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1389" w:rsidRDefault="00561FBD" w14:paraId="5C6154D1" w14:textId="77777777">
      <w:pPr>
        <w:pStyle w:val="BodyText"/>
        <w:rPr>
          <w:rFonts w:ascii="Times New Roman"/>
          <w:sz w:val="20"/>
        </w:rPr>
      </w:pPr>
      <w:r>
        <w:rPr>
          <w:noProof/>
        </w:rPr>
        <mc:AlternateContent>
          <mc:Choice Requires="wpg">
            <w:drawing>
              <wp:anchor distT="0" distB="0" distL="0" distR="0" simplePos="0" relativeHeight="465417728" behindDoc="1" locked="0" layoutInCell="1" allowOverlap="1" wp14:editId="1FBBF235" wp14:anchorId="6DD50209">
                <wp:simplePos x="0" y="0"/>
                <wp:positionH relativeFrom="page">
                  <wp:posOffset>0</wp:posOffset>
                </wp:positionH>
                <wp:positionV relativeFrom="page">
                  <wp:posOffset>0</wp:posOffset>
                </wp:positionV>
                <wp:extent cx="7772400" cy="28600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860040"/>
                          <a:chOff x="0" y="0"/>
                          <a:chExt cx="7772400" cy="2860040"/>
                        </a:xfrm>
                      </wpg:grpSpPr>
                      <pic:pic xmlns:pic="http://schemas.openxmlformats.org/drawingml/2006/picture">
                        <pic:nvPicPr>
                          <pic:cNvPr id="2" name="Image 2"/>
                          <pic:cNvPicPr/>
                        </pic:nvPicPr>
                        <pic:blipFill>
                          <a:blip r:embed="rId7" cstate="print"/>
                          <a:stretch>
                            <a:fillRect/>
                          </a:stretch>
                        </pic:blipFill>
                        <pic:spPr>
                          <a:xfrm>
                            <a:off x="0" y="0"/>
                            <a:ext cx="7772400" cy="285964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640080" y="274321"/>
                            <a:ext cx="1899310" cy="629918"/>
                          </a:xfrm>
                          <a:prstGeom prst="rect">
                            <a:avLst/>
                          </a:prstGeom>
                        </pic:spPr>
                      </pic:pic>
                      <wps:wsp>
                        <wps:cNvPr id="4" name="Textbox 4"/>
                        <wps:cNvSpPr txBox="1"/>
                        <wps:spPr>
                          <a:xfrm>
                            <a:off x="914400" y="252391"/>
                            <a:ext cx="1243965" cy="113664"/>
                          </a:xfrm>
                          <a:prstGeom prst="rect">
                            <a:avLst/>
                          </a:prstGeom>
                        </wps:spPr>
                        <wps:txbx>
                          <w:txbxContent>
                            <w:p w:rsidR="00C31389" w:rsidRDefault="00561FBD" w14:paraId="074F57FD" w14:textId="77777777">
                              <w:pPr>
                                <w:spacing w:line="179" w:lineRule="exact"/>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wpg:wgp>
                  </a:graphicData>
                </a:graphic>
              </wp:anchor>
            </w:drawing>
          </mc:Choice>
          <mc:Fallback>
            <w:pict>
              <v:group id="Group 1" style="position:absolute;margin-left:0;margin-top:0;width:612pt;height:225.2pt;z-index:-37898752;mso-wrap-distance-left:0;mso-wrap-distance-right:0;mso-position-horizontal-relative:page;mso-position-vertical-relative:page" coordsize="77724,28600" o:spid="_x0000_s1026" w14:anchorId="6DD50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3Z7U+igBlFPooAZRT6TbQA2&#10;inbaNtADaKdtptABRRRQAUUUUAFFFFABRRRQAbPajZ7UUUAFFFFAFHb9aNv1p22jbQA3b9aNv1p2&#10;2jbQA3b9aNv1p9FABSbaWigBNtG2looAKKKKACiil20AJRS7adQAyin0UAMpdtO2e1O2/WgBtFO2&#10;/WloAZRs9qfRQAm360bfrS0UAFFFFABRTqKAG0Uu2loAbTqKKAE20baWigAopdtG2gBKKfRQAyin&#10;0UAFFGz2p22gBtFPooATb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baWigAooooATbRS0UAUaKfR&#10;QAyin7PajZ7UAMop+z2o2e1ADdtG2pNv1o2/WgCPbRtqTb9aNv1oAbs9qKfRQAyin0UAJt+tG360&#10;tFACbfrS0UUAFFFFABRRTqAG0Uu2loAbTqKKAE20tFFABRS7aNtACUu2nbPaigBu2nbPaiigAoop&#10;22gBtFO20tADNntTttLRQAm2l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9FFFABRRRQAUUUUAFFOooAbRS7aNtACUUu2jbQAlFLto20AJRTqKACiiigBNtG2lp&#10;dtACUUu2nUAMpdtOooAbtp2z2oooAKKKNntQAUU7bRtoAbRs9qfRQAm2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in7PamUAFFP&#10;2e1FADKKfRQAyin0UAMop9FADdtG2nUUAN20bads9qKAG7adRs9qdtoAbRTttG2gBtFO20tADKKf&#10;RQAzZ7U7bS0UAJtpaKKACiiigAooooAKKKKACiik3UALRSbqN1AC0Um6m7/egB9FMooAduo3U2nb&#10;aADd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to20zzk9aPOT1o&#10;Aftpaj85PWl30APpNtN30b6AHbaWmb6N9AD6KZvo30APopm+jfQA+imb6N9AD6KZvo30APoqLzaP&#10;NoAloqLzaPMoAloqLzKPMoAloqLdSUATUm6oqKAJd1N30yigB++jfTdtJQA/f70b/eiigBu2nUUU&#10;AFFFFABRT6KAGbPan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Uop2360bfrQA2jZ7U+igBNv1o2/WlooAKKKKACiiigAooooAKKKKACinUUANop1FABSb&#10;aWigAooooAKKKKACil206gBlPoooAKKKKACiijZ7UAFFP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vRRRQAUUUUAFFFOoAbRTqKAG0&#10;Uu2loAbTqKKAE20tFFABRRRQAUUUUAFFFPoAZT6KKACiiigAooooAKKdtpaAGU7b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NJtpaKACk20tFACbaWiigAooooAKKKXbQAlFLto20AJRT6KAG7adRRQAUUUUAFFFGz2oAK&#10;KfRQAyin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NFPooAZRT6KAG7aNtOooAbtp1FFABRRRQAU&#10;UUUAFFFPoAZRTttLQAzZ7U7bS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KK&#10;KfQAyin0UAMop9FADNntTttL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HA6HHa0SAAAtEgAABQAAABkcnMvbWVk&#10;aWEvaW1hZ2UyLnBuZ4lQTkcNChoKAAAADUlIRFIAAAMUAAABBQgGAAAAepahhgAAAwBQTFRF////&#10;k9UARWMADxYAB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77724;height:285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">
                  <v:imagedata o:title="" r:id="rId9"/>
                </v:shape>
                <v:shape id="Image 3" style="position:absolute;left:6400;top:2743;width:18993;height:62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">
                  <v:imagedata o:title="" r:id="rId10"/>
                </v:shape>
                <v:shapetype id="_x0000_t202" coordsize="21600,21600" o:spt="202" path="m,l,21600r21600,l21600,xe">
                  <v:stroke joinstyle="miter"/>
                  <v:path gradientshapeok="t" o:connecttype="rect"/>
                </v:shapetype>
                <v:shape id="Textbox 4" style="position:absolute;left:9144;top:2523;width:12439;height:1137;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v:textbox inset="0,0,0,0">
                    <w:txbxContent>
                      <w:p w:rsidR="00C31389" w:rsidRDefault="00561FBD" w14:paraId="074F57FD" w14:textId="77777777">
                        <w:pPr>
                          <w:spacing w:line="179" w:lineRule="exact"/>
                          <w:rPr>
                            <w:sz w:val="16"/>
                          </w:rPr>
                        </w:pPr>
                        <w:r>
                          <w:rPr>
                            <w:sz w:val="16"/>
                          </w:rPr>
                          <w:t>R.13-11-005</w:t>
                        </w:r>
                        <w:r>
                          <w:rPr>
                            <w:spacing w:val="34"/>
                            <w:sz w:val="16"/>
                          </w:rPr>
                          <w:t xml:space="preserve"> </w:t>
                        </w:r>
                        <w:r>
                          <w:rPr>
                            <w:spacing w:val="-2"/>
                            <w:sz w:val="16"/>
                          </w:rPr>
                          <w:t>ALJ/VUK/mef</w:t>
                        </w:r>
                      </w:p>
                    </w:txbxContent>
                  </v:textbox>
                </v:shape>
                <w10:wrap anchorx="page" anchory="page"/>
              </v:group>
            </w:pict>
          </mc:Fallback>
        </mc:AlternateContent>
      </w:r>
    </w:p>
    <w:p w:rsidR="00C31389" w:rsidRDefault="00C31389" w14:paraId="1CFFC63F" w14:textId="77777777">
      <w:pPr>
        <w:pStyle w:val="BodyText"/>
        <w:rPr>
          <w:rFonts w:ascii="Times New Roman"/>
          <w:sz w:val="20"/>
        </w:rPr>
      </w:pPr>
    </w:p>
    <w:p w:rsidR="00C31389" w:rsidRDefault="00C31389" w14:paraId="1B651D14" w14:textId="77777777">
      <w:pPr>
        <w:pStyle w:val="BodyText"/>
        <w:rPr>
          <w:rFonts w:ascii="Times New Roman"/>
          <w:sz w:val="20"/>
        </w:rPr>
      </w:pPr>
    </w:p>
    <w:p w:rsidR="00C31389" w:rsidRDefault="00C31389" w14:paraId="111958F7" w14:textId="77777777">
      <w:pPr>
        <w:pStyle w:val="BodyText"/>
        <w:rPr>
          <w:rFonts w:ascii="Times New Roman"/>
          <w:sz w:val="20"/>
        </w:rPr>
      </w:pPr>
    </w:p>
    <w:p w:rsidR="00C31389" w:rsidRDefault="00C31389" w14:paraId="1476C743" w14:textId="77777777">
      <w:pPr>
        <w:pStyle w:val="BodyText"/>
        <w:rPr>
          <w:rFonts w:ascii="Times New Roman"/>
          <w:sz w:val="20"/>
        </w:rPr>
      </w:pPr>
    </w:p>
    <w:p w:rsidR="00C31389" w:rsidRDefault="00C31389" w14:paraId="2BC70C6A" w14:textId="77777777">
      <w:pPr>
        <w:pStyle w:val="BodyText"/>
        <w:rPr>
          <w:rFonts w:ascii="Times New Roman"/>
          <w:sz w:val="20"/>
        </w:rPr>
      </w:pPr>
    </w:p>
    <w:p w:rsidR="00C31389" w:rsidRDefault="00C31389" w14:paraId="0E340565" w14:textId="77777777">
      <w:pPr>
        <w:pStyle w:val="BodyText"/>
        <w:rPr>
          <w:rFonts w:ascii="Times New Roman"/>
          <w:sz w:val="20"/>
        </w:rPr>
      </w:pPr>
    </w:p>
    <w:p w:rsidR="00C31389" w:rsidRDefault="00C31389" w14:paraId="7CBFA0B8" w14:textId="77777777">
      <w:pPr>
        <w:pStyle w:val="BodyText"/>
        <w:rPr>
          <w:rFonts w:ascii="Times New Roman"/>
          <w:sz w:val="20"/>
        </w:rPr>
      </w:pPr>
    </w:p>
    <w:p w:rsidR="00C31389" w:rsidRDefault="00C31389" w14:paraId="5E85B96A" w14:textId="77777777">
      <w:pPr>
        <w:pStyle w:val="BodyText"/>
        <w:rPr>
          <w:rFonts w:ascii="Times New Roman"/>
          <w:sz w:val="20"/>
        </w:rPr>
      </w:pPr>
    </w:p>
    <w:p w:rsidR="00C31389" w:rsidRDefault="00C31389" w14:paraId="4B26FA0A" w14:textId="77777777">
      <w:pPr>
        <w:pStyle w:val="BodyText"/>
        <w:rPr>
          <w:rFonts w:ascii="Times New Roman"/>
          <w:sz w:val="20"/>
        </w:rPr>
      </w:pPr>
    </w:p>
    <w:p w:rsidR="00C31389" w:rsidRDefault="00C31389" w14:paraId="31532601" w14:textId="77777777">
      <w:pPr>
        <w:pStyle w:val="BodyText"/>
        <w:rPr>
          <w:rFonts w:ascii="Times New Roman"/>
          <w:sz w:val="20"/>
        </w:rPr>
      </w:pPr>
    </w:p>
    <w:p w:rsidR="00C31389" w:rsidRDefault="00C31389" w14:paraId="5DE5BC11" w14:textId="77777777">
      <w:pPr>
        <w:pStyle w:val="BodyText"/>
        <w:rPr>
          <w:rFonts w:ascii="Times New Roman"/>
          <w:sz w:val="20"/>
        </w:rPr>
      </w:pPr>
    </w:p>
    <w:p w:rsidR="00C31389" w:rsidRDefault="00C31389" w14:paraId="516CD1DC" w14:textId="77777777">
      <w:pPr>
        <w:pStyle w:val="BodyText"/>
        <w:spacing w:before="2"/>
        <w:rPr>
          <w:rFonts w:ascii="Times New Roman"/>
          <w:sz w:val="17"/>
        </w:rPr>
      </w:pPr>
    </w:p>
    <w:tbl>
      <w:tblPr>
        <w:tblW w:w="0" w:type="auto"/>
        <w:tblInd w:w="120" w:type="dxa"/>
        <w:tblLayout w:type="fixed"/>
        <w:tblCellMar>
          <w:left w:w="0" w:type="dxa"/>
          <w:right w:w="0" w:type="dxa"/>
        </w:tblCellMar>
        <w:tblLook w:val="01E0" w:firstRow="1" w:lastRow="1" w:firstColumn="1" w:lastColumn="1" w:noHBand="0" w:noVBand="0"/>
      </w:tblPr>
      <w:tblGrid>
        <w:gridCol w:w="7480"/>
      </w:tblGrid>
      <w:tr w:rsidR="00C31389" w14:paraId="3B5CFBDB" w14:textId="77777777">
        <w:trPr>
          <w:trHeight w:val="1753"/>
        </w:trPr>
        <w:tc>
          <w:tcPr>
            <w:tcW w:w="7480" w:type="dxa"/>
          </w:tcPr>
          <w:p w:rsidR="00C31389" w:rsidRDefault="00561FBD" w14:paraId="56BBBE29" w14:textId="77777777">
            <w:pPr>
              <w:pStyle w:val="TableParagraph"/>
              <w:spacing w:before="0" w:line="536" w:lineRule="exact"/>
              <w:ind w:left="50"/>
              <w:rPr>
                <w:b/>
                <w:sz w:val="48"/>
              </w:rPr>
            </w:pPr>
            <w:r>
              <w:rPr>
                <w:b/>
                <w:spacing w:val="-10"/>
                <w:sz w:val="48"/>
              </w:rPr>
              <w:t>2023</w:t>
            </w:r>
            <w:r>
              <w:rPr>
                <w:b/>
                <w:spacing w:val="-16"/>
                <w:sz w:val="48"/>
              </w:rPr>
              <w:t xml:space="preserve"> </w:t>
            </w:r>
            <w:r>
              <w:rPr>
                <w:b/>
                <w:spacing w:val="-10"/>
                <w:sz w:val="48"/>
              </w:rPr>
              <w:t>Energy</w:t>
            </w:r>
            <w:r>
              <w:rPr>
                <w:b/>
                <w:spacing w:val="-15"/>
                <w:sz w:val="48"/>
              </w:rPr>
              <w:t xml:space="preserve"> </w:t>
            </w:r>
            <w:r>
              <w:rPr>
                <w:b/>
                <w:spacing w:val="-10"/>
                <w:sz w:val="48"/>
              </w:rPr>
              <w:t>Efficiency</w:t>
            </w:r>
            <w:r>
              <w:rPr>
                <w:b/>
                <w:spacing w:val="-15"/>
                <w:sz w:val="48"/>
              </w:rPr>
              <w:t xml:space="preserve"> </w:t>
            </w:r>
            <w:r>
              <w:rPr>
                <w:b/>
                <w:spacing w:val="-10"/>
                <w:sz w:val="48"/>
              </w:rPr>
              <w:t>Potential</w:t>
            </w:r>
          </w:p>
          <w:p w:rsidR="00C31389" w:rsidRDefault="00561FBD" w14:paraId="7B7B118B" w14:textId="77777777">
            <w:pPr>
              <w:pStyle w:val="TableParagraph"/>
              <w:spacing w:before="0"/>
              <w:ind w:left="50"/>
              <w:rPr>
                <w:b/>
                <w:sz w:val="48"/>
              </w:rPr>
            </w:pPr>
            <w:r>
              <w:rPr>
                <w:b/>
                <w:spacing w:val="-8"/>
                <w:sz w:val="48"/>
              </w:rPr>
              <w:t>and</w:t>
            </w:r>
            <w:r>
              <w:rPr>
                <w:b/>
                <w:spacing w:val="-22"/>
                <w:sz w:val="48"/>
              </w:rPr>
              <w:t xml:space="preserve"> </w:t>
            </w:r>
            <w:r>
              <w:rPr>
                <w:b/>
                <w:spacing w:val="-8"/>
                <w:sz w:val="48"/>
              </w:rPr>
              <w:t>Goals</w:t>
            </w:r>
            <w:r>
              <w:rPr>
                <w:b/>
                <w:spacing w:val="-20"/>
                <w:sz w:val="48"/>
              </w:rPr>
              <w:t xml:space="preserve"> </w:t>
            </w:r>
            <w:r>
              <w:rPr>
                <w:b/>
                <w:spacing w:val="-8"/>
                <w:sz w:val="48"/>
              </w:rPr>
              <w:t>Study</w:t>
            </w:r>
          </w:p>
        </w:tc>
      </w:tr>
      <w:tr w:rsidR="00C31389" w14:paraId="0CE59E3F" w14:textId="77777777">
        <w:trPr>
          <w:trHeight w:val="3720"/>
        </w:trPr>
        <w:tc>
          <w:tcPr>
            <w:tcW w:w="7480" w:type="dxa"/>
          </w:tcPr>
          <w:p w:rsidR="00C31389" w:rsidRDefault="00C31389" w14:paraId="7936CBDC" w14:textId="77777777">
            <w:pPr>
              <w:pStyle w:val="TableParagraph"/>
              <w:spacing w:before="0"/>
              <w:rPr>
                <w:rFonts w:ascii="Times New Roman"/>
                <w:sz w:val="30"/>
              </w:rPr>
            </w:pPr>
          </w:p>
          <w:p w:rsidR="00C31389" w:rsidRDefault="00C31389" w14:paraId="4637A5D1" w14:textId="77777777">
            <w:pPr>
              <w:pStyle w:val="TableParagraph"/>
              <w:spacing w:before="0"/>
              <w:rPr>
                <w:rFonts w:ascii="Times New Roman"/>
                <w:sz w:val="27"/>
              </w:rPr>
            </w:pPr>
          </w:p>
          <w:p w:rsidR="00C31389" w:rsidRDefault="00561FBD" w14:paraId="5FE1162B" w14:textId="77777777">
            <w:pPr>
              <w:pStyle w:val="TableParagraph"/>
              <w:spacing w:before="0"/>
              <w:ind w:left="50"/>
              <w:rPr>
                <w:b/>
                <w:sz w:val="28"/>
              </w:rPr>
            </w:pPr>
            <w:r>
              <w:rPr>
                <w:b/>
                <w:sz w:val="28"/>
              </w:rPr>
              <w:t>Prepared</w:t>
            </w:r>
            <w:r>
              <w:rPr>
                <w:b/>
                <w:spacing w:val="-15"/>
                <w:sz w:val="28"/>
              </w:rPr>
              <w:t xml:space="preserve"> </w:t>
            </w:r>
            <w:r>
              <w:rPr>
                <w:b/>
                <w:spacing w:val="-4"/>
                <w:sz w:val="28"/>
              </w:rPr>
              <w:t>for:</w:t>
            </w:r>
          </w:p>
          <w:p w:rsidR="00C31389" w:rsidRDefault="00C31389" w14:paraId="591C6841" w14:textId="77777777">
            <w:pPr>
              <w:pStyle w:val="TableParagraph"/>
              <w:spacing w:before="5"/>
              <w:rPr>
                <w:rFonts w:ascii="Times New Roman"/>
                <w:sz w:val="10"/>
              </w:rPr>
            </w:pPr>
          </w:p>
          <w:p w:rsidR="00C31389" w:rsidRDefault="00561FBD" w14:paraId="31D87063" w14:textId="77777777">
            <w:pPr>
              <w:pStyle w:val="TableParagraph"/>
              <w:spacing w:before="0"/>
              <w:ind w:left="49"/>
              <w:rPr>
                <w:rFonts w:ascii="Times New Roman"/>
                <w:sz w:val="20"/>
              </w:rPr>
            </w:pPr>
            <w:r>
              <w:rPr>
                <w:rFonts w:ascii="Times New Roman"/>
                <w:noProof/>
                <w:sz w:val="20"/>
              </w:rPr>
              <w:drawing>
                <wp:inline distT="0" distB="0" distL="0" distR="0" wp14:anchorId="08479421" wp14:editId="3D0A644B">
                  <wp:extent cx="1085841" cy="1086135"/>
                  <wp:effectExtent l="0" t="0" r="0" b="0"/>
                  <wp:docPr id="5" name="Image 5" descr="State of California Public Utilities Comission - EE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tate of California Public Utilities Comission - EEI "/>
                          <pic:cNvPicPr/>
                        </pic:nvPicPr>
                        <pic:blipFill>
                          <a:blip r:embed="rId11" cstate="print"/>
                          <a:stretch>
                            <a:fillRect/>
                          </a:stretch>
                        </pic:blipFill>
                        <pic:spPr>
                          <a:xfrm>
                            <a:off x="0" y="0"/>
                            <a:ext cx="1085841" cy="1086135"/>
                          </a:xfrm>
                          <a:prstGeom prst="rect">
                            <a:avLst/>
                          </a:prstGeom>
                        </pic:spPr>
                      </pic:pic>
                    </a:graphicData>
                  </a:graphic>
                </wp:inline>
              </w:drawing>
            </w:r>
          </w:p>
          <w:p w:rsidR="00C31389" w:rsidRDefault="00561FBD" w14:paraId="575C5995" w14:textId="77777777">
            <w:pPr>
              <w:pStyle w:val="TableParagraph"/>
              <w:spacing w:before="3"/>
              <w:ind w:left="50"/>
            </w:pPr>
            <w:r>
              <w:t>California</w:t>
            </w:r>
            <w:r>
              <w:rPr>
                <w:spacing w:val="-9"/>
              </w:rPr>
              <w:t xml:space="preserve"> </w:t>
            </w:r>
            <w:r>
              <w:t>Public</w:t>
            </w:r>
            <w:r>
              <w:rPr>
                <w:spacing w:val="-9"/>
              </w:rPr>
              <w:t xml:space="preserve"> </w:t>
            </w:r>
            <w:r>
              <w:t>Utilities</w:t>
            </w:r>
            <w:r>
              <w:rPr>
                <w:spacing w:val="-10"/>
              </w:rPr>
              <w:t xml:space="preserve"> </w:t>
            </w:r>
            <w:r>
              <w:rPr>
                <w:spacing w:val="-2"/>
              </w:rPr>
              <w:t>Commission</w:t>
            </w:r>
          </w:p>
        </w:tc>
      </w:tr>
      <w:tr w:rsidR="00C31389" w14:paraId="37B3193F" w14:textId="77777777">
        <w:trPr>
          <w:trHeight w:val="3811"/>
        </w:trPr>
        <w:tc>
          <w:tcPr>
            <w:tcW w:w="7480" w:type="dxa"/>
          </w:tcPr>
          <w:p w:rsidR="00C31389" w:rsidRDefault="00C31389" w14:paraId="5FF486B0" w14:textId="77777777">
            <w:pPr>
              <w:pStyle w:val="TableParagraph"/>
              <w:spacing w:before="0"/>
              <w:rPr>
                <w:rFonts w:ascii="Times New Roman"/>
                <w:sz w:val="24"/>
              </w:rPr>
            </w:pPr>
          </w:p>
          <w:p w:rsidR="00C31389" w:rsidRDefault="00C31389" w14:paraId="42E009CB" w14:textId="77777777">
            <w:pPr>
              <w:pStyle w:val="TableParagraph"/>
              <w:spacing w:before="3"/>
              <w:rPr>
                <w:rFonts w:ascii="Times New Roman"/>
                <w:sz w:val="32"/>
              </w:rPr>
            </w:pPr>
          </w:p>
          <w:p w:rsidR="00C31389" w:rsidRDefault="00561FBD" w14:paraId="27E49441" w14:textId="77777777">
            <w:pPr>
              <w:pStyle w:val="TableParagraph"/>
              <w:spacing w:before="0"/>
              <w:ind w:left="50"/>
              <w:rPr>
                <w:b/>
              </w:rPr>
            </w:pPr>
            <w:r>
              <w:rPr>
                <w:b/>
              </w:rPr>
              <w:t>Submitted</w:t>
            </w:r>
            <w:r>
              <w:rPr>
                <w:b/>
                <w:spacing w:val="-12"/>
              </w:rPr>
              <w:t xml:space="preserve"> </w:t>
            </w:r>
            <w:r>
              <w:rPr>
                <w:b/>
                <w:spacing w:val="-5"/>
              </w:rPr>
              <w:t>by:</w:t>
            </w:r>
          </w:p>
          <w:p w:rsidR="00C31389" w:rsidRDefault="00C31389" w14:paraId="07183D7C" w14:textId="77777777">
            <w:pPr>
              <w:pStyle w:val="TableParagraph"/>
              <w:spacing w:before="9" w:after="1"/>
              <w:rPr>
                <w:rFonts w:ascii="Times New Roman"/>
                <w:sz w:val="20"/>
              </w:rPr>
            </w:pPr>
          </w:p>
          <w:p w:rsidR="00C31389" w:rsidRDefault="00561FBD" w14:paraId="47FB768B" w14:textId="77777777">
            <w:pPr>
              <w:pStyle w:val="TableParagraph"/>
              <w:spacing w:before="0"/>
              <w:ind w:left="49"/>
              <w:rPr>
                <w:rFonts w:ascii="Times New Roman"/>
                <w:sz w:val="20"/>
              </w:rPr>
            </w:pPr>
            <w:r>
              <w:rPr>
                <w:rFonts w:ascii="Times New Roman"/>
                <w:noProof/>
                <w:sz w:val="20"/>
              </w:rPr>
              <w:drawing>
                <wp:inline distT="0" distB="0" distL="0" distR="0" wp14:anchorId="52B674D3" wp14:editId="3CACABDA">
                  <wp:extent cx="1100145" cy="36461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100145" cy="364616"/>
                          </a:xfrm>
                          <a:prstGeom prst="rect">
                            <a:avLst/>
                          </a:prstGeom>
                        </pic:spPr>
                      </pic:pic>
                    </a:graphicData>
                  </a:graphic>
                </wp:inline>
              </w:drawing>
            </w:r>
          </w:p>
          <w:p w:rsidR="00C31389" w:rsidRDefault="00C31389" w14:paraId="14FF8AB1" w14:textId="77777777">
            <w:pPr>
              <w:pStyle w:val="TableParagraph"/>
              <w:spacing w:before="0"/>
              <w:rPr>
                <w:rFonts w:ascii="Times New Roman"/>
              </w:rPr>
            </w:pPr>
          </w:p>
          <w:p w:rsidR="00C31389" w:rsidRDefault="00561FBD" w14:paraId="2A7853C3" w14:textId="77777777">
            <w:pPr>
              <w:pStyle w:val="TableParagraph"/>
              <w:spacing w:before="0"/>
              <w:ind w:left="50"/>
            </w:pPr>
            <w:r>
              <w:t>Guidehouse</w:t>
            </w:r>
            <w:r>
              <w:rPr>
                <w:spacing w:val="-13"/>
              </w:rPr>
              <w:t xml:space="preserve"> </w:t>
            </w:r>
            <w:r>
              <w:rPr>
                <w:spacing w:val="-4"/>
              </w:rPr>
              <w:t>Inc.</w:t>
            </w:r>
          </w:p>
          <w:p w:rsidR="00C31389" w:rsidRDefault="00561FBD" w14:paraId="653220CD" w14:textId="77777777">
            <w:pPr>
              <w:pStyle w:val="TableParagraph"/>
              <w:spacing w:before="1"/>
              <w:ind w:left="50" w:right="3918"/>
            </w:pPr>
            <w:r>
              <w:t>101</w:t>
            </w:r>
            <w:r>
              <w:rPr>
                <w:spacing w:val="-10"/>
              </w:rPr>
              <w:t xml:space="preserve"> </w:t>
            </w:r>
            <w:r>
              <w:t>California</w:t>
            </w:r>
            <w:r>
              <w:rPr>
                <w:spacing w:val="-10"/>
              </w:rPr>
              <w:t xml:space="preserve"> </w:t>
            </w:r>
            <w:r>
              <w:t>Street,</w:t>
            </w:r>
            <w:r>
              <w:rPr>
                <w:spacing w:val="-10"/>
              </w:rPr>
              <w:t xml:space="preserve"> </w:t>
            </w:r>
            <w:r>
              <w:t>Suite</w:t>
            </w:r>
            <w:r>
              <w:rPr>
                <w:spacing w:val="-10"/>
              </w:rPr>
              <w:t xml:space="preserve"> </w:t>
            </w:r>
            <w:r>
              <w:t xml:space="preserve">4100 San Francisco, CA 94111 </w:t>
            </w:r>
            <w:r>
              <w:t>Telephone (415) 399-2109</w:t>
            </w:r>
          </w:p>
          <w:p w:rsidR="00C31389" w:rsidRDefault="00C31389" w14:paraId="4F2144D2" w14:textId="77777777">
            <w:pPr>
              <w:pStyle w:val="TableParagraph"/>
              <w:spacing w:before="11"/>
              <w:rPr>
                <w:rFonts w:ascii="Times New Roman"/>
                <w:sz w:val="21"/>
              </w:rPr>
            </w:pPr>
          </w:p>
          <w:p w:rsidR="00C31389" w:rsidRDefault="00561FBD" w14:paraId="4A59F8CA" w14:textId="77777777">
            <w:pPr>
              <w:pStyle w:val="TableParagraph"/>
              <w:spacing w:before="0"/>
              <w:ind w:left="50"/>
            </w:pPr>
            <w:r>
              <w:t>Reference</w:t>
            </w:r>
            <w:r>
              <w:rPr>
                <w:spacing w:val="-9"/>
              </w:rPr>
              <w:t xml:space="preserve"> </w:t>
            </w:r>
            <w:r>
              <w:t>No.:</w:t>
            </w:r>
            <w:r>
              <w:rPr>
                <w:spacing w:val="-8"/>
              </w:rPr>
              <w:t xml:space="preserve"> </w:t>
            </w:r>
            <w:r>
              <w:rPr>
                <w:spacing w:val="-2"/>
              </w:rPr>
              <w:t>535313</w:t>
            </w:r>
          </w:p>
          <w:p w:rsidR="00C31389" w:rsidRDefault="00561FBD" w14:paraId="78AA48AD" w14:textId="77777777">
            <w:pPr>
              <w:pStyle w:val="TableParagraph"/>
              <w:spacing w:before="0"/>
              <w:ind w:left="50"/>
            </w:pPr>
            <w:r>
              <w:t>June</w:t>
            </w:r>
            <w:r>
              <w:rPr>
                <w:spacing w:val="-4"/>
              </w:rPr>
              <w:t xml:space="preserve"> </w:t>
            </w:r>
            <w:r>
              <w:t>22,</w:t>
            </w:r>
            <w:r>
              <w:rPr>
                <w:spacing w:val="-4"/>
              </w:rPr>
              <w:t xml:space="preserve"> 2023</w:t>
            </w:r>
          </w:p>
        </w:tc>
      </w:tr>
      <w:tr w:rsidR="00C31389" w14:paraId="5D17B6D4" w14:textId="77777777">
        <w:trPr>
          <w:trHeight w:val="482"/>
        </w:trPr>
        <w:tc>
          <w:tcPr>
            <w:tcW w:w="7480" w:type="dxa"/>
          </w:tcPr>
          <w:p w:rsidR="00C31389" w:rsidRDefault="00561FBD" w14:paraId="6CDC5E3A" w14:textId="77777777">
            <w:pPr>
              <w:pStyle w:val="TableParagraph"/>
              <w:spacing w:before="65"/>
              <w:ind w:left="50"/>
              <w:rPr>
                <w:b/>
                <w:sz w:val="18"/>
              </w:rPr>
            </w:pPr>
            <w:r>
              <w:rPr>
                <w:b/>
                <w:spacing w:val="-2"/>
                <w:sz w:val="18"/>
              </w:rPr>
              <w:t>guidehouse.com</w:t>
            </w:r>
          </w:p>
        </w:tc>
      </w:tr>
      <w:tr w:rsidR="00C31389" w14:paraId="24BA524C" w14:textId="77777777">
        <w:trPr>
          <w:trHeight w:val="2067"/>
        </w:trPr>
        <w:tc>
          <w:tcPr>
            <w:tcW w:w="7480" w:type="dxa"/>
          </w:tcPr>
          <w:p w:rsidR="00C31389" w:rsidRDefault="00C31389" w14:paraId="71CDC23F" w14:textId="77777777">
            <w:pPr>
              <w:pStyle w:val="TableParagraph"/>
              <w:spacing w:before="8"/>
              <w:rPr>
                <w:rFonts w:ascii="Times New Roman"/>
                <w:sz w:val="17"/>
              </w:rPr>
            </w:pPr>
          </w:p>
          <w:p w:rsidR="00C31389" w:rsidRDefault="00561FBD" w14:paraId="7DA1E5EA" w14:textId="77777777">
            <w:pPr>
              <w:pStyle w:val="TableParagraph"/>
              <w:spacing w:before="1"/>
              <w:ind w:left="50"/>
              <w:rPr>
                <w:sz w:val="18"/>
              </w:rPr>
            </w:pPr>
            <w:r>
              <w:rPr>
                <w:sz w:val="18"/>
              </w:rPr>
              <w:t xml:space="preserve">This deliverable was prepared by Guidehouse Inc. for the sole use and benefit of, and pursuant to a client relationship exclusively with the California Public </w:t>
            </w:r>
            <w:r>
              <w:rPr>
                <w:sz w:val="18"/>
              </w:rPr>
              <w:t>Utilities Commission ("Client").</w:t>
            </w:r>
            <w:r>
              <w:rPr>
                <w:spacing w:val="-4"/>
                <w:sz w:val="18"/>
              </w:rPr>
              <w:t xml:space="preserve"> </w:t>
            </w:r>
            <w:r>
              <w:rPr>
                <w:sz w:val="18"/>
              </w:rPr>
              <w:t>Accordingly,</w:t>
            </w:r>
            <w:r>
              <w:rPr>
                <w:spacing w:val="-4"/>
                <w:sz w:val="18"/>
              </w:rPr>
              <w:t xml:space="preserve"> </w:t>
            </w:r>
            <w:r>
              <w:rPr>
                <w:sz w:val="18"/>
              </w:rPr>
              <w:t>Guidehouse</w:t>
            </w:r>
            <w:r>
              <w:rPr>
                <w:spacing w:val="-5"/>
                <w:sz w:val="18"/>
              </w:rPr>
              <w:t xml:space="preserve"> </w:t>
            </w:r>
            <w:r>
              <w:rPr>
                <w:sz w:val="18"/>
              </w:rPr>
              <w:t>disclaims</w:t>
            </w:r>
            <w:r>
              <w:rPr>
                <w:spacing w:val="-3"/>
                <w:sz w:val="18"/>
              </w:rPr>
              <w:t xml:space="preserve"> </w:t>
            </w:r>
            <w:r>
              <w:rPr>
                <w:sz w:val="18"/>
              </w:rPr>
              <w:t>any</w:t>
            </w:r>
            <w:r>
              <w:rPr>
                <w:spacing w:val="-4"/>
                <w:sz w:val="18"/>
              </w:rPr>
              <w:t xml:space="preserve"> </w:t>
            </w:r>
            <w:r>
              <w:rPr>
                <w:sz w:val="18"/>
              </w:rPr>
              <w:t>contractual</w:t>
            </w:r>
            <w:r>
              <w:rPr>
                <w:spacing w:val="-4"/>
                <w:sz w:val="18"/>
              </w:rPr>
              <w:t xml:space="preserve"> </w:t>
            </w:r>
            <w:r>
              <w:rPr>
                <w:sz w:val="18"/>
              </w:rPr>
              <w:t>or</w:t>
            </w:r>
            <w:r>
              <w:rPr>
                <w:spacing w:val="-4"/>
                <w:sz w:val="18"/>
              </w:rPr>
              <w:t xml:space="preserve"> </w:t>
            </w:r>
            <w:r>
              <w:rPr>
                <w:sz w:val="18"/>
              </w:rPr>
              <w:t>other</w:t>
            </w:r>
            <w:r>
              <w:rPr>
                <w:spacing w:val="-4"/>
                <w:sz w:val="18"/>
              </w:rPr>
              <w:t xml:space="preserve"> </w:t>
            </w:r>
            <w:r>
              <w:rPr>
                <w:sz w:val="18"/>
              </w:rPr>
              <w:t>responsibility</w:t>
            </w:r>
            <w:r>
              <w:rPr>
                <w:spacing w:val="-4"/>
                <w:sz w:val="18"/>
              </w:rPr>
              <w:t xml:space="preserve"> </w:t>
            </w:r>
            <w:r>
              <w:rPr>
                <w:sz w:val="18"/>
              </w:rPr>
              <w:t>to</w:t>
            </w:r>
            <w:r>
              <w:rPr>
                <w:spacing w:val="-5"/>
                <w:sz w:val="18"/>
              </w:rPr>
              <w:t xml:space="preserve"> </w:t>
            </w:r>
            <w:r>
              <w:rPr>
                <w:sz w:val="18"/>
              </w:rPr>
              <w:t xml:space="preserve">others based on their access to or use of the deliverable. The work presented in this deliverable represents Guidehouse’s professional </w:t>
            </w:r>
            <w:r>
              <w:rPr>
                <w:sz w:val="18"/>
              </w:rPr>
              <w:t>judgement based on the information available at the time this report was prepared. Market forecasts contained in the publication reflect Guidehouse’s current expectations based on available data. Market predictions and expectations are inherently uncertain</w:t>
            </w:r>
            <w:r>
              <w:rPr>
                <w:sz w:val="18"/>
              </w:rPr>
              <w:t xml:space="preserve"> and actual results may differ materially from those</w:t>
            </w:r>
          </w:p>
          <w:p w:rsidR="00C31389" w:rsidRDefault="00561FBD" w14:paraId="46FE4C1A" w14:textId="77777777">
            <w:pPr>
              <w:pStyle w:val="TableParagraph"/>
              <w:spacing w:before="0" w:line="187" w:lineRule="exact"/>
              <w:ind w:left="50"/>
              <w:rPr>
                <w:sz w:val="18"/>
              </w:rPr>
            </w:pPr>
            <w:r>
              <w:rPr>
                <w:sz w:val="18"/>
              </w:rPr>
              <w:t>contained</w:t>
            </w:r>
            <w:r>
              <w:rPr>
                <w:spacing w:val="-3"/>
                <w:sz w:val="18"/>
              </w:rPr>
              <w:t xml:space="preserve"> </w:t>
            </w:r>
            <w:r>
              <w:rPr>
                <w:sz w:val="18"/>
              </w:rPr>
              <w:t>in</w:t>
            </w:r>
            <w:r>
              <w:rPr>
                <w:spacing w:val="-3"/>
                <w:sz w:val="18"/>
              </w:rPr>
              <w:t xml:space="preserve"> </w:t>
            </w:r>
            <w:r>
              <w:rPr>
                <w:sz w:val="18"/>
              </w:rPr>
              <w:t>the</w:t>
            </w:r>
            <w:r>
              <w:rPr>
                <w:spacing w:val="-2"/>
                <w:sz w:val="18"/>
              </w:rPr>
              <w:t xml:space="preserve"> publication.</w:t>
            </w:r>
          </w:p>
        </w:tc>
      </w:tr>
    </w:tbl>
    <w:p w:rsidR="00C31389" w:rsidRDefault="00C31389" w14:paraId="1AF3E0B7" w14:textId="77777777">
      <w:pPr>
        <w:spacing w:line="187" w:lineRule="exact"/>
        <w:rPr>
          <w:sz w:val="18"/>
        </w:rPr>
        <w:sectPr w:rsidR="00C31389">
          <w:type w:val="continuous"/>
          <w:pgSz w:w="12240" w:h="15840"/>
          <w:pgMar w:top="0" w:right="960" w:bottom="280" w:left="960" w:header="720" w:footer="720" w:gutter="0"/>
          <w:cols w:space="720"/>
        </w:sectPr>
      </w:pPr>
    </w:p>
    <w:p w:rsidR="00C31389" w:rsidRDefault="00C31389" w14:paraId="19007B50" w14:textId="77777777">
      <w:pPr>
        <w:pStyle w:val="BodyText"/>
        <w:rPr>
          <w:rFonts w:ascii="Times New Roman"/>
        </w:rPr>
      </w:pPr>
    </w:p>
    <w:p w:rsidR="00C31389" w:rsidRDefault="00C31389" w14:paraId="616E4004" w14:textId="77777777">
      <w:pPr>
        <w:pStyle w:val="BodyText"/>
        <w:spacing w:before="4"/>
        <w:rPr>
          <w:rFonts w:ascii="Times New Roman"/>
          <w:sz w:val="24"/>
        </w:rPr>
      </w:pPr>
    </w:p>
    <w:p w:rsidR="00C31389" w:rsidRDefault="00561FBD" w14:paraId="5D9AB6D0" w14:textId="77777777">
      <w:pPr>
        <w:pStyle w:val="BodyText"/>
        <w:spacing w:before="92"/>
        <w:ind w:left="480" w:right="533"/>
      </w:pPr>
      <w:r>
        <w:t>This</w:t>
      </w:r>
      <w:r>
        <w:rPr>
          <w:spacing w:val="-4"/>
        </w:rPr>
        <w:t xml:space="preserve"> </w:t>
      </w:r>
      <w:r>
        <w:t>study</w:t>
      </w:r>
      <w:r>
        <w:rPr>
          <w:spacing w:val="-4"/>
        </w:rPr>
        <w:t xml:space="preserve"> </w:t>
      </w:r>
      <w:r>
        <w:t>is</w:t>
      </w:r>
      <w:r>
        <w:rPr>
          <w:spacing w:val="-5"/>
        </w:rPr>
        <w:t xml:space="preserve"> </w:t>
      </w:r>
      <w:r>
        <w:t>covered</w:t>
      </w:r>
      <w:r>
        <w:rPr>
          <w:spacing w:val="-4"/>
        </w:rPr>
        <w:t xml:space="preserve"> </w:t>
      </w:r>
      <w:r>
        <w:t>under</w:t>
      </w:r>
      <w:r>
        <w:rPr>
          <w:spacing w:val="-4"/>
        </w:rPr>
        <w:t xml:space="preserve"> </w:t>
      </w:r>
      <w:r>
        <w:t>Contract</w:t>
      </w:r>
      <w:r>
        <w:rPr>
          <w:spacing w:val="-4"/>
        </w:rPr>
        <w:t xml:space="preserve"> </w:t>
      </w:r>
      <w:r>
        <w:t>21NC0594</w:t>
      </w:r>
      <w:r>
        <w:rPr>
          <w:spacing w:val="-3"/>
        </w:rPr>
        <w:t xml:space="preserve"> </w:t>
      </w:r>
      <w:r>
        <w:t>between</w:t>
      </w:r>
      <w:r>
        <w:rPr>
          <w:spacing w:val="-4"/>
        </w:rPr>
        <w:t xml:space="preserve"> </w:t>
      </w:r>
      <w:r>
        <w:t>Guidehouse</w:t>
      </w:r>
      <w:r>
        <w:rPr>
          <w:spacing w:val="-4"/>
        </w:rPr>
        <w:t xml:space="preserve"> </w:t>
      </w:r>
      <w:r>
        <w:t>and</w:t>
      </w:r>
      <w:r>
        <w:rPr>
          <w:spacing w:val="-4"/>
        </w:rPr>
        <w:t xml:space="preserve"> </w:t>
      </w:r>
      <w:r>
        <w:t>the</w:t>
      </w:r>
      <w:r>
        <w:rPr>
          <w:spacing w:val="-4"/>
        </w:rPr>
        <w:t xml:space="preserve"> </w:t>
      </w:r>
      <w:r>
        <w:t>California</w:t>
      </w:r>
      <w:r>
        <w:rPr>
          <w:spacing w:val="-4"/>
        </w:rPr>
        <w:t xml:space="preserve"> </w:t>
      </w:r>
      <w:r>
        <w:t>Public Utilities Commission (CPUC).</w:t>
      </w:r>
    </w:p>
    <w:p w:rsidR="00C31389" w:rsidRDefault="00C31389" w14:paraId="13642FD8" w14:textId="77777777">
      <w:pPr>
        <w:pStyle w:val="BodyText"/>
        <w:spacing w:before="9"/>
        <w:rPr>
          <w:sz w:val="20"/>
        </w:rPr>
      </w:pPr>
    </w:p>
    <w:p w:rsidR="00C31389" w:rsidRDefault="00561FBD" w14:paraId="058C22A0" w14:textId="77777777">
      <w:pPr>
        <w:pStyle w:val="BodyText"/>
        <w:ind w:left="480" w:right="533"/>
      </w:pPr>
      <w:r>
        <w:t>This report was prepared as an acco</w:t>
      </w:r>
      <w:r>
        <w:t>unt of work sponsored by the California Public Utilities Commission. It does not necessarily represent the views of the Commission or any of its employees</w:t>
      </w:r>
      <w:r>
        <w:rPr>
          <w:spacing w:val="-4"/>
        </w:rPr>
        <w:t xml:space="preserve"> </w:t>
      </w:r>
      <w:r>
        <w:t>except</w:t>
      </w:r>
      <w:r>
        <w:rPr>
          <w:spacing w:val="-3"/>
        </w:rPr>
        <w:t xml:space="preserve"> </w:t>
      </w:r>
      <w:r>
        <w:t>to</w:t>
      </w:r>
      <w:r>
        <w:rPr>
          <w:spacing w:val="-3"/>
        </w:rPr>
        <w:t xml:space="preserve"> </w:t>
      </w:r>
      <w:r>
        <w:t>the</w:t>
      </w:r>
      <w:r>
        <w:rPr>
          <w:spacing w:val="-3"/>
        </w:rPr>
        <w:t xml:space="preserve"> </w:t>
      </w:r>
      <w:r>
        <w:t>extent,</w:t>
      </w:r>
      <w:r>
        <w:rPr>
          <w:spacing w:val="-3"/>
        </w:rPr>
        <w:t xml:space="preserve"> </w:t>
      </w:r>
      <w:r>
        <w:t>if</w:t>
      </w:r>
      <w:r>
        <w:rPr>
          <w:spacing w:val="-3"/>
        </w:rPr>
        <w:t xml:space="preserve"> </w:t>
      </w:r>
      <w:r>
        <w:t>any,</w:t>
      </w:r>
      <w:r>
        <w:rPr>
          <w:spacing w:val="-3"/>
        </w:rPr>
        <w:t xml:space="preserve"> </w:t>
      </w:r>
      <w:r>
        <w:t>that</w:t>
      </w:r>
      <w:r>
        <w:rPr>
          <w:spacing w:val="-3"/>
        </w:rPr>
        <w:t xml:space="preserve"> </w:t>
      </w:r>
      <w:r>
        <w:t>it</w:t>
      </w:r>
      <w:r>
        <w:rPr>
          <w:spacing w:val="-3"/>
        </w:rPr>
        <w:t xml:space="preserve"> </w:t>
      </w:r>
      <w:r>
        <w:t>has</w:t>
      </w:r>
      <w:r>
        <w:rPr>
          <w:spacing w:val="-3"/>
        </w:rPr>
        <w:t xml:space="preserve"> </w:t>
      </w:r>
      <w:r>
        <w:t>formally</w:t>
      </w:r>
      <w:r>
        <w:rPr>
          <w:spacing w:val="-3"/>
        </w:rPr>
        <w:t xml:space="preserve"> </w:t>
      </w:r>
      <w:r>
        <w:t>been</w:t>
      </w:r>
      <w:r>
        <w:rPr>
          <w:spacing w:val="-3"/>
        </w:rPr>
        <w:t xml:space="preserve"> </w:t>
      </w:r>
      <w:r>
        <w:t>approved</w:t>
      </w:r>
      <w:r>
        <w:rPr>
          <w:spacing w:val="-3"/>
        </w:rPr>
        <w:t xml:space="preserve"> </w:t>
      </w:r>
      <w:r>
        <w:t>by</w:t>
      </w:r>
      <w:r>
        <w:rPr>
          <w:spacing w:val="-3"/>
        </w:rPr>
        <w:t xml:space="preserve"> </w:t>
      </w:r>
      <w:r>
        <w:t>the</w:t>
      </w:r>
      <w:r>
        <w:rPr>
          <w:spacing w:val="-3"/>
        </w:rPr>
        <w:t xml:space="preserve"> </w:t>
      </w:r>
      <w:r>
        <w:t>Commission</w:t>
      </w:r>
      <w:r>
        <w:rPr>
          <w:spacing w:val="-3"/>
        </w:rPr>
        <w:t xml:space="preserve"> </w:t>
      </w:r>
      <w:r>
        <w:t xml:space="preserve">at a public </w:t>
      </w:r>
      <w:r>
        <w:t>meeting. For information regarding any such action, communicate directly with the Commission at 505 Van Ness Avenue, San Francisco, California 94102. Neither the Commission nor the State of California, nor any officer, employee, or any of its contractors o</w:t>
      </w:r>
      <w:r>
        <w:t>r subcontractors makes any warranty, express or implied, or assumes any legal liability whatsoever for the contents of this document.</w:t>
      </w:r>
    </w:p>
    <w:p w:rsidR="00C31389" w:rsidRDefault="00C31389" w14:paraId="6C190D98" w14:textId="77777777">
      <w:pPr>
        <w:pStyle w:val="BodyText"/>
        <w:spacing w:before="11"/>
        <w:rPr>
          <w:sz w:val="20"/>
        </w:rPr>
      </w:pPr>
    </w:p>
    <w:p w:rsidR="00C31389" w:rsidRDefault="00561FBD" w14:paraId="182B6646" w14:textId="77777777">
      <w:pPr>
        <w:ind w:left="480"/>
        <w:rPr>
          <w:b/>
          <w:sz w:val="32"/>
        </w:rPr>
      </w:pPr>
      <w:r>
        <w:rPr>
          <w:b/>
          <w:sz w:val="32"/>
        </w:rPr>
        <w:t>Contact</w:t>
      </w:r>
      <w:r>
        <w:rPr>
          <w:b/>
          <w:spacing w:val="-8"/>
          <w:sz w:val="32"/>
        </w:rPr>
        <w:t xml:space="preserve"> </w:t>
      </w:r>
      <w:r>
        <w:rPr>
          <w:b/>
          <w:spacing w:val="-2"/>
          <w:sz w:val="32"/>
        </w:rPr>
        <w:t>Information</w:t>
      </w:r>
    </w:p>
    <w:p w:rsidR="00C31389" w:rsidRDefault="00561FBD" w14:paraId="53FF4E31" w14:textId="77777777">
      <w:pPr>
        <w:pStyle w:val="BodyText"/>
        <w:spacing w:before="240"/>
        <w:ind w:left="480"/>
      </w:pPr>
      <w:r>
        <w:t>For</w:t>
      </w:r>
      <w:r>
        <w:rPr>
          <w:spacing w:val="-7"/>
        </w:rPr>
        <w:t xml:space="preserve"> </w:t>
      </w:r>
      <w:r>
        <w:t>more</w:t>
      </w:r>
      <w:r>
        <w:rPr>
          <w:spacing w:val="-7"/>
        </w:rPr>
        <w:t xml:space="preserve"> </w:t>
      </w:r>
      <w:r>
        <w:t>information</w:t>
      </w:r>
      <w:r>
        <w:rPr>
          <w:spacing w:val="-7"/>
        </w:rPr>
        <w:t xml:space="preserve"> </w:t>
      </w:r>
      <w:r>
        <w:t>contact:</w:t>
      </w:r>
      <w:r>
        <w:rPr>
          <w:spacing w:val="-7"/>
        </w:rPr>
        <w:t xml:space="preserve"> </w:t>
      </w:r>
      <w:r>
        <w:t>Neil</w:t>
      </w:r>
      <w:r>
        <w:rPr>
          <w:spacing w:val="-7"/>
        </w:rPr>
        <w:t xml:space="preserve"> </w:t>
      </w:r>
      <w:r>
        <w:t>Podkowsky,</w:t>
      </w:r>
      <w:r>
        <w:rPr>
          <w:spacing w:val="-7"/>
        </w:rPr>
        <w:t xml:space="preserve"> </w:t>
      </w:r>
      <w:r>
        <w:rPr>
          <w:color w:val="68942C"/>
          <w:spacing w:val="-10"/>
          <w:u w:val="single" w:color="68942C"/>
        </w:rPr>
        <w:t xml:space="preserve"> </w:t>
      </w:r>
      <w:hyperlink r:id="rId13">
        <w:r>
          <w:rPr>
            <w:color w:val="68942C"/>
            <w:spacing w:val="-2"/>
            <w:u w:val="single" w:color="68942C"/>
          </w:rPr>
          <w:t>npod</w:t>
        </w:r>
        <w:r>
          <w:rPr>
            <w:color w:val="68942C"/>
            <w:spacing w:val="-2"/>
            <w:u w:val="single" w:color="68942C"/>
          </w:rPr>
          <w:t>kowsky@guidehouse.com</w:t>
        </w:r>
      </w:hyperlink>
    </w:p>
    <w:p w:rsidR="00C31389" w:rsidRDefault="00C31389" w14:paraId="04678193" w14:textId="77777777">
      <w:pPr>
        <w:pStyle w:val="BodyText"/>
        <w:spacing w:before="10"/>
        <w:rPr>
          <w:sz w:val="12"/>
        </w:rPr>
      </w:pPr>
    </w:p>
    <w:p w:rsidR="00C31389" w:rsidRDefault="00561FBD" w14:paraId="11E29ABA" w14:textId="77777777">
      <w:pPr>
        <w:pStyle w:val="BodyText"/>
        <w:spacing w:before="93"/>
        <w:ind w:left="480"/>
      </w:pPr>
      <w:r>
        <w:t>Principal</w:t>
      </w:r>
      <w:r>
        <w:rPr>
          <w:spacing w:val="-10"/>
        </w:rPr>
        <w:t xml:space="preserve"> </w:t>
      </w:r>
      <w:r>
        <w:t>authors</w:t>
      </w:r>
      <w:r>
        <w:rPr>
          <w:spacing w:val="-9"/>
        </w:rPr>
        <w:t xml:space="preserve"> </w:t>
      </w:r>
      <w:r>
        <w:rPr>
          <w:spacing w:val="-2"/>
        </w:rPr>
        <w:t>include:</w:t>
      </w:r>
    </w:p>
    <w:p w:rsidR="00C31389" w:rsidRDefault="00C31389" w14:paraId="3D569F7F" w14:textId="77777777">
      <w:pPr>
        <w:pStyle w:val="BodyText"/>
        <w:spacing w:before="9"/>
        <w:rPr>
          <w:sz w:val="20"/>
        </w:rPr>
      </w:pPr>
    </w:p>
    <w:tbl>
      <w:tblPr>
        <w:tblW w:w="0" w:type="auto"/>
        <w:tblInd w:w="905" w:type="dxa"/>
        <w:tblLayout w:type="fixed"/>
        <w:tblCellMar>
          <w:left w:w="0" w:type="dxa"/>
          <w:right w:w="0" w:type="dxa"/>
        </w:tblCellMar>
        <w:tblLook w:val="01E0" w:firstRow="1" w:lastRow="1" w:firstColumn="1" w:lastColumn="1" w:noHBand="0" w:noVBand="0"/>
      </w:tblPr>
      <w:tblGrid>
        <w:gridCol w:w="3344"/>
        <w:gridCol w:w="3271"/>
      </w:tblGrid>
      <w:tr w:rsidR="00C31389" w14:paraId="1886DCFA" w14:textId="77777777">
        <w:trPr>
          <w:trHeight w:val="2035"/>
        </w:trPr>
        <w:tc>
          <w:tcPr>
            <w:tcW w:w="3344" w:type="dxa"/>
          </w:tcPr>
          <w:p w:rsidR="00C31389" w:rsidRDefault="00561FBD" w14:paraId="3F31A161" w14:textId="77777777">
            <w:pPr>
              <w:pStyle w:val="TableParagraph"/>
              <w:numPr>
                <w:ilvl w:val="0"/>
                <w:numId w:val="86"/>
              </w:numPr>
              <w:tabs>
                <w:tab w:val="left" w:pos="410"/>
              </w:tabs>
              <w:spacing w:before="0" w:line="269" w:lineRule="exact"/>
            </w:pPr>
            <w:r>
              <w:t>Neil</w:t>
            </w:r>
            <w:r>
              <w:rPr>
                <w:spacing w:val="-5"/>
              </w:rPr>
              <w:t xml:space="preserve"> </w:t>
            </w:r>
            <w:r>
              <w:rPr>
                <w:spacing w:val="-2"/>
              </w:rPr>
              <w:t>Podkowsky</w:t>
            </w:r>
          </w:p>
          <w:p w:rsidR="00C31389" w:rsidRDefault="00561FBD" w14:paraId="6E08E2B3" w14:textId="77777777">
            <w:pPr>
              <w:pStyle w:val="TableParagraph"/>
              <w:numPr>
                <w:ilvl w:val="0"/>
                <w:numId w:val="86"/>
              </w:numPr>
              <w:tabs>
                <w:tab w:val="left" w:pos="410"/>
              </w:tabs>
              <w:spacing w:before="84"/>
            </w:pPr>
            <w:r>
              <w:t>Amul</w:t>
            </w:r>
            <w:r>
              <w:rPr>
                <w:spacing w:val="-8"/>
              </w:rPr>
              <w:t xml:space="preserve"> </w:t>
            </w:r>
            <w:r>
              <w:rPr>
                <w:spacing w:val="-2"/>
              </w:rPr>
              <w:t>Sathe</w:t>
            </w:r>
          </w:p>
          <w:p w:rsidR="00C31389" w:rsidRDefault="00561FBD" w14:paraId="65EDCC69" w14:textId="77777777">
            <w:pPr>
              <w:pStyle w:val="TableParagraph"/>
              <w:numPr>
                <w:ilvl w:val="0"/>
                <w:numId w:val="86"/>
              </w:numPr>
              <w:tabs>
                <w:tab w:val="left" w:pos="409"/>
              </w:tabs>
              <w:spacing w:before="84"/>
              <w:ind w:left="409" w:hanging="359"/>
            </w:pPr>
            <w:r>
              <w:t>Rebecca</w:t>
            </w:r>
            <w:r>
              <w:rPr>
                <w:spacing w:val="-10"/>
              </w:rPr>
              <w:t xml:space="preserve"> </w:t>
            </w:r>
            <w:r>
              <w:rPr>
                <w:spacing w:val="-2"/>
              </w:rPr>
              <w:t>Legett</w:t>
            </w:r>
          </w:p>
          <w:p w:rsidR="00C31389" w:rsidRDefault="00561FBD" w14:paraId="6EC7BAD3" w14:textId="77777777">
            <w:pPr>
              <w:pStyle w:val="TableParagraph"/>
              <w:numPr>
                <w:ilvl w:val="0"/>
                <w:numId w:val="86"/>
              </w:numPr>
              <w:tabs>
                <w:tab w:val="left" w:pos="409"/>
              </w:tabs>
              <w:spacing w:before="83"/>
              <w:ind w:left="409" w:hanging="359"/>
            </w:pPr>
            <w:r>
              <w:t>Yamini</w:t>
            </w:r>
            <w:r>
              <w:rPr>
                <w:spacing w:val="-9"/>
              </w:rPr>
              <w:t xml:space="preserve"> </w:t>
            </w:r>
            <w:r>
              <w:rPr>
                <w:spacing w:val="-4"/>
              </w:rPr>
              <w:t>Arab</w:t>
            </w:r>
          </w:p>
          <w:p w:rsidR="00C31389" w:rsidRDefault="00561FBD" w14:paraId="7F5712F4" w14:textId="77777777">
            <w:pPr>
              <w:pStyle w:val="TableParagraph"/>
              <w:numPr>
                <w:ilvl w:val="0"/>
                <w:numId w:val="86"/>
              </w:numPr>
              <w:tabs>
                <w:tab w:val="left" w:pos="409"/>
              </w:tabs>
              <w:spacing w:before="83"/>
              <w:ind w:left="409" w:hanging="359"/>
            </w:pPr>
            <w:r>
              <w:t>Brian</w:t>
            </w:r>
            <w:r>
              <w:rPr>
                <w:spacing w:val="-7"/>
              </w:rPr>
              <w:t xml:space="preserve"> </w:t>
            </w:r>
            <w:r>
              <w:rPr>
                <w:spacing w:val="-2"/>
              </w:rPr>
              <w:t>Chang</w:t>
            </w:r>
          </w:p>
          <w:p w:rsidR="00C31389" w:rsidRDefault="00561FBD" w14:paraId="4A7F26D5" w14:textId="77777777">
            <w:pPr>
              <w:pStyle w:val="TableParagraph"/>
              <w:numPr>
                <w:ilvl w:val="0"/>
                <w:numId w:val="86"/>
              </w:numPr>
              <w:tabs>
                <w:tab w:val="left" w:pos="409"/>
              </w:tabs>
              <w:spacing w:before="85" w:line="249" w:lineRule="exact"/>
              <w:ind w:left="409" w:hanging="359"/>
            </w:pPr>
            <w:r>
              <w:t>Raniel</w:t>
            </w:r>
            <w:r>
              <w:rPr>
                <w:spacing w:val="-8"/>
              </w:rPr>
              <w:t xml:space="preserve"> </w:t>
            </w:r>
            <w:r>
              <w:rPr>
                <w:spacing w:val="-4"/>
              </w:rPr>
              <w:t>Chan</w:t>
            </w:r>
          </w:p>
        </w:tc>
        <w:tc>
          <w:tcPr>
            <w:tcW w:w="3271" w:type="dxa"/>
          </w:tcPr>
          <w:p w:rsidR="00C31389" w:rsidRDefault="00561FBD" w14:paraId="0B018D87" w14:textId="77777777">
            <w:pPr>
              <w:pStyle w:val="TableParagraph"/>
              <w:numPr>
                <w:ilvl w:val="0"/>
                <w:numId w:val="85"/>
              </w:numPr>
              <w:tabs>
                <w:tab w:val="left" w:pos="1741"/>
              </w:tabs>
              <w:spacing w:before="0" w:line="269" w:lineRule="exact"/>
            </w:pPr>
            <w:r>
              <w:t>Derek</w:t>
            </w:r>
            <w:r>
              <w:rPr>
                <w:spacing w:val="-7"/>
              </w:rPr>
              <w:t xml:space="preserve"> </w:t>
            </w:r>
            <w:r>
              <w:rPr>
                <w:spacing w:val="-4"/>
              </w:rPr>
              <w:t>Nong</w:t>
            </w:r>
          </w:p>
          <w:p w:rsidR="00C31389" w:rsidRDefault="00561FBD" w14:paraId="559F26D8" w14:textId="77777777">
            <w:pPr>
              <w:pStyle w:val="TableParagraph"/>
              <w:numPr>
                <w:ilvl w:val="0"/>
                <w:numId w:val="85"/>
              </w:numPr>
              <w:tabs>
                <w:tab w:val="left" w:pos="1741"/>
              </w:tabs>
              <w:spacing w:before="84"/>
            </w:pPr>
            <w:r>
              <w:t>Lily</w:t>
            </w:r>
            <w:r>
              <w:rPr>
                <w:spacing w:val="-4"/>
              </w:rPr>
              <w:t xml:space="preserve"> </w:t>
            </w:r>
            <w:r>
              <w:rPr>
                <w:spacing w:val="-2"/>
              </w:rPr>
              <w:t>Busse</w:t>
            </w:r>
          </w:p>
          <w:p w:rsidR="00C31389" w:rsidRDefault="00561FBD" w14:paraId="55A20C27" w14:textId="77777777">
            <w:pPr>
              <w:pStyle w:val="TableParagraph"/>
              <w:numPr>
                <w:ilvl w:val="0"/>
                <w:numId w:val="85"/>
              </w:numPr>
              <w:tabs>
                <w:tab w:val="left" w:pos="1741"/>
              </w:tabs>
              <w:spacing w:before="84"/>
            </w:pPr>
            <w:r>
              <w:t>Jessica</w:t>
            </w:r>
            <w:r>
              <w:rPr>
                <w:spacing w:val="-9"/>
              </w:rPr>
              <w:t xml:space="preserve"> </w:t>
            </w:r>
            <w:r>
              <w:rPr>
                <w:spacing w:val="-4"/>
              </w:rPr>
              <w:t>Chen</w:t>
            </w:r>
          </w:p>
          <w:p w:rsidR="00C31389" w:rsidRDefault="00561FBD" w14:paraId="44B90C49" w14:textId="77777777">
            <w:pPr>
              <w:pStyle w:val="TableParagraph"/>
              <w:numPr>
                <w:ilvl w:val="0"/>
                <w:numId w:val="85"/>
              </w:numPr>
              <w:tabs>
                <w:tab w:val="left" w:pos="1741"/>
              </w:tabs>
              <w:spacing w:before="83"/>
            </w:pPr>
            <w:r>
              <w:t>Dustin</w:t>
            </w:r>
            <w:r>
              <w:rPr>
                <w:spacing w:val="-8"/>
              </w:rPr>
              <w:t xml:space="preserve"> </w:t>
            </w:r>
            <w:r>
              <w:rPr>
                <w:spacing w:val="-2"/>
              </w:rPr>
              <w:t>Bailey</w:t>
            </w:r>
          </w:p>
          <w:p w:rsidR="00C31389" w:rsidRDefault="00561FBD" w14:paraId="0A191760" w14:textId="77777777">
            <w:pPr>
              <w:pStyle w:val="TableParagraph"/>
              <w:numPr>
                <w:ilvl w:val="0"/>
                <w:numId w:val="85"/>
              </w:numPr>
              <w:tabs>
                <w:tab w:val="left" w:pos="1741"/>
              </w:tabs>
              <w:spacing w:before="83"/>
            </w:pPr>
            <w:r>
              <w:t>Kathryn</w:t>
            </w:r>
            <w:r>
              <w:rPr>
                <w:spacing w:val="-9"/>
              </w:rPr>
              <w:t xml:space="preserve"> </w:t>
            </w:r>
            <w:r>
              <w:rPr>
                <w:spacing w:val="-2"/>
              </w:rPr>
              <w:t>Collins</w:t>
            </w:r>
          </w:p>
          <w:p w:rsidR="00C31389" w:rsidRDefault="00561FBD" w14:paraId="7FA282F5" w14:textId="77777777">
            <w:pPr>
              <w:pStyle w:val="TableParagraph"/>
              <w:numPr>
                <w:ilvl w:val="0"/>
                <w:numId w:val="85"/>
              </w:numPr>
              <w:tabs>
                <w:tab w:val="left" w:pos="1741"/>
              </w:tabs>
              <w:spacing w:before="85" w:line="249" w:lineRule="exact"/>
            </w:pPr>
            <w:r>
              <w:t>Nicola</w:t>
            </w:r>
            <w:r>
              <w:rPr>
                <w:spacing w:val="-8"/>
              </w:rPr>
              <w:t xml:space="preserve"> </w:t>
            </w:r>
            <w:r>
              <w:rPr>
                <w:spacing w:val="-2"/>
              </w:rPr>
              <w:t>Charles</w:t>
            </w:r>
          </w:p>
        </w:tc>
      </w:tr>
    </w:tbl>
    <w:p w:rsidR="00C31389" w:rsidRDefault="00C31389" w14:paraId="08D832EC" w14:textId="77777777">
      <w:pPr>
        <w:pStyle w:val="BodyText"/>
        <w:rPr>
          <w:sz w:val="24"/>
        </w:rPr>
      </w:pPr>
    </w:p>
    <w:p w:rsidR="00C31389" w:rsidRDefault="00C31389" w14:paraId="692641E0" w14:textId="77777777">
      <w:pPr>
        <w:pStyle w:val="BodyText"/>
        <w:spacing w:before="8"/>
        <w:rPr>
          <w:sz w:val="34"/>
        </w:rPr>
      </w:pPr>
    </w:p>
    <w:p w:rsidR="00C31389" w:rsidRDefault="00561FBD" w14:paraId="7BBA2CC7" w14:textId="77777777">
      <w:pPr>
        <w:pStyle w:val="BodyText"/>
        <w:ind w:left="479"/>
      </w:pPr>
      <w:r>
        <w:rPr>
          <w:noProof/>
        </w:rPr>
        <mc:AlternateContent>
          <mc:Choice Requires="wpg">
            <w:drawing>
              <wp:anchor distT="0" distB="0" distL="0" distR="0" simplePos="0" relativeHeight="15729664" behindDoc="0" locked="0" layoutInCell="1" allowOverlap="1" wp14:editId="09C33A4A" wp14:anchorId="67C4F3A0">
                <wp:simplePos x="0" y="0"/>
                <wp:positionH relativeFrom="page">
                  <wp:posOffset>2149475</wp:posOffset>
                </wp:positionH>
                <wp:positionV relativeFrom="paragraph">
                  <wp:posOffset>334390</wp:posOffset>
                </wp:positionV>
                <wp:extent cx="1493520" cy="15265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3520" cy="1526540"/>
                          <a:chOff x="0" y="0"/>
                          <a:chExt cx="1493520" cy="1526540"/>
                        </a:xfrm>
                      </wpg:grpSpPr>
                      <pic:pic xmlns:pic="http://schemas.openxmlformats.org/drawingml/2006/picture">
                        <pic:nvPicPr>
                          <pic:cNvPr id="15" name="Image 15"/>
                          <pic:cNvPicPr/>
                        </pic:nvPicPr>
                        <pic:blipFill>
                          <a:blip r:embed="rId14" cstate="print"/>
                          <a:stretch>
                            <a:fillRect/>
                          </a:stretch>
                        </pic:blipFill>
                        <pic:spPr>
                          <a:xfrm>
                            <a:off x="226251" y="0"/>
                            <a:ext cx="1137172" cy="872251"/>
                          </a:xfrm>
                          <a:prstGeom prst="rect">
                            <a:avLst/>
                          </a:prstGeom>
                        </pic:spPr>
                      </pic:pic>
                      <pic:pic xmlns:pic="http://schemas.openxmlformats.org/drawingml/2006/picture">
                        <pic:nvPicPr>
                          <pic:cNvPr id="16" name="Image 16" descr="Tierra "/>
                          <pic:cNvPicPr/>
                        </pic:nvPicPr>
                        <pic:blipFill>
                          <a:blip r:embed="rId15" cstate="print"/>
                          <a:stretch>
                            <a:fillRect/>
                          </a:stretch>
                        </pic:blipFill>
                        <pic:spPr>
                          <a:xfrm>
                            <a:off x="0" y="872266"/>
                            <a:ext cx="1493262" cy="653869"/>
                          </a:xfrm>
                          <a:prstGeom prst="rect">
                            <a:avLst/>
                          </a:prstGeom>
                        </pic:spPr>
                      </pic:pic>
                    </wpg:wgp>
                  </a:graphicData>
                </a:graphic>
              </wp:anchor>
            </w:drawing>
          </mc:Choice>
          <mc:Fallback>
            <w:pict>
              <v:group id="Group 14" style="position:absolute;margin-left:169.25pt;margin-top:26.35pt;width:117.6pt;height:120.2pt;z-index:15729664;mso-wrap-distance-left:0;mso-wrap-distance-right:0;mso-position-horizontal-relative:page" coordsize="14935,15265" o:spid="_x0000_s1026" w14:anchorId="06F318D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">
                <v:shape id="Image 15" style="position:absolute;left:2262;width:11372;height:87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">
                  <v:imagedata o:title="" r:id="rId16"/>
                </v:shape>
                <v:shape id="Image 16" style="position:absolute;top:8722;width:14932;height:6539;visibility:visible;mso-wrap-style:square" alt="Tierra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">
                  <v:imagedata o:title="Tierra " r:id="rId17"/>
                </v:shape>
                <w10:wrap anchorx="page"/>
              </v:group>
            </w:pict>
          </mc:Fallback>
        </mc:AlternateContent>
      </w:r>
      <w:r>
        <w:rPr>
          <w:noProof/>
        </w:rPr>
        <w:drawing>
          <wp:anchor distT="0" distB="0" distL="0" distR="0" simplePos="0" relativeHeight="15730176" behindDoc="0" locked="0" layoutInCell="1" allowOverlap="1" wp14:editId="0B2EFA1C" wp14:anchorId="219FD159">
            <wp:simplePos x="0" y="0"/>
            <wp:positionH relativeFrom="page">
              <wp:posOffset>3984625</wp:posOffset>
            </wp:positionH>
            <wp:positionV relativeFrom="paragraph">
              <wp:posOffset>365927</wp:posOffset>
            </wp:positionV>
            <wp:extent cx="1775488" cy="685800"/>
            <wp:effectExtent l="0" t="0" r="0" b="0"/>
            <wp:wrapNone/>
            <wp:docPr id="17" name="Image 17" descr="Researchers. Evaluators. Adviso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Researchers. Evaluators. Advisors "/>
                    <pic:cNvPicPr/>
                  </pic:nvPicPr>
                  <pic:blipFill>
                    <a:blip r:embed="rId18" cstate="print"/>
                    <a:stretch>
                      <a:fillRect/>
                    </a:stretch>
                  </pic:blipFill>
                  <pic:spPr>
                    <a:xfrm>
                      <a:off x="0" y="0"/>
                      <a:ext cx="1775488" cy="685800"/>
                    </a:xfrm>
                    <a:prstGeom prst="rect">
                      <a:avLst/>
                    </a:prstGeom>
                  </pic:spPr>
                </pic:pic>
              </a:graphicData>
            </a:graphic>
          </wp:anchor>
        </w:drawing>
      </w:r>
      <w:r>
        <w:t>Guidehouse</w:t>
      </w:r>
      <w:r>
        <w:rPr>
          <w:spacing w:val="-10"/>
        </w:rPr>
        <w:t xml:space="preserve"> </w:t>
      </w:r>
      <w:r>
        <w:t>was</w:t>
      </w:r>
      <w:r>
        <w:rPr>
          <w:spacing w:val="-10"/>
        </w:rPr>
        <w:t xml:space="preserve"> </w:t>
      </w:r>
      <w:r>
        <w:t>supported</w:t>
      </w:r>
      <w:r>
        <w:rPr>
          <w:spacing w:val="-10"/>
        </w:rPr>
        <w:t xml:space="preserve"> </w:t>
      </w:r>
      <w:r>
        <w:rPr>
          <w:spacing w:val="-5"/>
        </w:rPr>
        <w:t>by:</w:t>
      </w:r>
    </w:p>
    <w:p w:rsidR="00C31389" w:rsidRDefault="00C31389" w14:paraId="3054B88B" w14:textId="77777777">
      <w:pPr>
        <w:pStyle w:val="BodyText"/>
        <w:rPr>
          <w:sz w:val="24"/>
        </w:rPr>
      </w:pPr>
    </w:p>
    <w:p w:rsidR="00C31389" w:rsidRDefault="00C31389" w14:paraId="3D3875DA" w14:textId="77777777">
      <w:pPr>
        <w:pStyle w:val="BodyText"/>
        <w:rPr>
          <w:sz w:val="24"/>
        </w:rPr>
      </w:pPr>
    </w:p>
    <w:p w:rsidR="00C31389" w:rsidRDefault="00C31389" w14:paraId="3A0DFF5E" w14:textId="77777777">
      <w:pPr>
        <w:pStyle w:val="BodyText"/>
        <w:rPr>
          <w:sz w:val="24"/>
        </w:rPr>
      </w:pPr>
    </w:p>
    <w:p w:rsidR="00C31389" w:rsidRDefault="00C31389" w14:paraId="460A8474" w14:textId="77777777">
      <w:pPr>
        <w:pStyle w:val="BodyText"/>
        <w:rPr>
          <w:sz w:val="24"/>
        </w:rPr>
      </w:pPr>
    </w:p>
    <w:p w:rsidR="00C31389" w:rsidRDefault="00C31389" w14:paraId="1C881EAC" w14:textId="77777777">
      <w:pPr>
        <w:pStyle w:val="BodyText"/>
        <w:rPr>
          <w:sz w:val="24"/>
        </w:rPr>
      </w:pPr>
    </w:p>
    <w:p w:rsidR="00C31389" w:rsidRDefault="00C31389" w14:paraId="2D0D7FBB" w14:textId="77777777">
      <w:pPr>
        <w:pStyle w:val="BodyText"/>
        <w:rPr>
          <w:sz w:val="24"/>
        </w:rPr>
      </w:pPr>
    </w:p>
    <w:p w:rsidR="00C31389" w:rsidRDefault="00C31389" w14:paraId="79E9FB34" w14:textId="77777777">
      <w:pPr>
        <w:pStyle w:val="BodyText"/>
        <w:rPr>
          <w:sz w:val="24"/>
        </w:rPr>
      </w:pPr>
    </w:p>
    <w:p w:rsidR="00C31389" w:rsidRDefault="00C31389" w14:paraId="2056E4AA" w14:textId="77777777">
      <w:pPr>
        <w:pStyle w:val="BodyText"/>
        <w:rPr>
          <w:sz w:val="24"/>
        </w:rPr>
      </w:pPr>
    </w:p>
    <w:p w:rsidR="00C31389" w:rsidRDefault="00C31389" w14:paraId="408F2174" w14:textId="77777777">
      <w:pPr>
        <w:pStyle w:val="BodyText"/>
        <w:rPr>
          <w:sz w:val="24"/>
        </w:rPr>
      </w:pPr>
    </w:p>
    <w:p w:rsidR="00C31389" w:rsidRDefault="00C31389" w14:paraId="4E0334DC" w14:textId="77777777">
      <w:pPr>
        <w:pStyle w:val="BodyText"/>
        <w:rPr>
          <w:sz w:val="24"/>
        </w:rPr>
      </w:pPr>
    </w:p>
    <w:p w:rsidR="00C31389" w:rsidRDefault="00561FBD" w14:paraId="6C0FADF7" w14:textId="77777777">
      <w:pPr>
        <w:pStyle w:val="BodyText"/>
        <w:spacing w:before="170"/>
        <w:ind w:left="480" w:right="533"/>
      </w:pPr>
      <w:r>
        <w:rPr>
          <w:noProof/>
        </w:rPr>
        <w:drawing>
          <wp:anchor distT="0" distB="0" distL="0" distR="0" simplePos="0" relativeHeight="15730688" behindDoc="0" locked="0" layoutInCell="1" allowOverlap="1" wp14:editId="6D765B97" wp14:anchorId="243DAF2F">
            <wp:simplePos x="0" y="0"/>
            <wp:positionH relativeFrom="page">
              <wp:posOffset>4318141</wp:posOffset>
            </wp:positionH>
            <wp:positionV relativeFrom="paragraph">
              <wp:posOffset>-718968</wp:posOffset>
            </wp:positionV>
            <wp:extent cx="1112997" cy="48034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1112997" cy="480345"/>
                    </a:xfrm>
                    <a:prstGeom prst="rect">
                      <a:avLst/>
                    </a:prstGeom>
                  </pic:spPr>
                </pic:pic>
              </a:graphicData>
            </a:graphic>
          </wp:anchor>
        </w:drawing>
      </w:r>
      <w:r>
        <w:t>Special</w:t>
      </w:r>
      <w:r>
        <w:rPr>
          <w:spacing w:val="-3"/>
        </w:rPr>
        <w:t xml:space="preserve"> </w:t>
      </w:r>
      <w:r>
        <w:t>thanks</w:t>
      </w:r>
      <w:r>
        <w:rPr>
          <w:spacing w:val="-3"/>
        </w:rPr>
        <w:t xml:space="preserve"> </w:t>
      </w:r>
      <w:r>
        <w:t>to</w:t>
      </w:r>
      <w:r>
        <w:rPr>
          <w:spacing w:val="-3"/>
        </w:rPr>
        <w:t xml:space="preserve"> </w:t>
      </w:r>
      <w:r>
        <w:t>the</w:t>
      </w:r>
      <w:r>
        <w:rPr>
          <w:spacing w:val="-3"/>
        </w:rPr>
        <w:t xml:space="preserve"> </w:t>
      </w:r>
      <w:r>
        <w:t>staff</w:t>
      </w:r>
      <w:r>
        <w:rPr>
          <w:spacing w:val="-3"/>
        </w:rPr>
        <w:t xml:space="preserve"> </w:t>
      </w:r>
      <w:r>
        <w:t>of</w:t>
      </w:r>
      <w:r>
        <w:rPr>
          <w:spacing w:val="-3"/>
        </w:rPr>
        <w:t xml:space="preserve"> </w:t>
      </w:r>
      <w:r>
        <w:t>the</w:t>
      </w:r>
      <w:r>
        <w:rPr>
          <w:spacing w:val="-3"/>
        </w:rPr>
        <w:t xml:space="preserve"> </w:t>
      </w:r>
      <w:r>
        <w:t>CPUC</w:t>
      </w:r>
      <w:r>
        <w:rPr>
          <w:spacing w:val="-3"/>
        </w:rPr>
        <w:t xml:space="preserve"> </w:t>
      </w:r>
      <w:r>
        <w:t>and</w:t>
      </w:r>
      <w:r>
        <w:rPr>
          <w:spacing w:val="-3"/>
        </w:rPr>
        <w:t xml:space="preserve"> </w:t>
      </w:r>
      <w:r>
        <w:t>the</w:t>
      </w:r>
      <w:r>
        <w:rPr>
          <w:spacing w:val="-3"/>
        </w:rPr>
        <w:t xml:space="preserve"> </w:t>
      </w:r>
      <w:r>
        <w:t>many</w:t>
      </w:r>
      <w:r>
        <w:rPr>
          <w:spacing w:val="-3"/>
        </w:rPr>
        <w:t xml:space="preserve"> </w:t>
      </w:r>
      <w:r>
        <w:t>stakeholders</w:t>
      </w:r>
      <w:r>
        <w:rPr>
          <w:spacing w:val="-3"/>
        </w:rPr>
        <w:t xml:space="preserve"> </w:t>
      </w:r>
      <w:r>
        <w:t>for</w:t>
      </w:r>
      <w:r>
        <w:rPr>
          <w:spacing w:val="-3"/>
        </w:rPr>
        <w:t xml:space="preserve"> </w:t>
      </w:r>
      <w:r>
        <w:t>providing</w:t>
      </w:r>
      <w:r>
        <w:rPr>
          <w:spacing w:val="-3"/>
        </w:rPr>
        <w:t xml:space="preserve"> </w:t>
      </w:r>
      <w:r>
        <w:t>direction, guidance, insight, and data throughout this study.</w:t>
      </w:r>
    </w:p>
    <w:p w:rsidR="00C31389" w:rsidRDefault="00C31389" w14:paraId="3091D8F6" w14:textId="77777777">
      <w:pPr>
        <w:pStyle w:val="BodyText"/>
        <w:spacing w:before="9"/>
        <w:rPr>
          <w:sz w:val="20"/>
        </w:rPr>
      </w:pPr>
    </w:p>
    <w:p w:rsidR="00C31389" w:rsidRDefault="00561FBD" w14:paraId="663D3580" w14:textId="77777777">
      <w:pPr>
        <w:pStyle w:val="BodyText"/>
        <w:ind w:left="480"/>
      </w:pPr>
      <w:r>
        <w:t>The</w:t>
      </w:r>
      <w:r>
        <w:rPr>
          <w:spacing w:val="-5"/>
        </w:rPr>
        <w:t xml:space="preserve"> </w:t>
      </w:r>
      <w:r>
        <w:t>project</w:t>
      </w:r>
      <w:r>
        <w:rPr>
          <w:spacing w:val="-5"/>
        </w:rPr>
        <w:t xml:space="preserve"> </w:t>
      </w:r>
      <w:r>
        <w:t>team</w:t>
      </w:r>
      <w:r>
        <w:rPr>
          <w:spacing w:val="-6"/>
        </w:rPr>
        <w:t xml:space="preserve"> </w:t>
      </w:r>
      <w:r>
        <w:t>would</w:t>
      </w:r>
      <w:r>
        <w:rPr>
          <w:spacing w:val="-5"/>
        </w:rPr>
        <w:t xml:space="preserve"> </w:t>
      </w:r>
      <w:r>
        <w:t>like</w:t>
      </w:r>
      <w:r>
        <w:rPr>
          <w:spacing w:val="-5"/>
        </w:rPr>
        <w:t xml:space="preserve"> </w:t>
      </w:r>
      <w:r>
        <w:t>to</w:t>
      </w:r>
      <w:r>
        <w:rPr>
          <w:spacing w:val="-5"/>
        </w:rPr>
        <w:t xml:space="preserve"> </w:t>
      </w:r>
      <w:r>
        <w:rPr>
          <w:spacing w:val="-2"/>
        </w:rPr>
        <w:t>acknowledge:</w:t>
      </w:r>
    </w:p>
    <w:p w:rsidR="00C31389" w:rsidRDefault="00561FBD" w14:paraId="553A4B10" w14:textId="77777777">
      <w:pPr>
        <w:pStyle w:val="ListParagraph"/>
        <w:numPr>
          <w:ilvl w:val="0"/>
          <w:numId w:val="84"/>
        </w:numPr>
        <w:tabs>
          <w:tab w:val="left" w:pos="1264"/>
        </w:tabs>
        <w:spacing w:before="120"/>
      </w:pPr>
      <w:r>
        <w:t>California</w:t>
      </w:r>
      <w:r>
        <w:rPr>
          <w:spacing w:val="-8"/>
        </w:rPr>
        <w:t xml:space="preserve"> </w:t>
      </w:r>
      <w:r>
        <w:t>Energy</w:t>
      </w:r>
      <w:r>
        <w:rPr>
          <w:spacing w:val="-7"/>
        </w:rPr>
        <w:t xml:space="preserve"> </w:t>
      </w:r>
      <w:r>
        <w:t>Commission</w:t>
      </w:r>
      <w:r>
        <w:rPr>
          <w:spacing w:val="-7"/>
        </w:rPr>
        <w:t xml:space="preserve"> </w:t>
      </w:r>
      <w:r>
        <w:t>staff</w:t>
      </w:r>
      <w:r>
        <w:rPr>
          <w:spacing w:val="-9"/>
        </w:rPr>
        <w:t xml:space="preserve"> </w:t>
      </w:r>
      <w:r>
        <w:t>for</w:t>
      </w:r>
      <w:r>
        <w:rPr>
          <w:spacing w:val="-7"/>
        </w:rPr>
        <w:t xml:space="preserve"> </w:t>
      </w:r>
      <w:r>
        <w:t>assistance</w:t>
      </w:r>
      <w:r>
        <w:rPr>
          <w:spacing w:val="-7"/>
        </w:rPr>
        <w:t xml:space="preserve"> </w:t>
      </w:r>
      <w:r>
        <w:t>on</w:t>
      </w:r>
      <w:r>
        <w:rPr>
          <w:spacing w:val="-8"/>
        </w:rPr>
        <w:t xml:space="preserve"> </w:t>
      </w:r>
      <w:r>
        <w:t>project</w:t>
      </w:r>
      <w:r>
        <w:rPr>
          <w:spacing w:val="-7"/>
        </w:rPr>
        <w:t xml:space="preserve"> </w:t>
      </w:r>
      <w:r>
        <w:t>data</w:t>
      </w:r>
      <w:r>
        <w:rPr>
          <w:spacing w:val="-7"/>
        </w:rPr>
        <w:t xml:space="preserve"> </w:t>
      </w:r>
      <w:r>
        <w:rPr>
          <w:spacing w:val="-2"/>
        </w:rPr>
        <w:t>needs.</w:t>
      </w:r>
    </w:p>
    <w:p w:rsidR="00C31389" w:rsidRDefault="00561FBD" w14:paraId="385E7D4E" w14:textId="77777777">
      <w:pPr>
        <w:pStyle w:val="ListParagraph"/>
        <w:numPr>
          <w:ilvl w:val="0"/>
          <w:numId w:val="84"/>
        </w:numPr>
        <w:tabs>
          <w:tab w:val="left" w:pos="1264"/>
        </w:tabs>
        <w:spacing w:before="119"/>
      </w:pPr>
      <w:r>
        <w:t>Sound</w:t>
      </w:r>
      <w:r>
        <w:rPr>
          <w:spacing w:val="-7"/>
        </w:rPr>
        <w:t xml:space="preserve"> </w:t>
      </w:r>
      <w:r>
        <w:t>Data</w:t>
      </w:r>
      <w:r>
        <w:rPr>
          <w:spacing w:val="-6"/>
        </w:rPr>
        <w:t xml:space="preserve"> </w:t>
      </w:r>
      <w:r>
        <w:t>for</w:t>
      </w:r>
      <w:r>
        <w:rPr>
          <w:spacing w:val="-6"/>
        </w:rPr>
        <w:t xml:space="preserve"> </w:t>
      </w:r>
      <w:r>
        <w:t>guidance</w:t>
      </w:r>
      <w:r>
        <w:rPr>
          <w:spacing w:val="-8"/>
        </w:rPr>
        <w:t xml:space="preserve"> </w:t>
      </w:r>
      <w:r>
        <w:t>regarding</w:t>
      </w:r>
      <w:r>
        <w:rPr>
          <w:spacing w:val="-6"/>
        </w:rPr>
        <w:t xml:space="preserve"> </w:t>
      </w:r>
      <w:r>
        <w:t>the</w:t>
      </w:r>
      <w:r>
        <w:rPr>
          <w:spacing w:val="-6"/>
        </w:rPr>
        <w:t xml:space="preserve"> </w:t>
      </w:r>
      <w:r>
        <w:t>use</w:t>
      </w:r>
      <w:r>
        <w:rPr>
          <w:spacing w:val="-6"/>
        </w:rPr>
        <w:t xml:space="preserve"> </w:t>
      </w:r>
      <w:r>
        <w:t>of</w:t>
      </w:r>
      <w:r>
        <w:rPr>
          <w:spacing w:val="-7"/>
        </w:rPr>
        <w:t xml:space="preserve"> </w:t>
      </w:r>
      <w:r>
        <w:t>CEDARS</w:t>
      </w:r>
      <w:r>
        <w:rPr>
          <w:spacing w:val="-6"/>
        </w:rPr>
        <w:t xml:space="preserve"> </w:t>
      </w:r>
      <w:r>
        <w:rPr>
          <w:spacing w:val="-2"/>
        </w:rPr>
        <w:t>data.</w:t>
      </w:r>
    </w:p>
    <w:p w:rsidR="00C31389" w:rsidRDefault="00C31389" w14:paraId="1BF9E0AC" w14:textId="77777777">
      <w:pPr>
        <w:sectPr w:rsidR="00C31389">
          <w:headerReference w:type="default" r:id="rId20"/>
          <w:footerReference w:type="default" r:id="rId21"/>
          <w:pgSz w:w="12240" w:h="15840"/>
          <w:pgMar w:top="1380" w:right="960" w:bottom="1120" w:left="960" w:header="397" w:footer="936" w:gutter="0"/>
          <w:pgNumType w:start="1"/>
          <w:cols w:space="720"/>
        </w:sectPr>
      </w:pPr>
    </w:p>
    <w:p w:rsidR="00C31389" w:rsidRDefault="00C31389" w14:paraId="5C2CD6F6" w14:textId="77777777">
      <w:pPr>
        <w:pStyle w:val="BodyText"/>
      </w:pPr>
    </w:p>
    <w:p w:rsidR="00C31389" w:rsidRDefault="00C31389" w14:paraId="037FC166" w14:textId="77777777">
      <w:pPr>
        <w:pStyle w:val="BodyText"/>
        <w:spacing w:before="1"/>
        <w:rPr>
          <w:sz w:val="14"/>
        </w:rPr>
      </w:pPr>
    </w:p>
    <w:p w:rsidR="00C31389" w:rsidRDefault="00561FBD" w14:paraId="572B254B" w14:textId="77777777">
      <w:pPr>
        <w:spacing w:before="90"/>
        <w:ind w:left="480"/>
        <w:rPr>
          <w:b/>
          <w:sz w:val="32"/>
        </w:rPr>
      </w:pPr>
      <w:r>
        <w:rPr>
          <w:b/>
          <w:sz w:val="32"/>
        </w:rPr>
        <w:t>Table</w:t>
      </w:r>
      <w:r>
        <w:rPr>
          <w:b/>
          <w:spacing w:val="-3"/>
          <w:sz w:val="32"/>
        </w:rPr>
        <w:t xml:space="preserve"> </w:t>
      </w:r>
      <w:r>
        <w:rPr>
          <w:b/>
          <w:sz w:val="32"/>
        </w:rPr>
        <w:t>of</w:t>
      </w:r>
      <w:r>
        <w:rPr>
          <w:b/>
          <w:spacing w:val="-4"/>
          <w:sz w:val="32"/>
        </w:rPr>
        <w:t xml:space="preserve"> </w:t>
      </w:r>
      <w:r>
        <w:rPr>
          <w:b/>
          <w:spacing w:val="-2"/>
          <w:sz w:val="32"/>
        </w:rPr>
        <w:t>Contents</w:t>
      </w:r>
    </w:p>
    <w:p w:rsidR="00C31389" w:rsidRDefault="00C31389" w14:paraId="2D4293C7" w14:textId="77777777">
      <w:pPr>
        <w:rPr>
          <w:sz w:val="32"/>
        </w:rPr>
        <w:sectPr w:rsidR="00C31389">
          <w:pgSz w:w="12240" w:h="15840"/>
          <w:pgMar w:top="1380" w:right="960" w:bottom="747" w:left="960" w:header="397" w:footer="936" w:gutter="0"/>
          <w:cols w:space="720"/>
        </w:sectPr>
      </w:pPr>
    </w:p>
    <w:sdt>
      <w:sdtPr>
        <w:rPr>
          <w:b w:val="0"/>
          <w:bCs w:val="0"/>
          <w:sz w:val="22"/>
          <w:szCs w:val="22"/>
        </w:rPr>
        <w:id w:val="-125082112"/>
        <w:docPartObj>
          <w:docPartGallery w:val="Table of Contents"/>
          <w:docPartUnique/>
        </w:docPartObj>
      </w:sdtPr>
      <w:sdtEndPr/>
      <w:sdtContent>
        <w:p w:rsidR="00C31389" w:rsidRDefault="00561FBD" w14:paraId="6E2BF17D" w14:textId="77777777">
          <w:pPr>
            <w:pStyle w:val="TOC1"/>
            <w:tabs>
              <w:tab w:val="right" w:leader="dot" w:pos="9829"/>
            </w:tabs>
            <w:spacing w:before="241"/>
            <w:ind w:left="480" w:firstLine="0"/>
          </w:pPr>
          <w:hyperlink w:history="1" w:anchor="_bookmark0">
            <w:r>
              <w:t>Executive</w:t>
            </w:r>
            <w:r>
              <w:rPr>
                <w:spacing w:val="-6"/>
              </w:rPr>
              <w:t xml:space="preserve"> </w:t>
            </w:r>
            <w:r>
              <w:rPr>
                <w:spacing w:val="-2"/>
              </w:rPr>
              <w:t>Summary</w:t>
            </w:r>
            <w:r>
              <w:tab/>
            </w:r>
            <w:r>
              <w:rPr>
                <w:spacing w:val="-5"/>
              </w:rPr>
              <w:t>xi</w:t>
            </w:r>
          </w:hyperlink>
        </w:p>
        <w:p w:rsidR="00C31389" w:rsidRDefault="00561FBD" w14:paraId="26DC2B18" w14:textId="77777777">
          <w:pPr>
            <w:pStyle w:val="TOC2"/>
            <w:tabs>
              <w:tab w:val="right" w:leader="dot" w:pos="9826"/>
            </w:tabs>
            <w:spacing w:before="120"/>
            <w:ind w:left="1027" w:firstLine="0"/>
          </w:pPr>
          <w:hyperlink w:history="1" w:anchor="_bookmark1">
            <w:r>
              <w:t>Background</w:t>
            </w:r>
            <w:r>
              <w:rPr>
                <w:spacing w:val="-10"/>
              </w:rPr>
              <w:t xml:space="preserve"> </w:t>
            </w:r>
            <w:r>
              <w:t>and</w:t>
            </w:r>
            <w:r>
              <w:rPr>
                <w:spacing w:val="-8"/>
              </w:rPr>
              <w:t xml:space="preserve"> </w:t>
            </w:r>
            <w:r>
              <w:rPr>
                <w:spacing w:val="-2"/>
              </w:rPr>
              <w:t>Approach</w:t>
            </w:r>
            <w:r>
              <w:tab/>
            </w:r>
            <w:r>
              <w:rPr>
                <w:spacing w:val="-5"/>
              </w:rPr>
              <w:t>xi</w:t>
            </w:r>
          </w:hyperlink>
        </w:p>
        <w:p w:rsidR="00C31389" w:rsidRDefault="00561FBD" w14:paraId="676DF3BC" w14:textId="77777777">
          <w:pPr>
            <w:pStyle w:val="TOC4"/>
            <w:tabs>
              <w:tab w:val="right" w:leader="dot" w:pos="9841"/>
            </w:tabs>
            <w:spacing w:before="59"/>
            <w:ind w:left="1560" w:firstLine="0"/>
          </w:pPr>
          <w:hyperlink w:history="1" w:anchor="_bookmark2">
            <w:r>
              <w:t>Study</w:t>
            </w:r>
            <w:r>
              <w:rPr>
                <w:spacing w:val="-7"/>
              </w:rPr>
              <w:t xml:space="preserve"> </w:t>
            </w:r>
            <w:r>
              <w:rPr>
                <w:spacing w:val="-2"/>
              </w:rPr>
              <w:t>Objectives</w:t>
            </w:r>
            <w:r>
              <w:tab/>
            </w:r>
            <w:r>
              <w:rPr>
                <w:spacing w:val="-5"/>
              </w:rPr>
              <w:t>xi</w:t>
            </w:r>
          </w:hyperlink>
        </w:p>
        <w:p w:rsidR="00C31389" w:rsidRDefault="00561FBD" w14:paraId="002C6019" w14:textId="77777777">
          <w:pPr>
            <w:pStyle w:val="TOC4"/>
            <w:tabs>
              <w:tab w:val="right" w:leader="dot" w:pos="9841"/>
            </w:tabs>
            <w:ind w:left="1560" w:firstLine="0"/>
          </w:pPr>
          <w:hyperlink w:history="1" w:anchor="_bookmark5">
            <w:r>
              <w:rPr>
                <w:spacing w:val="-2"/>
              </w:rPr>
              <w:t>Scenarios</w:t>
            </w:r>
            <w:r>
              <w:tab/>
            </w:r>
            <w:r>
              <w:rPr>
                <w:spacing w:val="-5"/>
              </w:rPr>
              <w:t>xii</w:t>
            </w:r>
          </w:hyperlink>
        </w:p>
        <w:p w:rsidR="00C31389" w:rsidRDefault="00561FBD" w14:paraId="416F48AB" w14:textId="77777777">
          <w:pPr>
            <w:pStyle w:val="TOC4"/>
            <w:tabs>
              <w:tab w:val="right" w:leader="dot" w:pos="9841"/>
            </w:tabs>
            <w:ind w:left="1560" w:firstLine="0"/>
          </w:pPr>
          <w:hyperlink w:history="1" w:anchor="_bookmark8">
            <w:r>
              <w:t>Impactful</w:t>
            </w:r>
            <w:r>
              <w:rPr>
                <w:spacing w:val="-8"/>
              </w:rPr>
              <w:t xml:space="preserve"> </w:t>
            </w:r>
            <w:r>
              <w:t>Data</w:t>
            </w:r>
            <w:r>
              <w:rPr>
                <w:spacing w:val="-7"/>
              </w:rPr>
              <w:t xml:space="preserve"> </w:t>
            </w:r>
            <w:r>
              <w:t>Updates</w:t>
            </w:r>
            <w:r>
              <w:rPr>
                <w:spacing w:val="-7"/>
              </w:rPr>
              <w:t xml:space="preserve"> </w:t>
            </w:r>
            <w:r>
              <w:t>and</w:t>
            </w:r>
            <w:r>
              <w:rPr>
                <w:spacing w:val="-7"/>
              </w:rPr>
              <w:t xml:space="preserve"> </w:t>
            </w:r>
            <w:r>
              <w:t>Pol</w:t>
            </w:r>
            <w:r>
              <w:t>icy</w:t>
            </w:r>
            <w:r>
              <w:rPr>
                <w:spacing w:val="-8"/>
              </w:rPr>
              <w:t xml:space="preserve"> </w:t>
            </w:r>
            <w:r>
              <w:rPr>
                <w:spacing w:val="-2"/>
              </w:rPr>
              <w:t>Changes</w:t>
            </w:r>
            <w:r>
              <w:tab/>
            </w:r>
            <w:r>
              <w:rPr>
                <w:spacing w:val="-4"/>
              </w:rPr>
              <w:t>xiii</w:t>
            </w:r>
          </w:hyperlink>
        </w:p>
        <w:p w:rsidR="00C31389" w:rsidRDefault="00561FBD" w14:paraId="65439AB1" w14:textId="77777777">
          <w:pPr>
            <w:pStyle w:val="TOC2"/>
            <w:tabs>
              <w:tab w:val="right" w:leader="dot" w:pos="9826"/>
            </w:tabs>
            <w:ind w:left="1027" w:firstLine="0"/>
          </w:pPr>
          <w:hyperlink w:history="1" w:anchor="_bookmark10">
            <w:r>
              <w:rPr>
                <w:spacing w:val="-2"/>
              </w:rPr>
              <w:t>Results</w:t>
            </w:r>
            <w:r>
              <w:tab/>
            </w:r>
            <w:r>
              <w:rPr>
                <w:spacing w:val="-5"/>
              </w:rPr>
              <w:t>xiv</w:t>
            </w:r>
          </w:hyperlink>
        </w:p>
        <w:p w:rsidR="00C31389" w:rsidRDefault="00561FBD" w14:paraId="6D9266F8" w14:textId="77777777">
          <w:pPr>
            <w:pStyle w:val="TOC4"/>
            <w:tabs>
              <w:tab w:val="right" w:leader="dot" w:pos="9841"/>
            </w:tabs>
            <w:ind w:left="1560" w:firstLine="0"/>
          </w:pPr>
          <w:hyperlink w:history="1" w:anchor="_bookmark13">
            <w:r>
              <w:t>Total</w:t>
            </w:r>
            <w:r>
              <w:rPr>
                <w:spacing w:val="-9"/>
              </w:rPr>
              <w:t xml:space="preserve"> </w:t>
            </w:r>
            <w:r>
              <w:t>Achievable</w:t>
            </w:r>
            <w:r>
              <w:rPr>
                <w:spacing w:val="-9"/>
              </w:rPr>
              <w:t xml:space="preserve"> </w:t>
            </w:r>
            <w:r>
              <w:rPr>
                <w:spacing w:val="-2"/>
              </w:rPr>
              <w:t>Potential</w:t>
            </w:r>
            <w:r>
              <w:tab/>
            </w:r>
            <w:r>
              <w:rPr>
                <w:spacing w:val="-5"/>
              </w:rPr>
              <w:t>xv</w:t>
            </w:r>
          </w:hyperlink>
        </w:p>
        <w:p w:rsidR="00C31389" w:rsidRDefault="00561FBD" w14:paraId="24851CCD" w14:textId="77777777">
          <w:pPr>
            <w:pStyle w:val="TOC4"/>
            <w:tabs>
              <w:tab w:val="right" w:leader="dot" w:pos="9841"/>
            </w:tabs>
            <w:spacing w:before="59"/>
            <w:ind w:left="1560" w:firstLine="0"/>
          </w:pPr>
          <w:hyperlink w:history="1" w:anchor="_bookmark16">
            <w:r>
              <w:t>C&amp;S</w:t>
            </w:r>
            <w:r>
              <w:rPr>
                <w:spacing w:val="-6"/>
              </w:rPr>
              <w:t xml:space="preserve"> </w:t>
            </w:r>
            <w:r>
              <w:rPr>
                <w:spacing w:val="-2"/>
              </w:rPr>
              <w:t>Savings</w:t>
            </w:r>
            <w:r>
              <w:tab/>
            </w:r>
            <w:r>
              <w:rPr>
                <w:spacing w:val="-2"/>
              </w:rPr>
              <w:t>xviii</w:t>
            </w:r>
          </w:hyperlink>
        </w:p>
        <w:p w:rsidR="00C31389" w:rsidRDefault="00561FBD" w14:paraId="21AE9CBF" w14:textId="77777777">
          <w:pPr>
            <w:pStyle w:val="TOC4"/>
            <w:tabs>
              <w:tab w:val="right" w:leader="dot" w:pos="9841"/>
            </w:tabs>
            <w:spacing w:before="61"/>
            <w:ind w:left="1560" w:firstLine="0"/>
          </w:pPr>
          <w:hyperlink w:history="1" w:anchor="_bookmark18">
            <w:r>
              <w:t>Low</w:t>
            </w:r>
            <w:r>
              <w:rPr>
                <w:spacing w:val="-8"/>
              </w:rPr>
              <w:t xml:space="preserve"> </w:t>
            </w:r>
            <w:r>
              <w:t>Income</w:t>
            </w:r>
            <w:r>
              <w:rPr>
                <w:spacing w:val="-6"/>
              </w:rPr>
              <w:t xml:space="preserve"> </w:t>
            </w:r>
            <w:r>
              <w:rPr>
                <w:spacing w:val="-2"/>
              </w:rPr>
              <w:t>Savings</w:t>
            </w:r>
            <w:r>
              <w:tab/>
            </w:r>
            <w:r>
              <w:rPr>
                <w:spacing w:val="-5"/>
              </w:rPr>
              <w:t>xix</w:t>
            </w:r>
          </w:hyperlink>
        </w:p>
        <w:p w:rsidR="00C31389" w:rsidRDefault="00561FBD" w14:paraId="42C00EAC" w14:textId="77777777">
          <w:pPr>
            <w:pStyle w:val="TOC1"/>
            <w:numPr>
              <w:ilvl w:val="0"/>
              <w:numId w:val="83"/>
            </w:numPr>
            <w:tabs>
              <w:tab w:val="left" w:pos="746"/>
              <w:tab w:val="right" w:leader="dot" w:pos="9830"/>
            </w:tabs>
            <w:spacing w:before="120"/>
            <w:ind w:left="746" w:hanging="266"/>
          </w:pPr>
          <w:hyperlink w:history="1" w:anchor="_bookmark21">
            <w:r>
              <w:rPr>
                <w:spacing w:val="-2"/>
              </w:rPr>
              <w:t>Introduction</w:t>
            </w:r>
            <w:r>
              <w:tab/>
            </w:r>
            <w:r>
              <w:rPr>
                <w:spacing w:val="-10"/>
              </w:rPr>
              <w:t>1</w:t>
            </w:r>
          </w:hyperlink>
        </w:p>
        <w:p w:rsidR="00C31389" w:rsidRDefault="00561FBD" w14:paraId="5CFFBAAB" w14:textId="77777777">
          <w:pPr>
            <w:pStyle w:val="TOC2"/>
            <w:numPr>
              <w:ilvl w:val="1"/>
              <w:numId w:val="83"/>
            </w:numPr>
            <w:tabs>
              <w:tab w:val="left" w:pos="1393"/>
              <w:tab w:val="right" w:leader="dot" w:pos="9825"/>
            </w:tabs>
            <w:spacing w:before="120"/>
            <w:ind w:left="1393" w:hanging="366"/>
          </w:pPr>
          <w:hyperlink w:history="1" w:anchor="_bookmark22">
            <w:r>
              <w:t>Context</w:t>
            </w:r>
            <w:r>
              <w:rPr>
                <w:spacing w:val="-6"/>
              </w:rPr>
              <w:t xml:space="preserve"> </w:t>
            </w:r>
            <w:r>
              <w:t>of</w:t>
            </w:r>
            <w:r>
              <w:rPr>
                <w:spacing w:val="-6"/>
              </w:rPr>
              <w:t xml:space="preserve"> </w:t>
            </w:r>
            <w:r>
              <w:t>the</w:t>
            </w:r>
            <w:r>
              <w:rPr>
                <w:spacing w:val="-5"/>
              </w:rPr>
              <w:t xml:space="preserve"> </w:t>
            </w:r>
            <w:r>
              <w:t>Potential</w:t>
            </w:r>
            <w:r>
              <w:rPr>
                <w:spacing w:val="-6"/>
              </w:rPr>
              <w:t xml:space="preserve"> </w:t>
            </w:r>
            <w:r>
              <w:t>and</w:t>
            </w:r>
            <w:r>
              <w:rPr>
                <w:spacing w:val="-5"/>
              </w:rPr>
              <w:t xml:space="preserve"> </w:t>
            </w:r>
            <w:r>
              <w:t>Goals</w:t>
            </w:r>
            <w:r>
              <w:rPr>
                <w:spacing w:val="-6"/>
              </w:rPr>
              <w:t xml:space="preserve"> </w:t>
            </w:r>
            <w:r>
              <w:rPr>
                <w:spacing w:val="-2"/>
              </w:rPr>
              <w:t>Study</w:t>
            </w:r>
            <w:r>
              <w:tab/>
            </w:r>
            <w:r>
              <w:rPr>
                <w:spacing w:val="-10"/>
              </w:rPr>
              <w:t>1</w:t>
            </w:r>
          </w:hyperlink>
        </w:p>
        <w:p w:rsidR="00C31389" w:rsidRDefault="00561FBD" w14:paraId="59A91852" w14:textId="77777777">
          <w:pPr>
            <w:pStyle w:val="TOC2"/>
            <w:numPr>
              <w:ilvl w:val="1"/>
              <w:numId w:val="83"/>
            </w:numPr>
            <w:tabs>
              <w:tab w:val="left" w:pos="1393"/>
              <w:tab w:val="right" w:leader="dot" w:pos="9825"/>
            </w:tabs>
            <w:ind w:left="1393" w:hanging="366"/>
          </w:pPr>
          <w:hyperlink w:history="1" w:anchor="_bookmark25">
            <w:r>
              <w:t>Types</w:t>
            </w:r>
            <w:r>
              <w:rPr>
                <w:spacing w:val="-4"/>
              </w:rPr>
              <w:t xml:space="preserve"> </w:t>
            </w:r>
            <w:r>
              <w:t>of</w:t>
            </w:r>
            <w:r>
              <w:rPr>
                <w:spacing w:val="-5"/>
              </w:rPr>
              <w:t xml:space="preserve"> </w:t>
            </w:r>
            <w:r>
              <w:rPr>
                <w:spacing w:val="-2"/>
              </w:rPr>
              <w:t>Potential</w:t>
            </w:r>
            <w:r>
              <w:tab/>
            </w:r>
            <w:r>
              <w:rPr>
                <w:spacing w:val="-10"/>
              </w:rPr>
              <w:t>2</w:t>
            </w:r>
          </w:hyperlink>
        </w:p>
        <w:p w:rsidR="00C31389" w:rsidRDefault="00561FBD" w14:paraId="4716F8B3" w14:textId="77777777">
          <w:pPr>
            <w:pStyle w:val="TOC2"/>
            <w:numPr>
              <w:ilvl w:val="1"/>
              <w:numId w:val="83"/>
            </w:numPr>
            <w:tabs>
              <w:tab w:val="left" w:pos="1393"/>
              <w:tab w:val="right" w:leader="dot" w:pos="9824"/>
            </w:tabs>
            <w:ind w:left="1393" w:hanging="366"/>
          </w:pPr>
          <w:hyperlink w:history="1" w:anchor="_bookmark30">
            <w:r>
              <w:t>Scope</w:t>
            </w:r>
            <w:r>
              <w:rPr>
                <w:spacing w:val="-5"/>
              </w:rPr>
              <w:t xml:space="preserve"> </w:t>
            </w:r>
            <w:r>
              <w:t>of</w:t>
            </w:r>
            <w:r>
              <w:rPr>
                <w:spacing w:val="-5"/>
              </w:rPr>
              <w:t xml:space="preserve"> </w:t>
            </w:r>
            <w:r>
              <w:t>This</w:t>
            </w:r>
            <w:r>
              <w:rPr>
                <w:spacing w:val="-5"/>
              </w:rPr>
              <w:t xml:space="preserve"> </w:t>
            </w:r>
            <w:r>
              <w:rPr>
                <w:spacing w:val="-2"/>
              </w:rPr>
              <w:t>Study</w:t>
            </w:r>
            <w:r>
              <w:tab/>
            </w:r>
            <w:r>
              <w:rPr>
                <w:spacing w:val="-10"/>
              </w:rPr>
              <w:t>4</w:t>
            </w:r>
          </w:hyperlink>
        </w:p>
        <w:p w:rsidR="00C31389" w:rsidRDefault="00561FBD" w14:paraId="574FCEFB" w14:textId="77777777">
          <w:pPr>
            <w:pStyle w:val="TOC2"/>
            <w:numPr>
              <w:ilvl w:val="1"/>
              <w:numId w:val="83"/>
            </w:numPr>
            <w:tabs>
              <w:tab w:val="left" w:pos="1392"/>
              <w:tab w:val="right" w:leader="dot" w:pos="9824"/>
            </w:tabs>
            <w:spacing w:before="61"/>
            <w:ind w:left="1392" w:hanging="366"/>
          </w:pPr>
          <w:hyperlink w:history="1" w:anchor="_bookmark32">
            <w:r>
              <w:t>Stakeholder</w:t>
            </w:r>
            <w:r>
              <w:rPr>
                <w:spacing w:val="-14"/>
              </w:rPr>
              <w:t xml:space="preserve"> </w:t>
            </w:r>
            <w:r>
              <w:rPr>
                <w:spacing w:val="-2"/>
              </w:rPr>
              <w:t>Engagement</w:t>
            </w:r>
            <w:r>
              <w:tab/>
            </w:r>
            <w:r>
              <w:rPr>
                <w:spacing w:val="-10"/>
              </w:rPr>
              <w:t>5</w:t>
            </w:r>
          </w:hyperlink>
        </w:p>
        <w:p w:rsidR="00C31389" w:rsidRDefault="00561FBD" w14:paraId="2BC458DD" w14:textId="77777777">
          <w:pPr>
            <w:pStyle w:val="TOC2"/>
            <w:numPr>
              <w:ilvl w:val="1"/>
              <w:numId w:val="83"/>
            </w:numPr>
            <w:tabs>
              <w:tab w:val="left" w:pos="1392"/>
              <w:tab w:val="right" w:leader="dot" w:pos="9824"/>
            </w:tabs>
            <w:spacing w:before="59"/>
            <w:ind w:left="1392" w:hanging="366"/>
          </w:pPr>
          <w:hyperlink w:history="1" w:anchor="_bookmark35">
            <w:r>
              <w:t>Contents</w:t>
            </w:r>
            <w:r>
              <w:rPr>
                <w:spacing w:val="-6"/>
              </w:rPr>
              <w:t xml:space="preserve"> </w:t>
            </w:r>
            <w:r>
              <w:t>of</w:t>
            </w:r>
            <w:r>
              <w:rPr>
                <w:spacing w:val="-5"/>
              </w:rPr>
              <w:t xml:space="preserve"> </w:t>
            </w:r>
            <w:r>
              <w:t>This</w:t>
            </w:r>
            <w:r>
              <w:rPr>
                <w:spacing w:val="-5"/>
              </w:rPr>
              <w:t xml:space="preserve"> </w:t>
            </w:r>
            <w:r>
              <w:rPr>
                <w:spacing w:val="-2"/>
              </w:rPr>
              <w:t>Report</w:t>
            </w:r>
            <w:r>
              <w:tab/>
            </w:r>
            <w:r>
              <w:rPr>
                <w:spacing w:val="-10"/>
              </w:rPr>
              <w:t>6</w:t>
            </w:r>
          </w:hyperlink>
        </w:p>
        <w:p w:rsidR="00C31389" w:rsidRDefault="00561FBD" w14:paraId="2691DC6B" w14:textId="77777777">
          <w:pPr>
            <w:pStyle w:val="TOC1"/>
            <w:numPr>
              <w:ilvl w:val="0"/>
              <w:numId w:val="83"/>
            </w:numPr>
            <w:tabs>
              <w:tab w:val="left" w:pos="745"/>
              <w:tab w:val="right" w:leader="dot" w:pos="9830"/>
            </w:tabs>
            <w:spacing w:before="120"/>
            <w:ind w:left="745" w:hanging="265"/>
          </w:pPr>
          <w:hyperlink w:history="1" w:anchor="_bookmark37">
            <w:r>
              <w:t>Study</w:t>
            </w:r>
            <w:r>
              <w:rPr>
                <w:spacing w:val="-3"/>
              </w:rPr>
              <w:t xml:space="preserve"> </w:t>
            </w:r>
            <w:r>
              <w:rPr>
                <w:spacing w:val="-2"/>
              </w:rPr>
              <w:t>Metho</w:t>
            </w:r>
            <w:r>
              <w:rPr>
                <w:spacing w:val="-2"/>
              </w:rPr>
              <w:t>dology</w:t>
            </w:r>
            <w:r>
              <w:tab/>
            </w:r>
            <w:r>
              <w:rPr>
                <w:spacing w:val="-10"/>
              </w:rPr>
              <w:t>7</w:t>
            </w:r>
          </w:hyperlink>
        </w:p>
        <w:p w:rsidR="00C31389" w:rsidRDefault="00561FBD" w14:paraId="44C1CF4F" w14:textId="77777777">
          <w:pPr>
            <w:pStyle w:val="TOC2"/>
            <w:numPr>
              <w:ilvl w:val="1"/>
              <w:numId w:val="83"/>
            </w:numPr>
            <w:tabs>
              <w:tab w:val="left" w:pos="1393"/>
              <w:tab w:val="right" w:leader="dot" w:pos="9825"/>
            </w:tabs>
            <w:spacing w:before="120"/>
            <w:ind w:left="1393" w:hanging="366"/>
          </w:pPr>
          <w:hyperlink w:history="1" w:anchor="_bookmark38">
            <w:r>
              <w:t>Modeling</w:t>
            </w:r>
            <w:r>
              <w:rPr>
                <w:spacing w:val="-10"/>
              </w:rPr>
              <w:t xml:space="preserve"> </w:t>
            </w:r>
            <w:r>
              <w:rPr>
                <w:spacing w:val="-2"/>
              </w:rPr>
              <w:t>Methods</w:t>
            </w:r>
            <w:r>
              <w:tab/>
            </w:r>
            <w:r>
              <w:rPr>
                <w:spacing w:val="-10"/>
              </w:rPr>
              <w:t>8</w:t>
            </w:r>
          </w:hyperlink>
        </w:p>
        <w:p w:rsidR="00C31389" w:rsidRDefault="00561FBD" w14:paraId="5A3AECC1" w14:textId="77777777">
          <w:pPr>
            <w:pStyle w:val="TOC4"/>
            <w:numPr>
              <w:ilvl w:val="2"/>
              <w:numId w:val="83"/>
            </w:numPr>
            <w:tabs>
              <w:tab w:val="left" w:pos="2109"/>
              <w:tab w:val="right" w:leader="dot" w:pos="9839"/>
            </w:tabs>
            <w:ind w:left="2109" w:hanging="549"/>
          </w:pPr>
          <w:hyperlink w:history="1" w:anchor="_bookmark40">
            <w:r>
              <w:t>Rebated</w:t>
            </w:r>
            <w:r>
              <w:rPr>
                <w:spacing w:val="-7"/>
              </w:rPr>
              <w:t xml:space="preserve"> </w:t>
            </w:r>
            <w:r>
              <w:t>EE</w:t>
            </w:r>
            <w:r>
              <w:rPr>
                <w:spacing w:val="-7"/>
              </w:rPr>
              <w:t xml:space="preserve"> </w:t>
            </w:r>
            <w:r>
              <w:rPr>
                <w:spacing w:val="-2"/>
              </w:rPr>
              <w:t>Technologies</w:t>
            </w:r>
            <w:r>
              <w:tab/>
            </w:r>
            <w:r>
              <w:rPr>
                <w:spacing w:val="-10"/>
              </w:rPr>
              <w:t>9</w:t>
            </w:r>
          </w:hyperlink>
        </w:p>
        <w:p w:rsidR="00C31389" w:rsidRDefault="00561FBD" w14:paraId="219986E6" w14:textId="77777777">
          <w:pPr>
            <w:pStyle w:val="TOC3"/>
            <w:numPr>
              <w:ilvl w:val="2"/>
              <w:numId w:val="83"/>
            </w:numPr>
            <w:tabs>
              <w:tab w:val="left" w:pos="2109"/>
              <w:tab w:val="right" w:leader="dot" w:pos="9840"/>
            </w:tabs>
            <w:ind w:left="2109" w:hanging="549"/>
          </w:pPr>
          <w:hyperlink w:history="1" w:anchor="_bookmark65">
            <w:r>
              <w:rPr>
                <w:spacing w:val="-5"/>
              </w:rPr>
              <w:t>FS</w:t>
            </w:r>
            <w:r>
              <w:tab/>
            </w:r>
            <w:r>
              <w:rPr>
                <w:spacing w:val="-5"/>
              </w:rPr>
              <w:t>21</w:t>
            </w:r>
          </w:hyperlink>
        </w:p>
        <w:p w:rsidR="00C31389" w:rsidRDefault="00561FBD" w14:paraId="19D8F6C8" w14:textId="77777777">
          <w:pPr>
            <w:pStyle w:val="TOC4"/>
            <w:numPr>
              <w:ilvl w:val="2"/>
              <w:numId w:val="83"/>
            </w:numPr>
            <w:tabs>
              <w:tab w:val="left" w:pos="2109"/>
              <w:tab w:val="right" w:leader="dot" w:pos="9840"/>
            </w:tabs>
            <w:ind w:left="2109" w:hanging="549"/>
          </w:pPr>
          <w:hyperlink w:history="1" w:anchor="_bookmark68">
            <w:r>
              <w:t>Whole</w:t>
            </w:r>
            <w:r>
              <w:rPr>
                <w:spacing w:val="-9"/>
              </w:rPr>
              <w:t xml:space="preserve"> </w:t>
            </w:r>
            <w:r>
              <w:t>Building</w:t>
            </w:r>
            <w:r>
              <w:rPr>
                <w:spacing w:val="-8"/>
              </w:rPr>
              <w:t xml:space="preserve"> </w:t>
            </w:r>
            <w:r>
              <w:rPr>
                <w:spacing w:val="-2"/>
              </w:rPr>
              <w:t>Packages</w:t>
            </w:r>
            <w:r>
              <w:tab/>
            </w:r>
            <w:r>
              <w:rPr>
                <w:spacing w:val="-5"/>
              </w:rPr>
              <w:t>24</w:t>
            </w:r>
          </w:hyperlink>
        </w:p>
        <w:p w:rsidR="00C31389" w:rsidRDefault="00561FBD" w14:paraId="3380063D" w14:textId="77777777">
          <w:pPr>
            <w:pStyle w:val="TOC4"/>
            <w:numPr>
              <w:ilvl w:val="2"/>
              <w:numId w:val="83"/>
            </w:numPr>
            <w:tabs>
              <w:tab w:val="left" w:pos="2109"/>
              <w:tab w:val="right" w:leader="dot" w:pos="9840"/>
            </w:tabs>
            <w:ind w:left="2109" w:hanging="549"/>
          </w:pPr>
          <w:hyperlink w:history="1" w:anchor="_bookmark69">
            <w:r>
              <w:t>Industrial</w:t>
            </w:r>
            <w:r>
              <w:rPr>
                <w:spacing w:val="-9"/>
              </w:rPr>
              <w:t xml:space="preserve"> </w:t>
            </w:r>
            <w:r>
              <w:t>and</w:t>
            </w:r>
            <w:r>
              <w:rPr>
                <w:spacing w:val="-9"/>
              </w:rPr>
              <w:t xml:space="preserve"> </w:t>
            </w:r>
            <w:r>
              <w:t>Agriculture</w:t>
            </w:r>
            <w:r>
              <w:rPr>
                <w:spacing w:val="-9"/>
              </w:rPr>
              <w:t xml:space="preserve"> </w:t>
            </w:r>
            <w:r>
              <w:t>Custom</w:t>
            </w:r>
            <w:r>
              <w:rPr>
                <w:spacing w:val="-10"/>
              </w:rPr>
              <w:t xml:space="preserve"> </w:t>
            </w:r>
            <w:r>
              <w:t>Measures</w:t>
            </w:r>
            <w:r>
              <w:rPr>
                <w:spacing w:val="-8"/>
              </w:rPr>
              <w:t xml:space="preserve"> </w:t>
            </w:r>
            <w:r>
              <w:t>and</w:t>
            </w:r>
            <w:r>
              <w:rPr>
                <w:spacing w:val="-9"/>
              </w:rPr>
              <w:t xml:space="preserve"> </w:t>
            </w:r>
            <w:r>
              <w:t>Emerging</w:t>
            </w:r>
            <w:r>
              <w:rPr>
                <w:spacing w:val="-9"/>
              </w:rPr>
              <w:t xml:space="preserve"> </w:t>
            </w:r>
            <w:r>
              <w:rPr>
                <w:spacing w:val="-2"/>
              </w:rPr>
              <w:t>Technologies</w:t>
            </w:r>
            <w:r>
              <w:tab/>
            </w:r>
            <w:r>
              <w:rPr>
                <w:spacing w:val="-5"/>
              </w:rPr>
              <w:t>24</w:t>
            </w:r>
          </w:hyperlink>
        </w:p>
        <w:p w:rsidR="00C31389" w:rsidRDefault="00561FBD" w14:paraId="517C12BF" w14:textId="77777777">
          <w:pPr>
            <w:pStyle w:val="TOC4"/>
            <w:numPr>
              <w:ilvl w:val="2"/>
              <w:numId w:val="83"/>
            </w:numPr>
            <w:tabs>
              <w:tab w:val="left" w:pos="2109"/>
              <w:tab w:val="right" w:leader="dot" w:pos="9840"/>
            </w:tabs>
            <w:ind w:left="2109" w:hanging="549"/>
          </w:pPr>
          <w:hyperlink w:history="1" w:anchor="_bookmark75">
            <w:r>
              <w:rPr>
                <w:spacing w:val="-4"/>
              </w:rPr>
              <w:t>BROs</w:t>
            </w:r>
            <w:r>
              <w:tab/>
            </w:r>
            <w:r>
              <w:rPr>
                <w:spacing w:val="-5"/>
              </w:rPr>
              <w:t>27</w:t>
            </w:r>
          </w:hyperlink>
        </w:p>
        <w:p w:rsidR="00C31389" w:rsidRDefault="00561FBD" w14:paraId="1FE81942" w14:textId="77777777">
          <w:pPr>
            <w:pStyle w:val="TOC3"/>
            <w:numPr>
              <w:ilvl w:val="2"/>
              <w:numId w:val="83"/>
            </w:numPr>
            <w:tabs>
              <w:tab w:val="left" w:pos="2109"/>
              <w:tab w:val="right" w:leader="dot" w:pos="9840"/>
            </w:tabs>
            <w:ind w:left="2109" w:hanging="549"/>
          </w:pPr>
          <w:hyperlink w:history="1" w:anchor="_bookmark80">
            <w:r>
              <w:rPr>
                <w:spacing w:val="-5"/>
              </w:rPr>
              <w:t>C&amp;S</w:t>
            </w:r>
            <w:r>
              <w:tab/>
            </w:r>
            <w:r>
              <w:rPr>
                <w:spacing w:val="-5"/>
              </w:rPr>
              <w:t>29</w:t>
            </w:r>
          </w:hyperlink>
        </w:p>
        <w:p w:rsidR="00C31389" w:rsidRDefault="00561FBD" w14:paraId="261DB3B9" w14:textId="77777777">
          <w:pPr>
            <w:pStyle w:val="TOC3"/>
            <w:numPr>
              <w:ilvl w:val="2"/>
              <w:numId w:val="83"/>
            </w:numPr>
            <w:tabs>
              <w:tab w:val="left" w:pos="2109"/>
              <w:tab w:val="right" w:leader="dot" w:pos="9840"/>
            </w:tabs>
            <w:ind w:left="2109" w:hanging="549"/>
          </w:pPr>
          <w:hyperlink w:history="1" w:anchor="_bookmark85">
            <w:r>
              <w:rPr>
                <w:spacing w:val="-5"/>
              </w:rPr>
              <w:t>IRA</w:t>
            </w:r>
            <w:r>
              <w:tab/>
            </w:r>
            <w:r>
              <w:rPr>
                <w:spacing w:val="-5"/>
              </w:rPr>
              <w:t>31</w:t>
            </w:r>
          </w:hyperlink>
        </w:p>
        <w:p w:rsidR="00C31389" w:rsidRDefault="00561FBD" w14:paraId="5C848344" w14:textId="77777777">
          <w:pPr>
            <w:pStyle w:val="TOC2"/>
            <w:numPr>
              <w:ilvl w:val="1"/>
              <w:numId w:val="83"/>
            </w:numPr>
            <w:tabs>
              <w:tab w:val="left" w:pos="1393"/>
              <w:tab w:val="right" w:leader="dot" w:pos="9825"/>
            </w:tabs>
            <w:ind w:left="1393" w:hanging="366"/>
          </w:pPr>
          <w:hyperlink w:history="1" w:anchor="_bookmark88">
            <w:r>
              <w:t>Calibrating</w:t>
            </w:r>
            <w:r>
              <w:rPr>
                <w:spacing w:val="-10"/>
              </w:rPr>
              <w:t xml:space="preserve"> </w:t>
            </w:r>
            <w:r>
              <w:t>Rebated</w:t>
            </w:r>
            <w:r>
              <w:rPr>
                <w:spacing w:val="-9"/>
              </w:rPr>
              <w:t xml:space="preserve"> </w:t>
            </w:r>
            <w:r>
              <w:t>Technologies</w:t>
            </w:r>
            <w:r>
              <w:rPr>
                <w:spacing w:val="-9"/>
              </w:rPr>
              <w:t xml:space="preserve"> </w:t>
            </w:r>
            <w:r>
              <w:t>and</w:t>
            </w:r>
            <w:r>
              <w:rPr>
                <w:spacing w:val="-9"/>
              </w:rPr>
              <w:t xml:space="preserve"> </w:t>
            </w:r>
            <w:r>
              <w:t>Whole</w:t>
            </w:r>
            <w:r>
              <w:rPr>
                <w:spacing w:val="-10"/>
              </w:rPr>
              <w:t xml:space="preserve"> </w:t>
            </w:r>
            <w:r>
              <w:t>Building</w:t>
            </w:r>
            <w:r>
              <w:rPr>
                <w:spacing w:val="-9"/>
              </w:rPr>
              <w:t xml:space="preserve"> </w:t>
            </w:r>
            <w:r>
              <w:rPr>
                <w:spacing w:val="-2"/>
              </w:rPr>
              <w:t>Approaches</w:t>
            </w:r>
            <w:r>
              <w:tab/>
            </w:r>
            <w:r>
              <w:rPr>
                <w:spacing w:val="-5"/>
              </w:rPr>
              <w:t>32</w:t>
            </w:r>
          </w:hyperlink>
        </w:p>
        <w:p w:rsidR="00C31389" w:rsidRDefault="00561FBD" w14:paraId="62ACB758" w14:textId="77777777">
          <w:pPr>
            <w:pStyle w:val="TOC2"/>
            <w:numPr>
              <w:ilvl w:val="1"/>
              <w:numId w:val="83"/>
            </w:numPr>
            <w:tabs>
              <w:tab w:val="left" w:pos="1393"/>
              <w:tab w:val="right" w:leader="dot" w:pos="9825"/>
            </w:tabs>
            <w:spacing w:before="59"/>
            <w:ind w:left="1393" w:hanging="366"/>
          </w:pPr>
          <w:hyperlink w:history="1" w:anchor="_bookmark89">
            <w:r>
              <w:rPr>
                <w:spacing w:val="-2"/>
              </w:rPr>
              <w:t>Scenarios</w:t>
            </w:r>
            <w:r>
              <w:tab/>
            </w:r>
            <w:r>
              <w:rPr>
                <w:spacing w:val="-5"/>
              </w:rPr>
              <w:t>33</w:t>
            </w:r>
          </w:hyperlink>
        </w:p>
        <w:p w:rsidR="00C31389" w:rsidRDefault="00561FBD" w14:paraId="17029D89" w14:textId="77777777">
          <w:pPr>
            <w:pStyle w:val="TOC1"/>
            <w:numPr>
              <w:ilvl w:val="0"/>
              <w:numId w:val="83"/>
            </w:numPr>
            <w:tabs>
              <w:tab w:val="left" w:pos="746"/>
              <w:tab w:val="right" w:leader="dot" w:pos="9830"/>
            </w:tabs>
            <w:ind w:left="746" w:hanging="266"/>
          </w:pPr>
          <w:hyperlink w:history="1" w:anchor="_bookmark95">
            <w:r>
              <w:t>Data</w:t>
            </w:r>
            <w:r>
              <w:rPr>
                <w:spacing w:val="-2"/>
              </w:rPr>
              <w:t xml:space="preserve"> Sources</w:t>
            </w:r>
            <w:r>
              <w:tab/>
            </w:r>
            <w:r>
              <w:rPr>
                <w:spacing w:val="-5"/>
              </w:rPr>
              <w:t>37</w:t>
            </w:r>
          </w:hyperlink>
        </w:p>
        <w:p w:rsidR="00C31389" w:rsidRDefault="00561FBD" w14:paraId="5A626031" w14:textId="77777777">
          <w:pPr>
            <w:pStyle w:val="TOC2"/>
            <w:numPr>
              <w:ilvl w:val="1"/>
              <w:numId w:val="83"/>
            </w:numPr>
            <w:tabs>
              <w:tab w:val="left" w:pos="1393"/>
              <w:tab w:val="right" w:leader="dot" w:pos="9825"/>
            </w:tabs>
            <w:spacing w:before="120"/>
            <w:ind w:left="1393" w:hanging="366"/>
          </w:pPr>
          <w:hyperlink w:history="1" w:anchor="_bookmark96">
            <w:r>
              <w:t>Global</w:t>
            </w:r>
            <w:r>
              <w:rPr>
                <w:spacing w:val="-8"/>
              </w:rPr>
              <w:t xml:space="preserve"> </w:t>
            </w:r>
            <w:r>
              <w:rPr>
                <w:spacing w:val="-2"/>
              </w:rPr>
              <w:t>Inputs</w:t>
            </w:r>
            <w:r>
              <w:tab/>
            </w:r>
            <w:r>
              <w:rPr>
                <w:spacing w:val="-5"/>
              </w:rPr>
              <w:t>37</w:t>
            </w:r>
          </w:hyperlink>
        </w:p>
        <w:p w:rsidR="00C31389" w:rsidRDefault="00561FBD" w14:paraId="0B112653" w14:textId="77777777">
          <w:pPr>
            <w:pStyle w:val="TOC4"/>
            <w:numPr>
              <w:ilvl w:val="2"/>
              <w:numId w:val="83"/>
            </w:numPr>
            <w:tabs>
              <w:tab w:val="left" w:pos="2109"/>
              <w:tab w:val="right" w:leader="dot" w:pos="9839"/>
            </w:tabs>
            <w:ind w:left="2109" w:hanging="549"/>
          </w:pPr>
          <w:hyperlink w:history="1" w:anchor="_bookmark98">
            <w:r>
              <w:t>Retail</w:t>
            </w:r>
            <w:r>
              <w:rPr>
                <w:spacing w:val="-11"/>
              </w:rPr>
              <w:t xml:space="preserve"> </w:t>
            </w:r>
            <w:r>
              <w:t>Rates</w:t>
            </w:r>
            <w:r>
              <w:rPr>
                <w:spacing w:val="-8"/>
              </w:rPr>
              <w:t xml:space="preserve"> </w:t>
            </w:r>
            <w:r>
              <w:t>and</w:t>
            </w:r>
            <w:r>
              <w:rPr>
                <w:spacing w:val="-8"/>
              </w:rPr>
              <w:t xml:space="preserve"> </w:t>
            </w:r>
            <w:r>
              <w:t>Consumption</w:t>
            </w:r>
            <w:r>
              <w:rPr>
                <w:spacing w:val="-8"/>
              </w:rPr>
              <w:t xml:space="preserve"> </w:t>
            </w:r>
            <w:r>
              <w:rPr>
                <w:spacing w:val="-2"/>
              </w:rPr>
              <w:t>Forecasts</w:t>
            </w:r>
            <w:r>
              <w:tab/>
            </w:r>
            <w:r>
              <w:rPr>
                <w:spacing w:val="-5"/>
              </w:rPr>
              <w:t>37</w:t>
            </w:r>
          </w:hyperlink>
        </w:p>
        <w:p w:rsidR="00C31389" w:rsidRDefault="00561FBD" w14:paraId="2BF7EE8F" w14:textId="77777777">
          <w:pPr>
            <w:pStyle w:val="TOC4"/>
            <w:numPr>
              <w:ilvl w:val="2"/>
              <w:numId w:val="83"/>
            </w:numPr>
            <w:tabs>
              <w:tab w:val="left" w:pos="2109"/>
              <w:tab w:val="right" w:leader="dot" w:pos="9839"/>
            </w:tabs>
            <w:ind w:left="2109" w:hanging="549"/>
          </w:pPr>
          <w:hyperlink w:history="1" w:anchor="_bookmark104">
            <w:r>
              <w:t>Building</w:t>
            </w:r>
            <w:r>
              <w:rPr>
                <w:spacing w:val="-10"/>
              </w:rPr>
              <w:t xml:space="preserve"> </w:t>
            </w:r>
            <w:r>
              <w:rPr>
                <w:spacing w:val="-2"/>
              </w:rPr>
              <w:t>Stocks</w:t>
            </w:r>
            <w:r>
              <w:tab/>
            </w:r>
            <w:r>
              <w:rPr>
                <w:spacing w:val="-5"/>
              </w:rPr>
              <w:t>39</w:t>
            </w:r>
          </w:hyperlink>
        </w:p>
        <w:p w:rsidR="00C31389" w:rsidRDefault="00561FBD" w14:paraId="6187A476" w14:textId="77777777">
          <w:pPr>
            <w:pStyle w:val="TOC4"/>
            <w:numPr>
              <w:ilvl w:val="2"/>
              <w:numId w:val="83"/>
            </w:numPr>
            <w:tabs>
              <w:tab w:val="left" w:pos="2109"/>
              <w:tab w:val="right" w:leader="dot" w:pos="9839"/>
            </w:tabs>
            <w:ind w:left="2109" w:hanging="549"/>
          </w:pPr>
          <w:hyperlink w:history="1" w:anchor="_bookmark106">
            <w:r>
              <w:t>Historical</w:t>
            </w:r>
            <w:r>
              <w:rPr>
                <w:spacing w:val="-10"/>
              </w:rPr>
              <w:t xml:space="preserve"> </w:t>
            </w:r>
            <w:r>
              <w:t>Rebat</w:t>
            </w:r>
            <w:r>
              <w:t>e</w:t>
            </w:r>
            <w:r>
              <w:rPr>
                <w:spacing w:val="-11"/>
              </w:rPr>
              <w:t xml:space="preserve"> </w:t>
            </w:r>
            <w:r>
              <w:t>Program</w:t>
            </w:r>
            <w:r>
              <w:rPr>
                <w:spacing w:val="-10"/>
              </w:rPr>
              <w:t xml:space="preserve"> </w:t>
            </w:r>
            <w:r>
              <w:rPr>
                <w:spacing w:val="-2"/>
              </w:rPr>
              <w:t>Activity</w:t>
            </w:r>
            <w:r>
              <w:tab/>
            </w:r>
            <w:r>
              <w:rPr>
                <w:spacing w:val="-5"/>
              </w:rPr>
              <w:t>40</w:t>
            </w:r>
          </w:hyperlink>
        </w:p>
        <w:p w:rsidR="00C31389" w:rsidRDefault="00561FBD" w14:paraId="2BBD2BC5" w14:textId="77777777">
          <w:pPr>
            <w:pStyle w:val="TOC4"/>
            <w:numPr>
              <w:ilvl w:val="2"/>
              <w:numId w:val="83"/>
            </w:numPr>
            <w:tabs>
              <w:tab w:val="left" w:pos="2109"/>
              <w:tab w:val="right" w:leader="dot" w:pos="9839"/>
            </w:tabs>
            <w:ind w:left="2109" w:hanging="549"/>
          </w:pPr>
          <w:hyperlink w:history="1" w:anchor="_bookmark111">
            <w:r>
              <w:t>Non-Incentive</w:t>
            </w:r>
            <w:r>
              <w:rPr>
                <w:spacing w:val="-15"/>
              </w:rPr>
              <w:t xml:space="preserve"> </w:t>
            </w:r>
            <w:r>
              <w:t>Program</w:t>
            </w:r>
            <w:r>
              <w:rPr>
                <w:spacing w:val="-13"/>
              </w:rPr>
              <w:t xml:space="preserve"> </w:t>
            </w:r>
            <w:r>
              <w:rPr>
                <w:spacing w:val="-2"/>
              </w:rPr>
              <w:t>Costs</w:t>
            </w:r>
            <w:r>
              <w:tab/>
            </w:r>
            <w:r>
              <w:rPr>
                <w:spacing w:val="-5"/>
              </w:rPr>
              <w:t>42</w:t>
            </w:r>
          </w:hyperlink>
        </w:p>
        <w:p w:rsidR="00C31389" w:rsidRDefault="00561FBD" w14:paraId="1344E36F" w14:textId="77777777">
          <w:pPr>
            <w:pStyle w:val="TOC4"/>
            <w:numPr>
              <w:ilvl w:val="2"/>
              <w:numId w:val="83"/>
            </w:numPr>
            <w:tabs>
              <w:tab w:val="left" w:pos="2109"/>
              <w:tab w:val="right" w:leader="dot" w:pos="9839"/>
            </w:tabs>
            <w:ind w:left="2109" w:hanging="549"/>
          </w:pPr>
          <w:hyperlink w:history="1" w:anchor="_bookmark113">
            <w:r>
              <w:t>Avoided</w:t>
            </w:r>
            <w:r>
              <w:rPr>
                <w:spacing w:val="-10"/>
              </w:rPr>
              <w:t xml:space="preserve"> </w:t>
            </w:r>
            <w:r>
              <w:rPr>
                <w:spacing w:val="-2"/>
              </w:rPr>
              <w:t>Costs</w:t>
            </w:r>
            <w:r>
              <w:tab/>
            </w:r>
            <w:r>
              <w:rPr>
                <w:spacing w:val="-5"/>
              </w:rPr>
              <w:t>42</w:t>
            </w:r>
          </w:hyperlink>
        </w:p>
        <w:p w:rsidR="00C31389" w:rsidRDefault="00561FBD" w14:paraId="54D5DC02" w14:textId="77777777">
          <w:pPr>
            <w:pStyle w:val="TOC2"/>
            <w:numPr>
              <w:ilvl w:val="1"/>
              <w:numId w:val="83"/>
            </w:numPr>
            <w:tabs>
              <w:tab w:val="left" w:pos="1393"/>
              <w:tab w:val="right" w:leader="dot" w:pos="9825"/>
            </w:tabs>
            <w:ind w:left="1393" w:hanging="366"/>
          </w:pPr>
          <w:hyperlink w:history="1" w:anchor="_bookmark114">
            <w:r>
              <w:t>Residential</w:t>
            </w:r>
            <w:r>
              <w:rPr>
                <w:spacing w:val="-11"/>
              </w:rPr>
              <w:t xml:space="preserve"> </w:t>
            </w:r>
            <w:r>
              <w:t>and</w:t>
            </w:r>
            <w:r>
              <w:rPr>
                <w:spacing w:val="-11"/>
              </w:rPr>
              <w:t xml:space="preserve"> </w:t>
            </w:r>
            <w:r>
              <w:t>Commercial</w:t>
            </w:r>
            <w:r>
              <w:rPr>
                <w:spacing w:val="-11"/>
              </w:rPr>
              <w:t xml:space="preserve"> </w:t>
            </w:r>
            <w:r>
              <w:t>Technology</w:t>
            </w:r>
            <w:r>
              <w:rPr>
                <w:spacing w:val="-11"/>
              </w:rPr>
              <w:t xml:space="preserve"> </w:t>
            </w:r>
            <w:r>
              <w:rPr>
                <w:spacing w:val="-2"/>
              </w:rPr>
              <w:t>Characterization</w:t>
            </w:r>
            <w:r>
              <w:tab/>
            </w:r>
            <w:r>
              <w:rPr>
                <w:spacing w:val="-5"/>
              </w:rPr>
              <w:t>43</w:t>
            </w:r>
          </w:hyperlink>
        </w:p>
        <w:p w:rsidR="00C31389" w:rsidRDefault="00561FBD" w14:paraId="2B662BE5" w14:textId="77777777">
          <w:pPr>
            <w:pStyle w:val="TOC4"/>
            <w:numPr>
              <w:ilvl w:val="2"/>
              <w:numId w:val="83"/>
            </w:numPr>
            <w:tabs>
              <w:tab w:val="left" w:pos="2108"/>
              <w:tab w:val="right" w:leader="dot" w:pos="9839"/>
            </w:tabs>
            <w:ind w:left="2108" w:hanging="549"/>
          </w:pPr>
          <w:hyperlink w:history="1" w:anchor="_bookmark115">
            <w:r>
              <w:t>Technology</w:t>
            </w:r>
            <w:r>
              <w:rPr>
                <w:spacing w:val="-12"/>
              </w:rPr>
              <w:t xml:space="preserve"> </w:t>
            </w:r>
            <w:r>
              <w:t>Selection</w:t>
            </w:r>
            <w:r>
              <w:rPr>
                <w:spacing w:val="-12"/>
              </w:rPr>
              <w:t xml:space="preserve"> </w:t>
            </w:r>
            <w:r>
              <w:rPr>
                <w:spacing w:val="-2"/>
              </w:rPr>
              <w:t>Process</w:t>
            </w:r>
            <w:r>
              <w:tab/>
            </w:r>
            <w:r>
              <w:rPr>
                <w:spacing w:val="-5"/>
              </w:rPr>
              <w:t>43</w:t>
            </w:r>
          </w:hyperlink>
        </w:p>
        <w:p w:rsidR="00C31389" w:rsidRDefault="00561FBD" w14:paraId="09AEAAA4" w14:textId="77777777">
          <w:pPr>
            <w:pStyle w:val="TOC5"/>
            <w:numPr>
              <w:ilvl w:val="3"/>
              <w:numId w:val="83"/>
            </w:numPr>
            <w:tabs>
              <w:tab w:val="left" w:pos="2291"/>
              <w:tab w:val="right" w:leader="dot" w:pos="9839"/>
            </w:tabs>
            <w:ind w:left="2291" w:hanging="732"/>
            <w:rPr>
              <w:i w:val="0"/>
            </w:rPr>
          </w:pPr>
          <w:hyperlink w:history="1" w:anchor="_bookmark118">
            <w:r>
              <w:t>FS</w:t>
            </w:r>
            <w:r>
              <w:rPr>
                <w:spacing w:val="-3"/>
              </w:rPr>
              <w:t xml:space="preserve"> </w:t>
            </w:r>
            <w:r>
              <w:rPr>
                <w:spacing w:val="-2"/>
              </w:rPr>
              <w:t>Considerations</w:t>
            </w:r>
            <w:r>
              <w:tab/>
            </w:r>
            <w:r>
              <w:rPr>
                <w:i w:val="0"/>
                <w:spacing w:val="-5"/>
              </w:rPr>
              <w:t>46</w:t>
            </w:r>
          </w:hyperlink>
        </w:p>
        <w:p w:rsidR="00C31389" w:rsidRDefault="00561FBD" w14:paraId="0CD4FCC5" w14:textId="77777777">
          <w:pPr>
            <w:pStyle w:val="TOC4"/>
            <w:numPr>
              <w:ilvl w:val="2"/>
              <w:numId w:val="83"/>
            </w:numPr>
            <w:tabs>
              <w:tab w:val="left" w:pos="2109"/>
              <w:tab w:val="right" w:leader="dot" w:pos="9839"/>
            </w:tabs>
            <w:spacing w:before="253"/>
            <w:ind w:left="2109" w:hanging="549"/>
          </w:pPr>
          <w:hyperlink w:history="1" w:anchor="_bookmark124">
            <w:r>
              <w:t>Technology</w:t>
            </w:r>
            <w:r>
              <w:rPr>
                <w:spacing w:val="-12"/>
              </w:rPr>
              <w:t xml:space="preserve"> </w:t>
            </w:r>
            <w:r>
              <w:rPr>
                <w:spacing w:val="-2"/>
              </w:rPr>
              <w:t>Characterization</w:t>
            </w:r>
            <w:r>
              <w:tab/>
            </w:r>
            <w:r>
              <w:rPr>
                <w:spacing w:val="-5"/>
              </w:rPr>
              <w:t>48</w:t>
            </w:r>
          </w:hyperlink>
        </w:p>
        <w:p w:rsidR="00C31389" w:rsidRDefault="00561FBD" w14:paraId="61F1C4F7" w14:textId="77777777">
          <w:pPr>
            <w:pStyle w:val="TOC4"/>
            <w:numPr>
              <w:ilvl w:val="2"/>
              <w:numId w:val="83"/>
            </w:numPr>
            <w:tabs>
              <w:tab w:val="left" w:pos="2108"/>
              <w:tab w:val="right" w:leader="dot" w:pos="9839"/>
            </w:tabs>
            <w:ind w:left="2108" w:hanging="549"/>
          </w:pPr>
          <w:hyperlink w:history="1" w:anchor="_bookmark133">
            <w:r>
              <w:t>Data</w:t>
            </w:r>
            <w:r>
              <w:rPr>
                <w:spacing w:val="-6"/>
              </w:rPr>
              <w:t xml:space="preserve"> </w:t>
            </w:r>
            <w:r>
              <w:rPr>
                <w:spacing w:val="-2"/>
              </w:rPr>
              <w:t>Sources</w:t>
            </w:r>
            <w:r>
              <w:tab/>
            </w:r>
            <w:r>
              <w:rPr>
                <w:spacing w:val="-5"/>
              </w:rPr>
              <w:t>53</w:t>
            </w:r>
          </w:hyperlink>
        </w:p>
        <w:p w:rsidR="00C31389" w:rsidRDefault="00561FBD" w14:paraId="131E28CD" w14:textId="77777777">
          <w:pPr>
            <w:pStyle w:val="TOC4"/>
            <w:numPr>
              <w:ilvl w:val="2"/>
              <w:numId w:val="83"/>
            </w:numPr>
            <w:tabs>
              <w:tab w:val="left" w:pos="2108"/>
              <w:tab w:val="right" w:leader="dot" w:pos="9839"/>
            </w:tabs>
            <w:ind w:left="2108" w:hanging="549"/>
          </w:pPr>
          <w:hyperlink w:history="1" w:anchor="_bookmark137">
            <w:r>
              <w:t>Measure</w:t>
            </w:r>
            <w:r>
              <w:rPr>
                <w:spacing w:val="-14"/>
              </w:rPr>
              <w:t xml:space="preserve"> </w:t>
            </w:r>
            <w:r>
              <w:t>Characterization</w:t>
            </w:r>
            <w:r>
              <w:rPr>
                <w:spacing w:val="-13"/>
              </w:rPr>
              <w:t xml:space="preserve"> </w:t>
            </w:r>
            <w:r>
              <w:rPr>
                <w:spacing w:val="-2"/>
              </w:rPr>
              <w:t>Workbook</w:t>
            </w:r>
            <w:r>
              <w:tab/>
            </w:r>
            <w:r>
              <w:rPr>
                <w:spacing w:val="-5"/>
              </w:rPr>
              <w:t>55</w:t>
            </w:r>
          </w:hyperlink>
        </w:p>
        <w:p w:rsidR="00C31389" w:rsidRDefault="00561FBD" w14:paraId="070FF7A0" w14:textId="77777777">
          <w:pPr>
            <w:pStyle w:val="TOC2"/>
            <w:numPr>
              <w:ilvl w:val="1"/>
              <w:numId w:val="83"/>
            </w:numPr>
            <w:tabs>
              <w:tab w:val="left" w:pos="1393"/>
              <w:tab w:val="right" w:leader="dot" w:pos="9825"/>
            </w:tabs>
            <w:spacing w:before="59"/>
            <w:ind w:left="1393" w:hanging="366"/>
          </w:pPr>
          <w:hyperlink w:history="1" w:anchor="_bookmark138">
            <w:r>
              <w:t>Market</w:t>
            </w:r>
            <w:r>
              <w:rPr>
                <w:spacing w:val="-9"/>
              </w:rPr>
              <w:t xml:space="preserve"> </w:t>
            </w:r>
            <w:r>
              <w:t>Adoption</w:t>
            </w:r>
            <w:r>
              <w:rPr>
                <w:spacing w:val="-9"/>
              </w:rPr>
              <w:t xml:space="preserve"> </w:t>
            </w:r>
            <w:r>
              <w:rPr>
                <w:spacing w:val="-2"/>
              </w:rPr>
              <w:t>Characteristics</w:t>
            </w:r>
            <w:r>
              <w:tab/>
            </w:r>
            <w:r>
              <w:rPr>
                <w:spacing w:val="-5"/>
              </w:rPr>
              <w:t>55</w:t>
            </w:r>
          </w:hyperlink>
        </w:p>
        <w:p w:rsidR="00C31389" w:rsidRDefault="00561FBD" w14:paraId="0A9B5C9E" w14:textId="77777777">
          <w:pPr>
            <w:pStyle w:val="TOC4"/>
            <w:numPr>
              <w:ilvl w:val="2"/>
              <w:numId w:val="83"/>
            </w:numPr>
            <w:tabs>
              <w:tab w:val="left" w:pos="2108"/>
              <w:tab w:val="right" w:leader="dot" w:pos="9839"/>
            </w:tabs>
            <w:spacing w:before="61"/>
            <w:ind w:left="2108" w:hanging="549"/>
          </w:pPr>
          <w:hyperlink w:history="1" w:anchor="_bookmark144">
            <w:r>
              <w:t>Impacts</w:t>
            </w:r>
            <w:r>
              <w:rPr>
                <w:spacing w:val="-8"/>
              </w:rPr>
              <w:t xml:space="preserve"> </w:t>
            </w:r>
            <w:r>
              <w:t>of</w:t>
            </w:r>
            <w:r>
              <w:rPr>
                <w:spacing w:val="-7"/>
              </w:rPr>
              <w:t xml:space="preserve"> </w:t>
            </w:r>
            <w:r>
              <w:t>the</w:t>
            </w:r>
            <w:r>
              <w:rPr>
                <w:spacing w:val="-7"/>
              </w:rPr>
              <w:t xml:space="preserve"> </w:t>
            </w:r>
            <w:r>
              <w:t>Multi-Attribute</w:t>
            </w:r>
            <w:r>
              <w:rPr>
                <w:spacing w:val="-7"/>
              </w:rPr>
              <w:t xml:space="preserve"> </w:t>
            </w:r>
            <w:r>
              <w:rPr>
                <w:spacing w:val="-2"/>
              </w:rPr>
              <w:t>Analysis</w:t>
            </w:r>
            <w:r>
              <w:tab/>
            </w:r>
            <w:r>
              <w:rPr>
                <w:spacing w:val="-5"/>
              </w:rPr>
              <w:t>57</w:t>
            </w:r>
          </w:hyperlink>
        </w:p>
        <w:p w:rsidR="00C31389" w:rsidRDefault="00561FBD" w14:paraId="053CC250" w14:textId="77777777">
          <w:pPr>
            <w:pStyle w:val="TOC2"/>
            <w:numPr>
              <w:ilvl w:val="1"/>
              <w:numId w:val="83"/>
            </w:numPr>
            <w:tabs>
              <w:tab w:val="left" w:pos="1393"/>
              <w:tab w:val="right" w:leader="dot" w:pos="9825"/>
            </w:tabs>
            <w:ind w:left="1393" w:hanging="366"/>
          </w:pPr>
          <w:hyperlink w:history="1" w:anchor="_bookmark148">
            <w:r>
              <w:t>Whole</w:t>
            </w:r>
            <w:r>
              <w:rPr>
                <w:spacing w:val="-8"/>
              </w:rPr>
              <w:t xml:space="preserve"> </w:t>
            </w:r>
            <w:r>
              <w:t>Building</w:t>
            </w:r>
            <w:r>
              <w:rPr>
                <w:spacing w:val="-8"/>
              </w:rPr>
              <w:t xml:space="preserve"> </w:t>
            </w:r>
            <w:r>
              <w:rPr>
                <w:spacing w:val="-2"/>
              </w:rPr>
              <w:t>Initiatives</w:t>
            </w:r>
            <w:r>
              <w:tab/>
            </w:r>
            <w:r>
              <w:rPr>
                <w:spacing w:val="-5"/>
              </w:rPr>
              <w:t>60</w:t>
            </w:r>
          </w:hyperlink>
        </w:p>
        <w:p w:rsidR="00C31389" w:rsidRDefault="00561FBD" w14:paraId="06F73149" w14:textId="77777777">
          <w:pPr>
            <w:pStyle w:val="TOC4"/>
            <w:numPr>
              <w:ilvl w:val="2"/>
              <w:numId w:val="83"/>
            </w:numPr>
            <w:tabs>
              <w:tab w:val="left" w:pos="2108"/>
              <w:tab w:val="right" w:leader="dot" w:pos="9839"/>
            </w:tabs>
            <w:ind w:left="2108" w:hanging="549"/>
          </w:pPr>
          <w:hyperlink w:history="1" w:anchor="_bookmark150">
            <w:r>
              <w:t>New</w:t>
            </w:r>
            <w:r>
              <w:rPr>
                <w:spacing w:val="-7"/>
              </w:rPr>
              <w:t xml:space="preserve"> </w:t>
            </w:r>
            <w:r>
              <w:rPr>
                <w:spacing w:val="-2"/>
              </w:rPr>
              <w:t>Construction</w:t>
            </w:r>
            <w:r>
              <w:tab/>
            </w:r>
            <w:r>
              <w:rPr>
                <w:spacing w:val="-5"/>
              </w:rPr>
              <w:t>60</w:t>
            </w:r>
          </w:hyperlink>
        </w:p>
        <w:p w:rsidR="00C31389" w:rsidRDefault="00561FBD" w14:paraId="542A762A" w14:textId="77777777">
          <w:pPr>
            <w:pStyle w:val="TOC4"/>
            <w:numPr>
              <w:ilvl w:val="2"/>
              <w:numId w:val="83"/>
            </w:numPr>
            <w:tabs>
              <w:tab w:val="left" w:pos="2108"/>
              <w:tab w:val="right" w:leader="dot" w:pos="9839"/>
            </w:tabs>
            <w:ind w:left="2108" w:hanging="549"/>
          </w:pPr>
          <w:hyperlink w:history="1" w:anchor="_bookmark153">
            <w:r>
              <w:rPr>
                <w:spacing w:val="-2"/>
              </w:rPr>
              <w:t>Retrofit</w:t>
            </w:r>
            <w:r>
              <w:tab/>
            </w:r>
            <w:r>
              <w:rPr>
                <w:spacing w:val="-5"/>
              </w:rPr>
              <w:t>61</w:t>
            </w:r>
          </w:hyperlink>
        </w:p>
        <w:p w:rsidR="00C31389" w:rsidRDefault="00561FBD" w14:paraId="7C040F62" w14:textId="77777777">
          <w:pPr>
            <w:pStyle w:val="TOC2"/>
            <w:numPr>
              <w:ilvl w:val="1"/>
              <w:numId w:val="83"/>
            </w:numPr>
            <w:tabs>
              <w:tab w:val="left" w:pos="1393"/>
              <w:tab w:val="right" w:leader="dot" w:pos="9824"/>
            </w:tabs>
            <w:spacing w:before="59"/>
            <w:ind w:left="1393" w:hanging="366"/>
          </w:pPr>
          <w:hyperlink w:history="1" w:anchor="_bookmark156">
            <w:r>
              <w:t>Agriculture</w:t>
            </w:r>
            <w:r>
              <w:rPr>
                <w:spacing w:val="-10"/>
              </w:rPr>
              <w:t xml:space="preserve"> </w:t>
            </w:r>
            <w:r>
              <w:t>and</w:t>
            </w:r>
            <w:r>
              <w:rPr>
                <w:spacing w:val="-10"/>
              </w:rPr>
              <w:t xml:space="preserve"> </w:t>
            </w:r>
            <w:r>
              <w:t>Industrial</w:t>
            </w:r>
            <w:r>
              <w:rPr>
                <w:spacing w:val="-9"/>
              </w:rPr>
              <w:t xml:space="preserve"> </w:t>
            </w:r>
            <w:r>
              <w:t>Technology</w:t>
            </w:r>
            <w:r>
              <w:rPr>
                <w:spacing w:val="-10"/>
              </w:rPr>
              <w:t xml:space="preserve"> </w:t>
            </w:r>
            <w:r>
              <w:rPr>
                <w:spacing w:val="-2"/>
              </w:rPr>
              <w:t>Characterization</w:t>
            </w:r>
            <w:r>
              <w:tab/>
            </w:r>
            <w:r>
              <w:rPr>
                <w:spacing w:val="-5"/>
              </w:rPr>
              <w:t>62</w:t>
            </w:r>
          </w:hyperlink>
        </w:p>
        <w:p w:rsidR="00C31389" w:rsidRDefault="00561FBD" w14:paraId="42CF128B" w14:textId="77777777">
          <w:pPr>
            <w:pStyle w:val="TOC4"/>
            <w:numPr>
              <w:ilvl w:val="2"/>
              <w:numId w:val="83"/>
            </w:numPr>
            <w:tabs>
              <w:tab w:val="left" w:pos="2108"/>
              <w:tab w:val="right" w:leader="dot" w:pos="9839"/>
            </w:tabs>
            <w:ind w:left="2108" w:hanging="549"/>
          </w:pPr>
          <w:hyperlink w:history="1" w:anchor="_bookmark161">
            <w:r>
              <w:t>Agriculture</w:t>
            </w:r>
            <w:r>
              <w:rPr>
                <w:spacing w:val="-9"/>
              </w:rPr>
              <w:t xml:space="preserve"> </w:t>
            </w:r>
            <w:r>
              <w:t>and</w:t>
            </w:r>
            <w:r>
              <w:rPr>
                <w:spacing w:val="-9"/>
              </w:rPr>
              <w:t xml:space="preserve"> </w:t>
            </w:r>
            <w:r>
              <w:t>Industrial</w:t>
            </w:r>
            <w:r>
              <w:rPr>
                <w:spacing w:val="-9"/>
              </w:rPr>
              <w:t xml:space="preserve"> </w:t>
            </w:r>
            <w:r>
              <w:rPr>
                <w:spacing w:val="-2"/>
              </w:rPr>
              <w:t>Sectors</w:t>
            </w:r>
            <w:r>
              <w:tab/>
            </w:r>
            <w:r>
              <w:rPr>
                <w:spacing w:val="-5"/>
              </w:rPr>
              <w:t>63</w:t>
            </w:r>
          </w:hyperlink>
        </w:p>
        <w:p w:rsidR="00C31389" w:rsidRDefault="00561FBD" w14:paraId="1D0746B9" w14:textId="77777777">
          <w:pPr>
            <w:pStyle w:val="TOC2"/>
            <w:numPr>
              <w:ilvl w:val="1"/>
              <w:numId w:val="83"/>
            </w:numPr>
            <w:tabs>
              <w:tab w:val="left" w:pos="1392"/>
              <w:tab w:val="right" w:leader="dot" w:pos="9825"/>
            </w:tabs>
            <w:ind w:left="1392" w:hanging="366"/>
          </w:pPr>
          <w:hyperlink w:history="1" w:anchor="_bookmark170">
            <w:r>
              <w:t>Industrial</w:t>
            </w:r>
            <w:r>
              <w:rPr>
                <w:spacing w:val="-10"/>
              </w:rPr>
              <w:t xml:space="preserve"> </w:t>
            </w:r>
            <w:r>
              <w:t>and</w:t>
            </w:r>
            <w:r>
              <w:rPr>
                <w:spacing w:val="-9"/>
              </w:rPr>
              <w:t xml:space="preserve"> </w:t>
            </w:r>
            <w:r>
              <w:t>Agriculture</w:t>
            </w:r>
            <w:r>
              <w:rPr>
                <w:spacing w:val="-9"/>
              </w:rPr>
              <w:t xml:space="preserve"> </w:t>
            </w:r>
            <w:r>
              <w:t>Custom</w:t>
            </w:r>
            <w:r>
              <w:rPr>
                <w:spacing w:val="-10"/>
              </w:rPr>
              <w:t xml:space="preserve"> </w:t>
            </w:r>
            <w:r>
              <w:t>Technologies</w:t>
            </w:r>
            <w:r>
              <w:rPr>
                <w:spacing w:val="-9"/>
              </w:rPr>
              <w:t xml:space="preserve"> </w:t>
            </w:r>
            <w:r>
              <w:t>Data</w:t>
            </w:r>
            <w:r>
              <w:rPr>
                <w:spacing w:val="-9"/>
              </w:rPr>
              <w:t xml:space="preserve"> </w:t>
            </w:r>
            <w:r>
              <w:rPr>
                <w:spacing w:val="-2"/>
              </w:rPr>
              <w:t>Sources</w:t>
            </w:r>
            <w:r>
              <w:tab/>
            </w:r>
            <w:r>
              <w:rPr>
                <w:spacing w:val="-5"/>
              </w:rPr>
              <w:t>66</w:t>
            </w:r>
          </w:hyperlink>
        </w:p>
        <w:p w:rsidR="00C31389" w:rsidRDefault="00561FBD" w14:paraId="3B30F416" w14:textId="77777777">
          <w:pPr>
            <w:pStyle w:val="TOC4"/>
            <w:numPr>
              <w:ilvl w:val="2"/>
              <w:numId w:val="83"/>
            </w:numPr>
            <w:tabs>
              <w:tab w:val="left" w:pos="2108"/>
              <w:tab w:val="right" w:leader="dot" w:pos="9839"/>
            </w:tabs>
            <w:spacing w:before="61"/>
            <w:ind w:left="2108" w:hanging="549"/>
          </w:pPr>
          <w:hyperlink w:history="1" w:anchor="_bookmark176">
            <w:r>
              <w:t>Industrial</w:t>
            </w:r>
            <w:r>
              <w:rPr>
                <w:spacing w:val="-10"/>
              </w:rPr>
              <w:t xml:space="preserve"> </w:t>
            </w:r>
            <w:r>
              <w:t>and</w:t>
            </w:r>
            <w:r>
              <w:rPr>
                <w:spacing w:val="-9"/>
              </w:rPr>
              <w:t xml:space="preserve"> </w:t>
            </w:r>
            <w:r>
              <w:t>Agriculture</w:t>
            </w:r>
            <w:r>
              <w:rPr>
                <w:spacing w:val="-10"/>
              </w:rPr>
              <w:t xml:space="preserve"> </w:t>
            </w:r>
            <w:r>
              <w:t>Emerging</w:t>
            </w:r>
            <w:r>
              <w:rPr>
                <w:spacing w:val="-9"/>
              </w:rPr>
              <w:t xml:space="preserve"> </w:t>
            </w:r>
            <w:r>
              <w:rPr>
                <w:spacing w:val="-2"/>
              </w:rPr>
              <w:t>Technologies</w:t>
            </w:r>
            <w:r>
              <w:tab/>
            </w:r>
            <w:r>
              <w:rPr>
                <w:spacing w:val="-5"/>
              </w:rPr>
              <w:t>68</w:t>
            </w:r>
          </w:hyperlink>
        </w:p>
        <w:p w:rsidR="00C31389" w:rsidRDefault="00561FBD" w14:paraId="6010B167" w14:textId="77777777">
          <w:pPr>
            <w:pStyle w:val="TOC2"/>
            <w:numPr>
              <w:ilvl w:val="1"/>
              <w:numId w:val="83"/>
            </w:numPr>
            <w:tabs>
              <w:tab w:val="left" w:pos="1393"/>
              <w:tab w:val="right" w:leader="dot" w:pos="9824"/>
            </w:tabs>
            <w:ind w:left="1393" w:hanging="366"/>
          </w:pPr>
          <w:hyperlink w:history="1" w:anchor="_bookmark179">
            <w:r>
              <w:rPr>
                <w:spacing w:val="-5"/>
              </w:rPr>
              <w:t>C&amp;S</w:t>
            </w:r>
            <w:r>
              <w:tab/>
            </w:r>
            <w:r>
              <w:rPr>
                <w:spacing w:val="-5"/>
              </w:rPr>
              <w:t>69</w:t>
            </w:r>
          </w:hyperlink>
        </w:p>
        <w:p w:rsidR="00C31389" w:rsidRDefault="00561FBD" w14:paraId="7B72AC35" w14:textId="77777777">
          <w:pPr>
            <w:pStyle w:val="TOC2"/>
            <w:numPr>
              <w:ilvl w:val="1"/>
              <w:numId w:val="83"/>
            </w:numPr>
            <w:tabs>
              <w:tab w:val="left" w:pos="1392"/>
              <w:tab w:val="right" w:leader="dot" w:pos="9824"/>
            </w:tabs>
            <w:ind w:left="1392" w:hanging="366"/>
          </w:pPr>
          <w:hyperlink w:history="1" w:anchor="_bookmark186">
            <w:r>
              <w:t>BROs</w:t>
            </w:r>
            <w:r>
              <w:rPr>
                <w:spacing w:val="-9"/>
              </w:rPr>
              <w:t xml:space="preserve"> </w:t>
            </w:r>
            <w:r>
              <w:rPr>
                <w:spacing w:val="-5"/>
              </w:rPr>
              <w:t>EE</w:t>
            </w:r>
            <w:r>
              <w:tab/>
            </w:r>
            <w:r>
              <w:rPr>
                <w:spacing w:val="-5"/>
              </w:rPr>
              <w:t>71</w:t>
            </w:r>
          </w:hyperlink>
        </w:p>
        <w:p w:rsidR="00C31389" w:rsidRDefault="00561FBD" w14:paraId="79456DC1" w14:textId="77777777">
          <w:pPr>
            <w:pStyle w:val="TOC4"/>
            <w:numPr>
              <w:ilvl w:val="2"/>
              <w:numId w:val="83"/>
            </w:numPr>
            <w:tabs>
              <w:tab w:val="left" w:pos="2108"/>
              <w:tab w:val="right" w:leader="dot" w:pos="9839"/>
            </w:tabs>
            <w:spacing w:before="59"/>
            <w:ind w:left="2108" w:hanging="549"/>
          </w:pPr>
          <w:hyperlink w:history="1" w:anchor="_bookmark190">
            <w:r>
              <w:t>Data</w:t>
            </w:r>
            <w:r>
              <w:rPr>
                <w:spacing w:val="-6"/>
              </w:rPr>
              <w:t xml:space="preserve"> </w:t>
            </w:r>
            <w:r>
              <w:rPr>
                <w:spacing w:val="-2"/>
              </w:rPr>
              <w:t>Rigor</w:t>
            </w:r>
            <w:r>
              <w:tab/>
            </w:r>
            <w:r>
              <w:rPr>
                <w:spacing w:val="-5"/>
              </w:rPr>
              <w:t>74</w:t>
            </w:r>
          </w:hyperlink>
        </w:p>
        <w:p w:rsidR="00C31389" w:rsidRDefault="00561FBD" w14:paraId="779072BB" w14:textId="77777777">
          <w:pPr>
            <w:pStyle w:val="TOC1"/>
            <w:numPr>
              <w:ilvl w:val="0"/>
              <w:numId w:val="83"/>
            </w:numPr>
            <w:tabs>
              <w:tab w:val="left" w:pos="746"/>
              <w:tab w:val="right" w:leader="dot" w:pos="9830"/>
            </w:tabs>
            <w:ind w:left="746" w:hanging="266"/>
          </w:pPr>
          <w:hyperlink w:history="1" w:anchor="_bookmark192">
            <w:r>
              <w:t>2023</w:t>
            </w:r>
            <w:r>
              <w:rPr>
                <w:spacing w:val="-3"/>
              </w:rPr>
              <w:t xml:space="preserve"> </w:t>
            </w:r>
            <w:r>
              <w:t>Study</w:t>
            </w:r>
            <w:r>
              <w:rPr>
                <w:spacing w:val="-3"/>
              </w:rPr>
              <w:t xml:space="preserve"> </w:t>
            </w:r>
            <w:r>
              <w:rPr>
                <w:spacing w:val="-2"/>
              </w:rPr>
              <w:t>Results</w:t>
            </w:r>
            <w:r>
              <w:tab/>
            </w:r>
            <w:r>
              <w:rPr>
                <w:spacing w:val="-5"/>
              </w:rPr>
              <w:t>76</w:t>
            </w:r>
          </w:hyperlink>
        </w:p>
        <w:p w:rsidR="00C31389" w:rsidRDefault="00561FBD" w14:paraId="7B8E663E" w14:textId="77777777">
          <w:pPr>
            <w:pStyle w:val="TOC2"/>
            <w:numPr>
              <w:ilvl w:val="1"/>
              <w:numId w:val="83"/>
            </w:numPr>
            <w:tabs>
              <w:tab w:val="left" w:pos="1393"/>
              <w:tab w:val="right" w:leader="dot" w:pos="9825"/>
            </w:tabs>
            <w:spacing w:before="120"/>
            <w:ind w:left="1393" w:hanging="366"/>
          </w:pPr>
          <w:hyperlink w:history="1" w:anchor="_bookmark194">
            <w:r>
              <w:rPr>
                <w:spacing w:val="-2"/>
              </w:rPr>
              <w:t>Summary</w:t>
            </w:r>
            <w:r>
              <w:tab/>
            </w:r>
            <w:r>
              <w:rPr>
                <w:spacing w:val="-5"/>
              </w:rPr>
              <w:t>76</w:t>
            </w:r>
          </w:hyperlink>
        </w:p>
        <w:p w:rsidR="00C31389" w:rsidRDefault="00561FBD" w14:paraId="20F55189" w14:textId="77777777">
          <w:pPr>
            <w:pStyle w:val="TOC4"/>
            <w:tabs>
              <w:tab w:val="right" w:leader="dot" w:pos="9839"/>
            </w:tabs>
            <w:ind w:left="1560" w:firstLine="0"/>
          </w:pPr>
          <w:hyperlink w:history="1" w:anchor="_bookmark196">
            <w:r>
              <w:t>Total</w:t>
            </w:r>
            <w:r>
              <w:rPr>
                <w:spacing w:val="-9"/>
              </w:rPr>
              <w:t xml:space="preserve"> </w:t>
            </w:r>
            <w:r>
              <w:t>Achievable</w:t>
            </w:r>
            <w:r>
              <w:rPr>
                <w:spacing w:val="-9"/>
              </w:rPr>
              <w:t xml:space="preserve"> </w:t>
            </w:r>
            <w:r>
              <w:rPr>
                <w:spacing w:val="-2"/>
              </w:rPr>
              <w:t>Potential</w:t>
            </w:r>
            <w:r>
              <w:tab/>
            </w:r>
            <w:r>
              <w:rPr>
                <w:spacing w:val="-5"/>
              </w:rPr>
              <w:t>77</w:t>
            </w:r>
          </w:hyperlink>
        </w:p>
        <w:p w:rsidR="00C31389" w:rsidRDefault="00561FBD" w14:paraId="7E45B5BB" w14:textId="77777777">
          <w:pPr>
            <w:pStyle w:val="TOC2"/>
            <w:numPr>
              <w:ilvl w:val="1"/>
              <w:numId w:val="83"/>
            </w:numPr>
            <w:tabs>
              <w:tab w:val="left" w:pos="1393"/>
              <w:tab w:val="right" w:leader="dot" w:pos="9825"/>
            </w:tabs>
            <w:ind w:left="1393" w:hanging="366"/>
          </w:pPr>
          <w:hyperlink w:history="1" w:anchor="_bookmark198">
            <w:r>
              <w:t>Incentive</w:t>
            </w:r>
            <w:r>
              <w:rPr>
                <w:spacing w:val="-8"/>
              </w:rPr>
              <w:t xml:space="preserve"> </w:t>
            </w:r>
            <w:r>
              <w:t>and</w:t>
            </w:r>
            <w:r>
              <w:rPr>
                <w:spacing w:val="-8"/>
              </w:rPr>
              <w:t xml:space="preserve"> </w:t>
            </w:r>
            <w:r>
              <w:t>BROs</w:t>
            </w:r>
            <w:r>
              <w:rPr>
                <w:spacing w:val="-7"/>
              </w:rPr>
              <w:t xml:space="preserve"> </w:t>
            </w:r>
            <w:r>
              <w:t>Program</w:t>
            </w:r>
            <w:r>
              <w:rPr>
                <w:spacing w:val="-9"/>
              </w:rPr>
              <w:t xml:space="preserve"> </w:t>
            </w:r>
            <w:r>
              <w:rPr>
                <w:spacing w:val="-2"/>
              </w:rPr>
              <w:t>Savings</w:t>
            </w:r>
            <w:r>
              <w:tab/>
            </w:r>
            <w:r>
              <w:rPr>
                <w:spacing w:val="-5"/>
              </w:rPr>
              <w:t>78</w:t>
            </w:r>
          </w:hyperlink>
        </w:p>
        <w:p w:rsidR="00C31389" w:rsidRDefault="00561FBD" w14:paraId="5359B347" w14:textId="77777777">
          <w:pPr>
            <w:pStyle w:val="TOC4"/>
            <w:numPr>
              <w:ilvl w:val="2"/>
              <w:numId w:val="83"/>
            </w:numPr>
            <w:tabs>
              <w:tab w:val="left" w:pos="2108"/>
              <w:tab w:val="right" w:leader="dot" w:pos="9839"/>
            </w:tabs>
            <w:ind w:left="2108" w:hanging="549"/>
          </w:pPr>
          <w:hyperlink w:history="1" w:anchor="_bookmark200">
            <w:r>
              <w:t>TSB</w:t>
            </w:r>
            <w:r>
              <w:rPr>
                <w:spacing w:val="-4"/>
              </w:rPr>
              <w:t xml:space="preserve"> </w:t>
            </w:r>
            <w:r>
              <w:t>by</w:t>
            </w:r>
            <w:r>
              <w:rPr>
                <w:spacing w:val="-4"/>
              </w:rPr>
              <w:t xml:space="preserve"> </w:t>
            </w:r>
            <w:r>
              <w:rPr>
                <w:spacing w:val="-2"/>
              </w:rPr>
              <w:t>Scenario</w:t>
            </w:r>
            <w:r>
              <w:tab/>
            </w:r>
            <w:r>
              <w:rPr>
                <w:spacing w:val="-5"/>
              </w:rPr>
              <w:t>80</w:t>
            </w:r>
          </w:hyperlink>
        </w:p>
        <w:p w:rsidR="00C31389" w:rsidRDefault="00561FBD" w14:paraId="333F9DCF" w14:textId="77777777">
          <w:pPr>
            <w:pStyle w:val="TOC4"/>
            <w:numPr>
              <w:ilvl w:val="2"/>
              <w:numId w:val="83"/>
            </w:numPr>
            <w:tabs>
              <w:tab w:val="left" w:pos="2108"/>
              <w:tab w:val="right" w:leader="dot" w:pos="9839"/>
            </w:tabs>
            <w:spacing w:before="59"/>
            <w:ind w:left="2108" w:hanging="549"/>
          </w:pPr>
          <w:hyperlink w:history="1" w:anchor="_bookmark202">
            <w:r>
              <w:t>Total</w:t>
            </w:r>
            <w:r>
              <w:rPr>
                <w:spacing w:val="-7"/>
              </w:rPr>
              <w:t xml:space="preserve"> </w:t>
            </w:r>
            <w:r>
              <w:t>Savings</w:t>
            </w:r>
            <w:r>
              <w:rPr>
                <w:spacing w:val="-5"/>
              </w:rPr>
              <w:t xml:space="preserve"> </w:t>
            </w:r>
            <w:r>
              <w:t>by</w:t>
            </w:r>
            <w:r>
              <w:rPr>
                <w:spacing w:val="-7"/>
              </w:rPr>
              <w:t xml:space="preserve"> </w:t>
            </w:r>
            <w:r>
              <w:rPr>
                <w:spacing w:val="-2"/>
              </w:rPr>
              <w:t>Scenario</w:t>
            </w:r>
            <w:r>
              <w:tab/>
            </w:r>
            <w:r>
              <w:rPr>
                <w:spacing w:val="-5"/>
              </w:rPr>
              <w:t>81</w:t>
            </w:r>
          </w:hyperlink>
        </w:p>
        <w:p w:rsidR="00C31389" w:rsidRDefault="00561FBD" w14:paraId="2A95E112" w14:textId="77777777">
          <w:pPr>
            <w:pStyle w:val="TOC4"/>
            <w:numPr>
              <w:ilvl w:val="2"/>
              <w:numId w:val="83"/>
            </w:numPr>
            <w:tabs>
              <w:tab w:val="left" w:pos="2108"/>
              <w:tab w:val="right" w:leader="dot" w:pos="9839"/>
            </w:tabs>
            <w:ind w:left="2108" w:hanging="549"/>
          </w:pPr>
          <w:hyperlink w:history="1" w:anchor="_bookmark206">
            <w:r>
              <w:t>Cost-Effectiveness</w:t>
            </w:r>
            <w:r>
              <w:rPr>
                <w:spacing w:val="-13"/>
              </w:rPr>
              <w:t xml:space="preserve"> </w:t>
            </w:r>
            <w:r>
              <w:t>by</w:t>
            </w:r>
            <w:r>
              <w:rPr>
                <w:spacing w:val="-12"/>
              </w:rPr>
              <w:t xml:space="preserve"> </w:t>
            </w:r>
            <w:r>
              <w:rPr>
                <w:spacing w:val="-2"/>
              </w:rPr>
              <w:t>Scenario</w:t>
            </w:r>
            <w:r>
              <w:tab/>
            </w:r>
            <w:r>
              <w:rPr>
                <w:spacing w:val="-5"/>
              </w:rPr>
              <w:t>82</w:t>
            </w:r>
          </w:hyperlink>
        </w:p>
        <w:p w:rsidR="00C31389" w:rsidRDefault="00561FBD" w14:paraId="52E84555" w14:textId="77777777">
          <w:pPr>
            <w:pStyle w:val="TOC4"/>
            <w:numPr>
              <w:ilvl w:val="2"/>
              <w:numId w:val="83"/>
            </w:numPr>
            <w:tabs>
              <w:tab w:val="left" w:pos="2108"/>
              <w:tab w:val="right" w:leader="dot" w:pos="9839"/>
            </w:tabs>
            <w:spacing w:before="61"/>
            <w:ind w:left="2108" w:hanging="549"/>
          </w:pPr>
          <w:hyperlink w:history="1" w:anchor="_bookmark208">
            <w:r>
              <w:t>BROs</w:t>
            </w:r>
            <w:r>
              <w:rPr>
                <w:spacing w:val="-9"/>
              </w:rPr>
              <w:t xml:space="preserve"> </w:t>
            </w:r>
            <w:r>
              <w:t>Program</w:t>
            </w:r>
            <w:r>
              <w:rPr>
                <w:spacing w:val="-10"/>
              </w:rPr>
              <w:t xml:space="preserve"> </w:t>
            </w:r>
            <w:r>
              <w:rPr>
                <w:spacing w:val="-2"/>
              </w:rPr>
              <w:t>Results</w:t>
            </w:r>
            <w:r>
              <w:tab/>
            </w:r>
            <w:r>
              <w:rPr>
                <w:spacing w:val="-5"/>
              </w:rPr>
              <w:t>83</w:t>
            </w:r>
          </w:hyperlink>
        </w:p>
        <w:p w:rsidR="00C31389" w:rsidRDefault="00561FBD" w14:paraId="33B8A6E5" w14:textId="77777777">
          <w:pPr>
            <w:pStyle w:val="TOC2"/>
            <w:numPr>
              <w:ilvl w:val="1"/>
              <w:numId w:val="83"/>
            </w:numPr>
            <w:tabs>
              <w:tab w:val="left" w:pos="1393"/>
              <w:tab w:val="right" w:leader="dot" w:pos="9825"/>
            </w:tabs>
            <w:ind w:left="1393" w:hanging="366"/>
          </w:pPr>
          <w:hyperlink w:history="1" w:anchor="_bookmark211">
            <w:r>
              <w:rPr>
                <w:spacing w:val="-5"/>
              </w:rPr>
              <w:t>FS</w:t>
            </w:r>
            <w:r>
              <w:tab/>
            </w:r>
            <w:r>
              <w:rPr>
                <w:spacing w:val="-5"/>
              </w:rPr>
              <w:t>84</w:t>
            </w:r>
          </w:hyperlink>
        </w:p>
        <w:p w:rsidR="00C31389" w:rsidRDefault="00561FBD" w14:paraId="4DE770F0" w14:textId="77777777">
          <w:pPr>
            <w:pStyle w:val="TOC4"/>
            <w:numPr>
              <w:ilvl w:val="2"/>
              <w:numId w:val="83"/>
            </w:numPr>
            <w:tabs>
              <w:tab w:val="left" w:pos="2108"/>
              <w:tab w:val="right" w:leader="dot" w:pos="9839"/>
            </w:tabs>
            <w:ind w:left="2108" w:hanging="549"/>
          </w:pPr>
          <w:hyperlink w:history="1" w:anchor="_bookmark212">
            <w:r>
              <w:rPr>
                <w:spacing w:val="-2"/>
              </w:rPr>
              <w:t>Results</w:t>
            </w:r>
            <w:r>
              <w:tab/>
            </w:r>
            <w:r>
              <w:rPr>
                <w:spacing w:val="-5"/>
              </w:rPr>
              <w:t>85</w:t>
            </w:r>
          </w:hyperlink>
        </w:p>
        <w:p w:rsidR="00C31389" w:rsidRDefault="00561FBD" w14:paraId="42E4878C" w14:textId="77777777">
          <w:pPr>
            <w:pStyle w:val="TOC2"/>
            <w:numPr>
              <w:ilvl w:val="1"/>
              <w:numId w:val="83"/>
            </w:numPr>
            <w:tabs>
              <w:tab w:val="left" w:pos="1393"/>
              <w:tab w:val="right" w:leader="dot" w:pos="9825"/>
            </w:tabs>
            <w:ind w:left="1393" w:hanging="366"/>
          </w:pPr>
          <w:hyperlink w:history="1" w:anchor="_bookmark216">
            <w:r>
              <w:t>C&amp;S</w:t>
            </w:r>
            <w:r>
              <w:rPr>
                <w:spacing w:val="-6"/>
              </w:rPr>
              <w:t xml:space="preserve"> </w:t>
            </w:r>
            <w:r>
              <w:rPr>
                <w:spacing w:val="-2"/>
              </w:rPr>
              <w:t>Savings</w:t>
            </w:r>
            <w:r>
              <w:tab/>
            </w:r>
            <w:r>
              <w:rPr>
                <w:spacing w:val="-5"/>
              </w:rPr>
              <w:t>86</w:t>
            </w:r>
          </w:hyperlink>
        </w:p>
        <w:p w:rsidR="00C31389" w:rsidRDefault="00561FBD" w14:paraId="5430CFF6" w14:textId="77777777">
          <w:pPr>
            <w:pStyle w:val="TOC2"/>
            <w:numPr>
              <w:ilvl w:val="1"/>
              <w:numId w:val="83"/>
            </w:numPr>
            <w:tabs>
              <w:tab w:val="left" w:pos="1393"/>
              <w:tab w:val="right" w:leader="dot" w:pos="9825"/>
            </w:tabs>
            <w:spacing w:before="59"/>
            <w:ind w:left="1393" w:hanging="366"/>
          </w:pPr>
          <w:hyperlink w:history="1" w:anchor="_bookmark219">
            <w:r>
              <w:t>Detailed</w:t>
            </w:r>
            <w:r>
              <w:rPr>
                <w:spacing w:val="-9"/>
              </w:rPr>
              <w:t xml:space="preserve"> </w:t>
            </w:r>
            <w:r>
              <w:t>Study</w:t>
            </w:r>
            <w:r>
              <w:rPr>
                <w:spacing w:val="-8"/>
              </w:rPr>
              <w:t xml:space="preserve"> </w:t>
            </w:r>
            <w:r>
              <w:rPr>
                <w:spacing w:val="-2"/>
              </w:rPr>
              <w:t>Results</w:t>
            </w:r>
            <w:r>
              <w:tab/>
            </w:r>
            <w:r>
              <w:rPr>
                <w:spacing w:val="-5"/>
              </w:rPr>
              <w:t>87</w:t>
            </w:r>
          </w:hyperlink>
        </w:p>
        <w:p w:rsidR="00C31389" w:rsidRDefault="00561FBD" w14:paraId="6FA702DB" w14:textId="77777777">
          <w:pPr>
            <w:pStyle w:val="TOC4"/>
            <w:numPr>
              <w:ilvl w:val="2"/>
              <w:numId w:val="83"/>
            </w:numPr>
            <w:tabs>
              <w:tab w:val="left" w:pos="2108"/>
              <w:tab w:val="right" w:leader="dot" w:pos="9839"/>
            </w:tabs>
            <w:ind w:left="2108" w:hanging="549"/>
          </w:pPr>
          <w:hyperlink w:history="1" w:anchor="_bookmark220">
            <w:r>
              <w:t>Results</w:t>
            </w:r>
            <w:r>
              <w:rPr>
                <w:spacing w:val="-10"/>
              </w:rPr>
              <w:t xml:space="preserve"> </w:t>
            </w:r>
            <w:r>
              <w:t>Viewer</w:t>
            </w:r>
            <w:r>
              <w:rPr>
                <w:spacing w:val="-10"/>
              </w:rPr>
              <w:t xml:space="preserve"> </w:t>
            </w:r>
            <w:r>
              <w:rPr>
                <w:spacing w:val="-4"/>
              </w:rPr>
              <w:t>Tabs</w:t>
            </w:r>
            <w:r>
              <w:tab/>
            </w:r>
            <w:r>
              <w:rPr>
                <w:spacing w:val="-5"/>
              </w:rPr>
              <w:t>88</w:t>
            </w:r>
          </w:hyperlink>
        </w:p>
        <w:p w:rsidR="00C31389" w:rsidRDefault="00561FBD" w14:paraId="75257A60" w14:textId="77777777">
          <w:pPr>
            <w:pStyle w:val="TOC1"/>
            <w:numPr>
              <w:ilvl w:val="0"/>
              <w:numId w:val="83"/>
            </w:numPr>
            <w:tabs>
              <w:tab w:val="left" w:pos="746"/>
              <w:tab w:val="right" w:leader="dot" w:pos="9830"/>
            </w:tabs>
            <w:ind w:left="746" w:hanging="266"/>
          </w:pPr>
          <w:hyperlink w:history="1" w:anchor="_bookmark223">
            <w:r>
              <w:t>Impacts</w:t>
            </w:r>
            <w:r>
              <w:rPr>
                <w:spacing w:val="-4"/>
              </w:rPr>
              <w:t xml:space="preserve"> </w:t>
            </w:r>
            <w:r>
              <w:t>of</w:t>
            </w:r>
            <w:r>
              <w:rPr>
                <w:spacing w:val="-1"/>
              </w:rPr>
              <w:t xml:space="preserve"> </w:t>
            </w:r>
            <w:r>
              <w:t>Future</w:t>
            </w:r>
            <w:r>
              <w:rPr>
                <w:spacing w:val="-3"/>
              </w:rPr>
              <w:t xml:space="preserve"> </w:t>
            </w:r>
            <w:r>
              <w:t>Policy</w:t>
            </w:r>
            <w:r>
              <w:rPr>
                <w:spacing w:val="-2"/>
              </w:rPr>
              <w:t xml:space="preserve"> </w:t>
            </w:r>
            <w:r>
              <w:t>on</w:t>
            </w:r>
            <w:r>
              <w:rPr>
                <w:spacing w:val="-2"/>
              </w:rPr>
              <w:t xml:space="preserve"> Potential</w:t>
            </w:r>
            <w:r>
              <w:tab/>
            </w:r>
            <w:r>
              <w:rPr>
                <w:spacing w:val="-5"/>
              </w:rPr>
              <w:t>91</w:t>
            </w:r>
          </w:hyperlink>
        </w:p>
        <w:p w:rsidR="00C31389" w:rsidRDefault="00561FBD" w14:paraId="39D4A797" w14:textId="77777777">
          <w:pPr>
            <w:pStyle w:val="TOC2"/>
            <w:numPr>
              <w:ilvl w:val="1"/>
              <w:numId w:val="83"/>
            </w:numPr>
            <w:tabs>
              <w:tab w:val="left" w:pos="1393"/>
              <w:tab w:val="right" w:leader="dot" w:pos="9825"/>
            </w:tabs>
            <w:spacing w:before="120"/>
            <w:ind w:left="1393" w:hanging="366"/>
          </w:pPr>
          <w:hyperlink w:history="1" w:anchor="_bookmark224">
            <w:r>
              <w:t>Partial</w:t>
            </w:r>
            <w:r>
              <w:rPr>
                <w:spacing w:val="-7"/>
              </w:rPr>
              <w:t xml:space="preserve"> </w:t>
            </w:r>
            <w:r>
              <w:t>EE</w:t>
            </w:r>
            <w:r>
              <w:rPr>
                <w:spacing w:val="-7"/>
              </w:rPr>
              <w:t xml:space="preserve"> </w:t>
            </w:r>
            <w:r>
              <w:t>Natural</w:t>
            </w:r>
            <w:r>
              <w:rPr>
                <w:spacing w:val="-7"/>
              </w:rPr>
              <w:t xml:space="preserve"> </w:t>
            </w:r>
            <w:r>
              <w:t>Gas</w:t>
            </w:r>
            <w:r>
              <w:rPr>
                <w:spacing w:val="-6"/>
              </w:rPr>
              <w:t xml:space="preserve"> </w:t>
            </w:r>
            <w:r>
              <w:t>Incentive</w:t>
            </w:r>
            <w:r>
              <w:rPr>
                <w:spacing w:val="-8"/>
              </w:rPr>
              <w:t xml:space="preserve"> </w:t>
            </w:r>
            <w:r>
              <w:t>Phase</w:t>
            </w:r>
            <w:r>
              <w:rPr>
                <w:spacing w:val="-7"/>
              </w:rPr>
              <w:t xml:space="preserve"> </w:t>
            </w:r>
            <w:r>
              <w:rPr>
                <w:spacing w:val="-5"/>
              </w:rPr>
              <w:t>Out</w:t>
            </w:r>
            <w:r>
              <w:tab/>
            </w:r>
            <w:r>
              <w:rPr>
                <w:spacing w:val="-5"/>
              </w:rPr>
              <w:t>91</w:t>
            </w:r>
          </w:hyperlink>
        </w:p>
        <w:p w:rsidR="00C31389" w:rsidRDefault="00561FBD" w14:paraId="2E2E294B" w14:textId="77777777">
          <w:pPr>
            <w:pStyle w:val="TOC2"/>
            <w:numPr>
              <w:ilvl w:val="1"/>
              <w:numId w:val="83"/>
            </w:numPr>
            <w:tabs>
              <w:tab w:val="left" w:pos="1393"/>
              <w:tab w:val="right" w:leader="dot" w:pos="9825"/>
            </w:tabs>
            <w:ind w:left="1393" w:hanging="366"/>
          </w:pPr>
          <w:hyperlink w:history="1" w:anchor="_bookmark226">
            <w:r>
              <w:t>IRA</w:t>
            </w:r>
            <w:r>
              <w:rPr>
                <w:spacing w:val="-6"/>
              </w:rPr>
              <w:t xml:space="preserve"> </w:t>
            </w:r>
            <w:r>
              <w:t>EE</w:t>
            </w:r>
            <w:r>
              <w:rPr>
                <w:spacing w:val="-5"/>
              </w:rPr>
              <w:t xml:space="preserve"> </w:t>
            </w:r>
            <w:r>
              <w:t>Rebate</w:t>
            </w:r>
            <w:r>
              <w:rPr>
                <w:spacing w:val="-5"/>
              </w:rPr>
              <w:t xml:space="preserve"> </w:t>
            </w:r>
            <w:r>
              <w:rPr>
                <w:spacing w:val="-2"/>
              </w:rPr>
              <w:t>Programs</w:t>
            </w:r>
            <w:r>
              <w:tab/>
            </w:r>
            <w:r>
              <w:rPr>
                <w:spacing w:val="-5"/>
              </w:rPr>
              <w:t>92</w:t>
            </w:r>
          </w:hyperlink>
        </w:p>
      </w:sdtContent>
    </w:sdt>
    <w:p w:rsidR="00C31389" w:rsidRDefault="00C31389" w14:paraId="3BF2E921" w14:textId="77777777">
      <w:pPr>
        <w:sectPr w:rsidR="00C31389">
          <w:type w:val="continuous"/>
          <w:pgSz w:w="12240" w:h="15840"/>
          <w:pgMar w:top="1661" w:right="960" w:bottom="747" w:left="960" w:header="397" w:footer="936" w:gutter="0"/>
          <w:cols w:space="720"/>
        </w:sectPr>
      </w:pPr>
    </w:p>
    <w:p w:rsidR="00C31389" w:rsidRDefault="00561FBD" w14:paraId="70E66A61" w14:textId="77777777">
      <w:pPr>
        <w:spacing w:before="121"/>
        <w:ind w:left="480"/>
        <w:rPr>
          <w:b/>
          <w:sz w:val="24"/>
        </w:rPr>
      </w:pPr>
      <w:hyperlink w:history="1" w:anchor="_bookmark228">
        <w:r>
          <w:rPr>
            <w:b/>
            <w:sz w:val="24"/>
          </w:rPr>
          <w:t>Appendix</w:t>
        </w:r>
        <w:r>
          <w:rPr>
            <w:b/>
            <w:spacing w:val="-5"/>
            <w:sz w:val="24"/>
          </w:rPr>
          <w:t xml:space="preserve"> </w:t>
        </w:r>
        <w:r>
          <w:rPr>
            <w:b/>
            <w:sz w:val="24"/>
          </w:rPr>
          <w:t>A.</w:t>
        </w:r>
        <w:r>
          <w:rPr>
            <w:b/>
            <w:spacing w:val="-1"/>
            <w:sz w:val="24"/>
          </w:rPr>
          <w:t xml:space="preserve"> </w:t>
        </w:r>
        <w:r>
          <w:rPr>
            <w:b/>
            <w:sz w:val="24"/>
          </w:rPr>
          <w:t>Calibration............................................................................................</w:t>
        </w:r>
        <w:r>
          <w:rPr>
            <w:b/>
            <w:spacing w:val="-13"/>
            <w:sz w:val="24"/>
          </w:rPr>
          <w:t xml:space="preserve"> </w:t>
        </w:r>
        <w:r>
          <w:rPr>
            <w:b/>
            <w:sz w:val="24"/>
          </w:rPr>
          <w:t>A-</w:t>
        </w:r>
        <w:r>
          <w:rPr>
            <w:b/>
            <w:spacing w:val="-10"/>
            <w:sz w:val="24"/>
          </w:rPr>
          <w:t>1</w:t>
        </w:r>
      </w:hyperlink>
    </w:p>
    <w:p w:rsidR="00C31389" w:rsidRDefault="00561FBD" w14:paraId="528C11CF" w14:textId="77777777">
      <w:pPr>
        <w:pStyle w:val="ListParagraph"/>
        <w:numPr>
          <w:ilvl w:val="1"/>
          <w:numId w:val="82"/>
        </w:numPr>
        <w:tabs>
          <w:tab w:val="left" w:pos="1416"/>
        </w:tabs>
        <w:spacing w:before="119"/>
        <w:ind w:left="1416" w:hanging="389"/>
      </w:pPr>
      <w:hyperlink w:history="1" w:anchor="_bookmark229">
        <w:r>
          <w:rPr>
            <w:spacing w:val="-2"/>
          </w:rPr>
          <w:t>Overview..........................................................................</w:t>
        </w:r>
        <w:r>
          <w:rPr>
            <w:spacing w:val="-2"/>
          </w:rPr>
          <w:t>..........................................</w:t>
        </w:r>
        <w:r>
          <w:rPr>
            <w:spacing w:val="42"/>
          </w:rPr>
          <w:t xml:space="preserve">  </w:t>
        </w:r>
        <w:r>
          <w:rPr>
            <w:spacing w:val="-2"/>
          </w:rPr>
          <w:t>A-</w:t>
        </w:r>
        <w:r>
          <w:rPr>
            <w:spacing w:val="-10"/>
          </w:rPr>
          <w:t>1</w:t>
        </w:r>
      </w:hyperlink>
    </w:p>
    <w:p w:rsidR="00C31389" w:rsidRDefault="00561FBD" w14:paraId="629414BA" w14:textId="77777777">
      <w:pPr>
        <w:pStyle w:val="ListParagraph"/>
        <w:numPr>
          <w:ilvl w:val="1"/>
          <w:numId w:val="82"/>
        </w:numPr>
        <w:tabs>
          <w:tab w:val="left" w:pos="1416"/>
        </w:tabs>
        <w:spacing w:before="60"/>
        <w:ind w:left="1416" w:hanging="389"/>
      </w:pPr>
      <w:hyperlink w:history="1" w:anchor="_bookmark230">
        <w:r>
          <w:rPr>
            <w:spacing w:val="-2"/>
          </w:rPr>
          <w:t>Necessity</w:t>
        </w:r>
        <w:r>
          <w:rPr>
            <w:spacing w:val="50"/>
          </w:rPr>
          <w:t xml:space="preserve"> </w:t>
        </w:r>
        <w:r>
          <w:rPr>
            <w:spacing w:val="-2"/>
          </w:rPr>
          <w:t>of</w:t>
        </w:r>
        <w:r>
          <w:rPr>
            <w:spacing w:val="50"/>
          </w:rPr>
          <w:t xml:space="preserve"> </w:t>
        </w:r>
        <w:r>
          <w:rPr>
            <w:spacing w:val="-2"/>
          </w:rPr>
          <w:t>Calibration</w:t>
        </w:r>
        <w:r>
          <w:rPr>
            <w:spacing w:val="-19"/>
          </w:rPr>
          <w:t xml:space="preserve"> </w:t>
        </w:r>
        <w:r>
          <w:rPr>
            <w:spacing w:val="-2"/>
          </w:rPr>
          <w:t>.............................................................................................</w:t>
        </w:r>
        <w:r>
          <w:t xml:space="preserve"> </w:t>
        </w:r>
        <w:r>
          <w:rPr>
            <w:spacing w:val="-2"/>
          </w:rPr>
          <w:t>A-</w:t>
        </w:r>
        <w:r>
          <w:rPr>
            <w:spacing w:val="-10"/>
          </w:rPr>
          <w:t>1</w:t>
        </w:r>
      </w:hyperlink>
    </w:p>
    <w:p w:rsidR="00C31389" w:rsidRDefault="00561FBD" w14:paraId="65EC1E4D" w14:textId="77777777">
      <w:pPr>
        <w:pStyle w:val="ListParagraph"/>
        <w:numPr>
          <w:ilvl w:val="1"/>
          <w:numId w:val="82"/>
        </w:numPr>
        <w:tabs>
          <w:tab w:val="left" w:pos="1415"/>
        </w:tabs>
        <w:spacing w:before="60"/>
        <w:ind w:left="1415" w:hanging="389"/>
      </w:pPr>
      <w:hyperlink w:history="1" w:anchor="_bookmark231">
        <w:r>
          <w:rPr>
            <w:spacing w:val="-2"/>
          </w:rPr>
          <w:t>Interpreting</w:t>
        </w:r>
        <w:r>
          <w:rPr>
            <w:spacing w:val="66"/>
          </w:rPr>
          <w:t xml:space="preserve"> </w:t>
        </w:r>
        <w:r>
          <w:rPr>
            <w:spacing w:val="-2"/>
          </w:rPr>
          <w:t>Calibration</w:t>
        </w:r>
        <w:r>
          <w:rPr>
            <w:spacing w:val="36"/>
          </w:rPr>
          <w:t xml:space="preserve"> </w:t>
        </w:r>
        <w:r>
          <w:rPr>
            <w:spacing w:val="-2"/>
          </w:rPr>
          <w:t>...................................................................</w:t>
        </w:r>
        <w:r>
          <w:rPr>
            <w:spacing w:val="-2"/>
          </w:rPr>
          <w:t>...........................</w:t>
        </w:r>
        <w:r>
          <w:rPr>
            <w:spacing w:val="8"/>
          </w:rPr>
          <w:t xml:space="preserve"> </w:t>
        </w:r>
        <w:r>
          <w:rPr>
            <w:spacing w:val="-2"/>
          </w:rPr>
          <w:t>A-</w:t>
        </w:r>
        <w:r>
          <w:rPr>
            <w:spacing w:val="-10"/>
          </w:rPr>
          <w:t>2</w:t>
        </w:r>
      </w:hyperlink>
    </w:p>
    <w:p w:rsidR="00C31389" w:rsidRDefault="00561FBD" w14:paraId="2E535E0B" w14:textId="77777777">
      <w:pPr>
        <w:pStyle w:val="ListParagraph"/>
        <w:numPr>
          <w:ilvl w:val="1"/>
          <w:numId w:val="82"/>
        </w:numPr>
        <w:tabs>
          <w:tab w:val="left" w:pos="1415"/>
        </w:tabs>
        <w:spacing w:before="60"/>
        <w:ind w:left="1415" w:hanging="389"/>
      </w:pPr>
      <w:hyperlink w:history="1" w:anchor="_bookmark232">
        <w:r>
          <w:rPr>
            <w:spacing w:val="-2"/>
          </w:rPr>
          <w:t>Implementing</w:t>
        </w:r>
        <w:r>
          <w:rPr>
            <w:spacing w:val="75"/>
          </w:rPr>
          <w:t xml:space="preserve"> </w:t>
        </w:r>
        <w:r>
          <w:rPr>
            <w:spacing w:val="-2"/>
          </w:rPr>
          <w:t>Calibration</w:t>
        </w:r>
        <w:r>
          <w:rPr>
            <w:spacing w:val="-9"/>
          </w:rPr>
          <w:t xml:space="preserve"> </w:t>
        </w:r>
        <w:r>
          <w:rPr>
            <w:spacing w:val="-2"/>
          </w:rPr>
          <w:t>...........................................................................................</w:t>
        </w:r>
        <w:r>
          <w:rPr>
            <w:spacing w:val="13"/>
          </w:rPr>
          <w:t xml:space="preserve"> </w:t>
        </w:r>
        <w:r>
          <w:rPr>
            <w:spacing w:val="-2"/>
          </w:rPr>
          <w:t>A-</w:t>
        </w:r>
        <w:r>
          <w:rPr>
            <w:spacing w:val="-10"/>
          </w:rPr>
          <w:t>3</w:t>
        </w:r>
      </w:hyperlink>
    </w:p>
    <w:p w:rsidR="00C31389" w:rsidRDefault="00561FBD" w14:paraId="4F4B9F51" w14:textId="77777777">
      <w:pPr>
        <w:spacing w:before="121"/>
        <w:ind w:right="487"/>
        <w:jc w:val="right"/>
        <w:rPr>
          <w:b/>
          <w:sz w:val="24"/>
        </w:rPr>
      </w:pPr>
      <w:hyperlink w:history="1" w:anchor="_bookmark234">
        <w:r>
          <w:rPr>
            <w:b/>
            <w:sz w:val="24"/>
          </w:rPr>
          <w:t>Appendix</w:t>
        </w:r>
        <w:r>
          <w:rPr>
            <w:b/>
            <w:spacing w:val="-5"/>
            <w:sz w:val="24"/>
          </w:rPr>
          <w:t xml:space="preserve"> </w:t>
        </w:r>
        <w:r>
          <w:rPr>
            <w:b/>
            <w:sz w:val="24"/>
          </w:rPr>
          <w:t>B.</w:t>
        </w:r>
        <w:r>
          <w:rPr>
            <w:b/>
            <w:spacing w:val="-3"/>
            <w:sz w:val="24"/>
          </w:rPr>
          <w:t xml:space="preserve"> </w:t>
        </w:r>
        <w:r>
          <w:rPr>
            <w:b/>
            <w:sz w:val="24"/>
          </w:rPr>
          <w:t>FS</w:t>
        </w:r>
        <w:r>
          <w:rPr>
            <w:b/>
            <w:spacing w:val="-4"/>
            <w:sz w:val="24"/>
          </w:rPr>
          <w:t xml:space="preserve"> </w:t>
        </w:r>
        <w:r>
          <w:rPr>
            <w:b/>
            <w:sz w:val="24"/>
          </w:rPr>
          <w:t>Methodology</w:t>
        </w:r>
        <w:r>
          <w:rPr>
            <w:b/>
            <w:spacing w:val="-3"/>
            <w:sz w:val="24"/>
          </w:rPr>
          <w:t xml:space="preserve"> </w:t>
        </w:r>
        <w:r>
          <w:rPr>
            <w:b/>
            <w:sz w:val="24"/>
          </w:rPr>
          <w:t>Details</w:t>
        </w:r>
        <w:r>
          <w:rPr>
            <w:b/>
            <w:spacing w:val="-49"/>
            <w:sz w:val="24"/>
          </w:rPr>
          <w:t xml:space="preserve"> </w:t>
        </w:r>
        <w:r>
          <w:rPr>
            <w:b/>
            <w:sz w:val="24"/>
          </w:rPr>
          <w:t>......................................................................</w:t>
        </w:r>
        <w:r>
          <w:rPr>
            <w:b/>
            <w:spacing w:val="-14"/>
            <w:sz w:val="24"/>
          </w:rPr>
          <w:t xml:space="preserve"> </w:t>
        </w:r>
        <w:r>
          <w:rPr>
            <w:b/>
            <w:sz w:val="24"/>
          </w:rPr>
          <w:t>B-</w:t>
        </w:r>
        <w:r>
          <w:rPr>
            <w:b/>
            <w:spacing w:val="-10"/>
            <w:sz w:val="24"/>
          </w:rPr>
          <w:t>1</w:t>
        </w:r>
      </w:hyperlink>
    </w:p>
    <w:p w:rsidR="00C31389" w:rsidRDefault="00561FBD" w14:paraId="232BBFAB" w14:textId="77777777">
      <w:pPr>
        <w:pStyle w:val="ListParagraph"/>
        <w:numPr>
          <w:ilvl w:val="1"/>
          <w:numId w:val="81"/>
        </w:numPr>
        <w:tabs>
          <w:tab w:val="left" w:pos="389"/>
        </w:tabs>
        <w:spacing w:before="119"/>
        <w:ind w:left="389" w:right="492" w:hanging="389"/>
        <w:jc w:val="right"/>
      </w:pPr>
      <w:hyperlink w:history="1" w:anchor="_bookmark239">
        <w:r>
          <w:rPr>
            <w:spacing w:val="-2"/>
          </w:rPr>
          <w:t>Technology</w:t>
        </w:r>
        <w:r>
          <w:rPr>
            <w:spacing w:val="40"/>
          </w:rPr>
          <w:t xml:space="preserve"> </w:t>
        </w:r>
        <w:r>
          <w:rPr>
            <w:spacing w:val="-2"/>
          </w:rPr>
          <w:t>Selection</w:t>
        </w:r>
        <w:r>
          <w:rPr>
            <w:spacing w:val="40"/>
          </w:rPr>
          <w:t xml:space="preserve"> </w:t>
        </w:r>
        <w:r>
          <w:rPr>
            <w:spacing w:val="-2"/>
          </w:rPr>
          <w:t>Process</w:t>
        </w:r>
        <w:r>
          <w:rPr>
            <w:spacing w:val="16"/>
          </w:rPr>
          <w:t xml:space="preserve"> </w:t>
        </w:r>
        <w:r>
          <w:rPr>
            <w:spacing w:val="-2"/>
          </w:rPr>
          <w:t>..................................................................................</w:t>
        </w:r>
        <w:r>
          <w:rPr>
            <w:spacing w:val="-4"/>
          </w:rPr>
          <w:t xml:space="preserve"> </w:t>
        </w:r>
        <w:r>
          <w:rPr>
            <w:spacing w:val="-2"/>
          </w:rPr>
          <w:t>B-</w:t>
        </w:r>
        <w:r>
          <w:rPr>
            <w:spacing w:val="-10"/>
          </w:rPr>
          <w:t>3</w:t>
        </w:r>
      </w:hyperlink>
    </w:p>
    <w:p w:rsidR="00C31389" w:rsidRDefault="00C31389" w14:paraId="6064C368" w14:textId="77777777">
      <w:pPr>
        <w:jc w:val="right"/>
        <w:sectPr w:rsidR="00C31389">
          <w:type w:val="continuous"/>
          <w:pgSz w:w="12240" w:h="15840"/>
          <w:pgMar w:top="1660" w:right="960" w:bottom="1120" w:left="960" w:header="397" w:footer="936" w:gutter="0"/>
          <w:cols w:space="720"/>
        </w:sectPr>
      </w:pPr>
    </w:p>
    <w:p w:rsidR="00C31389" w:rsidRDefault="00C31389" w14:paraId="14A96724" w14:textId="77777777">
      <w:pPr>
        <w:pStyle w:val="BodyText"/>
        <w:spacing w:before="11"/>
        <w:rPr>
          <w:sz w:val="13"/>
        </w:rPr>
      </w:pPr>
    </w:p>
    <w:p w:rsidR="00C31389" w:rsidRDefault="00561FBD" w14:paraId="41E69B4E" w14:textId="77777777">
      <w:pPr>
        <w:pStyle w:val="ListParagraph"/>
        <w:numPr>
          <w:ilvl w:val="1"/>
          <w:numId w:val="81"/>
        </w:numPr>
        <w:tabs>
          <w:tab w:val="left" w:pos="1416"/>
          <w:tab w:val="left" w:leader="dot" w:pos="9483"/>
        </w:tabs>
        <w:spacing w:before="92"/>
        <w:ind w:left="1416" w:hanging="389"/>
      </w:pPr>
      <w:hyperlink w:history="1" w:anchor="_bookmark242">
        <w:r>
          <w:t>Technology</w:t>
        </w:r>
        <w:r>
          <w:rPr>
            <w:spacing w:val="-13"/>
          </w:rPr>
          <w:t xml:space="preserve"> </w:t>
        </w:r>
        <w:r>
          <w:rPr>
            <w:spacing w:val="-2"/>
          </w:rPr>
          <w:t>Characterization</w:t>
        </w:r>
        <w:r>
          <w:tab/>
        </w:r>
        <w:r>
          <w:rPr>
            <w:spacing w:val="-4"/>
          </w:rPr>
          <w:t>B-</w:t>
        </w:r>
        <w:r>
          <w:rPr>
            <w:spacing w:val="-10"/>
          </w:rPr>
          <w:t>4</w:t>
        </w:r>
      </w:hyperlink>
    </w:p>
    <w:p w:rsidR="00C31389" w:rsidRDefault="00561FBD" w14:paraId="46E0E743" w14:textId="77777777">
      <w:pPr>
        <w:pStyle w:val="ListParagraph"/>
        <w:numPr>
          <w:ilvl w:val="2"/>
          <w:numId w:val="81"/>
        </w:numPr>
        <w:tabs>
          <w:tab w:val="left" w:pos="2279"/>
        </w:tabs>
        <w:spacing w:before="61"/>
        <w:ind w:left="2279" w:hanging="720"/>
      </w:pPr>
      <w:hyperlink w:history="1" w:anchor="_bookmark246">
        <w:r>
          <w:t>Residential</w:t>
        </w:r>
        <w:r>
          <w:rPr>
            <w:spacing w:val="-9"/>
          </w:rPr>
          <w:t xml:space="preserve"> </w:t>
        </w:r>
        <w:r>
          <w:t>Heat</w:t>
        </w:r>
        <w:r>
          <w:rPr>
            <w:spacing w:val="-9"/>
          </w:rPr>
          <w:t xml:space="preserve"> </w:t>
        </w:r>
        <w:r>
          <w:t>Pump</w:t>
        </w:r>
        <w:r>
          <w:rPr>
            <w:spacing w:val="-7"/>
          </w:rPr>
          <w:t xml:space="preserve"> </w:t>
        </w:r>
        <w:r>
          <w:t>Replacing</w:t>
        </w:r>
        <w:r>
          <w:rPr>
            <w:spacing w:val="-8"/>
          </w:rPr>
          <w:t xml:space="preserve"> </w:t>
        </w:r>
        <w:r>
          <w:t>Residential</w:t>
        </w:r>
        <w:r>
          <w:rPr>
            <w:spacing w:val="-9"/>
          </w:rPr>
          <w:t xml:space="preserve"> </w:t>
        </w:r>
        <w:r>
          <w:t>Furnace</w:t>
        </w:r>
        <w:r>
          <w:rPr>
            <w:spacing w:val="-8"/>
          </w:rPr>
          <w:t xml:space="preserve"> </w:t>
        </w:r>
        <w:r>
          <w:t>and</w:t>
        </w:r>
        <w:r>
          <w:rPr>
            <w:spacing w:val="-9"/>
          </w:rPr>
          <w:t xml:space="preserve"> </w:t>
        </w:r>
        <w:r>
          <w:t>AC</w:t>
        </w:r>
        <w:r>
          <w:rPr>
            <w:spacing w:val="-9"/>
          </w:rPr>
          <w:t xml:space="preserve"> </w:t>
        </w:r>
        <w:r>
          <w:rPr>
            <w:spacing w:val="-2"/>
          </w:rPr>
          <w:t>Combination</w:t>
        </w:r>
      </w:hyperlink>
    </w:p>
    <w:p w:rsidR="00C31389" w:rsidRDefault="00561FBD" w14:paraId="3D14CCB5" w14:textId="77777777">
      <w:pPr>
        <w:pStyle w:val="BodyText"/>
        <w:ind w:right="478"/>
        <w:jc w:val="right"/>
      </w:pPr>
      <w:hyperlink w:history="1" w:anchor="_bookmark246">
        <w:r>
          <w:rPr>
            <w:spacing w:val="-2"/>
          </w:rPr>
          <w:t>.....................................................................................................................</w:t>
        </w:r>
        <w:r>
          <w:rPr>
            <w:spacing w:val="42"/>
          </w:rPr>
          <w:t xml:space="preserve">  </w:t>
        </w:r>
        <w:r>
          <w:rPr>
            <w:spacing w:val="-2"/>
          </w:rPr>
          <w:t>B-</w:t>
        </w:r>
        <w:r>
          <w:rPr>
            <w:spacing w:val="-10"/>
          </w:rPr>
          <w:t>6</w:t>
        </w:r>
      </w:hyperlink>
    </w:p>
    <w:p w:rsidR="00C31389" w:rsidRDefault="00561FBD" w14:paraId="61FE0DA6" w14:textId="77777777">
      <w:pPr>
        <w:pStyle w:val="ListParagraph"/>
        <w:numPr>
          <w:ilvl w:val="2"/>
          <w:numId w:val="81"/>
        </w:numPr>
        <w:tabs>
          <w:tab w:val="left" w:pos="719"/>
        </w:tabs>
        <w:spacing w:before="59"/>
        <w:ind w:left="719" w:right="478" w:hanging="719"/>
        <w:jc w:val="right"/>
      </w:pPr>
      <w:hyperlink w:history="1" w:anchor="_bookmark262">
        <w:r>
          <w:rPr>
            <w:spacing w:val="-2"/>
          </w:rPr>
          <w:t>Commercial</w:t>
        </w:r>
        <w:r>
          <w:rPr>
            <w:spacing w:val="31"/>
          </w:rPr>
          <w:t xml:space="preserve"> </w:t>
        </w:r>
        <w:r>
          <w:rPr>
            <w:spacing w:val="-2"/>
          </w:rPr>
          <w:t>Water</w:t>
        </w:r>
        <w:r>
          <w:rPr>
            <w:spacing w:val="31"/>
          </w:rPr>
          <w:t xml:space="preserve"> </w:t>
        </w:r>
        <w:r>
          <w:rPr>
            <w:spacing w:val="-2"/>
          </w:rPr>
          <w:t>Heating</w:t>
        </w:r>
        <w:r>
          <w:rPr>
            <w:spacing w:val="23"/>
          </w:rPr>
          <w:t xml:space="preserve"> </w:t>
        </w:r>
        <w:r>
          <w:rPr>
            <w:spacing w:val="-2"/>
          </w:rPr>
          <w:t>.......................................................................</w:t>
        </w:r>
        <w:r>
          <w:rPr>
            <w:spacing w:val="13"/>
          </w:rPr>
          <w:t xml:space="preserve"> </w:t>
        </w:r>
        <w:r>
          <w:rPr>
            <w:spacing w:val="-2"/>
          </w:rPr>
          <w:t>B-</w:t>
        </w:r>
        <w:r>
          <w:rPr>
            <w:spacing w:val="-5"/>
          </w:rPr>
          <w:t>14</w:t>
        </w:r>
      </w:hyperlink>
    </w:p>
    <w:p w:rsidR="00C31389" w:rsidRDefault="00561FBD" w14:paraId="6A5E8799" w14:textId="77777777">
      <w:pPr>
        <w:pStyle w:val="ListParagraph"/>
        <w:numPr>
          <w:ilvl w:val="2"/>
          <w:numId w:val="81"/>
        </w:numPr>
        <w:tabs>
          <w:tab w:val="left" w:pos="719"/>
        </w:tabs>
        <w:spacing w:before="60"/>
        <w:ind w:left="719" w:right="478" w:hanging="719"/>
        <w:jc w:val="right"/>
      </w:pPr>
      <w:hyperlink w:history="1" w:anchor="_bookmark267">
        <w:r>
          <w:rPr>
            <w:spacing w:val="-2"/>
          </w:rPr>
          <w:t>Heat</w:t>
        </w:r>
        <w:r>
          <w:rPr>
            <w:spacing w:val="19"/>
          </w:rPr>
          <w:t xml:space="preserve"> </w:t>
        </w:r>
        <w:r>
          <w:rPr>
            <w:spacing w:val="-2"/>
          </w:rPr>
          <w:t>Pump</w:t>
        </w:r>
        <w:r>
          <w:rPr>
            <w:spacing w:val="21"/>
          </w:rPr>
          <w:t xml:space="preserve"> </w:t>
        </w:r>
        <w:r>
          <w:rPr>
            <w:spacing w:val="-2"/>
          </w:rPr>
          <w:t>Water</w:t>
        </w:r>
        <w:r>
          <w:rPr>
            <w:spacing w:val="20"/>
          </w:rPr>
          <w:t xml:space="preserve"> </w:t>
        </w:r>
        <w:r>
          <w:rPr>
            <w:spacing w:val="-2"/>
          </w:rPr>
          <w:t>Heater</w:t>
        </w:r>
        <w:r>
          <w:rPr>
            <w:spacing w:val="20"/>
          </w:rPr>
          <w:t xml:space="preserve"> </w:t>
        </w:r>
        <w:r>
          <w:rPr>
            <w:spacing w:val="-2"/>
          </w:rPr>
          <w:t>Costs</w:t>
        </w:r>
        <w:r>
          <w:rPr>
            <w:spacing w:val="-20"/>
          </w:rPr>
          <w:t xml:space="preserve"> </w:t>
        </w:r>
        <w:r>
          <w:rPr>
            <w:spacing w:val="-2"/>
          </w:rPr>
          <w:t>................................................................</w:t>
        </w:r>
        <w:r>
          <w:rPr>
            <w:spacing w:val="4"/>
          </w:rPr>
          <w:t xml:space="preserve"> </w:t>
        </w:r>
        <w:r>
          <w:rPr>
            <w:spacing w:val="-2"/>
          </w:rPr>
          <w:t>B-</w:t>
        </w:r>
        <w:r>
          <w:rPr>
            <w:spacing w:val="-5"/>
          </w:rPr>
          <w:t>16</w:t>
        </w:r>
      </w:hyperlink>
    </w:p>
    <w:p w:rsidR="00C31389" w:rsidRDefault="00561FBD" w14:paraId="4784E0CF" w14:textId="77777777">
      <w:pPr>
        <w:pStyle w:val="ListParagraph"/>
        <w:numPr>
          <w:ilvl w:val="1"/>
          <w:numId w:val="81"/>
        </w:numPr>
        <w:tabs>
          <w:tab w:val="left" w:pos="389"/>
        </w:tabs>
        <w:spacing w:before="60"/>
        <w:ind w:left="389" w:right="492" w:hanging="389"/>
        <w:jc w:val="right"/>
      </w:pPr>
      <w:hyperlink w:history="1" w:anchor="_bookmark272">
        <w:r>
          <w:rPr>
            <w:spacing w:val="-2"/>
          </w:rPr>
          <w:t>Approach</w:t>
        </w:r>
        <w:r>
          <w:rPr>
            <w:spacing w:val="21"/>
          </w:rPr>
          <w:t xml:space="preserve"> </w:t>
        </w:r>
        <w:r>
          <w:rPr>
            <w:spacing w:val="-2"/>
          </w:rPr>
          <w:t>for</w:t>
        </w:r>
        <w:r>
          <w:rPr>
            <w:spacing w:val="22"/>
          </w:rPr>
          <w:t xml:space="preserve"> </w:t>
        </w:r>
        <w:r>
          <w:rPr>
            <w:spacing w:val="-2"/>
          </w:rPr>
          <w:t>FS</w:t>
        </w:r>
        <w:r>
          <w:rPr>
            <w:spacing w:val="21"/>
          </w:rPr>
          <w:t xml:space="preserve"> </w:t>
        </w:r>
        <w:r>
          <w:rPr>
            <w:spacing w:val="-2"/>
          </w:rPr>
          <w:t>Cost-Effectiveness</w:t>
        </w:r>
        <w:r>
          <w:rPr>
            <w:spacing w:val="22"/>
          </w:rPr>
          <w:t xml:space="preserve"> </w:t>
        </w:r>
        <w:r>
          <w:rPr>
            <w:spacing w:val="-2"/>
          </w:rPr>
          <w:t>Analysis</w:t>
        </w:r>
        <w:r>
          <w:rPr>
            <w:spacing w:val="-12"/>
          </w:rPr>
          <w:t xml:space="preserve"> </w:t>
        </w:r>
        <w:r>
          <w:rPr>
            <w:spacing w:val="-2"/>
          </w:rPr>
          <w:t>.........................................................</w:t>
        </w:r>
        <w:r>
          <w:rPr>
            <w:spacing w:val="-14"/>
          </w:rPr>
          <w:t xml:space="preserve"> </w:t>
        </w:r>
        <w:r>
          <w:rPr>
            <w:spacing w:val="-2"/>
          </w:rPr>
          <w:t>B-</w:t>
        </w:r>
        <w:r>
          <w:rPr>
            <w:spacing w:val="-5"/>
          </w:rPr>
          <w:t>17</w:t>
        </w:r>
      </w:hyperlink>
    </w:p>
    <w:p w:rsidR="00C31389" w:rsidRDefault="00561FBD" w14:paraId="4FB13213" w14:textId="77777777">
      <w:pPr>
        <w:pStyle w:val="ListParagraph"/>
        <w:numPr>
          <w:ilvl w:val="1"/>
          <w:numId w:val="81"/>
        </w:numPr>
        <w:tabs>
          <w:tab w:val="left" w:pos="389"/>
        </w:tabs>
        <w:spacing w:before="60"/>
        <w:ind w:left="389" w:right="492" w:hanging="389"/>
        <w:jc w:val="right"/>
      </w:pPr>
      <w:hyperlink w:history="1" w:anchor="_bookmark273">
        <w:r>
          <w:t>Accounting</w:t>
        </w:r>
        <w:r>
          <w:rPr>
            <w:spacing w:val="-16"/>
          </w:rPr>
          <w:t xml:space="preserve"> </w:t>
        </w:r>
        <w:r>
          <w:t>for</w:t>
        </w:r>
        <w:r>
          <w:rPr>
            <w:spacing w:val="-15"/>
          </w:rPr>
          <w:t xml:space="preserve"> </w:t>
        </w:r>
        <w:r>
          <w:t>2030</w:t>
        </w:r>
        <w:r>
          <w:rPr>
            <w:spacing w:val="-15"/>
          </w:rPr>
          <w:t xml:space="preserve"> </w:t>
        </w:r>
        <w:r>
          <w:t>Natural</w:t>
        </w:r>
        <w:r>
          <w:rPr>
            <w:spacing w:val="-11"/>
          </w:rPr>
          <w:t xml:space="preserve"> </w:t>
        </w:r>
        <w:r>
          <w:t>Gas</w:t>
        </w:r>
        <w:r>
          <w:rPr>
            <w:spacing w:val="-11"/>
          </w:rPr>
          <w:t xml:space="preserve"> </w:t>
        </w:r>
        <w:r>
          <w:t>Appliance</w:t>
        </w:r>
        <w:r>
          <w:rPr>
            <w:spacing w:val="-12"/>
          </w:rPr>
          <w:t xml:space="preserve"> </w:t>
        </w:r>
        <w:r>
          <w:t>Ban</w:t>
        </w:r>
        <w:r>
          <w:rPr>
            <w:spacing w:val="-16"/>
          </w:rPr>
          <w:t xml:space="preserve"> </w:t>
        </w:r>
        <w:r>
          <w:t>....................................................</w:t>
        </w:r>
        <w:r>
          <w:rPr>
            <w:spacing w:val="-25"/>
          </w:rPr>
          <w:t xml:space="preserve"> </w:t>
        </w:r>
        <w:r>
          <w:t>B-</w:t>
        </w:r>
        <w:r>
          <w:rPr>
            <w:spacing w:val="-5"/>
          </w:rPr>
          <w:t>18</w:t>
        </w:r>
      </w:hyperlink>
    </w:p>
    <w:p w:rsidR="00C31389" w:rsidRDefault="00561FBD" w14:paraId="5BDAEAAD" w14:textId="77777777">
      <w:pPr>
        <w:spacing w:before="121"/>
        <w:ind w:right="487"/>
        <w:jc w:val="right"/>
        <w:rPr>
          <w:b/>
          <w:sz w:val="24"/>
        </w:rPr>
      </w:pPr>
      <w:hyperlink w:history="1" w:anchor="_bookmark276">
        <w:r>
          <w:rPr>
            <w:b/>
            <w:sz w:val="24"/>
          </w:rPr>
          <w:t>Appendix</w:t>
        </w:r>
        <w:r>
          <w:rPr>
            <w:b/>
            <w:spacing w:val="-6"/>
            <w:sz w:val="24"/>
          </w:rPr>
          <w:t xml:space="preserve"> </w:t>
        </w:r>
        <w:r>
          <w:rPr>
            <w:b/>
            <w:sz w:val="24"/>
          </w:rPr>
          <w:t>C.</w:t>
        </w:r>
        <w:r>
          <w:rPr>
            <w:b/>
            <w:spacing w:val="-3"/>
            <w:sz w:val="24"/>
          </w:rPr>
          <w:t xml:space="preserve"> </w:t>
        </w:r>
        <w:r>
          <w:rPr>
            <w:b/>
            <w:sz w:val="24"/>
          </w:rPr>
          <w:t>Panel</w:t>
        </w:r>
        <w:r>
          <w:rPr>
            <w:b/>
            <w:spacing w:val="-2"/>
            <w:sz w:val="24"/>
          </w:rPr>
          <w:t xml:space="preserve"> </w:t>
        </w:r>
        <w:r>
          <w:rPr>
            <w:b/>
            <w:sz w:val="24"/>
          </w:rPr>
          <w:t>Upgrade</w:t>
        </w:r>
        <w:r>
          <w:rPr>
            <w:b/>
            <w:spacing w:val="-4"/>
            <w:sz w:val="24"/>
          </w:rPr>
          <w:t xml:space="preserve"> </w:t>
        </w:r>
        <w:r>
          <w:rPr>
            <w:b/>
            <w:sz w:val="24"/>
          </w:rPr>
          <w:t>Literature</w:t>
        </w:r>
        <w:r>
          <w:rPr>
            <w:b/>
            <w:spacing w:val="-3"/>
            <w:sz w:val="24"/>
          </w:rPr>
          <w:t xml:space="preserve"> </w:t>
        </w:r>
        <w:r>
          <w:rPr>
            <w:b/>
            <w:sz w:val="24"/>
          </w:rPr>
          <w:t>Review</w:t>
        </w:r>
        <w:r>
          <w:rPr>
            <w:b/>
            <w:spacing w:val="-6"/>
            <w:sz w:val="24"/>
          </w:rPr>
          <w:t xml:space="preserve"> </w:t>
        </w:r>
        <w:r>
          <w:rPr>
            <w:b/>
            <w:sz w:val="24"/>
          </w:rPr>
          <w:t>....................................................</w:t>
        </w:r>
        <w:r>
          <w:rPr>
            <w:b/>
            <w:spacing w:val="-12"/>
            <w:sz w:val="24"/>
          </w:rPr>
          <w:t xml:space="preserve"> </w:t>
        </w:r>
        <w:r>
          <w:rPr>
            <w:b/>
            <w:sz w:val="24"/>
          </w:rPr>
          <w:t>C-</w:t>
        </w:r>
        <w:r>
          <w:rPr>
            <w:b/>
            <w:spacing w:val="-5"/>
            <w:sz w:val="24"/>
          </w:rPr>
          <w:t>20</w:t>
        </w:r>
      </w:hyperlink>
    </w:p>
    <w:p w:rsidR="00C31389" w:rsidRDefault="00561FBD" w14:paraId="7869DEA3" w14:textId="77777777">
      <w:pPr>
        <w:pStyle w:val="ListParagraph"/>
        <w:numPr>
          <w:ilvl w:val="1"/>
          <w:numId w:val="80"/>
        </w:numPr>
        <w:tabs>
          <w:tab w:val="left" w:pos="401"/>
        </w:tabs>
        <w:spacing w:before="120"/>
        <w:ind w:left="401" w:right="492" w:hanging="401"/>
        <w:jc w:val="right"/>
      </w:pPr>
      <w:hyperlink w:history="1" w:anchor="_bookmark277">
        <w:r>
          <w:rPr>
            <w:spacing w:val="-2"/>
          </w:rPr>
          <w:t>Method</w:t>
        </w:r>
        <w:r>
          <w:rPr>
            <w:spacing w:val="30"/>
          </w:rPr>
          <w:t xml:space="preserve">  </w:t>
        </w:r>
        <w:r>
          <w:rPr>
            <w:spacing w:val="-2"/>
          </w:rPr>
          <w:t>....................................................................................................................</w:t>
        </w:r>
        <w:r>
          <w:t xml:space="preserve"> </w:t>
        </w:r>
        <w:r>
          <w:rPr>
            <w:spacing w:val="-2"/>
          </w:rPr>
          <w:t>C-</w:t>
        </w:r>
        <w:r>
          <w:rPr>
            <w:spacing w:val="-5"/>
          </w:rPr>
          <w:t>20</w:t>
        </w:r>
      </w:hyperlink>
    </w:p>
    <w:p w:rsidR="00C31389" w:rsidRDefault="00561FBD" w14:paraId="108F13B8" w14:textId="77777777">
      <w:pPr>
        <w:pStyle w:val="ListParagraph"/>
        <w:numPr>
          <w:ilvl w:val="1"/>
          <w:numId w:val="80"/>
        </w:numPr>
        <w:tabs>
          <w:tab w:val="left" w:pos="401"/>
        </w:tabs>
        <w:spacing w:before="59"/>
        <w:ind w:left="401" w:right="492" w:hanging="401"/>
        <w:jc w:val="right"/>
      </w:pPr>
      <w:hyperlink w:history="1" w:anchor="_bookmark279">
        <w:r>
          <w:rPr>
            <w:spacing w:val="-2"/>
          </w:rPr>
          <w:t>Findings</w:t>
        </w:r>
        <w:r>
          <w:rPr>
            <w:spacing w:val="50"/>
          </w:rPr>
          <w:t xml:space="preserve"> </w:t>
        </w:r>
        <w:r>
          <w:rPr>
            <w:spacing w:val="-2"/>
          </w:rPr>
          <w:t>.</w:t>
        </w:r>
        <w:r>
          <w:rPr>
            <w:spacing w:val="-2"/>
          </w:rPr>
          <w:t>..................................................................................................................</w:t>
        </w:r>
        <w:r>
          <w:rPr>
            <w:spacing w:val="36"/>
          </w:rPr>
          <w:t xml:space="preserve"> </w:t>
        </w:r>
        <w:r>
          <w:rPr>
            <w:spacing w:val="-2"/>
          </w:rPr>
          <w:t>C-</w:t>
        </w:r>
        <w:r>
          <w:rPr>
            <w:spacing w:val="-5"/>
          </w:rPr>
          <w:t>21</w:t>
        </w:r>
      </w:hyperlink>
    </w:p>
    <w:p w:rsidR="00C31389" w:rsidRDefault="00561FBD" w14:paraId="5BF44119" w14:textId="77777777">
      <w:pPr>
        <w:pStyle w:val="ListParagraph"/>
        <w:numPr>
          <w:ilvl w:val="2"/>
          <w:numId w:val="80"/>
        </w:numPr>
        <w:tabs>
          <w:tab w:val="left" w:pos="718"/>
        </w:tabs>
        <w:spacing w:before="60"/>
        <w:ind w:left="718" w:right="478" w:hanging="718"/>
        <w:jc w:val="right"/>
      </w:pPr>
      <w:hyperlink w:history="1" w:anchor="_bookmark280">
        <w:r>
          <w:rPr>
            <w:spacing w:val="-2"/>
          </w:rPr>
          <w:t>Panel</w:t>
        </w:r>
        <w:r>
          <w:rPr>
            <w:spacing w:val="35"/>
          </w:rPr>
          <w:t xml:space="preserve"> </w:t>
        </w:r>
        <w:r>
          <w:rPr>
            <w:spacing w:val="-2"/>
          </w:rPr>
          <w:t>Upgrade</w:t>
        </w:r>
        <w:r>
          <w:rPr>
            <w:spacing w:val="35"/>
          </w:rPr>
          <w:t xml:space="preserve"> </w:t>
        </w:r>
        <w:r>
          <w:rPr>
            <w:spacing w:val="-2"/>
          </w:rPr>
          <w:t>Costs</w:t>
        </w:r>
        <w:r>
          <w:rPr>
            <w:spacing w:val="25"/>
          </w:rPr>
          <w:t xml:space="preserve"> </w:t>
        </w:r>
        <w:r>
          <w:rPr>
            <w:spacing w:val="-2"/>
          </w:rPr>
          <w:t>................................................................................</w:t>
        </w:r>
        <w:r>
          <w:rPr>
            <w:spacing w:val="-4"/>
          </w:rPr>
          <w:t xml:space="preserve"> </w:t>
        </w:r>
        <w:r>
          <w:rPr>
            <w:spacing w:val="-2"/>
          </w:rPr>
          <w:t>C-</w:t>
        </w:r>
        <w:r>
          <w:rPr>
            <w:spacing w:val="-5"/>
          </w:rPr>
          <w:t>21</w:t>
        </w:r>
      </w:hyperlink>
    </w:p>
    <w:p w:rsidR="00C31389" w:rsidRDefault="00561FBD" w14:paraId="44725252" w14:textId="77777777">
      <w:pPr>
        <w:pStyle w:val="ListParagraph"/>
        <w:numPr>
          <w:ilvl w:val="2"/>
          <w:numId w:val="80"/>
        </w:numPr>
        <w:tabs>
          <w:tab w:val="left" w:pos="718"/>
        </w:tabs>
        <w:spacing w:before="60"/>
        <w:ind w:left="718" w:right="478" w:hanging="718"/>
        <w:jc w:val="right"/>
      </w:pPr>
      <w:hyperlink w:history="1" w:anchor="_bookmark283">
        <w:r>
          <w:t>Assessing</w:t>
        </w:r>
        <w:r>
          <w:rPr>
            <w:spacing w:val="-16"/>
          </w:rPr>
          <w:t xml:space="preserve"> </w:t>
        </w:r>
        <w:r>
          <w:t>the</w:t>
        </w:r>
        <w:r>
          <w:rPr>
            <w:spacing w:val="-14"/>
          </w:rPr>
          <w:t xml:space="preserve"> </w:t>
        </w:r>
        <w:r>
          <w:t>Basis</w:t>
        </w:r>
        <w:r>
          <w:rPr>
            <w:spacing w:val="-10"/>
          </w:rPr>
          <w:t xml:space="preserve"> </w:t>
        </w:r>
        <w:r>
          <w:t>and</w:t>
        </w:r>
        <w:r>
          <w:rPr>
            <w:spacing w:val="-10"/>
          </w:rPr>
          <w:t xml:space="preserve"> </w:t>
        </w:r>
        <w:r>
          <w:t>Need</w:t>
        </w:r>
        <w:r>
          <w:rPr>
            <w:spacing w:val="-9"/>
          </w:rPr>
          <w:t xml:space="preserve"> </w:t>
        </w:r>
        <w:r>
          <w:t>for</w:t>
        </w:r>
        <w:r>
          <w:rPr>
            <w:spacing w:val="-10"/>
          </w:rPr>
          <w:t xml:space="preserve"> </w:t>
        </w:r>
        <w:r>
          <w:t>Panel</w:t>
        </w:r>
        <w:r>
          <w:rPr>
            <w:spacing w:val="-10"/>
          </w:rPr>
          <w:t xml:space="preserve"> </w:t>
        </w:r>
        <w:r>
          <w:t>Upgrades</w:t>
        </w:r>
        <w:r>
          <w:rPr>
            <w:spacing w:val="-40"/>
          </w:rPr>
          <w:t xml:space="preserve"> </w:t>
        </w:r>
        <w:r>
          <w:t>..................................</w:t>
        </w:r>
        <w:r>
          <w:rPr>
            <w:spacing w:val="-22"/>
          </w:rPr>
          <w:t xml:space="preserve"> </w:t>
        </w:r>
        <w:r>
          <w:t>C-</w:t>
        </w:r>
        <w:r>
          <w:rPr>
            <w:spacing w:val="-5"/>
          </w:rPr>
          <w:t>23</w:t>
        </w:r>
      </w:hyperlink>
    </w:p>
    <w:p w:rsidR="00C31389" w:rsidRDefault="00561FBD" w14:paraId="70CCDF64" w14:textId="77777777">
      <w:pPr>
        <w:pStyle w:val="ListParagraph"/>
        <w:numPr>
          <w:ilvl w:val="1"/>
          <w:numId w:val="80"/>
        </w:numPr>
        <w:tabs>
          <w:tab w:val="left" w:pos="401"/>
        </w:tabs>
        <w:spacing w:before="60"/>
        <w:ind w:left="401" w:right="493" w:hanging="401"/>
        <w:jc w:val="right"/>
      </w:pPr>
      <w:hyperlink w:history="1" w:anchor="_bookmark294">
        <w:r>
          <w:rPr>
            <w:spacing w:val="-2"/>
          </w:rPr>
          <w:t>Gap</w:t>
        </w:r>
        <w:r>
          <w:rPr>
            <w:spacing w:val="75"/>
          </w:rPr>
          <w:t xml:space="preserve"> </w:t>
        </w:r>
        <w:r>
          <w:rPr>
            <w:spacing w:val="-2"/>
          </w:rPr>
          <w:t>Analysis</w:t>
        </w:r>
        <w:r>
          <w:rPr>
            <w:spacing w:val="42"/>
          </w:rPr>
          <w:t xml:space="preserve"> </w:t>
        </w:r>
        <w:r>
          <w:rPr>
            <w:spacing w:val="-2"/>
          </w:rPr>
          <w:t>...........................................................................................................</w:t>
        </w:r>
        <w:r>
          <w:rPr>
            <w:spacing w:val="-17"/>
          </w:rPr>
          <w:t xml:space="preserve"> </w:t>
        </w:r>
        <w:r>
          <w:rPr>
            <w:spacing w:val="-2"/>
          </w:rPr>
          <w:t>C-</w:t>
        </w:r>
        <w:r>
          <w:rPr>
            <w:spacing w:val="-5"/>
          </w:rPr>
          <w:t>28</w:t>
        </w:r>
      </w:hyperlink>
    </w:p>
    <w:p w:rsidR="00C31389" w:rsidRDefault="00561FBD" w14:paraId="7EA2E3BB" w14:textId="77777777">
      <w:pPr>
        <w:pStyle w:val="ListParagraph"/>
        <w:numPr>
          <w:ilvl w:val="1"/>
          <w:numId w:val="80"/>
        </w:numPr>
        <w:tabs>
          <w:tab w:val="left" w:pos="401"/>
        </w:tabs>
        <w:spacing w:before="61"/>
        <w:ind w:left="401" w:right="493" w:hanging="401"/>
        <w:jc w:val="right"/>
      </w:pPr>
      <w:hyperlink w:history="1" w:anchor="_bookmark298">
        <w:r>
          <w:t>Incorporating</w:t>
        </w:r>
        <w:r>
          <w:rPr>
            <w:spacing w:val="-16"/>
          </w:rPr>
          <w:t xml:space="preserve"> </w:t>
        </w:r>
        <w:r>
          <w:t>Panel</w:t>
        </w:r>
        <w:r>
          <w:rPr>
            <w:spacing w:val="-15"/>
          </w:rPr>
          <w:t xml:space="preserve"> </w:t>
        </w:r>
        <w:r>
          <w:t>Upgrade</w:t>
        </w:r>
        <w:r>
          <w:rPr>
            <w:spacing w:val="-11"/>
          </w:rPr>
          <w:t xml:space="preserve"> </w:t>
        </w:r>
        <w:r>
          <w:t>Data</w:t>
        </w:r>
        <w:r>
          <w:rPr>
            <w:spacing w:val="-11"/>
          </w:rPr>
          <w:t xml:space="preserve"> </w:t>
        </w:r>
        <w:r>
          <w:t>into</w:t>
        </w:r>
        <w:r>
          <w:rPr>
            <w:spacing w:val="-10"/>
          </w:rPr>
          <w:t xml:space="preserve"> </w:t>
        </w:r>
        <w:r>
          <w:t>the</w:t>
        </w:r>
        <w:r>
          <w:rPr>
            <w:spacing w:val="-11"/>
          </w:rPr>
          <w:t xml:space="preserve"> </w:t>
        </w:r>
        <w:r>
          <w:t>Measure</w:t>
        </w:r>
        <w:r>
          <w:rPr>
            <w:spacing w:val="-10"/>
          </w:rPr>
          <w:t xml:space="preserve"> </w:t>
        </w:r>
        <w:r>
          <w:t>Characterization</w:t>
        </w:r>
        <w:r>
          <w:rPr>
            <w:spacing w:val="-35"/>
          </w:rPr>
          <w:t xml:space="preserve"> </w:t>
        </w:r>
        <w:r>
          <w:t>...................</w:t>
        </w:r>
        <w:r>
          <w:rPr>
            <w:spacing w:val="-35"/>
          </w:rPr>
          <w:t xml:space="preserve"> </w:t>
        </w:r>
        <w:r>
          <w:t>C-</w:t>
        </w:r>
        <w:r>
          <w:rPr>
            <w:spacing w:val="-5"/>
          </w:rPr>
          <w:t>30</w:t>
        </w:r>
      </w:hyperlink>
    </w:p>
    <w:p w:rsidR="00C31389" w:rsidRDefault="00561FBD" w14:paraId="4A07660F" w14:textId="77777777">
      <w:pPr>
        <w:spacing w:before="120"/>
        <w:ind w:right="487"/>
        <w:jc w:val="right"/>
        <w:rPr>
          <w:b/>
          <w:sz w:val="24"/>
        </w:rPr>
      </w:pPr>
      <w:hyperlink w:history="1" w:anchor="_bookmark300">
        <w:r>
          <w:rPr>
            <w:b/>
            <w:sz w:val="24"/>
          </w:rPr>
          <w:t>Appendix</w:t>
        </w:r>
        <w:r>
          <w:rPr>
            <w:b/>
            <w:spacing w:val="-3"/>
            <w:sz w:val="24"/>
          </w:rPr>
          <w:t xml:space="preserve"> </w:t>
        </w:r>
        <w:r>
          <w:rPr>
            <w:b/>
            <w:sz w:val="24"/>
          </w:rPr>
          <w:t>D.</w:t>
        </w:r>
        <w:r>
          <w:rPr>
            <w:b/>
            <w:spacing w:val="-1"/>
            <w:sz w:val="24"/>
          </w:rPr>
          <w:t xml:space="preserve"> </w:t>
        </w:r>
        <w:r>
          <w:rPr>
            <w:b/>
            <w:sz w:val="24"/>
          </w:rPr>
          <w:t>BROs</w:t>
        </w:r>
        <w:r>
          <w:rPr>
            <w:b/>
            <w:spacing w:val="-14"/>
            <w:sz w:val="24"/>
          </w:rPr>
          <w:t xml:space="preserve"> </w:t>
        </w:r>
        <w:r>
          <w:rPr>
            <w:b/>
            <w:sz w:val="24"/>
          </w:rPr>
          <w:t>..................................................................................................</w:t>
        </w:r>
        <w:r>
          <w:rPr>
            <w:b/>
            <w:spacing w:val="-12"/>
            <w:sz w:val="24"/>
          </w:rPr>
          <w:t xml:space="preserve"> </w:t>
        </w:r>
        <w:r>
          <w:rPr>
            <w:b/>
            <w:sz w:val="24"/>
          </w:rPr>
          <w:t>D-</w:t>
        </w:r>
        <w:r>
          <w:rPr>
            <w:b/>
            <w:spacing w:val="-5"/>
            <w:sz w:val="24"/>
          </w:rPr>
          <w:t>31</w:t>
        </w:r>
      </w:hyperlink>
    </w:p>
    <w:p w:rsidR="00C31389" w:rsidRDefault="00561FBD" w14:paraId="18E3214C" w14:textId="77777777">
      <w:pPr>
        <w:pStyle w:val="ListParagraph"/>
        <w:numPr>
          <w:ilvl w:val="1"/>
          <w:numId w:val="79"/>
        </w:numPr>
        <w:tabs>
          <w:tab w:val="left" w:pos="401"/>
        </w:tabs>
        <w:spacing w:before="120"/>
        <w:ind w:left="401" w:right="492" w:hanging="401"/>
        <w:jc w:val="right"/>
      </w:pPr>
      <w:hyperlink w:history="1" w:anchor="_bookmark301">
        <w:r>
          <w:rPr>
            <w:spacing w:val="-2"/>
          </w:rPr>
          <w:t>Resi</w:t>
        </w:r>
        <w:r>
          <w:rPr>
            <w:spacing w:val="-2"/>
          </w:rPr>
          <w:t>dential</w:t>
        </w:r>
        <w:r>
          <w:rPr>
            <w:spacing w:val="24"/>
          </w:rPr>
          <w:t xml:space="preserve"> </w:t>
        </w:r>
        <w:r>
          <w:rPr>
            <w:spacing w:val="-2"/>
          </w:rPr>
          <w:t>–</w:t>
        </w:r>
        <w:r>
          <w:rPr>
            <w:spacing w:val="24"/>
          </w:rPr>
          <w:t xml:space="preserve"> </w:t>
        </w:r>
        <w:r>
          <w:rPr>
            <w:spacing w:val="-2"/>
          </w:rPr>
          <w:t>Home</w:t>
        </w:r>
        <w:r>
          <w:rPr>
            <w:spacing w:val="24"/>
          </w:rPr>
          <w:t xml:space="preserve"> </w:t>
        </w:r>
        <w:r>
          <w:rPr>
            <w:spacing w:val="-2"/>
          </w:rPr>
          <w:t>Energy</w:t>
        </w:r>
        <w:r>
          <w:rPr>
            <w:spacing w:val="24"/>
          </w:rPr>
          <w:t xml:space="preserve"> </w:t>
        </w:r>
        <w:r>
          <w:rPr>
            <w:spacing w:val="-2"/>
          </w:rPr>
          <w:t>Reports</w:t>
        </w:r>
        <w:r>
          <w:rPr>
            <w:spacing w:val="-11"/>
          </w:rPr>
          <w:t xml:space="preserve"> </w:t>
        </w:r>
        <w:r>
          <w:rPr>
            <w:spacing w:val="-2"/>
          </w:rPr>
          <w:t>.......................................................................</w:t>
        </w:r>
        <w:r>
          <w:rPr>
            <w:spacing w:val="-30"/>
          </w:rPr>
          <w:t xml:space="preserve"> </w:t>
        </w:r>
        <w:r>
          <w:rPr>
            <w:spacing w:val="-2"/>
          </w:rPr>
          <w:t>D-</w:t>
        </w:r>
        <w:r>
          <w:rPr>
            <w:spacing w:val="-5"/>
          </w:rPr>
          <w:t>31</w:t>
        </w:r>
      </w:hyperlink>
    </w:p>
    <w:p w:rsidR="00C31389" w:rsidRDefault="00561FBD" w14:paraId="5C811DE6" w14:textId="77777777">
      <w:pPr>
        <w:pStyle w:val="ListParagraph"/>
        <w:numPr>
          <w:ilvl w:val="2"/>
          <w:numId w:val="79"/>
        </w:numPr>
        <w:tabs>
          <w:tab w:val="left" w:pos="718"/>
        </w:tabs>
        <w:spacing w:before="59"/>
        <w:ind w:left="718" w:right="478" w:hanging="718"/>
        <w:jc w:val="right"/>
      </w:pPr>
      <w:hyperlink w:history="1" w:anchor="_bookmark302">
        <w:r>
          <w:rPr>
            <w:spacing w:val="-2"/>
          </w:rPr>
          <w:t>Summary</w:t>
        </w:r>
        <w:r>
          <w:rPr>
            <w:spacing w:val="57"/>
          </w:rPr>
          <w:t xml:space="preserve"> </w:t>
        </w:r>
        <w:r>
          <w:rPr>
            <w:spacing w:val="-2"/>
          </w:rPr>
          <w:t>............................................................................</w:t>
        </w:r>
        <w:r>
          <w:rPr>
            <w:spacing w:val="-2"/>
          </w:rPr>
          <w:t>.......................</w:t>
        </w:r>
        <w:r>
          <w:rPr>
            <w:spacing w:val="38"/>
          </w:rPr>
          <w:t xml:space="preserve"> </w:t>
        </w:r>
        <w:r>
          <w:rPr>
            <w:spacing w:val="-2"/>
          </w:rPr>
          <w:t>D-</w:t>
        </w:r>
        <w:r>
          <w:rPr>
            <w:spacing w:val="-5"/>
          </w:rPr>
          <w:t>31</w:t>
        </w:r>
      </w:hyperlink>
    </w:p>
    <w:p w:rsidR="00C31389" w:rsidRDefault="00561FBD" w14:paraId="6064F0B8" w14:textId="77777777">
      <w:pPr>
        <w:pStyle w:val="ListParagraph"/>
        <w:numPr>
          <w:ilvl w:val="2"/>
          <w:numId w:val="79"/>
        </w:numPr>
        <w:tabs>
          <w:tab w:val="left" w:pos="718"/>
        </w:tabs>
        <w:spacing w:before="60"/>
        <w:ind w:left="718" w:right="478" w:hanging="718"/>
        <w:jc w:val="right"/>
      </w:pPr>
      <w:hyperlink w:history="1" w:anchor="_bookmark304">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31</w:t>
        </w:r>
      </w:hyperlink>
    </w:p>
    <w:p w:rsidR="00C31389" w:rsidRDefault="00561FBD" w14:paraId="1B73BFD4" w14:textId="77777777">
      <w:pPr>
        <w:pStyle w:val="ListParagraph"/>
        <w:numPr>
          <w:ilvl w:val="1"/>
          <w:numId w:val="79"/>
        </w:numPr>
        <w:tabs>
          <w:tab w:val="left" w:pos="401"/>
        </w:tabs>
        <w:spacing w:before="60"/>
        <w:ind w:left="401" w:right="492" w:hanging="401"/>
        <w:jc w:val="right"/>
      </w:pPr>
      <w:hyperlink w:history="1" w:anchor="_bookmark313">
        <w:r>
          <w:rPr>
            <w:spacing w:val="-2"/>
          </w:rPr>
          <w:t>Residential</w:t>
        </w:r>
        <w:r>
          <w:rPr>
            <w:spacing w:val="23"/>
          </w:rPr>
          <w:t xml:space="preserve"> </w:t>
        </w:r>
        <w:r>
          <w:rPr>
            <w:spacing w:val="-2"/>
          </w:rPr>
          <w:t>–</w:t>
        </w:r>
        <w:r>
          <w:rPr>
            <w:spacing w:val="24"/>
          </w:rPr>
          <w:t xml:space="preserve"> </w:t>
        </w:r>
        <w:r>
          <w:rPr>
            <w:spacing w:val="-2"/>
          </w:rPr>
          <w:t>Universal</w:t>
        </w:r>
        <w:r>
          <w:rPr>
            <w:spacing w:val="24"/>
          </w:rPr>
          <w:t xml:space="preserve"> </w:t>
        </w:r>
        <w:r>
          <w:rPr>
            <w:spacing w:val="-2"/>
          </w:rPr>
          <w:t>Audit</w:t>
        </w:r>
        <w:r>
          <w:rPr>
            <w:spacing w:val="23"/>
          </w:rPr>
          <w:t xml:space="preserve"> </w:t>
        </w:r>
        <w:r>
          <w:rPr>
            <w:spacing w:val="-2"/>
          </w:rPr>
          <w:t>Tool</w:t>
        </w:r>
        <w:r>
          <w:rPr>
            <w:spacing w:val="23"/>
          </w:rPr>
          <w:t xml:space="preserve"> </w:t>
        </w:r>
        <w:r>
          <w:rPr>
            <w:spacing w:val="-2"/>
          </w:rPr>
          <w:t>..........................................................................</w:t>
        </w:r>
        <w:r>
          <w:rPr>
            <w:spacing w:val="-31"/>
          </w:rPr>
          <w:t xml:space="preserve"> </w:t>
        </w:r>
        <w:r>
          <w:rPr>
            <w:spacing w:val="-2"/>
          </w:rPr>
          <w:t>D-</w:t>
        </w:r>
        <w:r>
          <w:rPr>
            <w:spacing w:val="-5"/>
          </w:rPr>
          <w:t>34</w:t>
        </w:r>
      </w:hyperlink>
    </w:p>
    <w:p w:rsidR="00C31389" w:rsidRDefault="00561FBD" w14:paraId="4292DA98" w14:textId="77777777">
      <w:pPr>
        <w:pStyle w:val="ListParagraph"/>
        <w:numPr>
          <w:ilvl w:val="2"/>
          <w:numId w:val="79"/>
        </w:numPr>
        <w:tabs>
          <w:tab w:val="left" w:pos="718"/>
        </w:tabs>
        <w:spacing w:before="61"/>
        <w:ind w:left="718" w:right="478" w:hanging="718"/>
        <w:jc w:val="right"/>
      </w:pPr>
      <w:hyperlink w:history="1" w:anchor="_bookmark314">
        <w:r>
          <w:rPr>
            <w:spacing w:val="-2"/>
          </w:rPr>
          <w:t>Summary</w:t>
        </w:r>
        <w:r>
          <w:rPr>
            <w:spacing w:val="57"/>
          </w:rPr>
          <w:t xml:space="preserve"> </w:t>
        </w:r>
        <w:r>
          <w:rPr>
            <w:spacing w:val="-2"/>
          </w:rPr>
          <w:t>...................................................................................................</w:t>
        </w:r>
        <w:r>
          <w:rPr>
            <w:spacing w:val="38"/>
          </w:rPr>
          <w:t xml:space="preserve"> </w:t>
        </w:r>
        <w:r>
          <w:rPr>
            <w:spacing w:val="-2"/>
          </w:rPr>
          <w:t>D-</w:t>
        </w:r>
        <w:r>
          <w:rPr>
            <w:spacing w:val="-5"/>
          </w:rPr>
          <w:t>34</w:t>
        </w:r>
      </w:hyperlink>
    </w:p>
    <w:p w:rsidR="00C31389" w:rsidRDefault="00561FBD" w14:paraId="16D8C400" w14:textId="77777777">
      <w:pPr>
        <w:pStyle w:val="ListParagraph"/>
        <w:numPr>
          <w:ilvl w:val="2"/>
          <w:numId w:val="79"/>
        </w:numPr>
        <w:tabs>
          <w:tab w:val="left" w:pos="718"/>
        </w:tabs>
        <w:spacing w:before="60"/>
        <w:ind w:left="718" w:right="478" w:hanging="718"/>
        <w:jc w:val="right"/>
      </w:pPr>
      <w:hyperlink w:history="1" w:anchor="_bookmark318">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35</w:t>
        </w:r>
      </w:hyperlink>
    </w:p>
    <w:p w:rsidR="00C31389" w:rsidRDefault="00561FBD" w14:paraId="14E3F21E" w14:textId="77777777">
      <w:pPr>
        <w:pStyle w:val="ListParagraph"/>
        <w:numPr>
          <w:ilvl w:val="1"/>
          <w:numId w:val="79"/>
        </w:numPr>
        <w:tabs>
          <w:tab w:val="left" w:pos="401"/>
        </w:tabs>
        <w:spacing w:before="59"/>
        <w:ind w:left="401" w:right="493" w:hanging="401"/>
        <w:jc w:val="right"/>
      </w:pPr>
      <w:hyperlink w:history="1" w:anchor="_bookmark322">
        <w:r>
          <w:t>Residential</w:t>
        </w:r>
        <w:r>
          <w:rPr>
            <w:spacing w:val="-16"/>
          </w:rPr>
          <w:t xml:space="preserve"> </w:t>
        </w:r>
        <w:r>
          <w:t>–</w:t>
        </w:r>
        <w:r>
          <w:rPr>
            <w:spacing w:val="-9"/>
          </w:rPr>
          <w:t xml:space="preserve"> </w:t>
        </w:r>
        <w:r>
          <w:t>Real-Time</w:t>
        </w:r>
        <w:r>
          <w:rPr>
            <w:spacing w:val="-9"/>
          </w:rPr>
          <w:t xml:space="preserve"> </w:t>
        </w:r>
        <w:r>
          <w:t>Feedback:</w:t>
        </w:r>
        <w:r>
          <w:rPr>
            <w:spacing w:val="-10"/>
          </w:rPr>
          <w:t xml:space="preserve"> </w:t>
        </w:r>
        <w:r>
          <w:t>In-Home</w:t>
        </w:r>
        <w:r>
          <w:rPr>
            <w:spacing w:val="-9"/>
          </w:rPr>
          <w:t xml:space="preserve"> </w:t>
        </w:r>
        <w:r>
          <w:t>Displays</w:t>
        </w:r>
        <w:r>
          <w:rPr>
            <w:spacing w:val="-9"/>
          </w:rPr>
          <w:t xml:space="preserve"> </w:t>
        </w:r>
        <w:r>
          <w:t>and</w:t>
        </w:r>
        <w:r>
          <w:rPr>
            <w:spacing w:val="-10"/>
          </w:rPr>
          <w:t xml:space="preserve"> </w:t>
        </w:r>
        <w:r>
          <w:t>Online</w:t>
        </w:r>
        <w:r>
          <w:rPr>
            <w:spacing w:val="-9"/>
          </w:rPr>
          <w:t xml:space="preserve"> </w:t>
        </w:r>
        <w:r>
          <w:t>Portals</w:t>
        </w:r>
        <w:r>
          <w:rPr>
            <w:spacing w:val="-15"/>
          </w:rPr>
          <w:t xml:space="preserve"> </w:t>
        </w:r>
        <w:r>
          <w:t>............</w:t>
        </w:r>
        <w:r>
          <w:rPr>
            <w:spacing w:val="-35"/>
          </w:rPr>
          <w:t xml:space="preserve"> </w:t>
        </w:r>
        <w:r>
          <w:t>D-</w:t>
        </w:r>
        <w:r>
          <w:rPr>
            <w:spacing w:val="-5"/>
          </w:rPr>
          <w:t>36</w:t>
        </w:r>
      </w:hyperlink>
    </w:p>
    <w:p w:rsidR="00C31389" w:rsidRDefault="00561FBD" w14:paraId="07CC32A2" w14:textId="77777777">
      <w:pPr>
        <w:pStyle w:val="ListParagraph"/>
        <w:numPr>
          <w:ilvl w:val="2"/>
          <w:numId w:val="79"/>
        </w:numPr>
        <w:tabs>
          <w:tab w:val="left" w:pos="718"/>
        </w:tabs>
        <w:spacing w:before="60"/>
        <w:ind w:left="718" w:right="478" w:hanging="718"/>
        <w:jc w:val="right"/>
      </w:pPr>
      <w:hyperlink w:history="1" w:anchor="_bookmark323">
        <w:r>
          <w:rPr>
            <w:spacing w:val="-2"/>
          </w:rPr>
          <w:t>Summary</w:t>
        </w:r>
        <w:r>
          <w:rPr>
            <w:spacing w:val="57"/>
          </w:rPr>
          <w:t xml:space="preserve"> </w:t>
        </w:r>
        <w:r>
          <w:rPr>
            <w:spacing w:val="-2"/>
          </w:rPr>
          <w:t>...................................................................................................</w:t>
        </w:r>
        <w:r>
          <w:rPr>
            <w:spacing w:val="38"/>
          </w:rPr>
          <w:t xml:space="preserve"> </w:t>
        </w:r>
        <w:r>
          <w:rPr>
            <w:spacing w:val="-2"/>
          </w:rPr>
          <w:t>D-</w:t>
        </w:r>
        <w:r>
          <w:rPr>
            <w:spacing w:val="-5"/>
          </w:rPr>
          <w:t>36</w:t>
        </w:r>
      </w:hyperlink>
    </w:p>
    <w:p w:rsidR="00C31389" w:rsidRDefault="00561FBD" w14:paraId="3FBF1A23" w14:textId="77777777">
      <w:pPr>
        <w:pStyle w:val="ListParagraph"/>
        <w:numPr>
          <w:ilvl w:val="2"/>
          <w:numId w:val="79"/>
        </w:numPr>
        <w:tabs>
          <w:tab w:val="left" w:pos="718"/>
        </w:tabs>
        <w:spacing w:before="60"/>
        <w:ind w:left="718" w:right="479" w:hanging="718"/>
        <w:jc w:val="right"/>
      </w:pPr>
      <w:hyperlink w:history="1" w:anchor="_bookmark327">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37</w:t>
        </w:r>
      </w:hyperlink>
    </w:p>
    <w:p w:rsidR="00C31389" w:rsidRDefault="00561FBD" w14:paraId="215A8DC7" w14:textId="77777777">
      <w:pPr>
        <w:pStyle w:val="ListParagraph"/>
        <w:numPr>
          <w:ilvl w:val="1"/>
          <w:numId w:val="79"/>
        </w:numPr>
        <w:tabs>
          <w:tab w:val="left" w:pos="401"/>
        </w:tabs>
        <w:spacing w:before="60"/>
        <w:ind w:left="401" w:right="493" w:hanging="401"/>
        <w:jc w:val="right"/>
      </w:pPr>
      <w:hyperlink w:history="1" w:anchor="_bookmark332">
        <w:r>
          <w:rPr>
            <w:spacing w:val="-2"/>
          </w:rPr>
          <w:t>Residential</w:t>
        </w:r>
        <w:r>
          <w:rPr>
            <w:spacing w:val="20"/>
          </w:rPr>
          <w:t xml:space="preserve"> </w:t>
        </w:r>
        <w:r>
          <w:rPr>
            <w:spacing w:val="-2"/>
          </w:rPr>
          <w:t>–</w:t>
        </w:r>
        <w:r>
          <w:rPr>
            <w:spacing w:val="20"/>
          </w:rPr>
          <w:t xml:space="preserve"> </w:t>
        </w:r>
        <w:r>
          <w:rPr>
            <w:spacing w:val="-2"/>
          </w:rPr>
          <w:t>Competitions:</w:t>
        </w:r>
        <w:r>
          <w:rPr>
            <w:spacing w:val="21"/>
          </w:rPr>
          <w:t xml:space="preserve"> </w:t>
        </w:r>
        <w:r>
          <w:rPr>
            <w:spacing w:val="-2"/>
          </w:rPr>
          <w:t>Large</w:t>
        </w:r>
        <w:r>
          <w:rPr>
            <w:spacing w:val="20"/>
          </w:rPr>
          <w:t xml:space="preserve"> </w:t>
        </w:r>
        <w:r>
          <w:rPr>
            <w:spacing w:val="-2"/>
          </w:rPr>
          <w:t>and</w:t>
        </w:r>
        <w:r>
          <w:rPr>
            <w:spacing w:val="21"/>
          </w:rPr>
          <w:t xml:space="preserve"> </w:t>
        </w:r>
        <w:r>
          <w:rPr>
            <w:spacing w:val="-2"/>
          </w:rPr>
          <w:t>Small..........................................................</w:t>
        </w:r>
        <w:r>
          <w:rPr>
            <w:spacing w:val="-31"/>
          </w:rPr>
          <w:t xml:space="preserve"> </w:t>
        </w:r>
        <w:r>
          <w:rPr>
            <w:spacing w:val="-2"/>
          </w:rPr>
          <w:t>D-</w:t>
        </w:r>
        <w:r>
          <w:rPr>
            <w:spacing w:val="-5"/>
          </w:rPr>
          <w:t>38</w:t>
        </w:r>
      </w:hyperlink>
    </w:p>
    <w:p w:rsidR="00C31389" w:rsidRDefault="00561FBD" w14:paraId="29FDD5B3" w14:textId="77777777">
      <w:pPr>
        <w:pStyle w:val="ListParagraph"/>
        <w:numPr>
          <w:ilvl w:val="2"/>
          <w:numId w:val="79"/>
        </w:numPr>
        <w:tabs>
          <w:tab w:val="left" w:pos="718"/>
        </w:tabs>
        <w:spacing w:before="61"/>
        <w:ind w:left="718" w:right="479" w:hanging="718"/>
        <w:jc w:val="right"/>
      </w:pPr>
      <w:hyperlink w:history="1" w:anchor="_bookmark333">
        <w:r>
          <w:rPr>
            <w:spacing w:val="-2"/>
          </w:rPr>
          <w:t>Summary</w:t>
        </w:r>
        <w:r>
          <w:rPr>
            <w:spacing w:val="57"/>
          </w:rPr>
          <w:t xml:space="preserve"> </w:t>
        </w:r>
        <w:r>
          <w:rPr>
            <w:spacing w:val="-2"/>
          </w:rPr>
          <w:t>...................................................................................................</w:t>
        </w:r>
        <w:r>
          <w:rPr>
            <w:spacing w:val="38"/>
          </w:rPr>
          <w:t xml:space="preserve"> </w:t>
        </w:r>
        <w:r>
          <w:rPr>
            <w:spacing w:val="-2"/>
          </w:rPr>
          <w:t>D-</w:t>
        </w:r>
        <w:r>
          <w:rPr>
            <w:spacing w:val="-5"/>
          </w:rPr>
          <w:t>38</w:t>
        </w:r>
      </w:hyperlink>
    </w:p>
    <w:p w:rsidR="00C31389" w:rsidRDefault="00561FBD" w14:paraId="09FBF5AB" w14:textId="77777777">
      <w:pPr>
        <w:pStyle w:val="ListParagraph"/>
        <w:numPr>
          <w:ilvl w:val="2"/>
          <w:numId w:val="79"/>
        </w:numPr>
        <w:tabs>
          <w:tab w:val="left" w:pos="718"/>
        </w:tabs>
        <w:spacing w:before="59"/>
        <w:ind w:left="718" w:right="479" w:hanging="718"/>
        <w:jc w:val="right"/>
      </w:pPr>
      <w:hyperlink w:history="1" w:anchor="_bookmark343">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39</w:t>
        </w:r>
      </w:hyperlink>
    </w:p>
    <w:p w:rsidR="00C31389" w:rsidRDefault="00561FBD" w14:paraId="220C5918" w14:textId="77777777">
      <w:pPr>
        <w:pStyle w:val="ListParagraph"/>
        <w:numPr>
          <w:ilvl w:val="1"/>
          <w:numId w:val="79"/>
        </w:numPr>
        <w:tabs>
          <w:tab w:val="left" w:pos="401"/>
        </w:tabs>
        <w:spacing w:before="60"/>
        <w:ind w:left="401" w:right="492" w:hanging="401"/>
        <w:jc w:val="right"/>
      </w:pPr>
      <w:hyperlink w:history="1" w:anchor="_bookmark352">
        <w:r>
          <w:rPr>
            <w:spacing w:val="-2"/>
          </w:rPr>
          <w:t>Commercial</w:t>
        </w:r>
        <w:r>
          <w:rPr>
            <w:spacing w:val="12"/>
          </w:rPr>
          <w:t xml:space="preserve"> </w:t>
        </w:r>
        <w:r>
          <w:rPr>
            <w:spacing w:val="-2"/>
          </w:rPr>
          <w:t>–</w:t>
        </w:r>
        <w:r>
          <w:rPr>
            <w:spacing w:val="13"/>
          </w:rPr>
          <w:t xml:space="preserve"> </w:t>
        </w:r>
        <w:r>
          <w:rPr>
            <w:spacing w:val="-2"/>
          </w:rPr>
          <w:t>Strategic</w:t>
        </w:r>
        <w:r>
          <w:rPr>
            <w:spacing w:val="13"/>
          </w:rPr>
          <w:t xml:space="preserve"> </w:t>
        </w:r>
        <w:r>
          <w:rPr>
            <w:spacing w:val="-2"/>
          </w:rPr>
          <w:t>Energy</w:t>
        </w:r>
        <w:r>
          <w:rPr>
            <w:spacing w:val="12"/>
          </w:rPr>
          <w:t xml:space="preserve"> </w:t>
        </w:r>
        <w:r>
          <w:rPr>
            <w:spacing w:val="-2"/>
          </w:rPr>
          <w:t>Management-Like</w:t>
        </w:r>
        <w:r>
          <w:rPr>
            <w:spacing w:val="13"/>
          </w:rPr>
          <w:t xml:space="preserve"> </w:t>
        </w:r>
        <w:r>
          <w:rPr>
            <w:spacing w:val="-2"/>
          </w:rPr>
          <w:t>Programs</w:t>
        </w:r>
        <w:r>
          <w:rPr>
            <w:spacing w:val="2"/>
          </w:rPr>
          <w:t xml:space="preserve"> </w:t>
        </w:r>
        <w:r>
          <w:rPr>
            <w:spacing w:val="-2"/>
          </w:rPr>
          <w:t>.........</w:t>
        </w:r>
        <w:r>
          <w:rPr>
            <w:spacing w:val="-2"/>
          </w:rPr>
          <w:t>.......................</w:t>
        </w:r>
        <w:r>
          <w:rPr>
            <w:spacing w:val="-31"/>
          </w:rPr>
          <w:t xml:space="preserve"> </w:t>
        </w:r>
        <w:r>
          <w:rPr>
            <w:spacing w:val="-2"/>
          </w:rPr>
          <w:t>D-</w:t>
        </w:r>
        <w:r>
          <w:rPr>
            <w:spacing w:val="-5"/>
          </w:rPr>
          <w:t>41</w:t>
        </w:r>
      </w:hyperlink>
    </w:p>
    <w:p w:rsidR="00C31389" w:rsidRDefault="00561FBD" w14:paraId="4EC2BB7E" w14:textId="77777777">
      <w:pPr>
        <w:pStyle w:val="ListParagraph"/>
        <w:numPr>
          <w:ilvl w:val="2"/>
          <w:numId w:val="79"/>
        </w:numPr>
        <w:tabs>
          <w:tab w:val="left" w:pos="718"/>
        </w:tabs>
        <w:spacing w:before="60"/>
        <w:ind w:left="718" w:right="478" w:hanging="718"/>
        <w:jc w:val="right"/>
      </w:pPr>
      <w:hyperlink w:history="1" w:anchor="_bookmark353">
        <w:r>
          <w:rPr>
            <w:spacing w:val="-2"/>
          </w:rPr>
          <w:t>Summary</w:t>
        </w:r>
        <w:r>
          <w:rPr>
            <w:spacing w:val="57"/>
          </w:rPr>
          <w:t xml:space="preserve"> </w:t>
        </w:r>
        <w:r>
          <w:rPr>
            <w:spacing w:val="-2"/>
          </w:rPr>
          <w:t>...................................................................................................</w:t>
        </w:r>
        <w:r>
          <w:rPr>
            <w:spacing w:val="38"/>
          </w:rPr>
          <w:t xml:space="preserve"> </w:t>
        </w:r>
        <w:r>
          <w:rPr>
            <w:spacing w:val="-2"/>
          </w:rPr>
          <w:t>D-</w:t>
        </w:r>
        <w:r>
          <w:rPr>
            <w:spacing w:val="-5"/>
          </w:rPr>
          <w:t>41</w:t>
        </w:r>
      </w:hyperlink>
    </w:p>
    <w:p w:rsidR="00C31389" w:rsidRDefault="00561FBD" w14:paraId="1F9FBF72" w14:textId="77777777">
      <w:pPr>
        <w:pStyle w:val="ListParagraph"/>
        <w:numPr>
          <w:ilvl w:val="2"/>
          <w:numId w:val="79"/>
        </w:numPr>
        <w:tabs>
          <w:tab w:val="left" w:pos="718"/>
        </w:tabs>
        <w:spacing w:before="60"/>
        <w:ind w:left="718" w:right="478" w:hanging="718"/>
        <w:jc w:val="right"/>
      </w:pPr>
      <w:hyperlink w:history="1" w:anchor="_bookmark356">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42</w:t>
        </w:r>
      </w:hyperlink>
    </w:p>
    <w:p w:rsidR="00C31389" w:rsidRDefault="00561FBD" w14:paraId="4E8036C1" w14:textId="77777777">
      <w:pPr>
        <w:pStyle w:val="ListParagraph"/>
        <w:numPr>
          <w:ilvl w:val="1"/>
          <w:numId w:val="79"/>
        </w:numPr>
        <w:tabs>
          <w:tab w:val="left" w:pos="401"/>
        </w:tabs>
        <w:spacing w:before="61"/>
        <w:ind w:left="401" w:right="493" w:hanging="401"/>
        <w:jc w:val="right"/>
      </w:pPr>
      <w:hyperlink w:history="1" w:anchor="_bookmark359">
        <w:r>
          <w:rPr>
            <w:spacing w:val="-2"/>
          </w:rPr>
          <w:t>Commercial</w:t>
        </w:r>
        <w:r>
          <w:rPr>
            <w:spacing w:val="21"/>
          </w:rPr>
          <w:t xml:space="preserve"> </w:t>
        </w:r>
        <w:r>
          <w:rPr>
            <w:spacing w:val="-2"/>
          </w:rPr>
          <w:t>–</w:t>
        </w:r>
        <w:r>
          <w:rPr>
            <w:spacing w:val="22"/>
          </w:rPr>
          <w:t xml:space="preserve"> </w:t>
        </w:r>
        <w:r>
          <w:rPr>
            <w:spacing w:val="-2"/>
          </w:rPr>
          <w:t>Building</w:t>
        </w:r>
        <w:r>
          <w:rPr>
            <w:spacing w:val="22"/>
          </w:rPr>
          <w:t xml:space="preserve"> </w:t>
        </w:r>
        <w:r>
          <w:rPr>
            <w:spacing w:val="-2"/>
          </w:rPr>
          <w:t>Operator</w:t>
        </w:r>
        <w:r>
          <w:rPr>
            <w:spacing w:val="22"/>
          </w:rPr>
          <w:t xml:space="preserve"> </w:t>
        </w:r>
        <w:r>
          <w:rPr>
            <w:spacing w:val="-2"/>
          </w:rPr>
          <w:t>Certification</w:t>
        </w:r>
        <w:r>
          <w:rPr>
            <w:spacing w:val="5"/>
          </w:rPr>
          <w:t xml:space="preserve"> </w:t>
        </w:r>
        <w:r>
          <w:rPr>
            <w:spacing w:val="-2"/>
          </w:rPr>
          <w:t>.........................................................</w:t>
        </w:r>
        <w:r>
          <w:rPr>
            <w:spacing w:val="-30"/>
          </w:rPr>
          <w:t xml:space="preserve"> </w:t>
        </w:r>
        <w:r>
          <w:rPr>
            <w:spacing w:val="-2"/>
          </w:rPr>
          <w:t>D-</w:t>
        </w:r>
        <w:r>
          <w:rPr>
            <w:spacing w:val="-5"/>
          </w:rPr>
          <w:t>43</w:t>
        </w:r>
      </w:hyperlink>
    </w:p>
    <w:p w:rsidR="00C31389" w:rsidRDefault="00561FBD" w14:paraId="27C168C0" w14:textId="77777777">
      <w:pPr>
        <w:pStyle w:val="ListParagraph"/>
        <w:numPr>
          <w:ilvl w:val="2"/>
          <w:numId w:val="79"/>
        </w:numPr>
        <w:tabs>
          <w:tab w:val="left" w:pos="718"/>
        </w:tabs>
        <w:spacing w:before="60"/>
        <w:ind w:left="718" w:right="478" w:hanging="718"/>
        <w:jc w:val="right"/>
      </w:pPr>
      <w:hyperlink w:history="1" w:anchor="_bookmark360">
        <w:r>
          <w:rPr>
            <w:spacing w:val="-2"/>
          </w:rPr>
          <w:t>Summary</w:t>
        </w:r>
        <w:r>
          <w:rPr>
            <w:spacing w:val="57"/>
          </w:rPr>
          <w:t xml:space="preserve"> </w:t>
        </w:r>
        <w:r>
          <w:rPr>
            <w:spacing w:val="-2"/>
          </w:rPr>
          <w:t>...................................................................................................</w:t>
        </w:r>
        <w:r>
          <w:rPr>
            <w:spacing w:val="38"/>
          </w:rPr>
          <w:t xml:space="preserve"> </w:t>
        </w:r>
        <w:r>
          <w:rPr>
            <w:spacing w:val="-2"/>
          </w:rPr>
          <w:t>D-</w:t>
        </w:r>
        <w:r>
          <w:rPr>
            <w:spacing w:val="-5"/>
          </w:rPr>
          <w:t>43</w:t>
        </w:r>
      </w:hyperlink>
    </w:p>
    <w:p w:rsidR="00C31389" w:rsidRDefault="00561FBD" w14:paraId="41DC5109" w14:textId="77777777">
      <w:pPr>
        <w:pStyle w:val="ListParagraph"/>
        <w:numPr>
          <w:ilvl w:val="2"/>
          <w:numId w:val="79"/>
        </w:numPr>
        <w:tabs>
          <w:tab w:val="left" w:pos="718"/>
        </w:tabs>
        <w:spacing w:before="59"/>
        <w:ind w:left="718" w:right="478" w:hanging="718"/>
        <w:jc w:val="right"/>
      </w:pPr>
      <w:hyperlink w:history="1" w:anchor="_bookmark367">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44</w:t>
        </w:r>
      </w:hyperlink>
    </w:p>
    <w:p w:rsidR="00C31389" w:rsidRDefault="00561FBD" w14:paraId="3C1DA474" w14:textId="77777777">
      <w:pPr>
        <w:pStyle w:val="ListParagraph"/>
        <w:numPr>
          <w:ilvl w:val="1"/>
          <w:numId w:val="79"/>
        </w:numPr>
        <w:tabs>
          <w:tab w:val="left" w:pos="401"/>
        </w:tabs>
        <w:spacing w:before="60"/>
        <w:ind w:left="401" w:right="493" w:hanging="401"/>
        <w:jc w:val="right"/>
      </w:pPr>
      <w:hyperlink w:history="1" w:anchor="_bookmark371">
        <w:r>
          <w:t>Commercial</w:t>
        </w:r>
        <w:r>
          <w:rPr>
            <w:spacing w:val="-16"/>
          </w:rPr>
          <w:t xml:space="preserve"> </w:t>
        </w:r>
        <w:r>
          <w:t>–</w:t>
        </w:r>
        <w:r>
          <w:rPr>
            <w:spacing w:val="-11"/>
          </w:rPr>
          <w:t xml:space="preserve"> </w:t>
        </w:r>
        <w:r>
          <w:t>Building</w:t>
        </w:r>
        <w:r>
          <w:rPr>
            <w:spacing w:val="-11"/>
          </w:rPr>
          <w:t xml:space="preserve"> </w:t>
        </w:r>
        <w:r>
          <w:t>Energy</w:t>
        </w:r>
        <w:r>
          <w:rPr>
            <w:spacing w:val="-10"/>
          </w:rPr>
          <w:t xml:space="preserve"> </w:t>
        </w:r>
        <w:r>
          <w:t>and</w:t>
        </w:r>
        <w:r>
          <w:rPr>
            <w:spacing w:val="-11"/>
          </w:rPr>
          <w:t xml:space="preserve"> </w:t>
        </w:r>
        <w:r>
          <w:t>Informati</w:t>
        </w:r>
        <w:r>
          <w:t>on</w:t>
        </w:r>
        <w:r>
          <w:rPr>
            <w:spacing w:val="-10"/>
          </w:rPr>
          <w:t xml:space="preserve"> </w:t>
        </w:r>
        <w:r>
          <w:t>Management</w:t>
        </w:r>
        <w:r>
          <w:rPr>
            <w:spacing w:val="-11"/>
          </w:rPr>
          <w:t xml:space="preserve"> </w:t>
        </w:r>
        <w:r>
          <w:t>Systems</w:t>
        </w:r>
        <w:r>
          <w:rPr>
            <w:spacing w:val="-15"/>
          </w:rPr>
          <w:t xml:space="preserve"> </w:t>
        </w:r>
        <w:r>
          <w:t>.................</w:t>
        </w:r>
        <w:r>
          <w:rPr>
            <w:spacing w:val="-35"/>
          </w:rPr>
          <w:t xml:space="preserve"> </w:t>
        </w:r>
        <w:r>
          <w:t>D-</w:t>
        </w:r>
        <w:r>
          <w:rPr>
            <w:spacing w:val="-5"/>
          </w:rPr>
          <w:t>45</w:t>
        </w:r>
      </w:hyperlink>
    </w:p>
    <w:p w:rsidR="00C31389" w:rsidRDefault="00561FBD" w14:paraId="583ADC57" w14:textId="77777777">
      <w:pPr>
        <w:pStyle w:val="ListParagraph"/>
        <w:numPr>
          <w:ilvl w:val="2"/>
          <w:numId w:val="79"/>
        </w:numPr>
        <w:tabs>
          <w:tab w:val="left" w:pos="718"/>
        </w:tabs>
        <w:spacing w:before="60"/>
        <w:ind w:left="718" w:right="479" w:hanging="718"/>
        <w:jc w:val="right"/>
      </w:pPr>
      <w:hyperlink w:history="1" w:anchor="_bookmark372">
        <w:r>
          <w:rPr>
            <w:spacing w:val="-2"/>
          </w:rPr>
          <w:t>Summary</w:t>
        </w:r>
        <w:r>
          <w:rPr>
            <w:spacing w:val="57"/>
          </w:rPr>
          <w:t xml:space="preserve"> </w:t>
        </w:r>
        <w:r>
          <w:rPr>
            <w:spacing w:val="-2"/>
          </w:rPr>
          <w:t>...................................................................................................</w:t>
        </w:r>
        <w:r>
          <w:rPr>
            <w:spacing w:val="38"/>
          </w:rPr>
          <w:t xml:space="preserve"> </w:t>
        </w:r>
        <w:r>
          <w:rPr>
            <w:spacing w:val="-2"/>
          </w:rPr>
          <w:t>D-</w:t>
        </w:r>
        <w:r>
          <w:rPr>
            <w:spacing w:val="-5"/>
          </w:rPr>
          <w:t>45</w:t>
        </w:r>
      </w:hyperlink>
    </w:p>
    <w:p w:rsidR="00C31389" w:rsidRDefault="00561FBD" w14:paraId="6523EC84" w14:textId="77777777">
      <w:pPr>
        <w:pStyle w:val="ListParagraph"/>
        <w:numPr>
          <w:ilvl w:val="2"/>
          <w:numId w:val="79"/>
        </w:numPr>
        <w:tabs>
          <w:tab w:val="left" w:pos="718"/>
        </w:tabs>
        <w:spacing w:before="60"/>
        <w:ind w:left="718" w:right="479" w:hanging="718"/>
        <w:jc w:val="right"/>
      </w:pPr>
      <w:hyperlink w:history="1" w:anchor="_bookmark378">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2"/>
          </w:rPr>
          <w:t>.......</w:t>
        </w:r>
        <w:r>
          <w:rPr>
            <w:spacing w:val="-5"/>
          </w:rPr>
          <w:t xml:space="preserve"> </w:t>
        </w:r>
        <w:r>
          <w:rPr>
            <w:spacing w:val="-2"/>
          </w:rPr>
          <w:t>D-</w:t>
        </w:r>
        <w:r>
          <w:rPr>
            <w:spacing w:val="-5"/>
          </w:rPr>
          <w:t>47</w:t>
        </w:r>
      </w:hyperlink>
    </w:p>
    <w:p w:rsidR="00C31389" w:rsidRDefault="00561FBD" w14:paraId="2E3567E9" w14:textId="77777777">
      <w:pPr>
        <w:pStyle w:val="ListParagraph"/>
        <w:numPr>
          <w:ilvl w:val="1"/>
          <w:numId w:val="79"/>
        </w:numPr>
        <w:tabs>
          <w:tab w:val="left" w:pos="401"/>
        </w:tabs>
        <w:spacing w:before="60"/>
        <w:ind w:left="401" w:right="493" w:hanging="401"/>
        <w:jc w:val="right"/>
      </w:pPr>
      <w:hyperlink w:history="1" w:anchor="_bookmark388">
        <w:r>
          <w:rPr>
            <w:spacing w:val="-2"/>
          </w:rPr>
          <w:t>Commercial</w:t>
        </w:r>
        <w:r>
          <w:rPr>
            <w:spacing w:val="28"/>
          </w:rPr>
          <w:t xml:space="preserve"> </w:t>
        </w:r>
        <w:r>
          <w:rPr>
            <w:spacing w:val="-2"/>
          </w:rPr>
          <w:t>–</w:t>
        </w:r>
        <w:r>
          <w:rPr>
            <w:spacing w:val="29"/>
          </w:rPr>
          <w:t xml:space="preserve"> </w:t>
        </w:r>
        <w:r>
          <w:rPr>
            <w:spacing w:val="-2"/>
          </w:rPr>
          <w:t>Business</w:t>
        </w:r>
        <w:r>
          <w:rPr>
            <w:spacing w:val="29"/>
          </w:rPr>
          <w:t xml:space="preserve"> </w:t>
        </w:r>
        <w:r>
          <w:rPr>
            <w:spacing w:val="-2"/>
          </w:rPr>
          <w:t>Energy</w:t>
        </w:r>
        <w:r>
          <w:rPr>
            <w:spacing w:val="28"/>
          </w:rPr>
          <w:t xml:space="preserve"> </w:t>
        </w:r>
        <w:r>
          <w:rPr>
            <w:spacing w:val="-2"/>
          </w:rPr>
          <w:t>Reports.................................................................</w:t>
        </w:r>
        <w:r>
          <w:rPr>
            <w:spacing w:val="-27"/>
          </w:rPr>
          <w:t xml:space="preserve"> </w:t>
        </w:r>
        <w:r>
          <w:rPr>
            <w:spacing w:val="-2"/>
          </w:rPr>
          <w:t>D-</w:t>
        </w:r>
        <w:r>
          <w:rPr>
            <w:spacing w:val="-5"/>
          </w:rPr>
          <w:t>49</w:t>
        </w:r>
      </w:hyperlink>
    </w:p>
    <w:p w:rsidR="00C31389" w:rsidRDefault="00561FBD" w14:paraId="51E014F5" w14:textId="77777777">
      <w:pPr>
        <w:pStyle w:val="ListParagraph"/>
        <w:numPr>
          <w:ilvl w:val="2"/>
          <w:numId w:val="79"/>
        </w:numPr>
        <w:tabs>
          <w:tab w:val="left" w:pos="718"/>
        </w:tabs>
        <w:spacing w:before="60"/>
        <w:ind w:left="718" w:right="479" w:hanging="718"/>
        <w:jc w:val="right"/>
      </w:pPr>
      <w:hyperlink w:history="1" w:anchor="_bookmark389">
        <w:r>
          <w:rPr>
            <w:spacing w:val="-2"/>
          </w:rPr>
          <w:t>Summar</w:t>
        </w:r>
        <w:r>
          <w:rPr>
            <w:spacing w:val="-2"/>
          </w:rPr>
          <w:t>y</w:t>
        </w:r>
        <w:r>
          <w:rPr>
            <w:spacing w:val="57"/>
          </w:rPr>
          <w:t xml:space="preserve"> </w:t>
        </w:r>
        <w:r>
          <w:rPr>
            <w:spacing w:val="-2"/>
          </w:rPr>
          <w:t>...................................................................................................</w:t>
        </w:r>
        <w:r>
          <w:rPr>
            <w:spacing w:val="38"/>
          </w:rPr>
          <w:t xml:space="preserve"> </w:t>
        </w:r>
        <w:r>
          <w:rPr>
            <w:spacing w:val="-2"/>
          </w:rPr>
          <w:t>D-</w:t>
        </w:r>
        <w:r>
          <w:rPr>
            <w:spacing w:val="-5"/>
          </w:rPr>
          <w:t>49</w:t>
        </w:r>
      </w:hyperlink>
    </w:p>
    <w:p w:rsidR="00C31389" w:rsidRDefault="00561FBD" w14:paraId="1C90E781" w14:textId="77777777">
      <w:pPr>
        <w:pStyle w:val="ListParagraph"/>
        <w:numPr>
          <w:ilvl w:val="2"/>
          <w:numId w:val="79"/>
        </w:numPr>
        <w:tabs>
          <w:tab w:val="left" w:pos="718"/>
        </w:tabs>
        <w:spacing w:before="60"/>
        <w:ind w:left="718" w:right="479" w:hanging="718"/>
        <w:jc w:val="right"/>
      </w:pPr>
      <w:hyperlink w:history="1" w:anchor="_bookmark393">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2"/>
          </w:rPr>
          <w:t>.........</w:t>
        </w:r>
        <w:r>
          <w:rPr>
            <w:spacing w:val="-5"/>
          </w:rPr>
          <w:t xml:space="preserve"> </w:t>
        </w:r>
        <w:r>
          <w:rPr>
            <w:spacing w:val="-2"/>
          </w:rPr>
          <w:t>D-</w:t>
        </w:r>
        <w:r>
          <w:rPr>
            <w:spacing w:val="-5"/>
          </w:rPr>
          <w:t>50</w:t>
        </w:r>
      </w:hyperlink>
    </w:p>
    <w:p w:rsidR="00C31389" w:rsidRDefault="00C31389" w14:paraId="7E0DF3EF" w14:textId="77777777">
      <w:pPr>
        <w:jc w:val="right"/>
        <w:sectPr w:rsidR="00C31389">
          <w:headerReference w:type="default" r:id="rId22"/>
          <w:footerReference w:type="default" r:id="rId23"/>
          <w:pgSz w:w="12240" w:h="15840"/>
          <w:pgMar w:top="1660" w:right="960" w:bottom="1120" w:left="960" w:header="397" w:footer="936" w:gutter="0"/>
          <w:cols w:space="720"/>
        </w:sectPr>
      </w:pPr>
    </w:p>
    <w:p w:rsidR="00C31389" w:rsidRDefault="00C31389" w14:paraId="7854213D" w14:textId="77777777">
      <w:pPr>
        <w:pStyle w:val="BodyText"/>
        <w:spacing w:before="11"/>
        <w:rPr>
          <w:sz w:val="13"/>
        </w:rPr>
      </w:pPr>
    </w:p>
    <w:p w:rsidR="00C31389" w:rsidRDefault="00561FBD" w14:paraId="4E8C2675" w14:textId="77777777">
      <w:pPr>
        <w:pStyle w:val="ListParagraph"/>
        <w:numPr>
          <w:ilvl w:val="1"/>
          <w:numId w:val="79"/>
        </w:numPr>
        <w:tabs>
          <w:tab w:val="left" w:pos="1428"/>
          <w:tab w:val="left" w:leader="dot" w:pos="9348"/>
        </w:tabs>
        <w:spacing w:before="92"/>
        <w:ind w:left="1428" w:hanging="401"/>
      </w:pPr>
      <w:hyperlink w:history="1" w:anchor="_bookmark396">
        <w:r>
          <w:t>Commercial</w:t>
        </w:r>
        <w:r>
          <w:rPr>
            <w:spacing w:val="-7"/>
          </w:rPr>
          <w:t xml:space="preserve"> </w:t>
        </w:r>
        <w:r>
          <w:t>–</w:t>
        </w:r>
        <w:r>
          <w:rPr>
            <w:spacing w:val="-7"/>
          </w:rPr>
          <w:t xml:space="preserve"> </w:t>
        </w:r>
        <w:r>
          <w:rPr>
            <w:spacing w:val="-2"/>
          </w:rPr>
          <w:t>Benchmarking</w:t>
        </w:r>
        <w:r>
          <w:tab/>
        </w:r>
        <w:r>
          <w:rPr>
            <w:spacing w:val="-2"/>
          </w:rPr>
          <w:t>D-</w:t>
        </w:r>
        <w:r>
          <w:rPr>
            <w:spacing w:val="-5"/>
          </w:rPr>
          <w:t>51</w:t>
        </w:r>
      </w:hyperlink>
    </w:p>
    <w:p w:rsidR="00C31389" w:rsidRDefault="00561FBD" w14:paraId="71AC35BC" w14:textId="77777777">
      <w:pPr>
        <w:pStyle w:val="ListParagraph"/>
        <w:numPr>
          <w:ilvl w:val="2"/>
          <w:numId w:val="79"/>
        </w:numPr>
        <w:tabs>
          <w:tab w:val="left" w:pos="718"/>
        </w:tabs>
        <w:spacing w:before="61"/>
        <w:ind w:left="718" w:right="478" w:hanging="718"/>
        <w:jc w:val="right"/>
      </w:pPr>
      <w:hyperlink w:history="1" w:anchor="_bookmark397">
        <w:r>
          <w:rPr>
            <w:spacing w:val="-2"/>
          </w:rPr>
          <w:t>Summary</w:t>
        </w:r>
        <w:r>
          <w:rPr>
            <w:spacing w:val="57"/>
          </w:rPr>
          <w:t xml:space="preserve"> </w:t>
        </w:r>
        <w:r>
          <w:rPr>
            <w:spacing w:val="-2"/>
          </w:rPr>
          <w:t>...................................................................................................</w:t>
        </w:r>
        <w:r>
          <w:rPr>
            <w:spacing w:val="38"/>
          </w:rPr>
          <w:t xml:space="preserve"> </w:t>
        </w:r>
        <w:r>
          <w:rPr>
            <w:spacing w:val="-2"/>
          </w:rPr>
          <w:t>D-</w:t>
        </w:r>
        <w:r>
          <w:rPr>
            <w:spacing w:val="-5"/>
          </w:rPr>
          <w:t>51</w:t>
        </w:r>
      </w:hyperlink>
    </w:p>
    <w:p w:rsidR="00C31389" w:rsidRDefault="00561FBD" w14:paraId="76966853" w14:textId="77777777">
      <w:pPr>
        <w:pStyle w:val="ListParagraph"/>
        <w:numPr>
          <w:ilvl w:val="2"/>
          <w:numId w:val="79"/>
        </w:numPr>
        <w:tabs>
          <w:tab w:val="left" w:pos="718"/>
        </w:tabs>
        <w:spacing w:before="60"/>
        <w:ind w:left="718" w:right="480" w:hanging="718"/>
        <w:jc w:val="right"/>
      </w:pPr>
      <w:hyperlink w:history="1" w:anchor="_bookmark401">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52</w:t>
        </w:r>
      </w:hyperlink>
    </w:p>
    <w:p w:rsidR="00C31389" w:rsidRDefault="00561FBD" w14:paraId="032D4240" w14:textId="77777777">
      <w:pPr>
        <w:pStyle w:val="ListParagraph"/>
        <w:numPr>
          <w:ilvl w:val="1"/>
          <w:numId w:val="79"/>
        </w:numPr>
        <w:tabs>
          <w:tab w:val="left" w:pos="523"/>
        </w:tabs>
        <w:spacing w:before="59"/>
        <w:ind w:left="523" w:right="493" w:hanging="523"/>
        <w:jc w:val="right"/>
      </w:pPr>
      <w:hyperlink w:history="1" w:anchor="_bookmark404">
        <w:r>
          <w:rPr>
            <w:spacing w:val="-2"/>
          </w:rPr>
          <w:t>Commercial</w:t>
        </w:r>
        <w:r>
          <w:rPr>
            <w:spacing w:val="41"/>
          </w:rPr>
          <w:t xml:space="preserve"> </w:t>
        </w:r>
        <w:r>
          <w:rPr>
            <w:spacing w:val="-2"/>
          </w:rPr>
          <w:t>–</w:t>
        </w:r>
        <w:r>
          <w:rPr>
            <w:spacing w:val="42"/>
          </w:rPr>
          <w:t xml:space="preserve"> </w:t>
        </w:r>
        <w:r>
          <w:rPr>
            <w:spacing w:val="-2"/>
          </w:rPr>
          <w:t>Competitions</w:t>
        </w:r>
        <w:r>
          <w:rPr>
            <w:spacing w:val="20"/>
          </w:rPr>
          <w:t xml:space="preserve"> </w:t>
        </w:r>
        <w:r>
          <w:rPr>
            <w:spacing w:val="-2"/>
          </w:rPr>
          <w:t>..................................................................................</w:t>
        </w:r>
        <w:r>
          <w:rPr>
            <w:spacing w:val="-26"/>
          </w:rPr>
          <w:t xml:space="preserve"> </w:t>
        </w:r>
        <w:r>
          <w:rPr>
            <w:spacing w:val="-2"/>
          </w:rPr>
          <w:t>D-</w:t>
        </w:r>
        <w:r>
          <w:rPr>
            <w:spacing w:val="-5"/>
          </w:rPr>
          <w:t>53</w:t>
        </w:r>
      </w:hyperlink>
    </w:p>
    <w:p w:rsidR="00C31389" w:rsidRDefault="00561FBD" w14:paraId="7A533BBB" w14:textId="77777777">
      <w:pPr>
        <w:pStyle w:val="ListParagraph"/>
        <w:numPr>
          <w:ilvl w:val="2"/>
          <w:numId w:val="79"/>
        </w:numPr>
        <w:tabs>
          <w:tab w:val="left" w:pos="718"/>
        </w:tabs>
        <w:spacing w:before="60"/>
        <w:ind w:left="718" w:right="479" w:hanging="718"/>
        <w:jc w:val="right"/>
      </w:pPr>
      <w:hyperlink w:history="1" w:anchor="_bookmark405">
        <w:r>
          <w:rPr>
            <w:spacing w:val="-2"/>
          </w:rPr>
          <w:t>Summary</w:t>
        </w:r>
        <w:r>
          <w:rPr>
            <w:spacing w:val="57"/>
          </w:rPr>
          <w:t xml:space="preserve"> </w:t>
        </w:r>
        <w:r>
          <w:rPr>
            <w:spacing w:val="-2"/>
          </w:rPr>
          <w:t>..............................................................................................</w:t>
        </w:r>
        <w:r>
          <w:rPr>
            <w:spacing w:val="-2"/>
          </w:rPr>
          <w:t>.....</w:t>
        </w:r>
        <w:r>
          <w:rPr>
            <w:spacing w:val="38"/>
          </w:rPr>
          <w:t xml:space="preserve"> </w:t>
        </w:r>
        <w:r>
          <w:rPr>
            <w:spacing w:val="-2"/>
          </w:rPr>
          <w:t>D-</w:t>
        </w:r>
        <w:r>
          <w:rPr>
            <w:spacing w:val="-5"/>
          </w:rPr>
          <w:t>53</w:t>
        </w:r>
      </w:hyperlink>
    </w:p>
    <w:p w:rsidR="00C31389" w:rsidRDefault="00561FBD" w14:paraId="662774C3" w14:textId="77777777">
      <w:pPr>
        <w:pStyle w:val="ListParagraph"/>
        <w:numPr>
          <w:ilvl w:val="2"/>
          <w:numId w:val="79"/>
        </w:numPr>
        <w:tabs>
          <w:tab w:val="left" w:pos="718"/>
        </w:tabs>
        <w:spacing w:before="60"/>
        <w:ind w:left="718" w:right="479" w:hanging="718"/>
        <w:jc w:val="right"/>
      </w:pPr>
      <w:hyperlink w:history="1" w:anchor="_bookmark413">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54</w:t>
        </w:r>
      </w:hyperlink>
    </w:p>
    <w:p w:rsidR="00C31389" w:rsidRDefault="00561FBD" w14:paraId="12B7491D" w14:textId="77777777">
      <w:pPr>
        <w:pStyle w:val="ListParagraph"/>
        <w:numPr>
          <w:ilvl w:val="1"/>
          <w:numId w:val="79"/>
        </w:numPr>
        <w:tabs>
          <w:tab w:val="left" w:pos="523"/>
        </w:tabs>
        <w:spacing w:before="60"/>
        <w:ind w:left="523" w:right="493" w:hanging="523"/>
        <w:jc w:val="right"/>
      </w:pPr>
      <w:hyperlink w:history="1" w:anchor="_bookmark421">
        <w:r>
          <w:rPr>
            <w:spacing w:val="-2"/>
          </w:rPr>
          <w:t>Commercial</w:t>
        </w:r>
        <w:r>
          <w:rPr>
            <w:spacing w:val="55"/>
          </w:rPr>
          <w:t xml:space="preserve"> </w:t>
        </w:r>
        <w:r>
          <w:rPr>
            <w:spacing w:val="-2"/>
          </w:rPr>
          <w:t>–</w:t>
        </w:r>
        <w:r>
          <w:rPr>
            <w:spacing w:val="55"/>
          </w:rPr>
          <w:t xml:space="preserve"> </w:t>
        </w:r>
        <w:r>
          <w:rPr>
            <w:spacing w:val="-2"/>
          </w:rPr>
          <w:t>Ret</w:t>
        </w:r>
        <w:r>
          <w:rPr>
            <w:spacing w:val="-2"/>
          </w:rPr>
          <w:t>rocommissioning.......................................................................</w:t>
        </w:r>
        <w:r>
          <w:rPr>
            <w:spacing w:val="-19"/>
          </w:rPr>
          <w:t xml:space="preserve"> </w:t>
        </w:r>
        <w:r>
          <w:rPr>
            <w:spacing w:val="-2"/>
          </w:rPr>
          <w:t>D-</w:t>
        </w:r>
        <w:r>
          <w:rPr>
            <w:spacing w:val="-5"/>
          </w:rPr>
          <w:t>55</w:t>
        </w:r>
      </w:hyperlink>
    </w:p>
    <w:p w:rsidR="00C31389" w:rsidRDefault="00561FBD" w14:paraId="1C7CA312" w14:textId="77777777">
      <w:pPr>
        <w:pStyle w:val="ListParagraph"/>
        <w:numPr>
          <w:ilvl w:val="2"/>
          <w:numId w:val="79"/>
        </w:numPr>
        <w:tabs>
          <w:tab w:val="left" w:pos="718"/>
        </w:tabs>
        <w:spacing w:before="61"/>
        <w:ind w:left="718" w:right="479" w:hanging="718"/>
        <w:jc w:val="right"/>
      </w:pPr>
      <w:hyperlink w:history="1" w:anchor="_bookmark422">
        <w:r>
          <w:rPr>
            <w:spacing w:val="-2"/>
          </w:rPr>
          <w:t>Summary</w:t>
        </w:r>
        <w:r>
          <w:rPr>
            <w:spacing w:val="57"/>
          </w:rPr>
          <w:t xml:space="preserve"> </w:t>
        </w:r>
        <w:r>
          <w:rPr>
            <w:spacing w:val="-2"/>
          </w:rPr>
          <w:t>...................................................................................................</w:t>
        </w:r>
        <w:r>
          <w:rPr>
            <w:spacing w:val="38"/>
          </w:rPr>
          <w:t xml:space="preserve"> </w:t>
        </w:r>
        <w:r>
          <w:rPr>
            <w:spacing w:val="-2"/>
          </w:rPr>
          <w:t>D-</w:t>
        </w:r>
        <w:r>
          <w:rPr>
            <w:spacing w:val="-5"/>
          </w:rPr>
          <w:t>55</w:t>
        </w:r>
      </w:hyperlink>
    </w:p>
    <w:p w:rsidR="00C31389" w:rsidRDefault="00561FBD" w14:paraId="7488B297" w14:textId="77777777">
      <w:pPr>
        <w:pStyle w:val="ListParagraph"/>
        <w:numPr>
          <w:ilvl w:val="2"/>
          <w:numId w:val="79"/>
        </w:numPr>
        <w:tabs>
          <w:tab w:val="left" w:pos="718"/>
        </w:tabs>
        <w:spacing w:before="59"/>
        <w:ind w:left="718" w:right="479" w:hanging="718"/>
        <w:jc w:val="right"/>
      </w:pPr>
      <w:hyperlink w:history="1" w:anchor="_bookmark427">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56</w:t>
        </w:r>
      </w:hyperlink>
    </w:p>
    <w:p w:rsidR="00C31389" w:rsidRDefault="00561FBD" w14:paraId="3B384EE1" w14:textId="77777777">
      <w:pPr>
        <w:pStyle w:val="ListParagraph"/>
        <w:numPr>
          <w:ilvl w:val="1"/>
          <w:numId w:val="79"/>
        </w:numPr>
        <w:tabs>
          <w:tab w:val="left" w:pos="523"/>
        </w:tabs>
        <w:spacing w:before="60"/>
        <w:ind w:left="523" w:right="494" w:hanging="523"/>
        <w:jc w:val="right"/>
      </w:pPr>
      <w:hyperlink w:history="1" w:anchor="_bookmark431">
        <w:r>
          <w:rPr>
            <w:spacing w:val="-2"/>
          </w:rPr>
          <w:t>Industrial/Agriculture</w:t>
        </w:r>
        <w:r>
          <w:rPr>
            <w:spacing w:val="50"/>
          </w:rPr>
          <w:t xml:space="preserve"> </w:t>
        </w:r>
        <w:r>
          <w:rPr>
            <w:spacing w:val="-2"/>
          </w:rPr>
          <w:t>–</w:t>
        </w:r>
        <w:r>
          <w:rPr>
            <w:spacing w:val="50"/>
          </w:rPr>
          <w:t xml:space="preserve"> </w:t>
        </w:r>
        <w:r>
          <w:rPr>
            <w:spacing w:val="-2"/>
          </w:rPr>
          <w:t>SEM</w:t>
        </w:r>
        <w:r>
          <w:rPr>
            <w:spacing w:val="-18"/>
          </w:rPr>
          <w:t xml:space="preserve"> </w:t>
        </w:r>
        <w:r>
          <w:rPr>
            <w:spacing w:val="-2"/>
          </w:rPr>
          <w:t>...................................</w:t>
        </w:r>
        <w:r>
          <w:rPr>
            <w:spacing w:val="-2"/>
          </w:rPr>
          <w:t>...............................................</w:t>
        </w:r>
        <w:r>
          <w:rPr>
            <w:spacing w:val="-23"/>
          </w:rPr>
          <w:t xml:space="preserve"> </w:t>
        </w:r>
        <w:r>
          <w:rPr>
            <w:spacing w:val="-2"/>
          </w:rPr>
          <w:t>D-</w:t>
        </w:r>
        <w:r>
          <w:rPr>
            <w:spacing w:val="-5"/>
          </w:rPr>
          <w:t>57</w:t>
        </w:r>
      </w:hyperlink>
    </w:p>
    <w:p w:rsidR="00C31389" w:rsidRDefault="00561FBD" w14:paraId="7A36E9AC" w14:textId="77777777">
      <w:pPr>
        <w:pStyle w:val="ListParagraph"/>
        <w:numPr>
          <w:ilvl w:val="2"/>
          <w:numId w:val="79"/>
        </w:numPr>
        <w:tabs>
          <w:tab w:val="left" w:pos="718"/>
        </w:tabs>
        <w:spacing w:before="60"/>
        <w:ind w:left="718" w:right="479" w:hanging="718"/>
        <w:jc w:val="right"/>
      </w:pPr>
      <w:hyperlink w:history="1" w:anchor="_bookmark432">
        <w:r>
          <w:rPr>
            <w:spacing w:val="-2"/>
          </w:rPr>
          <w:t>Summary</w:t>
        </w:r>
        <w:r>
          <w:rPr>
            <w:spacing w:val="57"/>
          </w:rPr>
          <w:t xml:space="preserve"> </w:t>
        </w:r>
        <w:r>
          <w:rPr>
            <w:spacing w:val="-2"/>
          </w:rPr>
          <w:t>...................................................................................................</w:t>
        </w:r>
        <w:r>
          <w:rPr>
            <w:spacing w:val="38"/>
          </w:rPr>
          <w:t xml:space="preserve"> </w:t>
        </w:r>
        <w:r>
          <w:rPr>
            <w:spacing w:val="-2"/>
          </w:rPr>
          <w:t>D-</w:t>
        </w:r>
        <w:r>
          <w:rPr>
            <w:spacing w:val="-5"/>
          </w:rPr>
          <w:t>57</w:t>
        </w:r>
      </w:hyperlink>
    </w:p>
    <w:p w:rsidR="00C31389" w:rsidRDefault="00561FBD" w14:paraId="27AF66D1" w14:textId="77777777">
      <w:pPr>
        <w:pStyle w:val="ListParagraph"/>
        <w:numPr>
          <w:ilvl w:val="2"/>
          <w:numId w:val="79"/>
        </w:numPr>
        <w:tabs>
          <w:tab w:val="left" w:pos="718"/>
        </w:tabs>
        <w:spacing w:before="60"/>
        <w:ind w:left="718" w:right="480" w:hanging="718"/>
        <w:jc w:val="right"/>
      </w:pPr>
      <w:hyperlink w:history="1" w:anchor="_bookmark438">
        <w:r>
          <w:rPr>
            <w:spacing w:val="-2"/>
          </w:rPr>
          <w:t>Assumptions</w:t>
        </w:r>
        <w:r>
          <w:rPr>
            <w:spacing w:val="31"/>
          </w:rPr>
          <w:t xml:space="preserve"> </w:t>
        </w:r>
        <w:r>
          <w:rPr>
            <w:spacing w:val="-2"/>
          </w:rPr>
          <w:t>and</w:t>
        </w:r>
        <w:r>
          <w:rPr>
            <w:spacing w:val="31"/>
          </w:rPr>
          <w:t xml:space="preserve"> </w:t>
        </w:r>
        <w:r>
          <w:rPr>
            <w:spacing w:val="-2"/>
          </w:rPr>
          <w:t>Methodology</w:t>
        </w:r>
        <w:r>
          <w:rPr>
            <w:spacing w:val="22"/>
          </w:rPr>
          <w:t xml:space="preserve"> </w:t>
        </w:r>
        <w:r>
          <w:rPr>
            <w:spacing w:val="-2"/>
          </w:rPr>
          <w:t>.................................................................</w:t>
        </w:r>
        <w:r>
          <w:rPr>
            <w:spacing w:val="-5"/>
          </w:rPr>
          <w:t xml:space="preserve"> </w:t>
        </w:r>
        <w:r>
          <w:rPr>
            <w:spacing w:val="-2"/>
          </w:rPr>
          <w:t>D-</w:t>
        </w:r>
        <w:r>
          <w:rPr>
            <w:spacing w:val="-5"/>
          </w:rPr>
          <w:t>58</w:t>
        </w:r>
      </w:hyperlink>
    </w:p>
    <w:p w:rsidR="00C31389" w:rsidRDefault="00561FBD" w14:paraId="0F08392B" w14:textId="77777777">
      <w:pPr>
        <w:spacing w:before="121"/>
        <w:ind w:right="487"/>
        <w:jc w:val="right"/>
        <w:rPr>
          <w:b/>
          <w:sz w:val="24"/>
        </w:rPr>
      </w:pPr>
      <w:hyperlink w:history="1" w:anchor="_bookmark450">
        <w:r>
          <w:rPr>
            <w:b/>
            <w:sz w:val="24"/>
          </w:rPr>
          <w:t>Appendix</w:t>
        </w:r>
        <w:r>
          <w:rPr>
            <w:b/>
            <w:spacing w:val="-8"/>
            <w:sz w:val="24"/>
          </w:rPr>
          <w:t xml:space="preserve"> </w:t>
        </w:r>
        <w:r>
          <w:rPr>
            <w:b/>
            <w:sz w:val="24"/>
          </w:rPr>
          <w:t>E.</w:t>
        </w:r>
        <w:r>
          <w:rPr>
            <w:b/>
            <w:spacing w:val="-3"/>
            <w:sz w:val="24"/>
          </w:rPr>
          <w:t xml:space="preserve"> </w:t>
        </w:r>
        <w:r>
          <w:rPr>
            <w:b/>
            <w:sz w:val="24"/>
          </w:rPr>
          <w:t>Industrial</w:t>
        </w:r>
        <w:r>
          <w:rPr>
            <w:b/>
            <w:spacing w:val="-4"/>
            <w:sz w:val="24"/>
          </w:rPr>
          <w:t xml:space="preserve"> </w:t>
        </w:r>
        <w:r>
          <w:rPr>
            <w:b/>
            <w:sz w:val="24"/>
          </w:rPr>
          <w:t>and</w:t>
        </w:r>
        <w:r>
          <w:rPr>
            <w:b/>
            <w:spacing w:val="-4"/>
            <w:sz w:val="24"/>
          </w:rPr>
          <w:t xml:space="preserve"> </w:t>
        </w:r>
        <w:r>
          <w:rPr>
            <w:b/>
            <w:sz w:val="24"/>
          </w:rPr>
          <w:t>Agriculture</w:t>
        </w:r>
        <w:r>
          <w:rPr>
            <w:b/>
            <w:spacing w:val="-4"/>
            <w:sz w:val="24"/>
          </w:rPr>
          <w:t xml:space="preserve"> </w:t>
        </w:r>
        <w:r>
          <w:rPr>
            <w:b/>
            <w:sz w:val="24"/>
          </w:rPr>
          <w:t>Sectors</w:t>
        </w:r>
        <w:r>
          <w:rPr>
            <w:b/>
            <w:spacing w:val="-4"/>
            <w:sz w:val="24"/>
          </w:rPr>
          <w:t xml:space="preserve"> </w:t>
        </w:r>
        <w:r>
          <w:rPr>
            <w:b/>
            <w:sz w:val="24"/>
          </w:rPr>
          <w:t>–</w:t>
        </w:r>
        <w:r>
          <w:rPr>
            <w:b/>
            <w:spacing w:val="-4"/>
            <w:sz w:val="24"/>
          </w:rPr>
          <w:t xml:space="preserve"> </w:t>
        </w:r>
        <w:r>
          <w:rPr>
            <w:b/>
            <w:sz w:val="24"/>
          </w:rPr>
          <w:t>Characterized</w:t>
        </w:r>
        <w:r>
          <w:rPr>
            <w:b/>
            <w:spacing w:val="-4"/>
            <w:sz w:val="24"/>
          </w:rPr>
          <w:t xml:space="preserve"> </w:t>
        </w:r>
        <w:r>
          <w:rPr>
            <w:b/>
            <w:sz w:val="24"/>
          </w:rPr>
          <w:t>Measures</w:t>
        </w:r>
        <w:r>
          <w:rPr>
            <w:b/>
            <w:spacing w:val="-46"/>
            <w:sz w:val="24"/>
          </w:rPr>
          <w:t xml:space="preserve"> </w:t>
        </w:r>
        <w:r>
          <w:rPr>
            <w:b/>
            <w:sz w:val="24"/>
          </w:rPr>
          <w:t>.........E-</w:t>
        </w:r>
        <w:r>
          <w:rPr>
            <w:b/>
            <w:spacing w:val="-10"/>
            <w:sz w:val="24"/>
          </w:rPr>
          <w:t>1</w:t>
        </w:r>
      </w:hyperlink>
    </w:p>
    <w:p w:rsidR="00C31389" w:rsidRDefault="00561FBD" w14:paraId="4985E6E9" w14:textId="77777777">
      <w:pPr>
        <w:pStyle w:val="ListParagraph"/>
        <w:numPr>
          <w:ilvl w:val="1"/>
          <w:numId w:val="78"/>
        </w:numPr>
        <w:tabs>
          <w:tab w:val="left" w:pos="389"/>
        </w:tabs>
        <w:spacing w:before="120"/>
        <w:ind w:left="389" w:right="492" w:hanging="389"/>
        <w:jc w:val="right"/>
      </w:pPr>
      <w:hyperlink w:history="1" w:anchor="_bookmark452">
        <w:r>
          <w:rPr>
            <w:spacing w:val="-2"/>
          </w:rPr>
          <w:t>Industrial</w:t>
        </w:r>
        <w:r>
          <w:rPr>
            <w:spacing w:val="62"/>
          </w:rPr>
          <w:t xml:space="preserve"> </w:t>
        </w:r>
        <w:r>
          <w:rPr>
            <w:spacing w:val="-2"/>
          </w:rPr>
          <w:t>....................................................................................................................</w:t>
        </w:r>
        <w:r>
          <w:rPr>
            <w:spacing w:val="51"/>
          </w:rPr>
          <w:t xml:space="preserve"> </w:t>
        </w:r>
        <w:r>
          <w:rPr>
            <w:spacing w:val="-2"/>
          </w:rPr>
          <w:t>E-</w:t>
        </w:r>
        <w:r>
          <w:rPr>
            <w:spacing w:val="-10"/>
          </w:rPr>
          <w:t>1</w:t>
        </w:r>
      </w:hyperlink>
    </w:p>
    <w:p w:rsidR="00C31389" w:rsidRDefault="00561FBD" w14:paraId="30F84CA4" w14:textId="77777777">
      <w:pPr>
        <w:pStyle w:val="ListParagraph"/>
        <w:numPr>
          <w:ilvl w:val="1"/>
          <w:numId w:val="78"/>
        </w:numPr>
        <w:tabs>
          <w:tab w:val="left" w:pos="389"/>
        </w:tabs>
        <w:spacing w:before="60"/>
        <w:ind w:left="389" w:right="493" w:hanging="389"/>
        <w:jc w:val="right"/>
      </w:pPr>
      <w:hyperlink w:history="1" w:anchor="_bookmark456">
        <w:r>
          <w:rPr>
            <w:spacing w:val="-2"/>
          </w:rPr>
          <w:t>Agriculture</w:t>
        </w:r>
        <w:r>
          <w:rPr>
            <w:spacing w:val="75"/>
            <w:w w:val="150"/>
          </w:rPr>
          <w:t xml:space="preserve"> </w:t>
        </w:r>
        <w:r>
          <w:rPr>
            <w:spacing w:val="-2"/>
          </w:rPr>
          <w:t>.................................................................................................................</w:t>
        </w:r>
        <w:r>
          <w:rPr>
            <w:spacing w:val="27"/>
          </w:rPr>
          <w:t xml:space="preserve"> </w:t>
        </w:r>
        <w:r>
          <w:rPr>
            <w:spacing w:val="-2"/>
          </w:rPr>
          <w:t>E-</w:t>
        </w:r>
        <w:r>
          <w:rPr>
            <w:spacing w:val="-10"/>
          </w:rPr>
          <w:t>4</w:t>
        </w:r>
      </w:hyperlink>
    </w:p>
    <w:p w:rsidR="00C31389" w:rsidRDefault="00561FBD" w14:paraId="40A0FACE" w14:textId="77777777">
      <w:pPr>
        <w:spacing w:before="119"/>
        <w:ind w:left="480"/>
        <w:rPr>
          <w:b/>
          <w:sz w:val="24"/>
        </w:rPr>
      </w:pPr>
      <w:hyperlink w:history="1" w:anchor="_bookmark459">
        <w:r>
          <w:rPr>
            <w:b/>
            <w:sz w:val="24"/>
          </w:rPr>
          <w:t>Append</w:t>
        </w:r>
        <w:r>
          <w:rPr>
            <w:b/>
            <w:sz w:val="24"/>
          </w:rPr>
          <w:t>ix</w:t>
        </w:r>
        <w:r>
          <w:rPr>
            <w:b/>
            <w:spacing w:val="-4"/>
            <w:sz w:val="24"/>
          </w:rPr>
          <w:t xml:space="preserve"> </w:t>
        </w:r>
        <w:r>
          <w:rPr>
            <w:b/>
            <w:sz w:val="24"/>
          </w:rPr>
          <w:t>F. Codes</w:t>
        </w:r>
        <w:r>
          <w:rPr>
            <w:b/>
            <w:spacing w:val="-1"/>
            <w:sz w:val="24"/>
          </w:rPr>
          <w:t xml:space="preserve"> </w:t>
        </w:r>
        <w:r>
          <w:rPr>
            <w:b/>
            <w:sz w:val="24"/>
          </w:rPr>
          <w:t>and Standards</w:t>
        </w:r>
        <w:r>
          <w:rPr>
            <w:b/>
            <w:spacing w:val="-38"/>
            <w:sz w:val="24"/>
          </w:rPr>
          <w:t xml:space="preserve"> </w:t>
        </w:r>
        <w:r>
          <w:rPr>
            <w:b/>
            <w:sz w:val="24"/>
          </w:rPr>
          <w:t>...........................................................................F-</w:t>
        </w:r>
        <w:r>
          <w:rPr>
            <w:b/>
            <w:spacing w:val="-10"/>
            <w:sz w:val="24"/>
          </w:rPr>
          <w:t>1</w:t>
        </w:r>
      </w:hyperlink>
    </w:p>
    <w:p w:rsidR="00C31389" w:rsidRDefault="00561FBD" w14:paraId="7AC298C2" w14:textId="77777777">
      <w:pPr>
        <w:spacing w:before="120"/>
        <w:ind w:left="480" w:right="485"/>
        <w:rPr>
          <w:b/>
          <w:sz w:val="24"/>
        </w:rPr>
      </w:pPr>
      <w:hyperlink w:history="1" w:anchor="_bookmark464">
        <w:r>
          <w:rPr>
            <w:b/>
            <w:sz w:val="24"/>
          </w:rPr>
          <w:t>Appendix G. Industrial and Agriculture Generic Custom and Emerging</w:t>
        </w:r>
      </w:hyperlink>
      <w:r>
        <w:rPr>
          <w:b/>
          <w:sz w:val="24"/>
        </w:rPr>
        <w:t xml:space="preserve"> </w:t>
      </w:r>
      <w:hyperlink w:history="1" w:anchor="_bookmark464">
        <w:r>
          <w:rPr>
            <w:b/>
            <w:sz w:val="24"/>
          </w:rPr>
          <w:t>Technologies</w:t>
        </w:r>
        <w:r>
          <w:rPr>
            <w:b/>
            <w:spacing w:val="-21"/>
            <w:sz w:val="24"/>
          </w:rPr>
          <w:t xml:space="preserve"> </w:t>
        </w:r>
        <w:r>
          <w:rPr>
            <w:b/>
            <w:sz w:val="24"/>
          </w:rPr>
          <w:t>.............................................................................................................</w:t>
        </w:r>
        <w:r>
          <w:rPr>
            <w:b/>
            <w:spacing w:val="-15"/>
            <w:sz w:val="24"/>
          </w:rPr>
          <w:t xml:space="preserve"> </w:t>
        </w:r>
        <w:r>
          <w:rPr>
            <w:b/>
            <w:sz w:val="24"/>
          </w:rPr>
          <w:t>G-1</w:t>
        </w:r>
      </w:hyperlink>
    </w:p>
    <w:p w:rsidR="00C31389" w:rsidRDefault="00561FBD" w14:paraId="166B4836" w14:textId="77777777">
      <w:pPr>
        <w:pStyle w:val="ListParagraph"/>
        <w:numPr>
          <w:ilvl w:val="1"/>
          <w:numId w:val="77"/>
        </w:numPr>
        <w:tabs>
          <w:tab w:val="left" w:pos="414"/>
        </w:tabs>
        <w:spacing w:before="120"/>
        <w:ind w:left="414" w:right="493" w:hanging="414"/>
        <w:jc w:val="right"/>
      </w:pPr>
      <w:hyperlink w:history="1" w:anchor="_bookmark465">
        <w:r>
          <w:t>Industrial</w:t>
        </w:r>
        <w:r>
          <w:rPr>
            <w:spacing w:val="-13"/>
          </w:rPr>
          <w:t xml:space="preserve"> </w:t>
        </w:r>
        <w:r>
          <w:t>and</w:t>
        </w:r>
        <w:r>
          <w:rPr>
            <w:spacing w:val="-12"/>
          </w:rPr>
          <w:t xml:space="preserve"> </w:t>
        </w:r>
        <w:r>
          <w:t>Agriculture</w:t>
        </w:r>
        <w:r>
          <w:rPr>
            <w:spacing w:val="-12"/>
          </w:rPr>
          <w:t xml:space="preserve"> </w:t>
        </w:r>
        <w:r>
          <w:t>Generic</w:t>
        </w:r>
        <w:r>
          <w:rPr>
            <w:spacing w:val="-13"/>
          </w:rPr>
          <w:t xml:space="preserve"> </w:t>
        </w:r>
        <w:r>
          <w:t>Custom</w:t>
        </w:r>
        <w:r>
          <w:rPr>
            <w:spacing w:val="-13"/>
          </w:rPr>
          <w:t xml:space="preserve"> </w:t>
        </w:r>
        <w:r>
          <w:t>Measures...............................................G-</w:t>
        </w:r>
        <w:r>
          <w:rPr>
            <w:spacing w:val="-10"/>
          </w:rPr>
          <w:t>1</w:t>
        </w:r>
      </w:hyperlink>
    </w:p>
    <w:p w:rsidR="00C31389" w:rsidRDefault="00561FBD" w14:paraId="2CBDEB4D" w14:textId="77777777">
      <w:pPr>
        <w:pStyle w:val="ListParagraph"/>
        <w:numPr>
          <w:ilvl w:val="2"/>
          <w:numId w:val="77"/>
        </w:numPr>
        <w:tabs>
          <w:tab w:val="left" w:pos="718"/>
        </w:tabs>
        <w:spacing w:before="60"/>
        <w:ind w:left="718" w:right="479" w:hanging="718"/>
        <w:jc w:val="right"/>
      </w:pPr>
      <w:hyperlink w:history="1" w:anchor="_bookmark466">
        <w:r>
          <w:rPr>
            <w:spacing w:val="-2"/>
          </w:rPr>
          <w:t>Summary</w:t>
        </w:r>
        <w:r>
          <w:rPr>
            <w:spacing w:val="75"/>
          </w:rPr>
          <w:t xml:space="preserve"> </w:t>
        </w:r>
        <w:r>
          <w:rPr>
            <w:spacing w:val="-2"/>
          </w:rPr>
          <w:t>................................................................................</w:t>
        </w:r>
        <w:r>
          <w:rPr>
            <w:spacing w:val="-2"/>
          </w:rPr>
          <w:t>.....................</w:t>
        </w:r>
        <w:r>
          <w:rPr>
            <w:spacing w:val="8"/>
          </w:rPr>
          <w:t xml:space="preserve"> </w:t>
        </w:r>
        <w:r>
          <w:rPr>
            <w:spacing w:val="-2"/>
          </w:rPr>
          <w:t>G-</w:t>
        </w:r>
        <w:r>
          <w:rPr>
            <w:spacing w:val="-10"/>
          </w:rPr>
          <w:t>1</w:t>
        </w:r>
      </w:hyperlink>
    </w:p>
    <w:p w:rsidR="00C31389" w:rsidRDefault="00561FBD" w14:paraId="0CF8BED8" w14:textId="77777777">
      <w:pPr>
        <w:pStyle w:val="ListParagraph"/>
        <w:numPr>
          <w:ilvl w:val="2"/>
          <w:numId w:val="77"/>
        </w:numPr>
        <w:tabs>
          <w:tab w:val="left" w:pos="718"/>
        </w:tabs>
        <w:spacing w:before="60"/>
        <w:ind w:left="718" w:right="479" w:hanging="718"/>
        <w:jc w:val="right"/>
      </w:pPr>
      <w:hyperlink w:history="1" w:anchor="_bookmark468">
        <w:r>
          <w:rPr>
            <w:spacing w:val="-2"/>
          </w:rPr>
          <w:t>Savings</w:t>
        </w:r>
        <w:r>
          <w:rPr>
            <w:spacing w:val="47"/>
          </w:rPr>
          <w:t xml:space="preserve"> </w:t>
        </w:r>
        <w:r>
          <w:rPr>
            <w:spacing w:val="-2"/>
          </w:rPr>
          <w:t>Rate</w:t>
        </w:r>
        <w:r>
          <w:rPr>
            <w:spacing w:val="47"/>
          </w:rPr>
          <w:t xml:space="preserve"> </w:t>
        </w:r>
        <w:r>
          <w:rPr>
            <w:spacing w:val="-2"/>
          </w:rPr>
          <w:t>Multiplier</w:t>
        </w:r>
        <w:r>
          <w:rPr>
            <w:spacing w:val="-29"/>
          </w:rPr>
          <w:t xml:space="preserve"> </w:t>
        </w:r>
        <w:r>
          <w:rPr>
            <w:spacing w:val="-2"/>
          </w:rPr>
          <w:t>................................................................................</w:t>
        </w:r>
        <w:r>
          <w:rPr>
            <w:spacing w:val="-20"/>
          </w:rPr>
          <w:t xml:space="preserve"> </w:t>
        </w:r>
        <w:r>
          <w:rPr>
            <w:spacing w:val="-2"/>
          </w:rPr>
          <w:t>G-</w:t>
        </w:r>
        <w:r>
          <w:rPr>
            <w:spacing w:val="-10"/>
          </w:rPr>
          <w:t>2</w:t>
        </w:r>
      </w:hyperlink>
    </w:p>
    <w:p w:rsidR="00C31389" w:rsidRDefault="00561FBD" w14:paraId="3DBE1E17" w14:textId="77777777">
      <w:pPr>
        <w:pStyle w:val="ListParagraph"/>
        <w:numPr>
          <w:ilvl w:val="2"/>
          <w:numId w:val="77"/>
        </w:numPr>
        <w:tabs>
          <w:tab w:val="left" w:pos="718"/>
        </w:tabs>
        <w:spacing w:before="61"/>
        <w:ind w:left="718" w:right="479" w:hanging="718"/>
        <w:jc w:val="right"/>
      </w:pPr>
      <w:hyperlink w:history="1" w:anchor="_bookmark475">
        <w:r>
          <w:rPr>
            <w:spacing w:val="-2"/>
          </w:rPr>
          <w:t>Applicability</w:t>
        </w:r>
        <w:r>
          <w:rPr>
            <w:spacing w:val="34"/>
          </w:rPr>
          <w:t xml:space="preserve"> </w:t>
        </w:r>
        <w:r>
          <w:rPr>
            <w:spacing w:val="-2"/>
          </w:rPr>
          <w:t>and</w:t>
        </w:r>
        <w:r>
          <w:rPr>
            <w:spacing w:val="35"/>
          </w:rPr>
          <w:t xml:space="preserve"> </w:t>
        </w:r>
        <w:r>
          <w:rPr>
            <w:spacing w:val="-2"/>
          </w:rPr>
          <w:t>Penetration</w:t>
        </w:r>
        <w:r>
          <w:rPr>
            <w:spacing w:val="36"/>
          </w:rPr>
          <w:t xml:space="preserve"> </w:t>
        </w:r>
        <w:r>
          <w:rPr>
            <w:spacing w:val="-2"/>
          </w:rPr>
          <w:t>Rate...............................................................</w:t>
        </w:r>
        <w:r>
          <w:rPr>
            <w:spacing w:val="-23"/>
          </w:rPr>
          <w:t xml:space="preserve"> </w:t>
        </w:r>
        <w:r>
          <w:rPr>
            <w:spacing w:val="-2"/>
          </w:rPr>
          <w:t>G-</w:t>
        </w:r>
        <w:r>
          <w:rPr>
            <w:spacing w:val="-10"/>
          </w:rPr>
          <w:t>4</w:t>
        </w:r>
      </w:hyperlink>
    </w:p>
    <w:p w:rsidR="00C31389" w:rsidRDefault="00561FBD" w14:paraId="419525FB" w14:textId="77777777">
      <w:pPr>
        <w:pStyle w:val="ListParagraph"/>
        <w:numPr>
          <w:ilvl w:val="2"/>
          <w:numId w:val="77"/>
        </w:numPr>
        <w:tabs>
          <w:tab w:val="left" w:pos="718"/>
        </w:tabs>
        <w:spacing w:before="60"/>
        <w:ind w:left="718" w:right="479" w:hanging="718"/>
        <w:jc w:val="right"/>
      </w:pPr>
      <w:hyperlink w:history="1" w:anchor="_bookmark478">
        <w:r>
          <w:rPr>
            <w:spacing w:val="-2"/>
          </w:rPr>
          <w:t>Other</w:t>
        </w:r>
        <w:r>
          <w:rPr>
            <w:spacing w:val="20"/>
          </w:rPr>
          <w:t xml:space="preserve"> </w:t>
        </w:r>
        <w:r>
          <w:rPr>
            <w:spacing w:val="-2"/>
          </w:rPr>
          <w:t>Input</w:t>
        </w:r>
        <w:r>
          <w:rPr>
            <w:spacing w:val="20"/>
          </w:rPr>
          <w:t xml:space="preserve"> </w:t>
        </w:r>
        <w:r>
          <w:rPr>
            <w:spacing w:val="-2"/>
          </w:rPr>
          <w:t>Assumption</w:t>
        </w:r>
        <w:r>
          <w:rPr>
            <w:spacing w:val="-2"/>
          </w:rPr>
          <w:t>s</w:t>
        </w:r>
        <w:r>
          <w:rPr>
            <w:spacing w:val="20"/>
          </w:rPr>
          <w:t xml:space="preserve"> </w:t>
        </w:r>
        <w:r>
          <w:rPr>
            <w:spacing w:val="-2"/>
          </w:rPr>
          <w:t>and</w:t>
        </w:r>
        <w:r>
          <w:rPr>
            <w:spacing w:val="20"/>
          </w:rPr>
          <w:t xml:space="preserve"> </w:t>
        </w:r>
        <w:r>
          <w:rPr>
            <w:spacing w:val="-2"/>
          </w:rPr>
          <w:t>Observations</w:t>
        </w:r>
        <w:r>
          <w:rPr>
            <w:spacing w:val="-37"/>
          </w:rPr>
          <w:t xml:space="preserve"> </w:t>
        </w:r>
        <w:r>
          <w:rPr>
            <w:spacing w:val="-2"/>
          </w:rPr>
          <w:t>................................................</w:t>
        </w:r>
        <w:r>
          <w:rPr>
            <w:spacing w:val="-28"/>
          </w:rPr>
          <w:t xml:space="preserve"> </w:t>
        </w:r>
        <w:r>
          <w:rPr>
            <w:spacing w:val="-2"/>
          </w:rPr>
          <w:t>G-</w:t>
        </w:r>
        <w:r>
          <w:rPr>
            <w:spacing w:val="-10"/>
          </w:rPr>
          <w:t>5</w:t>
        </w:r>
      </w:hyperlink>
    </w:p>
    <w:p w:rsidR="00C31389" w:rsidRDefault="00561FBD" w14:paraId="11DEEEEB" w14:textId="77777777">
      <w:pPr>
        <w:pStyle w:val="ListParagraph"/>
        <w:numPr>
          <w:ilvl w:val="1"/>
          <w:numId w:val="77"/>
        </w:numPr>
        <w:tabs>
          <w:tab w:val="left" w:pos="414"/>
        </w:tabs>
        <w:spacing w:before="59"/>
        <w:ind w:left="414" w:right="493" w:hanging="414"/>
        <w:jc w:val="right"/>
      </w:pPr>
      <w:hyperlink w:history="1" w:anchor="_bookmark479">
        <w:r>
          <w:t>Industrial</w:t>
        </w:r>
        <w:r>
          <w:rPr>
            <w:spacing w:val="-13"/>
          </w:rPr>
          <w:t xml:space="preserve"> </w:t>
        </w:r>
        <w:r>
          <w:t>and</w:t>
        </w:r>
        <w:r>
          <w:rPr>
            <w:spacing w:val="-12"/>
          </w:rPr>
          <w:t xml:space="preserve"> </w:t>
        </w:r>
        <w:r>
          <w:t>Agriculture</w:t>
        </w:r>
        <w:r>
          <w:rPr>
            <w:spacing w:val="-12"/>
          </w:rPr>
          <w:t xml:space="preserve"> </w:t>
        </w:r>
        <w:r>
          <w:t>Emerging</w:t>
        </w:r>
        <w:r>
          <w:rPr>
            <w:spacing w:val="-12"/>
          </w:rPr>
          <w:t xml:space="preserve"> </w:t>
        </w:r>
        <w:r>
          <w:t>Technology</w:t>
        </w:r>
        <w:r>
          <w:rPr>
            <w:spacing w:val="-13"/>
          </w:rPr>
          <w:t xml:space="preserve"> </w:t>
        </w:r>
        <w:r>
          <w:t>Measures......................................G-</w:t>
        </w:r>
        <w:r>
          <w:rPr>
            <w:spacing w:val="-10"/>
          </w:rPr>
          <w:t>5</w:t>
        </w:r>
      </w:hyperlink>
    </w:p>
    <w:p w:rsidR="00C31389" w:rsidRDefault="00561FBD" w14:paraId="308073F4" w14:textId="77777777">
      <w:pPr>
        <w:pStyle w:val="ListParagraph"/>
        <w:numPr>
          <w:ilvl w:val="2"/>
          <w:numId w:val="77"/>
        </w:numPr>
        <w:tabs>
          <w:tab w:val="left" w:pos="718"/>
        </w:tabs>
        <w:spacing w:before="60"/>
        <w:ind w:left="718" w:right="479" w:hanging="718"/>
        <w:jc w:val="right"/>
      </w:pPr>
      <w:hyperlink w:history="1" w:anchor="_bookmark480">
        <w:r>
          <w:rPr>
            <w:spacing w:val="-2"/>
          </w:rPr>
          <w:t>Summary</w:t>
        </w:r>
        <w:r>
          <w:rPr>
            <w:spacing w:val="75"/>
          </w:rPr>
          <w:t xml:space="preserve"> </w:t>
        </w:r>
        <w:r>
          <w:rPr>
            <w:spacing w:val="-2"/>
          </w:rPr>
          <w:t>.....................................................................................................</w:t>
        </w:r>
        <w:r>
          <w:rPr>
            <w:spacing w:val="8"/>
          </w:rPr>
          <w:t xml:space="preserve"> </w:t>
        </w:r>
        <w:r>
          <w:rPr>
            <w:spacing w:val="-2"/>
          </w:rPr>
          <w:t>G-</w:t>
        </w:r>
        <w:r>
          <w:rPr>
            <w:spacing w:val="-10"/>
          </w:rPr>
          <w:t>5</w:t>
        </w:r>
      </w:hyperlink>
    </w:p>
    <w:p w:rsidR="00C31389" w:rsidRDefault="00561FBD" w14:paraId="4AED3587" w14:textId="77777777">
      <w:pPr>
        <w:pStyle w:val="ListParagraph"/>
        <w:numPr>
          <w:ilvl w:val="2"/>
          <w:numId w:val="77"/>
        </w:numPr>
        <w:tabs>
          <w:tab w:val="left" w:pos="718"/>
        </w:tabs>
        <w:spacing w:before="60"/>
        <w:ind w:left="718" w:right="479" w:hanging="718"/>
        <w:jc w:val="right"/>
      </w:pPr>
      <w:hyperlink w:history="1" w:anchor="_bookmark484">
        <w:r>
          <w:rPr>
            <w:spacing w:val="-2"/>
          </w:rPr>
          <w:t>Eligibility</w:t>
        </w:r>
        <w:r>
          <w:rPr>
            <w:spacing w:val="47"/>
          </w:rPr>
          <w:t xml:space="preserve"> </w:t>
        </w:r>
        <w:r>
          <w:rPr>
            <w:spacing w:val="-2"/>
          </w:rPr>
          <w:t>and</w:t>
        </w:r>
        <w:r>
          <w:rPr>
            <w:spacing w:val="48"/>
          </w:rPr>
          <w:t xml:space="preserve"> </w:t>
        </w:r>
        <w:r>
          <w:rPr>
            <w:spacing w:val="-2"/>
          </w:rPr>
          <w:t>Participation</w:t>
        </w:r>
        <w:r>
          <w:rPr>
            <w:spacing w:val="-29"/>
          </w:rPr>
          <w:t xml:space="preserve"> </w:t>
        </w:r>
        <w:r>
          <w:rPr>
            <w:spacing w:val="-2"/>
          </w:rPr>
          <w:t>...........................................................................</w:t>
        </w:r>
        <w:r>
          <w:rPr>
            <w:spacing w:val="-20"/>
          </w:rPr>
          <w:t xml:space="preserve"> </w:t>
        </w:r>
        <w:r>
          <w:rPr>
            <w:spacing w:val="-2"/>
          </w:rPr>
          <w:t>G-</w:t>
        </w:r>
        <w:r>
          <w:rPr>
            <w:spacing w:val="-10"/>
          </w:rPr>
          <w:t>6</w:t>
        </w:r>
      </w:hyperlink>
    </w:p>
    <w:p w:rsidR="00C31389" w:rsidRDefault="00561FBD" w14:paraId="092B4660" w14:textId="77777777">
      <w:pPr>
        <w:pStyle w:val="ListParagraph"/>
        <w:numPr>
          <w:ilvl w:val="2"/>
          <w:numId w:val="77"/>
        </w:numPr>
        <w:tabs>
          <w:tab w:val="left" w:pos="718"/>
        </w:tabs>
        <w:spacing w:before="61"/>
        <w:ind w:left="718" w:right="479" w:hanging="718"/>
        <w:jc w:val="right"/>
      </w:pPr>
      <w:hyperlink w:history="1" w:anchor="_bookmark497">
        <w:r>
          <w:rPr>
            <w:spacing w:val="-2"/>
          </w:rPr>
          <w:t>Other</w:t>
        </w:r>
        <w:r>
          <w:rPr>
            <w:spacing w:val="41"/>
          </w:rPr>
          <w:t xml:space="preserve"> </w:t>
        </w:r>
        <w:r>
          <w:rPr>
            <w:spacing w:val="-2"/>
          </w:rPr>
          <w:t>Input</w:t>
        </w:r>
        <w:r>
          <w:rPr>
            <w:spacing w:val="42"/>
          </w:rPr>
          <w:t xml:space="preserve"> </w:t>
        </w:r>
        <w:r>
          <w:rPr>
            <w:spacing w:val="-2"/>
          </w:rPr>
          <w:t>Assumptions</w:t>
        </w:r>
        <w:r>
          <w:rPr>
            <w:spacing w:val="-10"/>
          </w:rPr>
          <w:t xml:space="preserve"> </w:t>
        </w:r>
        <w:r>
          <w:rPr>
            <w:spacing w:val="-2"/>
          </w:rPr>
          <w:t>........................................................................</w:t>
        </w:r>
        <w:r>
          <w:rPr>
            <w:spacing w:val="-2"/>
          </w:rPr>
          <w:t>...</w:t>
        </w:r>
        <w:r>
          <w:rPr>
            <w:spacing w:val="-21"/>
          </w:rPr>
          <w:t xml:space="preserve"> </w:t>
        </w:r>
        <w:r>
          <w:rPr>
            <w:spacing w:val="-2"/>
          </w:rPr>
          <w:t>G-</w:t>
        </w:r>
        <w:r>
          <w:rPr>
            <w:spacing w:val="-5"/>
          </w:rPr>
          <w:t>10</w:t>
        </w:r>
      </w:hyperlink>
    </w:p>
    <w:p w:rsidR="00C31389" w:rsidRDefault="00561FBD" w14:paraId="5C378B8B" w14:textId="77777777">
      <w:pPr>
        <w:spacing w:before="120"/>
        <w:ind w:right="487"/>
        <w:jc w:val="right"/>
        <w:rPr>
          <w:b/>
          <w:sz w:val="24"/>
        </w:rPr>
      </w:pPr>
      <w:hyperlink w:history="1" w:anchor="_bookmark498">
        <w:r>
          <w:rPr>
            <w:b/>
            <w:sz w:val="24"/>
          </w:rPr>
          <w:t>Appendix</w:t>
        </w:r>
        <w:r>
          <w:rPr>
            <w:b/>
            <w:spacing w:val="-8"/>
            <w:sz w:val="24"/>
          </w:rPr>
          <w:t xml:space="preserve"> </w:t>
        </w:r>
        <w:r>
          <w:rPr>
            <w:b/>
            <w:sz w:val="24"/>
          </w:rPr>
          <w:t>H.</w:t>
        </w:r>
        <w:r>
          <w:rPr>
            <w:b/>
            <w:spacing w:val="-3"/>
            <w:sz w:val="24"/>
          </w:rPr>
          <w:t xml:space="preserve"> </w:t>
        </w:r>
        <w:r>
          <w:rPr>
            <w:b/>
            <w:sz w:val="24"/>
          </w:rPr>
          <w:t>Adoption</w:t>
        </w:r>
        <w:r>
          <w:rPr>
            <w:b/>
            <w:spacing w:val="-3"/>
            <w:sz w:val="24"/>
          </w:rPr>
          <w:t xml:space="preserve"> </w:t>
        </w:r>
        <w:r>
          <w:rPr>
            <w:b/>
            <w:sz w:val="24"/>
          </w:rPr>
          <w:t>Logic</w:t>
        </w:r>
        <w:r>
          <w:rPr>
            <w:b/>
            <w:spacing w:val="-3"/>
            <w:sz w:val="24"/>
          </w:rPr>
          <w:t xml:space="preserve"> </w:t>
        </w:r>
        <w:r>
          <w:rPr>
            <w:b/>
            <w:sz w:val="24"/>
          </w:rPr>
          <w:t>Theory</w:t>
        </w:r>
        <w:r>
          <w:rPr>
            <w:b/>
            <w:spacing w:val="-4"/>
            <w:sz w:val="24"/>
          </w:rPr>
          <w:t xml:space="preserve"> </w:t>
        </w:r>
        <w:r>
          <w:rPr>
            <w:b/>
            <w:sz w:val="24"/>
          </w:rPr>
          <w:t>and</w:t>
        </w:r>
        <w:r>
          <w:rPr>
            <w:b/>
            <w:spacing w:val="-3"/>
            <w:sz w:val="24"/>
          </w:rPr>
          <w:t xml:space="preserve"> </w:t>
        </w:r>
        <w:r>
          <w:rPr>
            <w:b/>
            <w:sz w:val="24"/>
          </w:rPr>
          <w:t>Application</w:t>
        </w:r>
        <w:r>
          <w:rPr>
            <w:b/>
            <w:spacing w:val="-3"/>
            <w:sz w:val="24"/>
          </w:rPr>
          <w:t xml:space="preserve"> </w:t>
        </w:r>
        <w:r>
          <w:rPr>
            <w:b/>
            <w:sz w:val="24"/>
          </w:rPr>
          <w:t>of</w:t>
        </w:r>
        <w:r>
          <w:rPr>
            <w:b/>
            <w:spacing w:val="-3"/>
            <w:sz w:val="24"/>
          </w:rPr>
          <w:t xml:space="preserve"> </w:t>
        </w:r>
        <w:r>
          <w:rPr>
            <w:b/>
            <w:sz w:val="24"/>
          </w:rPr>
          <w:t>a</w:t>
        </w:r>
        <w:r>
          <w:rPr>
            <w:b/>
            <w:spacing w:val="-4"/>
            <w:sz w:val="24"/>
          </w:rPr>
          <w:t xml:space="preserve"> </w:t>
        </w:r>
        <w:r>
          <w:rPr>
            <w:b/>
            <w:sz w:val="24"/>
          </w:rPr>
          <w:t>Multi-Attribute</w:t>
        </w:r>
        <w:r>
          <w:rPr>
            <w:b/>
            <w:spacing w:val="-4"/>
            <w:sz w:val="24"/>
          </w:rPr>
          <w:t xml:space="preserve"> </w:t>
        </w:r>
        <w:r>
          <w:rPr>
            <w:b/>
            <w:sz w:val="24"/>
          </w:rPr>
          <w:t>Model</w:t>
        </w:r>
        <w:r>
          <w:rPr>
            <w:b/>
            <w:spacing w:val="-23"/>
            <w:sz w:val="24"/>
          </w:rPr>
          <w:t xml:space="preserve"> </w:t>
        </w:r>
        <w:r>
          <w:rPr>
            <w:b/>
            <w:sz w:val="24"/>
          </w:rPr>
          <w:t>H-</w:t>
        </w:r>
        <w:r>
          <w:rPr>
            <w:b/>
            <w:spacing w:val="-10"/>
            <w:sz w:val="24"/>
          </w:rPr>
          <w:t>1</w:t>
        </w:r>
      </w:hyperlink>
    </w:p>
    <w:p w:rsidR="00C31389" w:rsidRDefault="00561FBD" w14:paraId="59F135F3" w14:textId="77777777">
      <w:pPr>
        <w:pStyle w:val="ListParagraph"/>
        <w:numPr>
          <w:ilvl w:val="1"/>
          <w:numId w:val="76"/>
        </w:numPr>
        <w:tabs>
          <w:tab w:val="left" w:pos="401"/>
        </w:tabs>
        <w:spacing w:before="120"/>
        <w:ind w:left="401" w:right="493" w:hanging="401"/>
        <w:jc w:val="right"/>
      </w:pPr>
      <w:hyperlink w:history="1" w:anchor="_bookmark499">
        <w:r>
          <w:rPr>
            <w:spacing w:val="-2"/>
          </w:rPr>
          <w:t>Background</w:t>
        </w:r>
        <w:r>
          <w:rPr>
            <w:spacing w:val="68"/>
            <w:w w:val="150"/>
          </w:rPr>
          <w:t xml:space="preserve"> </w:t>
        </w:r>
        <w:r>
          <w:rPr>
            <w:spacing w:val="-2"/>
          </w:rPr>
          <w:t>...............................................................................................................</w:t>
        </w:r>
        <w:r>
          <w:rPr>
            <w:spacing w:val="5"/>
          </w:rPr>
          <w:t xml:space="preserve"> </w:t>
        </w:r>
        <w:r>
          <w:rPr>
            <w:spacing w:val="-2"/>
          </w:rPr>
          <w:t>H-</w:t>
        </w:r>
        <w:r>
          <w:rPr>
            <w:spacing w:val="-10"/>
          </w:rPr>
          <w:t>1</w:t>
        </w:r>
      </w:hyperlink>
    </w:p>
    <w:p w:rsidR="00C31389" w:rsidRDefault="00561FBD" w14:paraId="15AF9F0B" w14:textId="77777777">
      <w:pPr>
        <w:pStyle w:val="ListParagraph"/>
        <w:numPr>
          <w:ilvl w:val="1"/>
          <w:numId w:val="76"/>
        </w:numPr>
        <w:tabs>
          <w:tab w:val="left" w:pos="401"/>
        </w:tabs>
        <w:spacing w:before="59"/>
        <w:ind w:left="401" w:right="493" w:hanging="401"/>
        <w:jc w:val="right"/>
      </w:pPr>
      <w:hyperlink w:history="1" w:anchor="_bookmark506">
        <w:r>
          <w:rPr>
            <w:spacing w:val="-2"/>
          </w:rPr>
          <w:t>Multi-Attribute</w:t>
        </w:r>
        <w:r>
          <w:rPr>
            <w:spacing w:val="77"/>
          </w:rPr>
          <w:t xml:space="preserve"> </w:t>
        </w:r>
        <w:r>
          <w:rPr>
            <w:spacing w:val="-2"/>
          </w:rPr>
          <w:t>Theory</w:t>
        </w:r>
        <w:r>
          <w:rPr>
            <w:spacing w:val="21"/>
          </w:rPr>
          <w:t xml:space="preserve"> </w:t>
        </w:r>
        <w:r>
          <w:rPr>
            <w:spacing w:val="-2"/>
          </w:rPr>
          <w:t>...................................................</w:t>
        </w:r>
        <w:r>
          <w:rPr>
            <w:spacing w:val="-2"/>
          </w:rPr>
          <w:t>.............................................</w:t>
        </w:r>
        <w:r>
          <w:rPr>
            <w:spacing w:val="-13"/>
          </w:rPr>
          <w:t xml:space="preserve"> </w:t>
        </w:r>
        <w:r>
          <w:rPr>
            <w:spacing w:val="-2"/>
          </w:rPr>
          <w:t>H-</w:t>
        </w:r>
        <w:r>
          <w:rPr>
            <w:spacing w:val="-10"/>
          </w:rPr>
          <w:t>2</w:t>
        </w:r>
      </w:hyperlink>
    </w:p>
    <w:p w:rsidR="00C31389" w:rsidRDefault="00561FBD" w14:paraId="0D7534D4" w14:textId="77777777">
      <w:pPr>
        <w:pStyle w:val="ListParagraph"/>
        <w:numPr>
          <w:ilvl w:val="1"/>
          <w:numId w:val="76"/>
        </w:numPr>
        <w:tabs>
          <w:tab w:val="left" w:pos="401"/>
        </w:tabs>
        <w:spacing w:before="60"/>
        <w:ind w:left="401" w:right="493" w:hanging="401"/>
        <w:jc w:val="right"/>
      </w:pPr>
      <w:hyperlink w:history="1" w:anchor="_bookmark507">
        <w:r>
          <w:rPr>
            <w:spacing w:val="-2"/>
          </w:rPr>
          <w:t>Implementing</w:t>
        </w:r>
        <w:r>
          <w:rPr>
            <w:spacing w:val="33"/>
          </w:rPr>
          <w:t xml:space="preserve"> </w:t>
        </w:r>
        <w:r>
          <w:rPr>
            <w:spacing w:val="-2"/>
          </w:rPr>
          <w:t>the</w:t>
        </w:r>
        <w:r>
          <w:rPr>
            <w:spacing w:val="34"/>
          </w:rPr>
          <w:t xml:space="preserve"> </w:t>
        </w:r>
        <w:r>
          <w:rPr>
            <w:spacing w:val="-2"/>
          </w:rPr>
          <w:t>Multi-Attribute</w:t>
        </w:r>
        <w:r>
          <w:rPr>
            <w:spacing w:val="32"/>
          </w:rPr>
          <w:t xml:space="preserve"> </w:t>
        </w:r>
        <w:r>
          <w:rPr>
            <w:spacing w:val="-2"/>
          </w:rPr>
          <w:t>Model</w:t>
        </w:r>
        <w:r>
          <w:rPr>
            <w:spacing w:val="-21"/>
          </w:rPr>
          <w:t xml:space="preserve"> </w:t>
        </w:r>
        <w:r>
          <w:rPr>
            <w:spacing w:val="-2"/>
          </w:rPr>
          <w:t>.....................................................................</w:t>
        </w:r>
        <w:r>
          <w:rPr>
            <w:spacing w:val="-27"/>
          </w:rPr>
          <w:t xml:space="preserve"> </w:t>
        </w:r>
        <w:r>
          <w:rPr>
            <w:spacing w:val="-2"/>
          </w:rPr>
          <w:t>H-</w:t>
        </w:r>
        <w:r>
          <w:rPr>
            <w:spacing w:val="-10"/>
          </w:rPr>
          <w:t>2</w:t>
        </w:r>
      </w:hyperlink>
    </w:p>
    <w:p w:rsidR="00C31389" w:rsidRDefault="00561FBD" w14:paraId="64785599" w14:textId="77777777">
      <w:pPr>
        <w:pStyle w:val="ListParagraph"/>
        <w:numPr>
          <w:ilvl w:val="2"/>
          <w:numId w:val="76"/>
        </w:numPr>
        <w:tabs>
          <w:tab w:val="left" w:pos="718"/>
        </w:tabs>
        <w:spacing w:before="60"/>
        <w:ind w:left="718" w:right="478" w:hanging="718"/>
        <w:jc w:val="right"/>
      </w:pPr>
      <w:hyperlink w:history="1" w:anchor="_bookmark508">
        <w:r>
          <w:rPr>
            <w:spacing w:val="-2"/>
          </w:rPr>
          <w:t>Customer</w:t>
        </w:r>
        <w:r>
          <w:rPr>
            <w:spacing w:val="31"/>
          </w:rPr>
          <w:t xml:space="preserve"> </w:t>
        </w:r>
        <w:r>
          <w:rPr>
            <w:spacing w:val="-2"/>
          </w:rPr>
          <w:t>Preference</w:t>
        </w:r>
        <w:r>
          <w:rPr>
            <w:spacing w:val="32"/>
          </w:rPr>
          <w:t xml:space="preserve"> </w:t>
        </w:r>
        <w:r>
          <w:rPr>
            <w:spacing w:val="-2"/>
          </w:rPr>
          <w:t>Weighting</w:t>
        </w:r>
        <w:r>
          <w:rPr>
            <w:spacing w:val="23"/>
          </w:rPr>
          <w:t xml:space="preserve"> </w:t>
        </w:r>
        <w:r>
          <w:rPr>
            <w:spacing w:val="-2"/>
          </w:rPr>
          <w:t>.................................................................</w:t>
        </w:r>
        <w:r>
          <w:rPr>
            <w:spacing w:val="-5"/>
          </w:rPr>
          <w:t xml:space="preserve"> </w:t>
        </w:r>
        <w:r>
          <w:rPr>
            <w:spacing w:val="-2"/>
          </w:rPr>
          <w:t>H-</w:t>
        </w:r>
        <w:r>
          <w:rPr>
            <w:spacing w:val="-10"/>
          </w:rPr>
          <w:t>3</w:t>
        </w:r>
      </w:hyperlink>
    </w:p>
    <w:p w:rsidR="00C31389" w:rsidRDefault="00561FBD" w14:paraId="7778AB57" w14:textId="77777777">
      <w:pPr>
        <w:pStyle w:val="ListParagraph"/>
        <w:numPr>
          <w:ilvl w:val="2"/>
          <w:numId w:val="76"/>
        </w:numPr>
        <w:tabs>
          <w:tab w:val="left" w:pos="718"/>
        </w:tabs>
        <w:spacing w:before="60"/>
        <w:ind w:left="718" w:right="478" w:hanging="718"/>
        <w:jc w:val="right"/>
      </w:pPr>
      <w:hyperlink w:history="1" w:anchor="_bookmark512">
        <w:r>
          <w:rPr>
            <w:spacing w:val="-2"/>
          </w:rPr>
          <w:t>Normalized</w:t>
        </w:r>
        <w:r>
          <w:rPr>
            <w:spacing w:val="35"/>
          </w:rPr>
          <w:t xml:space="preserve"> </w:t>
        </w:r>
        <w:r>
          <w:rPr>
            <w:spacing w:val="-2"/>
          </w:rPr>
          <w:t>Technology</w:t>
        </w:r>
        <w:r>
          <w:rPr>
            <w:spacing w:val="34"/>
          </w:rPr>
          <w:t xml:space="preserve"> </w:t>
        </w:r>
        <w:r>
          <w:rPr>
            <w:spacing w:val="-2"/>
          </w:rPr>
          <w:t>Characteristic</w:t>
        </w:r>
        <w:r>
          <w:rPr>
            <w:spacing w:val="-29"/>
          </w:rPr>
          <w:t xml:space="preserve"> </w:t>
        </w:r>
        <w:r>
          <w:rPr>
            <w:spacing w:val="-2"/>
          </w:rPr>
          <w:t>........................................................</w:t>
        </w:r>
        <w:r>
          <w:rPr>
            <w:spacing w:val="-1"/>
          </w:rPr>
          <w:t xml:space="preserve"> </w:t>
        </w:r>
        <w:r>
          <w:rPr>
            <w:spacing w:val="-2"/>
          </w:rPr>
          <w:t>H-</w:t>
        </w:r>
        <w:r>
          <w:rPr>
            <w:spacing w:val="-10"/>
          </w:rPr>
          <w:t>4</w:t>
        </w:r>
      </w:hyperlink>
    </w:p>
    <w:p w:rsidR="00C31389" w:rsidRDefault="00561FBD" w14:paraId="6B5223DC" w14:textId="77777777">
      <w:pPr>
        <w:pStyle w:val="ListParagraph"/>
        <w:numPr>
          <w:ilvl w:val="1"/>
          <w:numId w:val="76"/>
        </w:numPr>
        <w:tabs>
          <w:tab w:val="left" w:pos="401"/>
        </w:tabs>
        <w:spacing w:before="61"/>
        <w:ind w:left="401" w:right="492" w:hanging="401"/>
        <w:jc w:val="right"/>
      </w:pPr>
      <w:hyperlink w:history="1" w:anchor="_bookmark514">
        <w:r>
          <w:rPr>
            <w:spacing w:val="-2"/>
          </w:rPr>
          <w:t>Calculating</w:t>
        </w:r>
        <w:r>
          <w:rPr>
            <w:spacing w:val="48"/>
          </w:rPr>
          <w:t xml:space="preserve"> </w:t>
        </w:r>
        <w:r>
          <w:rPr>
            <w:spacing w:val="-2"/>
          </w:rPr>
          <w:t>Market</w:t>
        </w:r>
        <w:r>
          <w:rPr>
            <w:spacing w:val="49"/>
          </w:rPr>
          <w:t xml:space="preserve"> </w:t>
        </w:r>
        <w:r>
          <w:rPr>
            <w:spacing w:val="-2"/>
          </w:rPr>
          <w:t>Share</w:t>
        </w:r>
        <w:r>
          <w:rPr>
            <w:spacing w:val="2"/>
          </w:rPr>
          <w:t xml:space="preserve"> </w:t>
        </w:r>
        <w:r>
          <w:rPr>
            <w:spacing w:val="-2"/>
          </w:rPr>
          <w:t>..........................................................................................</w:t>
        </w:r>
        <w:r>
          <w:rPr>
            <w:spacing w:val="-23"/>
          </w:rPr>
          <w:t xml:space="preserve"> </w:t>
        </w:r>
        <w:r>
          <w:rPr>
            <w:spacing w:val="-2"/>
          </w:rPr>
          <w:t>H-</w:t>
        </w:r>
        <w:r>
          <w:rPr>
            <w:spacing w:val="-10"/>
          </w:rPr>
          <w:t>5</w:t>
        </w:r>
      </w:hyperlink>
    </w:p>
    <w:p w:rsidR="00C31389" w:rsidRDefault="00561FBD" w14:paraId="4936A77B" w14:textId="77777777">
      <w:pPr>
        <w:spacing w:before="120"/>
        <w:ind w:right="486"/>
        <w:jc w:val="right"/>
        <w:rPr>
          <w:b/>
          <w:sz w:val="24"/>
        </w:rPr>
      </w:pPr>
      <w:hyperlink w:history="1" w:anchor="_bookmark517">
        <w:r>
          <w:rPr>
            <w:b/>
            <w:sz w:val="24"/>
          </w:rPr>
          <w:t>Appendix</w:t>
        </w:r>
        <w:r>
          <w:rPr>
            <w:b/>
            <w:spacing w:val="-11"/>
            <w:sz w:val="24"/>
          </w:rPr>
          <w:t xml:space="preserve"> </w:t>
        </w:r>
        <w:r>
          <w:rPr>
            <w:b/>
            <w:sz w:val="24"/>
          </w:rPr>
          <w:t>I.</w:t>
        </w:r>
        <w:r>
          <w:rPr>
            <w:b/>
            <w:spacing w:val="-5"/>
            <w:sz w:val="24"/>
          </w:rPr>
          <w:t xml:space="preserve"> </w:t>
        </w:r>
        <w:r>
          <w:rPr>
            <w:b/>
            <w:sz w:val="24"/>
          </w:rPr>
          <w:t>Cost-Effectiveness</w:t>
        </w:r>
        <w:r>
          <w:rPr>
            <w:b/>
            <w:spacing w:val="-6"/>
            <w:sz w:val="24"/>
          </w:rPr>
          <w:t xml:space="preserve"> </w:t>
        </w:r>
        <w:r>
          <w:rPr>
            <w:b/>
            <w:sz w:val="24"/>
          </w:rPr>
          <w:t>Analysis</w:t>
        </w:r>
        <w:r>
          <w:rPr>
            <w:b/>
            <w:spacing w:val="-7"/>
            <w:sz w:val="24"/>
          </w:rPr>
          <w:t xml:space="preserve"> </w:t>
        </w:r>
        <w:r>
          <w:rPr>
            <w:b/>
            <w:sz w:val="24"/>
          </w:rPr>
          <w:t>Methodology</w:t>
        </w:r>
        <w:r>
          <w:rPr>
            <w:b/>
            <w:spacing w:val="-47"/>
            <w:sz w:val="24"/>
          </w:rPr>
          <w:t xml:space="preserve"> </w:t>
        </w:r>
        <w:r>
          <w:rPr>
            <w:b/>
            <w:sz w:val="24"/>
          </w:rPr>
          <w:t>...........................................</w:t>
        </w:r>
        <w:r>
          <w:rPr>
            <w:b/>
            <w:spacing w:val="-39"/>
            <w:sz w:val="24"/>
          </w:rPr>
          <w:t xml:space="preserve"> </w:t>
        </w:r>
        <w:r>
          <w:rPr>
            <w:b/>
            <w:sz w:val="24"/>
          </w:rPr>
          <w:t>I-</w:t>
        </w:r>
        <w:r>
          <w:rPr>
            <w:b/>
            <w:spacing w:val="-10"/>
            <w:sz w:val="24"/>
          </w:rPr>
          <w:t>1</w:t>
        </w:r>
      </w:hyperlink>
    </w:p>
    <w:p w:rsidR="00C31389" w:rsidRDefault="00561FBD" w14:paraId="50C3FD90" w14:textId="77777777">
      <w:pPr>
        <w:pStyle w:val="ListParagraph"/>
        <w:numPr>
          <w:ilvl w:val="1"/>
          <w:numId w:val="75"/>
        </w:numPr>
        <w:tabs>
          <w:tab w:val="left" w:pos="305"/>
        </w:tabs>
        <w:spacing w:before="119"/>
        <w:ind w:left="305" w:right="492" w:hanging="305"/>
        <w:jc w:val="right"/>
      </w:pPr>
      <w:hyperlink w:history="1" w:anchor="_bookmark519">
        <w:r>
          <w:rPr>
            <w:spacing w:val="-2"/>
          </w:rPr>
          <w:t>Avoided</w:t>
        </w:r>
        <w:r>
          <w:rPr>
            <w:spacing w:val="48"/>
          </w:rPr>
          <w:t xml:space="preserve"> </w:t>
        </w:r>
        <w:r>
          <w:rPr>
            <w:spacing w:val="-2"/>
          </w:rPr>
          <w:t>Cost</w:t>
        </w:r>
        <w:r>
          <w:rPr>
            <w:spacing w:val="50"/>
          </w:rPr>
          <w:t xml:space="preserve"> </w:t>
        </w:r>
        <w:r>
          <w:rPr>
            <w:spacing w:val="-2"/>
          </w:rPr>
          <w:t>Components</w:t>
        </w:r>
        <w:r>
          <w:rPr>
            <w:spacing w:val="25"/>
          </w:rPr>
          <w:t xml:space="preserve"> </w:t>
        </w:r>
        <w:r>
          <w:rPr>
            <w:spacing w:val="-2"/>
          </w:rPr>
          <w:t>...........................................................................................I-</w:t>
        </w:r>
        <w:r>
          <w:rPr>
            <w:spacing w:val="-10"/>
          </w:rPr>
          <w:t>2</w:t>
        </w:r>
      </w:hyperlink>
    </w:p>
    <w:p w:rsidR="00C31389" w:rsidRDefault="00561FBD" w14:paraId="09E35C07" w14:textId="77777777">
      <w:pPr>
        <w:pStyle w:val="ListParagraph"/>
        <w:numPr>
          <w:ilvl w:val="1"/>
          <w:numId w:val="75"/>
        </w:numPr>
        <w:tabs>
          <w:tab w:val="left" w:pos="305"/>
        </w:tabs>
        <w:spacing w:before="60"/>
        <w:ind w:left="305" w:right="492" w:hanging="305"/>
        <w:jc w:val="right"/>
      </w:pPr>
      <w:hyperlink w:history="1" w:anchor="_bookmark520">
        <w:r>
          <w:rPr>
            <w:spacing w:val="-2"/>
          </w:rPr>
          <w:t>Cost-Effectiveness</w:t>
        </w:r>
        <w:r>
          <w:rPr>
            <w:spacing w:val="50"/>
            <w:w w:val="150"/>
          </w:rPr>
          <w:t xml:space="preserve"> </w:t>
        </w:r>
        <w:r>
          <w:rPr>
            <w:spacing w:val="-2"/>
          </w:rPr>
          <w:t>Definitions</w:t>
        </w:r>
        <w:r>
          <w:rPr>
            <w:spacing w:val="46"/>
          </w:rPr>
          <w:t xml:space="preserve"> </w:t>
        </w:r>
        <w:r>
          <w:rPr>
            <w:spacing w:val="-2"/>
          </w:rPr>
          <w:t>......................................................................................I-</w:t>
        </w:r>
        <w:r>
          <w:rPr>
            <w:spacing w:val="-10"/>
          </w:rPr>
          <w:t>3</w:t>
        </w:r>
      </w:hyperlink>
    </w:p>
    <w:p w:rsidR="00C31389" w:rsidRDefault="00561FBD" w14:paraId="724E1C6E" w14:textId="77777777">
      <w:pPr>
        <w:pStyle w:val="ListParagraph"/>
        <w:numPr>
          <w:ilvl w:val="2"/>
          <w:numId w:val="75"/>
        </w:numPr>
        <w:tabs>
          <w:tab w:val="left" w:pos="719"/>
        </w:tabs>
        <w:spacing w:before="60"/>
        <w:ind w:left="719" w:right="477" w:hanging="719"/>
        <w:jc w:val="right"/>
      </w:pPr>
      <w:hyperlink w:history="1" w:anchor="_bookmark521">
        <w:r>
          <w:rPr>
            <w:spacing w:val="-2"/>
          </w:rPr>
          <w:t>TRC</w:t>
        </w:r>
        <w:r>
          <w:rPr>
            <w:spacing w:val="42"/>
          </w:rPr>
          <w:t xml:space="preserve">  </w:t>
        </w:r>
        <w:r>
          <w:rPr>
            <w:spacing w:val="-2"/>
          </w:rPr>
          <w:t>...............................................................................................</w:t>
        </w:r>
        <w:r>
          <w:rPr>
            <w:spacing w:val="-2"/>
          </w:rPr>
          <w:t>................I-</w:t>
        </w:r>
        <w:r>
          <w:rPr>
            <w:spacing w:val="-10"/>
          </w:rPr>
          <w:t>3</w:t>
        </w:r>
      </w:hyperlink>
    </w:p>
    <w:p w:rsidR="00C31389" w:rsidRDefault="00C31389" w14:paraId="39A5A864" w14:textId="77777777">
      <w:pPr>
        <w:jc w:val="right"/>
        <w:sectPr w:rsidR="00C31389">
          <w:pgSz w:w="12240" w:h="15840"/>
          <w:pgMar w:top="1660" w:right="960" w:bottom="1120" w:left="960" w:header="397" w:footer="936" w:gutter="0"/>
          <w:cols w:space="720"/>
        </w:sectPr>
      </w:pPr>
    </w:p>
    <w:p w:rsidR="00C31389" w:rsidRDefault="00C31389" w14:paraId="2339C4B2" w14:textId="77777777">
      <w:pPr>
        <w:pStyle w:val="BodyText"/>
        <w:spacing w:before="11"/>
        <w:rPr>
          <w:sz w:val="13"/>
        </w:rPr>
      </w:pPr>
    </w:p>
    <w:p w:rsidR="00C31389" w:rsidRDefault="00561FBD" w14:paraId="7A3B9543" w14:textId="77777777">
      <w:pPr>
        <w:pStyle w:val="ListParagraph"/>
        <w:numPr>
          <w:ilvl w:val="2"/>
          <w:numId w:val="75"/>
        </w:numPr>
        <w:tabs>
          <w:tab w:val="left" w:pos="2279"/>
          <w:tab w:val="left" w:leader="dot" w:pos="9583"/>
        </w:tabs>
        <w:spacing w:before="92"/>
        <w:ind w:left="2279" w:hanging="719"/>
      </w:pPr>
      <w:hyperlink w:history="1" w:anchor="_bookmark523">
        <w:r>
          <w:rPr>
            <w:spacing w:val="-5"/>
          </w:rPr>
          <w:t>TSB</w:t>
        </w:r>
        <w:r>
          <w:tab/>
        </w:r>
        <w:r>
          <w:rPr>
            <w:spacing w:val="-2"/>
          </w:rPr>
          <w:t>I-</w:t>
        </w:r>
        <w:r>
          <w:rPr>
            <w:spacing w:val="-10"/>
          </w:rPr>
          <w:t>3</w:t>
        </w:r>
      </w:hyperlink>
    </w:p>
    <w:p w:rsidR="00C31389" w:rsidRDefault="00561FBD" w14:paraId="5ADA18CF" w14:textId="77777777">
      <w:pPr>
        <w:spacing w:before="121"/>
        <w:ind w:right="487"/>
        <w:jc w:val="right"/>
        <w:rPr>
          <w:b/>
          <w:sz w:val="24"/>
        </w:rPr>
      </w:pPr>
      <w:hyperlink w:history="1" w:anchor="_bookmark525">
        <w:r>
          <w:rPr>
            <w:b/>
            <w:sz w:val="24"/>
          </w:rPr>
          <w:t>Appendix</w:t>
        </w:r>
        <w:r>
          <w:rPr>
            <w:b/>
            <w:spacing w:val="-5"/>
            <w:sz w:val="24"/>
          </w:rPr>
          <w:t xml:space="preserve"> </w:t>
        </w:r>
        <w:r>
          <w:rPr>
            <w:b/>
            <w:sz w:val="24"/>
          </w:rPr>
          <w:t>J.</w:t>
        </w:r>
        <w:r>
          <w:rPr>
            <w:b/>
            <w:spacing w:val="-1"/>
            <w:sz w:val="24"/>
          </w:rPr>
          <w:t xml:space="preserve"> </w:t>
        </w:r>
        <w:r>
          <w:rPr>
            <w:b/>
            <w:sz w:val="24"/>
          </w:rPr>
          <w:t>Detailed</w:t>
        </w:r>
        <w:r>
          <w:rPr>
            <w:b/>
            <w:spacing w:val="-4"/>
            <w:sz w:val="24"/>
          </w:rPr>
          <w:t xml:space="preserve"> </w:t>
        </w:r>
        <w:r>
          <w:rPr>
            <w:b/>
            <w:sz w:val="24"/>
          </w:rPr>
          <w:t>Scenario</w:t>
        </w:r>
        <w:r>
          <w:rPr>
            <w:b/>
            <w:spacing w:val="-3"/>
            <w:sz w:val="24"/>
          </w:rPr>
          <w:t xml:space="preserve"> </w:t>
        </w:r>
        <w:r>
          <w:rPr>
            <w:b/>
            <w:sz w:val="24"/>
          </w:rPr>
          <w:t>Results</w:t>
        </w:r>
        <w:r>
          <w:rPr>
            <w:b/>
            <w:spacing w:val="-3"/>
            <w:sz w:val="24"/>
          </w:rPr>
          <w:t xml:space="preserve"> </w:t>
        </w:r>
        <w:r>
          <w:rPr>
            <w:b/>
            <w:sz w:val="24"/>
          </w:rPr>
          <w:t>by</w:t>
        </w:r>
        <w:r>
          <w:rPr>
            <w:b/>
            <w:spacing w:val="-3"/>
            <w:sz w:val="24"/>
          </w:rPr>
          <w:t xml:space="preserve"> </w:t>
        </w:r>
        <w:r>
          <w:rPr>
            <w:b/>
            <w:sz w:val="24"/>
          </w:rPr>
          <w:t>IOU</w:t>
        </w:r>
        <w:r>
          <w:rPr>
            <w:b/>
            <w:spacing w:val="-5"/>
            <w:sz w:val="24"/>
          </w:rPr>
          <w:t xml:space="preserve"> </w:t>
        </w:r>
        <w:r>
          <w:rPr>
            <w:b/>
            <w:sz w:val="24"/>
          </w:rPr>
          <w:t>.....................................</w:t>
        </w:r>
        <w:r>
          <w:rPr>
            <w:b/>
            <w:sz w:val="24"/>
          </w:rPr>
          <w:t>..................</w:t>
        </w:r>
        <w:r>
          <w:rPr>
            <w:b/>
            <w:spacing w:val="-39"/>
            <w:sz w:val="24"/>
          </w:rPr>
          <w:t xml:space="preserve"> </w:t>
        </w:r>
        <w:r>
          <w:rPr>
            <w:b/>
            <w:sz w:val="24"/>
          </w:rPr>
          <w:t>J-</w:t>
        </w:r>
        <w:r>
          <w:rPr>
            <w:b/>
            <w:spacing w:val="-10"/>
            <w:sz w:val="24"/>
          </w:rPr>
          <w:t>1</w:t>
        </w:r>
      </w:hyperlink>
    </w:p>
    <w:p w:rsidR="00C31389" w:rsidRDefault="00561FBD" w14:paraId="7BF6A592" w14:textId="77777777">
      <w:pPr>
        <w:pStyle w:val="BodyText"/>
        <w:spacing w:before="120"/>
        <w:ind w:right="492"/>
        <w:jc w:val="right"/>
      </w:pPr>
      <w:hyperlink w:history="1" w:anchor="_bookmark527">
        <w:r>
          <w:t>J.2</w:t>
        </w:r>
        <w:r>
          <w:rPr>
            <w:spacing w:val="-16"/>
          </w:rPr>
          <w:t xml:space="preserve"> </w:t>
        </w:r>
        <w:r>
          <w:t>Detailed</w:t>
        </w:r>
        <w:r>
          <w:rPr>
            <w:spacing w:val="-14"/>
          </w:rPr>
          <w:t xml:space="preserve"> </w:t>
        </w:r>
        <w:r>
          <w:t>Achievable</w:t>
        </w:r>
        <w:r>
          <w:rPr>
            <w:spacing w:val="-13"/>
          </w:rPr>
          <w:t xml:space="preserve"> </w:t>
        </w:r>
        <w:r>
          <w:t>Energy</w:t>
        </w:r>
        <w:r>
          <w:rPr>
            <w:spacing w:val="-11"/>
          </w:rPr>
          <w:t xml:space="preserve"> </w:t>
        </w:r>
        <w:r>
          <w:t>Impacts</w:t>
        </w:r>
        <w:r>
          <w:rPr>
            <w:spacing w:val="-12"/>
          </w:rPr>
          <w:t xml:space="preserve"> </w:t>
        </w:r>
        <w:r>
          <w:t>by</w:t>
        </w:r>
        <w:r>
          <w:rPr>
            <w:spacing w:val="-12"/>
          </w:rPr>
          <w:t xml:space="preserve"> </w:t>
        </w:r>
        <w:r>
          <w:t>IOU</w:t>
        </w:r>
        <w:r>
          <w:rPr>
            <w:spacing w:val="-15"/>
          </w:rPr>
          <w:t xml:space="preserve"> </w:t>
        </w:r>
        <w:r>
          <w:t>..............................................................J-</w:t>
        </w:r>
        <w:r>
          <w:rPr>
            <w:spacing w:val="-10"/>
          </w:rPr>
          <w:t>2</w:t>
        </w:r>
      </w:hyperlink>
    </w:p>
    <w:p w:rsidR="00C31389" w:rsidRDefault="00561FBD" w14:paraId="403AD337" w14:textId="77777777">
      <w:pPr>
        <w:spacing w:before="120"/>
        <w:ind w:right="487"/>
        <w:jc w:val="right"/>
        <w:rPr>
          <w:b/>
          <w:sz w:val="24"/>
        </w:rPr>
      </w:pPr>
      <w:hyperlink w:history="1" w:anchor="_bookmark547">
        <w:r>
          <w:rPr>
            <w:b/>
            <w:sz w:val="24"/>
          </w:rPr>
          <w:t>Appendix</w:t>
        </w:r>
        <w:r>
          <w:rPr>
            <w:b/>
            <w:spacing w:val="-4"/>
            <w:sz w:val="24"/>
          </w:rPr>
          <w:t xml:space="preserve"> </w:t>
        </w:r>
        <w:r>
          <w:rPr>
            <w:b/>
            <w:sz w:val="24"/>
          </w:rPr>
          <w:t>K. Inflation</w:t>
        </w:r>
        <w:r>
          <w:rPr>
            <w:b/>
            <w:spacing w:val="-1"/>
            <w:sz w:val="24"/>
          </w:rPr>
          <w:t xml:space="preserve"> </w:t>
        </w:r>
        <w:r>
          <w:rPr>
            <w:b/>
            <w:sz w:val="24"/>
          </w:rPr>
          <w:t>Reduction</w:t>
        </w:r>
        <w:r>
          <w:rPr>
            <w:b/>
            <w:spacing w:val="-2"/>
            <w:sz w:val="24"/>
          </w:rPr>
          <w:t xml:space="preserve"> </w:t>
        </w:r>
        <w:r>
          <w:rPr>
            <w:b/>
            <w:sz w:val="24"/>
          </w:rPr>
          <w:t>Act</w:t>
        </w:r>
        <w:r>
          <w:rPr>
            <w:b/>
            <w:spacing w:val="-2"/>
            <w:sz w:val="24"/>
          </w:rPr>
          <w:t xml:space="preserve"> </w:t>
        </w:r>
        <w:r>
          <w:rPr>
            <w:b/>
            <w:sz w:val="24"/>
          </w:rPr>
          <w:t>Tax</w:t>
        </w:r>
        <w:r>
          <w:rPr>
            <w:b/>
            <w:spacing w:val="-2"/>
            <w:sz w:val="24"/>
          </w:rPr>
          <w:t xml:space="preserve"> </w:t>
        </w:r>
        <w:r>
          <w:rPr>
            <w:b/>
            <w:sz w:val="24"/>
          </w:rPr>
          <w:t>Credits.................................................</w:t>
        </w:r>
        <w:r>
          <w:rPr>
            <w:b/>
            <w:spacing w:val="-11"/>
            <w:sz w:val="24"/>
          </w:rPr>
          <w:t xml:space="preserve"> </w:t>
        </w:r>
        <w:r>
          <w:rPr>
            <w:b/>
            <w:sz w:val="24"/>
          </w:rPr>
          <w:t>K-</w:t>
        </w:r>
        <w:r>
          <w:rPr>
            <w:b/>
            <w:spacing w:val="-5"/>
            <w:sz w:val="24"/>
          </w:rPr>
          <w:t>14</w:t>
        </w:r>
      </w:hyperlink>
    </w:p>
    <w:p w:rsidR="00C31389" w:rsidRDefault="00561FBD" w14:paraId="2BC5C484" w14:textId="77777777">
      <w:pPr>
        <w:pStyle w:val="ListParagraph"/>
        <w:numPr>
          <w:ilvl w:val="1"/>
          <w:numId w:val="74"/>
        </w:numPr>
        <w:tabs>
          <w:tab w:val="left" w:pos="389"/>
        </w:tabs>
        <w:spacing w:before="120"/>
        <w:ind w:left="389" w:right="492" w:hanging="389"/>
        <w:jc w:val="right"/>
      </w:pPr>
      <w:hyperlink w:history="1" w:anchor="_bookmark548">
        <w:r>
          <w:rPr>
            <w:spacing w:val="-2"/>
          </w:rPr>
          <w:t>Residential</w:t>
        </w:r>
        <w:r>
          <w:rPr>
            <w:spacing w:val="38"/>
          </w:rPr>
          <w:t xml:space="preserve"> </w:t>
        </w:r>
        <w:r>
          <w:rPr>
            <w:spacing w:val="-2"/>
          </w:rPr>
          <w:t>Sector</w:t>
        </w:r>
        <w:r>
          <w:rPr>
            <w:spacing w:val="39"/>
          </w:rPr>
          <w:t xml:space="preserve"> </w:t>
        </w:r>
        <w:r>
          <w:rPr>
            <w:spacing w:val="-2"/>
          </w:rPr>
          <w:t>Characterization</w:t>
        </w:r>
        <w:r>
          <w:rPr>
            <w:spacing w:val="17"/>
          </w:rPr>
          <w:t xml:space="preserve"> </w:t>
        </w:r>
        <w:r>
          <w:rPr>
            <w:spacing w:val="-2"/>
          </w:rPr>
          <w:t>........................................................................</w:t>
        </w:r>
        <w:r>
          <w:rPr>
            <w:spacing w:val="-5"/>
          </w:rPr>
          <w:t xml:space="preserve"> </w:t>
        </w:r>
        <w:r>
          <w:rPr>
            <w:spacing w:val="-2"/>
          </w:rPr>
          <w:t>K-</w:t>
        </w:r>
        <w:r>
          <w:rPr>
            <w:spacing w:val="-5"/>
          </w:rPr>
          <w:t>14</w:t>
        </w:r>
      </w:hyperlink>
    </w:p>
    <w:p w:rsidR="00C31389" w:rsidRDefault="00561FBD" w14:paraId="5D10C621" w14:textId="77777777">
      <w:pPr>
        <w:pStyle w:val="ListParagraph"/>
        <w:numPr>
          <w:ilvl w:val="1"/>
          <w:numId w:val="74"/>
        </w:numPr>
        <w:tabs>
          <w:tab w:val="left" w:pos="389"/>
        </w:tabs>
        <w:spacing w:before="59"/>
        <w:ind w:left="389" w:right="492" w:hanging="389"/>
        <w:jc w:val="right"/>
      </w:pPr>
      <w:hyperlink w:history="1" w:anchor="_bookmark549">
        <w:r>
          <w:rPr>
            <w:spacing w:val="-2"/>
          </w:rPr>
          <w:t>Commercial</w:t>
        </w:r>
        <w:r>
          <w:rPr>
            <w:spacing w:val="43"/>
          </w:rPr>
          <w:t xml:space="preserve"> </w:t>
        </w:r>
        <w:r>
          <w:rPr>
            <w:spacing w:val="-2"/>
          </w:rPr>
          <w:t>Sector</w:t>
        </w:r>
        <w:r>
          <w:rPr>
            <w:spacing w:val="40"/>
          </w:rPr>
          <w:t xml:space="preserve"> </w:t>
        </w:r>
        <w:r>
          <w:rPr>
            <w:spacing w:val="-2"/>
          </w:rPr>
          <w:t>Characterization</w:t>
        </w:r>
        <w:r>
          <w:rPr>
            <w:spacing w:val="-20"/>
          </w:rPr>
          <w:t xml:space="preserve"> </w:t>
        </w:r>
        <w:r>
          <w:rPr>
            <w:spacing w:val="-2"/>
          </w:rPr>
          <w:t>....................................................................... K-</w:t>
        </w:r>
        <w:r>
          <w:rPr>
            <w:spacing w:val="-5"/>
          </w:rPr>
          <w:t>15</w:t>
        </w:r>
      </w:hyperlink>
    </w:p>
    <w:p w:rsidR="00C31389" w:rsidRDefault="00561FBD" w14:paraId="678DD972" w14:textId="77777777">
      <w:pPr>
        <w:spacing w:before="121"/>
        <w:ind w:right="487"/>
        <w:jc w:val="right"/>
        <w:rPr>
          <w:b/>
          <w:sz w:val="24"/>
        </w:rPr>
      </w:pPr>
      <w:hyperlink w:history="1" w:anchor="_bookmark553">
        <w:r>
          <w:rPr>
            <w:b/>
            <w:sz w:val="24"/>
          </w:rPr>
          <w:t>Appendix</w:t>
        </w:r>
        <w:r>
          <w:rPr>
            <w:b/>
            <w:spacing w:val="-4"/>
            <w:sz w:val="24"/>
          </w:rPr>
          <w:t xml:space="preserve"> </w:t>
        </w:r>
        <w:r>
          <w:rPr>
            <w:b/>
            <w:sz w:val="24"/>
          </w:rPr>
          <w:t>L.</w:t>
        </w:r>
        <w:r>
          <w:rPr>
            <w:b/>
            <w:spacing w:val="-1"/>
            <w:sz w:val="24"/>
          </w:rPr>
          <w:t xml:space="preserve"> </w:t>
        </w:r>
        <w:r>
          <w:rPr>
            <w:b/>
            <w:sz w:val="24"/>
          </w:rPr>
          <w:t>Response</w:t>
        </w:r>
        <w:r>
          <w:rPr>
            <w:b/>
            <w:spacing w:val="-3"/>
            <w:sz w:val="24"/>
          </w:rPr>
          <w:t xml:space="preserve"> </w:t>
        </w:r>
        <w:r>
          <w:rPr>
            <w:b/>
            <w:sz w:val="24"/>
          </w:rPr>
          <w:t>Stakeholder</w:t>
        </w:r>
        <w:r>
          <w:rPr>
            <w:b/>
            <w:spacing w:val="-2"/>
            <w:sz w:val="24"/>
          </w:rPr>
          <w:t xml:space="preserve"> </w:t>
        </w:r>
        <w:r>
          <w:rPr>
            <w:b/>
            <w:sz w:val="24"/>
          </w:rPr>
          <w:t>Comments....................................................</w:t>
        </w:r>
        <w:r>
          <w:rPr>
            <w:b/>
            <w:spacing w:val="-51"/>
            <w:sz w:val="24"/>
          </w:rPr>
          <w:t xml:space="preserve"> </w:t>
        </w:r>
        <w:r>
          <w:rPr>
            <w:b/>
            <w:sz w:val="24"/>
          </w:rPr>
          <w:t>L-</w:t>
        </w:r>
        <w:r>
          <w:rPr>
            <w:b/>
            <w:spacing w:val="-5"/>
            <w:sz w:val="24"/>
          </w:rPr>
          <w:t>19</w:t>
        </w:r>
      </w:hyperlink>
    </w:p>
    <w:p w:rsidR="00C31389" w:rsidRDefault="00C31389" w14:paraId="47DBD51D" w14:textId="77777777">
      <w:pPr>
        <w:pStyle w:val="BodyText"/>
        <w:rPr>
          <w:b/>
          <w:sz w:val="26"/>
        </w:rPr>
      </w:pPr>
    </w:p>
    <w:p w:rsidR="00C31389" w:rsidRDefault="00561FBD" w14:paraId="578B8630" w14:textId="77777777">
      <w:pPr>
        <w:spacing w:before="216"/>
        <w:ind w:left="480"/>
        <w:rPr>
          <w:b/>
          <w:sz w:val="32"/>
        </w:rPr>
      </w:pPr>
      <w:r>
        <w:rPr>
          <w:b/>
          <w:sz w:val="32"/>
        </w:rPr>
        <w:t>List</w:t>
      </w:r>
      <w:r>
        <w:rPr>
          <w:b/>
          <w:spacing w:val="-5"/>
          <w:sz w:val="32"/>
        </w:rPr>
        <w:t xml:space="preserve"> </w:t>
      </w:r>
      <w:r>
        <w:rPr>
          <w:b/>
          <w:sz w:val="32"/>
        </w:rPr>
        <w:t>of</w:t>
      </w:r>
      <w:r>
        <w:rPr>
          <w:b/>
          <w:spacing w:val="-3"/>
          <w:sz w:val="32"/>
        </w:rPr>
        <w:t xml:space="preserve"> </w:t>
      </w:r>
      <w:r>
        <w:rPr>
          <w:b/>
          <w:spacing w:val="-2"/>
          <w:sz w:val="32"/>
        </w:rPr>
        <w:t>Tables</w:t>
      </w:r>
    </w:p>
    <w:p w:rsidR="00C31389" w:rsidRDefault="00561FBD" w14:paraId="1EA7B250" w14:textId="77777777">
      <w:pPr>
        <w:pStyle w:val="BodyText"/>
        <w:tabs>
          <w:tab w:val="left" w:leader="dot" w:pos="9496"/>
        </w:tabs>
        <w:spacing w:before="241" w:line="253" w:lineRule="exact"/>
        <w:ind w:left="480"/>
      </w:pPr>
      <w:hyperlink w:history="1" w:anchor="_bookmark7">
        <w:r>
          <w:t>Table</w:t>
        </w:r>
        <w:r>
          <w:rPr>
            <w:spacing w:val="-8"/>
          </w:rPr>
          <w:t xml:space="preserve"> </w:t>
        </w:r>
        <w:r>
          <w:t>ES-1.</w:t>
        </w:r>
        <w:r>
          <w:rPr>
            <w:spacing w:val="-8"/>
          </w:rPr>
          <w:t xml:space="preserve"> </w:t>
        </w:r>
        <w:r>
          <w:t>Summary</w:t>
        </w:r>
        <w:r>
          <w:rPr>
            <w:spacing w:val="-7"/>
          </w:rPr>
          <w:t xml:space="preserve"> </w:t>
        </w:r>
        <w:r>
          <w:t>of</w:t>
        </w:r>
        <w:r>
          <w:rPr>
            <w:spacing w:val="-8"/>
          </w:rPr>
          <w:t xml:space="preserve"> </w:t>
        </w:r>
        <w:r>
          <w:t>Scenarios</w:t>
        </w:r>
        <w:r>
          <w:rPr>
            <w:spacing w:val="-8"/>
          </w:rPr>
          <w:t xml:space="preserve"> </w:t>
        </w:r>
        <w:r>
          <w:t>for</w:t>
        </w:r>
        <w:r>
          <w:rPr>
            <w:spacing w:val="-7"/>
          </w:rPr>
          <w:t xml:space="preserve"> </w:t>
        </w:r>
        <w:r>
          <w:t>Achievable</w:t>
        </w:r>
        <w:r>
          <w:rPr>
            <w:spacing w:val="-8"/>
          </w:rPr>
          <w:t xml:space="preserve"> </w:t>
        </w:r>
        <w:r>
          <w:rPr>
            <w:spacing w:val="-2"/>
          </w:rPr>
          <w:t>Potential</w:t>
        </w:r>
        <w:r>
          <w:tab/>
        </w:r>
        <w:r>
          <w:rPr>
            <w:spacing w:val="-4"/>
          </w:rPr>
          <w:t>xiii</w:t>
        </w:r>
      </w:hyperlink>
    </w:p>
    <w:p w:rsidR="00C31389" w:rsidRDefault="00561FBD" w14:paraId="2270567F" w14:textId="77777777">
      <w:pPr>
        <w:pStyle w:val="BodyText"/>
        <w:tabs>
          <w:tab w:val="left" w:leader="dot" w:pos="9496"/>
        </w:tabs>
        <w:spacing w:line="253" w:lineRule="exact"/>
        <w:ind w:left="480"/>
      </w:pPr>
      <w:hyperlink w:history="1" w:anchor="_bookmark9">
        <w:r>
          <w:t>Table</w:t>
        </w:r>
        <w:r>
          <w:rPr>
            <w:spacing w:val="-7"/>
          </w:rPr>
          <w:t xml:space="preserve"> </w:t>
        </w:r>
        <w:r>
          <w:t>ES-2.</w:t>
        </w:r>
        <w:r>
          <w:rPr>
            <w:spacing w:val="-6"/>
          </w:rPr>
          <w:t xml:space="preserve"> </w:t>
        </w:r>
        <w:r>
          <w:t>Key</w:t>
        </w:r>
        <w:r>
          <w:rPr>
            <w:spacing w:val="-6"/>
          </w:rPr>
          <w:t xml:space="preserve"> </w:t>
        </w:r>
        <w:r>
          <w:t>Changes</w:t>
        </w:r>
        <w:r>
          <w:rPr>
            <w:spacing w:val="-6"/>
          </w:rPr>
          <w:t xml:space="preserve"> </w:t>
        </w:r>
        <w:r>
          <w:t>Relative</w:t>
        </w:r>
        <w:r>
          <w:rPr>
            <w:spacing w:val="-6"/>
          </w:rPr>
          <w:t xml:space="preserve"> </w:t>
        </w:r>
        <w:r>
          <w:t>to</w:t>
        </w:r>
        <w:r>
          <w:rPr>
            <w:spacing w:val="-7"/>
          </w:rPr>
          <w:t xml:space="preserve"> </w:t>
        </w:r>
        <w:r>
          <w:t>2021</w:t>
        </w:r>
        <w:r>
          <w:rPr>
            <w:spacing w:val="-6"/>
          </w:rPr>
          <w:t xml:space="preserve"> </w:t>
        </w:r>
        <w:r>
          <w:rPr>
            <w:spacing w:val="-4"/>
          </w:rPr>
          <w:t>Study</w:t>
        </w:r>
        <w:r>
          <w:tab/>
        </w:r>
        <w:r>
          <w:rPr>
            <w:spacing w:val="-4"/>
          </w:rPr>
          <w:t>xiii</w:t>
        </w:r>
      </w:hyperlink>
    </w:p>
    <w:p w:rsidR="00C31389" w:rsidRDefault="00561FBD" w14:paraId="4AB2F8CA" w14:textId="77777777">
      <w:pPr>
        <w:pStyle w:val="BodyText"/>
        <w:tabs>
          <w:tab w:val="left" w:leader="dot" w:pos="9534"/>
        </w:tabs>
        <w:ind w:left="480"/>
      </w:pPr>
      <w:hyperlink w:history="1" w:anchor="_bookmark14">
        <w:r>
          <w:t>Table</w:t>
        </w:r>
        <w:r>
          <w:rPr>
            <w:spacing w:val="-7"/>
          </w:rPr>
          <w:t xml:space="preserve"> </w:t>
        </w:r>
        <w:r>
          <w:t>ES-3.</w:t>
        </w:r>
        <w:r>
          <w:rPr>
            <w:spacing w:val="-7"/>
          </w:rPr>
          <w:t xml:space="preserve"> </w:t>
        </w:r>
        <w:r>
          <w:t>2024</w:t>
        </w:r>
        <w:r>
          <w:rPr>
            <w:spacing w:val="-7"/>
          </w:rPr>
          <w:t xml:space="preserve"> </w:t>
        </w:r>
        <w:r>
          <w:t>Net</w:t>
        </w:r>
        <w:r>
          <w:rPr>
            <w:spacing w:val="-7"/>
          </w:rPr>
          <w:t xml:space="preserve"> </w:t>
        </w:r>
        <w:r>
          <w:t>First-Year</w:t>
        </w:r>
        <w:r>
          <w:rPr>
            <w:spacing w:val="-7"/>
          </w:rPr>
          <w:t xml:space="preserve"> </w:t>
        </w:r>
        <w:r>
          <w:t>TSB</w:t>
        </w:r>
        <w:r>
          <w:rPr>
            <w:spacing w:val="-7"/>
          </w:rPr>
          <w:t xml:space="preserve"> </w:t>
        </w:r>
        <w:r>
          <w:t>and</w:t>
        </w:r>
        <w:r>
          <w:rPr>
            <w:spacing w:val="-7"/>
          </w:rPr>
          <w:t xml:space="preserve"> </w:t>
        </w:r>
        <w:r>
          <w:t>Increment</w:t>
        </w:r>
        <w:r>
          <w:t>al</w:t>
        </w:r>
        <w:r>
          <w:rPr>
            <w:spacing w:val="-7"/>
          </w:rPr>
          <w:t xml:space="preserve"> </w:t>
        </w:r>
        <w:r>
          <w:t>Savings</w:t>
        </w:r>
        <w:r>
          <w:rPr>
            <w:spacing w:val="-7"/>
          </w:rPr>
          <w:t xml:space="preserve"> </w:t>
        </w:r>
        <w:r>
          <w:t>by</w:t>
        </w:r>
        <w:r>
          <w:rPr>
            <w:spacing w:val="-7"/>
          </w:rPr>
          <w:t xml:space="preserve"> </w:t>
        </w:r>
        <w:r>
          <w:t>Scenario</w:t>
        </w:r>
        <w:r>
          <w:rPr>
            <w:spacing w:val="-7"/>
          </w:rPr>
          <w:t xml:space="preserve"> </w:t>
        </w:r>
        <w:r>
          <w:rPr>
            <w:spacing w:val="-2"/>
          </w:rPr>
          <w:t>(Statewide)</w:t>
        </w:r>
        <w:r>
          <w:tab/>
        </w:r>
        <w:r>
          <w:rPr>
            <w:spacing w:val="-5"/>
          </w:rPr>
          <w:t>xv</w:t>
        </w:r>
      </w:hyperlink>
    </w:p>
    <w:p w:rsidR="00C31389" w:rsidRDefault="00561FBD" w14:paraId="4EFF2F21" w14:textId="77777777">
      <w:pPr>
        <w:pStyle w:val="BodyText"/>
        <w:tabs>
          <w:tab w:val="left" w:leader="dot" w:pos="9631"/>
        </w:tabs>
        <w:spacing w:before="507" w:line="253" w:lineRule="exact"/>
        <w:ind w:left="480"/>
      </w:pPr>
      <w:hyperlink w:history="1" w:anchor="_bookmark33">
        <w:r>
          <w:t>Table</w:t>
        </w:r>
        <w:r>
          <w:rPr>
            <w:spacing w:val="-8"/>
          </w:rPr>
          <w:t xml:space="preserve"> </w:t>
        </w:r>
        <w:r>
          <w:t>1-1.</w:t>
        </w:r>
        <w:r>
          <w:rPr>
            <w:spacing w:val="-8"/>
          </w:rPr>
          <w:t xml:space="preserve"> </w:t>
        </w:r>
        <w:r>
          <w:t>Stakeholder</w:t>
        </w:r>
        <w:r>
          <w:rPr>
            <w:spacing w:val="-10"/>
          </w:rPr>
          <w:t xml:space="preserve"> </w:t>
        </w:r>
        <w:r>
          <w:t>Meeting</w:t>
        </w:r>
        <w:r>
          <w:rPr>
            <w:spacing w:val="-7"/>
          </w:rPr>
          <w:t xml:space="preserve"> </w:t>
        </w:r>
        <w:r>
          <w:rPr>
            <w:spacing w:val="-2"/>
          </w:rPr>
          <w:t>Schedule</w:t>
        </w:r>
        <w:r>
          <w:tab/>
        </w:r>
        <w:r>
          <w:rPr>
            <w:spacing w:val="-10"/>
          </w:rPr>
          <w:t>5</w:t>
        </w:r>
      </w:hyperlink>
    </w:p>
    <w:p w:rsidR="00C31389" w:rsidRDefault="00561FBD" w14:paraId="2EBFE559" w14:textId="77777777">
      <w:pPr>
        <w:pStyle w:val="BodyText"/>
        <w:tabs>
          <w:tab w:val="left" w:leader="dot" w:pos="9630"/>
        </w:tabs>
        <w:spacing w:line="253" w:lineRule="exact"/>
        <w:ind w:left="480"/>
      </w:pPr>
      <w:hyperlink w:history="1" w:anchor="_bookmark39">
        <w:r>
          <w:t>Table</w:t>
        </w:r>
        <w:r>
          <w:rPr>
            <w:spacing w:val="-7"/>
          </w:rPr>
          <w:t xml:space="preserve"> </w:t>
        </w:r>
        <w:r>
          <w:t>2-1.</w:t>
        </w:r>
        <w:r>
          <w:rPr>
            <w:spacing w:val="-7"/>
          </w:rPr>
          <w:t xml:space="preserve"> </w:t>
        </w:r>
        <w:r>
          <w:t>Overview</w:t>
        </w:r>
        <w:r>
          <w:rPr>
            <w:spacing w:val="-8"/>
          </w:rPr>
          <w:t xml:space="preserve"> </w:t>
        </w:r>
        <w:r>
          <w:t>of</w:t>
        </w:r>
        <w:r>
          <w:rPr>
            <w:spacing w:val="-7"/>
          </w:rPr>
          <w:t xml:space="preserve"> </w:t>
        </w:r>
        <w:r>
          <w:t>Modeling</w:t>
        </w:r>
        <w:r>
          <w:rPr>
            <w:spacing w:val="-7"/>
          </w:rPr>
          <w:t xml:space="preserve"> </w:t>
        </w:r>
        <w:r>
          <w:t>and</w:t>
        </w:r>
        <w:r>
          <w:rPr>
            <w:spacing w:val="-7"/>
          </w:rPr>
          <w:t xml:space="preserve"> </w:t>
        </w:r>
        <w:r>
          <w:t>Calibration</w:t>
        </w:r>
        <w:r>
          <w:rPr>
            <w:spacing w:val="-7"/>
          </w:rPr>
          <w:t xml:space="preserve"> </w:t>
        </w:r>
        <w:r>
          <w:rPr>
            <w:spacing w:val="-2"/>
          </w:rPr>
          <w:t>Approach</w:t>
        </w:r>
        <w:r>
          <w:tab/>
        </w:r>
        <w:r>
          <w:rPr>
            <w:spacing w:val="-10"/>
          </w:rPr>
          <w:t>8</w:t>
        </w:r>
      </w:hyperlink>
    </w:p>
    <w:p w:rsidR="00C31389" w:rsidRDefault="00561FBD" w14:paraId="12CE5170" w14:textId="77777777">
      <w:pPr>
        <w:pStyle w:val="BodyText"/>
        <w:tabs>
          <w:tab w:val="left" w:leader="dot" w:pos="9508"/>
        </w:tabs>
        <w:ind w:left="479"/>
      </w:pPr>
      <w:hyperlink w:history="1" w:anchor="_bookmark44">
        <w:r>
          <w:t>Table</w:t>
        </w:r>
        <w:r>
          <w:rPr>
            <w:spacing w:val="-8"/>
          </w:rPr>
          <w:t xml:space="preserve"> </w:t>
        </w:r>
        <w:r>
          <w:t>2-2.</w:t>
        </w:r>
        <w:r>
          <w:rPr>
            <w:spacing w:val="-7"/>
          </w:rPr>
          <w:t xml:space="preserve"> </w:t>
        </w:r>
        <w:r>
          <w:t>Example</w:t>
        </w:r>
        <w:r>
          <w:rPr>
            <w:spacing w:val="-7"/>
          </w:rPr>
          <w:t xml:space="preserve"> </w:t>
        </w:r>
        <w:r>
          <w:t>of</w:t>
        </w:r>
        <w:r>
          <w:rPr>
            <w:spacing w:val="-7"/>
          </w:rPr>
          <w:t xml:space="preserve"> </w:t>
        </w:r>
        <w:r>
          <w:t>Technologies</w:t>
        </w:r>
        <w:r>
          <w:rPr>
            <w:spacing w:val="-8"/>
          </w:rPr>
          <w:t xml:space="preserve"> </w:t>
        </w:r>
        <w:r>
          <w:t>within</w:t>
        </w:r>
        <w:r>
          <w:rPr>
            <w:spacing w:val="-8"/>
          </w:rPr>
          <w:t xml:space="preserve"> </w:t>
        </w:r>
        <w:r>
          <w:t>a</w:t>
        </w:r>
        <w:r>
          <w:rPr>
            <w:spacing w:val="-7"/>
          </w:rPr>
          <w:t xml:space="preserve"> </w:t>
        </w:r>
        <w:r>
          <w:t>Technology</w:t>
        </w:r>
        <w:r>
          <w:rPr>
            <w:spacing w:val="-7"/>
          </w:rPr>
          <w:t xml:space="preserve"> </w:t>
        </w:r>
        <w:r>
          <w:t>Group</w:t>
        </w:r>
        <w:r>
          <w:rPr>
            <w:spacing w:val="-7"/>
          </w:rPr>
          <w:t xml:space="preserve"> </w:t>
        </w:r>
        <w:r>
          <w:t>–</w:t>
        </w:r>
        <w:r>
          <w:rPr>
            <w:spacing w:val="-6"/>
          </w:rPr>
          <w:t xml:space="preserve"> </w:t>
        </w:r>
        <w:r>
          <w:t>Non-</w:t>
        </w:r>
        <w:r>
          <w:rPr>
            <w:spacing w:val="-5"/>
          </w:rPr>
          <w:t>FS</w:t>
        </w:r>
        <w:r>
          <w:tab/>
        </w:r>
        <w:r>
          <w:rPr>
            <w:spacing w:val="-5"/>
          </w:rPr>
          <w:t>11</w:t>
        </w:r>
      </w:hyperlink>
    </w:p>
    <w:p w:rsidR="00C31389" w:rsidRDefault="00561FBD" w14:paraId="101701D1" w14:textId="77777777">
      <w:pPr>
        <w:pStyle w:val="BodyText"/>
        <w:tabs>
          <w:tab w:val="left" w:leader="dot" w:pos="9508"/>
        </w:tabs>
        <w:ind w:left="479"/>
      </w:pPr>
      <w:hyperlink w:history="1" w:anchor="_bookmark51">
        <w:r>
          <w:t>Table</w:t>
        </w:r>
        <w:r>
          <w:rPr>
            <w:spacing w:val="-6"/>
          </w:rPr>
          <w:t xml:space="preserve"> </w:t>
        </w:r>
        <w:r>
          <w:t>2-3.</w:t>
        </w:r>
        <w:r>
          <w:rPr>
            <w:spacing w:val="-6"/>
          </w:rPr>
          <w:t xml:space="preserve"> </w:t>
        </w:r>
        <w:r>
          <w:t>Value</w:t>
        </w:r>
        <w:r>
          <w:rPr>
            <w:spacing w:val="-5"/>
          </w:rPr>
          <w:t xml:space="preserve"> </w:t>
        </w:r>
        <w:r>
          <w:t>Factor</w:t>
        </w:r>
        <w:r>
          <w:rPr>
            <w:spacing w:val="-8"/>
          </w:rPr>
          <w:t xml:space="preserve"> </w:t>
        </w:r>
        <w:r>
          <w:rPr>
            <w:spacing w:val="-2"/>
          </w:rPr>
          <w:t>Descrip</w:t>
        </w:r>
        <w:r>
          <w:rPr>
            <w:spacing w:val="-2"/>
          </w:rPr>
          <w:t>tions</w:t>
        </w:r>
        <w:r>
          <w:tab/>
        </w:r>
        <w:r>
          <w:rPr>
            <w:spacing w:val="-7"/>
          </w:rPr>
          <w:t>15</w:t>
        </w:r>
      </w:hyperlink>
    </w:p>
    <w:p w:rsidR="00C31389" w:rsidRDefault="00561FBD" w14:paraId="5DAD7761" w14:textId="77777777">
      <w:pPr>
        <w:pStyle w:val="BodyText"/>
        <w:tabs>
          <w:tab w:val="left" w:leader="dot" w:pos="9508"/>
        </w:tabs>
        <w:ind w:left="479"/>
      </w:pPr>
      <w:hyperlink w:history="1" w:anchor="_bookmark57">
        <w:r>
          <w:t>Table</w:t>
        </w:r>
        <w:r>
          <w:rPr>
            <w:spacing w:val="-6"/>
          </w:rPr>
          <w:t xml:space="preserve"> </w:t>
        </w:r>
        <w:r>
          <w:t>2-4.</w:t>
        </w:r>
        <w:r>
          <w:rPr>
            <w:spacing w:val="-5"/>
          </w:rPr>
          <w:t xml:space="preserve"> </w:t>
        </w:r>
        <w:r>
          <w:t>Value</w:t>
        </w:r>
        <w:r>
          <w:rPr>
            <w:spacing w:val="-5"/>
          </w:rPr>
          <w:t xml:space="preserve"> </w:t>
        </w:r>
        <w:r>
          <w:rPr>
            <w:spacing w:val="-2"/>
          </w:rPr>
          <w:t>Factors</w:t>
        </w:r>
        <w:r>
          <w:tab/>
        </w:r>
        <w:r>
          <w:rPr>
            <w:spacing w:val="-7"/>
          </w:rPr>
          <w:t>17</w:t>
        </w:r>
      </w:hyperlink>
    </w:p>
    <w:p w:rsidR="00C31389" w:rsidRDefault="00561FBD" w14:paraId="62C9B6E0" w14:textId="77777777">
      <w:pPr>
        <w:pStyle w:val="BodyText"/>
        <w:tabs>
          <w:tab w:val="left" w:leader="dot" w:pos="9508"/>
        </w:tabs>
        <w:ind w:left="479"/>
      </w:pPr>
      <w:hyperlink w:history="1" w:anchor="_bookmark66">
        <w:r>
          <w:t>Table</w:t>
        </w:r>
        <w:r>
          <w:rPr>
            <w:spacing w:val="-7"/>
          </w:rPr>
          <w:t xml:space="preserve"> </w:t>
        </w:r>
        <w:r>
          <w:t>2-5.</w:t>
        </w:r>
        <w:r>
          <w:rPr>
            <w:spacing w:val="-7"/>
          </w:rPr>
          <w:t xml:space="preserve"> </w:t>
        </w:r>
        <w:r>
          <w:t>Example</w:t>
        </w:r>
        <w:r>
          <w:rPr>
            <w:spacing w:val="-6"/>
          </w:rPr>
          <w:t xml:space="preserve"> </w:t>
        </w:r>
        <w:r>
          <w:t>of</w:t>
        </w:r>
        <w:r>
          <w:rPr>
            <w:spacing w:val="-7"/>
          </w:rPr>
          <w:t xml:space="preserve"> </w:t>
        </w:r>
        <w:r>
          <w:t>Technologies</w:t>
        </w:r>
        <w:r>
          <w:rPr>
            <w:spacing w:val="-7"/>
          </w:rPr>
          <w:t xml:space="preserve"> </w:t>
        </w:r>
        <w:r>
          <w:t>within</w:t>
        </w:r>
        <w:r>
          <w:rPr>
            <w:spacing w:val="-7"/>
          </w:rPr>
          <w:t xml:space="preserve"> </w:t>
        </w:r>
        <w:r>
          <w:t>a</w:t>
        </w:r>
        <w:r>
          <w:rPr>
            <w:spacing w:val="-7"/>
          </w:rPr>
          <w:t xml:space="preserve"> </w:t>
        </w:r>
        <w:r>
          <w:t>Technology</w:t>
        </w:r>
        <w:r>
          <w:rPr>
            <w:spacing w:val="-6"/>
          </w:rPr>
          <w:t xml:space="preserve"> </w:t>
        </w:r>
        <w:r>
          <w:t>Group</w:t>
        </w:r>
        <w:r>
          <w:rPr>
            <w:spacing w:val="-7"/>
          </w:rPr>
          <w:t xml:space="preserve"> </w:t>
        </w:r>
        <w:r>
          <w:t>–</w:t>
        </w:r>
        <w:r>
          <w:rPr>
            <w:spacing w:val="-5"/>
          </w:rPr>
          <w:t xml:space="preserve"> FS</w:t>
        </w:r>
        <w:r>
          <w:tab/>
        </w:r>
        <w:r>
          <w:rPr>
            <w:spacing w:val="-5"/>
          </w:rPr>
          <w:t>22</w:t>
        </w:r>
      </w:hyperlink>
    </w:p>
    <w:p w:rsidR="00C31389" w:rsidRDefault="00561FBD" w14:paraId="6F79AC21" w14:textId="77777777">
      <w:pPr>
        <w:pStyle w:val="BodyText"/>
        <w:tabs>
          <w:tab w:val="left" w:leader="dot" w:pos="9508"/>
        </w:tabs>
        <w:spacing w:before="1" w:line="253" w:lineRule="exact"/>
        <w:ind w:left="479"/>
      </w:pPr>
      <w:hyperlink w:history="1" w:anchor="_bookmark70">
        <w:r>
          <w:t>Table</w:t>
        </w:r>
        <w:r>
          <w:rPr>
            <w:spacing w:val="-9"/>
          </w:rPr>
          <w:t xml:space="preserve"> </w:t>
        </w:r>
        <w:r>
          <w:t>2-6.</w:t>
        </w:r>
        <w:r>
          <w:rPr>
            <w:spacing w:val="-9"/>
          </w:rPr>
          <w:t xml:space="preserve"> </w:t>
        </w:r>
        <w:r>
          <w:t>Industrial</w:t>
        </w:r>
        <w:r>
          <w:rPr>
            <w:spacing w:val="-8"/>
          </w:rPr>
          <w:t xml:space="preserve"> </w:t>
        </w:r>
        <w:r>
          <w:t>and</w:t>
        </w:r>
        <w:r>
          <w:rPr>
            <w:spacing w:val="-9"/>
          </w:rPr>
          <w:t xml:space="preserve"> </w:t>
        </w:r>
        <w:r>
          <w:t>Agriculture</w:t>
        </w:r>
        <w:r>
          <w:rPr>
            <w:spacing w:val="-8"/>
          </w:rPr>
          <w:t xml:space="preserve"> </w:t>
        </w:r>
        <w:r>
          <w:t>Technology</w:t>
        </w:r>
        <w:r>
          <w:rPr>
            <w:spacing w:val="-9"/>
          </w:rPr>
          <w:t xml:space="preserve"> </w:t>
        </w:r>
        <w:r>
          <w:t>Categori</w:t>
        </w:r>
        <w:r>
          <w:t>es</w:t>
        </w:r>
        <w:r>
          <w:rPr>
            <w:spacing w:val="-8"/>
          </w:rPr>
          <w:t xml:space="preserve"> </w:t>
        </w:r>
        <w:r>
          <w:t>and</w:t>
        </w:r>
        <w:r>
          <w:rPr>
            <w:spacing w:val="-9"/>
          </w:rPr>
          <w:t xml:space="preserve"> </w:t>
        </w:r>
        <w:r>
          <w:t>Modeling</w:t>
        </w:r>
        <w:r>
          <w:rPr>
            <w:spacing w:val="-9"/>
          </w:rPr>
          <w:t xml:space="preserve"> </w:t>
        </w:r>
        <w:r>
          <w:rPr>
            <w:spacing w:val="-2"/>
          </w:rPr>
          <w:t>Methodology</w:t>
        </w:r>
        <w:r>
          <w:tab/>
        </w:r>
        <w:r>
          <w:rPr>
            <w:spacing w:val="-5"/>
          </w:rPr>
          <w:t>24</w:t>
        </w:r>
      </w:hyperlink>
    </w:p>
    <w:p w:rsidR="00C31389" w:rsidRDefault="00561FBD" w14:paraId="29CD5863" w14:textId="77777777">
      <w:pPr>
        <w:pStyle w:val="BodyText"/>
        <w:tabs>
          <w:tab w:val="left" w:leader="dot" w:pos="9508"/>
        </w:tabs>
        <w:spacing w:line="253" w:lineRule="exact"/>
        <w:ind w:left="479"/>
      </w:pPr>
      <w:hyperlink w:history="1" w:anchor="_bookmark83">
        <w:r>
          <w:t>Table</w:t>
        </w:r>
        <w:r>
          <w:rPr>
            <w:spacing w:val="-6"/>
          </w:rPr>
          <w:t xml:space="preserve"> </w:t>
        </w:r>
        <w:r>
          <w:t>2-7.</w:t>
        </w:r>
        <w:r>
          <w:rPr>
            <w:spacing w:val="49"/>
          </w:rPr>
          <w:t xml:space="preserve"> </w:t>
        </w:r>
        <w:r>
          <w:t>Electric</w:t>
        </w:r>
        <w:r>
          <w:rPr>
            <w:spacing w:val="-5"/>
          </w:rPr>
          <w:t xml:space="preserve"> </w:t>
        </w:r>
        <w:r>
          <w:t>and</w:t>
        </w:r>
        <w:r>
          <w:rPr>
            <w:spacing w:val="-7"/>
          </w:rPr>
          <w:t xml:space="preserve"> </w:t>
        </w:r>
        <w:r>
          <w:t>Gas</w:t>
        </w:r>
        <w:r>
          <w:rPr>
            <w:spacing w:val="-5"/>
          </w:rPr>
          <w:t xml:space="preserve"> </w:t>
        </w:r>
        <w:r>
          <w:t>C&amp;S</w:t>
        </w:r>
        <w:r>
          <w:rPr>
            <w:spacing w:val="-6"/>
          </w:rPr>
          <w:t xml:space="preserve"> </w:t>
        </w:r>
        <w:r>
          <w:t>Savings</w:t>
        </w:r>
        <w:r>
          <w:rPr>
            <w:spacing w:val="-5"/>
          </w:rPr>
          <w:t xml:space="preserve"> </w:t>
        </w:r>
        <w:r>
          <w:t>Allocation</w:t>
        </w:r>
        <w:r>
          <w:rPr>
            <w:spacing w:val="-5"/>
          </w:rPr>
          <w:t xml:space="preserve"> </w:t>
        </w:r>
        <w:r>
          <w:t>by</w:t>
        </w:r>
        <w:r>
          <w:rPr>
            <w:spacing w:val="-6"/>
          </w:rPr>
          <w:t xml:space="preserve"> </w:t>
        </w:r>
        <w:r>
          <w:rPr>
            <w:spacing w:val="-5"/>
          </w:rPr>
          <w:t>IOU</w:t>
        </w:r>
        <w:r>
          <w:tab/>
        </w:r>
        <w:r>
          <w:rPr>
            <w:spacing w:val="-5"/>
          </w:rPr>
          <w:t>30</w:t>
        </w:r>
      </w:hyperlink>
    </w:p>
    <w:p w:rsidR="00C31389" w:rsidRDefault="00561FBD" w14:paraId="45C4A51B" w14:textId="77777777">
      <w:pPr>
        <w:pStyle w:val="BodyText"/>
        <w:tabs>
          <w:tab w:val="left" w:leader="dot" w:pos="9508"/>
        </w:tabs>
        <w:ind w:left="479"/>
      </w:pPr>
      <w:hyperlink w:history="1" w:anchor="_bookmark90">
        <w:r>
          <w:t>Table</w:t>
        </w:r>
        <w:r>
          <w:rPr>
            <w:spacing w:val="-7"/>
          </w:rPr>
          <w:t xml:space="preserve"> </w:t>
        </w:r>
        <w:r>
          <w:t>2-8.</w:t>
        </w:r>
        <w:r>
          <w:rPr>
            <w:spacing w:val="-7"/>
          </w:rPr>
          <w:t xml:space="preserve"> </w:t>
        </w:r>
        <w:r>
          <w:t>Variables</w:t>
        </w:r>
        <w:r>
          <w:rPr>
            <w:spacing w:val="-7"/>
          </w:rPr>
          <w:t xml:space="preserve"> </w:t>
        </w:r>
        <w:r>
          <w:t>Affecting</w:t>
        </w:r>
        <w:r>
          <w:rPr>
            <w:spacing w:val="-7"/>
          </w:rPr>
          <w:t xml:space="preserve"> </w:t>
        </w:r>
        <w:r>
          <w:t>EE</w:t>
        </w:r>
        <w:r>
          <w:rPr>
            <w:spacing w:val="-6"/>
          </w:rPr>
          <w:t xml:space="preserve"> </w:t>
        </w:r>
        <w:r>
          <w:rPr>
            <w:spacing w:val="-2"/>
          </w:rPr>
          <w:t>Potential</w:t>
        </w:r>
        <w:r>
          <w:tab/>
        </w:r>
        <w:r>
          <w:rPr>
            <w:spacing w:val="-5"/>
          </w:rPr>
          <w:t>34</w:t>
        </w:r>
      </w:hyperlink>
    </w:p>
    <w:p w:rsidR="00C31389" w:rsidRDefault="00561FBD" w14:paraId="23FEE02A" w14:textId="77777777">
      <w:pPr>
        <w:pStyle w:val="BodyText"/>
        <w:tabs>
          <w:tab w:val="left" w:leader="dot" w:pos="9508"/>
        </w:tabs>
        <w:ind w:left="479"/>
      </w:pPr>
      <w:hyperlink w:history="1" w:anchor="_bookmark91">
        <w:r>
          <w:t>Table</w:t>
        </w:r>
        <w:r>
          <w:rPr>
            <w:spacing w:val="-8"/>
          </w:rPr>
          <w:t xml:space="preserve"> </w:t>
        </w:r>
        <w:r>
          <w:t>2-9.</w:t>
        </w:r>
        <w:r>
          <w:rPr>
            <w:spacing w:val="-8"/>
          </w:rPr>
          <w:t xml:space="preserve"> </w:t>
        </w:r>
        <w:r>
          <w:t>Variables</w:t>
        </w:r>
        <w:r>
          <w:rPr>
            <w:spacing w:val="-7"/>
          </w:rPr>
          <w:t xml:space="preserve"> </w:t>
        </w:r>
        <w:r>
          <w:t>Considered</w:t>
        </w:r>
        <w:r>
          <w:rPr>
            <w:spacing w:val="-8"/>
          </w:rPr>
          <w:t xml:space="preserve"> </w:t>
        </w:r>
        <w:r>
          <w:t>for</w:t>
        </w:r>
        <w:r>
          <w:rPr>
            <w:spacing w:val="-9"/>
          </w:rPr>
          <w:t xml:space="preserve"> </w:t>
        </w:r>
        <w:r>
          <w:t>Scenario</w:t>
        </w:r>
        <w:r>
          <w:rPr>
            <w:spacing w:val="-7"/>
          </w:rPr>
          <w:t xml:space="preserve"> </w:t>
        </w:r>
        <w:r>
          <w:rPr>
            <w:spacing w:val="-2"/>
          </w:rPr>
          <w:t>Setting</w:t>
        </w:r>
        <w:r>
          <w:tab/>
        </w:r>
        <w:r>
          <w:rPr>
            <w:spacing w:val="-5"/>
          </w:rPr>
          <w:t>35</w:t>
        </w:r>
      </w:hyperlink>
    </w:p>
    <w:p w:rsidR="00C31389" w:rsidRDefault="00561FBD" w14:paraId="03EA7F8E" w14:textId="77777777">
      <w:pPr>
        <w:pStyle w:val="BodyText"/>
        <w:tabs>
          <w:tab w:val="left" w:leader="dot" w:pos="9508"/>
        </w:tabs>
        <w:ind w:left="479"/>
      </w:pPr>
      <w:hyperlink w:history="1" w:anchor="_bookmark92">
        <w:r>
          <w:t>Table</w:t>
        </w:r>
        <w:r>
          <w:rPr>
            <w:spacing w:val="-6"/>
          </w:rPr>
          <w:t xml:space="preserve"> </w:t>
        </w:r>
        <w:r>
          <w:t>2-10.</w:t>
        </w:r>
        <w:r>
          <w:rPr>
            <w:spacing w:val="-7"/>
          </w:rPr>
          <w:t xml:space="preserve"> </w:t>
        </w:r>
        <w:r>
          <w:t>Range</w:t>
        </w:r>
        <w:r>
          <w:rPr>
            <w:spacing w:val="-6"/>
          </w:rPr>
          <w:t xml:space="preserve"> </w:t>
        </w:r>
        <w:r>
          <w:t>of</w:t>
        </w:r>
        <w:r>
          <w:rPr>
            <w:spacing w:val="-6"/>
          </w:rPr>
          <w:t xml:space="preserve"> </w:t>
        </w:r>
        <w:r>
          <w:t>Values</w:t>
        </w:r>
        <w:r>
          <w:rPr>
            <w:spacing w:val="-6"/>
          </w:rPr>
          <w:t xml:space="preserve"> </w:t>
        </w:r>
        <w:r>
          <w:t>for</w:t>
        </w:r>
        <w:r>
          <w:rPr>
            <w:spacing w:val="-5"/>
          </w:rPr>
          <w:t xml:space="preserve"> </w:t>
        </w:r>
        <w:r>
          <w:t>Scenario</w:t>
        </w:r>
        <w:r>
          <w:rPr>
            <w:spacing w:val="-6"/>
          </w:rPr>
          <w:t xml:space="preserve"> </w:t>
        </w:r>
        <w:r>
          <w:rPr>
            <w:spacing w:val="-2"/>
          </w:rPr>
          <w:t>Variables</w:t>
        </w:r>
        <w:r>
          <w:tab/>
        </w:r>
        <w:r>
          <w:rPr>
            <w:spacing w:val="-5"/>
          </w:rPr>
          <w:t>35</w:t>
        </w:r>
      </w:hyperlink>
    </w:p>
    <w:p w:rsidR="00C31389" w:rsidRDefault="00561FBD" w14:paraId="562C2B53" w14:textId="77777777">
      <w:pPr>
        <w:pStyle w:val="BodyText"/>
        <w:tabs>
          <w:tab w:val="left" w:leader="dot" w:pos="9508"/>
        </w:tabs>
        <w:spacing w:line="253" w:lineRule="exact"/>
        <w:ind w:left="479"/>
      </w:pPr>
      <w:hyperlink w:history="1" w:anchor="_bookmark93">
        <w:r>
          <w:t>Table</w:t>
        </w:r>
        <w:r>
          <w:rPr>
            <w:spacing w:val="-6"/>
          </w:rPr>
          <w:t xml:space="preserve"> </w:t>
        </w:r>
        <w:r>
          <w:t>2-11.</w:t>
        </w:r>
        <w:r>
          <w:rPr>
            <w:spacing w:val="-7"/>
          </w:rPr>
          <w:t xml:space="preserve"> </w:t>
        </w:r>
        <w:r>
          <w:t>Summary</w:t>
        </w:r>
        <w:r>
          <w:rPr>
            <w:spacing w:val="-6"/>
          </w:rPr>
          <w:t xml:space="preserve"> </w:t>
        </w:r>
        <w:r>
          <w:t>of</w:t>
        </w:r>
        <w:r>
          <w:rPr>
            <w:spacing w:val="-6"/>
          </w:rPr>
          <w:t xml:space="preserve"> </w:t>
        </w:r>
        <w:r>
          <w:t>Final</w:t>
        </w:r>
        <w:r>
          <w:rPr>
            <w:spacing w:val="-6"/>
          </w:rPr>
          <w:t xml:space="preserve"> </w:t>
        </w:r>
        <w:r>
          <w:t>Scenarios</w:t>
        </w:r>
        <w:r>
          <w:rPr>
            <w:spacing w:val="-6"/>
          </w:rPr>
          <w:t xml:space="preserve"> </w:t>
        </w:r>
        <w:r>
          <w:t>for</w:t>
        </w:r>
        <w:r>
          <w:rPr>
            <w:spacing w:val="-5"/>
          </w:rPr>
          <w:t xml:space="preserve"> </w:t>
        </w:r>
        <w:r>
          <w:t>EE</w:t>
        </w:r>
        <w:r>
          <w:rPr>
            <w:spacing w:val="-6"/>
          </w:rPr>
          <w:t xml:space="preserve"> </w:t>
        </w:r>
        <w:r>
          <w:rPr>
            <w:spacing w:val="-2"/>
          </w:rPr>
          <w:t>Potential</w:t>
        </w:r>
        <w:r>
          <w:tab/>
        </w:r>
        <w:r>
          <w:rPr>
            <w:spacing w:val="-5"/>
          </w:rPr>
          <w:t>36</w:t>
        </w:r>
      </w:hyperlink>
    </w:p>
    <w:p w:rsidR="00C31389" w:rsidRDefault="00561FBD" w14:paraId="7786E697" w14:textId="77777777">
      <w:pPr>
        <w:pStyle w:val="BodyText"/>
        <w:tabs>
          <w:tab w:val="left" w:leader="dot" w:pos="9508"/>
        </w:tabs>
        <w:spacing w:line="253" w:lineRule="exact"/>
        <w:ind w:left="479"/>
      </w:pPr>
      <w:hyperlink w:history="1" w:anchor="_bookmark97">
        <w:r>
          <w:t>Table</w:t>
        </w:r>
        <w:r>
          <w:rPr>
            <w:spacing w:val="-6"/>
          </w:rPr>
          <w:t xml:space="preserve"> </w:t>
        </w:r>
        <w:r>
          <w:t>3-1.</w:t>
        </w:r>
        <w:r>
          <w:rPr>
            <w:spacing w:val="-6"/>
          </w:rPr>
          <w:t xml:space="preserve"> </w:t>
        </w:r>
        <w:r>
          <w:t>Overview</w:t>
        </w:r>
        <w:r>
          <w:rPr>
            <w:spacing w:val="-7"/>
          </w:rPr>
          <w:t xml:space="preserve"> </w:t>
        </w:r>
        <w:r>
          <w:t>of</w:t>
        </w:r>
        <w:r>
          <w:rPr>
            <w:spacing w:val="-6"/>
          </w:rPr>
          <w:t xml:space="preserve"> </w:t>
        </w:r>
        <w:r>
          <w:t>Global</w:t>
        </w:r>
        <w:r>
          <w:rPr>
            <w:spacing w:val="-6"/>
          </w:rPr>
          <w:t xml:space="preserve"> </w:t>
        </w:r>
        <w:r>
          <w:t>Inputs</w:t>
        </w:r>
        <w:r>
          <w:rPr>
            <w:spacing w:val="-7"/>
          </w:rPr>
          <w:t xml:space="preserve"> </w:t>
        </w:r>
        <w:r>
          <w:t>Updates</w:t>
        </w:r>
        <w:r>
          <w:rPr>
            <w:spacing w:val="-6"/>
          </w:rPr>
          <w:t xml:space="preserve"> </w:t>
        </w:r>
        <w:r>
          <w:t>and</w:t>
        </w:r>
        <w:r>
          <w:rPr>
            <w:spacing w:val="-6"/>
          </w:rPr>
          <w:t xml:space="preserve"> </w:t>
        </w:r>
        <w:r>
          <w:rPr>
            <w:spacing w:val="-2"/>
          </w:rPr>
          <w:t>Sources</w:t>
        </w:r>
        <w:r>
          <w:tab/>
        </w:r>
        <w:r>
          <w:rPr>
            <w:spacing w:val="-5"/>
          </w:rPr>
          <w:t>37</w:t>
        </w:r>
      </w:hyperlink>
    </w:p>
    <w:p w:rsidR="00C31389" w:rsidRDefault="00561FBD" w14:paraId="0D492E16" w14:textId="77777777">
      <w:pPr>
        <w:pStyle w:val="BodyText"/>
        <w:tabs>
          <w:tab w:val="left" w:leader="dot" w:pos="9508"/>
        </w:tabs>
        <w:spacing w:before="1"/>
        <w:ind w:left="479"/>
      </w:pPr>
      <w:hyperlink w:history="1" w:anchor="_bookmark100">
        <w:r>
          <w:t>Table</w:t>
        </w:r>
        <w:r>
          <w:rPr>
            <w:spacing w:val="-8"/>
          </w:rPr>
          <w:t xml:space="preserve"> </w:t>
        </w:r>
        <w:r>
          <w:t>3-2.</w:t>
        </w:r>
        <w:r>
          <w:rPr>
            <w:spacing w:val="-7"/>
          </w:rPr>
          <w:t xml:space="preserve"> </w:t>
        </w:r>
        <w:r>
          <w:t>Electric</w:t>
        </w:r>
        <w:r>
          <w:rPr>
            <w:spacing w:val="-8"/>
          </w:rPr>
          <w:t xml:space="preserve"> </w:t>
        </w:r>
        <w:r>
          <w:t>Service</w:t>
        </w:r>
        <w:r>
          <w:rPr>
            <w:spacing w:val="-7"/>
          </w:rPr>
          <w:t xml:space="preserve"> </w:t>
        </w:r>
        <w:r>
          <w:t>Territory</w:t>
        </w:r>
        <w:r>
          <w:rPr>
            <w:spacing w:val="-8"/>
          </w:rPr>
          <w:t xml:space="preserve"> </w:t>
        </w:r>
        <w:r>
          <w:t>to</w:t>
        </w:r>
        <w:r>
          <w:rPr>
            <w:spacing w:val="-8"/>
          </w:rPr>
          <w:t xml:space="preserve"> </w:t>
        </w:r>
        <w:r>
          <w:t>Planning</w:t>
        </w:r>
        <w:r>
          <w:rPr>
            <w:spacing w:val="-8"/>
          </w:rPr>
          <w:t xml:space="preserve"> </w:t>
        </w:r>
        <w:r>
          <w:t>Area</w:t>
        </w:r>
        <w:r>
          <w:rPr>
            <w:spacing w:val="-7"/>
          </w:rPr>
          <w:t xml:space="preserve"> </w:t>
        </w:r>
        <w:r>
          <w:t>Adjustment</w:t>
        </w:r>
        <w:r>
          <w:rPr>
            <w:spacing w:val="-8"/>
          </w:rPr>
          <w:t xml:space="preserve"> </w:t>
        </w:r>
        <w:r>
          <w:rPr>
            <w:spacing w:val="-2"/>
          </w:rPr>
          <w:t>Ratios</w:t>
        </w:r>
        <w:r>
          <w:tab/>
        </w:r>
        <w:r>
          <w:rPr>
            <w:spacing w:val="-5"/>
          </w:rPr>
          <w:t>38</w:t>
        </w:r>
      </w:hyperlink>
    </w:p>
    <w:p w:rsidR="00C31389" w:rsidRDefault="00561FBD" w14:paraId="4B79C5F4" w14:textId="77777777">
      <w:pPr>
        <w:pStyle w:val="BodyText"/>
        <w:tabs>
          <w:tab w:val="left" w:leader="dot" w:pos="9508"/>
        </w:tabs>
        <w:ind w:left="479"/>
      </w:pPr>
      <w:hyperlink w:history="1" w:anchor="_bookmark101">
        <w:r>
          <w:t>Table</w:t>
        </w:r>
        <w:r>
          <w:rPr>
            <w:spacing w:val="-7"/>
          </w:rPr>
          <w:t xml:space="preserve"> </w:t>
        </w:r>
        <w:r>
          <w:t>3-3.</w:t>
        </w:r>
        <w:r>
          <w:rPr>
            <w:spacing w:val="-7"/>
          </w:rPr>
          <w:t xml:space="preserve"> </w:t>
        </w:r>
        <w:r>
          <w:t>Gas</w:t>
        </w:r>
        <w:r>
          <w:rPr>
            <w:spacing w:val="-7"/>
          </w:rPr>
          <w:t xml:space="preserve"> </w:t>
        </w:r>
        <w:r>
          <w:t>Service</w:t>
        </w:r>
        <w:r>
          <w:rPr>
            <w:spacing w:val="-7"/>
          </w:rPr>
          <w:t xml:space="preserve"> </w:t>
        </w:r>
        <w:r>
          <w:t>Territory</w:t>
        </w:r>
        <w:r>
          <w:rPr>
            <w:spacing w:val="-7"/>
          </w:rPr>
          <w:t xml:space="preserve"> </w:t>
        </w:r>
        <w:r>
          <w:t>to</w:t>
        </w:r>
        <w:r>
          <w:rPr>
            <w:spacing w:val="-7"/>
          </w:rPr>
          <w:t xml:space="preserve"> </w:t>
        </w:r>
        <w:r>
          <w:t>Planning</w:t>
        </w:r>
        <w:r>
          <w:rPr>
            <w:spacing w:val="-7"/>
          </w:rPr>
          <w:t xml:space="preserve"> </w:t>
        </w:r>
        <w:r>
          <w:t>Area</w:t>
        </w:r>
        <w:r>
          <w:rPr>
            <w:spacing w:val="-7"/>
          </w:rPr>
          <w:t xml:space="preserve"> </w:t>
        </w:r>
        <w:r>
          <w:t>Adjustment</w:t>
        </w:r>
        <w:r>
          <w:rPr>
            <w:spacing w:val="-7"/>
          </w:rPr>
          <w:t xml:space="preserve"> </w:t>
        </w:r>
        <w:r>
          <w:rPr>
            <w:spacing w:val="-2"/>
          </w:rPr>
          <w:t>Ratios</w:t>
        </w:r>
        <w:r>
          <w:tab/>
        </w:r>
        <w:r>
          <w:rPr>
            <w:spacing w:val="-5"/>
          </w:rPr>
          <w:t>38</w:t>
        </w:r>
      </w:hyperlink>
    </w:p>
    <w:p w:rsidR="00C31389" w:rsidRDefault="00561FBD" w14:paraId="19ABF1D1" w14:textId="77777777">
      <w:pPr>
        <w:pStyle w:val="BodyText"/>
        <w:tabs>
          <w:tab w:val="left" w:leader="dot" w:pos="9508"/>
        </w:tabs>
        <w:ind w:left="479"/>
      </w:pPr>
      <w:hyperlink w:history="1" w:anchor="_bookmark105">
        <w:r>
          <w:t>Table</w:t>
        </w:r>
        <w:r>
          <w:rPr>
            <w:spacing w:val="-7"/>
          </w:rPr>
          <w:t xml:space="preserve"> </w:t>
        </w:r>
        <w:r>
          <w:t>3-4.</w:t>
        </w:r>
        <w:r>
          <w:rPr>
            <w:spacing w:val="-7"/>
          </w:rPr>
          <w:t xml:space="preserve"> </w:t>
        </w:r>
        <w:r>
          <w:t>Mapping</w:t>
        </w:r>
        <w:r>
          <w:rPr>
            <w:spacing w:val="-6"/>
          </w:rPr>
          <w:t xml:space="preserve"> </w:t>
        </w:r>
        <w:r>
          <w:t>CEC</w:t>
        </w:r>
        <w:r>
          <w:rPr>
            <w:spacing w:val="-7"/>
          </w:rPr>
          <w:t xml:space="preserve"> </w:t>
        </w:r>
        <w:r>
          <w:t>Electric</w:t>
        </w:r>
        <w:r>
          <w:rPr>
            <w:spacing w:val="-7"/>
          </w:rPr>
          <w:t xml:space="preserve"> </w:t>
        </w:r>
        <w:r>
          <w:t>and</w:t>
        </w:r>
        <w:r>
          <w:rPr>
            <w:spacing w:val="-6"/>
          </w:rPr>
          <w:t xml:space="preserve"> </w:t>
        </w:r>
        <w:r>
          <w:t>Gas</w:t>
        </w:r>
        <w:r>
          <w:rPr>
            <w:spacing w:val="-6"/>
          </w:rPr>
          <w:t xml:space="preserve"> </w:t>
        </w:r>
        <w:r>
          <w:t>Planning</w:t>
        </w:r>
        <w:r>
          <w:rPr>
            <w:spacing w:val="-6"/>
          </w:rPr>
          <w:t xml:space="preserve"> </w:t>
        </w:r>
        <w:r>
          <w:t>Areas</w:t>
        </w:r>
        <w:r>
          <w:rPr>
            <w:spacing w:val="-7"/>
          </w:rPr>
          <w:t xml:space="preserve"> </w:t>
        </w:r>
        <w:r>
          <w:t>to</w:t>
        </w:r>
        <w:r>
          <w:rPr>
            <w:spacing w:val="-6"/>
          </w:rPr>
          <w:t xml:space="preserve"> </w:t>
        </w:r>
        <w:r>
          <w:t>IOU</w:t>
        </w:r>
        <w:r>
          <w:rPr>
            <w:spacing w:val="-7"/>
          </w:rPr>
          <w:t xml:space="preserve"> </w:t>
        </w:r>
        <w:r>
          <w:t>Service</w:t>
        </w:r>
        <w:r>
          <w:rPr>
            <w:spacing w:val="-6"/>
          </w:rPr>
          <w:t xml:space="preserve"> </w:t>
        </w:r>
        <w:r>
          <w:rPr>
            <w:spacing w:val="-2"/>
          </w:rPr>
          <w:t>Territories</w:t>
        </w:r>
        <w:r>
          <w:tab/>
        </w:r>
        <w:r>
          <w:rPr>
            <w:spacing w:val="-5"/>
          </w:rPr>
          <w:t>39</w:t>
        </w:r>
      </w:hyperlink>
    </w:p>
    <w:p w:rsidR="00C31389" w:rsidRDefault="00561FBD" w14:paraId="7468A009" w14:textId="77777777">
      <w:pPr>
        <w:pStyle w:val="BodyText"/>
        <w:tabs>
          <w:tab w:val="left" w:leader="dot" w:pos="9508"/>
        </w:tabs>
        <w:ind w:left="479"/>
      </w:pPr>
      <w:hyperlink w:history="1" w:anchor="_bookmark107">
        <w:r>
          <w:t>Table</w:t>
        </w:r>
        <w:r>
          <w:rPr>
            <w:spacing w:val="-9"/>
          </w:rPr>
          <w:t xml:space="preserve"> </w:t>
        </w:r>
        <w:r>
          <w:t>3-5.</w:t>
        </w:r>
        <w:r>
          <w:rPr>
            <w:spacing w:val="-8"/>
          </w:rPr>
          <w:t xml:space="preserve"> </w:t>
        </w:r>
        <w:r>
          <w:t>2018-2021</w:t>
        </w:r>
        <w:r>
          <w:rPr>
            <w:spacing w:val="-8"/>
          </w:rPr>
          <w:t xml:space="preserve"> </w:t>
        </w:r>
        <w:r>
          <w:t>IOU-Reported</w:t>
        </w:r>
        <w:r>
          <w:rPr>
            <w:spacing w:val="-7"/>
          </w:rPr>
          <w:t xml:space="preserve"> </w:t>
        </w:r>
        <w:r>
          <w:t>Portfo</w:t>
        </w:r>
        <w:r>
          <w:t>lio</w:t>
        </w:r>
        <w:r>
          <w:rPr>
            <w:spacing w:val="-8"/>
          </w:rPr>
          <w:t xml:space="preserve"> </w:t>
        </w:r>
        <w:r>
          <w:t>Gross</w:t>
        </w:r>
        <w:r>
          <w:rPr>
            <w:spacing w:val="-8"/>
          </w:rPr>
          <w:t xml:space="preserve"> </w:t>
        </w:r>
        <w:r>
          <w:t>Program</w:t>
        </w:r>
        <w:r>
          <w:rPr>
            <w:spacing w:val="-9"/>
          </w:rPr>
          <w:t xml:space="preserve"> </w:t>
        </w:r>
        <w:r>
          <w:t>Savings</w:t>
        </w:r>
        <w:r>
          <w:rPr>
            <w:spacing w:val="-8"/>
          </w:rPr>
          <w:t xml:space="preserve"> </w:t>
        </w:r>
        <w:r>
          <w:t>–</w:t>
        </w:r>
        <w:r>
          <w:rPr>
            <w:spacing w:val="-7"/>
          </w:rPr>
          <w:t xml:space="preserve"> </w:t>
        </w:r>
        <w:r>
          <w:rPr>
            <w:spacing w:val="-5"/>
          </w:rPr>
          <w:t>EE</w:t>
        </w:r>
        <w:r>
          <w:tab/>
        </w:r>
        <w:r>
          <w:rPr>
            <w:spacing w:val="-5"/>
          </w:rPr>
          <w:t>40</w:t>
        </w:r>
      </w:hyperlink>
    </w:p>
    <w:p w:rsidR="00C31389" w:rsidRDefault="00561FBD" w14:paraId="6CD0738D" w14:textId="77777777">
      <w:pPr>
        <w:pStyle w:val="BodyText"/>
        <w:tabs>
          <w:tab w:val="left" w:leader="dot" w:pos="9508"/>
        </w:tabs>
        <w:spacing w:before="1" w:line="252" w:lineRule="exact"/>
        <w:ind w:left="479"/>
      </w:pPr>
      <w:hyperlink w:history="1" w:anchor="_bookmark108">
        <w:r>
          <w:t>Table</w:t>
        </w:r>
        <w:r>
          <w:rPr>
            <w:spacing w:val="-8"/>
          </w:rPr>
          <w:t xml:space="preserve"> </w:t>
        </w:r>
        <w:r>
          <w:t>3-6.</w:t>
        </w:r>
        <w:r>
          <w:rPr>
            <w:spacing w:val="-7"/>
          </w:rPr>
          <w:t xml:space="preserve"> </w:t>
        </w:r>
        <w:r>
          <w:t>Programs</w:t>
        </w:r>
        <w:r>
          <w:rPr>
            <w:spacing w:val="-7"/>
          </w:rPr>
          <w:t xml:space="preserve"> </w:t>
        </w:r>
        <w:r>
          <w:t>Excluded</w:t>
        </w:r>
        <w:r>
          <w:rPr>
            <w:spacing w:val="-7"/>
          </w:rPr>
          <w:t xml:space="preserve"> </w:t>
        </w:r>
        <w:r>
          <w:t>from</w:t>
        </w:r>
        <w:r>
          <w:rPr>
            <w:spacing w:val="-8"/>
          </w:rPr>
          <w:t xml:space="preserve"> </w:t>
        </w:r>
        <w:r>
          <w:t>EE</w:t>
        </w:r>
        <w:r>
          <w:rPr>
            <w:spacing w:val="-8"/>
          </w:rPr>
          <w:t xml:space="preserve"> </w:t>
        </w:r>
        <w:r>
          <w:t>Portfolio</w:t>
        </w:r>
        <w:r>
          <w:rPr>
            <w:spacing w:val="-7"/>
          </w:rPr>
          <w:t xml:space="preserve"> </w:t>
        </w:r>
        <w:r>
          <w:t>Gross</w:t>
        </w:r>
        <w:r>
          <w:rPr>
            <w:spacing w:val="-7"/>
          </w:rPr>
          <w:t xml:space="preserve"> </w:t>
        </w:r>
        <w:r>
          <w:t>Program</w:t>
        </w:r>
        <w:r>
          <w:rPr>
            <w:spacing w:val="-8"/>
          </w:rPr>
          <w:t xml:space="preserve"> </w:t>
        </w:r>
        <w:r>
          <w:rPr>
            <w:spacing w:val="-2"/>
          </w:rPr>
          <w:t>Savings</w:t>
        </w:r>
        <w:r>
          <w:tab/>
        </w:r>
        <w:r>
          <w:rPr>
            <w:spacing w:val="-5"/>
          </w:rPr>
          <w:t>40</w:t>
        </w:r>
      </w:hyperlink>
    </w:p>
    <w:p w:rsidR="00C31389" w:rsidRDefault="00561FBD" w14:paraId="13EDD2D9" w14:textId="77777777">
      <w:pPr>
        <w:pStyle w:val="BodyText"/>
        <w:tabs>
          <w:tab w:val="left" w:leader="dot" w:pos="9508"/>
        </w:tabs>
        <w:spacing w:line="252" w:lineRule="exact"/>
        <w:ind w:left="479"/>
      </w:pPr>
      <w:hyperlink w:history="1" w:anchor="_bookmark109">
        <w:r>
          <w:t>Table</w:t>
        </w:r>
        <w:r>
          <w:rPr>
            <w:spacing w:val="-8"/>
          </w:rPr>
          <w:t xml:space="preserve"> </w:t>
        </w:r>
        <w:r>
          <w:t>3-7.</w:t>
        </w:r>
        <w:r>
          <w:rPr>
            <w:spacing w:val="-8"/>
          </w:rPr>
          <w:t xml:space="preserve"> </w:t>
        </w:r>
        <w:r>
          <w:t>2022</w:t>
        </w:r>
        <w:r>
          <w:rPr>
            <w:spacing w:val="-8"/>
          </w:rPr>
          <w:t xml:space="preserve"> </w:t>
        </w:r>
        <w:r>
          <w:t>IOU</w:t>
        </w:r>
        <w:r>
          <w:rPr>
            <w:spacing w:val="-9"/>
          </w:rPr>
          <w:t xml:space="preserve"> </w:t>
        </w:r>
        <w:r>
          <w:t>Program</w:t>
        </w:r>
        <w:r>
          <w:rPr>
            <w:spacing w:val="-8"/>
          </w:rPr>
          <w:t xml:space="preserve"> </w:t>
        </w:r>
        <w:r>
          <w:t>Filing</w:t>
        </w:r>
        <w:r>
          <w:rPr>
            <w:spacing w:val="-8"/>
          </w:rPr>
          <w:t xml:space="preserve"> </w:t>
        </w:r>
        <w:r>
          <w:t>Portfolio</w:t>
        </w:r>
        <w:r>
          <w:rPr>
            <w:spacing w:val="-8"/>
          </w:rPr>
          <w:t xml:space="preserve"> </w:t>
        </w:r>
        <w:r>
          <w:t>Gross</w:t>
        </w:r>
        <w:r>
          <w:rPr>
            <w:spacing w:val="-8"/>
          </w:rPr>
          <w:t xml:space="preserve"> </w:t>
        </w:r>
        <w:r>
          <w:t>Program</w:t>
        </w:r>
        <w:r>
          <w:rPr>
            <w:spacing w:val="-8"/>
          </w:rPr>
          <w:t xml:space="preserve"> </w:t>
        </w:r>
        <w:r>
          <w:t>Savings-</w:t>
        </w:r>
        <w:r>
          <w:rPr>
            <w:spacing w:val="-5"/>
          </w:rPr>
          <w:t>FS</w:t>
        </w:r>
        <w:r>
          <w:tab/>
        </w:r>
        <w:r>
          <w:rPr>
            <w:spacing w:val="-5"/>
          </w:rPr>
          <w:t>41</w:t>
        </w:r>
      </w:hyperlink>
    </w:p>
    <w:p w:rsidR="00C31389" w:rsidRDefault="00561FBD" w14:paraId="25BE9498" w14:textId="77777777">
      <w:pPr>
        <w:pStyle w:val="BodyText"/>
        <w:tabs>
          <w:tab w:val="left" w:leader="dot" w:pos="9508"/>
        </w:tabs>
        <w:ind w:left="479"/>
      </w:pPr>
      <w:hyperlink w:history="1" w:anchor="_bookmark112">
        <w:r>
          <w:t>Table</w:t>
        </w:r>
        <w:r>
          <w:rPr>
            <w:spacing w:val="-8"/>
          </w:rPr>
          <w:t xml:space="preserve"> </w:t>
        </w:r>
        <w:r>
          <w:t>3-8.</w:t>
        </w:r>
        <w:r>
          <w:rPr>
            <w:spacing w:val="-8"/>
          </w:rPr>
          <w:t xml:space="preserve"> </w:t>
        </w:r>
        <w:r>
          <w:t>Non-Incentive</w:t>
        </w:r>
        <w:r>
          <w:rPr>
            <w:spacing w:val="-8"/>
          </w:rPr>
          <w:t xml:space="preserve"> </w:t>
        </w:r>
        <w:r>
          <w:t>Program</w:t>
        </w:r>
        <w:r>
          <w:rPr>
            <w:spacing w:val="-9"/>
          </w:rPr>
          <w:t xml:space="preserve"> </w:t>
        </w:r>
        <w:r>
          <w:t>Costs</w:t>
        </w:r>
        <w:r>
          <w:rPr>
            <w:spacing w:val="-7"/>
          </w:rPr>
          <w:t xml:space="preserve"> </w:t>
        </w:r>
        <w:r>
          <w:rPr>
            <w:spacing w:val="-2"/>
          </w:rPr>
          <w:t>Summary</w:t>
        </w:r>
        <w:r>
          <w:tab/>
        </w:r>
        <w:r>
          <w:rPr>
            <w:spacing w:val="-5"/>
          </w:rPr>
          <w:t>42</w:t>
        </w:r>
      </w:hyperlink>
    </w:p>
    <w:p w:rsidR="00C31389" w:rsidRDefault="00561FBD" w14:paraId="1B5742D1" w14:textId="77777777">
      <w:pPr>
        <w:pStyle w:val="BodyText"/>
        <w:tabs>
          <w:tab w:val="left" w:leader="dot" w:pos="9508"/>
        </w:tabs>
        <w:ind w:left="479"/>
      </w:pPr>
      <w:hyperlink w:history="1" w:anchor="_bookmark117">
        <w:r>
          <w:t>Table</w:t>
        </w:r>
        <w:r>
          <w:rPr>
            <w:spacing w:val="-6"/>
          </w:rPr>
          <w:t xml:space="preserve"> </w:t>
        </w:r>
        <w:r>
          <w:t>3-9.</w:t>
        </w:r>
        <w:r>
          <w:rPr>
            <w:spacing w:val="-5"/>
          </w:rPr>
          <w:t xml:space="preserve"> </w:t>
        </w:r>
        <w:r>
          <w:t>Final</w:t>
        </w:r>
        <w:r>
          <w:rPr>
            <w:spacing w:val="-6"/>
          </w:rPr>
          <w:t xml:space="preserve"> </w:t>
        </w:r>
        <w:r>
          <w:t>List</w:t>
        </w:r>
        <w:r>
          <w:rPr>
            <w:spacing w:val="-6"/>
          </w:rPr>
          <w:t xml:space="preserve"> </w:t>
        </w:r>
        <w:r>
          <w:t>of</w:t>
        </w:r>
        <w:r>
          <w:rPr>
            <w:spacing w:val="-6"/>
          </w:rPr>
          <w:t xml:space="preserve"> </w:t>
        </w:r>
        <w:r>
          <w:t>Technology</w:t>
        </w:r>
        <w:r>
          <w:rPr>
            <w:spacing w:val="-6"/>
          </w:rPr>
          <w:t xml:space="preserve"> </w:t>
        </w:r>
        <w:r>
          <w:rPr>
            <w:spacing w:val="-2"/>
          </w:rPr>
          <w:t>Groups</w:t>
        </w:r>
        <w:r>
          <w:tab/>
        </w:r>
        <w:r>
          <w:rPr>
            <w:spacing w:val="-5"/>
          </w:rPr>
          <w:t>45</w:t>
        </w:r>
      </w:hyperlink>
    </w:p>
    <w:p w:rsidR="00C31389" w:rsidRDefault="00561FBD" w14:paraId="7DAB1D38" w14:textId="77777777">
      <w:pPr>
        <w:pStyle w:val="BodyText"/>
        <w:tabs>
          <w:tab w:val="left" w:leader="dot" w:pos="9508"/>
        </w:tabs>
        <w:ind w:left="479"/>
      </w:pPr>
      <w:hyperlink w:history="1" w:anchor="_bookmark125">
        <w:r>
          <w:t>Table</w:t>
        </w:r>
        <w:r>
          <w:rPr>
            <w:spacing w:val="-6"/>
          </w:rPr>
          <w:t xml:space="preserve"> </w:t>
        </w:r>
        <w:r>
          <w:t>3-10.</w:t>
        </w:r>
        <w:r>
          <w:rPr>
            <w:spacing w:val="-7"/>
          </w:rPr>
          <w:t xml:space="preserve"> </w:t>
        </w:r>
        <w:r>
          <w:t>Key</w:t>
        </w:r>
        <w:r>
          <w:rPr>
            <w:spacing w:val="-6"/>
          </w:rPr>
          <w:t xml:space="preserve"> </w:t>
        </w:r>
        <w:r>
          <w:t>Fields</w:t>
        </w:r>
        <w:r>
          <w:rPr>
            <w:spacing w:val="-6"/>
          </w:rPr>
          <w:t xml:space="preserve"> </w:t>
        </w:r>
        <w:r>
          <w:t>for</w:t>
        </w:r>
        <w:r>
          <w:rPr>
            <w:spacing w:val="-6"/>
          </w:rPr>
          <w:t xml:space="preserve"> </w:t>
        </w:r>
        <w:r>
          <w:t>Measure</w:t>
        </w:r>
        <w:r>
          <w:rPr>
            <w:spacing w:val="-6"/>
          </w:rPr>
          <w:t xml:space="preserve"> </w:t>
        </w:r>
        <w:r>
          <w:rPr>
            <w:spacing w:val="-2"/>
          </w:rPr>
          <w:t>Characterization</w:t>
        </w:r>
        <w:r>
          <w:tab/>
        </w:r>
        <w:r>
          <w:rPr>
            <w:spacing w:val="-5"/>
          </w:rPr>
          <w:t>48</w:t>
        </w:r>
      </w:hyperlink>
    </w:p>
    <w:p w:rsidR="00C31389" w:rsidRDefault="00561FBD" w14:paraId="288CF09F" w14:textId="77777777">
      <w:pPr>
        <w:pStyle w:val="BodyText"/>
        <w:tabs>
          <w:tab w:val="left" w:leader="dot" w:pos="9508"/>
        </w:tabs>
        <w:spacing w:before="1" w:line="253" w:lineRule="exact"/>
        <w:ind w:left="479"/>
      </w:pPr>
      <w:hyperlink w:history="1" w:anchor="_bookmark127">
        <w:r>
          <w:t>Table</w:t>
        </w:r>
        <w:r>
          <w:rPr>
            <w:spacing w:val="-7"/>
          </w:rPr>
          <w:t xml:space="preserve"> </w:t>
        </w:r>
        <w:r>
          <w:t>3-11.</w:t>
        </w:r>
        <w:r>
          <w:rPr>
            <w:spacing w:val="-6"/>
          </w:rPr>
          <w:t xml:space="preserve"> </w:t>
        </w:r>
        <w:r>
          <w:t>Map</w:t>
        </w:r>
        <w:r>
          <w:rPr>
            <w:spacing w:val="-7"/>
          </w:rPr>
          <w:t xml:space="preserve"> </w:t>
        </w:r>
        <w:r>
          <w:t>of</w:t>
        </w:r>
        <w:r>
          <w:rPr>
            <w:spacing w:val="-6"/>
          </w:rPr>
          <w:t xml:space="preserve"> </w:t>
        </w:r>
        <w:r>
          <w:t>Climate</w:t>
        </w:r>
        <w:r>
          <w:rPr>
            <w:spacing w:val="-6"/>
          </w:rPr>
          <w:t xml:space="preserve"> </w:t>
        </w:r>
        <w:r>
          <w:t>Region</w:t>
        </w:r>
        <w:r>
          <w:rPr>
            <w:spacing w:val="-6"/>
          </w:rPr>
          <w:t xml:space="preserve"> </w:t>
        </w:r>
        <w:r>
          <w:t>to</w:t>
        </w:r>
        <w:r>
          <w:rPr>
            <w:spacing w:val="-6"/>
          </w:rPr>
          <w:t xml:space="preserve"> </w:t>
        </w:r>
        <w:r>
          <w:t>Designated</w:t>
        </w:r>
        <w:r>
          <w:rPr>
            <w:spacing w:val="-6"/>
          </w:rPr>
          <w:t xml:space="preserve"> </w:t>
        </w:r>
        <w:r>
          <w:t>Climate</w:t>
        </w:r>
        <w:r>
          <w:rPr>
            <w:spacing w:val="-6"/>
          </w:rPr>
          <w:t xml:space="preserve"> </w:t>
        </w:r>
        <w:r>
          <w:t>Zones</w:t>
        </w:r>
        <w:r>
          <w:rPr>
            <w:spacing w:val="-6"/>
          </w:rPr>
          <w:t xml:space="preserve"> </w:t>
        </w:r>
        <w:r>
          <w:t>1-16</w:t>
        </w:r>
        <w:r>
          <w:rPr>
            <w:spacing w:val="-6"/>
          </w:rPr>
          <w:t xml:space="preserve"> </w:t>
        </w:r>
        <w:r>
          <w:t>for</w:t>
        </w:r>
        <w:r>
          <w:rPr>
            <w:spacing w:val="-6"/>
          </w:rPr>
          <w:t xml:space="preserve"> </w:t>
        </w:r>
        <w:r>
          <w:t>Each</w:t>
        </w:r>
        <w:r>
          <w:rPr>
            <w:spacing w:val="-6"/>
          </w:rPr>
          <w:t xml:space="preserve"> </w:t>
        </w:r>
        <w:r>
          <w:rPr>
            <w:spacing w:val="-5"/>
          </w:rPr>
          <w:t>IOU</w:t>
        </w:r>
        <w:r>
          <w:tab/>
        </w:r>
        <w:r>
          <w:rPr>
            <w:spacing w:val="-5"/>
          </w:rPr>
          <w:t>50</w:t>
        </w:r>
      </w:hyperlink>
    </w:p>
    <w:p w:rsidR="00C31389" w:rsidRDefault="00561FBD" w14:paraId="41F7C03B" w14:textId="77777777">
      <w:pPr>
        <w:pStyle w:val="BodyText"/>
        <w:tabs>
          <w:tab w:val="left" w:leader="dot" w:pos="9508"/>
        </w:tabs>
        <w:ind w:left="479" w:right="533"/>
      </w:pPr>
      <w:hyperlink w:history="1" w:anchor="_bookmark131">
        <w:r>
          <w:t>Table</w:t>
        </w:r>
        <w:r>
          <w:rPr>
            <w:spacing w:val="-4"/>
          </w:rPr>
          <w:t xml:space="preserve"> </w:t>
        </w:r>
        <w:r>
          <w:t>3-12.</w:t>
        </w:r>
        <w:r>
          <w:rPr>
            <w:spacing w:val="-5"/>
          </w:rPr>
          <w:t xml:space="preserve"> </w:t>
        </w:r>
        <w:r>
          <w:t>Example</w:t>
        </w:r>
        <w:r>
          <w:rPr>
            <w:spacing w:val="-4"/>
          </w:rPr>
          <w:t xml:space="preserve"> </w:t>
        </w:r>
        <w:r>
          <w:t>of</w:t>
        </w:r>
        <w:r>
          <w:rPr>
            <w:spacing w:val="-4"/>
          </w:rPr>
          <w:t xml:space="preserve"> </w:t>
        </w:r>
        <w:r>
          <w:t>Density</w:t>
        </w:r>
        <w:r>
          <w:rPr>
            <w:spacing w:val="-4"/>
          </w:rPr>
          <w:t xml:space="preserve"> </w:t>
        </w:r>
        <w:r>
          <w:t>and</w:t>
        </w:r>
        <w:r>
          <w:rPr>
            <w:spacing w:val="-5"/>
          </w:rPr>
          <w:t xml:space="preserve"> </w:t>
        </w:r>
        <w:r>
          <w:t>Saturat</w:t>
        </w:r>
        <w:r>
          <w:t>ion</w:t>
        </w:r>
        <w:r>
          <w:rPr>
            <w:spacing w:val="-4"/>
          </w:rPr>
          <w:t xml:space="preserve"> </w:t>
        </w:r>
        <w:r>
          <w:t>Calculation:</w:t>
        </w:r>
        <w:r>
          <w:rPr>
            <w:spacing w:val="-5"/>
          </w:rPr>
          <w:t xml:space="preserve"> </w:t>
        </w:r>
        <w:r>
          <w:t>Floor</w:t>
        </w:r>
        <w:r>
          <w:rPr>
            <w:spacing w:val="-4"/>
          </w:rPr>
          <w:t xml:space="preserve"> </w:t>
        </w:r>
        <w:r>
          <w:t>Insulation</w:t>
        </w:r>
        <w:r>
          <w:rPr>
            <w:spacing w:val="-4"/>
          </w:rPr>
          <w:t xml:space="preserve"> </w:t>
        </w:r>
        <w:r>
          <w:t>Retrofit</w:t>
        </w:r>
        <w:r>
          <w:rPr>
            <w:spacing w:val="-4"/>
          </w:rPr>
          <w:t xml:space="preserve"> </w:t>
        </w:r>
        <w:r>
          <w:t>Technology</w:t>
        </w:r>
      </w:hyperlink>
      <w:r>
        <w:t xml:space="preserve"> </w:t>
      </w:r>
      <w:hyperlink w:history="1" w:anchor="_bookmark131">
        <w:r>
          <w:t>Group</w:t>
        </w:r>
        <w:r>
          <w:rPr>
            <w:spacing w:val="-9"/>
          </w:rPr>
          <w:t xml:space="preserve"> </w:t>
        </w:r>
        <w:r>
          <w:t>in</w:t>
        </w:r>
        <w:r>
          <w:rPr>
            <w:spacing w:val="-8"/>
          </w:rPr>
          <w:t xml:space="preserve"> </w:t>
        </w:r>
        <w:r>
          <w:t>Single-Family</w:t>
        </w:r>
        <w:r>
          <w:rPr>
            <w:spacing w:val="-10"/>
          </w:rPr>
          <w:t xml:space="preserve"> </w:t>
        </w:r>
        <w:r>
          <w:t>Homes,</w:t>
        </w:r>
        <w:r>
          <w:rPr>
            <w:spacing w:val="-8"/>
          </w:rPr>
          <w:t xml:space="preserve"> </w:t>
        </w:r>
        <w:r>
          <w:t>PG&amp;E</w:t>
        </w:r>
        <w:r>
          <w:rPr>
            <w:spacing w:val="-8"/>
          </w:rPr>
          <w:t xml:space="preserve"> </w:t>
        </w:r>
        <w:r>
          <w:t>Service</w:t>
        </w:r>
        <w:r>
          <w:rPr>
            <w:spacing w:val="-9"/>
          </w:rPr>
          <w:t xml:space="preserve"> </w:t>
        </w:r>
        <w:r>
          <w:rPr>
            <w:spacing w:val="-2"/>
          </w:rPr>
          <w:t>Territory</w:t>
        </w:r>
        <w:r>
          <w:tab/>
        </w:r>
        <w:r>
          <w:rPr>
            <w:spacing w:val="-5"/>
          </w:rPr>
          <w:t>52</w:t>
        </w:r>
      </w:hyperlink>
    </w:p>
    <w:p w:rsidR="00C31389" w:rsidRDefault="00561FBD" w14:paraId="58966150" w14:textId="77777777">
      <w:pPr>
        <w:pStyle w:val="BodyText"/>
        <w:tabs>
          <w:tab w:val="left" w:leader="dot" w:pos="9508"/>
        </w:tabs>
        <w:ind w:left="479"/>
      </w:pPr>
      <w:hyperlink w:history="1" w:anchor="_bookmark134">
        <w:r>
          <w:t>Table</w:t>
        </w:r>
        <w:r>
          <w:rPr>
            <w:spacing w:val="-6"/>
          </w:rPr>
          <w:t xml:space="preserve"> </w:t>
        </w:r>
        <w:r>
          <w:t>3-13.</w:t>
        </w:r>
        <w:r>
          <w:rPr>
            <w:spacing w:val="-7"/>
          </w:rPr>
          <w:t xml:space="preserve"> </w:t>
        </w:r>
        <w:r>
          <w:t>Hierarchy</w:t>
        </w:r>
        <w:r>
          <w:rPr>
            <w:spacing w:val="-5"/>
          </w:rPr>
          <w:t xml:space="preserve"> </w:t>
        </w:r>
        <w:r>
          <w:t>of</w:t>
        </w:r>
        <w:r>
          <w:rPr>
            <w:spacing w:val="-7"/>
          </w:rPr>
          <w:t xml:space="preserve"> </w:t>
        </w:r>
        <w:r>
          <w:t>Data</w:t>
        </w:r>
        <w:r>
          <w:rPr>
            <w:spacing w:val="-6"/>
          </w:rPr>
          <w:t xml:space="preserve"> </w:t>
        </w:r>
        <w:r>
          <w:t>Sources</w:t>
        </w:r>
        <w:r>
          <w:rPr>
            <w:spacing w:val="-5"/>
          </w:rPr>
          <w:t xml:space="preserve"> </w:t>
        </w:r>
        <w:r>
          <w:t>for</w:t>
        </w:r>
        <w:r>
          <w:rPr>
            <w:spacing w:val="-6"/>
          </w:rPr>
          <w:t xml:space="preserve"> </w:t>
        </w:r>
        <w:r>
          <w:t>Cost</w:t>
        </w:r>
        <w:r>
          <w:rPr>
            <w:spacing w:val="-7"/>
          </w:rPr>
          <w:t xml:space="preserve"> </w:t>
        </w:r>
        <w:r>
          <w:t>and</w:t>
        </w:r>
        <w:r>
          <w:rPr>
            <w:spacing w:val="-5"/>
          </w:rPr>
          <w:t xml:space="preserve"> </w:t>
        </w:r>
        <w:r>
          <w:t>Energy</w:t>
        </w:r>
        <w:r>
          <w:rPr>
            <w:spacing w:val="-6"/>
          </w:rPr>
          <w:t xml:space="preserve"> </w:t>
        </w:r>
        <w:r>
          <w:t>Use</w:t>
        </w:r>
        <w:r>
          <w:rPr>
            <w:spacing w:val="-6"/>
          </w:rPr>
          <w:t xml:space="preserve"> </w:t>
        </w:r>
        <w:r>
          <w:rPr>
            <w:spacing w:val="-2"/>
          </w:rPr>
          <w:t>Information</w:t>
        </w:r>
        <w:r>
          <w:tab/>
        </w:r>
        <w:r>
          <w:rPr>
            <w:spacing w:val="-5"/>
          </w:rPr>
          <w:t>53</w:t>
        </w:r>
      </w:hyperlink>
    </w:p>
    <w:p w:rsidR="00C31389" w:rsidRDefault="00561FBD" w14:paraId="1C2017A7" w14:textId="77777777">
      <w:pPr>
        <w:pStyle w:val="BodyText"/>
        <w:tabs>
          <w:tab w:val="left" w:leader="dot" w:pos="9507"/>
        </w:tabs>
        <w:ind w:left="479"/>
      </w:pPr>
      <w:hyperlink w:history="1" w:anchor="_bookmark136">
        <w:r>
          <w:t>Table</w:t>
        </w:r>
        <w:r>
          <w:rPr>
            <w:spacing w:val="-7"/>
          </w:rPr>
          <w:t xml:space="preserve"> </w:t>
        </w:r>
        <w:r>
          <w:t>3-14.</w:t>
        </w:r>
        <w:r>
          <w:rPr>
            <w:spacing w:val="-7"/>
          </w:rPr>
          <w:t xml:space="preserve"> </w:t>
        </w:r>
        <w:r>
          <w:t>Sources</w:t>
        </w:r>
        <w:r>
          <w:rPr>
            <w:spacing w:val="-7"/>
          </w:rPr>
          <w:t xml:space="preserve"> </w:t>
        </w:r>
        <w:r>
          <w:t>for</w:t>
        </w:r>
        <w:r>
          <w:rPr>
            <w:spacing w:val="-8"/>
          </w:rPr>
          <w:t xml:space="preserve"> </w:t>
        </w:r>
        <w:r>
          <w:t>Density</w:t>
        </w:r>
        <w:r>
          <w:rPr>
            <w:spacing w:val="-7"/>
          </w:rPr>
          <w:t xml:space="preserve"> </w:t>
        </w:r>
        <w:r>
          <w:t>and</w:t>
        </w:r>
        <w:r>
          <w:rPr>
            <w:spacing w:val="-7"/>
          </w:rPr>
          <w:t xml:space="preserve"> </w:t>
        </w:r>
        <w:r>
          <w:t>Saturation</w:t>
        </w:r>
        <w:r>
          <w:rPr>
            <w:spacing w:val="-7"/>
          </w:rPr>
          <w:t xml:space="preserve"> </w:t>
        </w:r>
        <w:r>
          <w:rPr>
            <w:spacing w:val="-2"/>
          </w:rPr>
          <w:t>C</w:t>
        </w:r>
        <w:r>
          <w:rPr>
            <w:spacing w:val="-2"/>
          </w:rPr>
          <w:t>haracterization</w:t>
        </w:r>
        <w:r>
          <w:tab/>
        </w:r>
        <w:r>
          <w:rPr>
            <w:spacing w:val="-5"/>
          </w:rPr>
          <w:t>54</w:t>
        </w:r>
      </w:hyperlink>
    </w:p>
    <w:p w:rsidR="00C31389" w:rsidRDefault="00561FBD" w14:paraId="16381020" w14:textId="77777777">
      <w:pPr>
        <w:pStyle w:val="BodyText"/>
        <w:tabs>
          <w:tab w:val="left" w:leader="dot" w:pos="9507"/>
        </w:tabs>
        <w:ind w:left="479" w:right="565"/>
      </w:pPr>
      <w:hyperlink w:history="1" w:anchor="_bookmark139">
        <w:r>
          <w:t>Table 3-15. Average Importance of Value Factors by Customer Clusters Across All EE</w:t>
        </w:r>
      </w:hyperlink>
      <w:r>
        <w:t xml:space="preserve"> </w:t>
      </w:r>
      <w:hyperlink w:history="1" w:anchor="_bookmark139">
        <w:r>
          <w:rPr>
            <w:spacing w:val="-2"/>
          </w:rPr>
          <w:t>Measures</w:t>
        </w:r>
        <w:r>
          <w:tab/>
        </w:r>
        <w:r>
          <w:rPr>
            <w:spacing w:val="-5"/>
          </w:rPr>
          <w:t>55</w:t>
        </w:r>
      </w:hyperlink>
    </w:p>
    <w:p w:rsidR="00C31389" w:rsidRDefault="00561FBD" w14:paraId="7FCF66C6" w14:textId="77777777">
      <w:pPr>
        <w:pStyle w:val="BodyText"/>
        <w:tabs>
          <w:tab w:val="left" w:leader="dot" w:pos="9507"/>
        </w:tabs>
        <w:spacing w:line="252" w:lineRule="exact"/>
        <w:ind w:left="479"/>
      </w:pPr>
      <w:hyperlink w:history="1" w:anchor="_bookmark142">
        <w:r>
          <w:t>Table</w:t>
        </w:r>
        <w:r>
          <w:rPr>
            <w:spacing w:val="-8"/>
          </w:rPr>
          <w:t xml:space="preserve"> </w:t>
        </w:r>
        <w:r>
          <w:t>3-16.</w:t>
        </w:r>
        <w:r>
          <w:rPr>
            <w:spacing w:val="-8"/>
          </w:rPr>
          <w:t xml:space="preserve"> </w:t>
        </w:r>
        <w:r>
          <w:t>Technology</w:t>
        </w:r>
        <w:r>
          <w:rPr>
            <w:spacing w:val="-9"/>
          </w:rPr>
          <w:t xml:space="preserve"> </w:t>
        </w:r>
        <w:r>
          <w:t>Attributes</w:t>
        </w:r>
        <w:r>
          <w:rPr>
            <w:spacing w:val="-7"/>
          </w:rPr>
          <w:t xml:space="preserve"> </w:t>
        </w:r>
        <w:r>
          <w:t>and</w:t>
        </w:r>
        <w:r>
          <w:rPr>
            <w:spacing w:val="-7"/>
          </w:rPr>
          <w:t xml:space="preserve"> </w:t>
        </w:r>
        <w:r>
          <w:rPr>
            <w:spacing w:val="-2"/>
          </w:rPr>
          <w:t>Examples</w:t>
        </w:r>
        <w:r>
          <w:tab/>
        </w:r>
        <w:r>
          <w:rPr>
            <w:spacing w:val="-5"/>
          </w:rPr>
          <w:t>56</w:t>
        </w:r>
      </w:hyperlink>
    </w:p>
    <w:p w:rsidR="00C31389" w:rsidRDefault="00C31389" w14:paraId="52A6C140" w14:textId="77777777">
      <w:pPr>
        <w:spacing w:line="252" w:lineRule="exact"/>
        <w:sectPr w:rsidR="00C31389">
          <w:pgSz w:w="12240" w:h="15840"/>
          <w:pgMar w:top="1660" w:right="960" w:bottom="1120" w:left="960" w:header="397" w:footer="936" w:gutter="0"/>
          <w:cols w:space="720"/>
        </w:sectPr>
      </w:pPr>
    </w:p>
    <w:p w:rsidR="00C31389" w:rsidRDefault="00561FBD" w14:paraId="62508FE3" w14:textId="77777777">
      <w:pPr>
        <w:pStyle w:val="BodyText"/>
        <w:tabs>
          <w:tab w:val="left" w:leader="dot" w:pos="9508"/>
        </w:tabs>
        <w:spacing w:before="253"/>
        <w:ind w:left="480"/>
      </w:pPr>
      <w:hyperlink w:history="1" w:anchor="_bookmark143">
        <w:r>
          <w:t>Table</w:t>
        </w:r>
        <w:r>
          <w:rPr>
            <w:spacing w:val="-7"/>
          </w:rPr>
          <w:t xml:space="preserve"> </w:t>
        </w:r>
        <w:r>
          <w:t>3-17.</w:t>
        </w:r>
        <w:r>
          <w:rPr>
            <w:spacing w:val="-8"/>
          </w:rPr>
          <w:t xml:space="preserve"> </w:t>
        </w:r>
        <w:r>
          <w:t>Attribute</w:t>
        </w:r>
        <w:r>
          <w:rPr>
            <w:spacing w:val="-7"/>
          </w:rPr>
          <w:t xml:space="preserve"> </w:t>
        </w:r>
        <w:r>
          <w:t>Mapping</w:t>
        </w:r>
        <w:r>
          <w:rPr>
            <w:spacing w:val="-7"/>
          </w:rPr>
          <w:t xml:space="preserve"> </w:t>
        </w:r>
        <w:r>
          <w:t>and</w:t>
        </w:r>
        <w:r>
          <w:rPr>
            <w:spacing w:val="-7"/>
          </w:rPr>
          <w:t xml:space="preserve"> </w:t>
        </w:r>
        <w:r>
          <w:t>Linking</w:t>
        </w:r>
        <w:r>
          <w:rPr>
            <w:spacing w:val="-7"/>
          </w:rPr>
          <w:t xml:space="preserve"> </w:t>
        </w:r>
        <w:r>
          <w:t>to</w:t>
        </w:r>
        <w:r>
          <w:rPr>
            <w:spacing w:val="-7"/>
          </w:rPr>
          <w:t xml:space="preserve"> </w:t>
        </w:r>
        <w:r>
          <w:t>Surveyed</w:t>
        </w:r>
        <w:r>
          <w:rPr>
            <w:spacing w:val="-6"/>
          </w:rPr>
          <w:t xml:space="preserve"> </w:t>
        </w:r>
        <w:r>
          <w:rPr>
            <w:spacing w:val="-2"/>
          </w:rPr>
          <w:t>Measur</w:t>
        </w:r>
        <w:r>
          <w:rPr>
            <w:spacing w:val="-2"/>
          </w:rPr>
          <w:t>es</w:t>
        </w:r>
        <w:r>
          <w:tab/>
        </w:r>
        <w:r>
          <w:rPr>
            <w:spacing w:val="-5"/>
          </w:rPr>
          <w:t>57</w:t>
        </w:r>
      </w:hyperlink>
    </w:p>
    <w:p w:rsidR="00C31389" w:rsidRDefault="00561FBD" w14:paraId="47ACD6EC" w14:textId="77777777">
      <w:pPr>
        <w:pStyle w:val="BodyText"/>
        <w:tabs>
          <w:tab w:val="left" w:leader="dot" w:pos="9508"/>
        </w:tabs>
        <w:spacing w:line="253" w:lineRule="exact"/>
        <w:ind w:left="480"/>
      </w:pPr>
      <w:hyperlink w:history="1" w:anchor="_bookmark147">
        <w:r>
          <w:t>Table</w:t>
        </w:r>
        <w:r>
          <w:rPr>
            <w:spacing w:val="-8"/>
          </w:rPr>
          <w:t xml:space="preserve"> </w:t>
        </w:r>
        <w:r>
          <w:t>3-18.</w:t>
        </w:r>
        <w:r>
          <w:rPr>
            <w:spacing w:val="-8"/>
          </w:rPr>
          <w:t xml:space="preserve"> </w:t>
        </w:r>
        <w:r>
          <w:t>Technology</w:t>
        </w:r>
        <w:r>
          <w:rPr>
            <w:spacing w:val="-7"/>
          </w:rPr>
          <w:t xml:space="preserve"> </w:t>
        </w:r>
        <w:r>
          <w:t>Group</w:t>
        </w:r>
        <w:r>
          <w:rPr>
            <w:spacing w:val="-8"/>
          </w:rPr>
          <w:t xml:space="preserve"> </w:t>
        </w:r>
        <w:r>
          <w:t>Case</w:t>
        </w:r>
        <w:r>
          <w:rPr>
            <w:spacing w:val="-7"/>
          </w:rPr>
          <w:t xml:space="preserve"> </w:t>
        </w:r>
        <w:r>
          <w:rPr>
            <w:spacing w:val="-2"/>
          </w:rPr>
          <w:t>Studies</w:t>
        </w:r>
        <w:r>
          <w:tab/>
        </w:r>
        <w:r>
          <w:rPr>
            <w:spacing w:val="-5"/>
          </w:rPr>
          <w:t>59</w:t>
        </w:r>
      </w:hyperlink>
    </w:p>
    <w:p w:rsidR="00C31389" w:rsidRDefault="00561FBD" w14:paraId="4CBE054F" w14:textId="77777777">
      <w:pPr>
        <w:pStyle w:val="BodyText"/>
        <w:tabs>
          <w:tab w:val="left" w:leader="dot" w:pos="9508"/>
        </w:tabs>
        <w:spacing w:line="253" w:lineRule="exact"/>
        <w:ind w:left="480"/>
      </w:pPr>
      <w:hyperlink w:history="1" w:anchor="_bookmark149">
        <w:r>
          <w:t>Table</w:t>
        </w:r>
        <w:r>
          <w:rPr>
            <w:spacing w:val="-8"/>
          </w:rPr>
          <w:t xml:space="preserve"> </w:t>
        </w:r>
        <w:r>
          <w:t>3-19.</w:t>
        </w:r>
        <w:r>
          <w:rPr>
            <w:spacing w:val="-9"/>
          </w:rPr>
          <w:t xml:space="preserve"> </w:t>
        </w:r>
        <w:r>
          <w:t>Whole</w:t>
        </w:r>
        <w:r>
          <w:rPr>
            <w:spacing w:val="-8"/>
          </w:rPr>
          <w:t xml:space="preserve"> </w:t>
        </w:r>
        <w:r>
          <w:t>Building</w:t>
        </w:r>
        <w:r>
          <w:rPr>
            <w:spacing w:val="-8"/>
          </w:rPr>
          <w:t xml:space="preserve"> </w:t>
        </w:r>
        <w:r>
          <w:t>Technology</w:t>
        </w:r>
        <w:r>
          <w:rPr>
            <w:spacing w:val="-7"/>
          </w:rPr>
          <w:t xml:space="preserve"> </w:t>
        </w:r>
        <w:r>
          <w:rPr>
            <w:spacing w:val="-2"/>
          </w:rPr>
          <w:t>Levels</w:t>
        </w:r>
        <w:r>
          <w:tab/>
        </w:r>
        <w:r>
          <w:rPr>
            <w:spacing w:val="-5"/>
          </w:rPr>
          <w:t>60</w:t>
        </w:r>
      </w:hyperlink>
    </w:p>
    <w:p w:rsidR="00C31389" w:rsidRDefault="00561FBD" w14:paraId="30DE7EEB" w14:textId="77777777">
      <w:pPr>
        <w:pStyle w:val="BodyText"/>
        <w:tabs>
          <w:tab w:val="left" w:leader="dot" w:pos="9508"/>
        </w:tabs>
        <w:ind w:left="479"/>
      </w:pPr>
      <w:hyperlink w:history="1" w:anchor="_bookmark152">
        <w:r>
          <w:t>Table</w:t>
        </w:r>
        <w:r>
          <w:rPr>
            <w:spacing w:val="-8"/>
          </w:rPr>
          <w:t xml:space="preserve"> </w:t>
        </w:r>
        <w:r>
          <w:t>3-20.</w:t>
        </w:r>
        <w:r>
          <w:rPr>
            <w:spacing w:val="-8"/>
          </w:rPr>
          <w:t xml:space="preserve"> </w:t>
        </w:r>
        <w:r>
          <w:t>New</w:t>
        </w:r>
        <w:r>
          <w:rPr>
            <w:spacing w:val="-8"/>
          </w:rPr>
          <w:t xml:space="preserve"> </w:t>
        </w:r>
        <w:r>
          <w:t>Construction</w:t>
        </w:r>
        <w:r>
          <w:rPr>
            <w:spacing w:val="-7"/>
          </w:rPr>
          <w:t xml:space="preserve"> </w:t>
        </w:r>
        <w:r>
          <w:t>Whole</w:t>
        </w:r>
        <w:r>
          <w:rPr>
            <w:spacing w:val="-7"/>
          </w:rPr>
          <w:t xml:space="preserve"> </w:t>
        </w:r>
        <w:r>
          <w:t>Building</w:t>
        </w:r>
        <w:r>
          <w:rPr>
            <w:spacing w:val="-7"/>
          </w:rPr>
          <w:t xml:space="preserve"> </w:t>
        </w:r>
        <w:r>
          <w:t>Data</w:t>
        </w:r>
        <w:r>
          <w:rPr>
            <w:spacing w:val="-7"/>
          </w:rPr>
          <w:t xml:space="preserve"> </w:t>
        </w:r>
        <w:r>
          <w:rPr>
            <w:spacing w:val="-2"/>
          </w:rPr>
          <w:t>Sources</w:t>
        </w:r>
        <w:r>
          <w:tab/>
        </w:r>
        <w:r>
          <w:rPr>
            <w:spacing w:val="-5"/>
          </w:rPr>
          <w:t>61</w:t>
        </w:r>
      </w:hyperlink>
    </w:p>
    <w:p w:rsidR="00C31389" w:rsidRDefault="00561FBD" w14:paraId="62B7C154" w14:textId="77777777">
      <w:pPr>
        <w:pStyle w:val="BodyText"/>
        <w:tabs>
          <w:tab w:val="left" w:leader="dot" w:pos="9508"/>
        </w:tabs>
        <w:spacing w:before="1"/>
        <w:ind w:left="479"/>
      </w:pPr>
      <w:hyperlink w:history="1" w:anchor="_bookmark173">
        <w:r>
          <w:t>Table</w:t>
        </w:r>
        <w:r>
          <w:rPr>
            <w:spacing w:val="-7"/>
          </w:rPr>
          <w:t xml:space="preserve"> </w:t>
        </w:r>
        <w:r>
          <w:t>3-21.</w:t>
        </w:r>
        <w:r>
          <w:rPr>
            <w:spacing w:val="-7"/>
          </w:rPr>
          <w:t xml:space="preserve"> </w:t>
        </w:r>
        <w:r>
          <w:t>Generic</w:t>
        </w:r>
        <w:r>
          <w:rPr>
            <w:spacing w:val="-6"/>
          </w:rPr>
          <w:t xml:space="preserve"> </w:t>
        </w:r>
        <w:r>
          <w:t>Custom</w:t>
        </w:r>
        <w:r>
          <w:rPr>
            <w:spacing w:val="-7"/>
          </w:rPr>
          <w:t xml:space="preserve"> </w:t>
        </w:r>
        <w:r>
          <w:t>Measures</w:t>
        </w:r>
        <w:r>
          <w:rPr>
            <w:spacing w:val="-6"/>
          </w:rPr>
          <w:t xml:space="preserve"> </w:t>
        </w:r>
        <w:r>
          <w:t>–</w:t>
        </w:r>
        <w:r>
          <w:rPr>
            <w:spacing w:val="-7"/>
          </w:rPr>
          <w:t xml:space="preserve"> </w:t>
        </w:r>
        <w:r>
          <w:t>Key</w:t>
        </w:r>
        <w:r>
          <w:rPr>
            <w:spacing w:val="-6"/>
          </w:rPr>
          <w:t xml:space="preserve"> </w:t>
        </w:r>
        <w:r>
          <w:rPr>
            <w:spacing w:val="-2"/>
          </w:rPr>
          <w:t>Assumptions</w:t>
        </w:r>
        <w:r>
          <w:tab/>
        </w:r>
        <w:r>
          <w:rPr>
            <w:spacing w:val="-5"/>
          </w:rPr>
          <w:t>67</w:t>
        </w:r>
      </w:hyperlink>
    </w:p>
    <w:p w:rsidR="00C31389" w:rsidRDefault="00561FBD" w14:paraId="3E80AA0D" w14:textId="77777777">
      <w:pPr>
        <w:pStyle w:val="BodyText"/>
        <w:tabs>
          <w:tab w:val="left" w:leader="dot" w:pos="9508"/>
        </w:tabs>
        <w:ind w:left="479" w:right="564"/>
      </w:pPr>
      <w:hyperlink w:history="1" w:anchor="_bookmark174">
        <w:r>
          <w:t>Table 3-22. Generic Custom Contribution as a Percentage of Sector Savings, Average of 2016</w:t>
        </w:r>
      </w:hyperlink>
      <w:r>
        <w:t xml:space="preserve"> </w:t>
      </w:r>
      <w:hyperlink w:history="1" w:anchor="_bookmark174">
        <w:r>
          <w:t>through</w:t>
        </w:r>
        <w:r>
          <w:rPr>
            <w:spacing w:val="-8"/>
          </w:rPr>
          <w:t xml:space="preserve"> </w:t>
        </w:r>
        <w:r>
          <w:rPr>
            <w:spacing w:val="-4"/>
          </w:rPr>
          <w:t>2021</w:t>
        </w:r>
        <w:r>
          <w:tab/>
        </w:r>
        <w:r>
          <w:rPr>
            <w:spacing w:val="-7"/>
          </w:rPr>
          <w:t>67</w:t>
        </w:r>
      </w:hyperlink>
    </w:p>
    <w:p w:rsidR="00C31389" w:rsidRDefault="00561FBD" w14:paraId="69089C32" w14:textId="77777777">
      <w:pPr>
        <w:pStyle w:val="BodyText"/>
        <w:tabs>
          <w:tab w:val="left" w:leader="dot" w:pos="9508"/>
        </w:tabs>
        <w:spacing w:line="252" w:lineRule="exact"/>
        <w:ind w:left="479"/>
      </w:pPr>
      <w:hyperlink w:history="1" w:anchor="_bookmark177">
        <w:r>
          <w:t>Table</w:t>
        </w:r>
        <w:r>
          <w:rPr>
            <w:spacing w:val="-7"/>
          </w:rPr>
          <w:t xml:space="preserve"> </w:t>
        </w:r>
        <w:r>
          <w:t>3-23.</w:t>
        </w:r>
        <w:r>
          <w:rPr>
            <w:spacing w:val="-8"/>
          </w:rPr>
          <w:t xml:space="preserve"> </w:t>
        </w:r>
        <w:r>
          <w:t>Emerging</w:t>
        </w:r>
        <w:r>
          <w:rPr>
            <w:spacing w:val="-6"/>
          </w:rPr>
          <w:t xml:space="preserve"> </w:t>
        </w:r>
        <w:r>
          <w:t>Technologies</w:t>
        </w:r>
        <w:r>
          <w:rPr>
            <w:spacing w:val="-7"/>
          </w:rPr>
          <w:t xml:space="preserve"> </w:t>
        </w:r>
        <w:r>
          <w:t>–</w:t>
        </w:r>
        <w:r>
          <w:rPr>
            <w:spacing w:val="-7"/>
          </w:rPr>
          <w:t xml:space="preserve"> </w:t>
        </w:r>
        <w:r>
          <w:t>Key</w:t>
        </w:r>
        <w:r>
          <w:rPr>
            <w:spacing w:val="-7"/>
          </w:rPr>
          <w:t xml:space="preserve"> </w:t>
        </w:r>
        <w:r>
          <w:rPr>
            <w:spacing w:val="-2"/>
          </w:rPr>
          <w:t>Assumptions</w:t>
        </w:r>
        <w:r>
          <w:tab/>
        </w:r>
        <w:r>
          <w:rPr>
            <w:spacing w:val="-5"/>
          </w:rPr>
          <w:t>68</w:t>
        </w:r>
      </w:hyperlink>
    </w:p>
    <w:p w:rsidR="00C31389" w:rsidRDefault="00561FBD" w14:paraId="0A5D2473" w14:textId="77777777">
      <w:pPr>
        <w:pStyle w:val="BodyText"/>
        <w:tabs>
          <w:tab w:val="left" w:leader="dot" w:pos="9508"/>
        </w:tabs>
        <w:ind w:left="479"/>
      </w:pPr>
      <w:hyperlink w:history="1" w:anchor="_bookmark182">
        <w:r>
          <w:t>Table</w:t>
        </w:r>
        <w:r>
          <w:rPr>
            <w:spacing w:val="-6"/>
          </w:rPr>
          <w:t xml:space="preserve"> </w:t>
        </w:r>
        <w:r>
          <w:t>3-24.</w:t>
        </w:r>
        <w:r>
          <w:rPr>
            <w:spacing w:val="-7"/>
          </w:rPr>
          <w:t xml:space="preserve"> </w:t>
        </w:r>
        <w:r>
          <w:t>C&amp;S</w:t>
        </w:r>
        <w:r>
          <w:rPr>
            <w:spacing w:val="-6"/>
          </w:rPr>
          <w:t xml:space="preserve"> </w:t>
        </w:r>
        <w:r>
          <w:t>Data</w:t>
        </w:r>
        <w:r>
          <w:rPr>
            <w:spacing w:val="-5"/>
          </w:rPr>
          <w:t xml:space="preserve"> </w:t>
        </w:r>
        <w:r>
          <w:t>Source</w:t>
        </w:r>
        <w:r>
          <w:rPr>
            <w:spacing w:val="-6"/>
          </w:rPr>
          <w:t xml:space="preserve"> </w:t>
        </w:r>
        <w:r>
          <w:rPr>
            <w:spacing w:val="-2"/>
          </w:rPr>
          <w:t>Summary</w:t>
        </w:r>
        <w:r>
          <w:tab/>
        </w:r>
        <w:r>
          <w:rPr>
            <w:spacing w:val="-5"/>
          </w:rPr>
          <w:t>70</w:t>
        </w:r>
      </w:hyperlink>
    </w:p>
    <w:p w:rsidR="00C31389" w:rsidRDefault="00561FBD" w14:paraId="324C140A" w14:textId="77777777">
      <w:pPr>
        <w:pStyle w:val="BodyText"/>
        <w:tabs>
          <w:tab w:val="left" w:leader="dot" w:pos="9508"/>
        </w:tabs>
        <w:ind w:left="479"/>
      </w:pPr>
      <w:hyperlink w:history="1" w:anchor="_bookmark185">
        <w:r>
          <w:t>Table</w:t>
        </w:r>
        <w:r>
          <w:rPr>
            <w:spacing w:val="-8"/>
          </w:rPr>
          <w:t xml:space="preserve"> </w:t>
        </w:r>
        <w:r>
          <w:t>3-25.</w:t>
        </w:r>
        <w:r>
          <w:rPr>
            <w:spacing w:val="-8"/>
          </w:rPr>
          <w:t xml:space="preserve"> </w:t>
        </w:r>
        <w:r>
          <w:t>Progression</w:t>
        </w:r>
        <w:r>
          <w:rPr>
            <w:spacing w:val="-8"/>
          </w:rPr>
          <w:t xml:space="preserve"> </w:t>
        </w:r>
        <w:r>
          <w:t>of</w:t>
        </w:r>
        <w:r>
          <w:rPr>
            <w:spacing w:val="-8"/>
          </w:rPr>
          <w:t xml:space="preserve"> </w:t>
        </w:r>
        <w:r>
          <w:t>Commercial</w:t>
        </w:r>
        <w:r>
          <w:rPr>
            <w:spacing w:val="-7"/>
          </w:rPr>
          <w:t xml:space="preserve"> </w:t>
        </w:r>
        <w:r>
          <w:t>Title</w:t>
        </w:r>
        <w:r>
          <w:rPr>
            <w:spacing w:val="-7"/>
          </w:rPr>
          <w:t xml:space="preserve"> </w:t>
        </w:r>
        <w:r>
          <w:rPr>
            <w:spacing w:val="-5"/>
          </w:rPr>
          <w:t>24</w:t>
        </w:r>
        <w:r>
          <w:tab/>
        </w:r>
        <w:r>
          <w:rPr>
            <w:spacing w:val="-5"/>
          </w:rPr>
          <w:t>71</w:t>
        </w:r>
      </w:hyperlink>
    </w:p>
    <w:p w:rsidR="00C31389" w:rsidRDefault="00561FBD" w14:paraId="2BA98951" w14:textId="77777777">
      <w:pPr>
        <w:pStyle w:val="BodyText"/>
        <w:tabs>
          <w:tab w:val="left" w:leader="dot" w:pos="9508"/>
        </w:tabs>
        <w:ind w:left="479"/>
      </w:pPr>
      <w:hyperlink w:history="1" w:anchor="_bookmark189">
        <w:r>
          <w:t>Table</w:t>
        </w:r>
        <w:r>
          <w:rPr>
            <w:spacing w:val="-9"/>
          </w:rPr>
          <w:t xml:space="preserve"> </w:t>
        </w:r>
        <w:r>
          <w:t>3-26.</w:t>
        </w:r>
        <w:r>
          <w:rPr>
            <w:spacing w:val="-10"/>
          </w:rPr>
          <w:t xml:space="preserve"> </w:t>
        </w:r>
        <w:r>
          <w:t>Behavioral</w:t>
        </w:r>
        <w:r>
          <w:rPr>
            <w:spacing w:val="-9"/>
          </w:rPr>
          <w:t xml:space="preserve"> </w:t>
        </w:r>
        <w:r>
          <w:t>Intervention</w:t>
        </w:r>
        <w:r>
          <w:rPr>
            <w:spacing w:val="-10"/>
          </w:rPr>
          <w:t xml:space="preserve"> </w:t>
        </w:r>
        <w:r>
          <w:rPr>
            <w:spacing w:val="-2"/>
          </w:rPr>
          <w:t>Summary</w:t>
        </w:r>
        <w:r>
          <w:tab/>
        </w:r>
        <w:r>
          <w:rPr>
            <w:spacing w:val="-5"/>
          </w:rPr>
          <w:t>73</w:t>
        </w:r>
      </w:hyperlink>
    </w:p>
    <w:p w:rsidR="00C31389" w:rsidRDefault="00561FBD" w14:paraId="2205BF6B" w14:textId="77777777">
      <w:pPr>
        <w:pStyle w:val="BodyText"/>
        <w:tabs>
          <w:tab w:val="left" w:leader="dot" w:pos="9508"/>
        </w:tabs>
        <w:spacing w:before="1"/>
        <w:ind w:left="479"/>
      </w:pPr>
      <w:hyperlink w:history="1" w:anchor="_bookmark191">
        <w:r>
          <w:t>Table</w:t>
        </w:r>
        <w:r>
          <w:rPr>
            <w:spacing w:val="-8"/>
          </w:rPr>
          <w:t xml:space="preserve"> </w:t>
        </w:r>
        <w:r>
          <w:t>3-27.</w:t>
        </w:r>
        <w:r>
          <w:rPr>
            <w:spacing w:val="-8"/>
          </w:rPr>
          <w:t xml:space="preserve"> </w:t>
        </w:r>
        <w:r>
          <w:t>Qualitative</w:t>
        </w:r>
        <w:r>
          <w:rPr>
            <w:spacing w:val="-8"/>
          </w:rPr>
          <w:t xml:space="preserve"> </w:t>
        </w:r>
        <w:r>
          <w:t>Assessment</w:t>
        </w:r>
        <w:r>
          <w:rPr>
            <w:spacing w:val="-8"/>
          </w:rPr>
          <w:t xml:space="preserve"> </w:t>
        </w:r>
        <w:r>
          <w:t>of</w:t>
        </w:r>
        <w:r>
          <w:rPr>
            <w:spacing w:val="-8"/>
          </w:rPr>
          <w:t xml:space="preserve"> </w:t>
        </w:r>
        <w:r>
          <w:t>Data</w:t>
        </w:r>
        <w:r>
          <w:rPr>
            <w:spacing w:val="-7"/>
          </w:rPr>
          <w:t xml:space="preserve"> </w:t>
        </w:r>
        <w:r>
          <w:rPr>
            <w:spacing w:val="-2"/>
          </w:rPr>
          <w:t>Quality</w:t>
        </w:r>
        <w:r>
          <w:tab/>
        </w:r>
        <w:r>
          <w:rPr>
            <w:spacing w:val="-5"/>
          </w:rPr>
          <w:t>75</w:t>
        </w:r>
      </w:hyperlink>
    </w:p>
    <w:p w:rsidR="00C31389" w:rsidRDefault="00561FBD" w14:paraId="518D414A" w14:textId="77777777">
      <w:pPr>
        <w:pStyle w:val="BodyText"/>
        <w:tabs>
          <w:tab w:val="left" w:leader="dot" w:pos="9508"/>
        </w:tabs>
        <w:spacing w:line="253" w:lineRule="exact"/>
        <w:ind w:left="479"/>
      </w:pPr>
      <w:hyperlink w:history="1" w:anchor="_bookmark193">
        <w:r>
          <w:t>Table</w:t>
        </w:r>
        <w:r>
          <w:rPr>
            <w:spacing w:val="-6"/>
          </w:rPr>
          <w:t xml:space="preserve"> </w:t>
        </w:r>
        <w:r>
          <w:t>4-1.</w:t>
        </w:r>
        <w:r>
          <w:rPr>
            <w:spacing w:val="-6"/>
          </w:rPr>
          <w:t xml:space="preserve"> </w:t>
        </w:r>
        <w:r>
          <w:t>2023</w:t>
        </w:r>
        <w:r>
          <w:rPr>
            <w:spacing w:val="-5"/>
          </w:rPr>
          <w:t xml:space="preserve"> </w:t>
        </w:r>
        <w:r>
          <w:t>Study</w:t>
        </w:r>
        <w:r>
          <w:rPr>
            <w:spacing w:val="-6"/>
          </w:rPr>
          <w:t xml:space="preserve"> </w:t>
        </w:r>
        <w:r>
          <w:t>Key</w:t>
        </w:r>
        <w:r>
          <w:rPr>
            <w:spacing w:val="-6"/>
          </w:rPr>
          <w:t xml:space="preserve"> </w:t>
        </w:r>
        <w:r>
          <w:t>Findings</w:t>
        </w:r>
        <w:r>
          <w:rPr>
            <w:spacing w:val="-6"/>
          </w:rPr>
          <w:t xml:space="preserve"> </w:t>
        </w:r>
        <w:r>
          <w:t>and</w:t>
        </w:r>
        <w:r>
          <w:rPr>
            <w:spacing w:val="-6"/>
          </w:rPr>
          <w:t xml:space="preserve"> </w:t>
        </w:r>
        <w:r>
          <w:rPr>
            <w:spacing w:val="-2"/>
          </w:rPr>
          <w:t>Implications</w:t>
        </w:r>
        <w:r>
          <w:tab/>
        </w:r>
        <w:r>
          <w:rPr>
            <w:spacing w:val="-5"/>
          </w:rPr>
          <w:t>76</w:t>
        </w:r>
      </w:hyperlink>
    </w:p>
    <w:p w:rsidR="00C31389" w:rsidRDefault="00561FBD" w14:paraId="330E906C" w14:textId="77777777">
      <w:pPr>
        <w:pStyle w:val="BodyText"/>
        <w:tabs>
          <w:tab w:val="left" w:leader="dot" w:pos="9508"/>
        </w:tabs>
        <w:spacing w:line="253" w:lineRule="exact"/>
        <w:ind w:left="479"/>
      </w:pPr>
      <w:hyperlink w:history="1" w:anchor="_bookmark197">
        <w:r>
          <w:t>Table</w:t>
        </w:r>
        <w:r>
          <w:rPr>
            <w:spacing w:val="-8"/>
          </w:rPr>
          <w:t xml:space="preserve"> </w:t>
        </w:r>
        <w:r>
          <w:t>4-2.</w:t>
        </w:r>
        <w:r>
          <w:rPr>
            <w:spacing w:val="-7"/>
          </w:rPr>
          <w:t xml:space="preserve"> </w:t>
        </w:r>
        <w:r>
          <w:t>2022</w:t>
        </w:r>
        <w:r>
          <w:rPr>
            <w:spacing w:val="-7"/>
          </w:rPr>
          <w:t xml:space="preserve"> </w:t>
        </w:r>
        <w:r>
          <w:t>Net</w:t>
        </w:r>
        <w:r>
          <w:rPr>
            <w:spacing w:val="-8"/>
          </w:rPr>
          <w:t xml:space="preserve"> </w:t>
        </w:r>
        <w:r>
          <w:t>First-Year</w:t>
        </w:r>
        <w:r>
          <w:rPr>
            <w:spacing w:val="-7"/>
          </w:rPr>
          <w:t xml:space="preserve"> </w:t>
        </w:r>
        <w:r>
          <w:t>Incremental</w:t>
        </w:r>
        <w:r>
          <w:rPr>
            <w:spacing w:val="-7"/>
          </w:rPr>
          <w:t xml:space="preserve"> </w:t>
        </w:r>
        <w:r>
          <w:t>Savings</w:t>
        </w:r>
        <w:r>
          <w:rPr>
            <w:spacing w:val="-8"/>
          </w:rPr>
          <w:t xml:space="preserve"> </w:t>
        </w:r>
        <w:r>
          <w:t>by</w:t>
        </w:r>
        <w:r>
          <w:rPr>
            <w:spacing w:val="-7"/>
          </w:rPr>
          <w:t xml:space="preserve"> </w:t>
        </w:r>
        <w:r>
          <w:t>Scenario</w:t>
        </w:r>
        <w:r>
          <w:rPr>
            <w:spacing w:val="-7"/>
          </w:rPr>
          <w:t xml:space="preserve"> </w:t>
        </w:r>
        <w:r>
          <w:rPr>
            <w:spacing w:val="-2"/>
          </w:rPr>
          <w:t>(Statewide)</w:t>
        </w:r>
        <w:r>
          <w:tab/>
        </w:r>
        <w:r>
          <w:rPr>
            <w:spacing w:val="-5"/>
          </w:rPr>
          <w:t>77</w:t>
        </w:r>
      </w:hyperlink>
    </w:p>
    <w:p w:rsidR="00C31389" w:rsidRDefault="00C31389" w14:paraId="50C73F39" w14:textId="77777777">
      <w:pPr>
        <w:pStyle w:val="BodyText"/>
      </w:pPr>
    </w:p>
    <w:p w:rsidR="00C31389" w:rsidRDefault="00561FBD" w14:paraId="06D14C32" w14:textId="77777777">
      <w:pPr>
        <w:pStyle w:val="BodyText"/>
        <w:ind w:left="479"/>
        <w:jc w:val="both"/>
      </w:pPr>
      <w:hyperlink w:history="1" w:anchor="_bookmark233">
        <w:r>
          <w:rPr>
            <w:spacing w:val="-2"/>
          </w:rPr>
          <w:t>Table</w:t>
        </w:r>
        <w:r>
          <w:rPr>
            <w:spacing w:val="37"/>
          </w:rPr>
          <w:t xml:space="preserve"> </w:t>
        </w:r>
        <w:r>
          <w:rPr>
            <w:spacing w:val="-2"/>
          </w:rPr>
          <w:t>A-1.</w:t>
        </w:r>
        <w:r>
          <w:rPr>
            <w:spacing w:val="38"/>
          </w:rPr>
          <w:t xml:space="preserve"> </w:t>
        </w:r>
        <w:r>
          <w:rPr>
            <w:spacing w:val="-2"/>
          </w:rPr>
          <w:t>Calibration</w:t>
        </w:r>
        <w:r>
          <w:rPr>
            <w:spacing w:val="36"/>
          </w:rPr>
          <w:t xml:space="preserve"> </w:t>
        </w:r>
        <w:r>
          <w:rPr>
            <w:spacing w:val="-2"/>
          </w:rPr>
          <w:t>Levers</w:t>
        </w:r>
        <w:r>
          <w:rPr>
            <w:spacing w:val="29"/>
          </w:rPr>
          <w:t xml:space="preserve"> </w:t>
        </w:r>
        <w:r>
          <w:rPr>
            <w:spacing w:val="-2"/>
          </w:rPr>
          <w:t>..................................................................................................</w:t>
        </w:r>
        <w:r>
          <w:rPr>
            <w:spacing w:val="-25"/>
          </w:rPr>
          <w:t xml:space="preserve"> </w:t>
        </w:r>
        <w:r>
          <w:rPr>
            <w:spacing w:val="-2"/>
          </w:rPr>
          <w:t>A-</w:t>
        </w:r>
        <w:r>
          <w:rPr>
            <w:spacing w:val="-10"/>
          </w:rPr>
          <w:t>4</w:t>
        </w:r>
      </w:hyperlink>
    </w:p>
    <w:p w:rsidR="00C31389" w:rsidRDefault="00561FBD" w14:paraId="2664CF84" w14:textId="77777777">
      <w:pPr>
        <w:pStyle w:val="BodyText"/>
        <w:spacing w:before="1"/>
        <w:ind w:left="479"/>
        <w:jc w:val="both"/>
      </w:pPr>
      <w:hyperlink w:history="1" w:anchor="_bookmark240">
        <w:r>
          <w:rPr>
            <w:spacing w:val="-2"/>
          </w:rPr>
          <w:t>Table</w:t>
        </w:r>
        <w:r>
          <w:rPr>
            <w:spacing w:val="27"/>
          </w:rPr>
          <w:t xml:space="preserve"> </w:t>
        </w:r>
        <w:r>
          <w:rPr>
            <w:spacing w:val="-2"/>
          </w:rPr>
          <w:t>B-1.</w:t>
        </w:r>
        <w:r>
          <w:rPr>
            <w:spacing w:val="28"/>
          </w:rPr>
          <w:t xml:space="preserve"> </w:t>
        </w:r>
        <w:r>
          <w:rPr>
            <w:spacing w:val="-2"/>
          </w:rPr>
          <w:t>FS</w:t>
        </w:r>
        <w:r>
          <w:rPr>
            <w:spacing w:val="28"/>
          </w:rPr>
          <w:t xml:space="preserve"> </w:t>
        </w:r>
        <w:r>
          <w:rPr>
            <w:spacing w:val="-2"/>
          </w:rPr>
          <w:t>Technologies</w:t>
        </w:r>
        <w:r>
          <w:rPr>
            <w:spacing w:val="28"/>
          </w:rPr>
          <w:t xml:space="preserve"> </w:t>
        </w:r>
        <w:r>
          <w:rPr>
            <w:spacing w:val="-2"/>
          </w:rPr>
          <w:t>Characterized</w:t>
        </w:r>
        <w:r>
          <w:rPr>
            <w:spacing w:val="-13"/>
          </w:rPr>
          <w:t xml:space="preserve"> </w:t>
        </w:r>
        <w:r>
          <w:rPr>
            <w:spacing w:val="-2"/>
          </w:rPr>
          <w:t>.............................................................................</w:t>
        </w:r>
        <w:r>
          <w:rPr>
            <w:spacing w:val="-28"/>
          </w:rPr>
          <w:t xml:space="preserve"> </w:t>
        </w:r>
        <w:r>
          <w:rPr>
            <w:spacing w:val="-2"/>
          </w:rPr>
          <w:t>B-</w:t>
        </w:r>
        <w:r>
          <w:rPr>
            <w:spacing w:val="-10"/>
          </w:rPr>
          <w:t>3</w:t>
        </w:r>
      </w:hyperlink>
    </w:p>
    <w:p w:rsidR="00C31389" w:rsidRDefault="00561FBD" w14:paraId="0479BB05" w14:textId="77777777">
      <w:pPr>
        <w:pStyle w:val="BodyText"/>
        <w:spacing w:line="253" w:lineRule="exact"/>
        <w:ind w:left="479"/>
        <w:jc w:val="both"/>
      </w:pPr>
      <w:hyperlink w:history="1" w:anchor="_bookmark247">
        <w:r>
          <w:t>Table</w:t>
        </w:r>
        <w:r>
          <w:rPr>
            <w:spacing w:val="-16"/>
          </w:rPr>
          <w:t xml:space="preserve"> </w:t>
        </w:r>
        <w:r>
          <w:t>B-2.</w:t>
        </w:r>
        <w:r>
          <w:rPr>
            <w:spacing w:val="-12"/>
          </w:rPr>
          <w:t xml:space="preserve"> </w:t>
        </w:r>
        <w:r>
          <w:t>Residential</w:t>
        </w:r>
        <w:r>
          <w:rPr>
            <w:spacing w:val="-12"/>
          </w:rPr>
          <w:t xml:space="preserve"> </w:t>
        </w:r>
        <w:r>
          <w:t>Heat</w:t>
        </w:r>
        <w:r>
          <w:rPr>
            <w:spacing w:val="-11"/>
          </w:rPr>
          <w:t xml:space="preserve"> </w:t>
        </w:r>
        <w:r>
          <w:t>Pump</w:t>
        </w:r>
        <w:r>
          <w:rPr>
            <w:spacing w:val="-11"/>
          </w:rPr>
          <w:t xml:space="preserve"> </w:t>
        </w:r>
        <w:r>
          <w:t>FS</w:t>
        </w:r>
        <w:r>
          <w:rPr>
            <w:spacing w:val="-11"/>
          </w:rPr>
          <w:t xml:space="preserve"> </w:t>
        </w:r>
        <w:r>
          <w:t>Tech</w:t>
        </w:r>
        <w:r>
          <w:t>nology</w:t>
        </w:r>
        <w:r>
          <w:rPr>
            <w:spacing w:val="-11"/>
          </w:rPr>
          <w:t xml:space="preserve"> </w:t>
        </w:r>
        <w:r>
          <w:t>Groups.....................................................</w:t>
        </w:r>
        <w:r>
          <w:rPr>
            <w:spacing w:val="-36"/>
          </w:rPr>
          <w:t xml:space="preserve"> </w:t>
        </w:r>
        <w:r>
          <w:t>B-</w:t>
        </w:r>
        <w:r>
          <w:rPr>
            <w:spacing w:val="-10"/>
          </w:rPr>
          <w:t>7</w:t>
        </w:r>
      </w:hyperlink>
    </w:p>
    <w:p w:rsidR="00C31389" w:rsidRDefault="00561FBD" w14:paraId="4D086DE8" w14:textId="77777777">
      <w:pPr>
        <w:pStyle w:val="BodyText"/>
        <w:spacing w:line="253" w:lineRule="exact"/>
        <w:ind w:left="479"/>
        <w:jc w:val="both"/>
      </w:pPr>
      <w:hyperlink w:history="1" w:anchor="_bookmark250">
        <w:r>
          <w:t>Table</w:t>
        </w:r>
        <w:r>
          <w:rPr>
            <w:spacing w:val="-16"/>
          </w:rPr>
          <w:t xml:space="preserve"> </w:t>
        </w:r>
        <w:r>
          <w:t>B-3.</w:t>
        </w:r>
        <w:r>
          <w:rPr>
            <w:spacing w:val="-14"/>
          </w:rPr>
          <w:t xml:space="preserve"> </w:t>
        </w:r>
        <w:r>
          <w:t>Whole</w:t>
        </w:r>
        <w:r>
          <w:rPr>
            <w:spacing w:val="-9"/>
          </w:rPr>
          <w:t xml:space="preserve"> </w:t>
        </w:r>
        <w:r>
          <w:t>Systems</w:t>
        </w:r>
        <w:r>
          <w:rPr>
            <w:spacing w:val="-9"/>
          </w:rPr>
          <w:t xml:space="preserve"> </w:t>
        </w:r>
        <w:r>
          <w:t>as</w:t>
        </w:r>
        <w:r>
          <w:rPr>
            <w:spacing w:val="-9"/>
          </w:rPr>
          <w:t xml:space="preserve"> </w:t>
        </w:r>
        <w:r>
          <w:t>a</w:t>
        </w:r>
        <w:r>
          <w:rPr>
            <w:spacing w:val="-10"/>
          </w:rPr>
          <w:t xml:space="preserve"> </w:t>
        </w:r>
        <w:r>
          <w:t>Percentage</w:t>
        </w:r>
        <w:r>
          <w:rPr>
            <w:spacing w:val="-9"/>
          </w:rPr>
          <w:t xml:space="preserve"> </w:t>
        </w:r>
        <w:r>
          <w:t>of</w:t>
        </w:r>
        <w:r>
          <w:rPr>
            <w:spacing w:val="-10"/>
          </w:rPr>
          <w:t xml:space="preserve"> </w:t>
        </w:r>
        <w:r>
          <w:t>All</w:t>
        </w:r>
        <w:r>
          <w:rPr>
            <w:spacing w:val="-9"/>
          </w:rPr>
          <w:t xml:space="preserve"> </w:t>
        </w:r>
        <w:r>
          <w:t>Sales</w:t>
        </w:r>
        <w:r>
          <w:rPr>
            <w:spacing w:val="-16"/>
          </w:rPr>
          <w:t xml:space="preserve"> </w:t>
        </w:r>
        <w:r>
          <w:t>........................................................</w:t>
        </w:r>
        <w:r>
          <w:rPr>
            <w:spacing w:val="-36"/>
          </w:rPr>
          <w:t xml:space="preserve"> </w:t>
        </w:r>
        <w:r>
          <w:t>B-</w:t>
        </w:r>
        <w:r>
          <w:rPr>
            <w:spacing w:val="-10"/>
          </w:rPr>
          <w:t>8</w:t>
        </w:r>
      </w:hyperlink>
    </w:p>
    <w:p w:rsidR="00C31389" w:rsidRDefault="00561FBD" w14:paraId="576D34DF" w14:textId="77777777">
      <w:pPr>
        <w:pStyle w:val="BodyText"/>
        <w:ind w:left="479" w:right="534"/>
        <w:jc w:val="both"/>
      </w:pPr>
      <w:hyperlink w:history="1" w:anchor="_bookmark251">
        <w:r>
          <w:t>Table</w:t>
        </w:r>
        <w:r>
          <w:rPr>
            <w:spacing w:val="-16"/>
          </w:rPr>
          <w:t xml:space="preserve"> </w:t>
        </w:r>
        <w:r>
          <w:t>B-4.</w:t>
        </w:r>
        <w:r>
          <w:rPr>
            <w:spacing w:val="-15"/>
          </w:rPr>
          <w:t xml:space="preserve"> </w:t>
        </w:r>
        <w:r>
          <w:t>EULs</w:t>
        </w:r>
        <w:r>
          <w:rPr>
            <w:spacing w:val="-2"/>
          </w:rPr>
          <w:t xml:space="preserve"> </w:t>
        </w:r>
        <w:r>
          <w:t>by Climate Region and Equipment Type</w:t>
        </w:r>
        <w:r>
          <w:rPr>
            <w:spacing w:val="-16"/>
          </w:rPr>
          <w:t xml:space="preserve"> </w:t>
        </w:r>
        <w:r>
          <w:t>......................................................</w:t>
        </w:r>
        <w:r>
          <w:rPr>
            <w:spacing w:val="-15"/>
          </w:rPr>
          <w:t xml:space="preserve"> </w:t>
        </w:r>
        <w:r>
          <w:t>B-9</w:t>
        </w:r>
      </w:hyperlink>
      <w:r>
        <w:t xml:space="preserve"> </w:t>
      </w:r>
      <w:hyperlink w:history="1" w:anchor="_bookmark255">
        <w:r>
          <w:t>Table</w:t>
        </w:r>
        <w:r>
          <w:rPr>
            <w:spacing w:val="-4"/>
          </w:rPr>
          <w:t xml:space="preserve"> </w:t>
        </w:r>
        <w:r>
          <w:t>B-5.</w:t>
        </w:r>
        <w:r>
          <w:rPr>
            <w:spacing w:val="-4"/>
          </w:rPr>
          <w:t xml:space="preserve"> </w:t>
        </w:r>
        <w:r>
          <w:t>Distribution</w:t>
        </w:r>
        <w:r>
          <w:rPr>
            <w:spacing w:val="-5"/>
          </w:rPr>
          <w:t xml:space="preserve"> </w:t>
        </w:r>
        <w:r>
          <w:t>of</w:t>
        </w:r>
        <w:r>
          <w:rPr>
            <w:spacing w:val="-4"/>
          </w:rPr>
          <w:t xml:space="preserve"> </w:t>
        </w:r>
        <w:r>
          <w:t>HVAC</w:t>
        </w:r>
        <w:r>
          <w:rPr>
            <w:spacing w:val="-5"/>
          </w:rPr>
          <w:t xml:space="preserve"> </w:t>
        </w:r>
        <w:r>
          <w:t>Replacements</w:t>
        </w:r>
        <w:r>
          <w:rPr>
            <w:spacing w:val="-5"/>
          </w:rPr>
          <w:t xml:space="preserve"> </w:t>
        </w:r>
        <w:r>
          <w:t>by</w:t>
        </w:r>
        <w:r>
          <w:rPr>
            <w:spacing w:val="-4"/>
          </w:rPr>
          <w:t xml:space="preserve"> </w:t>
        </w:r>
        <w:r>
          <w:t>System</w:t>
        </w:r>
        <w:r>
          <w:rPr>
            <w:spacing w:val="-5"/>
          </w:rPr>
          <w:t xml:space="preserve"> </w:t>
        </w:r>
        <w:r>
          <w:t>Component</w:t>
        </w:r>
        <w:r>
          <w:rPr>
            <w:spacing w:val="-3"/>
          </w:rPr>
          <w:t xml:space="preserve"> </w:t>
        </w:r>
        <w:r>
          <w:t>and</w:t>
        </w:r>
        <w:r>
          <w:rPr>
            <w:spacing w:val="-4"/>
          </w:rPr>
          <w:t xml:space="preserve"> </w:t>
        </w:r>
        <w:r>
          <w:t>Climate</w:t>
        </w:r>
        <w:r>
          <w:rPr>
            <w:spacing w:val="-4"/>
          </w:rPr>
          <w:t xml:space="preserve"> </w:t>
        </w:r>
        <w:r>
          <w:t>RegionB-11</w:t>
        </w:r>
      </w:hyperlink>
      <w:r>
        <w:t xml:space="preserve"> </w:t>
      </w:r>
      <w:hyperlink w:history="1" w:anchor="_bookmark257">
        <w:r>
          <w:t>Table</w:t>
        </w:r>
        <w:r>
          <w:rPr>
            <w:spacing w:val="-16"/>
          </w:rPr>
          <w:t xml:space="preserve"> </w:t>
        </w:r>
        <w:r>
          <w:t>B-6.</w:t>
        </w:r>
        <w:r>
          <w:rPr>
            <w:spacing w:val="-3"/>
          </w:rPr>
          <w:t xml:space="preserve"> </w:t>
        </w:r>
        <w:r>
          <w:t>Component EUL</w:t>
        </w:r>
        <w:r>
          <w:rPr>
            <w:spacing w:val="-1"/>
          </w:rPr>
          <w:t xml:space="preserve"> </w:t>
        </w:r>
        <w:r>
          <w:t>Comparison</w:t>
        </w:r>
        <w:r>
          <w:rPr>
            <w:spacing w:val="-1"/>
          </w:rPr>
          <w:t xml:space="preserve"> </w:t>
        </w:r>
        <w:r>
          <w:t>and</w:t>
        </w:r>
        <w:r>
          <w:rPr>
            <w:spacing w:val="-1"/>
          </w:rPr>
          <w:t xml:space="preserve"> </w:t>
        </w:r>
        <w:r>
          <w:t>Probability</w:t>
        </w:r>
        <w:r>
          <w:rPr>
            <w:spacing w:val="-1"/>
          </w:rPr>
          <w:t xml:space="preserve"> </w:t>
        </w:r>
        <w:r>
          <w:t>of</w:t>
        </w:r>
        <w:r>
          <w:rPr>
            <w:spacing w:val="-2"/>
          </w:rPr>
          <w:t xml:space="preserve"> </w:t>
        </w:r>
        <w:r>
          <w:t>System</w:t>
        </w:r>
        <w:r>
          <w:rPr>
            <w:spacing w:val="-2"/>
          </w:rPr>
          <w:t xml:space="preserve"> </w:t>
        </w:r>
        <w:r>
          <w:t>Replacement</w:t>
        </w:r>
        <w:r>
          <w:rPr>
            <w:spacing w:val="-1"/>
          </w:rPr>
          <w:t xml:space="preserve"> </w:t>
        </w:r>
        <w:r>
          <w:t>Alignment..</w:t>
        </w:r>
        <w:r>
          <w:rPr>
            <w:spacing w:val="-16"/>
          </w:rPr>
          <w:t xml:space="preserve"> </w:t>
        </w:r>
        <w:r>
          <w:t>B-</w:t>
        </w:r>
      </w:hyperlink>
      <w:r>
        <w:t xml:space="preserve"> </w:t>
      </w:r>
      <w:r>
        <w:rPr>
          <w:spacing w:val="-6"/>
        </w:rPr>
        <w:t>12</w:t>
      </w:r>
    </w:p>
    <w:p w:rsidR="00C31389" w:rsidRDefault="00561FBD" w14:paraId="139235D1" w14:textId="77777777">
      <w:pPr>
        <w:pStyle w:val="BodyText"/>
        <w:spacing w:before="1" w:line="253" w:lineRule="exact"/>
        <w:ind w:left="479"/>
        <w:jc w:val="both"/>
      </w:pPr>
      <w:hyperlink w:history="1" w:anchor="_bookmark258">
        <w:r>
          <w:t>Table</w:t>
        </w:r>
        <w:r>
          <w:rPr>
            <w:spacing w:val="-16"/>
          </w:rPr>
          <w:t xml:space="preserve"> </w:t>
        </w:r>
        <w:r>
          <w:t>B-7.</w:t>
        </w:r>
        <w:r>
          <w:rPr>
            <w:spacing w:val="-15"/>
          </w:rPr>
          <w:t xml:space="preserve"> </w:t>
        </w:r>
        <w:r>
          <w:t>Probable</w:t>
        </w:r>
        <w:r>
          <w:rPr>
            <w:spacing w:val="-13"/>
          </w:rPr>
          <w:t xml:space="preserve"> </w:t>
        </w:r>
        <w:r>
          <w:t>Project</w:t>
        </w:r>
        <w:r>
          <w:rPr>
            <w:spacing w:val="-12"/>
          </w:rPr>
          <w:t xml:space="preserve"> </w:t>
        </w:r>
        <w:r>
          <w:t>Type</w:t>
        </w:r>
        <w:r>
          <w:rPr>
            <w:spacing w:val="-13"/>
          </w:rPr>
          <w:t xml:space="preserve"> </w:t>
        </w:r>
        <w:r>
          <w:t>by</w:t>
        </w:r>
        <w:r>
          <w:rPr>
            <w:spacing w:val="-14"/>
          </w:rPr>
          <w:t xml:space="preserve"> </w:t>
        </w:r>
        <w:r>
          <w:t>Region.........................................................................</w:t>
        </w:r>
        <w:r>
          <w:rPr>
            <w:spacing w:val="-38"/>
          </w:rPr>
          <w:t xml:space="preserve"> </w:t>
        </w:r>
        <w:r>
          <w:t>B-</w:t>
        </w:r>
        <w:r>
          <w:rPr>
            <w:spacing w:val="-5"/>
          </w:rPr>
          <w:t>12</w:t>
        </w:r>
      </w:hyperlink>
    </w:p>
    <w:p w:rsidR="00C31389" w:rsidRDefault="00561FBD" w14:paraId="6B274E7E" w14:textId="77777777">
      <w:pPr>
        <w:pStyle w:val="BodyText"/>
        <w:spacing w:line="253" w:lineRule="exact"/>
        <w:ind w:left="479"/>
        <w:jc w:val="both"/>
      </w:pPr>
      <w:hyperlink w:history="1" w:anchor="_bookmark260">
        <w:r>
          <w:t>Table</w:t>
        </w:r>
        <w:r>
          <w:rPr>
            <w:spacing w:val="-8"/>
          </w:rPr>
          <w:t xml:space="preserve"> </w:t>
        </w:r>
        <w:r>
          <w:t>B-8.</w:t>
        </w:r>
        <w:r>
          <w:rPr>
            <w:spacing w:val="-7"/>
          </w:rPr>
          <w:t xml:space="preserve"> </w:t>
        </w:r>
        <w:r>
          <w:t>System</w:t>
        </w:r>
        <w:r>
          <w:rPr>
            <w:spacing w:val="-8"/>
          </w:rPr>
          <w:t xml:space="preserve"> </w:t>
        </w:r>
        <w:r>
          <w:t>vs.</w:t>
        </w:r>
        <w:r>
          <w:rPr>
            <w:spacing w:val="-8"/>
          </w:rPr>
          <w:t xml:space="preserve"> </w:t>
        </w:r>
        <w:r>
          <w:t>Component</w:t>
        </w:r>
        <w:r>
          <w:rPr>
            <w:spacing w:val="-7"/>
          </w:rPr>
          <w:t xml:space="preserve"> </w:t>
        </w:r>
        <w:r>
          <w:t>Replacements</w:t>
        </w:r>
        <w:r>
          <w:rPr>
            <w:spacing w:val="-8"/>
          </w:rPr>
          <w:t xml:space="preserve"> </w:t>
        </w:r>
        <w:r>
          <w:t>for</w:t>
        </w:r>
        <w:r>
          <w:rPr>
            <w:spacing w:val="-7"/>
          </w:rPr>
          <w:t xml:space="preserve"> </w:t>
        </w:r>
        <w:r>
          <w:t>Residential</w:t>
        </w:r>
        <w:r>
          <w:rPr>
            <w:spacing w:val="-7"/>
          </w:rPr>
          <w:t xml:space="preserve"> </w:t>
        </w:r>
        <w:r>
          <w:t>HVAC</w:t>
        </w:r>
        <w:r>
          <w:rPr>
            <w:spacing w:val="-7"/>
          </w:rPr>
          <w:t xml:space="preserve"> </w:t>
        </w:r>
        <w:r>
          <w:t>FS</w:t>
        </w:r>
        <w:r>
          <w:rPr>
            <w:spacing w:val="-7"/>
          </w:rPr>
          <w:t xml:space="preserve"> </w:t>
        </w:r>
        <w:r>
          <w:t>by</w:t>
        </w:r>
        <w:r>
          <w:rPr>
            <w:spacing w:val="-7"/>
          </w:rPr>
          <w:t xml:space="preserve"> </w:t>
        </w:r>
        <w:r>
          <w:t>Climate</w:t>
        </w:r>
        <w:r>
          <w:rPr>
            <w:spacing w:val="-8"/>
          </w:rPr>
          <w:t xml:space="preserve"> </w:t>
        </w:r>
        <w:r>
          <w:rPr>
            <w:spacing w:val="-2"/>
          </w:rPr>
          <w:t>Region</w:t>
        </w:r>
      </w:hyperlink>
    </w:p>
    <w:p w:rsidR="00C31389" w:rsidRDefault="00561FBD" w14:paraId="5DFB211F" w14:textId="77777777">
      <w:pPr>
        <w:pStyle w:val="BodyText"/>
        <w:ind w:left="508"/>
        <w:jc w:val="both"/>
      </w:pPr>
      <w:hyperlink w:history="1" w:anchor="_bookmark260">
        <w:r>
          <w:rPr>
            <w:spacing w:val="-2"/>
          </w:rPr>
          <w:t>...............................................................................................................................................</w:t>
        </w:r>
        <w:r>
          <w:rPr>
            <w:spacing w:val="48"/>
          </w:rPr>
          <w:t xml:space="preserve">  </w:t>
        </w:r>
        <w:r>
          <w:rPr>
            <w:spacing w:val="-2"/>
          </w:rPr>
          <w:t>B-</w:t>
        </w:r>
        <w:r>
          <w:rPr>
            <w:spacing w:val="-5"/>
          </w:rPr>
          <w:t>13</w:t>
        </w:r>
      </w:hyperlink>
    </w:p>
    <w:p w:rsidR="00C31389" w:rsidRDefault="00561FBD" w14:paraId="06328B17" w14:textId="77777777">
      <w:pPr>
        <w:pStyle w:val="BodyText"/>
        <w:ind w:left="479" w:right="565" w:hanging="1"/>
        <w:jc w:val="both"/>
      </w:pPr>
      <w:hyperlink w:history="1" w:anchor="_bookmark266">
        <w:r>
          <w:t>Table B-9. Normalization of Energy Consumption for Commercial Water Heaters – Illustrative</w:t>
        </w:r>
      </w:hyperlink>
      <w:r>
        <w:t xml:space="preserve"> </w:t>
      </w:r>
      <w:hyperlink w:history="1" w:anchor="_bookmark266">
        <w:r>
          <w:rPr>
            <w:spacing w:val="-2"/>
          </w:rPr>
          <w:t>Example</w:t>
        </w:r>
        <w:r>
          <w:rPr>
            <w:spacing w:val="51"/>
            <w:w w:val="150"/>
          </w:rPr>
          <w:t xml:space="preserve"> </w:t>
        </w:r>
        <w:r>
          <w:rPr>
            <w:spacing w:val="-2"/>
          </w:rPr>
          <w:t>.................................................................................................................................</w:t>
        </w:r>
        <w:r>
          <w:rPr>
            <w:spacing w:val="29"/>
          </w:rPr>
          <w:t xml:space="preserve"> </w:t>
        </w:r>
        <w:r>
          <w:rPr>
            <w:spacing w:val="-2"/>
          </w:rPr>
          <w:t>B-</w:t>
        </w:r>
        <w:r>
          <w:rPr>
            <w:spacing w:val="-5"/>
          </w:rPr>
          <w:t>15</w:t>
        </w:r>
      </w:hyperlink>
    </w:p>
    <w:p w:rsidR="00C31389" w:rsidRDefault="00561FBD" w14:paraId="5C0EA940" w14:textId="77777777">
      <w:pPr>
        <w:pStyle w:val="BodyText"/>
        <w:spacing w:before="1" w:line="253" w:lineRule="exact"/>
        <w:ind w:left="479"/>
      </w:pPr>
      <w:hyperlink w:history="1" w:anchor="_bookmark271">
        <w:r>
          <w:t>Table</w:t>
        </w:r>
        <w:r>
          <w:rPr>
            <w:spacing w:val="-14"/>
          </w:rPr>
          <w:t xml:space="preserve"> </w:t>
        </w:r>
        <w:r>
          <w:t>B-10.</w:t>
        </w:r>
        <w:r>
          <w:rPr>
            <w:spacing w:val="-10"/>
          </w:rPr>
          <w:t xml:space="preserve"> </w:t>
        </w:r>
        <w:r>
          <w:t>Cost</w:t>
        </w:r>
        <w:r>
          <w:rPr>
            <w:spacing w:val="-10"/>
          </w:rPr>
          <w:t xml:space="preserve"> </w:t>
        </w:r>
        <w:r>
          <w:t>Multipliers</w:t>
        </w:r>
        <w:r>
          <w:rPr>
            <w:spacing w:val="-9"/>
          </w:rPr>
          <w:t xml:space="preserve"> </w:t>
        </w:r>
        <w:r>
          <w:t>for</w:t>
        </w:r>
        <w:r>
          <w:rPr>
            <w:spacing w:val="-10"/>
          </w:rPr>
          <w:t xml:space="preserve"> </w:t>
        </w:r>
        <w:r>
          <w:t>Heat</w:t>
        </w:r>
        <w:r>
          <w:rPr>
            <w:spacing w:val="-10"/>
          </w:rPr>
          <w:t xml:space="preserve"> </w:t>
        </w:r>
        <w:r>
          <w:t>Pump</w:t>
        </w:r>
        <w:r>
          <w:rPr>
            <w:spacing w:val="-10"/>
          </w:rPr>
          <w:t xml:space="preserve"> </w:t>
        </w:r>
        <w:r>
          <w:t>Water</w:t>
        </w:r>
        <w:r>
          <w:rPr>
            <w:spacing w:val="-9"/>
          </w:rPr>
          <w:t xml:space="preserve"> </w:t>
        </w:r>
        <w:r>
          <w:t>Heaters</w:t>
        </w:r>
        <w:r>
          <w:rPr>
            <w:spacing w:val="-11"/>
          </w:rPr>
          <w:t xml:space="preserve"> </w:t>
        </w:r>
        <w:r>
          <w:t>..................................................</w:t>
        </w:r>
        <w:r>
          <w:rPr>
            <w:spacing w:val="-36"/>
          </w:rPr>
          <w:t xml:space="preserve"> </w:t>
        </w:r>
        <w:r>
          <w:t>B-</w:t>
        </w:r>
        <w:r>
          <w:rPr>
            <w:spacing w:val="-5"/>
          </w:rPr>
          <w:t>17</w:t>
        </w:r>
      </w:hyperlink>
    </w:p>
    <w:p w:rsidR="00C31389" w:rsidRDefault="00561FBD" w14:paraId="397FE96C" w14:textId="77777777">
      <w:pPr>
        <w:pStyle w:val="BodyText"/>
        <w:spacing w:line="253" w:lineRule="exact"/>
        <w:ind w:left="479"/>
      </w:pPr>
      <w:hyperlink w:history="1" w:anchor="_bookmark278">
        <w:r>
          <w:t>Table</w:t>
        </w:r>
        <w:r>
          <w:rPr>
            <w:spacing w:val="-9"/>
          </w:rPr>
          <w:t xml:space="preserve"> </w:t>
        </w:r>
        <w:r>
          <w:t>C-1.</w:t>
        </w:r>
        <w:r>
          <w:rPr>
            <w:spacing w:val="-9"/>
          </w:rPr>
          <w:t xml:space="preserve"> </w:t>
        </w:r>
        <w:r>
          <w:t>Key</w:t>
        </w:r>
        <w:r>
          <w:rPr>
            <w:spacing w:val="-9"/>
          </w:rPr>
          <w:t xml:space="preserve"> </w:t>
        </w:r>
        <w:r>
          <w:t>Data</w:t>
        </w:r>
        <w:r>
          <w:rPr>
            <w:spacing w:val="-9"/>
          </w:rPr>
          <w:t xml:space="preserve"> </w:t>
        </w:r>
        <w:r>
          <w:t>Sources</w:t>
        </w:r>
        <w:r>
          <w:rPr>
            <w:spacing w:val="-9"/>
          </w:rPr>
          <w:t xml:space="preserve"> </w:t>
        </w:r>
        <w:r>
          <w:t>Included</w:t>
        </w:r>
        <w:r>
          <w:rPr>
            <w:spacing w:val="-9"/>
          </w:rPr>
          <w:t xml:space="preserve"> </w:t>
        </w:r>
        <w:r>
          <w:t>in</w:t>
        </w:r>
        <w:r>
          <w:rPr>
            <w:spacing w:val="-9"/>
          </w:rPr>
          <w:t xml:space="preserve"> </w:t>
        </w:r>
        <w:r>
          <w:t>this</w:t>
        </w:r>
        <w:r>
          <w:rPr>
            <w:spacing w:val="-9"/>
          </w:rPr>
          <w:t xml:space="preserve"> </w:t>
        </w:r>
        <w:r>
          <w:t>Review</w:t>
        </w:r>
        <w:r>
          <w:rPr>
            <w:spacing w:val="-11"/>
          </w:rPr>
          <w:t xml:space="preserve"> </w:t>
        </w:r>
        <w:r>
          <w:t>..........................................................C-</w:t>
        </w:r>
        <w:r>
          <w:rPr>
            <w:spacing w:val="-5"/>
          </w:rPr>
          <w:t>20</w:t>
        </w:r>
      </w:hyperlink>
    </w:p>
    <w:p w:rsidR="00C31389" w:rsidRDefault="00561FBD" w14:paraId="7B2AA0A8" w14:textId="77777777">
      <w:pPr>
        <w:pStyle w:val="BodyText"/>
        <w:spacing w:line="253" w:lineRule="exact"/>
        <w:ind w:left="479"/>
      </w:pPr>
      <w:hyperlink w:history="1" w:anchor="_bookmark281">
        <w:r>
          <w:rPr>
            <w:spacing w:val="-2"/>
          </w:rPr>
          <w:t>Table</w:t>
        </w:r>
        <w:r>
          <w:rPr>
            <w:spacing w:val="27"/>
          </w:rPr>
          <w:t xml:space="preserve"> </w:t>
        </w:r>
        <w:r>
          <w:rPr>
            <w:spacing w:val="-2"/>
          </w:rPr>
          <w:t>C-2.</w:t>
        </w:r>
        <w:r>
          <w:rPr>
            <w:spacing w:val="27"/>
          </w:rPr>
          <w:t xml:space="preserve"> </w:t>
        </w:r>
        <w:r>
          <w:rPr>
            <w:spacing w:val="-2"/>
          </w:rPr>
          <w:t>Summary</w:t>
        </w:r>
        <w:r>
          <w:rPr>
            <w:spacing w:val="27"/>
          </w:rPr>
          <w:t xml:space="preserve"> </w:t>
        </w:r>
        <w:r>
          <w:rPr>
            <w:spacing w:val="-2"/>
          </w:rPr>
          <w:t>of</w:t>
        </w:r>
        <w:r>
          <w:rPr>
            <w:spacing w:val="27"/>
          </w:rPr>
          <w:t xml:space="preserve"> </w:t>
        </w:r>
        <w:r>
          <w:rPr>
            <w:spacing w:val="-2"/>
          </w:rPr>
          <w:t>Upgrade</w:t>
        </w:r>
        <w:r>
          <w:rPr>
            <w:spacing w:val="28"/>
          </w:rPr>
          <w:t xml:space="preserve"> </w:t>
        </w:r>
        <w:r>
          <w:rPr>
            <w:spacing w:val="-2"/>
          </w:rPr>
          <w:t>Costs</w:t>
        </w:r>
        <w:r>
          <w:rPr>
            <w:spacing w:val="-32"/>
          </w:rPr>
          <w:t xml:space="preserve"> </w:t>
        </w:r>
        <w:r>
          <w:rPr>
            <w:spacing w:val="-2"/>
          </w:rPr>
          <w:t>.................................................................................C-</w:t>
        </w:r>
        <w:r>
          <w:rPr>
            <w:spacing w:val="-5"/>
          </w:rPr>
          <w:t>22</w:t>
        </w:r>
      </w:hyperlink>
    </w:p>
    <w:p w:rsidR="00C31389" w:rsidRDefault="00561FBD" w14:paraId="2D6257BA" w14:textId="77777777">
      <w:pPr>
        <w:pStyle w:val="BodyText"/>
        <w:spacing w:line="253" w:lineRule="exact"/>
        <w:ind w:left="479"/>
      </w:pPr>
      <w:hyperlink w:history="1" w:anchor="_bookmark285">
        <w:r>
          <w:t>Table</w:t>
        </w:r>
        <w:r>
          <w:rPr>
            <w:spacing w:val="-16"/>
          </w:rPr>
          <w:t xml:space="preserve"> </w:t>
        </w:r>
        <w:r>
          <w:t>C-3.</w:t>
        </w:r>
        <w:r>
          <w:rPr>
            <w:spacing w:val="-15"/>
          </w:rPr>
          <w:t xml:space="preserve"> </w:t>
        </w:r>
        <w:r>
          <w:t>Electrical</w:t>
        </w:r>
        <w:r>
          <w:rPr>
            <w:spacing w:val="-14"/>
          </w:rPr>
          <w:t xml:space="preserve"> </w:t>
        </w:r>
        <w:r>
          <w:t>Panel</w:t>
        </w:r>
        <w:r>
          <w:rPr>
            <w:spacing w:val="-12"/>
          </w:rPr>
          <w:t xml:space="preserve"> </w:t>
        </w:r>
        <w:r>
          <w:t>Capacity</w:t>
        </w:r>
        <w:r>
          <w:rPr>
            <w:spacing w:val="-13"/>
          </w:rPr>
          <w:t xml:space="preserve"> </w:t>
        </w:r>
        <w:r>
          <w:t>by</w:t>
        </w:r>
        <w:r>
          <w:rPr>
            <w:spacing w:val="-11"/>
          </w:rPr>
          <w:t xml:space="preserve"> </w:t>
        </w:r>
        <w:r>
          <w:t>County</w:t>
        </w:r>
        <w:r>
          <w:rPr>
            <w:spacing w:val="-16"/>
          </w:rPr>
          <w:t xml:space="preserve"> </w:t>
        </w:r>
        <w:r>
          <w:t>....................................................................C-</w:t>
        </w:r>
        <w:r>
          <w:rPr>
            <w:spacing w:val="-5"/>
          </w:rPr>
          <w:t>24</w:t>
        </w:r>
      </w:hyperlink>
    </w:p>
    <w:p w:rsidR="00C31389" w:rsidRDefault="00561FBD" w14:paraId="30CC3670" w14:textId="77777777">
      <w:pPr>
        <w:pStyle w:val="BodyText"/>
        <w:ind w:left="479" w:right="564"/>
        <w:jc w:val="both"/>
      </w:pPr>
      <w:hyperlink w:history="1" w:anchor="_bookmark286">
        <w:r>
          <w:t>Table</w:t>
        </w:r>
        <w:r>
          <w:rPr>
            <w:spacing w:val="-16"/>
          </w:rPr>
          <w:t xml:space="preserve"> </w:t>
        </w:r>
        <w:r>
          <w:t>C-4.</w:t>
        </w:r>
        <w:r>
          <w:rPr>
            <w:spacing w:val="-12"/>
          </w:rPr>
          <w:t xml:space="preserve"> </w:t>
        </w:r>
        <w:r>
          <w:t>TECH</w:t>
        </w:r>
        <w:r>
          <w:rPr>
            <w:spacing w:val="-3"/>
          </w:rPr>
          <w:t xml:space="preserve"> </w:t>
        </w:r>
        <w:r>
          <w:t>Program</w:t>
        </w:r>
        <w:r>
          <w:rPr>
            <w:spacing w:val="-3"/>
          </w:rPr>
          <w:t xml:space="preserve"> </w:t>
        </w:r>
        <w:r>
          <w:t>Tracking</w:t>
        </w:r>
        <w:r>
          <w:rPr>
            <w:spacing w:val="-2"/>
          </w:rPr>
          <w:t xml:space="preserve"> </w:t>
        </w:r>
        <w:r>
          <w:t>Data</w:t>
        </w:r>
        <w:r>
          <w:rPr>
            <w:spacing w:val="-2"/>
          </w:rPr>
          <w:t xml:space="preserve"> </w:t>
        </w:r>
        <w:r>
          <w:t>–</w:t>
        </w:r>
        <w:r>
          <w:rPr>
            <w:spacing w:val="-2"/>
          </w:rPr>
          <w:t xml:space="preserve"> </w:t>
        </w:r>
        <w:r>
          <w:t>downloaded</w:t>
        </w:r>
        <w:r>
          <w:rPr>
            <w:spacing w:val="-2"/>
          </w:rPr>
          <w:t xml:space="preserve"> </w:t>
        </w:r>
        <w:r>
          <w:t>09/23/2022</w:t>
        </w:r>
        <w:r>
          <w:rPr>
            <w:spacing w:val="-16"/>
          </w:rPr>
          <w:t xml:space="preserve"> </w:t>
        </w:r>
        <w:r>
          <w:t>...................................C-24</w:t>
        </w:r>
      </w:hyperlink>
      <w:r>
        <w:t xml:space="preserve"> </w:t>
      </w:r>
      <w:hyperlink w:history="1" w:anchor="_bookmark287">
        <w:r>
          <w:t>Table</w:t>
        </w:r>
        <w:r>
          <w:rPr>
            <w:spacing w:val="-16"/>
          </w:rPr>
          <w:t xml:space="preserve"> </w:t>
        </w:r>
        <w:r>
          <w:t>C-5.</w:t>
        </w:r>
        <w:r>
          <w:rPr>
            <w:spacing w:val="-15"/>
          </w:rPr>
          <w:t xml:space="preserve"> </w:t>
        </w:r>
        <w:r>
          <w:t>Statewide</w:t>
        </w:r>
        <w:r>
          <w:rPr>
            <w:spacing w:val="-8"/>
          </w:rPr>
          <w:t xml:space="preserve"> </w:t>
        </w:r>
        <w:r>
          <w:t>Building</w:t>
        </w:r>
        <w:r>
          <w:rPr>
            <w:spacing w:val="-3"/>
          </w:rPr>
          <w:t xml:space="preserve"> </w:t>
        </w:r>
        <w:r>
          <w:t>Vintage</w:t>
        </w:r>
        <w:r>
          <w:rPr>
            <w:spacing w:val="-3"/>
          </w:rPr>
          <w:t xml:space="preserve"> </w:t>
        </w:r>
        <w:r>
          <w:t>–</w:t>
        </w:r>
        <w:r>
          <w:rPr>
            <w:spacing w:val="-3"/>
          </w:rPr>
          <w:t xml:space="preserve"> </w:t>
        </w:r>
        <w:r>
          <w:t>RASS</w:t>
        </w:r>
        <w:r>
          <w:rPr>
            <w:spacing w:val="80"/>
          </w:rPr>
          <w:t xml:space="preserve"> </w:t>
        </w:r>
        <w:r>
          <w:t>estimated</w:t>
        </w:r>
        <w:r>
          <w:rPr>
            <w:spacing w:val="-3"/>
          </w:rPr>
          <w:t xml:space="preserve"> </w:t>
        </w:r>
        <w:r>
          <w:t>popul</w:t>
        </w:r>
        <w:r>
          <w:t>ation</w:t>
        </w:r>
        <w:r>
          <w:rPr>
            <w:spacing w:val="-3"/>
          </w:rPr>
          <w:t xml:space="preserve"> </w:t>
        </w:r>
        <w:r>
          <w:t>data</w:t>
        </w:r>
        <w:r>
          <w:rPr>
            <w:spacing w:val="-3"/>
          </w:rPr>
          <w:t xml:space="preserve"> </w:t>
        </w:r>
        <w:r>
          <w:t>(1000s)</w:t>
        </w:r>
        <w:r>
          <w:rPr>
            <w:spacing w:val="-7"/>
          </w:rPr>
          <w:t xml:space="preserve"> </w:t>
        </w:r>
        <w:r>
          <w:t>...........</w:t>
        </w:r>
        <w:r>
          <w:rPr>
            <w:spacing w:val="-16"/>
          </w:rPr>
          <w:t xml:space="preserve"> </w:t>
        </w:r>
        <w:r>
          <w:t>C-25</w:t>
        </w:r>
      </w:hyperlink>
      <w:r>
        <w:t xml:space="preserve"> </w:t>
      </w:r>
      <w:hyperlink w:history="1" w:anchor="_bookmark289">
        <w:r>
          <w:t>Table</w:t>
        </w:r>
        <w:r>
          <w:rPr>
            <w:spacing w:val="-16"/>
          </w:rPr>
          <w:t xml:space="preserve"> </w:t>
        </w:r>
        <w:r>
          <w:t>C-6.</w:t>
        </w:r>
        <w:r>
          <w:rPr>
            <w:spacing w:val="-15"/>
          </w:rPr>
          <w:t xml:space="preserve"> </w:t>
        </w:r>
        <w:r>
          <w:t>Statewide</w:t>
        </w:r>
        <w:r>
          <w:rPr>
            <w:spacing w:val="-15"/>
          </w:rPr>
          <w:t xml:space="preserve"> </w:t>
        </w:r>
        <w:r>
          <w:t>RASS</w:t>
        </w:r>
        <w:r>
          <w:rPr>
            <w:spacing w:val="-16"/>
          </w:rPr>
          <w:t xml:space="preserve"> </w:t>
        </w:r>
        <w:r>
          <w:t>Estimated</w:t>
        </w:r>
        <w:r>
          <w:rPr>
            <w:spacing w:val="-11"/>
          </w:rPr>
          <w:t xml:space="preserve"> </w:t>
        </w:r>
        <w:r>
          <w:t>Population</w:t>
        </w:r>
        <w:r>
          <w:rPr>
            <w:spacing w:val="-3"/>
          </w:rPr>
          <w:t xml:space="preserve"> </w:t>
        </w:r>
        <w:r>
          <w:t>by</w:t>
        </w:r>
        <w:r>
          <w:rPr>
            <w:spacing w:val="-4"/>
          </w:rPr>
          <w:t xml:space="preserve"> </w:t>
        </w:r>
        <w:r>
          <w:t>Building</w:t>
        </w:r>
        <w:r>
          <w:rPr>
            <w:spacing w:val="-4"/>
          </w:rPr>
          <w:t xml:space="preserve"> </w:t>
        </w:r>
        <w:r>
          <w:t>Size</w:t>
        </w:r>
        <w:r>
          <w:rPr>
            <w:spacing w:val="-4"/>
          </w:rPr>
          <w:t xml:space="preserve"> </w:t>
        </w:r>
        <w:r>
          <w:t>(1,000s)</w:t>
        </w:r>
        <w:r>
          <w:rPr>
            <w:spacing w:val="-16"/>
          </w:rPr>
          <w:t xml:space="preserve"> </w:t>
        </w:r>
        <w:r>
          <w:t>.......................</w:t>
        </w:r>
        <w:r>
          <w:rPr>
            <w:spacing w:val="-15"/>
          </w:rPr>
          <w:t xml:space="preserve"> </w:t>
        </w:r>
        <w:r>
          <w:t>C-26</w:t>
        </w:r>
      </w:hyperlink>
      <w:r>
        <w:t xml:space="preserve"> </w:t>
      </w:r>
      <w:hyperlink w:history="1" w:anchor="_bookmark291">
        <w:r>
          <w:t>Table</w:t>
        </w:r>
        <w:r>
          <w:rPr>
            <w:spacing w:val="-16"/>
          </w:rPr>
          <w:t xml:space="preserve"> </w:t>
        </w:r>
        <w:r>
          <w:t>C-7.</w:t>
        </w:r>
        <w:r>
          <w:rPr>
            <w:spacing w:val="-13"/>
          </w:rPr>
          <w:t xml:space="preserve"> </w:t>
        </w:r>
        <w:r>
          <w:t>Summary</w:t>
        </w:r>
        <w:r>
          <w:rPr>
            <w:spacing w:val="-2"/>
          </w:rPr>
          <w:t xml:space="preserve"> </w:t>
        </w:r>
        <w:r>
          <w:t>of</w:t>
        </w:r>
        <w:r>
          <w:rPr>
            <w:spacing w:val="-2"/>
          </w:rPr>
          <w:t xml:space="preserve"> </w:t>
        </w:r>
        <w:r>
          <w:t>Panel</w:t>
        </w:r>
        <w:r>
          <w:rPr>
            <w:spacing w:val="-2"/>
          </w:rPr>
          <w:t xml:space="preserve"> </w:t>
        </w:r>
        <w:r>
          <w:t>Upgrade</w:t>
        </w:r>
        <w:r>
          <w:rPr>
            <w:spacing w:val="-2"/>
          </w:rPr>
          <w:t xml:space="preserve"> </w:t>
        </w:r>
        <w:r>
          <w:t>Necessity</w:t>
        </w:r>
        <w:r>
          <w:rPr>
            <w:spacing w:val="-2"/>
          </w:rPr>
          <w:t xml:space="preserve"> </w:t>
        </w:r>
        <w:r>
          <w:t>by</w:t>
        </w:r>
        <w:r>
          <w:rPr>
            <w:spacing w:val="-2"/>
          </w:rPr>
          <w:t xml:space="preserve"> </w:t>
        </w:r>
        <w:r>
          <w:t>Technology</w:t>
        </w:r>
        <w:r>
          <w:rPr>
            <w:spacing w:val="-16"/>
          </w:rPr>
          <w:t xml:space="preserve"> </w:t>
        </w:r>
        <w:r>
          <w:t>........................................C-27</w:t>
        </w:r>
      </w:hyperlink>
      <w:r>
        <w:t xml:space="preserve"> </w:t>
      </w:r>
      <w:hyperlink w:history="1" w:anchor="_bookmark303">
        <w:r>
          <w:t>Table</w:t>
        </w:r>
        <w:r>
          <w:rPr>
            <w:spacing w:val="-16"/>
          </w:rPr>
          <w:t xml:space="preserve"> </w:t>
        </w:r>
        <w:r>
          <w:t>D-1.</w:t>
        </w:r>
        <w:r>
          <w:rPr>
            <w:spacing w:val="-15"/>
          </w:rPr>
          <w:t xml:space="preserve"> </w:t>
        </w:r>
        <w:r>
          <w:t>HERs</w:t>
        </w:r>
        <w:r>
          <w:rPr>
            <w:spacing w:val="35"/>
          </w:rPr>
          <w:t xml:space="preserve"> </w:t>
        </w:r>
        <w:r>
          <w:t>–</w:t>
        </w:r>
        <w:r>
          <w:rPr>
            <w:spacing w:val="-13"/>
          </w:rPr>
          <w:t xml:space="preserve"> </w:t>
        </w:r>
        <w:r>
          <w:t>Key</w:t>
        </w:r>
        <w:r>
          <w:rPr>
            <w:spacing w:val="-12"/>
          </w:rPr>
          <w:t xml:space="preserve"> </w:t>
        </w:r>
        <w:r>
          <w:t>Assumptions</w:t>
        </w:r>
        <w:r>
          <w:rPr>
            <w:spacing w:val="-28"/>
          </w:rPr>
          <w:t xml:space="preserve"> </w:t>
        </w:r>
        <w:r>
          <w:t>..........................................................................</w:t>
        </w:r>
        <w:r>
          <w:t>.........D-</w:t>
        </w:r>
        <w:r>
          <w:rPr>
            <w:spacing w:val="-5"/>
          </w:rPr>
          <w:t>31</w:t>
        </w:r>
      </w:hyperlink>
    </w:p>
    <w:p w:rsidR="00C31389" w:rsidRDefault="00561FBD" w14:paraId="2551458C" w14:textId="77777777">
      <w:pPr>
        <w:pStyle w:val="BodyText"/>
        <w:ind w:left="480"/>
        <w:jc w:val="both"/>
      </w:pPr>
      <w:hyperlink w:history="1" w:anchor="_bookmark305">
        <w:r>
          <w:rPr>
            <w:spacing w:val="-2"/>
          </w:rPr>
          <w:t>Table</w:t>
        </w:r>
        <w:r>
          <w:rPr>
            <w:spacing w:val="51"/>
          </w:rPr>
          <w:t xml:space="preserve"> </w:t>
        </w:r>
        <w:r>
          <w:rPr>
            <w:spacing w:val="-2"/>
          </w:rPr>
          <w:t>D-2.</w:t>
        </w:r>
        <w:r>
          <w:rPr>
            <w:spacing w:val="51"/>
          </w:rPr>
          <w:t xml:space="preserve"> </w:t>
        </w:r>
        <w:r>
          <w:rPr>
            <w:spacing w:val="-2"/>
          </w:rPr>
          <w:t>HERs</w:t>
        </w:r>
        <w:r>
          <w:rPr>
            <w:spacing w:val="51"/>
          </w:rPr>
          <w:t xml:space="preserve"> </w:t>
        </w:r>
        <w:r>
          <w:rPr>
            <w:spacing w:val="-2"/>
          </w:rPr>
          <w:t>Bins</w:t>
        </w:r>
        <w:r>
          <w:rPr>
            <w:spacing w:val="-26"/>
          </w:rPr>
          <w:t xml:space="preserve"> </w:t>
        </w:r>
        <w:r>
          <w:rPr>
            <w:spacing w:val="-2"/>
          </w:rPr>
          <w:t>............................................................................................................D-</w:t>
        </w:r>
        <w:r>
          <w:rPr>
            <w:spacing w:val="-5"/>
          </w:rPr>
          <w:t>32</w:t>
        </w:r>
      </w:hyperlink>
    </w:p>
    <w:p w:rsidR="00C31389" w:rsidRDefault="00561FBD" w14:paraId="39E5E40D" w14:textId="77777777">
      <w:pPr>
        <w:pStyle w:val="BodyText"/>
        <w:spacing w:before="1"/>
        <w:ind w:left="480"/>
        <w:jc w:val="both"/>
      </w:pPr>
      <w:hyperlink w:history="1" w:anchor="_bookmark317">
        <w:r>
          <w:rPr>
            <w:spacing w:val="-2"/>
          </w:rPr>
          <w:t>Table</w:t>
        </w:r>
        <w:r>
          <w:rPr>
            <w:spacing w:val="25"/>
          </w:rPr>
          <w:t xml:space="preserve"> </w:t>
        </w:r>
        <w:r>
          <w:rPr>
            <w:spacing w:val="-2"/>
          </w:rPr>
          <w:t>D-3.</w:t>
        </w:r>
        <w:r>
          <w:rPr>
            <w:spacing w:val="26"/>
          </w:rPr>
          <w:t xml:space="preserve"> </w:t>
        </w:r>
        <w:r>
          <w:rPr>
            <w:spacing w:val="-2"/>
          </w:rPr>
          <w:t>UAT</w:t>
        </w:r>
        <w:r>
          <w:rPr>
            <w:spacing w:val="26"/>
          </w:rPr>
          <w:t xml:space="preserve"> </w:t>
        </w:r>
        <w:r>
          <w:rPr>
            <w:spacing w:val="-2"/>
          </w:rPr>
          <w:t>–</w:t>
        </w:r>
        <w:r>
          <w:rPr>
            <w:spacing w:val="26"/>
          </w:rPr>
          <w:t xml:space="preserve"> </w:t>
        </w:r>
        <w:r>
          <w:rPr>
            <w:spacing w:val="-2"/>
          </w:rPr>
          <w:t>Key</w:t>
        </w:r>
        <w:r>
          <w:rPr>
            <w:spacing w:val="26"/>
          </w:rPr>
          <w:t xml:space="preserve"> </w:t>
        </w:r>
        <w:r>
          <w:rPr>
            <w:spacing w:val="-2"/>
          </w:rPr>
          <w:t>Assumptions</w:t>
        </w:r>
        <w:r>
          <w:rPr>
            <w:spacing w:val="3"/>
          </w:rPr>
          <w:t xml:space="preserve"> </w:t>
        </w:r>
        <w:r>
          <w:rPr>
            <w:spacing w:val="-2"/>
          </w:rPr>
          <w:t>.............................................</w:t>
        </w:r>
        <w:r>
          <w:rPr>
            <w:spacing w:val="-2"/>
          </w:rPr>
          <w:t>.........................................D-</w:t>
        </w:r>
        <w:r>
          <w:rPr>
            <w:spacing w:val="-5"/>
          </w:rPr>
          <w:t>35</w:t>
        </w:r>
      </w:hyperlink>
    </w:p>
    <w:p w:rsidR="00C31389" w:rsidRDefault="00561FBD" w14:paraId="436A988B" w14:textId="77777777">
      <w:pPr>
        <w:pStyle w:val="BodyText"/>
        <w:spacing w:line="253" w:lineRule="exact"/>
        <w:ind w:left="480"/>
        <w:jc w:val="both"/>
      </w:pPr>
      <w:hyperlink w:history="1" w:anchor="_bookmark326">
        <w:r>
          <w:t>Table</w:t>
        </w:r>
        <w:r>
          <w:rPr>
            <w:spacing w:val="-16"/>
          </w:rPr>
          <w:t xml:space="preserve"> </w:t>
        </w:r>
        <w:r>
          <w:t>D-4.</w:t>
        </w:r>
        <w:r>
          <w:rPr>
            <w:spacing w:val="-15"/>
          </w:rPr>
          <w:t xml:space="preserve"> </w:t>
        </w:r>
        <w:r>
          <w:t>Real-Time</w:t>
        </w:r>
        <w:r>
          <w:rPr>
            <w:spacing w:val="-14"/>
          </w:rPr>
          <w:t xml:space="preserve"> </w:t>
        </w:r>
        <w:r>
          <w:t>Feedback</w:t>
        </w:r>
        <w:r>
          <w:rPr>
            <w:spacing w:val="-13"/>
          </w:rPr>
          <w:t xml:space="preserve"> </w:t>
        </w:r>
        <w:r>
          <w:t>–</w:t>
        </w:r>
        <w:r>
          <w:rPr>
            <w:spacing w:val="-12"/>
          </w:rPr>
          <w:t xml:space="preserve"> </w:t>
        </w:r>
        <w:r>
          <w:t>Key</w:t>
        </w:r>
        <w:r>
          <w:rPr>
            <w:spacing w:val="-13"/>
          </w:rPr>
          <w:t xml:space="preserve"> </w:t>
        </w:r>
        <w:r>
          <w:t>Assumptions</w:t>
        </w:r>
        <w:r>
          <w:rPr>
            <w:spacing w:val="-26"/>
          </w:rPr>
          <w:t xml:space="preserve"> </w:t>
        </w:r>
        <w:r>
          <w:t>............................................................D-</w:t>
        </w:r>
        <w:r>
          <w:rPr>
            <w:spacing w:val="-5"/>
          </w:rPr>
          <w:t>37</w:t>
        </w:r>
      </w:hyperlink>
    </w:p>
    <w:p w:rsidR="00C31389" w:rsidRDefault="00561FBD" w14:paraId="6B6AF3D2" w14:textId="77777777">
      <w:pPr>
        <w:pStyle w:val="BodyText"/>
        <w:spacing w:line="253" w:lineRule="exact"/>
        <w:ind w:left="480"/>
        <w:jc w:val="both"/>
      </w:pPr>
      <w:hyperlink w:history="1" w:anchor="_bookmark342">
        <w:r>
          <w:t>Table</w:t>
        </w:r>
        <w:r>
          <w:rPr>
            <w:spacing w:val="-12"/>
          </w:rPr>
          <w:t xml:space="preserve"> </w:t>
        </w:r>
        <w:r>
          <w:t>D-5.</w:t>
        </w:r>
        <w:r>
          <w:rPr>
            <w:spacing w:val="-12"/>
          </w:rPr>
          <w:t xml:space="preserve"> </w:t>
        </w:r>
        <w:r>
          <w:t>Residential</w:t>
        </w:r>
        <w:r>
          <w:rPr>
            <w:spacing w:val="-13"/>
          </w:rPr>
          <w:t xml:space="preserve"> </w:t>
        </w:r>
        <w:r>
          <w:t>Competitions</w:t>
        </w:r>
        <w:r>
          <w:rPr>
            <w:spacing w:val="-11"/>
          </w:rPr>
          <w:t xml:space="preserve"> </w:t>
        </w:r>
        <w:r>
          <w:t>–</w:t>
        </w:r>
        <w:r>
          <w:rPr>
            <w:spacing w:val="-12"/>
          </w:rPr>
          <w:t xml:space="preserve"> </w:t>
        </w:r>
        <w:r>
          <w:t>Key</w:t>
        </w:r>
        <w:r>
          <w:rPr>
            <w:spacing w:val="-12"/>
          </w:rPr>
          <w:t xml:space="preserve"> </w:t>
        </w:r>
        <w:r>
          <w:t>Assumptions......................................................D-</w:t>
        </w:r>
        <w:r>
          <w:rPr>
            <w:spacing w:val="-5"/>
          </w:rPr>
          <w:t>39</w:t>
        </w:r>
      </w:hyperlink>
    </w:p>
    <w:p w:rsidR="00C31389" w:rsidRDefault="00561FBD" w14:paraId="0118ABA4" w14:textId="77777777">
      <w:pPr>
        <w:pStyle w:val="BodyText"/>
        <w:ind w:left="480" w:right="564" w:hanging="1"/>
        <w:jc w:val="both"/>
      </w:pPr>
      <w:hyperlink w:history="1" w:anchor="_bookmark355">
        <w:r>
          <w:t>Table</w:t>
        </w:r>
        <w:r>
          <w:rPr>
            <w:spacing w:val="-14"/>
          </w:rPr>
          <w:t xml:space="preserve"> </w:t>
        </w:r>
        <w:r>
          <w:t>D-6.</w:t>
        </w:r>
        <w:r>
          <w:rPr>
            <w:spacing w:val="-2"/>
          </w:rPr>
          <w:t xml:space="preserve"> </w:t>
        </w:r>
        <w:r>
          <w:t>Commercial</w:t>
        </w:r>
        <w:r>
          <w:rPr>
            <w:spacing w:val="-3"/>
          </w:rPr>
          <w:t xml:space="preserve"> </w:t>
        </w:r>
        <w:r>
          <w:t>SEM-Like</w:t>
        </w:r>
        <w:r>
          <w:rPr>
            <w:spacing w:val="-3"/>
          </w:rPr>
          <w:t xml:space="preserve"> </w:t>
        </w:r>
        <w:r>
          <w:t>Programs</w:t>
        </w:r>
        <w:r>
          <w:rPr>
            <w:spacing w:val="-3"/>
          </w:rPr>
          <w:t xml:space="preserve"> </w:t>
        </w:r>
        <w:r>
          <w:t>–</w:t>
        </w:r>
        <w:r>
          <w:rPr>
            <w:spacing w:val="-3"/>
          </w:rPr>
          <w:t xml:space="preserve"> </w:t>
        </w:r>
        <w:r>
          <w:t>Key</w:t>
        </w:r>
        <w:r>
          <w:rPr>
            <w:spacing w:val="-3"/>
          </w:rPr>
          <w:t xml:space="preserve"> </w:t>
        </w:r>
        <w:r>
          <w:t>Assumptions</w:t>
        </w:r>
        <w:r>
          <w:rPr>
            <w:spacing w:val="-16"/>
          </w:rPr>
          <w:t xml:space="preserve"> </w:t>
        </w:r>
        <w:r>
          <w:t>.........................................D-42</w:t>
        </w:r>
      </w:hyperlink>
      <w:r>
        <w:t xml:space="preserve"> </w:t>
      </w:r>
      <w:hyperlink w:history="1" w:anchor="_bookmark366">
        <w:r>
          <w:t>Table</w:t>
        </w:r>
        <w:r>
          <w:rPr>
            <w:spacing w:val="-16"/>
          </w:rPr>
          <w:t xml:space="preserve"> </w:t>
        </w:r>
        <w:r>
          <w:t>D-7.</w:t>
        </w:r>
        <w:r>
          <w:rPr>
            <w:spacing w:val="-15"/>
          </w:rPr>
          <w:t xml:space="preserve"> </w:t>
        </w:r>
        <w:r>
          <w:t>Commercia</w:t>
        </w:r>
        <w:r>
          <w:t>l</w:t>
        </w:r>
        <w:r>
          <w:rPr>
            <w:spacing w:val="-14"/>
          </w:rPr>
          <w:t xml:space="preserve"> </w:t>
        </w:r>
        <w:r>
          <w:t>Building</w:t>
        </w:r>
        <w:r>
          <w:rPr>
            <w:spacing w:val="-3"/>
          </w:rPr>
          <w:t xml:space="preserve"> </w:t>
        </w:r>
        <w:r>
          <w:t>Operator</w:t>
        </w:r>
        <w:r>
          <w:rPr>
            <w:spacing w:val="-4"/>
          </w:rPr>
          <w:t xml:space="preserve"> </w:t>
        </w:r>
        <w:r>
          <w:t>Certification</w:t>
        </w:r>
        <w:r>
          <w:rPr>
            <w:spacing w:val="-4"/>
          </w:rPr>
          <w:t xml:space="preserve"> </w:t>
        </w:r>
        <w:r>
          <w:t>–</w:t>
        </w:r>
        <w:r>
          <w:rPr>
            <w:spacing w:val="-3"/>
          </w:rPr>
          <w:t xml:space="preserve"> </w:t>
        </w:r>
        <w:r>
          <w:t>Key</w:t>
        </w:r>
        <w:r>
          <w:rPr>
            <w:spacing w:val="-5"/>
          </w:rPr>
          <w:t xml:space="preserve"> </w:t>
        </w:r>
        <w:r>
          <w:t>Assumptions</w:t>
        </w:r>
        <w:r>
          <w:rPr>
            <w:spacing w:val="-16"/>
          </w:rPr>
          <w:t xml:space="preserve"> </w:t>
        </w:r>
        <w:r>
          <w:t>.........................</w:t>
        </w:r>
        <w:r>
          <w:rPr>
            <w:spacing w:val="-15"/>
          </w:rPr>
          <w:t xml:space="preserve"> </w:t>
        </w:r>
        <w:r>
          <w:t>D-44</w:t>
        </w:r>
      </w:hyperlink>
      <w:r>
        <w:t xml:space="preserve"> </w:t>
      </w:r>
      <w:hyperlink w:history="1" w:anchor="_bookmark376">
        <w:r>
          <w:t>Table</w:t>
        </w:r>
        <w:r>
          <w:rPr>
            <w:spacing w:val="-1"/>
          </w:rPr>
          <w:t xml:space="preserve"> </w:t>
        </w:r>
        <w:r>
          <w:t>D-8.</w:t>
        </w:r>
        <w:r>
          <w:rPr>
            <w:spacing w:val="-1"/>
          </w:rPr>
          <w:t xml:space="preserve"> </w:t>
        </w:r>
        <w:r>
          <w:t>Changes</w:t>
        </w:r>
        <w:r>
          <w:rPr>
            <w:spacing w:val="-1"/>
          </w:rPr>
          <w:t xml:space="preserve"> </w:t>
        </w:r>
        <w:r>
          <w:t>in</w:t>
        </w:r>
        <w:r>
          <w:rPr>
            <w:spacing w:val="-2"/>
          </w:rPr>
          <w:t xml:space="preserve"> </w:t>
        </w:r>
        <w:r>
          <w:t>UES</w:t>
        </w:r>
        <w:r>
          <w:rPr>
            <w:spacing w:val="-1"/>
          </w:rPr>
          <w:t xml:space="preserve"> </w:t>
        </w:r>
        <w:r>
          <w:t>Values</w:t>
        </w:r>
        <w:r>
          <w:rPr>
            <w:spacing w:val="-1"/>
          </w:rPr>
          <w:t xml:space="preserve"> </w:t>
        </w:r>
        <w:r>
          <w:t>for</w:t>
        </w:r>
        <w:r>
          <w:rPr>
            <w:spacing w:val="-1"/>
          </w:rPr>
          <w:t xml:space="preserve"> </w:t>
        </w:r>
        <w:r>
          <w:t>BEIMS Based</w:t>
        </w:r>
        <w:r>
          <w:rPr>
            <w:spacing w:val="-1"/>
          </w:rPr>
          <w:t xml:space="preserve"> </w:t>
        </w:r>
        <w:r>
          <w:t>on</w:t>
        </w:r>
        <w:r>
          <w:rPr>
            <w:spacing w:val="-1"/>
          </w:rPr>
          <w:t xml:space="preserve"> </w:t>
        </w:r>
        <w:r>
          <w:t>FASP...........................................D-47</w:t>
        </w:r>
      </w:hyperlink>
      <w:r>
        <w:t xml:space="preserve"> </w:t>
      </w:r>
      <w:hyperlink w:history="1" w:anchor="_bookmark377">
        <w:r>
          <w:rPr>
            <w:spacing w:val="-2"/>
          </w:rPr>
          <w:t>Table</w:t>
        </w:r>
        <w:r>
          <w:rPr>
            <w:spacing w:val="25"/>
          </w:rPr>
          <w:t xml:space="preserve"> </w:t>
        </w:r>
        <w:r>
          <w:rPr>
            <w:spacing w:val="-2"/>
          </w:rPr>
          <w:t>D-9.</w:t>
        </w:r>
        <w:r>
          <w:rPr>
            <w:spacing w:val="25"/>
          </w:rPr>
          <w:t xml:space="preserve"> </w:t>
        </w:r>
        <w:r>
          <w:rPr>
            <w:spacing w:val="-2"/>
          </w:rPr>
          <w:t>BEIMS</w:t>
        </w:r>
        <w:r>
          <w:rPr>
            <w:spacing w:val="26"/>
          </w:rPr>
          <w:t xml:space="preserve"> </w:t>
        </w:r>
        <w:r>
          <w:rPr>
            <w:spacing w:val="-2"/>
          </w:rPr>
          <w:t>–</w:t>
        </w:r>
        <w:r>
          <w:rPr>
            <w:spacing w:val="26"/>
          </w:rPr>
          <w:t xml:space="preserve"> </w:t>
        </w:r>
        <w:r>
          <w:rPr>
            <w:spacing w:val="-2"/>
          </w:rPr>
          <w:t>Key</w:t>
        </w:r>
        <w:r>
          <w:rPr>
            <w:spacing w:val="26"/>
          </w:rPr>
          <w:t xml:space="preserve"> </w:t>
        </w:r>
        <w:r>
          <w:rPr>
            <w:spacing w:val="-2"/>
          </w:rPr>
          <w:t>Assumptions</w:t>
        </w:r>
        <w:r>
          <w:rPr>
            <w:spacing w:val="1"/>
          </w:rPr>
          <w:t xml:space="preserve"> </w:t>
        </w:r>
        <w:r>
          <w:rPr>
            <w:spacing w:val="-2"/>
          </w:rPr>
          <w:t>..................................................................................D-</w:t>
        </w:r>
        <w:r>
          <w:rPr>
            <w:spacing w:val="-5"/>
          </w:rPr>
          <w:t>47</w:t>
        </w:r>
      </w:hyperlink>
    </w:p>
    <w:p w:rsidR="00C31389" w:rsidRDefault="00561FBD" w14:paraId="2A7D58DE" w14:textId="77777777">
      <w:pPr>
        <w:pStyle w:val="BodyText"/>
        <w:spacing w:line="253" w:lineRule="exact"/>
        <w:ind w:left="480"/>
        <w:jc w:val="both"/>
      </w:pPr>
      <w:hyperlink w:history="1" w:anchor="_bookmark387">
        <w:r>
          <w:rPr>
            <w:spacing w:val="-2"/>
          </w:rPr>
          <w:t>Table</w:t>
        </w:r>
        <w:r>
          <w:rPr>
            <w:spacing w:val="26"/>
          </w:rPr>
          <w:t xml:space="preserve"> </w:t>
        </w:r>
        <w:r>
          <w:rPr>
            <w:spacing w:val="-2"/>
          </w:rPr>
          <w:t>D-10.</w:t>
        </w:r>
        <w:r>
          <w:rPr>
            <w:spacing w:val="27"/>
          </w:rPr>
          <w:t xml:space="preserve"> </w:t>
        </w:r>
        <w:r>
          <w:rPr>
            <w:spacing w:val="-2"/>
          </w:rPr>
          <w:t>BEIMS</w:t>
        </w:r>
        <w:r>
          <w:rPr>
            <w:spacing w:val="28"/>
          </w:rPr>
          <w:t xml:space="preserve"> </w:t>
        </w:r>
        <w:r>
          <w:rPr>
            <w:spacing w:val="-2"/>
          </w:rPr>
          <w:t>Cost</w:t>
        </w:r>
        <w:r>
          <w:rPr>
            <w:spacing w:val="27"/>
          </w:rPr>
          <w:t xml:space="preserve"> </w:t>
        </w:r>
        <w:r>
          <w:rPr>
            <w:spacing w:val="-2"/>
          </w:rPr>
          <w:t>per</w:t>
        </w:r>
        <w:r>
          <w:rPr>
            <w:spacing w:val="26"/>
          </w:rPr>
          <w:t xml:space="preserve"> </w:t>
        </w:r>
        <w:r>
          <w:rPr>
            <w:spacing w:val="-2"/>
          </w:rPr>
          <w:t>UES</w:t>
        </w:r>
        <w:r>
          <w:rPr>
            <w:spacing w:val="-13"/>
          </w:rPr>
          <w:t xml:space="preserve"> </w:t>
        </w:r>
        <w:r>
          <w:rPr>
            <w:spacing w:val="-2"/>
          </w:rPr>
          <w:t>.........................................................................</w:t>
        </w:r>
        <w:r>
          <w:rPr>
            <w:spacing w:val="-2"/>
          </w:rPr>
          <w:t>................D-</w:t>
        </w:r>
        <w:r>
          <w:rPr>
            <w:spacing w:val="-5"/>
          </w:rPr>
          <w:t>49</w:t>
        </w:r>
      </w:hyperlink>
    </w:p>
    <w:p w:rsidR="00C31389" w:rsidRDefault="00561FBD" w14:paraId="25C70F86" w14:textId="77777777">
      <w:pPr>
        <w:pStyle w:val="BodyText"/>
        <w:ind w:left="480"/>
      </w:pPr>
      <w:hyperlink w:history="1" w:anchor="_bookmark392">
        <w:r>
          <w:rPr>
            <w:spacing w:val="-2"/>
          </w:rPr>
          <w:t>Table</w:t>
        </w:r>
        <w:r>
          <w:rPr>
            <w:spacing w:val="25"/>
          </w:rPr>
          <w:t xml:space="preserve"> </w:t>
        </w:r>
        <w:r>
          <w:rPr>
            <w:spacing w:val="-2"/>
          </w:rPr>
          <w:t>D-11.</w:t>
        </w:r>
        <w:r>
          <w:rPr>
            <w:spacing w:val="25"/>
          </w:rPr>
          <w:t xml:space="preserve"> </w:t>
        </w:r>
        <w:r>
          <w:rPr>
            <w:spacing w:val="-2"/>
          </w:rPr>
          <w:t>BERs</w:t>
        </w:r>
        <w:r>
          <w:rPr>
            <w:spacing w:val="25"/>
          </w:rPr>
          <w:t xml:space="preserve"> </w:t>
        </w:r>
        <w:r>
          <w:rPr>
            <w:spacing w:val="-2"/>
          </w:rPr>
          <w:t>–</w:t>
        </w:r>
        <w:r>
          <w:rPr>
            <w:spacing w:val="25"/>
          </w:rPr>
          <w:t xml:space="preserve"> </w:t>
        </w:r>
        <w:r>
          <w:rPr>
            <w:spacing w:val="-2"/>
          </w:rPr>
          <w:t>Key</w:t>
        </w:r>
        <w:r>
          <w:rPr>
            <w:spacing w:val="24"/>
          </w:rPr>
          <w:t xml:space="preserve"> </w:t>
        </w:r>
        <w:r>
          <w:rPr>
            <w:spacing w:val="-2"/>
          </w:rPr>
          <w:t>Assumptions</w:t>
        </w:r>
        <w:r>
          <w:rPr>
            <w:spacing w:val="3"/>
          </w:rPr>
          <w:t xml:space="preserve"> </w:t>
        </w:r>
        <w:r>
          <w:rPr>
            <w:spacing w:val="-2"/>
          </w:rPr>
          <w:t>..................................................................................D-</w:t>
        </w:r>
        <w:r>
          <w:rPr>
            <w:spacing w:val="-5"/>
          </w:rPr>
          <w:t>50</w:t>
        </w:r>
      </w:hyperlink>
    </w:p>
    <w:p w:rsidR="00C31389" w:rsidRDefault="00561FBD" w14:paraId="60AB429C" w14:textId="77777777">
      <w:pPr>
        <w:pStyle w:val="BodyText"/>
        <w:ind w:left="480"/>
      </w:pPr>
      <w:hyperlink w:history="1" w:anchor="_bookmark400">
        <w:r>
          <w:t>Table</w:t>
        </w:r>
        <w:r>
          <w:rPr>
            <w:spacing w:val="-15"/>
          </w:rPr>
          <w:t xml:space="preserve"> </w:t>
        </w:r>
        <w:r>
          <w:t>D-12.</w:t>
        </w:r>
        <w:r>
          <w:rPr>
            <w:spacing w:val="-14"/>
          </w:rPr>
          <w:t xml:space="preserve"> </w:t>
        </w:r>
        <w:r>
          <w:t>Benchmarking</w:t>
        </w:r>
        <w:r>
          <w:rPr>
            <w:spacing w:val="-14"/>
          </w:rPr>
          <w:t xml:space="preserve"> </w:t>
        </w:r>
        <w:r>
          <w:t>–</w:t>
        </w:r>
        <w:r>
          <w:rPr>
            <w:spacing w:val="-13"/>
          </w:rPr>
          <w:t xml:space="preserve"> </w:t>
        </w:r>
        <w:r>
          <w:t>Key</w:t>
        </w:r>
        <w:r>
          <w:rPr>
            <w:spacing w:val="-14"/>
          </w:rPr>
          <w:t xml:space="preserve"> </w:t>
        </w:r>
        <w:r>
          <w:t>Assumptions</w:t>
        </w:r>
        <w:r>
          <w:rPr>
            <w:spacing w:val="-15"/>
          </w:rPr>
          <w:t xml:space="preserve"> </w:t>
        </w:r>
        <w:r>
          <w:t>....................................................................D-</w:t>
        </w:r>
        <w:r>
          <w:rPr>
            <w:spacing w:val="-5"/>
          </w:rPr>
          <w:t>52</w:t>
        </w:r>
      </w:hyperlink>
    </w:p>
    <w:p w:rsidR="00C31389" w:rsidRDefault="00561FBD" w14:paraId="25274256" w14:textId="77777777">
      <w:pPr>
        <w:pStyle w:val="BodyText"/>
        <w:spacing w:before="1"/>
        <w:ind w:left="480"/>
      </w:pPr>
      <w:hyperlink w:history="1" w:anchor="_bookmark402">
        <w:r>
          <w:t>Table</w:t>
        </w:r>
        <w:r>
          <w:rPr>
            <w:spacing w:val="-11"/>
          </w:rPr>
          <w:t xml:space="preserve"> </w:t>
        </w:r>
        <w:r>
          <w:t>D-13.</w:t>
        </w:r>
        <w:r>
          <w:rPr>
            <w:spacing w:val="-10"/>
          </w:rPr>
          <w:t xml:space="preserve"> </w:t>
        </w:r>
        <w:r>
          <w:t>Adjustments</w:t>
        </w:r>
        <w:r>
          <w:rPr>
            <w:spacing w:val="-10"/>
          </w:rPr>
          <w:t xml:space="preserve"> </w:t>
        </w:r>
        <w:r>
          <w:t>to</w:t>
        </w:r>
        <w:r>
          <w:rPr>
            <w:spacing w:val="-10"/>
          </w:rPr>
          <w:t xml:space="preserve"> </w:t>
        </w:r>
        <w:r>
          <w:t>Building</w:t>
        </w:r>
        <w:r>
          <w:rPr>
            <w:spacing w:val="-11"/>
          </w:rPr>
          <w:t xml:space="preserve"> </w:t>
        </w:r>
        <w:r>
          <w:t>Benchmarking</w:t>
        </w:r>
        <w:r>
          <w:rPr>
            <w:spacing w:val="-10"/>
          </w:rPr>
          <w:t xml:space="preserve"> </w:t>
        </w:r>
        <w:r>
          <w:t>Applicability</w:t>
        </w:r>
        <w:r>
          <w:rPr>
            <w:spacing w:val="-10"/>
          </w:rPr>
          <w:t xml:space="preserve"> </w:t>
        </w:r>
        <w:r>
          <w:t>Factors.............................D-</w:t>
        </w:r>
        <w:r>
          <w:rPr>
            <w:spacing w:val="-5"/>
          </w:rPr>
          <w:t>52</w:t>
        </w:r>
      </w:hyperlink>
    </w:p>
    <w:p w:rsidR="00C31389" w:rsidRDefault="00C31389" w14:paraId="6E28AF5C" w14:textId="77777777">
      <w:pPr>
        <w:sectPr w:rsidR="00C31389">
          <w:pgSz w:w="12240" w:h="15840"/>
          <w:pgMar w:top="1660" w:right="960" w:bottom="1120" w:left="960" w:header="397" w:footer="936" w:gutter="0"/>
          <w:cols w:space="720"/>
        </w:sectPr>
      </w:pPr>
    </w:p>
    <w:p w:rsidR="00C31389" w:rsidRDefault="00C31389" w14:paraId="29DC5F9F" w14:textId="77777777">
      <w:pPr>
        <w:pStyle w:val="BodyText"/>
        <w:spacing w:before="11"/>
        <w:rPr>
          <w:sz w:val="13"/>
        </w:rPr>
      </w:pPr>
    </w:p>
    <w:p w:rsidR="00C31389" w:rsidRDefault="00561FBD" w14:paraId="064D32B4" w14:textId="77777777">
      <w:pPr>
        <w:pStyle w:val="BodyText"/>
        <w:tabs>
          <w:tab w:val="left" w:leader="dot" w:pos="9276"/>
        </w:tabs>
        <w:spacing w:before="92"/>
        <w:ind w:left="480"/>
      </w:pPr>
      <w:hyperlink w:history="1" w:anchor="_bookmark412">
        <w:r>
          <w:t>Table</w:t>
        </w:r>
        <w:r>
          <w:rPr>
            <w:spacing w:val="-8"/>
          </w:rPr>
          <w:t xml:space="preserve"> </w:t>
        </w:r>
        <w:r>
          <w:t>D-14.</w:t>
        </w:r>
        <w:r>
          <w:rPr>
            <w:spacing w:val="-8"/>
          </w:rPr>
          <w:t xml:space="preserve"> </w:t>
        </w:r>
        <w:r>
          <w:t>Commercial</w:t>
        </w:r>
        <w:r>
          <w:rPr>
            <w:spacing w:val="-7"/>
          </w:rPr>
          <w:t xml:space="preserve"> </w:t>
        </w:r>
        <w:r>
          <w:t>Competitions</w:t>
        </w:r>
        <w:r>
          <w:rPr>
            <w:spacing w:val="-8"/>
          </w:rPr>
          <w:t xml:space="preserve"> </w:t>
        </w:r>
        <w:r>
          <w:t>–</w:t>
        </w:r>
        <w:r>
          <w:rPr>
            <w:spacing w:val="-7"/>
          </w:rPr>
          <w:t xml:space="preserve"> </w:t>
        </w:r>
        <w:r>
          <w:t>Key</w:t>
        </w:r>
        <w:r>
          <w:rPr>
            <w:spacing w:val="-8"/>
          </w:rPr>
          <w:t xml:space="preserve"> </w:t>
        </w:r>
        <w:r>
          <w:rPr>
            <w:spacing w:val="-2"/>
          </w:rPr>
          <w:t>Assumptions</w:t>
        </w:r>
        <w:r>
          <w:tab/>
        </w:r>
        <w:r>
          <w:rPr>
            <w:spacing w:val="-2"/>
          </w:rPr>
          <w:t>D-</w:t>
        </w:r>
        <w:r>
          <w:rPr>
            <w:spacing w:val="-5"/>
          </w:rPr>
          <w:t>54</w:t>
        </w:r>
      </w:hyperlink>
    </w:p>
    <w:p w:rsidR="00C31389" w:rsidRDefault="00561FBD" w14:paraId="5A9ED1FF" w14:textId="77777777">
      <w:pPr>
        <w:pStyle w:val="BodyText"/>
        <w:spacing w:before="1" w:line="253" w:lineRule="exact"/>
        <w:ind w:left="480"/>
      </w:pPr>
      <w:hyperlink w:history="1" w:anchor="_bookmark426">
        <w:r>
          <w:t>Table</w:t>
        </w:r>
        <w:r>
          <w:rPr>
            <w:spacing w:val="-16"/>
          </w:rPr>
          <w:t xml:space="preserve"> </w:t>
        </w:r>
        <w:r>
          <w:t>D-15.</w:t>
        </w:r>
        <w:r>
          <w:rPr>
            <w:spacing w:val="-15"/>
          </w:rPr>
          <w:t xml:space="preserve"> </w:t>
        </w:r>
        <w:r>
          <w:t>Commercial</w:t>
        </w:r>
        <w:r>
          <w:rPr>
            <w:spacing w:val="-15"/>
          </w:rPr>
          <w:t xml:space="preserve"> </w:t>
        </w:r>
        <w:r>
          <w:t>RCx</w:t>
        </w:r>
        <w:r>
          <w:rPr>
            <w:spacing w:val="-12"/>
          </w:rPr>
          <w:t xml:space="preserve"> </w:t>
        </w:r>
        <w:r>
          <w:t>–</w:t>
        </w:r>
        <w:r>
          <w:rPr>
            <w:spacing w:val="-12"/>
          </w:rPr>
          <w:t xml:space="preserve"> </w:t>
        </w:r>
        <w:r>
          <w:t>Key</w:t>
        </w:r>
        <w:r>
          <w:rPr>
            <w:spacing w:val="-12"/>
          </w:rPr>
          <w:t xml:space="preserve"> </w:t>
        </w:r>
        <w:r>
          <w:t>Assumptions</w:t>
        </w:r>
        <w:r>
          <w:rPr>
            <w:spacing w:val="-15"/>
          </w:rPr>
          <w:t xml:space="preserve"> </w:t>
        </w:r>
        <w:r>
          <w:t>................................................................D-</w:t>
        </w:r>
        <w:r>
          <w:rPr>
            <w:spacing w:val="-5"/>
          </w:rPr>
          <w:t>56</w:t>
        </w:r>
      </w:hyperlink>
    </w:p>
    <w:p w:rsidR="00C31389" w:rsidRDefault="00561FBD" w14:paraId="19EAFCBB" w14:textId="77777777">
      <w:pPr>
        <w:pStyle w:val="BodyText"/>
        <w:ind w:left="480" w:right="533"/>
      </w:pPr>
      <w:hyperlink w:history="1" w:anchor="_bookmark437">
        <w:r>
          <w:t>Table</w:t>
        </w:r>
        <w:r>
          <w:rPr>
            <w:spacing w:val="-4"/>
          </w:rPr>
          <w:t xml:space="preserve"> </w:t>
        </w:r>
        <w:r>
          <w:t>D-16.</w:t>
        </w:r>
        <w:r>
          <w:rPr>
            <w:spacing w:val="-3"/>
          </w:rPr>
          <w:t xml:space="preserve"> </w:t>
        </w:r>
        <w:r>
          <w:t>Industrial/Agriculture</w:t>
        </w:r>
        <w:r>
          <w:rPr>
            <w:spacing w:val="-3"/>
          </w:rPr>
          <w:t xml:space="preserve"> </w:t>
        </w:r>
        <w:r>
          <w:t>SEM</w:t>
        </w:r>
        <w:r>
          <w:rPr>
            <w:spacing w:val="-4"/>
          </w:rPr>
          <w:t xml:space="preserve"> </w:t>
        </w:r>
        <w:r>
          <w:t>–</w:t>
        </w:r>
        <w:r>
          <w:rPr>
            <w:spacing w:val="-3"/>
          </w:rPr>
          <w:t xml:space="preserve"> </w:t>
        </w:r>
        <w:r>
          <w:t>Key</w:t>
        </w:r>
        <w:r>
          <w:rPr>
            <w:spacing w:val="-3"/>
          </w:rPr>
          <w:t xml:space="preserve"> </w:t>
        </w:r>
        <w:r>
          <w:t>Assumptions</w:t>
        </w:r>
        <w:r>
          <w:rPr>
            <w:spacing w:val="-39"/>
          </w:rPr>
          <w:t xml:space="preserve"> </w:t>
        </w:r>
        <w:r>
          <w:t>..................................................D-58</w:t>
        </w:r>
      </w:hyperlink>
      <w:r>
        <w:t xml:space="preserve"> </w:t>
      </w:r>
      <w:hyperlink w:history="1" w:anchor="_bookmark442">
        <w:r>
          <w:rPr>
            <w:spacing w:val="-2"/>
          </w:rPr>
          <w:t>Table</w:t>
        </w:r>
        <w:r>
          <w:rPr>
            <w:spacing w:val="35"/>
          </w:rPr>
          <w:t xml:space="preserve"> </w:t>
        </w:r>
        <w:r>
          <w:rPr>
            <w:spacing w:val="-2"/>
          </w:rPr>
          <w:t>D-17.</w:t>
        </w:r>
        <w:r>
          <w:rPr>
            <w:spacing w:val="36"/>
          </w:rPr>
          <w:t xml:space="preserve"> </w:t>
        </w:r>
        <w:r>
          <w:rPr>
            <w:spacing w:val="-2"/>
          </w:rPr>
          <w:t>Industrial</w:t>
        </w:r>
        <w:r>
          <w:rPr>
            <w:spacing w:val="36"/>
          </w:rPr>
          <w:t xml:space="preserve"> </w:t>
        </w:r>
        <w:r>
          <w:rPr>
            <w:spacing w:val="-2"/>
          </w:rPr>
          <w:t>SEM</w:t>
        </w:r>
        <w:r>
          <w:rPr>
            <w:spacing w:val="35"/>
          </w:rPr>
          <w:t xml:space="preserve"> </w:t>
        </w:r>
        <w:r>
          <w:rPr>
            <w:spacing w:val="-2"/>
          </w:rPr>
          <w:t>Applicability</w:t>
        </w:r>
        <w:r>
          <w:rPr>
            <w:spacing w:val="-31"/>
          </w:rPr>
          <w:t xml:space="preserve"> </w:t>
        </w:r>
        <w:r>
          <w:rPr>
            <w:spacing w:val="-2"/>
          </w:rPr>
          <w:t>................................................................................D-</w:t>
        </w:r>
        <w:r>
          <w:rPr>
            <w:spacing w:val="-5"/>
          </w:rPr>
          <w:t>59</w:t>
        </w:r>
      </w:hyperlink>
    </w:p>
    <w:p w:rsidR="00C31389" w:rsidRDefault="00561FBD" w14:paraId="66EE4449" w14:textId="77777777">
      <w:pPr>
        <w:pStyle w:val="BodyText"/>
        <w:ind w:left="480"/>
      </w:pPr>
      <w:hyperlink w:history="1" w:anchor="_bookmark443">
        <w:r>
          <w:rPr>
            <w:spacing w:val="-2"/>
          </w:rPr>
          <w:t>Table</w:t>
        </w:r>
        <w:r>
          <w:rPr>
            <w:spacing w:val="32"/>
          </w:rPr>
          <w:t xml:space="preserve"> </w:t>
        </w:r>
        <w:r>
          <w:rPr>
            <w:spacing w:val="-2"/>
          </w:rPr>
          <w:t>D-18.</w:t>
        </w:r>
        <w:r>
          <w:rPr>
            <w:spacing w:val="32"/>
          </w:rPr>
          <w:t xml:space="preserve"> </w:t>
        </w:r>
        <w:r>
          <w:rPr>
            <w:spacing w:val="-2"/>
          </w:rPr>
          <w:t>Agriculture</w:t>
        </w:r>
        <w:r>
          <w:rPr>
            <w:spacing w:val="31"/>
          </w:rPr>
          <w:t xml:space="preserve"> </w:t>
        </w:r>
        <w:r>
          <w:rPr>
            <w:spacing w:val="-2"/>
          </w:rPr>
          <w:t>SEM</w:t>
        </w:r>
        <w:r>
          <w:rPr>
            <w:spacing w:val="31"/>
          </w:rPr>
          <w:t xml:space="preserve"> </w:t>
        </w:r>
        <w:r>
          <w:rPr>
            <w:spacing w:val="-2"/>
          </w:rPr>
          <w:t>Applicability</w:t>
        </w:r>
        <w:r>
          <w:rPr>
            <w:spacing w:val="6"/>
          </w:rPr>
          <w:t xml:space="preserve"> </w:t>
        </w:r>
        <w:r>
          <w:rPr>
            <w:spacing w:val="-2"/>
          </w:rPr>
          <w:t>.............................................................................D-</w:t>
        </w:r>
        <w:r>
          <w:rPr>
            <w:spacing w:val="-5"/>
          </w:rPr>
          <w:t>59</w:t>
        </w:r>
      </w:hyperlink>
    </w:p>
    <w:p w:rsidR="00C31389" w:rsidRDefault="00561FBD" w14:paraId="5DBE80C1" w14:textId="77777777">
      <w:pPr>
        <w:pStyle w:val="BodyText"/>
        <w:ind w:left="480"/>
      </w:pPr>
      <w:hyperlink w:history="1" w:anchor="_bookmark444">
        <w:r>
          <w:t>Table</w:t>
        </w:r>
        <w:r>
          <w:rPr>
            <w:spacing w:val="-16"/>
          </w:rPr>
          <w:t xml:space="preserve"> </w:t>
        </w:r>
        <w:r>
          <w:t>D-19.</w:t>
        </w:r>
        <w:r>
          <w:rPr>
            <w:spacing w:val="-14"/>
          </w:rPr>
          <w:t xml:space="preserve"> </w:t>
        </w:r>
        <w:r>
          <w:t>Industrial</w:t>
        </w:r>
        <w:r>
          <w:rPr>
            <w:spacing w:val="-13"/>
          </w:rPr>
          <w:t xml:space="preserve"> </w:t>
        </w:r>
        <w:r>
          <w:t>SEM</w:t>
        </w:r>
        <w:r>
          <w:rPr>
            <w:spacing w:val="-14"/>
          </w:rPr>
          <w:t xml:space="preserve"> </w:t>
        </w:r>
        <w:r>
          <w:t>Electricity</w:t>
        </w:r>
        <w:r>
          <w:rPr>
            <w:spacing w:val="-13"/>
          </w:rPr>
          <w:t xml:space="preserve"> </w:t>
        </w:r>
        <w:r>
          <w:t>UES</w:t>
        </w:r>
        <w:r>
          <w:rPr>
            <w:spacing w:val="-13"/>
          </w:rPr>
          <w:t xml:space="preserve"> </w:t>
        </w:r>
        <w:r>
          <w:t>Multipliers</w:t>
        </w:r>
        <w:r>
          <w:rPr>
            <w:spacing w:val="-41"/>
          </w:rPr>
          <w:t xml:space="preserve"> </w:t>
        </w:r>
        <w:r>
          <w:t>..........................................................D-</w:t>
        </w:r>
        <w:r>
          <w:rPr>
            <w:spacing w:val="-5"/>
          </w:rPr>
          <w:t>60</w:t>
        </w:r>
      </w:hyperlink>
    </w:p>
    <w:p w:rsidR="00C31389" w:rsidRDefault="00561FBD" w14:paraId="705E5CF4" w14:textId="77777777">
      <w:pPr>
        <w:pStyle w:val="BodyText"/>
        <w:spacing w:line="253" w:lineRule="exact"/>
        <w:ind w:left="480"/>
      </w:pPr>
      <w:hyperlink w:history="1" w:anchor="_bookmark446">
        <w:r>
          <w:t>Table</w:t>
        </w:r>
        <w:r>
          <w:rPr>
            <w:spacing w:val="-16"/>
          </w:rPr>
          <w:t xml:space="preserve"> </w:t>
        </w:r>
        <w:r>
          <w:t>D-20.</w:t>
        </w:r>
        <w:r>
          <w:rPr>
            <w:spacing w:val="-12"/>
          </w:rPr>
          <w:t xml:space="preserve"> </w:t>
        </w:r>
        <w:r>
          <w:t>Industrial</w:t>
        </w:r>
        <w:r>
          <w:rPr>
            <w:spacing w:val="-11"/>
          </w:rPr>
          <w:t xml:space="preserve"> </w:t>
        </w:r>
        <w:r>
          <w:t>SEM</w:t>
        </w:r>
        <w:r>
          <w:rPr>
            <w:spacing w:val="-12"/>
          </w:rPr>
          <w:t xml:space="preserve"> </w:t>
        </w:r>
        <w:r>
          <w:t>Natural</w:t>
        </w:r>
        <w:r>
          <w:rPr>
            <w:spacing w:val="-10"/>
          </w:rPr>
          <w:t xml:space="preserve"> </w:t>
        </w:r>
        <w:r>
          <w:t>Gas</w:t>
        </w:r>
        <w:r>
          <w:rPr>
            <w:spacing w:val="-11"/>
          </w:rPr>
          <w:t xml:space="preserve"> </w:t>
        </w:r>
        <w:r>
          <w:t>UES</w:t>
        </w:r>
        <w:r>
          <w:rPr>
            <w:spacing w:val="-10"/>
          </w:rPr>
          <w:t xml:space="preserve"> </w:t>
        </w:r>
        <w:r>
          <w:t>Multipliers</w:t>
        </w:r>
        <w:r>
          <w:rPr>
            <w:spacing w:val="-27"/>
          </w:rPr>
          <w:t xml:space="preserve"> </w:t>
        </w:r>
        <w:r>
          <w:t>......................................................D-</w:t>
        </w:r>
        <w:r>
          <w:rPr>
            <w:spacing w:val="-5"/>
          </w:rPr>
          <w:t>61</w:t>
        </w:r>
      </w:hyperlink>
    </w:p>
    <w:p w:rsidR="00C31389" w:rsidRDefault="00561FBD" w14:paraId="6F20EB9B" w14:textId="77777777">
      <w:pPr>
        <w:pStyle w:val="BodyText"/>
        <w:ind w:left="480" w:right="533"/>
      </w:pPr>
      <w:hyperlink w:history="1" w:anchor="_bookmark447">
        <w:r>
          <w:t>Table</w:t>
        </w:r>
        <w:r>
          <w:rPr>
            <w:spacing w:val="-6"/>
          </w:rPr>
          <w:t xml:space="preserve"> </w:t>
        </w:r>
        <w:r>
          <w:t>D-21.</w:t>
        </w:r>
        <w:r>
          <w:rPr>
            <w:spacing w:val="-4"/>
          </w:rPr>
          <w:t xml:space="preserve"> </w:t>
        </w:r>
        <w:r>
          <w:t>Agriculture</w:t>
        </w:r>
        <w:r>
          <w:rPr>
            <w:spacing w:val="-5"/>
          </w:rPr>
          <w:t xml:space="preserve"> </w:t>
        </w:r>
        <w:r>
          <w:t>SEM</w:t>
        </w:r>
        <w:r>
          <w:rPr>
            <w:spacing w:val="-5"/>
          </w:rPr>
          <w:t xml:space="preserve"> </w:t>
        </w:r>
        <w:r>
          <w:t>Electricity</w:t>
        </w:r>
        <w:r>
          <w:rPr>
            <w:spacing w:val="-4"/>
          </w:rPr>
          <w:t xml:space="preserve"> </w:t>
        </w:r>
        <w:r>
          <w:t>and</w:t>
        </w:r>
        <w:r>
          <w:rPr>
            <w:spacing w:val="-4"/>
          </w:rPr>
          <w:t xml:space="preserve"> </w:t>
        </w:r>
        <w:r>
          <w:t>Natural</w:t>
        </w:r>
        <w:r>
          <w:rPr>
            <w:spacing w:val="-4"/>
          </w:rPr>
          <w:t xml:space="preserve"> </w:t>
        </w:r>
        <w:r>
          <w:t>Gas</w:t>
        </w:r>
        <w:r>
          <w:rPr>
            <w:spacing w:val="-4"/>
          </w:rPr>
          <w:t xml:space="preserve"> </w:t>
        </w:r>
        <w:r>
          <w:t>UES</w:t>
        </w:r>
        <w:r>
          <w:rPr>
            <w:spacing w:val="-4"/>
          </w:rPr>
          <w:t xml:space="preserve"> </w:t>
        </w:r>
        <w:r>
          <w:t>Multipliers</w:t>
        </w:r>
        <w:r>
          <w:rPr>
            <w:spacing w:val="-25"/>
          </w:rPr>
          <w:t xml:space="preserve"> </w:t>
        </w:r>
        <w:r>
          <w:t>............................</w:t>
        </w:r>
        <w:r>
          <w:rPr>
            <w:spacing w:val="-46"/>
          </w:rPr>
          <w:t xml:space="preserve"> </w:t>
        </w:r>
        <w:r>
          <w:t>D-62</w:t>
        </w:r>
      </w:hyperlink>
      <w:r>
        <w:t xml:space="preserve"> </w:t>
      </w:r>
      <w:hyperlink w:history="1" w:anchor="_bookmark451">
        <w:r>
          <w:t>Table</w:t>
        </w:r>
        <w:r>
          <w:rPr>
            <w:spacing w:val="-16"/>
          </w:rPr>
          <w:t xml:space="preserve"> </w:t>
        </w:r>
        <w:r>
          <w:t>E-1.</w:t>
        </w:r>
        <w:r>
          <w:rPr>
            <w:spacing w:val="-13"/>
          </w:rPr>
          <w:t xml:space="preserve"> </w:t>
        </w:r>
        <w:r>
          <w:t>Industria</w:t>
        </w:r>
        <w:r>
          <w:t>l</w:t>
        </w:r>
        <w:r>
          <w:rPr>
            <w:spacing w:val="-11"/>
          </w:rPr>
          <w:t xml:space="preserve"> </w:t>
        </w:r>
        <w:r>
          <w:t>and</w:t>
        </w:r>
        <w:r>
          <w:rPr>
            <w:spacing w:val="-12"/>
          </w:rPr>
          <w:t xml:space="preserve"> </w:t>
        </w:r>
        <w:r>
          <w:t>Agriculture</w:t>
        </w:r>
        <w:r>
          <w:rPr>
            <w:spacing w:val="-12"/>
          </w:rPr>
          <w:t xml:space="preserve"> </w:t>
        </w:r>
        <w:r>
          <w:t>Subsector</w:t>
        </w:r>
        <w:r>
          <w:rPr>
            <w:spacing w:val="-12"/>
          </w:rPr>
          <w:t xml:space="preserve"> </w:t>
        </w:r>
        <w:r>
          <w:t>NAICS</w:t>
        </w:r>
        <w:r>
          <w:rPr>
            <w:spacing w:val="-11"/>
          </w:rPr>
          <w:t xml:space="preserve"> </w:t>
        </w:r>
        <w:r>
          <w:t>Mapping............................................</w:t>
        </w:r>
        <w:r>
          <w:rPr>
            <w:spacing w:val="-36"/>
          </w:rPr>
          <w:t xml:space="preserve"> </w:t>
        </w:r>
        <w:r>
          <w:t>E-</w:t>
        </w:r>
        <w:r>
          <w:rPr>
            <w:spacing w:val="-10"/>
          </w:rPr>
          <w:t>1</w:t>
        </w:r>
      </w:hyperlink>
    </w:p>
    <w:p w:rsidR="00C31389" w:rsidRDefault="00561FBD" w14:paraId="5CFB99F6" w14:textId="77777777">
      <w:pPr>
        <w:pStyle w:val="BodyText"/>
        <w:ind w:left="479"/>
      </w:pPr>
      <w:hyperlink w:history="1" w:anchor="_bookmark453">
        <w:r>
          <w:rPr>
            <w:spacing w:val="-2"/>
          </w:rPr>
          <w:t>Table</w:t>
        </w:r>
        <w:r>
          <w:rPr>
            <w:spacing w:val="15"/>
          </w:rPr>
          <w:t xml:space="preserve"> </w:t>
        </w:r>
        <w:r>
          <w:rPr>
            <w:spacing w:val="-2"/>
          </w:rPr>
          <w:t>E-2.</w:t>
        </w:r>
        <w:r>
          <w:rPr>
            <w:spacing w:val="16"/>
          </w:rPr>
          <w:t xml:space="preserve"> </w:t>
        </w:r>
        <w:r>
          <w:rPr>
            <w:spacing w:val="-2"/>
          </w:rPr>
          <w:t>Industrial</w:t>
        </w:r>
        <w:r>
          <w:rPr>
            <w:spacing w:val="16"/>
          </w:rPr>
          <w:t xml:space="preserve"> </w:t>
        </w:r>
        <w:r>
          <w:rPr>
            <w:spacing w:val="-2"/>
          </w:rPr>
          <w:t>Sector</w:t>
        </w:r>
        <w:r>
          <w:rPr>
            <w:spacing w:val="16"/>
          </w:rPr>
          <w:t xml:space="preserve"> </w:t>
        </w:r>
        <w:r>
          <w:rPr>
            <w:spacing w:val="-2"/>
          </w:rPr>
          <w:t>Characterized</w:t>
        </w:r>
        <w:r>
          <w:rPr>
            <w:spacing w:val="16"/>
          </w:rPr>
          <w:t xml:space="preserve"> </w:t>
        </w:r>
        <w:r>
          <w:rPr>
            <w:spacing w:val="-2"/>
          </w:rPr>
          <w:t>Custom</w:t>
        </w:r>
        <w:r>
          <w:rPr>
            <w:spacing w:val="14"/>
          </w:rPr>
          <w:t xml:space="preserve"> </w:t>
        </w:r>
        <w:r>
          <w:rPr>
            <w:spacing w:val="-2"/>
          </w:rPr>
          <w:t>Measures</w:t>
        </w:r>
        <w:r>
          <w:rPr>
            <w:spacing w:val="-30"/>
          </w:rPr>
          <w:t xml:space="preserve"> </w:t>
        </w:r>
        <w:r>
          <w:rPr>
            <w:spacing w:val="-2"/>
          </w:rPr>
          <w:t>................................................</w:t>
        </w:r>
        <w:r>
          <w:rPr>
            <w:spacing w:val="-30"/>
          </w:rPr>
          <w:t xml:space="preserve"> </w:t>
        </w:r>
        <w:r>
          <w:rPr>
            <w:spacing w:val="-2"/>
          </w:rPr>
          <w:t>E-</w:t>
        </w:r>
        <w:r>
          <w:rPr>
            <w:spacing w:val="-10"/>
          </w:rPr>
          <w:t>1</w:t>
        </w:r>
      </w:hyperlink>
    </w:p>
    <w:p w:rsidR="00C31389" w:rsidRDefault="00561FBD" w14:paraId="3B4E4790" w14:textId="77777777">
      <w:pPr>
        <w:pStyle w:val="BodyText"/>
        <w:ind w:left="479" w:right="533"/>
      </w:pPr>
      <w:hyperlink w:history="1" w:anchor="_bookmark457">
        <w:r>
          <w:t>Table</w:t>
        </w:r>
        <w:r>
          <w:rPr>
            <w:spacing w:val="-8"/>
          </w:rPr>
          <w:t xml:space="preserve"> </w:t>
        </w:r>
        <w:r>
          <w:t>E-3.</w:t>
        </w:r>
        <w:r>
          <w:rPr>
            <w:spacing w:val="-5"/>
          </w:rPr>
          <w:t xml:space="preserve"> </w:t>
        </w:r>
        <w:r>
          <w:t>A</w:t>
        </w:r>
        <w:r>
          <w:t>griculture</w:t>
        </w:r>
        <w:r>
          <w:rPr>
            <w:spacing w:val="-5"/>
          </w:rPr>
          <w:t xml:space="preserve"> </w:t>
        </w:r>
        <w:r>
          <w:t>Sector</w:t>
        </w:r>
        <w:r>
          <w:rPr>
            <w:spacing w:val="-5"/>
          </w:rPr>
          <w:t xml:space="preserve"> </w:t>
        </w:r>
        <w:r>
          <w:t>Characterized</w:t>
        </w:r>
        <w:r>
          <w:rPr>
            <w:spacing w:val="-5"/>
          </w:rPr>
          <w:t xml:space="preserve"> </w:t>
        </w:r>
        <w:r>
          <w:t>Custom</w:t>
        </w:r>
        <w:r>
          <w:rPr>
            <w:spacing w:val="-6"/>
          </w:rPr>
          <w:t xml:space="preserve"> </w:t>
        </w:r>
        <w:r>
          <w:t>Measures</w:t>
        </w:r>
        <w:r>
          <w:rPr>
            <w:spacing w:val="-16"/>
          </w:rPr>
          <w:t xml:space="preserve"> </w:t>
        </w:r>
        <w:r>
          <w:t>.............................................</w:t>
        </w:r>
        <w:r>
          <w:rPr>
            <w:spacing w:val="-36"/>
          </w:rPr>
          <w:t xml:space="preserve"> </w:t>
        </w:r>
        <w:r>
          <w:t>E-4</w:t>
        </w:r>
      </w:hyperlink>
      <w:r>
        <w:t xml:space="preserve"> </w:t>
      </w:r>
      <w:hyperlink w:history="1" w:anchor="_bookmark461">
        <w:r>
          <w:rPr>
            <w:spacing w:val="-2"/>
          </w:rPr>
          <w:t>Table</w:t>
        </w:r>
        <w:r>
          <w:rPr>
            <w:spacing w:val="29"/>
          </w:rPr>
          <w:t xml:space="preserve"> </w:t>
        </w:r>
        <w:r>
          <w:rPr>
            <w:spacing w:val="-2"/>
          </w:rPr>
          <w:t>F-1.</w:t>
        </w:r>
        <w:r>
          <w:rPr>
            <w:spacing w:val="29"/>
          </w:rPr>
          <w:t xml:space="preserve"> </w:t>
        </w:r>
        <w:r>
          <w:rPr>
            <w:spacing w:val="-2"/>
          </w:rPr>
          <w:t>C&amp;S</w:t>
        </w:r>
        <w:r>
          <w:rPr>
            <w:spacing w:val="30"/>
          </w:rPr>
          <w:t xml:space="preserve"> </w:t>
        </w:r>
        <w:r>
          <w:rPr>
            <w:spacing w:val="-2"/>
          </w:rPr>
          <w:t>in</w:t>
        </w:r>
        <w:r>
          <w:rPr>
            <w:spacing w:val="29"/>
          </w:rPr>
          <w:t xml:space="preserve"> </w:t>
        </w:r>
        <w:r>
          <w:rPr>
            <w:spacing w:val="-2"/>
          </w:rPr>
          <w:t>the</w:t>
        </w:r>
        <w:r>
          <w:rPr>
            <w:spacing w:val="29"/>
          </w:rPr>
          <w:t xml:space="preserve"> </w:t>
        </w:r>
        <w:r>
          <w:rPr>
            <w:spacing w:val="-2"/>
          </w:rPr>
          <w:t>Model.................................................................</w:t>
        </w:r>
        <w:r>
          <w:rPr>
            <w:spacing w:val="-2"/>
          </w:rPr>
          <w:t>...................................</w:t>
        </w:r>
        <w:r>
          <w:rPr>
            <w:spacing w:val="-10"/>
          </w:rPr>
          <w:t xml:space="preserve"> </w:t>
        </w:r>
        <w:r>
          <w:rPr>
            <w:spacing w:val="-2"/>
          </w:rPr>
          <w:t>F-</w:t>
        </w:r>
        <w:r>
          <w:rPr>
            <w:spacing w:val="-10"/>
          </w:rPr>
          <w:t>1</w:t>
        </w:r>
      </w:hyperlink>
    </w:p>
    <w:p w:rsidR="00C31389" w:rsidRDefault="00561FBD" w14:paraId="451C26F2" w14:textId="77777777">
      <w:pPr>
        <w:pStyle w:val="BodyText"/>
        <w:spacing w:before="1" w:line="253" w:lineRule="exact"/>
        <w:ind w:left="479"/>
      </w:pPr>
      <w:hyperlink w:history="1" w:anchor="_bookmark463">
        <w:r>
          <w:rPr>
            <w:spacing w:val="-2"/>
          </w:rPr>
          <w:t>Table</w:t>
        </w:r>
        <w:r>
          <w:rPr>
            <w:spacing w:val="39"/>
          </w:rPr>
          <w:t xml:space="preserve"> </w:t>
        </w:r>
        <w:r>
          <w:rPr>
            <w:spacing w:val="-2"/>
          </w:rPr>
          <w:t>F-2.</w:t>
        </w:r>
        <w:r>
          <w:rPr>
            <w:spacing w:val="39"/>
          </w:rPr>
          <w:t xml:space="preserve"> </w:t>
        </w:r>
        <w:r>
          <w:rPr>
            <w:spacing w:val="-2"/>
          </w:rPr>
          <w:t>Superseded</w:t>
        </w:r>
        <w:r>
          <w:rPr>
            <w:spacing w:val="38"/>
          </w:rPr>
          <w:t xml:space="preserve"> </w:t>
        </w:r>
        <w:r>
          <w:rPr>
            <w:spacing w:val="-2"/>
          </w:rPr>
          <w:t>C&amp;S</w:t>
        </w:r>
        <w:r>
          <w:rPr>
            <w:spacing w:val="-26"/>
          </w:rPr>
          <w:t xml:space="preserve"> </w:t>
        </w:r>
        <w:r>
          <w:rPr>
            <w:spacing w:val="-2"/>
          </w:rPr>
          <w:t>..................................................................................................</w:t>
        </w:r>
        <w:r>
          <w:rPr>
            <w:spacing w:val="-5"/>
          </w:rPr>
          <w:t xml:space="preserve"> </w:t>
        </w:r>
        <w:r>
          <w:rPr>
            <w:spacing w:val="-2"/>
          </w:rPr>
          <w:t>F-</w:t>
        </w:r>
        <w:r>
          <w:rPr>
            <w:spacing w:val="-5"/>
          </w:rPr>
          <w:t>17</w:t>
        </w:r>
      </w:hyperlink>
    </w:p>
    <w:p w:rsidR="00C31389" w:rsidRDefault="00561FBD" w14:paraId="640EDE44" w14:textId="77777777">
      <w:pPr>
        <w:pStyle w:val="BodyText"/>
        <w:ind w:left="479" w:right="566"/>
        <w:jc w:val="both"/>
      </w:pPr>
      <w:hyperlink w:history="1" w:anchor="_bookmark467">
        <w:r>
          <w:t>Table</w:t>
        </w:r>
        <w:r>
          <w:rPr>
            <w:spacing w:val="-16"/>
          </w:rPr>
          <w:t xml:space="preserve"> </w:t>
        </w:r>
        <w:r>
          <w:t>G-1.</w:t>
        </w:r>
        <w:r>
          <w:rPr>
            <w:spacing w:val="-5"/>
          </w:rPr>
          <w:t xml:space="preserve"> </w:t>
        </w:r>
        <w:r>
          <w:t>Industrial</w:t>
        </w:r>
        <w:r>
          <w:rPr>
            <w:spacing w:val="-4"/>
          </w:rPr>
          <w:t xml:space="preserve"> </w:t>
        </w:r>
        <w:r>
          <w:t>and</w:t>
        </w:r>
        <w:r>
          <w:rPr>
            <w:spacing w:val="-4"/>
          </w:rPr>
          <w:t xml:space="preserve"> </w:t>
        </w:r>
        <w:r>
          <w:t>Agriculture</w:t>
        </w:r>
        <w:r>
          <w:rPr>
            <w:spacing w:val="-4"/>
          </w:rPr>
          <w:t xml:space="preserve"> </w:t>
        </w:r>
        <w:r>
          <w:t>GC</w:t>
        </w:r>
        <w:r>
          <w:rPr>
            <w:spacing w:val="-5"/>
          </w:rPr>
          <w:t xml:space="preserve"> </w:t>
        </w:r>
        <w:r>
          <w:t>–</w:t>
        </w:r>
        <w:r>
          <w:rPr>
            <w:spacing w:val="-4"/>
          </w:rPr>
          <w:t xml:space="preserve"> </w:t>
        </w:r>
        <w:r>
          <w:t>Key</w:t>
        </w:r>
        <w:r>
          <w:rPr>
            <w:spacing w:val="-3"/>
          </w:rPr>
          <w:t xml:space="preserve"> </w:t>
        </w:r>
        <w:r>
          <w:t>Assumptions</w:t>
        </w:r>
        <w:r>
          <w:rPr>
            <w:spacing w:val="-16"/>
          </w:rPr>
          <w:t xml:space="preserve"> </w:t>
        </w:r>
        <w:r>
          <w:t>...........................</w:t>
        </w:r>
        <w:r>
          <w:t>......................G-1</w:t>
        </w:r>
      </w:hyperlink>
      <w:r>
        <w:t xml:space="preserve"> </w:t>
      </w:r>
      <w:hyperlink w:history="1" w:anchor="_bookmark469">
        <w:r>
          <w:t>Table</w:t>
        </w:r>
        <w:r>
          <w:rPr>
            <w:spacing w:val="-2"/>
          </w:rPr>
          <w:t xml:space="preserve"> </w:t>
        </w:r>
        <w:r>
          <w:t>G-2.</w:t>
        </w:r>
        <w:r>
          <w:rPr>
            <w:spacing w:val="-2"/>
          </w:rPr>
          <w:t xml:space="preserve"> </w:t>
        </w:r>
        <w:r>
          <w:t>CEDARS</w:t>
        </w:r>
        <w:r>
          <w:rPr>
            <w:spacing w:val="-2"/>
          </w:rPr>
          <w:t xml:space="preserve"> </w:t>
        </w:r>
        <w:r>
          <w:t>Reported</w:t>
        </w:r>
        <w:r>
          <w:rPr>
            <w:spacing w:val="-2"/>
          </w:rPr>
          <w:t xml:space="preserve"> </w:t>
        </w:r>
        <w:r>
          <w:t>Industrial</w:t>
        </w:r>
        <w:r>
          <w:rPr>
            <w:spacing w:val="-2"/>
          </w:rPr>
          <w:t xml:space="preserve"> </w:t>
        </w:r>
        <w:r>
          <w:t>and</w:t>
        </w:r>
        <w:r>
          <w:rPr>
            <w:spacing w:val="-2"/>
          </w:rPr>
          <w:t xml:space="preserve"> </w:t>
        </w:r>
        <w:r>
          <w:t>Agriculture</w:t>
        </w:r>
        <w:r>
          <w:rPr>
            <w:spacing w:val="-2"/>
          </w:rPr>
          <w:t xml:space="preserve"> </w:t>
        </w:r>
        <w:r>
          <w:t>Ex</w:t>
        </w:r>
        <w:r>
          <w:rPr>
            <w:spacing w:val="-3"/>
          </w:rPr>
          <w:t xml:space="preserve"> </w:t>
        </w:r>
        <w:r>
          <w:t>Ante</w:t>
        </w:r>
        <w:r>
          <w:rPr>
            <w:spacing w:val="-2"/>
          </w:rPr>
          <w:t xml:space="preserve"> </w:t>
        </w:r>
        <w:r>
          <w:t>GC</w:t>
        </w:r>
        <w:r>
          <w:rPr>
            <w:spacing w:val="-1"/>
          </w:rPr>
          <w:t xml:space="preserve"> </w:t>
        </w:r>
        <w:r>
          <w:t>Measure</w:t>
        </w:r>
        <w:r>
          <w:rPr>
            <w:spacing w:val="-2"/>
          </w:rPr>
          <w:t xml:space="preserve"> </w:t>
        </w:r>
        <w:r>
          <w:t>Savings.......G-2</w:t>
        </w:r>
      </w:hyperlink>
      <w:r>
        <w:t xml:space="preserve"> </w:t>
      </w:r>
      <w:hyperlink w:history="1" w:anchor="_bookmark470">
        <w:r>
          <w:t>Table</w:t>
        </w:r>
        <w:r>
          <w:rPr>
            <w:spacing w:val="-13"/>
          </w:rPr>
          <w:t xml:space="preserve"> </w:t>
        </w:r>
        <w:r>
          <w:t>G-3.</w:t>
        </w:r>
        <w:r>
          <w:rPr>
            <w:spacing w:val="-12"/>
          </w:rPr>
          <w:t xml:space="preserve"> </w:t>
        </w:r>
        <w:r>
          <w:t>Change</w:t>
        </w:r>
        <w:r>
          <w:rPr>
            <w:spacing w:val="-12"/>
          </w:rPr>
          <w:t xml:space="preserve"> </w:t>
        </w:r>
        <w:r>
          <w:t>In</w:t>
        </w:r>
        <w:r>
          <w:rPr>
            <w:spacing w:val="-12"/>
          </w:rPr>
          <w:t xml:space="preserve"> </w:t>
        </w:r>
        <w:r>
          <w:t>GC</w:t>
        </w:r>
        <w:r>
          <w:rPr>
            <w:spacing w:val="-13"/>
          </w:rPr>
          <w:t xml:space="preserve"> </w:t>
        </w:r>
        <w:r>
          <w:t>Savings</w:t>
        </w:r>
        <w:r>
          <w:rPr>
            <w:spacing w:val="-12"/>
          </w:rPr>
          <w:t xml:space="preserve"> </w:t>
        </w:r>
        <w:r>
          <w:t>Rate</w:t>
        </w:r>
        <w:r>
          <w:rPr>
            <w:spacing w:val="-12"/>
          </w:rPr>
          <w:t xml:space="preserve"> </w:t>
        </w:r>
        <w:r>
          <w:t>Multipliers</w:t>
        </w:r>
        <w:r>
          <w:rPr>
            <w:spacing w:val="-14"/>
          </w:rPr>
          <w:t xml:space="preserve"> </w:t>
        </w:r>
        <w:r>
          <w:t>................................................................G-</w:t>
        </w:r>
        <w:r>
          <w:rPr>
            <w:spacing w:val="-10"/>
          </w:rPr>
          <w:t>2</w:t>
        </w:r>
      </w:hyperlink>
    </w:p>
    <w:p w:rsidR="00C31389" w:rsidRDefault="00561FBD" w14:paraId="2971B411" w14:textId="77777777">
      <w:pPr>
        <w:pStyle w:val="BodyText"/>
        <w:ind w:left="479" w:right="566"/>
        <w:jc w:val="both"/>
      </w:pPr>
      <w:hyperlink w:history="1" w:anchor="_bookmark483">
        <w:r>
          <w:t>Table</w:t>
        </w:r>
        <w:r>
          <w:rPr>
            <w:spacing w:val="-16"/>
          </w:rPr>
          <w:t xml:space="preserve"> </w:t>
        </w:r>
        <w:r>
          <w:t>G-4.</w:t>
        </w:r>
        <w:r>
          <w:rPr>
            <w:spacing w:val="-15"/>
          </w:rPr>
          <w:t xml:space="preserve"> </w:t>
        </w:r>
        <w:r>
          <w:t>Industrial</w:t>
        </w:r>
        <w:r>
          <w:rPr>
            <w:spacing w:val="-6"/>
          </w:rPr>
          <w:t xml:space="preserve"> </w:t>
        </w:r>
        <w:r>
          <w:t>and</w:t>
        </w:r>
        <w:r>
          <w:rPr>
            <w:spacing w:val="-4"/>
          </w:rPr>
          <w:t xml:space="preserve"> </w:t>
        </w:r>
        <w:r>
          <w:t>Agriculture</w:t>
        </w:r>
        <w:r>
          <w:rPr>
            <w:spacing w:val="-4"/>
          </w:rPr>
          <w:t xml:space="preserve"> </w:t>
        </w:r>
        <w:r>
          <w:t>ET</w:t>
        </w:r>
        <w:r>
          <w:rPr>
            <w:spacing w:val="-4"/>
          </w:rPr>
          <w:t xml:space="preserve"> </w:t>
        </w:r>
        <w:r>
          <w:t>–</w:t>
        </w:r>
        <w:r>
          <w:rPr>
            <w:spacing w:val="-4"/>
          </w:rPr>
          <w:t xml:space="preserve"> </w:t>
        </w:r>
        <w:r>
          <w:t>Key</w:t>
        </w:r>
        <w:r>
          <w:rPr>
            <w:spacing w:val="-4"/>
          </w:rPr>
          <w:t xml:space="preserve"> </w:t>
        </w:r>
        <w:r>
          <w:t>Assumptions</w:t>
        </w:r>
        <w:r>
          <w:rPr>
            <w:spacing w:val="-16"/>
          </w:rPr>
          <w:t xml:space="preserve"> </w:t>
        </w:r>
        <w:r>
          <w:t>...............</w:t>
        </w:r>
        <w:r>
          <w:t>...................................G-6</w:t>
        </w:r>
      </w:hyperlink>
      <w:r>
        <w:t xml:space="preserve"> </w:t>
      </w:r>
      <w:hyperlink w:history="1" w:anchor="_bookmark489">
        <w:r>
          <w:t>Table</w:t>
        </w:r>
        <w:r>
          <w:rPr>
            <w:spacing w:val="-16"/>
          </w:rPr>
          <w:t xml:space="preserve"> </w:t>
        </w:r>
        <w:r>
          <w:t>G-5.</w:t>
        </w:r>
        <w:r>
          <w:rPr>
            <w:spacing w:val="-14"/>
          </w:rPr>
          <w:t xml:space="preserve"> </w:t>
        </w:r>
        <w:r>
          <w:t>ET</w:t>
        </w:r>
        <w:r>
          <w:rPr>
            <w:spacing w:val="-6"/>
          </w:rPr>
          <w:t xml:space="preserve"> </w:t>
        </w:r>
        <w:r>
          <w:t>Evaluation</w:t>
        </w:r>
        <w:r>
          <w:rPr>
            <w:spacing w:val="-7"/>
          </w:rPr>
          <w:t xml:space="preserve"> </w:t>
        </w:r>
        <w:r>
          <w:t>Criteria</w:t>
        </w:r>
        <w:r>
          <w:rPr>
            <w:spacing w:val="-16"/>
          </w:rPr>
          <w:t xml:space="preserve"> </w:t>
        </w:r>
        <w:r>
          <w:t>............................................................................................G-7</w:t>
        </w:r>
      </w:hyperlink>
      <w:r>
        <w:t xml:space="preserve"> </w:t>
      </w:r>
      <w:hyperlink w:history="1" w:anchor="_bookmark493">
        <w:r>
          <w:t>Table</w:t>
        </w:r>
        <w:r>
          <w:rPr>
            <w:spacing w:val="-11"/>
          </w:rPr>
          <w:t xml:space="preserve"> </w:t>
        </w:r>
        <w:r>
          <w:t>G-6.</w:t>
        </w:r>
        <w:r>
          <w:rPr>
            <w:spacing w:val="-11"/>
          </w:rPr>
          <w:t xml:space="preserve"> </w:t>
        </w:r>
        <w:r>
          <w:t>ET</w:t>
        </w:r>
        <w:r>
          <w:rPr>
            <w:spacing w:val="-11"/>
          </w:rPr>
          <w:t xml:space="preserve"> </w:t>
        </w:r>
        <w:r>
          <w:t>UES</w:t>
        </w:r>
        <w:r>
          <w:rPr>
            <w:spacing w:val="-10"/>
          </w:rPr>
          <w:t xml:space="preserve"> </w:t>
        </w:r>
        <w:r>
          <w:t>Multipliers</w:t>
        </w:r>
        <w:r>
          <w:rPr>
            <w:spacing w:val="-11"/>
          </w:rPr>
          <w:t xml:space="preserve"> </w:t>
        </w:r>
        <w:r>
          <w:t>by</w:t>
        </w:r>
        <w:r>
          <w:rPr>
            <w:spacing w:val="-11"/>
          </w:rPr>
          <w:t xml:space="preserve"> </w:t>
        </w:r>
        <w:r>
          <w:t>Segment</w:t>
        </w:r>
        <w:r>
          <w:rPr>
            <w:spacing w:val="-11"/>
          </w:rPr>
          <w:t xml:space="preserve"> </w:t>
        </w:r>
        <w:r>
          <w:t>and</w:t>
        </w:r>
        <w:r>
          <w:rPr>
            <w:spacing w:val="-11"/>
          </w:rPr>
          <w:t xml:space="preserve"> </w:t>
        </w:r>
        <w:r>
          <w:t>Fuel..............................................................G-</w:t>
        </w:r>
        <w:r>
          <w:rPr>
            <w:spacing w:val="-10"/>
          </w:rPr>
          <w:t>9</w:t>
        </w:r>
      </w:hyperlink>
    </w:p>
    <w:p w:rsidR="00C31389" w:rsidRDefault="00561FBD" w14:paraId="0A15B018" w14:textId="77777777">
      <w:pPr>
        <w:pStyle w:val="BodyText"/>
        <w:ind w:left="479" w:right="565"/>
        <w:jc w:val="both"/>
      </w:pPr>
      <w:hyperlink w:history="1" w:anchor="_bookmark509">
        <w:r>
          <w:t>Table</w:t>
        </w:r>
        <w:r>
          <w:rPr>
            <w:spacing w:val="-3"/>
          </w:rPr>
          <w:t xml:space="preserve"> </w:t>
        </w:r>
        <w:r>
          <w:t>H-1.</w:t>
        </w:r>
        <w:r>
          <w:rPr>
            <w:spacing w:val="-3"/>
          </w:rPr>
          <w:t xml:space="preserve"> </w:t>
        </w:r>
        <w:r>
          <w:t>Converting</w:t>
        </w:r>
        <w:r>
          <w:rPr>
            <w:spacing w:val="-4"/>
          </w:rPr>
          <w:t xml:space="preserve"> </w:t>
        </w:r>
        <w:r>
          <w:t>Survey</w:t>
        </w:r>
        <w:r>
          <w:rPr>
            <w:spacing w:val="-3"/>
          </w:rPr>
          <w:t xml:space="preserve"> </w:t>
        </w:r>
        <w:r>
          <w:t>Responses</w:t>
        </w:r>
        <w:r>
          <w:rPr>
            <w:spacing w:val="-3"/>
          </w:rPr>
          <w:t xml:space="preserve"> </w:t>
        </w:r>
        <w:r>
          <w:t>to</w:t>
        </w:r>
        <w:r>
          <w:rPr>
            <w:spacing w:val="-3"/>
          </w:rPr>
          <w:t xml:space="preserve"> </w:t>
        </w:r>
        <w:r>
          <w:t>Preference</w:t>
        </w:r>
        <w:r>
          <w:rPr>
            <w:spacing w:val="-3"/>
          </w:rPr>
          <w:t xml:space="preserve"> </w:t>
        </w:r>
        <w:r>
          <w:t>Weightings</w:t>
        </w:r>
        <w:r>
          <w:rPr>
            <w:spacing w:val="-15"/>
          </w:rPr>
          <w:t xml:space="preserve"> </w:t>
        </w:r>
        <w:r>
          <w:t>.....................................H-3</w:t>
        </w:r>
      </w:hyperlink>
      <w:r>
        <w:t xml:space="preserve"> </w:t>
      </w:r>
      <w:hyperlink w:history="1" w:anchor="_bookmark518">
        <w:r>
          <w:t>Table</w:t>
        </w:r>
        <w:r>
          <w:rPr>
            <w:spacing w:val="-16"/>
          </w:rPr>
          <w:t xml:space="preserve"> </w:t>
        </w:r>
        <w:r>
          <w:t>I-1.</w:t>
        </w:r>
        <w:r>
          <w:rPr>
            <w:spacing w:val="-15"/>
          </w:rPr>
          <w:t xml:space="preserve"> </w:t>
        </w:r>
        <w:r>
          <w:t>CET</w:t>
        </w:r>
        <w:r>
          <w:rPr>
            <w:spacing w:val="-15"/>
          </w:rPr>
          <w:t xml:space="preserve"> </w:t>
        </w:r>
        <w:r>
          <w:t>and</w:t>
        </w:r>
        <w:r>
          <w:rPr>
            <w:spacing w:val="-16"/>
          </w:rPr>
          <w:t xml:space="preserve"> </w:t>
        </w:r>
        <w:r>
          <w:t>P</w:t>
        </w:r>
        <w:r>
          <w:t>G</w:t>
        </w:r>
        <w:r>
          <w:rPr>
            <w:spacing w:val="-15"/>
          </w:rPr>
          <w:t xml:space="preserve"> </w:t>
        </w:r>
        <w:r>
          <w:t>Model</w:t>
        </w:r>
        <w:r>
          <w:rPr>
            <w:spacing w:val="-15"/>
          </w:rPr>
          <w:t xml:space="preserve"> </w:t>
        </w:r>
        <w:r>
          <w:t>Comparison</w:t>
        </w:r>
        <w:r>
          <w:rPr>
            <w:spacing w:val="-16"/>
          </w:rPr>
          <w:t xml:space="preserve"> </w:t>
        </w:r>
        <w:r>
          <w:t>..............................................................................</w:t>
        </w:r>
        <w:r>
          <w:rPr>
            <w:spacing w:val="-15"/>
          </w:rPr>
          <w:t xml:space="preserve"> </w:t>
        </w:r>
        <w:r>
          <w:t>I-</w:t>
        </w:r>
        <w:r>
          <w:rPr>
            <w:spacing w:val="-10"/>
          </w:rPr>
          <w:t>1</w:t>
        </w:r>
      </w:hyperlink>
    </w:p>
    <w:p w:rsidR="00C31389" w:rsidRDefault="00561FBD" w14:paraId="7D1139DE" w14:textId="77777777">
      <w:pPr>
        <w:pStyle w:val="BodyText"/>
        <w:ind w:left="479"/>
        <w:jc w:val="both"/>
      </w:pPr>
      <w:hyperlink w:history="1" w:anchor="_bookmark526">
        <w:r>
          <w:t>Table</w:t>
        </w:r>
        <w:r>
          <w:rPr>
            <w:spacing w:val="-16"/>
          </w:rPr>
          <w:t xml:space="preserve"> </w:t>
        </w:r>
        <w:r>
          <w:t>J-1.</w:t>
        </w:r>
        <w:r>
          <w:rPr>
            <w:spacing w:val="-12"/>
          </w:rPr>
          <w:t xml:space="preserve"> </w:t>
        </w:r>
        <w:r>
          <w:t>TSB</w:t>
        </w:r>
        <w:r>
          <w:rPr>
            <w:spacing w:val="-11"/>
          </w:rPr>
          <w:t xml:space="preserve"> </w:t>
        </w:r>
        <w:r>
          <w:t>by</w:t>
        </w:r>
        <w:r>
          <w:rPr>
            <w:spacing w:val="-11"/>
          </w:rPr>
          <w:t xml:space="preserve"> </w:t>
        </w:r>
        <w:r>
          <w:t>Utility</w:t>
        </w:r>
        <w:r>
          <w:rPr>
            <w:spacing w:val="-12"/>
          </w:rPr>
          <w:t xml:space="preserve"> </w:t>
        </w:r>
        <w:r>
          <w:t>by</w:t>
        </w:r>
        <w:r>
          <w:rPr>
            <w:spacing w:val="-11"/>
          </w:rPr>
          <w:t xml:space="preserve"> </w:t>
        </w:r>
        <w:r>
          <w:t>Scenario</w:t>
        </w:r>
        <w:r>
          <w:rPr>
            <w:spacing w:val="-12"/>
          </w:rPr>
          <w:t xml:space="preserve"> </w:t>
        </w:r>
        <w:r>
          <w:t>($</w:t>
        </w:r>
        <w:r>
          <w:rPr>
            <w:spacing w:val="-11"/>
          </w:rPr>
          <w:t xml:space="preserve"> </w:t>
        </w:r>
        <w:r>
          <w:t>Millions)</w:t>
        </w:r>
        <w:r>
          <w:rPr>
            <w:spacing w:val="-28"/>
          </w:rPr>
          <w:t xml:space="preserve"> </w:t>
        </w:r>
        <w:r>
          <w:t>.....................................</w:t>
        </w:r>
        <w:r>
          <w:t>................................J-</w:t>
        </w:r>
        <w:r>
          <w:rPr>
            <w:spacing w:val="-10"/>
          </w:rPr>
          <w:t>1</w:t>
        </w:r>
      </w:hyperlink>
    </w:p>
    <w:p w:rsidR="00C31389" w:rsidRDefault="00561FBD" w14:paraId="18E5FFD9" w14:textId="77777777">
      <w:pPr>
        <w:pStyle w:val="BodyText"/>
        <w:ind w:left="479"/>
        <w:jc w:val="both"/>
      </w:pPr>
      <w:hyperlink w:history="1" w:anchor="_bookmark528">
        <w:r>
          <w:t>Table</w:t>
        </w:r>
        <w:r>
          <w:rPr>
            <w:spacing w:val="-15"/>
          </w:rPr>
          <w:t xml:space="preserve"> </w:t>
        </w:r>
        <w:r>
          <w:t>J-2.</w:t>
        </w:r>
        <w:r>
          <w:rPr>
            <w:spacing w:val="-14"/>
          </w:rPr>
          <w:t xml:space="preserve"> </w:t>
        </w:r>
        <w:r>
          <w:t>PG&amp;E</w:t>
        </w:r>
        <w:r>
          <w:rPr>
            <w:spacing w:val="-14"/>
          </w:rPr>
          <w:t xml:space="preserve"> </w:t>
        </w:r>
        <w:r>
          <w:t>Electric</w:t>
        </w:r>
        <w:r>
          <w:rPr>
            <w:spacing w:val="-14"/>
          </w:rPr>
          <w:t xml:space="preserve"> </w:t>
        </w:r>
        <w:r>
          <w:t>Energy</w:t>
        </w:r>
        <w:r>
          <w:rPr>
            <w:spacing w:val="-14"/>
          </w:rPr>
          <w:t xml:space="preserve"> </w:t>
        </w:r>
        <w:r>
          <w:t>Savings</w:t>
        </w:r>
        <w:r>
          <w:rPr>
            <w:spacing w:val="-15"/>
          </w:rPr>
          <w:t xml:space="preserve"> </w:t>
        </w:r>
        <w:r>
          <w:t>(GWh/year)</w:t>
        </w:r>
        <w:r>
          <w:rPr>
            <w:spacing w:val="-15"/>
          </w:rPr>
          <w:t xml:space="preserve"> </w:t>
        </w:r>
        <w:r>
          <w:t>............................................................J-</w:t>
        </w:r>
        <w:r>
          <w:rPr>
            <w:spacing w:val="-10"/>
          </w:rPr>
          <w:t>2</w:t>
        </w:r>
      </w:hyperlink>
    </w:p>
    <w:p w:rsidR="00C31389" w:rsidRDefault="00561FBD" w14:paraId="4A94E798" w14:textId="77777777">
      <w:pPr>
        <w:pStyle w:val="BodyText"/>
        <w:spacing w:line="253" w:lineRule="exact"/>
        <w:ind w:left="479"/>
        <w:jc w:val="both"/>
      </w:pPr>
      <w:hyperlink w:history="1" w:anchor="_bookmark529">
        <w:r>
          <w:rPr>
            <w:spacing w:val="-2"/>
          </w:rPr>
          <w:t>Table</w:t>
        </w:r>
        <w:r>
          <w:rPr>
            <w:spacing w:val="23"/>
          </w:rPr>
          <w:t xml:space="preserve"> </w:t>
        </w:r>
        <w:r>
          <w:rPr>
            <w:spacing w:val="-2"/>
          </w:rPr>
          <w:t>J-3.</w:t>
        </w:r>
        <w:r>
          <w:rPr>
            <w:spacing w:val="24"/>
          </w:rPr>
          <w:t xml:space="preserve"> </w:t>
        </w:r>
        <w:r>
          <w:rPr>
            <w:spacing w:val="-2"/>
          </w:rPr>
          <w:t>PG&amp;E</w:t>
        </w:r>
        <w:r>
          <w:rPr>
            <w:spacing w:val="23"/>
          </w:rPr>
          <w:t xml:space="preserve"> </w:t>
        </w:r>
        <w:r>
          <w:rPr>
            <w:spacing w:val="-2"/>
          </w:rPr>
          <w:t>Demand</w:t>
        </w:r>
        <w:r>
          <w:rPr>
            <w:spacing w:val="24"/>
          </w:rPr>
          <w:t xml:space="preserve"> </w:t>
        </w:r>
        <w:r>
          <w:rPr>
            <w:spacing w:val="-2"/>
          </w:rPr>
          <w:t>Savings</w:t>
        </w:r>
        <w:r>
          <w:rPr>
            <w:spacing w:val="24"/>
          </w:rPr>
          <w:t xml:space="preserve"> </w:t>
        </w:r>
        <w:r>
          <w:rPr>
            <w:spacing w:val="-2"/>
          </w:rPr>
          <w:t>(MW)</w:t>
        </w:r>
        <w:r>
          <w:rPr>
            <w:spacing w:val="-31"/>
          </w:rPr>
          <w:t xml:space="preserve"> </w:t>
        </w:r>
        <w:r>
          <w:rPr>
            <w:spacing w:val="-2"/>
          </w:rPr>
          <w:t>.................................................................................J-</w:t>
        </w:r>
        <w:r>
          <w:rPr>
            <w:spacing w:val="-10"/>
          </w:rPr>
          <w:t>2</w:t>
        </w:r>
      </w:hyperlink>
    </w:p>
    <w:p w:rsidR="00C31389" w:rsidRDefault="00561FBD" w14:paraId="4D85A229" w14:textId="77777777">
      <w:pPr>
        <w:pStyle w:val="BodyText"/>
        <w:spacing w:line="252" w:lineRule="exact"/>
        <w:ind w:left="479"/>
        <w:jc w:val="both"/>
      </w:pPr>
      <w:hyperlink w:history="1" w:anchor="_bookmark530">
        <w:r>
          <w:t>Table</w:t>
        </w:r>
        <w:r>
          <w:rPr>
            <w:spacing w:val="-15"/>
          </w:rPr>
          <w:t xml:space="preserve"> </w:t>
        </w:r>
        <w:r>
          <w:t>J-4.</w:t>
        </w:r>
        <w:r>
          <w:rPr>
            <w:spacing w:val="-14"/>
          </w:rPr>
          <w:t xml:space="preserve"> </w:t>
        </w:r>
        <w:r>
          <w:t>PG&amp;E</w:t>
        </w:r>
        <w:r>
          <w:rPr>
            <w:spacing w:val="-14"/>
          </w:rPr>
          <w:t xml:space="preserve"> </w:t>
        </w:r>
        <w:r>
          <w:t>Gas</w:t>
        </w:r>
        <w:r>
          <w:rPr>
            <w:spacing w:val="-14"/>
          </w:rPr>
          <w:t xml:space="preserve"> </w:t>
        </w:r>
        <w:r>
          <w:t>Energy</w:t>
        </w:r>
        <w:r>
          <w:rPr>
            <w:spacing w:val="-15"/>
          </w:rPr>
          <w:t xml:space="preserve"> </w:t>
        </w:r>
        <w:r>
          <w:t>Savings</w:t>
        </w:r>
        <w:r>
          <w:rPr>
            <w:spacing w:val="-14"/>
          </w:rPr>
          <w:t xml:space="preserve"> </w:t>
        </w:r>
        <w:r>
          <w:t>(MMtherm/year)...........................................................J-</w:t>
        </w:r>
        <w:r>
          <w:rPr>
            <w:spacing w:val="-10"/>
          </w:rPr>
          <w:t>3</w:t>
        </w:r>
      </w:hyperlink>
    </w:p>
    <w:p w:rsidR="00C31389" w:rsidRDefault="00561FBD" w14:paraId="1AAAE6F9" w14:textId="77777777">
      <w:pPr>
        <w:pStyle w:val="BodyText"/>
        <w:ind w:left="480"/>
      </w:pPr>
      <w:hyperlink w:history="1" w:anchor="_bookmark531">
        <w:r>
          <w:rPr>
            <w:spacing w:val="-2"/>
          </w:rPr>
          <w:t>Table</w:t>
        </w:r>
        <w:r>
          <w:rPr>
            <w:spacing w:val="18"/>
          </w:rPr>
          <w:t xml:space="preserve"> </w:t>
        </w:r>
        <w:r>
          <w:rPr>
            <w:spacing w:val="-2"/>
          </w:rPr>
          <w:t>J-5.</w:t>
        </w:r>
        <w:r>
          <w:rPr>
            <w:spacing w:val="18"/>
          </w:rPr>
          <w:t xml:space="preserve"> </w:t>
        </w:r>
        <w:r>
          <w:rPr>
            <w:spacing w:val="-2"/>
          </w:rPr>
          <w:t>SCE</w:t>
        </w:r>
        <w:r>
          <w:rPr>
            <w:spacing w:val="18"/>
          </w:rPr>
          <w:t xml:space="preserve"> </w:t>
        </w:r>
        <w:r>
          <w:rPr>
            <w:spacing w:val="-2"/>
          </w:rPr>
          <w:t>Ele</w:t>
        </w:r>
        <w:r>
          <w:rPr>
            <w:spacing w:val="-2"/>
          </w:rPr>
          <w:t>ctric</w:t>
        </w:r>
        <w:r>
          <w:rPr>
            <w:spacing w:val="18"/>
          </w:rPr>
          <w:t xml:space="preserve"> </w:t>
        </w:r>
        <w:r>
          <w:rPr>
            <w:spacing w:val="-2"/>
          </w:rPr>
          <w:t>Energy</w:t>
        </w:r>
        <w:r>
          <w:rPr>
            <w:spacing w:val="18"/>
          </w:rPr>
          <w:t xml:space="preserve"> </w:t>
        </w:r>
        <w:r>
          <w:rPr>
            <w:spacing w:val="-2"/>
          </w:rPr>
          <w:t>Savings</w:t>
        </w:r>
        <w:r>
          <w:rPr>
            <w:spacing w:val="18"/>
          </w:rPr>
          <w:t xml:space="preserve"> </w:t>
        </w:r>
        <w:r>
          <w:rPr>
            <w:spacing w:val="-2"/>
          </w:rPr>
          <w:t>(GWh/year)</w:t>
        </w:r>
        <w:r>
          <w:rPr>
            <w:spacing w:val="-17"/>
          </w:rPr>
          <w:t xml:space="preserve"> </w:t>
        </w:r>
        <w:r>
          <w:rPr>
            <w:spacing w:val="-2"/>
          </w:rPr>
          <w:t>...............................................................J-</w:t>
        </w:r>
        <w:r>
          <w:rPr>
            <w:spacing w:val="-10"/>
          </w:rPr>
          <w:t>4</w:t>
        </w:r>
      </w:hyperlink>
    </w:p>
    <w:p w:rsidR="00C31389" w:rsidRDefault="00561FBD" w14:paraId="296B9D66" w14:textId="77777777">
      <w:pPr>
        <w:pStyle w:val="BodyText"/>
        <w:spacing w:before="1"/>
        <w:ind w:left="479"/>
      </w:pPr>
      <w:hyperlink w:history="1" w:anchor="_bookmark532">
        <w:r>
          <w:rPr>
            <w:spacing w:val="-2"/>
          </w:rPr>
          <w:t>Table</w:t>
        </w:r>
        <w:r>
          <w:rPr>
            <w:spacing w:val="22"/>
          </w:rPr>
          <w:t xml:space="preserve"> </w:t>
        </w:r>
        <w:r>
          <w:rPr>
            <w:spacing w:val="-2"/>
          </w:rPr>
          <w:t>J-6.</w:t>
        </w:r>
        <w:r>
          <w:rPr>
            <w:spacing w:val="22"/>
          </w:rPr>
          <w:t xml:space="preserve"> </w:t>
        </w:r>
        <w:r>
          <w:rPr>
            <w:spacing w:val="-2"/>
          </w:rPr>
          <w:t>SCE</w:t>
        </w:r>
        <w:r>
          <w:rPr>
            <w:spacing w:val="22"/>
          </w:rPr>
          <w:t xml:space="preserve"> </w:t>
        </w:r>
        <w:r>
          <w:rPr>
            <w:spacing w:val="-2"/>
          </w:rPr>
          <w:t>Demand</w:t>
        </w:r>
        <w:r>
          <w:rPr>
            <w:spacing w:val="23"/>
          </w:rPr>
          <w:t xml:space="preserve"> </w:t>
        </w:r>
        <w:r>
          <w:rPr>
            <w:spacing w:val="-2"/>
          </w:rPr>
          <w:t>Savings</w:t>
        </w:r>
        <w:r>
          <w:rPr>
            <w:spacing w:val="22"/>
          </w:rPr>
          <w:t xml:space="preserve"> </w:t>
        </w:r>
        <w:r>
          <w:rPr>
            <w:spacing w:val="-2"/>
          </w:rPr>
          <w:t>(MW)</w:t>
        </w:r>
        <w:r>
          <w:rPr>
            <w:spacing w:val="17"/>
          </w:rPr>
          <w:t xml:space="preserve"> </w:t>
        </w:r>
        <w:r>
          <w:rPr>
            <w:spacing w:val="-2"/>
          </w:rPr>
          <w:t>...................................................................................J-</w:t>
        </w:r>
        <w:r>
          <w:rPr>
            <w:spacing w:val="-10"/>
          </w:rPr>
          <w:t>4</w:t>
        </w:r>
      </w:hyperlink>
    </w:p>
    <w:p w:rsidR="00C31389" w:rsidRDefault="00561FBD" w14:paraId="20821BB6" w14:textId="77777777">
      <w:pPr>
        <w:pStyle w:val="BodyText"/>
        <w:ind w:left="480"/>
      </w:pPr>
      <w:hyperlink w:history="1" w:anchor="_bookmark533">
        <w:r>
          <w:t>Table</w:t>
        </w:r>
        <w:r>
          <w:rPr>
            <w:spacing w:val="-16"/>
          </w:rPr>
          <w:t xml:space="preserve"> </w:t>
        </w:r>
        <w:r>
          <w:t>J-7.</w:t>
        </w:r>
        <w:r>
          <w:rPr>
            <w:spacing w:val="-11"/>
          </w:rPr>
          <w:t xml:space="preserve"> </w:t>
        </w:r>
        <w:r>
          <w:t>SCE</w:t>
        </w:r>
        <w:r>
          <w:rPr>
            <w:spacing w:val="-11"/>
          </w:rPr>
          <w:t xml:space="preserve"> </w:t>
        </w:r>
        <w:r>
          <w:t>Gas</w:t>
        </w:r>
        <w:r>
          <w:rPr>
            <w:spacing w:val="-12"/>
          </w:rPr>
          <w:t xml:space="preserve"> </w:t>
        </w:r>
        <w:r>
          <w:t>Savings</w:t>
        </w:r>
        <w:r>
          <w:rPr>
            <w:spacing w:val="-11"/>
          </w:rPr>
          <w:t xml:space="preserve"> </w:t>
        </w:r>
        <w:r>
          <w:t>(MMtherms)</w:t>
        </w:r>
        <w:r>
          <w:rPr>
            <w:spacing w:val="-11"/>
          </w:rPr>
          <w:t xml:space="preserve"> </w:t>
        </w:r>
        <w:r>
          <w:t>–</w:t>
        </w:r>
        <w:r>
          <w:rPr>
            <w:spacing w:val="-12"/>
          </w:rPr>
          <w:t xml:space="preserve"> </w:t>
        </w:r>
        <w:r>
          <w:t>FS</w:t>
        </w:r>
        <w:r>
          <w:rPr>
            <w:spacing w:val="-11"/>
          </w:rPr>
          <w:t xml:space="preserve"> </w:t>
        </w:r>
        <w:r>
          <w:t>Only</w:t>
        </w:r>
        <w:r>
          <w:rPr>
            <w:spacing w:val="-39"/>
          </w:rPr>
          <w:t xml:space="preserve"> </w:t>
        </w:r>
        <w:r>
          <w:t>...............................................................J-</w:t>
        </w:r>
        <w:r>
          <w:rPr>
            <w:spacing w:val="-10"/>
          </w:rPr>
          <w:t>5</w:t>
        </w:r>
      </w:hyperlink>
    </w:p>
    <w:p w:rsidR="00C31389" w:rsidRDefault="00561FBD" w14:paraId="3A6DDDCC" w14:textId="77777777">
      <w:pPr>
        <w:pStyle w:val="BodyText"/>
        <w:spacing w:line="253" w:lineRule="exact"/>
        <w:ind w:left="480"/>
      </w:pPr>
      <w:hyperlink w:history="1" w:anchor="_bookmark534">
        <w:r>
          <w:rPr>
            <w:spacing w:val="-2"/>
          </w:rPr>
          <w:t>Table</w:t>
        </w:r>
        <w:r>
          <w:rPr>
            <w:spacing w:val="21"/>
          </w:rPr>
          <w:t xml:space="preserve"> </w:t>
        </w:r>
        <w:r>
          <w:rPr>
            <w:spacing w:val="-2"/>
          </w:rPr>
          <w:t>J-8.</w:t>
        </w:r>
        <w:r>
          <w:rPr>
            <w:spacing w:val="21"/>
          </w:rPr>
          <w:t xml:space="preserve"> </w:t>
        </w:r>
        <w:r>
          <w:rPr>
            <w:spacing w:val="-2"/>
          </w:rPr>
          <w:t>SCG</w:t>
        </w:r>
        <w:r>
          <w:rPr>
            <w:spacing w:val="21"/>
          </w:rPr>
          <w:t xml:space="preserve"> </w:t>
        </w:r>
        <w:r>
          <w:rPr>
            <w:spacing w:val="-2"/>
          </w:rPr>
          <w:t>Gas</w:t>
        </w:r>
        <w:r>
          <w:rPr>
            <w:spacing w:val="22"/>
          </w:rPr>
          <w:t xml:space="preserve"> </w:t>
        </w:r>
        <w:r>
          <w:rPr>
            <w:spacing w:val="-2"/>
          </w:rPr>
          <w:t>Savings</w:t>
        </w:r>
        <w:r>
          <w:rPr>
            <w:spacing w:val="21"/>
          </w:rPr>
          <w:t xml:space="preserve"> </w:t>
        </w:r>
        <w:r>
          <w:rPr>
            <w:spacing w:val="-2"/>
          </w:rPr>
          <w:t>(MMtherm/year)</w:t>
        </w:r>
        <w:r>
          <w:rPr>
            <w:spacing w:val="4"/>
          </w:rPr>
          <w:t xml:space="preserve"> </w:t>
        </w:r>
        <w:r>
          <w:rPr>
            <w:spacing w:val="-2"/>
          </w:rPr>
          <w:t>......</w:t>
        </w:r>
        <w:r>
          <w:rPr>
            <w:spacing w:val="-2"/>
          </w:rPr>
          <w:t>...................................................................J-</w:t>
        </w:r>
        <w:r>
          <w:rPr>
            <w:spacing w:val="-10"/>
          </w:rPr>
          <w:t>5</w:t>
        </w:r>
      </w:hyperlink>
    </w:p>
    <w:p w:rsidR="00C31389" w:rsidRDefault="00561FBD" w14:paraId="23E2BC4B" w14:textId="77777777">
      <w:pPr>
        <w:pStyle w:val="BodyText"/>
        <w:spacing w:line="253" w:lineRule="exact"/>
        <w:ind w:left="480"/>
      </w:pPr>
      <w:hyperlink w:history="1" w:anchor="_bookmark535">
        <w:r>
          <w:rPr>
            <w:spacing w:val="-2"/>
          </w:rPr>
          <w:t>Table</w:t>
        </w:r>
        <w:r>
          <w:rPr>
            <w:spacing w:val="17"/>
          </w:rPr>
          <w:t xml:space="preserve"> </w:t>
        </w:r>
        <w:r>
          <w:rPr>
            <w:spacing w:val="-2"/>
          </w:rPr>
          <w:t>J-9.</w:t>
        </w:r>
        <w:r>
          <w:rPr>
            <w:spacing w:val="18"/>
          </w:rPr>
          <w:t xml:space="preserve"> </w:t>
        </w:r>
        <w:r>
          <w:rPr>
            <w:spacing w:val="-2"/>
          </w:rPr>
          <w:t>SDG&amp;E</w:t>
        </w:r>
        <w:r>
          <w:rPr>
            <w:spacing w:val="18"/>
          </w:rPr>
          <w:t xml:space="preserve"> </w:t>
        </w:r>
        <w:r>
          <w:rPr>
            <w:spacing w:val="-2"/>
          </w:rPr>
          <w:t>Electric</w:t>
        </w:r>
        <w:r>
          <w:rPr>
            <w:spacing w:val="17"/>
          </w:rPr>
          <w:t xml:space="preserve"> </w:t>
        </w:r>
        <w:r>
          <w:rPr>
            <w:spacing w:val="-2"/>
          </w:rPr>
          <w:t>Energy</w:t>
        </w:r>
        <w:r>
          <w:rPr>
            <w:spacing w:val="18"/>
          </w:rPr>
          <w:t xml:space="preserve"> </w:t>
        </w:r>
        <w:r>
          <w:rPr>
            <w:spacing w:val="-2"/>
          </w:rPr>
          <w:t>Savings</w:t>
        </w:r>
        <w:r>
          <w:rPr>
            <w:spacing w:val="18"/>
          </w:rPr>
          <w:t xml:space="preserve"> </w:t>
        </w:r>
        <w:r>
          <w:rPr>
            <w:spacing w:val="-2"/>
          </w:rPr>
          <w:t>(GWh/year)</w:t>
        </w:r>
        <w:r>
          <w:rPr>
            <w:spacing w:val="-33"/>
          </w:rPr>
          <w:t xml:space="preserve"> </w:t>
        </w:r>
        <w:r>
          <w:rPr>
            <w:spacing w:val="-2"/>
          </w:rPr>
          <w:t>..........................................................J-</w:t>
        </w:r>
        <w:r>
          <w:rPr>
            <w:spacing w:val="-10"/>
          </w:rPr>
          <w:t>6</w:t>
        </w:r>
      </w:hyperlink>
    </w:p>
    <w:p w:rsidR="00C31389" w:rsidRDefault="00561FBD" w14:paraId="4C5E5346" w14:textId="77777777">
      <w:pPr>
        <w:pStyle w:val="BodyText"/>
        <w:ind w:left="480"/>
      </w:pPr>
      <w:hyperlink w:history="1" w:anchor="_bookmark536">
        <w:r>
          <w:rPr>
            <w:spacing w:val="-2"/>
          </w:rPr>
          <w:t>Table</w:t>
        </w:r>
        <w:r>
          <w:rPr>
            <w:spacing w:val="21"/>
          </w:rPr>
          <w:t xml:space="preserve"> </w:t>
        </w:r>
        <w:r>
          <w:rPr>
            <w:spacing w:val="-2"/>
          </w:rPr>
          <w:t>J-10.</w:t>
        </w:r>
        <w:r>
          <w:rPr>
            <w:spacing w:val="20"/>
          </w:rPr>
          <w:t xml:space="preserve"> </w:t>
        </w:r>
        <w:r>
          <w:rPr>
            <w:spacing w:val="-2"/>
          </w:rPr>
          <w:t>SDG&amp;E</w:t>
        </w:r>
        <w:r>
          <w:rPr>
            <w:spacing w:val="21"/>
          </w:rPr>
          <w:t xml:space="preserve"> </w:t>
        </w:r>
        <w:r>
          <w:rPr>
            <w:spacing w:val="-2"/>
          </w:rPr>
          <w:t>Demand</w:t>
        </w:r>
        <w:r>
          <w:rPr>
            <w:spacing w:val="22"/>
          </w:rPr>
          <w:t xml:space="preserve"> </w:t>
        </w:r>
        <w:r>
          <w:rPr>
            <w:spacing w:val="-2"/>
          </w:rPr>
          <w:t>Savings</w:t>
        </w:r>
        <w:r>
          <w:rPr>
            <w:spacing w:val="21"/>
          </w:rPr>
          <w:t xml:space="preserve"> </w:t>
        </w:r>
        <w:r>
          <w:rPr>
            <w:spacing w:val="-2"/>
          </w:rPr>
          <w:t>(MW)</w:t>
        </w:r>
        <w:r>
          <w:rPr>
            <w:spacing w:val="3"/>
          </w:rPr>
          <w:t xml:space="preserve"> </w:t>
        </w:r>
        <w:r>
          <w:rPr>
            <w:spacing w:val="-2"/>
          </w:rPr>
          <w:t>............................................................................J-</w:t>
        </w:r>
        <w:r>
          <w:rPr>
            <w:spacing w:val="-10"/>
          </w:rPr>
          <w:t>7</w:t>
        </w:r>
      </w:hyperlink>
    </w:p>
    <w:p w:rsidR="00C31389" w:rsidRDefault="00561FBD" w14:paraId="59AD8FF3" w14:textId="77777777">
      <w:pPr>
        <w:pStyle w:val="BodyText"/>
        <w:ind w:left="480"/>
      </w:pPr>
      <w:hyperlink w:history="1" w:anchor="_bookmark537">
        <w:r>
          <w:rPr>
            <w:spacing w:val="-2"/>
          </w:rPr>
          <w:t>Table</w:t>
        </w:r>
        <w:r>
          <w:rPr>
            <w:spacing w:val="16"/>
          </w:rPr>
          <w:t xml:space="preserve"> </w:t>
        </w:r>
        <w:r>
          <w:rPr>
            <w:spacing w:val="-2"/>
          </w:rPr>
          <w:t>J-11.</w:t>
        </w:r>
        <w:r>
          <w:rPr>
            <w:spacing w:val="14"/>
          </w:rPr>
          <w:t xml:space="preserve"> </w:t>
        </w:r>
        <w:r>
          <w:rPr>
            <w:spacing w:val="-2"/>
          </w:rPr>
          <w:t>SDG&amp;E</w:t>
        </w:r>
        <w:r>
          <w:rPr>
            <w:spacing w:val="16"/>
          </w:rPr>
          <w:t xml:space="preserve"> </w:t>
        </w:r>
        <w:r>
          <w:rPr>
            <w:spacing w:val="-2"/>
          </w:rPr>
          <w:t>Gas</w:t>
        </w:r>
        <w:r>
          <w:rPr>
            <w:spacing w:val="16"/>
          </w:rPr>
          <w:t xml:space="preserve"> </w:t>
        </w:r>
        <w:r>
          <w:rPr>
            <w:spacing w:val="-2"/>
          </w:rPr>
          <w:t>Energy</w:t>
        </w:r>
        <w:r>
          <w:rPr>
            <w:spacing w:val="17"/>
          </w:rPr>
          <w:t xml:space="preserve"> </w:t>
        </w:r>
        <w:r>
          <w:rPr>
            <w:spacing w:val="-2"/>
          </w:rPr>
          <w:t>Savings</w:t>
        </w:r>
        <w:r>
          <w:rPr>
            <w:spacing w:val="16"/>
          </w:rPr>
          <w:t xml:space="preserve"> </w:t>
        </w:r>
        <w:r>
          <w:rPr>
            <w:spacing w:val="-2"/>
          </w:rPr>
          <w:t>(MMtherm/year)</w:t>
        </w:r>
        <w:r>
          <w:rPr>
            <w:spacing w:val="-16"/>
          </w:rPr>
          <w:t xml:space="preserve"> </w:t>
        </w:r>
        <w:r>
          <w:rPr>
            <w:spacing w:val="-2"/>
          </w:rPr>
          <w:t>......................................................J-</w:t>
        </w:r>
        <w:r>
          <w:rPr>
            <w:spacing w:val="-10"/>
          </w:rPr>
          <w:t>7</w:t>
        </w:r>
      </w:hyperlink>
    </w:p>
    <w:p w:rsidR="00C31389" w:rsidRDefault="00561FBD" w14:paraId="72785037" w14:textId="77777777">
      <w:pPr>
        <w:pStyle w:val="BodyText"/>
        <w:spacing w:before="1"/>
        <w:ind w:left="480"/>
      </w:pPr>
      <w:hyperlink w:history="1" w:anchor="_bookmark538">
        <w:r>
          <w:t>Table</w:t>
        </w:r>
        <w:r>
          <w:rPr>
            <w:spacing w:val="-15"/>
          </w:rPr>
          <w:t xml:space="preserve"> </w:t>
        </w:r>
        <w:r>
          <w:t>J-12.</w:t>
        </w:r>
        <w:r>
          <w:rPr>
            <w:spacing w:val="-14"/>
          </w:rPr>
          <w:t xml:space="preserve"> </w:t>
        </w:r>
        <w:r>
          <w:t>PG&amp;E</w:t>
        </w:r>
        <w:r>
          <w:rPr>
            <w:spacing w:val="-14"/>
          </w:rPr>
          <w:t xml:space="preserve"> </w:t>
        </w:r>
        <w:r>
          <w:t>Electri</w:t>
        </w:r>
        <w:r>
          <w:t>c</w:t>
        </w:r>
        <w:r>
          <w:rPr>
            <w:spacing w:val="-13"/>
          </w:rPr>
          <w:t xml:space="preserve"> </w:t>
        </w:r>
        <w:r>
          <w:t>Energy</w:t>
        </w:r>
        <w:r>
          <w:rPr>
            <w:spacing w:val="-14"/>
          </w:rPr>
          <w:t xml:space="preserve"> </w:t>
        </w:r>
        <w:r>
          <w:t>Savings</w:t>
        </w:r>
        <w:r>
          <w:rPr>
            <w:spacing w:val="-14"/>
          </w:rPr>
          <w:t xml:space="preserve"> </w:t>
        </w:r>
        <w:r>
          <w:t>(GWh/year)</w:t>
        </w:r>
        <w:r>
          <w:rPr>
            <w:spacing w:val="-16"/>
          </w:rPr>
          <w:t xml:space="preserve"> </w:t>
        </w:r>
        <w:r>
          <w:t>..........................................................J-</w:t>
        </w:r>
        <w:r>
          <w:rPr>
            <w:spacing w:val="-10"/>
          </w:rPr>
          <w:t>8</w:t>
        </w:r>
      </w:hyperlink>
    </w:p>
    <w:p w:rsidR="00C31389" w:rsidRDefault="00561FBD" w14:paraId="0CAA4040" w14:textId="77777777">
      <w:pPr>
        <w:pStyle w:val="BodyText"/>
        <w:ind w:left="480"/>
      </w:pPr>
      <w:hyperlink w:history="1" w:anchor="_bookmark539">
        <w:r>
          <w:rPr>
            <w:spacing w:val="-2"/>
          </w:rPr>
          <w:t>Table</w:t>
        </w:r>
        <w:r>
          <w:rPr>
            <w:spacing w:val="23"/>
          </w:rPr>
          <w:t xml:space="preserve"> </w:t>
        </w:r>
        <w:r>
          <w:rPr>
            <w:spacing w:val="-2"/>
          </w:rPr>
          <w:t>J-13.</w:t>
        </w:r>
        <w:r>
          <w:rPr>
            <w:spacing w:val="22"/>
          </w:rPr>
          <w:t xml:space="preserve"> </w:t>
        </w:r>
        <w:r>
          <w:rPr>
            <w:spacing w:val="-2"/>
          </w:rPr>
          <w:t>PG&amp;E</w:t>
        </w:r>
        <w:r>
          <w:rPr>
            <w:spacing w:val="25"/>
          </w:rPr>
          <w:t xml:space="preserve"> </w:t>
        </w:r>
        <w:r>
          <w:rPr>
            <w:spacing w:val="-2"/>
          </w:rPr>
          <w:t>Demand</w:t>
        </w:r>
        <w:r>
          <w:rPr>
            <w:spacing w:val="24"/>
          </w:rPr>
          <w:t xml:space="preserve"> </w:t>
        </w:r>
        <w:r>
          <w:rPr>
            <w:spacing w:val="-2"/>
          </w:rPr>
          <w:t>Savings</w:t>
        </w:r>
        <w:r>
          <w:rPr>
            <w:spacing w:val="22"/>
          </w:rPr>
          <w:t xml:space="preserve"> </w:t>
        </w:r>
        <w:r>
          <w:rPr>
            <w:spacing w:val="-2"/>
          </w:rPr>
          <w:t>(MW)</w:t>
        </w:r>
        <w:r>
          <w:rPr>
            <w:spacing w:val="-29"/>
          </w:rPr>
          <w:t xml:space="preserve"> </w:t>
        </w:r>
        <w:r>
          <w:rPr>
            <w:spacing w:val="-2"/>
          </w:rPr>
          <w:t>...............................................................................J-</w:t>
        </w:r>
        <w:r>
          <w:rPr>
            <w:spacing w:val="-10"/>
          </w:rPr>
          <w:t>9</w:t>
        </w:r>
      </w:hyperlink>
    </w:p>
    <w:p w:rsidR="00C31389" w:rsidRDefault="00561FBD" w14:paraId="7A6F8ADF" w14:textId="77777777">
      <w:pPr>
        <w:pStyle w:val="BodyText"/>
        <w:spacing w:line="253" w:lineRule="exact"/>
        <w:ind w:left="480"/>
      </w:pPr>
      <w:hyperlink w:history="1" w:anchor="_bookmark540">
        <w:r>
          <w:t>Tabl</w:t>
        </w:r>
        <w:r>
          <w:t>e</w:t>
        </w:r>
        <w:r>
          <w:rPr>
            <w:spacing w:val="-15"/>
          </w:rPr>
          <w:t xml:space="preserve"> </w:t>
        </w:r>
        <w:r>
          <w:t>J-14.</w:t>
        </w:r>
        <w:r>
          <w:rPr>
            <w:spacing w:val="-15"/>
          </w:rPr>
          <w:t xml:space="preserve"> </w:t>
        </w:r>
        <w:r>
          <w:t>PG&amp;E</w:t>
        </w:r>
        <w:r>
          <w:rPr>
            <w:spacing w:val="-14"/>
          </w:rPr>
          <w:t xml:space="preserve"> </w:t>
        </w:r>
        <w:r>
          <w:t>Gas</w:t>
        </w:r>
        <w:r>
          <w:rPr>
            <w:spacing w:val="-14"/>
          </w:rPr>
          <w:t xml:space="preserve"> </w:t>
        </w:r>
        <w:r>
          <w:t>Energy</w:t>
        </w:r>
        <w:r>
          <w:rPr>
            <w:spacing w:val="-15"/>
          </w:rPr>
          <w:t xml:space="preserve"> </w:t>
        </w:r>
        <w:r>
          <w:t>Savings</w:t>
        </w:r>
        <w:r>
          <w:rPr>
            <w:spacing w:val="-14"/>
          </w:rPr>
          <w:t xml:space="preserve"> </w:t>
        </w:r>
        <w:r>
          <w:t>(MMtherm/year).........................................................J-</w:t>
        </w:r>
        <w:r>
          <w:rPr>
            <w:spacing w:val="-10"/>
          </w:rPr>
          <w:t>9</w:t>
        </w:r>
      </w:hyperlink>
    </w:p>
    <w:p w:rsidR="00C31389" w:rsidRDefault="00561FBD" w14:paraId="242F92FC" w14:textId="77777777">
      <w:pPr>
        <w:pStyle w:val="BodyText"/>
        <w:spacing w:line="253" w:lineRule="exact"/>
        <w:ind w:left="481"/>
      </w:pPr>
      <w:hyperlink w:history="1" w:anchor="_bookmark541">
        <w:r>
          <w:rPr>
            <w:spacing w:val="-2"/>
          </w:rPr>
          <w:t>Table</w:t>
        </w:r>
        <w:r>
          <w:rPr>
            <w:spacing w:val="17"/>
          </w:rPr>
          <w:t xml:space="preserve"> </w:t>
        </w:r>
        <w:r>
          <w:rPr>
            <w:spacing w:val="-2"/>
          </w:rPr>
          <w:t>J-15.</w:t>
        </w:r>
        <w:r>
          <w:rPr>
            <w:spacing w:val="16"/>
          </w:rPr>
          <w:t xml:space="preserve"> </w:t>
        </w:r>
        <w:r>
          <w:rPr>
            <w:spacing w:val="-2"/>
          </w:rPr>
          <w:t>SCE</w:t>
        </w:r>
        <w:r>
          <w:rPr>
            <w:spacing w:val="18"/>
          </w:rPr>
          <w:t xml:space="preserve"> </w:t>
        </w:r>
        <w:r>
          <w:rPr>
            <w:spacing w:val="-2"/>
          </w:rPr>
          <w:t>Electric</w:t>
        </w:r>
        <w:r>
          <w:rPr>
            <w:spacing w:val="17"/>
          </w:rPr>
          <w:t xml:space="preserve"> </w:t>
        </w:r>
        <w:r>
          <w:rPr>
            <w:spacing w:val="-2"/>
          </w:rPr>
          <w:t>Energy</w:t>
        </w:r>
        <w:r>
          <w:rPr>
            <w:spacing w:val="18"/>
          </w:rPr>
          <w:t xml:space="preserve"> </w:t>
        </w:r>
        <w:r>
          <w:rPr>
            <w:spacing w:val="-2"/>
          </w:rPr>
          <w:t>Savings</w:t>
        </w:r>
        <w:r>
          <w:rPr>
            <w:spacing w:val="17"/>
          </w:rPr>
          <w:t xml:space="preserve"> </w:t>
        </w:r>
        <w:r>
          <w:rPr>
            <w:spacing w:val="-2"/>
          </w:rPr>
          <w:t>(GWh/year)</w:t>
        </w:r>
        <w:r>
          <w:rPr>
            <w:spacing w:val="-16"/>
          </w:rPr>
          <w:t xml:space="preserve"> </w:t>
        </w:r>
        <w:r>
          <w:rPr>
            <w:spacing w:val="-2"/>
          </w:rPr>
          <w:t>.................................</w:t>
        </w:r>
        <w:r>
          <w:rPr>
            <w:spacing w:val="-2"/>
          </w:rPr>
          <w:t>..........................J-</w:t>
        </w:r>
        <w:r>
          <w:rPr>
            <w:spacing w:val="-5"/>
          </w:rPr>
          <w:t>10</w:t>
        </w:r>
      </w:hyperlink>
    </w:p>
    <w:p w:rsidR="00C31389" w:rsidRDefault="00561FBD" w14:paraId="50269EB2" w14:textId="77777777">
      <w:pPr>
        <w:pStyle w:val="BodyText"/>
        <w:ind w:left="481"/>
      </w:pPr>
      <w:hyperlink w:history="1" w:anchor="_bookmark542">
        <w:r>
          <w:rPr>
            <w:spacing w:val="-2"/>
          </w:rPr>
          <w:t>Table</w:t>
        </w:r>
        <w:r>
          <w:rPr>
            <w:spacing w:val="21"/>
          </w:rPr>
          <w:t xml:space="preserve"> </w:t>
        </w:r>
        <w:r>
          <w:rPr>
            <w:spacing w:val="-2"/>
          </w:rPr>
          <w:t>J-16.</w:t>
        </w:r>
        <w:r>
          <w:rPr>
            <w:spacing w:val="20"/>
          </w:rPr>
          <w:t xml:space="preserve"> </w:t>
        </w:r>
        <w:r>
          <w:rPr>
            <w:spacing w:val="-2"/>
          </w:rPr>
          <w:t>SCE</w:t>
        </w:r>
        <w:r>
          <w:rPr>
            <w:spacing w:val="21"/>
          </w:rPr>
          <w:t xml:space="preserve"> </w:t>
        </w:r>
        <w:r>
          <w:rPr>
            <w:spacing w:val="-2"/>
          </w:rPr>
          <w:t>Demand</w:t>
        </w:r>
        <w:r>
          <w:rPr>
            <w:spacing w:val="22"/>
          </w:rPr>
          <w:t xml:space="preserve"> </w:t>
        </w:r>
        <w:r>
          <w:rPr>
            <w:spacing w:val="-2"/>
          </w:rPr>
          <w:t>Savings</w:t>
        </w:r>
        <w:r>
          <w:rPr>
            <w:spacing w:val="21"/>
          </w:rPr>
          <w:t xml:space="preserve"> </w:t>
        </w:r>
        <w:r>
          <w:rPr>
            <w:spacing w:val="-2"/>
          </w:rPr>
          <w:t>(MW)</w:t>
        </w:r>
        <w:r>
          <w:rPr>
            <w:spacing w:val="19"/>
          </w:rPr>
          <w:t xml:space="preserve"> </w:t>
        </w:r>
        <w:r>
          <w:rPr>
            <w:spacing w:val="-2"/>
          </w:rPr>
          <w:t>...............................................................................J-</w:t>
        </w:r>
        <w:r>
          <w:rPr>
            <w:spacing w:val="-5"/>
          </w:rPr>
          <w:t>11</w:t>
        </w:r>
      </w:hyperlink>
    </w:p>
    <w:p w:rsidR="00C31389" w:rsidRDefault="00561FBD" w14:paraId="74A2E1A3" w14:textId="77777777">
      <w:pPr>
        <w:pStyle w:val="BodyText"/>
        <w:ind w:left="481" w:right="533"/>
      </w:pPr>
      <w:hyperlink w:history="1" w:anchor="_bookmark543">
        <w:r>
          <w:t>Table</w:t>
        </w:r>
        <w:r>
          <w:rPr>
            <w:spacing w:val="-7"/>
          </w:rPr>
          <w:t xml:space="preserve"> </w:t>
        </w:r>
        <w:r>
          <w:t>J-17.</w:t>
        </w:r>
        <w:r>
          <w:rPr>
            <w:spacing w:val="-7"/>
          </w:rPr>
          <w:t xml:space="preserve"> </w:t>
        </w:r>
        <w:r>
          <w:t>SCG</w:t>
        </w:r>
        <w:r>
          <w:rPr>
            <w:spacing w:val="-6"/>
          </w:rPr>
          <w:t xml:space="preserve"> </w:t>
        </w:r>
        <w:r>
          <w:t>Gas</w:t>
        </w:r>
        <w:r>
          <w:rPr>
            <w:spacing w:val="-6"/>
          </w:rPr>
          <w:t xml:space="preserve"> </w:t>
        </w:r>
        <w:r>
          <w:t>Savings</w:t>
        </w:r>
        <w:r>
          <w:rPr>
            <w:spacing w:val="-43"/>
          </w:rPr>
          <w:t xml:space="preserve"> </w:t>
        </w:r>
        <w:r>
          <w:t>..............................................................................</w:t>
        </w:r>
        <w:r>
          <w:t>..................J-11</w:t>
        </w:r>
      </w:hyperlink>
      <w:r>
        <w:t xml:space="preserve"> </w:t>
      </w:r>
      <w:hyperlink w:history="1" w:anchor="_bookmark544">
        <w:r>
          <w:rPr>
            <w:spacing w:val="-2"/>
          </w:rPr>
          <w:t>Table</w:t>
        </w:r>
        <w:r>
          <w:rPr>
            <w:spacing w:val="17"/>
          </w:rPr>
          <w:t xml:space="preserve"> </w:t>
        </w:r>
        <w:r>
          <w:rPr>
            <w:spacing w:val="-2"/>
          </w:rPr>
          <w:t>J-18.</w:t>
        </w:r>
        <w:r>
          <w:rPr>
            <w:spacing w:val="17"/>
          </w:rPr>
          <w:t xml:space="preserve"> </w:t>
        </w:r>
        <w:r>
          <w:rPr>
            <w:spacing w:val="-2"/>
          </w:rPr>
          <w:t>SDG&amp;E</w:t>
        </w:r>
        <w:r>
          <w:rPr>
            <w:spacing w:val="17"/>
          </w:rPr>
          <w:t xml:space="preserve"> </w:t>
        </w:r>
        <w:r>
          <w:rPr>
            <w:spacing w:val="-2"/>
          </w:rPr>
          <w:t>Electric</w:t>
        </w:r>
        <w:r>
          <w:rPr>
            <w:spacing w:val="18"/>
          </w:rPr>
          <w:t xml:space="preserve"> </w:t>
        </w:r>
        <w:r>
          <w:rPr>
            <w:spacing w:val="-2"/>
          </w:rPr>
          <w:t>Energy</w:t>
        </w:r>
        <w:r>
          <w:rPr>
            <w:spacing w:val="16"/>
          </w:rPr>
          <w:t xml:space="preserve"> </w:t>
        </w:r>
        <w:r>
          <w:rPr>
            <w:spacing w:val="-2"/>
          </w:rPr>
          <w:t>Savings</w:t>
        </w:r>
        <w:r>
          <w:rPr>
            <w:spacing w:val="18"/>
          </w:rPr>
          <w:t xml:space="preserve"> </w:t>
        </w:r>
        <w:r>
          <w:rPr>
            <w:spacing w:val="-2"/>
          </w:rPr>
          <w:t>(GWh/year)</w:t>
        </w:r>
        <w:r>
          <w:rPr>
            <w:spacing w:val="-34"/>
          </w:rPr>
          <w:t xml:space="preserve"> </w:t>
        </w:r>
        <w:r>
          <w:rPr>
            <w:spacing w:val="-2"/>
          </w:rPr>
          <w:t>......................................................J-</w:t>
        </w:r>
        <w:r>
          <w:rPr>
            <w:spacing w:val="-5"/>
          </w:rPr>
          <w:t>12</w:t>
        </w:r>
      </w:hyperlink>
    </w:p>
    <w:p w:rsidR="00C31389" w:rsidRDefault="00561FBD" w14:paraId="27B7154A" w14:textId="77777777">
      <w:pPr>
        <w:pStyle w:val="BodyText"/>
        <w:spacing w:before="1" w:line="253" w:lineRule="exact"/>
        <w:ind w:left="481"/>
      </w:pPr>
      <w:hyperlink w:history="1" w:anchor="_bookmark545">
        <w:r>
          <w:rPr>
            <w:spacing w:val="-2"/>
          </w:rPr>
          <w:t>Table</w:t>
        </w:r>
        <w:r>
          <w:rPr>
            <w:spacing w:val="21"/>
          </w:rPr>
          <w:t xml:space="preserve"> </w:t>
        </w:r>
        <w:r>
          <w:rPr>
            <w:spacing w:val="-2"/>
          </w:rPr>
          <w:t>J-19.</w:t>
        </w:r>
        <w:r>
          <w:rPr>
            <w:spacing w:val="19"/>
          </w:rPr>
          <w:t xml:space="preserve"> </w:t>
        </w:r>
        <w:r>
          <w:rPr>
            <w:spacing w:val="-2"/>
          </w:rPr>
          <w:t>SDG&amp;E</w:t>
        </w:r>
        <w:r>
          <w:rPr>
            <w:spacing w:val="21"/>
          </w:rPr>
          <w:t xml:space="preserve"> </w:t>
        </w:r>
        <w:r>
          <w:rPr>
            <w:spacing w:val="-2"/>
          </w:rPr>
          <w:t>Demand</w:t>
        </w:r>
        <w:r>
          <w:rPr>
            <w:spacing w:val="21"/>
          </w:rPr>
          <w:t xml:space="preserve"> </w:t>
        </w:r>
        <w:r>
          <w:rPr>
            <w:spacing w:val="-2"/>
          </w:rPr>
          <w:t>Savings</w:t>
        </w:r>
        <w:r>
          <w:rPr>
            <w:spacing w:val="22"/>
          </w:rPr>
          <w:t xml:space="preserve"> </w:t>
        </w:r>
        <w:r>
          <w:rPr>
            <w:spacing w:val="-2"/>
          </w:rPr>
          <w:t>(MW)</w:t>
        </w:r>
        <w:r>
          <w:rPr>
            <w:spacing w:val="2"/>
          </w:rPr>
          <w:t xml:space="preserve"> </w:t>
        </w:r>
        <w:r>
          <w:rPr>
            <w:spacing w:val="-2"/>
          </w:rPr>
          <w:t>..........................................................................J-</w:t>
        </w:r>
        <w:r>
          <w:rPr>
            <w:spacing w:val="-5"/>
          </w:rPr>
          <w:t>12</w:t>
        </w:r>
      </w:hyperlink>
    </w:p>
    <w:p w:rsidR="00C31389" w:rsidRDefault="00561FBD" w14:paraId="35B88117" w14:textId="77777777">
      <w:pPr>
        <w:pStyle w:val="BodyText"/>
        <w:spacing w:line="253" w:lineRule="exact"/>
        <w:ind w:left="482"/>
      </w:pPr>
      <w:hyperlink w:history="1" w:anchor="_bookmark546">
        <w:r>
          <w:rPr>
            <w:spacing w:val="-2"/>
          </w:rPr>
          <w:t>Table</w:t>
        </w:r>
        <w:r>
          <w:rPr>
            <w:spacing w:val="15"/>
          </w:rPr>
          <w:t xml:space="preserve"> </w:t>
        </w:r>
        <w:r>
          <w:rPr>
            <w:spacing w:val="-2"/>
          </w:rPr>
          <w:t>J-20.</w:t>
        </w:r>
        <w:r>
          <w:rPr>
            <w:spacing w:val="15"/>
          </w:rPr>
          <w:t xml:space="preserve"> </w:t>
        </w:r>
        <w:r>
          <w:rPr>
            <w:spacing w:val="-2"/>
          </w:rPr>
          <w:t>SDG&amp;E</w:t>
        </w:r>
        <w:r>
          <w:rPr>
            <w:spacing w:val="16"/>
          </w:rPr>
          <w:t xml:space="preserve"> </w:t>
        </w:r>
        <w:r>
          <w:rPr>
            <w:spacing w:val="-2"/>
          </w:rPr>
          <w:t>Gas</w:t>
        </w:r>
        <w:r>
          <w:rPr>
            <w:spacing w:val="15"/>
          </w:rPr>
          <w:t xml:space="preserve"> </w:t>
        </w:r>
        <w:r>
          <w:rPr>
            <w:spacing w:val="-2"/>
          </w:rPr>
          <w:t>Energy</w:t>
        </w:r>
        <w:r>
          <w:rPr>
            <w:spacing w:val="16"/>
          </w:rPr>
          <w:t xml:space="preserve"> </w:t>
        </w:r>
        <w:r>
          <w:rPr>
            <w:spacing w:val="-2"/>
          </w:rPr>
          <w:t>Savings</w:t>
        </w:r>
        <w:r>
          <w:rPr>
            <w:spacing w:val="16"/>
          </w:rPr>
          <w:t xml:space="preserve"> </w:t>
        </w:r>
        <w:r>
          <w:rPr>
            <w:spacing w:val="-2"/>
          </w:rPr>
          <w:t>(MMtherm/year)</w:t>
        </w:r>
        <w:r>
          <w:rPr>
            <w:spacing w:val="-16"/>
          </w:rPr>
          <w:t xml:space="preserve"> </w:t>
        </w:r>
        <w:r>
          <w:rPr>
            <w:spacing w:val="-2"/>
          </w:rPr>
          <w:t>....................................................J-</w:t>
        </w:r>
        <w:r>
          <w:rPr>
            <w:spacing w:val="-5"/>
          </w:rPr>
          <w:t>13</w:t>
        </w:r>
      </w:hyperlink>
    </w:p>
    <w:p w:rsidR="00C31389" w:rsidRDefault="00561FBD" w14:paraId="023D1498" w14:textId="77777777">
      <w:pPr>
        <w:pStyle w:val="BodyText"/>
        <w:ind w:left="482" w:right="533"/>
      </w:pPr>
      <w:hyperlink w:history="1" w:anchor="_bookmark550">
        <w:r>
          <w:t>Table K-1. Assum</w:t>
        </w:r>
        <w:r>
          <w:t>ed Penetration Levels of Buildings Achieving &gt; 25% Energy Reduction to</w:t>
        </w:r>
      </w:hyperlink>
      <w:r>
        <w:t xml:space="preserve"> </w:t>
      </w:r>
      <w:hyperlink w:history="1" w:anchor="_bookmark550">
        <w:r>
          <w:t>Qualify</w:t>
        </w:r>
        <w:r>
          <w:rPr>
            <w:spacing w:val="-9"/>
          </w:rPr>
          <w:t xml:space="preserve"> </w:t>
        </w:r>
        <w:r>
          <w:t>for</w:t>
        </w:r>
        <w:r>
          <w:rPr>
            <w:spacing w:val="-5"/>
          </w:rPr>
          <w:t xml:space="preserve"> </w:t>
        </w:r>
        <w:r>
          <w:t>IRA</w:t>
        </w:r>
        <w:r>
          <w:rPr>
            <w:spacing w:val="-5"/>
          </w:rPr>
          <w:t xml:space="preserve"> </w:t>
        </w:r>
        <w:r>
          <w:t>Tax</w:t>
        </w:r>
        <w:r>
          <w:rPr>
            <w:spacing w:val="-5"/>
          </w:rPr>
          <w:t xml:space="preserve"> </w:t>
        </w:r>
        <w:r>
          <w:t>Credits</w:t>
        </w:r>
        <w:r>
          <w:rPr>
            <w:spacing w:val="-18"/>
          </w:rPr>
          <w:t xml:space="preserve"> </w:t>
        </w:r>
        <w:r>
          <w:t>............................................................................................</w:t>
        </w:r>
        <w:r>
          <w:t>........</w:t>
        </w:r>
        <w:r>
          <w:rPr>
            <w:spacing w:val="-40"/>
          </w:rPr>
          <w:t xml:space="preserve"> </w:t>
        </w:r>
        <w:r>
          <w:t>K-16</w:t>
        </w:r>
      </w:hyperlink>
      <w:r>
        <w:t xml:space="preserve"> </w:t>
      </w:r>
      <w:hyperlink w:history="1" w:anchor="_bookmark552">
        <w:r>
          <w:t>Table</w:t>
        </w:r>
        <w:r>
          <w:rPr>
            <w:spacing w:val="-16"/>
          </w:rPr>
          <w:t xml:space="preserve"> </w:t>
        </w:r>
        <w:r>
          <w:t>K-2.</w:t>
        </w:r>
        <w:r>
          <w:rPr>
            <w:spacing w:val="-14"/>
          </w:rPr>
          <w:t xml:space="preserve"> </w:t>
        </w:r>
        <w:r>
          <w:t>IRA</w:t>
        </w:r>
        <w:r>
          <w:rPr>
            <w:spacing w:val="-10"/>
          </w:rPr>
          <w:t xml:space="preserve"> </w:t>
        </w:r>
        <w:r>
          <w:t>Tax</w:t>
        </w:r>
        <w:r>
          <w:rPr>
            <w:spacing w:val="-10"/>
          </w:rPr>
          <w:t xml:space="preserve"> </w:t>
        </w:r>
        <w:r>
          <w:t>Credit</w:t>
        </w:r>
        <w:r>
          <w:rPr>
            <w:spacing w:val="-10"/>
          </w:rPr>
          <w:t xml:space="preserve"> </w:t>
        </w:r>
        <w:r>
          <w:t>Value</w:t>
        </w:r>
        <w:r>
          <w:rPr>
            <w:spacing w:val="-9"/>
          </w:rPr>
          <w:t xml:space="preserve"> </w:t>
        </w:r>
        <w:r>
          <w:t>by</w:t>
        </w:r>
        <w:r>
          <w:rPr>
            <w:spacing w:val="-11"/>
          </w:rPr>
          <w:t xml:space="preserve"> </w:t>
        </w:r>
        <w:r>
          <w:t>Building</w:t>
        </w:r>
        <w:r>
          <w:rPr>
            <w:spacing w:val="-10"/>
          </w:rPr>
          <w:t xml:space="preserve"> </w:t>
        </w:r>
        <w:r>
          <w:t>Type</w:t>
        </w:r>
        <w:r>
          <w:rPr>
            <w:spacing w:val="-28"/>
          </w:rPr>
          <w:t xml:space="preserve"> </w:t>
        </w:r>
        <w:r>
          <w:t>................................................................</w:t>
        </w:r>
        <w:r>
          <w:rPr>
            <w:spacing w:val="-37"/>
          </w:rPr>
          <w:t xml:space="preserve"> </w:t>
        </w:r>
        <w:r>
          <w:t>K-</w:t>
        </w:r>
        <w:r>
          <w:rPr>
            <w:spacing w:val="-5"/>
          </w:rPr>
          <w:t>17</w:t>
        </w:r>
      </w:hyperlink>
    </w:p>
    <w:p w:rsidR="00C31389" w:rsidRDefault="00C31389" w14:paraId="7C4BB866" w14:textId="77777777">
      <w:pPr>
        <w:pStyle w:val="BodyText"/>
        <w:spacing w:before="5"/>
        <w:rPr>
          <w:sz w:val="32"/>
        </w:rPr>
      </w:pPr>
    </w:p>
    <w:p w:rsidR="00C31389" w:rsidRDefault="00561FBD" w14:paraId="7FEE0F33" w14:textId="77777777">
      <w:pPr>
        <w:spacing w:before="1"/>
        <w:ind w:left="480"/>
        <w:jc w:val="both"/>
        <w:rPr>
          <w:b/>
          <w:sz w:val="32"/>
        </w:rPr>
      </w:pPr>
      <w:r>
        <w:rPr>
          <w:b/>
          <w:sz w:val="32"/>
        </w:rPr>
        <w:t>List</w:t>
      </w:r>
      <w:r>
        <w:rPr>
          <w:b/>
          <w:spacing w:val="-3"/>
          <w:sz w:val="32"/>
        </w:rPr>
        <w:t xml:space="preserve"> </w:t>
      </w:r>
      <w:r>
        <w:rPr>
          <w:b/>
          <w:sz w:val="32"/>
        </w:rPr>
        <w:t>of</w:t>
      </w:r>
      <w:r>
        <w:rPr>
          <w:b/>
          <w:spacing w:val="-3"/>
          <w:sz w:val="32"/>
        </w:rPr>
        <w:t xml:space="preserve"> </w:t>
      </w:r>
      <w:r>
        <w:rPr>
          <w:b/>
          <w:spacing w:val="-2"/>
          <w:sz w:val="32"/>
        </w:rPr>
        <w:t>Figures</w:t>
      </w:r>
    </w:p>
    <w:p w:rsidR="00C31389" w:rsidRDefault="00561FBD" w14:paraId="6ACA08E4" w14:textId="77777777">
      <w:pPr>
        <w:pStyle w:val="BodyText"/>
        <w:tabs>
          <w:tab w:val="right" w:leader="dot" w:pos="9754"/>
        </w:tabs>
        <w:spacing w:before="239"/>
        <w:ind w:left="480"/>
        <w:jc w:val="both"/>
      </w:pPr>
      <w:hyperlink w:history="1" w:anchor="_bookmark15">
        <w:r>
          <w:t>Figure</w:t>
        </w:r>
        <w:r>
          <w:rPr>
            <w:spacing w:val="-8"/>
          </w:rPr>
          <w:t xml:space="preserve"> </w:t>
        </w:r>
        <w:r>
          <w:t>ES-1.</w:t>
        </w:r>
        <w:r>
          <w:rPr>
            <w:spacing w:val="-7"/>
          </w:rPr>
          <w:t xml:space="preserve"> </w:t>
        </w:r>
        <w:r>
          <w:t>Net</w:t>
        </w:r>
        <w:r>
          <w:rPr>
            <w:spacing w:val="-7"/>
          </w:rPr>
          <w:t xml:space="preserve"> </w:t>
        </w:r>
        <w:r>
          <w:t>First-Year</w:t>
        </w:r>
        <w:r>
          <w:rPr>
            <w:spacing w:val="-7"/>
          </w:rPr>
          <w:t xml:space="preserve"> </w:t>
        </w:r>
        <w:r>
          <w:t>TSB</w:t>
        </w:r>
        <w:r>
          <w:rPr>
            <w:spacing w:val="-7"/>
          </w:rPr>
          <w:t xml:space="preserve"> </w:t>
        </w:r>
        <w:r>
          <w:t>and</w:t>
        </w:r>
        <w:r>
          <w:rPr>
            <w:spacing w:val="-7"/>
          </w:rPr>
          <w:t xml:space="preserve"> </w:t>
        </w:r>
        <w:r>
          <w:t>Incremental</w:t>
        </w:r>
        <w:r>
          <w:rPr>
            <w:spacing w:val="-7"/>
          </w:rPr>
          <w:t xml:space="preserve"> </w:t>
        </w:r>
        <w:r>
          <w:t>Savings</w:t>
        </w:r>
        <w:r>
          <w:rPr>
            <w:spacing w:val="-7"/>
          </w:rPr>
          <w:t xml:space="preserve"> </w:t>
        </w:r>
        <w:r>
          <w:t>by</w:t>
        </w:r>
        <w:r>
          <w:rPr>
            <w:spacing w:val="-7"/>
          </w:rPr>
          <w:t xml:space="preserve"> </w:t>
        </w:r>
        <w:r>
          <w:t>Scenario</w:t>
        </w:r>
        <w:r>
          <w:rPr>
            <w:spacing w:val="-8"/>
          </w:rPr>
          <w:t xml:space="preserve"> </w:t>
        </w:r>
        <w:r>
          <w:rPr>
            <w:spacing w:val="-2"/>
          </w:rPr>
          <w:t>(Statewide)</w:t>
        </w:r>
        <w:r>
          <w:tab/>
        </w:r>
        <w:r>
          <w:rPr>
            <w:spacing w:val="-2"/>
          </w:rPr>
          <w:t>xviii</w:t>
        </w:r>
      </w:hyperlink>
    </w:p>
    <w:p w:rsidR="00C31389" w:rsidRDefault="00C31389" w14:paraId="63C40C49" w14:textId="77777777">
      <w:pPr>
        <w:jc w:val="both"/>
        <w:sectPr w:rsidR="00C31389">
          <w:pgSz w:w="12240" w:h="15840"/>
          <w:pgMar w:top="1660" w:right="960" w:bottom="1120" w:left="960" w:header="397" w:footer="936" w:gutter="0"/>
          <w:cols w:space="720"/>
        </w:sectPr>
      </w:pPr>
    </w:p>
    <w:p w:rsidR="00C31389" w:rsidRDefault="00561FBD" w14:paraId="7318374A" w14:textId="77777777">
      <w:pPr>
        <w:pStyle w:val="BodyText"/>
        <w:tabs>
          <w:tab w:val="left" w:leader="dot" w:pos="9484"/>
        </w:tabs>
        <w:spacing w:before="253"/>
        <w:ind w:left="480"/>
      </w:pPr>
      <w:hyperlink w:history="1" w:anchor="_bookmark17">
        <w:r>
          <w:t>Figure</w:t>
        </w:r>
        <w:r>
          <w:rPr>
            <w:spacing w:val="-9"/>
          </w:rPr>
          <w:t xml:space="preserve"> </w:t>
        </w:r>
        <w:r>
          <w:t>ES-2.</w:t>
        </w:r>
        <w:r>
          <w:rPr>
            <w:spacing w:val="-8"/>
          </w:rPr>
          <w:t xml:space="preserve"> </w:t>
        </w:r>
        <w:r>
          <w:t>C&amp;S</w:t>
        </w:r>
        <w:r>
          <w:rPr>
            <w:spacing w:val="-8"/>
          </w:rPr>
          <w:t xml:space="preserve"> </w:t>
        </w:r>
        <w:r>
          <w:t>Savings</w:t>
        </w:r>
        <w:r>
          <w:rPr>
            <w:spacing w:val="-8"/>
          </w:rPr>
          <w:t xml:space="preserve"> </w:t>
        </w:r>
        <w:r>
          <w:t>(Including</w:t>
        </w:r>
        <w:r>
          <w:rPr>
            <w:spacing w:val="-8"/>
          </w:rPr>
          <w:t xml:space="preserve"> </w:t>
        </w:r>
        <w:r>
          <w:t>Interactive</w:t>
        </w:r>
        <w:r>
          <w:rPr>
            <w:spacing w:val="-9"/>
          </w:rPr>
          <w:t xml:space="preserve"> </w:t>
        </w:r>
        <w:r>
          <w:rPr>
            <w:spacing w:val="-2"/>
          </w:rPr>
          <w:t>Effects)</w:t>
        </w:r>
        <w:r>
          <w:tab/>
        </w:r>
        <w:r>
          <w:rPr>
            <w:spacing w:val="-5"/>
          </w:rPr>
          <w:t>xix</w:t>
        </w:r>
      </w:hyperlink>
    </w:p>
    <w:p w:rsidR="00C31389" w:rsidRDefault="00561FBD" w14:paraId="030E0BDF" w14:textId="77777777">
      <w:pPr>
        <w:pStyle w:val="BodyText"/>
        <w:tabs>
          <w:tab w:val="left" w:leader="dot" w:pos="9533"/>
        </w:tabs>
        <w:spacing w:line="253" w:lineRule="exact"/>
        <w:ind w:left="479"/>
      </w:pPr>
      <w:hyperlink w:history="1" w:anchor="_bookmark19">
        <w:r>
          <w:t>Figure</w:t>
        </w:r>
        <w:r>
          <w:rPr>
            <w:spacing w:val="-6"/>
          </w:rPr>
          <w:t xml:space="preserve"> </w:t>
        </w:r>
        <w:r>
          <w:t>ES-3.</w:t>
        </w:r>
        <w:r>
          <w:rPr>
            <w:spacing w:val="-6"/>
          </w:rPr>
          <w:t xml:space="preserve"> </w:t>
        </w:r>
        <w:r>
          <w:t>Low</w:t>
        </w:r>
        <w:r>
          <w:rPr>
            <w:spacing w:val="-6"/>
          </w:rPr>
          <w:t xml:space="preserve"> </w:t>
        </w:r>
        <w:r>
          <w:t>Income</w:t>
        </w:r>
        <w:r>
          <w:rPr>
            <w:spacing w:val="-6"/>
          </w:rPr>
          <w:t xml:space="preserve"> </w:t>
        </w:r>
        <w:r>
          <w:t>EE</w:t>
        </w:r>
        <w:r>
          <w:rPr>
            <w:spacing w:val="-6"/>
          </w:rPr>
          <w:t xml:space="preserve"> </w:t>
        </w:r>
        <w:r>
          <w:t>Savings</w:t>
        </w:r>
        <w:r>
          <w:rPr>
            <w:spacing w:val="-5"/>
          </w:rPr>
          <w:t xml:space="preserve"> </w:t>
        </w:r>
        <w:r>
          <w:t>by</w:t>
        </w:r>
        <w:r>
          <w:rPr>
            <w:spacing w:val="-6"/>
          </w:rPr>
          <w:t xml:space="preserve"> </w:t>
        </w:r>
        <w:r>
          <w:t>End</w:t>
        </w:r>
        <w:r>
          <w:rPr>
            <w:spacing w:val="-5"/>
          </w:rPr>
          <w:t xml:space="preserve"> Use</w:t>
        </w:r>
        <w:r>
          <w:tab/>
        </w:r>
        <w:r>
          <w:rPr>
            <w:spacing w:val="-5"/>
          </w:rPr>
          <w:t>xx</w:t>
        </w:r>
      </w:hyperlink>
    </w:p>
    <w:p w:rsidR="00C31389" w:rsidRDefault="00561FBD" w14:paraId="4CEA1266" w14:textId="77777777">
      <w:pPr>
        <w:pStyle w:val="BodyText"/>
        <w:tabs>
          <w:tab w:val="left" w:leader="dot" w:pos="9533"/>
        </w:tabs>
        <w:spacing w:line="253" w:lineRule="exact"/>
        <w:ind w:left="479"/>
      </w:pPr>
      <w:hyperlink w:history="1" w:anchor="_bookmark20">
        <w:r>
          <w:t>Figure</w:t>
        </w:r>
        <w:r>
          <w:rPr>
            <w:spacing w:val="-6"/>
          </w:rPr>
          <w:t xml:space="preserve"> </w:t>
        </w:r>
        <w:r>
          <w:t>ES-4.</w:t>
        </w:r>
        <w:r>
          <w:rPr>
            <w:spacing w:val="-5"/>
          </w:rPr>
          <w:t xml:space="preserve"> </w:t>
        </w:r>
        <w:r>
          <w:t>Low</w:t>
        </w:r>
        <w:r>
          <w:rPr>
            <w:spacing w:val="-7"/>
          </w:rPr>
          <w:t xml:space="preserve"> </w:t>
        </w:r>
        <w:r>
          <w:t>Income</w:t>
        </w:r>
        <w:r>
          <w:rPr>
            <w:spacing w:val="-5"/>
          </w:rPr>
          <w:t xml:space="preserve"> </w:t>
        </w:r>
        <w:r>
          <w:t>FS</w:t>
        </w:r>
        <w:r>
          <w:rPr>
            <w:spacing w:val="-5"/>
          </w:rPr>
          <w:t xml:space="preserve"> </w:t>
        </w:r>
        <w:r>
          <w:t>Savings</w:t>
        </w:r>
        <w:r>
          <w:rPr>
            <w:spacing w:val="-6"/>
          </w:rPr>
          <w:t xml:space="preserve"> </w:t>
        </w:r>
        <w:r>
          <w:t>by</w:t>
        </w:r>
        <w:r>
          <w:rPr>
            <w:spacing w:val="-5"/>
          </w:rPr>
          <w:t xml:space="preserve"> </w:t>
        </w:r>
        <w:r>
          <w:t>End</w:t>
        </w:r>
        <w:r>
          <w:rPr>
            <w:spacing w:val="-5"/>
          </w:rPr>
          <w:t xml:space="preserve"> Use</w:t>
        </w:r>
        <w:r>
          <w:tab/>
        </w:r>
        <w:r>
          <w:rPr>
            <w:spacing w:val="-5"/>
          </w:rPr>
          <w:t>xx</w:t>
        </w:r>
      </w:hyperlink>
    </w:p>
    <w:p w:rsidR="00C31389" w:rsidRDefault="00561FBD" w14:paraId="4AD0A939" w14:textId="77777777">
      <w:pPr>
        <w:pStyle w:val="BodyText"/>
        <w:tabs>
          <w:tab w:val="left" w:leader="dot" w:pos="9508"/>
        </w:tabs>
        <w:spacing w:before="254"/>
        <w:ind w:left="479"/>
      </w:pPr>
      <w:hyperlink w:history="1" w:anchor="_bookmark43">
        <w:r>
          <w:t>Figure</w:t>
        </w:r>
        <w:r>
          <w:rPr>
            <w:spacing w:val="-6"/>
          </w:rPr>
          <w:t xml:space="preserve"> </w:t>
        </w:r>
        <w:r>
          <w:t>2-1.</w:t>
        </w:r>
        <w:r>
          <w:rPr>
            <w:spacing w:val="-7"/>
          </w:rPr>
          <w:t xml:space="preserve"> </w:t>
        </w:r>
        <w:r>
          <w:t>Technology</w:t>
        </w:r>
        <w:r>
          <w:rPr>
            <w:spacing w:val="-7"/>
          </w:rPr>
          <w:t xml:space="preserve"> </w:t>
        </w:r>
        <w:r>
          <w:t>Group</w:t>
        </w:r>
        <w:r>
          <w:rPr>
            <w:spacing w:val="-6"/>
          </w:rPr>
          <w:t xml:space="preserve"> </w:t>
        </w:r>
        <w:r>
          <w:t>Examples</w:t>
        </w:r>
        <w:r>
          <w:rPr>
            <w:spacing w:val="-4"/>
          </w:rPr>
          <w:t xml:space="preserve"> </w:t>
        </w:r>
        <w:r>
          <w:t>–</w:t>
        </w:r>
        <w:r>
          <w:rPr>
            <w:spacing w:val="-6"/>
          </w:rPr>
          <w:t xml:space="preserve"> </w:t>
        </w:r>
        <w:r>
          <w:t>FS</w:t>
        </w:r>
        <w:r>
          <w:rPr>
            <w:spacing w:val="-6"/>
          </w:rPr>
          <w:t xml:space="preserve"> </w:t>
        </w:r>
        <w:r>
          <w:t>and</w:t>
        </w:r>
        <w:r>
          <w:rPr>
            <w:spacing w:val="-6"/>
          </w:rPr>
          <w:t xml:space="preserve"> </w:t>
        </w:r>
        <w:r>
          <w:rPr>
            <w:spacing w:val="-5"/>
          </w:rPr>
          <w:t>EE</w:t>
        </w:r>
        <w:r>
          <w:tab/>
        </w:r>
        <w:r>
          <w:rPr>
            <w:spacing w:val="-5"/>
          </w:rPr>
          <w:t>10</w:t>
        </w:r>
      </w:hyperlink>
    </w:p>
    <w:p w:rsidR="00C31389" w:rsidRDefault="00561FBD" w14:paraId="41F8DC34" w14:textId="77777777">
      <w:pPr>
        <w:pStyle w:val="BodyText"/>
        <w:tabs>
          <w:tab w:val="left" w:leader="dot" w:pos="9508"/>
        </w:tabs>
        <w:ind w:left="479"/>
      </w:pPr>
      <w:hyperlink w:history="1" w:anchor="_bookmark45">
        <w:r>
          <w:t>Figure</w:t>
        </w:r>
        <w:r>
          <w:rPr>
            <w:spacing w:val="-6"/>
          </w:rPr>
          <w:t xml:space="preserve"> </w:t>
        </w:r>
        <w:r>
          <w:t>2-2.</w:t>
        </w:r>
        <w:r>
          <w:rPr>
            <w:spacing w:val="-7"/>
          </w:rPr>
          <w:t xml:space="preserve"> </w:t>
        </w:r>
        <w:r>
          <w:t>Stock</w:t>
        </w:r>
        <w:r>
          <w:rPr>
            <w:spacing w:val="-6"/>
          </w:rPr>
          <w:t xml:space="preserve"> </w:t>
        </w:r>
        <w:r>
          <w:t>Flow</w:t>
        </w:r>
        <w:r>
          <w:rPr>
            <w:spacing w:val="-8"/>
          </w:rPr>
          <w:t xml:space="preserve"> </w:t>
        </w:r>
        <w:r>
          <w:t>within</w:t>
        </w:r>
        <w:r>
          <w:rPr>
            <w:spacing w:val="-6"/>
          </w:rPr>
          <w:t xml:space="preserve"> </w:t>
        </w:r>
        <w:r>
          <w:t>a</w:t>
        </w:r>
        <w:r>
          <w:rPr>
            <w:spacing w:val="-5"/>
          </w:rPr>
          <w:t xml:space="preserve"> </w:t>
        </w:r>
        <w:r>
          <w:t>Technology</w:t>
        </w:r>
        <w:r>
          <w:rPr>
            <w:spacing w:val="-6"/>
          </w:rPr>
          <w:t xml:space="preserve"> </w:t>
        </w:r>
        <w:r>
          <w:rPr>
            <w:spacing w:val="-4"/>
          </w:rPr>
          <w:t>Group</w:t>
        </w:r>
        <w:r>
          <w:tab/>
        </w:r>
        <w:r>
          <w:rPr>
            <w:spacing w:val="-5"/>
          </w:rPr>
          <w:t>11</w:t>
        </w:r>
      </w:hyperlink>
    </w:p>
    <w:p w:rsidR="00C31389" w:rsidRDefault="00561FBD" w14:paraId="03249155" w14:textId="77777777">
      <w:pPr>
        <w:pStyle w:val="BodyText"/>
        <w:tabs>
          <w:tab w:val="left" w:leader="dot" w:pos="9508"/>
        </w:tabs>
        <w:ind w:left="479" w:right="564"/>
      </w:pPr>
      <w:hyperlink w:history="1" w:anchor="_bookmark48">
        <w:r>
          <w:t>Figure</w:t>
        </w:r>
        <w:r>
          <w:rPr>
            <w:spacing w:val="-3"/>
          </w:rPr>
          <w:t xml:space="preserve"> </w:t>
        </w:r>
        <w:r>
          <w:t>2-3.</w:t>
        </w:r>
        <w:r>
          <w:rPr>
            <w:spacing w:val="-4"/>
          </w:rPr>
          <w:t xml:space="preserve"> </w:t>
        </w:r>
        <w:r>
          <w:t>Three-Step</w:t>
        </w:r>
        <w:r>
          <w:rPr>
            <w:spacing w:val="-3"/>
          </w:rPr>
          <w:t xml:space="preserve"> </w:t>
        </w:r>
        <w:r>
          <w:t>Approach</w:t>
        </w:r>
        <w:r>
          <w:rPr>
            <w:spacing w:val="-3"/>
          </w:rPr>
          <w:t xml:space="preserve"> </w:t>
        </w:r>
        <w:r>
          <w:t>to</w:t>
        </w:r>
        <w:r>
          <w:rPr>
            <w:spacing w:val="-3"/>
          </w:rPr>
          <w:t xml:space="preserve"> </w:t>
        </w:r>
        <w:r>
          <w:t>Calculating</w:t>
        </w:r>
        <w:r>
          <w:rPr>
            <w:spacing w:val="-4"/>
          </w:rPr>
          <w:t xml:space="preserve"> </w:t>
        </w:r>
        <w:r>
          <w:t>Achievable</w:t>
        </w:r>
        <w:r>
          <w:rPr>
            <w:spacing w:val="-4"/>
          </w:rPr>
          <w:t xml:space="preserve"> </w:t>
        </w:r>
        <w:r>
          <w:t>Potential</w:t>
        </w:r>
        <w:r>
          <w:rPr>
            <w:spacing w:val="-3"/>
          </w:rPr>
          <w:t xml:space="preserve"> </w:t>
        </w:r>
        <w:r>
          <w:t>for</w:t>
        </w:r>
        <w:r>
          <w:rPr>
            <w:spacing w:val="-4"/>
          </w:rPr>
          <w:t xml:space="preserve"> </w:t>
        </w:r>
        <w:r>
          <w:t>Rebated</w:t>
        </w:r>
        <w:r>
          <w:rPr>
            <w:spacing w:val="-3"/>
          </w:rPr>
          <w:t xml:space="preserve"> </w:t>
        </w:r>
        <w:r>
          <w:t>Measures</w:t>
        </w:r>
        <w:r>
          <w:rPr>
            <w:spacing w:val="-13"/>
          </w:rPr>
          <w:t xml:space="preserve"> </w:t>
        </w:r>
        <w:r>
          <w:t>.13</w:t>
        </w:r>
      </w:hyperlink>
      <w:r>
        <w:t xml:space="preserve"> </w:t>
      </w:r>
      <w:hyperlink w:history="1" w:anchor="_bookmark49">
        <w:r>
          <w:t>Figure 2-4. The Bass Diffusion Fr</w:t>
        </w:r>
        <w:r>
          <w:t>amework:</w:t>
        </w:r>
        <w:r>
          <w:rPr>
            <w:spacing w:val="40"/>
          </w:rPr>
          <w:t xml:space="preserve"> </w:t>
        </w:r>
        <w:r>
          <w:t>A Dynamic Approach to Calculating Measure</w:t>
        </w:r>
      </w:hyperlink>
      <w:r>
        <w:t xml:space="preserve"> </w:t>
      </w:r>
      <w:hyperlink w:history="1" w:anchor="_bookmark49">
        <w:r>
          <w:rPr>
            <w:spacing w:val="-2"/>
          </w:rPr>
          <w:t>Adoption</w:t>
        </w:r>
        <w:r>
          <w:tab/>
        </w:r>
        <w:r>
          <w:rPr>
            <w:spacing w:val="-5"/>
          </w:rPr>
          <w:t>14</w:t>
        </w:r>
      </w:hyperlink>
    </w:p>
    <w:p w:rsidR="00C31389" w:rsidRDefault="00561FBD" w14:paraId="2CE82693" w14:textId="77777777">
      <w:pPr>
        <w:pStyle w:val="BodyText"/>
        <w:tabs>
          <w:tab w:val="left" w:leader="dot" w:pos="9508"/>
        </w:tabs>
        <w:spacing w:line="253" w:lineRule="exact"/>
        <w:ind w:left="479"/>
      </w:pPr>
      <w:hyperlink w:history="1" w:anchor="_bookmark55">
        <w:r>
          <w:t>Figure</w:t>
        </w:r>
        <w:r>
          <w:rPr>
            <w:spacing w:val="-8"/>
          </w:rPr>
          <w:t xml:space="preserve"> </w:t>
        </w:r>
        <w:r>
          <w:t>2-5.</w:t>
        </w:r>
        <w:r>
          <w:rPr>
            <w:spacing w:val="-8"/>
          </w:rPr>
          <w:t xml:space="preserve"> </w:t>
        </w:r>
        <w:r>
          <w:t>Model</w:t>
        </w:r>
        <w:r>
          <w:rPr>
            <w:spacing w:val="-6"/>
          </w:rPr>
          <w:t xml:space="preserve"> </w:t>
        </w:r>
        <w:r>
          <w:t>Willingness</w:t>
        </w:r>
        <w:r>
          <w:rPr>
            <w:spacing w:val="-8"/>
          </w:rPr>
          <w:t xml:space="preserve"> </w:t>
        </w:r>
        <w:r>
          <w:rPr>
            <w:spacing w:val="-2"/>
          </w:rPr>
          <w:t>Calculation</w:t>
        </w:r>
        <w:r>
          <w:tab/>
        </w:r>
        <w:r>
          <w:rPr>
            <w:spacing w:val="-5"/>
          </w:rPr>
          <w:t>16</w:t>
        </w:r>
      </w:hyperlink>
    </w:p>
    <w:p w:rsidR="00C31389" w:rsidRDefault="00561FBD" w14:paraId="611C8DD3" w14:textId="77777777">
      <w:pPr>
        <w:pStyle w:val="BodyText"/>
        <w:tabs>
          <w:tab w:val="left" w:leader="dot" w:pos="9508"/>
        </w:tabs>
        <w:ind w:left="479"/>
      </w:pPr>
      <w:hyperlink w:history="1" w:anchor="_bookmark59">
        <w:r>
          <w:t>Figure</w:t>
        </w:r>
        <w:r>
          <w:rPr>
            <w:spacing w:val="-8"/>
          </w:rPr>
          <w:t xml:space="preserve"> </w:t>
        </w:r>
        <w:r>
          <w:t>2-6.</w:t>
        </w:r>
        <w:r>
          <w:rPr>
            <w:spacing w:val="-8"/>
          </w:rPr>
          <w:t xml:space="preserve"> </w:t>
        </w:r>
        <w:r>
          <w:t>Calculating</w:t>
        </w:r>
        <w:r>
          <w:rPr>
            <w:spacing w:val="-9"/>
          </w:rPr>
          <w:t xml:space="preserve"> </w:t>
        </w:r>
        <w:r>
          <w:t>Market</w:t>
        </w:r>
        <w:r>
          <w:rPr>
            <w:spacing w:val="-7"/>
          </w:rPr>
          <w:t xml:space="preserve"> </w:t>
        </w:r>
        <w:r>
          <w:rPr>
            <w:spacing w:val="-2"/>
          </w:rPr>
          <w:t>Share</w:t>
        </w:r>
        <w:r>
          <w:tab/>
        </w:r>
        <w:r>
          <w:rPr>
            <w:spacing w:val="-5"/>
          </w:rPr>
          <w:t>18</w:t>
        </w:r>
      </w:hyperlink>
    </w:p>
    <w:p w:rsidR="00C31389" w:rsidRDefault="00561FBD" w14:paraId="1F79BFE1" w14:textId="77777777">
      <w:pPr>
        <w:pStyle w:val="BodyText"/>
        <w:tabs>
          <w:tab w:val="left" w:leader="dot" w:pos="9508"/>
        </w:tabs>
        <w:ind w:left="479"/>
      </w:pPr>
      <w:hyperlink w:history="1" w:anchor="_bookmark60">
        <w:r>
          <w:t>Figure</w:t>
        </w:r>
        <w:r>
          <w:rPr>
            <w:spacing w:val="-9"/>
          </w:rPr>
          <w:t xml:space="preserve"> </w:t>
        </w:r>
        <w:r>
          <w:t>2-7.</w:t>
        </w:r>
        <w:r>
          <w:rPr>
            <w:spacing w:val="-8"/>
          </w:rPr>
          <w:t xml:space="preserve"> </w:t>
        </w:r>
        <w:r>
          <w:t>Multi-Attribute</w:t>
        </w:r>
        <w:r>
          <w:rPr>
            <w:spacing w:val="-9"/>
          </w:rPr>
          <w:t xml:space="preserve"> </w:t>
        </w:r>
        <w:r>
          <w:t>Market</w:t>
        </w:r>
        <w:r>
          <w:rPr>
            <w:spacing w:val="-8"/>
          </w:rPr>
          <w:t xml:space="preserve"> </w:t>
        </w:r>
        <w:r>
          <w:t>Share</w:t>
        </w:r>
        <w:r>
          <w:rPr>
            <w:spacing w:val="-8"/>
          </w:rPr>
          <w:t xml:space="preserve"> </w:t>
        </w:r>
        <w:r>
          <w:rPr>
            <w:spacing w:val="-2"/>
          </w:rPr>
          <w:t>Example</w:t>
        </w:r>
        <w:r>
          <w:tab/>
        </w:r>
        <w:r>
          <w:rPr>
            <w:spacing w:val="-5"/>
          </w:rPr>
          <w:t>19</w:t>
        </w:r>
      </w:hyperlink>
    </w:p>
    <w:p w:rsidR="00C31389" w:rsidRDefault="00561FBD" w14:paraId="1CC2E79E" w14:textId="77777777">
      <w:pPr>
        <w:pStyle w:val="BodyText"/>
        <w:tabs>
          <w:tab w:val="left" w:leader="dot" w:pos="9508"/>
        </w:tabs>
        <w:spacing w:before="1" w:line="253" w:lineRule="exact"/>
        <w:ind w:left="479"/>
      </w:pPr>
      <w:hyperlink w:history="1" w:anchor="_bookmark63">
        <w:r>
          <w:t>Figure</w:t>
        </w:r>
        <w:r>
          <w:rPr>
            <w:spacing w:val="-7"/>
          </w:rPr>
          <w:t xml:space="preserve"> </w:t>
        </w:r>
        <w:r>
          <w:t>2-8.</w:t>
        </w:r>
        <w:r>
          <w:rPr>
            <w:spacing w:val="-8"/>
          </w:rPr>
          <w:t xml:space="preserve"> </w:t>
        </w:r>
        <w:r>
          <w:t>Payback</w:t>
        </w:r>
        <w:r>
          <w:rPr>
            <w:spacing w:val="-7"/>
          </w:rPr>
          <w:t xml:space="preserve"> </w:t>
        </w:r>
        <w:r>
          <w:t>Acceptance</w:t>
        </w:r>
        <w:r>
          <w:rPr>
            <w:spacing w:val="-7"/>
          </w:rPr>
          <w:t xml:space="preserve"> </w:t>
        </w:r>
        <w:r>
          <w:t>Curve</w:t>
        </w:r>
        <w:r>
          <w:rPr>
            <w:spacing w:val="-7"/>
          </w:rPr>
          <w:t xml:space="preserve"> </w:t>
        </w:r>
        <w:r>
          <w:t>for</w:t>
        </w:r>
        <w:r>
          <w:rPr>
            <w:spacing w:val="-7"/>
          </w:rPr>
          <w:t xml:space="preserve"> </w:t>
        </w:r>
        <w:r>
          <w:t>AIM</w:t>
        </w:r>
        <w:r>
          <w:rPr>
            <w:spacing w:val="-8"/>
          </w:rPr>
          <w:t xml:space="preserve"> </w:t>
        </w:r>
        <w:r>
          <w:rPr>
            <w:spacing w:val="-2"/>
          </w:rPr>
          <w:t>Sectors</w:t>
        </w:r>
        <w:r>
          <w:tab/>
        </w:r>
        <w:r>
          <w:rPr>
            <w:spacing w:val="-5"/>
          </w:rPr>
          <w:t>20</w:t>
        </w:r>
      </w:hyperlink>
    </w:p>
    <w:p w:rsidR="00C31389" w:rsidRDefault="00561FBD" w14:paraId="7C3C59CF" w14:textId="77777777">
      <w:pPr>
        <w:pStyle w:val="BodyText"/>
        <w:tabs>
          <w:tab w:val="left" w:leader="dot" w:pos="9508"/>
        </w:tabs>
        <w:spacing w:line="253" w:lineRule="exact"/>
        <w:ind w:left="479"/>
      </w:pPr>
      <w:hyperlink w:history="1" w:anchor="_bookmark64">
        <w:r>
          <w:t>Figure</w:t>
        </w:r>
        <w:r>
          <w:rPr>
            <w:spacing w:val="-8"/>
          </w:rPr>
          <w:t xml:space="preserve"> </w:t>
        </w:r>
        <w:r>
          <w:t>2-9.</w:t>
        </w:r>
        <w:r>
          <w:rPr>
            <w:spacing w:val="-9"/>
          </w:rPr>
          <w:t xml:space="preserve"> </w:t>
        </w:r>
        <w:r>
          <w:t>Cumulative</w:t>
        </w:r>
        <w:r>
          <w:rPr>
            <w:spacing w:val="-8"/>
          </w:rPr>
          <w:t xml:space="preserve"> </w:t>
        </w:r>
        <w:r>
          <w:t>Savings</w:t>
        </w:r>
        <w:r>
          <w:rPr>
            <w:spacing w:val="-8"/>
          </w:rPr>
          <w:t xml:space="preserve"> </w:t>
        </w:r>
        <w:r>
          <w:rPr>
            <w:spacing w:val="-2"/>
          </w:rPr>
          <w:t>Illustration</w:t>
        </w:r>
        <w:r>
          <w:tab/>
        </w:r>
        <w:r>
          <w:rPr>
            <w:spacing w:val="-5"/>
          </w:rPr>
          <w:t>21</w:t>
        </w:r>
      </w:hyperlink>
    </w:p>
    <w:p w:rsidR="00C31389" w:rsidRDefault="00561FBD" w14:paraId="324E49FE" w14:textId="77777777">
      <w:pPr>
        <w:pStyle w:val="BodyText"/>
        <w:tabs>
          <w:tab w:val="left" w:leader="dot" w:pos="9508"/>
        </w:tabs>
        <w:ind w:left="479"/>
      </w:pPr>
      <w:hyperlink w:history="1" w:anchor="_bookmark67">
        <w:r>
          <w:t>Figure</w:t>
        </w:r>
        <w:r>
          <w:rPr>
            <w:spacing w:val="-8"/>
          </w:rPr>
          <w:t xml:space="preserve"> </w:t>
        </w:r>
        <w:r>
          <w:t>2-10.</w:t>
        </w:r>
        <w:r>
          <w:rPr>
            <w:spacing w:val="-8"/>
          </w:rPr>
          <w:t xml:space="preserve"> </w:t>
        </w:r>
        <w:r>
          <w:t>Screening</w:t>
        </w:r>
        <w:r>
          <w:rPr>
            <w:spacing w:val="-8"/>
          </w:rPr>
          <w:t xml:space="preserve"> </w:t>
        </w:r>
        <w:r>
          <w:t>for</w:t>
        </w:r>
        <w:r>
          <w:rPr>
            <w:spacing w:val="-7"/>
          </w:rPr>
          <w:t xml:space="preserve"> </w:t>
        </w:r>
        <w:r>
          <w:t>Technical</w:t>
        </w:r>
        <w:r>
          <w:rPr>
            <w:spacing w:val="-8"/>
          </w:rPr>
          <w:t xml:space="preserve"> </w:t>
        </w:r>
        <w:r>
          <w:t>and</w:t>
        </w:r>
        <w:r>
          <w:rPr>
            <w:spacing w:val="-8"/>
          </w:rPr>
          <w:t xml:space="preserve"> </w:t>
        </w:r>
        <w:r>
          <w:t>Economic</w:t>
        </w:r>
        <w:r>
          <w:rPr>
            <w:spacing w:val="-7"/>
          </w:rPr>
          <w:t xml:space="preserve"> </w:t>
        </w:r>
        <w:r>
          <w:rPr>
            <w:spacing w:val="-2"/>
          </w:rPr>
          <w:t>Potential</w:t>
        </w:r>
        <w:r>
          <w:tab/>
        </w:r>
        <w:r>
          <w:rPr>
            <w:spacing w:val="-5"/>
          </w:rPr>
          <w:t>23</w:t>
        </w:r>
      </w:hyperlink>
    </w:p>
    <w:p w:rsidR="00C31389" w:rsidRDefault="00561FBD" w14:paraId="00796F6B" w14:textId="77777777">
      <w:pPr>
        <w:pStyle w:val="BodyText"/>
        <w:tabs>
          <w:tab w:val="left" w:leader="dot" w:pos="9508"/>
        </w:tabs>
        <w:ind w:left="479"/>
      </w:pPr>
      <w:hyperlink w:history="1" w:anchor="_bookmark82">
        <w:r>
          <w:t>Figure</w:t>
        </w:r>
        <w:r>
          <w:rPr>
            <w:spacing w:val="-8"/>
          </w:rPr>
          <w:t xml:space="preserve"> </w:t>
        </w:r>
        <w:r>
          <w:t>2-11.</w:t>
        </w:r>
        <w:r>
          <w:rPr>
            <w:spacing w:val="-9"/>
          </w:rPr>
          <w:t xml:space="preserve"> </w:t>
        </w:r>
        <w:r>
          <w:t>C&amp;S</w:t>
        </w:r>
        <w:r>
          <w:rPr>
            <w:spacing w:val="-8"/>
          </w:rPr>
          <w:t xml:space="preserve"> </w:t>
        </w:r>
        <w:r>
          <w:t>Savings</w:t>
        </w:r>
        <w:r>
          <w:rPr>
            <w:spacing w:val="-8"/>
          </w:rPr>
          <w:t xml:space="preserve"> </w:t>
        </w:r>
        <w:r>
          <w:t>Calculation</w:t>
        </w:r>
        <w:r>
          <w:rPr>
            <w:spacing w:val="-8"/>
          </w:rPr>
          <w:t xml:space="preserve"> </w:t>
        </w:r>
        <w:r>
          <w:rPr>
            <w:spacing w:val="-2"/>
          </w:rPr>
          <w:t>Methodology</w:t>
        </w:r>
        <w:r>
          <w:tab/>
        </w:r>
        <w:r>
          <w:rPr>
            <w:spacing w:val="-5"/>
          </w:rPr>
          <w:t>30</w:t>
        </w:r>
      </w:hyperlink>
    </w:p>
    <w:p w:rsidR="00C31389" w:rsidRDefault="00561FBD" w14:paraId="4DB3FCB0" w14:textId="77777777">
      <w:pPr>
        <w:pStyle w:val="BodyText"/>
        <w:tabs>
          <w:tab w:val="left" w:leader="dot" w:pos="9508"/>
        </w:tabs>
        <w:ind w:left="479"/>
      </w:pPr>
      <w:hyperlink w:history="1" w:anchor="_bookmark119">
        <w:r>
          <w:t>Figure</w:t>
        </w:r>
        <w:r>
          <w:rPr>
            <w:spacing w:val="-7"/>
          </w:rPr>
          <w:t xml:space="preserve"> </w:t>
        </w:r>
        <w:r>
          <w:t>3-1.</w:t>
        </w:r>
        <w:r>
          <w:rPr>
            <w:spacing w:val="-8"/>
          </w:rPr>
          <w:t xml:space="preserve"> </w:t>
        </w:r>
        <w:r>
          <w:t>Example</w:t>
        </w:r>
        <w:r>
          <w:rPr>
            <w:spacing w:val="-7"/>
          </w:rPr>
          <w:t xml:space="preserve"> </w:t>
        </w:r>
        <w:r>
          <w:t>FS</w:t>
        </w:r>
        <w:r>
          <w:rPr>
            <w:spacing w:val="-7"/>
          </w:rPr>
          <w:t xml:space="preserve"> </w:t>
        </w:r>
        <w:r>
          <w:t>Technology</w:t>
        </w:r>
        <w:r>
          <w:rPr>
            <w:spacing w:val="-8"/>
          </w:rPr>
          <w:t xml:space="preserve"> </w:t>
        </w:r>
        <w:r>
          <w:rPr>
            <w:spacing w:val="-2"/>
          </w:rPr>
          <w:t>Group</w:t>
        </w:r>
        <w:r>
          <w:tab/>
        </w:r>
        <w:r>
          <w:rPr>
            <w:spacing w:val="-5"/>
          </w:rPr>
          <w:t>46</w:t>
        </w:r>
      </w:hyperlink>
    </w:p>
    <w:p w:rsidR="00C31389" w:rsidRDefault="00561FBD" w14:paraId="0CF1DB36" w14:textId="77777777">
      <w:pPr>
        <w:pStyle w:val="BodyText"/>
        <w:tabs>
          <w:tab w:val="left" w:leader="dot" w:pos="9508"/>
        </w:tabs>
        <w:spacing w:before="1" w:line="253" w:lineRule="exact"/>
        <w:ind w:left="479"/>
      </w:pPr>
      <w:hyperlink w:history="1" w:anchor="_bookmark121">
        <w:r>
          <w:t>Figure</w:t>
        </w:r>
        <w:r>
          <w:rPr>
            <w:spacing w:val="-8"/>
          </w:rPr>
          <w:t xml:space="preserve"> </w:t>
        </w:r>
        <w:r>
          <w:t>3-2.</w:t>
        </w:r>
        <w:r>
          <w:rPr>
            <w:spacing w:val="-8"/>
          </w:rPr>
          <w:t xml:space="preserve"> </w:t>
        </w:r>
        <w:r>
          <w:t>Residential</w:t>
        </w:r>
        <w:r>
          <w:rPr>
            <w:spacing w:val="-9"/>
          </w:rPr>
          <w:t xml:space="preserve"> </w:t>
        </w:r>
        <w:r>
          <w:t>HVAC</w:t>
        </w:r>
        <w:r>
          <w:rPr>
            <w:spacing w:val="-8"/>
          </w:rPr>
          <w:t xml:space="preserve"> </w:t>
        </w:r>
        <w:r>
          <w:t>FS</w:t>
        </w:r>
        <w:r>
          <w:rPr>
            <w:spacing w:val="-7"/>
          </w:rPr>
          <w:t xml:space="preserve"> </w:t>
        </w:r>
        <w:r>
          <w:t>Technology</w:t>
        </w:r>
        <w:r>
          <w:rPr>
            <w:spacing w:val="-9"/>
          </w:rPr>
          <w:t xml:space="preserve"> </w:t>
        </w:r>
        <w:r>
          <w:rPr>
            <w:spacing w:val="-2"/>
          </w:rPr>
          <w:t>Group</w:t>
        </w:r>
        <w:r>
          <w:tab/>
        </w:r>
        <w:r>
          <w:rPr>
            <w:spacing w:val="-5"/>
          </w:rPr>
          <w:t>47</w:t>
        </w:r>
      </w:hyperlink>
    </w:p>
    <w:p w:rsidR="00C31389" w:rsidRDefault="00561FBD" w14:paraId="35735B71" w14:textId="77777777">
      <w:pPr>
        <w:pStyle w:val="BodyText"/>
        <w:tabs>
          <w:tab w:val="left" w:leader="dot" w:pos="9508"/>
        </w:tabs>
        <w:spacing w:line="253" w:lineRule="exact"/>
        <w:ind w:left="479"/>
      </w:pPr>
      <w:hyperlink w:history="1" w:anchor="_bookmark123">
        <w:r>
          <w:t>Figure</w:t>
        </w:r>
        <w:r>
          <w:rPr>
            <w:spacing w:val="-8"/>
          </w:rPr>
          <w:t xml:space="preserve"> </w:t>
        </w:r>
        <w:r>
          <w:t>3-3.</w:t>
        </w:r>
        <w:r>
          <w:rPr>
            <w:spacing w:val="-8"/>
          </w:rPr>
          <w:t xml:space="preserve"> </w:t>
        </w:r>
        <w:r>
          <w:t>Residential</w:t>
        </w:r>
        <w:r>
          <w:rPr>
            <w:spacing w:val="-8"/>
          </w:rPr>
          <w:t xml:space="preserve"> </w:t>
        </w:r>
        <w:r>
          <w:t>Furnace</w:t>
        </w:r>
        <w:r>
          <w:rPr>
            <w:spacing w:val="-7"/>
          </w:rPr>
          <w:t xml:space="preserve"> </w:t>
        </w:r>
        <w:r>
          <w:t>FS</w:t>
        </w:r>
        <w:r>
          <w:rPr>
            <w:spacing w:val="-8"/>
          </w:rPr>
          <w:t xml:space="preserve"> </w:t>
        </w:r>
        <w:r>
          <w:t>Technology</w:t>
        </w:r>
        <w:r>
          <w:rPr>
            <w:spacing w:val="-8"/>
          </w:rPr>
          <w:t xml:space="preserve"> </w:t>
        </w:r>
        <w:r>
          <w:rPr>
            <w:spacing w:val="-2"/>
          </w:rPr>
          <w:t>Group</w:t>
        </w:r>
        <w:r>
          <w:tab/>
        </w:r>
        <w:r>
          <w:rPr>
            <w:spacing w:val="-5"/>
          </w:rPr>
          <w:t>48</w:t>
        </w:r>
      </w:hyperlink>
    </w:p>
    <w:p w:rsidR="00C31389" w:rsidRDefault="00561FBD" w14:paraId="2587DA11" w14:textId="77777777">
      <w:pPr>
        <w:pStyle w:val="BodyText"/>
        <w:tabs>
          <w:tab w:val="left" w:leader="dot" w:pos="9508"/>
        </w:tabs>
        <w:ind w:left="479"/>
      </w:pPr>
      <w:hyperlink w:history="1" w:anchor="_bookmark145">
        <w:r>
          <w:t>Figure</w:t>
        </w:r>
        <w:r>
          <w:rPr>
            <w:spacing w:val="-8"/>
          </w:rPr>
          <w:t xml:space="preserve"> </w:t>
        </w:r>
        <w:r>
          <w:t>3-4.</w:t>
        </w:r>
        <w:r>
          <w:rPr>
            <w:spacing w:val="-7"/>
          </w:rPr>
          <w:t xml:space="preserve"> </w:t>
        </w:r>
        <w:r>
          <w:t>Illustrative</w:t>
        </w:r>
        <w:r>
          <w:rPr>
            <w:spacing w:val="-8"/>
          </w:rPr>
          <w:t xml:space="preserve"> </w:t>
        </w:r>
        <w:r>
          <w:t>Example</w:t>
        </w:r>
        <w:r>
          <w:rPr>
            <w:spacing w:val="-7"/>
          </w:rPr>
          <w:t xml:space="preserve"> </w:t>
        </w:r>
        <w:r>
          <w:t>of</w:t>
        </w:r>
        <w:r>
          <w:rPr>
            <w:spacing w:val="-7"/>
          </w:rPr>
          <w:t xml:space="preserve"> </w:t>
        </w:r>
        <w:r>
          <w:t>Efficient</w:t>
        </w:r>
        <w:r>
          <w:rPr>
            <w:spacing w:val="-8"/>
          </w:rPr>
          <w:t xml:space="preserve"> </w:t>
        </w:r>
        <w:r>
          <w:rPr>
            <w:spacing w:val="-2"/>
          </w:rPr>
          <w:t>Measure</w:t>
        </w:r>
        <w:r>
          <w:tab/>
        </w:r>
        <w:r>
          <w:rPr>
            <w:spacing w:val="-5"/>
          </w:rPr>
          <w:t>58</w:t>
        </w:r>
      </w:hyperlink>
    </w:p>
    <w:p w:rsidR="00C31389" w:rsidRDefault="00561FBD" w14:paraId="67C573BF" w14:textId="77777777">
      <w:pPr>
        <w:pStyle w:val="BodyText"/>
        <w:tabs>
          <w:tab w:val="left" w:leader="dot" w:pos="9508"/>
        </w:tabs>
        <w:ind w:left="479"/>
      </w:pPr>
      <w:hyperlink w:history="1" w:anchor="_bookmark146">
        <w:r>
          <w:t>Figure</w:t>
        </w:r>
        <w:r>
          <w:rPr>
            <w:spacing w:val="-6"/>
          </w:rPr>
          <w:t xml:space="preserve"> </w:t>
        </w:r>
        <w:r>
          <w:t>3-5.</w:t>
        </w:r>
        <w:r>
          <w:rPr>
            <w:spacing w:val="-6"/>
          </w:rPr>
          <w:t xml:space="preserve"> </w:t>
        </w:r>
        <w:r>
          <w:t>Gas</w:t>
        </w:r>
        <w:r>
          <w:rPr>
            <w:spacing w:val="-5"/>
          </w:rPr>
          <w:t xml:space="preserve"> </w:t>
        </w:r>
        <w:r>
          <w:t>Water</w:t>
        </w:r>
        <w:r>
          <w:rPr>
            <w:spacing w:val="-5"/>
          </w:rPr>
          <w:t xml:space="preserve"> </w:t>
        </w:r>
        <w:r>
          <w:rPr>
            <w:spacing w:val="-2"/>
          </w:rPr>
          <w:t>Heaters</w:t>
        </w:r>
        <w:r>
          <w:tab/>
        </w:r>
        <w:r>
          <w:rPr>
            <w:spacing w:val="-7"/>
          </w:rPr>
          <w:t>59</w:t>
        </w:r>
      </w:hyperlink>
    </w:p>
    <w:p w:rsidR="00C31389" w:rsidRDefault="00561FBD" w14:paraId="1CF661B9" w14:textId="77777777">
      <w:pPr>
        <w:pStyle w:val="BodyText"/>
        <w:tabs>
          <w:tab w:val="left" w:leader="dot" w:pos="9508"/>
        </w:tabs>
        <w:ind w:left="479"/>
      </w:pPr>
      <w:hyperlink w:history="1" w:anchor="_bookmark187">
        <w:r>
          <w:t>Figure</w:t>
        </w:r>
        <w:r>
          <w:rPr>
            <w:spacing w:val="-8"/>
          </w:rPr>
          <w:t xml:space="preserve"> </w:t>
        </w:r>
        <w:r>
          <w:t>3-6.</w:t>
        </w:r>
        <w:r>
          <w:rPr>
            <w:spacing w:val="-8"/>
          </w:rPr>
          <w:t xml:space="preserve"> </w:t>
        </w:r>
        <w:r>
          <w:t>Selection</w:t>
        </w:r>
        <w:r>
          <w:rPr>
            <w:spacing w:val="-8"/>
          </w:rPr>
          <w:t xml:space="preserve"> </w:t>
        </w:r>
        <w:r>
          <w:t>Process</w:t>
        </w:r>
        <w:r>
          <w:rPr>
            <w:spacing w:val="-7"/>
          </w:rPr>
          <w:t xml:space="preserve"> </w:t>
        </w:r>
        <w:r>
          <w:t>for</w:t>
        </w:r>
        <w:r>
          <w:rPr>
            <w:spacing w:val="-8"/>
          </w:rPr>
          <w:t xml:space="preserve"> </w:t>
        </w:r>
        <w:r>
          <w:t>Residential</w:t>
        </w:r>
        <w:r>
          <w:rPr>
            <w:spacing w:val="-8"/>
          </w:rPr>
          <w:t xml:space="preserve"> </w:t>
        </w:r>
        <w:r>
          <w:t>and</w:t>
        </w:r>
        <w:r>
          <w:rPr>
            <w:spacing w:val="-8"/>
          </w:rPr>
          <w:t xml:space="preserve"> </w:t>
        </w:r>
        <w:r>
          <w:t>Commercial</w:t>
        </w:r>
        <w:r>
          <w:rPr>
            <w:spacing w:val="-7"/>
          </w:rPr>
          <w:t xml:space="preserve"> </w:t>
        </w:r>
        <w:r>
          <w:t>BROs</w:t>
        </w:r>
        <w:r>
          <w:rPr>
            <w:spacing w:val="-8"/>
          </w:rPr>
          <w:t xml:space="preserve"> </w:t>
        </w:r>
        <w:r>
          <w:t>EE</w:t>
        </w:r>
        <w:r>
          <w:rPr>
            <w:spacing w:val="-7"/>
          </w:rPr>
          <w:t xml:space="preserve"> </w:t>
        </w:r>
        <w:r>
          <w:rPr>
            <w:spacing w:val="-2"/>
          </w:rPr>
          <w:t>Programs</w:t>
        </w:r>
        <w:r>
          <w:tab/>
        </w:r>
        <w:r>
          <w:rPr>
            <w:spacing w:val="-5"/>
          </w:rPr>
          <w:t>71</w:t>
        </w:r>
      </w:hyperlink>
    </w:p>
    <w:p w:rsidR="00C31389" w:rsidRDefault="00561FBD" w14:paraId="330FA8EF" w14:textId="77777777">
      <w:pPr>
        <w:pStyle w:val="BodyText"/>
        <w:tabs>
          <w:tab w:val="left" w:leader="dot" w:pos="9508"/>
        </w:tabs>
        <w:ind w:left="479"/>
      </w:pPr>
      <w:hyperlink w:history="1" w:anchor="_bookmark201">
        <w:r>
          <w:t>Figure</w:t>
        </w:r>
        <w:r>
          <w:rPr>
            <w:spacing w:val="-5"/>
          </w:rPr>
          <w:t xml:space="preserve"> </w:t>
        </w:r>
        <w:r>
          <w:t>4-1.</w:t>
        </w:r>
        <w:r>
          <w:rPr>
            <w:spacing w:val="-5"/>
          </w:rPr>
          <w:t xml:space="preserve"> </w:t>
        </w:r>
        <w:r>
          <w:t>TSB</w:t>
        </w:r>
        <w:r>
          <w:rPr>
            <w:spacing w:val="-4"/>
          </w:rPr>
          <w:t xml:space="preserve"> </w:t>
        </w:r>
        <w:r>
          <w:t>($)</w:t>
        </w:r>
        <w:r>
          <w:rPr>
            <w:spacing w:val="-4"/>
          </w:rPr>
          <w:t xml:space="preserve"> </w:t>
        </w:r>
        <w:r>
          <w:t>by</w:t>
        </w:r>
        <w:r>
          <w:rPr>
            <w:spacing w:val="-4"/>
          </w:rPr>
          <w:t xml:space="preserve"> </w:t>
        </w:r>
        <w:r>
          <w:rPr>
            <w:spacing w:val="-2"/>
          </w:rPr>
          <w:t>Scenario</w:t>
        </w:r>
        <w:r>
          <w:tab/>
        </w:r>
        <w:r>
          <w:rPr>
            <w:spacing w:val="-5"/>
          </w:rPr>
          <w:t>80</w:t>
        </w:r>
      </w:hyperlink>
    </w:p>
    <w:p w:rsidR="00C31389" w:rsidRDefault="00561FBD" w14:paraId="7AD0B189" w14:textId="77777777">
      <w:pPr>
        <w:pStyle w:val="BodyText"/>
        <w:tabs>
          <w:tab w:val="left" w:leader="dot" w:pos="9508"/>
        </w:tabs>
        <w:spacing w:before="1" w:line="253" w:lineRule="exact"/>
        <w:ind w:left="479"/>
      </w:pPr>
      <w:hyperlink w:history="1" w:anchor="_bookmark203">
        <w:r>
          <w:t>Figure</w:t>
        </w:r>
        <w:r>
          <w:rPr>
            <w:spacing w:val="-8"/>
          </w:rPr>
          <w:t xml:space="preserve"> </w:t>
        </w:r>
        <w:r>
          <w:t>4-2.</w:t>
        </w:r>
        <w:r>
          <w:rPr>
            <w:spacing w:val="-9"/>
          </w:rPr>
          <w:t xml:space="preserve"> </w:t>
        </w:r>
        <w:r>
          <w:t>Statewide</w:t>
        </w:r>
        <w:r>
          <w:rPr>
            <w:spacing w:val="-8"/>
          </w:rPr>
          <w:t xml:space="preserve"> </w:t>
        </w:r>
        <w:r>
          <w:t>Net</w:t>
        </w:r>
        <w:r>
          <w:rPr>
            <w:spacing w:val="-7"/>
          </w:rPr>
          <w:t xml:space="preserve"> </w:t>
        </w:r>
        <w:r>
          <w:t>First-Year</w:t>
        </w:r>
        <w:r>
          <w:rPr>
            <w:spacing w:val="-9"/>
          </w:rPr>
          <w:t xml:space="preserve"> </w:t>
        </w:r>
        <w:r>
          <w:t>Incremental</w:t>
        </w:r>
        <w:r>
          <w:rPr>
            <w:spacing w:val="-8"/>
          </w:rPr>
          <w:t xml:space="preserve"> </w:t>
        </w:r>
        <w:r>
          <w:t>Electric</w:t>
        </w:r>
        <w:r>
          <w:rPr>
            <w:spacing w:val="-8"/>
          </w:rPr>
          <w:t xml:space="preserve"> </w:t>
        </w:r>
        <w:r>
          <w:t>Savings</w:t>
        </w:r>
        <w:r>
          <w:rPr>
            <w:spacing w:val="-7"/>
          </w:rPr>
          <w:t xml:space="preserve"> </w:t>
        </w:r>
        <w:r>
          <w:t>by</w:t>
        </w:r>
        <w:r>
          <w:rPr>
            <w:spacing w:val="-8"/>
          </w:rPr>
          <w:t xml:space="preserve"> </w:t>
        </w:r>
        <w:r>
          <w:rPr>
            <w:spacing w:val="-2"/>
          </w:rPr>
          <w:t>Scenario</w:t>
        </w:r>
        <w:r>
          <w:tab/>
        </w:r>
        <w:r>
          <w:rPr>
            <w:spacing w:val="-5"/>
          </w:rPr>
          <w:t>81</w:t>
        </w:r>
      </w:hyperlink>
    </w:p>
    <w:p w:rsidR="00C31389" w:rsidRDefault="00561FBD" w14:paraId="3337D75F" w14:textId="77777777">
      <w:pPr>
        <w:pStyle w:val="BodyText"/>
        <w:tabs>
          <w:tab w:val="left" w:leader="dot" w:pos="9508"/>
        </w:tabs>
        <w:spacing w:line="253" w:lineRule="exact"/>
        <w:ind w:left="479"/>
      </w:pPr>
      <w:hyperlink w:history="1" w:anchor="_bookmark204">
        <w:r>
          <w:t>Figure</w:t>
        </w:r>
        <w:r>
          <w:rPr>
            <w:spacing w:val="-8"/>
          </w:rPr>
          <w:t xml:space="preserve"> </w:t>
        </w:r>
        <w:r>
          <w:t>4-3.</w:t>
        </w:r>
        <w:r>
          <w:rPr>
            <w:spacing w:val="-9"/>
          </w:rPr>
          <w:t xml:space="preserve"> </w:t>
        </w:r>
        <w:r>
          <w:t>Statewide</w:t>
        </w:r>
        <w:r>
          <w:rPr>
            <w:spacing w:val="-8"/>
          </w:rPr>
          <w:t xml:space="preserve"> </w:t>
        </w:r>
        <w:r>
          <w:t>Net</w:t>
        </w:r>
        <w:r>
          <w:rPr>
            <w:spacing w:val="-8"/>
          </w:rPr>
          <w:t xml:space="preserve"> </w:t>
        </w:r>
        <w:r>
          <w:t>First-Year</w:t>
        </w:r>
        <w:r>
          <w:rPr>
            <w:spacing w:val="-8"/>
          </w:rPr>
          <w:t xml:space="preserve"> </w:t>
        </w:r>
        <w:r>
          <w:t>Increme</w:t>
        </w:r>
        <w:r>
          <w:t>ntal</w:t>
        </w:r>
        <w:r>
          <w:rPr>
            <w:spacing w:val="-8"/>
          </w:rPr>
          <w:t xml:space="preserve"> </w:t>
        </w:r>
        <w:r>
          <w:t>Demand</w:t>
        </w:r>
        <w:r>
          <w:rPr>
            <w:spacing w:val="-8"/>
          </w:rPr>
          <w:t xml:space="preserve"> </w:t>
        </w:r>
        <w:r>
          <w:t>Savings</w:t>
        </w:r>
        <w:r>
          <w:rPr>
            <w:spacing w:val="-8"/>
          </w:rPr>
          <w:t xml:space="preserve"> </w:t>
        </w:r>
        <w:r>
          <w:t>by</w:t>
        </w:r>
        <w:r>
          <w:rPr>
            <w:spacing w:val="-8"/>
          </w:rPr>
          <w:t xml:space="preserve"> </w:t>
        </w:r>
        <w:r>
          <w:rPr>
            <w:spacing w:val="-2"/>
          </w:rPr>
          <w:t>Scenario</w:t>
        </w:r>
        <w:r>
          <w:tab/>
        </w:r>
        <w:r>
          <w:rPr>
            <w:spacing w:val="-5"/>
          </w:rPr>
          <w:t>82</w:t>
        </w:r>
      </w:hyperlink>
    </w:p>
    <w:p w:rsidR="00C31389" w:rsidRDefault="00561FBD" w14:paraId="004E2212" w14:textId="77777777">
      <w:pPr>
        <w:pStyle w:val="BodyText"/>
        <w:tabs>
          <w:tab w:val="left" w:leader="dot" w:pos="9508"/>
        </w:tabs>
        <w:ind w:left="479"/>
      </w:pPr>
      <w:hyperlink w:history="1" w:anchor="_bookmark205">
        <w:r>
          <w:t>Figure</w:t>
        </w:r>
        <w:r>
          <w:rPr>
            <w:spacing w:val="-8"/>
          </w:rPr>
          <w:t xml:space="preserve"> </w:t>
        </w:r>
        <w:r>
          <w:t>4-4.</w:t>
        </w:r>
        <w:r>
          <w:rPr>
            <w:spacing w:val="-8"/>
          </w:rPr>
          <w:t xml:space="preserve"> </w:t>
        </w:r>
        <w:r>
          <w:t>Statewide</w:t>
        </w:r>
        <w:r>
          <w:rPr>
            <w:spacing w:val="-7"/>
          </w:rPr>
          <w:t xml:space="preserve"> </w:t>
        </w:r>
        <w:r>
          <w:t>Net</w:t>
        </w:r>
        <w:r>
          <w:rPr>
            <w:spacing w:val="-8"/>
          </w:rPr>
          <w:t xml:space="preserve"> </w:t>
        </w:r>
        <w:r>
          <w:t>First-Year</w:t>
        </w:r>
        <w:r>
          <w:rPr>
            <w:spacing w:val="-8"/>
          </w:rPr>
          <w:t xml:space="preserve"> </w:t>
        </w:r>
        <w:r>
          <w:t>Incremental</w:t>
        </w:r>
        <w:r>
          <w:rPr>
            <w:spacing w:val="-7"/>
          </w:rPr>
          <w:t xml:space="preserve"> </w:t>
        </w:r>
        <w:r>
          <w:t>Gas</w:t>
        </w:r>
        <w:r>
          <w:rPr>
            <w:spacing w:val="-7"/>
          </w:rPr>
          <w:t xml:space="preserve"> </w:t>
        </w:r>
        <w:r>
          <w:t>Savings</w:t>
        </w:r>
        <w:r>
          <w:rPr>
            <w:spacing w:val="-8"/>
          </w:rPr>
          <w:t xml:space="preserve"> </w:t>
        </w:r>
        <w:r>
          <w:t>by</w:t>
        </w:r>
        <w:r>
          <w:rPr>
            <w:spacing w:val="-7"/>
          </w:rPr>
          <w:t xml:space="preserve"> </w:t>
        </w:r>
        <w:r>
          <w:rPr>
            <w:spacing w:val="-2"/>
          </w:rPr>
          <w:t>Scenario</w:t>
        </w:r>
        <w:r>
          <w:tab/>
        </w:r>
        <w:r>
          <w:rPr>
            <w:spacing w:val="-5"/>
          </w:rPr>
          <w:t>82</w:t>
        </w:r>
      </w:hyperlink>
    </w:p>
    <w:p w:rsidR="00C31389" w:rsidRDefault="00561FBD" w14:paraId="507DB5C0" w14:textId="77777777">
      <w:pPr>
        <w:pStyle w:val="BodyText"/>
        <w:tabs>
          <w:tab w:val="left" w:leader="dot" w:pos="9508"/>
        </w:tabs>
        <w:ind w:left="479"/>
      </w:pPr>
      <w:hyperlink w:history="1" w:anchor="_bookmark207">
        <w:r>
          <w:t>Figure</w:t>
        </w:r>
        <w:r>
          <w:rPr>
            <w:spacing w:val="-5"/>
          </w:rPr>
          <w:t xml:space="preserve"> </w:t>
        </w:r>
        <w:r>
          <w:t>4-5.</w:t>
        </w:r>
        <w:r>
          <w:rPr>
            <w:spacing w:val="-6"/>
          </w:rPr>
          <w:t xml:space="preserve"> </w:t>
        </w:r>
        <w:r>
          <w:t>TRC</w:t>
        </w:r>
        <w:r>
          <w:rPr>
            <w:spacing w:val="-6"/>
          </w:rPr>
          <w:t xml:space="preserve"> </w:t>
        </w:r>
        <w:r>
          <w:t>Test</w:t>
        </w:r>
        <w:r>
          <w:rPr>
            <w:spacing w:val="-5"/>
          </w:rPr>
          <w:t xml:space="preserve"> </w:t>
        </w:r>
        <w:r>
          <w:t>Benefit</w:t>
        </w:r>
        <w:r>
          <w:rPr>
            <w:spacing w:val="-5"/>
          </w:rPr>
          <w:t xml:space="preserve"> </w:t>
        </w:r>
        <w:r>
          <w:t>to</w:t>
        </w:r>
        <w:r>
          <w:rPr>
            <w:spacing w:val="-4"/>
          </w:rPr>
          <w:t xml:space="preserve"> </w:t>
        </w:r>
        <w:r>
          <w:t>Cost</w:t>
        </w:r>
        <w:r>
          <w:rPr>
            <w:spacing w:val="-5"/>
          </w:rPr>
          <w:t xml:space="preserve"> </w:t>
        </w:r>
        <w:r>
          <w:t>Ratio</w:t>
        </w:r>
        <w:r>
          <w:rPr>
            <w:spacing w:val="-5"/>
          </w:rPr>
          <w:t xml:space="preserve"> </w:t>
        </w:r>
        <w:r>
          <w:t>by</w:t>
        </w:r>
        <w:r>
          <w:rPr>
            <w:spacing w:val="-6"/>
          </w:rPr>
          <w:t xml:space="preserve"> </w:t>
        </w:r>
        <w:r>
          <w:rPr>
            <w:spacing w:val="-2"/>
          </w:rPr>
          <w:t>Scenario</w:t>
        </w:r>
        <w:r>
          <w:tab/>
        </w:r>
        <w:r>
          <w:rPr>
            <w:spacing w:val="-5"/>
          </w:rPr>
          <w:t>82</w:t>
        </w:r>
      </w:hyperlink>
    </w:p>
    <w:p w:rsidR="00C31389" w:rsidRDefault="00561FBD" w14:paraId="01B25CD9" w14:textId="77777777">
      <w:pPr>
        <w:pStyle w:val="BodyText"/>
        <w:tabs>
          <w:tab w:val="left" w:leader="dot" w:pos="9507"/>
        </w:tabs>
        <w:ind w:left="479"/>
      </w:pPr>
      <w:hyperlink w:history="1" w:anchor="_bookmark209">
        <w:r>
          <w:t>Figure</w:t>
        </w:r>
        <w:r>
          <w:rPr>
            <w:spacing w:val="-9"/>
          </w:rPr>
          <w:t xml:space="preserve"> </w:t>
        </w:r>
        <w:r>
          <w:t>4-6.</w:t>
        </w:r>
        <w:r>
          <w:rPr>
            <w:spacing w:val="-8"/>
          </w:rPr>
          <w:t xml:space="preserve"> </w:t>
        </w:r>
        <w:r>
          <w:t>BROs</w:t>
        </w:r>
        <w:r>
          <w:rPr>
            <w:spacing w:val="-8"/>
          </w:rPr>
          <w:t xml:space="preserve"> </w:t>
        </w:r>
        <w:r>
          <w:t>Program</w:t>
        </w:r>
        <w:r>
          <w:rPr>
            <w:spacing w:val="-9"/>
          </w:rPr>
          <w:t xml:space="preserve"> </w:t>
        </w:r>
        <w:r>
          <w:t>First-Year</w:t>
        </w:r>
        <w:r>
          <w:rPr>
            <w:spacing w:val="-8"/>
          </w:rPr>
          <w:t xml:space="preserve"> </w:t>
        </w:r>
        <w:r>
          <w:t>Electric</w:t>
        </w:r>
        <w:r>
          <w:rPr>
            <w:spacing w:val="-8"/>
          </w:rPr>
          <w:t xml:space="preserve"> </w:t>
        </w:r>
        <w:r>
          <w:t>Energy</w:t>
        </w:r>
        <w:r>
          <w:rPr>
            <w:spacing w:val="-8"/>
          </w:rPr>
          <w:t xml:space="preserve"> </w:t>
        </w:r>
        <w:r>
          <w:t>Savings</w:t>
        </w:r>
        <w:r>
          <w:rPr>
            <w:spacing w:val="-8"/>
          </w:rPr>
          <w:t xml:space="preserve"> </w:t>
        </w:r>
        <w:r>
          <w:t>by</w:t>
        </w:r>
        <w:r>
          <w:rPr>
            <w:spacing w:val="-8"/>
          </w:rPr>
          <w:t xml:space="preserve"> </w:t>
        </w:r>
        <w:r>
          <w:t>Pro</w:t>
        </w:r>
        <w:r>
          <w:t>gram</w:t>
        </w:r>
        <w:r>
          <w:rPr>
            <w:spacing w:val="-9"/>
          </w:rPr>
          <w:t xml:space="preserve"> </w:t>
        </w:r>
        <w:r>
          <w:rPr>
            <w:spacing w:val="-4"/>
          </w:rPr>
          <w:t>Type</w:t>
        </w:r>
        <w:r>
          <w:tab/>
        </w:r>
        <w:r>
          <w:rPr>
            <w:spacing w:val="-5"/>
          </w:rPr>
          <w:t>84</w:t>
        </w:r>
      </w:hyperlink>
    </w:p>
    <w:p w:rsidR="00C31389" w:rsidRDefault="00561FBD" w14:paraId="32A0A762" w14:textId="77777777">
      <w:pPr>
        <w:pStyle w:val="BodyText"/>
        <w:tabs>
          <w:tab w:val="left" w:leader="dot" w:pos="9507"/>
        </w:tabs>
        <w:spacing w:before="1" w:line="253" w:lineRule="exact"/>
        <w:ind w:left="479"/>
      </w:pPr>
      <w:hyperlink w:history="1" w:anchor="_bookmark210">
        <w:r>
          <w:t>Figure</w:t>
        </w:r>
        <w:r>
          <w:rPr>
            <w:spacing w:val="-8"/>
          </w:rPr>
          <w:t xml:space="preserve"> </w:t>
        </w:r>
        <w:r>
          <w:t>4-7.</w:t>
        </w:r>
        <w:r>
          <w:rPr>
            <w:spacing w:val="-8"/>
          </w:rPr>
          <w:t xml:space="preserve"> </w:t>
        </w:r>
        <w:r>
          <w:t>BROs</w:t>
        </w:r>
        <w:r>
          <w:rPr>
            <w:spacing w:val="-7"/>
          </w:rPr>
          <w:t xml:space="preserve"> </w:t>
        </w:r>
        <w:r>
          <w:t>Program</w:t>
        </w:r>
        <w:r>
          <w:rPr>
            <w:spacing w:val="-8"/>
          </w:rPr>
          <w:t xml:space="preserve"> </w:t>
        </w:r>
        <w:r>
          <w:t>First-Year</w:t>
        </w:r>
        <w:r>
          <w:rPr>
            <w:spacing w:val="-7"/>
          </w:rPr>
          <w:t xml:space="preserve"> </w:t>
        </w:r>
        <w:r>
          <w:t>Gas</w:t>
        </w:r>
        <w:r>
          <w:rPr>
            <w:spacing w:val="-7"/>
          </w:rPr>
          <w:t xml:space="preserve"> </w:t>
        </w:r>
        <w:r>
          <w:t>Energy</w:t>
        </w:r>
        <w:r>
          <w:rPr>
            <w:spacing w:val="-8"/>
          </w:rPr>
          <w:t xml:space="preserve"> </w:t>
        </w:r>
        <w:r>
          <w:t>Savings</w:t>
        </w:r>
        <w:r>
          <w:rPr>
            <w:spacing w:val="-8"/>
          </w:rPr>
          <w:t xml:space="preserve"> </w:t>
        </w:r>
        <w:r>
          <w:t>by</w:t>
        </w:r>
        <w:r>
          <w:rPr>
            <w:spacing w:val="-7"/>
          </w:rPr>
          <w:t xml:space="preserve"> </w:t>
        </w:r>
        <w:r>
          <w:t>Program</w:t>
        </w:r>
        <w:r>
          <w:rPr>
            <w:spacing w:val="-8"/>
          </w:rPr>
          <w:t xml:space="preserve"> </w:t>
        </w:r>
        <w:r>
          <w:rPr>
            <w:spacing w:val="-4"/>
          </w:rPr>
          <w:t>Type</w:t>
        </w:r>
        <w:r>
          <w:tab/>
        </w:r>
        <w:r>
          <w:rPr>
            <w:spacing w:val="-5"/>
          </w:rPr>
          <w:t>84</w:t>
        </w:r>
      </w:hyperlink>
    </w:p>
    <w:p w:rsidR="00C31389" w:rsidRDefault="00561FBD" w14:paraId="58421712" w14:textId="77777777">
      <w:pPr>
        <w:pStyle w:val="BodyText"/>
        <w:tabs>
          <w:tab w:val="left" w:leader="dot" w:pos="9507"/>
        </w:tabs>
        <w:spacing w:line="252" w:lineRule="exact"/>
        <w:ind w:left="479"/>
      </w:pPr>
      <w:hyperlink w:history="1" w:anchor="_bookmark213">
        <w:r>
          <w:t>Figure</w:t>
        </w:r>
        <w:r>
          <w:rPr>
            <w:spacing w:val="-4"/>
          </w:rPr>
          <w:t xml:space="preserve"> </w:t>
        </w:r>
        <w:r>
          <w:t>4-8.</w:t>
        </w:r>
        <w:r>
          <w:rPr>
            <w:spacing w:val="-5"/>
          </w:rPr>
          <w:t xml:space="preserve"> </w:t>
        </w:r>
        <w:r>
          <w:t>FS</w:t>
        </w:r>
        <w:r>
          <w:rPr>
            <w:spacing w:val="-4"/>
          </w:rPr>
          <w:t xml:space="preserve"> </w:t>
        </w:r>
        <w:r>
          <w:t>TSB</w:t>
        </w:r>
        <w:r>
          <w:rPr>
            <w:spacing w:val="-4"/>
          </w:rPr>
          <w:t xml:space="preserve"> </w:t>
        </w:r>
        <w:r>
          <w:t>($)</w:t>
        </w:r>
        <w:r>
          <w:rPr>
            <w:spacing w:val="-3"/>
          </w:rPr>
          <w:t xml:space="preserve"> </w:t>
        </w:r>
        <w:r>
          <w:t>by</w:t>
        </w:r>
        <w:r>
          <w:rPr>
            <w:spacing w:val="-4"/>
          </w:rPr>
          <w:t xml:space="preserve"> </w:t>
        </w:r>
        <w:r>
          <w:rPr>
            <w:spacing w:val="-2"/>
          </w:rPr>
          <w:t>Scenario</w:t>
        </w:r>
        <w:r>
          <w:tab/>
        </w:r>
        <w:r>
          <w:rPr>
            <w:spacing w:val="-5"/>
          </w:rPr>
          <w:t>85</w:t>
        </w:r>
      </w:hyperlink>
    </w:p>
    <w:p w:rsidR="00C31389" w:rsidRDefault="00561FBD" w14:paraId="7A7BEE6B" w14:textId="77777777">
      <w:pPr>
        <w:pStyle w:val="BodyText"/>
        <w:tabs>
          <w:tab w:val="left" w:leader="dot" w:pos="9508"/>
        </w:tabs>
        <w:spacing w:line="253" w:lineRule="exact"/>
        <w:ind w:left="479"/>
      </w:pPr>
      <w:hyperlink w:history="1" w:anchor="_bookmark215">
        <w:r>
          <w:t>Figure</w:t>
        </w:r>
        <w:r>
          <w:rPr>
            <w:spacing w:val="-6"/>
          </w:rPr>
          <w:t xml:space="preserve"> </w:t>
        </w:r>
        <w:r>
          <w:t>4-9.</w:t>
        </w:r>
        <w:r>
          <w:rPr>
            <w:spacing w:val="-6"/>
          </w:rPr>
          <w:t xml:space="preserve"> </w:t>
        </w:r>
        <w:r>
          <w:t>FS</w:t>
        </w:r>
        <w:r>
          <w:rPr>
            <w:spacing w:val="-6"/>
          </w:rPr>
          <w:t xml:space="preserve"> </w:t>
        </w:r>
        <w:r>
          <w:t>Electric</w:t>
        </w:r>
        <w:r>
          <w:rPr>
            <w:spacing w:val="-6"/>
          </w:rPr>
          <w:t xml:space="preserve"> </w:t>
        </w:r>
        <w:r>
          <w:t>and</w:t>
        </w:r>
        <w:r>
          <w:rPr>
            <w:spacing w:val="-5"/>
          </w:rPr>
          <w:t xml:space="preserve"> </w:t>
        </w:r>
        <w:r>
          <w:t>Gas</w:t>
        </w:r>
        <w:r>
          <w:rPr>
            <w:spacing w:val="-6"/>
          </w:rPr>
          <w:t xml:space="preserve"> </w:t>
        </w:r>
        <w:r>
          <w:t>Energy</w:t>
        </w:r>
        <w:r>
          <w:rPr>
            <w:spacing w:val="-5"/>
          </w:rPr>
          <w:t xml:space="preserve"> </w:t>
        </w:r>
        <w:r>
          <w:t>Impacts</w:t>
        </w:r>
        <w:r>
          <w:rPr>
            <w:spacing w:val="-5"/>
          </w:rPr>
          <w:t xml:space="preserve"> </w:t>
        </w:r>
        <w:r>
          <w:t>in</w:t>
        </w:r>
        <w:r>
          <w:rPr>
            <w:spacing w:val="-6"/>
          </w:rPr>
          <w:t xml:space="preserve"> </w:t>
        </w:r>
        <w:r>
          <w:rPr>
            <w:spacing w:val="-4"/>
          </w:rPr>
          <w:t>2024</w:t>
        </w:r>
        <w:r>
          <w:tab/>
        </w:r>
        <w:r>
          <w:rPr>
            <w:spacing w:val="-5"/>
          </w:rPr>
          <w:t>86</w:t>
        </w:r>
      </w:hyperlink>
    </w:p>
    <w:p w:rsidR="00C31389" w:rsidRDefault="00561FBD" w14:paraId="7F7679C0" w14:textId="77777777">
      <w:pPr>
        <w:pStyle w:val="BodyText"/>
        <w:tabs>
          <w:tab w:val="left" w:leader="dot" w:pos="9508"/>
        </w:tabs>
        <w:ind w:left="479"/>
      </w:pPr>
      <w:hyperlink w:history="1" w:anchor="_bookmark217">
        <w:r>
          <w:t>Figure</w:t>
        </w:r>
        <w:r>
          <w:rPr>
            <w:spacing w:val="-9"/>
          </w:rPr>
          <w:t xml:space="preserve"> </w:t>
        </w:r>
        <w:r>
          <w:t>4-10.</w:t>
        </w:r>
        <w:r>
          <w:rPr>
            <w:spacing w:val="-9"/>
          </w:rPr>
          <w:t xml:space="preserve"> </w:t>
        </w:r>
        <w:r>
          <w:t>C&amp;S</w:t>
        </w:r>
        <w:r>
          <w:rPr>
            <w:spacing w:val="-8"/>
          </w:rPr>
          <w:t xml:space="preserve"> </w:t>
        </w:r>
        <w:r>
          <w:t>Electric</w:t>
        </w:r>
        <w:r>
          <w:rPr>
            <w:spacing w:val="-9"/>
          </w:rPr>
          <w:t xml:space="preserve"> </w:t>
        </w:r>
        <w:r>
          <w:t>Savings</w:t>
        </w:r>
        <w:r>
          <w:rPr>
            <w:spacing w:val="-8"/>
          </w:rPr>
          <w:t xml:space="preserve"> </w:t>
        </w:r>
        <w:r>
          <w:t>(Including</w:t>
        </w:r>
        <w:r>
          <w:rPr>
            <w:spacing w:val="-9"/>
          </w:rPr>
          <w:t xml:space="preserve"> </w:t>
        </w:r>
        <w:r>
          <w:t>Interactive</w:t>
        </w:r>
        <w:r>
          <w:rPr>
            <w:spacing w:val="-8"/>
          </w:rPr>
          <w:t xml:space="preserve"> </w:t>
        </w:r>
        <w:r>
          <w:rPr>
            <w:spacing w:val="-2"/>
          </w:rPr>
          <w:t>Effects)</w:t>
        </w:r>
        <w:r>
          <w:tab/>
        </w:r>
        <w:r>
          <w:rPr>
            <w:spacing w:val="-5"/>
          </w:rPr>
          <w:t>87</w:t>
        </w:r>
      </w:hyperlink>
    </w:p>
    <w:p w:rsidR="00C31389" w:rsidRDefault="00561FBD" w14:paraId="7F29B6C1" w14:textId="77777777">
      <w:pPr>
        <w:pStyle w:val="BodyText"/>
        <w:tabs>
          <w:tab w:val="left" w:leader="dot" w:pos="9508"/>
        </w:tabs>
        <w:ind w:left="479"/>
      </w:pPr>
      <w:hyperlink w:history="1" w:anchor="_bookmark218">
        <w:r>
          <w:t>Figure</w:t>
        </w:r>
        <w:r>
          <w:rPr>
            <w:spacing w:val="-8"/>
          </w:rPr>
          <w:t xml:space="preserve"> </w:t>
        </w:r>
        <w:r>
          <w:t>4-11.</w:t>
        </w:r>
        <w:r>
          <w:rPr>
            <w:spacing w:val="-8"/>
          </w:rPr>
          <w:t xml:space="preserve"> </w:t>
        </w:r>
        <w:r>
          <w:t>C&amp;S</w:t>
        </w:r>
        <w:r>
          <w:rPr>
            <w:spacing w:val="-8"/>
          </w:rPr>
          <w:t xml:space="preserve"> </w:t>
        </w:r>
        <w:r>
          <w:t>Gas</w:t>
        </w:r>
        <w:r>
          <w:rPr>
            <w:spacing w:val="-7"/>
          </w:rPr>
          <w:t xml:space="preserve"> </w:t>
        </w:r>
        <w:r>
          <w:t>Savings</w:t>
        </w:r>
        <w:r>
          <w:rPr>
            <w:spacing w:val="-8"/>
          </w:rPr>
          <w:t xml:space="preserve"> </w:t>
        </w:r>
        <w:r>
          <w:t>(Including</w:t>
        </w:r>
        <w:r>
          <w:rPr>
            <w:spacing w:val="-7"/>
          </w:rPr>
          <w:t xml:space="preserve"> </w:t>
        </w:r>
        <w:r>
          <w:t>Interactive</w:t>
        </w:r>
        <w:r>
          <w:rPr>
            <w:spacing w:val="-8"/>
          </w:rPr>
          <w:t xml:space="preserve"> </w:t>
        </w:r>
        <w:r>
          <w:rPr>
            <w:spacing w:val="-2"/>
          </w:rPr>
          <w:t>Effects)</w:t>
        </w:r>
        <w:r>
          <w:tab/>
        </w:r>
        <w:r>
          <w:rPr>
            <w:spacing w:val="-5"/>
          </w:rPr>
          <w:t>87</w:t>
        </w:r>
      </w:hyperlink>
    </w:p>
    <w:p w:rsidR="00C31389" w:rsidRDefault="00561FBD" w14:paraId="7E54FBA0" w14:textId="77777777">
      <w:pPr>
        <w:pStyle w:val="BodyText"/>
        <w:tabs>
          <w:tab w:val="left" w:leader="dot" w:pos="9508"/>
        </w:tabs>
        <w:ind w:left="479"/>
      </w:pPr>
      <w:hyperlink w:history="1" w:anchor="_bookmark221">
        <w:r>
          <w:t>Figure</w:t>
        </w:r>
        <w:r>
          <w:rPr>
            <w:spacing w:val="-7"/>
          </w:rPr>
          <w:t xml:space="preserve"> </w:t>
        </w:r>
        <w:r>
          <w:t>4-12.</w:t>
        </w:r>
        <w:r>
          <w:rPr>
            <w:spacing w:val="-8"/>
          </w:rPr>
          <w:t xml:space="preserve"> </w:t>
        </w:r>
        <w:r>
          <w:t>Results</w:t>
        </w:r>
        <w:r>
          <w:rPr>
            <w:spacing w:val="-6"/>
          </w:rPr>
          <w:t xml:space="preserve"> </w:t>
        </w:r>
        <w:r>
          <w:t>Viewer</w:t>
        </w:r>
        <w:r>
          <w:rPr>
            <w:spacing w:val="-7"/>
          </w:rPr>
          <w:t xml:space="preserve"> </w:t>
        </w:r>
        <w:r>
          <w:t>TSB</w:t>
        </w:r>
        <w:r>
          <w:rPr>
            <w:spacing w:val="-7"/>
          </w:rPr>
          <w:t xml:space="preserve"> </w:t>
        </w:r>
        <w:r>
          <w:t>by</w:t>
        </w:r>
        <w:r>
          <w:rPr>
            <w:spacing w:val="-6"/>
          </w:rPr>
          <w:t xml:space="preserve"> </w:t>
        </w:r>
        <w:r>
          <w:t>Scenario</w:t>
        </w:r>
        <w:r>
          <w:rPr>
            <w:spacing w:val="-7"/>
          </w:rPr>
          <w:t xml:space="preserve"> </w:t>
        </w:r>
        <w:r>
          <w:rPr>
            <w:spacing w:val="-2"/>
          </w:rPr>
          <w:t>(Illustrative)</w:t>
        </w:r>
        <w:r>
          <w:tab/>
        </w:r>
        <w:r>
          <w:rPr>
            <w:spacing w:val="-5"/>
          </w:rPr>
          <w:t>89</w:t>
        </w:r>
      </w:hyperlink>
    </w:p>
    <w:p w:rsidR="00C31389" w:rsidRDefault="00561FBD" w14:paraId="1D463086" w14:textId="77777777">
      <w:pPr>
        <w:pStyle w:val="BodyText"/>
        <w:tabs>
          <w:tab w:val="left" w:leader="dot" w:pos="9508"/>
        </w:tabs>
        <w:spacing w:before="1"/>
        <w:ind w:left="479"/>
      </w:pPr>
      <w:hyperlink w:history="1" w:anchor="_bookmark222">
        <w:r>
          <w:t>Figure</w:t>
        </w:r>
        <w:r>
          <w:rPr>
            <w:spacing w:val="-8"/>
          </w:rPr>
          <w:t xml:space="preserve"> </w:t>
        </w:r>
        <w:r>
          <w:t>4-13.</w:t>
        </w:r>
        <w:r>
          <w:rPr>
            <w:spacing w:val="-9"/>
          </w:rPr>
          <w:t xml:space="preserve"> </w:t>
        </w:r>
        <w:r>
          <w:t>Results</w:t>
        </w:r>
        <w:r>
          <w:rPr>
            <w:spacing w:val="-7"/>
          </w:rPr>
          <w:t xml:space="preserve"> </w:t>
        </w:r>
        <w:r>
          <w:t>Viewer</w:t>
        </w:r>
        <w:r>
          <w:rPr>
            <w:spacing w:val="-8"/>
          </w:rPr>
          <w:t xml:space="preserve"> </w:t>
        </w:r>
        <w:r>
          <w:t>Potential</w:t>
        </w:r>
        <w:r>
          <w:rPr>
            <w:spacing w:val="-8"/>
          </w:rPr>
          <w:t xml:space="preserve"> </w:t>
        </w:r>
        <w:r>
          <w:t>Breakdown</w:t>
        </w:r>
        <w:r>
          <w:rPr>
            <w:spacing w:val="-8"/>
          </w:rPr>
          <w:t xml:space="preserve"> </w:t>
        </w:r>
        <w:r>
          <w:t>by</w:t>
        </w:r>
        <w:r>
          <w:rPr>
            <w:spacing w:val="-7"/>
          </w:rPr>
          <w:t xml:space="preserve"> </w:t>
        </w:r>
        <w:r>
          <w:t>Sector</w:t>
        </w:r>
        <w:r>
          <w:rPr>
            <w:spacing w:val="-8"/>
          </w:rPr>
          <w:t xml:space="preserve"> </w:t>
        </w:r>
        <w:r>
          <w:rPr>
            <w:spacing w:val="-2"/>
          </w:rPr>
          <w:t>(Ill</w:t>
        </w:r>
        <w:r>
          <w:rPr>
            <w:spacing w:val="-2"/>
          </w:rPr>
          <w:t>ustrative)</w:t>
        </w:r>
        <w:r>
          <w:tab/>
        </w:r>
        <w:r>
          <w:rPr>
            <w:spacing w:val="-5"/>
          </w:rPr>
          <w:t>90</w:t>
        </w:r>
      </w:hyperlink>
    </w:p>
    <w:p w:rsidR="00C31389" w:rsidRDefault="00561FBD" w14:paraId="28C040D9" w14:textId="77777777">
      <w:pPr>
        <w:pStyle w:val="BodyText"/>
        <w:spacing w:before="252"/>
        <w:ind w:left="479"/>
      </w:pPr>
      <w:hyperlink w:history="1" w:anchor="_bookmark245">
        <w:r>
          <w:t>Figure</w:t>
        </w:r>
        <w:r>
          <w:rPr>
            <w:spacing w:val="-16"/>
          </w:rPr>
          <w:t xml:space="preserve"> </w:t>
        </w:r>
        <w:r>
          <w:t>B-1.</w:t>
        </w:r>
        <w:r>
          <w:rPr>
            <w:spacing w:val="-15"/>
          </w:rPr>
          <w:t xml:space="preserve"> </w:t>
        </w:r>
        <w:r>
          <w:t>Steps</w:t>
        </w:r>
        <w:r>
          <w:rPr>
            <w:spacing w:val="-12"/>
          </w:rPr>
          <w:t xml:space="preserve"> </w:t>
        </w:r>
        <w:r>
          <w:t>in</w:t>
        </w:r>
        <w:r>
          <w:rPr>
            <w:spacing w:val="-10"/>
          </w:rPr>
          <w:t xml:space="preserve"> </w:t>
        </w:r>
        <w:r>
          <w:t>FS</w:t>
        </w:r>
        <w:r>
          <w:rPr>
            <w:spacing w:val="-11"/>
          </w:rPr>
          <w:t xml:space="preserve"> </w:t>
        </w:r>
        <w:r>
          <w:t>Characterization</w:t>
        </w:r>
        <w:r>
          <w:rPr>
            <w:spacing w:val="-10"/>
          </w:rPr>
          <w:t xml:space="preserve"> </w:t>
        </w:r>
        <w:r>
          <w:t>in</w:t>
        </w:r>
        <w:r>
          <w:rPr>
            <w:spacing w:val="-11"/>
          </w:rPr>
          <w:t xml:space="preserve"> </w:t>
        </w:r>
        <w:r>
          <w:t>SCE/SCG</w:t>
        </w:r>
        <w:r>
          <w:rPr>
            <w:spacing w:val="-11"/>
          </w:rPr>
          <w:t xml:space="preserve"> </w:t>
        </w:r>
        <w:r>
          <w:t>Territory</w:t>
        </w:r>
        <w:r>
          <w:rPr>
            <w:spacing w:val="-26"/>
          </w:rPr>
          <w:t xml:space="preserve"> </w:t>
        </w:r>
        <w:r>
          <w:t>.............................................</w:t>
        </w:r>
        <w:r>
          <w:rPr>
            <w:spacing w:val="-36"/>
          </w:rPr>
          <w:t xml:space="preserve"> </w:t>
        </w:r>
        <w:r>
          <w:t>B-</w:t>
        </w:r>
        <w:r>
          <w:rPr>
            <w:spacing w:val="-10"/>
          </w:rPr>
          <w:t>6</w:t>
        </w:r>
      </w:hyperlink>
    </w:p>
    <w:p w:rsidR="00C31389" w:rsidRDefault="00561FBD" w14:paraId="72849933" w14:textId="77777777">
      <w:pPr>
        <w:pStyle w:val="BodyText"/>
        <w:ind w:left="479" w:right="533"/>
      </w:pPr>
      <w:hyperlink w:history="1" w:anchor="_bookmark249">
        <w:r>
          <w:t>Figure</w:t>
        </w:r>
        <w:r>
          <w:rPr>
            <w:spacing w:val="-6"/>
          </w:rPr>
          <w:t xml:space="preserve"> </w:t>
        </w:r>
        <w:r>
          <w:t>B-2.</w:t>
        </w:r>
        <w:r>
          <w:rPr>
            <w:spacing w:val="-4"/>
          </w:rPr>
          <w:t xml:space="preserve"> </w:t>
        </w:r>
        <w:r>
          <w:t>Distribution</w:t>
        </w:r>
        <w:r>
          <w:rPr>
            <w:spacing w:val="-4"/>
          </w:rPr>
          <w:t xml:space="preserve"> </w:t>
        </w:r>
        <w:r>
          <w:t>of</w:t>
        </w:r>
        <w:r>
          <w:rPr>
            <w:spacing w:val="-4"/>
          </w:rPr>
          <w:t xml:space="preserve"> </w:t>
        </w:r>
        <w:r>
          <w:t>HVAC</w:t>
        </w:r>
        <w:r>
          <w:rPr>
            <w:spacing w:val="-4"/>
          </w:rPr>
          <w:t xml:space="preserve"> </w:t>
        </w:r>
        <w:r>
          <w:t>Projects</w:t>
        </w:r>
        <w:r>
          <w:rPr>
            <w:spacing w:val="-4"/>
          </w:rPr>
          <w:t xml:space="preserve"> </w:t>
        </w:r>
        <w:r>
          <w:t>by</w:t>
        </w:r>
        <w:r>
          <w:rPr>
            <w:spacing w:val="-4"/>
          </w:rPr>
          <w:t xml:space="preserve"> </w:t>
        </w:r>
        <w:r>
          <w:t>Total</w:t>
        </w:r>
        <w:r>
          <w:rPr>
            <w:spacing w:val="-4"/>
          </w:rPr>
          <w:t xml:space="preserve"> </w:t>
        </w:r>
        <w:r>
          <w:t>Project</w:t>
        </w:r>
        <w:r>
          <w:rPr>
            <w:spacing w:val="-4"/>
          </w:rPr>
          <w:t xml:space="preserve"> </w:t>
        </w:r>
        <w:r>
          <w:t>Cost</w:t>
        </w:r>
        <w:r>
          <w:rPr>
            <w:spacing w:val="-37"/>
          </w:rPr>
          <w:t xml:space="preserve"> </w:t>
        </w:r>
        <w:r>
          <w:t>.............................................</w:t>
        </w:r>
        <w:r>
          <w:rPr>
            <w:spacing w:val="-36"/>
          </w:rPr>
          <w:t xml:space="preserve"> </w:t>
        </w:r>
        <w:r>
          <w:t>B-8</w:t>
        </w:r>
      </w:hyperlink>
      <w:r>
        <w:t xml:space="preserve"> </w:t>
      </w:r>
      <w:hyperlink w:history="1" w:anchor="_bookmark253">
        <w:r>
          <w:t>Figure</w:t>
        </w:r>
        <w:r>
          <w:rPr>
            <w:spacing w:val="-5"/>
          </w:rPr>
          <w:t xml:space="preserve"> </w:t>
        </w:r>
        <w:r>
          <w:t>B-3</w:t>
        </w:r>
        <w:r>
          <w:t>.</w:t>
        </w:r>
        <w:r>
          <w:rPr>
            <w:spacing w:val="-4"/>
          </w:rPr>
          <w:t xml:space="preserve"> </w:t>
        </w:r>
        <w:r>
          <w:t>HVAC</w:t>
        </w:r>
        <w:r>
          <w:rPr>
            <w:spacing w:val="-3"/>
          </w:rPr>
          <w:t xml:space="preserve"> </w:t>
        </w:r>
        <w:r>
          <w:t>Permit</w:t>
        </w:r>
        <w:r>
          <w:rPr>
            <w:spacing w:val="-4"/>
          </w:rPr>
          <w:t xml:space="preserve"> </w:t>
        </w:r>
        <w:r>
          <w:t>and</w:t>
        </w:r>
        <w:r>
          <w:rPr>
            <w:spacing w:val="-4"/>
          </w:rPr>
          <w:t xml:space="preserve"> </w:t>
        </w:r>
        <w:r>
          <w:t>Code</w:t>
        </w:r>
        <w:r>
          <w:rPr>
            <w:spacing w:val="-4"/>
          </w:rPr>
          <w:t xml:space="preserve"> </w:t>
        </w:r>
        <w:r>
          <w:t>Compliance</w:t>
        </w:r>
        <w:r>
          <w:rPr>
            <w:spacing w:val="-4"/>
          </w:rPr>
          <w:t xml:space="preserve"> </w:t>
        </w:r>
        <w:r>
          <w:t>Market</w:t>
        </w:r>
        <w:r>
          <w:rPr>
            <w:spacing w:val="-4"/>
          </w:rPr>
          <w:t xml:space="preserve"> </w:t>
        </w:r>
        <w:r>
          <w:t>Assessment</w:t>
        </w:r>
        <w:r>
          <w:rPr>
            <w:spacing w:val="-4"/>
          </w:rPr>
          <w:t xml:space="preserve"> </w:t>
        </w:r>
        <w:r>
          <w:t>Climate</w:t>
        </w:r>
        <w:r>
          <w:rPr>
            <w:spacing w:val="-4"/>
          </w:rPr>
          <w:t xml:space="preserve"> </w:t>
        </w:r>
        <w:r>
          <w:t>Regions</w:t>
        </w:r>
        <w:r>
          <w:rPr>
            <w:spacing w:val="-14"/>
          </w:rPr>
          <w:t xml:space="preserve"> </w:t>
        </w:r>
        <w:r>
          <w:t>......</w:t>
        </w:r>
        <w:r>
          <w:rPr>
            <w:spacing w:val="-33"/>
          </w:rPr>
          <w:t xml:space="preserve"> </w:t>
        </w:r>
        <w:r>
          <w:t>B-10</w:t>
        </w:r>
      </w:hyperlink>
      <w:r>
        <w:t xml:space="preserve"> </w:t>
      </w:r>
      <w:hyperlink w:history="1" w:anchor="_bookmark254">
        <w:r>
          <w:t>Figure</w:t>
        </w:r>
        <w:r>
          <w:rPr>
            <w:spacing w:val="-5"/>
          </w:rPr>
          <w:t xml:space="preserve"> </w:t>
        </w:r>
        <w:r>
          <w:t>B-4.</w:t>
        </w:r>
        <w:r>
          <w:rPr>
            <w:spacing w:val="-4"/>
          </w:rPr>
          <w:t xml:space="preserve"> </w:t>
        </w:r>
        <w:r>
          <w:t>Probability</w:t>
        </w:r>
        <w:r>
          <w:rPr>
            <w:spacing w:val="-5"/>
          </w:rPr>
          <w:t xml:space="preserve"> </w:t>
        </w:r>
        <w:r>
          <w:t>Distribution</w:t>
        </w:r>
        <w:r>
          <w:rPr>
            <w:spacing w:val="-5"/>
          </w:rPr>
          <w:t xml:space="preserve"> </w:t>
        </w:r>
        <w:r>
          <w:t>of</w:t>
        </w:r>
        <w:r>
          <w:rPr>
            <w:spacing w:val="-4"/>
          </w:rPr>
          <w:t xml:space="preserve"> </w:t>
        </w:r>
        <w:r>
          <w:t>Lifetimes</w:t>
        </w:r>
        <w:r>
          <w:rPr>
            <w:spacing w:val="-5"/>
          </w:rPr>
          <w:t xml:space="preserve"> </w:t>
        </w:r>
        <w:r>
          <w:t>for</w:t>
        </w:r>
        <w:r>
          <w:rPr>
            <w:spacing w:val="-4"/>
          </w:rPr>
          <w:t xml:space="preserve"> </w:t>
        </w:r>
        <w:r>
          <w:t>Central</w:t>
        </w:r>
        <w:r>
          <w:rPr>
            <w:spacing w:val="-4"/>
          </w:rPr>
          <w:t xml:space="preserve"> </w:t>
        </w:r>
        <w:r>
          <w:t>ACs</w:t>
        </w:r>
        <w:r>
          <w:rPr>
            <w:spacing w:val="-4"/>
          </w:rPr>
          <w:t xml:space="preserve"> </w:t>
        </w:r>
        <w:r>
          <w:t>...........................................</w:t>
        </w:r>
        <w:r>
          <w:rPr>
            <w:spacing w:val="-36"/>
          </w:rPr>
          <w:t xml:space="preserve"> </w:t>
        </w:r>
        <w:r>
          <w:t>B-10</w:t>
        </w:r>
      </w:hyperlink>
      <w:r>
        <w:t xml:space="preserve"> </w:t>
      </w:r>
      <w:hyperlink w:history="1" w:anchor="_bookmark259">
        <w:r>
          <w:t>Figure</w:t>
        </w:r>
        <w:r>
          <w:rPr>
            <w:spacing w:val="-4"/>
          </w:rPr>
          <w:t xml:space="preserve"> </w:t>
        </w:r>
        <w:r>
          <w:t>B-5</w:t>
        </w:r>
        <w:r>
          <w:t>.</w:t>
        </w:r>
        <w:r>
          <w:rPr>
            <w:spacing w:val="-3"/>
          </w:rPr>
          <w:t xml:space="preserve"> </w:t>
        </w:r>
        <w:r>
          <w:t>Percentage</w:t>
        </w:r>
        <w:r>
          <w:rPr>
            <w:spacing w:val="-3"/>
          </w:rPr>
          <w:t xml:space="preserve"> </w:t>
        </w:r>
        <w:r>
          <w:t>of</w:t>
        </w:r>
        <w:r>
          <w:rPr>
            <w:spacing w:val="-3"/>
          </w:rPr>
          <w:t xml:space="preserve"> </w:t>
        </w:r>
        <w:r>
          <w:t>Projects</w:t>
        </w:r>
        <w:r>
          <w:rPr>
            <w:spacing w:val="-3"/>
          </w:rPr>
          <w:t xml:space="preserve"> </w:t>
        </w:r>
        <w:r>
          <w:t>as</w:t>
        </w:r>
        <w:r>
          <w:rPr>
            <w:spacing w:val="-3"/>
          </w:rPr>
          <w:t xml:space="preserve"> </w:t>
        </w:r>
        <w:r>
          <w:t>Whole</w:t>
        </w:r>
        <w:r>
          <w:rPr>
            <w:spacing w:val="-3"/>
          </w:rPr>
          <w:t xml:space="preserve"> </w:t>
        </w:r>
        <w:r>
          <w:t>System</w:t>
        </w:r>
        <w:r>
          <w:rPr>
            <w:spacing w:val="-4"/>
          </w:rPr>
          <w:t xml:space="preserve"> </w:t>
        </w:r>
        <w:r>
          <w:t>Replacements</w:t>
        </w:r>
        <w:r>
          <w:rPr>
            <w:spacing w:val="-3"/>
          </w:rPr>
          <w:t xml:space="preserve"> </w:t>
        </w:r>
        <w:r>
          <w:t>by</w:t>
        </w:r>
        <w:r>
          <w:rPr>
            <w:spacing w:val="-3"/>
          </w:rPr>
          <w:t xml:space="preserve"> </w:t>
        </w:r>
        <w:r>
          <w:t>Region..................</w:t>
        </w:r>
        <w:r>
          <w:rPr>
            <w:spacing w:val="-34"/>
          </w:rPr>
          <w:t xml:space="preserve"> </w:t>
        </w:r>
        <w:r>
          <w:t>B-13</w:t>
        </w:r>
      </w:hyperlink>
      <w:r>
        <w:t xml:space="preserve"> </w:t>
      </w:r>
      <w:hyperlink w:history="1" w:anchor="_bookmark261">
        <w:r>
          <w:t>Figure</w:t>
        </w:r>
        <w:r>
          <w:rPr>
            <w:spacing w:val="-8"/>
          </w:rPr>
          <w:t xml:space="preserve"> </w:t>
        </w:r>
        <w:r>
          <w:t>B-6.</w:t>
        </w:r>
        <w:r>
          <w:rPr>
            <w:spacing w:val="-4"/>
          </w:rPr>
          <w:t xml:space="preserve"> </w:t>
        </w:r>
        <w:r>
          <w:t>Distribution</w:t>
        </w:r>
        <w:r>
          <w:rPr>
            <w:spacing w:val="-5"/>
          </w:rPr>
          <w:t xml:space="preserve"> </w:t>
        </w:r>
        <w:r>
          <w:t>of</w:t>
        </w:r>
        <w:r>
          <w:rPr>
            <w:spacing w:val="-4"/>
          </w:rPr>
          <w:t xml:space="preserve"> </w:t>
        </w:r>
        <w:r>
          <w:t>Residential</w:t>
        </w:r>
        <w:r>
          <w:rPr>
            <w:spacing w:val="-4"/>
          </w:rPr>
          <w:t xml:space="preserve"> </w:t>
        </w:r>
        <w:r>
          <w:t>HVAC</w:t>
        </w:r>
        <w:r>
          <w:rPr>
            <w:spacing w:val="-5"/>
          </w:rPr>
          <w:t xml:space="preserve"> </w:t>
        </w:r>
        <w:r>
          <w:t>Scenarios</w:t>
        </w:r>
        <w:r>
          <w:rPr>
            <w:spacing w:val="-4"/>
          </w:rPr>
          <w:t xml:space="preserve"> </w:t>
        </w:r>
        <w:r>
          <w:t>among</w:t>
        </w:r>
        <w:r>
          <w:rPr>
            <w:spacing w:val="-4"/>
          </w:rPr>
          <w:t xml:space="preserve"> </w:t>
        </w:r>
        <w:r>
          <w:t>Technology</w:t>
        </w:r>
        <w:r>
          <w:rPr>
            <w:spacing w:val="-4"/>
          </w:rPr>
          <w:t xml:space="preserve"> </w:t>
        </w:r>
        <w:r>
          <w:t>Groups</w:t>
        </w:r>
        <w:r>
          <w:rPr>
            <w:spacing w:val="-24"/>
          </w:rPr>
          <w:t xml:space="preserve"> </w:t>
        </w:r>
        <w:r>
          <w:t>...........</w:t>
        </w:r>
        <w:r>
          <w:rPr>
            <w:spacing w:val="-33"/>
          </w:rPr>
          <w:t xml:space="preserve"> </w:t>
        </w:r>
        <w:r>
          <w:t>B-14</w:t>
        </w:r>
      </w:hyperlink>
      <w:r>
        <w:t xml:space="preserve"> </w:t>
      </w:r>
      <w:hyperlink w:history="1" w:anchor="_bookmark265">
        <w:r>
          <w:t>Figure</w:t>
        </w:r>
        <w:r>
          <w:rPr>
            <w:spacing w:val="-6"/>
          </w:rPr>
          <w:t xml:space="preserve"> </w:t>
        </w:r>
        <w:r>
          <w:t>B-7.</w:t>
        </w:r>
        <w:r>
          <w:rPr>
            <w:spacing w:val="-4"/>
          </w:rPr>
          <w:t xml:space="preserve"> </w:t>
        </w:r>
        <w:r>
          <w:t>Commercial</w:t>
        </w:r>
        <w:r>
          <w:rPr>
            <w:spacing w:val="-4"/>
          </w:rPr>
          <w:t xml:space="preserve"> </w:t>
        </w:r>
        <w:r>
          <w:t>Water</w:t>
        </w:r>
        <w:r>
          <w:rPr>
            <w:spacing w:val="-4"/>
          </w:rPr>
          <w:t xml:space="preserve"> </w:t>
        </w:r>
        <w:r>
          <w:t>Heater</w:t>
        </w:r>
        <w:r>
          <w:rPr>
            <w:spacing w:val="-4"/>
          </w:rPr>
          <w:t xml:space="preserve"> </w:t>
        </w:r>
        <w:r>
          <w:t>Technology</w:t>
        </w:r>
        <w:r>
          <w:rPr>
            <w:spacing w:val="-4"/>
          </w:rPr>
          <w:t xml:space="preserve"> </w:t>
        </w:r>
        <w:r>
          <w:t>Levels</w:t>
        </w:r>
        <w:r>
          <w:rPr>
            <w:spacing w:val="-4"/>
          </w:rPr>
          <w:t xml:space="preserve"> </w:t>
        </w:r>
        <w:r>
          <w:t>–</w:t>
        </w:r>
        <w:r>
          <w:rPr>
            <w:spacing w:val="-5"/>
          </w:rPr>
          <w:t xml:space="preserve"> </w:t>
        </w:r>
        <w:r>
          <w:t>Illustrative</w:t>
        </w:r>
        <w:r>
          <w:rPr>
            <w:spacing w:val="-4"/>
          </w:rPr>
          <w:t xml:space="preserve"> </w:t>
        </w:r>
        <w:r>
          <w:t>Example.................</w:t>
        </w:r>
        <w:r>
          <w:rPr>
            <w:spacing w:val="-34"/>
          </w:rPr>
          <w:t xml:space="preserve"> </w:t>
        </w:r>
        <w:r>
          <w:t>B-15</w:t>
        </w:r>
      </w:hyperlink>
      <w:r>
        <w:t xml:space="preserve"> </w:t>
      </w:r>
      <w:hyperlink w:history="1" w:anchor="_bookmark268">
        <w:r>
          <w:t>Figure</w:t>
        </w:r>
        <w:r>
          <w:rPr>
            <w:spacing w:val="-6"/>
          </w:rPr>
          <w:t xml:space="preserve"> </w:t>
        </w:r>
        <w:r>
          <w:t>B-8.</w:t>
        </w:r>
        <w:r>
          <w:rPr>
            <w:spacing w:val="-4"/>
          </w:rPr>
          <w:t xml:space="preserve"> </w:t>
        </w:r>
        <w:r>
          <w:t>Calculation</w:t>
        </w:r>
        <w:r>
          <w:rPr>
            <w:spacing w:val="-5"/>
          </w:rPr>
          <w:t xml:space="preserve"> </w:t>
        </w:r>
        <w:r>
          <w:t>of</w:t>
        </w:r>
        <w:r>
          <w:rPr>
            <w:spacing w:val="-4"/>
          </w:rPr>
          <w:t xml:space="preserve"> </w:t>
        </w:r>
        <w:r>
          <w:t>Cost</w:t>
        </w:r>
        <w:r>
          <w:rPr>
            <w:spacing w:val="-4"/>
          </w:rPr>
          <w:t xml:space="preserve"> </w:t>
        </w:r>
        <w:r>
          <w:t>Trajectory</w:t>
        </w:r>
        <w:r>
          <w:rPr>
            <w:spacing w:val="-4"/>
          </w:rPr>
          <w:t xml:space="preserve"> </w:t>
        </w:r>
        <w:r>
          <w:t>for</w:t>
        </w:r>
        <w:r>
          <w:rPr>
            <w:spacing w:val="-4"/>
          </w:rPr>
          <w:t xml:space="preserve"> </w:t>
        </w:r>
        <w:r>
          <w:t>Residential</w:t>
        </w:r>
        <w:r>
          <w:rPr>
            <w:spacing w:val="-4"/>
          </w:rPr>
          <w:t xml:space="preserve"> </w:t>
        </w:r>
        <w:r>
          <w:t>Heat</w:t>
        </w:r>
        <w:r>
          <w:rPr>
            <w:spacing w:val="-4"/>
          </w:rPr>
          <w:t xml:space="preserve"> </w:t>
        </w:r>
        <w:r>
          <w:t>Pump</w:t>
        </w:r>
        <w:r>
          <w:rPr>
            <w:spacing w:val="-4"/>
          </w:rPr>
          <w:t xml:space="preserve"> </w:t>
        </w:r>
        <w:r>
          <w:t>Water</w:t>
        </w:r>
        <w:r>
          <w:rPr>
            <w:spacing w:val="-4"/>
          </w:rPr>
          <w:t xml:space="preserve"> </w:t>
        </w:r>
        <w:r>
          <w:t>Heaters</w:t>
        </w:r>
        <w:r>
          <w:rPr>
            <w:spacing w:val="-35"/>
          </w:rPr>
          <w:t xml:space="preserve"> </w:t>
        </w:r>
        <w:r>
          <w:t>..........</w:t>
        </w:r>
        <w:r>
          <w:rPr>
            <w:spacing w:val="-33"/>
          </w:rPr>
          <w:t xml:space="preserve"> </w:t>
        </w:r>
        <w:r>
          <w:t>B-16</w:t>
        </w:r>
      </w:hyperlink>
      <w:r>
        <w:t xml:space="preserve"> </w:t>
      </w:r>
      <w:hyperlink w:history="1" w:anchor="_bookmark270">
        <w:r>
          <w:t>Figure</w:t>
        </w:r>
        <w:r>
          <w:rPr>
            <w:spacing w:val="-5"/>
          </w:rPr>
          <w:t xml:space="preserve"> </w:t>
        </w:r>
        <w:r>
          <w:t>B-9.</w:t>
        </w:r>
        <w:r>
          <w:rPr>
            <w:spacing w:val="-4"/>
          </w:rPr>
          <w:t xml:space="preserve"> </w:t>
        </w:r>
        <w:r>
          <w:t>Calculation</w:t>
        </w:r>
        <w:r>
          <w:rPr>
            <w:spacing w:val="-5"/>
          </w:rPr>
          <w:t xml:space="preserve"> </w:t>
        </w:r>
        <w:r>
          <w:t>of</w:t>
        </w:r>
        <w:r>
          <w:rPr>
            <w:spacing w:val="-4"/>
          </w:rPr>
          <w:t xml:space="preserve"> </w:t>
        </w:r>
        <w:r>
          <w:t>Cost</w:t>
        </w:r>
        <w:r>
          <w:rPr>
            <w:spacing w:val="-4"/>
          </w:rPr>
          <w:t xml:space="preserve"> </w:t>
        </w:r>
        <w:r>
          <w:t>Trajectory</w:t>
        </w:r>
        <w:r>
          <w:rPr>
            <w:spacing w:val="-4"/>
          </w:rPr>
          <w:t xml:space="preserve"> </w:t>
        </w:r>
        <w:r>
          <w:t>for</w:t>
        </w:r>
        <w:r>
          <w:rPr>
            <w:spacing w:val="-4"/>
          </w:rPr>
          <w:t xml:space="preserve"> </w:t>
        </w:r>
        <w:r>
          <w:t>Commercial</w:t>
        </w:r>
        <w:r>
          <w:rPr>
            <w:spacing w:val="-4"/>
          </w:rPr>
          <w:t xml:space="preserve"> </w:t>
        </w:r>
        <w:r>
          <w:t>Heat</w:t>
        </w:r>
        <w:r>
          <w:rPr>
            <w:spacing w:val="-4"/>
          </w:rPr>
          <w:t xml:space="preserve"> </w:t>
        </w:r>
        <w:r>
          <w:t>Pump</w:t>
        </w:r>
        <w:r>
          <w:rPr>
            <w:spacing w:val="-3"/>
          </w:rPr>
          <w:t xml:space="preserve"> </w:t>
        </w:r>
        <w:r>
          <w:t>Water</w:t>
        </w:r>
        <w:r>
          <w:rPr>
            <w:spacing w:val="-4"/>
          </w:rPr>
          <w:t xml:space="preserve"> </w:t>
        </w:r>
        <w:r>
          <w:t>Heaters.........</w:t>
        </w:r>
        <w:r>
          <w:rPr>
            <w:spacing w:val="-33"/>
          </w:rPr>
          <w:t xml:space="preserve"> </w:t>
        </w:r>
        <w:r>
          <w:t>B-17</w:t>
        </w:r>
      </w:hyperlink>
      <w:r>
        <w:t xml:space="preserve"> </w:t>
      </w:r>
      <w:hyperlink w:history="1" w:anchor="_bookmark299">
        <w:r>
          <w:t>Figure C-1. Illustration of Disaggregating Measures to with Panel Upgrade and No Panel</w:t>
        </w:r>
      </w:hyperlink>
      <w:r>
        <w:t xml:space="preserve"> </w:t>
      </w:r>
      <w:hyperlink w:history="1" w:anchor="_bookmark299">
        <w:r>
          <w:rPr>
            <w:spacing w:val="-2"/>
          </w:rPr>
          <w:t>Upgrade</w:t>
        </w:r>
        <w:r>
          <w:rPr>
            <w:spacing w:val="56"/>
          </w:rPr>
          <w:t xml:space="preserve">  </w:t>
        </w:r>
        <w:r>
          <w:rPr>
            <w:spacing w:val="-2"/>
          </w:rPr>
          <w:t>.............................</w:t>
        </w:r>
        <w:r>
          <w:rPr>
            <w:spacing w:val="-2"/>
          </w:rPr>
          <w:t>....................................................................................................C-</w:t>
        </w:r>
        <w:r>
          <w:rPr>
            <w:spacing w:val="-5"/>
          </w:rPr>
          <w:t>30</w:t>
        </w:r>
      </w:hyperlink>
    </w:p>
    <w:p w:rsidR="00C31389" w:rsidRDefault="00561FBD" w14:paraId="63F62798" w14:textId="77777777">
      <w:pPr>
        <w:pStyle w:val="BodyText"/>
        <w:ind w:left="479"/>
      </w:pPr>
      <w:hyperlink w:history="1" w:anchor="_bookmark308">
        <w:r>
          <w:t>Figure</w:t>
        </w:r>
        <w:r>
          <w:rPr>
            <w:spacing w:val="-16"/>
          </w:rPr>
          <w:t xml:space="preserve"> </w:t>
        </w:r>
        <w:r>
          <w:t>D-1.</w:t>
        </w:r>
        <w:r>
          <w:rPr>
            <w:spacing w:val="-9"/>
          </w:rPr>
          <w:t xml:space="preserve"> </w:t>
        </w:r>
        <w:r>
          <w:t>Illustrative</w:t>
        </w:r>
        <w:r>
          <w:rPr>
            <w:spacing w:val="-9"/>
          </w:rPr>
          <w:t xml:space="preserve"> </w:t>
        </w:r>
        <w:r>
          <w:t>Application</w:t>
        </w:r>
        <w:r>
          <w:rPr>
            <w:spacing w:val="-9"/>
          </w:rPr>
          <w:t xml:space="preserve"> </w:t>
        </w:r>
        <w:r>
          <w:t>of</w:t>
        </w:r>
        <w:r>
          <w:rPr>
            <w:spacing w:val="-10"/>
          </w:rPr>
          <w:t xml:space="preserve"> </w:t>
        </w:r>
        <w:r>
          <w:t>Penetration</w:t>
        </w:r>
        <w:r>
          <w:rPr>
            <w:spacing w:val="-9"/>
          </w:rPr>
          <w:t xml:space="preserve"> </w:t>
        </w:r>
        <w:r>
          <w:t>Cap</w:t>
        </w:r>
        <w:r>
          <w:rPr>
            <w:spacing w:val="-9"/>
          </w:rPr>
          <w:t xml:space="preserve"> </w:t>
        </w:r>
        <w:r>
          <w:t>by</w:t>
        </w:r>
        <w:r>
          <w:rPr>
            <w:spacing w:val="-9"/>
          </w:rPr>
          <w:t xml:space="preserve"> </w:t>
        </w:r>
        <w:r>
          <w:t>Bin</w:t>
        </w:r>
        <w:r>
          <w:rPr>
            <w:spacing w:val="-15"/>
          </w:rPr>
          <w:t xml:space="preserve"> </w:t>
        </w:r>
        <w:r>
          <w:t>...............................................D-</w:t>
        </w:r>
        <w:r>
          <w:rPr>
            <w:spacing w:val="-5"/>
          </w:rPr>
          <w:t>33</w:t>
        </w:r>
      </w:hyperlink>
    </w:p>
    <w:p w:rsidR="00C31389" w:rsidRDefault="00561FBD" w14:paraId="7559EBF9" w14:textId="77777777">
      <w:pPr>
        <w:pStyle w:val="BodyText"/>
        <w:ind w:left="479"/>
      </w:pPr>
      <w:hyperlink w:history="1" w:anchor="_bookmark471">
        <w:r>
          <w:t>Figure</w:t>
        </w:r>
        <w:r>
          <w:rPr>
            <w:spacing w:val="-16"/>
          </w:rPr>
          <w:t xml:space="preserve"> </w:t>
        </w:r>
        <w:r>
          <w:t>G-1.</w:t>
        </w:r>
        <w:r>
          <w:rPr>
            <w:spacing w:val="-15"/>
          </w:rPr>
          <w:t xml:space="preserve"> </w:t>
        </w:r>
        <w:r>
          <w:t>Industrial</w:t>
        </w:r>
        <w:r>
          <w:rPr>
            <w:spacing w:val="-15"/>
          </w:rPr>
          <w:t xml:space="preserve"> </w:t>
        </w:r>
        <w:r>
          <w:t>Sector</w:t>
        </w:r>
        <w:r>
          <w:rPr>
            <w:spacing w:val="-14"/>
          </w:rPr>
          <w:t xml:space="preserve"> </w:t>
        </w:r>
        <w:r>
          <w:t>GC</w:t>
        </w:r>
        <w:r>
          <w:rPr>
            <w:spacing w:val="-13"/>
          </w:rPr>
          <w:t xml:space="preserve"> </w:t>
        </w:r>
        <w:r>
          <w:t>Electricity</w:t>
        </w:r>
        <w:r>
          <w:rPr>
            <w:spacing w:val="-13"/>
          </w:rPr>
          <w:t xml:space="preserve"> </w:t>
        </w:r>
        <w:r>
          <w:t>Savings</w:t>
        </w:r>
        <w:r>
          <w:rPr>
            <w:spacing w:val="-13"/>
          </w:rPr>
          <w:t xml:space="preserve"> </w:t>
        </w:r>
        <w:r>
          <w:t>Trends</w:t>
        </w:r>
        <w:r>
          <w:rPr>
            <w:spacing w:val="-26"/>
          </w:rPr>
          <w:t xml:space="preserve"> </w:t>
        </w:r>
        <w:r>
          <w:t>...................................................G-</w:t>
        </w:r>
        <w:r>
          <w:rPr>
            <w:spacing w:val="-10"/>
          </w:rPr>
          <w:t>3</w:t>
        </w:r>
      </w:hyperlink>
    </w:p>
    <w:p w:rsidR="00C31389" w:rsidRDefault="00C31389" w14:paraId="15BEB608" w14:textId="77777777">
      <w:pPr>
        <w:sectPr w:rsidR="00C31389">
          <w:pgSz w:w="12240" w:h="15840"/>
          <w:pgMar w:top="1660" w:right="960" w:bottom="1120" w:left="960" w:header="397" w:footer="936" w:gutter="0"/>
          <w:cols w:space="720"/>
        </w:sectPr>
      </w:pPr>
    </w:p>
    <w:p w:rsidR="00C31389" w:rsidRDefault="00C31389" w14:paraId="505A0D13" w14:textId="77777777">
      <w:pPr>
        <w:pStyle w:val="BodyText"/>
      </w:pPr>
    </w:p>
    <w:p w:rsidR="00C31389" w:rsidRDefault="00561FBD" w14:paraId="29B46646" w14:textId="77777777">
      <w:pPr>
        <w:pStyle w:val="BodyText"/>
        <w:tabs>
          <w:tab w:val="left" w:leader="dot" w:pos="9386"/>
        </w:tabs>
        <w:ind w:left="480"/>
      </w:pPr>
      <w:hyperlink w:history="1" w:anchor="_bookmark472">
        <w:r>
          <w:t>Figure</w:t>
        </w:r>
        <w:r>
          <w:rPr>
            <w:spacing w:val="-7"/>
          </w:rPr>
          <w:t xml:space="preserve"> </w:t>
        </w:r>
        <w:r>
          <w:t>G-2.</w:t>
        </w:r>
        <w:r>
          <w:rPr>
            <w:spacing w:val="-7"/>
          </w:rPr>
          <w:t xml:space="preserve"> </w:t>
        </w:r>
        <w:r>
          <w:t>Industrial</w:t>
        </w:r>
        <w:r>
          <w:rPr>
            <w:spacing w:val="-7"/>
          </w:rPr>
          <w:t xml:space="preserve"> </w:t>
        </w:r>
        <w:r>
          <w:t>Sector</w:t>
        </w:r>
        <w:r>
          <w:rPr>
            <w:spacing w:val="-7"/>
          </w:rPr>
          <w:t xml:space="preserve"> </w:t>
        </w:r>
        <w:r>
          <w:t>GC</w:t>
        </w:r>
        <w:r>
          <w:rPr>
            <w:spacing w:val="-7"/>
          </w:rPr>
          <w:t xml:space="preserve"> </w:t>
        </w:r>
        <w:r>
          <w:t>Natural</w:t>
        </w:r>
        <w:r>
          <w:rPr>
            <w:spacing w:val="-7"/>
          </w:rPr>
          <w:t xml:space="preserve"> </w:t>
        </w:r>
        <w:r>
          <w:t>Gas</w:t>
        </w:r>
        <w:r>
          <w:rPr>
            <w:spacing w:val="-7"/>
          </w:rPr>
          <w:t xml:space="preserve"> </w:t>
        </w:r>
        <w:r>
          <w:t>Savings</w:t>
        </w:r>
        <w:r>
          <w:rPr>
            <w:spacing w:val="-7"/>
          </w:rPr>
          <w:t xml:space="preserve"> </w:t>
        </w:r>
        <w:r>
          <w:rPr>
            <w:spacing w:val="-2"/>
          </w:rPr>
          <w:t>Trends</w:t>
        </w:r>
        <w:r>
          <w:tab/>
        </w:r>
        <w:r>
          <w:rPr>
            <w:spacing w:val="-4"/>
          </w:rPr>
          <w:t>G-</w:t>
        </w:r>
        <w:r>
          <w:rPr>
            <w:spacing w:val="-10"/>
          </w:rPr>
          <w:t>3</w:t>
        </w:r>
      </w:hyperlink>
    </w:p>
    <w:p w:rsidR="00C31389" w:rsidRDefault="00561FBD" w14:paraId="08C45324" w14:textId="77777777">
      <w:pPr>
        <w:pStyle w:val="BodyText"/>
        <w:spacing w:line="253" w:lineRule="exact"/>
        <w:ind w:left="479"/>
      </w:pPr>
      <w:hyperlink w:history="1" w:anchor="_bookmark473">
        <w:r>
          <w:t>Figure</w:t>
        </w:r>
        <w:r>
          <w:rPr>
            <w:spacing w:val="-13"/>
          </w:rPr>
          <w:t xml:space="preserve"> </w:t>
        </w:r>
        <w:r>
          <w:t>G-3.</w:t>
        </w:r>
        <w:r>
          <w:rPr>
            <w:spacing w:val="-12"/>
          </w:rPr>
          <w:t xml:space="preserve"> </w:t>
        </w:r>
        <w:r>
          <w:t>Agriculture</w:t>
        </w:r>
        <w:r>
          <w:rPr>
            <w:spacing w:val="-13"/>
          </w:rPr>
          <w:t xml:space="preserve"> </w:t>
        </w:r>
        <w:r>
          <w:t>Sector</w:t>
        </w:r>
        <w:r>
          <w:rPr>
            <w:spacing w:val="-12"/>
          </w:rPr>
          <w:t xml:space="preserve"> </w:t>
        </w:r>
        <w:r>
          <w:t>GC</w:t>
        </w:r>
        <w:r>
          <w:rPr>
            <w:spacing w:val="-12"/>
          </w:rPr>
          <w:t xml:space="preserve"> </w:t>
        </w:r>
        <w:r>
          <w:t>Electricity</w:t>
        </w:r>
        <w:r>
          <w:rPr>
            <w:spacing w:val="-12"/>
          </w:rPr>
          <w:t xml:space="preserve"> </w:t>
        </w:r>
        <w:r>
          <w:t>Savings</w:t>
        </w:r>
        <w:r>
          <w:rPr>
            <w:spacing w:val="-12"/>
          </w:rPr>
          <w:t xml:space="preserve"> </w:t>
        </w:r>
        <w:r>
          <w:t>Trends</w:t>
        </w:r>
        <w:r>
          <w:rPr>
            <w:spacing w:val="-14"/>
          </w:rPr>
          <w:t xml:space="preserve"> </w:t>
        </w:r>
        <w:r>
          <w:t>................................................G-</w:t>
        </w:r>
        <w:r>
          <w:rPr>
            <w:spacing w:val="-10"/>
          </w:rPr>
          <w:t>4</w:t>
        </w:r>
      </w:hyperlink>
    </w:p>
    <w:p w:rsidR="00C31389" w:rsidRDefault="00561FBD" w14:paraId="6EB63908" w14:textId="77777777">
      <w:pPr>
        <w:pStyle w:val="BodyText"/>
        <w:ind w:left="479" w:right="533"/>
      </w:pPr>
      <w:hyperlink w:history="1" w:anchor="_bookmark474">
        <w:r>
          <w:t>Figure</w:t>
        </w:r>
        <w:r>
          <w:rPr>
            <w:spacing w:val="-3"/>
          </w:rPr>
          <w:t xml:space="preserve"> </w:t>
        </w:r>
        <w:r>
          <w:t>G-4.</w:t>
        </w:r>
        <w:r>
          <w:rPr>
            <w:spacing w:val="-3"/>
          </w:rPr>
          <w:t xml:space="preserve"> </w:t>
        </w:r>
        <w:r>
          <w:t>Agriculture</w:t>
        </w:r>
        <w:r>
          <w:rPr>
            <w:spacing w:val="-4"/>
          </w:rPr>
          <w:t xml:space="preserve"> </w:t>
        </w:r>
        <w:r>
          <w:t>Sector</w:t>
        </w:r>
        <w:r>
          <w:rPr>
            <w:spacing w:val="-3"/>
          </w:rPr>
          <w:t xml:space="preserve"> </w:t>
        </w:r>
        <w:r>
          <w:t>GC</w:t>
        </w:r>
        <w:r>
          <w:rPr>
            <w:spacing w:val="-2"/>
          </w:rPr>
          <w:t xml:space="preserve"> </w:t>
        </w:r>
        <w:r>
          <w:t>Natural</w:t>
        </w:r>
        <w:r>
          <w:rPr>
            <w:spacing w:val="-3"/>
          </w:rPr>
          <w:t xml:space="preserve"> </w:t>
        </w:r>
        <w:r>
          <w:t>Gas</w:t>
        </w:r>
        <w:r>
          <w:rPr>
            <w:spacing w:val="-3"/>
          </w:rPr>
          <w:t xml:space="preserve"> </w:t>
        </w:r>
        <w:r>
          <w:t>Savings</w:t>
        </w:r>
        <w:r>
          <w:rPr>
            <w:spacing w:val="-3"/>
          </w:rPr>
          <w:t xml:space="preserve"> </w:t>
        </w:r>
        <w:r>
          <w:t>Trends..........</w:t>
        </w:r>
        <w:r>
          <w:t>...................................G-4</w:t>
        </w:r>
      </w:hyperlink>
      <w:r>
        <w:t xml:space="preserve"> </w:t>
      </w:r>
      <w:hyperlink w:history="1" w:anchor="_bookmark477">
        <w:r>
          <w:rPr>
            <w:spacing w:val="-2"/>
          </w:rPr>
          <w:t>Figure</w:t>
        </w:r>
        <w:r>
          <w:rPr>
            <w:spacing w:val="27"/>
          </w:rPr>
          <w:t xml:space="preserve"> </w:t>
        </w:r>
        <w:r>
          <w:rPr>
            <w:spacing w:val="-2"/>
          </w:rPr>
          <w:t>G-5.</w:t>
        </w:r>
        <w:r>
          <w:rPr>
            <w:spacing w:val="27"/>
          </w:rPr>
          <w:t xml:space="preserve"> </w:t>
        </w:r>
        <w:r>
          <w:rPr>
            <w:spacing w:val="-2"/>
          </w:rPr>
          <w:t>Reference</w:t>
        </w:r>
        <w:r>
          <w:rPr>
            <w:spacing w:val="27"/>
          </w:rPr>
          <w:t xml:space="preserve"> </w:t>
        </w:r>
        <w:r>
          <w:rPr>
            <w:spacing w:val="-2"/>
          </w:rPr>
          <w:t>Case</w:t>
        </w:r>
        <w:r>
          <w:rPr>
            <w:spacing w:val="28"/>
          </w:rPr>
          <w:t xml:space="preserve"> </w:t>
        </w:r>
        <w:r>
          <w:rPr>
            <w:spacing w:val="-2"/>
          </w:rPr>
          <w:t>Penetration</w:t>
        </w:r>
        <w:r>
          <w:rPr>
            <w:spacing w:val="21"/>
          </w:rPr>
          <w:t xml:space="preserve"> </w:t>
        </w:r>
        <w:r>
          <w:rPr>
            <w:spacing w:val="-2"/>
          </w:rPr>
          <w:t>................................................................................G-</w:t>
        </w:r>
        <w:r>
          <w:rPr>
            <w:spacing w:val="-10"/>
          </w:rPr>
          <w:t>5</w:t>
        </w:r>
      </w:hyperlink>
    </w:p>
    <w:p w:rsidR="00C31389" w:rsidRDefault="00561FBD" w14:paraId="5FB6E782" w14:textId="77777777">
      <w:pPr>
        <w:pStyle w:val="BodyText"/>
        <w:ind w:left="479"/>
      </w:pPr>
      <w:hyperlink w:history="1" w:anchor="_bookmark511">
        <w:r>
          <w:t>Figure</w:t>
        </w:r>
        <w:r>
          <w:rPr>
            <w:spacing w:val="-11"/>
          </w:rPr>
          <w:t xml:space="preserve"> </w:t>
        </w:r>
        <w:r>
          <w:t>H-1.</w:t>
        </w:r>
        <w:r>
          <w:rPr>
            <w:spacing w:val="-11"/>
          </w:rPr>
          <w:t xml:space="preserve"> </w:t>
        </w:r>
        <w:r>
          <w:t>Effect</w:t>
        </w:r>
        <w:r>
          <w:rPr>
            <w:spacing w:val="-10"/>
          </w:rPr>
          <w:t xml:space="preserve"> </w:t>
        </w:r>
        <w:r>
          <w:t>of</w:t>
        </w:r>
        <w:r>
          <w:rPr>
            <w:spacing w:val="-11"/>
          </w:rPr>
          <w:t xml:space="preserve"> </w:t>
        </w:r>
        <w:r>
          <w:t>Sensitivity</w:t>
        </w:r>
        <w:r>
          <w:rPr>
            <w:spacing w:val="-10"/>
          </w:rPr>
          <w:t xml:space="preserve"> </w:t>
        </w:r>
        <w:r>
          <w:t>on</w:t>
        </w:r>
        <w:r>
          <w:rPr>
            <w:spacing w:val="-12"/>
          </w:rPr>
          <w:t xml:space="preserve"> </w:t>
        </w:r>
        <w:r>
          <w:t>Market</w:t>
        </w:r>
        <w:r>
          <w:rPr>
            <w:spacing w:val="-10"/>
          </w:rPr>
          <w:t xml:space="preserve"> </w:t>
        </w:r>
        <w:r>
          <w:t>Split.........................................................</w:t>
        </w:r>
        <w:r>
          <w:t>..............H-</w:t>
        </w:r>
        <w:r>
          <w:rPr>
            <w:spacing w:val="-10"/>
          </w:rPr>
          <w:t>4</w:t>
        </w:r>
      </w:hyperlink>
    </w:p>
    <w:p w:rsidR="00C31389" w:rsidRDefault="00561FBD" w14:paraId="06DC4CF5" w14:textId="77777777">
      <w:pPr>
        <w:pStyle w:val="BodyText"/>
        <w:ind w:left="479"/>
      </w:pPr>
      <w:hyperlink w:history="1" w:anchor="_bookmark515">
        <w:r>
          <w:rPr>
            <w:spacing w:val="-2"/>
          </w:rPr>
          <w:t>Figure</w:t>
        </w:r>
        <w:r>
          <w:rPr>
            <w:spacing w:val="41"/>
          </w:rPr>
          <w:t xml:space="preserve"> </w:t>
        </w:r>
        <w:r>
          <w:rPr>
            <w:spacing w:val="-2"/>
          </w:rPr>
          <w:t>H-2.</w:t>
        </w:r>
        <w:r>
          <w:rPr>
            <w:spacing w:val="42"/>
          </w:rPr>
          <w:t xml:space="preserve"> </w:t>
        </w:r>
        <w:r>
          <w:rPr>
            <w:spacing w:val="-2"/>
          </w:rPr>
          <w:t>Calculating</w:t>
        </w:r>
        <w:r>
          <w:rPr>
            <w:spacing w:val="40"/>
          </w:rPr>
          <w:t xml:space="preserve"> </w:t>
        </w:r>
        <w:r>
          <w:rPr>
            <w:spacing w:val="-2"/>
          </w:rPr>
          <w:t>Market</w:t>
        </w:r>
        <w:r>
          <w:rPr>
            <w:spacing w:val="42"/>
          </w:rPr>
          <w:t xml:space="preserve"> </w:t>
        </w:r>
        <w:r>
          <w:rPr>
            <w:spacing w:val="-2"/>
          </w:rPr>
          <w:t>Share......................................................................................H-</w:t>
        </w:r>
        <w:r>
          <w:rPr>
            <w:spacing w:val="-10"/>
          </w:rPr>
          <w:t>5</w:t>
        </w:r>
      </w:hyperlink>
    </w:p>
    <w:p w:rsidR="00C31389" w:rsidRDefault="00C31389" w14:paraId="4C81079A" w14:textId="77777777">
      <w:pPr>
        <w:pStyle w:val="BodyText"/>
        <w:spacing w:before="5"/>
        <w:rPr>
          <w:sz w:val="32"/>
        </w:rPr>
      </w:pPr>
    </w:p>
    <w:p w:rsidR="00C31389" w:rsidRDefault="00561FBD" w14:paraId="0D0D8C6B" w14:textId="77777777">
      <w:pPr>
        <w:spacing w:before="1"/>
        <w:ind w:left="480"/>
        <w:rPr>
          <w:b/>
          <w:sz w:val="32"/>
        </w:rPr>
      </w:pPr>
      <w:r>
        <w:rPr>
          <w:b/>
          <w:sz w:val="32"/>
        </w:rPr>
        <w:t>List</w:t>
      </w:r>
      <w:r>
        <w:rPr>
          <w:b/>
          <w:spacing w:val="-3"/>
          <w:sz w:val="32"/>
        </w:rPr>
        <w:t xml:space="preserve"> </w:t>
      </w:r>
      <w:r>
        <w:rPr>
          <w:b/>
          <w:sz w:val="32"/>
        </w:rPr>
        <w:t>of</w:t>
      </w:r>
      <w:r>
        <w:rPr>
          <w:b/>
          <w:spacing w:val="-3"/>
          <w:sz w:val="32"/>
        </w:rPr>
        <w:t xml:space="preserve"> </w:t>
      </w:r>
      <w:r>
        <w:rPr>
          <w:b/>
          <w:spacing w:val="-2"/>
          <w:sz w:val="32"/>
        </w:rPr>
        <w:t>E</w:t>
      </w:r>
      <w:r>
        <w:rPr>
          <w:b/>
          <w:spacing w:val="-2"/>
          <w:sz w:val="32"/>
        </w:rPr>
        <w:t>quations</w:t>
      </w:r>
    </w:p>
    <w:p w:rsidR="00C31389" w:rsidRDefault="00561FBD" w14:paraId="5BD0A6CE" w14:textId="77777777">
      <w:pPr>
        <w:pStyle w:val="BodyText"/>
        <w:tabs>
          <w:tab w:val="left" w:leader="dot" w:pos="9630"/>
        </w:tabs>
        <w:spacing w:before="239"/>
        <w:ind w:left="480"/>
      </w:pPr>
      <w:hyperlink w:history="1" w:anchor="_bookmark29">
        <w:r>
          <w:t>Equation</w:t>
        </w:r>
        <w:r>
          <w:rPr>
            <w:spacing w:val="-8"/>
          </w:rPr>
          <w:t xml:space="preserve"> </w:t>
        </w:r>
        <w:r>
          <w:t>1-1.</w:t>
        </w:r>
        <w:r>
          <w:rPr>
            <w:spacing w:val="-7"/>
          </w:rPr>
          <w:t xml:space="preserve"> </w:t>
        </w:r>
        <w:r>
          <w:t>Total</w:t>
        </w:r>
        <w:r>
          <w:rPr>
            <w:spacing w:val="-7"/>
          </w:rPr>
          <w:t xml:space="preserve"> </w:t>
        </w:r>
        <w:r>
          <w:t>System</w:t>
        </w:r>
        <w:r>
          <w:rPr>
            <w:spacing w:val="-8"/>
          </w:rPr>
          <w:t xml:space="preserve"> </w:t>
        </w:r>
        <w:r>
          <w:rPr>
            <w:spacing w:val="-2"/>
          </w:rPr>
          <w:t>Benefit</w:t>
        </w:r>
        <w:r>
          <w:tab/>
        </w:r>
        <w:r>
          <w:rPr>
            <w:spacing w:val="-10"/>
          </w:rPr>
          <w:t>3</w:t>
        </w:r>
      </w:hyperlink>
    </w:p>
    <w:p w:rsidR="00C31389" w:rsidRDefault="00561FBD" w14:paraId="6E9C270B" w14:textId="77777777">
      <w:pPr>
        <w:pStyle w:val="BodyText"/>
        <w:tabs>
          <w:tab w:val="left" w:leader="dot" w:pos="9508"/>
        </w:tabs>
        <w:ind w:left="479"/>
      </w:pPr>
      <w:hyperlink w:history="1" w:anchor="_bookmark58">
        <w:r>
          <w:t>Equation</w:t>
        </w:r>
        <w:r>
          <w:rPr>
            <w:spacing w:val="-11"/>
          </w:rPr>
          <w:t xml:space="preserve"> </w:t>
        </w:r>
        <w:r>
          <w:t>2-1.</w:t>
        </w:r>
        <w:r>
          <w:rPr>
            <w:spacing w:val="-11"/>
          </w:rPr>
          <w:t xml:space="preserve"> </w:t>
        </w:r>
        <w:r>
          <w:t>Normalized</w:t>
        </w:r>
        <w:r>
          <w:rPr>
            <w:spacing w:val="-11"/>
          </w:rPr>
          <w:t xml:space="preserve"> </w:t>
        </w:r>
        <w:r>
          <w:t>Technology</w:t>
        </w:r>
        <w:r>
          <w:rPr>
            <w:spacing w:val="-10"/>
          </w:rPr>
          <w:t xml:space="preserve"> </w:t>
        </w:r>
        <w:r>
          <w:t>Characteristic</w:t>
        </w:r>
        <w:r>
          <w:rPr>
            <w:spacing w:val="-11"/>
          </w:rPr>
          <w:t xml:space="preserve"> </w:t>
        </w:r>
        <w:r>
          <w:rPr>
            <w:spacing w:val="-2"/>
          </w:rPr>
          <w:t>Calculation</w:t>
        </w:r>
        <w:r>
          <w:tab/>
        </w:r>
        <w:r>
          <w:rPr>
            <w:spacing w:val="-5"/>
          </w:rPr>
          <w:t>18</w:t>
        </w:r>
      </w:hyperlink>
    </w:p>
    <w:p w:rsidR="00C31389" w:rsidRDefault="00561FBD" w14:paraId="7792B4A6" w14:textId="77777777">
      <w:pPr>
        <w:pStyle w:val="BodyText"/>
        <w:tabs>
          <w:tab w:val="left" w:leader="dot" w:pos="9508"/>
        </w:tabs>
        <w:ind w:left="479"/>
      </w:pPr>
      <w:hyperlink w:history="1" w:anchor="_bookmark72">
        <w:r>
          <w:t>Equation</w:t>
        </w:r>
        <w:r>
          <w:rPr>
            <w:spacing w:val="-10"/>
          </w:rPr>
          <w:t xml:space="preserve"> </w:t>
        </w:r>
        <w:r>
          <w:t>2-2.</w:t>
        </w:r>
        <w:r>
          <w:rPr>
            <w:spacing w:val="-9"/>
          </w:rPr>
          <w:t xml:space="preserve"> </w:t>
        </w:r>
        <w:r>
          <w:t>Incremental</w:t>
        </w:r>
        <w:r>
          <w:rPr>
            <w:spacing w:val="-9"/>
          </w:rPr>
          <w:t xml:space="preserve"> </w:t>
        </w:r>
        <w:r>
          <w:t>Achievable</w:t>
        </w:r>
        <w:r>
          <w:rPr>
            <w:spacing w:val="-9"/>
          </w:rPr>
          <w:t xml:space="preserve"> </w:t>
        </w:r>
        <w:r>
          <w:t>Potential</w:t>
        </w:r>
        <w:r>
          <w:rPr>
            <w:spacing w:val="-9"/>
          </w:rPr>
          <w:t xml:space="preserve"> </w:t>
        </w:r>
        <w:r>
          <w:t>for</w:t>
        </w:r>
        <w:r>
          <w:rPr>
            <w:spacing w:val="-9"/>
          </w:rPr>
          <w:t xml:space="preserve"> </w:t>
        </w:r>
        <w:r>
          <w:t>Emerging</w:t>
        </w:r>
        <w:r>
          <w:rPr>
            <w:spacing w:val="-9"/>
          </w:rPr>
          <w:t xml:space="preserve"> </w:t>
        </w:r>
        <w:r>
          <w:rPr>
            <w:spacing w:val="-2"/>
          </w:rPr>
          <w:t>T</w:t>
        </w:r>
        <w:r>
          <w:rPr>
            <w:spacing w:val="-2"/>
          </w:rPr>
          <w:t>echnologies</w:t>
        </w:r>
        <w:r>
          <w:tab/>
        </w:r>
        <w:r>
          <w:rPr>
            <w:spacing w:val="-5"/>
          </w:rPr>
          <w:t>25</w:t>
        </w:r>
      </w:hyperlink>
    </w:p>
    <w:p w:rsidR="00C31389" w:rsidRDefault="00561FBD" w14:paraId="5229349F" w14:textId="77777777">
      <w:pPr>
        <w:pStyle w:val="BodyText"/>
        <w:tabs>
          <w:tab w:val="left" w:leader="dot" w:pos="9508"/>
        </w:tabs>
        <w:spacing w:before="1" w:line="253" w:lineRule="exact"/>
        <w:ind w:left="479"/>
      </w:pPr>
      <w:hyperlink w:history="1" w:anchor="_bookmark73">
        <w:r>
          <w:t>Equation</w:t>
        </w:r>
        <w:r>
          <w:rPr>
            <w:spacing w:val="-9"/>
          </w:rPr>
          <w:t xml:space="preserve"> </w:t>
        </w:r>
        <w:r>
          <w:t>2-3.</w:t>
        </w:r>
        <w:r>
          <w:rPr>
            <w:spacing w:val="-9"/>
          </w:rPr>
          <w:t xml:space="preserve"> </w:t>
        </w:r>
        <w:r>
          <w:t>Incremental</w:t>
        </w:r>
        <w:r>
          <w:rPr>
            <w:spacing w:val="-8"/>
          </w:rPr>
          <w:t xml:space="preserve"> </w:t>
        </w:r>
        <w:r>
          <w:t>Achievable</w:t>
        </w:r>
        <w:r>
          <w:rPr>
            <w:spacing w:val="-8"/>
          </w:rPr>
          <w:t xml:space="preserve"> </w:t>
        </w:r>
        <w:r>
          <w:t>Potential</w:t>
        </w:r>
        <w:r>
          <w:rPr>
            <w:spacing w:val="-9"/>
          </w:rPr>
          <w:t xml:space="preserve"> </w:t>
        </w:r>
        <w:r>
          <w:t>for</w:t>
        </w:r>
        <w:r>
          <w:rPr>
            <w:spacing w:val="-8"/>
          </w:rPr>
          <w:t xml:space="preserve"> </w:t>
        </w:r>
        <w:r>
          <w:t>Generic</w:t>
        </w:r>
        <w:r>
          <w:rPr>
            <w:spacing w:val="-9"/>
          </w:rPr>
          <w:t xml:space="preserve"> </w:t>
        </w:r>
        <w:r>
          <w:rPr>
            <w:spacing w:val="-2"/>
          </w:rPr>
          <w:t>Custom</w:t>
        </w:r>
        <w:r>
          <w:tab/>
        </w:r>
        <w:r>
          <w:rPr>
            <w:spacing w:val="-5"/>
          </w:rPr>
          <w:t>25</w:t>
        </w:r>
      </w:hyperlink>
    </w:p>
    <w:p w:rsidR="00C31389" w:rsidRDefault="00561FBD" w14:paraId="11D49C65" w14:textId="77777777">
      <w:pPr>
        <w:pStyle w:val="BodyText"/>
        <w:tabs>
          <w:tab w:val="left" w:leader="dot" w:pos="9508"/>
        </w:tabs>
        <w:spacing w:line="253" w:lineRule="exact"/>
        <w:ind w:left="479"/>
      </w:pPr>
      <w:hyperlink w:history="1" w:anchor="_bookmark74">
        <w:r>
          <w:t>Equation</w:t>
        </w:r>
        <w:r>
          <w:rPr>
            <w:spacing w:val="-7"/>
          </w:rPr>
          <w:t xml:space="preserve"> </w:t>
        </w:r>
        <w:r>
          <w:t>2-4.</w:t>
        </w:r>
        <w:r>
          <w:rPr>
            <w:spacing w:val="-6"/>
          </w:rPr>
          <w:t xml:space="preserve"> </w:t>
        </w:r>
        <w:r>
          <w:t>UES</w:t>
        </w:r>
        <w:r>
          <w:rPr>
            <w:spacing w:val="-7"/>
          </w:rPr>
          <w:t xml:space="preserve"> </w:t>
        </w:r>
        <w:r>
          <w:t>for</w:t>
        </w:r>
        <w:r>
          <w:rPr>
            <w:spacing w:val="-6"/>
          </w:rPr>
          <w:t xml:space="preserve"> </w:t>
        </w:r>
        <w:r>
          <w:t>Emerging</w:t>
        </w:r>
        <w:r>
          <w:rPr>
            <w:spacing w:val="-6"/>
          </w:rPr>
          <w:t xml:space="preserve"> </w:t>
        </w:r>
        <w:r>
          <w:rPr>
            <w:spacing w:val="-2"/>
          </w:rPr>
          <w:t>Technologies</w:t>
        </w:r>
        <w:r>
          <w:tab/>
        </w:r>
        <w:r>
          <w:rPr>
            <w:spacing w:val="-5"/>
          </w:rPr>
          <w:t>26</w:t>
        </w:r>
      </w:hyperlink>
    </w:p>
    <w:p w:rsidR="00C31389" w:rsidRDefault="00561FBD" w14:paraId="24807FFF" w14:textId="77777777">
      <w:pPr>
        <w:pStyle w:val="BodyText"/>
        <w:tabs>
          <w:tab w:val="left" w:leader="dot" w:pos="9508"/>
        </w:tabs>
        <w:ind w:left="479"/>
      </w:pPr>
      <w:hyperlink w:history="1" w:anchor="_bookmark76">
        <w:r>
          <w:t>Equation</w:t>
        </w:r>
        <w:r>
          <w:rPr>
            <w:spacing w:val="-9"/>
          </w:rPr>
          <w:t xml:space="preserve"> </w:t>
        </w:r>
        <w:r>
          <w:t>2-5.</w:t>
        </w:r>
        <w:r>
          <w:rPr>
            <w:spacing w:val="-9"/>
          </w:rPr>
          <w:t xml:space="preserve"> </w:t>
        </w:r>
        <w:r>
          <w:t>Incremental</w:t>
        </w:r>
        <w:r>
          <w:rPr>
            <w:spacing w:val="-9"/>
          </w:rPr>
          <w:t xml:space="preserve"> </w:t>
        </w:r>
        <w:r>
          <w:t>Achievable</w:t>
        </w:r>
        <w:r>
          <w:rPr>
            <w:spacing w:val="-9"/>
          </w:rPr>
          <w:t xml:space="preserve"> </w:t>
        </w:r>
        <w:r>
          <w:t>Potential</w:t>
        </w:r>
        <w:r>
          <w:rPr>
            <w:spacing w:val="-9"/>
          </w:rPr>
          <w:t xml:space="preserve"> </w:t>
        </w:r>
        <w:r>
          <w:t>for</w:t>
        </w:r>
        <w:r>
          <w:rPr>
            <w:spacing w:val="-8"/>
          </w:rPr>
          <w:t xml:space="preserve"> </w:t>
        </w:r>
        <w:r>
          <w:rPr>
            <w:spacing w:val="-4"/>
          </w:rPr>
          <w:t>BROs</w:t>
        </w:r>
        <w:r>
          <w:tab/>
        </w:r>
        <w:r>
          <w:rPr>
            <w:spacing w:val="-5"/>
          </w:rPr>
          <w:t>27</w:t>
        </w:r>
      </w:hyperlink>
    </w:p>
    <w:p w:rsidR="00C31389" w:rsidRDefault="00561FBD" w14:paraId="70BB210A" w14:textId="77777777">
      <w:pPr>
        <w:pStyle w:val="BodyText"/>
        <w:tabs>
          <w:tab w:val="left" w:leader="dot" w:pos="9508"/>
        </w:tabs>
        <w:ind w:left="479"/>
      </w:pPr>
      <w:hyperlink w:history="1" w:anchor="_bookmark78">
        <w:r>
          <w:t>Equation</w:t>
        </w:r>
        <w:r>
          <w:rPr>
            <w:spacing w:val="-8"/>
          </w:rPr>
          <w:t xml:space="preserve"> </w:t>
        </w:r>
        <w:r>
          <w:t>2-6.</w:t>
        </w:r>
        <w:r>
          <w:rPr>
            <w:spacing w:val="-8"/>
          </w:rPr>
          <w:t xml:space="preserve"> </w:t>
        </w:r>
        <w:r>
          <w:t>BROs</w:t>
        </w:r>
        <w:r>
          <w:rPr>
            <w:spacing w:val="-8"/>
          </w:rPr>
          <w:t xml:space="preserve"> </w:t>
        </w:r>
        <w:r>
          <w:t>Demand</w:t>
        </w:r>
        <w:r>
          <w:rPr>
            <w:spacing w:val="-8"/>
          </w:rPr>
          <w:t xml:space="preserve"> </w:t>
        </w:r>
        <w:r>
          <w:rPr>
            <w:spacing w:val="-2"/>
          </w:rPr>
          <w:t>Savings</w:t>
        </w:r>
        <w:r>
          <w:tab/>
        </w:r>
        <w:r>
          <w:rPr>
            <w:spacing w:val="-5"/>
          </w:rPr>
          <w:t>28</w:t>
        </w:r>
      </w:hyperlink>
    </w:p>
    <w:p w:rsidR="00C31389" w:rsidRDefault="00561FBD" w14:paraId="55EF80CE" w14:textId="77777777">
      <w:pPr>
        <w:pStyle w:val="BodyText"/>
        <w:tabs>
          <w:tab w:val="left" w:leader="dot" w:pos="9507"/>
        </w:tabs>
        <w:ind w:left="479"/>
      </w:pPr>
      <w:hyperlink w:history="1" w:anchor="_bookmark79">
        <w:r>
          <w:t>Equation</w:t>
        </w:r>
        <w:r>
          <w:rPr>
            <w:spacing w:val="-8"/>
          </w:rPr>
          <w:t xml:space="preserve"> </w:t>
        </w:r>
        <w:r>
          <w:t>2-7.</w:t>
        </w:r>
        <w:r>
          <w:rPr>
            <w:spacing w:val="-8"/>
          </w:rPr>
          <w:t xml:space="preserve"> </w:t>
        </w:r>
        <w:r>
          <w:t>BROs</w:t>
        </w:r>
        <w:r>
          <w:rPr>
            <w:spacing w:val="-8"/>
          </w:rPr>
          <w:t xml:space="preserve"> </w:t>
        </w:r>
        <w:r>
          <w:t>Program</w:t>
        </w:r>
        <w:r>
          <w:rPr>
            <w:spacing w:val="-8"/>
          </w:rPr>
          <w:t xml:space="preserve"> </w:t>
        </w:r>
        <w:r>
          <w:rPr>
            <w:spacing w:val="-4"/>
          </w:rPr>
          <w:t>Costs</w:t>
        </w:r>
        <w:r>
          <w:tab/>
        </w:r>
        <w:r>
          <w:rPr>
            <w:spacing w:val="-5"/>
          </w:rPr>
          <w:t>28</w:t>
        </w:r>
      </w:hyperlink>
    </w:p>
    <w:p w:rsidR="00C31389" w:rsidRDefault="00C31389" w14:paraId="602D488F" w14:textId="77777777">
      <w:pPr>
        <w:pStyle w:val="BodyText"/>
        <w:rPr>
          <w:sz w:val="24"/>
        </w:rPr>
      </w:pPr>
    </w:p>
    <w:p w:rsidR="00C31389" w:rsidRDefault="00C31389" w14:paraId="44457B1A" w14:textId="77777777">
      <w:pPr>
        <w:pStyle w:val="BodyText"/>
        <w:spacing w:before="9"/>
        <w:rPr>
          <w:sz w:val="18"/>
        </w:rPr>
      </w:pPr>
    </w:p>
    <w:p w:rsidR="00C31389" w:rsidRDefault="00561FBD" w14:paraId="38907687" w14:textId="77777777">
      <w:pPr>
        <w:pStyle w:val="BodyText"/>
        <w:ind w:left="479"/>
      </w:pPr>
      <w:hyperlink w:history="1" w:anchor="_bookmark307">
        <w:r>
          <w:t>Equation</w:t>
        </w:r>
        <w:r>
          <w:rPr>
            <w:spacing w:val="-12"/>
          </w:rPr>
          <w:t xml:space="preserve"> </w:t>
        </w:r>
        <w:r>
          <w:t>D-1.</w:t>
        </w:r>
        <w:r>
          <w:rPr>
            <w:spacing w:val="-12"/>
          </w:rPr>
          <w:t xml:space="preserve"> </w:t>
        </w:r>
        <w:r>
          <w:t>HERs</w:t>
        </w:r>
        <w:r>
          <w:rPr>
            <w:spacing w:val="-12"/>
          </w:rPr>
          <w:t xml:space="preserve"> </w:t>
        </w:r>
        <w:r>
          <w:t>Bin</w:t>
        </w:r>
        <w:r>
          <w:rPr>
            <w:spacing w:val="-12"/>
          </w:rPr>
          <w:t xml:space="preserve"> </w:t>
        </w:r>
        <w:r>
          <w:t>1</w:t>
        </w:r>
        <w:r>
          <w:rPr>
            <w:spacing w:val="-12"/>
          </w:rPr>
          <w:t xml:space="preserve"> </w:t>
        </w:r>
        <w:r>
          <w:t>Penetration</w:t>
        </w:r>
        <w:r>
          <w:rPr>
            <w:spacing w:val="-12"/>
          </w:rPr>
          <w:t xml:space="preserve"> </w:t>
        </w:r>
        <w:r>
          <w:t>Cap</w:t>
        </w:r>
        <w:r>
          <w:rPr>
            <w:spacing w:val="-15"/>
          </w:rPr>
          <w:t xml:space="preserve"> </w:t>
        </w:r>
        <w:r>
          <w:t>..........................................................................D-</w:t>
        </w:r>
        <w:r>
          <w:rPr>
            <w:spacing w:val="-5"/>
          </w:rPr>
          <w:t>33</w:t>
        </w:r>
      </w:hyperlink>
    </w:p>
    <w:p w:rsidR="00C31389" w:rsidRDefault="00561FBD" w14:paraId="191FE9F8" w14:textId="77777777">
      <w:pPr>
        <w:pStyle w:val="BodyText"/>
        <w:spacing w:before="1"/>
        <w:ind w:left="478"/>
      </w:pPr>
      <w:hyperlink w:history="1" w:anchor="_bookmark381">
        <w:r>
          <w:rPr>
            <w:spacing w:val="-2"/>
          </w:rPr>
          <w:t>Equation</w:t>
        </w:r>
        <w:r>
          <w:rPr>
            <w:spacing w:val="24"/>
          </w:rPr>
          <w:t xml:space="preserve"> </w:t>
        </w:r>
        <w:r>
          <w:rPr>
            <w:spacing w:val="-2"/>
          </w:rPr>
          <w:t>D-2.</w:t>
        </w:r>
        <w:r>
          <w:rPr>
            <w:spacing w:val="25"/>
          </w:rPr>
          <w:t xml:space="preserve"> </w:t>
        </w:r>
        <w:r>
          <w:rPr>
            <w:spacing w:val="-2"/>
          </w:rPr>
          <w:t>BEIMS</w:t>
        </w:r>
        <w:r>
          <w:rPr>
            <w:spacing w:val="26"/>
          </w:rPr>
          <w:t xml:space="preserve"> </w:t>
        </w:r>
        <w:r>
          <w:rPr>
            <w:spacing w:val="-2"/>
          </w:rPr>
          <w:t>Unit</w:t>
        </w:r>
        <w:r>
          <w:rPr>
            <w:spacing w:val="24"/>
          </w:rPr>
          <w:t xml:space="preserve"> </w:t>
        </w:r>
        <w:r>
          <w:rPr>
            <w:spacing w:val="-2"/>
          </w:rPr>
          <w:t>Energy</w:t>
        </w:r>
        <w:r>
          <w:rPr>
            <w:spacing w:val="25"/>
          </w:rPr>
          <w:t xml:space="preserve"> </w:t>
        </w:r>
        <w:r>
          <w:rPr>
            <w:spacing w:val="-2"/>
          </w:rPr>
          <w:t>Savings</w:t>
        </w:r>
        <w:r>
          <w:rPr>
            <w:spacing w:val="-1"/>
          </w:rPr>
          <w:t xml:space="preserve"> </w:t>
        </w:r>
        <w:r>
          <w:rPr>
            <w:spacing w:val="-2"/>
          </w:rPr>
          <w:t>........................................................................</w:t>
        </w:r>
        <w:r>
          <w:rPr>
            <w:spacing w:val="-2"/>
          </w:rPr>
          <w:t>...D-</w:t>
        </w:r>
        <w:r>
          <w:rPr>
            <w:spacing w:val="-5"/>
          </w:rPr>
          <w:t>48</w:t>
        </w:r>
      </w:hyperlink>
    </w:p>
    <w:p w:rsidR="00C31389" w:rsidRDefault="00561FBD" w14:paraId="785F8929" w14:textId="77777777">
      <w:pPr>
        <w:pStyle w:val="BodyText"/>
        <w:ind w:left="478"/>
      </w:pPr>
      <w:hyperlink w:history="1" w:anchor="_bookmark382">
        <w:r>
          <w:rPr>
            <w:spacing w:val="-2"/>
          </w:rPr>
          <w:t>Equation</w:t>
        </w:r>
        <w:r>
          <w:rPr>
            <w:spacing w:val="37"/>
          </w:rPr>
          <w:t xml:space="preserve"> </w:t>
        </w:r>
        <w:r>
          <w:rPr>
            <w:spacing w:val="-2"/>
          </w:rPr>
          <w:t>D-3.</w:t>
        </w:r>
        <w:r>
          <w:rPr>
            <w:spacing w:val="37"/>
          </w:rPr>
          <w:t xml:space="preserve"> </w:t>
        </w:r>
        <w:r>
          <w:rPr>
            <w:spacing w:val="-2"/>
          </w:rPr>
          <w:t>BEIMS</w:t>
        </w:r>
        <w:r>
          <w:rPr>
            <w:spacing w:val="40"/>
          </w:rPr>
          <w:t xml:space="preserve"> </w:t>
        </w:r>
        <w:r>
          <w:rPr>
            <w:spacing w:val="-2"/>
          </w:rPr>
          <w:t>Segment</w:t>
        </w:r>
        <w:r>
          <w:rPr>
            <w:spacing w:val="37"/>
          </w:rPr>
          <w:t xml:space="preserve"> </w:t>
        </w:r>
        <w:r>
          <w:rPr>
            <w:spacing w:val="-2"/>
          </w:rPr>
          <w:t>Savings................................................................................D-</w:t>
        </w:r>
        <w:r>
          <w:rPr>
            <w:spacing w:val="-5"/>
          </w:rPr>
          <w:t>48</w:t>
        </w:r>
      </w:hyperlink>
    </w:p>
    <w:p w:rsidR="00C31389" w:rsidRDefault="00561FBD" w14:paraId="041DE156" w14:textId="77777777">
      <w:pPr>
        <w:pStyle w:val="BodyText"/>
        <w:ind w:left="478"/>
      </w:pPr>
      <w:hyperlink w:history="1" w:anchor="_bookmark430">
        <w:r>
          <w:rPr>
            <w:spacing w:val="-2"/>
          </w:rPr>
          <w:t>Equation</w:t>
        </w:r>
        <w:r>
          <w:rPr>
            <w:spacing w:val="34"/>
          </w:rPr>
          <w:t xml:space="preserve"> </w:t>
        </w:r>
        <w:r>
          <w:rPr>
            <w:spacing w:val="-2"/>
          </w:rPr>
          <w:t>D-4.</w:t>
        </w:r>
        <w:r>
          <w:rPr>
            <w:spacing w:val="35"/>
          </w:rPr>
          <w:t xml:space="preserve"> </w:t>
        </w:r>
        <w:r>
          <w:rPr>
            <w:spacing w:val="-2"/>
          </w:rPr>
          <w:t>RCx</w:t>
        </w:r>
        <w:r>
          <w:rPr>
            <w:spacing w:val="35"/>
          </w:rPr>
          <w:t xml:space="preserve"> </w:t>
        </w:r>
        <w:r>
          <w:rPr>
            <w:spacing w:val="-2"/>
          </w:rPr>
          <w:t>Energy</w:t>
        </w:r>
        <w:r>
          <w:rPr>
            <w:spacing w:val="35"/>
          </w:rPr>
          <w:t xml:space="preserve"> </w:t>
        </w:r>
        <w:r>
          <w:rPr>
            <w:spacing w:val="-2"/>
          </w:rPr>
          <w:t>Savings</w:t>
        </w:r>
        <w:r>
          <w:rPr>
            <w:spacing w:val="-31"/>
          </w:rPr>
          <w:t xml:space="preserve"> </w:t>
        </w:r>
        <w:r>
          <w:rPr>
            <w:spacing w:val="-2"/>
          </w:rPr>
          <w:t>.......................................................................................D-</w:t>
        </w:r>
        <w:r>
          <w:rPr>
            <w:spacing w:val="-5"/>
          </w:rPr>
          <w:t>57</w:t>
        </w:r>
      </w:hyperlink>
    </w:p>
    <w:p w:rsidR="00C31389" w:rsidRDefault="00561FBD" w14:paraId="095A420A" w14:textId="77777777">
      <w:pPr>
        <w:pStyle w:val="BodyText"/>
        <w:ind w:left="478"/>
      </w:pPr>
      <w:hyperlink w:history="1" w:anchor="_bookmark448">
        <w:r>
          <w:rPr>
            <w:spacing w:val="-2"/>
          </w:rPr>
          <w:t>Equation</w:t>
        </w:r>
        <w:r>
          <w:rPr>
            <w:spacing w:val="29"/>
          </w:rPr>
          <w:t xml:space="preserve"> </w:t>
        </w:r>
        <w:r>
          <w:rPr>
            <w:spacing w:val="-2"/>
          </w:rPr>
          <w:t>D-5.</w:t>
        </w:r>
        <w:r>
          <w:rPr>
            <w:spacing w:val="29"/>
          </w:rPr>
          <w:t xml:space="preserve"> </w:t>
        </w:r>
        <w:r>
          <w:rPr>
            <w:spacing w:val="-2"/>
          </w:rPr>
          <w:t>SEM</w:t>
        </w:r>
        <w:r>
          <w:rPr>
            <w:spacing w:val="28"/>
          </w:rPr>
          <w:t xml:space="preserve"> </w:t>
        </w:r>
        <w:r>
          <w:rPr>
            <w:spacing w:val="-2"/>
          </w:rPr>
          <w:t>Segment-Level</w:t>
        </w:r>
        <w:r>
          <w:rPr>
            <w:spacing w:val="30"/>
          </w:rPr>
          <w:t xml:space="preserve"> </w:t>
        </w:r>
        <w:r>
          <w:rPr>
            <w:spacing w:val="-2"/>
          </w:rPr>
          <w:t>Savings</w:t>
        </w:r>
        <w:r>
          <w:rPr>
            <w:spacing w:val="5"/>
          </w:rPr>
          <w:t xml:space="preserve"> </w:t>
        </w:r>
        <w:r>
          <w:rPr>
            <w:spacing w:val="-2"/>
          </w:rPr>
          <w:t>.........................................................................D-</w:t>
        </w:r>
        <w:r>
          <w:rPr>
            <w:spacing w:val="-5"/>
          </w:rPr>
          <w:t>62</w:t>
        </w:r>
      </w:hyperlink>
    </w:p>
    <w:p w:rsidR="00C31389" w:rsidRDefault="00561FBD" w14:paraId="66A42A09" w14:textId="77777777">
      <w:pPr>
        <w:pStyle w:val="BodyText"/>
        <w:spacing w:before="1" w:line="253" w:lineRule="exact"/>
        <w:ind w:left="478"/>
      </w:pPr>
      <w:hyperlink w:history="1" w:anchor="_bookmark476">
        <w:r>
          <w:rPr>
            <w:spacing w:val="-2"/>
          </w:rPr>
          <w:t>Equati</w:t>
        </w:r>
        <w:r>
          <w:rPr>
            <w:spacing w:val="-2"/>
          </w:rPr>
          <w:t>on</w:t>
        </w:r>
        <w:r>
          <w:rPr>
            <w:spacing w:val="21"/>
          </w:rPr>
          <w:t xml:space="preserve"> </w:t>
        </w:r>
        <w:r>
          <w:rPr>
            <w:spacing w:val="-2"/>
          </w:rPr>
          <w:t>G-1.</w:t>
        </w:r>
        <w:r>
          <w:rPr>
            <w:spacing w:val="22"/>
          </w:rPr>
          <w:t xml:space="preserve"> </w:t>
        </w:r>
        <w:r>
          <w:rPr>
            <w:spacing w:val="-2"/>
          </w:rPr>
          <w:t>GC</w:t>
        </w:r>
        <w:r>
          <w:rPr>
            <w:spacing w:val="21"/>
          </w:rPr>
          <w:t xml:space="preserve"> </w:t>
        </w:r>
        <w:r>
          <w:rPr>
            <w:spacing w:val="-2"/>
          </w:rPr>
          <w:t>Segment</w:t>
        </w:r>
        <w:r>
          <w:rPr>
            <w:spacing w:val="22"/>
          </w:rPr>
          <w:t xml:space="preserve"> </w:t>
        </w:r>
        <w:r>
          <w:rPr>
            <w:spacing w:val="-2"/>
          </w:rPr>
          <w:t>Savings</w:t>
        </w:r>
        <w:r>
          <w:rPr>
            <w:spacing w:val="20"/>
          </w:rPr>
          <w:t xml:space="preserve"> </w:t>
        </w:r>
        <w:r>
          <w:rPr>
            <w:spacing w:val="-2"/>
          </w:rPr>
          <w:t>Potential</w:t>
        </w:r>
        <w:r>
          <w:rPr>
            <w:spacing w:val="1"/>
          </w:rPr>
          <w:t xml:space="preserve"> </w:t>
        </w:r>
        <w:r>
          <w:rPr>
            <w:spacing w:val="-2"/>
          </w:rPr>
          <w:t>........................................................................G-</w:t>
        </w:r>
        <w:r>
          <w:rPr>
            <w:spacing w:val="-10"/>
          </w:rPr>
          <w:t>5</w:t>
        </w:r>
      </w:hyperlink>
    </w:p>
    <w:p w:rsidR="00C31389" w:rsidRDefault="00561FBD" w14:paraId="42ED8225" w14:textId="77777777">
      <w:pPr>
        <w:pStyle w:val="BodyText"/>
        <w:ind w:left="478" w:right="533"/>
      </w:pPr>
      <w:hyperlink w:history="1" w:anchor="_bookmark491">
        <w:r>
          <w:t>Equation</w:t>
        </w:r>
        <w:r>
          <w:rPr>
            <w:spacing w:val="-11"/>
          </w:rPr>
          <w:t xml:space="preserve"> </w:t>
        </w:r>
        <w:r>
          <w:t>G-2.</w:t>
        </w:r>
        <w:r>
          <w:rPr>
            <w:spacing w:val="-9"/>
          </w:rPr>
          <w:t xml:space="preserve"> </w:t>
        </w:r>
        <w:r>
          <w:t>ET</w:t>
        </w:r>
        <w:r>
          <w:rPr>
            <w:spacing w:val="-9"/>
          </w:rPr>
          <w:t xml:space="preserve"> </w:t>
        </w:r>
        <w:r>
          <w:t>Multiplier</w:t>
        </w:r>
        <w:r>
          <w:rPr>
            <w:spacing w:val="-42"/>
          </w:rPr>
          <w:t xml:space="preserve"> </w:t>
        </w:r>
        <w:r>
          <w:t>..................................................</w:t>
        </w:r>
        <w:r>
          <w:t>....................................................G-8</w:t>
        </w:r>
      </w:hyperlink>
      <w:r>
        <w:t xml:space="preserve"> </w:t>
      </w:r>
      <w:hyperlink w:history="1" w:anchor="_bookmark492">
        <w:r>
          <w:t>Equation</w:t>
        </w:r>
        <w:r>
          <w:rPr>
            <w:spacing w:val="-16"/>
          </w:rPr>
          <w:t xml:space="preserve"> </w:t>
        </w:r>
        <w:r>
          <w:t>G-3.</w:t>
        </w:r>
        <w:r>
          <w:rPr>
            <w:spacing w:val="-15"/>
          </w:rPr>
          <w:t xml:space="preserve"> </w:t>
        </w:r>
        <w:r>
          <w:t>ET</w:t>
        </w:r>
        <w:r>
          <w:rPr>
            <w:spacing w:val="-14"/>
          </w:rPr>
          <w:t xml:space="preserve"> </w:t>
        </w:r>
        <w:r>
          <w:t>Segment</w:t>
        </w:r>
        <w:r>
          <w:rPr>
            <w:spacing w:val="-14"/>
          </w:rPr>
          <w:t xml:space="preserve"> </w:t>
        </w:r>
        <w:r>
          <w:t>Net</w:t>
        </w:r>
        <w:r>
          <w:rPr>
            <w:spacing w:val="-14"/>
          </w:rPr>
          <w:t xml:space="preserve"> </w:t>
        </w:r>
        <w:r>
          <w:t>Savings</w:t>
        </w:r>
        <w:r>
          <w:rPr>
            <w:spacing w:val="-14"/>
          </w:rPr>
          <w:t xml:space="preserve"> </w:t>
        </w:r>
        <w:r>
          <w:t>Potential</w:t>
        </w:r>
        <w:r>
          <w:rPr>
            <w:spacing w:val="-16"/>
          </w:rPr>
          <w:t xml:space="preserve"> </w:t>
        </w:r>
        <w:r>
          <w:t>..................................................................G-</w:t>
        </w:r>
        <w:r>
          <w:rPr>
            <w:spacing w:val="-10"/>
          </w:rPr>
          <w:t>9</w:t>
        </w:r>
      </w:hyperlink>
    </w:p>
    <w:p w:rsidR="00C31389" w:rsidRDefault="00561FBD" w14:paraId="2CA6AE58" w14:textId="77777777">
      <w:pPr>
        <w:pStyle w:val="BodyText"/>
        <w:ind w:left="478"/>
      </w:pPr>
      <w:hyperlink w:history="1" w:anchor="_bookmark510">
        <w:r>
          <w:rPr>
            <w:spacing w:val="-2"/>
          </w:rPr>
          <w:t>Equation</w:t>
        </w:r>
        <w:r>
          <w:rPr>
            <w:spacing w:val="32"/>
          </w:rPr>
          <w:t xml:space="preserve"> </w:t>
        </w:r>
        <w:r>
          <w:rPr>
            <w:spacing w:val="-2"/>
          </w:rPr>
          <w:t>H-1.</w:t>
        </w:r>
        <w:r>
          <w:rPr>
            <w:spacing w:val="33"/>
          </w:rPr>
          <w:t xml:space="preserve"> </w:t>
        </w:r>
        <w:r>
          <w:rPr>
            <w:spacing w:val="-2"/>
          </w:rPr>
          <w:t>Customer</w:t>
        </w:r>
        <w:r>
          <w:rPr>
            <w:spacing w:val="32"/>
          </w:rPr>
          <w:t xml:space="preserve"> </w:t>
        </w:r>
        <w:r>
          <w:rPr>
            <w:spacing w:val="-2"/>
          </w:rPr>
          <w:t>Preference</w:t>
        </w:r>
        <w:r>
          <w:rPr>
            <w:spacing w:val="33"/>
          </w:rPr>
          <w:t xml:space="preserve"> </w:t>
        </w:r>
        <w:r>
          <w:rPr>
            <w:spacing w:val="-2"/>
          </w:rPr>
          <w:t>Weighting</w:t>
        </w:r>
        <w:r>
          <w:rPr>
            <w:spacing w:val="-29"/>
          </w:rPr>
          <w:t xml:space="preserve"> </w:t>
        </w:r>
        <w:r>
          <w:rPr>
            <w:spacing w:val="-2"/>
          </w:rPr>
          <w:t>.......................................................................H-</w:t>
        </w:r>
        <w:r>
          <w:rPr>
            <w:spacing w:val="-10"/>
          </w:rPr>
          <w:t>3</w:t>
        </w:r>
      </w:hyperlink>
    </w:p>
    <w:p w:rsidR="00C31389" w:rsidRDefault="00561FBD" w14:paraId="117B24D6" w14:textId="77777777">
      <w:pPr>
        <w:pStyle w:val="BodyText"/>
        <w:ind w:left="477"/>
      </w:pPr>
      <w:hyperlink w:history="1" w:anchor="_bookmark513">
        <w:r>
          <w:rPr>
            <w:spacing w:val="-2"/>
          </w:rPr>
          <w:t>Equation</w:t>
        </w:r>
        <w:r>
          <w:rPr>
            <w:spacing w:val="28"/>
          </w:rPr>
          <w:t xml:space="preserve"> </w:t>
        </w:r>
        <w:r>
          <w:rPr>
            <w:spacing w:val="-2"/>
          </w:rPr>
          <w:t>H-2.</w:t>
        </w:r>
        <w:r>
          <w:rPr>
            <w:spacing w:val="28"/>
          </w:rPr>
          <w:t xml:space="preserve"> </w:t>
        </w:r>
        <w:r>
          <w:rPr>
            <w:spacing w:val="-2"/>
          </w:rPr>
          <w:t>Normalized</w:t>
        </w:r>
        <w:r>
          <w:rPr>
            <w:spacing w:val="28"/>
          </w:rPr>
          <w:t xml:space="preserve"> </w:t>
        </w:r>
        <w:r>
          <w:rPr>
            <w:spacing w:val="-2"/>
          </w:rPr>
          <w:t>Technology</w:t>
        </w:r>
        <w:r>
          <w:rPr>
            <w:spacing w:val="28"/>
          </w:rPr>
          <w:t xml:space="preserve"> </w:t>
        </w:r>
        <w:r>
          <w:rPr>
            <w:spacing w:val="-2"/>
          </w:rPr>
          <w:t>Characteristic</w:t>
        </w:r>
        <w:r>
          <w:rPr>
            <w:spacing w:val="6"/>
          </w:rPr>
          <w:t xml:space="preserve"> </w:t>
        </w:r>
        <w:r>
          <w:rPr>
            <w:spacing w:val="-2"/>
          </w:rPr>
          <w:t>.............................................................H-</w:t>
        </w:r>
        <w:r>
          <w:rPr>
            <w:spacing w:val="-10"/>
          </w:rPr>
          <w:t>5</w:t>
        </w:r>
      </w:hyperlink>
    </w:p>
    <w:p w:rsidR="00C31389" w:rsidRDefault="00561FBD" w14:paraId="3C40E86E" w14:textId="77777777">
      <w:pPr>
        <w:pStyle w:val="BodyText"/>
        <w:spacing w:line="253" w:lineRule="exact"/>
        <w:ind w:left="477"/>
      </w:pPr>
      <w:hyperlink w:history="1" w:anchor="_bookmark516">
        <w:r>
          <w:t>Equation</w:t>
        </w:r>
        <w:r>
          <w:rPr>
            <w:spacing w:val="-16"/>
          </w:rPr>
          <w:t xml:space="preserve"> </w:t>
        </w:r>
        <w:r>
          <w:t>H</w:t>
        </w:r>
        <w:r>
          <w:t>-3.</w:t>
        </w:r>
        <w:r>
          <w:rPr>
            <w:spacing w:val="-15"/>
          </w:rPr>
          <w:t xml:space="preserve"> </w:t>
        </w:r>
        <w:r>
          <w:t>Decision</w:t>
        </w:r>
        <w:r>
          <w:rPr>
            <w:spacing w:val="-14"/>
          </w:rPr>
          <w:t xml:space="preserve"> </w:t>
        </w:r>
        <w:r>
          <w:t>Model</w:t>
        </w:r>
        <w:r>
          <w:rPr>
            <w:spacing w:val="-13"/>
          </w:rPr>
          <w:t xml:space="preserve"> </w:t>
        </w:r>
        <w:r>
          <w:t>Market</w:t>
        </w:r>
        <w:r>
          <w:rPr>
            <w:spacing w:val="-12"/>
          </w:rPr>
          <w:t xml:space="preserve"> </w:t>
        </w:r>
        <w:r>
          <w:t>Share</w:t>
        </w:r>
        <w:r>
          <w:rPr>
            <w:spacing w:val="-13"/>
          </w:rPr>
          <w:t xml:space="preserve"> </w:t>
        </w:r>
        <w:r>
          <w:t>Calculation</w:t>
        </w:r>
        <w:r>
          <w:rPr>
            <w:spacing w:val="-28"/>
          </w:rPr>
          <w:t xml:space="preserve"> </w:t>
        </w:r>
        <w:r>
          <w:t>........................................................H-</w:t>
        </w:r>
        <w:r>
          <w:rPr>
            <w:spacing w:val="-10"/>
          </w:rPr>
          <w:t>5</w:t>
        </w:r>
      </w:hyperlink>
    </w:p>
    <w:p w:rsidR="00C31389" w:rsidRDefault="00561FBD" w14:paraId="212190C4" w14:textId="77777777">
      <w:pPr>
        <w:pStyle w:val="BodyText"/>
        <w:spacing w:line="253" w:lineRule="exact"/>
        <w:ind w:left="477"/>
      </w:pPr>
      <w:hyperlink w:history="1" w:anchor="_bookmark522">
        <w:r>
          <w:t>Equation</w:t>
        </w:r>
        <w:r>
          <w:rPr>
            <w:spacing w:val="-16"/>
          </w:rPr>
          <w:t xml:space="preserve"> </w:t>
        </w:r>
        <w:r>
          <w:t>I-1.</w:t>
        </w:r>
        <w:r>
          <w:rPr>
            <w:spacing w:val="-15"/>
          </w:rPr>
          <w:t xml:space="preserve"> </w:t>
        </w:r>
        <w:r>
          <w:t>Benefit-Cost</w:t>
        </w:r>
        <w:r>
          <w:rPr>
            <w:spacing w:val="-15"/>
          </w:rPr>
          <w:t xml:space="preserve"> </w:t>
        </w:r>
        <w:r>
          <w:t>Ratio</w:t>
        </w:r>
        <w:r>
          <w:rPr>
            <w:spacing w:val="-11"/>
          </w:rPr>
          <w:t xml:space="preserve"> </w:t>
        </w:r>
        <w:r>
          <w:t>for</w:t>
        </w:r>
        <w:r>
          <w:rPr>
            <w:spacing w:val="-12"/>
          </w:rPr>
          <w:t xml:space="preserve"> </w:t>
        </w:r>
        <w:r>
          <w:t>the</w:t>
        </w:r>
        <w:r>
          <w:rPr>
            <w:spacing w:val="-11"/>
          </w:rPr>
          <w:t xml:space="preserve"> </w:t>
        </w:r>
        <w:r>
          <w:t>TRC</w:t>
        </w:r>
        <w:r>
          <w:rPr>
            <w:spacing w:val="-13"/>
          </w:rPr>
          <w:t xml:space="preserve"> </w:t>
        </w:r>
        <w:r>
          <w:t>Test</w:t>
        </w:r>
        <w:r>
          <w:rPr>
            <w:spacing w:val="-39"/>
          </w:rPr>
          <w:t xml:space="preserve"> </w:t>
        </w:r>
        <w:r>
          <w:t>....................................................................</w:t>
        </w:r>
        <w:r>
          <w:rPr>
            <w:spacing w:val="-15"/>
          </w:rPr>
          <w:t xml:space="preserve"> </w:t>
        </w:r>
        <w:r>
          <w:t>I-</w:t>
        </w:r>
        <w:r>
          <w:rPr>
            <w:spacing w:val="-10"/>
          </w:rPr>
          <w:t>3</w:t>
        </w:r>
      </w:hyperlink>
    </w:p>
    <w:p w:rsidR="00C31389" w:rsidRDefault="00561FBD" w14:paraId="1FBB69A6" w14:textId="77777777">
      <w:pPr>
        <w:pStyle w:val="BodyText"/>
        <w:ind w:left="480"/>
      </w:pPr>
      <w:hyperlink w:history="1" w:anchor="_bookmark524">
        <w:r>
          <w:rPr>
            <w:spacing w:val="-2"/>
          </w:rPr>
          <w:t>Equation</w:t>
        </w:r>
        <w:r>
          <w:rPr>
            <w:spacing w:val="27"/>
          </w:rPr>
          <w:t xml:space="preserve"> </w:t>
        </w:r>
        <w:r>
          <w:rPr>
            <w:spacing w:val="-2"/>
          </w:rPr>
          <w:t>I-2.</w:t>
        </w:r>
        <w:r>
          <w:rPr>
            <w:spacing w:val="27"/>
          </w:rPr>
          <w:t xml:space="preserve"> </w:t>
        </w:r>
        <w:r>
          <w:rPr>
            <w:spacing w:val="-2"/>
          </w:rPr>
          <w:t>Total</w:t>
        </w:r>
        <w:r>
          <w:rPr>
            <w:spacing w:val="27"/>
          </w:rPr>
          <w:t xml:space="preserve"> </w:t>
        </w:r>
        <w:r>
          <w:rPr>
            <w:spacing w:val="-2"/>
          </w:rPr>
          <w:t>System</w:t>
        </w:r>
        <w:r>
          <w:rPr>
            <w:spacing w:val="26"/>
          </w:rPr>
          <w:t xml:space="preserve"> </w:t>
        </w:r>
        <w:r>
          <w:rPr>
            <w:spacing w:val="-2"/>
          </w:rPr>
          <w:t>Benefit</w:t>
        </w:r>
        <w:r>
          <w:rPr>
            <w:spacing w:val="20"/>
          </w:rPr>
          <w:t xml:space="preserve"> </w:t>
        </w:r>
        <w:r>
          <w:rPr>
            <w:spacing w:val="-2"/>
          </w:rPr>
          <w:t>...................................................................................</w:t>
        </w:r>
        <w:r>
          <w:rPr>
            <w:spacing w:val="-2"/>
          </w:rPr>
          <w:t>........</w:t>
        </w:r>
        <w:r>
          <w:rPr>
            <w:spacing w:val="6"/>
          </w:rPr>
          <w:t xml:space="preserve"> </w:t>
        </w:r>
        <w:r>
          <w:rPr>
            <w:spacing w:val="-2"/>
          </w:rPr>
          <w:t>I-</w:t>
        </w:r>
        <w:r>
          <w:rPr>
            <w:spacing w:val="-10"/>
          </w:rPr>
          <w:t>4</w:t>
        </w:r>
      </w:hyperlink>
    </w:p>
    <w:p w:rsidR="00C31389" w:rsidRDefault="00C31389" w14:paraId="73D0D2DA" w14:textId="77777777">
      <w:pPr>
        <w:sectPr w:rsidR="00C31389">
          <w:pgSz w:w="12240" w:h="15840"/>
          <w:pgMar w:top="1660" w:right="960" w:bottom="1120" w:left="960" w:header="397" w:footer="936" w:gutter="0"/>
          <w:cols w:space="720"/>
        </w:sectPr>
      </w:pPr>
    </w:p>
    <w:p w:rsidR="00C31389" w:rsidRDefault="00C31389" w14:paraId="2D35F553" w14:textId="77777777">
      <w:pPr>
        <w:pStyle w:val="BodyText"/>
      </w:pPr>
    </w:p>
    <w:p w:rsidR="00C31389" w:rsidRDefault="00C31389" w14:paraId="5237DDCF" w14:textId="77777777">
      <w:pPr>
        <w:pStyle w:val="BodyText"/>
        <w:spacing w:before="1"/>
        <w:rPr>
          <w:sz w:val="14"/>
        </w:rPr>
      </w:pPr>
    </w:p>
    <w:p w:rsidR="00C31389" w:rsidRDefault="00561FBD" w14:paraId="44453A2C" w14:textId="77777777">
      <w:pPr>
        <w:pStyle w:val="Heading1"/>
      </w:pPr>
      <w:bookmarkStart w:name="Executive_Summary" w:id="0"/>
      <w:bookmarkStart w:name="_bookmark0" w:id="1"/>
      <w:bookmarkEnd w:id="0"/>
      <w:bookmarkEnd w:id="1"/>
      <w:r>
        <w:t>Executive</w:t>
      </w:r>
      <w:r>
        <w:rPr>
          <w:spacing w:val="-7"/>
        </w:rPr>
        <w:t xml:space="preserve"> </w:t>
      </w:r>
      <w:r>
        <w:rPr>
          <w:spacing w:val="-2"/>
        </w:rPr>
        <w:t>Summary</w:t>
      </w:r>
    </w:p>
    <w:p w:rsidR="00C31389" w:rsidRDefault="00561FBD" w14:paraId="2ED57A02" w14:textId="77777777">
      <w:pPr>
        <w:pStyle w:val="BodyText"/>
        <w:spacing w:before="239"/>
        <w:ind w:left="480" w:right="533" w:hanging="1"/>
      </w:pPr>
      <w:r>
        <w:t>Guidehouse Inc. (Guidehouse) and its partners, Tierra Resource Consultants, LLC, Jai J. Mitchell</w:t>
      </w:r>
      <w:r>
        <w:rPr>
          <w:spacing w:val="-4"/>
        </w:rPr>
        <w:t xml:space="preserve"> </w:t>
      </w:r>
      <w:r>
        <w:t>Analytics,</w:t>
      </w:r>
      <w:r>
        <w:rPr>
          <w:spacing w:val="-4"/>
        </w:rPr>
        <w:t xml:space="preserve"> </w:t>
      </w:r>
      <w:r>
        <w:t>Opinion</w:t>
      </w:r>
      <w:r>
        <w:rPr>
          <w:spacing w:val="-4"/>
        </w:rPr>
        <w:t xml:space="preserve"> </w:t>
      </w:r>
      <w:r>
        <w:t>Dynamics,</w:t>
      </w:r>
      <w:r>
        <w:rPr>
          <w:spacing w:val="-4"/>
        </w:rPr>
        <w:t xml:space="preserve"> </w:t>
      </w:r>
      <w:r>
        <w:t>and</w:t>
      </w:r>
      <w:r>
        <w:rPr>
          <w:spacing w:val="-4"/>
        </w:rPr>
        <w:t xml:space="preserve"> </w:t>
      </w:r>
      <w:r>
        <w:t>DNV</w:t>
      </w:r>
      <w:r>
        <w:rPr>
          <w:spacing w:val="-4"/>
        </w:rPr>
        <w:t xml:space="preserve"> </w:t>
      </w:r>
      <w:r>
        <w:t>(collectively</w:t>
      </w:r>
      <w:r>
        <w:rPr>
          <w:spacing w:val="-5"/>
        </w:rPr>
        <w:t xml:space="preserve"> </w:t>
      </w:r>
      <w:r>
        <w:t>known</w:t>
      </w:r>
      <w:r>
        <w:rPr>
          <w:spacing w:val="-4"/>
        </w:rPr>
        <w:t xml:space="preserve"> </w:t>
      </w:r>
      <w:r>
        <w:t>as</w:t>
      </w:r>
      <w:r>
        <w:rPr>
          <w:spacing w:val="-4"/>
        </w:rPr>
        <w:t xml:space="preserve"> </w:t>
      </w:r>
      <w:r>
        <w:t>the</w:t>
      </w:r>
      <w:r>
        <w:rPr>
          <w:spacing w:val="-4"/>
        </w:rPr>
        <w:t xml:space="preserve"> </w:t>
      </w:r>
      <w:r>
        <w:t>Guidehouse</w:t>
      </w:r>
      <w:r>
        <w:rPr>
          <w:spacing w:val="-4"/>
        </w:rPr>
        <w:t xml:space="preserve"> </w:t>
      </w:r>
      <w:r>
        <w:t>team), prepared this study (</w:t>
      </w:r>
      <w:r>
        <w:rPr>
          <w:i/>
        </w:rPr>
        <w:t xml:space="preserve">2023 Energy Efficiency Potential and Goals Study </w:t>
      </w:r>
      <w:r>
        <w:t>or</w:t>
      </w:r>
      <w:r>
        <w:rPr>
          <w:spacing w:val="-2"/>
        </w:rPr>
        <w:t xml:space="preserve"> </w:t>
      </w:r>
      <w:r>
        <w:t>2023 Study) for the California Public Utilities Commission (CPUC).</w:t>
      </w:r>
    </w:p>
    <w:p w:rsidR="00C31389" w:rsidRDefault="00C31389" w14:paraId="4EB67844" w14:textId="77777777">
      <w:pPr>
        <w:pStyle w:val="BodyText"/>
        <w:rPr>
          <w:sz w:val="21"/>
        </w:rPr>
      </w:pPr>
    </w:p>
    <w:p w:rsidR="00C31389" w:rsidRDefault="00561FBD" w14:paraId="4930A4DD" w14:textId="77777777">
      <w:pPr>
        <w:pStyle w:val="BodyText"/>
        <w:ind w:left="480" w:right="629"/>
      </w:pPr>
      <w:r>
        <w:t>This study develops estimates of the energy and demand savings and fuel substitution (FS) potenti</w:t>
      </w:r>
      <w:r>
        <w:t>al</w:t>
      </w:r>
      <w:r>
        <w:rPr>
          <w:spacing w:val="-3"/>
        </w:rPr>
        <w:t xml:space="preserve"> </w:t>
      </w:r>
      <w:r>
        <w:t>in</w:t>
      </w:r>
      <w:r>
        <w:rPr>
          <w:spacing w:val="-3"/>
        </w:rPr>
        <w:t xml:space="preserve"> </w:t>
      </w:r>
      <w:r>
        <w:t>the</w:t>
      </w:r>
      <w:r>
        <w:rPr>
          <w:spacing w:val="-3"/>
        </w:rPr>
        <w:t xml:space="preserve"> </w:t>
      </w:r>
      <w:r>
        <w:t>service</w:t>
      </w:r>
      <w:r>
        <w:rPr>
          <w:spacing w:val="-4"/>
        </w:rPr>
        <w:t xml:space="preserve"> </w:t>
      </w:r>
      <w:r>
        <w:t>territories</w:t>
      </w:r>
      <w:r>
        <w:rPr>
          <w:spacing w:val="-3"/>
        </w:rPr>
        <w:t xml:space="preserve"> </w:t>
      </w:r>
      <w:r>
        <w:t>of</w:t>
      </w:r>
      <w:r>
        <w:rPr>
          <w:spacing w:val="-4"/>
        </w:rPr>
        <w:t xml:space="preserve"> </w:t>
      </w:r>
      <w:r>
        <w:t>California’s</w:t>
      </w:r>
      <w:r>
        <w:rPr>
          <w:spacing w:val="-4"/>
        </w:rPr>
        <w:t xml:space="preserve"> </w:t>
      </w:r>
      <w:r>
        <w:t>major</w:t>
      </w:r>
      <w:r>
        <w:rPr>
          <w:spacing w:val="-3"/>
        </w:rPr>
        <w:t xml:space="preserve"> </w:t>
      </w:r>
      <w:r>
        <w:t>investor-owned</w:t>
      </w:r>
      <w:r>
        <w:rPr>
          <w:spacing w:val="-3"/>
        </w:rPr>
        <w:t xml:space="preserve"> </w:t>
      </w:r>
      <w:r>
        <w:t>utilities</w:t>
      </w:r>
      <w:r>
        <w:rPr>
          <w:spacing w:val="-3"/>
        </w:rPr>
        <w:t xml:space="preserve"> </w:t>
      </w:r>
      <w:r>
        <w:t>(IOUs)</w:t>
      </w:r>
      <w:r>
        <w:rPr>
          <w:spacing w:val="-5"/>
        </w:rPr>
        <w:t xml:space="preserve"> </w:t>
      </w:r>
      <w:r>
        <w:t>during</w:t>
      </w:r>
      <w:r>
        <w:rPr>
          <w:spacing w:val="-3"/>
        </w:rPr>
        <w:t xml:space="preserve"> </w:t>
      </w:r>
      <w:r>
        <w:t>the post-2023</w:t>
      </w:r>
      <w:r>
        <w:rPr>
          <w:spacing w:val="-3"/>
        </w:rPr>
        <w:t xml:space="preserve"> </w:t>
      </w:r>
      <w:r>
        <w:t>energy</w:t>
      </w:r>
      <w:r>
        <w:rPr>
          <w:spacing w:val="-3"/>
        </w:rPr>
        <w:t xml:space="preserve"> </w:t>
      </w:r>
      <w:r>
        <w:t>efficiency</w:t>
      </w:r>
      <w:r>
        <w:rPr>
          <w:spacing w:val="-3"/>
        </w:rPr>
        <w:t xml:space="preserve"> </w:t>
      </w:r>
      <w:r>
        <w:t>(EE)</w:t>
      </w:r>
      <w:r>
        <w:rPr>
          <w:spacing w:val="-3"/>
        </w:rPr>
        <w:t xml:space="preserve"> </w:t>
      </w:r>
      <w:r>
        <w:t>rolling</w:t>
      </w:r>
      <w:r>
        <w:rPr>
          <w:spacing w:val="-3"/>
        </w:rPr>
        <w:t xml:space="preserve"> </w:t>
      </w:r>
      <w:r>
        <w:t>portfolio</w:t>
      </w:r>
      <w:r>
        <w:rPr>
          <w:spacing w:val="-4"/>
        </w:rPr>
        <w:t xml:space="preserve"> </w:t>
      </w:r>
      <w:r>
        <w:t>planning</w:t>
      </w:r>
      <w:r>
        <w:rPr>
          <w:spacing w:val="-3"/>
        </w:rPr>
        <w:t xml:space="preserve"> </w:t>
      </w:r>
      <w:r>
        <w:t>cycle.</w:t>
      </w:r>
      <w:r>
        <w:rPr>
          <w:spacing w:val="-3"/>
        </w:rPr>
        <w:t xml:space="preserve"> </w:t>
      </w:r>
      <w:r>
        <w:t>This</w:t>
      </w:r>
      <w:r>
        <w:rPr>
          <w:spacing w:val="-3"/>
        </w:rPr>
        <w:t xml:space="preserve"> </w:t>
      </w:r>
      <w:r>
        <w:t>report</w:t>
      </w:r>
      <w:r>
        <w:rPr>
          <w:spacing w:val="-3"/>
        </w:rPr>
        <w:t xml:space="preserve"> </w:t>
      </w:r>
      <w:r>
        <w:t>includes</w:t>
      </w:r>
      <w:r>
        <w:rPr>
          <w:spacing w:val="-4"/>
        </w:rPr>
        <w:t xml:space="preserve"> </w:t>
      </w:r>
      <w:r>
        <w:t>results</w:t>
      </w:r>
      <w:r>
        <w:rPr>
          <w:spacing w:val="-3"/>
        </w:rPr>
        <w:t xml:space="preserve"> </w:t>
      </w:r>
      <w:r>
        <w:t>for Pacific Gas and Electric (PG&amp;E), Southern California Edison (</w:t>
      </w:r>
      <w:r>
        <w:t>SCE), San Diego Gas &amp; Electric (SDG&amp;E), and Southern California Gas (SCG). A key component of the study is the Potential and Goals Model (PG Model). This model provides a single platform to conduct robust quantitative scenario analysis to examine the compl</w:t>
      </w:r>
      <w:r>
        <w:t>ex interactions among various inputs and policy drivers for the full EE portfolio.</w:t>
      </w:r>
    </w:p>
    <w:p w:rsidR="00C31389" w:rsidRDefault="00C31389" w14:paraId="6A319C28" w14:textId="77777777">
      <w:pPr>
        <w:pStyle w:val="BodyText"/>
        <w:spacing w:before="9"/>
        <w:rPr>
          <w:sz w:val="20"/>
        </w:rPr>
      </w:pPr>
    </w:p>
    <w:p w:rsidR="00C31389" w:rsidRDefault="00561FBD" w14:paraId="0C409DA0" w14:textId="77777777">
      <w:pPr>
        <w:pStyle w:val="Heading2"/>
        <w:ind w:left="480" w:firstLine="0"/>
      </w:pPr>
      <w:bookmarkStart w:name="Background_and_Approach" w:id="2"/>
      <w:bookmarkStart w:name="_bookmark1" w:id="3"/>
      <w:bookmarkEnd w:id="2"/>
      <w:bookmarkEnd w:id="3"/>
      <w:r>
        <w:t>Background</w:t>
      </w:r>
      <w:r>
        <w:rPr>
          <w:spacing w:val="-14"/>
        </w:rPr>
        <w:t xml:space="preserve"> </w:t>
      </w:r>
      <w:r>
        <w:t>and</w:t>
      </w:r>
      <w:r>
        <w:rPr>
          <w:spacing w:val="-13"/>
        </w:rPr>
        <w:t xml:space="preserve"> </w:t>
      </w:r>
      <w:r>
        <w:rPr>
          <w:spacing w:val="-2"/>
        </w:rPr>
        <w:t>Approach</w:t>
      </w:r>
    </w:p>
    <w:p w:rsidR="00C31389" w:rsidRDefault="00561FBD" w14:paraId="25EBB69A" w14:textId="77777777">
      <w:pPr>
        <w:pStyle w:val="BodyText"/>
        <w:spacing w:before="241"/>
        <w:ind w:left="479" w:right="533"/>
      </w:pPr>
      <w:r>
        <w:t>The</w:t>
      </w:r>
      <w:r>
        <w:rPr>
          <w:spacing w:val="-3"/>
        </w:rPr>
        <w:t xml:space="preserve"> </w:t>
      </w:r>
      <w:r>
        <w:t>2023</w:t>
      </w:r>
      <w:r>
        <w:rPr>
          <w:spacing w:val="-3"/>
        </w:rPr>
        <w:t xml:space="preserve"> </w:t>
      </w:r>
      <w:r>
        <w:t>Study</w:t>
      </w:r>
      <w:r>
        <w:rPr>
          <w:spacing w:val="-3"/>
        </w:rPr>
        <w:t xml:space="preserve"> </w:t>
      </w:r>
      <w:r>
        <w:t>is</w:t>
      </w:r>
      <w:r>
        <w:rPr>
          <w:spacing w:val="-3"/>
        </w:rPr>
        <w:t xml:space="preserve"> </w:t>
      </w:r>
      <w:r>
        <w:t>an</w:t>
      </w:r>
      <w:r>
        <w:rPr>
          <w:spacing w:val="-3"/>
        </w:rPr>
        <w:t xml:space="preserve"> </w:t>
      </w:r>
      <w:r>
        <w:t>update</w:t>
      </w:r>
      <w:r>
        <w:rPr>
          <w:spacing w:val="-3"/>
        </w:rPr>
        <w:t xml:space="preserve"> </w:t>
      </w:r>
      <w:r>
        <w:t>to</w:t>
      </w:r>
      <w:r>
        <w:rPr>
          <w:spacing w:val="-3"/>
        </w:rPr>
        <w:t xml:space="preserve"> </w:t>
      </w:r>
      <w:r>
        <w:t>the</w:t>
      </w:r>
      <w:r>
        <w:rPr>
          <w:spacing w:val="-3"/>
        </w:rPr>
        <w:t xml:space="preserve"> </w:t>
      </w:r>
      <w:r>
        <w:t>previous</w:t>
      </w:r>
      <w:r>
        <w:rPr>
          <w:spacing w:val="-3"/>
        </w:rPr>
        <w:t xml:space="preserve"> </w:t>
      </w:r>
      <w:r>
        <w:t>potential</w:t>
      </w:r>
      <w:r>
        <w:rPr>
          <w:spacing w:val="-3"/>
        </w:rPr>
        <w:t xml:space="preserve"> </w:t>
      </w:r>
      <w:r>
        <w:t>and</w:t>
      </w:r>
      <w:r>
        <w:rPr>
          <w:spacing w:val="-3"/>
        </w:rPr>
        <w:t xml:space="preserve"> </w:t>
      </w:r>
      <w:r>
        <w:t>goals</w:t>
      </w:r>
      <w:r>
        <w:rPr>
          <w:spacing w:val="-3"/>
        </w:rPr>
        <w:t xml:space="preserve"> </w:t>
      </w:r>
      <w:r>
        <w:t>study</w:t>
      </w:r>
      <w:r>
        <w:rPr>
          <w:spacing w:val="-3"/>
        </w:rPr>
        <w:t xml:space="preserve"> </w:t>
      </w:r>
      <w:r>
        <w:t>completed</w:t>
      </w:r>
      <w:r>
        <w:rPr>
          <w:spacing w:val="-3"/>
        </w:rPr>
        <w:t xml:space="preserve"> </w:t>
      </w:r>
      <w:r>
        <w:t>in</w:t>
      </w:r>
      <w:r>
        <w:rPr>
          <w:spacing w:val="-3"/>
        </w:rPr>
        <w:t xml:space="preserve"> </w:t>
      </w:r>
      <w:r>
        <w:t>2021</w:t>
      </w:r>
      <w:r>
        <w:rPr>
          <w:spacing w:val="-2"/>
        </w:rPr>
        <w:t xml:space="preserve"> </w:t>
      </w:r>
      <w:r>
        <w:t>(2021 Study).</w:t>
      </w:r>
      <w:r>
        <w:rPr>
          <w:spacing w:val="-38"/>
        </w:rPr>
        <w:t xml:space="preserve"> </w:t>
      </w:r>
      <w:hyperlink w:history="1" w:anchor="_bookmark3">
        <w:r>
          <w:rPr>
            <w:position w:val="7"/>
            <w:sz w:val="14"/>
          </w:rPr>
          <w:t>1</w:t>
        </w:r>
      </w:hyperlink>
      <w:r>
        <w:rPr>
          <w:spacing w:val="30"/>
          <w:position w:val="7"/>
          <w:sz w:val="14"/>
        </w:rPr>
        <w:t xml:space="preserve"> </w:t>
      </w:r>
      <w:r>
        <w:t>The 2023 Study reflects the market and policy changes that have taken place in the past 2 years since the 2021 Study was completed. The project kicked off in July 2022 and was followed by stak</w:t>
      </w:r>
      <w:r>
        <w:t>eholder workshops held in the summer for the workplan, fall of 2022 for low income, and December 2022 for scenarios. These workshops helped to shape and guide the direction of the work presented in this report.</w:t>
      </w:r>
    </w:p>
    <w:p w:rsidR="00C31389" w:rsidRDefault="00C31389" w14:paraId="5EC9039E" w14:textId="77777777">
      <w:pPr>
        <w:pStyle w:val="BodyText"/>
        <w:spacing w:before="10"/>
        <w:rPr>
          <w:sz w:val="20"/>
        </w:rPr>
      </w:pPr>
    </w:p>
    <w:p w:rsidR="00C31389" w:rsidRDefault="00561FBD" w14:paraId="609C9DC9" w14:textId="77777777">
      <w:pPr>
        <w:pStyle w:val="Heading4"/>
        <w:spacing w:before="1"/>
        <w:ind w:left="480" w:firstLine="0"/>
      </w:pPr>
      <w:bookmarkStart w:name="_bookmark2" w:id="4"/>
      <w:bookmarkEnd w:id="4"/>
      <w:r>
        <w:t>Study</w:t>
      </w:r>
      <w:r>
        <w:rPr>
          <w:spacing w:val="-3"/>
        </w:rPr>
        <w:t xml:space="preserve"> </w:t>
      </w:r>
      <w:r>
        <w:rPr>
          <w:spacing w:val="-2"/>
        </w:rPr>
        <w:t>Objectives</w:t>
      </w:r>
    </w:p>
    <w:p w:rsidR="00C31389" w:rsidRDefault="00C31389" w14:paraId="735E1C9B" w14:textId="77777777">
      <w:pPr>
        <w:pStyle w:val="BodyText"/>
        <w:spacing w:before="9"/>
        <w:rPr>
          <w:b/>
          <w:sz w:val="20"/>
        </w:rPr>
      </w:pPr>
    </w:p>
    <w:p w:rsidR="00C31389" w:rsidRDefault="00561FBD" w14:paraId="7C7C586C" w14:textId="77777777">
      <w:pPr>
        <w:pStyle w:val="BodyText"/>
        <w:ind w:left="480"/>
      </w:pPr>
      <w:r>
        <w:t>The</w:t>
      </w:r>
      <w:r>
        <w:rPr>
          <w:spacing w:val="-7"/>
        </w:rPr>
        <w:t xml:space="preserve"> </w:t>
      </w:r>
      <w:r>
        <w:t>2023</w:t>
      </w:r>
      <w:r>
        <w:rPr>
          <w:spacing w:val="-7"/>
        </w:rPr>
        <w:t xml:space="preserve"> </w:t>
      </w:r>
      <w:r>
        <w:t>Study</w:t>
      </w:r>
      <w:r>
        <w:rPr>
          <w:spacing w:val="-7"/>
        </w:rPr>
        <w:t xml:space="preserve"> </w:t>
      </w:r>
      <w:r>
        <w:t>supports</w:t>
      </w:r>
      <w:r>
        <w:rPr>
          <w:spacing w:val="-7"/>
        </w:rPr>
        <w:t xml:space="preserve"> </w:t>
      </w:r>
      <w:r>
        <w:t>ma</w:t>
      </w:r>
      <w:r>
        <w:t>ny</w:t>
      </w:r>
      <w:r>
        <w:rPr>
          <w:spacing w:val="-6"/>
        </w:rPr>
        <w:t xml:space="preserve"> </w:t>
      </w:r>
      <w:r>
        <w:t>CPUC</w:t>
      </w:r>
      <w:r>
        <w:rPr>
          <w:spacing w:val="-8"/>
        </w:rPr>
        <w:t xml:space="preserve"> </w:t>
      </w:r>
      <w:r>
        <w:rPr>
          <w:spacing w:val="-2"/>
        </w:rPr>
        <w:t>objectives:</w:t>
      </w:r>
    </w:p>
    <w:p w:rsidR="00C31389" w:rsidRDefault="00561FBD" w14:paraId="495919A6" w14:textId="77777777">
      <w:pPr>
        <w:pStyle w:val="ListParagraph"/>
        <w:numPr>
          <w:ilvl w:val="0"/>
          <w:numId w:val="73"/>
        </w:numPr>
        <w:tabs>
          <w:tab w:val="left" w:pos="1199"/>
        </w:tabs>
        <w:spacing w:before="119"/>
        <w:ind w:left="1199" w:hanging="359"/>
      </w:pPr>
      <w:r>
        <w:t>Informs</w:t>
      </w:r>
      <w:r>
        <w:rPr>
          <w:spacing w:val="-5"/>
        </w:rPr>
        <w:t xml:space="preserve"> </w:t>
      </w:r>
      <w:r>
        <w:t>the</w:t>
      </w:r>
      <w:r>
        <w:rPr>
          <w:spacing w:val="-5"/>
        </w:rPr>
        <w:t xml:space="preserve"> </w:t>
      </w:r>
      <w:r>
        <w:t>CPUC</w:t>
      </w:r>
      <w:r>
        <w:rPr>
          <w:spacing w:val="-6"/>
        </w:rPr>
        <w:t xml:space="preserve"> </w:t>
      </w:r>
      <w:r>
        <w:t>as</w:t>
      </w:r>
      <w:r>
        <w:rPr>
          <w:spacing w:val="-5"/>
        </w:rPr>
        <w:t xml:space="preserve"> </w:t>
      </w:r>
      <w:r>
        <w:t>it</w:t>
      </w:r>
      <w:r>
        <w:rPr>
          <w:spacing w:val="-4"/>
        </w:rPr>
        <w:t xml:space="preserve"> </w:t>
      </w:r>
      <w:r>
        <w:t>proceeds</w:t>
      </w:r>
      <w:r>
        <w:rPr>
          <w:spacing w:val="-5"/>
        </w:rPr>
        <w:t xml:space="preserve"> </w:t>
      </w:r>
      <w:r>
        <w:t>to</w:t>
      </w:r>
      <w:r>
        <w:rPr>
          <w:spacing w:val="-6"/>
        </w:rPr>
        <w:t xml:space="preserve"> </w:t>
      </w:r>
      <w:r>
        <w:t>adopt</w:t>
      </w:r>
      <w:r>
        <w:rPr>
          <w:spacing w:val="-5"/>
        </w:rPr>
        <w:t xml:space="preserve"> </w:t>
      </w:r>
      <w:r>
        <w:t>updated</w:t>
      </w:r>
      <w:r>
        <w:rPr>
          <w:spacing w:val="-5"/>
        </w:rPr>
        <w:t xml:space="preserve"> </w:t>
      </w:r>
      <w:r>
        <w:t>EE</w:t>
      </w:r>
      <w:r>
        <w:rPr>
          <w:spacing w:val="-4"/>
        </w:rPr>
        <w:t xml:space="preserve"> </w:t>
      </w:r>
      <w:r>
        <w:t>and</w:t>
      </w:r>
      <w:r>
        <w:rPr>
          <w:spacing w:val="-4"/>
        </w:rPr>
        <w:t xml:space="preserve"> </w:t>
      </w:r>
      <w:r>
        <w:t>FS</w:t>
      </w:r>
      <w:r>
        <w:rPr>
          <w:spacing w:val="-6"/>
        </w:rPr>
        <w:t xml:space="preserve"> </w:t>
      </w:r>
      <w:r>
        <w:t>goals</w:t>
      </w:r>
      <w:r>
        <w:rPr>
          <w:spacing w:val="-5"/>
        </w:rPr>
        <w:t xml:space="preserve"> </w:t>
      </w:r>
      <w:r>
        <w:t>for</w:t>
      </w:r>
      <w:r>
        <w:rPr>
          <w:spacing w:val="-5"/>
        </w:rPr>
        <w:t xml:space="preserve"> </w:t>
      </w:r>
      <w:r>
        <w:rPr>
          <w:spacing w:val="-4"/>
        </w:rPr>
        <w:t>IOUs</w:t>
      </w:r>
    </w:p>
    <w:p w:rsidR="00C31389" w:rsidRDefault="00561FBD" w14:paraId="7A39DD3A" w14:textId="77777777">
      <w:pPr>
        <w:pStyle w:val="ListParagraph"/>
        <w:numPr>
          <w:ilvl w:val="0"/>
          <w:numId w:val="73"/>
        </w:numPr>
        <w:tabs>
          <w:tab w:val="left" w:pos="1200"/>
        </w:tabs>
        <w:spacing w:before="119"/>
        <w:ind w:right="1622"/>
      </w:pPr>
      <w:r>
        <w:t>Serves</w:t>
      </w:r>
      <w:r>
        <w:rPr>
          <w:spacing w:val="-3"/>
        </w:rPr>
        <w:t xml:space="preserve"> </w:t>
      </w:r>
      <w:r>
        <w:t>as</w:t>
      </w:r>
      <w:r>
        <w:rPr>
          <w:spacing w:val="-3"/>
        </w:rPr>
        <w:t xml:space="preserve"> </w:t>
      </w:r>
      <w:r>
        <w:t>one</w:t>
      </w:r>
      <w:r>
        <w:rPr>
          <w:spacing w:val="-3"/>
        </w:rPr>
        <w:t xml:space="preserve"> </w:t>
      </w:r>
      <w:r>
        <w:t>of</w:t>
      </w:r>
      <w:r>
        <w:rPr>
          <w:spacing w:val="-3"/>
        </w:rPr>
        <w:t xml:space="preserve"> </w:t>
      </w:r>
      <w:r>
        <w:t>several</w:t>
      </w:r>
      <w:r>
        <w:rPr>
          <w:spacing w:val="-3"/>
        </w:rPr>
        <w:t xml:space="preserve"> </w:t>
      </w:r>
      <w:r>
        <w:t>sources</w:t>
      </w:r>
      <w:r>
        <w:rPr>
          <w:spacing w:val="-4"/>
        </w:rPr>
        <w:t xml:space="preserve"> </w:t>
      </w:r>
      <w:r>
        <w:t>of</w:t>
      </w:r>
      <w:r>
        <w:rPr>
          <w:spacing w:val="-4"/>
        </w:rPr>
        <w:t xml:space="preserve"> </w:t>
      </w:r>
      <w:r>
        <w:t>guidance</w:t>
      </w:r>
      <w:r>
        <w:rPr>
          <w:spacing w:val="-3"/>
        </w:rPr>
        <w:t xml:space="preserve"> </w:t>
      </w:r>
      <w:r>
        <w:t>to</w:t>
      </w:r>
      <w:r>
        <w:rPr>
          <w:spacing w:val="-4"/>
        </w:rPr>
        <w:t xml:space="preserve"> </w:t>
      </w:r>
      <w:r>
        <w:t>the</w:t>
      </w:r>
      <w:r>
        <w:rPr>
          <w:spacing w:val="-3"/>
        </w:rPr>
        <w:t xml:space="preserve"> </w:t>
      </w:r>
      <w:r>
        <w:t>IOUs</w:t>
      </w:r>
      <w:r>
        <w:rPr>
          <w:spacing w:val="-3"/>
        </w:rPr>
        <w:t xml:space="preserve"> </w:t>
      </w:r>
      <w:r>
        <w:t>and</w:t>
      </w:r>
      <w:r>
        <w:rPr>
          <w:spacing w:val="-3"/>
        </w:rPr>
        <w:t xml:space="preserve"> </w:t>
      </w:r>
      <w:r>
        <w:t>other</w:t>
      </w:r>
      <w:r>
        <w:rPr>
          <w:spacing w:val="-3"/>
        </w:rPr>
        <w:t xml:space="preserve"> </w:t>
      </w:r>
      <w:r>
        <w:t>program administrators in portfolio planning</w:t>
      </w:r>
    </w:p>
    <w:p w:rsidR="00C31389" w:rsidRDefault="00561FBD" w14:paraId="18E8F7CD" w14:textId="77777777">
      <w:pPr>
        <w:pStyle w:val="ListParagraph"/>
        <w:numPr>
          <w:ilvl w:val="0"/>
          <w:numId w:val="73"/>
        </w:numPr>
        <w:tabs>
          <w:tab w:val="left" w:pos="1199"/>
        </w:tabs>
        <w:spacing w:before="118"/>
        <w:ind w:left="1199"/>
      </w:pPr>
      <w:r>
        <w:t>Informs</w:t>
      </w:r>
      <w:r>
        <w:rPr>
          <w:spacing w:val="-7"/>
        </w:rPr>
        <w:t xml:space="preserve"> </w:t>
      </w:r>
      <w:r>
        <w:t>the</w:t>
      </w:r>
      <w:r>
        <w:rPr>
          <w:spacing w:val="-7"/>
        </w:rPr>
        <w:t xml:space="preserve"> </w:t>
      </w:r>
      <w:r>
        <w:t>budget-setting</w:t>
      </w:r>
      <w:r>
        <w:rPr>
          <w:spacing w:val="-7"/>
        </w:rPr>
        <w:t xml:space="preserve"> </w:t>
      </w:r>
      <w:r>
        <w:t>process</w:t>
      </w:r>
      <w:r>
        <w:rPr>
          <w:spacing w:val="-7"/>
        </w:rPr>
        <w:t xml:space="preserve"> </w:t>
      </w:r>
      <w:r>
        <w:t>for</w:t>
      </w:r>
      <w:r>
        <w:rPr>
          <w:spacing w:val="-6"/>
        </w:rPr>
        <w:t xml:space="preserve"> </w:t>
      </w:r>
      <w:r>
        <w:t>IOU</w:t>
      </w:r>
      <w:r>
        <w:rPr>
          <w:spacing w:val="-8"/>
        </w:rPr>
        <w:t xml:space="preserve"> </w:t>
      </w:r>
      <w:r>
        <w:t>EE</w:t>
      </w:r>
      <w:r>
        <w:rPr>
          <w:spacing w:val="-7"/>
        </w:rPr>
        <w:t xml:space="preserve"> </w:t>
      </w:r>
      <w:r>
        <w:rPr>
          <w:spacing w:val="-2"/>
        </w:rPr>
        <w:t>portfolios</w:t>
      </w:r>
    </w:p>
    <w:p w:rsidR="00C31389" w:rsidRDefault="00561FBD" w14:paraId="3C774585" w14:textId="77777777">
      <w:pPr>
        <w:pStyle w:val="ListParagraph"/>
        <w:numPr>
          <w:ilvl w:val="0"/>
          <w:numId w:val="73"/>
        </w:numPr>
        <w:tabs>
          <w:tab w:val="left" w:pos="1199"/>
        </w:tabs>
        <w:spacing w:before="118"/>
        <w:ind w:left="1199"/>
      </w:pPr>
      <w:r>
        <w:t>Identifies</w:t>
      </w:r>
      <w:r>
        <w:rPr>
          <w:spacing w:val="-6"/>
        </w:rPr>
        <w:t xml:space="preserve"> </w:t>
      </w:r>
      <w:r>
        <w:t>new</w:t>
      </w:r>
      <w:r>
        <w:rPr>
          <w:spacing w:val="-6"/>
        </w:rPr>
        <w:t xml:space="preserve"> </w:t>
      </w:r>
      <w:r>
        <w:t>EE</w:t>
      </w:r>
      <w:r>
        <w:rPr>
          <w:spacing w:val="-5"/>
        </w:rPr>
        <w:t xml:space="preserve"> </w:t>
      </w:r>
      <w:r>
        <w:t>savings</w:t>
      </w:r>
      <w:r>
        <w:rPr>
          <w:spacing w:val="-6"/>
        </w:rPr>
        <w:t xml:space="preserve"> </w:t>
      </w:r>
      <w:r>
        <w:t>and</w:t>
      </w:r>
      <w:r>
        <w:rPr>
          <w:spacing w:val="-5"/>
        </w:rPr>
        <w:t xml:space="preserve"> </w:t>
      </w:r>
      <w:r>
        <w:t>FS</w:t>
      </w:r>
      <w:r>
        <w:rPr>
          <w:spacing w:val="-5"/>
        </w:rPr>
        <w:t xml:space="preserve"> </w:t>
      </w:r>
      <w:r>
        <w:rPr>
          <w:spacing w:val="-2"/>
        </w:rPr>
        <w:t>opportunities</w:t>
      </w:r>
    </w:p>
    <w:p w:rsidR="00C31389" w:rsidRDefault="00561FBD" w14:paraId="46B2D52F" w14:textId="77777777">
      <w:pPr>
        <w:pStyle w:val="ListParagraph"/>
        <w:numPr>
          <w:ilvl w:val="0"/>
          <w:numId w:val="73"/>
        </w:numPr>
        <w:tabs>
          <w:tab w:val="left" w:pos="1199"/>
        </w:tabs>
        <w:spacing w:before="119"/>
        <w:ind w:left="1199" w:right="1537"/>
      </w:pPr>
      <w:r>
        <w:t>Provides</w:t>
      </w:r>
      <w:r>
        <w:rPr>
          <w:spacing w:val="-4"/>
        </w:rPr>
        <w:t xml:space="preserve"> </w:t>
      </w:r>
      <w:r>
        <w:t>forecasting</w:t>
      </w:r>
      <w:r>
        <w:rPr>
          <w:spacing w:val="-5"/>
        </w:rPr>
        <w:t xml:space="preserve"> </w:t>
      </w:r>
      <w:r>
        <w:t>inputs</w:t>
      </w:r>
      <w:r>
        <w:rPr>
          <w:spacing w:val="-4"/>
        </w:rPr>
        <w:t xml:space="preserve"> </w:t>
      </w:r>
      <w:r>
        <w:t>to</w:t>
      </w:r>
      <w:r>
        <w:rPr>
          <w:spacing w:val="-4"/>
        </w:rPr>
        <w:t xml:space="preserve"> </w:t>
      </w:r>
      <w:r>
        <w:t>support</w:t>
      </w:r>
      <w:r>
        <w:rPr>
          <w:spacing w:val="-4"/>
        </w:rPr>
        <w:t xml:space="preserve"> </w:t>
      </w:r>
      <w:r>
        <w:t>the</w:t>
      </w:r>
      <w:r>
        <w:rPr>
          <w:spacing w:val="-4"/>
        </w:rPr>
        <w:t xml:space="preserve"> </w:t>
      </w:r>
      <w:r>
        <w:t>procurement</w:t>
      </w:r>
      <w:r>
        <w:rPr>
          <w:spacing w:val="-4"/>
        </w:rPr>
        <w:t xml:space="preserve"> </w:t>
      </w:r>
      <w:r>
        <w:t>and</w:t>
      </w:r>
      <w:r>
        <w:rPr>
          <w:spacing w:val="-4"/>
        </w:rPr>
        <w:t xml:space="preserve"> </w:t>
      </w:r>
      <w:r>
        <w:t>planning</w:t>
      </w:r>
      <w:r>
        <w:rPr>
          <w:spacing w:val="-4"/>
        </w:rPr>
        <w:t xml:space="preserve"> </w:t>
      </w:r>
      <w:r>
        <w:t>efforts</w:t>
      </w:r>
      <w:r>
        <w:rPr>
          <w:spacing w:val="-4"/>
        </w:rPr>
        <w:t xml:space="preserve"> </w:t>
      </w:r>
      <w:r>
        <w:t xml:space="preserve">of California’s principal energy agencies including the CPUC, California Energy Commission (CEC), and California </w:t>
      </w:r>
      <w:r>
        <w:t>Independent System Operator (CAISO)</w:t>
      </w:r>
    </w:p>
    <w:p w:rsidR="00C31389" w:rsidRDefault="00561FBD" w14:paraId="55A94C0E" w14:textId="77777777">
      <w:pPr>
        <w:pStyle w:val="ListParagraph"/>
        <w:numPr>
          <w:ilvl w:val="0"/>
          <w:numId w:val="73"/>
        </w:numPr>
        <w:tabs>
          <w:tab w:val="left" w:pos="1199"/>
        </w:tabs>
        <w:spacing w:before="118"/>
        <w:ind w:left="1199" w:right="509"/>
      </w:pPr>
      <w:r>
        <w:t>Provides</w:t>
      </w:r>
      <w:r>
        <w:rPr>
          <w:spacing w:val="-4"/>
        </w:rPr>
        <w:t xml:space="preserve"> </w:t>
      </w:r>
      <w:r>
        <w:t>forecasting</w:t>
      </w:r>
      <w:r>
        <w:rPr>
          <w:spacing w:val="-5"/>
        </w:rPr>
        <w:t xml:space="preserve"> </w:t>
      </w:r>
      <w:r>
        <w:t>inputs</w:t>
      </w:r>
      <w:r>
        <w:rPr>
          <w:spacing w:val="-4"/>
        </w:rPr>
        <w:t xml:space="preserve"> </w:t>
      </w:r>
      <w:r>
        <w:t>to</w:t>
      </w:r>
      <w:r>
        <w:rPr>
          <w:spacing w:val="-4"/>
        </w:rPr>
        <w:t xml:space="preserve"> </w:t>
      </w:r>
      <w:r>
        <w:t>support</w:t>
      </w:r>
      <w:r>
        <w:rPr>
          <w:spacing w:val="-4"/>
        </w:rPr>
        <w:t xml:space="preserve"> </w:t>
      </w:r>
      <w:r>
        <w:t>the</w:t>
      </w:r>
      <w:r>
        <w:rPr>
          <w:spacing w:val="-4"/>
        </w:rPr>
        <w:t xml:space="preserve"> </w:t>
      </w:r>
      <w:r>
        <w:t>analysis</w:t>
      </w:r>
      <w:r>
        <w:rPr>
          <w:spacing w:val="-4"/>
        </w:rPr>
        <w:t xml:space="preserve"> </w:t>
      </w:r>
      <w:r>
        <w:t>and</w:t>
      </w:r>
      <w:r>
        <w:rPr>
          <w:spacing w:val="-4"/>
        </w:rPr>
        <w:t xml:space="preserve"> </w:t>
      </w:r>
      <w:r>
        <w:t>accounting</w:t>
      </w:r>
      <w:r>
        <w:rPr>
          <w:spacing w:val="-4"/>
        </w:rPr>
        <w:t xml:space="preserve"> </w:t>
      </w:r>
      <w:r>
        <w:t>of</w:t>
      </w:r>
      <w:r>
        <w:rPr>
          <w:spacing w:val="-4"/>
        </w:rPr>
        <w:t xml:space="preserve"> </w:t>
      </w:r>
      <w:r>
        <w:t>EE</w:t>
      </w:r>
      <w:r>
        <w:rPr>
          <w:spacing w:val="-4"/>
        </w:rPr>
        <w:t xml:space="preserve"> </w:t>
      </w:r>
      <w:r>
        <w:t>contributions</w:t>
      </w:r>
      <w:r>
        <w:rPr>
          <w:spacing w:val="-4"/>
        </w:rPr>
        <w:t xml:space="preserve"> </w:t>
      </w:r>
      <w:r>
        <w:t>to Senate Bill (SB) 350 targets:</w:t>
      </w:r>
      <w:r>
        <w:rPr>
          <w:spacing w:val="-38"/>
        </w:rPr>
        <w:t xml:space="preserve"> </w:t>
      </w:r>
      <w:hyperlink w:history="1" w:anchor="_bookmark4">
        <w:r>
          <w:rPr>
            <w:position w:val="7"/>
            <w:sz w:val="14"/>
          </w:rPr>
          <w:t>2</w:t>
        </w:r>
      </w:hyperlink>
      <w:r>
        <w:rPr>
          <w:spacing w:val="33"/>
          <w:position w:val="7"/>
          <w:sz w:val="14"/>
        </w:rPr>
        <w:t xml:space="preserve"> </w:t>
      </w:r>
      <w:r>
        <w:t>SB 350 targets doubling EE by 2030</w:t>
      </w:r>
    </w:p>
    <w:p w:rsidR="00C31389" w:rsidRDefault="00561FBD" w14:paraId="5AD7A913" w14:textId="77777777">
      <w:pPr>
        <w:pStyle w:val="BodyText"/>
        <w:spacing w:before="118"/>
        <w:ind w:left="480" w:right="533"/>
      </w:pPr>
      <w:r>
        <w:t>The</w:t>
      </w:r>
      <w:r>
        <w:rPr>
          <w:spacing w:val="-3"/>
        </w:rPr>
        <w:t xml:space="preserve"> </w:t>
      </w:r>
      <w:r>
        <w:t>2023</w:t>
      </w:r>
      <w:r>
        <w:rPr>
          <w:spacing w:val="-3"/>
        </w:rPr>
        <w:t xml:space="preserve"> </w:t>
      </w:r>
      <w:r>
        <w:t>Study</w:t>
      </w:r>
      <w:r>
        <w:rPr>
          <w:spacing w:val="-3"/>
        </w:rPr>
        <w:t xml:space="preserve"> </w:t>
      </w:r>
      <w:r>
        <w:t>forecast</w:t>
      </w:r>
      <w:r>
        <w:rPr>
          <w:spacing w:val="-4"/>
        </w:rPr>
        <w:t xml:space="preserve"> </w:t>
      </w:r>
      <w:r>
        <w:t>period</w:t>
      </w:r>
      <w:r>
        <w:rPr>
          <w:spacing w:val="-3"/>
        </w:rPr>
        <w:t xml:space="preserve"> </w:t>
      </w:r>
      <w:r>
        <w:t>spans</w:t>
      </w:r>
      <w:r>
        <w:rPr>
          <w:spacing w:val="-3"/>
        </w:rPr>
        <w:t xml:space="preserve"> </w:t>
      </w:r>
      <w:r>
        <w:t>from</w:t>
      </w:r>
      <w:r>
        <w:rPr>
          <w:spacing w:val="-4"/>
        </w:rPr>
        <w:t xml:space="preserve"> </w:t>
      </w:r>
      <w:r>
        <w:t>2024</w:t>
      </w:r>
      <w:r>
        <w:rPr>
          <w:spacing w:val="-3"/>
        </w:rPr>
        <w:t xml:space="preserve"> </w:t>
      </w:r>
      <w:r>
        <w:t>to</w:t>
      </w:r>
      <w:r>
        <w:rPr>
          <w:spacing w:val="-3"/>
        </w:rPr>
        <w:t xml:space="preserve"> </w:t>
      </w:r>
      <w:r>
        <w:t>2035</w:t>
      </w:r>
      <w:r>
        <w:rPr>
          <w:spacing w:val="-3"/>
        </w:rPr>
        <w:t xml:space="preserve"> </w:t>
      </w:r>
      <w:r>
        <w:t>and</w:t>
      </w:r>
      <w:r>
        <w:rPr>
          <w:spacing w:val="-4"/>
        </w:rPr>
        <w:t xml:space="preserve"> </w:t>
      </w:r>
      <w:r>
        <w:t>focuses</w:t>
      </w:r>
      <w:r>
        <w:rPr>
          <w:spacing w:val="-3"/>
        </w:rPr>
        <w:t xml:space="preserve"> </w:t>
      </w:r>
      <w:r>
        <w:t>on</w:t>
      </w:r>
      <w:r>
        <w:rPr>
          <w:spacing w:val="-4"/>
        </w:rPr>
        <w:t xml:space="preserve"> </w:t>
      </w:r>
      <w:r>
        <w:t>current</w:t>
      </w:r>
      <w:r>
        <w:rPr>
          <w:spacing w:val="-3"/>
        </w:rPr>
        <w:t xml:space="preserve"> </w:t>
      </w:r>
      <w:r>
        <w:t>and</w:t>
      </w:r>
      <w:r>
        <w:rPr>
          <w:spacing w:val="-4"/>
        </w:rPr>
        <w:t xml:space="preserve"> </w:t>
      </w:r>
      <w:r>
        <w:t>potential drivers of energy savings in IOU service areas.</w:t>
      </w:r>
    </w:p>
    <w:p w:rsidR="00C31389" w:rsidRDefault="00C31389" w14:paraId="1E7E1EA3" w14:textId="77777777">
      <w:pPr>
        <w:pStyle w:val="BodyText"/>
        <w:rPr>
          <w:sz w:val="20"/>
        </w:rPr>
      </w:pPr>
    </w:p>
    <w:p w:rsidR="00C31389" w:rsidRDefault="00C31389" w14:paraId="676A19CC" w14:textId="77777777">
      <w:pPr>
        <w:pStyle w:val="BodyText"/>
        <w:rPr>
          <w:sz w:val="20"/>
        </w:rPr>
      </w:pPr>
    </w:p>
    <w:p w:rsidR="00C31389" w:rsidRDefault="00561FBD" w14:paraId="6C6C84FE" w14:textId="77777777">
      <w:pPr>
        <w:pStyle w:val="BodyText"/>
        <w:spacing w:before="9"/>
        <w:rPr>
          <w:sz w:val="19"/>
        </w:rPr>
      </w:pPr>
      <w:r>
        <w:rPr>
          <w:noProof/>
        </w:rPr>
        <mc:AlternateContent>
          <mc:Choice Requires="wps">
            <w:drawing>
              <wp:anchor distT="0" distB="0" distL="0" distR="0" simplePos="0" relativeHeight="487591424" behindDoc="1" locked="0" layoutInCell="1" allowOverlap="1" wp14:editId="1756BDAE" wp14:anchorId="266F4FD7">
                <wp:simplePos x="0" y="0"/>
                <wp:positionH relativeFrom="page">
                  <wp:posOffset>914400</wp:posOffset>
                </wp:positionH>
                <wp:positionV relativeFrom="paragraph">
                  <wp:posOffset>159970</wp:posOffset>
                </wp:positionV>
                <wp:extent cx="1828800" cy="698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4" style="position:absolute;margin-left:1in;margin-top:12.6pt;width:2in;height:.5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" w14:anchorId="5720C5A4">
                <v:path arrowok="t"/>
                <w10:wrap type="topAndBottom" anchorx="page"/>
              </v:shape>
            </w:pict>
          </mc:Fallback>
        </mc:AlternateContent>
      </w:r>
    </w:p>
    <w:p w:rsidR="00C31389" w:rsidRDefault="00561FBD" w14:paraId="1A36F4F8" w14:textId="77777777">
      <w:pPr>
        <w:spacing w:before="89"/>
        <w:ind w:left="480"/>
        <w:rPr>
          <w:sz w:val="18"/>
        </w:rPr>
      </w:pPr>
      <w:bookmarkStart w:name="_bookmark3" w:id="5"/>
      <w:bookmarkEnd w:id="5"/>
      <w:r>
        <w:rPr>
          <w:position w:val="6"/>
          <w:sz w:val="12"/>
        </w:rPr>
        <w:t>1</w:t>
      </w:r>
      <w:r>
        <w:rPr>
          <w:spacing w:val="12"/>
          <w:position w:val="6"/>
          <w:sz w:val="12"/>
        </w:rPr>
        <w:t xml:space="preserve"> </w:t>
      </w:r>
      <w:r>
        <w:rPr>
          <w:sz w:val="18"/>
        </w:rPr>
        <w:t>Guidehouse,</w:t>
      </w:r>
      <w:r>
        <w:rPr>
          <w:spacing w:val="-2"/>
          <w:sz w:val="18"/>
        </w:rPr>
        <w:t xml:space="preserve"> </w:t>
      </w:r>
      <w:hyperlink r:id="rId24">
        <w:r>
          <w:rPr>
            <w:i/>
            <w:color w:val="68942C"/>
            <w:sz w:val="18"/>
            <w:u w:val="single" w:color="68942C"/>
          </w:rPr>
          <w:t>2021</w:t>
        </w:r>
        <w:r>
          <w:rPr>
            <w:i/>
            <w:color w:val="68942C"/>
            <w:spacing w:val="-3"/>
            <w:sz w:val="18"/>
            <w:u w:val="single" w:color="68942C"/>
          </w:rPr>
          <w:t xml:space="preserve"> </w:t>
        </w:r>
        <w:r>
          <w:rPr>
            <w:i/>
            <w:color w:val="68942C"/>
            <w:sz w:val="18"/>
            <w:u w:val="single" w:color="68942C"/>
          </w:rPr>
          <w:t>Energy</w:t>
        </w:r>
        <w:r>
          <w:rPr>
            <w:i/>
            <w:color w:val="68942C"/>
            <w:spacing w:val="-3"/>
            <w:sz w:val="18"/>
            <w:u w:val="single" w:color="68942C"/>
          </w:rPr>
          <w:t xml:space="preserve"> </w:t>
        </w:r>
        <w:r>
          <w:rPr>
            <w:i/>
            <w:color w:val="68942C"/>
            <w:sz w:val="18"/>
            <w:u w:val="single" w:color="68942C"/>
          </w:rPr>
          <w:t>Efficiency</w:t>
        </w:r>
        <w:r>
          <w:rPr>
            <w:i/>
            <w:color w:val="68942C"/>
            <w:spacing w:val="-3"/>
            <w:sz w:val="18"/>
            <w:u w:val="single" w:color="68942C"/>
          </w:rPr>
          <w:t xml:space="preserve"> </w:t>
        </w:r>
        <w:r>
          <w:rPr>
            <w:i/>
            <w:color w:val="68942C"/>
            <w:sz w:val="18"/>
            <w:u w:val="single" w:color="68942C"/>
          </w:rPr>
          <w:t>Potential</w:t>
        </w:r>
        <w:r>
          <w:rPr>
            <w:i/>
            <w:color w:val="68942C"/>
            <w:spacing w:val="-3"/>
            <w:sz w:val="18"/>
            <w:u w:val="single" w:color="68942C"/>
          </w:rPr>
          <w:t xml:space="preserve"> </w:t>
        </w:r>
        <w:r>
          <w:rPr>
            <w:i/>
            <w:color w:val="68942C"/>
            <w:sz w:val="18"/>
            <w:u w:val="single" w:color="68942C"/>
          </w:rPr>
          <w:t>and</w:t>
        </w:r>
        <w:r>
          <w:rPr>
            <w:i/>
            <w:color w:val="68942C"/>
            <w:spacing w:val="-4"/>
            <w:sz w:val="18"/>
            <w:u w:val="single" w:color="68942C"/>
          </w:rPr>
          <w:t xml:space="preserve"> </w:t>
        </w:r>
        <w:r>
          <w:rPr>
            <w:i/>
            <w:color w:val="68942C"/>
            <w:sz w:val="18"/>
            <w:u w:val="single" w:color="68942C"/>
          </w:rPr>
          <w:t>Goals</w:t>
        </w:r>
        <w:r>
          <w:rPr>
            <w:i/>
            <w:color w:val="68942C"/>
            <w:spacing w:val="-3"/>
            <w:sz w:val="18"/>
            <w:u w:val="single" w:color="68942C"/>
          </w:rPr>
          <w:t xml:space="preserve"> </w:t>
        </w:r>
        <w:r>
          <w:rPr>
            <w:i/>
            <w:color w:val="68942C"/>
            <w:sz w:val="18"/>
            <w:u w:val="single" w:color="68942C"/>
          </w:rPr>
          <w:t>Study</w:t>
        </w:r>
        <w:r>
          <w:rPr>
            <w:sz w:val="18"/>
          </w:rPr>
          <w:t>,</w:t>
        </w:r>
      </w:hyperlink>
      <w:r>
        <w:rPr>
          <w:spacing w:val="-3"/>
          <w:sz w:val="18"/>
        </w:rPr>
        <w:t xml:space="preserve"> </w:t>
      </w:r>
      <w:r>
        <w:rPr>
          <w:sz w:val="18"/>
        </w:rPr>
        <w:t>August</w:t>
      </w:r>
      <w:r>
        <w:rPr>
          <w:spacing w:val="-2"/>
          <w:sz w:val="18"/>
        </w:rPr>
        <w:t xml:space="preserve"> 2021.</w:t>
      </w:r>
    </w:p>
    <w:p w:rsidR="00C31389" w:rsidRDefault="00561FBD" w14:paraId="496088C3" w14:textId="77777777">
      <w:pPr>
        <w:spacing w:before="36"/>
        <w:ind w:left="480"/>
        <w:rPr>
          <w:sz w:val="18"/>
        </w:rPr>
      </w:pPr>
      <w:bookmarkStart w:name="_bookmark4" w:id="6"/>
      <w:bookmarkEnd w:id="6"/>
      <w:r>
        <w:rPr>
          <w:position w:val="6"/>
          <w:sz w:val="12"/>
        </w:rPr>
        <w:t>2</w:t>
      </w:r>
      <w:r>
        <w:rPr>
          <w:spacing w:val="17"/>
          <w:position w:val="6"/>
          <w:sz w:val="12"/>
        </w:rPr>
        <w:t xml:space="preserve"> </w:t>
      </w:r>
      <w:hyperlink r:id="rId25">
        <w:r>
          <w:rPr>
            <w:color w:val="68942C"/>
            <w:spacing w:val="-2"/>
            <w:sz w:val="18"/>
            <w:u w:val="single" w:color="68942C"/>
          </w:rPr>
          <w:t>https://leginfo.legislature.ca.gov/faces/billTextClient.xhtml?bill_id=201520160SB350</w:t>
        </w:r>
      </w:hyperlink>
    </w:p>
    <w:p w:rsidR="00C31389" w:rsidRDefault="00C31389" w14:paraId="176B834C" w14:textId="77777777">
      <w:pPr>
        <w:rPr>
          <w:sz w:val="18"/>
        </w:rPr>
        <w:sectPr w:rsidR="00C31389">
          <w:headerReference w:type="default" r:id="rId26"/>
          <w:footerReference w:type="default" r:id="rId27"/>
          <w:pgSz w:w="12240" w:h="15840"/>
          <w:pgMar w:top="1380" w:right="960" w:bottom="1120" w:left="960" w:header="397" w:footer="936" w:gutter="0"/>
          <w:cols w:space="720"/>
        </w:sectPr>
      </w:pPr>
    </w:p>
    <w:p w:rsidR="00C31389" w:rsidRDefault="00C31389" w14:paraId="1298C803" w14:textId="77777777">
      <w:pPr>
        <w:pStyle w:val="BodyText"/>
        <w:spacing w:before="11"/>
        <w:rPr>
          <w:sz w:val="13"/>
        </w:rPr>
      </w:pPr>
    </w:p>
    <w:p w:rsidR="00C31389" w:rsidRDefault="00561FBD" w14:paraId="0A3DE6EC" w14:textId="77777777">
      <w:pPr>
        <w:pStyle w:val="BodyText"/>
        <w:spacing w:before="92"/>
        <w:ind w:left="479" w:right="485"/>
      </w:pPr>
      <w:r>
        <w:t>Consistent</w:t>
      </w:r>
      <w:r>
        <w:rPr>
          <w:spacing w:val="-4"/>
        </w:rPr>
        <w:t xml:space="preserve"> </w:t>
      </w:r>
      <w:r>
        <w:t>with</w:t>
      </w:r>
      <w:r>
        <w:rPr>
          <w:spacing w:val="-3"/>
        </w:rPr>
        <w:t xml:space="preserve"> </w:t>
      </w:r>
      <w:r>
        <w:t>previous</w:t>
      </w:r>
      <w:r>
        <w:rPr>
          <w:spacing w:val="-3"/>
        </w:rPr>
        <w:t xml:space="preserve"> </w:t>
      </w:r>
      <w:r>
        <w:t>CPUC</w:t>
      </w:r>
      <w:r>
        <w:rPr>
          <w:spacing w:val="-4"/>
        </w:rPr>
        <w:t xml:space="preserve"> </w:t>
      </w:r>
      <w:r>
        <w:t>potential</w:t>
      </w:r>
      <w:r>
        <w:rPr>
          <w:spacing w:val="-3"/>
        </w:rPr>
        <w:t xml:space="preserve"> </w:t>
      </w:r>
      <w:r>
        <w:t>studies</w:t>
      </w:r>
      <w:r>
        <w:rPr>
          <w:spacing w:val="-3"/>
        </w:rPr>
        <w:t xml:space="preserve"> </w:t>
      </w:r>
      <w:r>
        <w:t>and</w:t>
      </w:r>
      <w:r>
        <w:rPr>
          <w:spacing w:val="-3"/>
        </w:rPr>
        <w:t xml:space="preserve"> </w:t>
      </w:r>
      <w:r>
        <w:t>common</w:t>
      </w:r>
      <w:r>
        <w:rPr>
          <w:spacing w:val="-3"/>
        </w:rPr>
        <w:t xml:space="preserve"> </w:t>
      </w:r>
      <w:r>
        <w:t>industry</w:t>
      </w:r>
      <w:r>
        <w:rPr>
          <w:spacing w:val="-4"/>
        </w:rPr>
        <w:t xml:space="preserve"> </w:t>
      </w:r>
      <w:r>
        <w:t>practice,</w:t>
      </w:r>
      <w:r>
        <w:rPr>
          <w:spacing w:val="-3"/>
        </w:rPr>
        <w:t xml:space="preserve"> </w:t>
      </w:r>
      <w:r>
        <w:t>the</w:t>
      </w:r>
      <w:r>
        <w:rPr>
          <w:spacing w:val="-4"/>
        </w:rPr>
        <w:t xml:space="preserve"> </w:t>
      </w:r>
      <w:r>
        <w:t>2023</w:t>
      </w:r>
      <w:r>
        <w:rPr>
          <w:spacing w:val="-2"/>
        </w:rPr>
        <w:t xml:space="preserve"> </w:t>
      </w:r>
      <w:r>
        <w:t xml:space="preserve">Study final </w:t>
      </w:r>
      <w:r>
        <w:t>output is an achievable potential analysis. Achievable potential is a calculation of EE savings based on specific incentive levels, program delivery methods, assumptions about existing CPUC policies, market influences, and barriers. Achievable potential ha</w:t>
      </w:r>
      <w:r>
        <w:t>s historically been used by the CPUC to inform the goal setting process.</w:t>
      </w:r>
    </w:p>
    <w:p w:rsidR="00C31389" w:rsidRDefault="00561FBD" w14:paraId="03D09852" w14:textId="77777777">
      <w:pPr>
        <w:pStyle w:val="BodyText"/>
        <w:spacing w:before="120"/>
        <w:ind w:left="479" w:right="485"/>
      </w:pPr>
      <w:r>
        <w:t xml:space="preserve">This 2023 Study forecasts the potential energy savings from various EE programs as well as codes and standards (C&amp;S) advocacy efforts for the following customer sectors: residential, </w:t>
      </w:r>
      <w:r>
        <w:t>commercial,</w:t>
      </w:r>
      <w:r>
        <w:rPr>
          <w:spacing w:val="-3"/>
        </w:rPr>
        <w:t xml:space="preserve"> </w:t>
      </w:r>
      <w:r>
        <w:t>agriculture,</w:t>
      </w:r>
      <w:r>
        <w:rPr>
          <w:spacing w:val="-4"/>
        </w:rPr>
        <w:t xml:space="preserve"> </w:t>
      </w:r>
      <w:r>
        <w:t>and</w:t>
      </w:r>
      <w:r>
        <w:rPr>
          <w:spacing w:val="-3"/>
        </w:rPr>
        <w:t xml:space="preserve"> </w:t>
      </w:r>
      <w:r>
        <w:t>industrial.</w:t>
      </w:r>
      <w:r>
        <w:rPr>
          <w:spacing w:val="-3"/>
        </w:rPr>
        <w:t xml:space="preserve"> </w:t>
      </w:r>
      <w:r>
        <w:t>The</w:t>
      </w:r>
      <w:r>
        <w:rPr>
          <w:spacing w:val="-3"/>
        </w:rPr>
        <w:t xml:space="preserve"> </w:t>
      </w:r>
      <w:r>
        <w:t>study</w:t>
      </w:r>
      <w:r>
        <w:rPr>
          <w:spacing w:val="-3"/>
        </w:rPr>
        <w:t xml:space="preserve"> </w:t>
      </w:r>
      <w:r>
        <w:t>does</w:t>
      </w:r>
      <w:r>
        <w:rPr>
          <w:spacing w:val="-3"/>
        </w:rPr>
        <w:t xml:space="preserve"> </w:t>
      </w:r>
      <w:r>
        <w:t>not</w:t>
      </w:r>
      <w:r>
        <w:rPr>
          <w:spacing w:val="-3"/>
        </w:rPr>
        <w:t xml:space="preserve"> </w:t>
      </w:r>
      <w:r>
        <w:t>set</w:t>
      </w:r>
      <w:r>
        <w:rPr>
          <w:spacing w:val="-3"/>
        </w:rPr>
        <w:t xml:space="preserve"> </w:t>
      </w:r>
      <w:r>
        <w:t>IOU</w:t>
      </w:r>
      <w:r>
        <w:rPr>
          <w:spacing w:val="-4"/>
        </w:rPr>
        <w:t xml:space="preserve"> </w:t>
      </w:r>
      <w:r>
        <w:t>goals,</w:t>
      </w:r>
      <w:r>
        <w:rPr>
          <w:spacing w:val="-3"/>
        </w:rPr>
        <w:t xml:space="preserve"> </w:t>
      </w:r>
      <w:r>
        <w:t>nor</w:t>
      </w:r>
      <w:r>
        <w:rPr>
          <w:spacing w:val="-3"/>
        </w:rPr>
        <w:t xml:space="preserve"> </w:t>
      </w:r>
      <w:r>
        <w:t>does</w:t>
      </w:r>
      <w:r>
        <w:rPr>
          <w:spacing w:val="-3"/>
        </w:rPr>
        <w:t xml:space="preserve"> </w:t>
      </w:r>
      <w:r>
        <w:t>it</w:t>
      </w:r>
      <w:r>
        <w:rPr>
          <w:spacing w:val="-4"/>
        </w:rPr>
        <w:t xml:space="preserve"> </w:t>
      </w:r>
      <w:r>
        <w:t>make</w:t>
      </w:r>
      <w:r>
        <w:rPr>
          <w:spacing w:val="-3"/>
        </w:rPr>
        <w:t xml:space="preserve"> </w:t>
      </w:r>
      <w:r>
        <w:t>goal setting recommendations. Rather, it informs the CPUC’s goal setting process.</w:t>
      </w:r>
    </w:p>
    <w:p w:rsidR="00C31389" w:rsidRDefault="00C31389" w14:paraId="7470382F" w14:textId="77777777">
      <w:pPr>
        <w:pStyle w:val="BodyText"/>
        <w:spacing w:before="10"/>
        <w:rPr>
          <w:sz w:val="20"/>
        </w:rPr>
      </w:pPr>
    </w:p>
    <w:p w:rsidR="00C31389" w:rsidRDefault="00561FBD" w14:paraId="10285E56" w14:textId="77777777">
      <w:pPr>
        <w:pStyle w:val="Heading4"/>
        <w:spacing w:before="1"/>
        <w:ind w:left="480" w:firstLine="0"/>
      </w:pPr>
      <w:bookmarkStart w:name="_bookmark5" w:id="7"/>
      <w:bookmarkEnd w:id="7"/>
      <w:r>
        <w:rPr>
          <w:spacing w:val="-2"/>
        </w:rPr>
        <w:t>Scenarios</w:t>
      </w:r>
    </w:p>
    <w:p w:rsidR="00C31389" w:rsidRDefault="00C31389" w14:paraId="77B7B512" w14:textId="77777777">
      <w:pPr>
        <w:pStyle w:val="BodyText"/>
        <w:spacing w:before="9"/>
        <w:rPr>
          <w:b/>
          <w:sz w:val="20"/>
        </w:rPr>
      </w:pPr>
    </w:p>
    <w:p w:rsidR="00C31389" w:rsidRDefault="00561FBD" w14:paraId="5DAA7DB5" w14:textId="77777777">
      <w:pPr>
        <w:pStyle w:val="BodyText"/>
        <w:ind w:left="479" w:right="533"/>
      </w:pPr>
      <w:r>
        <w:t xml:space="preserve">The 2023 Study explores market response and how potential might change based on several alternative scenarios. </w:t>
      </w:r>
      <w:hyperlink w:history="1" w:anchor="_bookmark7">
        <w:r>
          <w:t>Table ES-1</w:t>
        </w:r>
      </w:hyperlink>
      <w:r>
        <w:t xml:space="preserve"> summarizes the various scenarios considered for the 2023 Study.</w:t>
      </w:r>
      <w:r>
        <w:rPr>
          <w:spacing w:val="-3"/>
        </w:rPr>
        <w:t xml:space="preserve"> </w:t>
      </w:r>
      <w:r>
        <w:t>These</w:t>
      </w:r>
      <w:r>
        <w:rPr>
          <w:spacing w:val="-3"/>
        </w:rPr>
        <w:t xml:space="preserve"> </w:t>
      </w:r>
      <w:r>
        <w:t>scenarios</w:t>
      </w:r>
      <w:r>
        <w:rPr>
          <w:spacing w:val="-4"/>
        </w:rPr>
        <w:t xml:space="preserve"> </w:t>
      </w:r>
      <w:r>
        <w:t>are</w:t>
      </w:r>
      <w:r>
        <w:rPr>
          <w:spacing w:val="-3"/>
        </w:rPr>
        <w:t xml:space="preserve"> </w:t>
      </w:r>
      <w:r>
        <w:t>built</w:t>
      </w:r>
      <w:r>
        <w:rPr>
          <w:spacing w:val="-3"/>
        </w:rPr>
        <w:t xml:space="preserve"> </w:t>
      </w:r>
      <w:r>
        <w:t>primarily</w:t>
      </w:r>
      <w:r>
        <w:rPr>
          <w:spacing w:val="-3"/>
        </w:rPr>
        <w:t xml:space="preserve"> </w:t>
      </w:r>
      <w:r>
        <w:t>around</w:t>
      </w:r>
      <w:r>
        <w:rPr>
          <w:spacing w:val="-3"/>
        </w:rPr>
        <w:t xml:space="preserve"> </w:t>
      </w:r>
      <w:r>
        <w:t>policies</w:t>
      </w:r>
      <w:r>
        <w:rPr>
          <w:spacing w:val="-3"/>
        </w:rPr>
        <w:t xml:space="preserve"> </w:t>
      </w:r>
      <w:r>
        <w:t>and</w:t>
      </w:r>
      <w:r>
        <w:rPr>
          <w:spacing w:val="-3"/>
        </w:rPr>
        <w:t xml:space="preserve"> </w:t>
      </w:r>
      <w:r>
        <w:t>program</w:t>
      </w:r>
      <w:r>
        <w:rPr>
          <w:spacing w:val="-4"/>
        </w:rPr>
        <w:t xml:space="preserve"> </w:t>
      </w:r>
      <w:r>
        <w:t>decisions</w:t>
      </w:r>
      <w:r>
        <w:rPr>
          <w:spacing w:val="-3"/>
        </w:rPr>
        <w:t xml:space="preserve"> </w:t>
      </w:r>
      <w:r>
        <w:t>that</w:t>
      </w:r>
      <w:r>
        <w:rPr>
          <w:spacing w:val="-4"/>
        </w:rPr>
        <w:t xml:space="preserve"> </w:t>
      </w:r>
      <w:r>
        <w:t>are</w:t>
      </w:r>
      <w:r>
        <w:rPr>
          <w:spacing w:val="-3"/>
        </w:rPr>
        <w:t xml:space="preserve"> </w:t>
      </w:r>
      <w:r>
        <w:t>within the sphere of influence of the CPUC and its stakeholders collectively. The scenario variation focused on assumptions for the Inflation Reduction Act (IRA) Tax Credit</w:t>
      </w:r>
      <w:r>
        <w:rPr>
          <w:spacing w:val="-38"/>
        </w:rPr>
        <w:t xml:space="preserve"> </w:t>
      </w:r>
      <w:hyperlink w:history="1" w:anchor="_bookmark6">
        <w:r>
          <w:rPr>
            <w:position w:val="7"/>
            <w:sz w:val="14"/>
          </w:rPr>
          <w:t>3</w:t>
        </w:r>
      </w:hyperlink>
      <w:r>
        <w:t>, FS adoption parameters, and program incentive levels. Each of the four scenarios used the total resource cost (TRC) test as the basis for cost-effectiveness determination:</w:t>
      </w:r>
    </w:p>
    <w:p w:rsidR="00C31389" w:rsidRDefault="00C31389" w14:paraId="70A5607E" w14:textId="77777777">
      <w:pPr>
        <w:pStyle w:val="BodyText"/>
        <w:spacing w:before="10"/>
        <w:rPr>
          <w:sz w:val="20"/>
        </w:rPr>
      </w:pPr>
    </w:p>
    <w:p w:rsidR="00C31389" w:rsidRDefault="00561FBD" w14:paraId="1373B684" w14:textId="77777777">
      <w:pPr>
        <w:pStyle w:val="ListParagraph"/>
        <w:numPr>
          <w:ilvl w:val="0"/>
          <w:numId w:val="73"/>
        </w:numPr>
        <w:tabs>
          <w:tab w:val="left" w:pos="1200"/>
        </w:tabs>
        <w:ind w:right="533" w:hanging="361"/>
      </w:pPr>
      <w:r>
        <w:t>Scenario</w:t>
      </w:r>
      <w:r>
        <w:rPr>
          <w:spacing w:val="-3"/>
        </w:rPr>
        <w:t xml:space="preserve"> </w:t>
      </w:r>
      <w:r>
        <w:t>1:</w:t>
      </w:r>
      <w:r>
        <w:rPr>
          <w:spacing w:val="-4"/>
        </w:rPr>
        <w:t xml:space="preserve"> </w:t>
      </w:r>
      <w:r>
        <w:t>No</w:t>
      </w:r>
      <w:r>
        <w:rPr>
          <w:spacing w:val="-3"/>
        </w:rPr>
        <w:t xml:space="preserve"> </w:t>
      </w:r>
      <w:r>
        <w:t>IRA</w:t>
      </w:r>
      <w:r>
        <w:rPr>
          <w:spacing w:val="-3"/>
        </w:rPr>
        <w:t xml:space="preserve"> </w:t>
      </w:r>
      <w:r>
        <w:t>Ref</w:t>
      </w:r>
      <w:r>
        <w:t>erence</w:t>
      </w:r>
      <w:r>
        <w:rPr>
          <w:spacing w:val="-3"/>
        </w:rPr>
        <w:t xml:space="preserve"> </w:t>
      </w:r>
      <w:r>
        <w:t>FS</w:t>
      </w:r>
      <w:r>
        <w:rPr>
          <w:spacing w:val="-3"/>
        </w:rPr>
        <w:t xml:space="preserve"> </w:t>
      </w:r>
      <w:r>
        <w:t>–</w:t>
      </w:r>
      <w:r>
        <w:rPr>
          <w:spacing w:val="-3"/>
        </w:rPr>
        <w:t xml:space="preserve"> </w:t>
      </w:r>
      <w:r>
        <w:t>Comparable</w:t>
      </w:r>
      <w:r>
        <w:rPr>
          <w:spacing w:val="-3"/>
        </w:rPr>
        <w:t xml:space="preserve"> </w:t>
      </w:r>
      <w:r>
        <w:t>to</w:t>
      </w:r>
      <w:r>
        <w:rPr>
          <w:spacing w:val="-3"/>
        </w:rPr>
        <w:t xml:space="preserve"> </w:t>
      </w:r>
      <w:r>
        <w:t>the</w:t>
      </w:r>
      <w:r>
        <w:rPr>
          <w:spacing w:val="-3"/>
        </w:rPr>
        <w:t xml:space="preserve"> </w:t>
      </w:r>
      <w:r>
        <w:t>2021</w:t>
      </w:r>
      <w:r>
        <w:rPr>
          <w:spacing w:val="-3"/>
        </w:rPr>
        <w:t xml:space="preserve"> </w:t>
      </w:r>
      <w:r>
        <w:t>Study’s</w:t>
      </w:r>
      <w:r>
        <w:rPr>
          <w:spacing w:val="-3"/>
        </w:rPr>
        <w:t xml:space="preserve"> </w:t>
      </w:r>
      <w:r>
        <w:t>Scenario</w:t>
      </w:r>
      <w:r>
        <w:rPr>
          <w:spacing w:val="-3"/>
        </w:rPr>
        <w:t xml:space="preserve"> </w:t>
      </w:r>
      <w:r>
        <w:t>2</w:t>
      </w:r>
      <w:r>
        <w:rPr>
          <w:spacing w:val="-3"/>
        </w:rPr>
        <w:t xml:space="preserve"> </w:t>
      </w:r>
      <w:r>
        <w:t>used</w:t>
      </w:r>
      <w:r>
        <w:rPr>
          <w:spacing w:val="-3"/>
        </w:rPr>
        <w:t xml:space="preserve"> </w:t>
      </w:r>
      <w:r>
        <w:t>to inform the IOU goals adopted in 2021.</w:t>
      </w:r>
    </w:p>
    <w:p w:rsidR="00C31389" w:rsidRDefault="00C31389" w14:paraId="592D996D" w14:textId="77777777">
      <w:pPr>
        <w:pStyle w:val="BodyText"/>
        <w:spacing w:before="8"/>
        <w:rPr>
          <w:sz w:val="20"/>
        </w:rPr>
      </w:pPr>
    </w:p>
    <w:p w:rsidR="00C31389" w:rsidRDefault="00561FBD" w14:paraId="4563E2A2" w14:textId="77777777">
      <w:pPr>
        <w:pStyle w:val="ListParagraph"/>
        <w:numPr>
          <w:ilvl w:val="0"/>
          <w:numId w:val="73"/>
        </w:numPr>
        <w:tabs>
          <w:tab w:val="left" w:pos="1200"/>
        </w:tabs>
        <w:ind w:right="1110"/>
      </w:pPr>
      <w:r>
        <w:t>Scenario 2: Reference IRA and FS – Consistent with Scenario 1 but incorporates conservative</w:t>
      </w:r>
      <w:r>
        <w:rPr>
          <w:spacing w:val="-5"/>
        </w:rPr>
        <w:t xml:space="preserve"> </w:t>
      </w:r>
      <w:r>
        <w:t>assumptions</w:t>
      </w:r>
      <w:r>
        <w:rPr>
          <w:spacing w:val="-5"/>
        </w:rPr>
        <w:t xml:space="preserve"> </w:t>
      </w:r>
      <w:r>
        <w:t>regarding</w:t>
      </w:r>
      <w:r>
        <w:rPr>
          <w:spacing w:val="-6"/>
        </w:rPr>
        <w:t xml:space="preserve"> </w:t>
      </w:r>
      <w:r>
        <w:t>IRA</w:t>
      </w:r>
      <w:r>
        <w:rPr>
          <w:spacing w:val="-5"/>
        </w:rPr>
        <w:t xml:space="preserve"> </w:t>
      </w:r>
      <w:r>
        <w:t>tax</w:t>
      </w:r>
      <w:r>
        <w:rPr>
          <w:spacing w:val="-5"/>
        </w:rPr>
        <w:t xml:space="preserve"> </w:t>
      </w:r>
      <w:r>
        <w:t>credits</w:t>
      </w:r>
      <w:r>
        <w:rPr>
          <w:spacing w:val="-5"/>
        </w:rPr>
        <w:t xml:space="preserve"> </w:t>
      </w:r>
      <w:r>
        <w:t>for</w:t>
      </w:r>
      <w:r>
        <w:rPr>
          <w:spacing w:val="-5"/>
        </w:rPr>
        <w:t xml:space="preserve"> </w:t>
      </w:r>
      <w:r>
        <w:t>residential</w:t>
      </w:r>
      <w:r>
        <w:rPr>
          <w:spacing w:val="-4"/>
        </w:rPr>
        <w:t xml:space="preserve"> </w:t>
      </w:r>
      <w:r>
        <w:t>and</w:t>
      </w:r>
      <w:r>
        <w:rPr>
          <w:spacing w:val="-5"/>
        </w:rPr>
        <w:t xml:space="preserve"> </w:t>
      </w:r>
      <w:r>
        <w:t xml:space="preserve">commercial </w:t>
      </w:r>
      <w:r>
        <w:rPr>
          <w:spacing w:val="-2"/>
        </w:rPr>
        <w:t>measures.</w:t>
      </w:r>
    </w:p>
    <w:p w:rsidR="00C31389" w:rsidRDefault="00C31389" w14:paraId="23FA3A3E" w14:textId="77777777">
      <w:pPr>
        <w:pStyle w:val="BodyText"/>
        <w:spacing w:before="8"/>
        <w:rPr>
          <w:sz w:val="20"/>
        </w:rPr>
      </w:pPr>
    </w:p>
    <w:p w:rsidR="00C31389" w:rsidRDefault="00561FBD" w14:paraId="51992ABF" w14:textId="77777777">
      <w:pPr>
        <w:pStyle w:val="ListParagraph"/>
        <w:numPr>
          <w:ilvl w:val="0"/>
          <w:numId w:val="73"/>
        </w:numPr>
        <w:tabs>
          <w:tab w:val="left" w:pos="1200"/>
        </w:tabs>
        <w:spacing w:before="1"/>
        <w:ind w:right="558"/>
      </w:pPr>
      <w:r>
        <w:t>Scenario 3: Reference IRA and Aggressive FS – Consistent with Scenario 2 but makes aggressive modeling assumptions for FS technology adoption and higher incentive inputs</w:t>
      </w:r>
      <w:r>
        <w:rPr>
          <w:spacing w:val="-3"/>
        </w:rPr>
        <w:t xml:space="preserve"> </w:t>
      </w:r>
      <w:r>
        <w:t>(both</w:t>
      </w:r>
      <w:r>
        <w:rPr>
          <w:spacing w:val="-4"/>
        </w:rPr>
        <w:t xml:space="preserve"> </w:t>
      </w:r>
      <w:r>
        <w:t>nominal</w:t>
      </w:r>
      <w:r>
        <w:rPr>
          <w:spacing w:val="-3"/>
        </w:rPr>
        <w:t xml:space="preserve"> </w:t>
      </w:r>
      <w:r>
        <w:t>amount</w:t>
      </w:r>
      <w:r>
        <w:rPr>
          <w:spacing w:val="-3"/>
        </w:rPr>
        <w:t xml:space="preserve"> </w:t>
      </w:r>
      <w:r>
        <w:t>and</w:t>
      </w:r>
      <w:r>
        <w:rPr>
          <w:spacing w:val="-3"/>
        </w:rPr>
        <w:t xml:space="preserve"> </w:t>
      </w:r>
      <w:r>
        <w:t>upper</w:t>
      </w:r>
      <w:r>
        <w:rPr>
          <w:spacing w:val="-3"/>
        </w:rPr>
        <w:t xml:space="preserve"> </w:t>
      </w:r>
      <w:r>
        <w:t>bound</w:t>
      </w:r>
      <w:r>
        <w:rPr>
          <w:spacing w:val="-3"/>
        </w:rPr>
        <w:t xml:space="preserve"> </w:t>
      </w:r>
      <w:r>
        <w:t>of</w:t>
      </w:r>
      <w:r>
        <w:rPr>
          <w:spacing w:val="-3"/>
        </w:rPr>
        <w:t xml:space="preserve"> </w:t>
      </w:r>
      <w:r>
        <w:t>measure</w:t>
      </w:r>
      <w:r>
        <w:rPr>
          <w:spacing w:val="-3"/>
        </w:rPr>
        <w:t xml:space="preserve"> </w:t>
      </w:r>
      <w:r>
        <w:t>incremental</w:t>
      </w:r>
      <w:r>
        <w:rPr>
          <w:spacing w:val="-3"/>
        </w:rPr>
        <w:t xml:space="preserve"> </w:t>
      </w:r>
      <w:r>
        <w:t>cost)</w:t>
      </w:r>
      <w:r>
        <w:rPr>
          <w:spacing w:val="-3"/>
        </w:rPr>
        <w:t xml:space="preserve"> </w:t>
      </w:r>
      <w:r>
        <w:t>for</w:t>
      </w:r>
      <w:r>
        <w:rPr>
          <w:spacing w:val="-3"/>
        </w:rPr>
        <w:t xml:space="preserve"> </w:t>
      </w:r>
      <w:r>
        <w:t>both</w:t>
      </w:r>
      <w:r>
        <w:rPr>
          <w:spacing w:val="-4"/>
        </w:rPr>
        <w:t xml:space="preserve"> </w:t>
      </w:r>
      <w:r>
        <w:t>EE and FS.</w:t>
      </w:r>
    </w:p>
    <w:p w:rsidR="00C31389" w:rsidRDefault="00C31389" w14:paraId="7C09D380" w14:textId="77777777">
      <w:pPr>
        <w:pStyle w:val="BodyText"/>
        <w:spacing w:before="7"/>
        <w:rPr>
          <w:sz w:val="20"/>
        </w:rPr>
      </w:pPr>
    </w:p>
    <w:p w:rsidR="00C31389" w:rsidRDefault="00561FBD" w14:paraId="2003C7D8" w14:textId="77777777">
      <w:pPr>
        <w:pStyle w:val="ListParagraph"/>
        <w:numPr>
          <w:ilvl w:val="0"/>
          <w:numId w:val="73"/>
        </w:numPr>
        <w:tabs>
          <w:tab w:val="left" w:pos="1199"/>
        </w:tabs>
        <w:ind w:left="1199" w:right="754"/>
      </w:pPr>
      <w:r>
        <w:t>Scenario</w:t>
      </w:r>
      <w:r>
        <w:rPr>
          <w:spacing w:val="-3"/>
        </w:rPr>
        <w:t xml:space="preserve"> </w:t>
      </w:r>
      <w:r>
        <w:t>4:</w:t>
      </w:r>
      <w:r>
        <w:rPr>
          <w:spacing w:val="-4"/>
        </w:rPr>
        <w:t xml:space="preserve"> </w:t>
      </w:r>
      <w:r>
        <w:t>Aggressive</w:t>
      </w:r>
      <w:r>
        <w:rPr>
          <w:spacing w:val="-3"/>
        </w:rPr>
        <w:t xml:space="preserve"> </w:t>
      </w:r>
      <w:r>
        <w:t>IRA</w:t>
      </w:r>
      <w:r>
        <w:rPr>
          <w:spacing w:val="-3"/>
        </w:rPr>
        <w:t xml:space="preserve"> </w:t>
      </w:r>
      <w:r>
        <w:t>and</w:t>
      </w:r>
      <w:r>
        <w:rPr>
          <w:spacing w:val="-3"/>
        </w:rPr>
        <w:t xml:space="preserve"> </w:t>
      </w:r>
      <w:r>
        <w:t>Reference</w:t>
      </w:r>
      <w:r>
        <w:rPr>
          <w:spacing w:val="-3"/>
        </w:rPr>
        <w:t xml:space="preserve"> </w:t>
      </w:r>
      <w:r>
        <w:t>FS</w:t>
      </w:r>
      <w:r>
        <w:rPr>
          <w:spacing w:val="-3"/>
        </w:rPr>
        <w:t xml:space="preserve"> </w:t>
      </w:r>
      <w:r>
        <w:t>–</w:t>
      </w:r>
      <w:r>
        <w:rPr>
          <w:spacing w:val="-3"/>
        </w:rPr>
        <w:t xml:space="preserve"> </w:t>
      </w:r>
      <w:r>
        <w:t>Consistent</w:t>
      </w:r>
      <w:r>
        <w:rPr>
          <w:spacing w:val="-4"/>
        </w:rPr>
        <w:t xml:space="preserve"> </w:t>
      </w:r>
      <w:r>
        <w:t>with</w:t>
      </w:r>
      <w:r>
        <w:rPr>
          <w:spacing w:val="-3"/>
        </w:rPr>
        <w:t xml:space="preserve"> </w:t>
      </w:r>
      <w:r>
        <w:t>the</w:t>
      </w:r>
      <w:r>
        <w:rPr>
          <w:spacing w:val="-3"/>
        </w:rPr>
        <w:t xml:space="preserve"> </w:t>
      </w:r>
      <w:r>
        <w:t>residential</w:t>
      </w:r>
      <w:r>
        <w:rPr>
          <w:spacing w:val="-3"/>
        </w:rPr>
        <w:t xml:space="preserve"> </w:t>
      </w:r>
      <w:r>
        <w:t>sector assumptions in Scenario 2 but with more aggressive assumptions for eligible IRA tax credit amounts in the commercial sector.</w:t>
      </w:r>
    </w:p>
    <w:p w:rsidR="00C31389" w:rsidRDefault="00C31389" w14:paraId="4C166423" w14:textId="77777777">
      <w:pPr>
        <w:pStyle w:val="BodyText"/>
        <w:rPr>
          <w:sz w:val="20"/>
        </w:rPr>
      </w:pPr>
    </w:p>
    <w:p w:rsidR="00C31389" w:rsidRDefault="00C31389" w14:paraId="120C752C" w14:textId="77777777">
      <w:pPr>
        <w:pStyle w:val="BodyText"/>
        <w:rPr>
          <w:sz w:val="20"/>
        </w:rPr>
      </w:pPr>
    </w:p>
    <w:p w:rsidR="00C31389" w:rsidRDefault="00C31389" w14:paraId="02F7E664" w14:textId="77777777">
      <w:pPr>
        <w:pStyle w:val="BodyText"/>
        <w:rPr>
          <w:sz w:val="20"/>
        </w:rPr>
      </w:pPr>
    </w:p>
    <w:p w:rsidR="00C31389" w:rsidRDefault="00C31389" w14:paraId="7B4E2FCA" w14:textId="77777777">
      <w:pPr>
        <w:pStyle w:val="BodyText"/>
        <w:rPr>
          <w:sz w:val="20"/>
        </w:rPr>
      </w:pPr>
    </w:p>
    <w:p w:rsidR="00C31389" w:rsidRDefault="00C31389" w14:paraId="018C51B3" w14:textId="77777777">
      <w:pPr>
        <w:pStyle w:val="BodyText"/>
        <w:rPr>
          <w:sz w:val="20"/>
        </w:rPr>
      </w:pPr>
    </w:p>
    <w:p w:rsidR="00C31389" w:rsidRDefault="00C31389" w14:paraId="7F26E710" w14:textId="77777777">
      <w:pPr>
        <w:pStyle w:val="BodyText"/>
        <w:rPr>
          <w:sz w:val="20"/>
        </w:rPr>
      </w:pPr>
    </w:p>
    <w:p w:rsidR="00C31389" w:rsidRDefault="00C31389" w14:paraId="127B4302" w14:textId="77777777">
      <w:pPr>
        <w:pStyle w:val="BodyText"/>
        <w:rPr>
          <w:sz w:val="20"/>
        </w:rPr>
      </w:pPr>
    </w:p>
    <w:p w:rsidR="00C31389" w:rsidRDefault="00C31389" w14:paraId="1DC65BDA" w14:textId="77777777">
      <w:pPr>
        <w:pStyle w:val="BodyText"/>
        <w:rPr>
          <w:sz w:val="20"/>
        </w:rPr>
      </w:pPr>
    </w:p>
    <w:p w:rsidR="00C31389" w:rsidRDefault="00C31389" w14:paraId="5DBE6F8B" w14:textId="77777777">
      <w:pPr>
        <w:pStyle w:val="BodyText"/>
        <w:rPr>
          <w:sz w:val="20"/>
        </w:rPr>
      </w:pPr>
    </w:p>
    <w:p w:rsidR="00C31389" w:rsidRDefault="00C31389" w14:paraId="6DCA0DEC" w14:textId="77777777">
      <w:pPr>
        <w:pStyle w:val="BodyText"/>
        <w:rPr>
          <w:sz w:val="20"/>
        </w:rPr>
      </w:pPr>
    </w:p>
    <w:p w:rsidR="00C31389" w:rsidRDefault="00C31389" w14:paraId="7B84FC2F" w14:textId="77777777">
      <w:pPr>
        <w:pStyle w:val="BodyText"/>
        <w:rPr>
          <w:sz w:val="20"/>
        </w:rPr>
      </w:pPr>
    </w:p>
    <w:p w:rsidR="00C31389" w:rsidRDefault="00561FBD" w14:paraId="37CB952E" w14:textId="77777777">
      <w:pPr>
        <w:pStyle w:val="BodyText"/>
        <w:spacing w:before="5"/>
        <w:rPr>
          <w:sz w:val="16"/>
        </w:rPr>
      </w:pPr>
      <w:r>
        <w:rPr>
          <w:noProof/>
        </w:rPr>
        <mc:AlternateContent>
          <mc:Choice Requires="wps">
            <w:drawing>
              <wp:anchor distT="0" distB="0" distL="0" distR="0" simplePos="0" relativeHeight="487591936" behindDoc="1" locked="0" layoutInCell="1" allowOverlap="1" wp14:editId="1A3BB97D" wp14:anchorId="75B77621">
                <wp:simplePos x="0" y="0"/>
                <wp:positionH relativeFrom="page">
                  <wp:posOffset>914400</wp:posOffset>
                </wp:positionH>
                <wp:positionV relativeFrom="paragraph">
                  <wp:posOffset>135317</wp:posOffset>
                </wp:positionV>
                <wp:extent cx="1828800" cy="698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1" style="position:absolute;margin-left:1in;margin-top:10.65pt;width:2in;height:.5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" w14:anchorId="68C12845">
                <v:path arrowok="t"/>
                <w10:wrap type="topAndBottom" anchorx="page"/>
              </v:shape>
            </w:pict>
          </mc:Fallback>
        </mc:AlternateContent>
      </w:r>
    </w:p>
    <w:p w:rsidR="00C31389" w:rsidRDefault="00561FBD" w14:paraId="1826D42A" w14:textId="77777777">
      <w:pPr>
        <w:spacing w:before="88"/>
        <w:ind w:left="480" w:right="697" w:hanging="1"/>
        <w:rPr>
          <w:sz w:val="18"/>
        </w:rPr>
      </w:pPr>
      <w:bookmarkStart w:name="_bookmark6" w:id="8"/>
      <w:bookmarkEnd w:id="8"/>
      <w:r>
        <w:rPr>
          <w:position w:val="6"/>
          <w:sz w:val="12"/>
        </w:rPr>
        <w:t>3</w:t>
      </w:r>
      <w:r>
        <w:rPr>
          <w:spacing w:val="23"/>
          <w:position w:val="6"/>
          <w:sz w:val="12"/>
        </w:rPr>
        <w:t xml:space="preserve"> </w:t>
      </w:r>
      <w:r>
        <w:rPr>
          <w:sz w:val="18"/>
        </w:rPr>
        <w:t>The IRA includes provisions for both tax credits and EE program rebates designed to incentivize the adoption of energy-saving</w:t>
      </w:r>
      <w:r>
        <w:rPr>
          <w:spacing w:val="-2"/>
          <w:sz w:val="18"/>
        </w:rPr>
        <w:t xml:space="preserve"> </w:t>
      </w:r>
      <w:r>
        <w:rPr>
          <w:sz w:val="18"/>
        </w:rPr>
        <w:t>measures.</w:t>
      </w:r>
      <w:r>
        <w:rPr>
          <w:spacing w:val="-3"/>
          <w:sz w:val="18"/>
        </w:rPr>
        <w:t xml:space="preserve"> </w:t>
      </w:r>
      <w:r>
        <w:rPr>
          <w:sz w:val="18"/>
        </w:rPr>
        <w:t>Due</w:t>
      </w:r>
      <w:r>
        <w:rPr>
          <w:spacing w:val="-2"/>
          <w:sz w:val="18"/>
        </w:rPr>
        <w:t xml:space="preserve"> </w:t>
      </w:r>
      <w:r>
        <w:rPr>
          <w:sz w:val="18"/>
        </w:rPr>
        <w:t>to</w:t>
      </w:r>
      <w:r>
        <w:rPr>
          <w:spacing w:val="-4"/>
          <w:sz w:val="18"/>
        </w:rPr>
        <w:t xml:space="preserve"> </w:t>
      </w:r>
      <w:r>
        <w:rPr>
          <w:sz w:val="18"/>
        </w:rPr>
        <w:t>uncertainty</w:t>
      </w:r>
      <w:r>
        <w:rPr>
          <w:spacing w:val="-2"/>
          <w:sz w:val="18"/>
        </w:rPr>
        <w:t xml:space="preserve"> </w:t>
      </w:r>
      <w:r>
        <w:rPr>
          <w:sz w:val="18"/>
        </w:rPr>
        <w:t>at</w:t>
      </w:r>
      <w:r>
        <w:rPr>
          <w:spacing w:val="-3"/>
          <w:sz w:val="18"/>
        </w:rPr>
        <w:t xml:space="preserve"> </w:t>
      </w:r>
      <w:r>
        <w:rPr>
          <w:sz w:val="18"/>
        </w:rPr>
        <w:t>the</w:t>
      </w:r>
      <w:r>
        <w:rPr>
          <w:spacing w:val="-4"/>
          <w:sz w:val="18"/>
        </w:rPr>
        <w:t xml:space="preserve"> </w:t>
      </w:r>
      <w:r>
        <w:rPr>
          <w:sz w:val="18"/>
        </w:rPr>
        <w:t>time</w:t>
      </w:r>
      <w:r>
        <w:rPr>
          <w:spacing w:val="-4"/>
          <w:sz w:val="18"/>
        </w:rPr>
        <w:t xml:space="preserve"> </w:t>
      </w:r>
      <w:r>
        <w:rPr>
          <w:sz w:val="18"/>
        </w:rPr>
        <w:t>of</w:t>
      </w:r>
      <w:r>
        <w:rPr>
          <w:spacing w:val="-3"/>
          <w:sz w:val="18"/>
        </w:rPr>
        <w:t xml:space="preserve"> </w:t>
      </w:r>
      <w:r>
        <w:rPr>
          <w:sz w:val="18"/>
        </w:rPr>
        <w:t>this</w:t>
      </w:r>
      <w:r>
        <w:rPr>
          <w:spacing w:val="-3"/>
          <w:sz w:val="18"/>
        </w:rPr>
        <w:t xml:space="preserve"> </w:t>
      </w:r>
      <w:r>
        <w:rPr>
          <w:sz w:val="18"/>
        </w:rPr>
        <w:t>study</w:t>
      </w:r>
      <w:r>
        <w:rPr>
          <w:spacing w:val="-3"/>
          <w:sz w:val="18"/>
        </w:rPr>
        <w:t xml:space="preserve"> </w:t>
      </w:r>
      <w:r>
        <w:rPr>
          <w:sz w:val="18"/>
        </w:rPr>
        <w:t>regarding</w:t>
      </w:r>
      <w:r>
        <w:rPr>
          <w:spacing w:val="-4"/>
          <w:sz w:val="18"/>
        </w:rPr>
        <w:t xml:space="preserve"> </w:t>
      </w:r>
      <w:r>
        <w:rPr>
          <w:sz w:val="18"/>
        </w:rPr>
        <w:t>the</w:t>
      </w:r>
      <w:r>
        <w:rPr>
          <w:spacing w:val="-4"/>
          <w:sz w:val="18"/>
        </w:rPr>
        <w:t xml:space="preserve"> </w:t>
      </w:r>
      <w:r>
        <w:rPr>
          <w:sz w:val="18"/>
        </w:rPr>
        <w:t>design</w:t>
      </w:r>
      <w:r>
        <w:rPr>
          <w:spacing w:val="-2"/>
          <w:sz w:val="18"/>
        </w:rPr>
        <w:t xml:space="preserve"> </w:t>
      </w:r>
      <w:r>
        <w:rPr>
          <w:sz w:val="18"/>
        </w:rPr>
        <w:t>and</w:t>
      </w:r>
      <w:r>
        <w:rPr>
          <w:spacing w:val="-4"/>
          <w:sz w:val="18"/>
        </w:rPr>
        <w:t xml:space="preserve"> </w:t>
      </w:r>
      <w:r>
        <w:rPr>
          <w:sz w:val="18"/>
        </w:rPr>
        <w:t>administration</w:t>
      </w:r>
      <w:r>
        <w:rPr>
          <w:spacing w:val="-4"/>
          <w:sz w:val="18"/>
        </w:rPr>
        <w:t xml:space="preserve"> </w:t>
      </w:r>
      <w:r>
        <w:rPr>
          <w:sz w:val="18"/>
        </w:rPr>
        <w:t>of</w:t>
      </w:r>
      <w:r>
        <w:rPr>
          <w:spacing w:val="-3"/>
          <w:sz w:val="18"/>
        </w:rPr>
        <w:t xml:space="preserve"> </w:t>
      </w:r>
      <w:r>
        <w:rPr>
          <w:sz w:val="18"/>
        </w:rPr>
        <w:t xml:space="preserve">the </w:t>
      </w:r>
      <w:r>
        <w:rPr>
          <w:sz w:val="18"/>
        </w:rPr>
        <w:t>program-based IRA rebates, the 2023 PG Study considered only the impact of tax credits mandated by the IRA.</w:t>
      </w:r>
    </w:p>
    <w:p w:rsidR="00C31389" w:rsidRDefault="00C31389" w14:paraId="24A6098E" w14:textId="77777777">
      <w:pPr>
        <w:rPr>
          <w:sz w:val="18"/>
        </w:rPr>
        <w:sectPr w:rsidR="00C31389">
          <w:headerReference w:type="default" r:id="rId28"/>
          <w:footerReference w:type="default" r:id="rId29"/>
          <w:pgSz w:w="12240" w:h="15840"/>
          <w:pgMar w:top="1660" w:right="960" w:bottom="1120" w:left="960" w:header="397" w:footer="936" w:gutter="0"/>
          <w:cols w:space="720"/>
        </w:sectPr>
      </w:pPr>
    </w:p>
    <w:p w:rsidR="00C31389" w:rsidRDefault="00C31389" w14:paraId="10C94C34" w14:textId="77777777">
      <w:pPr>
        <w:pStyle w:val="BodyText"/>
        <w:spacing w:before="11"/>
        <w:rPr>
          <w:sz w:val="13"/>
        </w:rPr>
      </w:pPr>
    </w:p>
    <w:p w:rsidR="00C31389" w:rsidRDefault="00561FBD" w14:paraId="157D2289" w14:textId="77777777">
      <w:pPr>
        <w:pStyle w:val="Heading7"/>
        <w:spacing w:before="92"/>
        <w:ind w:left="566" w:right="566"/>
        <w:jc w:val="center"/>
      </w:pPr>
      <w:bookmarkStart w:name="_bookmark7" w:id="9"/>
      <w:bookmarkEnd w:id="9"/>
      <w:r>
        <w:t>Table</w:t>
      </w:r>
      <w:r>
        <w:rPr>
          <w:spacing w:val="-8"/>
        </w:rPr>
        <w:t xml:space="preserve"> </w:t>
      </w:r>
      <w:r>
        <w:t>ES-1.</w:t>
      </w:r>
      <w:r>
        <w:rPr>
          <w:spacing w:val="-9"/>
        </w:rPr>
        <w:t xml:space="preserve"> </w:t>
      </w:r>
      <w:r>
        <w:t>Summary</w:t>
      </w:r>
      <w:r>
        <w:rPr>
          <w:spacing w:val="-8"/>
        </w:rPr>
        <w:t xml:space="preserve"> </w:t>
      </w:r>
      <w:r>
        <w:t>of</w:t>
      </w:r>
      <w:r>
        <w:rPr>
          <w:spacing w:val="-8"/>
        </w:rPr>
        <w:t xml:space="preserve"> </w:t>
      </w:r>
      <w:r>
        <w:t>Scenarios</w:t>
      </w:r>
      <w:r>
        <w:rPr>
          <w:spacing w:val="-7"/>
        </w:rPr>
        <w:t xml:space="preserve"> </w:t>
      </w:r>
      <w:r>
        <w:t>for</w:t>
      </w:r>
      <w:r>
        <w:rPr>
          <w:spacing w:val="-9"/>
        </w:rPr>
        <w:t xml:space="preserve"> </w:t>
      </w:r>
      <w:r>
        <w:t>Achievable</w:t>
      </w:r>
      <w:r>
        <w:rPr>
          <w:spacing w:val="-7"/>
        </w:rPr>
        <w:t xml:space="preserve"> </w:t>
      </w:r>
      <w:r>
        <w:rPr>
          <w:spacing w:val="-2"/>
        </w:rPr>
        <w:t>Potential</w:t>
      </w:r>
    </w:p>
    <w:p w:rsidR="00C31389" w:rsidRDefault="00C31389" w14:paraId="7CA2ABB8" w14:textId="77777777">
      <w:pPr>
        <w:pStyle w:val="BodyText"/>
        <w:spacing w:before="7" w:after="1"/>
        <w:rPr>
          <w:b/>
          <w:sz w:val="9"/>
        </w:rPr>
      </w:pPr>
    </w:p>
    <w:tbl>
      <w:tblPr>
        <w:tblW w:w="0" w:type="auto"/>
        <w:tblInd w:w="480" w:type="dxa"/>
        <w:tblLayout w:type="fixed"/>
        <w:tblCellMar>
          <w:left w:w="0" w:type="dxa"/>
          <w:right w:w="0" w:type="dxa"/>
        </w:tblCellMar>
        <w:tblLook w:val="01E0" w:firstRow="1" w:lastRow="1" w:firstColumn="1" w:lastColumn="1" w:noHBand="0" w:noVBand="0"/>
      </w:tblPr>
      <w:tblGrid>
        <w:gridCol w:w="1977"/>
        <w:gridCol w:w="712"/>
        <w:gridCol w:w="1186"/>
        <w:gridCol w:w="1355"/>
        <w:gridCol w:w="1116"/>
        <w:gridCol w:w="1295"/>
        <w:gridCol w:w="1727"/>
      </w:tblGrid>
      <w:tr w:rsidR="00C31389" w14:paraId="5E199833" w14:textId="77777777">
        <w:trPr>
          <w:trHeight w:val="745"/>
        </w:trPr>
        <w:tc>
          <w:tcPr>
            <w:tcW w:w="1977" w:type="dxa"/>
            <w:shd w:val="clear" w:color="auto" w:fill="92D400"/>
          </w:tcPr>
          <w:p w:rsidR="00C31389" w:rsidRDefault="00561FBD" w14:paraId="07A2BCC4" w14:textId="77777777">
            <w:pPr>
              <w:pStyle w:val="TableParagraph"/>
              <w:spacing w:before="129" w:line="285" w:lineRule="auto"/>
              <w:ind w:left="122" w:right="216"/>
              <w:rPr>
                <w:b/>
                <w:sz w:val="19"/>
              </w:rPr>
            </w:pPr>
            <w:r>
              <w:rPr>
                <w:b/>
                <w:sz w:val="19"/>
              </w:rPr>
              <w:t>Levers → Scenario</w:t>
            </w:r>
            <w:r>
              <w:rPr>
                <w:b/>
                <w:spacing w:val="-10"/>
                <w:sz w:val="19"/>
              </w:rPr>
              <w:t xml:space="preserve"> ↓</w:t>
            </w:r>
          </w:p>
        </w:tc>
        <w:tc>
          <w:tcPr>
            <w:tcW w:w="712" w:type="dxa"/>
            <w:shd w:val="clear" w:color="auto" w:fill="92D400"/>
          </w:tcPr>
          <w:p w:rsidR="00C31389" w:rsidRDefault="00561FBD" w14:paraId="093055B1" w14:textId="77777777">
            <w:pPr>
              <w:pStyle w:val="TableParagraph"/>
              <w:spacing w:before="148"/>
              <w:ind w:left="207"/>
              <w:rPr>
                <w:b/>
                <w:sz w:val="19"/>
              </w:rPr>
            </w:pPr>
            <w:r>
              <w:rPr>
                <w:b/>
                <w:spacing w:val="-2"/>
                <w:sz w:val="19"/>
              </w:rPr>
              <w:t>C-</w:t>
            </w:r>
            <w:r>
              <w:rPr>
                <w:b/>
                <w:spacing w:val="-10"/>
                <w:sz w:val="19"/>
              </w:rPr>
              <w:t>E</w:t>
            </w:r>
          </w:p>
          <w:p w:rsidR="00C31389" w:rsidRDefault="00561FBD" w14:paraId="1E541A67" w14:textId="77777777">
            <w:pPr>
              <w:pStyle w:val="TableParagraph"/>
              <w:spacing w:before="1"/>
              <w:ind w:left="174"/>
              <w:rPr>
                <w:b/>
                <w:sz w:val="19"/>
              </w:rPr>
            </w:pPr>
            <w:r>
              <w:rPr>
                <w:b/>
                <w:spacing w:val="-4"/>
                <w:sz w:val="19"/>
              </w:rPr>
              <w:t>Test</w:t>
            </w:r>
          </w:p>
        </w:tc>
        <w:tc>
          <w:tcPr>
            <w:tcW w:w="1186" w:type="dxa"/>
            <w:shd w:val="clear" w:color="auto" w:fill="92D400"/>
          </w:tcPr>
          <w:p w:rsidR="00C31389" w:rsidRDefault="00561FBD" w14:paraId="1B85B69D" w14:textId="77777777">
            <w:pPr>
              <w:pStyle w:val="TableParagraph"/>
              <w:spacing w:before="148"/>
              <w:ind w:left="132" w:right="112"/>
              <w:jc w:val="center"/>
              <w:rPr>
                <w:b/>
                <w:sz w:val="19"/>
              </w:rPr>
            </w:pPr>
            <w:r>
              <w:rPr>
                <w:b/>
                <w:spacing w:val="-2"/>
                <w:sz w:val="19"/>
              </w:rPr>
              <w:t>C-</w:t>
            </w:r>
            <w:r>
              <w:rPr>
                <w:b/>
                <w:spacing w:val="-10"/>
                <w:sz w:val="19"/>
              </w:rPr>
              <w:t>E</w:t>
            </w:r>
          </w:p>
          <w:p w:rsidR="00C31389" w:rsidRDefault="00561FBD" w14:paraId="73BB6CAA" w14:textId="77777777">
            <w:pPr>
              <w:pStyle w:val="TableParagraph"/>
              <w:spacing w:before="1"/>
              <w:ind w:left="133" w:right="112"/>
              <w:jc w:val="center"/>
              <w:rPr>
                <w:b/>
                <w:sz w:val="19"/>
              </w:rPr>
            </w:pPr>
            <w:r>
              <w:rPr>
                <w:b/>
                <w:spacing w:val="-2"/>
                <w:sz w:val="19"/>
              </w:rPr>
              <w:t>Threshold</w:t>
            </w:r>
          </w:p>
        </w:tc>
        <w:tc>
          <w:tcPr>
            <w:tcW w:w="1355" w:type="dxa"/>
            <w:shd w:val="clear" w:color="auto" w:fill="92D400"/>
          </w:tcPr>
          <w:p w:rsidR="00C31389" w:rsidRDefault="00561FBD" w14:paraId="7844A878" w14:textId="77777777">
            <w:pPr>
              <w:pStyle w:val="TableParagraph"/>
              <w:spacing w:before="148"/>
              <w:ind w:left="350" w:right="319" w:hanging="28"/>
              <w:rPr>
                <w:b/>
                <w:sz w:val="19"/>
              </w:rPr>
            </w:pPr>
            <w:r>
              <w:rPr>
                <w:b/>
                <w:sz w:val="19"/>
              </w:rPr>
              <w:t>IRA</w:t>
            </w:r>
            <w:r>
              <w:rPr>
                <w:b/>
                <w:spacing w:val="-14"/>
                <w:sz w:val="19"/>
              </w:rPr>
              <w:t xml:space="preserve"> </w:t>
            </w:r>
            <w:r>
              <w:rPr>
                <w:b/>
                <w:sz w:val="19"/>
              </w:rPr>
              <w:t xml:space="preserve">Tax </w:t>
            </w:r>
            <w:r>
              <w:rPr>
                <w:b/>
                <w:spacing w:val="-2"/>
                <w:sz w:val="19"/>
              </w:rPr>
              <w:t>Credits</w:t>
            </w:r>
          </w:p>
        </w:tc>
        <w:tc>
          <w:tcPr>
            <w:tcW w:w="1116" w:type="dxa"/>
            <w:shd w:val="clear" w:color="auto" w:fill="92D400"/>
          </w:tcPr>
          <w:p w:rsidR="00C31389" w:rsidRDefault="00561FBD" w14:paraId="7D000764" w14:textId="77777777">
            <w:pPr>
              <w:pStyle w:val="TableParagraph"/>
              <w:spacing w:before="39"/>
              <w:ind w:left="124" w:right="164"/>
              <w:jc w:val="center"/>
              <w:rPr>
                <w:b/>
                <w:sz w:val="19"/>
              </w:rPr>
            </w:pPr>
            <w:r>
              <w:rPr>
                <w:b/>
                <w:spacing w:val="-2"/>
                <w:sz w:val="19"/>
              </w:rPr>
              <w:t>Incentive Levels Capped*</w:t>
            </w:r>
          </w:p>
        </w:tc>
        <w:tc>
          <w:tcPr>
            <w:tcW w:w="1295" w:type="dxa"/>
            <w:shd w:val="clear" w:color="auto" w:fill="92D400"/>
          </w:tcPr>
          <w:p w:rsidR="00C31389" w:rsidRDefault="00C31389" w14:paraId="052874A7" w14:textId="77777777">
            <w:pPr>
              <w:pStyle w:val="TableParagraph"/>
              <w:spacing w:before="5"/>
              <w:rPr>
                <w:b/>
              </w:rPr>
            </w:pPr>
          </w:p>
          <w:p w:rsidR="00C31389" w:rsidRDefault="00561FBD" w14:paraId="7C0FDEBD" w14:textId="77777777">
            <w:pPr>
              <w:pStyle w:val="TableParagraph"/>
              <w:spacing w:before="0"/>
              <w:ind w:left="156" w:right="177"/>
              <w:jc w:val="center"/>
              <w:rPr>
                <w:b/>
                <w:sz w:val="19"/>
              </w:rPr>
            </w:pPr>
            <w:r>
              <w:rPr>
                <w:b/>
                <w:spacing w:val="-4"/>
                <w:sz w:val="19"/>
              </w:rPr>
              <w:t>FS**</w:t>
            </w:r>
          </w:p>
        </w:tc>
        <w:tc>
          <w:tcPr>
            <w:tcW w:w="1727" w:type="dxa"/>
            <w:shd w:val="clear" w:color="auto" w:fill="92D400"/>
          </w:tcPr>
          <w:p w:rsidR="00C31389" w:rsidRDefault="00561FBD" w14:paraId="07E10215" w14:textId="77777777">
            <w:pPr>
              <w:pStyle w:val="TableParagraph"/>
              <w:spacing w:before="148"/>
              <w:ind w:left="189" w:firstLine="290"/>
              <w:rPr>
                <w:b/>
                <w:sz w:val="19"/>
              </w:rPr>
            </w:pPr>
            <w:r>
              <w:rPr>
                <w:b/>
                <w:spacing w:val="-2"/>
                <w:sz w:val="19"/>
              </w:rPr>
              <w:t>Program Engagement***</w:t>
            </w:r>
          </w:p>
        </w:tc>
      </w:tr>
      <w:tr w:rsidR="00C31389" w14:paraId="06572199" w14:textId="77777777">
        <w:trPr>
          <w:trHeight w:val="556"/>
        </w:trPr>
        <w:tc>
          <w:tcPr>
            <w:tcW w:w="1977" w:type="dxa"/>
            <w:tcBorders>
              <w:bottom w:val="single" w:color="D9D9D9" w:sz="2" w:space="0"/>
            </w:tcBorders>
          </w:tcPr>
          <w:p w:rsidR="00C31389" w:rsidRDefault="00561FBD" w14:paraId="16F0BBB0" w14:textId="77777777">
            <w:pPr>
              <w:pStyle w:val="TableParagraph"/>
              <w:spacing w:before="169"/>
              <w:ind w:left="122"/>
              <w:rPr>
                <w:b/>
                <w:sz w:val="19"/>
              </w:rPr>
            </w:pPr>
            <w:r>
              <w:rPr>
                <w:b/>
                <w:sz w:val="19"/>
              </w:rPr>
              <w:t>1:</w:t>
            </w:r>
            <w:r>
              <w:rPr>
                <w:b/>
                <w:spacing w:val="-3"/>
                <w:sz w:val="19"/>
              </w:rPr>
              <w:t xml:space="preserve"> </w:t>
            </w:r>
            <w:r>
              <w:rPr>
                <w:b/>
                <w:sz w:val="19"/>
              </w:rPr>
              <w:t>No</w:t>
            </w:r>
            <w:r>
              <w:rPr>
                <w:b/>
                <w:spacing w:val="-3"/>
                <w:sz w:val="19"/>
              </w:rPr>
              <w:t xml:space="preserve"> </w:t>
            </w:r>
            <w:r>
              <w:rPr>
                <w:b/>
                <w:spacing w:val="-5"/>
                <w:sz w:val="19"/>
              </w:rPr>
              <w:t>IRA</w:t>
            </w:r>
          </w:p>
        </w:tc>
        <w:tc>
          <w:tcPr>
            <w:tcW w:w="712" w:type="dxa"/>
            <w:tcBorders>
              <w:bottom w:val="single" w:color="D9D9D9" w:sz="2" w:space="0"/>
            </w:tcBorders>
          </w:tcPr>
          <w:p w:rsidR="00C31389" w:rsidRDefault="00561FBD" w14:paraId="2C5D1CA4" w14:textId="77777777">
            <w:pPr>
              <w:pStyle w:val="TableParagraph"/>
              <w:spacing w:before="169"/>
              <w:ind w:left="161" w:right="133"/>
              <w:jc w:val="center"/>
              <w:rPr>
                <w:sz w:val="19"/>
              </w:rPr>
            </w:pPr>
            <w:r>
              <w:rPr>
                <w:spacing w:val="-5"/>
                <w:sz w:val="19"/>
              </w:rPr>
              <w:t>TRC</w:t>
            </w:r>
          </w:p>
        </w:tc>
        <w:tc>
          <w:tcPr>
            <w:tcW w:w="1186" w:type="dxa"/>
            <w:tcBorders>
              <w:bottom w:val="single" w:color="D9D9D9" w:sz="2" w:space="0"/>
            </w:tcBorders>
          </w:tcPr>
          <w:p w:rsidR="00C31389" w:rsidRDefault="00561FBD" w14:paraId="0B2080EB" w14:textId="77777777">
            <w:pPr>
              <w:pStyle w:val="TableParagraph"/>
              <w:spacing w:before="169"/>
              <w:ind w:left="131" w:right="112"/>
              <w:jc w:val="center"/>
              <w:rPr>
                <w:sz w:val="19"/>
              </w:rPr>
            </w:pPr>
            <w:r>
              <w:rPr>
                <w:spacing w:val="-4"/>
                <w:sz w:val="19"/>
              </w:rPr>
              <w:t>0.85</w:t>
            </w:r>
          </w:p>
        </w:tc>
        <w:tc>
          <w:tcPr>
            <w:tcW w:w="1355" w:type="dxa"/>
            <w:tcBorders>
              <w:bottom w:val="single" w:color="D9D9D9" w:sz="2" w:space="0"/>
            </w:tcBorders>
          </w:tcPr>
          <w:p w:rsidR="00C31389" w:rsidRDefault="00561FBD" w14:paraId="78FE79D4" w14:textId="77777777">
            <w:pPr>
              <w:pStyle w:val="TableParagraph"/>
              <w:spacing w:before="169"/>
              <w:ind w:left="114" w:right="115"/>
              <w:jc w:val="center"/>
              <w:rPr>
                <w:sz w:val="19"/>
              </w:rPr>
            </w:pPr>
            <w:r>
              <w:rPr>
                <w:spacing w:val="-4"/>
                <w:sz w:val="19"/>
              </w:rPr>
              <w:t>None</w:t>
            </w:r>
          </w:p>
        </w:tc>
        <w:tc>
          <w:tcPr>
            <w:tcW w:w="1116" w:type="dxa"/>
            <w:tcBorders>
              <w:bottom w:val="single" w:color="D9D9D9" w:sz="2" w:space="0"/>
            </w:tcBorders>
          </w:tcPr>
          <w:p w:rsidR="00C31389" w:rsidRDefault="00561FBD" w14:paraId="5594BEA3" w14:textId="77777777">
            <w:pPr>
              <w:pStyle w:val="TableParagraph"/>
              <w:ind w:left="194"/>
              <w:rPr>
                <w:sz w:val="19"/>
              </w:rPr>
            </w:pPr>
            <w:r>
              <w:rPr>
                <w:sz w:val="19"/>
              </w:rPr>
              <w:t>EE</w:t>
            </w:r>
            <w:r>
              <w:rPr>
                <w:spacing w:val="-5"/>
                <w:sz w:val="19"/>
              </w:rPr>
              <w:t xml:space="preserve"> 50%</w:t>
            </w:r>
          </w:p>
          <w:p w:rsidR="00C31389" w:rsidRDefault="00561FBD" w14:paraId="46626089" w14:textId="77777777">
            <w:pPr>
              <w:pStyle w:val="TableParagraph"/>
              <w:ind w:left="199"/>
              <w:rPr>
                <w:sz w:val="19"/>
              </w:rPr>
            </w:pPr>
            <w:r>
              <w:rPr>
                <w:sz w:val="19"/>
              </w:rPr>
              <w:t>FS</w:t>
            </w:r>
            <w:r>
              <w:rPr>
                <w:spacing w:val="-4"/>
                <w:sz w:val="19"/>
              </w:rPr>
              <w:t xml:space="preserve"> </w:t>
            </w:r>
            <w:r>
              <w:rPr>
                <w:spacing w:val="-5"/>
                <w:sz w:val="19"/>
              </w:rPr>
              <w:t>75%</w:t>
            </w:r>
          </w:p>
        </w:tc>
        <w:tc>
          <w:tcPr>
            <w:tcW w:w="1295" w:type="dxa"/>
            <w:tcBorders>
              <w:bottom w:val="single" w:color="D9D9D9" w:sz="2" w:space="0"/>
            </w:tcBorders>
          </w:tcPr>
          <w:p w:rsidR="00C31389" w:rsidRDefault="00561FBD" w14:paraId="471E4222" w14:textId="77777777">
            <w:pPr>
              <w:pStyle w:val="TableParagraph"/>
              <w:spacing w:before="169"/>
              <w:ind w:left="156" w:right="177"/>
              <w:jc w:val="center"/>
              <w:rPr>
                <w:sz w:val="19"/>
              </w:rPr>
            </w:pPr>
            <w:r>
              <w:rPr>
                <w:spacing w:val="-2"/>
                <w:sz w:val="19"/>
              </w:rPr>
              <w:t>Reference</w:t>
            </w:r>
          </w:p>
        </w:tc>
        <w:tc>
          <w:tcPr>
            <w:tcW w:w="1727" w:type="dxa"/>
            <w:tcBorders>
              <w:bottom w:val="single" w:color="D9D9D9" w:sz="2" w:space="0"/>
            </w:tcBorders>
          </w:tcPr>
          <w:p w:rsidR="00C31389" w:rsidRDefault="00561FBD" w14:paraId="6EDBEE70" w14:textId="77777777">
            <w:pPr>
              <w:pStyle w:val="TableParagraph"/>
              <w:spacing w:before="169"/>
              <w:ind w:right="416"/>
              <w:jc w:val="right"/>
              <w:rPr>
                <w:sz w:val="19"/>
              </w:rPr>
            </w:pPr>
            <w:r>
              <w:rPr>
                <w:spacing w:val="-2"/>
                <w:sz w:val="19"/>
              </w:rPr>
              <w:t>Reference</w:t>
            </w:r>
          </w:p>
        </w:tc>
      </w:tr>
      <w:tr w:rsidR="00C31389" w14:paraId="75726C51" w14:textId="77777777">
        <w:trPr>
          <w:trHeight w:val="556"/>
        </w:trPr>
        <w:tc>
          <w:tcPr>
            <w:tcW w:w="1977" w:type="dxa"/>
            <w:tcBorders>
              <w:top w:val="single" w:color="D9D9D9" w:sz="2" w:space="0"/>
              <w:bottom w:val="single" w:color="D9D9D9" w:sz="2" w:space="0"/>
            </w:tcBorders>
          </w:tcPr>
          <w:p w:rsidR="00C31389" w:rsidRDefault="00561FBD" w14:paraId="57B09511" w14:textId="77777777">
            <w:pPr>
              <w:pStyle w:val="TableParagraph"/>
              <w:spacing w:before="59"/>
              <w:ind w:left="122" w:right="216"/>
              <w:rPr>
                <w:b/>
                <w:sz w:val="19"/>
              </w:rPr>
            </w:pPr>
            <w:r>
              <w:rPr>
                <w:b/>
                <w:sz w:val="19"/>
              </w:rPr>
              <w:t>2:</w:t>
            </w:r>
            <w:r>
              <w:rPr>
                <w:b/>
                <w:spacing w:val="-14"/>
                <w:sz w:val="19"/>
              </w:rPr>
              <w:t xml:space="preserve"> </w:t>
            </w:r>
            <w:r>
              <w:rPr>
                <w:b/>
                <w:sz w:val="19"/>
              </w:rPr>
              <w:t>Reference</w:t>
            </w:r>
            <w:r>
              <w:rPr>
                <w:b/>
                <w:spacing w:val="-13"/>
                <w:sz w:val="19"/>
              </w:rPr>
              <w:t xml:space="preserve"> </w:t>
            </w:r>
            <w:r>
              <w:rPr>
                <w:b/>
                <w:sz w:val="19"/>
              </w:rPr>
              <w:t>IRA and FS</w:t>
            </w:r>
          </w:p>
        </w:tc>
        <w:tc>
          <w:tcPr>
            <w:tcW w:w="712" w:type="dxa"/>
            <w:tcBorders>
              <w:top w:val="single" w:color="D9D9D9" w:sz="2" w:space="0"/>
              <w:bottom w:val="single" w:color="D9D9D9" w:sz="2" w:space="0"/>
            </w:tcBorders>
          </w:tcPr>
          <w:p w:rsidR="00C31389" w:rsidRDefault="00561FBD" w14:paraId="2C5386A4" w14:textId="77777777">
            <w:pPr>
              <w:pStyle w:val="TableParagraph"/>
              <w:spacing w:before="169"/>
              <w:ind w:left="161" w:right="134"/>
              <w:jc w:val="center"/>
              <w:rPr>
                <w:sz w:val="19"/>
              </w:rPr>
            </w:pPr>
            <w:r>
              <w:rPr>
                <w:spacing w:val="-5"/>
                <w:sz w:val="19"/>
              </w:rPr>
              <w:t>TRC</w:t>
            </w:r>
          </w:p>
        </w:tc>
        <w:tc>
          <w:tcPr>
            <w:tcW w:w="1186" w:type="dxa"/>
            <w:tcBorders>
              <w:top w:val="single" w:color="D9D9D9" w:sz="2" w:space="0"/>
              <w:bottom w:val="single" w:color="D9D9D9" w:sz="2" w:space="0"/>
            </w:tcBorders>
          </w:tcPr>
          <w:p w:rsidR="00C31389" w:rsidRDefault="00561FBD" w14:paraId="1B6116C6" w14:textId="77777777">
            <w:pPr>
              <w:pStyle w:val="TableParagraph"/>
              <w:spacing w:before="169"/>
              <w:ind w:left="131" w:right="112"/>
              <w:jc w:val="center"/>
              <w:rPr>
                <w:sz w:val="19"/>
              </w:rPr>
            </w:pPr>
            <w:r>
              <w:rPr>
                <w:spacing w:val="-4"/>
                <w:sz w:val="19"/>
              </w:rPr>
              <w:t>0.85</w:t>
            </w:r>
          </w:p>
        </w:tc>
        <w:tc>
          <w:tcPr>
            <w:tcW w:w="1355" w:type="dxa"/>
            <w:tcBorders>
              <w:top w:val="single" w:color="D9D9D9" w:sz="2" w:space="0"/>
              <w:bottom w:val="single" w:color="D9D9D9" w:sz="2" w:space="0"/>
            </w:tcBorders>
          </w:tcPr>
          <w:p w:rsidR="00C31389" w:rsidRDefault="00561FBD" w14:paraId="76B3718F" w14:textId="77777777">
            <w:pPr>
              <w:pStyle w:val="TableParagraph"/>
              <w:spacing w:before="169"/>
              <w:ind w:left="115" w:right="115"/>
              <w:jc w:val="center"/>
              <w:rPr>
                <w:sz w:val="19"/>
              </w:rPr>
            </w:pPr>
            <w:r>
              <w:rPr>
                <w:spacing w:val="-2"/>
                <w:sz w:val="19"/>
              </w:rPr>
              <w:t>Conservative</w:t>
            </w:r>
          </w:p>
        </w:tc>
        <w:tc>
          <w:tcPr>
            <w:tcW w:w="1116" w:type="dxa"/>
            <w:tcBorders>
              <w:top w:val="single" w:color="D9D9D9" w:sz="2" w:space="0"/>
              <w:bottom w:val="single" w:color="D9D9D9" w:sz="2" w:space="0"/>
            </w:tcBorders>
          </w:tcPr>
          <w:p w:rsidR="00C31389" w:rsidRDefault="00561FBD" w14:paraId="5D186DAA" w14:textId="77777777">
            <w:pPr>
              <w:pStyle w:val="TableParagraph"/>
              <w:ind w:left="194"/>
              <w:rPr>
                <w:sz w:val="19"/>
              </w:rPr>
            </w:pPr>
            <w:r>
              <w:rPr>
                <w:sz w:val="19"/>
              </w:rPr>
              <w:t>EE</w:t>
            </w:r>
            <w:r>
              <w:rPr>
                <w:spacing w:val="-5"/>
                <w:sz w:val="19"/>
              </w:rPr>
              <w:t xml:space="preserve"> 50%</w:t>
            </w:r>
          </w:p>
          <w:p w:rsidR="00C31389" w:rsidRDefault="00561FBD" w14:paraId="0D33F032" w14:textId="77777777">
            <w:pPr>
              <w:pStyle w:val="TableParagraph"/>
              <w:spacing w:before="41"/>
              <w:ind w:left="199"/>
              <w:rPr>
                <w:sz w:val="19"/>
              </w:rPr>
            </w:pPr>
            <w:r>
              <w:rPr>
                <w:sz w:val="19"/>
              </w:rPr>
              <w:t>FS</w:t>
            </w:r>
            <w:r>
              <w:rPr>
                <w:spacing w:val="-4"/>
                <w:sz w:val="19"/>
              </w:rPr>
              <w:t xml:space="preserve"> </w:t>
            </w:r>
            <w:r>
              <w:rPr>
                <w:spacing w:val="-5"/>
                <w:sz w:val="19"/>
              </w:rPr>
              <w:t>75%</w:t>
            </w:r>
          </w:p>
        </w:tc>
        <w:tc>
          <w:tcPr>
            <w:tcW w:w="1295" w:type="dxa"/>
            <w:tcBorders>
              <w:top w:val="single" w:color="D9D9D9" w:sz="2" w:space="0"/>
              <w:bottom w:val="single" w:color="D9D9D9" w:sz="2" w:space="0"/>
            </w:tcBorders>
          </w:tcPr>
          <w:p w:rsidR="00C31389" w:rsidRDefault="00561FBD" w14:paraId="1C92750C" w14:textId="77777777">
            <w:pPr>
              <w:pStyle w:val="TableParagraph"/>
              <w:spacing w:before="169"/>
              <w:ind w:left="156" w:right="177"/>
              <w:jc w:val="center"/>
              <w:rPr>
                <w:sz w:val="19"/>
              </w:rPr>
            </w:pPr>
            <w:r>
              <w:rPr>
                <w:spacing w:val="-2"/>
                <w:sz w:val="19"/>
              </w:rPr>
              <w:t>Reference</w:t>
            </w:r>
          </w:p>
        </w:tc>
        <w:tc>
          <w:tcPr>
            <w:tcW w:w="1727" w:type="dxa"/>
            <w:tcBorders>
              <w:top w:val="single" w:color="D9D9D9" w:sz="2" w:space="0"/>
              <w:bottom w:val="single" w:color="D9D9D9" w:sz="2" w:space="0"/>
            </w:tcBorders>
          </w:tcPr>
          <w:p w:rsidR="00C31389" w:rsidRDefault="00561FBD" w14:paraId="39A120C1" w14:textId="77777777">
            <w:pPr>
              <w:pStyle w:val="TableParagraph"/>
              <w:spacing w:before="169"/>
              <w:ind w:right="416"/>
              <w:jc w:val="right"/>
              <w:rPr>
                <w:sz w:val="19"/>
              </w:rPr>
            </w:pPr>
            <w:r>
              <w:rPr>
                <w:spacing w:val="-2"/>
                <w:sz w:val="19"/>
              </w:rPr>
              <w:t>Reference</w:t>
            </w:r>
          </w:p>
        </w:tc>
      </w:tr>
      <w:tr w:rsidR="00C31389" w14:paraId="63D613F6" w14:textId="77777777">
        <w:trPr>
          <w:trHeight w:val="557"/>
        </w:trPr>
        <w:tc>
          <w:tcPr>
            <w:tcW w:w="1977" w:type="dxa"/>
            <w:tcBorders>
              <w:top w:val="single" w:color="D9D9D9" w:sz="2" w:space="0"/>
              <w:bottom w:val="single" w:color="D9D9D9" w:sz="2" w:space="0"/>
            </w:tcBorders>
          </w:tcPr>
          <w:p w:rsidR="00C31389" w:rsidRDefault="00561FBD" w14:paraId="41B26852" w14:textId="77777777">
            <w:pPr>
              <w:pStyle w:val="TableParagraph"/>
              <w:spacing w:before="59" w:line="242" w:lineRule="auto"/>
              <w:ind w:left="122" w:right="16"/>
              <w:rPr>
                <w:b/>
                <w:sz w:val="19"/>
              </w:rPr>
            </w:pPr>
            <w:r>
              <w:rPr>
                <w:b/>
                <w:sz w:val="19"/>
              </w:rPr>
              <w:t>3: Reference IRA and</w:t>
            </w:r>
            <w:r>
              <w:rPr>
                <w:b/>
                <w:spacing w:val="-14"/>
                <w:sz w:val="19"/>
              </w:rPr>
              <w:t xml:space="preserve"> </w:t>
            </w:r>
            <w:r>
              <w:rPr>
                <w:b/>
                <w:sz w:val="19"/>
              </w:rPr>
              <w:t>aggressive</w:t>
            </w:r>
            <w:r>
              <w:rPr>
                <w:b/>
                <w:spacing w:val="-13"/>
                <w:sz w:val="19"/>
              </w:rPr>
              <w:t xml:space="preserve"> </w:t>
            </w:r>
            <w:r>
              <w:rPr>
                <w:b/>
                <w:sz w:val="19"/>
              </w:rPr>
              <w:t>FS</w:t>
            </w:r>
          </w:p>
        </w:tc>
        <w:tc>
          <w:tcPr>
            <w:tcW w:w="712" w:type="dxa"/>
            <w:tcBorders>
              <w:top w:val="single" w:color="D9D9D9" w:sz="2" w:space="0"/>
              <w:bottom w:val="single" w:color="D9D9D9" w:sz="2" w:space="0"/>
            </w:tcBorders>
          </w:tcPr>
          <w:p w:rsidR="00C31389" w:rsidRDefault="00561FBD" w14:paraId="7458E63B" w14:textId="77777777">
            <w:pPr>
              <w:pStyle w:val="TableParagraph"/>
              <w:spacing w:before="170"/>
              <w:ind w:left="161" w:right="134"/>
              <w:jc w:val="center"/>
              <w:rPr>
                <w:sz w:val="19"/>
              </w:rPr>
            </w:pPr>
            <w:r>
              <w:rPr>
                <w:spacing w:val="-5"/>
                <w:sz w:val="19"/>
              </w:rPr>
              <w:t>TRC</w:t>
            </w:r>
          </w:p>
        </w:tc>
        <w:tc>
          <w:tcPr>
            <w:tcW w:w="1186" w:type="dxa"/>
            <w:tcBorders>
              <w:top w:val="single" w:color="D9D9D9" w:sz="2" w:space="0"/>
              <w:bottom w:val="single" w:color="D9D9D9" w:sz="2" w:space="0"/>
            </w:tcBorders>
          </w:tcPr>
          <w:p w:rsidR="00C31389" w:rsidRDefault="00561FBD" w14:paraId="11855A7A" w14:textId="77777777">
            <w:pPr>
              <w:pStyle w:val="TableParagraph"/>
              <w:spacing w:before="170"/>
              <w:ind w:left="131" w:right="112"/>
              <w:jc w:val="center"/>
              <w:rPr>
                <w:sz w:val="19"/>
              </w:rPr>
            </w:pPr>
            <w:r>
              <w:rPr>
                <w:spacing w:val="-4"/>
                <w:sz w:val="19"/>
              </w:rPr>
              <w:t>0.85</w:t>
            </w:r>
          </w:p>
        </w:tc>
        <w:tc>
          <w:tcPr>
            <w:tcW w:w="1355" w:type="dxa"/>
            <w:tcBorders>
              <w:top w:val="single" w:color="D9D9D9" w:sz="2" w:space="0"/>
              <w:bottom w:val="single" w:color="D9D9D9" w:sz="2" w:space="0"/>
            </w:tcBorders>
          </w:tcPr>
          <w:p w:rsidR="00C31389" w:rsidRDefault="00561FBD" w14:paraId="43ECA34E" w14:textId="77777777">
            <w:pPr>
              <w:pStyle w:val="TableParagraph"/>
              <w:spacing w:before="170"/>
              <w:ind w:left="115" w:right="115"/>
              <w:jc w:val="center"/>
              <w:rPr>
                <w:sz w:val="19"/>
              </w:rPr>
            </w:pPr>
            <w:r>
              <w:rPr>
                <w:spacing w:val="-2"/>
                <w:sz w:val="19"/>
              </w:rPr>
              <w:t>Conservative</w:t>
            </w:r>
          </w:p>
        </w:tc>
        <w:tc>
          <w:tcPr>
            <w:tcW w:w="1116" w:type="dxa"/>
            <w:tcBorders>
              <w:top w:val="single" w:color="D9D9D9" w:sz="2" w:space="0"/>
              <w:bottom w:val="single" w:color="D9D9D9" w:sz="2" w:space="0"/>
            </w:tcBorders>
          </w:tcPr>
          <w:p w:rsidR="00C31389" w:rsidRDefault="00561FBD" w14:paraId="6841CEE2" w14:textId="77777777">
            <w:pPr>
              <w:pStyle w:val="TableParagraph"/>
              <w:spacing w:before="41"/>
              <w:ind w:left="194"/>
              <w:rPr>
                <w:sz w:val="19"/>
              </w:rPr>
            </w:pPr>
            <w:r>
              <w:rPr>
                <w:sz w:val="19"/>
              </w:rPr>
              <w:t>EE</w:t>
            </w:r>
            <w:r>
              <w:rPr>
                <w:spacing w:val="-5"/>
                <w:sz w:val="19"/>
              </w:rPr>
              <w:t xml:space="preserve"> 75%</w:t>
            </w:r>
          </w:p>
          <w:p w:rsidR="00C31389" w:rsidRDefault="00561FBD" w14:paraId="3FAAB55A" w14:textId="77777777">
            <w:pPr>
              <w:pStyle w:val="TableParagraph"/>
              <w:ind w:left="198"/>
              <w:rPr>
                <w:sz w:val="19"/>
              </w:rPr>
            </w:pPr>
            <w:r>
              <w:rPr>
                <w:sz w:val="19"/>
              </w:rPr>
              <w:t>FS</w:t>
            </w:r>
            <w:r>
              <w:rPr>
                <w:spacing w:val="-4"/>
                <w:sz w:val="19"/>
              </w:rPr>
              <w:t xml:space="preserve"> </w:t>
            </w:r>
            <w:r>
              <w:rPr>
                <w:spacing w:val="-5"/>
                <w:sz w:val="19"/>
              </w:rPr>
              <w:t>90%</w:t>
            </w:r>
          </w:p>
        </w:tc>
        <w:tc>
          <w:tcPr>
            <w:tcW w:w="1295" w:type="dxa"/>
            <w:tcBorders>
              <w:top w:val="single" w:color="D9D9D9" w:sz="2" w:space="0"/>
              <w:bottom w:val="single" w:color="D9D9D9" w:sz="2" w:space="0"/>
            </w:tcBorders>
          </w:tcPr>
          <w:p w:rsidR="00C31389" w:rsidRDefault="00561FBD" w14:paraId="12FC2433" w14:textId="77777777">
            <w:pPr>
              <w:pStyle w:val="TableParagraph"/>
              <w:spacing w:before="170"/>
              <w:ind w:left="156" w:right="178"/>
              <w:jc w:val="center"/>
              <w:rPr>
                <w:sz w:val="19"/>
              </w:rPr>
            </w:pPr>
            <w:r>
              <w:rPr>
                <w:spacing w:val="-2"/>
                <w:sz w:val="19"/>
              </w:rPr>
              <w:t>Aggressive</w:t>
            </w:r>
          </w:p>
        </w:tc>
        <w:tc>
          <w:tcPr>
            <w:tcW w:w="1727" w:type="dxa"/>
            <w:tcBorders>
              <w:top w:val="single" w:color="D9D9D9" w:sz="2" w:space="0"/>
              <w:bottom w:val="single" w:color="D9D9D9" w:sz="2" w:space="0"/>
            </w:tcBorders>
          </w:tcPr>
          <w:p w:rsidR="00C31389" w:rsidRDefault="00561FBD" w14:paraId="6E057E95" w14:textId="77777777">
            <w:pPr>
              <w:pStyle w:val="TableParagraph"/>
              <w:spacing w:before="170"/>
              <w:ind w:right="416"/>
              <w:jc w:val="right"/>
              <w:rPr>
                <w:sz w:val="19"/>
              </w:rPr>
            </w:pPr>
            <w:r>
              <w:rPr>
                <w:spacing w:val="-2"/>
                <w:sz w:val="19"/>
              </w:rPr>
              <w:t>Reference</w:t>
            </w:r>
          </w:p>
        </w:tc>
      </w:tr>
      <w:tr w:rsidR="00C31389" w14:paraId="10F2D28F" w14:textId="77777777">
        <w:trPr>
          <w:trHeight w:val="557"/>
        </w:trPr>
        <w:tc>
          <w:tcPr>
            <w:tcW w:w="1977" w:type="dxa"/>
            <w:tcBorders>
              <w:top w:val="single" w:color="D9D9D9" w:sz="2" w:space="0"/>
              <w:bottom w:val="single" w:color="000000" w:sz="8" w:space="0"/>
            </w:tcBorders>
          </w:tcPr>
          <w:p w:rsidR="00C31389" w:rsidRDefault="00561FBD" w14:paraId="26C8ABB2" w14:textId="77777777">
            <w:pPr>
              <w:pStyle w:val="TableParagraph"/>
              <w:spacing w:before="59"/>
              <w:ind w:left="122" w:right="216"/>
              <w:rPr>
                <w:b/>
                <w:sz w:val="19"/>
              </w:rPr>
            </w:pPr>
            <w:r>
              <w:rPr>
                <w:b/>
                <w:sz w:val="19"/>
              </w:rPr>
              <w:t>4:</w:t>
            </w:r>
            <w:r>
              <w:rPr>
                <w:b/>
                <w:spacing w:val="-14"/>
                <w:sz w:val="19"/>
              </w:rPr>
              <w:t xml:space="preserve"> </w:t>
            </w:r>
            <w:r>
              <w:rPr>
                <w:b/>
                <w:sz w:val="19"/>
              </w:rPr>
              <w:t>Aggressive</w:t>
            </w:r>
            <w:r>
              <w:rPr>
                <w:b/>
                <w:spacing w:val="-13"/>
                <w:sz w:val="19"/>
              </w:rPr>
              <w:t xml:space="preserve"> </w:t>
            </w:r>
            <w:r>
              <w:rPr>
                <w:b/>
                <w:sz w:val="19"/>
              </w:rPr>
              <w:t>IRA and reference FS</w:t>
            </w:r>
          </w:p>
        </w:tc>
        <w:tc>
          <w:tcPr>
            <w:tcW w:w="712" w:type="dxa"/>
            <w:tcBorders>
              <w:top w:val="single" w:color="D9D9D9" w:sz="2" w:space="0"/>
              <w:bottom w:val="single" w:color="000000" w:sz="8" w:space="0"/>
            </w:tcBorders>
          </w:tcPr>
          <w:p w:rsidR="00C31389" w:rsidRDefault="00561FBD" w14:paraId="7B6F91A5" w14:textId="77777777">
            <w:pPr>
              <w:pStyle w:val="TableParagraph"/>
              <w:spacing w:before="169"/>
              <w:ind w:left="161" w:right="134"/>
              <w:jc w:val="center"/>
              <w:rPr>
                <w:sz w:val="19"/>
              </w:rPr>
            </w:pPr>
            <w:r>
              <w:rPr>
                <w:spacing w:val="-5"/>
                <w:sz w:val="19"/>
              </w:rPr>
              <w:t>TRC</w:t>
            </w:r>
          </w:p>
        </w:tc>
        <w:tc>
          <w:tcPr>
            <w:tcW w:w="1186" w:type="dxa"/>
            <w:tcBorders>
              <w:top w:val="single" w:color="D9D9D9" w:sz="2" w:space="0"/>
              <w:bottom w:val="single" w:color="000000" w:sz="8" w:space="0"/>
            </w:tcBorders>
          </w:tcPr>
          <w:p w:rsidR="00C31389" w:rsidRDefault="00561FBD" w14:paraId="023359D0" w14:textId="77777777">
            <w:pPr>
              <w:pStyle w:val="TableParagraph"/>
              <w:spacing w:before="169"/>
              <w:ind w:left="131" w:right="112"/>
              <w:jc w:val="center"/>
              <w:rPr>
                <w:sz w:val="19"/>
              </w:rPr>
            </w:pPr>
            <w:r>
              <w:rPr>
                <w:spacing w:val="-4"/>
                <w:sz w:val="19"/>
              </w:rPr>
              <w:t>0.85</w:t>
            </w:r>
          </w:p>
        </w:tc>
        <w:tc>
          <w:tcPr>
            <w:tcW w:w="1355" w:type="dxa"/>
            <w:tcBorders>
              <w:top w:val="single" w:color="D9D9D9" w:sz="2" w:space="0"/>
              <w:bottom w:val="single" w:color="000000" w:sz="8" w:space="0"/>
            </w:tcBorders>
          </w:tcPr>
          <w:p w:rsidR="00C31389" w:rsidRDefault="00561FBD" w14:paraId="07091F36" w14:textId="77777777">
            <w:pPr>
              <w:pStyle w:val="TableParagraph"/>
              <w:spacing w:before="169"/>
              <w:ind w:left="114" w:right="115"/>
              <w:jc w:val="center"/>
              <w:rPr>
                <w:sz w:val="19"/>
              </w:rPr>
            </w:pPr>
            <w:r>
              <w:rPr>
                <w:spacing w:val="-2"/>
                <w:sz w:val="19"/>
              </w:rPr>
              <w:t>Aggressive</w:t>
            </w:r>
          </w:p>
        </w:tc>
        <w:tc>
          <w:tcPr>
            <w:tcW w:w="1116" w:type="dxa"/>
            <w:tcBorders>
              <w:top w:val="single" w:color="D9D9D9" w:sz="2" w:space="0"/>
              <w:bottom w:val="single" w:color="000000" w:sz="8" w:space="0"/>
            </w:tcBorders>
          </w:tcPr>
          <w:p w:rsidR="00C31389" w:rsidRDefault="00561FBD" w14:paraId="03FF1943" w14:textId="77777777">
            <w:pPr>
              <w:pStyle w:val="TableParagraph"/>
              <w:ind w:left="194"/>
              <w:rPr>
                <w:sz w:val="19"/>
              </w:rPr>
            </w:pPr>
            <w:r>
              <w:rPr>
                <w:sz w:val="19"/>
              </w:rPr>
              <w:t>EE</w:t>
            </w:r>
            <w:r>
              <w:rPr>
                <w:spacing w:val="-5"/>
                <w:sz w:val="19"/>
              </w:rPr>
              <w:t xml:space="preserve"> 50%</w:t>
            </w:r>
          </w:p>
          <w:p w:rsidR="00C31389" w:rsidRDefault="00561FBD" w14:paraId="6C78E41D" w14:textId="77777777">
            <w:pPr>
              <w:pStyle w:val="TableParagraph"/>
              <w:ind w:left="199"/>
              <w:rPr>
                <w:sz w:val="19"/>
              </w:rPr>
            </w:pPr>
            <w:r>
              <w:rPr>
                <w:sz w:val="19"/>
              </w:rPr>
              <w:t>FS</w:t>
            </w:r>
            <w:r>
              <w:rPr>
                <w:spacing w:val="-4"/>
                <w:sz w:val="19"/>
              </w:rPr>
              <w:t xml:space="preserve"> </w:t>
            </w:r>
            <w:r>
              <w:rPr>
                <w:spacing w:val="-5"/>
                <w:sz w:val="19"/>
              </w:rPr>
              <w:t>75%</w:t>
            </w:r>
          </w:p>
        </w:tc>
        <w:tc>
          <w:tcPr>
            <w:tcW w:w="1295" w:type="dxa"/>
            <w:tcBorders>
              <w:top w:val="single" w:color="D9D9D9" w:sz="2" w:space="0"/>
              <w:bottom w:val="single" w:color="000000" w:sz="8" w:space="0"/>
            </w:tcBorders>
          </w:tcPr>
          <w:p w:rsidR="00C31389" w:rsidRDefault="00561FBD" w14:paraId="74D413BD" w14:textId="77777777">
            <w:pPr>
              <w:pStyle w:val="TableParagraph"/>
              <w:spacing w:before="169"/>
              <w:ind w:left="156" w:right="177"/>
              <w:jc w:val="center"/>
              <w:rPr>
                <w:sz w:val="19"/>
              </w:rPr>
            </w:pPr>
            <w:r>
              <w:rPr>
                <w:spacing w:val="-2"/>
                <w:sz w:val="19"/>
              </w:rPr>
              <w:t>Reference</w:t>
            </w:r>
          </w:p>
        </w:tc>
        <w:tc>
          <w:tcPr>
            <w:tcW w:w="1727" w:type="dxa"/>
            <w:tcBorders>
              <w:top w:val="single" w:color="D9D9D9" w:sz="2" w:space="0"/>
              <w:bottom w:val="single" w:color="000000" w:sz="8" w:space="0"/>
            </w:tcBorders>
          </w:tcPr>
          <w:p w:rsidR="00C31389" w:rsidRDefault="00561FBD" w14:paraId="07061F7E" w14:textId="77777777">
            <w:pPr>
              <w:pStyle w:val="TableParagraph"/>
              <w:spacing w:before="169"/>
              <w:ind w:right="416"/>
              <w:jc w:val="right"/>
              <w:rPr>
                <w:sz w:val="19"/>
              </w:rPr>
            </w:pPr>
            <w:r>
              <w:rPr>
                <w:spacing w:val="-2"/>
                <w:sz w:val="19"/>
              </w:rPr>
              <w:t>Reference</w:t>
            </w:r>
          </w:p>
        </w:tc>
      </w:tr>
    </w:tbl>
    <w:p w:rsidR="00C31389" w:rsidRDefault="00561FBD" w14:paraId="4E846AC0" w14:textId="77777777">
      <w:pPr>
        <w:spacing w:before="32"/>
        <w:ind w:left="480"/>
        <w:rPr>
          <w:sz w:val="18"/>
        </w:rPr>
      </w:pPr>
      <w:r>
        <w:rPr>
          <w:sz w:val="18"/>
        </w:rPr>
        <w:t>C-E</w:t>
      </w:r>
      <w:r>
        <w:rPr>
          <w:spacing w:val="-2"/>
          <w:sz w:val="18"/>
        </w:rPr>
        <w:t xml:space="preserve"> </w:t>
      </w:r>
      <w:r>
        <w:rPr>
          <w:sz w:val="18"/>
        </w:rPr>
        <w:t>=</w:t>
      </w:r>
      <w:r>
        <w:rPr>
          <w:spacing w:val="-1"/>
          <w:sz w:val="18"/>
        </w:rPr>
        <w:t xml:space="preserve"> </w:t>
      </w:r>
      <w:r>
        <w:rPr>
          <w:sz w:val="18"/>
        </w:rPr>
        <w:t>cost-</w:t>
      </w:r>
      <w:r>
        <w:rPr>
          <w:spacing w:val="-2"/>
          <w:sz w:val="18"/>
        </w:rPr>
        <w:t>effectiveness</w:t>
      </w:r>
    </w:p>
    <w:p w:rsidR="00C31389" w:rsidRDefault="00561FBD" w14:paraId="4900276F" w14:textId="77777777">
      <w:pPr>
        <w:spacing w:before="19"/>
        <w:ind w:left="480" w:right="629"/>
        <w:rPr>
          <w:sz w:val="18"/>
        </w:rPr>
      </w:pPr>
      <w:r>
        <w:rPr>
          <w:sz w:val="18"/>
        </w:rPr>
        <w:t>*Incentives</w:t>
      </w:r>
      <w:r>
        <w:rPr>
          <w:spacing w:val="-3"/>
          <w:sz w:val="18"/>
        </w:rPr>
        <w:t xml:space="preserve"> </w:t>
      </w:r>
      <w:r>
        <w:rPr>
          <w:sz w:val="18"/>
        </w:rPr>
        <w:t>are</w:t>
      </w:r>
      <w:r>
        <w:rPr>
          <w:spacing w:val="-2"/>
          <w:sz w:val="18"/>
        </w:rPr>
        <w:t xml:space="preserve"> </w:t>
      </w:r>
      <w:r>
        <w:rPr>
          <w:sz w:val="18"/>
        </w:rPr>
        <w:t>set</w:t>
      </w:r>
      <w:r>
        <w:rPr>
          <w:spacing w:val="-3"/>
          <w:sz w:val="18"/>
        </w:rPr>
        <w:t xml:space="preserve"> </w:t>
      </w:r>
      <w:r>
        <w:rPr>
          <w:sz w:val="18"/>
        </w:rPr>
        <w:t>based</w:t>
      </w:r>
      <w:r>
        <w:rPr>
          <w:spacing w:val="-4"/>
          <w:sz w:val="18"/>
        </w:rPr>
        <w:t xml:space="preserve"> </w:t>
      </w:r>
      <w:r>
        <w:rPr>
          <w:sz w:val="18"/>
        </w:rPr>
        <w:t>on</w:t>
      </w:r>
      <w:r>
        <w:rPr>
          <w:spacing w:val="-4"/>
          <w:sz w:val="18"/>
        </w:rPr>
        <w:t xml:space="preserve"> </w:t>
      </w:r>
      <w:r>
        <w:rPr>
          <w:sz w:val="18"/>
        </w:rPr>
        <w:t>a</w:t>
      </w:r>
      <w:r>
        <w:rPr>
          <w:spacing w:val="-4"/>
          <w:sz w:val="18"/>
        </w:rPr>
        <w:t xml:space="preserve"> </w:t>
      </w:r>
      <w:r>
        <w:rPr>
          <w:sz w:val="18"/>
        </w:rPr>
        <w:t>$/kWh</w:t>
      </w:r>
      <w:r>
        <w:rPr>
          <w:spacing w:val="-4"/>
          <w:sz w:val="18"/>
        </w:rPr>
        <w:t xml:space="preserve"> </w:t>
      </w:r>
      <w:r>
        <w:rPr>
          <w:sz w:val="18"/>
        </w:rPr>
        <w:t>and</w:t>
      </w:r>
      <w:r>
        <w:rPr>
          <w:spacing w:val="-4"/>
          <w:sz w:val="18"/>
        </w:rPr>
        <w:t xml:space="preserve"> </w:t>
      </w:r>
      <w:r>
        <w:rPr>
          <w:sz w:val="18"/>
        </w:rPr>
        <w:t>$/therm</w:t>
      </w:r>
      <w:r>
        <w:rPr>
          <w:spacing w:val="-3"/>
          <w:sz w:val="18"/>
        </w:rPr>
        <w:t xml:space="preserve"> </w:t>
      </w:r>
      <w:r>
        <w:rPr>
          <w:sz w:val="18"/>
        </w:rPr>
        <w:t>basis</w:t>
      </w:r>
      <w:r>
        <w:rPr>
          <w:spacing w:val="-3"/>
          <w:sz w:val="18"/>
        </w:rPr>
        <w:t xml:space="preserve"> </w:t>
      </w:r>
      <w:r>
        <w:rPr>
          <w:sz w:val="18"/>
        </w:rPr>
        <w:t>consistent</w:t>
      </w:r>
      <w:r>
        <w:rPr>
          <w:spacing w:val="-3"/>
          <w:sz w:val="18"/>
        </w:rPr>
        <w:t xml:space="preserve"> </w:t>
      </w:r>
      <w:r>
        <w:rPr>
          <w:sz w:val="18"/>
        </w:rPr>
        <w:t>with</w:t>
      </w:r>
      <w:r>
        <w:rPr>
          <w:spacing w:val="-4"/>
          <w:sz w:val="18"/>
        </w:rPr>
        <w:t xml:space="preserve"> </w:t>
      </w:r>
      <w:r>
        <w:rPr>
          <w:sz w:val="18"/>
        </w:rPr>
        <w:t>existing</w:t>
      </w:r>
      <w:r>
        <w:rPr>
          <w:spacing w:val="-4"/>
          <w:sz w:val="18"/>
        </w:rPr>
        <w:t xml:space="preserve"> </w:t>
      </w:r>
      <w:r>
        <w:rPr>
          <w:sz w:val="18"/>
        </w:rPr>
        <w:t>IOU</w:t>
      </w:r>
      <w:r>
        <w:rPr>
          <w:spacing w:val="-3"/>
          <w:sz w:val="18"/>
        </w:rPr>
        <w:t xml:space="preserve"> </w:t>
      </w:r>
      <w:r>
        <w:rPr>
          <w:sz w:val="18"/>
        </w:rPr>
        <w:t>programs;</w:t>
      </w:r>
      <w:r>
        <w:rPr>
          <w:spacing w:val="-3"/>
          <w:sz w:val="18"/>
        </w:rPr>
        <w:t xml:space="preserve"> </w:t>
      </w:r>
      <w:r>
        <w:rPr>
          <w:sz w:val="18"/>
        </w:rPr>
        <w:t>incentives</w:t>
      </w:r>
      <w:r>
        <w:rPr>
          <w:spacing w:val="-3"/>
          <w:sz w:val="18"/>
        </w:rPr>
        <w:t xml:space="preserve"> </w:t>
      </w:r>
      <w:r>
        <w:rPr>
          <w:sz w:val="18"/>
        </w:rPr>
        <w:t>are capped at 50%/75% (EE) or 75%/90% (FS) of incremental cost depending on the scenario.</w:t>
      </w:r>
    </w:p>
    <w:p w:rsidR="00C31389" w:rsidRDefault="00561FBD" w14:paraId="25F5A571" w14:textId="77777777">
      <w:pPr>
        <w:spacing w:before="19"/>
        <w:ind w:left="479" w:right="533"/>
        <w:rPr>
          <w:sz w:val="18"/>
        </w:rPr>
      </w:pPr>
      <w:r>
        <w:rPr>
          <w:i/>
          <w:sz w:val="18"/>
        </w:rPr>
        <w:t>**</w:t>
      </w:r>
      <w:r>
        <w:rPr>
          <w:sz w:val="18"/>
        </w:rPr>
        <w:t>FS adoption parameters are set based on end u</w:t>
      </w:r>
      <w:r>
        <w:rPr>
          <w:sz w:val="18"/>
        </w:rPr>
        <w:t>se and sector-specific calibration targets. For reference scenario, calibration</w:t>
      </w:r>
      <w:r>
        <w:rPr>
          <w:spacing w:val="-4"/>
          <w:sz w:val="18"/>
        </w:rPr>
        <w:t xml:space="preserve"> </w:t>
      </w:r>
      <w:r>
        <w:rPr>
          <w:sz w:val="18"/>
        </w:rPr>
        <w:t>targets</w:t>
      </w:r>
      <w:r>
        <w:rPr>
          <w:spacing w:val="-3"/>
          <w:sz w:val="18"/>
        </w:rPr>
        <w:t xml:space="preserve"> </w:t>
      </w:r>
      <w:r>
        <w:rPr>
          <w:sz w:val="18"/>
        </w:rPr>
        <w:t>are</w:t>
      </w:r>
      <w:r>
        <w:rPr>
          <w:spacing w:val="-4"/>
          <w:sz w:val="18"/>
        </w:rPr>
        <w:t xml:space="preserve"> </w:t>
      </w:r>
      <w:r>
        <w:rPr>
          <w:sz w:val="18"/>
        </w:rPr>
        <w:t>based</w:t>
      </w:r>
      <w:r>
        <w:rPr>
          <w:spacing w:val="-2"/>
          <w:sz w:val="18"/>
        </w:rPr>
        <w:t xml:space="preserve"> </w:t>
      </w:r>
      <w:r>
        <w:rPr>
          <w:sz w:val="18"/>
        </w:rPr>
        <w:t>on</w:t>
      </w:r>
      <w:r>
        <w:rPr>
          <w:spacing w:val="-4"/>
          <w:sz w:val="18"/>
        </w:rPr>
        <w:t xml:space="preserve"> </w:t>
      </w:r>
      <w:r>
        <w:rPr>
          <w:sz w:val="18"/>
        </w:rPr>
        <w:t>historical</w:t>
      </w:r>
      <w:r>
        <w:rPr>
          <w:spacing w:val="-3"/>
          <w:sz w:val="18"/>
        </w:rPr>
        <w:t xml:space="preserve"> </w:t>
      </w:r>
      <w:r>
        <w:rPr>
          <w:sz w:val="18"/>
        </w:rPr>
        <w:t>FS</w:t>
      </w:r>
      <w:r>
        <w:rPr>
          <w:spacing w:val="-3"/>
          <w:sz w:val="18"/>
        </w:rPr>
        <w:t xml:space="preserve"> </w:t>
      </w:r>
      <w:r>
        <w:rPr>
          <w:sz w:val="18"/>
        </w:rPr>
        <w:t>adoption.</w:t>
      </w:r>
      <w:r>
        <w:rPr>
          <w:spacing w:val="-3"/>
          <w:sz w:val="18"/>
        </w:rPr>
        <w:t xml:space="preserve"> </w:t>
      </w:r>
      <w:r>
        <w:rPr>
          <w:sz w:val="18"/>
        </w:rPr>
        <w:t>For</w:t>
      </w:r>
      <w:r>
        <w:rPr>
          <w:spacing w:val="-3"/>
          <w:sz w:val="18"/>
        </w:rPr>
        <w:t xml:space="preserve"> </w:t>
      </w:r>
      <w:r>
        <w:rPr>
          <w:sz w:val="18"/>
        </w:rPr>
        <w:t>aggressive,</w:t>
      </w:r>
      <w:r>
        <w:rPr>
          <w:spacing w:val="-3"/>
          <w:sz w:val="18"/>
        </w:rPr>
        <w:t xml:space="preserve"> </w:t>
      </w:r>
      <w:r>
        <w:rPr>
          <w:sz w:val="18"/>
        </w:rPr>
        <w:t>adoption</w:t>
      </w:r>
      <w:r>
        <w:rPr>
          <w:spacing w:val="-4"/>
          <w:sz w:val="18"/>
        </w:rPr>
        <w:t xml:space="preserve"> </w:t>
      </w:r>
      <w:r>
        <w:rPr>
          <w:sz w:val="18"/>
        </w:rPr>
        <w:t>parameters</w:t>
      </w:r>
      <w:r>
        <w:rPr>
          <w:spacing w:val="-3"/>
          <w:sz w:val="18"/>
        </w:rPr>
        <w:t xml:space="preserve"> </w:t>
      </w:r>
      <w:r>
        <w:rPr>
          <w:sz w:val="18"/>
        </w:rPr>
        <w:t>leverage</w:t>
      </w:r>
      <w:r>
        <w:rPr>
          <w:spacing w:val="-2"/>
          <w:sz w:val="18"/>
        </w:rPr>
        <w:t xml:space="preserve"> </w:t>
      </w:r>
      <w:r>
        <w:rPr>
          <w:sz w:val="18"/>
        </w:rPr>
        <w:t>EE</w:t>
      </w:r>
      <w:r>
        <w:rPr>
          <w:spacing w:val="-3"/>
          <w:sz w:val="18"/>
        </w:rPr>
        <w:t xml:space="preserve"> </w:t>
      </w:r>
      <w:r>
        <w:rPr>
          <w:sz w:val="18"/>
        </w:rPr>
        <w:t xml:space="preserve">calibration </w:t>
      </w:r>
      <w:r>
        <w:rPr>
          <w:spacing w:val="-2"/>
          <w:sz w:val="18"/>
        </w:rPr>
        <w:t>targets.</w:t>
      </w:r>
    </w:p>
    <w:p w:rsidR="00C31389" w:rsidRDefault="00561FBD" w14:paraId="5BD8AAE7" w14:textId="77777777">
      <w:pPr>
        <w:spacing w:before="21" w:line="252" w:lineRule="auto"/>
        <w:ind w:left="479" w:right="629"/>
        <w:rPr>
          <w:i/>
          <w:sz w:val="17"/>
        </w:rPr>
      </w:pPr>
      <w:r>
        <w:rPr>
          <w:sz w:val="18"/>
        </w:rPr>
        <w:t xml:space="preserve">***Program engagement refers to the level of </w:t>
      </w:r>
      <w:r>
        <w:rPr>
          <w:sz w:val="18"/>
        </w:rPr>
        <w:t>marketing awareness and effectiveness as well as the level of aggressiveness</w:t>
      </w:r>
      <w:r>
        <w:rPr>
          <w:spacing w:val="-4"/>
          <w:sz w:val="18"/>
        </w:rPr>
        <w:t xml:space="preserve"> </w:t>
      </w:r>
      <w:r>
        <w:rPr>
          <w:sz w:val="18"/>
        </w:rPr>
        <w:t>of</w:t>
      </w:r>
      <w:r>
        <w:rPr>
          <w:spacing w:val="-4"/>
          <w:sz w:val="18"/>
        </w:rPr>
        <w:t xml:space="preserve"> </w:t>
      </w:r>
      <w:r>
        <w:rPr>
          <w:sz w:val="18"/>
        </w:rPr>
        <w:t>the</w:t>
      </w:r>
      <w:r>
        <w:rPr>
          <w:spacing w:val="-5"/>
          <w:sz w:val="18"/>
        </w:rPr>
        <w:t xml:space="preserve"> </w:t>
      </w:r>
      <w:r>
        <w:rPr>
          <w:sz w:val="18"/>
        </w:rPr>
        <w:t>behavior,</w:t>
      </w:r>
      <w:r>
        <w:rPr>
          <w:spacing w:val="-4"/>
          <w:sz w:val="18"/>
        </w:rPr>
        <w:t xml:space="preserve"> </w:t>
      </w:r>
      <w:r>
        <w:rPr>
          <w:sz w:val="18"/>
        </w:rPr>
        <w:t>retrocommissioning,</w:t>
      </w:r>
      <w:r>
        <w:rPr>
          <w:spacing w:val="-3"/>
          <w:sz w:val="18"/>
        </w:rPr>
        <w:t xml:space="preserve"> </w:t>
      </w:r>
      <w:r>
        <w:rPr>
          <w:sz w:val="18"/>
        </w:rPr>
        <w:t>and</w:t>
      </w:r>
      <w:r>
        <w:rPr>
          <w:spacing w:val="-5"/>
          <w:sz w:val="18"/>
        </w:rPr>
        <w:t xml:space="preserve"> </w:t>
      </w:r>
      <w:r>
        <w:rPr>
          <w:sz w:val="18"/>
        </w:rPr>
        <w:t>operational</w:t>
      </w:r>
      <w:r>
        <w:rPr>
          <w:spacing w:val="-4"/>
          <w:sz w:val="18"/>
        </w:rPr>
        <w:t xml:space="preserve"> </w:t>
      </w:r>
      <w:r>
        <w:rPr>
          <w:sz w:val="18"/>
        </w:rPr>
        <w:t>efficiency</w:t>
      </w:r>
      <w:r>
        <w:rPr>
          <w:spacing w:val="-4"/>
          <w:sz w:val="18"/>
        </w:rPr>
        <w:t xml:space="preserve"> </w:t>
      </w:r>
      <w:r>
        <w:rPr>
          <w:sz w:val="18"/>
        </w:rPr>
        <w:t>(BROs)</w:t>
      </w:r>
      <w:r>
        <w:rPr>
          <w:spacing w:val="-4"/>
          <w:sz w:val="18"/>
        </w:rPr>
        <w:t xml:space="preserve"> </w:t>
      </w:r>
      <w:r>
        <w:rPr>
          <w:sz w:val="18"/>
        </w:rPr>
        <w:t>program</w:t>
      </w:r>
      <w:r>
        <w:rPr>
          <w:spacing w:val="-4"/>
          <w:sz w:val="18"/>
        </w:rPr>
        <w:t xml:space="preserve"> </w:t>
      </w:r>
      <w:r>
        <w:rPr>
          <w:sz w:val="18"/>
        </w:rPr>
        <w:t xml:space="preserve">participation. </w:t>
      </w:r>
      <w:bookmarkStart w:name="_bookmark8" w:id="10"/>
      <w:bookmarkEnd w:id="10"/>
      <w:r>
        <w:rPr>
          <w:i/>
          <w:sz w:val="17"/>
        </w:rPr>
        <w:t>Source: Guidehouse</w:t>
      </w:r>
    </w:p>
    <w:p w:rsidR="00C31389" w:rsidRDefault="00C31389" w14:paraId="22214B5E" w14:textId="77777777">
      <w:pPr>
        <w:pStyle w:val="BodyText"/>
        <w:rPr>
          <w:i/>
          <w:sz w:val="20"/>
        </w:rPr>
      </w:pPr>
    </w:p>
    <w:p w:rsidR="00C31389" w:rsidRDefault="00561FBD" w14:paraId="72551AC1" w14:textId="77777777">
      <w:pPr>
        <w:pStyle w:val="Heading4"/>
        <w:spacing w:before="1"/>
        <w:ind w:left="480" w:firstLine="0"/>
      </w:pPr>
      <w:r>
        <w:t>Impactful</w:t>
      </w:r>
      <w:r>
        <w:rPr>
          <w:spacing w:val="-5"/>
        </w:rPr>
        <w:t xml:space="preserve"> </w:t>
      </w:r>
      <w:r>
        <w:t>Data</w:t>
      </w:r>
      <w:r>
        <w:rPr>
          <w:spacing w:val="-3"/>
        </w:rPr>
        <w:t xml:space="preserve"> </w:t>
      </w:r>
      <w:r>
        <w:t>Updates</w:t>
      </w:r>
      <w:r>
        <w:rPr>
          <w:spacing w:val="-3"/>
        </w:rPr>
        <w:t xml:space="preserve"> </w:t>
      </w:r>
      <w:r>
        <w:t>and</w:t>
      </w:r>
      <w:r>
        <w:rPr>
          <w:spacing w:val="-3"/>
        </w:rPr>
        <w:t xml:space="preserve"> </w:t>
      </w:r>
      <w:r>
        <w:t>Policy</w:t>
      </w:r>
      <w:r>
        <w:rPr>
          <w:spacing w:val="-3"/>
        </w:rPr>
        <w:t xml:space="preserve"> </w:t>
      </w:r>
      <w:r>
        <w:rPr>
          <w:spacing w:val="-2"/>
        </w:rPr>
        <w:t>Changes</w:t>
      </w:r>
    </w:p>
    <w:p w:rsidR="00C31389" w:rsidRDefault="00C31389" w14:paraId="45F05480" w14:textId="77777777">
      <w:pPr>
        <w:pStyle w:val="BodyText"/>
        <w:spacing w:before="9"/>
        <w:rPr>
          <w:b/>
          <w:sz w:val="20"/>
        </w:rPr>
      </w:pPr>
    </w:p>
    <w:p w:rsidR="00C31389" w:rsidRDefault="00561FBD" w14:paraId="2FE68C0A" w14:textId="77777777">
      <w:pPr>
        <w:pStyle w:val="BodyText"/>
        <w:ind w:left="480" w:right="533"/>
      </w:pPr>
      <w:hyperlink w:history="1" w:anchor="_bookmark9">
        <w:r>
          <w:t>Table</w:t>
        </w:r>
        <w:r>
          <w:rPr>
            <w:spacing w:val="-3"/>
          </w:rPr>
          <w:t xml:space="preserve"> </w:t>
        </w:r>
        <w:r>
          <w:t>ES-2</w:t>
        </w:r>
      </w:hyperlink>
      <w:r>
        <w:rPr>
          <w:spacing w:val="-3"/>
        </w:rPr>
        <w:t xml:space="preserve"> </w:t>
      </w:r>
      <w:r>
        <w:t>highlights</w:t>
      </w:r>
      <w:r>
        <w:rPr>
          <w:spacing w:val="-4"/>
        </w:rPr>
        <w:t xml:space="preserve"> </w:t>
      </w:r>
      <w:r>
        <w:t>key</w:t>
      </w:r>
      <w:r>
        <w:rPr>
          <w:spacing w:val="-3"/>
        </w:rPr>
        <w:t xml:space="preserve"> </w:t>
      </w:r>
      <w:r>
        <w:t>2023</w:t>
      </w:r>
      <w:r>
        <w:rPr>
          <w:spacing w:val="-2"/>
        </w:rPr>
        <w:t xml:space="preserve"> </w:t>
      </w:r>
      <w:r>
        <w:t>Study</w:t>
      </w:r>
      <w:r>
        <w:rPr>
          <w:spacing w:val="-3"/>
        </w:rPr>
        <w:t xml:space="preserve"> </w:t>
      </w:r>
      <w:r>
        <w:t>data</w:t>
      </w:r>
      <w:r>
        <w:rPr>
          <w:spacing w:val="-3"/>
        </w:rPr>
        <w:t xml:space="preserve"> </w:t>
      </w:r>
      <w:r>
        <w:t>updates</w:t>
      </w:r>
      <w:r>
        <w:rPr>
          <w:spacing w:val="-3"/>
        </w:rPr>
        <w:t xml:space="preserve"> </w:t>
      </w:r>
      <w:r>
        <w:t>and</w:t>
      </w:r>
      <w:r>
        <w:rPr>
          <w:spacing w:val="-3"/>
        </w:rPr>
        <w:t xml:space="preserve"> </w:t>
      </w:r>
      <w:r>
        <w:t>policy</w:t>
      </w:r>
      <w:r>
        <w:rPr>
          <w:spacing w:val="-3"/>
        </w:rPr>
        <w:t xml:space="preserve"> </w:t>
      </w:r>
      <w:r>
        <w:t>changes</w:t>
      </w:r>
      <w:r>
        <w:rPr>
          <w:spacing w:val="-3"/>
        </w:rPr>
        <w:t xml:space="preserve"> </w:t>
      </w:r>
      <w:r>
        <w:t>and</w:t>
      </w:r>
      <w:r>
        <w:rPr>
          <w:spacing w:val="-3"/>
        </w:rPr>
        <w:t xml:space="preserve"> </w:t>
      </w:r>
      <w:r>
        <w:t>how</w:t>
      </w:r>
      <w:r>
        <w:rPr>
          <w:spacing w:val="-4"/>
        </w:rPr>
        <w:t xml:space="preserve"> </w:t>
      </w:r>
      <w:r>
        <w:t>each</w:t>
      </w:r>
      <w:r>
        <w:rPr>
          <w:spacing w:val="-3"/>
        </w:rPr>
        <w:t xml:space="preserve"> </w:t>
      </w:r>
      <w:r>
        <w:t xml:space="preserve">change directionally affects overall results. Directional changes reflect impacts on 2023 Scenario 1 relative to the 2021 Goal </w:t>
      </w:r>
      <w:r>
        <w:t>Setting Scenario unless noted otherwise.</w:t>
      </w:r>
    </w:p>
    <w:p w:rsidR="00C31389" w:rsidRDefault="00C31389" w14:paraId="3A9737CC" w14:textId="77777777">
      <w:pPr>
        <w:pStyle w:val="BodyText"/>
        <w:spacing w:before="10"/>
        <w:rPr>
          <w:sz w:val="20"/>
        </w:rPr>
      </w:pPr>
    </w:p>
    <w:p w:rsidR="00C31389" w:rsidRDefault="00561FBD" w14:paraId="5644509E" w14:textId="77777777">
      <w:pPr>
        <w:pStyle w:val="Heading7"/>
        <w:ind w:left="565" w:right="566"/>
        <w:jc w:val="center"/>
      </w:pPr>
      <w:bookmarkStart w:name="_bookmark9" w:id="11"/>
      <w:bookmarkEnd w:id="11"/>
      <w:r>
        <w:t>Table</w:t>
      </w:r>
      <w:r>
        <w:rPr>
          <w:spacing w:val="-7"/>
        </w:rPr>
        <w:t xml:space="preserve"> </w:t>
      </w:r>
      <w:r>
        <w:t>ES-2.</w:t>
      </w:r>
      <w:r>
        <w:rPr>
          <w:spacing w:val="-7"/>
        </w:rPr>
        <w:t xml:space="preserve"> </w:t>
      </w:r>
      <w:r>
        <w:t>Key</w:t>
      </w:r>
      <w:r>
        <w:rPr>
          <w:spacing w:val="-6"/>
        </w:rPr>
        <w:t xml:space="preserve"> </w:t>
      </w:r>
      <w:r>
        <w:t>Changes</w:t>
      </w:r>
      <w:r>
        <w:rPr>
          <w:spacing w:val="-7"/>
        </w:rPr>
        <w:t xml:space="preserve"> </w:t>
      </w:r>
      <w:r>
        <w:t>Relative</w:t>
      </w:r>
      <w:r>
        <w:rPr>
          <w:spacing w:val="-6"/>
        </w:rPr>
        <w:t xml:space="preserve"> </w:t>
      </w:r>
      <w:r>
        <w:t>to</w:t>
      </w:r>
      <w:r>
        <w:rPr>
          <w:spacing w:val="-6"/>
        </w:rPr>
        <w:t xml:space="preserve"> </w:t>
      </w:r>
      <w:r>
        <w:t>2021</w:t>
      </w:r>
      <w:r>
        <w:rPr>
          <w:spacing w:val="-6"/>
        </w:rPr>
        <w:t xml:space="preserve"> </w:t>
      </w:r>
      <w:r>
        <w:rPr>
          <w:spacing w:val="-4"/>
        </w:rPr>
        <w:t>Study</w:t>
      </w:r>
    </w:p>
    <w:p w:rsidR="00C31389" w:rsidRDefault="00C31389" w14:paraId="15D5B07E" w14:textId="77777777">
      <w:pPr>
        <w:pStyle w:val="BodyText"/>
        <w:spacing w:before="7"/>
        <w:rPr>
          <w:b/>
          <w:sz w:val="9"/>
        </w:rPr>
      </w:pPr>
    </w:p>
    <w:tbl>
      <w:tblPr>
        <w:tblW w:w="0" w:type="auto"/>
        <w:tblInd w:w="123" w:type="dxa"/>
        <w:tblLayout w:type="fixed"/>
        <w:tblCellMar>
          <w:left w:w="0" w:type="dxa"/>
          <w:right w:w="0" w:type="dxa"/>
        </w:tblCellMar>
        <w:tblLook w:val="01E0" w:firstRow="1" w:lastRow="1" w:firstColumn="1" w:lastColumn="1" w:noHBand="0" w:noVBand="0"/>
      </w:tblPr>
      <w:tblGrid>
        <w:gridCol w:w="2194"/>
        <w:gridCol w:w="2300"/>
        <w:gridCol w:w="496"/>
        <w:gridCol w:w="5065"/>
      </w:tblGrid>
      <w:tr w:rsidR="00C31389" w14:paraId="5B69D5D9" w14:textId="77777777">
        <w:trPr>
          <w:trHeight w:val="549"/>
        </w:trPr>
        <w:tc>
          <w:tcPr>
            <w:tcW w:w="2194" w:type="dxa"/>
            <w:shd w:val="clear" w:color="auto" w:fill="92D400"/>
          </w:tcPr>
          <w:p w:rsidR="00C31389" w:rsidRDefault="00561FBD" w14:paraId="41E08540" w14:textId="77777777">
            <w:pPr>
              <w:pStyle w:val="TableParagraph"/>
              <w:spacing w:before="155"/>
              <w:ind w:left="123"/>
              <w:rPr>
                <w:b/>
                <w:sz w:val="20"/>
              </w:rPr>
            </w:pPr>
            <w:r>
              <w:rPr>
                <w:b/>
                <w:spacing w:val="-2"/>
                <w:sz w:val="20"/>
              </w:rPr>
              <w:t>Category</w:t>
            </w:r>
          </w:p>
        </w:tc>
        <w:tc>
          <w:tcPr>
            <w:tcW w:w="2300" w:type="dxa"/>
            <w:shd w:val="clear" w:color="auto" w:fill="92D400"/>
          </w:tcPr>
          <w:p w:rsidR="00C31389" w:rsidRDefault="00561FBD" w14:paraId="5D64B9EC" w14:textId="77777777">
            <w:pPr>
              <w:pStyle w:val="TableParagraph"/>
              <w:ind w:left="269" w:right="127"/>
              <w:rPr>
                <w:b/>
                <w:sz w:val="20"/>
              </w:rPr>
            </w:pPr>
            <w:r>
              <w:rPr>
                <w:b/>
                <w:sz w:val="20"/>
              </w:rPr>
              <w:t>Update</w:t>
            </w:r>
            <w:r>
              <w:rPr>
                <w:b/>
                <w:spacing w:val="-14"/>
                <w:sz w:val="20"/>
              </w:rPr>
              <w:t xml:space="preserve"> </w:t>
            </w:r>
            <w:r>
              <w:rPr>
                <w:b/>
                <w:sz w:val="20"/>
              </w:rPr>
              <w:t>Relative</w:t>
            </w:r>
            <w:r>
              <w:rPr>
                <w:b/>
                <w:spacing w:val="-14"/>
                <w:sz w:val="20"/>
              </w:rPr>
              <w:t xml:space="preserve"> </w:t>
            </w:r>
            <w:r>
              <w:rPr>
                <w:b/>
                <w:sz w:val="20"/>
              </w:rPr>
              <w:t>to Previous Study</w:t>
            </w:r>
          </w:p>
        </w:tc>
        <w:tc>
          <w:tcPr>
            <w:tcW w:w="5561" w:type="dxa"/>
            <w:gridSpan w:val="2"/>
            <w:shd w:val="clear" w:color="auto" w:fill="92D400"/>
          </w:tcPr>
          <w:p w:rsidR="00C31389" w:rsidRDefault="00561FBD" w14:paraId="7C3D6C1F" w14:textId="77777777">
            <w:pPr>
              <w:pStyle w:val="TableParagraph"/>
              <w:ind w:left="129"/>
              <w:rPr>
                <w:b/>
                <w:sz w:val="20"/>
              </w:rPr>
            </w:pPr>
            <w:r>
              <w:rPr>
                <w:b/>
                <w:sz w:val="20"/>
              </w:rPr>
              <w:t>Directional</w:t>
            </w:r>
            <w:r>
              <w:rPr>
                <w:b/>
                <w:spacing w:val="-5"/>
                <w:sz w:val="20"/>
              </w:rPr>
              <w:t xml:space="preserve"> </w:t>
            </w:r>
            <w:r>
              <w:rPr>
                <w:b/>
                <w:sz w:val="20"/>
              </w:rPr>
              <w:t>Impact</w:t>
            </w:r>
            <w:r>
              <w:rPr>
                <w:b/>
                <w:spacing w:val="-4"/>
                <w:sz w:val="20"/>
              </w:rPr>
              <w:t xml:space="preserve"> </w:t>
            </w:r>
            <w:r>
              <w:rPr>
                <w:b/>
                <w:sz w:val="20"/>
              </w:rPr>
              <w:t>on</w:t>
            </w:r>
            <w:r>
              <w:rPr>
                <w:b/>
                <w:spacing w:val="-5"/>
                <w:sz w:val="20"/>
              </w:rPr>
              <w:t xml:space="preserve"> </w:t>
            </w:r>
            <w:r>
              <w:rPr>
                <w:b/>
                <w:sz w:val="20"/>
              </w:rPr>
              <w:t>the</w:t>
            </w:r>
            <w:r>
              <w:rPr>
                <w:b/>
                <w:spacing w:val="-5"/>
                <w:sz w:val="20"/>
              </w:rPr>
              <w:t xml:space="preserve"> </w:t>
            </w:r>
            <w:r>
              <w:rPr>
                <w:b/>
                <w:sz w:val="20"/>
              </w:rPr>
              <w:t>2023</w:t>
            </w:r>
            <w:r>
              <w:rPr>
                <w:b/>
                <w:spacing w:val="-5"/>
                <w:sz w:val="20"/>
              </w:rPr>
              <w:t xml:space="preserve"> </w:t>
            </w:r>
            <w:r>
              <w:rPr>
                <w:b/>
                <w:sz w:val="20"/>
              </w:rPr>
              <w:t>PG</w:t>
            </w:r>
            <w:r>
              <w:rPr>
                <w:b/>
                <w:spacing w:val="-5"/>
                <w:sz w:val="20"/>
              </w:rPr>
              <w:t xml:space="preserve"> </w:t>
            </w:r>
            <w:r>
              <w:rPr>
                <w:b/>
                <w:sz w:val="20"/>
              </w:rPr>
              <w:t>Study</w:t>
            </w:r>
            <w:r>
              <w:rPr>
                <w:b/>
                <w:spacing w:val="-5"/>
                <w:sz w:val="20"/>
              </w:rPr>
              <w:t xml:space="preserve"> </w:t>
            </w:r>
            <w:r>
              <w:rPr>
                <w:b/>
                <w:sz w:val="20"/>
              </w:rPr>
              <w:t>Relative</w:t>
            </w:r>
            <w:r>
              <w:rPr>
                <w:b/>
                <w:spacing w:val="-5"/>
                <w:sz w:val="20"/>
              </w:rPr>
              <w:t xml:space="preserve"> </w:t>
            </w:r>
            <w:r>
              <w:rPr>
                <w:b/>
                <w:sz w:val="20"/>
              </w:rPr>
              <w:t>to</w:t>
            </w:r>
            <w:r>
              <w:rPr>
                <w:b/>
                <w:spacing w:val="-5"/>
                <w:sz w:val="20"/>
              </w:rPr>
              <w:t xml:space="preserve"> </w:t>
            </w:r>
            <w:r>
              <w:rPr>
                <w:b/>
                <w:sz w:val="20"/>
              </w:rPr>
              <w:t>the 2021 PG Study</w:t>
            </w:r>
          </w:p>
        </w:tc>
      </w:tr>
      <w:tr w:rsidR="00C31389" w14:paraId="40F84618" w14:textId="77777777">
        <w:trPr>
          <w:trHeight w:val="1919"/>
        </w:trPr>
        <w:tc>
          <w:tcPr>
            <w:tcW w:w="2194" w:type="dxa"/>
            <w:tcBorders>
              <w:bottom w:val="single" w:color="D9D9D9" w:sz="2" w:space="0"/>
            </w:tcBorders>
          </w:tcPr>
          <w:p w:rsidR="00C31389" w:rsidRDefault="00C31389" w14:paraId="063DD7F4" w14:textId="77777777">
            <w:pPr>
              <w:pStyle w:val="TableParagraph"/>
              <w:spacing w:before="0"/>
              <w:rPr>
                <w:b/>
              </w:rPr>
            </w:pPr>
          </w:p>
          <w:p w:rsidR="00C31389" w:rsidRDefault="00C31389" w14:paraId="0D925142" w14:textId="77777777">
            <w:pPr>
              <w:pStyle w:val="TableParagraph"/>
              <w:spacing w:before="0"/>
              <w:rPr>
                <w:b/>
              </w:rPr>
            </w:pPr>
          </w:p>
          <w:p w:rsidR="00C31389" w:rsidRDefault="00C31389" w14:paraId="41440B7F" w14:textId="77777777">
            <w:pPr>
              <w:pStyle w:val="TableParagraph"/>
              <w:spacing w:before="6"/>
              <w:rPr>
                <w:b/>
                <w:sz w:val="29"/>
              </w:rPr>
            </w:pPr>
          </w:p>
          <w:p w:rsidR="00C31389" w:rsidRDefault="00561FBD" w14:paraId="6A79DBA7" w14:textId="77777777">
            <w:pPr>
              <w:pStyle w:val="TableParagraph"/>
              <w:spacing w:before="0"/>
              <w:ind w:left="123"/>
              <w:rPr>
                <w:b/>
                <w:sz w:val="20"/>
              </w:rPr>
            </w:pPr>
            <w:r>
              <w:rPr>
                <w:b/>
                <w:spacing w:val="-2"/>
                <w:sz w:val="20"/>
              </w:rPr>
              <w:t>Cost-Effectiveness</w:t>
            </w:r>
          </w:p>
        </w:tc>
        <w:tc>
          <w:tcPr>
            <w:tcW w:w="2300" w:type="dxa"/>
            <w:tcBorders>
              <w:bottom w:val="single" w:color="D9D9D9" w:sz="2" w:space="0"/>
            </w:tcBorders>
          </w:tcPr>
          <w:p w:rsidR="00C31389" w:rsidRDefault="00561FBD" w14:paraId="5FEC91AC" w14:textId="77777777">
            <w:pPr>
              <w:pStyle w:val="TableParagraph"/>
              <w:ind w:left="269" w:right="127"/>
              <w:rPr>
                <w:sz w:val="20"/>
              </w:rPr>
            </w:pPr>
            <w:r>
              <w:rPr>
                <w:sz w:val="20"/>
              </w:rPr>
              <w:t xml:space="preserve">A combination of using </w:t>
            </w:r>
            <w:r>
              <w:rPr>
                <w:sz w:val="20"/>
              </w:rPr>
              <w:t>updated avoided costs, revised measure inputs, and broader FS</w:t>
            </w:r>
            <w:r>
              <w:rPr>
                <w:spacing w:val="-10"/>
                <w:sz w:val="20"/>
              </w:rPr>
              <w:t xml:space="preserve"> </w:t>
            </w:r>
            <w:r>
              <w:rPr>
                <w:sz w:val="20"/>
              </w:rPr>
              <w:t>measures</w:t>
            </w:r>
            <w:r>
              <w:rPr>
                <w:spacing w:val="-10"/>
                <w:sz w:val="20"/>
              </w:rPr>
              <w:t xml:space="preserve"> </w:t>
            </w:r>
            <w:r>
              <w:rPr>
                <w:sz w:val="20"/>
              </w:rPr>
              <w:t>led</w:t>
            </w:r>
            <w:r>
              <w:rPr>
                <w:spacing w:val="-10"/>
                <w:sz w:val="20"/>
              </w:rPr>
              <w:t xml:space="preserve"> </w:t>
            </w:r>
            <w:r>
              <w:rPr>
                <w:sz w:val="20"/>
              </w:rPr>
              <w:t>to</w:t>
            </w:r>
            <w:r>
              <w:rPr>
                <w:spacing w:val="-10"/>
                <w:sz w:val="20"/>
              </w:rPr>
              <w:t xml:space="preserve"> </w:t>
            </w:r>
            <w:r>
              <w:rPr>
                <w:sz w:val="20"/>
              </w:rPr>
              <w:t xml:space="preserve">a 1%-5% increase in </w:t>
            </w:r>
            <w:r>
              <w:rPr>
                <w:spacing w:val="-2"/>
                <w:sz w:val="20"/>
              </w:rPr>
              <w:t>cost-effectiveness.</w:t>
            </w:r>
          </w:p>
        </w:tc>
        <w:tc>
          <w:tcPr>
            <w:tcW w:w="496" w:type="dxa"/>
            <w:tcBorders>
              <w:bottom w:val="single" w:color="D9D9D9" w:sz="2" w:space="0"/>
            </w:tcBorders>
          </w:tcPr>
          <w:p w:rsidR="00C31389" w:rsidRDefault="00C31389" w14:paraId="119D64EE" w14:textId="77777777">
            <w:pPr>
              <w:pStyle w:val="TableParagraph"/>
              <w:spacing w:before="5"/>
              <w:rPr>
                <w:b/>
                <w:sz w:val="63"/>
              </w:rPr>
            </w:pPr>
          </w:p>
          <w:p w:rsidR="00C31389" w:rsidRDefault="00561FBD" w14:paraId="5E35B216" w14:textId="77777777">
            <w:pPr>
              <w:pStyle w:val="TableParagraph"/>
              <w:spacing w:before="0"/>
              <w:ind w:left="32"/>
              <w:jc w:val="center"/>
              <w:rPr>
                <w:b/>
                <w:sz w:val="40"/>
              </w:rPr>
            </w:pPr>
            <w:r>
              <w:rPr>
                <w:b/>
                <w:color w:val="00AF50"/>
                <w:w w:val="99"/>
                <w:sz w:val="40"/>
              </w:rPr>
              <w:t>↑</w:t>
            </w:r>
          </w:p>
        </w:tc>
        <w:tc>
          <w:tcPr>
            <w:tcW w:w="5065" w:type="dxa"/>
            <w:tcBorders>
              <w:bottom w:val="single" w:color="D9D9D9" w:sz="2" w:space="0"/>
            </w:tcBorders>
          </w:tcPr>
          <w:p w:rsidR="00C31389" w:rsidRDefault="00561FBD" w14:paraId="4CFDD59A" w14:textId="77777777">
            <w:pPr>
              <w:pStyle w:val="TableParagraph"/>
              <w:ind w:left="131" w:right="128"/>
              <w:rPr>
                <w:sz w:val="20"/>
              </w:rPr>
            </w:pPr>
            <w:r>
              <w:rPr>
                <w:sz w:val="20"/>
              </w:rPr>
              <w:t>Updates to 2022 avoided costs combined with revisions to unit energy savings for select high- savings-impact</w:t>
            </w:r>
            <w:r>
              <w:rPr>
                <w:spacing w:val="-6"/>
                <w:sz w:val="20"/>
              </w:rPr>
              <w:t xml:space="preserve"> </w:t>
            </w:r>
            <w:r>
              <w:rPr>
                <w:sz w:val="20"/>
              </w:rPr>
              <w:t>measures</w:t>
            </w:r>
            <w:r>
              <w:rPr>
                <w:spacing w:val="-7"/>
                <w:sz w:val="20"/>
              </w:rPr>
              <w:t xml:space="preserve"> </w:t>
            </w:r>
            <w:r>
              <w:rPr>
                <w:sz w:val="20"/>
              </w:rPr>
              <w:t>served</w:t>
            </w:r>
            <w:r>
              <w:rPr>
                <w:spacing w:val="-6"/>
                <w:sz w:val="20"/>
              </w:rPr>
              <w:t xml:space="preserve"> </w:t>
            </w:r>
            <w:r>
              <w:rPr>
                <w:sz w:val="20"/>
              </w:rPr>
              <w:t>as</w:t>
            </w:r>
            <w:r>
              <w:rPr>
                <w:spacing w:val="-6"/>
                <w:sz w:val="20"/>
              </w:rPr>
              <w:t xml:space="preserve"> </w:t>
            </w:r>
            <w:r>
              <w:rPr>
                <w:sz w:val="20"/>
              </w:rPr>
              <w:t>the</w:t>
            </w:r>
            <w:r>
              <w:rPr>
                <w:spacing w:val="-7"/>
                <w:sz w:val="20"/>
              </w:rPr>
              <w:t xml:space="preserve"> </w:t>
            </w:r>
            <w:r>
              <w:rPr>
                <w:sz w:val="20"/>
              </w:rPr>
              <w:t>primary</w:t>
            </w:r>
            <w:r>
              <w:rPr>
                <w:spacing w:val="-6"/>
                <w:sz w:val="20"/>
              </w:rPr>
              <w:t xml:space="preserve"> </w:t>
            </w:r>
            <w:r>
              <w:rPr>
                <w:sz w:val="20"/>
              </w:rPr>
              <w:t>driver to increase the overall cost-effective energy savings potential for rebated EE measures. Additionally, a greater proportion of first-year savings was attributed to</w:t>
            </w:r>
            <w:r>
              <w:rPr>
                <w:spacing w:val="-4"/>
                <w:sz w:val="20"/>
              </w:rPr>
              <w:t xml:space="preserve"> </w:t>
            </w:r>
            <w:r>
              <w:rPr>
                <w:sz w:val="20"/>
              </w:rPr>
              <w:t>measures</w:t>
            </w:r>
            <w:r>
              <w:rPr>
                <w:spacing w:val="-5"/>
                <w:sz w:val="20"/>
              </w:rPr>
              <w:t xml:space="preserve"> </w:t>
            </w:r>
            <w:r>
              <w:rPr>
                <w:sz w:val="20"/>
              </w:rPr>
              <w:t>with</w:t>
            </w:r>
            <w:r>
              <w:rPr>
                <w:spacing w:val="-4"/>
                <w:sz w:val="20"/>
              </w:rPr>
              <w:t xml:space="preserve"> </w:t>
            </w:r>
            <w:r>
              <w:rPr>
                <w:sz w:val="20"/>
              </w:rPr>
              <w:t>longer</w:t>
            </w:r>
            <w:r>
              <w:rPr>
                <w:spacing w:val="-3"/>
                <w:sz w:val="20"/>
              </w:rPr>
              <w:t xml:space="preserve"> </w:t>
            </w:r>
            <w:r>
              <w:rPr>
                <w:sz w:val="20"/>
              </w:rPr>
              <w:t>effective</w:t>
            </w:r>
            <w:r>
              <w:rPr>
                <w:spacing w:val="-4"/>
                <w:sz w:val="20"/>
              </w:rPr>
              <w:t xml:space="preserve"> </w:t>
            </w:r>
            <w:r>
              <w:rPr>
                <w:sz w:val="20"/>
              </w:rPr>
              <w:t>useful</w:t>
            </w:r>
            <w:r>
              <w:rPr>
                <w:spacing w:val="-5"/>
                <w:sz w:val="20"/>
              </w:rPr>
              <w:t xml:space="preserve"> </w:t>
            </w:r>
            <w:r>
              <w:rPr>
                <w:sz w:val="20"/>
              </w:rPr>
              <w:t>life</w:t>
            </w:r>
            <w:r>
              <w:rPr>
                <w:spacing w:val="-4"/>
                <w:sz w:val="20"/>
              </w:rPr>
              <w:t xml:space="preserve"> </w:t>
            </w:r>
            <w:r>
              <w:rPr>
                <w:sz w:val="20"/>
              </w:rPr>
              <w:t>(EUL)</w:t>
            </w:r>
            <w:r>
              <w:rPr>
                <w:spacing w:val="-3"/>
                <w:sz w:val="20"/>
              </w:rPr>
              <w:t xml:space="preserve"> </w:t>
            </w:r>
            <w:r>
              <w:rPr>
                <w:sz w:val="20"/>
              </w:rPr>
              <w:t>and associated lifetime bene</w:t>
            </w:r>
            <w:r>
              <w:rPr>
                <w:sz w:val="20"/>
              </w:rPr>
              <w:t>fits.</w:t>
            </w:r>
          </w:p>
        </w:tc>
      </w:tr>
      <w:tr w:rsidR="00C31389" w14:paraId="04CC1F28" w14:textId="77777777">
        <w:trPr>
          <w:trHeight w:val="2380"/>
        </w:trPr>
        <w:tc>
          <w:tcPr>
            <w:tcW w:w="2194" w:type="dxa"/>
            <w:tcBorders>
              <w:top w:val="single" w:color="D9D9D9" w:sz="2" w:space="0"/>
              <w:bottom w:val="single" w:color="000000" w:sz="8" w:space="0"/>
            </w:tcBorders>
          </w:tcPr>
          <w:p w:rsidR="00C31389" w:rsidRDefault="00C31389" w14:paraId="0FA5D5B2" w14:textId="77777777">
            <w:pPr>
              <w:pStyle w:val="TableParagraph"/>
              <w:spacing w:before="0"/>
              <w:rPr>
                <w:b/>
              </w:rPr>
            </w:pPr>
          </w:p>
          <w:p w:rsidR="00C31389" w:rsidRDefault="00C31389" w14:paraId="6803D25F" w14:textId="77777777">
            <w:pPr>
              <w:pStyle w:val="TableParagraph"/>
              <w:spacing w:before="0"/>
              <w:rPr>
                <w:b/>
              </w:rPr>
            </w:pPr>
          </w:p>
          <w:p w:rsidR="00C31389" w:rsidRDefault="00C31389" w14:paraId="75AA7601" w14:textId="77777777">
            <w:pPr>
              <w:pStyle w:val="TableParagraph"/>
              <w:spacing w:before="0"/>
              <w:rPr>
                <w:b/>
              </w:rPr>
            </w:pPr>
          </w:p>
          <w:p w:rsidR="00C31389" w:rsidRDefault="00C31389" w14:paraId="277DE8FE" w14:textId="77777777">
            <w:pPr>
              <w:pStyle w:val="TableParagraph"/>
              <w:spacing w:before="6"/>
              <w:rPr>
                <w:b/>
                <w:sz w:val="27"/>
              </w:rPr>
            </w:pPr>
          </w:p>
          <w:p w:rsidR="00C31389" w:rsidRDefault="00561FBD" w14:paraId="24603004" w14:textId="77777777">
            <w:pPr>
              <w:pStyle w:val="TableParagraph"/>
              <w:spacing w:before="0"/>
              <w:ind w:left="123"/>
              <w:rPr>
                <w:b/>
                <w:sz w:val="20"/>
              </w:rPr>
            </w:pPr>
            <w:r>
              <w:rPr>
                <w:b/>
                <w:spacing w:val="-5"/>
                <w:sz w:val="20"/>
              </w:rPr>
              <w:t>FS</w:t>
            </w:r>
          </w:p>
        </w:tc>
        <w:tc>
          <w:tcPr>
            <w:tcW w:w="2300" w:type="dxa"/>
            <w:tcBorders>
              <w:top w:val="single" w:color="D9D9D9" w:sz="2" w:space="0"/>
              <w:bottom w:val="single" w:color="000000" w:sz="8" w:space="0"/>
            </w:tcBorders>
          </w:tcPr>
          <w:p w:rsidR="00C31389" w:rsidRDefault="00561FBD" w14:paraId="191ED7D5" w14:textId="77777777">
            <w:pPr>
              <w:pStyle w:val="TableParagraph"/>
              <w:ind w:left="269" w:right="127"/>
              <w:rPr>
                <w:sz w:val="20"/>
              </w:rPr>
            </w:pPr>
            <w:r>
              <w:rPr>
                <w:sz w:val="20"/>
              </w:rPr>
              <w:t xml:space="preserve">Calibration targets were set using FS- specific historic and budgeted program </w:t>
            </w:r>
            <w:r>
              <w:rPr>
                <w:spacing w:val="-2"/>
                <w:sz w:val="20"/>
              </w:rPr>
              <w:t xml:space="preserve">accomplishments </w:t>
            </w:r>
            <w:r>
              <w:rPr>
                <w:sz w:val="20"/>
              </w:rPr>
              <w:t>(data</w:t>
            </w:r>
            <w:r>
              <w:rPr>
                <w:spacing w:val="-13"/>
                <w:sz w:val="20"/>
              </w:rPr>
              <w:t xml:space="preserve"> </w:t>
            </w:r>
            <w:r>
              <w:rPr>
                <w:sz w:val="20"/>
              </w:rPr>
              <w:t>not</w:t>
            </w:r>
            <w:r>
              <w:rPr>
                <w:spacing w:val="-14"/>
                <w:sz w:val="20"/>
              </w:rPr>
              <w:t xml:space="preserve"> </w:t>
            </w:r>
            <w:r>
              <w:rPr>
                <w:sz w:val="20"/>
              </w:rPr>
              <w:t>available</w:t>
            </w:r>
            <w:r>
              <w:rPr>
                <w:spacing w:val="-13"/>
                <w:sz w:val="20"/>
              </w:rPr>
              <w:t xml:space="preserve"> </w:t>
            </w:r>
            <w:r>
              <w:rPr>
                <w:sz w:val="20"/>
              </w:rPr>
              <w:t>in the 2021 Study).</w:t>
            </w:r>
          </w:p>
          <w:p w:rsidR="00C31389" w:rsidRDefault="00561FBD" w14:paraId="4F4AB9B4" w14:textId="77777777">
            <w:pPr>
              <w:pStyle w:val="TableParagraph"/>
              <w:spacing w:before="1"/>
              <w:ind w:left="269" w:right="127"/>
              <w:rPr>
                <w:sz w:val="20"/>
              </w:rPr>
            </w:pPr>
            <w:r>
              <w:rPr>
                <w:sz w:val="20"/>
              </w:rPr>
              <w:t>Panel</w:t>
            </w:r>
            <w:r>
              <w:rPr>
                <w:spacing w:val="-14"/>
                <w:sz w:val="20"/>
              </w:rPr>
              <w:t xml:space="preserve"> </w:t>
            </w:r>
            <w:r>
              <w:rPr>
                <w:sz w:val="20"/>
              </w:rPr>
              <w:t>upgrade</w:t>
            </w:r>
            <w:r>
              <w:rPr>
                <w:spacing w:val="-14"/>
                <w:sz w:val="20"/>
              </w:rPr>
              <w:t xml:space="preserve"> </w:t>
            </w:r>
            <w:r>
              <w:rPr>
                <w:sz w:val="20"/>
              </w:rPr>
              <w:t>costs were incorporated into the model.</w:t>
            </w:r>
          </w:p>
        </w:tc>
        <w:tc>
          <w:tcPr>
            <w:tcW w:w="496" w:type="dxa"/>
            <w:tcBorders>
              <w:top w:val="single" w:color="D9D9D9" w:sz="2" w:space="0"/>
              <w:bottom w:val="single" w:color="000000" w:sz="8" w:space="0"/>
            </w:tcBorders>
          </w:tcPr>
          <w:p w:rsidR="00C31389" w:rsidRDefault="00C31389" w14:paraId="00C3187E" w14:textId="77777777">
            <w:pPr>
              <w:pStyle w:val="TableParagraph"/>
              <w:spacing w:before="0"/>
              <w:rPr>
                <w:b/>
                <w:sz w:val="44"/>
              </w:rPr>
            </w:pPr>
          </w:p>
          <w:p w:rsidR="00C31389" w:rsidRDefault="00C31389" w14:paraId="578F550A" w14:textId="77777777">
            <w:pPr>
              <w:pStyle w:val="TableParagraph"/>
              <w:spacing w:before="5"/>
              <w:rPr>
                <w:b/>
                <w:sz w:val="39"/>
              </w:rPr>
            </w:pPr>
          </w:p>
          <w:p w:rsidR="00C31389" w:rsidRDefault="00561FBD" w14:paraId="30BE5479" w14:textId="77777777">
            <w:pPr>
              <w:pStyle w:val="TableParagraph"/>
              <w:spacing w:before="1"/>
              <w:ind w:left="32"/>
              <w:jc w:val="center"/>
              <w:rPr>
                <w:b/>
                <w:sz w:val="40"/>
              </w:rPr>
            </w:pPr>
            <w:r>
              <w:rPr>
                <w:b/>
                <w:color w:val="FF0000"/>
                <w:w w:val="99"/>
                <w:sz w:val="40"/>
              </w:rPr>
              <w:t>↓</w:t>
            </w:r>
          </w:p>
        </w:tc>
        <w:tc>
          <w:tcPr>
            <w:tcW w:w="5065" w:type="dxa"/>
            <w:tcBorders>
              <w:top w:val="single" w:color="D9D9D9" w:sz="2" w:space="0"/>
              <w:bottom w:val="single" w:color="000000" w:sz="8" w:space="0"/>
            </w:tcBorders>
          </w:tcPr>
          <w:p w:rsidR="00C31389" w:rsidRDefault="00561FBD" w14:paraId="10BB8438" w14:textId="77777777">
            <w:pPr>
              <w:pStyle w:val="TableParagraph"/>
              <w:spacing w:before="155"/>
              <w:ind w:left="132" w:right="150"/>
              <w:rPr>
                <w:sz w:val="20"/>
              </w:rPr>
            </w:pPr>
            <w:r>
              <w:rPr>
                <w:sz w:val="20"/>
              </w:rPr>
              <w:t xml:space="preserve">Using a combination of historic program data </w:t>
            </w:r>
            <w:r>
              <w:rPr>
                <w:sz w:val="20"/>
              </w:rPr>
              <w:t>and 2022 budget filings from in-market IOU FS programs, the</w:t>
            </w:r>
            <w:r>
              <w:rPr>
                <w:spacing w:val="-5"/>
                <w:sz w:val="20"/>
              </w:rPr>
              <w:t xml:space="preserve"> </w:t>
            </w:r>
            <w:r>
              <w:rPr>
                <w:sz w:val="20"/>
              </w:rPr>
              <w:t>2023</w:t>
            </w:r>
            <w:r>
              <w:rPr>
                <w:spacing w:val="-5"/>
                <w:sz w:val="20"/>
              </w:rPr>
              <w:t xml:space="preserve"> </w:t>
            </w:r>
            <w:r>
              <w:rPr>
                <w:sz w:val="20"/>
              </w:rPr>
              <w:t>Potential</w:t>
            </w:r>
            <w:r>
              <w:rPr>
                <w:spacing w:val="-5"/>
                <w:sz w:val="20"/>
              </w:rPr>
              <w:t xml:space="preserve"> </w:t>
            </w:r>
            <w:r>
              <w:rPr>
                <w:sz w:val="20"/>
              </w:rPr>
              <w:t>&amp;</w:t>
            </w:r>
            <w:r>
              <w:rPr>
                <w:spacing w:val="-5"/>
                <w:sz w:val="20"/>
              </w:rPr>
              <w:t xml:space="preserve"> </w:t>
            </w:r>
            <w:r>
              <w:rPr>
                <w:sz w:val="20"/>
              </w:rPr>
              <w:t>Goals</w:t>
            </w:r>
            <w:r>
              <w:rPr>
                <w:spacing w:val="-4"/>
                <w:sz w:val="20"/>
              </w:rPr>
              <w:t xml:space="preserve"> </w:t>
            </w:r>
            <w:r>
              <w:rPr>
                <w:sz w:val="20"/>
              </w:rPr>
              <w:t>model</w:t>
            </w:r>
            <w:r>
              <w:rPr>
                <w:spacing w:val="-7"/>
                <w:sz w:val="20"/>
              </w:rPr>
              <w:t xml:space="preserve"> </w:t>
            </w:r>
            <w:r>
              <w:rPr>
                <w:sz w:val="20"/>
              </w:rPr>
              <w:t>resulted</w:t>
            </w:r>
            <w:r>
              <w:rPr>
                <w:spacing w:val="-5"/>
                <w:sz w:val="20"/>
              </w:rPr>
              <w:t xml:space="preserve"> </w:t>
            </w:r>
            <w:r>
              <w:rPr>
                <w:sz w:val="20"/>
              </w:rPr>
              <w:t>in</w:t>
            </w:r>
            <w:r>
              <w:rPr>
                <w:spacing w:val="-5"/>
                <w:sz w:val="20"/>
              </w:rPr>
              <w:t xml:space="preserve"> </w:t>
            </w:r>
            <w:r>
              <w:rPr>
                <w:sz w:val="20"/>
              </w:rPr>
              <w:t>an</w:t>
            </w:r>
            <w:r>
              <w:rPr>
                <w:spacing w:val="-5"/>
                <w:sz w:val="20"/>
              </w:rPr>
              <w:t xml:space="preserve"> </w:t>
            </w:r>
            <w:r>
              <w:rPr>
                <w:sz w:val="20"/>
              </w:rPr>
              <w:t>81%- 90% lower potential for Residential and Commercial FS measures in Scenarios 1, 2, and 4. This reflects a lower market maturity for these program ty</w:t>
            </w:r>
            <w:r>
              <w:rPr>
                <w:sz w:val="20"/>
              </w:rPr>
              <w:t>pes when compared to EE, which was the basis for the 2021 Study Goals setting Scenario as well as 2023 Scenario 3.</w:t>
            </w:r>
          </w:p>
        </w:tc>
      </w:tr>
    </w:tbl>
    <w:p w:rsidR="00C31389" w:rsidRDefault="00C31389" w14:paraId="25D3E799" w14:textId="77777777">
      <w:pPr>
        <w:rPr>
          <w:sz w:val="20"/>
        </w:rPr>
        <w:sectPr w:rsidR="00C31389">
          <w:pgSz w:w="12240" w:h="15840"/>
          <w:pgMar w:top="1660" w:right="960" w:bottom="1120" w:left="960" w:header="397" w:footer="936" w:gutter="0"/>
          <w:cols w:space="720"/>
        </w:sectPr>
      </w:pPr>
    </w:p>
    <w:p w:rsidR="00C31389" w:rsidRDefault="00C31389" w14:paraId="4D68968C" w14:textId="77777777">
      <w:pPr>
        <w:pStyle w:val="BodyText"/>
        <w:spacing w:before="2"/>
        <w:rPr>
          <w:b/>
          <w:sz w:val="21"/>
        </w:rPr>
      </w:pPr>
    </w:p>
    <w:tbl>
      <w:tblPr>
        <w:tblW w:w="0" w:type="auto"/>
        <w:tblInd w:w="123" w:type="dxa"/>
        <w:tblLayout w:type="fixed"/>
        <w:tblCellMar>
          <w:left w:w="0" w:type="dxa"/>
          <w:right w:w="0" w:type="dxa"/>
        </w:tblCellMar>
        <w:tblLook w:val="01E0" w:firstRow="1" w:lastRow="1" w:firstColumn="1" w:lastColumn="1" w:noHBand="0" w:noVBand="0"/>
      </w:tblPr>
      <w:tblGrid>
        <w:gridCol w:w="2344"/>
        <w:gridCol w:w="2122"/>
        <w:gridCol w:w="524"/>
        <w:gridCol w:w="5074"/>
      </w:tblGrid>
      <w:tr w:rsidR="00C31389" w14:paraId="745E779A" w14:textId="77777777">
        <w:trPr>
          <w:trHeight w:val="549"/>
        </w:trPr>
        <w:tc>
          <w:tcPr>
            <w:tcW w:w="2344" w:type="dxa"/>
            <w:shd w:val="clear" w:color="auto" w:fill="92D400"/>
          </w:tcPr>
          <w:p w:rsidR="00C31389" w:rsidRDefault="00561FBD" w14:paraId="40645B04" w14:textId="77777777">
            <w:pPr>
              <w:pStyle w:val="TableParagraph"/>
              <w:spacing w:before="155"/>
              <w:ind w:left="122"/>
              <w:rPr>
                <w:b/>
                <w:sz w:val="20"/>
              </w:rPr>
            </w:pPr>
            <w:r>
              <w:rPr>
                <w:b/>
                <w:spacing w:val="-2"/>
                <w:sz w:val="20"/>
              </w:rPr>
              <w:t>Category</w:t>
            </w:r>
          </w:p>
        </w:tc>
        <w:tc>
          <w:tcPr>
            <w:tcW w:w="2122" w:type="dxa"/>
            <w:shd w:val="clear" w:color="auto" w:fill="92D400"/>
          </w:tcPr>
          <w:p w:rsidR="00C31389" w:rsidRDefault="00561FBD" w14:paraId="65048058" w14:textId="77777777">
            <w:pPr>
              <w:pStyle w:val="TableParagraph"/>
              <w:ind w:left="118" w:right="174"/>
              <w:rPr>
                <w:b/>
                <w:sz w:val="20"/>
              </w:rPr>
            </w:pPr>
            <w:r>
              <w:rPr>
                <w:b/>
                <w:sz w:val="20"/>
              </w:rPr>
              <w:t>Update</w:t>
            </w:r>
            <w:r>
              <w:rPr>
                <w:b/>
                <w:spacing w:val="-14"/>
                <w:sz w:val="20"/>
              </w:rPr>
              <w:t xml:space="preserve"> </w:t>
            </w:r>
            <w:r>
              <w:rPr>
                <w:b/>
                <w:sz w:val="20"/>
              </w:rPr>
              <w:t>Relative</w:t>
            </w:r>
            <w:r>
              <w:rPr>
                <w:b/>
                <w:spacing w:val="-14"/>
                <w:sz w:val="20"/>
              </w:rPr>
              <w:t xml:space="preserve"> </w:t>
            </w:r>
            <w:r>
              <w:rPr>
                <w:b/>
                <w:sz w:val="20"/>
              </w:rPr>
              <w:t>to Previous Study</w:t>
            </w:r>
          </w:p>
        </w:tc>
        <w:tc>
          <w:tcPr>
            <w:tcW w:w="5598" w:type="dxa"/>
            <w:gridSpan w:val="2"/>
            <w:shd w:val="clear" w:color="auto" w:fill="92D400"/>
          </w:tcPr>
          <w:p w:rsidR="00C31389" w:rsidRDefault="00561FBD" w14:paraId="78BC8C47" w14:textId="77777777">
            <w:pPr>
              <w:pStyle w:val="TableParagraph"/>
              <w:ind w:left="156"/>
              <w:rPr>
                <w:b/>
                <w:sz w:val="20"/>
              </w:rPr>
            </w:pPr>
            <w:r>
              <w:rPr>
                <w:b/>
                <w:sz w:val="20"/>
              </w:rPr>
              <w:t>Directional</w:t>
            </w:r>
            <w:r>
              <w:rPr>
                <w:b/>
                <w:spacing w:val="-5"/>
                <w:sz w:val="20"/>
              </w:rPr>
              <w:t xml:space="preserve"> </w:t>
            </w:r>
            <w:r>
              <w:rPr>
                <w:b/>
                <w:sz w:val="20"/>
              </w:rPr>
              <w:t>Impact</w:t>
            </w:r>
            <w:r>
              <w:rPr>
                <w:b/>
                <w:spacing w:val="-4"/>
                <w:sz w:val="20"/>
              </w:rPr>
              <w:t xml:space="preserve"> </w:t>
            </w:r>
            <w:r>
              <w:rPr>
                <w:b/>
                <w:sz w:val="20"/>
              </w:rPr>
              <w:t>on</w:t>
            </w:r>
            <w:r>
              <w:rPr>
                <w:b/>
                <w:spacing w:val="-5"/>
                <w:sz w:val="20"/>
              </w:rPr>
              <w:t xml:space="preserve"> </w:t>
            </w:r>
            <w:r>
              <w:rPr>
                <w:b/>
                <w:sz w:val="20"/>
              </w:rPr>
              <w:t>the</w:t>
            </w:r>
            <w:r>
              <w:rPr>
                <w:b/>
                <w:spacing w:val="-5"/>
                <w:sz w:val="20"/>
              </w:rPr>
              <w:t xml:space="preserve"> </w:t>
            </w:r>
            <w:r>
              <w:rPr>
                <w:b/>
                <w:sz w:val="20"/>
              </w:rPr>
              <w:t>2023</w:t>
            </w:r>
            <w:r>
              <w:rPr>
                <w:b/>
                <w:spacing w:val="-5"/>
                <w:sz w:val="20"/>
              </w:rPr>
              <w:t xml:space="preserve"> </w:t>
            </w:r>
            <w:r>
              <w:rPr>
                <w:b/>
                <w:sz w:val="20"/>
              </w:rPr>
              <w:t>PG</w:t>
            </w:r>
            <w:r>
              <w:rPr>
                <w:b/>
                <w:spacing w:val="-5"/>
                <w:sz w:val="20"/>
              </w:rPr>
              <w:t xml:space="preserve"> </w:t>
            </w:r>
            <w:r>
              <w:rPr>
                <w:b/>
                <w:sz w:val="20"/>
              </w:rPr>
              <w:t>Study</w:t>
            </w:r>
            <w:r>
              <w:rPr>
                <w:b/>
                <w:spacing w:val="-5"/>
                <w:sz w:val="20"/>
              </w:rPr>
              <w:t xml:space="preserve"> </w:t>
            </w:r>
            <w:r>
              <w:rPr>
                <w:b/>
                <w:sz w:val="20"/>
              </w:rPr>
              <w:t>Relative</w:t>
            </w:r>
            <w:r>
              <w:rPr>
                <w:b/>
                <w:spacing w:val="-5"/>
                <w:sz w:val="20"/>
              </w:rPr>
              <w:t xml:space="preserve"> </w:t>
            </w:r>
            <w:r>
              <w:rPr>
                <w:b/>
                <w:sz w:val="20"/>
              </w:rPr>
              <w:t>to</w:t>
            </w:r>
            <w:r>
              <w:rPr>
                <w:b/>
                <w:spacing w:val="-5"/>
                <w:sz w:val="20"/>
              </w:rPr>
              <w:t xml:space="preserve"> </w:t>
            </w:r>
            <w:r>
              <w:rPr>
                <w:b/>
                <w:sz w:val="20"/>
              </w:rPr>
              <w:t>the 2021 PG Study</w:t>
            </w:r>
          </w:p>
        </w:tc>
      </w:tr>
      <w:tr w:rsidR="00C31389" w14:paraId="059B6CCC" w14:textId="77777777">
        <w:trPr>
          <w:trHeight w:val="2145"/>
        </w:trPr>
        <w:tc>
          <w:tcPr>
            <w:tcW w:w="2344" w:type="dxa"/>
            <w:tcBorders>
              <w:bottom w:val="single" w:color="D9D9D9" w:sz="2" w:space="0"/>
            </w:tcBorders>
          </w:tcPr>
          <w:p w:rsidR="00C31389" w:rsidRDefault="00C31389" w14:paraId="671F39DE" w14:textId="77777777">
            <w:pPr>
              <w:pStyle w:val="TableParagraph"/>
              <w:spacing w:before="0"/>
              <w:rPr>
                <w:b/>
              </w:rPr>
            </w:pPr>
          </w:p>
          <w:p w:rsidR="00C31389" w:rsidRDefault="00C31389" w14:paraId="33FBDB48" w14:textId="77777777">
            <w:pPr>
              <w:pStyle w:val="TableParagraph"/>
              <w:spacing w:before="0"/>
              <w:rPr>
                <w:b/>
              </w:rPr>
            </w:pPr>
          </w:p>
          <w:p w:rsidR="00C31389" w:rsidRDefault="00C31389" w14:paraId="601826A1" w14:textId="77777777">
            <w:pPr>
              <w:pStyle w:val="TableParagraph"/>
              <w:spacing w:before="0"/>
              <w:rPr>
                <w:b/>
              </w:rPr>
            </w:pPr>
          </w:p>
          <w:p w:rsidR="00C31389" w:rsidRDefault="00561FBD" w14:paraId="198EE7A6" w14:textId="77777777">
            <w:pPr>
              <w:pStyle w:val="TableParagraph"/>
              <w:spacing w:before="197"/>
              <w:ind w:left="122"/>
              <w:rPr>
                <w:b/>
                <w:sz w:val="20"/>
              </w:rPr>
            </w:pPr>
            <w:r>
              <w:rPr>
                <w:b/>
                <w:sz w:val="20"/>
              </w:rPr>
              <w:t>Natural</w:t>
            </w:r>
            <w:r>
              <w:rPr>
                <w:b/>
                <w:spacing w:val="-2"/>
                <w:sz w:val="20"/>
              </w:rPr>
              <w:t xml:space="preserve"> </w:t>
            </w:r>
            <w:r>
              <w:rPr>
                <w:b/>
                <w:sz w:val="20"/>
              </w:rPr>
              <w:t>Gas</w:t>
            </w:r>
            <w:r>
              <w:rPr>
                <w:b/>
                <w:spacing w:val="-3"/>
                <w:sz w:val="20"/>
              </w:rPr>
              <w:t xml:space="preserve"> </w:t>
            </w:r>
            <w:r>
              <w:rPr>
                <w:b/>
                <w:spacing w:val="-2"/>
                <w:sz w:val="20"/>
              </w:rPr>
              <w:t>Measures</w:t>
            </w:r>
          </w:p>
        </w:tc>
        <w:tc>
          <w:tcPr>
            <w:tcW w:w="2122" w:type="dxa"/>
            <w:tcBorders>
              <w:bottom w:val="single" w:color="D9D9D9" w:sz="2" w:space="0"/>
            </w:tcBorders>
          </w:tcPr>
          <w:p w:rsidR="00C31389" w:rsidRDefault="00C31389" w14:paraId="1A599A22" w14:textId="77777777">
            <w:pPr>
              <w:pStyle w:val="TableParagraph"/>
              <w:spacing w:before="1"/>
              <w:rPr>
                <w:b/>
                <w:sz w:val="23"/>
              </w:rPr>
            </w:pPr>
          </w:p>
          <w:p w:rsidR="00C31389" w:rsidRDefault="00561FBD" w14:paraId="7A7AC11F" w14:textId="77777777">
            <w:pPr>
              <w:pStyle w:val="TableParagraph"/>
              <w:spacing w:before="0"/>
              <w:ind w:left="118" w:right="174"/>
              <w:rPr>
                <w:sz w:val="20"/>
              </w:rPr>
            </w:pPr>
            <w:r>
              <w:rPr>
                <w:sz w:val="20"/>
              </w:rPr>
              <w:t>California Air Resources Board (CARB) State Implementation</w:t>
            </w:r>
            <w:r>
              <w:rPr>
                <w:spacing w:val="-14"/>
                <w:sz w:val="20"/>
              </w:rPr>
              <w:t xml:space="preserve"> </w:t>
            </w:r>
            <w:r>
              <w:rPr>
                <w:sz w:val="20"/>
              </w:rPr>
              <w:t xml:space="preserve">Plan (SIP) ruling for natural gas </w:t>
            </w:r>
            <w:r>
              <w:rPr>
                <w:spacing w:val="-2"/>
                <w:sz w:val="20"/>
              </w:rPr>
              <w:t>appliances</w:t>
            </w:r>
          </w:p>
        </w:tc>
        <w:tc>
          <w:tcPr>
            <w:tcW w:w="524" w:type="dxa"/>
            <w:tcBorders>
              <w:bottom w:val="single" w:color="D9D9D9" w:sz="2" w:space="0"/>
            </w:tcBorders>
          </w:tcPr>
          <w:p w:rsidR="00C31389" w:rsidRDefault="00C31389" w14:paraId="524FB9FF" w14:textId="77777777">
            <w:pPr>
              <w:pStyle w:val="TableParagraph"/>
              <w:spacing w:before="0"/>
              <w:rPr>
                <w:b/>
                <w:sz w:val="44"/>
              </w:rPr>
            </w:pPr>
          </w:p>
          <w:p w:rsidR="00C31389" w:rsidRDefault="00561FBD" w14:paraId="579F4FAA" w14:textId="77777777">
            <w:pPr>
              <w:pStyle w:val="TableParagraph"/>
              <w:spacing w:before="334"/>
              <w:ind w:right="130"/>
              <w:jc w:val="right"/>
              <w:rPr>
                <w:b/>
                <w:sz w:val="40"/>
              </w:rPr>
            </w:pPr>
            <w:r>
              <w:rPr>
                <w:b/>
                <w:color w:val="FF0000"/>
                <w:w w:val="99"/>
                <w:sz w:val="40"/>
              </w:rPr>
              <w:t>↓</w:t>
            </w:r>
          </w:p>
        </w:tc>
        <w:tc>
          <w:tcPr>
            <w:tcW w:w="5074" w:type="dxa"/>
            <w:tcBorders>
              <w:bottom w:val="single" w:color="D9D9D9" w:sz="2" w:space="0"/>
            </w:tcBorders>
          </w:tcPr>
          <w:p w:rsidR="00C31389" w:rsidRDefault="00561FBD" w14:paraId="15C01968" w14:textId="77777777">
            <w:pPr>
              <w:pStyle w:val="TableParagraph"/>
              <w:spacing w:before="35"/>
              <w:ind w:left="131" w:right="136"/>
              <w:rPr>
                <w:sz w:val="20"/>
              </w:rPr>
            </w:pPr>
            <w:r>
              <w:rPr>
                <w:sz w:val="20"/>
              </w:rPr>
              <w:t>The CARB decision to work towards banning the sale of natural gas appliances for which there is a viable electric alternative w</w:t>
            </w:r>
            <w:r>
              <w:rPr>
                <w:sz w:val="20"/>
              </w:rPr>
              <w:t>as incorporated into the 2023 Study,</w:t>
            </w:r>
            <w:r>
              <w:rPr>
                <w:spacing w:val="-5"/>
                <w:sz w:val="20"/>
              </w:rPr>
              <w:t xml:space="preserve"> </w:t>
            </w:r>
            <w:r>
              <w:rPr>
                <w:sz w:val="20"/>
              </w:rPr>
              <w:t>resulting</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removal</w:t>
            </w:r>
            <w:r>
              <w:rPr>
                <w:spacing w:val="-5"/>
                <w:sz w:val="20"/>
              </w:rPr>
              <w:t xml:space="preserve"> </w:t>
            </w:r>
            <w:r>
              <w:rPr>
                <w:sz w:val="20"/>
              </w:rPr>
              <w:t>of</w:t>
            </w:r>
            <w:r>
              <w:rPr>
                <w:spacing w:val="-6"/>
                <w:sz w:val="20"/>
              </w:rPr>
              <w:t xml:space="preserve"> </w:t>
            </w:r>
            <w:r>
              <w:rPr>
                <w:sz w:val="20"/>
              </w:rPr>
              <w:t>applicable</w:t>
            </w:r>
            <w:r>
              <w:rPr>
                <w:spacing w:val="-5"/>
                <w:sz w:val="20"/>
              </w:rPr>
              <w:t xml:space="preserve"> </w:t>
            </w:r>
            <w:r>
              <w:rPr>
                <w:sz w:val="20"/>
              </w:rPr>
              <w:t>measures from consideration after 2030. This yields a 91-99% year-over year drop in FS achievable potential in 2030</w:t>
            </w:r>
            <w:hyperlink w:history="1" w:anchor="_bookmark11">
              <w:r>
                <w:rPr>
                  <w:sz w:val="20"/>
                  <w:vertAlign w:val="superscript"/>
                </w:rPr>
                <w:t>4</w:t>
              </w:r>
            </w:hyperlink>
            <w:r>
              <w:rPr>
                <w:sz w:val="20"/>
              </w:rPr>
              <w:t xml:space="preserve"> as well as a 50% reduction in EE potential for gas EE measures attributed to HVAC and Water Heating end uses.</w:t>
            </w:r>
          </w:p>
        </w:tc>
      </w:tr>
      <w:tr w:rsidR="00C31389" w14:paraId="56D65870" w14:textId="77777777">
        <w:trPr>
          <w:trHeight w:val="2349"/>
        </w:trPr>
        <w:tc>
          <w:tcPr>
            <w:tcW w:w="2344" w:type="dxa"/>
            <w:tcBorders>
              <w:top w:val="single" w:color="D9D9D9" w:sz="2" w:space="0"/>
              <w:bottom w:val="single" w:color="D9D9D9" w:sz="2" w:space="0"/>
            </w:tcBorders>
          </w:tcPr>
          <w:p w:rsidR="00C31389" w:rsidRDefault="00C31389" w14:paraId="36A9828F" w14:textId="77777777">
            <w:pPr>
              <w:pStyle w:val="TableParagraph"/>
              <w:spacing w:before="0"/>
              <w:rPr>
                <w:b/>
              </w:rPr>
            </w:pPr>
          </w:p>
          <w:p w:rsidR="00C31389" w:rsidRDefault="00C31389" w14:paraId="2002877C" w14:textId="77777777">
            <w:pPr>
              <w:pStyle w:val="TableParagraph"/>
              <w:spacing w:before="0"/>
              <w:rPr>
                <w:b/>
              </w:rPr>
            </w:pPr>
          </w:p>
          <w:p w:rsidR="00C31389" w:rsidRDefault="00C31389" w14:paraId="1C146A3A" w14:textId="77777777">
            <w:pPr>
              <w:pStyle w:val="TableParagraph"/>
              <w:spacing w:before="6"/>
              <w:rPr>
                <w:b/>
                <w:sz w:val="29"/>
              </w:rPr>
            </w:pPr>
          </w:p>
          <w:p w:rsidR="00C31389" w:rsidRDefault="00561FBD" w14:paraId="563C062A" w14:textId="77777777">
            <w:pPr>
              <w:pStyle w:val="TableParagraph"/>
              <w:spacing w:before="0"/>
              <w:ind w:left="122" w:right="405"/>
              <w:rPr>
                <w:b/>
                <w:sz w:val="20"/>
              </w:rPr>
            </w:pPr>
            <w:r>
              <w:rPr>
                <w:b/>
                <w:sz w:val="20"/>
              </w:rPr>
              <w:t>Inflation</w:t>
            </w:r>
            <w:r>
              <w:rPr>
                <w:b/>
                <w:spacing w:val="-14"/>
                <w:sz w:val="20"/>
              </w:rPr>
              <w:t xml:space="preserve"> </w:t>
            </w:r>
            <w:r>
              <w:rPr>
                <w:b/>
                <w:sz w:val="20"/>
              </w:rPr>
              <w:t>Reduction Act (IRA)</w:t>
            </w:r>
          </w:p>
        </w:tc>
        <w:tc>
          <w:tcPr>
            <w:tcW w:w="2122" w:type="dxa"/>
            <w:tcBorders>
              <w:top w:val="single" w:color="D9D9D9" w:sz="2" w:space="0"/>
              <w:bottom w:val="single" w:color="D9D9D9" w:sz="2" w:space="0"/>
            </w:tcBorders>
          </w:tcPr>
          <w:p w:rsidR="00C31389" w:rsidRDefault="00561FBD" w14:paraId="57C563F4" w14:textId="77777777">
            <w:pPr>
              <w:pStyle w:val="TableParagraph"/>
              <w:spacing w:before="155"/>
              <w:ind w:left="118" w:right="207"/>
              <w:rPr>
                <w:sz w:val="20"/>
              </w:rPr>
            </w:pPr>
            <w:r>
              <w:rPr>
                <w:sz w:val="20"/>
              </w:rPr>
              <w:t xml:space="preserve">Tax credits for eligible residential and commercial EE and FS measures were incorporated into Economic and </w:t>
            </w:r>
            <w:r>
              <w:rPr>
                <w:sz w:val="20"/>
              </w:rPr>
              <w:t>Achievable</w:t>
            </w:r>
            <w:r>
              <w:rPr>
                <w:spacing w:val="-14"/>
                <w:sz w:val="20"/>
              </w:rPr>
              <w:t xml:space="preserve"> </w:t>
            </w:r>
            <w:r>
              <w:rPr>
                <w:sz w:val="20"/>
              </w:rPr>
              <w:t xml:space="preserve">potential </w:t>
            </w:r>
            <w:r>
              <w:rPr>
                <w:spacing w:val="-2"/>
                <w:sz w:val="20"/>
              </w:rPr>
              <w:t>analyses</w:t>
            </w:r>
          </w:p>
        </w:tc>
        <w:tc>
          <w:tcPr>
            <w:tcW w:w="524" w:type="dxa"/>
            <w:tcBorders>
              <w:top w:val="single" w:color="D9D9D9" w:sz="2" w:space="0"/>
              <w:bottom w:val="single" w:color="D9D9D9" w:sz="2" w:space="0"/>
            </w:tcBorders>
          </w:tcPr>
          <w:p w:rsidR="00C31389" w:rsidRDefault="00C31389" w14:paraId="4A987AA8" w14:textId="77777777">
            <w:pPr>
              <w:pStyle w:val="TableParagraph"/>
              <w:spacing w:before="0"/>
              <w:rPr>
                <w:b/>
                <w:sz w:val="44"/>
              </w:rPr>
            </w:pPr>
          </w:p>
          <w:p w:rsidR="00C31389" w:rsidRDefault="00C31389" w14:paraId="56A651E7" w14:textId="77777777">
            <w:pPr>
              <w:pStyle w:val="TableParagraph"/>
              <w:spacing w:before="1"/>
              <w:rPr>
                <w:b/>
                <w:sz w:val="38"/>
              </w:rPr>
            </w:pPr>
          </w:p>
          <w:p w:rsidR="00C31389" w:rsidRDefault="00561FBD" w14:paraId="45A0E0B6" w14:textId="77777777">
            <w:pPr>
              <w:pStyle w:val="TableParagraph"/>
              <w:spacing w:before="0"/>
              <w:ind w:right="130"/>
              <w:jc w:val="right"/>
              <w:rPr>
                <w:b/>
                <w:sz w:val="40"/>
              </w:rPr>
            </w:pPr>
            <w:r>
              <w:rPr>
                <w:b/>
                <w:color w:val="00AF50"/>
                <w:w w:val="99"/>
                <w:sz w:val="40"/>
              </w:rPr>
              <w:t>↑</w:t>
            </w:r>
          </w:p>
        </w:tc>
        <w:tc>
          <w:tcPr>
            <w:tcW w:w="5074" w:type="dxa"/>
            <w:tcBorders>
              <w:top w:val="single" w:color="D9D9D9" w:sz="2" w:space="0"/>
              <w:bottom w:val="single" w:color="D9D9D9" w:sz="2" w:space="0"/>
            </w:tcBorders>
          </w:tcPr>
          <w:p w:rsidR="00C31389" w:rsidRDefault="00561FBD" w14:paraId="47D97F22" w14:textId="77777777">
            <w:pPr>
              <w:pStyle w:val="TableParagraph"/>
              <w:ind w:left="131" w:right="116"/>
              <w:rPr>
                <w:sz w:val="20"/>
              </w:rPr>
            </w:pPr>
            <w:r>
              <w:rPr>
                <w:sz w:val="20"/>
              </w:rPr>
              <w:t>The IRA is shown to have an impact on achievable potential for both EE equipment (14%-15% increase) and</w:t>
            </w:r>
            <w:r>
              <w:rPr>
                <w:spacing w:val="-6"/>
                <w:sz w:val="20"/>
              </w:rPr>
              <w:t xml:space="preserve"> </w:t>
            </w:r>
            <w:r>
              <w:rPr>
                <w:sz w:val="20"/>
              </w:rPr>
              <w:t>FS</w:t>
            </w:r>
            <w:r>
              <w:rPr>
                <w:spacing w:val="-6"/>
                <w:sz w:val="20"/>
              </w:rPr>
              <w:t xml:space="preserve"> </w:t>
            </w:r>
            <w:r>
              <w:rPr>
                <w:sz w:val="20"/>
              </w:rPr>
              <w:t>equipment</w:t>
            </w:r>
            <w:r>
              <w:rPr>
                <w:spacing w:val="-6"/>
                <w:sz w:val="20"/>
              </w:rPr>
              <w:t xml:space="preserve"> </w:t>
            </w:r>
            <w:r>
              <w:rPr>
                <w:sz w:val="20"/>
              </w:rPr>
              <w:t>(41%-42%</w:t>
            </w:r>
            <w:r>
              <w:rPr>
                <w:spacing w:val="-5"/>
                <w:sz w:val="20"/>
              </w:rPr>
              <w:t xml:space="preserve"> </w:t>
            </w:r>
            <w:r>
              <w:rPr>
                <w:sz w:val="20"/>
              </w:rPr>
              <w:t>increase)</w:t>
            </w:r>
            <w:r>
              <w:rPr>
                <w:spacing w:val="-7"/>
                <w:sz w:val="20"/>
              </w:rPr>
              <w:t xml:space="preserve"> </w:t>
            </w:r>
            <w:r>
              <w:rPr>
                <w:sz w:val="20"/>
              </w:rPr>
              <w:t>in</w:t>
            </w:r>
            <w:r>
              <w:rPr>
                <w:spacing w:val="-6"/>
                <w:sz w:val="20"/>
              </w:rPr>
              <w:t xml:space="preserve"> </w:t>
            </w:r>
            <w:r>
              <w:rPr>
                <w:sz w:val="20"/>
              </w:rPr>
              <w:t>Scenarios</w:t>
            </w:r>
            <w:r>
              <w:rPr>
                <w:spacing w:val="-6"/>
                <w:sz w:val="20"/>
              </w:rPr>
              <w:t xml:space="preserve"> </w:t>
            </w:r>
            <w:r>
              <w:rPr>
                <w:sz w:val="20"/>
              </w:rPr>
              <w:t xml:space="preserve">2 and 4. These increases were primarily the result of </w:t>
            </w:r>
            <w:r>
              <w:rPr>
                <w:sz w:val="20"/>
              </w:rPr>
              <w:t>additional measures becoming cost-effective due to the effective reduction in measure incremental cost.</w:t>
            </w:r>
          </w:p>
          <w:p w:rsidR="00C31389" w:rsidRDefault="00561FBD" w14:paraId="7DEF0D18" w14:textId="77777777">
            <w:pPr>
              <w:pStyle w:val="TableParagraph"/>
              <w:spacing w:before="0"/>
              <w:ind w:left="131" w:right="136"/>
              <w:rPr>
                <w:sz w:val="20"/>
              </w:rPr>
            </w:pPr>
            <w:r>
              <w:rPr>
                <w:sz w:val="20"/>
              </w:rPr>
              <w:t>The largest tax credit impacts were seen for Residential</w:t>
            </w:r>
            <w:r>
              <w:rPr>
                <w:spacing w:val="-6"/>
                <w:sz w:val="20"/>
              </w:rPr>
              <w:t xml:space="preserve"> </w:t>
            </w:r>
            <w:r>
              <w:rPr>
                <w:sz w:val="20"/>
              </w:rPr>
              <w:t>heat</w:t>
            </w:r>
            <w:r>
              <w:rPr>
                <w:spacing w:val="-6"/>
                <w:sz w:val="20"/>
              </w:rPr>
              <w:t xml:space="preserve"> </w:t>
            </w:r>
            <w:r>
              <w:rPr>
                <w:sz w:val="20"/>
              </w:rPr>
              <w:t>pump</w:t>
            </w:r>
            <w:r>
              <w:rPr>
                <w:spacing w:val="-6"/>
                <w:sz w:val="20"/>
              </w:rPr>
              <w:t xml:space="preserve"> </w:t>
            </w:r>
            <w:r>
              <w:rPr>
                <w:sz w:val="20"/>
              </w:rPr>
              <w:t>HVAC</w:t>
            </w:r>
            <w:r>
              <w:rPr>
                <w:spacing w:val="-5"/>
                <w:sz w:val="20"/>
              </w:rPr>
              <w:t xml:space="preserve"> </w:t>
            </w:r>
            <w:r>
              <w:rPr>
                <w:sz w:val="20"/>
              </w:rPr>
              <w:t>and</w:t>
            </w:r>
            <w:r>
              <w:rPr>
                <w:spacing w:val="-6"/>
                <w:sz w:val="20"/>
              </w:rPr>
              <w:t xml:space="preserve"> </w:t>
            </w:r>
            <w:r>
              <w:rPr>
                <w:sz w:val="20"/>
              </w:rPr>
              <w:t>water</w:t>
            </w:r>
            <w:r>
              <w:rPr>
                <w:spacing w:val="-7"/>
                <w:sz w:val="20"/>
              </w:rPr>
              <w:t xml:space="preserve"> </w:t>
            </w:r>
            <w:r>
              <w:rPr>
                <w:sz w:val="20"/>
              </w:rPr>
              <w:t xml:space="preserve">heating </w:t>
            </w:r>
            <w:r>
              <w:rPr>
                <w:spacing w:val="-2"/>
                <w:sz w:val="20"/>
              </w:rPr>
              <w:t>measures.</w:t>
            </w:r>
          </w:p>
        </w:tc>
      </w:tr>
      <w:tr w:rsidR="00C31389" w14:paraId="368C2A1E" w14:textId="77777777">
        <w:trPr>
          <w:trHeight w:val="2839"/>
        </w:trPr>
        <w:tc>
          <w:tcPr>
            <w:tcW w:w="2344" w:type="dxa"/>
            <w:tcBorders>
              <w:top w:val="single" w:color="D9D9D9" w:sz="2" w:space="0"/>
              <w:bottom w:val="single" w:color="000000" w:sz="8" w:space="0"/>
            </w:tcBorders>
          </w:tcPr>
          <w:p w:rsidR="00C31389" w:rsidRDefault="00C31389" w14:paraId="780BB14D" w14:textId="77777777">
            <w:pPr>
              <w:pStyle w:val="TableParagraph"/>
              <w:spacing w:before="0"/>
              <w:rPr>
                <w:b/>
              </w:rPr>
            </w:pPr>
          </w:p>
          <w:p w:rsidR="00C31389" w:rsidRDefault="00C31389" w14:paraId="739DD766" w14:textId="77777777">
            <w:pPr>
              <w:pStyle w:val="TableParagraph"/>
              <w:spacing w:before="0"/>
              <w:rPr>
                <w:b/>
              </w:rPr>
            </w:pPr>
          </w:p>
          <w:p w:rsidR="00C31389" w:rsidRDefault="00C31389" w14:paraId="095D4AC9" w14:textId="77777777">
            <w:pPr>
              <w:pStyle w:val="TableParagraph"/>
              <w:spacing w:before="0"/>
              <w:rPr>
                <w:b/>
              </w:rPr>
            </w:pPr>
          </w:p>
          <w:p w:rsidR="00C31389" w:rsidRDefault="00C31389" w14:paraId="5B0AB5B1" w14:textId="77777777">
            <w:pPr>
              <w:pStyle w:val="TableParagraph"/>
              <w:spacing w:before="6"/>
              <w:rPr>
                <w:b/>
                <w:sz w:val="17"/>
              </w:rPr>
            </w:pPr>
          </w:p>
          <w:p w:rsidR="00C31389" w:rsidRDefault="00561FBD" w14:paraId="44E93BBD" w14:textId="77777777">
            <w:pPr>
              <w:pStyle w:val="TableParagraph"/>
              <w:spacing w:before="0"/>
              <w:ind w:left="122" w:right="30"/>
              <w:rPr>
                <w:b/>
                <w:sz w:val="20"/>
              </w:rPr>
            </w:pPr>
            <w:r>
              <w:rPr>
                <w:b/>
                <w:spacing w:val="-2"/>
                <w:sz w:val="20"/>
              </w:rPr>
              <w:t xml:space="preserve">Behavior, Retrocommissioning, </w:t>
            </w:r>
            <w:r>
              <w:rPr>
                <w:b/>
                <w:sz w:val="20"/>
              </w:rPr>
              <w:t>and Operational (</w:t>
            </w:r>
            <w:r>
              <w:rPr>
                <w:b/>
                <w:sz w:val="20"/>
              </w:rPr>
              <w:t>BROs) Interventions</w:t>
            </w:r>
          </w:p>
        </w:tc>
        <w:tc>
          <w:tcPr>
            <w:tcW w:w="2122" w:type="dxa"/>
            <w:tcBorders>
              <w:top w:val="single" w:color="D9D9D9" w:sz="2" w:space="0"/>
              <w:bottom w:val="single" w:color="000000" w:sz="8" w:space="0"/>
            </w:tcBorders>
          </w:tcPr>
          <w:p w:rsidR="00C31389" w:rsidRDefault="00C31389" w14:paraId="42A5A5D7" w14:textId="77777777">
            <w:pPr>
              <w:pStyle w:val="TableParagraph"/>
              <w:spacing w:before="0"/>
              <w:rPr>
                <w:b/>
              </w:rPr>
            </w:pPr>
          </w:p>
          <w:p w:rsidR="00C31389" w:rsidRDefault="00561FBD" w14:paraId="67D7FD53" w14:textId="77777777">
            <w:pPr>
              <w:pStyle w:val="TableParagraph"/>
              <w:spacing w:before="133"/>
              <w:ind w:left="118" w:right="23"/>
              <w:rPr>
                <w:sz w:val="20"/>
              </w:rPr>
            </w:pPr>
            <w:r>
              <w:rPr>
                <w:sz w:val="20"/>
              </w:rPr>
              <w:t>Introduced multiple home</w:t>
            </w:r>
            <w:r>
              <w:rPr>
                <w:spacing w:val="-14"/>
                <w:sz w:val="20"/>
              </w:rPr>
              <w:t xml:space="preserve"> </w:t>
            </w:r>
            <w:r>
              <w:rPr>
                <w:sz w:val="20"/>
              </w:rPr>
              <w:t>energy</w:t>
            </w:r>
            <w:r>
              <w:rPr>
                <w:spacing w:val="-14"/>
                <w:sz w:val="20"/>
              </w:rPr>
              <w:t xml:space="preserve"> </w:t>
            </w:r>
            <w:r>
              <w:rPr>
                <w:sz w:val="20"/>
              </w:rPr>
              <w:t xml:space="preserve">reports (HERs) participant bins representing refined assumptions for energy savings through expanded delivery of this </w:t>
            </w:r>
            <w:r>
              <w:rPr>
                <w:spacing w:val="-2"/>
                <w:sz w:val="20"/>
              </w:rPr>
              <w:t>measure</w:t>
            </w:r>
          </w:p>
        </w:tc>
        <w:tc>
          <w:tcPr>
            <w:tcW w:w="524" w:type="dxa"/>
            <w:tcBorders>
              <w:top w:val="single" w:color="D9D9D9" w:sz="2" w:space="0"/>
              <w:bottom w:val="single" w:color="000000" w:sz="8" w:space="0"/>
            </w:tcBorders>
          </w:tcPr>
          <w:p w:rsidR="00C31389" w:rsidRDefault="00C31389" w14:paraId="641E3949" w14:textId="77777777">
            <w:pPr>
              <w:pStyle w:val="TableParagraph"/>
              <w:spacing w:before="0"/>
              <w:rPr>
                <w:b/>
                <w:sz w:val="44"/>
              </w:rPr>
            </w:pPr>
          </w:p>
          <w:p w:rsidR="00C31389" w:rsidRDefault="00C31389" w14:paraId="76888114" w14:textId="77777777">
            <w:pPr>
              <w:pStyle w:val="TableParagraph"/>
              <w:spacing w:before="5"/>
              <w:rPr>
                <w:b/>
                <w:sz w:val="59"/>
              </w:rPr>
            </w:pPr>
          </w:p>
          <w:p w:rsidR="00C31389" w:rsidRDefault="00561FBD" w14:paraId="6DCCDB1E" w14:textId="77777777">
            <w:pPr>
              <w:pStyle w:val="TableParagraph"/>
              <w:spacing w:before="0"/>
              <w:ind w:right="130"/>
              <w:jc w:val="right"/>
              <w:rPr>
                <w:b/>
                <w:sz w:val="40"/>
              </w:rPr>
            </w:pPr>
            <w:r>
              <w:rPr>
                <w:b/>
                <w:color w:val="FF0000"/>
                <w:w w:val="99"/>
                <w:sz w:val="40"/>
              </w:rPr>
              <w:t>↓</w:t>
            </w:r>
          </w:p>
        </w:tc>
        <w:tc>
          <w:tcPr>
            <w:tcW w:w="5074" w:type="dxa"/>
            <w:tcBorders>
              <w:top w:val="single" w:color="D9D9D9" w:sz="2" w:space="0"/>
              <w:bottom w:val="single" w:color="000000" w:sz="8" w:space="0"/>
            </w:tcBorders>
          </w:tcPr>
          <w:p w:rsidR="00C31389" w:rsidRDefault="00561FBD" w14:paraId="66FEFBAB" w14:textId="77777777">
            <w:pPr>
              <w:pStyle w:val="TableParagraph"/>
              <w:ind w:left="131" w:right="136"/>
              <w:rPr>
                <w:sz w:val="20"/>
              </w:rPr>
            </w:pPr>
            <w:r>
              <w:rPr>
                <w:sz w:val="20"/>
              </w:rPr>
              <w:t>HERs participants are binned into low, medium and high savers. Incrementally new participants in the future</w:t>
            </w:r>
            <w:r>
              <w:rPr>
                <w:spacing w:val="-4"/>
                <w:sz w:val="20"/>
              </w:rPr>
              <w:t xml:space="preserve"> </w:t>
            </w:r>
            <w:r>
              <w:rPr>
                <w:sz w:val="20"/>
              </w:rPr>
              <w:t>are</w:t>
            </w:r>
            <w:r>
              <w:rPr>
                <w:spacing w:val="-4"/>
                <w:sz w:val="20"/>
              </w:rPr>
              <w:t xml:space="preserve"> </w:t>
            </w:r>
            <w:r>
              <w:rPr>
                <w:sz w:val="20"/>
              </w:rPr>
              <w:t>assumed</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low</w:t>
            </w:r>
            <w:r>
              <w:rPr>
                <w:spacing w:val="-3"/>
                <w:sz w:val="20"/>
              </w:rPr>
              <w:t xml:space="preserve"> </w:t>
            </w:r>
            <w:r>
              <w:rPr>
                <w:sz w:val="20"/>
              </w:rPr>
              <w:t>saver</w:t>
            </w:r>
            <w:r>
              <w:rPr>
                <w:spacing w:val="-3"/>
                <w:sz w:val="20"/>
              </w:rPr>
              <w:t xml:space="preserve"> </w:t>
            </w:r>
            <w:r>
              <w:rPr>
                <w:sz w:val="20"/>
              </w:rPr>
              <w:t>bin,</w:t>
            </w:r>
            <w:r>
              <w:rPr>
                <w:spacing w:val="-5"/>
                <w:sz w:val="20"/>
              </w:rPr>
              <w:t xml:space="preserve"> </w:t>
            </w:r>
            <w:r>
              <w:rPr>
                <w:sz w:val="20"/>
              </w:rPr>
              <w:t>driving overall BROs savings down 11%-21% for the Residential Sector and represented the largest contributor to reduced BROs potential statewide.</w:t>
            </w:r>
          </w:p>
          <w:p w:rsidR="00C31389" w:rsidRDefault="00561FBD" w14:paraId="5F09AD01" w14:textId="77777777">
            <w:pPr>
              <w:pStyle w:val="TableParagraph"/>
              <w:spacing w:before="0"/>
              <w:ind w:left="131" w:right="136"/>
              <w:rPr>
                <w:sz w:val="20"/>
              </w:rPr>
            </w:pPr>
            <w:r>
              <w:rPr>
                <w:sz w:val="20"/>
              </w:rPr>
              <w:t>More</w:t>
            </w:r>
            <w:r>
              <w:rPr>
                <w:spacing w:val="-7"/>
                <w:sz w:val="20"/>
              </w:rPr>
              <w:t xml:space="preserve"> </w:t>
            </w:r>
            <w:r>
              <w:rPr>
                <w:sz w:val="20"/>
              </w:rPr>
              <w:t>moderate</w:t>
            </w:r>
            <w:r>
              <w:rPr>
                <w:spacing w:val="-7"/>
                <w:sz w:val="20"/>
              </w:rPr>
              <w:t xml:space="preserve"> </w:t>
            </w:r>
            <w:r>
              <w:rPr>
                <w:sz w:val="20"/>
              </w:rPr>
              <w:t>(1%-9%)</w:t>
            </w:r>
            <w:r>
              <w:rPr>
                <w:spacing w:val="-7"/>
                <w:sz w:val="20"/>
              </w:rPr>
              <w:t xml:space="preserve"> </w:t>
            </w:r>
            <w:r>
              <w:rPr>
                <w:sz w:val="20"/>
              </w:rPr>
              <w:t>nominal</w:t>
            </w:r>
            <w:r>
              <w:rPr>
                <w:spacing w:val="-7"/>
                <w:sz w:val="20"/>
              </w:rPr>
              <w:t xml:space="preserve"> </w:t>
            </w:r>
            <w:r>
              <w:rPr>
                <w:sz w:val="20"/>
              </w:rPr>
              <w:t>decreases</w:t>
            </w:r>
            <w:r>
              <w:rPr>
                <w:spacing w:val="-6"/>
                <w:sz w:val="20"/>
              </w:rPr>
              <w:t xml:space="preserve"> </w:t>
            </w:r>
            <w:r>
              <w:rPr>
                <w:sz w:val="20"/>
              </w:rPr>
              <w:t>in</w:t>
            </w:r>
            <w:r>
              <w:rPr>
                <w:spacing w:val="-7"/>
                <w:sz w:val="20"/>
              </w:rPr>
              <w:t xml:space="preserve"> </w:t>
            </w:r>
            <w:r>
              <w:rPr>
                <w:sz w:val="20"/>
              </w:rPr>
              <w:t>BROs were seen in Commercial and Industria</w:t>
            </w:r>
            <w:r>
              <w:rPr>
                <w:sz w:val="20"/>
              </w:rPr>
              <w:t>l Sectors.</w:t>
            </w:r>
          </w:p>
          <w:p w:rsidR="00C31389" w:rsidRDefault="00561FBD" w14:paraId="113EF00F" w14:textId="77777777">
            <w:pPr>
              <w:pStyle w:val="TableParagraph"/>
              <w:spacing w:before="0"/>
              <w:ind w:left="131" w:right="136"/>
              <w:rPr>
                <w:sz w:val="20"/>
              </w:rPr>
            </w:pPr>
            <w:r>
              <w:rPr>
                <w:sz w:val="20"/>
              </w:rPr>
              <w:t>Strategic</w:t>
            </w:r>
            <w:r>
              <w:rPr>
                <w:spacing w:val="-8"/>
                <w:sz w:val="20"/>
              </w:rPr>
              <w:t xml:space="preserve"> </w:t>
            </w:r>
            <w:r>
              <w:rPr>
                <w:sz w:val="20"/>
              </w:rPr>
              <w:t>energy</w:t>
            </w:r>
            <w:r>
              <w:rPr>
                <w:spacing w:val="-8"/>
                <w:sz w:val="20"/>
              </w:rPr>
              <w:t xml:space="preserve"> </w:t>
            </w:r>
            <w:r>
              <w:rPr>
                <w:sz w:val="20"/>
              </w:rPr>
              <w:t>management</w:t>
            </w:r>
            <w:r>
              <w:rPr>
                <w:spacing w:val="-8"/>
                <w:sz w:val="20"/>
              </w:rPr>
              <w:t xml:space="preserve"> </w:t>
            </w:r>
            <w:r>
              <w:rPr>
                <w:sz w:val="20"/>
              </w:rPr>
              <w:t>(SEM)</w:t>
            </w:r>
            <w:r>
              <w:rPr>
                <w:spacing w:val="-9"/>
                <w:sz w:val="20"/>
              </w:rPr>
              <w:t xml:space="preserve"> </w:t>
            </w:r>
            <w:r>
              <w:rPr>
                <w:sz w:val="20"/>
              </w:rPr>
              <w:t>measures</w:t>
            </w:r>
            <w:r>
              <w:rPr>
                <w:spacing w:val="-8"/>
                <w:sz w:val="20"/>
              </w:rPr>
              <w:t xml:space="preserve"> </w:t>
            </w:r>
            <w:r>
              <w:rPr>
                <w:sz w:val="20"/>
              </w:rPr>
              <w:t>were removed entirely from the Agricultural Sector to align with what has been seen in the CA market since the prior study cycle.</w:t>
            </w:r>
          </w:p>
        </w:tc>
      </w:tr>
    </w:tbl>
    <w:p w:rsidR="00C31389" w:rsidRDefault="00561FBD" w14:paraId="3A38A35B"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29DFA776" w14:textId="77777777">
      <w:pPr>
        <w:pStyle w:val="BodyText"/>
        <w:spacing w:before="10"/>
        <w:rPr>
          <w:i/>
          <w:sz w:val="20"/>
        </w:rPr>
      </w:pPr>
    </w:p>
    <w:p w:rsidR="00C31389" w:rsidRDefault="00561FBD" w14:paraId="042825B3" w14:textId="77777777">
      <w:pPr>
        <w:pStyle w:val="Heading2"/>
        <w:ind w:left="480" w:firstLine="0"/>
      </w:pPr>
      <w:bookmarkStart w:name="Results" w:id="12"/>
      <w:bookmarkStart w:name="_bookmark10" w:id="13"/>
      <w:bookmarkEnd w:id="12"/>
      <w:bookmarkEnd w:id="13"/>
      <w:r>
        <w:rPr>
          <w:spacing w:val="-2"/>
        </w:rPr>
        <w:t>Results</w:t>
      </w:r>
    </w:p>
    <w:p w:rsidR="00C31389" w:rsidRDefault="00561FBD" w14:paraId="133AF09D" w14:textId="77777777">
      <w:pPr>
        <w:pStyle w:val="BodyText"/>
        <w:spacing w:before="240"/>
        <w:ind w:left="479" w:right="533"/>
      </w:pPr>
      <w:r>
        <w:t>The</w:t>
      </w:r>
      <w:r>
        <w:rPr>
          <w:spacing w:val="-3"/>
        </w:rPr>
        <w:t xml:space="preserve"> </w:t>
      </w:r>
      <w:r>
        <w:t>2023</w:t>
      </w:r>
      <w:r>
        <w:rPr>
          <w:spacing w:val="-3"/>
        </w:rPr>
        <w:t xml:space="preserve"> </w:t>
      </w:r>
      <w:r>
        <w:t>Study</w:t>
      </w:r>
      <w:r>
        <w:rPr>
          <w:spacing w:val="-3"/>
        </w:rPr>
        <w:t xml:space="preserve"> </w:t>
      </w:r>
      <w:r>
        <w:t>provides</w:t>
      </w:r>
      <w:r>
        <w:rPr>
          <w:spacing w:val="-3"/>
        </w:rPr>
        <w:t xml:space="preserve"> </w:t>
      </w:r>
      <w:r>
        <w:t>a</w:t>
      </w:r>
      <w:r>
        <w:rPr>
          <w:spacing w:val="-3"/>
        </w:rPr>
        <w:t xml:space="preserve"> </w:t>
      </w:r>
      <w:r>
        <w:t>rich</w:t>
      </w:r>
      <w:r>
        <w:rPr>
          <w:spacing w:val="-3"/>
        </w:rPr>
        <w:t xml:space="preserve"> </w:t>
      </w:r>
      <w:r>
        <w:t>dataset</w:t>
      </w:r>
      <w:r>
        <w:rPr>
          <w:spacing w:val="-3"/>
        </w:rPr>
        <w:t xml:space="preserve"> </w:t>
      </w:r>
      <w:r>
        <w:t>of</w:t>
      </w:r>
      <w:r>
        <w:rPr>
          <w:spacing w:val="-3"/>
        </w:rPr>
        <w:t xml:space="preserve"> </w:t>
      </w:r>
      <w:r>
        <w:t>results,</w:t>
      </w:r>
      <w:r>
        <w:rPr>
          <w:spacing w:val="-3"/>
        </w:rPr>
        <w:t xml:space="preserve"> </w:t>
      </w:r>
      <w:r>
        <w:t>the</w:t>
      </w:r>
      <w:r>
        <w:rPr>
          <w:spacing w:val="-3"/>
        </w:rPr>
        <w:t xml:space="preserve"> </w:t>
      </w:r>
      <w:r>
        <w:t>details</w:t>
      </w:r>
      <w:r>
        <w:rPr>
          <w:spacing w:val="-3"/>
        </w:rPr>
        <w:t xml:space="preserve"> </w:t>
      </w:r>
      <w:r>
        <w:t>of</w:t>
      </w:r>
      <w:r>
        <w:rPr>
          <w:spacing w:val="-3"/>
        </w:rPr>
        <w:t xml:space="preserve"> </w:t>
      </w:r>
      <w:r>
        <w:t>which</w:t>
      </w:r>
      <w:r>
        <w:rPr>
          <w:spacing w:val="-3"/>
        </w:rPr>
        <w:t xml:space="preserve"> </w:t>
      </w:r>
      <w:r>
        <w:t>can</w:t>
      </w:r>
      <w:r>
        <w:rPr>
          <w:spacing w:val="-3"/>
        </w:rPr>
        <w:t xml:space="preserve"> </w:t>
      </w:r>
      <w:r>
        <w:t>be</w:t>
      </w:r>
      <w:r>
        <w:rPr>
          <w:spacing w:val="-3"/>
        </w:rPr>
        <w:t xml:space="preserve"> </w:t>
      </w:r>
      <w:r>
        <w:t>found</w:t>
      </w:r>
      <w:r>
        <w:rPr>
          <w:spacing w:val="-4"/>
        </w:rPr>
        <w:t xml:space="preserve"> </w:t>
      </w:r>
      <w:r>
        <w:t>on</w:t>
      </w:r>
      <w:r>
        <w:rPr>
          <w:spacing w:val="-3"/>
        </w:rPr>
        <w:t xml:space="preserve"> </w:t>
      </w:r>
      <w:r>
        <w:t>the CPUC’s 2023 Potential and Goals website.</w:t>
      </w:r>
      <w:r>
        <w:rPr>
          <w:spacing w:val="-41"/>
        </w:rPr>
        <w:t xml:space="preserve"> </w:t>
      </w:r>
      <w:hyperlink w:history="1" w:anchor="_bookmark12">
        <w:r>
          <w:rPr>
            <w:position w:val="7"/>
            <w:sz w:val="14"/>
          </w:rPr>
          <w:t>5</w:t>
        </w:r>
      </w:hyperlink>
      <w:r>
        <w:rPr>
          <w:spacing w:val="26"/>
          <w:position w:val="7"/>
          <w:sz w:val="14"/>
        </w:rPr>
        <w:t xml:space="preserve"> </w:t>
      </w:r>
      <w:r>
        <w:t>The report presents results by program type:</w:t>
      </w:r>
    </w:p>
    <w:p w:rsidR="00C31389" w:rsidRDefault="00561FBD" w14:paraId="572D6D6F" w14:textId="77777777">
      <w:pPr>
        <w:pStyle w:val="ListParagraph"/>
        <w:numPr>
          <w:ilvl w:val="0"/>
          <w:numId w:val="73"/>
        </w:numPr>
        <w:tabs>
          <w:tab w:val="left" w:pos="1200"/>
        </w:tabs>
        <w:spacing w:before="120"/>
        <w:ind w:right="571"/>
      </w:pPr>
      <w:r>
        <w:rPr>
          <w:b/>
        </w:rPr>
        <w:t>EE</w:t>
      </w:r>
      <w:r>
        <w:rPr>
          <w:b/>
          <w:spacing w:val="-3"/>
        </w:rPr>
        <w:t xml:space="preserve"> </w:t>
      </w:r>
      <w:r>
        <w:rPr>
          <w:b/>
        </w:rPr>
        <w:t>equipment:</w:t>
      </w:r>
      <w:r>
        <w:rPr>
          <w:b/>
          <w:spacing w:val="-4"/>
        </w:rPr>
        <w:t xml:space="preserve"> </w:t>
      </w:r>
      <w:r>
        <w:t>EE</w:t>
      </w:r>
      <w:r>
        <w:rPr>
          <w:spacing w:val="-4"/>
        </w:rPr>
        <w:t xml:space="preserve"> </w:t>
      </w:r>
      <w:r>
        <w:t>traditionally</w:t>
      </w:r>
      <w:r>
        <w:rPr>
          <w:spacing w:val="-3"/>
        </w:rPr>
        <w:t xml:space="preserve"> </w:t>
      </w:r>
      <w:r>
        <w:t>incentivized</w:t>
      </w:r>
      <w:r>
        <w:rPr>
          <w:spacing w:val="-4"/>
        </w:rPr>
        <w:t xml:space="preserve"> </w:t>
      </w:r>
      <w:r>
        <w:t>by</w:t>
      </w:r>
      <w:r>
        <w:rPr>
          <w:spacing w:val="-3"/>
        </w:rPr>
        <w:t xml:space="preserve"> </w:t>
      </w:r>
      <w:r>
        <w:t>IOU</w:t>
      </w:r>
      <w:r>
        <w:rPr>
          <w:spacing w:val="-4"/>
        </w:rPr>
        <w:t xml:space="preserve"> </w:t>
      </w:r>
      <w:r>
        <w:t>programs</w:t>
      </w:r>
      <w:r>
        <w:rPr>
          <w:spacing w:val="-3"/>
        </w:rPr>
        <w:t xml:space="preserve"> </w:t>
      </w:r>
      <w:r>
        <w:t>are</w:t>
      </w:r>
      <w:r>
        <w:rPr>
          <w:spacing w:val="-4"/>
        </w:rPr>
        <w:t xml:space="preserve"> </w:t>
      </w:r>
      <w:r>
        <w:t>modeled</w:t>
      </w:r>
      <w:r>
        <w:rPr>
          <w:spacing w:val="-3"/>
        </w:rPr>
        <w:t xml:space="preserve"> </w:t>
      </w:r>
      <w:r>
        <w:t>in</w:t>
      </w:r>
      <w:r>
        <w:rPr>
          <w:spacing w:val="-4"/>
        </w:rPr>
        <w:t xml:space="preserve"> </w:t>
      </w:r>
      <w:r>
        <w:t>the</w:t>
      </w:r>
      <w:r>
        <w:rPr>
          <w:spacing w:val="-3"/>
        </w:rPr>
        <w:t xml:space="preserve"> </w:t>
      </w:r>
      <w:r>
        <w:t>study. This specifically excludes FS.</w:t>
      </w:r>
    </w:p>
    <w:p w:rsidR="00C31389" w:rsidRDefault="00C31389" w14:paraId="04CC1039" w14:textId="77777777">
      <w:pPr>
        <w:pStyle w:val="BodyText"/>
        <w:rPr>
          <w:sz w:val="20"/>
        </w:rPr>
      </w:pPr>
    </w:p>
    <w:p w:rsidR="00C31389" w:rsidRDefault="00C31389" w14:paraId="23970678" w14:textId="77777777">
      <w:pPr>
        <w:pStyle w:val="BodyText"/>
        <w:rPr>
          <w:sz w:val="20"/>
        </w:rPr>
      </w:pPr>
    </w:p>
    <w:p w:rsidR="00C31389" w:rsidRDefault="00C31389" w14:paraId="73DFE010" w14:textId="77777777">
      <w:pPr>
        <w:pStyle w:val="BodyText"/>
        <w:rPr>
          <w:sz w:val="20"/>
        </w:rPr>
      </w:pPr>
    </w:p>
    <w:p w:rsidR="00C31389" w:rsidRDefault="00C31389" w14:paraId="6EA3C809" w14:textId="77777777">
      <w:pPr>
        <w:pStyle w:val="BodyText"/>
        <w:rPr>
          <w:sz w:val="20"/>
        </w:rPr>
      </w:pPr>
    </w:p>
    <w:p w:rsidR="00C31389" w:rsidRDefault="00561FBD" w14:paraId="1C3DF5C9" w14:textId="77777777">
      <w:pPr>
        <w:pStyle w:val="BodyText"/>
        <w:spacing w:before="8"/>
        <w:rPr>
          <w:sz w:val="16"/>
        </w:rPr>
      </w:pPr>
      <w:r>
        <w:rPr>
          <w:noProof/>
        </w:rPr>
        <mc:AlternateContent>
          <mc:Choice Requires="wps">
            <w:drawing>
              <wp:anchor distT="0" distB="0" distL="0" distR="0" simplePos="0" relativeHeight="487592448" behindDoc="1" locked="0" layoutInCell="1" allowOverlap="1" wp14:editId="5BB6DB79" wp14:anchorId="0047C0AA">
                <wp:simplePos x="0" y="0"/>
                <wp:positionH relativeFrom="page">
                  <wp:posOffset>914400</wp:posOffset>
                </wp:positionH>
                <wp:positionV relativeFrom="paragraph">
                  <wp:posOffset>137341</wp:posOffset>
                </wp:positionV>
                <wp:extent cx="1828800" cy="698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2" style="position:absolute;margin-left:1in;margin-top:10.8pt;width:2in;height:.5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" w14:anchorId="59AC0083">
                <v:path arrowok="t"/>
                <w10:wrap type="topAndBottom" anchorx="page"/>
              </v:shape>
            </w:pict>
          </mc:Fallback>
        </mc:AlternateContent>
      </w:r>
    </w:p>
    <w:p w:rsidR="00C31389" w:rsidRDefault="00561FBD" w14:paraId="100AE4E2" w14:textId="77777777">
      <w:pPr>
        <w:spacing w:before="88"/>
        <w:ind w:left="479" w:right="719"/>
        <w:jc w:val="both"/>
        <w:rPr>
          <w:sz w:val="18"/>
        </w:rPr>
      </w:pPr>
      <w:bookmarkStart w:name="_bookmark11" w:id="14"/>
      <w:bookmarkEnd w:id="14"/>
      <w:r>
        <w:rPr>
          <w:position w:val="6"/>
          <w:sz w:val="12"/>
        </w:rPr>
        <w:t>4</w:t>
      </w:r>
      <w:r>
        <w:rPr>
          <w:spacing w:val="15"/>
          <w:position w:val="6"/>
          <w:sz w:val="12"/>
        </w:rPr>
        <w:t xml:space="preserve"> </w:t>
      </w:r>
      <w:r>
        <w:rPr>
          <w:sz w:val="18"/>
        </w:rPr>
        <w:t>Subsequent</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NG</w:t>
      </w:r>
      <w:r>
        <w:rPr>
          <w:spacing w:val="-2"/>
          <w:sz w:val="18"/>
        </w:rPr>
        <w:t xml:space="preserve"> </w:t>
      </w:r>
      <w:r>
        <w:rPr>
          <w:sz w:val="18"/>
        </w:rPr>
        <w:t>appliance</w:t>
      </w:r>
      <w:r>
        <w:rPr>
          <w:spacing w:val="-3"/>
          <w:sz w:val="18"/>
        </w:rPr>
        <w:t xml:space="preserve"> </w:t>
      </w:r>
      <w:r>
        <w:rPr>
          <w:sz w:val="18"/>
        </w:rPr>
        <w:t>ban,</w:t>
      </w:r>
      <w:r>
        <w:rPr>
          <w:spacing w:val="-1"/>
          <w:sz w:val="18"/>
        </w:rPr>
        <w:t xml:space="preserve"> </w:t>
      </w:r>
      <w:r>
        <w:rPr>
          <w:sz w:val="18"/>
        </w:rPr>
        <w:t>FS</w:t>
      </w:r>
      <w:r>
        <w:rPr>
          <w:spacing w:val="-2"/>
          <w:sz w:val="18"/>
        </w:rPr>
        <w:t xml:space="preserve"> </w:t>
      </w:r>
      <w:r>
        <w:rPr>
          <w:sz w:val="18"/>
        </w:rPr>
        <w:t>measures</w:t>
      </w:r>
      <w:r>
        <w:rPr>
          <w:spacing w:val="-2"/>
          <w:sz w:val="18"/>
        </w:rPr>
        <w:t xml:space="preserve"> </w:t>
      </w:r>
      <w:r>
        <w:rPr>
          <w:sz w:val="18"/>
        </w:rPr>
        <w:t>relating</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appliances</w:t>
      </w:r>
      <w:r>
        <w:rPr>
          <w:spacing w:val="-2"/>
          <w:sz w:val="18"/>
        </w:rPr>
        <w:t xml:space="preserve"> </w:t>
      </w:r>
      <w:r>
        <w:rPr>
          <w:sz w:val="18"/>
        </w:rPr>
        <w:t>affected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ruling</w:t>
      </w:r>
      <w:r>
        <w:rPr>
          <w:spacing w:val="-3"/>
          <w:sz w:val="18"/>
        </w:rPr>
        <w:t xml:space="preserve"> </w:t>
      </w:r>
      <w:r>
        <w:rPr>
          <w:sz w:val="18"/>
        </w:rPr>
        <w:t>are</w:t>
      </w:r>
      <w:r>
        <w:rPr>
          <w:spacing w:val="-1"/>
          <w:sz w:val="18"/>
        </w:rPr>
        <w:t xml:space="preserve"> </w:t>
      </w:r>
      <w:r>
        <w:rPr>
          <w:sz w:val="18"/>
        </w:rPr>
        <w:t>no</w:t>
      </w:r>
      <w:r>
        <w:rPr>
          <w:spacing w:val="-3"/>
          <w:sz w:val="18"/>
        </w:rPr>
        <w:t xml:space="preserve"> </w:t>
      </w:r>
      <w:r>
        <w:rPr>
          <w:sz w:val="18"/>
        </w:rPr>
        <w:t>longer able</w:t>
      </w:r>
      <w:r>
        <w:rPr>
          <w:spacing w:val="-1"/>
          <w:sz w:val="18"/>
        </w:rPr>
        <w:t xml:space="preserve"> </w:t>
      </w:r>
      <w:r>
        <w:rPr>
          <w:sz w:val="18"/>
        </w:rPr>
        <w:t>to</w:t>
      </w:r>
      <w:r>
        <w:rPr>
          <w:spacing w:val="-1"/>
          <w:sz w:val="18"/>
        </w:rPr>
        <w:t xml:space="preserve"> </w:t>
      </w:r>
      <w:r>
        <w:rPr>
          <w:sz w:val="18"/>
        </w:rPr>
        <w:t>be</w:t>
      </w:r>
      <w:r>
        <w:rPr>
          <w:spacing w:val="-1"/>
          <w:sz w:val="18"/>
        </w:rPr>
        <w:t xml:space="preserve"> </w:t>
      </w:r>
      <w:r>
        <w:rPr>
          <w:sz w:val="18"/>
        </w:rPr>
        <w:t>considered</w:t>
      </w:r>
      <w:r>
        <w:rPr>
          <w:spacing w:val="-1"/>
          <w:sz w:val="18"/>
        </w:rPr>
        <w:t xml:space="preserve"> </w:t>
      </w:r>
      <w:r>
        <w:rPr>
          <w:sz w:val="18"/>
        </w:rPr>
        <w:t>as a</w:t>
      </w:r>
      <w:r>
        <w:rPr>
          <w:spacing w:val="-1"/>
          <w:sz w:val="18"/>
        </w:rPr>
        <w:t xml:space="preserve"> </w:t>
      </w:r>
      <w:r>
        <w:rPr>
          <w:sz w:val="18"/>
        </w:rPr>
        <w:t>fuel switching</w:t>
      </w:r>
      <w:r>
        <w:rPr>
          <w:spacing w:val="-1"/>
          <w:sz w:val="18"/>
        </w:rPr>
        <w:t xml:space="preserve"> </w:t>
      </w:r>
      <w:r>
        <w:rPr>
          <w:sz w:val="18"/>
        </w:rPr>
        <w:t>measure, which</w:t>
      </w:r>
      <w:r>
        <w:rPr>
          <w:spacing w:val="-1"/>
          <w:sz w:val="18"/>
        </w:rPr>
        <w:t xml:space="preserve"> </w:t>
      </w:r>
      <w:r>
        <w:rPr>
          <w:sz w:val="18"/>
        </w:rPr>
        <w:t>results in</w:t>
      </w:r>
      <w:r>
        <w:rPr>
          <w:spacing w:val="-1"/>
          <w:sz w:val="18"/>
        </w:rPr>
        <w:t xml:space="preserve"> </w:t>
      </w:r>
      <w:r>
        <w:rPr>
          <w:sz w:val="18"/>
        </w:rPr>
        <w:t>elimination</w:t>
      </w:r>
      <w:r>
        <w:rPr>
          <w:spacing w:val="-1"/>
          <w:sz w:val="18"/>
        </w:rPr>
        <w:t xml:space="preserve"> </w:t>
      </w:r>
      <w:r>
        <w:rPr>
          <w:sz w:val="18"/>
        </w:rPr>
        <w:t xml:space="preserve">of FS potential for these equipment </w:t>
      </w:r>
      <w:r>
        <w:rPr>
          <w:spacing w:val="-2"/>
          <w:sz w:val="18"/>
        </w:rPr>
        <w:t>types.</w:t>
      </w:r>
    </w:p>
    <w:p w:rsidR="00C31389" w:rsidRDefault="00561FBD" w14:paraId="0CFB62CF" w14:textId="77777777">
      <w:pPr>
        <w:spacing w:before="36"/>
        <w:ind w:left="480" w:right="1841"/>
        <w:jc w:val="both"/>
        <w:rPr>
          <w:sz w:val="18"/>
        </w:rPr>
      </w:pPr>
      <w:bookmarkStart w:name="_bookmark12" w:id="15"/>
      <w:bookmarkEnd w:id="15"/>
      <w:r>
        <w:rPr>
          <w:position w:val="6"/>
          <w:sz w:val="12"/>
        </w:rPr>
        <w:t>5</w:t>
      </w:r>
      <w:r>
        <w:rPr>
          <w:spacing w:val="-9"/>
          <w:position w:val="6"/>
          <w:sz w:val="12"/>
        </w:rPr>
        <w:t xml:space="preserve"> </w:t>
      </w:r>
      <w:hyperlink r:id="rId30">
        <w:r>
          <w:rPr>
            <w:color w:val="68942C"/>
            <w:sz w:val="18"/>
            <w:u w:val="single" w:color="68942C"/>
          </w:rPr>
          <w:t>https://www.cpuc.ca.gov/industries-and-topics/electrical-energy/demand-side-management/energy-</w:t>
        </w:r>
      </w:hyperlink>
      <w:r>
        <w:rPr>
          <w:color w:val="68942C"/>
          <w:sz w:val="18"/>
        </w:rPr>
        <w:t xml:space="preserve"> </w:t>
      </w:r>
      <w:hyperlink r:id="rId31">
        <w:r>
          <w:rPr>
            <w:color w:val="68942C"/>
            <w:spacing w:val="-2"/>
            <w:sz w:val="18"/>
            <w:u w:val="single" w:color="68942C"/>
          </w:rPr>
          <w:t>efficiency/energy-efficiency-potential-and-goals-studies/2023-potential-and-goals-study</w:t>
        </w:r>
      </w:hyperlink>
    </w:p>
    <w:p w:rsidR="00C31389" w:rsidRDefault="00C31389" w14:paraId="230A553A" w14:textId="77777777">
      <w:pPr>
        <w:jc w:val="both"/>
        <w:rPr>
          <w:sz w:val="18"/>
        </w:rPr>
        <w:sectPr w:rsidR="00C31389">
          <w:pgSz w:w="12240" w:h="15840"/>
          <w:pgMar w:top="1660" w:right="960" w:bottom="1120" w:left="960" w:header="397" w:footer="936" w:gutter="0"/>
          <w:cols w:space="720"/>
        </w:sectPr>
      </w:pPr>
    </w:p>
    <w:p w:rsidR="00C31389" w:rsidRDefault="00C31389" w14:paraId="5E74441F" w14:textId="77777777">
      <w:pPr>
        <w:pStyle w:val="BodyText"/>
      </w:pPr>
    </w:p>
    <w:p w:rsidR="00C31389" w:rsidRDefault="00C31389" w14:paraId="46B1A7DF" w14:textId="77777777">
      <w:pPr>
        <w:pStyle w:val="BodyText"/>
        <w:spacing w:before="2"/>
        <w:rPr>
          <w:sz w:val="13"/>
        </w:rPr>
      </w:pPr>
    </w:p>
    <w:p w:rsidR="00C31389" w:rsidRDefault="00561FBD" w14:paraId="2882037C" w14:textId="77777777">
      <w:pPr>
        <w:pStyle w:val="ListParagraph"/>
        <w:numPr>
          <w:ilvl w:val="0"/>
          <w:numId w:val="73"/>
        </w:numPr>
        <w:tabs>
          <w:tab w:val="left" w:pos="1199"/>
        </w:tabs>
        <w:spacing w:before="100"/>
        <w:ind w:left="1199" w:right="730"/>
      </w:pPr>
      <w:r>
        <w:rPr>
          <w:b/>
        </w:rPr>
        <w:t>FS:</w:t>
      </w:r>
      <w:r>
        <w:rPr>
          <w:b/>
          <w:spacing w:val="-3"/>
        </w:rPr>
        <w:t xml:space="preserve"> </w:t>
      </w:r>
      <w:r>
        <w:t>FS</w:t>
      </w:r>
      <w:r>
        <w:rPr>
          <w:spacing w:val="-4"/>
        </w:rPr>
        <w:t xml:space="preserve"> </w:t>
      </w:r>
      <w:r>
        <w:t>equipment</w:t>
      </w:r>
      <w:r>
        <w:rPr>
          <w:spacing w:val="-3"/>
        </w:rPr>
        <w:t xml:space="preserve"> </w:t>
      </w:r>
      <w:r>
        <w:t>replaced</w:t>
      </w:r>
      <w:r>
        <w:rPr>
          <w:spacing w:val="-3"/>
        </w:rPr>
        <w:t xml:space="preserve"> </w:t>
      </w:r>
      <w:r>
        <w:t>gas</w:t>
      </w:r>
      <w:r>
        <w:rPr>
          <w:spacing w:val="-3"/>
        </w:rPr>
        <w:t xml:space="preserve"> </w:t>
      </w:r>
      <w:r>
        <w:t>appliances</w:t>
      </w:r>
      <w:r>
        <w:rPr>
          <w:spacing w:val="-3"/>
        </w:rPr>
        <w:t xml:space="preserve"> </w:t>
      </w:r>
      <w:r>
        <w:t>with</w:t>
      </w:r>
      <w:r>
        <w:rPr>
          <w:spacing w:val="-4"/>
        </w:rPr>
        <w:t xml:space="preserve"> </w:t>
      </w:r>
      <w:r>
        <w:t>electric</w:t>
      </w:r>
      <w:r>
        <w:rPr>
          <w:spacing w:val="-3"/>
        </w:rPr>
        <w:t xml:space="preserve"> </w:t>
      </w:r>
      <w:r>
        <w:t>appliances.</w:t>
      </w:r>
      <w:r>
        <w:rPr>
          <w:spacing w:val="-3"/>
        </w:rPr>
        <w:t xml:space="preserve"> </w:t>
      </w:r>
      <w:r>
        <w:t>It</w:t>
      </w:r>
      <w:r>
        <w:rPr>
          <w:spacing w:val="-3"/>
        </w:rPr>
        <w:t xml:space="preserve"> </w:t>
      </w:r>
      <w:r>
        <w:t>will</w:t>
      </w:r>
      <w:r>
        <w:rPr>
          <w:spacing w:val="-4"/>
        </w:rPr>
        <w:t xml:space="preserve"> </w:t>
      </w:r>
      <w:r>
        <w:t>indicate</w:t>
      </w:r>
      <w:r>
        <w:rPr>
          <w:spacing w:val="-3"/>
        </w:rPr>
        <w:t xml:space="preserve"> </w:t>
      </w:r>
      <w:r>
        <w:t>gas savings and simultaneously an increase in electric consumption. The potential study calculates impacts on electric and gas consumption that result from FS.</w:t>
      </w:r>
    </w:p>
    <w:p w:rsidR="00C31389" w:rsidRDefault="00561FBD" w14:paraId="1ECC6DFC" w14:textId="77777777">
      <w:pPr>
        <w:pStyle w:val="ListParagraph"/>
        <w:numPr>
          <w:ilvl w:val="0"/>
          <w:numId w:val="73"/>
        </w:numPr>
        <w:tabs>
          <w:tab w:val="left" w:pos="1199"/>
        </w:tabs>
        <w:spacing w:before="119"/>
        <w:ind w:left="1199" w:right="1025"/>
      </w:pPr>
      <w:r>
        <w:rPr>
          <w:b/>
        </w:rPr>
        <w:t>Behavioral, retrocommissionin</w:t>
      </w:r>
      <w:r>
        <w:rPr>
          <w:b/>
        </w:rPr>
        <w:t xml:space="preserve">g, and operational efficiency (BROs): </w:t>
      </w:r>
      <w:r>
        <w:t>These programs</w:t>
      </w:r>
      <w:r>
        <w:rPr>
          <w:spacing w:val="-3"/>
        </w:rPr>
        <w:t xml:space="preserve"> </w:t>
      </w:r>
      <w:r>
        <w:t>are</w:t>
      </w:r>
      <w:r>
        <w:rPr>
          <w:spacing w:val="-3"/>
        </w:rPr>
        <w:t xml:space="preserve"> </w:t>
      </w:r>
      <w:r>
        <w:t>based</w:t>
      </w:r>
      <w:r>
        <w:rPr>
          <w:spacing w:val="-3"/>
        </w:rPr>
        <w:t xml:space="preserve"> </w:t>
      </w:r>
      <w:r>
        <w:t>on</w:t>
      </w:r>
      <w:r>
        <w:rPr>
          <w:spacing w:val="-4"/>
        </w:rPr>
        <w:t xml:space="preserve"> </w:t>
      </w:r>
      <w:r>
        <w:t>customer</w:t>
      </w:r>
      <w:r>
        <w:rPr>
          <w:spacing w:val="-3"/>
        </w:rPr>
        <w:t xml:space="preserve"> </w:t>
      </w:r>
      <w:r>
        <w:t>changes</w:t>
      </w:r>
      <w:r>
        <w:rPr>
          <w:spacing w:val="-3"/>
        </w:rPr>
        <w:t xml:space="preserve"> </w:t>
      </w:r>
      <w:r>
        <w:t>that</w:t>
      </w:r>
      <w:r>
        <w:rPr>
          <w:spacing w:val="-4"/>
        </w:rPr>
        <w:t xml:space="preserve"> </w:t>
      </w:r>
      <w:r>
        <w:t>may</w:t>
      </w:r>
      <w:r>
        <w:rPr>
          <w:spacing w:val="-3"/>
        </w:rPr>
        <w:t xml:space="preserve"> </w:t>
      </w:r>
      <w:r>
        <w:t>not</w:t>
      </w:r>
      <w:r>
        <w:rPr>
          <w:spacing w:val="-3"/>
        </w:rPr>
        <w:t xml:space="preserve"> </w:t>
      </w:r>
      <w:r>
        <w:t>rely</w:t>
      </w:r>
      <w:r>
        <w:rPr>
          <w:spacing w:val="-4"/>
        </w:rPr>
        <w:t xml:space="preserve"> </w:t>
      </w:r>
      <w:r>
        <w:t>on</w:t>
      </w:r>
      <w:r>
        <w:rPr>
          <w:spacing w:val="-3"/>
        </w:rPr>
        <w:t xml:space="preserve"> </w:t>
      </w:r>
      <w:r>
        <w:t>any</w:t>
      </w:r>
      <w:r>
        <w:rPr>
          <w:spacing w:val="-3"/>
        </w:rPr>
        <w:t xml:space="preserve"> </w:t>
      </w:r>
      <w:r>
        <w:t>new</w:t>
      </w:r>
      <w:r>
        <w:rPr>
          <w:spacing w:val="-4"/>
        </w:rPr>
        <w:t xml:space="preserve"> </w:t>
      </w:r>
      <w:r>
        <w:t xml:space="preserve">equipment </w:t>
      </w:r>
      <w:r>
        <w:rPr>
          <w:spacing w:val="-2"/>
        </w:rPr>
        <w:t>installations.</w:t>
      </w:r>
    </w:p>
    <w:p w:rsidR="00C31389" w:rsidRDefault="00561FBD" w14:paraId="23A43065" w14:textId="77777777">
      <w:pPr>
        <w:pStyle w:val="ListParagraph"/>
        <w:numPr>
          <w:ilvl w:val="0"/>
          <w:numId w:val="73"/>
        </w:numPr>
        <w:tabs>
          <w:tab w:val="left" w:pos="1199"/>
        </w:tabs>
        <w:spacing w:before="118"/>
        <w:ind w:left="1199" w:right="1157"/>
      </w:pPr>
      <w:r>
        <w:rPr>
          <w:b/>
        </w:rPr>
        <w:t>C&amp;S:</w:t>
      </w:r>
      <w:r>
        <w:rPr>
          <w:b/>
          <w:spacing w:val="-3"/>
        </w:rPr>
        <w:t xml:space="preserve"> </w:t>
      </w:r>
      <w:r>
        <w:t>Savings</w:t>
      </w:r>
      <w:r>
        <w:rPr>
          <w:spacing w:val="-3"/>
        </w:rPr>
        <w:t xml:space="preserve"> </w:t>
      </w:r>
      <w:r>
        <w:t>captured</w:t>
      </w:r>
      <w:r>
        <w:rPr>
          <w:spacing w:val="-4"/>
        </w:rPr>
        <w:t xml:space="preserve"> </w:t>
      </w:r>
      <w:r>
        <w:t>by</w:t>
      </w:r>
      <w:r>
        <w:rPr>
          <w:spacing w:val="-3"/>
        </w:rPr>
        <w:t xml:space="preserve"> </w:t>
      </w:r>
      <w:r>
        <w:t>C&amp;S</w:t>
      </w:r>
      <w:r>
        <w:rPr>
          <w:spacing w:val="-3"/>
        </w:rPr>
        <w:t xml:space="preserve"> </w:t>
      </w:r>
      <w:r>
        <w:t>are</w:t>
      </w:r>
      <w:r>
        <w:rPr>
          <w:spacing w:val="-3"/>
        </w:rPr>
        <w:t xml:space="preserve"> </w:t>
      </w:r>
      <w:r>
        <w:t>based</w:t>
      </w:r>
      <w:r>
        <w:rPr>
          <w:spacing w:val="-3"/>
        </w:rPr>
        <w:t xml:space="preserve"> </w:t>
      </w:r>
      <w:r>
        <w:t>on</w:t>
      </w:r>
      <w:r>
        <w:rPr>
          <w:spacing w:val="-3"/>
        </w:rPr>
        <w:t xml:space="preserve"> </w:t>
      </w:r>
      <w:r>
        <w:t>the</w:t>
      </w:r>
      <w:r>
        <w:rPr>
          <w:spacing w:val="-3"/>
        </w:rPr>
        <w:t xml:space="preserve"> </w:t>
      </w:r>
      <w:r>
        <w:t>evaluated</w:t>
      </w:r>
      <w:r>
        <w:rPr>
          <w:spacing w:val="-4"/>
        </w:rPr>
        <w:t xml:space="preserve"> </w:t>
      </w:r>
      <w:r>
        <w:t>IOU</w:t>
      </w:r>
      <w:r>
        <w:rPr>
          <w:spacing w:val="-4"/>
        </w:rPr>
        <w:t xml:space="preserve"> </w:t>
      </w:r>
      <w:r>
        <w:t>advocacy</w:t>
      </w:r>
      <w:r>
        <w:rPr>
          <w:spacing w:val="-3"/>
        </w:rPr>
        <w:t xml:space="preserve"> </w:t>
      </w:r>
      <w:r>
        <w:t>for</w:t>
      </w:r>
      <w:r>
        <w:rPr>
          <w:spacing w:val="-3"/>
        </w:rPr>
        <w:t xml:space="preserve"> </w:t>
      </w:r>
      <w:r>
        <w:t xml:space="preserve">the development of new C&amp;S and level of </w:t>
      </w:r>
      <w:r>
        <w:t>adoption in the marketplace.</w:t>
      </w:r>
    </w:p>
    <w:p w:rsidR="00C31389" w:rsidRDefault="00561FBD" w14:paraId="6CE14FFB" w14:textId="77777777">
      <w:pPr>
        <w:pStyle w:val="ListParagraph"/>
        <w:numPr>
          <w:ilvl w:val="0"/>
          <w:numId w:val="73"/>
        </w:numPr>
        <w:tabs>
          <w:tab w:val="left" w:pos="1200"/>
        </w:tabs>
        <w:spacing w:before="119"/>
        <w:ind w:right="620" w:hanging="361"/>
      </w:pPr>
      <w:r>
        <w:rPr>
          <w:b/>
        </w:rPr>
        <w:t>Low</w:t>
      </w:r>
      <w:r>
        <w:rPr>
          <w:b/>
          <w:spacing w:val="-4"/>
        </w:rPr>
        <w:t xml:space="preserve"> </w:t>
      </w:r>
      <w:r>
        <w:rPr>
          <w:b/>
        </w:rPr>
        <w:t>income:</w:t>
      </w:r>
      <w:r>
        <w:rPr>
          <w:b/>
          <w:spacing w:val="-3"/>
        </w:rPr>
        <w:t xml:space="preserve"> </w:t>
      </w:r>
      <w:r>
        <w:t>The</w:t>
      </w:r>
      <w:r>
        <w:rPr>
          <w:spacing w:val="-3"/>
        </w:rPr>
        <w:t xml:space="preserve"> </w:t>
      </w:r>
      <w:r>
        <w:t>potential</w:t>
      </w:r>
      <w:r>
        <w:rPr>
          <w:spacing w:val="-3"/>
        </w:rPr>
        <w:t xml:space="preserve"> </w:t>
      </w:r>
      <w:r>
        <w:t>for</w:t>
      </w:r>
      <w:r>
        <w:rPr>
          <w:spacing w:val="-3"/>
        </w:rPr>
        <w:t xml:space="preserve"> </w:t>
      </w:r>
      <w:r>
        <w:t>gas</w:t>
      </w:r>
      <w:r>
        <w:rPr>
          <w:spacing w:val="-4"/>
        </w:rPr>
        <w:t xml:space="preserve"> </w:t>
      </w:r>
      <w:r>
        <w:t>and</w:t>
      </w:r>
      <w:r>
        <w:rPr>
          <w:spacing w:val="-3"/>
        </w:rPr>
        <w:t xml:space="preserve"> </w:t>
      </w:r>
      <w:r>
        <w:t>electricity</w:t>
      </w:r>
      <w:r>
        <w:rPr>
          <w:spacing w:val="-3"/>
        </w:rPr>
        <w:t xml:space="preserve"> </w:t>
      </w:r>
      <w:r>
        <w:t>savings</w:t>
      </w:r>
      <w:r>
        <w:rPr>
          <w:spacing w:val="-3"/>
        </w:rPr>
        <w:t xml:space="preserve"> </w:t>
      </w:r>
      <w:r>
        <w:t>for</w:t>
      </w:r>
      <w:r>
        <w:rPr>
          <w:spacing w:val="-3"/>
        </w:rPr>
        <w:t xml:space="preserve"> </w:t>
      </w:r>
      <w:r>
        <w:t>participants</w:t>
      </w:r>
      <w:r>
        <w:rPr>
          <w:spacing w:val="-3"/>
        </w:rPr>
        <w:t xml:space="preserve"> </w:t>
      </w:r>
      <w:r>
        <w:t>of</w:t>
      </w:r>
      <w:r>
        <w:rPr>
          <w:spacing w:val="-3"/>
        </w:rPr>
        <w:t xml:space="preserve"> </w:t>
      </w:r>
      <w:r>
        <w:t>the</w:t>
      </w:r>
      <w:r>
        <w:rPr>
          <w:spacing w:val="-3"/>
        </w:rPr>
        <w:t xml:space="preserve"> </w:t>
      </w:r>
      <w:r>
        <w:t xml:space="preserve">Energy </w:t>
      </w:r>
      <w:bookmarkStart w:name="_bookmark13" w:id="16"/>
      <w:bookmarkEnd w:id="16"/>
      <w:r>
        <w:t>Savings Assistance (ESA) program.</w:t>
      </w:r>
    </w:p>
    <w:p w:rsidR="00C31389" w:rsidRDefault="00C31389" w14:paraId="1AC6405B" w14:textId="77777777">
      <w:pPr>
        <w:pStyle w:val="BodyText"/>
        <w:spacing w:before="9"/>
        <w:rPr>
          <w:sz w:val="20"/>
        </w:rPr>
      </w:pPr>
    </w:p>
    <w:p w:rsidR="00C31389" w:rsidRDefault="00561FBD" w14:paraId="429F9363" w14:textId="77777777">
      <w:pPr>
        <w:pStyle w:val="Heading4"/>
        <w:ind w:left="480" w:firstLine="0"/>
      </w:pPr>
      <w:r>
        <w:t>Total</w:t>
      </w:r>
      <w:r>
        <w:rPr>
          <w:spacing w:val="-5"/>
        </w:rPr>
        <w:t xml:space="preserve"> </w:t>
      </w:r>
      <w:r>
        <w:t>Achievable</w:t>
      </w:r>
      <w:r>
        <w:rPr>
          <w:spacing w:val="-4"/>
        </w:rPr>
        <w:t xml:space="preserve"> </w:t>
      </w:r>
      <w:r>
        <w:rPr>
          <w:spacing w:val="-2"/>
        </w:rPr>
        <w:t>Potential</w:t>
      </w:r>
    </w:p>
    <w:p w:rsidR="00C31389" w:rsidRDefault="00C31389" w14:paraId="7EE61CDF" w14:textId="77777777">
      <w:pPr>
        <w:pStyle w:val="BodyText"/>
        <w:spacing w:before="8"/>
        <w:rPr>
          <w:b/>
          <w:sz w:val="20"/>
        </w:rPr>
      </w:pPr>
    </w:p>
    <w:p w:rsidR="00C31389" w:rsidRDefault="00561FBD" w14:paraId="5CEE8408" w14:textId="77777777">
      <w:pPr>
        <w:pStyle w:val="BodyText"/>
        <w:ind w:left="479" w:right="533"/>
      </w:pPr>
      <w:hyperlink w:history="1" w:anchor="_bookmark14">
        <w:r>
          <w:t>Table ES-3</w:t>
        </w:r>
      </w:hyperlink>
      <w:r>
        <w:t xml:space="preserve"> </w:t>
      </w:r>
      <w:r>
        <w:t>summarizes results for 2024. This section discusses results only for the year 2024 unless</w:t>
      </w:r>
      <w:r>
        <w:rPr>
          <w:spacing w:val="-3"/>
        </w:rPr>
        <w:t xml:space="preserve"> </w:t>
      </w:r>
      <w:r>
        <w:t>otherwise</w:t>
      </w:r>
      <w:r>
        <w:rPr>
          <w:spacing w:val="-3"/>
        </w:rPr>
        <w:t xml:space="preserve"> </w:t>
      </w:r>
      <w:r>
        <w:t>noted.</w:t>
      </w:r>
      <w:r>
        <w:rPr>
          <w:spacing w:val="-4"/>
        </w:rPr>
        <w:t xml:space="preserve"> </w:t>
      </w:r>
      <w:r>
        <w:t>The</w:t>
      </w:r>
      <w:r>
        <w:rPr>
          <w:spacing w:val="-3"/>
        </w:rPr>
        <w:t xml:space="preserve"> </w:t>
      </w:r>
      <w:r>
        <w:t>table</w:t>
      </w:r>
      <w:r>
        <w:rPr>
          <w:spacing w:val="-3"/>
        </w:rPr>
        <w:t xml:space="preserve"> </w:t>
      </w:r>
      <w:r>
        <w:t>shows</w:t>
      </w:r>
      <w:r>
        <w:rPr>
          <w:spacing w:val="-3"/>
        </w:rPr>
        <w:t xml:space="preserve"> </w:t>
      </w:r>
      <w:r>
        <w:t>the</w:t>
      </w:r>
      <w:r>
        <w:rPr>
          <w:spacing w:val="-3"/>
        </w:rPr>
        <w:t xml:space="preserve"> </w:t>
      </w:r>
      <w:r>
        <w:t>achievable</w:t>
      </w:r>
      <w:r>
        <w:rPr>
          <w:spacing w:val="-3"/>
        </w:rPr>
        <w:t xml:space="preserve"> </w:t>
      </w:r>
      <w:r>
        <w:t>potential</w:t>
      </w:r>
      <w:r>
        <w:rPr>
          <w:spacing w:val="-3"/>
        </w:rPr>
        <w:t xml:space="preserve"> </w:t>
      </w:r>
      <w:r>
        <w:t>results</w:t>
      </w:r>
      <w:r>
        <w:rPr>
          <w:spacing w:val="-3"/>
        </w:rPr>
        <w:t xml:space="preserve"> </w:t>
      </w:r>
      <w:r>
        <w:t>for</w:t>
      </w:r>
      <w:r>
        <w:rPr>
          <w:spacing w:val="-3"/>
        </w:rPr>
        <w:t xml:space="preserve"> </w:t>
      </w:r>
      <w:r>
        <w:t>each</w:t>
      </w:r>
      <w:r>
        <w:rPr>
          <w:spacing w:val="-3"/>
        </w:rPr>
        <w:t xml:space="preserve"> </w:t>
      </w:r>
      <w:r>
        <w:t>program</w:t>
      </w:r>
      <w:r>
        <w:rPr>
          <w:spacing w:val="-4"/>
        </w:rPr>
        <w:t xml:space="preserve"> </w:t>
      </w:r>
      <w:r>
        <w:t>type (incentive</w:t>
      </w:r>
      <w:r>
        <w:rPr>
          <w:spacing w:val="-4"/>
        </w:rPr>
        <w:t xml:space="preserve"> </w:t>
      </w:r>
      <w:r>
        <w:t>programs,</w:t>
      </w:r>
      <w:r>
        <w:rPr>
          <w:spacing w:val="-3"/>
        </w:rPr>
        <w:t xml:space="preserve"> </w:t>
      </w:r>
      <w:r>
        <w:t>FS,</w:t>
      </w:r>
      <w:r>
        <w:rPr>
          <w:spacing w:val="-3"/>
        </w:rPr>
        <w:t xml:space="preserve"> </w:t>
      </w:r>
      <w:r>
        <w:t>and</w:t>
      </w:r>
      <w:r>
        <w:rPr>
          <w:spacing w:val="-3"/>
        </w:rPr>
        <w:t xml:space="preserve"> </w:t>
      </w:r>
      <w:r>
        <w:t>BROs)</w:t>
      </w:r>
      <w:r>
        <w:rPr>
          <w:spacing w:val="-2"/>
        </w:rPr>
        <w:t xml:space="preserve"> </w:t>
      </w:r>
      <w:r>
        <w:t>for</w:t>
      </w:r>
      <w:r>
        <w:rPr>
          <w:spacing w:val="-3"/>
        </w:rPr>
        <w:t xml:space="preserve"> </w:t>
      </w:r>
      <w:r>
        <w:t>scenarios</w:t>
      </w:r>
      <w:r>
        <w:rPr>
          <w:spacing w:val="-3"/>
        </w:rPr>
        <w:t xml:space="preserve"> </w:t>
      </w:r>
      <w:r>
        <w:t>1</w:t>
      </w:r>
      <w:r>
        <w:rPr>
          <w:spacing w:val="-3"/>
        </w:rPr>
        <w:t xml:space="preserve"> </w:t>
      </w:r>
      <w:r>
        <w:t>through</w:t>
      </w:r>
      <w:r>
        <w:rPr>
          <w:spacing w:val="-4"/>
        </w:rPr>
        <w:t xml:space="preserve"> </w:t>
      </w:r>
      <w:r>
        <w:t>4</w:t>
      </w:r>
      <w:r>
        <w:rPr>
          <w:spacing w:val="-3"/>
        </w:rPr>
        <w:t xml:space="preserve"> </w:t>
      </w:r>
      <w:r>
        <w:t>(previously</w:t>
      </w:r>
      <w:r>
        <w:rPr>
          <w:spacing w:val="-3"/>
        </w:rPr>
        <w:t xml:space="preserve"> </w:t>
      </w:r>
      <w:r>
        <w:t>listed</w:t>
      </w:r>
      <w:r>
        <w:rPr>
          <w:spacing w:val="-4"/>
        </w:rPr>
        <w:t xml:space="preserve"> </w:t>
      </w:r>
      <w:r>
        <w:t>in</w:t>
      </w:r>
      <w:r>
        <w:rPr>
          <w:spacing w:val="-2"/>
        </w:rPr>
        <w:t xml:space="preserve"> </w:t>
      </w:r>
      <w:hyperlink w:history="1" w:anchor="_bookmark7">
        <w:r>
          <w:t>Table</w:t>
        </w:r>
        <w:r>
          <w:rPr>
            <w:spacing w:val="-3"/>
          </w:rPr>
          <w:t xml:space="preserve"> </w:t>
        </w:r>
        <w:r>
          <w:t>ES-1</w:t>
        </w:r>
      </w:hyperlink>
      <w:r>
        <w:t xml:space="preserve">). </w:t>
      </w:r>
      <w:hyperlink w:history="1" w:anchor="_bookmark14">
        <w:r>
          <w:t>Table ES-3</w:t>
        </w:r>
      </w:hyperlink>
      <w:r>
        <w:t xml:space="preserve"> also includes the 2021 Study scenario that was used by the CPUC to inform previous</w:t>
      </w:r>
      <w:r>
        <w:t xml:space="preserve"> goals as a comparison.</w:t>
      </w:r>
    </w:p>
    <w:p w:rsidR="00C31389" w:rsidRDefault="00C31389" w14:paraId="454C0BD6" w14:textId="77777777">
      <w:pPr>
        <w:pStyle w:val="BodyText"/>
        <w:rPr>
          <w:sz w:val="21"/>
        </w:rPr>
      </w:pPr>
    </w:p>
    <w:p w:rsidR="00C31389" w:rsidRDefault="00561FBD" w14:paraId="116EDDEC" w14:textId="77777777">
      <w:pPr>
        <w:pStyle w:val="Heading7"/>
        <w:ind w:left="691"/>
      </w:pPr>
      <w:bookmarkStart w:name="_bookmark14" w:id="17"/>
      <w:bookmarkEnd w:id="17"/>
      <w:r>
        <w:t>Table</w:t>
      </w:r>
      <w:r>
        <w:rPr>
          <w:spacing w:val="-8"/>
        </w:rPr>
        <w:t xml:space="preserve"> </w:t>
      </w:r>
      <w:r>
        <w:t>ES-3.</w:t>
      </w:r>
      <w:r>
        <w:rPr>
          <w:spacing w:val="-8"/>
        </w:rPr>
        <w:t xml:space="preserve"> </w:t>
      </w:r>
      <w:r>
        <w:t>2024</w:t>
      </w:r>
      <w:r>
        <w:rPr>
          <w:spacing w:val="-7"/>
        </w:rPr>
        <w:t xml:space="preserve"> </w:t>
      </w:r>
      <w:r>
        <w:t>Net</w:t>
      </w:r>
      <w:r>
        <w:rPr>
          <w:spacing w:val="-7"/>
        </w:rPr>
        <w:t xml:space="preserve"> </w:t>
      </w:r>
      <w:r>
        <w:t>First-Year</w:t>
      </w:r>
      <w:r>
        <w:rPr>
          <w:spacing w:val="-8"/>
        </w:rPr>
        <w:t xml:space="preserve"> </w:t>
      </w:r>
      <w:r>
        <w:t>TSB</w:t>
      </w:r>
      <w:r>
        <w:rPr>
          <w:spacing w:val="-8"/>
        </w:rPr>
        <w:t xml:space="preserve"> </w:t>
      </w:r>
      <w:r>
        <w:t>and</w:t>
      </w:r>
      <w:r>
        <w:rPr>
          <w:spacing w:val="-8"/>
        </w:rPr>
        <w:t xml:space="preserve"> </w:t>
      </w:r>
      <w:r>
        <w:t>Incremental</w:t>
      </w:r>
      <w:r>
        <w:rPr>
          <w:spacing w:val="-7"/>
        </w:rPr>
        <w:t xml:space="preserve"> </w:t>
      </w:r>
      <w:r>
        <w:t>Savings</w:t>
      </w:r>
      <w:r>
        <w:rPr>
          <w:spacing w:val="-7"/>
        </w:rPr>
        <w:t xml:space="preserve"> </w:t>
      </w:r>
      <w:r>
        <w:t>by</w:t>
      </w:r>
      <w:r>
        <w:rPr>
          <w:spacing w:val="-7"/>
        </w:rPr>
        <w:t xml:space="preserve"> </w:t>
      </w:r>
      <w:r>
        <w:t>Scenario</w:t>
      </w:r>
      <w:r>
        <w:rPr>
          <w:spacing w:val="-7"/>
        </w:rPr>
        <w:t xml:space="preserve"> </w:t>
      </w:r>
      <w:r>
        <w:rPr>
          <w:spacing w:val="-2"/>
        </w:rPr>
        <w:t>(Statewide)</w:t>
      </w:r>
    </w:p>
    <w:p w:rsidR="00C31389" w:rsidRDefault="00C31389" w14:paraId="65445DA8" w14:textId="77777777">
      <w:pPr>
        <w:pStyle w:val="BodyText"/>
        <w:spacing w:before="8"/>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664"/>
        <w:gridCol w:w="1495"/>
        <w:gridCol w:w="1263"/>
        <w:gridCol w:w="1015"/>
        <w:gridCol w:w="1203"/>
        <w:gridCol w:w="1365"/>
        <w:gridCol w:w="1365"/>
      </w:tblGrid>
      <w:tr w:rsidR="00C31389" w14:paraId="3E25195A" w14:textId="77777777">
        <w:trPr>
          <w:trHeight w:val="1150"/>
        </w:trPr>
        <w:tc>
          <w:tcPr>
            <w:tcW w:w="1664" w:type="dxa"/>
            <w:tcBorders>
              <w:bottom w:val="single" w:color="000000" w:sz="6" w:space="0"/>
            </w:tcBorders>
            <w:shd w:val="clear" w:color="auto" w:fill="92D400"/>
          </w:tcPr>
          <w:p w:rsidR="00C31389" w:rsidRDefault="00C31389" w14:paraId="0AC9D558" w14:textId="77777777">
            <w:pPr>
              <w:pStyle w:val="TableParagraph"/>
              <w:spacing w:before="0"/>
              <w:rPr>
                <w:b/>
              </w:rPr>
            </w:pPr>
          </w:p>
          <w:p w:rsidR="00C31389" w:rsidRDefault="00C31389" w14:paraId="7C0A463D" w14:textId="77777777">
            <w:pPr>
              <w:pStyle w:val="TableParagraph"/>
              <w:spacing w:before="0"/>
              <w:rPr>
                <w:b/>
                <w:sz w:val="18"/>
              </w:rPr>
            </w:pPr>
          </w:p>
          <w:p w:rsidR="00C31389" w:rsidRDefault="00561FBD" w14:paraId="313597FC" w14:textId="77777777">
            <w:pPr>
              <w:pStyle w:val="TableParagraph"/>
              <w:spacing w:before="0"/>
              <w:ind w:left="14"/>
              <w:rPr>
                <w:b/>
                <w:sz w:val="20"/>
              </w:rPr>
            </w:pPr>
            <w:r>
              <w:rPr>
                <w:b/>
                <w:sz w:val="20"/>
              </w:rPr>
              <w:t>Savings</w:t>
            </w:r>
            <w:r>
              <w:rPr>
                <w:b/>
                <w:spacing w:val="-4"/>
                <w:sz w:val="20"/>
              </w:rPr>
              <w:t xml:space="preserve"> </w:t>
            </w:r>
            <w:r>
              <w:rPr>
                <w:b/>
                <w:spacing w:val="-2"/>
                <w:sz w:val="20"/>
              </w:rPr>
              <w:t>Metric</w:t>
            </w:r>
          </w:p>
        </w:tc>
        <w:tc>
          <w:tcPr>
            <w:tcW w:w="1495" w:type="dxa"/>
            <w:tcBorders>
              <w:bottom w:val="single" w:color="000000" w:sz="6" w:space="0"/>
            </w:tcBorders>
            <w:shd w:val="clear" w:color="auto" w:fill="92D400"/>
          </w:tcPr>
          <w:p w:rsidR="00C31389" w:rsidRDefault="00C31389" w14:paraId="701461E8" w14:textId="77777777">
            <w:pPr>
              <w:pStyle w:val="TableParagraph"/>
              <w:spacing w:before="0"/>
              <w:rPr>
                <w:b/>
              </w:rPr>
            </w:pPr>
          </w:p>
          <w:p w:rsidR="00C31389" w:rsidRDefault="00C31389" w14:paraId="58FCE66F" w14:textId="77777777">
            <w:pPr>
              <w:pStyle w:val="TableParagraph"/>
              <w:spacing w:before="0"/>
              <w:rPr>
                <w:b/>
                <w:sz w:val="18"/>
              </w:rPr>
            </w:pPr>
          </w:p>
          <w:p w:rsidR="00C31389" w:rsidRDefault="00561FBD" w14:paraId="7921128D" w14:textId="77777777">
            <w:pPr>
              <w:pStyle w:val="TableParagraph"/>
              <w:spacing w:before="0"/>
              <w:rPr>
                <w:b/>
                <w:sz w:val="20"/>
              </w:rPr>
            </w:pPr>
            <w:r>
              <w:rPr>
                <w:b/>
                <w:sz w:val="20"/>
              </w:rPr>
              <w:t>Program</w:t>
            </w:r>
            <w:r>
              <w:rPr>
                <w:b/>
                <w:spacing w:val="-10"/>
                <w:sz w:val="20"/>
              </w:rPr>
              <w:t xml:space="preserve"> </w:t>
            </w:r>
            <w:r>
              <w:rPr>
                <w:b/>
                <w:spacing w:val="-4"/>
                <w:sz w:val="20"/>
              </w:rPr>
              <w:t>Type</w:t>
            </w:r>
          </w:p>
        </w:tc>
        <w:tc>
          <w:tcPr>
            <w:tcW w:w="1263" w:type="dxa"/>
            <w:tcBorders>
              <w:bottom w:val="single" w:color="000000" w:sz="6" w:space="0"/>
            </w:tcBorders>
            <w:shd w:val="clear" w:color="auto" w:fill="92D400"/>
          </w:tcPr>
          <w:p w:rsidR="00C31389" w:rsidRDefault="00C31389" w14:paraId="04D1B073" w14:textId="77777777">
            <w:pPr>
              <w:pStyle w:val="TableParagraph"/>
              <w:spacing w:before="1"/>
              <w:rPr>
                <w:b/>
                <w:sz w:val="30"/>
              </w:rPr>
            </w:pPr>
          </w:p>
          <w:p w:rsidR="00C31389" w:rsidRDefault="00561FBD" w14:paraId="7B6ADDC0" w14:textId="77777777">
            <w:pPr>
              <w:pStyle w:val="TableParagraph"/>
              <w:spacing w:before="0"/>
              <w:ind w:left="230" w:right="50" w:hanging="80"/>
              <w:rPr>
                <w:b/>
                <w:sz w:val="20"/>
              </w:rPr>
            </w:pPr>
            <w:r>
              <w:rPr>
                <w:b/>
                <w:sz w:val="20"/>
              </w:rPr>
              <w:t>2021</w:t>
            </w:r>
            <w:r>
              <w:rPr>
                <w:b/>
                <w:spacing w:val="-14"/>
                <w:sz w:val="20"/>
              </w:rPr>
              <w:t xml:space="preserve"> </w:t>
            </w:r>
            <w:r>
              <w:rPr>
                <w:b/>
                <w:sz w:val="20"/>
              </w:rPr>
              <w:t xml:space="preserve">Goals </w:t>
            </w:r>
            <w:r>
              <w:rPr>
                <w:b/>
                <w:spacing w:val="-2"/>
                <w:sz w:val="20"/>
              </w:rPr>
              <w:t>Scenario</w:t>
            </w:r>
          </w:p>
        </w:tc>
        <w:tc>
          <w:tcPr>
            <w:tcW w:w="1015" w:type="dxa"/>
            <w:tcBorders>
              <w:bottom w:val="single" w:color="000000" w:sz="6" w:space="0"/>
            </w:tcBorders>
            <w:shd w:val="clear" w:color="auto" w:fill="92D400"/>
          </w:tcPr>
          <w:p w:rsidR="00C31389" w:rsidRDefault="00C31389" w14:paraId="4DCA14DF" w14:textId="77777777">
            <w:pPr>
              <w:pStyle w:val="TableParagraph"/>
              <w:spacing w:before="0"/>
              <w:rPr>
                <w:b/>
              </w:rPr>
            </w:pPr>
          </w:p>
          <w:p w:rsidR="00C31389" w:rsidRDefault="00C31389" w14:paraId="5C8F8E3F" w14:textId="77777777">
            <w:pPr>
              <w:pStyle w:val="TableParagraph"/>
              <w:spacing w:before="0"/>
              <w:rPr>
                <w:b/>
                <w:sz w:val="18"/>
              </w:rPr>
            </w:pPr>
          </w:p>
          <w:p w:rsidR="00C31389" w:rsidRDefault="00561FBD" w14:paraId="0A50DB8F" w14:textId="77777777">
            <w:pPr>
              <w:pStyle w:val="TableParagraph"/>
              <w:spacing w:before="0"/>
              <w:ind w:left="45" w:right="45"/>
              <w:jc w:val="center"/>
              <w:rPr>
                <w:b/>
                <w:sz w:val="20"/>
              </w:rPr>
            </w:pPr>
            <w:r>
              <w:rPr>
                <w:b/>
                <w:sz w:val="20"/>
              </w:rPr>
              <w:t>1: No</w:t>
            </w:r>
            <w:r>
              <w:rPr>
                <w:b/>
                <w:spacing w:val="-1"/>
                <w:sz w:val="20"/>
              </w:rPr>
              <w:t xml:space="preserve"> </w:t>
            </w:r>
            <w:r>
              <w:rPr>
                <w:b/>
                <w:spacing w:val="-5"/>
                <w:sz w:val="20"/>
              </w:rPr>
              <w:t>IRA</w:t>
            </w:r>
          </w:p>
        </w:tc>
        <w:tc>
          <w:tcPr>
            <w:tcW w:w="1203" w:type="dxa"/>
            <w:tcBorders>
              <w:bottom w:val="single" w:color="000000" w:sz="6" w:space="0"/>
            </w:tcBorders>
            <w:shd w:val="clear" w:color="auto" w:fill="92D400"/>
          </w:tcPr>
          <w:p w:rsidR="00C31389" w:rsidRDefault="00C31389" w14:paraId="5B03BA2A" w14:textId="77777777">
            <w:pPr>
              <w:pStyle w:val="TableParagraph"/>
              <w:spacing w:before="1"/>
              <w:rPr>
                <w:b/>
                <w:sz w:val="20"/>
              </w:rPr>
            </w:pPr>
          </w:p>
          <w:p w:rsidR="00C31389" w:rsidRDefault="00561FBD" w14:paraId="3909C675" w14:textId="77777777">
            <w:pPr>
              <w:pStyle w:val="TableParagraph"/>
              <w:spacing w:before="0" w:line="230" w:lineRule="exact"/>
              <w:ind w:left="362" w:right="321"/>
              <w:jc w:val="center"/>
              <w:rPr>
                <w:b/>
                <w:sz w:val="20"/>
              </w:rPr>
            </w:pPr>
            <w:r>
              <w:rPr>
                <w:b/>
                <w:spacing w:val="-5"/>
                <w:sz w:val="20"/>
              </w:rPr>
              <w:t>2:</w:t>
            </w:r>
          </w:p>
          <w:p w:rsidR="00C31389" w:rsidRDefault="00561FBD" w14:paraId="470F513E" w14:textId="77777777">
            <w:pPr>
              <w:pStyle w:val="TableParagraph"/>
              <w:spacing w:before="0"/>
              <w:ind w:left="61" w:right="71" w:firstLine="53"/>
              <w:jc w:val="center"/>
              <w:rPr>
                <w:b/>
                <w:sz w:val="20"/>
              </w:rPr>
            </w:pPr>
            <w:r>
              <w:rPr>
                <w:b/>
                <w:spacing w:val="-2"/>
                <w:sz w:val="20"/>
              </w:rPr>
              <w:t xml:space="preserve">Reference </w:t>
            </w:r>
            <w:r>
              <w:rPr>
                <w:b/>
                <w:sz w:val="20"/>
              </w:rPr>
              <w:t>IRA</w:t>
            </w:r>
            <w:r>
              <w:rPr>
                <w:b/>
                <w:spacing w:val="-1"/>
                <w:sz w:val="20"/>
              </w:rPr>
              <w:t xml:space="preserve"> </w:t>
            </w:r>
            <w:r>
              <w:rPr>
                <w:b/>
                <w:sz w:val="20"/>
              </w:rPr>
              <w:t>and</w:t>
            </w:r>
            <w:r>
              <w:rPr>
                <w:b/>
                <w:spacing w:val="-1"/>
                <w:sz w:val="20"/>
              </w:rPr>
              <w:t xml:space="preserve"> </w:t>
            </w:r>
            <w:r>
              <w:rPr>
                <w:b/>
                <w:spacing w:val="-5"/>
                <w:sz w:val="20"/>
              </w:rPr>
              <w:t>FS</w:t>
            </w:r>
          </w:p>
        </w:tc>
        <w:tc>
          <w:tcPr>
            <w:tcW w:w="1365" w:type="dxa"/>
            <w:tcBorders>
              <w:bottom w:val="single" w:color="000000" w:sz="6" w:space="0"/>
            </w:tcBorders>
            <w:shd w:val="clear" w:color="auto" w:fill="92D400"/>
          </w:tcPr>
          <w:p w:rsidR="00C31389" w:rsidRDefault="00561FBD" w14:paraId="31AC9017" w14:textId="77777777">
            <w:pPr>
              <w:pStyle w:val="TableParagraph"/>
              <w:spacing w:before="116"/>
              <w:ind w:left="78" w:right="84"/>
              <w:jc w:val="center"/>
              <w:rPr>
                <w:b/>
                <w:sz w:val="20"/>
              </w:rPr>
            </w:pPr>
            <w:r>
              <w:rPr>
                <w:b/>
                <w:sz w:val="20"/>
              </w:rPr>
              <w:t>3:</w:t>
            </w:r>
            <w:r>
              <w:rPr>
                <w:b/>
                <w:spacing w:val="-14"/>
                <w:sz w:val="20"/>
              </w:rPr>
              <w:t xml:space="preserve"> </w:t>
            </w:r>
            <w:r>
              <w:rPr>
                <w:b/>
                <w:sz w:val="20"/>
              </w:rPr>
              <w:t xml:space="preserve">Reference IRA and </w:t>
            </w:r>
            <w:r>
              <w:rPr>
                <w:b/>
                <w:spacing w:val="-2"/>
                <w:sz w:val="20"/>
              </w:rPr>
              <w:t xml:space="preserve">Aggressive </w:t>
            </w:r>
            <w:r>
              <w:rPr>
                <w:b/>
                <w:spacing w:val="-6"/>
                <w:sz w:val="20"/>
              </w:rPr>
              <w:t>FS</w:t>
            </w:r>
          </w:p>
        </w:tc>
        <w:tc>
          <w:tcPr>
            <w:tcW w:w="1365" w:type="dxa"/>
            <w:tcBorders>
              <w:bottom w:val="single" w:color="000000" w:sz="6" w:space="0"/>
            </w:tcBorders>
            <w:shd w:val="clear" w:color="auto" w:fill="92D400"/>
          </w:tcPr>
          <w:p w:rsidR="00C31389" w:rsidRDefault="00561FBD" w14:paraId="442090A8" w14:textId="77777777">
            <w:pPr>
              <w:pStyle w:val="TableParagraph"/>
              <w:spacing w:before="1"/>
              <w:ind w:left="78" w:right="172"/>
              <w:jc w:val="center"/>
              <w:rPr>
                <w:b/>
                <w:sz w:val="20"/>
              </w:rPr>
            </w:pPr>
            <w:r>
              <w:rPr>
                <w:b/>
                <w:spacing w:val="-5"/>
                <w:sz w:val="20"/>
              </w:rPr>
              <w:t>4:</w:t>
            </w:r>
          </w:p>
          <w:p w:rsidR="00C31389" w:rsidRDefault="00561FBD" w14:paraId="305A4FC1" w14:textId="77777777">
            <w:pPr>
              <w:pStyle w:val="TableParagraph"/>
              <w:spacing w:before="0"/>
              <w:ind w:left="78" w:right="175"/>
              <w:jc w:val="center"/>
              <w:rPr>
                <w:b/>
                <w:sz w:val="20"/>
              </w:rPr>
            </w:pPr>
            <w:r>
              <w:rPr>
                <w:b/>
                <w:spacing w:val="-2"/>
                <w:sz w:val="20"/>
              </w:rPr>
              <w:t xml:space="preserve">Aggressive </w:t>
            </w:r>
            <w:r>
              <w:rPr>
                <w:b/>
                <w:sz w:val="20"/>
              </w:rPr>
              <w:t xml:space="preserve">IRA and </w:t>
            </w:r>
            <w:r>
              <w:rPr>
                <w:b/>
                <w:spacing w:val="-2"/>
                <w:sz w:val="20"/>
              </w:rPr>
              <w:t>Reference</w:t>
            </w:r>
          </w:p>
          <w:p w:rsidR="00C31389" w:rsidRDefault="00561FBD" w14:paraId="13B266F9" w14:textId="77777777">
            <w:pPr>
              <w:pStyle w:val="TableParagraph"/>
              <w:spacing w:before="0" w:line="209" w:lineRule="exact"/>
              <w:ind w:left="42" w:right="190"/>
              <w:jc w:val="center"/>
              <w:rPr>
                <w:b/>
                <w:sz w:val="20"/>
              </w:rPr>
            </w:pPr>
            <w:r>
              <w:rPr>
                <w:b/>
                <w:spacing w:val="-5"/>
                <w:sz w:val="20"/>
              </w:rPr>
              <w:t>FS</w:t>
            </w:r>
          </w:p>
        </w:tc>
      </w:tr>
      <w:tr w:rsidR="00C31389" w14:paraId="51C9DB7A" w14:textId="77777777">
        <w:trPr>
          <w:trHeight w:val="229"/>
        </w:trPr>
        <w:tc>
          <w:tcPr>
            <w:tcW w:w="1664" w:type="dxa"/>
            <w:vMerge w:val="restart"/>
            <w:tcBorders>
              <w:top w:val="single" w:color="000000" w:sz="6" w:space="0"/>
              <w:bottom w:val="single" w:color="000000" w:sz="4" w:space="0"/>
            </w:tcBorders>
          </w:tcPr>
          <w:p w:rsidR="00C31389" w:rsidRDefault="00561FBD" w14:paraId="304A62B2" w14:textId="77777777">
            <w:pPr>
              <w:pStyle w:val="TableParagraph"/>
              <w:spacing w:before="137"/>
              <w:ind w:left="14" w:right="380"/>
              <w:jc w:val="both"/>
              <w:rPr>
                <w:b/>
                <w:sz w:val="20"/>
              </w:rPr>
            </w:pPr>
            <w:r>
              <w:rPr>
                <w:b/>
                <w:sz w:val="20"/>
              </w:rPr>
              <w:t>Total</w:t>
            </w:r>
            <w:r>
              <w:rPr>
                <w:b/>
                <w:spacing w:val="-14"/>
                <w:sz w:val="20"/>
              </w:rPr>
              <w:t xml:space="preserve"> </w:t>
            </w:r>
            <w:r>
              <w:rPr>
                <w:b/>
                <w:sz w:val="20"/>
              </w:rPr>
              <w:t>System Benefit</w:t>
            </w:r>
            <w:r>
              <w:rPr>
                <w:b/>
                <w:spacing w:val="-14"/>
                <w:sz w:val="20"/>
              </w:rPr>
              <w:t xml:space="preserve"> </w:t>
            </w:r>
            <w:r>
              <w:rPr>
                <w:b/>
                <w:sz w:val="20"/>
              </w:rPr>
              <w:t>(TSB) ($ Millions)</w:t>
            </w:r>
          </w:p>
        </w:tc>
        <w:tc>
          <w:tcPr>
            <w:tcW w:w="1495" w:type="dxa"/>
            <w:tcBorders>
              <w:top w:val="single" w:color="000000" w:sz="6" w:space="0"/>
              <w:bottom w:val="single" w:color="D9D9D9" w:sz="6" w:space="0"/>
            </w:tcBorders>
          </w:tcPr>
          <w:p w:rsidR="00C31389" w:rsidRDefault="00561FBD" w14:paraId="30B907B4" w14:textId="77777777">
            <w:pPr>
              <w:pStyle w:val="TableParagraph"/>
              <w:spacing w:before="0" w:line="209" w:lineRule="exact"/>
              <w:rPr>
                <w:sz w:val="20"/>
              </w:rPr>
            </w:pPr>
            <w:r>
              <w:rPr>
                <w:spacing w:val="-5"/>
                <w:sz w:val="20"/>
              </w:rPr>
              <w:t>FS</w:t>
            </w:r>
          </w:p>
        </w:tc>
        <w:tc>
          <w:tcPr>
            <w:tcW w:w="1263" w:type="dxa"/>
            <w:tcBorders>
              <w:top w:val="single" w:color="000000" w:sz="6" w:space="0"/>
              <w:bottom w:val="single" w:color="D9D9D9" w:sz="6" w:space="0"/>
            </w:tcBorders>
          </w:tcPr>
          <w:p w:rsidR="00C31389" w:rsidRDefault="00561FBD" w14:paraId="45695158" w14:textId="77777777">
            <w:pPr>
              <w:pStyle w:val="TableParagraph"/>
              <w:spacing w:before="0" w:line="209" w:lineRule="exact"/>
              <w:ind w:left="288" w:right="243"/>
              <w:jc w:val="center"/>
              <w:rPr>
                <w:sz w:val="20"/>
              </w:rPr>
            </w:pPr>
            <w:r>
              <w:rPr>
                <w:spacing w:val="-5"/>
                <w:sz w:val="20"/>
              </w:rPr>
              <w:t>$98</w:t>
            </w:r>
          </w:p>
        </w:tc>
        <w:tc>
          <w:tcPr>
            <w:tcW w:w="1015" w:type="dxa"/>
            <w:tcBorders>
              <w:top w:val="single" w:color="000000" w:sz="6" w:space="0"/>
              <w:bottom w:val="single" w:color="D9D9D9" w:sz="6" w:space="0"/>
            </w:tcBorders>
          </w:tcPr>
          <w:p w:rsidR="00C31389" w:rsidRDefault="00561FBD" w14:paraId="74626559" w14:textId="77777777">
            <w:pPr>
              <w:pStyle w:val="TableParagraph"/>
              <w:spacing w:before="0" w:line="209" w:lineRule="exact"/>
              <w:ind w:left="45" w:right="44"/>
              <w:jc w:val="center"/>
              <w:rPr>
                <w:sz w:val="20"/>
              </w:rPr>
            </w:pPr>
            <w:r>
              <w:rPr>
                <w:spacing w:val="-5"/>
                <w:sz w:val="20"/>
              </w:rPr>
              <w:t>$20</w:t>
            </w:r>
          </w:p>
        </w:tc>
        <w:tc>
          <w:tcPr>
            <w:tcW w:w="1203" w:type="dxa"/>
            <w:tcBorders>
              <w:top w:val="single" w:color="000000" w:sz="6" w:space="0"/>
              <w:bottom w:val="single" w:color="D9D9D9" w:sz="6" w:space="0"/>
            </w:tcBorders>
          </w:tcPr>
          <w:p w:rsidR="00C31389" w:rsidRDefault="00561FBD" w14:paraId="7DD6F300" w14:textId="77777777">
            <w:pPr>
              <w:pStyle w:val="TableParagraph"/>
              <w:spacing w:before="0" w:line="209" w:lineRule="exact"/>
              <w:ind w:left="361" w:right="372"/>
              <w:jc w:val="center"/>
              <w:rPr>
                <w:sz w:val="20"/>
              </w:rPr>
            </w:pPr>
            <w:r>
              <w:rPr>
                <w:spacing w:val="-5"/>
                <w:sz w:val="20"/>
              </w:rPr>
              <w:t>$25</w:t>
            </w:r>
          </w:p>
        </w:tc>
        <w:tc>
          <w:tcPr>
            <w:tcW w:w="1365" w:type="dxa"/>
            <w:tcBorders>
              <w:top w:val="single" w:color="000000" w:sz="6" w:space="0"/>
              <w:bottom w:val="single" w:color="D9D9D9" w:sz="6" w:space="0"/>
            </w:tcBorders>
          </w:tcPr>
          <w:p w:rsidR="00C31389" w:rsidRDefault="00561FBD" w14:paraId="3A3547F4" w14:textId="77777777">
            <w:pPr>
              <w:pStyle w:val="TableParagraph"/>
              <w:spacing w:before="0" w:line="209" w:lineRule="exact"/>
              <w:ind w:left="429"/>
              <w:rPr>
                <w:sz w:val="20"/>
              </w:rPr>
            </w:pPr>
            <w:r>
              <w:rPr>
                <w:spacing w:val="-4"/>
                <w:sz w:val="20"/>
              </w:rPr>
              <w:t>$568</w:t>
            </w:r>
          </w:p>
        </w:tc>
        <w:tc>
          <w:tcPr>
            <w:tcW w:w="1365" w:type="dxa"/>
            <w:tcBorders>
              <w:top w:val="single" w:color="000000" w:sz="6" w:space="0"/>
              <w:bottom w:val="single" w:color="D9D9D9" w:sz="6" w:space="0"/>
            </w:tcBorders>
          </w:tcPr>
          <w:p w:rsidR="00C31389" w:rsidRDefault="00561FBD" w14:paraId="29162659" w14:textId="77777777">
            <w:pPr>
              <w:pStyle w:val="TableParagraph"/>
              <w:spacing w:before="0" w:line="209" w:lineRule="exact"/>
              <w:ind w:left="439"/>
              <w:rPr>
                <w:sz w:val="20"/>
              </w:rPr>
            </w:pPr>
            <w:r>
              <w:rPr>
                <w:spacing w:val="-5"/>
                <w:sz w:val="20"/>
              </w:rPr>
              <w:t>$26</w:t>
            </w:r>
          </w:p>
        </w:tc>
      </w:tr>
      <w:tr w:rsidR="00C31389" w14:paraId="6DD121B3" w14:textId="77777777">
        <w:trPr>
          <w:trHeight w:val="229"/>
        </w:trPr>
        <w:tc>
          <w:tcPr>
            <w:tcW w:w="1664" w:type="dxa"/>
            <w:vMerge/>
            <w:tcBorders>
              <w:top w:val="nil"/>
              <w:bottom w:val="single" w:color="000000" w:sz="4" w:space="0"/>
            </w:tcBorders>
          </w:tcPr>
          <w:p w:rsidR="00C31389" w:rsidRDefault="00C31389" w14:paraId="47F5CB89" w14:textId="77777777">
            <w:pPr>
              <w:rPr>
                <w:sz w:val="2"/>
                <w:szCs w:val="2"/>
              </w:rPr>
            </w:pPr>
          </w:p>
        </w:tc>
        <w:tc>
          <w:tcPr>
            <w:tcW w:w="1495" w:type="dxa"/>
            <w:tcBorders>
              <w:top w:val="single" w:color="D9D9D9" w:sz="6" w:space="0"/>
              <w:bottom w:val="single" w:color="D9D9D9" w:sz="6" w:space="0"/>
            </w:tcBorders>
          </w:tcPr>
          <w:p w:rsidR="00C31389" w:rsidRDefault="00561FBD" w14:paraId="3B8E160B" w14:textId="77777777">
            <w:pPr>
              <w:pStyle w:val="TableParagraph"/>
              <w:spacing w:before="0" w:line="209" w:lineRule="exact"/>
              <w:rPr>
                <w:sz w:val="20"/>
              </w:rPr>
            </w:pPr>
            <w:r>
              <w:rPr>
                <w:spacing w:val="-4"/>
                <w:sz w:val="20"/>
              </w:rPr>
              <w:t>BROs</w:t>
            </w:r>
          </w:p>
        </w:tc>
        <w:tc>
          <w:tcPr>
            <w:tcW w:w="1263" w:type="dxa"/>
            <w:tcBorders>
              <w:top w:val="single" w:color="D9D9D9" w:sz="6" w:space="0"/>
              <w:bottom w:val="single" w:color="D9D9D9" w:sz="6" w:space="0"/>
            </w:tcBorders>
          </w:tcPr>
          <w:p w:rsidR="00C31389" w:rsidRDefault="00561FBD" w14:paraId="54F08494" w14:textId="77777777">
            <w:pPr>
              <w:pStyle w:val="TableParagraph"/>
              <w:spacing w:before="0" w:line="209" w:lineRule="exact"/>
              <w:ind w:left="288" w:right="243"/>
              <w:jc w:val="center"/>
              <w:rPr>
                <w:sz w:val="20"/>
              </w:rPr>
            </w:pPr>
            <w:r>
              <w:rPr>
                <w:spacing w:val="-5"/>
                <w:sz w:val="20"/>
              </w:rPr>
              <w:t>$89</w:t>
            </w:r>
          </w:p>
        </w:tc>
        <w:tc>
          <w:tcPr>
            <w:tcW w:w="1015" w:type="dxa"/>
            <w:tcBorders>
              <w:top w:val="single" w:color="D9D9D9" w:sz="6" w:space="0"/>
              <w:bottom w:val="single" w:color="D9D9D9" w:sz="6" w:space="0"/>
            </w:tcBorders>
          </w:tcPr>
          <w:p w:rsidR="00C31389" w:rsidRDefault="00561FBD" w14:paraId="2A1B00C7" w14:textId="77777777">
            <w:pPr>
              <w:pStyle w:val="TableParagraph"/>
              <w:spacing w:before="0" w:line="209" w:lineRule="exact"/>
              <w:ind w:left="45" w:right="43"/>
              <w:jc w:val="center"/>
              <w:rPr>
                <w:sz w:val="20"/>
              </w:rPr>
            </w:pPr>
            <w:r>
              <w:rPr>
                <w:spacing w:val="-4"/>
                <w:sz w:val="20"/>
              </w:rPr>
              <w:t>$132</w:t>
            </w:r>
          </w:p>
        </w:tc>
        <w:tc>
          <w:tcPr>
            <w:tcW w:w="1203" w:type="dxa"/>
            <w:tcBorders>
              <w:top w:val="single" w:color="D9D9D9" w:sz="6" w:space="0"/>
              <w:bottom w:val="single" w:color="D9D9D9" w:sz="6" w:space="0"/>
            </w:tcBorders>
          </w:tcPr>
          <w:p w:rsidR="00C31389" w:rsidRDefault="00561FBD" w14:paraId="68F9920E" w14:textId="77777777">
            <w:pPr>
              <w:pStyle w:val="TableParagraph"/>
              <w:spacing w:before="0" w:line="209" w:lineRule="exact"/>
              <w:ind w:left="362" w:right="372"/>
              <w:jc w:val="center"/>
              <w:rPr>
                <w:sz w:val="20"/>
              </w:rPr>
            </w:pPr>
            <w:r>
              <w:rPr>
                <w:spacing w:val="-4"/>
                <w:sz w:val="20"/>
              </w:rPr>
              <w:t>$132</w:t>
            </w:r>
          </w:p>
        </w:tc>
        <w:tc>
          <w:tcPr>
            <w:tcW w:w="1365" w:type="dxa"/>
            <w:tcBorders>
              <w:top w:val="single" w:color="D9D9D9" w:sz="6" w:space="0"/>
              <w:bottom w:val="single" w:color="D9D9D9" w:sz="6" w:space="0"/>
            </w:tcBorders>
          </w:tcPr>
          <w:p w:rsidR="00C31389" w:rsidRDefault="00561FBD" w14:paraId="49651307" w14:textId="77777777">
            <w:pPr>
              <w:pStyle w:val="TableParagraph"/>
              <w:spacing w:before="0" w:line="209" w:lineRule="exact"/>
              <w:ind w:left="429"/>
              <w:rPr>
                <w:sz w:val="20"/>
              </w:rPr>
            </w:pPr>
            <w:r>
              <w:rPr>
                <w:spacing w:val="-4"/>
                <w:sz w:val="20"/>
              </w:rPr>
              <w:t>$132</w:t>
            </w:r>
          </w:p>
        </w:tc>
        <w:tc>
          <w:tcPr>
            <w:tcW w:w="1365" w:type="dxa"/>
            <w:tcBorders>
              <w:top w:val="single" w:color="D9D9D9" w:sz="6" w:space="0"/>
              <w:bottom w:val="single" w:color="D9D9D9" w:sz="6" w:space="0"/>
            </w:tcBorders>
          </w:tcPr>
          <w:p w:rsidR="00C31389" w:rsidRDefault="00561FBD" w14:paraId="4597DB9E" w14:textId="77777777">
            <w:pPr>
              <w:pStyle w:val="TableParagraph"/>
              <w:spacing w:before="0" w:line="209" w:lineRule="exact"/>
              <w:ind w:left="384"/>
              <w:rPr>
                <w:sz w:val="20"/>
              </w:rPr>
            </w:pPr>
            <w:r>
              <w:rPr>
                <w:spacing w:val="-4"/>
                <w:sz w:val="20"/>
              </w:rPr>
              <w:t>$132</w:t>
            </w:r>
          </w:p>
        </w:tc>
      </w:tr>
      <w:tr w:rsidR="00C31389" w14:paraId="1568A037" w14:textId="77777777">
        <w:trPr>
          <w:trHeight w:val="229"/>
        </w:trPr>
        <w:tc>
          <w:tcPr>
            <w:tcW w:w="1664" w:type="dxa"/>
            <w:vMerge/>
            <w:tcBorders>
              <w:top w:val="nil"/>
              <w:bottom w:val="single" w:color="000000" w:sz="4" w:space="0"/>
            </w:tcBorders>
          </w:tcPr>
          <w:p w:rsidR="00C31389" w:rsidRDefault="00C31389" w14:paraId="0B06C00C" w14:textId="77777777">
            <w:pPr>
              <w:rPr>
                <w:sz w:val="2"/>
                <w:szCs w:val="2"/>
              </w:rPr>
            </w:pPr>
          </w:p>
        </w:tc>
        <w:tc>
          <w:tcPr>
            <w:tcW w:w="1495" w:type="dxa"/>
            <w:tcBorders>
              <w:top w:val="single" w:color="D9D9D9" w:sz="6" w:space="0"/>
              <w:bottom w:val="single" w:color="D9D9D9" w:sz="6" w:space="0"/>
            </w:tcBorders>
          </w:tcPr>
          <w:p w:rsidR="00C31389" w:rsidRDefault="00561FBD" w14:paraId="1D02551E" w14:textId="77777777">
            <w:pPr>
              <w:pStyle w:val="TableParagraph"/>
              <w:spacing w:before="0" w:line="209" w:lineRule="exact"/>
              <w:rPr>
                <w:sz w:val="20"/>
              </w:rPr>
            </w:pPr>
            <w:r>
              <w:rPr>
                <w:sz w:val="20"/>
              </w:rPr>
              <w:t>EE</w:t>
            </w:r>
            <w:r>
              <w:rPr>
                <w:spacing w:val="-2"/>
                <w:sz w:val="20"/>
              </w:rPr>
              <w:t xml:space="preserve"> Equipment</w:t>
            </w:r>
          </w:p>
        </w:tc>
        <w:tc>
          <w:tcPr>
            <w:tcW w:w="1263" w:type="dxa"/>
            <w:tcBorders>
              <w:top w:val="single" w:color="D9D9D9" w:sz="6" w:space="0"/>
              <w:bottom w:val="single" w:color="D9D9D9" w:sz="6" w:space="0"/>
            </w:tcBorders>
          </w:tcPr>
          <w:p w:rsidR="00C31389" w:rsidRDefault="00561FBD" w14:paraId="7D8821AF" w14:textId="77777777">
            <w:pPr>
              <w:pStyle w:val="TableParagraph"/>
              <w:spacing w:before="0" w:line="209" w:lineRule="exact"/>
              <w:ind w:left="288" w:right="245"/>
              <w:jc w:val="center"/>
              <w:rPr>
                <w:sz w:val="20"/>
              </w:rPr>
            </w:pPr>
            <w:r>
              <w:rPr>
                <w:spacing w:val="-4"/>
                <w:sz w:val="20"/>
              </w:rPr>
              <w:t>$199</w:t>
            </w:r>
          </w:p>
        </w:tc>
        <w:tc>
          <w:tcPr>
            <w:tcW w:w="1015" w:type="dxa"/>
            <w:tcBorders>
              <w:top w:val="single" w:color="D9D9D9" w:sz="6" w:space="0"/>
              <w:bottom w:val="single" w:color="D9D9D9" w:sz="6" w:space="0"/>
            </w:tcBorders>
          </w:tcPr>
          <w:p w:rsidR="00C31389" w:rsidRDefault="00561FBD" w14:paraId="6A8122D8" w14:textId="77777777">
            <w:pPr>
              <w:pStyle w:val="TableParagraph"/>
              <w:spacing w:before="0" w:line="209" w:lineRule="exact"/>
              <w:ind w:left="45" w:right="43"/>
              <w:jc w:val="center"/>
              <w:rPr>
                <w:sz w:val="20"/>
              </w:rPr>
            </w:pPr>
            <w:r>
              <w:rPr>
                <w:spacing w:val="-4"/>
                <w:sz w:val="20"/>
              </w:rPr>
              <w:t>$357</w:t>
            </w:r>
          </w:p>
        </w:tc>
        <w:tc>
          <w:tcPr>
            <w:tcW w:w="1203" w:type="dxa"/>
            <w:tcBorders>
              <w:top w:val="single" w:color="D9D9D9" w:sz="6" w:space="0"/>
              <w:bottom w:val="single" w:color="D9D9D9" w:sz="6" w:space="0"/>
            </w:tcBorders>
          </w:tcPr>
          <w:p w:rsidR="00C31389" w:rsidRDefault="00561FBD" w14:paraId="7722A470" w14:textId="77777777">
            <w:pPr>
              <w:pStyle w:val="TableParagraph"/>
              <w:spacing w:before="0" w:line="209" w:lineRule="exact"/>
              <w:ind w:left="362" w:right="372"/>
              <w:jc w:val="center"/>
              <w:rPr>
                <w:sz w:val="20"/>
              </w:rPr>
            </w:pPr>
            <w:r>
              <w:rPr>
                <w:spacing w:val="-4"/>
                <w:sz w:val="20"/>
              </w:rPr>
              <w:t>$377</w:t>
            </w:r>
          </w:p>
        </w:tc>
        <w:tc>
          <w:tcPr>
            <w:tcW w:w="1365" w:type="dxa"/>
            <w:tcBorders>
              <w:top w:val="single" w:color="D9D9D9" w:sz="6" w:space="0"/>
              <w:bottom w:val="single" w:color="D9D9D9" w:sz="6" w:space="0"/>
            </w:tcBorders>
          </w:tcPr>
          <w:p w:rsidR="00C31389" w:rsidRDefault="00561FBD" w14:paraId="070B5314" w14:textId="77777777">
            <w:pPr>
              <w:pStyle w:val="TableParagraph"/>
              <w:spacing w:before="0" w:line="209" w:lineRule="exact"/>
              <w:ind w:left="429"/>
              <w:rPr>
                <w:sz w:val="20"/>
              </w:rPr>
            </w:pPr>
            <w:r>
              <w:rPr>
                <w:spacing w:val="-4"/>
                <w:sz w:val="20"/>
              </w:rPr>
              <w:t>$377</w:t>
            </w:r>
          </w:p>
        </w:tc>
        <w:tc>
          <w:tcPr>
            <w:tcW w:w="1365" w:type="dxa"/>
            <w:tcBorders>
              <w:top w:val="single" w:color="D9D9D9" w:sz="6" w:space="0"/>
              <w:bottom w:val="single" w:color="D9D9D9" w:sz="6" w:space="0"/>
            </w:tcBorders>
          </w:tcPr>
          <w:p w:rsidR="00C31389" w:rsidRDefault="00561FBD" w14:paraId="587ED971" w14:textId="77777777">
            <w:pPr>
              <w:pStyle w:val="TableParagraph"/>
              <w:spacing w:before="0" w:line="209" w:lineRule="exact"/>
              <w:ind w:left="384"/>
              <w:rPr>
                <w:sz w:val="20"/>
              </w:rPr>
            </w:pPr>
            <w:r>
              <w:rPr>
                <w:spacing w:val="-4"/>
                <w:sz w:val="20"/>
              </w:rPr>
              <w:t>$379</w:t>
            </w:r>
          </w:p>
        </w:tc>
      </w:tr>
      <w:tr w:rsidR="00C31389" w14:paraId="2435FBCA" w14:textId="77777777">
        <w:trPr>
          <w:trHeight w:val="229"/>
        </w:trPr>
        <w:tc>
          <w:tcPr>
            <w:tcW w:w="1664" w:type="dxa"/>
            <w:vMerge/>
            <w:tcBorders>
              <w:top w:val="nil"/>
              <w:bottom w:val="single" w:color="000000" w:sz="4" w:space="0"/>
            </w:tcBorders>
          </w:tcPr>
          <w:p w:rsidR="00C31389" w:rsidRDefault="00C31389" w14:paraId="69D7217D" w14:textId="77777777">
            <w:pPr>
              <w:rPr>
                <w:sz w:val="2"/>
                <w:szCs w:val="2"/>
              </w:rPr>
            </w:pPr>
          </w:p>
        </w:tc>
        <w:tc>
          <w:tcPr>
            <w:tcW w:w="1495" w:type="dxa"/>
            <w:tcBorders>
              <w:top w:val="single" w:color="D9D9D9" w:sz="6" w:space="0"/>
              <w:bottom w:val="single" w:color="000000" w:sz="4" w:space="0"/>
            </w:tcBorders>
          </w:tcPr>
          <w:p w:rsidR="00C31389" w:rsidRDefault="00561FBD" w14:paraId="7D2CAB7F" w14:textId="77777777">
            <w:pPr>
              <w:pStyle w:val="TableParagraph"/>
              <w:spacing w:before="0" w:line="209" w:lineRule="exact"/>
              <w:rPr>
                <w:b/>
                <w:sz w:val="20"/>
              </w:rPr>
            </w:pPr>
            <w:r>
              <w:rPr>
                <w:b/>
                <w:spacing w:val="-2"/>
                <w:sz w:val="20"/>
              </w:rPr>
              <w:t>Total</w:t>
            </w:r>
          </w:p>
        </w:tc>
        <w:tc>
          <w:tcPr>
            <w:tcW w:w="1263" w:type="dxa"/>
            <w:tcBorders>
              <w:top w:val="single" w:color="D9D9D9" w:sz="6" w:space="0"/>
              <w:bottom w:val="single" w:color="000000" w:sz="4" w:space="0"/>
            </w:tcBorders>
          </w:tcPr>
          <w:p w:rsidR="00C31389" w:rsidRDefault="00561FBD" w14:paraId="35BC2757" w14:textId="77777777">
            <w:pPr>
              <w:pStyle w:val="TableParagraph"/>
              <w:spacing w:before="0" w:line="209" w:lineRule="exact"/>
              <w:ind w:left="288" w:right="245"/>
              <w:jc w:val="center"/>
              <w:rPr>
                <w:b/>
                <w:sz w:val="20"/>
              </w:rPr>
            </w:pPr>
            <w:r>
              <w:rPr>
                <w:b/>
                <w:spacing w:val="-4"/>
                <w:sz w:val="20"/>
              </w:rPr>
              <w:t>$387</w:t>
            </w:r>
          </w:p>
        </w:tc>
        <w:tc>
          <w:tcPr>
            <w:tcW w:w="1015" w:type="dxa"/>
            <w:tcBorders>
              <w:top w:val="single" w:color="D9D9D9" w:sz="6" w:space="0"/>
              <w:bottom w:val="single" w:color="000000" w:sz="4" w:space="0"/>
            </w:tcBorders>
          </w:tcPr>
          <w:p w:rsidR="00C31389" w:rsidRDefault="00561FBD" w14:paraId="0E3E065B" w14:textId="77777777">
            <w:pPr>
              <w:pStyle w:val="TableParagraph"/>
              <w:spacing w:before="0" w:line="209" w:lineRule="exact"/>
              <w:ind w:left="45" w:right="43"/>
              <w:jc w:val="center"/>
              <w:rPr>
                <w:b/>
                <w:sz w:val="20"/>
              </w:rPr>
            </w:pPr>
            <w:r>
              <w:rPr>
                <w:b/>
                <w:spacing w:val="-4"/>
                <w:sz w:val="20"/>
              </w:rPr>
              <w:t>$509</w:t>
            </w:r>
          </w:p>
        </w:tc>
        <w:tc>
          <w:tcPr>
            <w:tcW w:w="1203" w:type="dxa"/>
            <w:tcBorders>
              <w:top w:val="single" w:color="D9D9D9" w:sz="6" w:space="0"/>
              <w:bottom w:val="single" w:color="000000" w:sz="4" w:space="0"/>
            </w:tcBorders>
          </w:tcPr>
          <w:p w:rsidR="00C31389" w:rsidRDefault="00561FBD" w14:paraId="7C868B0D" w14:textId="77777777">
            <w:pPr>
              <w:pStyle w:val="TableParagraph"/>
              <w:spacing w:before="0" w:line="209" w:lineRule="exact"/>
              <w:ind w:left="362" w:right="372"/>
              <w:jc w:val="center"/>
              <w:rPr>
                <w:b/>
                <w:sz w:val="20"/>
              </w:rPr>
            </w:pPr>
            <w:r>
              <w:rPr>
                <w:b/>
                <w:spacing w:val="-4"/>
                <w:sz w:val="20"/>
              </w:rPr>
              <w:t>$534</w:t>
            </w:r>
          </w:p>
        </w:tc>
        <w:tc>
          <w:tcPr>
            <w:tcW w:w="1365" w:type="dxa"/>
            <w:tcBorders>
              <w:top w:val="single" w:color="D9D9D9" w:sz="6" w:space="0"/>
              <w:bottom w:val="single" w:color="000000" w:sz="4" w:space="0"/>
            </w:tcBorders>
          </w:tcPr>
          <w:p w:rsidR="00C31389" w:rsidRDefault="00561FBD" w14:paraId="50916230" w14:textId="77777777">
            <w:pPr>
              <w:pStyle w:val="TableParagraph"/>
              <w:spacing w:before="0" w:line="209" w:lineRule="exact"/>
              <w:ind w:right="404"/>
              <w:jc w:val="right"/>
              <w:rPr>
                <w:b/>
                <w:sz w:val="20"/>
              </w:rPr>
            </w:pPr>
            <w:r>
              <w:rPr>
                <w:b/>
                <w:spacing w:val="-2"/>
                <w:sz w:val="20"/>
              </w:rPr>
              <w:t>$1,077</w:t>
            </w:r>
          </w:p>
        </w:tc>
        <w:tc>
          <w:tcPr>
            <w:tcW w:w="1365" w:type="dxa"/>
            <w:tcBorders>
              <w:top w:val="single" w:color="D9D9D9" w:sz="6" w:space="0"/>
              <w:bottom w:val="single" w:color="000000" w:sz="4" w:space="0"/>
            </w:tcBorders>
          </w:tcPr>
          <w:p w:rsidR="00C31389" w:rsidRDefault="00561FBD" w14:paraId="7470BE00" w14:textId="77777777">
            <w:pPr>
              <w:pStyle w:val="TableParagraph"/>
              <w:spacing w:before="0" w:line="209" w:lineRule="exact"/>
              <w:ind w:left="384"/>
              <w:rPr>
                <w:b/>
                <w:sz w:val="20"/>
              </w:rPr>
            </w:pPr>
            <w:r>
              <w:rPr>
                <w:b/>
                <w:spacing w:val="-4"/>
                <w:sz w:val="20"/>
              </w:rPr>
              <w:t>$536</w:t>
            </w:r>
          </w:p>
        </w:tc>
      </w:tr>
      <w:tr w:rsidR="00C31389" w14:paraId="47F59908" w14:textId="77777777">
        <w:trPr>
          <w:trHeight w:val="229"/>
        </w:trPr>
        <w:tc>
          <w:tcPr>
            <w:tcW w:w="1664" w:type="dxa"/>
            <w:tcBorders>
              <w:top w:val="single" w:color="000000" w:sz="4" w:space="0"/>
            </w:tcBorders>
          </w:tcPr>
          <w:p w:rsidR="00C31389" w:rsidRDefault="00C31389" w14:paraId="46093C8A" w14:textId="77777777">
            <w:pPr>
              <w:pStyle w:val="TableParagraph"/>
              <w:spacing w:before="0"/>
              <w:rPr>
                <w:rFonts w:ascii="Times New Roman"/>
                <w:sz w:val="16"/>
              </w:rPr>
            </w:pPr>
          </w:p>
        </w:tc>
        <w:tc>
          <w:tcPr>
            <w:tcW w:w="1495" w:type="dxa"/>
            <w:tcBorders>
              <w:top w:val="single" w:color="000000" w:sz="4" w:space="0"/>
              <w:bottom w:val="single" w:color="D9D9D9" w:sz="6" w:space="0"/>
            </w:tcBorders>
          </w:tcPr>
          <w:p w:rsidR="00C31389" w:rsidRDefault="00561FBD" w14:paraId="6B6450E6" w14:textId="77777777">
            <w:pPr>
              <w:pStyle w:val="TableParagraph"/>
              <w:spacing w:before="0" w:line="209" w:lineRule="exact"/>
              <w:rPr>
                <w:sz w:val="20"/>
              </w:rPr>
            </w:pPr>
            <w:r>
              <w:rPr>
                <w:spacing w:val="-5"/>
                <w:sz w:val="20"/>
              </w:rPr>
              <w:t>FS*</w:t>
            </w:r>
          </w:p>
        </w:tc>
        <w:tc>
          <w:tcPr>
            <w:tcW w:w="1263" w:type="dxa"/>
            <w:tcBorders>
              <w:top w:val="single" w:color="000000" w:sz="4" w:space="0"/>
              <w:bottom w:val="single" w:color="D9D9D9" w:sz="6" w:space="0"/>
            </w:tcBorders>
          </w:tcPr>
          <w:p w:rsidR="00C31389" w:rsidRDefault="00561FBD" w14:paraId="02806E6F" w14:textId="77777777">
            <w:pPr>
              <w:pStyle w:val="TableParagraph"/>
              <w:spacing w:before="0" w:line="209" w:lineRule="exact"/>
              <w:ind w:left="288" w:right="243"/>
              <w:jc w:val="center"/>
              <w:rPr>
                <w:sz w:val="20"/>
              </w:rPr>
            </w:pPr>
            <w:r>
              <w:rPr>
                <w:sz w:val="20"/>
              </w:rPr>
              <w:t>-</w:t>
            </w:r>
            <w:r>
              <w:rPr>
                <w:spacing w:val="-5"/>
                <w:sz w:val="20"/>
              </w:rPr>
              <w:t>151</w:t>
            </w:r>
          </w:p>
        </w:tc>
        <w:tc>
          <w:tcPr>
            <w:tcW w:w="1015" w:type="dxa"/>
            <w:tcBorders>
              <w:top w:val="single" w:color="000000" w:sz="4" w:space="0"/>
              <w:bottom w:val="single" w:color="D9D9D9" w:sz="6" w:space="0"/>
            </w:tcBorders>
          </w:tcPr>
          <w:p w:rsidR="00C31389" w:rsidRDefault="00561FBD" w14:paraId="14195AF0" w14:textId="77777777">
            <w:pPr>
              <w:pStyle w:val="TableParagraph"/>
              <w:spacing w:before="0" w:line="209" w:lineRule="exact"/>
              <w:ind w:left="45" w:right="43"/>
              <w:jc w:val="center"/>
              <w:rPr>
                <w:sz w:val="20"/>
              </w:rPr>
            </w:pPr>
            <w:r>
              <w:rPr>
                <w:sz w:val="20"/>
              </w:rPr>
              <w:t>-</w:t>
            </w:r>
            <w:r>
              <w:rPr>
                <w:spacing w:val="-5"/>
                <w:sz w:val="20"/>
              </w:rPr>
              <w:t>16</w:t>
            </w:r>
          </w:p>
        </w:tc>
        <w:tc>
          <w:tcPr>
            <w:tcW w:w="1203" w:type="dxa"/>
            <w:tcBorders>
              <w:top w:val="single" w:color="000000" w:sz="4" w:space="0"/>
              <w:bottom w:val="single" w:color="D9D9D9" w:sz="6" w:space="0"/>
            </w:tcBorders>
          </w:tcPr>
          <w:p w:rsidR="00C31389" w:rsidRDefault="00561FBD" w14:paraId="2BC26F06" w14:textId="77777777">
            <w:pPr>
              <w:pStyle w:val="TableParagraph"/>
              <w:spacing w:before="0" w:line="209" w:lineRule="exact"/>
              <w:ind w:left="362" w:right="372"/>
              <w:jc w:val="center"/>
              <w:rPr>
                <w:sz w:val="20"/>
              </w:rPr>
            </w:pPr>
            <w:r>
              <w:rPr>
                <w:sz w:val="20"/>
              </w:rPr>
              <w:t>-</w:t>
            </w:r>
            <w:r>
              <w:rPr>
                <w:spacing w:val="-5"/>
                <w:sz w:val="20"/>
              </w:rPr>
              <w:t>21</w:t>
            </w:r>
          </w:p>
        </w:tc>
        <w:tc>
          <w:tcPr>
            <w:tcW w:w="1365" w:type="dxa"/>
            <w:tcBorders>
              <w:top w:val="single" w:color="000000" w:sz="4" w:space="0"/>
              <w:bottom w:val="single" w:color="D9D9D9" w:sz="6" w:space="0"/>
            </w:tcBorders>
          </w:tcPr>
          <w:p w:rsidR="00C31389" w:rsidRDefault="00561FBD" w14:paraId="5D2A0EBF" w14:textId="77777777">
            <w:pPr>
              <w:pStyle w:val="TableParagraph"/>
              <w:spacing w:before="0" w:line="209" w:lineRule="exact"/>
              <w:ind w:left="450"/>
              <w:rPr>
                <w:sz w:val="20"/>
              </w:rPr>
            </w:pPr>
            <w:r>
              <w:rPr>
                <w:sz w:val="20"/>
              </w:rPr>
              <w:t>-</w:t>
            </w:r>
            <w:r>
              <w:rPr>
                <w:spacing w:val="-5"/>
                <w:sz w:val="20"/>
              </w:rPr>
              <w:t>199</w:t>
            </w:r>
          </w:p>
        </w:tc>
        <w:tc>
          <w:tcPr>
            <w:tcW w:w="1365" w:type="dxa"/>
            <w:tcBorders>
              <w:top w:val="single" w:color="000000" w:sz="4" w:space="0"/>
              <w:bottom w:val="single" w:color="D9D9D9" w:sz="6" w:space="0"/>
            </w:tcBorders>
          </w:tcPr>
          <w:p w:rsidR="00C31389" w:rsidRDefault="00561FBD" w14:paraId="31849FDC" w14:textId="77777777">
            <w:pPr>
              <w:pStyle w:val="TableParagraph"/>
              <w:spacing w:before="0" w:line="209" w:lineRule="exact"/>
              <w:ind w:left="462"/>
              <w:rPr>
                <w:sz w:val="20"/>
              </w:rPr>
            </w:pPr>
            <w:r>
              <w:rPr>
                <w:sz w:val="20"/>
              </w:rPr>
              <w:t>-</w:t>
            </w:r>
            <w:r>
              <w:rPr>
                <w:spacing w:val="-5"/>
                <w:sz w:val="20"/>
              </w:rPr>
              <w:t>21</w:t>
            </w:r>
          </w:p>
        </w:tc>
      </w:tr>
      <w:tr w:rsidR="00C31389" w14:paraId="2D1CDCE8" w14:textId="77777777">
        <w:trPr>
          <w:trHeight w:val="229"/>
        </w:trPr>
        <w:tc>
          <w:tcPr>
            <w:tcW w:w="1664" w:type="dxa"/>
            <w:vMerge w:val="restart"/>
          </w:tcPr>
          <w:p w:rsidR="00C31389" w:rsidRDefault="00561FBD" w14:paraId="33FCA724" w14:textId="77777777">
            <w:pPr>
              <w:pStyle w:val="TableParagraph"/>
              <w:spacing w:before="0" w:line="230" w:lineRule="exact"/>
              <w:ind w:left="14" w:right="187"/>
              <w:rPr>
                <w:b/>
                <w:sz w:val="20"/>
              </w:rPr>
            </w:pPr>
            <w:r>
              <w:rPr>
                <w:b/>
                <w:sz w:val="20"/>
              </w:rPr>
              <w:t>Electric</w:t>
            </w:r>
            <w:r>
              <w:rPr>
                <w:b/>
                <w:spacing w:val="-14"/>
                <w:sz w:val="20"/>
              </w:rPr>
              <w:t xml:space="preserve"> </w:t>
            </w:r>
            <w:r>
              <w:rPr>
                <w:b/>
                <w:sz w:val="20"/>
              </w:rPr>
              <w:t xml:space="preserve">Energy </w:t>
            </w:r>
            <w:r>
              <w:rPr>
                <w:b/>
                <w:spacing w:val="-2"/>
                <w:sz w:val="20"/>
              </w:rPr>
              <w:t>(GWh/Year)</w:t>
            </w:r>
          </w:p>
        </w:tc>
        <w:tc>
          <w:tcPr>
            <w:tcW w:w="1495" w:type="dxa"/>
            <w:tcBorders>
              <w:top w:val="single" w:color="D9D9D9" w:sz="6" w:space="0"/>
              <w:bottom w:val="single" w:color="D9D9D9" w:sz="6" w:space="0"/>
            </w:tcBorders>
          </w:tcPr>
          <w:p w:rsidR="00C31389" w:rsidRDefault="00561FBD" w14:paraId="7EA4E4BE" w14:textId="77777777">
            <w:pPr>
              <w:pStyle w:val="TableParagraph"/>
              <w:spacing w:before="0" w:line="209" w:lineRule="exact"/>
              <w:rPr>
                <w:sz w:val="20"/>
              </w:rPr>
            </w:pPr>
            <w:r>
              <w:rPr>
                <w:spacing w:val="-4"/>
                <w:sz w:val="20"/>
              </w:rPr>
              <w:t>BROs</w:t>
            </w:r>
          </w:p>
        </w:tc>
        <w:tc>
          <w:tcPr>
            <w:tcW w:w="1263" w:type="dxa"/>
            <w:tcBorders>
              <w:top w:val="single" w:color="D9D9D9" w:sz="6" w:space="0"/>
              <w:bottom w:val="single" w:color="D9D9D9" w:sz="6" w:space="0"/>
            </w:tcBorders>
          </w:tcPr>
          <w:p w:rsidR="00C31389" w:rsidRDefault="00561FBD" w14:paraId="16E856F8" w14:textId="77777777">
            <w:pPr>
              <w:pStyle w:val="TableParagraph"/>
              <w:spacing w:before="0" w:line="209" w:lineRule="exact"/>
              <w:ind w:left="288" w:right="243"/>
              <w:jc w:val="center"/>
              <w:rPr>
                <w:sz w:val="20"/>
              </w:rPr>
            </w:pPr>
            <w:r>
              <w:rPr>
                <w:spacing w:val="-5"/>
                <w:sz w:val="20"/>
              </w:rPr>
              <w:t>578</w:t>
            </w:r>
          </w:p>
        </w:tc>
        <w:tc>
          <w:tcPr>
            <w:tcW w:w="1015" w:type="dxa"/>
            <w:tcBorders>
              <w:top w:val="single" w:color="D9D9D9" w:sz="6" w:space="0"/>
              <w:bottom w:val="single" w:color="D9D9D9" w:sz="6" w:space="0"/>
            </w:tcBorders>
          </w:tcPr>
          <w:p w:rsidR="00C31389" w:rsidRDefault="00561FBD" w14:paraId="6A5D2B01" w14:textId="77777777">
            <w:pPr>
              <w:pStyle w:val="TableParagraph"/>
              <w:spacing w:before="0" w:line="209" w:lineRule="exact"/>
              <w:ind w:left="45" w:right="44"/>
              <w:jc w:val="center"/>
              <w:rPr>
                <w:sz w:val="20"/>
              </w:rPr>
            </w:pPr>
            <w:r>
              <w:rPr>
                <w:spacing w:val="-5"/>
                <w:sz w:val="20"/>
              </w:rPr>
              <w:t>507</w:t>
            </w:r>
          </w:p>
        </w:tc>
        <w:tc>
          <w:tcPr>
            <w:tcW w:w="1203" w:type="dxa"/>
            <w:tcBorders>
              <w:top w:val="single" w:color="D9D9D9" w:sz="6" w:space="0"/>
              <w:bottom w:val="single" w:color="D9D9D9" w:sz="6" w:space="0"/>
            </w:tcBorders>
          </w:tcPr>
          <w:p w:rsidR="00C31389" w:rsidRDefault="00561FBD" w14:paraId="1347A713" w14:textId="77777777">
            <w:pPr>
              <w:pStyle w:val="TableParagraph"/>
              <w:spacing w:before="0" w:line="209" w:lineRule="exact"/>
              <w:ind w:left="306" w:right="372"/>
              <w:jc w:val="center"/>
              <w:rPr>
                <w:sz w:val="20"/>
              </w:rPr>
            </w:pPr>
            <w:r>
              <w:rPr>
                <w:spacing w:val="-5"/>
                <w:sz w:val="20"/>
              </w:rPr>
              <w:t>507</w:t>
            </w:r>
          </w:p>
        </w:tc>
        <w:tc>
          <w:tcPr>
            <w:tcW w:w="1365" w:type="dxa"/>
            <w:tcBorders>
              <w:top w:val="single" w:color="D9D9D9" w:sz="6" w:space="0"/>
              <w:bottom w:val="single" w:color="D9D9D9" w:sz="6" w:space="0"/>
            </w:tcBorders>
          </w:tcPr>
          <w:p w:rsidR="00C31389" w:rsidRDefault="00561FBD" w14:paraId="3EE131FC" w14:textId="77777777">
            <w:pPr>
              <w:pStyle w:val="TableParagraph"/>
              <w:spacing w:before="0" w:line="209" w:lineRule="exact"/>
              <w:ind w:left="25" w:right="84"/>
              <w:jc w:val="center"/>
              <w:rPr>
                <w:sz w:val="20"/>
              </w:rPr>
            </w:pPr>
            <w:r>
              <w:rPr>
                <w:spacing w:val="-5"/>
                <w:sz w:val="20"/>
              </w:rPr>
              <w:t>507</w:t>
            </w:r>
          </w:p>
        </w:tc>
        <w:tc>
          <w:tcPr>
            <w:tcW w:w="1365" w:type="dxa"/>
            <w:tcBorders>
              <w:top w:val="single" w:color="D9D9D9" w:sz="6" w:space="0"/>
              <w:bottom w:val="single" w:color="D9D9D9" w:sz="6" w:space="0"/>
            </w:tcBorders>
          </w:tcPr>
          <w:p w:rsidR="00C31389" w:rsidRDefault="00561FBD" w14:paraId="60475F38" w14:textId="77777777">
            <w:pPr>
              <w:pStyle w:val="TableParagraph"/>
              <w:spacing w:before="0" w:line="209" w:lineRule="exact"/>
              <w:ind w:left="425"/>
              <w:rPr>
                <w:sz w:val="20"/>
              </w:rPr>
            </w:pPr>
            <w:r>
              <w:rPr>
                <w:spacing w:val="-5"/>
                <w:sz w:val="20"/>
              </w:rPr>
              <w:t>507</w:t>
            </w:r>
          </w:p>
        </w:tc>
      </w:tr>
      <w:tr w:rsidR="00C31389" w14:paraId="2DFCBAEC" w14:textId="77777777">
        <w:trPr>
          <w:trHeight w:val="231"/>
        </w:trPr>
        <w:tc>
          <w:tcPr>
            <w:tcW w:w="1664" w:type="dxa"/>
            <w:vMerge/>
            <w:tcBorders>
              <w:top w:val="nil"/>
            </w:tcBorders>
          </w:tcPr>
          <w:p w:rsidR="00C31389" w:rsidRDefault="00C31389" w14:paraId="475389E5" w14:textId="77777777">
            <w:pPr>
              <w:rPr>
                <w:sz w:val="2"/>
                <w:szCs w:val="2"/>
              </w:rPr>
            </w:pPr>
          </w:p>
        </w:tc>
        <w:tc>
          <w:tcPr>
            <w:tcW w:w="1495" w:type="dxa"/>
            <w:tcBorders>
              <w:top w:val="single" w:color="D9D9D9" w:sz="6" w:space="0"/>
              <w:bottom w:val="single" w:color="D9D9D9" w:sz="6" w:space="0"/>
            </w:tcBorders>
          </w:tcPr>
          <w:p w:rsidR="00C31389" w:rsidRDefault="00561FBD" w14:paraId="6ADDF952" w14:textId="77777777">
            <w:pPr>
              <w:pStyle w:val="TableParagraph"/>
              <w:spacing w:before="1" w:line="209" w:lineRule="exact"/>
              <w:rPr>
                <w:sz w:val="20"/>
              </w:rPr>
            </w:pPr>
            <w:r>
              <w:rPr>
                <w:sz w:val="20"/>
              </w:rPr>
              <w:t>EE</w:t>
            </w:r>
            <w:r>
              <w:rPr>
                <w:spacing w:val="-2"/>
                <w:sz w:val="20"/>
              </w:rPr>
              <w:t xml:space="preserve"> Equipment</w:t>
            </w:r>
          </w:p>
        </w:tc>
        <w:tc>
          <w:tcPr>
            <w:tcW w:w="1263" w:type="dxa"/>
            <w:tcBorders>
              <w:top w:val="single" w:color="D9D9D9" w:sz="6" w:space="0"/>
              <w:bottom w:val="single" w:color="D9D9D9" w:sz="6" w:space="0"/>
            </w:tcBorders>
          </w:tcPr>
          <w:p w:rsidR="00C31389" w:rsidRDefault="00561FBD" w14:paraId="60B2A48A" w14:textId="77777777">
            <w:pPr>
              <w:pStyle w:val="TableParagraph"/>
              <w:spacing w:before="1" w:line="209" w:lineRule="exact"/>
              <w:ind w:left="288" w:right="243"/>
              <w:jc w:val="center"/>
              <w:rPr>
                <w:sz w:val="20"/>
              </w:rPr>
            </w:pPr>
            <w:r>
              <w:rPr>
                <w:spacing w:val="-5"/>
                <w:sz w:val="20"/>
              </w:rPr>
              <w:t>119</w:t>
            </w:r>
          </w:p>
        </w:tc>
        <w:tc>
          <w:tcPr>
            <w:tcW w:w="1015" w:type="dxa"/>
            <w:tcBorders>
              <w:top w:val="single" w:color="D9D9D9" w:sz="6" w:space="0"/>
              <w:bottom w:val="single" w:color="D9D9D9" w:sz="6" w:space="0"/>
            </w:tcBorders>
          </w:tcPr>
          <w:p w:rsidR="00C31389" w:rsidRDefault="00561FBD" w14:paraId="405F35BF" w14:textId="77777777">
            <w:pPr>
              <w:pStyle w:val="TableParagraph"/>
              <w:spacing w:before="1" w:line="209" w:lineRule="exact"/>
              <w:ind w:left="45" w:right="44"/>
              <w:jc w:val="center"/>
              <w:rPr>
                <w:sz w:val="20"/>
              </w:rPr>
            </w:pPr>
            <w:r>
              <w:rPr>
                <w:spacing w:val="-5"/>
                <w:sz w:val="20"/>
              </w:rPr>
              <w:t>148</w:t>
            </w:r>
          </w:p>
        </w:tc>
        <w:tc>
          <w:tcPr>
            <w:tcW w:w="1203" w:type="dxa"/>
            <w:tcBorders>
              <w:top w:val="single" w:color="D9D9D9" w:sz="6" w:space="0"/>
              <w:bottom w:val="single" w:color="D9D9D9" w:sz="6" w:space="0"/>
            </w:tcBorders>
          </w:tcPr>
          <w:p w:rsidR="00C31389" w:rsidRDefault="00561FBD" w14:paraId="1F9DC4A5" w14:textId="77777777">
            <w:pPr>
              <w:pStyle w:val="TableParagraph"/>
              <w:spacing w:before="1" w:line="209" w:lineRule="exact"/>
              <w:ind w:left="361" w:right="372"/>
              <w:jc w:val="center"/>
              <w:rPr>
                <w:sz w:val="20"/>
              </w:rPr>
            </w:pPr>
            <w:r>
              <w:rPr>
                <w:spacing w:val="-5"/>
                <w:sz w:val="20"/>
              </w:rPr>
              <w:t>168</w:t>
            </w:r>
          </w:p>
        </w:tc>
        <w:tc>
          <w:tcPr>
            <w:tcW w:w="1365" w:type="dxa"/>
            <w:tcBorders>
              <w:top w:val="single" w:color="D9D9D9" w:sz="6" w:space="0"/>
              <w:bottom w:val="single" w:color="D9D9D9" w:sz="6" w:space="0"/>
            </w:tcBorders>
          </w:tcPr>
          <w:p w:rsidR="00C31389" w:rsidRDefault="00561FBD" w14:paraId="028DA2C5" w14:textId="77777777">
            <w:pPr>
              <w:pStyle w:val="TableParagraph"/>
              <w:spacing w:before="1" w:line="209" w:lineRule="exact"/>
              <w:ind w:left="25" w:right="84"/>
              <w:jc w:val="center"/>
              <w:rPr>
                <w:sz w:val="20"/>
              </w:rPr>
            </w:pPr>
            <w:r>
              <w:rPr>
                <w:spacing w:val="-5"/>
                <w:sz w:val="20"/>
              </w:rPr>
              <w:t>167</w:t>
            </w:r>
          </w:p>
        </w:tc>
        <w:tc>
          <w:tcPr>
            <w:tcW w:w="1365" w:type="dxa"/>
            <w:tcBorders>
              <w:top w:val="single" w:color="D9D9D9" w:sz="6" w:space="0"/>
              <w:bottom w:val="single" w:color="D9D9D9" w:sz="6" w:space="0"/>
            </w:tcBorders>
          </w:tcPr>
          <w:p w:rsidR="00C31389" w:rsidRDefault="00561FBD" w14:paraId="0EAA1538" w14:textId="77777777">
            <w:pPr>
              <w:pStyle w:val="TableParagraph"/>
              <w:spacing w:before="1" w:line="209" w:lineRule="exact"/>
              <w:ind w:left="439"/>
              <w:rPr>
                <w:sz w:val="20"/>
              </w:rPr>
            </w:pPr>
            <w:r>
              <w:rPr>
                <w:spacing w:val="-5"/>
                <w:sz w:val="20"/>
              </w:rPr>
              <w:t>169</w:t>
            </w:r>
          </w:p>
        </w:tc>
      </w:tr>
      <w:tr w:rsidR="00C31389" w14:paraId="797C52A1" w14:textId="77777777">
        <w:trPr>
          <w:trHeight w:val="229"/>
        </w:trPr>
        <w:tc>
          <w:tcPr>
            <w:tcW w:w="1664" w:type="dxa"/>
            <w:tcBorders>
              <w:bottom w:val="single" w:color="000000" w:sz="6" w:space="0"/>
            </w:tcBorders>
          </w:tcPr>
          <w:p w:rsidR="00C31389" w:rsidRDefault="00C31389" w14:paraId="539BB558" w14:textId="77777777">
            <w:pPr>
              <w:pStyle w:val="TableParagraph"/>
              <w:spacing w:before="0"/>
              <w:rPr>
                <w:rFonts w:ascii="Times New Roman"/>
                <w:sz w:val="16"/>
              </w:rPr>
            </w:pPr>
          </w:p>
        </w:tc>
        <w:tc>
          <w:tcPr>
            <w:tcW w:w="1495" w:type="dxa"/>
            <w:tcBorders>
              <w:top w:val="single" w:color="D9D9D9" w:sz="6" w:space="0"/>
              <w:bottom w:val="single" w:color="000000" w:sz="6" w:space="0"/>
            </w:tcBorders>
          </w:tcPr>
          <w:p w:rsidR="00C31389" w:rsidRDefault="00561FBD" w14:paraId="1788C0FF" w14:textId="77777777">
            <w:pPr>
              <w:pStyle w:val="TableParagraph"/>
              <w:spacing w:before="0" w:line="209" w:lineRule="exact"/>
              <w:rPr>
                <w:b/>
                <w:sz w:val="20"/>
              </w:rPr>
            </w:pPr>
            <w:r>
              <w:rPr>
                <w:b/>
                <w:spacing w:val="-2"/>
                <w:sz w:val="20"/>
              </w:rPr>
              <w:t>Total</w:t>
            </w:r>
          </w:p>
        </w:tc>
        <w:tc>
          <w:tcPr>
            <w:tcW w:w="1263" w:type="dxa"/>
            <w:tcBorders>
              <w:top w:val="single" w:color="D9D9D9" w:sz="6" w:space="0"/>
              <w:bottom w:val="single" w:color="000000" w:sz="6" w:space="0"/>
            </w:tcBorders>
          </w:tcPr>
          <w:p w:rsidR="00C31389" w:rsidRDefault="00561FBD" w14:paraId="7460A9CF" w14:textId="77777777">
            <w:pPr>
              <w:pStyle w:val="TableParagraph"/>
              <w:spacing w:before="0" w:line="209" w:lineRule="exact"/>
              <w:ind w:left="288" w:right="243"/>
              <w:jc w:val="center"/>
              <w:rPr>
                <w:b/>
                <w:sz w:val="20"/>
              </w:rPr>
            </w:pPr>
            <w:r>
              <w:rPr>
                <w:b/>
                <w:spacing w:val="-5"/>
                <w:sz w:val="20"/>
              </w:rPr>
              <w:t>546</w:t>
            </w:r>
          </w:p>
        </w:tc>
        <w:tc>
          <w:tcPr>
            <w:tcW w:w="1015" w:type="dxa"/>
            <w:tcBorders>
              <w:top w:val="single" w:color="D9D9D9" w:sz="6" w:space="0"/>
              <w:bottom w:val="single" w:color="000000" w:sz="6" w:space="0"/>
            </w:tcBorders>
          </w:tcPr>
          <w:p w:rsidR="00C31389" w:rsidRDefault="00561FBD" w14:paraId="3B5F6CBA" w14:textId="77777777">
            <w:pPr>
              <w:pStyle w:val="TableParagraph"/>
              <w:spacing w:before="0" w:line="209" w:lineRule="exact"/>
              <w:ind w:left="45" w:right="44"/>
              <w:jc w:val="center"/>
              <w:rPr>
                <w:b/>
                <w:sz w:val="20"/>
              </w:rPr>
            </w:pPr>
            <w:r>
              <w:rPr>
                <w:b/>
                <w:spacing w:val="-5"/>
                <w:sz w:val="20"/>
              </w:rPr>
              <w:t>639</w:t>
            </w:r>
          </w:p>
        </w:tc>
        <w:tc>
          <w:tcPr>
            <w:tcW w:w="1203" w:type="dxa"/>
            <w:tcBorders>
              <w:top w:val="single" w:color="D9D9D9" w:sz="6" w:space="0"/>
              <w:bottom w:val="single" w:color="000000" w:sz="6" w:space="0"/>
            </w:tcBorders>
          </w:tcPr>
          <w:p w:rsidR="00C31389" w:rsidRDefault="00561FBD" w14:paraId="56DADF3B" w14:textId="77777777">
            <w:pPr>
              <w:pStyle w:val="TableParagraph"/>
              <w:spacing w:before="0" w:line="209" w:lineRule="exact"/>
              <w:ind w:left="361" w:right="372"/>
              <w:jc w:val="center"/>
              <w:rPr>
                <w:b/>
                <w:sz w:val="20"/>
              </w:rPr>
            </w:pPr>
            <w:r>
              <w:rPr>
                <w:b/>
                <w:spacing w:val="-5"/>
                <w:sz w:val="20"/>
              </w:rPr>
              <w:t>654</w:t>
            </w:r>
          </w:p>
        </w:tc>
        <w:tc>
          <w:tcPr>
            <w:tcW w:w="1365" w:type="dxa"/>
            <w:tcBorders>
              <w:top w:val="single" w:color="D9D9D9" w:sz="6" w:space="0"/>
              <w:bottom w:val="single" w:color="000000" w:sz="6" w:space="0"/>
            </w:tcBorders>
          </w:tcPr>
          <w:p w:rsidR="00C31389" w:rsidRDefault="00561FBD" w14:paraId="25B2B519" w14:textId="77777777">
            <w:pPr>
              <w:pStyle w:val="TableParagraph"/>
              <w:spacing w:before="0" w:line="209" w:lineRule="exact"/>
              <w:ind w:left="25" w:right="84"/>
              <w:jc w:val="center"/>
              <w:rPr>
                <w:b/>
                <w:sz w:val="20"/>
              </w:rPr>
            </w:pPr>
            <w:r>
              <w:rPr>
                <w:b/>
                <w:spacing w:val="-5"/>
                <w:sz w:val="20"/>
              </w:rPr>
              <w:t>475</w:t>
            </w:r>
          </w:p>
        </w:tc>
        <w:tc>
          <w:tcPr>
            <w:tcW w:w="1365" w:type="dxa"/>
            <w:tcBorders>
              <w:top w:val="single" w:color="D9D9D9" w:sz="6" w:space="0"/>
              <w:bottom w:val="single" w:color="000000" w:sz="6" w:space="0"/>
            </w:tcBorders>
          </w:tcPr>
          <w:p w:rsidR="00C31389" w:rsidRDefault="00561FBD" w14:paraId="53DA51AE" w14:textId="77777777">
            <w:pPr>
              <w:pStyle w:val="TableParagraph"/>
              <w:spacing w:before="0" w:line="209" w:lineRule="exact"/>
              <w:ind w:left="439"/>
              <w:rPr>
                <w:b/>
                <w:sz w:val="20"/>
              </w:rPr>
            </w:pPr>
            <w:r>
              <w:rPr>
                <w:b/>
                <w:spacing w:val="-5"/>
                <w:sz w:val="20"/>
              </w:rPr>
              <w:t>655</w:t>
            </w:r>
          </w:p>
        </w:tc>
      </w:tr>
      <w:tr w:rsidR="00C31389" w14:paraId="31E740C5" w14:textId="77777777">
        <w:trPr>
          <w:trHeight w:val="229"/>
        </w:trPr>
        <w:tc>
          <w:tcPr>
            <w:tcW w:w="1664" w:type="dxa"/>
            <w:vMerge w:val="restart"/>
            <w:tcBorders>
              <w:top w:val="single" w:color="000000" w:sz="6" w:space="0"/>
              <w:bottom w:val="single" w:color="000000" w:sz="6" w:space="0"/>
            </w:tcBorders>
            <w:shd w:val="clear" w:color="auto" w:fill="F1F1F1"/>
          </w:tcPr>
          <w:p w:rsidR="00C31389" w:rsidRDefault="00561FBD" w14:paraId="317AE333" w14:textId="77777777">
            <w:pPr>
              <w:pStyle w:val="TableParagraph"/>
              <w:spacing w:before="137"/>
              <w:ind w:left="14" w:right="187"/>
              <w:rPr>
                <w:b/>
                <w:sz w:val="20"/>
              </w:rPr>
            </w:pPr>
            <w:r>
              <w:rPr>
                <w:b/>
                <w:spacing w:val="-2"/>
                <w:sz w:val="20"/>
              </w:rPr>
              <w:t xml:space="preserve">Converted </w:t>
            </w:r>
            <w:r>
              <w:rPr>
                <w:b/>
                <w:sz w:val="20"/>
              </w:rPr>
              <w:t>Electric</w:t>
            </w:r>
            <w:r>
              <w:rPr>
                <w:b/>
                <w:spacing w:val="-14"/>
                <w:sz w:val="20"/>
              </w:rPr>
              <w:t xml:space="preserve"> </w:t>
            </w:r>
            <w:r>
              <w:rPr>
                <w:b/>
                <w:sz w:val="20"/>
              </w:rPr>
              <w:t xml:space="preserve">Energy </w:t>
            </w:r>
            <w:r>
              <w:rPr>
                <w:b/>
                <w:spacing w:val="-2"/>
                <w:sz w:val="20"/>
              </w:rPr>
              <w:t>(GWh/Year)**</w:t>
            </w:r>
          </w:p>
        </w:tc>
        <w:tc>
          <w:tcPr>
            <w:tcW w:w="1495" w:type="dxa"/>
            <w:tcBorders>
              <w:top w:val="single" w:color="000000" w:sz="6" w:space="0"/>
              <w:bottom w:val="single" w:color="D9D9D9" w:sz="6" w:space="0"/>
            </w:tcBorders>
            <w:shd w:val="clear" w:color="auto" w:fill="F1F1F1"/>
          </w:tcPr>
          <w:p w:rsidR="00C31389" w:rsidRDefault="00561FBD" w14:paraId="526AE6FB" w14:textId="77777777">
            <w:pPr>
              <w:pStyle w:val="TableParagraph"/>
              <w:spacing w:before="0" w:line="209" w:lineRule="exact"/>
              <w:rPr>
                <w:sz w:val="20"/>
              </w:rPr>
            </w:pPr>
            <w:r>
              <w:rPr>
                <w:spacing w:val="-5"/>
                <w:sz w:val="20"/>
              </w:rPr>
              <w:t>FS</w:t>
            </w:r>
          </w:p>
        </w:tc>
        <w:tc>
          <w:tcPr>
            <w:tcW w:w="1263" w:type="dxa"/>
            <w:tcBorders>
              <w:top w:val="single" w:color="000000" w:sz="6" w:space="0"/>
              <w:bottom w:val="single" w:color="D9D9D9" w:sz="6" w:space="0"/>
            </w:tcBorders>
            <w:shd w:val="clear" w:color="auto" w:fill="F1F1F1"/>
          </w:tcPr>
          <w:p w:rsidR="00C31389" w:rsidRDefault="00561FBD" w14:paraId="6A2C01A6" w14:textId="77777777">
            <w:pPr>
              <w:pStyle w:val="TableParagraph"/>
              <w:spacing w:before="0" w:line="209" w:lineRule="exact"/>
              <w:ind w:left="288" w:right="243"/>
              <w:jc w:val="center"/>
              <w:rPr>
                <w:sz w:val="20"/>
              </w:rPr>
            </w:pPr>
            <w:r>
              <w:rPr>
                <w:spacing w:val="-5"/>
                <w:sz w:val="20"/>
              </w:rPr>
              <w:t>446</w:t>
            </w:r>
          </w:p>
        </w:tc>
        <w:tc>
          <w:tcPr>
            <w:tcW w:w="1015" w:type="dxa"/>
            <w:tcBorders>
              <w:top w:val="single" w:color="000000" w:sz="6" w:space="0"/>
              <w:bottom w:val="single" w:color="D9D9D9" w:sz="6" w:space="0"/>
            </w:tcBorders>
            <w:shd w:val="clear" w:color="auto" w:fill="F1F1F1"/>
          </w:tcPr>
          <w:p w:rsidR="00C31389" w:rsidRDefault="00561FBD" w14:paraId="35482EAC" w14:textId="77777777">
            <w:pPr>
              <w:pStyle w:val="TableParagraph"/>
              <w:spacing w:before="0" w:line="209" w:lineRule="exact"/>
              <w:ind w:left="45" w:right="45"/>
              <w:jc w:val="center"/>
              <w:rPr>
                <w:sz w:val="20"/>
              </w:rPr>
            </w:pPr>
            <w:r>
              <w:rPr>
                <w:spacing w:val="-5"/>
                <w:sz w:val="20"/>
              </w:rPr>
              <w:t>63</w:t>
            </w:r>
          </w:p>
        </w:tc>
        <w:tc>
          <w:tcPr>
            <w:tcW w:w="1203" w:type="dxa"/>
            <w:tcBorders>
              <w:top w:val="single" w:color="000000" w:sz="6" w:space="0"/>
              <w:bottom w:val="single" w:color="D9D9D9" w:sz="6" w:space="0"/>
            </w:tcBorders>
            <w:shd w:val="clear" w:color="auto" w:fill="F1F1F1"/>
          </w:tcPr>
          <w:p w:rsidR="00C31389" w:rsidRDefault="00561FBD" w14:paraId="2D334F82" w14:textId="77777777">
            <w:pPr>
              <w:pStyle w:val="TableParagraph"/>
              <w:spacing w:before="0" w:line="209" w:lineRule="exact"/>
              <w:ind w:left="360" w:right="372"/>
              <w:jc w:val="center"/>
              <w:rPr>
                <w:sz w:val="20"/>
              </w:rPr>
            </w:pPr>
            <w:r>
              <w:rPr>
                <w:spacing w:val="-5"/>
                <w:sz w:val="20"/>
              </w:rPr>
              <w:t>89</w:t>
            </w:r>
          </w:p>
        </w:tc>
        <w:tc>
          <w:tcPr>
            <w:tcW w:w="1365" w:type="dxa"/>
            <w:tcBorders>
              <w:top w:val="single" w:color="000000" w:sz="6" w:space="0"/>
              <w:bottom w:val="single" w:color="D9D9D9" w:sz="6" w:space="0"/>
            </w:tcBorders>
            <w:shd w:val="clear" w:color="auto" w:fill="F1F1F1"/>
          </w:tcPr>
          <w:p w:rsidR="00C31389" w:rsidRDefault="00561FBD" w14:paraId="247DEB98" w14:textId="77777777">
            <w:pPr>
              <w:pStyle w:val="TableParagraph"/>
              <w:spacing w:before="0" w:line="209" w:lineRule="exact"/>
              <w:ind w:right="459"/>
              <w:jc w:val="right"/>
              <w:rPr>
                <w:sz w:val="20"/>
              </w:rPr>
            </w:pPr>
            <w:r>
              <w:rPr>
                <w:spacing w:val="-4"/>
                <w:sz w:val="20"/>
              </w:rPr>
              <w:t>1,564</w:t>
            </w:r>
          </w:p>
        </w:tc>
        <w:tc>
          <w:tcPr>
            <w:tcW w:w="1365" w:type="dxa"/>
            <w:tcBorders>
              <w:top w:val="single" w:color="000000" w:sz="6" w:space="0"/>
              <w:bottom w:val="single" w:color="D9D9D9" w:sz="6" w:space="0"/>
            </w:tcBorders>
            <w:shd w:val="clear" w:color="auto" w:fill="F1F1F1"/>
          </w:tcPr>
          <w:p w:rsidR="00C31389" w:rsidRDefault="00561FBD" w14:paraId="0DC3F6FF" w14:textId="77777777">
            <w:pPr>
              <w:pStyle w:val="TableParagraph"/>
              <w:spacing w:before="0" w:line="209" w:lineRule="exact"/>
              <w:ind w:left="40" w:right="190"/>
              <w:jc w:val="center"/>
              <w:rPr>
                <w:sz w:val="20"/>
              </w:rPr>
            </w:pPr>
            <w:r>
              <w:rPr>
                <w:spacing w:val="-5"/>
                <w:sz w:val="20"/>
              </w:rPr>
              <w:t>90</w:t>
            </w:r>
          </w:p>
        </w:tc>
      </w:tr>
      <w:tr w:rsidR="00C31389" w14:paraId="441E4D37" w14:textId="77777777">
        <w:trPr>
          <w:trHeight w:val="229"/>
        </w:trPr>
        <w:tc>
          <w:tcPr>
            <w:tcW w:w="1664" w:type="dxa"/>
            <w:vMerge/>
            <w:tcBorders>
              <w:top w:val="nil"/>
              <w:bottom w:val="single" w:color="000000" w:sz="6" w:space="0"/>
            </w:tcBorders>
            <w:shd w:val="clear" w:color="auto" w:fill="F1F1F1"/>
          </w:tcPr>
          <w:p w:rsidR="00C31389" w:rsidRDefault="00C31389" w14:paraId="0FAC9EE2" w14:textId="77777777">
            <w:pPr>
              <w:rPr>
                <w:sz w:val="2"/>
                <w:szCs w:val="2"/>
              </w:rPr>
            </w:pPr>
          </w:p>
        </w:tc>
        <w:tc>
          <w:tcPr>
            <w:tcW w:w="1495" w:type="dxa"/>
            <w:tcBorders>
              <w:top w:val="single" w:color="D9D9D9" w:sz="6" w:space="0"/>
              <w:bottom w:val="single" w:color="D9D9D9" w:sz="6" w:space="0"/>
            </w:tcBorders>
            <w:shd w:val="clear" w:color="auto" w:fill="F1F1F1"/>
          </w:tcPr>
          <w:p w:rsidR="00C31389" w:rsidRDefault="00561FBD" w14:paraId="6C580B5B" w14:textId="77777777">
            <w:pPr>
              <w:pStyle w:val="TableParagraph"/>
              <w:spacing w:before="0" w:line="209" w:lineRule="exact"/>
              <w:rPr>
                <w:sz w:val="20"/>
              </w:rPr>
            </w:pPr>
            <w:r>
              <w:rPr>
                <w:spacing w:val="-4"/>
                <w:sz w:val="20"/>
              </w:rPr>
              <w:t>BROs</w:t>
            </w:r>
          </w:p>
        </w:tc>
        <w:tc>
          <w:tcPr>
            <w:tcW w:w="1263" w:type="dxa"/>
            <w:tcBorders>
              <w:top w:val="single" w:color="D9D9D9" w:sz="6" w:space="0"/>
              <w:bottom w:val="single" w:color="D9D9D9" w:sz="6" w:space="0"/>
            </w:tcBorders>
            <w:shd w:val="clear" w:color="auto" w:fill="F1F1F1"/>
          </w:tcPr>
          <w:p w:rsidR="00C31389" w:rsidRDefault="00561FBD" w14:paraId="08B8984D" w14:textId="77777777">
            <w:pPr>
              <w:pStyle w:val="TableParagraph"/>
              <w:spacing w:before="0" w:line="209" w:lineRule="exact"/>
              <w:ind w:left="288" w:right="243"/>
              <w:jc w:val="center"/>
              <w:rPr>
                <w:sz w:val="20"/>
              </w:rPr>
            </w:pPr>
            <w:r>
              <w:rPr>
                <w:spacing w:val="-5"/>
                <w:sz w:val="20"/>
              </w:rPr>
              <w:t>578</w:t>
            </w:r>
          </w:p>
        </w:tc>
        <w:tc>
          <w:tcPr>
            <w:tcW w:w="1015" w:type="dxa"/>
            <w:tcBorders>
              <w:top w:val="single" w:color="D9D9D9" w:sz="6" w:space="0"/>
              <w:bottom w:val="single" w:color="D9D9D9" w:sz="6" w:space="0"/>
            </w:tcBorders>
            <w:shd w:val="clear" w:color="auto" w:fill="F1F1F1"/>
          </w:tcPr>
          <w:p w:rsidR="00C31389" w:rsidRDefault="00561FBD" w14:paraId="2CB7675D" w14:textId="77777777">
            <w:pPr>
              <w:pStyle w:val="TableParagraph"/>
              <w:spacing w:before="0" w:line="209" w:lineRule="exact"/>
              <w:ind w:left="45" w:right="44"/>
              <w:jc w:val="center"/>
              <w:rPr>
                <w:sz w:val="20"/>
              </w:rPr>
            </w:pPr>
            <w:r>
              <w:rPr>
                <w:spacing w:val="-5"/>
                <w:sz w:val="20"/>
              </w:rPr>
              <w:t>507</w:t>
            </w:r>
          </w:p>
        </w:tc>
        <w:tc>
          <w:tcPr>
            <w:tcW w:w="1203" w:type="dxa"/>
            <w:tcBorders>
              <w:top w:val="single" w:color="D9D9D9" w:sz="6" w:space="0"/>
              <w:bottom w:val="single" w:color="D9D9D9" w:sz="6" w:space="0"/>
            </w:tcBorders>
            <w:shd w:val="clear" w:color="auto" w:fill="F1F1F1"/>
          </w:tcPr>
          <w:p w:rsidR="00C31389" w:rsidRDefault="00561FBD" w14:paraId="130526C4" w14:textId="77777777">
            <w:pPr>
              <w:pStyle w:val="TableParagraph"/>
              <w:spacing w:before="0" w:line="209" w:lineRule="exact"/>
              <w:ind w:left="361" w:right="372"/>
              <w:jc w:val="center"/>
              <w:rPr>
                <w:sz w:val="20"/>
              </w:rPr>
            </w:pPr>
            <w:r>
              <w:rPr>
                <w:spacing w:val="-5"/>
                <w:sz w:val="20"/>
              </w:rPr>
              <w:t>507</w:t>
            </w:r>
          </w:p>
        </w:tc>
        <w:tc>
          <w:tcPr>
            <w:tcW w:w="1365" w:type="dxa"/>
            <w:tcBorders>
              <w:top w:val="single" w:color="D9D9D9" w:sz="6" w:space="0"/>
              <w:bottom w:val="single" w:color="D9D9D9" w:sz="6" w:space="0"/>
            </w:tcBorders>
            <w:shd w:val="clear" w:color="auto" w:fill="F1F1F1"/>
          </w:tcPr>
          <w:p w:rsidR="00C31389" w:rsidRDefault="00561FBD" w14:paraId="47ACE7B9" w14:textId="77777777">
            <w:pPr>
              <w:pStyle w:val="TableParagraph"/>
              <w:spacing w:before="0" w:line="209" w:lineRule="exact"/>
              <w:ind w:left="25" w:right="84"/>
              <w:jc w:val="center"/>
              <w:rPr>
                <w:sz w:val="20"/>
              </w:rPr>
            </w:pPr>
            <w:r>
              <w:rPr>
                <w:spacing w:val="-5"/>
                <w:sz w:val="20"/>
              </w:rPr>
              <w:t>507</w:t>
            </w:r>
          </w:p>
        </w:tc>
        <w:tc>
          <w:tcPr>
            <w:tcW w:w="1365" w:type="dxa"/>
            <w:tcBorders>
              <w:top w:val="single" w:color="D9D9D9" w:sz="6" w:space="0"/>
              <w:bottom w:val="single" w:color="D9D9D9" w:sz="6" w:space="0"/>
            </w:tcBorders>
            <w:shd w:val="clear" w:color="auto" w:fill="F1F1F1"/>
          </w:tcPr>
          <w:p w:rsidR="00C31389" w:rsidRDefault="00561FBD" w14:paraId="4F4278BA" w14:textId="77777777">
            <w:pPr>
              <w:pStyle w:val="TableParagraph"/>
              <w:spacing w:before="0" w:line="209" w:lineRule="exact"/>
              <w:ind w:left="439"/>
              <w:rPr>
                <w:sz w:val="20"/>
              </w:rPr>
            </w:pPr>
            <w:r>
              <w:rPr>
                <w:spacing w:val="-5"/>
                <w:sz w:val="20"/>
              </w:rPr>
              <w:t>507</w:t>
            </w:r>
          </w:p>
        </w:tc>
      </w:tr>
      <w:tr w:rsidR="00C31389" w14:paraId="09FB4AC9" w14:textId="77777777">
        <w:trPr>
          <w:trHeight w:val="229"/>
        </w:trPr>
        <w:tc>
          <w:tcPr>
            <w:tcW w:w="1664" w:type="dxa"/>
            <w:vMerge/>
            <w:tcBorders>
              <w:top w:val="nil"/>
              <w:bottom w:val="single" w:color="000000" w:sz="6" w:space="0"/>
            </w:tcBorders>
            <w:shd w:val="clear" w:color="auto" w:fill="F1F1F1"/>
          </w:tcPr>
          <w:p w:rsidR="00C31389" w:rsidRDefault="00C31389" w14:paraId="5985020F" w14:textId="77777777">
            <w:pPr>
              <w:rPr>
                <w:sz w:val="2"/>
                <w:szCs w:val="2"/>
              </w:rPr>
            </w:pPr>
          </w:p>
        </w:tc>
        <w:tc>
          <w:tcPr>
            <w:tcW w:w="1495" w:type="dxa"/>
            <w:tcBorders>
              <w:top w:val="single" w:color="D9D9D9" w:sz="6" w:space="0"/>
              <w:bottom w:val="single" w:color="D9D9D9" w:sz="6" w:space="0"/>
            </w:tcBorders>
            <w:shd w:val="clear" w:color="auto" w:fill="F1F1F1"/>
          </w:tcPr>
          <w:p w:rsidR="00C31389" w:rsidRDefault="00561FBD" w14:paraId="5EACD370" w14:textId="77777777">
            <w:pPr>
              <w:pStyle w:val="TableParagraph"/>
              <w:spacing w:before="0" w:line="209" w:lineRule="exact"/>
              <w:rPr>
                <w:sz w:val="20"/>
              </w:rPr>
            </w:pPr>
            <w:r>
              <w:rPr>
                <w:sz w:val="20"/>
              </w:rPr>
              <w:t>EE</w:t>
            </w:r>
            <w:r>
              <w:rPr>
                <w:spacing w:val="-2"/>
                <w:sz w:val="20"/>
              </w:rPr>
              <w:t xml:space="preserve"> Equipment</w:t>
            </w:r>
          </w:p>
        </w:tc>
        <w:tc>
          <w:tcPr>
            <w:tcW w:w="1263" w:type="dxa"/>
            <w:tcBorders>
              <w:top w:val="single" w:color="D9D9D9" w:sz="6" w:space="0"/>
              <w:bottom w:val="single" w:color="D9D9D9" w:sz="6" w:space="0"/>
            </w:tcBorders>
            <w:shd w:val="clear" w:color="auto" w:fill="F1F1F1"/>
          </w:tcPr>
          <w:p w:rsidR="00C31389" w:rsidRDefault="00561FBD" w14:paraId="27384F4C" w14:textId="77777777">
            <w:pPr>
              <w:pStyle w:val="TableParagraph"/>
              <w:spacing w:before="0" w:line="209" w:lineRule="exact"/>
              <w:ind w:left="288" w:right="243"/>
              <w:jc w:val="center"/>
              <w:rPr>
                <w:sz w:val="20"/>
              </w:rPr>
            </w:pPr>
            <w:r>
              <w:rPr>
                <w:spacing w:val="-5"/>
                <w:sz w:val="20"/>
              </w:rPr>
              <w:t>119</w:t>
            </w:r>
          </w:p>
        </w:tc>
        <w:tc>
          <w:tcPr>
            <w:tcW w:w="1015" w:type="dxa"/>
            <w:tcBorders>
              <w:top w:val="single" w:color="D9D9D9" w:sz="6" w:space="0"/>
              <w:bottom w:val="single" w:color="D9D9D9" w:sz="6" w:space="0"/>
            </w:tcBorders>
            <w:shd w:val="clear" w:color="auto" w:fill="F1F1F1"/>
          </w:tcPr>
          <w:p w:rsidR="00C31389" w:rsidRDefault="00561FBD" w14:paraId="3646E7C2" w14:textId="77777777">
            <w:pPr>
              <w:pStyle w:val="TableParagraph"/>
              <w:spacing w:before="0" w:line="209" w:lineRule="exact"/>
              <w:ind w:left="45" w:right="44"/>
              <w:jc w:val="center"/>
              <w:rPr>
                <w:sz w:val="20"/>
              </w:rPr>
            </w:pPr>
            <w:r>
              <w:rPr>
                <w:spacing w:val="-5"/>
                <w:sz w:val="20"/>
              </w:rPr>
              <w:t>148</w:t>
            </w:r>
          </w:p>
        </w:tc>
        <w:tc>
          <w:tcPr>
            <w:tcW w:w="1203" w:type="dxa"/>
            <w:tcBorders>
              <w:top w:val="single" w:color="D9D9D9" w:sz="6" w:space="0"/>
              <w:bottom w:val="single" w:color="D9D9D9" w:sz="6" w:space="0"/>
            </w:tcBorders>
            <w:shd w:val="clear" w:color="auto" w:fill="F1F1F1"/>
          </w:tcPr>
          <w:p w:rsidR="00C31389" w:rsidRDefault="00561FBD" w14:paraId="5935CC73" w14:textId="77777777">
            <w:pPr>
              <w:pStyle w:val="TableParagraph"/>
              <w:spacing w:before="0" w:line="209" w:lineRule="exact"/>
              <w:ind w:left="361" w:right="372"/>
              <w:jc w:val="center"/>
              <w:rPr>
                <w:sz w:val="20"/>
              </w:rPr>
            </w:pPr>
            <w:r>
              <w:rPr>
                <w:spacing w:val="-5"/>
                <w:sz w:val="20"/>
              </w:rPr>
              <w:t>168</w:t>
            </w:r>
          </w:p>
        </w:tc>
        <w:tc>
          <w:tcPr>
            <w:tcW w:w="1365" w:type="dxa"/>
            <w:tcBorders>
              <w:top w:val="single" w:color="D9D9D9" w:sz="6" w:space="0"/>
              <w:bottom w:val="single" w:color="D9D9D9" w:sz="6" w:space="0"/>
            </w:tcBorders>
            <w:shd w:val="clear" w:color="auto" w:fill="F1F1F1"/>
          </w:tcPr>
          <w:p w:rsidR="00C31389" w:rsidRDefault="00561FBD" w14:paraId="7FF142D9" w14:textId="77777777">
            <w:pPr>
              <w:pStyle w:val="TableParagraph"/>
              <w:spacing w:before="0" w:line="209" w:lineRule="exact"/>
              <w:ind w:left="25" w:right="84"/>
              <w:jc w:val="center"/>
              <w:rPr>
                <w:sz w:val="20"/>
              </w:rPr>
            </w:pPr>
            <w:r>
              <w:rPr>
                <w:spacing w:val="-5"/>
                <w:sz w:val="20"/>
              </w:rPr>
              <w:t>167</w:t>
            </w:r>
          </w:p>
        </w:tc>
        <w:tc>
          <w:tcPr>
            <w:tcW w:w="1365" w:type="dxa"/>
            <w:tcBorders>
              <w:top w:val="single" w:color="D9D9D9" w:sz="6" w:space="0"/>
              <w:bottom w:val="single" w:color="D9D9D9" w:sz="6" w:space="0"/>
            </w:tcBorders>
            <w:shd w:val="clear" w:color="auto" w:fill="F1F1F1"/>
          </w:tcPr>
          <w:p w:rsidR="00C31389" w:rsidRDefault="00561FBD" w14:paraId="659E6E53" w14:textId="77777777">
            <w:pPr>
              <w:pStyle w:val="TableParagraph"/>
              <w:spacing w:before="0" w:line="209" w:lineRule="exact"/>
              <w:ind w:left="439"/>
              <w:rPr>
                <w:sz w:val="20"/>
              </w:rPr>
            </w:pPr>
            <w:r>
              <w:rPr>
                <w:spacing w:val="-5"/>
                <w:sz w:val="20"/>
              </w:rPr>
              <w:t>169</w:t>
            </w:r>
          </w:p>
        </w:tc>
      </w:tr>
      <w:tr w:rsidR="00C31389" w14:paraId="689B960D" w14:textId="77777777">
        <w:trPr>
          <w:trHeight w:val="229"/>
        </w:trPr>
        <w:tc>
          <w:tcPr>
            <w:tcW w:w="1664" w:type="dxa"/>
            <w:vMerge/>
            <w:tcBorders>
              <w:top w:val="nil"/>
              <w:bottom w:val="single" w:color="000000" w:sz="6" w:space="0"/>
            </w:tcBorders>
            <w:shd w:val="clear" w:color="auto" w:fill="F1F1F1"/>
          </w:tcPr>
          <w:p w:rsidR="00C31389" w:rsidRDefault="00C31389" w14:paraId="0870B253" w14:textId="77777777">
            <w:pPr>
              <w:rPr>
                <w:sz w:val="2"/>
                <w:szCs w:val="2"/>
              </w:rPr>
            </w:pPr>
          </w:p>
        </w:tc>
        <w:tc>
          <w:tcPr>
            <w:tcW w:w="1495" w:type="dxa"/>
            <w:tcBorders>
              <w:top w:val="single" w:color="D9D9D9" w:sz="6" w:space="0"/>
              <w:bottom w:val="single" w:color="000000" w:sz="6" w:space="0"/>
            </w:tcBorders>
            <w:shd w:val="clear" w:color="auto" w:fill="F1F1F1"/>
          </w:tcPr>
          <w:p w:rsidR="00C31389" w:rsidRDefault="00561FBD" w14:paraId="6675E18F" w14:textId="77777777">
            <w:pPr>
              <w:pStyle w:val="TableParagraph"/>
              <w:spacing w:before="0" w:line="209" w:lineRule="exact"/>
              <w:rPr>
                <w:b/>
                <w:sz w:val="20"/>
              </w:rPr>
            </w:pPr>
            <w:r>
              <w:rPr>
                <w:b/>
                <w:spacing w:val="-2"/>
                <w:sz w:val="20"/>
              </w:rPr>
              <w:t>Total</w:t>
            </w:r>
          </w:p>
        </w:tc>
        <w:tc>
          <w:tcPr>
            <w:tcW w:w="1263" w:type="dxa"/>
            <w:tcBorders>
              <w:top w:val="single" w:color="D9D9D9" w:sz="6" w:space="0"/>
              <w:bottom w:val="single" w:color="000000" w:sz="6" w:space="0"/>
            </w:tcBorders>
            <w:shd w:val="clear" w:color="auto" w:fill="F1F1F1"/>
          </w:tcPr>
          <w:p w:rsidR="00C31389" w:rsidRDefault="00561FBD" w14:paraId="535B08C2" w14:textId="77777777">
            <w:pPr>
              <w:pStyle w:val="TableParagraph"/>
              <w:spacing w:before="0" w:line="209" w:lineRule="exact"/>
              <w:ind w:left="288" w:right="245"/>
              <w:jc w:val="center"/>
              <w:rPr>
                <w:b/>
                <w:sz w:val="20"/>
              </w:rPr>
            </w:pPr>
            <w:r>
              <w:rPr>
                <w:b/>
                <w:spacing w:val="-4"/>
                <w:sz w:val="20"/>
              </w:rPr>
              <w:t>1,143</w:t>
            </w:r>
          </w:p>
        </w:tc>
        <w:tc>
          <w:tcPr>
            <w:tcW w:w="1015" w:type="dxa"/>
            <w:tcBorders>
              <w:top w:val="single" w:color="D9D9D9" w:sz="6" w:space="0"/>
              <w:bottom w:val="single" w:color="000000" w:sz="6" w:space="0"/>
            </w:tcBorders>
            <w:shd w:val="clear" w:color="auto" w:fill="F1F1F1"/>
          </w:tcPr>
          <w:p w:rsidR="00C31389" w:rsidRDefault="00561FBD" w14:paraId="666BE433" w14:textId="77777777">
            <w:pPr>
              <w:pStyle w:val="TableParagraph"/>
              <w:spacing w:before="0" w:line="209" w:lineRule="exact"/>
              <w:ind w:left="45" w:right="44"/>
              <w:jc w:val="center"/>
              <w:rPr>
                <w:b/>
                <w:sz w:val="20"/>
              </w:rPr>
            </w:pPr>
            <w:r>
              <w:rPr>
                <w:b/>
                <w:spacing w:val="-5"/>
                <w:sz w:val="20"/>
              </w:rPr>
              <w:t>717</w:t>
            </w:r>
          </w:p>
        </w:tc>
        <w:tc>
          <w:tcPr>
            <w:tcW w:w="1203" w:type="dxa"/>
            <w:tcBorders>
              <w:top w:val="single" w:color="D9D9D9" w:sz="6" w:space="0"/>
              <w:bottom w:val="single" w:color="000000" w:sz="6" w:space="0"/>
            </w:tcBorders>
            <w:shd w:val="clear" w:color="auto" w:fill="F1F1F1"/>
          </w:tcPr>
          <w:p w:rsidR="00C31389" w:rsidRDefault="00561FBD" w14:paraId="541E5DAE" w14:textId="77777777">
            <w:pPr>
              <w:pStyle w:val="TableParagraph"/>
              <w:spacing w:before="0" w:line="209" w:lineRule="exact"/>
              <w:ind w:left="361" w:right="372"/>
              <w:jc w:val="center"/>
              <w:rPr>
                <w:b/>
                <w:sz w:val="20"/>
              </w:rPr>
            </w:pPr>
            <w:r>
              <w:rPr>
                <w:b/>
                <w:spacing w:val="-5"/>
                <w:sz w:val="20"/>
              </w:rPr>
              <w:t>764</w:t>
            </w:r>
          </w:p>
        </w:tc>
        <w:tc>
          <w:tcPr>
            <w:tcW w:w="1365" w:type="dxa"/>
            <w:tcBorders>
              <w:top w:val="single" w:color="D9D9D9" w:sz="6" w:space="0"/>
              <w:bottom w:val="single" w:color="000000" w:sz="6" w:space="0"/>
            </w:tcBorders>
            <w:shd w:val="clear" w:color="auto" w:fill="F1F1F1"/>
          </w:tcPr>
          <w:p w:rsidR="00C31389" w:rsidRDefault="00561FBD" w14:paraId="2BFCBE4B" w14:textId="77777777">
            <w:pPr>
              <w:pStyle w:val="TableParagraph"/>
              <w:spacing w:before="0" w:line="209" w:lineRule="exact"/>
              <w:ind w:right="459"/>
              <w:jc w:val="right"/>
              <w:rPr>
                <w:b/>
                <w:sz w:val="20"/>
              </w:rPr>
            </w:pPr>
            <w:r>
              <w:rPr>
                <w:b/>
                <w:spacing w:val="-4"/>
                <w:sz w:val="20"/>
              </w:rPr>
              <w:t>2,238</w:t>
            </w:r>
          </w:p>
        </w:tc>
        <w:tc>
          <w:tcPr>
            <w:tcW w:w="1365" w:type="dxa"/>
            <w:tcBorders>
              <w:top w:val="single" w:color="D9D9D9" w:sz="6" w:space="0"/>
              <w:bottom w:val="single" w:color="000000" w:sz="6" w:space="0"/>
            </w:tcBorders>
            <w:shd w:val="clear" w:color="auto" w:fill="F1F1F1"/>
          </w:tcPr>
          <w:p w:rsidR="00C31389" w:rsidRDefault="00561FBD" w14:paraId="1A1D142C" w14:textId="77777777">
            <w:pPr>
              <w:pStyle w:val="TableParagraph"/>
              <w:spacing w:before="0" w:line="209" w:lineRule="exact"/>
              <w:ind w:left="439"/>
              <w:rPr>
                <w:b/>
                <w:sz w:val="20"/>
              </w:rPr>
            </w:pPr>
            <w:r>
              <w:rPr>
                <w:b/>
                <w:spacing w:val="-5"/>
                <w:sz w:val="20"/>
              </w:rPr>
              <w:t>766</w:t>
            </w:r>
          </w:p>
        </w:tc>
      </w:tr>
      <w:tr w:rsidR="00C31389" w14:paraId="02E08BD9" w14:textId="77777777">
        <w:trPr>
          <w:trHeight w:val="229"/>
        </w:trPr>
        <w:tc>
          <w:tcPr>
            <w:tcW w:w="1664" w:type="dxa"/>
            <w:tcBorders>
              <w:top w:val="single" w:color="000000" w:sz="6" w:space="0"/>
            </w:tcBorders>
          </w:tcPr>
          <w:p w:rsidR="00C31389" w:rsidRDefault="00C31389" w14:paraId="33D86829" w14:textId="77777777">
            <w:pPr>
              <w:pStyle w:val="TableParagraph"/>
              <w:spacing w:before="0"/>
              <w:rPr>
                <w:rFonts w:ascii="Times New Roman"/>
                <w:sz w:val="16"/>
              </w:rPr>
            </w:pPr>
          </w:p>
        </w:tc>
        <w:tc>
          <w:tcPr>
            <w:tcW w:w="1495" w:type="dxa"/>
            <w:tcBorders>
              <w:top w:val="single" w:color="000000" w:sz="6" w:space="0"/>
              <w:bottom w:val="single" w:color="D9D9D9" w:sz="6" w:space="0"/>
            </w:tcBorders>
          </w:tcPr>
          <w:p w:rsidR="00C31389" w:rsidRDefault="00561FBD" w14:paraId="1020B4E7" w14:textId="77777777">
            <w:pPr>
              <w:pStyle w:val="TableParagraph"/>
              <w:spacing w:before="0" w:line="209" w:lineRule="exact"/>
              <w:rPr>
                <w:sz w:val="20"/>
              </w:rPr>
            </w:pPr>
            <w:r>
              <w:rPr>
                <w:spacing w:val="-5"/>
                <w:sz w:val="20"/>
              </w:rPr>
              <w:t>FS*</w:t>
            </w:r>
          </w:p>
        </w:tc>
        <w:tc>
          <w:tcPr>
            <w:tcW w:w="1263" w:type="dxa"/>
            <w:tcBorders>
              <w:top w:val="single" w:color="000000" w:sz="6" w:space="0"/>
              <w:bottom w:val="single" w:color="D9D9D9" w:sz="6" w:space="0"/>
            </w:tcBorders>
          </w:tcPr>
          <w:p w:rsidR="00C31389" w:rsidRDefault="00561FBD" w14:paraId="51C8CABF" w14:textId="77777777">
            <w:pPr>
              <w:pStyle w:val="TableParagraph"/>
              <w:spacing w:before="0" w:line="209" w:lineRule="exact"/>
              <w:ind w:left="288" w:right="245"/>
              <w:jc w:val="center"/>
              <w:rPr>
                <w:sz w:val="20"/>
              </w:rPr>
            </w:pPr>
            <w:r>
              <w:rPr>
                <w:sz w:val="20"/>
              </w:rPr>
              <w:t>-</w:t>
            </w:r>
            <w:r>
              <w:rPr>
                <w:spacing w:val="-5"/>
                <w:sz w:val="20"/>
              </w:rPr>
              <w:t>15</w:t>
            </w:r>
          </w:p>
        </w:tc>
        <w:tc>
          <w:tcPr>
            <w:tcW w:w="1015" w:type="dxa"/>
            <w:tcBorders>
              <w:top w:val="single" w:color="000000" w:sz="6" w:space="0"/>
              <w:bottom w:val="single" w:color="D9D9D9" w:sz="6" w:space="0"/>
            </w:tcBorders>
          </w:tcPr>
          <w:p w:rsidR="00C31389" w:rsidRDefault="00561FBD" w14:paraId="1F16F082" w14:textId="77777777">
            <w:pPr>
              <w:pStyle w:val="TableParagraph"/>
              <w:spacing w:before="0" w:line="209" w:lineRule="exact"/>
              <w:ind w:left="45" w:right="44"/>
              <w:jc w:val="center"/>
              <w:rPr>
                <w:sz w:val="20"/>
              </w:rPr>
            </w:pPr>
            <w:r>
              <w:rPr>
                <w:sz w:val="20"/>
              </w:rPr>
              <w:t>-</w:t>
            </w:r>
            <w:r>
              <w:rPr>
                <w:spacing w:val="-10"/>
                <w:sz w:val="20"/>
              </w:rPr>
              <w:t>1</w:t>
            </w:r>
          </w:p>
        </w:tc>
        <w:tc>
          <w:tcPr>
            <w:tcW w:w="1203" w:type="dxa"/>
            <w:tcBorders>
              <w:top w:val="single" w:color="000000" w:sz="6" w:space="0"/>
              <w:bottom w:val="single" w:color="D9D9D9" w:sz="6" w:space="0"/>
            </w:tcBorders>
          </w:tcPr>
          <w:p w:rsidR="00C31389" w:rsidRDefault="00561FBD" w14:paraId="4E156D03" w14:textId="77777777">
            <w:pPr>
              <w:pStyle w:val="TableParagraph"/>
              <w:spacing w:before="0" w:line="209" w:lineRule="exact"/>
              <w:ind w:left="361" w:right="372"/>
              <w:jc w:val="center"/>
              <w:rPr>
                <w:sz w:val="20"/>
              </w:rPr>
            </w:pPr>
            <w:r>
              <w:rPr>
                <w:sz w:val="20"/>
              </w:rPr>
              <w:t>-</w:t>
            </w:r>
            <w:r>
              <w:rPr>
                <w:spacing w:val="-10"/>
                <w:sz w:val="20"/>
              </w:rPr>
              <w:t>1</w:t>
            </w:r>
          </w:p>
        </w:tc>
        <w:tc>
          <w:tcPr>
            <w:tcW w:w="1365" w:type="dxa"/>
            <w:tcBorders>
              <w:top w:val="single" w:color="000000" w:sz="6" w:space="0"/>
              <w:bottom w:val="single" w:color="D9D9D9" w:sz="6" w:space="0"/>
            </w:tcBorders>
          </w:tcPr>
          <w:p w:rsidR="00C31389" w:rsidRDefault="00561FBD" w14:paraId="2703F85D" w14:textId="77777777">
            <w:pPr>
              <w:pStyle w:val="TableParagraph"/>
              <w:spacing w:before="0" w:line="209" w:lineRule="exact"/>
              <w:ind w:left="25" w:right="84"/>
              <w:jc w:val="center"/>
              <w:rPr>
                <w:sz w:val="20"/>
              </w:rPr>
            </w:pPr>
            <w:r>
              <w:rPr>
                <w:sz w:val="20"/>
              </w:rPr>
              <w:t>-</w:t>
            </w:r>
            <w:r>
              <w:rPr>
                <w:spacing w:val="-10"/>
                <w:sz w:val="20"/>
              </w:rPr>
              <w:t>6</w:t>
            </w:r>
          </w:p>
        </w:tc>
        <w:tc>
          <w:tcPr>
            <w:tcW w:w="1365" w:type="dxa"/>
            <w:tcBorders>
              <w:top w:val="single" w:color="000000" w:sz="6" w:space="0"/>
              <w:bottom w:val="single" w:color="D9D9D9" w:sz="6" w:space="0"/>
            </w:tcBorders>
          </w:tcPr>
          <w:p w:rsidR="00C31389" w:rsidRDefault="00561FBD" w14:paraId="5E5BCD51" w14:textId="77777777">
            <w:pPr>
              <w:pStyle w:val="TableParagraph"/>
              <w:spacing w:before="0" w:line="209" w:lineRule="exact"/>
              <w:ind w:left="41" w:right="190"/>
              <w:jc w:val="center"/>
              <w:rPr>
                <w:sz w:val="20"/>
              </w:rPr>
            </w:pPr>
            <w:r>
              <w:rPr>
                <w:sz w:val="20"/>
              </w:rPr>
              <w:t>-</w:t>
            </w:r>
            <w:r>
              <w:rPr>
                <w:spacing w:val="-10"/>
                <w:sz w:val="20"/>
              </w:rPr>
              <w:t>1</w:t>
            </w:r>
          </w:p>
        </w:tc>
      </w:tr>
      <w:tr w:rsidR="00C31389" w14:paraId="3C681E9D" w14:textId="77777777">
        <w:trPr>
          <w:trHeight w:val="230"/>
        </w:trPr>
        <w:tc>
          <w:tcPr>
            <w:tcW w:w="1664" w:type="dxa"/>
            <w:vMerge w:val="restart"/>
          </w:tcPr>
          <w:p w:rsidR="00C31389" w:rsidRDefault="00561FBD" w14:paraId="7B61BB20" w14:textId="77777777">
            <w:pPr>
              <w:pStyle w:val="TableParagraph"/>
              <w:spacing w:before="0" w:line="230" w:lineRule="exact"/>
              <w:ind w:left="14" w:right="76"/>
              <w:rPr>
                <w:b/>
                <w:sz w:val="20"/>
              </w:rPr>
            </w:pPr>
            <w:r>
              <w:rPr>
                <w:b/>
                <w:sz w:val="20"/>
              </w:rPr>
              <w:t>Electric</w:t>
            </w:r>
            <w:r>
              <w:rPr>
                <w:b/>
                <w:spacing w:val="-14"/>
                <w:sz w:val="20"/>
              </w:rPr>
              <w:t xml:space="preserve"> </w:t>
            </w:r>
            <w:r>
              <w:rPr>
                <w:b/>
                <w:sz w:val="20"/>
              </w:rPr>
              <w:t xml:space="preserve">Demand </w:t>
            </w:r>
            <w:r>
              <w:rPr>
                <w:b/>
                <w:spacing w:val="-4"/>
                <w:sz w:val="20"/>
              </w:rPr>
              <w:t>(MW)</w:t>
            </w:r>
          </w:p>
        </w:tc>
        <w:tc>
          <w:tcPr>
            <w:tcW w:w="1495" w:type="dxa"/>
            <w:tcBorders>
              <w:top w:val="single" w:color="D9D9D9" w:sz="6" w:space="0"/>
              <w:bottom w:val="single" w:color="D9D9D9" w:sz="6" w:space="0"/>
            </w:tcBorders>
          </w:tcPr>
          <w:p w:rsidR="00C31389" w:rsidRDefault="00561FBD" w14:paraId="6F54BCC6" w14:textId="77777777">
            <w:pPr>
              <w:pStyle w:val="TableParagraph"/>
              <w:spacing w:before="1" w:line="209" w:lineRule="exact"/>
              <w:rPr>
                <w:sz w:val="20"/>
              </w:rPr>
            </w:pPr>
            <w:r>
              <w:rPr>
                <w:spacing w:val="-4"/>
                <w:sz w:val="20"/>
              </w:rPr>
              <w:t>BROs</w:t>
            </w:r>
          </w:p>
        </w:tc>
        <w:tc>
          <w:tcPr>
            <w:tcW w:w="1263" w:type="dxa"/>
            <w:tcBorders>
              <w:top w:val="single" w:color="D9D9D9" w:sz="6" w:space="0"/>
              <w:bottom w:val="single" w:color="D9D9D9" w:sz="6" w:space="0"/>
            </w:tcBorders>
          </w:tcPr>
          <w:p w:rsidR="00C31389" w:rsidRDefault="00561FBD" w14:paraId="20DAFC55" w14:textId="77777777">
            <w:pPr>
              <w:pStyle w:val="TableParagraph"/>
              <w:spacing w:before="1" w:line="209" w:lineRule="exact"/>
              <w:ind w:left="288" w:right="243"/>
              <w:jc w:val="center"/>
              <w:rPr>
                <w:sz w:val="20"/>
              </w:rPr>
            </w:pPr>
            <w:r>
              <w:rPr>
                <w:spacing w:val="-5"/>
                <w:sz w:val="20"/>
              </w:rPr>
              <w:t>126</w:t>
            </w:r>
          </w:p>
        </w:tc>
        <w:tc>
          <w:tcPr>
            <w:tcW w:w="1015" w:type="dxa"/>
            <w:tcBorders>
              <w:top w:val="single" w:color="D9D9D9" w:sz="6" w:space="0"/>
              <w:bottom w:val="single" w:color="D9D9D9" w:sz="6" w:space="0"/>
            </w:tcBorders>
          </w:tcPr>
          <w:p w:rsidR="00C31389" w:rsidRDefault="00561FBD" w14:paraId="0C0EFADC" w14:textId="77777777">
            <w:pPr>
              <w:pStyle w:val="TableParagraph"/>
              <w:spacing w:before="1" w:line="209" w:lineRule="exact"/>
              <w:ind w:left="45" w:right="45"/>
              <w:jc w:val="center"/>
              <w:rPr>
                <w:sz w:val="20"/>
              </w:rPr>
            </w:pPr>
            <w:r>
              <w:rPr>
                <w:spacing w:val="-5"/>
                <w:sz w:val="20"/>
              </w:rPr>
              <w:t>92</w:t>
            </w:r>
          </w:p>
        </w:tc>
        <w:tc>
          <w:tcPr>
            <w:tcW w:w="1203" w:type="dxa"/>
            <w:tcBorders>
              <w:top w:val="single" w:color="D9D9D9" w:sz="6" w:space="0"/>
              <w:bottom w:val="single" w:color="D9D9D9" w:sz="6" w:space="0"/>
            </w:tcBorders>
          </w:tcPr>
          <w:p w:rsidR="00C31389" w:rsidRDefault="00561FBD" w14:paraId="35BA8351" w14:textId="77777777">
            <w:pPr>
              <w:pStyle w:val="TableParagraph"/>
              <w:spacing w:before="1" w:line="209" w:lineRule="exact"/>
              <w:ind w:left="360" w:right="372"/>
              <w:jc w:val="center"/>
              <w:rPr>
                <w:sz w:val="20"/>
              </w:rPr>
            </w:pPr>
            <w:r>
              <w:rPr>
                <w:spacing w:val="-5"/>
                <w:sz w:val="20"/>
              </w:rPr>
              <w:t>92</w:t>
            </w:r>
          </w:p>
        </w:tc>
        <w:tc>
          <w:tcPr>
            <w:tcW w:w="1365" w:type="dxa"/>
            <w:tcBorders>
              <w:top w:val="single" w:color="D9D9D9" w:sz="6" w:space="0"/>
              <w:bottom w:val="single" w:color="D9D9D9" w:sz="6" w:space="0"/>
            </w:tcBorders>
          </w:tcPr>
          <w:p w:rsidR="00C31389" w:rsidRDefault="00561FBD" w14:paraId="4F4C9982" w14:textId="77777777">
            <w:pPr>
              <w:pStyle w:val="TableParagraph"/>
              <w:spacing w:before="1" w:line="209" w:lineRule="exact"/>
              <w:ind w:left="24" w:right="84"/>
              <w:jc w:val="center"/>
              <w:rPr>
                <w:sz w:val="20"/>
              </w:rPr>
            </w:pPr>
            <w:r>
              <w:rPr>
                <w:spacing w:val="-5"/>
                <w:sz w:val="20"/>
              </w:rPr>
              <w:t>92</w:t>
            </w:r>
          </w:p>
        </w:tc>
        <w:tc>
          <w:tcPr>
            <w:tcW w:w="1365" w:type="dxa"/>
            <w:tcBorders>
              <w:top w:val="single" w:color="D9D9D9" w:sz="6" w:space="0"/>
              <w:bottom w:val="single" w:color="D9D9D9" w:sz="6" w:space="0"/>
            </w:tcBorders>
          </w:tcPr>
          <w:p w:rsidR="00C31389" w:rsidRDefault="00561FBD" w14:paraId="48A9FD52" w14:textId="77777777">
            <w:pPr>
              <w:pStyle w:val="TableParagraph"/>
              <w:spacing w:before="1" w:line="209" w:lineRule="exact"/>
              <w:ind w:left="40" w:right="190"/>
              <w:jc w:val="center"/>
              <w:rPr>
                <w:sz w:val="20"/>
              </w:rPr>
            </w:pPr>
            <w:r>
              <w:rPr>
                <w:spacing w:val="-5"/>
                <w:sz w:val="20"/>
              </w:rPr>
              <w:t>92</w:t>
            </w:r>
          </w:p>
        </w:tc>
      </w:tr>
      <w:tr w:rsidR="00C31389" w14:paraId="2EBC64C3" w14:textId="77777777">
        <w:trPr>
          <w:trHeight w:val="229"/>
        </w:trPr>
        <w:tc>
          <w:tcPr>
            <w:tcW w:w="1664" w:type="dxa"/>
            <w:vMerge/>
            <w:tcBorders>
              <w:top w:val="nil"/>
            </w:tcBorders>
          </w:tcPr>
          <w:p w:rsidR="00C31389" w:rsidRDefault="00C31389" w14:paraId="016B2F20" w14:textId="77777777">
            <w:pPr>
              <w:rPr>
                <w:sz w:val="2"/>
                <w:szCs w:val="2"/>
              </w:rPr>
            </w:pPr>
          </w:p>
        </w:tc>
        <w:tc>
          <w:tcPr>
            <w:tcW w:w="1495" w:type="dxa"/>
            <w:tcBorders>
              <w:top w:val="single" w:color="D9D9D9" w:sz="6" w:space="0"/>
              <w:bottom w:val="single" w:color="D9D9D9" w:sz="6" w:space="0"/>
            </w:tcBorders>
          </w:tcPr>
          <w:p w:rsidR="00C31389" w:rsidRDefault="00561FBD" w14:paraId="07FB9A0C" w14:textId="77777777">
            <w:pPr>
              <w:pStyle w:val="TableParagraph"/>
              <w:spacing w:before="0" w:line="209" w:lineRule="exact"/>
              <w:rPr>
                <w:sz w:val="20"/>
              </w:rPr>
            </w:pPr>
            <w:r>
              <w:rPr>
                <w:sz w:val="20"/>
              </w:rPr>
              <w:t>EE</w:t>
            </w:r>
            <w:r>
              <w:rPr>
                <w:spacing w:val="-2"/>
                <w:sz w:val="20"/>
              </w:rPr>
              <w:t xml:space="preserve"> Equipment</w:t>
            </w:r>
          </w:p>
        </w:tc>
        <w:tc>
          <w:tcPr>
            <w:tcW w:w="1263" w:type="dxa"/>
            <w:tcBorders>
              <w:top w:val="single" w:color="D9D9D9" w:sz="6" w:space="0"/>
              <w:bottom w:val="single" w:color="D9D9D9" w:sz="6" w:space="0"/>
            </w:tcBorders>
          </w:tcPr>
          <w:p w:rsidR="00C31389" w:rsidRDefault="00561FBD" w14:paraId="5A517369" w14:textId="77777777">
            <w:pPr>
              <w:pStyle w:val="TableParagraph"/>
              <w:spacing w:before="0" w:line="209" w:lineRule="exact"/>
              <w:ind w:left="288" w:right="245"/>
              <w:jc w:val="center"/>
              <w:rPr>
                <w:sz w:val="20"/>
              </w:rPr>
            </w:pPr>
            <w:r>
              <w:rPr>
                <w:spacing w:val="-5"/>
                <w:sz w:val="20"/>
              </w:rPr>
              <w:t>23</w:t>
            </w:r>
          </w:p>
        </w:tc>
        <w:tc>
          <w:tcPr>
            <w:tcW w:w="1015" w:type="dxa"/>
            <w:tcBorders>
              <w:top w:val="single" w:color="D9D9D9" w:sz="6" w:space="0"/>
              <w:bottom w:val="single" w:color="D9D9D9" w:sz="6" w:space="0"/>
            </w:tcBorders>
          </w:tcPr>
          <w:p w:rsidR="00C31389" w:rsidRDefault="00561FBD" w14:paraId="01C55934" w14:textId="77777777">
            <w:pPr>
              <w:pStyle w:val="TableParagraph"/>
              <w:spacing w:before="0" w:line="209" w:lineRule="exact"/>
              <w:ind w:left="45" w:right="45"/>
              <w:jc w:val="center"/>
              <w:rPr>
                <w:sz w:val="20"/>
              </w:rPr>
            </w:pPr>
            <w:r>
              <w:rPr>
                <w:spacing w:val="-5"/>
                <w:sz w:val="20"/>
              </w:rPr>
              <w:t>48</w:t>
            </w:r>
          </w:p>
        </w:tc>
        <w:tc>
          <w:tcPr>
            <w:tcW w:w="1203" w:type="dxa"/>
            <w:tcBorders>
              <w:top w:val="single" w:color="D9D9D9" w:sz="6" w:space="0"/>
              <w:bottom w:val="single" w:color="D9D9D9" w:sz="6" w:space="0"/>
            </w:tcBorders>
          </w:tcPr>
          <w:p w:rsidR="00C31389" w:rsidRDefault="00561FBD" w14:paraId="0AFBD7CA" w14:textId="77777777">
            <w:pPr>
              <w:pStyle w:val="TableParagraph"/>
              <w:spacing w:before="0" w:line="209" w:lineRule="exact"/>
              <w:ind w:left="360" w:right="372"/>
              <w:jc w:val="center"/>
              <w:rPr>
                <w:sz w:val="20"/>
              </w:rPr>
            </w:pPr>
            <w:r>
              <w:rPr>
                <w:spacing w:val="-5"/>
                <w:sz w:val="20"/>
              </w:rPr>
              <w:t>53</w:t>
            </w:r>
          </w:p>
        </w:tc>
        <w:tc>
          <w:tcPr>
            <w:tcW w:w="1365" w:type="dxa"/>
            <w:tcBorders>
              <w:top w:val="single" w:color="D9D9D9" w:sz="6" w:space="0"/>
              <w:bottom w:val="single" w:color="D9D9D9" w:sz="6" w:space="0"/>
            </w:tcBorders>
          </w:tcPr>
          <w:p w:rsidR="00C31389" w:rsidRDefault="00561FBD" w14:paraId="7A922730" w14:textId="77777777">
            <w:pPr>
              <w:pStyle w:val="TableParagraph"/>
              <w:spacing w:before="0" w:line="209" w:lineRule="exact"/>
              <w:ind w:left="24" w:right="84"/>
              <w:jc w:val="center"/>
              <w:rPr>
                <w:sz w:val="20"/>
              </w:rPr>
            </w:pPr>
            <w:r>
              <w:rPr>
                <w:spacing w:val="-5"/>
                <w:sz w:val="20"/>
              </w:rPr>
              <w:t>52</w:t>
            </w:r>
          </w:p>
        </w:tc>
        <w:tc>
          <w:tcPr>
            <w:tcW w:w="1365" w:type="dxa"/>
            <w:tcBorders>
              <w:top w:val="single" w:color="D9D9D9" w:sz="6" w:space="0"/>
              <w:bottom w:val="single" w:color="D9D9D9" w:sz="6" w:space="0"/>
            </w:tcBorders>
          </w:tcPr>
          <w:p w:rsidR="00C31389" w:rsidRDefault="00561FBD" w14:paraId="53F66638" w14:textId="77777777">
            <w:pPr>
              <w:pStyle w:val="TableParagraph"/>
              <w:spacing w:before="0" w:line="209" w:lineRule="exact"/>
              <w:ind w:left="40" w:right="190"/>
              <w:jc w:val="center"/>
              <w:rPr>
                <w:sz w:val="20"/>
              </w:rPr>
            </w:pPr>
            <w:r>
              <w:rPr>
                <w:spacing w:val="-5"/>
                <w:sz w:val="20"/>
              </w:rPr>
              <w:t>53</w:t>
            </w:r>
          </w:p>
        </w:tc>
      </w:tr>
      <w:tr w:rsidR="00C31389" w14:paraId="171BC3AC" w14:textId="77777777">
        <w:trPr>
          <w:trHeight w:val="229"/>
        </w:trPr>
        <w:tc>
          <w:tcPr>
            <w:tcW w:w="1664" w:type="dxa"/>
            <w:tcBorders>
              <w:bottom w:val="single" w:color="000000" w:sz="6" w:space="0"/>
            </w:tcBorders>
          </w:tcPr>
          <w:p w:rsidR="00C31389" w:rsidRDefault="00C31389" w14:paraId="0C724E55" w14:textId="77777777">
            <w:pPr>
              <w:pStyle w:val="TableParagraph"/>
              <w:spacing w:before="0"/>
              <w:rPr>
                <w:rFonts w:ascii="Times New Roman"/>
                <w:sz w:val="16"/>
              </w:rPr>
            </w:pPr>
          </w:p>
        </w:tc>
        <w:tc>
          <w:tcPr>
            <w:tcW w:w="1495" w:type="dxa"/>
            <w:tcBorders>
              <w:top w:val="single" w:color="D9D9D9" w:sz="6" w:space="0"/>
              <w:bottom w:val="single" w:color="000000" w:sz="6" w:space="0"/>
            </w:tcBorders>
          </w:tcPr>
          <w:p w:rsidR="00C31389" w:rsidRDefault="00561FBD" w14:paraId="1833BCEB" w14:textId="77777777">
            <w:pPr>
              <w:pStyle w:val="TableParagraph"/>
              <w:spacing w:before="0" w:line="209" w:lineRule="exact"/>
              <w:rPr>
                <w:b/>
                <w:sz w:val="20"/>
              </w:rPr>
            </w:pPr>
            <w:r>
              <w:rPr>
                <w:b/>
                <w:spacing w:val="-2"/>
                <w:sz w:val="20"/>
              </w:rPr>
              <w:t>Total</w:t>
            </w:r>
          </w:p>
        </w:tc>
        <w:tc>
          <w:tcPr>
            <w:tcW w:w="1263" w:type="dxa"/>
            <w:tcBorders>
              <w:top w:val="single" w:color="D9D9D9" w:sz="6" w:space="0"/>
              <w:bottom w:val="single" w:color="000000" w:sz="6" w:space="0"/>
            </w:tcBorders>
          </w:tcPr>
          <w:p w:rsidR="00C31389" w:rsidRDefault="00561FBD" w14:paraId="13E33307" w14:textId="77777777">
            <w:pPr>
              <w:pStyle w:val="TableParagraph"/>
              <w:spacing w:before="0" w:line="209" w:lineRule="exact"/>
              <w:ind w:left="288" w:right="243"/>
              <w:jc w:val="center"/>
              <w:rPr>
                <w:b/>
                <w:sz w:val="20"/>
              </w:rPr>
            </w:pPr>
            <w:r>
              <w:rPr>
                <w:b/>
                <w:spacing w:val="-5"/>
                <w:sz w:val="20"/>
              </w:rPr>
              <w:t>134</w:t>
            </w:r>
          </w:p>
        </w:tc>
        <w:tc>
          <w:tcPr>
            <w:tcW w:w="1015" w:type="dxa"/>
            <w:tcBorders>
              <w:top w:val="single" w:color="D9D9D9" w:sz="6" w:space="0"/>
              <w:bottom w:val="single" w:color="000000" w:sz="6" w:space="0"/>
            </w:tcBorders>
          </w:tcPr>
          <w:p w:rsidR="00C31389" w:rsidRDefault="00561FBD" w14:paraId="0E295B1A" w14:textId="77777777">
            <w:pPr>
              <w:pStyle w:val="TableParagraph"/>
              <w:spacing w:before="0" w:line="209" w:lineRule="exact"/>
              <w:ind w:left="45" w:right="44"/>
              <w:jc w:val="center"/>
              <w:rPr>
                <w:b/>
                <w:sz w:val="20"/>
              </w:rPr>
            </w:pPr>
            <w:r>
              <w:rPr>
                <w:b/>
                <w:spacing w:val="-5"/>
                <w:sz w:val="20"/>
              </w:rPr>
              <w:t>140</w:t>
            </w:r>
          </w:p>
        </w:tc>
        <w:tc>
          <w:tcPr>
            <w:tcW w:w="1203" w:type="dxa"/>
            <w:tcBorders>
              <w:top w:val="single" w:color="D9D9D9" w:sz="6" w:space="0"/>
              <w:bottom w:val="single" w:color="000000" w:sz="6" w:space="0"/>
            </w:tcBorders>
          </w:tcPr>
          <w:p w:rsidR="00C31389" w:rsidRDefault="00561FBD" w14:paraId="6398B9D4" w14:textId="77777777">
            <w:pPr>
              <w:pStyle w:val="TableParagraph"/>
              <w:spacing w:before="0" w:line="209" w:lineRule="exact"/>
              <w:ind w:left="361" w:right="372"/>
              <w:jc w:val="center"/>
              <w:rPr>
                <w:b/>
                <w:sz w:val="20"/>
              </w:rPr>
            </w:pPr>
            <w:r>
              <w:rPr>
                <w:b/>
                <w:spacing w:val="-5"/>
                <w:sz w:val="20"/>
              </w:rPr>
              <w:t>145</w:t>
            </w:r>
          </w:p>
        </w:tc>
        <w:tc>
          <w:tcPr>
            <w:tcW w:w="1365" w:type="dxa"/>
            <w:tcBorders>
              <w:top w:val="single" w:color="D9D9D9" w:sz="6" w:space="0"/>
              <w:bottom w:val="single" w:color="000000" w:sz="6" w:space="0"/>
            </w:tcBorders>
          </w:tcPr>
          <w:p w:rsidR="00C31389" w:rsidRDefault="00561FBD" w14:paraId="751DDB7F" w14:textId="77777777">
            <w:pPr>
              <w:pStyle w:val="TableParagraph"/>
              <w:spacing w:before="0" w:line="209" w:lineRule="exact"/>
              <w:ind w:left="25" w:right="84"/>
              <w:jc w:val="center"/>
              <w:rPr>
                <w:b/>
                <w:sz w:val="20"/>
              </w:rPr>
            </w:pPr>
            <w:r>
              <w:rPr>
                <w:b/>
                <w:spacing w:val="-5"/>
                <w:sz w:val="20"/>
              </w:rPr>
              <w:t>139</w:t>
            </w:r>
          </w:p>
        </w:tc>
        <w:tc>
          <w:tcPr>
            <w:tcW w:w="1365" w:type="dxa"/>
            <w:tcBorders>
              <w:top w:val="single" w:color="D9D9D9" w:sz="6" w:space="0"/>
              <w:bottom w:val="single" w:color="000000" w:sz="6" w:space="0"/>
            </w:tcBorders>
          </w:tcPr>
          <w:p w:rsidR="00C31389" w:rsidRDefault="00561FBD" w14:paraId="157A7D0B" w14:textId="77777777">
            <w:pPr>
              <w:pStyle w:val="TableParagraph"/>
              <w:spacing w:before="0" w:line="209" w:lineRule="exact"/>
              <w:ind w:left="439"/>
              <w:rPr>
                <w:b/>
                <w:sz w:val="20"/>
              </w:rPr>
            </w:pPr>
            <w:r>
              <w:rPr>
                <w:b/>
                <w:spacing w:val="-5"/>
                <w:sz w:val="20"/>
              </w:rPr>
              <w:t>145</w:t>
            </w:r>
          </w:p>
        </w:tc>
      </w:tr>
      <w:tr w:rsidR="00C31389" w14:paraId="08025B13" w14:textId="77777777">
        <w:trPr>
          <w:trHeight w:val="229"/>
        </w:trPr>
        <w:tc>
          <w:tcPr>
            <w:tcW w:w="1664" w:type="dxa"/>
            <w:vMerge w:val="restart"/>
            <w:tcBorders>
              <w:top w:val="single" w:color="000000" w:sz="6" w:space="0"/>
              <w:bottom w:val="single" w:color="000000" w:sz="6" w:space="0"/>
            </w:tcBorders>
            <w:shd w:val="clear" w:color="auto" w:fill="F1F1F1"/>
          </w:tcPr>
          <w:p w:rsidR="00C31389" w:rsidRDefault="00561FBD" w14:paraId="1F2E6B90" w14:textId="77777777">
            <w:pPr>
              <w:pStyle w:val="TableParagraph"/>
              <w:spacing w:before="138"/>
              <w:ind w:left="14" w:right="524"/>
              <w:jc w:val="both"/>
              <w:rPr>
                <w:b/>
                <w:sz w:val="20"/>
              </w:rPr>
            </w:pPr>
            <w:r>
              <w:rPr>
                <w:b/>
                <w:sz w:val="20"/>
              </w:rPr>
              <w:t>Gas</w:t>
            </w:r>
            <w:r>
              <w:rPr>
                <w:b/>
                <w:spacing w:val="-14"/>
                <w:sz w:val="20"/>
              </w:rPr>
              <w:t xml:space="preserve"> </w:t>
            </w:r>
            <w:r>
              <w:rPr>
                <w:b/>
                <w:sz w:val="20"/>
              </w:rPr>
              <w:t xml:space="preserve">Energy </w:t>
            </w:r>
            <w:r>
              <w:rPr>
                <w:b/>
                <w:spacing w:val="-2"/>
                <w:sz w:val="20"/>
              </w:rPr>
              <w:t>(MMtherms/ Year)</w:t>
            </w:r>
          </w:p>
        </w:tc>
        <w:tc>
          <w:tcPr>
            <w:tcW w:w="1495" w:type="dxa"/>
            <w:tcBorders>
              <w:top w:val="single" w:color="000000" w:sz="6" w:space="0"/>
              <w:bottom w:val="single" w:color="D9D9D9" w:sz="6" w:space="0"/>
            </w:tcBorders>
            <w:shd w:val="clear" w:color="auto" w:fill="F1F1F1"/>
          </w:tcPr>
          <w:p w:rsidR="00C31389" w:rsidRDefault="00561FBD" w14:paraId="52E13121" w14:textId="77777777">
            <w:pPr>
              <w:pStyle w:val="TableParagraph"/>
              <w:spacing w:before="0" w:line="209" w:lineRule="exact"/>
              <w:rPr>
                <w:sz w:val="20"/>
              </w:rPr>
            </w:pPr>
            <w:r>
              <w:rPr>
                <w:spacing w:val="-5"/>
                <w:sz w:val="20"/>
              </w:rPr>
              <w:t>FS</w:t>
            </w:r>
          </w:p>
        </w:tc>
        <w:tc>
          <w:tcPr>
            <w:tcW w:w="1263" w:type="dxa"/>
            <w:tcBorders>
              <w:top w:val="single" w:color="000000" w:sz="6" w:space="0"/>
              <w:bottom w:val="single" w:color="D9D9D9" w:sz="6" w:space="0"/>
            </w:tcBorders>
            <w:shd w:val="clear" w:color="auto" w:fill="F1F1F1"/>
          </w:tcPr>
          <w:p w:rsidR="00C31389" w:rsidRDefault="00561FBD" w14:paraId="24269336" w14:textId="77777777">
            <w:pPr>
              <w:pStyle w:val="TableParagraph"/>
              <w:spacing w:before="0" w:line="209" w:lineRule="exact"/>
              <w:ind w:left="288" w:right="245"/>
              <w:jc w:val="center"/>
              <w:rPr>
                <w:sz w:val="20"/>
              </w:rPr>
            </w:pPr>
            <w:r>
              <w:rPr>
                <w:spacing w:val="-5"/>
                <w:sz w:val="20"/>
              </w:rPr>
              <w:t>20</w:t>
            </w:r>
          </w:p>
        </w:tc>
        <w:tc>
          <w:tcPr>
            <w:tcW w:w="1015" w:type="dxa"/>
            <w:tcBorders>
              <w:top w:val="single" w:color="000000" w:sz="6" w:space="0"/>
              <w:bottom w:val="single" w:color="D9D9D9" w:sz="6" w:space="0"/>
            </w:tcBorders>
            <w:shd w:val="clear" w:color="auto" w:fill="F1F1F1"/>
          </w:tcPr>
          <w:p w:rsidR="00C31389" w:rsidRDefault="00561FBD" w14:paraId="76EA3862" w14:textId="77777777">
            <w:pPr>
              <w:pStyle w:val="TableParagraph"/>
              <w:spacing w:before="0" w:line="209" w:lineRule="exact"/>
              <w:ind w:left="1"/>
              <w:jc w:val="center"/>
              <w:rPr>
                <w:sz w:val="20"/>
              </w:rPr>
            </w:pPr>
            <w:r>
              <w:rPr>
                <w:sz w:val="20"/>
              </w:rPr>
              <w:t>3</w:t>
            </w:r>
          </w:p>
        </w:tc>
        <w:tc>
          <w:tcPr>
            <w:tcW w:w="1203" w:type="dxa"/>
            <w:tcBorders>
              <w:top w:val="single" w:color="000000" w:sz="6" w:space="0"/>
              <w:bottom w:val="single" w:color="D9D9D9" w:sz="6" w:space="0"/>
            </w:tcBorders>
            <w:shd w:val="clear" w:color="auto" w:fill="F1F1F1"/>
          </w:tcPr>
          <w:p w:rsidR="00C31389" w:rsidRDefault="00561FBD" w14:paraId="12820988" w14:textId="77777777">
            <w:pPr>
              <w:pStyle w:val="TableParagraph"/>
              <w:spacing w:before="0" w:line="209" w:lineRule="exact"/>
              <w:ind w:right="11"/>
              <w:jc w:val="center"/>
              <w:rPr>
                <w:sz w:val="20"/>
              </w:rPr>
            </w:pPr>
            <w:r>
              <w:rPr>
                <w:sz w:val="20"/>
              </w:rPr>
              <w:t>4</w:t>
            </w:r>
          </w:p>
        </w:tc>
        <w:tc>
          <w:tcPr>
            <w:tcW w:w="1365" w:type="dxa"/>
            <w:tcBorders>
              <w:top w:val="single" w:color="000000" w:sz="6" w:space="0"/>
              <w:bottom w:val="single" w:color="D9D9D9" w:sz="6" w:space="0"/>
            </w:tcBorders>
            <w:shd w:val="clear" w:color="auto" w:fill="F1F1F1"/>
          </w:tcPr>
          <w:p w:rsidR="00C31389" w:rsidRDefault="00561FBD" w14:paraId="21B458AF" w14:textId="77777777">
            <w:pPr>
              <w:pStyle w:val="TableParagraph"/>
              <w:spacing w:before="0" w:line="209" w:lineRule="exact"/>
              <w:ind w:left="24" w:right="84"/>
              <w:jc w:val="center"/>
              <w:rPr>
                <w:sz w:val="20"/>
              </w:rPr>
            </w:pPr>
            <w:r>
              <w:rPr>
                <w:spacing w:val="-5"/>
                <w:sz w:val="20"/>
              </w:rPr>
              <w:t>60</w:t>
            </w:r>
          </w:p>
        </w:tc>
        <w:tc>
          <w:tcPr>
            <w:tcW w:w="1365" w:type="dxa"/>
            <w:tcBorders>
              <w:top w:val="single" w:color="000000" w:sz="6" w:space="0"/>
              <w:bottom w:val="single" w:color="D9D9D9" w:sz="6" w:space="0"/>
            </w:tcBorders>
            <w:shd w:val="clear" w:color="auto" w:fill="F1F1F1"/>
          </w:tcPr>
          <w:p w:rsidR="00C31389" w:rsidRDefault="00561FBD" w14:paraId="1EBB06D8" w14:textId="77777777">
            <w:pPr>
              <w:pStyle w:val="TableParagraph"/>
              <w:spacing w:before="0" w:line="209" w:lineRule="exact"/>
              <w:ind w:right="149"/>
              <w:jc w:val="center"/>
              <w:rPr>
                <w:sz w:val="20"/>
              </w:rPr>
            </w:pPr>
            <w:r>
              <w:rPr>
                <w:sz w:val="20"/>
              </w:rPr>
              <w:t>4</w:t>
            </w:r>
          </w:p>
        </w:tc>
      </w:tr>
      <w:tr w:rsidR="00C31389" w14:paraId="5D346EA3" w14:textId="77777777">
        <w:trPr>
          <w:trHeight w:val="229"/>
        </w:trPr>
        <w:tc>
          <w:tcPr>
            <w:tcW w:w="1664" w:type="dxa"/>
            <w:vMerge/>
            <w:tcBorders>
              <w:top w:val="nil"/>
              <w:bottom w:val="single" w:color="000000" w:sz="6" w:space="0"/>
            </w:tcBorders>
            <w:shd w:val="clear" w:color="auto" w:fill="F1F1F1"/>
          </w:tcPr>
          <w:p w:rsidR="00C31389" w:rsidRDefault="00C31389" w14:paraId="5D6C89C5" w14:textId="77777777">
            <w:pPr>
              <w:rPr>
                <w:sz w:val="2"/>
                <w:szCs w:val="2"/>
              </w:rPr>
            </w:pPr>
          </w:p>
        </w:tc>
        <w:tc>
          <w:tcPr>
            <w:tcW w:w="1495" w:type="dxa"/>
            <w:tcBorders>
              <w:top w:val="single" w:color="D9D9D9" w:sz="6" w:space="0"/>
              <w:bottom w:val="single" w:color="D9D9D9" w:sz="6" w:space="0"/>
            </w:tcBorders>
            <w:shd w:val="clear" w:color="auto" w:fill="F1F1F1"/>
          </w:tcPr>
          <w:p w:rsidR="00C31389" w:rsidRDefault="00561FBD" w14:paraId="27EE284E" w14:textId="77777777">
            <w:pPr>
              <w:pStyle w:val="TableParagraph"/>
              <w:spacing w:before="0" w:line="209" w:lineRule="exact"/>
              <w:rPr>
                <w:sz w:val="20"/>
              </w:rPr>
            </w:pPr>
            <w:r>
              <w:rPr>
                <w:spacing w:val="-4"/>
                <w:sz w:val="20"/>
              </w:rPr>
              <w:t>BROs</w:t>
            </w:r>
          </w:p>
        </w:tc>
        <w:tc>
          <w:tcPr>
            <w:tcW w:w="1263" w:type="dxa"/>
            <w:tcBorders>
              <w:top w:val="single" w:color="D9D9D9" w:sz="6" w:space="0"/>
              <w:bottom w:val="single" w:color="D9D9D9" w:sz="6" w:space="0"/>
            </w:tcBorders>
            <w:shd w:val="clear" w:color="auto" w:fill="F1F1F1"/>
          </w:tcPr>
          <w:p w:rsidR="00C31389" w:rsidRDefault="00561FBD" w14:paraId="768CF4BA" w14:textId="77777777">
            <w:pPr>
              <w:pStyle w:val="TableParagraph"/>
              <w:spacing w:before="0" w:line="209" w:lineRule="exact"/>
              <w:ind w:left="288" w:right="245"/>
              <w:jc w:val="center"/>
              <w:rPr>
                <w:sz w:val="20"/>
              </w:rPr>
            </w:pPr>
            <w:r>
              <w:rPr>
                <w:spacing w:val="-5"/>
                <w:sz w:val="20"/>
              </w:rPr>
              <w:t>25</w:t>
            </w:r>
          </w:p>
        </w:tc>
        <w:tc>
          <w:tcPr>
            <w:tcW w:w="1015" w:type="dxa"/>
            <w:tcBorders>
              <w:top w:val="single" w:color="D9D9D9" w:sz="6" w:space="0"/>
              <w:bottom w:val="single" w:color="D9D9D9" w:sz="6" w:space="0"/>
            </w:tcBorders>
            <w:shd w:val="clear" w:color="auto" w:fill="F1F1F1"/>
          </w:tcPr>
          <w:p w:rsidR="00C31389" w:rsidRDefault="00561FBD" w14:paraId="18956CD9" w14:textId="77777777">
            <w:pPr>
              <w:pStyle w:val="TableParagraph"/>
              <w:spacing w:before="0" w:line="209" w:lineRule="exact"/>
              <w:ind w:left="45" w:right="45"/>
              <w:jc w:val="center"/>
              <w:rPr>
                <w:sz w:val="20"/>
              </w:rPr>
            </w:pPr>
            <w:r>
              <w:rPr>
                <w:spacing w:val="-5"/>
                <w:sz w:val="20"/>
              </w:rPr>
              <w:t>21</w:t>
            </w:r>
          </w:p>
        </w:tc>
        <w:tc>
          <w:tcPr>
            <w:tcW w:w="1203" w:type="dxa"/>
            <w:tcBorders>
              <w:top w:val="single" w:color="D9D9D9" w:sz="6" w:space="0"/>
              <w:bottom w:val="single" w:color="D9D9D9" w:sz="6" w:space="0"/>
            </w:tcBorders>
            <w:shd w:val="clear" w:color="auto" w:fill="F1F1F1"/>
          </w:tcPr>
          <w:p w:rsidR="00C31389" w:rsidRDefault="00561FBD" w14:paraId="377D7C40" w14:textId="77777777">
            <w:pPr>
              <w:pStyle w:val="TableParagraph"/>
              <w:spacing w:before="0" w:line="209" w:lineRule="exact"/>
              <w:ind w:left="360" w:right="372"/>
              <w:jc w:val="center"/>
              <w:rPr>
                <w:sz w:val="20"/>
              </w:rPr>
            </w:pPr>
            <w:r>
              <w:rPr>
                <w:spacing w:val="-5"/>
                <w:sz w:val="20"/>
              </w:rPr>
              <w:t>21</w:t>
            </w:r>
          </w:p>
        </w:tc>
        <w:tc>
          <w:tcPr>
            <w:tcW w:w="1365" w:type="dxa"/>
            <w:tcBorders>
              <w:top w:val="single" w:color="D9D9D9" w:sz="6" w:space="0"/>
              <w:bottom w:val="single" w:color="D9D9D9" w:sz="6" w:space="0"/>
            </w:tcBorders>
            <w:shd w:val="clear" w:color="auto" w:fill="F1F1F1"/>
          </w:tcPr>
          <w:p w:rsidR="00C31389" w:rsidRDefault="00561FBD" w14:paraId="64147EA9" w14:textId="77777777">
            <w:pPr>
              <w:pStyle w:val="TableParagraph"/>
              <w:spacing w:before="0" w:line="209" w:lineRule="exact"/>
              <w:ind w:left="24" w:right="84"/>
              <w:jc w:val="center"/>
              <w:rPr>
                <w:sz w:val="20"/>
              </w:rPr>
            </w:pPr>
            <w:r>
              <w:rPr>
                <w:spacing w:val="-5"/>
                <w:sz w:val="20"/>
              </w:rPr>
              <w:t>21</w:t>
            </w:r>
          </w:p>
        </w:tc>
        <w:tc>
          <w:tcPr>
            <w:tcW w:w="1365" w:type="dxa"/>
            <w:tcBorders>
              <w:top w:val="single" w:color="D9D9D9" w:sz="6" w:space="0"/>
              <w:bottom w:val="single" w:color="D9D9D9" w:sz="6" w:space="0"/>
            </w:tcBorders>
            <w:shd w:val="clear" w:color="auto" w:fill="F1F1F1"/>
          </w:tcPr>
          <w:p w:rsidR="00C31389" w:rsidRDefault="00561FBD" w14:paraId="014C0A51" w14:textId="77777777">
            <w:pPr>
              <w:pStyle w:val="TableParagraph"/>
              <w:spacing w:before="0" w:line="209" w:lineRule="exact"/>
              <w:ind w:left="40" w:right="190"/>
              <w:jc w:val="center"/>
              <w:rPr>
                <w:sz w:val="20"/>
              </w:rPr>
            </w:pPr>
            <w:r>
              <w:rPr>
                <w:spacing w:val="-5"/>
                <w:sz w:val="20"/>
              </w:rPr>
              <w:t>21</w:t>
            </w:r>
          </w:p>
        </w:tc>
      </w:tr>
      <w:tr w:rsidR="00C31389" w14:paraId="590C9308" w14:textId="77777777">
        <w:trPr>
          <w:trHeight w:val="229"/>
        </w:trPr>
        <w:tc>
          <w:tcPr>
            <w:tcW w:w="1664" w:type="dxa"/>
            <w:vMerge/>
            <w:tcBorders>
              <w:top w:val="nil"/>
              <w:bottom w:val="single" w:color="000000" w:sz="6" w:space="0"/>
            </w:tcBorders>
            <w:shd w:val="clear" w:color="auto" w:fill="F1F1F1"/>
          </w:tcPr>
          <w:p w:rsidR="00C31389" w:rsidRDefault="00C31389" w14:paraId="3F85394F" w14:textId="77777777">
            <w:pPr>
              <w:rPr>
                <w:sz w:val="2"/>
                <w:szCs w:val="2"/>
              </w:rPr>
            </w:pPr>
          </w:p>
        </w:tc>
        <w:tc>
          <w:tcPr>
            <w:tcW w:w="1495" w:type="dxa"/>
            <w:tcBorders>
              <w:top w:val="single" w:color="D9D9D9" w:sz="6" w:space="0"/>
              <w:bottom w:val="single" w:color="D9D9D9" w:sz="6" w:space="0"/>
            </w:tcBorders>
            <w:shd w:val="clear" w:color="auto" w:fill="F1F1F1"/>
          </w:tcPr>
          <w:p w:rsidR="00C31389" w:rsidRDefault="00561FBD" w14:paraId="74F465AF" w14:textId="77777777">
            <w:pPr>
              <w:pStyle w:val="TableParagraph"/>
              <w:spacing w:before="0" w:line="209" w:lineRule="exact"/>
              <w:rPr>
                <w:sz w:val="20"/>
              </w:rPr>
            </w:pPr>
            <w:r>
              <w:rPr>
                <w:sz w:val="20"/>
              </w:rPr>
              <w:t>EE</w:t>
            </w:r>
            <w:r>
              <w:rPr>
                <w:spacing w:val="-2"/>
                <w:sz w:val="20"/>
              </w:rPr>
              <w:t xml:space="preserve"> Equipment</w:t>
            </w:r>
          </w:p>
        </w:tc>
        <w:tc>
          <w:tcPr>
            <w:tcW w:w="1263" w:type="dxa"/>
            <w:tcBorders>
              <w:top w:val="single" w:color="D9D9D9" w:sz="6" w:space="0"/>
              <w:bottom w:val="single" w:color="D9D9D9" w:sz="6" w:space="0"/>
            </w:tcBorders>
            <w:shd w:val="clear" w:color="auto" w:fill="F1F1F1"/>
          </w:tcPr>
          <w:p w:rsidR="00C31389" w:rsidRDefault="00561FBD" w14:paraId="5EEDF08B" w14:textId="77777777">
            <w:pPr>
              <w:pStyle w:val="TableParagraph"/>
              <w:spacing w:before="0" w:line="209" w:lineRule="exact"/>
              <w:ind w:left="288" w:right="245"/>
              <w:jc w:val="center"/>
              <w:rPr>
                <w:sz w:val="20"/>
              </w:rPr>
            </w:pPr>
            <w:r>
              <w:rPr>
                <w:spacing w:val="-5"/>
                <w:sz w:val="20"/>
              </w:rPr>
              <w:t>12</w:t>
            </w:r>
          </w:p>
        </w:tc>
        <w:tc>
          <w:tcPr>
            <w:tcW w:w="1015" w:type="dxa"/>
            <w:tcBorders>
              <w:top w:val="single" w:color="D9D9D9" w:sz="6" w:space="0"/>
              <w:bottom w:val="single" w:color="D9D9D9" w:sz="6" w:space="0"/>
            </w:tcBorders>
            <w:shd w:val="clear" w:color="auto" w:fill="F1F1F1"/>
          </w:tcPr>
          <w:p w:rsidR="00C31389" w:rsidRDefault="00561FBD" w14:paraId="6931FC01" w14:textId="77777777">
            <w:pPr>
              <w:pStyle w:val="TableParagraph"/>
              <w:spacing w:before="0" w:line="209" w:lineRule="exact"/>
              <w:ind w:left="45" w:right="45"/>
              <w:jc w:val="center"/>
              <w:rPr>
                <w:sz w:val="20"/>
              </w:rPr>
            </w:pPr>
            <w:r>
              <w:rPr>
                <w:spacing w:val="-5"/>
                <w:sz w:val="20"/>
              </w:rPr>
              <w:t>19</w:t>
            </w:r>
          </w:p>
        </w:tc>
        <w:tc>
          <w:tcPr>
            <w:tcW w:w="1203" w:type="dxa"/>
            <w:tcBorders>
              <w:top w:val="single" w:color="D9D9D9" w:sz="6" w:space="0"/>
              <w:bottom w:val="single" w:color="D9D9D9" w:sz="6" w:space="0"/>
            </w:tcBorders>
            <w:shd w:val="clear" w:color="auto" w:fill="F1F1F1"/>
          </w:tcPr>
          <w:p w:rsidR="00C31389" w:rsidRDefault="00561FBD" w14:paraId="3D9DA7B4" w14:textId="77777777">
            <w:pPr>
              <w:pStyle w:val="TableParagraph"/>
              <w:spacing w:before="0" w:line="209" w:lineRule="exact"/>
              <w:ind w:left="360" w:right="372"/>
              <w:jc w:val="center"/>
              <w:rPr>
                <w:sz w:val="20"/>
              </w:rPr>
            </w:pPr>
            <w:r>
              <w:rPr>
                <w:spacing w:val="-5"/>
                <w:sz w:val="20"/>
              </w:rPr>
              <w:t>19</w:t>
            </w:r>
          </w:p>
        </w:tc>
        <w:tc>
          <w:tcPr>
            <w:tcW w:w="1365" w:type="dxa"/>
            <w:tcBorders>
              <w:top w:val="single" w:color="D9D9D9" w:sz="6" w:space="0"/>
              <w:bottom w:val="single" w:color="D9D9D9" w:sz="6" w:space="0"/>
            </w:tcBorders>
            <w:shd w:val="clear" w:color="auto" w:fill="F1F1F1"/>
          </w:tcPr>
          <w:p w:rsidR="00C31389" w:rsidRDefault="00561FBD" w14:paraId="64376919" w14:textId="77777777">
            <w:pPr>
              <w:pStyle w:val="TableParagraph"/>
              <w:spacing w:before="0" w:line="209" w:lineRule="exact"/>
              <w:ind w:left="24" w:right="84"/>
              <w:jc w:val="center"/>
              <w:rPr>
                <w:sz w:val="20"/>
              </w:rPr>
            </w:pPr>
            <w:r>
              <w:rPr>
                <w:spacing w:val="-5"/>
                <w:sz w:val="20"/>
              </w:rPr>
              <w:t>19</w:t>
            </w:r>
          </w:p>
        </w:tc>
        <w:tc>
          <w:tcPr>
            <w:tcW w:w="1365" w:type="dxa"/>
            <w:tcBorders>
              <w:top w:val="single" w:color="D9D9D9" w:sz="6" w:space="0"/>
              <w:bottom w:val="single" w:color="D9D9D9" w:sz="6" w:space="0"/>
            </w:tcBorders>
            <w:shd w:val="clear" w:color="auto" w:fill="F1F1F1"/>
          </w:tcPr>
          <w:p w:rsidR="00C31389" w:rsidRDefault="00561FBD" w14:paraId="3CC7D393" w14:textId="77777777">
            <w:pPr>
              <w:pStyle w:val="TableParagraph"/>
              <w:spacing w:before="0" w:line="209" w:lineRule="exact"/>
              <w:ind w:left="40" w:right="190"/>
              <w:jc w:val="center"/>
              <w:rPr>
                <w:sz w:val="20"/>
              </w:rPr>
            </w:pPr>
            <w:r>
              <w:rPr>
                <w:spacing w:val="-5"/>
                <w:sz w:val="20"/>
              </w:rPr>
              <w:t>19</w:t>
            </w:r>
          </w:p>
        </w:tc>
      </w:tr>
      <w:tr w:rsidR="00C31389" w14:paraId="18FC5696" w14:textId="77777777">
        <w:trPr>
          <w:trHeight w:val="230"/>
        </w:trPr>
        <w:tc>
          <w:tcPr>
            <w:tcW w:w="1664" w:type="dxa"/>
            <w:vMerge/>
            <w:tcBorders>
              <w:top w:val="nil"/>
              <w:bottom w:val="single" w:color="000000" w:sz="6" w:space="0"/>
            </w:tcBorders>
            <w:shd w:val="clear" w:color="auto" w:fill="F1F1F1"/>
          </w:tcPr>
          <w:p w:rsidR="00C31389" w:rsidRDefault="00C31389" w14:paraId="52717192" w14:textId="77777777">
            <w:pPr>
              <w:rPr>
                <w:sz w:val="2"/>
                <w:szCs w:val="2"/>
              </w:rPr>
            </w:pPr>
          </w:p>
        </w:tc>
        <w:tc>
          <w:tcPr>
            <w:tcW w:w="1495" w:type="dxa"/>
            <w:tcBorders>
              <w:top w:val="single" w:color="D9D9D9" w:sz="6" w:space="0"/>
              <w:bottom w:val="single" w:color="000000" w:sz="6" w:space="0"/>
            </w:tcBorders>
            <w:shd w:val="clear" w:color="auto" w:fill="F1F1F1"/>
          </w:tcPr>
          <w:p w:rsidR="00C31389" w:rsidRDefault="00561FBD" w14:paraId="651EDBCF" w14:textId="77777777">
            <w:pPr>
              <w:pStyle w:val="TableParagraph"/>
              <w:spacing w:before="1" w:line="209" w:lineRule="exact"/>
              <w:rPr>
                <w:b/>
                <w:sz w:val="20"/>
              </w:rPr>
            </w:pPr>
            <w:r>
              <w:rPr>
                <w:b/>
                <w:spacing w:val="-2"/>
                <w:sz w:val="20"/>
              </w:rPr>
              <w:t>Total</w:t>
            </w:r>
          </w:p>
        </w:tc>
        <w:tc>
          <w:tcPr>
            <w:tcW w:w="1263" w:type="dxa"/>
            <w:tcBorders>
              <w:top w:val="single" w:color="D9D9D9" w:sz="6" w:space="0"/>
              <w:bottom w:val="single" w:color="000000" w:sz="6" w:space="0"/>
            </w:tcBorders>
            <w:shd w:val="clear" w:color="auto" w:fill="F1F1F1"/>
          </w:tcPr>
          <w:p w:rsidR="00C31389" w:rsidRDefault="00561FBD" w14:paraId="6BE37202" w14:textId="77777777">
            <w:pPr>
              <w:pStyle w:val="TableParagraph"/>
              <w:spacing w:before="1" w:line="209" w:lineRule="exact"/>
              <w:ind w:left="288" w:right="245"/>
              <w:jc w:val="center"/>
              <w:rPr>
                <w:b/>
                <w:sz w:val="20"/>
              </w:rPr>
            </w:pPr>
            <w:r>
              <w:rPr>
                <w:b/>
                <w:spacing w:val="-5"/>
                <w:sz w:val="20"/>
              </w:rPr>
              <w:t>57</w:t>
            </w:r>
          </w:p>
        </w:tc>
        <w:tc>
          <w:tcPr>
            <w:tcW w:w="1015" w:type="dxa"/>
            <w:tcBorders>
              <w:top w:val="single" w:color="D9D9D9" w:sz="6" w:space="0"/>
              <w:bottom w:val="single" w:color="000000" w:sz="6" w:space="0"/>
            </w:tcBorders>
            <w:shd w:val="clear" w:color="auto" w:fill="F1F1F1"/>
          </w:tcPr>
          <w:p w:rsidR="00C31389" w:rsidRDefault="00561FBD" w14:paraId="0F99A074" w14:textId="77777777">
            <w:pPr>
              <w:pStyle w:val="TableParagraph"/>
              <w:spacing w:before="1" w:line="209" w:lineRule="exact"/>
              <w:ind w:left="45" w:right="45"/>
              <w:jc w:val="center"/>
              <w:rPr>
                <w:b/>
                <w:sz w:val="20"/>
              </w:rPr>
            </w:pPr>
            <w:r>
              <w:rPr>
                <w:b/>
                <w:spacing w:val="-5"/>
                <w:sz w:val="20"/>
              </w:rPr>
              <w:t>42</w:t>
            </w:r>
          </w:p>
        </w:tc>
        <w:tc>
          <w:tcPr>
            <w:tcW w:w="1203" w:type="dxa"/>
            <w:tcBorders>
              <w:top w:val="single" w:color="D9D9D9" w:sz="6" w:space="0"/>
              <w:bottom w:val="single" w:color="000000" w:sz="6" w:space="0"/>
            </w:tcBorders>
            <w:shd w:val="clear" w:color="auto" w:fill="F1F1F1"/>
          </w:tcPr>
          <w:p w:rsidR="00C31389" w:rsidRDefault="00561FBD" w14:paraId="13AD4102" w14:textId="77777777">
            <w:pPr>
              <w:pStyle w:val="TableParagraph"/>
              <w:spacing w:before="1" w:line="209" w:lineRule="exact"/>
              <w:ind w:left="360" w:right="372"/>
              <w:jc w:val="center"/>
              <w:rPr>
                <w:b/>
                <w:sz w:val="20"/>
              </w:rPr>
            </w:pPr>
            <w:r>
              <w:rPr>
                <w:b/>
                <w:spacing w:val="-5"/>
                <w:sz w:val="20"/>
              </w:rPr>
              <w:t>44</w:t>
            </w:r>
          </w:p>
        </w:tc>
        <w:tc>
          <w:tcPr>
            <w:tcW w:w="1365" w:type="dxa"/>
            <w:tcBorders>
              <w:top w:val="single" w:color="D9D9D9" w:sz="6" w:space="0"/>
              <w:bottom w:val="single" w:color="000000" w:sz="6" w:space="0"/>
            </w:tcBorders>
            <w:shd w:val="clear" w:color="auto" w:fill="F1F1F1"/>
          </w:tcPr>
          <w:p w:rsidR="00C31389" w:rsidRDefault="00561FBD" w14:paraId="78A3AC69" w14:textId="77777777">
            <w:pPr>
              <w:pStyle w:val="TableParagraph"/>
              <w:spacing w:before="1" w:line="209" w:lineRule="exact"/>
              <w:ind w:left="25" w:right="84"/>
              <w:jc w:val="center"/>
              <w:rPr>
                <w:b/>
                <w:sz w:val="20"/>
              </w:rPr>
            </w:pPr>
            <w:r>
              <w:rPr>
                <w:b/>
                <w:spacing w:val="-5"/>
                <w:sz w:val="20"/>
              </w:rPr>
              <w:t>100</w:t>
            </w:r>
          </w:p>
        </w:tc>
        <w:tc>
          <w:tcPr>
            <w:tcW w:w="1365" w:type="dxa"/>
            <w:tcBorders>
              <w:top w:val="single" w:color="D9D9D9" w:sz="6" w:space="0"/>
              <w:bottom w:val="single" w:color="000000" w:sz="6" w:space="0"/>
            </w:tcBorders>
            <w:shd w:val="clear" w:color="auto" w:fill="F1F1F1"/>
          </w:tcPr>
          <w:p w:rsidR="00C31389" w:rsidRDefault="00561FBD" w14:paraId="3A1A2B4F" w14:textId="77777777">
            <w:pPr>
              <w:pStyle w:val="TableParagraph"/>
              <w:spacing w:before="1" w:line="209" w:lineRule="exact"/>
              <w:ind w:left="40" w:right="190"/>
              <w:jc w:val="center"/>
              <w:rPr>
                <w:b/>
                <w:sz w:val="20"/>
              </w:rPr>
            </w:pPr>
            <w:r>
              <w:rPr>
                <w:b/>
                <w:spacing w:val="-5"/>
                <w:sz w:val="20"/>
              </w:rPr>
              <w:t>44</w:t>
            </w:r>
          </w:p>
        </w:tc>
      </w:tr>
    </w:tbl>
    <w:p w:rsidR="00C31389" w:rsidRDefault="00561FBD" w14:paraId="239266A6" w14:textId="77777777">
      <w:pPr>
        <w:spacing w:before="82"/>
        <w:ind w:left="480"/>
        <w:rPr>
          <w:sz w:val="18"/>
        </w:rPr>
      </w:pPr>
      <w:r>
        <w:rPr>
          <w:sz w:val="18"/>
        </w:rPr>
        <w:t>*</w:t>
      </w:r>
      <w:r>
        <w:rPr>
          <w:spacing w:val="-5"/>
          <w:sz w:val="18"/>
        </w:rPr>
        <w:t xml:space="preserve"> </w:t>
      </w:r>
      <w:r>
        <w:rPr>
          <w:sz w:val="18"/>
        </w:rPr>
        <w:t>FS</w:t>
      </w:r>
      <w:r>
        <w:rPr>
          <w:spacing w:val="-3"/>
          <w:sz w:val="18"/>
        </w:rPr>
        <w:t xml:space="preserve"> </w:t>
      </w:r>
      <w:r>
        <w:rPr>
          <w:sz w:val="18"/>
        </w:rPr>
        <w:t>impacts</w:t>
      </w:r>
      <w:r>
        <w:rPr>
          <w:spacing w:val="-3"/>
          <w:sz w:val="18"/>
        </w:rPr>
        <w:t xml:space="preserve"> </w:t>
      </w:r>
      <w:r>
        <w:rPr>
          <w:sz w:val="18"/>
        </w:rPr>
        <w:t>reflect</w:t>
      </w:r>
      <w:r>
        <w:rPr>
          <w:spacing w:val="-2"/>
          <w:sz w:val="18"/>
        </w:rPr>
        <w:t xml:space="preserve"> </w:t>
      </w:r>
      <w:r>
        <w:rPr>
          <w:sz w:val="18"/>
        </w:rPr>
        <w:t>additional</w:t>
      </w:r>
      <w:r>
        <w:rPr>
          <w:spacing w:val="-3"/>
          <w:sz w:val="18"/>
        </w:rPr>
        <w:t xml:space="preserve"> </w:t>
      </w:r>
      <w:r>
        <w:rPr>
          <w:sz w:val="18"/>
        </w:rPr>
        <w:t>electric</w:t>
      </w:r>
      <w:r>
        <w:rPr>
          <w:spacing w:val="-3"/>
          <w:sz w:val="18"/>
        </w:rPr>
        <w:t xml:space="preserve"> </w:t>
      </w:r>
      <w:r>
        <w:rPr>
          <w:sz w:val="18"/>
        </w:rPr>
        <w:t>energy</w:t>
      </w:r>
      <w:r>
        <w:rPr>
          <w:spacing w:val="-2"/>
          <w:sz w:val="18"/>
        </w:rPr>
        <w:t xml:space="preserve"> </w:t>
      </w:r>
      <w:r>
        <w:rPr>
          <w:sz w:val="18"/>
        </w:rPr>
        <w:t>consumption,</w:t>
      </w:r>
      <w:r>
        <w:rPr>
          <w:spacing w:val="-2"/>
          <w:sz w:val="18"/>
        </w:rPr>
        <w:t xml:space="preserve"> </w:t>
      </w:r>
      <w:r>
        <w:rPr>
          <w:sz w:val="18"/>
        </w:rPr>
        <w:t>resulting</w:t>
      </w:r>
      <w:r>
        <w:rPr>
          <w:spacing w:val="-4"/>
          <w:sz w:val="18"/>
        </w:rPr>
        <w:t xml:space="preserve"> </w:t>
      </w:r>
      <w:r>
        <w:rPr>
          <w:sz w:val="18"/>
        </w:rPr>
        <w:t>in</w:t>
      </w:r>
      <w:r>
        <w:rPr>
          <w:spacing w:val="-3"/>
          <w:sz w:val="18"/>
        </w:rPr>
        <w:t xml:space="preserve"> </w:t>
      </w:r>
      <w:r>
        <w:rPr>
          <w:sz w:val="18"/>
        </w:rPr>
        <w:t>negative</w:t>
      </w:r>
      <w:r>
        <w:rPr>
          <w:spacing w:val="-4"/>
          <w:sz w:val="18"/>
        </w:rPr>
        <w:t xml:space="preserve"> </w:t>
      </w:r>
      <w:r>
        <w:rPr>
          <w:sz w:val="18"/>
        </w:rPr>
        <w:t>savings</w:t>
      </w:r>
      <w:r>
        <w:rPr>
          <w:spacing w:val="-2"/>
          <w:sz w:val="18"/>
        </w:rPr>
        <w:t xml:space="preserve"> </w:t>
      </w:r>
      <w:r>
        <w:rPr>
          <w:sz w:val="18"/>
        </w:rPr>
        <w:t>and</w:t>
      </w:r>
      <w:r>
        <w:rPr>
          <w:spacing w:val="-3"/>
          <w:sz w:val="18"/>
        </w:rPr>
        <w:t xml:space="preserve"> </w:t>
      </w:r>
      <w:r>
        <w:rPr>
          <w:sz w:val="18"/>
        </w:rPr>
        <w:t>peak</w:t>
      </w:r>
      <w:r>
        <w:rPr>
          <w:spacing w:val="-3"/>
          <w:sz w:val="18"/>
        </w:rPr>
        <w:t xml:space="preserve"> </w:t>
      </w:r>
      <w:r>
        <w:rPr>
          <w:sz w:val="18"/>
        </w:rPr>
        <w:t>demand</w:t>
      </w:r>
      <w:r>
        <w:rPr>
          <w:spacing w:val="-2"/>
          <w:sz w:val="18"/>
        </w:rPr>
        <w:t xml:space="preserve"> impacts</w:t>
      </w:r>
    </w:p>
    <w:p w:rsidR="00C31389" w:rsidRDefault="00561FBD" w14:paraId="4278C3F3" w14:textId="77777777">
      <w:pPr>
        <w:spacing w:before="59"/>
        <w:ind w:left="479" w:right="485"/>
        <w:rPr>
          <w:sz w:val="18"/>
        </w:rPr>
      </w:pPr>
      <w:r>
        <w:rPr>
          <w:sz w:val="18"/>
        </w:rPr>
        <w:t>**Converted Electric Energy represents the net reduction in energy consumption resulting from FS, calculated by converting</w:t>
      </w:r>
      <w:r>
        <w:rPr>
          <w:spacing w:val="-4"/>
          <w:sz w:val="18"/>
        </w:rPr>
        <w:t xml:space="preserve"> </w:t>
      </w:r>
      <w:r>
        <w:rPr>
          <w:sz w:val="18"/>
        </w:rPr>
        <w:t>gas</w:t>
      </w:r>
      <w:r>
        <w:rPr>
          <w:spacing w:val="-3"/>
          <w:sz w:val="18"/>
        </w:rPr>
        <w:t xml:space="preserve"> </w:t>
      </w:r>
      <w:r>
        <w:rPr>
          <w:sz w:val="18"/>
        </w:rPr>
        <w:t>energy</w:t>
      </w:r>
      <w:r>
        <w:rPr>
          <w:spacing w:val="-3"/>
          <w:sz w:val="18"/>
        </w:rPr>
        <w:t xml:space="preserve"> </w:t>
      </w:r>
      <w:r>
        <w:rPr>
          <w:sz w:val="18"/>
        </w:rPr>
        <w:t>units</w:t>
      </w:r>
      <w:r>
        <w:rPr>
          <w:spacing w:val="-3"/>
          <w:sz w:val="18"/>
        </w:rPr>
        <w:t xml:space="preserve"> </w:t>
      </w:r>
      <w:r>
        <w:rPr>
          <w:sz w:val="18"/>
        </w:rPr>
        <w:t>to</w:t>
      </w:r>
      <w:r>
        <w:rPr>
          <w:spacing w:val="-2"/>
          <w:sz w:val="18"/>
        </w:rPr>
        <w:t xml:space="preserve"> </w:t>
      </w:r>
      <w:r>
        <w:rPr>
          <w:sz w:val="18"/>
        </w:rPr>
        <w:t>equ</w:t>
      </w:r>
      <w:r>
        <w:rPr>
          <w:sz w:val="18"/>
        </w:rPr>
        <w:t>ivalent</w:t>
      </w:r>
      <w:r>
        <w:rPr>
          <w:spacing w:val="-3"/>
          <w:sz w:val="18"/>
        </w:rPr>
        <w:t xml:space="preserve"> </w:t>
      </w:r>
      <w:r>
        <w:rPr>
          <w:sz w:val="18"/>
        </w:rPr>
        <w:t>electric</w:t>
      </w:r>
      <w:r>
        <w:rPr>
          <w:spacing w:val="-2"/>
          <w:sz w:val="18"/>
        </w:rPr>
        <w:t xml:space="preserve"> </w:t>
      </w:r>
      <w:r>
        <w:rPr>
          <w:sz w:val="18"/>
        </w:rPr>
        <w:t>energy</w:t>
      </w:r>
      <w:r>
        <w:rPr>
          <w:spacing w:val="-3"/>
          <w:sz w:val="18"/>
        </w:rPr>
        <w:t xml:space="preserve"> </w:t>
      </w:r>
      <w:r>
        <w:rPr>
          <w:sz w:val="18"/>
        </w:rPr>
        <w:t>units.</w:t>
      </w:r>
      <w:r>
        <w:rPr>
          <w:spacing w:val="-3"/>
          <w:sz w:val="18"/>
        </w:rPr>
        <w:t xml:space="preserve"> </w:t>
      </w:r>
      <w:r>
        <w:rPr>
          <w:sz w:val="18"/>
        </w:rPr>
        <w:t>These</w:t>
      </w:r>
      <w:r>
        <w:rPr>
          <w:spacing w:val="-4"/>
          <w:sz w:val="18"/>
        </w:rPr>
        <w:t xml:space="preserve"> </w:t>
      </w:r>
      <w:r>
        <w:rPr>
          <w:sz w:val="18"/>
        </w:rPr>
        <w:t>values</w:t>
      </w:r>
      <w:r>
        <w:rPr>
          <w:spacing w:val="-3"/>
          <w:sz w:val="18"/>
        </w:rPr>
        <w:t xml:space="preserve"> </w:t>
      </w:r>
      <w:r>
        <w:rPr>
          <w:sz w:val="18"/>
        </w:rPr>
        <w:t>are</w:t>
      </w:r>
      <w:r>
        <w:rPr>
          <w:spacing w:val="-4"/>
          <w:sz w:val="18"/>
        </w:rPr>
        <w:t xml:space="preserve"> </w:t>
      </w:r>
      <w:r>
        <w:rPr>
          <w:sz w:val="18"/>
        </w:rPr>
        <w:t>provided</w:t>
      </w:r>
      <w:r>
        <w:rPr>
          <w:spacing w:val="-2"/>
          <w:sz w:val="18"/>
        </w:rPr>
        <w:t xml:space="preserve"> </w:t>
      </w:r>
      <w:r>
        <w:rPr>
          <w:sz w:val="18"/>
        </w:rPr>
        <w:t>for</w:t>
      </w:r>
      <w:r>
        <w:rPr>
          <w:spacing w:val="-3"/>
          <w:sz w:val="18"/>
        </w:rPr>
        <w:t xml:space="preserve"> </w:t>
      </w:r>
      <w:r>
        <w:rPr>
          <w:sz w:val="18"/>
        </w:rPr>
        <w:t>historical</w:t>
      </w:r>
      <w:r>
        <w:rPr>
          <w:spacing w:val="-3"/>
          <w:sz w:val="18"/>
        </w:rPr>
        <w:t xml:space="preserve"> </w:t>
      </w:r>
      <w:r>
        <w:rPr>
          <w:sz w:val="18"/>
        </w:rPr>
        <w:t>comparison</w:t>
      </w:r>
      <w:r>
        <w:rPr>
          <w:spacing w:val="-3"/>
          <w:sz w:val="18"/>
        </w:rPr>
        <w:t xml:space="preserve"> </w:t>
      </w:r>
      <w:r>
        <w:rPr>
          <w:sz w:val="18"/>
        </w:rPr>
        <w:t>to</w:t>
      </w:r>
    </w:p>
    <w:p w:rsidR="00C31389" w:rsidRDefault="00C31389" w14:paraId="2E020C5B" w14:textId="77777777">
      <w:pPr>
        <w:rPr>
          <w:sz w:val="18"/>
        </w:rPr>
        <w:sectPr w:rsidR="00C31389">
          <w:headerReference w:type="default" r:id="rId32"/>
          <w:footerReference w:type="default" r:id="rId33"/>
          <w:pgSz w:w="12240" w:h="15840"/>
          <w:pgMar w:top="1380" w:right="960" w:bottom="1120" w:left="960" w:header="397" w:footer="936" w:gutter="0"/>
          <w:cols w:space="720"/>
        </w:sectPr>
      </w:pPr>
    </w:p>
    <w:p w:rsidR="00C31389" w:rsidRDefault="00C31389" w14:paraId="1FA0D90D" w14:textId="77777777">
      <w:pPr>
        <w:pStyle w:val="BodyText"/>
        <w:spacing w:before="8"/>
        <w:rPr>
          <w:sz w:val="13"/>
        </w:rPr>
      </w:pPr>
    </w:p>
    <w:p w:rsidR="00C31389" w:rsidRDefault="00561FBD" w14:paraId="78B380F7" w14:textId="77777777">
      <w:pPr>
        <w:spacing w:before="95"/>
        <w:ind w:left="480"/>
        <w:rPr>
          <w:sz w:val="18"/>
        </w:rPr>
      </w:pPr>
      <w:r>
        <w:rPr>
          <w:sz w:val="18"/>
        </w:rPr>
        <w:t>the</w:t>
      </w:r>
      <w:r>
        <w:rPr>
          <w:spacing w:val="-5"/>
          <w:sz w:val="18"/>
        </w:rPr>
        <w:t xml:space="preserve"> </w:t>
      </w:r>
      <w:r>
        <w:rPr>
          <w:sz w:val="18"/>
        </w:rPr>
        <w:t>2021</w:t>
      </w:r>
      <w:r>
        <w:rPr>
          <w:spacing w:val="-3"/>
          <w:sz w:val="18"/>
        </w:rPr>
        <w:t xml:space="preserve"> </w:t>
      </w:r>
      <w:r>
        <w:rPr>
          <w:sz w:val="18"/>
        </w:rPr>
        <w:t>PG</w:t>
      </w:r>
      <w:r>
        <w:rPr>
          <w:spacing w:val="-1"/>
          <w:sz w:val="18"/>
        </w:rPr>
        <w:t xml:space="preserve"> </w:t>
      </w:r>
      <w:r>
        <w:rPr>
          <w:sz w:val="18"/>
        </w:rPr>
        <w:t>Study</w:t>
      </w:r>
      <w:r>
        <w:rPr>
          <w:spacing w:val="-2"/>
          <w:sz w:val="18"/>
        </w:rPr>
        <w:t xml:space="preserve"> </w:t>
      </w:r>
      <w:r>
        <w:rPr>
          <w:sz w:val="18"/>
        </w:rPr>
        <w:t>and</w:t>
      </w:r>
      <w:r>
        <w:rPr>
          <w:spacing w:val="-1"/>
          <w:sz w:val="18"/>
        </w:rPr>
        <w:t xml:space="preserve"> </w:t>
      </w:r>
      <w:r>
        <w:rPr>
          <w:sz w:val="18"/>
        </w:rPr>
        <w:t>not</w:t>
      </w:r>
      <w:r>
        <w:rPr>
          <w:spacing w:val="-2"/>
          <w:sz w:val="18"/>
        </w:rPr>
        <w:t xml:space="preserve"> </w:t>
      </w:r>
      <w:r>
        <w:rPr>
          <w:sz w:val="18"/>
        </w:rPr>
        <w:t>used</w:t>
      </w:r>
      <w:r>
        <w:rPr>
          <w:spacing w:val="-2"/>
          <w:sz w:val="18"/>
        </w:rPr>
        <w:t xml:space="preserve"> </w:t>
      </w:r>
      <w:r>
        <w:rPr>
          <w:sz w:val="18"/>
        </w:rPr>
        <w:t>for</w:t>
      </w:r>
      <w:r>
        <w:rPr>
          <w:spacing w:val="-2"/>
          <w:sz w:val="18"/>
        </w:rPr>
        <w:t xml:space="preserve"> </w:t>
      </w:r>
      <w:r>
        <w:rPr>
          <w:sz w:val="18"/>
        </w:rPr>
        <w:t>goal</w:t>
      </w:r>
      <w:r>
        <w:rPr>
          <w:spacing w:val="-1"/>
          <w:sz w:val="18"/>
        </w:rPr>
        <w:t xml:space="preserve"> </w:t>
      </w:r>
      <w:r>
        <w:rPr>
          <w:spacing w:val="-2"/>
          <w:sz w:val="18"/>
        </w:rPr>
        <w:t>setting.</w:t>
      </w:r>
    </w:p>
    <w:p w:rsidR="00C31389" w:rsidRDefault="00561FBD" w14:paraId="19677B3E" w14:textId="77777777">
      <w:pPr>
        <w:spacing w:before="59"/>
        <w:ind w:left="480"/>
        <w:rPr>
          <w:i/>
          <w:sz w:val="18"/>
        </w:rPr>
      </w:pPr>
      <w:r>
        <w:rPr>
          <w:i/>
          <w:sz w:val="18"/>
        </w:rPr>
        <w:t>Source:</w:t>
      </w:r>
      <w:r>
        <w:rPr>
          <w:i/>
          <w:spacing w:val="-4"/>
          <w:sz w:val="18"/>
        </w:rPr>
        <w:t xml:space="preserve"> </w:t>
      </w:r>
      <w:r>
        <w:rPr>
          <w:i/>
          <w:spacing w:val="-2"/>
          <w:sz w:val="18"/>
        </w:rPr>
        <w:t>Guidehouse</w:t>
      </w:r>
    </w:p>
    <w:p w:rsidR="00C31389" w:rsidRDefault="00561FBD" w14:paraId="31EFC893" w14:textId="77777777">
      <w:pPr>
        <w:pStyle w:val="BodyText"/>
        <w:spacing w:before="121"/>
        <w:ind w:left="479" w:right="533"/>
      </w:pPr>
      <w:r>
        <w:t>Starting</w:t>
      </w:r>
      <w:r>
        <w:rPr>
          <w:spacing w:val="-3"/>
        </w:rPr>
        <w:t xml:space="preserve"> </w:t>
      </w:r>
      <w:r>
        <w:t>in</w:t>
      </w:r>
      <w:r>
        <w:rPr>
          <w:spacing w:val="-3"/>
        </w:rPr>
        <w:t xml:space="preserve"> </w:t>
      </w:r>
      <w:r>
        <w:t>the</w:t>
      </w:r>
      <w:r>
        <w:rPr>
          <w:spacing w:val="-3"/>
        </w:rPr>
        <w:t xml:space="preserve"> </w:t>
      </w:r>
      <w:r>
        <w:t>2023,</w:t>
      </w:r>
      <w:r>
        <w:rPr>
          <w:spacing w:val="-3"/>
        </w:rPr>
        <w:t xml:space="preserve"> </w:t>
      </w:r>
      <w:r>
        <w:t>CPUC</w:t>
      </w:r>
      <w:r>
        <w:rPr>
          <w:spacing w:val="-4"/>
        </w:rPr>
        <w:t xml:space="preserve"> </w:t>
      </w:r>
      <w:r>
        <w:t>will</w:t>
      </w:r>
      <w:r>
        <w:rPr>
          <w:spacing w:val="-3"/>
        </w:rPr>
        <w:t xml:space="preserve"> </w:t>
      </w:r>
      <w:r>
        <w:t>establish</w:t>
      </w:r>
      <w:r>
        <w:rPr>
          <w:spacing w:val="-3"/>
        </w:rPr>
        <w:t xml:space="preserve"> </w:t>
      </w:r>
      <w:r>
        <w:t>goals</w:t>
      </w:r>
      <w:r>
        <w:rPr>
          <w:spacing w:val="-3"/>
        </w:rPr>
        <w:t xml:space="preserve"> </w:t>
      </w:r>
      <w:r>
        <w:t>in</w:t>
      </w:r>
      <w:r>
        <w:rPr>
          <w:spacing w:val="-3"/>
        </w:rPr>
        <w:t xml:space="preserve"> </w:t>
      </w:r>
      <w:r>
        <w:t>TSB.</w:t>
      </w:r>
      <w:r>
        <w:rPr>
          <w:spacing w:val="-3"/>
        </w:rPr>
        <w:t xml:space="preserve"> </w:t>
      </w:r>
      <w:r>
        <w:t>The</w:t>
      </w:r>
      <w:r>
        <w:rPr>
          <w:spacing w:val="-3"/>
        </w:rPr>
        <w:t xml:space="preserve"> </w:t>
      </w:r>
      <w:r>
        <w:t>following</w:t>
      </w:r>
      <w:r>
        <w:rPr>
          <w:spacing w:val="-3"/>
        </w:rPr>
        <w:t xml:space="preserve"> </w:t>
      </w:r>
      <w:r>
        <w:t>are</w:t>
      </w:r>
      <w:r>
        <w:rPr>
          <w:spacing w:val="-3"/>
        </w:rPr>
        <w:t xml:space="preserve"> </w:t>
      </w:r>
      <w:r>
        <w:t>notable</w:t>
      </w:r>
      <w:r>
        <w:rPr>
          <w:spacing w:val="-3"/>
        </w:rPr>
        <w:t xml:space="preserve"> </w:t>
      </w:r>
      <w:r>
        <w:t>takeaways from the TSB results:</w:t>
      </w:r>
    </w:p>
    <w:p w:rsidR="00C31389" w:rsidRDefault="00561FBD" w14:paraId="56EE7B14" w14:textId="77777777">
      <w:pPr>
        <w:pStyle w:val="ListParagraph"/>
        <w:numPr>
          <w:ilvl w:val="0"/>
          <w:numId w:val="72"/>
        </w:numPr>
        <w:tabs>
          <w:tab w:val="left" w:pos="1200"/>
        </w:tabs>
        <w:spacing w:before="121"/>
        <w:ind w:right="1231"/>
        <w:rPr>
          <w:rFonts w:ascii="Symbol" w:hAnsi="Symbol"/>
        </w:rPr>
      </w:pPr>
      <w:r>
        <w:t>Overall</w:t>
      </w:r>
      <w:r>
        <w:rPr>
          <w:spacing w:val="-4"/>
        </w:rPr>
        <w:t xml:space="preserve"> </w:t>
      </w:r>
      <w:r>
        <w:t>achievable</w:t>
      </w:r>
      <w:r>
        <w:rPr>
          <w:spacing w:val="-4"/>
        </w:rPr>
        <w:t xml:space="preserve"> </w:t>
      </w:r>
      <w:r>
        <w:t>TSB</w:t>
      </w:r>
      <w:r>
        <w:rPr>
          <w:spacing w:val="-4"/>
        </w:rPr>
        <w:t xml:space="preserve"> </w:t>
      </w:r>
      <w:r>
        <w:t>increases</w:t>
      </w:r>
      <w:r>
        <w:rPr>
          <w:spacing w:val="-4"/>
        </w:rPr>
        <w:t xml:space="preserve"> </w:t>
      </w:r>
      <w:r>
        <w:t>relative</w:t>
      </w:r>
      <w:r>
        <w:rPr>
          <w:spacing w:val="-4"/>
        </w:rPr>
        <w:t xml:space="preserve"> </w:t>
      </w:r>
      <w:r>
        <w:t>to</w:t>
      </w:r>
      <w:r>
        <w:rPr>
          <w:spacing w:val="-4"/>
        </w:rPr>
        <w:t xml:space="preserve"> </w:t>
      </w:r>
      <w:r>
        <w:t>the</w:t>
      </w:r>
      <w:r>
        <w:rPr>
          <w:spacing w:val="-5"/>
        </w:rPr>
        <w:t xml:space="preserve"> </w:t>
      </w:r>
      <w:r>
        <w:t>2021</w:t>
      </w:r>
      <w:r>
        <w:rPr>
          <w:spacing w:val="-4"/>
        </w:rPr>
        <w:t xml:space="preserve"> </w:t>
      </w:r>
      <w:r>
        <w:t>Study</w:t>
      </w:r>
      <w:r>
        <w:rPr>
          <w:spacing w:val="-4"/>
        </w:rPr>
        <w:t xml:space="preserve"> </w:t>
      </w:r>
      <w:r>
        <w:t>ranging</w:t>
      </w:r>
      <w:r>
        <w:rPr>
          <w:spacing w:val="-4"/>
        </w:rPr>
        <w:t xml:space="preserve"> </w:t>
      </w:r>
      <w:r>
        <w:t>from</w:t>
      </w:r>
      <w:r>
        <w:rPr>
          <w:spacing w:val="-5"/>
        </w:rPr>
        <w:t xml:space="preserve"> </w:t>
      </w:r>
      <w:r>
        <w:t>61%</w:t>
      </w:r>
      <w:r>
        <w:rPr>
          <w:spacing w:val="-4"/>
        </w:rPr>
        <w:t xml:space="preserve"> </w:t>
      </w:r>
      <w:r>
        <w:t xml:space="preserve">in Scenario 1 to 229% in </w:t>
      </w:r>
      <w:r>
        <w:t>Scenario 3.</w:t>
      </w:r>
    </w:p>
    <w:p w:rsidR="00C31389" w:rsidRDefault="00561FBD" w14:paraId="15F499A4" w14:textId="77777777">
      <w:pPr>
        <w:pStyle w:val="ListParagraph"/>
        <w:numPr>
          <w:ilvl w:val="0"/>
          <w:numId w:val="72"/>
        </w:numPr>
        <w:tabs>
          <w:tab w:val="left" w:pos="1199"/>
        </w:tabs>
        <w:spacing w:before="118"/>
        <w:ind w:left="1199" w:right="707"/>
        <w:rPr>
          <w:rFonts w:ascii="Symbol" w:hAnsi="Symbol"/>
        </w:rPr>
      </w:pPr>
      <w:r>
        <w:t>As</w:t>
      </w:r>
      <w:r>
        <w:rPr>
          <w:spacing w:val="-3"/>
        </w:rPr>
        <w:t xml:space="preserve"> </w:t>
      </w:r>
      <w:r>
        <w:t>opposed</w:t>
      </w:r>
      <w:r>
        <w:rPr>
          <w:spacing w:val="-4"/>
        </w:rPr>
        <w:t xml:space="preserve"> </w:t>
      </w:r>
      <w:r>
        <w:t>to</w:t>
      </w:r>
      <w:r>
        <w:rPr>
          <w:spacing w:val="-3"/>
        </w:rPr>
        <w:t xml:space="preserve"> </w:t>
      </w:r>
      <w:r>
        <w:t>electric</w:t>
      </w:r>
      <w:r>
        <w:rPr>
          <w:spacing w:val="-4"/>
        </w:rPr>
        <w:t xml:space="preserve"> </w:t>
      </w:r>
      <w:r>
        <w:t>and</w:t>
      </w:r>
      <w:r>
        <w:rPr>
          <w:spacing w:val="-3"/>
        </w:rPr>
        <w:t xml:space="preserve"> </w:t>
      </w:r>
      <w:r>
        <w:t>gas</w:t>
      </w:r>
      <w:r>
        <w:rPr>
          <w:spacing w:val="-3"/>
        </w:rPr>
        <w:t xml:space="preserve"> </w:t>
      </w:r>
      <w:r>
        <w:t>savings,</w:t>
      </w:r>
      <w:r>
        <w:rPr>
          <w:spacing w:val="-3"/>
        </w:rPr>
        <w:t xml:space="preserve"> </w:t>
      </w:r>
      <w:r>
        <w:t>BROs</w:t>
      </w:r>
      <w:r>
        <w:rPr>
          <w:spacing w:val="-3"/>
        </w:rPr>
        <w:t xml:space="preserve"> </w:t>
      </w:r>
      <w:r>
        <w:t>amount</w:t>
      </w:r>
      <w:r>
        <w:rPr>
          <w:spacing w:val="-3"/>
        </w:rPr>
        <w:t xml:space="preserve"> </w:t>
      </w:r>
      <w:r>
        <w:t>to</w:t>
      </w:r>
      <w:r>
        <w:rPr>
          <w:spacing w:val="-3"/>
        </w:rPr>
        <w:t xml:space="preserve"> </w:t>
      </w:r>
      <w:r>
        <w:t>a</w:t>
      </w:r>
      <w:r>
        <w:rPr>
          <w:spacing w:val="-3"/>
        </w:rPr>
        <w:t xml:space="preserve"> </w:t>
      </w:r>
      <w:r>
        <w:t>much</w:t>
      </w:r>
      <w:r>
        <w:rPr>
          <w:spacing w:val="-3"/>
        </w:rPr>
        <w:t xml:space="preserve"> </w:t>
      </w:r>
      <w:r>
        <w:t>smaller</w:t>
      </w:r>
      <w:r>
        <w:rPr>
          <w:spacing w:val="-3"/>
        </w:rPr>
        <w:t xml:space="preserve"> </w:t>
      </w:r>
      <w:r>
        <w:t>proportion</w:t>
      </w:r>
      <w:r>
        <w:rPr>
          <w:spacing w:val="-3"/>
        </w:rPr>
        <w:t xml:space="preserve"> </w:t>
      </w:r>
      <w:r>
        <w:t xml:space="preserve">of TSB. This is due to short effective useful life (EUL) of BROs savings relative to EE equipment. TSB represents the benefits that accrue over the life of the </w:t>
      </w:r>
      <w:r>
        <w:t>intervention— because EE equipment tends to have a long useful life, it is the key driver for TSB.</w:t>
      </w:r>
    </w:p>
    <w:p w:rsidR="00C31389" w:rsidRDefault="00561FBD" w14:paraId="63B6E737" w14:textId="77777777">
      <w:pPr>
        <w:pStyle w:val="ListParagraph"/>
        <w:numPr>
          <w:ilvl w:val="0"/>
          <w:numId w:val="72"/>
        </w:numPr>
        <w:tabs>
          <w:tab w:val="left" w:pos="1200"/>
        </w:tabs>
        <w:spacing w:before="118"/>
        <w:ind w:right="511"/>
        <w:rPr>
          <w:rFonts w:ascii="Symbol" w:hAnsi="Symbol"/>
          <w:sz w:val="20"/>
        </w:rPr>
      </w:pPr>
      <w:r>
        <w:t>FS has a comparatively low overall impact on TSB in three of the four scenarios, representing 4%-5% of overall achievable TSB in Scenarios 1, 2, and 4, altho</w:t>
      </w:r>
      <w:r>
        <w:t>ugh the model indicates this has the potential to grow significantly in subsequent years. TSB reflects both gas and electric fuels, and positive gas benefits (and electric benefits, if applicable)</w:t>
      </w:r>
      <w:r>
        <w:rPr>
          <w:spacing w:val="-6"/>
        </w:rPr>
        <w:t xml:space="preserve"> </w:t>
      </w:r>
      <w:r>
        <w:t>are</w:t>
      </w:r>
      <w:r>
        <w:rPr>
          <w:spacing w:val="-4"/>
        </w:rPr>
        <w:t xml:space="preserve"> </w:t>
      </w:r>
      <w:r>
        <w:t>reduced</w:t>
      </w:r>
      <w:r>
        <w:rPr>
          <w:spacing w:val="-5"/>
        </w:rPr>
        <w:t xml:space="preserve"> </w:t>
      </w:r>
      <w:r>
        <w:t>by</w:t>
      </w:r>
      <w:r>
        <w:rPr>
          <w:spacing w:val="-4"/>
        </w:rPr>
        <w:t xml:space="preserve"> </w:t>
      </w:r>
      <w:r>
        <w:t>increased</w:t>
      </w:r>
      <w:r>
        <w:rPr>
          <w:spacing w:val="-4"/>
        </w:rPr>
        <w:t xml:space="preserve"> </w:t>
      </w:r>
      <w:r>
        <w:t>electric</w:t>
      </w:r>
      <w:r>
        <w:rPr>
          <w:spacing w:val="-5"/>
        </w:rPr>
        <w:t xml:space="preserve"> </w:t>
      </w:r>
      <w:r>
        <w:t>supply</w:t>
      </w:r>
      <w:r>
        <w:rPr>
          <w:spacing w:val="-4"/>
        </w:rPr>
        <w:t xml:space="preserve"> </w:t>
      </w:r>
      <w:r>
        <w:t>cost</w:t>
      </w:r>
      <w:r>
        <w:rPr>
          <w:spacing w:val="-4"/>
        </w:rPr>
        <w:t xml:space="preserve"> </w:t>
      </w:r>
      <w:r>
        <w:t>(which</w:t>
      </w:r>
      <w:r>
        <w:rPr>
          <w:spacing w:val="-4"/>
        </w:rPr>
        <w:t xml:space="preserve"> </w:t>
      </w:r>
      <w:r>
        <w:t>negati</w:t>
      </w:r>
      <w:r>
        <w:t>vely</w:t>
      </w:r>
      <w:r>
        <w:rPr>
          <w:spacing w:val="-4"/>
        </w:rPr>
        <w:t xml:space="preserve"> </w:t>
      </w:r>
      <w:r>
        <w:t>affects</w:t>
      </w:r>
      <w:r>
        <w:rPr>
          <w:spacing w:val="-2"/>
        </w:rPr>
        <w:t xml:space="preserve"> </w:t>
      </w:r>
      <w:r>
        <w:t>TSB).</w:t>
      </w:r>
    </w:p>
    <w:p w:rsidR="00C31389" w:rsidRDefault="00C31389" w14:paraId="7AD1237C" w14:textId="77777777">
      <w:pPr>
        <w:pStyle w:val="BodyText"/>
        <w:spacing w:before="10"/>
        <w:rPr>
          <w:sz w:val="20"/>
        </w:rPr>
      </w:pPr>
    </w:p>
    <w:p w:rsidR="00C31389" w:rsidRDefault="00561FBD" w14:paraId="444B4B93" w14:textId="77777777">
      <w:pPr>
        <w:pStyle w:val="BodyText"/>
        <w:ind w:left="480"/>
      </w:pPr>
      <w:r>
        <w:t>The</w:t>
      </w:r>
      <w:r>
        <w:rPr>
          <w:spacing w:val="-7"/>
        </w:rPr>
        <w:t xml:space="preserve"> </w:t>
      </w:r>
      <w:r>
        <w:t>following</w:t>
      </w:r>
      <w:r>
        <w:rPr>
          <w:spacing w:val="-7"/>
        </w:rPr>
        <w:t xml:space="preserve"> </w:t>
      </w:r>
      <w:r>
        <w:t>are</w:t>
      </w:r>
      <w:r>
        <w:rPr>
          <w:spacing w:val="-7"/>
        </w:rPr>
        <w:t xml:space="preserve"> </w:t>
      </w:r>
      <w:r>
        <w:t>notable</w:t>
      </w:r>
      <w:r>
        <w:rPr>
          <w:spacing w:val="-7"/>
        </w:rPr>
        <w:t xml:space="preserve"> </w:t>
      </w:r>
      <w:r>
        <w:t>takeaways</w:t>
      </w:r>
      <w:r>
        <w:rPr>
          <w:spacing w:val="-7"/>
        </w:rPr>
        <w:t xml:space="preserve"> </w:t>
      </w:r>
      <w:r>
        <w:t>from</w:t>
      </w:r>
      <w:r>
        <w:rPr>
          <w:spacing w:val="-8"/>
        </w:rPr>
        <w:t xml:space="preserve"> </w:t>
      </w:r>
      <w:r>
        <w:t>the</w:t>
      </w:r>
      <w:r>
        <w:rPr>
          <w:spacing w:val="-6"/>
        </w:rPr>
        <w:t xml:space="preserve"> </w:t>
      </w:r>
      <w:r>
        <w:t>energy</w:t>
      </w:r>
      <w:r>
        <w:rPr>
          <w:spacing w:val="-7"/>
        </w:rPr>
        <w:t xml:space="preserve"> </w:t>
      </w:r>
      <w:r>
        <w:t>savings</w:t>
      </w:r>
      <w:r>
        <w:rPr>
          <w:spacing w:val="-6"/>
        </w:rPr>
        <w:t xml:space="preserve"> </w:t>
      </w:r>
      <w:r>
        <w:rPr>
          <w:spacing w:val="-2"/>
        </w:rPr>
        <w:t>results:</w:t>
      </w:r>
    </w:p>
    <w:p w:rsidR="00C31389" w:rsidRDefault="00561FBD" w14:paraId="179F263D" w14:textId="77777777">
      <w:pPr>
        <w:pStyle w:val="ListParagraph"/>
        <w:numPr>
          <w:ilvl w:val="0"/>
          <w:numId w:val="72"/>
        </w:numPr>
        <w:tabs>
          <w:tab w:val="left" w:pos="1199"/>
        </w:tabs>
        <w:spacing w:before="119"/>
        <w:ind w:left="1199" w:right="558"/>
        <w:rPr>
          <w:rFonts w:ascii="Symbol" w:hAnsi="Symbol"/>
        </w:rPr>
      </w:pPr>
      <w:r>
        <w:t>Overall</w:t>
      </w:r>
      <w:r>
        <w:rPr>
          <w:spacing w:val="-3"/>
        </w:rPr>
        <w:t xml:space="preserve"> </w:t>
      </w:r>
      <w:r>
        <w:t>achievable</w:t>
      </w:r>
      <w:r>
        <w:rPr>
          <w:spacing w:val="-3"/>
        </w:rPr>
        <w:t xml:space="preserve"> </w:t>
      </w:r>
      <w:r>
        <w:t>GWh</w:t>
      </w:r>
      <w:r>
        <w:rPr>
          <w:spacing w:val="-3"/>
        </w:rPr>
        <w:t xml:space="preserve"> </w:t>
      </w:r>
      <w:r>
        <w:t>electric</w:t>
      </w:r>
      <w:r>
        <w:rPr>
          <w:spacing w:val="-4"/>
        </w:rPr>
        <w:t xml:space="preserve"> </w:t>
      </w:r>
      <w:r>
        <w:t>savings</w:t>
      </w:r>
      <w:r>
        <w:rPr>
          <w:spacing w:val="-3"/>
        </w:rPr>
        <w:t xml:space="preserve"> </w:t>
      </w:r>
      <w:r>
        <w:t>for</w:t>
      </w:r>
      <w:r>
        <w:rPr>
          <w:spacing w:val="-3"/>
        </w:rPr>
        <w:t xml:space="preserve"> </w:t>
      </w:r>
      <w:r>
        <w:t>all</w:t>
      </w:r>
      <w:r>
        <w:rPr>
          <w:spacing w:val="-3"/>
        </w:rPr>
        <w:t xml:space="preserve"> </w:t>
      </w:r>
      <w:r>
        <w:t>program</w:t>
      </w:r>
      <w:r>
        <w:rPr>
          <w:spacing w:val="-4"/>
        </w:rPr>
        <w:t xml:space="preserve"> </w:t>
      </w:r>
      <w:r>
        <w:t>types</w:t>
      </w:r>
      <w:r>
        <w:rPr>
          <w:spacing w:val="-3"/>
        </w:rPr>
        <w:t xml:space="preserve"> </w:t>
      </w:r>
      <w:r>
        <w:t>relative</w:t>
      </w:r>
      <w:r>
        <w:rPr>
          <w:spacing w:val="-3"/>
        </w:rPr>
        <w:t xml:space="preserve"> </w:t>
      </w:r>
      <w:r>
        <w:t>to</w:t>
      </w:r>
      <w:r>
        <w:rPr>
          <w:spacing w:val="-3"/>
        </w:rPr>
        <w:t xml:space="preserve"> </w:t>
      </w:r>
      <w:r>
        <w:t>the</w:t>
      </w:r>
      <w:r>
        <w:rPr>
          <w:spacing w:val="-3"/>
        </w:rPr>
        <w:t xml:space="preserve"> </w:t>
      </w:r>
      <w:r>
        <w:t>2021</w:t>
      </w:r>
      <w:r>
        <w:rPr>
          <w:spacing w:val="-3"/>
        </w:rPr>
        <w:t xml:space="preserve"> </w:t>
      </w:r>
      <w:r>
        <w:t xml:space="preserve">Study ranges from a 12% decrease in Scenario 3 to a 20% increase in </w:t>
      </w:r>
      <w:r>
        <w:t>Scenarios 2 and 4. When FS savings are converted to GWh equivalent, the range is a 37% decrease in Scenario 1 to an 88% increase in Scenario 3. The 2021 goals had large FS savings as opposed to most of the 2023 Study scenario results, which showed signific</w:t>
      </w:r>
      <w:r>
        <w:t>antly lower FS savings resulting in decreases in electric savings.</w:t>
      </w:r>
    </w:p>
    <w:p w:rsidR="00C31389" w:rsidRDefault="00561FBD" w14:paraId="4F8AB1D9" w14:textId="77777777">
      <w:pPr>
        <w:pStyle w:val="ListParagraph"/>
        <w:numPr>
          <w:ilvl w:val="0"/>
          <w:numId w:val="72"/>
        </w:numPr>
        <w:tabs>
          <w:tab w:val="left" w:pos="1200"/>
        </w:tabs>
        <w:spacing w:before="119"/>
        <w:ind w:right="521" w:hanging="361"/>
        <w:rPr>
          <w:rFonts w:ascii="Symbol" w:hAnsi="Symbol"/>
        </w:rPr>
      </w:pPr>
      <w:r>
        <w:t>Overall achievable gas savings for all program types relative to the 2021 Study range from</w:t>
      </w:r>
      <w:r>
        <w:rPr>
          <w:spacing w:val="-4"/>
        </w:rPr>
        <w:t xml:space="preserve"> </w:t>
      </w:r>
      <w:r>
        <w:t>a</w:t>
      </w:r>
      <w:r>
        <w:rPr>
          <w:spacing w:val="-3"/>
        </w:rPr>
        <w:t xml:space="preserve"> </w:t>
      </w:r>
      <w:r>
        <w:t>26%</w:t>
      </w:r>
      <w:r>
        <w:rPr>
          <w:spacing w:val="-3"/>
        </w:rPr>
        <w:t xml:space="preserve"> </w:t>
      </w:r>
      <w:r>
        <w:t>decrease</w:t>
      </w:r>
      <w:r>
        <w:rPr>
          <w:spacing w:val="-3"/>
        </w:rPr>
        <w:t xml:space="preserve"> </w:t>
      </w:r>
      <w:r>
        <w:t>in</w:t>
      </w:r>
      <w:r>
        <w:rPr>
          <w:spacing w:val="-4"/>
        </w:rPr>
        <w:t xml:space="preserve"> </w:t>
      </w:r>
      <w:r>
        <w:t>Scenario</w:t>
      </w:r>
      <w:r>
        <w:rPr>
          <w:spacing w:val="-3"/>
        </w:rPr>
        <w:t xml:space="preserve"> </w:t>
      </w:r>
      <w:r>
        <w:t>1</w:t>
      </w:r>
      <w:r>
        <w:rPr>
          <w:spacing w:val="-3"/>
        </w:rPr>
        <w:t xml:space="preserve"> </w:t>
      </w:r>
      <w:r>
        <w:t>to</w:t>
      </w:r>
      <w:r>
        <w:rPr>
          <w:spacing w:val="-3"/>
        </w:rPr>
        <w:t xml:space="preserve"> </w:t>
      </w:r>
      <w:r>
        <w:t>a</w:t>
      </w:r>
      <w:r>
        <w:rPr>
          <w:spacing w:val="-3"/>
        </w:rPr>
        <w:t xml:space="preserve"> </w:t>
      </w:r>
      <w:r>
        <w:t>70%</w:t>
      </w:r>
      <w:r>
        <w:rPr>
          <w:spacing w:val="-3"/>
        </w:rPr>
        <w:t xml:space="preserve"> </w:t>
      </w:r>
      <w:r>
        <w:t>increase</w:t>
      </w:r>
      <w:r>
        <w:rPr>
          <w:spacing w:val="-3"/>
        </w:rPr>
        <w:t xml:space="preserve"> </w:t>
      </w:r>
      <w:r>
        <w:t>in</w:t>
      </w:r>
      <w:r>
        <w:rPr>
          <w:spacing w:val="-3"/>
        </w:rPr>
        <w:t xml:space="preserve"> </w:t>
      </w:r>
      <w:r>
        <w:t>Scenario</w:t>
      </w:r>
      <w:r>
        <w:rPr>
          <w:spacing w:val="-3"/>
        </w:rPr>
        <w:t xml:space="preserve"> </w:t>
      </w:r>
      <w:r>
        <w:t>3.</w:t>
      </w:r>
      <w:r>
        <w:rPr>
          <w:spacing w:val="-3"/>
        </w:rPr>
        <w:t xml:space="preserve"> </w:t>
      </w:r>
      <w:r>
        <w:t>For</w:t>
      </w:r>
      <w:r>
        <w:rPr>
          <w:spacing w:val="-4"/>
        </w:rPr>
        <w:t xml:space="preserve"> </w:t>
      </w:r>
      <w:r>
        <w:t>reasons</w:t>
      </w:r>
      <w:r>
        <w:rPr>
          <w:spacing w:val="-3"/>
        </w:rPr>
        <w:t xml:space="preserve"> </w:t>
      </w:r>
      <w:r>
        <w:t>similar to</w:t>
      </w:r>
      <w:r>
        <w:rPr>
          <w:spacing w:val="-2"/>
        </w:rPr>
        <w:t xml:space="preserve"> </w:t>
      </w:r>
      <w:r>
        <w:t>those</w:t>
      </w:r>
      <w:r>
        <w:rPr>
          <w:spacing w:val="-2"/>
        </w:rPr>
        <w:t xml:space="preserve"> </w:t>
      </w:r>
      <w:r>
        <w:t>described</w:t>
      </w:r>
      <w:r>
        <w:rPr>
          <w:spacing w:val="-2"/>
        </w:rPr>
        <w:t xml:space="preserve"> </w:t>
      </w:r>
      <w:r>
        <w:t>above,</w:t>
      </w:r>
      <w:r>
        <w:rPr>
          <w:spacing w:val="-2"/>
        </w:rPr>
        <w:t xml:space="preserve"> </w:t>
      </w:r>
      <w:r>
        <w:t>lower</w:t>
      </w:r>
      <w:r>
        <w:rPr>
          <w:spacing w:val="-2"/>
        </w:rPr>
        <w:t xml:space="preserve"> </w:t>
      </w:r>
      <w:r>
        <w:t>FS</w:t>
      </w:r>
      <w:r>
        <w:rPr>
          <w:spacing w:val="-3"/>
        </w:rPr>
        <w:t xml:space="preserve"> </w:t>
      </w:r>
      <w:r>
        <w:t>savings</w:t>
      </w:r>
      <w:r>
        <w:rPr>
          <w:spacing w:val="-3"/>
        </w:rPr>
        <w:t xml:space="preserve"> </w:t>
      </w:r>
      <w:r>
        <w:t>in</w:t>
      </w:r>
      <w:r>
        <w:rPr>
          <w:spacing w:val="-2"/>
        </w:rPr>
        <w:t xml:space="preserve"> </w:t>
      </w:r>
      <w:r>
        <w:t>the</w:t>
      </w:r>
      <w:r>
        <w:rPr>
          <w:spacing w:val="-2"/>
        </w:rPr>
        <w:t xml:space="preserve"> </w:t>
      </w:r>
      <w:r>
        <w:t>2023</w:t>
      </w:r>
      <w:r>
        <w:rPr>
          <w:spacing w:val="-2"/>
        </w:rPr>
        <w:t xml:space="preserve"> </w:t>
      </w:r>
      <w:r>
        <w:t>Study</w:t>
      </w:r>
      <w:r>
        <w:rPr>
          <w:spacing w:val="-1"/>
        </w:rPr>
        <w:t xml:space="preserve"> </w:t>
      </w:r>
      <w:r>
        <w:t>relative</w:t>
      </w:r>
      <w:r>
        <w:rPr>
          <w:spacing w:val="-3"/>
        </w:rPr>
        <w:t xml:space="preserve"> </w:t>
      </w:r>
      <w:r>
        <w:t>to</w:t>
      </w:r>
      <w:r>
        <w:rPr>
          <w:spacing w:val="-3"/>
        </w:rPr>
        <w:t xml:space="preserve"> </w:t>
      </w:r>
      <w:r>
        <w:t>the</w:t>
      </w:r>
      <w:r>
        <w:rPr>
          <w:spacing w:val="-2"/>
        </w:rPr>
        <w:t xml:space="preserve"> </w:t>
      </w:r>
      <w:r>
        <w:t>2021</w:t>
      </w:r>
      <w:r>
        <w:rPr>
          <w:spacing w:val="-2"/>
        </w:rPr>
        <w:t xml:space="preserve"> </w:t>
      </w:r>
      <w:r>
        <w:t>Study reflect decreases in gas savings.</w:t>
      </w:r>
    </w:p>
    <w:p w:rsidR="00C31389" w:rsidRDefault="00561FBD" w14:paraId="16D5BACF" w14:textId="77777777">
      <w:pPr>
        <w:pStyle w:val="ListParagraph"/>
        <w:numPr>
          <w:ilvl w:val="0"/>
          <w:numId w:val="72"/>
        </w:numPr>
        <w:tabs>
          <w:tab w:val="left" w:pos="1200"/>
        </w:tabs>
        <w:spacing w:before="118"/>
        <w:ind w:right="557"/>
        <w:rPr>
          <w:rFonts w:ascii="Symbol" w:hAnsi="Symbol"/>
        </w:rPr>
      </w:pPr>
      <w:r>
        <w:t>In all scenarios, electric savings from EE equipment increase from between 24% and 42%</w:t>
      </w:r>
      <w:r>
        <w:rPr>
          <w:spacing w:val="-3"/>
        </w:rPr>
        <w:t xml:space="preserve"> </w:t>
      </w:r>
      <w:r>
        <w:t>relative</w:t>
      </w:r>
      <w:r>
        <w:rPr>
          <w:spacing w:val="-4"/>
        </w:rPr>
        <w:t xml:space="preserve"> </w:t>
      </w:r>
      <w:r>
        <w:t>to</w:t>
      </w:r>
      <w:r>
        <w:rPr>
          <w:spacing w:val="-3"/>
        </w:rPr>
        <w:t xml:space="preserve"> </w:t>
      </w:r>
      <w:r>
        <w:t>the</w:t>
      </w:r>
      <w:r>
        <w:rPr>
          <w:spacing w:val="-3"/>
        </w:rPr>
        <w:t xml:space="preserve"> </w:t>
      </w:r>
      <w:r>
        <w:t>previous</w:t>
      </w:r>
      <w:r>
        <w:rPr>
          <w:spacing w:val="-3"/>
        </w:rPr>
        <w:t xml:space="preserve"> </w:t>
      </w:r>
      <w:r>
        <w:t>goals.</w:t>
      </w:r>
      <w:r>
        <w:rPr>
          <w:spacing w:val="-3"/>
        </w:rPr>
        <w:t xml:space="preserve"> </w:t>
      </w:r>
      <w:r>
        <w:t>Achievable</w:t>
      </w:r>
      <w:r>
        <w:rPr>
          <w:spacing w:val="-4"/>
        </w:rPr>
        <w:t xml:space="preserve"> </w:t>
      </w:r>
      <w:r>
        <w:t>gas</w:t>
      </w:r>
      <w:r>
        <w:rPr>
          <w:spacing w:val="-3"/>
        </w:rPr>
        <w:t xml:space="preserve"> </w:t>
      </w:r>
      <w:r>
        <w:t>savings</w:t>
      </w:r>
      <w:r>
        <w:rPr>
          <w:spacing w:val="-3"/>
        </w:rPr>
        <w:t xml:space="preserve"> </w:t>
      </w:r>
      <w:r>
        <w:t>f</w:t>
      </w:r>
      <w:r>
        <w:t>rom</w:t>
      </w:r>
      <w:r>
        <w:rPr>
          <w:spacing w:val="-4"/>
        </w:rPr>
        <w:t xml:space="preserve"> </w:t>
      </w:r>
      <w:r>
        <w:t>EE</w:t>
      </w:r>
      <w:r>
        <w:rPr>
          <w:spacing w:val="-3"/>
        </w:rPr>
        <w:t xml:space="preserve"> </w:t>
      </w:r>
      <w:r>
        <w:t>equipment</w:t>
      </w:r>
      <w:r>
        <w:rPr>
          <w:spacing w:val="-3"/>
        </w:rPr>
        <w:t xml:space="preserve"> </w:t>
      </w:r>
      <w:r>
        <w:t xml:space="preserve">increase from 55%-62%. Higher statewide potential for rebated EE measures is driven primarily by the residential and industrial sectors. The commercial sector savings decreased slightly in Scenario 1 but were higher in Scenarios 2-4. BROs </w:t>
      </w:r>
      <w:r>
        <w:t>savings forecasts are lower due to the additional home energy report (HER) bins included in the 2023 Study.</w:t>
      </w:r>
    </w:p>
    <w:p w:rsidR="00C31389" w:rsidRDefault="00C31389" w14:paraId="206C5D09" w14:textId="77777777">
      <w:pPr>
        <w:pStyle w:val="BodyText"/>
        <w:spacing w:before="8"/>
        <w:rPr>
          <w:sz w:val="20"/>
        </w:rPr>
      </w:pPr>
    </w:p>
    <w:p w:rsidR="00C31389" w:rsidRDefault="00561FBD" w14:paraId="7839E0D5" w14:textId="77777777">
      <w:pPr>
        <w:pStyle w:val="ListParagraph"/>
        <w:numPr>
          <w:ilvl w:val="0"/>
          <w:numId w:val="72"/>
        </w:numPr>
        <w:tabs>
          <w:tab w:val="left" w:pos="1200"/>
        </w:tabs>
        <w:ind w:right="496"/>
        <w:rPr>
          <w:rFonts w:ascii="Symbol" w:hAnsi="Symbol"/>
        </w:rPr>
      </w:pPr>
      <w:r>
        <w:t>The FS impact on electricity and gas consumption is significantly reduced versus the 2021</w:t>
      </w:r>
      <w:r>
        <w:rPr>
          <w:spacing w:val="-3"/>
        </w:rPr>
        <w:t xml:space="preserve"> </w:t>
      </w:r>
      <w:r>
        <w:t>Study</w:t>
      </w:r>
      <w:r>
        <w:rPr>
          <w:spacing w:val="-4"/>
        </w:rPr>
        <w:t xml:space="preserve"> </w:t>
      </w:r>
      <w:r>
        <w:t>for</w:t>
      </w:r>
      <w:r>
        <w:rPr>
          <w:spacing w:val="-3"/>
        </w:rPr>
        <w:t xml:space="preserve"> </w:t>
      </w:r>
      <w:r>
        <w:t>2023</w:t>
      </w:r>
      <w:r>
        <w:rPr>
          <w:spacing w:val="-3"/>
        </w:rPr>
        <w:t xml:space="preserve"> </w:t>
      </w:r>
      <w:r>
        <w:t>Scenarios</w:t>
      </w:r>
      <w:r>
        <w:rPr>
          <w:spacing w:val="-3"/>
        </w:rPr>
        <w:t xml:space="preserve"> </w:t>
      </w:r>
      <w:r>
        <w:t>1</w:t>
      </w:r>
      <w:r>
        <w:rPr>
          <w:spacing w:val="-3"/>
        </w:rPr>
        <w:t xml:space="preserve"> </w:t>
      </w:r>
      <w:r>
        <w:t>(90%</w:t>
      </w:r>
      <w:r>
        <w:rPr>
          <w:spacing w:val="-3"/>
        </w:rPr>
        <w:t xml:space="preserve"> </w:t>
      </w:r>
      <w:r>
        <w:t>lower</w:t>
      </w:r>
      <w:r>
        <w:rPr>
          <w:spacing w:val="-3"/>
        </w:rPr>
        <w:t xml:space="preserve"> </w:t>
      </w:r>
      <w:r>
        <w:t>GWh</w:t>
      </w:r>
      <w:r>
        <w:rPr>
          <w:spacing w:val="-3"/>
        </w:rPr>
        <w:t xml:space="preserve"> </w:t>
      </w:r>
      <w:r>
        <w:t>impact,</w:t>
      </w:r>
      <w:r>
        <w:rPr>
          <w:spacing w:val="-3"/>
        </w:rPr>
        <w:t xml:space="preserve"> </w:t>
      </w:r>
      <w:r>
        <w:t>87%</w:t>
      </w:r>
      <w:r>
        <w:rPr>
          <w:spacing w:val="-3"/>
        </w:rPr>
        <w:t xml:space="preserve"> </w:t>
      </w:r>
      <w:r>
        <w:t>lower</w:t>
      </w:r>
      <w:r>
        <w:rPr>
          <w:spacing w:val="-3"/>
        </w:rPr>
        <w:t xml:space="preserve"> </w:t>
      </w:r>
      <w:r>
        <w:t>MMtherm</w:t>
      </w:r>
      <w:r>
        <w:rPr>
          <w:spacing w:val="-4"/>
        </w:rPr>
        <w:t xml:space="preserve"> </w:t>
      </w:r>
      <w:r>
        <w:t>impact), 2,</w:t>
      </w:r>
      <w:r>
        <w:rPr>
          <w:spacing w:val="-2"/>
        </w:rPr>
        <w:t xml:space="preserve"> </w:t>
      </w:r>
      <w:r>
        <w:t>and</w:t>
      </w:r>
      <w:r>
        <w:rPr>
          <w:spacing w:val="-2"/>
        </w:rPr>
        <w:t xml:space="preserve"> </w:t>
      </w:r>
      <w:r>
        <w:t>4</w:t>
      </w:r>
      <w:r>
        <w:rPr>
          <w:spacing w:val="-2"/>
        </w:rPr>
        <w:t xml:space="preserve"> </w:t>
      </w:r>
      <w:r>
        <w:t>(both</w:t>
      </w:r>
      <w:r>
        <w:rPr>
          <w:spacing w:val="-2"/>
        </w:rPr>
        <w:t xml:space="preserve"> </w:t>
      </w:r>
      <w:r>
        <w:t>86%</w:t>
      </w:r>
      <w:r>
        <w:rPr>
          <w:spacing w:val="-2"/>
        </w:rPr>
        <w:t xml:space="preserve"> </w:t>
      </w:r>
      <w:r>
        <w:t>lower</w:t>
      </w:r>
      <w:r>
        <w:rPr>
          <w:spacing w:val="-2"/>
        </w:rPr>
        <w:t xml:space="preserve"> </w:t>
      </w:r>
      <w:r>
        <w:t>GWh</w:t>
      </w:r>
      <w:r>
        <w:rPr>
          <w:spacing w:val="-2"/>
        </w:rPr>
        <w:t xml:space="preserve"> </w:t>
      </w:r>
      <w:r>
        <w:t>impact,</w:t>
      </w:r>
      <w:r>
        <w:rPr>
          <w:spacing w:val="-2"/>
        </w:rPr>
        <w:t xml:space="preserve"> </w:t>
      </w:r>
      <w:r>
        <w:t>82%</w:t>
      </w:r>
      <w:r>
        <w:rPr>
          <w:spacing w:val="-2"/>
        </w:rPr>
        <w:t xml:space="preserve"> </w:t>
      </w:r>
      <w:r>
        <w:t>lower</w:t>
      </w:r>
      <w:r>
        <w:rPr>
          <w:spacing w:val="-2"/>
        </w:rPr>
        <w:t xml:space="preserve"> </w:t>
      </w:r>
      <w:r>
        <w:t>MMtherm</w:t>
      </w:r>
      <w:r>
        <w:rPr>
          <w:spacing w:val="-1"/>
        </w:rPr>
        <w:t xml:space="preserve"> </w:t>
      </w:r>
      <w:r>
        <w:t>impact).</w:t>
      </w:r>
      <w:r>
        <w:rPr>
          <w:spacing w:val="-2"/>
        </w:rPr>
        <w:t xml:space="preserve"> </w:t>
      </w:r>
      <w:r>
        <w:t>In</w:t>
      </w:r>
      <w:r>
        <w:rPr>
          <w:spacing w:val="-2"/>
        </w:rPr>
        <w:t xml:space="preserve"> </w:t>
      </w:r>
      <w:r>
        <w:t>contrast</w:t>
      </w:r>
      <w:r>
        <w:rPr>
          <w:spacing w:val="-2"/>
        </w:rPr>
        <w:t xml:space="preserve"> </w:t>
      </w:r>
      <w:r>
        <w:t>with</w:t>
      </w:r>
      <w:r>
        <w:rPr>
          <w:spacing w:val="-2"/>
        </w:rPr>
        <w:t xml:space="preserve"> </w:t>
      </w:r>
      <w:r>
        <w:t>the 2021 Study where EE-specific adoption parameters were applied to all cost-effective FS measures due to a lack of data for IOU FS programs, in the 20</w:t>
      </w:r>
      <w:r>
        <w:t xml:space="preserve">23 Study Guidehouse calibrated the modeled potential outputs using a combination of FS-specific historic program data and 2022 budget data (information that was not available in the 2021 </w:t>
      </w:r>
      <w:r>
        <w:rPr>
          <w:spacing w:val="-2"/>
        </w:rPr>
        <w:t>Study).</w:t>
      </w:r>
    </w:p>
    <w:p w:rsidR="00C31389" w:rsidRDefault="00C31389" w14:paraId="5F733EEB" w14:textId="77777777">
      <w:pPr>
        <w:pStyle w:val="BodyText"/>
        <w:spacing w:before="9"/>
        <w:rPr>
          <w:sz w:val="20"/>
        </w:rPr>
      </w:pPr>
    </w:p>
    <w:p w:rsidR="00C31389" w:rsidRDefault="00561FBD" w14:paraId="63419ACE" w14:textId="77777777">
      <w:pPr>
        <w:pStyle w:val="ListParagraph"/>
        <w:numPr>
          <w:ilvl w:val="0"/>
          <w:numId w:val="72"/>
        </w:numPr>
        <w:tabs>
          <w:tab w:val="left" w:pos="1200"/>
        </w:tabs>
        <w:ind w:right="580"/>
        <w:rPr>
          <w:rFonts w:ascii="Symbol" w:hAnsi="Symbol"/>
        </w:rPr>
      </w:pPr>
      <w:r>
        <w:t xml:space="preserve">Assumptions included in Scenarios 2, 3, and 4 indicate that </w:t>
      </w:r>
      <w:r>
        <w:t>the IRA will have a measurable</w:t>
      </w:r>
      <w:r>
        <w:rPr>
          <w:spacing w:val="-3"/>
        </w:rPr>
        <w:t xml:space="preserve"> </w:t>
      </w:r>
      <w:r>
        <w:t>impact</w:t>
      </w:r>
      <w:r>
        <w:rPr>
          <w:spacing w:val="-3"/>
        </w:rPr>
        <w:t xml:space="preserve"> </w:t>
      </w:r>
      <w:r>
        <w:t>on</w:t>
      </w:r>
      <w:r>
        <w:rPr>
          <w:spacing w:val="-3"/>
        </w:rPr>
        <w:t xml:space="preserve"> </w:t>
      </w:r>
      <w:r>
        <w:t>both</w:t>
      </w:r>
      <w:r>
        <w:rPr>
          <w:spacing w:val="-3"/>
        </w:rPr>
        <w:t xml:space="preserve"> </w:t>
      </w:r>
      <w:r>
        <w:t>EE</w:t>
      </w:r>
      <w:r>
        <w:rPr>
          <w:spacing w:val="-3"/>
        </w:rPr>
        <w:t xml:space="preserve"> </w:t>
      </w:r>
      <w:r>
        <w:t>and</w:t>
      </w:r>
      <w:r>
        <w:rPr>
          <w:spacing w:val="-3"/>
        </w:rPr>
        <w:t xml:space="preserve"> </w:t>
      </w:r>
      <w:r>
        <w:t>FS</w:t>
      </w:r>
      <w:r>
        <w:rPr>
          <w:spacing w:val="-3"/>
        </w:rPr>
        <w:t xml:space="preserve"> </w:t>
      </w:r>
      <w:r>
        <w:t>adoption.</w:t>
      </w:r>
      <w:r>
        <w:rPr>
          <w:spacing w:val="-3"/>
        </w:rPr>
        <w:t xml:space="preserve"> </w:t>
      </w:r>
      <w:r>
        <w:t>Achievable</w:t>
      </w:r>
      <w:r>
        <w:rPr>
          <w:spacing w:val="-4"/>
        </w:rPr>
        <w:t xml:space="preserve"> </w:t>
      </w:r>
      <w:r>
        <w:t>potential</w:t>
      </w:r>
      <w:r>
        <w:rPr>
          <w:spacing w:val="-3"/>
        </w:rPr>
        <w:t xml:space="preserve"> </w:t>
      </w:r>
      <w:r>
        <w:t>for</w:t>
      </w:r>
      <w:r>
        <w:rPr>
          <w:spacing w:val="-4"/>
        </w:rPr>
        <w:t xml:space="preserve"> </w:t>
      </w:r>
      <w:r>
        <w:t>EE</w:t>
      </w:r>
      <w:r>
        <w:rPr>
          <w:spacing w:val="-3"/>
        </w:rPr>
        <w:t xml:space="preserve"> </w:t>
      </w:r>
      <w:r>
        <w:t>equipment</w:t>
      </w:r>
    </w:p>
    <w:p w:rsidR="00C31389" w:rsidRDefault="00C31389" w14:paraId="66DCBE14" w14:textId="77777777">
      <w:pPr>
        <w:rPr>
          <w:rFonts w:ascii="Symbol" w:hAnsi="Symbol"/>
        </w:rPr>
        <w:sectPr w:rsidR="00C31389">
          <w:headerReference w:type="default" r:id="rId34"/>
          <w:footerReference w:type="default" r:id="rId35"/>
          <w:pgSz w:w="12240" w:h="15840"/>
          <w:pgMar w:top="1660" w:right="960" w:bottom="1120" w:left="960" w:header="397" w:footer="936" w:gutter="0"/>
          <w:cols w:space="720"/>
        </w:sectPr>
      </w:pPr>
    </w:p>
    <w:p w:rsidR="00C31389" w:rsidRDefault="00C31389" w14:paraId="3D74FF06" w14:textId="77777777">
      <w:pPr>
        <w:pStyle w:val="BodyText"/>
        <w:spacing w:before="11"/>
        <w:rPr>
          <w:sz w:val="13"/>
        </w:rPr>
      </w:pPr>
    </w:p>
    <w:p w:rsidR="00C31389" w:rsidRDefault="00561FBD" w14:paraId="4C686963" w14:textId="77777777">
      <w:pPr>
        <w:pStyle w:val="BodyText"/>
        <w:spacing w:before="92"/>
        <w:ind w:left="1200" w:right="485"/>
      </w:pPr>
      <w:r>
        <w:t xml:space="preserve">increases by an </w:t>
      </w:r>
      <w:r>
        <w:t>average of 14% when accounting for the IRA, and FS potential on an electric energy basis increases by 35% in Scenarios 2 and 4. IRA tax credits have the primary impact of making more measures cost-effective, and the provision for additional eligible</w:t>
      </w:r>
      <w:r>
        <w:rPr>
          <w:spacing w:val="-3"/>
        </w:rPr>
        <w:t xml:space="preserve"> </w:t>
      </w:r>
      <w:r>
        <w:t>tax</w:t>
      </w:r>
      <w:r>
        <w:rPr>
          <w:spacing w:val="-3"/>
        </w:rPr>
        <w:t xml:space="preserve"> </w:t>
      </w:r>
      <w:r>
        <w:t>cr</w:t>
      </w:r>
      <w:r>
        <w:t>edits</w:t>
      </w:r>
      <w:r>
        <w:rPr>
          <w:spacing w:val="-3"/>
        </w:rPr>
        <w:t xml:space="preserve"> </w:t>
      </w:r>
      <w:r>
        <w:t>for</w:t>
      </w:r>
      <w:r>
        <w:rPr>
          <w:spacing w:val="-3"/>
        </w:rPr>
        <w:t xml:space="preserve"> </w:t>
      </w:r>
      <w:r>
        <w:t>residential</w:t>
      </w:r>
      <w:r>
        <w:rPr>
          <w:spacing w:val="-3"/>
        </w:rPr>
        <w:t xml:space="preserve"> </w:t>
      </w:r>
      <w:r>
        <w:t>heat</w:t>
      </w:r>
      <w:r>
        <w:rPr>
          <w:spacing w:val="-4"/>
        </w:rPr>
        <w:t xml:space="preserve"> </w:t>
      </w:r>
      <w:r>
        <w:t>pumps</w:t>
      </w:r>
      <w:r>
        <w:rPr>
          <w:spacing w:val="-3"/>
        </w:rPr>
        <w:t xml:space="preserve"> </w:t>
      </w:r>
      <w:r>
        <w:t>and</w:t>
      </w:r>
      <w:r>
        <w:rPr>
          <w:spacing w:val="-3"/>
        </w:rPr>
        <w:t xml:space="preserve"> </w:t>
      </w:r>
      <w:r>
        <w:t>heat</w:t>
      </w:r>
      <w:r>
        <w:rPr>
          <w:spacing w:val="-3"/>
        </w:rPr>
        <w:t xml:space="preserve"> </w:t>
      </w:r>
      <w:r>
        <w:t>pump</w:t>
      </w:r>
      <w:r>
        <w:rPr>
          <w:spacing w:val="-3"/>
        </w:rPr>
        <w:t xml:space="preserve"> </w:t>
      </w:r>
      <w:r>
        <w:t>water</w:t>
      </w:r>
      <w:r>
        <w:rPr>
          <w:spacing w:val="-3"/>
        </w:rPr>
        <w:t xml:space="preserve"> </w:t>
      </w:r>
      <w:r>
        <w:t>heaters</w:t>
      </w:r>
      <w:r>
        <w:rPr>
          <w:spacing w:val="-3"/>
        </w:rPr>
        <w:t xml:space="preserve"> </w:t>
      </w:r>
      <w:r>
        <w:t>represent</w:t>
      </w:r>
      <w:r>
        <w:rPr>
          <w:spacing w:val="-3"/>
        </w:rPr>
        <w:t xml:space="preserve"> </w:t>
      </w:r>
      <w:r>
        <w:t>the primary driver of increased potential across sectors for FS between Scenario 1 and the remaining three IRA-inclusive scenarios.</w:t>
      </w:r>
    </w:p>
    <w:p w:rsidR="00C31389" w:rsidRDefault="00C31389" w14:paraId="5C9FDD7E" w14:textId="77777777">
      <w:pPr>
        <w:pStyle w:val="BodyText"/>
        <w:spacing w:before="10"/>
        <w:rPr>
          <w:sz w:val="20"/>
        </w:rPr>
      </w:pPr>
    </w:p>
    <w:p w:rsidR="00C31389" w:rsidRDefault="00561FBD" w14:paraId="7C012581" w14:textId="77777777">
      <w:pPr>
        <w:pStyle w:val="ListParagraph"/>
        <w:numPr>
          <w:ilvl w:val="0"/>
          <w:numId w:val="72"/>
        </w:numPr>
        <w:tabs>
          <w:tab w:val="left" w:pos="1199"/>
        </w:tabs>
        <w:ind w:left="1199" w:right="485"/>
        <w:rPr>
          <w:rFonts w:ascii="Symbol" w:hAnsi="Symbol"/>
        </w:rPr>
      </w:pPr>
      <w:r>
        <w:t xml:space="preserve">Scenario 3 applies EE-based adoption </w:t>
      </w:r>
      <w:r>
        <w:t>parameters to FS measures (as the 2021 Study did), resulting in a dramatically higher calculated achievable potential and relatively</w:t>
      </w:r>
      <w:r>
        <w:rPr>
          <w:spacing w:val="40"/>
        </w:rPr>
        <w:t xml:space="preserve"> </w:t>
      </w:r>
      <w:r>
        <w:t>lower</w:t>
      </w:r>
      <w:r>
        <w:rPr>
          <w:spacing w:val="-3"/>
        </w:rPr>
        <w:t xml:space="preserve"> </w:t>
      </w:r>
      <w:r>
        <w:t>EE</w:t>
      </w:r>
      <w:r>
        <w:rPr>
          <w:spacing w:val="-3"/>
        </w:rPr>
        <w:t xml:space="preserve"> </w:t>
      </w:r>
      <w:r>
        <w:t>potential</w:t>
      </w:r>
      <w:r>
        <w:rPr>
          <w:spacing w:val="-3"/>
        </w:rPr>
        <w:t xml:space="preserve"> </w:t>
      </w:r>
      <w:r>
        <w:t>versus</w:t>
      </w:r>
      <w:r>
        <w:rPr>
          <w:spacing w:val="-3"/>
        </w:rPr>
        <w:t xml:space="preserve"> </w:t>
      </w:r>
      <w:r>
        <w:t>Scenarios</w:t>
      </w:r>
      <w:r>
        <w:rPr>
          <w:spacing w:val="-4"/>
        </w:rPr>
        <w:t xml:space="preserve"> </w:t>
      </w:r>
      <w:r>
        <w:t>2</w:t>
      </w:r>
      <w:r>
        <w:rPr>
          <w:spacing w:val="-3"/>
        </w:rPr>
        <w:t xml:space="preserve"> </w:t>
      </w:r>
      <w:r>
        <w:t>and</w:t>
      </w:r>
      <w:r>
        <w:rPr>
          <w:spacing w:val="-3"/>
        </w:rPr>
        <w:t xml:space="preserve"> </w:t>
      </w:r>
      <w:r>
        <w:t>4,</w:t>
      </w:r>
      <w:r>
        <w:rPr>
          <w:spacing w:val="-3"/>
        </w:rPr>
        <w:t xml:space="preserve"> </w:t>
      </w:r>
      <w:r>
        <w:t>both</w:t>
      </w:r>
      <w:r>
        <w:rPr>
          <w:spacing w:val="-3"/>
        </w:rPr>
        <w:t xml:space="preserve"> </w:t>
      </w:r>
      <w:r>
        <w:t>of</w:t>
      </w:r>
      <w:r>
        <w:rPr>
          <w:spacing w:val="-3"/>
        </w:rPr>
        <w:t xml:space="preserve"> </w:t>
      </w:r>
      <w:r>
        <w:t>which</w:t>
      </w:r>
      <w:r>
        <w:rPr>
          <w:spacing w:val="-3"/>
        </w:rPr>
        <w:t xml:space="preserve"> </w:t>
      </w:r>
      <w:r>
        <w:t>also</w:t>
      </w:r>
      <w:r>
        <w:rPr>
          <w:spacing w:val="-3"/>
        </w:rPr>
        <w:t xml:space="preserve"> </w:t>
      </w:r>
      <w:r>
        <w:t>included</w:t>
      </w:r>
      <w:r>
        <w:rPr>
          <w:spacing w:val="-4"/>
        </w:rPr>
        <w:t xml:space="preserve"> </w:t>
      </w:r>
      <w:r>
        <w:t>IRA</w:t>
      </w:r>
      <w:r>
        <w:rPr>
          <w:spacing w:val="-3"/>
        </w:rPr>
        <w:t xml:space="preserve"> </w:t>
      </w:r>
      <w:r>
        <w:t>tax</w:t>
      </w:r>
      <w:r>
        <w:rPr>
          <w:spacing w:val="-3"/>
        </w:rPr>
        <w:t xml:space="preserve"> </w:t>
      </w:r>
      <w:r>
        <w:t>credits. This increase is due to a compara</w:t>
      </w:r>
      <w:r>
        <w:t xml:space="preserve">tively greater proportion of the population adopting FS measures over EE measures. Although this may indicate a potential future state of the California market where FS programs and measures are much more mature, the Guidehouse team believes it represents </w:t>
      </w:r>
      <w:r>
        <w:t>a much less realistic scenario for the immediate IOU goal setting period.</w:t>
      </w:r>
    </w:p>
    <w:p w:rsidR="00C31389" w:rsidRDefault="00561FBD" w14:paraId="5308B3EF" w14:textId="77777777">
      <w:pPr>
        <w:pStyle w:val="BodyText"/>
        <w:spacing w:before="119"/>
        <w:ind w:left="479" w:right="533"/>
      </w:pPr>
      <w:hyperlink w:history="1" w:anchor="_bookmark15">
        <w:r>
          <w:t>Figure</w:t>
        </w:r>
        <w:r>
          <w:rPr>
            <w:spacing w:val="-3"/>
          </w:rPr>
          <w:t xml:space="preserve"> </w:t>
        </w:r>
        <w:r>
          <w:t>ES-1</w:t>
        </w:r>
      </w:hyperlink>
      <w:r>
        <w:rPr>
          <w:spacing w:val="-3"/>
        </w:rPr>
        <w:t xml:space="preserve"> </w:t>
      </w:r>
      <w:r>
        <w:t>shows</w:t>
      </w:r>
      <w:r>
        <w:rPr>
          <w:spacing w:val="-3"/>
        </w:rPr>
        <w:t xml:space="preserve"> </w:t>
      </w:r>
      <w:r>
        <w:t>the</w:t>
      </w:r>
      <w:r>
        <w:rPr>
          <w:spacing w:val="-4"/>
        </w:rPr>
        <w:t xml:space="preserve"> </w:t>
      </w:r>
      <w:r>
        <w:t>11-year</w:t>
      </w:r>
      <w:r>
        <w:rPr>
          <w:spacing w:val="-3"/>
        </w:rPr>
        <w:t xml:space="preserve"> </w:t>
      </w:r>
      <w:r>
        <w:t>forecast</w:t>
      </w:r>
      <w:r>
        <w:rPr>
          <w:spacing w:val="-3"/>
        </w:rPr>
        <w:t xml:space="preserve"> </w:t>
      </w:r>
      <w:r>
        <w:t>for</w:t>
      </w:r>
      <w:r>
        <w:rPr>
          <w:spacing w:val="-3"/>
        </w:rPr>
        <w:t xml:space="preserve"> </w:t>
      </w:r>
      <w:r>
        <w:t>TSB,</w:t>
      </w:r>
      <w:r>
        <w:rPr>
          <w:spacing w:val="-3"/>
        </w:rPr>
        <w:t xml:space="preserve"> </w:t>
      </w:r>
      <w:r>
        <w:t>first-year</w:t>
      </w:r>
      <w:r>
        <w:rPr>
          <w:spacing w:val="-3"/>
        </w:rPr>
        <w:t xml:space="preserve"> </w:t>
      </w:r>
      <w:r>
        <w:t>net</w:t>
      </w:r>
      <w:r>
        <w:rPr>
          <w:spacing w:val="-3"/>
        </w:rPr>
        <w:t xml:space="preserve"> </w:t>
      </w:r>
      <w:r>
        <w:t>electric,</w:t>
      </w:r>
      <w:r>
        <w:rPr>
          <w:spacing w:val="-3"/>
        </w:rPr>
        <w:t xml:space="preserve"> </w:t>
      </w:r>
      <w:r>
        <w:t>peak</w:t>
      </w:r>
      <w:r>
        <w:rPr>
          <w:spacing w:val="-3"/>
        </w:rPr>
        <w:t xml:space="preserve"> </w:t>
      </w:r>
      <w:r>
        <w:t>demand,</w:t>
      </w:r>
      <w:r>
        <w:rPr>
          <w:spacing w:val="-3"/>
        </w:rPr>
        <w:t xml:space="preserve"> </w:t>
      </w:r>
      <w:r>
        <w:t>and</w:t>
      </w:r>
      <w:r>
        <w:rPr>
          <w:spacing w:val="-3"/>
        </w:rPr>
        <w:t xml:space="preserve"> </w:t>
      </w:r>
      <w:r>
        <w:t>gas achievable potential for</w:t>
      </w:r>
      <w:r>
        <w:t xml:space="preserve"> EE equipment, FS, and BROs combined.</w:t>
      </w:r>
    </w:p>
    <w:p w:rsidR="00C31389" w:rsidRDefault="00C31389" w14:paraId="0FEBAB39" w14:textId="77777777">
      <w:pPr>
        <w:sectPr w:rsidR="00C31389">
          <w:pgSz w:w="12240" w:h="15840"/>
          <w:pgMar w:top="1660" w:right="960" w:bottom="1120" w:left="960" w:header="397" w:footer="936" w:gutter="0"/>
          <w:cols w:space="720"/>
        </w:sectPr>
      </w:pPr>
    </w:p>
    <w:p w:rsidR="00C31389" w:rsidRDefault="00C31389" w14:paraId="5F14638D" w14:textId="77777777">
      <w:pPr>
        <w:pStyle w:val="BodyText"/>
        <w:spacing w:before="11"/>
        <w:rPr>
          <w:sz w:val="13"/>
        </w:rPr>
      </w:pPr>
    </w:p>
    <w:p w:rsidR="00C31389" w:rsidRDefault="00561FBD" w14:paraId="2C3BFAC1" w14:textId="77777777">
      <w:pPr>
        <w:pStyle w:val="Heading7"/>
        <w:spacing w:before="92"/>
        <w:ind w:left="916"/>
      </w:pPr>
      <w:bookmarkStart w:name="_bookmark15" w:id="18"/>
      <w:bookmarkEnd w:id="18"/>
      <w:r>
        <w:t>Figure</w:t>
      </w:r>
      <w:r>
        <w:rPr>
          <w:spacing w:val="-8"/>
        </w:rPr>
        <w:t xml:space="preserve"> </w:t>
      </w:r>
      <w:r>
        <w:t>ES-1.</w:t>
      </w:r>
      <w:r>
        <w:rPr>
          <w:spacing w:val="-8"/>
        </w:rPr>
        <w:t xml:space="preserve"> </w:t>
      </w:r>
      <w:r>
        <w:t>Net</w:t>
      </w:r>
      <w:r>
        <w:rPr>
          <w:spacing w:val="-7"/>
        </w:rPr>
        <w:t xml:space="preserve"> </w:t>
      </w:r>
      <w:r>
        <w:t>First-Year</w:t>
      </w:r>
      <w:r>
        <w:rPr>
          <w:spacing w:val="-8"/>
        </w:rPr>
        <w:t xml:space="preserve"> </w:t>
      </w:r>
      <w:r>
        <w:t>TSB</w:t>
      </w:r>
      <w:r>
        <w:rPr>
          <w:spacing w:val="-9"/>
        </w:rPr>
        <w:t xml:space="preserve"> </w:t>
      </w:r>
      <w:r>
        <w:t>and</w:t>
      </w:r>
      <w:r>
        <w:rPr>
          <w:spacing w:val="-7"/>
        </w:rPr>
        <w:t xml:space="preserve"> </w:t>
      </w:r>
      <w:r>
        <w:t>Incremental</w:t>
      </w:r>
      <w:r>
        <w:rPr>
          <w:spacing w:val="-8"/>
        </w:rPr>
        <w:t xml:space="preserve"> </w:t>
      </w:r>
      <w:r>
        <w:t>Savings</w:t>
      </w:r>
      <w:r>
        <w:rPr>
          <w:spacing w:val="-7"/>
        </w:rPr>
        <w:t xml:space="preserve"> </w:t>
      </w:r>
      <w:r>
        <w:t>by</w:t>
      </w:r>
      <w:r>
        <w:rPr>
          <w:spacing w:val="-8"/>
        </w:rPr>
        <w:t xml:space="preserve"> </w:t>
      </w:r>
      <w:r>
        <w:t>Scenario</w:t>
      </w:r>
      <w:r>
        <w:rPr>
          <w:spacing w:val="-7"/>
        </w:rPr>
        <w:t xml:space="preserve"> </w:t>
      </w:r>
      <w:r>
        <w:rPr>
          <w:spacing w:val="-2"/>
        </w:rPr>
        <w:t>(Statewide)</w:t>
      </w:r>
    </w:p>
    <w:p w:rsidR="00C31389" w:rsidRDefault="00561FBD" w14:paraId="140F927C" w14:textId="77777777">
      <w:pPr>
        <w:pStyle w:val="BodyText"/>
        <w:spacing w:before="11"/>
        <w:rPr>
          <w:b/>
          <w:sz w:val="9"/>
        </w:rPr>
      </w:pPr>
      <w:r>
        <w:rPr>
          <w:noProof/>
        </w:rPr>
        <w:drawing>
          <wp:anchor distT="0" distB="0" distL="0" distR="0" simplePos="0" relativeHeight="487593472" behindDoc="1" locked="0" layoutInCell="1" allowOverlap="1" wp14:editId="11872951" wp14:anchorId="570C64E2">
            <wp:simplePos x="0" y="0"/>
            <wp:positionH relativeFrom="page">
              <wp:posOffset>1026247</wp:posOffset>
            </wp:positionH>
            <wp:positionV relativeFrom="paragraph">
              <wp:posOffset>88058</wp:posOffset>
            </wp:positionV>
            <wp:extent cx="2915413" cy="218598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6" cstate="print"/>
                    <a:stretch>
                      <a:fillRect/>
                    </a:stretch>
                  </pic:blipFill>
                  <pic:spPr>
                    <a:xfrm>
                      <a:off x="0" y="0"/>
                      <a:ext cx="2915413" cy="2185987"/>
                    </a:xfrm>
                    <a:prstGeom prst="rect">
                      <a:avLst/>
                    </a:prstGeom>
                  </pic:spPr>
                </pic:pic>
              </a:graphicData>
            </a:graphic>
          </wp:anchor>
        </w:drawing>
      </w:r>
      <w:r>
        <w:rPr>
          <w:noProof/>
        </w:rPr>
        <w:drawing>
          <wp:anchor distT="0" distB="0" distL="0" distR="0" simplePos="0" relativeHeight="487593984" behindDoc="1" locked="0" layoutInCell="1" allowOverlap="1" wp14:editId="464EFF3D" wp14:anchorId="0948BB88">
            <wp:simplePos x="0" y="0"/>
            <wp:positionH relativeFrom="page">
              <wp:posOffset>4233136</wp:posOffset>
            </wp:positionH>
            <wp:positionV relativeFrom="paragraph">
              <wp:posOffset>265268</wp:posOffset>
            </wp:positionV>
            <wp:extent cx="2777957" cy="1857851"/>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7" cstate="print"/>
                    <a:stretch>
                      <a:fillRect/>
                    </a:stretch>
                  </pic:blipFill>
                  <pic:spPr>
                    <a:xfrm>
                      <a:off x="0" y="0"/>
                      <a:ext cx="2777957" cy="1857851"/>
                    </a:xfrm>
                    <a:prstGeom prst="rect">
                      <a:avLst/>
                    </a:prstGeom>
                  </pic:spPr>
                </pic:pic>
              </a:graphicData>
            </a:graphic>
          </wp:anchor>
        </w:drawing>
      </w:r>
    </w:p>
    <w:p w:rsidR="00C31389" w:rsidRDefault="00C31389" w14:paraId="347366C1" w14:textId="77777777">
      <w:pPr>
        <w:pStyle w:val="BodyText"/>
        <w:rPr>
          <w:b/>
          <w:sz w:val="20"/>
        </w:rPr>
      </w:pPr>
    </w:p>
    <w:p w:rsidR="00C31389" w:rsidRDefault="00561FBD" w14:paraId="4A39CD6F" w14:textId="77777777">
      <w:pPr>
        <w:pStyle w:val="BodyText"/>
        <w:spacing w:before="7"/>
        <w:rPr>
          <w:b/>
          <w:sz w:val="25"/>
        </w:rPr>
      </w:pPr>
      <w:r>
        <w:rPr>
          <w:noProof/>
        </w:rPr>
        <w:drawing>
          <wp:anchor distT="0" distB="0" distL="0" distR="0" simplePos="0" relativeHeight="487594496" behindDoc="1" locked="0" layoutInCell="1" allowOverlap="1" wp14:editId="7A4CCE18" wp14:anchorId="5FA28ECA">
            <wp:simplePos x="0" y="0"/>
            <wp:positionH relativeFrom="page">
              <wp:posOffset>1070584</wp:posOffset>
            </wp:positionH>
            <wp:positionV relativeFrom="paragraph">
              <wp:posOffset>202663</wp:posOffset>
            </wp:positionV>
            <wp:extent cx="2779799" cy="1862327"/>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8" cstate="print"/>
                    <a:stretch>
                      <a:fillRect/>
                    </a:stretch>
                  </pic:blipFill>
                  <pic:spPr>
                    <a:xfrm>
                      <a:off x="0" y="0"/>
                      <a:ext cx="2779799" cy="1862327"/>
                    </a:xfrm>
                    <a:prstGeom prst="rect">
                      <a:avLst/>
                    </a:prstGeom>
                  </pic:spPr>
                </pic:pic>
              </a:graphicData>
            </a:graphic>
          </wp:anchor>
        </w:drawing>
      </w:r>
      <w:r>
        <w:rPr>
          <w:noProof/>
        </w:rPr>
        <w:drawing>
          <wp:anchor distT="0" distB="0" distL="0" distR="0" simplePos="0" relativeHeight="487595008" behindDoc="1" locked="0" layoutInCell="1" allowOverlap="1" wp14:editId="53B23F7A" wp14:anchorId="6F8B7271">
            <wp:simplePos x="0" y="0"/>
            <wp:positionH relativeFrom="page">
              <wp:posOffset>4289100</wp:posOffset>
            </wp:positionH>
            <wp:positionV relativeFrom="paragraph">
              <wp:posOffset>259894</wp:posOffset>
            </wp:positionV>
            <wp:extent cx="2780196" cy="1862327"/>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9" cstate="print"/>
                    <a:stretch>
                      <a:fillRect/>
                    </a:stretch>
                  </pic:blipFill>
                  <pic:spPr>
                    <a:xfrm>
                      <a:off x="0" y="0"/>
                      <a:ext cx="2780196" cy="1862327"/>
                    </a:xfrm>
                    <a:prstGeom prst="rect">
                      <a:avLst/>
                    </a:prstGeom>
                  </pic:spPr>
                </pic:pic>
              </a:graphicData>
            </a:graphic>
          </wp:anchor>
        </w:drawing>
      </w:r>
    </w:p>
    <w:p w:rsidR="00C31389" w:rsidRDefault="00C31389" w14:paraId="268AF491" w14:textId="77777777">
      <w:pPr>
        <w:pStyle w:val="BodyText"/>
        <w:rPr>
          <w:b/>
          <w:sz w:val="20"/>
        </w:rPr>
      </w:pPr>
    </w:p>
    <w:p w:rsidR="00C31389" w:rsidRDefault="00561FBD" w14:paraId="3BD51EF7" w14:textId="77777777">
      <w:pPr>
        <w:pStyle w:val="BodyText"/>
        <w:spacing w:before="1"/>
        <w:rPr>
          <w:b/>
        </w:rPr>
      </w:pPr>
      <w:r>
        <w:rPr>
          <w:noProof/>
        </w:rPr>
        <w:drawing>
          <wp:anchor distT="0" distB="0" distL="0" distR="0" simplePos="0" relativeHeight="487595520" behindDoc="1" locked="0" layoutInCell="1" allowOverlap="1" wp14:editId="66A53364" wp14:anchorId="783A10D8">
            <wp:simplePos x="0" y="0"/>
            <wp:positionH relativeFrom="page">
              <wp:posOffset>1025993</wp:posOffset>
            </wp:positionH>
            <wp:positionV relativeFrom="paragraph">
              <wp:posOffset>176828</wp:posOffset>
            </wp:positionV>
            <wp:extent cx="6121323" cy="56959"/>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0" cstate="print"/>
                    <a:stretch>
                      <a:fillRect/>
                    </a:stretch>
                  </pic:blipFill>
                  <pic:spPr>
                    <a:xfrm>
                      <a:off x="0" y="0"/>
                      <a:ext cx="6121323" cy="56959"/>
                    </a:xfrm>
                    <a:prstGeom prst="rect">
                      <a:avLst/>
                    </a:prstGeom>
                  </pic:spPr>
                </pic:pic>
              </a:graphicData>
            </a:graphic>
          </wp:anchor>
        </w:drawing>
      </w:r>
    </w:p>
    <w:p w:rsidR="00C31389" w:rsidRDefault="00561FBD" w14:paraId="7A11BDB9" w14:textId="77777777">
      <w:pPr>
        <w:spacing w:before="196"/>
        <w:ind w:left="480" w:right="533"/>
        <w:rPr>
          <w:sz w:val="18"/>
        </w:rPr>
      </w:pPr>
      <w:r>
        <w:rPr>
          <w:sz w:val="18"/>
        </w:rPr>
        <w:t>Note:</w:t>
      </w:r>
      <w:r>
        <w:rPr>
          <w:spacing w:val="-2"/>
          <w:sz w:val="18"/>
        </w:rPr>
        <w:t xml:space="preserve"> </w:t>
      </w:r>
      <w:r>
        <w:rPr>
          <w:sz w:val="18"/>
        </w:rPr>
        <w:t>Electric</w:t>
      </w:r>
      <w:r>
        <w:rPr>
          <w:spacing w:val="-2"/>
          <w:sz w:val="18"/>
        </w:rPr>
        <w:t xml:space="preserve"> </w:t>
      </w:r>
      <w:r>
        <w:rPr>
          <w:sz w:val="18"/>
        </w:rPr>
        <w:t>savings</w:t>
      </w:r>
      <w:r>
        <w:rPr>
          <w:spacing w:val="-2"/>
          <w:sz w:val="18"/>
        </w:rPr>
        <w:t xml:space="preserve"> </w:t>
      </w:r>
      <w:r>
        <w:rPr>
          <w:sz w:val="18"/>
        </w:rPr>
        <w:t>and</w:t>
      </w:r>
      <w:r>
        <w:rPr>
          <w:spacing w:val="-3"/>
          <w:sz w:val="18"/>
        </w:rPr>
        <w:t xml:space="preserve"> </w:t>
      </w:r>
      <w:r>
        <w:rPr>
          <w:sz w:val="18"/>
        </w:rPr>
        <w:t>TSB</w:t>
      </w:r>
      <w:r>
        <w:rPr>
          <w:spacing w:val="-2"/>
          <w:sz w:val="18"/>
        </w:rPr>
        <w:t xml:space="preserve"> </w:t>
      </w:r>
      <w:r>
        <w:rPr>
          <w:sz w:val="18"/>
        </w:rPr>
        <w:t>values</w:t>
      </w:r>
      <w:r>
        <w:rPr>
          <w:spacing w:val="-2"/>
          <w:sz w:val="18"/>
        </w:rPr>
        <w:t xml:space="preserve"> </w:t>
      </w:r>
      <w:r>
        <w:rPr>
          <w:sz w:val="18"/>
        </w:rPr>
        <w:t>include</w:t>
      </w:r>
      <w:r>
        <w:rPr>
          <w:spacing w:val="-3"/>
          <w:sz w:val="18"/>
        </w:rPr>
        <w:t xml:space="preserve"> </w:t>
      </w:r>
      <w:r>
        <w:rPr>
          <w:sz w:val="18"/>
        </w:rPr>
        <w:t>the</w:t>
      </w:r>
      <w:r>
        <w:rPr>
          <w:spacing w:val="-3"/>
          <w:sz w:val="18"/>
        </w:rPr>
        <w:t xml:space="preserve"> </w:t>
      </w:r>
      <w:r>
        <w:rPr>
          <w:sz w:val="18"/>
        </w:rPr>
        <w:t>impacts</w:t>
      </w:r>
      <w:r>
        <w:rPr>
          <w:spacing w:val="-2"/>
          <w:sz w:val="18"/>
        </w:rPr>
        <w:t xml:space="preserve"> </w:t>
      </w:r>
      <w:r>
        <w:rPr>
          <w:sz w:val="18"/>
        </w:rPr>
        <w:t>of</w:t>
      </w:r>
      <w:r>
        <w:rPr>
          <w:spacing w:val="-2"/>
          <w:sz w:val="18"/>
        </w:rPr>
        <w:t xml:space="preserve"> </w:t>
      </w:r>
      <w:r>
        <w:rPr>
          <w:sz w:val="18"/>
        </w:rPr>
        <w:t>FS</w:t>
      </w:r>
      <w:r>
        <w:rPr>
          <w:spacing w:val="-2"/>
          <w:sz w:val="18"/>
        </w:rPr>
        <w:t xml:space="preserve"> </w:t>
      </w:r>
      <w:r>
        <w:rPr>
          <w:sz w:val="18"/>
        </w:rPr>
        <w:t>where</w:t>
      </w:r>
      <w:r>
        <w:rPr>
          <w:spacing w:val="-3"/>
          <w:sz w:val="18"/>
        </w:rPr>
        <w:t xml:space="preserve"> </w:t>
      </w:r>
      <w:r>
        <w:rPr>
          <w:sz w:val="18"/>
        </w:rPr>
        <w:t>there</w:t>
      </w:r>
      <w:r>
        <w:rPr>
          <w:spacing w:val="-3"/>
          <w:sz w:val="18"/>
        </w:rPr>
        <w:t xml:space="preserve"> </w:t>
      </w:r>
      <w:r>
        <w:rPr>
          <w:sz w:val="18"/>
        </w:rPr>
        <w:t>is</w:t>
      </w:r>
      <w:r>
        <w:rPr>
          <w:spacing w:val="-2"/>
          <w:sz w:val="18"/>
        </w:rPr>
        <w:t xml:space="preserve"> </w:t>
      </w:r>
      <w:r>
        <w:rPr>
          <w:sz w:val="18"/>
        </w:rPr>
        <w:t>an</w:t>
      </w:r>
      <w:r>
        <w:rPr>
          <w:spacing w:val="-3"/>
          <w:sz w:val="18"/>
        </w:rPr>
        <w:t xml:space="preserve"> </w:t>
      </w:r>
      <w:r>
        <w:rPr>
          <w:sz w:val="18"/>
        </w:rPr>
        <w:t>increase</w:t>
      </w:r>
      <w:r>
        <w:rPr>
          <w:spacing w:val="-3"/>
          <w:sz w:val="18"/>
        </w:rPr>
        <w:t xml:space="preserve"> </w:t>
      </w:r>
      <w:r>
        <w:rPr>
          <w:sz w:val="18"/>
        </w:rPr>
        <w:t>in</w:t>
      </w:r>
      <w:r>
        <w:rPr>
          <w:spacing w:val="-3"/>
          <w:sz w:val="18"/>
        </w:rPr>
        <w:t xml:space="preserve"> </w:t>
      </w:r>
      <w:r>
        <w:rPr>
          <w:sz w:val="18"/>
        </w:rPr>
        <w:t>electric</w:t>
      </w:r>
      <w:r>
        <w:rPr>
          <w:spacing w:val="-2"/>
          <w:sz w:val="18"/>
        </w:rPr>
        <w:t xml:space="preserve"> </w:t>
      </w:r>
      <w:r>
        <w:rPr>
          <w:sz w:val="18"/>
        </w:rPr>
        <w:t>supply negatively impacting the savings and system benefit.</w:t>
      </w:r>
    </w:p>
    <w:p w:rsidR="00C31389" w:rsidRDefault="00561FBD" w14:paraId="15A853CD" w14:textId="77777777">
      <w:pPr>
        <w:spacing w:before="61"/>
        <w:ind w:left="480"/>
        <w:rPr>
          <w:i/>
          <w:sz w:val="18"/>
        </w:rPr>
      </w:pPr>
      <w:r>
        <w:rPr>
          <w:i/>
          <w:sz w:val="18"/>
        </w:rPr>
        <w:t>Source:</w:t>
      </w:r>
      <w:r>
        <w:rPr>
          <w:i/>
          <w:spacing w:val="-4"/>
          <w:sz w:val="18"/>
        </w:rPr>
        <w:t xml:space="preserve"> </w:t>
      </w:r>
      <w:r>
        <w:rPr>
          <w:i/>
          <w:spacing w:val="-2"/>
          <w:sz w:val="18"/>
        </w:rPr>
        <w:t>Guidehouse</w:t>
      </w:r>
    </w:p>
    <w:p w:rsidR="00C31389" w:rsidRDefault="00C31389" w14:paraId="75A3A108" w14:textId="77777777">
      <w:pPr>
        <w:pStyle w:val="BodyText"/>
        <w:spacing w:before="11"/>
        <w:rPr>
          <w:i/>
          <w:sz w:val="20"/>
        </w:rPr>
      </w:pPr>
    </w:p>
    <w:p w:rsidR="00C31389" w:rsidRDefault="00561FBD" w14:paraId="2165ADA3" w14:textId="77777777">
      <w:pPr>
        <w:pStyle w:val="Heading4"/>
        <w:ind w:left="480" w:firstLine="0"/>
      </w:pPr>
      <w:bookmarkStart w:name="_bookmark16" w:id="19"/>
      <w:bookmarkEnd w:id="19"/>
      <w:r>
        <w:t>C&amp;S</w:t>
      </w:r>
      <w:r>
        <w:rPr>
          <w:spacing w:val="-5"/>
        </w:rPr>
        <w:t xml:space="preserve"> </w:t>
      </w:r>
      <w:r>
        <w:rPr>
          <w:spacing w:val="-2"/>
        </w:rPr>
        <w:t>Savings</w:t>
      </w:r>
    </w:p>
    <w:p w:rsidR="00C31389" w:rsidRDefault="00C31389" w14:paraId="54C31843" w14:textId="77777777">
      <w:pPr>
        <w:pStyle w:val="BodyText"/>
        <w:spacing w:before="8"/>
        <w:rPr>
          <w:b/>
          <w:sz w:val="20"/>
        </w:rPr>
      </w:pPr>
    </w:p>
    <w:p w:rsidR="00C31389" w:rsidRDefault="00561FBD" w14:paraId="5B869835" w14:textId="77777777">
      <w:pPr>
        <w:pStyle w:val="BodyText"/>
        <w:ind w:left="480" w:right="485"/>
      </w:pPr>
      <w:r>
        <w:t>C&amp;S savings do not vary across each scenario and tend to be larger than the magnitude of savings</w:t>
      </w:r>
      <w:r>
        <w:rPr>
          <w:spacing w:val="-4"/>
        </w:rPr>
        <w:t xml:space="preserve"> </w:t>
      </w:r>
      <w:r>
        <w:t>from</w:t>
      </w:r>
      <w:r>
        <w:rPr>
          <w:spacing w:val="-4"/>
        </w:rPr>
        <w:t xml:space="preserve"> </w:t>
      </w:r>
      <w:r>
        <w:t>any</w:t>
      </w:r>
      <w:r>
        <w:rPr>
          <w:spacing w:val="-3"/>
        </w:rPr>
        <w:t xml:space="preserve"> </w:t>
      </w:r>
      <w:r>
        <w:t>other</w:t>
      </w:r>
      <w:r>
        <w:rPr>
          <w:spacing w:val="-3"/>
        </w:rPr>
        <w:t xml:space="preserve"> </w:t>
      </w:r>
      <w:r>
        <w:t>source.</w:t>
      </w:r>
      <w:r>
        <w:rPr>
          <w:spacing w:val="-3"/>
        </w:rPr>
        <w:t xml:space="preserve"> </w:t>
      </w:r>
      <w:r>
        <w:t>Thus,</w:t>
      </w:r>
      <w:r>
        <w:rPr>
          <w:spacing w:val="-3"/>
        </w:rPr>
        <w:t xml:space="preserve"> </w:t>
      </w:r>
      <w:r>
        <w:t>they</w:t>
      </w:r>
      <w:r>
        <w:rPr>
          <w:spacing w:val="-3"/>
        </w:rPr>
        <w:t xml:space="preserve"> </w:t>
      </w:r>
      <w:r>
        <w:t>are</w:t>
      </w:r>
      <w:r>
        <w:rPr>
          <w:spacing w:val="-3"/>
        </w:rPr>
        <w:t xml:space="preserve"> </w:t>
      </w:r>
      <w:r>
        <w:t>presented</w:t>
      </w:r>
      <w:r>
        <w:rPr>
          <w:spacing w:val="-3"/>
        </w:rPr>
        <w:t xml:space="preserve"> </w:t>
      </w:r>
      <w:r>
        <w:t>as</w:t>
      </w:r>
      <w:r>
        <w:rPr>
          <w:spacing w:val="-4"/>
        </w:rPr>
        <w:t xml:space="preserve"> </w:t>
      </w:r>
      <w:r>
        <w:t>a</w:t>
      </w:r>
      <w:r>
        <w:rPr>
          <w:spacing w:val="-3"/>
        </w:rPr>
        <w:t xml:space="preserve"> </w:t>
      </w:r>
      <w:r>
        <w:t>single</w:t>
      </w:r>
      <w:r>
        <w:rPr>
          <w:spacing w:val="-4"/>
        </w:rPr>
        <w:t xml:space="preserve"> </w:t>
      </w:r>
      <w:r>
        <w:t>set</w:t>
      </w:r>
      <w:r>
        <w:rPr>
          <w:spacing w:val="-4"/>
        </w:rPr>
        <w:t xml:space="preserve"> </w:t>
      </w:r>
      <w:r>
        <w:t>of</w:t>
      </w:r>
      <w:r>
        <w:rPr>
          <w:spacing w:val="-3"/>
        </w:rPr>
        <w:t xml:space="preserve"> </w:t>
      </w:r>
      <w:r>
        <w:t>results</w:t>
      </w:r>
      <w:r>
        <w:rPr>
          <w:spacing w:val="-4"/>
        </w:rPr>
        <w:t xml:space="preserve"> </w:t>
      </w:r>
      <w:r>
        <w:t>separate</w:t>
      </w:r>
      <w:r>
        <w:rPr>
          <w:spacing w:val="-3"/>
        </w:rPr>
        <w:t xml:space="preserve"> </w:t>
      </w:r>
      <w:r>
        <w:t xml:space="preserve">from EE equipment, FS equipment, and BROs savings. Incremental annual savings from C&amp;S that have been passed into law and C&amp;S that are reasonably expected to be passed into law are illustrated in </w:t>
      </w:r>
      <w:hyperlink w:history="1" w:anchor="_bookmark17">
        <w:r>
          <w:t>Figure ES-2</w:t>
        </w:r>
      </w:hyperlink>
      <w:r>
        <w:t>.</w:t>
      </w:r>
    </w:p>
    <w:p w:rsidR="00C31389" w:rsidRDefault="00C31389" w14:paraId="558A093C" w14:textId="77777777">
      <w:pPr>
        <w:pStyle w:val="BodyText"/>
        <w:spacing w:before="10"/>
        <w:rPr>
          <w:sz w:val="20"/>
        </w:rPr>
      </w:pPr>
    </w:p>
    <w:p w:rsidR="00C31389" w:rsidRDefault="00561FBD" w14:paraId="2B9136CA" w14:textId="77777777">
      <w:pPr>
        <w:pStyle w:val="BodyText"/>
        <w:ind w:left="480" w:right="495"/>
      </w:pPr>
      <w:r>
        <w:t>This study is informed by draft results from the latest CPUC impact evaluation of C&amp;S. As a result of using this updated information, electric savings from C&amp;S have increased slightly for</w:t>
      </w:r>
      <w:r>
        <w:rPr>
          <w:spacing w:val="40"/>
        </w:rPr>
        <w:t xml:space="preserve"> </w:t>
      </w:r>
      <w:r>
        <w:t xml:space="preserve">the early years and decreased </w:t>
      </w:r>
      <w:r>
        <w:t>slightly after 2029 relative to those estimated in the 2021 Study. Meanwhile,</w:t>
      </w:r>
      <w:r>
        <w:rPr>
          <w:spacing w:val="-3"/>
        </w:rPr>
        <w:t xml:space="preserve"> </w:t>
      </w:r>
      <w:r>
        <w:t>gas</w:t>
      </w:r>
      <w:r>
        <w:rPr>
          <w:spacing w:val="-3"/>
        </w:rPr>
        <w:t xml:space="preserve"> </w:t>
      </w:r>
      <w:r>
        <w:t>savings</w:t>
      </w:r>
      <w:r>
        <w:rPr>
          <w:spacing w:val="-4"/>
        </w:rPr>
        <w:t xml:space="preserve"> </w:t>
      </w:r>
      <w:r>
        <w:t>are</w:t>
      </w:r>
      <w:r>
        <w:rPr>
          <w:spacing w:val="-3"/>
        </w:rPr>
        <w:t xml:space="preserve"> </w:t>
      </w:r>
      <w:r>
        <w:t>largely</w:t>
      </w:r>
      <w:r>
        <w:rPr>
          <w:spacing w:val="-3"/>
        </w:rPr>
        <w:t xml:space="preserve"> </w:t>
      </w:r>
      <w:r>
        <w:t>the</w:t>
      </w:r>
      <w:r>
        <w:rPr>
          <w:spacing w:val="-3"/>
        </w:rPr>
        <w:t xml:space="preserve"> </w:t>
      </w:r>
      <w:r>
        <w:t>same</w:t>
      </w:r>
      <w:r>
        <w:rPr>
          <w:spacing w:val="-3"/>
        </w:rPr>
        <w:t xml:space="preserve"> </w:t>
      </w:r>
      <w:r>
        <w:t>for</w:t>
      </w:r>
      <w:r>
        <w:rPr>
          <w:spacing w:val="-3"/>
        </w:rPr>
        <w:t xml:space="preserve"> </w:t>
      </w:r>
      <w:r>
        <w:t>early</w:t>
      </w:r>
      <w:r>
        <w:rPr>
          <w:spacing w:val="-3"/>
        </w:rPr>
        <w:t xml:space="preserve"> </w:t>
      </w:r>
      <w:r>
        <w:t>years,</w:t>
      </w:r>
      <w:r>
        <w:rPr>
          <w:spacing w:val="-6"/>
        </w:rPr>
        <w:t xml:space="preserve"> </w:t>
      </w:r>
      <w:r>
        <w:t>though</w:t>
      </w:r>
      <w:r>
        <w:rPr>
          <w:spacing w:val="-3"/>
        </w:rPr>
        <w:t xml:space="preserve"> </w:t>
      </w:r>
      <w:r>
        <w:t>they</w:t>
      </w:r>
      <w:r>
        <w:rPr>
          <w:spacing w:val="-4"/>
        </w:rPr>
        <w:t xml:space="preserve"> </w:t>
      </w:r>
      <w:r>
        <w:t>exhibit</w:t>
      </w:r>
      <w:r>
        <w:rPr>
          <w:spacing w:val="-3"/>
        </w:rPr>
        <w:t xml:space="preserve"> </w:t>
      </w:r>
      <w:r>
        <w:t>a</w:t>
      </w:r>
      <w:r>
        <w:rPr>
          <w:spacing w:val="-4"/>
        </w:rPr>
        <w:t xml:space="preserve"> </w:t>
      </w:r>
      <w:r>
        <w:t>steep</w:t>
      </w:r>
      <w:r>
        <w:rPr>
          <w:spacing w:val="-3"/>
        </w:rPr>
        <w:t xml:space="preserve"> </w:t>
      </w:r>
      <w:r>
        <w:t xml:space="preserve">decline in 2026. Incremental savings attributed to C&amp;S decrease in the outer years of the study as </w:t>
      </w:r>
      <w:r>
        <w:t>the</w:t>
      </w:r>
    </w:p>
    <w:p w:rsidR="00C31389" w:rsidRDefault="00C31389" w14:paraId="7CEF9DC0" w14:textId="77777777">
      <w:pPr>
        <w:sectPr w:rsidR="00C31389">
          <w:pgSz w:w="12240" w:h="15840"/>
          <w:pgMar w:top="1660" w:right="960" w:bottom="1120" w:left="960" w:header="397" w:footer="936" w:gutter="0"/>
          <w:cols w:space="720"/>
        </w:sectPr>
      </w:pPr>
    </w:p>
    <w:p w:rsidR="00C31389" w:rsidRDefault="00C31389" w14:paraId="0F83BBB3" w14:textId="77777777">
      <w:pPr>
        <w:pStyle w:val="BodyText"/>
        <w:spacing w:before="11"/>
        <w:rPr>
          <w:sz w:val="13"/>
        </w:rPr>
      </w:pPr>
    </w:p>
    <w:p w:rsidR="00C31389" w:rsidRDefault="00561FBD" w14:paraId="4BC479B3" w14:textId="77777777">
      <w:pPr>
        <w:pStyle w:val="BodyText"/>
        <w:spacing w:before="92"/>
        <w:ind w:left="479" w:right="533"/>
      </w:pPr>
      <w:r>
        <w:t>model</w:t>
      </w:r>
      <w:r>
        <w:rPr>
          <w:spacing w:val="-3"/>
        </w:rPr>
        <w:t xml:space="preserve"> </w:t>
      </w:r>
      <w:r>
        <w:t>assumes</w:t>
      </w:r>
      <w:r>
        <w:rPr>
          <w:spacing w:val="-3"/>
        </w:rPr>
        <w:t xml:space="preserve"> </w:t>
      </w:r>
      <w:r>
        <w:t>the</w:t>
      </w:r>
      <w:r>
        <w:rPr>
          <w:spacing w:val="-3"/>
        </w:rPr>
        <w:t xml:space="preserve"> </w:t>
      </w:r>
      <w:r>
        <w:t>market</w:t>
      </w:r>
      <w:r>
        <w:rPr>
          <w:spacing w:val="-3"/>
        </w:rPr>
        <w:t xml:space="preserve"> </w:t>
      </w:r>
      <w:r>
        <w:t>impacted</w:t>
      </w:r>
      <w:r>
        <w:rPr>
          <w:spacing w:val="-3"/>
        </w:rPr>
        <w:t xml:space="preserve"> </w:t>
      </w:r>
      <w:r>
        <w:t>by</w:t>
      </w:r>
      <w:r>
        <w:rPr>
          <w:spacing w:val="-3"/>
        </w:rPr>
        <w:t xml:space="preserve"> </w:t>
      </w:r>
      <w:r>
        <w:t>a</w:t>
      </w:r>
      <w:r>
        <w:rPr>
          <w:spacing w:val="-3"/>
        </w:rPr>
        <w:t xml:space="preserve"> </w:t>
      </w:r>
      <w:r>
        <w:t>code</w:t>
      </w:r>
      <w:r>
        <w:rPr>
          <w:spacing w:val="-4"/>
        </w:rPr>
        <w:t xml:space="preserve"> </w:t>
      </w:r>
      <w:r>
        <w:t>or</w:t>
      </w:r>
      <w:r>
        <w:rPr>
          <w:spacing w:val="-3"/>
        </w:rPr>
        <w:t xml:space="preserve"> </w:t>
      </w:r>
      <w:r>
        <w:t>standard</w:t>
      </w:r>
      <w:r>
        <w:rPr>
          <w:spacing w:val="-4"/>
        </w:rPr>
        <w:t xml:space="preserve"> </w:t>
      </w:r>
      <w:r>
        <w:t>has</w:t>
      </w:r>
      <w:r>
        <w:rPr>
          <w:spacing w:val="-3"/>
        </w:rPr>
        <w:t xml:space="preserve"> </w:t>
      </w:r>
      <w:r>
        <w:t>typically</w:t>
      </w:r>
      <w:r>
        <w:rPr>
          <w:spacing w:val="-3"/>
        </w:rPr>
        <w:t xml:space="preserve"> </w:t>
      </w:r>
      <w:r>
        <w:t>turned</w:t>
      </w:r>
      <w:r>
        <w:rPr>
          <w:spacing w:val="-3"/>
        </w:rPr>
        <w:t xml:space="preserve"> </w:t>
      </w:r>
      <w:r>
        <w:t>over,</w:t>
      </w:r>
      <w:r>
        <w:rPr>
          <w:spacing w:val="-3"/>
        </w:rPr>
        <w:t xml:space="preserve"> </w:t>
      </w:r>
      <w:r>
        <w:t>i.e.,</w:t>
      </w:r>
      <w:r>
        <w:rPr>
          <w:spacing w:val="-3"/>
        </w:rPr>
        <w:t xml:space="preserve"> </w:t>
      </w:r>
      <w:r>
        <w:t>all</w:t>
      </w:r>
      <w:r>
        <w:rPr>
          <w:spacing w:val="-3"/>
        </w:rPr>
        <w:t xml:space="preserve"> </w:t>
      </w:r>
      <w:r>
        <w:t>of the relevant energy consuming equipment has reached the end of its useful life. Beyond this point, there are no longer energy impacts from in</w:t>
      </w:r>
      <w:r>
        <w:t>stallation of new equipment attributable to current codes. The steep decline in gas savings in 2026 also coincides with multiple high efficiency water fixture measures that have a complete stock turnover at the same time.</w:t>
      </w:r>
    </w:p>
    <w:p w:rsidR="00C31389" w:rsidRDefault="00C31389" w14:paraId="4B7DA04B" w14:textId="77777777">
      <w:pPr>
        <w:pStyle w:val="BodyText"/>
        <w:spacing w:before="10"/>
        <w:rPr>
          <w:sz w:val="20"/>
        </w:rPr>
      </w:pPr>
    </w:p>
    <w:p w:rsidR="00C31389" w:rsidRDefault="00561FBD" w14:paraId="2D7B360A" w14:textId="77777777">
      <w:pPr>
        <w:pStyle w:val="Heading7"/>
        <w:spacing w:before="1"/>
        <w:ind w:left="566" w:right="566"/>
        <w:jc w:val="center"/>
      </w:pPr>
      <w:bookmarkStart w:name="_bookmark17" w:id="20"/>
      <w:bookmarkEnd w:id="20"/>
      <w:r>
        <w:t>Figure</w:t>
      </w:r>
      <w:r>
        <w:rPr>
          <w:spacing w:val="-9"/>
        </w:rPr>
        <w:t xml:space="preserve"> </w:t>
      </w:r>
      <w:r>
        <w:t>ES-2.</w:t>
      </w:r>
      <w:r>
        <w:rPr>
          <w:spacing w:val="-9"/>
        </w:rPr>
        <w:t xml:space="preserve"> </w:t>
      </w:r>
      <w:r>
        <w:t>C&amp;S</w:t>
      </w:r>
      <w:r>
        <w:rPr>
          <w:spacing w:val="-8"/>
        </w:rPr>
        <w:t xml:space="preserve"> </w:t>
      </w:r>
      <w:r>
        <w:t>Savings</w:t>
      </w:r>
      <w:r>
        <w:rPr>
          <w:spacing w:val="-9"/>
        </w:rPr>
        <w:t xml:space="preserve"> </w:t>
      </w:r>
      <w:r>
        <w:t>(Includi</w:t>
      </w:r>
      <w:r>
        <w:t>ng</w:t>
      </w:r>
      <w:r>
        <w:rPr>
          <w:spacing w:val="-9"/>
        </w:rPr>
        <w:t xml:space="preserve"> </w:t>
      </w:r>
      <w:r>
        <w:t>Interactive</w:t>
      </w:r>
      <w:r>
        <w:rPr>
          <w:spacing w:val="-8"/>
        </w:rPr>
        <w:t xml:space="preserve"> </w:t>
      </w:r>
      <w:r>
        <w:rPr>
          <w:spacing w:val="-2"/>
        </w:rPr>
        <w:t>Effects)</w:t>
      </w:r>
    </w:p>
    <w:p w:rsidR="00C31389" w:rsidRDefault="00561FBD" w14:paraId="6AD4DA79" w14:textId="77777777">
      <w:pPr>
        <w:pStyle w:val="BodyText"/>
        <w:spacing w:before="3"/>
        <w:rPr>
          <w:b/>
          <w:sz w:val="8"/>
        </w:rPr>
      </w:pPr>
      <w:r>
        <w:rPr>
          <w:noProof/>
        </w:rPr>
        <w:drawing>
          <wp:anchor distT="0" distB="0" distL="0" distR="0" simplePos="0" relativeHeight="487596032" behindDoc="1" locked="0" layoutInCell="1" allowOverlap="1" wp14:editId="32A8FCC6" wp14:anchorId="6AB16628">
            <wp:simplePos x="0" y="0"/>
            <wp:positionH relativeFrom="page">
              <wp:posOffset>914400</wp:posOffset>
            </wp:positionH>
            <wp:positionV relativeFrom="paragraph">
              <wp:posOffset>76111</wp:posOffset>
            </wp:positionV>
            <wp:extent cx="6005007" cy="1660493"/>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1" cstate="print"/>
                    <a:stretch>
                      <a:fillRect/>
                    </a:stretch>
                  </pic:blipFill>
                  <pic:spPr>
                    <a:xfrm>
                      <a:off x="0" y="0"/>
                      <a:ext cx="6005007" cy="1660493"/>
                    </a:xfrm>
                    <a:prstGeom prst="rect">
                      <a:avLst/>
                    </a:prstGeom>
                  </pic:spPr>
                </pic:pic>
              </a:graphicData>
            </a:graphic>
          </wp:anchor>
        </w:drawing>
      </w:r>
    </w:p>
    <w:p w:rsidR="00C31389" w:rsidRDefault="00C31389" w14:paraId="02CE40AF" w14:textId="77777777">
      <w:pPr>
        <w:pStyle w:val="BodyText"/>
        <w:rPr>
          <w:b/>
          <w:sz w:val="20"/>
        </w:rPr>
      </w:pPr>
    </w:p>
    <w:p w:rsidR="00C31389" w:rsidRDefault="00561FBD" w14:paraId="3D941C44" w14:textId="77777777">
      <w:pPr>
        <w:pStyle w:val="BodyText"/>
        <w:spacing w:before="3"/>
        <w:rPr>
          <w:b/>
          <w:sz w:val="15"/>
        </w:rPr>
      </w:pPr>
      <w:r>
        <w:rPr>
          <w:noProof/>
        </w:rPr>
        <w:drawing>
          <wp:anchor distT="0" distB="0" distL="0" distR="0" simplePos="0" relativeHeight="487596544" behindDoc="1" locked="0" layoutInCell="1" allowOverlap="1" wp14:editId="56A43DC5" wp14:anchorId="17F61585">
            <wp:simplePos x="0" y="0"/>
            <wp:positionH relativeFrom="page">
              <wp:posOffset>2727356</wp:posOffset>
            </wp:positionH>
            <wp:positionV relativeFrom="paragraph">
              <wp:posOffset>126789</wp:posOffset>
            </wp:positionV>
            <wp:extent cx="2277470" cy="147475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2" cstate="print"/>
                    <a:stretch>
                      <a:fillRect/>
                    </a:stretch>
                  </pic:blipFill>
                  <pic:spPr>
                    <a:xfrm>
                      <a:off x="0" y="0"/>
                      <a:ext cx="2277470" cy="1474755"/>
                    </a:xfrm>
                    <a:prstGeom prst="rect">
                      <a:avLst/>
                    </a:prstGeom>
                  </pic:spPr>
                </pic:pic>
              </a:graphicData>
            </a:graphic>
          </wp:anchor>
        </w:drawing>
      </w:r>
    </w:p>
    <w:p w:rsidR="00C31389" w:rsidRDefault="00C31389" w14:paraId="760D3A5D" w14:textId="77777777">
      <w:pPr>
        <w:pStyle w:val="BodyText"/>
        <w:spacing w:before="5"/>
        <w:rPr>
          <w:b/>
          <w:sz w:val="25"/>
        </w:rPr>
      </w:pPr>
    </w:p>
    <w:p w:rsidR="00C31389" w:rsidRDefault="00561FBD" w14:paraId="7484F493"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2BA78FBC" w14:textId="77777777">
      <w:pPr>
        <w:pStyle w:val="BodyText"/>
        <w:spacing w:before="9"/>
        <w:rPr>
          <w:i/>
          <w:sz w:val="20"/>
        </w:rPr>
      </w:pPr>
    </w:p>
    <w:p w:rsidR="00C31389" w:rsidRDefault="00561FBD" w14:paraId="5641DB2A" w14:textId="77777777">
      <w:pPr>
        <w:pStyle w:val="Heading4"/>
        <w:ind w:left="480" w:firstLine="0"/>
      </w:pPr>
      <w:bookmarkStart w:name="_bookmark18" w:id="21"/>
      <w:bookmarkEnd w:id="21"/>
      <w:r>
        <w:t>Low</w:t>
      </w:r>
      <w:r>
        <w:rPr>
          <w:spacing w:val="-4"/>
        </w:rPr>
        <w:t xml:space="preserve"> </w:t>
      </w:r>
      <w:r>
        <w:t>Income</w:t>
      </w:r>
      <w:r>
        <w:rPr>
          <w:spacing w:val="-2"/>
        </w:rPr>
        <w:t xml:space="preserve"> Savings</w:t>
      </w:r>
    </w:p>
    <w:p w:rsidR="00C31389" w:rsidRDefault="00C31389" w14:paraId="3781B91E" w14:textId="77777777">
      <w:pPr>
        <w:pStyle w:val="BodyText"/>
        <w:spacing w:before="10"/>
        <w:rPr>
          <w:b/>
          <w:sz w:val="20"/>
        </w:rPr>
      </w:pPr>
    </w:p>
    <w:p w:rsidR="00C31389" w:rsidRDefault="00561FBD" w14:paraId="06A78C18" w14:textId="77777777">
      <w:pPr>
        <w:pStyle w:val="BodyText"/>
        <w:ind w:left="480" w:right="533" w:hanging="1"/>
      </w:pPr>
      <w:hyperlink w:history="1" w:anchor="_bookmark19">
        <w:r>
          <w:t>Figure</w:t>
        </w:r>
        <w:r>
          <w:rPr>
            <w:spacing w:val="-3"/>
          </w:rPr>
          <w:t xml:space="preserve"> </w:t>
        </w:r>
        <w:r>
          <w:t>ES-3</w:t>
        </w:r>
      </w:hyperlink>
      <w:r>
        <w:rPr>
          <w:spacing w:val="-3"/>
        </w:rPr>
        <w:t xml:space="preserve"> </w:t>
      </w:r>
      <w:r>
        <w:t>provides</w:t>
      </w:r>
      <w:r>
        <w:rPr>
          <w:spacing w:val="-3"/>
        </w:rPr>
        <w:t xml:space="preserve"> </w:t>
      </w:r>
      <w:r>
        <w:t>low</w:t>
      </w:r>
      <w:r>
        <w:rPr>
          <w:spacing w:val="-4"/>
        </w:rPr>
        <w:t xml:space="preserve"> </w:t>
      </w:r>
      <w:r>
        <w:t>income</w:t>
      </w:r>
      <w:r>
        <w:rPr>
          <w:spacing w:val="-3"/>
        </w:rPr>
        <w:t xml:space="preserve"> </w:t>
      </w:r>
      <w:r>
        <w:t>EE</w:t>
      </w:r>
      <w:r>
        <w:rPr>
          <w:spacing w:val="-3"/>
        </w:rPr>
        <w:t xml:space="preserve"> </w:t>
      </w:r>
      <w:r>
        <w:t>electric,</w:t>
      </w:r>
      <w:r>
        <w:rPr>
          <w:spacing w:val="-3"/>
        </w:rPr>
        <w:t xml:space="preserve"> </w:t>
      </w:r>
      <w:r>
        <w:t>gas</w:t>
      </w:r>
      <w:r>
        <w:rPr>
          <w:spacing w:val="-3"/>
        </w:rPr>
        <w:t xml:space="preserve"> </w:t>
      </w:r>
      <w:r>
        <w:t>savings,</w:t>
      </w:r>
      <w:r>
        <w:rPr>
          <w:spacing w:val="-4"/>
        </w:rPr>
        <w:t xml:space="preserve"> </w:t>
      </w:r>
      <w:r>
        <w:t>and</w:t>
      </w:r>
      <w:r>
        <w:rPr>
          <w:spacing w:val="-3"/>
        </w:rPr>
        <w:t xml:space="preserve"> </w:t>
      </w:r>
      <w:r>
        <w:t>electric</w:t>
      </w:r>
      <w:r>
        <w:rPr>
          <w:spacing w:val="-4"/>
        </w:rPr>
        <w:t xml:space="preserve"> </w:t>
      </w:r>
      <w:r>
        <w:t>demand</w:t>
      </w:r>
      <w:r>
        <w:rPr>
          <w:spacing w:val="-2"/>
        </w:rPr>
        <w:t xml:space="preserve"> </w:t>
      </w:r>
      <w:r>
        <w:t>by</w:t>
      </w:r>
      <w:r>
        <w:rPr>
          <w:spacing w:val="-3"/>
        </w:rPr>
        <w:t xml:space="preserve"> </w:t>
      </w:r>
      <w:r>
        <w:t>end</w:t>
      </w:r>
      <w:r>
        <w:rPr>
          <w:spacing w:val="-3"/>
        </w:rPr>
        <w:t xml:space="preserve"> </w:t>
      </w:r>
      <w:r>
        <w:t>use</w:t>
      </w:r>
      <w:r>
        <w:rPr>
          <w:spacing w:val="-3"/>
        </w:rPr>
        <w:t xml:space="preserve"> </w:t>
      </w:r>
      <w:r>
        <w:t xml:space="preserve">and </w:t>
      </w:r>
      <w:hyperlink w:history="1" w:anchor="_bookmark20">
        <w:r>
          <w:t>Figure ES-4</w:t>
        </w:r>
      </w:hyperlink>
      <w:r>
        <w:t xml:space="preserve"> provides low income FS electric, gas savings, and electric dem</w:t>
      </w:r>
      <w:r>
        <w:t>and by applicable end use. This study’s low income savings forecast was modeled with a bottom-up approach separate from the applications and goals adopted from D.21-06-015 in A.19-11-003; however, the measures provided by IOUs as part of their ESA programs</w:t>
      </w:r>
      <w:r>
        <w:t xml:space="preserve"> were key inputs to this study.</w:t>
      </w:r>
    </w:p>
    <w:p w:rsidR="00C31389" w:rsidRDefault="00561FBD" w14:paraId="64B6202D" w14:textId="77777777">
      <w:pPr>
        <w:pStyle w:val="BodyText"/>
        <w:ind w:left="481"/>
      </w:pPr>
      <w:r>
        <w:t>Additional</w:t>
      </w:r>
      <w:r>
        <w:rPr>
          <w:spacing w:val="-7"/>
        </w:rPr>
        <w:t xml:space="preserve"> </w:t>
      </w:r>
      <w:r>
        <w:t>details</w:t>
      </w:r>
      <w:r>
        <w:rPr>
          <w:spacing w:val="-6"/>
        </w:rPr>
        <w:t xml:space="preserve"> </w:t>
      </w:r>
      <w:r>
        <w:t>can</w:t>
      </w:r>
      <w:r>
        <w:rPr>
          <w:spacing w:val="-6"/>
        </w:rPr>
        <w:t xml:space="preserve"> </w:t>
      </w:r>
      <w:r>
        <w:t>be</w:t>
      </w:r>
      <w:r>
        <w:rPr>
          <w:spacing w:val="-6"/>
        </w:rPr>
        <w:t xml:space="preserve"> </w:t>
      </w:r>
      <w:r>
        <w:t>found</w:t>
      </w:r>
      <w:r>
        <w:rPr>
          <w:spacing w:val="-6"/>
        </w:rPr>
        <w:t xml:space="preserve"> </w:t>
      </w:r>
      <w:r>
        <w:t>in</w:t>
      </w:r>
      <w:r>
        <w:rPr>
          <w:spacing w:val="-6"/>
        </w:rPr>
        <w:t xml:space="preserve"> </w:t>
      </w:r>
      <w:r>
        <w:t>a</w:t>
      </w:r>
      <w:r>
        <w:rPr>
          <w:spacing w:val="-7"/>
        </w:rPr>
        <w:t xml:space="preserve"> </w:t>
      </w:r>
      <w:r>
        <w:t>separate</w:t>
      </w:r>
      <w:r>
        <w:rPr>
          <w:spacing w:val="-5"/>
        </w:rPr>
        <w:t xml:space="preserve"> </w:t>
      </w:r>
      <w:r>
        <w:t>low</w:t>
      </w:r>
      <w:r>
        <w:rPr>
          <w:spacing w:val="-7"/>
        </w:rPr>
        <w:t xml:space="preserve"> </w:t>
      </w:r>
      <w:r>
        <w:t>income</w:t>
      </w:r>
      <w:r>
        <w:rPr>
          <w:spacing w:val="-6"/>
        </w:rPr>
        <w:t xml:space="preserve"> </w:t>
      </w:r>
      <w:r>
        <w:t>savings</w:t>
      </w:r>
      <w:r>
        <w:rPr>
          <w:spacing w:val="-6"/>
        </w:rPr>
        <w:t xml:space="preserve"> </w:t>
      </w:r>
      <w:r>
        <w:t>forecast</w:t>
      </w:r>
      <w:r>
        <w:rPr>
          <w:spacing w:val="-6"/>
        </w:rPr>
        <w:t xml:space="preserve"> </w:t>
      </w:r>
      <w:r>
        <w:rPr>
          <w:spacing w:val="-2"/>
        </w:rPr>
        <w:t>report.</w:t>
      </w:r>
    </w:p>
    <w:p w:rsidR="00C31389" w:rsidRDefault="00C31389" w14:paraId="39FD45AD" w14:textId="77777777">
      <w:pPr>
        <w:sectPr w:rsidR="00C31389">
          <w:pgSz w:w="12240" w:h="15840"/>
          <w:pgMar w:top="1660" w:right="960" w:bottom="1120" w:left="960" w:header="397" w:footer="936" w:gutter="0"/>
          <w:cols w:space="720"/>
        </w:sectPr>
      </w:pPr>
    </w:p>
    <w:p w:rsidR="00C31389" w:rsidRDefault="00C31389" w14:paraId="4466C3D5" w14:textId="77777777">
      <w:pPr>
        <w:pStyle w:val="BodyText"/>
        <w:spacing w:before="11"/>
        <w:rPr>
          <w:sz w:val="13"/>
        </w:rPr>
      </w:pPr>
    </w:p>
    <w:p w:rsidR="00C31389" w:rsidRDefault="00561FBD" w14:paraId="35738EE2" w14:textId="77777777">
      <w:pPr>
        <w:pStyle w:val="Heading7"/>
        <w:spacing w:before="92"/>
        <w:ind w:left="565" w:right="566"/>
        <w:jc w:val="center"/>
      </w:pPr>
      <w:bookmarkStart w:name="_bookmark19" w:id="22"/>
      <w:bookmarkEnd w:id="22"/>
      <w:r>
        <w:t>Figure</w:t>
      </w:r>
      <w:r>
        <w:rPr>
          <w:spacing w:val="-6"/>
        </w:rPr>
        <w:t xml:space="preserve"> </w:t>
      </w:r>
      <w:r>
        <w:t>ES-3.</w:t>
      </w:r>
      <w:r>
        <w:rPr>
          <w:spacing w:val="-6"/>
        </w:rPr>
        <w:t xml:space="preserve"> </w:t>
      </w:r>
      <w:r>
        <w:t>Low</w:t>
      </w:r>
      <w:r>
        <w:rPr>
          <w:spacing w:val="-6"/>
        </w:rPr>
        <w:t xml:space="preserve"> </w:t>
      </w:r>
      <w:r>
        <w:t>Income</w:t>
      </w:r>
      <w:r>
        <w:rPr>
          <w:spacing w:val="-6"/>
        </w:rPr>
        <w:t xml:space="preserve"> </w:t>
      </w:r>
      <w:r>
        <w:t>EE</w:t>
      </w:r>
      <w:r>
        <w:rPr>
          <w:spacing w:val="-7"/>
        </w:rPr>
        <w:t xml:space="preserve"> </w:t>
      </w:r>
      <w:r>
        <w:t>Savings</w:t>
      </w:r>
      <w:r>
        <w:rPr>
          <w:spacing w:val="-6"/>
        </w:rPr>
        <w:t xml:space="preserve"> </w:t>
      </w:r>
      <w:r>
        <w:t>by</w:t>
      </w:r>
      <w:r>
        <w:rPr>
          <w:spacing w:val="-5"/>
        </w:rPr>
        <w:t xml:space="preserve"> </w:t>
      </w:r>
      <w:r>
        <w:t>End</w:t>
      </w:r>
      <w:r>
        <w:rPr>
          <w:spacing w:val="-6"/>
        </w:rPr>
        <w:t xml:space="preserve"> </w:t>
      </w:r>
      <w:r>
        <w:rPr>
          <w:spacing w:val="-5"/>
        </w:rPr>
        <w:t>Use</w:t>
      </w:r>
    </w:p>
    <w:p w:rsidR="00C31389" w:rsidRDefault="00561FBD" w14:paraId="2D3D3909" w14:textId="77777777">
      <w:pPr>
        <w:pStyle w:val="BodyText"/>
        <w:spacing w:before="4"/>
        <w:rPr>
          <w:b/>
          <w:sz w:val="8"/>
        </w:rPr>
      </w:pPr>
      <w:r>
        <w:rPr>
          <w:noProof/>
        </w:rPr>
        <w:drawing>
          <wp:anchor distT="0" distB="0" distL="0" distR="0" simplePos="0" relativeHeight="487597056" behindDoc="1" locked="0" layoutInCell="1" allowOverlap="1" wp14:editId="12242697" wp14:anchorId="75E2A014">
            <wp:simplePos x="0" y="0"/>
            <wp:positionH relativeFrom="page">
              <wp:posOffset>914400</wp:posOffset>
            </wp:positionH>
            <wp:positionV relativeFrom="paragraph">
              <wp:posOffset>76793</wp:posOffset>
            </wp:positionV>
            <wp:extent cx="5959380" cy="202330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3" cstate="print"/>
                    <a:stretch>
                      <a:fillRect/>
                    </a:stretch>
                  </pic:blipFill>
                  <pic:spPr>
                    <a:xfrm>
                      <a:off x="0" y="0"/>
                      <a:ext cx="5959380" cy="2023300"/>
                    </a:xfrm>
                    <a:prstGeom prst="rect">
                      <a:avLst/>
                    </a:prstGeom>
                  </pic:spPr>
                </pic:pic>
              </a:graphicData>
            </a:graphic>
          </wp:anchor>
        </w:drawing>
      </w:r>
    </w:p>
    <w:p w:rsidR="00C31389" w:rsidRDefault="00C31389" w14:paraId="20C1EC4F" w14:textId="77777777">
      <w:pPr>
        <w:pStyle w:val="BodyText"/>
        <w:rPr>
          <w:b/>
          <w:sz w:val="20"/>
        </w:rPr>
      </w:pPr>
    </w:p>
    <w:p w:rsidR="00C31389" w:rsidRDefault="00561FBD" w14:paraId="4A93449A" w14:textId="77777777">
      <w:pPr>
        <w:pStyle w:val="BodyText"/>
        <w:spacing w:before="10"/>
        <w:rPr>
          <w:b/>
        </w:rPr>
      </w:pPr>
      <w:r>
        <w:rPr>
          <w:noProof/>
        </w:rPr>
        <w:drawing>
          <wp:anchor distT="0" distB="0" distL="0" distR="0" simplePos="0" relativeHeight="487597568" behindDoc="1" locked="0" layoutInCell="1" allowOverlap="1" wp14:editId="7E1BE572" wp14:anchorId="0FE92422">
            <wp:simplePos x="0" y="0"/>
            <wp:positionH relativeFrom="page">
              <wp:posOffset>2632075</wp:posOffset>
            </wp:positionH>
            <wp:positionV relativeFrom="paragraph">
              <wp:posOffset>182277</wp:posOffset>
            </wp:positionV>
            <wp:extent cx="2540943" cy="1791652"/>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4" cstate="print"/>
                    <a:stretch>
                      <a:fillRect/>
                    </a:stretch>
                  </pic:blipFill>
                  <pic:spPr>
                    <a:xfrm>
                      <a:off x="0" y="0"/>
                      <a:ext cx="2540943" cy="1791652"/>
                    </a:xfrm>
                    <a:prstGeom prst="rect">
                      <a:avLst/>
                    </a:prstGeom>
                  </pic:spPr>
                </pic:pic>
              </a:graphicData>
            </a:graphic>
          </wp:anchor>
        </w:drawing>
      </w:r>
    </w:p>
    <w:p w:rsidR="00C31389" w:rsidRDefault="00C31389" w14:paraId="0EBBA0BD" w14:textId="77777777">
      <w:pPr>
        <w:pStyle w:val="BodyText"/>
        <w:spacing w:before="2"/>
        <w:rPr>
          <w:b/>
          <w:sz w:val="19"/>
        </w:rPr>
      </w:pPr>
    </w:p>
    <w:p w:rsidR="00C31389" w:rsidRDefault="00561FBD" w14:paraId="4F122F80" w14:textId="77777777">
      <w:pPr>
        <w:spacing w:before="95"/>
        <w:ind w:left="480"/>
        <w:rPr>
          <w:i/>
          <w:sz w:val="18"/>
        </w:rPr>
      </w:pPr>
      <w:r>
        <w:rPr>
          <w:i/>
          <w:sz w:val="18"/>
        </w:rPr>
        <w:t>Source:</w:t>
      </w:r>
      <w:r>
        <w:rPr>
          <w:i/>
          <w:spacing w:val="-4"/>
          <w:sz w:val="18"/>
        </w:rPr>
        <w:t xml:space="preserve"> </w:t>
      </w:r>
      <w:r>
        <w:rPr>
          <w:i/>
          <w:spacing w:val="-2"/>
          <w:sz w:val="18"/>
        </w:rPr>
        <w:t>Guidehouse</w:t>
      </w:r>
    </w:p>
    <w:p w:rsidR="00C31389" w:rsidRDefault="00C31389" w14:paraId="07B52E3A" w14:textId="77777777">
      <w:pPr>
        <w:pStyle w:val="BodyText"/>
        <w:rPr>
          <w:i/>
          <w:sz w:val="20"/>
        </w:rPr>
      </w:pPr>
    </w:p>
    <w:p w:rsidR="00C31389" w:rsidRDefault="00C31389" w14:paraId="4CBB09B0" w14:textId="77777777">
      <w:pPr>
        <w:pStyle w:val="BodyText"/>
        <w:spacing w:before="9"/>
        <w:rPr>
          <w:i/>
        </w:rPr>
      </w:pPr>
    </w:p>
    <w:p w:rsidR="00C31389" w:rsidRDefault="00561FBD" w14:paraId="3E6F7BA1" w14:textId="77777777">
      <w:pPr>
        <w:pStyle w:val="Heading7"/>
        <w:ind w:left="566" w:right="566"/>
        <w:jc w:val="center"/>
      </w:pPr>
      <w:bookmarkStart w:name="_bookmark20" w:id="23"/>
      <w:bookmarkEnd w:id="23"/>
      <w:r>
        <w:t>Figure</w:t>
      </w:r>
      <w:r>
        <w:rPr>
          <w:spacing w:val="-6"/>
        </w:rPr>
        <w:t xml:space="preserve"> </w:t>
      </w:r>
      <w:r>
        <w:t>ES-4.</w:t>
      </w:r>
      <w:r>
        <w:rPr>
          <w:spacing w:val="-6"/>
        </w:rPr>
        <w:t xml:space="preserve"> </w:t>
      </w:r>
      <w:r>
        <w:t>Low</w:t>
      </w:r>
      <w:r>
        <w:rPr>
          <w:spacing w:val="-7"/>
        </w:rPr>
        <w:t xml:space="preserve"> </w:t>
      </w:r>
      <w:r>
        <w:t>Income</w:t>
      </w:r>
      <w:r>
        <w:rPr>
          <w:spacing w:val="-6"/>
        </w:rPr>
        <w:t xml:space="preserve"> </w:t>
      </w:r>
      <w:r>
        <w:t>FS</w:t>
      </w:r>
      <w:r>
        <w:rPr>
          <w:spacing w:val="-5"/>
        </w:rPr>
        <w:t xml:space="preserve"> </w:t>
      </w:r>
      <w:r>
        <w:t>Savings</w:t>
      </w:r>
      <w:r>
        <w:rPr>
          <w:spacing w:val="-6"/>
        </w:rPr>
        <w:t xml:space="preserve"> </w:t>
      </w:r>
      <w:r>
        <w:t>by</w:t>
      </w:r>
      <w:r>
        <w:rPr>
          <w:spacing w:val="-6"/>
        </w:rPr>
        <w:t xml:space="preserve"> </w:t>
      </w:r>
      <w:r>
        <w:t>End</w:t>
      </w:r>
      <w:r>
        <w:rPr>
          <w:spacing w:val="-6"/>
        </w:rPr>
        <w:t xml:space="preserve"> </w:t>
      </w:r>
      <w:r>
        <w:rPr>
          <w:spacing w:val="-5"/>
        </w:rPr>
        <w:t>Use</w:t>
      </w:r>
    </w:p>
    <w:p w:rsidR="00C31389" w:rsidRDefault="00561FBD" w14:paraId="55E6AF65" w14:textId="77777777">
      <w:pPr>
        <w:pStyle w:val="BodyText"/>
        <w:spacing w:before="4"/>
        <w:rPr>
          <w:b/>
          <w:sz w:val="8"/>
        </w:rPr>
      </w:pPr>
      <w:r>
        <w:rPr>
          <w:noProof/>
        </w:rPr>
        <w:drawing>
          <wp:anchor distT="0" distB="0" distL="0" distR="0" simplePos="0" relativeHeight="487598080" behindDoc="1" locked="0" layoutInCell="1" allowOverlap="1" wp14:editId="5FC3D433" wp14:anchorId="0F3E2FFE">
            <wp:simplePos x="0" y="0"/>
            <wp:positionH relativeFrom="page">
              <wp:posOffset>930275</wp:posOffset>
            </wp:positionH>
            <wp:positionV relativeFrom="paragraph">
              <wp:posOffset>76560</wp:posOffset>
            </wp:positionV>
            <wp:extent cx="5782028" cy="1970055"/>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5" cstate="print"/>
                    <a:stretch>
                      <a:fillRect/>
                    </a:stretch>
                  </pic:blipFill>
                  <pic:spPr>
                    <a:xfrm>
                      <a:off x="0" y="0"/>
                      <a:ext cx="5782028" cy="1970055"/>
                    </a:xfrm>
                    <a:prstGeom prst="rect">
                      <a:avLst/>
                    </a:prstGeom>
                  </pic:spPr>
                </pic:pic>
              </a:graphicData>
            </a:graphic>
          </wp:anchor>
        </w:drawing>
      </w:r>
    </w:p>
    <w:p w:rsidR="00C31389" w:rsidRDefault="00C31389" w14:paraId="0DE3A2B7" w14:textId="77777777">
      <w:pPr>
        <w:rPr>
          <w:sz w:val="8"/>
        </w:rPr>
        <w:sectPr w:rsidR="00C31389">
          <w:pgSz w:w="12240" w:h="15840"/>
          <w:pgMar w:top="1660" w:right="960" w:bottom="1120" w:left="960" w:header="397" w:footer="936" w:gutter="0"/>
          <w:cols w:space="720"/>
        </w:sectPr>
      </w:pPr>
    </w:p>
    <w:p w:rsidR="00C31389" w:rsidRDefault="00C31389" w14:paraId="70E604F8" w14:textId="77777777">
      <w:pPr>
        <w:pStyle w:val="BodyText"/>
        <w:rPr>
          <w:b/>
          <w:sz w:val="20"/>
        </w:rPr>
      </w:pPr>
    </w:p>
    <w:p w:rsidR="00C31389" w:rsidRDefault="00C31389" w14:paraId="43598AAA" w14:textId="77777777">
      <w:pPr>
        <w:pStyle w:val="BodyText"/>
        <w:spacing w:before="7"/>
        <w:rPr>
          <w:b/>
          <w:sz w:val="26"/>
        </w:rPr>
      </w:pPr>
    </w:p>
    <w:p w:rsidR="00C31389" w:rsidRDefault="00561FBD" w14:paraId="5D297D3D" w14:textId="77777777">
      <w:pPr>
        <w:pStyle w:val="BodyText"/>
        <w:ind w:left="3143"/>
        <w:rPr>
          <w:sz w:val="20"/>
        </w:rPr>
      </w:pPr>
      <w:r>
        <w:rPr>
          <w:noProof/>
          <w:sz w:val="20"/>
        </w:rPr>
        <w:drawing>
          <wp:inline distT="0" distB="0" distL="0" distR="0" wp14:anchorId="76B099D1" wp14:editId="7009D957">
            <wp:extent cx="2569803" cy="1791652"/>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6" cstate="print"/>
                    <a:stretch>
                      <a:fillRect/>
                    </a:stretch>
                  </pic:blipFill>
                  <pic:spPr>
                    <a:xfrm>
                      <a:off x="0" y="0"/>
                      <a:ext cx="2569803" cy="1791652"/>
                    </a:xfrm>
                    <a:prstGeom prst="rect">
                      <a:avLst/>
                    </a:prstGeom>
                  </pic:spPr>
                </pic:pic>
              </a:graphicData>
            </a:graphic>
          </wp:inline>
        </w:drawing>
      </w:r>
    </w:p>
    <w:p w:rsidR="00C31389" w:rsidRDefault="00561FBD" w14:paraId="1BB67311" w14:textId="77777777">
      <w:pPr>
        <w:spacing w:before="135"/>
        <w:ind w:left="480"/>
        <w:rPr>
          <w:i/>
          <w:sz w:val="18"/>
        </w:rPr>
      </w:pPr>
      <w:r>
        <w:rPr>
          <w:i/>
          <w:sz w:val="18"/>
        </w:rPr>
        <w:t>Source:</w:t>
      </w:r>
      <w:r>
        <w:rPr>
          <w:i/>
          <w:spacing w:val="-4"/>
          <w:sz w:val="18"/>
        </w:rPr>
        <w:t xml:space="preserve"> </w:t>
      </w:r>
      <w:r>
        <w:rPr>
          <w:i/>
          <w:spacing w:val="-2"/>
          <w:sz w:val="18"/>
        </w:rPr>
        <w:t>Guidehouse</w:t>
      </w:r>
    </w:p>
    <w:p w:rsidR="00C31389" w:rsidRDefault="00C31389" w14:paraId="416907DA" w14:textId="77777777">
      <w:pPr>
        <w:rPr>
          <w:sz w:val="18"/>
        </w:rPr>
        <w:sectPr w:rsidR="00C31389">
          <w:pgSz w:w="12240" w:h="15840"/>
          <w:pgMar w:top="1660" w:right="960" w:bottom="1120" w:left="960" w:header="397" w:footer="936" w:gutter="0"/>
          <w:cols w:space="720"/>
        </w:sectPr>
      </w:pPr>
    </w:p>
    <w:p w:rsidR="00C31389" w:rsidRDefault="00C31389" w14:paraId="755F0445" w14:textId="77777777">
      <w:pPr>
        <w:pStyle w:val="BodyText"/>
        <w:rPr>
          <w:i/>
        </w:rPr>
      </w:pPr>
    </w:p>
    <w:p w:rsidR="00C31389" w:rsidRDefault="00C31389" w14:paraId="2ED6D82F" w14:textId="77777777">
      <w:pPr>
        <w:pStyle w:val="BodyText"/>
        <w:spacing w:before="1"/>
        <w:rPr>
          <w:i/>
          <w:sz w:val="14"/>
        </w:rPr>
      </w:pPr>
    </w:p>
    <w:p w:rsidR="00C31389" w:rsidRDefault="00561FBD" w14:paraId="033043D1" w14:textId="77777777">
      <w:pPr>
        <w:pStyle w:val="Heading1"/>
        <w:numPr>
          <w:ilvl w:val="0"/>
          <w:numId w:val="71"/>
        </w:numPr>
        <w:tabs>
          <w:tab w:val="left" w:pos="834"/>
        </w:tabs>
        <w:ind w:left="834" w:hanging="354"/>
      </w:pPr>
      <w:bookmarkStart w:name="1._Introduction" w:id="24"/>
      <w:bookmarkStart w:name="_bookmark21" w:id="25"/>
      <w:bookmarkEnd w:id="24"/>
      <w:bookmarkEnd w:id="25"/>
      <w:r>
        <w:rPr>
          <w:spacing w:val="-2"/>
        </w:rPr>
        <w:t>Introduction</w:t>
      </w:r>
    </w:p>
    <w:p w:rsidR="00C31389" w:rsidRDefault="00561FBD" w14:paraId="6DA65A00" w14:textId="77777777">
      <w:pPr>
        <w:pStyle w:val="Heading2"/>
        <w:numPr>
          <w:ilvl w:val="1"/>
          <w:numId w:val="71"/>
        </w:numPr>
        <w:tabs>
          <w:tab w:val="left" w:pos="945"/>
        </w:tabs>
        <w:spacing w:before="241"/>
        <w:ind w:left="945" w:hanging="465"/>
      </w:pPr>
      <w:bookmarkStart w:name="1.1_Context_of_the_Potential_and_Goals_S" w:id="26"/>
      <w:bookmarkStart w:name="_bookmark22" w:id="27"/>
      <w:bookmarkEnd w:id="26"/>
      <w:bookmarkEnd w:id="27"/>
      <w:r>
        <w:t>Context</w:t>
      </w:r>
      <w:r>
        <w:rPr>
          <w:spacing w:val="-10"/>
        </w:rPr>
        <w:t xml:space="preserve"> </w:t>
      </w:r>
      <w:r>
        <w:t>of</w:t>
      </w:r>
      <w:r>
        <w:rPr>
          <w:spacing w:val="-8"/>
        </w:rPr>
        <w:t xml:space="preserve"> </w:t>
      </w:r>
      <w:r>
        <w:t>the</w:t>
      </w:r>
      <w:r>
        <w:rPr>
          <w:spacing w:val="-9"/>
        </w:rPr>
        <w:t xml:space="preserve"> </w:t>
      </w:r>
      <w:r>
        <w:t>Potential</w:t>
      </w:r>
      <w:r>
        <w:rPr>
          <w:spacing w:val="-9"/>
        </w:rPr>
        <w:t xml:space="preserve"> </w:t>
      </w:r>
      <w:r>
        <w:t>and</w:t>
      </w:r>
      <w:r>
        <w:rPr>
          <w:spacing w:val="-10"/>
        </w:rPr>
        <w:t xml:space="preserve"> </w:t>
      </w:r>
      <w:r>
        <w:t>Goals</w:t>
      </w:r>
      <w:r>
        <w:rPr>
          <w:spacing w:val="-8"/>
        </w:rPr>
        <w:t xml:space="preserve"> </w:t>
      </w:r>
      <w:r>
        <w:rPr>
          <w:spacing w:val="-2"/>
        </w:rPr>
        <w:t>Study</w:t>
      </w:r>
    </w:p>
    <w:p w:rsidR="00C31389" w:rsidRDefault="00561FBD" w14:paraId="21D7B13C" w14:textId="77777777">
      <w:pPr>
        <w:pStyle w:val="BodyText"/>
        <w:spacing w:before="239"/>
        <w:ind w:left="480" w:right="565" w:hanging="1"/>
      </w:pPr>
      <w:r>
        <w:t>Guidehouse and its partners, Tierra Resource Consultants, LLC, Jai J. Mitchell Analytics, Opinion</w:t>
      </w:r>
      <w:r>
        <w:rPr>
          <w:spacing w:val="-3"/>
        </w:rPr>
        <w:t xml:space="preserve"> </w:t>
      </w:r>
      <w:r>
        <w:t>Dynamics,</w:t>
      </w:r>
      <w:r>
        <w:rPr>
          <w:spacing w:val="-3"/>
        </w:rPr>
        <w:t xml:space="preserve"> </w:t>
      </w:r>
      <w:r>
        <w:t>and</w:t>
      </w:r>
      <w:r>
        <w:rPr>
          <w:spacing w:val="-4"/>
        </w:rPr>
        <w:t xml:space="preserve"> </w:t>
      </w:r>
      <w:r>
        <w:t>DNV</w:t>
      </w:r>
      <w:r>
        <w:rPr>
          <w:spacing w:val="-3"/>
        </w:rPr>
        <w:t xml:space="preserve"> </w:t>
      </w:r>
      <w:r>
        <w:t>(collectively</w:t>
      </w:r>
      <w:r>
        <w:rPr>
          <w:spacing w:val="-4"/>
        </w:rPr>
        <w:t xml:space="preserve"> </w:t>
      </w:r>
      <w:r>
        <w:t>known</w:t>
      </w:r>
      <w:r>
        <w:rPr>
          <w:spacing w:val="-3"/>
        </w:rPr>
        <w:t xml:space="preserve"> </w:t>
      </w:r>
      <w:r>
        <w:t>as</w:t>
      </w:r>
      <w:r>
        <w:rPr>
          <w:spacing w:val="-3"/>
        </w:rPr>
        <w:t xml:space="preserve"> </w:t>
      </w:r>
      <w:r>
        <w:t>the</w:t>
      </w:r>
      <w:r>
        <w:rPr>
          <w:spacing w:val="-3"/>
        </w:rPr>
        <w:t xml:space="preserve"> </w:t>
      </w:r>
      <w:r>
        <w:t>Guidehouse</w:t>
      </w:r>
      <w:r>
        <w:rPr>
          <w:spacing w:val="-3"/>
        </w:rPr>
        <w:t xml:space="preserve"> </w:t>
      </w:r>
      <w:r>
        <w:t>team),</w:t>
      </w:r>
      <w:r>
        <w:rPr>
          <w:spacing w:val="-3"/>
        </w:rPr>
        <w:t xml:space="preserve"> </w:t>
      </w:r>
      <w:r>
        <w:t>prepared</w:t>
      </w:r>
      <w:r>
        <w:rPr>
          <w:spacing w:val="-3"/>
        </w:rPr>
        <w:t xml:space="preserve"> </w:t>
      </w:r>
      <w:r>
        <w:t>this</w:t>
      </w:r>
      <w:r>
        <w:rPr>
          <w:spacing w:val="-3"/>
        </w:rPr>
        <w:t xml:space="preserve"> </w:t>
      </w:r>
      <w:r>
        <w:t>study (</w:t>
      </w:r>
      <w:r>
        <w:rPr>
          <w:i/>
        </w:rPr>
        <w:t xml:space="preserve">2023 Energy Efficiency Potential and Goals Study </w:t>
      </w:r>
      <w:r>
        <w:t>or 2023 Study) for the California Public Utilities Commission (CPUC). The purpose of this study is to develop estimates of energy and demand savings potential for energ</w:t>
      </w:r>
      <w:r>
        <w:t>y efficiency and fuel substitution (FS) in the service territories of California’s major investor-owned utilities (IOUs) during the post-2021 energy efficiency (EE) rolling portfolio planning cycle. This report includes results for Pacific Gas and Electric</w:t>
      </w:r>
      <w:r>
        <w:t xml:space="preserve"> (PG&amp;E), Southern California Edison (SCE), San Diego Gas &amp; Electric (SDG&amp;E), and Southern</w:t>
      </w:r>
      <w:r>
        <w:rPr>
          <w:spacing w:val="-2"/>
        </w:rPr>
        <w:t xml:space="preserve"> </w:t>
      </w:r>
      <w:r>
        <w:t>California</w:t>
      </w:r>
      <w:r>
        <w:rPr>
          <w:spacing w:val="-2"/>
        </w:rPr>
        <w:t xml:space="preserve"> </w:t>
      </w:r>
      <w:r>
        <w:t>Gas</w:t>
      </w:r>
      <w:r>
        <w:rPr>
          <w:spacing w:val="-2"/>
        </w:rPr>
        <w:t xml:space="preserve"> </w:t>
      </w:r>
      <w:r>
        <w:t>(SCG).</w:t>
      </w:r>
      <w:r>
        <w:rPr>
          <w:spacing w:val="-2"/>
        </w:rPr>
        <w:t xml:space="preserve"> </w:t>
      </w:r>
      <w:r>
        <w:t>A</w:t>
      </w:r>
      <w:r>
        <w:rPr>
          <w:spacing w:val="-1"/>
        </w:rPr>
        <w:t xml:space="preserve"> </w:t>
      </w:r>
      <w:r>
        <w:t>key</w:t>
      </w:r>
      <w:r>
        <w:rPr>
          <w:spacing w:val="-2"/>
        </w:rPr>
        <w:t xml:space="preserve"> </w:t>
      </w:r>
      <w:r>
        <w:t>component</w:t>
      </w:r>
      <w:r>
        <w:rPr>
          <w:spacing w:val="-2"/>
        </w:rPr>
        <w:t xml:space="preserve"> </w:t>
      </w:r>
      <w:r>
        <w:t>of</w:t>
      </w:r>
      <w:r>
        <w:rPr>
          <w:spacing w:val="-2"/>
        </w:rPr>
        <w:t xml:space="preserve"> </w:t>
      </w:r>
      <w:r>
        <w:t>the</w:t>
      </w:r>
      <w:r>
        <w:rPr>
          <w:spacing w:val="-2"/>
        </w:rPr>
        <w:t xml:space="preserve"> </w:t>
      </w:r>
      <w:r>
        <w:t>2023</w:t>
      </w:r>
      <w:r>
        <w:rPr>
          <w:spacing w:val="-2"/>
        </w:rPr>
        <w:t xml:space="preserve"> </w:t>
      </w:r>
      <w:r>
        <w:t>Study</w:t>
      </w:r>
      <w:r>
        <w:rPr>
          <w:spacing w:val="-2"/>
        </w:rPr>
        <w:t xml:space="preserve"> </w:t>
      </w:r>
      <w:r>
        <w:t>is</w:t>
      </w:r>
      <w:r>
        <w:rPr>
          <w:spacing w:val="-2"/>
        </w:rPr>
        <w:t xml:space="preserve"> </w:t>
      </w:r>
      <w:r>
        <w:t>the</w:t>
      </w:r>
      <w:r>
        <w:rPr>
          <w:spacing w:val="-2"/>
        </w:rPr>
        <w:t xml:space="preserve"> </w:t>
      </w:r>
      <w:r>
        <w:t>Potential</w:t>
      </w:r>
      <w:r>
        <w:rPr>
          <w:spacing w:val="-3"/>
        </w:rPr>
        <w:t xml:space="preserve"> </w:t>
      </w:r>
      <w:r>
        <w:t>and</w:t>
      </w:r>
      <w:r>
        <w:rPr>
          <w:spacing w:val="-2"/>
        </w:rPr>
        <w:t xml:space="preserve"> </w:t>
      </w:r>
      <w:r>
        <w:t xml:space="preserve">Goals Model (PG Model), which provides a single platform to conduct robust </w:t>
      </w:r>
      <w:r>
        <w:t>quantitative scenario analysis that reflects the complex interactions among various inputs and policy drivers.</w:t>
      </w:r>
    </w:p>
    <w:p w:rsidR="00C31389" w:rsidRDefault="00C31389" w14:paraId="6AB6FF52" w14:textId="77777777">
      <w:pPr>
        <w:pStyle w:val="BodyText"/>
        <w:spacing w:before="10"/>
        <w:rPr>
          <w:sz w:val="20"/>
        </w:rPr>
      </w:pPr>
    </w:p>
    <w:p w:rsidR="00C31389" w:rsidRDefault="00561FBD" w14:paraId="096DD34B" w14:textId="77777777">
      <w:pPr>
        <w:pStyle w:val="BodyText"/>
        <w:ind w:left="480" w:right="533" w:hanging="1"/>
        <w:rPr>
          <w:sz w:val="14"/>
        </w:rPr>
      </w:pPr>
      <w:r>
        <w:t>The 2023 Study is the seventh consecutive potential study conducted by the Guidehouse (formerly</w:t>
      </w:r>
      <w:r>
        <w:rPr>
          <w:spacing w:val="-3"/>
        </w:rPr>
        <w:t xml:space="preserve"> </w:t>
      </w:r>
      <w:r>
        <w:t>Navigant)</w:t>
      </w:r>
      <w:r>
        <w:rPr>
          <w:spacing w:val="-3"/>
        </w:rPr>
        <w:t xml:space="preserve"> </w:t>
      </w:r>
      <w:r>
        <w:t>team</w:t>
      </w:r>
      <w:r>
        <w:rPr>
          <w:spacing w:val="-4"/>
        </w:rPr>
        <w:t xml:space="preserve"> </w:t>
      </w:r>
      <w:r>
        <w:t>on</w:t>
      </w:r>
      <w:r>
        <w:rPr>
          <w:spacing w:val="-3"/>
        </w:rPr>
        <w:t xml:space="preserve"> </w:t>
      </w:r>
      <w:r>
        <w:t>behalf</w:t>
      </w:r>
      <w:r>
        <w:rPr>
          <w:spacing w:val="-3"/>
        </w:rPr>
        <w:t xml:space="preserve"> </w:t>
      </w:r>
      <w:r>
        <w:t>of</w:t>
      </w:r>
      <w:r>
        <w:rPr>
          <w:spacing w:val="-4"/>
        </w:rPr>
        <w:t xml:space="preserve"> </w:t>
      </w:r>
      <w:r>
        <w:t>the</w:t>
      </w:r>
      <w:r>
        <w:rPr>
          <w:spacing w:val="-3"/>
        </w:rPr>
        <w:t xml:space="preserve"> </w:t>
      </w:r>
      <w:r>
        <w:t>CPUC.</w:t>
      </w:r>
      <w:r>
        <w:rPr>
          <w:spacing w:val="-2"/>
        </w:rPr>
        <w:t xml:space="preserve"> </w:t>
      </w:r>
      <w:r>
        <w:t>The</w:t>
      </w:r>
      <w:r>
        <w:rPr>
          <w:spacing w:val="-3"/>
        </w:rPr>
        <w:t xml:space="preserve"> </w:t>
      </w:r>
      <w:r>
        <w:t>previo</w:t>
      </w:r>
      <w:r>
        <w:t>us</w:t>
      </w:r>
      <w:r>
        <w:rPr>
          <w:spacing w:val="-2"/>
        </w:rPr>
        <w:t xml:space="preserve"> </w:t>
      </w:r>
      <w:r>
        <w:t>study</w:t>
      </w:r>
      <w:r>
        <w:rPr>
          <w:spacing w:val="-3"/>
        </w:rPr>
        <w:t xml:space="preserve"> </w:t>
      </w:r>
      <w:r>
        <w:t>published</w:t>
      </w:r>
      <w:r>
        <w:rPr>
          <w:spacing w:val="-3"/>
        </w:rPr>
        <w:t xml:space="preserve"> </w:t>
      </w:r>
      <w:r>
        <w:t>was</w:t>
      </w:r>
      <w:r>
        <w:rPr>
          <w:spacing w:val="-3"/>
        </w:rPr>
        <w:t xml:space="preserve"> </w:t>
      </w:r>
      <w:r>
        <w:t>the</w:t>
      </w:r>
      <w:r>
        <w:rPr>
          <w:spacing w:val="-3"/>
        </w:rPr>
        <w:t xml:space="preserve"> </w:t>
      </w:r>
      <w:r>
        <w:t>2021 Study, which informed goals for 2022 and beyond.</w:t>
      </w:r>
      <w:r>
        <w:rPr>
          <w:spacing w:val="-35"/>
        </w:rPr>
        <w:t xml:space="preserve"> </w:t>
      </w:r>
      <w:hyperlink w:history="1" w:anchor="_bookmark23">
        <w:r>
          <w:rPr>
            <w:position w:val="7"/>
            <w:sz w:val="14"/>
          </w:rPr>
          <w:t>6</w:t>
        </w:r>
      </w:hyperlink>
    </w:p>
    <w:p w:rsidR="00C31389" w:rsidRDefault="00C31389" w14:paraId="554FAA4E" w14:textId="77777777">
      <w:pPr>
        <w:pStyle w:val="BodyText"/>
        <w:spacing w:before="9"/>
        <w:rPr>
          <w:sz w:val="20"/>
        </w:rPr>
      </w:pPr>
    </w:p>
    <w:p w:rsidR="00C31389" w:rsidRDefault="00561FBD" w14:paraId="6C4545CE" w14:textId="77777777">
      <w:pPr>
        <w:pStyle w:val="BodyText"/>
        <w:spacing w:before="1"/>
        <w:ind w:left="480"/>
      </w:pPr>
      <w:r>
        <w:t>The</w:t>
      </w:r>
      <w:r>
        <w:rPr>
          <w:spacing w:val="-7"/>
        </w:rPr>
        <w:t xml:space="preserve"> </w:t>
      </w:r>
      <w:r>
        <w:t>2023</w:t>
      </w:r>
      <w:r>
        <w:rPr>
          <w:spacing w:val="-8"/>
        </w:rPr>
        <w:t xml:space="preserve"> </w:t>
      </w:r>
      <w:r>
        <w:t>Study</w:t>
      </w:r>
      <w:r>
        <w:rPr>
          <w:spacing w:val="-7"/>
        </w:rPr>
        <w:t xml:space="preserve"> </w:t>
      </w:r>
      <w:r>
        <w:t>supports</w:t>
      </w:r>
      <w:r>
        <w:rPr>
          <w:spacing w:val="-7"/>
        </w:rPr>
        <w:t xml:space="preserve"> </w:t>
      </w:r>
      <w:r>
        <w:t>multiple</w:t>
      </w:r>
      <w:r>
        <w:rPr>
          <w:spacing w:val="-7"/>
        </w:rPr>
        <w:t xml:space="preserve"> </w:t>
      </w:r>
      <w:r>
        <w:t>related</w:t>
      </w:r>
      <w:r>
        <w:rPr>
          <w:spacing w:val="-7"/>
        </w:rPr>
        <w:t xml:space="preserve"> </w:t>
      </w:r>
      <w:r>
        <w:rPr>
          <w:spacing w:val="-2"/>
        </w:rPr>
        <w:t>efforts:</w:t>
      </w:r>
    </w:p>
    <w:p w:rsidR="00C31389" w:rsidRDefault="00561FBD" w14:paraId="3893D703" w14:textId="77777777">
      <w:pPr>
        <w:pStyle w:val="ListParagraph"/>
        <w:numPr>
          <w:ilvl w:val="0"/>
          <w:numId w:val="69"/>
        </w:numPr>
        <w:tabs>
          <w:tab w:val="left" w:pos="1199"/>
        </w:tabs>
        <w:spacing w:before="119"/>
        <w:ind w:right="643"/>
      </w:pPr>
      <w:r>
        <w:t>Informs</w:t>
      </w:r>
      <w:r>
        <w:rPr>
          <w:spacing w:val="-3"/>
        </w:rPr>
        <w:t xml:space="preserve"> </w:t>
      </w:r>
      <w:r>
        <w:t>the</w:t>
      </w:r>
      <w:r>
        <w:rPr>
          <w:spacing w:val="-3"/>
        </w:rPr>
        <w:t xml:space="preserve"> </w:t>
      </w:r>
      <w:r>
        <w:t>CPUC</w:t>
      </w:r>
      <w:r>
        <w:rPr>
          <w:spacing w:val="-4"/>
        </w:rPr>
        <w:t xml:space="preserve"> </w:t>
      </w:r>
      <w:r>
        <w:t>as</w:t>
      </w:r>
      <w:r>
        <w:rPr>
          <w:spacing w:val="-3"/>
        </w:rPr>
        <w:t xml:space="preserve"> </w:t>
      </w:r>
      <w:r>
        <w:t>it</w:t>
      </w:r>
      <w:r>
        <w:rPr>
          <w:spacing w:val="-2"/>
        </w:rPr>
        <w:t xml:space="preserve"> </w:t>
      </w:r>
      <w:r>
        <w:t>proceeds</w:t>
      </w:r>
      <w:r>
        <w:rPr>
          <w:spacing w:val="-3"/>
        </w:rPr>
        <w:t xml:space="preserve"> </w:t>
      </w:r>
      <w:r>
        <w:t>to</w:t>
      </w:r>
      <w:r>
        <w:rPr>
          <w:spacing w:val="-4"/>
        </w:rPr>
        <w:t xml:space="preserve"> </w:t>
      </w:r>
      <w:r>
        <w:t>adopt</w:t>
      </w:r>
      <w:r>
        <w:rPr>
          <w:spacing w:val="-3"/>
        </w:rPr>
        <w:t xml:space="preserve"> </w:t>
      </w:r>
      <w:r>
        <w:t>goals</w:t>
      </w:r>
      <w:r>
        <w:rPr>
          <w:spacing w:val="-4"/>
        </w:rPr>
        <w:t xml:space="preserve"> </w:t>
      </w:r>
      <w:r>
        <w:t>and</w:t>
      </w:r>
      <w:r>
        <w:rPr>
          <w:spacing w:val="-3"/>
        </w:rPr>
        <w:t xml:space="preserve"> </w:t>
      </w:r>
      <w:r>
        <w:t>targets,</w:t>
      </w:r>
      <w:r>
        <w:rPr>
          <w:spacing w:val="-4"/>
        </w:rPr>
        <w:t xml:space="preserve"> </w:t>
      </w:r>
      <w:r>
        <w:t>providing</w:t>
      </w:r>
      <w:r>
        <w:rPr>
          <w:spacing w:val="-3"/>
        </w:rPr>
        <w:t xml:space="preserve"> </w:t>
      </w:r>
      <w:r>
        <w:t>guidance</w:t>
      </w:r>
      <w:r>
        <w:rPr>
          <w:spacing w:val="-3"/>
        </w:rPr>
        <w:t xml:space="preserve"> </w:t>
      </w:r>
      <w:r>
        <w:t>for</w:t>
      </w:r>
      <w:r>
        <w:rPr>
          <w:spacing w:val="-3"/>
        </w:rPr>
        <w:t xml:space="preserve"> </w:t>
      </w:r>
      <w:r>
        <w:t>the next IOU EE portfolios. The potential study is a framework that assesses savings reasonably expected to occur by IOU-funded programs based on certain policies and expectations of market uptake.</w:t>
      </w:r>
    </w:p>
    <w:p w:rsidR="00C31389" w:rsidRDefault="00561FBD" w14:paraId="1AAC6C94" w14:textId="77777777">
      <w:pPr>
        <w:pStyle w:val="ListParagraph"/>
        <w:numPr>
          <w:ilvl w:val="0"/>
          <w:numId w:val="69"/>
        </w:numPr>
        <w:tabs>
          <w:tab w:val="left" w:pos="1199"/>
        </w:tabs>
        <w:spacing w:before="119"/>
        <w:ind w:right="510"/>
        <w:rPr>
          <w:sz w:val="14"/>
        </w:rPr>
      </w:pPr>
      <w:r>
        <w:t>The California Energy Comm</w:t>
      </w:r>
      <w:r>
        <w:t>ission (CEC) then uses the CPUC-adopted goals to develop its forecast of additional achievable energy efficiency (AAEE) and additional achievable</w:t>
      </w:r>
      <w:r>
        <w:rPr>
          <w:spacing w:val="-5"/>
        </w:rPr>
        <w:t xml:space="preserve"> </w:t>
      </w:r>
      <w:r>
        <w:t>fuel</w:t>
      </w:r>
      <w:r>
        <w:rPr>
          <w:spacing w:val="-4"/>
        </w:rPr>
        <w:t xml:space="preserve"> </w:t>
      </w:r>
      <w:r>
        <w:t>substitution</w:t>
      </w:r>
      <w:r>
        <w:rPr>
          <w:spacing w:val="-4"/>
        </w:rPr>
        <w:t xml:space="preserve"> </w:t>
      </w:r>
      <w:r>
        <w:t>(AAFS)</w:t>
      </w:r>
      <w:r>
        <w:rPr>
          <w:spacing w:val="-4"/>
        </w:rPr>
        <w:t xml:space="preserve"> </w:t>
      </w:r>
      <w:r>
        <w:t>potential.</w:t>
      </w:r>
      <w:r>
        <w:rPr>
          <w:spacing w:val="-4"/>
        </w:rPr>
        <w:t xml:space="preserve"> </w:t>
      </w:r>
      <w:r>
        <w:t>Furthermore,</w:t>
      </w:r>
      <w:r>
        <w:rPr>
          <w:spacing w:val="-4"/>
        </w:rPr>
        <w:t xml:space="preserve"> </w:t>
      </w:r>
      <w:r>
        <w:t>the</w:t>
      </w:r>
      <w:r>
        <w:rPr>
          <w:spacing w:val="-4"/>
        </w:rPr>
        <w:t xml:space="preserve"> </w:t>
      </w:r>
      <w:r>
        <w:t>data</w:t>
      </w:r>
      <w:r>
        <w:rPr>
          <w:spacing w:val="-4"/>
        </w:rPr>
        <w:t xml:space="preserve"> </w:t>
      </w:r>
      <w:r>
        <w:t>becomes</w:t>
      </w:r>
      <w:r>
        <w:rPr>
          <w:spacing w:val="-4"/>
        </w:rPr>
        <w:t xml:space="preserve"> </w:t>
      </w:r>
      <w:r>
        <w:t>an</w:t>
      </w:r>
      <w:r>
        <w:rPr>
          <w:spacing w:val="-4"/>
        </w:rPr>
        <w:t xml:space="preserve"> </w:t>
      </w:r>
      <w:r>
        <w:t>input</w:t>
      </w:r>
      <w:r>
        <w:rPr>
          <w:spacing w:val="-4"/>
        </w:rPr>
        <w:t xml:space="preserve"> </w:t>
      </w:r>
      <w:r>
        <w:t>to Senate Bill (SB) 350 scenario an</w:t>
      </w:r>
      <w:r>
        <w:t>alysis, which targets doubling the AAEE by 2030.</w:t>
      </w:r>
      <w:r>
        <w:rPr>
          <w:spacing w:val="-39"/>
        </w:rPr>
        <w:t xml:space="preserve"> </w:t>
      </w:r>
      <w:hyperlink w:history="1" w:anchor="_bookmark24">
        <w:r>
          <w:rPr>
            <w:position w:val="7"/>
            <w:sz w:val="14"/>
          </w:rPr>
          <w:t>7</w:t>
        </w:r>
      </w:hyperlink>
    </w:p>
    <w:p w:rsidR="00C31389" w:rsidRDefault="00561FBD" w14:paraId="63CE1F1D" w14:textId="77777777">
      <w:pPr>
        <w:pStyle w:val="ListParagraph"/>
        <w:numPr>
          <w:ilvl w:val="0"/>
          <w:numId w:val="69"/>
        </w:numPr>
        <w:tabs>
          <w:tab w:val="left" w:pos="1199"/>
        </w:tabs>
        <w:spacing w:before="118"/>
        <w:ind w:right="511"/>
      </w:pPr>
      <w:r>
        <w:t>Explores forecasting potential using integrated resource planning (IRP) tools. This study will inform upcoming planned analyses that explore</w:t>
      </w:r>
      <w:r>
        <w:t xml:space="preserve"> the optimization of EE resources through</w:t>
      </w:r>
      <w:r>
        <w:rPr>
          <w:spacing w:val="-3"/>
        </w:rPr>
        <w:t xml:space="preserve"> </w:t>
      </w:r>
      <w:r>
        <w:t>IRP.</w:t>
      </w:r>
      <w:r>
        <w:rPr>
          <w:spacing w:val="-3"/>
        </w:rPr>
        <w:t xml:space="preserve"> </w:t>
      </w:r>
      <w:r>
        <w:t>Guidehouse</w:t>
      </w:r>
      <w:r>
        <w:rPr>
          <w:spacing w:val="-3"/>
        </w:rPr>
        <w:t xml:space="preserve"> </w:t>
      </w:r>
      <w:r>
        <w:t>plans</w:t>
      </w:r>
      <w:r>
        <w:rPr>
          <w:spacing w:val="-3"/>
        </w:rPr>
        <w:t xml:space="preserve"> </w:t>
      </w:r>
      <w:r>
        <w:t>to</w:t>
      </w:r>
      <w:r>
        <w:rPr>
          <w:spacing w:val="-3"/>
        </w:rPr>
        <w:t xml:space="preserve"> </w:t>
      </w:r>
      <w:r>
        <w:t>deliver</w:t>
      </w:r>
      <w:r>
        <w:rPr>
          <w:spacing w:val="-3"/>
        </w:rPr>
        <w:t xml:space="preserve"> </w:t>
      </w:r>
      <w:r>
        <w:t>EE</w:t>
      </w:r>
      <w:r>
        <w:rPr>
          <w:spacing w:val="-4"/>
        </w:rPr>
        <w:t xml:space="preserve"> </w:t>
      </w:r>
      <w:r>
        <w:t>supply</w:t>
      </w:r>
      <w:r>
        <w:rPr>
          <w:spacing w:val="-3"/>
        </w:rPr>
        <w:t xml:space="preserve"> </w:t>
      </w:r>
      <w:r>
        <w:t>curves</w:t>
      </w:r>
      <w:r>
        <w:rPr>
          <w:spacing w:val="-4"/>
        </w:rPr>
        <w:t xml:space="preserve"> </w:t>
      </w:r>
      <w:r>
        <w:t>to</w:t>
      </w:r>
      <w:r>
        <w:rPr>
          <w:spacing w:val="-3"/>
        </w:rPr>
        <w:t xml:space="preserve"> </w:t>
      </w:r>
      <w:r>
        <w:t>the</w:t>
      </w:r>
      <w:r>
        <w:rPr>
          <w:spacing w:val="-3"/>
        </w:rPr>
        <w:t xml:space="preserve"> </w:t>
      </w:r>
      <w:r>
        <w:t>IRP</w:t>
      </w:r>
      <w:r>
        <w:rPr>
          <w:spacing w:val="-3"/>
        </w:rPr>
        <w:t xml:space="preserve"> </w:t>
      </w:r>
      <w:r>
        <w:t>model</w:t>
      </w:r>
      <w:r>
        <w:rPr>
          <w:spacing w:val="-3"/>
        </w:rPr>
        <w:t xml:space="preserve"> </w:t>
      </w:r>
      <w:r>
        <w:t>in</w:t>
      </w:r>
      <w:r>
        <w:rPr>
          <w:spacing w:val="-3"/>
        </w:rPr>
        <w:t xml:space="preserve"> </w:t>
      </w:r>
      <w:r>
        <w:t>Summer 2023 and will subsequently analyze results for comparison to the core study’s</w:t>
      </w:r>
      <w:r>
        <w:rPr>
          <w:spacing w:val="40"/>
        </w:rPr>
        <w:t xml:space="preserve"> </w:t>
      </w:r>
      <w:r>
        <w:t>achievable potential calculation.</w:t>
      </w:r>
    </w:p>
    <w:p w:rsidR="00C31389" w:rsidRDefault="00561FBD" w14:paraId="758C81F6" w14:textId="77777777">
      <w:pPr>
        <w:pStyle w:val="ListParagraph"/>
        <w:numPr>
          <w:ilvl w:val="0"/>
          <w:numId w:val="69"/>
        </w:numPr>
        <w:tabs>
          <w:tab w:val="left" w:pos="1199"/>
        </w:tabs>
        <w:spacing w:before="119"/>
        <w:ind w:right="523"/>
      </w:pPr>
      <w:r>
        <w:t xml:space="preserve">Guides the IOUs and </w:t>
      </w:r>
      <w:r>
        <w:t>other program administrators in portfolio planning. Although the PG</w:t>
      </w:r>
      <w:r>
        <w:rPr>
          <w:spacing w:val="-3"/>
        </w:rPr>
        <w:t xml:space="preserve"> </w:t>
      </w:r>
      <w:r>
        <w:t>Model</w:t>
      </w:r>
      <w:r>
        <w:rPr>
          <w:spacing w:val="-3"/>
        </w:rPr>
        <w:t xml:space="preserve"> </w:t>
      </w:r>
      <w:r>
        <w:t>cannot</w:t>
      </w:r>
      <w:r>
        <w:rPr>
          <w:spacing w:val="-3"/>
        </w:rPr>
        <w:t xml:space="preserve"> </w:t>
      </w:r>
      <w:r>
        <w:t>be</w:t>
      </w:r>
      <w:r>
        <w:rPr>
          <w:spacing w:val="-3"/>
        </w:rPr>
        <w:t xml:space="preserve"> </w:t>
      </w:r>
      <w:r>
        <w:t>the</w:t>
      </w:r>
      <w:r>
        <w:rPr>
          <w:spacing w:val="-4"/>
        </w:rPr>
        <w:t xml:space="preserve"> </w:t>
      </w:r>
      <w:r>
        <w:t>sole</w:t>
      </w:r>
      <w:r>
        <w:rPr>
          <w:spacing w:val="-3"/>
        </w:rPr>
        <w:t xml:space="preserve"> </w:t>
      </w:r>
      <w:r>
        <w:t>source</w:t>
      </w:r>
      <w:r>
        <w:rPr>
          <w:spacing w:val="-4"/>
        </w:rPr>
        <w:t xml:space="preserve"> </w:t>
      </w:r>
      <w:r>
        <w:t>of</w:t>
      </w:r>
      <w:r>
        <w:rPr>
          <w:spacing w:val="-3"/>
        </w:rPr>
        <w:t xml:space="preserve"> </w:t>
      </w:r>
      <w:r>
        <w:t>data</w:t>
      </w:r>
      <w:r>
        <w:rPr>
          <w:spacing w:val="-3"/>
        </w:rPr>
        <w:t xml:space="preserve"> </w:t>
      </w:r>
      <w:r>
        <w:t>for</w:t>
      </w:r>
      <w:r>
        <w:rPr>
          <w:spacing w:val="-4"/>
        </w:rPr>
        <w:t xml:space="preserve"> </w:t>
      </w:r>
      <w:r>
        <w:t>program</w:t>
      </w:r>
      <w:r>
        <w:rPr>
          <w:spacing w:val="-4"/>
        </w:rPr>
        <w:t xml:space="preserve"> </w:t>
      </w:r>
      <w:r>
        <w:t>administrator</w:t>
      </w:r>
      <w:r>
        <w:rPr>
          <w:spacing w:val="-3"/>
        </w:rPr>
        <w:t xml:space="preserve"> </w:t>
      </w:r>
      <w:r>
        <w:t>program</w:t>
      </w:r>
      <w:r>
        <w:rPr>
          <w:spacing w:val="-4"/>
        </w:rPr>
        <w:t xml:space="preserve"> </w:t>
      </w:r>
      <w:r>
        <w:t>planning activities, it can provide critical guidance for the program administrators as they develop their plans f</w:t>
      </w:r>
      <w:r>
        <w:t>or the 2024 and beyond portfolio planning period.</w:t>
      </w:r>
    </w:p>
    <w:p w:rsidR="00C31389" w:rsidRDefault="00561FBD" w14:paraId="2A629FD2" w14:textId="77777777">
      <w:pPr>
        <w:pStyle w:val="ListParagraph"/>
        <w:numPr>
          <w:ilvl w:val="0"/>
          <w:numId w:val="69"/>
        </w:numPr>
        <w:tabs>
          <w:tab w:val="left" w:pos="1199"/>
        </w:tabs>
        <w:spacing w:before="118"/>
        <w:ind w:right="803"/>
      </w:pPr>
      <w:r>
        <w:t>Provides forecasting inputs to support the procurement and planning efforts of California’s principal energy agencies including the CPUC, CEC, and California Independent</w:t>
      </w:r>
      <w:r>
        <w:rPr>
          <w:spacing w:val="-5"/>
        </w:rPr>
        <w:t xml:space="preserve"> </w:t>
      </w:r>
      <w:r>
        <w:t>System</w:t>
      </w:r>
      <w:r>
        <w:rPr>
          <w:spacing w:val="-5"/>
        </w:rPr>
        <w:t xml:space="preserve"> </w:t>
      </w:r>
      <w:r>
        <w:t>Operator</w:t>
      </w:r>
      <w:r>
        <w:rPr>
          <w:spacing w:val="-4"/>
        </w:rPr>
        <w:t xml:space="preserve"> </w:t>
      </w:r>
      <w:r>
        <w:t>(CAISO).</w:t>
      </w:r>
      <w:r>
        <w:rPr>
          <w:spacing w:val="-4"/>
        </w:rPr>
        <w:t xml:space="preserve"> </w:t>
      </w:r>
      <w:r>
        <w:t>The</w:t>
      </w:r>
      <w:r>
        <w:rPr>
          <w:spacing w:val="-4"/>
        </w:rPr>
        <w:t xml:space="preserve"> </w:t>
      </w:r>
      <w:r>
        <w:t>study</w:t>
      </w:r>
      <w:r>
        <w:rPr>
          <w:spacing w:val="-4"/>
        </w:rPr>
        <w:t xml:space="preserve"> </w:t>
      </w:r>
      <w:r>
        <w:t>a</w:t>
      </w:r>
      <w:r>
        <w:t>nd</w:t>
      </w:r>
      <w:r>
        <w:rPr>
          <w:spacing w:val="-4"/>
        </w:rPr>
        <w:t xml:space="preserve"> </w:t>
      </w:r>
      <w:r>
        <w:t>the</w:t>
      </w:r>
      <w:r>
        <w:rPr>
          <w:spacing w:val="-4"/>
        </w:rPr>
        <w:t xml:space="preserve"> </w:t>
      </w:r>
      <w:r>
        <w:t>goals</w:t>
      </w:r>
      <w:r>
        <w:rPr>
          <w:spacing w:val="-4"/>
        </w:rPr>
        <w:t xml:space="preserve"> </w:t>
      </w:r>
      <w:r>
        <w:t>subsequently</w:t>
      </w:r>
      <w:r>
        <w:rPr>
          <w:spacing w:val="-4"/>
        </w:rPr>
        <w:t xml:space="preserve"> </w:t>
      </w:r>
      <w:r>
        <w:t>set</w:t>
      </w:r>
      <w:r>
        <w:rPr>
          <w:spacing w:val="-4"/>
        </w:rPr>
        <w:t xml:space="preserve"> </w:t>
      </w:r>
      <w:r>
        <w:t>by CPUC provide California’s principal energy agencies with the tools and resources</w:t>
      </w:r>
    </w:p>
    <w:p w:rsidR="00C31389" w:rsidRDefault="00C31389" w14:paraId="249A1308" w14:textId="77777777">
      <w:pPr>
        <w:pStyle w:val="BodyText"/>
        <w:rPr>
          <w:sz w:val="20"/>
        </w:rPr>
      </w:pPr>
    </w:p>
    <w:p w:rsidR="00C31389" w:rsidRDefault="00561FBD" w14:paraId="45D8E848" w14:textId="77777777">
      <w:pPr>
        <w:pStyle w:val="BodyText"/>
        <w:spacing w:before="6"/>
        <w:rPr>
          <w:sz w:val="17"/>
        </w:rPr>
      </w:pPr>
      <w:r>
        <w:rPr>
          <w:noProof/>
        </w:rPr>
        <mc:AlternateContent>
          <mc:Choice Requires="wps">
            <w:drawing>
              <wp:anchor distT="0" distB="0" distL="0" distR="0" simplePos="0" relativeHeight="487599104" behindDoc="1" locked="0" layoutInCell="1" allowOverlap="1" wp14:editId="4F0035FD" wp14:anchorId="5E932BB2">
                <wp:simplePos x="0" y="0"/>
                <wp:positionH relativeFrom="page">
                  <wp:posOffset>914400</wp:posOffset>
                </wp:positionH>
                <wp:positionV relativeFrom="paragraph">
                  <wp:posOffset>143503</wp:posOffset>
                </wp:positionV>
                <wp:extent cx="1828800" cy="698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4" style="position:absolute;margin-left:1in;margin-top:11.3pt;width:2in;height:.5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" w14:anchorId="56FAA3B3">
                <v:path arrowok="t"/>
                <w10:wrap type="topAndBottom" anchorx="page"/>
              </v:shape>
            </w:pict>
          </mc:Fallback>
        </mc:AlternateContent>
      </w:r>
    </w:p>
    <w:p w:rsidR="00C31389" w:rsidRDefault="00561FBD" w14:paraId="2D53EBD9" w14:textId="77777777">
      <w:pPr>
        <w:spacing w:before="89"/>
        <w:ind w:left="480"/>
        <w:rPr>
          <w:sz w:val="18"/>
        </w:rPr>
      </w:pPr>
      <w:bookmarkStart w:name="_bookmark23" w:id="28"/>
      <w:bookmarkEnd w:id="28"/>
      <w:r>
        <w:rPr>
          <w:position w:val="6"/>
          <w:sz w:val="12"/>
        </w:rPr>
        <w:t>6</w:t>
      </w:r>
      <w:r>
        <w:rPr>
          <w:spacing w:val="12"/>
          <w:position w:val="6"/>
          <w:sz w:val="12"/>
        </w:rPr>
        <w:t xml:space="preserve"> </w:t>
      </w:r>
      <w:r>
        <w:rPr>
          <w:sz w:val="18"/>
        </w:rPr>
        <w:t>Guidehouse,</w:t>
      </w:r>
      <w:r>
        <w:rPr>
          <w:spacing w:val="-2"/>
          <w:sz w:val="18"/>
        </w:rPr>
        <w:t xml:space="preserve"> </w:t>
      </w:r>
      <w:hyperlink r:id="rId47">
        <w:r>
          <w:rPr>
            <w:i/>
            <w:color w:val="68942C"/>
            <w:sz w:val="18"/>
            <w:u w:val="single" w:color="68942C"/>
          </w:rPr>
          <w:t>2021</w:t>
        </w:r>
        <w:r>
          <w:rPr>
            <w:i/>
            <w:color w:val="68942C"/>
            <w:spacing w:val="-3"/>
            <w:sz w:val="18"/>
            <w:u w:val="single" w:color="68942C"/>
          </w:rPr>
          <w:t xml:space="preserve"> </w:t>
        </w:r>
        <w:r>
          <w:rPr>
            <w:i/>
            <w:color w:val="68942C"/>
            <w:sz w:val="18"/>
            <w:u w:val="single" w:color="68942C"/>
          </w:rPr>
          <w:t>Energy</w:t>
        </w:r>
        <w:r>
          <w:rPr>
            <w:i/>
            <w:color w:val="68942C"/>
            <w:spacing w:val="-3"/>
            <w:sz w:val="18"/>
            <w:u w:val="single" w:color="68942C"/>
          </w:rPr>
          <w:t xml:space="preserve"> </w:t>
        </w:r>
        <w:r>
          <w:rPr>
            <w:i/>
            <w:color w:val="68942C"/>
            <w:sz w:val="18"/>
            <w:u w:val="single" w:color="68942C"/>
          </w:rPr>
          <w:t>Efficiency</w:t>
        </w:r>
        <w:r>
          <w:rPr>
            <w:i/>
            <w:color w:val="68942C"/>
            <w:spacing w:val="-3"/>
            <w:sz w:val="18"/>
            <w:u w:val="single" w:color="68942C"/>
          </w:rPr>
          <w:t xml:space="preserve"> </w:t>
        </w:r>
        <w:r>
          <w:rPr>
            <w:i/>
            <w:color w:val="68942C"/>
            <w:sz w:val="18"/>
            <w:u w:val="single" w:color="68942C"/>
          </w:rPr>
          <w:t>Potential</w:t>
        </w:r>
        <w:r>
          <w:rPr>
            <w:i/>
            <w:color w:val="68942C"/>
            <w:spacing w:val="-3"/>
            <w:sz w:val="18"/>
            <w:u w:val="single" w:color="68942C"/>
          </w:rPr>
          <w:t xml:space="preserve"> </w:t>
        </w:r>
        <w:r>
          <w:rPr>
            <w:i/>
            <w:color w:val="68942C"/>
            <w:sz w:val="18"/>
            <w:u w:val="single" w:color="68942C"/>
          </w:rPr>
          <w:t>and</w:t>
        </w:r>
        <w:r>
          <w:rPr>
            <w:i/>
            <w:color w:val="68942C"/>
            <w:spacing w:val="-4"/>
            <w:sz w:val="18"/>
            <w:u w:val="single" w:color="68942C"/>
          </w:rPr>
          <w:t xml:space="preserve"> </w:t>
        </w:r>
        <w:r>
          <w:rPr>
            <w:i/>
            <w:color w:val="68942C"/>
            <w:sz w:val="18"/>
            <w:u w:val="single" w:color="68942C"/>
          </w:rPr>
          <w:t>Goals</w:t>
        </w:r>
        <w:r>
          <w:rPr>
            <w:i/>
            <w:color w:val="68942C"/>
            <w:spacing w:val="-3"/>
            <w:sz w:val="18"/>
            <w:u w:val="single" w:color="68942C"/>
          </w:rPr>
          <w:t xml:space="preserve"> </w:t>
        </w:r>
        <w:r>
          <w:rPr>
            <w:i/>
            <w:color w:val="68942C"/>
            <w:sz w:val="18"/>
            <w:u w:val="single" w:color="68942C"/>
          </w:rPr>
          <w:t>Study</w:t>
        </w:r>
        <w:r>
          <w:rPr>
            <w:sz w:val="18"/>
          </w:rPr>
          <w:t>,</w:t>
        </w:r>
      </w:hyperlink>
      <w:r>
        <w:rPr>
          <w:spacing w:val="-3"/>
          <w:sz w:val="18"/>
        </w:rPr>
        <w:t xml:space="preserve"> </w:t>
      </w:r>
      <w:r>
        <w:rPr>
          <w:sz w:val="18"/>
        </w:rPr>
        <w:t>August</w:t>
      </w:r>
      <w:r>
        <w:rPr>
          <w:spacing w:val="-2"/>
          <w:sz w:val="18"/>
        </w:rPr>
        <w:t xml:space="preserve"> 2021.</w:t>
      </w:r>
    </w:p>
    <w:p w:rsidR="00C31389" w:rsidRDefault="00561FBD" w14:paraId="078BA792" w14:textId="77777777">
      <w:pPr>
        <w:spacing w:before="36"/>
        <w:ind w:left="480"/>
        <w:rPr>
          <w:sz w:val="18"/>
        </w:rPr>
      </w:pPr>
      <w:bookmarkStart w:name="_bookmark24" w:id="29"/>
      <w:bookmarkEnd w:id="29"/>
      <w:r>
        <w:rPr>
          <w:position w:val="6"/>
          <w:sz w:val="12"/>
        </w:rPr>
        <w:t>7</w:t>
      </w:r>
      <w:r>
        <w:rPr>
          <w:spacing w:val="17"/>
          <w:position w:val="6"/>
          <w:sz w:val="12"/>
        </w:rPr>
        <w:t xml:space="preserve"> </w:t>
      </w:r>
      <w:hyperlink r:id="rId48">
        <w:r>
          <w:rPr>
            <w:color w:val="68942C"/>
            <w:spacing w:val="-2"/>
            <w:sz w:val="18"/>
            <w:u w:val="single" w:color="68942C"/>
          </w:rPr>
          <w:t>https://leginfo.legislature.ca.gov/faces/billTextClient.xhtml?bil</w:t>
        </w:r>
        <w:r>
          <w:rPr>
            <w:color w:val="68942C"/>
            <w:spacing w:val="-2"/>
            <w:sz w:val="18"/>
            <w:u w:val="single" w:color="68942C"/>
          </w:rPr>
          <w:t>l_id=201520160SB350</w:t>
        </w:r>
      </w:hyperlink>
    </w:p>
    <w:p w:rsidR="00C31389" w:rsidRDefault="00C31389" w14:paraId="13A8474F" w14:textId="77777777">
      <w:pPr>
        <w:rPr>
          <w:sz w:val="18"/>
        </w:rPr>
        <w:sectPr w:rsidR="00C31389">
          <w:headerReference w:type="default" r:id="rId49"/>
          <w:footerReference w:type="default" r:id="rId50"/>
          <w:pgSz w:w="12240" w:h="15840"/>
          <w:pgMar w:top="1380" w:right="960" w:bottom="1120" w:left="960" w:header="397" w:footer="936" w:gutter="0"/>
          <w:pgNumType w:start="1"/>
          <w:cols w:space="720"/>
        </w:sectPr>
      </w:pPr>
    </w:p>
    <w:p w:rsidR="00C31389" w:rsidRDefault="00C31389" w14:paraId="39C46F2D" w14:textId="77777777">
      <w:pPr>
        <w:pStyle w:val="BodyText"/>
        <w:spacing w:before="11"/>
        <w:rPr>
          <w:sz w:val="13"/>
        </w:rPr>
      </w:pPr>
    </w:p>
    <w:p w:rsidR="00C31389" w:rsidRDefault="00561FBD" w14:paraId="3FE9E425" w14:textId="77777777">
      <w:pPr>
        <w:pStyle w:val="BodyText"/>
        <w:spacing w:before="92"/>
        <w:ind w:left="1200" w:right="533"/>
      </w:pPr>
      <w:r>
        <w:t>necessary</w:t>
      </w:r>
      <w:r>
        <w:rPr>
          <w:spacing w:val="-4"/>
        </w:rPr>
        <w:t xml:space="preserve"> </w:t>
      </w:r>
      <w:r>
        <w:t>to</w:t>
      </w:r>
      <w:r>
        <w:rPr>
          <w:spacing w:val="-3"/>
        </w:rPr>
        <w:t xml:space="preserve"> </w:t>
      </w:r>
      <w:r>
        <w:t>develop</w:t>
      </w:r>
      <w:r>
        <w:rPr>
          <w:spacing w:val="-3"/>
        </w:rPr>
        <w:t xml:space="preserve"> </w:t>
      </w:r>
      <w:r>
        <w:t>outputs</w:t>
      </w:r>
      <w:r>
        <w:rPr>
          <w:spacing w:val="-3"/>
        </w:rPr>
        <w:t xml:space="preserve"> </w:t>
      </w:r>
      <w:r>
        <w:t>in</w:t>
      </w:r>
      <w:r>
        <w:rPr>
          <w:spacing w:val="-3"/>
        </w:rPr>
        <w:t xml:space="preserve"> </w:t>
      </w:r>
      <w:r>
        <w:t>a</w:t>
      </w:r>
      <w:r>
        <w:rPr>
          <w:spacing w:val="-4"/>
        </w:rPr>
        <w:t xml:space="preserve"> </w:t>
      </w:r>
      <w:r>
        <w:t>manner</w:t>
      </w:r>
      <w:r>
        <w:rPr>
          <w:spacing w:val="-3"/>
        </w:rPr>
        <w:t xml:space="preserve"> </w:t>
      </w:r>
      <w:r>
        <w:t>that</w:t>
      </w:r>
      <w:r>
        <w:rPr>
          <w:spacing w:val="-3"/>
        </w:rPr>
        <w:t xml:space="preserve"> </w:t>
      </w:r>
      <w:r>
        <w:t>is</w:t>
      </w:r>
      <w:r>
        <w:rPr>
          <w:spacing w:val="-3"/>
        </w:rPr>
        <w:t xml:space="preserve"> </w:t>
      </w:r>
      <w:r>
        <w:t>most</w:t>
      </w:r>
      <w:r>
        <w:rPr>
          <w:spacing w:val="-3"/>
        </w:rPr>
        <w:t xml:space="preserve"> </w:t>
      </w:r>
      <w:r>
        <w:t>appropriate</w:t>
      </w:r>
      <w:r>
        <w:rPr>
          <w:spacing w:val="-3"/>
        </w:rPr>
        <w:t xml:space="preserve"> </w:t>
      </w:r>
      <w:r>
        <w:t>for</w:t>
      </w:r>
      <w:r>
        <w:rPr>
          <w:spacing w:val="-3"/>
        </w:rPr>
        <w:t xml:space="preserve"> </w:t>
      </w:r>
      <w:r>
        <w:t>their</w:t>
      </w:r>
      <w:r>
        <w:rPr>
          <w:spacing w:val="-3"/>
        </w:rPr>
        <w:t xml:space="preserve"> </w:t>
      </w:r>
      <w:r>
        <w:t>planning</w:t>
      </w:r>
      <w:r>
        <w:rPr>
          <w:spacing w:val="-3"/>
        </w:rPr>
        <w:t xml:space="preserve"> </w:t>
      </w:r>
      <w:r>
        <w:t>and procurement needs.</w:t>
      </w:r>
    </w:p>
    <w:p w:rsidR="00C31389" w:rsidRDefault="00C31389" w14:paraId="0AE22E45" w14:textId="77777777">
      <w:pPr>
        <w:pStyle w:val="BodyText"/>
        <w:spacing w:before="9"/>
        <w:rPr>
          <w:sz w:val="20"/>
        </w:rPr>
      </w:pPr>
    </w:p>
    <w:p w:rsidR="00C31389" w:rsidRDefault="00561FBD" w14:paraId="2215C3D7" w14:textId="77777777">
      <w:pPr>
        <w:pStyle w:val="BodyText"/>
        <w:spacing w:before="1"/>
        <w:ind w:left="480" w:right="485" w:hanging="1"/>
      </w:pPr>
      <w:r>
        <w:t>The</w:t>
      </w:r>
      <w:r>
        <w:rPr>
          <w:spacing w:val="-3"/>
        </w:rPr>
        <w:t xml:space="preserve"> </w:t>
      </w:r>
      <w:r>
        <w:t>2023</w:t>
      </w:r>
      <w:r>
        <w:rPr>
          <w:spacing w:val="-3"/>
        </w:rPr>
        <w:t xml:space="preserve"> </w:t>
      </w:r>
      <w:r>
        <w:t>Study</w:t>
      </w:r>
      <w:r>
        <w:rPr>
          <w:spacing w:val="-3"/>
        </w:rPr>
        <w:t xml:space="preserve"> </w:t>
      </w:r>
      <w:r>
        <w:t>continues</w:t>
      </w:r>
      <w:r>
        <w:rPr>
          <w:spacing w:val="-3"/>
        </w:rPr>
        <w:t xml:space="preserve"> </w:t>
      </w:r>
      <w:r>
        <w:t>to</w:t>
      </w:r>
      <w:r>
        <w:rPr>
          <w:spacing w:val="-3"/>
        </w:rPr>
        <w:t xml:space="preserve"> </w:t>
      </w:r>
      <w:r>
        <w:t>apply</w:t>
      </w:r>
      <w:r>
        <w:rPr>
          <w:spacing w:val="-3"/>
        </w:rPr>
        <w:t xml:space="preserve"> </w:t>
      </w:r>
      <w:r>
        <w:t>the</w:t>
      </w:r>
      <w:r>
        <w:rPr>
          <w:spacing w:val="-3"/>
        </w:rPr>
        <w:t xml:space="preserve"> </w:t>
      </w:r>
      <w:r>
        <w:t>enhancements</w:t>
      </w:r>
      <w:r>
        <w:rPr>
          <w:spacing w:val="-3"/>
        </w:rPr>
        <w:t xml:space="preserve"> </w:t>
      </w:r>
      <w:r>
        <w:t>from</w:t>
      </w:r>
      <w:r>
        <w:rPr>
          <w:spacing w:val="-4"/>
        </w:rPr>
        <w:t xml:space="preserve"> </w:t>
      </w:r>
      <w:r>
        <w:t>the</w:t>
      </w:r>
      <w:r>
        <w:rPr>
          <w:spacing w:val="-2"/>
        </w:rPr>
        <w:t xml:space="preserve"> </w:t>
      </w:r>
      <w:r>
        <w:t>2021</w:t>
      </w:r>
      <w:r>
        <w:rPr>
          <w:spacing w:val="-3"/>
        </w:rPr>
        <w:t xml:space="preserve"> </w:t>
      </w:r>
      <w:r>
        <w:t>Study</w:t>
      </w:r>
      <w:r>
        <w:rPr>
          <w:spacing w:val="-3"/>
        </w:rPr>
        <w:t xml:space="preserve"> </w:t>
      </w:r>
      <w:r>
        <w:t>(key</w:t>
      </w:r>
      <w:r>
        <w:rPr>
          <w:spacing w:val="-3"/>
        </w:rPr>
        <w:t xml:space="preserve"> </w:t>
      </w:r>
      <w:r>
        <w:t>areas</w:t>
      </w:r>
      <w:r>
        <w:rPr>
          <w:spacing w:val="-3"/>
        </w:rPr>
        <w:t xml:space="preserve"> </w:t>
      </w:r>
      <w:r>
        <w:t>that</w:t>
      </w:r>
      <w:r>
        <w:rPr>
          <w:spacing w:val="-3"/>
        </w:rPr>
        <w:t xml:space="preserve"> </w:t>
      </w:r>
      <w:r>
        <w:t xml:space="preserve">were updated are discussed further in Section </w:t>
      </w:r>
      <w:hyperlink w:history="1" w:anchor="_bookmark30">
        <w:r>
          <w:t>1.3</w:t>
        </w:r>
      </w:hyperlink>
      <w:r>
        <w:t>). The project kicked off in July 2022, and the draft workplan was presented to stakeholders on August 2, 2022. The 2023 Study was further informed by stakeholder sessions to review approaches for the low income sector an</w:t>
      </w:r>
      <w:r>
        <w:t>d 2023 Study scenarios.</w:t>
      </w:r>
    </w:p>
    <w:p w:rsidR="00C31389" w:rsidRDefault="00561FBD" w14:paraId="3806E07A" w14:textId="77777777">
      <w:pPr>
        <w:pStyle w:val="BodyText"/>
        <w:spacing w:before="120"/>
        <w:ind w:left="480" w:right="565"/>
      </w:pPr>
      <w:r>
        <w:t>The study period spans from 2024 to 2035 based on the direction provided by the CPUC. The study</w:t>
      </w:r>
      <w:r>
        <w:rPr>
          <w:spacing w:val="-3"/>
        </w:rPr>
        <w:t xml:space="preserve"> </w:t>
      </w:r>
      <w:r>
        <w:t>focuses</w:t>
      </w:r>
      <w:r>
        <w:rPr>
          <w:spacing w:val="-3"/>
        </w:rPr>
        <w:t xml:space="preserve"> </w:t>
      </w:r>
      <w:r>
        <w:t>on</w:t>
      </w:r>
      <w:r>
        <w:rPr>
          <w:spacing w:val="-3"/>
        </w:rPr>
        <w:t xml:space="preserve"> </w:t>
      </w:r>
      <w:r>
        <w:t>current</w:t>
      </w:r>
      <w:r>
        <w:rPr>
          <w:spacing w:val="-3"/>
        </w:rPr>
        <w:t xml:space="preserve"> </w:t>
      </w:r>
      <w:r>
        <w:t>and</w:t>
      </w:r>
      <w:r>
        <w:rPr>
          <w:spacing w:val="-3"/>
        </w:rPr>
        <w:t xml:space="preserve"> </w:t>
      </w:r>
      <w:r>
        <w:t>potential</w:t>
      </w:r>
      <w:r>
        <w:rPr>
          <w:spacing w:val="-3"/>
        </w:rPr>
        <w:t xml:space="preserve"> </w:t>
      </w:r>
      <w:r>
        <w:t>drivers</w:t>
      </w:r>
      <w:r>
        <w:rPr>
          <w:spacing w:val="-3"/>
        </w:rPr>
        <w:t xml:space="preserve"> </w:t>
      </w:r>
      <w:r>
        <w:t>of</w:t>
      </w:r>
      <w:r>
        <w:rPr>
          <w:spacing w:val="-6"/>
        </w:rPr>
        <w:t xml:space="preserve"> </w:t>
      </w:r>
      <w:r>
        <w:t>energy</w:t>
      </w:r>
      <w:r>
        <w:rPr>
          <w:spacing w:val="-3"/>
        </w:rPr>
        <w:t xml:space="preserve"> </w:t>
      </w:r>
      <w:r>
        <w:t>savings</w:t>
      </w:r>
      <w:r>
        <w:rPr>
          <w:spacing w:val="-2"/>
        </w:rPr>
        <w:t xml:space="preserve"> </w:t>
      </w:r>
      <w:r>
        <w:t>and</w:t>
      </w:r>
      <w:r>
        <w:rPr>
          <w:spacing w:val="-3"/>
        </w:rPr>
        <w:t xml:space="preserve"> </w:t>
      </w:r>
      <w:r>
        <w:t>total</w:t>
      </w:r>
      <w:r>
        <w:rPr>
          <w:spacing w:val="-3"/>
        </w:rPr>
        <w:t xml:space="preserve"> </w:t>
      </w:r>
      <w:r>
        <w:t>system</w:t>
      </w:r>
      <w:r>
        <w:rPr>
          <w:spacing w:val="-4"/>
        </w:rPr>
        <w:t xml:space="preserve"> </w:t>
      </w:r>
      <w:r>
        <w:t>benefit</w:t>
      </w:r>
      <w:r>
        <w:rPr>
          <w:spacing w:val="-3"/>
        </w:rPr>
        <w:t xml:space="preserve"> </w:t>
      </w:r>
      <w:r>
        <w:t>(TSB) in IOU service areas. Analysis of potential in</w:t>
      </w:r>
      <w:r>
        <w:t xml:space="preserve"> publicly owned utility service territories is not part of the scope of this effort.</w:t>
      </w:r>
    </w:p>
    <w:p w:rsidR="00C31389" w:rsidRDefault="00C31389" w14:paraId="7ADE8C32" w14:textId="77777777">
      <w:pPr>
        <w:pStyle w:val="BodyText"/>
        <w:spacing w:before="10"/>
        <w:rPr>
          <w:sz w:val="20"/>
        </w:rPr>
      </w:pPr>
    </w:p>
    <w:p w:rsidR="00C31389" w:rsidRDefault="00561FBD" w14:paraId="46B55F3D" w14:textId="77777777">
      <w:pPr>
        <w:pStyle w:val="Heading2"/>
        <w:numPr>
          <w:ilvl w:val="1"/>
          <w:numId w:val="71"/>
        </w:numPr>
        <w:tabs>
          <w:tab w:val="left" w:pos="945"/>
        </w:tabs>
        <w:spacing w:before="1"/>
        <w:ind w:left="945" w:hanging="465"/>
      </w:pPr>
      <w:bookmarkStart w:name="1.2_Types_of_Potential" w:id="30"/>
      <w:bookmarkStart w:name="_bookmark25" w:id="31"/>
      <w:bookmarkEnd w:id="30"/>
      <w:bookmarkEnd w:id="31"/>
      <w:r>
        <w:t>Types</w:t>
      </w:r>
      <w:r>
        <w:rPr>
          <w:spacing w:val="-7"/>
        </w:rPr>
        <w:t xml:space="preserve"> </w:t>
      </w:r>
      <w:r>
        <w:t>of</w:t>
      </w:r>
      <w:r>
        <w:rPr>
          <w:spacing w:val="-7"/>
        </w:rPr>
        <w:t xml:space="preserve"> </w:t>
      </w:r>
      <w:r>
        <w:rPr>
          <w:spacing w:val="-2"/>
        </w:rPr>
        <w:t>Potential</w:t>
      </w:r>
    </w:p>
    <w:p w:rsidR="00C31389" w:rsidRDefault="00561FBD" w14:paraId="3713716A" w14:textId="77777777">
      <w:pPr>
        <w:pStyle w:val="BodyText"/>
        <w:spacing w:before="239"/>
        <w:ind w:left="480" w:right="533"/>
      </w:pPr>
      <w:r>
        <w:t>Consistent</w:t>
      </w:r>
      <w:r>
        <w:rPr>
          <w:spacing w:val="-4"/>
        </w:rPr>
        <w:t xml:space="preserve"> </w:t>
      </w:r>
      <w:r>
        <w:t>with</w:t>
      </w:r>
      <w:r>
        <w:rPr>
          <w:spacing w:val="-3"/>
        </w:rPr>
        <w:t xml:space="preserve"> </w:t>
      </w:r>
      <w:r>
        <w:t>the</w:t>
      </w:r>
      <w:r>
        <w:rPr>
          <w:spacing w:val="-3"/>
        </w:rPr>
        <w:t xml:space="preserve"> </w:t>
      </w:r>
      <w:r>
        <w:t>2021</w:t>
      </w:r>
      <w:r>
        <w:rPr>
          <w:spacing w:val="-3"/>
        </w:rPr>
        <w:t xml:space="preserve"> </w:t>
      </w:r>
      <w:r>
        <w:t>Study</w:t>
      </w:r>
      <w:r>
        <w:rPr>
          <w:spacing w:val="-3"/>
        </w:rPr>
        <w:t xml:space="preserve"> </w:t>
      </w:r>
      <w:r>
        <w:t>and</w:t>
      </w:r>
      <w:r>
        <w:rPr>
          <w:spacing w:val="-4"/>
        </w:rPr>
        <w:t xml:space="preserve"> </w:t>
      </w:r>
      <w:r>
        <w:t>common</w:t>
      </w:r>
      <w:r>
        <w:rPr>
          <w:spacing w:val="-3"/>
        </w:rPr>
        <w:t xml:space="preserve"> </w:t>
      </w:r>
      <w:r>
        <w:t>industry</w:t>
      </w:r>
      <w:r>
        <w:rPr>
          <w:spacing w:val="-3"/>
        </w:rPr>
        <w:t xml:space="preserve"> </w:t>
      </w:r>
      <w:r>
        <w:t>practice,</w:t>
      </w:r>
      <w:r>
        <w:rPr>
          <w:spacing w:val="-3"/>
        </w:rPr>
        <w:t xml:space="preserve"> </w:t>
      </w:r>
      <w:r>
        <w:t>the</w:t>
      </w:r>
      <w:r>
        <w:rPr>
          <w:spacing w:val="-3"/>
        </w:rPr>
        <w:t xml:space="preserve"> </w:t>
      </w:r>
      <w:r>
        <w:t>2023</w:t>
      </w:r>
      <w:r>
        <w:rPr>
          <w:spacing w:val="-4"/>
        </w:rPr>
        <w:t xml:space="preserve"> </w:t>
      </w:r>
      <w:r>
        <w:t>Study</w:t>
      </w:r>
      <w:r>
        <w:rPr>
          <w:spacing w:val="-3"/>
        </w:rPr>
        <w:t xml:space="preserve"> </w:t>
      </w:r>
      <w:r>
        <w:t>forecasts potential at three levels for rebate programs:</w:t>
      </w:r>
    </w:p>
    <w:p w:rsidR="00C31389" w:rsidRDefault="00561FBD" w14:paraId="7FF2C991" w14:textId="77777777">
      <w:pPr>
        <w:pStyle w:val="ListParagraph"/>
        <w:numPr>
          <w:ilvl w:val="0"/>
          <w:numId w:val="68"/>
        </w:numPr>
        <w:tabs>
          <w:tab w:val="left" w:pos="1199"/>
        </w:tabs>
        <w:spacing w:before="120"/>
        <w:ind w:right="485"/>
        <w:rPr>
          <w:sz w:val="14"/>
        </w:rPr>
      </w:pPr>
      <w:r>
        <w:rPr>
          <w:b/>
        </w:rPr>
        <w:t>Technical</w:t>
      </w:r>
      <w:r>
        <w:rPr>
          <w:b/>
          <w:spacing w:val="-4"/>
        </w:rPr>
        <w:t xml:space="preserve"> </w:t>
      </w:r>
      <w:r>
        <w:rPr>
          <w:b/>
        </w:rPr>
        <w:t>potential:</w:t>
      </w:r>
      <w:r>
        <w:rPr>
          <w:b/>
          <w:spacing w:val="-4"/>
        </w:rPr>
        <w:t xml:space="preserve"> </w:t>
      </w:r>
      <w:r>
        <w:t>Technical</w:t>
      </w:r>
      <w:r>
        <w:rPr>
          <w:spacing w:val="-4"/>
        </w:rPr>
        <w:t xml:space="preserve"> </w:t>
      </w:r>
      <w:r>
        <w:t>potential</w:t>
      </w:r>
      <w:r>
        <w:rPr>
          <w:spacing w:val="-4"/>
        </w:rPr>
        <w:t xml:space="preserve"> </w:t>
      </w:r>
      <w:r>
        <w:t>is</w:t>
      </w:r>
      <w:r>
        <w:rPr>
          <w:spacing w:val="-4"/>
        </w:rPr>
        <w:t xml:space="preserve"> </w:t>
      </w:r>
      <w:r>
        <w:t>defined</w:t>
      </w:r>
      <w:r>
        <w:rPr>
          <w:spacing w:val="-4"/>
        </w:rPr>
        <w:t xml:space="preserve"> </w:t>
      </w:r>
      <w:r>
        <w:t>as</w:t>
      </w:r>
      <w:r>
        <w:rPr>
          <w:spacing w:val="-4"/>
        </w:rPr>
        <w:t xml:space="preserve"> </w:t>
      </w:r>
      <w:r>
        <w:t>the</w:t>
      </w:r>
      <w:r>
        <w:rPr>
          <w:spacing w:val="-4"/>
        </w:rPr>
        <w:t xml:space="preserve"> </w:t>
      </w:r>
      <w:r>
        <w:t>amount</w:t>
      </w:r>
      <w:r>
        <w:rPr>
          <w:spacing w:val="-4"/>
        </w:rPr>
        <w:t xml:space="preserve"> </w:t>
      </w:r>
      <w:r>
        <w:t>of</w:t>
      </w:r>
      <w:r>
        <w:rPr>
          <w:spacing w:val="-4"/>
        </w:rPr>
        <w:t xml:space="preserve"> </w:t>
      </w:r>
      <w:r>
        <w:t>energy</w:t>
      </w:r>
      <w:r>
        <w:rPr>
          <w:spacing w:val="-4"/>
        </w:rPr>
        <w:t xml:space="preserve"> </w:t>
      </w:r>
      <w:r>
        <w:t>savings</w:t>
      </w:r>
      <w:r>
        <w:rPr>
          <w:spacing w:val="-4"/>
        </w:rPr>
        <w:t xml:space="preserve"> </w:t>
      </w:r>
      <w:r>
        <w:t xml:space="preserve">that would be possible if the highest level of efficiency within a group of competing measures for all technically applicable opportunities to improve EE or FS were taken. Technical </w:t>
      </w:r>
      <w:r>
        <w:t>potential in</w:t>
      </w:r>
      <w:r>
        <w:rPr>
          <w:spacing w:val="-1"/>
        </w:rPr>
        <w:t xml:space="preserve"> </w:t>
      </w:r>
      <w:r>
        <w:t>existing</w:t>
      </w:r>
      <w:r>
        <w:rPr>
          <w:spacing w:val="-1"/>
        </w:rPr>
        <w:t xml:space="preserve"> </w:t>
      </w:r>
      <w:r>
        <w:t>buildings represents the replacement of applicable</w:t>
      </w:r>
      <w:r>
        <w:rPr>
          <w:spacing w:val="-1"/>
        </w:rPr>
        <w:t xml:space="preserve"> </w:t>
      </w:r>
      <w:r>
        <w:t>equipment-based technologies with the highest level of efficiency available, regardless of the cost of the replacement. Technical potential in new construction buildings represents in</w:t>
      </w:r>
      <w:r>
        <w:t>stallation of the highest level of efficiency at the time of construction. Technical potential in this study is undefined for codes and standards (C&amp;S); whole building; and behavior, retrocommissioning (RCx), and operational efficiency (BROs) programs.</w:t>
      </w:r>
      <w:r>
        <w:rPr>
          <w:spacing w:val="-33"/>
        </w:rPr>
        <w:t xml:space="preserve"> </w:t>
      </w:r>
      <w:hyperlink w:history="1" w:anchor="_bookmark26">
        <w:r>
          <w:rPr>
            <w:position w:val="7"/>
            <w:sz w:val="14"/>
          </w:rPr>
          <w:t>8</w:t>
        </w:r>
      </w:hyperlink>
    </w:p>
    <w:p w:rsidR="00C31389" w:rsidRDefault="00561FBD" w14:paraId="202BCC9E" w14:textId="77777777">
      <w:pPr>
        <w:pStyle w:val="ListParagraph"/>
        <w:numPr>
          <w:ilvl w:val="0"/>
          <w:numId w:val="68"/>
        </w:numPr>
        <w:tabs>
          <w:tab w:val="left" w:pos="1199"/>
        </w:tabs>
        <w:spacing w:before="119"/>
        <w:ind w:right="597" w:hanging="361"/>
        <w:rPr>
          <w:sz w:val="14"/>
        </w:rPr>
      </w:pPr>
      <w:r>
        <w:rPr>
          <w:b/>
        </w:rPr>
        <w:t>Economic</w:t>
      </w:r>
      <w:r>
        <w:rPr>
          <w:b/>
          <w:spacing w:val="-4"/>
        </w:rPr>
        <w:t xml:space="preserve"> </w:t>
      </w:r>
      <w:r>
        <w:rPr>
          <w:b/>
        </w:rPr>
        <w:t>potential:</w:t>
      </w:r>
      <w:r>
        <w:rPr>
          <w:b/>
          <w:spacing w:val="-4"/>
        </w:rPr>
        <w:t xml:space="preserve"> </w:t>
      </w:r>
      <w:r>
        <w:t>Using</w:t>
      </w:r>
      <w:r>
        <w:rPr>
          <w:spacing w:val="-4"/>
        </w:rPr>
        <w:t xml:space="preserve"> </w:t>
      </w:r>
      <w:r>
        <w:t>the</w:t>
      </w:r>
      <w:r>
        <w:rPr>
          <w:spacing w:val="-4"/>
        </w:rPr>
        <w:t xml:space="preserve"> </w:t>
      </w:r>
      <w:r>
        <w:t>results</w:t>
      </w:r>
      <w:r>
        <w:rPr>
          <w:spacing w:val="-4"/>
        </w:rPr>
        <w:t xml:space="preserve"> </w:t>
      </w:r>
      <w:r>
        <w:t>of</w:t>
      </w:r>
      <w:r>
        <w:rPr>
          <w:spacing w:val="-4"/>
        </w:rPr>
        <w:t xml:space="preserve"> </w:t>
      </w:r>
      <w:r>
        <w:t>the</w:t>
      </w:r>
      <w:r>
        <w:rPr>
          <w:spacing w:val="-4"/>
        </w:rPr>
        <w:t xml:space="preserve"> </w:t>
      </w:r>
      <w:r>
        <w:t>technical</w:t>
      </w:r>
      <w:r>
        <w:rPr>
          <w:spacing w:val="-4"/>
        </w:rPr>
        <w:t xml:space="preserve"> </w:t>
      </w:r>
      <w:r>
        <w:t>potential</w:t>
      </w:r>
      <w:r>
        <w:rPr>
          <w:spacing w:val="-4"/>
        </w:rPr>
        <w:t xml:space="preserve"> </w:t>
      </w:r>
      <w:r>
        <w:t>analysis,</w:t>
      </w:r>
      <w:r>
        <w:rPr>
          <w:spacing w:val="-4"/>
        </w:rPr>
        <w:t xml:space="preserve"> </w:t>
      </w:r>
      <w:r>
        <w:t>the</w:t>
      </w:r>
      <w:r>
        <w:rPr>
          <w:spacing w:val="-4"/>
        </w:rPr>
        <w:t xml:space="preserve"> </w:t>
      </w:r>
      <w:r>
        <w:t>economic potential</w:t>
      </w:r>
      <w:r>
        <w:rPr>
          <w:spacing w:val="-3"/>
        </w:rPr>
        <w:t xml:space="preserve"> </w:t>
      </w:r>
      <w:r>
        <w:t>is</w:t>
      </w:r>
      <w:r>
        <w:rPr>
          <w:spacing w:val="-3"/>
        </w:rPr>
        <w:t xml:space="preserve"> </w:t>
      </w:r>
      <w:r>
        <w:t>calculated</w:t>
      </w:r>
      <w:r>
        <w:rPr>
          <w:spacing w:val="-3"/>
        </w:rPr>
        <w:t xml:space="preserve"> </w:t>
      </w:r>
      <w:r>
        <w:t>as</w:t>
      </w:r>
      <w:r>
        <w:rPr>
          <w:spacing w:val="-4"/>
        </w:rPr>
        <w:t xml:space="preserve"> </w:t>
      </w:r>
      <w:r>
        <w:t>the</w:t>
      </w:r>
      <w:r>
        <w:rPr>
          <w:spacing w:val="-3"/>
        </w:rPr>
        <w:t xml:space="preserve"> </w:t>
      </w:r>
      <w:r>
        <w:t>total</w:t>
      </w:r>
      <w:r>
        <w:rPr>
          <w:spacing w:val="-3"/>
        </w:rPr>
        <w:t xml:space="preserve"> </w:t>
      </w:r>
      <w:r>
        <w:t>potential</w:t>
      </w:r>
      <w:r>
        <w:rPr>
          <w:spacing w:val="-3"/>
        </w:rPr>
        <w:t xml:space="preserve"> </w:t>
      </w:r>
      <w:r>
        <w:t>available</w:t>
      </w:r>
      <w:r>
        <w:rPr>
          <w:spacing w:val="-3"/>
        </w:rPr>
        <w:t xml:space="preserve"> </w:t>
      </w:r>
      <w:r>
        <w:t>when</w:t>
      </w:r>
      <w:r>
        <w:rPr>
          <w:spacing w:val="-3"/>
        </w:rPr>
        <w:t xml:space="preserve"> </w:t>
      </w:r>
      <w:r>
        <w:t>limited</w:t>
      </w:r>
      <w:r>
        <w:rPr>
          <w:spacing w:val="-3"/>
        </w:rPr>
        <w:t xml:space="preserve"> </w:t>
      </w:r>
      <w:r>
        <w:t>to</w:t>
      </w:r>
      <w:r>
        <w:rPr>
          <w:spacing w:val="-3"/>
        </w:rPr>
        <w:t xml:space="preserve"> </w:t>
      </w:r>
      <w:r>
        <w:t>only</w:t>
      </w:r>
      <w:r>
        <w:rPr>
          <w:spacing w:val="-3"/>
        </w:rPr>
        <w:t xml:space="preserve"> </w:t>
      </w:r>
      <w:r>
        <w:t>measures</w:t>
      </w:r>
      <w:r>
        <w:rPr>
          <w:spacing w:val="-3"/>
        </w:rPr>
        <w:t xml:space="preserve"> </w:t>
      </w:r>
      <w:r>
        <w:t xml:space="preserve">that pass a </w:t>
      </w:r>
      <w:r>
        <w:t>specific measure-level cost-effectiveness threshold.</w:t>
      </w:r>
      <w:r>
        <w:rPr>
          <w:spacing w:val="-38"/>
        </w:rPr>
        <w:t xml:space="preserve"> </w:t>
      </w:r>
      <w:hyperlink w:history="1" w:anchor="_bookmark27">
        <w:r>
          <w:rPr>
            <w:position w:val="7"/>
            <w:sz w:val="14"/>
          </w:rPr>
          <w:t>9</w:t>
        </w:r>
      </w:hyperlink>
      <w:r>
        <w:rPr>
          <w:spacing w:val="35"/>
          <w:position w:val="7"/>
          <w:sz w:val="14"/>
        </w:rPr>
        <w:t xml:space="preserve"> </w:t>
      </w:r>
      <w:r>
        <w:t>Economic potential is a subset</w:t>
      </w:r>
      <w:r>
        <w:rPr>
          <w:spacing w:val="-3"/>
        </w:rPr>
        <w:t xml:space="preserve"> </w:t>
      </w:r>
      <w:r>
        <w:t>of</w:t>
      </w:r>
      <w:r>
        <w:rPr>
          <w:spacing w:val="-3"/>
        </w:rPr>
        <w:t xml:space="preserve"> </w:t>
      </w:r>
      <w:r>
        <w:t>technical</w:t>
      </w:r>
      <w:r>
        <w:rPr>
          <w:spacing w:val="-3"/>
        </w:rPr>
        <w:t xml:space="preserve"> </w:t>
      </w:r>
      <w:r>
        <w:t>potential.</w:t>
      </w:r>
      <w:r>
        <w:rPr>
          <w:spacing w:val="-3"/>
        </w:rPr>
        <w:t xml:space="preserve"> </w:t>
      </w:r>
      <w:r>
        <w:t>Economic</w:t>
      </w:r>
      <w:r>
        <w:rPr>
          <w:spacing w:val="-3"/>
        </w:rPr>
        <w:t xml:space="preserve"> </w:t>
      </w:r>
      <w:r>
        <w:t>potential</w:t>
      </w:r>
      <w:r>
        <w:rPr>
          <w:spacing w:val="-3"/>
        </w:rPr>
        <w:t xml:space="preserve"> </w:t>
      </w:r>
      <w:r>
        <w:t>may</w:t>
      </w:r>
      <w:r>
        <w:rPr>
          <w:spacing w:val="-3"/>
        </w:rPr>
        <w:t xml:space="preserve"> </w:t>
      </w:r>
      <w:r>
        <w:t>be</w:t>
      </w:r>
      <w:r>
        <w:rPr>
          <w:spacing w:val="-3"/>
        </w:rPr>
        <w:t xml:space="preserve"> </w:t>
      </w:r>
      <w:r>
        <w:t>a</w:t>
      </w:r>
      <w:r>
        <w:rPr>
          <w:spacing w:val="-3"/>
        </w:rPr>
        <w:t xml:space="preserve"> </w:t>
      </w:r>
      <w:r>
        <w:t>fraction</w:t>
      </w:r>
      <w:r>
        <w:rPr>
          <w:spacing w:val="-3"/>
        </w:rPr>
        <w:t xml:space="preserve"> </w:t>
      </w:r>
      <w:r>
        <w:t>of</w:t>
      </w:r>
      <w:r>
        <w:rPr>
          <w:spacing w:val="-3"/>
        </w:rPr>
        <w:t xml:space="preserve"> </w:t>
      </w:r>
      <w:r>
        <w:t>technical</w:t>
      </w:r>
      <w:r>
        <w:rPr>
          <w:spacing w:val="-3"/>
        </w:rPr>
        <w:t xml:space="preserve"> </w:t>
      </w:r>
      <w:r>
        <w:t>potential as the economic scree</w:t>
      </w:r>
      <w:r>
        <w:t>n is applied separately to new construction versus existing buildings. Economic potential may contain lower efficiency measures compared with those</w:t>
      </w:r>
      <w:r>
        <w:rPr>
          <w:spacing w:val="-2"/>
        </w:rPr>
        <w:t xml:space="preserve"> </w:t>
      </w:r>
      <w:r>
        <w:t>included</w:t>
      </w:r>
      <w:r>
        <w:rPr>
          <w:spacing w:val="-2"/>
        </w:rPr>
        <w:t xml:space="preserve"> </w:t>
      </w:r>
      <w:r>
        <w:t>in</w:t>
      </w:r>
      <w:r>
        <w:rPr>
          <w:spacing w:val="-2"/>
        </w:rPr>
        <w:t xml:space="preserve"> </w:t>
      </w:r>
      <w:r>
        <w:t>the</w:t>
      </w:r>
      <w:r>
        <w:rPr>
          <w:spacing w:val="-2"/>
        </w:rPr>
        <w:t xml:space="preserve"> </w:t>
      </w:r>
      <w:r>
        <w:t>technical</w:t>
      </w:r>
      <w:r>
        <w:rPr>
          <w:spacing w:val="-2"/>
        </w:rPr>
        <w:t xml:space="preserve"> </w:t>
      </w:r>
      <w:r>
        <w:t>potential.</w:t>
      </w:r>
      <w:r>
        <w:rPr>
          <w:spacing w:val="-2"/>
        </w:rPr>
        <w:t xml:space="preserve"> </w:t>
      </w:r>
      <w:r>
        <w:t>This</w:t>
      </w:r>
      <w:r>
        <w:rPr>
          <w:spacing w:val="-3"/>
        </w:rPr>
        <w:t xml:space="preserve"> </w:t>
      </w:r>
      <w:r>
        <w:t>would</w:t>
      </w:r>
      <w:r>
        <w:rPr>
          <w:spacing w:val="-2"/>
        </w:rPr>
        <w:t xml:space="preserve"> </w:t>
      </w:r>
      <w:r>
        <w:t>be</w:t>
      </w:r>
      <w:r>
        <w:rPr>
          <w:spacing w:val="-2"/>
        </w:rPr>
        <w:t xml:space="preserve"> </w:t>
      </w:r>
      <w:r>
        <w:t>the</w:t>
      </w:r>
      <w:r>
        <w:rPr>
          <w:spacing w:val="-2"/>
        </w:rPr>
        <w:t xml:space="preserve"> </w:t>
      </w:r>
      <w:r>
        <w:t>case</w:t>
      </w:r>
      <w:r>
        <w:rPr>
          <w:spacing w:val="-2"/>
        </w:rPr>
        <w:t xml:space="preserve"> </w:t>
      </w:r>
      <w:r>
        <w:t>if</w:t>
      </w:r>
      <w:r>
        <w:rPr>
          <w:spacing w:val="-2"/>
        </w:rPr>
        <w:t xml:space="preserve"> </w:t>
      </w:r>
      <w:r>
        <w:t>the</w:t>
      </w:r>
      <w:r>
        <w:rPr>
          <w:spacing w:val="-2"/>
        </w:rPr>
        <w:t xml:space="preserve"> </w:t>
      </w:r>
      <w:r>
        <w:t>highest</w:t>
      </w:r>
      <w:r>
        <w:rPr>
          <w:spacing w:val="-2"/>
        </w:rPr>
        <w:t xml:space="preserve"> </w:t>
      </w:r>
      <w:r>
        <w:t>efficiency measure representing t</w:t>
      </w:r>
      <w:r>
        <w:t>he technical potential is not cost-effective within a group of competing measures. Economic potential is undefined for C&amp;S, whole building, BROs, and low income programs.</w:t>
      </w:r>
      <w:r>
        <w:rPr>
          <w:spacing w:val="-26"/>
        </w:rPr>
        <w:t xml:space="preserve"> </w:t>
      </w:r>
      <w:hyperlink w:history="1" w:anchor="_bookmark28">
        <w:r>
          <w:rPr>
            <w:position w:val="7"/>
            <w:sz w:val="14"/>
          </w:rPr>
          <w:t>10</w:t>
        </w:r>
      </w:hyperlink>
    </w:p>
    <w:p w:rsidR="00C31389" w:rsidRDefault="00561FBD" w14:paraId="4B559680" w14:textId="77777777">
      <w:pPr>
        <w:pStyle w:val="ListParagraph"/>
        <w:numPr>
          <w:ilvl w:val="0"/>
          <w:numId w:val="68"/>
        </w:numPr>
        <w:tabs>
          <w:tab w:val="left" w:pos="1199"/>
        </w:tabs>
        <w:spacing w:before="117"/>
        <w:ind w:right="705"/>
      </w:pPr>
      <w:r>
        <w:rPr>
          <w:b/>
        </w:rPr>
        <w:t>Achievable</w:t>
      </w:r>
      <w:r>
        <w:rPr>
          <w:b/>
          <w:spacing w:val="-4"/>
        </w:rPr>
        <w:t xml:space="preserve"> </w:t>
      </w:r>
      <w:r>
        <w:rPr>
          <w:b/>
        </w:rPr>
        <w:t>potenti</w:t>
      </w:r>
      <w:r>
        <w:rPr>
          <w:b/>
        </w:rPr>
        <w:t>al:</w:t>
      </w:r>
      <w:r>
        <w:rPr>
          <w:b/>
          <w:spacing w:val="-4"/>
        </w:rPr>
        <w:t xml:space="preserve"> </w:t>
      </w:r>
      <w:r>
        <w:t>The</w:t>
      </w:r>
      <w:r>
        <w:rPr>
          <w:spacing w:val="-4"/>
        </w:rPr>
        <w:t xml:space="preserve"> </w:t>
      </w:r>
      <w:r>
        <w:t>final</w:t>
      </w:r>
      <w:r>
        <w:rPr>
          <w:spacing w:val="-4"/>
        </w:rPr>
        <w:t xml:space="preserve"> </w:t>
      </w:r>
      <w:r>
        <w:t>output</w:t>
      </w:r>
      <w:r>
        <w:rPr>
          <w:spacing w:val="-4"/>
        </w:rPr>
        <w:t xml:space="preserve"> </w:t>
      </w:r>
      <w:r>
        <w:t>of</w:t>
      </w:r>
      <w:r>
        <w:rPr>
          <w:spacing w:val="-4"/>
        </w:rPr>
        <w:t xml:space="preserve"> </w:t>
      </w:r>
      <w:r>
        <w:t>the</w:t>
      </w:r>
      <w:r>
        <w:rPr>
          <w:spacing w:val="-4"/>
        </w:rPr>
        <w:t xml:space="preserve"> </w:t>
      </w:r>
      <w:r>
        <w:t>potential</w:t>
      </w:r>
      <w:r>
        <w:rPr>
          <w:spacing w:val="-4"/>
        </w:rPr>
        <w:t xml:space="preserve"> </w:t>
      </w:r>
      <w:r>
        <w:t>study</w:t>
      </w:r>
      <w:r>
        <w:rPr>
          <w:spacing w:val="-4"/>
        </w:rPr>
        <w:t xml:space="preserve"> </w:t>
      </w:r>
      <w:r>
        <w:t>is</w:t>
      </w:r>
      <w:r>
        <w:rPr>
          <w:spacing w:val="-4"/>
        </w:rPr>
        <w:t xml:space="preserve"> </w:t>
      </w:r>
      <w:r>
        <w:t>an</w:t>
      </w:r>
      <w:r>
        <w:rPr>
          <w:spacing w:val="-4"/>
        </w:rPr>
        <w:t xml:space="preserve"> </w:t>
      </w:r>
      <w:r>
        <w:t>achievable</w:t>
      </w:r>
      <w:r>
        <w:rPr>
          <w:spacing w:val="-3"/>
        </w:rPr>
        <w:t xml:space="preserve"> </w:t>
      </w:r>
      <w:r>
        <w:t>potential analysis, which calculates the potential that could be expected in response to specific levels of</w:t>
      </w:r>
      <w:r>
        <w:rPr>
          <w:spacing w:val="-1"/>
        </w:rPr>
        <w:t xml:space="preserve"> </w:t>
      </w:r>
      <w:r>
        <w:t>incentives and</w:t>
      </w:r>
      <w:r>
        <w:rPr>
          <w:spacing w:val="-1"/>
        </w:rPr>
        <w:t xml:space="preserve"> </w:t>
      </w:r>
      <w:r>
        <w:t>assumptions about existing CPUC</w:t>
      </w:r>
      <w:r>
        <w:rPr>
          <w:spacing w:val="-1"/>
        </w:rPr>
        <w:t xml:space="preserve"> </w:t>
      </w:r>
      <w:r>
        <w:t>policies, market influences,</w:t>
      </w:r>
    </w:p>
    <w:p w:rsidR="00C31389" w:rsidRDefault="00561FBD" w14:paraId="2D7B82D2" w14:textId="77777777">
      <w:pPr>
        <w:pStyle w:val="BodyText"/>
        <w:rPr>
          <w:sz w:val="14"/>
        </w:rPr>
      </w:pPr>
      <w:r>
        <w:rPr>
          <w:noProof/>
        </w:rPr>
        <mc:AlternateContent>
          <mc:Choice Requires="wps">
            <w:drawing>
              <wp:anchor distT="0" distB="0" distL="0" distR="0" simplePos="0" relativeHeight="487599616" behindDoc="1" locked="0" layoutInCell="1" allowOverlap="1" wp14:editId="3D643C1B" wp14:anchorId="5623FB15">
                <wp:simplePos x="0" y="0"/>
                <wp:positionH relativeFrom="page">
                  <wp:posOffset>914400</wp:posOffset>
                </wp:positionH>
                <wp:positionV relativeFrom="paragraph">
                  <wp:posOffset>117920</wp:posOffset>
                </wp:positionV>
                <wp:extent cx="1828800" cy="698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1" style="position:absolute;margin-left:1in;margin-top:9.3pt;width:2in;height:.5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" w14:anchorId="291664DA">
                <v:path arrowok="t"/>
                <w10:wrap type="topAndBottom" anchorx="page"/>
              </v:shape>
            </w:pict>
          </mc:Fallback>
        </mc:AlternateContent>
      </w:r>
    </w:p>
    <w:p w:rsidR="00C31389" w:rsidRDefault="00561FBD" w14:paraId="76566F5A" w14:textId="77777777">
      <w:pPr>
        <w:spacing w:before="88"/>
        <w:ind w:left="480" w:right="533" w:hanging="1"/>
        <w:rPr>
          <w:sz w:val="18"/>
        </w:rPr>
      </w:pPr>
      <w:bookmarkStart w:name="_bookmark26" w:id="32"/>
      <w:bookmarkEnd w:id="32"/>
      <w:r>
        <w:rPr>
          <w:position w:val="6"/>
          <w:sz w:val="12"/>
        </w:rPr>
        <w:t>8</w:t>
      </w:r>
      <w:r>
        <w:rPr>
          <w:spacing w:val="14"/>
          <w:position w:val="6"/>
          <w:sz w:val="12"/>
        </w:rPr>
        <w:t xml:space="preserve"> </w:t>
      </w:r>
      <w:r>
        <w:rPr>
          <w:sz w:val="18"/>
        </w:rPr>
        <w:t>Any</w:t>
      </w:r>
      <w:r>
        <w:rPr>
          <w:spacing w:val="-3"/>
          <w:sz w:val="18"/>
        </w:rPr>
        <w:t xml:space="preserve"> </w:t>
      </w:r>
      <w:r>
        <w:rPr>
          <w:sz w:val="18"/>
        </w:rPr>
        <w:t>statement</w:t>
      </w:r>
      <w:r>
        <w:rPr>
          <w:spacing w:val="-3"/>
          <w:sz w:val="18"/>
        </w:rPr>
        <w:t xml:space="preserve"> </w:t>
      </w:r>
      <w:r>
        <w:rPr>
          <w:sz w:val="18"/>
        </w:rPr>
        <w:t>on</w:t>
      </w:r>
      <w:r>
        <w:rPr>
          <w:spacing w:val="-4"/>
          <w:sz w:val="18"/>
        </w:rPr>
        <w:t xml:space="preserve"> </w:t>
      </w:r>
      <w:r>
        <w:rPr>
          <w:sz w:val="18"/>
        </w:rPr>
        <w:t>technical</w:t>
      </w:r>
      <w:r>
        <w:rPr>
          <w:spacing w:val="-3"/>
          <w:sz w:val="18"/>
        </w:rPr>
        <w:t xml:space="preserve"> </w:t>
      </w:r>
      <w:r>
        <w:rPr>
          <w:sz w:val="18"/>
        </w:rPr>
        <w:t>potential</w:t>
      </w:r>
      <w:r>
        <w:rPr>
          <w:spacing w:val="-3"/>
          <w:sz w:val="18"/>
        </w:rPr>
        <w:t xml:space="preserve"> </w:t>
      </w:r>
      <w:r>
        <w:rPr>
          <w:sz w:val="18"/>
        </w:rPr>
        <w:t>for</w:t>
      </w:r>
      <w:r>
        <w:rPr>
          <w:spacing w:val="-3"/>
          <w:sz w:val="18"/>
        </w:rPr>
        <w:t xml:space="preserve"> </w:t>
      </w:r>
      <w:r>
        <w:rPr>
          <w:sz w:val="18"/>
        </w:rPr>
        <w:t>C&amp;S</w:t>
      </w:r>
      <w:r>
        <w:rPr>
          <w:spacing w:val="-3"/>
          <w:sz w:val="18"/>
        </w:rPr>
        <w:t xml:space="preserve"> </w:t>
      </w:r>
      <w:r>
        <w:rPr>
          <w:sz w:val="18"/>
        </w:rPr>
        <w:t>(a</w:t>
      </w:r>
      <w:r>
        <w:rPr>
          <w:spacing w:val="-4"/>
          <w:sz w:val="18"/>
        </w:rPr>
        <w:t xml:space="preserve"> </w:t>
      </w:r>
      <w:r>
        <w:rPr>
          <w:sz w:val="18"/>
        </w:rPr>
        <w:t>mandatory</w:t>
      </w:r>
      <w:r>
        <w:rPr>
          <w:spacing w:val="-3"/>
          <w:sz w:val="18"/>
        </w:rPr>
        <w:t xml:space="preserve"> </w:t>
      </w:r>
      <w:r>
        <w:rPr>
          <w:sz w:val="18"/>
        </w:rPr>
        <w:t>program)</w:t>
      </w:r>
      <w:r>
        <w:rPr>
          <w:spacing w:val="-3"/>
          <w:sz w:val="18"/>
        </w:rPr>
        <w:t xml:space="preserve"> </w:t>
      </w:r>
      <w:r>
        <w:rPr>
          <w:sz w:val="18"/>
        </w:rPr>
        <w:t>would</w:t>
      </w:r>
      <w:r>
        <w:rPr>
          <w:spacing w:val="-4"/>
          <w:sz w:val="18"/>
        </w:rPr>
        <w:t xml:space="preserve"> </w:t>
      </w:r>
      <w:r>
        <w:rPr>
          <w:sz w:val="18"/>
        </w:rPr>
        <w:t>completely</w:t>
      </w:r>
      <w:r>
        <w:rPr>
          <w:spacing w:val="-3"/>
          <w:sz w:val="18"/>
        </w:rPr>
        <w:t xml:space="preserve"> </w:t>
      </w:r>
      <w:r>
        <w:rPr>
          <w:sz w:val="18"/>
        </w:rPr>
        <w:t>overlap</w:t>
      </w:r>
      <w:r>
        <w:rPr>
          <w:spacing w:val="-4"/>
          <w:sz w:val="18"/>
        </w:rPr>
        <w:t xml:space="preserve"> </w:t>
      </w:r>
      <w:r>
        <w:rPr>
          <w:sz w:val="18"/>
        </w:rPr>
        <w:t>and</w:t>
      </w:r>
      <w:r>
        <w:rPr>
          <w:spacing w:val="-4"/>
          <w:sz w:val="18"/>
        </w:rPr>
        <w:t xml:space="preserve"> </w:t>
      </w:r>
      <w:r>
        <w:rPr>
          <w:sz w:val="18"/>
        </w:rPr>
        <w:t>negate</w:t>
      </w:r>
      <w:r>
        <w:rPr>
          <w:spacing w:val="-4"/>
          <w:sz w:val="18"/>
        </w:rPr>
        <w:t xml:space="preserve"> </w:t>
      </w:r>
      <w:r>
        <w:rPr>
          <w:sz w:val="18"/>
        </w:rPr>
        <w:t>savings potential from voluntary rebate programs. Thus, the team does not attempt to calculate technical potential for C&amp;S. Whole</w:t>
      </w:r>
      <w:r>
        <w:rPr>
          <w:spacing w:val="-1"/>
          <w:sz w:val="18"/>
        </w:rPr>
        <w:t xml:space="preserve"> </w:t>
      </w:r>
      <w:r>
        <w:rPr>
          <w:sz w:val="18"/>
        </w:rPr>
        <w:t>building savings are</w:t>
      </w:r>
      <w:r>
        <w:rPr>
          <w:spacing w:val="-1"/>
          <w:sz w:val="18"/>
        </w:rPr>
        <w:t xml:space="preserve"> </w:t>
      </w:r>
      <w:r>
        <w:rPr>
          <w:sz w:val="18"/>
        </w:rPr>
        <w:t>exclud</w:t>
      </w:r>
      <w:r>
        <w:rPr>
          <w:sz w:val="18"/>
        </w:rPr>
        <w:t>ed</w:t>
      </w:r>
      <w:r>
        <w:rPr>
          <w:spacing w:val="-1"/>
          <w:sz w:val="18"/>
        </w:rPr>
        <w:t xml:space="preserve"> </w:t>
      </w:r>
      <w:r>
        <w:rPr>
          <w:sz w:val="18"/>
        </w:rPr>
        <w:t>from technical potential because</w:t>
      </w:r>
      <w:r>
        <w:rPr>
          <w:spacing w:val="-1"/>
          <w:sz w:val="18"/>
        </w:rPr>
        <w:t xml:space="preserve"> </w:t>
      </w:r>
      <w:r>
        <w:rPr>
          <w:sz w:val="18"/>
        </w:rPr>
        <w:t>its savings would double</w:t>
      </w:r>
      <w:r>
        <w:rPr>
          <w:spacing w:val="-1"/>
          <w:sz w:val="18"/>
        </w:rPr>
        <w:t xml:space="preserve"> </w:t>
      </w:r>
      <w:r>
        <w:rPr>
          <w:sz w:val="18"/>
        </w:rPr>
        <w:t>count with</w:t>
      </w:r>
      <w:r>
        <w:rPr>
          <w:spacing w:val="-1"/>
          <w:sz w:val="18"/>
        </w:rPr>
        <w:t xml:space="preserve"> </w:t>
      </w:r>
      <w:r>
        <w:rPr>
          <w:sz w:val="18"/>
        </w:rPr>
        <w:t>individual rebated technologies. BRO technical potential is out of scope of this study because it is highly uncertain whether a technical potential for BROs would be additive to a tech</w:t>
      </w:r>
      <w:r>
        <w:rPr>
          <w:sz w:val="18"/>
        </w:rPr>
        <w:t>nical potential for rebate programs.</w:t>
      </w:r>
    </w:p>
    <w:p w:rsidR="00C31389" w:rsidRDefault="00561FBD" w14:paraId="6CFAD152" w14:textId="77777777">
      <w:pPr>
        <w:spacing w:before="37"/>
        <w:ind w:left="480"/>
        <w:rPr>
          <w:sz w:val="18"/>
        </w:rPr>
      </w:pPr>
      <w:bookmarkStart w:name="_bookmark27" w:id="33"/>
      <w:bookmarkEnd w:id="33"/>
      <w:r>
        <w:rPr>
          <w:position w:val="6"/>
          <w:sz w:val="12"/>
        </w:rPr>
        <w:t>9</w:t>
      </w:r>
      <w:r>
        <w:rPr>
          <w:spacing w:val="12"/>
          <w:position w:val="6"/>
          <w:sz w:val="12"/>
        </w:rPr>
        <w:t xml:space="preserve"> </w:t>
      </w:r>
      <w:r>
        <w:rPr>
          <w:sz w:val="18"/>
        </w:rPr>
        <w:t>The</w:t>
      </w:r>
      <w:r>
        <w:rPr>
          <w:spacing w:val="-3"/>
          <w:sz w:val="18"/>
        </w:rPr>
        <w:t xml:space="preserve"> </w:t>
      </w:r>
      <w:r>
        <w:rPr>
          <w:sz w:val="18"/>
        </w:rPr>
        <w:t>model</w:t>
      </w:r>
      <w:r>
        <w:rPr>
          <w:spacing w:val="-2"/>
          <w:sz w:val="18"/>
        </w:rPr>
        <w:t xml:space="preserve"> </w:t>
      </w:r>
      <w:r>
        <w:rPr>
          <w:sz w:val="18"/>
        </w:rPr>
        <w:t>can</w:t>
      </w:r>
      <w:r>
        <w:rPr>
          <w:spacing w:val="-3"/>
          <w:sz w:val="18"/>
        </w:rPr>
        <w:t xml:space="preserve"> </w:t>
      </w:r>
      <w:r>
        <w:rPr>
          <w:sz w:val="18"/>
        </w:rPr>
        <w:t>use</w:t>
      </w:r>
      <w:r>
        <w:rPr>
          <w:spacing w:val="-3"/>
          <w:sz w:val="18"/>
        </w:rPr>
        <w:t xml:space="preserve"> </w:t>
      </w:r>
      <w:r>
        <w:rPr>
          <w:sz w:val="18"/>
        </w:rPr>
        <w:t>different</w:t>
      </w:r>
      <w:r>
        <w:rPr>
          <w:spacing w:val="-2"/>
          <w:sz w:val="18"/>
        </w:rPr>
        <w:t xml:space="preserve"> </w:t>
      </w:r>
      <w:r>
        <w:rPr>
          <w:sz w:val="18"/>
        </w:rPr>
        <w:t>metrics</w:t>
      </w:r>
      <w:r>
        <w:rPr>
          <w:spacing w:val="-2"/>
          <w:sz w:val="18"/>
        </w:rPr>
        <w:t xml:space="preserve"> </w:t>
      </w:r>
      <w:r>
        <w:rPr>
          <w:sz w:val="18"/>
        </w:rPr>
        <w:t>of</w:t>
      </w:r>
      <w:r>
        <w:rPr>
          <w:spacing w:val="-2"/>
          <w:sz w:val="18"/>
        </w:rPr>
        <w:t xml:space="preserve"> </w:t>
      </w:r>
      <w:r>
        <w:rPr>
          <w:sz w:val="18"/>
        </w:rPr>
        <w:t>cost-effectiveness</w:t>
      </w:r>
      <w:r>
        <w:rPr>
          <w:spacing w:val="-2"/>
          <w:sz w:val="18"/>
        </w:rPr>
        <w:t xml:space="preserve"> </w:t>
      </w:r>
      <w:r>
        <w:rPr>
          <w:sz w:val="18"/>
        </w:rPr>
        <w:t>as</w:t>
      </w:r>
      <w:r>
        <w:rPr>
          <w:spacing w:val="-2"/>
          <w:sz w:val="18"/>
        </w:rPr>
        <w:t xml:space="preserve"> </w:t>
      </w:r>
      <w:r>
        <w:rPr>
          <w:sz w:val="18"/>
        </w:rPr>
        <w:t>defined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California</w:t>
      </w:r>
      <w:r>
        <w:rPr>
          <w:spacing w:val="-2"/>
          <w:sz w:val="18"/>
        </w:rPr>
        <w:t xml:space="preserve"> </w:t>
      </w:r>
      <w:r>
        <w:rPr>
          <w:sz w:val="18"/>
        </w:rPr>
        <w:t>Standard</w:t>
      </w:r>
      <w:r>
        <w:rPr>
          <w:spacing w:val="-3"/>
          <w:sz w:val="18"/>
        </w:rPr>
        <w:t xml:space="preserve"> </w:t>
      </w:r>
      <w:r>
        <w:rPr>
          <w:sz w:val="18"/>
        </w:rPr>
        <w:t>Practice</w:t>
      </w:r>
      <w:r>
        <w:rPr>
          <w:spacing w:val="-3"/>
          <w:sz w:val="18"/>
        </w:rPr>
        <w:t xml:space="preserve"> </w:t>
      </w:r>
      <w:r>
        <w:rPr>
          <w:spacing w:val="-2"/>
          <w:sz w:val="18"/>
        </w:rPr>
        <w:t>Manual.</w:t>
      </w:r>
    </w:p>
    <w:p w:rsidR="00C31389" w:rsidRDefault="00561FBD" w14:paraId="6D3D19EB" w14:textId="77777777">
      <w:pPr>
        <w:spacing w:before="36"/>
        <w:ind w:left="479" w:right="533"/>
        <w:rPr>
          <w:sz w:val="18"/>
        </w:rPr>
      </w:pPr>
      <w:bookmarkStart w:name="_bookmark28" w:id="34"/>
      <w:bookmarkEnd w:id="34"/>
      <w:r>
        <w:rPr>
          <w:position w:val="6"/>
          <w:sz w:val="12"/>
        </w:rPr>
        <w:t>10</w:t>
      </w:r>
      <w:r>
        <w:rPr>
          <w:spacing w:val="14"/>
          <w:position w:val="6"/>
          <w:sz w:val="12"/>
        </w:rPr>
        <w:t xml:space="preserve"> </w:t>
      </w:r>
      <w:r>
        <w:rPr>
          <w:sz w:val="18"/>
        </w:rPr>
        <w:t>While</w:t>
      </w:r>
      <w:r>
        <w:rPr>
          <w:spacing w:val="-4"/>
          <w:sz w:val="18"/>
        </w:rPr>
        <w:t xml:space="preserve"> </w:t>
      </w:r>
      <w:r>
        <w:rPr>
          <w:sz w:val="18"/>
        </w:rPr>
        <w:t>technical</w:t>
      </w:r>
      <w:r>
        <w:rPr>
          <w:spacing w:val="-3"/>
          <w:sz w:val="18"/>
        </w:rPr>
        <w:t xml:space="preserve"> </w:t>
      </w:r>
      <w:r>
        <w:rPr>
          <w:sz w:val="18"/>
        </w:rPr>
        <w:t>potential</w:t>
      </w:r>
      <w:r>
        <w:rPr>
          <w:spacing w:val="-3"/>
          <w:sz w:val="18"/>
        </w:rPr>
        <w:t xml:space="preserve"> </w:t>
      </w:r>
      <w:r>
        <w:rPr>
          <w:sz w:val="18"/>
        </w:rPr>
        <w:t>is</w:t>
      </w:r>
      <w:r>
        <w:rPr>
          <w:spacing w:val="-3"/>
          <w:sz w:val="18"/>
        </w:rPr>
        <w:t xml:space="preserve"> </w:t>
      </w:r>
      <w:r>
        <w:rPr>
          <w:sz w:val="18"/>
        </w:rPr>
        <w:t>calculated</w:t>
      </w:r>
      <w:r>
        <w:rPr>
          <w:spacing w:val="-4"/>
          <w:sz w:val="18"/>
        </w:rPr>
        <w:t xml:space="preserve"> </w:t>
      </w:r>
      <w:r>
        <w:rPr>
          <w:sz w:val="18"/>
        </w:rPr>
        <w:t>for</w:t>
      </w:r>
      <w:r>
        <w:rPr>
          <w:spacing w:val="-3"/>
          <w:sz w:val="18"/>
        </w:rPr>
        <w:t xml:space="preserve"> </w:t>
      </w:r>
      <w:r>
        <w:rPr>
          <w:sz w:val="18"/>
        </w:rPr>
        <w:t>low</w:t>
      </w:r>
      <w:r>
        <w:rPr>
          <w:spacing w:val="-2"/>
          <w:sz w:val="18"/>
        </w:rPr>
        <w:t xml:space="preserve"> </w:t>
      </w:r>
      <w:r>
        <w:rPr>
          <w:sz w:val="18"/>
        </w:rPr>
        <w:t>income</w:t>
      </w:r>
      <w:r>
        <w:rPr>
          <w:spacing w:val="-4"/>
          <w:sz w:val="18"/>
        </w:rPr>
        <w:t xml:space="preserve"> </w:t>
      </w:r>
      <w:r>
        <w:rPr>
          <w:sz w:val="18"/>
        </w:rPr>
        <w:t>programs,</w:t>
      </w:r>
      <w:r>
        <w:rPr>
          <w:spacing w:val="-3"/>
          <w:sz w:val="18"/>
        </w:rPr>
        <w:t xml:space="preserve"> </w:t>
      </w:r>
      <w:r>
        <w:rPr>
          <w:sz w:val="18"/>
        </w:rPr>
        <w:t>estimating</w:t>
      </w:r>
      <w:r>
        <w:rPr>
          <w:spacing w:val="-2"/>
          <w:sz w:val="18"/>
        </w:rPr>
        <w:t xml:space="preserve"> </w:t>
      </w:r>
      <w:r>
        <w:rPr>
          <w:sz w:val="18"/>
        </w:rPr>
        <w:t>the</w:t>
      </w:r>
      <w:r>
        <w:rPr>
          <w:spacing w:val="-4"/>
          <w:sz w:val="18"/>
        </w:rPr>
        <w:t xml:space="preserve"> </w:t>
      </w:r>
      <w:r>
        <w:rPr>
          <w:sz w:val="18"/>
        </w:rPr>
        <w:t>cost-effectiveness</w:t>
      </w:r>
      <w:r>
        <w:rPr>
          <w:spacing w:val="-3"/>
          <w:sz w:val="18"/>
        </w:rPr>
        <w:t xml:space="preserve"> </w:t>
      </w:r>
      <w:r>
        <w:rPr>
          <w:sz w:val="18"/>
        </w:rPr>
        <w:t>of</w:t>
      </w:r>
      <w:r>
        <w:rPr>
          <w:spacing w:val="-3"/>
          <w:sz w:val="18"/>
        </w:rPr>
        <w:t xml:space="preserve"> </w:t>
      </w:r>
      <w:r>
        <w:rPr>
          <w:sz w:val="18"/>
        </w:rPr>
        <w:t>these measures using standard cost-effectiveness tests was not in scope for this study.</w:t>
      </w:r>
    </w:p>
    <w:p w:rsidR="00C31389" w:rsidRDefault="00C31389" w14:paraId="5C183232" w14:textId="77777777">
      <w:pPr>
        <w:rPr>
          <w:sz w:val="18"/>
        </w:rPr>
        <w:sectPr w:rsidR="00C31389">
          <w:headerReference w:type="default" r:id="rId51"/>
          <w:footerReference w:type="default" r:id="rId52"/>
          <w:pgSz w:w="12240" w:h="15840"/>
          <w:pgMar w:top="1660" w:right="960" w:bottom="1120" w:left="960" w:header="397" w:footer="936" w:gutter="0"/>
          <w:cols w:space="720"/>
        </w:sectPr>
      </w:pPr>
    </w:p>
    <w:p w:rsidR="00C31389" w:rsidRDefault="00C31389" w14:paraId="274AA2AC" w14:textId="77777777">
      <w:pPr>
        <w:pStyle w:val="BodyText"/>
        <w:spacing w:before="11"/>
        <w:rPr>
          <w:sz w:val="13"/>
        </w:rPr>
      </w:pPr>
    </w:p>
    <w:p w:rsidR="00C31389" w:rsidRDefault="00561FBD" w14:paraId="754F79A5" w14:textId="77777777">
      <w:pPr>
        <w:pStyle w:val="BodyText"/>
        <w:spacing w:before="92"/>
        <w:ind w:left="1199" w:right="629"/>
      </w:pPr>
      <w:r>
        <w:t>and</w:t>
      </w:r>
      <w:r>
        <w:rPr>
          <w:spacing w:val="-3"/>
        </w:rPr>
        <w:t xml:space="preserve"> </w:t>
      </w:r>
      <w:r>
        <w:t>barriers.</w:t>
      </w:r>
      <w:r>
        <w:rPr>
          <w:spacing w:val="-3"/>
        </w:rPr>
        <w:t xml:space="preserve"> </w:t>
      </w:r>
      <w:r>
        <w:t>Some</w:t>
      </w:r>
      <w:r>
        <w:rPr>
          <w:spacing w:val="-3"/>
        </w:rPr>
        <w:t xml:space="preserve"> </w:t>
      </w:r>
      <w:r>
        <w:t>studies</w:t>
      </w:r>
      <w:r>
        <w:rPr>
          <w:spacing w:val="-3"/>
        </w:rPr>
        <w:t xml:space="preserve"> </w:t>
      </w:r>
      <w:r>
        <w:t>also</w:t>
      </w:r>
      <w:r>
        <w:rPr>
          <w:spacing w:val="-3"/>
        </w:rPr>
        <w:t xml:space="preserve"> </w:t>
      </w:r>
      <w:r>
        <w:t>refer</w:t>
      </w:r>
      <w:r>
        <w:rPr>
          <w:spacing w:val="-4"/>
        </w:rPr>
        <w:t xml:space="preserve"> </w:t>
      </w:r>
      <w:r>
        <w:t>to</w:t>
      </w:r>
      <w:r>
        <w:rPr>
          <w:spacing w:val="-3"/>
        </w:rPr>
        <w:t xml:space="preserve"> </w:t>
      </w:r>
      <w:r>
        <w:t>this</w:t>
      </w:r>
      <w:r>
        <w:rPr>
          <w:spacing w:val="-3"/>
        </w:rPr>
        <w:t xml:space="preserve"> </w:t>
      </w:r>
      <w:r>
        <w:t>as</w:t>
      </w:r>
      <w:r>
        <w:rPr>
          <w:spacing w:val="-3"/>
        </w:rPr>
        <w:t xml:space="preserve"> </w:t>
      </w:r>
      <w:r>
        <w:t>market</w:t>
      </w:r>
      <w:r>
        <w:rPr>
          <w:spacing w:val="-3"/>
        </w:rPr>
        <w:t xml:space="preserve"> </w:t>
      </w:r>
      <w:r>
        <w:t>potential.</w:t>
      </w:r>
      <w:r>
        <w:rPr>
          <w:spacing w:val="-3"/>
        </w:rPr>
        <w:t xml:space="preserve"> </w:t>
      </w:r>
      <w:r>
        <w:t>Achievable</w:t>
      </w:r>
      <w:r>
        <w:rPr>
          <w:spacing w:val="-3"/>
        </w:rPr>
        <w:t xml:space="preserve"> </w:t>
      </w:r>
      <w:r>
        <w:t>potential</w:t>
      </w:r>
      <w:r>
        <w:rPr>
          <w:spacing w:val="-4"/>
        </w:rPr>
        <w:t xml:space="preserve"> </w:t>
      </w:r>
      <w:r>
        <w:t>is a subset of economic potential but may include additional measures beyond what are included in the economic potential. Achievable potential allows any measure that is</w:t>
      </w:r>
    </w:p>
    <w:p w:rsidR="00C31389" w:rsidRDefault="00561FBD" w14:paraId="04FAB4FE" w14:textId="77777777">
      <w:pPr>
        <w:pStyle w:val="BodyText"/>
        <w:ind w:left="1199" w:right="533" w:hanging="1"/>
      </w:pPr>
      <w:r>
        <w:t>cost-effective</w:t>
      </w:r>
      <w:r>
        <w:rPr>
          <w:spacing w:val="-4"/>
        </w:rPr>
        <w:t xml:space="preserve"> </w:t>
      </w:r>
      <w:r>
        <w:t>to</w:t>
      </w:r>
      <w:r>
        <w:rPr>
          <w:spacing w:val="-4"/>
        </w:rPr>
        <w:t xml:space="preserve"> </w:t>
      </w:r>
      <w:r>
        <w:t>be</w:t>
      </w:r>
      <w:r>
        <w:rPr>
          <w:spacing w:val="-4"/>
        </w:rPr>
        <w:t xml:space="preserve"> </w:t>
      </w:r>
      <w:r>
        <w:t>adopted</w:t>
      </w:r>
      <w:r>
        <w:rPr>
          <w:spacing w:val="-4"/>
        </w:rPr>
        <w:t xml:space="preserve"> </w:t>
      </w:r>
      <w:r>
        <w:t>within</w:t>
      </w:r>
      <w:r>
        <w:rPr>
          <w:spacing w:val="-4"/>
        </w:rPr>
        <w:t xml:space="preserve"> </w:t>
      </w:r>
      <w:r>
        <w:t>a</w:t>
      </w:r>
      <w:r>
        <w:rPr>
          <w:spacing w:val="-5"/>
        </w:rPr>
        <w:t xml:space="preserve"> </w:t>
      </w:r>
      <w:r>
        <w:t>group</w:t>
      </w:r>
      <w:r>
        <w:rPr>
          <w:spacing w:val="-4"/>
        </w:rPr>
        <w:t xml:space="preserve"> </w:t>
      </w:r>
      <w:r>
        <w:t>of</w:t>
      </w:r>
      <w:r>
        <w:rPr>
          <w:spacing w:val="-4"/>
        </w:rPr>
        <w:t xml:space="preserve"> </w:t>
      </w:r>
      <w:r>
        <w:t>competing</w:t>
      </w:r>
      <w:r>
        <w:rPr>
          <w:spacing w:val="-4"/>
        </w:rPr>
        <w:t xml:space="preserve"> </w:t>
      </w:r>
      <w:r>
        <w:t>measures.</w:t>
      </w:r>
      <w:r>
        <w:rPr>
          <w:spacing w:val="-4"/>
        </w:rPr>
        <w:t xml:space="preserve"> </w:t>
      </w:r>
      <w:r>
        <w:t>Achievable</w:t>
      </w:r>
      <w:r>
        <w:rPr>
          <w:spacing w:val="-3"/>
        </w:rPr>
        <w:t xml:space="preserve"> </w:t>
      </w:r>
      <w:r>
        <w:t>potential is used to</w:t>
      </w:r>
      <w:r>
        <w:rPr>
          <w:spacing w:val="-1"/>
        </w:rPr>
        <w:t xml:space="preserve"> </w:t>
      </w:r>
      <w:r>
        <w:t>inform</w:t>
      </w:r>
      <w:r>
        <w:rPr>
          <w:spacing w:val="-1"/>
        </w:rPr>
        <w:t xml:space="preserve"> </w:t>
      </w:r>
      <w:r>
        <w:t>the utilities’ goals, as determined by the CPUC. Achievable potential</w:t>
      </w:r>
      <w:r>
        <w:rPr>
          <w:spacing w:val="-1"/>
        </w:rPr>
        <w:t xml:space="preserve"> </w:t>
      </w:r>
      <w:r>
        <w:t xml:space="preserve">is primarily reported as a net savings value (CPUC shifted to setting goals based on net </w:t>
      </w:r>
      <w:r>
        <w:t>savings in 2017), though gross values are also produced by the PG Model. The 2023 Study also includes detailed output for TSB.</w:t>
      </w:r>
    </w:p>
    <w:p w:rsidR="00C31389" w:rsidRDefault="00C31389" w14:paraId="20FE261A" w14:textId="77777777">
      <w:pPr>
        <w:pStyle w:val="BodyText"/>
        <w:spacing w:before="10"/>
        <w:rPr>
          <w:sz w:val="20"/>
        </w:rPr>
      </w:pPr>
    </w:p>
    <w:p w:rsidR="00C31389" w:rsidRDefault="00561FBD" w14:paraId="51088544" w14:textId="77777777">
      <w:pPr>
        <w:pStyle w:val="BodyText"/>
        <w:ind w:left="480" w:right="533" w:hanging="1"/>
      </w:pPr>
      <w:r>
        <w:t>Achievable</w:t>
      </w:r>
      <w:r>
        <w:rPr>
          <w:spacing w:val="-4"/>
        </w:rPr>
        <w:t xml:space="preserve"> </w:t>
      </w:r>
      <w:r>
        <w:t>potential</w:t>
      </w:r>
      <w:r>
        <w:rPr>
          <w:spacing w:val="-3"/>
        </w:rPr>
        <w:t xml:space="preserve"> </w:t>
      </w:r>
      <w:r>
        <w:t>is</w:t>
      </w:r>
      <w:r>
        <w:rPr>
          <w:spacing w:val="-3"/>
        </w:rPr>
        <w:t xml:space="preserve"> </w:t>
      </w:r>
      <w:r>
        <w:t>represented</w:t>
      </w:r>
      <w:r>
        <w:rPr>
          <w:spacing w:val="-3"/>
        </w:rPr>
        <w:t xml:space="preserve"> </w:t>
      </w:r>
      <w:r>
        <w:t>in</w:t>
      </w:r>
      <w:r>
        <w:rPr>
          <w:spacing w:val="-3"/>
        </w:rPr>
        <w:t xml:space="preserve"> </w:t>
      </w:r>
      <w:r>
        <w:t>the</w:t>
      </w:r>
      <w:r>
        <w:rPr>
          <w:spacing w:val="-3"/>
        </w:rPr>
        <w:t xml:space="preserve"> </w:t>
      </w:r>
      <w:r>
        <w:t>2023</w:t>
      </w:r>
      <w:r>
        <w:rPr>
          <w:spacing w:val="-3"/>
        </w:rPr>
        <w:t xml:space="preserve"> </w:t>
      </w:r>
      <w:r>
        <w:t>Study</w:t>
      </w:r>
      <w:r>
        <w:rPr>
          <w:spacing w:val="-3"/>
        </w:rPr>
        <w:t xml:space="preserve"> </w:t>
      </w:r>
      <w:r>
        <w:t>several</w:t>
      </w:r>
      <w:r>
        <w:rPr>
          <w:spacing w:val="-3"/>
        </w:rPr>
        <w:t xml:space="preserve"> </w:t>
      </w:r>
      <w:r>
        <w:t>ways;</w:t>
      </w:r>
      <w:r>
        <w:rPr>
          <w:spacing w:val="-3"/>
        </w:rPr>
        <w:t xml:space="preserve"> </w:t>
      </w:r>
      <w:r>
        <w:t>each</w:t>
      </w:r>
      <w:r>
        <w:rPr>
          <w:spacing w:val="-3"/>
        </w:rPr>
        <w:t xml:space="preserve"> </w:t>
      </w:r>
      <w:r>
        <w:t>way</w:t>
      </w:r>
      <w:r>
        <w:rPr>
          <w:spacing w:val="-3"/>
        </w:rPr>
        <w:t xml:space="preserve"> </w:t>
      </w:r>
      <w:r>
        <w:t>is</w:t>
      </w:r>
      <w:r>
        <w:rPr>
          <w:spacing w:val="-3"/>
        </w:rPr>
        <w:t xml:space="preserve"> </w:t>
      </w:r>
      <w:r>
        <w:t>based</w:t>
      </w:r>
      <w:r>
        <w:rPr>
          <w:spacing w:val="-3"/>
        </w:rPr>
        <w:t xml:space="preserve"> </w:t>
      </w:r>
      <w:r>
        <w:t>on</w:t>
      </w:r>
      <w:r>
        <w:rPr>
          <w:spacing w:val="-3"/>
        </w:rPr>
        <w:t xml:space="preserve"> </w:t>
      </w:r>
      <w:r>
        <w:t>the same data and assumptions, though e</w:t>
      </w:r>
      <w:r>
        <w:t xml:space="preserve">ach serves separate needs and provides necessary </w:t>
      </w:r>
      <w:r>
        <w:rPr>
          <w:spacing w:val="-2"/>
        </w:rPr>
        <w:t>perspectives:</w:t>
      </w:r>
    </w:p>
    <w:p w:rsidR="00C31389" w:rsidRDefault="00561FBD" w14:paraId="4EED6907" w14:textId="77777777">
      <w:pPr>
        <w:pStyle w:val="ListParagraph"/>
        <w:numPr>
          <w:ilvl w:val="0"/>
          <w:numId w:val="68"/>
        </w:numPr>
        <w:tabs>
          <w:tab w:val="left" w:pos="1200"/>
        </w:tabs>
        <w:spacing w:before="120"/>
        <w:ind w:left="1200" w:right="535"/>
      </w:pPr>
      <w:r>
        <w:rPr>
          <w:b/>
        </w:rPr>
        <w:t xml:space="preserve">Incremental first-year net savings </w:t>
      </w:r>
      <w:r>
        <w:t>represent the annual energy and demand savings achieved by the set of measures and BROs programs in the first year the measure is implemented. It does not con</w:t>
      </w:r>
      <w:r>
        <w:t>sider the additional savings the measure will produce over the</w:t>
      </w:r>
      <w:r>
        <w:rPr>
          <w:spacing w:val="-3"/>
        </w:rPr>
        <w:t xml:space="preserve"> </w:t>
      </w:r>
      <w:r>
        <w:t>life</w:t>
      </w:r>
      <w:r>
        <w:rPr>
          <w:spacing w:val="-3"/>
        </w:rPr>
        <w:t xml:space="preserve"> </w:t>
      </w:r>
      <w:r>
        <w:t>of</w:t>
      </w:r>
      <w:r>
        <w:rPr>
          <w:spacing w:val="-3"/>
        </w:rPr>
        <w:t xml:space="preserve"> </w:t>
      </w:r>
      <w:r>
        <w:t>the</w:t>
      </w:r>
      <w:r>
        <w:rPr>
          <w:spacing w:val="-3"/>
        </w:rPr>
        <w:t xml:space="preserve"> </w:t>
      </w:r>
      <w:r>
        <w:t>equipment.</w:t>
      </w:r>
      <w:r>
        <w:rPr>
          <w:spacing w:val="-3"/>
        </w:rPr>
        <w:t xml:space="preserve"> </w:t>
      </w:r>
      <w:r>
        <w:t>A</w:t>
      </w:r>
      <w:r>
        <w:rPr>
          <w:spacing w:val="-3"/>
        </w:rPr>
        <w:t xml:space="preserve"> </w:t>
      </w:r>
      <w:r>
        <w:t>view</w:t>
      </w:r>
      <w:r>
        <w:rPr>
          <w:spacing w:val="-4"/>
        </w:rPr>
        <w:t xml:space="preserve"> </w:t>
      </w:r>
      <w:r>
        <w:t>of</w:t>
      </w:r>
      <w:r>
        <w:rPr>
          <w:spacing w:val="-3"/>
        </w:rPr>
        <w:t xml:space="preserve"> </w:t>
      </w:r>
      <w:r>
        <w:t>incremental</w:t>
      </w:r>
      <w:r>
        <w:rPr>
          <w:spacing w:val="-3"/>
        </w:rPr>
        <w:t xml:space="preserve"> </w:t>
      </w:r>
      <w:r>
        <w:t>savings</w:t>
      </w:r>
      <w:r>
        <w:rPr>
          <w:spacing w:val="-4"/>
        </w:rPr>
        <w:t xml:space="preserve"> </w:t>
      </w:r>
      <w:r>
        <w:t>is</w:t>
      </w:r>
      <w:r>
        <w:rPr>
          <w:spacing w:val="-3"/>
        </w:rPr>
        <w:t xml:space="preserve"> </w:t>
      </w:r>
      <w:r>
        <w:t>necessary</w:t>
      </w:r>
      <w:r>
        <w:rPr>
          <w:spacing w:val="-4"/>
        </w:rPr>
        <w:t xml:space="preserve"> </w:t>
      </w:r>
      <w:r>
        <w:t>to</w:t>
      </w:r>
      <w:r>
        <w:rPr>
          <w:spacing w:val="-4"/>
        </w:rPr>
        <w:t xml:space="preserve"> </w:t>
      </w:r>
      <w:r>
        <w:t>understand</w:t>
      </w:r>
      <w:r>
        <w:rPr>
          <w:spacing w:val="-4"/>
        </w:rPr>
        <w:t xml:space="preserve"> </w:t>
      </w:r>
      <w:r>
        <w:t>what additional savings an individual year of programs will produce.</w:t>
      </w:r>
    </w:p>
    <w:p w:rsidR="00C31389" w:rsidRDefault="00561FBD" w14:paraId="04E31DE5" w14:textId="77777777">
      <w:pPr>
        <w:pStyle w:val="ListParagraph"/>
        <w:numPr>
          <w:ilvl w:val="0"/>
          <w:numId w:val="68"/>
        </w:numPr>
        <w:tabs>
          <w:tab w:val="left" w:pos="1200"/>
        </w:tabs>
        <w:spacing w:before="118"/>
        <w:ind w:left="1200" w:right="546"/>
      </w:pPr>
      <w:r>
        <w:rPr>
          <w:b/>
        </w:rPr>
        <w:t xml:space="preserve">Cumulative savings </w:t>
      </w:r>
      <w:r>
        <w:t>represent the total savin</w:t>
      </w:r>
      <w:r>
        <w:t>gs from program efforts from measures installed since 2024 and that are still active in the current year. It includes the decay of savings as measures reach the end of their useful lives and the continuation of savings as customers re-install high efficien</w:t>
      </w:r>
      <w:r>
        <w:t>cy equipment that has reached the end of its effective</w:t>
      </w:r>
      <w:r>
        <w:rPr>
          <w:spacing w:val="-3"/>
        </w:rPr>
        <w:t xml:space="preserve"> </w:t>
      </w:r>
      <w:r>
        <w:t>useful</w:t>
      </w:r>
      <w:r>
        <w:rPr>
          <w:spacing w:val="-3"/>
        </w:rPr>
        <w:t xml:space="preserve"> </w:t>
      </w:r>
      <w:r>
        <w:t>life</w:t>
      </w:r>
      <w:r>
        <w:rPr>
          <w:spacing w:val="-3"/>
        </w:rPr>
        <w:t xml:space="preserve"> </w:t>
      </w:r>
      <w:r>
        <w:t>(EUL).</w:t>
      </w:r>
      <w:r>
        <w:rPr>
          <w:spacing w:val="-3"/>
        </w:rPr>
        <w:t xml:space="preserve"> </w:t>
      </w:r>
      <w:r>
        <w:t>Cumulative</w:t>
      </w:r>
      <w:r>
        <w:rPr>
          <w:spacing w:val="-3"/>
        </w:rPr>
        <w:t xml:space="preserve"> </w:t>
      </w:r>
      <w:r>
        <w:t>savings</w:t>
      </w:r>
      <w:r>
        <w:rPr>
          <w:spacing w:val="-3"/>
        </w:rPr>
        <w:t xml:space="preserve"> </w:t>
      </w:r>
      <w:r>
        <w:t>also</w:t>
      </w:r>
      <w:r>
        <w:rPr>
          <w:spacing w:val="-3"/>
        </w:rPr>
        <w:t xml:space="preserve"> </w:t>
      </w:r>
      <w:r>
        <w:t>account</w:t>
      </w:r>
      <w:r>
        <w:rPr>
          <w:spacing w:val="-4"/>
        </w:rPr>
        <w:t xml:space="preserve"> </w:t>
      </w:r>
      <w:r>
        <w:t>for</w:t>
      </w:r>
      <w:r>
        <w:rPr>
          <w:spacing w:val="-3"/>
        </w:rPr>
        <w:t xml:space="preserve"> </w:t>
      </w:r>
      <w:r>
        <w:t>the</w:t>
      </w:r>
      <w:r>
        <w:rPr>
          <w:spacing w:val="-3"/>
        </w:rPr>
        <w:t xml:space="preserve"> </w:t>
      </w:r>
      <w:r>
        <w:t>timing</w:t>
      </w:r>
      <w:r>
        <w:rPr>
          <w:spacing w:val="-3"/>
        </w:rPr>
        <w:t xml:space="preserve"> </w:t>
      </w:r>
      <w:r>
        <w:t>effects</w:t>
      </w:r>
      <w:r>
        <w:rPr>
          <w:spacing w:val="-3"/>
        </w:rPr>
        <w:t xml:space="preserve"> </w:t>
      </w:r>
      <w:r>
        <w:t>of</w:t>
      </w:r>
      <w:r>
        <w:rPr>
          <w:spacing w:val="-4"/>
        </w:rPr>
        <w:t xml:space="preserve"> </w:t>
      </w:r>
      <w:r>
        <w:t>C&amp;S that become effective after measure installation.</w:t>
      </w:r>
    </w:p>
    <w:p w:rsidR="00C31389" w:rsidRDefault="00561FBD" w14:paraId="17FE8055" w14:textId="77777777">
      <w:pPr>
        <w:pStyle w:val="ListParagraph"/>
        <w:numPr>
          <w:ilvl w:val="0"/>
          <w:numId w:val="68"/>
        </w:numPr>
        <w:tabs>
          <w:tab w:val="left" w:pos="1200"/>
        </w:tabs>
        <w:spacing w:before="119"/>
        <w:ind w:left="1200" w:right="523"/>
      </w:pPr>
      <w:r>
        <w:rPr>
          <w:b/>
        </w:rPr>
        <w:t xml:space="preserve">TSB </w:t>
      </w:r>
      <w:r>
        <w:t xml:space="preserve">represents the total benefit that a measure provides to the electric and natural gas systems. It includes the total avoided cost benefits less any increase in supply costs as exhibited in </w:t>
      </w:r>
      <w:hyperlink w:history="1" w:anchor="_bookmark29">
        <w:r>
          <w:t>Equation 1-1</w:t>
        </w:r>
      </w:hyperlink>
      <w:r>
        <w:t>. There are two forms of increased supply costs. One is for interactive</w:t>
      </w:r>
      <w:r>
        <w:rPr>
          <w:spacing w:val="-4"/>
        </w:rPr>
        <w:t xml:space="preserve"> </w:t>
      </w:r>
      <w:r>
        <w:t>effects</w:t>
      </w:r>
      <w:r>
        <w:rPr>
          <w:spacing w:val="-3"/>
        </w:rPr>
        <w:t xml:space="preserve"> </w:t>
      </w:r>
      <w:r>
        <w:t>such</w:t>
      </w:r>
      <w:r>
        <w:rPr>
          <w:spacing w:val="-4"/>
        </w:rPr>
        <w:t xml:space="preserve"> </w:t>
      </w:r>
      <w:r>
        <w:t>as</w:t>
      </w:r>
      <w:r>
        <w:rPr>
          <w:spacing w:val="-3"/>
        </w:rPr>
        <w:t xml:space="preserve"> </w:t>
      </w:r>
      <w:r>
        <w:t>increased</w:t>
      </w:r>
      <w:r>
        <w:rPr>
          <w:spacing w:val="-3"/>
        </w:rPr>
        <w:t xml:space="preserve"> </w:t>
      </w:r>
      <w:r>
        <w:t>heating</w:t>
      </w:r>
      <w:r>
        <w:rPr>
          <w:spacing w:val="-3"/>
        </w:rPr>
        <w:t xml:space="preserve"> </w:t>
      </w:r>
      <w:r>
        <w:t>load</w:t>
      </w:r>
      <w:r>
        <w:rPr>
          <w:spacing w:val="-3"/>
        </w:rPr>
        <w:t xml:space="preserve"> </w:t>
      </w:r>
      <w:r>
        <w:t>due</w:t>
      </w:r>
      <w:r>
        <w:rPr>
          <w:spacing w:val="-3"/>
        </w:rPr>
        <w:t xml:space="preserve"> </w:t>
      </w:r>
      <w:r>
        <w:t>to</w:t>
      </w:r>
      <w:r>
        <w:rPr>
          <w:spacing w:val="-3"/>
        </w:rPr>
        <w:t xml:space="preserve"> </w:t>
      </w:r>
      <w:r>
        <w:t>decreased</w:t>
      </w:r>
      <w:r>
        <w:rPr>
          <w:spacing w:val="-3"/>
        </w:rPr>
        <w:t xml:space="preserve"> </w:t>
      </w:r>
      <w:r>
        <w:t>heat</w:t>
      </w:r>
      <w:r>
        <w:rPr>
          <w:spacing w:val="-3"/>
        </w:rPr>
        <w:t xml:space="preserve"> </w:t>
      </w:r>
      <w:r>
        <w:t>gain</w:t>
      </w:r>
      <w:r>
        <w:rPr>
          <w:spacing w:val="-3"/>
        </w:rPr>
        <w:t xml:space="preserve"> </w:t>
      </w:r>
      <w:r>
        <w:t>from</w:t>
      </w:r>
      <w:r>
        <w:rPr>
          <w:spacing w:val="-4"/>
        </w:rPr>
        <w:t xml:space="preserve"> </w:t>
      </w:r>
      <w:r>
        <w:t>more efficient lighting. The other is for the new electricity consumption due to FS of natural gas techn</w:t>
      </w:r>
      <w:r>
        <w:t>ologies with electric technologies. TSB is the same as the present value of the TRC benefits for EE measures only; in other words, TSB equals net avoided cost benefits (energy and capacity) for EE measures.</w:t>
      </w:r>
    </w:p>
    <w:p w:rsidR="00C31389" w:rsidRDefault="00C31389" w14:paraId="198E01D1" w14:textId="77777777">
      <w:pPr>
        <w:pStyle w:val="BodyText"/>
        <w:spacing w:before="8"/>
        <w:rPr>
          <w:sz w:val="20"/>
        </w:rPr>
      </w:pPr>
    </w:p>
    <w:p w:rsidR="00C31389" w:rsidRDefault="00561FBD" w14:paraId="77E86698" w14:textId="77777777">
      <w:pPr>
        <w:pStyle w:val="Heading7"/>
        <w:ind w:left="566" w:right="566"/>
        <w:jc w:val="center"/>
      </w:pPr>
      <w:bookmarkStart w:name="_bookmark29" w:id="35"/>
      <w:bookmarkEnd w:id="35"/>
      <w:r>
        <w:t>Equation</w:t>
      </w:r>
      <w:r>
        <w:rPr>
          <w:spacing w:val="-8"/>
        </w:rPr>
        <w:t xml:space="preserve"> </w:t>
      </w:r>
      <w:r>
        <w:t>1-1.</w:t>
      </w:r>
      <w:r>
        <w:rPr>
          <w:spacing w:val="-7"/>
        </w:rPr>
        <w:t xml:space="preserve"> </w:t>
      </w:r>
      <w:r>
        <w:t>Total</w:t>
      </w:r>
      <w:r>
        <w:rPr>
          <w:spacing w:val="-7"/>
        </w:rPr>
        <w:t xml:space="preserve"> </w:t>
      </w:r>
      <w:r>
        <w:t>System</w:t>
      </w:r>
      <w:r>
        <w:rPr>
          <w:spacing w:val="-7"/>
        </w:rPr>
        <w:t xml:space="preserve"> </w:t>
      </w:r>
      <w:r>
        <w:rPr>
          <w:spacing w:val="-2"/>
        </w:rPr>
        <w:t>Benefit</w:t>
      </w:r>
    </w:p>
    <w:p w:rsidR="00C31389" w:rsidRDefault="00561FBD" w14:paraId="29B4D3D9" w14:textId="77777777">
      <w:pPr>
        <w:spacing w:before="120"/>
        <w:ind w:left="2201"/>
        <w:rPr>
          <w:rFonts w:ascii="Cambria Math" w:eastAsia="Cambria Math"/>
        </w:rPr>
      </w:pPr>
      <w:r>
        <w:rPr>
          <w:rFonts w:ascii="Cambria Math" w:eastAsia="Cambria Math"/>
          <w:w w:val="45"/>
        </w:rPr>
        <w:t>𝑇𝑇𝑇𝑇𝑇𝑇𝑇𝑇𝑇𝑇</w:t>
      </w:r>
      <w:r>
        <w:rPr>
          <w:rFonts w:ascii="Cambria Math" w:eastAsia="Cambria Math"/>
          <w:spacing w:val="6"/>
        </w:rPr>
        <w:t xml:space="preserve"> </w:t>
      </w:r>
      <w:r>
        <w:rPr>
          <w:rFonts w:ascii="Cambria Math" w:eastAsia="Cambria Math"/>
          <w:w w:val="45"/>
        </w:rPr>
        <w:t>𝑆𝑆𝑆𝑆𝑆𝑆𝑇𝑇𝑆𝑆𝑆𝑆</w:t>
      </w:r>
      <w:r>
        <w:rPr>
          <w:rFonts w:ascii="Cambria Math" w:eastAsia="Cambria Math"/>
          <w:spacing w:val="3"/>
        </w:rPr>
        <w:t xml:space="preserve"> </w:t>
      </w:r>
      <w:r>
        <w:rPr>
          <w:rFonts w:ascii="Cambria Math" w:eastAsia="Cambria Math"/>
          <w:spacing w:val="-2"/>
          <w:w w:val="45"/>
        </w:rPr>
        <w:t>𝐵𝐵𝑆𝑆𝐵𝐵𝑆𝑆𝐵𝐵𝐵𝐵𝑇𝑇</w:t>
      </w:r>
    </w:p>
    <w:p w:rsidR="00C31389" w:rsidRDefault="00561FBD" w14:paraId="193004C6" w14:textId="77777777">
      <w:pPr>
        <w:spacing w:before="16"/>
        <w:ind w:left="3641"/>
        <w:rPr>
          <w:rFonts w:ascii="Cambria Math" w:eastAsia="Cambria Math"/>
        </w:rPr>
      </w:pPr>
      <w:r>
        <w:rPr>
          <w:rFonts w:ascii="Cambria Math" w:eastAsia="Cambria Math"/>
          <w:w w:val="45"/>
        </w:rPr>
        <w:t>=</w:t>
      </w:r>
      <w:r>
        <w:rPr>
          <w:rFonts w:ascii="Cambria Math" w:eastAsia="Cambria Math"/>
          <w:spacing w:val="3"/>
        </w:rPr>
        <w:t xml:space="preserve"> </w:t>
      </w:r>
      <w:r>
        <w:rPr>
          <w:rFonts w:ascii="Cambria Math" w:eastAsia="Cambria Math"/>
          <w:w w:val="45"/>
        </w:rPr>
        <w:t>𝑁𝑁𝑆𝑆𝑇𝑇</w:t>
      </w:r>
      <w:r>
        <w:rPr>
          <w:rFonts w:ascii="Cambria Math" w:eastAsia="Cambria Math"/>
          <w:spacing w:val="-3"/>
        </w:rPr>
        <w:t xml:space="preserve"> </w:t>
      </w:r>
      <w:r>
        <w:rPr>
          <w:rFonts w:ascii="Cambria Math" w:eastAsia="Cambria Math"/>
          <w:w w:val="45"/>
        </w:rPr>
        <w:t>𝐴𝐴𝐴𝐴𝑇𝑇𝐵𝐵𝐴𝐴𝑆𝑆𝐴𝐴</w:t>
      </w:r>
      <w:r>
        <w:rPr>
          <w:rFonts w:ascii="Cambria Math" w:eastAsia="Cambria Math"/>
          <w:spacing w:val="-1"/>
        </w:rPr>
        <w:t xml:space="preserve"> </w:t>
      </w:r>
      <w:r>
        <w:rPr>
          <w:rFonts w:ascii="Cambria Math" w:eastAsia="Cambria Math"/>
          <w:w w:val="45"/>
        </w:rPr>
        <w:t>𝐶𝐶𝑇𝑇𝑆𝑆𝑇𝑇</w:t>
      </w:r>
      <w:r>
        <w:rPr>
          <w:rFonts w:ascii="Cambria Math" w:eastAsia="Cambria Math"/>
          <w:spacing w:val="-2"/>
        </w:rPr>
        <w:t xml:space="preserve"> </w:t>
      </w:r>
      <w:r>
        <w:rPr>
          <w:rFonts w:ascii="Cambria Math" w:eastAsia="Cambria Math"/>
          <w:w w:val="45"/>
        </w:rPr>
        <w:t>𝐵𝐵𝑆𝑆𝐵𝐵𝑆𝑆𝐵𝐵𝐵𝐵𝑇𝑇𝑆𝑆</w:t>
      </w:r>
      <w:r>
        <w:rPr>
          <w:rFonts w:ascii="Cambria Math" w:eastAsia="Cambria Math"/>
          <w:spacing w:val="-2"/>
        </w:rPr>
        <w:t xml:space="preserve"> </w:t>
      </w:r>
      <w:r>
        <w:rPr>
          <w:rFonts w:ascii="Cambria Math" w:eastAsia="Cambria Math"/>
          <w:w w:val="45"/>
          <w:position w:val="1"/>
        </w:rPr>
        <w:t>(</w:t>
      </w:r>
      <w:r>
        <w:rPr>
          <w:rFonts w:ascii="Cambria Math" w:eastAsia="Cambria Math"/>
          <w:w w:val="45"/>
        </w:rPr>
        <w:t>𝐸𝐸𝐵𝐵𝑆𝑆𝐸𝐸𝐸𝐸𝑆𝑆</w:t>
      </w:r>
      <w:r>
        <w:rPr>
          <w:rFonts w:ascii="Cambria Math" w:eastAsia="Cambria Math"/>
          <w:spacing w:val="-3"/>
        </w:rPr>
        <w:t xml:space="preserve"> </w:t>
      </w:r>
      <w:r>
        <w:rPr>
          <w:rFonts w:ascii="Cambria Math" w:eastAsia="Cambria Math"/>
          <w:w w:val="45"/>
        </w:rPr>
        <w:t>𝑇𝑇𝐵𝐵𝐴𝐴</w:t>
      </w:r>
      <w:r>
        <w:rPr>
          <w:rFonts w:ascii="Cambria Math" w:eastAsia="Cambria Math"/>
          <w:spacing w:val="-1"/>
        </w:rPr>
        <w:t xml:space="preserve"> </w:t>
      </w:r>
      <w:r>
        <w:rPr>
          <w:rFonts w:ascii="Cambria Math" w:eastAsia="Cambria Math"/>
          <w:spacing w:val="-2"/>
          <w:w w:val="45"/>
        </w:rPr>
        <w:t>𝐶𝐶𝑇𝑇𝐶𝐶𝑇𝑇𝐶𝐶𝐵𝐵𝑇𝑇𝑆𝑆</w:t>
      </w:r>
      <w:r>
        <w:rPr>
          <w:rFonts w:ascii="Cambria Math" w:eastAsia="Cambria Math"/>
          <w:spacing w:val="-2"/>
          <w:w w:val="45"/>
          <w:position w:val="1"/>
        </w:rPr>
        <w:t>)</w:t>
      </w:r>
    </w:p>
    <w:p w:rsidR="00C31389" w:rsidRDefault="00561FBD" w14:paraId="6233EAB5" w14:textId="77777777">
      <w:pPr>
        <w:spacing w:before="25"/>
        <w:ind w:left="3641"/>
        <w:rPr>
          <w:rFonts w:ascii="Cambria Math" w:hAnsi="Cambria Math" w:eastAsia="Cambria Math"/>
        </w:rPr>
      </w:pPr>
      <w:r>
        <w:rPr>
          <w:rFonts w:ascii="Cambria Math" w:hAnsi="Cambria Math" w:eastAsia="Cambria Math"/>
          <w:w w:val="45"/>
        </w:rPr>
        <w:t>−</w:t>
      </w:r>
      <w:r>
        <w:rPr>
          <w:rFonts w:ascii="Cambria Math" w:hAnsi="Cambria Math" w:eastAsia="Cambria Math"/>
          <w:spacing w:val="74"/>
        </w:rPr>
        <w:t xml:space="preserve"> </w:t>
      </w:r>
      <w:r>
        <w:rPr>
          <w:rFonts w:ascii="Cambria Math" w:hAnsi="Cambria Math" w:eastAsia="Cambria Math"/>
          <w:w w:val="45"/>
        </w:rPr>
        <w:t>𝐼𝐼𝐵𝐵𝐶𝐶𝐸𝐸𝑆𝑆𝑇𝑇𝑆𝑆𝑆𝑆𝐴𝐴</w:t>
      </w:r>
      <w:r>
        <w:rPr>
          <w:rFonts w:ascii="Cambria Math" w:hAnsi="Cambria Math" w:eastAsia="Cambria Math"/>
          <w:spacing w:val="23"/>
        </w:rPr>
        <w:t xml:space="preserve"> </w:t>
      </w:r>
      <w:r>
        <w:rPr>
          <w:rFonts w:ascii="Cambria Math" w:hAnsi="Cambria Math" w:eastAsia="Cambria Math"/>
          <w:w w:val="45"/>
        </w:rPr>
        <w:t>𝑆𝑆𝑆𝑆𝐶𝐶𝐶𝐶𝑇𝑇𝑆𝑆</w:t>
      </w:r>
      <w:r>
        <w:rPr>
          <w:rFonts w:ascii="Cambria Math" w:hAnsi="Cambria Math" w:eastAsia="Cambria Math"/>
          <w:spacing w:val="20"/>
        </w:rPr>
        <w:t xml:space="preserve"> </w:t>
      </w:r>
      <w:r>
        <w:rPr>
          <w:rFonts w:ascii="Cambria Math" w:hAnsi="Cambria Math" w:eastAsia="Cambria Math"/>
          <w:spacing w:val="-2"/>
          <w:w w:val="45"/>
        </w:rPr>
        <w:t>𝐶𝐶𝑇𝑇𝑆𝑆𝑇𝑇</w:t>
      </w:r>
    </w:p>
    <w:p w:rsidR="00C31389" w:rsidRDefault="00C31389" w14:paraId="7CC0063B" w14:textId="77777777">
      <w:pPr>
        <w:pStyle w:val="BodyText"/>
        <w:spacing w:before="8"/>
        <w:rPr>
          <w:rFonts w:ascii="Cambria Math"/>
        </w:rPr>
      </w:pPr>
    </w:p>
    <w:p w:rsidR="00C31389" w:rsidRDefault="00561FBD" w14:paraId="6DBBF586" w14:textId="77777777">
      <w:pPr>
        <w:pStyle w:val="BodyText"/>
        <w:ind w:left="481" w:right="565"/>
      </w:pPr>
      <w:r>
        <w:t>Many</w:t>
      </w:r>
      <w:r>
        <w:rPr>
          <w:spacing w:val="-4"/>
        </w:rPr>
        <w:t xml:space="preserve"> </w:t>
      </w:r>
      <w:r>
        <w:t>variables</w:t>
      </w:r>
      <w:r>
        <w:rPr>
          <w:spacing w:val="-4"/>
        </w:rPr>
        <w:t xml:space="preserve"> </w:t>
      </w:r>
      <w:r>
        <w:t>drive</w:t>
      </w:r>
      <w:r>
        <w:rPr>
          <w:spacing w:val="-4"/>
        </w:rPr>
        <w:t xml:space="preserve"> </w:t>
      </w:r>
      <w:r>
        <w:t>the</w:t>
      </w:r>
      <w:r>
        <w:rPr>
          <w:spacing w:val="-5"/>
        </w:rPr>
        <w:t xml:space="preserve"> </w:t>
      </w:r>
      <w:r>
        <w:t>calculation</w:t>
      </w:r>
      <w:r>
        <w:rPr>
          <w:spacing w:val="-5"/>
        </w:rPr>
        <w:t xml:space="preserve"> </w:t>
      </w:r>
      <w:r>
        <w:t>of</w:t>
      </w:r>
      <w:r>
        <w:rPr>
          <w:spacing w:val="-4"/>
        </w:rPr>
        <w:t xml:space="preserve"> </w:t>
      </w:r>
      <w:r>
        <w:t>achievable</w:t>
      </w:r>
      <w:r>
        <w:rPr>
          <w:spacing w:val="-3"/>
        </w:rPr>
        <w:t xml:space="preserve"> </w:t>
      </w:r>
      <w:r>
        <w:t>potential.</w:t>
      </w:r>
      <w:r>
        <w:rPr>
          <w:spacing w:val="-5"/>
        </w:rPr>
        <w:t xml:space="preserve"> </w:t>
      </w:r>
      <w:r>
        <w:t>These</w:t>
      </w:r>
      <w:r>
        <w:rPr>
          <w:spacing w:val="-4"/>
        </w:rPr>
        <w:t xml:space="preserve"> </w:t>
      </w:r>
      <w:r>
        <w:t>include</w:t>
      </w:r>
      <w:r>
        <w:rPr>
          <w:spacing w:val="-4"/>
        </w:rPr>
        <w:t xml:space="preserve"> </w:t>
      </w:r>
      <w:r>
        <w:t>assumptions</w:t>
      </w:r>
      <w:r>
        <w:rPr>
          <w:spacing w:val="-4"/>
        </w:rPr>
        <w:t xml:space="preserve"> </w:t>
      </w:r>
      <w:r>
        <w:t xml:space="preserve">about the way efficient products and </w:t>
      </w:r>
      <w:r>
        <w:t>services are marketed and delivered, the level of customer awareness, and customer willingness to install efficient equipment or operate equipment in ways that are more efficient. The Guidehouse team used the available current market knowledge to calibrate</w:t>
      </w:r>
      <w:r>
        <w:t xml:space="preserve"> achievable potential for voluntary rebate programs.</w:t>
      </w:r>
    </w:p>
    <w:p w:rsidR="00C31389" w:rsidRDefault="00C31389" w14:paraId="5EC70BB1" w14:textId="77777777">
      <w:pPr>
        <w:sectPr w:rsidR="00C31389">
          <w:pgSz w:w="12240" w:h="15840"/>
          <w:pgMar w:top="1660" w:right="960" w:bottom="1120" w:left="960" w:header="397" w:footer="936" w:gutter="0"/>
          <w:cols w:space="720"/>
        </w:sectPr>
      </w:pPr>
    </w:p>
    <w:p w:rsidR="00C31389" w:rsidRDefault="00C31389" w14:paraId="15186271" w14:textId="77777777">
      <w:pPr>
        <w:pStyle w:val="BodyText"/>
      </w:pPr>
    </w:p>
    <w:p w:rsidR="00C31389" w:rsidRDefault="00C31389" w14:paraId="082B0755" w14:textId="77777777">
      <w:pPr>
        <w:pStyle w:val="BodyText"/>
        <w:spacing w:before="1"/>
        <w:rPr>
          <w:sz w:val="14"/>
        </w:rPr>
      </w:pPr>
    </w:p>
    <w:p w:rsidR="00C31389" w:rsidRDefault="00561FBD" w14:paraId="75C50039" w14:textId="77777777">
      <w:pPr>
        <w:pStyle w:val="Heading2"/>
        <w:numPr>
          <w:ilvl w:val="1"/>
          <w:numId w:val="71"/>
        </w:numPr>
        <w:tabs>
          <w:tab w:val="left" w:pos="945"/>
        </w:tabs>
        <w:spacing w:before="90"/>
        <w:ind w:left="945" w:hanging="465"/>
      </w:pPr>
      <w:bookmarkStart w:name="1.3_Scope_of_This_Study" w:id="36"/>
      <w:bookmarkStart w:name="_bookmark30" w:id="37"/>
      <w:bookmarkEnd w:id="36"/>
      <w:bookmarkEnd w:id="37"/>
      <w:r>
        <w:t>Scope</w:t>
      </w:r>
      <w:r>
        <w:rPr>
          <w:spacing w:val="-7"/>
        </w:rPr>
        <w:t xml:space="preserve"> </w:t>
      </w:r>
      <w:r>
        <w:t>of</w:t>
      </w:r>
      <w:r>
        <w:rPr>
          <w:spacing w:val="-7"/>
        </w:rPr>
        <w:t xml:space="preserve"> </w:t>
      </w:r>
      <w:r>
        <w:t>This</w:t>
      </w:r>
      <w:r>
        <w:rPr>
          <w:spacing w:val="-7"/>
        </w:rPr>
        <w:t xml:space="preserve"> </w:t>
      </w:r>
      <w:r>
        <w:rPr>
          <w:spacing w:val="-2"/>
        </w:rPr>
        <w:t>Study</w:t>
      </w:r>
    </w:p>
    <w:p w:rsidR="00C31389" w:rsidRDefault="00561FBD" w14:paraId="21A67B54" w14:textId="77777777">
      <w:pPr>
        <w:pStyle w:val="BodyText"/>
        <w:spacing w:before="240"/>
        <w:ind w:left="479" w:right="565"/>
      </w:pPr>
      <w:r>
        <w:t>This</w:t>
      </w:r>
      <w:r>
        <w:rPr>
          <w:spacing w:val="-3"/>
        </w:rPr>
        <w:t xml:space="preserve"> </w:t>
      </w:r>
      <w:r>
        <w:t>2023</w:t>
      </w:r>
      <w:r>
        <w:rPr>
          <w:spacing w:val="-3"/>
        </w:rPr>
        <w:t xml:space="preserve"> </w:t>
      </w:r>
      <w:r>
        <w:t>Study</w:t>
      </w:r>
      <w:r>
        <w:rPr>
          <w:spacing w:val="-3"/>
        </w:rPr>
        <w:t xml:space="preserve"> </w:t>
      </w:r>
      <w:r>
        <w:t>forecasts</w:t>
      </w:r>
      <w:r>
        <w:rPr>
          <w:spacing w:val="-3"/>
        </w:rPr>
        <w:t xml:space="preserve"> </w:t>
      </w:r>
      <w:r>
        <w:t>the</w:t>
      </w:r>
      <w:r>
        <w:rPr>
          <w:spacing w:val="-3"/>
        </w:rPr>
        <w:t xml:space="preserve"> </w:t>
      </w:r>
      <w:r>
        <w:t>above-described</w:t>
      </w:r>
      <w:r>
        <w:rPr>
          <w:spacing w:val="-3"/>
        </w:rPr>
        <w:t xml:space="preserve"> </w:t>
      </w:r>
      <w:r>
        <w:t>types</w:t>
      </w:r>
      <w:r>
        <w:rPr>
          <w:spacing w:val="-3"/>
        </w:rPr>
        <w:t xml:space="preserve"> </w:t>
      </w:r>
      <w:r>
        <w:t>of</w:t>
      </w:r>
      <w:r>
        <w:rPr>
          <w:spacing w:val="-3"/>
        </w:rPr>
        <w:t xml:space="preserve"> </w:t>
      </w:r>
      <w:r>
        <w:t>potential</w:t>
      </w:r>
      <w:r>
        <w:rPr>
          <w:spacing w:val="-3"/>
        </w:rPr>
        <w:t xml:space="preserve"> </w:t>
      </w:r>
      <w:r>
        <w:t>energy</w:t>
      </w:r>
      <w:r>
        <w:rPr>
          <w:spacing w:val="-4"/>
        </w:rPr>
        <w:t xml:space="preserve"> </w:t>
      </w:r>
      <w:r>
        <w:t>savings</w:t>
      </w:r>
      <w:r>
        <w:rPr>
          <w:spacing w:val="-4"/>
        </w:rPr>
        <w:t xml:space="preserve"> </w:t>
      </w:r>
      <w:r>
        <w:t>from</w:t>
      </w:r>
      <w:r>
        <w:rPr>
          <w:spacing w:val="-4"/>
        </w:rPr>
        <w:t xml:space="preserve"> </w:t>
      </w:r>
      <w:r>
        <w:t>the</w:t>
      </w:r>
      <w:r>
        <w:rPr>
          <w:spacing w:val="-3"/>
        </w:rPr>
        <w:t xml:space="preserve"> </w:t>
      </w:r>
      <w:r>
        <w:t>EE and FS programs and C&amp;S across all customer sectors: residential, low inc</w:t>
      </w:r>
      <w:r>
        <w:t>ome, commercial, agriculture, and industrial. This study does not set IOU goals nor does it make recommendations as to how to set goals. Rather, it informs the CPUC’s goal setting process.</w:t>
      </w:r>
    </w:p>
    <w:p w:rsidR="00C31389" w:rsidRDefault="00C31389" w14:paraId="0AD5F94B" w14:textId="77777777">
      <w:pPr>
        <w:pStyle w:val="BodyText"/>
        <w:spacing w:before="11"/>
        <w:rPr>
          <w:sz w:val="20"/>
        </w:rPr>
      </w:pPr>
    </w:p>
    <w:p w:rsidR="00C31389" w:rsidRDefault="00561FBD" w14:paraId="4DC9796D" w14:textId="77777777">
      <w:pPr>
        <w:pStyle w:val="BodyText"/>
        <w:ind w:left="480"/>
        <w:jc w:val="both"/>
      </w:pPr>
      <w:r>
        <w:t>Key</w:t>
      </w:r>
      <w:r>
        <w:rPr>
          <w:spacing w:val="-6"/>
        </w:rPr>
        <w:t xml:space="preserve"> </w:t>
      </w:r>
      <w:r>
        <w:t>scope</w:t>
      </w:r>
      <w:r>
        <w:rPr>
          <w:spacing w:val="-5"/>
        </w:rPr>
        <w:t xml:space="preserve"> </w:t>
      </w:r>
      <w:r>
        <w:t>items</w:t>
      </w:r>
      <w:r>
        <w:rPr>
          <w:spacing w:val="-5"/>
        </w:rPr>
        <w:t xml:space="preserve"> </w:t>
      </w:r>
      <w:r>
        <w:t>in</w:t>
      </w:r>
      <w:r>
        <w:rPr>
          <w:spacing w:val="-5"/>
        </w:rPr>
        <w:t xml:space="preserve"> </w:t>
      </w:r>
      <w:r>
        <w:t>the</w:t>
      </w:r>
      <w:r>
        <w:rPr>
          <w:spacing w:val="-5"/>
        </w:rPr>
        <w:t xml:space="preserve"> </w:t>
      </w:r>
      <w:r>
        <w:t>2023</w:t>
      </w:r>
      <w:r>
        <w:rPr>
          <w:spacing w:val="-5"/>
        </w:rPr>
        <w:t xml:space="preserve"> </w:t>
      </w:r>
      <w:r>
        <w:t>Study</w:t>
      </w:r>
      <w:r>
        <w:rPr>
          <w:spacing w:val="-5"/>
        </w:rPr>
        <w:t xml:space="preserve"> </w:t>
      </w:r>
      <w:r>
        <w:t>include</w:t>
      </w:r>
      <w:r>
        <w:rPr>
          <w:spacing w:val="-5"/>
        </w:rPr>
        <w:t xml:space="preserve"> </w:t>
      </w:r>
      <w:r>
        <w:t>the</w:t>
      </w:r>
      <w:r>
        <w:rPr>
          <w:spacing w:val="-5"/>
        </w:rPr>
        <w:t xml:space="preserve"> </w:t>
      </w:r>
      <w:r>
        <w:rPr>
          <w:spacing w:val="-2"/>
        </w:rPr>
        <w:t>following:</w:t>
      </w:r>
    </w:p>
    <w:p w:rsidR="00C31389" w:rsidRDefault="00561FBD" w14:paraId="454439DE" w14:textId="77777777">
      <w:pPr>
        <w:pStyle w:val="ListParagraph"/>
        <w:numPr>
          <w:ilvl w:val="0"/>
          <w:numId w:val="67"/>
        </w:numPr>
        <w:tabs>
          <w:tab w:val="left" w:pos="1200"/>
        </w:tabs>
        <w:spacing w:before="118"/>
        <w:ind w:right="584"/>
        <w:jc w:val="both"/>
      </w:pPr>
      <w:r>
        <w:rPr>
          <w:b/>
        </w:rPr>
        <w:t>Potential</w:t>
      </w:r>
      <w:r>
        <w:rPr>
          <w:b/>
          <w:spacing w:val="-3"/>
        </w:rPr>
        <w:t xml:space="preserve"> </w:t>
      </w:r>
      <w:r>
        <w:rPr>
          <w:b/>
        </w:rPr>
        <w:t>forecast</w:t>
      </w:r>
      <w:r>
        <w:rPr>
          <w:b/>
          <w:spacing w:val="-3"/>
        </w:rPr>
        <w:t xml:space="preserve"> </w:t>
      </w:r>
      <w:r>
        <w:rPr>
          <w:b/>
        </w:rPr>
        <w:t>emphases:</w:t>
      </w:r>
      <w:r>
        <w:rPr>
          <w:b/>
          <w:spacing w:val="-3"/>
        </w:rPr>
        <w:t xml:space="preserve"> </w:t>
      </w:r>
      <w:r>
        <w:t>The</w:t>
      </w:r>
      <w:r>
        <w:rPr>
          <w:spacing w:val="-3"/>
        </w:rPr>
        <w:t xml:space="preserve"> </w:t>
      </w:r>
      <w:r>
        <w:t>core</w:t>
      </w:r>
      <w:r>
        <w:rPr>
          <w:spacing w:val="-3"/>
        </w:rPr>
        <w:t xml:space="preserve"> </w:t>
      </w:r>
      <w:r>
        <w:t>effort</w:t>
      </w:r>
      <w:r>
        <w:rPr>
          <w:spacing w:val="-3"/>
        </w:rPr>
        <w:t xml:space="preserve"> </w:t>
      </w:r>
      <w:r>
        <w:t>to</w:t>
      </w:r>
      <w:r>
        <w:rPr>
          <w:spacing w:val="-3"/>
        </w:rPr>
        <w:t xml:space="preserve"> </w:t>
      </w:r>
      <w:r>
        <w:t>forecast</w:t>
      </w:r>
      <w:r>
        <w:rPr>
          <w:spacing w:val="-3"/>
        </w:rPr>
        <w:t xml:space="preserve"> </w:t>
      </w:r>
      <w:r>
        <w:t>potential</w:t>
      </w:r>
      <w:r>
        <w:rPr>
          <w:spacing w:val="-3"/>
        </w:rPr>
        <w:t xml:space="preserve"> </w:t>
      </w:r>
      <w:r>
        <w:t>includes</w:t>
      </w:r>
      <w:r>
        <w:rPr>
          <w:spacing w:val="-3"/>
        </w:rPr>
        <w:t xml:space="preserve"> </w:t>
      </w:r>
      <w:r>
        <w:t>developing a</w:t>
      </w:r>
      <w:r>
        <w:rPr>
          <w:spacing w:val="-4"/>
        </w:rPr>
        <w:t xml:space="preserve"> </w:t>
      </w:r>
      <w:r>
        <w:t>model</w:t>
      </w:r>
      <w:r>
        <w:rPr>
          <w:spacing w:val="-4"/>
        </w:rPr>
        <w:t xml:space="preserve"> </w:t>
      </w:r>
      <w:r>
        <w:t>and</w:t>
      </w:r>
      <w:r>
        <w:rPr>
          <w:spacing w:val="-4"/>
        </w:rPr>
        <w:t xml:space="preserve"> </w:t>
      </w:r>
      <w:r>
        <w:t>producing</w:t>
      </w:r>
      <w:r>
        <w:rPr>
          <w:spacing w:val="-4"/>
        </w:rPr>
        <w:t xml:space="preserve"> </w:t>
      </w:r>
      <w:r>
        <w:t>scenario</w:t>
      </w:r>
      <w:r>
        <w:rPr>
          <w:spacing w:val="-4"/>
        </w:rPr>
        <w:t xml:space="preserve"> </w:t>
      </w:r>
      <w:r>
        <w:t>results.</w:t>
      </w:r>
      <w:r>
        <w:rPr>
          <w:spacing w:val="-4"/>
        </w:rPr>
        <w:t xml:space="preserve"> </w:t>
      </w:r>
      <w:r>
        <w:t>This</w:t>
      </w:r>
      <w:r>
        <w:rPr>
          <w:spacing w:val="-5"/>
        </w:rPr>
        <w:t xml:space="preserve"> </w:t>
      </w:r>
      <w:r>
        <w:t>forecast</w:t>
      </w:r>
      <w:r>
        <w:rPr>
          <w:spacing w:val="-4"/>
        </w:rPr>
        <w:t xml:space="preserve"> </w:t>
      </w:r>
      <w:r>
        <w:t>accounted</w:t>
      </w:r>
      <w:r>
        <w:rPr>
          <w:spacing w:val="-4"/>
        </w:rPr>
        <w:t xml:space="preserve"> </w:t>
      </w:r>
      <w:r>
        <w:t>for</w:t>
      </w:r>
      <w:r>
        <w:rPr>
          <w:spacing w:val="-4"/>
        </w:rPr>
        <w:t xml:space="preserve"> </w:t>
      </w:r>
      <w:r>
        <w:t>new</w:t>
      </w:r>
      <w:r>
        <w:rPr>
          <w:spacing w:val="-5"/>
        </w:rPr>
        <w:t xml:space="preserve"> </w:t>
      </w:r>
      <w:r>
        <w:t>and</w:t>
      </w:r>
      <w:r>
        <w:rPr>
          <w:spacing w:val="-4"/>
        </w:rPr>
        <w:t xml:space="preserve"> </w:t>
      </w:r>
      <w:r>
        <w:t>enhanced topics such as broader FS results and the Inflation Reduction Act (IRA):</w:t>
      </w:r>
    </w:p>
    <w:p w:rsidR="00C31389" w:rsidRDefault="00561FBD" w14:paraId="656CC95F" w14:textId="77777777">
      <w:pPr>
        <w:pStyle w:val="ListParagraph"/>
        <w:numPr>
          <w:ilvl w:val="1"/>
          <w:numId w:val="67"/>
        </w:numPr>
        <w:tabs>
          <w:tab w:val="left" w:pos="1920"/>
        </w:tabs>
        <w:spacing w:before="121" w:line="237" w:lineRule="auto"/>
        <w:ind w:right="565"/>
      </w:pPr>
      <w:r>
        <w:rPr>
          <w:b/>
        </w:rPr>
        <w:t xml:space="preserve">FS: </w:t>
      </w:r>
      <w:r>
        <w:t xml:space="preserve">The CPUC </w:t>
      </w:r>
      <w:r>
        <w:t>passed a decision on FS instituted by the fuel substitution test (FST)</w:t>
      </w:r>
      <w:r>
        <w:rPr>
          <w:spacing w:val="-4"/>
        </w:rPr>
        <w:t xml:space="preserve"> </w:t>
      </w:r>
      <w:r>
        <w:t>in</w:t>
      </w:r>
      <w:r>
        <w:rPr>
          <w:spacing w:val="-3"/>
        </w:rPr>
        <w:t xml:space="preserve"> </w:t>
      </w:r>
      <w:r>
        <w:t>2019.</w:t>
      </w:r>
      <w:r>
        <w:rPr>
          <w:spacing w:val="-42"/>
        </w:rPr>
        <w:t xml:space="preserve"> </w:t>
      </w:r>
      <w:hyperlink w:history="1" w:anchor="_bookmark31">
        <w:r>
          <w:rPr>
            <w:position w:val="7"/>
            <w:sz w:val="14"/>
          </w:rPr>
          <w:t>11</w:t>
        </w:r>
      </w:hyperlink>
      <w:r>
        <w:rPr>
          <w:spacing w:val="18"/>
          <w:position w:val="7"/>
          <w:sz w:val="14"/>
        </w:rPr>
        <w:t xml:space="preserve"> </w:t>
      </w:r>
      <w:r>
        <w:t>Consistent</w:t>
      </w:r>
      <w:r>
        <w:rPr>
          <w:spacing w:val="-3"/>
        </w:rPr>
        <w:t xml:space="preserve"> </w:t>
      </w:r>
      <w:r>
        <w:t>with</w:t>
      </w:r>
      <w:r>
        <w:rPr>
          <w:spacing w:val="-3"/>
        </w:rPr>
        <w:t xml:space="preserve"> </w:t>
      </w:r>
      <w:r>
        <w:t>the</w:t>
      </w:r>
      <w:r>
        <w:rPr>
          <w:spacing w:val="-3"/>
        </w:rPr>
        <w:t xml:space="preserve"> </w:t>
      </w:r>
      <w:r>
        <w:t>past</w:t>
      </w:r>
      <w:r>
        <w:rPr>
          <w:spacing w:val="-3"/>
        </w:rPr>
        <w:t xml:space="preserve"> </w:t>
      </w:r>
      <w:r>
        <w:t>PG</w:t>
      </w:r>
      <w:r>
        <w:rPr>
          <w:spacing w:val="-4"/>
        </w:rPr>
        <w:t xml:space="preserve"> </w:t>
      </w:r>
      <w:r>
        <w:t>study,</w:t>
      </w:r>
      <w:r>
        <w:rPr>
          <w:spacing w:val="-3"/>
        </w:rPr>
        <w:t xml:space="preserve"> </w:t>
      </w:r>
      <w:r>
        <w:t>the</w:t>
      </w:r>
      <w:r>
        <w:rPr>
          <w:spacing w:val="-3"/>
        </w:rPr>
        <w:t xml:space="preserve"> </w:t>
      </w:r>
      <w:r>
        <w:t>2023</w:t>
      </w:r>
      <w:r>
        <w:rPr>
          <w:spacing w:val="-4"/>
        </w:rPr>
        <w:t xml:space="preserve"> </w:t>
      </w:r>
      <w:r>
        <w:t>Study</w:t>
      </w:r>
      <w:r>
        <w:rPr>
          <w:spacing w:val="-3"/>
        </w:rPr>
        <w:t xml:space="preserve"> </w:t>
      </w:r>
      <w:r>
        <w:t>incorporated FS measures into the measure list including s</w:t>
      </w:r>
      <w:r>
        <w:t>pace heating, water heating, and cooking, and included the modeling methods to allow EE technologies to compete with the FS alternatives. Additionally, secondary research was conducted to assign costs associated with behind the meter electrical infrastruct</w:t>
      </w:r>
      <w:r>
        <w:t xml:space="preserve">ure upgrades, in particular, electric panel upgrades. See Section </w:t>
      </w:r>
      <w:hyperlink w:history="1" w:anchor="_bookmark65">
        <w:r>
          <w:t>2.1.2</w:t>
        </w:r>
      </w:hyperlink>
      <w:r>
        <w:t xml:space="preserve"> for methodology, Section </w:t>
      </w:r>
      <w:hyperlink w:history="1" w:anchor="_bookmark118">
        <w:r>
          <w:t>3.2.1.1</w:t>
        </w:r>
      </w:hyperlink>
      <w:r>
        <w:t xml:space="preserve"> and </w:t>
      </w:r>
      <w:hyperlink w:history="1" w:anchor="_bookmark234">
        <w:r>
          <w:t>Appendix B</w:t>
        </w:r>
      </w:hyperlink>
      <w:r>
        <w:t xml:space="preserve"> and C for data sources and characterization, and Section </w:t>
      </w:r>
      <w:hyperlink w:history="1" w:anchor="_bookmark211">
        <w:r>
          <w:t>4.3</w:t>
        </w:r>
      </w:hyperlink>
      <w:r>
        <w:t xml:space="preserve"> for analysis results.</w:t>
      </w:r>
    </w:p>
    <w:p w:rsidR="00C31389" w:rsidRDefault="00561FBD" w14:paraId="1976258B" w14:textId="77777777">
      <w:pPr>
        <w:pStyle w:val="ListParagraph"/>
        <w:numPr>
          <w:ilvl w:val="1"/>
          <w:numId w:val="67"/>
        </w:numPr>
        <w:tabs>
          <w:tab w:val="left" w:pos="1919"/>
        </w:tabs>
        <w:spacing w:before="125" w:line="235" w:lineRule="auto"/>
        <w:ind w:left="1919" w:right="497"/>
      </w:pPr>
      <w:r>
        <w:rPr>
          <w:b/>
        </w:rPr>
        <w:t>IRA:</w:t>
      </w:r>
      <w:r>
        <w:rPr>
          <w:b/>
          <w:spacing w:val="-3"/>
        </w:rPr>
        <w:t xml:space="preserve"> </w:t>
      </w:r>
      <w:r>
        <w:t>The</w:t>
      </w:r>
      <w:r>
        <w:rPr>
          <w:spacing w:val="-3"/>
        </w:rPr>
        <w:t xml:space="preserve"> </w:t>
      </w:r>
      <w:r>
        <w:t>Inflation</w:t>
      </w:r>
      <w:r>
        <w:rPr>
          <w:spacing w:val="-3"/>
        </w:rPr>
        <w:t xml:space="preserve"> </w:t>
      </w:r>
      <w:r>
        <w:t>Reduction</w:t>
      </w:r>
      <w:r>
        <w:rPr>
          <w:spacing w:val="-3"/>
        </w:rPr>
        <w:t xml:space="preserve"> </w:t>
      </w:r>
      <w:r>
        <w:t>Act</w:t>
      </w:r>
      <w:r>
        <w:rPr>
          <w:spacing w:val="-3"/>
        </w:rPr>
        <w:t xml:space="preserve"> </w:t>
      </w:r>
      <w:r>
        <w:t>o</w:t>
      </w:r>
      <w:r>
        <w:t>f</w:t>
      </w:r>
      <w:r>
        <w:rPr>
          <w:spacing w:val="-3"/>
        </w:rPr>
        <w:t xml:space="preserve"> </w:t>
      </w:r>
      <w:r>
        <w:t>2022</w:t>
      </w:r>
      <w:r>
        <w:rPr>
          <w:spacing w:val="-3"/>
        </w:rPr>
        <w:t xml:space="preserve"> </w:t>
      </w:r>
      <w:r>
        <w:t>was</w:t>
      </w:r>
      <w:r>
        <w:rPr>
          <w:spacing w:val="-3"/>
        </w:rPr>
        <w:t xml:space="preserve"> </w:t>
      </w:r>
      <w:r>
        <w:t>adopted</w:t>
      </w:r>
      <w:r>
        <w:rPr>
          <w:spacing w:val="-3"/>
        </w:rPr>
        <w:t xml:space="preserve"> </w:t>
      </w:r>
      <w:r>
        <w:t>into</w:t>
      </w:r>
      <w:r>
        <w:rPr>
          <w:spacing w:val="-3"/>
        </w:rPr>
        <w:t xml:space="preserve"> </w:t>
      </w:r>
      <w:r>
        <w:t>law</w:t>
      </w:r>
      <w:r>
        <w:rPr>
          <w:spacing w:val="-4"/>
        </w:rPr>
        <w:t xml:space="preserve"> </w:t>
      </w:r>
      <w:r>
        <w:t>in</w:t>
      </w:r>
      <w:r>
        <w:rPr>
          <w:spacing w:val="-2"/>
        </w:rPr>
        <w:t xml:space="preserve"> </w:t>
      </w:r>
      <w:r>
        <w:t>August</w:t>
      </w:r>
      <w:r>
        <w:rPr>
          <w:spacing w:val="-3"/>
        </w:rPr>
        <w:t xml:space="preserve"> </w:t>
      </w:r>
      <w:r>
        <w:t>of</w:t>
      </w:r>
      <w:r>
        <w:rPr>
          <w:spacing w:val="-3"/>
        </w:rPr>
        <w:t xml:space="preserve"> </w:t>
      </w:r>
      <w:r>
        <w:t>2022. Among its provisions are the allowance of claimed tax credits to help offset the cost of purchasing and installing energy efficient end use technologies in residential and commercial premises. These tax credit</w:t>
      </w:r>
      <w:r>
        <w:t>s will be available for a</w:t>
      </w:r>
    </w:p>
    <w:p w:rsidR="00C31389" w:rsidRDefault="00561FBD" w14:paraId="648B0BC7" w14:textId="77777777">
      <w:pPr>
        <w:pStyle w:val="BodyText"/>
        <w:ind w:left="1920" w:right="485"/>
      </w:pPr>
      <w:r>
        <w:t>10-year period beginning in 2023. Per direction from the CPUC, the 2023 Study incorporated</w:t>
      </w:r>
      <w:r>
        <w:rPr>
          <w:spacing w:val="-5"/>
        </w:rPr>
        <w:t xml:space="preserve"> </w:t>
      </w:r>
      <w:r>
        <w:t>IRA</w:t>
      </w:r>
      <w:r>
        <w:rPr>
          <w:spacing w:val="-4"/>
        </w:rPr>
        <w:t xml:space="preserve"> </w:t>
      </w:r>
      <w:r>
        <w:t>tax</w:t>
      </w:r>
      <w:r>
        <w:rPr>
          <w:spacing w:val="-4"/>
        </w:rPr>
        <w:t xml:space="preserve"> </w:t>
      </w:r>
      <w:r>
        <w:t>credits</w:t>
      </w:r>
      <w:r>
        <w:rPr>
          <w:spacing w:val="-4"/>
        </w:rPr>
        <w:t xml:space="preserve"> </w:t>
      </w:r>
      <w:r>
        <w:t>into</w:t>
      </w:r>
      <w:r>
        <w:rPr>
          <w:spacing w:val="-5"/>
        </w:rPr>
        <w:t xml:space="preserve"> </w:t>
      </w:r>
      <w:r>
        <w:t>its</w:t>
      </w:r>
      <w:r>
        <w:rPr>
          <w:spacing w:val="-4"/>
        </w:rPr>
        <w:t xml:space="preserve"> </w:t>
      </w:r>
      <w:r>
        <w:t>analysis</w:t>
      </w:r>
      <w:r>
        <w:rPr>
          <w:spacing w:val="-4"/>
        </w:rPr>
        <w:t xml:space="preserve"> </w:t>
      </w:r>
      <w:r>
        <w:t>of</w:t>
      </w:r>
      <w:r>
        <w:rPr>
          <w:spacing w:val="-4"/>
        </w:rPr>
        <w:t xml:space="preserve"> </w:t>
      </w:r>
      <w:r>
        <w:t>achievable</w:t>
      </w:r>
      <w:r>
        <w:rPr>
          <w:spacing w:val="-4"/>
        </w:rPr>
        <w:t xml:space="preserve"> </w:t>
      </w:r>
      <w:r>
        <w:t>potential</w:t>
      </w:r>
      <w:r>
        <w:rPr>
          <w:spacing w:val="-4"/>
        </w:rPr>
        <w:t xml:space="preserve"> </w:t>
      </w:r>
      <w:r>
        <w:t>for</w:t>
      </w:r>
      <w:r>
        <w:rPr>
          <w:spacing w:val="-4"/>
        </w:rPr>
        <w:t xml:space="preserve"> </w:t>
      </w:r>
      <w:r>
        <w:t>applicable EE and FS measures and applied a variable set of assumptions acros</w:t>
      </w:r>
      <w:r>
        <w:t>s three of the four executed scenarios.</w:t>
      </w:r>
    </w:p>
    <w:p w:rsidR="00C31389" w:rsidRDefault="00561FBD" w14:paraId="454FB9AB" w14:textId="77777777">
      <w:pPr>
        <w:pStyle w:val="ListParagraph"/>
        <w:numPr>
          <w:ilvl w:val="0"/>
          <w:numId w:val="67"/>
        </w:numPr>
        <w:tabs>
          <w:tab w:val="left" w:pos="1200"/>
        </w:tabs>
        <w:spacing w:before="117"/>
        <w:ind w:right="572"/>
      </w:pPr>
      <w:r>
        <w:rPr>
          <w:b/>
        </w:rPr>
        <w:t xml:space="preserve">TSB analysis: </w:t>
      </w:r>
      <w:r>
        <w:t>The TSB is a metric to show the relative value of each measure compared with each other measure independent of its measure cost, program cost, or fuel type. Although previous studies included calculatio</w:t>
      </w:r>
      <w:r>
        <w:t>ns of benefits (in avoided costs) from rebate programs in their datasets, this study, like the 2021 Study, calculates TSB for</w:t>
      </w:r>
      <w:r>
        <w:rPr>
          <w:spacing w:val="-4"/>
        </w:rPr>
        <w:t xml:space="preserve"> </w:t>
      </w:r>
      <w:r>
        <w:t>both</w:t>
      </w:r>
      <w:r>
        <w:rPr>
          <w:spacing w:val="-4"/>
        </w:rPr>
        <w:t xml:space="preserve"> </w:t>
      </w:r>
      <w:r>
        <w:t>rebate</w:t>
      </w:r>
      <w:r>
        <w:rPr>
          <w:spacing w:val="-4"/>
        </w:rPr>
        <w:t xml:space="preserve"> </w:t>
      </w:r>
      <w:r>
        <w:t>programs</w:t>
      </w:r>
      <w:r>
        <w:rPr>
          <w:spacing w:val="-4"/>
        </w:rPr>
        <w:t xml:space="preserve"> </w:t>
      </w:r>
      <w:r>
        <w:t>and</w:t>
      </w:r>
      <w:r>
        <w:rPr>
          <w:spacing w:val="-4"/>
        </w:rPr>
        <w:t xml:space="preserve"> </w:t>
      </w:r>
      <w:r>
        <w:t>BROs</w:t>
      </w:r>
      <w:r>
        <w:rPr>
          <w:spacing w:val="-4"/>
        </w:rPr>
        <w:t xml:space="preserve"> </w:t>
      </w:r>
      <w:r>
        <w:t>and</w:t>
      </w:r>
      <w:r>
        <w:rPr>
          <w:spacing w:val="-4"/>
        </w:rPr>
        <w:t xml:space="preserve"> </w:t>
      </w:r>
      <w:r>
        <w:t>displays</w:t>
      </w:r>
      <w:r>
        <w:rPr>
          <w:spacing w:val="-4"/>
        </w:rPr>
        <w:t xml:space="preserve"> </w:t>
      </w:r>
      <w:r>
        <w:t>the</w:t>
      </w:r>
      <w:r>
        <w:rPr>
          <w:spacing w:val="-4"/>
        </w:rPr>
        <w:t xml:space="preserve"> </w:t>
      </w:r>
      <w:r>
        <w:t>TSB</w:t>
      </w:r>
      <w:r>
        <w:rPr>
          <w:spacing w:val="-4"/>
        </w:rPr>
        <w:t xml:space="preserve"> </w:t>
      </w:r>
      <w:r>
        <w:t>results</w:t>
      </w:r>
      <w:r>
        <w:rPr>
          <w:spacing w:val="-4"/>
        </w:rPr>
        <w:t xml:space="preserve"> </w:t>
      </w:r>
      <w:r>
        <w:t>prominently</w:t>
      </w:r>
      <w:r>
        <w:rPr>
          <w:spacing w:val="-4"/>
        </w:rPr>
        <w:t xml:space="preserve"> </w:t>
      </w:r>
      <w:r>
        <w:t xml:space="preserve">alongside fuel-specific savings outputs as an </w:t>
      </w:r>
      <w:r>
        <w:t>additional metric. The TSB provides the monetary value for the utility lifecycle benefit based on the avoided costs of offsetting any new generation, transmission and distribution (T&amp;D), carbon, or fuel costs.</w:t>
      </w:r>
    </w:p>
    <w:p w:rsidR="00C31389" w:rsidRDefault="00561FBD" w14:paraId="1E92AFF0" w14:textId="77777777">
      <w:pPr>
        <w:pStyle w:val="ListParagraph"/>
        <w:numPr>
          <w:ilvl w:val="0"/>
          <w:numId w:val="67"/>
        </w:numPr>
        <w:tabs>
          <w:tab w:val="left" w:pos="1200"/>
        </w:tabs>
        <w:spacing w:before="119"/>
        <w:ind w:right="716"/>
      </w:pPr>
      <w:r>
        <w:rPr>
          <w:b/>
        </w:rPr>
        <w:t>Refresh</w:t>
      </w:r>
      <w:r>
        <w:rPr>
          <w:b/>
          <w:spacing w:val="-2"/>
        </w:rPr>
        <w:t xml:space="preserve"> </w:t>
      </w:r>
      <w:r>
        <w:rPr>
          <w:b/>
        </w:rPr>
        <w:t>measure</w:t>
      </w:r>
      <w:r>
        <w:rPr>
          <w:b/>
          <w:spacing w:val="-2"/>
        </w:rPr>
        <w:t xml:space="preserve"> </w:t>
      </w:r>
      <w:r>
        <w:rPr>
          <w:b/>
        </w:rPr>
        <w:t>data:</w:t>
      </w:r>
      <w:r>
        <w:rPr>
          <w:b/>
          <w:spacing w:val="-2"/>
        </w:rPr>
        <w:t xml:space="preserve"> </w:t>
      </w:r>
      <w:r>
        <w:t>The</w:t>
      </w:r>
      <w:r>
        <w:rPr>
          <w:spacing w:val="-2"/>
        </w:rPr>
        <w:t xml:space="preserve"> </w:t>
      </w:r>
      <w:r>
        <w:t>study</w:t>
      </w:r>
      <w:r>
        <w:rPr>
          <w:spacing w:val="-2"/>
        </w:rPr>
        <w:t xml:space="preserve"> </w:t>
      </w:r>
      <w:r>
        <w:t>used</w:t>
      </w:r>
      <w:r>
        <w:rPr>
          <w:spacing w:val="-2"/>
        </w:rPr>
        <w:t xml:space="preserve"> </w:t>
      </w:r>
      <w:r>
        <w:t>the</w:t>
      </w:r>
      <w:r>
        <w:rPr>
          <w:spacing w:val="-2"/>
        </w:rPr>
        <w:t xml:space="preserve"> </w:t>
      </w:r>
      <w:r>
        <w:t>Calif</w:t>
      </w:r>
      <w:r>
        <w:t>ornia</w:t>
      </w:r>
      <w:r>
        <w:rPr>
          <w:spacing w:val="-2"/>
        </w:rPr>
        <w:t xml:space="preserve"> </w:t>
      </w:r>
      <w:r>
        <w:t>electronic</w:t>
      </w:r>
      <w:r>
        <w:rPr>
          <w:spacing w:val="-2"/>
        </w:rPr>
        <w:t xml:space="preserve"> </w:t>
      </w:r>
      <w:r>
        <w:t>Technical</w:t>
      </w:r>
      <w:r>
        <w:rPr>
          <w:spacing w:val="-2"/>
        </w:rPr>
        <w:t xml:space="preserve"> </w:t>
      </w:r>
      <w:r>
        <w:t xml:space="preserve">Reference Manual (CA eTRM) as the primary data sources for refreshing input assumptions for measures. Old measures no longer in programs were removed while new measures were added. To account for potential differences in savings </w:t>
      </w:r>
      <w:r>
        <w:t>resulting in impacts to cost-effectiveness, the team developed three weather zones in each utility territory to reflect</w:t>
      </w:r>
      <w:r>
        <w:rPr>
          <w:spacing w:val="-5"/>
        </w:rPr>
        <w:t xml:space="preserve"> </w:t>
      </w:r>
      <w:r>
        <w:t>the</w:t>
      </w:r>
      <w:r>
        <w:rPr>
          <w:spacing w:val="-5"/>
        </w:rPr>
        <w:t xml:space="preserve"> </w:t>
      </w:r>
      <w:r>
        <w:t>cost-effective</w:t>
      </w:r>
      <w:r>
        <w:rPr>
          <w:spacing w:val="-6"/>
        </w:rPr>
        <w:t xml:space="preserve"> </w:t>
      </w:r>
      <w:r>
        <w:t>potential</w:t>
      </w:r>
      <w:r>
        <w:rPr>
          <w:spacing w:val="-5"/>
        </w:rPr>
        <w:t xml:space="preserve"> </w:t>
      </w:r>
      <w:r>
        <w:t>and</w:t>
      </w:r>
      <w:r>
        <w:rPr>
          <w:spacing w:val="-5"/>
        </w:rPr>
        <w:t xml:space="preserve"> </w:t>
      </w:r>
      <w:r>
        <w:t>savings</w:t>
      </w:r>
      <w:r>
        <w:rPr>
          <w:spacing w:val="-5"/>
        </w:rPr>
        <w:t xml:space="preserve"> </w:t>
      </w:r>
      <w:r>
        <w:t>analysis</w:t>
      </w:r>
      <w:r>
        <w:rPr>
          <w:spacing w:val="-4"/>
        </w:rPr>
        <w:t xml:space="preserve"> </w:t>
      </w:r>
      <w:r>
        <w:t>for</w:t>
      </w:r>
      <w:r>
        <w:rPr>
          <w:spacing w:val="-5"/>
        </w:rPr>
        <w:t xml:space="preserve"> </w:t>
      </w:r>
      <w:r>
        <w:t>climate-sensitive</w:t>
      </w:r>
      <w:r>
        <w:rPr>
          <w:spacing w:val="-5"/>
        </w:rPr>
        <w:t xml:space="preserve"> </w:t>
      </w:r>
      <w:r>
        <w:t>measures.</w:t>
      </w:r>
    </w:p>
    <w:p w:rsidR="00C31389" w:rsidRDefault="00C31389" w14:paraId="7C74435B" w14:textId="77777777">
      <w:pPr>
        <w:pStyle w:val="BodyText"/>
        <w:rPr>
          <w:sz w:val="20"/>
        </w:rPr>
      </w:pPr>
    </w:p>
    <w:p w:rsidR="00C31389" w:rsidRDefault="00C31389" w14:paraId="1348EA9B" w14:textId="77777777">
      <w:pPr>
        <w:pStyle w:val="BodyText"/>
        <w:rPr>
          <w:sz w:val="20"/>
        </w:rPr>
      </w:pPr>
    </w:p>
    <w:p w:rsidR="00C31389" w:rsidRDefault="00561FBD" w14:paraId="6F5CE930" w14:textId="77777777">
      <w:pPr>
        <w:pStyle w:val="BodyText"/>
        <w:spacing w:before="4"/>
        <w:rPr>
          <w:sz w:val="11"/>
        </w:rPr>
      </w:pPr>
      <w:r>
        <w:rPr>
          <w:noProof/>
        </w:rPr>
        <mc:AlternateContent>
          <mc:Choice Requires="wps">
            <w:drawing>
              <wp:anchor distT="0" distB="0" distL="0" distR="0" simplePos="0" relativeHeight="487600640" behindDoc="1" locked="0" layoutInCell="1" allowOverlap="1" wp14:editId="0F29A3D4" wp14:anchorId="1298E8DA">
                <wp:simplePos x="0" y="0"/>
                <wp:positionH relativeFrom="page">
                  <wp:posOffset>914400</wp:posOffset>
                </wp:positionH>
                <wp:positionV relativeFrom="paragraph">
                  <wp:posOffset>98442</wp:posOffset>
                </wp:positionV>
                <wp:extent cx="1828800" cy="698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9" style="position:absolute;margin-left:1in;margin-top:7.75pt;width:2in;height:.5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" w14:anchorId="143EAE6C">
                <v:path arrowok="t"/>
                <w10:wrap type="topAndBottom" anchorx="page"/>
              </v:shape>
            </w:pict>
          </mc:Fallback>
        </mc:AlternateContent>
      </w:r>
    </w:p>
    <w:p w:rsidR="00C31389" w:rsidRDefault="00561FBD" w14:paraId="5A6ACF12" w14:textId="77777777">
      <w:pPr>
        <w:spacing w:before="88"/>
        <w:ind w:left="480" w:right="533"/>
        <w:rPr>
          <w:sz w:val="18"/>
        </w:rPr>
      </w:pPr>
      <w:bookmarkStart w:name="_bookmark31" w:id="38"/>
      <w:bookmarkEnd w:id="38"/>
      <w:r>
        <w:rPr>
          <w:position w:val="6"/>
          <w:sz w:val="12"/>
        </w:rPr>
        <w:t>11</w:t>
      </w:r>
      <w:r>
        <w:rPr>
          <w:spacing w:val="14"/>
          <w:position w:val="6"/>
          <w:sz w:val="12"/>
        </w:rPr>
        <w:t xml:space="preserve"> </w:t>
      </w:r>
      <w:r>
        <w:rPr>
          <w:sz w:val="18"/>
        </w:rPr>
        <w:t>California</w:t>
      </w:r>
      <w:r>
        <w:rPr>
          <w:spacing w:val="-4"/>
          <w:sz w:val="18"/>
        </w:rPr>
        <w:t xml:space="preserve"> </w:t>
      </w:r>
      <w:r>
        <w:rPr>
          <w:sz w:val="18"/>
        </w:rPr>
        <w:t>Public</w:t>
      </w:r>
      <w:r>
        <w:rPr>
          <w:spacing w:val="-3"/>
          <w:sz w:val="18"/>
        </w:rPr>
        <w:t xml:space="preserve"> </w:t>
      </w:r>
      <w:r>
        <w:rPr>
          <w:sz w:val="18"/>
        </w:rPr>
        <w:t>Utilities</w:t>
      </w:r>
      <w:r>
        <w:rPr>
          <w:spacing w:val="-3"/>
          <w:sz w:val="18"/>
        </w:rPr>
        <w:t xml:space="preserve"> </w:t>
      </w:r>
      <w:r>
        <w:rPr>
          <w:sz w:val="18"/>
        </w:rPr>
        <w:t>Commission,</w:t>
      </w:r>
      <w:r>
        <w:rPr>
          <w:spacing w:val="-3"/>
          <w:sz w:val="18"/>
        </w:rPr>
        <w:t xml:space="preserve"> </w:t>
      </w:r>
      <w:hyperlink r:id="rId53">
        <w:r>
          <w:rPr>
            <w:i/>
            <w:color w:val="68942C"/>
            <w:sz w:val="18"/>
            <w:u w:val="single" w:color="68942C"/>
          </w:rPr>
          <w:t>Decision</w:t>
        </w:r>
        <w:r>
          <w:rPr>
            <w:i/>
            <w:color w:val="68942C"/>
            <w:spacing w:val="-4"/>
            <w:sz w:val="18"/>
            <w:u w:val="single" w:color="68942C"/>
          </w:rPr>
          <w:t xml:space="preserve"> </w:t>
        </w:r>
        <w:r>
          <w:rPr>
            <w:i/>
            <w:color w:val="68942C"/>
            <w:sz w:val="18"/>
            <w:u w:val="single" w:color="68942C"/>
          </w:rPr>
          <w:t>Modifying</w:t>
        </w:r>
        <w:r>
          <w:rPr>
            <w:i/>
            <w:color w:val="68942C"/>
            <w:spacing w:val="-4"/>
            <w:sz w:val="18"/>
            <w:u w:val="single" w:color="68942C"/>
          </w:rPr>
          <w:t xml:space="preserve"> </w:t>
        </w:r>
        <w:r>
          <w:rPr>
            <w:i/>
            <w:color w:val="68942C"/>
            <w:sz w:val="18"/>
            <w:u w:val="single" w:color="68942C"/>
          </w:rPr>
          <w:t>The</w:t>
        </w:r>
        <w:r>
          <w:rPr>
            <w:i/>
            <w:color w:val="68942C"/>
            <w:spacing w:val="-4"/>
            <w:sz w:val="18"/>
            <w:u w:val="single" w:color="68942C"/>
          </w:rPr>
          <w:t xml:space="preserve"> </w:t>
        </w:r>
        <w:r>
          <w:rPr>
            <w:i/>
            <w:color w:val="68942C"/>
            <w:sz w:val="18"/>
            <w:u w:val="single" w:color="68942C"/>
          </w:rPr>
          <w:t>Energy</w:t>
        </w:r>
        <w:r>
          <w:rPr>
            <w:i/>
            <w:color w:val="68942C"/>
            <w:spacing w:val="-3"/>
            <w:sz w:val="18"/>
            <w:u w:val="single" w:color="68942C"/>
          </w:rPr>
          <w:t xml:space="preserve"> </w:t>
        </w:r>
        <w:r>
          <w:rPr>
            <w:i/>
            <w:color w:val="68942C"/>
            <w:sz w:val="18"/>
            <w:u w:val="single" w:color="68942C"/>
          </w:rPr>
          <w:t>Efficiency</w:t>
        </w:r>
        <w:r>
          <w:rPr>
            <w:i/>
            <w:color w:val="68942C"/>
            <w:spacing w:val="-3"/>
            <w:sz w:val="18"/>
            <w:u w:val="single" w:color="68942C"/>
          </w:rPr>
          <w:t xml:space="preserve"> </w:t>
        </w:r>
        <w:r>
          <w:rPr>
            <w:i/>
            <w:color w:val="68942C"/>
            <w:sz w:val="18"/>
            <w:u w:val="single" w:color="68942C"/>
          </w:rPr>
          <w:t>Three-Prong</w:t>
        </w:r>
        <w:r>
          <w:rPr>
            <w:i/>
            <w:color w:val="68942C"/>
            <w:spacing w:val="-4"/>
            <w:sz w:val="18"/>
            <w:u w:val="single" w:color="68942C"/>
          </w:rPr>
          <w:t xml:space="preserve"> </w:t>
        </w:r>
        <w:r>
          <w:rPr>
            <w:i/>
            <w:color w:val="68942C"/>
            <w:sz w:val="18"/>
            <w:u w:val="single" w:color="68942C"/>
          </w:rPr>
          <w:t>Test</w:t>
        </w:r>
        <w:r>
          <w:rPr>
            <w:i/>
            <w:color w:val="68942C"/>
            <w:spacing w:val="-3"/>
            <w:sz w:val="18"/>
            <w:u w:val="single" w:color="68942C"/>
          </w:rPr>
          <w:t xml:space="preserve"> </w:t>
        </w:r>
        <w:r>
          <w:rPr>
            <w:i/>
            <w:color w:val="68942C"/>
            <w:sz w:val="18"/>
            <w:u w:val="single" w:color="68942C"/>
          </w:rPr>
          <w:t>Related</w:t>
        </w:r>
        <w:r>
          <w:rPr>
            <w:i/>
            <w:color w:val="68942C"/>
            <w:spacing w:val="-4"/>
            <w:sz w:val="18"/>
            <w:u w:val="single" w:color="68942C"/>
          </w:rPr>
          <w:t xml:space="preserve"> </w:t>
        </w:r>
        <w:r>
          <w:rPr>
            <w:i/>
            <w:color w:val="68942C"/>
            <w:sz w:val="18"/>
            <w:u w:val="single" w:color="68942C"/>
          </w:rPr>
          <w:t>to</w:t>
        </w:r>
        <w:r>
          <w:rPr>
            <w:i/>
            <w:color w:val="68942C"/>
            <w:spacing w:val="-4"/>
            <w:sz w:val="18"/>
            <w:u w:val="single" w:color="68942C"/>
          </w:rPr>
          <w:t xml:space="preserve"> </w:t>
        </w:r>
        <w:r>
          <w:rPr>
            <w:i/>
            <w:color w:val="68942C"/>
            <w:sz w:val="18"/>
            <w:u w:val="single" w:color="68942C"/>
          </w:rPr>
          <w:t>Fuel</w:t>
        </w:r>
      </w:hyperlink>
      <w:r>
        <w:rPr>
          <w:i/>
          <w:color w:val="68942C"/>
          <w:sz w:val="18"/>
        </w:rPr>
        <w:t xml:space="preserve"> </w:t>
      </w:r>
      <w:hyperlink r:id="rId54">
        <w:r>
          <w:rPr>
            <w:i/>
            <w:color w:val="68942C"/>
            <w:sz w:val="18"/>
            <w:u w:val="single" w:color="68942C"/>
          </w:rPr>
          <w:t>Substitution</w:t>
        </w:r>
        <w:r>
          <w:rPr>
            <w:sz w:val="18"/>
          </w:rPr>
          <w:t>,</w:t>
        </w:r>
      </w:hyperlink>
      <w:r>
        <w:rPr>
          <w:sz w:val="18"/>
        </w:rPr>
        <w:t xml:space="preserve"> 2019.</w:t>
      </w:r>
    </w:p>
    <w:p w:rsidR="00C31389" w:rsidRDefault="00C31389" w14:paraId="4E96D076" w14:textId="77777777">
      <w:pPr>
        <w:rPr>
          <w:sz w:val="18"/>
        </w:rPr>
        <w:sectPr w:rsidR="00C31389">
          <w:headerReference w:type="default" r:id="rId55"/>
          <w:footerReference w:type="default" r:id="rId56"/>
          <w:pgSz w:w="12240" w:h="15840"/>
          <w:pgMar w:top="1380" w:right="960" w:bottom="1120" w:left="960" w:header="397" w:footer="936" w:gutter="0"/>
          <w:cols w:space="720"/>
        </w:sectPr>
      </w:pPr>
    </w:p>
    <w:p w:rsidR="00C31389" w:rsidRDefault="00C31389" w14:paraId="0AC8206D" w14:textId="77777777">
      <w:pPr>
        <w:pStyle w:val="BodyText"/>
      </w:pPr>
    </w:p>
    <w:p w:rsidR="00C31389" w:rsidRDefault="00C31389" w14:paraId="5D8D2EB9" w14:textId="77777777">
      <w:pPr>
        <w:pStyle w:val="BodyText"/>
        <w:spacing w:before="2"/>
        <w:rPr>
          <w:sz w:val="13"/>
        </w:rPr>
      </w:pPr>
    </w:p>
    <w:p w:rsidR="00C31389" w:rsidRDefault="00561FBD" w14:paraId="0C466406" w14:textId="77777777">
      <w:pPr>
        <w:pStyle w:val="ListParagraph"/>
        <w:numPr>
          <w:ilvl w:val="0"/>
          <w:numId w:val="67"/>
        </w:numPr>
        <w:tabs>
          <w:tab w:val="left" w:pos="1199"/>
        </w:tabs>
        <w:spacing w:before="100"/>
        <w:ind w:left="1199" w:right="486"/>
      </w:pPr>
      <w:r>
        <w:rPr>
          <w:b/>
        </w:rPr>
        <w:t xml:space="preserve">Refresh cost-effectiveness inputs and outputs: </w:t>
      </w:r>
      <w:r>
        <w:t>This study uses 2022 vintage of avoided</w:t>
      </w:r>
      <w:r>
        <w:rPr>
          <w:spacing w:val="-4"/>
        </w:rPr>
        <w:t xml:space="preserve"> </w:t>
      </w:r>
      <w:r>
        <w:t>costs</w:t>
      </w:r>
      <w:r>
        <w:rPr>
          <w:spacing w:val="-4"/>
        </w:rPr>
        <w:t xml:space="preserve"> </w:t>
      </w:r>
      <w:r>
        <w:t>to</w:t>
      </w:r>
      <w:r>
        <w:rPr>
          <w:spacing w:val="-4"/>
        </w:rPr>
        <w:t xml:space="preserve"> </w:t>
      </w:r>
      <w:r>
        <w:t>assess</w:t>
      </w:r>
      <w:r>
        <w:rPr>
          <w:spacing w:val="-5"/>
        </w:rPr>
        <w:t xml:space="preserve"> </w:t>
      </w:r>
      <w:r>
        <w:t>the</w:t>
      </w:r>
      <w:r>
        <w:rPr>
          <w:spacing w:val="-4"/>
        </w:rPr>
        <w:t xml:space="preserve"> </w:t>
      </w:r>
      <w:r>
        <w:t>cost-effectiveness</w:t>
      </w:r>
      <w:r>
        <w:rPr>
          <w:spacing w:val="-4"/>
        </w:rPr>
        <w:t xml:space="preserve"> </w:t>
      </w:r>
      <w:r>
        <w:t>and</w:t>
      </w:r>
      <w:r>
        <w:rPr>
          <w:spacing w:val="-4"/>
        </w:rPr>
        <w:t xml:space="preserve"> </w:t>
      </w:r>
      <w:r>
        <w:t>benefits</w:t>
      </w:r>
      <w:r>
        <w:rPr>
          <w:spacing w:val="-4"/>
        </w:rPr>
        <w:t xml:space="preserve"> </w:t>
      </w:r>
      <w:r>
        <w:t>generated</w:t>
      </w:r>
      <w:r>
        <w:rPr>
          <w:spacing w:val="-4"/>
        </w:rPr>
        <w:t xml:space="preserve"> </w:t>
      </w:r>
      <w:r>
        <w:t>by</w:t>
      </w:r>
      <w:r>
        <w:rPr>
          <w:spacing w:val="-5"/>
        </w:rPr>
        <w:t xml:space="preserve"> </w:t>
      </w:r>
      <w:r>
        <w:t>IOU</w:t>
      </w:r>
      <w:r>
        <w:rPr>
          <w:spacing w:val="-5"/>
        </w:rPr>
        <w:t xml:space="preserve"> </w:t>
      </w:r>
      <w:r>
        <w:t>programs. Guidehouse employed all avoided costs in alignment with the current eTRM measure details a</w:t>
      </w:r>
      <w:r>
        <w:t>s noted above. Gas avoided costs are overall higher compared with those used in the 2021 Study, while electric avoided costs may increase or decrease depending on the specific sector and IOU. This study also details the types of benefit and cost outputs be</w:t>
      </w:r>
      <w:r>
        <w:t>ing provided to stakeholders, including detail on the cost-effectiveness of individual measures and the total benefits, total costs, and TSB of programs.</w:t>
      </w:r>
    </w:p>
    <w:p w:rsidR="00C31389" w:rsidRDefault="00561FBD" w14:paraId="0377F47A" w14:textId="77777777">
      <w:pPr>
        <w:pStyle w:val="ListParagraph"/>
        <w:numPr>
          <w:ilvl w:val="0"/>
          <w:numId w:val="67"/>
        </w:numPr>
        <w:tabs>
          <w:tab w:val="left" w:pos="1199"/>
        </w:tabs>
        <w:spacing w:before="119"/>
        <w:ind w:left="1199" w:right="584"/>
      </w:pPr>
      <w:r>
        <w:rPr>
          <w:b/>
        </w:rPr>
        <w:t xml:space="preserve">Low income analysis: </w:t>
      </w:r>
      <w:r>
        <w:t>The method for analyzing low income potential is based on existing</w:t>
      </w:r>
      <w:r>
        <w:rPr>
          <w:spacing w:val="-5"/>
        </w:rPr>
        <w:t xml:space="preserve"> </w:t>
      </w:r>
      <w:r>
        <w:t>and</w:t>
      </w:r>
      <w:r>
        <w:rPr>
          <w:spacing w:val="-5"/>
        </w:rPr>
        <w:t xml:space="preserve"> </w:t>
      </w:r>
      <w:r>
        <w:t>potential</w:t>
      </w:r>
      <w:r>
        <w:rPr>
          <w:spacing w:val="-4"/>
        </w:rPr>
        <w:t xml:space="preserve"> </w:t>
      </w:r>
      <w:r>
        <w:t>measures</w:t>
      </w:r>
      <w:r>
        <w:rPr>
          <w:spacing w:val="-4"/>
        </w:rPr>
        <w:t xml:space="preserve"> </w:t>
      </w:r>
      <w:r>
        <w:t>for</w:t>
      </w:r>
      <w:r>
        <w:rPr>
          <w:spacing w:val="-4"/>
        </w:rPr>
        <w:t xml:space="preserve"> </w:t>
      </w:r>
      <w:r>
        <w:t>the</w:t>
      </w:r>
      <w:r>
        <w:rPr>
          <w:spacing w:val="-4"/>
        </w:rPr>
        <w:t xml:space="preserve"> </w:t>
      </w:r>
      <w:r>
        <w:t>Energy</w:t>
      </w:r>
      <w:r>
        <w:rPr>
          <w:spacing w:val="-4"/>
        </w:rPr>
        <w:t xml:space="preserve"> </w:t>
      </w:r>
      <w:r>
        <w:t>Savings</w:t>
      </w:r>
      <w:r>
        <w:rPr>
          <w:spacing w:val="-4"/>
        </w:rPr>
        <w:t xml:space="preserve"> </w:t>
      </w:r>
      <w:r>
        <w:t>Assistance</w:t>
      </w:r>
      <w:r>
        <w:rPr>
          <w:spacing w:val="-4"/>
        </w:rPr>
        <w:t xml:space="preserve"> </w:t>
      </w:r>
      <w:r>
        <w:t>(ESA)</w:t>
      </w:r>
      <w:r>
        <w:rPr>
          <w:spacing w:val="-4"/>
        </w:rPr>
        <w:t xml:space="preserve"> </w:t>
      </w:r>
      <w:r>
        <w:t>program.</w:t>
      </w:r>
      <w:r>
        <w:rPr>
          <w:spacing w:val="-4"/>
        </w:rPr>
        <w:t xml:space="preserve"> </w:t>
      </w:r>
      <w:r>
        <w:t xml:space="preserve">The low income program potential uses researcher-defined adoption curves based on historical participation rates and planned adoption trends for measures as well as customer </w:t>
      </w:r>
      <w:r>
        <w:t>characteristics. A sector-specific cost-effectiveness screen was also applied using the ESA Cost Effectiveness Tool (ESACET). In addition to non-low income</w:t>
      </w:r>
    </w:p>
    <w:p w:rsidR="00C31389" w:rsidRDefault="00561FBD" w14:paraId="2BEAABF0" w14:textId="77777777">
      <w:pPr>
        <w:pStyle w:val="BodyText"/>
        <w:spacing w:line="251" w:lineRule="exact"/>
        <w:ind w:left="1199"/>
      </w:pPr>
      <w:r>
        <w:t>cost-effectiveness</w:t>
      </w:r>
      <w:r>
        <w:rPr>
          <w:spacing w:val="-13"/>
        </w:rPr>
        <w:t xml:space="preserve"> </w:t>
      </w:r>
      <w:r>
        <w:t>calculation</w:t>
      </w:r>
      <w:r>
        <w:rPr>
          <w:spacing w:val="-10"/>
        </w:rPr>
        <w:t xml:space="preserve"> </w:t>
      </w:r>
      <w:r>
        <w:t>inputs,</w:t>
      </w:r>
      <w:r>
        <w:rPr>
          <w:spacing w:val="-12"/>
        </w:rPr>
        <w:t xml:space="preserve"> </w:t>
      </w:r>
      <w:r>
        <w:t>ESACET</w:t>
      </w:r>
      <w:r>
        <w:rPr>
          <w:spacing w:val="-10"/>
        </w:rPr>
        <w:t xml:space="preserve"> </w:t>
      </w:r>
      <w:r>
        <w:t>applies</w:t>
      </w:r>
      <w:r>
        <w:rPr>
          <w:spacing w:val="-10"/>
        </w:rPr>
        <w:t xml:space="preserve"> </w:t>
      </w:r>
      <w:r>
        <w:t>a</w:t>
      </w:r>
      <w:r>
        <w:rPr>
          <w:spacing w:val="-11"/>
        </w:rPr>
        <w:t xml:space="preserve"> </w:t>
      </w:r>
      <w:r>
        <w:t>model-based</w:t>
      </w:r>
      <w:r>
        <w:rPr>
          <w:spacing w:val="-10"/>
        </w:rPr>
        <w:t xml:space="preserve"> </w:t>
      </w:r>
      <w:r>
        <w:t>valuation</w:t>
      </w:r>
      <w:r>
        <w:rPr>
          <w:spacing w:val="-10"/>
        </w:rPr>
        <w:t xml:space="preserve"> </w:t>
      </w:r>
      <w:r>
        <w:rPr>
          <w:spacing w:val="-5"/>
        </w:rPr>
        <w:t>of</w:t>
      </w:r>
    </w:p>
    <w:p w:rsidR="00C31389" w:rsidRDefault="00561FBD" w14:paraId="64D2D1D4" w14:textId="77777777">
      <w:pPr>
        <w:pStyle w:val="BodyText"/>
        <w:ind w:left="1200" w:right="533"/>
      </w:pPr>
      <w:r>
        <w:t>non-energy</w:t>
      </w:r>
      <w:r>
        <w:rPr>
          <w:spacing w:val="-5"/>
        </w:rPr>
        <w:t xml:space="preserve"> </w:t>
      </w:r>
      <w:r>
        <w:t>benefits</w:t>
      </w:r>
      <w:r>
        <w:rPr>
          <w:spacing w:val="-4"/>
        </w:rPr>
        <w:t xml:space="preserve"> </w:t>
      </w:r>
      <w:r>
        <w:t>to</w:t>
      </w:r>
      <w:r>
        <w:rPr>
          <w:spacing w:val="-4"/>
        </w:rPr>
        <w:t xml:space="preserve"> </w:t>
      </w:r>
      <w:r>
        <w:t>each</w:t>
      </w:r>
      <w:r>
        <w:rPr>
          <w:spacing w:val="-4"/>
        </w:rPr>
        <w:t xml:space="preserve"> </w:t>
      </w:r>
      <w:r>
        <w:t>measure.</w:t>
      </w:r>
      <w:r>
        <w:rPr>
          <w:spacing w:val="-4"/>
        </w:rPr>
        <w:t xml:space="preserve"> </w:t>
      </w:r>
      <w:r>
        <w:t>Measures</w:t>
      </w:r>
      <w:r>
        <w:rPr>
          <w:spacing w:val="-4"/>
        </w:rPr>
        <w:t xml:space="preserve"> </w:t>
      </w:r>
      <w:r>
        <w:t>with</w:t>
      </w:r>
      <w:r>
        <w:rPr>
          <w:spacing w:val="-4"/>
        </w:rPr>
        <w:t xml:space="preserve"> </w:t>
      </w:r>
      <w:r>
        <w:t>an</w:t>
      </w:r>
      <w:r>
        <w:rPr>
          <w:spacing w:val="-4"/>
        </w:rPr>
        <w:t xml:space="preserve"> </w:t>
      </w:r>
      <w:r>
        <w:t>ESACET</w:t>
      </w:r>
      <w:r>
        <w:rPr>
          <w:spacing w:val="-4"/>
        </w:rPr>
        <w:t xml:space="preserve"> </w:t>
      </w:r>
      <w:r>
        <w:t>value</w:t>
      </w:r>
      <w:r>
        <w:rPr>
          <w:spacing w:val="-4"/>
        </w:rPr>
        <w:t xml:space="preserve"> </w:t>
      </w:r>
      <w:r>
        <w:t>below</w:t>
      </w:r>
      <w:r>
        <w:rPr>
          <w:spacing w:val="-5"/>
        </w:rPr>
        <w:t xml:space="preserve"> </w:t>
      </w:r>
      <w:r>
        <w:t>0.3</w:t>
      </w:r>
      <w:r>
        <w:rPr>
          <w:spacing w:val="-4"/>
        </w:rPr>
        <w:t xml:space="preserve"> </w:t>
      </w:r>
      <w:r>
        <w:t>were screened out of the 2023 low income analysis unless they had a specific IOU-defined designation of providing health, comfort, or safety benefits.</w:t>
      </w:r>
    </w:p>
    <w:p w:rsidR="00C31389" w:rsidRDefault="00561FBD" w14:paraId="06C8A256" w14:textId="77777777">
      <w:pPr>
        <w:pStyle w:val="BodyText"/>
        <w:spacing w:before="119"/>
        <w:ind w:left="480" w:right="485"/>
      </w:pPr>
      <w:r>
        <w:t>The top-down forecasting (except for certain me</w:t>
      </w:r>
      <w:r>
        <w:t>asure categories of the industrial and agricultural sectors) is not in the scope of this report, though it may be examined in subsequent analysis</w:t>
      </w:r>
      <w:r>
        <w:rPr>
          <w:spacing w:val="-3"/>
        </w:rPr>
        <w:t xml:space="preserve"> </w:t>
      </w:r>
      <w:r>
        <w:t>at</w:t>
      </w:r>
      <w:r>
        <w:rPr>
          <w:spacing w:val="-3"/>
        </w:rPr>
        <w:t xml:space="preserve"> </w:t>
      </w:r>
      <w:r>
        <w:t>the</w:t>
      </w:r>
      <w:r>
        <w:rPr>
          <w:spacing w:val="-3"/>
        </w:rPr>
        <w:t xml:space="preserve"> </w:t>
      </w:r>
      <w:r>
        <w:t>direction</w:t>
      </w:r>
      <w:r>
        <w:rPr>
          <w:spacing w:val="-4"/>
        </w:rPr>
        <w:t xml:space="preserve"> </w:t>
      </w:r>
      <w:r>
        <w:t>of</w:t>
      </w:r>
      <w:r>
        <w:rPr>
          <w:spacing w:val="-3"/>
        </w:rPr>
        <w:t xml:space="preserve"> </w:t>
      </w:r>
      <w:r>
        <w:t>CPUC</w:t>
      </w:r>
      <w:r>
        <w:rPr>
          <w:spacing w:val="-4"/>
        </w:rPr>
        <w:t xml:space="preserve"> </w:t>
      </w:r>
      <w:r>
        <w:t>staff.</w:t>
      </w:r>
      <w:r>
        <w:rPr>
          <w:spacing w:val="-3"/>
        </w:rPr>
        <w:t xml:space="preserve"> </w:t>
      </w:r>
      <w:r>
        <w:t>Due</w:t>
      </w:r>
      <w:r>
        <w:rPr>
          <w:spacing w:val="-3"/>
        </w:rPr>
        <w:t xml:space="preserve"> </w:t>
      </w:r>
      <w:r>
        <w:t>to</w:t>
      </w:r>
      <w:r>
        <w:rPr>
          <w:spacing w:val="-3"/>
        </w:rPr>
        <w:t xml:space="preserve"> </w:t>
      </w:r>
      <w:r>
        <w:t>prioritization</w:t>
      </w:r>
      <w:r>
        <w:rPr>
          <w:spacing w:val="-4"/>
        </w:rPr>
        <w:t xml:space="preserve"> </w:t>
      </w:r>
      <w:r>
        <w:t>of</w:t>
      </w:r>
      <w:r>
        <w:rPr>
          <w:spacing w:val="-4"/>
        </w:rPr>
        <w:t xml:space="preserve"> </w:t>
      </w:r>
      <w:r>
        <w:t>the</w:t>
      </w:r>
      <w:r>
        <w:rPr>
          <w:spacing w:val="-3"/>
        </w:rPr>
        <w:t xml:space="preserve"> </w:t>
      </w:r>
      <w:r>
        <w:t>above</w:t>
      </w:r>
      <w:r>
        <w:rPr>
          <w:spacing w:val="-3"/>
        </w:rPr>
        <w:t xml:space="preserve"> </w:t>
      </w:r>
      <w:r>
        <w:t>detailed</w:t>
      </w:r>
      <w:r>
        <w:rPr>
          <w:spacing w:val="-3"/>
        </w:rPr>
        <w:t xml:space="preserve"> </w:t>
      </w:r>
      <w:r>
        <w:t>scope</w:t>
      </w:r>
      <w:r>
        <w:rPr>
          <w:spacing w:val="-3"/>
        </w:rPr>
        <w:t xml:space="preserve"> </w:t>
      </w:r>
      <w:r>
        <w:t>items,</w:t>
      </w:r>
      <w:r>
        <w:rPr>
          <w:spacing w:val="-3"/>
        </w:rPr>
        <w:t xml:space="preserve"> </w:t>
      </w:r>
      <w:r>
        <w:t>in particular the add</w:t>
      </w:r>
      <w:r>
        <w:t>ition of IRA analysis within the 2023 Study, a top-down analysis was not included as part of the core PG study during the current cycle.</w:t>
      </w:r>
    </w:p>
    <w:p w:rsidR="00C31389" w:rsidRDefault="00C31389" w14:paraId="5A087B6E" w14:textId="77777777">
      <w:pPr>
        <w:pStyle w:val="BodyText"/>
        <w:spacing w:before="10"/>
        <w:rPr>
          <w:sz w:val="20"/>
        </w:rPr>
      </w:pPr>
    </w:p>
    <w:p w:rsidR="00C31389" w:rsidRDefault="00561FBD" w14:paraId="12742206" w14:textId="77777777">
      <w:pPr>
        <w:pStyle w:val="Heading2"/>
        <w:numPr>
          <w:ilvl w:val="1"/>
          <w:numId w:val="71"/>
        </w:numPr>
        <w:tabs>
          <w:tab w:val="left" w:pos="945"/>
        </w:tabs>
        <w:ind w:left="945" w:hanging="465"/>
      </w:pPr>
      <w:bookmarkStart w:name="1.4_Stakeholder_Engagement" w:id="39"/>
      <w:bookmarkStart w:name="_bookmark32" w:id="40"/>
      <w:bookmarkEnd w:id="39"/>
      <w:bookmarkEnd w:id="40"/>
      <w:r>
        <w:rPr>
          <w:spacing w:val="-2"/>
        </w:rPr>
        <w:t>Stakeholder</w:t>
      </w:r>
      <w:r>
        <w:rPr>
          <w:spacing w:val="1"/>
        </w:rPr>
        <w:t xml:space="preserve"> </w:t>
      </w:r>
      <w:r>
        <w:rPr>
          <w:spacing w:val="-2"/>
        </w:rPr>
        <w:t>Engagement</w:t>
      </w:r>
    </w:p>
    <w:p w:rsidR="00C31389" w:rsidRDefault="00561FBD" w14:paraId="0C4A0BB6" w14:textId="77777777">
      <w:pPr>
        <w:pStyle w:val="BodyText"/>
        <w:spacing w:before="241"/>
        <w:ind w:left="479" w:right="485"/>
      </w:pPr>
      <w:r>
        <w:t xml:space="preserve">The Guidehouse team engaged with stakeholders through multiple public workshops. All </w:t>
      </w:r>
      <w:r>
        <w:t>meeting materials are available on the CPUC 2023 EE Potential and Goals page website.</w:t>
      </w:r>
      <w:r>
        <w:rPr>
          <w:spacing w:val="-39"/>
        </w:rPr>
        <w:t xml:space="preserve"> </w:t>
      </w:r>
      <w:hyperlink w:history="1" w:anchor="_bookmark34">
        <w:r>
          <w:rPr>
            <w:position w:val="7"/>
            <w:sz w:val="14"/>
          </w:rPr>
          <w:t>12</w:t>
        </w:r>
      </w:hyperlink>
      <w:r>
        <w:rPr>
          <w:spacing w:val="40"/>
          <w:position w:val="7"/>
          <w:sz w:val="14"/>
        </w:rPr>
        <w:t xml:space="preserve"> </w:t>
      </w:r>
      <w:r>
        <w:t>These workshops were used to request data, collect feedback on scope, discuss methodology, and</w:t>
      </w:r>
      <w:r>
        <w:rPr>
          <w:spacing w:val="-3"/>
        </w:rPr>
        <w:t xml:space="preserve"> </w:t>
      </w:r>
      <w:r>
        <w:t>discuss</w:t>
      </w:r>
      <w:r>
        <w:rPr>
          <w:spacing w:val="-4"/>
        </w:rPr>
        <w:t xml:space="preserve"> </w:t>
      </w:r>
      <w:r>
        <w:t>key</w:t>
      </w:r>
      <w:r>
        <w:rPr>
          <w:spacing w:val="-3"/>
        </w:rPr>
        <w:t xml:space="preserve"> </w:t>
      </w:r>
      <w:r>
        <w:t>assumptions.</w:t>
      </w:r>
      <w:r>
        <w:rPr>
          <w:spacing w:val="-3"/>
        </w:rPr>
        <w:t xml:space="preserve"> </w:t>
      </w:r>
      <w:hyperlink w:history="1" w:anchor="_bookmark33">
        <w:r>
          <w:t>Table</w:t>
        </w:r>
        <w:r>
          <w:rPr>
            <w:spacing w:val="-4"/>
          </w:rPr>
          <w:t xml:space="preserve"> </w:t>
        </w:r>
        <w:r>
          <w:t>1-1</w:t>
        </w:r>
      </w:hyperlink>
      <w:r>
        <w:rPr>
          <w:spacing w:val="-3"/>
        </w:rPr>
        <w:t xml:space="preserve"> </w:t>
      </w:r>
      <w:r>
        <w:t>provides</w:t>
      </w:r>
      <w:r>
        <w:rPr>
          <w:spacing w:val="-4"/>
        </w:rPr>
        <w:t xml:space="preserve"> </w:t>
      </w:r>
      <w:r>
        <w:t>the</w:t>
      </w:r>
      <w:r>
        <w:rPr>
          <w:spacing w:val="-3"/>
        </w:rPr>
        <w:t xml:space="preserve"> </w:t>
      </w:r>
      <w:r>
        <w:t>schedule</w:t>
      </w:r>
      <w:r>
        <w:rPr>
          <w:spacing w:val="-3"/>
        </w:rPr>
        <w:t xml:space="preserve"> </w:t>
      </w:r>
      <w:r>
        <w:t>of</w:t>
      </w:r>
      <w:r>
        <w:rPr>
          <w:spacing w:val="-3"/>
        </w:rPr>
        <w:t xml:space="preserve"> </w:t>
      </w:r>
      <w:r>
        <w:t>meetings</w:t>
      </w:r>
      <w:r>
        <w:rPr>
          <w:spacing w:val="-3"/>
        </w:rPr>
        <w:t xml:space="preserve"> </w:t>
      </w:r>
      <w:r>
        <w:t>that</w:t>
      </w:r>
      <w:r>
        <w:rPr>
          <w:spacing w:val="-3"/>
        </w:rPr>
        <w:t xml:space="preserve"> </w:t>
      </w:r>
      <w:r>
        <w:t>were</w:t>
      </w:r>
      <w:r>
        <w:rPr>
          <w:spacing w:val="-3"/>
        </w:rPr>
        <w:t xml:space="preserve"> </w:t>
      </w:r>
      <w:r>
        <w:t>held.</w:t>
      </w:r>
      <w:r>
        <w:rPr>
          <w:spacing w:val="-3"/>
        </w:rPr>
        <w:t xml:space="preserve"> </w:t>
      </w:r>
      <w:r>
        <w:t>After each meeting, stakeholders were provided a period in which they could submit informal comments to the Guideh</w:t>
      </w:r>
      <w:r>
        <w:t>ouse team and CPUC. The team reviewed all comments received and worked directly with CPUC staff to incorporate input provided into the study.</w:t>
      </w:r>
    </w:p>
    <w:p w:rsidR="00C31389" w:rsidRDefault="00C31389" w14:paraId="0FAFFC31" w14:textId="77777777">
      <w:pPr>
        <w:pStyle w:val="BodyText"/>
        <w:spacing w:before="9"/>
        <w:rPr>
          <w:sz w:val="20"/>
        </w:rPr>
      </w:pPr>
    </w:p>
    <w:p w:rsidR="00C31389" w:rsidRDefault="00561FBD" w14:paraId="6D6AAAAE" w14:textId="77777777">
      <w:pPr>
        <w:pStyle w:val="Heading7"/>
        <w:ind w:left="566" w:right="566"/>
        <w:jc w:val="center"/>
      </w:pPr>
      <w:bookmarkStart w:name="_bookmark33" w:id="41"/>
      <w:bookmarkEnd w:id="41"/>
      <w:r>
        <w:t>Table</w:t>
      </w:r>
      <w:r>
        <w:rPr>
          <w:spacing w:val="-9"/>
        </w:rPr>
        <w:t xml:space="preserve"> </w:t>
      </w:r>
      <w:r>
        <w:t>1-1.</w:t>
      </w:r>
      <w:r>
        <w:rPr>
          <w:spacing w:val="-8"/>
        </w:rPr>
        <w:t xml:space="preserve"> </w:t>
      </w:r>
      <w:r>
        <w:t>Stakeholder</w:t>
      </w:r>
      <w:r>
        <w:rPr>
          <w:spacing w:val="-9"/>
        </w:rPr>
        <w:t xml:space="preserve"> </w:t>
      </w:r>
      <w:r>
        <w:t>Meeting</w:t>
      </w:r>
      <w:r>
        <w:rPr>
          <w:spacing w:val="-8"/>
        </w:rPr>
        <w:t xml:space="preserve"> </w:t>
      </w:r>
      <w:r>
        <w:rPr>
          <w:spacing w:val="-2"/>
        </w:rPr>
        <w:t>Schedule</w:t>
      </w:r>
    </w:p>
    <w:p w:rsidR="00C31389" w:rsidRDefault="00C31389" w14:paraId="3022CEF9"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2513"/>
        <w:gridCol w:w="6861"/>
      </w:tblGrid>
      <w:tr w:rsidR="00C31389" w14:paraId="2E97AF20" w14:textId="77777777">
        <w:trPr>
          <w:trHeight w:val="320"/>
        </w:trPr>
        <w:tc>
          <w:tcPr>
            <w:tcW w:w="2513" w:type="dxa"/>
            <w:shd w:val="clear" w:color="auto" w:fill="92D400"/>
          </w:tcPr>
          <w:p w:rsidR="00C31389" w:rsidRDefault="00561FBD" w14:paraId="426AE060" w14:textId="77777777">
            <w:pPr>
              <w:pStyle w:val="TableParagraph"/>
              <w:ind w:left="129"/>
              <w:rPr>
                <w:b/>
                <w:sz w:val="20"/>
              </w:rPr>
            </w:pPr>
            <w:r>
              <w:rPr>
                <w:b/>
                <w:spacing w:val="-4"/>
                <w:sz w:val="20"/>
              </w:rPr>
              <w:t>Date</w:t>
            </w:r>
          </w:p>
        </w:tc>
        <w:tc>
          <w:tcPr>
            <w:tcW w:w="6861" w:type="dxa"/>
            <w:shd w:val="clear" w:color="auto" w:fill="92D400"/>
          </w:tcPr>
          <w:p w:rsidR="00C31389" w:rsidRDefault="00561FBD" w14:paraId="192EAC60" w14:textId="77777777">
            <w:pPr>
              <w:pStyle w:val="TableParagraph"/>
              <w:ind w:left="226"/>
              <w:rPr>
                <w:b/>
                <w:sz w:val="20"/>
              </w:rPr>
            </w:pPr>
            <w:r>
              <w:rPr>
                <w:b/>
                <w:sz w:val="20"/>
              </w:rPr>
              <w:t>Topics</w:t>
            </w:r>
            <w:r>
              <w:rPr>
                <w:b/>
                <w:spacing w:val="-4"/>
                <w:sz w:val="20"/>
              </w:rPr>
              <w:t xml:space="preserve"> </w:t>
            </w:r>
            <w:r>
              <w:rPr>
                <w:b/>
                <w:sz w:val="20"/>
              </w:rPr>
              <w:t>of</w:t>
            </w:r>
            <w:r>
              <w:rPr>
                <w:b/>
                <w:spacing w:val="-3"/>
                <w:sz w:val="20"/>
              </w:rPr>
              <w:t xml:space="preserve"> </w:t>
            </w:r>
            <w:r>
              <w:rPr>
                <w:b/>
                <w:spacing w:val="-2"/>
                <w:sz w:val="20"/>
              </w:rPr>
              <w:t>Discussion</w:t>
            </w:r>
          </w:p>
        </w:tc>
      </w:tr>
      <w:tr w:rsidR="00C31389" w14:paraId="741FB538" w14:textId="77777777">
        <w:trPr>
          <w:trHeight w:val="309"/>
        </w:trPr>
        <w:tc>
          <w:tcPr>
            <w:tcW w:w="2513" w:type="dxa"/>
            <w:tcBorders>
              <w:bottom w:val="single" w:color="D9D9D9" w:sz="2" w:space="0"/>
            </w:tcBorders>
          </w:tcPr>
          <w:p w:rsidR="00C31389" w:rsidRDefault="00561FBD" w14:paraId="0C2626B6" w14:textId="77777777">
            <w:pPr>
              <w:pStyle w:val="TableParagraph"/>
              <w:ind w:left="129"/>
              <w:rPr>
                <w:sz w:val="20"/>
              </w:rPr>
            </w:pPr>
            <w:r>
              <w:rPr>
                <w:sz w:val="20"/>
              </w:rPr>
              <w:t>August</w:t>
            </w:r>
            <w:r>
              <w:rPr>
                <w:spacing w:val="-2"/>
                <w:sz w:val="20"/>
              </w:rPr>
              <w:t xml:space="preserve"> </w:t>
            </w:r>
            <w:r>
              <w:rPr>
                <w:sz w:val="20"/>
              </w:rPr>
              <w:t>2,</w:t>
            </w:r>
            <w:r>
              <w:rPr>
                <w:spacing w:val="-2"/>
                <w:sz w:val="20"/>
              </w:rPr>
              <w:t xml:space="preserve"> </w:t>
            </w:r>
            <w:r>
              <w:rPr>
                <w:spacing w:val="-4"/>
                <w:sz w:val="20"/>
              </w:rPr>
              <w:t>2022</w:t>
            </w:r>
          </w:p>
        </w:tc>
        <w:tc>
          <w:tcPr>
            <w:tcW w:w="6861" w:type="dxa"/>
            <w:tcBorders>
              <w:bottom w:val="single" w:color="D9D9D9" w:sz="2" w:space="0"/>
            </w:tcBorders>
          </w:tcPr>
          <w:p w:rsidR="00C31389" w:rsidRDefault="00561FBD" w14:paraId="2EA7BD8E" w14:textId="77777777">
            <w:pPr>
              <w:pStyle w:val="TableParagraph"/>
              <w:ind w:left="226"/>
              <w:rPr>
                <w:sz w:val="20"/>
              </w:rPr>
            </w:pPr>
            <w:r>
              <w:rPr>
                <w:sz w:val="20"/>
              </w:rPr>
              <w:t>2023</w:t>
            </w:r>
            <w:r>
              <w:rPr>
                <w:spacing w:val="-4"/>
                <w:sz w:val="20"/>
              </w:rPr>
              <w:t xml:space="preserve"> </w:t>
            </w:r>
            <w:r>
              <w:rPr>
                <w:sz w:val="20"/>
              </w:rPr>
              <w:t>Potential</w:t>
            </w:r>
            <w:r>
              <w:rPr>
                <w:spacing w:val="-3"/>
                <w:sz w:val="20"/>
              </w:rPr>
              <w:t xml:space="preserve"> </w:t>
            </w:r>
            <w:r>
              <w:rPr>
                <w:sz w:val="20"/>
              </w:rPr>
              <w:t>and</w:t>
            </w:r>
            <w:r>
              <w:rPr>
                <w:spacing w:val="-3"/>
                <w:sz w:val="20"/>
              </w:rPr>
              <w:t xml:space="preserve"> </w:t>
            </w:r>
            <w:r>
              <w:rPr>
                <w:sz w:val="20"/>
              </w:rPr>
              <w:t>Goals</w:t>
            </w:r>
            <w:r>
              <w:rPr>
                <w:spacing w:val="-5"/>
                <w:sz w:val="20"/>
              </w:rPr>
              <w:t xml:space="preserve"> </w:t>
            </w:r>
            <w:r>
              <w:rPr>
                <w:sz w:val="20"/>
              </w:rPr>
              <w:t>Study</w:t>
            </w:r>
            <w:r>
              <w:rPr>
                <w:spacing w:val="-2"/>
                <w:sz w:val="20"/>
              </w:rPr>
              <w:t xml:space="preserve"> </w:t>
            </w:r>
            <w:r>
              <w:rPr>
                <w:sz w:val="20"/>
              </w:rPr>
              <w:t>Workplan</w:t>
            </w:r>
            <w:r>
              <w:rPr>
                <w:spacing w:val="-3"/>
                <w:sz w:val="20"/>
              </w:rPr>
              <w:t xml:space="preserve"> </w:t>
            </w:r>
            <w:r>
              <w:rPr>
                <w:spacing w:val="-2"/>
                <w:sz w:val="20"/>
              </w:rPr>
              <w:t>Webinar</w:t>
            </w:r>
          </w:p>
        </w:tc>
      </w:tr>
      <w:tr w:rsidR="00C31389" w14:paraId="3F6E8E4B" w14:textId="77777777">
        <w:trPr>
          <w:trHeight w:val="310"/>
        </w:trPr>
        <w:tc>
          <w:tcPr>
            <w:tcW w:w="2513" w:type="dxa"/>
            <w:tcBorders>
              <w:top w:val="single" w:color="D9D9D9" w:sz="2" w:space="0"/>
              <w:bottom w:val="single" w:color="D9D9D9" w:sz="2" w:space="0"/>
            </w:tcBorders>
          </w:tcPr>
          <w:p w:rsidR="00C31389" w:rsidRDefault="00561FBD" w14:paraId="7F780DDD" w14:textId="77777777">
            <w:pPr>
              <w:pStyle w:val="TableParagraph"/>
              <w:ind w:left="129"/>
              <w:rPr>
                <w:sz w:val="20"/>
              </w:rPr>
            </w:pPr>
            <w:r>
              <w:rPr>
                <w:sz w:val="20"/>
              </w:rPr>
              <w:t>October</w:t>
            </w:r>
            <w:r>
              <w:rPr>
                <w:spacing w:val="-2"/>
                <w:sz w:val="20"/>
              </w:rPr>
              <w:t xml:space="preserve"> </w:t>
            </w:r>
            <w:r>
              <w:rPr>
                <w:sz w:val="20"/>
              </w:rPr>
              <w:t>27,</w:t>
            </w:r>
            <w:r>
              <w:rPr>
                <w:spacing w:val="-2"/>
                <w:sz w:val="20"/>
              </w:rPr>
              <w:t xml:space="preserve"> </w:t>
            </w:r>
            <w:r>
              <w:rPr>
                <w:spacing w:val="-4"/>
                <w:sz w:val="20"/>
              </w:rPr>
              <w:t>2022</w:t>
            </w:r>
          </w:p>
        </w:tc>
        <w:tc>
          <w:tcPr>
            <w:tcW w:w="6861" w:type="dxa"/>
            <w:tcBorders>
              <w:top w:val="single" w:color="D9D9D9" w:sz="2" w:space="0"/>
              <w:bottom w:val="single" w:color="D9D9D9" w:sz="2" w:space="0"/>
            </w:tcBorders>
          </w:tcPr>
          <w:p w:rsidR="00C31389" w:rsidRDefault="00561FBD" w14:paraId="3BB8E679" w14:textId="77777777">
            <w:pPr>
              <w:pStyle w:val="TableParagraph"/>
              <w:ind w:left="226"/>
              <w:rPr>
                <w:sz w:val="20"/>
              </w:rPr>
            </w:pPr>
            <w:r>
              <w:rPr>
                <w:sz w:val="20"/>
              </w:rPr>
              <w:t>Stakeholder</w:t>
            </w:r>
            <w:r>
              <w:rPr>
                <w:spacing w:val="-3"/>
                <w:sz w:val="20"/>
              </w:rPr>
              <w:t xml:space="preserve"> </w:t>
            </w:r>
            <w:r>
              <w:rPr>
                <w:sz w:val="20"/>
              </w:rPr>
              <w:t>input</w:t>
            </w:r>
            <w:r>
              <w:rPr>
                <w:spacing w:val="-4"/>
                <w:sz w:val="20"/>
              </w:rPr>
              <w:t xml:space="preserve"> </w:t>
            </w:r>
            <w:r>
              <w:rPr>
                <w:sz w:val="20"/>
              </w:rPr>
              <w:t>–</w:t>
            </w:r>
            <w:r>
              <w:rPr>
                <w:spacing w:val="-3"/>
                <w:sz w:val="20"/>
              </w:rPr>
              <w:t xml:space="preserve"> </w:t>
            </w:r>
            <w:r>
              <w:rPr>
                <w:sz w:val="20"/>
              </w:rPr>
              <w:t>Low</w:t>
            </w:r>
            <w:r>
              <w:rPr>
                <w:spacing w:val="-3"/>
                <w:sz w:val="20"/>
              </w:rPr>
              <w:t xml:space="preserve"> </w:t>
            </w:r>
            <w:r>
              <w:rPr>
                <w:sz w:val="20"/>
              </w:rPr>
              <w:t>Income</w:t>
            </w:r>
            <w:r>
              <w:rPr>
                <w:spacing w:val="-3"/>
                <w:sz w:val="20"/>
              </w:rPr>
              <w:t xml:space="preserve"> </w:t>
            </w:r>
            <w:r>
              <w:rPr>
                <w:spacing w:val="-2"/>
                <w:sz w:val="20"/>
              </w:rPr>
              <w:t>Approach*</w:t>
            </w:r>
          </w:p>
        </w:tc>
      </w:tr>
      <w:tr w:rsidR="00C31389" w14:paraId="580418C0" w14:textId="77777777">
        <w:trPr>
          <w:trHeight w:val="309"/>
        </w:trPr>
        <w:tc>
          <w:tcPr>
            <w:tcW w:w="2513" w:type="dxa"/>
            <w:tcBorders>
              <w:top w:val="single" w:color="D9D9D9" w:sz="2" w:space="0"/>
              <w:bottom w:val="single" w:color="D9D9D9" w:sz="2" w:space="0"/>
            </w:tcBorders>
          </w:tcPr>
          <w:p w:rsidR="00C31389" w:rsidRDefault="00561FBD" w14:paraId="0F55A106" w14:textId="77777777">
            <w:pPr>
              <w:pStyle w:val="TableParagraph"/>
              <w:ind w:left="129"/>
              <w:rPr>
                <w:sz w:val="20"/>
              </w:rPr>
            </w:pPr>
            <w:r>
              <w:rPr>
                <w:sz w:val="20"/>
              </w:rPr>
              <w:t>December</w:t>
            </w:r>
            <w:r>
              <w:rPr>
                <w:spacing w:val="-5"/>
                <w:sz w:val="20"/>
              </w:rPr>
              <w:t xml:space="preserve"> </w:t>
            </w:r>
            <w:r>
              <w:rPr>
                <w:sz w:val="20"/>
              </w:rPr>
              <w:t>14,</w:t>
            </w:r>
            <w:r>
              <w:rPr>
                <w:spacing w:val="-5"/>
                <w:sz w:val="20"/>
              </w:rPr>
              <w:t xml:space="preserve"> </w:t>
            </w:r>
            <w:r>
              <w:rPr>
                <w:spacing w:val="-4"/>
                <w:sz w:val="20"/>
              </w:rPr>
              <w:t>2022</w:t>
            </w:r>
          </w:p>
        </w:tc>
        <w:tc>
          <w:tcPr>
            <w:tcW w:w="6861" w:type="dxa"/>
            <w:tcBorders>
              <w:top w:val="single" w:color="D9D9D9" w:sz="2" w:space="0"/>
              <w:bottom w:val="single" w:color="D9D9D9" w:sz="2" w:space="0"/>
            </w:tcBorders>
          </w:tcPr>
          <w:p w:rsidR="00C31389" w:rsidRDefault="00561FBD" w14:paraId="630F2B7C" w14:textId="77777777">
            <w:pPr>
              <w:pStyle w:val="TableParagraph"/>
              <w:ind w:left="226"/>
              <w:rPr>
                <w:sz w:val="20"/>
              </w:rPr>
            </w:pPr>
            <w:r>
              <w:rPr>
                <w:sz w:val="20"/>
              </w:rPr>
              <w:t>Stakeholder</w:t>
            </w:r>
            <w:r>
              <w:rPr>
                <w:spacing w:val="-4"/>
                <w:sz w:val="20"/>
              </w:rPr>
              <w:t xml:space="preserve"> </w:t>
            </w:r>
            <w:r>
              <w:rPr>
                <w:sz w:val="20"/>
              </w:rPr>
              <w:t>webinar</w:t>
            </w:r>
            <w:r>
              <w:rPr>
                <w:spacing w:val="-4"/>
                <w:sz w:val="20"/>
              </w:rPr>
              <w:t xml:space="preserve"> </w:t>
            </w:r>
            <w:r>
              <w:rPr>
                <w:sz w:val="20"/>
              </w:rPr>
              <w:t>–</w:t>
            </w:r>
            <w:r>
              <w:rPr>
                <w:spacing w:val="-4"/>
                <w:sz w:val="20"/>
              </w:rPr>
              <w:t xml:space="preserve"> </w:t>
            </w:r>
            <w:r>
              <w:rPr>
                <w:sz w:val="20"/>
              </w:rPr>
              <w:t>Scenario</w:t>
            </w:r>
            <w:r>
              <w:rPr>
                <w:spacing w:val="-4"/>
                <w:sz w:val="20"/>
              </w:rPr>
              <w:t xml:space="preserve"> </w:t>
            </w:r>
            <w:r>
              <w:rPr>
                <w:spacing w:val="-2"/>
                <w:sz w:val="20"/>
              </w:rPr>
              <w:t>Design</w:t>
            </w:r>
          </w:p>
        </w:tc>
      </w:tr>
      <w:tr w:rsidR="00C31389" w14:paraId="2D6D4670" w14:textId="77777777">
        <w:trPr>
          <w:trHeight w:val="310"/>
        </w:trPr>
        <w:tc>
          <w:tcPr>
            <w:tcW w:w="2513" w:type="dxa"/>
            <w:tcBorders>
              <w:top w:val="single" w:color="D9D9D9" w:sz="2" w:space="0"/>
              <w:bottom w:val="single" w:color="D9D9D9" w:sz="2" w:space="0"/>
            </w:tcBorders>
          </w:tcPr>
          <w:p w:rsidR="00C31389" w:rsidRDefault="00561FBD" w14:paraId="30365C63" w14:textId="77777777">
            <w:pPr>
              <w:pStyle w:val="TableParagraph"/>
              <w:ind w:left="129"/>
              <w:rPr>
                <w:sz w:val="20"/>
              </w:rPr>
            </w:pPr>
            <w:r>
              <w:rPr>
                <w:sz w:val="20"/>
              </w:rPr>
              <w:t>May</w:t>
            </w:r>
            <w:r>
              <w:rPr>
                <w:spacing w:val="-1"/>
                <w:sz w:val="20"/>
              </w:rPr>
              <w:t xml:space="preserve"> </w:t>
            </w:r>
            <w:r>
              <w:rPr>
                <w:sz w:val="20"/>
              </w:rPr>
              <w:t>5,</w:t>
            </w:r>
            <w:r>
              <w:rPr>
                <w:spacing w:val="-1"/>
                <w:sz w:val="20"/>
              </w:rPr>
              <w:t xml:space="preserve"> </w:t>
            </w:r>
            <w:r>
              <w:rPr>
                <w:spacing w:val="-4"/>
                <w:sz w:val="20"/>
              </w:rPr>
              <w:t>2023</w:t>
            </w:r>
          </w:p>
        </w:tc>
        <w:tc>
          <w:tcPr>
            <w:tcW w:w="6861" w:type="dxa"/>
            <w:tcBorders>
              <w:top w:val="single" w:color="D9D9D9" w:sz="2" w:space="0"/>
              <w:bottom w:val="single" w:color="D9D9D9" w:sz="2" w:space="0"/>
            </w:tcBorders>
          </w:tcPr>
          <w:p w:rsidR="00C31389" w:rsidRDefault="00561FBD" w14:paraId="30830540" w14:textId="77777777">
            <w:pPr>
              <w:pStyle w:val="TableParagraph"/>
              <w:ind w:left="226"/>
              <w:rPr>
                <w:sz w:val="20"/>
              </w:rPr>
            </w:pPr>
            <w:r>
              <w:rPr>
                <w:sz w:val="20"/>
              </w:rPr>
              <w:t>Stakeholder</w:t>
            </w:r>
            <w:r>
              <w:rPr>
                <w:spacing w:val="-4"/>
                <w:sz w:val="20"/>
              </w:rPr>
              <w:t xml:space="preserve"> </w:t>
            </w:r>
            <w:r>
              <w:rPr>
                <w:sz w:val="20"/>
              </w:rPr>
              <w:t>input</w:t>
            </w:r>
            <w:r>
              <w:rPr>
                <w:spacing w:val="-5"/>
                <w:sz w:val="20"/>
              </w:rPr>
              <w:t xml:space="preserve"> </w:t>
            </w:r>
            <w:r>
              <w:rPr>
                <w:sz w:val="20"/>
              </w:rPr>
              <w:t>–</w:t>
            </w:r>
            <w:r>
              <w:rPr>
                <w:spacing w:val="-4"/>
                <w:sz w:val="20"/>
              </w:rPr>
              <w:t xml:space="preserve"> </w:t>
            </w:r>
            <w:r>
              <w:rPr>
                <w:sz w:val="20"/>
              </w:rPr>
              <w:t>Preliminary</w:t>
            </w:r>
            <w:r>
              <w:rPr>
                <w:spacing w:val="-3"/>
                <w:sz w:val="20"/>
              </w:rPr>
              <w:t xml:space="preserve"> </w:t>
            </w:r>
            <w:r>
              <w:rPr>
                <w:sz w:val="20"/>
              </w:rPr>
              <w:t>Results</w:t>
            </w:r>
            <w:r>
              <w:rPr>
                <w:spacing w:val="-3"/>
                <w:sz w:val="20"/>
              </w:rPr>
              <w:t xml:space="preserve"> </w:t>
            </w:r>
            <w:r>
              <w:rPr>
                <w:sz w:val="20"/>
              </w:rPr>
              <w:t>&amp;</w:t>
            </w:r>
            <w:r>
              <w:rPr>
                <w:spacing w:val="-4"/>
                <w:sz w:val="20"/>
              </w:rPr>
              <w:t xml:space="preserve"> </w:t>
            </w:r>
            <w:r>
              <w:rPr>
                <w:spacing w:val="-2"/>
                <w:sz w:val="20"/>
              </w:rPr>
              <w:t>Scenarios</w:t>
            </w:r>
          </w:p>
        </w:tc>
      </w:tr>
      <w:tr w:rsidR="00C31389" w14:paraId="6130A9CF" w14:textId="77777777">
        <w:trPr>
          <w:trHeight w:val="310"/>
        </w:trPr>
        <w:tc>
          <w:tcPr>
            <w:tcW w:w="2513" w:type="dxa"/>
            <w:tcBorders>
              <w:top w:val="single" w:color="D9D9D9" w:sz="2" w:space="0"/>
              <w:bottom w:val="single" w:color="000000" w:sz="8" w:space="0"/>
            </w:tcBorders>
          </w:tcPr>
          <w:p w:rsidR="00C31389" w:rsidRDefault="00561FBD" w14:paraId="5433F687" w14:textId="77777777">
            <w:pPr>
              <w:pStyle w:val="TableParagraph"/>
              <w:ind w:left="129"/>
              <w:rPr>
                <w:sz w:val="20"/>
              </w:rPr>
            </w:pPr>
            <w:r>
              <w:rPr>
                <w:sz w:val="20"/>
              </w:rPr>
              <w:t>Summer</w:t>
            </w:r>
            <w:r>
              <w:rPr>
                <w:spacing w:val="-4"/>
                <w:sz w:val="20"/>
              </w:rPr>
              <w:t xml:space="preserve"> </w:t>
            </w:r>
            <w:r>
              <w:rPr>
                <w:sz w:val="20"/>
              </w:rPr>
              <w:t>2023</w:t>
            </w:r>
            <w:r>
              <w:rPr>
                <w:spacing w:val="-4"/>
                <w:sz w:val="20"/>
              </w:rPr>
              <w:t xml:space="preserve"> </w:t>
            </w:r>
            <w:r>
              <w:rPr>
                <w:spacing w:val="-2"/>
                <w:sz w:val="20"/>
              </w:rPr>
              <w:t>(planned)</w:t>
            </w:r>
          </w:p>
        </w:tc>
        <w:tc>
          <w:tcPr>
            <w:tcW w:w="6861" w:type="dxa"/>
            <w:tcBorders>
              <w:top w:val="single" w:color="D9D9D9" w:sz="2" w:space="0"/>
              <w:bottom w:val="single" w:color="000000" w:sz="8" w:space="0"/>
            </w:tcBorders>
          </w:tcPr>
          <w:p w:rsidR="00C31389" w:rsidRDefault="00561FBD" w14:paraId="68856997" w14:textId="77777777">
            <w:pPr>
              <w:pStyle w:val="TableParagraph"/>
              <w:ind w:left="226"/>
              <w:rPr>
                <w:sz w:val="20"/>
              </w:rPr>
            </w:pPr>
            <w:r>
              <w:rPr>
                <w:sz w:val="20"/>
              </w:rPr>
              <w:t>Stakeholder</w:t>
            </w:r>
            <w:r>
              <w:rPr>
                <w:spacing w:val="-3"/>
                <w:sz w:val="20"/>
              </w:rPr>
              <w:t xml:space="preserve"> </w:t>
            </w:r>
            <w:r>
              <w:rPr>
                <w:sz w:val="20"/>
              </w:rPr>
              <w:t>input</w:t>
            </w:r>
            <w:r>
              <w:rPr>
                <w:spacing w:val="-5"/>
                <w:sz w:val="20"/>
              </w:rPr>
              <w:t xml:space="preserve"> </w:t>
            </w:r>
            <w:r>
              <w:rPr>
                <w:sz w:val="20"/>
              </w:rPr>
              <w:t>–</w:t>
            </w:r>
            <w:r>
              <w:rPr>
                <w:spacing w:val="-4"/>
                <w:sz w:val="20"/>
              </w:rPr>
              <w:t xml:space="preserve"> </w:t>
            </w:r>
            <w:r>
              <w:rPr>
                <w:sz w:val="20"/>
              </w:rPr>
              <w:t>Post</w:t>
            </w:r>
            <w:r>
              <w:rPr>
                <w:spacing w:val="-4"/>
                <w:sz w:val="20"/>
              </w:rPr>
              <w:t xml:space="preserve"> </w:t>
            </w:r>
            <w:r>
              <w:rPr>
                <w:sz w:val="20"/>
              </w:rPr>
              <w:t>Processing</w:t>
            </w:r>
            <w:r>
              <w:rPr>
                <w:spacing w:val="-3"/>
                <w:sz w:val="20"/>
              </w:rPr>
              <w:t xml:space="preserve"> </w:t>
            </w:r>
            <w:r>
              <w:rPr>
                <w:spacing w:val="-4"/>
                <w:sz w:val="20"/>
              </w:rPr>
              <w:t>Tasks</w:t>
            </w:r>
          </w:p>
        </w:tc>
      </w:tr>
    </w:tbl>
    <w:p w:rsidR="00C31389" w:rsidRDefault="00561FBD" w14:paraId="22EF4FE1" w14:textId="77777777">
      <w:pPr>
        <w:spacing w:before="32"/>
        <w:ind w:left="480"/>
        <w:rPr>
          <w:sz w:val="18"/>
        </w:rPr>
      </w:pPr>
      <w:r>
        <w:rPr>
          <w:sz w:val="18"/>
        </w:rPr>
        <w:t>*Target</w:t>
      </w:r>
      <w:r>
        <w:rPr>
          <w:spacing w:val="-3"/>
          <w:sz w:val="18"/>
        </w:rPr>
        <w:t xml:space="preserve"> </w:t>
      </w:r>
      <w:r>
        <w:rPr>
          <w:sz w:val="18"/>
        </w:rPr>
        <w:t>audience</w:t>
      </w:r>
      <w:r>
        <w:rPr>
          <w:spacing w:val="-3"/>
          <w:sz w:val="18"/>
        </w:rPr>
        <w:t xml:space="preserve"> </w:t>
      </w:r>
      <w:r>
        <w:rPr>
          <w:sz w:val="18"/>
        </w:rPr>
        <w:t>for</w:t>
      </w:r>
      <w:r>
        <w:rPr>
          <w:spacing w:val="-2"/>
          <w:sz w:val="18"/>
        </w:rPr>
        <w:t xml:space="preserve"> </w:t>
      </w:r>
      <w:r>
        <w:rPr>
          <w:sz w:val="18"/>
        </w:rPr>
        <w:t>this</w:t>
      </w:r>
      <w:r>
        <w:rPr>
          <w:spacing w:val="-2"/>
          <w:sz w:val="18"/>
        </w:rPr>
        <w:t xml:space="preserve"> </w:t>
      </w:r>
      <w:r>
        <w:rPr>
          <w:sz w:val="18"/>
        </w:rPr>
        <w:t>webinar</w:t>
      </w:r>
      <w:r>
        <w:rPr>
          <w:spacing w:val="-3"/>
          <w:sz w:val="18"/>
        </w:rPr>
        <w:t xml:space="preserve"> </w:t>
      </w:r>
      <w:r>
        <w:rPr>
          <w:sz w:val="18"/>
        </w:rPr>
        <w:t>was</w:t>
      </w:r>
      <w:r>
        <w:rPr>
          <w:spacing w:val="-2"/>
          <w:sz w:val="18"/>
        </w:rPr>
        <w:t xml:space="preserve"> </w:t>
      </w:r>
      <w:r>
        <w:rPr>
          <w:sz w:val="18"/>
        </w:rPr>
        <w:t>the</w:t>
      </w:r>
      <w:r>
        <w:rPr>
          <w:spacing w:val="-3"/>
          <w:sz w:val="18"/>
        </w:rPr>
        <w:t xml:space="preserve"> </w:t>
      </w:r>
      <w:r>
        <w:rPr>
          <w:sz w:val="18"/>
        </w:rPr>
        <w:t>ESA</w:t>
      </w:r>
      <w:r>
        <w:rPr>
          <w:spacing w:val="-1"/>
          <w:sz w:val="18"/>
        </w:rPr>
        <w:t xml:space="preserve"> </w:t>
      </w:r>
      <w:r>
        <w:rPr>
          <w:sz w:val="18"/>
        </w:rPr>
        <w:t>working</w:t>
      </w:r>
      <w:r>
        <w:rPr>
          <w:spacing w:val="-3"/>
          <w:sz w:val="18"/>
        </w:rPr>
        <w:t xml:space="preserve"> </w:t>
      </w:r>
      <w:r>
        <w:rPr>
          <w:spacing w:val="-2"/>
          <w:sz w:val="18"/>
        </w:rPr>
        <w:t>group.</w:t>
      </w:r>
    </w:p>
    <w:p w:rsidR="00C31389" w:rsidRDefault="00561FBD" w14:paraId="51D830DF" w14:textId="77777777">
      <w:pPr>
        <w:pStyle w:val="BodyText"/>
        <w:spacing w:before="10"/>
        <w:rPr>
          <w:sz w:val="24"/>
        </w:rPr>
      </w:pPr>
      <w:r>
        <w:rPr>
          <w:noProof/>
        </w:rPr>
        <mc:AlternateContent>
          <mc:Choice Requires="wps">
            <w:drawing>
              <wp:anchor distT="0" distB="0" distL="0" distR="0" simplePos="0" relativeHeight="487601664" behindDoc="1" locked="0" layoutInCell="1" allowOverlap="1" wp14:editId="13049D1A" wp14:anchorId="1EA3F542">
                <wp:simplePos x="0" y="0"/>
                <wp:positionH relativeFrom="page">
                  <wp:posOffset>914400</wp:posOffset>
                </wp:positionH>
                <wp:positionV relativeFrom="paragraph">
                  <wp:posOffset>197242</wp:posOffset>
                </wp:positionV>
                <wp:extent cx="1828800" cy="698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2" style="position:absolute;margin-left:1in;margin-top:15.55pt;width:2in;height:.5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" w14:anchorId="1F9B7D89">
                <v:path arrowok="t"/>
                <w10:wrap type="topAndBottom" anchorx="page"/>
              </v:shape>
            </w:pict>
          </mc:Fallback>
        </mc:AlternateContent>
      </w:r>
    </w:p>
    <w:p w:rsidR="00C31389" w:rsidRDefault="00561FBD" w14:paraId="6DD7B573" w14:textId="77777777">
      <w:pPr>
        <w:spacing w:before="88"/>
        <w:ind w:left="480" w:right="561"/>
        <w:rPr>
          <w:sz w:val="18"/>
        </w:rPr>
      </w:pPr>
      <w:bookmarkStart w:name="_bookmark34" w:id="42"/>
      <w:bookmarkEnd w:id="42"/>
      <w:r>
        <w:rPr>
          <w:position w:val="6"/>
          <w:sz w:val="12"/>
        </w:rPr>
        <w:t>12</w:t>
      </w:r>
      <w:r>
        <w:rPr>
          <w:spacing w:val="13"/>
          <w:position w:val="6"/>
          <w:sz w:val="12"/>
        </w:rPr>
        <w:t xml:space="preserve"> </w:t>
      </w:r>
      <w:r>
        <w:rPr>
          <w:sz w:val="18"/>
        </w:rPr>
        <w:t>California</w:t>
      </w:r>
      <w:r>
        <w:rPr>
          <w:spacing w:val="-5"/>
          <w:sz w:val="18"/>
        </w:rPr>
        <w:t xml:space="preserve"> </w:t>
      </w:r>
      <w:r>
        <w:rPr>
          <w:sz w:val="18"/>
        </w:rPr>
        <w:t>Public</w:t>
      </w:r>
      <w:r>
        <w:rPr>
          <w:spacing w:val="-4"/>
          <w:sz w:val="18"/>
        </w:rPr>
        <w:t xml:space="preserve"> </w:t>
      </w:r>
      <w:r>
        <w:rPr>
          <w:sz w:val="18"/>
        </w:rPr>
        <w:t>Utilities</w:t>
      </w:r>
      <w:r>
        <w:rPr>
          <w:spacing w:val="-4"/>
          <w:sz w:val="18"/>
        </w:rPr>
        <w:t xml:space="preserve"> </w:t>
      </w:r>
      <w:r>
        <w:rPr>
          <w:sz w:val="18"/>
        </w:rPr>
        <w:t>Commission,</w:t>
      </w:r>
      <w:r>
        <w:rPr>
          <w:spacing w:val="-4"/>
          <w:sz w:val="18"/>
        </w:rPr>
        <w:t xml:space="preserve"> </w:t>
      </w:r>
      <w:r>
        <w:rPr>
          <w:sz w:val="18"/>
        </w:rPr>
        <w:t>Potential</w:t>
      </w:r>
      <w:r>
        <w:rPr>
          <w:spacing w:val="-4"/>
          <w:sz w:val="18"/>
        </w:rPr>
        <w:t xml:space="preserve"> </w:t>
      </w:r>
      <w:r>
        <w:rPr>
          <w:sz w:val="18"/>
        </w:rPr>
        <w:t>and</w:t>
      </w:r>
      <w:r>
        <w:rPr>
          <w:spacing w:val="-5"/>
          <w:sz w:val="18"/>
        </w:rPr>
        <w:t xml:space="preserve"> </w:t>
      </w:r>
      <w:r>
        <w:rPr>
          <w:sz w:val="18"/>
        </w:rPr>
        <w:t>Goals</w:t>
      </w:r>
      <w:r>
        <w:rPr>
          <w:spacing w:val="-3"/>
          <w:sz w:val="18"/>
        </w:rPr>
        <w:t xml:space="preserve"> </w:t>
      </w:r>
      <w:r>
        <w:rPr>
          <w:sz w:val="18"/>
        </w:rPr>
        <w:t>Study</w:t>
      </w:r>
      <w:r>
        <w:rPr>
          <w:spacing w:val="-4"/>
          <w:sz w:val="18"/>
        </w:rPr>
        <w:t xml:space="preserve"> </w:t>
      </w:r>
      <w:r>
        <w:rPr>
          <w:sz w:val="18"/>
        </w:rPr>
        <w:t>website,</w:t>
      </w:r>
      <w:r>
        <w:rPr>
          <w:spacing w:val="-4"/>
          <w:sz w:val="18"/>
        </w:rPr>
        <w:t xml:space="preserve"> </w:t>
      </w:r>
      <w:hyperlink r:id="rId57">
        <w:r>
          <w:rPr>
            <w:color w:val="68942C"/>
            <w:sz w:val="18"/>
            <w:u w:val="single" w:color="68942C"/>
          </w:rPr>
          <w:t>https://www.cpuc.ca.gov/industries-and-</w:t>
        </w:r>
      </w:hyperlink>
      <w:r>
        <w:rPr>
          <w:color w:val="68942C"/>
          <w:sz w:val="18"/>
        </w:rPr>
        <w:t xml:space="preserve"> </w:t>
      </w:r>
      <w:hyperlink r:id="rId58">
        <w:r>
          <w:rPr>
            <w:color w:val="68942C"/>
            <w:spacing w:val="-2"/>
            <w:sz w:val="18"/>
            <w:u w:val="single" w:color="68942C"/>
          </w:rPr>
          <w:t>topics/electrical-ene</w:t>
        </w:r>
        <w:r>
          <w:rPr>
            <w:color w:val="68942C"/>
            <w:spacing w:val="-2"/>
            <w:sz w:val="18"/>
            <w:u w:val="single" w:color="68942C"/>
          </w:rPr>
          <w:t>rgy/demand-side-management/energy-efficiency/energy-efficiency-potential-and-goals-</w:t>
        </w:r>
      </w:hyperlink>
      <w:r>
        <w:rPr>
          <w:color w:val="68942C"/>
          <w:spacing w:val="-2"/>
          <w:sz w:val="18"/>
        </w:rPr>
        <w:t xml:space="preserve"> </w:t>
      </w:r>
      <w:hyperlink r:id="rId59">
        <w:r>
          <w:rPr>
            <w:color w:val="68942C"/>
            <w:spacing w:val="-2"/>
            <w:sz w:val="18"/>
            <w:u w:val="single" w:color="68942C"/>
          </w:rPr>
          <w:t>studies/2023-potential-and-goals-study</w:t>
        </w:r>
        <w:r>
          <w:rPr>
            <w:spacing w:val="-2"/>
            <w:sz w:val="18"/>
          </w:rPr>
          <w:t>.</w:t>
        </w:r>
      </w:hyperlink>
    </w:p>
    <w:p w:rsidR="00C31389" w:rsidRDefault="00C31389" w14:paraId="0758DFD6" w14:textId="77777777">
      <w:pPr>
        <w:rPr>
          <w:sz w:val="18"/>
        </w:rPr>
        <w:sectPr w:rsidR="00C31389">
          <w:pgSz w:w="12240" w:h="15840"/>
          <w:pgMar w:top="1380" w:right="960" w:bottom="1120" w:left="960" w:header="397" w:footer="936" w:gutter="0"/>
          <w:cols w:space="720"/>
        </w:sectPr>
      </w:pPr>
    </w:p>
    <w:p w:rsidR="00C31389" w:rsidRDefault="00C31389" w14:paraId="778FCD4F" w14:textId="77777777">
      <w:pPr>
        <w:pStyle w:val="BodyText"/>
      </w:pPr>
    </w:p>
    <w:p w:rsidR="00C31389" w:rsidRDefault="00C31389" w14:paraId="2106398F" w14:textId="77777777">
      <w:pPr>
        <w:pStyle w:val="BodyText"/>
        <w:spacing w:before="9"/>
        <w:rPr>
          <w:sz w:val="13"/>
        </w:rPr>
      </w:pPr>
    </w:p>
    <w:p w:rsidR="00C31389" w:rsidRDefault="00561FBD" w14:paraId="06DAF23A" w14:textId="77777777">
      <w:pPr>
        <w:spacing w:before="94"/>
        <w:ind w:left="480"/>
        <w:rPr>
          <w:i/>
          <w:sz w:val="18"/>
        </w:rPr>
      </w:pPr>
      <w:r>
        <w:rPr>
          <w:i/>
          <w:sz w:val="18"/>
        </w:rPr>
        <w:t>Source:</w:t>
      </w:r>
      <w:r>
        <w:rPr>
          <w:i/>
          <w:spacing w:val="-4"/>
          <w:sz w:val="18"/>
        </w:rPr>
        <w:t xml:space="preserve"> </w:t>
      </w:r>
      <w:r>
        <w:rPr>
          <w:i/>
          <w:spacing w:val="-2"/>
          <w:sz w:val="18"/>
        </w:rPr>
        <w:t>Guidehouse</w:t>
      </w:r>
    </w:p>
    <w:p w:rsidR="00C31389" w:rsidRDefault="00C31389" w14:paraId="188B554B" w14:textId="77777777">
      <w:pPr>
        <w:pStyle w:val="BodyText"/>
        <w:spacing w:before="9"/>
        <w:rPr>
          <w:i/>
          <w:sz w:val="20"/>
        </w:rPr>
      </w:pPr>
    </w:p>
    <w:p w:rsidR="00C31389" w:rsidRDefault="00561FBD" w14:paraId="3453D6E5" w14:textId="77777777">
      <w:pPr>
        <w:pStyle w:val="Heading2"/>
        <w:numPr>
          <w:ilvl w:val="1"/>
          <w:numId w:val="71"/>
        </w:numPr>
        <w:tabs>
          <w:tab w:val="left" w:pos="945"/>
        </w:tabs>
        <w:ind w:left="945" w:hanging="465"/>
      </w:pPr>
      <w:bookmarkStart w:name="1.5_Contents_of_This_Report" w:id="43"/>
      <w:bookmarkStart w:name="_bookmark35" w:id="44"/>
      <w:bookmarkEnd w:id="43"/>
      <w:bookmarkEnd w:id="44"/>
      <w:r>
        <w:t>Contents</w:t>
      </w:r>
      <w:r>
        <w:rPr>
          <w:spacing w:val="-9"/>
        </w:rPr>
        <w:t xml:space="preserve"> </w:t>
      </w:r>
      <w:r>
        <w:t>of</w:t>
      </w:r>
      <w:r>
        <w:rPr>
          <w:spacing w:val="-9"/>
        </w:rPr>
        <w:t xml:space="preserve"> </w:t>
      </w:r>
      <w:r>
        <w:t>This</w:t>
      </w:r>
      <w:r>
        <w:rPr>
          <w:spacing w:val="-9"/>
        </w:rPr>
        <w:t xml:space="preserve"> </w:t>
      </w:r>
      <w:r>
        <w:rPr>
          <w:spacing w:val="-2"/>
        </w:rPr>
        <w:t>Report</w:t>
      </w:r>
    </w:p>
    <w:p w:rsidR="00C31389" w:rsidRDefault="00561FBD" w14:paraId="0F67CEF5" w14:textId="77777777">
      <w:pPr>
        <w:pStyle w:val="BodyText"/>
        <w:spacing w:before="241"/>
        <w:ind w:left="480"/>
      </w:pPr>
      <w:r>
        <w:t>This</w:t>
      </w:r>
      <w:r>
        <w:rPr>
          <w:spacing w:val="-6"/>
        </w:rPr>
        <w:t xml:space="preserve"> </w:t>
      </w:r>
      <w:r>
        <w:t>report</w:t>
      </w:r>
      <w:r>
        <w:rPr>
          <w:spacing w:val="-6"/>
        </w:rPr>
        <w:t xml:space="preserve"> </w:t>
      </w:r>
      <w:r>
        <w:t>documents</w:t>
      </w:r>
      <w:r>
        <w:rPr>
          <w:spacing w:val="-5"/>
        </w:rPr>
        <w:t xml:space="preserve"> </w:t>
      </w:r>
      <w:r>
        <w:t>the</w:t>
      </w:r>
      <w:r>
        <w:rPr>
          <w:spacing w:val="-6"/>
        </w:rPr>
        <w:t xml:space="preserve"> </w:t>
      </w:r>
      <w:r>
        <w:t>data</w:t>
      </w:r>
      <w:r>
        <w:rPr>
          <w:spacing w:val="-5"/>
        </w:rPr>
        <w:t xml:space="preserve"> </w:t>
      </w:r>
      <w:r>
        <w:t>sources</w:t>
      </w:r>
      <w:r>
        <w:rPr>
          <w:spacing w:val="-4"/>
        </w:rPr>
        <w:t xml:space="preserve"> </w:t>
      </w:r>
      <w:r>
        <w:t>for</w:t>
      </w:r>
      <w:r>
        <w:rPr>
          <w:spacing w:val="-5"/>
        </w:rPr>
        <w:t xml:space="preserve"> </w:t>
      </w:r>
      <w:r>
        <w:t>and</w:t>
      </w:r>
      <w:r>
        <w:rPr>
          <w:spacing w:val="-6"/>
        </w:rPr>
        <w:t xml:space="preserve"> </w:t>
      </w:r>
      <w:r>
        <w:t>results</w:t>
      </w:r>
      <w:r>
        <w:rPr>
          <w:spacing w:val="-5"/>
        </w:rPr>
        <w:t xml:space="preserve"> </w:t>
      </w:r>
      <w:r>
        <w:t>of</w:t>
      </w:r>
      <w:r>
        <w:rPr>
          <w:spacing w:val="-5"/>
        </w:rPr>
        <w:t xml:space="preserve"> </w:t>
      </w:r>
      <w:r>
        <w:t>the</w:t>
      </w:r>
      <w:r>
        <w:rPr>
          <w:spacing w:val="-6"/>
        </w:rPr>
        <w:t xml:space="preserve"> </w:t>
      </w:r>
      <w:r>
        <w:t>2023</w:t>
      </w:r>
      <w:r>
        <w:rPr>
          <w:spacing w:val="-6"/>
        </w:rPr>
        <w:t xml:space="preserve"> </w:t>
      </w:r>
      <w:r>
        <w:rPr>
          <w:spacing w:val="-2"/>
        </w:rPr>
        <w:t>Study:</w:t>
      </w:r>
    </w:p>
    <w:p w:rsidR="00C31389" w:rsidRDefault="00C31389" w14:paraId="1C7B5696" w14:textId="77777777">
      <w:pPr>
        <w:pStyle w:val="BodyText"/>
        <w:spacing w:before="9"/>
        <w:rPr>
          <w:sz w:val="20"/>
        </w:rPr>
      </w:pPr>
    </w:p>
    <w:p w:rsidR="00C31389" w:rsidRDefault="00561FBD" w14:paraId="42B57A34" w14:textId="77777777">
      <w:pPr>
        <w:pStyle w:val="ListParagraph"/>
        <w:numPr>
          <w:ilvl w:val="0"/>
          <w:numId w:val="66"/>
        </w:numPr>
        <w:tabs>
          <w:tab w:val="left" w:pos="1199"/>
        </w:tabs>
        <w:spacing w:before="1"/>
        <w:ind w:hanging="359"/>
      </w:pPr>
      <w:r>
        <w:rPr>
          <w:b/>
        </w:rPr>
        <w:t>Section</w:t>
      </w:r>
      <w:r>
        <w:rPr>
          <w:b/>
          <w:spacing w:val="-6"/>
        </w:rPr>
        <w:t xml:space="preserve"> </w:t>
      </w:r>
      <w:hyperlink w:history="1" w:anchor="_bookmark37">
        <w:r>
          <w:rPr>
            <w:b/>
          </w:rPr>
          <w:t>2</w:t>
        </w:r>
      </w:hyperlink>
      <w:r>
        <w:rPr>
          <w:b/>
          <w:spacing w:val="-5"/>
        </w:rPr>
        <w:t xml:space="preserve"> </w:t>
      </w:r>
      <w:r>
        <w:t>provides</w:t>
      </w:r>
      <w:r>
        <w:rPr>
          <w:spacing w:val="-5"/>
        </w:rPr>
        <w:t xml:space="preserve"> </w:t>
      </w:r>
      <w:r>
        <w:t>an</w:t>
      </w:r>
      <w:r>
        <w:rPr>
          <w:spacing w:val="-5"/>
        </w:rPr>
        <w:t xml:space="preserve"> </w:t>
      </w:r>
      <w:r>
        <w:t>overview</w:t>
      </w:r>
      <w:r>
        <w:rPr>
          <w:spacing w:val="-6"/>
        </w:rPr>
        <w:t xml:space="preserve"> </w:t>
      </w:r>
      <w:r>
        <w:t>of</w:t>
      </w:r>
      <w:r>
        <w:rPr>
          <w:spacing w:val="-5"/>
        </w:rPr>
        <w:t xml:space="preserve"> </w:t>
      </w:r>
      <w:r>
        <w:t>the</w:t>
      </w:r>
      <w:r>
        <w:rPr>
          <w:spacing w:val="-5"/>
        </w:rPr>
        <w:t xml:space="preserve"> </w:t>
      </w:r>
      <w:r>
        <w:t>methodology</w:t>
      </w:r>
      <w:r>
        <w:rPr>
          <w:spacing w:val="-5"/>
        </w:rPr>
        <w:t xml:space="preserve"> </w:t>
      </w:r>
      <w:r>
        <w:t>for</w:t>
      </w:r>
      <w:r>
        <w:rPr>
          <w:spacing w:val="-5"/>
        </w:rPr>
        <w:t xml:space="preserve"> </w:t>
      </w:r>
      <w:r>
        <w:t>each</w:t>
      </w:r>
      <w:r>
        <w:rPr>
          <w:spacing w:val="-6"/>
        </w:rPr>
        <w:t xml:space="preserve"> </w:t>
      </w:r>
      <w:r>
        <w:t>key</w:t>
      </w:r>
      <w:r>
        <w:rPr>
          <w:spacing w:val="-5"/>
        </w:rPr>
        <w:t xml:space="preserve"> </w:t>
      </w:r>
      <w:r>
        <w:t>area</w:t>
      </w:r>
      <w:r>
        <w:rPr>
          <w:spacing w:val="-6"/>
        </w:rPr>
        <w:t xml:space="preserve"> </w:t>
      </w:r>
      <w:r>
        <w:t>of</w:t>
      </w:r>
      <w:r>
        <w:rPr>
          <w:spacing w:val="-6"/>
        </w:rPr>
        <w:t xml:space="preserve"> </w:t>
      </w:r>
      <w:r>
        <w:t>the</w:t>
      </w:r>
      <w:r>
        <w:rPr>
          <w:spacing w:val="-5"/>
        </w:rPr>
        <w:t xml:space="preserve"> </w:t>
      </w:r>
      <w:r>
        <w:rPr>
          <w:spacing w:val="-2"/>
        </w:rPr>
        <w:t>study.</w:t>
      </w:r>
    </w:p>
    <w:p w:rsidR="00C31389" w:rsidRDefault="00561FBD" w14:paraId="471E0232" w14:textId="77777777">
      <w:pPr>
        <w:pStyle w:val="ListParagraph"/>
        <w:numPr>
          <w:ilvl w:val="0"/>
          <w:numId w:val="66"/>
        </w:numPr>
        <w:tabs>
          <w:tab w:val="left" w:pos="1199"/>
        </w:tabs>
        <w:spacing w:before="143" w:line="261" w:lineRule="auto"/>
        <w:ind w:right="936"/>
      </w:pPr>
      <w:r>
        <w:rPr>
          <w:b/>
        </w:rPr>
        <w:t>Section</w:t>
      </w:r>
      <w:r>
        <w:rPr>
          <w:b/>
          <w:spacing w:val="-3"/>
        </w:rPr>
        <w:t xml:space="preserve"> </w:t>
      </w:r>
      <w:hyperlink w:history="1" w:anchor="_bookmark95">
        <w:r>
          <w:rPr>
            <w:b/>
          </w:rPr>
          <w:t>3</w:t>
        </w:r>
      </w:hyperlink>
      <w:r>
        <w:rPr>
          <w:b/>
          <w:spacing w:val="-3"/>
        </w:rPr>
        <w:t xml:space="preserve"> </w:t>
      </w:r>
      <w:r>
        <w:t>details</w:t>
      </w:r>
      <w:r>
        <w:rPr>
          <w:spacing w:val="-2"/>
        </w:rPr>
        <w:t xml:space="preserve"> </w:t>
      </w:r>
      <w:r>
        <w:t>the</w:t>
      </w:r>
      <w:r>
        <w:rPr>
          <w:spacing w:val="-4"/>
        </w:rPr>
        <w:t xml:space="preserve"> </w:t>
      </w:r>
      <w:r>
        <w:t>input</w:t>
      </w:r>
      <w:r>
        <w:rPr>
          <w:spacing w:val="-3"/>
        </w:rPr>
        <w:t xml:space="preserve"> </w:t>
      </w:r>
      <w:r>
        <w:t>data</w:t>
      </w:r>
      <w:r>
        <w:rPr>
          <w:spacing w:val="-3"/>
        </w:rPr>
        <w:t xml:space="preserve"> </w:t>
      </w:r>
      <w:r>
        <w:t>used</w:t>
      </w:r>
      <w:r>
        <w:rPr>
          <w:spacing w:val="-3"/>
        </w:rPr>
        <w:t xml:space="preserve"> </w:t>
      </w:r>
      <w:r>
        <w:t>for</w:t>
      </w:r>
      <w:r>
        <w:rPr>
          <w:spacing w:val="-3"/>
        </w:rPr>
        <w:t xml:space="preserve"> </w:t>
      </w:r>
      <w:r>
        <w:t>each</w:t>
      </w:r>
      <w:r>
        <w:rPr>
          <w:spacing w:val="-3"/>
        </w:rPr>
        <w:t xml:space="preserve"> </w:t>
      </w:r>
      <w:r>
        <w:t>key</w:t>
      </w:r>
      <w:r>
        <w:rPr>
          <w:spacing w:val="-3"/>
        </w:rPr>
        <w:t xml:space="preserve"> </w:t>
      </w:r>
      <w:r>
        <w:t>area</w:t>
      </w:r>
      <w:r>
        <w:rPr>
          <w:spacing w:val="-3"/>
        </w:rPr>
        <w:t xml:space="preserve"> </w:t>
      </w:r>
      <w:r>
        <w:t>of</w:t>
      </w:r>
      <w:r>
        <w:rPr>
          <w:spacing w:val="-3"/>
        </w:rPr>
        <w:t xml:space="preserve"> </w:t>
      </w:r>
      <w:r>
        <w:t>the</w:t>
      </w:r>
      <w:r>
        <w:rPr>
          <w:spacing w:val="-3"/>
        </w:rPr>
        <w:t xml:space="preserve"> </w:t>
      </w:r>
      <w:r>
        <w:t>study.</w:t>
      </w:r>
      <w:r>
        <w:rPr>
          <w:spacing w:val="-3"/>
        </w:rPr>
        <w:t xml:space="preserve"> </w:t>
      </w:r>
      <w:r>
        <w:t>It</w:t>
      </w:r>
      <w:r>
        <w:rPr>
          <w:spacing w:val="-3"/>
        </w:rPr>
        <w:t xml:space="preserve"> </w:t>
      </w:r>
      <w:r>
        <w:t>describes</w:t>
      </w:r>
      <w:r>
        <w:rPr>
          <w:spacing w:val="-3"/>
        </w:rPr>
        <w:t xml:space="preserve"> </w:t>
      </w:r>
      <w:r>
        <w:t>the data sources and process taken to incorporate the data into the PG Model.</w:t>
      </w:r>
    </w:p>
    <w:p w:rsidR="00C31389" w:rsidRDefault="00561FBD" w14:paraId="654701D1" w14:textId="77777777">
      <w:pPr>
        <w:pStyle w:val="ListParagraph"/>
        <w:numPr>
          <w:ilvl w:val="0"/>
          <w:numId w:val="66"/>
        </w:numPr>
        <w:tabs>
          <w:tab w:val="left" w:pos="1199"/>
        </w:tabs>
        <w:spacing w:before="122"/>
      </w:pPr>
      <w:r>
        <w:rPr>
          <w:b/>
        </w:rPr>
        <w:t>Section</w:t>
      </w:r>
      <w:r>
        <w:rPr>
          <w:b/>
          <w:spacing w:val="-6"/>
        </w:rPr>
        <w:t xml:space="preserve"> </w:t>
      </w:r>
      <w:hyperlink w:history="1" w:anchor="_bookmark192">
        <w:r>
          <w:rPr>
            <w:b/>
          </w:rPr>
          <w:t>4</w:t>
        </w:r>
      </w:hyperlink>
      <w:r>
        <w:rPr>
          <w:b/>
          <w:spacing w:val="-6"/>
        </w:rPr>
        <w:t xml:space="preserve"> </w:t>
      </w:r>
      <w:r>
        <w:t>provides</w:t>
      </w:r>
      <w:r>
        <w:rPr>
          <w:spacing w:val="-6"/>
        </w:rPr>
        <w:t xml:space="preserve"> </w:t>
      </w:r>
      <w:r>
        <w:t>the</w:t>
      </w:r>
      <w:r>
        <w:rPr>
          <w:spacing w:val="-6"/>
        </w:rPr>
        <w:t xml:space="preserve"> </w:t>
      </w:r>
      <w:r>
        <w:t>study’s</w:t>
      </w:r>
      <w:r>
        <w:rPr>
          <w:spacing w:val="-6"/>
        </w:rPr>
        <w:t xml:space="preserve"> </w:t>
      </w:r>
      <w:r>
        <w:t>results</w:t>
      </w:r>
      <w:r>
        <w:rPr>
          <w:spacing w:val="-6"/>
        </w:rPr>
        <w:t xml:space="preserve"> </w:t>
      </w:r>
      <w:r>
        <w:t>on</w:t>
      </w:r>
      <w:r>
        <w:rPr>
          <w:spacing w:val="-6"/>
        </w:rPr>
        <w:t xml:space="preserve"> </w:t>
      </w:r>
      <w:r>
        <w:t>a</w:t>
      </w:r>
      <w:r>
        <w:rPr>
          <w:spacing w:val="-6"/>
        </w:rPr>
        <w:t xml:space="preserve"> </w:t>
      </w:r>
      <w:r>
        <w:t>statewide</w:t>
      </w:r>
      <w:r>
        <w:rPr>
          <w:spacing w:val="-5"/>
        </w:rPr>
        <w:t xml:space="preserve"> </w:t>
      </w:r>
      <w:r>
        <w:rPr>
          <w:spacing w:val="-2"/>
        </w:rPr>
        <w:t>basis.</w:t>
      </w:r>
    </w:p>
    <w:p w:rsidR="00C31389" w:rsidRDefault="00561FBD" w14:paraId="701D9DF8" w14:textId="77777777">
      <w:pPr>
        <w:pStyle w:val="ListParagraph"/>
        <w:numPr>
          <w:ilvl w:val="0"/>
          <w:numId w:val="66"/>
        </w:numPr>
        <w:tabs>
          <w:tab w:val="left" w:pos="1199"/>
        </w:tabs>
        <w:spacing w:before="143" w:line="261" w:lineRule="auto"/>
        <w:ind w:right="817"/>
      </w:pPr>
      <w:r>
        <w:rPr>
          <w:b/>
        </w:rPr>
        <w:t>The</w:t>
      </w:r>
      <w:r>
        <w:rPr>
          <w:b/>
          <w:spacing w:val="-4"/>
        </w:rPr>
        <w:t xml:space="preserve"> </w:t>
      </w:r>
      <w:r>
        <w:rPr>
          <w:b/>
        </w:rPr>
        <w:t>appendices</w:t>
      </w:r>
      <w:r>
        <w:rPr>
          <w:b/>
          <w:spacing w:val="-4"/>
        </w:rPr>
        <w:t xml:space="preserve"> </w:t>
      </w:r>
      <w:r>
        <w:t>provide</w:t>
      </w:r>
      <w:r>
        <w:rPr>
          <w:spacing w:val="-4"/>
        </w:rPr>
        <w:t xml:space="preserve"> </w:t>
      </w:r>
      <w:r>
        <w:t>additional</w:t>
      </w:r>
      <w:r>
        <w:rPr>
          <w:spacing w:val="-5"/>
        </w:rPr>
        <w:t xml:space="preserve"> </w:t>
      </w:r>
      <w:r>
        <w:t>details</w:t>
      </w:r>
      <w:r>
        <w:rPr>
          <w:spacing w:val="-3"/>
        </w:rPr>
        <w:t xml:space="preserve"> </w:t>
      </w:r>
      <w:r>
        <w:t>on</w:t>
      </w:r>
      <w:r>
        <w:rPr>
          <w:spacing w:val="-5"/>
        </w:rPr>
        <w:t xml:space="preserve"> </w:t>
      </w:r>
      <w:r>
        <w:t>key</w:t>
      </w:r>
      <w:r>
        <w:rPr>
          <w:spacing w:val="-4"/>
        </w:rPr>
        <w:t xml:space="preserve"> </w:t>
      </w:r>
      <w:r>
        <w:t>topic</w:t>
      </w:r>
      <w:r>
        <w:rPr>
          <w:spacing w:val="-4"/>
        </w:rPr>
        <w:t xml:space="preserve"> </w:t>
      </w:r>
      <w:r>
        <w:t>areas.</w:t>
      </w:r>
      <w:r>
        <w:rPr>
          <w:spacing w:val="-4"/>
        </w:rPr>
        <w:t xml:space="preserve"> </w:t>
      </w:r>
      <w:r>
        <w:t>Areas</w:t>
      </w:r>
      <w:r>
        <w:rPr>
          <w:spacing w:val="-4"/>
        </w:rPr>
        <w:t xml:space="preserve"> </w:t>
      </w:r>
      <w:r>
        <w:t>include</w:t>
      </w:r>
      <w:r>
        <w:rPr>
          <w:spacing w:val="-4"/>
        </w:rPr>
        <w:t xml:space="preserve"> </w:t>
      </w:r>
      <w:r>
        <w:t>the</w:t>
      </w:r>
      <w:r>
        <w:rPr>
          <w:spacing w:val="-4"/>
        </w:rPr>
        <w:t xml:space="preserve"> </w:t>
      </w:r>
      <w:r>
        <w:t>IRA, FS methodology, and the BROs methodology and input assumptions.</w:t>
      </w:r>
    </w:p>
    <w:p w:rsidR="00C31389" w:rsidRDefault="00C31389" w14:paraId="3B421447" w14:textId="77777777">
      <w:pPr>
        <w:pStyle w:val="BodyText"/>
        <w:spacing w:before="1"/>
        <w:rPr>
          <w:sz w:val="21"/>
        </w:rPr>
      </w:pPr>
    </w:p>
    <w:p w:rsidR="00C31389" w:rsidRDefault="00561FBD" w14:paraId="7110B1E5" w14:textId="77777777">
      <w:pPr>
        <w:pStyle w:val="BodyText"/>
        <w:ind w:left="480" w:right="533"/>
        <w:rPr>
          <w:sz w:val="14"/>
        </w:rPr>
      </w:pPr>
      <w:r>
        <w:t>Aside</w:t>
      </w:r>
      <w:r>
        <w:rPr>
          <w:spacing w:val="-3"/>
        </w:rPr>
        <w:t xml:space="preserve"> </w:t>
      </w:r>
      <w:r>
        <w:t>from</w:t>
      </w:r>
      <w:r>
        <w:rPr>
          <w:spacing w:val="-4"/>
        </w:rPr>
        <w:t xml:space="preserve"> </w:t>
      </w:r>
      <w:r>
        <w:t>this</w:t>
      </w:r>
      <w:r>
        <w:rPr>
          <w:spacing w:val="-3"/>
        </w:rPr>
        <w:t xml:space="preserve"> </w:t>
      </w:r>
      <w:r>
        <w:t>rep</w:t>
      </w:r>
      <w:r>
        <w:t>ort,</w:t>
      </w:r>
      <w:r>
        <w:rPr>
          <w:spacing w:val="-3"/>
        </w:rPr>
        <w:t xml:space="preserve"> </w:t>
      </w:r>
      <w:r>
        <w:t>the</w:t>
      </w:r>
      <w:r>
        <w:rPr>
          <w:spacing w:val="-3"/>
        </w:rPr>
        <w:t xml:space="preserve"> </w:t>
      </w:r>
      <w:r>
        <w:t>following</w:t>
      </w:r>
      <w:r>
        <w:rPr>
          <w:spacing w:val="-3"/>
        </w:rPr>
        <w:t xml:space="preserve"> </w:t>
      </w:r>
      <w:r>
        <w:t>supporting</w:t>
      </w:r>
      <w:r>
        <w:rPr>
          <w:spacing w:val="-3"/>
        </w:rPr>
        <w:t xml:space="preserve"> </w:t>
      </w:r>
      <w:r>
        <w:t>deliverables</w:t>
      </w:r>
      <w:r>
        <w:rPr>
          <w:spacing w:val="-3"/>
        </w:rPr>
        <w:t xml:space="preserve"> </w:t>
      </w:r>
      <w:r>
        <w:t>are</w:t>
      </w:r>
      <w:r>
        <w:rPr>
          <w:spacing w:val="-3"/>
        </w:rPr>
        <w:t xml:space="preserve"> </w:t>
      </w:r>
      <w:r>
        <w:t>available</w:t>
      </w:r>
      <w:r>
        <w:rPr>
          <w:spacing w:val="-4"/>
        </w:rPr>
        <w:t xml:space="preserve"> </w:t>
      </w:r>
      <w:r>
        <w:t>to</w:t>
      </w:r>
      <w:r>
        <w:rPr>
          <w:spacing w:val="-3"/>
        </w:rPr>
        <w:t xml:space="preserve"> </w:t>
      </w:r>
      <w:r>
        <w:t>the</w:t>
      </w:r>
      <w:r>
        <w:rPr>
          <w:spacing w:val="-3"/>
        </w:rPr>
        <w:t xml:space="preserve"> </w:t>
      </w:r>
      <w:r>
        <w:t>public</w:t>
      </w:r>
      <w:r>
        <w:rPr>
          <w:spacing w:val="-3"/>
        </w:rPr>
        <w:t xml:space="preserve"> </w:t>
      </w:r>
      <w:r>
        <w:t>via</w:t>
      </w:r>
      <w:r>
        <w:rPr>
          <w:spacing w:val="-3"/>
        </w:rPr>
        <w:t xml:space="preserve"> </w:t>
      </w:r>
      <w:r>
        <w:t>the CPUC website:</w:t>
      </w:r>
      <w:r>
        <w:rPr>
          <w:spacing w:val="-31"/>
        </w:rPr>
        <w:t xml:space="preserve"> </w:t>
      </w:r>
      <w:hyperlink w:history="1" w:anchor="_bookmark36">
        <w:r>
          <w:rPr>
            <w:position w:val="7"/>
            <w:sz w:val="14"/>
          </w:rPr>
          <w:t>13</w:t>
        </w:r>
      </w:hyperlink>
    </w:p>
    <w:p w:rsidR="00C31389" w:rsidRDefault="00C31389" w14:paraId="288590AF" w14:textId="77777777">
      <w:pPr>
        <w:pStyle w:val="BodyText"/>
        <w:spacing w:before="9"/>
        <w:rPr>
          <w:sz w:val="20"/>
        </w:rPr>
      </w:pPr>
    </w:p>
    <w:p w:rsidR="00C31389" w:rsidRDefault="00561FBD" w14:paraId="270C5208" w14:textId="77777777">
      <w:pPr>
        <w:pStyle w:val="ListParagraph"/>
        <w:numPr>
          <w:ilvl w:val="0"/>
          <w:numId w:val="66"/>
        </w:numPr>
        <w:tabs>
          <w:tab w:val="left" w:pos="1200"/>
        </w:tabs>
        <w:spacing w:before="1" w:line="261" w:lineRule="auto"/>
        <w:ind w:left="1200" w:right="705" w:hanging="361"/>
      </w:pPr>
      <w:r>
        <w:rPr>
          <w:b/>
        </w:rPr>
        <w:t>2023</w:t>
      </w:r>
      <w:r>
        <w:rPr>
          <w:b/>
          <w:spacing w:val="-3"/>
        </w:rPr>
        <w:t xml:space="preserve"> </w:t>
      </w:r>
      <w:r>
        <w:rPr>
          <w:b/>
        </w:rPr>
        <w:t>PG</w:t>
      </w:r>
      <w:r>
        <w:rPr>
          <w:b/>
          <w:spacing w:val="-4"/>
        </w:rPr>
        <w:t xml:space="preserve"> </w:t>
      </w:r>
      <w:r>
        <w:rPr>
          <w:b/>
        </w:rPr>
        <w:t>Results</w:t>
      </w:r>
      <w:r>
        <w:rPr>
          <w:b/>
          <w:spacing w:val="-3"/>
        </w:rPr>
        <w:t xml:space="preserve"> </w:t>
      </w:r>
      <w:r>
        <w:rPr>
          <w:b/>
        </w:rPr>
        <w:t>Viewer:</w:t>
      </w:r>
      <w:r>
        <w:rPr>
          <w:b/>
          <w:spacing w:val="-3"/>
        </w:rPr>
        <w:t xml:space="preserve"> </w:t>
      </w:r>
      <w:r>
        <w:t>A</w:t>
      </w:r>
      <w:r>
        <w:rPr>
          <w:spacing w:val="-3"/>
        </w:rPr>
        <w:t xml:space="preserve"> </w:t>
      </w:r>
      <w:r>
        <w:t>tool</w:t>
      </w:r>
      <w:r>
        <w:rPr>
          <w:spacing w:val="-3"/>
        </w:rPr>
        <w:t xml:space="preserve"> </w:t>
      </w:r>
      <w:r>
        <w:t>that</w:t>
      </w:r>
      <w:r>
        <w:rPr>
          <w:spacing w:val="-3"/>
        </w:rPr>
        <w:t xml:space="preserve"> </w:t>
      </w:r>
      <w:r>
        <w:t>allows</w:t>
      </w:r>
      <w:r>
        <w:rPr>
          <w:spacing w:val="-3"/>
        </w:rPr>
        <w:t xml:space="preserve"> </w:t>
      </w:r>
      <w:r>
        <w:t>readers</w:t>
      </w:r>
      <w:r>
        <w:rPr>
          <w:spacing w:val="-3"/>
        </w:rPr>
        <w:t xml:space="preserve"> </w:t>
      </w:r>
      <w:r>
        <w:t>to</w:t>
      </w:r>
      <w:r>
        <w:rPr>
          <w:spacing w:val="-3"/>
        </w:rPr>
        <w:t xml:space="preserve"> </w:t>
      </w:r>
      <w:r>
        <w:t>dynamically</w:t>
      </w:r>
      <w:r>
        <w:rPr>
          <w:spacing w:val="-3"/>
        </w:rPr>
        <w:t xml:space="preserve"> </w:t>
      </w:r>
      <w:r>
        <w:t>explore</w:t>
      </w:r>
      <w:r>
        <w:rPr>
          <w:spacing w:val="-3"/>
        </w:rPr>
        <w:t xml:space="preserve"> </w:t>
      </w:r>
      <w:r>
        <w:t>the</w:t>
      </w:r>
      <w:r>
        <w:rPr>
          <w:spacing w:val="-3"/>
        </w:rPr>
        <w:t xml:space="preserve"> </w:t>
      </w:r>
      <w:r>
        <w:t>results of the study, including all scenarios for each avoided cost vintage.</w:t>
      </w:r>
    </w:p>
    <w:p w:rsidR="00C31389" w:rsidRDefault="00561FBD" w14:paraId="1EB3C930" w14:textId="77777777">
      <w:pPr>
        <w:pStyle w:val="ListParagraph"/>
        <w:numPr>
          <w:ilvl w:val="0"/>
          <w:numId w:val="66"/>
        </w:numPr>
        <w:tabs>
          <w:tab w:val="left" w:pos="1200"/>
        </w:tabs>
        <w:spacing w:before="121" w:line="261" w:lineRule="auto"/>
        <w:ind w:left="1200" w:right="1158"/>
      </w:pPr>
      <w:r>
        <w:rPr>
          <w:b/>
        </w:rPr>
        <w:t>2023</w:t>
      </w:r>
      <w:r>
        <w:rPr>
          <w:b/>
          <w:spacing w:val="-4"/>
        </w:rPr>
        <w:t xml:space="preserve"> </w:t>
      </w:r>
      <w:r>
        <w:rPr>
          <w:b/>
        </w:rPr>
        <w:t>PG</w:t>
      </w:r>
      <w:r>
        <w:rPr>
          <w:b/>
          <w:spacing w:val="-5"/>
        </w:rPr>
        <w:t xml:space="preserve"> </w:t>
      </w:r>
      <w:r>
        <w:rPr>
          <w:b/>
        </w:rPr>
        <w:t>Measure</w:t>
      </w:r>
      <w:r>
        <w:rPr>
          <w:b/>
          <w:spacing w:val="-4"/>
        </w:rPr>
        <w:t xml:space="preserve"> </w:t>
      </w:r>
      <w:r>
        <w:rPr>
          <w:b/>
        </w:rPr>
        <w:t>Input</w:t>
      </w:r>
      <w:r>
        <w:rPr>
          <w:b/>
          <w:spacing w:val="-4"/>
        </w:rPr>
        <w:t xml:space="preserve"> </w:t>
      </w:r>
      <w:r>
        <w:rPr>
          <w:b/>
        </w:rPr>
        <w:t>Workbook:</w:t>
      </w:r>
      <w:r>
        <w:rPr>
          <w:b/>
          <w:spacing w:val="-3"/>
        </w:rPr>
        <w:t xml:space="preserve"> </w:t>
      </w:r>
      <w:r>
        <w:t>A</w:t>
      </w:r>
      <w:r>
        <w:rPr>
          <w:spacing w:val="-4"/>
        </w:rPr>
        <w:t xml:space="preserve"> </w:t>
      </w:r>
      <w:r>
        <w:t>spreadsheet</w:t>
      </w:r>
      <w:r>
        <w:rPr>
          <w:spacing w:val="-4"/>
        </w:rPr>
        <w:t xml:space="preserve"> </w:t>
      </w:r>
      <w:r>
        <w:t>version</w:t>
      </w:r>
      <w:r>
        <w:rPr>
          <w:spacing w:val="-4"/>
        </w:rPr>
        <w:t xml:space="preserve"> </w:t>
      </w:r>
      <w:r>
        <w:t>of</w:t>
      </w:r>
      <w:r>
        <w:rPr>
          <w:spacing w:val="-4"/>
        </w:rPr>
        <w:t xml:space="preserve"> </w:t>
      </w:r>
      <w:r>
        <w:t>the</w:t>
      </w:r>
      <w:r>
        <w:rPr>
          <w:spacing w:val="-4"/>
        </w:rPr>
        <w:t xml:space="preserve"> </w:t>
      </w:r>
      <w:r>
        <w:t>Measure</w:t>
      </w:r>
      <w:r>
        <w:rPr>
          <w:spacing w:val="-4"/>
        </w:rPr>
        <w:t xml:space="preserve"> </w:t>
      </w:r>
      <w:r>
        <w:t>Input Characterization System documenting all final values for all rebated technologies forecast in the model.</w:t>
      </w:r>
    </w:p>
    <w:p w:rsidR="00C31389" w:rsidRDefault="00561FBD" w14:paraId="7239E677" w14:textId="77777777">
      <w:pPr>
        <w:pStyle w:val="ListParagraph"/>
        <w:numPr>
          <w:ilvl w:val="0"/>
          <w:numId w:val="66"/>
        </w:numPr>
        <w:tabs>
          <w:tab w:val="left" w:pos="1200"/>
        </w:tabs>
        <w:spacing w:before="125" w:line="261" w:lineRule="auto"/>
        <w:ind w:left="1200" w:right="950" w:hanging="361"/>
      </w:pPr>
      <w:r>
        <w:rPr>
          <w:b/>
        </w:rPr>
        <w:t>2023</w:t>
      </w:r>
      <w:r>
        <w:rPr>
          <w:b/>
          <w:spacing w:val="-3"/>
        </w:rPr>
        <w:t xml:space="preserve"> </w:t>
      </w:r>
      <w:r>
        <w:rPr>
          <w:b/>
        </w:rPr>
        <w:t>PG</w:t>
      </w:r>
      <w:r>
        <w:rPr>
          <w:b/>
          <w:spacing w:val="-4"/>
        </w:rPr>
        <w:t xml:space="preserve"> </w:t>
      </w:r>
      <w:r>
        <w:rPr>
          <w:b/>
        </w:rPr>
        <w:t>BROs</w:t>
      </w:r>
      <w:r>
        <w:rPr>
          <w:b/>
          <w:spacing w:val="-3"/>
        </w:rPr>
        <w:t xml:space="preserve"> </w:t>
      </w:r>
      <w:r>
        <w:rPr>
          <w:b/>
        </w:rPr>
        <w:t>Inputs:</w:t>
      </w:r>
      <w:r>
        <w:rPr>
          <w:b/>
          <w:spacing w:val="-4"/>
        </w:rPr>
        <w:t xml:space="preserve"> </w:t>
      </w:r>
      <w:r>
        <w:t>A</w:t>
      </w:r>
      <w:r>
        <w:rPr>
          <w:spacing w:val="-3"/>
        </w:rPr>
        <w:t xml:space="preserve"> </w:t>
      </w:r>
      <w:r>
        <w:t>spreadsheet</w:t>
      </w:r>
      <w:r>
        <w:rPr>
          <w:spacing w:val="-3"/>
        </w:rPr>
        <w:t xml:space="preserve"> </w:t>
      </w:r>
      <w:r>
        <w:t>version</w:t>
      </w:r>
      <w:r>
        <w:rPr>
          <w:spacing w:val="-4"/>
        </w:rPr>
        <w:t xml:space="preserve"> </w:t>
      </w:r>
      <w:r>
        <w:t>of</w:t>
      </w:r>
      <w:r>
        <w:rPr>
          <w:spacing w:val="-3"/>
        </w:rPr>
        <w:t xml:space="preserve"> </w:t>
      </w:r>
      <w:r>
        <w:t>all</w:t>
      </w:r>
      <w:r>
        <w:rPr>
          <w:spacing w:val="-3"/>
        </w:rPr>
        <w:t xml:space="preserve"> </w:t>
      </w:r>
      <w:r>
        <w:t>measure-level</w:t>
      </w:r>
      <w:r>
        <w:rPr>
          <w:spacing w:val="-3"/>
        </w:rPr>
        <w:t xml:space="preserve"> </w:t>
      </w:r>
      <w:r>
        <w:t>inputs</w:t>
      </w:r>
      <w:r>
        <w:rPr>
          <w:spacing w:val="-3"/>
        </w:rPr>
        <w:t xml:space="preserve"> </w:t>
      </w:r>
      <w:r>
        <w:t>for</w:t>
      </w:r>
      <w:r>
        <w:rPr>
          <w:spacing w:val="-3"/>
        </w:rPr>
        <w:t xml:space="preserve"> </w:t>
      </w:r>
      <w:r>
        <w:t xml:space="preserve">BROs </w:t>
      </w:r>
      <w:r>
        <w:rPr>
          <w:spacing w:val="-2"/>
        </w:rPr>
        <w:t>measures.</w:t>
      </w:r>
    </w:p>
    <w:p w:rsidR="00C31389" w:rsidRDefault="00561FBD" w14:paraId="324B4DA1" w14:textId="77777777">
      <w:pPr>
        <w:pStyle w:val="ListParagraph"/>
        <w:numPr>
          <w:ilvl w:val="0"/>
          <w:numId w:val="66"/>
        </w:numPr>
        <w:tabs>
          <w:tab w:val="left" w:pos="1200"/>
        </w:tabs>
        <w:spacing w:before="122" w:line="264" w:lineRule="auto"/>
        <w:ind w:left="1200" w:right="485" w:hanging="361"/>
      </w:pPr>
      <w:r>
        <w:rPr>
          <w:b/>
        </w:rPr>
        <w:t>2023</w:t>
      </w:r>
      <w:r>
        <w:rPr>
          <w:b/>
          <w:spacing w:val="-4"/>
        </w:rPr>
        <w:t xml:space="preserve"> </w:t>
      </w:r>
      <w:r>
        <w:rPr>
          <w:b/>
        </w:rPr>
        <w:t>PG</w:t>
      </w:r>
      <w:r>
        <w:rPr>
          <w:b/>
          <w:spacing w:val="-5"/>
        </w:rPr>
        <w:t xml:space="preserve"> </w:t>
      </w:r>
      <w:r>
        <w:rPr>
          <w:b/>
        </w:rPr>
        <w:t>Measure-Level</w:t>
      </w:r>
      <w:r>
        <w:rPr>
          <w:b/>
          <w:spacing w:val="-4"/>
        </w:rPr>
        <w:t xml:space="preserve"> </w:t>
      </w:r>
      <w:r>
        <w:rPr>
          <w:b/>
        </w:rPr>
        <w:t>Results</w:t>
      </w:r>
      <w:r>
        <w:rPr>
          <w:b/>
          <w:spacing w:val="-4"/>
        </w:rPr>
        <w:t xml:space="preserve"> </w:t>
      </w:r>
      <w:r>
        <w:rPr>
          <w:b/>
        </w:rPr>
        <w:t>Database:</w:t>
      </w:r>
      <w:r>
        <w:rPr>
          <w:b/>
          <w:spacing w:val="-4"/>
        </w:rPr>
        <w:t xml:space="preserve"> </w:t>
      </w:r>
      <w:r>
        <w:t>A</w:t>
      </w:r>
      <w:r>
        <w:rPr>
          <w:spacing w:val="-4"/>
        </w:rPr>
        <w:t xml:space="preserve"> </w:t>
      </w:r>
      <w:r>
        <w:t>spreadsheet</w:t>
      </w:r>
      <w:r>
        <w:rPr>
          <w:spacing w:val="-4"/>
        </w:rPr>
        <w:t xml:space="preserve"> </w:t>
      </w:r>
      <w:r>
        <w:t>of</w:t>
      </w:r>
      <w:r>
        <w:rPr>
          <w:spacing w:val="-4"/>
        </w:rPr>
        <w:t xml:space="preserve"> </w:t>
      </w:r>
      <w:r>
        <w:t>technical,</w:t>
      </w:r>
      <w:r>
        <w:rPr>
          <w:spacing w:val="-4"/>
        </w:rPr>
        <w:t xml:space="preserve"> </w:t>
      </w:r>
      <w:r>
        <w:t>economic,</w:t>
      </w:r>
      <w:r>
        <w:rPr>
          <w:spacing w:val="-4"/>
        </w:rPr>
        <w:t xml:space="preserve"> </w:t>
      </w:r>
      <w:r>
        <w:t>and achievable</w:t>
      </w:r>
      <w:r>
        <w:rPr>
          <w:spacing w:val="-2"/>
        </w:rPr>
        <w:t xml:space="preserve"> </w:t>
      </w:r>
      <w:r>
        <w:t>potential for</w:t>
      </w:r>
      <w:r>
        <w:rPr>
          <w:spacing w:val="-1"/>
        </w:rPr>
        <w:t xml:space="preserve"> </w:t>
      </w:r>
      <w:r>
        <w:t>each measure in each sector, end use, and utility. The database also includes measure-level C&amp;S results, BROs results, and cost-effectiveness test results for each avoided cost vi</w:t>
      </w:r>
      <w:r>
        <w:t>ntage.</w:t>
      </w:r>
    </w:p>
    <w:p w:rsidR="00C31389" w:rsidRDefault="00561FBD" w14:paraId="0DEDF0A2" w14:textId="77777777">
      <w:pPr>
        <w:pStyle w:val="ListParagraph"/>
        <w:numPr>
          <w:ilvl w:val="0"/>
          <w:numId w:val="66"/>
        </w:numPr>
        <w:tabs>
          <w:tab w:val="left" w:pos="1200"/>
        </w:tabs>
        <w:spacing w:before="116" w:line="261" w:lineRule="auto"/>
        <w:ind w:left="1200" w:right="973" w:hanging="361"/>
      </w:pPr>
      <w:r>
        <w:rPr>
          <w:b/>
        </w:rPr>
        <w:t>2023</w:t>
      </w:r>
      <w:r>
        <w:rPr>
          <w:b/>
          <w:spacing w:val="-3"/>
        </w:rPr>
        <w:t xml:space="preserve"> </w:t>
      </w:r>
      <w:r>
        <w:rPr>
          <w:b/>
        </w:rPr>
        <w:t>PG</w:t>
      </w:r>
      <w:r>
        <w:rPr>
          <w:b/>
          <w:spacing w:val="-4"/>
        </w:rPr>
        <w:t xml:space="preserve"> </w:t>
      </w:r>
      <w:r>
        <w:rPr>
          <w:b/>
        </w:rPr>
        <w:t>Model</w:t>
      </w:r>
      <w:r>
        <w:rPr>
          <w:b/>
          <w:spacing w:val="-3"/>
        </w:rPr>
        <w:t xml:space="preserve"> </w:t>
      </w:r>
      <w:r>
        <w:rPr>
          <w:b/>
        </w:rPr>
        <w:t>File(s):</w:t>
      </w:r>
      <w:r>
        <w:rPr>
          <w:b/>
          <w:spacing w:val="-3"/>
        </w:rPr>
        <w:t xml:space="preserve"> </w:t>
      </w:r>
      <w:r>
        <w:t>An</w:t>
      </w:r>
      <w:r>
        <w:rPr>
          <w:spacing w:val="-3"/>
        </w:rPr>
        <w:t xml:space="preserve"> </w:t>
      </w:r>
      <w:r>
        <w:t>Analytica-based</w:t>
      </w:r>
      <w:r>
        <w:rPr>
          <w:spacing w:val="-3"/>
        </w:rPr>
        <w:t xml:space="preserve"> </w:t>
      </w:r>
      <w:r>
        <w:t>file</w:t>
      </w:r>
      <w:r>
        <w:rPr>
          <w:spacing w:val="-3"/>
        </w:rPr>
        <w:t xml:space="preserve"> </w:t>
      </w:r>
      <w:r>
        <w:t>that</w:t>
      </w:r>
      <w:r>
        <w:rPr>
          <w:spacing w:val="-3"/>
        </w:rPr>
        <w:t xml:space="preserve"> </w:t>
      </w:r>
      <w:r>
        <w:t>contains</w:t>
      </w:r>
      <w:r>
        <w:rPr>
          <w:spacing w:val="-3"/>
        </w:rPr>
        <w:t xml:space="preserve"> </w:t>
      </w:r>
      <w:r>
        <w:t>the</w:t>
      </w:r>
      <w:r>
        <w:rPr>
          <w:spacing w:val="-3"/>
        </w:rPr>
        <w:t xml:space="preserve"> </w:t>
      </w:r>
      <w:r>
        <w:t>PG</w:t>
      </w:r>
      <w:r>
        <w:rPr>
          <w:spacing w:val="-4"/>
        </w:rPr>
        <w:t xml:space="preserve"> </w:t>
      </w:r>
      <w:r>
        <w:t>Model</w:t>
      </w:r>
      <w:r>
        <w:rPr>
          <w:spacing w:val="-3"/>
        </w:rPr>
        <w:t xml:space="preserve"> </w:t>
      </w:r>
      <w:r>
        <w:t>used</w:t>
      </w:r>
      <w:r>
        <w:rPr>
          <w:spacing w:val="-3"/>
        </w:rPr>
        <w:t xml:space="preserve"> </w:t>
      </w:r>
      <w:r>
        <w:t>to create the results of this study.</w:t>
      </w:r>
    </w:p>
    <w:p w:rsidR="00C31389" w:rsidRDefault="00561FBD" w14:paraId="7C3533D7" w14:textId="77777777">
      <w:pPr>
        <w:pStyle w:val="ListParagraph"/>
        <w:numPr>
          <w:ilvl w:val="0"/>
          <w:numId w:val="66"/>
        </w:numPr>
        <w:tabs>
          <w:tab w:val="left" w:pos="1201"/>
        </w:tabs>
        <w:spacing w:before="122" w:line="261" w:lineRule="auto"/>
        <w:ind w:left="1201" w:right="645" w:hanging="361"/>
      </w:pPr>
      <w:r>
        <w:rPr>
          <w:b/>
        </w:rPr>
        <w:t>2023</w:t>
      </w:r>
      <w:r>
        <w:rPr>
          <w:b/>
          <w:spacing w:val="-4"/>
        </w:rPr>
        <w:t xml:space="preserve"> </w:t>
      </w:r>
      <w:r>
        <w:rPr>
          <w:b/>
        </w:rPr>
        <w:t>PG</w:t>
      </w:r>
      <w:r>
        <w:rPr>
          <w:b/>
          <w:spacing w:val="-4"/>
        </w:rPr>
        <w:t xml:space="preserve"> </w:t>
      </w:r>
      <w:r>
        <w:rPr>
          <w:b/>
        </w:rPr>
        <w:t>Model</w:t>
      </w:r>
      <w:r>
        <w:rPr>
          <w:b/>
          <w:spacing w:val="-4"/>
        </w:rPr>
        <w:t xml:space="preserve"> </w:t>
      </w:r>
      <w:r>
        <w:rPr>
          <w:b/>
        </w:rPr>
        <w:t>Users</w:t>
      </w:r>
      <w:r>
        <w:rPr>
          <w:b/>
          <w:spacing w:val="-4"/>
        </w:rPr>
        <w:t xml:space="preserve"> </w:t>
      </w:r>
      <w:r>
        <w:rPr>
          <w:b/>
        </w:rPr>
        <w:t>Guide:</w:t>
      </w:r>
      <w:r>
        <w:rPr>
          <w:b/>
          <w:spacing w:val="-4"/>
        </w:rPr>
        <w:t xml:space="preserve"> </w:t>
      </w:r>
      <w:r>
        <w:t>Document</w:t>
      </w:r>
      <w:r>
        <w:rPr>
          <w:spacing w:val="-4"/>
        </w:rPr>
        <w:t xml:space="preserve"> </w:t>
      </w:r>
      <w:r>
        <w:t>that</w:t>
      </w:r>
      <w:r>
        <w:rPr>
          <w:spacing w:val="-4"/>
        </w:rPr>
        <w:t xml:space="preserve"> </w:t>
      </w:r>
      <w:r>
        <w:t>helps</w:t>
      </w:r>
      <w:r>
        <w:rPr>
          <w:spacing w:val="-4"/>
        </w:rPr>
        <w:t xml:space="preserve"> </w:t>
      </w:r>
      <w:r>
        <w:t>advanced</w:t>
      </w:r>
      <w:r>
        <w:rPr>
          <w:spacing w:val="-4"/>
        </w:rPr>
        <w:t xml:space="preserve"> </w:t>
      </w:r>
      <w:r>
        <w:t>users</w:t>
      </w:r>
      <w:r>
        <w:rPr>
          <w:spacing w:val="-4"/>
        </w:rPr>
        <w:t xml:space="preserve"> </w:t>
      </w:r>
      <w:r>
        <w:t>who</w:t>
      </w:r>
      <w:r>
        <w:rPr>
          <w:spacing w:val="-4"/>
        </w:rPr>
        <w:t xml:space="preserve"> </w:t>
      </w:r>
      <w:r>
        <w:t>want</w:t>
      </w:r>
      <w:r>
        <w:rPr>
          <w:spacing w:val="-4"/>
        </w:rPr>
        <w:t xml:space="preserve"> </w:t>
      </w:r>
      <w:r>
        <w:t>to</w:t>
      </w:r>
      <w:r>
        <w:rPr>
          <w:spacing w:val="-4"/>
        </w:rPr>
        <w:t xml:space="preserve"> </w:t>
      </w:r>
      <w:r>
        <w:t>open and run the PG Model file in Analytica.</w:t>
      </w:r>
    </w:p>
    <w:p w:rsidR="00C31389" w:rsidRDefault="00561FBD" w14:paraId="2012B9C4" w14:textId="77777777">
      <w:pPr>
        <w:pStyle w:val="ListParagraph"/>
        <w:numPr>
          <w:ilvl w:val="0"/>
          <w:numId w:val="66"/>
        </w:numPr>
        <w:tabs>
          <w:tab w:val="left" w:pos="1201"/>
        </w:tabs>
        <w:spacing w:before="123" w:line="264" w:lineRule="auto"/>
        <w:ind w:left="1201" w:right="766" w:hanging="361"/>
      </w:pPr>
      <w:r>
        <w:rPr>
          <w:b/>
        </w:rPr>
        <w:t xml:space="preserve">2023 Low Income Potential Measure-Level Results Database. </w:t>
      </w:r>
      <w:r>
        <w:t>A spreadsheet of technical and achievable potential for each measure by utility. The database also includes</w:t>
      </w:r>
      <w:r>
        <w:rPr>
          <w:spacing w:val="-4"/>
        </w:rPr>
        <w:t xml:space="preserve"> </w:t>
      </w:r>
      <w:r>
        <w:t>the</w:t>
      </w:r>
      <w:r>
        <w:rPr>
          <w:spacing w:val="-4"/>
        </w:rPr>
        <w:t xml:space="preserve"> </w:t>
      </w:r>
      <w:r>
        <w:t>full</w:t>
      </w:r>
      <w:r>
        <w:rPr>
          <w:spacing w:val="-3"/>
        </w:rPr>
        <w:t xml:space="preserve"> </w:t>
      </w:r>
      <w:r>
        <w:t>potential</w:t>
      </w:r>
      <w:r>
        <w:rPr>
          <w:spacing w:val="-2"/>
        </w:rPr>
        <w:t xml:space="preserve"> </w:t>
      </w:r>
      <w:r>
        <w:t>and</w:t>
      </w:r>
      <w:r>
        <w:rPr>
          <w:spacing w:val="-3"/>
        </w:rPr>
        <w:t xml:space="preserve"> </w:t>
      </w:r>
      <w:r>
        <w:t>potential</w:t>
      </w:r>
      <w:r>
        <w:rPr>
          <w:spacing w:val="-3"/>
        </w:rPr>
        <w:t xml:space="preserve"> </w:t>
      </w:r>
      <w:r>
        <w:t>limited</w:t>
      </w:r>
      <w:r>
        <w:rPr>
          <w:spacing w:val="-3"/>
        </w:rPr>
        <w:t xml:space="preserve"> </w:t>
      </w:r>
      <w:r>
        <w:t>by</w:t>
      </w:r>
      <w:r>
        <w:rPr>
          <w:spacing w:val="-4"/>
        </w:rPr>
        <w:t xml:space="preserve"> </w:t>
      </w:r>
      <w:r>
        <w:t>the</w:t>
      </w:r>
      <w:r>
        <w:rPr>
          <w:spacing w:val="-3"/>
        </w:rPr>
        <w:t xml:space="preserve"> </w:t>
      </w:r>
      <w:r>
        <w:t>low</w:t>
      </w:r>
      <w:r>
        <w:rPr>
          <w:spacing w:val="-4"/>
        </w:rPr>
        <w:t xml:space="preserve"> </w:t>
      </w:r>
      <w:r>
        <w:t>income</w:t>
      </w:r>
      <w:r>
        <w:rPr>
          <w:spacing w:val="-3"/>
        </w:rPr>
        <w:t xml:space="preserve"> </w:t>
      </w:r>
      <w:r>
        <w:t>policy</w:t>
      </w:r>
      <w:r>
        <w:rPr>
          <w:spacing w:val="-3"/>
        </w:rPr>
        <w:t xml:space="preserve"> </w:t>
      </w:r>
      <w:r>
        <w:t>and</w:t>
      </w:r>
      <w:r>
        <w:rPr>
          <w:spacing w:val="-3"/>
        </w:rPr>
        <w:t xml:space="preserve"> </w:t>
      </w:r>
      <w:r>
        <w:t>procedure manual (pl</w:t>
      </w:r>
      <w:r>
        <w:t>ease see Attachment 3 for more details).</w:t>
      </w:r>
    </w:p>
    <w:p w:rsidR="00C31389" w:rsidRDefault="00C31389" w14:paraId="096D5505" w14:textId="77777777">
      <w:pPr>
        <w:pStyle w:val="BodyText"/>
        <w:rPr>
          <w:sz w:val="20"/>
        </w:rPr>
      </w:pPr>
    </w:p>
    <w:p w:rsidR="00C31389" w:rsidRDefault="00C31389" w14:paraId="426358DD" w14:textId="77777777">
      <w:pPr>
        <w:pStyle w:val="BodyText"/>
        <w:rPr>
          <w:sz w:val="20"/>
        </w:rPr>
      </w:pPr>
    </w:p>
    <w:p w:rsidR="00C31389" w:rsidRDefault="00C31389" w14:paraId="7854EB07" w14:textId="77777777">
      <w:pPr>
        <w:pStyle w:val="BodyText"/>
        <w:rPr>
          <w:sz w:val="20"/>
        </w:rPr>
      </w:pPr>
    </w:p>
    <w:p w:rsidR="00C31389" w:rsidRDefault="00561FBD" w14:paraId="6CC95617" w14:textId="77777777">
      <w:pPr>
        <w:pStyle w:val="BodyText"/>
        <w:spacing w:before="5"/>
        <w:rPr>
          <w:sz w:val="27"/>
        </w:rPr>
      </w:pPr>
      <w:r>
        <w:rPr>
          <w:noProof/>
        </w:rPr>
        <mc:AlternateContent>
          <mc:Choice Requires="wps">
            <w:drawing>
              <wp:anchor distT="0" distB="0" distL="0" distR="0" simplePos="0" relativeHeight="487602688" behindDoc="1" locked="0" layoutInCell="1" allowOverlap="1" wp14:editId="43DF9A47" wp14:anchorId="30764270">
                <wp:simplePos x="0" y="0"/>
                <wp:positionH relativeFrom="page">
                  <wp:posOffset>914400</wp:posOffset>
                </wp:positionH>
                <wp:positionV relativeFrom="paragraph">
                  <wp:posOffset>216020</wp:posOffset>
                </wp:positionV>
                <wp:extent cx="1828800" cy="698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5" style="position:absolute;margin-left:1in;margin-top:17pt;width:2in;height:.5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" w14:anchorId="2513FC7C">
                <v:path arrowok="t"/>
                <w10:wrap type="topAndBottom" anchorx="page"/>
              </v:shape>
            </w:pict>
          </mc:Fallback>
        </mc:AlternateContent>
      </w:r>
    </w:p>
    <w:p w:rsidR="00C31389" w:rsidRDefault="00561FBD" w14:paraId="02F89596" w14:textId="77777777">
      <w:pPr>
        <w:spacing w:before="88"/>
        <w:ind w:left="479" w:right="795"/>
        <w:rPr>
          <w:sz w:val="18"/>
        </w:rPr>
      </w:pPr>
      <w:bookmarkStart w:name="_bookmark36" w:id="45"/>
      <w:bookmarkEnd w:id="45"/>
      <w:r>
        <w:rPr>
          <w:position w:val="6"/>
          <w:sz w:val="12"/>
        </w:rPr>
        <w:t>13</w:t>
      </w:r>
      <w:r>
        <w:rPr>
          <w:spacing w:val="36"/>
          <w:position w:val="6"/>
          <w:sz w:val="12"/>
        </w:rPr>
        <w:t xml:space="preserve"> </w:t>
      </w:r>
      <w:r>
        <w:rPr>
          <w:sz w:val="18"/>
        </w:rPr>
        <w:t>California Public Utilities Commission website, https://</w:t>
      </w:r>
      <w:hyperlink r:id="rId60">
        <w:r>
          <w:rPr>
            <w:sz w:val="18"/>
          </w:rPr>
          <w:t>www.cpuc.ca.gov/industries-and-topics/electrical-</w:t>
        </w:r>
      </w:hyperlink>
      <w:r>
        <w:rPr>
          <w:sz w:val="18"/>
        </w:rPr>
        <w:t xml:space="preserve"> </w:t>
      </w:r>
      <w:r>
        <w:rPr>
          <w:spacing w:val="-2"/>
          <w:sz w:val="18"/>
        </w:rPr>
        <w:t>energy/demand-side-management/energy-efficiency/energy-efficiency-potential-and-goals-studies/2023-potential- and-goals-study.</w:t>
      </w:r>
    </w:p>
    <w:p w:rsidR="00C31389" w:rsidRDefault="00C31389" w14:paraId="158F5E42" w14:textId="77777777">
      <w:pPr>
        <w:rPr>
          <w:sz w:val="18"/>
        </w:rPr>
        <w:sectPr w:rsidR="00C31389">
          <w:pgSz w:w="12240" w:h="15840"/>
          <w:pgMar w:top="1380" w:right="960" w:bottom="1120" w:left="960" w:header="397" w:footer="936" w:gutter="0"/>
          <w:cols w:space="720"/>
        </w:sectPr>
      </w:pPr>
    </w:p>
    <w:p w:rsidR="00C31389" w:rsidRDefault="00C31389" w14:paraId="381FB763" w14:textId="77777777">
      <w:pPr>
        <w:pStyle w:val="BodyText"/>
      </w:pPr>
    </w:p>
    <w:p w:rsidR="00C31389" w:rsidRDefault="00C31389" w14:paraId="1255E81C" w14:textId="77777777">
      <w:pPr>
        <w:pStyle w:val="BodyText"/>
        <w:spacing w:before="1"/>
        <w:rPr>
          <w:sz w:val="14"/>
        </w:rPr>
      </w:pPr>
    </w:p>
    <w:p w:rsidR="00C31389" w:rsidRDefault="00561FBD" w14:paraId="04B62AE1" w14:textId="77777777">
      <w:pPr>
        <w:pStyle w:val="Heading1"/>
        <w:numPr>
          <w:ilvl w:val="0"/>
          <w:numId w:val="71"/>
        </w:numPr>
        <w:tabs>
          <w:tab w:val="left" w:pos="834"/>
        </w:tabs>
        <w:ind w:left="834" w:hanging="354"/>
      </w:pPr>
      <w:bookmarkStart w:name="2._Study_Methodology" w:id="46"/>
      <w:bookmarkStart w:name="_bookmark37" w:id="47"/>
      <w:bookmarkEnd w:id="46"/>
      <w:bookmarkEnd w:id="47"/>
      <w:r>
        <w:t>Study</w:t>
      </w:r>
      <w:r>
        <w:rPr>
          <w:spacing w:val="-3"/>
        </w:rPr>
        <w:t xml:space="preserve"> </w:t>
      </w:r>
      <w:r>
        <w:rPr>
          <w:spacing w:val="-2"/>
        </w:rPr>
        <w:t>Methodology</w:t>
      </w:r>
    </w:p>
    <w:p w:rsidR="00C31389" w:rsidRDefault="00561FBD" w14:paraId="5B97AFC3" w14:textId="77777777">
      <w:pPr>
        <w:pStyle w:val="BodyText"/>
        <w:spacing w:before="239"/>
        <w:ind w:left="480" w:right="533" w:hanging="1"/>
      </w:pPr>
      <w:r>
        <w:t>The</w:t>
      </w:r>
      <w:r>
        <w:rPr>
          <w:spacing w:val="-3"/>
        </w:rPr>
        <w:t xml:space="preserve"> </w:t>
      </w:r>
      <w:r>
        <w:t>primary</w:t>
      </w:r>
      <w:r>
        <w:rPr>
          <w:spacing w:val="-3"/>
        </w:rPr>
        <w:t xml:space="preserve"> </w:t>
      </w:r>
      <w:r>
        <w:t>purpose</w:t>
      </w:r>
      <w:r>
        <w:rPr>
          <w:spacing w:val="-3"/>
        </w:rPr>
        <w:t xml:space="preserve"> </w:t>
      </w:r>
      <w:r>
        <w:t>of</w:t>
      </w:r>
      <w:r>
        <w:rPr>
          <w:spacing w:val="-3"/>
        </w:rPr>
        <w:t xml:space="preserve"> </w:t>
      </w:r>
      <w:r>
        <w:t>the</w:t>
      </w:r>
      <w:r>
        <w:rPr>
          <w:spacing w:val="-3"/>
        </w:rPr>
        <w:t xml:space="preserve"> </w:t>
      </w:r>
      <w:r>
        <w:t>2023</w:t>
      </w:r>
      <w:r>
        <w:rPr>
          <w:spacing w:val="-2"/>
        </w:rPr>
        <w:t xml:space="preserve"> </w:t>
      </w:r>
      <w:r>
        <w:t>Study</w:t>
      </w:r>
      <w:r>
        <w:rPr>
          <w:spacing w:val="-3"/>
        </w:rPr>
        <w:t xml:space="preserve"> </w:t>
      </w:r>
      <w:r>
        <w:t>is</w:t>
      </w:r>
      <w:r>
        <w:rPr>
          <w:spacing w:val="-3"/>
        </w:rPr>
        <w:t xml:space="preserve"> </w:t>
      </w:r>
      <w:r>
        <w:t>to</w:t>
      </w:r>
      <w:r>
        <w:rPr>
          <w:spacing w:val="-3"/>
        </w:rPr>
        <w:t xml:space="preserve"> </w:t>
      </w:r>
      <w:r>
        <w:t>provide</w:t>
      </w:r>
      <w:r>
        <w:rPr>
          <w:spacing w:val="-3"/>
        </w:rPr>
        <w:t xml:space="preserve"> </w:t>
      </w:r>
      <w:r>
        <w:t>the</w:t>
      </w:r>
      <w:r>
        <w:rPr>
          <w:spacing w:val="-3"/>
        </w:rPr>
        <w:t xml:space="preserve"> </w:t>
      </w:r>
      <w:r>
        <w:t>CPUC</w:t>
      </w:r>
      <w:r>
        <w:rPr>
          <w:spacing w:val="-4"/>
        </w:rPr>
        <w:t xml:space="preserve"> </w:t>
      </w:r>
      <w:r>
        <w:t>with</w:t>
      </w:r>
      <w:r>
        <w:rPr>
          <w:spacing w:val="-3"/>
        </w:rPr>
        <w:t xml:space="preserve"> </w:t>
      </w:r>
      <w:r>
        <w:t>information</w:t>
      </w:r>
      <w:r>
        <w:rPr>
          <w:spacing w:val="-3"/>
        </w:rPr>
        <w:t xml:space="preserve"> </w:t>
      </w:r>
      <w:r>
        <w:t>and</w:t>
      </w:r>
      <w:r>
        <w:rPr>
          <w:spacing w:val="-3"/>
        </w:rPr>
        <w:t xml:space="preserve"> </w:t>
      </w:r>
      <w:r>
        <w:t>analytical tools to engage in goal setting for the IOU EE portfolios. The study itself informs the CPUC’s goal setting process but does not establish goals.</w:t>
      </w:r>
    </w:p>
    <w:p w:rsidR="00C31389" w:rsidRDefault="00C31389" w14:paraId="653EA441" w14:textId="77777777">
      <w:pPr>
        <w:pStyle w:val="BodyText"/>
        <w:spacing w:before="11"/>
        <w:rPr>
          <w:sz w:val="20"/>
        </w:rPr>
      </w:pPr>
    </w:p>
    <w:p w:rsidR="00C31389" w:rsidRDefault="00561FBD" w14:paraId="2F303857" w14:textId="77777777">
      <w:pPr>
        <w:pStyle w:val="BodyText"/>
        <w:ind w:left="480" w:right="490" w:hanging="1"/>
      </w:pPr>
      <w:r>
        <w:t xml:space="preserve">The </w:t>
      </w:r>
      <w:r>
        <w:t>2023 Study forecasts potential energy savings from a variety of sources within five distinct customer</w:t>
      </w:r>
      <w:r>
        <w:rPr>
          <w:spacing w:val="-4"/>
        </w:rPr>
        <w:t xml:space="preserve"> </w:t>
      </w:r>
      <w:r>
        <w:t>sectors:</w:t>
      </w:r>
      <w:r>
        <w:rPr>
          <w:spacing w:val="-4"/>
        </w:rPr>
        <w:t xml:space="preserve"> </w:t>
      </w:r>
      <w:r>
        <w:t>residential,</w:t>
      </w:r>
      <w:r>
        <w:rPr>
          <w:spacing w:val="-4"/>
        </w:rPr>
        <w:t xml:space="preserve"> </w:t>
      </w:r>
      <w:r>
        <w:t>low</w:t>
      </w:r>
      <w:r>
        <w:rPr>
          <w:spacing w:val="-5"/>
        </w:rPr>
        <w:t xml:space="preserve"> </w:t>
      </w:r>
      <w:r>
        <w:t>income,</w:t>
      </w:r>
      <w:r>
        <w:rPr>
          <w:spacing w:val="-4"/>
        </w:rPr>
        <w:t xml:space="preserve"> </w:t>
      </w:r>
      <w:r>
        <w:t>commercial,</w:t>
      </w:r>
      <w:r>
        <w:rPr>
          <w:spacing w:val="-4"/>
        </w:rPr>
        <w:t xml:space="preserve"> </w:t>
      </w:r>
      <w:r>
        <w:t>agriculture,</w:t>
      </w:r>
      <w:r>
        <w:rPr>
          <w:spacing w:val="-4"/>
        </w:rPr>
        <w:t xml:space="preserve"> </w:t>
      </w:r>
      <w:r>
        <w:t>and</w:t>
      </w:r>
      <w:r>
        <w:rPr>
          <w:spacing w:val="-4"/>
        </w:rPr>
        <w:t xml:space="preserve"> </w:t>
      </w:r>
      <w:r>
        <w:t>industrial.</w:t>
      </w:r>
      <w:r>
        <w:rPr>
          <w:spacing w:val="-4"/>
        </w:rPr>
        <w:t xml:space="preserve"> </w:t>
      </w:r>
      <w:r>
        <w:t>These</w:t>
      </w:r>
      <w:r>
        <w:rPr>
          <w:spacing w:val="-4"/>
        </w:rPr>
        <w:t xml:space="preserve"> </w:t>
      </w:r>
      <w:r>
        <w:t>sectors are also used in the CEC’s Integrated Energy Policy Report (IEPR)</w:t>
      </w:r>
      <w:r>
        <w:t xml:space="preserve"> forecast. The IOU portfolio</w:t>
      </w:r>
      <w:r>
        <w:rPr>
          <w:spacing w:val="40"/>
        </w:rPr>
        <w:t xml:space="preserve"> </w:t>
      </w:r>
      <w:r>
        <w:t>of savings include the following:</w:t>
      </w:r>
    </w:p>
    <w:p w:rsidR="00C31389" w:rsidRDefault="00561FBD" w14:paraId="67EE3C91" w14:textId="77777777">
      <w:pPr>
        <w:pStyle w:val="ListParagraph"/>
        <w:numPr>
          <w:ilvl w:val="0"/>
          <w:numId w:val="70"/>
        </w:numPr>
        <w:tabs>
          <w:tab w:val="left" w:pos="1200"/>
        </w:tabs>
        <w:spacing w:before="119"/>
        <w:ind w:right="2025"/>
      </w:pPr>
      <w:r>
        <w:rPr>
          <w:b/>
        </w:rPr>
        <w:t>Incentive</w:t>
      </w:r>
      <w:r>
        <w:rPr>
          <w:b/>
          <w:spacing w:val="-5"/>
        </w:rPr>
        <w:t xml:space="preserve"> </w:t>
      </w:r>
      <w:r>
        <w:rPr>
          <w:b/>
        </w:rPr>
        <w:t>programs:</w:t>
      </w:r>
      <w:r>
        <w:rPr>
          <w:b/>
          <w:spacing w:val="-5"/>
        </w:rPr>
        <w:t xml:space="preserve"> </w:t>
      </w:r>
      <w:r>
        <w:t>Incentive</w:t>
      </w:r>
      <w:r>
        <w:rPr>
          <w:spacing w:val="-5"/>
        </w:rPr>
        <w:t xml:space="preserve"> </w:t>
      </w:r>
      <w:r>
        <w:t>programs</w:t>
      </w:r>
      <w:r>
        <w:rPr>
          <w:spacing w:val="-5"/>
        </w:rPr>
        <w:t xml:space="preserve"> </w:t>
      </w:r>
      <w:r>
        <w:t>make</w:t>
      </w:r>
      <w:r>
        <w:rPr>
          <w:spacing w:val="-4"/>
        </w:rPr>
        <w:t xml:space="preserve"> </w:t>
      </w:r>
      <w:r>
        <w:t>up</w:t>
      </w:r>
      <w:r>
        <w:rPr>
          <w:spacing w:val="-5"/>
        </w:rPr>
        <w:t xml:space="preserve"> </w:t>
      </w:r>
      <w:r>
        <w:t>discrete</w:t>
      </w:r>
      <w:r>
        <w:rPr>
          <w:spacing w:val="-6"/>
        </w:rPr>
        <w:t xml:space="preserve"> </w:t>
      </w:r>
      <w:r>
        <w:t>categories</w:t>
      </w:r>
      <w:r>
        <w:rPr>
          <w:spacing w:val="-5"/>
        </w:rPr>
        <w:t xml:space="preserve"> </w:t>
      </w:r>
      <w:r>
        <w:t>of characterization that are further described in this report.</w:t>
      </w:r>
    </w:p>
    <w:p w:rsidR="00C31389" w:rsidRDefault="00561FBD" w14:paraId="39967426" w14:textId="77777777">
      <w:pPr>
        <w:pStyle w:val="ListParagraph"/>
        <w:numPr>
          <w:ilvl w:val="1"/>
          <w:numId w:val="70"/>
        </w:numPr>
        <w:tabs>
          <w:tab w:val="left" w:pos="1919"/>
        </w:tabs>
        <w:spacing w:before="123" w:line="235" w:lineRule="auto"/>
        <w:ind w:right="660"/>
      </w:pPr>
      <w:r>
        <w:rPr>
          <w:b/>
        </w:rPr>
        <w:t xml:space="preserve">Rebated technologies: </w:t>
      </w:r>
      <w:r>
        <w:t>Discrete mass market technologies incenti</w:t>
      </w:r>
      <w:r>
        <w:t>vized and provided</w:t>
      </w:r>
      <w:r>
        <w:rPr>
          <w:spacing w:val="-5"/>
        </w:rPr>
        <w:t xml:space="preserve"> </w:t>
      </w:r>
      <w:r>
        <w:t>to</w:t>
      </w:r>
      <w:r>
        <w:rPr>
          <w:spacing w:val="-5"/>
        </w:rPr>
        <w:t xml:space="preserve"> </w:t>
      </w:r>
      <w:r>
        <w:t>IOU</w:t>
      </w:r>
      <w:r>
        <w:rPr>
          <w:spacing w:val="-6"/>
        </w:rPr>
        <w:t xml:space="preserve"> </w:t>
      </w:r>
      <w:r>
        <w:t>customers</w:t>
      </w:r>
      <w:r>
        <w:rPr>
          <w:spacing w:val="-5"/>
        </w:rPr>
        <w:t xml:space="preserve"> </w:t>
      </w:r>
      <w:r>
        <w:t>in</w:t>
      </w:r>
      <w:r>
        <w:rPr>
          <w:spacing w:val="-5"/>
        </w:rPr>
        <w:t xml:space="preserve"> </w:t>
      </w:r>
      <w:r>
        <w:t>the</w:t>
      </w:r>
      <w:r>
        <w:rPr>
          <w:spacing w:val="-5"/>
        </w:rPr>
        <w:t xml:space="preserve"> </w:t>
      </w:r>
      <w:r>
        <w:t>residential,</w:t>
      </w:r>
      <w:r>
        <w:rPr>
          <w:spacing w:val="-5"/>
        </w:rPr>
        <w:t xml:space="preserve"> </w:t>
      </w:r>
      <w:r>
        <w:t>commercial,</w:t>
      </w:r>
      <w:r>
        <w:rPr>
          <w:spacing w:val="-5"/>
        </w:rPr>
        <w:t xml:space="preserve"> </w:t>
      </w:r>
      <w:r>
        <w:t>industrial,</w:t>
      </w:r>
      <w:r>
        <w:rPr>
          <w:spacing w:val="-5"/>
        </w:rPr>
        <w:t xml:space="preserve"> </w:t>
      </w:r>
      <w:r>
        <w:t>agriculture, and mining sectors. These sectors are modeled using individual measures for specific applications.</w:t>
      </w:r>
    </w:p>
    <w:p w:rsidR="00C31389" w:rsidRDefault="00561FBD" w14:paraId="5BF297BD" w14:textId="77777777">
      <w:pPr>
        <w:pStyle w:val="ListParagraph"/>
        <w:numPr>
          <w:ilvl w:val="1"/>
          <w:numId w:val="70"/>
        </w:numPr>
        <w:tabs>
          <w:tab w:val="left" w:pos="1919"/>
        </w:tabs>
        <w:spacing w:before="118" w:line="237" w:lineRule="auto"/>
        <w:ind w:right="559"/>
      </w:pPr>
      <w:r>
        <w:rPr>
          <w:b/>
        </w:rPr>
        <w:t xml:space="preserve">Whole building approaches: </w:t>
      </w:r>
      <w:r>
        <w:t xml:space="preserve">In the case of whole building </w:t>
      </w:r>
      <w:r>
        <w:t>initiatives, the Guidehouse team characterized retrofitting the entire home or building or constructing a new home or building to a higher-than-code efficiency level. The specific technologies used to achieve the higher level are not characterized individu</w:t>
      </w:r>
      <w:r>
        <w:t>ally</w:t>
      </w:r>
      <w:r>
        <w:rPr>
          <w:spacing w:val="-5"/>
        </w:rPr>
        <w:t xml:space="preserve"> </w:t>
      </w:r>
      <w:r>
        <w:t>because</w:t>
      </w:r>
      <w:r>
        <w:rPr>
          <w:spacing w:val="-4"/>
        </w:rPr>
        <w:t xml:space="preserve"> </w:t>
      </w:r>
      <w:r>
        <w:t>the</w:t>
      </w:r>
      <w:r>
        <w:rPr>
          <w:spacing w:val="-5"/>
        </w:rPr>
        <w:t xml:space="preserve"> </w:t>
      </w:r>
      <w:r>
        <w:t>exact</w:t>
      </w:r>
      <w:r>
        <w:rPr>
          <w:spacing w:val="-4"/>
        </w:rPr>
        <w:t xml:space="preserve"> </w:t>
      </w:r>
      <w:r>
        <w:t>technologies</w:t>
      </w:r>
      <w:r>
        <w:rPr>
          <w:spacing w:val="-4"/>
        </w:rPr>
        <w:t xml:space="preserve"> </w:t>
      </w:r>
      <w:r>
        <w:t>used</w:t>
      </w:r>
      <w:r>
        <w:rPr>
          <w:spacing w:val="-4"/>
        </w:rPr>
        <w:t xml:space="preserve"> </w:t>
      </w:r>
      <w:r>
        <w:t>to</w:t>
      </w:r>
      <w:r>
        <w:rPr>
          <w:spacing w:val="-4"/>
        </w:rPr>
        <w:t xml:space="preserve"> </w:t>
      </w:r>
      <w:r>
        <w:t>achieve</w:t>
      </w:r>
      <w:r>
        <w:rPr>
          <w:spacing w:val="-5"/>
        </w:rPr>
        <w:t xml:space="preserve"> </w:t>
      </w:r>
      <w:r>
        <w:t>the</w:t>
      </w:r>
      <w:r>
        <w:rPr>
          <w:spacing w:val="-4"/>
        </w:rPr>
        <w:t xml:space="preserve"> </w:t>
      </w:r>
      <w:r>
        <w:t>higher</w:t>
      </w:r>
      <w:r>
        <w:rPr>
          <w:spacing w:val="-4"/>
        </w:rPr>
        <w:t xml:space="preserve"> </w:t>
      </w:r>
      <w:r>
        <w:t>efficiency level may vary from building to building. Whole building initiatives are modeled for the residential and commercial sectors.</w:t>
      </w:r>
    </w:p>
    <w:p w:rsidR="00C31389" w:rsidRDefault="00561FBD" w14:paraId="04B427DF" w14:textId="77777777">
      <w:pPr>
        <w:pStyle w:val="ListParagraph"/>
        <w:numPr>
          <w:ilvl w:val="1"/>
          <w:numId w:val="70"/>
        </w:numPr>
        <w:tabs>
          <w:tab w:val="left" w:pos="1919"/>
        </w:tabs>
        <w:spacing w:before="121" w:line="235" w:lineRule="auto"/>
        <w:ind w:right="522"/>
      </w:pPr>
      <w:r>
        <w:rPr>
          <w:b/>
        </w:rPr>
        <w:t xml:space="preserve">Custom measures and emerging technologies: </w:t>
      </w:r>
      <w:r>
        <w:t>This study def</w:t>
      </w:r>
      <w:r>
        <w:t>ines custom measures</w:t>
      </w:r>
      <w:r>
        <w:rPr>
          <w:spacing w:val="-4"/>
        </w:rPr>
        <w:t xml:space="preserve"> </w:t>
      </w:r>
      <w:r>
        <w:t>as</w:t>
      </w:r>
      <w:r>
        <w:rPr>
          <w:spacing w:val="-4"/>
        </w:rPr>
        <w:t xml:space="preserve"> </w:t>
      </w:r>
      <w:r>
        <w:t>improvements</w:t>
      </w:r>
      <w:r>
        <w:rPr>
          <w:spacing w:val="-4"/>
        </w:rPr>
        <w:t xml:space="preserve"> </w:t>
      </w:r>
      <w:r>
        <w:t>to</w:t>
      </w:r>
      <w:r>
        <w:rPr>
          <w:spacing w:val="-4"/>
        </w:rPr>
        <w:t xml:space="preserve"> </w:t>
      </w:r>
      <w:r>
        <w:t>processes</w:t>
      </w:r>
      <w:r>
        <w:rPr>
          <w:spacing w:val="-4"/>
        </w:rPr>
        <w:t xml:space="preserve"> </w:t>
      </w:r>
      <w:r>
        <w:t>specific</w:t>
      </w:r>
      <w:r>
        <w:rPr>
          <w:spacing w:val="-4"/>
        </w:rPr>
        <w:t xml:space="preserve"> </w:t>
      </w:r>
      <w:r>
        <w:t>to</w:t>
      </w:r>
      <w:r>
        <w:rPr>
          <w:spacing w:val="-4"/>
        </w:rPr>
        <w:t xml:space="preserve"> </w:t>
      </w:r>
      <w:r>
        <w:t>the</w:t>
      </w:r>
      <w:r>
        <w:rPr>
          <w:spacing w:val="-4"/>
        </w:rPr>
        <w:t xml:space="preserve"> </w:t>
      </w:r>
      <w:r>
        <w:t>industrial</w:t>
      </w:r>
      <w:r>
        <w:rPr>
          <w:spacing w:val="-4"/>
        </w:rPr>
        <w:t xml:space="preserve"> </w:t>
      </w:r>
      <w:r>
        <w:t>and</w:t>
      </w:r>
      <w:r>
        <w:rPr>
          <w:spacing w:val="-4"/>
        </w:rPr>
        <w:t xml:space="preserve"> </w:t>
      </w:r>
      <w:r>
        <w:t>agriculture sectors. The measures themselves are not individually defined as a discrete technology but could be defined in site-specific analysis, rather they represent a wide</w:t>
      </w:r>
      <w:r>
        <w:t xml:space="preserve"> array of niche technologies. Similarly, emerging technologies are represented as a wide array of technologies and are not individually defined.</w:t>
      </w:r>
    </w:p>
    <w:p w:rsidR="00C31389" w:rsidRDefault="00561FBD" w14:paraId="0E6A534E" w14:textId="77777777">
      <w:pPr>
        <w:pStyle w:val="ListParagraph"/>
        <w:numPr>
          <w:ilvl w:val="0"/>
          <w:numId w:val="70"/>
        </w:numPr>
        <w:tabs>
          <w:tab w:val="left" w:pos="1199"/>
        </w:tabs>
        <w:spacing w:before="127"/>
        <w:ind w:left="1199" w:right="619"/>
      </w:pPr>
      <w:r>
        <w:rPr>
          <w:b/>
        </w:rPr>
        <w:t>BROs:</w:t>
      </w:r>
      <w:r>
        <w:rPr>
          <w:b/>
          <w:spacing w:val="-4"/>
        </w:rPr>
        <w:t xml:space="preserve"> </w:t>
      </w:r>
      <w:r>
        <w:t>For</w:t>
      </w:r>
      <w:r>
        <w:rPr>
          <w:spacing w:val="-4"/>
        </w:rPr>
        <w:t xml:space="preserve"> </w:t>
      </w:r>
      <w:r>
        <w:t>this</w:t>
      </w:r>
      <w:r>
        <w:rPr>
          <w:spacing w:val="-4"/>
        </w:rPr>
        <w:t xml:space="preserve"> </w:t>
      </w:r>
      <w:r>
        <w:t>study,</w:t>
      </w:r>
      <w:r>
        <w:rPr>
          <w:spacing w:val="-4"/>
        </w:rPr>
        <w:t xml:space="preserve"> </w:t>
      </w:r>
      <w:r>
        <w:t>the</w:t>
      </w:r>
      <w:r>
        <w:rPr>
          <w:spacing w:val="-4"/>
        </w:rPr>
        <w:t xml:space="preserve"> </w:t>
      </w:r>
      <w:r>
        <w:t>Guidehouse</w:t>
      </w:r>
      <w:r>
        <w:rPr>
          <w:spacing w:val="-4"/>
        </w:rPr>
        <w:t xml:space="preserve"> </w:t>
      </w:r>
      <w:r>
        <w:t>team</w:t>
      </w:r>
      <w:r>
        <w:rPr>
          <w:spacing w:val="-5"/>
        </w:rPr>
        <w:t xml:space="preserve"> </w:t>
      </w:r>
      <w:r>
        <w:t>defines</w:t>
      </w:r>
      <w:r>
        <w:rPr>
          <w:spacing w:val="-4"/>
        </w:rPr>
        <w:t xml:space="preserve"> </w:t>
      </w:r>
      <w:r>
        <w:t>behavior-based</w:t>
      </w:r>
      <w:r>
        <w:rPr>
          <w:spacing w:val="-4"/>
        </w:rPr>
        <w:t xml:space="preserve"> </w:t>
      </w:r>
      <w:r>
        <w:t>initiatives</w:t>
      </w:r>
      <w:r>
        <w:rPr>
          <w:spacing w:val="-4"/>
        </w:rPr>
        <w:t xml:space="preserve"> </w:t>
      </w:r>
      <w:r>
        <w:t>as</w:t>
      </w:r>
      <w:r>
        <w:rPr>
          <w:spacing w:val="-4"/>
        </w:rPr>
        <w:t xml:space="preserve"> </w:t>
      </w:r>
      <w:r>
        <w:t>those providing information abo</w:t>
      </w:r>
      <w:r>
        <w:t>ut energy use and conservation actions rather than financial incentives, equipment, or services. Savings from BROs are modeled as incremental impacts of behavior and operational changes beyond equipment changes.</w:t>
      </w:r>
    </w:p>
    <w:p w:rsidR="00C31389" w:rsidRDefault="00561FBD" w14:paraId="200AA125" w14:textId="77777777">
      <w:pPr>
        <w:pStyle w:val="ListParagraph"/>
        <w:numPr>
          <w:ilvl w:val="0"/>
          <w:numId w:val="70"/>
        </w:numPr>
        <w:tabs>
          <w:tab w:val="left" w:pos="1200"/>
        </w:tabs>
        <w:spacing w:before="119"/>
        <w:ind w:right="594" w:hanging="361"/>
      </w:pPr>
      <w:r>
        <w:rPr>
          <w:b/>
        </w:rPr>
        <w:t xml:space="preserve">C&amp;S: </w:t>
      </w:r>
      <w:r>
        <w:t>Codes regulate building design, requiri</w:t>
      </w:r>
      <w:r>
        <w:t>ng builders to incorporate high efficiency measures.</w:t>
      </w:r>
      <w:r>
        <w:rPr>
          <w:spacing w:val="-5"/>
        </w:rPr>
        <w:t xml:space="preserve"> </w:t>
      </w:r>
      <w:r>
        <w:t>Standards</w:t>
      </w:r>
      <w:r>
        <w:rPr>
          <w:spacing w:val="-5"/>
        </w:rPr>
        <w:t xml:space="preserve"> </w:t>
      </w:r>
      <w:r>
        <w:t>set</w:t>
      </w:r>
      <w:r>
        <w:rPr>
          <w:spacing w:val="-5"/>
        </w:rPr>
        <w:t xml:space="preserve"> </w:t>
      </w:r>
      <w:r>
        <w:t>minimum</w:t>
      </w:r>
      <w:r>
        <w:rPr>
          <w:spacing w:val="-5"/>
        </w:rPr>
        <w:t xml:space="preserve"> </w:t>
      </w:r>
      <w:r>
        <w:t>efficiency</w:t>
      </w:r>
      <w:r>
        <w:rPr>
          <w:spacing w:val="-5"/>
        </w:rPr>
        <w:t xml:space="preserve"> </w:t>
      </w:r>
      <w:r>
        <w:t>levels</w:t>
      </w:r>
      <w:r>
        <w:rPr>
          <w:spacing w:val="-5"/>
        </w:rPr>
        <w:t xml:space="preserve"> </w:t>
      </w:r>
      <w:r>
        <w:t>for</w:t>
      </w:r>
      <w:r>
        <w:rPr>
          <w:spacing w:val="-5"/>
        </w:rPr>
        <w:t xml:space="preserve"> </w:t>
      </w:r>
      <w:r>
        <w:t>newly</w:t>
      </w:r>
      <w:r>
        <w:rPr>
          <w:spacing w:val="-5"/>
        </w:rPr>
        <w:t xml:space="preserve"> </w:t>
      </w:r>
      <w:r>
        <w:t>manufactured</w:t>
      </w:r>
      <w:r>
        <w:rPr>
          <w:spacing w:val="-5"/>
        </w:rPr>
        <w:t xml:space="preserve"> </w:t>
      </w:r>
      <w:r>
        <w:t>appliances. Savings are forecast from C&amp;S that went into effect starting in 2006.</w:t>
      </w:r>
    </w:p>
    <w:p w:rsidR="00C31389" w:rsidRDefault="00561FBD" w14:paraId="52D4B8B2" w14:textId="77777777">
      <w:pPr>
        <w:pStyle w:val="ListParagraph"/>
        <w:numPr>
          <w:ilvl w:val="0"/>
          <w:numId w:val="70"/>
        </w:numPr>
        <w:tabs>
          <w:tab w:val="left" w:pos="1200"/>
        </w:tabs>
        <w:spacing w:before="118"/>
        <w:ind w:right="486"/>
      </w:pPr>
      <w:r>
        <w:rPr>
          <w:b/>
        </w:rPr>
        <w:t xml:space="preserve">Residential low income: </w:t>
      </w:r>
      <w:r>
        <w:t xml:space="preserve">The 2023 Study conducts a </w:t>
      </w:r>
      <w:r>
        <w:t>bottom-up forecast of savings from the residential low income sector. This analysis uses low income-specific market characterization data and measure list, sourced through IOU ESA program applications and savings reports, with additional measures added fro</w:t>
      </w:r>
      <w:r>
        <w:t>m expert opinion and professional judgement. The study uses adoption calculations different from the residential</w:t>
      </w:r>
      <w:r>
        <w:rPr>
          <w:spacing w:val="-4"/>
        </w:rPr>
        <w:t xml:space="preserve"> </w:t>
      </w:r>
      <w:r>
        <w:t>sector.</w:t>
      </w:r>
      <w:r>
        <w:rPr>
          <w:spacing w:val="-3"/>
        </w:rPr>
        <w:t xml:space="preserve"> </w:t>
      </w:r>
      <w:r>
        <w:t>More</w:t>
      </w:r>
      <w:r>
        <w:rPr>
          <w:spacing w:val="-3"/>
        </w:rPr>
        <w:t xml:space="preserve"> </w:t>
      </w:r>
      <w:r>
        <w:t>details</w:t>
      </w:r>
      <w:r>
        <w:rPr>
          <w:spacing w:val="-3"/>
        </w:rPr>
        <w:t xml:space="preserve"> </w:t>
      </w:r>
      <w:r>
        <w:t>are</w:t>
      </w:r>
      <w:r>
        <w:rPr>
          <w:spacing w:val="-3"/>
        </w:rPr>
        <w:t xml:space="preserve"> </w:t>
      </w:r>
      <w:r>
        <w:t>available</w:t>
      </w:r>
      <w:r>
        <w:rPr>
          <w:spacing w:val="-4"/>
        </w:rPr>
        <w:t xml:space="preserve"> </w:t>
      </w:r>
      <w:r>
        <w:t>in</w:t>
      </w:r>
      <w:r>
        <w:rPr>
          <w:spacing w:val="-2"/>
        </w:rPr>
        <w:t xml:space="preserve"> </w:t>
      </w:r>
      <w:r>
        <w:t>a</w:t>
      </w:r>
      <w:r>
        <w:rPr>
          <w:spacing w:val="-4"/>
        </w:rPr>
        <w:t xml:space="preserve"> </w:t>
      </w:r>
      <w:r>
        <w:t>separate</w:t>
      </w:r>
      <w:r>
        <w:rPr>
          <w:spacing w:val="-3"/>
        </w:rPr>
        <w:t xml:space="preserve"> </w:t>
      </w:r>
      <w:r>
        <w:t>report,</w:t>
      </w:r>
      <w:r>
        <w:rPr>
          <w:spacing w:val="-3"/>
        </w:rPr>
        <w:t xml:space="preserve"> </w:t>
      </w:r>
      <w:r>
        <w:t>and</w:t>
      </w:r>
      <w:r>
        <w:rPr>
          <w:spacing w:val="-3"/>
        </w:rPr>
        <w:t xml:space="preserve"> </w:t>
      </w:r>
      <w:r>
        <w:t>only</w:t>
      </w:r>
      <w:r>
        <w:rPr>
          <w:spacing w:val="-3"/>
        </w:rPr>
        <w:t xml:space="preserve"> </w:t>
      </w:r>
      <w:r>
        <w:t>topline</w:t>
      </w:r>
      <w:r>
        <w:rPr>
          <w:spacing w:val="-3"/>
        </w:rPr>
        <w:t xml:space="preserve"> </w:t>
      </w:r>
      <w:r>
        <w:t>results are provided in this report.</w:t>
      </w:r>
    </w:p>
    <w:p w:rsidR="00C31389" w:rsidRDefault="00C31389" w14:paraId="45BE5D9B" w14:textId="77777777">
      <w:pPr>
        <w:pStyle w:val="BodyText"/>
        <w:spacing w:before="9"/>
        <w:rPr>
          <w:sz w:val="20"/>
        </w:rPr>
      </w:pPr>
    </w:p>
    <w:p w:rsidR="00C31389" w:rsidRDefault="00561FBD" w14:paraId="3319CE17" w14:textId="77777777">
      <w:pPr>
        <w:pStyle w:val="BodyText"/>
        <w:ind w:left="480"/>
      </w:pPr>
      <w:r>
        <w:t>The</w:t>
      </w:r>
      <w:r>
        <w:rPr>
          <w:spacing w:val="-6"/>
        </w:rPr>
        <w:t xml:space="preserve"> </w:t>
      </w:r>
      <w:r>
        <w:t>rest</w:t>
      </w:r>
      <w:r>
        <w:rPr>
          <w:spacing w:val="-6"/>
        </w:rPr>
        <w:t xml:space="preserve"> </w:t>
      </w:r>
      <w:r>
        <w:t>of</w:t>
      </w:r>
      <w:r>
        <w:rPr>
          <w:spacing w:val="-5"/>
        </w:rPr>
        <w:t xml:space="preserve"> </w:t>
      </w:r>
      <w:r>
        <w:t>this</w:t>
      </w:r>
      <w:r>
        <w:rPr>
          <w:spacing w:val="-6"/>
        </w:rPr>
        <w:t xml:space="preserve"> </w:t>
      </w:r>
      <w:r>
        <w:t>section</w:t>
      </w:r>
      <w:r>
        <w:rPr>
          <w:spacing w:val="-5"/>
        </w:rPr>
        <w:t xml:space="preserve"> </w:t>
      </w:r>
      <w:r>
        <w:t>discus</w:t>
      </w:r>
      <w:r>
        <w:t>ses</w:t>
      </w:r>
      <w:r>
        <w:rPr>
          <w:spacing w:val="-6"/>
        </w:rPr>
        <w:t xml:space="preserve"> </w:t>
      </w:r>
      <w:r>
        <w:t>the</w:t>
      </w:r>
      <w:r>
        <w:rPr>
          <w:spacing w:val="-6"/>
        </w:rPr>
        <w:t xml:space="preserve"> </w:t>
      </w:r>
      <w:r>
        <w:t>2023</w:t>
      </w:r>
      <w:r>
        <w:rPr>
          <w:spacing w:val="-6"/>
        </w:rPr>
        <w:t xml:space="preserve"> </w:t>
      </w:r>
      <w:r>
        <w:t>Study</w:t>
      </w:r>
      <w:r>
        <w:rPr>
          <w:spacing w:val="-6"/>
        </w:rPr>
        <w:t xml:space="preserve"> </w:t>
      </w:r>
      <w:r>
        <w:rPr>
          <w:spacing w:val="-2"/>
        </w:rPr>
        <w:t>methodology.</w:t>
      </w:r>
    </w:p>
    <w:p w:rsidR="00C31389" w:rsidRDefault="00C31389" w14:paraId="0004067A" w14:textId="77777777">
      <w:pPr>
        <w:sectPr w:rsidR="00C31389">
          <w:pgSz w:w="12240" w:h="15840"/>
          <w:pgMar w:top="1380" w:right="960" w:bottom="1120" w:left="960" w:header="397" w:footer="936" w:gutter="0"/>
          <w:cols w:space="720"/>
        </w:sectPr>
      </w:pPr>
    </w:p>
    <w:p w:rsidR="00C31389" w:rsidRDefault="00C31389" w14:paraId="357919B0" w14:textId="77777777">
      <w:pPr>
        <w:pStyle w:val="BodyText"/>
      </w:pPr>
    </w:p>
    <w:p w:rsidR="00C31389" w:rsidRDefault="00C31389" w14:paraId="53E3196A" w14:textId="77777777">
      <w:pPr>
        <w:pStyle w:val="BodyText"/>
        <w:spacing w:before="1"/>
        <w:rPr>
          <w:sz w:val="14"/>
        </w:rPr>
      </w:pPr>
    </w:p>
    <w:p w:rsidR="00C31389" w:rsidRDefault="00561FBD" w14:paraId="4A52D911" w14:textId="77777777">
      <w:pPr>
        <w:pStyle w:val="Heading2"/>
        <w:numPr>
          <w:ilvl w:val="1"/>
          <w:numId w:val="71"/>
        </w:numPr>
        <w:tabs>
          <w:tab w:val="left" w:pos="945"/>
        </w:tabs>
        <w:spacing w:before="90"/>
        <w:ind w:left="945" w:hanging="465"/>
      </w:pPr>
      <w:bookmarkStart w:name="2.1_Modeling_Methods" w:id="48"/>
      <w:bookmarkStart w:name="_bookmark38" w:id="49"/>
      <w:bookmarkEnd w:id="48"/>
      <w:bookmarkEnd w:id="49"/>
      <w:r>
        <w:t>Modeling</w:t>
      </w:r>
      <w:r>
        <w:rPr>
          <w:spacing w:val="-17"/>
        </w:rPr>
        <w:t xml:space="preserve"> </w:t>
      </w:r>
      <w:r>
        <w:rPr>
          <w:spacing w:val="-2"/>
        </w:rPr>
        <w:t>Methods</w:t>
      </w:r>
    </w:p>
    <w:p w:rsidR="00C31389" w:rsidRDefault="00561FBD" w14:paraId="675E3EAF" w14:textId="77777777">
      <w:pPr>
        <w:pStyle w:val="BodyText"/>
        <w:spacing w:before="240"/>
        <w:ind w:left="479" w:right="533"/>
      </w:pPr>
      <w:hyperlink w:history="1" w:anchor="_bookmark39">
        <w:r>
          <w:t>Table</w:t>
        </w:r>
        <w:r>
          <w:rPr>
            <w:spacing w:val="-4"/>
          </w:rPr>
          <w:t xml:space="preserve"> </w:t>
        </w:r>
        <w:r>
          <w:t>2-1</w:t>
        </w:r>
      </w:hyperlink>
      <w:r>
        <w:rPr>
          <w:spacing w:val="-4"/>
        </w:rPr>
        <w:t xml:space="preserve"> </w:t>
      </w:r>
      <w:r>
        <w:t>summarizes</w:t>
      </w:r>
      <w:r>
        <w:rPr>
          <w:spacing w:val="-4"/>
        </w:rPr>
        <w:t xml:space="preserve"> </w:t>
      </w:r>
      <w:r>
        <w:t>the</w:t>
      </w:r>
      <w:r>
        <w:rPr>
          <w:spacing w:val="-4"/>
        </w:rPr>
        <w:t xml:space="preserve"> </w:t>
      </w:r>
      <w:r>
        <w:t>modeling</w:t>
      </w:r>
      <w:r>
        <w:rPr>
          <w:spacing w:val="-4"/>
        </w:rPr>
        <w:t xml:space="preserve"> </w:t>
      </w:r>
      <w:r>
        <w:t>approach</w:t>
      </w:r>
      <w:r>
        <w:rPr>
          <w:spacing w:val="-4"/>
        </w:rPr>
        <w:t xml:space="preserve"> </w:t>
      </w:r>
      <w:r>
        <w:t>for</w:t>
      </w:r>
      <w:r>
        <w:rPr>
          <w:spacing w:val="-4"/>
        </w:rPr>
        <w:t xml:space="preserve"> </w:t>
      </w:r>
      <w:r>
        <w:t>each</w:t>
      </w:r>
      <w:r>
        <w:rPr>
          <w:spacing w:val="-4"/>
        </w:rPr>
        <w:t xml:space="preserve"> </w:t>
      </w:r>
      <w:r>
        <w:t>savings</w:t>
      </w:r>
      <w:r>
        <w:rPr>
          <w:spacing w:val="-3"/>
        </w:rPr>
        <w:t xml:space="preserve"> </w:t>
      </w:r>
      <w:r>
        <w:t>source.</w:t>
      </w:r>
      <w:r>
        <w:rPr>
          <w:spacing w:val="-4"/>
        </w:rPr>
        <w:t xml:space="preserve"> </w:t>
      </w:r>
      <w:r>
        <w:t>Each</w:t>
      </w:r>
      <w:r>
        <w:rPr>
          <w:spacing w:val="-4"/>
        </w:rPr>
        <w:t xml:space="preserve"> </w:t>
      </w:r>
      <w:r>
        <w:t>approach</w:t>
      </w:r>
      <w:r>
        <w:rPr>
          <w:spacing w:val="-4"/>
        </w:rPr>
        <w:t xml:space="preserve"> </w:t>
      </w:r>
      <w:r>
        <w:t>is discussed in more detail in the subsequent subsections.</w:t>
      </w:r>
    </w:p>
    <w:p w:rsidR="00C31389" w:rsidRDefault="00C31389" w14:paraId="2597B3CA" w14:textId="77777777">
      <w:pPr>
        <w:pStyle w:val="BodyText"/>
        <w:spacing w:before="10"/>
        <w:rPr>
          <w:sz w:val="20"/>
        </w:rPr>
      </w:pPr>
    </w:p>
    <w:p w:rsidR="00C31389" w:rsidRDefault="00561FBD" w14:paraId="47D91BA8" w14:textId="77777777">
      <w:pPr>
        <w:pStyle w:val="Heading7"/>
        <w:ind w:left="565" w:right="566"/>
        <w:jc w:val="center"/>
      </w:pPr>
      <w:bookmarkStart w:name="_bookmark39" w:id="50"/>
      <w:bookmarkEnd w:id="50"/>
      <w:r>
        <w:t>Table</w:t>
      </w:r>
      <w:r>
        <w:rPr>
          <w:spacing w:val="-8"/>
        </w:rPr>
        <w:t xml:space="preserve"> </w:t>
      </w:r>
      <w:r>
        <w:t>2-1.</w:t>
      </w:r>
      <w:r>
        <w:rPr>
          <w:spacing w:val="-8"/>
        </w:rPr>
        <w:t xml:space="preserve"> </w:t>
      </w:r>
      <w:r>
        <w:t>Overview</w:t>
      </w:r>
      <w:r>
        <w:rPr>
          <w:spacing w:val="-8"/>
        </w:rPr>
        <w:t xml:space="preserve"> </w:t>
      </w:r>
      <w:r>
        <w:t>of</w:t>
      </w:r>
      <w:r>
        <w:rPr>
          <w:spacing w:val="-7"/>
        </w:rPr>
        <w:t xml:space="preserve"> </w:t>
      </w:r>
      <w:r>
        <w:t>Modeling</w:t>
      </w:r>
      <w:r>
        <w:rPr>
          <w:spacing w:val="-8"/>
        </w:rPr>
        <w:t xml:space="preserve"> </w:t>
      </w:r>
      <w:r>
        <w:t>and</w:t>
      </w:r>
      <w:r>
        <w:rPr>
          <w:spacing w:val="-7"/>
        </w:rPr>
        <w:t xml:space="preserve"> </w:t>
      </w:r>
      <w:r>
        <w:t>Calibration</w:t>
      </w:r>
      <w:r>
        <w:rPr>
          <w:spacing w:val="-7"/>
        </w:rPr>
        <w:t xml:space="preserve"> </w:t>
      </w:r>
      <w:r>
        <w:rPr>
          <w:spacing w:val="-2"/>
        </w:rPr>
        <w:t>Approach</w:t>
      </w:r>
    </w:p>
    <w:p w:rsidR="00C31389" w:rsidRDefault="00C31389" w14:paraId="6F06DC9C"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880"/>
        <w:gridCol w:w="3104"/>
        <w:gridCol w:w="1958"/>
        <w:gridCol w:w="2431"/>
      </w:tblGrid>
      <w:tr w:rsidR="00C31389" w14:paraId="2AB5F934" w14:textId="77777777">
        <w:trPr>
          <w:trHeight w:val="778"/>
        </w:trPr>
        <w:tc>
          <w:tcPr>
            <w:tcW w:w="1880" w:type="dxa"/>
            <w:shd w:val="clear" w:color="auto" w:fill="92D400"/>
          </w:tcPr>
          <w:p w:rsidR="00C31389" w:rsidRDefault="00C31389" w14:paraId="754A520B" w14:textId="77777777">
            <w:pPr>
              <w:pStyle w:val="TableParagraph"/>
              <w:spacing w:before="5"/>
              <w:rPr>
                <w:b/>
                <w:sz w:val="23"/>
              </w:rPr>
            </w:pPr>
          </w:p>
          <w:p w:rsidR="00C31389" w:rsidRDefault="00561FBD" w14:paraId="3F3A5620" w14:textId="77777777">
            <w:pPr>
              <w:pStyle w:val="TableParagraph"/>
              <w:spacing w:before="0"/>
              <w:ind w:left="129"/>
              <w:rPr>
                <w:b/>
                <w:sz w:val="20"/>
              </w:rPr>
            </w:pPr>
            <w:r>
              <w:rPr>
                <w:b/>
                <w:sz w:val="20"/>
              </w:rPr>
              <w:t>Savings</w:t>
            </w:r>
            <w:r>
              <w:rPr>
                <w:b/>
                <w:spacing w:val="-7"/>
                <w:sz w:val="20"/>
              </w:rPr>
              <w:t xml:space="preserve"> </w:t>
            </w:r>
            <w:r>
              <w:rPr>
                <w:b/>
                <w:spacing w:val="-2"/>
                <w:sz w:val="20"/>
              </w:rPr>
              <w:t>Source</w:t>
            </w:r>
          </w:p>
        </w:tc>
        <w:tc>
          <w:tcPr>
            <w:tcW w:w="3104" w:type="dxa"/>
            <w:shd w:val="clear" w:color="auto" w:fill="92D400"/>
          </w:tcPr>
          <w:p w:rsidR="00C31389" w:rsidRDefault="00561FBD" w14:paraId="3C06D348" w14:textId="77777777">
            <w:pPr>
              <w:pStyle w:val="TableParagraph"/>
              <w:spacing w:before="155"/>
              <w:ind w:left="139" w:right="139"/>
              <w:rPr>
                <w:b/>
                <w:sz w:val="20"/>
              </w:rPr>
            </w:pPr>
            <w:r>
              <w:rPr>
                <w:b/>
                <w:sz w:val="20"/>
              </w:rPr>
              <w:t>Summary</w:t>
            </w:r>
            <w:r>
              <w:rPr>
                <w:b/>
                <w:spacing w:val="-14"/>
                <w:sz w:val="20"/>
              </w:rPr>
              <w:t xml:space="preserve"> </w:t>
            </w:r>
            <w:r>
              <w:rPr>
                <w:b/>
                <w:sz w:val="20"/>
              </w:rPr>
              <w:t>of</w:t>
            </w:r>
            <w:r>
              <w:rPr>
                <w:b/>
                <w:spacing w:val="-14"/>
                <w:sz w:val="20"/>
              </w:rPr>
              <w:t xml:space="preserve"> </w:t>
            </w:r>
            <w:r>
              <w:rPr>
                <w:b/>
                <w:sz w:val="20"/>
              </w:rPr>
              <w:t xml:space="preserve">Modeling </w:t>
            </w:r>
            <w:r>
              <w:rPr>
                <w:b/>
                <w:spacing w:val="-2"/>
                <w:sz w:val="20"/>
              </w:rPr>
              <w:t>Approach</w:t>
            </w:r>
          </w:p>
        </w:tc>
        <w:tc>
          <w:tcPr>
            <w:tcW w:w="1958" w:type="dxa"/>
            <w:shd w:val="clear" w:color="auto" w:fill="92D400"/>
          </w:tcPr>
          <w:p w:rsidR="00C31389" w:rsidRDefault="00561FBD" w14:paraId="6CE439D6" w14:textId="77777777">
            <w:pPr>
              <w:pStyle w:val="TableParagraph"/>
              <w:ind w:left="130" w:right="666"/>
              <w:rPr>
                <w:b/>
                <w:sz w:val="20"/>
              </w:rPr>
            </w:pPr>
            <w:r>
              <w:rPr>
                <w:b/>
                <w:sz w:val="20"/>
              </w:rPr>
              <w:t>Summary</w:t>
            </w:r>
            <w:r>
              <w:rPr>
                <w:b/>
                <w:spacing w:val="-14"/>
                <w:sz w:val="20"/>
              </w:rPr>
              <w:t xml:space="preserve"> </w:t>
            </w:r>
            <w:r>
              <w:rPr>
                <w:b/>
                <w:sz w:val="20"/>
              </w:rPr>
              <w:t xml:space="preserve">of </w:t>
            </w:r>
            <w:r>
              <w:rPr>
                <w:b/>
                <w:spacing w:val="-2"/>
                <w:sz w:val="20"/>
              </w:rPr>
              <w:t>Calibration Approach</w:t>
            </w:r>
          </w:p>
        </w:tc>
        <w:tc>
          <w:tcPr>
            <w:tcW w:w="2431" w:type="dxa"/>
            <w:shd w:val="clear" w:color="auto" w:fill="92D400"/>
          </w:tcPr>
          <w:p w:rsidR="00C31389" w:rsidRDefault="00561FBD" w14:paraId="0A8BA7EE" w14:textId="77777777">
            <w:pPr>
              <w:pStyle w:val="TableParagraph"/>
              <w:spacing w:before="155"/>
              <w:ind w:left="117"/>
              <w:rPr>
                <w:b/>
                <w:sz w:val="20"/>
              </w:rPr>
            </w:pPr>
            <w:r>
              <w:rPr>
                <w:b/>
                <w:sz w:val="20"/>
              </w:rPr>
              <w:t>Methodology Change Relative</w:t>
            </w:r>
            <w:r>
              <w:rPr>
                <w:b/>
                <w:spacing w:val="-13"/>
                <w:sz w:val="20"/>
              </w:rPr>
              <w:t xml:space="preserve"> </w:t>
            </w:r>
            <w:r>
              <w:rPr>
                <w:b/>
                <w:sz w:val="20"/>
              </w:rPr>
              <w:t>to</w:t>
            </w:r>
            <w:r>
              <w:rPr>
                <w:b/>
                <w:spacing w:val="-13"/>
                <w:sz w:val="20"/>
              </w:rPr>
              <w:t xml:space="preserve"> </w:t>
            </w:r>
            <w:r>
              <w:rPr>
                <w:b/>
                <w:sz w:val="20"/>
              </w:rPr>
              <w:t>2021</w:t>
            </w:r>
            <w:r>
              <w:rPr>
                <w:b/>
                <w:spacing w:val="-13"/>
                <w:sz w:val="20"/>
              </w:rPr>
              <w:t xml:space="preserve"> </w:t>
            </w:r>
            <w:r>
              <w:rPr>
                <w:b/>
                <w:sz w:val="20"/>
              </w:rPr>
              <w:t>Study</w:t>
            </w:r>
          </w:p>
        </w:tc>
      </w:tr>
      <w:tr w:rsidR="00C31389" w14:paraId="114C61D2" w14:textId="77777777">
        <w:trPr>
          <w:trHeight w:val="1460"/>
        </w:trPr>
        <w:tc>
          <w:tcPr>
            <w:tcW w:w="1880" w:type="dxa"/>
            <w:tcBorders>
              <w:bottom w:val="single" w:color="D9D9D9" w:sz="2" w:space="0"/>
            </w:tcBorders>
          </w:tcPr>
          <w:p w:rsidR="00C31389" w:rsidRDefault="00C31389" w14:paraId="22260C05" w14:textId="77777777">
            <w:pPr>
              <w:pStyle w:val="TableParagraph"/>
              <w:spacing w:before="6"/>
              <w:rPr>
                <w:b/>
                <w:sz w:val="23"/>
              </w:rPr>
            </w:pPr>
          </w:p>
          <w:p w:rsidR="00C31389" w:rsidRDefault="00561FBD" w14:paraId="28A7E446" w14:textId="77777777">
            <w:pPr>
              <w:pStyle w:val="TableParagraph"/>
              <w:spacing w:before="0"/>
              <w:ind w:left="129" w:right="403"/>
              <w:rPr>
                <w:b/>
                <w:sz w:val="20"/>
              </w:rPr>
            </w:pPr>
            <w:r>
              <w:rPr>
                <w:b/>
                <w:spacing w:val="-2"/>
                <w:sz w:val="20"/>
              </w:rPr>
              <w:t>Rebated technologies: multi-attribute analysis</w:t>
            </w:r>
          </w:p>
        </w:tc>
        <w:tc>
          <w:tcPr>
            <w:tcW w:w="3104" w:type="dxa"/>
            <w:tcBorders>
              <w:bottom w:val="single" w:color="D9D9D9" w:sz="2" w:space="0"/>
            </w:tcBorders>
          </w:tcPr>
          <w:p w:rsidR="00C31389" w:rsidRDefault="00561FBD" w14:paraId="4BED1DB5" w14:textId="77777777">
            <w:pPr>
              <w:pStyle w:val="TableParagraph"/>
              <w:spacing w:before="41"/>
              <w:ind w:left="138" w:right="139"/>
              <w:rPr>
                <w:sz w:val="20"/>
              </w:rPr>
            </w:pPr>
            <w:r>
              <w:rPr>
                <w:sz w:val="20"/>
              </w:rPr>
              <w:t>Bass diffusion forecast puts equipment in competition with each</w:t>
            </w:r>
            <w:r>
              <w:rPr>
                <w:spacing w:val="-12"/>
                <w:sz w:val="20"/>
              </w:rPr>
              <w:t xml:space="preserve"> </w:t>
            </w:r>
            <w:r>
              <w:rPr>
                <w:sz w:val="20"/>
              </w:rPr>
              <w:t>other</w:t>
            </w:r>
            <w:r>
              <w:rPr>
                <w:spacing w:val="-12"/>
                <w:sz w:val="20"/>
              </w:rPr>
              <w:t xml:space="preserve"> </w:t>
            </w:r>
            <w:r>
              <w:rPr>
                <w:sz w:val="20"/>
              </w:rPr>
              <w:t>using</w:t>
            </w:r>
            <w:r>
              <w:rPr>
                <w:spacing w:val="-12"/>
                <w:sz w:val="20"/>
              </w:rPr>
              <w:t xml:space="preserve"> </w:t>
            </w:r>
            <w:r>
              <w:rPr>
                <w:sz w:val="20"/>
              </w:rPr>
              <w:t xml:space="preserve">multi-attribute analysis for below </w:t>
            </w:r>
            <w:r>
              <w:rPr>
                <w:sz w:val="20"/>
              </w:rPr>
              <w:t>code, at code, FS (if applicable), and above code technologies</w:t>
            </w:r>
          </w:p>
        </w:tc>
        <w:tc>
          <w:tcPr>
            <w:tcW w:w="1958" w:type="dxa"/>
            <w:tcBorders>
              <w:bottom w:val="single" w:color="D9D9D9" w:sz="2" w:space="0"/>
            </w:tcBorders>
          </w:tcPr>
          <w:p w:rsidR="00C31389" w:rsidRDefault="00561FBD" w14:paraId="62997F25" w14:textId="77777777">
            <w:pPr>
              <w:pStyle w:val="TableParagraph"/>
              <w:spacing w:before="156"/>
              <w:ind w:left="129" w:right="135"/>
              <w:rPr>
                <w:sz w:val="20"/>
              </w:rPr>
            </w:pPr>
            <w:r>
              <w:rPr>
                <w:sz w:val="20"/>
              </w:rPr>
              <w:t>Calibrated to historical program activity</w:t>
            </w:r>
            <w:r>
              <w:rPr>
                <w:spacing w:val="-14"/>
                <w:sz w:val="20"/>
              </w:rPr>
              <w:t xml:space="preserve"> </w:t>
            </w:r>
            <w:r>
              <w:rPr>
                <w:sz w:val="20"/>
              </w:rPr>
              <w:t>and</w:t>
            </w:r>
            <w:r>
              <w:rPr>
                <w:spacing w:val="-14"/>
                <w:sz w:val="20"/>
              </w:rPr>
              <w:t xml:space="preserve"> </w:t>
            </w:r>
            <w:r>
              <w:rPr>
                <w:sz w:val="20"/>
              </w:rPr>
              <w:t>market saturation</w:t>
            </w:r>
            <w:r>
              <w:rPr>
                <w:spacing w:val="-7"/>
                <w:sz w:val="20"/>
              </w:rPr>
              <w:t xml:space="preserve"> </w:t>
            </w:r>
            <w:r>
              <w:rPr>
                <w:sz w:val="20"/>
              </w:rPr>
              <w:t>data,</w:t>
            </w:r>
            <w:r>
              <w:rPr>
                <w:spacing w:val="-8"/>
                <w:sz w:val="20"/>
              </w:rPr>
              <w:t xml:space="preserve"> </w:t>
            </w:r>
            <w:r>
              <w:rPr>
                <w:sz w:val="20"/>
              </w:rPr>
              <w:t xml:space="preserve">as </w:t>
            </w:r>
            <w:r>
              <w:rPr>
                <w:spacing w:val="-2"/>
                <w:sz w:val="20"/>
              </w:rPr>
              <w:t>appropriate</w:t>
            </w:r>
          </w:p>
        </w:tc>
        <w:tc>
          <w:tcPr>
            <w:tcW w:w="2431" w:type="dxa"/>
            <w:tcBorders>
              <w:bottom w:val="single" w:color="D9D9D9" w:sz="2" w:space="0"/>
            </w:tcBorders>
          </w:tcPr>
          <w:p w:rsidR="00C31389" w:rsidRDefault="00C31389" w14:paraId="35AF98D7" w14:textId="77777777">
            <w:pPr>
              <w:pStyle w:val="TableParagraph"/>
              <w:spacing w:before="0"/>
              <w:rPr>
                <w:b/>
              </w:rPr>
            </w:pPr>
          </w:p>
          <w:p w:rsidR="00C31389" w:rsidRDefault="00C31389" w14:paraId="2C874740" w14:textId="77777777">
            <w:pPr>
              <w:pStyle w:val="TableParagraph"/>
              <w:spacing w:before="7"/>
              <w:rPr>
                <w:b/>
                <w:sz w:val="31"/>
              </w:rPr>
            </w:pPr>
          </w:p>
          <w:p w:rsidR="00C31389" w:rsidRDefault="00561FBD" w14:paraId="5CC51F3D" w14:textId="77777777">
            <w:pPr>
              <w:pStyle w:val="TableParagraph"/>
              <w:spacing w:before="0"/>
              <w:ind w:left="116"/>
              <w:rPr>
                <w:sz w:val="20"/>
              </w:rPr>
            </w:pPr>
            <w:r>
              <w:rPr>
                <w:spacing w:val="-4"/>
                <w:sz w:val="20"/>
              </w:rPr>
              <w:t>None</w:t>
            </w:r>
          </w:p>
        </w:tc>
      </w:tr>
      <w:tr w:rsidR="00C31389" w14:paraId="74717956" w14:textId="77777777">
        <w:trPr>
          <w:trHeight w:val="2150"/>
        </w:trPr>
        <w:tc>
          <w:tcPr>
            <w:tcW w:w="1880" w:type="dxa"/>
            <w:tcBorders>
              <w:top w:val="single" w:color="D9D9D9" w:sz="2" w:space="0"/>
              <w:bottom w:val="single" w:color="D9D9D9" w:sz="2" w:space="0"/>
            </w:tcBorders>
          </w:tcPr>
          <w:p w:rsidR="00C31389" w:rsidRDefault="00C31389" w14:paraId="3A517607" w14:textId="77777777">
            <w:pPr>
              <w:pStyle w:val="TableParagraph"/>
              <w:spacing w:before="0"/>
              <w:rPr>
                <w:b/>
              </w:rPr>
            </w:pPr>
          </w:p>
          <w:p w:rsidR="00C31389" w:rsidRDefault="00C31389" w14:paraId="6229C1FC" w14:textId="77777777">
            <w:pPr>
              <w:pStyle w:val="TableParagraph"/>
              <w:spacing w:before="0"/>
              <w:rPr>
                <w:b/>
              </w:rPr>
            </w:pPr>
          </w:p>
          <w:p w:rsidR="00C31389" w:rsidRDefault="00C31389" w14:paraId="7703B969" w14:textId="77777777">
            <w:pPr>
              <w:pStyle w:val="TableParagraph"/>
              <w:spacing w:before="6"/>
              <w:rPr>
                <w:b/>
                <w:sz w:val="29"/>
              </w:rPr>
            </w:pPr>
          </w:p>
          <w:p w:rsidR="00C31389" w:rsidRDefault="00561FBD" w14:paraId="64ECDB51" w14:textId="77777777">
            <w:pPr>
              <w:pStyle w:val="TableParagraph"/>
              <w:spacing w:before="0"/>
              <w:ind w:left="129" w:right="133"/>
              <w:rPr>
                <w:b/>
                <w:sz w:val="20"/>
              </w:rPr>
            </w:pPr>
            <w:r>
              <w:rPr>
                <w:b/>
                <w:spacing w:val="-2"/>
                <w:sz w:val="20"/>
              </w:rPr>
              <w:t xml:space="preserve">Rebated </w:t>
            </w:r>
            <w:r>
              <w:rPr>
                <w:b/>
                <w:sz w:val="20"/>
              </w:rPr>
              <w:t>technologies:</w:t>
            </w:r>
            <w:r>
              <w:rPr>
                <w:b/>
                <w:spacing w:val="-14"/>
                <w:sz w:val="20"/>
              </w:rPr>
              <w:t xml:space="preserve"> </w:t>
            </w:r>
            <w:r>
              <w:rPr>
                <w:b/>
                <w:sz w:val="20"/>
              </w:rPr>
              <w:t>FS</w:t>
            </w:r>
          </w:p>
        </w:tc>
        <w:tc>
          <w:tcPr>
            <w:tcW w:w="3104" w:type="dxa"/>
            <w:tcBorders>
              <w:top w:val="single" w:color="D9D9D9" w:sz="2" w:space="0"/>
              <w:bottom w:val="single" w:color="D9D9D9" w:sz="2" w:space="0"/>
            </w:tcBorders>
          </w:tcPr>
          <w:p w:rsidR="00C31389" w:rsidRDefault="00C31389" w14:paraId="6DA69B19" w14:textId="77777777">
            <w:pPr>
              <w:pStyle w:val="TableParagraph"/>
              <w:spacing w:before="0"/>
              <w:rPr>
                <w:b/>
              </w:rPr>
            </w:pPr>
          </w:p>
          <w:p w:rsidR="00C31389" w:rsidRDefault="00C31389" w14:paraId="2B9904C5" w14:textId="77777777">
            <w:pPr>
              <w:pStyle w:val="TableParagraph"/>
              <w:spacing w:before="6"/>
              <w:rPr>
                <w:b/>
                <w:sz w:val="31"/>
              </w:rPr>
            </w:pPr>
          </w:p>
          <w:p w:rsidR="00C31389" w:rsidRDefault="00561FBD" w14:paraId="2858C89E" w14:textId="77777777">
            <w:pPr>
              <w:pStyle w:val="TableParagraph"/>
              <w:spacing w:before="1"/>
              <w:ind w:left="139" w:right="139"/>
              <w:rPr>
                <w:sz w:val="20"/>
              </w:rPr>
            </w:pPr>
            <w:r>
              <w:rPr>
                <w:sz w:val="20"/>
              </w:rPr>
              <w:t>FS equipment competes with EE equipment using the same fuel</w:t>
            </w:r>
            <w:r>
              <w:rPr>
                <w:spacing w:val="-7"/>
                <w:sz w:val="20"/>
              </w:rPr>
              <w:t xml:space="preserve"> </w:t>
            </w:r>
            <w:r>
              <w:rPr>
                <w:sz w:val="20"/>
              </w:rPr>
              <w:t>as</w:t>
            </w:r>
            <w:r>
              <w:rPr>
                <w:spacing w:val="-6"/>
                <w:sz w:val="20"/>
              </w:rPr>
              <w:t xml:space="preserve"> </w:t>
            </w:r>
            <w:r>
              <w:rPr>
                <w:sz w:val="20"/>
              </w:rPr>
              <w:t>the</w:t>
            </w:r>
            <w:r>
              <w:rPr>
                <w:spacing w:val="-7"/>
                <w:sz w:val="20"/>
              </w:rPr>
              <w:t xml:space="preserve"> </w:t>
            </w:r>
            <w:r>
              <w:rPr>
                <w:sz w:val="20"/>
              </w:rPr>
              <w:t>baseline</w:t>
            </w:r>
            <w:r>
              <w:rPr>
                <w:spacing w:val="-7"/>
                <w:sz w:val="20"/>
              </w:rPr>
              <w:t xml:space="preserve"> </w:t>
            </w:r>
            <w:r>
              <w:rPr>
                <w:sz w:val="20"/>
              </w:rPr>
              <w:t>equipment; FS</w:t>
            </w:r>
            <w:r>
              <w:rPr>
                <w:spacing w:val="-5"/>
                <w:sz w:val="20"/>
              </w:rPr>
              <w:t xml:space="preserve"> </w:t>
            </w:r>
            <w:r>
              <w:rPr>
                <w:sz w:val="20"/>
              </w:rPr>
              <w:t>includes</w:t>
            </w:r>
            <w:r>
              <w:rPr>
                <w:spacing w:val="-3"/>
                <w:sz w:val="20"/>
              </w:rPr>
              <w:t xml:space="preserve"> </w:t>
            </w:r>
            <w:r>
              <w:rPr>
                <w:sz w:val="20"/>
              </w:rPr>
              <w:t>added</w:t>
            </w:r>
            <w:r>
              <w:rPr>
                <w:spacing w:val="-4"/>
                <w:sz w:val="20"/>
              </w:rPr>
              <w:t xml:space="preserve"> </w:t>
            </w:r>
            <w:r>
              <w:rPr>
                <w:sz w:val="20"/>
              </w:rPr>
              <w:t>electric</w:t>
            </w:r>
            <w:r>
              <w:rPr>
                <w:spacing w:val="-3"/>
                <w:sz w:val="20"/>
              </w:rPr>
              <w:t xml:space="preserve"> </w:t>
            </w:r>
            <w:r>
              <w:rPr>
                <w:spacing w:val="-4"/>
                <w:sz w:val="20"/>
              </w:rPr>
              <w:t>load</w:t>
            </w:r>
          </w:p>
        </w:tc>
        <w:tc>
          <w:tcPr>
            <w:tcW w:w="1958" w:type="dxa"/>
            <w:tcBorders>
              <w:top w:val="single" w:color="D9D9D9" w:sz="2" w:space="0"/>
              <w:bottom w:val="single" w:color="D9D9D9" w:sz="2" w:space="0"/>
            </w:tcBorders>
          </w:tcPr>
          <w:p w:rsidR="00C31389" w:rsidRDefault="00C31389" w14:paraId="71152113" w14:textId="77777777">
            <w:pPr>
              <w:pStyle w:val="TableParagraph"/>
              <w:spacing w:before="6"/>
              <w:rPr>
                <w:b/>
                <w:sz w:val="23"/>
              </w:rPr>
            </w:pPr>
          </w:p>
          <w:p w:rsidR="00C31389" w:rsidRDefault="00561FBD" w14:paraId="52A2C146" w14:textId="77777777">
            <w:pPr>
              <w:pStyle w:val="TableParagraph"/>
              <w:spacing w:before="0"/>
              <w:ind w:left="130" w:right="135"/>
              <w:rPr>
                <w:sz w:val="20"/>
              </w:rPr>
            </w:pPr>
            <w:r>
              <w:rPr>
                <w:sz w:val="20"/>
              </w:rPr>
              <w:t>Calibrated to 2022 historical program activity, 2023 IOU budget</w:t>
            </w:r>
            <w:r>
              <w:rPr>
                <w:spacing w:val="-14"/>
                <w:sz w:val="20"/>
              </w:rPr>
              <w:t xml:space="preserve"> </w:t>
            </w:r>
            <w:r>
              <w:rPr>
                <w:sz w:val="20"/>
              </w:rPr>
              <w:t>filings</w:t>
            </w:r>
            <w:r>
              <w:rPr>
                <w:spacing w:val="-14"/>
                <w:sz w:val="20"/>
              </w:rPr>
              <w:t xml:space="preserve"> </w:t>
            </w:r>
            <w:r>
              <w:rPr>
                <w:sz w:val="20"/>
              </w:rPr>
              <w:t>data, and market saturation</w:t>
            </w:r>
            <w:r>
              <w:rPr>
                <w:spacing w:val="-1"/>
                <w:sz w:val="20"/>
              </w:rPr>
              <w:t xml:space="preserve"> </w:t>
            </w:r>
            <w:r>
              <w:rPr>
                <w:sz w:val="20"/>
              </w:rPr>
              <w:t>data,</w:t>
            </w:r>
            <w:r>
              <w:rPr>
                <w:spacing w:val="-2"/>
                <w:sz w:val="20"/>
              </w:rPr>
              <w:t xml:space="preserve"> </w:t>
            </w:r>
            <w:r>
              <w:rPr>
                <w:sz w:val="20"/>
              </w:rPr>
              <w:t xml:space="preserve">as </w:t>
            </w:r>
            <w:r>
              <w:rPr>
                <w:spacing w:val="-2"/>
                <w:sz w:val="20"/>
              </w:rPr>
              <w:t>appropriate</w:t>
            </w:r>
          </w:p>
        </w:tc>
        <w:tc>
          <w:tcPr>
            <w:tcW w:w="2431" w:type="dxa"/>
            <w:tcBorders>
              <w:top w:val="single" w:color="D9D9D9" w:sz="2" w:space="0"/>
              <w:bottom w:val="single" w:color="D9D9D9" w:sz="2" w:space="0"/>
            </w:tcBorders>
          </w:tcPr>
          <w:p w:rsidR="00C31389" w:rsidRDefault="00561FBD" w14:paraId="48DD7F82" w14:textId="77777777">
            <w:pPr>
              <w:pStyle w:val="TableParagraph"/>
              <w:ind w:left="117" w:right="141"/>
              <w:rPr>
                <w:sz w:val="20"/>
              </w:rPr>
            </w:pPr>
            <w:r>
              <w:rPr>
                <w:sz w:val="20"/>
              </w:rPr>
              <w:t>No specific calibration was possible for the 2021</w:t>
            </w:r>
            <w:r>
              <w:rPr>
                <w:spacing w:val="-13"/>
                <w:sz w:val="20"/>
              </w:rPr>
              <w:t xml:space="preserve"> </w:t>
            </w:r>
            <w:r>
              <w:rPr>
                <w:sz w:val="20"/>
              </w:rPr>
              <w:t>Study</w:t>
            </w:r>
            <w:r>
              <w:rPr>
                <w:spacing w:val="-12"/>
                <w:sz w:val="20"/>
              </w:rPr>
              <w:t xml:space="preserve"> </w:t>
            </w:r>
            <w:r>
              <w:rPr>
                <w:sz w:val="20"/>
              </w:rPr>
              <w:t>because</w:t>
            </w:r>
            <w:r>
              <w:rPr>
                <w:spacing w:val="-13"/>
                <w:sz w:val="20"/>
              </w:rPr>
              <w:t xml:space="preserve"> </w:t>
            </w:r>
            <w:r>
              <w:rPr>
                <w:sz w:val="20"/>
              </w:rPr>
              <w:t xml:space="preserve">this </w:t>
            </w:r>
            <w:r>
              <w:rPr>
                <w:sz w:val="20"/>
              </w:rPr>
              <w:t>savings source did not exist in historic</w:t>
            </w:r>
            <w:r>
              <w:rPr>
                <w:spacing w:val="40"/>
                <w:sz w:val="20"/>
              </w:rPr>
              <w:t xml:space="preserve"> </w:t>
            </w:r>
            <w:r>
              <w:rPr>
                <w:sz w:val="20"/>
              </w:rPr>
              <w:t>portfolios; same calibrated parameters</w:t>
            </w:r>
            <w:r>
              <w:rPr>
                <w:spacing w:val="40"/>
                <w:sz w:val="20"/>
              </w:rPr>
              <w:t xml:space="preserve"> </w:t>
            </w:r>
            <w:r>
              <w:rPr>
                <w:sz w:val="20"/>
              </w:rPr>
              <w:t>as used for EE were applied to FS</w:t>
            </w:r>
          </w:p>
        </w:tc>
      </w:tr>
      <w:tr w:rsidR="00C31389" w14:paraId="713D0466" w14:textId="77777777">
        <w:trPr>
          <w:trHeight w:val="999"/>
        </w:trPr>
        <w:tc>
          <w:tcPr>
            <w:tcW w:w="1880" w:type="dxa"/>
            <w:tcBorders>
              <w:top w:val="single" w:color="D9D9D9" w:sz="2" w:space="0"/>
              <w:bottom w:val="single" w:color="D9D9D9" w:sz="2" w:space="0"/>
            </w:tcBorders>
          </w:tcPr>
          <w:p w:rsidR="00C31389" w:rsidRDefault="00C31389" w14:paraId="4048D3A6" w14:textId="77777777">
            <w:pPr>
              <w:pStyle w:val="TableParagraph"/>
              <w:spacing w:before="6"/>
              <w:rPr>
                <w:b/>
                <w:sz w:val="23"/>
              </w:rPr>
            </w:pPr>
          </w:p>
          <w:p w:rsidR="00C31389" w:rsidRDefault="00561FBD" w14:paraId="44EC6770" w14:textId="77777777">
            <w:pPr>
              <w:pStyle w:val="TableParagraph"/>
              <w:spacing w:before="0"/>
              <w:ind w:left="129" w:right="312"/>
              <w:rPr>
                <w:b/>
                <w:sz w:val="20"/>
              </w:rPr>
            </w:pPr>
            <w:r>
              <w:rPr>
                <w:b/>
                <w:sz w:val="20"/>
              </w:rPr>
              <w:t>Whole</w:t>
            </w:r>
            <w:r>
              <w:rPr>
                <w:b/>
                <w:spacing w:val="-14"/>
                <w:sz w:val="20"/>
              </w:rPr>
              <w:t xml:space="preserve"> </w:t>
            </w:r>
            <w:r>
              <w:rPr>
                <w:b/>
                <w:sz w:val="20"/>
              </w:rPr>
              <w:t xml:space="preserve">building </w:t>
            </w:r>
            <w:r>
              <w:rPr>
                <w:b/>
                <w:spacing w:val="-2"/>
                <w:sz w:val="20"/>
              </w:rPr>
              <w:t>packages</w:t>
            </w:r>
          </w:p>
        </w:tc>
        <w:tc>
          <w:tcPr>
            <w:tcW w:w="3104" w:type="dxa"/>
            <w:tcBorders>
              <w:top w:val="single" w:color="D9D9D9" w:sz="2" w:space="0"/>
              <w:bottom w:val="single" w:color="D9D9D9" w:sz="2" w:space="0"/>
            </w:tcBorders>
          </w:tcPr>
          <w:p w:rsidR="00C31389" w:rsidRDefault="00561FBD" w14:paraId="3C490F40" w14:textId="77777777">
            <w:pPr>
              <w:pStyle w:val="TableParagraph"/>
              <w:ind w:left="139" w:right="136"/>
              <w:rPr>
                <w:sz w:val="20"/>
              </w:rPr>
            </w:pPr>
            <w:r>
              <w:rPr>
                <w:sz w:val="20"/>
              </w:rPr>
              <w:t>Bass diffusion forecast puts below</w:t>
            </w:r>
            <w:r>
              <w:rPr>
                <w:spacing w:val="-7"/>
                <w:sz w:val="20"/>
              </w:rPr>
              <w:t xml:space="preserve"> </w:t>
            </w:r>
            <w:r>
              <w:rPr>
                <w:sz w:val="20"/>
              </w:rPr>
              <w:t>code,</w:t>
            </w:r>
            <w:r>
              <w:rPr>
                <w:spacing w:val="-8"/>
                <w:sz w:val="20"/>
              </w:rPr>
              <w:t xml:space="preserve"> </w:t>
            </w:r>
            <w:r>
              <w:rPr>
                <w:sz w:val="20"/>
              </w:rPr>
              <w:t>at</w:t>
            </w:r>
            <w:r>
              <w:rPr>
                <w:spacing w:val="-8"/>
                <w:sz w:val="20"/>
              </w:rPr>
              <w:t xml:space="preserve"> </w:t>
            </w:r>
            <w:r>
              <w:rPr>
                <w:sz w:val="20"/>
              </w:rPr>
              <w:t>code,</w:t>
            </w:r>
            <w:r>
              <w:rPr>
                <w:spacing w:val="-8"/>
                <w:sz w:val="20"/>
              </w:rPr>
              <w:t xml:space="preserve"> </w:t>
            </w:r>
            <w:r>
              <w:rPr>
                <w:sz w:val="20"/>
              </w:rPr>
              <w:t>and</w:t>
            </w:r>
            <w:r>
              <w:rPr>
                <w:spacing w:val="-8"/>
                <w:sz w:val="20"/>
              </w:rPr>
              <w:t xml:space="preserve"> </w:t>
            </w:r>
            <w:r>
              <w:rPr>
                <w:sz w:val="20"/>
              </w:rPr>
              <w:t>above code technologies in competition with each other</w:t>
            </w:r>
          </w:p>
        </w:tc>
        <w:tc>
          <w:tcPr>
            <w:tcW w:w="1958" w:type="dxa"/>
            <w:tcBorders>
              <w:top w:val="single" w:color="D9D9D9" w:sz="2" w:space="0"/>
              <w:bottom w:val="single" w:color="D9D9D9" w:sz="2" w:space="0"/>
            </w:tcBorders>
          </w:tcPr>
          <w:p w:rsidR="00C31389" w:rsidRDefault="00561FBD" w14:paraId="59DAE2BD" w14:textId="77777777">
            <w:pPr>
              <w:pStyle w:val="TableParagraph"/>
              <w:spacing w:before="156"/>
              <w:ind w:left="129" w:right="233"/>
              <w:rPr>
                <w:sz w:val="20"/>
              </w:rPr>
            </w:pPr>
            <w:r>
              <w:rPr>
                <w:sz w:val="20"/>
              </w:rPr>
              <w:t>Calibra</w:t>
            </w:r>
            <w:r>
              <w:rPr>
                <w:sz w:val="20"/>
              </w:rPr>
              <w:t>ted to historical</w:t>
            </w:r>
            <w:r>
              <w:rPr>
                <w:spacing w:val="-14"/>
                <w:sz w:val="20"/>
              </w:rPr>
              <w:t xml:space="preserve"> </w:t>
            </w:r>
            <w:r>
              <w:rPr>
                <w:sz w:val="20"/>
              </w:rPr>
              <w:t xml:space="preserve">program </w:t>
            </w:r>
            <w:r>
              <w:rPr>
                <w:spacing w:val="-2"/>
                <w:sz w:val="20"/>
              </w:rPr>
              <w:t>savings</w:t>
            </w:r>
          </w:p>
        </w:tc>
        <w:tc>
          <w:tcPr>
            <w:tcW w:w="2431" w:type="dxa"/>
            <w:tcBorders>
              <w:top w:val="single" w:color="D9D9D9" w:sz="2" w:space="0"/>
              <w:bottom w:val="single" w:color="D9D9D9" w:sz="2" w:space="0"/>
            </w:tcBorders>
          </w:tcPr>
          <w:p w:rsidR="00C31389" w:rsidRDefault="00C31389" w14:paraId="3D395A5B" w14:textId="77777777">
            <w:pPr>
              <w:pStyle w:val="TableParagraph"/>
              <w:spacing w:before="0"/>
              <w:rPr>
                <w:b/>
              </w:rPr>
            </w:pPr>
          </w:p>
          <w:p w:rsidR="00C31389" w:rsidRDefault="00561FBD" w14:paraId="5C4C2BE6" w14:textId="77777777">
            <w:pPr>
              <w:pStyle w:val="TableParagraph"/>
              <w:spacing w:before="133"/>
              <w:ind w:left="117"/>
              <w:rPr>
                <w:sz w:val="20"/>
              </w:rPr>
            </w:pPr>
            <w:r>
              <w:rPr>
                <w:spacing w:val="-4"/>
                <w:sz w:val="20"/>
              </w:rPr>
              <w:t>None</w:t>
            </w:r>
          </w:p>
        </w:tc>
      </w:tr>
      <w:tr w:rsidR="00C31389" w14:paraId="6A16D2A3" w14:textId="77777777">
        <w:trPr>
          <w:trHeight w:val="1919"/>
        </w:trPr>
        <w:tc>
          <w:tcPr>
            <w:tcW w:w="1880" w:type="dxa"/>
            <w:tcBorders>
              <w:top w:val="single" w:color="D9D9D9" w:sz="2" w:space="0"/>
              <w:bottom w:val="single" w:color="D9D9D9" w:sz="2" w:space="0"/>
            </w:tcBorders>
          </w:tcPr>
          <w:p w:rsidR="00C31389" w:rsidRDefault="00C31389" w14:paraId="4CDEA1D5" w14:textId="77777777">
            <w:pPr>
              <w:pStyle w:val="TableParagraph"/>
              <w:spacing w:before="8"/>
              <w:rPr>
                <w:b/>
                <w:sz w:val="21"/>
              </w:rPr>
            </w:pPr>
          </w:p>
          <w:p w:rsidR="00C31389" w:rsidRDefault="00561FBD" w14:paraId="13F34E0F" w14:textId="77777777">
            <w:pPr>
              <w:pStyle w:val="TableParagraph"/>
              <w:spacing w:before="1" w:line="261" w:lineRule="auto"/>
              <w:ind w:left="129" w:right="403"/>
              <w:rPr>
                <w:b/>
                <w:sz w:val="20"/>
              </w:rPr>
            </w:pPr>
            <w:r>
              <w:rPr>
                <w:b/>
                <w:spacing w:val="-2"/>
                <w:sz w:val="20"/>
              </w:rPr>
              <w:t>Industrial/ agriculture custom</w:t>
            </w:r>
          </w:p>
          <w:p w:rsidR="00C31389" w:rsidRDefault="00561FBD" w14:paraId="78065B94" w14:textId="77777777">
            <w:pPr>
              <w:pStyle w:val="TableParagraph"/>
              <w:spacing w:before="0" w:line="208" w:lineRule="exact"/>
              <w:ind w:left="129"/>
              <w:rPr>
                <w:b/>
                <w:sz w:val="20"/>
              </w:rPr>
            </w:pPr>
            <w:r>
              <w:rPr>
                <w:b/>
                <w:sz w:val="20"/>
              </w:rPr>
              <w:t>measures</w:t>
            </w:r>
            <w:r>
              <w:rPr>
                <w:b/>
                <w:spacing w:val="-8"/>
                <w:sz w:val="20"/>
              </w:rPr>
              <w:t xml:space="preserve"> </w:t>
            </w:r>
            <w:r>
              <w:rPr>
                <w:b/>
                <w:spacing w:val="-5"/>
                <w:sz w:val="20"/>
              </w:rPr>
              <w:t>and</w:t>
            </w:r>
          </w:p>
          <w:p w:rsidR="00C31389" w:rsidRDefault="00561FBD" w14:paraId="26F43D92" w14:textId="77777777">
            <w:pPr>
              <w:pStyle w:val="TableParagraph"/>
              <w:spacing w:before="0"/>
              <w:ind w:left="129"/>
              <w:rPr>
                <w:b/>
                <w:sz w:val="20"/>
              </w:rPr>
            </w:pPr>
            <w:r>
              <w:rPr>
                <w:b/>
                <w:spacing w:val="-2"/>
                <w:sz w:val="20"/>
              </w:rPr>
              <w:t>emerging technologies</w:t>
            </w:r>
          </w:p>
        </w:tc>
        <w:tc>
          <w:tcPr>
            <w:tcW w:w="3104" w:type="dxa"/>
            <w:tcBorders>
              <w:top w:val="single" w:color="D9D9D9" w:sz="2" w:space="0"/>
              <w:bottom w:val="single" w:color="D9D9D9" w:sz="2" w:space="0"/>
            </w:tcBorders>
          </w:tcPr>
          <w:p w:rsidR="00C31389" w:rsidRDefault="00C31389" w14:paraId="02EAC6CF" w14:textId="77777777">
            <w:pPr>
              <w:pStyle w:val="TableParagraph"/>
              <w:spacing w:before="6"/>
              <w:rPr>
                <w:b/>
                <w:sz w:val="23"/>
              </w:rPr>
            </w:pPr>
          </w:p>
          <w:p w:rsidR="00C31389" w:rsidRDefault="00561FBD" w14:paraId="03D9B298" w14:textId="77777777">
            <w:pPr>
              <w:pStyle w:val="TableParagraph"/>
              <w:spacing w:before="0"/>
              <w:ind w:left="139" w:right="139"/>
              <w:rPr>
                <w:sz w:val="20"/>
              </w:rPr>
            </w:pPr>
            <w:r>
              <w:rPr>
                <w:sz w:val="20"/>
              </w:rPr>
              <w:t>Trend</w:t>
            </w:r>
            <w:r>
              <w:rPr>
                <w:spacing w:val="-7"/>
                <w:sz w:val="20"/>
              </w:rPr>
              <w:t xml:space="preserve"> </w:t>
            </w:r>
            <w:r>
              <w:rPr>
                <w:sz w:val="20"/>
              </w:rPr>
              <w:t>forecast</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recent IOU custom project savings in these sectors; emerging technologies</w:t>
            </w:r>
            <w:r>
              <w:rPr>
                <w:spacing w:val="-10"/>
                <w:sz w:val="20"/>
              </w:rPr>
              <w:t xml:space="preserve"> </w:t>
            </w:r>
            <w:r>
              <w:rPr>
                <w:sz w:val="20"/>
              </w:rPr>
              <w:t>ramp</w:t>
            </w:r>
            <w:r>
              <w:rPr>
                <w:spacing w:val="-10"/>
                <w:sz w:val="20"/>
              </w:rPr>
              <w:t xml:space="preserve"> </w:t>
            </w:r>
            <w:r>
              <w:rPr>
                <w:sz w:val="20"/>
              </w:rPr>
              <w:t>up</w:t>
            </w:r>
            <w:r>
              <w:rPr>
                <w:spacing w:val="-10"/>
                <w:sz w:val="20"/>
              </w:rPr>
              <w:t xml:space="preserve"> </w:t>
            </w:r>
            <w:r>
              <w:rPr>
                <w:sz w:val="20"/>
              </w:rPr>
              <w:t>based</w:t>
            </w:r>
            <w:r>
              <w:rPr>
                <w:spacing w:val="-10"/>
                <w:sz w:val="20"/>
              </w:rPr>
              <w:t xml:space="preserve"> </w:t>
            </w:r>
            <w:r>
              <w:rPr>
                <w:sz w:val="20"/>
              </w:rPr>
              <w:t xml:space="preserve">on standard market penetration </w:t>
            </w:r>
            <w:r>
              <w:rPr>
                <w:spacing w:val="-2"/>
                <w:sz w:val="20"/>
              </w:rPr>
              <w:t>trends</w:t>
            </w:r>
          </w:p>
        </w:tc>
        <w:tc>
          <w:tcPr>
            <w:tcW w:w="1958" w:type="dxa"/>
            <w:tcBorders>
              <w:top w:val="single" w:color="D9D9D9" w:sz="2" w:space="0"/>
              <w:bottom w:val="single" w:color="D9D9D9" w:sz="2" w:space="0"/>
            </w:tcBorders>
          </w:tcPr>
          <w:p w:rsidR="00C31389" w:rsidRDefault="00561FBD" w14:paraId="51A517F5" w14:textId="77777777">
            <w:pPr>
              <w:pStyle w:val="TableParagraph"/>
              <w:spacing w:before="41"/>
              <w:ind w:left="130" w:right="135"/>
              <w:rPr>
                <w:sz w:val="20"/>
              </w:rPr>
            </w:pPr>
            <w:r>
              <w:rPr>
                <w:sz w:val="20"/>
              </w:rPr>
              <w:t>Forecast is anchored</w:t>
            </w:r>
            <w:r>
              <w:rPr>
                <w:spacing w:val="-14"/>
                <w:sz w:val="20"/>
              </w:rPr>
              <w:t xml:space="preserve"> </w:t>
            </w:r>
            <w:r>
              <w:rPr>
                <w:sz w:val="20"/>
              </w:rPr>
              <w:t>in</w:t>
            </w:r>
            <w:r>
              <w:rPr>
                <w:spacing w:val="-14"/>
                <w:sz w:val="20"/>
              </w:rPr>
              <w:t xml:space="preserve"> </w:t>
            </w:r>
            <w:r>
              <w:rPr>
                <w:sz w:val="20"/>
              </w:rPr>
              <w:t xml:space="preserve">IOU program history and thus is </w:t>
            </w:r>
            <w:r>
              <w:rPr>
                <w:spacing w:val="-2"/>
                <w:sz w:val="20"/>
              </w:rPr>
              <w:t xml:space="preserve">inherently </w:t>
            </w:r>
            <w:r>
              <w:rPr>
                <w:sz w:val="20"/>
              </w:rPr>
              <w:t xml:space="preserve">calibrated to current market </w:t>
            </w:r>
            <w:r>
              <w:rPr>
                <w:spacing w:val="-2"/>
                <w:sz w:val="20"/>
              </w:rPr>
              <w:t>conditions</w:t>
            </w:r>
          </w:p>
        </w:tc>
        <w:tc>
          <w:tcPr>
            <w:tcW w:w="2431" w:type="dxa"/>
            <w:tcBorders>
              <w:top w:val="single" w:color="D9D9D9" w:sz="2" w:space="0"/>
              <w:bottom w:val="single" w:color="D9D9D9" w:sz="2" w:space="0"/>
            </w:tcBorders>
          </w:tcPr>
          <w:p w:rsidR="00C31389" w:rsidRDefault="00C31389" w14:paraId="4594FF51" w14:textId="77777777">
            <w:pPr>
              <w:pStyle w:val="TableParagraph"/>
              <w:spacing w:before="0"/>
              <w:rPr>
                <w:b/>
              </w:rPr>
            </w:pPr>
          </w:p>
          <w:p w:rsidR="00C31389" w:rsidRDefault="00C31389" w14:paraId="00139182" w14:textId="77777777">
            <w:pPr>
              <w:pStyle w:val="TableParagraph"/>
              <w:spacing w:before="0"/>
              <w:rPr>
                <w:b/>
              </w:rPr>
            </w:pPr>
          </w:p>
          <w:p w:rsidR="00C31389" w:rsidRDefault="00C31389" w14:paraId="09C1DBDB" w14:textId="77777777">
            <w:pPr>
              <w:pStyle w:val="TableParagraph"/>
              <w:spacing w:before="6"/>
              <w:rPr>
                <w:b/>
                <w:sz w:val="29"/>
              </w:rPr>
            </w:pPr>
          </w:p>
          <w:p w:rsidR="00C31389" w:rsidRDefault="00561FBD" w14:paraId="6D1C19CE" w14:textId="77777777">
            <w:pPr>
              <w:pStyle w:val="TableParagraph"/>
              <w:spacing w:before="0"/>
              <w:ind w:left="117"/>
              <w:rPr>
                <w:sz w:val="20"/>
              </w:rPr>
            </w:pPr>
            <w:r>
              <w:rPr>
                <w:spacing w:val="-4"/>
                <w:sz w:val="20"/>
              </w:rPr>
              <w:t>None</w:t>
            </w:r>
          </w:p>
        </w:tc>
      </w:tr>
      <w:tr w:rsidR="00C31389" w14:paraId="34D2B6CB" w14:textId="77777777">
        <w:trPr>
          <w:trHeight w:val="1460"/>
        </w:trPr>
        <w:tc>
          <w:tcPr>
            <w:tcW w:w="1880" w:type="dxa"/>
            <w:tcBorders>
              <w:top w:val="single" w:color="D9D9D9" w:sz="2" w:space="0"/>
              <w:bottom w:val="single" w:color="D9D9D9" w:sz="2" w:space="0"/>
            </w:tcBorders>
          </w:tcPr>
          <w:p w:rsidR="00C31389" w:rsidRDefault="00C31389" w14:paraId="089BA716" w14:textId="77777777">
            <w:pPr>
              <w:pStyle w:val="TableParagraph"/>
              <w:spacing w:before="0"/>
              <w:rPr>
                <w:b/>
              </w:rPr>
            </w:pPr>
          </w:p>
          <w:p w:rsidR="00C31389" w:rsidRDefault="00C31389" w14:paraId="5665B1BC" w14:textId="77777777">
            <w:pPr>
              <w:pStyle w:val="TableParagraph"/>
              <w:spacing w:before="6"/>
              <w:rPr>
                <w:b/>
                <w:sz w:val="31"/>
              </w:rPr>
            </w:pPr>
          </w:p>
          <w:p w:rsidR="00C31389" w:rsidRDefault="00561FBD" w14:paraId="166062B9" w14:textId="77777777">
            <w:pPr>
              <w:pStyle w:val="TableParagraph"/>
              <w:spacing w:before="1"/>
              <w:ind w:left="129"/>
              <w:rPr>
                <w:b/>
                <w:sz w:val="20"/>
              </w:rPr>
            </w:pPr>
            <w:r>
              <w:rPr>
                <w:b/>
                <w:spacing w:val="-4"/>
                <w:sz w:val="20"/>
              </w:rPr>
              <w:t>BROs</w:t>
            </w:r>
          </w:p>
        </w:tc>
        <w:tc>
          <w:tcPr>
            <w:tcW w:w="3104" w:type="dxa"/>
            <w:tcBorders>
              <w:top w:val="single" w:color="D9D9D9" w:sz="2" w:space="0"/>
              <w:bottom w:val="single" w:color="D9D9D9" w:sz="2" w:space="0"/>
            </w:tcBorders>
          </w:tcPr>
          <w:p w:rsidR="00C31389" w:rsidRDefault="00561FBD" w14:paraId="0AB81C7E" w14:textId="77777777">
            <w:pPr>
              <w:pStyle w:val="TableParagraph"/>
              <w:spacing w:before="41"/>
              <w:ind w:left="139"/>
              <w:rPr>
                <w:sz w:val="20"/>
              </w:rPr>
            </w:pPr>
            <w:r>
              <w:rPr>
                <w:sz w:val="20"/>
              </w:rPr>
              <w:t>Interventions are limited to the applicable customers and markets;</w:t>
            </w:r>
            <w:r>
              <w:rPr>
                <w:spacing w:val="-13"/>
                <w:sz w:val="20"/>
              </w:rPr>
              <w:t xml:space="preserve"> </w:t>
            </w:r>
            <w:r>
              <w:rPr>
                <w:sz w:val="20"/>
              </w:rPr>
              <w:t>for</w:t>
            </w:r>
            <w:r>
              <w:rPr>
                <w:spacing w:val="-12"/>
                <w:sz w:val="20"/>
              </w:rPr>
              <w:t xml:space="preserve"> </w:t>
            </w:r>
            <w:r>
              <w:rPr>
                <w:sz w:val="20"/>
              </w:rPr>
              <w:t>applicable</w:t>
            </w:r>
            <w:r>
              <w:rPr>
                <w:spacing w:val="-12"/>
                <w:sz w:val="20"/>
              </w:rPr>
              <w:t xml:space="preserve"> </w:t>
            </w:r>
            <w:r>
              <w:rPr>
                <w:sz w:val="20"/>
              </w:rPr>
              <w:t>markets, Guidehouse assumptions are made regarding reasonable penetration rates</w:t>
            </w:r>
          </w:p>
        </w:tc>
        <w:tc>
          <w:tcPr>
            <w:tcW w:w="1958" w:type="dxa"/>
            <w:tcBorders>
              <w:top w:val="single" w:color="D9D9D9" w:sz="2" w:space="0"/>
              <w:bottom w:val="single" w:color="D9D9D9" w:sz="2" w:space="0"/>
            </w:tcBorders>
          </w:tcPr>
          <w:p w:rsidR="00C31389" w:rsidRDefault="00561FBD" w14:paraId="5429B39C" w14:textId="77777777">
            <w:pPr>
              <w:pStyle w:val="TableParagraph"/>
              <w:spacing w:before="41"/>
              <w:ind w:left="130" w:right="265"/>
              <w:rPr>
                <w:sz w:val="20"/>
              </w:rPr>
            </w:pPr>
            <w:r>
              <w:rPr>
                <w:spacing w:val="-2"/>
                <w:sz w:val="20"/>
              </w:rPr>
              <w:t xml:space="preserve">Starting </w:t>
            </w:r>
            <w:r>
              <w:rPr>
                <w:sz w:val="20"/>
              </w:rPr>
              <w:t>penetration rates are based on current program penetration</w:t>
            </w:r>
            <w:r>
              <w:rPr>
                <w:spacing w:val="-14"/>
                <w:sz w:val="20"/>
              </w:rPr>
              <w:t xml:space="preserve"> </w:t>
            </w:r>
            <w:r>
              <w:rPr>
                <w:sz w:val="20"/>
              </w:rPr>
              <w:t>rates, as applicable</w:t>
            </w:r>
          </w:p>
        </w:tc>
        <w:tc>
          <w:tcPr>
            <w:tcW w:w="2431" w:type="dxa"/>
            <w:tcBorders>
              <w:top w:val="single" w:color="D9D9D9" w:sz="2" w:space="0"/>
              <w:bottom w:val="single" w:color="D9D9D9" w:sz="2" w:space="0"/>
            </w:tcBorders>
          </w:tcPr>
          <w:p w:rsidR="00C31389" w:rsidRDefault="00C31389" w14:paraId="5EDC5D75" w14:textId="77777777">
            <w:pPr>
              <w:pStyle w:val="TableParagraph"/>
              <w:spacing w:before="0"/>
              <w:rPr>
                <w:b/>
              </w:rPr>
            </w:pPr>
          </w:p>
          <w:p w:rsidR="00C31389" w:rsidRDefault="00C31389" w14:paraId="46FA4006" w14:textId="77777777">
            <w:pPr>
              <w:pStyle w:val="TableParagraph"/>
              <w:spacing w:before="7"/>
              <w:rPr>
                <w:b/>
                <w:sz w:val="31"/>
              </w:rPr>
            </w:pPr>
          </w:p>
          <w:p w:rsidR="00C31389" w:rsidRDefault="00561FBD" w14:paraId="0976FCF3" w14:textId="77777777">
            <w:pPr>
              <w:pStyle w:val="TableParagraph"/>
              <w:spacing w:before="0"/>
              <w:ind w:left="117"/>
              <w:rPr>
                <w:sz w:val="20"/>
              </w:rPr>
            </w:pPr>
            <w:r>
              <w:rPr>
                <w:spacing w:val="-4"/>
                <w:sz w:val="20"/>
              </w:rPr>
              <w:t>None</w:t>
            </w:r>
          </w:p>
        </w:tc>
      </w:tr>
      <w:tr w:rsidR="00C31389" w14:paraId="0235CAB7" w14:textId="77777777">
        <w:trPr>
          <w:trHeight w:val="1230"/>
        </w:trPr>
        <w:tc>
          <w:tcPr>
            <w:tcW w:w="1880" w:type="dxa"/>
            <w:tcBorders>
              <w:top w:val="single" w:color="D9D9D9" w:sz="2" w:space="0"/>
              <w:bottom w:val="single" w:color="000000" w:sz="8" w:space="0"/>
            </w:tcBorders>
          </w:tcPr>
          <w:p w:rsidR="00C31389" w:rsidRDefault="00C31389" w14:paraId="12BB4C49" w14:textId="77777777">
            <w:pPr>
              <w:pStyle w:val="TableParagraph"/>
              <w:spacing w:before="0"/>
              <w:rPr>
                <w:b/>
              </w:rPr>
            </w:pPr>
          </w:p>
          <w:p w:rsidR="00C31389" w:rsidRDefault="00C31389" w14:paraId="366A4B63" w14:textId="77777777">
            <w:pPr>
              <w:pStyle w:val="TableParagraph"/>
              <w:spacing w:before="6"/>
              <w:rPr>
                <w:b/>
                <w:sz w:val="21"/>
              </w:rPr>
            </w:pPr>
          </w:p>
          <w:p w:rsidR="00C31389" w:rsidRDefault="00561FBD" w14:paraId="26DAD7A7" w14:textId="77777777">
            <w:pPr>
              <w:pStyle w:val="TableParagraph"/>
              <w:spacing w:before="0"/>
              <w:ind w:left="129"/>
              <w:rPr>
                <w:b/>
                <w:sz w:val="20"/>
              </w:rPr>
            </w:pPr>
            <w:r>
              <w:rPr>
                <w:b/>
                <w:spacing w:val="-5"/>
                <w:sz w:val="20"/>
              </w:rPr>
              <w:t>C&amp;S</w:t>
            </w:r>
          </w:p>
        </w:tc>
        <w:tc>
          <w:tcPr>
            <w:tcW w:w="3104" w:type="dxa"/>
            <w:tcBorders>
              <w:top w:val="single" w:color="D9D9D9" w:sz="2" w:space="0"/>
              <w:bottom w:val="single" w:color="000000" w:sz="8" w:space="0"/>
            </w:tcBorders>
          </w:tcPr>
          <w:p w:rsidR="00C31389" w:rsidRDefault="00561FBD" w14:paraId="348FEE78" w14:textId="77777777">
            <w:pPr>
              <w:pStyle w:val="TableParagraph"/>
              <w:spacing w:before="155"/>
              <w:ind w:left="139" w:right="139"/>
              <w:rPr>
                <w:sz w:val="20"/>
              </w:rPr>
            </w:pPr>
            <w:r>
              <w:rPr>
                <w:sz w:val="20"/>
              </w:rPr>
              <w:t>Model</w:t>
            </w:r>
            <w:r>
              <w:rPr>
                <w:spacing w:val="-13"/>
                <w:sz w:val="20"/>
              </w:rPr>
              <w:t xml:space="preserve"> </w:t>
            </w:r>
            <w:r>
              <w:rPr>
                <w:sz w:val="20"/>
              </w:rPr>
              <w:t>replicates</w:t>
            </w:r>
            <w:r>
              <w:rPr>
                <w:spacing w:val="-12"/>
                <w:sz w:val="20"/>
              </w:rPr>
              <w:t xml:space="preserve"> </w:t>
            </w:r>
            <w:r>
              <w:rPr>
                <w:sz w:val="20"/>
              </w:rPr>
              <w:t>the</w:t>
            </w:r>
            <w:r>
              <w:rPr>
                <w:spacing w:val="-13"/>
                <w:sz w:val="20"/>
              </w:rPr>
              <w:t xml:space="preserve"> </w:t>
            </w:r>
            <w:r>
              <w:rPr>
                <w:sz w:val="20"/>
              </w:rPr>
              <w:t xml:space="preserve">algorithms of the CPUC’s Integrated Standards Savings Model </w:t>
            </w:r>
            <w:r>
              <w:rPr>
                <w:spacing w:val="-2"/>
                <w:sz w:val="20"/>
              </w:rPr>
              <w:t>(ISSM)</w:t>
            </w:r>
          </w:p>
        </w:tc>
        <w:tc>
          <w:tcPr>
            <w:tcW w:w="1958" w:type="dxa"/>
            <w:tcBorders>
              <w:top w:val="single" w:color="D9D9D9" w:sz="2" w:space="0"/>
              <w:bottom w:val="single" w:color="000000" w:sz="8" w:space="0"/>
            </w:tcBorders>
          </w:tcPr>
          <w:p w:rsidR="00C31389" w:rsidRDefault="00561FBD" w14:paraId="10BC5268" w14:textId="77777777">
            <w:pPr>
              <w:pStyle w:val="TableParagraph"/>
              <w:ind w:left="130" w:right="2"/>
              <w:rPr>
                <w:sz w:val="20"/>
              </w:rPr>
            </w:pPr>
            <w:r>
              <w:rPr>
                <w:sz w:val="20"/>
              </w:rPr>
              <w:t>Calibration not needed because evaluated results and</w:t>
            </w:r>
            <w:r>
              <w:rPr>
                <w:spacing w:val="-13"/>
                <w:sz w:val="20"/>
              </w:rPr>
              <w:t xml:space="preserve"> </w:t>
            </w:r>
            <w:r>
              <w:rPr>
                <w:sz w:val="20"/>
              </w:rPr>
              <w:t>IOU</w:t>
            </w:r>
            <w:r>
              <w:rPr>
                <w:spacing w:val="-14"/>
                <w:sz w:val="20"/>
              </w:rPr>
              <w:t xml:space="preserve"> </w:t>
            </w:r>
            <w:r>
              <w:rPr>
                <w:sz w:val="20"/>
              </w:rPr>
              <w:t>claims</w:t>
            </w:r>
            <w:r>
              <w:rPr>
                <w:spacing w:val="-12"/>
                <w:sz w:val="20"/>
              </w:rPr>
              <w:t xml:space="preserve"> </w:t>
            </w:r>
            <w:r>
              <w:rPr>
                <w:sz w:val="20"/>
              </w:rPr>
              <w:t>are directly used</w:t>
            </w:r>
          </w:p>
        </w:tc>
        <w:tc>
          <w:tcPr>
            <w:tcW w:w="2431" w:type="dxa"/>
            <w:tcBorders>
              <w:top w:val="single" w:color="D9D9D9" w:sz="2" w:space="0"/>
              <w:bottom w:val="single" w:color="000000" w:sz="8" w:space="0"/>
            </w:tcBorders>
          </w:tcPr>
          <w:p w:rsidR="00C31389" w:rsidRDefault="00C31389" w14:paraId="23B206F9" w14:textId="77777777">
            <w:pPr>
              <w:pStyle w:val="TableParagraph"/>
              <w:spacing w:before="0"/>
              <w:rPr>
                <w:b/>
              </w:rPr>
            </w:pPr>
          </w:p>
          <w:p w:rsidR="00C31389" w:rsidRDefault="00C31389" w14:paraId="7FC231DB" w14:textId="77777777">
            <w:pPr>
              <w:pStyle w:val="TableParagraph"/>
              <w:spacing w:before="6"/>
              <w:rPr>
                <w:b/>
                <w:sz w:val="21"/>
              </w:rPr>
            </w:pPr>
          </w:p>
          <w:p w:rsidR="00C31389" w:rsidRDefault="00561FBD" w14:paraId="57FF8FA0" w14:textId="77777777">
            <w:pPr>
              <w:pStyle w:val="TableParagraph"/>
              <w:spacing w:before="0"/>
              <w:ind w:left="117"/>
              <w:rPr>
                <w:sz w:val="20"/>
              </w:rPr>
            </w:pPr>
            <w:r>
              <w:rPr>
                <w:spacing w:val="-4"/>
                <w:sz w:val="20"/>
              </w:rPr>
              <w:t>None</w:t>
            </w:r>
          </w:p>
        </w:tc>
      </w:tr>
    </w:tbl>
    <w:p w:rsidR="00C31389" w:rsidRDefault="00C31389" w14:paraId="64AE7CEF" w14:textId="77777777">
      <w:pPr>
        <w:rPr>
          <w:sz w:val="20"/>
        </w:rPr>
        <w:sectPr w:rsidR="00C31389">
          <w:pgSz w:w="12240" w:h="15840"/>
          <w:pgMar w:top="1380" w:right="960" w:bottom="1120" w:left="960" w:header="397" w:footer="936" w:gutter="0"/>
          <w:cols w:space="720"/>
        </w:sectPr>
      </w:pPr>
    </w:p>
    <w:p w:rsidR="00C31389" w:rsidRDefault="00C31389" w14:paraId="14FBCE59" w14:textId="77777777">
      <w:pPr>
        <w:pStyle w:val="BodyText"/>
        <w:rPr>
          <w:b/>
        </w:rPr>
      </w:pPr>
    </w:p>
    <w:tbl>
      <w:tblPr>
        <w:tblW w:w="0" w:type="auto"/>
        <w:tblInd w:w="478" w:type="dxa"/>
        <w:tblLayout w:type="fixed"/>
        <w:tblCellMar>
          <w:left w:w="0" w:type="dxa"/>
          <w:right w:w="0" w:type="dxa"/>
        </w:tblCellMar>
        <w:tblLook w:val="01E0" w:firstRow="1" w:lastRow="1" w:firstColumn="1" w:lastColumn="1" w:noHBand="0" w:noVBand="0"/>
      </w:tblPr>
      <w:tblGrid>
        <w:gridCol w:w="1820"/>
        <w:gridCol w:w="3160"/>
        <w:gridCol w:w="1876"/>
        <w:gridCol w:w="2515"/>
      </w:tblGrid>
      <w:tr w:rsidR="00C31389" w14:paraId="4731C51B" w14:textId="77777777">
        <w:trPr>
          <w:trHeight w:val="252"/>
        </w:trPr>
        <w:tc>
          <w:tcPr>
            <w:tcW w:w="1820" w:type="dxa"/>
            <w:tcBorders>
              <w:top w:val="single" w:color="8B8B8B" w:sz="8" w:space="0"/>
            </w:tcBorders>
          </w:tcPr>
          <w:p w:rsidR="00C31389" w:rsidRDefault="00C31389" w14:paraId="1B27D791" w14:textId="77777777">
            <w:pPr>
              <w:pStyle w:val="TableParagraph"/>
              <w:spacing w:before="0"/>
              <w:rPr>
                <w:rFonts w:ascii="Times New Roman"/>
                <w:sz w:val="18"/>
              </w:rPr>
            </w:pPr>
          </w:p>
        </w:tc>
        <w:tc>
          <w:tcPr>
            <w:tcW w:w="3160" w:type="dxa"/>
            <w:tcBorders>
              <w:top w:val="single" w:color="8B8B8B" w:sz="8" w:space="0"/>
            </w:tcBorders>
          </w:tcPr>
          <w:p w:rsidR="00C31389" w:rsidRDefault="00C31389" w14:paraId="6285A818" w14:textId="77777777">
            <w:pPr>
              <w:pStyle w:val="TableParagraph"/>
              <w:spacing w:before="0"/>
              <w:rPr>
                <w:rFonts w:ascii="Times New Roman"/>
                <w:sz w:val="18"/>
              </w:rPr>
            </w:pPr>
          </w:p>
        </w:tc>
        <w:tc>
          <w:tcPr>
            <w:tcW w:w="1876" w:type="dxa"/>
            <w:tcBorders>
              <w:top w:val="single" w:color="8B8B8B" w:sz="8" w:space="0"/>
            </w:tcBorders>
          </w:tcPr>
          <w:p w:rsidR="00C31389" w:rsidRDefault="00C31389" w14:paraId="3C8E996E" w14:textId="77777777">
            <w:pPr>
              <w:pStyle w:val="TableParagraph"/>
              <w:spacing w:before="0"/>
              <w:rPr>
                <w:rFonts w:ascii="Times New Roman"/>
                <w:sz w:val="18"/>
              </w:rPr>
            </w:pPr>
          </w:p>
        </w:tc>
        <w:tc>
          <w:tcPr>
            <w:tcW w:w="2515" w:type="dxa"/>
            <w:tcBorders>
              <w:top w:val="single" w:color="8B8B8B" w:sz="8" w:space="0"/>
            </w:tcBorders>
          </w:tcPr>
          <w:p w:rsidR="00C31389" w:rsidRDefault="00C31389" w14:paraId="45A0DC57" w14:textId="77777777">
            <w:pPr>
              <w:pStyle w:val="TableParagraph"/>
              <w:spacing w:before="0"/>
              <w:rPr>
                <w:rFonts w:ascii="Times New Roman"/>
                <w:sz w:val="18"/>
              </w:rPr>
            </w:pPr>
          </w:p>
        </w:tc>
      </w:tr>
      <w:tr w:rsidR="00C31389" w14:paraId="5D475510" w14:textId="77777777">
        <w:trPr>
          <w:trHeight w:val="780"/>
        </w:trPr>
        <w:tc>
          <w:tcPr>
            <w:tcW w:w="1820" w:type="dxa"/>
            <w:shd w:val="clear" w:color="auto" w:fill="92D400"/>
          </w:tcPr>
          <w:p w:rsidR="00C31389" w:rsidRDefault="00C31389" w14:paraId="5B636BEE" w14:textId="77777777">
            <w:pPr>
              <w:pStyle w:val="TableParagraph"/>
              <w:spacing w:before="6"/>
              <w:rPr>
                <w:b/>
                <w:sz w:val="23"/>
              </w:rPr>
            </w:pPr>
          </w:p>
          <w:p w:rsidR="00C31389" w:rsidRDefault="00561FBD" w14:paraId="10308279" w14:textId="77777777">
            <w:pPr>
              <w:pStyle w:val="TableParagraph"/>
              <w:spacing w:before="0"/>
              <w:ind w:left="124"/>
              <w:rPr>
                <w:b/>
                <w:sz w:val="20"/>
              </w:rPr>
            </w:pPr>
            <w:r>
              <w:rPr>
                <w:b/>
                <w:sz w:val="20"/>
              </w:rPr>
              <w:t>Savings</w:t>
            </w:r>
            <w:r>
              <w:rPr>
                <w:b/>
                <w:spacing w:val="-7"/>
                <w:sz w:val="20"/>
              </w:rPr>
              <w:t xml:space="preserve"> </w:t>
            </w:r>
            <w:r>
              <w:rPr>
                <w:b/>
                <w:spacing w:val="-2"/>
                <w:sz w:val="20"/>
              </w:rPr>
              <w:t>Source</w:t>
            </w:r>
          </w:p>
        </w:tc>
        <w:tc>
          <w:tcPr>
            <w:tcW w:w="3160" w:type="dxa"/>
            <w:shd w:val="clear" w:color="auto" w:fill="92D400"/>
          </w:tcPr>
          <w:p w:rsidR="00C31389" w:rsidRDefault="00561FBD" w14:paraId="300A1CD9" w14:textId="77777777">
            <w:pPr>
              <w:pStyle w:val="TableParagraph"/>
              <w:spacing w:before="155"/>
              <w:ind w:left="194" w:right="7"/>
              <w:rPr>
                <w:b/>
                <w:sz w:val="20"/>
              </w:rPr>
            </w:pPr>
            <w:r>
              <w:rPr>
                <w:b/>
                <w:sz w:val="20"/>
              </w:rPr>
              <w:t>Summary</w:t>
            </w:r>
            <w:r>
              <w:rPr>
                <w:b/>
                <w:spacing w:val="-14"/>
                <w:sz w:val="20"/>
              </w:rPr>
              <w:t xml:space="preserve"> </w:t>
            </w:r>
            <w:r>
              <w:rPr>
                <w:b/>
                <w:sz w:val="20"/>
              </w:rPr>
              <w:t>of</w:t>
            </w:r>
            <w:r>
              <w:rPr>
                <w:b/>
                <w:spacing w:val="-14"/>
                <w:sz w:val="20"/>
              </w:rPr>
              <w:t xml:space="preserve"> </w:t>
            </w:r>
            <w:r>
              <w:rPr>
                <w:b/>
                <w:sz w:val="20"/>
              </w:rPr>
              <w:t xml:space="preserve">Modeling </w:t>
            </w:r>
            <w:r>
              <w:rPr>
                <w:b/>
                <w:spacing w:val="-2"/>
                <w:sz w:val="20"/>
              </w:rPr>
              <w:t>Approach</w:t>
            </w:r>
          </w:p>
        </w:tc>
        <w:tc>
          <w:tcPr>
            <w:tcW w:w="1876" w:type="dxa"/>
            <w:shd w:val="clear" w:color="auto" w:fill="92D400"/>
          </w:tcPr>
          <w:p w:rsidR="00C31389" w:rsidRDefault="00561FBD" w14:paraId="0F016FDA" w14:textId="77777777">
            <w:pPr>
              <w:pStyle w:val="TableParagraph"/>
              <w:ind w:left="128" w:right="586"/>
              <w:rPr>
                <w:b/>
                <w:sz w:val="20"/>
              </w:rPr>
            </w:pPr>
            <w:r>
              <w:rPr>
                <w:b/>
                <w:sz w:val="20"/>
              </w:rPr>
              <w:t>Summary</w:t>
            </w:r>
            <w:r>
              <w:rPr>
                <w:b/>
                <w:spacing w:val="-14"/>
                <w:sz w:val="20"/>
              </w:rPr>
              <w:t xml:space="preserve"> </w:t>
            </w:r>
            <w:r>
              <w:rPr>
                <w:b/>
                <w:sz w:val="20"/>
              </w:rPr>
              <w:t xml:space="preserve">of </w:t>
            </w:r>
            <w:r>
              <w:rPr>
                <w:b/>
                <w:spacing w:val="-2"/>
                <w:sz w:val="20"/>
              </w:rPr>
              <w:t xml:space="preserve">Calibration </w:t>
            </w:r>
            <w:r>
              <w:rPr>
                <w:b/>
                <w:spacing w:val="-2"/>
                <w:sz w:val="20"/>
              </w:rPr>
              <w:t>Approach</w:t>
            </w:r>
          </w:p>
        </w:tc>
        <w:tc>
          <w:tcPr>
            <w:tcW w:w="2515" w:type="dxa"/>
            <w:shd w:val="clear" w:color="auto" w:fill="92D400"/>
          </w:tcPr>
          <w:p w:rsidR="00C31389" w:rsidRDefault="00561FBD" w14:paraId="452CA874" w14:textId="77777777">
            <w:pPr>
              <w:pStyle w:val="TableParagraph"/>
              <w:spacing w:before="155"/>
              <w:ind w:left="198" w:right="42"/>
              <w:rPr>
                <w:b/>
                <w:sz w:val="20"/>
              </w:rPr>
            </w:pPr>
            <w:r>
              <w:rPr>
                <w:b/>
                <w:sz w:val="20"/>
              </w:rPr>
              <w:t>Methodology Change Relative</w:t>
            </w:r>
            <w:r>
              <w:rPr>
                <w:b/>
                <w:spacing w:val="-13"/>
                <w:sz w:val="20"/>
              </w:rPr>
              <w:t xml:space="preserve"> </w:t>
            </w:r>
            <w:r>
              <w:rPr>
                <w:b/>
                <w:sz w:val="20"/>
              </w:rPr>
              <w:t>to</w:t>
            </w:r>
            <w:r>
              <w:rPr>
                <w:b/>
                <w:spacing w:val="-13"/>
                <w:sz w:val="20"/>
              </w:rPr>
              <w:t xml:space="preserve"> </w:t>
            </w:r>
            <w:r>
              <w:rPr>
                <w:b/>
                <w:sz w:val="20"/>
              </w:rPr>
              <w:t>2021</w:t>
            </w:r>
            <w:r>
              <w:rPr>
                <w:b/>
                <w:spacing w:val="-13"/>
                <w:sz w:val="20"/>
              </w:rPr>
              <w:t xml:space="preserve"> </w:t>
            </w:r>
            <w:r>
              <w:rPr>
                <w:b/>
                <w:sz w:val="20"/>
              </w:rPr>
              <w:t>Study</w:t>
            </w:r>
          </w:p>
        </w:tc>
      </w:tr>
      <w:tr w:rsidR="00C31389" w14:paraId="0939388B" w14:textId="77777777">
        <w:trPr>
          <w:trHeight w:val="1224"/>
        </w:trPr>
        <w:tc>
          <w:tcPr>
            <w:tcW w:w="1820" w:type="dxa"/>
            <w:tcBorders>
              <w:bottom w:val="single" w:color="000000" w:sz="8" w:space="0"/>
            </w:tcBorders>
          </w:tcPr>
          <w:p w:rsidR="00C31389" w:rsidRDefault="00C31389" w14:paraId="1497285F" w14:textId="77777777">
            <w:pPr>
              <w:pStyle w:val="TableParagraph"/>
              <w:spacing w:before="0"/>
              <w:rPr>
                <w:b/>
              </w:rPr>
            </w:pPr>
          </w:p>
          <w:p w:rsidR="00C31389" w:rsidRDefault="00561FBD" w14:paraId="05F48B06" w14:textId="77777777">
            <w:pPr>
              <w:pStyle w:val="TableParagraph"/>
              <w:spacing w:before="127"/>
              <w:ind w:left="124" w:right="234"/>
              <w:rPr>
                <w:b/>
                <w:sz w:val="20"/>
              </w:rPr>
            </w:pPr>
            <w:r>
              <w:rPr>
                <w:b/>
                <w:sz w:val="20"/>
              </w:rPr>
              <w:t>Residential</w:t>
            </w:r>
            <w:r>
              <w:rPr>
                <w:b/>
                <w:spacing w:val="-14"/>
                <w:sz w:val="20"/>
              </w:rPr>
              <w:t xml:space="preserve"> </w:t>
            </w:r>
            <w:r>
              <w:rPr>
                <w:b/>
                <w:sz w:val="20"/>
              </w:rPr>
              <w:t xml:space="preserve">low </w:t>
            </w:r>
            <w:r>
              <w:rPr>
                <w:b/>
                <w:spacing w:val="-2"/>
                <w:sz w:val="20"/>
              </w:rPr>
              <w:t>income</w:t>
            </w:r>
          </w:p>
        </w:tc>
        <w:tc>
          <w:tcPr>
            <w:tcW w:w="3160" w:type="dxa"/>
            <w:tcBorders>
              <w:bottom w:val="single" w:color="000000" w:sz="8" w:space="0"/>
            </w:tcBorders>
          </w:tcPr>
          <w:p w:rsidR="00C31389" w:rsidRDefault="00C31389" w14:paraId="118615BD" w14:textId="77777777">
            <w:pPr>
              <w:pStyle w:val="TableParagraph"/>
              <w:spacing w:before="0"/>
              <w:rPr>
                <w:b/>
                <w:sz w:val="23"/>
              </w:rPr>
            </w:pPr>
          </w:p>
          <w:p w:rsidR="00C31389" w:rsidRDefault="00561FBD" w14:paraId="5FFC9BBF" w14:textId="77777777">
            <w:pPr>
              <w:pStyle w:val="TableParagraph"/>
              <w:spacing w:before="0"/>
              <w:ind w:left="193" w:right="7"/>
              <w:rPr>
                <w:sz w:val="20"/>
              </w:rPr>
            </w:pPr>
            <w:r>
              <w:rPr>
                <w:sz w:val="20"/>
              </w:rPr>
              <w:t>Adoption curves based on measure</w:t>
            </w:r>
            <w:r>
              <w:rPr>
                <w:spacing w:val="-9"/>
                <w:sz w:val="20"/>
              </w:rPr>
              <w:t xml:space="preserve"> </w:t>
            </w:r>
            <w:r>
              <w:rPr>
                <w:sz w:val="20"/>
              </w:rPr>
              <w:t>type</w:t>
            </w:r>
            <w:r>
              <w:rPr>
                <w:spacing w:val="-10"/>
                <w:sz w:val="20"/>
              </w:rPr>
              <w:t xml:space="preserve"> </w:t>
            </w:r>
            <w:r>
              <w:rPr>
                <w:sz w:val="20"/>
              </w:rPr>
              <w:t>and</w:t>
            </w:r>
            <w:r>
              <w:rPr>
                <w:spacing w:val="-9"/>
                <w:sz w:val="20"/>
              </w:rPr>
              <w:t xml:space="preserve"> </w:t>
            </w:r>
            <w:r>
              <w:rPr>
                <w:sz w:val="20"/>
              </w:rPr>
              <w:t>historical</w:t>
            </w:r>
            <w:r>
              <w:rPr>
                <w:spacing w:val="-9"/>
                <w:sz w:val="20"/>
              </w:rPr>
              <w:t xml:space="preserve"> </w:t>
            </w:r>
            <w:r>
              <w:rPr>
                <w:sz w:val="20"/>
              </w:rPr>
              <w:t>and planned implementation</w:t>
            </w:r>
          </w:p>
        </w:tc>
        <w:tc>
          <w:tcPr>
            <w:tcW w:w="1876" w:type="dxa"/>
            <w:tcBorders>
              <w:bottom w:val="single" w:color="000000" w:sz="8" w:space="0"/>
            </w:tcBorders>
          </w:tcPr>
          <w:p w:rsidR="00C31389" w:rsidRDefault="00561FBD" w14:paraId="78EFCF0B" w14:textId="77777777">
            <w:pPr>
              <w:pStyle w:val="TableParagraph"/>
              <w:spacing w:before="35"/>
              <w:ind w:left="128" w:right="196"/>
              <w:rPr>
                <w:sz w:val="20"/>
              </w:rPr>
            </w:pPr>
            <w:r>
              <w:rPr>
                <w:sz w:val="20"/>
              </w:rPr>
              <w:t xml:space="preserve">Calibrated to </w:t>
            </w:r>
            <w:r>
              <w:rPr>
                <w:spacing w:val="-2"/>
                <w:sz w:val="20"/>
              </w:rPr>
              <w:t xml:space="preserve">historical accomplishments </w:t>
            </w:r>
            <w:r>
              <w:rPr>
                <w:sz w:val="20"/>
              </w:rPr>
              <w:t>in 2021 for low income</w:t>
            </w:r>
            <w:r>
              <w:rPr>
                <w:spacing w:val="-14"/>
                <w:sz w:val="20"/>
              </w:rPr>
              <w:t xml:space="preserve"> </w:t>
            </w:r>
            <w:r>
              <w:rPr>
                <w:sz w:val="20"/>
              </w:rPr>
              <w:t>programs</w:t>
            </w:r>
          </w:p>
        </w:tc>
        <w:tc>
          <w:tcPr>
            <w:tcW w:w="2515" w:type="dxa"/>
            <w:tcBorders>
              <w:bottom w:val="single" w:color="000000" w:sz="8" w:space="0"/>
            </w:tcBorders>
          </w:tcPr>
          <w:p w:rsidR="00C31389" w:rsidRDefault="00561FBD" w14:paraId="22E6BEFA" w14:textId="77777777">
            <w:pPr>
              <w:pStyle w:val="TableParagraph"/>
              <w:spacing w:before="151"/>
              <w:ind w:left="197" w:right="42"/>
              <w:rPr>
                <w:sz w:val="20"/>
              </w:rPr>
            </w:pPr>
            <w:r>
              <w:rPr>
                <w:sz w:val="20"/>
              </w:rPr>
              <w:t>Includes</w:t>
            </w:r>
            <w:r>
              <w:rPr>
                <w:spacing w:val="-14"/>
                <w:sz w:val="20"/>
              </w:rPr>
              <w:t xml:space="preserve"> </w:t>
            </w:r>
            <w:r>
              <w:rPr>
                <w:sz w:val="20"/>
              </w:rPr>
              <w:t>FS</w:t>
            </w:r>
            <w:r>
              <w:rPr>
                <w:spacing w:val="-14"/>
                <w:sz w:val="20"/>
              </w:rPr>
              <w:t xml:space="preserve"> </w:t>
            </w:r>
            <w:r>
              <w:rPr>
                <w:sz w:val="20"/>
              </w:rPr>
              <w:t xml:space="preserve">measures and applied ESACET values for measure </w:t>
            </w:r>
            <w:r>
              <w:rPr>
                <w:spacing w:val="-2"/>
                <w:sz w:val="20"/>
              </w:rPr>
              <w:t>screening</w:t>
            </w:r>
          </w:p>
        </w:tc>
      </w:tr>
    </w:tbl>
    <w:p w:rsidR="00C31389" w:rsidRDefault="00561FBD" w14:paraId="733AD70D" w14:textId="77777777">
      <w:pPr>
        <w:spacing w:before="61"/>
        <w:ind w:left="480"/>
        <w:rPr>
          <w:i/>
          <w:sz w:val="18"/>
        </w:rPr>
      </w:pPr>
      <w:r>
        <w:rPr>
          <w:i/>
          <w:sz w:val="18"/>
        </w:rPr>
        <w:t>Source:</w:t>
      </w:r>
      <w:r>
        <w:rPr>
          <w:i/>
          <w:spacing w:val="-4"/>
          <w:sz w:val="18"/>
        </w:rPr>
        <w:t xml:space="preserve"> </w:t>
      </w:r>
      <w:r>
        <w:rPr>
          <w:i/>
          <w:spacing w:val="-2"/>
          <w:sz w:val="18"/>
        </w:rPr>
        <w:t>Guidehouse</w:t>
      </w:r>
    </w:p>
    <w:p w:rsidR="00C31389" w:rsidRDefault="00C31389" w14:paraId="33591485" w14:textId="77777777">
      <w:pPr>
        <w:pStyle w:val="BodyText"/>
        <w:rPr>
          <w:i/>
          <w:sz w:val="20"/>
        </w:rPr>
      </w:pPr>
    </w:p>
    <w:p w:rsidR="00C31389" w:rsidRDefault="00561FBD" w14:paraId="7B750376" w14:textId="77777777">
      <w:pPr>
        <w:pStyle w:val="Heading4"/>
        <w:numPr>
          <w:ilvl w:val="2"/>
          <w:numId w:val="71"/>
        </w:numPr>
        <w:tabs>
          <w:tab w:val="left" w:pos="1076"/>
        </w:tabs>
        <w:spacing w:before="131"/>
        <w:ind w:left="1076" w:hanging="596"/>
      </w:pPr>
      <w:bookmarkStart w:name="2.1.1_Rebated_EE_Technologies" w:id="51"/>
      <w:bookmarkStart w:name="_bookmark40" w:id="52"/>
      <w:bookmarkEnd w:id="51"/>
      <w:bookmarkEnd w:id="52"/>
      <w:r>
        <w:t>Rebated</w:t>
      </w:r>
      <w:r>
        <w:rPr>
          <w:spacing w:val="-3"/>
        </w:rPr>
        <w:t xml:space="preserve"> </w:t>
      </w:r>
      <w:r>
        <w:t>EE</w:t>
      </w:r>
      <w:r>
        <w:rPr>
          <w:spacing w:val="-2"/>
        </w:rPr>
        <w:t xml:space="preserve"> Technologies</w:t>
      </w:r>
    </w:p>
    <w:p w:rsidR="00C31389" w:rsidRDefault="00C31389" w14:paraId="5312BB34" w14:textId="77777777">
      <w:pPr>
        <w:pStyle w:val="BodyText"/>
        <w:spacing w:before="9"/>
        <w:rPr>
          <w:b/>
          <w:sz w:val="20"/>
        </w:rPr>
      </w:pPr>
    </w:p>
    <w:p w:rsidR="00C31389" w:rsidRDefault="00561FBD" w14:paraId="10A4A51E" w14:textId="77777777">
      <w:pPr>
        <w:pStyle w:val="BodyText"/>
        <w:ind w:left="480" w:right="491" w:hanging="1"/>
      </w:pPr>
      <w:r>
        <w:t xml:space="preserve">Rebated technologies make up the majority of historical program spending and lifetime savings claims. They are a core part of the forecast. The </w:t>
      </w:r>
      <w:r>
        <w:t>Guidehouse team’s approach of using a Bass diffusion</w:t>
      </w:r>
      <w:r>
        <w:rPr>
          <w:spacing w:val="-3"/>
        </w:rPr>
        <w:t xml:space="preserve"> </w:t>
      </w:r>
      <w:r>
        <w:t>model</w:t>
      </w:r>
      <w:r>
        <w:rPr>
          <w:spacing w:val="-3"/>
        </w:rPr>
        <w:t xml:space="preserve"> </w:t>
      </w:r>
      <w:r>
        <w:t>to</w:t>
      </w:r>
      <w:r>
        <w:rPr>
          <w:spacing w:val="-3"/>
        </w:rPr>
        <w:t xml:space="preserve"> </w:t>
      </w:r>
      <w:r>
        <w:t>model</w:t>
      </w:r>
      <w:r>
        <w:rPr>
          <w:spacing w:val="-3"/>
        </w:rPr>
        <w:t xml:space="preserve"> </w:t>
      </w:r>
      <w:r>
        <w:t>rebated</w:t>
      </w:r>
      <w:r>
        <w:rPr>
          <w:spacing w:val="-3"/>
        </w:rPr>
        <w:t xml:space="preserve"> </w:t>
      </w:r>
      <w:r>
        <w:t>technologies</w:t>
      </w:r>
      <w:r>
        <w:rPr>
          <w:spacing w:val="-3"/>
        </w:rPr>
        <w:t xml:space="preserve"> </w:t>
      </w:r>
      <w:r>
        <w:t>has</w:t>
      </w:r>
      <w:r>
        <w:rPr>
          <w:spacing w:val="-3"/>
        </w:rPr>
        <w:t xml:space="preserve"> </w:t>
      </w:r>
      <w:r>
        <w:t>not</w:t>
      </w:r>
      <w:r>
        <w:rPr>
          <w:spacing w:val="-3"/>
        </w:rPr>
        <w:t xml:space="preserve"> </w:t>
      </w:r>
      <w:r>
        <w:t>changed</w:t>
      </w:r>
      <w:r>
        <w:rPr>
          <w:spacing w:val="-3"/>
        </w:rPr>
        <w:t xml:space="preserve"> </w:t>
      </w:r>
      <w:r>
        <w:t>since</w:t>
      </w:r>
      <w:r>
        <w:rPr>
          <w:spacing w:val="-3"/>
        </w:rPr>
        <w:t xml:space="preserve"> </w:t>
      </w:r>
      <w:r>
        <w:t>the</w:t>
      </w:r>
      <w:r>
        <w:rPr>
          <w:spacing w:val="-3"/>
        </w:rPr>
        <w:t xml:space="preserve"> </w:t>
      </w:r>
      <w:r>
        <w:t>2021</w:t>
      </w:r>
      <w:r>
        <w:rPr>
          <w:spacing w:val="-2"/>
        </w:rPr>
        <w:t xml:space="preserve"> </w:t>
      </w:r>
      <w:r>
        <w:t>Study.</w:t>
      </w:r>
      <w:r>
        <w:rPr>
          <w:spacing w:val="-3"/>
        </w:rPr>
        <w:t xml:space="preserve"> </w:t>
      </w:r>
      <w:r>
        <w:t>However, additional features were included in the 2023 Study. This updated methodology is documented in this section.</w:t>
      </w:r>
    </w:p>
    <w:p w:rsidR="00C31389" w:rsidRDefault="00C31389" w14:paraId="175F209B" w14:textId="77777777">
      <w:pPr>
        <w:pStyle w:val="BodyText"/>
        <w:spacing w:before="3"/>
        <w:rPr>
          <w:sz w:val="31"/>
        </w:rPr>
      </w:pPr>
    </w:p>
    <w:p w:rsidR="00C31389" w:rsidRDefault="00561FBD" w14:paraId="37729055" w14:textId="77777777">
      <w:pPr>
        <w:pStyle w:val="Heading8"/>
        <w:numPr>
          <w:ilvl w:val="3"/>
          <w:numId w:val="71"/>
        </w:numPr>
        <w:tabs>
          <w:tab w:val="left" w:pos="1212"/>
        </w:tabs>
        <w:spacing w:before="1"/>
        <w:ind w:left="1212" w:hanging="732"/>
      </w:pPr>
      <w:bookmarkStart w:name="2.1.1.1_Types_of_Technologies" w:id="53"/>
      <w:bookmarkStart w:name="_bookmark41" w:id="54"/>
      <w:bookmarkEnd w:id="53"/>
      <w:bookmarkEnd w:id="54"/>
      <w:r>
        <w:t>Types</w:t>
      </w:r>
      <w:r>
        <w:rPr>
          <w:spacing w:val="-5"/>
        </w:rPr>
        <w:t xml:space="preserve"> </w:t>
      </w:r>
      <w:r>
        <w:t>of</w:t>
      </w:r>
      <w:r>
        <w:rPr>
          <w:spacing w:val="-4"/>
        </w:rPr>
        <w:t xml:space="preserve"> </w:t>
      </w:r>
      <w:r>
        <w:rPr>
          <w:spacing w:val="-2"/>
        </w:rPr>
        <w:t>Technologies</w:t>
      </w:r>
    </w:p>
    <w:p w:rsidR="00C31389" w:rsidRDefault="00C31389" w14:paraId="4117E54B" w14:textId="77777777">
      <w:pPr>
        <w:pStyle w:val="BodyText"/>
        <w:spacing w:before="10"/>
        <w:rPr>
          <w:b/>
          <w:i/>
          <w:sz w:val="20"/>
        </w:rPr>
      </w:pPr>
    </w:p>
    <w:p w:rsidR="00C31389" w:rsidRDefault="00561FBD" w14:paraId="4CC454F9" w14:textId="77777777">
      <w:pPr>
        <w:pStyle w:val="BodyText"/>
        <w:ind w:left="480" w:right="533"/>
      </w:pPr>
      <w:r>
        <w:t>The 2023 Study forecasts the adoption of more than 150 representative EE technologies. The Guidehouse team aggregates and reviews the measures in the CA eTRM, California Energy Data and Reporting System (CEDARS), and other industry sources. T</w:t>
      </w:r>
      <w:r>
        <w:t>he team filters the list down</w:t>
      </w:r>
      <w:r>
        <w:rPr>
          <w:spacing w:val="-3"/>
        </w:rPr>
        <w:t xml:space="preserve"> </w:t>
      </w:r>
      <w:r>
        <w:t>to</w:t>
      </w:r>
      <w:r>
        <w:rPr>
          <w:spacing w:val="-3"/>
        </w:rPr>
        <w:t xml:space="preserve"> </w:t>
      </w:r>
      <w:r>
        <w:t>a</w:t>
      </w:r>
      <w:r>
        <w:rPr>
          <w:spacing w:val="-3"/>
        </w:rPr>
        <w:t xml:space="preserve"> </w:t>
      </w:r>
      <w:r>
        <w:t>set</w:t>
      </w:r>
      <w:r>
        <w:rPr>
          <w:spacing w:val="-3"/>
        </w:rPr>
        <w:t xml:space="preserve"> </w:t>
      </w:r>
      <w:r>
        <w:t>of</w:t>
      </w:r>
      <w:r>
        <w:rPr>
          <w:spacing w:val="-3"/>
        </w:rPr>
        <w:t xml:space="preserve"> </w:t>
      </w:r>
      <w:r>
        <w:t>measures</w:t>
      </w:r>
      <w:r>
        <w:rPr>
          <w:spacing w:val="-3"/>
        </w:rPr>
        <w:t xml:space="preserve"> </w:t>
      </w:r>
      <w:r>
        <w:t>that</w:t>
      </w:r>
      <w:r>
        <w:rPr>
          <w:spacing w:val="-3"/>
        </w:rPr>
        <w:t xml:space="preserve"> </w:t>
      </w:r>
      <w:r>
        <w:t>are</w:t>
      </w:r>
      <w:r>
        <w:rPr>
          <w:spacing w:val="-3"/>
        </w:rPr>
        <w:t xml:space="preserve"> </w:t>
      </w:r>
      <w:r>
        <w:t>eligible</w:t>
      </w:r>
      <w:r>
        <w:rPr>
          <w:spacing w:val="-4"/>
        </w:rPr>
        <w:t xml:space="preserve"> </w:t>
      </w:r>
      <w:r>
        <w:t>in</w:t>
      </w:r>
      <w:r>
        <w:rPr>
          <w:spacing w:val="-3"/>
        </w:rPr>
        <w:t xml:space="preserve"> </w:t>
      </w:r>
      <w:r>
        <w:t>programs</w:t>
      </w:r>
      <w:r>
        <w:rPr>
          <w:spacing w:val="-3"/>
        </w:rPr>
        <w:t xml:space="preserve"> </w:t>
      </w:r>
      <w:r>
        <w:t>and</w:t>
      </w:r>
      <w:r>
        <w:rPr>
          <w:spacing w:val="-3"/>
        </w:rPr>
        <w:t xml:space="preserve"> </w:t>
      </w:r>
      <w:r>
        <w:t>may</w:t>
      </w:r>
      <w:r>
        <w:rPr>
          <w:spacing w:val="-3"/>
        </w:rPr>
        <w:t xml:space="preserve"> </w:t>
      </w:r>
      <w:r>
        <w:t>contribute</w:t>
      </w:r>
      <w:r>
        <w:rPr>
          <w:spacing w:val="-3"/>
        </w:rPr>
        <w:t xml:space="preserve"> </w:t>
      </w:r>
      <w:r>
        <w:t>savings.</w:t>
      </w:r>
      <w:r>
        <w:rPr>
          <w:spacing w:val="-4"/>
        </w:rPr>
        <w:t xml:space="preserve"> </w:t>
      </w:r>
      <w:r>
        <w:t>Measures may have multiple variations for climate zone, building type, and configurations. The study typically calculates an average across the var</w:t>
      </w:r>
      <w:r>
        <w:t>iations (weighted average, as appropriate) for a representative baseline and efficient equipment in the characterization. This process distills thousands of unique technologies into a more manageable set of representative technologies that can be character</w:t>
      </w:r>
      <w:r>
        <w:t>ized and modeled within the timeline and budget afforded to this study.</w:t>
      </w:r>
    </w:p>
    <w:p w:rsidR="00C31389" w:rsidRDefault="00C31389" w14:paraId="22FCAF6C" w14:textId="77777777">
      <w:pPr>
        <w:pStyle w:val="BodyText"/>
        <w:spacing w:before="10"/>
        <w:rPr>
          <w:sz w:val="20"/>
        </w:rPr>
      </w:pPr>
    </w:p>
    <w:p w:rsidR="00C31389" w:rsidRDefault="00561FBD" w14:paraId="52E28957" w14:textId="77777777">
      <w:pPr>
        <w:pStyle w:val="BodyText"/>
        <w:ind w:left="480" w:right="485"/>
      </w:pPr>
      <w:r>
        <w:t>Each</w:t>
      </w:r>
      <w:r>
        <w:rPr>
          <w:spacing w:val="-3"/>
        </w:rPr>
        <w:t xml:space="preserve"> </w:t>
      </w:r>
      <w:r>
        <w:t>measure</w:t>
      </w:r>
      <w:r>
        <w:rPr>
          <w:spacing w:val="-3"/>
        </w:rPr>
        <w:t xml:space="preserve"> </w:t>
      </w:r>
      <w:r>
        <w:t>can</w:t>
      </w:r>
      <w:r>
        <w:rPr>
          <w:spacing w:val="-3"/>
        </w:rPr>
        <w:t xml:space="preserve"> </w:t>
      </w:r>
      <w:r>
        <w:t>be</w:t>
      </w:r>
      <w:r>
        <w:rPr>
          <w:spacing w:val="-3"/>
        </w:rPr>
        <w:t xml:space="preserve"> </w:t>
      </w:r>
      <w:r>
        <w:t>classified</w:t>
      </w:r>
      <w:r>
        <w:rPr>
          <w:spacing w:val="-4"/>
        </w:rPr>
        <w:t xml:space="preserve"> </w:t>
      </w:r>
      <w:r>
        <w:t>into</w:t>
      </w:r>
      <w:r>
        <w:rPr>
          <w:spacing w:val="-4"/>
        </w:rPr>
        <w:t xml:space="preserve"> </w:t>
      </w:r>
      <w:r>
        <w:t>one</w:t>
      </w:r>
      <w:r>
        <w:rPr>
          <w:spacing w:val="-3"/>
        </w:rPr>
        <w:t xml:space="preserve"> </w:t>
      </w:r>
      <w:r>
        <w:t>of</w:t>
      </w:r>
      <w:r>
        <w:rPr>
          <w:spacing w:val="-3"/>
        </w:rPr>
        <w:t xml:space="preserve"> </w:t>
      </w:r>
      <w:r>
        <w:t>several</w:t>
      </w:r>
      <w:r>
        <w:rPr>
          <w:spacing w:val="-3"/>
        </w:rPr>
        <w:t xml:space="preserve"> </w:t>
      </w:r>
      <w:r>
        <w:t>broad</w:t>
      </w:r>
      <w:r>
        <w:rPr>
          <w:spacing w:val="-3"/>
        </w:rPr>
        <w:t xml:space="preserve"> </w:t>
      </w:r>
      <w:r>
        <w:t>measure</w:t>
      </w:r>
      <w:r>
        <w:rPr>
          <w:spacing w:val="-3"/>
        </w:rPr>
        <w:t xml:space="preserve"> </w:t>
      </w:r>
      <w:r>
        <w:t>types.</w:t>
      </w:r>
      <w:r>
        <w:rPr>
          <w:spacing w:val="-4"/>
        </w:rPr>
        <w:t xml:space="preserve"> </w:t>
      </w:r>
      <w:r>
        <w:t>Each</w:t>
      </w:r>
      <w:r>
        <w:rPr>
          <w:spacing w:val="-3"/>
        </w:rPr>
        <w:t xml:space="preserve"> </w:t>
      </w:r>
      <w:r>
        <w:t>measure</w:t>
      </w:r>
      <w:r>
        <w:rPr>
          <w:spacing w:val="-3"/>
        </w:rPr>
        <w:t xml:space="preserve"> </w:t>
      </w:r>
      <w:r>
        <w:t>type</w:t>
      </w:r>
      <w:r>
        <w:rPr>
          <w:spacing w:val="-3"/>
        </w:rPr>
        <w:t xml:space="preserve"> </w:t>
      </w:r>
      <w:r>
        <w:t>is treated differently when</w:t>
      </w:r>
      <w:r>
        <w:rPr>
          <w:spacing w:val="-1"/>
        </w:rPr>
        <w:t xml:space="preserve"> </w:t>
      </w:r>
      <w:r>
        <w:t>calculating cost-effectiveness, calculating energy</w:t>
      </w:r>
      <w:r>
        <w:rPr>
          <w:spacing w:val="-1"/>
        </w:rPr>
        <w:t xml:space="preserve"> </w:t>
      </w:r>
      <w:r>
        <w:t>savings</w:t>
      </w:r>
      <w:r>
        <w:rPr>
          <w:spacing w:val="-1"/>
        </w:rPr>
        <w:t xml:space="preserve"> </w:t>
      </w:r>
      <w:r>
        <w:t>relative to the baseline, and modeling consumer decisions and market adoption. These differences are discussed throughout this section. The types of measure installations are outlined below:</w:t>
      </w:r>
    </w:p>
    <w:p w:rsidR="00C31389" w:rsidRDefault="00C31389" w14:paraId="57BBB6E8" w14:textId="77777777">
      <w:pPr>
        <w:pStyle w:val="BodyText"/>
        <w:spacing w:before="9"/>
        <w:rPr>
          <w:sz w:val="20"/>
        </w:rPr>
      </w:pPr>
    </w:p>
    <w:p w:rsidR="00C31389" w:rsidRDefault="00561FBD" w14:paraId="5764B620" w14:textId="77777777">
      <w:pPr>
        <w:pStyle w:val="ListParagraph"/>
        <w:numPr>
          <w:ilvl w:val="4"/>
          <w:numId w:val="71"/>
        </w:numPr>
        <w:tabs>
          <w:tab w:val="left" w:pos="1199"/>
        </w:tabs>
        <w:ind w:right="743"/>
      </w:pPr>
      <w:r>
        <w:rPr>
          <w:b/>
        </w:rPr>
        <w:t>New</w:t>
      </w:r>
      <w:r>
        <w:rPr>
          <w:b/>
          <w:spacing w:val="-5"/>
        </w:rPr>
        <w:t xml:space="preserve"> </w:t>
      </w:r>
      <w:r>
        <w:rPr>
          <w:b/>
        </w:rPr>
        <w:t>construction</w:t>
      </w:r>
      <w:r>
        <w:rPr>
          <w:b/>
          <w:spacing w:val="-4"/>
        </w:rPr>
        <w:t xml:space="preserve"> </w:t>
      </w:r>
      <w:r>
        <w:rPr>
          <w:b/>
        </w:rPr>
        <w:t>(NEW):</w:t>
      </w:r>
      <w:r>
        <w:rPr>
          <w:b/>
          <w:spacing w:val="-4"/>
        </w:rPr>
        <w:t xml:space="preserve"> </w:t>
      </w:r>
      <w:r>
        <w:t>Equipment</w:t>
      </w:r>
      <w:r>
        <w:rPr>
          <w:spacing w:val="-4"/>
        </w:rPr>
        <w:t xml:space="preserve"> </w:t>
      </w:r>
      <w:r>
        <w:t>installed</w:t>
      </w:r>
      <w:r>
        <w:rPr>
          <w:spacing w:val="-5"/>
        </w:rPr>
        <w:t xml:space="preserve"> </w:t>
      </w:r>
      <w:r>
        <w:t>in</w:t>
      </w:r>
      <w:r>
        <w:rPr>
          <w:spacing w:val="-4"/>
        </w:rPr>
        <w:t xml:space="preserve"> </w:t>
      </w:r>
      <w:r>
        <w:t>a</w:t>
      </w:r>
      <w:r>
        <w:rPr>
          <w:spacing w:val="-4"/>
        </w:rPr>
        <w:t xml:space="preserve"> </w:t>
      </w:r>
      <w:r>
        <w:t>newly</w:t>
      </w:r>
      <w:r>
        <w:rPr>
          <w:spacing w:val="-4"/>
        </w:rPr>
        <w:t xml:space="preserve"> </w:t>
      </w:r>
      <w:r>
        <w:t>constructed</w:t>
      </w:r>
      <w:r>
        <w:rPr>
          <w:spacing w:val="-4"/>
        </w:rPr>
        <w:t xml:space="preserve"> </w:t>
      </w:r>
      <w:r>
        <w:t>building;</w:t>
      </w:r>
      <w:r>
        <w:rPr>
          <w:spacing w:val="-3"/>
        </w:rPr>
        <w:t xml:space="preserve"> </w:t>
      </w:r>
      <w:r>
        <w:t>in</w:t>
      </w:r>
      <w:r>
        <w:rPr>
          <w:spacing w:val="-5"/>
        </w:rPr>
        <w:t xml:space="preserve"> </w:t>
      </w:r>
      <w:r>
        <w:t>this situation, energy savings calculations are always relative to code.</w:t>
      </w:r>
    </w:p>
    <w:p w:rsidR="00C31389" w:rsidRDefault="00561FBD" w14:paraId="4DABCD47" w14:textId="77777777">
      <w:pPr>
        <w:pStyle w:val="Heading7"/>
        <w:numPr>
          <w:ilvl w:val="4"/>
          <w:numId w:val="71"/>
        </w:numPr>
        <w:tabs>
          <w:tab w:val="left" w:pos="1199"/>
        </w:tabs>
        <w:spacing w:before="118"/>
      </w:pPr>
      <w:r>
        <w:t>Installation</w:t>
      </w:r>
      <w:r>
        <w:rPr>
          <w:spacing w:val="-8"/>
        </w:rPr>
        <w:t xml:space="preserve"> </w:t>
      </w:r>
      <w:r>
        <w:t>in</w:t>
      </w:r>
      <w:r>
        <w:rPr>
          <w:spacing w:val="-8"/>
        </w:rPr>
        <w:t xml:space="preserve"> </w:t>
      </w:r>
      <w:r>
        <w:t>existing</w:t>
      </w:r>
      <w:r>
        <w:rPr>
          <w:spacing w:val="-7"/>
        </w:rPr>
        <w:t xml:space="preserve"> </w:t>
      </w:r>
      <w:r>
        <w:rPr>
          <w:spacing w:val="-2"/>
        </w:rPr>
        <w:t>buildings:</w:t>
      </w:r>
    </w:p>
    <w:p w:rsidR="00C31389" w:rsidRDefault="00561FBD" w14:paraId="52EF0CF6" w14:textId="77777777">
      <w:pPr>
        <w:pStyle w:val="ListParagraph"/>
        <w:numPr>
          <w:ilvl w:val="5"/>
          <w:numId w:val="71"/>
        </w:numPr>
        <w:tabs>
          <w:tab w:val="left" w:pos="1917"/>
          <w:tab w:val="left" w:pos="1919"/>
        </w:tabs>
        <w:spacing w:before="121" w:line="237" w:lineRule="auto"/>
        <w:ind w:right="561" w:hanging="361"/>
      </w:pPr>
      <w:r>
        <w:rPr>
          <w:b/>
        </w:rPr>
        <w:t xml:space="preserve">Normal replacement (NR) (i.e., replace on burnout [ROB]): </w:t>
      </w:r>
      <w:r>
        <w:t>New equipment needs</w:t>
      </w:r>
      <w:r>
        <w:rPr>
          <w:spacing w:val="-1"/>
        </w:rPr>
        <w:t xml:space="preserve"> </w:t>
      </w:r>
      <w:r>
        <w:t>to</w:t>
      </w:r>
      <w:r>
        <w:rPr>
          <w:spacing w:val="-1"/>
        </w:rPr>
        <w:t xml:space="preserve"> </w:t>
      </w:r>
      <w:r>
        <w:t>be</w:t>
      </w:r>
      <w:r>
        <w:rPr>
          <w:spacing w:val="-2"/>
        </w:rPr>
        <w:t xml:space="preserve"> </w:t>
      </w:r>
      <w:r>
        <w:t>installed</w:t>
      </w:r>
      <w:r>
        <w:rPr>
          <w:spacing w:val="-2"/>
        </w:rPr>
        <w:t xml:space="preserve"> </w:t>
      </w:r>
      <w:r>
        <w:t>to</w:t>
      </w:r>
      <w:r>
        <w:rPr>
          <w:spacing w:val="-1"/>
        </w:rPr>
        <w:t xml:space="preserve"> </w:t>
      </w:r>
      <w:r>
        <w:t>replace</w:t>
      </w:r>
      <w:r>
        <w:rPr>
          <w:spacing w:val="-1"/>
        </w:rPr>
        <w:t xml:space="preserve"> </w:t>
      </w:r>
      <w:r>
        <w:t>equipment</w:t>
      </w:r>
      <w:r>
        <w:rPr>
          <w:spacing w:val="-1"/>
        </w:rPr>
        <w:t xml:space="preserve"> </w:t>
      </w:r>
      <w:r>
        <w:t>that</w:t>
      </w:r>
      <w:r>
        <w:rPr>
          <w:spacing w:val="-1"/>
        </w:rPr>
        <w:t xml:space="preserve"> </w:t>
      </w:r>
      <w:r>
        <w:t>ha</w:t>
      </w:r>
      <w:r>
        <w:t>s</w:t>
      </w:r>
      <w:r>
        <w:rPr>
          <w:spacing w:val="-1"/>
        </w:rPr>
        <w:t xml:space="preserve"> </w:t>
      </w:r>
      <w:r>
        <w:t>reached</w:t>
      </w:r>
      <w:r>
        <w:rPr>
          <w:spacing w:val="-1"/>
        </w:rPr>
        <w:t xml:space="preserve"> </w:t>
      </w:r>
      <w:r>
        <w:t>the</w:t>
      </w:r>
      <w:r>
        <w:rPr>
          <w:spacing w:val="-1"/>
        </w:rPr>
        <w:t xml:space="preserve"> </w:t>
      </w:r>
      <w:r>
        <w:t>end</w:t>
      </w:r>
      <w:r>
        <w:rPr>
          <w:spacing w:val="-1"/>
        </w:rPr>
        <w:t xml:space="preserve"> </w:t>
      </w:r>
      <w:r>
        <w:t>of</w:t>
      </w:r>
      <w:r>
        <w:rPr>
          <w:spacing w:val="-1"/>
        </w:rPr>
        <w:t xml:space="preserve"> </w:t>
      </w:r>
      <w:r>
        <w:t>its</w:t>
      </w:r>
      <w:r>
        <w:rPr>
          <w:spacing w:val="-2"/>
        </w:rPr>
        <w:t xml:space="preserve"> </w:t>
      </w:r>
      <w:r>
        <w:t>useful life, has failed, or is no longer functional. Upon failure, normal replacement equipment</w:t>
      </w:r>
      <w:r>
        <w:rPr>
          <w:spacing w:val="-4"/>
        </w:rPr>
        <w:t xml:space="preserve"> </w:t>
      </w:r>
      <w:r>
        <w:t>is</w:t>
      </w:r>
      <w:r>
        <w:rPr>
          <w:spacing w:val="-4"/>
        </w:rPr>
        <w:t xml:space="preserve"> </w:t>
      </w:r>
      <w:r>
        <w:t>generally</w:t>
      </w:r>
      <w:r>
        <w:rPr>
          <w:spacing w:val="-5"/>
        </w:rPr>
        <w:t xml:space="preserve"> </w:t>
      </w:r>
      <w:r>
        <w:t>not</w:t>
      </w:r>
      <w:r>
        <w:rPr>
          <w:spacing w:val="-4"/>
        </w:rPr>
        <w:t xml:space="preserve"> </w:t>
      </w:r>
      <w:r>
        <w:t>repaired</w:t>
      </w:r>
      <w:r>
        <w:rPr>
          <w:spacing w:val="-4"/>
        </w:rPr>
        <w:t xml:space="preserve"> </w:t>
      </w:r>
      <w:r>
        <w:t>by</w:t>
      </w:r>
      <w:r>
        <w:rPr>
          <w:spacing w:val="-4"/>
        </w:rPr>
        <w:t xml:space="preserve"> </w:t>
      </w:r>
      <w:r>
        <w:t>the</w:t>
      </w:r>
      <w:r>
        <w:rPr>
          <w:spacing w:val="-4"/>
        </w:rPr>
        <w:t xml:space="preserve"> </w:t>
      </w:r>
      <w:r>
        <w:t>customer</w:t>
      </w:r>
      <w:r>
        <w:rPr>
          <w:spacing w:val="-4"/>
        </w:rPr>
        <w:t xml:space="preserve"> </w:t>
      </w:r>
      <w:r>
        <w:t>and</w:t>
      </w:r>
      <w:r>
        <w:rPr>
          <w:spacing w:val="-4"/>
        </w:rPr>
        <w:t xml:space="preserve"> </w:t>
      </w:r>
      <w:r>
        <w:t>is</w:t>
      </w:r>
      <w:r>
        <w:rPr>
          <w:spacing w:val="-4"/>
        </w:rPr>
        <w:t xml:space="preserve"> </w:t>
      </w:r>
      <w:r>
        <w:t>instead</w:t>
      </w:r>
      <w:r>
        <w:rPr>
          <w:spacing w:val="-4"/>
        </w:rPr>
        <w:t xml:space="preserve"> </w:t>
      </w:r>
      <w:r>
        <w:t>replaced</w:t>
      </w:r>
      <w:r>
        <w:rPr>
          <w:spacing w:val="-4"/>
        </w:rPr>
        <w:t xml:space="preserve"> </w:t>
      </w:r>
      <w:r>
        <w:t xml:space="preserve">with a new piece of equipment. Appliance standards are applicable to </w:t>
      </w:r>
      <w:r>
        <w:t>some types of normal replacement equipment and apply to all new purchases.</w:t>
      </w:r>
    </w:p>
    <w:p w:rsidR="00C31389" w:rsidRDefault="00561FBD" w14:paraId="37D10FFC" w14:textId="77777777">
      <w:pPr>
        <w:pStyle w:val="ListParagraph"/>
        <w:numPr>
          <w:ilvl w:val="5"/>
          <w:numId w:val="71"/>
        </w:numPr>
        <w:tabs>
          <w:tab w:val="left" w:pos="1919"/>
        </w:tabs>
        <w:spacing w:before="121" w:line="230" w:lineRule="auto"/>
        <w:ind w:right="500"/>
      </w:pPr>
      <w:r>
        <w:rPr>
          <w:b/>
        </w:rPr>
        <w:t xml:space="preserve">Retrofit (RET) – add-on equipment: </w:t>
      </w:r>
      <w:r>
        <w:t>New equipment installed onto an existing system, either as an additional, integrated component or to replace a component of</w:t>
      </w:r>
      <w:r>
        <w:rPr>
          <w:spacing w:val="-3"/>
        </w:rPr>
        <w:t xml:space="preserve"> </w:t>
      </w:r>
      <w:r>
        <w:t>the</w:t>
      </w:r>
      <w:r>
        <w:rPr>
          <w:spacing w:val="-3"/>
        </w:rPr>
        <w:t xml:space="preserve"> </w:t>
      </w:r>
      <w:r>
        <w:t>existing</w:t>
      </w:r>
      <w:r>
        <w:rPr>
          <w:spacing w:val="-3"/>
        </w:rPr>
        <w:t xml:space="preserve"> </w:t>
      </w:r>
      <w:r>
        <w:t>system;</w:t>
      </w:r>
      <w:r>
        <w:rPr>
          <w:spacing w:val="-3"/>
        </w:rPr>
        <w:t xml:space="preserve"> </w:t>
      </w:r>
      <w:r>
        <w:t>in</w:t>
      </w:r>
      <w:r>
        <w:rPr>
          <w:spacing w:val="-3"/>
        </w:rPr>
        <w:t xml:space="preserve"> </w:t>
      </w:r>
      <w:r>
        <w:t>either</w:t>
      </w:r>
      <w:r>
        <w:rPr>
          <w:spacing w:val="-3"/>
        </w:rPr>
        <w:t xml:space="preserve"> </w:t>
      </w:r>
      <w:r>
        <w:t>case,</w:t>
      </w:r>
      <w:r>
        <w:rPr>
          <w:spacing w:val="-3"/>
        </w:rPr>
        <w:t xml:space="preserve"> </w:t>
      </w:r>
      <w:r>
        <w:t>the</w:t>
      </w:r>
      <w:r>
        <w:rPr>
          <w:spacing w:val="-3"/>
        </w:rPr>
        <w:t xml:space="preserve"> </w:t>
      </w:r>
      <w:r>
        <w:t>primary</w:t>
      </w:r>
      <w:r>
        <w:rPr>
          <w:spacing w:val="-3"/>
        </w:rPr>
        <w:t xml:space="preserve"> </w:t>
      </w:r>
      <w:r>
        <w:t>purpose</w:t>
      </w:r>
      <w:r>
        <w:rPr>
          <w:spacing w:val="-3"/>
        </w:rPr>
        <w:t xml:space="preserve"> </w:t>
      </w:r>
      <w:r>
        <w:t>of</w:t>
      </w:r>
      <w:r>
        <w:rPr>
          <w:spacing w:val="-3"/>
        </w:rPr>
        <w:t xml:space="preserve"> </w:t>
      </w:r>
      <w:r>
        <w:t>the</w:t>
      </w:r>
      <w:r>
        <w:rPr>
          <w:spacing w:val="-3"/>
        </w:rPr>
        <w:t xml:space="preserve"> </w:t>
      </w:r>
      <w:r>
        <w:t>add-on</w:t>
      </w:r>
      <w:r>
        <w:rPr>
          <w:spacing w:val="-4"/>
        </w:rPr>
        <w:t xml:space="preserve"> </w:t>
      </w:r>
      <w:r>
        <w:t>measure</w:t>
      </w:r>
    </w:p>
    <w:p w:rsidR="00C31389" w:rsidRDefault="00C31389" w14:paraId="6A5F0F7C" w14:textId="77777777">
      <w:pPr>
        <w:spacing w:line="230" w:lineRule="auto"/>
        <w:sectPr w:rsidR="00C31389">
          <w:pgSz w:w="12240" w:h="15840"/>
          <w:pgMar w:top="1380" w:right="960" w:bottom="1120" w:left="960" w:header="397" w:footer="936" w:gutter="0"/>
          <w:cols w:space="720"/>
        </w:sectPr>
      </w:pPr>
    </w:p>
    <w:p w:rsidR="00C31389" w:rsidRDefault="00C31389" w14:paraId="5BE1F930" w14:textId="77777777">
      <w:pPr>
        <w:pStyle w:val="BodyText"/>
        <w:spacing w:before="11"/>
        <w:rPr>
          <w:sz w:val="13"/>
        </w:rPr>
      </w:pPr>
    </w:p>
    <w:p w:rsidR="00C31389" w:rsidRDefault="00561FBD" w14:paraId="07218AEC" w14:textId="77777777">
      <w:pPr>
        <w:pStyle w:val="BodyText"/>
        <w:spacing w:before="92"/>
        <w:ind w:left="1920" w:right="520"/>
      </w:pPr>
      <w:r>
        <w:t>is to improve the overall efficiency of the system. These measures cannot operate on their own as standalone equipment and are not required to operate the existing equipment o</w:t>
      </w:r>
      <w:r>
        <w:t>r building. Codes or standards may be applicable to some types of add-on measures by setting minimum efficiency levels of newly installed</w:t>
      </w:r>
      <w:r>
        <w:rPr>
          <w:spacing w:val="-3"/>
        </w:rPr>
        <w:t xml:space="preserve"> </w:t>
      </w:r>
      <w:r>
        <w:t>equipment,</w:t>
      </w:r>
      <w:r>
        <w:rPr>
          <w:spacing w:val="-3"/>
        </w:rPr>
        <w:t xml:space="preserve"> </w:t>
      </w:r>
      <w:r>
        <w:t>but</w:t>
      </w:r>
      <w:r>
        <w:rPr>
          <w:spacing w:val="-3"/>
        </w:rPr>
        <w:t xml:space="preserve"> </w:t>
      </w:r>
      <w:r>
        <w:t>the</w:t>
      </w:r>
      <w:r>
        <w:rPr>
          <w:spacing w:val="-3"/>
        </w:rPr>
        <w:t xml:space="preserve"> </w:t>
      </w:r>
      <w:r>
        <w:t>codes</w:t>
      </w:r>
      <w:r>
        <w:rPr>
          <w:spacing w:val="-3"/>
        </w:rPr>
        <w:t xml:space="preserve"> </w:t>
      </w:r>
      <w:r>
        <w:t>or</w:t>
      </w:r>
      <w:r>
        <w:rPr>
          <w:spacing w:val="-3"/>
        </w:rPr>
        <w:t xml:space="preserve"> </w:t>
      </w:r>
      <w:r>
        <w:t>standards</w:t>
      </w:r>
      <w:r>
        <w:rPr>
          <w:spacing w:val="-4"/>
        </w:rPr>
        <w:t xml:space="preserve"> </w:t>
      </w:r>
      <w:r>
        <w:t>do</w:t>
      </w:r>
      <w:r>
        <w:rPr>
          <w:spacing w:val="-3"/>
        </w:rPr>
        <w:t xml:space="preserve"> </w:t>
      </w:r>
      <w:r>
        <w:t>not</w:t>
      </w:r>
      <w:r>
        <w:rPr>
          <w:spacing w:val="-3"/>
        </w:rPr>
        <w:t xml:space="preserve"> </w:t>
      </w:r>
      <w:r>
        <w:t>require</w:t>
      </w:r>
      <w:r>
        <w:rPr>
          <w:spacing w:val="-3"/>
        </w:rPr>
        <w:t xml:space="preserve"> </w:t>
      </w:r>
      <w:r>
        <w:t>the</w:t>
      </w:r>
      <w:r>
        <w:rPr>
          <w:spacing w:val="-3"/>
        </w:rPr>
        <w:t xml:space="preserve"> </w:t>
      </w:r>
      <w:r>
        <w:t>measure</w:t>
      </w:r>
      <w:r>
        <w:rPr>
          <w:spacing w:val="-3"/>
        </w:rPr>
        <w:t xml:space="preserve"> </w:t>
      </w:r>
      <w:r>
        <w:t>to</w:t>
      </w:r>
      <w:r>
        <w:rPr>
          <w:spacing w:val="-3"/>
        </w:rPr>
        <w:t xml:space="preserve"> </w:t>
      </w:r>
      <w:r>
        <w:t xml:space="preserve">be </w:t>
      </w:r>
      <w:r>
        <w:rPr>
          <w:spacing w:val="-2"/>
        </w:rPr>
        <w:t>installed.</w:t>
      </w:r>
    </w:p>
    <w:p w:rsidR="00C31389" w:rsidRDefault="00561FBD" w14:paraId="2CDB231A" w14:textId="77777777">
      <w:pPr>
        <w:pStyle w:val="ListParagraph"/>
        <w:numPr>
          <w:ilvl w:val="5"/>
          <w:numId w:val="71"/>
        </w:numPr>
        <w:tabs>
          <w:tab w:val="left" w:pos="1918"/>
          <w:tab w:val="left" w:pos="1920"/>
        </w:tabs>
        <w:spacing w:before="124" w:line="235" w:lineRule="auto"/>
        <w:ind w:left="1920" w:right="634" w:hanging="361"/>
      </w:pPr>
      <w:r>
        <w:rPr>
          <w:b/>
        </w:rPr>
        <w:t>Retrofit (RET) – accelerated replace</w:t>
      </w:r>
      <w:r>
        <w:rPr>
          <w:b/>
        </w:rPr>
        <w:t xml:space="preserve">ment: </w:t>
      </w:r>
      <w:r>
        <w:t>These EE equipment are installed to replace previously existing equipment that has either not failed or is past the end of its EUL but is not compromising use of the building (such as insulation and water fixtures). Many of these installations are su</w:t>
      </w:r>
      <w:r>
        <w:t>bject to building code, but upgrades</w:t>
      </w:r>
      <w:r>
        <w:rPr>
          <w:spacing w:val="-4"/>
        </w:rPr>
        <w:t xml:space="preserve"> </w:t>
      </w:r>
      <w:r>
        <w:t>are</w:t>
      </w:r>
      <w:r>
        <w:rPr>
          <w:spacing w:val="-4"/>
        </w:rPr>
        <w:t xml:space="preserve"> </w:t>
      </w:r>
      <w:r>
        <w:t>not</w:t>
      </w:r>
      <w:r>
        <w:rPr>
          <w:spacing w:val="-4"/>
        </w:rPr>
        <w:t xml:space="preserve"> </w:t>
      </w:r>
      <w:r>
        <w:t>always</w:t>
      </w:r>
      <w:r>
        <w:rPr>
          <w:spacing w:val="-5"/>
        </w:rPr>
        <w:t xml:space="preserve"> </w:t>
      </w:r>
      <w:r>
        <w:t>required</w:t>
      </w:r>
      <w:r>
        <w:rPr>
          <w:spacing w:val="-4"/>
        </w:rPr>
        <w:t xml:space="preserve"> </w:t>
      </w:r>
      <w:r>
        <w:t>by</w:t>
      </w:r>
      <w:r>
        <w:rPr>
          <w:spacing w:val="-5"/>
        </w:rPr>
        <w:t xml:space="preserve"> </w:t>
      </w:r>
      <w:r>
        <w:t>code</w:t>
      </w:r>
      <w:r>
        <w:rPr>
          <w:spacing w:val="-4"/>
        </w:rPr>
        <w:t xml:space="preserve"> </w:t>
      </w:r>
      <w:r>
        <w:t>until</w:t>
      </w:r>
      <w:r>
        <w:rPr>
          <w:spacing w:val="-4"/>
        </w:rPr>
        <w:t xml:space="preserve"> </w:t>
      </w:r>
      <w:r>
        <w:t>a</w:t>
      </w:r>
      <w:r>
        <w:rPr>
          <w:spacing w:val="-5"/>
        </w:rPr>
        <w:t xml:space="preserve"> </w:t>
      </w:r>
      <w:r>
        <w:t>major</w:t>
      </w:r>
      <w:r>
        <w:rPr>
          <w:spacing w:val="-4"/>
        </w:rPr>
        <w:t xml:space="preserve"> </w:t>
      </w:r>
      <w:r>
        <w:t>building</w:t>
      </w:r>
      <w:r>
        <w:rPr>
          <w:spacing w:val="-4"/>
        </w:rPr>
        <w:t xml:space="preserve"> </w:t>
      </w:r>
      <w:r>
        <w:t>renovation</w:t>
      </w:r>
      <w:r>
        <w:rPr>
          <w:spacing w:val="-4"/>
        </w:rPr>
        <w:t xml:space="preserve"> </w:t>
      </w:r>
      <w:r>
        <w:t>(and even then, some may not be required).</w:t>
      </w:r>
    </w:p>
    <w:p w:rsidR="00C31389" w:rsidRDefault="00C31389" w14:paraId="6DDE6C17" w14:textId="77777777">
      <w:pPr>
        <w:pStyle w:val="BodyText"/>
        <w:spacing w:before="11"/>
        <w:rPr>
          <w:sz w:val="31"/>
        </w:rPr>
      </w:pPr>
    </w:p>
    <w:p w:rsidR="00C31389" w:rsidRDefault="00561FBD" w14:paraId="08E5B1C9" w14:textId="77777777">
      <w:pPr>
        <w:pStyle w:val="Heading8"/>
        <w:numPr>
          <w:ilvl w:val="3"/>
          <w:numId w:val="71"/>
        </w:numPr>
        <w:tabs>
          <w:tab w:val="left" w:pos="1212"/>
        </w:tabs>
        <w:ind w:left="1212" w:hanging="732"/>
      </w:pPr>
      <w:bookmarkStart w:name="2.1.1.2_Technology_Groups,_Efficiency_Le" w:id="55"/>
      <w:bookmarkStart w:name="_bookmark42" w:id="56"/>
      <w:bookmarkEnd w:id="55"/>
      <w:bookmarkEnd w:id="56"/>
      <w:r>
        <w:t>Technology</w:t>
      </w:r>
      <w:r>
        <w:rPr>
          <w:spacing w:val="-10"/>
        </w:rPr>
        <w:t xml:space="preserve"> </w:t>
      </w:r>
      <w:r>
        <w:t>Groups,</w:t>
      </w:r>
      <w:r>
        <w:rPr>
          <w:spacing w:val="-8"/>
        </w:rPr>
        <w:t xml:space="preserve"> </w:t>
      </w:r>
      <w:r>
        <w:t>Efficiency</w:t>
      </w:r>
      <w:r>
        <w:rPr>
          <w:spacing w:val="-9"/>
        </w:rPr>
        <w:t xml:space="preserve"> </w:t>
      </w:r>
      <w:r>
        <w:t>Levels,</w:t>
      </w:r>
      <w:r>
        <w:rPr>
          <w:spacing w:val="-9"/>
        </w:rPr>
        <w:t xml:space="preserve"> </w:t>
      </w:r>
      <w:r>
        <w:t>and</w:t>
      </w:r>
      <w:r>
        <w:rPr>
          <w:spacing w:val="-9"/>
        </w:rPr>
        <w:t xml:space="preserve"> </w:t>
      </w:r>
      <w:r>
        <w:rPr>
          <w:spacing w:val="-2"/>
        </w:rPr>
        <w:t>Competition</w:t>
      </w:r>
    </w:p>
    <w:p w:rsidR="00C31389" w:rsidRDefault="00C31389" w14:paraId="6EE21035" w14:textId="77777777">
      <w:pPr>
        <w:pStyle w:val="BodyText"/>
        <w:spacing w:before="9"/>
        <w:rPr>
          <w:b/>
          <w:i/>
          <w:sz w:val="20"/>
        </w:rPr>
      </w:pPr>
    </w:p>
    <w:p w:rsidR="00C31389" w:rsidRDefault="00561FBD" w14:paraId="7194B730" w14:textId="77777777">
      <w:pPr>
        <w:pStyle w:val="BodyText"/>
        <w:ind w:left="480" w:right="485"/>
      </w:pPr>
      <w:r>
        <w:t>Within each technology type, multiple groups of technologies are formed and characterized. A technology group consists of multiple levels of efficiency of the same technology. Technologies within a technology group compete for installations. A technology g</w:t>
      </w:r>
      <w:r>
        <w:t xml:space="preserve">roup is a set of technologies that compete, sometimes called a competition group (CG). </w:t>
      </w:r>
      <w:hyperlink w:history="1" w:anchor="_bookmark43">
        <w:r>
          <w:t>Figure 2-1</w:t>
        </w:r>
      </w:hyperlink>
      <w:r>
        <w:t xml:space="preserve"> provides an example of technology</w:t>
      </w:r>
      <w:r>
        <w:rPr>
          <w:spacing w:val="-1"/>
        </w:rPr>
        <w:t xml:space="preserve"> </w:t>
      </w:r>
      <w:r>
        <w:t>groups. The</w:t>
      </w:r>
      <w:r>
        <w:rPr>
          <w:spacing w:val="-1"/>
        </w:rPr>
        <w:t xml:space="preserve"> </w:t>
      </w:r>
      <w:r>
        <w:t>individual technologies</w:t>
      </w:r>
      <w:r>
        <w:rPr>
          <w:spacing w:val="-1"/>
        </w:rPr>
        <w:t xml:space="preserve"> </w:t>
      </w:r>
      <w:r>
        <w:t>characterized</w:t>
      </w:r>
      <w:r>
        <w:rPr>
          <w:spacing w:val="-1"/>
        </w:rPr>
        <w:t xml:space="preserve"> </w:t>
      </w:r>
      <w:r>
        <w:t>within eac</w:t>
      </w:r>
      <w:r>
        <w:t>h</w:t>
      </w:r>
      <w:r>
        <w:rPr>
          <w:spacing w:val="-1"/>
        </w:rPr>
        <w:t xml:space="preserve"> </w:t>
      </w:r>
      <w:r>
        <w:t>group are designed to capture</w:t>
      </w:r>
      <w:r>
        <w:rPr>
          <w:spacing w:val="-3"/>
        </w:rPr>
        <w:t xml:space="preserve"> </w:t>
      </w:r>
      <w:r>
        <w:t>varied</w:t>
      </w:r>
      <w:r>
        <w:rPr>
          <w:spacing w:val="-3"/>
        </w:rPr>
        <w:t xml:space="preserve"> </w:t>
      </w:r>
      <w:r>
        <w:t>efficiency</w:t>
      </w:r>
      <w:r>
        <w:rPr>
          <w:spacing w:val="-4"/>
        </w:rPr>
        <w:t xml:space="preserve"> </w:t>
      </w:r>
      <w:r>
        <w:t>levels</w:t>
      </w:r>
      <w:r>
        <w:rPr>
          <w:spacing w:val="-4"/>
        </w:rPr>
        <w:t xml:space="preserve"> </w:t>
      </w:r>
      <w:r>
        <w:t>including</w:t>
      </w:r>
      <w:r>
        <w:rPr>
          <w:spacing w:val="-3"/>
        </w:rPr>
        <w:t xml:space="preserve"> </w:t>
      </w:r>
      <w:r>
        <w:t>below</w:t>
      </w:r>
      <w:r>
        <w:rPr>
          <w:spacing w:val="-4"/>
        </w:rPr>
        <w:t xml:space="preserve"> </w:t>
      </w:r>
      <w:r>
        <w:t>code</w:t>
      </w:r>
      <w:r>
        <w:rPr>
          <w:spacing w:val="-3"/>
        </w:rPr>
        <w:t xml:space="preserve"> </w:t>
      </w:r>
      <w:r>
        <w:t>units,</w:t>
      </w:r>
      <w:r>
        <w:rPr>
          <w:spacing w:val="-3"/>
        </w:rPr>
        <w:t xml:space="preserve"> </w:t>
      </w:r>
      <w:r>
        <w:t>at</w:t>
      </w:r>
      <w:r>
        <w:rPr>
          <w:spacing w:val="-4"/>
        </w:rPr>
        <w:t xml:space="preserve"> </w:t>
      </w:r>
      <w:r>
        <w:t>code</w:t>
      </w:r>
      <w:r>
        <w:rPr>
          <w:spacing w:val="-3"/>
        </w:rPr>
        <w:t xml:space="preserve"> </w:t>
      </w:r>
      <w:r>
        <w:t>units,</w:t>
      </w:r>
      <w:r>
        <w:rPr>
          <w:spacing w:val="-4"/>
        </w:rPr>
        <w:t xml:space="preserve"> </w:t>
      </w:r>
      <w:r>
        <w:t>and</w:t>
      </w:r>
      <w:r>
        <w:rPr>
          <w:spacing w:val="-3"/>
        </w:rPr>
        <w:t xml:space="preserve"> </w:t>
      </w:r>
      <w:r>
        <w:t>one</w:t>
      </w:r>
      <w:r>
        <w:rPr>
          <w:spacing w:val="-3"/>
        </w:rPr>
        <w:t xml:space="preserve"> </w:t>
      </w:r>
      <w:r>
        <w:t>or</w:t>
      </w:r>
      <w:r>
        <w:rPr>
          <w:spacing w:val="-3"/>
        </w:rPr>
        <w:t xml:space="preserve"> </w:t>
      </w:r>
      <w:r>
        <w:t>more</w:t>
      </w:r>
      <w:r>
        <w:rPr>
          <w:spacing w:val="-3"/>
        </w:rPr>
        <w:t xml:space="preserve"> </w:t>
      </w:r>
      <w:r>
        <w:t>levels of high efficiency units, and (where appropriate) FS technologies (discussed further in</w:t>
      </w:r>
    </w:p>
    <w:p w:rsidR="00C31389" w:rsidRDefault="00561FBD" w14:paraId="7144A90A" w14:textId="77777777">
      <w:pPr>
        <w:pStyle w:val="BodyText"/>
        <w:spacing w:before="1"/>
        <w:ind w:left="480" w:right="533" w:hanging="1"/>
      </w:pPr>
      <w:r>
        <w:t>Section</w:t>
      </w:r>
      <w:r>
        <w:rPr>
          <w:spacing w:val="-3"/>
        </w:rPr>
        <w:t xml:space="preserve"> </w:t>
      </w:r>
      <w:hyperlink w:history="1" w:anchor="_bookmark65">
        <w:r>
          <w:t>2.1.2</w:t>
        </w:r>
      </w:hyperlink>
      <w:r>
        <w:t>).</w:t>
      </w:r>
      <w:r>
        <w:rPr>
          <w:spacing w:val="-3"/>
        </w:rPr>
        <w:t xml:space="preserve"> </w:t>
      </w:r>
      <w:r>
        <w:t>For</w:t>
      </w:r>
      <w:r>
        <w:rPr>
          <w:spacing w:val="-3"/>
        </w:rPr>
        <w:t xml:space="preserve"> </w:t>
      </w:r>
      <w:r>
        <w:t>technology</w:t>
      </w:r>
      <w:r>
        <w:rPr>
          <w:spacing w:val="-3"/>
        </w:rPr>
        <w:t xml:space="preserve"> </w:t>
      </w:r>
      <w:r>
        <w:t>groups</w:t>
      </w:r>
      <w:r>
        <w:rPr>
          <w:spacing w:val="-3"/>
        </w:rPr>
        <w:t xml:space="preserve"> </w:t>
      </w:r>
      <w:r>
        <w:t>with</w:t>
      </w:r>
      <w:r>
        <w:rPr>
          <w:spacing w:val="-3"/>
        </w:rPr>
        <w:t xml:space="preserve"> </w:t>
      </w:r>
      <w:r>
        <w:t>FS</w:t>
      </w:r>
      <w:r>
        <w:rPr>
          <w:spacing w:val="-3"/>
        </w:rPr>
        <w:t xml:space="preserve"> </w:t>
      </w:r>
      <w:r>
        <w:t>levels,</w:t>
      </w:r>
      <w:r>
        <w:rPr>
          <w:spacing w:val="-3"/>
        </w:rPr>
        <w:t xml:space="preserve"> </w:t>
      </w:r>
      <w:r>
        <w:t>the</w:t>
      </w:r>
      <w:r>
        <w:rPr>
          <w:spacing w:val="-3"/>
        </w:rPr>
        <w:t xml:space="preserve"> </w:t>
      </w:r>
      <w:r>
        <w:t>FS</w:t>
      </w:r>
      <w:r>
        <w:rPr>
          <w:spacing w:val="-4"/>
        </w:rPr>
        <w:t xml:space="preserve"> </w:t>
      </w:r>
      <w:r>
        <w:t>involves</w:t>
      </w:r>
      <w:r>
        <w:rPr>
          <w:spacing w:val="-4"/>
        </w:rPr>
        <w:t xml:space="preserve"> </w:t>
      </w:r>
      <w:r>
        <w:t>replacing</w:t>
      </w:r>
      <w:r>
        <w:rPr>
          <w:spacing w:val="-3"/>
        </w:rPr>
        <w:t xml:space="preserve"> </w:t>
      </w:r>
      <w:r>
        <w:t>a</w:t>
      </w:r>
      <w:r>
        <w:rPr>
          <w:spacing w:val="-3"/>
        </w:rPr>
        <w:t xml:space="preserve"> </w:t>
      </w:r>
      <w:r>
        <w:t>gas</w:t>
      </w:r>
      <w:r>
        <w:rPr>
          <w:spacing w:val="-3"/>
        </w:rPr>
        <w:t xml:space="preserve"> </w:t>
      </w:r>
      <w:r>
        <w:t>baseline technology with an electric efficient technology. The electric technology competes with high efficiency gas technologies.</w:t>
      </w:r>
    </w:p>
    <w:p w:rsidR="00C31389" w:rsidRDefault="00C31389" w14:paraId="7215E788" w14:textId="77777777">
      <w:pPr>
        <w:pStyle w:val="BodyText"/>
        <w:spacing w:before="10"/>
        <w:rPr>
          <w:sz w:val="20"/>
        </w:rPr>
      </w:pPr>
    </w:p>
    <w:p w:rsidR="00C31389" w:rsidRDefault="00561FBD" w14:paraId="4D6032D5" w14:textId="77777777">
      <w:pPr>
        <w:pStyle w:val="BodyText"/>
        <w:ind w:left="480" w:right="533"/>
      </w:pPr>
      <w:r>
        <w:t xml:space="preserve">In </w:t>
      </w:r>
      <w:r>
        <w:t>determining which technologies to include in a group, the Guidehouse team considered possible</w:t>
      </w:r>
      <w:r>
        <w:rPr>
          <w:spacing w:val="-5"/>
        </w:rPr>
        <w:t xml:space="preserve"> </w:t>
      </w:r>
      <w:r>
        <w:t>future</w:t>
      </w:r>
      <w:r>
        <w:rPr>
          <w:spacing w:val="-4"/>
        </w:rPr>
        <w:t xml:space="preserve"> </w:t>
      </w:r>
      <w:r>
        <w:t>code</w:t>
      </w:r>
      <w:r>
        <w:rPr>
          <w:spacing w:val="-4"/>
        </w:rPr>
        <w:t xml:space="preserve"> </w:t>
      </w:r>
      <w:r>
        <w:t>levels</w:t>
      </w:r>
      <w:r>
        <w:rPr>
          <w:spacing w:val="-4"/>
        </w:rPr>
        <w:t xml:space="preserve"> </w:t>
      </w:r>
      <w:r>
        <w:t>and</w:t>
      </w:r>
      <w:r>
        <w:rPr>
          <w:spacing w:val="-3"/>
        </w:rPr>
        <w:t xml:space="preserve"> </w:t>
      </w:r>
      <w:r>
        <w:t>popular</w:t>
      </w:r>
      <w:r>
        <w:rPr>
          <w:spacing w:val="-4"/>
        </w:rPr>
        <w:t xml:space="preserve"> </w:t>
      </w:r>
      <w:r>
        <w:t>efficiency</w:t>
      </w:r>
      <w:r>
        <w:rPr>
          <w:spacing w:val="-4"/>
        </w:rPr>
        <w:t xml:space="preserve"> </w:t>
      </w:r>
      <w:r>
        <w:t>levels</w:t>
      </w:r>
      <w:r>
        <w:rPr>
          <w:spacing w:val="-4"/>
        </w:rPr>
        <w:t xml:space="preserve"> </w:t>
      </w:r>
      <w:r>
        <w:t>historically</w:t>
      </w:r>
      <w:r>
        <w:rPr>
          <w:spacing w:val="-4"/>
        </w:rPr>
        <w:t xml:space="preserve"> </w:t>
      </w:r>
      <w:r>
        <w:t>rebated</w:t>
      </w:r>
      <w:r>
        <w:rPr>
          <w:spacing w:val="-4"/>
        </w:rPr>
        <w:t xml:space="preserve"> </w:t>
      </w:r>
      <w:r>
        <w:t>by</w:t>
      </w:r>
      <w:r>
        <w:rPr>
          <w:spacing w:val="-4"/>
        </w:rPr>
        <w:t xml:space="preserve"> </w:t>
      </w:r>
      <w:r>
        <w:t>IOU</w:t>
      </w:r>
      <w:r>
        <w:rPr>
          <w:spacing w:val="-5"/>
        </w:rPr>
        <w:t xml:space="preserve"> </w:t>
      </w:r>
      <w:r>
        <w:t>programs.</w:t>
      </w:r>
    </w:p>
    <w:p w:rsidR="00C31389" w:rsidRDefault="00C31389" w14:paraId="7E8AFAE7" w14:textId="77777777">
      <w:pPr>
        <w:pStyle w:val="BodyText"/>
        <w:spacing w:before="9"/>
        <w:rPr>
          <w:sz w:val="20"/>
        </w:rPr>
      </w:pPr>
    </w:p>
    <w:p w:rsidR="00C31389" w:rsidRDefault="00561FBD" w14:paraId="34C874D7" w14:textId="77777777">
      <w:pPr>
        <w:pStyle w:val="Heading7"/>
        <w:ind w:left="566" w:right="566"/>
        <w:jc w:val="center"/>
      </w:pPr>
      <w:bookmarkStart w:name="_bookmark43" w:id="57"/>
      <w:bookmarkEnd w:id="57"/>
      <w:r>
        <w:t>Figure</w:t>
      </w:r>
      <w:r>
        <w:rPr>
          <w:spacing w:val="-7"/>
        </w:rPr>
        <w:t xml:space="preserve"> </w:t>
      </w:r>
      <w:r>
        <w:t>2-1.</w:t>
      </w:r>
      <w:r>
        <w:rPr>
          <w:spacing w:val="-6"/>
        </w:rPr>
        <w:t xml:space="preserve"> </w:t>
      </w:r>
      <w:r>
        <w:t>Technology</w:t>
      </w:r>
      <w:r>
        <w:rPr>
          <w:spacing w:val="-7"/>
        </w:rPr>
        <w:t xml:space="preserve"> </w:t>
      </w:r>
      <w:r>
        <w:t>Group</w:t>
      </w:r>
      <w:r>
        <w:rPr>
          <w:spacing w:val="-6"/>
        </w:rPr>
        <w:t xml:space="preserve"> </w:t>
      </w:r>
      <w:r>
        <w:t>Examples</w:t>
      </w:r>
      <w:r>
        <w:rPr>
          <w:spacing w:val="-7"/>
        </w:rPr>
        <w:t xml:space="preserve"> </w:t>
      </w:r>
      <w:r>
        <w:t>–</w:t>
      </w:r>
      <w:r>
        <w:rPr>
          <w:spacing w:val="-6"/>
        </w:rPr>
        <w:t xml:space="preserve"> </w:t>
      </w:r>
      <w:r>
        <w:t>FS</w:t>
      </w:r>
      <w:r>
        <w:rPr>
          <w:spacing w:val="-7"/>
        </w:rPr>
        <w:t xml:space="preserve"> </w:t>
      </w:r>
      <w:r>
        <w:t>and</w:t>
      </w:r>
      <w:r>
        <w:rPr>
          <w:spacing w:val="-6"/>
        </w:rPr>
        <w:t xml:space="preserve"> </w:t>
      </w:r>
      <w:r>
        <w:rPr>
          <w:spacing w:val="-5"/>
        </w:rPr>
        <w:t>EE</w:t>
      </w:r>
    </w:p>
    <w:p w:rsidR="00C31389" w:rsidRDefault="00561FBD" w14:paraId="09373EF1" w14:textId="77777777">
      <w:pPr>
        <w:pStyle w:val="BodyText"/>
        <w:spacing w:before="5"/>
        <w:rPr>
          <w:b/>
          <w:sz w:val="8"/>
        </w:rPr>
      </w:pPr>
      <w:r>
        <w:rPr>
          <w:noProof/>
        </w:rPr>
        <w:drawing>
          <wp:anchor distT="0" distB="0" distL="0" distR="0" simplePos="0" relativeHeight="487604224" behindDoc="1" locked="0" layoutInCell="1" allowOverlap="1" wp14:editId="78D7CCFF" wp14:anchorId="075F94B0">
            <wp:simplePos x="0" y="0"/>
            <wp:positionH relativeFrom="page">
              <wp:posOffset>2019300</wp:posOffset>
            </wp:positionH>
            <wp:positionV relativeFrom="paragraph">
              <wp:posOffset>76946</wp:posOffset>
            </wp:positionV>
            <wp:extent cx="3698857" cy="2572131"/>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1" cstate="print"/>
                    <a:stretch>
                      <a:fillRect/>
                    </a:stretch>
                  </pic:blipFill>
                  <pic:spPr>
                    <a:xfrm>
                      <a:off x="0" y="0"/>
                      <a:ext cx="3698857" cy="2572131"/>
                    </a:xfrm>
                    <a:prstGeom prst="rect">
                      <a:avLst/>
                    </a:prstGeom>
                  </pic:spPr>
                </pic:pic>
              </a:graphicData>
            </a:graphic>
          </wp:anchor>
        </w:drawing>
      </w:r>
    </w:p>
    <w:p w:rsidR="00C31389" w:rsidRDefault="00C31389" w14:paraId="27764712" w14:textId="77777777">
      <w:pPr>
        <w:pStyle w:val="BodyText"/>
        <w:rPr>
          <w:b/>
          <w:sz w:val="24"/>
        </w:rPr>
      </w:pPr>
    </w:p>
    <w:p w:rsidR="00C31389" w:rsidRDefault="00561FBD" w14:paraId="7F9134C2"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00A1F1AA" w14:textId="77777777">
      <w:pPr>
        <w:rPr>
          <w:sz w:val="18"/>
        </w:rPr>
        <w:sectPr w:rsidR="00C31389">
          <w:headerReference w:type="default" r:id="rId62"/>
          <w:footerReference w:type="default" r:id="rId63"/>
          <w:pgSz w:w="12240" w:h="15840"/>
          <w:pgMar w:top="1660" w:right="960" w:bottom="1120" w:left="960" w:header="397" w:footer="936" w:gutter="0"/>
          <w:cols w:space="720"/>
        </w:sectPr>
      </w:pPr>
    </w:p>
    <w:p w:rsidR="00C31389" w:rsidRDefault="00C31389" w14:paraId="5FC0AB8C" w14:textId="77777777">
      <w:pPr>
        <w:pStyle w:val="BodyText"/>
        <w:spacing w:before="11"/>
        <w:rPr>
          <w:i/>
          <w:sz w:val="13"/>
        </w:rPr>
      </w:pPr>
    </w:p>
    <w:p w:rsidR="00C31389" w:rsidRDefault="00561FBD" w14:paraId="7D81FAD0" w14:textId="77777777">
      <w:pPr>
        <w:pStyle w:val="BodyText"/>
        <w:spacing w:before="92"/>
        <w:ind w:left="480" w:right="485" w:hanging="1"/>
      </w:pPr>
      <w:r>
        <w:t>Where</w:t>
      </w:r>
      <w:r>
        <w:rPr>
          <w:spacing w:val="-3"/>
        </w:rPr>
        <w:t xml:space="preserve"> </w:t>
      </w:r>
      <w:r>
        <w:t>the</w:t>
      </w:r>
      <w:r>
        <w:rPr>
          <w:spacing w:val="-3"/>
        </w:rPr>
        <w:t xml:space="preserve"> </w:t>
      </w:r>
      <w:r>
        <w:t>Guidehouse</w:t>
      </w:r>
      <w:r>
        <w:rPr>
          <w:spacing w:val="-3"/>
        </w:rPr>
        <w:t xml:space="preserve"> </w:t>
      </w:r>
      <w:r>
        <w:t>team</w:t>
      </w:r>
      <w:r>
        <w:rPr>
          <w:spacing w:val="-4"/>
        </w:rPr>
        <w:t xml:space="preserve"> </w:t>
      </w:r>
      <w:r>
        <w:t>is</w:t>
      </w:r>
      <w:r>
        <w:rPr>
          <w:spacing w:val="-3"/>
        </w:rPr>
        <w:t xml:space="preserve"> </w:t>
      </w:r>
      <w:r>
        <w:t>aware</w:t>
      </w:r>
      <w:r>
        <w:rPr>
          <w:spacing w:val="-3"/>
        </w:rPr>
        <w:t xml:space="preserve"> </w:t>
      </w:r>
      <w:r>
        <w:t>of</w:t>
      </w:r>
      <w:r>
        <w:rPr>
          <w:spacing w:val="-3"/>
        </w:rPr>
        <w:t xml:space="preserve"> </w:t>
      </w:r>
      <w:r>
        <w:t>an</w:t>
      </w:r>
      <w:r>
        <w:rPr>
          <w:spacing w:val="-3"/>
        </w:rPr>
        <w:t xml:space="preserve"> </w:t>
      </w:r>
      <w:r>
        <w:t>upcoming</w:t>
      </w:r>
      <w:r>
        <w:rPr>
          <w:spacing w:val="-3"/>
        </w:rPr>
        <w:t xml:space="preserve"> </w:t>
      </w:r>
      <w:r>
        <w:t>code</w:t>
      </w:r>
      <w:r>
        <w:rPr>
          <w:spacing w:val="-3"/>
        </w:rPr>
        <w:t xml:space="preserve"> </w:t>
      </w:r>
      <w:r>
        <w:t>change</w:t>
      </w:r>
      <w:r>
        <w:rPr>
          <w:spacing w:val="-3"/>
        </w:rPr>
        <w:t xml:space="preserve"> </w:t>
      </w:r>
      <w:r>
        <w:t>for</w:t>
      </w:r>
      <w:r>
        <w:rPr>
          <w:spacing w:val="-4"/>
        </w:rPr>
        <w:t xml:space="preserve"> </w:t>
      </w:r>
      <w:r>
        <w:t>a</w:t>
      </w:r>
      <w:r>
        <w:rPr>
          <w:spacing w:val="-3"/>
        </w:rPr>
        <w:t xml:space="preserve"> </w:t>
      </w:r>
      <w:r>
        <w:t>certain</w:t>
      </w:r>
      <w:r>
        <w:rPr>
          <w:spacing w:val="-3"/>
        </w:rPr>
        <w:t xml:space="preserve"> </w:t>
      </w:r>
      <w:r>
        <w:t>technology,</w:t>
      </w:r>
      <w:r>
        <w:rPr>
          <w:spacing w:val="-3"/>
        </w:rPr>
        <w:t xml:space="preserve"> </w:t>
      </w:r>
      <w:r>
        <w:t xml:space="preserve">the team adjusted the code baseline from the year of the code change onward. The code efficiency level in </w:t>
      </w:r>
      <w:hyperlink w:history="1" w:anchor="_bookmark44">
        <w:r>
          <w:t>Table 2-2</w:t>
        </w:r>
      </w:hyperlink>
      <w:r>
        <w:t xml:space="preserve"> refers to the level that complies with code as of 2022. For higher efficiency levels that will be future code levels, the characterization included an input for the year that the higher level becomes the code. Then, for </w:t>
      </w:r>
      <w:r>
        <w:t>that year and thereafter, the model treats that higher level as the code efficiency level, and previous code level(s) become below code efficiency level(s) for purposes of the analysis.</w:t>
      </w:r>
    </w:p>
    <w:p w:rsidR="00C31389" w:rsidRDefault="00C31389" w14:paraId="7E800AE0" w14:textId="77777777">
      <w:pPr>
        <w:pStyle w:val="BodyText"/>
        <w:spacing w:before="11"/>
        <w:rPr>
          <w:sz w:val="20"/>
        </w:rPr>
      </w:pPr>
    </w:p>
    <w:p w:rsidR="00C31389" w:rsidRDefault="00561FBD" w14:paraId="112E2365" w14:textId="77777777">
      <w:pPr>
        <w:pStyle w:val="Heading7"/>
        <w:ind w:left="566" w:right="566"/>
        <w:jc w:val="center"/>
      </w:pPr>
      <w:bookmarkStart w:name="_bookmark44" w:id="58"/>
      <w:bookmarkEnd w:id="58"/>
      <w:r>
        <w:t>Table</w:t>
      </w:r>
      <w:r>
        <w:rPr>
          <w:spacing w:val="-8"/>
        </w:rPr>
        <w:t xml:space="preserve"> </w:t>
      </w:r>
      <w:r>
        <w:t>2-2.</w:t>
      </w:r>
      <w:r>
        <w:rPr>
          <w:spacing w:val="-7"/>
        </w:rPr>
        <w:t xml:space="preserve"> </w:t>
      </w:r>
      <w:r>
        <w:t>Example</w:t>
      </w:r>
      <w:r>
        <w:rPr>
          <w:spacing w:val="-7"/>
        </w:rPr>
        <w:t xml:space="preserve"> </w:t>
      </w:r>
      <w:r>
        <w:t>of</w:t>
      </w:r>
      <w:r>
        <w:rPr>
          <w:spacing w:val="-7"/>
        </w:rPr>
        <w:t xml:space="preserve"> </w:t>
      </w:r>
      <w:r>
        <w:t>Technologies</w:t>
      </w:r>
      <w:r>
        <w:rPr>
          <w:spacing w:val="-8"/>
        </w:rPr>
        <w:t xml:space="preserve"> </w:t>
      </w:r>
      <w:r>
        <w:t>within</w:t>
      </w:r>
      <w:r>
        <w:rPr>
          <w:spacing w:val="-7"/>
        </w:rPr>
        <w:t xml:space="preserve"> </w:t>
      </w:r>
      <w:r>
        <w:t>a</w:t>
      </w:r>
      <w:r>
        <w:rPr>
          <w:spacing w:val="-7"/>
        </w:rPr>
        <w:t xml:space="preserve"> </w:t>
      </w:r>
      <w:r>
        <w:t>Technology</w:t>
      </w:r>
      <w:r>
        <w:rPr>
          <w:spacing w:val="-7"/>
        </w:rPr>
        <w:t xml:space="preserve"> </w:t>
      </w:r>
      <w:r>
        <w:t>Group</w:t>
      </w:r>
      <w:r>
        <w:rPr>
          <w:spacing w:val="-8"/>
        </w:rPr>
        <w:t xml:space="preserve"> </w:t>
      </w:r>
      <w:r>
        <w:t>–</w:t>
      </w:r>
      <w:r>
        <w:rPr>
          <w:spacing w:val="-6"/>
        </w:rPr>
        <w:t xml:space="preserve"> </w:t>
      </w:r>
      <w:r>
        <w:t>Non-</w:t>
      </w:r>
      <w:r>
        <w:rPr>
          <w:spacing w:val="-5"/>
        </w:rPr>
        <w:t>FS</w:t>
      </w:r>
    </w:p>
    <w:p w:rsidR="00C31389" w:rsidRDefault="00C31389" w14:paraId="3210A273" w14:textId="77777777">
      <w:pPr>
        <w:pStyle w:val="BodyText"/>
        <w:spacing w:before="6"/>
        <w:rPr>
          <w:b/>
          <w:sz w:val="9"/>
        </w:rPr>
      </w:pPr>
    </w:p>
    <w:tbl>
      <w:tblPr>
        <w:tblW w:w="0" w:type="auto"/>
        <w:tblInd w:w="487" w:type="dxa"/>
        <w:tblLayout w:type="fixed"/>
        <w:tblCellMar>
          <w:left w:w="0" w:type="dxa"/>
          <w:right w:w="0" w:type="dxa"/>
        </w:tblCellMar>
        <w:tblLook w:val="01E0" w:firstRow="1" w:lastRow="1" w:firstColumn="1" w:lastColumn="1" w:noHBand="0" w:noVBand="0"/>
      </w:tblPr>
      <w:tblGrid>
        <w:gridCol w:w="1768"/>
        <w:gridCol w:w="2846"/>
        <w:gridCol w:w="4747"/>
      </w:tblGrid>
      <w:tr w:rsidR="00C31389" w14:paraId="45F2C899" w14:textId="77777777">
        <w:trPr>
          <w:trHeight w:val="549"/>
        </w:trPr>
        <w:tc>
          <w:tcPr>
            <w:tcW w:w="1768" w:type="dxa"/>
            <w:shd w:val="clear" w:color="auto" w:fill="92D400"/>
          </w:tcPr>
          <w:p w:rsidR="00C31389" w:rsidRDefault="00561FBD" w14:paraId="4334D791" w14:textId="77777777">
            <w:pPr>
              <w:pStyle w:val="TableParagraph"/>
              <w:ind w:left="115"/>
              <w:rPr>
                <w:b/>
                <w:sz w:val="20"/>
              </w:rPr>
            </w:pPr>
            <w:r>
              <w:rPr>
                <w:b/>
                <w:spacing w:val="-2"/>
                <w:sz w:val="20"/>
              </w:rPr>
              <w:t>Technology Group</w:t>
            </w:r>
          </w:p>
        </w:tc>
        <w:tc>
          <w:tcPr>
            <w:tcW w:w="2846" w:type="dxa"/>
            <w:shd w:val="clear" w:color="auto" w:fill="92D400"/>
          </w:tcPr>
          <w:p w:rsidR="00C31389" w:rsidRDefault="00561FBD" w14:paraId="5D3E9B95" w14:textId="77777777">
            <w:pPr>
              <w:pStyle w:val="TableParagraph"/>
              <w:spacing w:before="155"/>
              <w:ind w:left="283"/>
              <w:rPr>
                <w:b/>
                <w:sz w:val="20"/>
              </w:rPr>
            </w:pPr>
            <w:r>
              <w:rPr>
                <w:b/>
                <w:spacing w:val="-2"/>
                <w:sz w:val="20"/>
              </w:rPr>
              <w:t>Technology</w:t>
            </w:r>
          </w:p>
        </w:tc>
        <w:tc>
          <w:tcPr>
            <w:tcW w:w="4747" w:type="dxa"/>
            <w:shd w:val="clear" w:color="auto" w:fill="92D400"/>
          </w:tcPr>
          <w:p w:rsidR="00C31389" w:rsidRDefault="00561FBD" w14:paraId="45E38F07" w14:textId="77777777">
            <w:pPr>
              <w:pStyle w:val="TableParagraph"/>
              <w:spacing w:before="155"/>
              <w:ind w:left="770"/>
              <w:rPr>
                <w:b/>
                <w:sz w:val="20"/>
              </w:rPr>
            </w:pPr>
            <w:r>
              <w:rPr>
                <w:b/>
                <w:spacing w:val="-2"/>
                <w:sz w:val="20"/>
              </w:rPr>
              <w:t>Description</w:t>
            </w:r>
          </w:p>
        </w:tc>
      </w:tr>
      <w:tr w:rsidR="00C31389" w14:paraId="3191C30D" w14:textId="77777777">
        <w:trPr>
          <w:trHeight w:val="259"/>
        </w:trPr>
        <w:tc>
          <w:tcPr>
            <w:tcW w:w="1768" w:type="dxa"/>
          </w:tcPr>
          <w:p w:rsidR="00C31389" w:rsidRDefault="00C31389" w14:paraId="0E06733F" w14:textId="77777777">
            <w:pPr>
              <w:pStyle w:val="TableParagraph"/>
              <w:spacing w:before="0"/>
              <w:rPr>
                <w:rFonts w:ascii="Times New Roman"/>
                <w:sz w:val="18"/>
              </w:rPr>
            </w:pPr>
          </w:p>
        </w:tc>
        <w:tc>
          <w:tcPr>
            <w:tcW w:w="2846" w:type="dxa"/>
          </w:tcPr>
          <w:p w:rsidR="00C31389" w:rsidRDefault="00561FBD" w14:paraId="287FED50" w14:textId="77777777">
            <w:pPr>
              <w:pStyle w:val="TableParagraph"/>
              <w:spacing w:before="41" w:line="198" w:lineRule="exact"/>
              <w:ind w:left="283"/>
              <w:rPr>
                <w:sz w:val="20"/>
              </w:rPr>
            </w:pPr>
            <w:r>
              <w:rPr>
                <w:sz w:val="20"/>
              </w:rPr>
              <w:t>R0</w:t>
            </w:r>
            <w:r>
              <w:rPr>
                <w:spacing w:val="-5"/>
                <w:sz w:val="20"/>
              </w:rPr>
              <w:t xml:space="preserve"> </w:t>
            </w:r>
            <w:r>
              <w:rPr>
                <w:sz w:val="20"/>
              </w:rPr>
              <w:t>Floor</w:t>
            </w:r>
            <w:r>
              <w:rPr>
                <w:spacing w:val="-2"/>
                <w:sz w:val="20"/>
              </w:rPr>
              <w:t xml:space="preserve"> Insulation</w:t>
            </w:r>
          </w:p>
        </w:tc>
        <w:tc>
          <w:tcPr>
            <w:tcW w:w="4747" w:type="dxa"/>
          </w:tcPr>
          <w:p w:rsidR="00C31389" w:rsidRDefault="00561FBD" w14:paraId="4EBFDD18" w14:textId="77777777">
            <w:pPr>
              <w:pStyle w:val="TableParagraph"/>
              <w:spacing w:before="41" w:line="198" w:lineRule="exact"/>
              <w:ind w:left="770"/>
              <w:rPr>
                <w:sz w:val="20"/>
              </w:rPr>
            </w:pPr>
            <w:r>
              <w:rPr>
                <w:sz w:val="20"/>
              </w:rPr>
              <w:t>Average</w:t>
            </w:r>
            <w:r>
              <w:rPr>
                <w:spacing w:val="-5"/>
                <w:sz w:val="20"/>
              </w:rPr>
              <w:t xml:space="preserve"> </w:t>
            </w:r>
            <w:r>
              <w:rPr>
                <w:sz w:val="20"/>
              </w:rPr>
              <w:t>Below</w:t>
            </w:r>
            <w:r>
              <w:rPr>
                <w:spacing w:val="-3"/>
                <w:sz w:val="20"/>
              </w:rPr>
              <w:t xml:space="preserve"> </w:t>
            </w:r>
            <w:r>
              <w:rPr>
                <w:sz w:val="20"/>
              </w:rPr>
              <w:t>Code</w:t>
            </w:r>
            <w:r>
              <w:rPr>
                <w:spacing w:val="-5"/>
                <w:sz w:val="20"/>
              </w:rPr>
              <w:t xml:space="preserve"> </w:t>
            </w:r>
            <w:r>
              <w:rPr>
                <w:sz w:val="20"/>
              </w:rPr>
              <w:t>Efficiency</w:t>
            </w:r>
            <w:r>
              <w:rPr>
                <w:spacing w:val="-3"/>
                <w:sz w:val="20"/>
              </w:rPr>
              <w:t xml:space="preserve"> </w:t>
            </w:r>
            <w:r>
              <w:rPr>
                <w:spacing w:val="-2"/>
                <w:sz w:val="20"/>
              </w:rPr>
              <w:t>Level</w:t>
            </w:r>
          </w:p>
        </w:tc>
      </w:tr>
      <w:tr w:rsidR="00C31389" w14:paraId="5927BF09" w14:textId="77777777">
        <w:trPr>
          <w:trHeight w:val="424"/>
        </w:trPr>
        <w:tc>
          <w:tcPr>
            <w:tcW w:w="1768" w:type="dxa"/>
          </w:tcPr>
          <w:p w:rsidR="00C31389" w:rsidRDefault="00561FBD" w14:paraId="3FF4A1B0" w14:textId="77777777">
            <w:pPr>
              <w:pStyle w:val="TableParagraph"/>
              <w:spacing w:before="0" w:line="211" w:lineRule="exact"/>
              <w:ind w:left="115"/>
              <w:rPr>
                <w:sz w:val="20"/>
              </w:rPr>
            </w:pPr>
            <w:r>
              <w:rPr>
                <w:sz w:val="20"/>
              </w:rPr>
              <w:t>Floor</w:t>
            </w:r>
            <w:r>
              <w:rPr>
                <w:spacing w:val="-3"/>
                <w:sz w:val="20"/>
              </w:rPr>
              <w:t xml:space="preserve"> </w:t>
            </w:r>
            <w:r>
              <w:rPr>
                <w:spacing w:val="-2"/>
                <w:sz w:val="20"/>
              </w:rPr>
              <w:t>Insulation</w:t>
            </w:r>
          </w:p>
          <w:p w:rsidR="00C31389" w:rsidRDefault="00561FBD" w14:paraId="26EBC038" w14:textId="77777777">
            <w:pPr>
              <w:pStyle w:val="TableParagraph"/>
              <w:spacing w:before="0" w:line="192" w:lineRule="exact"/>
              <w:ind w:left="115"/>
              <w:rPr>
                <w:sz w:val="20"/>
              </w:rPr>
            </w:pPr>
            <w:r>
              <w:rPr>
                <w:spacing w:val="-2"/>
                <w:sz w:val="20"/>
              </w:rPr>
              <w:t>Retrofit</w:t>
            </w:r>
          </w:p>
        </w:tc>
        <w:tc>
          <w:tcPr>
            <w:tcW w:w="2846" w:type="dxa"/>
          </w:tcPr>
          <w:p w:rsidR="00C31389" w:rsidRDefault="00561FBD" w14:paraId="3D39F1AC" w14:textId="77777777">
            <w:pPr>
              <w:pStyle w:val="TableParagraph"/>
              <w:spacing w:before="96"/>
              <w:ind w:left="283"/>
              <w:rPr>
                <w:sz w:val="20"/>
              </w:rPr>
            </w:pPr>
            <w:r>
              <w:rPr>
                <w:noProof/>
              </w:rPr>
              <mc:AlternateContent>
                <mc:Choice Requires="wpg">
                  <w:drawing>
                    <wp:anchor distT="0" distB="0" distL="0" distR="0" simplePos="0" relativeHeight="465435136" behindDoc="1" locked="0" layoutInCell="1" allowOverlap="1" wp14:editId="7B30725F" wp14:anchorId="09E04129">
                      <wp:simplePos x="0" y="0"/>
                      <wp:positionH relativeFrom="column">
                        <wp:posOffset>107336</wp:posOffset>
                      </wp:positionH>
                      <wp:positionV relativeFrom="paragraph">
                        <wp:posOffset>32256</wp:posOffset>
                      </wp:positionV>
                      <wp:extent cx="4714240" cy="317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3175"/>
                                <a:chOff x="0" y="0"/>
                                <a:chExt cx="4714240" cy="3175"/>
                              </a:xfrm>
                            </wpg:grpSpPr>
                            <wps:wsp>
                              <wps:cNvPr id="108" name="Graphic 108"/>
                              <wps:cNvSpPr/>
                              <wps:spPr>
                                <a:xfrm>
                                  <a:off x="0" y="0"/>
                                  <a:ext cx="4714240" cy="3175"/>
                                </a:xfrm>
                                <a:custGeom>
                                  <a:avLst/>
                                  <a:gdLst/>
                                  <a:ahLst/>
                                  <a:cxnLst/>
                                  <a:rect l="l" t="t" r="r" b="b"/>
                                  <a:pathLst>
                                    <a:path w="4714240" h="3175">
                                      <a:moveTo>
                                        <a:pt x="4713732" y="0"/>
                                      </a:moveTo>
                                      <a:lnTo>
                                        <a:pt x="2119122" y="0"/>
                                      </a:lnTo>
                                      <a:lnTo>
                                        <a:pt x="2116074" y="0"/>
                                      </a:lnTo>
                                      <a:lnTo>
                                        <a:pt x="0" y="0"/>
                                      </a:lnTo>
                                      <a:lnTo>
                                        <a:pt x="0" y="3048"/>
                                      </a:lnTo>
                                      <a:lnTo>
                                        <a:pt x="2116074" y="3048"/>
                                      </a:lnTo>
                                      <a:lnTo>
                                        <a:pt x="2119122" y="3048"/>
                                      </a:lnTo>
                                      <a:lnTo>
                                        <a:pt x="4713732" y="3048"/>
                                      </a:lnTo>
                                      <a:lnTo>
                                        <a:pt x="4713732"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id="Group 107" style="position:absolute;margin-left:8.45pt;margin-top:2.55pt;width:371.2pt;height:.25pt;z-index:-37881344;mso-wrap-distance-left:0;mso-wrap-distance-right:0" coordsize="47142,31" o:spid="_x0000_s1026" w14:anchorId="4BD23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">
                      <v:shape id="Graphic 108" style="position:absolute;width:47142;height:31;visibility:visible;mso-wrap-style:square;v-text-anchor:top" coordsize="4714240,3175" o:spid="_x0000_s1027" fillcolor="#d9d9d9" stroked="f" path="m4713732,l2119122,r-3048,l,,,3048r2116074,l2119122,3048r2594610,l4713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">
                        <v:path arrowok="t"/>
                      </v:shape>
                    </v:group>
                  </w:pict>
                </mc:Fallback>
              </mc:AlternateContent>
            </w:r>
            <w:r>
              <w:rPr>
                <w:sz w:val="20"/>
              </w:rPr>
              <w:t>R19</w:t>
            </w:r>
            <w:r>
              <w:rPr>
                <w:spacing w:val="-5"/>
                <w:sz w:val="20"/>
              </w:rPr>
              <w:t xml:space="preserve"> </w:t>
            </w:r>
            <w:r>
              <w:rPr>
                <w:sz w:val="20"/>
              </w:rPr>
              <w:t>Floor</w:t>
            </w:r>
            <w:r>
              <w:rPr>
                <w:spacing w:val="-1"/>
                <w:sz w:val="20"/>
              </w:rPr>
              <w:t xml:space="preserve"> </w:t>
            </w:r>
            <w:r>
              <w:rPr>
                <w:spacing w:val="-2"/>
                <w:sz w:val="20"/>
              </w:rPr>
              <w:t>Insulation</w:t>
            </w:r>
          </w:p>
        </w:tc>
        <w:tc>
          <w:tcPr>
            <w:tcW w:w="4747" w:type="dxa"/>
          </w:tcPr>
          <w:p w:rsidR="00C31389" w:rsidRDefault="00561FBD" w14:paraId="72F91857" w14:textId="77777777">
            <w:pPr>
              <w:pStyle w:val="TableParagraph"/>
              <w:spacing w:before="96"/>
              <w:ind w:left="770"/>
              <w:rPr>
                <w:sz w:val="20"/>
              </w:rPr>
            </w:pPr>
            <w:r>
              <w:rPr>
                <w:sz w:val="20"/>
              </w:rPr>
              <w:t>Code</w:t>
            </w:r>
            <w:r>
              <w:rPr>
                <w:spacing w:val="-8"/>
                <w:sz w:val="20"/>
              </w:rPr>
              <w:t xml:space="preserve"> </w:t>
            </w:r>
            <w:r>
              <w:rPr>
                <w:sz w:val="20"/>
              </w:rPr>
              <w:t>Efficiency</w:t>
            </w:r>
            <w:r>
              <w:rPr>
                <w:spacing w:val="-4"/>
                <w:sz w:val="20"/>
              </w:rPr>
              <w:t xml:space="preserve"> Level</w:t>
            </w:r>
          </w:p>
        </w:tc>
      </w:tr>
      <w:tr w:rsidR="00C31389" w14:paraId="037D5173" w14:textId="77777777">
        <w:trPr>
          <w:trHeight w:val="257"/>
        </w:trPr>
        <w:tc>
          <w:tcPr>
            <w:tcW w:w="1768" w:type="dxa"/>
            <w:tcBorders>
              <w:bottom w:val="single" w:color="000000" w:sz="8" w:space="0"/>
            </w:tcBorders>
          </w:tcPr>
          <w:p w:rsidR="00C31389" w:rsidRDefault="00C31389" w14:paraId="64D898CE" w14:textId="77777777">
            <w:pPr>
              <w:pStyle w:val="TableParagraph"/>
              <w:spacing w:before="0"/>
              <w:rPr>
                <w:rFonts w:ascii="Times New Roman"/>
                <w:sz w:val="18"/>
              </w:rPr>
            </w:pPr>
          </w:p>
        </w:tc>
        <w:tc>
          <w:tcPr>
            <w:tcW w:w="2846" w:type="dxa"/>
            <w:tcBorders>
              <w:bottom w:val="single" w:color="000000" w:sz="8" w:space="0"/>
            </w:tcBorders>
          </w:tcPr>
          <w:p w:rsidR="00C31389" w:rsidRDefault="00561FBD" w14:paraId="646AFD30" w14:textId="77777777">
            <w:pPr>
              <w:pStyle w:val="TableParagraph"/>
              <w:spacing w:before="0" w:line="218" w:lineRule="exact"/>
              <w:ind w:left="283"/>
              <w:rPr>
                <w:sz w:val="20"/>
              </w:rPr>
            </w:pPr>
            <w:r>
              <w:rPr>
                <w:noProof/>
              </w:rPr>
              <mc:AlternateContent>
                <mc:Choice Requires="wpg">
                  <w:drawing>
                    <wp:anchor distT="0" distB="0" distL="0" distR="0" simplePos="0" relativeHeight="465435648" behindDoc="1" locked="0" layoutInCell="1" allowOverlap="1" wp14:editId="07684BFE" wp14:anchorId="0CA0945C">
                      <wp:simplePos x="0" y="0"/>
                      <wp:positionH relativeFrom="column">
                        <wp:posOffset>107336</wp:posOffset>
                      </wp:positionH>
                      <wp:positionV relativeFrom="paragraph">
                        <wp:posOffset>-36363</wp:posOffset>
                      </wp:positionV>
                      <wp:extent cx="4714240" cy="317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3175"/>
                                <a:chOff x="0" y="0"/>
                                <a:chExt cx="4714240" cy="3175"/>
                              </a:xfrm>
                            </wpg:grpSpPr>
                            <wps:wsp>
                              <wps:cNvPr id="110" name="Graphic 110"/>
                              <wps:cNvSpPr/>
                              <wps:spPr>
                                <a:xfrm>
                                  <a:off x="0" y="0"/>
                                  <a:ext cx="4714240" cy="3175"/>
                                </a:xfrm>
                                <a:custGeom>
                                  <a:avLst/>
                                  <a:gdLst/>
                                  <a:ahLst/>
                                  <a:cxnLst/>
                                  <a:rect l="l" t="t" r="r" b="b"/>
                                  <a:pathLst>
                                    <a:path w="4714240" h="3175">
                                      <a:moveTo>
                                        <a:pt x="4713732" y="0"/>
                                      </a:moveTo>
                                      <a:lnTo>
                                        <a:pt x="2119122" y="0"/>
                                      </a:lnTo>
                                      <a:lnTo>
                                        <a:pt x="2116074" y="0"/>
                                      </a:lnTo>
                                      <a:lnTo>
                                        <a:pt x="0" y="0"/>
                                      </a:lnTo>
                                      <a:lnTo>
                                        <a:pt x="0" y="3035"/>
                                      </a:lnTo>
                                      <a:lnTo>
                                        <a:pt x="2116074" y="3035"/>
                                      </a:lnTo>
                                      <a:lnTo>
                                        <a:pt x="2119122" y="3035"/>
                                      </a:lnTo>
                                      <a:lnTo>
                                        <a:pt x="4713732" y="3035"/>
                                      </a:lnTo>
                                      <a:lnTo>
                                        <a:pt x="4713732"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id="Group 109" style="position:absolute;margin-left:8.45pt;margin-top:-2.85pt;width:371.2pt;height:.25pt;z-index:-37880832;mso-wrap-distance-left:0;mso-wrap-distance-right:0" coordsize="47142,31" o:spid="_x0000_s1026" w14:anchorId="58A04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">
                      <v:shape id="Graphic 110" style="position:absolute;width:47142;height:31;visibility:visible;mso-wrap-style:square;v-text-anchor:top" coordsize="4714240,3175" o:spid="_x0000_s1027" fillcolor="#d9d9d9" stroked="f" path="m4713732,l2119122,r-3048,l,,,3035r2116074,l2119122,3035r2594610,l4713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">
                        <v:path arrowok="t"/>
                      </v:shape>
                    </v:group>
                  </w:pict>
                </mc:Fallback>
              </mc:AlternateContent>
            </w:r>
            <w:r>
              <w:rPr>
                <w:sz w:val="20"/>
              </w:rPr>
              <w:t>R30</w:t>
            </w:r>
            <w:r>
              <w:rPr>
                <w:spacing w:val="-5"/>
                <w:sz w:val="20"/>
              </w:rPr>
              <w:t xml:space="preserve"> </w:t>
            </w:r>
            <w:r>
              <w:rPr>
                <w:sz w:val="20"/>
              </w:rPr>
              <w:t>Floor</w:t>
            </w:r>
            <w:r>
              <w:rPr>
                <w:spacing w:val="-1"/>
                <w:sz w:val="20"/>
              </w:rPr>
              <w:t xml:space="preserve"> </w:t>
            </w:r>
            <w:r>
              <w:rPr>
                <w:spacing w:val="-2"/>
                <w:sz w:val="20"/>
              </w:rPr>
              <w:t>Insulation</w:t>
            </w:r>
          </w:p>
        </w:tc>
        <w:tc>
          <w:tcPr>
            <w:tcW w:w="4747" w:type="dxa"/>
            <w:tcBorders>
              <w:bottom w:val="single" w:color="000000" w:sz="8" w:space="0"/>
            </w:tcBorders>
          </w:tcPr>
          <w:p w:rsidR="00C31389" w:rsidRDefault="00561FBD" w14:paraId="777FF8EB" w14:textId="77777777">
            <w:pPr>
              <w:pStyle w:val="TableParagraph"/>
              <w:spacing w:before="0" w:line="218" w:lineRule="exact"/>
              <w:ind w:left="770"/>
              <w:rPr>
                <w:sz w:val="20"/>
              </w:rPr>
            </w:pPr>
            <w:r>
              <w:rPr>
                <w:sz w:val="20"/>
              </w:rPr>
              <w:t>High</w:t>
            </w:r>
            <w:r>
              <w:rPr>
                <w:spacing w:val="-6"/>
                <w:sz w:val="20"/>
              </w:rPr>
              <w:t xml:space="preserve"> </w:t>
            </w:r>
            <w:r>
              <w:rPr>
                <w:sz w:val="20"/>
              </w:rPr>
              <w:t>Efficiency</w:t>
            </w:r>
            <w:r>
              <w:rPr>
                <w:spacing w:val="-4"/>
                <w:sz w:val="20"/>
              </w:rPr>
              <w:t xml:space="preserve"> Level</w:t>
            </w:r>
          </w:p>
        </w:tc>
      </w:tr>
    </w:tbl>
    <w:p w:rsidR="00C31389" w:rsidRDefault="00561FBD" w14:paraId="79AA68D6"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1984E590" w14:textId="77777777">
      <w:pPr>
        <w:pStyle w:val="BodyText"/>
        <w:spacing w:before="9"/>
        <w:rPr>
          <w:i/>
          <w:sz w:val="20"/>
        </w:rPr>
      </w:pPr>
    </w:p>
    <w:p w:rsidR="00C31389" w:rsidRDefault="00561FBD" w14:paraId="1A6776B1" w14:textId="77777777">
      <w:pPr>
        <w:pStyle w:val="BodyText"/>
        <w:spacing w:before="1"/>
        <w:ind w:left="480" w:right="485"/>
      </w:pPr>
      <w:r>
        <w:t xml:space="preserve">The model </w:t>
      </w:r>
      <w:r>
        <w:t>simulates the flow of equipment stock across the different technologies within a technology group. Flow of stock occurs when the customer owning the equipment reaches a decision</w:t>
      </w:r>
      <w:r>
        <w:rPr>
          <w:spacing w:val="-3"/>
        </w:rPr>
        <w:t xml:space="preserve"> </w:t>
      </w:r>
      <w:r>
        <w:t>point</w:t>
      </w:r>
      <w:r>
        <w:rPr>
          <w:spacing w:val="-3"/>
        </w:rPr>
        <w:t xml:space="preserve"> </w:t>
      </w:r>
      <w:r>
        <w:t>to</w:t>
      </w:r>
      <w:r>
        <w:rPr>
          <w:spacing w:val="-3"/>
        </w:rPr>
        <w:t xml:space="preserve"> </w:t>
      </w:r>
      <w:r>
        <w:t>replace</w:t>
      </w:r>
      <w:r>
        <w:rPr>
          <w:spacing w:val="-4"/>
        </w:rPr>
        <w:t xml:space="preserve"> </w:t>
      </w:r>
      <w:r>
        <w:t>the</w:t>
      </w:r>
      <w:r>
        <w:rPr>
          <w:spacing w:val="-3"/>
        </w:rPr>
        <w:t xml:space="preserve"> </w:t>
      </w:r>
      <w:r>
        <w:t>equipment</w:t>
      </w:r>
      <w:r>
        <w:rPr>
          <w:spacing w:val="-3"/>
        </w:rPr>
        <w:t xml:space="preserve"> </w:t>
      </w:r>
      <w:r>
        <w:t>with</w:t>
      </w:r>
      <w:r>
        <w:rPr>
          <w:spacing w:val="-3"/>
        </w:rPr>
        <w:t xml:space="preserve"> </w:t>
      </w:r>
      <w:r>
        <w:t>a</w:t>
      </w:r>
      <w:r>
        <w:rPr>
          <w:spacing w:val="-3"/>
        </w:rPr>
        <w:t xml:space="preserve"> </w:t>
      </w:r>
      <w:r>
        <w:t>new</w:t>
      </w:r>
      <w:r>
        <w:rPr>
          <w:spacing w:val="-4"/>
        </w:rPr>
        <w:t xml:space="preserve"> </w:t>
      </w:r>
      <w:r>
        <w:t>unit.</w:t>
      </w:r>
      <w:r>
        <w:rPr>
          <w:spacing w:val="-3"/>
        </w:rPr>
        <w:t xml:space="preserve"> </w:t>
      </w:r>
      <w:r>
        <w:t>The</w:t>
      </w:r>
      <w:r>
        <w:rPr>
          <w:spacing w:val="-3"/>
        </w:rPr>
        <w:t xml:space="preserve"> </w:t>
      </w:r>
      <w:r>
        <w:t>decisions</w:t>
      </w:r>
      <w:r>
        <w:rPr>
          <w:spacing w:val="-3"/>
        </w:rPr>
        <w:t xml:space="preserve"> </w:t>
      </w:r>
      <w:r>
        <w:t>available</w:t>
      </w:r>
      <w:r>
        <w:rPr>
          <w:spacing w:val="-3"/>
        </w:rPr>
        <w:t xml:space="preserve"> </w:t>
      </w:r>
      <w:r>
        <w:t>to</w:t>
      </w:r>
      <w:r>
        <w:rPr>
          <w:spacing w:val="-4"/>
        </w:rPr>
        <w:t xml:space="preserve"> </w:t>
      </w:r>
      <w:r>
        <w:t>the</w:t>
      </w:r>
      <w:r>
        <w:rPr>
          <w:spacing w:val="-3"/>
        </w:rPr>
        <w:t xml:space="preserve"> </w:t>
      </w:r>
      <w:r>
        <w:t xml:space="preserve">customer in the model depend on the type of technology category the equipment in question falls in (discussed in Section </w:t>
      </w:r>
      <w:hyperlink w:history="1" w:anchor="_bookmark41">
        <w:r>
          <w:t>2.1.1.1</w:t>
        </w:r>
      </w:hyperlink>
      <w:r>
        <w:t xml:space="preserve">). </w:t>
      </w:r>
      <w:hyperlink w:history="1" w:anchor="_bookmark45">
        <w:r>
          <w:t>Figure 2-2</w:t>
        </w:r>
      </w:hyperlink>
      <w:r>
        <w:t xml:space="preserve"> illustrates the replacement options a customer faces. The model allows customers to upgrade to higher efficiency equipment or downgrade from h</w:t>
      </w:r>
      <w:r>
        <w:t>igh efficiency equipment to at code level equipment. With each replacement, a unit energy savings, cost, and cost-effectiveness value are associated with the decision.</w:t>
      </w:r>
    </w:p>
    <w:p w:rsidR="00C31389" w:rsidRDefault="00C31389" w14:paraId="0E4132AE" w14:textId="77777777">
      <w:pPr>
        <w:pStyle w:val="BodyText"/>
        <w:spacing w:before="10"/>
        <w:rPr>
          <w:sz w:val="20"/>
        </w:rPr>
      </w:pPr>
    </w:p>
    <w:p w:rsidR="00C31389" w:rsidRDefault="00561FBD" w14:paraId="7641F089" w14:textId="77777777">
      <w:pPr>
        <w:pStyle w:val="Heading7"/>
        <w:ind w:left="566" w:right="566"/>
        <w:jc w:val="center"/>
      </w:pPr>
      <w:bookmarkStart w:name="_bookmark45" w:id="59"/>
      <w:bookmarkEnd w:id="59"/>
      <w:r>
        <w:t>Figure</w:t>
      </w:r>
      <w:r>
        <w:rPr>
          <w:spacing w:val="-7"/>
        </w:rPr>
        <w:t xml:space="preserve"> </w:t>
      </w:r>
      <w:r>
        <w:t>2-2.</w:t>
      </w:r>
      <w:r>
        <w:rPr>
          <w:spacing w:val="-6"/>
        </w:rPr>
        <w:t xml:space="preserve"> </w:t>
      </w:r>
      <w:r>
        <w:t>Stock</w:t>
      </w:r>
      <w:r>
        <w:rPr>
          <w:spacing w:val="-7"/>
        </w:rPr>
        <w:t xml:space="preserve"> </w:t>
      </w:r>
      <w:r>
        <w:t>Flow</w:t>
      </w:r>
      <w:r>
        <w:rPr>
          <w:spacing w:val="-6"/>
        </w:rPr>
        <w:t xml:space="preserve"> </w:t>
      </w:r>
      <w:r>
        <w:t>within</w:t>
      </w:r>
      <w:r>
        <w:rPr>
          <w:spacing w:val="-7"/>
        </w:rPr>
        <w:t xml:space="preserve"> </w:t>
      </w:r>
      <w:r>
        <w:t>a</w:t>
      </w:r>
      <w:r>
        <w:rPr>
          <w:spacing w:val="-6"/>
        </w:rPr>
        <w:t xml:space="preserve"> </w:t>
      </w:r>
      <w:r>
        <w:t>Technology</w:t>
      </w:r>
      <w:r>
        <w:rPr>
          <w:spacing w:val="-7"/>
        </w:rPr>
        <w:t xml:space="preserve"> </w:t>
      </w:r>
      <w:r>
        <w:rPr>
          <w:spacing w:val="-2"/>
        </w:rPr>
        <w:t>Group</w:t>
      </w:r>
    </w:p>
    <w:p w:rsidR="00C31389" w:rsidRDefault="00561FBD" w14:paraId="5AB5A1DE" w14:textId="77777777">
      <w:pPr>
        <w:pStyle w:val="BodyText"/>
        <w:spacing w:before="4"/>
        <w:rPr>
          <w:b/>
          <w:sz w:val="8"/>
        </w:rPr>
      </w:pPr>
      <w:r>
        <w:rPr>
          <w:noProof/>
        </w:rPr>
        <w:drawing>
          <wp:anchor distT="0" distB="0" distL="0" distR="0" simplePos="0" relativeHeight="487604736" behindDoc="1" locked="0" layoutInCell="1" allowOverlap="1" wp14:editId="48E88747" wp14:anchorId="4737F616">
            <wp:simplePos x="0" y="0"/>
            <wp:positionH relativeFrom="page">
              <wp:posOffset>1983422</wp:posOffset>
            </wp:positionH>
            <wp:positionV relativeFrom="paragraph">
              <wp:posOffset>76612</wp:posOffset>
            </wp:positionV>
            <wp:extent cx="3774921" cy="2641282"/>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64" cstate="print"/>
                    <a:stretch>
                      <a:fillRect/>
                    </a:stretch>
                  </pic:blipFill>
                  <pic:spPr>
                    <a:xfrm>
                      <a:off x="0" y="0"/>
                      <a:ext cx="3774921" cy="2641282"/>
                    </a:xfrm>
                    <a:prstGeom prst="rect">
                      <a:avLst/>
                    </a:prstGeom>
                  </pic:spPr>
                </pic:pic>
              </a:graphicData>
            </a:graphic>
          </wp:anchor>
        </w:drawing>
      </w:r>
    </w:p>
    <w:p w:rsidR="00C31389" w:rsidRDefault="00561FBD" w14:paraId="050FA349" w14:textId="77777777">
      <w:pPr>
        <w:spacing w:before="95"/>
        <w:ind w:left="480"/>
        <w:rPr>
          <w:i/>
          <w:sz w:val="18"/>
        </w:rPr>
      </w:pPr>
      <w:r>
        <w:rPr>
          <w:i/>
          <w:sz w:val="18"/>
        </w:rPr>
        <w:t>Source:</w:t>
      </w:r>
      <w:r>
        <w:rPr>
          <w:i/>
          <w:spacing w:val="-4"/>
          <w:sz w:val="18"/>
        </w:rPr>
        <w:t xml:space="preserve"> </w:t>
      </w:r>
      <w:r>
        <w:rPr>
          <w:i/>
          <w:spacing w:val="-2"/>
          <w:sz w:val="18"/>
        </w:rPr>
        <w:t>Guidehouse</w:t>
      </w:r>
    </w:p>
    <w:p w:rsidR="00C31389" w:rsidRDefault="00C31389" w14:paraId="43F7CEA2" w14:textId="77777777">
      <w:pPr>
        <w:rPr>
          <w:sz w:val="18"/>
        </w:rPr>
        <w:sectPr w:rsidR="00C31389">
          <w:pgSz w:w="12240" w:h="15840"/>
          <w:pgMar w:top="1660" w:right="960" w:bottom="1120" w:left="960" w:header="397" w:footer="936" w:gutter="0"/>
          <w:cols w:space="720"/>
        </w:sectPr>
      </w:pPr>
    </w:p>
    <w:p w:rsidR="00C31389" w:rsidRDefault="00C31389" w14:paraId="14BEEFA6" w14:textId="77777777">
      <w:pPr>
        <w:pStyle w:val="BodyText"/>
        <w:spacing w:before="11"/>
        <w:rPr>
          <w:i/>
          <w:sz w:val="13"/>
        </w:rPr>
      </w:pPr>
    </w:p>
    <w:p w:rsidR="00C31389" w:rsidRDefault="00561FBD" w14:paraId="7BFC8220" w14:textId="77777777">
      <w:pPr>
        <w:pStyle w:val="Heading8"/>
        <w:numPr>
          <w:ilvl w:val="3"/>
          <w:numId w:val="71"/>
        </w:numPr>
        <w:tabs>
          <w:tab w:val="left" w:pos="1212"/>
        </w:tabs>
        <w:spacing w:before="92"/>
        <w:ind w:left="1212" w:hanging="732"/>
      </w:pPr>
      <w:bookmarkStart w:name="2.1.1.3_Technical_and_Economic_Potential" w:id="60"/>
      <w:bookmarkEnd w:id="60"/>
      <w:r>
        <w:t>Te</w:t>
      </w:r>
      <w:r>
        <w:t>chnical</w:t>
      </w:r>
      <w:r>
        <w:rPr>
          <w:spacing w:val="-9"/>
        </w:rPr>
        <w:t xml:space="preserve"> </w:t>
      </w:r>
      <w:r>
        <w:t>and</w:t>
      </w:r>
      <w:r>
        <w:rPr>
          <w:spacing w:val="-9"/>
        </w:rPr>
        <w:t xml:space="preserve"> </w:t>
      </w:r>
      <w:r>
        <w:t>Economic</w:t>
      </w:r>
      <w:r>
        <w:rPr>
          <w:spacing w:val="-8"/>
        </w:rPr>
        <w:t xml:space="preserve"> </w:t>
      </w:r>
      <w:r>
        <w:rPr>
          <w:spacing w:val="-2"/>
        </w:rPr>
        <w:t>Potential</w:t>
      </w:r>
    </w:p>
    <w:p w:rsidR="00C31389" w:rsidRDefault="00C31389" w14:paraId="21190920" w14:textId="77777777">
      <w:pPr>
        <w:pStyle w:val="BodyText"/>
        <w:spacing w:before="11"/>
        <w:rPr>
          <w:b/>
          <w:i/>
          <w:sz w:val="20"/>
        </w:rPr>
      </w:pPr>
    </w:p>
    <w:p w:rsidR="00C31389" w:rsidRDefault="00561FBD" w14:paraId="587FE212" w14:textId="77777777">
      <w:pPr>
        <w:pStyle w:val="BodyText"/>
        <w:ind w:left="480" w:right="565"/>
      </w:pPr>
      <w:r>
        <w:rPr>
          <w:b/>
        </w:rPr>
        <w:t xml:space="preserve">Technical potential </w:t>
      </w:r>
      <w:r>
        <w:t xml:space="preserve">is defined as the amount of energy savings that would be possible if the highest level of efficiency for all technically applicable opportunities to improve EE (including FS) were taken, </w:t>
      </w:r>
      <w:r>
        <w:t>including retrofit add-on or retrofit accelerated replacement measures, normal replacement</w:t>
      </w:r>
      <w:r>
        <w:rPr>
          <w:spacing w:val="-4"/>
        </w:rPr>
        <w:t xml:space="preserve"> </w:t>
      </w:r>
      <w:r>
        <w:t>measures,</w:t>
      </w:r>
      <w:r>
        <w:rPr>
          <w:spacing w:val="-4"/>
        </w:rPr>
        <w:t xml:space="preserve"> </w:t>
      </w:r>
      <w:r>
        <w:t>and</w:t>
      </w:r>
      <w:r>
        <w:rPr>
          <w:spacing w:val="-4"/>
        </w:rPr>
        <w:t xml:space="preserve"> </w:t>
      </w:r>
      <w:r>
        <w:t>new</w:t>
      </w:r>
      <w:r>
        <w:rPr>
          <w:spacing w:val="-5"/>
        </w:rPr>
        <w:t xml:space="preserve"> </w:t>
      </w:r>
      <w:r>
        <w:t>construction</w:t>
      </w:r>
      <w:r>
        <w:rPr>
          <w:spacing w:val="-4"/>
        </w:rPr>
        <w:t xml:space="preserve"> </w:t>
      </w:r>
      <w:r>
        <w:t>measures.</w:t>
      </w:r>
      <w:r>
        <w:rPr>
          <w:spacing w:val="-4"/>
        </w:rPr>
        <w:t xml:space="preserve"> </w:t>
      </w:r>
      <w:r>
        <w:t>Technical</w:t>
      </w:r>
      <w:r>
        <w:rPr>
          <w:spacing w:val="-3"/>
        </w:rPr>
        <w:t xml:space="preserve"> </w:t>
      </w:r>
      <w:r>
        <w:t>potential</w:t>
      </w:r>
      <w:r>
        <w:rPr>
          <w:spacing w:val="-4"/>
        </w:rPr>
        <w:t xml:space="preserve"> </w:t>
      </w:r>
      <w:r>
        <w:t>can</w:t>
      </w:r>
      <w:r>
        <w:rPr>
          <w:spacing w:val="-4"/>
        </w:rPr>
        <w:t xml:space="preserve"> </w:t>
      </w:r>
      <w:r>
        <w:t>be</w:t>
      </w:r>
      <w:r>
        <w:rPr>
          <w:spacing w:val="-5"/>
        </w:rPr>
        <w:t xml:space="preserve"> </w:t>
      </w:r>
      <w:r>
        <w:t>reported</w:t>
      </w:r>
      <w:r>
        <w:rPr>
          <w:spacing w:val="-4"/>
        </w:rPr>
        <w:t xml:space="preserve"> </w:t>
      </w:r>
      <w:r>
        <w:t xml:space="preserve">in two forms: instantaneous and annualized. The following considerations are </w:t>
      </w:r>
      <w:r>
        <w:t>factored into the team’s calculation of technical potential:</w:t>
      </w:r>
    </w:p>
    <w:p w:rsidR="00C31389" w:rsidRDefault="00561FBD" w14:paraId="3D10B763" w14:textId="77777777">
      <w:pPr>
        <w:pStyle w:val="ListParagraph"/>
        <w:numPr>
          <w:ilvl w:val="4"/>
          <w:numId w:val="71"/>
        </w:numPr>
        <w:tabs>
          <w:tab w:val="left" w:pos="1200"/>
        </w:tabs>
        <w:spacing w:before="120"/>
        <w:ind w:left="1200" w:right="706"/>
      </w:pPr>
      <w:r>
        <w:t>Technical</w:t>
      </w:r>
      <w:r>
        <w:rPr>
          <w:spacing w:val="-5"/>
        </w:rPr>
        <w:t xml:space="preserve"> </w:t>
      </w:r>
      <w:r>
        <w:t>potential</w:t>
      </w:r>
      <w:r>
        <w:rPr>
          <w:spacing w:val="-4"/>
        </w:rPr>
        <w:t xml:space="preserve"> </w:t>
      </w:r>
      <w:r>
        <w:t>assumes</w:t>
      </w:r>
      <w:r>
        <w:rPr>
          <w:spacing w:val="-4"/>
        </w:rPr>
        <w:t xml:space="preserve"> </w:t>
      </w:r>
      <w:r>
        <w:t>all</w:t>
      </w:r>
      <w:r>
        <w:rPr>
          <w:spacing w:val="-4"/>
        </w:rPr>
        <w:t xml:space="preserve"> </w:t>
      </w:r>
      <w:r>
        <w:t>eligible</w:t>
      </w:r>
      <w:r>
        <w:rPr>
          <w:spacing w:val="-4"/>
        </w:rPr>
        <w:t xml:space="preserve"> </w:t>
      </w:r>
      <w:r>
        <w:t>customers</w:t>
      </w:r>
      <w:r>
        <w:rPr>
          <w:spacing w:val="-4"/>
        </w:rPr>
        <w:t xml:space="preserve"> </w:t>
      </w:r>
      <w:r>
        <w:t>within</w:t>
      </w:r>
      <w:r>
        <w:rPr>
          <w:spacing w:val="-4"/>
        </w:rPr>
        <w:t xml:space="preserve"> </w:t>
      </w:r>
      <w:r>
        <w:t>a</w:t>
      </w:r>
      <w:r>
        <w:rPr>
          <w:spacing w:val="-5"/>
        </w:rPr>
        <w:t xml:space="preserve"> </w:t>
      </w:r>
      <w:r>
        <w:t>technology</w:t>
      </w:r>
      <w:r>
        <w:rPr>
          <w:spacing w:val="-5"/>
        </w:rPr>
        <w:t xml:space="preserve"> </w:t>
      </w:r>
      <w:r>
        <w:t>group</w:t>
      </w:r>
      <w:r>
        <w:rPr>
          <w:spacing w:val="-4"/>
        </w:rPr>
        <w:t xml:space="preserve"> </w:t>
      </w:r>
      <w:r>
        <w:t>adopt</w:t>
      </w:r>
      <w:r>
        <w:rPr>
          <w:spacing w:val="-4"/>
        </w:rPr>
        <w:t xml:space="preserve"> </w:t>
      </w:r>
      <w:r>
        <w:t xml:space="preserve">the highest level of efficiency (or that which saves more source energy in the case of FS) available within the </w:t>
      </w:r>
      <w:r>
        <w:t>technology group.</w:t>
      </w:r>
    </w:p>
    <w:p w:rsidR="00C31389" w:rsidRDefault="00561FBD" w14:paraId="45582B8E" w14:textId="77777777">
      <w:pPr>
        <w:pStyle w:val="ListParagraph"/>
        <w:numPr>
          <w:ilvl w:val="4"/>
          <w:numId w:val="71"/>
        </w:numPr>
        <w:tabs>
          <w:tab w:val="left" w:pos="1200"/>
        </w:tabs>
        <w:spacing w:before="117"/>
        <w:ind w:left="1200" w:right="851"/>
      </w:pPr>
      <w:r>
        <w:t>Total technical potential is the sum of all individual technical potential within each technology group excluding whole building packages and BRO. Whole building packages</w:t>
      </w:r>
      <w:r>
        <w:rPr>
          <w:spacing w:val="-4"/>
        </w:rPr>
        <w:t xml:space="preserve"> </w:t>
      </w:r>
      <w:r>
        <w:t>are</w:t>
      </w:r>
      <w:r>
        <w:rPr>
          <w:spacing w:val="-4"/>
        </w:rPr>
        <w:t xml:space="preserve"> </w:t>
      </w:r>
      <w:r>
        <w:t>excluded</w:t>
      </w:r>
      <w:r>
        <w:rPr>
          <w:spacing w:val="-4"/>
        </w:rPr>
        <w:t xml:space="preserve"> </w:t>
      </w:r>
      <w:r>
        <w:t>from</w:t>
      </w:r>
      <w:r>
        <w:rPr>
          <w:spacing w:val="-5"/>
        </w:rPr>
        <w:t xml:space="preserve"> </w:t>
      </w:r>
      <w:r>
        <w:t>the</w:t>
      </w:r>
      <w:r>
        <w:rPr>
          <w:spacing w:val="-4"/>
        </w:rPr>
        <w:t xml:space="preserve"> </w:t>
      </w:r>
      <w:r>
        <w:t>technical</w:t>
      </w:r>
      <w:r>
        <w:rPr>
          <w:spacing w:val="-4"/>
        </w:rPr>
        <w:t xml:space="preserve"> </w:t>
      </w:r>
      <w:r>
        <w:t>potential</w:t>
      </w:r>
      <w:r>
        <w:rPr>
          <w:spacing w:val="-3"/>
        </w:rPr>
        <w:t xml:space="preserve"> </w:t>
      </w:r>
      <w:r>
        <w:t>because</w:t>
      </w:r>
      <w:r>
        <w:rPr>
          <w:spacing w:val="-5"/>
        </w:rPr>
        <w:t xml:space="preserve"> </w:t>
      </w:r>
      <w:r>
        <w:t>including</w:t>
      </w:r>
      <w:r>
        <w:rPr>
          <w:spacing w:val="-4"/>
        </w:rPr>
        <w:t xml:space="preserve"> </w:t>
      </w:r>
      <w:r>
        <w:t>them</w:t>
      </w:r>
      <w:r>
        <w:rPr>
          <w:spacing w:val="-4"/>
        </w:rPr>
        <w:t xml:space="preserve"> </w:t>
      </w:r>
      <w:r>
        <w:t>wo</w:t>
      </w:r>
      <w:r>
        <w:t>uld</w:t>
      </w:r>
      <w:r>
        <w:rPr>
          <w:spacing w:val="-4"/>
        </w:rPr>
        <w:t xml:space="preserve"> </w:t>
      </w:r>
      <w:r>
        <w:t xml:space="preserve">be duplicative with the technical potential for individual measures. Highly efficient new building or retrofitted building will have no additional opportunity for individual EE technologies to be installed. Technical potential for BROs is undefined in </w:t>
      </w:r>
      <w:r>
        <w:t>this study.</w:t>
      </w:r>
    </w:p>
    <w:p w:rsidR="00C31389" w:rsidRDefault="00C31389" w14:paraId="628BB136" w14:textId="77777777">
      <w:pPr>
        <w:pStyle w:val="BodyText"/>
        <w:spacing w:before="9"/>
        <w:rPr>
          <w:sz w:val="20"/>
        </w:rPr>
      </w:pPr>
    </w:p>
    <w:p w:rsidR="00C31389" w:rsidRDefault="00561FBD" w14:paraId="241A6186" w14:textId="77777777">
      <w:pPr>
        <w:pStyle w:val="BodyText"/>
        <w:spacing w:before="1"/>
        <w:ind w:left="480" w:right="469"/>
      </w:pPr>
      <w:r>
        <w:t>Using</w:t>
      </w:r>
      <w:r>
        <w:rPr>
          <w:spacing w:val="-3"/>
        </w:rPr>
        <w:t xml:space="preserve"> </w:t>
      </w:r>
      <w:r>
        <w:t>the</w:t>
      </w:r>
      <w:r>
        <w:rPr>
          <w:spacing w:val="-3"/>
        </w:rPr>
        <w:t xml:space="preserve"> </w:t>
      </w:r>
      <w:r>
        <w:t>results</w:t>
      </w:r>
      <w:r>
        <w:rPr>
          <w:spacing w:val="-3"/>
        </w:rPr>
        <w:t xml:space="preserve"> </w:t>
      </w:r>
      <w:r>
        <w:t>of</w:t>
      </w:r>
      <w:r>
        <w:rPr>
          <w:spacing w:val="-3"/>
        </w:rPr>
        <w:t xml:space="preserve"> </w:t>
      </w:r>
      <w:r>
        <w:t>the</w:t>
      </w:r>
      <w:r>
        <w:rPr>
          <w:spacing w:val="-4"/>
        </w:rPr>
        <w:t xml:space="preserve"> </w:t>
      </w:r>
      <w:r>
        <w:t>technical</w:t>
      </w:r>
      <w:r>
        <w:rPr>
          <w:spacing w:val="-3"/>
        </w:rPr>
        <w:t xml:space="preserve"> </w:t>
      </w:r>
      <w:r>
        <w:t>potential</w:t>
      </w:r>
      <w:r>
        <w:rPr>
          <w:spacing w:val="-3"/>
        </w:rPr>
        <w:t xml:space="preserve"> </w:t>
      </w:r>
      <w:r>
        <w:t>analysis,</w:t>
      </w:r>
      <w:r>
        <w:rPr>
          <w:spacing w:val="-3"/>
        </w:rPr>
        <w:t xml:space="preserve"> </w:t>
      </w:r>
      <w:r>
        <w:t>the</w:t>
      </w:r>
      <w:r>
        <w:rPr>
          <w:spacing w:val="-3"/>
        </w:rPr>
        <w:t xml:space="preserve"> </w:t>
      </w:r>
      <w:r>
        <w:rPr>
          <w:b/>
        </w:rPr>
        <w:t>economic</w:t>
      </w:r>
      <w:r>
        <w:rPr>
          <w:b/>
          <w:spacing w:val="-3"/>
        </w:rPr>
        <w:t xml:space="preserve"> </w:t>
      </w:r>
      <w:r>
        <w:rPr>
          <w:b/>
        </w:rPr>
        <w:t>potential</w:t>
      </w:r>
      <w:r>
        <w:rPr>
          <w:b/>
          <w:spacing w:val="-2"/>
        </w:rPr>
        <w:t xml:space="preserve"> </w:t>
      </w:r>
      <w:r>
        <w:t>is</w:t>
      </w:r>
      <w:r>
        <w:rPr>
          <w:spacing w:val="-3"/>
        </w:rPr>
        <w:t xml:space="preserve"> </w:t>
      </w:r>
      <w:r>
        <w:t>calculated</w:t>
      </w:r>
      <w:r>
        <w:rPr>
          <w:spacing w:val="-3"/>
        </w:rPr>
        <w:t xml:space="preserve"> </w:t>
      </w:r>
      <w:r>
        <w:t>as</w:t>
      </w:r>
      <w:r>
        <w:rPr>
          <w:spacing w:val="-3"/>
        </w:rPr>
        <w:t xml:space="preserve"> </w:t>
      </w:r>
      <w:r>
        <w:t xml:space="preserve">the total EE potential available when limited to only cost-effective measures. All components of economic potential are a subset of </w:t>
      </w:r>
      <w:r>
        <w:t>technical potential. In addition to the above considerations in modeling technical potential, the team’s calculation of economic potential assumes all eligible customers</w:t>
      </w:r>
      <w:r>
        <w:rPr>
          <w:spacing w:val="-3"/>
        </w:rPr>
        <w:t xml:space="preserve"> </w:t>
      </w:r>
      <w:r>
        <w:t>within</w:t>
      </w:r>
      <w:r>
        <w:rPr>
          <w:spacing w:val="-2"/>
        </w:rPr>
        <w:t xml:space="preserve"> </w:t>
      </w:r>
      <w:r>
        <w:t>a</w:t>
      </w:r>
      <w:r>
        <w:rPr>
          <w:spacing w:val="-2"/>
        </w:rPr>
        <w:t xml:space="preserve"> </w:t>
      </w:r>
      <w:r>
        <w:t>technology</w:t>
      </w:r>
      <w:r>
        <w:rPr>
          <w:spacing w:val="-2"/>
        </w:rPr>
        <w:t xml:space="preserve"> </w:t>
      </w:r>
      <w:r>
        <w:t>group</w:t>
      </w:r>
      <w:r>
        <w:rPr>
          <w:spacing w:val="-2"/>
        </w:rPr>
        <w:t xml:space="preserve"> </w:t>
      </w:r>
      <w:r>
        <w:t>adopt</w:t>
      </w:r>
      <w:r>
        <w:rPr>
          <w:spacing w:val="-2"/>
        </w:rPr>
        <w:t xml:space="preserve"> </w:t>
      </w:r>
      <w:r>
        <w:t>the</w:t>
      </w:r>
      <w:r>
        <w:rPr>
          <w:spacing w:val="-3"/>
        </w:rPr>
        <w:t xml:space="preserve"> </w:t>
      </w:r>
      <w:r>
        <w:t>highest</w:t>
      </w:r>
      <w:r>
        <w:rPr>
          <w:spacing w:val="-2"/>
        </w:rPr>
        <w:t xml:space="preserve"> </w:t>
      </w:r>
      <w:r>
        <w:t>cost-effective</w:t>
      </w:r>
      <w:r>
        <w:rPr>
          <w:spacing w:val="-3"/>
        </w:rPr>
        <w:t xml:space="preserve"> </w:t>
      </w:r>
      <w:r>
        <w:t>level</w:t>
      </w:r>
      <w:r>
        <w:rPr>
          <w:spacing w:val="-2"/>
        </w:rPr>
        <w:t xml:space="preserve"> </w:t>
      </w:r>
      <w:r>
        <w:t>of</w:t>
      </w:r>
      <w:r>
        <w:rPr>
          <w:spacing w:val="-2"/>
        </w:rPr>
        <w:t xml:space="preserve"> </w:t>
      </w:r>
      <w:r>
        <w:t>efficiency</w:t>
      </w:r>
      <w:r>
        <w:rPr>
          <w:spacing w:val="-2"/>
        </w:rPr>
        <w:t xml:space="preserve"> </w:t>
      </w:r>
      <w:r>
        <w:t>availab</w:t>
      </w:r>
      <w:r>
        <w:t xml:space="preserve">le within the technology group. The most efficient technology within the group may not be cost- </w:t>
      </w:r>
      <w:r>
        <w:rPr>
          <w:spacing w:val="-2"/>
        </w:rPr>
        <w:t>effective.</w:t>
      </w:r>
    </w:p>
    <w:p w:rsidR="00C31389" w:rsidRDefault="00561FBD" w14:paraId="231C23A7" w14:textId="77777777">
      <w:pPr>
        <w:pStyle w:val="BodyText"/>
        <w:spacing w:before="119"/>
        <w:ind w:left="480" w:right="533"/>
        <w:rPr>
          <w:sz w:val="14"/>
        </w:rPr>
      </w:pPr>
      <w:r>
        <w:t>Appendix</w:t>
      </w:r>
      <w:r>
        <w:rPr>
          <w:spacing w:val="-2"/>
        </w:rPr>
        <w:t xml:space="preserve"> </w:t>
      </w:r>
      <w:r>
        <w:t>I</w:t>
      </w:r>
      <w:r>
        <w:rPr>
          <w:spacing w:val="-3"/>
        </w:rPr>
        <w:t xml:space="preserve"> </w:t>
      </w:r>
      <w:r>
        <w:t>describes</w:t>
      </w:r>
      <w:r>
        <w:rPr>
          <w:spacing w:val="-3"/>
        </w:rPr>
        <w:t xml:space="preserve"> </w:t>
      </w:r>
      <w:r>
        <w:t>the</w:t>
      </w:r>
      <w:r>
        <w:rPr>
          <w:spacing w:val="-4"/>
        </w:rPr>
        <w:t xml:space="preserve"> </w:t>
      </w:r>
      <w:r>
        <w:t>cost-effectiveness</w:t>
      </w:r>
      <w:r>
        <w:rPr>
          <w:spacing w:val="-3"/>
        </w:rPr>
        <w:t xml:space="preserve"> </w:t>
      </w:r>
      <w:r>
        <w:t>analysis</w:t>
      </w:r>
      <w:r>
        <w:rPr>
          <w:spacing w:val="-3"/>
        </w:rPr>
        <w:t xml:space="preserve"> </w:t>
      </w:r>
      <w:r>
        <w:t>and</w:t>
      </w:r>
      <w:r>
        <w:rPr>
          <w:spacing w:val="-4"/>
        </w:rPr>
        <w:t xml:space="preserve"> </w:t>
      </w:r>
      <w:r>
        <w:t>the</w:t>
      </w:r>
      <w:r>
        <w:rPr>
          <w:spacing w:val="-4"/>
        </w:rPr>
        <w:t xml:space="preserve"> </w:t>
      </w:r>
      <w:r>
        <w:t>steps</w:t>
      </w:r>
      <w:r>
        <w:rPr>
          <w:spacing w:val="-3"/>
        </w:rPr>
        <w:t xml:space="preserve"> </w:t>
      </w:r>
      <w:r>
        <w:t>the</w:t>
      </w:r>
      <w:r>
        <w:rPr>
          <w:spacing w:val="-3"/>
        </w:rPr>
        <w:t xml:space="preserve"> </w:t>
      </w:r>
      <w:r>
        <w:t>2023</w:t>
      </w:r>
      <w:r>
        <w:rPr>
          <w:spacing w:val="-3"/>
        </w:rPr>
        <w:t xml:space="preserve"> </w:t>
      </w:r>
      <w:r>
        <w:t>Study</w:t>
      </w:r>
      <w:r>
        <w:rPr>
          <w:spacing w:val="-3"/>
        </w:rPr>
        <w:t xml:space="preserve"> </w:t>
      </w:r>
      <w:r>
        <w:t>team</w:t>
      </w:r>
      <w:r>
        <w:rPr>
          <w:spacing w:val="-4"/>
        </w:rPr>
        <w:t xml:space="preserve"> </w:t>
      </w:r>
      <w:r>
        <w:t>took</w:t>
      </w:r>
      <w:r>
        <w:rPr>
          <w:spacing w:val="-3"/>
        </w:rPr>
        <w:t xml:space="preserve"> </w:t>
      </w:r>
      <w:r>
        <w:t>to calculate results. The appendix also describes the 202</w:t>
      </w:r>
      <w:r>
        <w:t>3 Study work to align with the Cost- Effectiveness Tool (CET) methodology and inputs.</w:t>
      </w:r>
      <w:r>
        <w:rPr>
          <w:spacing w:val="-33"/>
        </w:rPr>
        <w:t xml:space="preserve"> </w:t>
      </w:r>
      <w:hyperlink w:history="1" w:anchor="_bookmark47">
        <w:r>
          <w:rPr>
            <w:position w:val="7"/>
            <w:sz w:val="14"/>
          </w:rPr>
          <w:t>14</w:t>
        </w:r>
      </w:hyperlink>
    </w:p>
    <w:p w:rsidR="00C31389" w:rsidRDefault="00C31389" w14:paraId="09908C92" w14:textId="77777777">
      <w:pPr>
        <w:pStyle w:val="BodyText"/>
        <w:spacing w:before="3"/>
        <w:rPr>
          <w:sz w:val="31"/>
        </w:rPr>
      </w:pPr>
    </w:p>
    <w:p w:rsidR="00C31389" w:rsidRDefault="00561FBD" w14:paraId="096D7AC9" w14:textId="77777777">
      <w:pPr>
        <w:pStyle w:val="Heading8"/>
        <w:numPr>
          <w:ilvl w:val="3"/>
          <w:numId w:val="71"/>
        </w:numPr>
        <w:tabs>
          <w:tab w:val="left" w:pos="1211"/>
        </w:tabs>
        <w:spacing w:before="1"/>
        <w:ind w:left="1211" w:hanging="732"/>
      </w:pPr>
      <w:bookmarkStart w:name="2.1.1.4_Achievable_Potential" w:id="61"/>
      <w:bookmarkStart w:name="_bookmark46" w:id="62"/>
      <w:bookmarkEnd w:id="61"/>
      <w:bookmarkEnd w:id="62"/>
      <w:r>
        <w:t>Achievable</w:t>
      </w:r>
      <w:r>
        <w:rPr>
          <w:spacing w:val="-13"/>
        </w:rPr>
        <w:t xml:space="preserve"> </w:t>
      </w:r>
      <w:r>
        <w:rPr>
          <w:spacing w:val="-2"/>
        </w:rPr>
        <w:t>Potential</w:t>
      </w:r>
    </w:p>
    <w:p w:rsidR="00C31389" w:rsidRDefault="00C31389" w14:paraId="480C17E8" w14:textId="77777777">
      <w:pPr>
        <w:pStyle w:val="BodyText"/>
        <w:spacing w:before="10"/>
        <w:rPr>
          <w:b/>
          <w:i/>
          <w:sz w:val="20"/>
        </w:rPr>
      </w:pPr>
    </w:p>
    <w:p w:rsidR="00C31389" w:rsidRDefault="00561FBD" w14:paraId="12FE038A" w14:textId="77777777">
      <w:pPr>
        <w:pStyle w:val="BodyText"/>
        <w:ind w:left="480" w:right="533" w:hanging="1"/>
      </w:pPr>
      <w:r>
        <w:t>To</w:t>
      </w:r>
      <w:r>
        <w:rPr>
          <w:spacing w:val="-3"/>
        </w:rPr>
        <w:t xml:space="preserve"> </w:t>
      </w:r>
      <w:r>
        <w:t>estimate</w:t>
      </w:r>
      <w:r>
        <w:rPr>
          <w:spacing w:val="-3"/>
        </w:rPr>
        <w:t xml:space="preserve"> </w:t>
      </w:r>
      <w:r>
        <w:t>the</w:t>
      </w:r>
      <w:r>
        <w:rPr>
          <w:spacing w:val="-3"/>
        </w:rPr>
        <w:t xml:space="preserve"> </w:t>
      </w:r>
      <w:r>
        <w:t>achievable</w:t>
      </w:r>
      <w:r>
        <w:rPr>
          <w:spacing w:val="-3"/>
        </w:rPr>
        <w:t xml:space="preserve"> </w:t>
      </w:r>
      <w:r>
        <w:t>potential</w:t>
      </w:r>
      <w:r>
        <w:rPr>
          <w:spacing w:val="-3"/>
        </w:rPr>
        <w:t xml:space="preserve"> </w:t>
      </w:r>
      <w:r>
        <w:t>for</w:t>
      </w:r>
      <w:r>
        <w:rPr>
          <w:spacing w:val="-3"/>
        </w:rPr>
        <w:t xml:space="preserve"> </w:t>
      </w:r>
      <w:r>
        <w:t>rebated</w:t>
      </w:r>
      <w:r>
        <w:rPr>
          <w:spacing w:val="-3"/>
        </w:rPr>
        <w:t xml:space="preserve"> </w:t>
      </w:r>
      <w:r>
        <w:t>technologies,</w:t>
      </w:r>
      <w:r>
        <w:rPr>
          <w:spacing w:val="-3"/>
        </w:rPr>
        <w:t xml:space="preserve"> </w:t>
      </w:r>
      <w:r>
        <w:t>the</w:t>
      </w:r>
      <w:r>
        <w:rPr>
          <w:spacing w:val="-3"/>
        </w:rPr>
        <w:t xml:space="preserve"> </w:t>
      </w:r>
      <w:r>
        <w:t>model</w:t>
      </w:r>
      <w:r>
        <w:rPr>
          <w:spacing w:val="-3"/>
        </w:rPr>
        <w:t xml:space="preserve"> </w:t>
      </w:r>
      <w:r>
        <w:t>employs</w:t>
      </w:r>
      <w:r>
        <w:rPr>
          <w:spacing w:val="-3"/>
        </w:rPr>
        <w:t xml:space="preserve"> </w:t>
      </w:r>
      <w:r>
        <w:t>a</w:t>
      </w:r>
      <w:r>
        <w:rPr>
          <w:spacing w:val="-3"/>
        </w:rPr>
        <w:t xml:space="preserve"> </w:t>
      </w:r>
      <w:r>
        <w:t xml:space="preserve">three-step process, which is generally illustrated in </w:t>
      </w:r>
      <w:hyperlink w:history="1" w:anchor="_bookmark48">
        <w:r>
          <w:t>Figure 2-3.</w:t>
        </w:r>
      </w:hyperlink>
      <w:r>
        <w:t xml:space="preserve"> and described in detail after the figure.</w:t>
      </w:r>
    </w:p>
    <w:p w:rsidR="00C31389" w:rsidRDefault="00C31389" w14:paraId="35DA79F5" w14:textId="77777777">
      <w:pPr>
        <w:pStyle w:val="BodyText"/>
        <w:rPr>
          <w:sz w:val="20"/>
        </w:rPr>
      </w:pPr>
    </w:p>
    <w:p w:rsidR="00C31389" w:rsidRDefault="00C31389" w14:paraId="19858805" w14:textId="77777777">
      <w:pPr>
        <w:pStyle w:val="BodyText"/>
        <w:rPr>
          <w:sz w:val="20"/>
        </w:rPr>
      </w:pPr>
    </w:p>
    <w:p w:rsidR="00C31389" w:rsidRDefault="00C31389" w14:paraId="32BFDD64" w14:textId="77777777">
      <w:pPr>
        <w:pStyle w:val="BodyText"/>
        <w:rPr>
          <w:sz w:val="20"/>
        </w:rPr>
      </w:pPr>
    </w:p>
    <w:p w:rsidR="00C31389" w:rsidRDefault="00C31389" w14:paraId="059D1A4D" w14:textId="77777777">
      <w:pPr>
        <w:pStyle w:val="BodyText"/>
        <w:rPr>
          <w:sz w:val="20"/>
        </w:rPr>
      </w:pPr>
    </w:p>
    <w:p w:rsidR="00C31389" w:rsidRDefault="00C31389" w14:paraId="7706AEB2" w14:textId="77777777">
      <w:pPr>
        <w:pStyle w:val="BodyText"/>
        <w:rPr>
          <w:sz w:val="20"/>
        </w:rPr>
      </w:pPr>
    </w:p>
    <w:p w:rsidR="00C31389" w:rsidRDefault="00C31389" w14:paraId="5668E1BE" w14:textId="77777777">
      <w:pPr>
        <w:pStyle w:val="BodyText"/>
        <w:rPr>
          <w:sz w:val="20"/>
        </w:rPr>
      </w:pPr>
    </w:p>
    <w:p w:rsidR="00C31389" w:rsidRDefault="00C31389" w14:paraId="10A91243" w14:textId="77777777">
      <w:pPr>
        <w:pStyle w:val="BodyText"/>
        <w:rPr>
          <w:sz w:val="20"/>
        </w:rPr>
      </w:pPr>
    </w:p>
    <w:p w:rsidR="00C31389" w:rsidRDefault="00C31389" w14:paraId="412E5ED2" w14:textId="77777777">
      <w:pPr>
        <w:pStyle w:val="BodyText"/>
        <w:rPr>
          <w:sz w:val="20"/>
        </w:rPr>
      </w:pPr>
    </w:p>
    <w:p w:rsidR="00C31389" w:rsidRDefault="00C31389" w14:paraId="2AF866E5" w14:textId="77777777">
      <w:pPr>
        <w:pStyle w:val="BodyText"/>
        <w:rPr>
          <w:sz w:val="20"/>
        </w:rPr>
      </w:pPr>
    </w:p>
    <w:p w:rsidR="00C31389" w:rsidRDefault="00C31389" w14:paraId="16903968" w14:textId="77777777">
      <w:pPr>
        <w:pStyle w:val="BodyText"/>
        <w:rPr>
          <w:sz w:val="20"/>
        </w:rPr>
      </w:pPr>
    </w:p>
    <w:p w:rsidR="00C31389" w:rsidRDefault="00C31389" w14:paraId="35F718EF" w14:textId="77777777">
      <w:pPr>
        <w:pStyle w:val="BodyText"/>
        <w:rPr>
          <w:sz w:val="20"/>
        </w:rPr>
      </w:pPr>
    </w:p>
    <w:p w:rsidR="00C31389" w:rsidRDefault="00C31389" w14:paraId="63844D9B" w14:textId="77777777">
      <w:pPr>
        <w:pStyle w:val="BodyText"/>
        <w:rPr>
          <w:sz w:val="20"/>
        </w:rPr>
      </w:pPr>
    </w:p>
    <w:p w:rsidR="00C31389" w:rsidRDefault="00C31389" w14:paraId="65A229C5" w14:textId="77777777">
      <w:pPr>
        <w:pStyle w:val="BodyText"/>
        <w:rPr>
          <w:sz w:val="20"/>
        </w:rPr>
      </w:pPr>
    </w:p>
    <w:p w:rsidR="00C31389" w:rsidRDefault="00561FBD" w14:paraId="19294B14" w14:textId="77777777">
      <w:pPr>
        <w:pStyle w:val="BodyText"/>
        <w:spacing w:before="5"/>
        <w:rPr>
          <w:sz w:val="27"/>
        </w:rPr>
      </w:pPr>
      <w:r>
        <w:rPr>
          <w:noProof/>
        </w:rPr>
        <mc:AlternateContent>
          <mc:Choice Requires="wps">
            <w:drawing>
              <wp:anchor distT="0" distB="0" distL="0" distR="0" simplePos="0" relativeHeight="487606272" behindDoc="1" locked="0" layoutInCell="1" allowOverlap="1" wp14:editId="134A5716" wp14:anchorId="1B9A8E1B">
                <wp:simplePos x="0" y="0"/>
                <wp:positionH relativeFrom="page">
                  <wp:posOffset>914400</wp:posOffset>
                </wp:positionH>
                <wp:positionV relativeFrom="paragraph">
                  <wp:posOffset>215704</wp:posOffset>
                </wp:positionV>
                <wp:extent cx="1828800" cy="698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12" style="position:absolute;margin-left:1in;margin-top:17pt;width:2in;height:.5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" w14:anchorId="7B62362C">
                <v:path arrowok="t"/>
                <w10:wrap type="topAndBottom" anchorx="page"/>
              </v:shape>
            </w:pict>
          </mc:Fallback>
        </mc:AlternateContent>
      </w:r>
    </w:p>
    <w:p w:rsidR="00C31389" w:rsidRDefault="00561FBD" w14:paraId="6031EFF1" w14:textId="77777777">
      <w:pPr>
        <w:spacing w:before="89"/>
        <w:ind w:left="480"/>
        <w:rPr>
          <w:sz w:val="18"/>
        </w:rPr>
      </w:pPr>
      <w:bookmarkStart w:name="_bookmark47" w:id="63"/>
      <w:bookmarkEnd w:id="63"/>
      <w:r>
        <w:rPr>
          <w:spacing w:val="-2"/>
          <w:position w:val="6"/>
          <w:sz w:val="12"/>
        </w:rPr>
        <w:t>14</w:t>
      </w:r>
      <w:r>
        <w:rPr>
          <w:spacing w:val="67"/>
          <w:position w:val="6"/>
          <w:sz w:val="12"/>
        </w:rPr>
        <w:t xml:space="preserve">  </w:t>
      </w:r>
      <w:r>
        <w:rPr>
          <w:spacing w:val="-2"/>
          <w:sz w:val="18"/>
        </w:rPr>
        <w:t>https</w:t>
      </w:r>
      <w:hyperlink r:id="rId65">
        <w:r>
          <w:rPr>
            <w:spacing w:val="-2"/>
            <w:sz w:val="18"/>
          </w:rPr>
          <w:t>://w</w:t>
        </w:r>
      </w:hyperlink>
      <w:r>
        <w:rPr>
          <w:spacing w:val="-2"/>
          <w:sz w:val="18"/>
        </w:rPr>
        <w:t>ww</w:t>
      </w:r>
      <w:hyperlink r:id="rId66">
        <w:r>
          <w:rPr>
            <w:spacing w:val="-2"/>
            <w:sz w:val="18"/>
          </w:rPr>
          <w:t>.c</w:t>
        </w:r>
      </w:hyperlink>
      <w:r>
        <w:rPr>
          <w:spacing w:val="-2"/>
          <w:sz w:val="18"/>
        </w:rPr>
        <w:t>p</w:t>
      </w:r>
      <w:hyperlink r:id="rId67">
        <w:r>
          <w:rPr>
            <w:spacing w:val="-2"/>
            <w:sz w:val="18"/>
          </w:rPr>
          <w:t>uc.ca.gov/industries-and-topics/electrical-energy/demand</w:t>
        </w:r>
        <w:r>
          <w:rPr>
            <w:spacing w:val="-2"/>
            <w:sz w:val="18"/>
          </w:rPr>
          <w:t>-side-management/energy-efficiency/idsm</w:t>
        </w:r>
      </w:hyperlink>
    </w:p>
    <w:p w:rsidR="00C31389" w:rsidRDefault="00C31389" w14:paraId="76CEDACC" w14:textId="77777777">
      <w:pPr>
        <w:rPr>
          <w:sz w:val="18"/>
        </w:rPr>
        <w:sectPr w:rsidR="00C31389">
          <w:pgSz w:w="12240" w:h="15840"/>
          <w:pgMar w:top="1660" w:right="960" w:bottom="1120" w:left="960" w:header="397" w:footer="936" w:gutter="0"/>
          <w:cols w:space="720"/>
        </w:sectPr>
      </w:pPr>
    </w:p>
    <w:p w:rsidR="00C31389" w:rsidRDefault="00C31389" w14:paraId="78ACB3AD" w14:textId="77777777">
      <w:pPr>
        <w:pStyle w:val="BodyText"/>
        <w:spacing w:before="11"/>
        <w:rPr>
          <w:sz w:val="13"/>
        </w:rPr>
      </w:pPr>
    </w:p>
    <w:p w:rsidR="00C31389" w:rsidRDefault="00561FBD" w14:paraId="1475DF86" w14:textId="77777777">
      <w:pPr>
        <w:pStyle w:val="Heading7"/>
        <w:spacing w:before="92"/>
        <w:ind w:left="4652" w:right="533" w:hanging="3704"/>
      </w:pPr>
      <w:bookmarkStart w:name="_bookmark48" w:id="64"/>
      <w:bookmarkEnd w:id="64"/>
      <w:r>
        <w:t>Figure</w:t>
      </w:r>
      <w:r>
        <w:rPr>
          <w:spacing w:val="-5"/>
        </w:rPr>
        <w:t xml:space="preserve"> </w:t>
      </w:r>
      <w:r>
        <w:t>2-3.</w:t>
      </w:r>
      <w:r>
        <w:rPr>
          <w:spacing w:val="-5"/>
        </w:rPr>
        <w:t xml:space="preserve"> </w:t>
      </w:r>
      <w:r>
        <w:t>Three-Step</w:t>
      </w:r>
      <w:r>
        <w:rPr>
          <w:spacing w:val="-6"/>
        </w:rPr>
        <w:t xml:space="preserve"> </w:t>
      </w:r>
      <w:r>
        <w:t>Approach</w:t>
      </w:r>
      <w:r>
        <w:rPr>
          <w:spacing w:val="-5"/>
        </w:rPr>
        <w:t xml:space="preserve"> </w:t>
      </w:r>
      <w:r>
        <w:t>to</w:t>
      </w:r>
      <w:r>
        <w:rPr>
          <w:spacing w:val="-5"/>
        </w:rPr>
        <w:t xml:space="preserve"> </w:t>
      </w:r>
      <w:r>
        <w:t>Calculating</w:t>
      </w:r>
      <w:r>
        <w:rPr>
          <w:spacing w:val="-5"/>
        </w:rPr>
        <w:t xml:space="preserve"> </w:t>
      </w:r>
      <w:r>
        <w:t>Achievable</w:t>
      </w:r>
      <w:r>
        <w:rPr>
          <w:spacing w:val="-4"/>
        </w:rPr>
        <w:t xml:space="preserve"> </w:t>
      </w:r>
      <w:r>
        <w:t>Potential</w:t>
      </w:r>
      <w:r>
        <w:rPr>
          <w:spacing w:val="-5"/>
        </w:rPr>
        <w:t xml:space="preserve"> </w:t>
      </w:r>
      <w:r>
        <w:t>for</w:t>
      </w:r>
      <w:r>
        <w:rPr>
          <w:spacing w:val="-6"/>
        </w:rPr>
        <w:t xml:space="preserve"> </w:t>
      </w:r>
      <w:r>
        <w:t xml:space="preserve">Rebated </w:t>
      </w:r>
      <w:r>
        <w:rPr>
          <w:spacing w:val="-2"/>
        </w:rPr>
        <w:t>Measures</w:t>
      </w:r>
    </w:p>
    <w:p w:rsidR="00C31389" w:rsidRDefault="00561FBD" w14:paraId="090CCBE9" w14:textId="77777777">
      <w:pPr>
        <w:pStyle w:val="BodyText"/>
        <w:spacing w:before="5"/>
        <w:rPr>
          <w:b/>
          <w:sz w:val="8"/>
        </w:rPr>
      </w:pPr>
      <w:r>
        <w:rPr>
          <w:noProof/>
        </w:rPr>
        <w:drawing>
          <wp:anchor distT="0" distB="0" distL="0" distR="0" simplePos="0" relativeHeight="487606784" behindDoc="1" locked="0" layoutInCell="1" allowOverlap="1" wp14:editId="41395591" wp14:anchorId="25FBA017">
            <wp:simplePos x="0" y="0"/>
            <wp:positionH relativeFrom="page">
              <wp:posOffset>1133475</wp:posOffset>
            </wp:positionH>
            <wp:positionV relativeFrom="paragraph">
              <wp:posOffset>76933</wp:posOffset>
            </wp:positionV>
            <wp:extent cx="5448298" cy="2700337"/>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8" cstate="print"/>
                    <a:stretch>
                      <a:fillRect/>
                    </a:stretch>
                  </pic:blipFill>
                  <pic:spPr>
                    <a:xfrm>
                      <a:off x="0" y="0"/>
                      <a:ext cx="5448298" cy="2700337"/>
                    </a:xfrm>
                    <a:prstGeom prst="rect">
                      <a:avLst/>
                    </a:prstGeom>
                  </pic:spPr>
                </pic:pic>
              </a:graphicData>
            </a:graphic>
          </wp:anchor>
        </w:drawing>
      </w:r>
    </w:p>
    <w:p w:rsidR="00C31389" w:rsidRDefault="00561FBD" w14:paraId="4AF74DE9" w14:textId="77777777">
      <w:pPr>
        <w:spacing w:before="99"/>
        <w:ind w:left="480"/>
        <w:rPr>
          <w:i/>
          <w:sz w:val="18"/>
        </w:rPr>
      </w:pPr>
      <w:r>
        <w:rPr>
          <w:i/>
          <w:sz w:val="18"/>
        </w:rPr>
        <w:t>Source:</w:t>
      </w:r>
      <w:r>
        <w:rPr>
          <w:i/>
          <w:spacing w:val="-4"/>
          <w:sz w:val="18"/>
        </w:rPr>
        <w:t xml:space="preserve"> </w:t>
      </w:r>
      <w:r>
        <w:rPr>
          <w:i/>
          <w:spacing w:val="-2"/>
          <w:sz w:val="18"/>
        </w:rPr>
        <w:t>Guidehouse</w:t>
      </w:r>
    </w:p>
    <w:p w:rsidR="00C31389" w:rsidRDefault="00C31389" w14:paraId="0C74BA31" w14:textId="77777777">
      <w:pPr>
        <w:pStyle w:val="BodyText"/>
        <w:spacing w:before="10"/>
        <w:rPr>
          <w:i/>
          <w:sz w:val="20"/>
        </w:rPr>
      </w:pPr>
    </w:p>
    <w:p w:rsidR="00C31389" w:rsidRDefault="00561FBD" w14:paraId="75179568" w14:textId="77777777">
      <w:pPr>
        <w:pStyle w:val="BodyText"/>
        <w:ind w:left="480" w:right="533"/>
      </w:pPr>
      <w:r>
        <w:t>In</w:t>
      </w:r>
      <w:r>
        <w:rPr>
          <w:spacing w:val="-3"/>
        </w:rPr>
        <w:t xml:space="preserve"> </w:t>
      </w:r>
      <w:r>
        <w:t>the</w:t>
      </w:r>
      <w:r>
        <w:rPr>
          <w:spacing w:val="-3"/>
        </w:rPr>
        <w:t xml:space="preserve"> </w:t>
      </w:r>
      <w:r>
        <w:t>first</w:t>
      </w:r>
      <w:r>
        <w:rPr>
          <w:spacing w:val="-3"/>
        </w:rPr>
        <w:t xml:space="preserve"> </w:t>
      </w:r>
      <w:r>
        <w:t>step,</w:t>
      </w:r>
      <w:r>
        <w:rPr>
          <w:spacing w:val="-3"/>
        </w:rPr>
        <w:t xml:space="preserve"> </w:t>
      </w:r>
      <w:r>
        <w:t>the</w:t>
      </w:r>
      <w:r>
        <w:rPr>
          <w:spacing w:val="-3"/>
        </w:rPr>
        <w:t xml:space="preserve"> </w:t>
      </w:r>
      <w:r>
        <w:t>model</w:t>
      </w:r>
      <w:r>
        <w:rPr>
          <w:spacing w:val="-3"/>
        </w:rPr>
        <w:t xml:space="preserve"> </w:t>
      </w:r>
      <w:r>
        <w:t>calculates</w:t>
      </w:r>
      <w:r>
        <w:rPr>
          <w:spacing w:val="-4"/>
        </w:rPr>
        <w:t xml:space="preserve"> </w:t>
      </w:r>
      <w:r>
        <w:t>the</w:t>
      </w:r>
      <w:r>
        <w:rPr>
          <w:spacing w:val="-3"/>
        </w:rPr>
        <w:t xml:space="preserve"> </w:t>
      </w:r>
      <w:r>
        <w:t>number</w:t>
      </w:r>
      <w:r>
        <w:rPr>
          <w:spacing w:val="-3"/>
        </w:rPr>
        <w:t xml:space="preserve"> </w:t>
      </w:r>
      <w:r>
        <w:t>of</w:t>
      </w:r>
      <w:r>
        <w:rPr>
          <w:spacing w:val="-3"/>
        </w:rPr>
        <w:t xml:space="preserve"> </w:t>
      </w:r>
      <w:r>
        <w:t>installation</w:t>
      </w:r>
      <w:r>
        <w:rPr>
          <w:spacing w:val="-3"/>
        </w:rPr>
        <w:t xml:space="preserve"> </w:t>
      </w:r>
      <w:r>
        <w:t>decisions</w:t>
      </w:r>
      <w:r>
        <w:rPr>
          <w:spacing w:val="-4"/>
        </w:rPr>
        <w:t xml:space="preserve"> </w:t>
      </w:r>
      <w:r>
        <w:t>expected</w:t>
      </w:r>
      <w:r>
        <w:rPr>
          <w:spacing w:val="-3"/>
        </w:rPr>
        <w:t xml:space="preserve"> </w:t>
      </w:r>
      <w:r>
        <w:t>to</w:t>
      </w:r>
      <w:r>
        <w:rPr>
          <w:spacing w:val="-4"/>
        </w:rPr>
        <w:t xml:space="preserve"> </w:t>
      </w:r>
      <w:r>
        <w:t>occur</w:t>
      </w:r>
      <w:r>
        <w:rPr>
          <w:spacing w:val="-3"/>
        </w:rPr>
        <w:t xml:space="preserve"> </w:t>
      </w:r>
      <w:r>
        <w:t>for each measure in each year. The types of installation decisions vary by technology type:</w:t>
      </w:r>
    </w:p>
    <w:p w:rsidR="00C31389" w:rsidRDefault="00561FBD" w14:paraId="24CBAC0C" w14:textId="77777777">
      <w:pPr>
        <w:pStyle w:val="ListParagraph"/>
        <w:numPr>
          <w:ilvl w:val="4"/>
          <w:numId w:val="71"/>
        </w:numPr>
        <w:tabs>
          <w:tab w:val="left" w:pos="1199"/>
        </w:tabs>
        <w:spacing w:before="119"/>
        <w:ind w:right="521"/>
      </w:pPr>
      <w:r>
        <w:t>For</w:t>
      </w:r>
      <w:r>
        <w:rPr>
          <w:spacing w:val="-4"/>
        </w:rPr>
        <w:t xml:space="preserve"> </w:t>
      </w:r>
      <w:r>
        <w:t>normal</w:t>
      </w:r>
      <w:r>
        <w:rPr>
          <w:spacing w:val="-4"/>
        </w:rPr>
        <w:t xml:space="preserve"> </w:t>
      </w:r>
      <w:r>
        <w:t>replacement</w:t>
      </w:r>
      <w:r>
        <w:rPr>
          <w:spacing w:val="-4"/>
        </w:rPr>
        <w:t xml:space="preserve"> </w:t>
      </w:r>
      <w:r>
        <w:t>technologies</w:t>
      </w:r>
      <w:r>
        <w:rPr>
          <w:spacing w:val="-4"/>
        </w:rPr>
        <w:t xml:space="preserve"> </w:t>
      </w:r>
      <w:r>
        <w:t>(e.g.,</w:t>
      </w:r>
      <w:r>
        <w:rPr>
          <w:spacing w:val="-4"/>
        </w:rPr>
        <w:t xml:space="preserve"> </w:t>
      </w:r>
      <w:r>
        <w:t>residential</w:t>
      </w:r>
      <w:r>
        <w:rPr>
          <w:spacing w:val="-4"/>
        </w:rPr>
        <w:t xml:space="preserve"> </w:t>
      </w:r>
      <w:r>
        <w:t>lighting),</w:t>
      </w:r>
      <w:r>
        <w:rPr>
          <w:spacing w:val="-4"/>
        </w:rPr>
        <w:t xml:space="preserve"> </w:t>
      </w:r>
      <w:r>
        <w:t>the</w:t>
      </w:r>
      <w:r>
        <w:rPr>
          <w:spacing w:val="-4"/>
        </w:rPr>
        <w:t xml:space="preserve"> </w:t>
      </w:r>
      <w:r>
        <w:t>customer</w:t>
      </w:r>
      <w:r>
        <w:rPr>
          <w:spacing w:val="-4"/>
        </w:rPr>
        <w:t xml:space="preserve"> </w:t>
      </w:r>
      <w:r>
        <w:t>decision</w:t>
      </w:r>
      <w:r>
        <w:rPr>
          <w:spacing w:val="-4"/>
        </w:rPr>
        <w:t xml:space="preserve"> </w:t>
      </w:r>
      <w:r>
        <w:t>to adopt occurs at the en</w:t>
      </w:r>
      <w:r>
        <w:t>d of the base measure’s life.</w:t>
      </w:r>
    </w:p>
    <w:p w:rsidR="00C31389" w:rsidRDefault="00561FBD" w14:paraId="3494062D" w14:textId="77777777">
      <w:pPr>
        <w:pStyle w:val="ListParagraph"/>
        <w:numPr>
          <w:ilvl w:val="4"/>
          <w:numId w:val="71"/>
        </w:numPr>
        <w:tabs>
          <w:tab w:val="left" w:pos="1200"/>
        </w:tabs>
        <w:spacing w:before="118"/>
        <w:ind w:left="1200" w:right="594" w:hanging="361"/>
      </w:pPr>
      <w:r>
        <w:t>For retrofit add-on or retrofit accelerated replacement technologies, the customer decision</w:t>
      </w:r>
      <w:r>
        <w:rPr>
          <w:spacing w:val="-4"/>
        </w:rPr>
        <w:t xml:space="preserve"> </w:t>
      </w:r>
      <w:r>
        <w:t>to</w:t>
      </w:r>
      <w:r>
        <w:rPr>
          <w:spacing w:val="-4"/>
        </w:rPr>
        <w:t xml:space="preserve"> </w:t>
      </w:r>
      <w:r>
        <w:t>adopt</w:t>
      </w:r>
      <w:r>
        <w:rPr>
          <w:spacing w:val="-3"/>
        </w:rPr>
        <w:t xml:space="preserve"> </w:t>
      </w:r>
      <w:r>
        <w:t>is</w:t>
      </w:r>
      <w:r>
        <w:rPr>
          <w:spacing w:val="-3"/>
        </w:rPr>
        <w:t xml:space="preserve"> </w:t>
      </w:r>
      <w:r>
        <w:t>not</w:t>
      </w:r>
      <w:r>
        <w:rPr>
          <w:spacing w:val="-4"/>
        </w:rPr>
        <w:t xml:space="preserve"> </w:t>
      </w:r>
      <w:r>
        <w:t>governed</w:t>
      </w:r>
      <w:r>
        <w:rPr>
          <w:spacing w:val="-3"/>
        </w:rPr>
        <w:t xml:space="preserve"> </w:t>
      </w:r>
      <w:r>
        <w:t>by</w:t>
      </w:r>
      <w:r>
        <w:rPr>
          <w:spacing w:val="-4"/>
        </w:rPr>
        <w:t xml:space="preserve"> </w:t>
      </w:r>
      <w:r>
        <w:t>equipment</w:t>
      </w:r>
      <w:r>
        <w:rPr>
          <w:spacing w:val="-3"/>
        </w:rPr>
        <w:t xml:space="preserve"> </w:t>
      </w:r>
      <w:r>
        <w:t>failure</w:t>
      </w:r>
      <w:r>
        <w:rPr>
          <w:spacing w:val="-3"/>
        </w:rPr>
        <w:t xml:space="preserve"> </w:t>
      </w:r>
      <w:r>
        <w:t>and</w:t>
      </w:r>
      <w:r>
        <w:rPr>
          <w:spacing w:val="-3"/>
        </w:rPr>
        <w:t xml:space="preserve"> </w:t>
      </w:r>
      <w:r>
        <w:t>can</w:t>
      </w:r>
      <w:r>
        <w:rPr>
          <w:spacing w:val="-3"/>
        </w:rPr>
        <w:t xml:space="preserve"> </w:t>
      </w:r>
      <w:r>
        <w:t>occur</w:t>
      </w:r>
      <w:r>
        <w:rPr>
          <w:spacing w:val="-3"/>
        </w:rPr>
        <w:t xml:space="preserve"> </w:t>
      </w:r>
      <w:r>
        <w:t>before</w:t>
      </w:r>
      <w:r>
        <w:rPr>
          <w:spacing w:val="-3"/>
        </w:rPr>
        <w:t xml:space="preserve"> </w:t>
      </w:r>
      <w:r>
        <w:t>or</w:t>
      </w:r>
      <w:r>
        <w:rPr>
          <w:spacing w:val="-3"/>
        </w:rPr>
        <w:t xml:space="preserve"> </w:t>
      </w:r>
      <w:r>
        <w:t>after</w:t>
      </w:r>
      <w:r>
        <w:rPr>
          <w:spacing w:val="-3"/>
        </w:rPr>
        <w:t xml:space="preserve"> </w:t>
      </w:r>
      <w:r>
        <w:t xml:space="preserve">the </w:t>
      </w:r>
      <w:r>
        <w:rPr>
          <w:spacing w:val="-4"/>
        </w:rPr>
        <w:t>EUL.</w:t>
      </w:r>
    </w:p>
    <w:p w:rsidR="00C31389" w:rsidRDefault="00C31389" w14:paraId="2DBDC092" w14:textId="77777777">
      <w:pPr>
        <w:pStyle w:val="BodyText"/>
        <w:spacing w:before="9"/>
        <w:rPr>
          <w:sz w:val="20"/>
        </w:rPr>
      </w:pPr>
    </w:p>
    <w:p w:rsidR="00C31389" w:rsidRDefault="00561FBD" w14:paraId="63915ACF" w14:textId="77777777">
      <w:pPr>
        <w:pStyle w:val="BodyText"/>
        <w:ind w:left="480" w:right="533"/>
      </w:pPr>
      <w:r>
        <w:t xml:space="preserve">The model simulates technology stocks for </w:t>
      </w:r>
      <w:r>
        <w:t>base and efficient technologies separately to account</w:t>
      </w:r>
      <w:r>
        <w:rPr>
          <w:spacing w:val="-3"/>
        </w:rPr>
        <w:t xml:space="preserve"> </w:t>
      </w:r>
      <w:r>
        <w:t>for</w:t>
      </w:r>
      <w:r>
        <w:rPr>
          <w:spacing w:val="-5"/>
        </w:rPr>
        <w:t xml:space="preserve"> </w:t>
      </w:r>
      <w:r>
        <w:t>EUL</w:t>
      </w:r>
      <w:r>
        <w:rPr>
          <w:spacing w:val="-3"/>
        </w:rPr>
        <w:t xml:space="preserve"> </w:t>
      </w:r>
      <w:r>
        <w:t>differences.</w:t>
      </w:r>
      <w:r>
        <w:rPr>
          <w:spacing w:val="-3"/>
        </w:rPr>
        <w:t xml:space="preserve"> </w:t>
      </w:r>
      <w:r>
        <w:t>The</w:t>
      </w:r>
      <w:r>
        <w:rPr>
          <w:spacing w:val="-3"/>
        </w:rPr>
        <w:t xml:space="preserve"> </w:t>
      </w:r>
      <w:r>
        <w:t>number</w:t>
      </w:r>
      <w:r>
        <w:rPr>
          <w:spacing w:val="-3"/>
        </w:rPr>
        <w:t xml:space="preserve"> </w:t>
      </w:r>
      <w:r>
        <w:t>of</w:t>
      </w:r>
      <w:r>
        <w:rPr>
          <w:spacing w:val="-3"/>
        </w:rPr>
        <w:t xml:space="preserve"> </w:t>
      </w:r>
      <w:r>
        <w:t>adoption</w:t>
      </w:r>
      <w:r>
        <w:rPr>
          <w:spacing w:val="-3"/>
        </w:rPr>
        <w:t xml:space="preserve"> </w:t>
      </w:r>
      <w:r>
        <w:t>decisions</w:t>
      </w:r>
      <w:r>
        <w:rPr>
          <w:spacing w:val="-3"/>
        </w:rPr>
        <w:t xml:space="preserve"> </w:t>
      </w:r>
      <w:r>
        <w:t>that</w:t>
      </w:r>
      <w:r>
        <w:rPr>
          <w:spacing w:val="-3"/>
        </w:rPr>
        <w:t xml:space="preserve"> </w:t>
      </w:r>
      <w:r>
        <w:t>occur</w:t>
      </w:r>
      <w:r>
        <w:rPr>
          <w:spacing w:val="-3"/>
        </w:rPr>
        <w:t xml:space="preserve"> </w:t>
      </w:r>
      <w:r>
        <w:t>in</w:t>
      </w:r>
      <w:r>
        <w:rPr>
          <w:spacing w:val="-3"/>
        </w:rPr>
        <w:t xml:space="preserve"> </w:t>
      </w:r>
      <w:r>
        <w:t>each</w:t>
      </w:r>
      <w:r>
        <w:rPr>
          <w:spacing w:val="-3"/>
        </w:rPr>
        <w:t xml:space="preserve"> </w:t>
      </w:r>
      <w:r>
        <w:t>year</w:t>
      </w:r>
      <w:r>
        <w:rPr>
          <w:spacing w:val="-3"/>
        </w:rPr>
        <w:t xml:space="preserve"> </w:t>
      </w:r>
      <w:r>
        <w:t>is considered the eligible population, which is a function of the building stocks, technology saturation, technology type, a</w:t>
      </w:r>
      <w:r>
        <w:t>nd technology burnout rates (i.e., based on EUL).</w:t>
      </w:r>
    </w:p>
    <w:p w:rsidR="00C31389" w:rsidRDefault="00C31389" w14:paraId="5A5592C3" w14:textId="77777777">
      <w:pPr>
        <w:pStyle w:val="BodyText"/>
        <w:spacing w:before="10"/>
        <w:rPr>
          <w:sz w:val="20"/>
        </w:rPr>
      </w:pPr>
    </w:p>
    <w:p w:rsidR="00C31389" w:rsidRDefault="00561FBD" w14:paraId="1FEC1B55" w14:textId="77777777">
      <w:pPr>
        <w:pStyle w:val="BodyText"/>
        <w:ind w:left="480"/>
      </w:pPr>
      <w:r>
        <w:t>In</w:t>
      </w:r>
      <w:r>
        <w:rPr>
          <w:spacing w:val="-6"/>
        </w:rPr>
        <w:t xml:space="preserve"> </w:t>
      </w:r>
      <w:r>
        <w:t>the</w:t>
      </w:r>
      <w:r>
        <w:rPr>
          <w:spacing w:val="-6"/>
        </w:rPr>
        <w:t xml:space="preserve"> </w:t>
      </w:r>
      <w:r>
        <w:t>second</w:t>
      </w:r>
      <w:r>
        <w:rPr>
          <w:spacing w:val="-5"/>
        </w:rPr>
        <w:t xml:space="preserve"> </w:t>
      </w:r>
      <w:r>
        <w:t>step,</w:t>
      </w:r>
      <w:r>
        <w:rPr>
          <w:spacing w:val="-6"/>
        </w:rPr>
        <w:t xml:space="preserve"> </w:t>
      </w:r>
      <w:r>
        <w:t>the</w:t>
      </w:r>
      <w:r>
        <w:rPr>
          <w:spacing w:val="-6"/>
        </w:rPr>
        <w:t xml:space="preserve"> </w:t>
      </w:r>
      <w:r>
        <w:t>model</w:t>
      </w:r>
      <w:r>
        <w:rPr>
          <w:spacing w:val="-6"/>
        </w:rPr>
        <w:t xml:space="preserve"> </w:t>
      </w:r>
      <w:r>
        <w:t>simulates</w:t>
      </w:r>
      <w:r>
        <w:rPr>
          <w:spacing w:val="-6"/>
        </w:rPr>
        <w:t xml:space="preserve"> </w:t>
      </w:r>
      <w:r>
        <w:t>the</w:t>
      </w:r>
      <w:r>
        <w:rPr>
          <w:spacing w:val="-5"/>
        </w:rPr>
        <w:t xml:space="preserve"> </w:t>
      </w:r>
      <w:r>
        <w:t>adoption</w:t>
      </w:r>
      <w:r>
        <w:rPr>
          <w:spacing w:val="-6"/>
        </w:rPr>
        <w:t xml:space="preserve"> </w:t>
      </w:r>
      <w:r>
        <w:t>of</w:t>
      </w:r>
      <w:r>
        <w:rPr>
          <w:spacing w:val="-6"/>
        </w:rPr>
        <w:t xml:space="preserve"> </w:t>
      </w:r>
      <w:r>
        <w:t>each</w:t>
      </w:r>
      <w:r>
        <w:rPr>
          <w:spacing w:val="-5"/>
        </w:rPr>
        <w:t xml:space="preserve"> </w:t>
      </w:r>
      <w:r>
        <w:t>measure</w:t>
      </w:r>
      <w:r>
        <w:rPr>
          <w:spacing w:val="-6"/>
        </w:rPr>
        <w:t xml:space="preserve"> </w:t>
      </w:r>
      <w:r>
        <w:t>that</w:t>
      </w:r>
      <w:r>
        <w:rPr>
          <w:spacing w:val="-5"/>
        </w:rPr>
        <w:t xml:space="preserve"> </w:t>
      </w:r>
      <w:r>
        <w:t>passes</w:t>
      </w:r>
      <w:r>
        <w:rPr>
          <w:spacing w:val="-7"/>
        </w:rPr>
        <w:t xml:space="preserve"> </w:t>
      </w:r>
      <w:r>
        <w:rPr>
          <w:spacing w:val="-10"/>
        </w:rPr>
        <w:t>a</w:t>
      </w:r>
    </w:p>
    <w:p w:rsidR="00C31389" w:rsidRDefault="00561FBD" w14:paraId="3FE15336" w14:textId="77777777">
      <w:pPr>
        <w:pStyle w:val="BodyText"/>
        <w:ind w:left="480" w:right="533"/>
      </w:pPr>
      <w:r>
        <w:t>cost-effectiveness</w:t>
      </w:r>
      <w:r>
        <w:rPr>
          <w:spacing w:val="-4"/>
        </w:rPr>
        <w:t xml:space="preserve"> </w:t>
      </w:r>
      <w:r>
        <w:t>screen</w:t>
      </w:r>
      <w:r>
        <w:rPr>
          <w:spacing w:val="-4"/>
        </w:rPr>
        <w:t xml:space="preserve"> </w:t>
      </w:r>
      <w:r>
        <w:t>in</w:t>
      </w:r>
      <w:r>
        <w:rPr>
          <w:spacing w:val="-4"/>
        </w:rPr>
        <w:t xml:space="preserve"> </w:t>
      </w:r>
      <w:r>
        <w:t>each</w:t>
      </w:r>
      <w:r>
        <w:rPr>
          <w:spacing w:val="-4"/>
        </w:rPr>
        <w:t xml:space="preserve"> </w:t>
      </w:r>
      <w:r>
        <w:t>year.</w:t>
      </w:r>
      <w:r>
        <w:rPr>
          <w:spacing w:val="-4"/>
        </w:rPr>
        <w:t xml:space="preserve"> </w:t>
      </w:r>
      <w:r>
        <w:t>The</w:t>
      </w:r>
      <w:r>
        <w:rPr>
          <w:spacing w:val="-4"/>
        </w:rPr>
        <w:t xml:space="preserve"> </w:t>
      </w:r>
      <w:r>
        <w:t>model</w:t>
      </w:r>
      <w:r>
        <w:rPr>
          <w:spacing w:val="-4"/>
        </w:rPr>
        <w:t xml:space="preserve"> </w:t>
      </w:r>
      <w:r>
        <w:t>estimates</w:t>
      </w:r>
      <w:r>
        <w:rPr>
          <w:spacing w:val="-4"/>
        </w:rPr>
        <w:t xml:space="preserve"> </w:t>
      </w:r>
      <w:r>
        <w:t>awareness</w:t>
      </w:r>
      <w:r>
        <w:rPr>
          <w:spacing w:val="-5"/>
        </w:rPr>
        <w:t xml:space="preserve"> </w:t>
      </w:r>
      <w:r>
        <w:t>level</w:t>
      </w:r>
      <w:r>
        <w:rPr>
          <w:spacing w:val="-4"/>
        </w:rPr>
        <w:t xml:space="preserve"> </w:t>
      </w:r>
      <w:r>
        <w:t>of</w:t>
      </w:r>
      <w:r>
        <w:rPr>
          <w:spacing w:val="-4"/>
        </w:rPr>
        <w:t xml:space="preserve"> </w:t>
      </w:r>
      <w:r>
        <w:t>each</w:t>
      </w:r>
      <w:r>
        <w:rPr>
          <w:spacing w:val="-4"/>
        </w:rPr>
        <w:t xml:space="preserve"> </w:t>
      </w:r>
      <w:r>
        <w:t xml:space="preserve">measure in the eligible </w:t>
      </w:r>
      <w:r>
        <w:t>population and the willingness to adopt each measure that passes the</w:t>
      </w:r>
    </w:p>
    <w:p w:rsidR="00C31389" w:rsidRDefault="00561FBD" w14:paraId="42421576" w14:textId="77777777">
      <w:pPr>
        <w:pStyle w:val="BodyText"/>
        <w:spacing w:before="1"/>
        <w:ind w:left="480" w:right="533"/>
      </w:pPr>
      <w:r>
        <w:t>cost-effectiveness screen. In this step, the model employs the Bass diffusion approach to simulate adoption (described in more detail later in this section). For the 2023 Study, the Guide</w:t>
      </w:r>
      <w:r>
        <w:t>house</w:t>
      </w:r>
      <w:r>
        <w:rPr>
          <w:spacing w:val="-3"/>
        </w:rPr>
        <w:t xml:space="preserve"> </w:t>
      </w:r>
      <w:r>
        <w:t>team</w:t>
      </w:r>
      <w:r>
        <w:rPr>
          <w:spacing w:val="-4"/>
        </w:rPr>
        <w:t xml:space="preserve"> </w:t>
      </w:r>
      <w:r>
        <w:t>retained</w:t>
      </w:r>
      <w:r>
        <w:rPr>
          <w:spacing w:val="-3"/>
        </w:rPr>
        <w:t xml:space="preserve"> </w:t>
      </w:r>
      <w:r>
        <w:t>the</w:t>
      </w:r>
      <w:r>
        <w:rPr>
          <w:spacing w:val="-3"/>
        </w:rPr>
        <w:t xml:space="preserve"> </w:t>
      </w:r>
      <w:r>
        <w:t>methodology</w:t>
      </w:r>
      <w:r>
        <w:rPr>
          <w:spacing w:val="-3"/>
        </w:rPr>
        <w:t xml:space="preserve"> </w:t>
      </w:r>
      <w:r>
        <w:t>used</w:t>
      </w:r>
      <w:r>
        <w:rPr>
          <w:spacing w:val="-3"/>
        </w:rPr>
        <w:t xml:space="preserve"> </w:t>
      </w:r>
      <w:r>
        <w:t>in</w:t>
      </w:r>
      <w:r>
        <w:rPr>
          <w:spacing w:val="-3"/>
        </w:rPr>
        <w:t xml:space="preserve"> </w:t>
      </w:r>
      <w:r>
        <w:t>the</w:t>
      </w:r>
      <w:r>
        <w:rPr>
          <w:spacing w:val="-3"/>
        </w:rPr>
        <w:t xml:space="preserve"> </w:t>
      </w:r>
      <w:r>
        <w:t>2021</w:t>
      </w:r>
      <w:r>
        <w:rPr>
          <w:spacing w:val="-3"/>
        </w:rPr>
        <w:t xml:space="preserve"> </w:t>
      </w:r>
      <w:r>
        <w:t>Study,</w:t>
      </w:r>
      <w:r>
        <w:rPr>
          <w:spacing w:val="-3"/>
        </w:rPr>
        <w:t xml:space="preserve"> </w:t>
      </w:r>
      <w:r>
        <w:t>which</w:t>
      </w:r>
      <w:r>
        <w:rPr>
          <w:spacing w:val="-3"/>
        </w:rPr>
        <w:t xml:space="preserve"> </w:t>
      </w:r>
      <w:r>
        <w:t>incorporated</w:t>
      </w:r>
      <w:r>
        <w:rPr>
          <w:spacing w:val="-3"/>
        </w:rPr>
        <w:t xml:space="preserve"> </w:t>
      </w:r>
      <w:r>
        <w:t>factors beyond financial attractiveness. These factors were typically based on the customers’ lifetime cost or payback period.</w:t>
      </w:r>
    </w:p>
    <w:p w:rsidR="00C31389" w:rsidRDefault="00C31389" w14:paraId="7C3E1758" w14:textId="77777777">
      <w:pPr>
        <w:pStyle w:val="BodyText"/>
        <w:spacing w:before="9"/>
        <w:rPr>
          <w:sz w:val="20"/>
        </w:rPr>
      </w:pPr>
    </w:p>
    <w:p w:rsidR="00C31389" w:rsidRDefault="00561FBD" w14:paraId="7512961C" w14:textId="77777777">
      <w:pPr>
        <w:pStyle w:val="BodyText"/>
        <w:spacing w:before="1"/>
        <w:ind w:left="480" w:right="485"/>
      </w:pPr>
      <w:r>
        <w:t>In the final step, the model calculates energy sa</w:t>
      </w:r>
      <w:r>
        <w:t>vings and corresponding costs and benefits resulting</w:t>
      </w:r>
      <w:r>
        <w:rPr>
          <w:spacing w:val="-3"/>
        </w:rPr>
        <w:t xml:space="preserve"> </w:t>
      </w:r>
      <w:r>
        <w:t>from</w:t>
      </w:r>
      <w:r>
        <w:rPr>
          <w:spacing w:val="-4"/>
        </w:rPr>
        <w:t xml:space="preserve"> </w:t>
      </w:r>
      <w:r>
        <w:t>measure</w:t>
      </w:r>
      <w:r>
        <w:rPr>
          <w:spacing w:val="-2"/>
        </w:rPr>
        <w:t xml:space="preserve"> </w:t>
      </w:r>
      <w:r>
        <w:t>adoption</w:t>
      </w:r>
      <w:r>
        <w:rPr>
          <w:spacing w:val="-3"/>
        </w:rPr>
        <w:t xml:space="preserve"> </w:t>
      </w:r>
      <w:r>
        <w:t>decisions</w:t>
      </w:r>
      <w:r>
        <w:rPr>
          <w:spacing w:val="-3"/>
        </w:rPr>
        <w:t xml:space="preserve"> </w:t>
      </w:r>
      <w:r>
        <w:t>in</w:t>
      </w:r>
      <w:r>
        <w:rPr>
          <w:spacing w:val="-3"/>
        </w:rPr>
        <w:t xml:space="preserve"> </w:t>
      </w:r>
      <w:r>
        <w:t>the</w:t>
      </w:r>
      <w:r>
        <w:rPr>
          <w:spacing w:val="-3"/>
        </w:rPr>
        <w:t xml:space="preserve"> </w:t>
      </w:r>
      <w:r>
        <w:t>second</w:t>
      </w:r>
      <w:r>
        <w:rPr>
          <w:spacing w:val="-3"/>
        </w:rPr>
        <w:t xml:space="preserve"> </w:t>
      </w:r>
      <w:r>
        <w:t>step.</w:t>
      </w:r>
      <w:r>
        <w:rPr>
          <w:spacing w:val="-3"/>
        </w:rPr>
        <w:t xml:space="preserve"> </w:t>
      </w:r>
      <w:r>
        <w:t>Savings</w:t>
      </w:r>
      <w:r>
        <w:rPr>
          <w:spacing w:val="-4"/>
        </w:rPr>
        <w:t xml:space="preserve"> </w:t>
      </w:r>
      <w:r>
        <w:t>are</w:t>
      </w:r>
      <w:r>
        <w:rPr>
          <w:spacing w:val="-3"/>
        </w:rPr>
        <w:t xml:space="preserve"> </w:t>
      </w:r>
      <w:r>
        <w:t>calculated</w:t>
      </w:r>
      <w:r>
        <w:rPr>
          <w:spacing w:val="-3"/>
        </w:rPr>
        <w:t xml:space="preserve"> </w:t>
      </w:r>
      <w:r>
        <w:t>relative</w:t>
      </w:r>
      <w:r>
        <w:rPr>
          <w:spacing w:val="-3"/>
        </w:rPr>
        <w:t xml:space="preserve"> </w:t>
      </w:r>
      <w:r>
        <w:t>to the appropriate baseline efficiency level depending on the type of replacement.</w:t>
      </w:r>
    </w:p>
    <w:p w:rsidR="00C31389" w:rsidRDefault="00C31389" w14:paraId="651595D9" w14:textId="77777777">
      <w:pPr>
        <w:sectPr w:rsidR="00C31389">
          <w:pgSz w:w="12240" w:h="15840"/>
          <w:pgMar w:top="1660" w:right="960" w:bottom="1120" w:left="960" w:header="397" w:footer="936" w:gutter="0"/>
          <w:cols w:space="720"/>
        </w:sectPr>
      </w:pPr>
    </w:p>
    <w:p w:rsidR="00C31389" w:rsidRDefault="00C31389" w14:paraId="08229268" w14:textId="77777777">
      <w:pPr>
        <w:pStyle w:val="BodyText"/>
        <w:spacing w:before="11"/>
        <w:rPr>
          <w:sz w:val="13"/>
        </w:rPr>
      </w:pPr>
    </w:p>
    <w:p w:rsidR="00C31389" w:rsidRDefault="00561FBD" w14:paraId="31575AD3" w14:textId="77777777">
      <w:pPr>
        <w:pStyle w:val="BodyText"/>
        <w:spacing w:before="92"/>
        <w:ind w:left="480" w:right="533"/>
      </w:pPr>
      <w:r>
        <w:t>The</w:t>
      </w:r>
      <w:r>
        <w:rPr>
          <w:spacing w:val="-4"/>
        </w:rPr>
        <w:t xml:space="preserve"> </w:t>
      </w:r>
      <w:r>
        <w:t>model</w:t>
      </w:r>
      <w:r>
        <w:rPr>
          <w:spacing w:val="-4"/>
        </w:rPr>
        <w:t xml:space="preserve"> </w:t>
      </w:r>
      <w:r>
        <w:t>employs</w:t>
      </w:r>
      <w:r>
        <w:rPr>
          <w:spacing w:val="-4"/>
        </w:rPr>
        <w:t xml:space="preserve"> </w:t>
      </w:r>
      <w:r>
        <w:t>a</w:t>
      </w:r>
      <w:r>
        <w:rPr>
          <w:spacing w:val="-4"/>
        </w:rPr>
        <w:t xml:space="preserve"> </w:t>
      </w:r>
      <w:r>
        <w:t>bottom-up,</w:t>
      </w:r>
      <w:r>
        <w:rPr>
          <w:spacing w:val="-4"/>
        </w:rPr>
        <w:t xml:space="preserve"> </w:t>
      </w:r>
      <w:r>
        <w:t>dynamic</w:t>
      </w:r>
      <w:r>
        <w:rPr>
          <w:spacing w:val="-4"/>
        </w:rPr>
        <w:t xml:space="preserve"> </w:t>
      </w:r>
      <w:r>
        <w:t>Bass</w:t>
      </w:r>
      <w:r>
        <w:rPr>
          <w:spacing w:val="-4"/>
        </w:rPr>
        <w:t xml:space="preserve"> </w:t>
      </w:r>
      <w:r>
        <w:t>diffusion</w:t>
      </w:r>
      <w:r>
        <w:rPr>
          <w:spacing w:val="-4"/>
        </w:rPr>
        <w:t xml:space="preserve"> </w:t>
      </w:r>
      <w:r>
        <w:t>approach</w:t>
      </w:r>
      <w:r>
        <w:rPr>
          <w:spacing w:val="-4"/>
        </w:rPr>
        <w:t xml:space="preserve"> </w:t>
      </w:r>
      <w:r>
        <w:t>to</w:t>
      </w:r>
      <w:r>
        <w:rPr>
          <w:spacing w:val="-4"/>
        </w:rPr>
        <w:t xml:space="preserve"> </w:t>
      </w:r>
      <w:r>
        <w:t>simulate</w:t>
      </w:r>
      <w:r>
        <w:rPr>
          <w:spacing w:val="-4"/>
        </w:rPr>
        <w:t xml:space="preserve"> </w:t>
      </w:r>
      <w:r>
        <w:t>market</w:t>
      </w:r>
      <w:r>
        <w:rPr>
          <w:spacing w:val="-4"/>
        </w:rPr>
        <w:t xml:space="preserve"> </w:t>
      </w:r>
      <w:r>
        <w:t xml:space="preserve">adoption of efficient measures. </w:t>
      </w:r>
      <w:hyperlink w:history="1" w:anchor="_bookmark49">
        <w:r>
          <w:t>Figure 2-4.</w:t>
        </w:r>
      </w:hyperlink>
      <w:r>
        <w:t xml:space="preserve"> illustrates the Bass diffusion model, which contains three </w:t>
      </w:r>
      <w:r>
        <w:rPr>
          <w:spacing w:val="-2"/>
        </w:rPr>
        <w:t>parameters:</w:t>
      </w:r>
    </w:p>
    <w:p w:rsidR="00C31389" w:rsidRDefault="00561FBD" w14:paraId="7F442F95" w14:textId="77777777">
      <w:pPr>
        <w:pStyle w:val="ListParagraph"/>
        <w:numPr>
          <w:ilvl w:val="4"/>
          <w:numId w:val="71"/>
        </w:numPr>
        <w:tabs>
          <w:tab w:val="left" w:pos="1199"/>
        </w:tabs>
        <w:spacing w:before="120"/>
        <w:ind w:right="534"/>
      </w:pPr>
      <w:r>
        <w:rPr>
          <w:b/>
        </w:rPr>
        <w:t>Marke</w:t>
      </w:r>
      <w:r>
        <w:rPr>
          <w:b/>
        </w:rPr>
        <w:t xml:space="preserve">ting, education, and outreach (ME&amp;O) </w:t>
      </w:r>
      <w:r>
        <w:t>moves customers from the unaware group to the aware group at a consistent rate annually. Unaware customers have no knowledge of the energy efficient technology option. Aware customers have knowledge of</w:t>
      </w:r>
      <w:r>
        <w:rPr>
          <w:spacing w:val="-3"/>
        </w:rPr>
        <w:t xml:space="preserve"> </w:t>
      </w:r>
      <w:r>
        <w:t>the</w:t>
      </w:r>
      <w:r>
        <w:rPr>
          <w:spacing w:val="-3"/>
        </w:rPr>
        <w:t xml:space="preserve"> </w:t>
      </w:r>
      <w:r>
        <w:t>product</w:t>
      </w:r>
      <w:r>
        <w:rPr>
          <w:spacing w:val="-3"/>
        </w:rPr>
        <w:t xml:space="preserve"> </w:t>
      </w:r>
      <w:r>
        <w:t>and</w:t>
      </w:r>
      <w:r>
        <w:rPr>
          <w:spacing w:val="-3"/>
        </w:rPr>
        <w:t xml:space="preserve"> </w:t>
      </w:r>
      <w:r>
        <w:t>u</w:t>
      </w:r>
      <w:r>
        <w:t>nderstand</w:t>
      </w:r>
      <w:r>
        <w:rPr>
          <w:spacing w:val="-3"/>
        </w:rPr>
        <w:t xml:space="preserve"> </w:t>
      </w:r>
      <w:r>
        <w:t>its</w:t>
      </w:r>
      <w:r>
        <w:rPr>
          <w:spacing w:val="-3"/>
        </w:rPr>
        <w:t xml:space="preserve"> </w:t>
      </w:r>
      <w:r>
        <w:t>attributes.</w:t>
      </w:r>
      <w:r>
        <w:rPr>
          <w:spacing w:val="-3"/>
        </w:rPr>
        <w:t xml:space="preserve"> </w:t>
      </w:r>
      <w:r>
        <w:t>ME&amp;O</w:t>
      </w:r>
      <w:r>
        <w:rPr>
          <w:spacing w:val="-4"/>
        </w:rPr>
        <w:t xml:space="preserve"> </w:t>
      </w:r>
      <w:r>
        <w:t>is</w:t>
      </w:r>
      <w:r>
        <w:rPr>
          <w:spacing w:val="-3"/>
        </w:rPr>
        <w:t xml:space="preserve"> </w:t>
      </w:r>
      <w:r>
        <w:t>often</w:t>
      </w:r>
      <w:r>
        <w:rPr>
          <w:spacing w:val="-3"/>
        </w:rPr>
        <w:t xml:space="preserve"> </w:t>
      </w:r>
      <w:r>
        <w:t>referred</w:t>
      </w:r>
      <w:r>
        <w:rPr>
          <w:spacing w:val="-3"/>
        </w:rPr>
        <w:t xml:space="preserve"> </w:t>
      </w:r>
      <w:r>
        <w:t>to</w:t>
      </w:r>
      <w:r>
        <w:rPr>
          <w:spacing w:val="-3"/>
        </w:rPr>
        <w:t xml:space="preserve"> </w:t>
      </w:r>
      <w:r>
        <w:t>as</w:t>
      </w:r>
      <w:r>
        <w:rPr>
          <w:spacing w:val="-4"/>
        </w:rPr>
        <w:t xml:space="preserve"> </w:t>
      </w:r>
      <w:r>
        <w:t>the</w:t>
      </w:r>
      <w:r>
        <w:rPr>
          <w:spacing w:val="-3"/>
        </w:rPr>
        <w:t xml:space="preserve"> </w:t>
      </w:r>
      <w:r>
        <w:t>advertising effect in Bass diffusion modeling.</w:t>
      </w:r>
    </w:p>
    <w:p w:rsidR="00C31389" w:rsidRDefault="00561FBD" w14:paraId="75E26CA6" w14:textId="77777777">
      <w:pPr>
        <w:pStyle w:val="ListParagraph"/>
        <w:numPr>
          <w:ilvl w:val="4"/>
          <w:numId w:val="71"/>
        </w:numPr>
        <w:tabs>
          <w:tab w:val="left" w:pos="1199"/>
        </w:tabs>
        <w:spacing w:before="119"/>
        <w:ind w:right="548"/>
      </w:pPr>
      <w:r>
        <w:rPr>
          <w:b/>
        </w:rPr>
        <w:t>Word</w:t>
      </w:r>
      <w:r>
        <w:rPr>
          <w:b/>
          <w:spacing w:val="-3"/>
        </w:rPr>
        <w:t xml:space="preserve"> </w:t>
      </w:r>
      <w:r>
        <w:rPr>
          <w:b/>
        </w:rPr>
        <w:t>of</w:t>
      </w:r>
      <w:r>
        <w:rPr>
          <w:b/>
          <w:spacing w:val="-3"/>
        </w:rPr>
        <w:t xml:space="preserve"> </w:t>
      </w:r>
      <w:r>
        <w:rPr>
          <w:b/>
        </w:rPr>
        <w:t>mouth</w:t>
      </w:r>
      <w:r>
        <w:rPr>
          <w:b/>
          <w:spacing w:val="-3"/>
        </w:rPr>
        <w:t xml:space="preserve"> </w:t>
      </w:r>
      <w:r>
        <w:t>represents</w:t>
      </w:r>
      <w:r>
        <w:rPr>
          <w:spacing w:val="-3"/>
        </w:rPr>
        <w:t xml:space="preserve"> </w:t>
      </w:r>
      <w:r>
        <w:t>the</w:t>
      </w:r>
      <w:r>
        <w:rPr>
          <w:spacing w:val="-3"/>
        </w:rPr>
        <w:t xml:space="preserve"> </w:t>
      </w:r>
      <w:r>
        <w:t>influence</w:t>
      </w:r>
      <w:r>
        <w:rPr>
          <w:spacing w:val="-3"/>
        </w:rPr>
        <w:t xml:space="preserve"> </w:t>
      </w:r>
      <w:r>
        <w:t>of</w:t>
      </w:r>
      <w:r>
        <w:rPr>
          <w:spacing w:val="-3"/>
        </w:rPr>
        <w:t xml:space="preserve"> </w:t>
      </w:r>
      <w:r>
        <w:t>adopters</w:t>
      </w:r>
      <w:r>
        <w:rPr>
          <w:spacing w:val="-3"/>
        </w:rPr>
        <w:t xml:space="preserve"> </w:t>
      </w:r>
      <w:r>
        <w:t>(or</w:t>
      </w:r>
      <w:r>
        <w:rPr>
          <w:spacing w:val="-3"/>
        </w:rPr>
        <w:t xml:space="preserve"> </w:t>
      </w:r>
      <w:r>
        <w:t>other</w:t>
      </w:r>
      <w:r>
        <w:rPr>
          <w:spacing w:val="-3"/>
        </w:rPr>
        <w:t xml:space="preserve"> </w:t>
      </w:r>
      <w:r>
        <w:t>aware</w:t>
      </w:r>
      <w:r>
        <w:rPr>
          <w:spacing w:val="-3"/>
        </w:rPr>
        <w:t xml:space="preserve"> </w:t>
      </w:r>
      <w:r>
        <w:t>consumers)</w:t>
      </w:r>
      <w:r>
        <w:rPr>
          <w:spacing w:val="-3"/>
        </w:rPr>
        <w:t xml:space="preserve"> </w:t>
      </w:r>
      <w:r>
        <w:t>on</w:t>
      </w:r>
      <w:r>
        <w:rPr>
          <w:spacing w:val="-3"/>
        </w:rPr>
        <w:t xml:space="preserve"> </w:t>
      </w:r>
      <w:r>
        <w:t xml:space="preserve">the unaware population by informing them of efficient </w:t>
      </w:r>
      <w:r>
        <w:t xml:space="preserve">technologies and their attributes. This influence increases the rate at which customers move from the unaware group to the aware group. Word of mouth influence occurs in addition to ongoing ME&amp;O. When a product is new to the market with few installations, </w:t>
      </w:r>
      <w:r>
        <w:t>ME&amp;O is often the main source driving unaware customers to the aware group. As more customers become aware and adopt, however, word of mouth can have a greater influence on awareness than ME&amp;O and lead to exponential growth. Exponential growth is ultimatel</w:t>
      </w:r>
      <w:r>
        <w:t>y damped by market saturation, leading to a Bass diffusion model adoption curve, which has been observed frequently for efficient technologies.</w:t>
      </w:r>
    </w:p>
    <w:p w:rsidR="00C31389" w:rsidRDefault="00561FBD" w14:paraId="0A6F1086" w14:textId="77777777">
      <w:pPr>
        <w:pStyle w:val="ListParagraph"/>
        <w:numPr>
          <w:ilvl w:val="4"/>
          <w:numId w:val="71"/>
        </w:numPr>
        <w:tabs>
          <w:tab w:val="left" w:pos="1199"/>
        </w:tabs>
        <w:spacing w:before="117"/>
        <w:ind w:right="583"/>
      </w:pPr>
      <w:r>
        <w:rPr>
          <w:b/>
        </w:rPr>
        <w:t>Willingness</w:t>
      </w:r>
      <w:r>
        <w:rPr>
          <w:b/>
          <w:spacing w:val="-3"/>
        </w:rPr>
        <w:t xml:space="preserve"> </w:t>
      </w:r>
      <w:r>
        <w:t>is</w:t>
      </w:r>
      <w:r>
        <w:rPr>
          <w:spacing w:val="-3"/>
        </w:rPr>
        <w:t xml:space="preserve"> </w:t>
      </w:r>
      <w:r>
        <w:t>the</w:t>
      </w:r>
      <w:r>
        <w:rPr>
          <w:spacing w:val="-3"/>
        </w:rPr>
        <w:t xml:space="preserve"> </w:t>
      </w:r>
      <w:r>
        <w:t>key</w:t>
      </w:r>
      <w:r>
        <w:rPr>
          <w:spacing w:val="-3"/>
        </w:rPr>
        <w:t xml:space="preserve"> </w:t>
      </w:r>
      <w:r>
        <w:t>factor</w:t>
      </w:r>
      <w:r>
        <w:rPr>
          <w:spacing w:val="-3"/>
        </w:rPr>
        <w:t xml:space="preserve"> </w:t>
      </w:r>
      <w:r>
        <w:t>affecting</w:t>
      </w:r>
      <w:r>
        <w:rPr>
          <w:spacing w:val="-3"/>
        </w:rPr>
        <w:t xml:space="preserve"> </w:t>
      </w:r>
      <w:r>
        <w:t>the</w:t>
      </w:r>
      <w:r>
        <w:rPr>
          <w:spacing w:val="-3"/>
        </w:rPr>
        <w:t xml:space="preserve"> </w:t>
      </w:r>
      <w:r>
        <w:t>move</w:t>
      </w:r>
      <w:r>
        <w:rPr>
          <w:spacing w:val="-3"/>
        </w:rPr>
        <w:t xml:space="preserve"> </w:t>
      </w:r>
      <w:r>
        <w:t>from</w:t>
      </w:r>
      <w:r>
        <w:rPr>
          <w:spacing w:val="-4"/>
        </w:rPr>
        <w:t xml:space="preserve"> </w:t>
      </w:r>
      <w:r>
        <w:t>an</w:t>
      </w:r>
      <w:r>
        <w:rPr>
          <w:spacing w:val="-3"/>
        </w:rPr>
        <w:t xml:space="preserve"> </w:t>
      </w:r>
      <w:r>
        <w:t>aware</w:t>
      </w:r>
      <w:r>
        <w:rPr>
          <w:spacing w:val="-3"/>
        </w:rPr>
        <w:t xml:space="preserve"> </w:t>
      </w:r>
      <w:r>
        <w:t>customer</w:t>
      </w:r>
      <w:r>
        <w:rPr>
          <w:spacing w:val="-3"/>
        </w:rPr>
        <w:t xml:space="preserve"> </w:t>
      </w:r>
      <w:r>
        <w:t>to</w:t>
      </w:r>
      <w:r>
        <w:rPr>
          <w:spacing w:val="-3"/>
        </w:rPr>
        <w:t xml:space="preserve"> </w:t>
      </w:r>
      <w:r>
        <w:t>an</w:t>
      </w:r>
      <w:r>
        <w:rPr>
          <w:spacing w:val="-3"/>
        </w:rPr>
        <w:t xml:space="preserve"> </w:t>
      </w:r>
      <w:r>
        <w:t>adopter. Once customers are aware of the measure, they consider adopting the technology based on the attractiveness of the measure. The 2023 PG Model uses a multi-attribute decision model to characterize the adoption behaviors of customers and ultimately c</w:t>
      </w:r>
      <w:r>
        <w:t>alculate willingness. The Market Adoption Study conducted in 2021 collected survey data from customers to provide quantitative inputs to the new multi-attribute decision model. Additional discussion of willingness and how the Market Adoption Study was used</w:t>
      </w:r>
      <w:r>
        <w:t xml:space="preserve"> follows </w:t>
      </w:r>
      <w:hyperlink w:history="1" w:anchor="_bookmark49">
        <w:r>
          <w:t>Figure 2-4.</w:t>
        </w:r>
      </w:hyperlink>
    </w:p>
    <w:p w:rsidR="00C31389" w:rsidRDefault="00C31389" w14:paraId="61D98DAA" w14:textId="77777777">
      <w:pPr>
        <w:pStyle w:val="BodyText"/>
        <w:spacing w:before="9"/>
        <w:rPr>
          <w:sz w:val="20"/>
        </w:rPr>
      </w:pPr>
    </w:p>
    <w:p w:rsidR="00C31389" w:rsidRDefault="00561FBD" w14:paraId="721C9A4E" w14:textId="77777777">
      <w:pPr>
        <w:pStyle w:val="Heading7"/>
        <w:ind w:left="565" w:right="566"/>
        <w:jc w:val="center"/>
      </w:pPr>
      <w:bookmarkStart w:name="_bookmark49" w:id="65"/>
      <w:bookmarkEnd w:id="65"/>
      <w:r>
        <w:t>Figure</w:t>
      </w:r>
      <w:r>
        <w:rPr>
          <w:spacing w:val="-7"/>
        </w:rPr>
        <w:t xml:space="preserve"> </w:t>
      </w:r>
      <w:r>
        <w:t>2-4.</w:t>
      </w:r>
      <w:r>
        <w:rPr>
          <w:spacing w:val="-7"/>
        </w:rPr>
        <w:t xml:space="preserve"> </w:t>
      </w:r>
      <w:r>
        <w:t>The</w:t>
      </w:r>
      <w:r>
        <w:rPr>
          <w:spacing w:val="-6"/>
        </w:rPr>
        <w:t xml:space="preserve"> </w:t>
      </w:r>
      <w:r>
        <w:t>Bass</w:t>
      </w:r>
      <w:r>
        <w:rPr>
          <w:spacing w:val="-7"/>
        </w:rPr>
        <w:t xml:space="preserve"> </w:t>
      </w:r>
      <w:r>
        <w:t>Diffusion</w:t>
      </w:r>
      <w:r>
        <w:rPr>
          <w:spacing w:val="-7"/>
        </w:rPr>
        <w:t xml:space="preserve"> </w:t>
      </w:r>
      <w:r>
        <w:rPr>
          <w:spacing w:val="-2"/>
        </w:rPr>
        <w:t>Framework:</w:t>
      </w:r>
    </w:p>
    <w:p w:rsidR="00C31389" w:rsidRDefault="00561FBD" w14:paraId="4E58A396" w14:textId="77777777">
      <w:pPr>
        <w:pStyle w:val="Heading7"/>
        <w:spacing w:before="1"/>
        <w:ind w:left="566" w:right="566"/>
        <w:jc w:val="center"/>
      </w:pPr>
      <w:r>
        <w:t>A</w:t>
      </w:r>
      <w:r>
        <w:rPr>
          <w:spacing w:val="-14"/>
        </w:rPr>
        <w:t xml:space="preserve"> </w:t>
      </w:r>
      <w:r>
        <w:t>Dynamic</w:t>
      </w:r>
      <w:r>
        <w:rPr>
          <w:spacing w:val="-9"/>
        </w:rPr>
        <w:t xml:space="preserve"> </w:t>
      </w:r>
      <w:r>
        <w:t>Approach</w:t>
      </w:r>
      <w:r>
        <w:rPr>
          <w:spacing w:val="-9"/>
        </w:rPr>
        <w:t xml:space="preserve"> </w:t>
      </w:r>
      <w:r>
        <w:t>to</w:t>
      </w:r>
      <w:r>
        <w:rPr>
          <w:spacing w:val="-10"/>
        </w:rPr>
        <w:t xml:space="preserve"> </w:t>
      </w:r>
      <w:r>
        <w:t>Calculating</w:t>
      </w:r>
      <w:r>
        <w:rPr>
          <w:spacing w:val="-9"/>
        </w:rPr>
        <w:t xml:space="preserve"> </w:t>
      </w:r>
      <w:r>
        <w:t>Measure</w:t>
      </w:r>
      <w:r>
        <w:rPr>
          <w:spacing w:val="-9"/>
        </w:rPr>
        <w:t xml:space="preserve"> </w:t>
      </w:r>
      <w:r>
        <w:t>Adoption</w:t>
      </w:r>
      <w:r>
        <w:rPr>
          <w:spacing w:val="-40"/>
        </w:rPr>
        <w:t xml:space="preserve"> </w:t>
      </w:r>
      <w:hyperlink w:history="1" w:anchor="_bookmark50">
        <w:r>
          <w:rPr>
            <w:spacing w:val="-5"/>
            <w:vertAlign w:val="superscript"/>
          </w:rPr>
          <w:t>15</w:t>
        </w:r>
      </w:hyperlink>
    </w:p>
    <w:p w:rsidR="00C31389" w:rsidRDefault="00561FBD" w14:paraId="39889812" w14:textId="77777777">
      <w:pPr>
        <w:pStyle w:val="BodyText"/>
        <w:spacing w:before="3"/>
        <w:rPr>
          <w:b/>
          <w:sz w:val="8"/>
        </w:rPr>
      </w:pPr>
      <w:r>
        <w:rPr>
          <w:noProof/>
        </w:rPr>
        <w:drawing>
          <wp:anchor distT="0" distB="0" distL="0" distR="0" simplePos="0" relativeHeight="487607296" behindDoc="1" locked="0" layoutInCell="1" allowOverlap="1" wp14:editId="0D087F28" wp14:anchorId="4F9472E4">
            <wp:simplePos x="0" y="0"/>
            <wp:positionH relativeFrom="page">
              <wp:posOffset>914400</wp:posOffset>
            </wp:positionH>
            <wp:positionV relativeFrom="paragraph">
              <wp:posOffset>76012</wp:posOffset>
            </wp:positionV>
            <wp:extent cx="5895726" cy="1615439"/>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9" cstate="print"/>
                    <a:stretch>
                      <a:fillRect/>
                    </a:stretch>
                  </pic:blipFill>
                  <pic:spPr>
                    <a:xfrm>
                      <a:off x="0" y="0"/>
                      <a:ext cx="5895726" cy="1615439"/>
                    </a:xfrm>
                    <a:prstGeom prst="rect">
                      <a:avLst/>
                    </a:prstGeom>
                  </pic:spPr>
                </pic:pic>
              </a:graphicData>
            </a:graphic>
          </wp:anchor>
        </w:drawing>
      </w:r>
    </w:p>
    <w:p w:rsidR="00C31389" w:rsidRDefault="00561FBD" w14:paraId="483EB791" w14:textId="77777777">
      <w:pPr>
        <w:spacing w:before="66"/>
        <w:ind w:left="480"/>
        <w:rPr>
          <w:i/>
          <w:sz w:val="18"/>
        </w:rPr>
      </w:pPr>
      <w:r>
        <w:rPr>
          <w:i/>
          <w:sz w:val="18"/>
        </w:rPr>
        <w:t>Source:</w:t>
      </w:r>
      <w:r>
        <w:rPr>
          <w:i/>
          <w:spacing w:val="-4"/>
          <w:sz w:val="18"/>
        </w:rPr>
        <w:t xml:space="preserve"> </w:t>
      </w:r>
      <w:r>
        <w:rPr>
          <w:i/>
          <w:spacing w:val="-2"/>
          <w:sz w:val="18"/>
        </w:rPr>
        <w:t>Guidehouse</w:t>
      </w:r>
    </w:p>
    <w:p w:rsidR="00C31389" w:rsidRDefault="00C31389" w14:paraId="29150507" w14:textId="77777777">
      <w:pPr>
        <w:pStyle w:val="BodyText"/>
        <w:spacing w:before="9"/>
        <w:rPr>
          <w:i/>
          <w:sz w:val="20"/>
        </w:rPr>
      </w:pPr>
    </w:p>
    <w:p w:rsidR="00C31389" w:rsidRDefault="00561FBD" w14:paraId="266E9EBC" w14:textId="77777777">
      <w:pPr>
        <w:pStyle w:val="Heading7"/>
        <w:ind w:left="480"/>
      </w:pPr>
      <w:r>
        <w:t>Approach</w:t>
      </w:r>
      <w:r>
        <w:rPr>
          <w:spacing w:val="-9"/>
        </w:rPr>
        <w:t xml:space="preserve"> </w:t>
      </w:r>
      <w:r>
        <w:t>to</w:t>
      </w:r>
      <w:r>
        <w:rPr>
          <w:spacing w:val="-9"/>
        </w:rPr>
        <w:t xml:space="preserve"> </w:t>
      </w:r>
      <w:r>
        <w:t>Calculating</w:t>
      </w:r>
      <w:r>
        <w:rPr>
          <w:spacing w:val="-9"/>
        </w:rPr>
        <w:t xml:space="preserve"> </w:t>
      </w:r>
      <w:r>
        <w:rPr>
          <w:spacing w:val="-2"/>
        </w:rPr>
        <w:t>Willingness</w:t>
      </w:r>
    </w:p>
    <w:p w:rsidR="00C31389" w:rsidRDefault="00C31389" w14:paraId="7CCC46D1" w14:textId="77777777">
      <w:pPr>
        <w:pStyle w:val="BodyText"/>
        <w:rPr>
          <w:b/>
          <w:sz w:val="20"/>
        </w:rPr>
      </w:pPr>
    </w:p>
    <w:p w:rsidR="00C31389" w:rsidRDefault="00C31389" w14:paraId="43C5CCCB" w14:textId="77777777">
      <w:pPr>
        <w:pStyle w:val="BodyText"/>
        <w:rPr>
          <w:b/>
          <w:sz w:val="20"/>
        </w:rPr>
      </w:pPr>
    </w:p>
    <w:p w:rsidR="00C31389" w:rsidRDefault="00561FBD" w14:paraId="164E4DCF" w14:textId="77777777">
      <w:pPr>
        <w:pStyle w:val="BodyText"/>
        <w:rPr>
          <w:b/>
          <w:sz w:val="25"/>
        </w:rPr>
      </w:pPr>
      <w:r>
        <w:rPr>
          <w:noProof/>
        </w:rPr>
        <mc:AlternateContent>
          <mc:Choice Requires="wps">
            <w:drawing>
              <wp:anchor distT="0" distB="0" distL="0" distR="0" simplePos="0" relativeHeight="487607808" behindDoc="1" locked="0" layoutInCell="1" allowOverlap="1" wp14:editId="783FB014" wp14:anchorId="1A02CB58">
                <wp:simplePos x="0" y="0"/>
                <wp:positionH relativeFrom="page">
                  <wp:posOffset>914400</wp:posOffset>
                </wp:positionH>
                <wp:positionV relativeFrom="paragraph">
                  <wp:posOffset>198309</wp:posOffset>
                </wp:positionV>
                <wp:extent cx="1828800" cy="698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15" style="position:absolute;margin-left:1in;margin-top:15.6pt;width:2in;height:.5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" w14:anchorId="374D53EC">
                <v:path arrowok="t"/>
                <w10:wrap type="topAndBottom" anchorx="page"/>
              </v:shape>
            </w:pict>
          </mc:Fallback>
        </mc:AlternateContent>
      </w:r>
    </w:p>
    <w:p w:rsidR="00C31389" w:rsidRDefault="00561FBD" w14:paraId="550BAB4E" w14:textId="77777777">
      <w:pPr>
        <w:spacing w:before="88"/>
        <w:ind w:left="479" w:right="533"/>
        <w:rPr>
          <w:sz w:val="18"/>
        </w:rPr>
      </w:pPr>
      <w:bookmarkStart w:name="_bookmark50" w:id="66"/>
      <w:bookmarkEnd w:id="66"/>
      <w:r>
        <w:rPr>
          <w:position w:val="6"/>
          <w:sz w:val="12"/>
        </w:rPr>
        <w:t>15</w:t>
      </w:r>
      <w:r>
        <w:rPr>
          <w:spacing w:val="14"/>
          <w:position w:val="6"/>
          <w:sz w:val="12"/>
        </w:rPr>
        <w:t xml:space="preserve"> </w:t>
      </w:r>
      <w:r>
        <w:rPr>
          <w:sz w:val="18"/>
        </w:rPr>
        <w:t>Adapted</w:t>
      </w:r>
      <w:r>
        <w:rPr>
          <w:spacing w:val="-4"/>
          <w:sz w:val="18"/>
        </w:rPr>
        <w:t xml:space="preserve"> </w:t>
      </w:r>
      <w:r>
        <w:rPr>
          <w:sz w:val="18"/>
        </w:rPr>
        <w:t>from</w:t>
      </w:r>
      <w:r>
        <w:rPr>
          <w:spacing w:val="-1"/>
          <w:sz w:val="18"/>
        </w:rPr>
        <w:t xml:space="preserve"> </w:t>
      </w:r>
      <w:r>
        <w:rPr>
          <w:sz w:val="18"/>
        </w:rPr>
        <w:t>John</w:t>
      </w:r>
      <w:r>
        <w:rPr>
          <w:spacing w:val="-4"/>
          <w:sz w:val="18"/>
        </w:rPr>
        <w:t xml:space="preserve"> </w:t>
      </w:r>
      <w:r>
        <w:rPr>
          <w:sz w:val="18"/>
        </w:rPr>
        <w:t>Sterman,</w:t>
      </w:r>
      <w:r>
        <w:rPr>
          <w:spacing w:val="-3"/>
          <w:sz w:val="18"/>
        </w:rPr>
        <w:t xml:space="preserve"> </w:t>
      </w:r>
      <w:r>
        <w:rPr>
          <w:i/>
          <w:sz w:val="18"/>
        </w:rPr>
        <w:t>Business</w:t>
      </w:r>
      <w:r>
        <w:rPr>
          <w:i/>
          <w:spacing w:val="-3"/>
          <w:sz w:val="18"/>
        </w:rPr>
        <w:t xml:space="preserve"> </w:t>
      </w:r>
      <w:r>
        <w:rPr>
          <w:i/>
          <w:sz w:val="18"/>
        </w:rPr>
        <w:t>Dynamics:</w:t>
      </w:r>
      <w:r>
        <w:rPr>
          <w:i/>
          <w:spacing w:val="-3"/>
          <w:sz w:val="18"/>
        </w:rPr>
        <w:t xml:space="preserve"> </w:t>
      </w:r>
      <w:r>
        <w:rPr>
          <w:i/>
          <w:sz w:val="18"/>
        </w:rPr>
        <w:t>Systems</w:t>
      </w:r>
      <w:r>
        <w:rPr>
          <w:i/>
          <w:spacing w:val="-4"/>
          <w:sz w:val="18"/>
        </w:rPr>
        <w:t xml:space="preserve"> </w:t>
      </w:r>
      <w:r>
        <w:rPr>
          <w:i/>
          <w:sz w:val="18"/>
        </w:rPr>
        <w:t>Thinking</w:t>
      </w:r>
      <w:r>
        <w:rPr>
          <w:i/>
          <w:spacing w:val="-4"/>
          <w:sz w:val="18"/>
        </w:rPr>
        <w:t xml:space="preserve"> </w:t>
      </w:r>
      <w:r>
        <w:rPr>
          <w:i/>
          <w:sz w:val="18"/>
        </w:rPr>
        <w:t>and</w:t>
      </w:r>
      <w:r>
        <w:rPr>
          <w:i/>
          <w:spacing w:val="-2"/>
          <w:sz w:val="18"/>
        </w:rPr>
        <w:t xml:space="preserve"> </w:t>
      </w:r>
      <w:r>
        <w:rPr>
          <w:i/>
          <w:sz w:val="18"/>
        </w:rPr>
        <w:t>Modeling</w:t>
      </w:r>
      <w:r>
        <w:rPr>
          <w:i/>
          <w:spacing w:val="-4"/>
          <w:sz w:val="18"/>
        </w:rPr>
        <w:t xml:space="preserve"> </w:t>
      </w:r>
      <w:r>
        <w:rPr>
          <w:i/>
          <w:sz w:val="18"/>
        </w:rPr>
        <w:t>for</w:t>
      </w:r>
      <w:r>
        <w:rPr>
          <w:i/>
          <w:spacing w:val="-3"/>
          <w:sz w:val="18"/>
        </w:rPr>
        <w:t xml:space="preserve"> </w:t>
      </w:r>
      <w:r>
        <w:rPr>
          <w:i/>
          <w:sz w:val="18"/>
        </w:rPr>
        <w:t>a</w:t>
      </w:r>
      <w:r>
        <w:rPr>
          <w:i/>
          <w:spacing w:val="-4"/>
          <w:sz w:val="18"/>
        </w:rPr>
        <w:t xml:space="preserve"> </w:t>
      </w:r>
      <w:r>
        <w:rPr>
          <w:i/>
          <w:sz w:val="18"/>
        </w:rPr>
        <w:t>Complex</w:t>
      </w:r>
      <w:r>
        <w:rPr>
          <w:i/>
          <w:spacing w:val="-3"/>
          <w:sz w:val="18"/>
        </w:rPr>
        <w:t xml:space="preserve"> </w:t>
      </w:r>
      <w:r>
        <w:rPr>
          <w:i/>
          <w:sz w:val="18"/>
        </w:rPr>
        <w:t>World</w:t>
      </w:r>
      <w:r>
        <w:rPr>
          <w:sz w:val="18"/>
        </w:rPr>
        <w:t>,</w:t>
      </w:r>
      <w:r>
        <w:rPr>
          <w:spacing w:val="-2"/>
          <w:sz w:val="18"/>
        </w:rPr>
        <w:t xml:space="preserve"> </w:t>
      </w:r>
      <w:r>
        <w:rPr>
          <w:sz w:val="18"/>
        </w:rPr>
        <w:t>McGraw- Hill, 2000.</w:t>
      </w:r>
    </w:p>
    <w:p w:rsidR="00C31389" w:rsidRDefault="00C31389" w14:paraId="3BB7B683" w14:textId="77777777">
      <w:pPr>
        <w:rPr>
          <w:sz w:val="18"/>
        </w:rPr>
        <w:sectPr w:rsidR="00C31389">
          <w:pgSz w:w="12240" w:h="15840"/>
          <w:pgMar w:top="1660" w:right="960" w:bottom="1120" w:left="960" w:header="397" w:footer="936" w:gutter="0"/>
          <w:cols w:space="720"/>
        </w:sectPr>
      </w:pPr>
    </w:p>
    <w:p w:rsidR="00C31389" w:rsidRDefault="00C31389" w14:paraId="11E19E01" w14:textId="77777777">
      <w:pPr>
        <w:pStyle w:val="BodyText"/>
        <w:spacing w:before="11"/>
        <w:rPr>
          <w:sz w:val="13"/>
        </w:rPr>
      </w:pPr>
    </w:p>
    <w:p w:rsidR="00C31389" w:rsidRDefault="00561FBD" w14:paraId="17773ABF" w14:textId="77777777">
      <w:pPr>
        <w:pStyle w:val="BodyText"/>
        <w:spacing w:before="92"/>
        <w:ind w:left="479" w:right="484"/>
      </w:pPr>
      <w:r>
        <w:t>Customer willingness to adopt is a key determinant of long-ru</w:t>
      </w:r>
      <w:r>
        <w:t>n market share—that is, what percentage</w:t>
      </w:r>
      <w:r>
        <w:rPr>
          <w:spacing w:val="-4"/>
        </w:rPr>
        <w:t xml:space="preserve"> </w:t>
      </w:r>
      <w:r>
        <w:t>of</w:t>
      </w:r>
      <w:r>
        <w:rPr>
          <w:spacing w:val="-4"/>
        </w:rPr>
        <w:t xml:space="preserve"> </w:t>
      </w:r>
      <w:r>
        <w:t>individuals</w:t>
      </w:r>
      <w:r>
        <w:rPr>
          <w:spacing w:val="-4"/>
        </w:rPr>
        <w:t xml:space="preserve"> </w:t>
      </w:r>
      <w:r>
        <w:t>choose</w:t>
      </w:r>
      <w:r>
        <w:rPr>
          <w:spacing w:val="-4"/>
        </w:rPr>
        <w:t xml:space="preserve"> </w:t>
      </w:r>
      <w:r>
        <w:t>to</w:t>
      </w:r>
      <w:r>
        <w:rPr>
          <w:spacing w:val="-4"/>
        </w:rPr>
        <w:t xml:space="preserve"> </w:t>
      </w:r>
      <w:r>
        <w:t>purchase</w:t>
      </w:r>
      <w:r>
        <w:rPr>
          <w:spacing w:val="-4"/>
        </w:rPr>
        <w:t xml:space="preserve"> </w:t>
      </w:r>
      <w:r>
        <w:t>a</w:t>
      </w:r>
      <w:r>
        <w:rPr>
          <w:spacing w:val="-4"/>
        </w:rPr>
        <w:t xml:space="preserve"> </w:t>
      </w:r>
      <w:r>
        <w:t>technology</w:t>
      </w:r>
      <w:r>
        <w:rPr>
          <w:spacing w:val="-4"/>
        </w:rPr>
        <w:t xml:space="preserve"> </w:t>
      </w:r>
      <w:r>
        <w:t>provided</w:t>
      </w:r>
      <w:r>
        <w:rPr>
          <w:spacing w:val="-4"/>
        </w:rPr>
        <w:t xml:space="preserve"> </w:t>
      </w:r>
      <w:r>
        <w:t>those</w:t>
      </w:r>
      <w:r>
        <w:rPr>
          <w:spacing w:val="-4"/>
        </w:rPr>
        <w:t xml:space="preserve"> </w:t>
      </w:r>
      <w:r>
        <w:t>individuals</w:t>
      </w:r>
      <w:r>
        <w:rPr>
          <w:spacing w:val="-4"/>
        </w:rPr>
        <w:t xml:space="preserve"> </w:t>
      </w:r>
      <w:r>
        <w:t>are</w:t>
      </w:r>
      <w:r>
        <w:rPr>
          <w:spacing w:val="-4"/>
        </w:rPr>
        <w:t xml:space="preserve"> </w:t>
      </w:r>
      <w:r>
        <w:t xml:space="preserve">aware of the technology and its relative merits (e.g., the energy- and cost-saving features of the technology). The PG Model </w:t>
      </w:r>
      <w:r>
        <w:t>applies two approaches to calculating willingness depending on the sector: the logit approach or the payback-based approach. The residential and commercial sector equipment rebate programs use a logit-based approach. The industrial and agriculture equipmen</w:t>
      </w:r>
      <w:r>
        <w:t>t incentive programs (referred to as characterized custom technologies) use a payback-based approach.</w:t>
      </w:r>
    </w:p>
    <w:p w:rsidR="00C31389" w:rsidRDefault="00C31389" w14:paraId="54157592" w14:textId="77777777">
      <w:pPr>
        <w:pStyle w:val="BodyText"/>
        <w:spacing w:before="10"/>
        <w:rPr>
          <w:sz w:val="20"/>
        </w:rPr>
      </w:pPr>
    </w:p>
    <w:p w:rsidR="00C31389" w:rsidRDefault="00561FBD" w14:paraId="564C471E" w14:textId="77777777">
      <w:pPr>
        <w:pStyle w:val="BodyText"/>
        <w:ind w:left="479" w:right="533"/>
      </w:pPr>
      <w:r>
        <w:rPr>
          <w:b/>
        </w:rPr>
        <w:t xml:space="preserve">Logit approach: </w:t>
      </w:r>
      <w:r>
        <w:t>For the residential and commercial sectors with information on baseline and efficient</w:t>
      </w:r>
      <w:r>
        <w:rPr>
          <w:spacing w:val="-4"/>
        </w:rPr>
        <w:t xml:space="preserve"> </w:t>
      </w:r>
      <w:r>
        <w:t>costs,</w:t>
      </w:r>
      <w:r>
        <w:rPr>
          <w:spacing w:val="-3"/>
        </w:rPr>
        <w:t xml:space="preserve"> </w:t>
      </w:r>
      <w:r>
        <w:t>the</w:t>
      </w:r>
      <w:r>
        <w:rPr>
          <w:spacing w:val="-3"/>
        </w:rPr>
        <w:t xml:space="preserve"> </w:t>
      </w:r>
      <w:r>
        <w:t>Guidehouse</w:t>
      </w:r>
      <w:r>
        <w:rPr>
          <w:spacing w:val="-3"/>
        </w:rPr>
        <w:t xml:space="preserve"> </w:t>
      </w:r>
      <w:r>
        <w:t>team</w:t>
      </w:r>
      <w:r>
        <w:rPr>
          <w:spacing w:val="-4"/>
        </w:rPr>
        <w:t xml:space="preserve"> </w:t>
      </w:r>
      <w:r>
        <w:t>applied</w:t>
      </w:r>
      <w:r>
        <w:rPr>
          <w:spacing w:val="-3"/>
        </w:rPr>
        <w:t xml:space="preserve"> </w:t>
      </w:r>
      <w:r>
        <w:t>a</w:t>
      </w:r>
      <w:r>
        <w:rPr>
          <w:spacing w:val="-3"/>
        </w:rPr>
        <w:t xml:space="preserve"> </w:t>
      </w:r>
      <w:r>
        <w:t>logit</w:t>
      </w:r>
      <w:r>
        <w:rPr>
          <w:spacing w:val="-3"/>
        </w:rPr>
        <w:t xml:space="preserve"> </w:t>
      </w:r>
      <w:r>
        <w:t>approach.</w:t>
      </w:r>
      <w:r>
        <w:rPr>
          <w:spacing w:val="-3"/>
        </w:rPr>
        <w:t xml:space="preserve"> </w:t>
      </w:r>
      <w:r>
        <w:t>To</w:t>
      </w:r>
      <w:r>
        <w:rPr>
          <w:spacing w:val="-3"/>
        </w:rPr>
        <w:t xml:space="preserve"> </w:t>
      </w:r>
      <w:r>
        <w:t>understand</w:t>
      </w:r>
      <w:r>
        <w:rPr>
          <w:spacing w:val="-3"/>
        </w:rPr>
        <w:t xml:space="preserve"> </w:t>
      </w:r>
      <w:r>
        <w:t>how</w:t>
      </w:r>
      <w:r>
        <w:rPr>
          <w:spacing w:val="-4"/>
        </w:rPr>
        <w:t xml:space="preserve"> </w:t>
      </w:r>
      <w:r>
        <w:t>willingness</w:t>
      </w:r>
      <w:r>
        <w:rPr>
          <w:spacing w:val="-3"/>
        </w:rPr>
        <w:t xml:space="preserve"> </w:t>
      </w:r>
      <w:r>
        <w:t>is calculated in the 2023 Study, it helps to understand the logic used in the 2019 Study. The 2019 PG Model calculated willingness using a single attribute decision model focusing on financial attractiveness, where t</w:t>
      </w:r>
      <w:r>
        <w:t>he levelized measure cost (LMC) was the main value factor input. Value factors</w:t>
      </w:r>
      <w:r>
        <w:rPr>
          <w:spacing w:val="-1"/>
        </w:rPr>
        <w:t xml:space="preserve"> </w:t>
      </w:r>
      <w:r>
        <w:t>are</w:t>
      </w:r>
      <w:r>
        <w:rPr>
          <w:spacing w:val="-2"/>
        </w:rPr>
        <w:t xml:space="preserve"> </w:t>
      </w:r>
      <w:r>
        <w:t>the</w:t>
      </w:r>
      <w:r>
        <w:rPr>
          <w:spacing w:val="-1"/>
        </w:rPr>
        <w:t xml:space="preserve"> </w:t>
      </w:r>
      <w:r>
        <w:t>factors</w:t>
      </w:r>
      <w:r>
        <w:rPr>
          <w:spacing w:val="-2"/>
        </w:rPr>
        <w:t xml:space="preserve"> </w:t>
      </w:r>
      <w:r>
        <w:t>that</w:t>
      </w:r>
      <w:r>
        <w:rPr>
          <w:spacing w:val="-1"/>
        </w:rPr>
        <w:t xml:space="preserve"> </w:t>
      </w:r>
      <w:r>
        <w:t>customers</w:t>
      </w:r>
      <w:r>
        <w:rPr>
          <w:spacing w:val="-2"/>
        </w:rPr>
        <w:t xml:space="preserve"> </w:t>
      </w:r>
      <w:r>
        <w:t>consider</w:t>
      </w:r>
      <w:r>
        <w:rPr>
          <w:spacing w:val="-1"/>
        </w:rPr>
        <w:t xml:space="preserve"> </w:t>
      </w:r>
      <w:r>
        <w:t>valuable</w:t>
      </w:r>
      <w:r>
        <w:rPr>
          <w:spacing w:val="-2"/>
        </w:rPr>
        <w:t xml:space="preserve"> </w:t>
      </w:r>
      <w:r>
        <w:t>when</w:t>
      </w:r>
      <w:r>
        <w:rPr>
          <w:spacing w:val="-1"/>
        </w:rPr>
        <w:t xml:space="preserve"> </w:t>
      </w:r>
      <w:r>
        <w:t>deciding</w:t>
      </w:r>
      <w:r>
        <w:rPr>
          <w:spacing w:val="-2"/>
        </w:rPr>
        <w:t xml:space="preserve"> </w:t>
      </w:r>
      <w:r>
        <w:t>to</w:t>
      </w:r>
      <w:r>
        <w:rPr>
          <w:spacing w:val="-1"/>
        </w:rPr>
        <w:t xml:space="preserve"> </w:t>
      </w:r>
      <w:r>
        <w:t>adopt</w:t>
      </w:r>
      <w:r>
        <w:rPr>
          <w:spacing w:val="-2"/>
        </w:rPr>
        <w:t xml:space="preserve"> </w:t>
      </w:r>
      <w:r>
        <w:t>energy</w:t>
      </w:r>
      <w:r>
        <w:rPr>
          <w:spacing w:val="-1"/>
        </w:rPr>
        <w:t xml:space="preserve"> </w:t>
      </w:r>
      <w:r>
        <w:t>efficient equipment. Refer to Section 2 of the 2019 Study for more information on the willingness</w:t>
      </w:r>
    </w:p>
    <w:p w:rsidR="00C31389" w:rsidRDefault="00561FBD" w14:paraId="47512503" w14:textId="77777777">
      <w:pPr>
        <w:ind w:left="479"/>
        <w:rPr>
          <w:sz w:val="14"/>
        </w:rPr>
      </w:pPr>
      <w:r>
        <w:rPr>
          <w:spacing w:val="-2"/>
        </w:rPr>
        <w:t>model.</w:t>
      </w:r>
      <w:r>
        <w:rPr>
          <w:spacing w:val="-36"/>
        </w:rPr>
        <w:t xml:space="preserve"> </w:t>
      </w:r>
      <w:hyperlink w:history="1" w:anchor="_bookmark52">
        <w:r>
          <w:rPr>
            <w:spacing w:val="-5"/>
            <w:position w:val="7"/>
            <w:sz w:val="14"/>
          </w:rPr>
          <w:t>16</w:t>
        </w:r>
      </w:hyperlink>
    </w:p>
    <w:p w:rsidR="00C31389" w:rsidRDefault="00C31389" w14:paraId="0F05B923" w14:textId="77777777">
      <w:pPr>
        <w:pStyle w:val="BodyText"/>
        <w:spacing w:before="10"/>
        <w:rPr>
          <w:sz w:val="20"/>
        </w:rPr>
      </w:pPr>
    </w:p>
    <w:p w:rsidR="00C31389" w:rsidRDefault="00561FBD" w14:paraId="699C2D68" w14:textId="77777777">
      <w:pPr>
        <w:pStyle w:val="BodyText"/>
        <w:ind w:left="479" w:right="533"/>
      </w:pPr>
      <w:r>
        <w:t xml:space="preserve">A key difference in the 2021 and 2023 PG Models from earlier models is the inclusion of </w:t>
      </w:r>
      <w:r>
        <w:rPr>
          <w:b/>
        </w:rPr>
        <w:t>multiple</w:t>
      </w:r>
      <w:r>
        <w:rPr>
          <w:b/>
          <w:spacing w:val="-3"/>
        </w:rPr>
        <w:t xml:space="preserve"> </w:t>
      </w:r>
      <w:r>
        <w:t>value</w:t>
      </w:r>
      <w:r>
        <w:rPr>
          <w:spacing w:val="-3"/>
        </w:rPr>
        <w:t xml:space="preserve"> </w:t>
      </w:r>
      <w:r>
        <w:t>factors</w:t>
      </w:r>
      <w:r>
        <w:rPr>
          <w:spacing w:val="-3"/>
        </w:rPr>
        <w:t xml:space="preserve"> </w:t>
      </w:r>
      <w:r>
        <w:t>that</w:t>
      </w:r>
      <w:r>
        <w:rPr>
          <w:spacing w:val="-3"/>
        </w:rPr>
        <w:t xml:space="preserve"> </w:t>
      </w:r>
      <w:r>
        <w:t>inform</w:t>
      </w:r>
      <w:r>
        <w:rPr>
          <w:spacing w:val="-4"/>
        </w:rPr>
        <w:t xml:space="preserve"> </w:t>
      </w:r>
      <w:r>
        <w:t>a</w:t>
      </w:r>
      <w:r>
        <w:rPr>
          <w:spacing w:val="-3"/>
        </w:rPr>
        <w:t xml:space="preserve"> </w:t>
      </w:r>
      <w:r>
        <w:t>customer’s</w:t>
      </w:r>
      <w:r>
        <w:rPr>
          <w:spacing w:val="-3"/>
        </w:rPr>
        <w:t xml:space="preserve"> </w:t>
      </w:r>
      <w:r>
        <w:t>willingness</w:t>
      </w:r>
      <w:r>
        <w:rPr>
          <w:spacing w:val="-3"/>
        </w:rPr>
        <w:t xml:space="preserve"> </w:t>
      </w:r>
      <w:r>
        <w:t>to</w:t>
      </w:r>
      <w:r>
        <w:rPr>
          <w:spacing w:val="-4"/>
        </w:rPr>
        <w:t xml:space="preserve"> </w:t>
      </w:r>
      <w:r>
        <w:t>adopt</w:t>
      </w:r>
      <w:r>
        <w:rPr>
          <w:spacing w:val="-3"/>
        </w:rPr>
        <w:t xml:space="preserve"> </w:t>
      </w:r>
      <w:r>
        <w:t>instead</w:t>
      </w:r>
      <w:r>
        <w:rPr>
          <w:spacing w:val="-3"/>
        </w:rPr>
        <w:t xml:space="preserve"> </w:t>
      </w:r>
      <w:r>
        <w:t>of</w:t>
      </w:r>
      <w:r>
        <w:rPr>
          <w:spacing w:val="-3"/>
        </w:rPr>
        <w:t xml:space="preserve"> </w:t>
      </w:r>
      <w:r>
        <w:t>solely</w:t>
      </w:r>
      <w:r>
        <w:rPr>
          <w:spacing w:val="-3"/>
        </w:rPr>
        <w:t xml:space="preserve"> </w:t>
      </w:r>
      <w:r>
        <w:t>using</w:t>
      </w:r>
      <w:r>
        <w:rPr>
          <w:spacing w:val="-3"/>
        </w:rPr>
        <w:t xml:space="preserve"> </w:t>
      </w:r>
      <w:r>
        <w:t>the LMC.</w:t>
      </w:r>
      <w:r>
        <w:rPr>
          <w:spacing w:val="-37"/>
        </w:rPr>
        <w:t xml:space="preserve"> </w:t>
      </w:r>
      <w:hyperlink w:history="1" w:anchor="_bookmark53">
        <w:r>
          <w:rPr>
            <w:position w:val="7"/>
            <w:sz w:val="14"/>
          </w:rPr>
          <w:t>17</w:t>
        </w:r>
      </w:hyperlink>
      <w:r>
        <w:rPr>
          <w:spacing w:val="31"/>
          <w:position w:val="7"/>
          <w:sz w:val="14"/>
        </w:rPr>
        <w:t xml:space="preserve"> </w:t>
      </w:r>
      <w:r>
        <w:t>This approach also divides the residential sector into customer groups to reflect that different types of customers behave uniquely and often change what they value when cons</w:t>
      </w:r>
      <w:r>
        <w:t>idering different technologies.</w:t>
      </w:r>
    </w:p>
    <w:p w:rsidR="00C31389" w:rsidRDefault="00C31389" w14:paraId="2786E9BE" w14:textId="77777777">
      <w:pPr>
        <w:pStyle w:val="BodyText"/>
        <w:spacing w:before="10"/>
        <w:rPr>
          <w:sz w:val="20"/>
        </w:rPr>
      </w:pPr>
    </w:p>
    <w:p w:rsidR="00C31389" w:rsidRDefault="00561FBD" w14:paraId="7DC1D445" w14:textId="77777777">
      <w:pPr>
        <w:pStyle w:val="BodyText"/>
        <w:ind w:left="480" w:right="533" w:hanging="1"/>
      </w:pPr>
      <w:r>
        <w:t>The Guidehouse team used the Market Adoption Study conducted in 2021</w:t>
      </w:r>
      <w:hyperlink w:history="1" w:anchor="_bookmark54">
        <w:r>
          <w:rPr>
            <w:position w:val="7"/>
            <w:sz w:val="14"/>
          </w:rPr>
          <w:t>18</w:t>
        </w:r>
      </w:hyperlink>
      <w:r>
        <w:rPr>
          <w:spacing w:val="34"/>
          <w:position w:val="7"/>
          <w:sz w:val="14"/>
        </w:rPr>
        <w:t xml:space="preserve"> </w:t>
      </w:r>
      <w:r>
        <w:t>that collected information</w:t>
      </w:r>
      <w:r>
        <w:rPr>
          <w:spacing w:val="-2"/>
        </w:rPr>
        <w:t xml:space="preserve"> </w:t>
      </w:r>
      <w:r>
        <w:t>from</w:t>
      </w:r>
      <w:r>
        <w:rPr>
          <w:spacing w:val="-3"/>
        </w:rPr>
        <w:t xml:space="preserve"> </w:t>
      </w:r>
      <w:r>
        <w:t>customers</w:t>
      </w:r>
      <w:r>
        <w:rPr>
          <w:spacing w:val="-2"/>
        </w:rPr>
        <w:t xml:space="preserve"> </w:t>
      </w:r>
      <w:r>
        <w:t>to</w:t>
      </w:r>
      <w:r>
        <w:rPr>
          <w:spacing w:val="-2"/>
        </w:rPr>
        <w:t xml:space="preserve"> </w:t>
      </w:r>
      <w:r>
        <w:t>understand</w:t>
      </w:r>
      <w:r>
        <w:rPr>
          <w:spacing w:val="-2"/>
        </w:rPr>
        <w:t xml:space="preserve"> </w:t>
      </w:r>
      <w:r>
        <w:t>the</w:t>
      </w:r>
      <w:r>
        <w:rPr>
          <w:spacing w:val="-2"/>
        </w:rPr>
        <w:t xml:space="preserve"> </w:t>
      </w:r>
      <w:r>
        <w:t>relative</w:t>
      </w:r>
      <w:r>
        <w:rPr>
          <w:spacing w:val="-2"/>
        </w:rPr>
        <w:t xml:space="preserve"> </w:t>
      </w:r>
      <w:r>
        <w:t>importance</w:t>
      </w:r>
      <w:r>
        <w:rPr>
          <w:spacing w:val="-2"/>
        </w:rPr>
        <w:t xml:space="preserve"> </w:t>
      </w:r>
      <w:r>
        <w:t>of</w:t>
      </w:r>
      <w:r>
        <w:rPr>
          <w:spacing w:val="-2"/>
        </w:rPr>
        <w:t xml:space="preserve"> </w:t>
      </w:r>
      <w:r>
        <w:t>these</w:t>
      </w:r>
      <w:r>
        <w:rPr>
          <w:spacing w:val="-1"/>
        </w:rPr>
        <w:t xml:space="preserve"> </w:t>
      </w:r>
      <w:r>
        <w:t>six</w:t>
      </w:r>
      <w:r>
        <w:rPr>
          <w:spacing w:val="-2"/>
        </w:rPr>
        <w:t xml:space="preserve"> </w:t>
      </w:r>
      <w:r>
        <w:t>value</w:t>
      </w:r>
      <w:r>
        <w:rPr>
          <w:spacing w:val="-2"/>
        </w:rPr>
        <w:t xml:space="preserve"> </w:t>
      </w:r>
      <w:r>
        <w:t>factors</w:t>
      </w:r>
      <w:r>
        <w:rPr>
          <w:spacing w:val="-2"/>
        </w:rPr>
        <w:t xml:space="preserve"> </w:t>
      </w:r>
      <w:r>
        <w:t>and how</w:t>
      </w:r>
      <w:r>
        <w:rPr>
          <w:spacing w:val="-4"/>
        </w:rPr>
        <w:t xml:space="preserve"> </w:t>
      </w:r>
      <w:r>
        <w:t>each</w:t>
      </w:r>
      <w:r>
        <w:rPr>
          <w:spacing w:val="-4"/>
        </w:rPr>
        <w:t xml:space="preserve"> </w:t>
      </w:r>
      <w:r>
        <w:t>factor</w:t>
      </w:r>
      <w:r>
        <w:rPr>
          <w:spacing w:val="-4"/>
        </w:rPr>
        <w:t xml:space="preserve"> </w:t>
      </w:r>
      <w:r>
        <w:t>would</w:t>
      </w:r>
      <w:r>
        <w:rPr>
          <w:spacing w:val="-4"/>
        </w:rPr>
        <w:t xml:space="preserve"> </w:t>
      </w:r>
      <w:r>
        <w:t>affect</w:t>
      </w:r>
      <w:r>
        <w:rPr>
          <w:spacing w:val="-4"/>
        </w:rPr>
        <w:t xml:space="preserve"> </w:t>
      </w:r>
      <w:r>
        <w:t>a</w:t>
      </w:r>
      <w:r>
        <w:rPr>
          <w:spacing w:val="-4"/>
        </w:rPr>
        <w:t xml:space="preserve"> </w:t>
      </w:r>
      <w:r>
        <w:t>customer’s</w:t>
      </w:r>
      <w:r>
        <w:rPr>
          <w:spacing w:val="-4"/>
        </w:rPr>
        <w:t xml:space="preserve"> </w:t>
      </w:r>
      <w:r>
        <w:t>multifaceted</w:t>
      </w:r>
      <w:r>
        <w:rPr>
          <w:spacing w:val="-4"/>
        </w:rPr>
        <w:t xml:space="preserve"> </w:t>
      </w:r>
      <w:r>
        <w:t>consumer</w:t>
      </w:r>
      <w:r>
        <w:rPr>
          <w:spacing w:val="-4"/>
        </w:rPr>
        <w:t xml:space="preserve"> </w:t>
      </w:r>
      <w:r>
        <w:t>decision-making</w:t>
      </w:r>
      <w:r>
        <w:rPr>
          <w:spacing w:val="-4"/>
        </w:rPr>
        <w:t xml:space="preserve"> </w:t>
      </w:r>
      <w:r>
        <w:t>process</w:t>
      </w:r>
      <w:r>
        <w:rPr>
          <w:spacing w:val="-4"/>
        </w:rPr>
        <w:t xml:space="preserve"> </w:t>
      </w:r>
      <w:r>
        <w:t xml:space="preserve">and ultimately their willingness to adopt a technology. </w:t>
      </w:r>
      <w:hyperlink w:history="1" w:anchor="_bookmark51">
        <w:r>
          <w:t>Table 2-3</w:t>
        </w:r>
      </w:hyperlink>
      <w:r>
        <w:t xml:space="preserve"> provides the v</w:t>
      </w:r>
      <w:r>
        <w:t>alue factor descriptions used in the Market Adoption Study.</w:t>
      </w:r>
    </w:p>
    <w:p w:rsidR="00C31389" w:rsidRDefault="00C31389" w14:paraId="0FF94864" w14:textId="77777777">
      <w:pPr>
        <w:pStyle w:val="BodyText"/>
        <w:spacing w:before="10"/>
        <w:rPr>
          <w:sz w:val="20"/>
        </w:rPr>
      </w:pPr>
    </w:p>
    <w:p w:rsidR="00C31389" w:rsidRDefault="00561FBD" w14:paraId="695AD867" w14:textId="77777777">
      <w:pPr>
        <w:pStyle w:val="Heading7"/>
        <w:ind w:left="567" w:right="566"/>
        <w:jc w:val="center"/>
      </w:pPr>
      <w:bookmarkStart w:name="_bookmark51" w:id="67"/>
      <w:bookmarkEnd w:id="67"/>
      <w:r>
        <w:t>Table</w:t>
      </w:r>
      <w:r>
        <w:rPr>
          <w:spacing w:val="-7"/>
        </w:rPr>
        <w:t xml:space="preserve"> </w:t>
      </w:r>
      <w:r>
        <w:t>2-3.</w:t>
      </w:r>
      <w:r>
        <w:rPr>
          <w:spacing w:val="-6"/>
        </w:rPr>
        <w:t xml:space="preserve"> </w:t>
      </w:r>
      <w:r>
        <w:t>Value</w:t>
      </w:r>
      <w:r>
        <w:rPr>
          <w:spacing w:val="-6"/>
        </w:rPr>
        <w:t xml:space="preserve"> </w:t>
      </w:r>
      <w:r>
        <w:t>Factor</w:t>
      </w:r>
      <w:r>
        <w:rPr>
          <w:spacing w:val="-7"/>
        </w:rPr>
        <w:t xml:space="preserve"> </w:t>
      </w:r>
      <w:r>
        <w:rPr>
          <w:spacing w:val="-2"/>
        </w:rPr>
        <w:t>Descriptions</w:t>
      </w:r>
    </w:p>
    <w:p w:rsidR="00C31389" w:rsidRDefault="00C31389" w14:paraId="5D2CCA79"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2179"/>
        <w:gridCol w:w="7196"/>
      </w:tblGrid>
      <w:tr w:rsidR="00C31389" w14:paraId="16191AD5" w14:textId="77777777">
        <w:trPr>
          <w:trHeight w:val="480"/>
        </w:trPr>
        <w:tc>
          <w:tcPr>
            <w:tcW w:w="2179" w:type="dxa"/>
            <w:shd w:val="clear" w:color="auto" w:fill="92D400"/>
          </w:tcPr>
          <w:p w:rsidR="00C31389" w:rsidRDefault="00561FBD" w14:paraId="1A6062BE" w14:textId="77777777">
            <w:pPr>
              <w:pStyle w:val="TableParagraph"/>
              <w:spacing w:before="121"/>
              <w:ind w:left="134"/>
              <w:rPr>
                <w:b/>
                <w:sz w:val="20"/>
              </w:rPr>
            </w:pPr>
            <w:r>
              <w:rPr>
                <w:b/>
                <w:sz w:val="20"/>
              </w:rPr>
              <w:t>Value</w:t>
            </w:r>
            <w:r>
              <w:rPr>
                <w:b/>
                <w:spacing w:val="-4"/>
                <w:sz w:val="20"/>
              </w:rPr>
              <w:t xml:space="preserve"> </w:t>
            </w:r>
            <w:r>
              <w:rPr>
                <w:b/>
                <w:spacing w:val="-2"/>
                <w:sz w:val="20"/>
              </w:rPr>
              <w:t>Factor</w:t>
            </w:r>
          </w:p>
        </w:tc>
        <w:tc>
          <w:tcPr>
            <w:tcW w:w="7196" w:type="dxa"/>
            <w:shd w:val="clear" w:color="auto" w:fill="92D400"/>
          </w:tcPr>
          <w:p w:rsidR="00C31389" w:rsidRDefault="00561FBD" w14:paraId="7EB8E43E" w14:textId="77777777">
            <w:pPr>
              <w:pStyle w:val="TableParagraph"/>
              <w:spacing w:before="121"/>
              <w:ind w:left="475"/>
              <w:rPr>
                <w:b/>
                <w:sz w:val="20"/>
              </w:rPr>
            </w:pPr>
            <w:r>
              <w:rPr>
                <w:b/>
                <w:sz w:val="20"/>
              </w:rPr>
              <w:t>Customer</w:t>
            </w:r>
            <w:r>
              <w:rPr>
                <w:b/>
                <w:spacing w:val="-5"/>
                <w:sz w:val="20"/>
              </w:rPr>
              <w:t xml:space="preserve"> </w:t>
            </w:r>
            <w:r>
              <w:rPr>
                <w:b/>
                <w:sz w:val="20"/>
              </w:rPr>
              <w:t>Value</w:t>
            </w:r>
            <w:r>
              <w:rPr>
                <w:b/>
                <w:spacing w:val="-5"/>
                <w:sz w:val="20"/>
              </w:rPr>
              <w:t xml:space="preserve"> </w:t>
            </w:r>
            <w:r>
              <w:rPr>
                <w:b/>
                <w:spacing w:val="-2"/>
                <w:sz w:val="20"/>
              </w:rPr>
              <w:t>Perspective</w:t>
            </w:r>
          </w:p>
        </w:tc>
      </w:tr>
      <w:tr w:rsidR="00C31389" w14:paraId="32C04495" w14:textId="77777777">
        <w:trPr>
          <w:trHeight w:val="470"/>
        </w:trPr>
        <w:tc>
          <w:tcPr>
            <w:tcW w:w="2179" w:type="dxa"/>
            <w:tcBorders>
              <w:bottom w:val="single" w:color="D9D9D9" w:sz="2" w:space="0"/>
            </w:tcBorders>
          </w:tcPr>
          <w:p w:rsidR="00C31389" w:rsidRDefault="00561FBD" w14:paraId="5C271E0A" w14:textId="77777777">
            <w:pPr>
              <w:pStyle w:val="TableParagraph"/>
              <w:spacing w:before="120"/>
              <w:ind w:left="134"/>
              <w:rPr>
                <w:sz w:val="20"/>
              </w:rPr>
            </w:pPr>
            <w:r>
              <w:rPr>
                <w:sz w:val="20"/>
              </w:rPr>
              <w:t>Lifetime</w:t>
            </w:r>
            <w:r>
              <w:rPr>
                <w:spacing w:val="-8"/>
                <w:sz w:val="20"/>
              </w:rPr>
              <w:t xml:space="preserve"> </w:t>
            </w:r>
            <w:r>
              <w:rPr>
                <w:spacing w:val="-2"/>
                <w:sz w:val="20"/>
              </w:rPr>
              <w:t>Costs</w:t>
            </w:r>
          </w:p>
        </w:tc>
        <w:tc>
          <w:tcPr>
            <w:tcW w:w="7196" w:type="dxa"/>
            <w:tcBorders>
              <w:bottom w:val="single" w:color="D9D9D9" w:sz="2" w:space="0"/>
            </w:tcBorders>
          </w:tcPr>
          <w:p w:rsidR="00C31389" w:rsidRDefault="00561FBD" w14:paraId="63B85C78" w14:textId="77777777">
            <w:pPr>
              <w:pStyle w:val="TableParagraph"/>
              <w:spacing w:before="120"/>
              <w:ind w:left="475"/>
              <w:rPr>
                <w:sz w:val="20"/>
              </w:rPr>
            </w:pPr>
            <w:r>
              <w:rPr>
                <w:sz w:val="20"/>
              </w:rPr>
              <w:t>Long-term</w:t>
            </w:r>
            <w:r>
              <w:rPr>
                <w:spacing w:val="-4"/>
                <w:sz w:val="20"/>
              </w:rPr>
              <w:t xml:space="preserve"> </w:t>
            </w:r>
            <w:r>
              <w:rPr>
                <w:sz w:val="20"/>
              </w:rPr>
              <w:t>energy</w:t>
            </w:r>
            <w:r>
              <w:rPr>
                <w:spacing w:val="-3"/>
                <w:sz w:val="20"/>
              </w:rPr>
              <w:t xml:space="preserve"> </w:t>
            </w:r>
            <w:r>
              <w:rPr>
                <w:sz w:val="20"/>
              </w:rPr>
              <w:t>costs</w:t>
            </w:r>
            <w:r>
              <w:rPr>
                <w:spacing w:val="-4"/>
                <w:sz w:val="20"/>
              </w:rPr>
              <w:t xml:space="preserve"> </w:t>
            </w:r>
            <w:r>
              <w:rPr>
                <w:sz w:val="20"/>
              </w:rPr>
              <w:t>and</w:t>
            </w:r>
            <w:r>
              <w:rPr>
                <w:spacing w:val="-4"/>
                <w:sz w:val="20"/>
              </w:rPr>
              <w:t xml:space="preserve"> </w:t>
            </w:r>
            <w:r>
              <w:rPr>
                <w:sz w:val="20"/>
              </w:rPr>
              <w:t>savings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technology</w:t>
            </w:r>
          </w:p>
        </w:tc>
      </w:tr>
      <w:tr w:rsidR="00C31389" w14:paraId="340F6349" w14:textId="77777777">
        <w:trPr>
          <w:trHeight w:val="469"/>
        </w:trPr>
        <w:tc>
          <w:tcPr>
            <w:tcW w:w="2179" w:type="dxa"/>
            <w:tcBorders>
              <w:top w:val="single" w:color="D9D9D9" w:sz="2" w:space="0"/>
              <w:bottom w:val="single" w:color="D9D9D9" w:sz="2" w:space="0"/>
            </w:tcBorders>
          </w:tcPr>
          <w:p w:rsidR="00C31389" w:rsidRDefault="00561FBD" w14:paraId="1513CB91" w14:textId="77777777">
            <w:pPr>
              <w:pStyle w:val="TableParagraph"/>
              <w:spacing w:before="120"/>
              <w:ind w:left="134"/>
              <w:rPr>
                <w:sz w:val="20"/>
              </w:rPr>
            </w:pPr>
            <w:r>
              <w:rPr>
                <w:sz w:val="20"/>
              </w:rPr>
              <w:t>Upfront</w:t>
            </w:r>
            <w:r>
              <w:rPr>
                <w:spacing w:val="-4"/>
                <w:sz w:val="20"/>
              </w:rPr>
              <w:t xml:space="preserve"> </w:t>
            </w:r>
            <w:r>
              <w:rPr>
                <w:spacing w:val="-2"/>
                <w:sz w:val="20"/>
              </w:rPr>
              <w:t>Costs</w:t>
            </w:r>
          </w:p>
        </w:tc>
        <w:tc>
          <w:tcPr>
            <w:tcW w:w="7196" w:type="dxa"/>
            <w:tcBorders>
              <w:top w:val="single" w:color="D9D9D9" w:sz="2" w:space="0"/>
              <w:bottom w:val="single" w:color="D9D9D9" w:sz="2" w:space="0"/>
            </w:tcBorders>
          </w:tcPr>
          <w:p w:rsidR="00C31389" w:rsidRDefault="00561FBD" w14:paraId="33753F6F" w14:textId="77777777">
            <w:pPr>
              <w:pStyle w:val="TableParagraph"/>
              <w:spacing w:before="120"/>
              <w:ind w:left="475"/>
              <w:rPr>
                <w:sz w:val="20"/>
              </w:rPr>
            </w:pPr>
            <w:r>
              <w:rPr>
                <w:sz w:val="20"/>
              </w:rPr>
              <w:t>Initial</w:t>
            </w:r>
            <w:r>
              <w:rPr>
                <w:spacing w:val="-4"/>
                <w:sz w:val="20"/>
              </w:rPr>
              <w:t xml:space="preserve"> </w:t>
            </w:r>
            <w:r>
              <w:rPr>
                <w:sz w:val="20"/>
              </w:rPr>
              <w:t>out-of-pocket</w:t>
            </w:r>
            <w:r>
              <w:rPr>
                <w:spacing w:val="-3"/>
                <w:sz w:val="20"/>
              </w:rPr>
              <w:t xml:space="preserve"> </w:t>
            </w:r>
            <w:r>
              <w:rPr>
                <w:sz w:val="20"/>
              </w:rPr>
              <w:t>price</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technology</w:t>
            </w:r>
          </w:p>
        </w:tc>
      </w:tr>
      <w:tr w:rsidR="00C31389" w14:paraId="26F92B49" w14:textId="77777777">
        <w:trPr>
          <w:trHeight w:val="700"/>
        </w:trPr>
        <w:tc>
          <w:tcPr>
            <w:tcW w:w="2179" w:type="dxa"/>
            <w:tcBorders>
              <w:top w:val="single" w:color="D9D9D9" w:sz="2" w:space="0"/>
              <w:bottom w:val="single" w:color="D9D9D9" w:sz="2" w:space="0"/>
            </w:tcBorders>
          </w:tcPr>
          <w:p w:rsidR="00C31389" w:rsidRDefault="00C31389" w14:paraId="4D60B8D1" w14:textId="77777777">
            <w:pPr>
              <w:pStyle w:val="TableParagraph"/>
              <w:spacing w:before="5"/>
              <w:rPr>
                <w:b/>
                <w:sz w:val="20"/>
              </w:rPr>
            </w:pPr>
          </w:p>
          <w:p w:rsidR="00C31389" w:rsidRDefault="00561FBD" w14:paraId="129F06D7" w14:textId="77777777">
            <w:pPr>
              <w:pStyle w:val="TableParagraph"/>
              <w:spacing w:before="1"/>
              <w:ind w:left="134"/>
              <w:rPr>
                <w:sz w:val="20"/>
              </w:rPr>
            </w:pPr>
            <w:r>
              <w:rPr>
                <w:sz w:val="20"/>
              </w:rPr>
              <w:t>Hassle</w:t>
            </w:r>
            <w:r>
              <w:rPr>
                <w:spacing w:val="-5"/>
                <w:sz w:val="20"/>
              </w:rPr>
              <w:t xml:space="preserve"> </w:t>
            </w:r>
            <w:r>
              <w:rPr>
                <w:spacing w:val="-2"/>
                <w:sz w:val="20"/>
              </w:rPr>
              <w:t>Factor</w:t>
            </w:r>
          </w:p>
        </w:tc>
        <w:tc>
          <w:tcPr>
            <w:tcW w:w="7196" w:type="dxa"/>
            <w:tcBorders>
              <w:top w:val="single" w:color="D9D9D9" w:sz="2" w:space="0"/>
              <w:bottom w:val="single" w:color="D9D9D9" w:sz="2" w:space="0"/>
            </w:tcBorders>
          </w:tcPr>
          <w:p w:rsidR="00C31389" w:rsidRDefault="00561FBD" w14:paraId="79D62292" w14:textId="77777777">
            <w:pPr>
              <w:pStyle w:val="TableParagraph"/>
              <w:spacing w:before="120"/>
              <w:ind w:left="475"/>
              <w:rPr>
                <w:sz w:val="20"/>
              </w:rPr>
            </w:pPr>
            <w:r>
              <w:rPr>
                <w:sz w:val="20"/>
              </w:rPr>
              <w:t>Ease</w:t>
            </w:r>
            <w:r>
              <w:rPr>
                <w:spacing w:val="-4"/>
                <w:sz w:val="20"/>
              </w:rPr>
              <w:t xml:space="preserve"> </w:t>
            </w:r>
            <w:r>
              <w:rPr>
                <w:sz w:val="20"/>
              </w:rPr>
              <w:t>in</w:t>
            </w:r>
            <w:r>
              <w:rPr>
                <w:spacing w:val="-4"/>
                <w:sz w:val="20"/>
              </w:rPr>
              <w:t xml:space="preserve"> </w:t>
            </w:r>
            <w:r>
              <w:rPr>
                <w:sz w:val="20"/>
              </w:rPr>
              <w:t>installing</w:t>
            </w:r>
            <w:r>
              <w:rPr>
                <w:spacing w:val="-4"/>
                <w:sz w:val="20"/>
              </w:rPr>
              <w:t xml:space="preserve"> </w:t>
            </w:r>
            <w:r>
              <w:rPr>
                <w:sz w:val="20"/>
              </w:rPr>
              <w:t>and</w:t>
            </w:r>
            <w:r>
              <w:rPr>
                <w:spacing w:val="-4"/>
                <w:sz w:val="20"/>
              </w:rPr>
              <w:t xml:space="preserve"> </w:t>
            </w:r>
            <w:r>
              <w:rPr>
                <w:sz w:val="20"/>
              </w:rPr>
              <w:t>using</w:t>
            </w:r>
            <w:r>
              <w:rPr>
                <w:spacing w:val="-4"/>
                <w:sz w:val="20"/>
              </w:rPr>
              <w:t xml:space="preserve"> </w:t>
            </w:r>
            <w:r>
              <w:rPr>
                <w:sz w:val="20"/>
              </w:rPr>
              <w:t>a</w:t>
            </w:r>
            <w:r>
              <w:rPr>
                <w:spacing w:val="-4"/>
                <w:sz w:val="20"/>
              </w:rPr>
              <w:t xml:space="preserve"> </w:t>
            </w:r>
            <w:r>
              <w:rPr>
                <w:sz w:val="20"/>
              </w:rPr>
              <w:t>technology,</w:t>
            </w:r>
            <w:r>
              <w:rPr>
                <w:spacing w:val="-4"/>
                <w:sz w:val="20"/>
              </w:rPr>
              <w:t xml:space="preserve"> </w:t>
            </w:r>
            <w:r>
              <w:rPr>
                <w:sz w:val="20"/>
              </w:rPr>
              <w:t>which</w:t>
            </w:r>
            <w:r>
              <w:rPr>
                <w:spacing w:val="-4"/>
                <w:sz w:val="20"/>
              </w:rPr>
              <w:t xml:space="preserve"> </w:t>
            </w:r>
            <w:r>
              <w:rPr>
                <w:sz w:val="20"/>
              </w:rPr>
              <w:t>is</w:t>
            </w:r>
            <w:r>
              <w:rPr>
                <w:spacing w:val="-3"/>
                <w:sz w:val="20"/>
              </w:rPr>
              <w:t xml:space="preserve"> </w:t>
            </w:r>
            <w:r>
              <w:rPr>
                <w:sz w:val="20"/>
              </w:rPr>
              <w:t>also</w:t>
            </w:r>
            <w:r>
              <w:rPr>
                <w:spacing w:val="-4"/>
                <w:sz w:val="20"/>
              </w:rPr>
              <w:t xml:space="preserve"> </w:t>
            </w:r>
            <w:r>
              <w:rPr>
                <w:sz w:val="20"/>
              </w:rPr>
              <w:t>related</w:t>
            </w:r>
            <w:r>
              <w:rPr>
                <w:spacing w:val="-4"/>
                <w:sz w:val="20"/>
              </w:rPr>
              <w:t xml:space="preserve"> </w:t>
            </w:r>
            <w:r>
              <w:rPr>
                <w:sz w:val="20"/>
              </w:rPr>
              <w:t>to convenience of the purchase and installation</w:t>
            </w:r>
          </w:p>
        </w:tc>
      </w:tr>
      <w:tr w:rsidR="00C31389" w14:paraId="297BEC68" w14:textId="77777777">
        <w:trPr>
          <w:trHeight w:val="700"/>
        </w:trPr>
        <w:tc>
          <w:tcPr>
            <w:tcW w:w="2179" w:type="dxa"/>
            <w:tcBorders>
              <w:top w:val="single" w:color="D9D9D9" w:sz="2" w:space="0"/>
              <w:bottom w:val="single" w:color="000000" w:sz="8" w:space="0"/>
            </w:tcBorders>
          </w:tcPr>
          <w:p w:rsidR="00C31389" w:rsidRDefault="00561FBD" w14:paraId="3FFE46E4" w14:textId="77777777">
            <w:pPr>
              <w:pStyle w:val="TableParagraph"/>
              <w:spacing w:before="120"/>
              <w:ind w:left="134"/>
              <w:rPr>
                <w:sz w:val="20"/>
              </w:rPr>
            </w:pPr>
            <w:r>
              <w:rPr>
                <w:spacing w:val="-2"/>
                <w:sz w:val="20"/>
              </w:rPr>
              <w:t>Non-consumption Performance</w:t>
            </w:r>
          </w:p>
        </w:tc>
        <w:tc>
          <w:tcPr>
            <w:tcW w:w="7196" w:type="dxa"/>
            <w:tcBorders>
              <w:top w:val="single" w:color="D9D9D9" w:sz="2" w:space="0"/>
              <w:bottom w:val="single" w:color="000000" w:sz="8" w:space="0"/>
            </w:tcBorders>
          </w:tcPr>
          <w:p w:rsidR="00C31389" w:rsidRDefault="00561FBD" w14:paraId="18F27B96" w14:textId="77777777">
            <w:pPr>
              <w:pStyle w:val="TableParagraph"/>
              <w:spacing w:before="120"/>
              <w:ind w:left="475" w:right="104"/>
              <w:rPr>
                <w:sz w:val="20"/>
              </w:rPr>
            </w:pPr>
            <w:r>
              <w:rPr>
                <w:sz w:val="20"/>
              </w:rPr>
              <w:t xml:space="preserve">Other non-financial and non-energy elements that </w:t>
            </w:r>
            <w:r>
              <w:rPr>
                <w:sz w:val="20"/>
              </w:rPr>
              <w:t>customers likely consider</w:t>
            </w:r>
            <w:r>
              <w:rPr>
                <w:spacing w:val="-4"/>
                <w:sz w:val="20"/>
              </w:rPr>
              <w:t xml:space="preserve"> </w:t>
            </w:r>
            <w:r>
              <w:rPr>
                <w:sz w:val="20"/>
              </w:rPr>
              <w:t>when</w:t>
            </w:r>
            <w:r>
              <w:rPr>
                <w:spacing w:val="-5"/>
                <w:sz w:val="20"/>
              </w:rPr>
              <w:t xml:space="preserve"> </w:t>
            </w:r>
            <w:r>
              <w:rPr>
                <w:sz w:val="20"/>
              </w:rPr>
              <w:t>deciding</w:t>
            </w:r>
            <w:r>
              <w:rPr>
                <w:spacing w:val="-5"/>
                <w:sz w:val="20"/>
              </w:rPr>
              <w:t xml:space="preserve"> </w:t>
            </w:r>
            <w:r>
              <w:rPr>
                <w:sz w:val="20"/>
              </w:rPr>
              <w:t>to</w:t>
            </w:r>
            <w:r>
              <w:rPr>
                <w:spacing w:val="-5"/>
                <w:sz w:val="20"/>
              </w:rPr>
              <w:t xml:space="preserve"> </w:t>
            </w:r>
            <w:r>
              <w:rPr>
                <w:sz w:val="20"/>
              </w:rPr>
              <w:t>purchase</w:t>
            </w:r>
            <w:r>
              <w:rPr>
                <w:spacing w:val="-5"/>
                <w:sz w:val="20"/>
              </w:rPr>
              <w:t xml:space="preserve"> </w:t>
            </w:r>
            <w:r>
              <w:rPr>
                <w:sz w:val="20"/>
              </w:rPr>
              <w:t>a</w:t>
            </w:r>
            <w:r>
              <w:rPr>
                <w:spacing w:val="-5"/>
                <w:sz w:val="20"/>
              </w:rPr>
              <w:t xml:space="preserve"> </w:t>
            </w:r>
            <w:r>
              <w:rPr>
                <w:sz w:val="20"/>
              </w:rPr>
              <w:t>new</w:t>
            </w:r>
            <w:r>
              <w:rPr>
                <w:spacing w:val="-4"/>
                <w:sz w:val="20"/>
              </w:rPr>
              <w:t xml:space="preserve"> </w:t>
            </w:r>
            <w:r>
              <w:rPr>
                <w:sz w:val="20"/>
              </w:rPr>
              <w:t>appliance</w:t>
            </w:r>
            <w:r>
              <w:rPr>
                <w:spacing w:val="-5"/>
                <w:sz w:val="20"/>
              </w:rPr>
              <w:t xml:space="preserve"> </w:t>
            </w:r>
            <w:r>
              <w:rPr>
                <w:sz w:val="20"/>
              </w:rPr>
              <w:t>or</w:t>
            </w:r>
            <w:r>
              <w:rPr>
                <w:spacing w:val="-4"/>
                <w:sz w:val="20"/>
              </w:rPr>
              <w:t xml:space="preserve"> </w:t>
            </w:r>
            <w:r>
              <w:rPr>
                <w:sz w:val="20"/>
              </w:rPr>
              <w:t>technology</w:t>
            </w:r>
          </w:p>
        </w:tc>
      </w:tr>
    </w:tbl>
    <w:p w:rsidR="00C31389" w:rsidRDefault="00C31389" w14:paraId="12290D21" w14:textId="77777777">
      <w:pPr>
        <w:pStyle w:val="BodyText"/>
        <w:rPr>
          <w:b/>
          <w:sz w:val="20"/>
        </w:rPr>
      </w:pPr>
    </w:p>
    <w:p w:rsidR="00C31389" w:rsidRDefault="00561FBD" w14:paraId="4BE95912" w14:textId="77777777">
      <w:pPr>
        <w:pStyle w:val="BodyText"/>
        <w:spacing w:before="1"/>
        <w:rPr>
          <w:b/>
          <w:sz w:val="19"/>
        </w:rPr>
      </w:pPr>
      <w:r>
        <w:rPr>
          <w:noProof/>
        </w:rPr>
        <mc:AlternateContent>
          <mc:Choice Requires="wps">
            <w:drawing>
              <wp:anchor distT="0" distB="0" distL="0" distR="0" simplePos="0" relativeHeight="487608320" behindDoc="1" locked="0" layoutInCell="1" allowOverlap="1" wp14:editId="0DD68A7C" wp14:anchorId="3E52E98D">
                <wp:simplePos x="0" y="0"/>
                <wp:positionH relativeFrom="page">
                  <wp:posOffset>914400</wp:posOffset>
                </wp:positionH>
                <wp:positionV relativeFrom="paragraph">
                  <wp:posOffset>154698</wp:posOffset>
                </wp:positionV>
                <wp:extent cx="1828800" cy="6985"/>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16" style="position:absolute;margin-left:1in;margin-top:12.2pt;width:2in;height:.5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" w14:anchorId="2DF487AE">
                <v:path arrowok="t"/>
                <w10:wrap type="topAndBottom" anchorx="page"/>
              </v:shape>
            </w:pict>
          </mc:Fallback>
        </mc:AlternateContent>
      </w:r>
    </w:p>
    <w:p w:rsidR="00C31389" w:rsidRDefault="00561FBD" w14:paraId="520AD637" w14:textId="77777777">
      <w:pPr>
        <w:spacing w:before="89"/>
        <w:ind w:left="480"/>
        <w:rPr>
          <w:sz w:val="18"/>
        </w:rPr>
      </w:pPr>
      <w:bookmarkStart w:name="_bookmark52" w:id="68"/>
      <w:bookmarkEnd w:id="68"/>
      <w:r>
        <w:rPr>
          <w:position w:val="6"/>
          <w:sz w:val="12"/>
        </w:rPr>
        <w:t>16</w:t>
      </w:r>
      <w:r>
        <w:rPr>
          <w:spacing w:val="12"/>
          <w:position w:val="6"/>
          <w:sz w:val="12"/>
        </w:rPr>
        <w:t xml:space="preserve"> </w:t>
      </w:r>
      <w:r>
        <w:rPr>
          <w:sz w:val="18"/>
        </w:rPr>
        <w:t>Guidehouse</w:t>
      </w:r>
      <w:r>
        <w:rPr>
          <w:spacing w:val="-4"/>
          <w:sz w:val="18"/>
        </w:rPr>
        <w:t xml:space="preserve"> </w:t>
      </w:r>
      <w:r>
        <w:rPr>
          <w:sz w:val="18"/>
        </w:rPr>
        <w:t>(as</w:t>
      </w:r>
      <w:r>
        <w:rPr>
          <w:spacing w:val="-2"/>
          <w:sz w:val="18"/>
        </w:rPr>
        <w:t xml:space="preserve"> </w:t>
      </w:r>
      <w:r>
        <w:rPr>
          <w:sz w:val="18"/>
        </w:rPr>
        <w:t>Navigant),</w:t>
      </w:r>
      <w:r>
        <w:rPr>
          <w:spacing w:val="-3"/>
          <w:sz w:val="18"/>
        </w:rPr>
        <w:t xml:space="preserve"> </w:t>
      </w:r>
      <w:r>
        <w:rPr>
          <w:sz w:val="18"/>
        </w:rPr>
        <w:t>2019</w:t>
      </w:r>
      <w:r>
        <w:rPr>
          <w:spacing w:val="-2"/>
          <w:sz w:val="18"/>
        </w:rPr>
        <w:t xml:space="preserve"> </w:t>
      </w:r>
      <w:r>
        <w:rPr>
          <w:i/>
          <w:sz w:val="18"/>
        </w:rPr>
        <w:t>Energy</w:t>
      </w:r>
      <w:r>
        <w:rPr>
          <w:i/>
          <w:spacing w:val="-3"/>
          <w:sz w:val="18"/>
        </w:rPr>
        <w:t xml:space="preserve"> </w:t>
      </w:r>
      <w:r>
        <w:rPr>
          <w:i/>
          <w:sz w:val="18"/>
        </w:rPr>
        <w:t>Efficiency</w:t>
      </w:r>
      <w:r>
        <w:rPr>
          <w:i/>
          <w:spacing w:val="-3"/>
          <w:sz w:val="18"/>
        </w:rPr>
        <w:t xml:space="preserve"> </w:t>
      </w:r>
      <w:r>
        <w:rPr>
          <w:i/>
          <w:sz w:val="18"/>
        </w:rPr>
        <w:t>Potential</w:t>
      </w:r>
      <w:r>
        <w:rPr>
          <w:i/>
          <w:spacing w:val="-2"/>
          <w:sz w:val="18"/>
        </w:rPr>
        <w:t xml:space="preserve"> </w:t>
      </w:r>
      <w:r>
        <w:rPr>
          <w:i/>
          <w:sz w:val="18"/>
        </w:rPr>
        <w:t>and</w:t>
      </w:r>
      <w:r>
        <w:rPr>
          <w:i/>
          <w:spacing w:val="-4"/>
          <w:sz w:val="18"/>
        </w:rPr>
        <w:t xml:space="preserve"> </w:t>
      </w:r>
      <w:r>
        <w:rPr>
          <w:i/>
          <w:sz w:val="18"/>
        </w:rPr>
        <w:t>Goals</w:t>
      </w:r>
      <w:r>
        <w:rPr>
          <w:i/>
          <w:spacing w:val="-2"/>
          <w:sz w:val="18"/>
        </w:rPr>
        <w:t xml:space="preserve"> </w:t>
      </w:r>
      <w:r>
        <w:rPr>
          <w:i/>
          <w:sz w:val="18"/>
        </w:rPr>
        <w:t>Study</w:t>
      </w:r>
      <w:r>
        <w:rPr>
          <w:sz w:val="18"/>
        </w:rPr>
        <w:t>,</w:t>
      </w:r>
      <w:r>
        <w:rPr>
          <w:spacing w:val="-3"/>
          <w:sz w:val="18"/>
        </w:rPr>
        <w:t xml:space="preserve"> </w:t>
      </w:r>
      <w:r>
        <w:rPr>
          <w:sz w:val="18"/>
        </w:rPr>
        <w:t>July</w:t>
      </w:r>
      <w:r>
        <w:rPr>
          <w:spacing w:val="-2"/>
          <w:sz w:val="18"/>
        </w:rPr>
        <w:t xml:space="preserve"> 2019.</w:t>
      </w:r>
    </w:p>
    <w:p w:rsidR="00C31389" w:rsidRDefault="00561FBD" w14:paraId="04C8CB2F" w14:textId="77777777">
      <w:pPr>
        <w:spacing w:before="34"/>
        <w:ind w:left="479" w:right="533"/>
        <w:rPr>
          <w:sz w:val="18"/>
        </w:rPr>
      </w:pPr>
      <w:bookmarkStart w:name="_bookmark53" w:id="69"/>
      <w:bookmarkEnd w:id="69"/>
      <w:r>
        <w:rPr>
          <w:position w:val="6"/>
          <w:sz w:val="12"/>
        </w:rPr>
        <w:t>17</w:t>
      </w:r>
      <w:r>
        <w:rPr>
          <w:spacing w:val="23"/>
          <w:position w:val="6"/>
          <w:sz w:val="12"/>
        </w:rPr>
        <w:t xml:space="preserve"> </w:t>
      </w:r>
      <w:r>
        <w:rPr>
          <w:sz w:val="18"/>
        </w:rPr>
        <w:t xml:space="preserve">The 2019 Study only used the LMC but did attempt to value non-cost </w:t>
      </w:r>
      <w:r>
        <w:rPr>
          <w:sz w:val="18"/>
        </w:rPr>
        <w:t>factors that drive decisions through an assumed</w:t>
      </w:r>
      <w:r>
        <w:rPr>
          <w:spacing w:val="-3"/>
          <w:sz w:val="18"/>
        </w:rPr>
        <w:t xml:space="preserve"> </w:t>
      </w:r>
      <w:r>
        <w:rPr>
          <w:sz w:val="18"/>
        </w:rPr>
        <w:t>implied</w:t>
      </w:r>
      <w:r>
        <w:rPr>
          <w:spacing w:val="-3"/>
          <w:sz w:val="18"/>
        </w:rPr>
        <w:t xml:space="preserve"> </w:t>
      </w:r>
      <w:r>
        <w:rPr>
          <w:sz w:val="18"/>
        </w:rPr>
        <w:t>discount</w:t>
      </w:r>
      <w:r>
        <w:rPr>
          <w:spacing w:val="-2"/>
          <w:sz w:val="18"/>
        </w:rPr>
        <w:t xml:space="preserve"> </w:t>
      </w:r>
      <w:r>
        <w:rPr>
          <w:sz w:val="18"/>
        </w:rPr>
        <w:t>rate.</w:t>
      </w:r>
      <w:r>
        <w:rPr>
          <w:spacing w:val="-2"/>
          <w:sz w:val="18"/>
        </w:rPr>
        <w:t xml:space="preserve"> </w:t>
      </w:r>
      <w:r>
        <w:rPr>
          <w:sz w:val="18"/>
        </w:rPr>
        <w:t>The</w:t>
      </w:r>
      <w:r>
        <w:rPr>
          <w:spacing w:val="-3"/>
          <w:sz w:val="18"/>
        </w:rPr>
        <w:t xml:space="preserve"> </w:t>
      </w:r>
      <w:r>
        <w:rPr>
          <w:sz w:val="18"/>
        </w:rPr>
        <w:t>additional</w:t>
      </w:r>
      <w:r>
        <w:rPr>
          <w:spacing w:val="-2"/>
          <w:sz w:val="18"/>
        </w:rPr>
        <w:t xml:space="preserve"> </w:t>
      </w:r>
      <w:r>
        <w:rPr>
          <w:sz w:val="18"/>
        </w:rPr>
        <w:t>value</w:t>
      </w:r>
      <w:r>
        <w:rPr>
          <w:spacing w:val="-3"/>
          <w:sz w:val="18"/>
        </w:rPr>
        <w:t xml:space="preserve"> </w:t>
      </w:r>
      <w:r>
        <w:rPr>
          <w:sz w:val="18"/>
        </w:rPr>
        <w:t>factors</w:t>
      </w:r>
      <w:r>
        <w:rPr>
          <w:spacing w:val="-1"/>
          <w:sz w:val="18"/>
        </w:rPr>
        <w:t xml:space="preserve"> </w:t>
      </w:r>
      <w:r>
        <w:rPr>
          <w:sz w:val="18"/>
        </w:rPr>
        <w:t>included</w:t>
      </w:r>
      <w:r>
        <w:rPr>
          <w:spacing w:val="-3"/>
          <w:sz w:val="18"/>
        </w:rPr>
        <w:t xml:space="preserve"> </w:t>
      </w:r>
      <w:r>
        <w:rPr>
          <w:sz w:val="18"/>
        </w:rPr>
        <w:t>in</w:t>
      </w:r>
      <w:r>
        <w:rPr>
          <w:spacing w:val="-3"/>
          <w:sz w:val="18"/>
        </w:rPr>
        <w:t xml:space="preserve"> </w:t>
      </w:r>
      <w:r>
        <w:rPr>
          <w:sz w:val="18"/>
        </w:rPr>
        <w:t>the</w:t>
      </w:r>
      <w:r>
        <w:rPr>
          <w:spacing w:val="-1"/>
          <w:sz w:val="18"/>
        </w:rPr>
        <w:t xml:space="preserve"> </w:t>
      </w:r>
      <w:r>
        <w:rPr>
          <w:sz w:val="18"/>
        </w:rPr>
        <w:t>2021</w:t>
      </w:r>
      <w:r>
        <w:rPr>
          <w:spacing w:val="-3"/>
          <w:sz w:val="18"/>
        </w:rPr>
        <w:t xml:space="preserve"> </w:t>
      </w:r>
      <w:r>
        <w:rPr>
          <w:sz w:val="18"/>
        </w:rPr>
        <w:t>Study</w:t>
      </w:r>
      <w:r>
        <w:rPr>
          <w:spacing w:val="-2"/>
          <w:sz w:val="18"/>
        </w:rPr>
        <w:t xml:space="preserve"> </w:t>
      </w:r>
      <w:r>
        <w:rPr>
          <w:sz w:val="18"/>
        </w:rPr>
        <w:t>replace</w:t>
      </w:r>
      <w:r>
        <w:rPr>
          <w:spacing w:val="-3"/>
          <w:sz w:val="18"/>
        </w:rPr>
        <w:t xml:space="preserve"> </w:t>
      </w:r>
      <w:r>
        <w:rPr>
          <w:sz w:val="18"/>
        </w:rPr>
        <w:t>the</w:t>
      </w:r>
      <w:r>
        <w:rPr>
          <w:spacing w:val="-3"/>
          <w:sz w:val="18"/>
        </w:rPr>
        <w:t xml:space="preserve"> </w:t>
      </w:r>
      <w:r>
        <w:rPr>
          <w:sz w:val="18"/>
        </w:rPr>
        <w:t>use</w:t>
      </w:r>
      <w:r>
        <w:rPr>
          <w:spacing w:val="-3"/>
          <w:sz w:val="18"/>
        </w:rPr>
        <w:t xml:space="preserve"> </w:t>
      </w:r>
      <w:r>
        <w:rPr>
          <w:sz w:val="18"/>
        </w:rPr>
        <w:t>of</w:t>
      </w:r>
      <w:r>
        <w:rPr>
          <w:spacing w:val="-2"/>
          <w:sz w:val="18"/>
        </w:rPr>
        <w:t xml:space="preserve"> </w:t>
      </w:r>
      <w:r>
        <w:rPr>
          <w:sz w:val="18"/>
        </w:rPr>
        <w:t>an</w:t>
      </w:r>
      <w:r>
        <w:rPr>
          <w:spacing w:val="-3"/>
          <w:sz w:val="18"/>
        </w:rPr>
        <w:t xml:space="preserve"> </w:t>
      </w:r>
      <w:r>
        <w:rPr>
          <w:sz w:val="18"/>
        </w:rPr>
        <w:t>implied discount rate and provide actual data to inform the adoption drivers.</w:t>
      </w:r>
    </w:p>
    <w:p w:rsidR="00C31389" w:rsidRDefault="00561FBD" w14:paraId="26277D54" w14:textId="77777777">
      <w:pPr>
        <w:spacing w:before="38"/>
        <w:ind w:left="480"/>
        <w:rPr>
          <w:sz w:val="18"/>
        </w:rPr>
      </w:pPr>
      <w:bookmarkStart w:name="_bookmark54" w:id="70"/>
      <w:bookmarkEnd w:id="70"/>
      <w:r>
        <w:rPr>
          <w:position w:val="6"/>
          <w:sz w:val="12"/>
        </w:rPr>
        <w:t>18</w:t>
      </w:r>
      <w:r>
        <w:rPr>
          <w:spacing w:val="12"/>
          <w:position w:val="6"/>
          <w:sz w:val="12"/>
        </w:rPr>
        <w:t xml:space="preserve"> </w:t>
      </w:r>
      <w:r>
        <w:rPr>
          <w:sz w:val="18"/>
        </w:rPr>
        <w:t>Guidehouse</w:t>
      </w:r>
      <w:r>
        <w:rPr>
          <w:spacing w:val="-4"/>
          <w:sz w:val="18"/>
        </w:rPr>
        <w:t xml:space="preserve"> </w:t>
      </w:r>
      <w:r>
        <w:rPr>
          <w:sz w:val="18"/>
        </w:rPr>
        <w:t>and</w:t>
      </w:r>
      <w:r>
        <w:rPr>
          <w:spacing w:val="-4"/>
          <w:sz w:val="18"/>
        </w:rPr>
        <w:t xml:space="preserve"> </w:t>
      </w:r>
      <w:r>
        <w:rPr>
          <w:sz w:val="18"/>
        </w:rPr>
        <w:t>Opinion</w:t>
      </w:r>
      <w:r>
        <w:rPr>
          <w:spacing w:val="-4"/>
          <w:sz w:val="18"/>
        </w:rPr>
        <w:t xml:space="preserve"> </w:t>
      </w:r>
      <w:r>
        <w:rPr>
          <w:sz w:val="18"/>
        </w:rPr>
        <w:t>Dynamics</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CPUC,</w:t>
      </w:r>
      <w:r>
        <w:rPr>
          <w:spacing w:val="-3"/>
          <w:sz w:val="18"/>
        </w:rPr>
        <w:t xml:space="preserve"> </w:t>
      </w:r>
      <w:hyperlink r:id="rId70">
        <w:r>
          <w:rPr>
            <w:i/>
            <w:color w:val="68942C"/>
            <w:sz w:val="18"/>
            <w:u w:val="single" w:color="68942C"/>
          </w:rPr>
          <w:t>Market</w:t>
        </w:r>
        <w:r>
          <w:rPr>
            <w:i/>
            <w:color w:val="68942C"/>
            <w:spacing w:val="-3"/>
            <w:sz w:val="18"/>
            <w:u w:val="single" w:color="68942C"/>
          </w:rPr>
          <w:t xml:space="preserve"> </w:t>
        </w:r>
        <w:r>
          <w:rPr>
            <w:i/>
            <w:color w:val="68942C"/>
            <w:sz w:val="18"/>
            <w:u w:val="single" w:color="68942C"/>
          </w:rPr>
          <w:t>Adoption</w:t>
        </w:r>
        <w:r>
          <w:rPr>
            <w:i/>
            <w:color w:val="68942C"/>
            <w:spacing w:val="-4"/>
            <w:sz w:val="18"/>
            <w:u w:val="single" w:color="68942C"/>
          </w:rPr>
          <w:t xml:space="preserve"> </w:t>
        </w:r>
        <w:r>
          <w:rPr>
            <w:i/>
            <w:color w:val="68942C"/>
            <w:sz w:val="18"/>
            <w:u w:val="single" w:color="68942C"/>
          </w:rPr>
          <w:t>Characteristics</w:t>
        </w:r>
        <w:r>
          <w:rPr>
            <w:i/>
            <w:color w:val="68942C"/>
            <w:spacing w:val="-3"/>
            <w:sz w:val="18"/>
            <w:u w:val="single" w:color="68942C"/>
          </w:rPr>
          <w:t xml:space="preserve"> </w:t>
        </w:r>
        <w:r>
          <w:rPr>
            <w:i/>
            <w:color w:val="68942C"/>
            <w:sz w:val="18"/>
            <w:u w:val="single" w:color="68942C"/>
          </w:rPr>
          <w:t>Study</w:t>
        </w:r>
        <w:r>
          <w:rPr>
            <w:sz w:val="18"/>
          </w:rPr>
          <w:t>,</w:t>
        </w:r>
      </w:hyperlink>
      <w:r>
        <w:rPr>
          <w:spacing w:val="-2"/>
          <w:sz w:val="18"/>
        </w:rPr>
        <w:t xml:space="preserve"> 2021.</w:t>
      </w:r>
    </w:p>
    <w:p w:rsidR="00C31389" w:rsidRDefault="00C31389" w14:paraId="53FFBC48" w14:textId="77777777">
      <w:pPr>
        <w:rPr>
          <w:sz w:val="18"/>
        </w:rPr>
        <w:sectPr w:rsidR="00C31389">
          <w:pgSz w:w="12240" w:h="15840"/>
          <w:pgMar w:top="1660" w:right="960" w:bottom="1120" w:left="960" w:header="397" w:footer="936" w:gutter="0"/>
          <w:cols w:space="720"/>
        </w:sectPr>
      </w:pPr>
    </w:p>
    <w:p w:rsidR="00C31389" w:rsidRDefault="00C31389" w14:paraId="14E6FBE9" w14:textId="77777777">
      <w:pPr>
        <w:pStyle w:val="BodyText"/>
      </w:pPr>
    </w:p>
    <w:tbl>
      <w:tblPr>
        <w:tblW w:w="0" w:type="auto"/>
        <w:tblInd w:w="473" w:type="dxa"/>
        <w:tblLayout w:type="fixed"/>
        <w:tblCellMar>
          <w:left w:w="0" w:type="dxa"/>
          <w:right w:w="0" w:type="dxa"/>
        </w:tblCellMar>
        <w:tblLook w:val="01E0" w:firstRow="1" w:lastRow="1" w:firstColumn="1" w:lastColumn="1" w:noHBand="0" w:noVBand="0"/>
      </w:tblPr>
      <w:tblGrid>
        <w:gridCol w:w="2106"/>
        <w:gridCol w:w="7268"/>
      </w:tblGrid>
      <w:tr w:rsidR="00C31389" w14:paraId="79C1F3D1" w14:textId="77777777">
        <w:trPr>
          <w:trHeight w:val="252"/>
        </w:trPr>
        <w:tc>
          <w:tcPr>
            <w:tcW w:w="2106" w:type="dxa"/>
            <w:tcBorders>
              <w:top w:val="single" w:color="8B8B8B" w:sz="8" w:space="0"/>
            </w:tcBorders>
          </w:tcPr>
          <w:p w:rsidR="00C31389" w:rsidRDefault="00C31389" w14:paraId="7C5AE6BE" w14:textId="77777777">
            <w:pPr>
              <w:pStyle w:val="TableParagraph"/>
              <w:spacing w:before="0"/>
              <w:rPr>
                <w:rFonts w:ascii="Times New Roman"/>
                <w:sz w:val="18"/>
              </w:rPr>
            </w:pPr>
          </w:p>
        </w:tc>
        <w:tc>
          <w:tcPr>
            <w:tcW w:w="7268" w:type="dxa"/>
            <w:tcBorders>
              <w:top w:val="single" w:color="8B8B8B" w:sz="8" w:space="0"/>
            </w:tcBorders>
          </w:tcPr>
          <w:p w:rsidR="00C31389" w:rsidRDefault="00C31389" w14:paraId="465303B4" w14:textId="77777777">
            <w:pPr>
              <w:pStyle w:val="TableParagraph"/>
              <w:spacing w:before="0"/>
              <w:rPr>
                <w:rFonts w:ascii="Times New Roman"/>
                <w:sz w:val="18"/>
              </w:rPr>
            </w:pPr>
          </w:p>
        </w:tc>
      </w:tr>
      <w:tr w:rsidR="00C31389" w14:paraId="2EC3C073" w14:textId="77777777">
        <w:trPr>
          <w:trHeight w:val="480"/>
        </w:trPr>
        <w:tc>
          <w:tcPr>
            <w:tcW w:w="2106" w:type="dxa"/>
            <w:shd w:val="clear" w:color="auto" w:fill="92D400"/>
          </w:tcPr>
          <w:p w:rsidR="00C31389" w:rsidRDefault="00561FBD" w14:paraId="20B39A8E" w14:textId="77777777">
            <w:pPr>
              <w:pStyle w:val="TableParagraph"/>
              <w:spacing w:before="121"/>
              <w:ind w:left="134"/>
              <w:rPr>
                <w:b/>
                <w:sz w:val="20"/>
              </w:rPr>
            </w:pPr>
            <w:r>
              <w:rPr>
                <w:b/>
                <w:sz w:val="20"/>
              </w:rPr>
              <w:t>Value</w:t>
            </w:r>
            <w:r>
              <w:rPr>
                <w:b/>
                <w:spacing w:val="-4"/>
                <w:sz w:val="20"/>
              </w:rPr>
              <w:t xml:space="preserve"> </w:t>
            </w:r>
            <w:r>
              <w:rPr>
                <w:b/>
                <w:spacing w:val="-2"/>
                <w:sz w:val="20"/>
              </w:rPr>
              <w:t>Factor</w:t>
            </w:r>
          </w:p>
        </w:tc>
        <w:tc>
          <w:tcPr>
            <w:tcW w:w="7268" w:type="dxa"/>
            <w:shd w:val="clear" w:color="auto" w:fill="92D400"/>
          </w:tcPr>
          <w:p w:rsidR="00C31389" w:rsidRDefault="00561FBD" w14:paraId="253CF65B" w14:textId="77777777">
            <w:pPr>
              <w:pStyle w:val="TableParagraph"/>
              <w:spacing w:before="121"/>
              <w:ind w:left="548"/>
              <w:rPr>
                <w:b/>
                <w:sz w:val="20"/>
              </w:rPr>
            </w:pPr>
            <w:r>
              <w:rPr>
                <w:b/>
                <w:sz w:val="20"/>
              </w:rPr>
              <w:t>Customer</w:t>
            </w:r>
            <w:r>
              <w:rPr>
                <w:b/>
                <w:spacing w:val="-5"/>
                <w:sz w:val="20"/>
              </w:rPr>
              <w:t xml:space="preserve"> </w:t>
            </w:r>
            <w:r>
              <w:rPr>
                <w:b/>
                <w:sz w:val="20"/>
              </w:rPr>
              <w:t>Value</w:t>
            </w:r>
            <w:r>
              <w:rPr>
                <w:b/>
                <w:spacing w:val="-5"/>
                <w:sz w:val="20"/>
              </w:rPr>
              <w:t xml:space="preserve"> </w:t>
            </w:r>
            <w:r>
              <w:rPr>
                <w:b/>
                <w:spacing w:val="-2"/>
                <w:sz w:val="20"/>
              </w:rPr>
              <w:t>Perspective</w:t>
            </w:r>
          </w:p>
        </w:tc>
      </w:tr>
      <w:tr w:rsidR="00C31389" w14:paraId="6A5B9A83" w14:textId="77777777">
        <w:trPr>
          <w:trHeight w:val="464"/>
        </w:trPr>
        <w:tc>
          <w:tcPr>
            <w:tcW w:w="2106" w:type="dxa"/>
            <w:tcBorders>
              <w:bottom w:val="single" w:color="D9D9D9" w:sz="2" w:space="0"/>
            </w:tcBorders>
          </w:tcPr>
          <w:p w:rsidR="00C31389" w:rsidRDefault="00561FBD" w14:paraId="26BAC8E1" w14:textId="77777777">
            <w:pPr>
              <w:pStyle w:val="TableParagraph"/>
              <w:spacing w:before="116"/>
              <w:ind w:left="134"/>
              <w:rPr>
                <w:sz w:val="20"/>
              </w:rPr>
            </w:pPr>
            <w:r>
              <w:rPr>
                <w:sz w:val="20"/>
              </w:rPr>
              <w:t>Eco</w:t>
            </w:r>
            <w:r>
              <w:rPr>
                <w:spacing w:val="-2"/>
                <w:sz w:val="20"/>
              </w:rPr>
              <w:t xml:space="preserve"> Impacts</w:t>
            </w:r>
          </w:p>
        </w:tc>
        <w:tc>
          <w:tcPr>
            <w:tcW w:w="7268" w:type="dxa"/>
            <w:tcBorders>
              <w:bottom w:val="single" w:color="D9D9D9" w:sz="2" w:space="0"/>
            </w:tcBorders>
          </w:tcPr>
          <w:p w:rsidR="00C31389" w:rsidRDefault="00561FBD" w14:paraId="66B9360E" w14:textId="77777777">
            <w:pPr>
              <w:pStyle w:val="TableParagraph"/>
              <w:spacing w:before="116"/>
              <w:ind w:left="548"/>
              <w:rPr>
                <w:sz w:val="20"/>
              </w:rPr>
            </w:pPr>
            <w:r>
              <w:rPr>
                <w:sz w:val="20"/>
              </w:rPr>
              <w:t>Environmental</w:t>
            </w:r>
            <w:r>
              <w:rPr>
                <w:spacing w:val="-5"/>
                <w:sz w:val="20"/>
              </w:rPr>
              <w:t xml:space="preserve"> </w:t>
            </w:r>
            <w:r>
              <w:rPr>
                <w:sz w:val="20"/>
              </w:rPr>
              <w:t>impacts</w:t>
            </w:r>
            <w:r>
              <w:rPr>
                <w:spacing w:val="-4"/>
                <w:sz w:val="20"/>
              </w:rPr>
              <w:t xml:space="preserve"> </w:t>
            </w:r>
            <w:r>
              <w:rPr>
                <w:sz w:val="20"/>
              </w:rPr>
              <w:t>from</w:t>
            </w:r>
            <w:r>
              <w:rPr>
                <w:spacing w:val="-4"/>
                <w:sz w:val="20"/>
              </w:rPr>
              <w:t xml:space="preserve"> </w:t>
            </w:r>
            <w:r>
              <w:rPr>
                <w:sz w:val="20"/>
              </w:rPr>
              <w:t>energy</w:t>
            </w:r>
            <w:r>
              <w:rPr>
                <w:spacing w:val="-4"/>
                <w:sz w:val="20"/>
              </w:rPr>
              <w:t xml:space="preserve"> </w:t>
            </w:r>
            <w:r>
              <w:rPr>
                <w:spacing w:val="-2"/>
                <w:sz w:val="20"/>
              </w:rPr>
              <w:t>consumption</w:t>
            </w:r>
          </w:p>
        </w:tc>
      </w:tr>
      <w:tr w:rsidR="00C31389" w14:paraId="28AF522F" w14:textId="77777777">
        <w:trPr>
          <w:trHeight w:val="471"/>
        </w:trPr>
        <w:tc>
          <w:tcPr>
            <w:tcW w:w="2106" w:type="dxa"/>
            <w:tcBorders>
              <w:top w:val="single" w:color="D9D9D9" w:sz="2" w:space="0"/>
              <w:bottom w:val="single" w:color="000000" w:sz="8" w:space="0"/>
            </w:tcBorders>
          </w:tcPr>
          <w:p w:rsidR="00C31389" w:rsidRDefault="00561FBD" w14:paraId="57439537" w14:textId="77777777">
            <w:pPr>
              <w:pStyle w:val="TableParagraph"/>
              <w:spacing w:before="122"/>
              <w:ind w:left="134"/>
              <w:rPr>
                <w:sz w:val="20"/>
              </w:rPr>
            </w:pPr>
            <w:r>
              <w:rPr>
                <w:sz w:val="20"/>
              </w:rPr>
              <w:t>Social</w:t>
            </w:r>
            <w:r>
              <w:rPr>
                <w:spacing w:val="-5"/>
                <w:sz w:val="20"/>
              </w:rPr>
              <w:t xml:space="preserve"> </w:t>
            </w:r>
            <w:r>
              <w:rPr>
                <w:spacing w:val="-2"/>
                <w:sz w:val="20"/>
              </w:rPr>
              <w:t>Signaling</w:t>
            </w:r>
          </w:p>
        </w:tc>
        <w:tc>
          <w:tcPr>
            <w:tcW w:w="7268" w:type="dxa"/>
            <w:tcBorders>
              <w:top w:val="single" w:color="D9D9D9" w:sz="2" w:space="0"/>
              <w:bottom w:val="single" w:color="000000" w:sz="8" w:space="0"/>
            </w:tcBorders>
          </w:tcPr>
          <w:p w:rsidR="00C31389" w:rsidRDefault="00561FBD" w14:paraId="56C041F6" w14:textId="77777777">
            <w:pPr>
              <w:pStyle w:val="TableParagraph"/>
              <w:spacing w:before="122"/>
              <w:ind w:left="548"/>
              <w:rPr>
                <w:sz w:val="20"/>
              </w:rPr>
            </w:pPr>
            <w:r>
              <w:rPr>
                <w:sz w:val="20"/>
              </w:rPr>
              <w:t>Being</w:t>
            </w:r>
            <w:r>
              <w:rPr>
                <w:spacing w:val="-8"/>
                <w:sz w:val="20"/>
              </w:rPr>
              <w:t xml:space="preserve"> </w:t>
            </w:r>
            <w:r>
              <w:rPr>
                <w:sz w:val="20"/>
              </w:rPr>
              <w:t>perceived</w:t>
            </w:r>
            <w:r>
              <w:rPr>
                <w:spacing w:val="-5"/>
                <w:sz w:val="20"/>
              </w:rPr>
              <w:t xml:space="preserve"> </w:t>
            </w:r>
            <w:r>
              <w:rPr>
                <w:sz w:val="20"/>
              </w:rPr>
              <w:t>as</w:t>
            </w:r>
            <w:r>
              <w:rPr>
                <w:spacing w:val="-4"/>
                <w:sz w:val="20"/>
              </w:rPr>
              <w:t xml:space="preserve"> </w:t>
            </w:r>
            <w:r>
              <w:rPr>
                <w:sz w:val="20"/>
              </w:rPr>
              <w:t>environmentally</w:t>
            </w:r>
            <w:r>
              <w:rPr>
                <w:spacing w:val="-4"/>
                <w:sz w:val="20"/>
              </w:rPr>
              <w:t xml:space="preserve"> </w:t>
            </w:r>
            <w:r>
              <w:rPr>
                <w:sz w:val="20"/>
              </w:rPr>
              <w:t>or</w:t>
            </w:r>
            <w:r>
              <w:rPr>
                <w:spacing w:val="-4"/>
                <w:sz w:val="20"/>
              </w:rPr>
              <w:t xml:space="preserve"> </w:t>
            </w:r>
            <w:r>
              <w:rPr>
                <w:sz w:val="20"/>
              </w:rPr>
              <w:t>socially</w:t>
            </w:r>
            <w:r>
              <w:rPr>
                <w:spacing w:val="-4"/>
                <w:sz w:val="20"/>
              </w:rPr>
              <w:t xml:space="preserve"> </w:t>
            </w:r>
            <w:r>
              <w:rPr>
                <w:sz w:val="20"/>
              </w:rPr>
              <w:t>responsible</w:t>
            </w:r>
            <w:r>
              <w:rPr>
                <w:spacing w:val="-5"/>
                <w:sz w:val="20"/>
              </w:rPr>
              <w:t xml:space="preserve"> </w:t>
            </w:r>
            <w:r>
              <w:rPr>
                <w:sz w:val="20"/>
              </w:rPr>
              <w:t>by</w:t>
            </w:r>
            <w:r>
              <w:rPr>
                <w:spacing w:val="-4"/>
                <w:sz w:val="20"/>
              </w:rPr>
              <w:t xml:space="preserve"> </w:t>
            </w:r>
            <w:r>
              <w:rPr>
                <w:sz w:val="20"/>
              </w:rPr>
              <w:t>one’s</w:t>
            </w:r>
            <w:r>
              <w:rPr>
                <w:spacing w:val="-5"/>
                <w:sz w:val="20"/>
              </w:rPr>
              <w:t xml:space="preserve"> </w:t>
            </w:r>
            <w:r>
              <w:rPr>
                <w:spacing w:val="-2"/>
                <w:sz w:val="20"/>
              </w:rPr>
              <w:t>peers</w:t>
            </w:r>
          </w:p>
        </w:tc>
      </w:tr>
    </w:tbl>
    <w:p w:rsidR="00C31389" w:rsidRDefault="00561FBD" w14:paraId="68F0AA6A" w14:textId="77777777">
      <w:pPr>
        <w:spacing w:before="60"/>
        <w:ind w:left="480"/>
        <w:rPr>
          <w:i/>
          <w:sz w:val="18"/>
        </w:rPr>
      </w:pPr>
      <w:r>
        <w:rPr>
          <w:i/>
          <w:sz w:val="18"/>
        </w:rPr>
        <w:t>Source:</w:t>
      </w:r>
      <w:r>
        <w:rPr>
          <w:i/>
          <w:spacing w:val="-4"/>
          <w:sz w:val="18"/>
        </w:rPr>
        <w:t xml:space="preserve"> </w:t>
      </w:r>
      <w:r>
        <w:rPr>
          <w:i/>
          <w:spacing w:val="-2"/>
          <w:sz w:val="18"/>
        </w:rPr>
        <w:t>Guidehouse</w:t>
      </w:r>
    </w:p>
    <w:p w:rsidR="00C31389" w:rsidRDefault="00C31389" w14:paraId="73C6A070" w14:textId="77777777">
      <w:pPr>
        <w:pStyle w:val="BodyText"/>
        <w:spacing w:before="9"/>
        <w:rPr>
          <w:i/>
          <w:sz w:val="20"/>
        </w:rPr>
      </w:pPr>
    </w:p>
    <w:p w:rsidR="00C31389" w:rsidRDefault="00561FBD" w14:paraId="2605D32A" w14:textId="77777777">
      <w:pPr>
        <w:pStyle w:val="BodyText"/>
        <w:spacing w:before="1"/>
        <w:ind w:left="480"/>
      </w:pPr>
      <w:hyperlink w:history="1" w:anchor="_bookmark55">
        <w:r>
          <w:t>Figure</w:t>
        </w:r>
        <w:r>
          <w:rPr>
            <w:spacing w:val="-8"/>
          </w:rPr>
          <w:t xml:space="preserve"> </w:t>
        </w:r>
        <w:r>
          <w:t>2-5</w:t>
        </w:r>
      </w:hyperlink>
      <w:r>
        <w:rPr>
          <w:spacing w:val="-7"/>
        </w:rPr>
        <w:t xml:space="preserve"> </w:t>
      </w:r>
      <w:r>
        <w:t>illustrates</w:t>
      </w:r>
      <w:r>
        <w:rPr>
          <w:spacing w:val="-8"/>
        </w:rPr>
        <w:t xml:space="preserve"> </w:t>
      </w:r>
      <w:r>
        <w:t>the</w:t>
      </w:r>
      <w:r>
        <w:rPr>
          <w:spacing w:val="-8"/>
        </w:rPr>
        <w:t xml:space="preserve"> </w:t>
      </w:r>
      <w:r>
        <w:t>2023</w:t>
      </w:r>
      <w:r>
        <w:rPr>
          <w:spacing w:val="-7"/>
        </w:rPr>
        <w:t xml:space="preserve"> </w:t>
      </w:r>
      <w:r>
        <w:t>Study’s</w:t>
      </w:r>
      <w:r>
        <w:rPr>
          <w:spacing w:val="-8"/>
        </w:rPr>
        <w:t xml:space="preserve"> </w:t>
      </w:r>
      <w:r>
        <w:t>willingness</w:t>
      </w:r>
      <w:r>
        <w:rPr>
          <w:spacing w:val="-7"/>
        </w:rPr>
        <w:t xml:space="preserve"> </w:t>
      </w:r>
      <w:r>
        <w:rPr>
          <w:spacing w:val="-2"/>
        </w:rPr>
        <w:t>model.</w:t>
      </w:r>
    </w:p>
    <w:p w:rsidR="00C31389" w:rsidRDefault="00C31389" w14:paraId="4882AA14" w14:textId="77777777">
      <w:pPr>
        <w:pStyle w:val="BodyText"/>
        <w:spacing w:before="10"/>
        <w:rPr>
          <w:sz w:val="20"/>
        </w:rPr>
      </w:pPr>
    </w:p>
    <w:p w:rsidR="00C31389" w:rsidRDefault="00561FBD" w14:paraId="57C3A777" w14:textId="77777777">
      <w:pPr>
        <w:pStyle w:val="Heading7"/>
        <w:ind w:left="566" w:right="566"/>
        <w:jc w:val="center"/>
      </w:pPr>
      <w:bookmarkStart w:name="_bookmark55" w:id="71"/>
      <w:bookmarkEnd w:id="71"/>
      <w:r>
        <w:t>Figure</w:t>
      </w:r>
      <w:r>
        <w:rPr>
          <w:spacing w:val="-9"/>
        </w:rPr>
        <w:t xml:space="preserve"> </w:t>
      </w:r>
      <w:r>
        <w:t>2-5.</w:t>
      </w:r>
      <w:r>
        <w:rPr>
          <w:spacing w:val="-8"/>
        </w:rPr>
        <w:t xml:space="preserve"> </w:t>
      </w:r>
      <w:r>
        <w:t>Model</w:t>
      </w:r>
      <w:r>
        <w:rPr>
          <w:spacing w:val="-8"/>
        </w:rPr>
        <w:t xml:space="preserve"> </w:t>
      </w:r>
      <w:r>
        <w:t>Willingness</w:t>
      </w:r>
      <w:r>
        <w:rPr>
          <w:spacing w:val="-9"/>
        </w:rPr>
        <w:t xml:space="preserve"> </w:t>
      </w:r>
      <w:r>
        <w:rPr>
          <w:spacing w:val="-2"/>
        </w:rPr>
        <w:t>Calculation</w:t>
      </w:r>
    </w:p>
    <w:p w:rsidR="00C31389" w:rsidRDefault="00561FBD" w14:paraId="07FC7725" w14:textId="77777777">
      <w:pPr>
        <w:pStyle w:val="BodyText"/>
        <w:spacing w:before="4"/>
        <w:rPr>
          <w:b/>
          <w:sz w:val="8"/>
        </w:rPr>
      </w:pPr>
      <w:r>
        <w:rPr>
          <w:noProof/>
        </w:rPr>
        <w:drawing>
          <wp:anchor distT="0" distB="0" distL="0" distR="0" simplePos="0" relativeHeight="487608832" behindDoc="1" locked="0" layoutInCell="1" allowOverlap="1" wp14:editId="543CE8ED" wp14:anchorId="7A8B7CBA">
            <wp:simplePos x="0" y="0"/>
            <wp:positionH relativeFrom="page">
              <wp:posOffset>914400</wp:posOffset>
            </wp:positionH>
            <wp:positionV relativeFrom="paragraph">
              <wp:posOffset>76416</wp:posOffset>
            </wp:positionV>
            <wp:extent cx="6069437" cy="159981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1" cstate="print"/>
                    <a:stretch>
                      <a:fillRect/>
                    </a:stretch>
                  </pic:blipFill>
                  <pic:spPr>
                    <a:xfrm>
                      <a:off x="0" y="0"/>
                      <a:ext cx="6069437" cy="1599819"/>
                    </a:xfrm>
                    <a:prstGeom prst="rect">
                      <a:avLst/>
                    </a:prstGeom>
                  </pic:spPr>
                </pic:pic>
              </a:graphicData>
            </a:graphic>
          </wp:anchor>
        </w:drawing>
      </w:r>
    </w:p>
    <w:p w:rsidR="00C31389" w:rsidRDefault="00561FBD" w14:paraId="7B738407" w14:textId="77777777">
      <w:pPr>
        <w:spacing w:before="61"/>
        <w:ind w:left="480"/>
        <w:rPr>
          <w:i/>
          <w:sz w:val="18"/>
        </w:rPr>
      </w:pPr>
      <w:r>
        <w:rPr>
          <w:i/>
          <w:sz w:val="18"/>
        </w:rPr>
        <w:t>Source:</w:t>
      </w:r>
      <w:r>
        <w:rPr>
          <w:i/>
          <w:spacing w:val="-4"/>
          <w:sz w:val="18"/>
        </w:rPr>
        <w:t xml:space="preserve"> </w:t>
      </w:r>
      <w:r>
        <w:rPr>
          <w:i/>
          <w:spacing w:val="-2"/>
          <w:sz w:val="18"/>
        </w:rPr>
        <w:t>Guidehouse</w:t>
      </w:r>
    </w:p>
    <w:p w:rsidR="00C31389" w:rsidRDefault="00C31389" w14:paraId="199D0C96" w14:textId="77777777">
      <w:pPr>
        <w:pStyle w:val="BodyText"/>
        <w:spacing w:before="9"/>
        <w:rPr>
          <w:i/>
          <w:sz w:val="20"/>
        </w:rPr>
      </w:pPr>
    </w:p>
    <w:p w:rsidR="00C31389" w:rsidRDefault="00561FBD" w14:paraId="38F89CB3" w14:textId="77777777">
      <w:pPr>
        <w:pStyle w:val="BodyText"/>
        <w:ind w:left="480" w:right="533"/>
      </w:pPr>
      <w:r>
        <w:t>Through</w:t>
      </w:r>
      <w:r>
        <w:rPr>
          <w:spacing w:val="-1"/>
        </w:rPr>
        <w:t xml:space="preserve"> </w:t>
      </w:r>
      <w:r>
        <w:t>surveys,</w:t>
      </w:r>
      <w:r>
        <w:rPr>
          <w:spacing w:val="-1"/>
        </w:rPr>
        <w:t xml:space="preserve"> </w:t>
      </w:r>
      <w:r>
        <w:t>the</w:t>
      </w:r>
      <w:r>
        <w:rPr>
          <w:spacing w:val="-1"/>
        </w:rPr>
        <w:t xml:space="preserve"> </w:t>
      </w:r>
      <w:r>
        <w:t>Market</w:t>
      </w:r>
      <w:r>
        <w:rPr>
          <w:spacing w:val="-1"/>
        </w:rPr>
        <w:t xml:space="preserve"> </w:t>
      </w:r>
      <w:r>
        <w:t>Adoption</w:t>
      </w:r>
      <w:r>
        <w:rPr>
          <w:spacing w:val="-1"/>
        </w:rPr>
        <w:t xml:space="preserve"> </w:t>
      </w:r>
      <w:r>
        <w:t>Study</w:t>
      </w:r>
      <w:r>
        <w:rPr>
          <w:spacing w:val="-1"/>
        </w:rPr>
        <w:t xml:space="preserve"> </w:t>
      </w:r>
      <w:r>
        <w:t>determined</w:t>
      </w:r>
      <w:r>
        <w:rPr>
          <w:spacing w:val="-1"/>
        </w:rPr>
        <w:t xml:space="preserve"> </w:t>
      </w:r>
      <w:r>
        <w:t>the</w:t>
      </w:r>
      <w:r>
        <w:rPr>
          <w:spacing w:val="-1"/>
        </w:rPr>
        <w:t xml:space="preserve"> </w:t>
      </w:r>
      <w:r>
        <w:t>levels</w:t>
      </w:r>
      <w:r>
        <w:rPr>
          <w:spacing w:val="-1"/>
        </w:rPr>
        <w:t xml:space="preserve"> </w:t>
      </w:r>
      <w:r>
        <w:t>to</w:t>
      </w:r>
      <w:r>
        <w:rPr>
          <w:spacing w:val="-1"/>
        </w:rPr>
        <w:t xml:space="preserve"> </w:t>
      </w:r>
      <w:r>
        <w:t>which</w:t>
      </w:r>
      <w:r>
        <w:rPr>
          <w:spacing w:val="-1"/>
        </w:rPr>
        <w:t xml:space="preserve"> </w:t>
      </w:r>
      <w:r>
        <w:t>a</w:t>
      </w:r>
      <w:r>
        <w:rPr>
          <w:spacing w:val="-1"/>
        </w:rPr>
        <w:t xml:space="preserve"> </w:t>
      </w:r>
      <w:r>
        <w:t>customer</w:t>
      </w:r>
      <w:r>
        <w:rPr>
          <w:spacing w:val="-1"/>
        </w:rPr>
        <w:t xml:space="preserve"> </w:t>
      </w:r>
      <w:r>
        <w:t xml:space="preserve">values one or more </w:t>
      </w:r>
      <w:r>
        <w:t>factors than the others. The Guidehouse team refers to this set of information as customer</w:t>
      </w:r>
      <w:r>
        <w:rPr>
          <w:spacing w:val="-4"/>
        </w:rPr>
        <w:t xml:space="preserve"> </w:t>
      </w:r>
      <w:r>
        <w:t>preference</w:t>
      </w:r>
      <w:r>
        <w:rPr>
          <w:spacing w:val="-4"/>
        </w:rPr>
        <w:t xml:space="preserve"> </w:t>
      </w:r>
      <w:r>
        <w:t>weights.</w:t>
      </w:r>
      <w:r>
        <w:rPr>
          <w:spacing w:val="-4"/>
        </w:rPr>
        <w:t xml:space="preserve"> </w:t>
      </w:r>
      <w:r>
        <w:t>Customer</w:t>
      </w:r>
      <w:r>
        <w:rPr>
          <w:spacing w:val="-4"/>
        </w:rPr>
        <w:t xml:space="preserve"> </w:t>
      </w:r>
      <w:r>
        <w:t>preference</w:t>
      </w:r>
      <w:r>
        <w:rPr>
          <w:spacing w:val="-4"/>
        </w:rPr>
        <w:t xml:space="preserve"> </w:t>
      </w:r>
      <w:r>
        <w:t>weights</w:t>
      </w:r>
      <w:r>
        <w:rPr>
          <w:spacing w:val="-5"/>
        </w:rPr>
        <w:t xml:space="preserve"> </w:t>
      </w:r>
      <w:r>
        <w:t>indicate</w:t>
      </w:r>
      <w:r>
        <w:rPr>
          <w:spacing w:val="-4"/>
        </w:rPr>
        <w:t xml:space="preserve"> </w:t>
      </w:r>
      <w:r>
        <w:t>how</w:t>
      </w:r>
      <w:r>
        <w:rPr>
          <w:spacing w:val="-6"/>
        </w:rPr>
        <w:t xml:space="preserve"> </w:t>
      </w:r>
      <w:r>
        <w:t>much</w:t>
      </w:r>
      <w:r>
        <w:rPr>
          <w:spacing w:val="-4"/>
        </w:rPr>
        <w:t xml:space="preserve"> </w:t>
      </w:r>
      <w:r>
        <w:t>of</w:t>
      </w:r>
      <w:r>
        <w:rPr>
          <w:spacing w:val="-4"/>
        </w:rPr>
        <w:t xml:space="preserve"> </w:t>
      </w:r>
      <w:r>
        <w:t>a</w:t>
      </w:r>
      <w:r>
        <w:rPr>
          <w:spacing w:val="-4"/>
        </w:rPr>
        <w:t xml:space="preserve"> </w:t>
      </w:r>
      <w:r>
        <w:t xml:space="preserve">customer’s total decision to adopt is attributed to a given value factor. For example, 18% </w:t>
      </w:r>
      <w:r>
        <w:t>of a customer’s decision to adopt may be driven by the lifetime cost, 16% by the hassle associated, and so on, with all factors summing to 100%. These weights vary by technology type and for each individual customer. Although there are variations across in</w:t>
      </w:r>
      <w:r>
        <w:t>dividual customers, customer preference weighting tends to cluster into distinct groups in the population.</w:t>
      </w:r>
    </w:p>
    <w:p w:rsidR="00C31389" w:rsidRDefault="00C31389" w14:paraId="34A0606F" w14:textId="77777777">
      <w:pPr>
        <w:pStyle w:val="BodyText"/>
        <w:spacing w:before="10"/>
        <w:rPr>
          <w:sz w:val="20"/>
        </w:rPr>
      </w:pPr>
    </w:p>
    <w:p w:rsidR="00C31389" w:rsidRDefault="00561FBD" w14:paraId="07A06143" w14:textId="77777777">
      <w:pPr>
        <w:pStyle w:val="BodyText"/>
        <w:ind w:left="480" w:right="565"/>
      </w:pPr>
      <w:r>
        <w:t>Using a clustering analysis of these preference weights, the Market Adoption Study created customer groups in the residential single-family customer</w:t>
      </w:r>
      <w:r>
        <w:t xml:space="preserve"> segment. The survey analysis resulted in four distinct residential customer groups: Average Californians, Eager Adopters, Likely Laggards, and Economically Strained Environmentalists. Each customer group had its own set of customer preference weights defi</w:t>
      </w:r>
      <w:r>
        <w:t>ning how these customers approach making purchase</w:t>
      </w:r>
      <w:r>
        <w:rPr>
          <w:spacing w:val="-2"/>
        </w:rPr>
        <w:t xml:space="preserve"> </w:t>
      </w:r>
      <w:r>
        <w:t>decisions.</w:t>
      </w:r>
      <w:r>
        <w:rPr>
          <w:spacing w:val="-2"/>
        </w:rPr>
        <w:t xml:space="preserve"> </w:t>
      </w:r>
      <w:r>
        <w:t>After</w:t>
      </w:r>
      <w:r>
        <w:rPr>
          <w:spacing w:val="-2"/>
        </w:rPr>
        <w:t xml:space="preserve"> </w:t>
      </w:r>
      <w:r>
        <w:t>forming</w:t>
      </w:r>
      <w:r>
        <w:rPr>
          <w:spacing w:val="-2"/>
        </w:rPr>
        <w:t xml:space="preserve"> </w:t>
      </w:r>
      <w:r>
        <w:t>these</w:t>
      </w:r>
      <w:r>
        <w:rPr>
          <w:spacing w:val="-2"/>
        </w:rPr>
        <w:t xml:space="preserve"> </w:t>
      </w:r>
      <w:r>
        <w:t>groups,</w:t>
      </w:r>
      <w:r>
        <w:rPr>
          <w:spacing w:val="-3"/>
        </w:rPr>
        <w:t xml:space="preserve"> </w:t>
      </w:r>
      <w:r>
        <w:t>the</w:t>
      </w:r>
      <w:r>
        <w:rPr>
          <w:spacing w:val="-2"/>
        </w:rPr>
        <w:t xml:space="preserve"> </w:t>
      </w:r>
      <w:r>
        <w:t>Market</w:t>
      </w:r>
      <w:r>
        <w:rPr>
          <w:spacing w:val="-2"/>
        </w:rPr>
        <w:t xml:space="preserve"> </w:t>
      </w:r>
      <w:r>
        <w:t>Adoption</w:t>
      </w:r>
      <w:r>
        <w:rPr>
          <w:spacing w:val="-2"/>
        </w:rPr>
        <w:t xml:space="preserve"> </w:t>
      </w:r>
      <w:r>
        <w:t>Study</w:t>
      </w:r>
      <w:r>
        <w:rPr>
          <w:spacing w:val="-2"/>
        </w:rPr>
        <w:t xml:space="preserve"> </w:t>
      </w:r>
      <w:r>
        <w:t>calculated</w:t>
      </w:r>
      <w:r>
        <w:rPr>
          <w:spacing w:val="-2"/>
        </w:rPr>
        <w:t xml:space="preserve"> </w:t>
      </w:r>
      <w:r>
        <w:t>a</w:t>
      </w:r>
      <w:r>
        <w:rPr>
          <w:spacing w:val="-2"/>
        </w:rPr>
        <w:t xml:space="preserve"> </w:t>
      </w:r>
      <w:r>
        <w:t>set</w:t>
      </w:r>
      <w:r>
        <w:rPr>
          <w:spacing w:val="-2"/>
        </w:rPr>
        <w:t xml:space="preserve"> </w:t>
      </w:r>
      <w:r>
        <w:t>of preference weights for each customer group. For the multifamily segment and commercial sector,</w:t>
      </w:r>
      <w:r>
        <w:rPr>
          <w:spacing w:val="-4"/>
        </w:rPr>
        <w:t xml:space="preserve"> </w:t>
      </w:r>
      <w:r>
        <w:t>the</w:t>
      </w:r>
      <w:r>
        <w:rPr>
          <w:spacing w:val="-3"/>
        </w:rPr>
        <w:t xml:space="preserve"> </w:t>
      </w:r>
      <w:r>
        <w:t>team</w:t>
      </w:r>
      <w:r>
        <w:rPr>
          <w:spacing w:val="-4"/>
        </w:rPr>
        <w:t xml:space="preserve"> </w:t>
      </w:r>
      <w:r>
        <w:t>did</w:t>
      </w:r>
      <w:r>
        <w:rPr>
          <w:spacing w:val="-3"/>
        </w:rPr>
        <w:t xml:space="preserve"> </w:t>
      </w:r>
      <w:r>
        <w:t>not</w:t>
      </w:r>
      <w:r>
        <w:rPr>
          <w:spacing w:val="-3"/>
        </w:rPr>
        <w:t xml:space="preserve"> </w:t>
      </w:r>
      <w:r>
        <w:t>develop</w:t>
      </w:r>
      <w:r>
        <w:rPr>
          <w:spacing w:val="-3"/>
        </w:rPr>
        <w:t xml:space="preserve"> </w:t>
      </w:r>
      <w:r>
        <w:t>a</w:t>
      </w:r>
      <w:r>
        <w:t>ny</w:t>
      </w:r>
      <w:r>
        <w:rPr>
          <w:spacing w:val="-4"/>
        </w:rPr>
        <w:t xml:space="preserve"> </w:t>
      </w:r>
      <w:r>
        <w:t>further</w:t>
      </w:r>
      <w:r>
        <w:rPr>
          <w:spacing w:val="-3"/>
        </w:rPr>
        <w:t xml:space="preserve"> </w:t>
      </w:r>
      <w:r>
        <w:t>analysis</w:t>
      </w:r>
      <w:r>
        <w:rPr>
          <w:spacing w:val="-3"/>
        </w:rPr>
        <w:t xml:space="preserve"> </w:t>
      </w:r>
      <w:r>
        <w:t>to</w:t>
      </w:r>
      <w:r>
        <w:rPr>
          <w:spacing w:val="-4"/>
        </w:rPr>
        <w:t xml:space="preserve"> </w:t>
      </w:r>
      <w:r>
        <w:t>formulate</w:t>
      </w:r>
      <w:r>
        <w:rPr>
          <w:spacing w:val="-3"/>
        </w:rPr>
        <w:t xml:space="preserve"> </w:t>
      </w:r>
      <w:r>
        <w:t>customer</w:t>
      </w:r>
      <w:r>
        <w:rPr>
          <w:spacing w:val="-3"/>
        </w:rPr>
        <w:t xml:space="preserve"> </w:t>
      </w:r>
      <w:r>
        <w:t>segment</w:t>
      </w:r>
      <w:r>
        <w:rPr>
          <w:spacing w:val="-3"/>
        </w:rPr>
        <w:t xml:space="preserve"> </w:t>
      </w:r>
      <w:r>
        <w:t>groups.</w:t>
      </w:r>
      <w:r>
        <w:rPr>
          <w:spacing w:val="-41"/>
        </w:rPr>
        <w:t xml:space="preserve"> </w:t>
      </w:r>
      <w:hyperlink w:history="1" w:anchor="_bookmark56">
        <w:r>
          <w:rPr>
            <w:position w:val="7"/>
            <w:sz w:val="14"/>
          </w:rPr>
          <w:t>19</w:t>
        </w:r>
      </w:hyperlink>
      <w:r>
        <w:rPr>
          <w:spacing w:val="40"/>
          <w:position w:val="7"/>
          <w:sz w:val="14"/>
        </w:rPr>
        <w:t xml:space="preserve"> </w:t>
      </w:r>
      <w:r>
        <w:t xml:space="preserve">The Market Adoption Study did calculate the average preference weights for multifamily and </w:t>
      </w:r>
      <w:r>
        <w:rPr>
          <w:spacing w:val="-2"/>
        </w:rPr>
        <w:t>commercial.</w:t>
      </w:r>
    </w:p>
    <w:p w:rsidR="00C31389" w:rsidRDefault="00C31389" w14:paraId="2EC00023" w14:textId="77777777">
      <w:pPr>
        <w:pStyle w:val="BodyText"/>
        <w:spacing w:before="10"/>
        <w:rPr>
          <w:sz w:val="20"/>
        </w:rPr>
      </w:pPr>
    </w:p>
    <w:p w:rsidR="00C31389" w:rsidRDefault="00561FBD" w14:paraId="16D20C6B" w14:textId="77777777">
      <w:pPr>
        <w:pStyle w:val="BodyText"/>
        <w:ind w:left="479" w:right="533"/>
      </w:pPr>
      <w:r>
        <w:t>Building on the customer p</w:t>
      </w:r>
      <w:r>
        <w:t>reference weights associated with the six value factors, the Guidehouse</w:t>
      </w:r>
      <w:r>
        <w:rPr>
          <w:spacing w:val="-1"/>
        </w:rPr>
        <w:t xml:space="preserve"> </w:t>
      </w:r>
      <w:r>
        <w:t>team</w:t>
      </w:r>
      <w:r>
        <w:rPr>
          <w:spacing w:val="-2"/>
        </w:rPr>
        <w:t xml:space="preserve"> </w:t>
      </w:r>
      <w:r>
        <w:t>developed corresponding</w:t>
      </w:r>
      <w:r>
        <w:rPr>
          <w:spacing w:val="-1"/>
        </w:rPr>
        <w:t xml:space="preserve"> </w:t>
      </w:r>
      <w:r>
        <w:t>characteristics</w:t>
      </w:r>
      <w:r>
        <w:rPr>
          <w:spacing w:val="-1"/>
        </w:rPr>
        <w:t xml:space="preserve"> </w:t>
      </w:r>
      <w:r>
        <w:t>for</w:t>
      </w:r>
      <w:r>
        <w:rPr>
          <w:spacing w:val="-1"/>
        </w:rPr>
        <w:t xml:space="preserve"> </w:t>
      </w:r>
      <w:r>
        <w:t>equipment across</w:t>
      </w:r>
      <w:r>
        <w:rPr>
          <w:spacing w:val="-1"/>
        </w:rPr>
        <w:t xml:space="preserve"> </w:t>
      </w:r>
      <w:r>
        <w:t>the</w:t>
      </w:r>
      <w:r>
        <w:rPr>
          <w:spacing w:val="-2"/>
        </w:rPr>
        <w:t xml:space="preserve"> </w:t>
      </w:r>
      <w:r>
        <w:t>same</w:t>
      </w:r>
      <w:r>
        <w:rPr>
          <w:spacing w:val="-1"/>
        </w:rPr>
        <w:t xml:space="preserve"> </w:t>
      </w:r>
      <w:r>
        <w:t>six value</w:t>
      </w:r>
      <w:r>
        <w:rPr>
          <w:spacing w:val="-7"/>
        </w:rPr>
        <w:t xml:space="preserve"> </w:t>
      </w:r>
      <w:r>
        <w:t>factors.</w:t>
      </w:r>
      <w:r>
        <w:rPr>
          <w:spacing w:val="-6"/>
        </w:rPr>
        <w:t xml:space="preserve"> </w:t>
      </w:r>
      <w:r>
        <w:t>Combining</w:t>
      </w:r>
      <w:r>
        <w:rPr>
          <w:spacing w:val="-6"/>
        </w:rPr>
        <w:t xml:space="preserve"> </w:t>
      </w:r>
      <w:r>
        <w:t>these</w:t>
      </w:r>
      <w:r>
        <w:rPr>
          <w:spacing w:val="-7"/>
        </w:rPr>
        <w:t xml:space="preserve"> </w:t>
      </w:r>
      <w:r>
        <w:t>two</w:t>
      </w:r>
      <w:r>
        <w:rPr>
          <w:spacing w:val="-6"/>
        </w:rPr>
        <w:t xml:space="preserve"> </w:t>
      </w:r>
      <w:r>
        <w:t>datasets</w:t>
      </w:r>
      <w:r>
        <w:rPr>
          <w:spacing w:val="-6"/>
        </w:rPr>
        <w:t xml:space="preserve"> </w:t>
      </w:r>
      <w:r>
        <w:t>allowed</w:t>
      </w:r>
      <w:r>
        <w:rPr>
          <w:spacing w:val="-7"/>
        </w:rPr>
        <w:t xml:space="preserve"> </w:t>
      </w:r>
      <w:r>
        <w:t>the</w:t>
      </w:r>
      <w:r>
        <w:rPr>
          <w:spacing w:val="-6"/>
        </w:rPr>
        <w:t xml:space="preserve"> </w:t>
      </w:r>
      <w:r>
        <w:t>team</w:t>
      </w:r>
      <w:r>
        <w:rPr>
          <w:spacing w:val="-7"/>
        </w:rPr>
        <w:t xml:space="preserve"> </w:t>
      </w:r>
      <w:r>
        <w:t>to</w:t>
      </w:r>
      <w:r>
        <w:rPr>
          <w:spacing w:val="-7"/>
        </w:rPr>
        <w:t xml:space="preserve"> </w:t>
      </w:r>
      <w:r>
        <w:t>quantify</w:t>
      </w:r>
      <w:r>
        <w:rPr>
          <w:spacing w:val="-6"/>
        </w:rPr>
        <w:t xml:space="preserve"> </w:t>
      </w:r>
      <w:r>
        <w:t>how</w:t>
      </w:r>
      <w:r>
        <w:rPr>
          <w:spacing w:val="-7"/>
        </w:rPr>
        <w:t xml:space="preserve"> </w:t>
      </w:r>
      <w:r>
        <w:t>a</w:t>
      </w:r>
      <w:r>
        <w:rPr>
          <w:spacing w:val="-7"/>
        </w:rPr>
        <w:t xml:space="preserve"> </w:t>
      </w:r>
      <w:r>
        <w:t>customer</w:t>
      </w:r>
      <w:r>
        <w:rPr>
          <w:spacing w:val="-6"/>
        </w:rPr>
        <w:t xml:space="preserve"> </w:t>
      </w:r>
      <w:r>
        <w:rPr>
          <w:spacing w:val="-4"/>
        </w:rPr>
        <w:t>with</w:t>
      </w:r>
    </w:p>
    <w:p w:rsidR="00C31389" w:rsidRDefault="00561FBD" w14:paraId="13332636" w14:textId="77777777">
      <w:pPr>
        <w:pStyle w:val="BodyText"/>
        <w:spacing w:before="9"/>
        <w:rPr>
          <w:sz w:val="23"/>
        </w:rPr>
      </w:pPr>
      <w:r>
        <w:rPr>
          <w:noProof/>
        </w:rPr>
        <mc:AlternateContent>
          <mc:Choice Requires="wps">
            <w:drawing>
              <wp:anchor distT="0" distB="0" distL="0" distR="0" simplePos="0" relativeHeight="487609344" behindDoc="1" locked="0" layoutInCell="1" allowOverlap="1" wp14:editId="5C04015C" wp14:anchorId="3FC0A197">
                <wp:simplePos x="0" y="0"/>
                <wp:positionH relativeFrom="page">
                  <wp:posOffset>914400</wp:posOffset>
                </wp:positionH>
                <wp:positionV relativeFrom="paragraph">
                  <wp:posOffset>188903</wp:posOffset>
                </wp:positionV>
                <wp:extent cx="1828800" cy="6985"/>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23" style="position:absolute;margin-left:1in;margin-top:14.85pt;width:2in;height:.5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" w14:anchorId="64CCF72F">
                <v:path arrowok="t"/>
                <w10:wrap type="topAndBottom" anchorx="page"/>
              </v:shape>
            </w:pict>
          </mc:Fallback>
        </mc:AlternateContent>
      </w:r>
    </w:p>
    <w:p w:rsidR="00C31389" w:rsidRDefault="00561FBD" w14:paraId="2C4DA815" w14:textId="77777777">
      <w:pPr>
        <w:spacing w:before="88"/>
        <w:ind w:left="479" w:right="533"/>
        <w:rPr>
          <w:sz w:val="18"/>
        </w:rPr>
      </w:pPr>
      <w:bookmarkStart w:name="_bookmark56" w:id="72"/>
      <w:bookmarkEnd w:id="72"/>
      <w:r>
        <w:rPr>
          <w:position w:val="6"/>
          <w:sz w:val="12"/>
        </w:rPr>
        <w:t>19</w:t>
      </w:r>
      <w:r>
        <w:rPr>
          <w:spacing w:val="14"/>
          <w:position w:val="6"/>
          <w:sz w:val="12"/>
        </w:rPr>
        <w:t xml:space="preserve"> </w:t>
      </w:r>
      <w:r>
        <w:rPr>
          <w:sz w:val="18"/>
        </w:rPr>
        <w:t>The</w:t>
      </w:r>
      <w:r>
        <w:rPr>
          <w:spacing w:val="-4"/>
          <w:sz w:val="18"/>
        </w:rPr>
        <w:t xml:space="preserve"> </w:t>
      </w:r>
      <w:r>
        <w:rPr>
          <w:sz w:val="18"/>
        </w:rPr>
        <w:t>customer</w:t>
      </w:r>
      <w:r>
        <w:rPr>
          <w:spacing w:val="-3"/>
          <w:sz w:val="18"/>
        </w:rPr>
        <w:t xml:space="preserve"> </w:t>
      </w:r>
      <w:r>
        <w:rPr>
          <w:sz w:val="18"/>
        </w:rPr>
        <w:t>grouping</w:t>
      </w:r>
      <w:r>
        <w:rPr>
          <w:spacing w:val="-4"/>
          <w:sz w:val="18"/>
        </w:rPr>
        <w:t xml:space="preserve"> </w:t>
      </w:r>
      <w:r>
        <w:rPr>
          <w:sz w:val="18"/>
        </w:rPr>
        <w:t>analysis</w:t>
      </w:r>
      <w:r>
        <w:rPr>
          <w:spacing w:val="-3"/>
          <w:sz w:val="18"/>
        </w:rPr>
        <w:t xml:space="preserve"> </w:t>
      </w:r>
      <w:r>
        <w:rPr>
          <w:sz w:val="18"/>
        </w:rPr>
        <w:t>conducted</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single-family</w:t>
      </w:r>
      <w:r>
        <w:rPr>
          <w:spacing w:val="-3"/>
          <w:sz w:val="18"/>
        </w:rPr>
        <w:t xml:space="preserve"> </w:t>
      </w:r>
      <w:r>
        <w:rPr>
          <w:sz w:val="18"/>
        </w:rPr>
        <w:t>segment</w:t>
      </w:r>
      <w:r>
        <w:rPr>
          <w:spacing w:val="-3"/>
          <w:sz w:val="18"/>
        </w:rPr>
        <w:t xml:space="preserve"> </w:t>
      </w:r>
      <w:r>
        <w:rPr>
          <w:sz w:val="18"/>
        </w:rPr>
        <w:t>was</w:t>
      </w:r>
      <w:r>
        <w:rPr>
          <w:spacing w:val="-3"/>
          <w:sz w:val="18"/>
        </w:rPr>
        <w:t xml:space="preserve"> </w:t>
      </w:r>
      <w:r>
        <w:rPr>
          <w:sz w:val="18"/>
        </w:rPr>
        <w:t>not</w:t>
      </w:r>
      <w:r>
        <w:rPr>
          <w:spacing w:val="-3"/>
          <w:sz w:val="18"/>
        </w:rPr>
        <w:t xml:space="preserve"> </w:t>
      </w:r>
      <w:r>
        <w:rPr>
          <w:sz w:val="18"/>
        </w:rPr>
        <w:t>replicated</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multifamily</w:t>
      </w:r>
      <w:r>
        <w:rPr>
          <w:spacing w:val="-3"/>
          <w:sz w:val="18"/>
        </w:rPr>
        <w:t xml:space="preserve"> </w:t>
      </w:r>
      <w:r>
        <w:rPr>
          <w:sz w:val="18"/>
        </w:rPr>
        <w:t>and commercial segments because they did not have sufficient sample sizes for additional sub-segmentation.</w:t>
      </w:r>
    </w:p>
    <w:p w:rsidR="00C31389" w:rsidRDefault="00C31389" w14:paraId="3A35E587" w14:textId="77777777">
      <w:pPr>
        <w:rPr>
          <w:sz w:val="18"/>
        </w:rPr>
        <w:sectPr w:rsidR="00C31389">
          <w:headerReference w:type="default" r:id="rId72"/>
          <w:footerReference w:type="default" r:id="rId73"/>
          <w:pgSz w:w="12240" w:h="15840"/>
          <w:pgMar w:top="1380" w:right="960" w:bottom="1120" w:left="960" w:header="397" w:footer="936" w:gutter="0"/>
          <w:cols w:space="720"/>
        </w:sectPr>
      </w:pPr>
    </w:p>
    <w:p w:rsidR="00C31389" w:rsidRDefault="00C31389" w14:paraId="40B332DA" w14:textId="77777777">
      <w:pPr>
        <w:pStyle w:val="BodyText"/>
        <w:spacing w:before="11"/>
        <w:rPr>
          <w:sz w:val="13"/>
        </w:rPr>
      </w:pPr>
    </w:p>
    <w:p w:rsidR="00C31389" w:rsidRDefault="00561FBD" w14:paraId="35B2A1A0" w14:textId="77777777">
      <w:pPr>
        <w:pStyle w:val="BodyText"/>
        <w:spacing w:before="92"/>
        <w:ind w:left="480" w:right="533" w:hanging="1"/>
      </w:pPr>
      <w:r>
        <w:t>a certain preference weighting will assess two competing equipment options with different characteristics.</w:t>
      </w:r>
      <w:r>
        <w:rPr>
          <w:spacing w:val="-4"/>
        </w:rPr>
        <w:t xml:space="preserve"> </w:t>
      </w:r>
      <w:r>
        <w:t>In</w:t>
      </w:r>
      <w:r>
        <w:rPr>
          <w:spacing w:val="-4"/>
        </w:rPr>
        <w:t xml:space="preserve"> </w:t>
      </w:r>
      <w:r>
        <w:t>short,</w:t>
      </w:r>
      <w:r>
        <w:rPr>
          <w:spacing w:val="-7"/>
        </w:rPr>
        <w:t xml:space="preserve"> </w:t>
      </w:r>
      <w:r>
        <w:t>a</w:t>
      </w:r>
      <w:r>
        <w:rPr>
          <w:spacing w:val="-4"/>
        </w:rPr>
        <w:t xml:space="preserve"> </w:t>
      </w:r>
      <w:r>
        <w:t>technology’s</w:t>
      </w:r>
      <w:r>
        <w:rPr>
          <w:spacing w:val="-4"/>
        </w:rPr>
        <w:t xml:space="preserve"> </w:t>
      </w:r>
      <w:r>
        <w:t>characteristics</w:t>
      </w:r>
      <w:r>
        <w:rPr>
          <w:spacing w:val="-4"/>
        </w:rPr>
        <w:t xml:space="preserve"> </w:t>
      </w:r>
      <w:r>
        <w:t>that</w:t>
      </w:r>
      <w:r>
        <w:rPr>
          <w:spacing w:val="-4"/>
        </w:rPr>
        <w:t xml:space="preserve"> </w:t>
      </w:r>
      <w:r>
        <w:t>align</w:t>
      </w:r>
      <w:r>
        <w:rPr>
          <w:spacing w:val="-4"/>
        </w:rPr>
        <w:t xml:space="preserve"> </w:t>
      </w:r>
      <w:r>
        <w:t>with</w:t>
      </w:r>
      <w:r>
        <w:rPr>
          <w:spacing w:val="-4"/>
        </w:rPr>
        <w:t xml:space="preserve"> </w:t>
      </w:r>
      <w:r>
        <w:t>a</w:t>
      </w:r>
      <w:r>
        <w:rPr>
          <w:spacing w:val="-4"/>
        </w:rPr>
        <w:t xml:space="preserve"> </w:t>
      </w:r>
      <w:r>
        <w:t>custome</w:t>
      </w:r>
      <w:r>
        <w:t>r’s</w:t>
      </w:r>
      <w:r>
        <w:rPr>
          <w:spacing w:val="-3"/>
        </w:rPr>
        <w:t xml:space="preserve"> </w:t>
      </w:r>
      <w:r>
        <w:t>preferences drives their decision to adopt.</w:t>
      </w:r>
    </w:p>
    <w:p w:rsidR="00C31389" w:rsidRDefault="00C31389" w14:paraId="20EF3518" w14:textId="77777777">
      <w:pPr>
        <w:pStyle w:val="BodyText"/>
        <w:spacing w:before="10"/>
        <w:rPr>
          <w:sz w:val="20"/>
        </w:rPr>
      </w:pPr>
    </w:p>
    <w:p w:rsidR="00C31389" w:rsidRDefault="00561FBD" w14:paraId="13D49584" w14:textId="77777777">
      <w:pPr>
        <w:pStyle w:val="BodyText"/>
        <w:ind w:left="480" w:right="533"/>
      </w:pPr>
      <w:r>
        <w:t>The Guidehouse team calculated the equipment characteristics using two different methods depending on whether the value factor represented a quantitative or qualitative value. For the quantitative value fact</w:t>
      </w:r>
      <w:r>
        <w:t>ors (lifetime cost, upfront cost, hassle factor, eco impact), technology characterization</w:t>
      </w:r>
      <w:r>
        <w:rPr>
          <w:spacing w:val="-3"/>
        </w:rPr>
        <w:t xml:space="preserve"> </w:t>
      </w:r>
      <w:r>
        <w:t>data</w:t>
      </w:r>
      <w:r>
        <w:rPr>
          <w:spacing w:val="-3"/>
        </w:rPr>
        <w:t xml:space="preserve"> </w:t>
      </w:r>
      <w:r>
        <w:t>was</w:t>
      </w:r>
      <w:r>
        <w:rPr>
          <w:spacing w:val="-3"/>
        </w:rPr>
        <w:t xml:space="preserve"> </w:t>
      </w:r>
      <w:r>
        <w:t>used</w:t>
      </w:r>
      <w:r>
        <w:rPr>
          <w:spacing w:val="-3"/>
        </w:rPr>
        <w:t xml:space="preserve"> </w:t>
      </w:r>
      <w:r>
        <w:t>and</w:t>
      </w:r>
      <w:r>
        <w:rPr>
          <w:spacing w:val="-3"/>
        </w:rPr>
        <w:t xml:space="preserve"> </w:t>
      </w:r>
      <w:r>
        <w:t>resulted</w:t>
      </w:r>
      <w:r>
        <w:rPr>
          <w:spacing w:val="-3"/>
        </w:rPr>
        <w:t xml:space="preserve"> </w:t>
      </w:r>
      <w:r>
        <w:t>in</w:t>
      </w:r>
      <w:r>
        <w:rPr>
          <w:spacing w:val="-3"/>
        </w:rPr>
        <w:t xml:space="preserve"> </w:t>
      </w:r>
      <w:r>
        <w:t>a</w:t>
      </w:r>
      <w:r>
        <w:rPr>
          <w:spacing w:val="-4"/>
        </w:rPr>
        <w:t xml:space="preserve"> </w:t>
      </w:r>
      <w:r>
        <w:t>numerical</w:t>
      </w:r>
      <w:r>
        <w:rPr>
          <w:spacing w:val="-3"/>
        </w:rPr>
        <w:t xml:space="preserve"> </w:t>
      </w:r>
      <w:r>
        <w:t>value</w:t>
      </w:r>
      <w:r>
        <w:rPr>
          <w:spacing w:val="-3"/>
        </w:rPr>
        <w:t xml:space="preserve"> </w:t>
      </w:r>
      <w:r>
        <w:t>for</w:t>
      </w:r>
      <w:r>
        <w:rPr>
          <w:spacing w:val="-3"/>
        </w:rPr>
        <w:t xml:space="preserve"> </w:t>
      </w:r>
      <w:r>
        <w:t>each</w:t>
      </w:r>
      <w:r>
        <w:rPr>
          <w:spacing w:val="-3"/>
        </w:rPr>
        <w:t xml:space="preserve"> </w:t>
      </w:r>
      <w:r>
        <w:t>technology.</w:t>
      </w:r>
      <w:r>
        <w:rPr>
          <w:spacing w:val="-3"/>
        </w:rPr>
        <w:t xml:space="preserve"> </w:t>
      </w:r>
      <w:r>
        <w:t>For</w:t>
      </w:r>
      <w:r>
        <w:rPr>
          <w:spacing w:val="-3"/>
        </w:rPr>
        <w:t xml:space="preserve"> </w:t>
      </w:r>
      <w:r>
        <w:t xml:space="preserve">the qualitative value factors (eco-signaling and non-conservation performance), </w:t>
      </w:r>
      <w:r>
        <w:t>qualitative assessments of each technology were performed, which resulted in a binary value for each technology.</w:t>
      </w:r>
      <w:r>
        <w:rPr>
          <w:spacing w:val="-5"/>
        </w:rPr>
        <w:t xml:space="preserve"> </w:t>
      </w:r>
      <w:r>
        <w:t>This</w:t>
      </w:r>
      <w:r>
        <w:rPr>
          <w:spacing w:val="-4"/>
        </w:rPr>
        <w:t xml:space="preserve"> </w:t>
      </w:r>
      <w:r>
        <w:t>binary</w:t>
      </w:r>
      <w:r>
        <w:rPr>
          <w:spacing w:val="-5"/>
        </w:rPr>
        <w:t xml:space="preserve"> </w:t>
      </w:r>
      <w:r>
        <w:t>value</w:t>
      </w:r>
      <w:r>
        <w:rPr>
          <w:spacing w:val="-4"/>
        </w:rPr>
        <w:t xml:space="preserve"> </w:t>
      </w:r>
      <w:r>
        <w:t>represented</w:t>
      </w:r>
      <w:r>
        <w:rPr>
          <w:spacing w:val="-3"/>
        </w:rPr>
        <w:t xml:space="preserve"> </w:t>
      </w:r>
      <w:r>
        <w:t>whether</w:t>
      </w:r>
      <w:r>
        <w:rPr>
          <w:spacing w:val="-4"/>
        </w:rPr>
        <w:t xml:space="preserve"> </w:t>
      </w:r>
      <w:r>
        <w:t>the</w:t>
      </w:r>
      <w:r>
        <w:rPr>
          <w:spacing w:val="-4"/>
        </w:rPr>
        <w:t xml:space="preserve"> </w:t>
      </w:r>
      <w:r>
        <w:t>technology</w:t>
      </w:r>
      <w:r>
        <w:rPr>
          <w:spacing w:val="-4"/>
        </w:rPr>
        <w:t xml:space="preserve"> </w:t>
      </w:r>
      <w:r>
        <w:t>exhibited</w:t>
      </w:r>
      <w:r>
        <w:rPr>
          <w:spacing w:val="-4"/>
        </w:rPr>
        <w:t xml:space="preserve"> </w:t>
      </w:r>
      <w:r>
        <w:t>this</w:t>
      </w:r>
      <w:r>
        <w:rPr>
          <w:spacing w:val="-4"/>
        </w:rPr>
        <w:t xml:space="preserve"> </w:t>
      </w:r>
      <w:r>
        <w:t>characteristic (e.g., a non-conservation performance value of 1 indicates t</w:t>
      </w:r>
      <w:r>
        <w:t xml:space="preserve">he technology exhibits this characteristic). </w:t>
      </w:r>
      <w:hyperlink w:history="1" w:anchor="_bookmark57">
        <w:r>
          <w:t>Table 2-4</w:t>
        </w:r>
      </w:hyperlink>
      <w:r>
        <w:t xml:space="preserve"> shows how each value factor is assigned a numeric value for the characteristic value determination.</w:t>
      </w:r>
    </w:p>
    <w:p w:rsidR="00C31389" w:rsidRDefault="00C31389" w14:paraId="5D789A7B" w14:textId="77777777">
      <w:pPr>
        <w:pStyle w:val="BodyText"/>
        <w:spacing w:before="11"/>
        <w:rPr>
          <w:sz w:val="20"/>
        </w:rPr>
      </w:pPr>
    </w:p>
    <w:p w:rsidR="00C31389" w:rsidRDefault="00561FBD" w14:paraId="76CB3CFE" w14:textId="77777777">
      <w:pPr>
        <w:pStyle w:val="Heading7"/>
        <w:ind w:left="566" w:right="566"/>
        <w:jc w:val="center"/>
      </w:pPr>
      <w:bookmarkStart w:name="_bookmark57" w:id="73"/>
      <w:bookmarkEnd w:id="73"/>
      <w:r>
        <w:t>Table</w:t>
      </w:r>
      <w:r>
        <w:rPr>
          <w:spacing w:val="-6"/>
        </w:rPr>
        <w:t xml:space="preserve"> </w:t>
      </w:r>
      <w:r>
        <w:t>2-4.</w:t>
      </w:r>
      <w:r>
        <w:rPr>
          <w:spacing w:val="-6"/>
        </w:rPr>
        <w:t xml:space="preserve"> </w:t>
      </w:r>
      <w:r>
        <w:t>Value</w:t>
      </w:r>
      <w:r>
        <w:rPr>
          <w:spacing w:val="-6"/>
        </w:rPr>
        <w:t xml:space="preserve"> </w:t>
      </w:r>
      <w:r>
        <w:rPr>
          <w:spacing w:val="-2"/>
        </w:rPr>
        <w:t>Factors</w:t>
      </w:r>
    </w:p>
    <w:p w:rsidR="00C31389" w:rsidRDefault="00C31389" w14:paraId="6DEFD415" w14:textId="77777777">
      <w:pPr>
        <w:pStyle w:val="BodyText"/>
        <w:spacing w:before="6"/>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949"/>
        <w:gridCol w:w="2243"/>
        <w:gridCol w:w="5183"/>
      </w:tblGrid>
      <w:tr w:rsidR="00C31389" w14:paraId="2A50E511" w14:textId="77777777">
        <w:trPr>
          <w:trHeight w:val="549"/>
        </w:trPr>
        <w:tc>
          <w:tcPr>
            <w:tcW w:w="1949" w:type="dxa"/>
            <w:shd w:val="clear" w:color="auto" w:fill="92D400"/>
          </w:tcPr>
          <w:p w:rsidR="00C31389" w:rsidRDefault="00561FBD" w14:paraId="24A8148E" w14:textId="77777777">
            <w:pPr>
              <w:pStyle w:val="TableParagraph"/>
              <w:spacing w:before="155"/>
              <w:ind w:left="129"/>
              <w:rPr>
                <w:b/>
                <w:sz w:val="20"/>
              </w:rPr>
            </w:pPr>
            <w:r>
              <w:rPr>
                <w:b/>
                <w:sz w:val="20"/>
              </w:rPr>
              <w:t>Value</w:t>
            </w:r>
            <w:r>
              <w:rPr>
                <w:b/>
                <w:spacing w:val="-4"/>
                <w:sz w:val="20"/>
              </w:rPr>
              <w:t xml:space="preserve"> </w:t>
            </w:r>
            <w:r>
              <w:rPr>
                <w:b/>
                <w:spacing w:val="-2"/>
                <w:sz w:val="20"/>
              </w:rPr>
              <w:t>Fac</w:t>
            </w:r>
            <w:r>
              <w:rPr>
                <w:b/>
                <w:spacing w:val="-2"/>
                <w:sz w:val="20"/>
              </w:rPr>
              <w:t>tor</w:t>
            </w:r>
          </w:p>
        </w:tc>
        <w:tc>
          <w:tcPr>
            <w:tcW w:w="2243" w:type="dxa"/>
            <w:shd w:val="clear" w:color="auto" w:fill="92D400"/>
          </w:tcPr>
          <w:p w:rsidR="00C31389" w:rsidRDefault="00561FBD" w14:paraId="5F2946DA" w14:textId="77777777">
            <w:pPr>
              <w:pStyle w:val="TableParagraph"/>
              <w:ind w:left="250"/>
              <w:rPr>
                <w:b/>
                <w:sz w:val="20"/>
              </w:rPr>
            </w:pPr>
            <w:r>
              <w:rPr>
                <w:b/>
                <w:spacing w:val="-2"/>
                <w:sz w:val="20"/>
              </w:rPr>
              <w:t>Technology Characteristic</w:t>
            </w:r>
          </w:p>
        </w:tc>
        <w:tc>
          <w:tcPr>
            <w:tcW w:w="5183" w:type="dxa"/>
            <w:shd w:val="clear" w:color="auto" w:fill="92D400"/>
          </w:tcPr>
          <w:p w:rsidR="00C31389" w:rsidRDefault="00561FBD" w14:paraId="4D900D09" w14:textId="77777777">
            <w:pPr>
              <w:pStyle w:val="TableParagraph"/>
              <w:spacing w:before="155"/>
              <w:ind w:left="167"/>
              <w:rPr>
                <w:b/>
                <w:sz w:val="20"/>
              </w:rPr>
            </w:pPr>
            <w:r>
              <w:rPr>
                <w:b/>
                <w:sz w:val="20"/>
              </w:rPr>
              <w:t>Characteristic</w:t>
            </w:r>
            <w:r>
              <w:rPr>
                <w:b/>
                <w:spacing w:val="-5"/>
                <w:sz w:val="20"/>
              </w:rPr>
              <w:t xml:space="preserve"> </w:t>
            </w:r>
            <w:r>
              <w:rPr>
                <w:b/>
                <w:sz w:val="20"/>
              </w:rPr>
              <w:t>Value</w:t>
            </w:r>
            <w:r>
              <w:rPr>
                <w:b/>
                <w:spacing w:val="-5"/>
                <w:sz w:val="20"/>
              </w:rPr>
              <w:t xml:space="preserve"> </w:t>
            </w:r>
            <w:r>
              <w:rPr>
                <w:b/>
                <w:spacing w:val="-2"/>
                <w:sz w:val="20"/>
              </w:rPr>
              <w:t>Determination</w:t>
            </w:r>
          </w:p>
        </w:tc>
      </w:tr>
      <w:tr w:rsidR="00C31389" w14:paraId="7DD820BD" w14:textId="77777777">
        <w:trPr>
          <w:trHeight w:val="541"/>
        </w:trPr>
        <w:tc>
          <w:tcPr>
            <w:tcW w:w="1949" w:type="dxa"/>
            <w:tcBorders>
              <w:bottom w:val="single" w:color="D9D9D9" w:sz="2" w:space="0"/>
            </w:tcBorders>
          </w:tcPr>
          <w:p w:rsidR="00C31389" w:rsidRDefault="00561FBD" w14:paraId="7C708BFF" w14:textId="77777777">
            <w:pPr>
              <w:pStyle w:val="TableParagraph"/>
              <w:spacing w:before="157"/>
              <w:ind w:left="129"/>
              <w:rPr>
                <w:sz w:val="20"/>
              </w:rPr>
            </w:pPr>
            <w:r>
              <w:rPr>
                <w:sz w:val="20"/>
              </w:rPr>
              <w:t>Lifetime</w:t>
            </w:r>
            <w:r>
              <w:rPr>
                <w:spacing w:val="-8"/>
                <w:sz w:val="20"/>
              </w:rPr>
              <w:t xml:space="preserve"> </w:t>
            </w:r>
            <w:r>
              <w:rPr>
                <w:spacing w:val="-4"/>
                <w:sz w:val="20"/>
              </w:rPr>
              <w:t>cost</w:t>
            </w:r>
          </w:p>
        </w:tc>
        <w:tc>
          <w:tcPr>
            <w:tcW w:w="2243" w:type="dxa"/>
            <w:tcBorders>
              <w:bottom w:val="single" w:color="D9D9D9" w:sz="2" w:space="0"/>
            </w:tcBorders>
          </w:tcPr>
          <w:p w:rsidR="00C31389" w:rsidRDefault="00561FBD" w14:paraId="04B7B924" w14:textId="77777777">
            <w:pPr>
              <w:pStyle w:val="TableParagraph"/>
              <w:spacing w:before="157"/>
              <w:ind w:left="250"/>
              <w:rPr>
                <w:sz w:val="20"/>
              </w:rPr>
            </w:pPr>
            <w:r>
              <w:rPr>
                <w:spacing w:val="-5"/>
                <w:sz w:val="20"/>
              </w:rPr>
              <w:t>LMC</w:t>
            </w:r>
          </w:p>
        </w:tc>
        <w:tc>
          <w:tcPr>
            <w:tcW w:w="5183" w:type="dxa"/>
            <w:tcBorders>
              <w:bottom w:val="single" w:color="D9D9D9" w:sz="2" w:space="0"/>
            </w:tcBorders>
          </w:tcPr>
          <w:p w:rsidR="00C31389" w:rsidRDefault="00561FBD" w14:paraId="1746452A" w14:textId="77777777">
            <w:pPr>
              <w:pStyle w:val="TableParagraph"/>
              <w:spacing w:before="41"/>
              <w:ind w:left="167" w:hanging="1"/>
              <w:rPr>
                <w:sz w:val="20"/>
              </w:rPr>
            </w:pPr>
            <w:r>
              <w:rPr>
                <w:sz w:val="20"/>
              </w:rPr>
              <w:t>Present</w:t>
            </w:r>
            <w:r>
              <w:rPr>
                <w:spacing w:val="-5"/>
                <w:sz w:val="20"/>
              </w:rPr>
              <w:t xml:space="preserve"> </w:t>
            </w:r>
            <w:r>
              <w:rPr>
                <w:sz w:val="20"/>
              </w:rPr>
              <w:t>value</w:t>
            </w:r>
            <w:r>
              <w:rPr>
                <w:spacing w:val="-6"/>
                <w:sz w:val="20"/>
              </w:rPr>
              <w:t xml:space="preserve"> </w:t>
            </w:r>
            <w:r>
              <w:rPr>
                <w:sz w:val="20"/>
              </w:rPr>
              <w:t>of</w:t>
            </w:r>
            <w:r>
              <w:rPr>
                <w:spacing w:val="-5"/>
                <w:sz w:val="20"/>
              </w:rPr>
              <w:t xml:space="preserve"> </w:t>
            </w:r>
            <w:r>
              <w:rPr>
                <w:sz w:val="20"/>
              </w:rPr>
              <w:t>lifetime</w:t>
            </w:r>
            <w:r>
              <w:rPr>
                <w:spacing w:val="-5"/>
                <w:sz w:val="20"/>
              </w:rPr>
              <w:t xml:space="preserve"> </w:t>
            </w:r>
            <w:r>
              <w:rPr>
                <w:sz w:val="20"/>
              </w:rPr>
              <w:t>energy</w:t>
            </w:r>
            <w:r>
              <w:rPr>
                <w:spacing w:val="-4"/>
                <w:sz w:val="20"/>
              </w:rPr>
              <w:t xml:space="preserve"> </w:t>
            </w:r>
            <w:r>
              <w:rPr>
                <w:sz w:val="20"/>
              </w:rPr>
              <w:t>costs</w:t>
            </w:r>
            <w:r>
              <w:rPr>
                <w:spacing w:val="-4"/>
                <w:sz w:val="20"/>
              </w:rPr>
              <w:t xml:space="preserve"> </w:t>
            </w:r>
            <w:r>
              <w:rPr>
                <w:sz w:val="20"/>
              </w:rPr>
              <w:t>and</w:t>
            </w:r>
            <w:r>
              <w:rPr>
                <w:spacing w:val="-5"/>
                <w:sz w:val="20"/>
              </w:rPr>
              <w:t xml:space="preserve"> </w:t>
            </w:r>
            <w:r>
              <w:rPr>
                <w:sz w:val="20"/>
              </w:rPr>
              <w:t>upfront technology costs*</w:t>
            </w:r>
          </w:p>
        </w:tc>
      </w:tr>
      <w:tr w:rsidR="00C31389" w14:paraId="10732DD7" w14:textId="77777777">
        <w:trPr>
          <w:trHeight w:val="309"/>
        </w:trPr>
        <w:tc>
          <w:tcPr>
            <w:tcW w:w="1949" w:type="dxa"/>
            <w:tcBorders>
              <w:top w:val="single" w:color="D9D9D9" w:sz="2" w:space="0"/>
              <w:bottom w:val="single" w:color="D9D9D9" w:sz="2" w:space="0"/>
            </w:tcBorders>
          </w:tcPr>
          <w:p w:rsidR="00C31389" w:rsidRDefault="00561FBD" w14:paraId="676CF39C" w14:textId="77777777">
            <w:pPr>
              <w:pStyle w:val="TableParagraph"/>
              <w:ind w:left="129"/>
              <w:rPr>
                <w:sz w:val="20"/>
              </w:rPr>
            </w:pPr>
            <w:r>
              <w:rPr>
                <w:sz w:val="20"/>
              </w:rPr>
              <w:t>Upfront</w:t>
            </w:r>
            <w:r>
              <w:rPr>
                <w:spacing w:val="-4"/>
                <w:sz w:val="20"/>
              </w:rPr>
              <w:t xml:space="preserve"> cost</w:t>
            </w:r>
          </w:p>
        </w:tc>
        <w:tc>
          <w:tcPr>
            <w:tcW w:w="2243" w:type="dxa"/>
            <w:tcBorders>
              <w:top w:val="single" w:color="D9D9D9" w:sz="2" w:space="0"/>
              <w:bottom w:val="single" w:color="D9D9D9" w:sz="2" w:space="0"/>
            </w:tcBorders>
          </w:tcPr>
          <w:p w:rsidR="00C31389" w:rsidRDefault="00561FBD" w14:paraId="59CA98BD" w14:textId="77777777">
            <w:pPr>
              <w:pStyle w:val="TableParagraph"/>
              <w:ind w:left="250"/>
              <w:rPr>
                <w:sz w:val="20"/>
              </w:rPr>
            </w:pPr>
            <w:r>
              <w:rPr>
                <w:sz w:val="20"/>
              </w:rPr>
              <w:t>Measure</w:t>
            </w:r>
            <w:r>
              <w:rPr>
                <w:spacing w:val="-4"/>
                <w:sz w:val="20"/>
              </w:rPr>
              <w:t xml:space="preserve"> cost</w:t>
            </w:r>
          </w:p>
        </w:tc>
        <w:tc>
          <w:tcPr>
            <w:tcW w:w="5183" w:type="dxa"/>
            <w:tcBorders>
              <w:top w:val="single" w:color="D9D9D9" w:sz="2" w:space="0"/>
              <w:bottom w:val="single" w:color="D9D9D9" w:sz="2" w:space="0"/>
            </w:tcBorders>
          </w:tcPr>
          <w:p w:rsidR="00C31389" w:rsidRDefault="00561FBD" w14:paraId="4C52682C" w14:textId="77777777">
            <w:pPr>
              <w:pStyle w:val="TableParagraph"/>
              <w:ind w:left="167"/>
              <w:rPr>
                <w:sz w:val="20"/>
              </w:rPr>
            </w:pPr>
            <w:r>
              <w:rPr>
                <w:sz w:val="20"/>
              </w:rPr>
              <w:t>Upfront</w:t>
            </w:r>
            <w:r>
              <w:rPr>
                <w:spacing w:val="-3"/>
                <w:sz w:val="20"/>
              </w:rPr>
              <w:t xml:space="preserve"> </w:t>
            </w:r>
            <w:r>
              <w:rPr>
                <w:sz w:val="20"/>
              </w:rPr>
              <w:t>cost</w:t>
            </w:r>
            <w:r>
              <w:rPr>
                <w:spacing w:val="-4"/>
                <w:sz w:val="20"/>
              </w:rPr>
              <w:t xml:space="preserve"> </w:t>
            </w:r>
            <w:r>
              <w:rPr>
                <w:sz w:val="20"/>
              </w:rPr>
              <w:t>of</w:t>
            </w:r>
            <w:r>
              <w:rPr>
                <w:spacing w:val="-3"/>
                <w:sz w:val="20"/>
              </w:rPr>
              <w:t xml:space="preserve"> </w:t>
            </w:r>
            <w:r>
              <w:rPr>
                <w:sz w:val="20"/>
              </w:rPr>
              <w:t>purchasing</w:t>
            </w:r>
            <w:r>
              <w:rPr>
                <w:spacing w:val="-3"/>
                <w:sz w:val="20"/>
              </w:rPr>
              <w:t xml:space="preserve"> </w:t>
            </w:r>
            <w:r>
              <w:rPr>
                <w:sz w:val="20"/>
              </w:rPr>
              <w:t>the</w:t>
            </w:r>
            <w:r>
              <w:rPr>
                <w:spacing w:val="-3"/>
                <w:sz w:val="20"/>
              </w:rPr>
              <w:t xml:space="preserve"> </w:t>
            </w:r>
            <w:r>
              <w:rPr>
                <w:spacing w:val="-2"/>
                <w:sz w:val="20"/>
              </w:rPr>
              <w:t>technology*</w:t>
            </w:r>
          </w:p>
        </w:tc>
      </w:tr>
      <w:tr w:rsidR="00C31389" w14:paraId="27B60524" w14:textId="77777777">
        <w:trPr>
          <w:trHeight w:val="1000"/>
        </w:trPr>
        <w:tc>
          <w:tcPr>
            <w:tcW w:w="1949" w:type="dxa"/>
            <w:tcBorders>
              <w:top w:val="single" w:color="D9D9D9" w:sz="2" w:space="0"/>
              <w:bottom w:val="single" w:color="D9D9D9" w:sz="2" w:space="0"/>
            </w:tcBorders>
          </w:tcPr>
          <w:p w:rsidR="00C31389" w:rsidRDefault="00C31389" w14:paraId="2DB23A05" w14:textId="77777777">
            <w:pPr>
              <w:pStyle w:val="TableParagraph"/>
              <w:spacing w:before="0"/>
              <w:rPr>
                <w:b/>
              </w:rPr>
            </w:pPr>
          </w:p>
          <w:p w:rsidR="00C31389" w:rsidRDefault="00561FBD" w14:paraId="29688C0A" w14:textId="77777777">
            <w:pPr>
              <w:pStyle w:val="TableParagraph"/>
              <w:spacing w:before="133"/>
              <w:ind w:left="129"/>
              <w:rPr>
                <w:sz w:val="20"/>
              </w:rPr>
            </w:pPr>
            <w:r>
              <w:rPr>
                <w:sz w:val="20"/>
              </w:rPr>
              <w:t>Hassle</w:t>
            </w:r>
            <w:r>
              <w:rPr>
                <w:spacing w:val="-5"/>
                <w:sz w:val="20"/>
              </w:rPr>
              <w:t xml:space="preserve"> </w:t>
            </w:r>
            <w:r>
              <w:rPr>
                <w:spacing w:val="-2"/>
                <w:sz w:val="20"/>
              </w:rPr>
              <w:t>factor</w:t>
            </w:r>
          </w:p>
        </w:tc>
        <w:tc>
          <w:tcPr>
            <w:tcW w:w="2243" w:type="dxa"/>
            <w:tcBorders>
              <w:top w:val="single" w:color="D9D9D9" w:sz="2" w:space="0"/>
              <w:bottom w:val="single" w:color="D9D9D9" w:sz="2" w:space="0"/>
            </w:tcBorders>
          </w:tcPr>
          <w:p w:rsidR="00C31389" w:rsidRDefault="00C31389" w14:paraId="2AD11448" w14:textId="77777777">
            <w:pPr>
              <w:pStyle w:val="TableParagraph"/>
              <w:spacing w:before="0"/>
              <w:rPr>
                <w:b/>
              </w:rPr>
            </w:pPr>
          </w:p>
          <w:p w:rsidR="00C31389" w:rsidRDefault="00561FBD" w14:paraId="3203CDEC" w14:textId="77777777">
            <w:pPr>
              <w:pStyle w:val="TableParagraph"/>
              <w:spacing w:before="133"/>
              <w:ind w:left="250"/>
              <w:rPr>
                <w:sz w:val="20"/>
              </w:rPr>
            </w:pPr>
            <w:r>
              <w:rPr>
                <w:sz w:val="20"/>
              </w:rPr>
              <w:t>Labor</w:t>
            </w:r>
            <w:r>
              <w:rPr>
                <w:spacing w:val="-2"/>
                <w:sz w:val="20"/>
              </w:rPr>
              <w:t xml:space="preserve"> </w:t>
            </w:r>
            <w:r>
              <w:rPr>
                <w:spacing w:val="-4"/>
                <w:sz w:val="20"/>
              </w:rPr>
              <w:t>cost</w:t>
            </w:r>
          </w:p>
        </w:tc>
        <w:tc>
          <w:tcPr>
            <w:tcW w:w="5183" w:type="dxa"/>
            <w:tcBorders>
              <w:top w:val="single" w:color="D9D9D9" w:sz="2" w:space="0"/>
              <w:bottom w:val="single" w:color="D9D9D9" w:sz="2" w:space="0"/>
            </w:tcBorders>
          </w:tcPr>
          <w:p w:rsidR="00C31389" w:rsidRDefault="00561FBD" w14:paraId="56FFA050" w14:textId="77777777">
            <w:pPr>
              <w:pStyle w:val="TableParagraph"/>
              <w:ind w:left="167" w:right="131"/>
              <w:rPr>
                <w:sz w:val="20"/>
              </w:rPr>
            </w:pPr>
            <w:r>
              <w:rPr>
                <w:sz w:val="20"/>
              </w:rPr>
              <w:t>Hassle assumed to scale with the level of effort required to install the technology; because labor costs scale</w:t>
            </w:r>
            <w:r>
              <w:rPr>
                <w:spacing w:val="-5"/>
                <w:sz w:val="20"/>
              </w:rPr>
              <w:t xml:space="preserve"> </w:t>
            </w:r>
            <w:r>
              <w:rPr>
                <w:sz w:val="20"/>
              </w:rPr>
              <w:t>with</w:t>
            </w:r>
            <w:r>
              <w:rPr>
                <w:spacing w:val="-5"/>
                <w:sz w:val="20"/>
              </w:rPr>
              <w:t xml:space="preserve"> </w:t>
            </w:r>
            <w:r>
              <w:rPr>
                <w:sz w:val="20"/>
              </w:rPr>
              <w:t>effort</w:t>
            </w:r>
            <w:r>
              <w:rPr>
                <w:spacing w:val="-5"/>
                <w:sz w:val="20"/>
              </w:rPr>
              <w:t xml:space="preserve"> </w:t>
            </w:r>
            <w:r>
              <w:rPr>
                <w:sz w:val="20"/>
              </w:rPr>
              <w:t>and</w:t>
            </w:r>
            <w:r>
              <w:rPr>
                <w:spacing w:val="-6"/>
                <w:sz w:val="20"/>
              </w:rPr>
              <w:t xml:space="preserve"> </w:t>
            </w:r>
            <w:r>
              <w:rPr>
                <w:sz w:val="20"/>
              </w:rPr>
              <w:t>complexity,</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were</w:t>
            </w:r>
            <w:r>
              <w:rPr>
                <w:spacing w:val="-5"/>
                <w:sz w:val="20"/>
              </w:rPr>
              <w:t xml:space="preserve"> </w:t>
            </w:r>
            <w:r>
              <w:rPr>
                <w:sz w:val="20"/>
              </w:rPr>
              <w:t>used as a proxy for hassle*</w:t>
            </w:r>
          </w:p>
        </w:tc>
      </w:tr>
      <w:tr w:rsidR="00C31389" w14:paraId="752A45EE" w14:textId="77777777">
        <w:trPr>
          <w:trHeight w:val="768"/>
        </w:trPr>
        <w:tc>
          <w:tcPr>
            <w:tcW w:w="1949" w:type="dxa"/>
            <w:tcBorders>
              <w:top w:val="single" w:color="D9D9D9" w:sz="2" w:space="0"/>
              <w:bottom w:val="single" w:color="D9D9D9" w:sz="2" w:space="0"/>
            </w:tcBorders>
          </w:tcPr>
          <w:p w:rsidR="00C31389" w:rsidRDefault="00C31389" w14:paraId="0CEFF505" w14:textId="77777777">
            <w:pPr>
              <w:pStyle w:val="TableParagraph"/>
              <w:spacing w:before="5"/>
              <w:rPr>
                <w:b/>
                <w:sz w:val="23"/>
              </w:rPr>
            </w:pPr>
          </w:p>
          <w:p w:rsidR="00C31389" w:rsidRDefault="00561FBD" w14:paraId="6C978A78" w14:textId="77777777">
            <w:pPr>
              <w:pStyle w:val="TableParagraph"/>
              <w:spacing w:before="0"/>
              <w:ind w:left="129"/>
              <w:rPr>
                <w:sz w:val="20"/>
              </w:rPr>
            </w:pPr>
            <w:r>
              <w:rPr>
                <w:sz w:val="20"/>
              </w:rPr>
              <w:t>Eco</w:t>
            </w:r>
            <w:r>
              <w:rPr>
                <w:spacing w:val="-2"/>
                <w:sz w:val="20"/>
              </w:rPr>
              <w:t xml:space="preserve"> impact</w:t>
            </w:r>
          </w:p>
        </w:tc>
        <w:tc>
          <w:tcPr>
            <w:tcW w:w="2243" w:type="dxa"/>
            <w:tcBorders>
              <w:top w:val="single" w:color="D9D9D9" w:sz="2" w:space="0"/>
              <w:bottom w:val="single" w:color="D9D9D9" w:sz="2" w:space="0"/>
            </w:tcBorders>
          </w:tcPr>
          <w:p w:rsidR="00C31389" w:rsidRDefault="00C31389" w14:paraId="0CA80CA4" w14:textId="77777777">
            <w:pPr>
              <w:pStyle w:val="TableParagraph"/>
              <w:spacing w:before="5"/>
              <w:rPr>
                <w:b/>
                <w:sz w:val="23"/>
              </w:rPr>
            </w:pPr>
          </w:p>
          <w:p w:rsidR="00C31389" w:rsidRDefault="00561FBD" w14:paraId="25F9AA8C" w14:textId="77777777">
            <w:pPr>
              <w:pStyle w:val="TableParagraph"/>
              <w:spacing w:before="0"/>
              <w:ind w:left="250"/>
              <w:rPr>
                <w:sz w:val="20"/>
              </w:rPr>
            </w:pPr>
            <w:r>
              <w:rPr>
                <w:sz w:val="20"/>
              </w:rPr>
              <w:t>Energy</w:t>
            </w:r>
            <w:r>
              <w:rPr>
                <w:spacing w:val="-3"/>
                <w:sz w:val="20"/>
              </w:rPr>
              <w:t xml:space="preserve"> </w:t>
            </w:r>
            <w:r>
              <w:rPr>
                <w:spacing w:val="-2"/>
                <w:sz w:val="20"/>
              </w:rPr>
              <w:t>consumption</w:t>
            </w:r>
          </w:p>
        </w:tc>
        <w:tc>
          <w:tcPr>
            <w:tcW w:w="5183" w:type="dxa"/>
            <w:tcBorders>
              <w:top w:val="single" w:color="D9D9D9" w:sz="2" w:space="0"/>
              <w:bottom w:val="single" w:color="D9D9D9" w:sz="2" w:space="0"/>
            </w:tcBorders>
          </w:tcPr>
          <w:p w:rsidR="00C31389" w:rsidRDefault="00561FBD" w14:paraId="761094D2" w14:textId="77777777">
            <w:pPr>
              <w:pStyle w:val="TableParagraph"/>
              <w:ind w:left="167" w:right="171"/>
              <w:rPr>
                <w:sz w:val="20"/>
              </w:rPr>
            </w:pPr>
            <w:r>
              <w:rPr>
                <w:sz w:val="20"/>
              </w:rPr>
              <w:t>Total</w:t>
            </w:r>
            <w:r>
              <w:rPr>
                <w:spacing w:val="-6"/>
                <w:sz w:val="20"/>
              </w:rPr>
              <w:t xml:space="preserve"> </w:t>
            </w:r>
            <w:r>
              <w:rPr>
                <w:sz w:val="20"/>
              </w:rPr>
              <w:t>annual</w:t>
            </w:r>
            <w:r>
              <w:rPr>
                <w:spacing w:val="-6"/>
                <w:sz w:val="20"/>
              </w:rPr>
              <w:t xml:space="preserve"> </w:t>
            </w:r>
            <w:r>
              <w:rPr>
                <w:sz w:val="20"/>
              </w:rPr>
              <w:t>energy</w:t>
            </w:r>
            <w:r>
              <w:rPr>
                <w:spacing w:val="-6"/>
                <w:sz w:val="20"/>
              </w:rPr>
              <w:t xml:space="preserve"> </w:t>
            </w:r>
            <w:r>
              <w:rPr>
                <w:sz w:val="20"/>
              </w:rPr>
              <w:t>consumption,</w:t>
            </w:r>
            <w:r>
              <w:rPr>
                <w:spacing w:val="-6"/>
                <w:sz w:val="20"/>
              </w:rPr>
              <w:t xml:space="preserve"> </w:t>
            </w:r>
            <w:r>
              <w:rPr>
                <w:sz w:val="20"/>
              </w:rPr>
              <w:t>converted</w:t>
            </w:r>
            <w:r>
              <w:rPr>
                <w:spacing w:val="-6"/>
                <w:sz w:val="20"/>
              </w:rPr>
              <w:t xml:space="preserve"> </w:t>
            </w:r>
            <w:r>
              <w:rPr>
                <w:sz w:val="20"/>
              </w:rPr>
              <w:t>to</w:t>
            </w:r>
            <w:r>
              <w:rPr>
                <w:spacing w:val="-6"/>
                <w:sz w:val="20"/>
              </w:rPr>
              <w:t xml:space="preserve"> </w:t>
            </w:r>
            <w:r>
              <w:rPr>
                <w:sz w:val="20"/>
              </w:rPr>
              <w:t xml:space="preserve">neutral units of Btu and summed over gas and electric </w:t>
            </w:r>
            <w:r>
              <w:rPr>
                <w:spacing w:val="-2"/>
                <w:sz w:val="20"/>
              </w:rPr>
              <w:t>impacts*</w:t>
            </w:r>
          </w:p>
        </w:tc>
      </w:tr>
      <w:tr w:rsidR="00C31389" w14:paraId="0242A4FB" w14:textId="77777777">
        <w:trPr>
          <w:trHeight w:val="1580"/>
        </w:trPr>
        <w:tc>
          <w:tcPr>
            <w:tcW w:w="1949" w:type="dxa"/>
            <w:tcBorders>
              <w:top w:val="single" w:color="D9D9D9" w:sz="2" w:space="0"/>
              <w:bottom w:val="single" w:color="D9D9D9" w:sz="2" w:space="0"/>
            </w:tcBorders>
          </w:tcPr>
          <w:p w:rsidR="00C31389" w:rsidRDefault="00C31389" w14:paraId="71C9AF39" w14:textId="77777777">
            <w:pPr>
              <w:pStyle w:val="TableParagraph"/>
              <w:spacing w:before="0"/>
              <w:rPr>
                <w:b/>
              </w:rPr>
            </w:pPr>
          </w:p>
          <w:p w:rsidR="00C31389" w:rsidRDefault="00C31389" w14:paraId="61540FF9" w14:textId="77777777">
            <w:pPr>
              <w:pStyle w:val="TableParagraph"/>
              <w:spacing w:before="0"/>
              <w:rPr>
                <w:b/>
              </w:rPr>
            </w:pPr>
          </w:p>
          <w:p w:rsidR="00C31389" w:rsidRDefault="00561FBD" w14:paraId="70F59D71" w14:textId="77777777">
            <w:pPr>
              <w:pStyle w:val="TableParagraph"/>
              <w:spacing w:before="170"/>
              <w:ind w:left="129"/>
              <w:rPr>
                <w:sz w:val="20"/>
              </w:rPr>
            </w:pPr>
            <w:r>
              <w:rPr>
                <w:spacing w:val="-2"/>
                <w:sz w:val="20"/>
              </w:rPr>
              <w:t>Eco-signaling</w:t>
            </w:r>
          </w:p>
        </w:tc>
        <w:tc>
          <w:tcPr>
            <w:tcW w:w="2243" w:type="dxa"/>
            <w:tcBorders>
              <w:top w:val="single" w:color="D9D9D9" w:sz="2" w:space="0"/>
              <w:bottom w:val="single" w:color="D9D9D9" w:sz="2" w:space="0"/>
            </w:tcBorders>
          </w:tcPr>
          <w:p w:rsidR="00C31389" w:rsidRDefault="00561FBD" w14:paraId="19A5FE06" w14:textId="77777777">
            <w:pPr>
              <w:pStyle w:val="TableParagraph"/>
              <w:spacing w:before="41" w:line="280" w:lineRule="auto"/>
              <w:ind w:left="250" w:right="163"/>
              <w:rPr>
                <w:sz w:val="20"/>
              </w:rPr>
            </w:pPr>
            <w:r>
              <w:rPr>
                <w:sz w:val="20"/>
              </w:rPr>
              <w:t>Energy</w:t>
            </w:r>
            <w:r>
              <w:rPr>
                <w:spacing w:val="-14"/>
                <w:sz w:val="20"/>
              </w:rPr>
              <w:t xml:space="preserve"> </w:t>
            </w:r>
            <w:r>
              <w:rPr>
                <w:sz w:val="20"/>
              </w:rPr>
              <w:t xml:space="preserve">consumption </w:t>
            </w:r>
            <w:r>
              <w:rPr>
                <w:spacing w:val="-4"/>
                <w:sz w:val="20"/>
              </w:rPr>
              <w:t>and</w:t>
            </w:r>
          </w:p>
          <w:p w:rsidR="00C31389" w:rsidRDefault="00561FBD" w14:paraId="100EFD55" w14:textId="77777777">
            <w:pPr>
              <w:pStyle w:val="TableParagraph"/>
              <w:spacing w:before="1"/>
              <w:ind w:left="250"/>
              <w:rPr>
                <w:sz w:val="20"/>
              </w:rPr>
            </w:pPr>
            <w:r>
              <w:rPr>
                <w:sz w:val="20"/>
              </w:rPr>
              <w:t>1</w:t>
            </w:r>
            <w:r>
              <w:rPr>
                <w:spacing w:val="-13"/>
                <w:sz w:val="20"/>
              </w:rPr>
              <w:t xml:space="preserve"> </w:t>
            </w:r>
            <w:r>
              <w:rPr>
                <w:sz w:val="20"/>
              </w:rPr>
              <w:t>=</w:t>
            </w:r>
            <w:r>
              <w:rPr>
                <w:spacing w:val="-12"/>
                <w:sz w:val="20"/>
              </w:rPr>
              <w:t xml:space="preserve"> </w:t>
            </w:r>
            <w:r>
              <w:rPr>
                <w:sz w:val="20"/>
              </w:rPr>
              <w:t>Value</w:t>
            </w:r>
            <w:r>
              <w:rPr>
                <w:spacing w:val="-13"/>
                <w:sz w:val="20"/>
              </w:rPr>
              <w:t xml:space="preserve"> </w:t>
            </w:r>
            <w:r>
              <w:rPr>
                <w:sz w:val="20"/>
              </w:rPr>
              <w:t xml:space="preserve">eco- </w:t>
            </w:r>
            <w:r>
              <w:rPr>
                <w:spacing w:val="-2"/>
                <w:sz w:val="20"/>
              </w:rPr>
              <w:t>signaling</w:t>
            </w:r>
          </w:p>
          <w:p w:rsidR="00C31389" w:rsidRDefault="00561FBD" w14:paraId="2A194E7E" w14:textId="77777777">
            <w:pPr>
              <w:pStyle w:val="TableParagraph"/>
              <w:ind w:left="250"/>
              <w:rPr>
                <w:sz w:val="20"/>
              </w:rPr>
            </w:pPr>
            <w:r>
              <w:rPr>
                <w:sz w:val="20"/>
              </w:rPr>
              <w:t>0</w:t>
            </w:r>
            <w:r>
              <w:rPr>
                <w:spacing w:val="-9"/>
                <w:sz w:val="20"/>
              </w:rPr>
              <w:t xml:space="preserve"> </w:t>
            </w:r>
            <w:r>
              <w:rPr>
                <w:sz w:val="20"/>
              </w:rPr>
              <w:t>=</w:t>
            </w:r>
            <w:r>
              <w:rPr>
                <w:spacing w:val="-8"/>
                <w:sz w:val="20"/>
              </w:rPr>
              <w:t xml:space="preserve"> </w:t>
            </w:r>
            <w:r>
              <w:rPr>
                <w:sz w:val="20"/>
              </w:rPr>
              <w:t>Not</w:t>
            </w:r>
            <w:r>
              <w:rPr>
                <w:spacing w:val="-9"/>
                <w:sz w:val="20"/>
              </w:rPr>
              <w:t xml:space="preserve"> </w:t>
            </w:r>
            <w:r>
              <w:rPr>
                <w:sz w:val="20"/>
              </w:rPr>
              <w:t>value</w:t>
            </w:r>
            <w:r>
              <w:rPr>
                <w:spacing w:val="-10"/>
                <w:sz w:val="20"/>
              </w:rPr>
              <w:t xml:space="preserve"> </w:t>
            </w:r>
            <w:r>
              <w:rPr>
                <w:sz w:val="20"/>
              </w:rPr>
              <w:t xml:space="preserve">eco- </w:t>
            </w:r>
            <w:r>
              <w:rPr>
                <w:spacing w:val="-2"/>
                <w:sz w:val="20"/>
              </w:rPr>
              <w:t>signaling</w:t>
            </w:r>
          </w:p>
        </w:tc>
        <w:tc>
          <w:tcPr>
            <w:tcW w:w="5183" w:type="dxa"/>
            <w:tcBorders>
              <w:top w:val="single" w:color="D9D9D9" w:sz="2" w:space="0"/>
              <w:bottom w:val="single" w:color="D9D9D9" w:sz="2" w:space="0"/>
            </w:tcBorders>
          </w:tcPr>
          <w:p w:rsidR="00C31389" w:rsidRDefault="00C31389" w14:paraId="27E4FC7C" w14:textId="77777777">
            <w:pPr>
              <w:pStyle w:val="TableParagraph"/>
              <w:spacing w:before="8"/>
              <w:rPr>
                <w:b/>
                <w:sz w:val="28"/>
              </w:rPr>
            </w:pPr>
          </w:p>
          <w:p w:rsidR="00C31389" w:rsidRDefault="00561FBD" w14:paraId="16B6EA2E" w14:textId="77777777">
            <w:pPr>
              <w:pStyle w:val="TableParagraph"/>
              <w:spacing w:before="0"/>
              <w:ind w:left="167" w:right="131"/>
              <w:rPr>
                <w:sz w:val="20"/>
              </w:rPr>
            </w:pPr>
            <w:r>
              <w:rPr>
                <w:sz w:val="20"/>
              </w:rPr>
              <w:t>First,</w:t>
            </w:r>
            <w:r>
              <w:rPr>
                <w:spacing w:val="-5"/>
                <w:sz w:val="20"/>
              </w:rPr>
              <w:t xml:space="preserve"> </w:t>
            </w:r>
            <w:r>
              <w:rPr>
                <w:sz w:val="20"/>
              </w:rPr>
              <w:t>the</w:t>
            </w:r>
            <w:r>
              <w:rPr>
                <w:spacing w:val="-5"/>
                <w:sz w:val="20"/>
              </w:rPr>
              <w:t xml:space="preserve"> </w:t>
            </w:r>
            <w:r>
              <w:rPr>
                <w:sz w:val="20"/>
              </w:rPr>
              <w:t>technology</w:t>
            </w:r>
            <w:r>
              <w:rPr>
                <w:spacing w:val="-4"/>
                <w:sz w:val="20"/>
              </w:rPr>
              <w:t xml:space="preserve"> </w:t>
            </w:r>
            <w:r>
              <w:rPr>
                <w:sz w:val="20"/>
              </w:rPr>
              <w:t>was</w:t>
            </w:r>
            <w:r>
              <w:rPr>
                <w:spacing w:val="-4"/>
                <w:sz w:val="20"/>
              </w:rPr>
              <w:t xml:space="preserve"> </w:t>
            </w:r>
            <w:r>
              <w:rPr>
                <w:sz w:val="20"/>
              </w:rPr>
              <w:t>qualitatively</w:t>
            </w:r>
            <w:r>
              <w:rPr>
                <w:spacing w:val="-4"/>
                <w:sz w:val="20"/>
              </w:rPr>
              <w:t xml:space="preserve"> </w:t>
            </w:r>
            <w:r>
              <w:rPr>
                <w:sz w:val="20"/>
              </w:rPr>
              <w:t>assessed</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 xml:space="preserve">a 1 if it was </w:t>
            </w:r>
            <w:r>
              <w:rPr>
                <w:sz w:val="20"/>
              </w:rPr>
              <w:t>visible; then, the 1 or 0 value was multiplied by the eco impacts to increase the weighting of that factor for those who valued eco-signaling*</w:t>
            </w:r>
          </w:p>
        </w:tc>
      </w:tr>
      <w:tr w:rsidR="00C31389" w14:paraId="60A91D51" w14:textId="77777777">
        <w:trPr>
          <w:trHeight w:val="771"/>
        </w:trPr>
        <w:tc>
          <w:tcPr>
            <w:tcW w:w="1949" w:type="dxa"/>
            <w:tcBorders>
              <w:top w:val="single" w:color="D9D9D9" w:sz="2" w:space="0"/>
              <w:bottom w:val="single" w:color="000000" w:sz="8" w:space="0"/>
            </w:tcBorders>
          </w:tcPr>
          <w:p w:rsidR="00C31389" w:rsidRDefault="00561FBD" w14:paraId="51BFE27C" w14:textId="77777777">
            <w:pPr>
              <w:pStyle w:val="TableParagraph"/>
              <w:spacing w:before="155"/>
              <w:ind w:left="129"/>
              <w:rPr>
                <w:sz w:val="20"/>
              </w:rPr>
            </w:pPr>
            <w:r>
              <w:rPr>
                <w:spacing w:val="-2"/>
                <w:sz w:val="20"/>
              </w:rPr>
              <w:t>Non-conservation performance</w:t>
            </w:r>
          </w:p>
        </w:tc>
        <w:tc>
          <w:tcPr>
            <w:tcW w:w="2243" w:type="dxa"/>
            <w:tcBorders>
              <w:top w:val="single" w:color="D9D9D9" w:sz="2" w:space="0"/>
              <w:bottom w:val="single" w:color="000000" w:sz="8" w:space="0"/>
            </w:tcBorders>
          </w:tcPr>
          <w:p w:rsidR="00C31389" w:rsidRDefault="00561FBD" w14:paraId="49609CD2" w14:textId="77777777">
            <w:pPr>
              <w:pStyle w:val="TableParagraph"/>
              <w:spacing w:before="135" w:line="283" w:lineRule="auto"/>
              <w:ind w:left="250" w:right="644"/>
              <w:rPr>
                <w:sz w:val="20"/>
              </w:rPr>
            </w:pPr>
            <w:r>
              <w:rPr>
                <w:sz w:val="20"/>
              </w:rPr>
              <w:t>1</w:t>
            </w:r>
            <w:r>
              <w:rPr>
                <w:spacing w:val="-13"/>
                <w:sz w:val="20"/>
              </w:rPr>
              <w:t xml:space="preserve"> </w:t>
            </w:r>
            <w:r>
              <w:rPr>
                <w:sz w:val="20"/>
              </w:rPr>
              <w:t>=</w:t>
            </w:r>
            <w:r>
              <w:rPr>
                <w:spacing w:val="-12"/>
                <w:sz w:val="20"/>
              </w:rPr>
              <w:t xml:space="preserve"> </w:t>
            </w:r>
            <w:r>
              <w:rPr>
                <w:sz w:val="20"/>
              </w:rPr>
              <w:t>High</w:t>
            </w:r>
            <w:r>
              <w:rPr>
                <w:spacing w:val="-13"/>
                <w:sz w:val="20"/>
              </w:rPr>
              <w:t xml:space="preserve"> </w:t>
            </w:r>
            <w:r>
              <w:rPr>
                <w:sz w:val="20"/>
              </w:rPr>
              <w:t>touch 0</w:t>
            </w:r>
            <w:r>
              <w:rPr>
                <w:spacing w:val="-2"/>
                <w:sz w:val="20"/>
              </w:rPr>
              <w:t xml:space="preserve"> </w:t>
            </w:r>
            <w:r>
              <w:rPr>
                <w:sz w:val="20"/>
              </w:rPr>
              <w:t>=</w:t>
            </w:r>
            <w:r>
              <w:rPr>
                <w:spacing w:val="-1"/>
                <w:sz w:val="20"/>
              </w:rPr>
              <w:t xml:space="preserve"> </w:t>
            </w:r>
            <w:r>
              <w:rPr>
                <w:sz w:val="20"/>
              </w:rPr>
              <w:t xml:space="preserve">Low </w:t>
            </w:r>
            <w:r>
              <w:rPr>
                <w:spacing w:val="-2"/>
                <w:sz w:val="20"/>
              </w:rPr>
              <w:t>touch</w:t>
            </w:r>
          </w:p>
        </w:tc>
        <w:tc>
          <w:tcPr>
            <w:tcW w:w="5183" w:type="dxa"/>
            <w:tcBorders>
              <w:top w:val="single" w:color="D9D9D9" w:sz="2" w:space="0"/>
              <w:bottom w:val="single" w:color="000000" w:sz="8" w:space="0"/>
            </w:tcBorders>
          </w:tcPr>
          <w:p w:rsidR="00C31389" w:rsidRDefault="00561FBD" w14:paraId="1A6CF2BE" w14:textId="77777777">
            <w:pPr>
              <w:pStyle w:val="TableParagraph"/>
              <w:ind w:left="167" w:right="171"/>
              <w:rPr>
                <w:sz w:val="20"/>
              </w:rPr>
            </w:pPr>
            <w:r>
              <w:rPr>
                <w:sz w:val="20"/>
              </w:rPr>
              <w:t>Qualitatively</w:t>
            </w:r>
            <w:r>
              <w:rPr>
                <w:spacing w:val="-5"/>
                <w:sz w:val="20"/>
              </w:rPr>
              <w:t xml:space="preserve"> </w:t>
            </w:r>
            <w:r>
              <w:rPr>
                <w:sz w:val="20"/>
              </w:rPr>
              <w:t>assessed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w:t>
            </w:r>
            <w:r>
              <w:rPr>
                <w:spacing w:val="-5"/>
                <w:sz w:val="20"/>
              </w:rPr>
              <w:t xml:space="preserve"> </w:t>
            </w:r>
            <w:r>
              <w:rPr>
                <w:sz w:val="20"/>
              </w:rPr>
              <w:t>1</w:t>
            </w:r>
            <w:r>
              <w:rPr>
                <w:spacing w:val="-5"/>
                <w:sz w:val="20"/>
              </w:rPr>
              <w:t xml:space="preserve"> </w:t>
            </w:r>
            <w:r>
              <w:rPr>
                <w:sz w:val="20"/>
              </w:rPr>
              <w:t>if</w:t>
            </w:r>
            <w:r>
              <w:rPr>
                <w:spacing w:val="-5"/>
                <w:sz w:val="20"/>
              </w:rPr>
              <w:t xml:space="preserve"> </w:t>
            </w:r>
            <w:r>
              <w:rPr>
                <w:sz w:val="20"/>
              </w:rPr>
              <w:t>the</w:t>
            </w:r>
            <w:r>
              <w:rPr>
                <w:spacing w:val="-5"/>
                <w:sz w:val="20"/>
              </w:rPr>
              <w:t xml:space="preserve"> </w:t>
            </w:r>
            <w:r>
              <w:rPr>
                <w:sz w:val="20"/>
              </w:rPr>
              <w:t>technology</w:t>
            </w:r>
            <w:r>
              <w:rPr>
                <w:spacing w:val="-5"/>
                <w:sz w:val="20"/>
              </w:rPr>
              <w:t xml:space="preserve"> </w:t>
            </w:r>
            <w:r>
              <w:rPr>
                <w:sz w:val="20"/>
              </w:rPr>
              <w:t>was</w:t>
            </w:r>
            <w:r>
              <w:rPr>
                <w:sz w:val="20"/>
              </w:rPr>
              <w:t xml:space="preserve"> both visible in the space AND customers interacted with it relatively frequently (e.g., refrigerator)</w:t>
            </w:r>
          </w:p>
        </w:tc>
      </w:tr>
    </w:tbl>
    <w:p w:rsidR="00C31389" w:rsidRDefault="00561FBD" w14:paraId="52D69267" w14:textId="77777777">
      <w:pPr>
        <w:spacing w:before="71"/>
        <w:ind w:left="480"/>
        <w:rPr>
          <w:sz w:val="18"/>
        </w:rPr>
      </w:pPr>
      <w:r>
        <w:rPr>
          <w:sz w:val="18"/>
        </w:rPr>
        <w:t>*Indicates</w:t>
      </w:r>
      <w:r>
        <w:rPr>
          <w:spacing w:val="-5"/>
          <w:sz w:val="18"/>
        </w:rPr>
        <w:t xml:space="preserve"> </w:t>
      </w:r>
      <w:r>
        <w:rPr>
          <w:sz w:val="18"/>
        </w:rPr>
        <w:t>technology</w:t>
      </w:r>
      <w:r>
        <w:rPr>
          <w:spacing w:val="-3"/>
          <w:sz w:val="18"/>
        </w:rPr>
        <w:t xml:space="preserve"> </w:t>
      </w:r>
      <w:r>
        <w:rPr>
          <w:sz w:val="18"/>
        </w:rPr>
        <w:t>characterization</w:t>
      </w:r>
      <w:r>
        <w:rPr>
          <w:spacing w:val="-3"/>
          <w:sz w:val="18"/>
        </w:rPr>
        <w:t xml:space="preserve"> </w:t>
      </w:r>
      <w:r>
        <w:rPr>
          <w:sz w:val="18"/>
        </w:rPr>
        <w:t>data</w:t>
      </w:r>
      <w:r>
        <w:rPr>
          <w:spacing w:val="-4"/>
          <w:sz w:val="18"/>
        </w:rPr>
        <w:t xml:space="preserve"> </w:t>
      </w:r>
      <w:r>
        <w:rPr>
          <w:sz w:val="18"/>
        </w:rPr>
        <w:t>was</w:t>
      </w:r>
      <w:r>
        <w:rPr>
          <w:spacing w:val="-3"/>
          <w:sz w:val="18"/>
        </w:rPr>
        <w:t xml:space="preserve"> </w:t>
      </w:r>
      <w:r>
        <w:rPr>
          <w:sz w:val="18"/>
        </w:rPr>
        <w:t>used</w:t>
      </w:r>
      <w:r>
        <w:rPr>
          <w:spacing w:val="-3"/>
          <w:sz w:val="18"/>
        </w:rPr>
        <w:t xml:space="preserve"> </w:t>
      </w:r>
      <w:r>
        <w:rPr>
          <w:sz w:val="18"/>
        </w:rPr>
        <w:t>to</w:t>
      </w:r>
      <w:r>
        <w:rPr>
          <w:spacing w:val="-4"/>
          <w:sz w:val="18"/>
        </w:rPr>
        <w:t xml:space="preserve"> </w:t>
      </w:r>
      <w:r>
        <w:rPr>
          <w:sz w:val="18"/>
        </w:rPr>
        <w:t>calculate</w:t>
      </w:r>
      <w:r>
        <w:rPr>
          <w:spacing w:val="-3"/>
          <w:sz w:val="18"/>
        </w:rPr>
        <w:t xml:space="preserve"> </w:t>
      </w:r>
      <w:r>
        <w:rPr>
          <w:sz w:val="18"/>
        </w:rPr>
        <w:t>the</w:t>
      </w:r>
      <w:r>
        <w:rPr>
          <w:spacing w:val="-4"/>
          <w:sz w:val="18"/>
        </w:rPr>
        <w:t xml:space="preserve"> </w:t>
      </w:r>
      <w:r>
        <w:rPr>
          <w:sz w:val="18"/>
        </w:rPr>
        <w:t>associated</w:t>
      </w:r>
      <w:r>
        <w:rPr>
          <w:spacing w:val="-3"/>
          <w:sz w:val="18"/>
        </w:rPr>
        <w:t xml:space="preserve"> </w:t>
      </w:r>
      <w:r>
        <w:rPr>
          <w:spacing w:val="-2"/>
          <w:sz w:val="18"/>
        </w:rPr>
        <w:t>value.</w:t>
      </w:r>
    </w:p>
    <w:p w:rsidR="00C31389" w:rsidRDefault="00561FBD" w14:paraId="0CBB5B6D" w14:textId="77777777">
      <w:pPr>
        <w:spacing w:before="61"/>
        <w:ind w:left="480"/>
        <w:rPr>
          <w:i/>
          <w:sz w:val="18"/>
        </w:rPr>
      </w:pPr>
      <w:r>
        <w:rPr>
          <w:i/>
          <w:sz w:val="18"/>
        </w:rPr>
        <w:t>Source:</w:t>
      </w:r>
      <w:r>
        <w:rPr>
          <w:i/>
          <w:spacing w:val="-4"/>
          <w:sz w:val="18"/>
        </w:rPr>
        <w:t xml:space="preserve"> </w:t>
      </w:r>
      <w:r>
        <w:rPr>
          <w:i/>
          <w:spacing w:val="-2"/>
          <w:sz w:val="18"/>
        </w:rPr>
        <w:t>Guidehouse</w:t>
      </w:r>
    </w:p>
    <w:p w:rsidR="00C31389" w:rsidRDefault="00C31389" w14:paraId="0AAF2E8E" w14:textId="77777777">
      <w:pPr>
        <w:pStyle w:val="BodyText"/>
        <w:spacing w:before="9"/>
        <w:rPr>
          <w:i/>
          <w:sz w:val="20"/>
        </w:rPr>
      </w:pPr>
    </w:p>
    <w:p w:rsidR="00C31389" w:rsidRDefault="00561FBD" w14:paraId="7D99BBC6" w14:textId="77777777">
      <w:pPr>
        <w:pStyle w:val="BodyText"/>
        <w:ind w:left="480" w:right="521"/>
      </w:pPr>
      <w:r>
        <w:t xml:space="preserve">The team then converted the </w:t>
      </w:r>
      <w:r>
        <w:t>technology characteristics associated with each value factor to a dimensionless, normalized technology characteristic by dividing the value of the technology by the</w:t>
      </w:r>
      <w:r>
        <w:rPr>
          <w:spacing w:val="-3"/>
        </w:rPr>
        <w:t xml:space="preserve"> </w:t>
      </w:r>
      <w:r>
        <w:t>average</w:t>
      </w:r>
      <w:r>
        <w:rPr>
          <w:spacing w:val="-4"/>
        </w:rPr>
        <w:t xml:space="preserve"> </w:t>
      </w:r>
      <w:r>
        <w:t>value</w:t>
      </w:r>
      <w:r>
        <w:rPr>
          <w:spacing w:val="-3"/>
        </w:rPr>
        <w:t xml:space="preserve"> </w:t>
      </w:r>
      <w:r>
        <w:t>of</w:t>
      </w:r>
      <w:r>
        <w:rPr>
          <w:spacing w:val="-3"/>
        </w:rPr>
        <w:t xml:space="preserve"> </w:t>
      </w:r>
      <w:r>
        <w:t>the</w:t>
      </w:r>
      <w:r>
        <w:rPr>
          <w:spacing w:val="-4"/>
        </w:rPr>
        <w:t xml:space="preserve"> </w:t>
      </w:r>
      <w:r>
        <w:t>CG.</w:t>
      </w:r>
      <w:r>
        <w:rPr>
          <w:spacing w:val="-3"/>
        </w:rPr>
        <w:t xml:space="preserve"> </w:t>
      </w:r>
      <w:r>
        <w:t>This</w:t>
      </w:r>
      <w:r>
        <w:rPr>
          <w:spacing w:val="-3"/>
        </w:rPr>
        <w:t xml:space="preserve"> </w:t>
      </w:r>
      <w:r>
        <w:t>value</w:t>
      </w:r>
      <w:r>
        <w:rPr>
          <w:spacing w:val="-3"/>
        </w:rPr>
        <w:t xml:space="preserve"> </w:t>
      </w:r>
      <w:r>
        <w:t>can</w:t>
      </w:r>
      <w:r>
        <w:rPr>
          <w:spacing w:val="-3"/>
        </w:rPr>
        <w:t xml:space="preserve"> </w:t>
      </w:r>
      <w:r>
        <w:t>be</w:t>
      </w:r>
      <w:r>
        <w:rPr>
          <w:spacing w:val="-3"/>
        </w:rPr>
        <w:t xml:space="preserve"> </w:t>
      </w:r>
      <w:r>
        <w:t>interpreted</w:t>
      </w:r>
      <w:r>
        <w:rPr>
          <w:spacing w:val="-3"/>
        </w:rPr>
        <w:t xml:space="preserve"> </w:t>
      </w:r>
      <w:r>
        <w:t>as</w:t>
      </w:r>
      <w:r>
        <w:rPr>
          <w:spacing w:val="-4"/>
        </w:rPr>
        <w:t xml:space="preserve"> </w:t>
      </w:r>
      <w:r>
        <w:t>the</w:t>
      </w:r>
      <w:r>
        <w:rPr>
          <w:spacing w:val="-3"/>
        </w:rPr>
        <w:t xml:space="preserve"> </w:t>
      </w:r>
      <w:r>
        <w:t>relative</w:t>
      </w:r>
      <w:r>
        <w:rPr>
          <w:spacing w:val="-4"/>
        </w:rPr>
        <w:t xml:space="preserve"> </w:t>
      </w:r>
      <w:r>
        <w:t>characteristic</w:t>
      </w:r>
      <w:r>
        <w:rPr>
          <w:spacing w:val="-3"/>
        </w:rPr>
        <w:t xml:space="preserve"> </w:t>
      </w:r>
      <w:r>
        <w:t>value</w:t>
      </w:r>
      <w:r>
        <w:rPr>
          <w:spacing w:val="-3"/>
        </w:rPr>
        <w:t xml:space="preserve"> </w:t>
      </w:r>
      <w:r>
        <w:t xml:space="preserve">of the technology compared to the other CG measures, as </w:t>
      </w:r>
      <w:hyperlink w:history="1" w:anchor="_bookmark58">
        <w:r>
          <w:t>Equation 2-1</w:t>
        </w:r>
      </w:hyperlink>
      <w:r>
        <w:t xml:space="preserve"> shows. Further</w:t>
      </w:r>
      <w:r>
        <w:rPr>
          <w:spacing w:val="40"/>
        </w:rPr>
        <w:t xml:space="preserve"> </w:t>
      </w:r>
      <w:r>
        <w:t xml:space="preserve">description of the CG analysis in calculating market share is shown in </w:t>
      </w:r>
      <w:hyperlink w:history="1" w:anchor="_bookmark59">
        <w:r>
          <w:t xml:space="preserve">Figure </w:t>
        </w:r>
        <w:r>
          <w:t>2-6.</w:t>
        </w:r>
      </w:hyperlink>
    </w:p>
    <w:p w:rsidR="00C31389" w:rsidRDefault="00C31389" w14:paraId="0DC591FE" w14:textId="77777777">
      <w:pPr>
        <w:sectPr w:rsidR="00C31389">
          <w:headerReference w:type="default" r:id="rId74"/>
          <w:footerReference w:type="default" r:id="rId75"/>
          <w:pgSz w:w="12240" w:h="15840"/>
          <w:pgMar w:top="1660" w:right="960" w:bottom="1120" w:left="960" w:header="397" w:footer="936" w:gutter="0"/>
          <w:cols w:space="720"/>
        </w:sectPr>
      </w:pPr>
    </w:p>
    <w:p w:rsidR="00C31389" w:rsidRDefault="00C31389" w14:paraId="6F7E88E0" w14:textId="77777777">
      <w:pPr>
        <w:pStyle w:val="BodyText"/>
        <w:spacing w:before="11"/>
        <w:rPr>
          <w:sz w:val="13"/>
        </w:rPr>
      </w:pPr>
    </w:p>
    <w:p w:rsidR="00C31389" w:rsidRDefault="00561FBD" w14:paraId="6455DDC7" w14:textId="77777777">
      <w:pPr>
        <w:pStyle w:val="Heading7"/>
        <w:spacing w:before="92"/>
        <w:ind w:left="566" w:right="566"/>
        <w:jc w:val="center"/>
      </w:pPr>
      <w:bookmarkStart w:name="_bookmark58" w:id="74"/>
      <w:bookmarkEnd w:id="74"/>
      <w:r>
        <w:t>Equation</w:t>
      </w:r>
      <w:r>
        <w:rPr>
          <w:spacing w:val="-13"/>
        </w:rPr>
        <w:t xml:space="preserve"> </w:t>
      </w:r>
      <w:r>
        <w:t>2-1.</w:t>
      </w:r>
      <w:r>
        <w:rPr>
          <w:spacing w:val="-12"/>
        </w:rPr>
        <w:t xml:space="preserve"> </w:t>
      </w:r>
      <w:r>
        <w:t>Normalized</w:t>
      </w:r>
      <w:r>
        <w:rPr>
          <w:spacing w:val="-12"/>
        </w:rPr>
        <w:t xml:space="preserve"> </w:t>
      </w:r>
      <w:r>
        <w:t>Technology</w:t>
      </w:r>
      <w:r>
        <w:rPr>
          <w:spacing w:val="-12"/>
        </w:rPr>
        <w:t xml:space="preserve"> </w:t>
      </w:r>
      <w:r>
        <w:t>Characteristic</w:t>
      </w:r>
      <w:r>
        <w:rPr>
          <w:spacing w:val="-12"/>
        </w:rPr>
        <w:t xml:space="preserve"> </w:t>
      </w:r>
      <w:r>
        <w:rPr>
          <w:spacing w:val="-2"/>
        </w:rPr>
        <w:t>Calculation</w:t>
      </w:r>
    </w:p>
    <w:p w:rsidR="00C31389" w:rsidRDefault="00561FBD" w14:paraId="4D2A046B" w14:textId="77777777">
      <w:pPr>
        <w:pStyle w:val="BodyText"/>
        <w:spacing w:before="99" w:line="205" w:lineRule="exact"/>
        <w:ind w:left="5497"/>
        <w:rPr>
          <w:rFonts w:ascii="Cambria Math" w:hAnsi="Cambria Math" w:eastAsia="Cambria Math"/>
        </w:rPr>
      </w:pPr>
      <w:r>
        <w:rPr>
          <w:rFonts w:ascii="Cambria Math" w:hAnsi="Cambria Math" w:eastAsia="Cambria Math"/>
          <w:w w:val="40"/>
        </w:rPr>
        <w:t>𝐶𝐶</w:t>
      </w:r>
      <w:r>
        <w:rPr>
          <w:rFonts w:ascii="Cambria Math" w:hAnsi="Cambria Math" w:eastAsia="Cambria Math"/>
          <w:w w:val="40"/>
        </w:rPr>
        <w:t>ℎ</w:t>
      </w:r>
      <w:r>
        <w:rPr>
          <w:rFonts w:ascii="Cambria Math" w:hAnsi="Cambria Math" w:eastAsia="Cambria Math"/>
          <w:w w:val="40"/>
        </w:rPr>
        <w:t>𝑇𝑇𝐸𝐸𝑇𝑇𝐶𝐶𝑇𝑇𝑆𝑆𝐸𝐸𝐵𝐵𝑆𝑆𝑇𝑇𝐵𝐵𝐶𝐶</w:t>
      </w:r>
      <w:r>
        <w:rPr>
          <w:rFonts w:ascii="Cambria Math" w:hAnsi="Cambria Math" w:eastAsia="Cambria Math"/>
          <w:spacing w:val="61"/>
        </w:rPr>
        <w:t xml:space="preserve"> </w:t>
      </w:r>
      <w:r>
        <w:rPr>
          <w:rFonts w:ascii="Cambria Math" w:hAnsi="Cambria Math" w:eastAsia="Cambria Math"/>
          <w:w w:val="40"/>
        </w:rPr>
        <w:t>𝑉𝑉𝑇𝑇𝑇𝑇𝑆𝑆𝑆𝑆</w:t>
      </w:r>
      <w:r>
        <w:rPr>
          <w:rFonts w:ascii="Cambria Math" w:hAnsi="Cambria Math" w:eastAsia="Cambria Math"/>
          <w:spacing w:val="68"/>
        </w:rPr>
        <w:t xml:space="preserve"> </w:t>
      </w:r>
      <w:r>
        <w:rPr>
          <w:rFonts w:ascii="Cambria Math" w:hAnsi="Cambria Math" w:eastAsia="Cambria Math"/>
          <w:w w:val="40"/>
        </w:rPr>
        <w:t>(</w:t>
      </w:r>
      <w:r>
        <w:rPr>
          <w:rFonts w:ascii="Cambria Math" w:hAnsi="Cambria Math" w:eastAsia="Cambria Math"/>
          <w:w w:val="40"/>
        </w:rPr>
        <w:t>𝐵𝐵𝑇𝑇𝐸𝐸</w:t>
      </w:r>
      <w:r>
        <w:rPr>
          <w:rFonts w:ascii="Cambria Math" w:hAnsi="Cambria Math" w:eastAsia="Cambria Math"/>
          <w:spacing w:val="62"/>
        </w:rPr>
        <w:t xml:space="preserve"> </w:t>
      </w:r>
      <w:r>
        <w:rPr>
          <w:rFonts w:ascii="Cambria Math" w:hAnsi="Cambria Math" w:eastAsia="Cambria Math"/>
          <w:spacing w:val="-2"/>
          <w:w w:val="40"/>
        </w:rPr>
        <w:t>𝑆𝑆𝑆𝑆𝑇𝑇𝑆𝑆𝑆𝑆𝐸𝐸𝑆𝑆</w:t>
      </w:r>
      <w:r>
        <w:rPr>
          <w:rFonts w:ascii="Cambria Math" w:hAnsi="Cambria Math" w:eastAsia="Cambria Math"/>
          <w:spacing w:val="-2"/>
          <w:w w:val="40"/>
        </w:rPr>
        <w:t>)</w:t>
      </w:r>
    </w:p>
    <w:p w:rsidR="00C31389" w:rsidRDefault="00C31389" w14:paraId="5FF850A4" w14:textId="77777777">
      <w:pPr>
        <w:spacing w:line="205" w:lineRule="exact"/>
        <w:rPr>
          <w:rFonts w:ascii="Cambria Math" w:hAnsi="Cambria Math" w:eastAsia="Cambria Math"/>
        </w:rPr>
        <w:sectPr w:rsidR="00C31389">
          <w:pgSz w:w="12240" w:h="15840"/>
          <w:pgMar w:top="1660" w:right="960" w:bottom="1120" w:left="960" w:header="397" w:footer="936" w:gutter="0"/>
          <w:cols w:space="720"/>
        </w:sectPr>
      </w:pPr>
    </w:p>
    <w:p w:rsidR="00C31389" w:rsidRDefault="00561FBD" w14:paraId="543A8043" w14:textId="77777777">
      <w:pPr>
        <w:pStyle w:val="BodyText"/>
        <w:spacing w:line="220" w:lineRule="exact"/>
        <w:ind w:left="985"/>
        <w:rPr>
          <w:rFonts w:ascii="Cambria Math" w:hAnsi="Cambria Math" w:eastAsia="Cambria Math"/>
        </w:rPr>
      </w:pPr>
      <w:r>
        <w:rPr>
          <w:rFonts w:ascii="Cambria Math" w:hAnsi="Cambria Math" w:eastAsia="Cambria Math"/>
          <w:spacing w:val="2"/>
          <w:w w:val="40"/>
        </w:rPr>
        <w:t>𝑁𝑁𝑇𝑇𝐸𝐸𝑆𝑆𝑇𝑇𝑇𝑇𝐵𝐵𝑁𝑁𝑆𝑆𝐴𝐴</w:t>
      </w:r>
      <w:r>
        <w:rPr>
          <w:rFonts w:ascii="Cambria Math" w:hAnsi="Cambria Math" w:eastAsia="Cambria Math"/>
          <w:spacing w:val="26"/>
        </w:rPr>
        <w:t xml:space="preserve"> </w:t>
      </w:r>
      <w:r>
        <w:rPr>
          <w:rFonts w:ascii="Cambria Math" w:hAnsi="Cambria Math" w:eastAsia="Cambria Math"/>
          <w:spacing w:val="2"/>
          <w:w w:val="40"/>
        </w:rPr>
        <w:t>𝑇𝑇𝑆𝑆𝐶𝐶</w:t>
      </w:r>
      <w:r>
        <w:rPr>
          <w:rFonts w:ascii="Cambria Math" w:hAnsi="Cambria Math" w:eastAsia="Cambria Math"/>
          <w:spacing w:val="2"/>
          <w:w w:val="40"/>
        </w:rPr>
        <w:t>ℎ</w:t>
      </w:r>
      <w:r>
        <w:rPr>
          <w:rFonts w:ascii="Cambria Math" w:hAnsi="Cambria Math" w:eastAsia="Cambria Math"/>
          <w:spacing w:val="2"/>
          <w:w w:val="40"/>
        </w:rPr>
        <w:t>𝐵𝐵𝑇𝑇𝑇𝑇𝑇𝑇𝐸𝐸𝑆𝑆</w:t>
      </w:r>
      <w:r>
        <w:rPr>
          <w:rFonts w:ascii="Cambria Math" w:hAnsi="Cambria Math" w:eastAsia="Cambria Math"/>
          <w:spacing w:val="23"/>
        </w:rPr>
        <w:t xml:space="preserve"> </w:t>
      </w:r>
      <w:r>
        <w:rPr>
          <w:rFonts w:ascii="Cambria Math" w:hAnsi="Cambria Math" w:eastAsia="Cambria Math"/>
          <w:spacing w:val="2"/>
          <w:w w:val="40"/>
        </w:rPr>
        <w:t>𝐶𝐶</w:t>
      </w:r>
      <w:r>
        <w:rPr>
          <w:rFonts w:ascii="Cambria Math" w:hAnsi="Cambria Math" w:eastAsia="Cambria Math"/>
          <w:spacing w:val="2"/>
          <w:w w:val="40"/>
        </w:rPr>
        <w:t>ℎ</w:t>
      </w:r>
      <w:r>
        <w:rPr>
          <w:rFonts w:ascii="Cambria Math" w:hAnsi="Cambria Math" w:eastAsia="Cambria Math"/>
          <w:spacing w:val="2"/>
          <w:w w:val="40"/>
        </w:rPr>
        <w:t>𝑇𝑇𝐸𝐸𝑇𝑇𝐶𝐶𝑇𝑇𝑆𝑆𝐸𝐸𝐵𝐵𝑆𝑆𝑇𝑇𝐵𝐵𝐶𝐶</w:t>
      </w:r>
      <w:r>
        <w:rPr>
          <w:rFonts w:ascii="Cambria Math" w:hAnsi="Cambria Math" w:eastAsia="Cambria Math"/>
          <w:spacing w:val="44"/>
        </w:rPr>
        <w:t xml:space="preserve"> </w:t>
      </w:r>
      <w:r>
        <w:rPr>
          <w:rFonts w:ascii="Cambria Math" w:hAnsi="Cambria Math" w:eastAsia="Cambria Math"/>
          <w:spacing w:val="-10"/>
          <w:w w:val="40"/>
        </w:rPr>
        <w:t>=</w:t>
      </w:r>
    </w:p>
    <w:p w:rsidR="00C31389" w:rsidRDefault="00561FBD" w14:paraId="63577EA0" w14:textId="77777777">
      <w:pPr>
        <w:spacing w:before="5" w:after="25"/>
        <w:rPr>
          <w:rFonts w:ascii="Cambria Math"/>
          <w:sz w:val="6"/>
        </w:rPr>
      </w:pPr>
      <w:r>
        <w:br w:type="column"/>
      </w:r>
    </w:p>
    <w:p w:rsidR="00C31389" w:rsidRDefault="00561FBD" w14:paraId="0DD22E66" w14:textId="77777777">
      <w:pPr>
        <w:pStyle w:val="BodyText"/>
        <w:ind w:left="71"/>
        <w:rPr>
          <w:rFonts w:ascii="Cambria Math" w:hAnsi="Cambria Math" w:eastAsia="Cambria Math"/>
        </w:rPr>
      </w:pPr>
      <w:r>
        <w:rPr>
          <w:rFonts w:ascii="Cambria Math" w:hAnsi="Cambria Math" w:eastAsia="Cambria Math"/>
          <w:spacing w:val="2"/>
          <w:w w:val="40"/>
        </w:rPr>
        <w:t>𝐴𝐴𝐴𝐴𝑆𝑆𝐸𝐸𝑇𝑇𝐸𝐸𝑆𝑆</w:t>
      </w:r>
      <w:r>
        <w:rPr>
          <w:rFonts w:ascii="Cambria Math" w:hAnsi="Cambria Math" w:eastAsia="Cambria Math"/>
          <w:spacing w:val="17"/>
        </w:rPr>
        <w:t xml:space="preserve"> </w:t>
      </w:r>
      <w:r>
        <w:rPr>
          <w:rFonts w:ascii="Cambria Math" w:hAnsi="Cambria Math" w:eastAsia="Cambria Math"/>
          <w:spacing w:val="2"/>
          <w:w w:val="40"/>
        </w:rPr>
        <w:t>𝐶𝐶</w:t>
      </w:r>
      <w:r>
        <w:rPr>
          <w:rFonts w:ascii="Cambria Math" w:hAnsi="Cambria Math" w:eastAsia="Cambria Math"/>
          <w:spacing w:val="2"/>
          <w:w w:val="40"/>
        </w:rPr>
        <w:t>ℎ</w:t>
      </w:r>
      <w:r>
        <w:rPr>
          <w:rFonts w:ascii="Cambria Math" w:hAnsi="Cambria Math" w:eastAsia="Cambria Math"/>
          <w:spacing w:val="2"/>
          <w:w w:val="40"/>
        </w:rPr>
        <w:t>𝑇𝑇𝐸𝐸𝑇𝑇𝐶𝐶𝑇𝑇𝑆𝑆𝐸𝐸𝐵𝐵𝑆𝑆𝑇𝑇𝐵𝐵𝐶𝐶</w:t>
      </w:r>
      <w:r>
        <w:rPr>
          <w:rFonts w:ascii="Cambria Math" w:hAnsi="Cambria Math" w:eastAsia="Cambria Math"/>
          <w:spacing w:val="18"/>
        </w:rPr>
        <w:t xml:space="preserve"> </w:t>
      </w:r>
      <w:r>
        <w:rPr>
          <w:rFonts w:ascii="Cambria Math" w:hAnsi="Cambria Math" w:eastAsia="Cambria Math"/>
          <w:spacing w:val="2"/>
          <w:w w:val="40"/>
        </w:rPr>
        <w:t>𝑉𝑉𝑇𝑇𝑇𝑇𝑆𝑆𝑆𝑆</w:t>
      </w:r>
      <w:r>
        <w:rPr>
          <w:rFonts w:ascii="Cambria Math" w:hAnsi="Cambria Math" w:eastAsia="Cambria Math"/>
          <w:spacing w:val="21"/>
        </w:rPr>
        <w:t xml:space="preserve"> </w:t>
      </w:r>
      <w:r>
        <w:rPr>
          <w:rFonts w:ascii="Cambria Math" w:hAnsi="Cambria Math" w:eastAsia="Cambria Math"/>
          <w:spacing w:val="2"/>
          <w:w w:val="40"/>
        </w:rPr>
        <w:t>(</w:t>
      </w:r>
      <w:r>
        <w:rPr>
          <w:rFonts w:ascii="Cambria Math" w:hAnsi="Cambria Math" w:eastAsia="Cambria Math"/>
          <w:spacing w:val="2"/>
          <w:w w:val="40"/>
        </w:rPr>
        <w:t>𝑇𝑇𝐶𝐶𝐸𝐸𝑇𝑇𝑆𝑆𝑆𝑆</w:t>
      </w:r>
      <w:r>
        <w:rPr>
          <w:rFonts w:ascii="Cambria Math" w:hAnsi="Cambria Math" w:eastAsia="Cambria Math"/>
          <w:spacing w:val="18"/>
        </w:rPr>
        <w:t xml:space="preserve"> </w:t>
      </w:r>
      <w:r>
        <w:rPr>
          <w:rFonts w:ascii="Cambria Math" w:hAnsi="Cambria Math" w:eastAsia="Cambria Math"/>
          <w:spacing w:val="-2"/>
          <w:w w:val="40"/>
        </w:rPr>
        <w:t>𝐶𝐶𝐶𝐶</w:t>
      </w:r>
      <w:r>
        <w:rPr>
          <w:rFonts w:ascii="Cambria Math" w:hAnsi="Cambria Math" w:eastAsia="Cambria Math"/>
          <w:spacing w:val="-2"/>
          <w:w w:val="40"/>
        </w:rPr>
        <w:t>)</w:t>
      </w:r>
    </w:p>
    <w:p w:rsidR="00C31389" w:rsidRDefault="00C31389" w14:paraId="534AB813" w14:textId="77777777">
      <w:pPr>
        <w:rPr>
          <w:rFonts w:ascii="Cambria Math" w:hAnsi="Cambria Math" w:eastAsia="Cambria Math"/>
        </w:rPr>
        <w:sectPr w:rsidR="00C31389">
          <w:type w:val="continuous"/>
          <w:pgSz w:w="12240" w:h="15840"/>
          <w:pgMar w:top="0" w:right="960" w:bottom="280" w:left="960" w:header="397" w:footer="936" w:gutter="0"/>
          <w:cols w:equalWidth="0" w:space="720" w:num="2">
            <w:col w:w="5082" w:space="40"/>
            <w:col w:w="5198"/>
          </w:cols>
        </w:sectPr>
      </w:pPr>
    </w:p>
    <w:p w:rsidR="00C31389" w:rsidRDefault="00C31389" w14:paraId="74849381" w14:textId="77777777">
      <w:pPr>
        <w:pStyle w:val="BodyText"/>
        <w:rPr>
          <w:rFonts w:ascii="Cambria Math"/>
          <w:sz w:val="20"/>
        </w:rPr>
      </w:pPr>
    </w:p>
    <w:p w:rsidR="00C31389" w:rsidRDefault="00C31389" w14:paraId="1D1BBD91" w14:textId="77777777">
      <w:pPr>
        <w:pStyle w:val="BodyText"/>
        <w:spacing w:before="11"/>
        <w:rPr>
          <w:rFonts w:ascii="Cambria Math"/>
          <w:sz w:val="20"/>
        </w:rPr>
      </w:pPr>
    </w:p>
    <w:p w:rsidR="00C31389" w:rsidRDefault="00561FBD" w14:paraId="4C442756" w14:textId="77777777">
      <w:pPr>
        <w:pStyle w:val="BodyText"/>
        <w:ind w:left="480" w:right="533"/>
      </w:pPr>
      <w:r>
        <w:t>For</w:t>
      </w:r>
      <w:r>
        <w:rPr>
          <w:spacing w:val="-4"/>
        </w:rPr>
        <w:t xml:space="preserve"> </w:t>
      </w:r>
      <w:r>
        <w:t>each</w:t>
      </w:r>
      <w:r>
        <w:rPr>
          <w:spacing w:val="-4"/>
        </w:rPr>
        <w:t xml:space="preserve"> </w:t>
      </w:r>
      <w:r>
        <w:t>technology</w:t>
      </w:r>
      <w:r>
        <w:rPr>
          <w:spacing w:val="-4"/>
        </w:rPr>
        <w:t xml:space="preserve"> </w:t>
      </w:r>
      <w:r>
        <w:t>and</w:t>
      </w:r>
      <w:r>
        <w:rPr>
          <w:spacing w:val="-5"/>
        </w:rPr>
        <w:t xml:space="preserve"> </w:t>
      </w:r>
      <w:r>
        <w:t>cus</w:t>
      </w:r>
      <w:r>
        <w:t>tomer</w:t>
      </w:r>
      <w:r>
        <w:rPr>
          <w:spacing w:val="-4"/>
        </w:rPr>
        <w:t xml:space="preserve"> </w:t>
      </w:r>
      <w:r>
        <w:t>group,</w:t>
      </w:r>
      <w:r>
        <w:rPr>
          <w:spacing w:val="-4"/>
        </w:rPr>
        <w:t xml:space="preserve"> </w:t>
      </w:r>
      <w:r>
        <w:t>the</w:t>
      </w:r>
      <w:r>
        <w:rPr>
          <w:spacing w:val="-4"/>
        </w:rPr>
        <w:t xml:space="preserve"> </w:t>
      </w:r>
      <w:r>
        <w:t>Guidehouse</w:t>
      </w:r>
      <w:r>
        <w:rPr>
          <w:spacing w:val="-3"/>
        </w:rPr>
        <w:t xml:space="preserve"> </w:t>
      </w:r>
      <w:r>
        <w:t>team</w:t>
      </w:r>
      <w:r>
        <w:rPr>
          <w:spacing w:val="-5"/>
        </w:rPr>
        <w:t xml:space="preserve"> </w:t>
      </w:r>
      <w:r>
        <w:t>generated</w:t>
      </w:r>
      <w:r>
        <w:rPr>
          <w:spacing w:val="-4"/>
        </w:rPr>
        <w:t xml:space="preserve"> </w:t>
      </w:r>
      <w:r>
        <w:t>weighted</w:t>
      </w:r>
      <w:r>
        <w:rPr>
          <w:spacing w:val="-4"/>
        </w:rPr>
        <w:t xml:space="preserve"> </w:t>
      </w:r>
      <w:r>
        <w:t>average characteristics by taking the sum-product of the customer preference weightings for that customer group and the normalized technology characteristics for that technology. This weighted average is the combined value that indicates the relative attra</w:t>
      </w:r>
      <w:r>
        <w:t xml:space="preserve">ctiveness of a technology compared to the other measures in its CG. </w:t>
      </w:r>
      <w:hyperlink w:history="1" w:anchor="_bookmark59">
        <w:r>
          <w:t>Figure 2-6</w:t>
        </w:r>
      </w:hyperlink>
      <w:r>
        <w:t xml:space="preserve"> shows how customer preference weightings and technology characteristics are combined and fed into the decision m</w:t>
      </w:r>
      <w:r>
        <w:t>odel, resulting in the market share calculation for each technology.</w:t>
      </w:r>
    </w:p>
    <w:p w:rsidR="00C31389" w:rsidRDefault="00C31389" w14:paraId="6DA5E8E7" w14:textId="77777777">
      <w:pPr>
        <w:pStyle w:val="BodyText"/>
        <w:spacing w:before="10"/>
        <w:rPr>
          <w:sz w:val="20"/>
        </w:rPr>
      </w:pPr>
    </w:p>
    <w:p w:rsidR="00C31389" w:rsidRDefault="00561FBD" w14:paraId="10E4DDE2" w14:textId="77777777">
      <w:pPr>
        <w:pStyle w:val="Heading7"/>
        <w:spacing w:before="1"/>
        <w:ind w:left="566" w:right="566"/>
        <w:jc w:val="center"/>
      </w:pPr>
      <w:bookmarkStart w:name="_bookmark59" w:id="75"/>
      <w:bookmarkEnd w:id="75"/>
      <w:r>
        <w:t>Figure</w:t>
      </w:r>
      <w:r>
        <w:rPr>
          <w:spacing w:val="-9"/>
        </w:rPr>
        <w:t xml:space="preserve"> </w:t>
      </w:r>
      <w:r>
        <w:t>2-6.</w:t>
      </w:r>
      <w:r>
        <w:rPr>
          <w:spacing w:val="-8"/>
        </w:rPr>
        <w:t xml:space="preserve"> </w:t>
      </w:r>
      <w:r>
        <w:t>Calculating</w:t>
      </w:r>
      <w:r>
        <w:rPr>
          <w:spacing w:val="-9"/>
        </w:rPr>
        <w:t xml:space="preserve"> </w:t>
      </w:r>
      <w:r>
        <w:t>Market</w:t>
      </w:r>
      <w:r>
        <w:rPr>
          <w:spacing w:val="-8"/>
        </w:rPr>
        <w:t xml:space="preserve"> </w:t>
      </w:r>
      <w:r>
        <w:rPr>
          <w:spacing w:val="-4"/>
        </w:rPr>
        <w:t>Share</w:t>
      </w:r>
    </w:p>
    <w:p w:rsidR="00C31389" w:rsidRDefault="00561FBD" w14:paraId="3720D33C" w14:textId="77777777">
      <w:pPr>
        <w:pStyle w:val="BodyText"/>
        <w:spacing w:before="7"/>
        <w:rPr>
          <w:b/>
          <w:sz w:val="27"/>
        </w:rPr>
      </w:pPr>
      <w:r>
        <w:rPr>
          <w:noProof/>
        </w:rPr>
        <w:drawing>
          <wp:anchor distT="0" distB="0" distL="0" distR="0" simplePos="0" relativeHeight="487610368" behindDoc="1" locked="0" layoutInCell="1" allowOverlap="1" wp14:editId="2E86AB9F" wp14:anchorId="64EE8C3B">
            <wp:simplePos x="0" y="0"/>
            <wp:positionH relativeFrom="page">
              <wp:posOffset>1325720</wp:posOffset>
            </wp:positionH>
            <wp:positionV relativeFrom="paragraph">
              <wp:posOffset>217312</wp:posOffset>
            </wp:positionV>
            <wp:extent cx="5123301" cy="3777996"/>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6" cstate="print"/>
                    <a:stretch>
                      <a:fillRect/>
                    </a:stretch>
                  </pic:blipFill>
                  <pic:spPr>
                    <a:xfrm>
                      <a:off x="0" y="0"/>
                      <a:ext cx="5123301" cy="3777996"/>
                    </a:xfrm>
                    <a:prstGeom prst="rect">
                      <a:avLst/>
                    </a:prstGeom>
                  </pic:spPr>
                </pic:pic>
              </a:graphicData>
            </a:graphic>
          </wp:anchor>
        </w:drawing>
      </w:r>
    </w:p>
    <w:p w:rsidR="00C31389" w:rsidRDefault="00561FBD" w14:paraId="01547E1E" w14:textId="77777777">
      <w:pPr>
        <w:spacing w:before="134"/>
        <w:ind w:left="480"/>
        <w:rPr>
          <w:i/>
          <w:sz w:val="18"/>
        </w:rPr>
      </w:pPr>
      <w:r>
        <w:rPr>
          <w:i/>
          <w:sz w:val="18"/>
        </w:rPr>
        <w:t>Source:</w:t>
      </w:r>
      <w:r>
        <w:rPr>
          <w:i/>
          <w:spacing w:val="-4"/>
          <w:sz w:val="18"/>
        </w:rPr>
        <w:t xml:space="preserve"> </w:t>
      </w:r>
      <w:r>
        <w:rPr>
          <w:i/>
          <w:spacing w:val="-2"/>
          <w:sz w:val="18"/>
        </w:rPr>
        <w:t>Guidehouse</w:t>
      </w:r>
    </w:p>
    <w:p w:rsidR="00C31389" w:rsidRDefault="00C31389" w14:paraId="2176E5CB" w14:textId="77777777">
      <w:pPr>
        <w:pStyle w:val="BodyText"/>
        <w:spacing w:before="9"/>
        <w:rPr>
          <w:i/>
          <w:sz w:val="20"/>
        </w:rPr>
      </w:pPr>
    </w:p>
    <w:p w:rsidR="00C31389" w:rsidRDefault="00561FBD" w14:paraId="695A6C9E" w14:textId="77777777">
      <w:pPr>
        <w:pStyle w:val="BodyText"/>
        <w:ind w:left="479" w:right="533"/>
      </w:pPr>
      <w:hyperlink w:history="1" w:anchor="_bookmark60">
        <w:r>
          <w:t>Figure 2-7</w:t>
        </w:r>
      </w:hyperlink>
      <w:r>
        <w:t xml:space="preserve"> shows an example with values provided for customer p</w:t>
      </w:r>
      <w:r>
        <w:t>reference weights and normalized technology characteristics for two technologies within the same CG (the baseline and efficient technologies). The weighted averages for the efficient and baseline case are calculated by multiplying the customer preference w</w:t>
      </w:r>
      <w:r>
        <w:t>eights by the normalized technology characteristics.</w:t>
      </w:r>
      <w:r>
        <w:rPr>
          <w:spacing w:val="-4"/>
        </w:rPr>
        <w:t xml:space="preserve"> </w:t>
      </w:r>
      <w:r>
        <w:t>After</w:t>
      </w:r>
      <w:r>
        <w:rPr>
          <w:spacing w:val="-4"/>
        </w:rPr>
        <w:t xml:space="preserve"> </w:t>
      </w:r>
      <w:r>
        <w:t>running</w:t>
      </w:r>
      <w:r>
        <w:rPr>
          <w:spacing w:val="-4"/>
        </w:rPr>
        <w:t xml:space="preserve"> </w:t>
      </w:r>
      <w:r>
        <w:t>the</w:t>
      </w:r>
      <w:r>
        <w:rPr>
          <w:spacing w:val="-4"/>
        </w:rPr>
        <w:t xml:space="preserve"> </w:t>
      </w:r>
      <w:r>
        <w:t>resulting</w:t>
      </w:r>
      <w:r>
        <w:rPr>
          <w:spacing w:val="-4"/>
        </w:rPr>
        <w:t xml:space="preserve"> </w:t>
      </w:r>
      <w:r>
        <w:t>weighted</w:t>
      </w:r>
      <w:r>
        <w:rPr>
          <w:spacing w:val="-4"/>
        </w:rPr>
        <w:t xml:space="preserve"> </w:t>
      </w:r>
      <w:r>
        <w:t>averages</w:t>
      </w:r>
      <w:r>
        <w:rPr>
          <w:spacing w:val="-5"/>
        </w:rPr>
        <w:t xml:space="preserve"> </w:t>
      </w:r>
      <w:r>
        <w:t>through</w:t>
      </w:r>
      <w:r>
        <w:rPr>
          <w:spacing w:val="-4"/>
        </w:rPr>
        <w:t xml:space="preserve"> </w:t>
      </w:r>
      <w:r>
        <w:t>the</w:t>
      </w:r>
      <w:r>
        <w:rPr>
          <w:spacing w:val="-5"/>
        </w:rPr>
        <w:t xml:space="preserve"> </w:t>
      </w:r>
      <w:r>
        <w:t>logit</w:t>
      </w:r>
      <w:r>
        <w:rPr>
          <w:spacing w:val="-4"/>
        </w:rPr>
        <w:t xml:space="preserve"> </w:t>
      </w:r>
      <w:r>
        <w:t>decision</w:t>
      </w:r>
      <w:r>
        <w:rPr>
          <w:spacing w:val="-4"/>
        </w:rPr>
        <w:t xml:space="preserve"> </w:t>
      </w:r>
      <w:r>
        <w:t>model, the efficient technology in this example garners 60% of the market share within its CG.</w:t>
      </w:r>
    </w:p>
    <w:p w:rsidR="00C31389" w:rsidRDefault="00C31389" w14:paraId="4D05E6DE" w14:textId="77777777">
      <w:pPr>
        <w:sectPr w:rsidR="00C31389">
          <w:type w:val="continuous"/>
          <w:pgSz w:w="12240" w:h="15840"/>
          <w:pgMar w:top="0" w:right="960" w:bottom="280" w:left="960" w:header="397" w:footer="936" w:gutter="0"/>
          <w:cols w:space="720"/>
        </w:sectPr>
      </w:pPr>
    </w:p>
    <w:p w:rsidR="00C31389" w:rsidRDefault="00C31389" w14:paraId="76769F5F" w14:textId="77777777">
      <w:pPr>
        <w:pStyle w:val="BodyText"/>
        <w:spacing w:before="11"/>
        <w:rPr>
          <w:sz w:val="13"/>
        </w:rPr>
      </w:pPr>
    </w:p>
    <w:p w:rsidR="00C31389" w:rsidRDefault="00561FBD" w14:paraId="3FCCFFB7" w14:textId="77777777">
      <w:pPr>
        <w:pStyle w:val="Heading7"/>
        <w:spacing w:before="92"/>
        <w:ind w:left="566" w:right="566"/>
        <w:jc w:val="center"/>
      </w:pPr>
      <w:bookmarkStart w:name="_bookmark60" w:id="76"/>
      <w:bookmarkEnd w:id="76"/>
      <w:r>
        <w:t>Figure</w:t>
      </w:r>
      <w:r>
        <w:rPr>
          <w:spacing w:val="-10"/>
        </w:rPr>
        <w:t xml:space="preserve"> </w:t>
      </w:r>
      <w:r>
        <w:t>2-7.</w:t>
      </w:r>
      <w:r>
        <w:rPr>
          <w:spacing w:val="-9"/>
        </w:rPr>
        <w:t xml:space="preserve"> </w:t>
      </w:r>
      <w:r>
        <w:t>Multi-Attribute</w:t>
      </w:r>
      <w:r>
        <w:rPr>
          <w:spacing w:val="-9"/>
        </w:rPr>
        <w:t xml:space="preserve"> </w:t>
      </w:r>
      <w:r>
        <w:t>Market</w:t>
      </w:r>
      <w:r>
        <w:rPr>
          <w:spacing w:val="-9"/>
        </w:rPr>
        <w:t xml:space="preserve"> </w:t>
      </w:r>
      <w:r>
        <w:t>Share</w:t>
      </w:r>
      <w:r>
        <w:rPr>
          <w:spacing w:val="-9"/>
        </w:rPr>
        <w:t xml:space="preserve"> </w:t>
      </w:r>
      <w:r>
        <w:rPr>
          <w:spacing w:val="-2"/>
        </w:rPr>
        <w:t>Example</w:t>
      </w:r>
    </w:p>
    <w:p w:rsidR="00C31389" w:rsidRDefault="00561FBD" w14:paraId="367AE13A" w14:textId="77777777">
      <w:pPr>
        <w:pStyle w:val="BodyText"/>
        <w:spacing w:before="3"/>
        <w:rPr>
          <w:b/>
          <w:sz w:val="15"/>
        </w:rPr>
      </w:pPr>
      <w:r>
        <w:rPr>
          <w:noProof/>
        </w:rPr>
        <w:drawing>
          <wp:anchor distT="0" distB="0" distL="0" distR="0" simplePos="0" relativeHeight="487610880" behindDoc="1" locked="0" layoutInCell="1" allowOverlap="1" wp14:editId="6E65AC8D" wp14:anchorId="7F72B3B9">
            <wp:simplePos x="0" y="0"/>
            <wp:positionH relativeFrom="page">
              <wp:posOffset>947885</wp:posOffset>
            </wp:positionH>
            <wp:positionV relativeFrom="paragraph">
              <wp:posOffset>126978</wp:posOffset>
            </wp:positionV>
            <wp:extent cx="5945135" cy="2725578"/>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7" cstate="print"/>
                    <a:stretch>
                      <a:fillRect/>
                    </a:stretch>
                  </pic:blipFill>
                  <pic:spPr>
                    <a:xfrm>
                      <a:off x="0" y="0"/>
                      <a:ext cx="5945135" cy="2725578"/>
                    </a:xfrm>
                    <a:prstGeom prst="rect">
                      <a:avLst/>
                    </a:prstGeom>
                  </pic:spPr>
                </pic:pic>
              </a:graphicData>
            </a:graphic>
          </wp:anchor>
        </w:drawing>
      </w:r>
    </w:p>
    <w:p w:rsidR="00C31389" w:rsidRDefault="00561FBD" w14:paraId="231F4E6E" w14:textId="77777777">
      <w:pPr>
        <w:spacing w:before="39"/>
        <w:ind w:left="480"/>
        <w:rPr>
          <w:i/>
          <w:sz w:val="18"/>
        </w:rPr>
      </w:pPr>
      <w:r>
        <w:rPr>
          <w:i/>
          <w:sz w:val="18"/>
        </w:rPr>
        <w:t>Source:</w:t>
      </w:r>
      <w:r>
        <w:rPr>
          <w:i/>
          <w:spacing w:val="-4"/>
          <w:sz w:val="18"/>
        </w:rPr>
        <w:t xml:space="preserve"> </w:t>
      </w:r>
      <w:r>
        <w:rPr>
          <w:i/>
          <w:spacing w:val="-2"/>
          <w:sz w:val="18"/>
        </w:rPr>
        <w:t>Guidehouse</w:t>
      </w:r>
    </w:p>
    <w:p w:rsidR="00C31389" w:rsidRDefault="00C31389" w14:paraId="03109C12" w14:textId="77777777">
      <w:pPr>
        <w:pStyle w:val="BodyText"/>
        <w:spacing w:before="9"/>
        <w:rPr>
          <w:i/>
          <w:sz w:val="20"/>
        </w:rPr>
      </w:pPr>
    </w:p>
    <w:p w:rsidR="00C31389" w:rsidRDefault="00561FBD" w14:paraId="2F40044E" w14:textId="77777777">
      <w:pPr>
        <w:pStyle w:val="BodyText"/>
        <w:ind w:left="479" w:right="533"/>
      </w:pPr>
      <w:r>
        <w:rPr>
          <w:b/>
        </w:rPr>
        <w:t xml:space="preserve">Payback-based approach: </w:t>
      </w:r>
      <w:r>
        <w:t>In the agriculture, industrial, and mining (AIM) sectors, the technology characterization did not incorporate baseline technology costs, a driver in the multi- attribute ana</w:t>
      </w:r>
      <w:r>
        <w:t>lysis. The Guidehouse team used a payback-based approach to calculate willingness.</w:t>
      </w:r>
      <w:r>
        <w:rPr>
          <w:spacing w:val="-40"/>
        </w:rPr>
        <w:t xml:space="preserve"> </w:t>
      </w:r>
      <w:hyperlink w:history="1" w:anchor="_bookmark61">
        <w:r>
          <w:rPr>
            <w:position w:val="7"/>
            <w:sz w:val="14"/>
          </w:rPr>
          <w:t>20</w:t>
        </w:r>
      </w:hyperlink>
      <w:r>
        <w:rPr>
          <w:spacing w:val="27"/>
          <w:position w:val="7"/>
          <w:sz w:val="14"/>
        </w:rPr>
        <w:t xml:space="preserve"> </w:t>
      </w:r>
      <w:r>
        <w:t>Payback time reflects the length of time (years) required for an EE investment to recover the initial upfr</w:t>
      </w:r>
      <w:r>
        <w:t xml:space="preserve">ont cost in terms of energy savings. Consistent with the 2021 Study, to estimate market share for the AIM measures, the team relied on payback acceptance curves based on Guidehouse-led primary research in the US Midwest in 2012 (shown in </w:t>
      </w:r>
      <w:hyperlink w:history="1" w:anchor="_bookmark63">
        <w:r>
          <w:t>Figure 2-8</w:t>
        </w:r>
      </w:hyperlink>
      <w:r>
        <w:t>).</w:t>
      </w:r>
      <w:r>
        <w:rPr>
          <w:spacing w:val="-41"/>
        </w:rPr>
        <w:t xml:space="preserve"> </w:t>
      </w:r>
      <w:hyperlink w:history="1" w:anchor="_bookmark62">
        <w:r>
          <w:rPr>
            <w:position w:val="7"/>
            <w:sz w:val="14"/>
          </w:rPr>
          <w:t>21</w:t>
        </w:r>
      </w:hyperlink>
      <w:r>
        <w:rPr>
          <w:spacing w:val="40"/>
          <w:position w:val="7"/>
          <w:sz w:val="14"/>
        </w:rPr>
        <w:t xml:space="preserve"> </w:t>
      </w:r>
      <w:r>
        <w:t>Though</w:t>
      </w:r>
      <w:r>
        <w:rPr>
          <w:spacing w:val="-4"/>
        </w:rPr>
        <w:t xml:space="preserve"> </w:t>
      </w:r>
      <w:r>
        <w:t>the</w:t>
      </w:r>
      <w:r>
        <w:rPr>
          <w:spacing w:val="-5"/>
        </w:rPr>
        <w:t xml:space="preserve"> </w:t>
      </w:r>
      <w:r>
        <w:t>team</w:t>
      </w:r>
      <w:r>
        <w:rPr>
          <w:spacing w:val="-5"/>
        </w:rPr>
        <w:t xml:space="preserve"> </w:t>
      </w:r>
      <w:r>
        <w:t>collected</w:t>
      </w:r>
      <w:r>
        <w:rPr>
          <w:spacing w:val="-4"/>
        </w:rPr>
        <w:t xml:space="preserve"> </w:t>
      </w:r>
      <w:r>
        <w:t>California-specific</w:t>
      </w:r>
      <w:r>
        <w:rPr>
          <w:spacing w:val="-4"/>
        </w:rPr>
        <w:t xml:space="preserve"> </w:t>
      </w:r>
      <w:r>
        <w:t>data</w:t>
      </w:r>
      <w:r>
        <w:rPr>
          <w:spacing w:val="-4"/>
        </w:rPr>
        <w:t xml:space="preserve"> </w:t>
      </w:r>
      <w:r>
        <w:t>in</w:t>
      </w:r>
      <w:r>
        <w:rPr>
          <w:spacing w:val="-4"/>
        </w:rPr>
        <w:t xml:space="preserve"> </w:t>
      </w:r>
      <w:r>
        <w:t>2021,</w:t>
      </w:r>
      <w:r>
        <w:rPr>
          <w:spacing w:val="-5"/>
        </w:rPr>
        <w:t xml:space="preserve"> </w:t>
      </w:r>
      <w:r>
        <w:t>qualitative</w:t>
      </w:r>
      <w:r>
        <w:rPr>
          <w:spacing w:val="-5"/>
        </w:rPr>
        <w:t xml:space="preserve"> </w:t>
      </w:r>
      <w:r>
        <w:t>information</w:t>
      </w:r>
      <w:r>
        <w:rPr>
          <w:spacing w:val="-4"/>
        </w:rPr>
        <w:t xml:space="preserve"> </w:t>
      </w:r>
      <w:r>
        <w:t>helped</w:t>
      </w:r>
      <w:r>
        <w:rPr>
          <w:spacing w:val="-4"/>
        </w:rPr>
        <w:t xml:space="preserve"> </w:t>
      </w:r>
      <w:r>
        <w:t>adjust the</w:t>
      </w:r>
      <w:r>
        <w:rPr>
          <w:spacing w:val="-3"/>
        </w:rPr>
        <w:t xml:space="preserve"> </w:t>
      </w:r>
      <w:r>
        <w:t>model</w:t>
      </w:r>
      <w:r>
        <w:rPr>
          <w:spacing w:val="-3"/>
        </w:rPr>
        <w:t xml:space="preserve"> </w:t>
      </w:r>
      <w:r>
        <w:t>willingness</w:t>
      </w:r>
      <w:r>
        <w:rPr>
          <w:spacing w:val="-3"/>
        </w:rPr>
        <w:t xml:space="preserve"> </w:t>
      </w:r>
      <w:r>
        <w:t>curves</w:t>
      </w:r>
      <w:r>
        <w:rPr>
          <w:spacing w:val="-3"/>
        </w:rPr>
        <w:t xml:space="preserve"> </w:t>
      </w:r>
      <w:r>
        <w:t>accordingly.</w:t>
      </w:r>
      <w:r>
        <w:rPr>
          <w:spacing w:val="-3"/>
        </w:rPr>
        <w:t xml:space="preserve"> </w:t>
      </w:r>
      <w:r>
        <w:t>Actual</w:t>
      </w:r>
      <w:r>
        <w:rPr>
          <w:spacing w:val="-4"/>
        </w:rPr>
        <w:t xml:space="preserve"> </w:t>
      </w:r>
      <w:r>
        <w:t>data</w:t>
      </w:r>
      <w:r>
        <w:rPr>
          <w:spacing w:val="-3"/>
        </w:rPr>
        <w:t xml:space="preserve"> </w:t>
      </w:r>
      <w:r>
        <w:t>from</w:t>
      </w:r>
      <w:r>
        <w:rPr>
          <w:spacing w:val="-4"/>
        </w:rPr>
        <w:t xml:space="preserve"> </w:t>
      </w:r>
      <w:r>
        <w:t>the</w:t>
      </w:r>
      <w:r>
        <w:rPr>
          <w:spacing w:val="-3"/>
        </w:rPr>
        <w:t xml:space="preserve"> </w:t>
      </w:r>
      <w:r>
        <w:t>Industrial</w:t>
      </w:r>
      <w:r>
        <w:rPr>
          <w:spacing w:val="-4"/>
        </w:rPr>
        <w:t xml:space="preserve"> </w:t>
      </w:r>
      <w:r>
        <w:t>and</w:t>
      </w:r>
      <w:r>
        <w:rPr>
          <w:spacing w:val="-3"/>
        </w:rPr>
        <w:t xml:space="preserve"> </w:t>
      </w:r>
      <w:r>
        <w:t>Agriculture</w:t>
      </w:r>
      <w:r>
        <w:rPr>
          <w:spacing w:val="-3"/>
        </w:rPr>
        <w:t xml:space="preserve"> </w:t>
      </w:r>
      <w:r>
        <w:t>Market Study was not used to recalculate the payback curves due to a combination of factors:</w:t>
      </w:r>
    </w:p>
    <w:p w:rsidR="00C31389" w:rsidRDefault="00561FBD" w14:paraId="45F1ECCB" w14:textId="77777777">
      <w:pPr>
        <w:pStyle w:val="ListParagraph"/>
        <w:numPr>
          <w:ilvl w:val="0"/>
          <w:numId w:val="65"/>
        </w:numPr>
        <w:tabs>
          <w:tab w:val="left" w:pos="1199"/>
        </w:tabs>
        <w:spacing w:before="119"/>
      </w:pPr>
      <w:r>
        <w:t>Limited</w:t>
      </w:r>
      <w:r>
        <w:rPr>
          <w:spacing w:val="-8"/>
        </w:rPr>
        <w:t xml:space="preserve"> </w:t>
      </w:r>
      <w:r>
        <w:t>number</w:t>
      </w:r>
      <w:r>
        <w:rPr>
          <w:spacing w:val="-8"/>
        </w:rPr>
        <w:t xml:space="preserve"> </w:t>
      </w:r>
      <w:r>
        <w:t>of</w:t>
      </w:r>
      <w:r>
        <w:rPr>
          <w:spacing w:val="-8"/>
        </w:rPr>
        <w:t xml:space="preserve"> </w:t>
      </w:r>
      <w:r>
        <w:t>survey</w:t>
      </w:r>
      <w:r>
        <w:rPr>
          <w:spacing w:val="-7"/>
        </w:rPr>
        <w:t xml:space="preserve"> </w:t>
      </w:r>
      <w:r>
        <w:t>responses</w:t>
      </w:r>
      <w:r>
        <w:rPr>
          <w:spacing w:val="-9"/>
        </w:rPr>
        <w:t xml:space="preserve"> </w:t>
      </w:r>
      <w:r>
        <w:t>received</w:t>
      </w:r>
      <w:r>
        <w:rPr>
          <w:spacing w:val="-8"/>
        </w:rPr>
        <w:t xml:space="preserve"> </w:t>
      </w:r>
      <w:r>
        <w:t>regarding</w:t>
      </w:r>
      <w:r>
        <w:rPr>
          <w:spacing w:val="-7"/>
        </w:rPr>
        <w:t xml:space="preserve"> </w:t>
      </w:r>
      <w:r>
        <w:t>sensitivity</w:t>
      </w:r>
      <w:r>
        <w:rPr>
          <w:spacing w:val="-8"/>
        </w:rPr>
        <w:t xml:space="preserve"> </w:t>
      </w:r>
      <w:r>
        <w:t>to</w:t>
      </w:r>
      <w:r>
        <w:rPr>
          <w:spacing w:val="-8"/>
        </w:rPr>
        <w:t xml:space="preserve"> </w:t>
      </w:r>
      <w:r>
        <w:t>payback</w:t>
      </w:r>
      <w:r>
        <w:rPr>
          <w:spacing w:val="-8"/>
        </w:rPr>
        <w:t xml:space="preserve"> </w:t>
      </w:r>
      <w:r>
        <w:rPr>
          <w:spacing w:val="-2"/>
        </w:rPr>
        <w:t>period</w:t>
      </w:r>
      <w:r>
        <w:rPr>
          <w:spacing w:val="-2"/>
        </w:rPr>
        <w:t>s</w:t>
      </w:r>
    </w:p>
    <w:p w:rsidR="00C31389" w:rsidRDefault="00561FBD" w14:paraId="6D160B06" w14:textId="77777777">
      <w:pPr>
        <w:pStyle w:val="ListParagraph"/>
        <w:numPr>
          <w:ilvl w:val="0"/>
          <w:numId w:val="65"/>
        </w:numPr>
        <w:tabs>
          <w:tab w:val="left" w:pos="1199"/>
        </w:tabs>
        <w:spacing w:before="120"/>
        <w:ind w:right="545"/>
      </w:pPr>
      <w:r>
        <w:t xml:space="preserve">Responses received resulted in market share values extremely similar to those of the corresponding payback times in </w:t>
      </w:r>
      <w:hyperlink w:history="1" w:anchor="_bookmark63">
        <w:r>
          <w:t>Figure 2-8</w:t>
        </w:r>
      </w:hyperlink>
      <w:r>
        <w:t>; specifically, when asked about their willingness</w:t>
      </w:r>
      <w:r>
        <w:rPr>
          <w:spacing w:val="-3"/>
        </w:rPr>
        <w:t xml:space="preserve"> </w:t>
      </w:r>
      <w:r>
        <w:t>to</w:t>
      </w:r>
      <w:r>
        <w:rPr>
          <w:spacing w:val="-3"/>
        </w:rPr>
        <w:t xml:space="preserve"> </w:t>
      </w:r>
      <w:r>
        <w:t>adopt</w:t>
      </w:r>
      <w:r>
        <w:rPr>
          <w:spacing w:val="-3"/>
        </w:rPr>
        <w:t xml:space="preserve"> </w:t>
      </w:r>
      <w:r>
        <w:t>an</w:t>
      </w:r>
      <w:r>
        <w:rPr>
          <w:spacing w:val="-3"/>
        </w:rPr>
        <w:t xml:space="preserve"> </w:t>
      </w:r>
      <w:r>
        <w:t>efficient</w:t>
      </w:r>
      <w:r>
        <w:rPr>
          <w:spacing w:val="-3"/>
        </w:rPr>
        <w:t xml:space="preserve"> </w:t>
      </w:r>
      <w:r>
        <w:t>boiler</w:t>
      </w:r>
      <w:r>
        <w:rPr>
          <w:spacing w:val="-3"/>
        </w:rPr>
        <w:t xml:space="preserve"> </w:t>
      </w:r>
      <w:r>
        <w:t>given</w:t>
      </w:r>
      <w:r>
        <w:rPr>
          <w:spacing w:val="-3"/>
        </w:rPr>
        <w:t xml:space="preserve"> </w:t>
      </w:r>
      <w:r>
        <w:t>either</w:t>
      </w:r>
      <w:r>
        <w:rPr>
          <w:spacing w:val="-3"/>
        </w:rPr>
        <w:t xml:space="preserve"> </w:t>
      </w:r>
      <w:r>
        <w:t>a</w:t>
      </w:r>
      <w:r>
        <w:rPr>
          <w:spacing w:val="-3"/>
        </w:rPr>
        <w:t xml:space="preserve"> </w:t>
      </w:r>
      <w:r>
        <w:t>2.3-</w:t>
      </w:r>
      <w:r>
        <w:rPr>
          <w:spacing w:val="-3"/>
        </w:rPr>
        <w:t xml:space="preserve"> </w:t>
      </w:r>
      <w:r>
        <w:t>or</w:t>
      </w:r>
      <w:r>
        <w:rPr>
          <w:spacing w:val="-3"/>
        </w:rPr>
        <w:t xml:space="preserve"> </w:t>
      </w:r>
      <w:r>
        <w:t>4.7-year</w:t>
      </w:r>
      <w:r>
        <w:rPr>
          <w:spacing w:val="-3"/>
        </w:rPr>
        <w:t xml:space="preserve"> </w:t>
      </w:r>
      <w:r>
        <w:t>payback</w:t>
      </w:r>
      <w:r>
        <w:rPr>
          <w:spacing w:val="-3"/>
        </w:rPr>
        <w:t xml:space="preserve"> </w:t>
      </w:r>
      <w:r>
        <w:t>period,</w:t>
      </w:r>
      <w:r>
        <w:rPr>
          <w:spacing w:val="-3"/>
        </w:rPr>
        <w:t xml:space="preserve"> </w:t>
      </w:r>
      <w:r>
        <w:t>the average difference from the corresponding values was approximately 3%</w:t>
      </w:r>
    </w:p>
    <w:p w:rsidR="00C31389" w:rsidRDefault="00C31389" w14:paraId="01B1D8E0" w14:textId="77777777">
      <w:pPr>
        <w:pStyle w:val="BodyText"/>
        <w:spacing w:before="7"/>
        <w:rPr>
          <w:sz w:val="20"/>
        </w:rPr>
      </w:pPr>
    </w:p>
    <w:p w:rsidR="00C31389" w:rsidRDefault="00561FBD" w14:paraId="1ED9A7E0" w14:textId="77777777">
      <w:pPr>
        <w:pStyle w:val="BodyText"/>
        <w:spacing w:before="1"/>
        <w:ind w:left="479" w:right="533"/>
      </w:pPr>
      <w:r>
        <w:t>Based</w:t>
      </w:r>
      <w:r>
        <w:rPr>
          <w:spacing w:val="-4"/>
        </w:rPr>
        <w:t xml:space="preserve"> </w:t>
      </w:r>
      <w:r>
        <w:t>on</w:t>
      </w:r>
      <w:r>
        <w:rPr>
          <w:spacing w:val="-4"/>
        </w:rPr>
        <w:t xml:space="preserve"> </w:t>
      </w:r>
      <w:r>
        <w:t>the</w:t>
      </w:r>
      <w:r>
        <w:rPr>
          <w:spacing w:val="-4"/>
        </w:rPr>
        <w:t xml:space="preserve"> </w:t>
      </w:r>
      <w:r>
        <w:t>nature</w:t>
      </w:r>
      <w:r>
        <w:rPr>
          <w:spacing w:val="-4"/>
        </w:rPr>
        <w:t xml:space="preserve"> </w:t>
      </w:r>
      <w:r>
        <w:t>of</w:t>
      </w:r>
      <w:r>
        <w:rPr>
          <w:spacing w:val="-4"/>
        </w:rPr>
        <w:t xml:space="preserve"> </w:t>
      </w:r>
      <w:r>
        <w:t>the</w:t>
      </w:r>
      <w:r>
        <w:rPr>
          <w:spacing w:val="-4"/>
        </w:rPr>
        <w:t xml:space="preserve"> </w:t>
      </w:r>
      <w:r>
        <w:t>customer</w:t>
      </w:r>
      <w:r>
        <w:rPr>
          <w:spacing w:val="-4"/>
        </w:rPr>
        <w:t xml:space="preserve"> </w:t>
      </w:r>
      <w:r>
        <w:t>decision-making</w:t>
      </w:r>
      <w:r>
        <w:rPr>
          <w:spacing w:val="-4"/>
        </w:rPr>
        <w:t xml:space="preserve"> </w:t>
      </w:r>
      <w:r>
        <w:t>process,</w:t>
      </w:r>
      <w:r>
        <w:rPr>
          <w:spacing w:val="-4"/>
        </w:rPr>
        <w:t xml:space="preserve"> </w:t>
      </w:r>
      <w:r>
        <w:t>the</w:t>
      </w:r>
      <w:r>
        <w:rPr>
          <w:spacing w:val="-4"/>
        </w:rPr>
        <w:t xml:space="preserve"> </w:t>
      </w:r>
      <w:r>
        <w:t>Guidehouse</w:t>
      </w:r>
      <w:r>
        <w:rPr>
          <w:spacing w:val="-4"/>
        </w:rPr>
        <w:t xml:space="preserve"> </w:t>
      </w:r>
      <w:r>
        <w:t>team</w:t>
      </w:r>
      <w:r>
        <w:rPr>
          <w:spacing w:val="-5"/>
        </w:rPr>
        <w:t xml:space="preserve"> </w:t>
      </w:r>
      <w:r>
        <w:t xml:space="preserve">believes the data </w:t>
      </w:r>
      <w:r>
        <w:t>developed using North American customers represents the best industry-wide data available at the time of this study.</w:t>
      </w:r>
    </w:p>
    <w:p w:rsidR="00C31389" w:rsidRDefault="00C31389" w14:paraId="1F09ED15" w14:textId="77777777">
      <w:pPr>
        <w:pStyle w:val="BodyText"/>
        <w:rPr>
          <w:sz w:val="20"/>
        </w:rPr>
      </w:pPr>
    </w:p>
    <w:p w:rsidR="00C31389" w:rsidRDefault="00C31389" w14:paraId="5AD90BA7" w14:textId="77777777">
      <w:pPr>
        <w:pStyle w:val="BodyText"/>
        <w:rPr>
          <w:sz w:val="20"/>
        </w:rPr>
      </w:pPr>
    </w:p>
    <w:p w:rsidR="00C31389" w:rsidRDefault="00C31389" w14:paraId="53A0FB61" w14:textId="77777777">
      <w:pPr>
        <w:pStyle w:val="BodyText"/>
        <w:rPr>
          <w:sz w:val="20"/>
        </w:rPr>
      </w:pPr>
    </w:p>
    <w:p w:rsidR="00C31389" w:rsidRDefault="00C31389" w14:paraId="61D89FCA" w14:textId="77777777">
      <w:pPr>
        <w:pStyle w:val="BodyText"/>
        <w:rPr>
          <w:sz w:val="20"/>
        </w:rPr>
      </w:pPr>
    </w:p>
    <w:p w:rsidR="00C31389" w:rsidRDefault="00561FBD" w14:paraId="4E76E345" w14:textId="77777777">
      <w:pPr>
        <w:pStyle w:val="BodyText"/>
        <w:spacing w:before="7"/>
        <w:rPr>
          <w:sz w:val="20"/>
        </w:rPr>
      </w:pPr>
      <w:r>
        <w:rPr>
          <w:noProof/>
        </w:rPr>
        <mc:AlternateContent>
          <mc:Choice Requires="wps">
            <w:drawing>
              <wp:anchor distT="0" distB="0" distL="0" distR="0" simplePos="0" relativeHeight="487611392" behindDoc="1" locked="0" layoutInCell="1" allowOverlap="1" wp14:editId="173F471C" wp14:anchorId="4D99903D">
                <wp:simplePos x="0" y="0"/>
                <wp:positionH relativeFrom="page">
                  <wp:posOffset>914400</wp:posOffset>
                </wp:positionH>
                <wp:positionV relativeFrom="paragraph">
                  <wp:posOffset>165959</wp:posOffset>
                </wp:positionV>
                <wp:extent cx="1828800" cy="698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34" style="position:absolute;margin-left:1in;margin-top:13.05pt;width:2in;height:.5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3QoPP94AAAAJAQAADwAAAAAAAAAAAAAAAAB3BAAAZHJzL2Rvd25yZXYueG1s&#10;UEsFBgAAAAAEAAQA8wAAAIIFAAAAAA==&#10;" w14:anchorId="5FC6EBC2">
                <v:path arrowok="t"/>
                <w10:wrap type="topAndBottom" anchorx="page"/>
              </v:shape>
            </w:pict>
          </mc:Fallback>
        </mc:AlternateContent>
      </w:r>
    </w:p>
    <w:p w:rsidR="00C31389" w:rsidRDefault="00561FBD" w14:paraId="41F9B492" w14:textId="77777777">
      <w:pPr>
        <w:spacing w:before="88"/>
        <w:ind w:left="480" w:right="533" w:hanging="1"/>
        <w:rPr>
          <w:sz w:val="18"/>
        </w:rPr>
      </w:pPr>
      <w:bookmarkStart w:name="_bookmark61" w:id="77"/>
      <w:bookmarkEnd w:id="77"/>
      <w:r>
        <w:rPr>
          <w:position w:val="6"/>
          <w:sz w:val="12"/>
        </w:rPr>
        <w:t>20</w:t>
      </w:r>
      <w:r>
        <w:rPr>
          <w:spacing w:val="15"/>
          <w:position w:val="6"/>
          <w:sz w:val="12"/>
        </w:rPr>
        <w:t xml:space="preserve"> </w:t>
      </w:r>
      <w:r>
        <w:rPr>
          <w:sz w:val="18"/>
        </w:rPr>
        <w:t>The</w:t>
      </w:r>
      <w:r>
        <w:rPr>
          <w:spacing w:val="-3"/>
          <w:sz w:val="18"/>
        </w:rPr>
        <w:t xml:space="preserve"> </w:t>
      </w:r>
      <w:r>
        <w:rPr>
          <w:sz w:val="18"/>
        </w:rPr>
        <w:t>primary</w:t>
      </w:r>
      <w:r>
        <w:rPr>
          <w:spacing w:val="-2"/>
          <w:sz w:val="18"/>
        </w:rPr>
        <w:t xml:space="preserve"> </w:t>
      </w:r>
      <w:r>
        <w:rPr>
          <w:sz w:val="18"/>
        </w:rPr>
        <w:t>objective</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Industrial</w:t>
      </w:r>
      <w:r>
        <w:rPr>
          <w:spacing w:val="-2"/>
          <w:sz w:val="18"/>
        </w:rPr>
        <w:t xml:space="preserve"> </w:t>
      </w:r>
      <w:r>
        <w:rPr>
          <w:sz w:val="18"/>
        </w:rPr>
        <w:t>and</w:t>
      </w:r>
      <w:r>
        <w:rPr>
          <w:spacing w:val="-3"/>
          <w:sz w:val="18"/>
        </w:rPr>
        <w:t xml:space="preserve"> </w:t>
      </w:r>
      <w:r>
        <w:rPr>
          <w:sz w:val="18"/>
        </w:rPr>
        <w:t>Agriculture</w:t>
      </w:r>
      <w:r>
        <w:rPr>
          <w:spacing w:val="-3"/>
          <w:sz w:val="18"/>
        </w:rPr>
        <w:t xml:space="preserve"> </w:t>
      </w:r>
      <w:r>
        <w:rPr>
          <w:sz w:val="18"/>
        </w:rPr>
        <w:t>Market</w:t>
      </w:r>
      <w:r>
        <w:rPr>
          <w:spacing w:val="-2"/>
          <w:sz w:val="18"/>
        </w:rPr>
        <w:t xml:space="preserve"> </w:t>
      </w:r>
      <w:r>
        <w:rPr>
          <w:sz w:val="18"/>
        </w:rPr>
        <w:t>Study</w:t>
      </w:r>
      <w:r>
        <w:rPr>
          <w:spacing w:val="-2"/>
          <w:sz w:val="18"/>
        </w:rPr>
        <w:t xml:space="preserve"> </w:t>
      </w:r>
      <w:r>
        <w:rPr>
          <w:sz w:val="18"/>
        </w:rPr>
        <w:t>was</w:t>
      </w:r>
      <w:r>
        <w:rPr>
          <w:spacing w:val="-2"/>
          <w:sz w:val="18"/>
        </w:rPr>
        <w:t xml:space="preserve"> </w:t>
      </w:r>
      <w:r>
        <w:rPr>
          <w:sz w:val="18"/>
        </w:rPr>
        <w:t>to</w:t>
      </w:r>
      <w:r>
        <w:rPr>
          <w:spacing w:val="-3"/>
          <w:sz w:val="18"/>
        </w:rPr>
        <w:t xml:space="preserve"> </w:t>
      </w:r>
      <w:r>
        <w:rPr>
          <w:sz w:val="18"/>
        </w:rPr>
        <w:t>inform</w:t>
      </w:r>
      <w:r>
        <w:rPr>
          <w:spacing w:val="-2"/>
          <w:sz w:val="18"/>
        </w:rPr>
        <w:t xml:space="preserve"> </w:t>
      </w:r>
      <w:r>
        <w:rPr>
          <w:sz w:val="18"/>
        </w:rPr>
        <w:t>the</w:t>
      </w:r>
      <w:r>
        <w:rPr>
          <w:spacing w:val="-3"/>
          <w:sz w:val="18"/>
        </w:rPr>
        <w:t xml:space="preserve"> </w:t>
      </w:r>
      <w:r>
        <w:rPr>
          <w:sz w:val="18"/>
        </w:rPr>
        <w:t>measure</w:t>
      </w:r>
      <w:r>
        <w:rPr>
          <w:spacing w:val="-3"/>
          <w:sz w:val="18"/>
        </w:rPr>
        <w:t xml:space="preserve"> </w:t>
      </w:r>
      <w:r>
        <w:rPr>
          <w:sz w:val="18"/>
        </w:rPr>
        <w:t>characterization. The secondary obj</w:t>
      </w:r>
      <w:r>
        <w:rPr>
          <w:sz w:val="18"/>
        </w:rPr>
        <w:t>ective was to include data to inform the model’s market adoption algorithms.</w:t>
      </w:r>
    </w:p>
    <w:p w:rsidR="00C31389" w:rsidRDefault="00561FBD" w14:paraId="23910B19" w14:textId="77777777">
      <w:pPr>
        <w:spacing w:before="37"/>
        <w:ind w:left="479"/>
        <w:rPr>
          <w:sz w:val="18"/>
        </w:rPr>
      </w:pPr>
      <w:bookmarkStart w:name="_bookmark62" w:id="78"/>
      <w:bookmarkEnd w:id="78"/>
      <w:r>
        <w:rPr>
          <w:position w:val="6"/>
          <w:sz w:val="12"/>
        </w:rPr>
        <w:t>21</w:t>
      </w:r>
      <w:r>
        <w:rPr>
          <w:spacing w:val="15"/>
          <w:position w:val="6"/>
          <w:sz w:val="12"/>
        </w:rPr>
        <w:t xml:space="preserve"> </w:t>
      </w:r>
      <w:r>
        <w:rPr>
          <w:sz w:val="18"/>
        </w:rPr>
        <w:t>A</w:t>
      </w:r>
      <w:r>
        <w:rPr>
          <w:spacing w:val="-2"/>
          <w:sz w:val="18"/>
        </w:rPr>
        <w:t xml:space="preserve"> </w:t>
      </w:r>
      <w:r>
        <w:rPr>
          <w:sz w:val="18"/>
        </w:rPr>
        <w:t>detailed</w:t>
      </w:r>
      <w:r>
        <w:rPr>
          <w:spacing w:val="-3"/>
          <w:sz w:val="18"/>
        </w:rPr>
        <w:t xml:space="preserve"> </w:t>
      </w:r>
      <w:r>
        <w:rPr>
          <w:sz w:val="18"/>
        </w:rPr>
        <w:t>discussion</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methodology</w:t>
      </w:r>
      <w:r>
        <w:rPr>
          <w:spacing w:val="-2"/>
          <w:sz w:val="18"/>
        </w:rPr>
        <w:t xml:space="preserve"> </w:t>
      </w:r>
      <w:r>
        <w:rPr>
          <w:sz w:val="18"/>
        </w:rPr>
        <w:t>and</w:t>
      </w:r>
      <w:r>
        <w:rPr>
          <w:spacing w:val="-3"/>
          <w:sz w:val="18"/>
        </w:rPr>
        <w:t xml:space="preserve"> </w:t>
      </w:r>
      <w:r>
        <w:rPr>
          <w:sz w:val="18"/>
        </w:rPr>
        <w:t>findings</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research</w:t>
      </w:r>
      <w:r>
        <w:rPr>
          <w:spacing w:val="-3"/>
          <w:sz w:val="18"/>
        </w:rPr>
        <w:t xml:space="preserve"> </w:t>
      </w:r>
      <w:r>
        <w:rPr>
          <w:sz w:val="18"/>
        </w:rPr>
        <w:t>are</w:t>
      </w:r>
      <w:r>
        <w:rPr>
          <w:spacing w:val="-3"/>
          <w:sz w:val="18"/>
        </w:rPr>
        <w:t xml:space="preserve"> </w:t>
      </w:r>
      <w:r>
        <w:rPr>
          <w:sz w:val="18"/>
        </w:rPr>
        <w:t>contained</w:t>
      </w:r>
      <w:r>
        <w:rPr>
          <w:spacing w:val="-3"/>
          <w:sz w:val="18"/>
        </w:rPr>
        <w:t xml:space="preserve"> </w:t>
      </w:r>
      <w:r>
        <w:rPr>
          <w:sz w:val="18"/>
        </w:rPr>
        <w:t>in</w:t>
      </w:r>
      <w:r>
        <w:rPr>
          <w:spacing w:val="-3"/>
          <w:sz w:val="18"/>
        </w:rPr>
        <w:t xml:space="preserve"> </w:t>
      </w:r>
      <w:r>
        <w:rPr>
          <w:sz w:val="18"/>
        </w:rPr>
        <w:t>the</w:t>
      </w:r>
      <w:r>
        <w:rPr>
          <w:spacing w:val="-1"/>
          <w:sz w:val="18"/>
        </w:rPr>
        <w:t xml:space="preserve"> </w:t>
      </w:r>
      <w:r>
        <w:rPr>
          <w:i/>
          <w:sz w:val="18"/>
        </w:rPr>
        <w:t>Demand</w:t>
      </w:r>
      <w:r>
        <w:rPr>
          <w:i/>
          <w:spacing w:val="-3"/>
          <w:sz w:val="18"/>
        </w:rPr>
        <w:t xml:space="preserve"> </w:t>
      </w:r>
      <w:r>
        <w:rPr>
          <w:i/>
          <w:sz w:val="18"/>
        </w:rPr>
        <w:t>Side</w:t>
      </w:r>
      <w:r>
        <w:rPr>
          <w:i/>
          <w:spacing w:val="-3"/>
          <w:sz w:val="18"/>
        </w:rPr>
        <w:t xml:space="preserve"> </w:t>
      </w:r>
      <w:r>
        <w:rPr>
          <w:i/>
          <w:sz w:val="18"/>
        </w:rPr>
        <w:t>Resource Potential Study</w:t>
      </w:r>
      <w:r>
        <w:rPr>
          <w:sz w:val="18"/>
        </w:rPr>
        <w:t xml:space="preserve">, prepared for Kansas City Power and </w:t>
      </w:r>
      <w:r>
        <w:rPr>
          <w:sz w:val="18"/>
        </w:rPr>
        <w:t>Light, August 2013.</w:t>
      </w:r>
    </w:p>
    <w:p w:rsidR="00C31389" w:rsidRDefault="00C31389" w14:paraId="0E63918E" w14:textId="77777777">
      <w:pPr>
        <w:rPr>
          <w:sz w:val="18"/>
        </w:rPr>
        <w:sectPr w:rsidR="00C31389">
          <w:pgSz w:w="12240" w:h="15840"/>
          <w:pgMar w:top="1660" w:right="960" w:bottom="1120" w:left="960" w:header="397" w:footer="936" w:gutter="0"/>
          <w:cols w:space="720"/>
        </w:sectPr>
      </w:pPr>
    </w:p>
    <w:p w:rsidR="00C31389" w:rsidRDefault="00C31389" w14:paraId="1CD3B567" w14:textId="77777777">
      <w:pPr>
        <w:pStyle w:val="BodyText"/>
        <w:spacing w:before="11"/>
        <w:rPr>
          <w:sz w:val="13"/>
        </w:rPr>
      </w:pPr>
    </w:p>
    <w:p w:rsidR="00C31389" w:rsidRDefault="00561FBD" w14:paraId="00E2E878" w14:textId="77777777">
      <w:pPr>
        <w:pStyle w:val="Heading7"/>
        <w:spacing w:before="92"/>
        <w:ind w:left="565" w:right="566"/>
        <w:jc w:val="center"/>
      </w:pPr>
      <w:bookmarkStart w:name="_bookmark63" w:id="79"/>
      <w:bookmarkEnd w:id="79"/>
      <w:r>
        <w:t>Figure</w:t>
      </w:r>
      <w:r>
        <w:rPr>
          <w:spacing w:val="-8"/>
        </w:rPr>
        <w:t xml:space="preserve"> </w:t>
      </w:r>
      <w:r>
        <w:t>2-8.</w:t>
      </w:r>
      <w:r>
        <w:rPr>
          <w:spacing w:val="-7"/>
        </w:rPr>
        <w:t xml:space="preserve"> </w:t>
      </w:r>
      <w:r>
        <w:t>Payback</w:t>
      </w:r>
      <w:r>
        <w:rPr>
          <w:spacing w:val="-7"/>
        </w:rPr>
        <w:t xml:space="preserve"> </w:t>
      </w:r>
      <w:r>
        <w:t>Acceptance</w:t>
      </w:r>
      <w:r>
        <w:rPr>
          <w:spacing w:val="-7"/>
        </w:rPr>
        <w:t xml:space="preserve"> </w:t>
      </w:r>
      <w:r>
        <w:t>Curve</w:t>
      </w:r>
      <w:r>
        <w:rPr>
          <w:spacing w:val="-7"/>
        </w:rPr>
        <w:t xml:space="preserve"> </w:t>
      </w:r>
      <w:r>
        <w:t>for</w:t>
      </w:r>
      <w:r>
        <w:rPr>
          <w:spacing w:val="-8"/>
        </w:rPr>
        <w:t xml:space="preserve"> </w:t>
      </w:r>
      <w:r>
        <w:t>AIM</w:t>
      </w:r>
      <w:r>
        <w:rPr>
          <w:spacing w:val="-7"/>
        </w:rPr>
        <w:t xml:space="preserve"> </w:t>
      </w:r>
      <w:r>
        <w:rPr>
          <w:spacing w:val="-2"/>
        </w:rPr>
        <w:t>Sectors</w:t>
      </w:r>
    </w:p>
    <w:p w:rsidR="00C31389" w:rsidRDefault="00561FBD" w14:paraId="1BFCF1FA" w14:textId="77777777">
      <w:pPr>
        <w:pStyle w:val="BodyText"/>
        <w:spacing w:before="4"/>
        <w:rPr>
          <w:b/>
          <w:sz w:val="8"/>
        </w:rPr>
      </w:pPr>
      <w:r>
        <w:rPr>
          <w:noProof/>
        </w:rPr>
        <w:drawing>
          <wp:anchor distT="0" distB="0" distL="0" distR="0" simplePos="0" relativeHeight="487611904" behindDoc="1" locked="0" layoutInCell="1" allowOverlap="1" wp14:editId="63D0BCEE" wp14:anchorId="7197B391">
            <wp:simplePos x="0" y="0"/>
            <wp:positionH relativeFrom="page">
              <wp:posOffset>1929447</wp:posOffset>
            </wp:positionH>
            <wp:positionV relativeFrom="paragraph">
              <wp:posOffset>76793</wp:posOffset>
            </wp:positionV>
            <wp:extent cx="3940092" cy="236791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8" cstate="print"/>
                    <a:stretch>
                      <a:fillRect/>
                    </a:stretch>
                  </pic:blipFill>
                  <pic:spPr>
                    <a:xfrm>
                      <a:off x="0" y="0"/>
                      <a:ext cx="3940092" cy="2367915"/>
                    </a:xfrm>
                    <a:prstGeom prst="rect">
                      <a:avLst/>
                    </a:prstGeom>
                  </pic:spPr>
                </pic:pic>
              </a:graphicData>
            </a:graphic>
          </wp:anchor>
        </w:drawing>
      </w:r>
    </w:p>
    <w:p w:rsidR="00C31389" w:rsidRDefault="00561FBD" w14:paraId="51DBC801" w14:textId="77777777">
      <w:pPr>
        <w:spacing w:before="33"/>
        <w:ind w:left="479" w:right="776"/>
        <w:jc w:val="both"/>
        <w:rPr>
          <w:i/>
          <w:sz w:val="18"/>
        </w:rPr>
      </w:pPr>
      <w:r>
        <w:rPr>
          <w:i/>
          <w:sz w:val="18"/>
        </w:rPr>
        <w:t>Source:</w:t>
      </w:r>
      <w:r>
        <w:rPr>
          <w:i/>
          <w:spacing w:val="-3"/>
          <w:sz w:val="18"/>
        </w:rPr>
        <w:t xml:space="preserve"> </w:t>
      </w:r>
      <w:r>
        <w:rPr>
          <w:i/>
          <w:sz w:val="18"/>
        </w:rPr>
        <w:t>Guidehouse</w:t>
      </w:r>
      <w:r>
        <w:rPr>
          <w:i/>
          <w:spacing w:val="-4"/>
          <w:sz w:val="18"/>
        </w:rPr>
        <w:t xml:space="preserve"> </w:t>
      </w:r>
      <w:r>
        <w:rPr>
          <w:i/>
          <w:sz w:val="18"/>
        </w:rPr>
        <w:t>(formerly</w:t>
      </w:r>
      <w:r>
        <w:rPr>
          <w:i/>
          <w:spacing w:val="-3"/>
          <w:sz w:val="18"/>
        </w:rPr>
        <w:t xml:space="preserve"> </w:t>
      </w:r>
      <w:r>
        <w:rPr>
          <w:i/>
          <w:sz w:val="18"/>
        </w:rPr>
        <w:t>Navigant)</w:t>
      </w:r>
      <w:r>
        <w:rPr>
          <w:i/>
          <w:spacing w:val="-3"/>
          <w:sz w:val="18"/>
        </w:rPr>
        <w:t xml:space="preserve"> </w:t>
      </w:r>
      <w:r>
        <w:rPr>
          <w:i/>
          <w:sz w:val="18"/>
        </w:rPr>
        <w:t>analysis</w:t>
      </w:r>
      <w:r>
        <w:rPr>
          <w:i/>
          <w:spacing w:val="-3"/>
          <w:sz w:val="18"/>
        </w:rPr>
        <w:t xml:space="preserve"> </w:t>
      </w:r>
      <w:r>
        <w:rPr>
          <w:i/>
          <w:sz w:val="18"/>
        </w:rPr>
        <w:t>of</w:t>
      </w:r>
      <w:r>
        <w:rPr>
          <w:i/>
          <w:spacing w:val="-3"/>
          <w:sz w:val="18"/>
        </w:rPr>
        <w:t xml:space="preserve"> </w:t>
      </w:r>
      <w:r>
        <w:rPr>
          <w:i/>
          <w:sz w:val="18"/>
        </w:rPr>
        <w:t>data</w:t>
      </w:r>
      <w:r>
        <w:rPr>
          <w:i/>
          <w:spacing w:val="-4"/>
          <w:sz w:val="18"/>
        </w:rPr>
        <w:t xml:space="preserve"> </w:t>
      </w:r>
      <w:r>
        <w:rPr>
          <w:i/>
          <w:sz w:val="18"/>
        </w:rPr>
        <w:t>contained</w:t>
      </w:r>
      <w:r>
        <w:rPr>
          <w:i/>
          <w:spacing w:val="-4"/>
          <w:sz w:val="18"/>
        </w:rPr>
        <w:t xml:space="preserve"> </w:t>
      </w:r>
      <w:r>
        <w:rPr>
          <w:i/>
          <w:sz w:val="18"/>
        </w:rPr>
        <w:t>in</w:t>
      </w:r>
      <w:r>
        <w:rPr>
          <w:i/>
          <w:spacing w:val="-4"/>
          <w:sz w:val="18"/>
        </w:rPr>
        <w:t xml:space="preserve"> </w:t>
      </w:r>
      <w:r>
        <w:rPr>
          <w:i/>
          <w:sz w:val="18"/>
        </w:rPr>
        <w:t>the</w:t>
      </w:r>
      <w:r>
        <w:rPr>
          <w:i/>
          <w:spacing w:val="-2"/>
          <w:sz w:val="18"/>
        </w:rPr>
        <w:t xml:space="preserve"> </w:t>
      </w:r>
      <w:r>
        <w:rPr>
          <w:i/>
          <w:sz w:val="18"/>
        </w:rPr>
        <w:t>Demand</w:t>
      </w:r>
      <w:r>
        <w:rPr>
          <w:i/>
          <w:spacing w:val="-4"/>
          <w:sz w:val="18"/>
        </w:rPr>
        <w:t xml:space="preserve"> </w:t>
      </w:r>
      <w:r>
        <w:rPr>
          <w:i/>
          <w:sz w:val="18"/>
        </w:rPr>
        <w:t>Side</w:t>
      </w:r>
      <w:r>
        <w:rPr>
          <w:i/>
          <w:spacing w:val="-2"/>
          <w:sz w:val="18"/>
        </w:rPr>
        <w:t xml:space="preserve"> </w:t>
      </w:r>
      <w:r>
        <w:rPr>
          <w:i/>
          <w:sz w:val="18"/>
        </w:rPr>
        <w:t>Resource</w:t>
      </w:r>
      <w:r>
        <w:rPr>
          <w:i/>
          <w:spacing w:val="-4"/>
          <w:sz w:val="18"/>
        </w:rPr>
        <w:t xml:space="preserve"> </w:t>
      </w:r>
      <w:r>
        <w:rPr>
          <w:i/>
          <w:sz w:val="18"/>
        </w:rPr>
        <w:t>Potential</w:t>
      </w:r>
      <w:r>
        <w:rPr>
          <w:i/>
          <w:spacing w:val="-3"/>
          <w:sz w:val="18"/>
        </w:rPr>
        <w:t xml:space="preserve"> </w:t>
      </w:r>
      <w:r>
        <w:rPr>
          <w:i/>
          <w:sz w:val="18"/>
        </w:rPr>
        <w:t xml:space="preserve">Study prepared for Kansas City Power and Light, August </w:t>
      </w:r>
      <w:r>
        <w:rPr>
          <w:i/>
          <w:sz w:val="18"/>
        </w:rPr>
        <w:t>2013</w:t>
      </w:r>
    </w:p>
    <w:p w:rsidR="00C31389" w:rsidRDefault="00C31389" w14:paraId="7794BEF1" w14:textId="77777777">
      <w:pPr>
        <w:pStyle w:val="BodyText"/>
        <w:spacing w:before="11"/>
        <w:rPr>
          <w:i/>
          <w:sz w:val="20"/>
        </w:rPr>
      </w:pPr>
    </w:p>
    <w:p w:rsidR="00C31389" w:rsidRDefault="00561FBD" w14:paraId="206E0D5A" w14:textId="77777777">
      <w:pPr>
        <w:pStyle w:val="Heading7"/>
        <w:ind w:left="480"/>
        <w:jc w:val="both"/>
      </w:pPr>
      <w:r>
        <w:t>Applying</w:t>
      </w:r>
      <w:r>
        <w:rPr>
          <w:spacing w:val="-11"/>
        </w:rPr>
        <w:t xml:space="preserve"> </w:t>
      </w:r>
      <w:r>
        <w:rPr>
          <w:spacing w:val="-2"/>
        </w:rPr>
        <w:t>Incentives</w:t>
      </w:r>
    </w:p>
    <w:p w:rsidR="00C31389" w:rsidRDefault="00C31389" w14:paraId="3902FB74" w14:textId="77777777">
      <w:pPr>
        <w:pStyle w:val="BodyText"/>
        <w:spacing w:before="10"/>
        <w:rPr>
          <w:b/>
          <w:sz w:val="20"/>
        </w:rPr>
      </w:pPr>
    </w:p>
    <w:p w:rsidR="00C31389" w:rsidRDefault="00561FBD" w14:paraId="42756F1A" w14:textId="77777777">
      <w:pPr>
        <w:pStyle w:val="BodyText"/>
        <w:ind w:left="480" w:right="618"/>
        <w:jc w:val="both"/>
      </w:pPr>
      <w:r>
        <w:t>The</w:t>
      </w:r>
      <w:r>
        <w:rPr>
          <w:spacing w:val="-3"/>
        </w:rPr>
        <w:t xml:space="preserve"> </w:t>
      </w:r>
      <w:r>
        <w:t>two</w:t>
      </w:r>
      <w:r>
        <w:rPr>
          <w:spacing w:val="-3"/>
        </w:rPr>
        <w:t xml:space="preserve"> </w:t>
      </w:r>
      <w:r>
        <w:t>value</w:t>
      </w:r>
      <w:r>
        <w:rPr>
          <w:spacing w:val="-3"/>
        </w:rPr>
        <w:t xml:space="preserve"> </w:t>
      </w:r>
      <w:r>
        <w:t>factors</w:t>
      </w:r>
      <w:r>
        <w:rPr>
          <w:spacing w:val="-3"/>
        </w:rPr>
        <w:t xml:space="preserve"> </w:t>
      </w:r>
      <w:r>
        <w:t>for</w:t>
      </w:r>
      <w:r>
        <w:rPr>
          <w:spacing w:val="-3"/>
        </w:rPr>
        <w:t xml:space="preserve"> </w:t>
      </w:r>
      <w:r>
        <w:t>informing</w:t>
      </w:r>
      <w:r>
        <w:rPr>
          <w:spacing w:val="-3"/>
        </w:rPr>
        <w:t xml:space="preserve"> </w:t>
      </w:r>
      <w:r>
        <w:t>customer</w:t>
      </w:r>
      <w:r>
        <w:rPr>
          <w:spacing w:val="-3"/>
        </w:rPr>
        <w:t xml:space="preserve"> </w:t>
      </w:r>
      <w:r>
        <w:t>adoption</w:t>
      </w:r>
      <w:r>
        <w:rPr>
          <w:spacing w:val="-3"/>
        </w:rPr>
        <w:t xml:space="preserve"> </w:t>
      </w:r>
      <w:r>
        <w:t>are</w:t>
      </w:r>
      <w:r>
        <w:rPr>
          <w:spacing w:val="-3"/>
        </w:rPr>
        <w:t xml:space="preserve"> </w:t>
      </w:r>
      <w:r>
        <w:t>upfront</w:t>
      </w:r>
      <w:r>
        <w:rPr>
          <w:spacing w:val="-3"/>
        </w:rPr>
        <w:t xml:space="preserve"> </w:t>
      </w:r>
      <w:r>
        <w:t>cost</w:t>
      </w:r>
      <w:r>
        <w:rPr>
          <w:spacing w:val="-3"/>
        </w:rPr>
        <w:t xml:space="preserve"> </w:t>
      </w:r>
      <w:r>
        <w:t>and</w:t>
      </w:r>
      <w:r>
        <w:rPr>
          <w:spacing w:val="-3"/>
        </w:rPr>
        <w:t xml:space="preserve"> </w:t>
      </w:r>
      <w:r>
        <w:t>lifetime</w:t>
      </w:r>
      <w:r>
        <w:rPr>
          <w:spacing w:val="-3"/>
        </w:rPr>
        <w:t xml:space="preserve"> </w:t>
      </w:r>
      <w:r>
        <w:t>cost.</w:t>
      </w:r>
      <w:r>
        <w:rPr>
          <w:spacing w:val="-3"/>
        </w:rPr>
        <w:t xml:space="preserve"> </w:t>
      </w:r>
      <w:r>
        <w:t>These are the net out-of-pocket costs a customer pays to purchase and install a technology. Rebates and incentives provided to the customer</w:t>
      </w:r>
      <w:r>
        <w:t xml:space="preserve"> act to decrease the cost.</w:t>
      </w:r>
    </w:p>
    <w:p w:rsidR="00C31389" w:rsidRDefault="00C31389" w14:paraId="2E3409BE" w14:textId="77777777">
      <w:pPr>
        <w:pStyle w:val="BodyText"/>
        <w:spacing w:before="9"/>
        <w:rPr>
          <w:sz w:val="20"/>
        </w:rPr>
      </w:pPr>
    </w:p>
    <w:p w:rsidR="00C31389" w:rsidRDefault="00561FBD" w14:paraId="1D669AF0" w14:textId="77777777">
      <w:pPr>
        <w:pStyle w:val="BodyText"/>
        <w:spacing w:before="1"/>
        <w:ind w:left="480" w:right="533"/>
      </w:pPr>
      <w:r>
        <w:t>The</w:t>
      </w:r>
      <w:r>
        <w:rPr>
          <w:spacing w:val="-3"/>
        </w:rPr>
        <w:t xml:space="preserve"> </w:t>
      </w:r>
      <w:r>
        <w:t>PG</w:t>
      </w:r>
      <w:r>
        <w:rPr>
          <w:spacing w:val="-3"/>
        </w:rPr>
        <w:t xml:space="preserve"> </w:t>
      </w:r>
      <w:r>
        <w:t>Model</w:t>
      </w:r>
      <w:r>
        <w:rPr>
          <w:spacing w:val="-3"/>
        </w:rPr>
        <w:t xml:space="preserve"> </w:t>
      </w:r>
      <w:r>
        <w:t>is</w:t>
      </w:r>
      <w:r>
        <w:rPr>
          <w:spacing w:val="-3"/>
        </w:rPr>
        <w:t xml:space="preserve"> </w:t>
      </w:r>
      <w:r>
        <w:t>agnostic</w:t>
      </w:r>
      <w:r>
        <w:rPr>
          <w:spacing w:val="-3"/>
        </w:rPr>
        <w:t xml:space="preserve"> </w:t>
      </w:r>
      <w:r>
        <w:t>as</w:t>
      </w:r>
      <w:r>
        <w:rPr>
          <w:spacing w:val="-3"/>
        </w:rPr>
        <w:t xml:space="preserve"> </w:t>
      </w:r>
      <w:r>
        <w:t>to</w:t>
      </w:r>
      <w:r>
        <w:rPr>
          <w:spacing w:val="-3"/>
        </w:rPr>
        <w:t xml:space="preserve"> </w:t>
      </w:r>
      <w:r>
        <w:t>the</w:t>
      </w:r>
      <w:r>
        <w:rPr>
          <w:spacing w:val="-3"/>
        </w:rPr>
        <w:t xml:space="preserve"> </w:t>
      </w:r>
      <w:r>
        <w:t>funding</w:t>
      </w:r>
      <w:r>
        <w:rPr>
          <w:spacing w:val="-3"/>
        </w:rPr>
        <w:t xml:space="preserve"> </w:t>
      </w:r>
      <w:r>
        <w:t>source</w:t>
      </w:r>
      <w:r>
        <w:rPr>
          <w:spacing w:val="-3"/>
        </w:rPr>
        <w:t xml:space="preserve"> </w:t>
      </w:r>
      <w:r>
        <w:t>for</w:t>
      </w:r>
      <w:r>
        <w:rPr>
          <w:spacing w:val="-3"/>
        </w:rPr>
        <w:t xml:space="preserve"> </w:t>
      </w:r>
      <w:r>
        <w:t>the</w:t>
      </w:r>
      <w:r>
        <w:rPr>
          <w:spacing w:val="-3"/>
        </w:rPr>
        <w:t xml:space="preserve"> </w:t>
      </w:r>
      <w:r>
        <w:t>utility</w:t>
      </w:r>
      <w:r>
        <w:rPr>
          <w:spacing w:val="-3"/>
        </w:rPr>
        <w:t xml:space="preserve"> </w:t>
      </w:r>
      <w:r>
        <w:t>incentive;</w:t>
      </w:r>
      <w:r>
        <w:rPr>
          <w:spacing w:val="-3"/>
        </w:rPr>
        <w:t xml:space="preserve"> </w:t>
      </w:r>
      <w:r>
        <w:t>instead,</w:t>
      </w:r>
      <w:r>
        <w:rPr>
          <w:spacing w:val="-3"/>
        </w:rPr>
        <w:t xml:space="preserve"> </w:t>
      </w:r>
      <w:r>
        <w:t>it</w:t>
      </w:r>
      <w:r>
        <w:rPr>
          <w:spacing w:val="-5"/>
        </w:rPr>
        <w:t xml:space="preserve"> </w:t>
      </w:r>
      <w:r>
        <w:t>models</w:t>
      </w:r>
      <w:r>
        <w:rPr>
          <w:spacing w:val="-3"/>
        </w:rPr>
        <w:t xml:space="preserve"> </w:t>
      </w:r>
      <w:r>
        <w:t xml:space="preserve">the customer’s response to the total incentive amount they are offered. EE and FS incentives are calculated on a $/kWh and </w:t>
      </w:r>
      <w:r>
        <w:t>$/therm basis capped at a maximum value (50% or 75% of incremental cost for EE, 75% or 90% of incremental cost for FS, depending on the scenario).</w:t>
      </w:r>
    </w:p>
    <w:p w:rsidR="00C31389" w:rsidRDefault="00C31389" w14:paraId="0452A5A9" w14:textId="77777777">
      <w:pPr>
        <w:pStyle w:val="BodyText"/>
        <w:spacing w:before="4"/>
        <w:rPr>
          <w:sz w:val="31"/>
        </w:rPr>
      </w:pPr>
    </w:p>
    <w:p w:rsidR="00C31389" w:rsidRDefault="00561FBD" w14:paraId="71A9E7E8" w14:textId="77777777">
      <w:pPr>
        <w:pStyle w:val="Heading8"/>
        <w:numPr>
          <w:ilvl w:val="3"/>
          <w:numId w:val="71"/>
        </w:numPr>
        <w:tabs>
          <w:tab w:val="left" w:pos="1212"/>
        </w:tabs>
        <w:ind w:left="1212" w:hanging="732"/>
      </w:pPr>
      <w:bookmarkStart w:name="2.1.1.5_Calculating_Cumulative_Achievabl" w:id="80"/>
      <w:bookmarkEnd w:id="80"/>
      <w:r>
        <w:t>Calculating</w:t>
      </w:r>
      <w:r>
        <w:rPr>
          <w:spacing w:val="-13"/>
        </w:rPr>
        <w:t xml:space="preserve"> </w:t>
      </w:r>
      <w:r>
        <w:t>Cumulative</w:t>
      </w:r>
      <w:r>
        <w:rPr>
          <w:spacing w:val="-13"/>
        </w:rPr>
        <w:t xml:space="preserve"> </w:t>
      </w:r>
      <w:r>
        <w:t>Achievable</w:t>
      </w:r>
      <w:r>
        <w:rPr>
          <w:spacing w:val="-13"/>
        </w:rPr>
        <w:t xml:space="preserve"> </w:t>
      </w:r>
      <w:r>
        <w:rPr>
          <w:spacing w:val="-2"/>
        </w:rPr>
        <w:t>Potential</w:t>
      </w:r>
    </w:p>
    <w:p w:rsidR="00C31389" w:rsidRDefault="00C31389" w14:paraId="1E32B33B" w14:textId="77777777">
      <w:pPr>
        <w:pStyle w:val="BodyText"/>
        <w:spacing w:before="10"/>
        <w:rPr>
          <w:b/>
          <w:i/>
          <w:sz w:val="20"/>
        </w:rPr>
      </w:pPr>
    </w:p>
    <w:p w:rsidR="00C31389" w:rsidRDefault="00561FBD" w14:paraId="1A12B354" w14:textId="77777777">
      <w:pPr>
        <w:pStyle w:val="BodyText"/>
        <w:ind w:left="480" w:right="565" w:hanging="1"/>
      </w:pPr>
      <w:r>
        <w:t xml:space="preserve">Potential and goals studies report incremental and </w:t>
      </w:r>
      <w:r>
        <w:t>cumulative savings. Recently, IOU goals have been based on incremental savings only, while cumulative savings were used to inform the CEC demand forecast. Cumulative savings represent the total EE program savings from measures</w:t>
      </w:r>
      <w:r>
        <w:rPr>
          <w:spacing w:val="-2"/>
        </w:rPr>
        <w:t xml:space="preserve"> </w:t>
      </w:r>
      <w:r>
        <w:t>installed</w:t>
      </w:r>
      <w:r>
        <w:rPr>
          <w:spacing w:val="-2"/>
        </w:rPr>
        <w:t xml:space="preserve"> </w:t>
      </w:r>
      <w:r>
        <w:t>since</w:t>
      </w:r>
      <w:r>
        <w:rPr>
          <w:spacing w:val="-3"/>
        </w:rPr>
        <w:t xml:space="preserve"> </w:t>
      </w:r>
      <w:r>
        <w:t>a</w:t>
      </w:r>
      <w:r>
        <w:rPr>
          <w:spacing w:val="-2"/>
        </w:rPr>
        <w:t xml:space="preserve"> </w:t>
      </w:r>
      <w:r>
        <w:t>start</w:t>
      </w:r>
      <w:r>
        <w:rPr>
          <w:spacing w:val="-2"/>
        </w:rPr>
        <w:t xml:space="preserve"> </w:t>
      </w:r>
      <w:r>
        <w:t>year</w:t>
      </w:r>
      <w:r>
        <w:rPr>
          <w:spacing w:val="-3"/>
        </w:rPr>
        <w:t xml:space="preserve"> </w:t>
      </w:r>
      <w:r>
        <w:t>(2024</w:t>
      </w:r>
      <w:r>
        <w:rPr>
          <w:spacing w:val="-2"/>
        </w:rPr>
        <w:t xml:space="preserve"> </w:t>
      </w:r>
      <w:r>
        <w:t>for</w:t>
      </w:r>
      <w:r>
        <w:rPr>
          <w:spacing w:val="-2"/>
        </w:rPr>
        <w:t xml:space="preserve"> </w:t>
      </w:r>
      <w:r>
        <w:t>this</w:t>
      </w:r>
      <w:r>
        <w:rPr>
          <w:spacing w:val="-2"/>
        </w:rPr>
        <w:t xml:space="preserve"> </w:t>
      </w:r>
      <w:r>
        <w:t>study)</w:t>
      </w:r>
      <w:r>
        <w:rPr>
          <w:spacing w:val="-2"/>
        </w:rPr>
        <w:t xml:space="preserve"> </w:t>
      </w:r>
      <w:r>
        <w:t>and</w:t>
      </w:r>
      <w:r>
        <w:rPr>
          <w:spacing w:val="-3"/>
        </w:rPr>
        <w:t xml:space="preserve"> </w:t>
      </w:r>
      <w:r>
        <w:t>that</w:t>
      </w:r>
      <w:r>
        <w:rPr>
          <w:spacing w:val="-2"/>
        </w:rPr>
        <w:t xml:space="preserve"> </w:t>
      </w:r>
      <w:r>
        <w:t>are</w:t>
      </w:r>
      <w:r>
        <w:rPr>
          <w:spacing w:val="-2"/>
        </w:rPr>
        <w:t xml:space="preserve"> </w:t>
      </w:r>
      <w:r>
        <w:t>still</w:t>
      </w:r>
      <w:r>
        <w:rPr>
          <w:spacing w:val="-3"/>
        </w:rPr>
        <w:t xml:space="preserve"> </w:t>
      </w:r>
      <w:r>
        <w:t>active</w:t>
      </w:r>
      <w:r>
        <w:rPr>
          <w:spacing w:val="-2"/>
        </w:rPr>
        <w:t xml:space="preserve"> </w:t>
      </w:r>
      <w:r>
        <w:t>in</w:t>
      </w:r>
      <w:r>
        <w:rPr>
          <w:spacing w:val="-2"/>
        </w:rPr>
        <w:t xml:space="preserve"> </w:t>
      </w:r>
      <w:r>
        <w:t>the</w:t>
      </w:r>
      <w:r>
        <w:rPr>
          <w:spacing w:val="-2"/>
        </w:rPr>
        <w:t xml:space="preserve"> </w:t>
      </w:r>
      <w:r>
        <w:t>current year. Active savings are calculated by accounting for the following:</w:t>
      </w:r>
    </w:p>
    <w:p w:rsidR="00C31389" w:rsidRDefault="00561FBD" w14:paraId="5A766FA3" w14:textId="77777777">
      <w:pPr>
        <w:pStyle w:val="ListParagraph"/>
        <w:numPr>
          <w:ilvl w:val="4"/>
          <w:numId w:val="71"/>
        </w:numPr>
        <w:tabs>
          <w:tab w:val="left" w:pos="1199"/>
        </w:tabs>
        <w:spacing w:before="120"/>
        <w:ind w:hanging="359"/>
      </w:pPr>
      <w:r>
        <w:t>Decay</w:t>
      </w:r>
      <w:r>
        <w:rPr>
          <w:spacing w:val="-6"/>
        </w:rPr>
        <w:t xml:space="preserve"> </w:t>
      </w:r>
      <w:r>
        <w:t>of</w:t>
      </w:r>
      <w:r>
        <w:rPr>
          <w:spacing w:val="-5"/>
        </w:rPr>
        <w:t xml:space="preserve"> </w:t>
      </w:r>
      <w:r>
        <w:t>savings</w:t>
      </w:r>
      <w:r>
        <w:rPr>
          <w:spacing w:val="-5"/>
        </w:rPr>
        <w:t xml:space="preserve"> </w:t>
      </w:r>
      <w:r>
        <w:t>as</w:t>
      </w:r>
      <w:r>
        <w:rPr>
          <w:spacing w:val="-6"/>
        </w:rPr>
        <w:t xml:space="preserve"> </w:t>
      </w:r>
      <w:r>
        <w:t>measures</w:t>
      </w:r>
      <w:r>
        <w:rPr>
          <w:spacing w:val="-5"/>
        </w:rPr>
        <w:t xml:space="preserve"> </w:t>
      </w:r>
      <w:r>
        <w:t>reach</w:t>
      </w:r>
      <w:r>
        <w:rPr>
          <w:spacing w:val="-5"/>
        </w:rPr>
        <w:t xml:space="preserve"> </w:t>
      </w:r>
      <w:r>
        <w:t>the</w:t>
      </w:r>
      <w:r>
        <w:rPr>
          <w:spacing w:val="-5"/>
        </w:rPr>
        <w:t xml:space="preserve"> </w:t>
      </w:r>
      <w:r>
        <w:t>end</w:t>
      </w:r>
      <w:r>
        <w:rPr>
          <w:spacing w:val="-5"/>
        </w:rPr>
        <w:t xml:space="preserve"> </w:t>
      </w:r>
      <w:r>
        <w:t>of</w:t>
      </w:r>
      <w:r>
        <w:rPr>
          <w:spacing w:val="-6"/>
        </w:rPr>
        <w:t xml:space="preserve"> </w:t>
      </w:r>
      <w:r>
        <w:t>their</w:t>
      </w:r>
      <w:r>
        <w:rPr>
          <w:spacing w:val="-5"/>
        </w:rPr>
        <w:t xml:space="preserve"> </w:t>
      </w:r>
      <w:r>
        <w:t>useful</w:t>
      </w:r>
      <w:r>
        <w:rPr>
          <w:spacing w:val="-6"/>
        </w:rPr>
        <w:t xml:space="preserve"> </w:t>
      </w:r>
      <w:r>
        <w:rPr>
          <w:spacing w:val="-2"/>
        </w:rPr>
        <w:t>lives</w:t>
      </w:r>
    </w:p>
    <w:p w:rsidR="00C31389" w:rsidRDefault="00561FBD" w14:paraId="0CA59D0E" w14:textId="77777777">
      <w:pPr>
        <w:pStyle w:val="ListParagraph"/>
        <w:numPr>
          <w:ilvl w:val="4"/>
          <w:numId w:val="71"/>
        </w:numPr>
        <w:tabs>
          <w:tab w:val="left" w:pos="1199"/>
        </w:tabs>
        <w:spacing w:before="118"/>
      </w:pPr>
      <w:r>
        <w:t>C&amp;S</w:t>
      </w:r>
      <w:r>
        <w:rPr>
          <w:spacing w:val="-5"/>
        </w:rPr>
        <w:t xml:space="preserve"> </w:t>
      </w:r>
      <w:r>
        <w:t>that</w:t>
      </w:r>
      <w:r>
        <w:rPr>
          <w:spacing w:val="-5"/>
        </w:rPr>
        <w:t xml:space="preserve"> </w:t>
      </w:r>
      <w:r>
        <w:t>come</w:t>
      </w:r>
      <w:r>
        <w:rPr>
          <w:spacing w:val="-5"/>
        </w:rPr>
        <w:t xml:space="preserve"> </w:t>
      </w:r>
      <w:r>
        <w:t>into</w:t>
      </w:r>
      <w:r>
        <w:rPr>
          <w:spacing w:val="-5"/>
        </w:rPr>
        <w:t xml:space="preserve"> </w:t>
      </w:r>
      <w:r>
        <w:t>effect</w:t>
      </w:r>
      <w:r>
        <w:rPr>
          <w:spacing w:val="-5"/>
        </w:rPr>
        <w:t xml:space="preserve"> </w:t>
      </w:r>
      <w:r>
        <w:t>over</w:t>
      </w:r>
      <w:r>
        <w:rPr>
          <w:spacing w:val="-5"/>
        </w:rPr>
        <w:t xml:space="preserve"> </w:t>
      </w:r>
      <w:r>
        <w:rPr>
          <w:spacing w:val="-4"/>
        </w:rPr>
        <w:t>time</w:t>
      </w:r>
    </w:p>
    <w:p w:rsidR="00C31389" w:rsidRDefault="00C31389" w14:paraId="4886D796" w14:textId="77777777">
      <w:pPr>
        <w:pStyle w:val="BodyText"/>
        <w:spacing w:before="8"/>
        <w:rPr>
          <w:sz w:val="20"/>
        </w:rPr>
      </w:pPr>
    </w:p>
    <w:p w:rsidR="00C31389" w:rsidRDefault="00561FBD" w14:paraId="7809637D" w14:textId="77777777">
      <w:pPr>
        <w:pStyle w:val="BodyText"/>
        <w:spacing w:before="1"/>
        <w:ind w:left="479" w:right="544"/>
      </w:pPr>
      <w:r>
        <w:t xml:space="preserve">Unlike annual </w:t>
      </w:r>
      <w:r>
        <w:t>savings, cumulative savings include savings from re-participants. Incremental savings only consider first time adopters. Sustained savings from re-adoptions need to be counted in cumulative savings for the demand forecast. The</w:t>
      </w:r>
      <w:r>
        <w:rPr>
          <w:spacing w:val="-1"/>
        </w:rPr>
        <w:t xml:space="preserve"> </w:t>
      </w:r>
      <w:r>
        <w:t>PG Model assumes re-participa</w:t>
      </w:r>
      <w:r>
        <w:t>nts re-adopt</w:t>
      </w:r>
      <w:r>
        <w:rPr>
          <w:spacing w:val="-3"/>
        </w:rPr>
        <w:t xml:space="preserve"> </w:t>
      </w:r>
      <w:r>
        <w:t>measures</w:t>
      </w:r>
      <w:r>
        <w:rPr>
          <w:spacing w:val="-3"/>
        </w:rPr>
        <w:t xml:space="preserve"> </w:t>
      </w:r>
      <w:r>
        <w:t>at</w:t>
      </w:r>
      <w:r>
        <w:rPr>
          <w:spacing w:val="-3"/>
        </w:rPr>
        <w:t xml:space="preserve"> </w:t>
      </w:r>
      <w:r>
        <w:t>the</w:t>
      </w:r>
      <w:r>
        <w:rPr>
          <w:spacing w:val="-3"/>
        </w:rPr>
        <w:t xml:space="preserve"> </w:t>
      </w:r>
      <w:r>
        <w:t>same</w:t>
      </w:r>
      <w:r>
        <w:rPr>
          <w:spacing w:val="-3"/>
        </w:rPr>
        <w:t xml:space="preserve"> </w:t>
      </w:r>
      <w:r>
        <w:t>rate</w:t>
      </w:r>
      <w:r>
        <w:rPr>
          <w:spacing w:val="-3"/>
        </w:rPr>
        <w:t xml:space="preserve"> </w:t>
      </w:r>
      <w:r>
        <w:t>as</w:t>
      </w:r>
      <w:r>
        <w:rPr>
          <w:spacing w:val="-3"/>
        </w:rPr>
        <w:t xml:space="preserve"> </w:t>
      </w:r>
      <w:r>
        <w:t>new</w:t>
      </w:r>
      <w:r>
        <w:rPr>
          <w:spacing w:val="-4"/>
        </w:rPr>
        <w:t xml:space="preserve"> </w:t>
      </w:r>
      <w:r>
        <w:t>participants,</w:t>
      </w:r>
      <w:r>
        <w:rPr>
          <w:spacing w:val="-4"/>
        </w:rPr>
        <w:t xml:space="preserve"> </w:t>
      </w:r>
      <w:r>
        <w:t>consistent</w:t>
      </w:r>
      <w:r>
        <w:rPr>
          <w:spacing w:val="-3"/>
        </w:rPr>
        <w:t xml:space="preserve"> </w:t>
      </w:r>
      <w:r>
        <w:t>with</w:t>
      </w:r>
      <w:r>
        <w:rPr>
          <w:spacing w:val="-3"/>
        </w:rPr>
        <w:t xml:space="preserve"> </w:t>
      </w:r>
      <w:r>
        <w:t>the</w:t>
      </w:r>
      <w:r>
        <w:rPr>
          <w:spacing w:val="-3"/>
        </w:rPr>
        <w:t xml:space="preserve"> </w:t>
      </w:r>
      <w:r>
        <w:t>2021</w:t>
      </w:r>
      <w:r>
        <w:rPr>
          <w:spacing w:val="-2"/>
        </w:rPr>
        <w:t xml:space="preserve"> </w:t>
      </w:r>
      <w:r>
        <w:t>Study.</w:t>
      </w:r>
      <w:r>
        <w:rPr>
          <w:spacing w:val="-3"/>
        </w:rPr>
        <w:t xml:space="preserve"> </w:t>
      </w:r>
      <w:hyperlink w:history="1" w:anchor="_bookmark64">
        <w:r>
          <w:t>Figure</w:t>
        </w:r>
      </w:hyperlink>
      <w:r>
        <w:t xml:space="preserve"> </w:t>
      </w:r>
      <w:hyperlink w:history="1" w:anchor="_bookmark64">
        <w:r>
          <w:t>2-9</w:t>
        </w:r>
      </w:hyperlink>
      <w:r>
        <w:t xml:space="preserve"> illustrates the calculat</w:t>
      </w:r>
      <w:r>
        <w:t>ion of cumulative savings.</w:t>
      </w:r>
    </w:p>
    <w:p w:rsidR="00C31389" w:rsidRDefault="00C31389" w14:paraId="1B3AB5FD" w14:textId="77777777">
      <w:pPr>
        <w:sectPr w:rsidR="00C31389">
          <w:pgSz w:w="12240" w:h="15840"/>
          <w:pgMar w:top="1660" w:right="960" w:bottom="1120" w:left="960" w:header="397" w:footer="936" w:gutter="0"/>
          <w:cols w:space="720"/>
        </w:sectPr>
      </w:pPr>
    </w:p>
    <w:p w:rsidR="00C31389" w:rsidRDefault="00C31389" w14:paraId="36645CE3" w14:textId="77777777">
      <w:pPr>
        <w:pStyle w:val="BodyText"/>
        <w:spacing w:before="11"/>
        <w:rPr>
          <w:sz w:val="13"/>
        </w:rPr>
      </w:pPr>
    </w:p>
    <w:p w:rsidR="00C31389" w:rsidRDefault="00561FBD" w14:paraId="434C5039" w14:textId="77777777">
      <w:pPr>
        <w:pStyle w:val="Heading7"/>
        <w:spacing w:before="92"/>
        <w:ind w:left="566" w:right="566"/>
        <w:jc w:val="center"/>
      </w:pPr>
      <w:bookmarkStart w:name="_bookmark64" w:id="81"/>
      <w:bookmarkEnd w:id="81"/>
      <w:r>
        <w:t>Figure</w:t>
      </w:r>
      <w:r>
        <w:rPr>
          <w:spacing w:val="-9"/>
        </w:rPr>
        <w:t xml:space="preserve"> </w:t>
      </w:r>
      <w:r>
        <w:t>2-9.</w:t>
      </w:r>
      <w:r>
        <w:rPr>
          <w:spacing w:val="-9"/>
        </w:rPr>
        <w:t xml:space="preserve"> </w:t>
      </w:r>
      <w:r>
        <w:t>Cumulative</w:t>
      </w:r>
      <w:r>
        <w:rPr>
          <w:spacing w:val="-9"/>
        </w:rPr>
        <w:t xml:space="preserve"> </w:t>
      </w:r>
      <w:r>
        <w:t>Savings</w:t>
      </w:r>
      <w:r>
        <w:rPr>
          <w:spacing w:val="-8"/>
        </w:rPr>
        <w:t xml:space="preserve"> </w:t>
      </w:r>
      <w:r>
        <w:rPr>
          <w:spacing w:val="-2"/>
        </w:rPr>
        <w:t>Illustration</w:t>
      </w:r>
    </w:p>
    <w:p w:rsidR="00C31389" w:rsidRDefault="00561FBD" w14:paraId="61AE79CA" w14:textId="77777777">
      <w:pPr>
        <w:pStyle w:val="BodyText"/>
        <w:spacing w:before="4"/>
        <w:rPr>
          <w:b/>
          <w:sz w:val="8"/>
        </w:rPr>
      </w:pPr>
      <w:r>
        <w:rPr>
          <w:noProof/>
        </w:rPr>
        <w:drawing>
          <wp:anchor distT="0" distB="0" distL="0" distR="0" simplePos="0" relativeHeight="487612416" behindDoc="1" locked="0" layoutInCell="1" allowOverlap="1" wp14:editId="719A769E" wp14:anchorId="59ECEF05">
            <wp:simplePos x="0" y="0"/>
            <wp:positionH relativeFrom="page">
              <wp:posOffset>1333817</wp:posOffset>
            </wp:positionH>
            <wp:positionV relativeFrom="paragraph">
              <wp:posOffset>76793</wp:posOffset>
            </wp:positionV>
            <wp:extent cx="5040924" cy="2798254"/>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9" cstate="print"/>
                    <a:stretch>
                      <a:fillRect/>
                    </a:stretch>
                  </pic:blipFill>
                  <pic:spPr>
                    <a:xfrm>
                      <a:off x="0" y="0"/>
                      <a:ext cx="5040924" cy="2798254"/>
                    </a:xfrm>
                    <a:prstGeom prst="rect">
                      <a:avLst/>
                    </a:prstGeom>
                  </pic:spPr>
                </pic:pic>
              </a:graphicData>
            </a:graphic>
          </wp:anchor>
        </w:drawing>
      </w:r>
    </w:p>
    <w:p w:rsidR="00C31389" w:rsidRDefault="00561FBD" w14:paraId="7D83277A" w14:textId="77777777">
      <w:pPr>
        <w:spacing w:before="108"/>
        <w:ind w:left="480"/>
        <w:rPr>
          <w:i/>
          <w:sz w:val="18"/>
        </w:rPr>
      </w:pPr>
      <w:r>
        <w:rPr>
          <w:i/>
          <w:sz w:val="18"/>
        </w:rPr>
        <w:t>Source:</w:t>
      </w:r>
      <w:r>
        <w:rPr>
          <w:i/>
          <w:spacing w:val="-4"/>
          <w:sz w:val="18"/>
        </w:rPr>
        <w:t xml:space="preserve"> </w:t>
      </w:r>
      <w:r>
        <w:rPr>
          <w:i/>
          <w:spacing w:val="-2"/>
          <w:sz w:val="18"/>
        </w:rPr>
        <w:t>Guidehouse</w:t>
      </w:r>
    </w:p>
    <w:p w:rsidR="00C31389" w:rsidRDefault="00C31389" w14:paraId="2B8E5F25" w14:textId="77777777">
      <w:pPr>
        <w:pStyle w:val="BodyText"/>
        <w:spacing w:before="10"/>
        <w:rPr>
          <w:i/>
          <w:sz w:val="20"/>
        </w:rPr>
      </w:pPr>
    </w:p>
    <w:p w:rsidR="00C31389" w:rsidRDefault="00561FBD" w14:paraId="0FE4D09B" w14:textId="77777777">
      <w:pPr>
        <w:pStyle w:val="Heading3"/>
        <w:numPr>
          <w:ilvl w:val="2"/>
          <w:numId w:val="71"/>
        </w:numPr>
        <w:tabs>
          <w:tab w:val="left" w:pos="1076"/>
        </w:tabs>
        <w:spacing w:before="1"/>
        <w:ind w:left="1076" w:hanging="596"/>
      </w:pPr>
      <w:bookmarkStart w:name="2.1.2_FS" w:id="82"/>
      <w:bookmarkStart w:name="_bookmark65" w:id="83"/>
      <w:bookmarkEnd w:id="82"/>
      <w:bookmarkEnd w:id="83"/>
      <w:r>
        <w:rPr>
          <w:spacing w:val="-5"/>
        </w:rPr>
        <w:t>FS</w:t>
      </w:r>
    </w:p>
    <w:p w:rsidR="00C31389" w:rsidRDefault="00C31389" w14:paraId="58238CB2" w14:textId="77777777">
      <w:pPr>
        <w:pStyle w:val="BodyText"/>
        <w:spacing w:before="9"/>
        <w:rPr>
          <w:b/>
          <w:sz w:val="20"/>
        </w:rPr>
      </w:pPr>
    </w:p>
    <w:p w:rsidR="00C31389" w:rsidRDefault="00561FBD" w14:paraId="66D95FF4" w14:textId="77777777">
      <w:pPr>
        <w:pStyle w:val="BodyText"/>
        <w:ind w:left="480" w:right="533" w:hanging="1"/>
      </w:pPr>
      <w:r>
        <w:t xml:space="preserve">This study includes FS technologies in addition to the historically rebated EE technologies. FS technologies leverage much of the same methodology as used by historically rebated EE technologies previously described in Section </w:t>
      </w:r>
      <w:hyperlink w:history="1" w:anchor="_bookmark40">
        <w:r>
          <w:t>2.1.1</w:t>
        </w:r>
      </w:hyperlink>
      <w:r>
        <w:t>. This section describes the methodology to accommodate</w:t>
      </w:r>
      <w:r>
        <w:rPr>
          <w:spacing w:val="-3"/>
        </w:rPr>
        <w:t xml:space="preserve"> </w:t>
      </w:r>
      <w:r>
        <w:t>FS</w:t>
      </w:r>
      <w:r>
        <w:rPr>
          <w:spacing w:val="-3"/>
        </w:rPr>
        <w:t xml:space="preserve"> </w:t>
      </w:r>
      <w:r>
        <w:t>measures.</w:t>
      </w:r>
      <w:r>
        <w:rPr>
          <w:spacing w:val="-3"/>
        </w:rPr>
        <w:t xml:space="preserve"> </w:t>
      </w:r>
      <w:r>
        <w:t>More</w:t>
      </w:r>
      <w:r>
        <w:rPr>
          <w:spacing w:val="-3"/>
        </w:rPr>
        <w:t xml:space="preserve"> </w:t>
      </w:r>
      <w:r>
        <w:t>details</w:t>
      </w:r>
      <w:r>
        <w:rPr>
          <w:spacing w:val="-3"/>
        </w:rPr>
        <w:t xml:space="preserve"> </w:t>
      </w:r>
      <w:r>
        <w:t>on</w:t>
      </w:r>
      <w:r>
        <w:rPr>
          <w:spacing w:val="-3"/>
        </w:rPr>
        <w:t xml:space="preserve"> </w:t>
      </w:r>
      <w:r>
        <w:t>the</w:t>
      </w:r>
      <w:r>
        <w:rPr>
          <w:spacing w:val="-3"/>
        </w:rPr>
        <w:t xml:space="preserve"> </w:t>
      </w:r>
      <w:r>
        <w:t>FS</w:t>
      </w:r>
      <w:r>
        <w:rPr>
          <w:spacing w:val="-3"/>
        </w:rPr>
        <w:t xml:space="preserve"> </w:t>
      </w:r>
      <w:r>
        <w:t>methodology</w:t>
      </w:r>
      <w:r>
        <w:rPr>
          <w:spacing w:val="-3"/>
        </w:rPr>
        <w:t xml:space="preserve"> </w:t>
      </w:r>
      <w:r>
        <w:t>are</w:t>
      </w:r>
      <w:r>
        <w:rPr>
          <w:spacing w:val="-3"/>
        </w:rPr>
        <w:t xml:space="preserve"> </w:t>
      </w:r>
      <w:r>
        <w:t>contained</w:t>
      </w:r>
      <w:r>
        <w:rPr>
          <w:spacing w:val="-3"/>
        </w:rPr>
        <w:t xml:space="preserve"> </w:t>
      </w:r>
      <w:r>
        <w:t>in</w:t>
      </w:r>
      <w:r>
        <w:rPr>
          <w:spacing w:val="-3"/>
        </w:rPr>
        <w:t xml:space="preserve"> </w:t>
      </w:r>
      <w:hyperlink w:history="1" w:anchor="_bookmark234">
        <w:r>
          <w:t>Appendix</w:t>
        </w:r>
        <w:r>
          <w:rPr>
            <w:spacing w:val="-3"/>
          </w:rPr>
          <w:t xml:space="preserve"> </w:t>
        </w:r>
        <w:r>
          <w:t>B</w:t>
        </w:r>
      </w:hyperlink>
      <w:r>
        <w:t>.</w:t>
      </w:r>
    </w:p>
    <w:p w:rsidR="00C31389" w:rsidRDefault="00C31389" w14:paraId="3C4304EF" w14:textId="77777777">
      <w:pPr>
        <w:pStyle w:val="BodyText"/>
        <w:spacing w:before="10"/>
        <w:rPr>
          <w:sz w:val="20"/>
        </w:rPr>
      </w:pPr>
    </w:p>
    <w:p w:rsidR="00C31389" w:rsidRDefault="00561FBD" w14:paraId="722110E0" w14:textId="77777777">
      <w:pPr>
        <w:pStyle w:val="BodyText"/>
        <w:ind w:left="480" w:right="520"/>
      </w:pPr>
      <w:r>
        <w:t xml:space="preserve">FS </w:t>
      </w:r>
      <w:r>
        <w:t>involves replacing equipment utilizing one regulated fuel with equipment utilizing another regulated fuel, for example, substituting gas equipment for electric equipment. In this current study,</w:t>
      </w:r>
      <w:r>
        <w:rPr>
          <w:spacing w:val="-3"/>
        </w:rPr>
        <w:t xml:space="preserve"> </w:t>
      </w:r>
      <w:r>
        <w:t>FS</w:t>
      </w:r>
      <w:r>
        <w:rPr>
          <w:spacing w:val="-3"/>
        </w:rPr>
        <w:t xml:space="preserve"> </w:t>
      </w:r>
      <w:r>
        <w:t>includes</w:t>
      </w:r>
      <w:r>
        <w:rPr>
          <w:spacing w:val="-3"/>
        </w:rPr>
        <w:t xml:space="preserve"> </w:t>
      </w:r>
      <w:r>
        <w:t>replacing</w:t>
      </w:r>
      <w:r>
        <w:rPr>
          <w:spacing w:val="-3"/>
        </w:rPr>
        <w:t xml:space="preserve"> </w:t>
      </w:r>
      <w:r>
        <w:t>a</w:t>
      </w:r>
      <w:r>
        <w:rPr>
          <w:spacing w:val="-3"/>
        </w:rPr>
        <w:t xml:space="preserve"> </w:t>
      </w:r>
      <w:r>
        <w:t>gas</w:t>
      </w:r>
      <w:r>
        <w:rPr>
          <w:spacing w:val="-3"/>
        </w:rPr>
        <w:t xml:space="preserve"> </w:t>
      </w:r>
      <w:r>
        <w:t>baseline</w:t>
      </w:r>
      <w:r>
        <w:rPr>
          <w:spacing w:val="-3"/>
        </w:rPr>
        <w:t xml:space="preserve"> </w:t>
      </w:r>
      <w:r>
        <w:t>technology</w:t>
      </w:r>
      <w:r>
        <w:rPr>
          <w:spacing w:val="-3"/>
        </w:rPr>
        <w:t xml:space="preserve"> </w:t>
      </w:r>
      <w:r>
        <w:t>with</w:t>
      </w:r>
      <w:r>
        <w:rPr>
          <w:spacing w:val="-4"/>
        </w:rPr>
        <w:t xml:space="preserve"> </w:t>
      </w:r>
      <w:r>
        <w:t>an</w:t>
      </w:r>
      <w:r>
        <w:rPr>
          <w:spacing w:val="-3"/>
        </w:rPr>
        <w:t xml:space="preserve"> </w:t>
      </w:r>
      <w:r>
        <w:t>electr</w:t>
      </w:r>
      <w:r>
        <w:t>ic</w:t>
      </w:r>
      <w:r>
        <w:rPr>
          <w:spacing w:val="-4"/>
        </w:rPr>
        <w:t xml:space="preserve"> </w:t>
      </w:r>
      <w:r>
        <w:t>efficient</w:t>
      </w:r>
      <w:r>
        <w:rPr>
          <w:spacing w:val="-3"/>
        </w:rPr>
        <w:t xml:space="preserve"> </w:t>
      </w:r>
      <w:r>
        <w:t>technology.</w:t>
      </w:r>
      <w:r>
        <w:rPr>
          <w:spacing w:val="-3"/>
        </w:rPr>
        <w:t xml:space="preserve"> </w:t>
      </w:r>
      <w:r>
        <w:t xml:space="preserve">The current study includes FS measure packages that were approved and published in the CA eTRM as of late fall 2022. The current scope of FS includes only gas to electric substitution in HVAC, water heating, food service, and </w:t>
      </w:r>
      <w:r>
        <w:t>appliance end uses.</w:t>
      </w:r>
    </w:p>
    <w:p w:rsidR="00C31389" w:rsidRDefault="00C31389" w14:paraId="79914939" w14:textId="77777777">
      <w:pPr>
        <w:pStyle w:val="BodyText"/>
        <w:spacing w:before="3"/>
        <w:rPr>
          <w:sz w:val="31"/>
        </w:rPr>
      </w:pPr>
    </w:p>
    <w:p w:rsidR="00C31389" w:rsidRDefault="00561FBD" w14:paraId="55B3069E" w14:textId="77777777">
      <w:pPr>
        <w:pStyle w:val="Heading8"/>
        <w:numPr>
          <w:ilvl w:val="3"/>
          <w:numId w:val="71"/>
        </w:numPr>
        <w:tabs>
          <w:tab w:val="left" w:pos="1213"/>
        </w:tabs>
        <w:spacing w:before="1"/>
        <w:ind w:left="1213" w:hanging="732"/>
      </w:pPr>
      <w:bookmarkStart w:name="2.1.2.1_Technology_Groups,_Efficiency_Le" w:id="84"/>
      <w:bookmarkEnd w:id="84"/>
      <w:r>
        <w:t>Technology</w:t>
      </w:r>
      <w:r>
        <w:rPr>
          <w:spacing w:val="-10"/>
        </w:rPr>
        <w:t xml:space="preserve"> </w:t>
      </w:r>
      <w:r>
        <w:t>Groups,</w:t>
      </w:r>
      <w:r>
        <w:rPr>
          <w:spacing w:val="-8"/>
        </w:rPr>
        <w:t xml:space="preserve"> </w:t>
      </w:r>
      <w:r>
        <w:t>Efficiency</w:t>
      </w:r>
      <w:r>
        <w:rPr>
          <w:spacing w:val="-9"/>
        </w:rPr>
        <w:t xml:space="preserve"> </w:t>
      </w:r>
      <w:r>
        <w:t>Levels,</w:t>
      </w:r>
      <w:r>
        <w:rPr>
          <w:spacing w:val="-9"/>
        </w:rPr>
        <w:t xml:space="preserve"> </w:t>
      </w:r>
      <w:r>
        <w:t>and</w:t>
      </w:r>
      <w:r>
        <w:rPr>
          <w:spacing w:val="-9"/>
        </w:rPr>
        <w:t xml:space="preserve"> </w:t>
      </w:r>
      <w:r>
        <w:rPr>
          <w:spacing w:val="-2"/>
        </w:rPr>
        <w:t>Competition</w:t>
      </w:r>
    </w:p>
    <w:p w:rsidR="00C31389" w:rsidRDefault="00C31389" w14:paraId="5011BF6D" w14:textId="77777777">
      <w:pPr>
        <w:pStyle w:val="BodyText"/>
        <w:spacing w:before="10"/>
        <w:rPr>
          <w:b/>
          <w:i/>
          <w:sz w:val="20"/>
        </w:rPr>
      </w:pPr>
    </w:p>
    <w:p w:rsidR="00C31389" w:rsidRDefault="00561FBD" w14:paraId="53E9A53E" w14:textId="77777777">
      <w:pPr>
        <w:pStyle w:val="BodyText"/>
        <w:ind w:left="481" w:hanging="1"/>
      </w:pPr>
      <w:r>
        <w:t>FS measures compete with EE measures within a technology group. The electric technology competes</w:t>
      </w:r>
      <w:r>
        <w:rPr>
          <w:spacing w:val="-3"/>
        </w:rPr>
        <w:t xml:space="preserve"> </w:t>
      </w:r>
      <w:r>
        <w:t>with</w:t>
      </w:r>
      <w:r>
        <w:rPr>
          <w:spacing w:val="-3"/>
        </w:rPr>
        <w:t xml:space="preserve"> </w:t>
      </w:r>
      <w:r>
        <w:t>high</w:t>
      </w:r>
      <w:r>
        <w:rPr>
          <w:spacing w:val="-3"/>
        </w:rPr>
        <w:t xml:space="preserve"> </w:t>
      </w:r>
      <w:r>
        <w:t>efficiency</w:t>
      </w:r>
      <w:r>
        <w:rPr>
          <w:spacing w:val="-3"/>
        </w:rPr>
        <w:t xml:space="preserve"> </w:t>
      </w:r>
      <w:r>
        <w:t>gas</w:t>
      </w:r>
      <w:r>
        <w:rPr>
          <w:spacing w:val="-3"/>
        </w:rPr>
        <w:t xml:space="preserve"> </w:t>
      </w:r>
      <w:r>
        <w:t>technologies.</w:t>
      </w:r>
      <w:r>
        <w:rPr>
          <w:spacing w:val="-3"/>
        </w:rPr>
        <w:t xml:space="preserve"> </w:t>
      </w:r>
      <w:hyperlink w:history="1" w:anchor="_bookmark66">
        <w:r>
          <w:t>Table</w:t>
        </w:r>
        <w:r>
          <w:rPr>
            <w:spacing w:val="-3"/>
          </w:rPr>
          <w:t xml:space="preserve"> </w:t>
        </w:r>
        <w:r>
          <w:t>2-5</w:t>
        </w:r>
      </w:hyperlink>
      <w:r>
        <w:rPr>
          <w:spacing w:val="-3"/>
        </w:rPr>
        <w:t xml:space="preserve"> </w:t>
      </w:r>
      <w:r>
        <w:t>illustrates</w:t>
      </w:r>
      <w:r>
        <w:rPr>
          <w:spacing w:val="-3"/>
        </w:rPr>
        <w:t xml:space="preserve"> </w:t>
      </w:r>
      <w:r>
        <w:t>a</w:t>
      </w:r>
      <w:r>
        <w:rPr>
          <w:spacing w:val="-3"/>
        </w:rPr>
        <w:t xml:space="preserve"> </w:t>
      </w:r>
      <w:r>
        <w:t>technology</w:t>
      </w:r>
      <w:r>
        <w:rPr>
          <w:spacing w:val="-3"/>
        </w:rPr>
        <w:t xml:space="preserve"> </w:t>
      </w:r>
      <w:r>
        <w:t>group</w:t>
      </w:r>
      <w:r>
        <w:rPr>
          <w:spacing w:val="-3"/>
        </w:rPr>
        <w:t xml:space="preserve"> </w:t>
      </w:r>
      <w:r>
        <w:t>with</w:t>
      </w:r>
      <w:r>
        <w:rPr>
          <w:spacing w:val="-3"/>
        </w:rPr>
        <w:t xml:space="preserve"> </w:t>
      </w:r>
      <w:r>
        <w:t xml:space="preserve">FS </w:t>
      </w:r>
      <w:r>
        <w:rPr>
          <w:spacing w:val="-2"/>
        </w:rPr>
        <w:t>levels.</w:t>
      </w:r>
    </w:p>
    <w:p w:rsidR="00C31389" w:rsidRDefault="00C31389" w14:paraId="457523E6" w14:textId="77777777">
      <w:pPr>
        <w:sectPr w:rsidR="00C31389">
          <w:pgSz w:w="12240" w:h="15840"/>
          <w:pgMar w:top="1660" w:right="960" w:bottom="1120" w:left="960" w:header="397" w:footer="936" w:gutter="0"/>
          <w:cols w:space="720"/>
        </w:sectPr>
      </w:pPr>
    </w:p>
    <w:p w:rsidR="00C31389" w:rsidRDefault="00C31389" w14:paraId="39EF095E" w14:textId="77777777">
      <w:pPr>
        <w:pStyle w:val="BodyText"/>
        <w:spacing w:before="11"/>
        <w:rPr>
          <w:sz w:val="13"/>
        </w:rPr>
      </w:pPr>
    </w:p>
    <w:p w:rsidR="00C31389" w:rsidRDefault="00561FBD" w14:paraId="22473AAF" w14:textId="77777777">
      <w:pPr>
        <w:pStyle w:val="Heading7"/>
        <w:spacing w:before="92"/>
        <w:ind w:left="566" w:right="566"/>
        <w:jc w:val="center"/>
      </w:pPr>
      <w:bookmarkStart w:name="_bookmark66" w:id="85"/>
      <w:bookmarkEnd w:id="85"/>
      <w:r>
        <w:t>Table</w:t>
      </w:r>
      <w:r>
        <w:rPr>
          <w:spacing w:val="-7"/>
        </w:rPr>
        <w:t xml:space="preserve"> </w:t>
      </w:r>
      <w:r>
        <w:t>2-5.</w:t>
      </w:r>
      <w:r>
        <w:rPr>
          <w:spacing w:val="-7"/>
        </w:rPr>
        <w:t xml:space="preserve"> </w:t>
      </w:r>
      <w:r>
        <w:t>Example</w:t>
      </w:r>
      <w:r>
        <w:rPr>
          <w:spacing w:val="-7"/>
        </w:rPr>
        <w:t xml:space="preserve"> </w:t>
      </w:r>
      <w:r>
        <w:t>of</w:t>
      </w:r>
      <w:r>
        <w:rPr>
          <w:spacing w:val="-6"/>
        </w:rPr>
        <w:t xml:space="preserve"> </w:t>
      </w:r>
      <w:r>
        <w:t>Technologies</w:t>
      </w:r>
      <w:r>
        <w:rPr>
          <w:spacing w:val="-6"/>
        </w:rPr>
        <w:t xml:space="preserve"> </w:t>
      </w:r>
      <w:r>
        <w:t>within</w:t>
      </w:r>
      <w:r>
        <w:rPr>
          <w:spacing w:val="-7"/>
        </w:rPr>
        <w:t xml:space="preserve"> </w:t>
      </w:r>
      <w:r>
        <w:t>a</w:t>
      </w:r>
      <w:r>
        <w:rPr>
          <w:spacing w:val="-7"/>
        </w:rPr>
        <w:t xml:space="preserve"> </w:t>
      </w:r>
      <w:r>
        <w:t>Technology</w:t>
      </w:r>
      <w:r>
        <w:rPr>
          <w:spacing w:val="-7"/>
        </w:rPr>
        <w:t xml:space="preserve"> </w:t>
      </w:r>
      <w:r>
        <w:t>Group</w:t>
      </w:r>
      <w:r>
        <w:rPr>
          <w:spacing w:val="-6"/>
        </w:rPr>
        <w:t xml:space="preserve"> </w:t>
      </w:r>
      <w:r>
        <w:t>–</w:t>
      </w:r>
      <w:r>
        <w:rPr>
          <w:spacing w:val="-7"/>
        </w:rPr>
        <w:t xml:space="preserve"> </w:t>
      </w:r>
      <w:r>
        <w:rPr>
          <w:spacing w:val="-5"/>
        </w:rPr>
        <w:t>FS</w:t>
      </w:r>
    </w:p>
    <w:p w:rsidR="00C31389" w:rsidRDefault="00C31389" w14:paraId="21A315C1" w14:textId="77777777">
      <w:pPr>
        <w:pStyle w:val="BodyText"/>
        <w:spacing w:before="7" w:after="1"/>
        <w:rPr>
          <w:b/>
          <w:sz w:val="9"/>
        </w:rPr>
      </w:pPr>
    </w:p>
    <w:tbl>
      <w:tblPr>
        <w:tblW w:w="0" w:type="auto"/>
        <w:tblInd w:w="487" w:type="dxa"/>
        <w:tblLayout w:type="fixed"/>
        <w:tblCellMar>
          <w:left w:w="0" w:type="dxa"/>
          <w:right w:w="0" w:type="dxa"/>
        </w:tblCellMar>
        <w:tblLook w:val="01E0" w:firstRow="1" w:lastRow="1" w:firstColumn="1" w:lastColumn="1" w:noHBand="0" w:noVBand="0"/>
      </w:tblPr>
      <w:tblGrid>
        <w:gridCol w:w="1762"/>
        <w:gridCol w:w="3974"/>
        <w:gridCol w:w="3626"/>
      </w:tblGrid>
      <w:tr w:rsidR="00C31389" w14:paraId="2383AC1E" w14:textId="77777777">
        <w:trPr>
          <w:trHeight w:val="549"/>
        </w:trPr>
        <w:tc>
          <w:tcPr>
            <w:tcW w:w="1762" w:type="dxa"/>
            <w:shd w:val="clear" w:color="auto" w:fill="92D400"/>
          </w:tcPr>
          <w:p w:rsidR="00C31389" w:rsidRDefault="00561FBD" w14:paraId="08866036" w14:textId="77777777">
            <w:pPr>
              <w:pStyle w:val="TableParagraph"/>
              <w:ind w:left="115"/>
              <w:rPr>
                <w:b/>
                <w:sz w:val="20"/>
              </w:rPr>
            </w:pPr>
            <w:r>
              <w:rPr>
                <w:b/>
                <w:spacing w:val="-2"/>
                <w:sz w:val="20"/>
              </w:rPr>
              <w:t>Technology Group</w:t>
            </w:r>
          </w:p>
        </w:tc>
        <w:tc>
          <w:tcPr>
            <w:tcW w:w="3974" w:type="dxa"/>
            <w:shd w:val="clear" w:color="auto" w:fill="92D400"/>
          </w:tcPr>
          <w:p w:rsidR="00C31389" w:rsidRDefault="00561FBD" w14:paraId="2625BBF4" w14:textId="77777777">
            <w:pPr>
              <w:pStyle w:val="TableParagraph"/>
              <w:spacing w:before="155"/>
              <w:ind w:left="113"/>
              <w:rPr>
                <w:b/>
                <w:sz w:val="20"/>
              </w:rPr>
            </w:pPr>
            <w:r>
              <w:rPr>
                <w:b/>
                <w:spacing w:val="-2"/>
                <w:sz w:val="20"/>
              </w:rPr>
              <w:t>Technology</w:t>
            </w:r>
          </w:p>
        </w:tc>
        <w:tc>
          <w:tcPr>
            <w:tcW w:w="3626" w:type="dxa"/>
            <w:shd w:val="clear" w:color="auto" w:fill="92D400"/>
          </w:tcPr>
          <w:p w:rsidR="00C31389" w:rsidRDefault="00561FBD" w14:paraId="10A84C4C" w14:textId="77777777">
            <w:pPr>
              <w:pStyle w:val="TableParagraph"/>
              <w:spacing w:before="155"/>
              <w:ind w:left="366"/>
              <w:rPr>
                <w:b/>
                <w:sz w:val="20"/>
              </w:rPr>
            </w:pPr>
            <w:r>
              <w:rPr>
                <w:b/>
                <w:spacing w:val="-2"/>
                <w:sz w:val="20"/>
              </w:rPr>
              <w:t>Description</w:t>
            </w:r>
          </w:p>
        </w:tc>
      </w:tr>
      <w:tr w:rsidR="00C31389" w14:paraId="3139206B" w14:textId="77777777">
        <w:trPr>
          <w:trHeight w:val="301"/>
        </w:trPr>
        <w:tc>
          <w:tcPr>
            <w:tcW w:w="1762" w:type="dxa"/>
            <w:vMerge w:val="restart"/>
            <w:tcBorders>
              <w:bottom w:val="single" w:color="000000" w:sz="8" w:space="0"/>
            </w:tcBorders>
          </w:tcPr>
          <w:p w:rsidR="00C31389" w:rsidRDefault="00561FBD" w14:paraId="0D6ED0B2" w14:textId="77777777">
            <w:pPr>
              <w:pStyle w:val="TableParagraph"/>
              <w:spacing w:before="167"/>
              <w:ind w:left="115"/>
              <w:rPr>
                <w:sz w:val="20"/>
              </w:rPr>
            </w:pPr>
            <w:r>
              <w:rPr>
                <w:sz w:val="20"/>
              </w:rPr>
              <w:t>Small</w:t>
            </w:r>
            <w:r>
              <w:rPr>
                <w:spacing w:val="-14"/>
                <w:sz w:val="20"/>
              </w:rPr>
              <w:t xml:space="preserve"> </w:t>
            </w:r>
            <w:r>
              <w:rPr>
                <w:sz w:val="20"/>
              </w:rPr>
              <w:t>Gas</w:t>
            </w:r>
            <w:r>
              <w:rPr>
                <w:spacing w:val="-14"/>
                <w:sz w:val="20"/>
              </w:rPr>
              <w:t xml:space="preserve"> </w:t>
            </w:r>
            <w:r>
              <w:rPr>
                <w:sz w:val="20"/>
              </w:rPr>
              <w:t>Water Heaters (normal replacement</w:t>
            </w:r>
            <w:r>
              <w:rPr>
                <w:spacing w:val="-14"/>
                <w:sz w:val="20"/>
              </w:rPr>
              <w:t xml:space="preserve"> </w:t>
            </w:r>
            <w:r>
              <w:rPr>
                <w:sz w:val="20"/>
              </w:rPr>
              <w:t xml:space="preserve">and </w:t>
            </w:r>
            <w:r>
              <w:rPr>
                <w:spacing w:val="-4"/>
                <w:sz w:val="20"/>
              </w:rPr>
              <w:t>New)</w:t>
            </w:r>
          </w:p>
        </w:tc>
        <w:tc>
          <w:tcPr>
            <w:tcW w:w="3974" w:type="dxa"/>
            <w:tcBorders>
              <w:bottom w:val="single" w:color="D9D9D9" w:sz="2" w:space="0"/>
            </w:tcBorders>
          </w:tcPr>
          <w:p w:rsidR="00C31389" w:rsidRDefault="00561FBD" w14:paraId="6F48EF50" w14:textId="77777777">
            <w:pPr>
              <w:pStyle w:val="TableParagraph"/>
              <w:ind w:left="113"/>
              <w:rPr>
                <w:sz w:val="20"/>
              </w:rPr>
            </w:pPr>
            <w:r>
              <w:rPr>
                <w:sz w:val="20"/>
              </w:rPr>
              <w:t>Small</w:t>
            </w:r>
            <w:r>
              <w:rPr>
                <w:spacing w:val="-4"/>
                <w:sz w:val="20"/>
              </w:rPr>
              <w:t xml:space="preserve"> </w:t>
            </w:r>
            <w:r>
              <w:rPr>
                <w:sz w:val="20"/>
              </w:rPr>
              <w:t>Gas</w:t>
            </w:r>
            <w:r>
              <w:rPr>
                <w:spacing w:val="-3"/>
                <w:sz w:val="20"/>
              </w:rPr>
              <w:t xml:space="preserve"> </w:t>
            </w:r>
            <w:r>
              <w:rPr>
                <w:sz w:val="20"/>
              </w:rPr>
              <w:t>Storage</w:t>
            </w:r>
            <w:r>
              <w:rPr>
                <w:spacing w:val="-4"/>
                <w:sz w:val="20"/>
              </w:rPr>
              <w:t xml:space="preserve"> </w:t>
            </w:r>
            <w:r>
              <w:rPr>
                <w:sz w:val="20"/>
              </w:rPr>
              <w:t>Water</w:t>
            </w:r>
            <w:r>
              <w:rPr>
                <w:spacing w:val="-4"/>
                <w:sz w:val="20"/>
              </w:rPr>
              <w:t xml:space="preserve"> </w:t>
            </w:r>
            <w:r>
              <w:rPr>
                <w:spacing w:val="-2"/>
                <w:sz w:val="20"/>
              </w:rPr>
              <w:t>Heater</w:t>
            </w:r>
          </w:p>
        </w:tc>
        <w:tc>
          <w:tcPr>
            <w:tcW w:w="3626" w:type="dxa"/>
            <w:tcBorders>
              <w:bottom w:val="single" w:color="D9D9D9" w:sz="2" w:space="0"/>
            </w:tcBorders>
          </w:tcPr>
          <w:p w:rsidR="00C31389" w:rsidRDefault="00561FBD" w14:paraId="5C11C82C" w14:textId="77777777">
            <w:pPr>
              <w:pStyle w:val="TableParagraph"/>
              <w:ind w:left="365"/>
              <w:rPr>
                <w:sz w:val="20"/>
              </w:rPr>
            </w:pPr>
            <w:r>
              <w:rPr>
                <w:sz w:val="20"/>
              </w:rPr>
              <w:t>Code</w:t>
            </w:r>
            <w:r>
              <w:rPr>
                <w:spacing w:val="-8"/>
                <w:sz w:val="20"/>
              </w:rPr>
              <w:t xml:space="preserve"> </w:t>
            </w:r>
            <w:r>
              <w:rPr>
                <w:sz w:val="20"/>
              </w:rPr>
              <w:t>Efficiency</w:t>
            </w:r>
            <w:r>
              <w:rPr>
                <w:spacing w:val="-4"/>
                <w:sz w:val="20"/>
              </w:rPr>
              <w:t xml:space="preserve"> Level</w:t>
            </w:r>
          </w:p>
        </w:tc>
      </w:tr>
      <w:tr w:rsidR="00C31389" w14:paraId="7C833160" w14:textId="77777777">
        <w:trPr>
          <w:trHeight w:val="295"/>
        </w:trPr>
        <w:tc>
          <w:tcPr>
            <w:tcW w:w="1762" w:type="dxa"/>
            <w:vMerge/>
            <w:tcBorders>
              <w:top w:val="nil"/>
              <w:bottom w:val="single" w:color="000000" w:sz="8" w:space="0"/>
            </w:tcBorders>
          </w:tcPr>
          <w:p w:rsidR="00C31389" w:rsidRDefault="00C31389" w14:paraId="779D79F1" w14:textId="77777777">
            <w:pPr>
              <w:rPr>
                <w:sz w:val="2"/>
                <w:szCs w:val="2"/>
              </w:rPr>
            </w:pPr>
          </w:p>
        </w:tc>
        <w:tc>
          <w:tcPr>
            <w:tcW w:w="3974" w:type="dxa"/>
            <w:tcBorders>
              <w:top w:val="single" w:color="D9D9D9" w:sz="2" w:space="0"/>
              <w:bottom w:val="single" w:color="D9D9D9" w:sz="2" w:space="0"/>
            </w:tcBorders>
          </w:tcPr>
          <w:p w:rsidR="00C31389" w:rsidRDefault="00561FBD" w14:paraId="6F5C00EB" w14:textId="77777777">
            <w:pPr>
              <w:pStyle w:val="TableParagraph"/>
              <w:spacing w:before="34"/>
              <w:ind w:left="113"/>
              <w:rPr>
                <w:sz w:val="20"/>
              </w:rPr>
            </w:pPr>
            <w:r>
              <w:rPr>
                <w:sz w:val="20"/>
              </w:rPr>
              <w:t>Condensing</w:t>
            </w:r>
            <w:r>
              <w:rPr>
                <w:spacing w:val="-5"/>
                <w:sz w:val="20"/>
              </w:rPr>
              <w:t xml:space="preserve"> </w:t>
            </w:r>
            <w:r>
              <w:rPr>
                <w:sz w:val="20"/>
              </w:rPr>
              <w:t>Gas</w:t>
            </w:r>
            <w:r>
              <w:rPr>
                <w:spacing w:val="-3"/>
                <w:sz w:val="20"/>
              </w:rPr>
              <w:t xml:space="preserve"> </w:t>
            </w:r>
            <w:r>
              <w:rPr>
                <w:sz w:val="20"/>
              </w:rPr>
              <w:t>Storage</w:t>
            </w:r>
            <w:r>
              <w:rPr>
                <w:spacing w:val="-5"/>
                <w:sz w:val="20"/>
              </w:rPr>
              <w:t xml:space="preserve"> </w:t>
            </w:r>
            <w:r>
              <w:rPr>
                <w:sz w:val="20"/>
              </w:rPr>
              <w:t>Water</w:t>
            </w:r>
            <w:r>
              <w:rPr>
                <w:spacing w:val="-2"/>
                <w:sz w:val="20"/>
              </w:rPr>
              <w:t xml:space="preserve"> Heater</w:t>
            </w:r>
          </w:p>
        </w:tc>
        <w:tc>
          <w:tcPr>
            <w:tcW w:w="3626" w:type="dxa"/>
            <w:tcBorders>
              <w:top w:val="single" w:color="D9D9D9" w:sz="2" w:space="0"/>
              <w:bottom w:val="single" w:color="D9D9D9" w:sz="2" w:space="0"/>
            </w:tcBorders>
          </w:tcPr>
          <w:p w:rsidR="00C31389" w:rsidRDefault="00561FBD" w14:paraId="379C26A4" w14:textId="77777777">
            <w:pPr>
              <w:pStyle w:val="TableParagraph"/>
              <w:spacing w:before="34"/>
              <w:ind w:left="366"/>
              <w:rPr>
                <w:sz w:val="20"/>
              </w:rPr>
            </w:pPr>
            <w:r>
              <w:rPr>
                <w:sz w:val="20"/>
              </w:rPr>
              <w:t>High</w:t>
            </w:r>
            <w:r>
              <w:rPr>
                <w:spacing w:val="-5"/>
                <w:sz w:val="20"/>
              </w:rPr>
              <w:t xml:space="preserve"> </w:t>
            </w:r>
            <w:r>
              <w:rPr>
                <w:sz w:val="20"/>
              </w:rPr>
              <w:t>Efficiency</w:t>
            </w:r>
            <w:r>
              <w:rPr>
                <w:spacing w:val="-4"/>
                <w:sz w:val="20"/>
              </w:rPr>
              <w:t xml:space="preserve"> </w:t>
            </w:r>
            <w:r>
              <w:rPr>
                <w:sz w:val="20"/>
              </w:rPr>
              <w:t>Gas</w:t>
            </w:r>
            <w:r>
              <w:rPr>
                <w:spacing w:val="-3"/>
                <w:sz w:val="20"/>
              </w:rPr>
              <w:t xml:space="preserve"> </w:t>
            </w:r>
            <w:r>
              <w:rPr>
                <w:spacing w:val="-4"/>
                <w:sz w:val="20"/>
              </w:rPr>
              <w:t>Level</w:t>
            </w:r>
          </w:p>
        </w:tc>
      </w:tr>
      <w:tr w:rsidR="00C31389" w14:paraId="470F229C" w14:textId="77777777">
        <w:trPr>
          <w:trHeight w:val="294"/>
        </w:trPr>
        <w:tc>
          <w:tcPr>
            <w:tcW w:w="1762" w:type="dxa"/>
            <w:vMerge/>
            <w:tcBorders>
              <w:top w:val="nil"/>
              <w:bottom w:val="single" w:color="000000" w:sz="8" w:space="0"/>
            </w:tcBorders>
          </w:tcPr>
          <w:p w:rsidR="00C31389" w:rsidRDefault="00C31389" w14:paraId="500A1ADF" w14:textId="77777777">
            <w:pPr>
              <w:rPr>
                <w:sz w:val="2"/>
                <w:szCs w:val="2"/>
              </w:rPr>
            </w:pPr>
          </w:p>
        </w:tc>
        <w:tc>
          <w:tcPr>
            <w:tcW w:w="3974" w:type="dxa"/>
            <w:tcBorders>
              <w:top w:val="single" w:color="D9D9D9" w:sz="2" w:space="0"/>
              <w:bottom w:val="single" w:color="D9D9D9" w:sz="2" w:space="0"/>
            </w:tcBorders>
          </w:tcPr>
          <w:p w:rsidR="00C31389" w:rsidRDefault="00561FBD" w14:paraId="2EB5C58A" w14:textId="77777777">
            <w:pPr>
              <w:pStyle w:val="TableParagraph"/>
              <w:spacing w:before="33"/>
              <w:ind w:left="113"/>
              <w:rPr>
                <w:sz w:val="20"/>
              </w:rPr>
            </w:pPr>
            <w:r>
              <w:rPr>
                <w:sz w:val="20"/>
              </w:rPr>
              <w:t>Instantaneous</w:t>
            </w:r>
            <w:r>
              <w:rPr>
                <w:spacing w:val="-5"/>
                <w:sz w:val="20"/>
              </w:rPr>
              <w:t xml:space="preserve"> </w:t>
            </w:r>
            <w:r>
              <w:rPr>
                <w:sz w:val="20"/>
              </w:rPr>
              <w:t>Gas</w:t>
            </w:r>
            <w:r>
              <w:rPr>
                <w:spacing w:val="-4"/>
                <w:sz w:val="20"/>
              </w:rPr>
              <w:t xml:space="preserve"> </w:t>
            </w:r>
            <w:r>
              <w:rPr>
                <w:sz w:val="20"/>
              </w:rPr>
              <w:t>Water</w:t>
            </w:r>
            <w:r>
              <w:rPr>
                <w:spacing w:val="-5"/>
                <w:sz w:val="20"/>
              </w:rPr>
              <w:t xml:space="preserve"> </w:t>
            </w:r>
            <w:r>
              <w:rPr>
                <w:spacing w:val="-2"/>
                <w:sz w:val="20"/>
              </w:rPr>
              <w:t>Heater</w:t>
            </w:r>
          </w:p>
        </w:tc>
        <w:tc>
          <w:tcPr>
            <w:tcW w:w="3626" w:type="dxa"/>
            <w:tcBorders>
              <w:top w:val="single" w:color="D9D9D9" w:sz="2" w:space="0"/>
              <w:bottom w:val="single" w:color="D9D9D9" w:sz="2" w:space="0"/>
            </w:tcBorders>
          </w:tcPr>
          <w:p w:rsidR="00C31389" w:rsidRDefault="00561FBD" w14:paraId="0E680186" w14:textId="77777777">
            <w:pPr>
              <w:pStyle w:val="TableParagraph"/>
              <w:spacing w:before="33"/>
              <w:ind w:left="366"/>
              <w:rPr>
                <w:sz w:val="20"/>
              </w:rPr>
            </w:pPr>
            <w:r>
              <w:rPr>
                <w:sz w:val="20"/>
              </w:rPr>
              <w:t>High</w:t>
            </w:r>
            <w:r>
              <w:rPr>
                <w:spacing w:val="-5"/>
                <w:sz w:val="20"/>
              </w:rPr>
              <w:t xml:space="preserve"> </w:t>
            </w:r>
            <w:r>
              <w:rPr>
                <w:sz w:val="20"/>
              </w:rPr>
              <w:t>Efficiency</w:t>
            </w:r>
            <w:r>
              <w:rPr>
                <w:spacing w:val="-4"/>
                <w:sz w:val="20"/>
              </w:rPr>
              <w:t xml:space="preserve"> </w:t>
            </w:r>
            <w:r>
              <w:rPr>
                <w:sz w:val="20"/>
              </w:rPr>
              <w:t>Gas</w:t>
            </w:r>
            <w:r>
              <w:rPr>
                <w:spacing w:val="-3"/>
                <w:sz w:val="20"/>
              </w:rPr>
              <w:t xml:space="preserve"> </w:t>
            </w:r>
            <w:r>
              <w:rPr>
                <w:spacing w:val="-4"/>
                <w:sz w:val="20"/>
              </w:rPr>
              <w:t>Level</w:t>
            </w:r>
          </w:p>
        </w:tc>
      </w:tr>
      <w:tr w:rsidR="00C31389" w14:paraId="534821CF" w14:textId="77777777">
        <w:trPr>
          <w:trHeight w:val="304"/>
        </w:trPr>
        <w:tc>
          <w:tcPr>
            <w:tcW w:w="1762" w:type="dxa"/>
            <w:vMerge/>
            <w:tcBorders>
              <w:top w:val="nil"/>
              <w:bottom w:val="single" w:color="000000" w:sz="8" w:space="0"/>
            </w:tcBorders>
          </w:tcPr>
          <w:p w:rsidR="00C31389" w:rsidRDefault="00C31389" w14:paraId="2AAF859A" w14:textId="77777777">
            <w:pPr>
              <w:rPr>
                <w:sz w:val="2"/>
                <w:szCs w:val="2"/>
              </w:rPr>
            </w:pPr>
          </w:p>
        </w:tc>
        <w:tc>
          <w:tcPr>
            <w:tcW w:w="3974" w:type="dxa"/>
            <w:tcBorders>
              <w:top w:val="single" w:color="D9D9D9" w:sz="2" w:space="0"/>
              <w:bottom w:val="single" w:color="000000" w:sz="8" w:space="0"/>
            </w:tcBorders>
          </w:tcPr>
          <w:p w:rsidR="00C31389" w:rsidRDefault="00561FBD" w14:paraId="2AA53100" w14:textId="77777777">
            <w:pPr>
              <w:pStyle w:val="TableParagraph"/>
              <w:spacing w:before="34"/>
              <w:ind w:left="113"/>
              <w:rPr>
                <w:sz w:val="20"/>
              </w:rPr>
            </w:pPr>
            <w:r>
              <w:rPr>
                <w:sz w:val="20"/>
              </w:rPr>
              <w:t>Heat</w:t>
            </w:r>
            <w:r>
              <w:rPr>
                <w:spacing w:val="-3"/>
                <w:sz w:val="20"/>
              </w:rPr>
              <w:t xml:space="preserve"> </w:t>
            </w:r>
            <w:r>
              <w:rPr>
                <w:sz w:val="20"/>
              </w:rPr>
              <w:t>Pump</w:t>
            </w:r>
            <w:r>
              <w:rPr>
                <w:spacing w:val="-4"/>
                <w:sz w:val="20"/>
              </w:rPr>
              <w:t xml:space="preserve"> </w:t>
            </w:r>
            <w:r>
              <w:rPr>
                <w:sz w:val="20"/>
              </w:rPr>
              <w:t>Water</w:t>
            </w:r>
            <w:r>
              <w:rPr>
                <w:spacing w:val="-1"/>
                <w:sz w:val="20"/>
              </w:rPr>
              <w:t xml:space="preserve"> </w:t>
            </w:r>
            <w:r>
              <w:rPr>
                <w:spacing w:val="-2"/>
                <w:sz w:val="20"/>
              </w:rPr>
              <w:t>Heater</w:t>
            </w:r>
          </w:p>
        </w:tc>
        <w:tc>
          <w:tcPr>
            <w:tcW w:w="3626" w:type="dxa"/>
            <w:tcBorders>
              <w:top w:val="single" w:color="D9D9D9" w:sz="2" w:space="0"/>
              <w:bottom w:val="single" w:color="000000" w:sz="8" w:space="0"/>
            </w:tcBorders>
          </w:tcPr>
          <w:p w:rsidR="00C31389" w:rsidRDefault="00561FBD" w14:paraId="1E558E7D" w14:textId="77777777">
            <w:pPr>
              <w:pStyle w:val="TableParagraph"/>
              <w:spacing w:before="34"/>
              <w:ind w:left="366"/>
              <w:rPr>
                <w:sz w:val="20"/>
              </w:rPr>
            </w:pPr>
            <w:r>
              <w:rPr>
                <w:sz w:val="20"/>
              </w:rPr>
              <w:t>High</w:t>
            </w:r>
            <w:r>
              <w:rPr>
                <w:spacing w:val="-6"/>
                <w:sz w:val="20"/>
              </w:rPr>
              <w:t xml:space="preserve"> </w:t>
            </w:r>
            <w:r>
              <w:rPr>
                <w:sz w:val="20"/>
              </w:rPr>
              <w:t>Efficiency</w:t>
            </w:r>
            <w:r>
              <w:rPr>
                <w:spacing w:val="-5"/>
                <w:sz w:val="20"/>
              </w:rPr>
              <w:t xml:space="preserve"> </w:t>
            </w:r>
            <w:r>
              <w:rPr>
                <w:sz w:val="20"/>
              </w:rPr>
              <w:t>Electric</w:t>
            </w:r>
            <w:r>
              <w:rPr>
                <w:spacing w:val="-4"/>
                <w:sz w:val="20"/>
              </w:rPr>
              <w:t xml:space="preserve"> Level</w:t>
            </w:r>
          </w:p>
        </w:tc>
      </w:tr>
    </w:tbl>
    <w:p w:rsidR="00C31389" w:rsidRDefault="00561FBD" w14:paraId="1145D838"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3F84A3E7" w14:textId="77777777">
      <w:pPr>
        <w:pStyle w:val="BodyText"/>
        <w:rPr>
          <w:i/>
          <w:sz w:val="20"/>
        </w:rPr>
      </w:pPr>
    </w:p>
    <w:p w:rsidR="00C31389" w:rsidRDefault="00561FBD" w14:paraId="5E909A4D" w14:textId="77777777">
      <w:pPr>
        <w:pStyle w:val="Heading8"/>
        <w:numPr>
          <w:ilvl w:val="3"/>
          <w:numId w:val="71"/>
        </w:numPr>
        <w:tabs>
          <w:tab w:val="left" w:pos="1212"/>
        </w:tabs>
        <w:spacing w:before="129"/>
        <w:ind w:left="1212" w:hanging="732"/>
      </w:pPr>
      <w:bookmarkStart w:name="2.1.2.2_Panel_Upgrade_Costs" w:id="86"/>
      <w:bookmarkEnd w:id="86"/>
      <w:r>
        <w:t>Panel</w:t>
      </w:r>
      <w:r>
        <w:rPr>
          <w:spacing w:val="-9"/>
        </w:rPr>
        <w:t xml:space="preserve"> </w:t>
      </w:r>
      <w:r>
        <w:t>Upgrade</w:t>
      </w:r>
      <w:r>
        <w:rPr>
          <w:spacing w:val="-8"/>
        </w:rPr>
        <w:t xml:space="preserve"> </w:t>
      </w:r>
      <w:r>
        <w:rPr>
          <w:spacing w:val="-2"/>
        </w:rPr>
        <w:t>Costs</w:t>
      </w:r>
    </w:p>
    <w:p w:rsidR="00C31389" w:rsidRDefault="00C31389" w14:paraId="6C7C5D74" w14:textId="77777777">
      <w:pPr>
        <w:pStyle w:val="BodyText"/>
        <w:spacing w:before="10"/>
        <w:rPr>
          <w:b/>
          <w:i/>
          <w:sz w:val="20"/>
        </w:rPr>
      </w:pPr>
    </w:p>
    <w:p w:rsidR="00C31389" w:rsidRDefault="00561FBD" w14:paraId="7A1A110A" w14:textId="77777777">
      <w:pPr>
        <w:pStyle w:val="BodyText"/>
        <w:ind w:left="480" w:right="485"/>
      </w:pPr>
      <w:r>
        <w:t>Substituting</w:t>
      </w:r>
      <w:r>
        <w:rPr>
          <w:spacing w:val="-4"/>
        </w:rPr>
        <w:t xml:space="preserve"> </w:t>
      </w:r>
      <w:r>
        <w:t>gas</w:t>
      </w:r>
      <w:r>
        <w:rPr>
          <w:spacing w:val="-3"/>
        </w:rPr>
        <w:t xml:space="preserve"> </w:t>
      </w:r>
      <w:r>
        <w:t>technologies</w:t>
      </w:r>
      <w:r>
        <w:rPr>
          <w:spacing w:val="-3"/>
        </w:rPr>
        <w:t xml:space="preserve"> </w:t>
      </w:r>
      <w:r>
        <w:t>for</w:t>
      </w:r>
      <w:r>
        <w:rPr>
          <w:spacing w:val="-3"/>
        </w:rPr>
        <w:t xml:space="preserve"> </w:t>
      </w:r>
      <w:r>
        <w:t>electric</w:t>
      </w:r>
      <w:r>
        <w:rPr>
          <w:spacing w:val="-3"/>
        </w:rPr>
        <w:t xml:space="preserve"> </w:t>
      </w:r>
      <w:r>
        <w:t>technologies</w:t>
      </w:r>
      <w:r>
        <w:rPr>
          <w:spacing w:val="-3"/>
        </w:rPr>
        <w:t xml:space="preserve"> </w:t>
      </w:r>
      <w:r>
        <w:t>can</w:t>
      </w:r>
      <w:r>
        <w:rPr>
          <w:spacing w:val="-4"/>
        </w:rPr>
        <w:t xml:space="preserve"> </w:t>
      </w:r>
      <w:r>
        <w:t>increase</w:t>
      </w:r>
      <w:r>
        <w:rPr>
          <w:spacing w:val="-3"/>
        </w:rPr>
        <w:t xml:space="preserve"> </w:t>
      </w:r>
      <w:r>
        <w:t>electric</w:t>
      </w:r>
      <w:r>
        <w:rPr>
          <w:spacing w:val="-3"/>
        </w:rPr>
        <w:t xml:space="preserve"> </w:t>
      </w:r>
      <w:r>
        <w:t>load</w:t>
      </w:r>
      <w:r>
        <w:rPr>
          <w:spacing w:val="-3"/>
        </w:rPr>
        <w:t xml:space="preserve"> </w:t>
      </w:r>
      <w:r>
        <w:t>for</w:t>
      </w:r>
      <w:r>
        <w:rPr>
          <w:spacing w:val="-3"/>
        </w:rPr>
        <w:t xml:space="preserve"> </w:t>
      </w:r>
      <w:r>
        <w:t>a</w:t>
      </w:r>
      <w:r>
        <w:rPr>
          <w:spacing w:val="-4"/>
        </w:rPr>
        <w:t xml:space="preserve"> </w:t>
      </w:r>
      <w:r>
        <w:t>building</w:t>
      </w:r>
      <w:r>
        <w:rPr>
          <w:spacing w:val="-3"/>
        </w:rPr>
        <w:t xml:space="preserve"> </w:t>
      </w:r>
      <w:r>
        <w:t xml:space="preserve">or house. This can sometimes require upgrades to the infrastructure within the building, for example, increasing the size of </w:t>
      </w:r>
      <w:r>
        <w:t>the electrical panel, rewiring, and more to accommodate the added load. Deemed per-unit costs of FS technologies typically do not currently consider such costs, and the previous 2021 Study did not account for these costs. For the 2023 Study, the Guidehouse</w:t>
      </w:r>
      <w:r>
        <w:t xml:space="preserve"> team conducted a literature review to estimate the cost of a panel upgrade for residential homes, as well as the proportion of homes that would need an upgrade given an installation of FS technology. The 2023 Study did not include other potential FS infra</w:t>
      </w:r>
      <w:r>
        <w:t>structure costs beyond panels, such as wiring or outlets or grid infrastructure needs.</w:t>
      </w:r>
    </w:p>
    <w:p w:rsidR="00C31389" w:rsidRDefault="00C31389" w14:paraId="550CAE08" w14:textId="77777777">
      <w:pPr>
        <w:pStyle w:val="BodyText"/>
        <w:spacing w:before="10"/>
        <w:rPr>
          <w:sz w:val="20"/>
        </w:rPr>
      </w:pPr>
    </w:p>
    <w:p w:rsidR="00C31389" w:rsidRDefault="00561FBD" w14:paraId="627D5D6B" w14:textId="77777777">
      <w:pPr>
        <w:pStyle w:val="BodyText"/>
        <w:ind w:left="480" w:right="485" w:hanging="1"/>
      </w:pPr>
      <w:r>
        <w:t>The team then incorporated these results into the FS measure characterization. For residential FS measures that may require a panel upgrade, the team created two versio</w:t>
      </w:r>
      <w:r>
        <w:t>ns of the measure, and applied the FS panel upgrade cost to one of them. The density of the measures (i.e., the number of measure units per household) is split between the measures with and without the upgrade</w:t>
      </w:r>
      <w:r>
        <w:rPr>
          <w:spacing w:val="-3"/>
        </w:rPr>
        <w:t xml:space="preserve"> </w:t>
      </w:r>
      <w:r>
        <w:t>based</w:t>
      </w:r>
      <w:r>
        <w:rPr>
          <w:spacing w:val="-3"/>
        </w:rPr>
        <w:t xml:space="preserve"> </w:t>
      </w:r>
      <w:r>
        <w:t>on</w:t>
      </w:r>
      <w:r>
        <w:rPr>
          <w:spacing w:val="-3"/>
        </w:rPr>
        <w:t xml:space="preserve"> </w:t>
      </w:r>
      <w:r>
        <w:t>the</w:t>
      </w:r>
      <w:r>
        <w:rPr>
          <w:spacing w:val="-3"/>
        </w:rPr>
        <w:t xml:space="preserve"> </w:t>
      </w:r>
      <w:r>
        <w:t>proportion</w:t>
      </w:r>
      <w:r>
        <w:rPr>
          <w:spacing w:val="-3"/>
        </w:rPr>
        <w:t xml:space="preserve"> </w:t>
      </w:r>
      <w:r>
        <w:t>that</w:t>
      </w:r>
      <w:r>
        <w:rPr>
          <w:spacing w:val="-4"/>
        </w:rPr>
        <w:t xml:space="preserve"> </w:t>
      </w:r>
      <w:r>
        <w:t>would</w:t>
      </w:r>
      <w:r>
        <w:rPr>
          <w:spacing w:val="-3"/>
        </w:rPr>
        <w:t xml:space="preserve"> </w:t>
      </w:r>
      <w:r>
        <w:t>require</w:t>
      </w:r>
      <w:r>
        <w:rPr>
          <w:spacing w:val="-3"/>
        </w:rPr>
        <w:t xml:space="preserve"> </w:t>
      </w:r>
      <w:r>
        <w:t>an</w:t>
      </w:r>
      <w:r>
        <w:rPr>
          <w:spacing w:val="-3"/>
        </w:rPr>
        <w:t xml:space="preserve"> </w:t>
      </w:r>
      <w:r>
        <w:t>upgrade.</w:t>
      </w:r>
      <w:r>
        <w:rPr>
          <w:spacing w:val="-3"/>
        </w:rPr>
        <w:t xml:space="preserve"> </w:t>
      </w:r>
      <w:r>
        <w:t>The</w:t>
      </w:r>
      <w:r>
        <w:rPr>
          <w:spacing w:val="-3"/>
        </w:rPr>
        <w:t xml:space="preserve"> </w:t>
      </w:r>
      <w:r>
        <w:t>panel</w:t>
      </w:r>
      <w:r>
        <w:rPr>
          <w:spacing w:val="-3"/>
        </w:rPr>
        <w:t xml:space="preserve"> </w:t>
      </w:r>
      <w:r>
        <w:t>cost</w:t>
      </w:r>
      <w:r>
        <w:rPr>
          <w:spacing w:val="-3"/>
        </w:rPr>
        <w:t xml:space="preserve"> </w:t>
      </w:r>
      <w:r>
        <w:t>is</w:t>
      </w:r>
      <w:r>
        <w:rPr>
          <w:spacing w:val="-3"/>
        </w:rPr>
        <w:t xml:space="preserve"> </w:t>
      </w:r>
      <w:r>
        <w:t>applied</w:t>
      </w:r>
      <w:r>
        <w:rPr>
          <w:spacing w:val="-3"/>
        </w:rPr>
        <w:t xml:space="preserve"> </w:t>
      </w:r>
      <w:r>
        <w:t>to</w:t>
      </w:r>
      <w:r>
        <w:rPr>
          <w:spacing w:val="-3"/>
        </w:rPr>
        <w:t xml:space="preserve"> </w:t>
      </w:r>
      <w:r>
        <w:t>the set of homes that need a panel upgrade and is not applied to the set of homes that do not need a panel upgrade. For example, if the total density of residential gas water heaters is 40%, and 30% of singl</w:t>
      </w:r>
      <w:r>
        <w:t>e-family homes would require a panel upgrade when replacing a gas water heater with a heat pump water heater, the measure would be split into two separate measures with the density of the panel upgrade version being 12% (0.4 * 0.3) and the density of the n</w:t>
      </w:r>
      <w:r>
        <w:t>on-panel upgrade version being 28% (0.4 * 0.7).</w:t>
      </w:r>
    </w:p>
    <w:p w:rsidR="00C31389" w:rsidRDefault="00C31389" w14:paraId="7E75BD04" w14:textId="77777777">
      <w:pPr>
        <w:pStyle w:val="BodyText"/>
        <w:spacing w:before="10"/>
        <w:rPr>
          <w:sz w:val="20"/>
        </w:rPr>
      </w:pPr>
    </w:p>
    <w:p w:rsidR="00C31389" w:rsidRDefault="00561FBD" w14:paraId="05E138EB" w14:textId="77777777">
      <w:pPr>
        <w:pStyle w:val="BodyText"/>
        <w:ind w:left="480"/>
      </w:pPr>
      <w:r>
        <w:t>Appendix</w:t>
      </w:r>
      <w:r>
        <w:rPr>
          <w:spacing w:val="-6"/>
        </w:rPr>
        <w:t xml:space="preserve"> </w:t>
      </w:r>
      <w:r>
        <w:t>C</w:t>
      </w:r>
      <w:r>
        <w:rPr>
          <w:spacing w:val="-7"/>
        </w:rPr>
        <w:t xml:space="preserve"> </w:t>
      </w:r>
      <w:r>
        <w:t>contains</w:t>
      </w:r>
      <w:r>
        <w:rPr>
          <w:spacing w:val="-6"/>
        </w:rPr>
        <w:t xml:space="preserve"> </w:t>
      </w:r>
      <w:r>
        <w:t>the</w:t>
      </w:r>
      <w:r>
        <w:rPr>
          <w:spacing w:val="-6"/>
        </w:rPr>
        <w:t xml:space="preserve"> </w:t>
      </w:r>
      <w:r>
        <w:t>results</w:t>
      </w:r>
      <w:r>
        <w:rPr>
          <w:spacing w:val="-6"/>
        </w:rPr>
        <w:t xml:space="preserve"> </w:t>
      </w:r>
      <w:r>
        <w:t>of</w:t>
      </w:r>
      <w:r>
        <w:rPr>
          <w:spacing w:val="-6"/>
        </w:rPr>
        <w:t xml:space="preserve"> </w:t>
      </w:r>
      <w:r>
        <w:t>the</w:t>
      </w:r>
      <w:r>
        <w:rPr>
          <w:spacing w:val="-6"/>
        </w:rPr>
        <w:t xml:space="preserve"> </w:t>
      </w:r>
      <w:r>
        <w:t>literature</w:t>
      </w:r>
      <w:r>
        <w:rPr>
          <w:spacing w:val="-6"/>
        </w:rPr>
        <w:t xml:space="preserve"> </w:t>
      </w:r>
      <w:r>
        <w:t>review</w:t>
      </w:r>
      <w:r>
        <w:rPr>
          <w:spacing w:val="-6"/>
        </w:rPr>
        <w:t xml:space="preserve"> </w:t>
      </w:r>
      <w:r>
        <w:t>and</w:t>
      </w:r>
      <w:r>
        <w:rPr>
          <w:spacing w:val="-6"/>
        </w:rPr>
        <w:t xml:space="preserve"> </w:t>
      </w:r>
      <w:r>
        <w:t>the</w:t>
      </w:r>
      <w:r>
        <w:rPr>
          <w:spacing w:val="-6"/>
        </w:rPr>
        <w:t xml:space="preserve"> </w:t>
      </w:r>
      <w:r>
        <w:t>estimate</w:t>
      </w:r>
      <w:r>
        <w:rPr>
          <w:spacing w:val="-6"/>
        </w:rPr>
        <w:t xml:space="preserve"> </w:t>
      </w:r>
      <w:r>
        <w:t>of</w:t>
      </w:r>
      <w:r>
        <w:rPr>
          <w:spacing w:val="-6"/>
        </w:rPr>
        <w:t xml:space="preserve"> </w:t>
      </w:r>
      <w:r>
        <w:t>panel</w:t>
      </w:r>
      <w:r>
        <w:rPr>
          <w:spacing w:val="-5"/>
        </w:rPr>
        <w:t xml:space="preserve"> </w:t>
      </w:r>
      <w:r>
        <w:t>upgrade</w:t>
      </w:r>
      <w:r>
        <w:rPr>
          <w:spacing w:val="-6"/>
        </w:rPr>
        <w:t xml:space="preserve"> </w:t>
      </w:r>
      <w:r>
        <w:rPr>
          <w:spacing w:val="-2"/>
        </w:rPr>
        <w:t>costs.</w:t>
      </w:r>
    </w:p>
    <w:p w:rsidR="00C31389" w:rsidRDefault="00C31389" w14:paraId="2C514998" w14:textId="77777777">
      <w:pPr>
        <w:pStyle w:val="BodyText"/>
        <w:spacing w:before="4"/>
        <w:rPr>
          <w:sz w:val="31"/>
        </w:rPr>
      </w:pPr>
    </w:p>
    <w:p w:rsidR="00C31389" w:rsidRDefault="00561FBD" w14:paraId="458104DD" w14:textId="77777777">
      <w:pPr>
        <w:pStyle w:val="Heading8"/>
        <w:numPr>
          <w:ilvl w:val="3"/>
          <w:numId w:val="71"/>
        </w:numPr>
        <w:tabs>
          <w:tab w:val="left" w:pos="1212"/>
        </w:tabs>
        <w:ind w:left="1212" w:hanging="732"/>
      </w:pPr>
      <w:bookmarkStart w:name="2.1.2.3_Technical_and_Economic_Potential" w:id="87"/>
      <w:bookmarkEnd w:id="87"/>
      <w:r>
        <w:t>Technical</w:t>
      </w:r>
      <w:r>
        <w:rPr>
          <w:spacing w:val="-9"/>
        </w:rPr>
        <w:t xml:space="preserve"> </w:t>
      </w:r>
      <w:r>
        <w:t>and</w:t>
      </w:r>
      <w:r>
        <w:rPr>
          <w:spacing w:val="-9"/>
        </w:rPr>
        <w:t xml:space="preserve"> </w:t>
      </w:r>
      <w:r>
        <w:t>Economic</w:t>
      </w:r>
      <w:r>
        <w:rPr>
          <w:spacing w:val="-8"/>
        </w:rPr>
        <w:t xml:space="preserve"> </w:t>
      </w:r>
      <w:r>
        <w:rPr>
          <w:spacing w:val="-2"/>
        </w:rPr>
        <w:t>Potential</w:t>
      </w:r>
    </w:p>
    <w:p w:rsidR="00C31389" w:rsidRDefault="00C31389" w14:paraId="01A4786B" w14:textId="77777777">
      <w:pPr>
        <w:pStyle w:val="BodyText"/>
        <w:spacing w:before="10"/>
        <w:rPr>
          <w:b/>
          <w:i/>
          <w:sz w:val="20"/>
        </w:rPr>
      </w:pPr>
    </w:p>
    <w:p w:rsidR="00C31389" w:rsidRDefault="00561FBD" w14:paraId="1DAC4417" w14:textId="77777777">
      <w:pPr>
        <w:pStyle w:val="BodyText"/>
        <w:ind w:left="480" w:right="513"/>
      </w:pPr>
      <w:r>
        <w:t>Current FS measures decrease gas load but increase electric load, as per t</w:t>
      </w:r>
      <w:r>
        <w:t>he existing workpapers. FS measures must pass the FST to</w:t>
      </w:r>
      <w:r>
        <w:rPr>
          <w:spacing w:val="-1"/>
        </w:rPr>
        <w:t xml:space="preserve"> </w:t>
      </w:r>
      <w:r>
        <w:t>be included</w:t>
      </w:r>
      <w:r>
        <w:rPr>
          <w:spacing w:val="-1"/>
        </w:rPr>
        <w:t xml:space="preserve"> </w:t>
      </w:r>
      <w:r>
        <w:t>in either the</w:t>
      </w:r>
      <w:r>
        <w:rPr>
          <w:spacing w:val="-1"/>
        </w:rPr>
        <w:t xml:space="preserve"> </w:t>
      </w:r>
      <w:r>
        <w:t>technical or</w:t>
      </w:r>
      <w:r>
        <w:rPr>
          <w:spacing w:val="-1"/>
        </w:rPr>
        <w:t xml:space="preserve"> </w:t>
      </w:r>
      <w:r>
        <w:t xml:space="preserve">economic potential. </w:t>
      </w:r>
      <w:hyperlink w:history="1" w:anchor="_bookmark67">
        <w:r>
          <w:t>Fi</w:t>
        </w:r>
      </w:hyperlink>
      <w:hyperlink w:history="1" w:anchor="_bookmark67">
        <w:r>
          <w:t>gure 2-10</w:t>
        </w:r>
      </w:hyperlink>
      <w:r>
        <w:t xml:space="preserve"> illustrates the methods used to screen measures for potential analysis</w:t>
      </w:r>
      <w:r>
        <w:rPr>
          <w:spacing w:val="40"/>
        </w:rPr>
        <w:t xml:space="preserve"> </w:t>
      </w:r>
      <w:r>
        <w:t>and how the FS measures are handled. The 2023 Study only analyzed eligible FS measures (those</w:t>
      </w:r>
      <w:r>
        <w:rPr>
          <w:spacing w:val="-3"/>
        </w:rPr>
        <w:t xml:space="preserve"> </w:t>
      </w:r>
      <w:r>
        <w:t>determined</w:t>
      </w:r>
      <w:r>
        <w:rPr>
          <w:spacing w:val="-3"/>
        </w:rPr>
        <w:t xml:space="preserve"> </w:t>
      </w:r>
      <w:r>
        <w:t>to</w:t>
      </w:r>
      <w:r>
        <w:rPr>
          <w:spacing w:val="-3"/>
        </w:rPr>
        <w:t xml:space="preserve"> </w:t>
      </w:r>
      <w:r>
        <w:t>pass</w:t>
      </w:r>
      <w:r>
        <w:rPr>
          <w:spacing w:val="-3"/>
        </w:rPr>
        <w:t xml:space="preserve"> </w:t>
      </w:r>
      <w:r>
        <w:t>the</w:t>
      </w:r>
      <w:r>
        <w:rPr>
          <w:spacing w:val="-3"/>
        </w:rPr>
        <w:t xml:space="preserve"> </w:t>
      </w:r>
      <w:r>
        <w:t>FST);</w:t>
      </w:r>
      <w:r>
        <w:rPr>
          <w:spacing w:val="-4"/>
        </w:rPr>
        <w:t xml:space="preserve"> </w:t>
      </w:r>
      <w:r>
        <w:t>the</w:t>
      </w:r>
      <w:r>
        <w:rPr>
          <w:spacing w:val="-3"/>
        </w:rPr>
        <w:t xml:space="preserve"> </w:t>
      </w:r>
      <w:r>
        <w:t>study</w:t>
      </w:r>
      <w:r>
        <w:rPr>
          <w:spacing w:val="-3"/>
        </w:rPr>
        <w:t xml:space="preserve"> </w:t>
      </w:r>
      <w:r>
        <w:t>excluded</w:t>
      </w:r>
      <w:r>
        <w:rPr>
          <w:spacing w:val="-3"/>
        </w:rPr>
        <w:t xml:space="preserve"> </w:t>
      </w:r>
      <w:r>
        <w:t>FS</w:t>
      </w:r>
      <w:r>
        <w:rPr>
          <w:spacing w:val="-4"/>
        </w:rPr>
        <w:t xml:space="preserve"> </w:t>
      </w:r>
      <w:r>
        <w:t>meas</w:t>
      </w:r>
      <w:r>
        <w:t>ures</w:t>
      </w:r>
      <w:r>
        <w:rPr>
          <w:spacing w:val="-3"/>
        </w:rPr>
        <w:t xml:space="preserve"> </w:t>
      </w:r>
      <w:r>
        <w:t>that</w:t>
      </w:r>
      <w:r>
        <w:rPr>
          <w:spacing w:val="-3"/>
        </w:rPr>
        <w:t xml:space="preserve"> </w:t>
      </w:r>
      <w:r>
        <w:t>failed</w:t>
      </w:r>
      <w:r>
        <w:rPr>
          <w:spacing w:val="-3"/>
        </w:rPr>
        <w:t xml:space="preserve"> </w:t>
      </w:r>
      <w:r>
        <w:t>the</w:t>
      </w:r>
      <w:r>
        <w:rPr>
          <w:spacing w:val="-4"/>
        </w:rPr>
        <w:t xml:space="preserve"> </w:t>
      </w:r>
      <w:r>
        <w:t>FST.</w:t>
      </w:r>
      <w:r>
        <w:rPr>
          <w:spacing w:val="-3"/>
        </w:rPr>
        <w:t xml:space="preserve"> </w:t>
      </w:r>
      <w:r>
        <w:t>There are some unique differences in assessing FS measures compared to EE measures:</w:t>
      </w:r>
    </w:p>
    <w:p w:rsidR="00C31389" w:rsidRDefault="00561FBD" w14:paraId="74BCE811" w14:textId="77777777">
      <w:pPr>
        <w:pStyle w:val="ListParagraph"/>
        <w:numPr>
          <w:ilvl w:val="4"/>
          <w:numId w:val="71"/>
        </w:numPr>
        <w:tabs>
          <w:tab w:val="left" w:pos="1200"/>
        </w:tabs>
        <w:spacing w:before="120"/>
        <w:ind w:left="1200" w:right="865" w:hanging="361"/>
      </w:pPr>
      <w:r>
        <w:rPr>
          <w:b/>
        </w:rPr>
        <w:t>Technical</w:t>
      </w:r>
      <w:r>
        <w:rPr>
          <w:b/>
          <w:spacing w:val="-3"/>
        </w:rPr>
        <w:t xml:space="preserve"> </w:t>
      </w:r>
      <w:r>
        <w:rPr>
          <w:b/>
        </w:rPr>
        <w:t>Potential</w:t>
      </w:r>
      <w:r>
        <w:rPr>
          <w:b/>
          <w:spacing w:val="-3"/>
        </w:rPr>
        <w:t xml:space="preserve"> </w:t>
      </w:r>
      <w:r>
        <w:t>-</w:t>
      </w:r>
      <w:r>
        <w:rPr>
          <w:spacing w:val="-3"/>
        </w:rPr>
        <w:t xml:space="preserve"> </w:t>
      </w:r>
      <w:r>
        <w:t>If</w:t>
      </w:r>
      <w:r>
        <w:rPr>
          <w:spacing w:val="-3"/>
        </w:rPr>
        <w:t xml:space="preserve"> </w:t>
      </w:r>
      <w:r>
        <w:t>the</w:t>
      </w:r>
      <w:r>
        <w:rPr>
          <w:spacing w:val="-3"/>
        </w:rPr>
        <w:t xml:space="preserve"> </w:t>
      </w:r>
      <w:r>
        <w:t>FS</w:t>
      </w:r>
      <w:r>
        <w:rPr>
          <w:spacing w:val="-3"/>
        </w:rPr>
        <w:t xml:space="preserve"> </w:t>
      </w:r>
      <w:r>
        <w:t>measure</w:t>
      </w:r>
      <w:r>
        <w:rPr>
          <w:spacing w:val="-3"/>
        </w:rPr>
        <w:t xml:space="preserve"> </w:t>
      </w:r>
      <w:r>
        <w:t>saves</w:t>
      </w:r>
      <w:r>
        <w:rPr>
          <w:spacing w:val="-3"/>
        </w:rPr>
        <w:t xml:space="preserve"> </w:t>
      </w:r>
      <w:r>
        <w:t>more</w:t>
      </w:r>
      <w:r>
        <w:rPr>
          <w:spacing w:val="-3"/>
        </w:rPr>
        <w:t xml:space="preserve"> </w:t>
      </w:r>
      <w:r>
        <w:t>source</w:t>
      </w:r>
      <w:r>
        <w:rPr>
          <w:spacing w:val="-3"/>
        </w:rPr>
        <w:t xml:space="preserve"> </w:t>
      </w:r>
      <w:r>
        <w:t>energy</w:t>
      </w:r>
      <w:r>
        <w:rPr>
          <w:spacing w:val="-3"/>
        </w:rPr>
        <w:t xml:space="preserve"> </w:t>
      </w:r>
      <w:r>
        <w:t>(in</w:t>
      </w:r>
      <w:r>
        <w:rPr>
          <w:spacing w:val="-3"/>
        </w:rPr>
        <w:t xml:space="preserve"> </w:t>
      </w:r>
      <w:r>
        <w:t>Btus)</w:t>
      </w:r>
      <w:r>
        <w:rPr>
          <w:spacing w:val="-3"/>
        </w:rPr>
        <w:t xml:space="preserve"> </w:t>
      </w:r>
      <w:r>
        <w:t>than</w:t>
      </w:r>
      <w:r>
        <w:rPr>
          <w:spacing w:val="-3"/>
        </w:rPr>
        <w:t xml:space="preserve"> </w:t>
      </w:r>
      <w:r>
        <w:t>its competing EE measures, the FS measure wins the competition and</w:t>
      </w:r>
      <w:r>
        <w:t xml:space="preserve"> thus represents technical potential.</w:t>
      </w:r>
    </w:p>
    <w:p w:rsidR="00C31389" w:rsidRDefault="00C31389" w14:paraId="0E1FC4FC" w14:textId="77777777">
      <w:pPr>
        <w:sectPr w:rsidR="00C31389">
          <w:pgSz w:w="12240" w:h="15840"/>
          <w:pgMar w:top="1660" w:right="960" w:bottom="1120" w:left="960" w:header="397" w:footer="936" w:gutter="0"/>
          <w:cols w:space="720"/>
        </w:sectPr>
      </w:pPr>
    </w:p>
    <w:p w:rsidR="00C31389" w:rsidRDefault="00C31389" w14:paraId="73D4A985" w14:textId="77777777">
      <w:pPr>
        <w:pStyle w:val="BodyText"/>
      </w:pPr>
    </w:p>
    <w:p w:rsidR="00C31389" w:rsidRDefault="00C31389" w14:paraId="640BFCEB" w14:textId="77777777">
      <w:pPr>
        <w:pStyle w:val="BodyText"/>
        <w:spacing w:before="2"/>
        <w:rPr>
          <w:sz w:val="13"/>
        </w:rPr>
      </w:pPr>
    </w:p>
    <w:p w:rsidR="00C31389" w:rsidRDefault="00561FBD" w14:paraId="3AF2BE67" w14:textId="77777777">
      <w:pPr>
        <w:pStyle w:val="ListParagraph"/>
        <w:numPr>
          <w:ilvl w:val="4"/>
          <w:numId w:val="71"/>
        </w:numPr>
        <w:tabs>
          <w:tab w:val="left" w:pos="1200"/>
        </w:tabs>
        <w:spacing w:before="100"/>
        <w:ind w:left="1200" w:right="522" w:hanging="361"/>
      </w:pPr>
      <w:r>
        <w:rPr>
          <w:b/>
        </w:rPr>
        <w:t xml:space="preserve">Economic Potential </w:t>
      </w:r>
      <w:r>
        <w:t>- FS measures value both the gas savings (a positive benefit) and the</w:t>
      </w:r>
      <w:r>
        <w:rPr>
          <w:spacing w:val="-3"/>
        </w:rPr>
        <w:t xml:space="preserve"> </w:t>
      </w:r>
      <w:r>
        <w:t>increased</w:t>
      </w:r>
      <w:r>
        <w:rPr>
          <w:spacing w:val="-3"/>
        </w:rPr>
        <w:t xml:space="preserve"> </w:t>
      </w:r>
      <w:r>
        <w:t>electricity</w:t>
      </w:r>
      <w:r>
        <w:rPr>
          <w:spacing w:val="-4"/>
        </w:rPr>
        <w:t xml:space="preserve"> </w:t>
      </w:r>
      <w:r>
        <w:t>supply</w:t>
      </w:r>
      <w:r>
        <w:rPr>
          <w:spacing w:val="-3"/>
        </w:rPr>
        <w:t xml:space="preserve"> </w:t>
      </w:r>
      <w:r>
        <w:t>cost</w:t>
      </w:r>
      <w:r>
        <w:rPr>
          <w:spacing w:val="-4"/>
        </w:rPr>
        <w:t xml:space="preserve"> </w:t>
      </w:r>
      <w:r>
        <w:t>(a</w:t>
      </w:r>
      <w:r>
        <w:rPr>
          <w:spacing w:val="-3"/>
        </w:rPr>
        <w:t xml:space="preserve"> </w:t>
      </w:r>
      <w:r>
        <w:t>negative</w:t>
      </w:r>
      <w:r>
        <w:rPr>
          <w:spacing w:val="-4"/>
        </w:rPr>
        <w:t xml:space="preserve"> </w:t>
      </w:r>
      <w:r>
        <w:t>benefit).</w:t>
      </w:r>
      <w:r>
        <w:rPr>
          <w:spacing w:val="-3"/>
        </w:rPr>
        <w:t xml:space="preserve"> </w:t>
      </w:r>
      <w:r>
        <w:t>For</w:t>
      </w:r>
      <w:r>
        <w:rPr>
          <w:spacing w:val="-4"/>
        </w:rPr>
        <w:t xml:space="preserve"> </w:t>
      </w:r>
      <w:r>
        <w:t>FS</w:t>
      </w:r>
      <w:r>
        <w:rPr>
          <w:spacing w:val="-2"/>
        </w:rPr>
        <w:t xml:space="preserve"> </w:t>
      </w:r>
      <w:r>
        <w:t>measures</w:t>
      </w:r>
      <w:r>
        <w:rPr>
          <w:spacing w:val="-3"/>
        </w:rPr>
        <w:t xml:space="preserve"> </w:t>
      </w:r>
      <w:r>
        <w:t>that</w:t>
      </w:r>
      <w:r>
        <w:rPr>
          <w:spacing w:val="-3"/>
        </w:rPr>
        <w:t xml:space="preserve"> </w:t>
      </w:r>
      <w:r>
        <w:t>fall</w:t>
      </w:r>
      <w:r>
        <w:rPr>
          <w:spacing w:val="-4"/>
        </w:rPr>
        <w:t xml:space="preserve"> </w:t>
      </w:r>
      <w:r>
        <w:t>in</w:t>
      </w:r>
      <w:r>
        <w:rPr>
          <w:spacing w:val="-3"/>
        </w:rPr>
        <w:t xml:space="preserve"> </w:t>
      </w:r>
      <w:r>
        <w:t>the overlapping SCG and SCE territory, the model applies SCG avoided gas costs to value the gas savings benefits and SCE avoided electric costs to value the increased supply cost. This contrasts with EE measures in the SCG and SCE territories where only on</w:t>
      </w:r>
      <w:r>
        <w:t xml:space="preserve">e fuel is valued for each utility (even in the case of interactive effects or dual fuel saving </w:t>
      </w:r>
      <w:r>
        <w:rPr>
          <w:spacing w:val="-2"/>
        </w:rPr>
        <w:t>measures).</w:t>
      </w:r>
    </w:p>
    <w:p w:rsidR="00C31389" w:rsidRDefault="00561FBD" w14:paraId="0D7F5900" w14:textId="77777777">
      <w:pPr>
        <w:pStyle w:val="Heading7"/>
        <w:spacing w:before="119"/>
        <w:ind w:left="1987"/>
      </w:pPr>
      <w:bookmarkStart w:name="_bookmark67" w:id="88"/>
      <w:bookmarkEnd w:id="88"/>
      <w:r>
        <w:t>Figure</w:t>
      </w:r>
      <w:r>
        <w:rPr>
          <w:spacing w:val="-8"/>
        </w:rPr>
        <w:t xml:space="preserve"> </w:t>
      </w:r>
      <w:r>
        <w:t>2-10.</w:t>
      </w:r>
      <w:r>
        <w:rPr>
          <w:spacing w:val="-8"/>
        </w:rPr>
        <w:t xml:space="preserve"> </w:t>
      </w:r>
      <w:r>
        <w:t>Screening</w:t>
      </w:r>
      <w:r>
        <w:rPr>
          <w:spacing w:val="-8"/>
        </w:rPr>
        <w:t xml:space="preserve"> </w:t>
      </w:r>
      <w:r>
        <w:t>for</w:t>
      </w:r>
      <w:r>
        <w:rPr>
          <w:spacing w:val="-9"/>
        </w:rPr>
        <w:t xml:space="preserve"> </w:t>
      </w:r>
      <w:r>
        <w:t>Technical</w:t>
      </w:r>
      <w:r>
        <w:rPr>
          <w:spacing w:val="-8"/>
        </w:rPr>
        <w:t xml:space="preserve"> </w:t>
      </w:r>
      <w:r>
        <w:t>and</w:t>
      </w:r>
      <w:r>
        <w:rPr>
          <w:spacing w:val="-8"/>
        </w:rPr>
        <w:t xml:space="preserve"> </w:t>
      </w:r>
      <w:r>
        <w:t>Economic</w:t>
      </w:r>
      <w:r>
        <w:rPr>
          <w:spacing w:val="-7"/>
        </w:rPr>
        <w:t xml:space="preserve"> </w:t>
      </w:r>
      <w:r>
        <w:rPr>
          <w:spacing w:val="-2"/>
        </w:rPr>
        <w:t>Potential</w:t>
      </w:r>
    </w:p>
    <w:p w:rsidR="00C31389" w:rsidRDefault="00561FBD" w14:paraId="698617D5" w14:textId="77777777">
      <w:pPr>
        <w:pStyle w:val="BodyText"/>
        <w:spacing w:before="4"/>
        <w:rPr>
          <w:b/>
          <w:sz w:val="8"/>
        </w:rPr>
      </w:pPr>
      <w:r>
        <w:rPr>
          <w:noProof/>
        </w:rPr>
        <w:drawing>
          <wp:anchor distT="0" distB="0" distL="0" distR="0" simplePos="0" relativeHeight="487613440" behindDoc="1" locked="0" layoutInCell="1" allowOverlap="1" wp14:editId="09F4E9D3" wp14:anchorId="583525B8">
            <wp:simplePos x="0" y="0"/>
            <wp:positionH relativeFrom="page">
              <wp:posOffset>914400</wp:posOffset>
            </wp:positionH>
            <wp:positionV relativeFrom="paragraph">
              <wp:posOffset>76416</wp:posOffset>
            </wp:positionV>
            <wp:extent cx="6167929" cy="2830353"/>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80" cstate="print"/>
                    <a:stretch>
                      <a:fillRect/>
                    </a:stretch>
                  </pic:blipFill>
                  <pic:spPr>
                    <a:xfrm>
                      <a:off x="0" y="0"/>
                      <a:ext cx="6167929" cy="2830353"/>
                    </a:xfrm>
                    <a:prstGeom prst="rect">
                      <a:avLst/>
                    </a:prstGeom>
                  </pic:spPr>
                </pic:pic>
              </a:graphicData>
            </a:graphic>
          </wp:anchor>
        </w:drawing>
      </w:r>
    </w:p>
    <w:p w:rsidR="00C31389" w:rsidRDefault="00561FBD" w14:paraId="584D477B" w14:textId="77777777">
      <w:pPr>
        <w:spacing w:before="73"/>
        <w:ind w:left="480"/>
        <w:rPr>
          <w:i/>
          <w:sz w:val="18"/>
        </w:rPr>
      </w:pPr>
      <w:r>
        <w:rPr>
          <w:i/>
          <w:sz w:val="18"/>
        </w:rPr>
        <w:t>Source:</w:t>
      </w:r>
      <w:r>
        <w:rPr>
          <w:i/>
          <w:spacing w:val="-4"/>
          <w:sz w:val="18"/>
        </w:rPr>
        <w:t xml:space="preserve"> </w:t>
      </w:r>
      <w:r>
        <w:rPr>
          <w:i/>
          <w:spacing w:val="-2"/>
          <w:sz w:val="18"/>
        </w:rPr>
        <w:t>Guidehouse</w:t>
      </w:r>
    </w:p>
    <w:p w:rsidR="00C31389" w:rsidRDefault="00C31389" w14:paraId="27BC1240" w14:textId="77777777">
      <w:pPr>
        <w:pStyle w:val="BodyText"/>
        <w:spacing w:before="9"/>
        <w:rPr>
          <w:i/>
          <w:sz w:val="20"/>
        </w:rPr>
      </w:pPr>
    </w:p>
    <w:p w:rsidR="00C31389" w:rsidRDefault="00561FBD" w14:paraId="7514EF8C" w14:textId="77777777">
      <w:pPr>
        <w:pStyle w:val="BodyText"/>
        <w:ind w:left="480" w:right="533"/>
      </w:pPr>
      <w:r>
        <w:t>Technical and economic potential for FS measures are assigned to the</w:t>
      </w:r>
      <w:r>
        <w:t xml:space="preserve"> electric IOU</w:t>
      </w:r>
      <w:r>
        <w:rPr>
          <w:spacing w:val="-1"/>
        </w:rPr>
        <w:t xml:space="preserve"> </w:t>
      </w:r>
      <w:r>
        <w:t>that serves the new electric load. This means that reductions in SCG gas energy use due to FS are assigned to SCE. However, if an FS measure does not win the technical or economic potential competition, the gas efficiency savings resulting fr</w:t>
      </w:r>
      <w:r>
        <w:t>om the competing efficient gas technology remain</w:t>
      </w:r>
      <w:r>
        <w:rPr>
          <w:spacing w:val="-4"/>
        </w:rPr>
        <w:t xml:space="preserve"> </w:t>
      </w:r>
      <w:r>
        <w:t>with</w:t>
      </w:r>
      <w:r>
        <w:rPr>
          <w:spacing w:val="-4"/>
        </w:rPr>
        <w:t xml:space="preserve"> </w:t>
      </w:r>
      <w:r>
        <w:t>SCG.</w:t>
      </w:r>
      <w:r>
        <w:rPr>
          <w:spacing w:val="-4"/>
        </w:rPr>
        <w:t xml:space="preserve"> </w:t>
      </w:r>
      <w:r>
        <w:t>Equipment</w:t>
      </w:r>
      <w:r>
        <w:rPr>
          <w:spacing w:val="-4"/>
        </w:rPr>
        <w:t xml:space="preserve"> </w:t>
      </w:r>
      <w:r>
        <w:t>that</w:t>
      </w:r>
      <w:r>
        <w:rPr>
          <w:spacing w:val="-4"/>
        </w:rPr>
        <w:t xml:space="preserve"> </w:t>
      </w:r>
      <w:r>
        <w:t>passes</w:t>
      </w:r>
      <w:r>
        <w:rPr>
          <w:spacing w:val="-4"/>
        </w:rPr>
        <w:t xml:space="preserve"> </w:t>
      </w:r>
      <w:r>
        <w:t>the</w:t>
      </w:r>
      <w:r>
        <w:rPr>
          <w:spacing w:val="-5"/>
        </w:rPr>
        <w:t xml:space="preserve"> </w:t>
      </w:r>
      <w:r>
        <w:t>cost-effectiveness</w:t>
      </w:r>
      <w:r>
        <w:rPr>
          <w:spacing w:val="-4"/>
        </w:rPr>
        <w:t xml:space="preserve"> </w:t>
      </w:r>
      <w:r>
        <w:t>screening</w:t>
      </w:r>
      <w:r>
        <w:rPr>
          <w:spacing w:val="-4"/>
        </w:rPr>
        <w:t xml:space="preserve"> </w:t>
      </w:r>
      <w:r>
        <w:t>criteria</w:t>
      </w:r>
      <w:r>
        <w:rPr>
          <w:spacing w:val="-4"/>
        </w:rPr>
        <w:t xml:space="preserve"> </w:t>
      </w:r>
      <w:r>
        <w:t>regardless</w:t>
      </w:r>
      <w:r>
        <w:rPr>
          <w:spacing w:val="-4"/>
        </w:rPr>
        <w:t xml:space="preserve"> </w:t>
      </w:r>
      <w:r>
        <w:t xml:space="preserve">of whether it wins technical or economic competition is carried through to the achievable potential </w:t>
      </w:r>
      <w:r>
        <w:t>calculations as well.</w:t>
      </w:r>
    </w:p>
    <w:p w:rsidR="00C31389" w:rsidRDefault="00C31389" w14:paraId="3F36C6F2" w14:textId="77777777">
      <w:pPr>
        <w:pStyle w:val="BodyText"/>
        <w:spacing w:before="4"/>
        <w:rPr>
          <w:sz w:val="31"/>
        </w:rPr>
      </w:pPr>
    </w:p>
    <w:p w:rsidR="00C31389" w:rsidRDefault="00561FBD" w14:paraId="337AF9C5" w14:textId="77777777">
      <w:pPr>
        <w:pStyle w:val="Heading8"/>
        <w:numPr>
          <w:ilvl w:val="3"/>
          <w:numId w:val="71"/>
        </w:numPr>
        <w:tabs>
          <w:tab w:val="left" w:pos="1212"/>
        </w:tabs>
        <w:ind w:left="1212" w:hanging="732"/>
      </w:pPr>
      <w:bookmarkStart w:name="2.1.2.4_Achievable_Potential" w:id="89"/>
      <w:bookmarkEnd w:id="89"/>
      <w:r>
        <w:t>Achievable</w:t>
      </w:r>
      <w:r>
        <w:rPr>
          <w:spacing w:val="-13"/>
        </w:rPr>
        <w:t xml:space="preserve"> </w:t>
      </w:r>
      <w:r>
        <w:rPr>
          <w:spacing w:val="-2"/>
        </w:rPr>
        <w:t>Potential</w:t>
      </w:r>
    </w:p>
    <w:p w:rsidR="00C31389" w:rsidRDefault="00C31389" w14:paraId="0FCCDBD4" w14:textId="77777777">
      <w:pPr>
        <w:pStyle w:val="BodyText"/>
        <w:spacing w:before="10"/>
        <w:rPr>
          <w:b/>
          <w:i/>
          <w:sz w:val="20"/>
        </w:rPr>
      </w:pPr>
    </w:p>
    <w:p w:rsidR="00C31389" w:rsidRDefault="00561FBD" w14:paraId="4119FEA6" w14:textId="77777777">
      <w:pPr>
        <w:pStyle w:val="BodyText"/>
        <w:ind w:left="479" w:right="533"/>
      </w:pPr>
      <w:r>
        <w:t>Because</w:t>
      </w:r>
      <w:r>
        <w:rPr>
          <w:spacing w:val="-3"/>
        </w:rPr>
        <w:t xml:space="preserve"> </w:t>
      </w:r>
      <w:r>
        <w:t>FS</w:t>
      </w:r>
      <w:r>
        <w:rPr>
          <w:spacing w:val="-3"/>
        </w:rPr>
        <w:t xml:space="preserve"> </w:t>
      </w:r>
      <w:r>
        <w:t>technologies</w:t>
      </w:r>
      <w:r>
        <w:rPr>
          <w:spacing w:val="-2"/>
        </w:rPr>
        <w:t xml:space="preserve"> </w:t>
      </w:r>
      <w:r>
        <w:t>compete</w:t>
      </w:r>
      <w:r>
        <w:rPr>
          <w:spacing w:val="-3"/>
        </w:rPr>
        <w:t xml:space="preserve"> </w:t>
      </w:r>
      <w:r>
        <w:t>with</w:t>
      </w:r>
      <w:r>
        <w:rPr>
          <w:spacing w:val="-3"/>
        </w:rPr>
        <w:t xml:space="preserve"> </w:t>
      </w:r>
      <w:r>
        <w:t>EE</w:t>
      </w:r>
      <w:r>
        <w:rPr>
          <w:spacing w:val="-4"/>
        </w:rPr>
        <w:t xml:space="preserve"> </w:t>
      </w:r>
      <w:r>
        <w:t>measures,</w:t>
      </w:r>
      <w:r>
        <w:rPr>
          <w:spacing w:val="-3"/>
        </w:rPr>
        <w:t xml:space="preserve"> </w:t>
      </w:r>
      <w:r>
        <w:t>their</w:t>
      </w:r>
      <w:r>
        <w:rPr>
          <w:spacing w:val="-4"/>
        </w:rPr>
        <w:t xml:space="preserve"> </w:t>
      </w:r>
      <w:r>
        <w:t>adoption</w:t>
      </w:r>
      <w:r>
        <w:rPr>
          <w:spacing w:val="-3"/>
        </w:rPr>
        <w:t xml:space="preserve"> </w:t>
      </w:r>
      <w:r>
        <w:t>is</w:t>
      </w:r>
      <w:r>
        <w:rPr>
          <w:spacing w:val="-4"/>
        </w:rPr>
        <w:t xml:space="preserve"> </w:t>
      </w:r>
      <w:r>
        <w:t>modeled</w:t>
      </w:r>
      <w:r>
        <w:rPr>
          <w:spacing w:val="-3"/>
        </w:rPr>
        <w:t xml:space="preserve"> </w:t>
      </w:r>
      <w:r>
        <w:t>the</w:t>
      </w:r>
      <w:r>
        <w:rPr>
          <w:spacing w:val="-3"/>
        </w:rPr>
        <w:t xml:space="preserve"> </w:t>
      </w:r>
      <w:r>
        <w:t>same</w:t>
      </w:r>
      <w:r>
        <w:rPr>
          <w:spacing w:val="-3"/>
        </w:rPr>
        <w:t xml:space="preserve"> </w:t>
      </w:r>
      <w:r>
        <w:t>way. This section describes the additional considerations made for FS technologies.</w:t>
      </w:r>
    </w:p>
    <w:p w:rsidR="00C31389" w:rsidRDefault="00C31389" w14:paraId="1D4B0DB5" w14:textId="77777777">
      <w:pPr>
        <w:pStyle w:val="BodyText"/>
        <w:spacing w:before="9"/>
        <w:rPr>
          <w:sz w:val="20"/>
        </w:rPr>
      </w:pPr>
    </w:p>
    <w:p w:rsidR="00C31389" w:rsidRDefault="00561FBD" w14:paraId="6359A5B4" w14:textId="77777777">
      <w:pPr>
        <w:pStyle w:val="Heading7"/>
        <w:ind w:left="480"/>
      </w:pPr>
      <w:r>
        <w:t>Approach</w:t>
      </w:r>
      <w:r>
        <w:rPr>
          <w:spacing w:val="-9"/>
        </w:rPr>
        <w:t xml:space="preserve"> </w:t>
      </w:r>
      <w:r>
        <w:t>to</w:t>
      </w:r>
      <w:r>
        <w:rPr>
          <w:spacing w:val="-9"/>
        </w:rPr>
        <w:t xml:space="preserve"> </w:t>
      </w:r>
      <w:r>
        <w:t>Calculating</w:t>
      </w:r>
      <w:r>
        <w:rPr>
          <w:spacing w:val="-9"/>
        </w:rPr>
        <w:t xml:space="preserve"> </w:t>
      </w:r>
      <w:r>
        <w:rPr>
          <w:spacing w:val="-2"/>
        </w:rPr>
        <w:t>Willingness</w:t>
      </w:r>
    </w:p>
    <w:p w:rsidR="00C31389" w:rsidRDefault="00C31389" w14:paraId="0136D924" w14:textId="77777777">
      <w:pPr>
        <w:pStyle w:val="BodyText"/>
        <w:spacing w:before="10"/>
        <w:rPr>
          <w:b/>
          <w:sz w:val="20"/>
        </w:rPr>
      </w:pPr>
    </w:p>
    <w:p w:rsidR="00C31389" w:rsidRDefault="00561FBD" w14:paraId="3034D906" w14:textId="77777777">
      <w:pPr>
        <w:pStyle w:val="BodyText"/>
        <w:spacing w:before="1"/>
        <w:ind w:left="480" w:right="469" w:hanging="1"/>
      </w:pPr>
      <w:r>
        <w:t>The approach to calculating willingness to adopt</w:t>
      </w:r>
      <w:r>
        <w:rPr>
          <w:spacing w:val="-1"/>
        </w:rPr>
        <w:t xml:space="preserve"> </w:t>
      </w:r>
      <w:r>
        <w:t xml:space="preserve">FS measures is nearly identical to the methods discussed in Section </w:t>
      </w:r>
      <w:hyperlink w:history="1" w:anchor="_bookmark46">
        <w:r>
          <w:t>2.1.1.4</w:t>
        </w:r>
      </w:hyperlink>
      <w:r>
        <w:t>, except for one difference. The customer preference weights defini</w:t>
      </w:r>
      <w:r>
        <w:t>ng</w:t>
      </w:r>
      <w:r>
        <w:rPr>
          <w:spacing w:val="-2"/>
        </w:rPr>
        <w:t xml:space="preserve"> </w:t>
      </w:r>
      <w:r>
        <w:t>how</w:t>
      </w:r>
      <w:r>
        <w:rPr>
          <w:spacing w:val="-3"/>
        </w:rPr>
        <w:t xml:space="preserve"> </w:t>
      </w:r>
      <w:r>
        <w:t>much</w:t>
      </w:r>
      <w:r>
        <w:rPr>
          <w:spacing w:val="-2"/>
        </w:rPr>
        <w:t xml:space="preserve"> </w:t>
      </w:r>
      <w:r>
        <w:t>of</w:t>
      </w:r>
      <w:r>
        <w:rPr>
          <w:spacing w:val="-2"/>
        </w:rPr>
        <w:t xml:space="preserve"> </w:t>
      </w:r>
      <w:r>
        <w:t>a</w:t>
      </w:r>
      <w:r>
        <w:rPr>
          <w:spacing w:val="-2"/>
        </w:rPr>
        <w:t xml:space="preserve"> </w:t>
      </w:r>
      <w:r>
        <w:t>customer’s</w:t>
      </w:r>
      <w:r>
        <w:rPr>
          <w:spacing w:val="-3"/>
        </w:rPr>
        <w:t xml:space="preserve"> </w:t>
      </w:r>
      <w:r>
        <w:t>total</w:t>
      </w:r>
      <w:r>
        <w:rPr>
          <w:spacing w:val="-2"/>
        </w:rPr>
        <w:t xml:space="preserve"> </w:t>
      </w:r>
      <w:r>
        <w:t>decision</w:t>
      </w:r>
      <w:r>
        <w:rPr>
          <w:spacing w:val="-2"/>
        </w:rPr>
        <w:t xml:space="preserve"> </w:t>
      </w:r>
      <w:r>
        <w:t>to</w:t>
      </w:r>
      <w:r>
        <w:rPr>
          <w:spacing w:val="-2"/>
        </w:rPr>
        <w:t xml:space="preserve"> </w:t>
      </w:r>
      <w:r>
        <w:t>adopt</w:t>
      </w:r>
      <w:r>
        <w:rPr>
          <w:spacing w:val="-2"/>
        </w:rPr>
        <w:t xml:space="preserve"> </w:t>
      </w:r>
      <w:r>
        <w:t>is</w:t>
      </w:r>
      <w:r>
        <w:rPr>
          <w:spacing w:val="-3"/>
        </w:rPr>
        <w:t xml:space="preserve"> </w:t>
      </w:r>
      <w:r>
        <w:t>attributed</w:t>
      </w:r>
      <w:r>
        <w:rPr>
          <w:spacing w:val="-2"/>
        </w:rPr>
        <w:t xml:space="preserve"> </w:t>
      </w:r>
      <w:r>
        <w:t>to</w:t>
      </w:r>
      <w:r>
        <w:rPr>
          <w:spacing w:val="-3"/>
        </w:rPr>
        <w:t xml:space="preserve"> </w:t>
      </w:r>
      <w:r>
        <w:t>a</w:t>
      </w:r>
      <w:r>
        <w:rPr>
          <w:spacing w:val="-2"/>
        </w:rPr>
        <w:t xml:space="preserve"> </w:t>
      </w:r>
      <w:r>
        <w:t>given</w:t>
      </w:r>
      <w:r>
        <w:rPr>
          <w:spacing w:val="-2"/>
        </w:rPr>
        <w:t xml:space="preserve"> </w:t>
      </w:r>
      <w:r>
        <w:t>factor</w:t>
      </w:r>
      <w:r>
        <w:rPr>
          <w:spacing w:val="-2"/>
        </w:rPr>
        <w:t xml:space="preserve"> </w:t>
      </w:r>
      <w:r>
        <w:t>varies</w:t>
      </w:r>
      <w:r>
        <w:rPr>
          <w:spacing w:val="-2"/>
        </w:rPr>
        <w:t xml:space="preserve"> </w:t>
      </w:r>
      <w:r>
        <w:t xml:space="preserve">by technology type. The results of the market study revealed that customers indeed have different customer preference weights for FS technologies as compared to </w:t>
      </w:r>
      <w:r>
        <w:t>same fuel technologies.</w:t>
      </w:r>
    </w:p>
    <w:p w:rsidR="00C31389" w:rsidRDefault="00C31389" w14:paraId="767695B1" w14:textId="77777777">
      <w:pPr>
        <w:sectPr w:rsidR="00C31389">
          <w:headerReference w:type="default" r:id="rId81"/>
          <w:footerReference w:type="default" r:id="rId82"/>
          <w:pgSz w:w="12240" w:h="15840"/>
          <w:pgMar w:top="1380" w:right="960" w:bottom="1120" w:left="960" w:header="397" w:footer="936" w:gutter="0"/>
          <w:cols w:space="720"/>
        </w:sectPr>
      </w:pPr>
    </w:p>
    <w:p w:rsidR="00C31389" w:rsidRDefault="00C31389" w14:paraId="3E599CD4" w14:textId="77777777">
      <w:pPr>
        <w:pStyle w:val="BodyText"/>
        <w:spacing w:before="11"/>
        <w:rPr>
          <w:sz w:val="13"/>
        </w:rPr>
      </w:pPr>
    </w:p>
    <w:p w:rsidR="00C31389" w:rsidRDefault="00561FBD" w14:paraId="0EE23414" w14:textId="77777777">
      <w:pPr>
        <w:pStyle w:val="BodyText"/>
        <w:spacing w:before="92"/>
        <w:ind w:left="479" w:right="485"/>
      </w:pPr>
      <w:r>
        <w:t>Factors most important to customers for adopting an energy efficient or FS technology include energy savings, li</w:t>
      </w:r>
      <w:r>
        <w:t xml:space="preserve">fespan, and comfort benefits. The most important barriers include uncertainty about energy savings, upfront costs, and the potential disruption to install the technology. FS has an additional important barrier in that the unfamiliarity with the technology </w:t>
      </w:r>
      <w:r>
        <w:t>does not get identified</w:t>
      </w:r>
      <w:r>
        <w:rPr>
          <w:spacing w:val="-3"/>
        </w:rPr>
        <w:t xml:space="preserve"> </w:t>
      </w:r>
      <w:r>
        <w:t>for</w:t>
      </w:r>
      <w:r>
        <w:rPr>
          <w:spacing w:val="-3"/>
        </w:rPr>
        <w:t xml:space="preserve"> </w:t>
      </w:r>
      <w:r>
        <w:t>EE.</w:t>
      </w:r>
      <w:r>
        <w:rPr>
          <w:spacing w:val="-3"/>
        </w:rPr>
        <w:t xml:space="preserve"> </w:t>
      </w:r>
      <w:r>
        <w:t>Thus,</w:t>
      </w:r>
      <w:r>
        <w:rPr>
          <w:spacing w:val="-3"/>
        </w:rPr>
        <w:t xml:space="preserve"> </w:t>
      </w:r>
      <w:r>
        <w:t>although</w:t>
      </w:r>
      <w:r>
        <w:rPr>
          <w:spacing w:val="-3"/>
        </w:rPr>
        <w:t xml:space="preserve"> </w:t>
      </w:r>
      <w:r>
        <w:t>the</w:t>
      </w:r>
      <w:r>
        <w:rPr>
          <w:spacing w:val="-3"/>
        </w:rPr>
        <w:t xml:space="preserve"> </w:t>
      </w:r>
      <w:r>
        <w:t>approach</w:t>
      </w:r>
      <w:r>
        <w:rPr>
          <w:spacing w:val="-3"/>
        </w:rPr>
        <w:t xml:space="preserve"> </w:t>
      </w:r>
      <w:r>
        <w:t>to</w:t>
      </w:r>
      <w:r>
        <w:rPr>
          <w:spacing w:val="-3"/>
        </w:rPr>
        <w:t xml:space="preserve"> </w:t>
      </w:r>
      <w:r>
        <w:t>calculating</w:t>
      </w:r>
      <w:r>
        <w:rPr>
          <w:spacing w:val="-3"/>
        </w:rPr>
        <w:t xml:space="preserve"> </w:t>
      </w:r>
      <w:r>
        <w:t>market</w:t>
      </w:r>
      <w:r>
        <w:rPr>
          <w:spacing w:val="-3"/>
        </w:rPr>
        <w:t xml:space="preserve"> </w:t>
      </w:r>
      <w:r>
        <w:t>share</w:t>
      </w:r>
      <w:r>
        <w:rPr>
          <w:spacing w:val="-3"/>
        </w:rPr>
        <w:t xml:space="preserve"> </w:t>
      </w:r>
      <w:r>
        <w:t>is</w:t>
      </w:r>
      <w:r>
        <w:rPr>
          <w:spacing w:val="-3"/>
        </w:rPr>
        <w:t xml:space="preserve"> </w:t>
      </w:r>
      <w:r>
        <w:t>the</w:t>
      </w:r>
      <w:r>
        <w:rPr>
          <w:spacing w:val="-3"/>
        </w:rPr>
        <w:t xml:space="preserve"> </w:t>
      </w:r>
      <w:r>
        <w:t>same</w:t>
      </w:r>
      <w:r>
        <w:rPr>
          <w:spacing w:val="-3"/>
        </w:rPr>
        <w:t xml:space="preserve"> </w:t>
      </w:r>
      <w:r>
        <w:t>as</w:t>
      </w:r>
      <w:r>
        <w:rPr>
          <w:spacing w:val="-3"/>
        </w:rPr>
        <w:t xml:space="preserve"> </w:t>
      </w:r>
      <w:r>
        <w:t>it</w:t>
      </w:r>
      <w:r>
        <w:rPr>
          <w:spacing w:val="-3"/>
        </w:rPr>
        <w:t xml:space="preserve"> </w:t>
      </w:r>
      <w:r>
        <w:t>is</w:t>
      </w:r>
      <w:r>
        <w:rPr>
          <w:spacing w:val="-3"/>
        </w:rPr>
        <w:t xml:space="preserve"> </w:t>
      </w:r>
      <w:r>
        <w:t>for same fuel technologies, the customer preference weights used in the calculation are different.</w:t>
      </w:r>
    </w:p>
    <w:p w:rsidR="00C31389" w:rsidRDefault="00C31389" w14:paraId="16F4AC8C" w14:textId="77777777">
      <w:pPr>
        <w:pStyle w:val="BodyText"/>
        <w:spacing w:before="11"/>
        <w:rPr>
          <w:sz w:val="20"/>
        </w:rPr>
      </w:pPr>
    </w:p>
    <w:p w:rsidR="00C31389" w:rsidRDefault="00561FBD" w14:paraId="438C4310" w14:textId="77777777">
      <w:pPr>
        <w:pStyle w:val="Heading7"/>
        <w:ind w:left="479"/>
      </w:pPr>
      <w:r>
        <w:t>Applying</w:t>
      </w:r>
      <w:r>
        <w:rPr>
          <w:spacing w:val="-11"/>
        </w:rPr>
        <w:t xml:space="preserve"> </w:t>
      </w:r>
      <w:r>
        <w:rPr>
          <w:spacing w:val="-2"/>
        </w:rPr>
        <w:t>Incentives</w:t>
      </w:r>
    </w:p>
    <w:p w:rsidR="00C31389" w:rsidRDefault="00C31389" w14:paraId="76F58C3C" w14:textId="77777777">
      <w:pPr>
        <w:pStyle w:val="BodyText"/>
        <w:spacing w:before="8"/>
        <w:rPr>
          <w:b/>
          <w:sz w:val="20"/>
        </w:rPr>
      </w:pPr>
    </w:p>
    <w:p w:rsidR="00C31389" w:rsidRDefault="00561FBD" w14:paraId="4511C851" w14:textId="77777777">
      <w:pPr>
        <w:pStyle w:val="BodyText"/>
        <w:spacing w:before="1"/>
        <w:ind w:left="479" w:right="618"/>
        <w:jc w:val="both"/>
      </w:pPr>
      <w:r>
        <w:t>The</w:t>
      </w:r>
      <w:r>
        <w:rPr>
          <w:spacing w:val="-3"/>
        </w:rPr>
        <w:t xml:space="preserve"> </w:t>
      </w:r>
      <w:r>
        <w:t>two</w:t>
      </w:r>
      <w:r>
        <w:rPr>
          <w:spacing w:val="-3"/>
        </w:rPr>
        <w:t xml:space="preserve"> </w:t>
      </w:r>
      <w:r>
        <w:t>value</w:t>
      </w:r>
      <w:r>
        <w:rPr>
          <w:spacing w:val="-3"/>
        </w:rPr>
        <w:t xml:space="preserve"> </w:t>
      </w:r>
      <w:r>
        <w:t>factors</w:t>
      </w:r>
      <w:r>
        <w:rPr>
          <w:spacing w:val="-3"/>
        </w:rPr>
        <w:t xml:space="preserve"> </w:t>
      </w:r>
      <w:r>
        <w:t>for</w:t>
      </w:r>
      <w:r>
        <w:rPr>
          <w:spacing w:val="-3"/>
        </w:rPr>
        <w:t xml:space="preserve"> </w:t>
      </w:r>
      <w:r>
        <w:t>informing</w:t>
      </w:r>
      <w:r>
        <w:rPr>
          <w:spacing w:val="-3"/>
        </w:rPr>
        <w:t xml:space="preserve"> </w:t>
      </w:r>
      <w:r>
        <w:t>customer</w:t>
      </w:r>
      <w:r>
        <w:rPr>
          <w:spacing w:val="-3"/>
        </w:rPr>
        <w:t xml:space="preserve"> </w:t>
      </w:r>
      <w:r>
        <w:t>adoption</w:t>
      </w:r>
      <w:r>
        <w:rPr>
          <w:spacing w:val="-3"/>
        </w:rPr>
        <w:t xml:space="preserve"> </w:t>
      </w:r>
      <w:r>
        <w:t>are</w:t>
      </w:r>
      <w:r>
        <w:rPr>
          <w:spacing w:val="-3"/>
        </w:rPr>
        <w:t xml:space="preserve"> </w:t>
      </w:r>
      <w:r>
        <w:t>upfront</w:t>
      </w:r>
      <w:r>
        <w:rPr>
          <w:spacing w:val="-3"/>
        </w:rPr>
        <w:t xml:space="preserve"> </w:t>
      </w:r>
      <w:r>
        <w:t>cost</w:t>
      </w:r>
      <w:r>
        <w:rPr>
          <w:spacing w:val="-3"/>
        </w:rPr>
        <w:t xml:space="preserve"> </w:t>
      </w:r>
      <w:r>
        <w:t>and</w:t>
      </w:r>
      <w:r>
        <w:rPr>
          <w:spacing w:val="-3"/>
        </w:rPr>
        <w:t xml:space="preserve"> </w:t>
      </w:r>
      <w:r>
        <w:t>lifetime</w:t>
      </w:r>
      <w:r>
        <w:rPr>
          <w:spacing w:val="-3"/>
        </w:rPr>
        <w:t xml:space="preserve"> </w:t>
      </w:r>
      <w:r>
        <w:t>cost.</w:t>
      </w:r>
      <w:r>
        <w:rPr>
          <w:spacing w:val="-3"/>
        </w:rPr>
        <w:t xml:space="preserve"> </w:t>
      </w:r>
      <w:r>
        <w:t>These are the net out-of-pocket costs a customer pays to purchase and install a technology. Rebates and incentives provided to the customer act to decrease the cost.</w:t>
      </w:r>
    </w:p>
    <w:p w:rsidR="00C31389" w:rsidRDefault="00C31389" w14:paraId="563EA244" w14:textId="77777777">
      <w:pPr>
        <w:pStyle w:val="BodyText"/>
        <w:spacing w:before="10"/>
        <w:rPr>
          <w:sz w:val="20"/>
        </w:rPr>
      </w:pPr>
    </w:p>
    <w:p w:rsidR="00C31389" w:rsidRDefault="00561FBD" w14:paraId="3BE3F88C" w14:textId="77777777">
      <w:pPr>
        <w:pStyle w:val="BodyText"/>
        <w:ind w:left="480" w:right="485" w:hanging="1"/>
      </w:pPr>
      <w:r>
        <w:t>The</w:t>
      </w:r>
      <w:r>
        <w:rPr>
          <w:spacing w:val="-2"/>
        </w:rPr>
        <w:t xml:space="preserve"> </w:t>
      </w:r>
      <w:r>
        <w:t>PG</w:t>
      </w:r>
      <w:r>
        <w:rPr>
          <w:spacing w:val="-3"/>
        </w:rPr>
        <w:t xml:space="preserve"> </w:t>
      </w:r>
      <w:r>
        <w:t>Model</w:t>
      </w:r>
      <w:r>
        <w:rPr>
          <w:spacing w:val="-2"/>
        </w:rPr>
        <w:t xml:space="preserve"> </w:t>
      </w:r>
      <w:r>
        <w:t>is</w:t>
      </w:r>
      <w:r>
        <w:rPr>
          <w:spacing w:val="-2"/>
        </w:rPr>
        <w:t xml:space="preserve"> </w:t>
      </w:r>
      <w:r>
        <w:t>agnostic</w:t>
      </w:r>
      <w:r>
        <w:rPr>
          <w:spacing w:val="-2"/>
        </w:rPr>
        <w:t xml:space="preserve"> </w:t>
      </w:r>
      <w:r>
        <w:t>as</w:t>
      </w:r>
      <w:r>
        <w:rPr>
          <w:spacing w:val="-2"/>
        </w:rPr>
        <w:t xml:space="preserve"> </w:t>
      </w:r>
      <w:r>
        <w:t>to</w:t>
      </w:r>
      <w:r>
        <w:rPr>
          <w:spacing w:val="-2"/>
        </w:rPr>
        <w:t xml:space="preserve"> </w:t>
      </w:r>
      <w:r>
        <w:t>the</w:t>
      </w:r>
      <w:r>
        <w:rPr>
          <w:spacing w:val="-3"/>
        </w:rPr>
        <w:t xml:space="preserve"> </w:t>
      </w:r>
      <w:r>
        <w:t>funding</w:t>
      </w:r>
      <w:r>
        <w:rPr>
          <w:spacing w:val="-2"/>
        </w:rPr>
        <w:t xml:space="preserve"> </w:t>
      </w:r>
      <w:r>
        <w:t>source</w:t>
      </w:r>
      <w:r>
        <w:rPr>
          <w:spacing w:val="-2"/>
        </w:rPr>
        <w:t xml:space="preserve"> </w:t>
      </w:r>
      <w:r>
        <w:t>for</w:t>
      </w:r>
      <w:r>
        <w:rPr>
          <w:spacing w:val="-2"/>
        </w:rPr>
        <w:t xml:space="preserve"> </w:t>
      </w:r>
      <w:r>
        <w:t>the</w:t>
      </w:r>
      <w:r>
        <w:rPr>
          <w:spacing w:val="-2"/>
        </w:rPr>
        <w:t xml:space="preserve"> </w:t>
      </w:r>
      <w:r>
        <w:t>utility</w:t>
      </w:r>
      <w:r>
        <w:rPr>
          <w:spacing w:val="-2"/>
        </w:rPr>
        <w:t xml:space="preserve"> </w:t>
      </w:r>
      <w:r>
        <w:t>incentive;</w:t>
      </w:r>
      <w:r>
        <w:rPr>
          <w:spacing w:val="-1"/>
        </w:rPr>
        <w:t xml:space="preserve"> </w:t>
      </w:r>
      <w:r>
        <w:t>instead,</w:t>
      </w:r>
      <w:r>
        <w:rPr>
          <w:spacing w:val="-2"/>
        </w:rPr>
        <w:t xml:space="preserve"> </w:t>
      </w:r>
      <w:r>
        <w:t>it</w:t>
      </w:r>
      <w:r>
        <w:rPr>
          <w:spacing w:val="-5"/>
        </w:rPr>
        <w:t xml:space="preserve"> </w:t>
      </w:r>
      <w:r>
        <w:t>models</w:t>
      </w:r>
      <w:r>
        <w:rPr>
          <w:spacing w:val="-2"/>
        </w:rPr>
        <w:t xml:space="preserve"> </w:t>
      </w:r>
      <w:r>
        <w:t>the customer’s response to the total incentive amount they are offered. FS incentives (like</w:t>
      </w:r>
      <w:r>
        <w:rPr>
          <w:spacing w:val="-1"/>
        </w:rPr>
        <w:t xml:space="preserve"> </w:t>
      </w:r>
      <w:r>
        <w:t xml:space="preserve">those for EE) are calculated on a $/kWh and $/therm basis capped at a </w:t>
      </w:r>
      <w:r>
        <w:t>maximum value (75% or 90% of incremental cost depending on the scenario). Furthermore, for the 2023 Study, additional incentives</w:t>
      </w:r>
      <w:r>
        <w:rPr>
          <w:spacing w:val="-3"/>
        </w:rPr>
        <w:t xml:space="preserve"> </w:t>
      </w:r>
      <w:r>
        <w:t>available</w:t>
      </w:r>
      <w:r>
        <w:rPr>
          <w:spacing w:val="-3"/>
        </w:rPr>
        <w:t xml:space="preserve"> </w:t>
      </w:r>
      <w:r>
        <w:t>from</w:t>
      </w:r>
      <w:r>
        <w:rPr>
          <w:spacing w:val="-4"/>
        </w:rPr>
        <w:t xml:space="preserve"> </w:t>
      </w:r>
      <w:r>
        <w:t>outside</w:t>
      </w:r>
      <w:r>
        <w:rPr>
          <w:spacing w:val="-3"/>
        </w:rPr>
        <w:t xml:space="preserve"> </w:t>
      </w:r>
      <w:r>
        <w:t>the</w:t>
      </w:r>
      <w:r>
        <w:rPr>
          <w:spacing w:val="-3"/>
        </w:rPr>
        <w:t xml:space="preserve"> </w:t>
      </w:r>
      <w:r>
        <w:t>IOU</w:t>
      </w:r>
      <w:r>
        <w:rPr>
          <w:spacing w:val="-3"/>
        </w:rPr>
        <w:t xml:space="preserve"> </w:t>
      </w:r>
      <w:r>
        <w:t>programs</w:t>
      </w:r>
      <w:r>
        <w:rPr>
          <w:spacing w:val="-3"/>
        </w:rPr>
        <w:t xml:space="preserve"> </w:t>
      </w:r>
      <w:r>
        <w:t>under</w:t>
      </w:r>
      <w:r>
        <w:rPr>
          <w:spacing w:val="-3"/>
        </w:rPr>
        <w:t xml:space="preserve"> </w:t>
      </w:r>
      <w:r>
        <w:t>Technology</w:t>
      </w:r>
      <w:r>
        <w:rPr>
          <w:spacing w:val="-4"/>
        </w:rPr>
        <w:t xml:space="preserve"> </w:t>
      </w:r>
      <w:r>
        <w:t>and</w:t>
      </w:r>
      <w:r>
        <w:rPr>
          <w:spacing w:val="-2"/>
        </w:rPr>
        <w:t xml:space="preserve"> </w:t>
      </w:r>
      <w:r>
        <w:t>Equipment</w:t>
      </w:r>
      <w:r>
        <w:rPr>
          <w:spacing w:val="-3"/>
        </w:rPr>
        <w:t xml:space="preserve"> </w:t>
      </w:r>
      <w:r>
        <w:t>for</w:t>
      </w:r>
      <w:r>
        <w:rPr>
          <w:spacing w:val="-3"/>
        </w:rPr>
        <w:t xml:space="preserve"> </w:t>
      </w:r>
      <w:r>
        <w:t>Clean Heating (TECH) and Self-Generation Incentive P</w:t>
      </w:r>
      <w:r>
        <w:t>rogram (SGIP) Heat Pump Water Heater (HPWH) are included. These were not included in the constrained (capped) incentive amounts for applicable FS measures, and Guidehouse did not assign weighting or unique attribution values to these incentives based on di</w:t>
      </w:r>
      <w:r>
        <w:t>rection from CPUC staff.</w:t>
      </w:r>
    </w:p>
    <w:p w:rsidR="00C31389" w:rsidRDefault="00C31389" w14:paraId="33C2F7A4" w14:textId="77777777">
      <w:pPr>
        <w:pStyle w:val="BodyText"/>
        <w:spacing w:before="4"/>
        <w:rPr>
          <w:sz w:val="31"/>
        </w:rPr>
      </w:pPr>
    </w:p>
    <w:p w:rsidR="00C31389" w:rsidRDefault="00561FBD" w14:paraId="59A30DD1" w14:textId="77777777">
      <w:pPr>
        <w:pStyle w:val="Heading4"/>
        <w:numPr>
          <w:ilvl w:val="2"/>
          <w:numId w:val="71"/>
        </w:numPr>
        <w:tabs>
          <w:tab w:val="left" w:pos="1076"/>
        </w:tabs>
        <w:ind w:left="1076" w:hanging="596"/>
      </w:pPr>
      <w:bookmarkStart w:name="2.1.3_Whole_Building_Packages" w:id="90"/>
      <w:bookmarkStart w:name="_bookmark68" w:id="91"/>
      <w:bookmarkEnd w:id="90"/>
      <w:bookmarkEnd w:id="91"/>
      <w:r>
        <w:t>Whole</w:t>
      </w:r>
      <w:r>
        <w:rPr>
          <w:spacing w:val="-3"/>
        </w:rPr>
        <w:t xml:space="preserve"> </w:t>
      </w:r>
      <w:r>
        <w:t>Building</w:t>
      </w:r>
      <w:r>
        <w:rPr>
          <w:spacing w:val="-3"/>
        </w:rPr>
        <w:t xml:space="preserve"> </w:t>
      </w:r>
      <w:r>
        <w:rPr>
          <w:spacing w:val="-2"/>
        </w:rPr>
        <w:t>Packages</w:t>
      </w:r>
    </w:p>
    <w:p w:rsidR="00C31389" w:rsidRDefault="00C31389" w14:paraId="5F55F074" w14:textId="77777777">
      <w:pPr>
        <w:pStyle w:val="BodyText"/>
        <w:spacing w:before="9"/>
        <w:rPr>
          <w:b/>
          <w:sz w:val="20"/>
        </w:rPr>
      </w:pPr>
    </w:p>
    <w:p w:rsidR="00C31389" w:rsidRDefault="00561FBD" w14:paraId="7EF670B2" w14:textId="77777777">
      <w:pPr>
        <w:pStyle w:val="BodyText"/>
        <w:ind w:left="480" w:right="469"/>
      </w:pPr>
      <w:r>
        <w:t xml:space="preserve">Whole building packages are modeled the same way as rebated technologies with one exception. Technical and economic potential results are not presented in whole building packages because these results are </w:t>
      </w:r>
      <w:r>
        <w:t>duplicative with the technical and economic potential of individual</w:t>
      </w:r>
      <w:r>
        <w:rPr>
          <w:spacing w:val="-3"/>
        </w:rPr>
        <w:t xml:space="preserve"> </w:t>
      </w:r>
      <w:r>
        <w:t>rebated</w:t>
      </w:r>
      <w:r>
        <w:rPr>
          <w:spacing w:val="-3"/>
        </w:rPr>
        <w:t xml:space="preserve"> </w:t>
      </w:r>
      <w:r>
        <w:t>technologies.</w:t>
      </w:r>
      <w:r>
        <w:rPr>
          <w:spacing w:val="-3"/>
        </w:rPr>
        <w:t xml:space="preserve"> </w:t>
      </w:r>
      <w:r>
        <w:t>Highly</w:t>
      </w:r>
      <w:r>
        <w:rPr>
          <w:spacing w:val="-3"/>
        </w:rPr>
        <w:t xml:space="preserve"> </w:t>
      </w:r>
      <w:r>
        <w:t>efficient</w:t>
      </w:r>
      <w:r>
        <w:rPr>
          <w:spacing w:val="-4"/>
        </w:rPr>
        <w:t xml:space="preserve"> </w:t>
      </w:r>
      <w:r>
        <w:t>new</w:t>
      </w:r>
      <w:r>
        <w:rPr>
          <w:spacing w:val="-4"/>
        </w:rPr>
        <w:t xml:space="preserve"> </w:t>
      </w:r>
      <w:r>
        <w:t>buildings</w:t>
      </w:r>
      <w:r>
        <w:rPr>
          <w:spacing w:val="-3"/>
        </w:rPr>
        <w:t xml:space="preserve"> </w:t>
      </w:r>
      <w:r>
        <w:t>or</w:t>
      </w:r>
      <w:r>
        <w:rPr>
          <w:spacing w:val="-3"/>
        </w:rPr>
        <w:t xml:space="preserve"> </w:t>
      </w:r>
      <w:r>
        <w:t>retrofitted</w:t>
      </w:r>
      <w:r>
        <w:rPr>
          <w:spacing w:val="-3"/>
        </w:rPr>
        <w:t xml:space="preserve"> </w:t>
      </w:r>
      <w:r>
        <w:t>buildings</w:t>
      </w:r>
      <w:r>
        <w:rPr>
          <w:spacing w:val="-4"/>
        </w:rPr>
        <w:t xml:space="preserve"> </w:t>
      </w:r>
      <w:r>
        <w:t>will</w:t>
      </w:r>
      <w:r>
        <w:rPr>
          <w:spacing w:val="-3"/>
        </w:rPr>
        <w:t xml:space="preserve"> </w:t>
      </w:r>
      <w:r>
        <w:t>have</w:t>
      </w:r>
      <w:r>
        <w:rPr>
          <w:spacing w:val="-3"/>
        </w:rPr>
        <w:t xml:space="preserve"> </w:t>
      </w:r>
      <w:r>
        <w:t xml:space="preserve">no additional opportunity for individual EE technologies to be installed. When accounting for other </w:t>
      </w:r>
      <w:r>
        <w:t xml:space="preserve">measures that could technically be installed in the highly efficient building, double counting of savings would occur (to prevent double counting, either the whole building package would have </w:t>
      </w:r>
      <w:bookmarkStart w:name="2.1.4_Industrial_and_Agriculture_Custom_" w:id="92"/>
      <w:bookmarkStart w:name="_bookmark69" w:id="93"/>
      <w:bookmarkEnd w:id="92"/>
      <w:bookmarkEnd w:id="93"/>
      <w:r>
        <w:t>to be removed or all other technologies potentials would be unde</w:t>
      </w:r>
      <w:r>
        <w:t>restimated).</w:t>
      </w:r>
    </w:p>
    <w:p w:rsidR="00C31389" w:rsidRDefault="00C31389" w14:paraId="4F4E65B5" w14:textId="77777777">
      <w:pPr>
        <w:pStyle w:val="BodyText"/>
        <w:spacing w:before="5"/>
        <w:rPr>
          <w:sz w:val="31"/>
        </w:rPr>
      </w:pPr>
    </w:p>
    <w:p w:rsidR="00C31389" w:rsidRDefault="00561FBD" w14:paraId="0DA0B323" w14:textId="77777777">
      <w:pPr>
        <w:pStyle w:val="Heading4"/>
        <w:numPr>
          <w:ilvl w:val="2"/>
          <w:numId w:val="71"/>
        </w:numPr>
        <w:tabs>
          <w:tab w:val="left" w:pos="1076"/>
        </w:tabs>
        <w:ind w:left="1076" w:hanging="596"/>
      </w:pPr>
      <w:r>
        <w:t>Industrial</w:t>
      </w:r>
      <w:r>
        <w:rPr>
          <w:spacing w:val="-7"/>
        </w:rPr>
        <w:t xml:space="preserve"> </w:t>
      </w:r>
      <w:r>
        <w:t>and</w:t>
      </w:r>
      <w:r>
        <w:rPr>
          <w:spacing w:val="-4"/>
        </w:rPr>
        <w:t xml:space="preserve"> </w:t>
      </w:r>
      <w:r>
        <w:t>Agriculture</w:t>
      </w:r>
      <w:r>
        <w:rPr>
          <w:spacing w:val="-4"/>
        </w:rPr>
        <w:t xml:space="preserve"> </w:t>
      </w:r>
      <w:r>
        <w:t>Custom</w:t>
      </w:r>
      <w:r>
        <w:rPr>
          <w:spacing w:val="-4"/>
        </w:rPr>
        <w:t xml:space="preserve"> </w:t>
      </w:r>
      <w:r>
        <w:t>Measures</w:t>
      </w:r>
      <w:r>
        <w:rPr>
          <w:spacing w:val="-4"/>
        </w:rPr>
        <w:t xml:space="preserve"> </w:t>
      </w:r>
      <w:r>
        <w:t>and</w:t>
      </w:r>
      <w:r>
        <w:rPr>
          <w:spacing w:val="-4"/>
        </w:rPr>
        <w:t xml:space="preserve"> </w:t>
      </w:r>
      <w:r>
        <w:t>Emerging</w:t>
      </w:r>
      <w:r>
        <w:rPr>
          <w:spacing w:val="-3"/>
        </w:rPr>
        <w:t xml:space="preserve"> </w:t>
      </w:r>
      <w:r>
        <w:rPr>
          <w:spacing w:val="-2"/>
        </w:rPr>
        <w:t>Technologies</w:t>
      </w:r>
    </w:p>
    <w:p w:rsidR="00C31389" w:rsidRDefault="00C31389" w14:paraId="69050C25" w14:textId="77777777">
      <w:pPr>
        <w:pStyle w:val="BodyText"/>
        <w:spacing w:before="9"/>
        <w:rPr>
          <w:b/>
          <w:sz w:val="20"/>
        </w:rPr>
      </w:pPr>
    </w:p>
    <w:p w:rsidR="00C31389" w:rsidRDefault="00561FBD" w14:paraId="01AFDDC2" w14:textId="77777777">
      <w:pPr>
        <w:pStyle w:val="BodyText"/>
        <w:spacing w:before="1"/>
        <w:ind w:left="480" w:right="565"/>
      </w:pPr>
      <w:r>
        <w:t>The</w:t>
      </w:r>
      <w:r>
        <w:rPr>
          <w:spacing w:val="-3"/>
        </w:rPr>
        <w:t xml:space="preserve"> </w:t>
      </w:r>
      <w:r>
        <w:t>potential</w:t>
      </w:r>
      <w:r>
        <w:rPr>
          <w:spacing w:val="-3"/>
        </w:rPr>
        <w:t xml:space="preserve"> </w:t>
      </w:r>
      <w:r>
        <w:t>and</w:t>
      </w:r>
      <w:r>
        <w:rPr>
          <w:spacing w:val="-3"/>
        </w:rPr>
        <w:t xml:space="preserve"> </w:t>
      </w:r>
      <w:r>
        <w:t>goals</w:t>
      </w:r>
      <w:r>
        <w:rPr>
          <w:spacing w:val="-4"/>
        </w:rPr>
        <w:t xml:space="preserve"> </w:t>
      </w:r>
      <w:r>
        <w:t>study</w:t>
      </w:r>
      <w:r>
        <w:rPr>
          <w:spacing w:val="-3"/>
        </w:rPr>
        <w:t xml:space="preserve"> </w:t>
      </w:r>
      <w:r>
        <w:t>categorizes</w:t>
      </w:r>
      <w:r>
        <w:rPr>
          <w:spacing w:val="-3"/>
        </w:rPr>
        <w:t xml:space="preserve"> </w:t>
      </w:r>
      <w:r>
        <w:t>the</w:t>
      </w:r>
      <w:r>
        <w:rPr>
          <w:spacing w:val="-3"/>
        </w:rPr>
        <w:t xml:space="preserve"> </w:t>
      </w:r>
      <w:r>
        <w:t>industrial</w:t>
      </w:r>
      <w:r>
        <w:rPr>
          <w:spacing w:val="-3"/>
        </w:rPr>
        <w:t xml:space="preserve"> </w:t>
      </w:r>
      <w:r>
        <w:t>and</w:t>
      </w:r>
      <w:r>
        <w:rPr>
          <w:spacing w:val="-4"/>
        </w:rPr>
        <w:t xml:space="preserve"> </w:t>
      </w:r>
      <w:r>
        <w:t>agriculture</w:t>
      </w:r>
      <w:r>
        <w:rPr>
          <w:spacing w:val="-3"/>
        </w:rPr>
        <w:t xml:space="preserve"> </w:t>
      </w:r>
      <w:r>
        <w:t>sector</w:t>
      </w:r>
      <w:r>
        <w:rPr>
          <w:spacing w:val="-3"/>
        </w:rPr>
        <w:t xml:space="preserve"> </w:t>
      </w:r>
      <w:r>
        <w:t>EE</w:t>
      </w:r>
      <w:r>
        <w:rPr>
          <w:spacing w:val="-3"/>
        </w:rPr>
        <w:t xml:space="preserve"> </w:t>
      </w:r>
      <w:r>
        <w:t xml:space="preserve">opportunities into different technology groups defined in </w:t>
      </w:r>
      <w:hyperlink w:history="1" w:anchor="_bookmark70">
        <w:r>
          <w:t>Table 2-6</w:t>
        </w:r>
      </w:hyperlink>
      <w:r>
        <w:t>. The rebated EE technologies, via incentive programs, follow the same analysis methodology for residential and commercial te</w:t>
      </w:r>
      <w:r>
        <w:t>chnologies. These rebated EE technologies are called characterized custom. This section addresses the technology categories using a top-down approach (BRO or the strategic energy management [SEM]-like program for the industrial and agriculture sector are a</w:t>
      </w:r>
      <w:r>
        <w:t xml:space="preserve">lso discussed in Section </w:t>
      </w:r>
      <w:hyperlink w:history="1" w:anchor="_bookmark75">
        <w:r>
          <w:t>2.1.5</w:t>
        </w:r>
      </w:hyperlink>
      <w:r>
        <w:t xml:space="preserve">). Definitions and data sources are provided in more detail in Section </w:t>
      </w:r>
      <w:hyperlink w:history="1" w:anchor="_bookmark156">
        <w:r>
          <w:t>3.5</w:t>
        </w:r>
      </w:hyperlink>
      <w:r>
        <w:t>.</w:t>
      </w:r>
    </w:p>
    <w:p w:rsidR="00C31389" w:rsidRDefault="00C31389" w14:paraId="52DB07AF" w14:textId="77777777">
      <w:pPr>
        <w:pStyle w:val="BodyText"/>
        <w:spacing w:before="9"/>
        <w:rPr>
          <w:sz w:val="20"/>
        </w:rPr>
      </w:pPr>
    </w:p>
    <w:p w:rsidR="00C31389" w:rsidRDefault="00561FBD" w14:paraId="37C2A4DC" w14:textId="77777777">
      <w:pPr>
        <w:pStyle w:val="Heading7"/>
        <w:ind w:left="4655" w:right="533" w:hanging="3178"/>
      </w:pPr>
      <w:bookmarkStart w:name="_bookmark70" w:id="94"/>
      <w:bookmarkEnd w:id="94"/>
      <w:r>
        <w:t>Table</w:t>
      </w:r>
      <w:r>
        <w:rPr>
          <w:spacing w:val="-5"/>
        </w:rPr>
        <w:t xml:space="preserve"> </w:t>
      </w:r>
      <w:r>
        <w:t>2-6.</w:t>
      </w:r>
      <w:r>
        <w:rPr>
          <w:spacing w:val="-5"/>
        </w:rPr>
        <w:t xml:space="preserve"> </w:t>
      </w:r>
      <w:r>
        <w:t>Industr</w:t>
      </w:r>
      <w:r>
        <w:t>ial</w:t>
      </w:r>
      <w:r>
        <w:rPr>
          <w:spacing w:val="-5"/>
        </w:rPr>
        <w:t xml:space="preserve"> </w:t>
      </w:r>
      <w:r>
        <w:t>and</w:t>
      </w:r>
      <w:r>
        <w:rPr>
          <w:spacing w:val="-5"/>
        </w:rPr>
        <w:t xml:space="preserve"> </w:t>
      </w:r>
      <w:r>
        <w:t>Agriculture</w:t>
      </w:r>
      <w:r>
        <w:rPr>
          <w:spacing w:val="-5"/>
        </w:rPr>
        <w:t xml:space="preserve"> </w:t>
      </w:r>
      <w:r>
        <w:t>Technology</w:t>
      </w:r>
      <w:r>
        <w:rPr>
          <w:spacing w:val="-5"/>
        </w:rPr>
        <w:t xml:space="preserve"> </w:t>
      </w:r>
      <w:r>
        <w:t>Categories</w:t>
      </w:r>
      <w:r>
        <w:rPr>
          <w:spacing w:val="-5"/>
        </w:rPr>
        <w:t xml:space="preserve"> </w:t>
      </w:r>
      <w:r>
        <w:t>and</w:t>
      </w:r>
      <w:r>
        <w:rPr>
          <w:spacing w:val="-5"/>
        </w:rPr>
        <w:t xml:space="preserve"> </w:t>
      </w:r>
      <w:r>
        <w:t xml:space="preserve">Modeling </w:t>
      </w:r>
      <w:r>
        <w:rPr>
          <w:spacing w:val="-2"/>
        </w:rPr>
        <w:t>Methodology</w:t>
      </w:r>
    </w:p>
    <w:p w:rsidR="00C31389" w:rsidRDefault="00561FBD" w14:paraId="413B6610" w14:textId="77777777">
      <w:pPr>
        <w:pStyle w:val="BodyText"/>
        <w:spacing w:before="4"/>
        <w:rPr>
          <w:b/>
          <w:sz w:val="8"/>
        </w:rPr>
      </w:pPr>
      <w:r>
        <w:rPr>
          <w:noProof/>
        </w:rPr>
        <mc:AlternateContent>
          <mc:Choice Requires="wpg">
            <w:drawing>
              <wp:anchor distT="0" distB="0" distL="0" distR="0" simplePos="0" relativeHeight="487613952" behindDoc="1" locked="0" layoutInCell="1" allowOverlap="1" wp14:editId="07E0D091" wp14:anchorId="13BAFF4C">
                <wp:simplePos x="0" y="0"/>
                <wp:positionH relativeFrom="page">
                  <wp:posOffset>1453133</wp:posOffset>
                </wp:positionH>
                <wp:positionV relativeFrom="paragraph">
                  <wp:posOffset>76195</wp:posOffset>
                </wp:positionV>
                <wp:extent cx="4857750" cy="31623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316230"/>
                          <a:chOff x="0" y="0"/>
                          <a:chExt cx="4857750" cy="316230"/>
                        </a:xfrm>
                      </wpg:grpSpPr>
                      <wps:wsp>
                        <wps:cNvPr id="152" name="Graphic 152"/>
                        <wps:cNvSpPr/>
                        <wps:spPr>
                          <a:xfrm>
                            <a:off x="0" y="0"/>
                            <a:ext cx="4857750" cy="316230"/>
                          </a:xfrm>
                          <a:custGeom>
                            <a:avLst/>
                            <a:gdLst/>
                            <a:ahLst/>
                            <a:cxnLst/>
                            <a:rect l="l" t="t" r="r" b="b"/>
                            <a:pathLst>
                              <a:path w="4857750" h="316230">
                                <a:moveTo>
                                  <a:pt x="4857737" y="310134"/>
                                </a:moveTo>
                                <a:lnTo>
                                  <a:pt x="4856988" y="310134"/>
                                </a:lnTo>
                                <a:lnTo>
                                  <a:pt x="4856988" y="0"/>
                                </a:lnTo>
                                <a:lnTo>
                                  <a:pt x="3304794" y="0"/>
                                </a:lnTo>
                                <a:lnTo>
                                  <a:pt x="1751838" y="0"/>
                                </a:lnTo>
                                <a:lnTo>
                                  <a:pt x="9144" y="0"/>
                                </a:lnTo>
                                <a:lnTo>
                                  <a:pt x="9144" y="310134"/>
                                </a:lnTo>
                                <a:lnTo>
                                  <a:pt x="0" y="310134"/>
                                </a:lnTo>
                                <a:lnTo>
                                  <a:pt x="0" y="316230"/>
                                </a:lnTo>
                                <a:lnTo>
                                  <a:pt x="1743456" y="316230"/>
                                </a:lnTo>
                                <a:lnTo>
                                  <a:pt x="1749539" y="316230"/>
                                </a:lnTo>
                                <a:lnTo>
                                  <a:pt x="4857737" y="316230"/>
                                </a:lnTo>
                                <a:lnTo>
                                  <a:pt x="4857737" y="310134"/>
                                </a:lnTo>
                                <a:close/>
                              </a:path>
                            </a:pathLst>
                          </a:custGeom>
                          <a:solidFill>
                            <a:srgbClr val="92D400"/>
                          </a:solidFill>
                        </wps:spPr>
                        <wps:bodyPr wrap="square" lIns="0" tIns="0" rIns="0" bIns="0" rtlCol="0">
                          <a:prstTxWarp prst="textNoShape">
                            <a:avLst/>
                          </a:prstTxWarp>
                          <a:noAutofit/>
                        </wps:bodyPr>
                      </wps:wsp>
                      <wps:wsp>
                        <wps:cNvPr id="153" name="Textbox 153"/>
                        <wps:cNvSpPr txBox="1"/>
                        <wps:spPr>
                          <a:xfrm>
                            <a:off x="82296" y="85968"/>
                            <a:ext cx="563880" cy="142240"/>
                          </a:xfrm>
                          <a:prstGeom prst="rect">
                            <a:avLst/>
                          </a:prstGeom>
                        </wps:spPr>
                        <wps:txbx>
                          <w:txbxContent>
                            <w:p w:rsidR="00C31389" w:rsidRDefault="00561FBD" w14:paraId="383F0C0E" w14:textId="77777777">
                              <w:pPr>
                                <w:spacing w:line="224" w:lineRule="exact"/>
                                <w:rPr>
                                  <w:b/>
                                  <w:sz w:val="20"/>
                                </w:rPr>
                              </w:pPr>
                              <w:r>
                                <w:rPr>
                                  <w:b/>
                                  <w:spacing w:val="-2"/>
                                  <w:sz w:val="20"/>
                                </w:rPr>
                                <w:t>Category</w:t>
                              </w:r>
                            </w:p>
                          </w:txbxContent>
                        </wps:txbx>
                        <wps:bodyPr wrap="square" lIns="0" tIns="0" rIns="0" bIns="0" rtlCol="0">
                          <a:noAutofit/>
                        </wps:bodyPr>
                      </wps:wsp>
                      <wps:wsp>
                        <wps:cNvPr id="154" name="Textbox 154"/>
                        <wps:cNvSpPr txBox="1"/>
                        <wps:spPr>
                          <a:xfrm>
                            <a:off x="1824989" y="85968"/>
                            <a:ext cx="598805" cy="142240"/>
                          </a:xfrm>
                          <a:prstGeom prst="rect">
                            <a:avLst/>
                          </a:prstGeom>
                        </wps:spPr>
                        <wps:txbx>
                          <w:txbxContent>
                            <w:p w:rsidR="00C31389" w:rsidRDefault="00561FBD" w14:paraId="4CE19A11" w14:textId="77777777">
                              <w:pPr>
                                <w:spacing w:line="224" w:lineRule="exact"/>
                                <w:rPr>
                                  <w:b/>
                                  <w:sz w:val="20"/>
                                </w:rPr>
                              </w:pPr>
                              <w:r>
                                <w:rPr>
                                  <w:b/>
                                  <w:spacing w:val="-2"/>
                                  <w:sz w:val="20"/>
                                </w:rPr>
                                <w:t>Definition</w:t>
                              </w:r>
                            </w:p>
                          </w:txbxContent>
                        </wps:txbx>
                        <wps:bodyPr wrap="square" lIns="0" tIns="0" rIns="0" bIns="0" rtlCol="0">
                          <a:noAutofit/>
                        </wps:bodyPr>
                      </wps:wsp>
                      <wps:wsp>
                        <wps:cNvPr id="155" name="Textbox 155"/>
                        <wps:cNvSpPr txBox="1"/>
                        <wps:spPr>
                          <a:xfrm>
                            <a:off x="3377946" y="85968"/>
                            <a:ext cx="1008380" cy="142240"/>
                          </a:xfrm>
                          <a:prstGeom prst="rect">
                            <a:avLst/>
                          </a:prstGeom>
                        </wps:spPr>
                        <wps:txbx>
                          <w:txbxContent>
                            <w:p w:rsidR="00C31389" w:rsidRDefault="00561FBD" w14:paraId="0D2CC5A4" w14:textId="77777777">
                              <w:pPr>
                                <w:spacing w:line="224" w:lineRule="exact"/>
                                <w:rPr>
                                  <w:b/>
                                  <w:sz w:val="20"/>
                                </w:rPr>
                              </w:pPr>
                              <w:r>
                                <w:rPr>
                                  <w:b/>
                                  <w:sz w:val="20"/>
                                </w:rPr>
                                <w:t>Model</w:t>
                              </w:r>
                              <w:r>
                                <w:rPr>
                                  <w:b/>
                                  <w:spacing w:val="-4"/>
                                  <w:sz w:val="20"/>
                                </w:rPr>
                                <w:t xml:space="preserve"> </w:t>
                              </w:r>
                              <w:r>
                                <w:rPr>
                                  <w:b/>
                                  <w:spacing w:val="-2"/>
                                  <w:sz w:val="20"/>
                                </w:rPr>
                                <w:t>Approach</w:t>
                              </w:r>
                            </w:p>
                          </w:txbxContent>
                        </wps:txbx>
                        <wps:bodyPr wrap="square" lIns="0" tIns="0" rIns="0" bIns="0" rtlCol="0">
                          <a:noAutofit/>
                        </wps:bodyPr>
                      </wps:wsp>
                    </wpg:wgp>
                  </a:graphicData>
                </a:graphic>
              </wp:anchor>
            </w:drawing>
          </mc:Choice>
          <mc:Fallback>
            <w:pict>
              <v:group id="Group 151" style="position:absolute;margin-left:114.4pt;margin-top:6pt;width:382.5pt;height:24.9pt;z-index:-15702528;mso-wrap-distance-left:0;mso-wrap-distance-right:0;mso-position-horizontal-relative:page" coordsize="48577,3162" o:spid="_x0000_s1030" w14:anchorId="13BAF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">
                <v:shape id="Graphic 152" style="position:absolute;width:48577;height:3162;visibility:visible;mso-wrap-style:square;v-text-anchor:top" coordsize="4857750,316230" o:spid="_x0000_s1031" fillcolor="#92d400" stroked="f" path="m4857737,310134r-749,l4856988,,3304794,,1751838,,9144,r,310134l,310134r,6096l1743456,316230r6083,l4857737,31623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">
                  <v:path arrowok="t"/>
                </v:shape>
                <v:shape id="Textbox 153" style="position:absolute;left:822;top:859;width:5639;height:1423;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v:textbox inset="0,0,0,0">
                    <w:txbxContent>
                      <w:p w:rsidR="00C31389" w:rsidRDefault="00561FBD" w14:paraId="383F0C0E" w14:textId="77777777">
                        <w:pPr>
                          <w:spacing w:line="224" w:lineRule="exact"/>
                          <w:rPr>
                            <w:b/>
                            <w:sz w:val="20"/>
                          </w:rPr>
                        </w:pPr>
                        <w:r>
                          <w:rPr>
                            <w:b/>
                            <w:spacing w:val="-2"/>
                            <w:sz w:val="20"/>
                          </w:rPr>
                          <w:t>Category</w:t>
                        </w:r>
                      </w:p>
                    </w:txbxContent>
                  </v:textbox>
                </v:shape>
                <v:shape id="Textbox 154" style="position:absolute;left:18249;top:859;width:5988;height:1423;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v:textbox inset="0,0,0,0">
                    <w:txbxContent>
                      <w:p w:rsidR="00C31389" w:rsidRDefault="00561FBD" w14:paraId="4CE19A11" w14:textId="77777777">
                        <w:pPr>
                          <w:spacing w:line="224" w:lineRule="exact"/>
                          <w:rPr>
                            <w:b/>
                            <w:sz w:val="20"/>
                          </w:rPr>
                        </w:pPr>
                        <w:r>
                          <w:rPr>
                            <w:b/>
                            <w:spacing w:val="-2"/>
                            <w:sz w:val="20"/>
                          </w:rPr>
                          <w:t>Definition</w:t>
                        </w:r>
                      </w:p>
                    </w:txbxContent>
                  </v:textbox>
                </v:shape>
                <v:shape id="Textbox 155" style="position:absolute;left:33779;top:859;width:10084;height:1423;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v:textbox inset="0,0,0,0">
                    <w:txbxContent>
                      <w:p w:rsidR="00C31389" w:rsidRDefault="00561FBD" w14:paraId="0D2CC5A4" w14:textId="77777777">
                        <w:pPr>
                          <w:spacing w:line="224" w:lineRule="exact"/>
                          <w:rPr>
                            <w:b/>
                            <w:sz w:val="20"/>
                          </w:rPr>
                        </w:pPr>
                        <w:r>
                          <w:rPr>
                            <w:b/>
                            <w:sz w:val="20"/>
                          </w:rPr>
                          <w:t>Model</w:t>
                        </w:r>
                        <w:r>
                          <w:rPr>
                            <w:b/>
                            <w:spacing w:val="-4"/>
                            <w:sz w:val="20"/>
                          </w:rPr>
                          <w:t xml:space="preserve"> </w:t>
                        </w:r>
                        <w:r>
                          <w:rPr>
                            <w:b/>
                            <w:spacing w:val="-2"/>
                            <w:sz w:val="20"/>
                          </w:rPr>
                          <w:t>Approach</w:t>
                        </w:r>
                      </w:p>
                    </w:txbxContent>
                  </v:textbox>
                </v:shape>
                <w10:wrap type="topAndBottom" anchorx="page"/>
              </v:group>
            </w:pict>
          </mc:Fallback>
        </mc:AlternateContent>
      </w:r>
    </w:p>
    <w:p w:rsidR="00C31389" w:rsidRDefault="00C31389" w14:paraId="1EC73AFF" w14:textId="77777777">
      <w:pPr>
        <w:rPr>
          <w:sz w:val="8"/>
        </w:rPr>
        <w:sectPr w:rsidR="00C31389">
          <w:headerReference w:type="default" r:id="rId83"/>
          <w:footerReference w:type="default" r:id="rId84"/>
          <w:pgSz w:w="12240" w:h="15840"/>
          <w:pgMar w:top="1660" w:right="960" w:bottom="1120" w:left="960" w:header="397" w:footer="936" w:gutter="0"/>
          <w:cols w:space="720"/>
        </w:sectPr>
      </w:pPr>
    </w:p>
    <w:p w:rsidR="00C31389" w:rsidRDefault="00C31389" w14:paraId="5C2F118A" w14:textId="77777777">
      <w:pPr>
        <w:pStyle w:val="BodyText"/>
        <w:spacing w:before="2"/>
        <w:rPr>
          <w:b/>
          <w:sz w:val="25"/>
        </w:rPr>
      </w:pPr>
    </w:p>
    <w:tbl>
      <w:tblPr>
        <w:tblW w:w="0" w:type="auto"/>
        <w:tblInd w:w="1343" w:type="dxa"/>
        <w:tblLayout w:type="fixed"/>
        <w:tblCellMar>
          <w:left w:w="0" w:type="dxa"/>
          <w:right w:w="0" w:type="dxa"/>
        </w:tblCellMar>
        <w:tblLook w:val="01E0" w:firstRow="1" w:lastRow="1" w:firstColumn="1" w:lastColumn="1" w:noHBand="0" w:noVBand="0"/>
      </w:tblPr>
      <w:tblGrid>
        <w:gridCol w:w="2629"/>
        <w:gridCol w:w="2507"/>
        <w:gridCol w:w="2508"/>
      </w:tblGrid>
      <w:tr w:rsidR="00C31389" w14:paraId="7BF068E7" w14:textId="77777777">
        <w:trPr>
          <w:trHeight w:val="493"/>
        </w:trPr>
        <w:tc>
          <w:tcPr>
            <w:tcW w:w="2629" w:type="dxa"/>
            <w:tcBorders>
              <w:bottom w:val="single" w:color="D9D9D9" w:sz="2" w:space="0"/>
            </w:tcBorders>
          </w:tcPr>
          <w:p w:rsidR="00C31389" w:rsidRDefault="00561FBD" w14:paraId="14C0D139" w14:textId="77777777">
            <w:pPr>
              <w:pStyle w:val="TableParagraph"/>
              <w:spacing w:before="109"/>
              <w:ind w:left="122"/>
              <w:rPr>
                <w:b/>
                <w:sz w:val="20"/>
              </w:rPr>
            </w:pPr>
            <w:r>
              <w:rPr>
                <w:b/>
                <w:sz w:val="20"/>
              </w:rPr>
              <w:t>Emerging</w:t>
            </w:r>
            <w:r>
              <w:rPr>
                <w:b/>
                <w:spacing w:val="-4"/>
                <w:sz w:val="20"/>
              </w:rPr>
              <w:t xml:space="preserve"> </w:t>
            </w:r>
            <w:r>
              <w:rPr>
                <w:b/>
                <w:spacing w:val="-2"/>
                <w:sz w:val="20"/>
              </w:rPr>
              <w:t>Technologies</w:t>
            </w:r>
          </w:p>
        </w:tc>
        <w:tc>
          <w:tcPr>
            <w:tcW w:w="2507" w:type="dxa"/>
            <w:tcBorders>
              <w:bottom w:val="single" w:color="D9D9D9" w:sz="2" w:space="0"/>
            </w:tcBorders>
          </w:tcPr>
          <w:p w:rsidR="00C31389" w:rsidRDefault="00561FBD" w14:paraId="44273560" w14:textId="77777777">
            <w:pPr>
              <w:pStyle w:val="TableParagraph"/>
              <w:spacing w:before="0"/>
              <w:ind w:left="237" w:right="174"/>
              <w:rPr>
                <w:sz w:val="20"/>
              </w:rPr>
            </w:pPr>
            <w:r>
              <w:rPr>
                <w:sz w:val="20"/>
              </w:rPr>
              <w:t>Nascent</w:t>
            </w:r>
            <w:r>
              <w:rPr>
                <w:spacing w:val="-14"/>
                <w:sz w:val="20"/>
              </w:rPr>
              <w:t xml:space="preserve"> </w:t>
            </w:r>
            <w:r>
              <w:rPr>
                <w:sz w:val="20"/>
              </w:rPr>
              <w:t>or</w:t>
            </w:r>
            <w:r>
              <w:rPr>
                <w:spacing w:val="-14"/>
                <w:sz w:val="20"/>
              </w:rPr>
              <w:t xml:space="preserve"> </w:t>
            </w:r>
            <w:r>
              <w:rPr>
                <w:sz w:val="20"/>
              </w:rPr>
              <w:t xml:space="preserve">emerging </w:t>
            </w:r>
            <w:r>
              <w:rPr>
                <w:spacing w:val="-2"/>
                <w:sz w:val="20"/>
              </w:rPr>
              <w:t>technology</w:t>
            </w:r>
          </w:p>
        </w:tc>
        <w:tc>
          <w:tcPr>
            <w:tcW w:w="2508" w:type="dxa"/>
            <w:tcBorders>
              <w:bottom w:val="single" w:color="D9D9D9" w:sz="2" w:space="0"/>
            </w:tcBorders>
          </w:tcPr>
          <w:p w:rsidR="00C31389" w:rsidRDefault="00561FBD" w14:paraId="2F376A29" w14:textId="77777777">
            <w:pPr>
              <w:pStyle w:val="TableParagraph"/>
              <w:spacing w:before="109"/>
              <w:ind w:left="176"/>
              <w:rPr>
                <w:sz w:val="20"/>
              </w:rPr>
            </w:pPr>
            <w:r>
              <w:rPr>
                <w:sz w:val="20"/>
              </w:rPr>
              <w:t>Top-down</w:t>
            </w:r>
            <w:r>
              <w:rPr>
                <w:spacing w:val="-5"/>
                <w:sz w:val="20"/>
              </w:rPr>
              <w:t xml:space="preserve"> </w:t>
            </w:r>
            <w:r>
              <w:rPr>
                <w:spacing w:val="-2"/>
                <w:sz w:val="20"/>
              </w:rPr>
              <w:t>approach</w:t>
            </w:r>
          </w:p>
        </w:tc>
      </w:tr>
      <w:tr w:rsidR="00C31389" w14:paraId="6D2D84FD" w14:textId="77777777">
        <w:trPr>
          <w:trHeight w:val="539"/>
        </w:trPr>
        <w:tc>
          <w:tcPr>
            <w:tcW w:w="2629" w:type="dxa"/>
            <w:tcBorders>
              <w:top w:val="single" w:color="D9D9D9" w:sz="2" w:space="0"/>
              <w:bottom w:val="single" w:color="D9D9D9" w:sz="2" w:space="0"/>
            </w:tcBorders>
          </w:tcPr>
          <w:p w:rsidR="00C31389" w:rsidRDefault="00561FBD" w14:paraId="50F56718" w14:textId="77777777">
            <w:pPr>
              <w:pStyle w:val="TableParagraph"/>
              <w:spacing w:before="155"/>
              <w:ind w:left="122"/>
              <w:rPr>
                <w:b/>
                <w:sz w:val="20"/>
              </w:rPr>
            </w:pPr>
            <w:r>
              <w:rPr>
                <w:b/>
                <w:spacing w:val="-2"/>
                <w:sz w:val="20"/>
              </w:rPr>
              <w:t>BROs*</w:t>
            </w:r>
          </w:p>
        </w:tc>
        <w:tc>
          <w:tcPr>
            <w:tcW w:w="2507" w:type="dxa"/>
            <w:tcBorders>
              <w:top w:val="single" w:color="D9D9D9" w:sz="2" w:space="0"/>
              <w:bottom w:val="single" w:color="D9D9D9" w:sz="2" w:space="0"/>
            </w:tcBorders>
          </w:tcPr>
          <w:p w:rsidR="00C31389" w:rsidRDefault="00561FBD" w14:paraId="7180E340" w14:textId="77777777">
            <w:pPr>
              <w:pStyle w:val="TableParagraph"/>
              <w:ind w:left="237" w:right="174"/>
              <w:rPr>
                <w:sz w:val="20"/>
              </w:rPr>
            </w:pPr>
            <w:r>
              <w:rPr>
                <w:sz w:val="20"/>
              </w:rPr>
              <w:t>RCx,</w:t>
            </w:r>
            <w:r>
              <w:rPr>
                <w:spacing w:val="-14"/>
                <w:sz w:val="20"/>
              </w:rPr>
              <w:t xml:space="preserve"> </w:t>
            </w:r>
            <w:r>
              <w:rPr>
                <w:sz w:val="20"/>
              </w:rPr>
              <w:t>SEM,</w:t>
            </w:r>
            <w:r>
              <w:rPr>
                <w:spacing w:val="-14"/>
                <w:sz w:val="20"/>
              </w:rPr>
              <w:t xml:space="preserve"> </w:t>
            </w:r>
            <w:r>
              <w:rPr>
                <w:sz w:val="20"/>
              </w:rPr>
              <w:t xml:space="preserve">or </w:t>
            </w:r>
            <w:r>
              <w:rPr>
                <w:spacing w:val="-2"/>
                <w:sz w:val="20"/>
              </w:rPr>
              <w:t>optimization</w:t>
            </w:r>
          </w:p>
        </w:tc>
        <w:tc>
          <w:tcPr>
            <w:tcW w:w="2508" w:type="dxa"/>
            <w:tcBorders>
              <w:top w:val="single" w:color="D9D9D9" w:sz="2" w:space="0"/>
              <w:bottom w:val="single" w:color="D9D9D9" w:sz="2" w:space="0"/>
            </w:tcBorders>
          </w:tcPr>
          <w:p w:rsidR="00C31389" w:rsidRDefault="00561FBD" w14:paraId="789AFECA" w14:textId="77777777">
            <w:pPr>
              <w:pStyle w:val="TableParagraph"/>
              <w:spacing w:before="155"/>
              <w:ind w:left="176"/>
              <w:rPr>
                <w:sz w:val="20"/>
              </w:rPr>
            </w:pPr>
            <w:r>
              <w:rPr>
                <w:sz w:val="20"/>
              </w:rPr>
              <w:t>Top-down</w:t>
            </w:r>
            <w:r>
              <w:rPr>
                <w:spacing w:val="-5"/>
                <w:sz w:val="20"/>
              </w:rPr>
              <w:t xml:space="preserve"> </w:t>
            </w:r>
            <w:r>
              <w:rPr>
                <w:spacing w:val="-2"/>
                <w:sz w:val="20"/>
              </w:rPr>
              <w:t>approach</w:t>
            </w:r>
          </w:p>
        </w:tc>
      </w:tr>
      <w:tr w:rsidR="00C31389" w14:paraId="0DB54FC9" w14:textId="77777777">
        <w:trPr>
          <w:trHeight w:val="539"/>
        </w:trPr>
        <w:tc>
          <w:tcPr>
            <w:tcW w:w="2629" w:type="dxa"/>
            <w:tcBorders>
              <w:top w:val="single" w:color="D9D9D9" w:sz="2" w:space="0"/>
              <w:bottom w:val="single" w:color="D9D9D9" w:sz="2" w:space="0"/>
            </w:tcBorders>
          </w:tcPr>
          <w:p w:rsidR="00C31389" w:rsidRDefault="00561FBD" w14:paraId="0653D6A0" w14:textId="77777777">
            <w:pPr>
              <w:pStyle w:val="TableParagraph"/>
              <w:spacing w:before="155"/>
              <w:ind w:left="122"/>
              <w:rPr>
                <w:b/>
                <w:sz w:val="20"/>
              </w:rPr>
            </w:pPr>
            <w:r>
              <w:rPr>
                <w:b/>
                <w:sz w:val="20"/>
              </w:rPr>
              <w:t>Characterized</w:t>
            </w:r>
            <w:r>
              <w:rPr>
                <w:b/>
                <w:spacing w:val="-9"/>
                <w:sz w:val="20"/>
              </w:rPr>
              <w:t xml:space="preserve"> </w:t>
            </w:r>
            <w:r>
              <w:rPr>
                <w:b/>
                <w:spacing w:val="-2"/>
                <w:sz w:val="20"/>
              </w:rPr>
              <w:t>Custom</w:t>
            </w:r>
            <w:r>
              <w:rPr>
                <w:b/>
                <w:spacing w:val="-2"/>
                <w:sz w:val="20"/>
                <w:vertAlign w:val="superscript"/>
              </w:rPr>
              <w:t>†</w:t>
            </w:r>
          </w:p>
        </w:tc>
        <w:tc>
          <w:tcPr>
            <w:tcW w:w="2507" w:type="dxa"/>
            <w:tcBorders>
              <w:top w:val="single" w:color="D9D9D9" w:sz="2" w:space="0"/>
              <w:bottom w:val="single" w:color="D9D9D9" w:sz="2" w:space="0"/>
            </w:tcBorders>
          </w:tcPr>
          <w:p w:rsidR="00C31389" w:rsidRDefault="00561FBD" w14:paraId="595D5D37" w14:textId="77777777">
            <w:pPr>
              <w:pStyle w:val="TableParagraph"/>
              <w:ind w:left="237" w:right="885"/>
              <w:rPr>
                <w:sz w:val="20"/>
              </w:rPr>
            </w:pPr>
            <w:r>
              <w:rPr>
                <w:sz w:val="20"/>
              </w:rPr>
              <w:t>Readily</w:t>
            </w:r>
            <w:r>
              <w:rPr>
                <w:spacing w:val="-14"/>
                <w:sz w:val="20"/>
              </w:rPr>
              <w:t xml:space="preserve"> </w:t>
            </w:r>
            <w:r>
              <w:rPr>
                <w:sz w:val="20"/>
              </w:rPr>
              <w:t xml:space="preserve">defined </w:t>
            </w:r>
            <w:r>
              <w:rPr>
                <w:spacing w:val="-2"/>
                <w:sz w:val="20"/>
              </w:rPr>
              <w:t>measures</w:t>
            </w:r>
          </w:p>
        </w:tc>
        <w:tc>
          <w:tcPr>
            <w:tcW w:w="2508" w:type="dxa"/>
            <w:tcBorders>
              <w:top w:val="single" w:color="D9D9D9" w:sz="2" w:space="0"/>
              <w:bottom w:val="single" w:color="D9D9D9" w:sz="2" w:space="0"/>
            </w:tcBorders>
          </w:tcPr>
          <w:p w:rsidR="00C31389" w:rsidRDefault="00561FBD" w14:paraId="6DCDDD72" w14:textId="77777777">
            <w:pPr>
              <w:pStyle w:val="TableParagraph"/>
              <w:ind w:left="176" w:right="691"/>
              <w:rPr>
                <w:sz w:val="20"/>
              </w:rPr>
            </w:pPr>
            <w:r>
              <w:rPr>
                <w:sz w:val="20"/>
              </w:rPr>
              <w:t>Bottom-up Bass diffusion</w:t>
            </w:r>
            <w:r>
              <w:rPr>
                <w:spacing w:val="-14"/>
                <w:sz w:val="20"/>
              </w:rPr>
              <w:t xml:space="preserve"> </w:t>
            </w:r>
            <w:r>
              <w:rPr>
                <w:sz w:val="20"/>
              </w:rPr>
              <w:t>approach</w:t>
            </w:r>
          </w:p>
        </w:tc>
      </w:tr>
      <w:tr w:rsidR="00C31389" w14:paraId="201DDCD5" w14:textId="77777777">
        <w:trPr>
          <w:trHeight w:val="540"/>
        </w:trPr>
        <w:tc>
          <w:tcPr>
            <w:tcW w:w="2629" w:type="dxa"/>
            <w:tcBorders>
              <w:top w:val="single" w:color="D9D9D9" w:sz="2" w:space="0"/>
              <w:bottom w:val="single" w:color="000000" w:sz="8" w:space="0"/>
            </w:tcBorders>
          </w:tcPr>
          <w:p w:rsidR="00C31389" w:rsidRDefault="00561FBD" w14:paraId="7FC27EC0" w14:textId="77777777">
            <w:pPr>
              <w:pStyle w:val="TableParagraph"/>
              <w:spacing w:before="155"/>
              <w:ind w:left="122"/>
              <w:rPr>
                <w:b/>
                <w:sz w:val="20"/>
              </w:rPr>
            </w:pPr>
            <w:r>
              <w:rPr>
                <w:b/>
                <w:sz w:val="20"/>
              </w:rPr>
              <w:t>Generic</w:t>
            </w:r>
            <w:r>
              <w:rPr>
                <w:b/>
                <w:spacing w:val="-3"/>
                <w:sz w:val="20"/>
              </w:rPr>
              <w:t xml:space="preserve"> </w:t>
            </w:r>
            <w:r>
              <w:rPr>
                <w:b/>
                <w:spacing w:val="-2"/>
                <w:sz w:val="20"/>
              </w:rPr>
              <w:t>Custom</w:t>
            </w:r>
          </w:p>
        </w:tc>
        <w:tc>
          <w:tcPr>
            <w:tcW w:w="2507" w:type="dxa"/>
            <w:tcBorders>
              <w:top w:val="single" w:color="D9D9D9" w:sz="2" w:space="0"/>
              <w:bottom w:val="single" w:color="000000" w:sz="8" w:space="0"/>
            </w:tcBorders>
          </w:tcPr>
          <w:p w:rsidR="00C31389" w:rsidRDefault="00561FBD" w14:paraId="63857672" w14:textId="77777777">
            <w:pPr>
              <w:pStyle w:val="TableParagraph"/>
              <w:ind w:left="237" w:right="174"/>
              <w:rPr>
                <w:sz w:val="20"/>
              </w:rPr>
            </w:pPr>
            <w:r>
              <w:rPr>
                <w:sz w:val="20"/>
              </w:rPr>
              <w:t>Unique and/or process improvement</w:t>
            </w:r>
            <w:r>
              <w:rPr>
                <w:spacing w:val="-14"/>
                <w:sz w:val="20"/>
              </w:rPr>
              <w:t xml:space="preserve"> </w:t>
            </w:r>
            <w:r>
              <w:rPr>
                <w:sz w:val="20"/>
              </w:rPr>
              <w:t>measures</w:t>
            </w:r>
          </w:p>
        </w:tc>
        <w:tc>
          <w:tcPr>
            <w:tcW w:w="2508" w:type="dxa"/>
            <w:tcBorders>
              <w:top w:val="single" w:color="D9D9D9" w:sz="2" w:space="0"/>
              <w:bottom w:val="single" w:color="000000" w:sz="8" w:space="0"/>
            </w:tcBorders>
          </w:tcPr>
          <w:p w:rsidR="00C31389" w:rsidRDefault="00561FBD" w14:paraId="121DE66F" w14:textId="77777777">
            <w:pPr>
              <w:pStyle w:val="TableParagraph"/>
              <w:spacing w:before="155"/>
              <w:ind w:left="176"/>
              <w:rPr>
                <w:sz w:val="20"/>
              </w:rPr>
            </w:pPr>
            <w:r>
              <w:rPr>
                <w:sz w:val="20"/>
              </w:rPr>
              <w:t>Top-down</w:t>
            </w:r>
            <w:r>
              <w:rPr>
                <w:spacing w:val="-5"/>
                <w:sz w:val="20"/>
              </w:rPr>
              <w:t xml:space="preserve"> </w:t>
            </w:r>
            <w:r>
              <w:rPr>
                <w:spacing w:val="-2"/>
                <w:sz w:val="20"/>
              </w:rPr>
              <w:t>approach</w:t>
            </w:r>
          </w:p>
        </w:tc>
      </w:tr>
    </w:tbl>
    <w:p w:rsidR="00C31389" w:rsidRDefault="00561FBD" w14:paraId="34ADAD2C" w14:textId="77777777">
      <w:pPr>
        <w:spacing w:before="31"/>
        <w:ind w:left="480" w:right="533"/>
        <w:rPr>
          <w:sz w:val="18"/>
        </w:rPr>
      </w:pPr>
      <w:r>
        <w:rPr>
          <w:sz w:val="18"/>
        </w:rPr>
        <w:t>*SEM</w:t>
      </w:r>
      <w:r>
        <w:rPr>
          <w:spacing w:val="-2"/>
          <w:sz w:val="18"/>
        </w:rPr>
        <w:t xml:space="preserve"> </w:t>
      </w:r>
      <w:r>
        <w:rPr>
          <w:sz w:val="18"/>
        </w:rPr>
        <w:t>is</w:t>
      </w:r>
      <w:r>
        <w:rPr>
          <w:spacing w:val="-2"/>
          <w:sz w:val="18"/>
        </w:rPr>
        <w:t xml:space="preserve"> </w:t>
      </w:r>
      <w:r>
        <w:rPr>
          <w:sz w:val="18"/>
        </w:rPr>
        <w:t>modeled</w:t>
      </w:r>
      <w:r>
        <w:rPr>
          <w:spacing w:val="-3"/>
          <w:sz w:val="18"/>
        </w:rPr>
        <w:t xml:space="preserve"> </w:t>
      </w:r>
      <w:r>
        <w:rPr>
          <w:sz w:val="18"/>
        </w:rPr>
        <w:t>as</w:t>
      </w:r>
      <w:r>
        <w:rPr>
          <w:spacing w:val="-2"/>
          <w:sz w:val="18"/>
        </w:rPr>
        <w:t xml:space="preserve"> </w:t>
      </w:r>
      <w:r>
        <w:rPr>
          <w:sz w:val="18"/>
        </w:rPr>
        <w:t>an</w:t>
      </w:r>
      <w:r>
        <w:rPr>
          <w:spacing w:val="-2"/>
          <w:sz w:val="18"/>
        </w:rPr>
        <w:t xml:space="preserve"> </w:t>
      </w:r>
      <w:r>
        <w:rPr>
          <w:sz w:val="18"/>
        </w:rPr>
        <w:t>industrial</w:t>
      </w:r>
      <w:r>
        <w:rPr>
          <w:spacing w:val="-2"/>
          <w:sz w:val="18"/>
        </w:rPr>
        <w:t xml:space="preserve"> </w:t>
      </w:r>
      <w:r>
        <w:rPr>
          <w:sz w:val="18"/>
        </w:rPr>
        <w:t>and</w:t>
      </w:r>
      <w:r>
        <w:rPr>
          <w:spacing w:val="-3"/>
          <w:sz w:val="18"/>
        </w:rPr>
        <w:t xml:space="preserve"> </w:t>
      </w:r>
      <w:r>
        <w:rPr>
          <w:sz w:val="18"/>
        </w:rPr>
        <w:t>agriculture</w:t>
      </w:r>
      <w:r>
        <w:rPr>
          <w:spacing w:val="-3"/>
          <w:sz w:val="18"/>
        </w:rPr>
        <w:t xml:space="preserve"> </w:t>
      </w:r>
      <w:r>
        <w:rPr>
          <w:sz w:val="18"/>
        </w:rPr>
        <w:t>BRO</w:t>
      </w:r>
      <w:r>
        <w:rPr>
          <w:spacing w:val="-2"/>
          <w:sz w:val="18"/>
        </w:rPr>
        <w:t xml:space="preserve"> </w:t>
      </w:r>
      <w:r>
        <w:rPr>
          <w:sz w:val="18"/>
        </w:rPr>
        <w:t>measure</w:t>
      </w:r>
      <w:r>
        <w:rPr>
          <w:spacing w:val="-3"/>
          <w:sz w:val="18"/>
        </w:rPr>
        <w:t xml:space="preserve"> </w:t>
      </w:r>
      <w:r>
        <w:rPr>
          <w:sz w:val="18"/>
        </w:rPr>
        <w:t>by</w:t>
      </w:r>
      <w:r>
        <w:rPr>
          <w:spacing w:val="-2"/>
          <w:sz w:val="18"/>
        </w:rPr>
        <w:t xml:space="preserve"> </w:t>
      </w:r>
      <w:r>
        <w:rPr>
          <w:sz w:val="18"/>
        </w:rPr>
        <w:t>allocating</w:t>
      </w:r>
      <w:r>
        <w:rPr>
          <w:spacing w:val="-3"/>
          <w:sz w:val="18"/>
        </w:rPr>
        <w:t xml:space="preserve"> </w:t>
      </w:r>
      <w:r>
        <w:rPr>
          <w:sz w:val="18"/>
        </w:rPr>
        <w:t>the</w:t>
      </w:r>
      <w:r>
        <w:rPr>
          <w:spacing w:val="-3"/>
          <w:sz w:val="18"/>
        </w:rPr>
        <w:t xml:space="preserve"> </w:t>
      </w:r>
      <w:r>
        <w:rPr>
          <w:sz w:val="18"/>
        </w:rPr>
        <w:t>historical</w:t>
      </w:r>
      <w:r>
        <w:rPr>
          <w:spacing w:val="-1"/>
          <w:sz w:val="18"/>
        </w:rPr>
        <w:t xml:space="preserve"> </w:t>
      </w:r>
      <w:r>
        <w:rPr>
          <w:sz w:val="18"/>
        </w:rPr>
        <w:t>RCx</w:t>
      </w:r>
      <w:r>
        <w:rPr>
          <w:spacing w:val="-2"/>
          <w:sz w:val="18"/>
        </w:rPr>
        <w:t xml:space="preserve"> </w:t>
      </w:r>
      <w:r>
        <w:rPr>
          <w:sz w:val="18"/>
        </w:rPr>
        <w:t>as</w:t>
      </w:r>
      <w:r>
        <w:rPr>
          <w:spacing w:val="-2"/>
          <w:sz w:val="18"/>
        </w:rPr>
        <w:t xml:space="preserve"> </w:t>
      </w:r>
      <w:r>
        <w:rPr>
          <w:sz w:val="18"/>
        </w:rPr>
        <w:t>a</w:t>
      </w:r>
      <w:r>
        <w:rPr>
          <w:spacing w:val="-3"/>
          <w:sz w:val="18"/>
        </w:rPr>
        <w:t xml:space="preserve"> </w:t>
      </w:r>
      <w:r>
        <w:rPr>
          <w:sz w:val="18"/>
        </w:rPr>
        <w:t>proxy</w:t>
      </w:r>
      <w:r>
        <w:rPr>
          <w:spacing w:val="-2"/>
          <w:sz w:val="18"/>
        </w:rPr>
        <w:t xml:space="preserve"> </w:t>
      </w:r>
      <w:r>
        <w:rPr>
          <w:sz w:val="18"/>
        </w:rPr>
        <w:t>for</w:t>
      </w:r>
      <w:r>
        <w:rPr>
          <w:spacing w:val="-2"/>
          <w:sz w:val="18"/>
        </w:rPr>
        <w:t xml:space="preserve"> </w:t>
      </w:r>
      <w:r>
        <w:rPr>
          <w:sz w:val="18"/>
        </w:rPr>
        <w:t xml:space="preserve">SEM </w:t>
      </w:r>
      <w:r>
        <w:rPr>
          <w:spacing w:val="-2"/>
          <w:sz w:val="18"/>
        </w:rPr>
        <w:t>savings.</w:t>
      </w:r>
    </w:p>
    <w:p w:rsidR="00C31389" w:rsidRDefault="00561FBD" w14:paraId="05D94A01" w14:textId="77777777">
      <w:pPr>
        <w:spacing w:before="17"/>
        <w:ind w:left="480"/>
        <w:rPr>
          <w:sz w:val="18"/>
        </w:rPr>
      </w:pPr>
      <w:r>
        <w:rPr>
          <w:position w:val="6"/>
          <w:sz w:val="12"/>
        </w:rPr>
        <w:t>†</w:t>
      </w:r>
      <w:r>
        <w:rPr>
          <w:sz w:val="18"/>
        </w:rPr>
        <w:t>Mining</w:t>
      </w:r>
      <w:r>
        <w:rPr>
          <w:spacing w:val="-2"/>
          <w:sz w:val="18"/>
        </w:rPr>
        <w:t xml:space="preserve"> </w:t>
      </w:r>
      <w:r>
        <w:rPr>
          <w:sz w:val="18"/>
        </w:rPr>
        <w:t>only</w:t>
      </w:r>
      <w:r>
        <w:rPr>
          <w:spacing w:val="-3"/>
          <w:sz w:val="18"/>
        </w:rPr>
        <w:t xml:space="preserve"> </w:t>
      </w:r>
      <w:r>
        <w:rPr>
          <w:sz w:val="18"/>
        </w:rPr>
        <w:t>has</w:t>
      </w:r>
      <w:r>
        <w:rPr>
          <w:spacing w:val="-2"/>
          <w:sz w:val="18"/>
        </w:rPr>
        <w:t xml:space="preserve"> </w:t>
      </w:r>
      <w:r>
        <w:rPr>
          <w:sz w:val="18"/>
        </w:rPr>
        <w:t>characterized</w:t>
      </w:r>
      <w:r>
        <w:rPr>
          <w:spacing w:val="-2"/>
          <w:sz w:val="18"/>
        </w:rPr>
        <w:t xml:space="preserve"> </w:t>
      </w:r>
      <w:r>
        <w:rPr>
          <w:sz w:val="18"/>
        </w:rPr>
        <w:t>custom</w:t>
      </w:r>
      <w:r>
        <w:rPr>
          <w:spacing w:val="-2"/>
          <w:sz w:val="18"/>
        </w:rPr>
        <w:t xml:space="preserve"> measures.</w:t>
      </w:r>
    </w:p>
    <w:p w:rsidR="00C31389" w:rsidRDefault="00561FBD" w14:paraId="7BF8B3BE" w14:textId="77777777">
      <w:pPr>
        <w:spacing w:before="59"/>
        <w:ind w:left="480"/>
        <w:rPr>
          <w:i/>
          <w:sz w:val="18"/>
        </w:rPr>
      </w:pPr>
      <w:r>
        <w:rPr>
          <w:i/>
          <w:sz w:val="18"/>
        </w:rPr>
        <w:t>Source:</w:t>
      </w:r>
      <w:r>
        <w:rPr>
          <w:i/>
          <w:spacing w:val="-4"/>
          <w:sz w:val="18"/>
        </w:rPr>
        <w:t xml:space="preserve"> </w:t>
      </w:r>
      <w:r>
        <w:rPr>
          <w:i/>
          <w:spacing w:val="-2"/>
          <w:sz w:val="18"/>
        </w:rPr>
        <w:t>Guidehouse</w:t>
      </w:r>
    </w:p>
    <w:p w:rsidR="00C31389" w:rsidRDefault="00C31389" w14:paraId="0F1486BF" w14:textId="77777777">
      <w:pPr>
        <w:pStyle w:val="BodyText"/>
        <w:spacing w:before="10"/>
        <w:rPr>
          <w:i/>
          <w:sz w:val="20"/>
        </w:rPr>
      </w:pPr>
    </w:p>
    <w:p w:rsidR="00C31389" w:rsidRDefault="00561FBD" w14:paraId="218217A5" w14:textId="77777777">
      <w:pPr>
        <w:pStyle w:val="BodyText"/>
        <w:spacing w:before="1"/>
        <w:ind w:left="480" w:right="533"/>
      </w:pPr>
      <w:r>
        <w:t>The</w:t>
      </w:r>
      <w:r>
        <w:rPr>
          <w:spacing w:val="-4"/>
        </w:rPr>
        <w:t xml:space="preserve"> </w:t>
      </w:r>
      <w:r>
        <w:t>top-down</w:t>
      </w:r>
      <w:r>
        <w:rPr>
          <w:spacing w:val="-4"/>
        </w:rPr>
        <w:t xml:space="preserve"> </w:t>
      </w:r>
      <w:r>
        <w:t>approach</w:t>
      </w:r>
      <w:r>
        <w:rPr>
          <w:spacing w:val="-4"/>
        </w:rPr>
        <w:t xml:space="preserve"> </w:t>
      </w:r>
      <w:r>
        <w:t>for</w:t>
      </w:r>
      <w:r>
        <w:rPr>
          <w:spacing w:val="-4"/>
        </w:rPr>
        <w:t xml:space="preserve"> </w:t>
      </w:r>
      <w:r>
        <w:t>emerging</w:t>
      </w:r>
      <w:r>
        <w:rPr>
          <w:spacing w:val="-4"/>
        </w:rPr>
        <w:t xml:space="preserve"> </w:t>
      </w:r>
      <w:r>
        <w:t>technology</w:t>
      </w:r>
      <w:r>
        <w:rPr>
          <w:spacing w:val="-3"/>
        </w:rPr>
        <w:t xml:space="preserve"> </w:t>
      </w:r>
      <w:r>
        <w:t>measures</w:t>
      </w:r>
      <w:r>
        <w:rPr>
          <w:spacing w:val="-4"/>
        </w:rPr>
        <w:t xml:space="preserve"> </w:t>
      </w:r>
      <w:r>
        <w:t>is</w:t>
      </w:r>
      <w:r>
        <w:rPr>
          <w:spacing w:val="-5"/>
        </w:rPr>
        <w:t xml:space="preserve"> </w:t>
      </w:r>
      <w:r>
        <w:t>applied</w:t>
      </w:r>
      <w:r>
        <w:rPr>
          <w:spacing w:val="-4"/>
        </w:rPr>
        <w:t xml:space="preserve"> </w:t>
      </w:r>
      <w:r>
        <w:t>at</w:t>
      </w:r>
      <w:r>
        <w:rPr>
          <w:spacing w:val="-4"/>
        </w:rPr>
        <w:t xml:space="preserve"> </w:t>
      </w:r>
      <w:r>
        <w:t>the</w:t>
      </w:r>
      <w:r>
        <w:rPr>
          <w:spacing w:val="-4"/>
        </w:rPr>
        <w:t xml:space="preserve"> </w:t>
      </w:r>
      <w:r>
        <w:t>subsector</w:t>
      </w:r>
      <w:r>
        <w:rPr>
          <w:spacing w:val="-4"/>
        </w:rPr>
        <w:t xml:space="preserve"> </w:t>
      </w:r>
      <w:r>
        <w:t>level (e.g., chemicals, plastics, dairy) and uses</w:t>
      </w:r>
    </w:p>
    <w:p w:rsidR="00C31389" w:rsidRDefault="00561FBD" w14:paraId="16D1C8A5" w14:textId="77777777">
      <w:pPr>
        <w:pStyle w:val="BodyText"/>
        <w:ind w:left="480" w:right="497" w:firstLine="61"/>
      </w:pPr>
      <w:r>
        <w:t>to calculate incremental achievable potential. The top-down approach for generic custom is applied</w:t>
      </w:r>
      <w:r>
        <w:rPr>
          <w:spacing w:val="-3"/>
        </w:rPr>
        <w:t xml:space="preserve"> </w:t>
      </w:r>
      <w:r>
        <w:t>at</w:t>
      </w:r>
      <w:r>
        <w:rPr>
          <w:spacing w:val="-3"/>
        </w:rPr>
        <w:t xml:space="preserve"> </w:t>
      </w:r>
      <w:r>
        <w:t>the</w:t>
      </w:r>
      <w:r>
        <w:rPr>
          <w:spacing w:val="-3"/>
        </w:rPr>
        <w:t xml:space="preserve"> </w:t>
      </w:r>
      <w:r>
        <w:t>market</w:t>
      </w:r>
      <w:r>
        <w:rPr>
          <w:spacing w:val="-3"/>
        </w:rPr>
        <w:t xml:space="preserve"> </w:t>
      </w:r>
      <w:r>
        <w:t>segment</w:t>
      </w:r>
      <w:r>
        <w:rPr>
          <w:spacing w:val="-3"/>
        </w:rPr>
        <w:t xml:space="preserve"> </w:t>
      </w:r>
      <w:r>
        <w:t>level</w:t>
      </w:r>
      <w:r>
        <w:rPr>
          <w:spacing w:val="-4"/>
        </w:rPr>
        <w:t xml:space="preserve"> </w:t>
      </w:r>
      <w:r>
        <w:t>(i.e.,</w:t>
      </w:r>
      <w:r>
        <w:rPr>
          <w:spacing w:val="-3"/>
        </w:rPr>
        <w:t xml:space="preserve"> </w:t>
      </w:r>
      <w:r>
        <w:t>agriculture</w:t>
      </w:r>
      <w:r>
        <w:rPr>
          <w:spacing w:val="-3"/>
        </w:rPr>
        <w:t xml:space="preserve"> </w:t>
      </w:r>
      <w:r>
        <w:t>and</w:t>
      </w:r>
      <w:r>
        <w:rPr>
          <w:spacing w:val="-3"/>
        </w:rPr>
        <w:t xml:space="preserve"> </w:t>
      </w:r>
      <w:r>
        <w:t>industrial)</w:t>
      </w:r>
      <w:r>
        <w:rPr>
          <w:spacing w:val="-3"/>
        </w:rPr>
        <w:t xml:space="preserve"> </w:t>
      </w:r>
      <w:r>
        <w:t>and</w:t>
      </w:r>
      <w:r>
        <w:rPr>
          <w:spacing w:val="-3"/>
        </w:rPr>
        <w:t xml:space="preserve"> </w:t>
      </w:r>
      <w:r>
        <w:t>is</w:t>
      </w:r>
      <w:r>
        <w:rPr>
          <w:spacing w:val="-4"/>
        </w:rPr>
        <w:t xml:space="preserve"> </w:t>
      </w:r>
      <w:r>
        <w:t>presented</w:t>
      </w:r>
      <w:r>
        <w:rPr>
          <w:spacing w:val="-3"/>
        </w:rPr>
        <w:t xml:space="preserve"> </w:t>
      </w:r>
      <w:r>
        <w:t>in</w:t>
      </w:r>
      <w:r>
        <w:rPr>
          <w:spacing w:val="-3"/>
        </w:rPr>
        <w:t xml:space="preserve"> </w:t>
      </w:r>
      <w:hyperlink w:history="1" w:anchor="_bookmark73">
        <w:r>
          <w:t>Equation</w:t>
        </w:r>
      </w:hyperlink>
      <w:r>
        <w:t xml:space="preserve"> </w:t>
      </w:r>
      <w:hyperlink w:history="1" w:anchor="_bookmark73">
        <w:r>
          <w:t>2-3</w:t>
        </w:r>
      </w:hyperlink>
      <w:r>
        <w:t>. Guidehouse defined unit energy savings in terms of savings as a p</w:t>
      </w:r>
      <w:r>
        <w:t>ercentage of the sector- level consumption. Additional variable details and definitions follow</w:t>
      </w:r>
    </w:p>
    <w:p w:rsidR="00C31389" w:rsidRDefault="00561FBD" w14:paraId="090B2229" w14:textId="77777777">
      <w:pPr>
        <w:pStyle w:val="BodyText"/>
        <w:spacing w:line="253" w:lineRule="exact"/>
        <w:ind w:left="541"/>
      </w:pPr>
      <w:bookmarkStart w:name="_bookmark71" w:id="95"/>
      <w:bookmarkEnd w:id="95"/>
      <w:r>
        <w:t>and</w:t>
      </w:r>
      <w:r>
        <w:rPr>
          <w:spacing w:val="-9"/>
        </w:rPr>
        <w:t xml:space="preserve"> </w:t>
      </w:r>
      <w:hyperlink w:history="1" w:anchor="_bookmark73">
        <w:r>
          <w:t>Equation</w:t>
        </w:r>
        <w:r>
          <w:rPr>
            <w:spacing w:val="-8"/>
          </w:rPr>
          <w:t xml:space="preserve"> </w:t>
        </w:r>
        <w:r>
          <w:t>2-</w:t>
        </w:r>
        <w:r>
          <w:rPr>
            <w:spacing w:val="-5"/>
          </w:rPr>
          <w:t>3</w:t>
        </w:r>
      </w:hyperlink>
      <w:r>
        <w:rPr>
          <w:spacing w:val="-5"/>
        </w:rPr>
        <w:t>.</w:t>
      </w:r>
    </w:p>
    <w:p w:rsidR="00C31389" w:rsidRDefault="00C31389" w14:paraId="0B2A2590" w14:textId="77777777">
      <w:pPr>
        <w:pStyle w:val="BodyText"/>
      </w:pPr>
    </w:p>
    <w:p w:rsidR="00C31389" w:rsidRDefault="00561FBD" w14:paraId="6AEFAE4C" w14:textId="77777777">
      <w:pPr>
        <w:pStyle w:val="Heading7"/>
        <w:ind w:left="566" w:right="566"/>
        <w:jc w:val="center"/>
      </w:pPr>
      <w:bookmarkStart w:name="_bookmark72" w:id="96"/>
      <w:bookmarkEnd w:id="96"/>
      <w:r>
        <w:t>Equation</w:t>
      </w:r>
      <w:r>
        <w:rPr>
          <w:spacing w:val="-10"/>
        </w:rPr>
        <w:t xml:space="preserve"> </w:t>
      </w:r>
      <w:r>
        <w:t>2-2.</w:t>
      </w:r>
      <w:r>
        <w:rPr>
          <w:spacing w:val="-9"/>
        </w:rPr>
        <w:t xml:space="preserve"> </w:t>
      </w:r>
      <w:r>
        <w:t>Incremental</w:t>
      </w:r>
      <w:r>
        <w:rPr>
          <w:spacing w:val="-9"/>
        </w:rPr>
        <w:t xml:space="preserve"> </w:t>
      </w:r>
      <w:r>
        <w:t>Achievable</w:t>
      </w:r>
      <w:r>
        <w:rPr>
          <w:spacing w:val="-9"/>
        </w:rPr>
        <w:t xml:space="preserve"> </w:t>
      </w:r>
      <w:r>
        <w:t>Potential</w:t>
      </w:r>
      <w:r>
        <w:rPr>
          <w:spacing w:val="-10"/>
        </w:rPr>
        <w:t xml:space="preserve"> </w:t>
      </w:r>
      <w:r>
        <w:t>for</w:t>
      </w:r>
      <w:r>
        <w:rPr>
          <w:spacing w:val="-10"/>
        </w:rPr>
        <w:t xml:space="preserve"> </w:t>
      </w:r>
      <w:r>
        <w:t>Emerging</w:t>
      </w:r>
      <w:r>
        <w:rPr>
          <w:spacing w:val="-9"/>
        </w:rPr>
        <w:t xml:space="preserve"> </w:t>
      </w:r>
      <w:r>
        <w:rPr>
          <w:spacing w:val="-2"/>
        </w:rPr>
        <w:t>Technologies</w:t>
      </w:r>
    </w:p>
    <w:p w:rsidR="00C31389" w:rsidRDefault="00561FBD" w14:paraId="07FE812A" w14:textId="77777777">
      <w:pPr>
        <w:spacing w:before="120" w:line="257" w:lineRule="exact"/>
        <w:ind w:left="1362"/>
        <w:rPr>
          <w:rFonts w:ascii="Cambria Math" w:eastAsia="Cambria Math"/>
        </w:rPr>
      </w:pPr>
      <w:r>
        <w:rPr>
          <w:rFonts w:ascii="Cambria Math" w:eastAsia="Cambria Math"/>
          <w:w w:val="40"/>
        </w:rPr>
        <w:t>𝐼𝐼</w:t>
      </w:r>
      <w:r>
        <w:rPr>
          <w:rFonts w:ascii="Cambria Math" w:eastAsia="Cambria Math"/>
          <w:w w:val="40"/>
        </w:rPr>
        <w:t>𝐵</w:t>
      </w:r>
      <w:r>
        <w:rPr>
          <w:rFonts w:ascii="Cambria Math" w:eastAsia="Cambria Math"/>
          <w:w w:val="40"/>
        </w:rPr>
        <w:t>𝐵𝐶𝐶𝐸𝐸𝑆𝑆𝑆𝑆𝑆𝑆𝐵𝐵𝑇𝑇𝑇𝑇𝑇𝑇</w:t>
      </w:r>
      <w:r>
        <w:rPr>
          <w:rFonts w:ascii="Cambria Math" w:eastAsia="Cambria Math"/>
          <w:spacing w:val="63"/>
        </w:rPr>
        <w:t xml:space="preserve"> </w:t>
      </w:r>
      <w:r>
        <w:rPr>
          <w:rFonts w:ascii="Cambria Math" w:eastAsia="Cambria Math"/>
          <w:w w:val="40"/>
        </w:rPr>
        <w:t>𝑀𝑀𝑇𝑇𝐸𝐸𝑀𝑀𝑆𝑆𝑇𝑇</w:t>
      </w:r>
      <w:r>
        <w:rPr>
          <w:rFonts w:ascii="Cambria Math" w:eastAsia="Cambria Math"/>
          <w:spacing w:val="57"/>
        </w:rPr>
        <w:t xml:space="preserve"> </w:t>
      </w:r>
      <w:r>
        <w:rPr>
          <w:rFonts w:ascii="Cambria Math" w:eastAsia="Cambria Math"/>
          <w:spacing w:val="-2"/>
          <w:w w:val="40"/>
        </w:rPr>
        <w:t>𝑃𝑃𝑇𝑇𝑇𝑇𝑆𝑆𝐵𝐵𝑇𝑇𝐵𝐵𝑇𝑇𝑇𝑇</w:t>
      </w:r>
    </w:p>
    <w:p w:rsidR="00C31389" w:rsidRDefault="00561FBD" w14:paraId="49ADDCEF" w14:textId="77777777">
      <w:pPr>
        <w:spacing w:line="257" w:lineRule="exact"/>
        <w:ind w:left="2802"/>
        <w:rPr>
          <w:rFonts w:ascii="Cambria Math" w:hAnsi="Cambria Math" w:eastAsia="Cambria Math"/>
        </w:rPr>
      </w:pPr>
      <w:r>
        <w:rPr>
          <w:rFonts w:ascii="Cambria Math" w:hAnsi="Cambria Math" w:eastAsia="Cambria Math"/>
          <w:w w:val="40"/>
        </w:rPr>
        <w:t>=</w:t>
      </w:r>
      <w:r>
        <w:rPr>
          <w:rFonts w:ascii="Cambria Math" w:hAnsi="Cambria Math" w:eastAsia="Cambria Math"/>
          <w:spacing w:val="35"/>
        </w:rPr>
        <w:t xml:space="preserve"> </w:t>
      </w:r>
      <w:r>
        <w:rPr>
          <w:rFonts w:ascii="Cambria Math" w:hAnsi="Cambria Math" w:eastAsia="Cambria Math"/>
          <w:w w:val="40"/>
        </w:rPr>
        <w:t>𝑃𝑃𝑇𝑇𝐶𝐶𝑆𝑆𝑇𝑇𝑇𝑇𝑇𝑇𝐵𝐵𝑇𝑇𝐵𝐵</w:t>
      </w:r>
      <w:r>
        <w:rPr>
          <w:rFonts w:ascii="Cambria Math" w:hAnsi="Cambria Math" w:eastAsia="Cambria Math"/>
          <w:spacing w:val="65"/>
          <w:w w:val="150"/>
        </w:rPr>
        <w:t xml:space="preserve"> </w:t>
      </w:r>
      <w:r>
        <w:rPr>
          <w:rFonts w:ascii="Cambria Math" w:hAnsi="Cambria Math" w:eastAsia="Cambria Math"/>
          <w:w w:val="40"/>
        </w:rPr>
        <w:t>×</w:t>
      </w:r>
      <w:r>
        <w:rPr>
          <w:rFonts w:ascii="Cambria Math" w:hAnsi="Cambria Math" w:eastAsia="Cambria Math"/>
          <w:spacing w:val="59"/>
          <w:w w:val="150"/>
        </w:rPr>
        <w:t xml:space="preserve"> </w:t>
      </w:r>
      <w:r>
        <w:rPr>
          <w:rFonts w:ascii="Cambria Math" w:hAnsi="Cambria Math" w:eastAsia="Cambria Math"/>
          <w:w w:val="40"/>
        </w:rPr>
        <w:t>𝐴𝐴𝐶𝐶𝐶𝐶𝑇𝑇𝐵𝐵𝐶𝐶𝑇𝑇𝐴𝐴𝐵𝐵𝑇𝑇𝐵𝐵𝑇𝑇𝑆𝑆</w:t>
      </w:r>
      <w:r>
        <w:rPr>
          <w:rFonts w:ascii="Cambria Math" w:hAnsi="Cambria Math" w:eastAsia="Cambria Math"/>
          <w:spacing w:val="24"/>
        </w:rPr>
        <w:t xml:space="preserve"> </w:t>
      </w:r>
      <w:r>
        <w:rPr>
          <w:rFonts w:ascii="Cambria Math" w:hAnsi="Cambria Math" w:eastAsia="Cambria Math"/>
          <w:w w:val="40"/>
        </w:rPr>
        <w:t>𝐹𝐹𝑇𝑇𝐶𝐶𝑇𝑇𝑇𝑇𝐸𝐸</w:t>
      </w:r>
      <w:r>
        <w:rPr>
          <w:rFonts w:ascii="Cambria Math" w:hAnsi="Cambria Math" w:eastAsia="Cambria Math"/>
          <w:spacing w:val="68"/>
          <w:w w:val="150"/>
        </w:rPr>
        <w:t xml:space="preserve"> </w:t>
      </w:r>
      <w:r>
        <w:rPr>
          <w:rFonts w:ascii="Cambria Math" w:hAnsi="Cambria Math" w:eastAsia="Cambria Math"/>
          <w:w w:val="40"/>
        </w:rPr>
        <w:t>×</w:t>
      </w:r>
      <w:r>
        <w:rPr>
          <w:rFonts w:ascii="Cambria Math" w:hAnsi="Cambria Math" w:eastAsia="Cambria Math"/>
          <w:spacing w:val="59"/>
          <w:w w:val="150"/>
        </w:rPr>
        <w:t xml:space="preserve"> </w:t>
      </w:r>
      <w:r>
        <w:rPr>
          <w:rFonts w:ascii="Cambria Math" w:hAnsi="Cambria Math" w:eastAsia="Cambria Math"/>
          <w:w w:val="40"/>
        </w:rPr>
        <w:t>𝑈𝑈𝐵𝐵𝐵𝐵𝑇𝑇</w:t>
      </w:r>
      <w:r>
        <w:rPr>
          <w:rFonts w:ascii="Cambria Math" w:hAnsi="Cambria Math" w:eastAsia="Cambria Math"/>
          <w:spacing w:val="26"/>
        </w:rPr>
        <w:t xml:space="preserve"> </w:t>
      </w:r>
      <w:r>
        <w:rPr>
          <w:rFonts w:ascii="Cambria Math" w:hAnsi="Cambria Math" w:eastAsia="Cambria Math"/>
          <w:w w:val="40"/>
        </w:rPr>
        <w:t>𝐸𝐸𝐵𝐵𝑆𝑆𝐸𝐸𝐸𝐸𝑆𝑆</w:t>
      </w:r>
      <w:r>
        <w:rPr>
          <w:rFonts w:ascii="Cambria Math" w:hAnsi="Cambria Math" w:eastAsia="Cambria Math"/>
          <w:spacing w:val="24"/>
        </w:rPr>
        <w:t xml:space="preserve"> </w:t>
      </w:r>
      <w:r>
        <w:rPr>
          <w:rFonts w:ascii="Cambria Math" w:hAnsi="Cambria Math" w:eastAsia="Cambria Math"/>
          <w:spacing w:val="-2"/>
          <w:w w:val="40"/>
        </w:rPr>
        <w:t>𝑆𝑆𝑇𝑇𝐴𝐴𝐵𝐵𝐵𝐵𝐸𝐸𝑆𝑆</w:t>
      </w:r>
    </w:p>
    <w:p w:rsidR="00C31389" w:rsidRDefault="00561FBD" w14:paraId="2E018AE7" w14:textId="77777777">
      <w:pPr>
        <w:ind w:left="2802"/>
        <w:rPr>
          <w:rFonts w:ascii="Cambria Math" w:hAnsi="Cambria Math" w:eastAsia="Cambria Math"/>
        </w:rPr>
      </w:pPr>
      <w:r>
        <w:rPr>
          <w:rFonts w:ascii="Cambria Math" w:hAnsi="Cambria Math" w:eastAsia="Cambria Math"/>
          <w:w w:val="40"/>
        </w:rPr>
        <w:t>×</w:t>
      </w:r>
      <w:r>
        <w:rPr>
          <w:rFonts w:ascii="Cambria Math" w:hAnsi="Cambria Math" w:eastAsia="Cambria Math"/>
          <w:spacing w:val="30"/>
        </w:rPr>
        <w:t xml:space="preserve">  </w:t>
      </w:r>
      <w:r>
        <w:rPr>
          <w:rFonts w:ascii="Cambria Math" w:hAnsi="Cambria Math" w:eastAsia="Cambria Math"/>
          <w:w w:val="40"/>
        </w:rPr>
        <w:t>𝑃𝑃𝑆𝑆𝐵𝐵𝑆𝑆𝑇𝑇𝐸𝐸𝑇𝑇𝑇𝑇𝐵𝐵𝑇𝑇𝐵𝐵</w:t>
      </w:r>
      <w:r>
        <w:rPr>
          <w:rFonts w:ascii="Cambria Math" w:hAnsi="Cambria Math" w:eastAsia="Cambria Math"/>
          <w:spacing w:val="37"/>
        </w:rPr>
        <w:t xml:space="preserve"> </w:t>
      </w:r>
      <w:r>
        <w:rPr>
          <w:rFonts w:ascii="Cambria Math" w:hAnsi="Cambria Math" w:eastAsia="Cambria Math"/>
          <w:spacing w:val="-2"/>
          <w:w w:val="40"/>
        </w:rPr>
        <w:t>𝑅𝑅𝑇𝑇𝑇𝑇𝑆𝑆</w:t>
      </w:r>
    </w:p>
    <w:p w:rsidR="00C31389" w:rsidRDefault="00C31389" w14:paraId="0C3A7DBD" w14:textId="77777777">
      <w:pPr>
        <w:pStyle w:val="BodyText"/>
        <w:spacing w:before="8"/>
        <w:rPr>
          <w:rFonts w:ascii="Cambria Math"/>
          <w:sz w:val="21"/>
        </w:rPr>
      </w:pPr>
    </w:p>
    <w:p w:rsidR="00C31389" w:rsidRDefault="00561FBD" w14:paraId="3AF66984" w14:textId="77777777">
      <w:pPr>
        <w:pStyle w:val="Heading7"/>
        <w:ind w:left="566" w:right="566"/>
        <w:jc w:val="center"/>
      </w:pPr>
      <w:bookmarkStart w:name="_bookmark73" w:id="97"/>
      <w:bookmarkEnd w:id="97"/>
      <w:r>
        <w:t>Equation</w:t>
      </w:r>
      <w:r>
        <w:rPr>
          <w:spacing w:val="-9"/>
        </w:rPr>
        <w:t xml:space="preserve"> </w:t>
      </w:r>
      <w:r>
        <w:t>2-3.</w:t>
      </w:r>
      <w:r>
        <w:rPr>
          <w:spacing w:val="-9"/>
        </w:rPr>
        <w:t xml:space="preserve"> </w:t>
      </w:r>
      <w:r>
        <w:t>Incremental</w:t>
      </w:r>
      <w:r>
        <w:rPr>
          <w:spacing w:val="-9"/>
        </w:rPr>
        <w:t xml:space="preserve"> </w:t>
      </w:r>
      <w:r>
        <w:t>Achievable</w:t>
      </w:r>
      <w:r>
        <w:rPr>
          <w:spacing w:val="-9"/>
        </w:rPr>
        <w:t xml:space="preserve"> </w:t>
      </w:r>
      <w:r>
        <w:t>Potential</w:t>
      </w:r>
      <w:r>
        <w:rPr>
          <w:spacing w:val="-9"/>
        </w:rPr>
        <w:t xml:space="preserve"> </w:t>
      </w:r>
      <w:r>
        <w:t>for</w:t>
      </w:r>
      <w:r>
        <w:rPr>
          <w:spacing w:val="-10"/>
        </w:rPr>
        <w:t xml:space="preserve"> </w:t>
      </w:r>
      <w:r>
        <w:t>Generic</w:t>
      </w:r>
      <w:r>
        <w:rPr>
          <w:spacing w:val="-9"/>
        </w:rPr>
        <w:t xml:space="preserve"> </w:t>
      </w:r>
      <w:r>
        <w:rPr>
          <w:spacing w:val="-2"/>
        </w:rPr>
        <w:t>Custom</w:t>
      </w:r>
    </w:p>
    <w:p w:rsidR="00C31389" w:rsidRDefault="00561FBD" w14:paraId="1A3ACD17" w14:textId="77777777">
      <w:pPr>
        <w:spacing w:before="120"/>
        <w:ind w:left="591"/>
        <w:rPr>
          <w:rFonts w:ascii="Cambria Math" w:eastAsia="Cambria Math"/>
        </w:rPr>
      </w:pPr>
      <w:r>
        <w:rPr>
          <w:rFonts w:ascii="Cambria Math" w:eastAsia="Cambria Math"/>
          <w:w w:val="40"/>
        </w:rPr>
        <w:t>𝐼𝐼𝐵𝐵𝐶𝐶𝐸𝐸𝑆𝑆𝑆𝑆𝑆𝑆𝐵𝐵𝑇𝑇𝑇𝑇𝑇𝑇</w:t>
      </w:r>
      <w:r>
        <w:rPr>
          <w:rFonts w:ascii="Cambria Math" w:eastAsia="Cambria Math"/>
          <w:spacing w:val="63"/>
        </w:rPr>
        <w:t xml:space="preserve"> </w:t>
      </w:r>
      <w:r>
        <w:rPr>
          <w:rFonts w:ascii="Cambria Math" w:eastAsia="Cambria Math"/>
          <w:w w:val="40"/>
        </w:rPr>
        <w:t>𝑀𝑀𝑇𝑇𝐸𝐸𝑀𝑀𝑆𝑆𝑇𝑇</w:t>
      </w:r>
      <w:r>
        <w:rPr>
          <w:rFonts w:ascii="Cambria Math" w:eastAsia="Cambria Math"/>
          <w:spacing w:val="57"/>
        </w:rPr>
        <w:t xml:space="preserve"> </w:t>
      </w:r>
      <w:r>
        <w:rPr>
          <w:rFonts w:ascii="Cambria Math" w:eastAsia="Cambria Math"/>
          <w:spacing w:val="-2"/>
          <w:w w:val="40"/>
        </w:rPr>
        <w:t>𝑃𝑃𝑇𝑇𝑇𝑇𝑆𝑆𝐵𝐵𝑇𝑇𝐵𝐵𝑇𝑇𝑇𝑇</w:t>
      </w:r>
    </w:p>
    <w:p w:rsidR="00C31389" w:rsidRDefault="00561FBD" w14:paraId="5CDAA08E" w14:textId="77777777">
      <w:pPr>
        <w:ind w:left="2031"/>
        <w:rPr>
          <w:rFonts w:ascii="Cambria Math" w:hAnsi="Cambria Math" w:eastAsia="Cambria Math"/>
        </w:rPr>
      </w:pPr>
      <w:r>
        <w:rPr>
          <w:rFonts w:ascii="Cambria Math" w:hAnsi="Cambria Math" w:eastAsia="Cambria Math"/>
          <w:w w:val="40"/>
        </w:rPr>
        <w:t>=</w:t>
      </w:r>
      <w:r>
        <w:rPr>
          <w:rFonts w:ascii="Cambria Math" w:hAnsi="Cambria Math" w:eastAsia="Cambria Math"/>
          <w:spacing w:val="51"/>
        </w:rPr>
        <w:t xml:space="preserve"> </w:t>
      </w:r>
      <w:r>
        <w:rPr>
          <w:rFonts w:ascii="Cambria Math" w:hAnsi="Cambria Math" w:eastAsia="Cambria Math"/>
          <w:w w:val="40"/>
        </w:rPr>
        <w:t>𝑆𝑆𝑇𝑇𝐴𝐴𝐵𝐵𝐵𝐵𝐸𝐸𝑆𝑆</w:t>
      </w:r>
      <w:r>
        <w:rPr>
          <w:rFonts w:ascii="Cambria Math" w:hAnsi="Cambria Math" w:eastAsia="Cambria Math"/>
          <w:spacing w:val="39"/>
        </w:rPr>
        <w:t xml:space="preserve"> </w:t>
      </w:r>
      <w:r>
        <w:rPr>
          <w:rFonts w:ascii="Cambria Math" w:hAnsi="Cambria Math" w:eastAsia="Cambria Math"/>
          <w:w w:val="40"/>
        </w:rPr>
        <w:t>𝑅𝑅𝑇𝑇𝑇𝑇𝑆𝑆</w:t>
      </w:r>
      <w:r>
        <w:rPr>
          <w:rFonts w:ascii="Cambria Math" w:hAnsi="Cambria Math" w:eastAsia="Cambria Math"/>
          <w:spacing w:val="40"/>
        </w:rPr>
        <w:t xml:space="preserve"> </w:t>
      </w:r>
      <w:r>
        <w:rPr>
          <w:rFonts w:ascii="Cambria Math" w:hAnsi="Cambria Math" w:eastAsia="Cambria Math"/>
          <w:w w:val="40"/>
        </w:rPr>
        <w:t>𝑀𝑀𝑆𝑆𝑇𝑇𝑇𝑇𝐵𝐵𝐶𝐶𝑇𝑇𝐵𝐵𝑆𝑆𝐸𝐸</w:t>
      </w:r>
      <w:r>
        <w:rPr>
          <w:rFonts w:ascii="Cambria Math" w:hAnsi="Cambria Math" w:eastAsia="Cambria Math"/>
          <w:spacing w:val="35"/>
        </w:rPr>
        <w:t xml:space="preserve">  </w:t>
      </w:r>
      <w:r>
        <w:rPr>
          <w:rFonts w:ascii="Cambria Math" w:hAnsi="Cambria Math" w:eastAsia="Cambria Math"/>
          <w:w w:val="40"/>
        </w:rPr>
        <w:t>×</w:t>
      </w:r>
      <w:r>
        <w:rPr>
          <w:rFonts w:ascii="Cambria Math" w:hAnsi="Cambria Math" w:eastAsia="Cambria Math"/>
          <w:spacing w:val="30"/>
        </w:rPr>
        <w:t xml:space="preserve">  </w:t>
      </w:r>
      <w:r>
        <w:rPr>
          <w:rFonts w:ascii="Cambria Math" w:hAnsi="Cambria Math" w:eastAsia="Cambria Math"/>
          <w:w w:val="40"/>
        </w:rPr>
        <w:t>𝐴𝐴𝐵𝐵𝐵𝐵𝑆𝑆𝑇𝑇𝑇𝑇</w:t>
      </w:r>
      <w:r>
        <w:rPr>
          <w:rFonts w:ascii="Cambria Math" w:hAnsi="Cambria Math" w:eastAsia="Cambria Math"/>
          <w:spacing w:val="45"/>
        </w:rPr>
        <w:t xml:space="preserve"> </w:t>
      </w:r>
      <w:r>
        <w:rPr>
          <w:rFonts w:ascii="Cambria Math" w:hAnsi="Cambria Math" w:eastAsia="Cambria Math"/>
          <w:w w:val="40"/>
        </w:rPr>
        <w:t>𝑆𝑆𝑆𝑆𝐶𝐶𝑇𝑇𝑇𝑇𝐸𝐸</w:t>
      </w:r>
      <w:r>
        <w:rPr>
          <w:rFonts w:ascii="Cambria Math" w:hAnsi="Cambria Math" w:eastAsia="Cambria Math"/>
          <w:spacing w:val="40"/>
        </w:rPr>
        <w:t xml:space="preserve"> </w:t>
      </w:r>
      <w:r>
        <w:rPr>
          <w:rFonts w:ascii="Cambria Math" w:hAnsi="Cambria Math" w:eastAsia="Cambria Math"/>
          <w:w w:val="40"/>
        </w:rPr>
        <w:t>𝐶𝐶𝑇𝑇𝐵𝐵𝑆𝑆𝑆𝑆𝑆𝑆𝐶𝐶𝐵𝐵𝑇𝑇𝐵𝐵</w:t>
      </w:r>
      <w:r>
        <w:rPr>
          <w:rFonts w:ascii="Cambria Math" w:hAnsi="Cambria Math" w:eastAsia="Cambria Math"/>
          <w:spacing w:val="34"/>
        </w:rPr>
        <w:t xml:space="preserve">  </w:t>
      </w:r>
      <w:r>
        <w:rPr>
          <w:rFonts w:ascii="Cambria Math" w:hAnsi="Cambria Math" w:eastAsia="Cambria Math"/>
          <w:w w:val="40"/>
        </w:rPr>
        <w:t>×</w:t>
      </w:r>
      <w:r>
        <w:rPr>
          <w:rFonts w:ascii="Cambria Math" w:hAnsi="Cambria Math" w:eastAsia="Cambria Math"/>
          <w:spacing w:val="31"/>
        </w:rPr>
        <w:t xml:space="preserve">  </w:t>
      </w:r>
      <w:r>
        <w:rPr>
          <w:rFonts w:ascii="Cambria Math" w:hAnsi="Cambria Math" w:eastAsia="Cambria Math"/>
          <w:w w:val="40"/>
        </w:rPr>
        <w:t>𝑃𝑃𝑆</w:t>
      </w:r>
      <w:r>
        <w:rPr>
          <w:rFonts w:ascii="Cambria Math" w:hAnsi="Cambria Math" w:eastAsia="Cambria Math"/>
          <w:w w:val="40"/>
        </w:rPr>
        <w:t>𝑆𝐵𝐵𝑆𝑆𝑇𝑇𝐸𝐸𝑇𝑇𝑇𝑇𝐵𝐵𝑇𝑇𝐵𝐵</w:t>
      </w:r>
      <w:r>
        <w:rPr>
          <w:rFonts w:ascii="Cambria Math" w:hAnsi="Cambria Math" w:eastAsia="Cambria Math"/>
          <w:spacing w:val="37"/>
        </w:rPr>
        <w:t xml:space="preserve"> </w:t>
      </w:r>
      <w:r>
        <w:rPr>
          <w:rFonts w:ascii="Cambria Math" w:hAnsi="Cambria Math" w:eastAsia="Cambria Math"/>
          <w:spacing w:val="-2"/>
          <w:w w:val="40"/>
        </w:rPr>
        <w:t>𝑅𝑅𝑇𝑇𝑇𝑇𝑆𝑆</w:t>
      </w:r>
    </w:p>
    <w:p w:rsidR="00C31389" w:rsidRDefault="00561FBD" w14:paraId="4A4E4013" w14:textId="77777777">
      <w:pPr>
        <w:pStyle w:val="BodyText"/>
        <w:ind w:left="480"/>
      </w:pPr>
      <w:r>
        <w:rPr>
          <w:spacing w:val="-2"/>
        </w:rPr>
        <w:t>Where:</w:t>
      </w:r>
    </w:p>
    <w:p w:rsidR="00C31389" w:rsidRDefault="00561FBD" w14:paraId="36FD0699" w14:textId="77777777">
      <w:pPr>
        <w:pStyle w:val="ListParagraph"/>
        <w:numPr>
          <w:ilvl w:val="0"/>
          <w:numId w:val="64"/>
        </w:numPr>
        <w:tabs>
          <w:tab w:val="left" w:pos="1200"/>
        </w:tabs>
        <w:spacing w:before="120"/>
        <w:ind w:right="669"/>
      </w:pPr>
      <w:r>
        <w:rPr>
          <w:b/>
        </w:rPr>
        <w:t>Population</w:t>
      </w:r>
      <w:r>
        <w:rPr>
          <w:b/>
          <w:spacing w:val="-4"/>
        </w:rPr>
        <w:t xml:space="preserve"> </w:t>
      </w:r>
      <w:r>
        <w:t>is</w:t>
      </w:r>
      <w:r>
        <w:rPr>
          <w:spacing w:val="-4"/>
        </w:rPr>
        <w:t xml:space="preserve"> </w:t>
      </w:r>
      <w:r>
        <w:t>a</w:t>
      </w:r>
      <w:r>
        <w:rPr>
          <w:spacing w:val="-4"/>
        </w:rPr>
        <w:t xml:space="preserve"> </w:t>
      </w:r>
      <w:r>
        <w:t>global</w:t>
      </w:r>
      <w:r>
        <w:rPr>
          <w:spacing w:val="-5"/>
        </w:rPr>
        <w:t xml:space="preserve"> </w:t>
      </w:r>
      <w:r>
        <w:t>input</w:t>
      </w:r>
      <w:r>
        <w:rPr>
          <w:spacing w:val="-4"/>
        </w:rPr>
        <w:t xml:space="preserve"> </w:t>
      </w:r>
      <w:r>
        <w:t>represented</w:t>
      </w:r>
      <w:r>
        <w:rPr>
          <w:spacing w:val="-4"/>
        </w:rPr>
        <w:t xml:space="preserve"> </w:t>
      </w:r>
      <w:r>
        <w:t>as</w:t>
      </w:r>
      <w:r>
        <w:rPr>
          <w:spacing w:val="-4"/>
        </w:rPr>
        <w:t xml:space="preserve"> </w:t>
      </w:r>
      <w:r>
        <w:t>the</w:t>
      </w:r>
      <w:r>
        <w:rPr>
          <w:spacing w:val="-4"/>
        </w:rPr>
        <w:t xml:space="preserve"> </w:t>
      </w:r>
      <w:r>
        <w:t>total</w:t>
      </w:r>
      <w:r>
        <w:rPr>
          <w:spacing w:val="-4"/>
        </w:rPr>
        <w:t xml:space="preserve"> </w:t>
      </w:r>
      <w:r>
        <w:t>energy</w:t>
      </w:r>
      <w:r>
        <w:rPr>
          <w:spacing w:val="-5"/>
        </w:rPr>
        <w:t xml:space="preserve"> </w:t>
      </w:r>
      <w:r>
        <w:t>consumption</w:t>
      </w:r>
      <w:r>
        <w:rPr>
          <w:spacing w:val="-4"/>
        </w:rPr>
        <w:t xml:space="preserve"> </w:t>
      </w:r>
      <w:r>
        <w:t>by</w:t>
      </w:r>
      <w:r>
        <w:rPr>
          <w:spacing w:val="-4"/>
        </w:rPr>
        <w:t xml:space="preserve"> </w:t>
      </w:r>
      <w:r>
        <w:t>subsector within the industrial and agriculture sectors.</w:t>
      </w:r>
    </w:p>
    <w:p w:rsidR="00C31389" w:rsidRDefault="00561FBD" w14:paraId="23F2F26D" w14:textId="77777777">
      <w:pPr>
        <w:pStyle w:val="ListParagraph"/>
        <w:numPr>
          <w:ilvl w:val="0"/>
          <w:numId w:val="64"/>
        </w:numPr>
        <w:tabs>
          <w:tab w:val="left" w:pos="1200"/>
        </w:tabs>
        <w:spacing w:before="118"/>
        <w:ind w:right="692"/>
      </w:pPr>
      <w:r>
        <w:rPr>
          <w:b/>
        </w:rPr>
        <w:t>Applicability</w:t>
      </w:r>
      <w:r>
        <w:rPr>
          <w:b/>
          <w:spacing w:val="-5"/>
        </w:rPr>
        <w:t xml:space="preserve"> </w:t>
      </w:r>
      <w:r>
        <w:rPr>
          <w:b/>
        </w:rPr>
        <w:t>Factor</w:t>
      </w:r>
      <w:r>
        <w:rPr>
          <w:b/>
          <w:spacing w:val="-5"/>
        </w:rPr>
        <w:t xml:space="preserve"> </w:t>
      </w:r>
      <w:r>
        <w:t>represents</w:t>
      </w:r>
      <w:r>
        <w:rPr>
          <w:spacing w:val="-5"/>
        </w:rPr>
        <w:t xml:space="preserve"> </w:t>
      </w:r>
      <w:r>
        <w:t>eligibility</w:t>
      </w:r>
      <w:r>
        <w:rPr>
          <w:spacing w:val="-5"/>
        </w:rPr>
        <w:t xml:space="preserve"> </w:t>
      </w:r>
      <w:r>
        <w:t>and</w:t>
      </w:r>
      <w:r>
        <w:rPr>
          <w:spacing w:val="-5"/>
        </w:rPr>
        <w:t xml:space="preserve"> </w:t>
      </w:r>
      <w:r>
        <w:t>other</w:t>
      </w:r>
      <w:r>
        <w:rPr>
          <w:spacing w:val="-5"/>
        </w:rPr>
        <w:t xml:space="preserve"> </w:t>
      </w:r>
      <w:r>
        <w:t>program-specific</w:t>
      </w:r>
      <w:r>
        <w:rPr>
          <w:spacing w:val="-5"/>
        </w:rPr>
        <w:t xml:space="preserve"> </w:t>
      </w:r>
      <w:r>
        <w:t>variables</w:t>
      </w:r>
      <w:r>
        <w:rPr>
          <w:spacing w:val="-5"/>
        </w:rPr>
        <w:t xml:space="preserve"> </w:t>
      </w:r>
      <w:r>
        <w:t>applied at the subsector level.</w:t>
      </w:r>
    </w:p>
    <w:p w:rsidR="00C31389" w:rsidRDefault="00561FBD" w14:paraId="3A4B0714" w14:textId="77777777">
      <w:pPr>
        <w:pStyle w:val="ListParagraph"/>
        <w:numPr>
          <w:ilvl w:val="0"/>
          <w:numId w:val="64"/>
        </w:numPr>
        <w:tabs>
          <w:tab w:val="left" w:pos="1200"/>
        </w:tabs>
        <w:spacing w:before="119"/>
        <w:ind w:right="876"/>
      </w:pPr>
      <w:r>
        <w:rPr>
          <w:b/>
        </w:rPr>
        <w:t>Unit</w:t>
      </w:r>
      <w:r>
        <w:rPr>
          <w:b/>
          <w:spacing w:val="-4"/>
        </w:rPr>
        <w:t xml:space="preserve"> </w:t>
      </w:r>
      <w:r>
        <w:rPr>
          <w:b/>
        </w:rPr>
        <w:t>Energy</w:t>
      </w:r>
      <w:r>
        <w:rPr>
          <w:b/>
          <w:spacing w:val="-4"/>
        </w:rPr>
        <w:t xml:space="preserve"> </w:t>
      </w:r>
      <w:r>
        <w:rPr>
          <w:b/>
        </w:rPr>
        <w:t>Savings</w:t>
      </w:r>
      <w:r>
        <w:rPr>
          <w:b/>
          <w:spacing w:val="-4"/>
        </w:rPr>
        <w:t xml:space="preserve"> </w:t>
      </w:r>
      <w:r>
        <w:t>represent</w:t>
      </w:r>
      <w:r>
        <w:rPr>
          <w:spacing w:val="-4"/>
        </w:rPr>
        <w:t xml:space="preserve"> </w:t>
      </w:r>
      <w:r>
        <w:t>the</w:t>
      </w:r>
      <w:r>
        <w:rPr>
          <w:spacing w:val="-5"/>
        </w:rPr>
        <w:t xml:space="preserve"> </w:t>
      </w:r>
      <w:r>
        <w:t>percentage</w:t>
      </w:r>
      <w:r>
        <w:rPr>
          <w:spacing w:val="-5"/>
        </w:rPr>
        <w:t xml:space="preserve"> </w:t>
      </w:r>
      <w:r>
        <w:t>of</w:t>
      </w:r>
      <w:r>
        <w:rPr>
          <w:spacing w:val="-4"/>
        </w:rPr>
        <w:t xml:space="preserve"> </w:t>
      </w:r>
      <w:r>
        <w:t>savings</w:t>
      </w:r>
      <w:r>
        <w:rPr>
          <w:spacing w:val="-4"/>
        </w:rPr>
        <w:t xml:space="preserve"> </w:t>
      </w:r>
      <w:r>
        <w:t>expected</w:t>
      </w:r>
      <w:r>
        <w:rPr>
          <w:spacing w:val="-4"/>
        </w:rPr>
        <w:t xml:space="preserve"> </w:t>
      </w:r>
      <w:r>
        <w:t>from</w:t>
      </w:r>
      <w:r>
        <w:rPr>
          <w:spacing w:val="-5"/>
        </w:rPr>
        <w:t xml:space="preserve"> </w:t>
      </w:r>
      <w:r>
        <w:t>customers adopting technologies at the subsector level.</w:t>
      </w:r>
    </w:p>
    <w:p w:rsidR="00C31389" w:rsidRDefault="00561FBD" w14:paraId="6B5B6F0B" w14:textId="77777777">
      <w:pPr>
        <w:pStyle w:val="ListParagraph"/>
        <w:numPr>
          <w:ilvl w:val="0"/>
          <w:numId w:val="64"/>
        </w:numPr>
        <w:tabs>
          <w:tab w:val="left" w:pos="1200"/>
        </w:tabs>
        <w:spacing w:before="118"/>
        <w:ind w:right="595"/>
      </w:pPr>
      <w:r>
        <w:rPr>
          <w:b/>
        </w:rPr>
        <w:t>Savings</w:t>
      </w:r>
      <w:r>
        <w:rPr>
          <w:b/>
          <w:spacing w:val="-4"/>
        </w:rPr>
        <w:t xml:space="preserve"> </w:t>
      </w:r>
      <w:r>
        <w:rPr>
          <w:b/>
        </w:rPr>
        <w:t>Rate</w:t>
      </w:r>
      <w:r>
        <w:rPr>
          <w:b/>
          <w:spacing w:val="-4"/>
        </w:rPr>
        <w:t xml:space="preserve"> </w:t>
      </w:r>
      <w:r>
        <w:rPr>
          <w:b/>
        </w:rPr>
        <w:t>Multiplier</w:t>
      </w:r>
      <w:r>
        <w:rPr>
          <w:b/>
          <w:spacing w:val="-4"/>
        </w:rPr>
        <w:t xml:space="preserve"> </w:t>
      </w:r>
      <w:r>
        <w:t>represent</w:t>
      </w:r>
      <w:r>
        <w:rPr>
          <w:spacing w:val="-4"/>
        </w:rPr>
        <w:t xml:space="preserve"> </w:t>
      </w:r>
      <w:r>
        <w:t>the</w:t>
      </w:r>
      <w:r>
        <w:rPr>
          <w:spacing w:val="-4"/>
        </w:rPr>
        <w:t xml:space="preserve"> </w:t>
      </w:r>
      <w:r>
        <w:t>percentage</w:t>
      </w:r>
      <w:r>
        <w:rPr>
          <w:spacing w:val="-4"/>
        </w:rPr>
        <w:t xml:space="preserve"> </w:t>
      </w:r>
      <w:r>
        <w:t>of</w:t>
      </w:r>
      <w:r>
        <w:rPr>
          <w:spacing w:val="-4"/>
        </w:rPr>
        <w:t xml:space="preserve"> </w:t>
      </w:r>
      <w:r>
        <w:t>savings</w:t>
      </w:r>
      <w:r>
        <w:rPr>
          <w:spacing w:val="-4"/>
        </w:rPr>
        <w:t xml:space="preserve"> </w:t>
      </w:r>
      <w:r>
        <w:t>expected</w:t>
      </w:r>
      <w:r>
        <w:rPr>
          <w:spacing w:val="-4"/>
        </w:rPr>
        <w:t xml:space="preserve"> </w:t>
      </w:r>
      <w:r>
        <w:t>fr</w:t>
      </w:r>
      <w:r>
        <w:t>om</w:t>
      </w:r>
      <w:r>
        <w:rPr>
          <w:spacing w:val="-5"/>
        </w:rPr>
        <w:t xml:space="preserve"> </w:t>
      </w:r>
      <w:r>
        <w:t>customers adopting technologies at the total sector consumption level.</w:t>
      </w:r>
    </w:p>
    <w:p w:rsidR="00C31389" w:rsidRDefault="00561FBD" w14:paraId="2DBFDE9A" w14:textId="77777777">
      <w:pPr>
        <w:pStyle w:val="ListParagraph"/>
        <w:numPr>
          <w:ilvl w:val="0"/>
          <w:numId w:val="64"/>
        </w:numPr>
        <w:tabs>
          <w:tab w:val="left" w:pos="1200"/>
        </w:tabs>
        <w:spacing w:before="118"/>
        <w:ind w:right="730"/>
      </w:pPr>
      <w:r>
        <w:rPr>
          <w:b/>
        </w:rPr>
        <w:t>Annual</w:t>
      </w:r>
      <w:r>
        <w:rPr>
          <w:b/>
          <w:spacing w:val="-4"/>
        </w:rPr>
        <w:t xml:space="preserve"> </w:t>
      </w:r>
      <w:r>
        <w:rPr>
          <w:b/>
        </w:rPr>
        <w:t>Sector</w:t>
      </w:r>
      <w:r>
        <w:rPr>
          <w:b/>
          <w:spacing w:val="-5"/>
        </w:rPr>
        <w:t xml:space="preserve"> </w:t>
      </w:r>
      <w:r>
        <w:rPr>
          <w:b/>
        </w:rPr>
        <w:t>Consumption</w:t>
      </w:r>
      <w:r>
        <w:rPr>
          <w:b/>
          <w:spacing w:val="-4"/>
        </w:rPr>
        <w:t xml:space="preserve"> </w:t>
      </w:r>
      <w:r>
        <w:t>represents</w:t>
      </w:r>
      <w:r>
        <w:rPr>
          <w:spacing w:val="-4"/>
        </w:rPr>
        <w:t xml:space="preserve"> </w:t>
      </w:r>
      <w:r>
        <w:t>the</w:t>
      </w:r>
      <w:r>
        <w:rPr>
          <w:spacing w:val="-4"/>
        </w:rPr>
        <w:t xml:space="preserve"> </w:t>
      </w:r>
      <w:r>
        <w:t>total</w:t>
      </w:r>
      <w:r>
        <w:rPr>
          <w:spacing w:val="-4"/>
        </w:rPr>
        <w:t xml:space="preserve"> </w:t>
      </w:r>
      <w:r>
        <w:t>energy</w:t>
      </w:r>
      <w:r>
        <w:rPr>
          <w:spacing w:val="-5"/>
        </w:rPr>
        <w:t xml:space="preserve"> </w:t>
      </w:r>
      <w:r>
        <w:t>consumption</w:t>
      </w:r>
      <w:r>
        <w:rPr>
          <w:spacing w:val="-4"/>
        </w:rPr>
        <w:t xml:space="preserve"> </w:t>
      </w:r>
      <w:r>
        <w:t>by</w:t>
      </w:r>
      <w:r>
        <w:rPr>
          <w:spacing w:val="-4"/>
        </w:rPr>
        <w:t xml:space="preserve"> </w:t>
      </w:r>
      <w:r>
        <w:t>total</w:t>
      </w:r>
      <w:r>
        <w:rPr>
          <w:spacing w:val="-4"/>
        </w:rPr>
        <w:t xml:space="preserve"> </w:t>
      </w:r>
      <w:r>
        <w:t>sector for the industrial and agriculture sectors</w:t>
      </w:r>
    </w:p>
    <w:p w:rsidR="00C31389" w:rsidRDefault="00561FBD" w14:paraId="34CB791C" w14:textId="77777777">
      <w:pPr>
        <w:pStyle w:val="ListParagraph"/>
        <w:numPr>
          <w:ilvl w:val="0"/>
          <w:numId w:val="64"/>
        </w:numPr>
        <w:tabs>
          <w:tab w:val="left" w:pos="1200"/>
        </w:tabs>
        <w:spacing w:before="118"/>
        <w:ind w:right="683"/>
      </w:pPr>
      <w:r>
        <w:rPr>
          <w:b/>
        </w:rPr>
        <w:t>Penetration</w:t>
      </w:r>
      <w:r>
        <w:rPr>
          <w:b/>
          <w:spacing w:val="-4"/>
        </w:rPr>
        <w:t xml:space="preserve"> </w:t>
      </w:r>
      <w:r>
        <w:rPr>
          <w:b/>
        </w:rPr>
        <w:t>Rate</w:t>
      </w:r>
      <w:r>
        <w:rPr>
          <w:b/>
          <w:spacing w:val="-4"/>
        </w:rPr>
        <w:t xml:space="preserve"> </w:t>
      </w:r>
      <w:r>
        <w:t>represents</w:t>
      </w:r>
      <w:r>
        <w:rPr>
          <w:spacing w:val="-4"/>
        </w:rPr>
        <w:t xml:space="preserve"> </w:t>
      </w:r>
      <w:r>
        <w:t>annual</w:t>
      </w:r>
      <w:r>
        <w:rPr>
          <w:spacing w:val="-5"/>
        </w:rPr>
        <w:t xml:space="preserve"> </w:t>
      </w:r>
      <w:r>
        <w:t>new</w:t>
      </w:r>
      <w:r>
        <w:rPr>
          <w:spacing w:val="-5"/>
        </w:rPr>
        <w:t xml:space="preserve"> </w:t>
      </w:r>
      <w:r>
        <w:t>participation</w:t>
      </w:r>
      <w:r>
        <w:rPr>
          <w:spacing w:val="-4"/>
        </w:rPr>
        <w:t xml:space="preserve"> </w:t>
      </w:r>
      <w:r>
        <w:t>and</w:t>
      </w:r>
      <w:r>
        <w:rPr>
          <w:spacing w:val="-4"/>
        </w:rPr>
        <w:t xml:space="preserve"> </w:t>
      </w:r>
      <w:r>
        <w:t>varies</w:t>
      </w:r>
      <w:r>
        <w:rPr>
          <w:spacing w:val="-4"/>
        </w:rPr>
        <w:t xml:space="preserve"> </w:t>
      </w:r>
      <w:r>
        <w:t>over</w:t>
      </w:r>
      <w:r>
        <w:rPr>
          <w:spacing w:val="-4"/>
        </w:rPr>
        <w:t xml:space="preserve"> </w:t>
      </w:r>
      <w:r>
        <w:t>time;</w:t>
      </w:r>
      <w:r>
        <w:rPr>
          <w:spacing w:val="-4"/>
        </w:rPr>
        <w:t xml:space="preserve"> </w:t>
      </w:r>
      <w:r>
        <w:t>it</w:t>
      </w:r>
      <w:r>
        <w:rPr>
          <w:spacing w:val="-4"/>
        </w:rPr>
        <w:t xml:space="preserve"> </w:t>
      </w:r>
      <w:r>
        <w:t>can</w:t>
      </w:r>
      <w:r>
        <w:rPr>
          <w:spacing w:val="-4"/>
        </w:rPr>
        <w:t xml:space="preserve"> </w:t>
      </w:r>
      <w:r>
        <w:t>also vary by scenario for emerging technologies. Penetration rate is applied at the market sector level.</w:t>
      </w:r>
    </w:p>
    <w:p w:rsidR="00C31389" w:rsidRDefault="00C31389" w14:paraId="7CF205BA" w14:textId="77777777">
      <w:pPr>
        <w:sectPr w:rsidR="00C31389">
          <w:pgSz w:w="12240" w:h="15840"/>
          <w:pgMar w:top="1660" w:right="960" w:bottom="1120" w:left="960" w:header="397" w:footer="936" w:gutter="0"/>
          <w:cols w:space="720"/>
        </w:sectPr>
      </w:pPr>
    </w:p>
    <w:p w:rsidR="00C31389" w:rsidRDefault="00C31389" w14:paraId="6BD2B99D" w14:textId="77777777">
      <w:pPr>
        <w:pStyle w:val="BodyText"/>
        <w:spacing w:before="11"/>
        <w:rPr>
          <w:sz w:val="13"/>
        </w:rPr>
      </w:pPr>
    </w:p>
    <w:p w:rsidR="00C31389" w:rsidRDefault="00561FBD" w14:paraId="0E279E6B" w14:textId="77777777">
      <w:pPr>
        <w:pStyle w:val="BodyText"/>
        <w:spacing w:before="92" w:line="264" w:lineRule="auto"/>
        <w:ind w:left="480" w:right="533"/>
      </w:pPr>
      <w:r>
        <w:t>The</w:t>
      </w:r>
      <w:r>
        <w:rPr>
          <w:spacing w:val="-3"/>
        </w:rPr>
        <w:t xml:space="preserve"> </w:t>
      </w:r>
      <w:r>
        <w:t>2023</w:t>
      </w:r>
      <w:r>
        <w:rPr>
          <w:spacing w:val="-3"/>
        </w:rPr>
        <w:t xml:space="preserve"> </w:t>
      </w:r>
      <w:r>
        <w:t>Study</w:t>
      </w:r>
      <w:r>
        <w:rPr>
          <w:spacing w:val="-3"/>
        </w:rPr>
        <w:t xml:space="preserve"> </w:t>
      </w:r>
      <w:r>
        <w:t>did</w:t>
      </w:r>
      <w:r>
        <w:rPr>
          <w:spacing w:val="-3"/>
        </w:rPr>
        <w:t xml:space="preserve"> </w:t>
      </w:r>
      <w:r>
        <w:t>not</w:t>
      </w:r>
      <w:r>
        <w:rPr>
          <w:spacing w:val="-4"/>
        </w:rPr>
        <w:t xml:space="preserve"> </w:t>
      </w:r>
      <w:r>
        <w:t>update</w:t>
      </w:r>
      <w:r>
        <w:rPr>
          <w:spacing w:val="-3"/>
        </w:rPr>
        <w:t xml:space="preserve"> </w:t>
      </w:r>
      <w:r>
        <w:t>the</w:t>
      </w:r>
      <w:r>
        <w:rPr>
          <w:spacing w:val="-3"/>
        </w:rPr>
        <w:t xml:space="preserve"> </w:t>
      </w:r>
      <w:r>
        <w:t>emerging</w:t>
      </w:r>
      <w:r>
        <w:rPr>
          <w:spacing w:val="-3"/>
        </w:rPr>
        <w:t xml:space="preserve"> </w:t>
      </w:r>
      <w:r>
        <w:t>technology</w:t>
      </w:r>
      <w:r>
        <w:rPr>
          <w:spacing w:val="-3"/>
        </w:rPr>
        <w:t xml:space="preserve"> </w:t>
      </w:r>
      <w:r>
        <w:t>list,</w:t>
      </w:r>
      <w:r>
        <w:rPr>
          <w:spacing w:val="-4"/>
        </w:rPr>
        <w:t xml:space="preserve"> </w:t>
      </w:r>
      <w:r>
        <w:t>inputs,</w:t>
      </w:r>
      <w:r>
        <w:rPr>
          <w:spacing w:val="-3"/>
        </w:rPr>
        <w:t xml:space="preserve"> </w:t>
      </w:r>
      <w:r>
        <w:t>or</w:t>
      </w:r>
      <w:r>
        <w:rPr>
          <w:spacing w:val="-3"/>
        </w:rPr>
        <w:t xml:space="preserve"> </w:t>
      </w:r>
      <w:r>
        <w:t>analysis.</w:t>
      </w:r>
      <w:r>
        <w:rPr>
          <w:spacing w:val="-3"/>
        </w:rPr>
        <w:t xml:space="preserve"> </w:t>
      </w:r>
      <w:r>
        <w:t>Emerging technologies were screened for consideration in past study years based on an eight-level screening process considering the following factors:</w:t>
      </w:r>
    </w:p>
    <w:p w:rsidR="00C31389" w:rsidRDefault="00561FBD" w14:paraId="20F53561" w14:textId="77777777">
      <w:pPr>
        <w:pStyle w:val="ListParagraph"/>
        <w:numPr>
          <w:ilvl w:val="0"/>
          <w:numId w:val="64"/>
        </w:numPr>
        <w:tabs>
          <w:tab w:val="left" w:pos="1199"/>
        </w:tabs>
        <w:spacing w:before="121"/>
        <w:ind w:left="1199"/>
      </w:pPr>
      <w:r>
        <w:t>Relevance</w:t>
      </w:r>
      <w:r>
        <w:rPr>
          <w:spacing w:val="-8"/>
        </w:rPr>
        <w:t xml:space="preserve"> </w:t>
      </w:r>
      <w:r>
        <w:t>to</w:t>
      </w:r>
      <w:r>
        <w:rPr>
          <w:spacing w:val="-7"/>
        </w:rPr>
        <w:t xml:space="preserve"> </w:t>
      </w:r>
      <w:r>
        <w:t>the</w:t>
      </w:r>
      <w:r>
        <w:rPr>
          <w:spacing w:val="-7"/>
        </w:rPr>
        <w:t xml:space="preserve"> </w:t>
      </w:r>
      <w:r>
        <w:t>industrial</w:t>
      </w:r>
      <w:r>
        <w:rPr>
          <w:spacing w:val="-8"/>
        </w:rPr>
        <w:t xml:space="preserve"> </w:t>
      </w:r>
      <w:r>
        <w:t>and</w:t>
      </w:r>
      <w:r>
        <w:rPr>
          <w:spacing w:val="-7"/>
        </w:rPr>
        <w:t xml:space="preserve"> </w:t>
      </w:r>
      <w:r>
        <w:t>agriculture</w:t>
      </w:r>
      <w:r>
        <w:rPr>
          <w:spacing w:val="-7"/>
        </w:rPr>
        <w:t xml:space="preserve"> </w:t>
      </w:r>
      <w:r>
        <w:rPr>
          <w:spacing w:val="-2"/>
        </w:rPr>
        <w:t>sectors</w:t>
      </w:r>
    </w:p>
    <w:p w:rsidR="00C31389" w:rsidRDefault="00561FBD" w14:paraId="7A0DA127" w14:textId="77777777">
      <w:pPr>
        <w:pStyle w:val="ListParagraph"/>
        <w:numPr>
          <w:ilvl w:val="0"/>
          <w:numId w:val="64"/>
        </w:numPr>
        <w:tabs>
          <w:tab w:val="left" w:pos="1199"/>
        </w:tabs>
        <w:spacing w:before="118"/>
        <w:ind w:left="1199"/>
      </w:pPr>
      <w:r>
        <w:t>Relevance</w:t>
      </w:r>
      <w:r>
        <w:rPr>
          <w:spacing w:val="-10"/>
        </w:rPr>
        <w:t xml:space="preserve"> </w:t>
      </w:r>
      <w:r>
        <w:t>by</w:t>
      </w:r>
      <w:r>
        <w:rPr>
          <w:spacing w:val="-10"/>
        </w:rPr>
        <w:t xml:space="preserve"> </w:t>
      </w:r>
      <w:r>
        <w:t>North</w:t>
      </w:r>
      <w:r>
        <w:rPr>
          <w:spacing w:val="-10"/>
        </w:rPr>
        <w:t xml:space="preserve"> </w:t>
      </w:r>
      <w:r>
        <w:t>American</w:t>
      </w:r>
      <w:r>
        <w:rPr>
          <w:spacing w:val="-10"/>
        </w:rPr>
        <w:t xml:space="preserve"> </w:t>
      </w:r>
      <w:r>
        <w:t>Industry</w:t>
      </w:r>
      <w:r>
        <w:rPr>
          <w:spacing w:val="-10"/>
        </w:rPr>
        <w:t xml:space="preserve"> </w:t>
      </w:r>
      <w:r>
        <w:t>Classification</w:t>
      </w:r>
      <w:r>
        <w:rPr>
          <w:spacing w:val="-10"/>
        </w:rPr>
        <w:t xml:space="preserve"> </w:t>
      </w:r>
      <w:r>
        <w:t>System</w:t>
      </w:r>
      <w:r>
        <w:rPr>
          <w:spacing w:val="-10"/>
        </w:rPr>
        <w:t xml:space="preserve"> </w:t>
      </w:r>
      <w:r>
        <w:t>(NAICS)</w:t>
      </w:r>
      <w:r>
        <w:rPr>
          <w:spacing w:val="-10"/>
        </w:rPr>
        <w:t xml:space="preserve"> </w:t>
      </w:r>
      <w:r>
        <w:rPr>
          <w:spacing w:val="-2"/>
        </w:rPr>
        <w:t>segment</w:t>
      </w:r>
    </w:p>
    <w:p w:rsidR="00C31389" w:rsidRDefault="00561FBD" w14:paraId="77EC49FA" w14:textId="77777777">
      <w:pPr>
        <w:pStyle w:val="ListParagraph"/>
        <w:numPr>
          <w:ilvl w:val="0"/>
          <w:numId w:val="64"/>
        </w:numPr>
        <w:tabs>
          <w:tab w:val="left" w:pos="1199"/>
        </w:tabs>
        <w:spacing w:before="118"/>
        <w:ind w:left="1199"/>
      </w:pPr>
      <w:r>
        <w:t>End</w:t>
      </w:r>
      <w:r>
        <w:rPr>
          <w:spacing w:val="-5"/>
        </w:rPr>
        <w:t xml:space="preserve"> </w:t>
      </w:r>
      <w:r>
        <w:t>use</w:t>
      </w:r>
      <w:r>
        <w:rPr>
          <w:spacing w:val="-4"/>
        </w:rPr>
        <w:t xml:space="preserve"> </w:t>
      </w:r>
      <w:r>
        <w:rPr>
          <w:spacing w:val="-2"/>
        </w:rPr>
        <w:t>application</w:t>
      </w:r>
    </w:p>
    <w:p w:rsidR="00C31389" w:rsidRDefault="00561FBD" w14:paraId="3EDF02EB" w14:textId="77777777">
      <w:pPr>
        <w:pStyle w:val="ListParagraph"/>
        <w:numPr>
          <w:ilvl w:val="0"/>
          <w:numId w:val="64"/>
        </w:numPr>
        <w:tabs>
          <w:tab w:val="left" w:pos="1199"/>
        </w:tabs>
        <w:spacing w:before="118"/>
        <w:ind w:left="1199"/>
      </w:pPr>
      <w:r>
        <w:t>Type</w:t>
      </w:r>
      <w:r>
        <w:rPr>
          <w:spacing w:val="-4"/>
        </w:rPr>
        <w:t xml:space="preserve"> </w:t>
      </w:r>
      <w:r>
        <w:t>of</w:t>
      </w:r>
      <w:r>
        <w:rPr>
          <w:spacing w:val="-3"/>
        </w:rPr>
        <w:t xml:space="preserve"> </w:t>
      </w:r>
      <w:r>
        <w:t>fuel</w:t>
      </w:r>
      <w:r>
        <w:rPr>
          <w:spacing w:val="-5"/>
        </w:rPr>
        <w:t xml:space="preserve"> </w:t>
      </w:r>
      <w:r>
        <w:rPr>
          <w:spacing w:val="-2"/>
        </w:rPr>
        <w:t>savings</w:t>
      </w:r>
    </w:p>
    <w:p w:rsidR="00C31389" w:rsidRDefault="00561FBD" w14:paraId="0C7FB808" w14:textId="77777777">
      <w:pPr>
        <w:pStyle w:val="ListParagraph"/>
        <w:numPr>
          <w:ilvl w:val="0"/>
          <w:numId w:val="64"/>
        </w:numPr>
        <w:tabs>
          <w:tab w:val="left" w:pos="1199"/>
        </w:tabs>
        <w:spacing w:before="118"/>
        <w:ind w:left="1199"/>
      </w:pPr>
      <w:r>
        <w:t>Potential</w:t>
      </w:r>
      <w:r>
        <w:rPr>
          <w:spacing w:val="-9"/>
        </w:rPr>
        <w:t xml:space="preserve"> </w:t>
      </w:r>
      <w:r>
        <w:t>energy</w:t>
      </w:r>
      <w:r>
        <w:rPr>
          <w:spacing w:val="-9"/>
        </w:rPr>
        <w:t xml:space="preserve"> </w:t>
      </w:r>
      <w:r>
        <w:t>savings</w:t>
      </w:r>
      <w:r>
        <w:rPr>
          <w:spacing w:val="-9"/>
        </w:rPr>
        <w:t xml:space="preserve"> </w:t>
      </w:r>
      <w:r>
        <w:rPr>
          <w:spacing w:val="-2"/>
        </w:rPr>
        <w:t>percentage</w:t>
      </w:r>
    </w:p>
    <w:p w:rsidR="00C31389" w:rsidRDefault="00561FBD" w14:paraId="1AC3C966" w14:textId="77777777">
      <w:pPr>
        <w:pStyle w:val="ListParagraph"/>
        <w:numPr>
          <w:ilvl w:val="0"/>
          <w:numId w:val="64"/>
        </w:numPr>
        <w:tabs>
          <w:tab w:val="left" w:pos="1199"/>
        </w:tabs>
        <w:spacing w:before="119"/>
        <w:ind w:left="1199" w:right="961"/>
      </w:pPr>
      <w:r>
        <w:t>Impact</w:t>
      </w:r>
      <w:r>
        <w:rPr>
          <w:spacing w:val="-5"/>
        </w:rPr>
        <w:t xml:space="preserve"> </w:t>
      </w:r>
      <w:r>
        <w:t>potential</w:t>
      </w:r>
      <w:r>
        <w:rPr>
          <w:spacing w:val="-5"/>
        </w:rPr>
        <w:t xml:space="preserve"> </w:t>
      </w:r>
      <w:r>
        <w:t>(including</w:t>
      </w:r>
      <w:r>
        <w:rPr>
          <w:spacing w:val="-5"/>
        </w:rPr>
        <w:t xml:space="preserve"> </w:t>
      </w:r>
      <w:r>
        <w:t>technical</w:t>
      </w:r>
      <w:r>
        <w:rPr>
          <w:spacing w:val="-5"/>
        </w:rPr>
        <w:t xml:space="preserve"> </w:t>
      </w:r>
      <w:r>
        <w:t>and</w:t>
      </w:r>
      <w:r>
        <w:rPr>
          <w:spacing w:val="-5"/>
        </w:rPr>
        <w:t xml:space="preserve"> </w:t>
      </w:r>
      <w:r>
        <w:t>achievable</w:t>
      </w:r>
      <w:r>
        <w:rPr>
          <w:spacing w:val="-5"/>
        </w:rPr>
        <w:t xml:space="preserve"> </w:t>
      </w:r>
      <w:r>
        <w:t>potential,</w:t>
      </w:r>
      <w:r>
        <w:rPr>
          <w:spacing w:val="-5"/>
        </w:rPr>
        <w:t xml:space="preserve"> </w:t>
      </w:r>
      <w:r>
        <w:t>risks,</w:t>
      </w:r>
      <w:r>
        <w:rPr>
          <w:spacing w:val="-5"/>
        </w:rPr>
        <w:t xml:space="preserve"> </w:t>
      </w:r>
      <w:r>
        <w:t>and</w:t>
      </w:r>
      <w:r>
        <w:rPr>
          <w:spacing w:val="-5"/>
        </w:rPr>
        <w:t xml:space="preserve"> </w:t>
      </w:r>
      <w:r>
        <w:t xml:space="preserve">non-energy </w:t>
      </w:r>
      <w:r>
        <w:rPr>
          <w:spacing w:val="-2"/>
        </w:rPr>
        <w:t>benefits)</w:t>
      </w:r>
    </w:p>
    <w:p w:rsidR="00C31389" w:rsidRDefault="00561FBD" w14:paraId="64121443" w14:textId="77777777">
      <w:pPr>
        <w:pStyle w:val="ListParagraph"/>
        <w:numPr>
          <w:ilvl w:val="0"/>
          <w:numId w:val="64"/>
        </w:numPr>
        <w:tabs>
          <w:tab w:val="left" w:pos="1199"/>
        </w:tabs>
        <w:spacing w:before="117"/>
        <w:ind w:left="1199"/>
      </w:pPr>
      <w:r>
        <w:t>Segment</w:t>
      </w:r>
      <w:r>
        <w:rPr>
          <w:spacing w:val="-13"/>
        </w:rPr>
        <w:t xml:space="preserve"> </w:t>
      </w:r>
      <w:r>
        <w:t>energy</w:t>
      </w:r>
      <w:r>
        <w:rPr>
          <w:spacing w:val="-10"/>
        </w:rPr>
        <w:t xml:space="preserve"> </w:t>
      </w:r>
      <w:r>
        <w:t>consumption</w:t>
      </w:r>
      <w:r>
        <w:rPr>
          <w:spacing w:val="-10"/>
        </w:rPr>
        <w:t xml:space="preserve"> </w:t>
      </w:r>
      <w:r>
        <w:rPr>
          <w:spacing w:val="-2"/>
        </w:rPr>
        <w:t>trends</w:t>
      </w:r>
    </w:p>
    <w:p w:rsidR="00C31389" w:rsidRDefault="00561FBD" w14:paraId="24A02FC0" w14:textId="77777777">
      <w:pPr>
        <w:pStyle w:val="ListParagraph"/>
        <w:numPr>
          <w:ilvl w:val="0"/>
          <w:numId w:val="64"/>
        </w:numPr>
        <w:tabs>
          <w:tab w:val="left" w:pos="1199"/>
        </w:tabs>
        <w:spacing w:before="119"/>
        <w:ind w:left="1199"/>
      </w:pPr>
      <w:r>
        <w:t>Segment</w:t>
      </w:r>
      <w:r>
        <w:rPr>
          <w:spacing w:val="-9"/>
        </w:rPr>
        <w:t xml:space="preserve"> </w:t>
      </w:r>
      <w:r>
        <w:t>mar</w:t>
      </w:r>
      <w:r>
        <w:t>ket</w:t>
      </w:r>
      <w:r>
        <w:rPr>
          <w:spacing w:val="-9"/>
        </w:rPr>
        <w:t xml:space="preserve"> </w:t>
      </w:r>
      <w:r>
        <w:rPr>
          <w:spacing w:val="-2"/>
        </w:rPr>
        <w:t>trajectory</w:t>
      </w:r>
    </w:p>
    <w:p w:rsidR="00C31389" w:rsidRDefault="00C31389" w14:paraId="30549152" w14:textId="77777777">
      <w:pPr>
        <w:pStyle w:val="BodyText"/>
        <w:spacing w:before="9"/>
        <w:rPr>
          <w:sz w:val="20"/>
        </w:rPr>
      </w:pPr>
    </w:p>
    <w:p w:rsidR="00C31389" w:rsidRDefault="00561FBD" w14:paraId="3757D5F3" w14:textId="77777777">
      <w:pPr>
        <w:pStyle w:val="BodyText"/>
        <w:ind w:left="480" w:right="485"/>
      </w:pPr>
      <w:r>
        <w:t>Emerging technologies that passed the screening criteria were used to derive emerging technology</w:t>
      </w:r>
      <w:r>
        <w:rPr>
          <w:spacing w:val="-5"/>
        </w:rPr>
        <w:t xml:space="preserve"> </w:t>
      </w:r>
      <w:r>
        <w:t>unit</w:t>
      </w:r>
      <w:r>
        <w:rPr>
          <w:spacing w:val="-4"/>
        </w:rPr>
        <w:t xml:space="preserve"> </w:t>
      </w:r>
      <w:r>
        <w:t>energy</w:t>
      </w:r>
      <w:r>
        <w:rPr>
          <w:spacing w:val="-5"/>
        </w:rPr>
        <w:t xml:space="preserve"> </w:t>
      </w:r>
      <w:r>
        <w:t>savings</w:t>
      </w:r>
      <w:r>
        <w:rPr>
          <w:spacing w:val="-4"/>
        </w:rPr>
        <w:t xml:space="preserve"> </w:t>
      </w:r>
      <w:r>
        <w:t>(UES)</w:t>
      </w:r>
      <w:r>
        <w:rPr>
          <w:spacing w:val="-4"/>
        </w:rPr>
        <w:t xml:space="preserve"> </w:t>
      </w:r>
      <w:r>
        <w:t>values</w:t>
      </w:r>
      <w:r>
        <w:rPr>
          <w:spacing w:val="-4"/>
        </w:rPr>
        <w:t xml:space="preserve"> </w:t>
      </w:r>
      <w:r>
        <w:t>grouped</w:t>
      </w:r>
      <w:r>
        <w:rPr>
          <w:spacing w:val="-4"/>
        </w:rPr>
        <w:t xml:space="preserve"> </w:t>
      </w:r>
      <w:r>
        <w:t>by</w:t>
      </w:r>
      <w:r>
        <w:rPr>
          <w:spacing w:val="-4"/>
        </w:rPr>
        <w:t xml:space="preserve"> </w:t>
      </w:r>
      <w:r>
        <w:t>market</w:t>
      </w:r>
      <w:r>
        <w:rPr>
          <w:spacing w:val="-4"/>
        </w:rPr>
        <w:t xml:space="preserve"> </w:t>
      </w:r>
      <w:r>
        <w:t>segment</w:t>
      </w:r>
      <w:r>
        <w:rPr>
          <w:spacing w:val="-4"/>
        </w:rPr>
        <w:t xml:space="preserve"> </w:t>
      </w:r>
      <w:r>
        <w:t>(e.g.,</w:t>
      </w:r>
      <w:r>
        <w:rPr>
          <w:spacing w:val="-4"/>
        </w:rPr>
        <w:t xml:space="preserve"> </w:t>
      </w:r>
      <w:r>
        <w:t>petroleum,</w:t>
      </w:r>
      <w:r>
        <w:rPr>
          <w:spacing w:val="-4"/>
        </w:rPr>
        <w:t xml:space="preserve"> </w:t>
      </w:r>
      <w:r>
        <w:t xml:space="preserve">food processing) using the methodology defined in </w:t>
      </w:r>
      <w:hyperlink w:history="1" w:anchor="_bookmark464">
        <w:r>
          <w:t>Appendix G</w:t>
        </w:r>
      </w:hyperlink>
      <w:r>
        <w:t xml:space="preserve">. Emerging technology UES is represented as a percentage of savings relative to the total building energy consumption. It is meant </w:t>
      </w:r>
      <w:r>
        <w:t xml:space="preserve">to reflect the combination of available emerging technologies that pass the screening process for each sector and segment rather than individual technologies. UES is estimated based on multiple factors listed below </w:t>
      </w:r>
      <w:hyperlink w:history="1" w:anchor="_bookmark74">
        <w:r>
          <w:t>Equation 2-4</w:t>
        </w:r>
      </w:hyperlink>
      <w:r>
        <w:t xml:space="preserve">. Section </w:t>
      </w:r>
      <w:hyperlink w:history="1" w:anchor="_bookmark170">
        <w:r>
          <w:t>3.6</w:t>
        </w:r>
      </w:hyperlink>
      <w:r>
        <w:t xml:space="preserve"> discusses the data inputs for this equation.</w:t>
      </w:r>
    </w:p>
    <w:p w:rsidR="00C31389" w:rsidRDefault="00C31389" w14:paraId="3FB798FA" w14:textId="77777777">
      <w:pPr>
        <w:pStyle w:val="BodyText"/>
        <w:spacing w:before="9"/>
        <w:rPr>
          <w:sz w:val="20"/>
        </w:rPr>
      </w:pPr>
    </w:p>
    <w:p w:rsidR="00C31389" w:rsidRDefault="00561FBD" w14:paraId="01749686" w14:textId="77777777">
      <w:pPr>
        <w:pStyle w:val="Heading7"/>
        <w:ind w:left="565" w:right="566"/>
        <w:jc w:val="center"/>
      </w:pPr>
      <w:bookmarkStart w:name="_bookmark74" w:id="98"/>
      <w:bookmarkEnd w:id="98"/>
      <w:r>
        <w:t>Equation</w:t>
      </w:r>
      <w:r>
        <w:rPr>
          <w:spacing w:val="-8"/>
        </w:rPr>
        <w:t xml:space="preserve"> </w:t>
      </w:r>
      <w:r>
        <w:t>2-4.</w:t>
      </w:r>
      <w:r>
        <w:rPr>
          <w:spacing w:val="-7"/>
        </w:rPr>
        <w:t xml:space="preserve"> </w:t>
      </w:r>
      <w:r>
        <w:t>UES</w:t>
      </w:r>
      <w:r>
        <w:rPr>
          <w:spacing w:val="-7"/>
        </w:rPr>
        <w:t xml:space="preserve"> </w:t>
      </w:r>
      <w:r>
        <w:t>for</w:t>
      </w:r>
      <w:r>
        <w:rPr>
          <w:spacing w:val="-7"/>
        </w:rPr>
        <w:t xml:space="preserve"> </w:t>
      </w:r>
      <w:r>
        <w:t>Emerging</w:t>
      </w:r>
      <w:r>
        <w:rPr>
          <w:spacing w:val="-7"/>
        </w:rPr>
        <w:t xml:space="preserve"> </w:t>
      </w:r>
      <w:r>
        <w:rPr>
          <w:spacing w:val="-2"/>
        </w:rPr>
        <w:t>Technologies</w:t>
      </w:r>
    </w:p>
    <w:p w:rsidR="00C31389" w:rsidRDefault="00C31389" w14:paraId="70BF5523" w14:textId="77777777">
      <w:pPr>
        <w:pStyle w:val="BodyText"/>
        <w:spacing w:before="2"/>
        <w:rPr>
          <w:b/>
          <w:sz w:val="27"/>
        </w:rPr>
      </w:pPr>
    </w:p>
    <w:p w:rsidR="00C31389" w:rsidRDefault="00C31389" w14:paraId="77322456" w14:textId="77777777">
      <w:pPr>
        <w:rPr>
          <w:sz w:val="27"/>
        </w:rPr>
        <w:sectPr w:rsidR="00C31389">
          <w:pgSz w:w="12240" w:h="15840"/>
          <w:pgMar w:top="1660" w:right="960" w:bottom="1120" w:left="960" w:header="397" w:footer="936" w:gutter="0"/>
          <w:cols w:space="720"/>
        </w:sectPr>
      </w:pPr>
    </w:p>
    <w:p w:rsidR="00C31389" w:rsidRDefault="00C31389" w14:paraId="59A8EFF3" w14:textId="77777777">
      <w:pPr>
        <w:pStyle w:val="BodyText"/>
        <w:spacing w:before="2"/>
        <w:rPr>
          <w:b/>
          <w:sz w:val="30"/>
        </w:rPr>
      </w:pPr>
    </w:p>
    <w:p w:rsidR="00C31389" w:rsidRDefault="00561FBD" w14:paraId="410A2F18" w14:textId="77777777">
      <w:pPr>
        <w:pStyle w:val="BodyText"/>
        <w:ind w:left="479"/>
      </w:pPr>
      <w:r>
        <w:rPr>
          <w:spacing w:val="-2"/>
        </w:rPr>
        <w:t>Where:</w:t>
      </w:r>
    </w:p>
    <w:p w:rsidR="00C31389" w:rsidRDefault="00561FBD" w14:paraId="3EBD8230" w14:textId="77777777">
      <w:pPr>
        <w:spacing w:before="62"/>
        <w:ind w:left="2371"/>
        <w:rPr>
          <w:rFonts w:ascii="Cambria Math" w:hAnsi="Cambria Math" w:eastAsia="Cambria Math"/>
          <w:sz w:val="14"/>
        </w:rPr>
      </w:pPr>
      <w:r>
        <w:br w:type="column"/>
      </w:r>
      <w:r>
        <w:rPr>
          <w:rFonts w:ascii="Cambria Math" w:hAnsi="Cambria Math" w:eastAsia="Cambria Math"/>
          <w:w w:val="65"/>
        </w:rPr>
        <w:t>𝑈𝑈𝐸𝐸𝑆𝑆</w:t>
      </w:r>
      <w:r>
        <w:rPr>
          <w:rFonts w:ascii="Cambria Math" w:hAnsi="Cambria Math" w:eastAsia="Cambria Math"/>
          <w:w w:val="65"/>
          <w:position w:val="-4"/>
          <w:sz w:val="16"/>
        </w:rPr>
        <w:t>𝑒𝑒</w:t>
      </w:r>
      <w:r>
        <w:rPr>
          <w:rFonts w:ascii="Cambria Math" w:hAnsi="Cambria Math" w:eastAsia="Cambria Math"/>
          <w:w w:val="65"/>
          <w:position w:val="-4"/>
          <w:sz w:val="16"/>
        </w:rPr>
        <w:t>,</w:t>
      </w:r>
      <w:r>
        <w:rPr>
          <w:rFonts w:ascii="Cambria Math" w:hAnsi="Cambria Math" w:eastAsia="Cambria Math"/>
          <w:w w:val="65"/>
          <w:position w:val="-4"/>
          <w:sz w:val="16"/>
        </w:rPr>
        <w:t>𝑖𝑖</w:t>
      </w:r>
      <w:r>
        <w:rPr>
          <w:rFonts w:ascii="Cambria Math" w:hAnsi="Cambria Math" w:eastAsia="Cambria Math"/>
          <w:w w:val="65"/>
          <w:position w:val="-4"/>
          <w:sz w:val="16"/>
        </w:rPr>
        <w:t>,</w:t>
      </w:r>
      <w:r>
        <w:rPr>
          <w:rFonts w:ascii="Cambria Math" w:hAnsi="Cambria Math" w:eastAsia="Cambria Math"/>
          <w:w w:val="65"/>
          <w:position w:val="-4"/>
          <w:sz w:val="16"/>
        </w:rPr>
        <w:t>𝑗𝑗</w:t>
      </w:r>
      <w:r>
        <w:rPr>
          <w:rFonts w:ascii="Cambria Math" w:hAnsi="Cambria Math" w:eastAsia="Cambria Math"/>
          <w:spacing w:val="15"/>
          <w:position w:val="-4"/>
          <w:sz w:val="16"/>
        </w:rPr>
        <w:t xml:space="preserve"> </w:t>
      </w:r>
      <w:r>
        <w:rPr>
          <w:rFonts w:ascii="Cambria Math" w:hAnsi="Cambria Math" w:eastAsia="Cambria Math"/>
          <w:w w:val="65"/>
          <w:sz w:val="20"/>
        </w:rPr>
        <w:t>=</w:t>
      </w:r>
      <w:r>
        <w:rPr>
          <w:rFonts w:ascii="Cambria Math" w:hAnsi="Cambria Math" w:eastAsia="Cambria Math"/>
          <w:spacing w:val="-3"/>
          <w:sz w:val="20"/>
        </w:rPr>
        <w:t xml:space="preserve"> </w:t>
      </w:r>
      <w:r>
        <w:rPr>
          <w:rFonts w:ascii="Cambria Math" w:hAnsi="Cambria Math" w:eastAsia="Cambria Math"/>
          <w:w w:val="65"/>
          <w:sz w:val="20"/>
        </w:rPr>
        <w:t>𝑇𝑇</w:t>
      </w:r>
      <w:r>
        <w:rPr>
          <w:rFonts w:ascii="Cambria Math" w:hAnsi="Cambria Math" w:eastAsia="Cambria Math"/>
          <w:w w:val="65"/>
          <w:position w:val="-4"/>
          <w:sz w:val="14"/>
        </w:rPr>
        <w:t>𝑆𝑆</w:t>
      </w:r>
      <w:r>
        <w:rPr>
          <w:rFonts w:ascii="Cambria Math" w:hAnsi="Cambria Math" w:eastAsia="Cambria Math"/>
          <w:spacing w:val="37"/>
          <w:position w:val="-4"/>
          <w:sz w:val="14"/>
        </w:rPr>
        <w:t xml:space="preserve"> </w:t>
      </w:r>
      <w:r>
        <w:rPr>
          <w:rFonts w:ascii="Cambria Math" w:hAnsi="Cambria Math" w:eastAsia="Cambria Math"/>
          <w:w w:val="65"/>
          <w:sz w:val="20"/>
        </w:rPr>
        <w:t>×</w:t>
      </w:r>
      <w:r>
        <w:rPr>
          <w:rFonts w:ascii="Cambria Math" w:hAnsi="Cambria Math" w:eastAsia="Cambria Math"/>
          <w:spacing w:val="18"/>
          <w:sz w:val="20"/>
        </w:rPr>
        <w:t xml:space="preserve"> </w:t>
      </w:r>
      <w:r>
        <w:rPr>
          <w:rFonts w:ascii="Cambria Math" w:hAnsi="Cambria Math" w:eastAsia="Cambria Math"/>
          <w:w w:val="65"/>
          <w:sz w:val="20"/>
        </w:rPr>
        <w:t>𝐸𝐸</w:t>
      </w:r>
      <w:r>
        <w:rPr>
          <w:rFonts w:ascii="Cambria Math" w:hAnsi="Cambria Math" w:eastAsia="Cambria Math"/>
          <w:w w:val="65"/>
          <w:position w:val="-4"/>
          <w:sz w:val="14"/>
        </w:rPr>
        <w:t>𝐵𝐵</w:t>
      </w:r>
      <w:r>
        <w:rPr>
          <w:rFonts w:ascii="Cambria Math" w:hAnsi="Cambria Math" w:eastAsia="Cambria Math"/>
          <w:w w:val="65"/>
          <w:position w:val="-4"/>
          <w:sz w:val="14"/>
        </w:rPr>
        <w:t>,</w:t>
      </w:r>
      <w:r>
        <w:rPr>
          <w:rFonts w:ascii="Cambria Math" w:hAnsi="Cambria Math" w:eastAsia="Cambria Math"/>
          <w:w w:val="65"/>
          <w:position w:val="-4"/>
          <w:sz w:val="14"/>
        </w:rPr>
        <w:t>𝑗𝑗</w:t>
      </w:r>
      <w:r>
        <w:rPr>
          <w:rFonts w:ascii="Cambria Math" w:hAnsi="Cambria Math" w:eastAsia="Cambria Math"/>
          <w:spacing w:val="37"/>
          <w:position w:val="-4"/>
          <w:sz w:val="14"/>
        </w:rPr>
        <w:t xml:space="preserve"> </w:t>
      </w:r>
      <w:r>
        <w:rPr>
          <w:rFonts w:ascii="Cambria Math" w:hAnsi="Cambria Math" w:eastAsia="Cambria Math"/>
          <w:w w:val="65"/>
          <w:sz w:val="20"/>
        </w:rPr>
        <w:t>×</w:t>
      </w:r>
      <w:r>
        <w:rPr>
          <w:rFonts w:ascii="Cambria Math" w:hAnsi="Cambria Math" w:eastAsia="Cambria Math"/>
          <w:spacing w:val="19"/>
          <w:sz w:val="20"/>
        </w:rPr>
        <w:t xml:space="preserve"> </w:t>
      </w:r>
      <w:r>
        <w:rPr>
          <w:rFonts w:ascii="Cambria Math" w:hAnsi="Cambria Math" w:eastAsia="Cambria Math"/>
          <w:w w:val="65"/>
          <w:sz w:val="20"/>
        </w:rPr>
        <w:t>𝑀𝑀𝑇𝑇</w:t>
      </w:r>
      <w:r>
        <w:rPr>
          <w:rFonts w:ascii="Cambria Math" w:hAnsi="Cambria Math" w:eastAsia="Cambria Math"/>
          <w:w w:val="65"/>
          <w:position w:val="-4"/>
          <w:sz w:val="14"/>
        </w:rPr>
        <w:t>𝑗𝑗</w:t>
      </w:r>
      <w:r>
        <w:rPr>
          <w:rFonts w:ascii="Cambria Math" w:hAnsi="Cambria Math" w:eastAsia="Cambria Math"/>
          <w:spacing w:val="29"/>
          <w:position w:val="-4"/>
          <w:sz w:val="14"/>
        </w:rPr>
        <w:t xml:space="preserve"> </w:t>
      </w:r>
      <w:r>
        <w:rPr>
          <w:rFonts w:ascii="Cambria Math" w:hAnsi="Cambria Math" w:eastAsia="Cambria Math"/>
          <w:w w:val="65"/>
          <w:sz w:val="20"/>
        </w:rPr>
        <w:t>×</w:t>
      </w:r>
      <w:r>
        <w:rPr>
          <w:rFonts w:ascii="Cambria Math" w:hAnsi="Cambria Math" w:eastAsia="Cambria Math"/>
          <w:spacing w:val="17"/>
          <w:sz w:val="20"/>
        </w:rPr>
        <w:t xml:space="preserve"> </w:t>
      </w:r>
      <w:r>
        <w:rPr>
          <w:rFonts w:ascii="Cambria Math" w:hAnsi="Cambria Math" w:eastAsia="Cambria Math"/>
          <w:spacing w:val="-2"/>
          <w:w w:val="65"/>
          <w:sz w:val="20"/>
        </w:rPr>
        <w:t>𝑇𝑇𝑇𝑇</w:t>
      </w:r>
      <w:r>
        <w:rPr>
          <w:rFonts w:ascii="Cambria Math" w:hAnsi="Cambria Math" w:eastAsia="Cambria Math"/>
          <w:spacing w:val="-2"/>
          <w:w w:val="65"/>
          <w:position w:val="-4"/>
          <w:sz w:val="14"/>
        </w:rPr>
        <w:t>𝑗𝑗</w:t>
      </w:r>
    </w:p>
    <w:p w:rsidR="00C31389" w:rsidRDefault="00C31389" w14:paraId="07383672" w14:textId="77777777">
      <w:pPr>
        <w:pStyle w:val="BodyText"/>
        <w:spacing w:before="10"/>
        <w:rPr>
          <w:rFonts w:ascii="Cambria Math"/>
          <w:sz w:val="30"/>
        </w:rPr>
      </w:pPr>
    </w:p>
    <w:p w:rsidR="00C31389" w:rsidRDefault="00561FBD" w14:paraId="128D6013" w14:textId="77777777">
      <w:pPr>
        <w:pStyle w:val="BodyText"/>
        <w:tabs>
          <w:tab w:val="left" w:pos="690"/>
        </w:tabs>
        <w:spacing w:before="1"/>
        <w:ind w:left="-30"/>
      </w:pPr>
      <w:r>
        <w:rPr>
          <w:i/>
          <w:spacing w:val="-10"/>
        </w:rPr>
        <w:t>e</w:t>
      </w:r>
      <w:r>
        <w:rPr>
          <w:i/>
        </w:rPr>
        <w:tab/>
      </w:r>
      <w:r>
        <w:t>=</w:t>
      </w:r>
      <w:r>
        <w:rPr>
          <w:spacing w:val="-8"/>
        </w:rPr>
        <w:t xml:space="preserve"> </w:t>
      </w:r>
      <w:r>
        <w:t>subscript</w:t>
      </w:r>
      <w:r>
        <w:rPr>
          <w:spacing w:val="-8"/>
        </w:rPr>
        <w:t xml:space="preserve"> </w:t>
      </w:r>
      <w:r>
        <w:t>indicating</w:t>
      </w:r>
      <w:r>
        <w:rPr>
          <w:spacing w:val="-7"/>
        </w:rPr>
        <w:t xml:space="preserve"> </w:t>
      </w:r>
      <w:r>
        <w:t>the</w:t>
      </w:r>
      <w:r>
        <w:rPr>
          <w:spacing w:val="-8"/>
        </w:rPr>
        <w:t xml:space="preserve"> </w:t>
      </w:r>
      <w:r>
        <w:t>specific</w:t>
      </w:r>
      <w:r>
        <w:rPr>
          <w:spacing w:val="-7"/>
        </w:rPr>
        <w:t xml:space="preserve"> </w:t>
      </w:r>
      <w:r>
        <w:t>emerging</w:t>
      </w:r>
      <w:r>
        <w:rPr>
          <w:spacing w:val="-7"/>
        </w:rPr>
        <w:t xml:space="preserve"> </w:t>
      </w:r>
      <w:r>
        <w:rPr>
          <w:spacing w:val="-2"/>
        </w:rPr>
        <w:t>technology</w:t>
      </w:r>
    </w:p>
    <w:p w:rsidR="00C31389" w:rsidRDefault="00561FBD" w14:paraId="54AB7645" w14:textId="77777777">
      <w:pPr>
        <w:pStyle w:val="BodyText"/>
        <w:tabs>
          <w:tab w:val="left" w:pos="690"/>
        </w:tabs>
        <w:spacing w:before="145"/>
        <w:ind w:left="-30"/>
      </w:pPr>
      <w:r>
        <w:rPr>
          <w:i/>
          <w:spacing w:val="-10"/>
        </w:rPr>
        <w:t>i</w:t>
      </w:r>
      <w:r>
        <w:rPr>
          <w:i/>
        </w:rPr>
        <w:tab/>
      </w:r>
      <w:r>
        <w:t>=</w:t>
      </w:r>
      <w:r>
        <w:rPr>
          <w:spacing w:val="-6"/>
        </w:rPr>
        <w:t xml:space="preserve"> </w:t>
      </w:r>
      <w:r>
        <w:t>subscript</w:t>
      </w:r>
      <w:r>
        <w:rPr>
          <w:spacing w:val="-6"/>
        </w:rPr>
        <w:t xml:space="preserve"> </w:t>
      </w:r>
      <w:r>
        <w:t>indicating</w:t>
      </w:r>
      <w:r>
        <w:rPr>
          <w:spacing w:val="-6"/>
        </w:rPr>
        <w:t xml:space="preserve"> </w:t>
      </w:r>
      <w:r>
        <w:t>the</w:t>
      </w:r>
      <w:r>
        <w:rPr>
          <w:spacing w:val="-5"/>
        </w:rPr>
        <w:t xml:space="preserve"> </w:t>
      </w:r>
      <w:r>
        <w:t>specific</w:t>
      </w:r>
      <w:r>
        <w:rPr>
          <w:spacing w:val="-6"/>
        </w:rPr>
        <w:t xml:space="preserve"> </w:t>
      </w:r>
      <w:r>
        <w:t>end</w:t>
      </w:r>
      <w:r>
        <w:rPr>
          <w:spacing w:val="-5"/>
        </w:rPr>
        <w:t xml:space="preserve"> </w:t>
      </w:r>
      <w:r>
        <w:t>use</w:t>
      </w:r>
      <w:r>
        <w:rPr>
          <w:spacing w:val="-6"/>
        </w:rPr>
        <w:t xml:space="preserve"> </w:t>
      </w:r>
      <w:r>
        <w:t>and</w:t>
      </w:r>
      <w:r>
        <w:rPr>
          <w:spacing w:val="-5"/>
        </w:rPr>
        <w:t xml:space="preserve"> </w:t>
      </w:r>
      <w:r>
        <w:t>fuel</w:t>
      </w:r>
      <w:r>
        <w:rPr>
          <w:spacing w:val="-6"/>
        </w:rPr>
        <w:t xml:space="preserve"> </w:t>
      </w:r>
      <w:r>
        <w:rPr>
          <w:spacing w:val="-4"/>
        </w:rPr>
        <w:t>type</w:t>
      </w:r>
    </w:p>
    <w:p w:rsidR="00C31389" w:rsidRDefault="00561FBD" w14:paraId="50E505D7" w14:textId="77777777">
      <w:pPr>
        <w:pStyle w:val="BodyText"/>
        <w:tabs>
          <w:tab w:val="left" w:pos="690"/>
        </w:tabs>
        <w:spacing w:before="145"/>
        <w:ind w:left="-30"/>
      </w:pPr>
      <w:r>
        <w:rPr>
          <w:i/>
          <w:spacing w:val="-10"/>
        </w:rPr>
        <w:t>j</w:t>
      </w:r>
      <w:r>
        <w:rPr>
          <w:i/>
        </w:rPr>
        <w:tab/>
      </w:r>
      <w:r>
        <w:t>=</w:t>
      </w:r>
      <w:r>
        <w:rPr>
          <w:spacing w:val="-7"/>
        </w:rPr>
        <w:t xml:space="preserve"> </w:t>
      </w:r>
      <w:r>
        <w:t>subscript</w:t>
      </w:r>
      <w:r>
        <w:rPr>
          <w:spacing w:val="-8"/>
        </w:rPr>
        <w:t xml:space="preserve"> </w:t>
      </w:r>
      <w:r>
        <w:t>indicating</w:t>
      </w:r>
      <w:r>
        <w:rPr>
          <w:spacing w:val="-7"/>
        </w:rPr>
        <w:t xml:space="preserve"> </w:t>
      </w:r>
      <w:r>
        <w:t>the</w:t>
      </w:r>
      <w:r>
        <w:rPr>
          <w:spacing w:val="-7"/>
        </w:rPr>
        <w:t xml:space="preserve"> </w:t>
      </w:r>
      <w:r>
        <w:t>market</w:t>
      </w:r>
      <w:r>
        <w:rPr>
          <w:spacing w:val="-7"/>
        </w:rPr>
        <w:t xml:space="preserve"> </w:t>
      </w:r>
      <w:r>
        <w:t>subsector</w:t>
      </w:r>
      <w:r>
        <w:rPr>
          <w:spacing w:val="-7"/>
        </w:rPr>
        <w:t xml:space="preserve"> </w:t>
      </w:r>
      <w:r>
        <w:t>and</w:t>
      </w:r>
      <w:r>
        <w:rPr>
          <w:spacing w:val="-8"/>
        </w:rPr>
        <w:t xml:space="preserve"> </w:t>
      </w:r>
      <w:r>
        <w:t>NAICS</w:t>
      </w:r>
      <w:r>
        <w:rPr>
          <w:spacing w:val="-7"/>
        </w:rPr>
        <w:t xml:space="preserve"> </w:t>
      </w:r>
      <w:r>
        <w:rPr>
          <w:spacing w:val="-2"/>
        </w:rPr>
        <w:t>segment</w:t>
      </w:r>
    </w:p>
    <w:p w:rsidR="00C31389" w:rsidRDefault="00561FBD" w14:paraId="7D1DDB99" w14:textId="77777777">
      <w:pPr>
        <w:pStyle w:val="BodyText"/>
        <w:tabs>
          <w:tab w:val="left" w:pos="690"/>
        </w:tabs>
        <w:spacing w:before="146" w:line="256" w:lineRule="auto"/>
        <w:ind w:left="690" w:right="698" w:hanging="720"/>
      </w:pPr>
      <w:r>
        <w:rPr>
          <w:rFonts w:ascii="Cambria Math" w:eastAsia="Cambria Math"/>
          <w:spacing w:val="-4"/>
          <w:w w:val="90"/>
          <w:sz w:val="16"/>
        </w:rPr>
        <w:t>𝑇𝑇</w:t>
      </w:r>
      <w:r>
        <w:rPr>
          <w:rFonts w:ascii="Cambria Math" w:eastAsia="Cambria Math"/>
          <w:spacing w:val="-4"/>
          <w:w w:val="90"/>
          <w:position w:val="-2"/>
          <w:sz w:val="11"/>
        </w:rPr>
        <w:t>𝑒𝑒</w:t>
      </w:r>
      <w:r>
        <w:rPr>
          <w:rFonts w:ascii="Cambria Math" w:eastAsia="Cambria Math"/>
          <w:position w:val="-2"/>
          <w:sz w:val="11"/>
        </w:rPr>
        <w:tab/>
      </w:r>
      <w:r>
        <w:t>=</w:t>
      </w:r>
      <w:r>
        <w:rPr>
          <w:spacing w:val="-4"/>
        </w:rPr>
        <w:t xml:space="preserve"> </w:t>
      </w:r>
      <w:r>
        <w:t>technology</w:t>
      </w:r>
      <w:r>
        <w:rPr>
          <w:spacing w:val="-4"/>
        </w:rPr>
        <w:t xml:space="preserve"> </w:t>
      </w:r>
      <w:r>
        <w:t>energy</w:t>
      </w:r>
      <w:r>
        <w:rPr>
          <w:spacing w:val="-4"/>
        </w:rPr>
        <w:t xml:space="preserve"> </w:t>
      </w:r>
      <w:r>
        <w:t>savings</w:t>
      </w:r>
      <w:r>
        <w:rPr>
          <w:spacing w:val="-4"/>
        </w:rPr>
        <w:t xml:space="preserve"> </w:t>
      </w:r>
      <w:r>
        <w:t>percentage</w:t>
      </w:r>
      <w:r>
        <w:rPr>
          <w:spacing w:val="-4"/>
        </w:rPr>
        <w:t xml:space="preserve"> </w:t>
      </w:r>
      <w:r>
        <w:t>for</w:t>
      </w:r>
      <w:r>
        <w:rPr>
          <w:spacing w:val="-4"/>
        </w:rPr>
        <w:t xml:space="preserve"> </w:t>
      </w:r>
      <w:r>
        <w:t>emerging</w:t>
      </w:r>
      <w:r>
        <w:rPr>
          <w:spacing w:val="-4"/>
        </w:rPr>
        <w:t xml:space="preserve"> </w:t>
      </w:r>
      <w:r>
        <w:t>technology</w:t>
      </w:r>
      <w:r>
        <w:rPr>
          <w:spacing w:val="-4"/>
        </w:rPr>
        <w:t xml:space="preserve"> </w:t>
      </w:r>
      <w:r>
        <w:rPr>
          <w:i/>
        </w:rPr>
        <w:t>e</w:t>
      </w:r>
      <w:r>
        <w:rPr>
          <w:i/>
          <w:spacing w:val="-3"/>
        </w:rPr>
        <w:t xml:space="preserve"> </w:t>
      </w:r>
      <w:r>
        <w:t>by</w:t>
      </w:r>
      <w:r>
        <w:rPr>
          <w:spacing w:val="-4"/>
        </w:rPr>
        <w:t xml:space="preserve"> </w:t>
      </w:r>
      <w:r>
        <w:t>end</w:t>
      </w:r>
      <w:r>
        <w:rPr>
          <w:spacing w:val="-4"/>
        </w:rPr>
        <w:t xml:space="preserve"> </w:t>
      </w:r>
      <w:r>
        <w:t xml:space="preserve">use </w:t>
      </w:r>
      <w:r>
        <w:rPr>
          <w:spacing w:val="-2"/>
        </w:rPr>
        <w:t>application</w:t>
      </w:r>
    </w:p>
    <w:p w:rsidR="00C31389" w:rsidRDefault="00561FBD" w14:paraId="7D7E7C42" w14:textId="77777777">
      <w:pPr>
        <w:pStyle w:val="BodyText"/>
        <w:tabs>
          <w:tab w:val="left" w:pos="691"/>
        </w:tabs>
        <w:spacing w:before="127" w:line="264" w:lineRule="auto"/>
        <w:ind w:left="691" w:right="797" w:hanging="721"/>
        <w:rPr>
          <w:i/>
        </w:rPr>
      </w:pPr>
      <w:r>
        <w:rPr>
          <w:rFonts w:ascii="Cambria Math" w:eastAsia="Cambria Math"/>
          <w:spacing w:val="-2"/>
          <w:sz w:val="16"/>
        </w:rPr>
        <w:t>𝐸𝐸</w:t>
      </w:r>
      <w:r>
        <w:rPr>
          <w:rFonts w:ascii="Cambria Math" w:eastAsia="Cambria Math"/>
          <w:spacing w:val="-2"/>
          <w:position w:val="-2"/>
          <w:sz w:val="11"/>
        </w:rPr>
        <w:t>𝑖𝑖</w:t>
      </w:r>
      <w:r>
        <w:rPr>
          <w:rFonts w:ascii="Cambria Math" w:eastAsia="Cambria Math"/>
          <w:spacing w:val="-2"/>
          <w:position w:val="-2"/>
          <w:sz w:val="11"/>
        </w:rPr>
        <w:t>,</w:t>
      </w:r>
      <w:r>
        <w:rPr>
          <w:rFonts w:ascii="Cambria Math" w:eastAsia="Cambria Math"/>
          <w:spacing w:val="-2"/>
          <w:position w:val="-2"/>
          <w:sz w:val="11"/>
        </w:rPr>
        <w:t>𝑗𝑗</w:t>
      </w:r>
      <w:r>
        <w:rPr>
          <w:rFonts w:ascii="Cambria Math" w:eastAsia="Cambria Math"/>
          <w:position w:val="-2"/>
          <w:sz w:val="11"/>
        </w:rPr>
        <w:tab/>
      </w:r>
      <w:r>
        <w:t>=</w:t>
      </w:r>
      <w:r>
        <w:rPr>
          <w:spacing w:val="-4"/>
        </w:rPr>
        <w:t xml:space="preserve"> </w:t>
      </w:r>
      <w:r>
        <w:t>percentage</w:t>
      </w:r>
      <w:r>
        <w:rPr>
          <w:spacing w:val="-4"/>
        </w:rPr>
        <w:t xml:space="preserve"> </w:t>
      </w:r>
      <w:r>
        <w:t>of</w:t>
      </w:r>
      <w:r>
        <w:rPr>
          <w:spacing w:val="-4"/>
        </w:rPr>
        <w:t xml:space="preserve"> </w:t>
      </w:r>
      <w:r>
        <w:t>total</w:t>
      </w:r>
      <w:r>
        <w:rPr>
          <w:spacing w:val="-4"/>
        </w:rPr>
        <w:t xml:space="preserve"> </w:t>
      </w:r>
      <w:r>
        <w:t>energy</w:t>
      </w:r>
      <w:r>
        <w:rPr>
          <w:spacing w:val="-4"/>
        </w:rPr>
        <w:t xml:space="preserve"> </w:t>
      </w:r>
      <w:r>
        <w:t>consumption</w:t>
      </w:r>
      <w:r>
        <w:rPr>
          <w:spacing w:val="-4"/>
        </w:rPr>
        <w:t xml:space="preserve"> </w:t>
      </w:r>
      <w:r>
        <w:t>by</w:t>
      </w:r>
      <w:r>
        <w:rPr>
          <w:spacing w:val="-4"/>
        </w:rPr>
        <w:t xml:space="preserve"> </w:t>
      </w:r>
      <w:r>
        <w:t>subsector</w:t>
      </w:r>
      <w:r>
        <w:rPr>
          <w:spacing w:val="-4"/>
        </w:rPr>
        <w:t xml:space="preserve"> </w:t>
      </w:r>
      <w:r>
        <w:rPr>
          <w:i/>
        </w:rPr>
        <w:t>j</w:t>
      </w:r>
      <w:r>
        <w:rPr>
          <w:i/>
          <w:spacing w:val="-3"/>
        </w:rPr>
        <w:t xml:space="preserve"> </w:t>
      </w:r>
      <w:r>
        <w:t>energy</w:t>
      </w:r>
      <w:r>
        <w:rPr>
          <w:spacing w:val="-4"/>
        </w:rPr>
        <w:t xml:space="preserve"> </w:t>
      </w:r>
      <w:r>
        <w:t>attributable</w:t>
      </w:r>
      <w:r>
        <w:rPr>
          <w:spacing w:val="-4"/>
        </w:rPr>
        <w:t xml:space="preserve"> </w:t>
      </w:r>
      <w:r>
        <w:t xml:space="preserve">to end use </w:t>
      </w:r>
      <w:r>
        <w:rPr>
          <w:i/>
        </w:rPr>
        <w:t>i</w:t>
      </w:r>
    </w:p>
    <w:p w:rsidR="00C31389" w:rsidRDefault="00561FBD" w14:paraId="7871DD98" w14:textId="77777777">
      <w:pPr>
        <w:tabs>
          <w:tab w:val="left" w:pos="690"/>
        </w:tabs>
        <w:spacing w:before="120"/>
        <w:ind w:left="-29"/>
        <w:rPr>
          <w:i/>
        </w:rPr>
      </w:pPr>
      <w:r>
        <w:rPr>
          <w:rFonts w:ascii="Cambria Math" w:eastAsia="Cambria Math"/>
          <w:spacing w:val="-2"/>
          <w:w w:val="85"/>
          <w:sz w:val="16"/>
        </w:rPr>
        <w:t>𝑀𝑀𝑇𝑇</w:t>
      </w:r>
      <w:r>
        <w:rPr>
          <w:rFonts w:ascii="Cambria Math" w:eastAsia="Cambria Math"/>
          <w:spacing w:val="-2"/>
          <w:w w:val="85"/>
          <w:position w:val="-2"/>
          <w:sz w:val="11"/>
        </w:rPr>
        <w:t>𝑗𝑗</w:t>
      </w:r>
      <w:r>
        <w:rPr>
          <w:rFonts w:ascii="Cambria Math" w:eastAsia="Cambria Math"/>
          <w:position w:val="-2"/>
          <w:sz w:val="11"/>
        </w:rPr>
        <w:tab/>
      </w:r>
      <w:r>
        <w:t>=</w:t>
      </w:r>
      <w:r>
        <w:rPr>
          <w:spacing w:val="-6"/>
        </w:rPr>
        <w:t xml:space="preserve"> </w:t>
      </w:r>
      <w:r>
        <w:t>market</w:t>
      </w:r>
      <w:r>
        <w:rPr>
          <w:spacing w:val="-6"/>
        </w:rPr>
        <w:t xml:space="preserve"> </w:t>
      </w:r>
      <w:r>
        <w:t>trajectory</w:t>
      </w:r>
      <w:r>
        <w:rPr>
          <w:spacing w:val="-5"/>
        </w:rPr>
        <w:t xml:space="preserve"> </w:t>
      </w:r>
      <w:r>
        <w:t>for</w:t>
      </w:r>
      <w:r>
        <w:rPr>
          <w:spacing w:val="-8"/>
        </w:rPr>
        <w:t xml:space="preserve"> </w:t>
      </w:r>
      <w:r>
        <w:t>sector</w:t>
      </w:r>
      <w:r>
        <w:rPr>
          <w:spacing w:val="-5"/>
        </w:rPr>
        <w:t xml:space="preserve"> </w:t>
      </w:r>
      <w:r>
        <w:rPr>
          <w:i/>
          <w:spacing w:val="-10"/>
        </w:rPr>
        <w:t>j</w:t>
      </w:r>
    </w:p>
    <w:p w:rsidR="00C31389" w:rsidRDefault="00561FBD" w14:paraId="434F0688" w14:textId="77777777">
      <w:pPr>
        <w:tabs>
          <w:tab w:val="left" w:pos="690"/>
        </w:tabs>
        <w:spacing w:before="145"/>
        <w:ind w:left="-29"/>
        <w:rPr>
          <w:i/>
        </w:rPr>
      </w:pPr>
      <w:r>
        <w:rPr>
          <w:rFonts w:ascii="Cambria Math" w:eastAsia="Cambria Math"/>
          <w:spacing w:val="-2"/>
          <w:sz w:val="16"/>
        </w:rPr>
        <w:t>𝑇𝑇𝑇𝑇</w:t>
      </w:r>
      <w:r>
        <w:rPr>
          <w:rFonts w:ascii="Cambria Math" w:eastAsia="Cambria Math"/>
          <w:spacing w:val="-2"/>
          <w:position w:val="-2"/>
          <w:sz w:val="11"/>
        </w:rPr>
        <w:t>𝑗𝑗</w:t>
      </w:r>
      <w:r>
        <w:rPr>
          <w:rFonts w:ascii="Cambria Math" w:eastAsia="Cambria Math"/>
          <w:position w:val="-2"/>
          <w:sz w:val="11"/>
        </w:rPr>
        <w:tab/>
      </w:r>
      <w:r>
        <w:t>=</w:t>
      </w:r>
      <w:r>
        <w:rPr>
          <w:spacing w:val="-7"/>
        </w:rPr>
        <w:t xml:space="preserve"> </w:t>
      </w:r>
      <w:r>
        <w:t>segment</w:t>
      </w:r>
      <w:r>
        <w:rPr>
          <w:spacing w:val="-7"/>
        </w:rPr>
        <w:t xml:space="preserve"> </w:t>
      </w:r>
      <w:r>
        <w:t>energy</w:t>
      </w:r>
      <w:r>
        <w:rPr>
          <w:spacing w:val="-7"/>
        </w:rPr>
        <w:t xml:space="preserve"> </w:t>
      </w:r>
      <w:r>
        <w:t>consumption</w:t>
      </w:r>
      <w:r>
        <w:rPr>
          <w:spacing w:val="-6"/>
        </w:rPr>
        <w:t xml:space="preserve"> </w:t>
      </w:r>
      <w:r>
        <w:t>trend</w:t>
      </w:r>
      <w:r>
        <w:rPr>
          <w:spacing w:val="-7"/>
        </w:rPr>
        <w:t xml:space="preserve"> </w:t>
      </w:r>
      <w:r>
        <w:t>weight</w:t>
      </w:r>
      <w:r>
        <w:rPr>
          <w:spacing w:val="-7"/>
        </w:rPr>
        <w:t xml:space="preserve"> </w:t>
      </w:r>
      <w:r>
        <w:t>for</w:t>
      </w:r>
      <w:r>
        <w:rPr>
          <w:spacing w:val="-7"/>
        </w:rPr>
        <w:t xml:space="preserve"> </w:t>
      </w:r>
      <w:r>
        <w:t>sector</w:t>
      </w:r>
      <w:r>
        <w:rPr>
          <w:spacing w:val="-6"/>
        </w:rPr>
        <w:t xml:space="preserve"> </w:t>
      </w:r>
      <w:r>
        <w:rPr>
          <w:i/>
          <w:spacing w:val="-10"/>
        </w:rPr>
        <w:t>j</w:t>
      </w:r>
    </w:p>
    <w:p w:rsidR="00C31389" w:rsidRDefault="00C31389" w14:paraId="49BA620D" w14:textId="77777777">
      <w:pPr>
        <w:sectPr w:rsidR="00C31389">
          <w:type w:val="continuous"/>
          <w:pgSz w:w="12240" w:h="15840"/>
          <w:pgMar w:top="0" w:right="960" w:bottom="280" w:left="960" w:header="397" w:footer="936" w:gutter="0"/>
          <w:cols w:equalWidth="0" w:space="720" w:num="2">
            <w:col w:w="1189" w:space="40"/>
            <w:col w:w="9091"/>
          </w:cols>
        </w:sectPr>
      </w:pPr>
    </w:p>
    <w:p w:rsidR="00C31389" w:rsidRDefault="00C31389" w14:paraId="0E5073FA" w14:textId="77777777">
      <w:pPr>
        <w:pStyle w:val="BodyText"/>
        <w:spacing w:before="11"/>
        <w:rPr>
          <w:i/>
          <w:sz w:val="14"/>
        </w:rPr>
      </w:pPr>
    </w:p>
    <w:p w:rsidR="00C31389" w:rsidRDefault="00561FBD" w14:paraId="3F7DFCD6" w14:textId="77777777">
      <w:pPr>
        <w:pStyle w:val="BodyText"/>
        <w:spacing w:before="93"/>
        <w:ind w:left="480"/>
      </w:pPr>
      <w:r>
        <w:t>The</w:t>
      </w:r>
      <w:r>
        <w:rPr>
          <w:spacing w:val="-6"/>
        </w:rPr>
        <w:t xml:space="preserve"> </w:t>
      </w:r>
      <w:r>
        <w:t>following</w:t>
      </w:r>
      <w:r>
        <w:rPr>
          <w:spacing w:val="-5"/>
        </w:rPr>
        <w:t xml:space="preserve"> </w:t>
      </w:r>
      <w:r>
        <w:t>factors</w:t>
      </w:r>
      <w:r>
        <w:rPr>
          <w:spacing w:val="-6"/>
        </w:rPr>
        <w:t xml:space="preserve"> </w:t>
      </w:r>
      <w:r>
        <w:t>make</w:t>
      </w:r>
      <w:r>
        <w:rPr>
          <w:spacing w:val="-5"/>
        </w:rPr>
        <w:t xml:space="preserve"> </w:t>
      </w:r>
      <w:r>
        <w:t>up</w:t>
      </w:r>
      <w:r>
        <w:rPr>
          <w:spacing w:val="-6"/>
        </w:rPr>
        <w:t xml:space="preserve"> </w:t>
      </w:r>
      <w:r>
        <w:t>the</w:t>
      </w:r>
      <w:r>
        <w:rPr>
          <w:spacing w:val="-5"/>
        </w:rPr>
        <w:t xml:space="preserve"> </w:t>
      </w:r>
      <w:r>
        <w:rPr>
          <w:spacing w:val="-4"/>
        </w:rPr>
        <w:t>UES:</w:t>
      </w:r>
    </w:p>
    <w:p w:rsidR="00C31389" w:rsidRDefault="00561FBD" w14:paraId="5F596E5D" w14:textId="77777777">
      <w:pPr>
        <w:pStyle w:val="ListParagraph"/>
        <w:numPr>
          <w:ilvl w:val="0"/>
          <w:numId w:val="64"/>
        </w:numPr>
        <w:tabs>
          <w:tab w:val="left" w:pos="1199"/>
        </w:tabs>
        <w:spacing w:before="119"/>
        <w:ind w:left="1199"/>
      </w:pPr>
      <w:r>
        <w:t>Each</w:t>
      </w:r>
      <w:r>
        <w:rPr>
          <w:spacing w:val="-8"/>
        </w:rPr>
        <w:t xml:space="preserve"> </w:t>
      </w:r>
      <w:r>
        <w:t>emerging</w:t>
      </w:r>
      <w:r>
        <w:rPr>
          <w:spacing w:val="-8"/>
        </w:rPr>
        <w:t xml:space="preserve"> </w:t>
      </w:r>
      <w:r>
        <w:t>technology</w:t>
      </w:r>
      <w:r>
        <w:rPr>
          <w:spacing w:val="-8"/>
        </w:rPr>
        <w:t xml:space="preserve"> </w:t>
      </w:r>
      <w:r>
        <w:t>has</w:t>
      </w:r>
      <w:r>
        <w:rPr>
          <w:spacing w:val="-8"/>
        </w:rPr>
        <w:t xml:space="preserve"> </w:t>
      </w:r>
      <w:r>
        <w:t>a</w:t>
      </w:r>
      <w:r>
        <w:rPr>
          <w:spacing w:val="-8"/>
        </w:rPr>
        <w:t xml:space="preserve"> </w:t>
      </w:r>
      <w:r>
        <w:t>unique</w:t>
      </w:r>
      <w:r>
        <w:rPr>
          <w:spacing w:val="-8"/>
        </w:rPr>
        <w:t xml:space="preserve"> </w:t>
      </w:r>
      <w:r>
        <w:t>technology</w:t>
      </w:r>
      <w:r>
        <w:rPr>
          <w:spacing w:val="-8"/>
        </w:rPr>
        <w:t xml:space="preserve"> </w:t>
      </w:r>
      <w:r>
        <w:t>energy</w:t>
      </w:r>
      <w:r>
        <w:rPr>
          <w:spacing w:val="-9"/>
        </w:rPr>
        <w:t xml:space="preserve"> </w:t>
      </w:r>
      <w:r>
        <w:t>savings</w:t>
      </w:r>
      <w:r>
        <w:rPr>
          <w:spacing w:val="-9"/>
        </w:rPr>
        <w:t xml:space="preserve"> </w:t>
      </w:r>
      <w:r>
        <w:t>percentage,</w:t>
      </w:r>
      <w:r>
        <w:rPr>
          <w:spacing w:val="-8"/>
        </w:rPr>
        <w:t xml:space="preserve"> </w:t>
      </w:r>
      <w:r>
        <w:rPr>
          <w:i/>
          <w:spacing w:val="-5"/>
        </w:rPr>
        <w:t>T</w:t>
      </w:r>
      <w:r>
        <w:rPr>
          <w:i/>
          <w:spacing w:val="-5"/>
          <w:vertAlign w:val="subscript"/>
        </w:rPr>
        <w:t>e</w:t>
      </w:r>
      <w:r>
        <w:rPr>
          <w:spacing w:val="-5"/>
        </w:rPr>
        <w:t>.</w:t>
      </w:r>
    </w:p>
    <w:p w:rsidR="00C31389" w:rsidRDefault="00C31389" w14:paraId="04EBD0B6" w14:textId="77777777">
      <w:pPr>
        <w:sectPr w:rsidR="00C31389">
          <w:type w:val="continuous"/>
          <w:pgSz w:w="12240" w:h="15840"/>
          <w:pgMar w:top="0" w:right="960" w:bottom="280" w:left="960" w:header="397" w:footer="936" w:gutter="0"/>
          <w:cols w:space="720"/>
        </w:sectPr>
      </w:pPr>
    </w:p>
    <w:p w:rsidR="00C31389" w:rsidRDefault="00C31389" w14:paraId="65B2914F" w14:textId="77777777">
      <w:pPr>
        <w:pStyle w:val="BodyText"/>
      </w:pPr>
    </w:p>
    <w:p w:rsidR="00C31389" w:rsidRDefault="00C31389" w14:paraId="7D5467F4" w14:textId="77777777">
      <w:pPr>
        <w:pStyle w:val="BodyText"/>
        <w:spacing w:before="2"/>
        <w:rPr>
          <w:sz w:val="13"/>
        </w:rPr>
      </w:pPr>
    </w:p>
    <w:p w:rsidR="00C31389" w:rsidRDefault="00561FBD" w14:paraId="2A24F075" w14:textId="77777777">
      <w:pPr>
        <w:pStyle w:val="ListParagraph"/>
        <w:numPr>
          <w:ilvl w:val="0"/>
          <w:numId w:val="64"/>
        </w:numPr>
        <w:tabs>
          <w:tab w:val="left" w:pos="1199"/>
        </w:tabs>
        <w:spacing w:before="100"/>
        <w:ind w:left="1199" w:right="1707"/>
        <w:jc w:val="both"/>
        <w:rPr>
          <w:i/>
        </w:rPr>
      </w:pPr>
      <w:r>
        <w:t>California</w:t>
      </w:r>
      <w:r>
        <w:rPr>
          <w:spacing w:val="-4"/>
        </w:rPr>
        <w:t xml:space="preserve"> </w:t>
      </w:r>
      <w:r>
        <w:t>market</w:t>
      </w:r>
      <w:r>
        <w:rPr>
          <w:spacing w:val="-4"/>
        </w:rPr>
        <w:t xml:space="preserve"> </w:t>
      </w:r>
      <w:r>
        <w:t>data</w:t>
      </w:r>
      <w:r>
        <w:rPr>
          <w:spacing w:val="-4"/>
        </w:rPr>
        <w:t xml:space="preserve"> </w:t>
      </w:r>
      <w:r>
        <w:t>defines</w:t>
      </w:r>
      <w:r>
        <w:rPr>
          <w:spacing w:val="-4"/>
        </w:rPr>
        <w:t xml:space="preserve"> </w:t>
      </w:r>
      <w:r>
        <w:t>the</w:t>
      </w:r>
      <w:r>
        <w:rPr>
          <w:spacing w:val="-4"/>
        </w:rPr>
        <w:t xml:space="preserve"> </w:t>
      </w:r>
      <w:r>
        <w:t>sector</w:t>
      </w:r>
      <w:r>
        <w:rPr>
          <w:spacing w:val="-4"/>
        </w:rPr>
        <w:t xml:space="preserve"> </w:t>
      </w:r>
      <w:r>
        <w:t>end</w:t>
      </w:r>
      <w:r>
        <w:rPr>
          <w:spacing w:val="-3"/>
        </w:rPr>
        <w:t xml:space="preserve"> </w:t>
      </w:r>
      <w:r>
        <w:t>use</w:t>
      </w:r>
      <w:r>
        <w:rPr>
          <w:spacing w:val="-4"/>
        </w:rPr>
        <w:t xml:space="preserve"> </w:t>
      </w:r>
      <w:r>
        <w:t>percentage</w:t>
      </w:r>
      <w:r>
        <w:rPr>
          <w:spacing w:val="-4"/>
        </w:rPr>
        <w:t xml:space="preserve"> </w:t>
      </w:r>
      <w:r>
        <w:t>of</w:t>
      </w:r>
      <w:r>
        <w:rPr>
          <w:spacing w:val="-4"/>
        </w:rPr>
        <w:t xml:space="preserve"> </w:t>
      </w:r>
      <w:r>
        <w:t>total</w:t>
      </w:r>
      <w:r>
        <w:rPr>
          <w:spacing w:val="-4"/>
        </w:rPr>
        <w:t xml:space="preserve"> </w:t>
      </w:r>
      <w:r>
        <w:t xml:space="preserve">energy consumption, </w:t>
      </w:r>
      <w:r>
        <w:rPr>
          <w:i/>
        </w:rPr>
        <w:t>E</w:t>
      </w:r>
      <w:r>
        <w:rPr>
          <w:i/>
          <w:vertAlign w:val="subscript"/>
        </w:rPr>
        <w:t>i,j</w:t>
      </w:r>
      <w:r>
        <w:rPr>
          <w:i/>
        </w:rPr>
        <w:t>.</w:t>
      </w:r>
    </w:p>
    <w:p w:rsidR="00C31389" w:rsidRDefault="00561FBD" w14:paraId="662972DF" w14:textId="77777777">
      <w:pPr>
        <w:pStyle w:val="ListParagraph"/>
        <w:numPr>
          <w:ilvl w:val="0"/>
          <w:numId w:val="64"/>
        </w:numPr>
        <w:tabs>
          <w:tab w:val="left" w:pos="1197"/>
          <w:tab w:val="left" w:pos="1199"/>
        </w:tabs>
        <w:spacing w:before="119"/>
        <w:ind w:left="1199" w:right="717" w:hanging="361"/>
        <w:jc w:val="both"/>
        <w:rPr>
          <w:sz w:val="14"/>
        </w:rPr>
      </w:pPr>
      <w:r>
        <w:t>The</w:t>
      </w:r>
      <w:r>
        <w:rPr>
          <w:spacing w:val="-2"/>
        </w:rPr>
        <w:t xml:space="preserve"> </w:t>
      </w:r>
      <w:r>
        <w:t>market</w:t>
      </w:r>
      <w:r>
        <w:rPr>
          <w:spacing w:val="-2"/>
        </w:rPr>
        <w:t xml:space="preserve"> </w:t>
      </w:r>
      <w:r>
        <w:t>trajectory</w:t>
      </w:r>
      <w:r>
        <w:rPr>
          <w:spacing w:val="-2"/>
        </w:rPr>
        <w:t xml:space="preserve"> </w:t>
      </w:r>
      <w:r>
        <w:t>for</w:t>
      </w:r>
      <w:r>
        <w:rPr>
          <w:spacing w:val="-3"/>
        </w:rPr>
        <w:t xml:space="preserve"> </w:t>
      </w:r>
      <w:r>
        <w:t>each</w:t>
      </w:r>
      <w:r>
        <w:rPr>
          <w:spacing w:val="-2"/>
        </w:rPr>
        <w:t xml:space="preserve"> </w:t>
      </w:r>
      <w:r>
        <w:t>sector,</w:t>
      </w:r>
      <w:r>
        <w:rPr>
          <w:spacing w:val="-2"/>
        </w:rPr>
        <w:t xml:space="preserve"> </w:t>
      </w:r>
      <w:r>
        <w:rPr>
          <w:i/>
        </w:rPr>
        <w:t>MT</w:t>
      </w:r>
      <w:r>
        <w:rPr>
          <w:i/>
          <w:vertAlign w:val="subscript"/>
        </w:rPr>
        <w:t>j</w:t>
      </w:r>
      <w:r>
        <w:t>,</w:t>
      </w:r>
      <w:r>
        <w:rPr>
          <w:spacing w:val="-2"/>
        </w:rPr>
        <w:t xml:space="preserve"> </w:t>
      </w:r>
      <w:r>
        <w:t>is</w:t>
      </w:r>
      <w:r>
        <w:rPr>
          <w:spacing w:val="-2"/>
        </w:rPr>
        <w:t xml:space="preserve"> </w:t>
      </w:r>
      <w:r>
        <w:t>a</w:t>
      </w:r>
      <w:r>
        <w:rPr>
          <w:spacing w:val="-2"/>
        </w:rPr>
        <w:t xml:space="preserve"> </w:t>
      </w:r>
      <w:r>
        <w:t>value</w:t>
      </w:r>
      <w:r>
        <w:rPr>
          <w:spacing w:val="-2"/>
        </w:rPr>
        <w:t xml:space="preserve"> </w:t>
      </w:r>
      <w:r>
        <w:t>between</w:t>
      </w:r>
      <w:r>
        <w:rPr>
          <w:spacing w:val="-2"/>
        </w:rPr>
        <w:t xml:space="preserve"> </w:t>
      </w:r>
      <w:r>
        <w:t>0</w:t>
      </w:r>
      <w:r>
        <w:rPr>
          <w:spacing w:val="-2"/>
        </w:rPr>
        <w:t xml:space="preserve"> </w:t>
      </w:r>
      <w:r>
        <w:t>and</w:t>
      </w:r>
      <w:r>
        <w:rPr>
          <w:spacing w:val="-2"/>
        </w:rPr>
        <w:t xml:space="preserve"> </w:t>
      </w:r>
      <w:r>
        <w:t>1,</w:t>
      </w:r>
      <w:r>
        <w:rPr>
          <w:spacing w:val="-2"/>
        </w:rPr>
        <w:t xml:space="preserve"> </w:t>
      </w:r>
      <w:r>
        <w:t>indicating</w:t>
      </w:r>
      <w:r>
        <w:rPr>
          <w:spacing w:val="-2"/>
        </w:rPr>
        <w:t xml:space="preserve"> </w:t>
      </w:r>
      <w:r>
        <w:t>if</w:t>
      </w:r>
      <w:r>
        <w:rPr>
          <w:spacing w:val="-2"/>
        </w:rPr>
        <w:t xml:space="preserve"> </w:t>
      </w:r>
      <w:r>
        <w:t>the sector</w:t>
      </w:r>
      <w:r>
        <w:rPr>
          <w:spacing w:val="-3"/>
        </w:rPr>
        <w:t xml:space="preserve"> </w:t>
      </w:r>
      <w:r>
        <w:t>is</w:t>
      </w:r>
      <w:r>
        <w:rPr>
          <w:spacing w:val="-4"/>
        </w:rPr>
        <w:t xml:space="preserve"> </w:t>
      </w:r>
      <w:r>
        <w:t>likely</w:t>
      </w:r>
      <w:r>
        <w:rPr>
          <w:spacing w:val="-3"/>
        </w:rPr>
        <w:t xml:space="preserve"> </w:t>
      </w:r>
      <w:r>
        <w:t>to</w:t>
      </w:r>
      <w:r>
        <w:rPr>
          <w:spacing w:val="-3"/>
        </w:rPr>
        <w:t xml:space="preserve"> </w:t>
      </w:r>
      <w:r>
        <w:t>move</w:t>
      </w:r>
      <w:r>
        <w:rPr>
          <w:spacing w:val="-3"/>
        </w:rPr>
        <w:t xml:space="preserve"> </w:t>
      </w:r>
      <w:r>
        <w:t>offshore</w:t>
      </w:r>
      <w:r>
        <w:rPr>
          <w:spacing w:val="-3"/>
        </w:rPr>
        <w:t xml:space="preserve"> </w:t>
      </w:r>
      <w:r>
        <w:t>(0.33),</w:t>
      </w:r>
      <w:r>
        <w:rPr>
          <w:spacing w:val="-3"/>
        </w:rPr>
        <w:t xml:space="preserve"> </w:t>
      </w:r>
      <w:r>
        <w:t>close</w:t>
      </w:r>
      <w:r>
        <w:rPr>
          <w:spacing w:val="-3"/>
        </w:rPr>
        <w:t xml:space="preserve"> </w:t>
      </w:r>
      <w:r>
        <w:t>to</w:t>
      </w:r>
      <w:r>
        <w:rPr>
          <w:spacing w:val="-3"/>
        </w:rPr>
        <w:t xml:space="preserve"> </w:t>
      </w:r>
      <w:r>
        <w:t>tipping</w:t>
      </w:r>
      <w:r>
        <w:rPr>
          <w:spacing w:val="-3"/>
        </w:rPr>
        <w:t xml:space="preserve"> </w:t>
      </w:r>
      <w:r>
        <w:t>point</w:t>
      </w:r>
      <w:r>
        <w:rPr>
          <w:spacing w:val="-4"/>
        </w:rPr>
        <w:t xml:space="preserve"> </w:t>
      </w:r>
      <w:r>
        <w:t>of</w:t>
      </w:r>
      <w:r>
        <w:rPr>
          <w:spacing w:val="-3"/>
        </w:rPr>
        <w:t xml:space="preserve"> </w:t>
      </w:r>
      <w:r>
        <w:t>moving</w:t>
      </w:r>
      <w:r>
        <w:rPr>
          <w:spacing w:val="-3"/>
        </w:rPr>
        <w:t xml:space="preserve"> </w:t>
      </w:r>
      <w:r>
        <w:t>offshore</w:t>
      </w:r>
      <w:r>
        <w:rPr>
          <w:spacing w:val="-3"/>
        </w:rPr>
        <w:t xml:space="preserve"> </w:t>
      </w:r>
      <w:r>
        <w:t>(0.67), or likely to remain in the US (1).</w:t>
      </w:r>
      <w:r>
        <w:rPr>
          <w:spacing w:val="-33"/>
        </w:rPr>
        <w:t xml:space="preserve"> </w:t>
      </w:r>
      <w:hyperlink w:history="1" w:anchor="_bookmark77">
        <w:r>
          <w:rPr>
            <w:position w:val="7"/>
            <w:sz w:val="14"/>
          </w:rPr>
          <w:t>22</w:t>
        </w:r>
      </w:hyperlink>
    </w:p>
    <w:p w:rsidR="00C31389" w:rsidRDefault="00561FBD" w14:paraId="5F28C1F5" w14:textId="77777777">
      <w:pPr>
        <w:pStyle w:val="ListParagraph"/>
        <w:numPr>
          <w:ilvl w:val="0"/>
          <w:numId w:val="64"/>
        </w:numPr>
        <w:tabs>
          <w:tab w:val="left" w:pos="1200"/>
        </w:tabs>
        <w:spacing w:before="118"/>
        <w:ind w:right="1058" w:hanging="361"/>
      </w:pPr>
      <w:r>
        <w:t xml:space="preserve">The segment energy consumption trend weight, </w:t>
      </w:r>
      <w:r>
        <w:rPr>
          <w:i/>
        </w:rPr>
        <w:t>TW</w:t>
      </w:r>
      <w:r>
        <w:rPr>
          <w:i/>
          <w:vertAlign w:val="subscript"/>
        </w:rPr>
        <w:t>j</w:t>
      </w:r>
      <w:r>
        <w:rPr>
          <w:i/>
        </w:rPr>
        <w:t xml:space="preserve">, </w:t>
      </w:r>
      <w:r>
        <w:t>is a value between 0 and 1, indicating the trend of energy consumption of each s</w:t>
      </w:r>
      <w:r>
        <w:t>ector over time based on an analysis</w:t>
      </w:r>
      <w:r>
        <w:rPr>
          <w:spacing w:val="-4"/>
        </w:rPr>
        <w:t xml:space="preserve"> </w:t>
      </w:r>
      <w:r>
        <w:t>provided</w:t>
      </w:r>
      <w:r>
        <w:rPr>
          <w:spacing w:val="-4"/>
        </w:rPr>
        <w:t xml:space="preserve"> </w:t>
      </w:r>
      <w:r>
        <w:t>by</w:t>
      </w:r>
      <w:r>
        <w:rPr>
          <w:spacing w:val="-4"/>
        </w:rPr>
        <w:t xml:space="preserve"> </w:t>
      </w:r>
      <w:r>
        <w:t>the</w:t>
      </w:r>
      <w:r>
        <w:rPr>
          <w:spacing w:val="-5"/>
        </w:rPr>
        <w:t xml:space="preserve"> </w:t>
      </w:r>
      <w:r>
        <w:t>CEC</w:t>
      </w:r>
      <w:r>
        <w:rPr>
          <w:spacing w:val="-5"/>
        </w:rPr>
        <w:t xml:space="preserve"> </w:t>
      </w:r>
      <w:r>
        <w:t>showing</w:t>
      </w:r>
      <w:r>
        <w:rPr>
          <w:spacing w:val="-4"/>
        </w:rPr>
        <w:t xml:space="preserve"> </w:t>
      </w:r>
      <w:r>
        <w:t>the</w:t>
      </w:r>
      <w:r>
        <w:rPr>
          <w:spacing w:val="-4"/>
        </w:rPr>
        <w:t xml:space="preserve"> </w:t>
      </w:r>
      <w:r>
        <w:t>electricity</w:t>
      </w:r>
      <w:r>
        <w:rPr>
          <w:spacing w:val="-5"/>
        </w:rPr>
        <w:t xml:space="preserve"> </w:t>
      </w:r>
      <w:r>
        <w:t>consumption</w:t>
      </w:r>
      <w:r>
        <w:rPr>
          <w:spacing w:val="-4"/>
        </w:rPr>
        <w:t xml:space="preserve"> </w:t>
      </w:r>
      <w:r>
        <w:t>trend</w:t>
      </w:r>
      <w:r>
        <w:rPr>
          <w:spacing w:val="-4"/>
        </w:rPr>
        <w:t xml:space="preserve"> </w:t>
      </w:r>
      <w:r>
        <w:t>for</w:t>
      </w:r>
      <w:r>
        <w:rPr>
          <w:spacing w:val="-4"/>
        </w:rPr>
        <w:t xml:space="preserve"> </w:t>
      </w:r>
      <w:r>
        <w:t xml:space="preserve">various </w:t>
      </w:r>
      <w:r>
        <w:rPr>
          <w:spacing w:val="-2"/>
        </w:rPr>
        <w:t>industries.</w:t>
      </w:r>
    </w:p>
    <w:p w:rsidR="00C31389" w:rsidRDefault="00C31389" w14:paraId="39A5B1E4" w14:textId="77777777">
      <w:pPr>
        <w:pStyle w:val="BodyText"/>
        <w:spacing w:before="8"/>
        <w:rPr>
          <w:sz w:val="20"/>
        </w:rPr>
      </w:pPr>
    </w:p>
    <w:p w:rsidR="00C31389" w:rsidRDefault="00561FBD" w14:paraId="24A64229" w14:textId="77777777">
      <w:pPr>
        <w:pStyle w:val="BodyText"/>
        <w:ind w:left="480" w:right="506"/>
      </w:pPr>
      <w:r>
        <w:t xml:space="preserve">Section </w:t>
      </w:r>
      <w:hyperlink w:history="1" w:anchor="_bookmark170">
        <w:r>
          <w:t>3.6</w:t>
        </w:r>
      </w:hyperlink>
      <w:r>
        <w:t xml:space="preserve"> discusses the data inputs for this equation. Industry standard practices (ISPs) are not</w:t>
      </w:r>
      <w:r>
        <w:rPr>
          <w:spacing w:val="-3"/>
        </w:rPr>
        <w:t xml:space="preserve"> </w:t>
      </w:r>
      <w:r>
        <w:t>forecast</w:t>
      </w:r>
      <w:r>
        <w:rPr>
          <w:spacing w:val="-4"/>
        </w:rPr>
        <w:t xml:space="preserve"> </w:t>
      </w:r>
      <w:r>
        <w:t>to</w:t>
      </w:r>
      <w:r>
        <w:rPr>
          <w:spacing w:val="-3"/>
        </w:rPr>
        <w:t xml:space="preserve"> </w:t>
      </w:r>
      <w:r>
        <w:t>impact</w:t>
      </w:r>
      <w:r>
        <w:rPr>
          <w:spacing w:val="-3"/>
        </w:rPr>
        <w:t xml:space="preserve"> </w:t>
      </w:r>
      <w:r>
        <w:t>the</w:t>
      </w:r>
      <w:r>
        <w:rPr>
          <w:spacing w:val="-3"/>
        </w:rPr>
        <w:t xml:space="preserve"> </w:t>
      </w:r>
      <w:r>
        <w:t>potential</w:t>
      </w:r>
      <w:r>
        <w:rPr>
          <w:spacing w:val="-3"/>
        </w:rPr>
        <w:t xml:space="preserve"> </w:t>
      </w:r>
      <w:r>
        <w:t>from</w:t>
      </w:r>
      <w:r>
        <w:rPr>
          <w:spacing w:val="-4"/>
        </w:rPr>
        <w:t xml:space="preserve"> </w:t>
      </w:r>
      <w:r>
        <w:t>custom</w:t>
      </w:r>
      <w:r>
        <w:rPr>
          <w:spacing w:val="-4"/>
        </w:rPr>
        <w:t xml:space="preserve"> </w:t>
      </w:r>
      <w:r>
        <w:t>measures</w:t>
      </w:r>
      <w:r>
        <w:rPr>
          <w:spacing w:val="-3"/>
        </w:rPr>
        <w:t xml:space="preserve"> </w:t>
      </w:r>
      <w:r>
        <w:t>and</w:t>
      </w:r>
      <w:r>
        <w:rPr>
          <w:spacing w:val="-3"/>
        </w:rPr>
        <w:t xml:space="preserve"> </w:t>
      </w:r>
      <w:r>
        <w:t>emerging</w:t>
      </w:r>
      <w:r>
        <w:rPr>
          <w:spacing w:val="-3"/>
        </w:rPr>
        <w:t xml:space="preserve"> </w:t>
      </w:r>
      <w:r>
        <w:t>technologies.</w:t>
      </w:r>
      <w:r>
        <w:rPr>
          <w:spacing w:val="-3"/>
        </w:rPr>
        <w:t xml:space="preserve"> </w:t>
      </w:r>
      <w:r>
        <w:t>ISPs</w:t>
      </w:r>
      <w:r>
        <w:rPr>
          <w:spacing w:val="-3"/>
        </w:rPr>
        <w:t xml:space="preserve"> </w:t>
      </w:r>
      <w:r>
        <w:t>are technology- and segment-specific, while cu</w:t>
      </w:r>
      <w:r>
        <w:t>stom programs and emerging technologies as forecast in this study do not contain technology-specific information to allow ISPs to be applied.</w:t>
      </w:r>
    </w:p>
    <w:p w:rsidR="00C31389" w:rsidRDefault="00C31389" w14:paraId="1944D991" w14:textId="77777777">
      <w:pPr>
        <w:pStyle w:val="BodyText"/>
        <w:spacing w:before="5"/>
        <w:rPr>
          <w:sz w:val="31"/>
        </w:rPr>
      </w:pPr>
    </w:p>
    <w:p w:rsidR="00C31389" w:rsidRDefault="00561FBD" w14:paraId="015B4BC6" w14:textId="77777777">
      <w:pPr>
        <w:pStyle w:val="Heading4"/>
        <w:numPr>
          <w:ilvl w:val="2"/>
          <w:numId w:val="71"/>
        </w:numPr>
        <w:tabs>
          <w:tab w:val="left" w:pos="1076"/>
        </w:tabs>
        <w:ind w:left="1076" w:hanging="596"/>
      </w:pPr>
      <w:bookmarkStart w:name="2.1.5_BROs" w:id="99"/>
      <w:bookmarkStart w:name="_bookmark75" w:id="100"/>
      <w:bookmarkEnd w:id="99"/>
      <w:bookmarkEnd w:id="100"/>
      <w:r>
        <w:rPr>
          <w:spacing w:val="-4"/>
        </w:rPr>
        <w:t>BROs</w:t>
      </w:r>
    </w:p>
    <w:p w:rsidR="00C31389" w:rsidRDefault="00C31389" w14:paraId="267691F8" w14:textId="77777777">
      <w:pPr>
        <w:pStyle w:val="BodyText"/>
        <w:spacing w:before="8"/>
        <w:rPr>
          <w:b/>
          <w:sz w:val="20"/>
        </w:rPr>
      </w:pPr>
    </w:p>
    <w:p w:rsidR="00C31389" w:rsidRDefault="00561FBD" w14:paraId="2DCAA2EC" w14:textId="77777777">
      <w:pPr>
        <w:pStyle w:val="BodyText"/>
        <w:ind w:left="480" w:right="533"/>
      </w:pPr>
      <w:r>
        <w:t xml:space="preserve">For this study, the Guidehouse team defines behavior-based initiatives as those providing </w:t>
      </w:r>
      <w:r>
        <w:t>information</w:t>
      </w:r>
      <w:r>
        <w:rPr>
          <w:spacing w:val="-4"/>
        </w:rPr>
        <w:t xml:space="preserve"> </w:t>
      </w:r>
      <w:r>
        <w:t>about</w:t>
      </w:r>
      <w:r>
        <w:rPr>
          <w:spacing w:val="-4"/>
        </w:rPr>
        <w:t xml:space="preserve"> </w:t>
      </w:r>
      <w:r>
        <w:t>energy</w:t>
      </w:r>
      <w:r>
        <w:rPr>
          <w:spacing w:val="-4"/>
        </w:rPr>
        <w:t xml:space="preserve"> </w:t>
      </w:r>
      <w:r>
        <w:t>use</w:t>
      </w:r>
      <w:r>
        <w:rPr>
          <w:spacing w:val="-4"/>
        </w:rPr>
        <w:t xml:space="preserve"> </w:t>
      </w:r>
      <w:r>
        <w:t>and</w:t>
      </w:r>
      <w:r>
        <w:rPr>
          <w:spacing w:val="-4"/>
        </w:rPr>
        <w:t xml:space="preserve"> </w:t>
      </w:r>
      <w:r>
        <w:t>conservation</w:t>
      </w:r>
      <w:r>
        <w:rPr>
          <w:spacing w:val="-4"/>
        </w:rPr>
        <w:t xml:space="preserve"> </w:t>
      </w:r>
      <w:r>
        <w:t>actions</w:t>
      </w:r>
      <w:r>
        <w:rPr>
          <w:spacing w:val="-4"/>
        </w:rPr>
        <w:t xml:space="preserve"> </w:t>
      </w:r>
      <w:r>
        <w:t>to</w:t>
      </w:r>
      <w:r>
        <w:rPr>
          <w:spacing w:val="-4"/>
        </w:rPr>
        <w:t xml:space="preserve"> </w:t>
      </w:r>
      <w:r>
        <w:t>drive</w:t>
      </w:r>
      <w:r>
        <w:rPr>
          <w:spacing w:val="-4"/>
        </w:rPr>
        <w:t xml:space="preserve"> </w:t>
      </w:r>
      <w:r>
        <w:t>customer</w:t>
      </w:r>
      <w:r>
        <w:rPr>
          <w:spacing w:val="-4"/>
        </w:rPr>
        <w:t xml:space="preserve"> </w:t>
      </w:r>
      <w:r>
        <w:t>actions</w:t>
      </w:r>
      <w:r>
        <w:rPr>
          <w:spacing w:val="-4"/>
        </w:rPr>
        <w:t xml:space="preserve"> </w:t>
      </w:r>
      <w:r>
        <w:t>rather</w:t>
      </w:r>
      <w:r>
        <w:rPr>
          <w:spacing w:val="-4"/>
        </w:rPr>
        <w:t xml:space="preserve"> </w:t>
      </w:r>
      <w:r>
        <w:t>than financial incentives, equipment, or services to support customer investment. The savings potential modeled for these initiatives is designed to be additive to the s</w:t>
      </w:r>
      <w:r>
        <w:t>avings from rebated technologies (which do not account for any behavior-based savings).</w:t>
      </w:r>
    </w:p>
    <w:p w:rsidR="00C31389" w:rsidRDefault="00C31389" w14:paraId="51D9162E" w14:textId="77777777">
      <w:pPr>
        <w:pStyle w:val="BodyText"/>
        <w:spacing w:before="5"/>
        <w:rPr>
          <w:sz w:val="31"/>
        </w:rPr>
      </w:pPr>
    </w:p>
    <w:p w:rsidR="00C31389" w:rsidRDefault="00561FBD" w14:paraId="1034CE20" w14:textId="77777777">
      <w:pPr>
        <w:pStyle w:val="Heading8"/>
        <w:numPr>
          <w:ilvl w:val="3"/>
          <w:numId w:val="71"/>
        </w:numPr>
        <w:tabs>
          <w:tab w:val="left" w:pos="1212"/>
        </w:tabs>
        <w:ind w:left="1212" w:hanging="732"/>
      </w:pPr>
      <w:bookmarkStart w:name="2.1.5.1_Energy_and_Demand_Savings" w:id="101"/>
      <w:bookmarkEnd w:id="101"/>
      <w:r>
        <w:t>Energy</w:t>
      </w:r>
      <w:r>
        <w:rPr>
          <w:spacing w:val="-8"/>
        </w:rPr>
        <w:t xml:space="preserve"> </w:t>
      </w:r>
      <w:r>
        <w:t>and</w:t>
      </w:r>
      <w:r>
        <w:rPr>
          <w:spacing w:val="-8"/>
        </w:rPr>
        <w:t xml:space="preserve"> </w:t>
      </w:r>
      <w:r>
        <w:t>Demand</w:t>
      </w:r>
      <w:r>
        <w:rPr>
          <w:spacing w:val="-8"/>
        </w:rPr>
        <w:t xml:space="preserve"> </w:t>
      </w:r>
      <w:r>
        <w:rPr>
          <w:spacing w:val="-2"/>
        </w:rPr>
        <w:t>Savings</w:t>
      </w:r>
    </w:p>
    <w:p w:rsidR="00C31389" w:rsidRDefault="00C31389" w14:paraId="54D45087" w14:textId="77777777">
      <w:pPr>
        <w:pStyle w:val="BodyText"/>
        <w:spacing w:before="9"/>
        <w:rPr>
          <w:b/>
          <w:i/>
          <w:sz w:val="20"/>
        </w:rPr>
      </w:pPr>
    </w:p>
    <w:p w:rsidR="00C31389" w:rsidRDefault="00561FBD" w14:paraId="70224001" w14:textId="77777777">
      <w:pPr>
        <w:pStyle w:val="BodyText"/>
        <w:ind w:left="479" w:right="533"/>
      </w:pPr>
      <w:hyperlink w:history="1" w:anchor="_bookmark76">
        <w:r>
          <w:t>Equation</w:t>
        </w:r>
        <w:r>
          <w:rPr>
            <w:spacing w:val="-3"/>
          </w:rPr>
          <w:t xml:space="preserve"> </w:t>
        </w:r>
        <w:r>
          <w:t>2-5</w:t>
        </w:r>
      </w:hyperlink>
      <w:r>
        <w:rPr>
          <w:spacing w:val="-3"/>
        </w:rPr>
        <w:t xml:space="preserve"> </w:t>
      </w:r>
      <w:r>
        <w:t>is</w:t>
      </w:r>
      <w:r>
        <w:rPr>
          <w:spacing w:val="-3"/>
        </w:rPr>
        <w:t xml:space="preserve"> </w:t>
      </w:r>
      <w:r>
        <w:t>the</w:t>
      </w:r>
      <w:r>
        <w:rPr>
          <w:spacing w:val="-3"/>
        </w:rPr>
        <w:t xml:space="preserve"> </w:t>
      </w:r>
      <w:r>
        <w:t>general</w:t>
      </w:r>
      <w:r>
        <w:rPr>
          <w:spacing w:val="-3"/>
        </w:rPr>
        <w:t xml:space="preserve"> </w:t>
      </w:r>
      <w:r>
        <w:t>equation</w:t>
      </w:r>
      <w:r>
        <w:rPr>
          <w:spacing w:val="-3"/>
        </w:rPr>
        <w:t xml:space="preserve"> </w:t>
      </w:r>
      <w:r>
        <w:t>for</w:t>
      </w:r>
      <w:r>
        <w:rPr>
          <w:spacing w:val="-3"/>
        </w:rPr>
        <w:t xml:space="preserve"> </w:t>
      </w:r>
      <w:r>
        <w:t>the</w:t>
      </w:r>
      <w:r>
        <w:rPr>
          <w:spacing w:val="-3"/>
        </w:rPr>
        <w:t xml:space="preserve"> </w:t>
      </w:r>
      <w:r>
        <w:t>BROs</w:t>
      </w:r>
      <w:r>
        <w:rPr>
          <w:spacing w:val="-3"/>
        </w:rPr>
        <w:t xml:space="preserve"> </w:t>
      </w:r>
      <w:r>
        <w:t>potential</w:t>
      </w:r>
      <w:r>
        <w:rPr>
          <w:spacing w:val="-4"/>
        </w:rPr>
        <w:t xml:space="preserve"> </w:t>
      </w:r>
      <w:r>
        <w:t>model.</w:t>
      </w:r>
      <w:r>
        <w:rPr>
          <w:spacing w:val="-3"/>
        </w:rPr>
        <w:t xml:space="preserve"> </w:t>
      </w:r>
      <w:r>
        <w:t>Each</w:t>
      </w:r>
      <w:r>
        <w:rPr>
          <w:spacing w:val="-3"/>
        </w:rPr>
        <w:t xml:space="preserve"> </w:t>
      </w:r>
      <w:r>
        <w:t>of</w:t>
      </w:r>
      <w:r>
        <w:rPr>
          <w:spacing w:val="-3"/>
        </w:rPr>
        <w:t xml:space="preserve"> </w:t>
      </w:r>
      <w:r>
        <w:t>the</w:t>
      </w:r>
      <w:r>
        <w:rPr>
          <w:spacing w:val="-3"/>
        </w:rPr>
        <w:t xml:space="preserve"> </w:t>
      </w:r>
      <w:r>
        <w:t>components</w:t>
      </w:r>
      <w:r>
        <w:rPr>
          <w:spacing w:val="-3"/>
        </w:rPr>
        <w:t xml:space="preserve"> </w:t>
      </w:r>
      <w:r>
        <w:t>are described below.</w:t>
      </w:r>
    </w:p>
    <w:p w:rsidR="00C31389" w:rsidRDefault="00C31389" w14:paraId="6CFE54F4" w14:textId="77777777">
      <w:pPr>
        <w:pStyle w:val="BodyText"/>
        <w:spacing w:before="10"/>
        <w:rPr>
          <w:sz w:val="12"/>
        </w:rPr>
      </w:pPr>
    </w:p>
    <w:p w:rsidR="00C31389" w:rsidRDefault="00C31389" w14:paraId="740E18BD" w14:textId="77777777">
      <w:pPr>
        <w:rPr>
          <w:sz w:val="12"/>
        </w:rPr>
        <w:sectPr w:rsidR="00C31389">
          <w:headerReference w:type="default" r:id="rId85"/>
          <w:footerReference w:type="default" r:id="rId86"/>
          <w:pgSz w:w="12240" w:h="15840"/>
          <w:pgMar w:top="1380" w:right="960" w:bottom="1120" w:left="960" w:header="397" w:footer="936" w:gutter="0"/>
          <w:cols w:space="720"/>
        </w:sectPr>
      </w:pPr>
    </w:p>
    <w:p w:rsidR="00C31389" w:rsidRDefault="00C31389" w14:paraId="5BD7ED7D" w14:textId="77777777">
      <w:pPr>
        <w:pStyle w:val="BodyText"/>
        <w:rPr>
          <w:sz w:val="24"/>
        </w:rPr>
      </w:pPr>
    </w:p>
    <w:p w:rsidR="00C31389" w:rsidRDefault="00C31389" w14:paraId="05BEC4BB" w14:textId="77777777">
      <w:pPr>
        <w:pStyle w:val="BodyText"/>
        <w:rPr>
          <w:sz w:val="24"/>
        </w:rPr>
      </w:pPr>
    </w:p>
    <w:p w:rsidR="00C31389" w:rsidRDefault="00C31389" w14:paraId="028DF821" w14:textId="77777777">
      <w:pPr>
        <w:pStyle w:val="BodyText"/>
        <w:rPr>
          <w:sz w:val="24"/>
        </w:rPr>
      </w:pPr>
    </w:p>
    <w:p w:rsidR="00C31389" w:rsidRDefault="00C31389" w14:paraId="1B74B453" w14:textId="77777777">
      <w:pPr>
        <w:pStyle w:val="BodyText"/>
        <w:spacing w:before="9"/>
        <w:rPr>
          <w:sz w:val="35"/>
        </w:rPr>
      </w:pPr>
    </w:p>
    <w:p w:rsidR="00C31389" w:rsidRDefault="00561FBD" w14:paraId="67369FAE" w14:textId="77777777">
      <w:pPr>
        <w:pStyle w:val="BodyText"/>
        <w:ind w:left="479"/>
      </w:pPr>
      <w:bookmarkStart w:name="_bookmark76" w:id="102"/>
      <w:bookmarkEnd w:id="102"/>
      <w:r>
        <w:rPr>
          <w:spacing w:val="-2"/>
        </w:rPr>
        <w:t>Where:</w:t>
      </w:r>
    </w:p>
    <w:p w:rsidR="00C31389" w:rsidRDefault="00561FBD" w14:paraId="3598CAA7" w14:textId="77777777">
      <w:pPr>
        <w:pStyle w:val="Heading7"/>
        <w:spacing w:before="92"/>
        <w:ind w:left="973"/>
      </w:pPr>
      <w:r>
        <w:rPr>
          <w:b w:val="0"/>
        </w:rPr>
        <w:br w:type="column"/>
      </w:r>
      <w:r>
        <w:t>Equation</w:t>
      </w:r>
      <w:r>
        <w:rPr>
          <w:spacing w:val="-9"/>
        </w:rPr>
        <w:t xml:space="preserve"> </w:t>
      </w:r>
      <w:r>
        <w:t>2-5.</w:t>
      </w:r>
      <w:r>
        <w:rPr>
          <w:spacing w:val="-9"/>
        </w:rPr>
        <w:t xml:space="preserve"> </w:t>
      </w:r>
      <w:r>
        <w:t>Incremental</w:t>
      </w:r>
      <w:r>
        <w:rPr>
          <w:spacing w:val="-9"/>
        </w:rPr>
        <w:t xml:space="preserve"> </w:t>
      </w:r>
      <w:r>
        <w:t>Achievable</w:t>
      </w:r>
      <w:r>
        <w:rPr>
          <w:spacing w:val="-9"/>
        </w:rPr>
        <w:t xml:space="preserve"> </w:t>
      </w:r>
      <w:r>
        <w:t>Potential</w:t>
      </w:r>
      <w:r>
        <w:rPr>
          <w:spacing w:val="-9"/>
        </w:rPr>
        <w:t xml:space="preserve"> </w:t>
      </w:r>
      <w:r>
        <w:t>for</w:t>
      </w:r>
      <w:r>
        <w:rPr>
          <w:spacing w:val="-10"/>
        </w:rPr>
        <w:t xml:space="preserve"> </w:t>
      </w:r>
      <w:r>
        <w:rPr>
          <w:spacing w:val="-4"/>
        </w:rPr>
        <w:t>BROs</w:t>
      </w:r>
    </w:p>
    <w:p w:rsidR="00C31389" w:rsidRDefault="00561FBD" w14:paraId="41A3267C" w14:textId="77777777">
      <w:pPr>
        <w:spacing w:before="120"/>
        <w:ind w:left="133"/>
        <w:rPr>
          <w:rFonts w:ascii="Cambria Math" w:eastAsia="Cambria Math"/>
        </w:rPr>
      </w:pPr>
      <w:r>
        <w:rPr>
          <w:rFonts w:ascii="Cambria Math" w:eastAsia="Cambria Math"/>
          <w:w w:val="40"/>
        </w:rPr>
        <w:t>𝐼𝐼𝐵𝐵𝐶𝐶𝐸𝐸𝑆𝑆𝑆𝑆𝑆𝑆𝐵𝐵𝑇𝑇𝑇𝑇𝑇𝑇</w:t>
      </w:r>
      <w:r>
        <w:rPr>
          <w:rFonts w:ascii="Cambria Math" w:eastAsia="Cambria Math"/>
          <w:spacing w:val="63"/>
        </w:rPr>
        <w:t xml:space="preserve"> </w:t>
      </w:r>
      <w:r>
        <w:rPr>
          <w:rFonts w:ascii="Cambria Math" w:eastAsia="Cambria Math"/>
          <w:w w:val="40"/>
        </w:rPr>
        <w:t>𝑀𝑀𝑇𝑇𝐸𝐸𝑀𝑀𝑆𝑆𝑇𝑇</w:t>
      </w:r>
      <w:r>
        <w:rPr>
          <w:rFonts w:ascii="Cambria Math" w:eastAsia="Cambria Math"/>
          <w:spacing w:val="57"/>
        </w:rPr>
        <w:t xml:space="preserve"> </w:t>
      </w:r>
      <w:r>
        <w:rPr>
          <w:rFonts w:ascii="Cambria Math" w:eastAsia="Cambria Math"/>
          <w:spacing w:val="-2"/>
          <w:w w:val="40"/>
        </w:rPr>
        <w:t>𝑃𝑃𝑇𝑇𝑇𝑇𝑆𝑆𝐵𝐵𝑇𝑇𝐵𝐵𝑇𝑇𝑇𝑇</w:t>
      </w:r>
    </w:p>
    <w:p w:rsidR="00C31389" w:rsidRDefault="00561FBD" w14:paraId="2B083745" w14:textId="77777777">
      <w:pPr>
        <w:ind w:left="1573"/>
        <w:rPr>
          <w:rFonts w:ascii="Cambria Math" w:hAnsi="Cambria Math" w:eastAsia="Cambria Math"/>
        </w:rPr>
      </w:pPr>
      <w:r>
        <w:rPr>
          <w:rFonts w:ascii="Cambria Math" w:hAnsi="Cambria Math" w:eastAsia="Cambria Math"/>
          <w:w w:val="40"/>
        </w:rPr>
        <w:t>=</w:t>
      </w:r>
      <w:r>
        <w:rPr>
          <w:rFonts w:ascii="Cambria Math" w:hAnsi="Cambria Math" w:eastAsia="Cambria Math"/>
          <w:spacing w:val="35"/>
        </w:rPr>
        <w:t xml:space="preserve"> </w:t>
      </w:r>
      <w:r>
        <w:rPr>
          <w:rFonts w:ascii="Cambria Math" w:hAnsi="Cambria Math" w:eastAsia="Cambria Math"/>
          <w:w w:val="40"/>
        </w:rPr>
        <w:t>𝑃𝑃𝑇𝑇𝐶𝐶𝑆𝑆𝑇𝑇𝑇𝑇𝑇𝑇𝐵𝐵𝑇𝑇𝐵𝐵</w:t>
      </w:r>
      <w:r>
        <w:rPr>
          <w:rFonts w:ascii="Cambria Math" w:hAnsi="Cambria Math" w:eastAsia="Cambria Math"/>
          <w:spacing w:val="65"/>
          <w:w w:val="150"/>
        </w:rPr>
        <w:t xml:space="preserve"> </w:t>
      </w:r>
      <w:r>
        <w:rPr>
          <w:rFonts w:ascii="Cambria Math" w:hAnsi="Cambria Math" w:eastAsia="Cambria Math"/>
          <w:w w:val="40"/>
        </w:rPr>
        <w:t>×</w:t>
      </w:r>
      <w:r>
        <w:rPr>
          <w:rFonts w:ascii="Cambria Math" w:hAnsi="Cambria Math" w:eastAsia="Cambria Math"/>
          <w:spacing w:val="60"/>
          <w:w w:val="150"/>
        </w:rPr>
        <w:t xml:space="preserve"> </w:t>
      </w:r>
      <w:r>
        <w:rPr>
          <w:rFonts w:ascii="Cambria Math" w:hAnsi="Cambria Math" w:eastAsia="Cambria Math"/>
          <w:w w:val="40"/>
        </w:rPr>
        <w:t>𝐴𝐴𝐶𝐶𝐶𝐶𝑇𝑇𝐵𝐵𝐶𝐶𝑇𝑇𝐴𝐴𝐵𝐵𝑇𝑇𝐵𝐵𝑇𝑇𝑆𝑆</w:t>
      </w:r>
      <w:r>
        <w:rPr>
          <w:rFonts w:ascii="Cambria Math" w:hAnsi="Cambria Math" w:eastAsia="Cambria Math"/>
          <w:spacing w:val="24"/>
        </w:rPr>
        <w:t xml:space="preserve"> </w:t>
      </w:r>
      <w:r>
        <w:rPr>
          <w:rFonts w:ascii="Cambria Math" w:hAnsi="Cambria Math" w:eastAsia="Cambria Math"/>
          <w:w w:val="40"/>
        </w:rPr>
        <w:t>𝐹𝐹𝑇𝑇𝐶𝐶𝑇𝑇𝑇𝑇𝐸𝐸</w:t>
      </w:r>
      <w:r>
        <w:rPr>
          <w:rFonts w:ascii="Cambria Math" w:hAnsi="Cambria Math" w:eastAsia="Cambria Math"/>
          <w:spacing w:val="68"/>
          <w:w w:val="150"/>
        </w:rPr>
        <w:t xml:space="preserve"> </w:t>
      </w:r>
      <w:r>
        <w:rPr>
          <w:rFonts w:ascii="Cambria Math" w:hAnsi="Cambria Math" w:eastAsia="Cambria Math"/>
          <w:w w:val="40"/>
        </w:rPr>
        <w:t>×</w:t>
      </w:r>
      <w:r>
        <w:rPr>
          <w:rFonts w:ascii="Cambria Math" w:hAnsi="Cambria Math" w:eastAsia="Cambria Math"/>
          <w:spacing w:val="59"/>
          <w:w w:val="150"/>
        </w:rPr>
        <w:t xml:space="preserve"> </w:t>
      </w:r>
      <w:r>
        <w:rPr>
          <w:rFonts w:ascii="Cambria Math" w:hAnsi="Cambria Math" w:eastAsia="Cambria Math"/>
          <w:w w:val="40"/>
        </w:rPr>
        <w:t>𝑈𝑈𝐵𝐵𝐵𝐵𝑇𝑇</w:t>
      </w:r>
      <w:r>
        <w:rPr>
          <w:rFonts w:ascii="Cambria Math" w:hAnsi="Cambria Math" w:eastAsia="Cambria Math"/>
          <w:spacing w:val="26"/>
        </w:rPr>
        <w:t xml:space="preserve"> </w:t>
      </w:r>
      <w:r>
        <w:rPr>
          <w:rFonts w:ascii="Cambria Math" w:hAnsi="Cambria Math" w:eastAsia="Cambria Math"/>
          <w:w w:val="40"/>
        </w:rPr>
        <w:t>𝐸𝐸𝐵𝐵𝑆𝑆𝐸𝐸𝐸𝐸𝑆𝑆</w:t>
      </w:r>
      <w:r>
        <w:rPr>
          <w:rFonts w:ascii="Cambria Math" w:hAnsi="Cambria Math" w:eastAsia="Cambria Math"/>
          <w:spacing w:val="24"/>
        </w:rPr>
        <w:t xml:space="preserve"> </w:t>
      </w:r>
      <w:r>
        <w:rPr>
          <w:rFonts w:ascii="Cambria Math" w:hAnsi="Cambria Math" w:eastAsia="Cambria Math"/>
          <w:spacing w:val="-2"/>
          <w:w w:val="40"/>
        </w:rPr>
        <w:t>𝑆𝑆𝑇𝑇𝐴𝐴𝐵𝐵𝐵𝐵𝐸𝐸𝑆𝑆</w:t>
      </w:r>
    </w:p>
    <w:p w:rsidR="00C31389" w:rsidRDefault="00561FBD" w14:paraId="753D0BD5" w14:textId="77777777">
      <w:pPr>
        <w:ind w:left="1573"/>
        <w:rPr>
          <w:rFonts w:ascii="Cambria Math" w:hAnsi="Cambria Math" w:eastAsia="Cambria Math"/>
        </w:rPr>
      </w:pPr>
      <w:r>
        <w:rPr>
          <w:rFonts w:ascii="Cambria Math" w:hAnsi="Cambria Math" w:eastAsia="Cambria Math"/>
          <w:w w:val="40"/>
        </w:rPr>
        <w:t>×</w:t>
      </w:r>
      <w:r>
        <w:rPr>
          <w:rFonts w:ascii="Cambria Math" w:hAnsi="Cambria Math" w:eastAsia="Cambria Math"/>
          <w:spacing w:val="30"/>
        </w:rPr>
        <w:t xml:space="preserve">  </w:t>
      </w:r>
      <w:r>
        <w:rPr>
          <w:rFonts w:ascii="Cambria Math" w:hAnsi="Cambria Math" w:eastAsia="Cambria Math"/>
          <w:w w:val="40"/>
        </w:rPr>
        <w:t>𝑃𝑃𝑆𝑆𝐵𝐵𝑆𝑆𝑇𝑇𝐸𝐸𝑇𝑇𝑇𝑇𝐵𝐵𝑇𝑇𝐵𝐵</w:t>
      </w:r>
      <w:r>
        <w:rPr>
          <w:rFonts w:ascii="Cambria Math" w:hAnsi="Cambria Math" w:eastAsia="Cambria Math"/>
          <w:spacing w:val="37"/>
        </w:rPr>
        <w:t xml:space="preserve"> </w:t>
      </w:r>
      <w:r>
        <w:rPr>
          <w:rFonts w:ascii="Cambria Math" w:hAnsi="Cambria Math" w:eastAsia="Cambria Math"/>
          <w:spacing w:val="-2"/>
          <w:w w:val="40"/>
        </w:rPr>
        <w:t>𝑅𝑅𝑇𝑇𝑇𝑇𝑆𝑆</w:t>
      </w:r>
    </w:p>
    <w:p w:rsidR="00C31389" w:rsidRDefault="00C31389" w14:paraId="41FBEC4E" w14:textId="77777777">
      <w:pPr>
        <w:rPr>
          <w:rFonts w:ascii="Cambria Math" w:hAnsi="Cambria Math" w:eastAsia="Cambria Math"/>
        </w:rPr>
        <w:sectPr w:rsidR="00C31389">
          <w:type w:val="continuous"/>
          <w:pgSz w:w="12240" w:h="15840"/>
          <w:pgMar w:top="0" w:right="960" w:bottom="280" w:left="960" w:header="397" w:footer="936" w:gutter="0"/>
          <w:cols w:equalWidth="0" w:space="720" w:num="2">
            <w:col w:w="1189" w:space="40"/>
            <w:col w:w="9091"/>
          </w:cols>
        </w:sectPr>
      </w:pPr>
    </w:p>
    <w:p w:rsidR="00C31389" w:rsidRDefault="00C31389" w14:paraId="78A544F9" w14:textId="77777777">
      <w:pPr>
        <w:pStyle w:val="BodyText"/>
        <w:spacing w:before="11"/>
        <w:rPr>
          <w:rFonts w:ascii="Cambria Math"/>
          <w:sz w:val="11"/>
        </w:rPr>
      </w:pPr>
    </w:p>
    <w:p w:rsidR="00C31389" w:rsidRDefault="00561FBD" w14:paraId="77540016" w14:textId="77777777">
      <w:pPr>
        <w:pStyle w:val="ListParagraph"/>
        <w:numPr>
          <w:ilvl w:val="0"/>
          <w:numId w:val="63"/>
        </w:numPr>
        <w:tabs>
          <w:tab w:val="left" w:pos="1199"/>
        </w:tabs>
        <w:spacing w:before="100" w:line="261" w:lineRule="auto"/>
        <w:ind w:right="547"/>
      </w:pPr>
      <w:r>
        <w:rPr>
          <w:b/>
        </w:rPr>
        <w:t>Population</w:t>
      </w:r>
      <w:r>
        <w:rPr>
          <w:b/>
          <w:spacing w:val="-3"/>
        </w:rPr>
        <w:t xml:space="preserve"> </w:t>
      </w:r>
      <w:r>
        <w:t>i</w:t>
      </w:r>
      <w:r>
        <w:t>s</w:t>
      </w:r>
      <w:r>
        <w:rPr>
          <w:spacing w:val="-3"/>
        </w:rPr>
        <w:t xml:space="preserve"> </w:t>
      </w:r>
      <w:r>
        <w:t>a</w:t>
      </w:r>
      <w:r>
        <w:rPr>
          <w:spacing w:val="-3"/>
        </w:rPr>
        <w:t xml:space="preserve"> </w:t>
      </w:r>
      <w:r>
        <w:t>global</w:t>
      </w:r>
      <w:r>
        <w:rPr>
          <w:spacing w:val="-4"/>
        </w:rPr>
        <w:t xml:space="preserve"> </w:t>
      </w:r>
      <w:r>
        <w:t>input</w:t>
      </w:r>
      <w:r>
        <w:rPr>
          <w:spacing w:val="-3"/>
        </w:rPr>
        <w:t xml:space="preserve"> </w:t>
      </w:r>
      <w:r>
        <w:t>that</w:t>
      </w:r>
      <w:r>
        <w:rPr>
          <w:spacing w:val="-3"/>
        </w:rPr>
        <w:t xml:space="preserve"> </w:t>
      </w:r>
      <w:r>
        <w:t>can</w:t>
      </w:r>
      <w:r>
        <w:rPr>
          <w:spacing w:val="-4"/>
        </w:rPr>
        <w:t xml:space="preserve"> </w:t>
      </w:r>
      <w:r>
        <w:t>be</w:t>
      </w:r>
      <w:r>
        <w:rPr>
          <w:spacing w:val="-3"/>
        </w:rPr>
        <w:t xml:space="preserve"> </w:t>
      </w:r>
      <w:r>
        <w:t>represented</w:t>
      </w:r>
      <w:r>
        <w:rPr>
          <w:spacing w:val="-3"/>
        </w:rPr>
        <w:t xml:space="preserve"> </w:t>
      </w:r>
      <w:r>
        <w:t>in</w:t>
      </w:r>
      <w:r>
        <w:rPr>
          <w:spacing w:val="-3"/>
        </w:rPr>
        <w:t xml:space="preserve"> </w:t>
      </w:r>
      <w:r>
        <w:t>two</w:t>
      </w:r>
      <w:r>
        <w:rPr>
          <w:spacing w:val="-3"/>
        </w:rPr>
        <w:t xml:space="preserve"> </w:t>
      </w:r>
      <w:r>
        <w:t>ways:</w:t>
      </w:r>
      <w:r>
        <w:rPr>
          <w:spacing w:val="-3"/>
        </w:rPr>
        <w:t xml:space="preserve"> </w:t>
      </w:r>
      <w:r>
        <w:t>number</w:t>
      </w:r>
      <w:r>
        <w:rPr>
          <w:spacing w:val="-3"/>
        </w:rPr>
        <w:t xml:space="preserve"> </w:t>
      </w:r>
      <w:r>
        <w:t>of</w:t>
      </w:r>
      <w:r>
        <w:rPr>
          <w:spacing w:val="-3"/>
        </w:rPr>
        <w:t xml:space="preserve"> </w:t>
      </w:r>
      <w:r>
        <w:t>homes</w:t>
      </w:r>
      <w:r>
        <w:rPr>
          <w:spacing w:val="-3"/>
        </w:rPr>
        <w:t xml:space="preserve"> </w:t>
      </w:r>
      <w:r>
        <w:t>and square feet of floor space or sector energy consumption.</w:t>
      </w:r>
    </w:p>
    <w:p w:rsidR="00C31389" w:rsidRDefault="00561FBD" w14:paraId="6C94411A" w14:textId="77777777">
      <w:pPr>
        <w:pStyle w:val="ListParagraph"/>
        <w:numPr>
          <w:ilvl w:val="0"/>
          <w:numId w:val="63"/>
        </w:numPr>
        <w:tabs>
          <w:tab w:val="left" w:pos="1199"/>
        </w:tabs>
        <w:spacing w:before="122" w:line="261" w:lineRule="auto"/>
        <w:ind w:right="535"/>
      </w:pPr>
      <w:r>
        <w:rPr>
          <w:b/>
        </w:rPr>
        <w:t>Applicability</w:t>
      </w:r>
      <w:r>
        <w:rPr>
          <w:b/>
          <w:spacing w:val="-5"/>
        </w:rPr>
        <w:t xml:space="preserve"> </w:t>
      </w:r>
      <w:r>
        <w:rPr>
          <w:b/>
        </w:rPr>
        <w:t>factor</w:t>
      </w:r>
      <w:r>
        <w:rPr>
          <w:b/>
          <w:spacing w:val="-5"/>
        </w:rPr>
        <w:t xml:space="preserve"> </w:t>
      </w:r>
      <w:r>
        <w:t>represents</w:t>
      </w:r>
      <w:r>
        <w:rPr>
          <w:spacing w:val="-5"/>
        </w:rPr>
        <w:t xml:space="preserve"> </w:t>
      </w:r>
      <w:r>
        <w:t>eligibility</w:t>
      </w:r>
      <w:r>
        <w:rPr>
          <w:spacing w:val="-5"/>
        </w:rPr>
        <w:t xml:space="preserve"> </w:t>
      </w:r>
      <w:r>
        <w:t>and</w:t>
      </w:r>
      <w:r>
        <w:rPr>
          <w:spacing w:val="-6"/>
        </w:rPr>
        <w:t xml:space="preserve"> </w:t>
      </w:r>
      <w:r>
        <w:t>other</w:t>
      </w:r>
      <w:r>
        <w:rPr>
          <w:spacing w:val="-5"/>
        </w:rPr>
        <w:t xml:space="preserve"> </w:t>
      </w:r>
      <w:r>
        <w:t>program-specific</w:t>
      </w:r>
      <w:r>
        <w:rPr>
          <w:spacing w:val="-5"/>
        </w:rPr>
        <w:t xml:space="preserve"> </w:t>
      </w:r>
      <w:r>
        <w:t>variables,</w:t>
      </w:r>
      <w:r>
        <w:rPr>
          <w:spacing w:val="-5"/>
        </w:rPr>
        <w:t xml:space="preserve"> </w:t>
      </w:r>
      <w:r>
        <w:t xml:space="preserve">including existing saturation that precludes customers from participating in future IOU </w:t>
      </w:r>
      <w:r>
        <w:rPr>
          <w:spacing w:val="-2"/>
        </w:rPr>
        <w:t>interventions.</w:t>
      </w:r>
    </w:p>
    <w:p w:rsidR="00C31389" w:rsidRDefault="00561FBD" w14:paraId="0E927F0E" w14:textId="77777777">
      <w:pPr>
        <w:pStyle w:val="ListParagraph"/>
        <w:numPr>
          <w:ilvl w:val="0"/>
          <w:numId w:val="63"/>
        </w:numPr>
        <w:tabs>
          <w:tab w:val="left" w:pos="1199"/>
        </w:tabs>
        <w:spacing w:before="124" w:line="261" w:lineRule="auto"/>
        <w:ind w:right="673"/>
      </w:pPr>
      <w:r>
        <w:rPr>
          <w:b/>
        </w:rPr>
        <w:t xml:space="preserve">Unit energy savings </w:t>
      </w:r>
      <w:r>
        <w:t>represent the savings expected from participants and can be represented</w:t>
      </w:r>
      <w:r>
        <w:rPr>
          <w:spacing w:val="-5"/>
        </w:rPr>
        <w:t xml:space="preserve"> </w:t>
      </w:r>
      <w:r>
        <w:t>in</w:t>
      </w:r>
      <w:r>
        <w:rPr>
          <w:spacing w:val="-4"/>
        </w:rPr>
        <w:t xml:space="preserve"> </w:t>
      </w:r>
      <w:r>
        <w:t>two</w:t>
      </w:r>
      <w:r>
        <w:rPr>
          <w:spacing w:val="-4"/>
        </w:rPr>
        <w:t xml:space="preserve"> </w:t>
      </w:r>
      <w:r>
        <w:t>ways:</w:t>
      </w:r>
      <w:r>
        <w:rPr>
          <w:spacing w:val="-4"/>
        </w:rPr>
        <w:t xml:space="preserve"> </w:t>
      </w:r>
      <w:r>
        <w:t>kWh</w:t>
      </w:r>
      <w:r>
        <w:rPr>
          <w:spacing w:val="-4"/>
        </w:rPr>
        <w:t xml:space="preserve"> </w:t>
      </w:r>
      <w:r>
        <w:t>and</w:t>
      </w:r>
      <w:r>
        <w:rPr>
          <w:spacing w:val="-4"/>
        </w:rPr>
        <w:t xml:space="preserve"> </w:t>
      </w:r>
      <w:r>
        <w:t>therms</w:t>
      </w:r>
      <w:r>
        <w:rPr>
          <w:spacing w:val="-4"/>
        </w:rPr>
        <w:t xml:space="preserve"> </w:t>
      </w:r>
      <w:r>
        <w:t>or</w:t>
      </w:r>
      <w:r>
        <w:rPr>
          <w:spacing w:val="-4"/>
        </w:rPr>
        <w:t xml:space="preserve"> </w:t>
      </w:r>
      <w:r>
        <w:t>percentage</w:t>
      </w:r>
      <w:r>
        <w:rPr>
          <w:spacing w:val="-4"/>
        </w:rPr>
        <w:t xml:space="preserve"> </w:t>
      </w:r>
      <w:r>
        <w:t>of</w:t>
      </w:r>
      <w:r>
        <w:rPr>
          <w:spacing w:val="-5"/>
        </w:rPr>
        <w:t xml:space="preserve"> </w:t>
      </w:r>
      <w:r>
        <w:t>consumption.</w:t>
      </w:r>
      <w:r>
        <w:rPr>
          <w:spacing w:val="-4"/>
        </w:rPr>
        <w:t xml:space="preserve"> </w:t>
      </w:r>
      <w:r>
        <w:t>Sav</w:t>
      </w:r>
      <w:r>
        <w:t>ings</w:t>
      </w:r>
      <w:r>
        <w:rPr>
          <w:spacing w:val="-5"/>
        </w:rPr>
        <w:t xml:space="preserve"> </w:t>
      </w:r>
      <w:r>
        <w:t>may</w:t>
      </w:r>
    </w:p>
    <w:p w:rsidR="00C31389" w:rsidRDefault="00C31389" w14:paraId="2520F243" w14:textId="77777777">
      <w:pPr>
        <w:pStyle w:val="BodyText"/>
        <w:rPr>
          <w:sz w:val="20"/>
        </w:rPr>
      </w:pPr>
    </w:p>
    <w:p w:rsidR="00C31389" w:rsidRDefault="00C31389" w14:paraId="7BFAB453" w14:textId="77777777">
      <w:pPr>
        <w:pStyle w:val="BodyText"/>
        <w:rPr>
          <w:sz w:val="20"/>
        </w:rPr>
      </w:pPr>
    </w:p>
    <w:p w:rsidR="00C31389" w:rsidRDefault="00561FBD" w14:paraId="5BE4D900" w14:textId="77777777">
      <w:pPr>
        <w:pStyle w:val="BodyText"/>
        <w:spacing w:before="10"/>
        <w:rPr>
          <w:sz w:val="19"/>
        </w:rPr>
      </w:pPr>
      <w:r>
        <w:rPr>
          <w:noProof/>
        </w:rPr>
        <mc:AlternateContent>
          <mc:Choice Requires="wps">
            <w:drawing>
              <wp:anchor distT="0" distB="0" distL="0" distR="0" simplePos="0" relativeHeight="487614976" behindDoc="1" locked="0" layoutInCell="1" allowOverlap="1" wp14:editId="1BE7775C" wp14:anchorId="54820ADC">
                <wp:simplePos x="0" y="0"/>
                <wp:positionH relativeFrom="page">
                  <wp:posOffset>914400</wp:posOffset>
                </wp:positionH>
                <wp:positionV relativeFrom="paragraph">
                  <wp:posOffset>160574</wp:posOffset>
                </wp:positionV>
                <wp:extent cx="1828800" cy="6985"/>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63" style="position:absolute;margin-left:1in;margin-top:12.65pt;width:2in;height:.5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" w14:anchorId="547B8F99">
                <v:path arrowok="t"/>
                <w10:wrap type="topAndBottom" anchorx="page"/>
              </v:shape>
            </w:pict>
          </mc:Fallback>
        </mc:AlternateContent>
      </w:r>
    </w:p>
    <w:p w:rsidR="00C31389" w:rsidRDefault="00561FBD" w14:paraId="7565B0C9" w14:textId="77777777">
      <w:pPr>
        <w:spacing w:before="89"/>
        <w:ind w:left="480"/>
        <w:rPr>
          <w:sz w:val="18"/>
        </w:rPr>
      </w:pPr>
      <w:bookmarkStart w:name="_bookmark77" w:id="103"/>
      <w:bookmarkEnd w:id="103"/>
      <w:r>
        <w:rPr>
          <w:position w:val="6"/>
          <w:sz w:val="12"/>
        </w:rPr>
        <w:t>22</w:t>
      </w:r>
      <w:r>
        <w:rPr>
          <w:spacing w:val="12"/>
          <w:position w:val="6"/>
          <w:sz w:val="12"/>
        </w:rPr>
        <w:t xml:space="preserve"> </w:t>
      </w:r>
      <w:r>
        <w:rPr>
          <w:sz w:val="18"/>
        </w:rPr>
        <w:t>Sirkin,</w:t>
      </w:r>
      <w:r>
        <w:rPr>
          <w:spacing w:val="-2"/>
          <w:sz w:val="18"/>
        </w:rPr>
        <w:t xml:space="preserve"> </w:t>
      </w:r>
      <w:r>
        <w:rPr>
          <w:sz w:val="18"/>
        </w:rPr>
        <w:t>H.</w:t>
      </w:r>
      <w:r>
        <w:rPr>
          <w:spacing w:val="-2"/>
          <w:sz w:val="18"/>
        </w:rPr>
        <w:t xml:space="preserve"> </w:t>
      </w:r>
      <w:r>
        <w:rPr>
          <w:sz w:val="18"/>
        </w:rPr>
        <w:t>et</w:t>
      </w:r>
      <w:r>
        <w:rPr>
          <w:spacing w:val="-3"/>
          <w:sz w:val="18"/>
        </w:rPr>
        <w:t xml:space="preserve"> </w:t>
      </w:r>
      <w:r>
        <w:rPr>
          <w:sz w:val="18"/>
        </w:rPr>
        <w:t>al,</w:t>
      </w:r>
      <w:r>
        <w:rPr>
          <w:spacing w:val="-2"/>
          <w:sz w:val="18"/>
        </w:rPr>
        <w:t xml:space="preserve"> </w:t>
      </w:r>
      <w:r>
        <w:rPr>
          <w:i/>
          <w:sz w:val="18"/>
        </w:rPr>
        <w:t>U.S.</w:t>
      </w:r>
      <w:r>
        <w:rPr>
          <w:i/>
          <w:spacing w:val="-2"/>
          <w:sz w:val="18"/>
        </w:rPr>
        <w:t xml:space="preserve"> </w:t>
      </w:r>
      <w:r>
        <w:rPr>
          <w:i/>
          <w:sz w:val="18"/>
        </w:rPr>
        <w:t>Manufacturing</w:t>
      </w:r>
      <w:r>
        <w:rPr>
          <w:i/>
          <w:spacing w:val="-3"/>
          <w:sz w:val="18"/>
        </w:rPr>
        <w:t xml:space="preserve"> </w:t>
      </w:r>
      <w:r>
        <w:rPr>
          <w:i/>
          <w:sz w:val="18"/>
        </w:rPr>
        <w:t>Nears</w:t>
      </w:r>
      <w:r>
        <w:rPr>
          <w:i/>
          <w:spacing w:val="-3"/>
          <w:sz w:val="18"/>
        </w:rPr>
        <w:t xml:space="preserve"> </w:t>
      </w:r>
      <w:r>
        <w:rPr>
          <w:i/>
          <w:sz w:val="18"/>
        </w:rPr>
        <w:t>the</w:t>
      </w:r>
      <w:r>
        <w:rPr>
          <w:i/>
          <w:spacing w:val="-3"/>
          <w:sz w:val="18"/>
        </w:rPr>
        <w:t xml:space="preserve"> </w:t>
      </w:r>
      <w:r>
        <w:rPr>
          <w:i/>
          <w:sz w:val="18"/>
        </w:rPr>
        <w:t>Tipping</w:t>
      </w:r>
      <w:r>
        <w:rPr>
          <w:i/>
          <w:spacing w:val="-3"/>
          <w:sz w:val="18"/>
        </w:rPr>
        <w:t xml:space="preserve"> </w:t>
      </w:r>
      <w:r>
        <w:rPr>
          <w:i/>
          <w:sz w:val="18"/>
        </w:rPr>
        <w:t>Point</w:t>
      </w:r>
      <w:r>
        <w:rPr>
          <w:sz w:val="18"/>
        </w:rPr>
        <w:t>,</w:t>
      </w:r>
      <w:r>
        <w:rPr>
          <w:spacing w:val="-2"/>
          <w:sz w:val="18"/>
        </w:rPr>
        <w:t xml:space="preserve"> </w:t>
      </w:r>
      <w:r>
        <w:rPr>
          <w:sz w:val="18"/>
        </w:rPr>
        <w:t>The</w:t>
      </w:r>
      <w:r>
        <w:rPr>
          <w:spacing w:val="-4"/>
          <w:sz w:val="18"/>
        </w:rPr>
        <w:t xml:space="preserve"> </w:t>
      </w:r>
      <w:r>
        <w:rPr>
          <w:sz w:val="18"/>
        </w:rPr>
        <w:t>Boston</w:t>
      </w:r>
      <w:r>
        <w:rPr>
          <w:spacing w:val="-3"/>
          <w:sz w:val="18"/>
        </w:rPr>
        <w:t xml:space="preserve"> </w:t>
      </w:r>
      <w:r>
        <w:rPr>
          <w:sz w:val="18"/>
        </w:rPr>
        <w:t>Consulting</w:t>
      </w:r>
      <w:r>
        <w:rPr>
          <w:spacing w:val="-3"/>
          <w:sz w:val="18"/>
        </w:rPr>
        <w:t xml:space="preserve"> </w:t>
      </w:r>
      <w:r>
        <w:rPr>
          <w:sz w:val="18"/>
        </w:rPr>
        <w:t>Group,</w:t>
      </w:r>
      <w:r>
        <w:rPr>
          <w:spacing w:val="-2"/>
          <w:sz w:val="18"/>
        </w:rPr>
        <w:t xml:space="preserve"> </w:t>
      </w:r>
      <w:r>
        <w:rPr>
          <w:sz w:val="18"/>
        </w:rPr>
        <w:t>March</w:t>
      </w:r>
      <w:r>
        <w:rPr>
          <w:spacing w:val="-3"/>
          <w:sz w:val="18"/>
        </w:rPr>
        <w:t xml:space="preserve"> </w:t>
      </w:r>
      <w:r>
        <w:rPr>
          <w:spacing w:val="-2"/>
          <w:sz w:val="18"/>
        </w:rPr>
        <w:t>2012.</w:t>
      </w:r>
    </w:p>
    <w:p w:rsidR="00C31389" w:rsidRDefault="00C31389" w14:paraId="593BFC6A" w14:textId="77777777">
      <w:pPr>
        <w:rPr>
          <w:sz w:val="18"/>
        </w:rPr>
        <w:sectPr w:rsidR="00C31389">
          <w:type w:val="continuous"/>
          <w:pgSz w:w="12240" w:h="15840"/>
          <w:pgMar w:top="0" w:right="960" w:bottom="280" w:left="960" w:header="397" w:footer="936" w:gutter="0"/>
          <w:cols w:space="720"/>
        </w:sectPr>
      </w:pPr>
    </w:p>
    <w:p w:rsidR="00C31389" w:rsidRDefault="00C31389" w14:paraId="6D4F4FD6" w14:textId="77777777">
      <w:pPr>
        <w:pStyle w:val="BodyText"/>
      </w:pPr>
    </w:p>
    <w:p w:rsidR="00C31389" w:rsidRDefault="00C31389" w14:paraId="7C666CF7" w14:textId="77777777">
      <w:pPr>
        <w:pStyle w:val="BodyText"/>
        <w:spacing w:before="10"/>
        <w:rPr>
          <w:sz w:val="13"/>
        </w:rPr>
      </w:pPr>
    </w:p>
    <w:p w:rsidR="00C31389" w:rsidRDefault="00561FBD" w14:paraId="006F415C" w14:textId="77777777">
      <w:pPr>
        <w:pStyle w:val="BodyText"/>
        <w:spacing w:before="93" w:line="264" w:lineRule="auto"/>
        <w:ind w:left="1200" w:right="533"/>
      </w:pPr>
      <w:r>
        <w:t>vary</w:t>
      </w:r>
      <w:r>
        <w:rPr>
          <w:spacing w:val="-4"/>
        </w:rPr>
        <w:t xml:space="preserve"> </w:t>
      </w:r>
      <w:r>
        <w:t>by</w:t>
      </w:r>
      <w:r>
        <w:rPr>
          <w:spacing w:val="-5"/>
        </w:rPr>
        <w:t xml:space="preserve"> </w:t>
      </w:r>
      <w:r>
        <w:t>segment</w:t>
      </w:r>
      <w:r>
        <w:rPr>
          <w:spacing w:val="-4"/>
        </w:rPr>
        <w:t xml:space="preserve"> </w:t>
      </w:r>
      <w:r>
        <w:t>and</w:t>
      </w:r>
      <w:r>
        <w:rPr>
          <w:spacing w:val="-4"/>
        </w:rPr>
        <w:t xml:space="preserve"> </w:t>
      </w:r>
      <w:r>
        <w:t>amount</w:t>
      </w:r>
      <w:r>
        <w:rPr>
          <w:spacing w:val="-4"/>
        </w:rPr>
        <w:t xml:space="preserve"> </w:t>
      </w:r>
      <w:r>
        <w:t>within</w:t>
      </w:r>
      <w:r>
        <w:rPr>
          <w:spacing w:val="-4"/>
        </w:rPr>
        <w:t xml:space="preserve"> </w:t>
      </w:r>
      <w:r>
        <w:t>a</w:t>
      </w:r>
      <w:r>
        <w:rPr>
          <w:spacing w:val="-4"/>
        </w:rPr>
        <w:t xml:space="preserve"> </w:t>
      </w:r>
      <w:r>
        <w:t>program.</w:t>
      </w:r>
      <w:r>
        <w:rPr>
          <w:spacing w:val="-4"/>
        </w:rPr>
        <w:t xml:space="preserve"> </w:t>
      </w:r>
      <w:r>
        <w:t>For</w:t>
      </w:r>
      <w:r>
        <w:rPr>
          <w:spacing w:val="-4"/>
        </w:rPr>
        <w:t xml:space="preserve"> </w:t>
      </w:r>
      <w:r>
        <w:t>example,</w:t>
      </w:r>
      <w:r>
        <w:rPr>
          <w:spacing w:val="-4"/>
        </w:rPr>
        <w:t xml:space="preserve"> </w:t>
      </w:r>
      <w:r>
        <w:t>the</w:t>
      </w:r>
      <w:r>
        <w:rPr>
          <w:spacing w:val="-4"/>
        </w:rPr>
        <w:t xml:space="preserve"> </w:t>
      </w:r>
      <w:r>
        <w:t>home</w:t>
      </w:r>
      <w:r>
        <w:rPr>
          <w:spacing w:val="-4"/>
        </w:rPr>
        <w:t xml:space="preserve"> </w:t>
      </w:r>
      <w:r>
        <w:t>energy</w:t>
      </w:r>
      <w:r>
        <w:rPr>
          <w:spacing w:val="-4"/>
        </w:rPr>
        <w:t xml:space="preserve"> </w:t>
      </w:r>
      <w:r>
        <w:t xml:space="preserve">report (HER) participants are binned </w:t>
      </w:r>
      <w:r>
        <w:t>into low, medium, and high savers.</w:t>
      </w:r>
    </w:p>
    <w:p w:rsidR="00C31389" w:rsidRDefault="00561FBD" w14:paraId="472B2330" w14:textId="77777777">
      <w:pPr>
        <w:pStyle w:val="ListParagraph"/>
        <w:numPr>
          <w:ilvl w:val="0"/>
          <w:numId w:val="63"/>
        </w:numPr>
        <w:tabs>
          <w:tab w:val="left" w:pos="1200"/>
        </w:tabs>
        <w:spacing w:before="120" w:line="261" w:lineRule="auto"/>
        <w:ind w:left="1200" w:right="972"/>
      </w:pPr>
      <w:r>
        <w:rPr>
          <w:b/>
        </w:rPr>
        <w:t xml:space="preserve">Penetration rate </w:t>
      </w:r>
      <w:r>
        <w:t>represents participation and varies over time and by scenario (reference</w:t>
      </w:r>
      <w:r>
        <w:rPr>
          <w:spacing w:val="-4"/>
        </w:rPr>
        <w:t xml:space="preserve"> </w:t>
      </w:r>
      <w:r>
        <w:t>or</w:t>
      </w:r>
      <w:r>
        <w:rPr>
          <w:spacing w:val="-4"/>
        </w:rPr>
        <w:t xml:space="preserve"> </w:t>
      </w:r>
      <w:r>
        <w:t>aggressive).</w:t>
      </w:r>
      <w:r>
        <w:rPr>
          <w:spacing w:val="-4"/>
        </w:rPr>
        <w:t xml:space="preserve"> </w:t>
      </w:r>
      <w:r>
        <w:t>The</w:t>
      </w:r>
      <w:r>
        <w:rPr>
          <w:spacing w:val="-4"/>
        </w:rPr>
        <w:t xml:space="preserve"> </w:t>
      </w:r>
      <w:r>
        <w:t>penetration</w:t>
      </w:r>
      <w:r>
        <w:rPr>
          <w:spacing w:val="-4"/>
        </w:rPr>
        <w:t xml:space="preserve"> </w:t>
      </w:r>
      <w:r>
        <w:t>rate</w:t>
      </w:r>
      <w:r>
        <w:rPr>
          <w:spacing w:val="-3"/>
        </w:rPr>
        <w:t xml:space="preserve"> </w:t>
      </w:r>
      <w:r>
        <w:t>reflects</w:t>
      </w:r>
      <w:r>
        <w:rPr>
          <w:spacing w:val="-4"/>
        </w:rPr>
        <w:t xml:space="preserve"> </w:t>
      </w:r>
      <w:r>
        <w:t>both</w:t>
      </w:r>
      <w:r>
        <w:rPr>
          <w:spacing w:val="-5"/>
        </w:rPr>
        <w:t xml:space="preserve"> </w:t>
      </w:r>
      <w:r>
        <w:t>utility-driven</w:t>
      </w:r>
      <w:r>
        <w:rPr>
          <w:spacing w:val="-5"/>
        </w:rPr>
        <w:t xml:space="preserve"> </w:t>
      </w:r>
      <w:r>
        <w:t>rollout</w:t>
      </w:r>
      <w:r>
        <w:rPr>
          <w:spacing w:val="-4"/>
        </w:rPr>
        <w:t xml:space="preserve"> </w:t>
      </w:r>
      <w:r>
        <w:t xml:space="preserve">and customer uptake of the program, depending on the </w:t>
      </w:r>
      <w:r>
        <w:t>nature of the program.</w:t>
      </w:r>
    </w:p>
    <w:p w:rsidR="00C31389" w:rsidRDefault="00C31389" w14:paraId="5CF1CE31" w14:textId="77777777">
      <w:pPr>
        <w:pStyle w:val="BodyText"/>
        <w:spacing w:before="3"/>
        <w:rPr>
          <w:sz w:val="21"/>
        </w:rPr>
      </w:pPr>
    </w:p>
    <w:p w:rsidR="00C31389" w:rsidRDefault="00561FBD" w14:paraId="4380065E" w14:textId="77777777">
      <w:pPr>
        <w:pStyle w:val="BodyText"/>
        <w:ind w:left="479" w:right="533"/>
      </w:pPr>
      <w:r>
        <w:t>The</w:t>
      </w:r>
      <w:r>
        <w:rPr>
          <w:spacing w:val="-2"/>
        </w:rPr>
        <w:t xml:space="preserve"> </w:t>
      </w:r>
      <w:r>
        <w:t>initial</w:t>
      </w:r>
      <w:r>
        <w:rPr>
          <w:spacing w:val="-3"/>
        </w:rPr>
        <w:t xml:space="preserve"> </w:t>
      </w:r>
      <w:r>
        <w:t>penetration</w:t>
      </w:r>
      <w:r>
        <w:rPr>
          <w:spacing w:val="-2"/>
        </w:rPr>
        <w:t xml:space="preserve"> </w:t>
      </w:r>
      <w:r>
        <w:t>rates</w:t>
      </w:r>
      <w:r>
        <w:rPr>
          <w:spacing w:val="-2"/>
        </w:rPr>
        <w:t xml:space="preserve"> </w:t>
      </w:r>
      <w:r>
        <w:t>are</w:t>
      </w:r>
      <w:r>
        <w:rPr>
          <w:spacing w:val="-2"/>
        </w:rPr>
        <w:t xml:space="preserve"> </w:t>
      </w:r>
      <w:r>
        <w:t>based</w:t>
      </w:r>
      <w:r>
        <w:rPr>
          <w:spacing w:val="-2"/>
        </w:rPr>
        <w:t xml:space="preserve"> </w:t>
      </w:r>
      <w:r>
        <w:t>on</w:t>
      </w:r>
      <w:r>
        <w:rPr>
          <w:spacing w:val="-2"/>
        </w:rPr>
        <w:t xml:space="preserve"> </w:t>
      </w:r>
      <w:r>
        <w:t>existing</w:t>
      </w:r>
      <w:r>
        <w:rPr>
          <w:spacing w:val="-2"/>
        </w:rPr>
        <w:t xml:space="preserve"> </w:t>
      </w:r>
      <w:r>
        <w:t>levels</w:t>
      </w:r>
      <w:r>
        <w:rPr>
          <w:spacing w:val="-3"/>
        </w:rPr>
        <w:t xml:space="preserve"> </w:t>
      </w:r>
      <w:r>
        <w:t>of</w:t>
      </w:r>
      <w:r>
        <w:rPr>
          <w:spacing w:val="-3"/>
        </w:rPr>
        <w:t xml:space="preserve"> </w:t>
      </w:r>
      <w:r>
        <w:t>participation,</w:t>
      </w:r>
      <w:r>
        <w:rPr>
          <w:spacing w:val="-2"/>
        </w:rPr>
        <w:t xml:space="preserve"> </w:t>
      </w:r>
      <w:r>
        <w:t>either</w:t>
      </w:r>
      <w:r>
        <w:rPr>
          <w:spacing w:val="-2"/>
        </w:rPr>
        <w:t xml:space="preserve"> </w:t>
      </w:r>
      <w:r>
        <w:t>for</w:t>
      </w:r>
      <w:r>
        <w:rPr>
          <w:spacing w:val="-2"/>
        </w:rPr>
        <w:t xml:space="preserve"> </w:t>
      </w:r>
      <w:r>
        <w:t>the</w:t>
      </w:r>
      <w:r>
        <w:rPr>
          <w:spacing w:val="-2"/>
        </w:rPr>
        <w:t xml:space="preserve"> </w:t>
      </w:r>
      <w:r>
        <w:t>California IOUs</w:t>
      </w:r>
      <w:r>
        <w:rPr>
          <w:spacing w:val="-3"/>
        </w:rPr>
        <w:t xml:space="preserve"> </w:t>
      </w:r>
      <w:r>
        <w:t>for</w:t>
      </w:r>
      <w:r>
        <w:rPr>
          <w:spacing w:val="-3"/>
        </w:rPr>
        <w:t xml:space="preserve"> </w:t>
      </w:r>
      <w:r>
        <w:t>existing</w:t>
      </w:r>
      <w:r>
        <w:rPr>
          <w:spacing w:val="-3"/>
        </w:rPr>
        <w:t xml:space="preserve"> </w:t>
      </w:r>
      <w:r>
        <w:t>programs</w:t>
      </w:r>
      <w:r>
        <w:rPr>
          <w:spacing w:val="-3"/>
        </w:rPr>
        <w:t xml:space="preserve"> </w:t>
      </w:r>
      <w:r>
        <w:t>or</w:t>
      </w:r>
      <w:r>
        <w:rPr>
          <w:spacing w:val="-3"/>
        </w:rPr>
        <w:t xml:space="preserve"> </w:t>
      </w:r>
      <w:r>
        <w:t>the</w:t>
      </w:r>
      <w:r>
        <w:rPr>
          <w:spacing w:val="-3"/>
        </w:rPr>
        <w:t xml:space="preserve"> </w:t>
      </w:r>
      <w:r>
        <w:t>program</w:t>
      </w:r>
      <w:r>
        <w:rPr>
          <w:spacing w:val="-4"/>
        </w:rPr>
        <w:t xml:space="preserve"> </w:t>
      </w:r>
      <w:r>
        <w:t>from</w:t>
      </w:r>
      <w:r>
        <w:rPr>
          <w:spacing w:val="-3"/>
        </w:rPr>
        <w:t xml:space="preserve"> </w:t>
      </w:r>
      <w:r>
        <w:t>which</w:t>
      </w:r>
      <w:r>
        <w:rPr>
          <w:spacing w:val="-3"/>
        </w:rPr>
        <w:t xml:space="preserve"> </w:t>
      </w:r>
      <w:r>
        <w:t>data</w:t>
      </w:r>
      <w:r>
        <w:rPr>
          <w:spacing w:val="-4"/>
        </w:rPr>
        <w:t xml:space="preserve"> </w:t>
      </w:r>
      <w:r>
        <w:t>was</w:t>
      </w:r>
      <w:r>
        <w:rPr>
          <w:spacing w:val="-3"/>
        </w:rPr>
        <w:t xml:space="preserve"> </w:t>
      </w:r>
      <w:r>
        <w:t>drawn</w:t>
      </w:r>
      <w:r>
        <w:rPr>
          <w:spacing w:val="-3"/>
        </w:rPr>
        <w:t xml:space="preserve"> </w:t>
      </w:r>
      <w:r>
        <w:t>and</w:t>
      </w:r>
      <w:r>
        <w:rPr>
          <w:spacing w:val="-3"/>
        </w:rPr>
        <w:t xml:space="preserve"> </w:t>
      </w:r>
      <w:r>
        <w:t>applied</w:t>
      </w:r>
      <w:r>
        <w:rPr>
          <w:spacing w:val="-4"/>
        </w:rPr>
        <w:t xml:space="preserve"> </w:t>
      </w:r>
      <w:r>
        <w:t>to</w:t>
      </w:r>
      <w:r>
        <w:rPr>
          <w:spacing w:val="-3"/>
        </w:rPr>
        <w:t xml:space="preserve"> </w:t>
      </w:r>
      <w:r>
        <w:t>California IOU territories. The forecast input</w:t>
      </w:r>
      <w:r>
        <w:t>s are the result of previous study stakeholder review, existing program operations, and historical participation rates, and on whether participation is</w:t>
      </w:r>
    </w:p>
    <w:p w:rsidR="00C31389" w:rsidRDefault="00561FBD" w14:paraId="21811273" w14:textId="77777777">
      <w:pPr>
        <w:pStyle w:val="BodyText"/>
        <w:spacing w:line="253" w:lineRule="exact"/>
        <w:ind w:left="479"/>
      </w:pPr>
      <w:r>
        <w:t>utility-driven</w:t>
      </w:r>
      <w:r>
        <w:rPr>
          <w:spacing w:val="-9"/>
        </w:rPr>
        <w:t xml:space="preserve"> </w:t>
      </w:r>
      <w:r>
        <w:t>(opt</w:t>
      </w:r>
      <w:r>
        <w:rPr>
          <w:spacing w:val="-7"/>
        </w:rPr>
        <w:t xml:space="preserve"> </w:t>
      </w:r>
      <w:r>
        <w:t>out)</w:t>
      </w:r>
      <w:r>
        <w:rPr>
          <w:spacing w:val="-7"/>
        </w:rPr>
        <w:t xml:space="preserve"> </w:t>
      </w:r>
      <w:r>
        <w:t>or</w:t>
      </w:r>
      <w:r>
        <w:rPr>
          <w:spacing w:val="-8"/>
        </w:rPr>
        <w:t xml:space="preserve"> </w:t>
      </w:r>
      <w:r>
        <w:t>customer-driven</w:t>
      </w:r>
      <w:r>
        <w:rPr>
          <w:spacing w:val="-7"/>
        </w:rPr>
        <w:t xml:space="preserve"> </w:t>
      </w:r>
      <w:r>
        <w:t>(opt</w:t>
      </w:r>
      <w:r>
        <w:rPr>
          <w:spacing w:val="-7"/>
        </w:rPr>
        <w:t xml:space="preserve"> </w:t>
      </w:r>
      <w:r>
        <w:rPr>
          <w:spacing w:val="-4"/>
        </w:rPr>
        <w:t>in).</w:t>
      </w:r>
    </w:p>
    <w:p w:rsidR="00C31389" w:rsidRDefault="00C31389" w14:paraId="6FAD987F" w14:textId="77777777">
      <w:pPr>
        <w:pStyle w:val="BodyText"/>
        <w:spacing w:before="10"/>
        <w:rPr>
          <w:sz w:val="20"/>
        </w:rPr>
      </w:pPr>
    </w:p>
    <w:p w:rsidR="00C31389" w:rsidRDefault="00561FBD" w14:paraId="71C02E5B" w14:textId="77777777">
      <w:pPr>
        <w:pStyle w:val="BodyText"/>
        <w:ind w:left="479" w:right="485"/>
      </w:pPr>
      <w:r>
        <w:t>The</w:t>
      </w:r>
      <w:r>
        <w:rPr>
          <w:spacing w:val="-3"/>
        </w:rPr>
        <w:t xml:space="preserve"> </w:t>
      </w:r>
      <w:r>
        <w:t>potential</w:t>
      </w:r>
      <w:r>
        <w:rPr>
          <w:spacing w:val="-3"/>
        </w:rPr>
        <w:t xml:space="preserve"> </w:t>
      </w:r>
      <w:r>
        <w:t>for</w:t>
      </w:r>
      <w:r>
        <w:rPr>
          <w:spacing w:val="-3"/>
        </w:rPr>
        <w:t xml:space="preserve"> </w:t>
      </w:r>
      <w:r>
        <w:t>double</w:t>
      </w:r>
      <w:r>
        <w:rPr>
          <w:spacing w:val="-4"/>
        </w:rPr>
        <w:t xml:space="preserve"> </w:t>
      </w:r>
      <w:r>
        <w:t>counting</w:t>
      </w:r>
      <w:r>
        <w:rPr>
          <w:spacing w:val="-3"/>
        </w:rPr>
        <w:t xml:space="preserve"> </w:t>
      </w:r>
      <w:r>
        <w:t>among</w:t>
      </w:r>
      <w:r>
        <w:rPr>
          <w:spacing w:val="-3"/>
        </w:rPr>
        <w:t xml:space="preserve"> </w:t>
      </w:r>
      <w:r>
        <w:t>BROs</w:t>
      </w:r>
      <w:r>
        <w:rPr>
          <w:spacing w:val="-3"/>
        </w:rPr>
        <w:t xml:space="preserve"> </w:t>
      </w:r>
      <w:r>
        <w:t>programs</w:t>
      </w:r>
      <w:r>
        <w:rPr>
          <w:spacing w:val="-3"/>
        </w:rPr>
        <w:t xml:space="preserve"> </w:t>
      </w:r>
      <w:r>
        <w:t>was</w:t>
      </w:r>
      <w:r>
        <w:rPr>
          <w:spacing w:val="-3"/>
        </w:rPr>
        <w:t xml:space="preserve"> </w:t>
      </w:r>
      <w:r>
        <w:t>addressed</w:t>
      </w:r>
      <w:r>
        <w:rPr>
          <w:spacing w:val="-4"/>
        </w:rPr>
        <w:t xml:space="preserve"> </w:t>
      </w:r>
      <w:r>
        <w:t>in</w:t>
      </w:r>
      <w:r>
        <w:rPr>
          <w:spacing w:val="-3"/>
        </w:rPr>
        <w:t xml:space="preserve"> </w:t>
      </w:r>
      <w:r>
        <w:t>the</w:t>
      </w:r>
      <w:r>
        <w:rPr>
          <w:spacing w:val="-3"/>
        </w:rPr>
        <w:t xml:space="preserve"> </w:t>
      </w:r>
      <w:r>
        <w:t>characterization of programs in the same sector. The Guidehouse team adjusted penetration and applicability to avoid the double counting of savings. This effort does not examine programs that focus on demand reduction (e.g., D</w:t>
      </w:r>
      <w:r>
        <w:t xml:space="preserve">emand Response) but includes demand savings from the characterized BROs programs using </w:t>
      </w:r>
      <w:hyperlink w:history="1" w:anchor="_bookmark78">
        <w:r>
          <w:t>Equation 2-6</w:t>
        </w:r>
      </w:hyperlink>
      <w:r>
        <w:t>.</w:t>
      </w:r>
    </w:p>
    <w:p w:rsidR="00C31389" w:rsidRDefault="00C31389" w14:paraId="74BF3A63" w14:textId="77777777">
      <w:pPr>
        <w:pStyle w:val="BodyText"/>
        <w:spacing w:before="10"/>
        <w:rPr>
          <w:sz w:val="20"/>
        </w:rPr>
      </w:pPr>
    </w:p>
    <w:p w:rsidR="00C31389" w:rsidRDefault="00561FBD" w14:paraId="672FE65E" w14:textId="77777777">
      <w:pPr>
        <w:pStyle w:val="Heading7"/>
        <w:ind w:left="566" w:right="566"/>
        <w:jc w:val="center"/>
      </w:pPr>
      <w:bookmarkStart w:name="_bookmark78" w:id="104"/>
      <w:bookmarkEnd w:id="104"/>
      <w:r>
        <w:t>Equation</w:t>
      </w:r>
      <w:r>
        <w:rPr>
          <w:spacing w:val="-8"/>
        </w:rPr>
        <w:t xml:space="preserve"> </w:t>
      </w:r>
      <w:r>
        <w:t>2-6.</w:t>
      </w:r>
      <w:r>
        <w:rPr>
          <w:spacing w:val="-8"/>
        </w:rPr>
        <w:t xml:space="preserve"> </w:t>
      </w:r>
      <w:r>
        <w:t>BROs</w:t>
      </w:r>
      <w:r>
        <w:rPr>
          <w:spacing w:val="-8"/>
        </w:rPr>
        <w:t xml:space="preserve"> </w:t>
      </w:r>
      <w:r>
        <w:t>Demand</w:t>
      </w:r>
      <w:r>
        <w:rPr>
          <w:spacing w:val="-8"/>
        </w:rPr>
        <w:t xml:space="preserve"> </w:t>
      </w:r>
      <w:r>
        <w:rPr>
          <w:spacing w:val="-2"/>
        </w:rPr>
        <w:t>Savings</w:t>
      </w:r>
    </w:p>
    <w:p w:rsidR="00C31389" w:rsidRDefault="00561FBD" w14:paraId="33A58E79" w14:textId="77777777">
      <w:pPr>
        <w:spacing w:before="110" w:line="263" w:lineRule="exact"/>
        <w:ind w:left="1244"/>
        <w:rPr>
          <w:rFonts w:ascii="Cambria Math" w:eastAsia="Cambria Math"/>
        </w:rPr>
      </w:pPr>
      <w:r>
        <w:rPr>
          <w:rFonts w:ascii="Cambria Math" w:eastAsia="Cambria Math"/>
          <w:w w:val="40"/>
        </w:rPr>
        <w:t>𝐼𝐼𝐵𝐵𝐶𝐶𝐸𝐸𝑆𝑆𝑆𝑆𝑆𝑆𝐵𝐵𝑇𝑇𝑇𝑇𝑇𝑇</w:t>
      </w:r>
      <w:r>
        <w:rPr>
          <w:rFonts w:ascii="Cambria Math" w:eastAsia="Cambria Math"/>
          <w:spacing w:val="40"/>
        </w:rPr>
        <w:t xml:space="preserve"> </w:t>
      </w:r>
      <w:r>
        <w:rPr>
          <w:rFonts w:ascii="Cambria Math" w:eastAsia="Cambria Math"/>
          <w:w w:val="40"/>
        </w:rPr>
        <w:t>𝑀𝑀𝑇𝑇𝐸</w:t>
      </w:r>
      <w:r>
        <w:rPr>
          <w:rFonts w:ascii="Cambria Math" w:eastAsia="Cambria Math"/>
          <w:w w:val="40"/>
        </w:rPr>
        <w:t>𝐸</w:t>
      </w:r>
      <w:r>
        <w:rPr>
          <w:rFonts w:ascii="Cambria Math" w:eastAsia="Cambria Math"/>
          <w:w w:val="40"/>
        </w:rPr>
        <w:t>𝑀𝑀𝑆𝑆𝑇𝑇</w:t>
      </w:r>
      <w:r>
        <w:rPr>
          <w:rFonts w:ascii="Cambria Math" w:eastAsia="Cambria Math"/>
          <w:spacing w:val="38"/>
        </w:rPr>
        <w:t xml:space="preserve"> </w:t>
      </w:r>
      <w:r>
        <w:rPr>
          <w:rFonts w:ascii="Cambria Math" w:eastAsia="Cambria Math"/>
          <w:w w:val="40"/>
        </w:rPr>
        <w:t>𝑃𝑃𝑇𝑇𝑇𝑇𝑆𝑆𝐵𝐵𝑇𝑇𝐵𝐵𝑇𝑇𝑇𝑇</w:t>
      </w:r>
      <w:r>
        <w:rPr>
          <w:rFonts w:ascii="Cambria Math" w:eastAsia="Cambria Math"/>
          <w:spacing w:val="40"/>
        </w:rPr>
        <w:t xml:space="preserve"> </w:t>
      </w:r>
      <w:r>
        <w:rPr>
          <w:rFonts w:ascii="Cambria Math" w:eastAsia="Cambria Math"/>
          <w:spacing w:val="-2"/>
          <w:w w:val="40"/>
          <w:position w:val="1"/>
        </w:rPr>
        <w:t>(</w:t>
      </w:r>
      <w:r>
        <w:rPr>
          <w:rFonts w:ascii="Cambria Math" w:eastAsia="Cambria Math"/>
          <w:spacing w:val="-2"/>
          <w:w w:val="40"/>
        </w:rPr>
        <w:t>𝑀𝑀𝑇𝑇</w:t>
      </w:r>
      <w:r>
        <w:rPr>
          <w:rFonts w:ascii="Cambria Math" w:eastAsia="Cambria Math"/>
          <w:spacing w:val="-2"/>
          <w:w w:val="40"/>
          <w:position w:val="1"/>
        </w:rPr>
        <w:t>)</w:t>
      </w:r>
    </w:p>
    <w:p w:rsidR="00C31389" w:rsidRDefault="00561FBD" w14:paraId="71578821" w14:textId="77777777">
      <w:pPr>
        <w:pStyle w:val="BodyText"/>
        <w:spacing w:line="263" w:lineRule="exact"/>
        <w:ind w:left="2684"/>
        <w:rPr>
          <w:rFonts w:ascii="Cambria Math" w:hAnsi="Cambria Math" w:eastAsia="Cambria Math"/>
        </w:rPr>
      </w:pPr>
      <w:r>
        <w:rPr>
          <w:rFonts w:ascii="Cambria Math" w:hAnsi="Cambria Math" w:eastAsia="Cambria Math"/>
          <w:w w:val="45"/>
        </w:rPr>
        <w:t>=</w:t>
      </w:r>
      <w:r>
        <w:rPr>
          <w:rFonts w:ascii="Cambria Math" w:hAnsi="Cambria Math" w:eastAsia="Cambria Math"/>
          <w:spacing w:val="16"/>
        </w:rPr>
        <w:t xml:space="preserve"> </w:t>
      </w:r>
      <w:r>
        <w:rPr>
          <w:rFonts w:ascii="Cambria Math" w:hAnsi="Cambria Math" w:eastAsia="Cambria Math"/>
          <w:w w:val="45"/>
        </w:rPr>
        <w:t>𝐼𝐼𝐵𝐵𝐶𝐶𝐸𝐸𝑆𝑆𝑆𝑆𝑆𝑆𝐵𝐵𝑇𝑇𝑇𝑇𝑇𝑇</w:t>
      </w:r>
      <w:r>
        <w:rPr>
          <w:rFonts w:ascii="Cambria Math" w:hAnsi="Cambria Math" w:eastAsia="Cambria Math"/>
          <w:spacing w:val="12"/>
        </w:rPr>
        <w:t xml:space="preserve"> </w:t>
      </w:r>
      <w:r>
        <w:rPr>
          <w:rFonts w:ascii="Cambria Math" w:hAnsi="Cambria Math" w:eastAsia="Cambria Math"/>
          <w:w w:val="45"/>
        </w:rPr>
        <w:t>𝑀𝑀𝑇𝑇𝐸𝐸𝑀𝑀𝑆𝑆𝑇𝑇</w:t>
      </w:r>
      <w:r>
        <w:rPr>
          <w:rFonts w:ascii="Cambria Math" w:hAnsi="Cambria Math" w:eastAsia="Cambria Math"/>
          <w:spacing w:val="8"/>
        </w:rPr>
        <w:t xml:space="preserve"> </w:t>
      </w:r>
      <w:r>
        <w:rPr>
          <w:rFonts w:ascii="Cambria Math" w:hAnsi="Cambria Math" w:eastAsia="Cambria Math"/>
          <w:w w:val="45"/>
        </w:rPr>
        <w:t>𝑃𝑃𝑇𝑇𝑇𝑇𝑆𝑆𝐵𝐵𝑇𝑇𝐵𝐵𝑇𝑇𝑇𝑇</w:t>
      </w:r>
      <w:r>
        <w:rPr>
          <w:rFonts w:ascii="Cambria Math" w:hAnsi="Cambria Math" w:eastAsia="Cambria Math"/>
          <w:spacing w:val="12"/>
        </w:rPr>
        <w:t xml:space="preserve"> </w:t>
      </w:r>
      <w:r>
        <w:rPr>
          <w:rFonts w:ascii="Cambria Math" w:hAnsi="Cambria Math" w:eastAsia="Cambria Math"/>
          <w:w w:val="45"/>
          <w:position w:val="1"/>
        </w:rPr>
        <w:t>(</w:t>
      </w:r>
      <w:r>
        <w:rPr>
          <w:rFonts w:ascii="Cambria Math" w:hAnsi="Cambria Math" w:eastAsia="Cambria Math"/>
          <w:w w:val="45"/>
        </w:rPr>
        <w:t>𝑀𝑀𝑇𝑇</w:t>
      </w:r>
      <w:r>
        <w:rPr>
          <w:rFonts w:ascii="Cambria Math" w:hAnsi="Cambria Math" w:eastAsia="Cambria Math"/>
          <w:w w:val="45"/>
        </w:rPr>
        <w:t>ℎ</w:t>
      </w:r>
      <w:r>
        <w:rPr>
          <w:rFonts w:ascii="Cambria Math" w:hAnsi="Cambria Math" w:eastAsia="Cambria Math"/>
          <w:w w:val="45"/>
          <w:position w:val="1"/>
        </w:rPr>
        <w:t>)</w:t>
      </w:r>
      <w:r>
        <w:rPr>
          <w:rFonts w:ascii="Cambria Math" w:hAnsi="Cambria Math" w:eastAsia="Cambria Math"/>
          <w:spacing w:val="54"/>
          <w:position w:val="1"/>
        </w:rPr>
        <w:t xml:space="preserve"> </w:t>
      </w:r>
      <w:r>
        <w:rPr>
          <w:rFonts w:ascii="Cambria Math" w:hAnsi="Cambria Math" w:eastAsia="Cambria Math"/>
          <w:w w:val="45"/>
        </w:rPr>
        <w:t>×</w:t>
      </w:r>
      <w:r>
        <w:rPr>
          <w:rFonts w:ascii="Cambria Math" w:hAnsi="Cambria Math" w:eastAsia="Cambria Math"/>
          <w:spacing w:val="55"/>
        </w:rPr>
        <w:t xml:space="preserve"> </w:t>
      </w:r>
      <w:r>
        <w:rPr>
          <w:rFonts w:ascii="Cambria Math" w:hAnsi="Cambria Math" w:eastAsia="Cambria Math"/>
          <w:w w:val="45"/>
        </w:rPr>
        <w:t>𝑃𝑃𝑆𝑆𝑇𝑇𝑀𝑀</w:t>
      </w:r>
      <w:r>
        <w:rPr>
          <w:rFonts w:ascii="Cambria Math" w:hAnsi="Cambria Math" w:eastAsia="Cambria Math"/>
          <w:spacing w:val="11"/>
        </w:rPr>
        <w:t xml:space="preserve"> </w:t>
      </w:r>
      <w:r>
        <w:rPr>
          <w:rFonts w:ascii="Cambria Math" w:hAnsi="Cambria Math" w:eastAsia="Cambria Math"/>
          <w:w w:val="45"/>
        </w:rPr>
        <w:t>𝑇𝑇𝑇𝑇</w:t>
      </w:r>
      <w:r>
        <w:rPr>
          <w:rFonts w:ascii="Cambria Math" w:hAnsi="Cambria Math" w:eastAsia="Cambria Math"/>
          <w:spacing w:val="9"/>
        </w:rPr>
        <w:t xml:space="preserve"> </w:t>
      </w:r>
      <w:r>
        <w:rPr>
          <w:rFonts w:ascii="Cambria Math" w:hAnsi="Cambria Math" w:eastAsia="Cambria Math"/>
          <w:w w:val="45"/>
        </w:rPr>
        <w:t>𝐸𝐸𝐵𝐵𝑆𝑆𝐸𝐸𝐸𝐸𝑆𝑆</w:t>
      </w:r>
      <w:r>
        <w:rPr>
          <w:rFonts w:ascii="Cambria Math" w:hAnsi="Cambria Math" w:eastAsia="Cambria Math"/>
          <w:spacing w:val="9"/>
        </w:rPr>
        <w:t xml:space="preserve"> </w:t>
      </w:r>
      <w:r>
        <w:rPr>
          <w:rFonts w:ascii="Cambria Math" w:hAnsi="Cambria Math" w:eastAsia="Cambria Math"/>
          <w:spacing w:val="-2"/>
          <w:w w:val="45"/>
        </w:rPr>
        <w:t>𝑅𝑅𝑇𝑇𝑇𝑇𝐵𝐵𝑇𝑇</w:t>
      </w:r>
    </w:p>
    <w:p w:rsidR="00C31389" w:rsidRDefault="00C31389" w14:paraId="460E4177" w14:textId="77777777">
      <w:pPr>
        <w:pStyle w:val="BodyText"/>
        <w:spacing w:before="9"/>
        <w:rPr>
          <w:rFonts w:ascii="Cambria Math"/>
          <w:sz w:val="30"/>
        </w:rPr>
      </w:pPr>
    </w:p>
    <w:p w:rsidR="00C31389" w:rsidRDefault="00561FBD" w14:paraId="2BF2463A" w14:textId="77777777">
      <w:pPr>
        <w:pStyle w:val="Heading8"/>
        <w:numPr>
          <w:ilvl w:val="3"/>
          <w:numId w:val="71"/>
        </w:numPr>
        <w:tabs>
          <w:tab w:val="left" w:pos="1212"/>
        </w:tabs>
        <w:ind w:left="1212" w:hanging="732"/>
      </w:pPr>
      <w:bookmarkStart w:name="2.1.5.2_BROs_Costs" w:id="105"/>
      <w:bookmarkEnd w:id="105"/>
      <w:r>
        <w:t>BROs</w:t>
      </w:r>
      <w:r>
        <w:rPr>
          <w:spacing w:val="-9"/>
        </w:rPr>
        <w:t xml:space="preserve"> </w:t>
      </w:r>
      <w:r>
        <w:rPr>
          <w:spacing w:val="-4"/>
        </w:rPr>
        <w:t>Costs</w:t>
      </w:r>
    </w:p>
    <w:p w:rsidR="00C31389" w:rsidRDefault="00C31389" w14:paraId="087CEA4D" w14:textId="77777777">
      <w:pPr>
        <w:pStyle w:val="BodyText"/>
        <w:spacing w:before="9"/>
        <w:rPr>
          <w:b/>
          <w:i/>
          <w:sz w:val="20"/>
        </w:rPr>
      </w:pPr>
    </w:p>
    <w:p w:rsidR="00C31389" w:rsidRDefault="00561FBD" w14:paraId="3B354D89" w14:textId="77777777">
      <w:pPr>
        <w:pStyle w:val="BodyText"/>
        <w:ind w:left="480" w:right="533"/>
      </w:pPr>
      <w:r>
        <w:t xml:space="preserve">Similar to demand savings, utility program costs are calculated from the energy savings in </w:t>
      </w:r>
      <w:hyperlink w:history="1" w:anchor="_bookmark76">
        <w:r>
          <w:t>Equation 2-5</w:t>
        </w:r>
      </w:hyperlink>
      <w:r>
        <w:t xml:space="preserve">. The cost factor in </w:t>
      </w:r>
      <w:hyperlink w:history="1" w:anchor="_bookmark79">
        <w:r>
          <w:t>Equation 2-7</w:t>
        </w:r>
      </w:hyperlink>
      <w:r>
        <w:t xml:space="preserve"> is a unit energy cost expressed in either dollars per</w:t>
      </w:r>
      <w:r>
        <w:rPr>
          <w:spacing w:val="-3"/>
        </w:rPr>
        <w:t xml:space="preserve"> </w:t>
      </w:r>
      <w:r>
        <w:t>kWh</w:t>
      </w:r>
      <w:r>
        <w:rPr>
          <w:spacing w:val="-3"/>
        </w:rPr>
        <w:t xml:space="preserve"> </w:t>
      </w:r>
      <w:r>
        <w:t>or</w:t>
      </w:r>
      <w:r>
        <w:rPr>
          <w:spacing w:val="-5"/>
        </w:rPr>
        <w:t xml:space="preserve"> </w:t>
      </w:r>
      <w:r>
        <w:t>dollars</w:t>
      </w:r>
      <w:r>
        <w:rPr>
          <w:spacing w:val="-3"/>
        </w:rPr>
        <w:t xml:space="preserve"> </w:t>
      </w:r>
      <w:r>
        <w:t>per</w:t>
      </w:r>
      <w:r>
        <w:rPr>
          <w:spacing w:val="-3"/>
        </w:rPr>
        <w:t xml:space="preserve"> </w:t>
      </w:r>
      <w:r>
        <w:t>therm.</w:t>
      </w:r>
      <w:r>
        <w:rPr>
          <w:spacing w:val="-3"/>
        </w:rPr>
        <w:t xml:space="preserve"> </w:t>
      </w:r>
      <w:r>
        <w:t>For</w:t>
      </w:r>
      <w:r>
        <w:rPr>
          <w:spacing w:val="-3"/>
        </w:rPr>
        <w:t xml:space="preserve"> </w:t>
      </w:r>
      <w:r>
        <w:t>programs</w:t>
      </w:r>
      <w:r>
        <w:rPr>
          <w:spacing w:val="-3"/>
        </w:rPr>
        <w:t xml:space="preserve"> </w:t>
      </w:r>
      <w:r>
        <w:t>that</w:t>
      </w:r>
      <w:r>
        <w:rPr>
          <w:spacing w:val="-3"/>
        </w:rPr>
        <w:t xml:space="preserve"> </w:t>
      </w:r>
      <w:r>
        <w:t>save</w:t>
      </w:r>
      <w:r>
        <w:rPr>
          <w:spacing w:val="-3"/>
        </w:rPr>
        <w:t xml:space="preserve"> </w:t>
      </w:r>
      <w:r>
        <w:t>both</w:t>
      </w:r>
      <w:r>
        <w:rPr>
          <w:spacing w:val="-3"/>
        </w:rPr>
        <w:t xml:space="preserve"> </w:t>
      </w:r>
      <w:r>
        <w:t>electricity</w:t>
      </w:r>
      <w:r>
        <w:rPr>
          <w:spacing w:val="-3"/>
        </w:rPr>
        <w:t xml:space="preserve"> </w:t>
      </w:r>
      <w:r>
        <w:t>and</w:t>
      </w:r>
      <w:r>
        <w:rPr>
          <w:spacing w:val="-4"/>
        </w:rPr>
        <w:t xml:space="preserve"> </w:t>
      </w:r>
      <w:r>
        <w:t>gas,</w:t>
      </w:r>
      <w:r>
        <w:rPr>
          <w:spacing w:val="-3"/>
        </w:rPr>
        <w:t xml:space="preserve"> </w:t>
      </w:r>
      <w:r>
        <w:t>it</w:t>
      </w:r>
      <w:r>
        <w:rPr>
          <w:spacing w:val="-3"/>
        </w:rPr>
        <w:t xml:space="preserve"> </w:t>
      </w:r>
      <w:r>
        <w:t>was</w:t>
      </w:r>
      <w:r>
        <w:rPr>
          <w:spacing w:val="-4"/>
        </w:rPr>
        <w:t xml:space="preserve"> </w:t>
      </w:r>
      <w:r>
        <w:t xml:space="preserve">sometimes possible to divide the costs by fuel </w:t>
      </w:r>
      <w:r>
        <w:t>type; however, in instances where this was not possible, all costs were assigned to one fuel type to avoid double counting.</w:t>
      </w:r>
    </w:p>
    <w:p w:rsidR="00C31389" w:rsidRDefault="00C31389" w14:paraId="06EC5824" w14:textId="77777777">
      <w:pPr>
        <w:pStyle w:val="BodyText"/>
        <w:spacing w:before="11"/>
        <w:rPr>
          <w:sz w:val="20"/>
        </w:rPr>
      </w:pPr>
    </w:p>
    <w:p w:rsidR="00C31389" w:rsidRDefault="00561FBD" w14:paraId="33FE089D" w14:textId="77777777">
      <w:pPr>
        <w:pStyle w:val="Heading7"/>
        <w:ind w:left="565" w:right="566"/>
        <w:jc w:val="center"/>
      </w:pPr>
      <w:bookmarkStart w:name="_bookmark79" w:id="106"/>
      <w:bookmarkEnd w:id="106"/>
      <w:r>
        <w:t>Equation</w:t>
      </w:r>
      <w:r>
        <w:rPr>
          <w:spacing w:val="-9"/>
        </w:rPr>
        <w:t xml:space="preserve"> </w:t>
      </w:r>
      <w:r>
        <w:t>2-7.</w:t>
      </w:r>
      <w:r>
        <w:rPr>
          <w:spacing w:val="-8"/>
        </w:rPr>
        <w:t xml:space="preserve"> </w:t>
      </w:r>
      <w:r>
        <w:t>BROs</w:t>
      </w:r>
      <w:r>
        <w:rPr>
          <w:spacing w:val="-8"/>
        </w:rPr>
        <w:t xml:space="preserve"> </w:t>
      </w:r>
      <w:r>
        <w:t>Program</w:t>
      </w:r>
      <w:r>
        <w:rPr>
          <w:spacing w:val="-8"/>
        </w:rPr>
        <w:t xml:space="preserve"> </w:t>
      </w:r>
      <w:r>
        <w:rPr>
          <w:spacing w:val="-4"/>
        </w:rPr>
        <w:t>Costs</w:t>
      </w:r>
    </w:p>
    <w:p w:rsidR="00C31389" w:rsidRDefault="00561FBD" w14:paraId="339D36F8" w14:textId="77777777">
      <w:pPr>
        <w:spacing w:before="119"/>
        <w:ind w:left="563" w:right="566"/>
        <w:jc w:val="center"/>
        <w:rPr>
          <w:rFonts w:ascii="Cambria Math" w:hAnsi="Cambria Math" w:eastAsia="Cambria Math"/>
        </w:rPr>
      </w:pPr>
      <w:r>
        <w:rPr>
          <w:rFonts w:ascii="Cambria Math" w:hAnsi="Cambria Math" w:eastAsia="Cambria Math"/>
          <w:w w:val="45"/>
        </w:rPr>
        <w:t>𝑃𝑃𝐸𝐸𝑇𝑇𝐸𝐸𝐸𝐸𝑇𝑇𝑆𝑆</w:t>
      </w:r>
      <w:r>
        <w:rPr>
          <w:rFonts w:ascii="Cambria Math" w:hAnsi="Cambria Math" w:eastAsia="Cambria Math"/>
          <w:spacing w:val="-7"/>
        </w:rPr>
        <w:t xml:space="preserve"> </w:t>
      </w:r>
      <w:r>
        <w:rPr>
          <w:rFonts w:ascii="Cambria Math" w:hAnsi="Cambria Math" w:eastAsia="Cambria Math"/>
          <w:w w:val="45"/>
        </w:rPr>
        <w:t>𝐶𝐶𝑇𝑇𝑆𝑆𝑇𝑇</w:t>
      </w:r>
      <w:r>
        <w:rPr>
          <w:rFonts w:ascii="Cambria Math" w:hAnsi="Cambria Math" w:eastAsia="Cambria Math"/>
          <w:spacing w:val="3"/>
        </w:rPr>
        <w:t xml:space="preserve"> </w:t>
      </w:r>
      <w:r>
        <w:rPr>
          <w:rFonts w:ascii="Cambria Math" w:hAnsi="Cambria Math" w:eastAsia="Cambria Math"/>
          <w:w w:val="45"/>
        </w:rPr>
        <w:t>=</w:t>
      </w:r>
      <w:r>
        <w:rPr>
          <w:rFonts w:ascii="Cambria Math" w:hAnsi="Cambria Math" w:eastAsia="Cambria Math"/>
        </w:rPr>
        <w:t xml:space="preserve"> </w:t>
      </w:r>
      <w:r>
        <w:rPr>
          <w:rFonts w:ascii="Cambria Math" w:hAnsi="Cambria Math" w:eastAsia="Cambria Math"/>
          <w:w w:val="45"/>
        </w:rPr>
        <w:t>𝐼𝐼𝐵𝐵𝐶𝐶𝐸𝐸𝑆𝑆𝑆𝑆𝑆𝑆𝐵𝐵𝑇𝑇𝑇𝑇𝑇𝑇</w:t>
      </w:r>
      <w:r>
        <w:rPr>
          <w:rFonts w:ascii="Cambria Math" w:hAnsi="Cambria Math" w:eastAsia="Cambria Math"/>
          <w:spacing w:val="-5"/>
        </w:rPr>
        <w:t xml:space="preserve"> </w:t>
      </w:r>
      <w:r>
        <w:rPr>
          <w:rFonts w:ascii="Cambria Math" w:hAnsi="Cambria Math" w:eastAsia="Cambria Math"/>
          <w:w w:val="45"/>
        </w:rPr>
        <w:t>𝑀𝑀</w:t>
      </w:r>
      <w:r>
        <w:rPr>
          <w:rFonts w:ascii="Cambria Math" w:hAnsi="Cambria Math" w:eastAsia="Cambria Math"/>
          <w:w w:val="45"/>
        </w:rPr>
        <w:t>𝑇</w:t>
      </w:r>
      <w:r>
        <w:rPr>
          <w:rFonts w:ascii="Cambria Math" w:hAnsi="Cambria Math" w:eastAsia="Cambria Math"/>
          <w:w w:val="45"/>
        </w:rPr>
        <w:t>𝑇𝐸𝐸𝑀𝑀𝑆𝑆𝑇𝑇</w:t>
      </w:r>
      <w:r>
        <w:rPr>
          <w:rFonts w:ascii="Cambria Math" w:hAnsi="Cambria Math" w:eastAsia="Cambria Math"/>
          <w:spacing w:val="-6"/>
        </w:rPr>
        <w:t xml:space="preserve"> </w:t>
      </w:r>
      <w:r>
        <w:rPr>
          <w:rFonts w:ascii="Cambria Math" w:hAnsi="Cambria Math" w:eastAsia="Cambria Math"/>
          <w:w w:val="45"/>
        </w:rPr>
        <w:t>𝑃𝑃𝑇𝑇𝑇𝑇𝑆𝑆𝐵𝐵𝑇𝑇𝐵𝐵𝑇𝑇𝑇𝑇</w:t>
      </w:r>
      <w:r>
        <w:rPr>
          <w:rFonts w:ascii="Cambria Math" w:hAnsi="Cambria Math" w:eastAsia="Cambria Math"/>
          <w:spacing w:val="33"/>
        </w:rPr>
        <w:t xml:space="preserve"> </w:t>
      </w:r>
      <w:r>
        <w:rPr>
          <w:rFonts w:ascii="Cambria Math" w:hAnsi="Cambria Math" w:eastAsia="Cambria Math"/>
          <w:w w:val="45"/>
        </w:rPr>
        <w:t>×</w:t>
      </w:r>
      <w:r>
        <w:rPr>
          <w:rFonts w:ascii="Cambria Math" w:hAnsi="Cambria Math" w:eastAsia="Cambria Math"/>
          <w:spacing w:val="28"/>
        </w:rPr>
        <w:t xml:space="preserve"> </w:t>
      </w:r>
      <w:r>
        <w:rPr>
          <w:rFonts w:ascii="Cambria Math" w:hAnsi="Cambria Math" w:eastAsia="Cambria Math"/>
          <w:w w:val="45"/>
        </w:rPr>
        <w:t>𝐶𝐶𝑇𝑇𝑆𝑆𝑇𝑇</w:t>
      </w:r>
      <w:r>
        <w:rPr>
          <w:rFonts w:ascii="Cambria Math" w:hAnsi="Cambria Math" w:eastAsia="Cambria Math"/>
          <w:spacing w:val="-6"/>
        </w:rPr>
        <w:t xml:space="preserve"> </w:t>
      </w:r>
      <w:r>
        <w:rPr>
          <w:rFonts w:ascii="Cambria Math" w:hAnsi="Cambria Math" w:eastAsia="Cambria Math"/>
          <w:spacing w:val="-2"/>
          <w:w w:val="45"/>
        </w:rPr>
        <w:t>𝐹𝐹𝑇𝑇𝐶𝐶𝑇𝑇𝑇𝑇𝐸𝐸</w:t>
      </w:r>
    </w:p>
    <w:p w:rsidR="00C31389" w:rsidRDefault="00C31389" w14:paraId="315289F5" w14:textId="77777777">
      <w:pPr>
        <w:pStyle w:val="BodyText"/>
        <w:spacing w:before="7"/>
        <w:rPr>
          <w:rFonts w:ascii="Cambria Math"/>
          <w:sz w:val="21"/>
        </w:rPr>
      </w:pPr>
    </w:p>
    <w:p w:rsidR="00C31389" w:rsidRDefault="00561FBD" w14:paraId="468348E1" w14:textId="77777777">
      <w:pPr>
        <w:pStyle w:val="BodyText"/>
        <w:ind w:left="479" w:right="533"/>
      </w:pPr>
      <w:r>
        <w:t>Although cost and cost-effectiveness of BROs measures are calculated by this study, the methodology</w:t>
      </w:r>
      <w:r>
        <w:rPr>
          <w:spacing w:val="-3"/>
        </w:rPr>
        <w:t xml:space="preserve"> </w:t>
      </w:r>
      <w:r>
        <w:t>does</w:t>
      </w:r>
      <w:r>
        <w:rPr>
          <w:spacing w:val="-3"/>
        </w:rPr>
        <w:t xml:space="preserve"> </w:t>
      </w:r>
      <w:r>
        <w:t>not</w:t>
      </w:r>
      <w:r>
        <w:rPr>
          <w:spacing w:val="-3"/>
        </w:rPr>
        <w:t xml:space="preserve"> </w:t>
      </w:r>
      <w:r>
        <w:t>include</w:t>
      </w:r>
      <w:r>
        <w:rPr>
          <w:spacing w:val="-3"/>
        </w:rPr>
        <w:t xml:space="preserve"> </w:t>
      </w:r>
      <w:r>
        <w:t>any</w:t>
      </w:r>
      <w:r>
        <w:rPr>
          <w:spacing w:val="-4"/>
        </w:rPr>
        <w:t xml:space="preserve"> </w:t>
      </w:r>
      <w:r>
        <w:t>screening</w:t>
      </w:r>
      <w:r>
        <w:rPr>
          <w:spacing w:val="-3"/>
        </w:rPr>
        <w:t xml:space="preserve"> </w:t>
      </w:r>
      <w:r>
        <w:t>for</w:t>
      </w:r>
      <w:r>
        <w:rPr>
          <w:spacing w:val="-3"/>
        </w:rPr>
        <w:t xml:space="preserve"> </w:t>
      </w:r>
      <w:r>
        <w:t>cost-effectiveness;</w:t>
      </w:r>
      <w:r>
        <w:rPr>
          <w:spacing w:val="-3"/>
        </w:rPr>
        <w:t xml:space="preserve"> </w:t>
      </w:r>
      <w:r>
        <w:t>there</w:t>
      </w:r>
      <w:r>
        <w:rPr>
          <w:spacing w:val="-3"/>
        </w:rPr>
        <w:t xml:space="preserve"> </w:t>
      </w:r>
      <w:r>
        <w:t>is</w:t>
      </w:r>
      <w:r>
        <w:rPr>
          <w:spacing w:val="-3"/>
        </w:rPr>
        <w:t xml:space="preserve"> </w:t>
      </w:r>
      <w:r>
        <w:t>no</w:t>
      </w:r>
      <w:r>
        <w:rPr>
          <w:spacing w:val="-3"/>
        </w:rPr>
        <w:t xml:space="preserve"> </w:t>
      </w:r>
      <w:r>
        <w:t>calculation</w:t>
      </w:r>
      <w:r>
        <w:rPr>
          <w:spacing w:val="-3"/>
        </w:rPr>
        <w:t xml:space="preserve"> </w:t>
      </w:r>
      <w:r>
        <w:t>of</w:t>
      </w:r>
      <w:r>
        <w:rPr>
          <w:spacing w:val="-3"/>
        </w:rPr>
        <w:t xml:space="preserve"> </w:t>
      </w:r>
      <w:r>
        <w:t>an economic potential for BRO. There are reasons for this:</w:t>
      </w:r>
    </w:p>
    <w:p w:rsidR="00C31389" w:rsidRDefault="00561FBD" w14:paraId="358FC784" w14:textId="77777777">
      <w:pPr>
        <w:pStyle w:val="ListParagraph"/>
        <w:numPr>
          <w:ilvl w:val="4"/>
          <w:numId w:val="71"/>
        </w:numPr>
        <w:tabs>
          <w:tab w:val="left" w:pos="1200"/>
        </w:tabs>
        <w:spacing w:before="120"/>
        <w:ind w:left="1200" w:right="1401"/>
      </w:pPr>
      <w:r>
        <w:t>Costs</w:t>
      </w:r>
      <w:r>
        <w:rPr>
          <w:spacing w:val="-3"/>
        </w:rPr>
        <w:t xml:space="preserve"> </w:t>
      </w:r>
      <w:r>
        <w:t>for</w:t>
      </w:r>
      <w:r>
        <w:rPr>
          <w:spacing w:val="-3"/>
        </w:rPr>
        <w:t xml:space="preserve"> </w:t>
      </w:r>
      <w:r>
        <w:t>new</w:t>
      </w:r>
      <w:r>
        <w:rPr>
          <w:spacing w:val="-4"/>
        </w:rPr>
        <w:t xml:space="preserve"> </w:t>
      </w:r>
      <w:r>
        <w:t>BROs</w:t>
      </w:r>
      <w:r>
        <w:rPr>
          <w:spacing w:val="-3"/>
        </w:rPr>
        <w:t xml:space="preserve"> </w:t>
      </w:r>
      <w:r>
        <w:t>are</w:t>
      </w:r>
      <w:r>
        <w:rPr>
          <w:spacing w:val="-3"/>
        </w:rPr>
        <w:t xml:space="preserve"> </w:t>
      </w:r>
      <w:r>
        <w:t>inherently</w:t>
      </w:r>
      <w:r>
        <w:rPr>
          <w:spacing w:val="-3"/>
        </w:rPr>
        <w:t xml:space="preserve"> </w:t>
      </w:r>
      <w:r>
        <w:t>uncertain</w:t>
      </w:r>
      <w:r>
        <w:rPr>
          <w:spacing w:val="-3"/>
        </w:rPr>
        <w:t xml:space="preserve"> </w:t>
      </w:r>
      <w:r>
        <w:t>and</w:t>
      </w:r>
      <w:r>
        <w:rPr>
          <w:spacing w:val="-4"/>
        </w:rPr>
        <w:t xml:space="preserve"> </w:t>
      </w:r>
      <w:r>
        <w:t>are</w:t>
      </w:r>
      <w:r>
        <w:rPr>
          <w:spacing w:val="-3"/>
        </w:rPr>
        <w:t xml:space="preserve"> </w:t>
      </w:r>
      <w:r>
        <w:t>sometimes</w:t>
      </w:r>
      <w:r>
        <w:rPr>
          <w:spacing w:val="-3"/>
        </w:rPr>
        <w:t xml:space="preserve"> </w:t>
      </w:r>
      <w:r>
        <w:t>based</w:t>
      </w:r>
      <w:r>
        <w:rPr>
          <w:spacing w:val="-3"/>
        </w:rPr>
        <w:t xml:space="preserve"> </w:t>
      </w:r>
      <w:r>
        <w:t>on</w:t>
      </w:r>
      <w:r>
        <w:rPr>
          <w:spacing w:val="-3"/>
        </w:rPr>
        <w:t xml:space="preserve"> </w:t>
      </w:r>
      <w:r>
        <w:t>pilot programs or programs from other jurisdictions.</w:t>
      </w:r>
    </w:p>
    <w:p w:rsidR="00C31389" w:rsidRDefault="00561FBD" w14:paraId="67E5DC61" w14:textId="77777777">
      <w:pPr>
        <w:pStyle w:val="ListParagraph"/>
        <w:numPr>
          <w:ilvl w:val="4"/>
          <w:numId w:val="71"/>
        </w:numPr>
        <w:tabs>
          <w:tab w:val="left" w:pos="1200"/>
        </w:tabs>
        <w:spacing w:before="119"/>
        <w:ind w:left="1200" w:right="533"/>
      </w:pPr>
      <w:r>
        <w:t>Cost-effectiveness for HER</w:t>
      </w:r>
      <w:r>
        <w:t>s can vary by treatment wave. In the real world, there is an inherent supply curve for cost-effective HERs enrollment that factors into enrollment levels.</w:t>
      </w:r>
      <w:r>
        <w:rPr>
          <w:spacing w:val="-4"/>
        </w:rPr>
        <w:t xml:space="preserve"> </w:t>
      </w:r>
      <w:r>
        <w:t>All</w:t>
      </w:r>
      <w:r>
        <w:rPr>
          <w:spacing w:val="-4"/>
        </w:rPr>
        <w:t xml:space="preserve"> </w:t>
      </w:r>
      <w:r>
        <w:t>previous</w:t>
      </w:r>
      <w:r>
        <w:rPr>
          <w:spacing w:val="-4"/>
        </w:rPr>
        <w:t xml:space="preserve"> </w:t>
      </w:r>
      <w:r>
        <w:t>enrollments</w:t>
      </w:r>
      <w:r>
        <w:rPr>
          <w:spacing w:val="-3"/>
        </w:rPr>
        <w:t xml:space="preserve"> </w:t>
      </w:r>
      <w:r>
        <w:t>could</w:t>
      </w:r>
      <w:r>
        <w:rPr>
          <w:spacing w:val="-4"/>
        </w:rPr>
        <w:t xml:space="preserve"> </w:t>
      </w:r>
      <w:r>
        <w:t>be</w:t>
      </w:r>
      <w:r>
        <w:rPr>
          <w:spacing w:val="-4"/>
        </w:rPr>
        <w:t xml:space="preserve"> </w:t>
      </w:r>
      <w:r>
        <w:t>cost-effective</w:t>
      </w:r>
      <w:r>
        <w:rPr>
          <w:spacing w:val="-4"/>
        </w:rPr>
        <w:t xml:space="preserve"> </w:t>
      </w:r>
      <w:r>
        <w:t>but</w:t>
      </w:r>
      <w:r>
        <w:rPr>
          <w:spacing w:val="-4"/>
        </w:rPr>
        <w:t xml:space="preserve"> </w:t>
      </w:r>
      <w:r>
        <w:t>reaching</w:t>
      </w:r>
      <w:r>
        <w:rPr>
          <w:spacing w:val="-4"/>
        </w:rPr>
        <w:t xml:space="preserve"> </w:t>
      </w:r>
      <w:r>
        <w:t>the</w:t>
      </w:r>
      <w:r>
        <w:rPr>
          <w:spacing w:val="-4"/>
        </w:rPr>
        <w:t xml:space="preserve"> </w:t>
      </w:r>
      <w:r>
        <w:t>next</w:t>
      </w:r>
      <w:r>
        <w:rPr>
          <w:spacing w:val="-4"/>
        </w:rPr>
        <w:t xml:space="preserve"> </w:t>
      </w:r>
      <w:r>
        <w:t>incremental wave might not be.</w:t>
      </w:r>
      <w:r>
        <w:t xml:space="preserve"> However, the simpler approach for the PG Model outlined earlier does not model waves. Applying an economic screen is binary, either a measure is included or excluded. For a program as large as HERs to be as uncertain as it would in the PG Model would be t</w:t>
      </w:r>
      <w:r>
        <w:t>oo far removed from the real world and would lead to vast swings in potential that are unrealistic.</w:t>
      </w:r>
    </w:p>
    <w:p w:rsidR="00C31389" w:rsidRDefault="00C31389" w14:paraId="784475BD" w14:textId="77777777">
      <w:pPr>
        <w:sectPr w:rsidR="00C31389">
          <w:pgSz w:w="12240" w:h="15840"/>
          <w:pgMar w:top="1380" w:right="960" w:bottom="1120" w:left="960" w:header="397" w:footer="936" w:gutter="0"/>
          <w:cols w:space="720"/>
        </w:sectPr>
      </w:pPr>
    </w:p>
    <w:p w:rsidR="00C31389" w:rsidRDefault="00C31389" w14:paraId="7565C134" w14:textId="77777777">
      <w:pPr>
        <w:pStyle w:val="BodyText"/>
      </w:pPr>
    </w:p>
    <w:p w:rsidR="00C31389" w:rsidRDefault="00C31389" w14:paraId="509DCF6F" w14:textId="77777777">
      <w:pPr>
        <w:pStyle w:val="BodyText"/>
        <w:spacing w:before="11"/>
        <w:rPr>
          <w:sz w:val="13"/>
        </w:rPr>
      </w:pPr>
    </w:p>
    <w:p w:rsidR="00C31389" w:rsidRDefault="00561FBD" w14:paraId="512BB814" w14:textId="77777777">
      <w:pPr>
        <w:pStyle w:val="Heading3"/>
        <w:numPr>
          <w:ilvl w:val="2"/>
          <w:numId w:val="71"/>
        </w:numPr>
        <w:tabs>
          <w:tab w:val="left" w:pos="1077"/>
        </w:tabs>
        <w:spacing w:before="92"/>
        <w:ind w:left="1077" w:hanging="597"/>
      </w:pPr>
      <w:bookmarkStart w:name="2.1.6_C&amp;S" w:id="107"/>
      <w:bookmarkStart w:name="_bookmark80" w:id="108"/>
      <w:bookmarkEnd w:id="107"/>
      <w:bookmarkEnd w:id="108"/>
      <w:r>
        <w:rPr>
          <w:spacing w:val="-5"/>
        </w:rPr>
        <w:t>C&amp;S</w:t>
      </w:r>
    </w:p>
    <w:p w:rsidR="00C31389" w:rsidRDefault="00C31389" w14:paraId="1541C08B" w14:textId="77777777">
      <w:pPr>
        <w:pStyle w:val="BodyText"/>
        <w:spacing w:before="9"/>
        <w:rPr>
          <w:b/>
          <w:sz w:val="20"/>
        </w:rPr>
      </w:pPr>
    </w:p>
    <w:p w:rsidR="00C31389" w:rsidRDefault="00561FBD" w14:paraId="16844FD8" w14:textId="77777777">
      <w:pPr>
        <w:pStyle w:val="BodyText"/>
        <w:spacing w:before="1"/>
        <w:ind w:left="480"/>
      </w:pPr>
      <w:r>
        <w:t>C&amp;S</w:t>
      </w:r>
      <w:r>
        <w:rPr>
          <w:spacing w:val="-6"/>
        </w:rPr>
        <w:t xml:space="preserve"> </w:t>
      </w:r>
      <w:r>
        <w:t>impact</w:t>
      </w:r>
      <w:r>
        <w:rPr>
          <w:spacing w:val="-4"/>
        </w:rPr>
        <w:t xml:space="preserve"> </w:t>
      </w:r>
      <w:r>
        <w:t>EE</w:t>
      </w:r>
      <w:r>
        <w:rPr>
          <w:spacing w:val="-6"/>
        </w:rPr>
        <w:t xml:space="preserve"> </w:t>
      </w:r>
      <w:r>
        <w:t>potential</w:t>
      </w:r>
      <w:r>
        <w:rPr>
          <w:spacing w:val="-5"/>
        </w:rPr>
        <w:t xml:space="preserve"> </w:t>
      </w:r>
      <w:r>
        <w:t>in</w:t>
      </w:r>
      <w:r>
        <w:rPr>
          <w:spacing w:val="-5"/>
        </w:rPr>
        <w:t xml:space="preserve"> </w:t>
      </w:r>
      <w:r>
        <w:t>two</w:t>
      </w:r>
      <w:r>
        <w:rPr>
          <w:spacing w:val="-6"/>
        </w:rPr>
        <w:t xml:space="preserve"> </w:t>
      </w:r>
      <w:r>
        <w:rPr>
          <w:spacing w:val="-4"/>
        </w:rPr>
        <w:t>ways:</w:t>
      </w:r>
    </w:p>
    <w:p w:rsidR="00C31389" w:rsidRDefault="00561FBD" w14:paraId="6CF7BF8C" w14:textId="77777777">
      <w:pPr>
        <w:pStyle w:val="ListParagraph"/>
        <w:numPr>
          <w:ilvl w:val="0"/>
          <w:numId w:val="62"/>
        </w:numPr>
        <w:tabs>
          <w:tab w:val="left" w:pos="1199"/>
        </w:tabs>
        <w:spacing w:before="119"/>
        <w:ind w:right="497"/>
      </w:pPr>
      <w:r>
        <w:t xml:space="preserve">C&amp;S impacts the code baseline for IOU-rebated measures. The Guidehouse team have modeled </w:t>
      </w:r>
      <w:r>
        <w:t>that as C&amp;S become more stringent in the future, above code savings claimable</w:t>
      </w:r>
      <w:r>
        <w:rPr>
          <w:spacing w:val="-3"/>
        </w:rPr>
        <w:t xml:space="preserve"> </w:t>
      </w:r>
      <w:r>
        <w:t>by</w:t>
      </w:r>
      <w:r>
        <w:rPr>
          <w:spacing w:val="-4"/>
        </w:rPr>
        <w:t xml:space="preserve"> </w:t>
      </w:r>
      <w:r>
        <w:t>IOU</w:t>
      </w:r>
      <w:r>
        <w:rPr>
          <w:spacing w:val="-4"/>
        </w:rPr>
        <w:t xml:space="preserve"> </w:t>
      </w:r>
      <w:r>
        <w:t>programs</w:t>
      </w:r>
      <w:r>
        <w:rPr>
          <w:spacing w:val="-3"/>
        </w:rPr>
        <w:t xml:space="preserve"> </w:t>
      </w:r>
      <w:r>
        <w:t>decrease.</w:t>
      </w:r>
      <w:r>
        <w:rPr>
          <w:spacing w:val="-3"/>
        </w:rPr>
        <w:t xml:space="preserve"> </w:t>
      </w:r>
      <w:r>
        <w:t>The</w:t>
      </w:r>
      <w:r>
        <w:rPr>
          <w:spacing w:val="-3"/>
        </w:rPr>
        <w:t xml:space="preserve"> </w:t>
      </w:r>
      <w:r>
        <w:t>impacts</w:t>
      </w:r>
      <w:r>
        <w:rPr>
          <w:spacing w:val="-3"/>
        </w:rPr>
        <w:t xml:space="preserve"> </w:t>
      </w:r>
      <w:r>
        <w:t>of</w:t>
      </w:r>
      <w:r>
        <w:rPr>
          <w:spacing w:val="-3"/>
        </w:rPr>
        <w:t xml:space="preserve"> </w:t>
      </w:r>
      <w:r>
        <w:t>code</w:t>
      </w:r>
      <w:r>
        <w:rPr>
          <w:spacing w:val="-6"/>
        </w:rPr>
        <w:t xml:space="preserve"> </w:t>
      </w:r>
      <w:r>
        <w:t>baseline</w:t>
      </w:r>
      <w:r>
        <w:rPr>
          <w:spacing w:val="-3"/>
        </w:rPr>
        <w:t xml:space="preserve"> </w:t>
      </w:r>
      <w:r>
        <w:t>changes</w:t>
      </w:r>
      <w:r>
        <w:rPr>
          <w:spacing w:val="-3"/>
        </w:rPr>
        <w:t xml:space="preserve"> </w:t>
      </w:r>
      <w:r>
        <w:t>on</w:t>
      </w:r>
      <w:r>
        <w:rPr>
          <w:spacing w:val="-3"/>
        </w:rPr>
        <w:t xml:space="preserve"> </w:t>
      </w:r>
      <w:r>
        <w:t>existing measures in the incentive programs are addressed in the EE technology rebates methodology and discussed</w:t>
      </w:r>
      <w:r>
        <w:t xml:space="preserve"> further in Section </w:t>
      </w:r>
      <w:hyperlink w:history="1" w:anchor="_bookmark42">
        <w:r>
          <w:t>2.1.1.2.</w:t>
        </w:r>
      </w:hyperlink>
    </w:p>
    <w:p w:rsidR="00C31389" w:rsidRDefault="00561FBD" w14:paraId="777C52E5" w14:textId="77777777">
      <w:pPr>
        <w:pStyle w:val="ListParagraph"/>
        <w:numPr>
          <w:ilvl w:val="0"/>
          <w:numId w:val="62"/>
        </w:numPr>
        <w:tabs>
          <w:tab w:val="left" w:pos="1199"/>
        </w:tabs>
        <w:spacing w:before="118"/>
        <w:ind w:right="598"/>
      </w:pPr>
      <w:r>
        <w:t>C&amp;S results in holistic changes in the market penetration of efficient technologies. Per CPUC policies, IOUs can claim a portion of savings from C&amp;S that come int</w:t>
      </w:r>
      <w:r>
        <w:t>o effect through</w:t>
      </w:r>
      <w:r>
        <w:rPr>
          <w:spacing w:val="-4"/>
        </w:rPr>
        <w:t xml:space="preserve"> </w:t>
      </w:r>
      <w:r>
        <w:t>the</w:t>
      </w:r>
      <w:r>
        <w:rPr>
          <w:spacing w:val="-5"/>
        </w:rPr>
        <w:t xml:space="preserve"> </w:t>
      </w:r>
      <w:r>
        <w:t>IOU</w:t>
      </w:r>
      <w:r>
        <w:rPr>
          <w:spacing w:val="-5"/>
        </w:rPr>
        <w:t xml:space="preserve"> </w:t>
      </w:r>
      <w:r>
        <w:t>C&amp;S</w:t>
      </w:r>
      <w:r>
        <w:rPr>
          <w:spacing w:val="-4"/>
        </w:rPr>
        <w:t xml:space="preserve"> </w:t>
      </w:r>
      <w:r>
        <w:t>advocacy</w:t>
      </w:r>
      <w:r>
        <w:rPr>
          <w:spacing w:val="-5"/>
        </w:rPr>
        <w:t xml:space="preserve"> </w:t>
      </w:r>
      <w:r>
        <w:t>programs.</w:t>
      </w:r>
      <w:r>
        <w:rPr>
          <w:spacing w:val="-4"/>
        </w:rPr>
        <w:t xml:space="preserve"> </w:t>
      </w:r>
      <w:r>
        <w:t>This</w:t>
      </w:r>
      <w:r>
        <w:rPr>
          <w:spacing w:val="-4"/>
        </w:rPr>
        <w:t xml:space="preserve"> </w:t>
      </w:r>
      <w:r>
        <w:t>section</w:t>
      </w:r>
      <w:r>
        <w:rPr>
          <w:spacing w:val="-4"/>
        </w:rPr>
        <w:t xml:space="preserve"> </w:t>
      </w:r>
      <w:r>
        <w:t>describes</w:t>
      </w:r>
      <w:r>
        <w:rPr>
          <w:spacing w:val="-4"/>
        </w:rPr>
        <w:t xml:space="preserve"> </w:t>
      </w:r>
      <w:r>
        <w:t>the</w:t>
      </w:r>
      <w:r>
        <w:rPr>
          <w:spacing w:val="-4"/>
        </w:rPr>
        <w:t xml:space="preserve"> </w:t>
      </w:r>
      <w:r>
        <w:t>calculation</w:t>
      </w:r>
      <w:r>
        <w:rPr>
          <w:spacing w:val="-4"/>
        </w:rPr>
        <w:t xml:space="preserve"> </w:t>
      </w:r>
      <w:r>
        <w:t>of</w:t>
      </w:r>
      <w:r>
        <w:rPr>
          <w:spacing w:val="-4"/>
        </w:rPr>
        <w:t xml:space="preserve"> </w:t>
      </w:r>
      <w:r>
        <w:t>IOU claimable savings from C&amp;S.</w:t>
      </w:r>
    </w:p>
    <w:p w:rsidR="00C31389" w:rsidRDefault="00C31389" w14:paraId="778510E7" w14:textId="77777777">
      <w:pPr>
        <w:pStyle w:val="BodyText"/>
        <w:spacing w:before="9"/>
        <w:rPr>
          <w:sz w:val="20"/>
        </w:rPr>
      </w:pPr>
    </w:p>
    <w:p w:rsidR="00C31389" w:rsidRDefault="00561FBD" w14:paraId="46E6558B" w14:textId="77777777">
      <w:pPr>
        <w:pStyle w:val="BodyText"/>
        <w:ind w:left="479"/>
      </w:pPr>
      <w:r>
        <w:t>This</w:t>
      </w:r>
      <w:r>
        <w:rPr>
          <w:spacing w:val="-6"/>
        </w:rPr>
        <w:t xml:space="preserve"> </w:t>
      </w:r>
      <w:r>
        <w:t>study</w:t>
      </w:r>
      <w:r>
        <w:rPr>
          <w:spacing w:val="-6"/>
        </w:rPr>
        <w:t xml:space="preserve"> </w:t>
      </w:r>
      <w:r>
        <w:t>calculates</w:t>
      </w:r>
      <w:r>
        <w:rPr>
          <w:spacing w:val="-7"/>
        </w:rPr>
        <w:t xml:space="preserve"> </w:t>
      </w:r>
      <w:r>
        <w:t>the</w:t>
      </w:r>
      <w:r>
        <w:rPr>
          <w:spacing w:val="-6"/>
        </w:rPr>
        <w:t xml:space="preserve"> </w:t>
      </w:r>
      <w:r>
        <w:t>estimated</w:t>
      </w:r>
      <w:r>
        <w:rPr>
          <w:spacing w:val="-6"/>
        </w:rPr>
        <w:t xml:space="preserve"> </w:t>
      </w:r>
      <w:r>
        <w:t>savings</w:t>
      </w:r>
      <w:r>
        <w:rPr>
          <w:spacing w:val="-7"/>
        </w:rPr>
        <w:t xml:space="preserve"> </w:t>
      </w:r>
      <w:r>
        <w:t>of</w:t>
      </w:r>
      <w:r>
        <w:rPr>
          <w:spacing w:val="-6"/>
        </w:rPr>
        <w:t xml:space="preserve"> </w:t>
      </w:r>
      <w:r>
        <w:t>C&amp;S</w:t>
      </w:r>
      <w:r>
        <w:rPr>
          <w:spacing w:val="-6"/>
        </w:rPr>
        <w:t xml:space="preserve"> </w:t>
      </w:r>
      <w:r>
        <w:t>in</w:t>
      </w:r>
      <w:r>
        <w:rPr>
          <w:spacing w:val="-6"/>
        </w:rPr>
        <w:t xml:space="preserve"> </w:t>
      </w:r>
      <w:r>
        <w:t>multiple</w:t>
      </w:r>
      <w:r>
        <w:rPr>
          <w:spacing w:val="-6"/>
        </w:rPr>
        <w:t xml:space="preserve"> </w:t>
      </w:r>
      <w:r>
        <w:t>formats,</w:t>
      </w:r>
      <w:r>
        <w:rPr>
          <w:spacing w:val="-6"/>
        </w:rPr>
        <w:t xml:space="preserve"> </w:t>
      </w:r>
      <w:r>
        <w:t>each</w:t>
      </w:r>
      <w:r>
        <w:rPr>
          <w:spacing w:val="-6"/>
        </w:rPr>
        <w:t xml:space="preserve"> </w:t>
      </w:r>
      <w:r>
        <w:t>for</w:t>
      </w:r>
      <w:r>
        <w:rPr>
          <w:spacing w:val="-6"/>
        </w:rPr>
        <w:t xml:space="preserve"> </w:t>
      </w:r>
      <w:r>
        <w:t>a</w:t>
      </w:r>
      <w:r>
        <w:rPr>
          <w:spacing w:val="-6"/>
        </w:rPr>
        <w:t xml:space="preserve"> </w:t>
      </w:r>
      <w:r>
        <w:t>different</w:t>
      </w:r>
      <w:r>
        <w:rPr>
          <w:spacing w:val="-5"/>
        </w:rPr>
        <w:t xml:space="preserve"> </w:t>
      </w:r>
      <w:r>
        <w:rPr>
          <w:spacing w:val="-4"/>
        </w:rPr>
        <w:t>use:</w:t>
      </w:r>
    </w:p>
    <w:p w:rsidR="00C31389" w:rsidRDefault="00561FBD" w14:paraId="0D6C976E" w14:textId="77777777">
      <w:pPr>
        <w:pStyle w:val="ListParagraph"/>
        <w:numPr>
          <w:ilvl w:val="0"/>
          <w:numId w:val="62"/>
        </w:numPr>
        <w:tabs>
          <w:tab w:val="left" w:pos="1199"/>
        </w:tabs>
        <w:spacing w:before="120"/>
        <w:ind w:right="511"/>
      </w:pPr>
      <w:r>
        <w:rPr>
          <w:b/>
        </w:rPr>
        <w:t xml:space="preserve">Net C&amp;S savings </w:t>
      </w:r>
      <w:r>
        <w:t xml:space="preserve">are the total </w:t>
      </w:r>
      <w:r>
        <w:t>energy savings estimated to be achieved from the updates to C&amp;S since 2006. Net savings calculations account for naturally occurring market</w:t>
      </w:r>
      <w:r>
        <w:rPr>
          <w:spacing w:val="-4"/>
        </w:rPr>
        <w:t xml:space="preserve"> </w:t>
      </w:r>
      <w:r>
        <w:t>adoption</w:t>
      </w:r>
      <w:r>
        <w:rPr>
          <w:spacing w:val="-4"/>
        </w:rPr>
        <w:t xml:space="preserve"> </w:t>
      </w:r>
      <w:r>
        <w:t>(NOMAD)</w:t>
      </w:r>
      <w:r>
        <w:rPr>
          <w:spacing w:val="-4"/>
        </w:rPr>
        <w:t xml:space="preserve"> </w:t>
      </w:r>
      <w:r>
        <w:t>of</w:t>
      </w:r>
      <w:r>
        <w:rPr>
          <w:spacing w:val="-4"/>
        </w:rPr>
        <w:t xml:space="preserve"> </w:t>
      </w:r>
      <w:r>
        <w:t>code-compliant</w:t>
      </w:r>
      <w:r>
        <w:rPr>
          <w:spacing w:val="-4"/>
        </w:rPr>
        <w:t xml:space="preserve"> </w:t>
      </w:r>
      <w:r>
        <w:t>equipment</w:t>
      </w:r>
      <w:r>
        <w:rPr>
          <w:spacing w:val="-4"/>
        </w:rPr>
        <w:t xml:space="preserve"> </w:t>
      </w:r>
      <w:r>
        <w:t>and</w:t>
      </w:r>
      <w:r>
        <w:rPr>
          <w:spacing w:val="-4"/>
        </w:rPr>
        <w:t xml:space="preserve"> </w:t>
      </w:r>
      <w:r>
        <w:t>are</w:t>
      </w:r>
      <w:r>
        <w:rPr>
          <w:spacing w:val="-4"/>
        </w:rPr>
        <w:t xml:space="preserve"> </w:t>
      </w:r>
      <w:r>
        <w:t>used</w:t>
      </w:r>
      <w:r>
        <w:rPr>
          <w:spacing w:val="-4"/>
        </w:rPr>
        <w:t xml:space="preserve"> </w:t>
      </w:r>
      <w:r>
        <w:t>to</w:t>
      </w:r>
      <w:r>
        <w:rPr>
          <w:spacing w:val="-5"/>
        </w:rPr>
        <w:t xml:space="preserve"> </w:t>
      </w:r>
      <w:r>
        <w:t>inform</w:t>
      </w:r>
      <w:r>
        <w:rPr>
          <w:spacing w:val="-5"/>
        </w:rPr>
        <w:t xml:space="preserve"> </w:t>
      </w:r>
      <w:r>
        <w:t>demand forecasting, procurement planning, and tr</w:t>
      </w:r>
      <w:r>
        <w:t>acking against greenhouse gas (GHG) targets. The net C&amp;S savings inform the CEC forecast of AAEE and SB 350 target setting.</w:t>
      </w:r>
    </w:p>
    <w:p w:rsidR="00C31389" w:rsidRDefault="00561FBD" w14:paraId="19FA19F3" w14:textId="77777777">
      <w:pPr>
        <w:pStyle w:val="ListParagraph"/>
        <w:numPr>
          <w:ilvl w:val="0"/>
          <w:numId w:val="62"/>
        </w:numPr>
        <w:tabs>
          <w:tab w:val="left" w:pos="1199"/>
        </w:tabs>
        <w:spacing w:before="118"/>
        <w:ind w:right="779"/>
      </w:pPr>
      <w:r>
        <w:rPr>
          <w:b/>
        </w:rPr>
        <w:t>Net</w:t>
      </w:r>
      <w:r>
        <w:rPr>
          <w:b/>
          <w:spacing w:val="-3"/>
        </w:rPr>
        <w:t xml:space="preserve"> </w:t>
      </w:r>
      <w:r>
        <w:rPr>
          <w:b/>
        </w:rPr>
        <w:t>IOU</w:t>
      </w:r>
      <w:r>
        <w:rPr>
          <w:b/>
          <w:spacing w:val="-2"/>
        </w:rPr>
        <w:t xml:space="preserve"> </w:t>
      </w:r>
      <w:r>
        <w:rPr>
          <w:b/>
        </w:rPr>
        <w:t>C&amp;S</w:t>
      </w:r>
      <w:r>
        <w:rPr>
          <w:b/>
          <w:spacing w:val="-3"/>
        </w:rPr>
        <w:t xml:space="preserve"> </w:t>
      </w:r>
      <w:r>
        <w:rPr>
          <w:b/>
        </w:rPr>
        <w:t>program</w:t>
      </w:r>
      <w:r>
        <w:rPr>
          <w:b/>
          <w:spacing w:val="-2"/>
        </w:rPr>
        <w:t xml:space="preserve"> </w:t>
      </w:r>
      <w:r>
        <w:rPr>
          <w:b/>
        </w:rPr>
        <w:t>savings</w:t>
      </w:r>
      <w:r>
        <w:rPr>
          <w:b/>
          <w:spacing w:val="-3"/>
        </w:rPr>
        <w:t xml:space="preserve"> </w:t>
      </w:r>
      <w:r>
        <w:t>identifies</w:t>
      </w:r>
      <w:r>
        <w:rPr>
          <w:spacing w:val="-3"/>
        </w:rPr>
        <w:t xml:space="preserve"> </w:t>
      </w:r>
      <w:r>
        <w:t>the</w:t>
      </w:r>
      <w:r>
        <w:rPr>
          <w:spacing w:val="-3"/>
        </w:rPr>
        <w:t xml:space="preserve"> </w:t>
      </w:r>
      <w:r>
        <w:t>portion</w:t>
      </w:r>
      <w:r>
        <w:rPr>
          <w:spacing w:val="-3"/>
        </w:rPr>
        <w:t xml:space="preserve"> </w:t>
      </w:r>
      <w:r>
        <w:t>of</w:t>
      </w:r>
      <w:r>
        <w:rPr>
          <w:spacing w:val="-3"/>
        </w:rPr>
        <w:t xml:space="preserve"> </w:t>
      </w:r>
      <w:r>
        <w:t>the</w:t>
      </w:r>
      <w:r>
        <w:rPr>
          <w:spacing w:val="-4"/>
        </w:rPr>
        <w:t xml:space="preserve"> </w:t>
      </w:r>
      <w:r>
        <w:t>net</w:t>
      </w:r>
      <w:r>
        <w:rPr>
          <w:spacing w:val="-3"/>
        </w:rPr>
        <w:t xml:space="preserve"> </w:t>
      </w:r>
      <w:r>
        <w:t>C&amp;S</w:t>
      </w:r>
      <w:r>
        <w:rPr>
          <w:spacing w:val="-3"/>
        </w:rPr>
        <w:t xml:space="preserve"> </w:t>
      </w:r>
      <w:r>
        <w:t>savings</w:t>
      </w:r>
      <w:r>
        <w:rPr>
          <w:spacing w:val="-3"/>
        </w:rPr>
        <w:t xml:space="preserve"> </w:t>
      </w:r>
      <w:r>
        <w:t>that</w:t>
      </w:r>
      <w:r>
        <w:rPr>
          <w:spacing w:val="-3"/>
        </w:rPr>
        <w:t xml:space="preserve"> </w:t>
      </w:r>
      <w:r>
        <w:t>can be attributed to the advocacy work of the IOU’s C</w:t>
      </w:r>
      <w:r>
        <w:t>&amp;S program. This result is used to inform the IOU’s program goals.</w:t>
      </w:r>
    </w:p>
    <w:p w:rsidR="00C31389" w:rsidRDefault="00C31389" w14:paraId="2AC24197" w14:textId="77777777">
      <w:pPr>
        <w:pStyle w:val="BodyText"/>
        <w:spacing w:before="9"/>
        <w:rPr>
          <w:sz w:val="20"/>
        </w:rPr>
      </w:pPr>
    </w:p>
    <w:p w:rsidR="00C31389" w:rsidRDefault="00561FBD" w14:paraId="795B0E2D" w14:textId="77777777">
      <w:pPr>
        <w:pStyle w:val="BodyText"/>
        <w:ind w:left="480" w:right="533" w:hanging="1"/>
      </w:pPr>
      <w:r>
        <w:t>The modeling methodology of C&amp;S savings was based on the ISSM</w:t>
      </w:r>
      <w:r>
        <w:rPr>
          <w:spacing w:val="-36"/>
        </w:rPr>
        <w:t xml:space="preserve"> </w:t>
      </w:r>
      <w:hyperlink w:history="1" w:anchor="_bookmark81">
        <w:r>
          <w:rPr>
            <w:position w:val="7"/>
            <w:sz w:val="14"/>
          </w:rPr>
          <w:t>23</w:t>
        </w:r>
      </w:hyperlink>
      <w:r>
        <w:rPr>
          <w:spacing w:val="30"/>
          <w:position w:val="7"/>
          <w:sz w:val="14"/>
        </w:rPr>
        <w:t xml:space="preserve"> </w:t>
      </w:r>
      <w:r>
        <w:t>developed by Cadmus and DNV GL and used by CPUC in C&amp;S program evaluation. The Guidehouse team replicated the</w:t>
      </w:r>
      <w:r>
        <w:rPr>
          <w:spacing w:val="-3"/>
        </w:rPr>
        <w:t xml:space="preserve"> </w:t>
      </w:r>
      <w:r>
        <w:t>ISSM</w:t>
      </w:r>
      <w:r>
        <w:rPr>
          <w:spacing w:val="-3"/>
        </w:rPr>
        <w:t xml:space="preserve"> </w:t>
      </w:r>
      <w:r>
        <w:t>methodology</w:t>
      </w:r>
      <w:r>
        <w:rPr>
          <w:spacing w:val="-3"/>
        </w:rPr>
        <w:t xml:space="preserve"> </w:t>
      </w:r>
      <w:r>
        <w:t>in</w:t>
      </w:r>
      <w:r>
        <w:rPr>
          <w:spacing w:val="-3"/>
        </w:rPr>
        <w:t xml:space="preserve"> </w:t>
      </w:r>
      <w:r>
        <w:t>the</w:t>
      </w:r>
      <w:r>
        <w:rPr>
          <w:spacing w:val="-3"/>
        </w:rPr>
        <w:t xml:space="preserve"> </w:t>
      </w:r>
      <w:r>
        <w:t>PG</w:t>
      </w:r>
      <w:r>
        <w:rPr>
          <w:spacing w:val="-4"/>
        </w:rPr>
        <w:t xml:space="preserve"> </w:t>
      </w:r>
      <w:r>
        <w:t>Model</w:t>
      </w:r>
      <w:r>
        <w:rPr>
          <w:spacing w:val="-3"/>
        </w:rPr>
        <w:t xml:space="preserve"> </w:t>
      </w:r>
      <w:r>
        <w:t>for</w:t>
      </w:r>
      <w:r>
        <w:rPr>
          <w:spacing w:val="-3"/>
        </w:rPr>
        <w:t xml:space="preserve"> </w:t>
      </w:r>
      <w:r>
        <w:t>use</w:t>
      </w:r>
      <w:r>
        <w:rPr>
          <w:spacing w:val="-4"/>
        </w:rPr>
        <w:t xml:space="preserve"> </w:t>
      </w:r>
      <w:r>
        <w:t>in</w:t>
      </w:r>
      <w:r>
        <w:rPr>
          <w:spacing w:val="-3"/>
        </w:rPr>
        <w:t xml:space="preserve"> </w:t>
      </w:r>
      <w:r>
        <w:t>this</w:t>
      </w:r>
      <w:r>
        <w:rPr>
          <w:spacing w:val="-3"/>
        </w:rPr>
        <w:t xml:space="preserve"> </w:t>
      </w:r>
      <w:r>
        <w:t>study.</w:t>
      </w:r>
      <w:r>
        <w:rPr>
          <w:spacing w:val="-4"/>
        </w:rPr>
        <w:t xml:space="preserve"> </w:t>
      </w:r>
      <w:hyperlink w:history="1" w:anchor="_bookmark82">
        <w:r>
          <w:t>Figure</w:t>
        </w:r>
        <w:r>
          <w:rPr>
            <w:spacing w:val="-2"/>
          </w:rPr>
          <w:t xml:space="preserve"> </w:t>
        </w:r>
        <w:r>
          <w:t>2-11</w:t>
        </w:r>
      </w:hyperlink>
      <w:r>
        <w:rPr>
          <w:spacing w:val="-4"/>
        </w:rPr>
        <w:t xml:space="preserve"> </w:t>
      </w:r>
      <w:r>
        <w:t>illustrates</w:t>
      </w:r>
      <w:r>
        <w:rPr>
          <w:spacing w:val="-3"/>
        </w:rPr>
        <w:t xml:space="preserve"> </w:t>
      </w:r>
      <w:r>
        <w:t>the</w:t>
      </w:r>
      <w:r>
        <w:rPr>
          <w:spacing w:val="-3"/>
        </w:rPr>
        <w:t xml:space="preserve"> </w:t>
      </w:r>
      <w:r>
        <w:t xml:space="preserve">process to calculate net C&amp;S savings and net IOU C&amp;S program savings. Key components of the calculation listed in </w:t>
      </w:r>
      <w:hyperlink w:history="1" w:anchor="_bookmark82">
        <w:r>
          <w:t>Figure 2-11</w:t>
        </w:r>
      </w:hyperlink>
      <w:r>
        <w:t xml:space="preserve"> include the following:</w:t>
      </w:r>
    </w:p>
    <w:p w:rsidR="00C31389" w:rsidRDefault="00561FBD" w14:paraId="353BC9C3" w14:textId="77777777">
      <w:pPr>
        <w:pStyle w:val="ListParagraph"/>
        <w:numPr>
          <w:ilvl w:val="0"/>
          <w:numId w:val="62"/>
        </w:numPr>
        <w:tabs>
          <w:tab w:val="left" w:pos="1200"/>
        </w:tabs>
        <w:spacing w:before="120"/>
        <w:ind w:left="1200" w:right="717"/>
      </w:pPr>
      <w:r>
        <w:rPr>
          <w:b/>
        </w:rPr>
        <w:t xml:space="preserve">Unit sales: </w:t>
      </w:r>
      <w:r>
        <w:t>The assumed baseline units sold each year for each measure; they represent</w:t>
      </w:r>
      <w:r>
        <w:rPr>
          <w:spacing w:val="-5"/>
        </w:rPr>
        <w:t xml:space="preserve"> </w:t>
      </w:r>
      <w:r>
        <w:t>the</w:t>
      </w:r>
      <w:r>
        <w:rPr>
          <w:spacing w:val="-5"/>
        </w:rPr>
        <w:t xml:space="preserve"> </w:t>
      </w:r>
      <w:r>
        <w:t>expected</w:t>
      </w:r>
      <w:r>
        <w:rPr>
          <w:spacing w:val="-6"/>
        </w:rPr>
        <w:t xml:space="preserve"> </w:t>
      </w:r>
      <w:r>
        <w:t>population</w:t>
      </w:r>
      <w:r>
        <w:rPr>
          <w:spacing w:val="-5"/>
        </w:rPr>
        <w:t xml:space="preserve"> </w:t>
      </w:r>
      <w:r>
        <w:t>of</w:t>
      </w:r>
      <w:r>
        <w:rPr>
          <w:spacing w:val="-5"/>
        </w:rPr>
        <w:t xml:space="preserve"> </w:t>
      </w:r>
      <w:r>
        <w:t>code-compliant</w:t>
      </w:r>
      <w:r>
        <w:rPr>
          <w:spacing w:val="-5"/>
        </w:rPr>
        <w:t xml:space="preserve"> </w:t>
      </w:r>
      <w:r>
        <w:t>or</w:t>
      </w:r>
      <w:r>
        <w:rPr>
          <w:spacing w:val="-5"/>
        </w:rPr>
        <w:t xml:space="preserve"> </w:t>
      </w:r>
      <w:r>
        <w:t>standard-compliant</w:t>
      </w:r>
      <w:r>
        <w:rPr>
          <w:spacing w:val="-5"/>
        </w:rPr>
        <w:t xml:space="preserve"> </w:t>
      </w:r>
      <w:r>
        <w:t xml:space="preserve">equipment </w:t>
      </w:r>
      <w:r>
        <w:rPr>
          <w:spacing w:val="-2"/>
        </w:rPr>
        <w:t>adopted</w:t>
      </w:r>
    </w:p>
    <w:p w:rsidR="00C31389" w:rsidRDefault="00561FBD" w14:paraId="51B80997" w14:textId="77777777">
      <w:pPr>
        <w:pStyle w:val="ListParagraph"/>
        <w:numPr>
          <w:ilvl w:val="0"/>
          <w:numId w:val="62"/>
        </w:numPr>
        <w:tabs>
          <w:tab w:val="left" w:pos="1200"/>
        </w:tabs>
        <w:spacing w:before="118"/>
        <w:ind w:left="1200" w:right="1170"/>
      </w:pPr>
      <w:r>
        <w:rPr>
          <w:b/>
        </w:rPr>
        <w:t>UES:</w:t>
      </w:r>
      <w:r>
        <w:rPr>
          <w:b/>
          <w:spacing w:val="-3"/>
        </w:rPr>
        <w:t xml:space="preserve"> </w:t>
      </w:r>
      <w:r>
        <w:t>The</w:t>
      </w:r>
      <w:r>
        <w:rPr>
          <w:spacing w:val="-3"/>
        </w:rPr>
        <w:t xml:space="preserve"> </w:t>
      </w:r>
      <w:r>
        <w:t>energy</w:t>
      </w:r>
      <w:r>
        <w:rPr>
          <w:spacing w:val="-3"/>
        </w:rPr>
        <w:t xml:space="preserve"> </w:t>
      </w:r>
      <w:r>
        <w:t>savings</w:t>
      </w:r>
      <w:r>
        <w:rPr>
          <w:spacing w:val="-3"/>
        </w:rPr>
        <w:t xml:space="preserve"> </w:t>
      </w:r>
      <w:r>
        <w:t>(in</w:t>
      </w:r>
      <w:r>
        <w:rPr>
          <w:spacing w:val="-3"/>
        </w:rPr>
        <w:t xml:space="preserve"> </w:t>
      </w:r>
      <w:r>
        <w:t>kWh,</w:t>
      </w:r>
      <w:r>
        <w:rPr>
          <w:spacing w:val="-4"/>
        </w:rPr>
        <w:t xml:space="preserve"> </w:t>
      </w:r>
      <w:r>
        <w:t>kW,</w:t>
      </w:r>
      <w:r>
        <w:rPr>
          <w:spacing w:val="-3"/>
        </w:rPr>
        <w:t xml:space="preserve"> </w:t>
      </w:r>
      <w:r>
        <w:t>or</w:t>
      </w:r>
      <w:r>
        <w:rPr>
          <w:spacing w:val="-3"/>
        </w:rPr>
        <w:t xml:space="preserve"> </w:t>
      </w:r>
      <w:r>
        <w:t>therms)</w:t>
      </w:r>
      <w:r>
        <w:rPr>
          <w:spacing w:val="-3"/>
        </w:rPr>
        <w:t xml:space="preserve"> </w:t>
      </w:r>
      <w:r>
        <w:t>relative</w:t>
      </w:r>
      <w:r>
        <w:rPr>
          <w:spacing w:val="-4"/>
        </w:rPr>
        <w:t xml:space="preserve"> </w:t>
      </w:r>
      <w:r>
        <w:t>to</w:t>
      </w:r>
      <w:r>
        <w:rPr>
          <w:spacing w:val="-3"/>
        </w:rPr>
        <w:t xml:space="preserve"> </w:t>
      </w:r>
      <w:r>
        <w:t>the</w:t>
      </w:r>
      <w:r>
        <w:rPr>
          <w:spacing w:val="-3"/>
        </w:rPr>
        <w:t xml:space="preserve"> </w:t>
      </w:r>
      <w:r>
        <w:t>previous</w:t>
      </w:r>
      <w:r>
        <w:rPr>
          <w:spacing w:val="-3"/>
        </w:rPr>
        <w:t xml:space="preserve"> </w:t>
      </w:r>
      <w:r>
        <w:t>code</w:t>
      </w:r>
      <w:r>
        <w:rPr>
          <w:spacing w:val="-3"/>
        </w:rPr>
        <w:t xml:space="preserve"> </w:t>
      </w:r>
      <w:r>
        <w:t xml:space="preserve">or </w:t>
      </w:r>
      <w:r>
        <w:t>standard for the new compliant equipment</w:t>
      </w:r>
    </w:p>
    <w:p w:rsidR="00C31389" w:rsidRDefault="00561FBD" w14:paraId="1C54D833" w14:textId="77777777">
      <w:pPr>
        <w:pStyle w:val="ListParagraph"/>
        <w:numPr>
          <w:ilvl w:val="0"/>
          <w:numId w:val="62"/>
        </w:numPr>
        <w:tabs>
          <w:tab w:val="left" w:pos="1199"/>
        </w:tabs>
        <w:spacing w:before="118"/>
        <w:ind w:right="1025"/>
      </w:pPr>
      <w:r>
        <w:rPr>
          <w:b/>
        </w:rPr>
        <w:t>Compliance</w:t>
      </w:r>
      <w:r>
        <w:rPr>
          <w:b/>
          <w:spacing w:val="-4"/>
        </w:rPr>
        <w:t xml:space="preserve"> </w:t>
      </w:r>
      <w:r>
        <w:rPr>
          <w:b/>
        </w:rPr>
        <w:t>adjustment</w:t>
      </w:r>
      <w:r>
        <w:rPr>
          <w:b/>
          <w:spacing w:val="-4"/>
        </w:rPr>
        <w:t xml:space="preserve"> </w:t>
      </w:r>
      <w:r>
        <w:rPr>
          <w:b/>
        </w:rPr>
        <w:t>factor:</w:t>
      </w:r>
      <w:r>
        <w:rPr>
          <w:b/>
          <w:spacing w:val="-4"/>
        </w:rPr>
        <w:t xml:space="preserve"> </w:t>
      </w:r>
      <w:r>
        <w:t>The</w:t>
      </w:r>
      <w:r>
        <w:rPr>
          <w:spacing w:val="-4"/>
        </w:rPr>
        <w:t xml:space="preserve"> </w:t>
      </w:r>
      <w:r>
        <w:t>baseline</w:t>
      </w:r>
      <w:r>
        <w:rPr>
          <w:spacing w:val="-5"/>
        </w:rPr>
        <w:t xml:space="preserve"> </w:t>
      </w:r>
      <w:r>
        <w:t>assumption</w:t>
      </w:r>
      <w:r>
        <w:rPr>
          <w:spacing w:val="-5"/>
        </w:rPr>
        <w:t xml:space="preserve"> </w:t>
      </w:r>
      <w:r>
        <w:t>for</w:t>
      </w:r>
      <w:r>
        <w:rPr>
          <w:spacing w:val="-4"/>
        </w:rPr>
        <w:t xml:space="preserve"> </w:t>
      </w:r>
      <w:r>
        <w:t>the</w:t>
      </w:r>
      <w:r>
        <w:rPr>
          <w:spacing w:val="-4"/>
        </w:rPr>
        <w:t xml:space="preserve"> </w:t>
      </w:r>
      <w:r>
        <w:t>rate</w:t>
      </w:r>
      <w:r>
        <w:rPr>
          <w:spacing w:val="-5"/>
        </w:rPr>
        <w:t xml:space="preserve"> </w:t>
      </w:r>
      <w:r>
        <w:t>at</w:t>
      </w:r>
      <w:r>
        <w:rPr>
          <w:spacing w:val="-4"/>
        </w:rPr>
        <w:t xml:space="preserve"> </w:t>
      </w:r>
      <w:r>
        <w:t>which</w:t>
      </w:r>
      <w:r>
        <w:rPr>
          <w:spacing w:val="-4"/>
        </w:rPr>
        <w:t xml:space="preserve"> </w:t>
      </w:r>
      <w:r>
        <w:t>the population complies with codes or standards</w:t>
      </w:r>
    </w:p>
    <w:p w:rsidR="00C31389" w:rsidRDefault="00561FBD" w14:paraId="7DF6D70B" w14:textId="77777777">
      <w:pPr>
        <w:pStyle w:val="ListParagraph"/>
        <w:numPr>
          <w:ilvl w:val="0"/>
          <w:numId w:val="62"/>
        </w:numPr>
        <w:tabs>
          <w:tab w:val="left" w:pos="1199"/>
        </w:tabs>
        <w:spacing w:before="119"/>
        <w:ind w:right="558"/>
      </w:pPr>
      <w:r>
        <w:rPr>
          <w:b/>
        </w:rPr>
        <w:t>NOMAD:</w:t>
      </w:r>
      <w:r>
        <w:rPr>
          <w:b/>
          <w:spacing w:val="-4"/>
        </w:rPr>
        <w:t xml:space="preserve"> </w:t>
      </w:r>
      <w:r>
        <w:t>The</w:t>
      </w:r>
      <w:r>
        <w:rPr>
          <w:spacing w:val="-4"/>
        </w:rPr>
        <w:t xml:space="preserve"> </w:t>
      </w:r>
      <w:r>
        <w:t>fraction</w:t>
      </w:r>
      <w:r>
        <w:rPr>
          <w:spacing w:val="-4"/>
        </w:rPr>
        <w:t xml:space="preserve"> </w:t>
      </w:r>
      <w:r>
        <w:t>of</w:t>
      </w:r>
      <w:r>
        <w:rPr>
          <w:spacing w:val="-4"/>
        </w:rPr>
        <w:t xml:space="preserve"> </w:t>
      </w:r>
      <w:r>
        <w:t>the</w:t>
      </w:r>
      <w:r>
        <w:rPr>
          <w:spacing w:val="-4"/>
        </w:rPr>
        <w:t xml:space="preserve"> </w:t>
      </w:r>
      <w:r>
        <w:t>population</w:t>
      </w:r>
      <w:r>
        <w:rPr>
          <w:spacing w:val="-4"/>
        </w:rPr>
        <w:t xml:space="preserve"> </w:t>
      </w:r>
      <w:r>
        <w:t>that</w:t>
      </w:r>
      <w:r>
        <w:rPr>
          <w:spacing w:val="-4"/>
        </w:rPr>
        <w:t xml:space="preserve"> </w:t>
      </w:r>
      <w:r>
        <w:t>would</w:t>
      </w:r>
      <w:r>
        <w:rPr>
          <w:spacing w:val="-4"/>
        </w:rPr>
        <w:t xml:space="preserve"> </w:t>
      </w:r>
      <w:r>
        <w:t>naturally</w:t>
      </w:r>
      <w:r>
        <w:rPr>
          <w:spacing w:val="-4"/>
        </w:rPr>
        <w:t xml:space="preserve"> </w:t>
      </w:r>
      <w:r>
        <w:t>adopt</w:t>
      </w:r>
      <w:r>
        <w:rPr>
          <w:spacing w:val="-4"/>
        </w:rPr>
        <w:t xml:space="preserve"> </w:t>
      </w:r>
      <w:r>
        <w:t>the</w:t>
      </w:r>
      <w:r>
        <w:rPr>
          <w:spacing w:val="-4"/>
        </w:rPr>
        <w:t xml:space="preserve"> </w:t>
      </w:r>
      <w:r>
        <w:t>code-compliant</w:t>
      </w:r>
      <w:r>
        <w:rPr>
          <w:spacing w:val="-4"/>
        </w:rPr>
        <w:t xml:space="preserve"> </w:t>
      </w:r>
      <w:r>
        <w:t>or stan</w:t>
      </w:r>
      <w:r>
        <w:t>dard-compliant measure in the absence of any C&amp;S</w:t>
      </w:r>
    </w:p>
    <w:p w:rsidR="00C31389" w:rsidRDefault="00561FBD" w14:paraId="01A4BBE2" w14:textId="77777777">
      <w:pPr>
        <w:pStyle w:val="ListParagraph"/>
        <w:numPr>
          <w:ilvl w:val="0"/>
          <w:numId w:val="62"/>
        </w:numPr>
        <w:tabs>
          <w:tab w:val="left" w:pos="1199"/>
        </w:tabs>
        <w:spacing w:before="118"/>
        <w:ind w:right="647"/>
      </w:pPr>
      <w:r>
        <w:rPr>
          <w:b/>
        </w:rPr>
        <w:t>Attribution:</w:t>
      </w:r>
      <w:r>
        <w:rPr>
          <w:b/>
          <w:spacing w:val="-2"/>
        </w:rPr>
        <w:t xml:space="preserve"> </w:t>
      </w:r>
      <w:r>
        <w:t>The</w:t>
      </w:r>
      <w:r>
        <w:rPr>
          <w:spacing w:val="-3"/>
        </w:rPr>
        <w:t xml:space="preserve"> </w:t>
      </w:r>
      <w:r>
        <w:t>portion</w:t>
      </w:r>
      <w:r>
        <w:rPr>
          <w:spacing w:val="-4"/>
        </w:rPr>
        <w:t xml:space="preserve"> </w:t>
      </w:r>
      <w:r>
        <w:t>of</w:t>
      </w:r>
      <w:r>
        <w:rPr>
          <w:spacing w:val="-3"/>
        </w:rPr>
        <w:t xml:space="preserve"> </w:t>
      </w:r>
      <w:r>
        <w:t>gross</w:t>
      </w:r>
      <w:r>
        <w:rPr>
          <w:spacing w:val="-3"/>
        </w:rPr>
        <w:t xml:space="preserve"> </w:t>
      </w:r>
      <w:r>
        <w:t>C&amp;S</w:t>
      </w:r>
      <w:r>
        <w:rPr>
          <w:spacing w:val="-3"/>
        </w:rPr>
        <w:t xml:space="preserve"> </w:t>
      </w:r>
      <w:r>
        <w:t>savings</w:t>
      </w:r>
      <w:r>
        <w:rPr>
          <w:spacing w:val="-4"/>
        </w:rPr>
        <w:t xml:space="preserve"> </w:t>
      </w:r>
      <w:r>
        <w:t>in</w:t>
      </w:r>
      <w:r>
        <w:rPr>
          <w:spacing w:val="-4"/>
        </w:rPr>
        <w:t xml:space="preserve"> </w:t>
      </w:r>
      <w:r>
        <w:t>California</w:t>
      </w:r>
      <w:r>
        <w:rPr>
          <w:spacing w:val="-3"/>
        </w:rPr>
        <w:t xml:space="preserve"> </w:t>
      </w:r>
      <w:r>
        <w:t>that</w:t>
      </w:r>
      <w:r>
        <w:rPr>
          <w:spacing w:val="-3"/>
        </w:rPr>
        <w:t xml:space="preserve"> </w:t>
      </w:r>
      <w:r>
        <w:t>can</w:t>
      </w:r>
      <w:r>
        <w:rPr>
          <w:spacing w:val="-3"/>
        </w:rPr>
        <w:t xml:space="preserve"> </w:t>
      </w:r>
      <w:r>
        <w:t>be</w:t>
      </w:r>
      <w:r>
        <w:rPr>
          <w:spacing w:val="-3"/>
        </w:rPr>
        <w:t xml:space="preserve"> </w:t>
      </w:r>
      <w:r>
        <w:t>claimed</w:t>
      </w:r>
      <w:r>
        <w:rPr>
          <w:spacing w:val="-3"/>
        </w:rPr>
        <w:t xml:space="preserve"> </w:t>
      </w:r>
      <w:r>
        <w:t>by</w:t>
      </w:r>
      <w:r>
        <w:rPr>
          <w:spacing w:val="-3"/>
        </w:rPr>
        <w:t xml:space="preserve"> </w:t>
      </w:r>
      <w:r>
        <w:t>IOU code support programs</w:t>
      </w:r>
    </w:p>
    <w:p w:rsidR="00C31389" w:rsidRDefault="00C31389" w14:paraId="27C87C62" w14:textId="77777777">
      <w:pPr>
        <w:pStyle w:val="BodyText"/>
        <w:rPr>
          <w:sz w:val="20"/>
        </w:rPr>
      </w:pPr>
    </w:p>
    <w:p w:rsidR="00C31389" w:rsidRDefault="00C31389" w14:paraId="515886AE" w14:textId="77777777">
      <w:pPr>
        <w:pStyle w:val="BodyText"/>
        <w:rPr>
          <w:sz w:val="20"/>
        </w:rPr>
      </w:pPr>
    </w:p>
    <w:p w:rsidR="00C31389" w:rsidRDefault="00C31389" w14:paraId="4C33A6B3" w14:textId="77777777">
      <w:pPr>
        <w:pStyle w:val="BodyText"/>
        <w:rPr>
          <w:sz w:val="20"/>
        </w:rPr>
      </w:pPr>
    </w:p>
    <w:p w:rsidR="00C31389" w:rsidRDefault="00C31389" w14:paraId="748F0F52" w14:textId="77777777">
      <w:pPr>
        <w:pStyle w:val="BodyText"/>
        <w:rPr>
          <w:sz w:val="20"/>
        </w:rPr>
      </w:pPr>
    </w:p>
    <w:p w:rsidR="00C31389" w:rsidRDefault="00561FBD" w14:paraId="2F4BA504" w14:textId="77777777">
      <w:pPr>
        <w:pStyle w:val="BodyText"/>
        <w:rPr>
          <w:sz w:val="11"/>
        </w:rPr>
      </w:pPr>
      <w:r>
        <w:rPr>
          <w:noProof/>
        </w:rPr>
        <mc:AlternateContent>
          <mc:Choice Requires="wps">
            <w:drawing>
              <wp:anchor distT="0" distB="0" distL="0" distR="0" simplePos="0" relativeHeight="487616512" behindDoc="1" locked="0" layoutInCell="1" allowOverlap="1" wp14:editId="0FAECDB5" wp14:anchorId="705BE00A">
                <wp:simplePos x="0" y="0"/>
                <wp:positionH relativeFrom="page">
                  <wp:posOffset>914400</wp:posOffset>
                </wp:positionH>
                <wp:positionV relativeFrom="paragraph">
                  <wp:posOffset>95591</wp:posOffset>
                </wp:positionV>
                <wp:extent cx="1828800" cy="6985"/>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68" style="position:absolute;margin-left:1in;margin-top:7.55pt;width:2in;height:.5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" w14:anchorId="0AA7D927">
                <v:path arrowok="t"/>
                <w10:wrap type="topAndBottom" anchorx="page"/>
              </v:shape>
            </w:pict>
          </mc:Fallback>
        </mc:AlternateContent>
      </w:r>
    </w:p>
    <w:p w:rsidR="00C31389" w:rsidRDefault="00561FBD" w14:paraId="04065769" w14:textId="77777777">
      <w:pPr>
        <w:spacing w:before="89"/>
        <w:ind w:left="480"/>
        <w:rPr>
          <w:sz w:val="18"/>
        </w:rPr>
      </w:pPr>
      <w:bookmarkStart w:name="_bookmark81" w:id="109"/>
      <w:bookmarkEnd w:id="109"/>
      <w:r>
        <w:rPr>
          <w:position w:val="6"/>
          <w:sz w:val="12"/>
        </w:rPr>
        <w:t>23</w:t>
      </w:r>
      <w:r>
        <w:rPr>
          <w:spacing w:val="12"/>
          <w:position w:val="6"/>
          <w:sz w:val="12"/>
        </w:rPr>
        <w:t xml:space="preserve"> </w:t>
      </w:r>
      <w:r>
        <w:rPr>
          <w:sz w:val="18"/>
        </w:rPr>
        <w:t>Cadmus</w:t>
      </w:r>
      <w:r>
        <w:rPr>
          <w:spacing w:val="-3"/>
          <w:sz w:val="18"/>
        </w:rPr>
        <w:t xml:space="preserve"> </w:t>
      </w:r>
      <w:r>
        <w:rPr>
          <w:sz w:val="18"/>
        </w:rPr>
        <w:t>and</w:t>
      </w:r>
      <w:r>
        <w:rPr>
          <w:spacing w:val="-1"/>
          <w:sz w:val="18"/>
        </w:rPr>
        <w:t xml:space="preserve"> </w:t>
      </w:r>
      <w:r>
        <w:rPr>
          <w:sz w:val="18"/>
        </w:rPr>
        <w:t>DNV</w:t>
      </w:r>
      <w:r>
        <w:rPr>
          <w:spacing w:val="-3"/>
          <w:sz w:val="18"/>
        </w:rPr>
        <w:t xml:space="preserve"> </w:t>
      </w:r>
      <w:r>
        <w:rPr>
          <w:sz w:val="18"/>
        </w:rPr>
        <w:t>GL</w:t>
      </w:r>
      <w:r>
        <w:rPr>
          <w:i/>
          <w:sz w:val="18"/>
        </w:rPr>
        <w:t>,</w:t>
      </w:r>
      <w:r>
        <w:rPr>
          <w:i/>
          <w:spacing w:val="-2"/>
          <w:sz w:val="18"/>
        </w:rPr>
        <w:t xml:space="preserve"> </w:t>
      </w:r>
      <w:r>
        <w:rPr>
          <w:i/>
          <w:sz w:val="18"/>
        </w:rPr>
        <w:t>Integrated</w:t>
      </w:r>
      <w:r>
        <w:rPr>
          <w:i/>
          <w:spacing w:val="-3"/>
          <w:sz w:val="18"/>
        </w:rPr>
        <w:t xml:space="preserve"> </w:t>
      </w:r>
      <w:r>
        <w:rPr>
          <w:i/>
          <w:sz w:val="18"/>
        </w:rPr>
        <w:t>Standards</w:t>
      </w:r>
      <w:r>
        <w:rPr>
          <w:i/>
          <w:spacing w:val="-3"/>
          <w:sz w:val="18"/>
        </w:rPr>
        <w:t xml:space="preserve"> </w:t>
      </w:r>
      <w:r>
        <w:rPr>
          <w:i/>
          <w:sz w:val="18"/>
        </w:rPr>
        <w:t>Savings</w:t>
      </w:r>
      <w:r>
        <w:rPr>
          <w:i/>
          <w:spacing w:val="-2"/>
          <w:sz w:val="18"/>
        </w:rPr>
        <w:t xml:space="preserve"> </w:t>
      </w:r>
      <w:r>
        <w:rPr>
          <w:i/>
          <w:sz w:val="18"/>
        </w:rPr>
        <w:t>Model</w:t>
      </w:r>
      <w:r>
        <w:rPr>
          <w:i/>
          <w:spacing w:val="-3"/>
          <w:sz w:val="18"/>
        </w:rPr>
        <w:t xml:space="preserve"> </w:t>
      </w:r>
      <w:r>
        <w:rPr>
          <w:i/>
          <w:sz w:val="18"/>
        </w:rPr>
        <w:t>(ISSM),</w:t>
      </w:r>
      <w:r>
        <w:rPr>
          <w:i/>
          <w:spacing w:val="-1"/>
          <w:sz w:val="18"/>
        </w:rPr>
        <w:t xml:space="preserve"> </w:t>
      </w:r>
      <w:r>
        <w:rPr>
          <w:spacing w:val="-2"/>
          <w:sz w:val="18"/>
        </w:rPr>
        <w:t>2017.</w:t>
      </w:r>
    </w:p>
    <w:p w:rsidR="00C31389" w:rsidRDefault="00C31389" w14:paraId="0253F92B" w14:textId="77777777">
      <w:pPr>
        <w:rPr>
          <w:sz w:val="18"/>
        </w:rPr>
        <w:sectPr w:rsidR="00C31389">
          <w:pgSz w:w="12240" w:h="15840"/>
          <w:pgMar w:top="1380" w:right="960" w:bottom="1120" w:left="960" w:header="397" w:footer="936" w:gutter="0"/>
          <w:cols w:space="720"/>
        </w:sectPr>
      </w:pPr>
    </w:p>
    <w:p w:rsidR="00C31389" w:rsidRDefault="00C31389" w14:paraId="6A8A8590" w14:textId="77777777">
      <w:pPr>
        <w:pStyle w:val="BodyText"/>
      </w:pPr>
    </w:p>
    <w:p w:rsidR="00C31389" w:rsidRDefault="00C31389" w14:paraId="3EB5C077" w14:textId="77777777">
      <w:pPr>
        <w:pStyle w:val="BodyText"/>
        <w:spacing w:before="2"/>
        <w:rPr>
          <w:sz w:val="13"/>
        </w:rPr>
      </w:pPr>
    </w:p>
    <w:p w:rsidR="00C31389" w:rsidRDefault="00561FBD" w14:paraId="5DA566D3" w14:textId="77777777">
      <w:pPr>
        <w:pStyle w:val="ListParagraph"/>
        <w:numPr>
          <w:ilvl w:val="0"/>
          <w:numId w:val="62"/>
        </w:numPr>
        <w:tabs>
          <w:tab w:val="left" w:pos="1199"/>
        </w:tabs>
        <w:spacing w:before="100"/>
        <w:ind w:right="791"/>
      </w:pPr>
      <w:r>
        <w:rPr>
          <w:b/>
        </w:rPr>
        <w:t>Allocation</w:t>
      </w:r>
      <w:r>
        <w:rPr>
          <w:b/>
          <w:spacing w:val="-3"/>
        </w:rPr>
        <w:t xml:space="preserve"> </w:t>
      </w:r>
      <w:r>
        <w:rPr>
          <w:b/>
        </w:rPr>
        <w:t>factors:</w:t>
      </w:r>
      <w:r>
        <w:rPr>
          <w:b/>
          <w:spacing w:val="-3"/>
        </w:rPr>
        <w:t xml:space="preserve"> </w:t>
      </w:r>
      <w:r>
        <w:t>The</w:t>
      </w:r>
      <w:r>
        <w:rPr>
          <w:spacing w:val="-3"/>
        </w:rPr>
        <w:t xml:space="preserve"> </w:t>
      </w:r>
      <w:r>
        <w:t>fraction</w:t>
      </w:r>
      <w:r>
        <w:rPr>
          <w:spacing w:val="-3"/>
        </w:rPr>
        <w:t xml:space="preserve"> </w:t>
      </w:r>
      <w:r>
        <w:t>of</w:t>
      </w:r>
      <w:r>
        <w:rPr>
          <w:spacing w:val="-3"/>
        </w:rPr>
        <w:t xml:space="preserve"> </w:t>
      </w:r>
      <w:r>
        <w:t>the</w:t>
      </w:r>
      <w:r>
        <w:rPr>
          <w:spacing w:val="-3"/>
        </w:rPr>
        <w:t xml:space="preserve"> </w:t>
      </w:r>
      <w:r>
        <w:t>statewide</w:t>
      </w:r>
      <w:r>
        <w:rPr>
          <w:spacing w:val="-3"/>
        </w:rPr>
        <w:t xml:space="preserve"> </w:t>
      </w:r>
      <w:r>
        <w:t>C&amp;S</w:t>
      </w:r>
      <w:r>
        <w:rPr>
          <w:spacing w:val="-3"/>
        </w:rPr>
        <w:t xml:space="preserve"> </w:t>
      </w:r>
      <w:r>
        <w:t>savings</w:t>
      </w:r>
      <w:r>
        <w:rPr>
          <w:spacing w:val="-3"/>
        </w:rPr>
        <w:t xml:space="preserve"> </w:t>
      </w:r>
      <w:r>
        <w:t>that</w:t>
      </w:r>
      <w:r>
        <w:rPr>
          <w:spacing w:val="-3"/>
        </w:rPr>
        <w:t xml:space="preserve"> </w:t>
      </w:r>
      <w:r>
        <w:t>occur</w:t>
      </w:r>
      <w:r>
        <w:rPr>
          <w:spacing w:val="-3"/>
        </w:rPr>
        <w:t xml:space="preserve"> </w:t>
      </w:r>
      <w:r>
        <w:t>in</w:t>
      </w:r>
      <w:r>
        <w:rPr>
          <w:spacing w:val="-3"/>
        </w:rPr>
        <w:t xml:space="preserve"> </w:t>
      </w:r>
      <w:r>
        <w:t>each</w:t>
      </w:r>
      <w:r>
        <w:rPr>
          <w:spacing w:val="-3"/>
        </w:rPr>
        <w:t xml:space="preserve"> </w:t>
      </w:r>
      <w:r>
        <w:t xml:space="preserve">IOU territory (additional discussion found below </w:t>
      </w:r>
      <w:hyperlink w:history="1" w:anchor="_bookmark82">
        <w:r>
          <w:t>Figure 2-11</w:t>
        </w:r>
      </w:hyperlink>
      <w:r>
        <w:t>); additional allocation factors assumed by</w:t>
      </w:r>
      <w:r>
        <w:rPr>
          <w:spacing w:val="-1"/>
        </w:rPr>
        <w:t xml:space="preserve"> </w:t>
      </w:r>
      <w:r>
        <w:t>the Guidehouse team</w:t>
      </w:r>
      <w:r>
        <w:rPr>
          <w:spacing w:val="-1"/>
        </w:rPr>
        <w:t xml:space="preserve"> </w:t>
      </w:r>
      <w:r>
        <w:t>break down the savings into sectors</w:t>
      </w:r>
      <w:r>
        <w:rPr>
          <w:spacing w:val="-1"/>
        </w:rPr>
        <w:t xml:space="preserve"> </w:t>
      </w:r>
      <w:r>
        <w:t>and end uses</w:t>
      </w:r>
    </w:p>
    <w:p w:rsidR="00C31389" w:rsidRDefault="00C31389" w14:paraId="2D66A570" w14:textId="77777777">
      <w:pPr>
        <w:pStyle w:val="BodyText"/>
        <w:spacing w:before="9"/>
        <w:rPr>
          <w:sz w:val="20"/>
        </w:rPr>
      </w:pPr>
    </w:p>
    <w:p w:rsidR="00C31389" w:rsidRDefault="00561FBD" w14:paraId="55E58C08" w14:textId="77777777">
      <w:pPr>
        <w:pStyle w:val="Heading7"/>
        <w:ind w:left="565" w:right="566"/>
        <w:jc w:val="center"/>
      </w:pPr>
      <w:bookmarkStart w:name="_bookmark82" w:id="110"/>
      <w:bookmarkEnd w:id="110"/>
      <w:r>
        <w:t>Figure</w:t>
      </w:r>
      <w:r>
        <w:rPr>
          <w:spacing w:val="-9"/>
        </w:rPr>
        <w:t xml:space="preserve"> </w:t>
      </w:r>
      <w:r>
        <w:t>2-11.</w:t>
      </w:r>
      <w:r>
        <w:rPr>
          <w:spacing w:val="-8"/>
        </w:rPr>
        <w:t xml:space="preserve"> </w:t>
      </w:r>
      <w:r>
        <w:t>C&amp;S</w:t>
      </w:r>
      <w:r>
        <w:rPr>
          <w:spacing w:val="-8"/>
        </w:rPr>
        <w:t xml:space="preserve"> </w:t>
      </w:r>
      <w:r>
        <w:t>Savings</w:t>
      </w:r>
      <w:r>
        <w:rPr>
          <w:spacing w:val="-8"/>
        </w:rPr>
        <w:t xml:space="preserve"> </w:t>
      </w:r>
      <w:r>
        <w:t>Calculation</w:t>
      </w:r>
      <w:r>
        <w:rPr>
          <w:spacing w:val="-8"/>
        </w:rPr>
        <w:t xml:space="preserve"> </w:t>
      </w:r>
      <w:r>
        <w:rPr>
          <w:spacing w:val="-2"/>
        </w:rPr>
        <w:t>Methodology</w:t>
      </w:r>
    </w:p>
    <w:p w:rsidR="00C31389" w:rsidRDefault="00561FBD" w14:paraId="623A00A5" w14:textId="77777777">
      <w:pPr>
        <w:pStyle w:val="BodyText"/>
        <w:spacing w:before="4"/>
        <w:rPr>
          <w:b/>
          <w:sz w:val="8"/>
        </w:rPr>
      </w:pPr>
      <w:r>
        <w:rPr>
          <w:noProof/>
        </w:rPr>
        <w:drawing>
          <wp:anchor distT="0" distB="0" distL="0" distR="0" simplePos="0" relativeHeight="487617536" behindDoc="1" locked="0" layoutInCell="1" allowOverlap="1" wp14:editId="7F28DF50" wp14:anchorId="18FB639B">
            <wp:simplePos x="0" y="0"/>
            <wp:positionH relativeFrom="page">
              <wp:posOffset>914400</wp:posOffset>
            </wp:positionH>
            <wp:positionV relativeFrom="paragraph">
              <wp:posOffset>76628</wp:posOffset>
            </wp:positionV>
            <wp:extent cx="5991852" cy="2828925"/>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7" cstate="print"/>
                    <a:stretch>
                      <a:fillRect/>
                    </a:stretch>
                  </pic:blipFill>
                  <pic:spPr>
                    <a:xfrm>
                      <a:off x="0" y="0"/>
                      <a:ext cx="5991852" cy="2828925"/>
                    </a:xfrm>
                    <a:prstGeom prst="rect">
                      <a:avLst/>
                    </a:prstGeom>
                  </pic:spPr>
                </pic:pic>
              </a:graphicData>
            </a:graphic>
          </wp:anchor>
        </w:drawing>
      </w:r>
    </w:p>
    <w:p w:rsidR="00C31389" w:rsidRDefault="00561FBD" w14:paraId="6637AFCD" w14:textId="77777777">
      <w:pPr>
        <w:spacing w:before="75"/>
        <w:ind w:left="480"/>
        <w:rPr>
          <w:i/>
          <w:sz w:val="18"/>
        </w:rPr>
      </w:pPr>
      <w:r>
        <w:rPr>
          <w:i/>
          <w:sz w:val="18"/>
        </w:rPr>
        <w:t>Source:</w:t>
      </w:r>
      <w:r>
        <w:rPr>
          <w:i/>
          <w:spacing w:val="-4"/>
          <w:sz w:val="18"/>
        </w:rPr>
        <w:t xml:space="preserve"> </w:t>
      </w:r>
      <w:r>
        <w:rPr>
          <w:i/>
          <w:spacing w:val="-2"/>
          <w:sz w:val="18"/>
        </w:rPr>
        <w:t>Guidehouse</w:t>
      </w:r>
    </w:p>
    <w:p w:rsidR="00C31389" w:rsidRDefault="00C31389" w14:paraId="016040F7" w14:textId="77777777">
      <w:pPr>
        <w:pStyle w:val="BodyText"/>
        <w:spacing w:before="9"/>
        <w:rPr>
          <w:i/>
          <w:sz w:val="20"/>
        </w:rPr>
      </w:pPr>
    </w:p>
    <w:p w:rsidR="00C31389" w:rsidRDefault="00561FBD" w14:paraId="64A8F003" w14:textId="77777777">
      <w:pPr>
        <w:pStyle w:val="BodyText"/>
        <w:ind w:left="480" w:right="485"/>
      </w:pPr>
      <w:r>
        <w:t xml:space="preserve">The PG study forecasts potential in </w:t>
      </w:r>
      <w:r>
        <w:t>IOU service territories based on the best approximation for where savings are expected to occur. For C&amp;S this means using an IOU allocation factor based on</w:t>
      </w:r>
      <w:r>
        <w:rPr>
          <w:spacing w:val="-3"/>
        </w:rPr>
        <w:t xml:space="preserve"> </w:t>
      </w:r>
      <w:r>
        <w:t>energy</w:t>
      </w:r>
      <w:r>
        <w:rPr>
          <w:spacing w:val="-3"/>
        </w:rPr>
        <w:t xml:space="preserve"> </w:t>
      </w:r>
      <w:r>
        <w:t>sales.</w:t>
      </w:r>
      <w:r>
        <w:rPr>
          <w:spacing w:val="-3"/>
        </w:rPr>
        <w:t xml:space="preserve"> </w:t>
      </w:r>
      <w:hyperlink w:history="1" w:anchor="_bookmark83">
        <w:r>
          <w:t>Table</w:t>
        </w:r>
        <w:r>
          <w:rPr>
            <w:spacing w:val="-4"/>
          </w:rPr>
          <w:t xml:space="preserve"> </w:t>
        </w:r>
        <w:r>
          <w:t>2-7</w:t>
        </w:r>
      </w:hyperlink>
      <w:r>
        <w:rPr>
          <w:spacing w:val="-3"/>
        </w:rPr>
        <w:t xml:space="preserve"> </w:t>
      </w:r>
      <w:r>
        <w:t>shows</w:t>
      </w:r>
      <w:r>
        <w:rPr>
          <w:spacing w:val="-3"/>
        </w:rPr>
        <w:t xml:space="preserve"> </w:t>
      </w:r>
      <w:r>
        <w:t>allocation</w:t>
      </w:r>
      <w:r>
        <w:rPr>
          <w:spacing w:val="-4"/>
        </w:rPr>
        <w:t xml:space="preserve"> </w:t>
      </w:r>
      <w:r>
        <w:t>factors</w:t>
      </w:r>
      <w:r>
        <w:rPr>
          <w:spacing w:val="-3"/>
        </w:rPr>
        <w:t xml:space="preserve"> </w:t>
      </w:r>
      <w:r>
        <w:t>used</w:t>
      </w:r>
      <w:r>
        <w:rPr>
          <w:spacing w:val="-3"/>
        </w:rPr>
        <w:t xml:space="preserve"> </w:t>
      </w:r>
      <w:r>
        <w:t>in</w:t>
      </w:r>
      <w:r>
        <w:rPr>
          <w:spacing w:val="-3"/>
        </w:rPr>
        <w:t xml:space="preserve"> </w:t>
      </w:r>
      <w:r>
        <w:t>the</w:t>
      </w:r>
      <w:r>
        <w:rPr>
          <w:spacing w:val="-3"/>
        </w:rPr>
        <w:t xml:space="preserve"> </w:t>
      </w:r>
      <w:r>
        <w:t>PG</w:t>
      </w:r>
      <w:r>
        <w:rPr>
          <w:spacing w:val="-4"/>
        </w:rPr>
        <w:t xml:space="preserve"> </w:t>
      </w:r>
      <w:r>
        <w:t>obtained</w:t>
      </w:r>
      <w:r>
        <w:rPr>
          <w:spacing w:val="-3"/>
        </w:rPr>
        <w:t xml:space="preserve"> </w:t>
      </w:r>
      <w:r>
        <w:t>from</w:t>
      </w:r>
      <w:r>
        <w:rPr>
          <w:spacing w:val="-4"/>
        </w:rPr>
        <w:t xml:space="preserve"> </w:t>
      </w:r>
      <w:r>
        <w:t>the</w:t>
      </w:r>
      <w:r>
        <w:rPr>
          <w:spacing w:val="-3"/>
        </w:rPr>
        <w:t xml:space="preserve"> </w:t>
      </w:r>
      <w:r>
        <w:t>evaluation of IOU C&amp;S appliance advocacy program</w:t>
      </w:r>
      <w:r>
        <w:rPr>
          <w:spacing w:val="-37"/>
        </w:rPr>
        <w:t xml:space="preserve"> </w:t>
      </w:r>
      <w:hyperlink w:history="1" w:anchor="_bookmark84">
        <w:r>
          <w:rPr>
            <w:position w:val="7"/>
            <w:sz w:val="14"/>
          </w:rPr>
          <w:t>24</w:t>
        </w:r>
      </w:hyperlink>
      <w:r>
        <w:t>. The values are used to allocate the evaluated</w:t>
      </w:r>
      <w:r>
        <w:t xml:space="preserve"> statewide benefits and costs, by fuel type, to each utility for the cost effectiveness calculations.</w:t>
      </w:r>
    </w:p>
    <w:p w:rsidR="00C31389" w:rsidRDefault="00C31389" w14:paraId="400C8A58" w14:textId="77777777">
      <w:pPr>
        <w:pStyle w:val="BodyText"/>
        <w:spacing w:before="10"/>
        <w:rPr>
          <w:sz w:val="20"/>
        </w:rPr>
      </w:pPr>
    </w:p>
    <w:p w:rsidR="00C31389" w:rsidRDefault="00561FBD" w14:paraId="3C241C73" w14:textId="77777777">
      <w:pPr>
        <w:pStyle w:val="Heading7"/>
        <w:ind w:left="566" w:right="566"/>
        <w:jc w:val="center"/>
      </w:pPr>
      <w:bookmarkStart w:name="_bookmark83" w:id="111"/>
      <w:bookmarkEnd w:id="111"/>
      <w:r>
        <w:t>Table</w:t>
      </w:r>
      <w:r>
        <w:rPr>
          <w:spacing w:val="-6"/>
        </w:rPr>
        <w:t xml:space="preserve"> </w:t>
      </w:r>
      <w:r>
        <w:t>2-7.</w:t>
      </w:r>
      <w:r>
        <w:rPr>
          <w:spacing w:val="48"/>
        </w:rPr>
        <w:t xml:space="preserve"> </w:t>
      </w:r>
      <w:r>
        <w:t>Electric</w:t>
      </w:r>
      <w:r>
        <w:rPr>
          <w:spacing w:val="-6"/>
        </w:rPr>
        <w:t xml:space="preserve"> </w:t>
      </w:r>
      <w:r>
        <w:t>and</w:t>
      </w:r>
      <w:r>
        <w:rPr>
          <w:spacing w:val="-6"/>
        </w:rPr>
        <w:t xml:space="preserve"> </w:t>
      </w:r>
      <w:r>
        <w:t>Gas</w:t>
      </w:r>
      <w:r>
        <w:rPr>
          <w:spacing w:val="-6"/>
        </w:rPr>
        <w:t xml:space="preserve"> </w:t>
      </w:r>
      <w:r>
        <w:t>C&amp;S</w:t>
      </w:r>
      <w:r>
        <w:rPr>
          <w:spacing w:val="-5"/>
        </w:rPr>
        <w:t xml:space="preserve"> </w:t>
      </w:r>
      <w:r>
        <w:t>Savings</w:t>
      </w:r>
      <w:r>
        <w:rPr>
          <w:spacing w:val="-6"/>
        </w:rPr>
        <w:t xml:space="preserve"> </w:t>
      </w:r>
      <w:r>
        <w:t>Allocation</w:t>
      </w:r>
      <w:r>
        <w:rPr>
          <w:spacing w:val="-5"/>
        </w:rPr>
        <w:t xml:space="preserve"> </w:t>
      </w:r>
      <w:r>
        <w:t>by</w:t>
      </w:r>
      <w:r>
        <w:rPr>
          <w:spacing w:val="-6"/>
        </w:rPr>
        <w:t xml:space="preserve"> </w:t>
      </w:r>
      <w:r>
        <w:rPr>
          <w:spacing w:val="-5"/>
        </w:rPr>
        <w:t>IOU</w:t>
      </w:r>
    </w:p>
    <w:p w:rsidR="00C31389" w:rsidRDefault="00C31389" w14:paraId="50643062" w14:textId="77777777">
      <w:pPr>
        <w:pStyle w:val="BodyText"/>
        <w:rPr>
          <w:b/>
          <w:sz w:val="10"/>
        </w:rPr>
      </w:pPr>
    </w:p>
    <w:tbl>
      <w:tblPr>
        <w:tblW w:w="0" w:type="auto"/>
        <w:tblInd w:w="1080" w:type="dxa"/>
        <w:tblLayout w:type="fixed"/>
        <w:tblCellMar>
          <w:left w:w="0" w:type="dxa"/>
          <w:right w:w="0" w:type="dxa"/>
        </w:tblCellMar>
        <w:tblLook w:val="01E0" w:firstRow="1" w:lastRow="1" w:firstColumn="1" w:lastColumn="1" w:noHBand="0" w:noVBand="0"/>
      </w:tblPr>
      <w:tblGrid>
        <w:gridCol w:w="1281"/>
        <w:gridCol w:w="1184"/>
        <w:gridCol w:w="747"/>
        <w:gridCol w:w="759"/>
        <w:gridCol w:w="960"/>
        <w:gridCol w:w="758"/>
        <w:gridCol w:w="747"/>
        <w:gridCol w:w="759"/>
        <w:gridCol w:w="971"/>
      </w:tblGrid>
      <w:tr w:rsidR="00C31389" w14:paraId="0CBB65D0" w14:textId="77777777">
        <w:trPr>
          <w:trHeight w:val="212"/>
        </w:trPr>
        <w:tc>
          <w:tcPr>
            <w:tcW w:w="1281" w:type="dxa"/>
            <w:shd w:val="clear" w:color="auto" w:fill="92D400"/>
          </w:tcPr>
          <w:p w:rsidR="00C31389" w:rsidRDefault="00C31389" w14:paraId="2EA0F9D1" w14:textId="77777777">
            <w:pPr>
              <w:pStyle w:val="TableParagraph"/>
              <w:spacing w:before="0"/>
              <w:rPr>
                <w:rFonts w:ascii="Times New Roman"/>
                <w:sz w:val="14"/>
              </w:rPr>
            </w:pPr>
          </w:p>
        </w:tc>
        <w:tc>
          <w:tcPr>
            <w:tcW w:w="1184" w:type="dxa"/>
            <w:shd w:val="clear" w:color="auto" w:fill="92D400"/>
          </w:tcPr>
          <w:p w:rsidR="00C31389" w:rsidRDefault="00C31389" w14:paraId="709C9513" w14:textId="77777777">
            <w:pPr>
              <w:pStyle w:val="TableParagraph"/>
              <w:spacing w:before="0"/>
              <w:rPr>
                <w:rFonts w:ascii="Times New Roman"/>
                <w:sz w:val="14"/>
              </w:rPr>
            </w:pPr>
          </w:p>
        </w:tc>
        <w:tc>
          <w:tcPr>
            <w:tcW w:w="1506" w:type="dxa"/>
            <w:gridSpan w:val="2"/>
            <w:shd w:val="clear" w:color="auto" w:fill="92D400"/>
          </w:tcPr>
          <w:p w:rsidR="00C31389" w:rsidRDefault="00561FBD" w14:paraId="420FE50D" w14:textId="77777777">
            <w:pPr>
              <w:pStyle w:val="TableParagraph"/>
              <w:spacing w:before="42" w:line="151" w:lineRule="exact"/>
              <w:ind w:left="557"/>
              <w:rPr>
                <w:b/>
                <w:sz w:val="17"/>
              </w:rPr>
            </w:pPr>
            <w:r>
              <w:rPr>
                <w:b/>
                <w:spacing w:val="-2"/>
                <w:sz w:val="17"/>
              </w:rPr>
              <w:t>Electric</w:t>
            </w:r>
          </w:p>
        </w:tc>
        <w:tc>
          <w:tcPr>
            <w:tcW w:w="960" w:type="dxa"/>
            <w:shd w:val="clear" w:color="auto" w:fill="92D400"/>
          </w:tcPr>
          <w:p w:rsidR="00C31389" w:rsidRDefault="00C31389" w14:paraId="76D2F3F8" w14:textId="77777777">
            <w:pPr>
              <w:pStyle w:val="TableParagraph"/>
              <w:spacing w:before="0"/>
              <w:rPr>
                <w:rFonts w:ascii="Times New Roman"/>
                <w:sz w:val="14"/>
              </w:rPr>
            </w:pPr>
          </w:p>
        </w:tc>
        <w:tc>
          <w:tcPr>
            <w:tcW w:w="758" w:type="dxa"/>
            <w:shd w:val="clear" w:color="auto" w:fill="92D400"/>
          </w:tcPr>
          <w:p w:rsidR="00C31389" w:rsidRDefault="00C31389" w14:paraId="15E65F8A" w14:textId="77777777">
            <w:pPr>
              <w:pStyle w:val="TableParagraph"/>
              <w:spacing w:before="0"/>
              <w:rPr>
                <w:rFonts w:ascii="Times New Roman"/>
                <w:sz w:val="14"/>
              </w:rPr>
            </w:pPr>
          </w:p>
        </w:tc>
        <w:tc>
          <w:tcPr>
            <w:tcW w:w="1506" w:type="dxa"/>
            <w:gridSpan w:val="2"/>
            <w:shd w:val="clear" w:color="auto" w:fill="92D400"/>
          </w:tcPr>
          <w:p w:rsidR="00C31389" w:rsidRDefault="00561FBD" w14:paraId="41EC0115" w14:textId="77777777">
            <w:pPr>
              <w:pStyle w:val="TableParagraph"/>
              <w:spacing w:before="42" w:line="151" w:lineRule="exact"/>
              <w:ind w:left="704"/>
              <w:rPr>
                <w:b/>
                <w:sz w:val="17"/>
              </w:rPr>
            </w:pPr>
            <w:r>
              <w:rPr>
                <w:b/>
                <w:spacing w:val="-5"/>
                <w:sz w:val="17"/>
              </w:rPr>
              <w:t>Gas</w:t>
            </w:r>
          </w:p>
        </w:tc>
        <w:tc>
          <w:tcPr>
            <w:tcW w:w="971" w:type="dxa"/>
            <w:shd w:val="clear" w:color="auto" w:fill="92D400"/>
          </w:tcPr>
          <w:p w:rsidR="00C31389" w:rsidRDefault="00C31389" w14:paraId="15F25534" w14:textId="77777777">
            <w:pPr>
              <w:pStyle w:val="TableParagraph"/>
              <w:spacing w:before="0"/>
              <w:rPr>
                <w:rFonts w:ascii="Times New Roman"/>
                <w:sz w:val="14"/>
              </w:rPr>
            </w:pPr>
          </w:p>
        </w:tc>
      </w:tr>
      <w:tr w:rsidR="00C31389" w14:paraId="4AA05CB3" w14:textId="77777777">
        <w:trPr>
          <w:trHeight w:val="375"/>
        </w:trPr>
        <w:tc>
          <w:tcPr>
            <w:tcW w:w="1281" w:type="dxa"/>
            <w:shd w:val="clear" w:color="auto" w:fill="92D400"/>
          </w:tcPr>
          <w:p w:rsidR="00C31389" w:rsidRDefault="00561FBD" w14:paraId="0C3D9FB4" w14:textId="77777777">
            <w:pPr>
              <w:pStyle w:val="TableParagraph"/>
              <w:spacing w:before="0" w:line="165" w:lineRule="exact"/>
              <w:ind w:left="115"/>
              <w:rPr>
                <w:b/>
                <w:sz w:val="17"/>
              </w:rPr>
            </w:pPr>
            <w:r>
              <w:rPr>
                <w:b/>
                <w:spacing w:val="-5"/>
                <w:sz w:val="17"/>
              </w:rPr>
              <w:t>IOU</w:t>
            </w:r>
          </w:p>
        </w:tc>
        <w:tc>
          <w:tcPr>
            <w:tcW w:w="1184" w:type="dxa"/>
            <w:shd w:val="clear" w:color="auto" w:fill="92D400"/>
          </w:tcPr>
          <w:p w:rsidR="00C31389" w:rsidRDefault="00561FBD" w14:paraId="33246647" w14:textId="77777777">
            <w:pPr>
              <w:pStyle w:val="TableParagraph"/>
              <w:spacing w:before="109"/>
              <w:ind w:left="622"/>
              <w:rPr>
                <w:b/>
                <w:sz w:val="17"/>
              </w:rPr>
            </w:pPr>
            <w:r>
              <w:rPr>
                <w:b/>
                <w:color w:val="FFFFFF"/>
                <w:spacing w:val="-4"/>
                <w:sz w:val="17"/>
              </w:rPr>
              <w:t>2016</w:t>
            </w:r>
          </w:p>
        </w:tc>
        <w:tc>
          <w:tcPr>
            <w:tcW w:w="747" w:type="dxa"/>
            <w:shd w:val="clear" w:color="auto" w:fill="92D400"/>
          </w:tcPr>
          <w:p w:rsidR="00C31389" w:rsidRDefault="00561FBD" w14:paraId="167479E0" w14:textId="77777777">
            <w:pPr>
              <w:pStyle w:val="TableParagraph"/>
              <w:spacing w:before="109"/>
              <w:ind w:right="180"/>
              <w:jc w:val="right"/>
              <w:rPr>
                <w:b/>
                <w:sz w:val="17"/>
              </w:rPr>
            </w:pPr>
            <w:r>
              <w:rPr>
                <w:b/>
                <w:color w:val="FFFFFF"/>
                <w:spacing w:val="-4"/>
                <w:sz w:val="17"/>
              </w:rPr>
              <w:t>2017</w:t>
            </w:r>
          </w:p>
        </w:tc>
        <w:tc>
          <w:tcPr>
            <w:tcW w:w="759" w:type="dxa"/>
            <w:shd w:val="clear" w:color="auto" w:fill="92D400"/>
          </w:tcPr>
          <w:p w:rsidR="00C31389" w:rsidRDefault="00561FBD" w14:paraId="0D74562D" w14:textId="77777777">
            <w:pPr>
              <w:pStyle w:val="TableParagraph"/>
              <w:spacing w:before="109"/>
              <w:ind w:left="118" w:right="125"/>
              <w:jc w:val="center"/>
              <w:rPr>
                <w:b/>
                <w:sz w:val="17"/>
              </w:rPr>
            </w:pPr>
            <w:r>
              <w:rPr>
                <w:b/>
                <w:color w:val="FFFFFF"/>
                <w:spacing w:val="-4"/>
                <w:sz w:val="17"/>
              </w:rPr>
              <w:t>2018</w:t>
            </w:r>
          </w:p>
        </w:tc>
        <w:tc>
          <w:tcPr>
            <w:tcW w:w="960" w:type="dxa"/>
            <w:shd w:val="clear" w:color="auto" w:fill="92D400"/>
          </w:tcPr>
          <w:p w:rsidR="00C31389" w:rsidRDefault="00561FBD" w14:paraId="431AC0FB" w14:textId="77777777">
            <w:pPr>
              <w:pStyle w:val="TableParagraph"/>
              <w:spacing w:before="109"/>
              <w:ind w:left="132" w:right="130"/>
              <w:jc w:val="center"/>
              <w:rPr>
                <w:b/>
                <w:sz w:val="17"/>
              </w:rPr>
            </w:pPr>
            <w:r>
              <w:rPr>
                <w:b/>
                <w:color w:val="FFFFFF"/>
                <w:spacing w:val="-2"/>
                <w:sz w:val="17"/>
              </w:rPr>
              <w:t>Average</w:t>
            </w:r>
          </w:p>
        </w:tc>
        <w:tc>
          <w:tcPr>
            <w:tcW w:w="758" w:type="dxa"/>
            <w:shd w:val="clear" w:color="auto" w:fill="92D400"/>
          </w:tcPr>
          <w:p w:rsidR="00C31389" w:rsidRDefault="00561FBD" w14:paraId="746A45B5" w14:textId="77777777">
            <w:pPr>
              <w:pStyle w:val="TableParagraph"/>
              <w:spacing w:before="109"/>
              <w:ind w:right="180"/>
              <w:jc w:val="right"/>
              <w:rPr>
                <w:b/>
                <w:sz w:val="17"/>
              </w:rPr>
            </w:pPr>
            <w:r>
              <w:rPr>
                <w:b/>
                <w:color w:val="FFFFFF"/>
                <w:spacing w:val="-4"/>
                <w:sz w:val="17"/>
              </w:rPr>
              <w:t>2016</w:t>
            </w:r>
          </w:p>
        </w:tc>
        <w:tc>
          <w:tcPr>
            <w:tcW w:w="747" w:type="dxa"/>
            <w:shd w:val="clear" w:color="auto" w:fill="92D400"/>
          </w:tcPr>
          <w:p w:rsidR="00C31389" w:rsidRDefault="00561FBD" w14:paraId="2C011981" w14:textId="77777777">
            <w:pPr>
              <w:pStyle w:val="TableParagraph"/>
              <w:spacing w:before="109"/>
              <w:ind w:left="117" w:right="115"/>
              <w:jc w:val="center"/>
              <w:rPr>
                <w:b/>
                <w:sz w:val="17"/>
              </w:rPr>
            </w:pPr>
            <w:r>
              <w:rPr>
                <w:b/>
                <w:color w:val="FFFFFF"/>
                <w:spacing w:val="-4"/>
                <w:sz w:val="17"/>
              </w:rPr>
              <w:t>2017</w:t>
            </w:r>
          </w:p>
        </w:tc>
        <w:tc>
          <w:tcPr>
            <w:tcW w:w="759" w:type="dxa"/>
            <w:shd w:val="clear" w:color="auto" w:fill="92D400"/>
          </w:tcPr>
          <w:p w:rsidR="00C31389" w:rsidRDefault="00561FBD" w14:paraId="413C414E" w14:textId="77777777">
            <w:pPr>
              <w:pStyle w:val="TableParagraph"/>
              <w:spacing w:before="109"/>
              <w:ind w:left="185"/>
              <w:rPr>
                <w:b/>
                <w:sz w:val="17"/>
              </w:rPr>
            </w:pPr>
            <w:r>
              <w:rPr>
                <w:b/>
                <w:color w:val="FFFFFF"/>
                <w:spacing w:val="-4"/>
                <w:sz w:val="17"/>
              </w:rPr>
              <w:t>2018</w:t>
            </w:r>
          </w:p>
        </w:tc>
        <w:tc>
          <w:tcPr>
            <w:tcW w:w="971" w:type="dxa"/>
            <w:shd w:val="clear" w:color="auto" w:fill="92D400"/>
          </w:tcPr>
          <w:p w:rsidR="00C31389" w:rsidRDefault="00561FBD" w14:paraId="3FA22634" w14:textId="77777777">
            <w:pPr>
              <w:pStyle w:val="TableParagraph"/>
              <w:spacing w:before="109"/>
              <w:ind w:left="133" w:right="141"/>
              <w:jc w:val="center"/>
              <w:rPr>
                <w:b/>
                <w:sz w:val="17"/>
              </w:rPr>
            </w:pPr>
            <w:r>
              <w:rPr>
                <w:b/>
                <w:color w:val="FFFFFF"/>
                <w:spacing w:val="-2"/>
                <w:sz w:val="17"/>
              </w:rPr>
              <w:t>Average</w:t>
            </w:r>
          </w:p>
        </w:tc>
      </w:tr>
      <w:tr w:rsidR="00C31389" w14:paraId="1E9B3F3A" w14:textId="77777777">
        <w:trPr>
          <w:trHeight w:val="522"/>
        </w:trPr>
        <w:tc>
          <w:tcPr>
            <w:tcW w:w="1281" w:type="dxa"/>
            <w:tcBorders>
              <w:bottom w:val="single" w:color="DCDDDE" w:sz="4" w:space="0"/>
            </w:tcBorders>
          </w:tcPr>
          <w:p w:rsidR="00C31389" w:rsidRDefault="00C31389" w14:paraId="051127A2" w14:textId="77777777">
            <w:pPr>
              <w:pStyle w:val="TableParagraph"/>
              <w:spacing w:before="3"/>
              <w:rPr>
                <w:b/>
                <w:sz w:val="14"/>
              </w:rPr>
            </w:pPr>
          </w:p>
          <w:p w:rsidR="00C31389" w:rsidRDefault="00561FBD" w14:paraId="7E2A14D7" w14:textId="77777777">
            <w:pPr>
              <w:pStyle w:val="TableParagraph"/>
              <w:spacing w:before="0"/>
              <w:ind w:left="115"/>
              <w:rPr>
                <w:sz w:val="17"/>
              </w:rPr>
            </w:pPr>
            <w:r>
              <w:rPr>
                <w:spacing w:val="-4"/>
                <w:sz w:val="17"/>
              </w:rPr>
              <w:t>PG&amp;E</w:t>
            </w:r>
          </w:p>
        </w:tc>
        <w:tc>
          <w:tcPr>
            <w:tcW w:w="1184" w:type="dxa"/>
            <w:tcBorders>
              <w:bottom w:val="single" w:color="DCDDDE" w:sz="4" w:space="0"/>
            </w:tcBorders>
          </w:tcPr>
          <w:p w:rsidR="00C31389" w:rsidRDefault="00C31389" w14:paraId="2F6E75A4" w14:textId="77777777">
            <w:pPr>
              <w:pStyle w:val="TableParagraph"/>
              <w:spacing w:before="3"/>
              <w:rPr>
                <w:b/>
                <w:sz w:val="14"/>
              </w:rPr>
            </w:pPr>
          </w:p>
          <w:p w:rsidR="00C31389" w:rsidRDefault="00561FBD" w14:paraId="3BA3E008" w14:textId="77777777">
            <w:pPr>
              <w:pStyle w:val="TableParagraph"/>
              <w:spacing w:before="0"/>
              <w:ind w:left="569"/>
              <w:rPr>
                <w:sz w:val="17"/>
              </w:rPr>
            </w:pPr>
            <w:r>
              <w:rPr>
                <w:spacing w:val="-2"/>
                <w:sz w:val="17"/>
              </w:rPr>
              <w:t>36.4%</w:t>
            </w:r>
          </w:p>
        </w:tc>
        <w:tc>
          <w:tcPr>
            <w:tcW w:w="747" w:type="dxa"/>
            <w:tcBorders>
              <w:bottom w:val="single" w:color="DCDDDE" w:sz="4" w:space="0"/>
            </w:tcBorders>
          </w:tcPr>
          <w:p w:rsidR="00C31389" w:rsidRDefault="00C31389" w14:paraId="18D66960" w14:textId="77777777">
            <w:pPr>
              <w:pStyle w:val="TableParagraph"/>
              <w:spacing w:before="3"/>
              <w:rPr>
                <w:b/>
                <w:sz w:val="14"/>
              </w:rPr>
            </w:pPr>
          </w:p>
          <w:p w:rsidR="00C31389" w:rsidRDefault="00561FBD" w14:paraId="749552E0" w14:textId="77777777">
            <w:pPr>
              <w:pStyle w:val="TableParagraph"/>
              <w:spacing w:before="0"/>
              <w:ind w:right="129"/>
              <w:jc w:val="right"/>
              <w:rPr>
                <w:sz w:val="17"/>
              </w:rPr>
            </w:pPr>
            <w:r>
              <w:rPr>
                <w:spacing w:val="-2"/>
                <w:sz w:val="17"/>
              </w:rPr>
              <w:t>35.8%</w:t>
            </w:r>
          </w:p>
        </w:tc>
        <w:tc>
          <w:tcPr>
            <w:tcW w:w="759" w:type="dxa"/>
            <w:tcBorders>
              <w:bottom w:val="single" w:color="DCDDDE" w:sz="4" w:space="0"/>
            </w:tcBorders>
          </w:tcPr>
          <w:p w:rsidR="00C31389" w:rsidRDefault="00C31389" w14:paraId="1F9954C3" w14:textId="77777777">
            <w:pPr>
              <w:pStyle w:val="TableParagraph"/>
              <w:spacing w:before="3"/>
              <w:rPr>
                <w:b/>
                <w:sz w:val="14"/>
              </w:rPr>
            </w:pPr>
          </w:p>
          <w:p w:rsidR="00C31389" w:rsidRDefault="00561FBD" w14:paraId="58557A34" w14:textId="77777777">
            <w:pPr>
              <w:pStyle w:val="TableParagraph"/>
              <w:spacing w:before="0"/>
              <w:ind w:left="118" w:right="127"/>
              <w:jc w:val="center"/>
              <w:rPr>
                <w:sz w:val="17"/>
              </w:rPr>
            </w:pPr>
            <w:r>
              <w:rPr>
                <w:spacing w:val="-2"/>
                <w:sz w:val="17"/>
              </w:rPr>
              <w:t>36.2%</w:t>
            </w:r>
          </w:p>
        </w:tc>
        <w:tc>
          <w:tcPr>
            <w:tcW w:w="960" w:type="dxa"/>
            <w:tcBorders>
              <w:bottom w:val="single" w:color="DCDDDE" w:sz="4" w:space="0"/>
            </w:tcBorders>
          </w:tcPr>
          <w:p w:rsidR="00C31389" w:rsidRDefault="00C31389" w14:paraId="623E1406" w14:textId="77777777">
            <w:pPr>
              <w:pStyle w:val="TableParagraph"/>
              <w:spacing w:before="3"/>
              <w:rPr>
                <w:b/>
                <w:sz w:val="14"/>
              </w:rPr>
            </w:pPr>
          </w:p>
          <w:p w:rsidR="00C31389" w:rsidRDefault="00561FBD" w14:paraId="0293230B" w14:textId="77777777">
            <w:pPr>
              <w:pStyle w:val="TableParagraph"/>
              <w:spacing w:before="0"/>
              <w:ind w:left="132" w:right="130"/>
              <w:jc w:val="center"/>
              <w:rPr>
                <w:sz w:val="17"/>
              </w:rPr>
            </w:pPr>
            <w:r>
              <w:rPr>
                <w:spacing w:val="-2"/>
                <w:sz w:val="17"/>
              </w:rPr>
              <w:t>36.1%</w:t>
            </w:r>
          </w:p>
        </w:tc>
        <w:tc>
          <w:tcPr>
            <w:tcW w:w="758" w:type="dxa"/>
            <w:tcBorders>
              <w:bottom w:val="single" w:color="DCDDDE" w:sz="4" w:space="0"/>
            </w:tcBorders>
          </w:tcPr>
          <w:p w:rsidR="00C31389" w:rsidRDefault="00C31389" w14:paraId="61B40FF2" w14:textId="77777777">
            <w:pPr>
              <w:pStyle w:val="TableParagraph"/>
              <w:spacing w:before="3"/>
              <w:rPr>
                <w:b/>
                <w:sz w:val="14"/>
              </w:rPr>
            </w:pPr>
          </w:p>
          <w:p w:rsidR="00C31389" w:rsidRDefault="00561FBD" w14:paraId="53D4A489" w14:textId="77777777">
            <w:pPr>
              <w:pStyle w:val="TableParagraph"/>
              <w:spacing w:before="0"/>
              <w:ind w:right="129"/>
              <w:jc w:val="right"/>
              <w:rPr>
                <w:sz w:val="17"/>
              </w:rPr>
            </w:pPr>
            <w:r>
              <w:rPr>
                <w:spacing w:val="-2"/>
                <w:sz w:val="17"/>
              </w:rPr>
              <w:t>36.6%</w:t>
            </w:r>
          </w:p>
        </w:tc>
        <w:tc>
          <w:tcPr>
            <w:tcW w:w="747" w:type="dxa"/>
            <w:tcBorders>
              <w:bottom w:val="single" w:color="DCDDDE" w:sz="4" w:space="0"/>
            </w:tcBorders>
          </w:tcPr>
          <w:p w:rsidR="00C31389" w:rsidRDefault="00C31389" w14:paraId="1FB902A6" w14:textId="77777777">
            <w:pPr>
              <w:pStyle w:val="TableParagraph"/>
              <w:spacing w:before="3"/>
              <w:rPr>
                <w:b/>
                <w:sz w:val="14"/>
              </w:rPr>
            </w:pPr>
          </w:p>
          <w:p w:rsidR="00C31389" w:rsidRDefault="00561FBD" w14:paraId="17A75CD8" w14:textId="77777777">
            <w:pPr>
              <w:pStyle w:val="TableParagraph"/>
              <w:spacing w:before="0"/>
              <w:ind w:left="117" w:right="117"/>
              <w:jc w:val="center"/>
              <w:rPr>
                <w:sz w:val="17"/>
              </w:rPr>
            </w:pPr>
            <w:r>
              <w:rPr>
                <w:spacing w:val="-2"/>
                <w:sz w:val="17"/>
              </w:rPr>
              <w:t>37.5%</w:t>
            </w:r>
          </w:p>
        </w:tc>
        <w:tc>
          <w:tcPr>
            <w:tcW w:w="759" w:type="dxa"/>
            <w:tcBorders>
              <w:bottom w:val="single" w:color="DCDDDE" w:sz="4" w:space="0"/>
            </w:tcBorders>
          </w:tcPr>
          <w:p w:rsidR="00C31389" w:rsidRDefault="00C31389" w14:paraId="0AA18956" w14:textId="77777777">
            <w:pPr>
              <w:pStyle w:val="TableParagraph"/>
              <w:spacing w:before="3"/>
              <w:rPr>
                <w:b/>
                <w:sz w:val="14"/>
              </w:rPr>
            </w:pPr>
          </w:p>
          <w:p w:rsidR="00C31389" w:rsidRDefault="00561FBD" w14:paraId="721E6AED" w14:textId="77777777">
            <w:pPr>
              <w:pStyle w:val="TableParagraph"/>
              <w:spacing w:before="0"/>
              <w:ind w:left="132"/>
              <w:rPr>
                <w:sz w:val="17"/>
              </w:rPr>
            </w:pPr>
            <w:r>
              <w:rPr>
                <w:spacing w:val="-2"/>
                <w:sz w:val="17"/>
              </w:rPr>
              <w:t>37.9%</w:t>
            </w:r>
          </w:p>
        </w:tc>
        <w:tc>
          <w:tcPr>
            <w:tcW w:w="971" w:type="dxa"/>
            <w:tcBorders>
              <w:bottom w:val="single" w:color="DCDDDE" w:sz="4" w:space="0"/>
            </w:tcBorders>
          </w:tcPr>
          <w:p w:rsidR="00C31389" w:rsidRDefault="00C31389" w14:paraId="13F8F944" w14:textId="77777777">
            <w:pPr>
              <w:pStyle w:val="TableParagraph"/>
              <w:spacing w:before="3"/>
              <w:rPr>
                <w:b/>
                <w:sz w:val="14"/>
              </w:rPr>
            </w:pPr>
          </w:p>
          <w:p w:rsidR="00C31389" w:rsidRDefault="00561FBD" w14:paraId="517F6039" w14:textId="77777777">
            <w:pPr>
              <w:pStyle w:val="TableParagraph"/>
              <w:spacing w:before="0"/>
              <w:ind w:left="133" w:right="141"/>
              <w:jc w:val="center"/>
              <w:rPr>
                <w:sz w:val="17"/>
              </w:rPr>
            </w:pPr>
            <w:r>
              <w:rPr>
                <w:spacing w:val="-2"/>
                <w:sz w:val="17"/>
              </w:rPr>
              <w:t>37.3%</w:t>
            </w:r>
          </w:p>
        </w:tc>
      </w:tr>
      <w:tr w:rsidR="00C31389" w14:paraId="55D3358D" w14:textId="77777777">
        <w:trPr>
          <w:trHeight w:val="522"/>
        </w:trPr>
        <w:tc>
          <w:tcPr>
            <w:tcW w:w="1281" w:type="dxa"/>
            <w:tcBorders>
              <w:top w:val="single" w:color="DCDDDE" w:sz="4" w:space="0"/>
              <w:bottom w:val="single" w:color="DCDDDE" w:sz="4" w:space="0"/>
            </w:tcBorders>
          </w:tcPr>
          <w:p w:rsidR="00C31389" w:rsidRDefault="00C31389" w14:paraId="44D569B7" w14:textId="77777777">
            <w:pPr>
              <w:pStyle w:val="TableParagraph"/>
              <w:spacing w:before="3"/>
              <w:rPr>
                <w:b/>
                <w:sz w:val="14"/>
              </w:rPr>
            </w:pPr>
          </w:p>
          <w:p w:rsidR="00C31389" w:rsidRDefault="00561FBD" w14:paraId="4A455C8F" w14:textId="77777777">
            <w:pPr>
              <w:pStyle w:val="TableParagraph"/>
              <w:spacing w:before="0"/>
              <w:ind w:left="115"/>
              <w:rPr>
                <w:sz w:val="17"/>
              </w:rPr>
            </w:pPr>
            <w:r>
              <w:rPr>
                <w:spacing w:val="-5"/>
                <w:sz w:val="17"/>
              </w:rPr>
              <w:t>SCE</w:t>
            </w:r>
          </w:p>
        </w:tc>
        <w:tc>
          <w:tcPr>
            <w:tcW w:w="1184" w:type="dxa"/>
            <w:tcBorders>
              <w:top w:val="single" w:color="DCDDDE" w:sz="4" w:space="0"/>
              <w:bottom w:val="single" w:color="DCDDDE" w:sz="4" w:space="0"/>
            </w:tcBorders>
          </w:tcPr>
          <w:p w:rsidR="00C31389" w:rsidRDefault="00C31389" w14:paraId="61FCB3F0" w14:textId="77777777">
            <w:pPr>
              <w:pStyle w:val="TableParagraph"/>
              <w:spacing w:before="3"/>
              <w:rPr>
                <w:b/>
                <w:sz w:val="14"/>
              </w:rPr>
            </w:pPr>
          </w:p>
          <w:p w:rsidR="00C31389" w:rsidRDefault="00561FBD" w14:paraId="368FDDCC" w14:textId="77777777">
            <w:pPr>
              <w:pStyle w:val="TableParagraph"/>
              <w:spacing w:before="0"/>
              <w:ind w:left="569"/>
              <w:rPr>
                <w:sz w:val="17"/>
              </w:rPr>
            </w:pPr>
            <w:r>
              <w:rPr>
                <w:spacing w:val="-2"/>
                <w:sz w:val="17"/>
              </w:rPr>
              <w:t>35.9%</w:t>
            </w:r>
          </w:p>
        </w:tc>
        <w:tc>
          <w:tcPr>
            <w:tcW w:w="747" w:type="dxa"/>
            <w:tcBorders>
              <w:top w:val="single" w:color="DCDDDE" w:sz="4" w:space="0"/>
              <w:bottom w:val="single" w:color="DCDDDE" w:sz="4" w:space="0"/>
            </w:tcBorders>
          </w:tcPr>
          <w:p w:rsidR="00C31389" w:rsidRDefault="00C31389" w14:paraId="483CAC42" w14:textId="77777777">
            <w:pPr>
              <w:pStyle w:val="TableParagraph"/>
              <w:spacing w:before="3"/>
              <w:rPr>
                <w:b/>
                <w:sz w:val="14"/>
              </w:rPr>
            </w:pPr>
          </w:p>
          <w:p w:rsidR="00C31389" w:rsidRDefault="00561FBD" w14:paraId="5AA92EF3" w14:textId="77777777">
            <w:pPr>
              <w:pStyle w:val="TableParagraph"/>
              <w:spacing w:before="0"/>
              <w:ind w:right="129"/>
              <w:jc w:val="right"/>
              <w:rPr>
                <w:sz w:val="17"/>
              </w:rPr>
            </w:pPr>
            <w:r>
              <w:rPr>
                <w:spacing w:val="-2"/>
                <w:sz w:val="17"/>
              </w:rPr>
              <w:t>35.8%</w:t>
            </w:r>
          </w:p>
        </w:tc>
        <w:tc>
          <w:tcPr>
            <w:tcW w:w="759" w:type="dxa"/>
            <w:tcBorders>
              <w:top w:val="single" w:color="DCDDDE" w:sz="4" w:space="0"/>
              <w:bottom w:val="single" w:color="DCDDDE" w:sz="4" w:space="0"/>
            </w:tcBorders>
          </w:tcPr>
          <w:p w:rsidR="00C31389" w:rsidRDefault="00C31389" w14:paraId="277B0B5A" w14:textId="77777777">
            <w:pPr>
              <w:pStyle w:val="TableParagraph"/>
              <w:spacing w:before="3"/>
              <w:rPr>
                <w:b/>
                <w:sz w:val="14"/>
              </w:rPr>
            </w:pPr>
          </w:p>
          <w:p w:rsidR="00C31389" w:rsidRDefault="00561FBD" w14:paraId="366F44D4" w14:textId="77777777">
            <w:pPr>
              <w:pStyle w:val="TableParagraph"/>
              <w:spacing w:before="0"/>
              <w:ind w:left="118" w:right="127"/>
              <w:jc w:val="center"/>
              <w:rPr>
                <w:sz w:val="17"/>
              </w:rPr>
            </w:pPr>
            <w:r>
              <w:rPr>
                <w:spacing w:val="-2"/>
                <w:sz w:val="17"/>
              </w:rPr>
              <w:t>36.7%</w:t>
            </w:r>
          </w:p>
        </w:tc>
        <w:tc>
          <w:tcPr>
            <w:tcW w:w="960" w:type="dxa"/>
            <w:tcBorders>
              <w:top w:val="single" w:color="DCDDDE" w:sz="4" w:space="0"/>
              <w:bottom w:val="single" w:color="DCDDDE" w:sz="4" w:space="0"/>
            </w:tcBorders>
          </w:tcPr>
          <w:p w:rsidR="00C31389" w:rsidRDefault="00C31389" w14:paraId="65B03747" w14:textId="77777777">
            <w:pPr>
              <w:pStyle w:val="TableParagraph"/>
              <w:spacing w:before="3"/>
              <w:rPr>
                <w:b/>
                <w:sz w:val="14"/>
              </w:rPr>
            </w:pPr>
          </w:p>
          <w:p w:rsidR="00C31389" w:rsidRDefault="00561FBD" w14:paraId="34459CD3" w14:textId="77777777">
            <w:pPr>
              <w:pStyle w:val="TableParagraph"/>
              <w:spacing w:before="0"/>
              <w:ind w:left="132" w:right="130"/>
              <w:jc w:val="center"/>
              <w:rPr>
                <w:sz w:val="17"/>
              </w:rPr>
            </w:pPr>
            <w:r>
              <w:rPr>
                <w:spacing w:val="-2"/>
                <w:sz w:val="17"/>
              </w:rPr>
              <w:t>36.1%</w:t>
            </w:r>
          </w:p>
        </w:tc>
        <w:tc>
          <w:tcPr>
            <w:tcW w:w="758" w:type="dxa"/>
            <w:tcBorders>
              <w:top w:val="single" w:color="DCDDDE" w:sz="4" w:space="0"/>
              <w:bottom w:val="single" w:color="DCDDDE" w:sz="4" w:space="0"/>
            </w:tcBorders>
          </w:tcPr>
          <w:p w:rsidR="00C31389" w:rsidRDefault="00C31389" w14:paraId="6D9E120E" w14:textId="77777777">
            <w:pPr>
              <w:pStyle w:val="TableParagraph"/>
              <w:spacing w:before="3"/>
              <w:rPr>
                <w:b/>
                <w:sz w:val="14"/>
              </w:rPr>
            </w:pPr>
          </w:p>
          <w:p w:rsidR="00C31389" w:rsidRDefault="00561FBD" w14:paraId="6427A742" w14:textId="77777777">
            <w:pPr>
              <w:pStyle w:val="TableParagraph"/>
              <w:spacing w:before="0"/>
              <w:ind w:left="262"/>
              <w:rPr>
                <w:sz w:val="17"/>
              </w:rPr>
            </w:pPr>
            <w:r>
              <w:rPr>
                <w:spacing w:val="-5"/>
                <w:sz w:val="17"/>
              </w:rPr>
              <w:t>0%</w:t>
            </w:r>
          </w:p>
        </w:tc>
        <w:tc>
          <w:tcPr>
            <w:tcW w:w="747" w:type="dxa"/>
            <w:tcBorders>
              <w:top w:val="single" w:color="DCDDDE" w:sz="4" w:space="0"/>
              <w:bottom w:val="single" w:color="DCDDDE" w:sz="4" w:space="0"/>
            </w:tcBorders>
          </w:tcPr>
          <w:p w:rsidR="00C31389" w:rsidRDefault="00C31389" w14:paraId="604878B3" w14:textId="77777777">
            <w:pPr>
              <w:pStyle w:val="TableParagraph"/>
              <w:spacing w:before="3"/>
              <w:rPr>
                <w:b/>
                <w:sz w:val="14"/>
              </w:rPr>
            </w:pPr>
          </w:p>
          <w:p w:rsidR="00C31389" w:rsidRDefault="00561FBD" w14:paraId="574B502E" w14:textId="77777777">
            <w:pPr>
              <w:pStyle w:val="TableParagraph"/>
              <w:spacing w:before="0"/>
              <w:ind w:left="117" w:right="116"/>
              <w:jc w:val="center"/>
              <w:rPr>
                <w:sz w:val="17"/>
              </w:rPr>
            </w:pPr>
            <w:r>
              <w:rPr>
                <w:spacing w:val="-5"/>
                <w:sz w:val="17"/>
              </w:rPr>
              <w:t>0%</w:t>
            </w:r>
          </w:p>
        </w:tc>
        <w:tc>
          <w:tcPr>
            <w:tcW w:w="759" w:type="dxa"/>
            <w:tcBorders>
              <w:top w:val="single" w:color="DCDDDE" w:sz="4" w:space="0"/>
              <w:bottom w:val="single" w:color="DCDDDE" w:sz="4" w:space="0"/>
            </w:tcBorders>
          </w:tcPr>
          <w:p w:rsidR="00C31389" w:rsidRDefault="00C31389" w14:paraId="7F4FD6CA" w14:textId="77777777">
            <w:pPr>
              <w:pStyle w:val="TableParagraph"/>
              <w:spacing w:before="3"/>
              <w:rPr>
                <w:b/>
                <w:sz w:val="14"/>
              </w:rPr>
            </w:pPr>
          </w:p>
          <w:p w:rsidR="00C31389" w:rsidRDefault="00561FBD" w14:paraId="34EFFAAB" w14:textId="77777777">
            <w:pPr>
              <w:pStyle w:val="TableParagraph"/>
              <w:spacing w:before="0"/>
              <w:ind w:left="251"/>
              <w:rPr>
                <w:sz w:val="17"/>
              </w:rPr>
            </w:pPr>
            <w:r>
              <w:rPr>
                <w:spacing w:val="-5"/>
                <w:sz w:val="17"/>
              </w:rPr>
              <w:t>0%</w:t>
            </w:r>
          </w:p>
        </w:tc>
        <w:tc>
          <w:tcPr>
            <w:tcW w:w="971" w:type="dxa"/>
            <w:tcBorders>
              <w:top w:val="single" w:color="DCDDDE" w:sz="4" w:space="0"/>
              <w:bottom w:val="single" w:color="DCDDDE" w:sz="4" w:space="0"/>
            </w:tcBorders>
          </w:tcPr>
          <w:p w:rsidR="00C31389" w:rsidRDefault="00C31389" w14:paraId="7570528D" w14:textId="77777777">
            <w:pPr>
              <w:pStyle w:val="TableParagraph"/>
              <w:spacing w:before="3"/>
              <w:rPr>
                <w:b/>
                <w:sz w:val="14"/>
              </w:rPr>
            </w:pPr>
          </w:p>
          <w:p w:rsidR="00C31389" w:rsidRDefault="00561FBD" w14:paraId="711BE2A8" w14:textId="77777777">
            <w:pPr>
              <w:pStyle w:val="TableParagraph"/>
              <w:spacing w:before="0"/>
              <w:ind w:left="132" w:right="141"/>
              <w:jc w:val="center"/>
              <w:rPr>
                <w:sz w:val="17"/>
              </w:rPr>
            </w:pPr>
            <w:r>
              <w:rPr>
                <w:spacing w:val="-5"/>
                <w:sz w:val="17"/>
              </w:rPr>
              <w:t>0%</w:t>
            </w:r>
          </w:p>
        </w:tc>
      </w:tr>
      <w:tr w:rsidR="00C31389" w14:paraId="09825CF1" w14:textId="77777777">
        <w:trPr>
          <w:trHeight w:val="522"/>
        </w:trPr>
        <w:tc>
          <w:tcPr>
            <w:tcW w:w="1281" w:type="dxa"/>
            <w:tcBorders>
              <w:top w:val="single" w:color="DCDDDE" w:sz="4" w:space="0"/>
              <w:bottom w:val="single" w:color="DCDDDE" w:sz="4" w:space="0"/>
            </w:tcBorders>
          </w:tcPr>
          <w:p w:rsidR="00C31389" w:rsidRDefault="00C31389" w14:paraId="22BA3911" w14:textId="77777777">
            <w:pPr>
              <w:pStyle w:val="TableParagraph"/>
              <w:spacing w:before="3"/>
              <w:rPr>
                <w:b/>
                <w:sz w:val="14"/>
              </w:rPr>
            </w:pPr>
          </w:p>
          <w:p w:rsidR="00C31389" w:rsidRDefault="00561FBD" w14:paraId="5D2C08A8" w14:textId="77777777">
            <w:pPr>
              <w:pStyle w:val="TableParagraph"/>
              <w:spacing w:before="0"/>
              <w:ind w:left="115"/>
              <w:rPr>
                <w:sz w:val="17"/>
              </w:rPr>
            </w:pPr>
            <w:r>
              <w:rPr>
                <w:spacing w:val="-5"/>
                <w:sz w:val="17"/>
              </w:rPr>
              <w:t>SCG</w:t>
            </w:r>
          </w:p>
        </w:tc>
        <w:tc>
          <w:tcPr>
            <w:tcW w:w="1184" w:type="dxa"/>
            <w:tcBorders>
              <w:top w:val="single" w:color="DCDDDE" w:sz="4" w:space="0"/>
              <w:bottom w:val="single" w:color="DCDDDE" w:sz="4" w:space="0"/>
            </w:tcBorders>
          </w:tcPr>
          <w:p w:rsidR="00C31389" w:rsidRDefault="00C31389" w14:paraId="7D54F9CE" w14:textId="77777777">
            <w:pPr>
              <w:pStyle w:val="TableParagraph"/>
              <w:spacing w:before="3"/>
              <w:rPr>
                <w:b/>
                <w:sz w:val="14"/>
              </w:rPr>
            </w:pPr>
          </w:p>
          <w:p w:rsidR="00C31389" w:rsidRDefault="00561FBD" w14:paraId="40005FCD" w14:textId="77777777">
            <w:pPr>
              <w:pStyle w:val="TableParagraph"/>
              <w:spacing w:before="0"/>
              <w:ind w:left="688"/>
              <w:rPr>
                <w:sz w:val="17"/>
              </w:rPr>
            </w:pPr>
            <w:r>
              <w:rPr>
                <w:spacing w:val="-5"/>
                <w:sz w:val="17"/>
              </w:rPr>
              <w:t>0%</w:t>
            </w:r>
          </w:p>
        </w:tc>
        <w:tc>
          <w:tcPr>
            <w:tcW w:w="747" w:type="dxa"/>
            <w:tcBorders>
              <w:top w:val="single" w:color="DCDDDE" w:sz="4" w:space="0"/>
              <w:bottom w:val="single" w:color="DCDDDE" w:sz="4" w:space="0"/>
            </w:tcBorders>
          </w:tcPr>
          <w:p w:rsidR="00C31389" w:rsidRDefault="00C31389" w14:paraId="69682100" w14:textId="77777777">
            <w:pPr>
              <w:pStyle w:val="TableParagraph"/>
              <w:spacing w:before="3"/>
              <w:rPr>
                <w:b/>
                <w:sz w:val="14"/>
              </w:rPr>
            </w:pPr>
          </w:p>
          <w:p w:rsidR="00C31389" w:rsidRDefault="00561FBD" w14:paraId="5AC6DB8F" w14:textId="77777777">
            <w:pPr>
              <w:pStyle w:val="TableParagraph"/>
              <w:spacing w:before="0"/>
              <w:ind w:left="251"/>
              <w:rPr>
                <w:sz w:val="17"/>
              </w:rPr>
            </w:pPr>
            <w:r>
              <w:rPr>
                <w:spacing w:val="-5"/>
                <w:sz w:val="17"/>
              </w:rPr>
              <w:t>0%</w:t>
            </w:r>
          </w:p>
        </w:tc>
        <w:tc>
          <w:tcPr>
            <w:tcW w:w="759" w:type="dxa"/>
            <w:tcBorders>
              <w:top w:val="single" w:color="DCDDDE" w:sz="4" w:space="0"/>
              <w:bottom w:val="single" w:color="DCDDDE" w:sz="4" w:space="0"/>
            </w:tcBorders>
          </w:tcPr>
          <w:p w:rsidR="00C31389" w:rsidRDefault="00C31389" w14:paraId="19E1DFA2" w14:textId="77777777">
            <w:pPr>
              <w:pStyle w:val="TableParagraph"/>
              <w:spacing w:before="3"/>
              <w:rPr>
                <w:b/>
                <w:sz w:val="14"/>
              </w:rPr>
            </w:pPr>
          </w:p>
          <w:p w:rsidR="00C31389" w:rsidRDefault="00561FBD" w14:paraId="094D05CC" w14:textId="77777777">
            <w:pPr>
              <w:pStyle w:val="TableParagraph"/>
              <w:spacing w:before="0"/>
              <w:ind w:left="118" w:right="125"/>
              <w:jc w:val="center"/>
              <w:rPr>
                <w:sz w:val="17"/>
              </w:rPr>
            </w:pPr>
            <w:r>
              <w:rPr>
                <w:spacing w:val="-5"/>
                <w:sz w:val="17"/>
              </w:rPr>
              <w:t>0%</w:t>
            </w:r>
          </w:p>
        </w:tc>
        <w:tc>
          <w:tcPr>
            <w:tcW w:w="960" w:type="dxa"/>
            <w:tcBorders>
              <w:top w:val="single" w:color="DCDDDE" w:sz="4" w:space="0"/>
              <w:bottom w:val="single" w:color="DCDDDE" w:sz="4" w:space="0"/>
            </w:tcBorders>
          </w:tcPr>
          <w:p w:rsidR="00C31389" w:rsidRDefault="00C31389" w14:paraId="6AE42292" w14:textId="77777777">
            <w:pPr>
              <w:pStyle w:val="TableParagraph"/>
              <w:spacing w:before="3"/>
              <w:rPr>
                <w:b/>
                <w:sz w:val="14"/>
              </w:rPr>
            </w:pPr>
          </w:p>
          <w:p w:rsidR="00C31389" w:rsidRDefault="00561FBD" w14:paraId="4D0F3579" w14:textId="77777777">
            <w:pPr>
              <w:pStyle w:val="TableParagraph"/>
              <w:spacing w:before="0"/>
              <w:ind w:left="131" w:right="130"/>
              <w:jc w:val="center"/>
              <w:rPr>
                <w:sz w:val="17"/>
              </w:rPr>
            </w:pPr>
            <w:r>
              <w:rPr>
                <w:spacing w:val="-5"/>
                <w:sz w:val="17"/>
              </w:rPr>
              <w:t>0%</w:t>
            </w:r>
          </w:p>
        </w:tc>
        <w:tc>
          <w:tcPr>
            <w:tcW w:w="758" w:type="dxa"/>
            <w:tcBorders>
              <w:top w:val="single" w:color="DCDDDE" w:sz="4" w:space="0"/>
              <w:bottom w:val="single" w:color="DCDDDE" w:sz="4" w:space="0"/>
            </w:tcBorders>
          </w:tcPr>
          <w:p w:rsidR="00C31389" w:rsidRDefault="00C31389" w14:paraId="5B83354D" w14:textId="77777777">
            <w:pPr>
              <w:pStyle w:val="TableParagraph"/>
              <w:spacing w:before="3"/>
              <w:rPr>
                <w:b/>
                <w:sz w:val="14"/>
              </w:rPr>
            </w:pPr>
          </w:p>
          <w:p w:rsidR="00C31389" w:rsidRDefault="00561FBD" w14:paraId="53A0BCB7" w14:textId="77777777">
            <w:pPr>
              <w:pStyle w:val="TableParagraph"/>
              <w:spacing w:before="0"/>
              <w:ind w:right="129"/>
              <w:jc w:val="right"/>
              <w:rPr>
                <w:sz w:val="17"/>
              </w:rPr>
            </w:pPr>
            <w:r>
              <w:rPr>
                <w:spacing w:val="-2"/>
                <w:sz w:val="17"/>
              </w:rPr>
              <w:t>41.1%</w:t>
            </w:r>
          </w:p>
        </w:tc>
        <w:tc>
          <w:tcPr>
            <w:tcW w:w="747" w:type="dxa"/>
            <w:tcBorders>
              <w:top w:val="single" w:color="DCDDDE" w:sz="4" w:space="0"/>
              <w:bottom w:val="single" w:color="DCDDDE" w:sz="4" w:space="0"/>
            </w:tcBorders>
          </w:tcPr>
          <w:p w:rsidR="00C31389" w:rsidRDefault="00C31389" w14:paraId="587487FA" w14:textId="77777777">
            <w:pPr>
              <w:pStyle w:val="TableParagraph"/>
              <w:spacing w:before="3"/>
              <w:rPr>
                <w:b/>
                <w:sz w:val="14"/>
              </w:rPr>
            </w:pPr>
          </w:p>
          <w:p w:rsidR="00C31389" w:rsidRDefault="00561FBD" w14:paraId="09917750" w14:textId="77777777">
            <w:pPr>
              <w:pStyle w:val="TableParagraph"/>
              <w:spacing w:before="0"/>
              <w:ind w:left="117" w:right="117"/>
              <w:jc w:val="center"/>
              <w:rPr>
                <w:sz w:val="17"/>
              </w:rPr>
            </w:pPr>
            <w:r>
              <w:rPr>
                <w:spacing w:val="-2"/>
                <w:sz w:val="17"/>
              </w:rPr>
              <w:t>40.9%</w:t>
            </w:r>
          </w:p>
        </w:tc>
        <w:tc>
          <w:tcPr>
            <w:tcW w:w="759" w:type="dxa"/>
            <w:tcBorders>
              <w:top w:val="single" w:color="DCDDDE" w:sz="4" w:space="0"/>
              <w:bottom w:val="single" w:color="DCDDDE" w:sz="4" w:space="0"/>
            </w:tcBorders>
          </w:tcPr>
          <w:p w:rsidR="00C31389" w:rsidRDefault="00C31389" w14:paraId="2C9AE459" w14:textId="77777777">
            <w:pPr>
              <w:pStyle w:val="TableParagraph"/>
              <w:spacing w:before="3"/>
              <w:rPr>
                <w:b/>
                <w:sz w:val="14"/>
              </w:rPr>
            </w:pPr>
          </w:p>
          <w:p w:rsidR="00C31389" w:rsidRDefault="00561FBD" w14:paraId="4D36EB38" w14:textId="77777777">
            <w:pPr>
              <w:pStyle w:val="TableParagraph"/>
              <w:spacing w:before="0"/>
              <w:ind w:left="133"/>
              <w:rPr>
                <w:sz w:val="17"/>
              </w:rPr>
            </w:pPr>
            <w:r>
              <w:rPr>
                <w:spacing w:val="-2"/>
                <w:sz w:val="17"/>
              </w:rPr>
              <w:t>40.7%</w:t>
            </w:r>
          </w:p>
        </w:tc>
        <w:tc>
          <w:tcPr>
            <w:tcW w:w="971" w:type="dxa"/>
            <w:tcBorders>
              <w:top w:val="single" w:color="DCDDDE" w:sz="4" w:space="0"/>
              <w:bottom w:val="single" w:color="DCDDDE" w:sz="4" w:space="0"/>
            </w:tcBorders>
          </w:tcPr>
          <w:p w:rsidR="00C31389" w:rsidRDefault="00C31389" w14:paraId="4EEAA8B9" w14:textId="77777777">
            <w:pPr>
              <w:pStyle w:val="TableParagraph"/>
              <w:spacing w:before="3"/>
              <w:rPr>
                <w:b/>
                <w:sz w:val="14"/>
              </w:rPr>
            </w:pPr>
          </w:p>
          <w:p w:rsidR="00C31389" w:rsidRDefault="00561FBD" w14:paraId="1B5791D5" w14:textId="77777777">
            <w:pPr>
              <w:pStyle w:val="TableParagraph"/>
              <w:spacing w:before="0"/>
              <w:ind w:left="133" w:right="140"/>
              <w:jc w:val="center"/>
              <w:rPr>
                <w:sz w:val="17"/>
              </w:rPr>
            </w:pPr>
            <w:r>
              <w:rPr>
                <w:spacing w:val="-2"/>
                <w:sz w:val="17"/>
              </w:rPr>
              <w:t>40.9%</w:t>
            </w:r>
          </w:p>
        </w:tc>
      </w:tr>
      <w:tr w:rsidR="00C31389" w14:paraId="088CDF5E" w14:textId="77777777">
        <w:trPr>
          <w:trHeight w:val="522"/>
        </w:trPr>
        <w:tc>
          <w:tcPr>
            <w:tcW w:w="1281" w:type="dxa"/>
            <w:tcBorders>
              <w:top w:val="single" w:color="DCDDDE" w:sz="4" w:space="0"/>
              <w:bottom w:val="single" w:color="DCDDDE" w:sz="4" w:space="0"/>
            </w:tcBorders>
          </w:tcPr>
          <w:p w:rsidR="00C31389" w:rsidRDefault="00C31389" w14:paraId="693444BE" w14:textId="77777777">
            <w:pPr>
              <w:pStyle w:val="TableParagraph"/>
              <w:spacing w:before="4"/>
              <w:rPr>
                <w:b/>
                <w:sz w:val="14"/>
              </w:rPr>
            </w:pPr>
          </w:p>
          <w:p w:rsidR="00C31389" w:rsidRDefault="00561FBD" w14:paraId="153E19E6" w14:textId="77777777">
            <w:pPr>
              <w:pStyle w:val="TableParagraph"/>
              <w:spacing w:before="0"/>
              <w:ind w:left="115"/>
              <w:rPr>
                <w:sz w:val="17"/>
              </w:rPr>
            </w:pPr>
            <w:r>
              <w:rPr>
                <w:spacing w:val="-4"/>
                <w:sz w:val="17"/>
              </w:rPr>
              <w:t>SDG&amp;E</w:t>
            </w:r>
          </w:p>
        </w:tc>
        <w:tc>
          <w:tcPr>
            <w:tcW w:w="1184" w:type="dxa"/>
            <w:tcBorders>
              <w:top w:val="single" w:color="DCDDDE" w:sz="4" w:space="0"/>
              <w:bottom w:val="single" w:color="DCDDDE" w:sz="4" w:space="0"/>
            </w:tcBorders>
          </w:tcPr>
          <w:p w:rsidR="00C31389" w:rsidRDefault="00C31389" w14:paraId="0A743D1D" w14:textId="77777777">
            <w:pPr>
              <w:pStyle w:val="TableParagraph"/>
              <w:spacing w:before="4"/>
              <w:rPr>
                <w:b/>
                <w:sz w:val="14"/>
              </w:rPr>
            </w:pPr>
          </w:p>
          <w:p w:rsidR="00C31389" w:rsidRDefault="00561FBD" w14:paraId="285929A0" w14:textId="77777777">
            <w:pPr>
              <w:pStyle w:val="TableParagraph"/>
              <w:spacing w:before="0"/>
              <w:ind w:left="617"/>
              <w:rPr>
                <w:sz w:val="17"/>
              </w:rPr>
            </w:pPr>
            <w:r>
              <w:rPr>
                <w:spacing w:val="-4"/>
                <w:sz w:val="17"/>
              </w:rPr>
              <w:t>7.4%</w:t>
            </w:r>
          </w:p>
        </w:tc>
        <w:tc>
          <w:tcPr>
            <w:tcW w:w="747" w:type="dxa"/>
            <w:tcBorders>
              <w:top w:val="single" w:color="DCDDDE" w:sz="4" w:space="0"/>
              <w:bottom w:val="single" w:color="DCDDDE" w:sz="4" w:space="0"/>
            </w:tcBorders>
          </w:tcPr>
          <w:p w:rsidR="00C31389" w:rsidRDefault="00C31389" w14:paraId="7F9E996A" w14:textId="77777777">
            <w:pPr>
              <w:pStyle w:val="TableParagraph"/>
              <w:spacing w:before="4"/>
              <w:rPr>
                <w:b/>
                <w:sz w:val="14"/>
              </w:rPr>
            </w:pPr>
          </w:p>
          <w:p w:rsidR="00C31389" w:rsidRDefault="00561FBD" w14:paraId="027083DA" w14:textId="77777777">
            <w:pPr>
              <w:pStyle w:val="TableParagraph"/>
              <w:spacing w:before="0"/>
              <w:ind w:right="176"/>
              <w:jc w:val="right"/>
              <w:rPr>
                <w:sz w:val="17"/>
              </w:rPr>
            </w:pPr>
            <w:r>
              <w:rPr>
                <w:spacing w:val="-4"/>
                <w:sz w:val="17"/>
              </w:rPr>
              <w:t>7.3%</w:t>
            </w:r>
          </w:p>
        </w:tc>
        <w:tc>
          <w:tcPr>
            <w:tcW w:w="759" w:type="dxa"/>
            <w:tcBorders>
              <w:top w:val="single" w:color="DCDDDE" w:sz="4" w:space="0"/>
              <w:bottom w:val="single" w:color="DCDDDE" w:sz="4" w:space="0"/>
            </w:tcBorders>
          </w:tcPr>
          <w:p w:rsidR="00C31389" w:rsidRDefault="00C31389" w14:paraId="317EFDEA" w14:textId="77777777">
            <w:pPr>
              <w:pStyle w:val="TableParagraph"/>
              <w:spacing w:before="4"/>
              <w:rPr>
                <w:b/>
                <w:sz w:val="14"/>
              </w:rPr>
            </w:pPr>
          </w:p>
          <w:p w:rsidR="00C31389" w:rsidRDefault="00561FBD" w14:paraId="6FDFCAEE" w14:textId="77777777">
            <w:pPr>
              <w:pStyle w:val="TableParagraph"/>
              <w:spacing w:before="0"/>
              <w:ind w:left="118" w:right="126"/>
              <w:jc w:val="center"/>
              <w:rPr>
                <w:sz w:val="17"/>
              </w:rPr>
            </w:pPr>
            <w:r>
              <w:rPr>
                <w:spacing w:val="-4"/>
                <w:sz w:val="17"/>
              </w:rPr>
              <w:t>7.5%</w:t>
            </w:r>
          </w:p>
        </w:tc>
        <w:tc>
          <w:tcPr>
            <w:tcW w:w="960" w:type="dxa"/>
            <w:tcBorders>
              <w:top w:val="single" w:color="DCDDDE" w:sz="4" w:space="0"/>
              <w:bottom w:val="single" w:color="DCDDDE" w:sz="4" w:space="0"/>
            </w:tcBorders>
          </w:tcPr>
          <w:p w:rsidR="00C31389" w:rsidRDefault="00C31389" w14:paraId="777903E5" w14:textId="77777777">
            <w:pPr>
              <w:pStyle w:val="TableParagraph"/>
              <w:spacing w:before="4"/>
              <w:rPr>
                <w:b/>
                <w:sz w:val="14"/>
              </w:rPr>
            </w:pPr>
          </w:p>
          <w:p w:rsidR="00C31389" w:rsidRDefault="00561FBD" w14:paraId="789756B5" w14:textId="77777777">
            <w:pPr>
              <w:pStyle w:val="TableParagraph"/>
              <w:spacing w:before="0"/>
              <w:ind w:left="131" w:right="130"/>
              <w:jc w:val="center"/>
              <w:rPr>
                <w:sz w:val="17"/>
              </w:rPr>
            </w:pPr>
            <w:r>
              <w:rPr>
                <w:spacing w:val="-4"/>
                <w:sz w:val="17"/>
              </w:rPr>
              <w:t>7.4%</w:t>
            </w:r>
          </w:p>
        </w:tc>
        <w:tc>
          <w:tcPr>
            <w:tcW w:w="758" w:type="dxa"/>
            <w:tcBorders>
              <w:top w:val="single" w:color="DCDDDE" w:sz="4" w:space="0"/>
              <w:bottom w:val="single" w:color="DCDDDE" w:sz="4" w:space="0"/>
            </w:tcBorders>
          </w:tcPr>
          <w:p w:rsidR="00C31389" w:rsidRDefault="00C31389" w14:paraId="60E65AF5" w14:textId="77777777">
            <w:pPr>
              <w:pStyle w:val="TableParagraph"/>
              <w:spacing w:before="4"/>
              <w:rPr>
                <w:b/>
                <w:sz w:val="14"/>
              </w:rPr>
            </w:pPr>
          </w:p>
          <w:p w:rsidR="00C31389" w:rsidRDefault="00561FBD" w14:paraId="003C56EE" w14:textId="77777777">
            <w:pPr>
              <w:pStyle w:val="TableParagraph"/>
              <w:spacing w:before="0"/>
              <w:ind w:right="176"/>
              <w:jc w:val="right"/>
              <w:rPr>
                <w:sz w:val="17"/>
              </w:rPr>
            </w:pPr>
            <w:r>
              <w:rPr>
                <w:spacing w:val="-4"/>
                <w:sz w:val="17"/>
              </w:rPr>
              <w:t>3.8%</w:t>
            </w:r>
          </w:p>
        </w:tc>
        <w:tc>
          <w:tcPr>
            <w:tcW w:w="747" w:type="dxa"/>
            <w:tcBorders>
              <w:top w:val="single" w:color="DCDDDE" w:sz="4" w:space="0"/>
              <w:bottom w:val="single" w:color="DCDDDE" w:sz="4" w:space="0"/>
            </w:tcBorders>
          </w:tcPr>
          <w:p w:rsidR="00C31389" w:rsidRDefault="00C31389" w14:paraId="25DF877C" w14:textId="77777777">
            <w:pPr>
              <w:pStyle w:val="TableParagraph"/>
              <w:spacing w:before="4"/>
              <w:rPr>
                <w:b/>
                <w:sz w:val="14"/>
              </w:rPr>
            </w:pPr>
          </w:p>
          <w:p w:rsidR="00C31389" w:rsidRDefault="00561FBD" w14:paraId="0B5D5B2C" w14:textId="77777777">
            <w:pPr>
              <w:pStyle w:val="TableParagraph"/>
              <w:spacing w:before="0"/>
              <w:ind w:left="117" w:right="116"/>
              <w:jc w:val="center"/>
              <w:rPr>
                <w:sz w:val="17"/>
              </w:rPr>
            </w:pPr>
            <w:r>
              <w:rPr>
                <w:spacing w:val="-4"/>
                <w:sz w:val="17"/>
              </w:rPr>
              <w:t>3.8%</w:t>
            </w:r>
          </w:p>
        </w:tc>
        <w:tc>
          <w:tcPr>
            <w:tcW w:w="759" w:type="dxa"/>
            <w:tcBorders>
              <w:top w:val="single" w:color="DCDDDE" w:sz="4" w:space="0"/>
              <w:bottom w:val="single" w:color="DCDDDE" w:sz="4" w:space="0"/>
            </w:tcBorders>
          </w:tcPr>
          <w:p w:rsidR="00C31389" w:rsidRDefault="00C31389" w14:paraId="177F4E8D" w14:textId="77777777">
            <w:pPr>
              <w:pStyle w:val="TableParagraph"/>
              <w:spacing w:before="4"/>
              <w:rPr>
                <w:b/>
                <w:sz w:val="14"/>
              </w:rPr>
            </w:pPr>
          </w:p>
          <w:p w:rsidR="00C31389" w:rsidRDefault="00561FBD" w14:paraId="09F5271B" w14:textId="77777777">
            <w:pPr>
              <w:pStyle w:val="TableParagraph"/>
              <w:spacing w:before="0"/>
              <w:ind w:left="180"/>
              <w:rPr>
                <w:sz w:val="17"/>
              </w:rPr>
            </w:pPr>
            <w:r>
              <w:rPr>
                <w:spacing w:val="-4"/>
                <w:sz w:val="17"/>
              </w:rPr>
              <w:t>3.8%</w:t>
            </w:r>
          </w:p>
        </w:tc>
        <w:tc>
          <w:tcPr>
            <w:tcW w:w="971" w:type="dxa"/>
            <w:tcBorders>
              <w:top w:val="single" w:color="DCDDDE" w:sz="4" w:space="0"/>
              <w:bottom w:val="single" w:color="DCDDDE" w:sz="4" w:space="0"/>
            </w:tcBorders>
          </w:tcPr>
          <w:p w:rsidR="00C31389" w:rsidRDefault="00C31389" w14:paraId="1CE9ECE9" w14:textId="77777777">
            <w:pPr>
              <w:pStyle w:val="TableParagraph"/>
              <w:spacing w:before="4"/>
              <w:rPr>
                <w:b/>
                <w:sz w:val="14"/>
              </w:rPr>
            </w:pPr>
          </w:p>
          <w:p w:rsidR="00C31389" w:rsidRDefault="00561FBD" w14:paraId="55325FAA" w14:textId="77777777">
            <w:pPr>
              <w:pStyle w:val="TableParagraph"/>
              <w:spacing w:before="0"/>
              <w:ind w:left="132" w:right="141"/>
              <w:jc w:val="center"/>
              <w:rPr>
                <w:sz w:val="17"/>
              </w:rPr>
            </w:pPr>
            <w:r>
              <w:rPr>
                <w:spacing w:val="-4"/>
                <w:sz w:val="17"/>
              </w:rPr>
              <w:t>3.8%</w:t>
            </w:r>
          </w:p>
        </w:tc>
      </w:tr>
      <w:tr w:rsidR="00C31389" w14:paraId="2EFE94BC" w14:textId="77777777">
        <w:trPr>
          <w:trHeight w:val="524"/>
        </w:trPr>
        <w:tc>
          <w:tcPr>
            <w:tcW w:w="1281" w:type="dxa"/>
            <w:tcBorders>
              <w:top w:val="single" w:color="DCDDDE" w:sz="4" w:space="0"/>
              <w:bottom w:val="single" w:color="DCDDDE" w:sz="4" w:space="0"/>
            </w:tcBorders>
          </w:tcPr>
          <w:p w:rsidR="00C31389" w:rsidRDefault="00C31389" w14:paraId="1F61CE20" w14:textId="77777777">
            <w:pPr>
              <w:pStyle w:val="TableParagraph"/>
              <w:spacing w:before="4"/>
              <w:rPr>
                <w:b/>
                <w:sz w:val="14"/>
              </w:rPr>
            </w:pPr>
          </w:p>
          <w:p w:rsidR="00C31389" w:rsidRDefault="00561FBD" w14:paraId="062D6537" w14:textId="77777777">
            <w:pPr>
              <w:pStyle w:val="TableParagraph"/>
              <w:spacing w:before="0"/>
              <w:ind w:left="115"/>
              <w:rPr>
                <w:sz w:val="17"/>
              </w:rPr>
            </w:pPr>
            <w:r>
              <w:rPr>
                <w:spacing w:val="-2"/>
                <w:sz w:val="17"/>
              </w:rPr>
              <w:t>Other*</w:t>
            </w:r>
          </w:p>
        </w:tc>
        <w:tc>
          <w:tcPr>
            <w:tcW w:w="1184" w:type="dxa"/>
            <w:tcBorders>
              <w:top w:val="single" w:color="DCDDDE" w:sz="4" w:space="0"/>
              <w:bottom w:val="single" w:color="DCDDDE" w:sz="4" w:space="0"/>
            </w:tcBorders>
          </w:tcPr>
          <w:p w:rsidR="00C31389" w:rsidRDefault="00C31389" w14:paraId="16909C51" w14:textId="77777777">
            <w:pPr>
              <w:pStyle w:val="TableParagraph"/>
              <w:spacing w:before="4"/>
              <w:rPr>
                <w:b/>
                <w:sz w:val="14"/>
              </w:rPr>
            </w:pPr>
          </w:p>
          <w:p w:rsidR="00C31389" w:rsidRDefault="00561FBD" w14:paraId="44C97EC8" w14:textId="77777777">
            <w:pPr>
              <w:pStyle w:val="TableParagraph"/>
              <w:spacing w:before="0"/>
              <w:ind w:left="569"/>
              <w:rPr>
                <w:sz w:val="17"/>
              </w:rPr>
            </w:pPr>
            <w:r>
              <w:rPr>
                <w:spacing w:val="-2"/>
                <w:sz w:val="17"/>
              </w:rPr>
              <w:t>20.3%</w:t>
            </w:r>
          </w:p>
        </w:tc>
        <w:tc>
          <w:tcPr>
            <w:tcW w:w="747" w:type="dxa"/>
            <w:tcBorders>
              <w:top w:val="single" w:color="DCDDDE" w:sz="4" w:space="0"/>
              <w:bottom w:val="single" w:color="DCDDDE" w:sz="4" w:space="0"/>
            </w:tcBorders>
          </w:tcPr>
          <w:p w:rsidR="00C31389" w:rsidRDefault="00C31389" w14:paraId="011190B5" w14:textId="77777777">
            <w:pPr>
              <w:pStyle w:val="TableParagraph"/>
              <w:spacing w:before="4"/>
              <w:rPr>
                <w:b/>
                <w:sz w:val="14"/>
              </w:rPr>
            </w:pPr>
          </w:p>
          <w:p w:rsidR="00C31389" w:rsidRDefault="00561FBD" w14:paraId="19E91F43" w14:textId="77777777">
            <w:pPr>
              <w:pStyle w:val="TableParagraph"/>
              <w:spacing w:before="0"/>
              <w:ind w:right="129"/>
              <w:jc w:val="right"/>
              <w:rPr>
                <w:sz w:val="17"/>
              </w:rPr>
            </w:pPr>
            <w:r>
              <w:rPr>
                <w:spacing w:val="-2"/>
                <w:sz w:val="17"/>
              </w:rPr>
              <w:t>21.1%</w:t>
            </w:r>
          </w:p>
        </w:tc>
        <w:tc>
          <w:tcPr>
            <w:tcW w:w="759" w:type="dxa"/>
            <w:tcBorders>
              <w:top w:val="single" w:color="DCDDDE" w:sz="4" w:space="0"/>
              <w:bottom w:val="single" w:color="DCDDDE" w:sz="4" w:space="0"/>
            </w:tcBorders>
          </w:tcPr>
          <w:p w:rsidR="00C31389" w:rsidRDefault="00C31389" w14:paraId="1F6106F7" w14:textId="77777777">
            <w:pPr>
              <w:pStyle w:val="TableParagraph"/>
              <w:spacing w:before="4"/>
              <w:rPr>
                <w:b/>
                <w:sz w:val="14"/>
              </w:rPr>
            </w:pPr>
          </w:p>
          <w:p w:rsidR="00C31389" w:rsidRDefault="00561FBD" w14:paraId="6854E47E" w14:textId="77777777">
            <w:pPr>
              <w:pStyle w:val="TableParagraph"/>
              <w:spacing w:before="0"/>
              <w:ind w:left="118" w:right="127"/>
              <w:jc w:val="center"/>
              <w:rPr>
                <w:sz w:val="17"/>
              </w:rPr>
            </w:pPr>
            <w:r>
              <w:rPr>
                <w:spacing w:val="-2"/>
                <w:sz w:val="17"/>
              </w:rPr>
              <w:t>19.6%</w:t>
            </w:r>
          </w:p>
        </w:tc>
        <w:tc>
          <w:tcPr>
            <w:tcW w:w="960" w:type="dxa"/>
            <w:tcBorders>
              <w:top w:val="single" w:color="DCDDDE" w:sz="4" w:space="0"/>
              <w:bottom w:val="single" w:color="DCDDDE" w:sz="4" w:space="0"/>
            </w:tcBorders>
          </w:tcPr>
          <w:p w:rsidR="00C31389" w:rsidRDefault="00C31389" w14:paraId="1BCEA528" w14:textId="77777777">
            <w:pPr>
              <w:pStyle w:val="TableParagraph"/>
              <w:spacing w:before="4"/>
              <w:rPr>
                <w:b/>
                <w:sz w:val="14"/>
              </w:rPr>
            </w:pPr>
          </w:p>
          <w:p w:rsidR="00C31389" w:rsidRDefault="00561FBD" w14:paraId="61A2B690" w14:textId="77777777">
            <w:pPr>
              <w:pStyle w:val="TableParagraph"/>
              <w:spacing w:before="0"/>
              <w:ind w:left="132" w:right="130"/>
              <w:jc w:val="center"/>
              <w:rPr>
                <w:sz w:val="17"/>
              </w:rPr>
            </w:pPr>
            <w:r>
              <w:rPr>
                <w:spacing w:val="-2"/>
                <w:sz w:val="17"/>
              </w:rPr>
              <w:t>19.6%</w:t>
            </w:r>
          </w:p>
        </w:tc>
        <w:tc>
          <w:tcPr>
            <w:tcW w:w="758" w:type="dxa"/>
            <w:tcBorders>
              <w:top w:val="single" w:color="DCDDDE" w:sz="4" w:space="0"/>
              <w:bottom w:val="single" w:color="DCDDDE" w:sz="4" w:space="0"/>
            </w:tcBorders>
          </w:tcPr>
          <w:p w:rsidR="00C31389" w:rsidRDefault="00C31389" w14:paraId="3A4293A5" w14:textId="77777777">
            <w:pPr>
              <w:pStyle w:val="TableParagraph"/>
              <w:spacing w:before="4"/>
              <w:rPr>
                <w:b/>
                <w:sz w:val="14"/>
              </w:rPr>
            </w:pPr>
          </w:p>
          <w:p w:rsidR="00C31389" w:rsidRDefault="00561FBD" w14:paraId="2726F8E9" w14:textId="77777777">
            <w:pPr>
              <w:pStyle w:val="TableParagraph"/>
              <w:spacing w:before="0"/>
              <w:ind w:right="129"/>
              <w:jc w:val="right"/>
              <w:rPr>
                <w:sz w:val="17"/>
              </w:rPr>
            </w:pPr>
            <w:r>
              <w:rPr>
                <w:spacing w:val="-2"/>
                <w:sz w:val="17"/>
              </w:rPr>
              <w:t>18.4%</w:t>
            </w:r>
          </w:p>
        </w:tc>
        <w:tc>
          <w:tcPr>
            <w:tcW w:w="747" w:type="dxa"/>
            <w:tcBorders>
              <w:top w:val="single" w:color="DCDDDE" w:sz="4" w:space="0"/>
              <w:bottom w:val="single" w:color="DCDDDE" w:sz="4" w:space="0"/>
            </w:tcBorders>
          </w:tcPr>
          <w:p w:rsidR="00C31389" w:rsidRDefault="00C31389" w14:paraId="1D27BF90" w14:textId="77777777">
            <w:pPr>
              <w:pStyle w:val="TableParagraph"/>
              <w:spacing w:before="4"/>
              <w:rPr>
                <w:b/>
                <w:sz w:val="14"/>
              </w:rPr>
            </w:pPr>
          </w:p>
          <w:p w:rsidR="00C31389" w:rsidRDefault="00561FBD" w14:paraId="18ECC4A4" w14:textId="77777777">
            <w:pPr>
              <w:pStyle w:val="TableParagraph"/>
              <w:spacing w:before="0"/>
              <w:ind w:left="117" w:right="117"/>
              <w:jc w:val="center"/>
              <w:rPr>
                <w:sz w:val="17"/>
              </w:rPr>
            </w:pPr>
            <w:r>
              <w:rPr>
                <w:spacing w:val="-2"/>
                <w:sz w:val="17"/>
              </w:rPr>
              <w:t>17.8%</w:t>
            </w:r>
          </w:p>
        </w:tc>
        <w:tc>
          <w:tcPr>
            <w:tcW w:w="759" w:type="dxa"/>
            <w:tcBorders>
              <w:top w:val="single" w:color="DCDDDE" w:sz="4" w:space="0"/>
              <w:bottom w:val="single" w:color="DCDDDE" w:sz="4" w:space="0"/>
            </w:tcBorders>
          </w:tcPr>
          <w:p w:rsidR="00C31389" w:rsidRDefault="00C31389" w14:paraId="4E408C70" w14:textId="77777777">
            <w:pPr>
              <w:pStyle w:val="TableParagraph"/>
              <w:spacing w:before="4"/>
              <w:rPr>
                <w:b/>
                <w:sz w:val="14"/>
              </w:rPr>
            </w:pPr>
          </w:p>
          <w:p w:rsidR="00C31389" w:rsidRDefault="00561FBD" w14:paraId="1D587BC2" w14:textId="77777777">
            <w:pPr>
              <w:pStyle w:val="TableParagraph"/>
              <w:spacing w:before="0"/>
              <w:ind w:left="132"/>
              <w:rPr>
                <w:sz w:val="17"/>
              </w:rPr>
            </w:pPr>
            <w:r>
              <w:rPr>
                <w:spacing w:val="-2"/>
                <w:sz w:val="17"/>
              </w:rPr>
              <w:t>17.6%</w:t>
            </w:r>
          </w:p>
        </w:tc>
        <w:tc>
          <w:tcPr>
            <w:tcW w:w="971" w:type="dxa"/>
            <w:tcBorders>
              <w:top w:val="single" w:color="DCDDDE" w:sz="4" w:space="0"/>
              <w:bottom w:val="single" w:color="DCDDDE" w:sz="4" w:space="0"/>
            </w:tcBorders>
          </w:tcPr>
          <w:p w:rsidR="00C31389" w:rsidRDefault="00C31389" w14:paraId="6690777F" w14:textId="77777777">
            <w:pPr>
              <w:pStyle w:val="TableParagraph"/>
              <w:spacing w:before="4"/>
              <w:rPr>
                <w:b/>
                <w:sz w:val="14"/>
              </w:rPr>
            </w:pPr>
          </w:p>
          <w:p w:rsidR="00C31389" w:rsidRDefault="00561FBD" w14:paraId="4F4541EA" w14:textId="77777777">
            <w:pPr>
              <w:pStyle w:val="TableParagraph"/>
              <w:spacing w:before="0"/>
              <w:ind w:left="133" w:right="141"/>
              <w:jc w:val="center"/>
              <w:rPr>
                <w:sz w:val="17"/>
              </w:rPr>
            </w:pPr>
            <w:r>
              <w:rPr>
                <w:spacing w:val="-2"/>
                <w:sz w:val="17"/>
              </w:rPr>
              <w:t>17.9%</w:t>
            </w:r>
          </w:p>
        </w:tc>
      </w:tr>
    </w:tbl>
    <w:p w:rsidR="00C31389" w:rsidRDefault="00C31389" w14:paraId="779CCB42" w14:textId="77777777">
      <w:pPr>
        <w:pStyle w:val="BodyText"/>
        <w:rPr>
          <w:b/>
          <w:sz w:val="20"/>
        </w:rPr>
      </w:pPr>
    </w:p>
    <w:p w:rsidR="00C31389" w:rsidRDefault="00561FBD" w14:paraId="552E9072" w14:textId="77777777">
      <w:pPr>
        <w:pStyle w:val="BodyText"/>
        <w:spacing w:before="5"/>
        <w:rPr>
          <w:b/>
          <w:sz w:val="16"/>
        </w:rPr>
      </w:pPr>
      <w:r>
        <w:rPr>
          <w:noProof/>
        </w:rPr>
        <mc:AlternateContent>
          <mc:Choice Requires="wps">
            <w:drawing>
              <wp:anchor distT="0" distB="0" distL="0" distR="0" simplePos="0" relativeHeight="487618048" behindDoc="1" locked="0" layoutInCell="1" allowOverlap="1" wp14:editId="0ABB61C0" wp14:anchorId="5E0BEE21">
                <wp:simplePos x="0" y="0"/>
                <wp:positionH relativeFrom="page">
                  <wp:posOffset>914400</wp:posOffset>
                </wp:positionH>
                <wp:positionV relativeFrom="paragraph">
                  <wp:posOffset>135521</wp:posOffset>
                </wp:positionV>
                <wp:extent cx="1828800" cy="698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72" style="position:absolute;margin-left:1in;margin-top:10.65pt;width:2in;height:.5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" w14:anchorId="38756EF3">
                <v:path arrowok="t"/>
                <w10:wrap type="topAndBottom" anchorx="page"/>
              </v:shape>
            </w:pict>
          </mc:Fallback>
        </mc:AlternateContent>
      </w:r>
    </w:p>
    <w:p w:rsidR="00C31389" w:rsidRDefault="00561FBD" w14:paraId="76684DC9" w14:textId="77777777">
      <w:pPr>
        <w:spacing w:before="88"/>
        <w:ind w:left="479" w:right="533"/>
        <w:rPr>
          <w:sz w:val="18"/>
        </w:rPr>
      </w:pPr>
      <w:bookmarkStart w:name="_bookmark84" w:id="112"/>
      <w:bookmarkEnd w:id="112"/>
      <w:r>
        <w:rPr>
          <w:position w:val="6"/>
          <w:sz w:val="12"/>
        </w:rPr>
        <w:t>24</w:t>
      </w:r>
      <w:r>
        <w:rPr>
          <w:spacing w:val="61"/>
          <w:position w:val="6"/>
          <w:sz w:val="12"/>
        </w:rPr>
        <w:t xml:space="preserve"> </w:t>
      </w:r>
      <w:r>
        <w:rPr>
          <w:sz w:val="18"/>
        </w:rPr>
        <w:t>Final</w:t>
      </w:r>
      <w:r>
        <w:rPr>
          <w:spacing w:val="-3"/>
          <w:sz w:val="18"/>
        </w:rPr>
        <w:t xml:space="preserve"> </w:t>
      </w:r>
      <w:r>
        <w:rPr>
          <w:sz w:val="18"/>
        </w:rPr>
        <w:t>Report:</w:t>
      </w:r>
      <w:r>
        <w:rPr>
          <w:spacing w:val="-3"/>
          <w:sz w:val="18"/>
        </w:rPr>
        <w:t xml:space="preserve"> </w:t>
      </w:r>
      <w:r>
        <w:rPr>
          <w:sz w:val="18"/>
        </w:rPr>
        <w:t>Appliance</w:t>
      </w:r>
      <w:r>
        <w:rPr>
          <w:spacing w:val="-4"/>
          <w:sz w:val="18"/>
        </w:rPr>
        <w:t xml:space="preserve"> </w:t>
      </w:r>
      <w:r>
        <w:rPr>
          <w:sz w:val="18"/>
        </w:rPr>
        <w:t>Standards</w:t>
      </w:r>
      <w:r>
        <w:rPr>
          <w:spacing w:val="-3"/>
          <w:sz w:val="18"/>
        </w:rPr>
        <w:t xml:space="preserve"> </w:t>
      </w:r>
      <w:r>
        <w:rPr>
          <w:sz w:val="18"/>
        </w:rPr>
        <w:t>Vol.</w:t>
      </w:r>
      <w:r>
        <w:rPr>
          <w:spacing w:val="-3"/>
          <w:sz w:val="18"/>
        </w:rPr>
        <w:t xml:space="preserve"> </w:t>
      </w:r>
      <w:r>
        <w:rPr>
          <w:sz w:val="18"/>
        </w:rPr>
        <w:t>1</w:t>
      </w:r>
      <w:r>
        <w:rPr>
          <w:spacing w:val="-4"/>
          <w:sz w:val="18"/>
        </w:rPr>
        <w:t xml:space="preserve"> </w:t>
      </w:r>
      <w:r>
        <w:rPr>
          <w:sz w:val="18"/>
        </w:rPr>
        <w:t>California</w:t>
      </w:r>
      <w:r>
        <w:rPr>
          <w:spacing w:val="-4"/>
          <w:sz w:val="18"/>
        </w:rPr>
        <w:t xml:space="preserve"> </w:t>
      </w:r>
      <w:r>
        <w:rPr>
          <w:sz w:val="18"/>
        </w:rPr>
        <w:t>Public</w:t>
      </w:r>
      <w:r>
        <w:rPr>
          <w:spacing w:val="-2"/>
          <w:sz w:val="18"/>
        </w:rPr>
        <w:t xml:space="preserve"> </w:t>
      </w:r>
      <w:r>
        <w:rPr>
          <w:sz w:val="18"/>
        </w:rPr>
        <w:t>Utilities</w:t>
      </w:r>
      <w:r>
        <w:rPr>
          <w:spacing w:val="-3"/>
          <w:sz w:val="18"/>
        </w:rPr>
        <w:t xml:space="preserve"> </w:t>
      </w:r>
      <w:r>
        <w:rPr>
          <w:sz w:val="18"/>
        </w:rPr>
        <w:t>Commission</w:t>
      </w:r>
      <w:r>
        <w:rPr>
          <w:spacing w:val="-4"/>
          <w:sz w:val="18"/>
        </w:rPr>
        <w:t xml:space="preserve"> </w:t>
      </w:r>
      <w:r>
        <w:rPr>
          <w:sz w:val="18"/>
        </w:rPr>
        <w:t>Energy</w:t>
      </w:r>
      <w:r>
        <w:rPr>
          <w:spacing w:val="-3"/>
          <w:sz w:val="18"/>
        </w:rPr>
        <w:t xml:space="preserve"> </w:t>
      </w:r>
      <w:r>
        <w:rPr>
          <w:sz w:val="18"/>
        </w:rPr>
        <w:t>Efficiency</w:t>
      </w:r>
      <w:r>
        <w:rPr>
          <w:spacing w:val="-3"/>
          <w:sz w:val="18"/>
        </w:rPr>
        <w:t xml:space="preserve"> </w:t>
      </w:r>
      <w:r>
        <w:rPr>
          <w:sz w:val="18"/>
        </w:rPr>
        <w:t>Program Evaluation, 2021. https://pda.energydataweb.com/#!/documents/2522/view</w:t>
      </w:r>
    </w:p>
    <w:p w:rsidR="00C31389" w:rsidRDefault="00C31389" w14:paraId="1A7D1933" w14:textId="77777777">
      <w:pPr>
        <w:rPr>
          <w:sz w:val="18"/>
        </w:rPr>
        <w:sectPr w:rsidR="00C31389">
          <w:pgSz w:w="12240" w:h="15840"/>
          <w:pgMar w:top="1380" w:right="960" w:bottom="1120" w:left="960" w:header="397" w:footer="936" w:gutter="0"/>
          <w:cols w:space="720"/>
        </w:sectPr>
      </w:pPr>
    </w:p>
    <w:p w:rsidR="00C31389" w:rsidRDefault="00C31389" w14:paraId="4C3C72B2" w14:textId="77777777">
      <w:pPr>
        <w:pStyle w:val="BodyText"/>
        <w:spacing w:before="8"/>
        <w:rPr>
          <w:sz w:val="13"/>
        </w:rPr>
      </w:pPr>
    </w:p>
    <w:p w:rsidR="00C31389" w:rsidRDefault="00561FBD" w14:paraId="46090735" w14:textId="77777777">
      <w:pPr>
        <w:spacing w:before="95"/>
        <w:ind w:left="480" w:right="485"/>
        <w:rPr>
          <w:sz w:val="18"/>
        </w:rPr>
      </w:pPr>
      <w:r>
        <w:rPr>
          <w:sz w:val="18"/>
        </w:rPr>
        <w:t>*The</w:t>
      </w:r>
      <w:r>
        <w:rPr>
          <w:spacing w:val="-4"/>
          <w:sz w:val="18"/>
        </w:rPr>
        <w:t xml:space="preserve"> </w:t>
      </w:r>
      <w:r>
        <w:rPr>
          <w:sz w:val="18"/>
        </w:rPr>
        <w:t>“Other”</w:t>
      </w:r>
      <w:r>
        <w:rPr>
          <w:spacing w:val="-3"/>
          <w:sz w:val="18"/>
        </w:rPr>
        <w:t xml:space="preserve"> </w:t>
      </w:r>
      <w:r>
        <w:rPr>
          <w:sz w:val="18"/>
        </w:rPr>
        <w:t>category</w:t>
      </w:r>
      <w:r>
        <w:rPr>
          <w:spacing w:val="-3"/>
          <w:sz w:val="18"/>
        </w:rPr>
        <w:t xml:space="preserve"> </w:t>
      </w:r>
      <w:r>
        <w:rPr>
          <w:sz w:val="18"/>
        </w:rPr>
        <w:t>for</w:t>
      </w:r>
      <w:r>
        <w:rPr>
          <w:spacing w:val="-3"/>
          <w:sz w:val="18"/>
        </w:rPr>
        <w:t xml:space="preserve"> </w:t>
      </w:r>
      <w:r>
        <w:rPr>
          <w:sz w:val="18"/>
        </w:rPr>
        <w:t>electric</w:t>
      </w:r>
      <w:r>
        <w:rPr>
          <w:spacing w:val="-3"/>
          <w:sz w:val="18"/>
        </w:rPr>
        <w:t xml:space="preserve"> </w:t>
      </w:r>
      <w:r>
        <w:rPr>
          <w:sz w:val="18"/>
        </w:rPr>
        <w:t>included</w:t>
      </w:r>
      <w:r>
        <w:rPr>
          <w:spacing w:val="-4"/>
          <w:sz w:val="18"/>
        </w:rPr>
        <w:t xml:space="preserve"> </w:t>
      </w:r>
      <w:r>
        <w:rPr>
          <w:sz w:val="18"/>
        </w:rPr>
        <w:t>publicly</w:t>
      </w:r>
      <w:r>
        <w:rPr>
          <w:spacing w:val="-3"/>
          <w:sz w:val="18"/>
        </w:rPr>
        <w:t xml:space="preserve"> </w:t>
      </w:r>
      <w:r>
        <w:rPr>
          <w:sz w:val="18"/>
        </w:rPr>
        <w:t>owned</w:t>
      </w:r>
      <w:r>
        <w:rPr>
          <w:spacing w:val="-4"/>
          <w:sz w:val="18"/>
        </w:rPr>
        <w:t xml:space="preserve"> </w:t>
      </w:r>
      <w:r>
        <w:rPr>
          <w:sz w:val="18"/>
        </w:rPr>
        <w:t>load-serving</w:t>
      </w:r>
      <w:r>
        <w:rPr>
          <w:spacing w:val="-4"/>
          <w:sz w:val="18"/>
        </w:rPr>
        <w:t xml:space="preserve"> </w:t>
      </w:r>
      <w:r>
        <w:rPr>
          <w:sz w:val="18"/>
        </w:rPr>
        <w:t>entities,</w:t>
      </w:r>
      <w:r>
        <w:rPr>
          <w:spacing w:val="-3"/>
          <w:sz w:val="18"/>
        </w:rPr>
        <w:t xml:space="preserve"> </w:t>
      </w:r>
      <w:r>
        <w:rPr>
          <w:sz w:val="18"/>
        </w:rPr>
        <w:t>rural</w:t>
      </w:r>
      <w:r>
        <w:rPr>
          <w:spacing w:val="-3"/>
          <w:sz w:val="18"/>
        </w:rPr>
        <w:t xml:space="preserve"> </w:t>
      </w:r>
      <w:r>
        <w:rPr>
          <w:sz w:val="18"/>
        </w:rPr>
        <w:t>electric</w:t>
      </w:r>
      <w:r>
        <w:rPr>
          <w:spacing w:val="-3"/>
          <w:sz w:val="18"/>
        </w:rPr>
        <w:t xml:space="preserve"> </w:t>
      </w:r>
      <w:r>
        <w:rPr>
          <w:sz w:val="18"/>
        </w:rPr>
        <w:t>cooperatives,</w:t>
      </w:r>
      <w:r>
        <w:rPr>
          <w:spacing w:val="-3"/>
          <w:sz w:val="18"/>
        </w:rPr>
        <w:t xml:space="preserve"> </w:t>
      </w:r>
      <w:r>
        <w:rPr>
          <w:sz w:val="18"/>
        </w:rPr>
        <w:t>community choice aggregators, and non-IOU electric service providers. For gas, the “Other” category includes publicly owned utilities, and the western area power administration.</w:t>
      </w:r>
    </w:p>
    <w:p w:rsidR="00C31389" w:rsidRDefault="00561FBD" w14:paraId="63664F59" w14:textId="77777777">
      <w:pPr>
        <w:spacing w:line="206" w:lineRule="exact"/>
        <w:ind w:left="480"/>
        <w:rPr>
          <w:i/>
          <w:sz w:val="18"/>
        </w:rPr>
      </w:pPr>
      <w:r>
        <w:rPr>
          <w:i/>
          <w:sz w:val="18"/>
        </w:rPr>
        <w:t>So</w:t>
      </w:r>
      <w:r>
        <w:rPr>
          <w:i/>
          <w:sz w:val="18"/>
        </w:rPr>
        <w:t>urce:</w:t>
      </w:r>
      <w:r>
        <w:rPr>
          <w:i/>
          <w:spacing w:val="-6"/>
          <w:sz w:val="18"/>
        </w:rPr>
        <w:t xml:space="preserve"> </w:t>
      </w:r>
      <w:r>
        <w:rPr>
          <w:i/>
          <w:sz w:val="18"/>
        </w:rPr>
        <w:t>Final</w:t>
      </w:r>
      <w:r>
        <w:rPr>
          <w:i/>
          <w:spacing w:val="-3"/>
          <w:sz w:val="18"/>
        </w:rPr>
        <w:t xml:space="preserve"> </w:t>
      </w:r>
      <w:r>
        <w:rPr>
          <w:i/>
          <w:sz w:val="18"/>
        </w:rPr>
        <w:t>Report:</w:t>
      </w:r>
      <w:r>
        <w:rPr>
          <w:i/>
          <w:spacing w:val="-4"/>
          <w:sz w:val="18"/>
        </w:rPr>
        <w:t xml:space="preserve"> </w:t>
      </w:r>
      <w:r>
        <w:rPr>
          <w:i/>
          <w:sz w:val="18"/>
        </w:rPr>
        <w:t>PY</w:t>
      </w:r>
      <w:r>
        <w:rPr>
          <w:i/>
          <w:spacing w:val="-3"/>
          <w:sz w:val="18"/>
        </w:rPr>
        <w:t xml:space="preserve"> </w:t>
      </w:r>
      <w:r>
        <w:rPr>
          <w:i/>
          <w:sz w:val="18"/>
        </w:rPr>
        <w:t>2016-2018</w:t>
      </w:r>
      <w:r>
        <w:rPr>
          <w:i/>
          <w:spacing w:val="-4"/>
          <w:sz w:val="18"/>
        </w:rPr>
        <w:t xml:space="preserve"> </w:t>
      </w:r>
      <w:r>
        <w:rPr>
          <w:i/>
          <w:sz w:val="18"/>
        </w:rPr>
        <w:t>Appliance</w:t>
      </w:r>
      <w:r>
        <w:rPr>
          <w:i/>
          <w:spacing w:val="-4"/>
          <w:sz w:val="18"/>
        </w:rPr>
        <w:t xml:space="preserve"> </w:t>
      </w:r>
      <w:r>
        <w:rPr>
          <w:i/>
          <w:sz w:val="18"/>
        </w:rPr>
        <w:t>Standards</w:t>
      </w:r>
      <w:r>
        <w:rPr>
          <w:i/>
          <w:spacing w:val="-3"/>
          <w:sz w:val="18"/>
        </w:rPr>
        <w:t xml:space="preserve"> </w:t>
      </w:r>
      <w:r>
        <w:rPr>
          <w:i/>
          <w:sz w:val="18"/>
        </w:rPr>
        <w:t>Evaluation</w:t>
      </w:r>
      <w:r>
        <w:rPr>
          <w:i/>
          <w:spacing w:val="-4"/>
          <w:sz w:val="18"/>
        </w:rPr>
        <w:t xml:space="preserve"> </w:t>
      </w:r>
      <w:r>
        <w:rPr>
          <w:i/>
          <w:sz w:val="18"/>
        </w:rPr>
        <w:t>Vol.</w:t>
      </w:r>
      <w:r>
        <w:rPr>
          <w:i/>
          <w:spacing w:val="-2"/>
          <w:sz w:val="18"/>
        </w:rPr>
        <w:t xml:space="preserve"> </w:t>
      </w:r>
      <w:r>
        <w:rPr>
          <w:i/>
          <w:spacing w:val="-10"/>
          <w:sz w:val="18"/>
        </w:rPr>
        <w:t>1</w:t>
      </w:r>
    </w:p>
    <w:p w:rsidR="00C31389" w:rsidRDefault="00C31389" w14:paraId="66FEF407" w14:textId="77777777">
      <w:pPr>
        <w:pStyle w:val="BodyText"/>
        <w:rPr>
          <w:i/>
          <w:sz w:val="18"/>
        </w:rPr>
      </w:pPr>
    </w:p>
    <w:p w:rsidR="00C31389" w:rsidRDefault="00561FBD" w14:paraId="5DE4A38E" w14:textId="77777777">
      <w:pPr>
        <w:pStyle w:val="ListParagraph"/>
        <w:numPr>
          <w:ilvl w:val="0"/>
          <w:numId w:val="62"/>
        </w:numPr>
        <w:tabs>
          <w:tab w:val="left" w:pos="1199"/>
          <w:tab w:val="left" w:pos="1261"/>
        </w:tabs>
        <w:ind w:right="572"/>
        <w:rPr>
          <w:sz w:val="14"/>
        </w:rPr>
      </w:pPr>
      <w:r>
        <w:rPr>
          <w:rFonts w:ascii="Times New Roman" w:hAnsi="Times New Roman"/>
        </w:rPr>
        <w:tab/>
      </w:r>
      <w:r>
        <w:t xml:space="preserve">The PG study uses an average across three years (2016-2018) as shown in the “Average” column of </w:t>
      </w:r>
      <w:hyperlink w:history="1" w:anchor="_bookmark83">
        <w:r>
          <w:t>Table 2-7</w:t>
        </w:r>
      </w:hyperlink>
      <w:r>
        <w:t>. We note that CPUC policy on how utilities can claim savings from statewide programs v</w:t>
      </w:r>
      <w:r>
        <w:t xml:space="preserve">aries from the approach taken in the PG study. According to Decision 16-08-019, Section 4.3 page 55, </w:t>
      </w:r>
      <w:r>
        <w:rPr>
          <w:i/>
        </w:rPr>
        <w:t>“The lead statewide administrator for each area will not be assigned credit for all of the results of the program;</w:t>
      </w:r>
      <w:r>
        <w:rPr>
          <w:i/>
          <w:spacing w:val="-4"/>
        </w:rPr>
        <w:t xml:space="preserve"> </w:t>
      </w:r>
      <w:r>
        <w:rPr>
          <w:i/>
        </w:rPr>
        <w:t>rather,</w:t>
      </w:r>
      <w:r>
        <w:rPr>
          <w:i/>
          <w:spacing w:val="-4"/>
        </w:rPr>
        <w:t xml:space="preserve"> </w:t>
      </w:r>
      <w:r>
        <w:rPr>
          <w:i/>
        </w:rPr>
        <w:t>the</w:t>
      </w:r>
      <w:r>
        <w:rPr>
          <w:i/>
          <w:spacing w:val="-4"/>
        </w:rPr>
        <w:t xml:space="preserve"> </w:t>
      </w:r>
      <w:r>
        <w:rPr>
          <w:i/>
        </w:rPr>
        <w:t>energy</w:t>
      </w:r>
      <w:r>
        <w:rPr>
          <w:i/>
          <w:spacing w:val="-4"/>
        </w:rPr>
        <w:t xml:space="preserve"> </w:t>
      </w:r>
      <w:r>
        <w:rPr>
          <w:i/>
        </w:rPr>
        <w:t>savings</w:t>
      </w:r>
      <w:r>
        <w:rPr>
          <w:i/>
          <w:spacing w:val="-5"/>
        </w:rPr>
        <w:t xml:space="preserve"> </w:t>
      </w:r>
      <w:r>
        <w:rPr>
          <w:i/>
        </w:rPr>
        <w:t>will</w:t>
      </w:r>
      <w:r>
        <w:rPr>
          <w:i/>
          <w:spacing w:val="-4"/>
        </w:rPr>
        <w:t xml:space="preserve"> </w:t>
      </w:r>
      <w:r>
        <w:rPr>
          <w:i/>
        </w:rPr>
        <w:t>be</w:t>
      </w:r>
      <w:r>
        <w:rPr>
          <w:i/>
          <w:spacing w:val="-4"/>
        </w:rPr>
        <w:t xml:space="preserve"> </w:t>
      </w:r>
      <w:r>
        <w:rPr>
          <w:i/>
        </w:rPr>
        <w:t>appor</w:t>
      </w:r>
      <w:r>
        <w:rPr>
          <w:i/>
        </w:rPr>
        <w:t>tioned</w:t>
      </w:r>
      <w:r>
        <w:rPr>
          <w:i/>
          <w:spacing w:val="-4"/>
        </w:rPr>
        <w:t xml:space="preserve"> </w:t>
      </w:r>
      <w:r>
        <w:rPr>
          <w:i/>
        </w:rPr>
        <w:t>to</w:t>
      </w:r>
      <w:r>
        <w:rPr>
          <w:i/>
          <w:spacing w:val="-4"/>
        </w:rPr>
        <w:t xml:space="preserve"> </w:t>
      </w:r>
      <w:r>
        <w:rPr>
          <w:i/>
        </w:rPr>
        <w:t>all</w:t>
      </w:r>
      <w:r>
        <w:rPr>
          <w:i/>
          <w:spacing w:val="-5"/>
        </w:rPr>
        <w:t xml:space="preserve"> </w:t>
      </w:r>
      <w:r>
        <w:rPr>
          <w:i/>
        </w:rPr>
        <w:t>contributing</w:t>
      </w:r>
      <w:r>
        <w:rPr>
          <w:i/>
          <w:spacing w:val="-5"/>
        </w:rPr>
        <w:t xml:space="preserve"> </w:t>
      </w:r>
      <w:r>
        <w:rPr>
          <w:i/>
        </w:rPr>
        <w:t>administrators based on actual customer participation.</w:t>
      </w:r>
      <w:r>
        <w:t xml:space="preserve">” </w:t>
      </w:r>
      <w:hyperlink w:history="1" w:anchor="_bookmark86">
        <w:r>
          <w:rPr>
            <w:position w:val="7"/>
            <w:sz w:val="14"/>
          </w:rPr>
          <w:t>25</w:t>
        </w:r>
      </w:hyperlink>
    </w:p>
    <w:p w:rsidR="00C31389" w:rsidRDefault="00C31389" w14:paraId="276377D2" w14:textId="77777777">
      <w:pPr>
        <w:pStyle w:val="BodyText"/>
        <w:spacing w:before="8"/>
        <w:rPr>
          <w:sz w:val="20"/>
        </w:rPr>
      </w:pPr>
    </w:p>
    <w:p w:rsidR="00C31389" w:rsidRDefault="00561FBD" w14:paraId="2DF88915" w14:textId="77777777">
      <w:pPr>
        <w:pStyle w:val="ListParagraph"/>
        <w:numPr>
          <w:ilvl w:val="0"/>
          <w:numId w:val="62"/>
        </w:numPr>
        <w:tabs>
          <w:tab w:val="left" w:pos="1200"/>
        </w:tabs>
        <w:ind w:left="1200" w:right="557" w:hanging="361"/>
        <w:rPr>
          <w:sz w:val="14"/>
        </w:rPr>
      </w:pPr>
      <w:r>
        <w:t xml:space="preserve">In Decision 18-05-041 CPUC clarifies the earlier D.16-08-019: </w:t>
      </w:r>
      <w:r>
        <w:rPr>
          <w:i/>
        </w:rPr>
        <w:t>“We clarify that this means that credit for</w:t>
      </w:r>
      <w:r>
        <w:rPr>
          <w:i/>
        </w:rPr>
        <w:t xml:space="preserve"> energy savings generated will be based on funding contributed only,</w:t>
      </w:r>
      <w:r>
        <w:rPr>
          <w:i/>
          <w:spacing w:val="-3"/>
        </w:rPr>
        <w:t xml:space="preserve"> </w:t>
      </w:r>
      <w:r>
        <w:rPr>
          <w:i/>
        </w:rPr>
        <w:t>and</w:t>
      </w:r>
      <w:r>
        <w:rPr>
          <w:i/>
          <w:spacing w:val="-3"/>
        </w:rPr>
        <w:t xml:space="preserve"> </w:t>
      </w:r>
      <w:r>
        <w:rPr>
          <w:i/>
        </w:rPr>
        <w:t>not</w:t>
      </w:r>
      <w:r>
        <w:rPr>
          <w:i/>
          <w:spacing w:val="-3"/>
        </w:rPr>
        <w:t xml:space="preserve"> </w:t>
      </w:r>
      <w:r>
        <w:rPr>
          <w:i/>
        </w:rPr>
        <w:t>in</w:t>
      </w:r>
      <w:r>
        <w:rPr>
          <w:i/>
          <w:spacing w:val="-3"/>
        </w:rPr>
        <w:t xml:space="preserve"> </w:t>
      </w:r>
      <w:r>
        <w:rPr>
          <w:i/>
        </w:rPr>
        <w:t>relation</w:t>
      </w:r>
      <w:r>
        <w:rPr>
          <w:i/>
          <w:spacing w:val="-3"/>
        </w:rPr>
        <w:t xml:space="preserve"> </w:t>
      </w:r>
      <w:r>
        <w:rPr>
          <w:i/>
        </w:rPr>
        <w:t>to</w:t>
      </w:r>
      <w:r>
        <w:rPr>
          <w:i/>
          <w:spacing w:val="-3"/>
        </w:rPr>
        <w:t xml:space="preserve"> </w:t>
      </w:r>
      <w:r>
        <w:rPr>
          <w:i/>
        </w:rPr>
        <w:t>the</w:t>
      </w:r>
      <w:r>
        <w:rPr>
          <w:i/>
          <w:spacing w:val="-3"/>
        </w:rPr>
        <w:t xml:space="preserve"> </w:t>
      </w:r>
      <w:r>
        <w:rPr>
          <w:i/>
        </w:rPr>
        <w:t>geographic</w:t>
      </w:r>
      <w:r>
        <w:rPr>
          <w:i/>
          <w:spacing w:val="-3"/>
        </w:rPr>
        <w:t xml:space="preserve"> </w:t>
      </w:r>
      <w:r>
        <w:rPr>
          <w:i/>
        </w:rPr>
        <w:t>region</w:t>
      </w:r>
      <w:r>
        <w:rPr>
          <w:i/>
          <w:spacing w:val="-4"/>
        </w:rPr>
        <w:t xml:space="preserve"> </w:t>
      </w:r>
      <w:r>
        <w:rPr>
          <w:i/>
        </w:rPr>
        <w:t>in</w:t>
      </w:r>
      <w:r>
        <w:rPr>
          <w:i/>
          <w:spacing w:val="-3"/>
        </w:rPr>
        <w:t xml:space="preserve"> </w:t>
      </w:r>
      <w:r>
        <w:rPr>
          <w:i/>
        </w:rPr>
        <w:t>which</w:t>
      </w:r>
      <w:r>
        <w:rPr>
          <w:i/>
          <w:spacing w:val="-3"/>
        </w:rPr>
        <w:t xml:space="preserve"> </w:t>
      </w:r>
      <w:r>
        <w:rPr>
          <w:i/>
        </w:rPr>
        <w:t>the</w:t>
      </w:r>
      <w:r>
        <w:rPr>
          <w:i/>
          <w:spacing w:val="-4"/>
        </w:rPr>
        <w:t xml:space="preserve"> </w:t>
      </w:r>
      <w:r>
        <w:rPr>
          <w:i/>
        </w:rPr>
        <w:t>energy</w:t>
      </w:r>
      <w:r>
        <w:rPr>
          <w:i/>
          <w:spacing w:val="-3"/>
        </w:rPr>
        <w:t xml:space="preserve"> </w:t>
      </w:r>
      <w:r>
        <w:rPr>
          <w:i/>
        </w:rPr>
        <w:t>efficiency</w:t>
      </w:r>
      <w:r>
        <w:rPr>
          <w:i/>
          <w:spacing w:val="-3"/>
        </w:rPr>
        <w:t xml:space="preserve"> </w:t>
      </w:r>
      <w:r>
        <w:rPr>
          <w:i/>
        </w:rPr>
        <w:t>measure was sold or installed.”</w:t>
      </w:r>
      <w:r>
        <w:rPr>
          <w:i/>
          <w:spacing w:val="-28"/>
        </w:rPr>
        <w:t xml:space="preserve"> </w:t>
      </w:r>
      <w:hyperlink w:history="1" w:anchor="_bookmark87">
        <w:r>
          <w:rPr>
            <w:position w:val="7"/>
            <w:sz w:val="14"/>
          </w:rPr>
          <w:t>26</w:t>
        </w:r>
      </w:hyperlink>
    </w:p>
    <w:p w:rsidR="00C31389" w:rsidRDefault="00C31389" w14:paraId="32AFC3A5" w14:textId="77777777">
      <w:pPr>
        <w:pStyle w:val="BodyText"/>
        <w:spacing w:before="9"/>
        <w:rPr>
          <w:sz w:val="20"/>
        </w:rPr>
      </w:pPr>
    </w:p>
    <w:p w:rsidR="00C31389" w:rsidRDefault="00561FBD" w14:paraId="1BF162B1" w14:textId="77777777">
      <w:pPr>
        <w:pStyle w:val="BodyText"/>
        <w:ind w:left="479" w:right="533"/>
      </w:pPr>
      <w:r>
        <w:t>The</w:t>
      </w:r>
      <w:r>
        <w:rPr>
          <w:spacing w:val="-3"/>
        </w:rPr>
        <w:t xml:space="preserve"> </w:t>
      </w:r>
      <w:r>
        <w:t>PG</w:t>
      </w:r>
      <w:r>
        <w:rPr>
          <w:spacing w:val="-4"/>
        </w:rPr>
        <w:t xml:space="preserve"> </w:t>
      </w:r>
      <w:r>
        <w:t>study</w:t>
      </w:r>
      <w:r>
        <w:rPr>
          <w:spacing w:val="-3"/>
        </w:rPr>
        <w:t xml:space="preserve"> </w:t>
      </w:r>
      <w:r>
        <w:t>continues</w:t>
      </w:r>
      <w:r>
        <w:rPr>
          <w:spacing w:val="-3"/>
        </w:rPr>
        <w:t xml:space="preserve"> </w:t>
      </w:r>
      <w:r>
        <w:t>to</w:t>
      </w:r>
      <w:r>
        <w:rPr>
          <w:spacing w:val="-3"/>
        </w:rPr>
        <w:t xml:space="preserve"> </w:t>
      </w:r>
      <w:r>
        <w:t>approximate</w:t>
      </w:r>
      <w:r>
        <w:rPr>
          <w:spacing w:val="-3"/>
        </w:rPr>
        <w:t xml:space="preserve"> </w:t>
      </w:r>
      <w:r>
        <w:t>potential</w:t>
      </w:r>
      <w:r>
        <w:rPr>
          <w:spacing w:val="-3"/>
        </w:rPr>
        <w:t xml:space="preserve"> </w:t>
      </w:r>
      <w:r>
        <w:t>in</w:t>
      </w:r>
      <w:r>
        <w:rPr>
          <w:spacing w:val="-3"/>
        </w:rPr>
        <w:t xml:space="preserve"> </w:t>
      </w:r>
      <w:r>
        <w:t>the</w:t>
      </w:r>
      <w:r>
        <w:rPr>
          <w:spacing w:val="-3"/>
        </w:rPr>
        <w:t xml:space="preserve"> </w:t>
      </w:r>
      <w:r>
        <w:t>regions</w:t>
      </w:r>
      <w:r>
        <w:rPr>
          <w:spacing w:val="-3"/>
        </w:rPr>
        <w:t xml:space="preserve"> </w:t>
      </w:r>
      <w:r>
        <w:t>where</w:t>
      </w:r>
      <w:r>
        <w:rPr>
          <w:spacing w:val="-3"/>
        </w:rPr>
        <w:t xml:space="preserve"> </w:t>
      </w:r>
      <w:r>
        <w:t>equipment</w:t>
      </w:r>
      <w:r>
        <w:rPr>
          <w:spacing w:val="-3"/>
        </w:rPr>
        <w:t xml:space="preserve"> </w:t>
      </w:r>
      <w:r>
        <w:t>is</w:t>
      </w:r>
      <w:r>
        <w:rPr>
          <w:spacing w:val="-4"/>
        </w:rPr>
        <w:t xml:space="preserve"> </w:t>
      </w:r>
      <w:r>
        <w:t>sold</w:t>
      </w:r>
      <w:r>
        <w:rPr>
          <w:spacing w:val="-3"/>
        </w:rPr>
        <w:t xml:space="preserve"> </w:t>
      </w:r>
      <w:r>
        <w:t xml:space="preserve">or installed (not just for C&amp;S programs but for all types of savings potential that the study </w:t>
      </w:r>
      <w:r>
        <w:rPr>
          <w:spacing w:val="-2"/>
        </w:rPr>
        <w:t>forecasts).</w:t>
      </w:r>
    </w:p>
    <w:p w:rsidR="00C31389" w:rsidRDefault="00C31389" w14:paraId="1663DA4C" w14:textId="77777777">
      <w:pPr>
        <w:pStyle w:val="BodyText"/>
        <w:rPr>
          <w:sz w:val="24"/>
        </w:rPr>
      </w:pPr>
    </w:p>
    <w:p w:rsidR="00C31389" w:rsidRDefault="00C31389" w14:paraId="0FBA5FB7" w14:textId="77777777">
      <w:pPr>
        <w:pStyle w:val="BodyText"/>
        <w:rPr>
          <w:sz w:val="24"/>
        </w:rPr>
      </w:pPr>
    </w:p>
    <w:p w:rsidR="00C31389" w:rsidRDefault="00561FBD" w14:paraId="7BF6BB9B" w14:textId="77777777">
      <w:pPr>
        <w:pStyle w:val="Heading3"/>
        <w:numPr>
          <w:ilvl w:val="2"/>
          <w:numId w:val="71"/>
        </w:numPr>
        <w:tabs>
          <w:tab w:val="left" w:pos="1076"/>
        </w:tabs>
        <w:spacing w:before="182"/>
        <w:ind w:left="1076" w:hanging="596"/>
      </w:pPr>
      <w:bookmarkStart w:name="2.1.7_IRA" w:id="113"/>
      <w:bookmarkStart w:name="_bookmark85" w:id="114"/>
      <w:bookmarkEnd w:id="113"/>
      <w:bookmarkEnd w:id="114"/>
      <w:r>
        <w:rPr>
          <w:spacing w:val="-5"/>
        </w:rPr>
        <w:t>IRA</w:t>
      </w:r>
    </w:p>
    <w:p w:rsidR="00C31389" w:rsidRDefault="00C31389" w14:paraId="43881821" w14:textId="77777777">
      <w:pPr>
        <w:pStyle w:val="BodyText"/>
        <w:spacing w:before="9"/>
        <w:rPr>
          <w:b/>
          <w:sz w:val="20"/>
        </w:rPr>
      </w:pPr>
    </w:p>
    <w:p w:rsidR="00C31389" w:rsidRDefault="00561FBD" w14:paraId="57127657" w14:textId="77777777">
      <w:pPr>
        <w:pStyle w:val="BodyText"/>
        <w:ind w:left="480" w:right="544" w:hanging="1"/>
      </w:pPr>
      <w:r>
        <w:t>IRA</w:t>
      </w:r>
      <w:r>
        <w:rPr>
          <w:spacing w:val="-3"/>
        </w:rPr>
        <w:t xml:space="preserve"> </w:t>
      </w:r>
      <w:r>
        <w:t>was</w:t>
      </w:r>
      <w:r>
        <w:rPr>
          <w:spacing w:val="-3"/>
        </w:rPr>
        <w:t xml:space="preserve"> </w:t>
      </w:r>
      <w:r>
        <w:t>passed</w:t>
      </w:r>
      <w:r>
        <w:rPr>
          <w:spacing w:val="-3"/>
        </w:rPr>
        <w:t xml:space="preserve"> </w:t>
      </w:r>
      <w:r>
        <w:t>into</w:t>
      </w:r>
      <w:r>
        <w:rPr>
          <w:spacing w:val="-3"/>
        </w:rPr>
        <w:t xml:space="preserve"> </w:t>
      </w:r>
      <w:r>
        <w:t>US</w:t>
      </w:r>
      <w:r>
        <w:rPr>
          <w:spacing w:val="-4"/>
        </w:rPr>
        <w:t xml:space="preserve"> </w:t>
      </w:r>
      <w:r>
        <w:t>federal</w:t>
      </w:r>
      <w:r>
        <w:rPr>
          <w:spacing w:val="-3"/>
        </w:rPr>
        <w:t xml:space="preserve"> </w:t>
      </w:r>
      <w:r>
        <w:t>law</w:t>
      </w:r>
      <w:r>
        <w:rPr>
          <w:spacing w:val="-4"/>
        </w:rPr>
        <w:t xml:space="preserve"> </w:t>
      </w:r>
      <w:r>
        <w:t>in</w:t>
      </w:r>
      <w:r>
        <w:rPr>
          <w:spacing w:val="-3"/>
        </w:rPr>
        <w:t xml:space="preserve"> </w:t>
      </w:r>
      <w:r>
        <w:t>August</w:t>
      </w:r>
      <w:r>
        <w:rPr>
          <w:spacing w:val="-3"/>
        </w:rPr>
        <w:t xml:space="preserve"> </w:t>
      </w:r>
      <w:r>
        <w:t>2022.</w:t>
      </w:r>
      <w:r>
        <w:rPr>
          <w:spacing w:val="-3"/>
        </w:rPr>
        <w:t xml:space="preserve"> </w:t>
      </w:r>
      <w:r>
        <w:t>It</w:t>
      </w:r>
      <w:r>
        <w:rPr>
          <w:spacing w:val="-3"/>
        </w:rPr>
        <w:t xml:space="preserve"> </w:t>
      </w:r>
      <w:r>
        <w:t>includes</w:t>
      </w:r>
      <w:r>
        <w:rPr>
          <w:spacing w:val="-3"/>
        </w:rPr>
        <w:t xml:space="preserve"> </w:t>
      </w:r>
      <w:r>
        <w:t>provisions</w:t>
      </w:r>
      <w:r>
        <w:rPr>
          <w:spacing w:val="-3"/>
        </w:rPr>
        <w:t xml:space="preserve"> </w:t>
      </w:r>
      <w:r>
        <w:t>for</w:t>
      </w:r>
      <w:r>
        <w:rPr>
          <w:spacing w:val="-3"/>
        </w:rPr>
        <w:t xml:space="preserve"> </w:t>
      </w:r>
      <w:r>
        <w:t>tax</w:t>
      </w:r>
      <w:r>
        <w:rPr>
          <w:spacing w:val="-3"/>
        </w:rPr>
        <w:t xml:space="preserve"> </w:t>
      </w:r>
      <w:r>
        <w:t>credits</w:t>
      </w:r>
      <w:r>
        <w:rPr>
          <w:spacing w:val="-3"/>
        </w:rPr>
        <w:t xml:space="preserve"> </w:t>
      </w:r>
      <w:r>
        <w:t>to</w:t>
      </w:r>
      <w:r>
        <w:rPr>
          <w:spacing w:val="-3"/>
        </w:rPr>
        <w:t xml:space="preserve"> </w:t>
      </w:r>
      <w:r>
        <w:t xml:space="preserve">help reduce the cost of purchasing energy efficient end use equipment in both residential and nonresidential premises. The IRA also provides rebates through programs. The </w:t>
      </w:r>
      <w:r>
        <w:t>modeling of these programs is not included in this current study. The Guidehouse team incorporated measure-level tax credit impacts into the Guidehouse team’s PG Model. IRA tax credits impact the model in two ways:</w:t>
      </w:r>
    </w:p>
    <w:p w:rsidR="00C31389" w:rsidRDefault="00C31389" w14:paraId="7A52C4F6" w14:textId="77777777">
      <w:pPr>
        <w:pStyle w:val="BodyText"/>
        <w:spacing w:before="10"/>
        <w:rPr>
          <w:sz w:val="20"/>
        </w:rPr>
      </w:pPr>
    </w:p>
    <w:p w:rsidR="00C31389" w:rsidRDefault="00561FBD" w14:paraId="545B1E02" w14:textId="77777777">
      <w:pPr>
        <w:pStyle w:val="ListParagraph"/>
        <w:numPr>
          <w:ilvl w:val="0"/>
          <w:numId w:val="61"/>
        </w:numPr>
        <w:tabs>
          <w:tab w:val="left" w:pos="1200"/>
        </w:tabs>
        <w:spacing w:line="259" w:lineRule="auto"/>
        <w:ind w:right="767"/>
      </w:pPr>
      <w:r>
        <w:rPr>
          <w:b/>
        </w:rPr>
        <w:t xml:space="preserve">Changing Cost-Effectiveness: </w:t>
      </w:r>
      <w:r>
        <w:t>Tax credits</w:t>
      </w:r>
      <w:r>
        <w:t xml:space="preserve"> feed into the TRC test and act to reduce measure cost thereby increasing cost-effectiveness of measures. This increased economic potential overall as a result measures that were near the threshold of cost- effectiveness</w:t>
      </w:r>
      <w:r>
        <w:rPr>
          <w:spacing w:val="-3"/>
        </w:rPr>
        <w:t xml:space="preserve"> </w:t>
      </w:r>
      <w:r>
        <w:t>becoming</w:t>
      </w:r>
      <w:r>
        <w:rPr>
          <w:spacing w:val="-4"/>
        </w:rPr>
        <w:t xml:space="preserve"> </w:t>
      </w:r>
      <w:r>
        <w:t>so</w:t>
      </w:r>
      <w:r>
        <w:rPr>
          <w:spacing w:val="-3"/>
        </w:rPr>
        <w:t xml:space="preserve"> </w:t>
      </w:r>
      <w:r>
        <w:t>due</w:t>
      </w:r>
      <w:r>
        <w:rPr>
          <w:spacing w:val="-3"/>
        </w:rPr>
        <w:t xml:space="preserve"> </w:t>
      </w:r>
      <w:r>
        <w:t>to</w:t>
      </w:r>
      <w:r>
        <w:rPr>
          <w:spacing w:val="-3"/>
        </w:rPr>
        <w:t xml:space="preserve"> </w:t>
      </w:r>
      <w:r>
        <w:t>the</w:t>
      </w:r>
      <w:r>
        <w:rPr>
          <w:spacing w:val="-3"/>
        </w:rPr>
        <w:t xml:space="preserve"> </w:t>
      </w:r>
      <w:r>
        <w:t>tax</w:t>
      </w:r>
      <w:r>
        <w:rPr>
          <w:spacing w:val="-3"/>
        </w:rPr>
        <w:t xml:space="preserve"> </w:t>
      </w:r>
      <w:r>
        <w:t>credit.</w:t>
      </w:r>
      <w:r>
        <w:rPr>
          <w:spacing w:val="-4"/>
        </w:rPr>
        <w:t xml:space="preserve"> </w:t>
      </w:r>
      <w:r>
        <w:t>The</w:t>
      </w:r>
      <w:r>
        <w:rPr>
          <w:spacing w:val="-3"/>
        </w:rPr>
        <w:t xml:space="preserve"> </w:t>
      </w:r>
      <w:r>
        <w:t>PG</w:t>
      </w:r>
      <w:r>
        <w:rPr>
          <w:spacing w:val="-4"/>
        </w:rPr>
        <w:t xml:space="preserve"> </w:t>
      </w:r>
      <w:r>
        <w:t>Model</w:t>
      </w:r>
      <w:r>
        <w:rPr>
          <w:spacing w:val="-3"/>
        </w:rPr>
        <w:t xml:space="preserve"> </w:t>
      </w:r>
      <w:r>
        <w:t>followed</w:t>
      </w:r>
      <w:r>
        <w:rPr>
          <w:spacing w:val="-4"/>
        </w:rPr>
        <w:t xml:space="preserve"> </w:t>
      </w:r>
      <w:r>
        <w:t>the</w:t>
      </w:r>
      <w:r>
        <w:rPr>
          <w:spacing w:val="-3"/>
        </w:rPr>
        <w:t xml:space="preserve"> </w:t>
      </w:r>
      <w:r>
        <w:t>California Standard Practice Manual and supplemental guidance from CPUC staff on how to properly incorporate tax credits into the TRC test.</w:t>
      </w:r>
    </w:p>
    <w:p w:rsidR="00C31389" w:rsidRDefault="00561FBD" w14:paraId="469B0A51" w14:textId="77777777">
      <w:pPr>
        <w:pStyle w:val="ListParagraph"/>
        <w:numPr>
          <w:ilvl w:val="0"/>
          <w:numId w:val="61"/>
        </w:numPr>
        <w:tabs>
          <w:tab w:val="left" w:pos="1200"/>
        </w:tabs>
        <w:spacing w:line="259" w:lineRule="auto"/>
        <w:ind w:right="620"/>
      </w:pPr>
      <w:r>
        <w:rPr>
          <w:b/>
        </w:rPr>
        <w:t xml:space="preserve">Increasing Willingness to Adopt: </w:t>
      </w:r>
      <w:r>
        <w:t xml:space="preserve">Tax credits reduce the lifetime ownership cost of energy </w:t>
      </w:r>
      <w:r>
        <w:t>efficient equipment. Lifetime cost is an input to the PG Model’s calculation of willingness</w:t>
      </w:r>
      <w:r>
        <w:rPr>
          <w:spacing w:val="-4"/>
        </w:rPr>
        <w:t xml:space="preserve"> </w:t>
      </w:r>
      <w:r>
        <w:t>to</w:t>
      </w:r>
      <w:r>
        <w:rPr>
          <w:spacing w:val="-4"/>
        </w:rPr>
        <w:t xml:space="preserve"> </w:t>
      </w:r>
      <w:r>
        <w:t>adopt;</w:t>
      </w:r>
      <w:r>
        <w:rPr>
          <w:spacing w:val="-4"/>
        </w:rPr>
        <w:t xml:space="preserve"> </w:t>
      </w:r>
      <w:r>
        <w:t>reducing</w:t>
      </w:r>
      <w:r>
        <w:rPr>
          <w:spacing w:val="-4"/>
        </w:rPr>
        <w:t xml:space="preserve"> </w:t>
      </w:r>
      <w:r>
        <w:t>cost</w:t>
      </w:r>
      <w:r>
        <w:rPr>
          <w:spacing w:val="-4"/>
        </w:rPr>
        <w:t xml:space="preserve"> </w:t>
      </w:r>
      <w:r>
        <w:t>increases</w:t>
      </w:r>
      <w:r>
        <w:rPr>
          <w:spacing w:val="-4"/>
        </w:rPr>
        <w:t xml:space="preserve"> </w:t>
      </w:r>
      <w:r>
        <w:t>willingness</w:t>
      </w:r>
      <w:r>
        <w:rPr>
          <w:spacing w:val="-4"/>
        </w:rPr>
        <w:t xml:space="preserve"> </w:t>
      </w:r>
      <w:r>
        <w:t>and</w:t>
      </w:r>
      <w:r>
        <w:rPr>
          <w:spacing w:val="-5"/>
        </w:rPr>
        <w:t xml:space="preserve"> </w:t>
      </w:r>
      <w:r>
        <w:t>thus</w:t>
      </w:r>
      <w:r>
        <w:rPr>
          <w:spacing w:val="-4"/>
        </w:rPr>
        <w:t xml:space="preserve"> </w:t>
      </w:r>
      <w:r>
        <w:t>increases</w:t>
      </w:r>
      <w:r>
        <w:rPr>
          <w:spacing w:val="-4"/>
        </w:rPr>
        <w:t xml:space="preserve"> </w:t>
      </w:r>
      <w:r>
        <w:t>achievable potential. No significant algorithm changes were necessary to model this aspect.</w:t>
      </w:r>
    </w:p>
    <w:p w:rsidR="00C31389" w:rsidRDefault="00C31389" w14:paraId="44E7AC3A" w14:textId="77777777">
      <w:pPr>
        <w:pStyle w:val="BodyText"/>
        <w:rPr>
          <w:sz w:val="20"/>
        </w:rPr>
      </w:pPr>
    </w:p>
    <w:p w:rsidR="00C31389" w:rsidRDefault="00C31389" w14:paraId="06C70F01" w14:textId="77777777">
      <w:pPr>
        <w:pStyle w:val="BodyText"/>
        <w:rPr>
          <w:sz w:val="20"/>
        </w:rPr>
      </w:pPr>
    </w:p>
    <w:p w:rsidR="00C31389" w:rsidRDefault="00C31389" w14:paraId="1D975C5A" w14:textId="77777777">
      <w:pPr>
        <w:pStyle w:val="BodyText"/>
        <w:rPr>
          <w:sz w:val="20"/>
        </w:rPr>
      </w:pPr>
    </w:p>
    <w:p w:rsidR="00C31389" w:rsidRDefault="00561FBD" w14:paraId="52BEAB02" w14:textId="77777777">
      <w:pPr>
        <w:pStyle w:val="BodyText"/>
        <w:spacing w:before="5"/>
        <w:rPr>
          <w:sz w:val="12"/>
        </w:rPr>
      </w:pPr>
      <w:r>
        <w:rPr>
          <w:noProof/>
        </w:rPr>
        <mc:AlternateContent>
          <mc:Choice Requires="wps">
            <w:drawing>
              <wp:anchor distT="0" distB="0" distL="0" distR="0" simplePos="0" relativeHeight="487618560" behindDoc="1" locked="0" layoutInCell="1" allowOverlap="1" wp14:editId="44CCF5C0" wp14:anchorId="51A1BC98">
                <wp:simplePos x="0" y="0"/>
                <wp:positionH relativeFrom="page">
                  <wp:posOffset>914400</wp:posOffset>
                </wp:positionH>
                <wp:positionV relativeFrom="paragraph">
                  <wp:posOffset>106470</wp:posOffset>
                </wp:positionV>
                <wp:extent cx="1828800" cy="6985"/>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79" style="position:absolute;margin-left:1in;margin-top:8.4pt;width:2in;height:.5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" w14:anchorId="0302EF66">
                <v:path arrowok="t"/>
                <w10:wrap type="topAndBottom" anchorx="page"/>
              </v:shape>
            </w:pict>
          </mc:Fallback>
        </mc:AlternateContent>
      </w:r>
    </w:p>
    <w:p w:rsidR="00C31389" w:rsidRDefault="00561FBD" w14:paraId="77B33C0C" w14:textId="77777777">
      <w:pPr>
        <w:spacing w:before="88"/>
        <w:ind w:left="480" w:right="533" w:hanging="1"/>
        <w:rPr>
          <w:sz w:val="18"/>
        </w:rPr>
      </w:pPr>
      <w:bookmarkStart w:name="_bookmark86" w:id="115"/>
      <w:bookmarkEnd w:id="115"/>
      <w:r>
        <w:rPr>
          <w:position w:val="6"/>
          <w:sz w:val="12"/>
        </w:rPr>
        <w:t>25</w:t>
      </w:r>
      <w:r>
        <w:rPr>
          <w:spacing w:val="13"/>
          <w:position w:val="6"/>
          <w:sz w:val="12"/>
        </w:rPr>
        <w:t xml:space="preserve"> </w:t>
      </w:r>
      <w:r>
        <w:rPr>
          <w:sz w:val="18"/>
        </w:rPr>
        <w:t>D.16-08-019</w:t>
      </w:r>
      <w:r>
        <w:rPr>
          <w:spacing w:val="-5"/>
          <w:sz w:val="18"/>
        </w:rPr>
        <w:t xml:space="preserve"> </w:t>
      </w:r>
      <w:r>
        <w:rPr>
          <w:sz w:val="18"/>
        </w:rPr>
        <w:t>DECISION</w:t>
      </w:r>
      <w:r>
        <w:rPr>
          <w:spacing w:val="-4"/>
          <w:sz w:val="18"/>
        </w:rPr>
        <w:t xml:space="preserve"> </w:t>
      </w:r>
      <w:r>
        <w:rPr>
          <w:sz w:val="18"/>
        </w:rPr>
        <w:t>PROVIDING</w:t>
      </w:r>
      <w:r>
        <w:rPr>
          <w:spacing w:val="-4"/>
          <w:sz w:val="18"/>
        </w:rPr>
        <w:t xml:space="preserve"> </w:t>
      </w:r>
      <w:r>
        <w:rPr>
          <w:sz w:val="18"/>
        </w:rPr>
        <w:t>GUIDANCE</w:t>
      </w:r>
      <w:r>
        <w:rPr>
          <w:spacing w:val="-4"/>
          <w:sz w:val="18"/>
        </w:rPr>
        <w:t xml:space="preserve"> </w:t>
      </w:r>
      <w:r>
        <w:rPr>
          <w:sz w:val="18"/>
        </w:rPr>
        <w:t>FOR</w:t>
      </w:r>
      <w:r>
        <w:rPr>
          <w:spacing w:val="-4"/>
          <w:sz w:val="18"/>
        </w:rPr>
        <w:t xml:space="preserve"> </w:t>
      </w:r>
      <w:r>
        <w:rPr>
          <w:sz w:val="18"/>
        </w:rPr>
        <w:t>INITIAL</w:t>
      </w:r>
      <w:r>
        <w:rPr>
          <w:spacing w:val="-5"/>
          <w:sz w:val="18"/>
        </w:rPr>
        <w:t xml:space="preserve"> </w:t>
      </w:r>
      <w:r>
        <w:rPr>
          <w:sz w:val="18"/>
        </w:rPr>
        <w:t>ENERGY</w:t>
      </w:r>
      <w:r>
        <w:rPr>
          <w:spacing w:val="-4"/>
          <w:sz w:val="18"/>
        </w:rPr>
        <w:t xml:space="preserve"> </w:t>
      </w:r>
      <w:r>
        <w:rPr>
          <w:sz w:val="18"/>
        </w:rPr>
        <w:t>EFFICIENCY</w:t>
      </w:r>
      <w:r>
        <w:rPr>
          <w:spacing w:val="-4"/>
          <w:sz w:val="18"/>
        </w:rPr>
        <w:t xml:space="preserve"> </w:t>
      </w:r>
      <w:r>
        <w:rPr>
          <w:sz w:val="18"/>
        </w:rPr>
        <w:t>ROLLING</w:t>
      </w:r>
      <w:r>
        <w:rPr>
          <w:spacing w:val="-4"/>
          <w:sz w:val="18"/>
        </w:rPr>
        <w:t xml:space="preserve"> </w:t>
      </w:r>
      <w:r>
        <w:rPr>
          <w:sz w:val="18"/>
        </w:rPr>
        <w:t>PORTFOLIO BUSINESS PLAN FILINGS, 08/25/2016</w:t>
      </w:r>
    </w:p>
    <w:p w:rsidR="00C31389" w:rsidRDefault="00561FBD" w14:paraId="32138DC6" w14:textId="77777777">
      <w:pPr>
        <w:spacing w:before="37"/>
        <w:ind w:left="480"/>
        <w:rPr>
          <w:sz w:val="18"/>
        </w:rPr>
      </w:pPr>
      <w:bookmarkStart w:name="_bookmark87" w:id="116"/>
      <w:bookmarkEnd w:id="116"/>
      <w:r>
        <w:rPr>
          <w:position w:val="6"/>
          <w:sz w:val="12"/>
        </w:rPr>
        <w:t>26</w:t>
      </w:r>
      <w:r>
        <w:rPr>
          <w:spacing w:val="11"/>
          <w:position w:val="6"/>
          <w:sz w:val="12"/>
        </w:rPr>
        <w:t xml:space="preserve"> </w:t>
      </w:r>
      <w:r>
        <w:rPr>
          <w:sz w:val="18"/>
        </w:rPr>
        <w:t>D.18-05-041</w:t>
      </w:r>
      <w:r>
        <w:rPr>
          <w:spacing w:val="-5"/>
          <w:sz w:val="18"/>
        </w:rPr>
        <w:t xml:space="preserve"> </w:t>
      </w:r>
      <w:r>
        <w:rPr>
          <w:sz w:val="18"/>
        </w:rPr>
        <w:t>DECISION</w:t>
      </w:r>
      <w:r>
        <w:rPr>
          <w:spacing w:val="-3"/>
          <w:sz w:val="18"/>
        </w:rPr>
        <w:t xml:space="preserve"> </w:t>
      </w:r>
      <w:r>
        <w:rPr>
          <w:sz w:val="18"/>
        </w:rPr>
        <w:t>ADDRESSING</w:t>
      </w:r>
      <w:r>
        <w:rPr>
          <w:spacing w:val="-4"/>
          <w:sz w:val="18"/>
        </w:rPr>
        <w:t xml:space="preserve"> </w:t>
      </w:r>
      <w:r>
        <w:rPr>
          <w:sz w:val="18"/>
        </w:rPr>
        <w:t>ENERGY</w:t>
      </w:r>
      <w:r>
        <w:rPr>
          <w:spacing w:val="-4"/>
          <w:sz w:val="18"/>
        </w:rPr>
        <w:t xml:space="preserve"> </w:t>
      </w:r>
      <w:r>
        <w:rPr>
          <w:sz w:val="18"/>
        </w:rPr>
        <w:t>EFFICIENCY</w:t>
      </w:r>
      <w:r>
        <w:rPr>
          <w:spacing w:val="-3"/>
          <w:sz w:val="18"/>
        </w:rPr>
        <w:t xml:space="preserve"> </w:t>
      </w:r>
      <w:r>
        <w:rPr>
          <w:sz w:val="18"/>
        </w:rPr>
        <w:t>BUSINESS</w:t>
      </w:r>
      <w:r>
        <w:rPr>
          <w:spacing w:val="-4"/>
          <w:sz w:val="18"/>
        </w:rPr>
        <w:t xml:space="preserve"> </w:t>
      </w:r>
      <w:r>
        <w:rPr>
          <w:sz w:val="18"/>
        </w:rPr>
        <w:t>PLANS,</w:t>
      </w:r>
      <w:r>
        <w:rPr>
          <w:spacing w:val="-3"/>
          <w:sz w:val="18"/>
        </w:rPr>
        <w:t xml:space="preserve"> </w:t>
      </w:r>
      <w:r>
        <w:rPr>
          <w:spacing w:val="-2"/>
          <w:sz w:val="18"/>
        </w:rPr>
        <w:t>05/31/2018</w:t>
      </w:r>
    </w:p>
    <w:p w:rsidR="00C31389" w:rsidRDefault="00C31389" w14:paraId="3332B0AF" w14:textId="77777777">
      <w:pPr>
        <w:rPr>
          <w:sz w:val="18"/>
        </w:rPr>
        <w:sectPr w:rsidR="00C31389">
          <w:headerReference w:type="default" r:id="rId88"/>
          <w:footerReference w:type="default" r:id="rId89"/>
          <w:pgSz w:w="12240" w:h="15840"/>
          <w:pgMar w:top="1660" w:right="960" w:bottom="1120" w:left="960" w:header="397" w:footer="936" w:gutter="0"/>
          <w:cols w:space="720"/>
        </w:sectPr>
      </w:pPr>
    </w:p>
    <w:p w:rsidR="00C31389" w:rsidRDefault="00C31389" w14:paraId="3AB0F58D" w14:textId="77777777">
      <w:pPr>
        <w:pStyle w:val="BodyText"/>
        <w:spacing w:before="11"/>
        <w:rPr>
          <w:sz w:val="13"/>
        </w:rPr>
      </w:pPr>
    </w:p>
    <w:p w:rsidR="00C31389" w:rsidRDefault="00561FBD" w14:paraId="31C9031B" w14:textId="77777777">
      <w:pPr>
        <w:pStyle w:val="BodyText"/>
        <w:spacing w:before="92"/>
        <w:ind w:left="479" w:right="654"/>
        <w:jc w:val="both"/>
      </w:pPr>
      <w:r>
        <w:t>The</w:t>
      </w:r>
      <w:r>
        <w:rPr>
          <w:spacing w:val="-1"/>
        </w:rPr>
        <w:t xml:space="preserve"> </w:t>
      </w:r>
      <w:r>
        <w:t>DSMSim</w:t>
      </w:r>
      <w:r>
        <w:rPr>
          <w:spacing w:val="-2"/>
        </w:rPr>
        <w:t xml:space="preserve"> </w:t>
      </w:r>
      <w:r>
        <w:t>model</w:t>
      </w:r>
      <w:r>
        <w:rPr>
          <w:spacing w:val="-1"/>
        </w:rPr>
        <w:t xml:space="preserve"> </w:t>
      </w:r>
      <w:r>
        <w:t>has</w:t>
      </w:r>
      <w:r>
        <w:rPr>
          <w:spacing w:val="-1"/>
        </w:rPr>
        <w:t xml:space="preserve"> </w:t>
      </w:r>
      <w:r>
        <w:t>an</w:t>
      </w:r>
      <w:r>
        <w:rPr>
          <w:spacing w:val="-1"/>
        </w:rPr>
        <w:t xml:space="preserve"> </w:t>
      </w:r>
      <w:r>
        <w:t>input</w:t>
      </w:r>
      <w:r>
        <w:rPr>
          <w:spacing w:val="-1"/>
        </w:rPr>
        <w:t xml:space="preserve"> </w:t>
      </w:r>
      <w:r>
        <w:t>for</w:t>
      </w:r>
      <w:r>
        <w:rPr>
          <w:spacing w:val="-1"/>
        </w:rPr>
        <w:t xml:space="preserve"> </w:t>
      </w:r>
      <w:r>
        <w:t>tax</w:t>
      </w:r>
      <w:r>
        <w:rPr>
          <w:spacing w:val="-1"/>
        </w:rPr>
        <w:t xml:space="preserve"> </w:t>
      </w:r>
      <w:r>
        <w:t>credit</w:t>
      </w:r>
      <w:r>
        <w:rPr>
          <w:spacing w:val="-1"/>
        </w:rPr>
        <w:t xml:space="preserve"> </w:t>
      </w:r>
      <w:r>
        <w:t>that</w:t>
      </w:r>
      <w:r>
        <w:rPr>
          <w:spacing w:val="-1"/>
        </w:rPr>
        <w:t xml:space="preserve"> </w:t>
      </w:r>
      <w:r>
        <w:t>can</w:t>
      </w:r>
      <w:r>
        <w:rPr>
          <w:spacing w:val="-1"/>
        </w:rPr>
        <w:t xml:space="preserve"> </w:t>
      </w:r>
      <w:r>
        <w:t>be</w:t>
      </w:r>
      <w:r>
        <w:rPr>
          <w:spacing w:val="-1"/>
        </w:rPr>
        <w:t xml:space="preserve"> </w:t>
      </w:r>
      <w:r>
        <w:t>defined</w:t>
      </w:r>
      <w:r>
        <w:rPr>
          <w:spacing w:val="-1"/>
        </w:rPr>
        <w:t xml:space="preserve"> </w:t>
      </w:r>
      <w:r>
        <w:t>at</w:t>
      </w:r>
      <w:r>
        <w:rPr>
          <w:spacing w:val="-1"/>
        </w:rPr>
        <w:t xml:space="preserve"> </w:t>
      </w:r>
      <w:r>
        <w:t>the</w:t>
      </w:r>
      <w:r>
        <w:rPr>
          <w:spacing w:val="-2"/>
        </w:rPr>
        <w:t xml:space="preserve"> </w:t>
      </w:r>
      <w:r>
        <w:t>measure</w:t>
      </w:r>
      <w:r>
        <w:rPr>
          <w:spacing w:val="-1"/>
        </w:rPr>
        <w:t xml:space="preserve"> </w:t>
      </w:r>
      <w:r>
        <w:t>level,</w:t>
      </w:r>
      <w:r>
        <w:rPr>
          <w:spacing w:val="-1"/>
        </w:rPr>
        <w:t xml:space="preserve"> </w:t>
      </w:r>
      <w:r>
        <w:t>which impacts</w:t>
      </w:r>
      <w:r>
        <w:rPr>
          <w:spacing w:val="-4"/>
        </w:rPr>
        <w:t xml:space="preserve"> </w:t>
      </w:r>
      <w:r>
        <w:t>the</w:t>
      </w:r>
      <w:r>
        <w:rPr>
          <w:spacing w:val="-5"/>
        </w:rPr>
        <w:t xml:space="preserve"> </w:t>
      </w:r>
      <w:r>
        <w:t>model</w:t>
      </w:r>
      <w:r>
        <w:rPr>
          <w:spacing w:val="-4"/>
        </w:rPr>
        <w:t xml:space="preserve"> </w:t>
      </w:r>
      <w:r>
        <w:t>output</w:t>
      </w:r>
      <w:r>
        <w:rPr>
          <w:spacing w:val="-4"/>
        </w:rPr>
        <w:t xml:space="preserve"> </w:t>
      </w:r>
      <w:r>
        <w:t>as</w:t>
      </w:r>
      <w:r>
        <w:rPr>
          <w:spacing w:val="-4"/>
        </w:rPr>
        <w:t xml:space="preserve"> </w:t>
      </w:r>
      <w:r>
        <w:t>defined</w:t>
      </w:r>
      <w:r>
        <w:rPr>
          <w:spacing w:val="-5"/>
        </w:rPr>
        <w:t xml:space="preserve"> </w:t>
      </w:r>
      <w:r>
        <w:t>above.</w:t>
      </w:r>
      <w:r>
        <w:rPr>
          <w:spacing w:val="-4"/>
        </w:rPr>
        <w:t xml:space="preserve"> </w:t>
      </w:r>
      <w:r>
        <w:t>The</w:t>
      </w:r>
      <w:r>
        <w:rPr>
          <w:spacing w:val="-5"/>
        </w:rPr>
        <w:t xml:space="preserve"> </w:t>
      </w:r>
      <w:r>
        <w:t>methodology</w:t>
      </w:r>
      <w:r>
        <w:rPr>
          <w:spacing w:val="-4"/>
        </w:rPr>
        <w:t xml:space="preserve"> </w:t>
      </w:r>
      <w:r>
        <w:t>for</w:t>
      </w:r>
      <w:r>
        <w:rPr>
          <w:spacing w:val="-4"/>
        </w:rPr>
        <w:t xml:space="preserve"> </w:t>
      </w:r>
      <w:r>
        <w:t>developing</w:t>
      </w:r>
      <w:r>
        <w:rPr>
          <w:spacing w:val="-4"/>
        </w:rPr>
        <w:t xml:space="preserve"> </w:t>
      </w:r>
      <w:r>
        <w:t>measure-specific tax credit values differs between residential and commercial sectors:</w:t>
      </w:r>
    </w:p>
    <w:p w:rsidR="00C31389" w:rsidRDefault="00C31389" w14:paraId="0788F755" w14:textId="77777777">
      <w:pPr>
        <w:pStyle w:val="BodyText"/>
        <w:spacing w:before="10"/>
        <w:rPr>
          <w:sz w:val="20"/>
        </w:rPr>
      </w:pPr>
    </w:p>
    <w:p w:rsidR="00C31389" w:rsidRDefault="00561FBD" w14:paraId="2C852729" w14:textId="77777777">
      <w:pPr>
        <w:pStyle w:val="BodyText"/>
        <w:ind w:left="479" w:right="581"/>
      </w:pPr>
      <w:r>
        <w:rPr>
          <w:b/>
        </w:rPr>
        <w:t xml:space="preserve">Residential Sector Characterization: </w:t>
      </w:r>
      <w:r>
        <w:t>For applicable residential EE and FS measures, the following</w:t>
      </w:r>
      <w:r>
        <w:rPr>
          <w:spacing w:val="-3"/>
        </w:rPr>
        <w:t xml:space="preserve"> </w:t>
      </w:r>
      <w:r>
        <w:t>steps</w:t>
      </w:r>
      <w:r>
        <w:rPr>
          <w:spacing w:val="-3"/>
        </w:rPr>
        <w:t xml:space="preserve"> </w:t>
      </w:r>
      <w:r>
        <w:t>are</w:t>
      </w:r>
      <w:r>
        <w:rPr>
          <w:spacing w:val="-3"/>
        </w:rPr>
        <w:t xml:space="preserve"> </w:t>
      </w:r>
      <w:r>
        <w:t>taken</w:t>
      </w:r>
      <w:r>
        <w:rPr>
          <w:spacing w:val="-4"/>
        </w:rPr>
        <w:t xml:space="preserve"> </w:t>
      </w:r>
      <w:r>
        <w:t>to</w:t>
      </w:r>
      <w:r>
        <w:rPr>
          <w:spacing w:val="-3"/>
        </w:rPr>
        <w:t xml:space="preserve"> </w:t>
      </w:r>
      <w:r>
        <w:t>derive</w:t>
      </w:r>
      <w:r>
        <w:rPr>
          <w:spacing w:val="-3"/>
        </w:rPr>
        <w:t xml:space="preserve"> </w:t>
      </w:r>
      <w:r>
        <w:t>a</w:t>
      </w:r>
      <w:r>
        <w:rPr>
          <w:spacing w:val="-4"/>
        </w:rPr>
        <w:t xml:space="preserve"> </w:t>
      </w:r>
      <w:r>
        <w:t>population</w:t>
      </w:r>
      <w:r>
        <w:rPr>
          <w:spacing w:val="-4"/>
        </w:rPr>
        <w:t xml:space="preserve"> </w:t>
      </w:r>
      <w:r>
        <w:t>weighted</w:t>
      </w:r>
      <w:r>
        <w:rPr>
          <w:spacing w:val="-3"/>
        </w:rPr>
        <w:t xml:space="preserve"> </w:t>
      </w:r>
      <w:r>
        <w:t>average</w:t>
      </w:r>
      <w:r>
        <w:rPr>
          <w:spacing w:val="-2"/>
        </w:rPr>
        <w:t xml:space="preserve"> </w:t>
      </w:r>
      <w:r>
        <w:t>per-unit</w:t>
      </w:r>
      <w:r>
        <w:rPr>
          <w:spacing w:val="-3"/>
        </w:rPr>
        <w:t xml:space="preserve"> </w:t>
      </w:r>
      <w:r>
        <w:t>tax</w:t>
      </w:r>
      <w:r>
        <w:rPr>
          <w:spacing w:val="-3"/>
        </w:rPr>
        <w:t xml:space="preserve"> </w:t>
      </w:r>
      <w:r>
        <w:t>credit</w:t>
      </w:r>
      <w:r>
        <w:rPr>
          <w:spacing w:val="-4"/>
        </w:rPr>
        <w:t xml:space="preserve"> </w:t>
      </w:r>
      <w:r>
        <w:t>amount</w:t>
      </w:r>
      <w:r>
        <w:rPr>
          <w:spacing w:val="-3"/>
        </w:rPr>
        <w:t xml:space="preserve"> </w:t>
      </w:r>
      <w:r>
        <w:t>for IRA-eligible measures characterized and included in the model:</w:t>
      </w:r>
    </w:p>
    <w:p w:rsidR="00C31389" w:rsidRDefault="00561FBD" w14:paraId="0B3C1AFA" w14:textId="77777777">
      <w:pPr>
        <w:pStyle w:val="ListParagraph"/>
        <w:numPr>
          <w:ilvl w:val="1"/>
          <w:numId w:val="61"/>
        </w:numPr>
        <w:tabs>
          <w:tab w:val="left" w:pos="1199"/>
        </w:tabs>
        <w:spacing w:before="120"/>
      </w:pPr>
      <w:r>
        <w:t>Identify</w:t>
      </w:r>
      <w:r>
        <w:rPr>
          <w:spacing w:val="-8"/>
        </w:rPr>
        <w:t xml:space="preserve"> </w:t>
      </w:r>
      <w:r>
        <w:t>pre-adjustment</w:t>
      </w:r>
      <w:r>
        <w:rPr>
          <w:spacing w:val="-7"/>
        </w:rPr>
        <w:t xml:space="preserve"> </w:t>
      </w:r>
      <w:r>
        <w:t>tax</w:t>
      </w:r>
      <w:r>
        <w:rPr>
          <w:spacing w:val="-8"/>
        </w:rPr>
        <w:t xml:space="preserve"> </w:t>
      </w:r>
      <w:r>
        <w:t>credit</w:t>
      </w:r>
      <w:r>
        <w:rPr>
          <w:spacing w:val="-8"/>
        </w:rPr>
        <w:t xml:space="preserve"> </w:t>
      </w:r>
      <w:r>
        <w:t>amount</w:t>
      </w:r>
      <w:r>
        <w:rPr>
          <w:spacing w:val="-8"/>
        </w:rPr>
        <w:t xml:space="preserve"> </w:t>
      </w:r>
      <w:r>
        <w:t>($/measure)</w:t>
      </w:r>
      <w:r>
        <w:rPr>
          <w:spacing w:val="-8"/>
        </w:rPr>
        <w:t xml:space="preserve"> </w:t>
      </w:r>
      <w:r>
        <w:t>using</w:t>
      </w:r>
      <w:r>
        <w:rPr>
          <w:spacing w:val="-8"/>
        </w:rPr>
        <w:t xml:space="preserve"> </w:t>
      </w:r>
      <w:r>
        <w:t>the</w:t>
      </w:r>
      <w:r>
        <w:rPr>
          <w:spacing w:val="-8"/>
        </w:rPr>
        <w:t xml:space="preserve"> </w:t>
      </w:r>
      <w:r>
        <w:t>IRA</w:t>
      </w:r>
      <w:r>
        <w:rPr>
          <w:spacing w:val="-8"/>
        </w:rPr>
        <w:t xml:space="preserve"> </w:t>
      </w:r>
      <w:r>
        <w:rPr>
          <w:spacing w:val="-2"/>
        </w:rPr>
        <w:t>provisions</w:t>
      </w:r>
    </w:p>
    <w:p w:rsidR="00C31389" w:rsidRDefault="00561FBD" w14:paraId="1BE39C73" w14:textId="77777777">
      <w:pPr>
        <w:pStyle w:val="ListParagraph"/>
        <w:numPr>
          <w:ilvl w:val="1"/>
          <w:numId w:val="61"/>
        </w:numPr>
        <w:tabs>
          <w:tab w:val="left" w:pos="1199"/>
        </w:tabs>
        <w:spacing w:before="118"/>
        <w:ind w:right="670"/>
      </w:pPr>
      <w:r>
        <w:t>Account</w:t>
      </w:r>
      <w:r>
        <w:rPr>
          <w:spacing w:val="-4"/>
        </w:rPr>
        <w:t xml:space="preserve"> </w:t>
      </w:r>
      <w:r>
        <w:t>for</w:t>
      </w:r>
      <w:r>
        <w:rPr>
          <w:spacing w:val="-6"/>
        </w:rPr>
        <w:t xml:space="preserve"> </w:t>
      </w:r>
      <w:r>
        <w:t>the</w:t>
      </w:r>
      <w:r>
        <w:rPr>
          <w:spacing w:val="-4"/>
        </w:rPr>
        <w:t xml:space="preserve"> </w:t>
      </w:r>
      <w:r>
        <w:t>requirements</w:t>
      </w:r>
      <w:r>
        <w:rPr>
          <w:spacing w:val="-4"/>
        </w:rPr>
        <w:t xml:space="preserve"> </w:t>
      </w:r>
      <w:r>
        <w:t>that</w:t>
      </w:r>
      <w:r>
        <w:rPr>
          <w:spacing w:val="-4"/>
        </w:rPr>
        <w:t xml:space="preserve"> </w:t>
      </w:r>
      <w:r>
        <w:t>the</w:t>
      </w:r>
      <w:r>
        <w:rPr>
          <w:spacing w:val="-4"/>
        </w:rPr>
        <w:t xml:space="preserve"> </w:t>
      </w:r>
      <w:r>
        <w:t>measures</w:t>
      </w:r>
      <w:r>
        <w:rPr>
          <w:spacing w:val="-4"/>
        </w:rPr>
        <w:t xml:space="preserve"> </w:t>
      </w:r>
      <w:r>
        <w:t>are</w:t>
      </w:r>
      <w:r>
        <w:rPr>
          <w:spacing w:val="-4"/>
        </w:rPr>
        <w:t xml:space="preserve"> </w:t>
      </w:r>
      <w:r>
        <w:t>installed</w:t>
      </w:r>
      <w:r>
        <w:rPr>
          <w:spacing w:val="-4"/>
        </w:rPr>
        <w:t xml:space="preserve"> </w:t>
      </w:r>
      <w:r>
        <w:t>in</w:t>
      </w:r>
      <w:r>
        <w:rPr>
          <w:spacing w:val="-4"/>
        </w:rPr>
        <w:t xml:space="preserve"> </w:t>
      </w:r>
      <w:r>
        <w:t>owner-occupied</w:t>
      </w:r>
      <w:r>
        <w:rPr>
          <w:spacing w:val="-5"/>
        </w:rPr>
        <w:t xml:space="preserve"> </w:t>
      </w:r>
      <w:r>
        <w:t>sing</w:t>
      </w:r>
      <w:r>
        <w:t>le- family homes by adjusting the tax credit amount with the percent of residential customers that would qualify</w:t>
      </w:r>
    </w:p>
    <w:p w:rsidR="00C31389" w:rsidRDefault="00561FBD" w14:paraId="05F5A107" w14:textId="77777777">
      <w:pPr>
        <w:pStyle w:val="ListParagraph"/>
        <w:numPr>
          <w:ilvl w:val="1"/>
          <w:numId w:val="61"/>
        </w:numPr>
        <w:tabs>
          <w:tab w:val="left" w:pos="1199"/>
        </w:tabs>
        <w:spacing w:before="119"/>
        <w:ind w:right="706"/>
      </w:pPr>
      <w:r>
        <w:t>Account</w:t>
      </w:r>
      <w:r>
        <w:rPr>
          <w:spacing w:val="-4"/>
        </w:rPr>
        <w:t xml:space="preserve"> </w:t>
      </w:r>
      <w:r>
        <w:t>for</w:t>
      </w:r>
      <w:r>
        <w:rPr>
          <w:spacing w:val="-5"/>
        </w:rPr>
        <w:t xml:space="preserve"> </w:t>
      </w:r>
      <w:r>
        <w:t>the</w:t>
      </w:r>
      <w:r>
        <w:rPr>
          <w:spacing w:val="-4"/>
        </w:rPr>
        <w:t xml:space="preserve"> </w:t>
      </w:r>
      <w:r>
        <w:t>functional</w:t>
      </w:r>
      <w:r>
        <w:rPr>
          <w:spacing w:val="-4"/>
        </w:rPr>
        <w:t xml:space="preserve"> </w:t>
      </w:r>
      <w:r>
        <w:t>requirement</w:t>
      </w:r>
      <w:r>
        <w:rPr>
          <w:spacing w:val="-4"/>
        </w:rPr>
        <w:t xml:space="preserve"> </w:t>
      </w:r>
      <w:r>
        <w:t>that</w:t>
      </w:r>
      <w:r>
        <w:rPr>
          <w:spacing w:val="-4"/>
        </w:rPr>
        <w:t xml:space="preserve"> </w:t>
      </w:r>
      <w:r>
        <w:t>the</w:t>
      </w:r>
      <w:r>
        <w:rPr>
          <w:spacing w:val="-4"/>
        </w:rPr>
        <w:t xml:space="preserve"> </w:t>
      </w:r>
      <w:r>
        <w:t>homeowner</w:t>
      </w:r>
      <w:r>
        <w:rPr>
          <w:spacing w:val="-4"/>
        </w:rPr>
        <w:t xml:space="preserve"> </w:t>
      </w:r>
      <w:r>
        <w:t>has</w:t>
      </w:r>
      <w:r>
        <w:rPr>
          <w:spacing w:val="-4"/>
        </w:rPr>
        <w:t xml:space="preserve"> </w:t>
      </w:r>
      <w:r>
        <w:t>sufficient</w:t>
      </w:r>
      <w:r>
        <w:rPr>
          <w:spacing w:val="-4"/>
        </w:rPr>
        <w:t xml:space="preserve"> </w:t>
      </w:r>
      <w:r>
        <w:t>tax</w:t>
      </w:r>
      <w:r>
        <w:rPr>
          <w:spacing w:val="-4"/>
        </w:rPr>
        <w:t xml:space="preserve"> </w:t>
      </w:r>
      <w:r>
        <w:t>burden</w:t>
      </w:r>
      <w:r>
        <w:rPr>
          <w:spacing w:val="-4"/>
        </w:rPr>
        <w:t xml:space="preserve"> </w:t>
      </w:r>
      <w:r>
        <w:t>to receive the value of the tax credit</w:t>
      </w:r>
    </w:p>
    <w:p w:rsidR="00C31389" w:rsidRDefault="00561FBD" w14:paraId="3B2F3454" w14:textId="77777777">
      <w:pPr>
        <w:pStyle w:val="BodyText"/>
        <w:spacing w:before="118"/>
        <w:ind w:left="479" w:right="533" w:hanging="1"/>
      </w:pPr>
      <w:r>
        <w:rPr>
          <w:b/>
        </w:rPr>
        <w:t>Commercial</w:t>
      </w:r>
      <w:r>
        <w:rPr>
          <w:b/>
          <w:spacing w:val="-4"/>
        </w:rPr>
        <w:t xml:space="preserve"> </w:t>
      </w:r>
      <w:r>
        <w:rPr>
          <w:b/>
        </w:rPr>
        <w:t>Sector</w:t>
      </w:r>
      <w:r>
        <w:rPr>
          <w:b/>
          <w:spacing w:val="-4"/>
        </w:rPr>
        <w:t xml:space="preserve"> </w:t>
      </w:r>
      <w:r>
        <w:rPr>
          <w:b/>
        </w:rPr>
        <w:t>Characterization:</w:t>
      </w:r>
      <w:r>
        <w:rPr>
          <w:b/>
          <w:spacing w:val="-4"/>
        </w:rPr>
        <w:t xml:space="preserve"> </w:t>
      </w:r>
      <w:r>
        <w:t>The</w:t>
      </w:r>
      <w:r>
        <w:rPr>
          <w:spacing w:val="-4"/>
        </w:rPr>
        <w:t xml:space="preserve"> </w:t>
      </w:r>
      <w:r>
        <w:t>IRA</w:t>
      </w:r>
      <w:r>
        <w:rPr>
          <w:spacing w:val="-4"/>
        </w:rPr>
        <w:t xml:space="preserve"> </w:t>
      </w:r>
      <w:r>
        <w:t>tax</w:t>
      </w:r>
      <w:r>
        <w:rPr>
          <w:spacing w:val="-4"/>
        </w:rPr>
        <w:t xml:space="preserve"> </w:t>
      </w:r>
      <w:r>
        <w:t>credit</w:t>
      </w:r>
      <w:r>
        <w:rPr>
          <w:spacing w:val="-4"/>
        </w:rPr>
        <w:t xml:space="preserve"> </w:t>
      </w:r>
      <w:r>
        <w:t>for</w:t>
      </w:r>
      <w:r>
        <w:rPr>
          <w:spacing w:val="-4"/>
        </w:rPr>
        <w:t xml:space="preserve"> </w:t>
      </w:r>
      <w:r>
        <w:t>commercial</w:t>
      </w:r>
      <w:r>
        <w:rPr>
          <w:spacing w:val="-4"/>
        </w:rPr>
        <w:t xml:space="preserve"> </w:t>
      </w:r>
      <w:r>
        <w:t>buildings</w:t>
      </w:r>
      <w:r>
        <w:rPr>
          <w:spacing w:val="-4"/>
        </w:rPr>
        <w:t xml:space="preserve"> </w:t>
      </w:r>
      <w:r>
        <w:t>applies</w:t>
      </w:r>
      <w:r>
        <w:rPr>
          <w:spacing w:val="-4"/>
        </w:rPr>
        <w:t xml:space="preserve"> </w:t>
      </w:r>
      <w:r>
        <w:t>to HVAC,</w:t>
      </w:r>
      <w:r>
        <w:rPr>
          <w:spacing w:val="-7"/>
        </w:rPr>
        <w:t xml:space="preserve"> </w:t>
      </w:r>
      <w:r>
        <w:t>Lighting,</w:t>
      </w:r>
      <w:r>
        <w:rPr>
          <w:spacing w:val="-6"/>
        </w:rPr>
        <w:t xml:space="preserve"> </w:t>
      </w:r>
      <w:r>
        <w:t>and</w:t>
      </w:r>
      <w:r>
        <w:rPr>
          <w:spacing w:val="-7"/>
        </w:rPr>
        <w:t xml:space="preserve"> </w:t>
      </w:r>
      <w:r>
        <w:t>Water</w:t>
      </w:r>
      <w:r>
        <w:rPr>
          <w:spacing w:val="-6"/>
        </w:rPr>
        <w:t xml:space="preserve"> </w:t>
      </w:r>
      <w:r>
        <w:t>Heat</w:t>
      </w:r>
      <w:r>
        <w:rPr>
          <w:spacing w:val="-7"/>
        </w:rPr>
        <w:t xml:space="preserve"> </w:t>
      </w:r>
      <w:r>
        <w:t>measures.</w:t>
      </w:r>
      <w:r>
        <w:rPr>
          <w:spacing w:val="-6"/>
        </w:rPr>
        <w:t xml:space="preserve"> </w:t>
      </w:r>
      <w:r>
        <w:t>The</w:t>
      </w:r>
      <w:r>
        <w:rPr>
          <w:spacing w:val="-8"/>
        </w:rPr>
        <w:t xml:space="preserve"> </w:t>
      </w:r>
      <w:r>
        <w:t>tax</w:t>
      </w:r>
      <w:r>
        <w:rPr>
          <w:spacing w:val="-6"/>
        </w:rPr>
        <w:t xml:space="preserve"> </w:t>
      </w:r>
      <w:r>
        <w:t>credit</w:t>
      </w:r>
      <w:r>
        <w:rPr>
          <w:spacing w:val="-7"/>
        </w:rPr>
        <w:t xml:space="preserve"> </w:t>
      </w:r>
      <w:r>
        <w:t>within</w:t>
      </w:r>
      <w:r>
        <w:rPr>
          <w:spacing w:val="-6"/>
        </w:rPr>
        <w:t xml:space="preserve"> </w:t>
      </w:r>
      <w:r>
        <w:t>the</w:t>
      </w:r>
      <w:r>
        <w:rPr>
          <w:spacing w:val="-7"/>
        </w:rPr>
        <w:t xml:space="preserve"> </w:t>
      </w:r>
      <w:r>
        <w:t>legislation</w:t>
      </w:r>
      <w:r>
        <w:rPr>
          <w:spacing w:val="-6"/>
        </w:rPr>
        <w:t xml:space="preserve"> </w:t>
      </w:r>
      <w:r>
        <w:t>is</w:t>
      </w:r>
      <w:r>
        <w:rPr>
          <w:spacing w:val="-7"/>
        </w:rPr>
        <w:t xml:space="preserve"> </w:t>
      </w:r>
      <w:r>
        <w:t>specified</w:t>
      </w:r>
      <w:r>
        <w:rPr>
          <w:spacing w:val="-7"/>
        </w:rPr>
        <w:t xml:space="preserve"> </w:t>
      </w:r>
      <w:r>
        <w:rPr>
          <w:spacing w:val="-5"/>
        </w:rPr>
        <w:t>as</w:t>
      </w:r>
    </w:p>
    <w:p w:rsidR="00C31389" w:rsidRDefault="00561FBD" w14:paraId="1CF7497E" w14:textId="77777777">
      <w:pPr>
        <w:pStyle w:val="BodyText"/>
        <w:ind w:left="479" w:right="485"/>
      </w:pPr>
      <w:r>
        <w:t>$/sq ft and is a range depending on the total reduction in baseline energy usage.</w:t>
      </w:r>
      <w:r>
        <w:t xml:space="preserve"> Using secondary research, Guidehouse applied California-specific building vintage and stock data, statewide</w:t>
      </w:r>
      <w:r>
        <w:rPr>
          <w:spacing w:val="-4"/>
        </w:rPr>
        <w:t xml:space="preserve"> </w:t>
      </w:r>
      <w:r>
        <w:t>efficiency</w:t>
      </w:r>
      <w:r>
        <w:rPr>
          <w:spacing w:val="-4"/>
        </w:rPr>
        <w:t xml:space="preserve"> </w:t>
      </w:r>
      <w:r>
        <w:t>potential</w:t>
      </w:r>
      <w:r>
        <w:rPr>
          <w:spacing w:val="-3"/>
        </w:rPr>
        <w:t xml:space="preserve"> </w:t>
      </w:r>
      <w:r>
        <w:t>by</w:t>
      </w:r>
      <w:r>
        <w:rPr>
          <w:spacing w:val="-4"/>
        </w:rPr>
        <w:t xml:space="preserve"> </w:t>
      </w:r>
      <w:r>
        <w:t>building</w:t>
      </w:r>
      <w:r>
        <w:rPr>
          <w:spacing w:val="-4"/>
        </w:rPr>
        <w:t xml:space="preserve"> </w:t>
      </w:r>
      <w:r>
        <w:t>type,</w:t>
      </w:r>
      <w:r>
        <w:rPr>
          <w:spacing w:val="-4"/>
        </w:rPr>
        <w:t xml:space="preserve"> </w:t>
      </w:r>
      <w:r>
        <w:t>and</w:t>
      </w:r>
      <w:r>
        <w:rPr>
          <w:spacing w:val="-4"/>
        </w:rPr>
        <w:t xml:space="preserve"> </w:t>
      </w:r>
      <w:r>
        <w:t>measure</w:t>
      </w:r>
      <w:r>
        <w:rPr>
          <w:spacing w:val="-4"/>
        </w:rPr>
        <w:t xml:space="preserve"> </w:t>
      </w:r>
      <w:r>
        <w:t>density</w:t>
      </w:r>
      <w:r>
        <w:rPr>
          <w:spacing w:val="-4"/>
        </w:rPr>
        <w:t xml:space="preserve"> </w:t>
      </w:r>
      <w:r>
        <w:t>to</w:t>
      </w:r>
      <w:r>
        <w:rPr>
          <w:spacing w:val="-4"/>
        </w:rPr>
        <w:t xml:space="preserve"> </w:t>
      </w:r>
      <w:r>
        <w:t>estimate</w:t>
      </w:r>
      <w:r>
        <w:rPr>
          <w:spacing w:val="-4"/>
        </w:rPr>
        <w:t xml:space="preserve"> </w:t>
      </w:r>
      <w:r>
        <w:t>a</w:t>
      </w:r>
      <w:r>
        <w:rPr>
          <w:spacing w:val="-4"/>
        </w:rPr>
        <w:t xml:space="preserve"> </w:t>
      </w:r>
      <w:r>
        <w:t xml:space="preserve">measure-level tax credit value ($/unit) that was input into the PG </w:t>
      </w:r>
      <w:r>
        <w:t>Model and reflected in the outputs of Scenarios 2, 3, and 4.</w:t>
      </w:r>
    </w:p>
    <w:p w:rsidR="00C31389" w:rsidRDefault="00C31389" w14:paraId="55CB2B7B" w14:textId="77777777">
      <w:pPr>
        <w:pStyle w:val="BodyText"/>
        <w:spacing w:before="9"/>
        <w:rPr>
          <w:sz w:val="20"/>
        </w:rPr>
      </w:pPr>
    </w:p>
    <w:p w:rsidR="00C31389" w:rsidRDefault="00561FBD" w14:paraId="6E4FFD2D" w14:textId="77777777">
      <w:pPr>
        <w:pStyle w:val="BodyText"/>
        <w:ind w:left="480" w:right="533" w:hanging="1"/>
      </w:pPr>
      <w:r>
        <w:t>Further</w:t>
      </w:r>
      <w:r>
        <w:rPr>
          <w:spacing w:val="-4"/>
        </w:rPr>
        <w:t xml:space="preserve"> </w:t>
      </w:r>
      <w:r>
        <w:t>detail</w:t>
      </w:r>
      <w:r>
        <w:rPr>
          <w:spacing w:val="-4"/>
        </w:rPr>
        <w:t xml:space="preserve"> </w:t>
      </w:r>
      <w:r>
        <w:t>regarding</w:t>
      </w:r>
      <w:r>
        <w:rPr>
          <w:spacing w:val="-4"/>
        </w:rPr>
        <w:t xml:space="preserve"> </w:t>
      </w:r>
      <w:r>
        <w:t>the</w:t>
      </w:r>
      <w:r>
        <w:rPr>
          <w:spacing w:val="-4"/>
        </w:rPr>
        <w:t xml:space="preserve"> </w:t>
      </w:r>
      <w:r>
        <w:t>methodology</w:t>
      </w:r>
      <w:r>
        <w:rPr>
          <w:spacing w:val="-2"/>
        </w:rPr>
        <w:t xml:space="preserve"> </w:t>
      </w:r>
      <w:r>
        <w:t>and</w:t>
      </w:r>
      <w:r>
        <w:rPr>
          <w:spacing w:val="-4"/>
        </w:rPr>
        <w:t xml:space="preserve"> </w:t>
      </w:r>
      <w:r>
        <w:t>assumptions</w:t>
      </w:r>
      <w:r>
        <w:rPr>
          <w:spacing w:val="-4"/>
        </w:rPr>
        <w:t xml:space="preserve"> </w:t>
      </w:r>
      <w:r>
        <w:t>employed</w:t>
      </w:r>
      <w:r>
        <w:rPr>
          <w:spacing w:val="-4"/>
        </w:rPr>
        <w:t xml:space="preserve"> </w:t>
      </w:r>
      <w:r>
        <w:t>to</w:t>
      </w:r>
      <w:r>
        <w:rPr>
          <w:spacing w:val="-4"/>
        </w:rPr>
        <w:t xml:space="preserve"> </w:t>
      </w:r>
      <w:r>
        <w:t>incorporate</w:t>
      </w:r>
      <w:r>
        <w:rPr>
          <w:spacing w:val="-3"/>
        </w:rPr>
        <w:t xml:space="preserve"> </w:t>
      </w:r>
      <w:r>
        <w:t>IRA</w:t>
      </w:r>
      <w:r>
        <w:rPr>
          <w:spacing w:val="-4"/>
        </w:rPr>
        <w:t xml:space="preserve"> </w:t>
      </w:r>
      <w:r>
        <w:t>tax credits into the PG Model can be found in Appendix K.</w:t>
      </w:r>
    </w:p>
    <w:p w:rsidR="00C31389" w:rsidRDefault="00C31389" w14:paraId="0DB08BFB" w14:textId="77777777">
      <w:pPr>
        <w:pStyle w:val="BodyText"/>
        <w:rPr>
          <w:sz w:val="21"/>
        </w:rPr>
      </w:pPr>
    </w:p>
    <w:p w:rsidR="00C31389" w:rsidRDefault="00561FBD" w14:paraId="48F6CD90" w14:textId="77777777">
      <w:pPr>
        <w:pStyle w:val="Heading2"/>
        <w:numPr>
          <w:ilvl w:val="1"/>
          <w:numId w:val="71"/>
        </w:numPr>
        <w:tabs>
          <w:tab w:val="left" w:pos="944"/>
          <w:tab w:val="left" w:pos="1200"/>
        </w:tabs>
        <w:ind w:left="1200" w:right="2153" w:hanging="721"/>
      </w:pPr>
      <w:bookmarkStart w:name="2.2_Calibrating_Rebated_Technologies_and" w:id="117"/>
      <w:bookmarkStart w:name="_bookmark88" w:id="118"/>
      <w:bookmarkEnd w:id="117"/>
      <w:bookmarkEnd w:id="118"/>
      <w:r>
        <w:t>Calibrating</w:t>
      </w:r>
      <w:r>
        <w:rPr>
          <w:spacing w:val="-8"/>
        </w:rPr>
        <w:t xml:space="preserve"> </w:t>
      </w:r>
      <w:r>
        <w:t>Rebated</w:t>
      </w:r>
      <w:r>
        <w:rPr>
          <w:spacing w:val="-8"/>
        </w:rPr>
        <w:t xml:space="preserve"> </w:t>
      </w:r>
      <w:r>
        <w:t>Technologies</w:t>
      </w:r>
      <w:r>
        <w:rPr>
          <w:spacing w:val="-7"/>
        </w:rPr>
        <w:t xml:space="preserve"> </w:t>
      </w:r>
      <w:r>
        <w:t>and</w:t>
      </w:r>
      <w:r>
        <w:rPr>
          <w:spacing w:val="-8"/>
        </w:rPr>
        <w:t xml:space="preserve"> </w:t>
      </w:r>
      <w:r>
        <w:t>Whole</w:t>
      </w:r>
      <w:r>
        <w:rPr>
          <w:spacing w:val="-7"/>
        </w:rPr>
        <w:t xml:space="preserve"> </w:t>
      </w:r>
      <w:r>
        <w:t>Buildin</w:t>
      </w:r>
      <w:r>
        <w:t xml:space="preserve">g </w:t>
      </w:r>
      <w:r>
        <w:rPr>
          <w:spacing w:val="-2"/>
        </w:rPr>
        <w:t>Approaches</w:t>
      </w:r>
    </w:p>
    <w:p w:rsidR="00C31389" w:rsidRDefault="00561FBD" w14:paraId="3F38DBB0" w14:textId="77777777">
      <w:pPr>
        <w:pStyle w:val="BodyText"/>
        <w:spacing w:before="240"/>
        <w:ind w:left="479" w:right="565"/>
      </w:pPr>
      <w:r>
        <w:t>Like</w:t>
      </w:r>
      <w:r>
        <w:rPr>
          <w:spacing w:val="-3"/>
        </w:rPr>
        <w:t xml:space="preserve"> </w:t>
      </w:r>
      <w:r>
        <w:t>any</w:t>
      </w:r>
      <w:r>
        <w:rPr>
          <w:spacing w:val="-3"/>
        </w:rPr>
        <w:t xml:space="preserve"> </w:t>
      </w:r>
      <w:r>
        <w:t>model</w:t>
      </w:r>
      <w:r>
        <w:rPr>
          <w:spacing w:val="-3"/>
        </w:rPr>
        <w:t xml:space="preserve"> </w:t>
      </w:r>
      <w:r>
        <w:t>that</w:t>
      </w:r>
      <w:r>
        <w:rPr>
          <w:spacing w:val="-3"/>
        </w:rPr>
        <w:t xml:space="preserve"> </w:t>
      </w:r>
      <w:r>
        <w:t>forecasts</w:t>
      </w:r>
      <w:r>
        <w:rPr>
          <w:spacing w:val="-3"/>
        </w:rPr>
        <w:t xml:space="preserve"> </w:t>
      </w:r>
      <w:r>
        <w:t>the</w:t>
      </w:r>
      <w:r>
        <w:rPr>
          <w:spacing w:val="-3"/>
        </w:rPr>
        <w:t xml:space="preserve"> </w:t>
      </w:r>
      <w:r>
        <w:t>future,</w:t>
      </w:r>
      <w:r>
        <w:rPr>
          <w:spacing w:val="-3"/>
        </w:rPr>
        <w:t xml:space="preserve"> </w:t>
      </w:r>
      <w:r>
        <w:t>the</w:t>
      </w:r>
      <w:r>
        <w:rPr>
          <w:spacing w:val="-3"/>
        </w:rPr>
        <w:t xml:space="preserve"> </w:t>
      </w:r>
      <w:r>
        <w:t>PG</w:t>
      </w:r>
      <w:r>
        <w:rPr>
          <w:spacing w:val="-4"/>
        </w:rPr>
        <w:t xml:space="preserve"> </w:t>
      </w:r>
      <w:r>
        <w:t>Model</w:t>
      </w:r>
      <w:r>
        <w:rPr>
          <w:spacing w:val="-3"/>
        </w:rPr>
        <w:t xml:space="preserve"> </w:t>
      </w:r>
      <w:r>
        <w:t>faces</w:t>
      </w:r>
      <w:r>
        <w:rPr>
          <w:spacing w:val="-4"/>
        </w:rPr>
        <w:t xml:space="preserve"> </w:t>
      </w:r>
      <w:r>
        <w:t>challenges</w:t>
      </w:r>
      <w:r>
        <w:rPr>
          <w:spacing w:val="-4"/>
        </w:rPr>
        <w:t xml:space="preserve"> </w:t>
      </w:r>
      <w:r>
        <w:t>with</w:t>
      </w:r>
      <w:r>
        <w:rPr>
          <w:spacing w:val="-3"/>
        </w:rPr>
        <w:t xml:space="preserve"> </w:t>
      </w:r>
      <w:r>
        <w:t>validating</w:t>
      </w:r>
      <w:r>
        <w:rPr>
          <w:spacing w:val="-3"/>
        </w:rPr>
        <w:t xml:space="preserve"> </w:t>
      </w:r>
      <w:r>
        <w:t>results because there is no future basis against which one can compare simulated versus actual results. Calibration, however, provides both the developer a</w:t>
      </w:r>
      <w:r>
        <w:t>nd recipient of the model results with</w:t>
      </w:r>
      <w:r>
        <w:rPr>
          <w:spacing w:val="-2"/>
        </w:rPr>
        <w:t xml:space="preserve"> </w:t>
      </w:r>
      <w:r>
        <w:t>a</w:t>
      </w:r>
      <w:r>
        <w:rPr>
          <w:spacing w:val="-2"/>
        </w:rPr>
        <w:t xml:space="preserve"> </w:t>
      </w:r>
      <w:r>
        <w:t>level</w:t>
      </w:r>
      <w:r>
        <w:rPr>
          <w:spacing w:val="-3"/>
        </w:rPr>
        <w:t xml:space="preserve"> </w:t>
      </w:r>
      <w:r>
        <w:t>of</w:t>
      </w:r>
      <w:r>
        <w:rPr>
          <w:spacing w:val="-2"/>
        </w:rPr>
        <w:t xml:space="preserve"> </w:t>
      </w:r>
      <w:r>
        <w:t>comfort</w:t>
      </w:r>
      <w:r>
        <w:rPr>
          <w:spacing w:val="-2"/>
        </w:rPr>
        <w:t xml:space="preserve"> </w:t>
      </w:r>
      <w:r>
        <w:t>that</w:t>
      </w:r>
      <w:r>
        <w:rPr>
          <w:spacing w:val="-2"/>
        </w:rPr>
        <w:t xml:space="preserve"> </w:t>
      </w:r>
      <w:r>
        <w:t>simulated</w:t>
      </w:r>
      <w:r>
        <w:rPr>
          <w:spacing w:val="-3"/>
        </w:rPr>
        <w:t xml:space="preserve"> </w:t>
      </w:r>
      <w:r>
        <w:t>results</w:t>
      </w:r>
      <w:r>
        <w:rPr>
          <w:spacing w:val="-2"/>
        </w:rPr>
        <w:t xml:space="preserve"> </w:t>
      </w:r>
      <w:r>
        <w:t>are</w:t>
      </w:r>
      <w:r>
        <w:rPr>
          <w:spacing w:val="-2"/>
        </w:rPr>
        <w:t xml:space="preserve"> </w:t>
      </w:r>
      <w:r>
        <w:t>reasonable.</w:t>
      </w:r>
      <w:r>
        <w:rPr>
          <w:spacing w:val="-3"/>
        </w:rPr>
        <w:t xml:space="preserve"> </w:t>
      </w:r>
      <w:r>
        <w:t>Calibration</w:t>
      </w:r>
      <w:r>
        <w:rPr>
          <w:spacing w:val="-2"/>
        </w:rPr>
        <w:t xml:space="preserve"> </w:t>
      </w:r>
      <w:r>
        <w:t>is</w:t>
      </w:r>
      <w:r>
        <w:rPr>
          <w:spacing w:val="-2"/>
        </w:rPr>
        <w:t xml:space="preserve"> </w:t>
      </w:r>
      <w:r>
        <w:t>intended</w:t>
      </w:r>
      <w:r>
        <w:rPr>
          <w:spacing w:val="-2"/>
        </w:rPr>
        <w:t xml:space="preserve"> </w:t>
      </w:r>
      <w:r>
        <w:t>to</w:t>
      </w:r>
      <w:r>
        <w:rPr>
          <w:spacing w:val="-2"/>
        </w:rPr>
        <w:t xml:space="preserve"> </w:t>
      </w:r>
      <w:r>
        <w:t>achieve the following:</w:t>
      </w:r>
    </w:p>
    <w:p w:rsidR="00C31389" w:rsidRDefault="00561FBD" w14:paraId="0350C8A1" w14:textId="77777777">
      <w:pPr>
        <w:pStyle w:val="ListParagraph"/>
        <w:numPr>
          <w:ilvl w:val="0"/>
          <w:numId w:val="60"/>
        </w:numPr>
        <w:tabs>
          <w:tab w:val="left" w:pos="1200"/>
        </w:tabs>
        <w:spacing w:before="120"/>
        <w:ind w:right="558" w:hanging="361"/>
      </w:pPr>
      <w:r>
        <w:t>Reflect</w:t>
      </w:r>
      <w:r>
        <w:rPr>
          <w:spacing w:val="-4"/>
        </w:rPr>
        <w:t xml:space="preserve"> </w:t>
      </w:r>
      <w:r>
        <w:t>actual</w:t>
      </w:r>
      <w:r>
        <w:rPr>
          <w:spacing w:val="-4"/>
        </w:rPr>
        <w:t xml:space="preserve"> </w:t>
      </w:r>
      <w:r>
        <w:t>market</w:t>
      </w:r>
      <w:r>
        <w:rPr>
          <w:spacing w:val="-4"/>
        </w:rPr>
        <w:t xml:space="preserve"> </w:t>
      </w:r>
      <w:r>
        <w:t>conditions</w:t>
      </w:r>
      <w:r>
        <w:rPr>
          <w:spacing w:val="-4"/>
        </w:rPr>
        <w:t xml:space="preserve"> </w:t>
      </w:r>
      <w:r>
        <w:t>for</w:t>
      </w:r>
      <w:r>
        <w:rPr>
          <w:spacing w:val="-4"/>
        </w:rPr>
        <w:t xml:space="preserve"> </w:t>
      </w:r>
      <w:r>
        <w:t>the</w:t>
      </w:r>
      <w:r>
        <w:rPr>
          <w:spacing w:val="-4"/>
        </w:rPr>
        <w:t xml:space="preserve"> </w:t>
      </w:r>
      <w:r>
        <w:t>bottom-up</w:t>
      </w:r>
      <w:r>
        <w:rPr>
          <w:spacing w:val="-4"/>
        </w:rPr>
        <w:t xml:space="preserve"> </w:t>
      </w:r>
      <w:r>
        <w:t>approach</w:t>
      </w:r>
      <w:r>
        <w:rPr>
          <w:spacing w:val="-5"/>
        </w:rPr>
        <w:t xml:space="preserve"> </w:t>
      </w:r>
      <w:r>
        <w:t>model</w:t>
      </w:r>
      <w:r>
        <w:rPr>
          <w:spacing w:val="-4"/>
        </w:rPr>
        <w:t xml:space="preserve"> </w:t>
      </w:r>
      <w:r>
        <w:t>to</w:t>
      </w:r>
      <w:r>
        <w:rPr>
          <w:spacing w:val="-4"/>
        </w:rPr>
        <w:t xml:space="preserve"> </w:t>
      </w:r>
      <w:r>
        <w:t>calculate</w:t>
      </w:r>
      <w:r>
        <w:rPr>
          <w:spacing w:val="-4"/>
        </w:rPr>
        <w:t xml:space="preserve"> </w:t>
      </w:r>
      <w:r>
        <w:t xml:space="preserve">potential of </w:t>
      </w:r>
      <w:r>
        <w:t>historical adoption. This enables a process for ensuring the model can calculate previous market conditions.</w:t>
      </w:r>
    </w:p>
    <w:p w:rsidR="00C31389" w:rsidRDefault="00561FBD" w14:paraId="4D2D8C39" w14:textId="77777777">
      <w:pPr>
        <w:pStyle w:val="ListParagraph"/>
        <w:numPr>
          <w:ilvl w:val="0"/>
          <w:numId w:val="60"/>
        </w:numPr>
        <w:tabs>
          <w:tab w:val="left" w:pos="1199"/>
        </w:tabs>
        <w:spacing w:before="118"/>
        <w:ind w:left="1199" w:hanging="359"/>
      </w:pPr>
      <w:r>
        <w:t>Establish</w:t>
      </w:r>
      <w:r>
        <w:rPr>
          <w:spacing w:val="-7"/>
        </w:rPr>
        <w:t xml:space="preserve"> </w:t>
      </w:r>
      <w:r>
        <w:t>a</w:t>
      </w:r>
      <w:r>
        <w:rPr>
          <w:spacing w:val="-7"/>
        </w:rPr>
        <w:t xml:space="preserve"> </w:t>
      </w:r>
      <w:r>
        <w:t>realistic</w:t>
      </w:r>
      <w:r>
        <w:rPr>
          <w:spacing w:val="-6"/>
        </w:rPr>
        <w:t xml:space="preserve"> </w:t>
      </w:r>
      <w:r>
        <w:t>starting</w:t>
      </w:r>
      <w:r>
        <w:rPr>
          <w:spacing w:val="-7"/>
        </w:rPr>
        <w:t xml:space="preserve"> </w:t>
      </w:r>
      <w:r>
        <w:t>point</w:t>
      </w:r>
      <w:r>
        <w:rPr>
          <w:spacing w:val="-7"/>
        </w:rPr>
        <w:t xml:space="preserve"> </w:t>
      </w:r>
      <w:r>
        <w:t>from</w:t>
      </w:r>
      <w:r>
        <w:rPr>
          <w:spacing w:val="-7"/>
        </w:rPr>
        <w:t xml:space="preserve"> </w:t>
      </w:r>
      <w:r>
        <w:t>which</w:t>
      </w:r>
      <w:r>
        <w:rPr>
          <w:spacing w:val="-7"/>
        </w:rPr>
        <w:t xml:space="preserve"> </w:t>
      </w:r>
      <w:r>
        <w:t>future</w:t>
      </w:r>
      <w:r>
        <w:rPr>
          <w:spacing w:val="-6"/>
        </w:rPr>
        <w:t xml:space="preserve"> </w:t>
      </w:r>
      <w:r>
        <w:t>projections</w:t>
      </w:r>
      <w:r>
        <w:rPr>
          <w:spacing w:val="-7"/>
        </w:rPr>
        <w:t xml:space="preserve"> </w:t>
      </w:r>
      <w:r>
        <w:t>are</w:t>
      </w:r>
      <w:r>
        <w:rPr>
          <w:spacing w:val="-7"/>
        </w:rPr>
        <w:t xml:space="preserve"> </w:t>
      </w:r>
      <w:r>
        <w:rPr>
          <w:spacing w:val="-2"/>
        </w:rPr>
        <w:t>made.</w:t>
      </w:r>
    </w:p>
    <w:p w:rsidR="00C31389" w:rsidRDefault="00561FBD" w14:paraId="67694857" w14:textId="77777777">
      <w:pPr>
        <w:pStyle w:val="ListParagraph"/>
        <w:numPr>
          <w:ilvl w:val="0"/>
          <w:numId w:val="60"/>
        </w:numPr>
        <w:tabs>
          <w:tab w:val="left" w:pos="1200"/>
        </w:tabs>
        <w:spacing w:before="118"/>
        <w:ind w:right="924"/>
      </w:pPr>
      <w:r>
        <w:t>Account</w:t>
      </w:r>
      <w:r>
        <w:rPr>
          <w:spacing w:val="-1"/>
        </w:rPr>
        <w:t xml:space="preserve"> </w:t>
      </w:r>
      <w:r>
        <w:t>for</w:t>
      </w:r>
      <w:r>
        <w:rPr>
          <w:spacing w:val="-3"/>
        </w:rPr>
        <w:t xml:space="preserve"> </w:t>
      </w:r>
      <w:r>
        <w:t>varying</w:t>
      </w:r>
      <w:r>
        <w:rPr>
          <w:spacing w:val="-1"/>
        </w:rPr>
        <w:t xml:space="preserve"> </w:t>
      </w:r>
      <w:r>
        <w:t>levels</w:t>
      </w:r>
      <w:r>
        <w:rPr>
          <w:spacing w:val="-1"/>
        </w:rPr>
        <w:t xml:space="preserve"> </w:t>
      </w:r>
      <w:r>
        <w:t>of</w:t>
      </w:r>
      <w:r>
        <w:rPr>
          <w:spacing w:val="-1"/>
        </w:rPr>
        <w:t xml:space="preserve"> </w:t>
      </w:r>
      <w:r>
        <w:t>market</w:t>
      </w:r>
      <w:r>
        <w:rPr>
          <w:spacing w:val="-1"/>
        </w:rPr>
        <w:t xml:space="preserve"> </w:t>
      </w:r>
      <w:r>
        <w:t>barriers</w:t>
      </w:r>
      <w:r>
        <w:rPr>
          <w:spacing w:val="-1"/>
        </w:rPr>
        <w:t xml:space="preserve"> </w:t>
      </w:r>
      <w:r>
        <w:t>and</w:t>
      </w:r>
      <w:r>
        <w:rPr>
          <w:spacing w:val="-2"/>
        </w:rPr>
        <w:t xml:space="preserve"> </w:t>
      </w:r>
      <w:r>
        <w:t>influences</w:t>
      </w:r>
      <w:r>
        <w:rPr>
          <w:spacing w:val="-2"/>
        </w:rPr>
        <w:t xml:space="preserve"> </w:t>
      </w:r>
      <w:r>
        <w:t>across</w:t>
      </w:r>
      <w:r>
        <w:rPr>
          <w:spacing w:val="-1"/>
        </w:rPr>
        <w:t xml:space="preserve"> </w:t>
      </w:r>
      <w:r>
        <w:t>different</w:t>
      </w:r>
      <w:r>
        <w:rPr>
          <w:spacing w:val="-1"/>
        </w:rPr>
        <w:t xml:space="preserve"> </w:t>
      </w:r>
      <w:r>
        <w:t>types</w:t>
      </w:r>
      <w:r>
        <w:rPr>
          <w:spacing w:val="-1"/>
        </w:rPr>
        <w:t xml:space="preserve"> </w:t>
      </w:r>
      <w:r>
        <w:t>of technologies observed by historical trends. The model applies general market and consumer</w:t>
      </w:r>
      <w:r>
        <w:rPr>
          <w:spacing w:val="-3"/>
        </w:rPr>
        <w:t xml:space="preserve"> </w:t>
      </w:r>
      <w:r>
        <w:t>parameters</w:t>
      </w:r>
      <w:r>
        <w:rPr>
          <w:spacing w:val="-3"/>
        </w:rPr>
        <w:t xml:space="preserve"> </w:t>
      </w:r>
      <w:r>
        <w:t>to</w:t>
      </w:r>
      <w:r>
        <w:rPr>
          <w:spacing w:val="-3"/>
        </w:rPr>
        <w:t xml:space="preserve"> </w:t>
      </w:r>
      <w:r>
        <w:t>forecast</w:t>
      </w:r>
      <w:r>
        <w:rPr>
          <w:spacing w:val="-3"/>
        </w:rPr>
        <w:t xml:space="preserve"> </w:t>
      </w:r>
      <w:r>
        <w:t>technology</w:t>
      </w:r>
      <w:r>
        <w:rPr>
          <w:spacing w:val="-3"/>
        </w:rPr>
        <w:t xml:space="preserve"> </w:t>
      </w:r>
      <w:r>
        <w:t>adoption.</w:t>
      </w:r>
      <w:r>
        <w:rPr>
          <w:spacing w:val="-3"/>
        </w:rPr>
        <w:t xml:space="preserve"> </w:t>
      </w:r>
      <w:r>
        <w:t>There</w:t>
      </w:r>
      <w:r>
        <w:rPr>
          <w:spacing w:val="-3"/>
        </w:rPr>
        <w:t xml:space="preserve"> </w:t>
      </w:r>
      <w:r>
        <w:t>are</w:t>
      </w:r>
      <w:r>
        <w:rPr>
          <w:spacing w:val="-3"/>
        </w:rPr>
        <w:t xml:space="preserve"> </w:t>
      </w:r>
      <w:r>
        <w:t>often</w:t>
      </w:r>
      <w:r>
        <w:rPr>
          <w:spacing w:val="-3"/>
        </w:rPr>
        <w:t xml:space="preserve"> </w:t>
      </w:r>
      <w:r>
        <w:t>reasons</w:t>
      </w:r>
      <w:r>
        <w:rPr>
          <w:spacing w:val="-3"/>
        </w:rPr>
        <w:t xml:space="preserve"> </w:t>
      </w:r>
      <w:r>
        <w:t>why markets</w:t>
      </w:r>
      <w:r>
        <w:rPr>
          <w:spacing w:val="-4"/>
        </w:rPr>
        <w:t xml:space="preserve"> </w:t>
      </w:r>
      <w:r>
        <w:t>for</w:t>
      </w:r>
      <w:r>
        <w:rPr>
          <w:spacing w:val="-4"/>
        </w:rPr>
        <w:t xml:space="preserve"> </w:t>
      </w:r>
      <w:r>
        <w:t>certain</w:t>
      </w:r>
      <w:r>
        <w:rPr>
          <w:spacing w:val="-4"/>
        </w:rPr>
        <w:t xml:space="preserve"> </w:t>
      </w:r>
      <w:r>
        <w:t>end</w:t>
      </w:r>
      <w:r>
        <w:rPr>
          <w:spacing w:val="-5"/>
        </w:rPr>
        <w:t xml:space="preserve"> </w:t>
      </w:r>
      <w:r>
        <w:t>uses</w:t>
      </w:r>
      <w:r>
        <w:rPr>
          <w:spacing w:val="-4"/>
        </w:rPr>
        <w:t xml:space="preserve"> </w:t>
      </w:r>
      <w:r>
        <w:t>or</w:t>
      </w:r>
      <w:r>
        <w:rPr>
          <w:spacing w:val="-4"/>
        </w:rPr>
        <w:t xml:space="preserve"> </w:t>
      </w:r>
      <w:r>
        <w:t>technologies</w:t>
      </w:r>
      <w:r>
        <w:rPr>
          <w:spacing w:val="-4"/>
        </w:rPr>
        <w:t xml:space="preserve"> </w:t>
      </w:r>
      <w:r>
        <w:t>behave</w:t>
      </w:r>
      <w:r>
        <w:rPr>
          <w:spacing w:val="-4"/>
        </w:rPr>
        <w:t xml:space="preserve"> </w:t>
      </w:r>
      <w:r>
        <w:t>differently</w:t>
      </w:r>
      <w:r>
        <w:rPr>
          <w:spacing w:val="-4"/>
        </w:rPr>
        <w:t xml:space="preserve"> </w:t>
      </w:r>
      <w:r>
        <w:t>than</w:t>
      </w:r>
      <w:r>
        <w:rPr>
          <w:spacing w:val="-4"/>
        </w:rPr>
        <w:t xml:space="preserve"> </w:t>
      </w:r>
      <w:r>
        <w:t>the</w:t>
      </w:r>
      <w:r>
        <w:rPr>
          <w:spacing w:val="-5"/>
        </w:rPr>
        <w:t xml:space="preserve"> </w:t>
      </w:r>
      <w:r>
        <w:t>norm—both higher</w:t>
      </w:r>
      <w:r>
        <w:rPr>
          <w:spacing w:val="-1"/>
        </w:rPr>
        <w:t xml:space="preserve"> </w:t>
      </w:r>
      <w:r>
        <w:t>and</w:t>
      </w:r>
      <w:r>
        <w:rPr>
          <w:spacing w:val="-1"/>
        </w:rPr>
        <w:t xml:space="preserve"> </w:t>
      </w:r>
      <w:r>
        <w:t>lower.</w:t>
      </w:r>
      <w:r>
        <w:rPr>
          <w:spacing w:val="-1"/>
        </w:rPr>
        <w:t xml:space="preserve"> </w:t>
      </w:r>
      <w:r>
        <w:t>Calibration</w:t>
      </w:r>
      <w:r>
        <w:rPr>
          <w:spacing w:val="-1"/>
        </w:rPr>
        <w:t xml:space="preserve"> </w:t>
      </w:r>
      <w:r>
        <w:t>offers</w:t>
      </w:r>
      <w:r>
        <w:rPr>
          <w:spacing w:val="-2"/>
        </w:rPr>
        <w:t xml:space="preserve"> </w:t>
      </w:r>
      <w:r>
        <w:t>a</w:t>
      </w:r>
      <w:r>
        <w:rPr>
          <w:spacing w:val="-1"/>
        </w:rPr>
        <w:t xml:space="preserve"> </w:t>
      </w:r>
      <w:r>
        <w:t>mechanism</w:t>
      </w:r>
      <w:r>
        <w:rPr>
          <w:spacing w:val="-2"/>
        </w:rPr>
        <w:t xml:space="preserve"> </w:t>
      </w:r>
      <w:r>
        <w:t>for</w:t>
      </w:r>
      <w:r>
        <w:rPr>
          <w:spacing w:val="-1"/>
        </w:rPr>
        <w:t xml:space="preserve"> </w:t>
      </w:r>
      <w:r>
        <w:t>using</w:t>
      </w:r>
      <w:r>
        <w:rPr>
          <w:spacing w:val="-1"/>
        </w:rPr>
        <w:t xml:space="preserve"> </w:t>
      </w:r>
      <w:r>
        <w:t>historical</w:t>
      </w:r>
      <w:r>
        <w:rPr>
          <w:spacing w:val="-1"/>
        </w:rPr>
        <w:t xml:space="preserve"> </w:t>
      </w:r>
      <w:r>
        <w:t>observations</w:t>
      </w:r>
      <w:r>
        <w:rPr>
          <w:spacing w:val="-2"/>
        </w:rPr>
        <w:t xml:space="preserve"> </w:t>
      </w:r>
      <w:r>
        <w:t>to account for these differences.</w:t>
      </w:r>
    </w:p>
    <w:p w:rsidR="00C31389" w:rsidRDefault="00C31389" w14:paraId="4D091615" w14:textId="77777777">
      <w:pPr>
        <w:pStyle w:val="BodyText"/>
        <w:spacing w:before="9"/>
        <w:rPr>
          <w:sz w:val="20"/>
        </w:rPr>
      </w:pPr>
    </w:p>
    <w:p w:rsidR="00C31389" w:rsidRDefault="00561FBD" w14:paraId="70A113B8" w14:textId="77777777">
      <w:pPr>
        <w:pStyle w:val="BodyText"/>
        <w:ind w:left="480" w:right="533"/>
      </w:pPr>
      <w:r>
        <w:t>The</w:t>
      </w:r>
      <w:r>
        <w:rPr>
          <w:spacing w:val="-3"/>
        </w:rPr>
        <w:t xml:space="preserve"> </w:t>
      </w:r>
      <w:r>
        <w:t>calibration</w:t>
      </w:r>
      <w:r>
        <w:rPr>
          <w:spacing w:val="-3"/>
        </w:rPr>
        <w:t xml:space="preserve"> </w:t>
      </w:r>
      <w:r>
        <w:t>process</w:t>
      </w:r>
      <w:r>
        <w:rPr>
          <w:spacing w:val="-4"/>
        </w:rPr>
        <w:t xml:space="preserve"> </w:t>
      </w:r>
      <w:r>
        <w:t>is</w:t>
      </w:r>
      <w:r>
        <w:rPr>
          <w:spacing w:val="-3"/>
        </w:rPr>
        <w:t xml:space="preserve"> </w:t>
      </w:r>
      <w:r>
        <w:t>not</w:t>
      </w:r>
      <w:r>
        <w:rPr>
          <w:spacing w:val="-3"/>
        </w:rPr>
        <w:t xml:space="preserve"> </w:t>
      </w:r>
      <w:r>
        <w:t>a</w:t>
      </w:r>
      <w:r>
        <w:rPr>
          <w:spacing w:val="-3"/>
        </w:rPr>
        <w:t xml:space="preserve"> </w:t>
      </w:r>
      <w:r>
        <w:t>regression</w:t>
      </w:r>
      <w:r>
        <w:rPr>
          <w:spacing w:val="-3"/>
        </w:rPr>
        <w:t xml:space="preserve"> </w:t>
      </w:r>
      <w:r>
        <w:t>of</w:t>
      </w:r>
      <w:r>
        <w:rPr>
          <w:spacing w:val="-4"/>
        </w:rPr>
        <w:t xml:space="preserve"> </w:t>
      </w:r>
      <w:r>
        <w:t>savings</w:t>
      </w:r>
      <w:r>
        <w:rPr>
          <w:spacing w:val="-3"/>
        </w:rPr>
        <w:t xml:space="preserve"> </w:t>
      </w:r>
      <w:r>
        <w:t>or</w:t>
      </w:r>
      <w:r>
        <w:rPr>
          <w:spacing w:val="-3"/>
        </w:rPr>
        <w:t xml:space="preserve"> </w:t>
      </w:r>
      <w:r>
        <w:t>spending</w:t>
      </w:r>
      <w:r>
        <w:rPr>
          <w:spacing w:val="-3"/>
        </w:rPr>
        <w:t xml:space="preserve"> </w:t>
      </w:r>
      <w:r>
        <w:t>(not</w:t>
      </w:r>
      <w:r>
        <w:rPr>
          <w:spacing w:val="-3"/>
        </w:rPr>
        <w:t xml:space="preserve"> </w:t>
      </w:r>
      <w:r>
        <w:t>drawing</w:t>
      </w:r>
      <w:r>
        <w:rPr>
          <w:spacing w:val="-3"/>
        </w:rPr>
        <w:t xml:space="preserve"> </w:t>
      </w:r>
      <w:r>
        <w:t>a</w:t>
      </w:r>
      <w:r>
        <w:rPr>
          <w:spacing w:val="-3"/>
        </w:rPr>
        <w:t xml:space="preserve"> </w:t>
      </w:r>
      <w:r>
        <w:t>future</w:t>
      </w:r>
      <w:r>
        <w:rPr>
          <w:spacing w:val="-3"/>
        </w:rPr>
        <w:t xml:space="preserve"> </w:t>
      </w:r>
      <w:r>
        <w:t>trend line of savi</w:t>
      </w:r>
      <w:r>
        <w:t>ngs based on past program accomplishments). Rather, calibration develops</w:t>
      </w:r>
    </w:p>
    <w:p w:rsidR="00C31389" w:rsidRDefault="00C31389" w14:paraId="6E7E6FDA" w14:textId="77777777">
      <w:pPr>
        <w:sectPr w:rsidR="00C31389">
          <w:pgSz w:w="12240" w:h="15840"/>
          <w:pgMar w:top="1660" w:right="960" w:bottom="1120" w:left="960" w:header="397" w:footer="936" w:gutter="0"/>
          <w:cols w:space="720"/>
        </w:sectPr>
      </w:pPr>
    </w:p>
    <w:p w:rsidR="00C31389" w:rsidRDefault="00C31389" w14:paraId="039601B3" w14:textId="77777777">
      <w:pPr>
        <w:pStyle w:val="BodyText"/>
        <w:spacing w:before="11"/>
        <w:rPr>
          <w:sz w:val="13"/>
        </w:rPr>
      </w:pPr>
    </w:p>
    <w:p w:rsidR="00C31389" w:rsidRDefault="00561FBD" w14:paraId="2CCBDB1D" w14:textId="77777777">
      <w:pPr>
        <w:pStyle w:val="BodyText"/>
        <w:spacing w:before="92"/>
        <w:ind w:left="479" w:right="973"/>
        <w:jc w:val="both"/>
      </w:pPr>
      <w:r>
        <w:t>parameters that align the customer decision-making process and the velocity of the market based</w:t>
      </w:r>
      <w:r>
        <w:rPr>
          <w:spacing w:val="-3"/>
        </w:rPr>
        <w:t xml:space="preserve"> </w:t>
      </w:r>
      <w:r>
        <w:t>on</w:t>
      </w:r>
      <w:r>
        <w:rPr>
          <w:spacing w:val="-3"/>
        </w:rPr>
        <w:t xml:space="preserve"> </w:t>
      </w:r>
      <w:r>
        <w:t>recent</w:t>
      </w:r>
      <w:r>
        <w:rPr>
          <w:spacing w:val="-3"/>
        </w:rPr>
        <w:t xml:space="preserve"> </w:t>
      </w:r>
      <w:r>
        <w:t>history.</w:t>
      </w:r>
      <w:r>
        <w:rPr>
          <w:spacing w:val="-4"/>
        </w:rPr>
        <w:t xml:space="preserve"> </w:t>
      </w:r>
      <w:r>
        <w:t>Once</w:t>
      </w:r>
      <w:r>
        <w:rPr>
          <w:spacing w:val="-3"/>
        </w:rPr>
        <w:t xml:space="preserve"> </w:t>
      </w:r>
      <w:r>
        <w:t>these</w:t>
      </w:r>
      <w:r>
        <w:rPr>
          <w:spacing w:val="-3"/>
        </w:rPr>
        <w:t xml:space="preserve"> </w:t>
      </w:r>
      <w:r>
        <w:t>parameters</w:t>
      </w:r>
      <w:r>
        <w:rPr>
          <w:spacing w:val="-3"/>
        </w:rPr>
        <w:t xml:space="preserve"> </w:t>
      </w:r>
      <w:r>
        <w:t>are</w:t>
      </w:r>
      <w:r>
        <w:rPr>
          <w:spacing w:val="-3"/>
        </w:rPr>
        <w:t xml:space="preserve"> </w:t>
      </w:r>
      <w:r>
        <w:t>set,</w:t>
      </w:r>
      <w:r>
        <w:rPr>
          <w:spacing w:val="-3"/>
        </w:rPr>
        <w:t xml:space="preserve"> </w:t>
      </w:r>
      <w:r>
        <w:t>the</w:t>
      </w:r>
      <w:r>
        <w:rPr>
          <w:spacing w:val="-4"/>
        </w:rPr>
        <w:t xml:space="preserve"> </w:t>
      </w:r>
      <w:r>
        <w:t>model</w:t>
      </w:r>
      <w:r>
        <w:rPr>
          <w:spacing w:val="-3"/>
        </w:rPr>
        <w:t xml:space="preserve"> </w:t>
      </w:r>
      <w:r>
        <w:t>uses</w:t>
      </w:r>
      <w:r>
        <w:rPr>
          <w:spacing w:val="-4"/>
        </w:rPr>
        <w:t xml:space="preserve"> </w:t>
      </w:r>
      <w:r>
        <w:t>them</w:t>
      </w:r>
      <w:r>
        <w:rPr>
          <w:spacing w:val="-4"/>
        </w:rPr>
        <w:t xml:space="preserve"> </w:t>
      </w:r>
      <w:r>
        <w:t>as</w:t>
      </w:r>
      <w:r>
        <w:rPr>
          <w:spacing w:val="-3"/>
        </w:rPr>
        <w:t xml:space="preserve"> </w:t>
      </w:r>
      <w:r>
        <w:t>a</w:t>
      </w:r>
      <w:r>
        <w:rPr>
          <w:spacing w:val="-3"/>
        </w:rPr>
        <w:t xml:space="preserve"> </w:t>
      </w:r>
      <w:r>
        <w:t>starting point for the forecast period.</w:t>
      </w:r>
    </w:p>
    <w:p w:rsidR="00C31389" w:rsidRDefault="00C31389" w14:paraId="23A1AC06" w14:textId="77777777">
      <w:pPr>
        <w:pStyle w:val="BodyText"/>
        <w:spacing w:before="10"/>
        <w:rPr>
          <w:sz w:val="20"/>
        </w:rPr>
      </w:pPr>
    </w:p>
    <w:p w:rsidR="00C31389" w:rsidRDefault="00561FBD" w14:paraId="0C511668" w14:textId="77777777">
      <w:pPr>
        <w:pStyle w:val="BodyText"/>
        <w:ind w:left="479" w:right="654"/>
        <w:jc w:val="both"/>
      </w:pPr>
      <w:r>
        <w:t>The process to develop these parameters requires historical market data. The PG Model uses 2018-2021</w:t>
      </w:r>
      <w:r>
        <w:rPr>
          <w:spacing w:val="-3"/>
        </w:rPr>
        <w:t xml:space="preserve"> </w:t>
      </w:r>
      <w:r>
        <w:t>EE</w:t>
      </w:r>
      <w:r>
        <w:rPr>
          <w:spacing w:val="-4"/>
        </w:rPr>
        <w:t xml:space="preserve"> </w:t>
      </w:r>
      <w:r>
        <w:t>program</w:t>
      </w:r>
      <w:r>
        <w:rPr>
          <w:spacing w:val="-3"/>
        </w:rPr>
        <w:t xml:space="preserve"> </w:t>
      </w:r>
      <w:r>
        <w:t>data</w:t>
      </w:r>
      <w:r>
        <w:rPr>
          <w:spacing w:val="-3"/>
        </w:rPr>
        <w:t xml:space="preserve"> </w:t>
      </w:r>
      <w:r>
        <w:t>(gross</w:t>
      </w:r>
      <w:r>
        <w:rPr>
          <w:spacing w:val="-4"/>
        </w:rPr>
        <w:t xml:space="preserve"> </w:t>
      </w:r>
      <w:r>
        <w:t>savings,</w:t>
      </w:r>
      <w:r>
        <w:rPr>
          <w:spacing w:val="-4"/>
        </w:rPr>
        <w:t xml:space="preserve"> </w:t>
      </w:r>
      <w:r>
        <w:t>program</w:t>
      </w:r>
      <w:r>
        <w:rPr>
          <w:spacing w:val="-4"/>
        </w:rPr>
        <w:t xml:space="preserve"> </w:t>
      </w:r>
      <w:r>
        <w:t>spending</w:t>
      </w:r>
      <w:r>
        <w:rPr>
          <w:spacing w:val="-3"/>
        </w:rPr>
        <w:t xml:space="preserve"> </w:t>
      </w:r>
      <w:r>
        <w:t>data)</w:t>
      </w:r>
      <w:r>
        <w:rPr>
          <w:spacing w:val="-3"/>
        </w:rPr>
        <w:t xml:space="preserve"> </w:t>
      </w:r>
      <w:r>
        <w:t>and</w:t>
      </w:r>
      <w:r>
        <w:rPr>
          <w:spacing w:val="-3"/>
        </w:rPr>
        <w:t xml:space="preserve"> </w:t>
      </w:r>
      <w:r>
        <w:t>performs</w:t>
      </w:r>
      <w:r>
        <w:rPr>
          <w:spacing w:val="-3"/>
        </w:rPr>
        <w:t xml:space="preserve"> </w:t>
      </w:r>
      <w:r>
        <w:t>a</w:t>
      </w:r>
      <w:r>
        <w:rPr>
          <w:spacing w:val="-3"/>
        </w:rPr>
        <w:t xml:space="preserve"> </w:t>
      </w:r>
      <w:r>
        <w:t>backcast to fit model parameters s</w:t>
      </w:r>
      <w:r>
        <w:t>uch that historical achievements are generally matched.</w:t>
      </w:r>
    </w:p>
    <w:p w:rsidR="00C31389" w:rsidRDefault="00C31389" w14:paraId="1DD55E6A" w14:textId="77777777">
      <w:pPr>
        <w:pStyle w:val="BodyText"/>
        <w:spacing w:before="10"/>
        <w:rPr>
          <w:sz w:val="20"/>
        </w:rPr>
      </w:pPr>
    </w:p>
    <w:p w:rsidR="00C31389" w:rsidRDefault="00561FBD" w14:paraId="1D93B8B0" w14:textId="77777777">
      <w:pPr>
        <w:pStyle w:val="BodyText"/>
        <w:spacing w:before="1"/>
        <w:ind w:left="479" w:right="533"/>
      </w:pPr>
      <w:r>
        <w:t>FS calibration methodology differs from the 2021 Study approach. For the 2021 Study, no specific</w:t>
      </w:r>
      <w:r>
        <w:rPr>
          <w:spacing w:val="-3"/>
        </w:rPr>
        <w:t xml:space="preserve"> </w:t>
      </w:r>
      <w:r>
        <w:t>calibration</w:t>
      </w:r>
      <w:r>
        <w:rPr>
          <w:spacing w:val="-3"/>
        </w:rPr>
        <w:t xml:space="preserve"> </w:t>
      </w:r>
      <w:r>
        <w:t>was</w:t>
      </w:r>
      <w:r>
        <w:rPr>
          <w:spacing w:val="-4"/>
        </w:rPr>
        <w:t xml:space="preserve"> </w:t>
      </w:r>
      <w:r>
        <w:t>possible</w:t>
      </w:r>
      <w:r>
        <w:rPr>
          <w:spacing w:val="-3"/>
        </w:rPr>
        <w:t xml:space="preserve"> </w:t>
      </w:r>
      <w:r>
        <w:t>because</w:t>
      </w:r>
      <w:r>
        <w:rPr>
          <w:spacing w:val="-3"/>
        </w:rPr>
        <w:t xml:space="preserve"> </w:t>
      </w:r>
      <w:r>
        <w:t>this</w:t>
      </w:r>
      <w:r>
        <w:rPr>
          <w:spacing w:val="-4"/>
        </w:rPr>
        <w:t xml:space="preserve"> </w:t>
      </w:r>
      <w:r>
        <w:t>savings</w:t>
      </w:r>
      <w:r>
        <w:rPr>
          <w:spacing w:val="-3"/>
        </w:rPr>
        <w:t xml:space="preserve"> </w:t>
      </w:r>
      <w:r>
        <w:t>source</w:t>
      </w:r>
      <w:r>
        <w:rPr>
          <w:spacing w:val="-3"/>
        </w:rPr>
        <w:t xml:space="preserve"> </w:t>
      </w:r>
      <w:r>
        <w:t>did</w:t>
      </w:r>
      <w:r>
        <w:rPr>
          <w:spacing w:val="-3"/>
        </w:rPr>
        <w:t xml:space="preserve"> </w:t>
      </w:r>
      <w:r>
        <w:t>not</w:t>
      </w:r>
      <w:r>
        <w:rPr>
          <w:spacing w:val="-3"/>
        </w:rPr>
        <w:t xml:space="preserve"> </w:t>
      </w:r>
      <w:r>
        <w:t>exist</w:t>
      </w:r>
      <w:r>
        <w:rPr>
          <w:spacing w:val="-3"/>
        </w:rPr>
        <w:t xml:space="preserve"> </w:t>
      </w:r>
      <w:r>
        <w:t>in</w:t>
      </w:r>
      <w:r>
        <w:rPr>
          <w:spacing w:val="-3"/>
        </w:rPr>
        <w:t xml:space="preserve"> </w:t>
      </w:r>
      <w:r>
        <w:t>historic</w:t>
      </w:r>
      <w:r>
        <w:rPr>
          <w:spacing w:val="-4"/>
        </w:rPr>
        <w:t xml:space="preserve"> </w:t>
      </w:r>
      <w:r>
        <w:t>portfolios. For the 202</w:t>
      </w:r>
      <w:r>
        <w:t>3 Study, historical data for 2022 was available, which was used to calibrate FS adoption to historical program activity and market saturation data, as appropriate. The study also</w:t>
      </w:r>
      <w:r>
        <w:rPr>
          <w:spacing w:val="-2"/>
        </w:rPr>
        <w:t xml:space="preserve"> </w:t>
      </w:r>
      <w:r>
        <w:t>applied</w:t>
      </w:r>
      <w:r>
        <w:rPr>
          <w:spacing w:val="-3"/>
        </w:rPr>
        <w:t xml:space="preserve"> </w:t>
      </w:r>
      <w:r>
        <w:t>FS</w:t>
      </w:r>
      <w:r>
        <w:rPr>
          <w:spacing w:val="-2"/>
        </w:rPr>
        <w:t xml:space="preserve"> </w:t>
      </w:r>
      <w:r>
        <w:t>program-specific</w:t>
      </w:r>
      <w:r>
        <w:rPr>
          <w:spacing w:val="-2"/>
        </w:rPr>
        <w:t xml:space="preserve"> </w:t>
      </w:r>
      <w:r>
        <w:t>budget</w:t>
      </w:r>
      <w:r>
        <w:rPr>
          <w:spacing w:val="-2"/>
        </w:rPr>
        <w:t xml:space="preserve"> </w:t>
      </w:r>
      <w:r>
        <w:t>filings</w:t>
      </w:r>
      <w:r>
        <w:rPr>
          <w:spacing w:val="-2"/>
        </w:rPr>
        <w:t xml:space="preserve"> </w:t>
      </w:r>
      <w:r>
        <w:t>for</w:t>
      </w:r>
      <w:r>
        <w:rPr>
          <w:spacing w:val="-2"/>
        </w:rPr>
        <w:t xml:space="preserve"> </w:t>
      </w:r>
      <w:r>
        <w:t>2022</w:t>
      </w:r>
      <w:r>
        <w:rPr>
          <w:spacing w:val="-2"/>
        </w:rPr>
        <w:t xml:space="preserve"> </w:t>
      </w:r>
      <w:r>
        <w:t>to</w:t>
      </w:r>
      <w:r>
        <w:rPr>
          <w:spacing w:val="-2"/>
        </w:rPr>
        <w:t xml:space="preserve"> </w:t>
      </w:r>
      <w:r>
        <w:t>ensure</w:t>
      </w:r>
      <w:r>
        <w:rPr>
          <w:spacing w:val="-2"/>
        </w:rPr>
        <w:t xml:space="preserve"> </w:t>
      </w:r>
      <w:r>
        <w:t>a</w:t>
      </w:r>
      <w:r>
        <w:rPr>
          <w:spacing w:val="-2"/>
        </w:rPr>
        <w:t xml:space="preserve"> </w:t>
      </w:r>
      <w:r>
        <w:t>robust</w:t>
      </w:r>
      <w:r>
        <w:rPr>
          <w:spacing w:val="-2"/>
        </w:rPr>
        <w:t xml:space="preserve"> </w:t>
      </w:r>
      <w:r>
        <w:t>basis</w:t>
      </w:r>
      <w:r>
        <w:rPr>
          <w:spacing w:val="-2"/>
        </w:rPr>
        <w:t xml:space="preserve"> </w:t>
      </w:r>
      <w:r>
        <w:t>of</w:t>
      </w:r>
      <w:r>
        <w:rPr>
          <w:spacing w:val="-4"/>
        </w:rPr>
        <w:t xml:space="preserve"> </w:t>
      </w:r>
      <w:r>
        <w:t>sector</w:t>
      </w:r>
      <w:r>
        <w:rPr>
          <w:spacing w:val="-2"/>
        </w:rPr>
        <w:t xml:space="preserve"> </w:t>
      </w:r>
      <w:r>
        <w:t>and end use calibration data.</w:t>
      </w:r>
    </w:p>
    <w:p w:rsidR="00C31389" w:rsidRDefault="00C31389" w14:paraId="472109E9" w14:textId="77777777">
      <w:pPr>
        <w:pStyle w:val="BodyText"/>
        <w:spacing w:before="10"/>
        <w:rPr>
          <w:sz w:val="20"/>
        </w:rPr>
      </w:pPr>
    </w:p>
    <w:p w:rsidR="00C31389" w:rsidRDefault="00561FBD" w14:paraId="5985FE8B" w14:textId="77777777">
      <w:pPr>
        <w:pStyle w:val="BodyText"/>
        <w:ind w:left="479" w:right="485" w:hanging="1"/>
      </w:pPr>
      <w:r>
        <w:t>The primary method of calibration was reviewing EE portfolio achievements to assess how the market</w:t>
      </w:r>
      <w:r>
        <w:rPr>
          <w:spacing w:val="-3"/>
        </w:rPr>
        <w:t xml:space="preserve"> </w:t>
      </w:r>
      <w:r>
        <w:t>has</w:t>
      </w:r>
      <w:r>
        <w:rPr>
          <w:spacing w:val="-3"/>
        </w:rPr>
        <w:t xml:space="preserve"> </w:t>
      </w:r>
      <w:r>
        <w:t>reacted</w:t>
      </w:r>
      <w:r>
        <w:rPr>
          <w:spacing w:val="-3"/>
        </w:rPr>
        <w:t xml:space="preserve"> </w:t>
      </w:r>
      <w:r>
        <w:t>to</w:t>
      </w:r>
      <w:r>
        <w:rPr>
          <w:spacing w:val="-3"/>
        </w:rPr>
        <w:t xml:space="preserve"> </w:t>
      </w:r>
      <w:r>
        <w:t>program</w:t>
      </w:r>
      <w:r>
        <w:rPr>
          <w:spacing w:val="-4"/>
        </w:rPr>
        <w:t xml:space="preserve"> </w:t>
      </w:r>
      <w:r>
        <w:t>offerings</w:t>
      </w:r>
      <w:r>
        <w:rPr>
          <w:spacing w:val="-3"/>
        </w:rPr>
        <w:t xml:space="preserve"> </w:t>
      </w:r>
      <w:r>
        <w:t>in</w:t>
      </w:r>
      <w:r>
        <w:rPr>
          <w:spacing w:val="-3"/>
        </w:rPr>
        <w:t xml:space="preserve"> </w:t>
      </w:r>
      <w:r>
        <w:t>the</w:t>
      </w:r>
      <w:r>
        <w:rPr>
          <w:spacing w:val="-3"/>
        </w:rPr>
        <w:t xml:space="preserve"> </w:t>
      </w:r>
      <w:r>
        <w:t>past.</w:t>
      </w:r>
      <w:r>
        <w:rPr>
          <w:spacing w:val="-3"/>
        </w:rPr>
        <w:t xml:space="preserve"> </w:t>
      </w:r>
      <w:r>
        <w:t>The</w:t>
      </w:r>
      <w:r>
        <w:rPr>
          <w:spacing w:val="-3"/>
        </w:rPr>
        <w:t xml:space="preserve"> </w:t>
      </w:r>
      <w:r>
        <w:t>gross</w:t>
      </w:r>
      <w:r>
        <w:rPr>
          <w:spacing w:val="-3"/>
        </w:rPr>
        <w:t xml:space="preserve"> </w:t>
      </w:r>
      <w:r>
        <w:t>savings</w:t>
      </w:r>
      <w:r>
        <w:rPr>
          <w:spacing w:val="-3"/>
        </w:rPr>
        <w:t xml:space="preserve"> </w:t>
      </w:r>
      <w:r>
        <w:t>and</w:t>
      </w:r>
      <w:r>
        <w:rPr>
          <w:spacing w:val="-3"/>
        </w:rPr>
        <w:t xml:space="preserve"> </w:t>
      </w:r>
      <w:r>
        <w:t>spending</w:t>
      </w:r>
      <w:r>
        <w:rPr>
          <w:spacing w:val="-4"/>
        </w:rPr>
        <w:t xml:space="preserve"> </w:t>
      </w:r>
      <w:r>
        <w:t>during</w:t>
      </w:r>
      <w:r>
        <w:rPr>
          <w:spacing w:val="-3"/>
        </w:rPr>
        <w:t xml:space="preserve"> </w:t>
      </w:r>
      <w:r>
        <w:t>this backcast period are c</w:t>
      </w:r>
      <w:r>
        <w:t>ompared with actual program gross savings spending. Modeling parameters are adjusted to reasonably align the backcast to historical data.</w:t>
      </w:r>
    </w:p>
    <w:p w:rsidR="00C31389" w:rsidRDefault="00C31389" w14:paraId="0482FE9B" w14:textId="77777777">
      <w:pPr>
        <w:pStyle w:val="BodyText"/>
        <w:spacing w:before="9"/>
        <w:rPr>
          <w:sz w:val="20"/>
        </w:rPr>
      </w:pPr>
    </w:p>
    <w:p w:rsidR="00C31389" w:rsidRDefault="00561FBD" w14:paraId="306E2733" w14:textId="77777777">
      <w:pPr>
        <w:pStyle w:val="BodyText"/>
        <w:spacing w:before="1"/>
        <w:ind w:left="480"/>
      </w:pPr>
      <w:r>
        <w:t>For</w:t>
      </w:r>
      <w:r>
        <w:rPr>
          <w:spacing w:val="-7"/>
        </w:rPr>
        <w:t xml:space="preserve"> </w:t>
      </w:r>
      <w:r>
        <w:t>more</w:t>
      </w:r>
      <w:r>
        <w:rPr>
          <w:spacing w:val="-6"/>
        </w:rPr>
        <w:t xml:space="preserve"> </w:t>
      </w:r>
      <w:r>
        <w:t>details</w:t>
      </w:r>
      <w:r>
        <w:rPr>
          <w:spacing w:val="-6"/>
        </w:rPr>
        <w:t xml:space="preserve"> </w:t>
      </w:r>
      <w:r>
        <w:t>on</w:t>
      </w:r>
      <w:r>
        <w:rPr>
          <w:spacing w:val="-7"/>
        </w:rPr>
        <w:t xml:space="preserve"> </w:t>
      </w:r>
      <w:r>
        <w:t>calibration,</w:t>
      </w:r>
      <w:r>
        <w:rPr>
          <w:spacing w:val="-7"/>
        </w:rPr>
        <w:t xml:space="preserve"> </w:t>
      </w:r>
      <w:r>
        <w:t>see</w:t>
      </w:r>
      <w:r>
        <w:rPr>
          <w:spacing w:val="-7"/>
        </w:rPr>
        <w:t xml:space="preserve"> </w:t>
      </w:r>
      <w:hyperlink w:history="1" w:anchor="_bookmark228">
        <w:r>
          <w:t>Appendix</w:t>
        </w:r>
        <w:r>
          <w:rPr>
            <w:spacing w:val="-6"/>
          </w:rPr>
          <w:t xml:space="preserve"> </w:t>
        </w:r>
        <w:r>
          <w:rPr>
            <w:spacing w:val="-5"/>
          </w:rPr>
          <w:t>A</w:t>
        </w:r>
      </w:hyperlink>
      <w:r>
        <w:rPr>
          <w:spacing w:val="-5"/>
        </w:rPr>
        <w:t>.</w:t>
      </w:r>
    </w:p>
    <w:p w:rsidR="00C31389" w:rsidRDefault="00C31389" w14:paraId="0CE28D6C" w14:textId="77777777">
      <w:pPr>
        <w:pStyle w:val="BodyText"/>
        <w:spacing w:before="10"/>
        <w:rPr>
          <w:sz w:val="20"/>
        </w:rPr>
      </w:pPr>
    </w:p>
    <w:p w:rsidR="00C31389" w:rsidRDefault="00561FBD" w14:paraId="6A581D0E" w14:textId="77777777">
      <w:pPr>
        <w:pStyle w:val="Heading2"/>
        <w:numPr>
          <w:ilvl w:val="1"/>
          <w:numId w:val="71"/>
        </w:numPr>
        <w:tabs>
          <w:tab w:val="left" w:pos="945"/>
        </w:tabs>
        <w:ind w:left="945" w:hanging="465"/>
      </w:pPr>
      <w:bookmarkStart w:name="2.3_Scenarios" w:id="119"/>
      <w:bookmarkStart w:name="_bookmark89" w:id="120"/>
      <w:bookmarkEnd w:id="119"/>
      <w:bookmarkEnd w:id="120"/>
      <w:r>
        <w:rPr>
          <w:spacing w:val="-2"/>
        </w:rPr>
        <w:t>Scenarios</w:t>
      </w:r>
    </w:p>
    <w:p w:rsidR="00C31389" w:rsidRDefault="00561FBD" w14:paraId="515FA476" w14:textId="77777777">
      <w:pPr>
        <w:pStyle w:val="BodyText"/>
        <w:spacing w:before="239"/>
        <w:ind w:left="480" w:right="469"/>
      </w:pPr>
      <w:r>
        <w:t>This study forecasts multiple achievable potential scenarios to inform the CPUC’s goal setting process.</w:t>
      </w:r>
      <w:r>
        <w:rPr>
          <w:spacing w:val="-3"/>
        </w:rPr>
        <w:t xml:space="preserve"> </w:t>
      </w:r>
      <w:r>
        <w:t>Scenario</w:t>
      </w:r>
      <w:r>
        <w:rPr>
          <w:spacing w:val="-3"/>
        </w:rPr>
        <w:t xml:space="preserve"> </w:t>
      </w:r>
      <w:r>
        <w:t>development</w:t>
      </w:r>
      <w:r>
        <w:rPr>
          <w:spacing w:val="-3"/>
        </w:rPr>
        <w:t xml:space="preserve"> </w:t>
      </w:r>
      <w:r>
        <w:t>in</w:t>
      </w:r>
      <w:r>
        <w:rPr>
          <w:spacing w:val="-3"/>
        </w:rPr>
        <w:t xml:space="preserve"> </w:t>
      </w:r>
      <w:r>
        <w:t>this</w:t>
      </w:r>
      <w:r>
        <w:rPr>
          <w:spacing w:val="-3"/>
        </w:rPr>
        <w:t xml:space="preserve"> </w:t>
      </w:r>
      <w:r>
        <w:t>study</w:t>
      </w:r>
      <w:r>
        <w:rPr>
          <w:spacing w:val="-4"/>
        </w:rPr>
        <w:t xml:space="preserve"> </w:t>
      </w:r>
      <w:r>
        <w:t>explore</w:t>
      </w:r>
      <w:r>
        <w:rPr>
          <w:spacing w:val="-3"/>
        </w:rPr>
        <w:t xml:space="preserve"> </w:t>
      </w:r>
      <w:r>
        <w:t>variables</w:t>
      </w:r>
      <w:r>
        <w:rPr>
          <w:spacing w:val="-3"/>
        </w:rPr>
        <w:t xml:space="preserve"> </w:t>
      </w:r>
      <w:r>
        <w:t>beyond</w:t>
      </w:r>
      <w:r>
        <w:rPr>
          <w:spacing w:val="-3"/>
        </w:rPr>
        <w:t xml:space="preserve"> </w:t>
      </w:r>
      <w:r>
        <w:t>the</w:t>
      </w:r>
      <w:r>
        <w:rPr>
          <w:spacing w:val="-3"/>
        </w:rPr>
        <w:t xml:space="preserve"> </w:t>
      </w:r>
      <w:r>
        <w:t>2021</w:t>
      </w:r>
      <w:r>
        <w:rPr>
          <w:spacing w:val="-3"/>
        </w:rPr>
        <w:t xml:space="preserve"> </w:t>
      </w:r>
      <w:r>
        <w:t>Study</w:t>
      </w:r>
      <w:r>
        <w:rPr>
          <w:spacing w:val="-3"/>
        </w:rPr>
        <w:t xml:space="preserve"> </w:t>
      </w:r>
      <w:r>
        <w:t xml:space="preserve">variables. One reference scenario (Scenario 1: No IRA) stems </w:t>
      </w:r>
      <w:r>
        <w:t>directly from the calibration process and is similar to the adopted scenario from the 2021 Study. Alternate scenarios are informed by stakeholder and policy input.</w:t>
      </w:r>
    </w:p>
    <w:p w:rsidR="00C31389" w:rsidRDefault="00C31389" w14:paraId="5D351ECE" w14:textId="77777777">
      <w:pPr>
        <w:pStyle w:val="BodyText"/>
        <w:spacing w:before="10"/>
        <w:rPr>
          <w:sz w:val="20"/>
        </w:rPr>
      </w:pPr>
    </w:p>
    <w:p w:rsidR="00C31389" w:rsidRDefault="00561FBD" w14:paraId="59EB99CE" w14:textId="77777777">
      <w:pPr>
        <w:pStyle w:val="BodyText"/>
        <w:ind w:left="480" w:right="485"/>
      </w:pPr>
      <w:r>
        <w:t>Guidehouse</w:t>
      </w:r>
      <w:r>
        <w:rPr>
          <w:spacing w:val="-3"/>
        </w:rPr>
        <w:t xml:space="preserve"> </w:t>
      </w:r>
      <w:r>
        <w:t>will</w:t>
      </w:r>
      <w:r>
        <w:rPr>
          <w:spacing w:val="-3"/>
        </w:rPr>
        <w:t xml:space="preserve"> </w:t>
      </w:r>
      <w:r>
        <w:t>conduct</w:t>
      </w:r>
      <w:r>
        <w:rPr>
          <w:spacing w:val="-4"/>
        </w:rPr>
        <w:t xml:space="preserve"> </w:t>
      </w:r>
      <w:r>
        <w:t>additional</w:t>
      </w:r>
      <w:r>
        <w:rPr>
          <w:spacing w:val="-4"/>
        </w:rPr>
        <w:t xml:space="preserve"> </w:t>
      </w:r>
      <w:r>
        <w:t>scenario</w:t>
      </w:r>
      <w:r>
        <w:rPr>
          <w:spacing w:val="-3"/>
        </w:rPr>
        <w:t xml:space="preserve"> </w:t>
      </w:r>
      <w:r>
        <w:t>analysis</w:t>
      </w:r>
      <w:r>
        <w:rPr>
          <w:spacing w:val="-3"/>
        </w:rPr>
        <w:t xml:space="preserve"> </w:t>
      </w:r>
      <w:r>
        <w:t>as</w:t>
      </w:r>
      <w:r>
        <w:rPr>
          <w:spacing w:val="-3"/>
        </w:rPr>
        <w:t xml:space="preserve"> </w:t>
      </w:r>
      <w:r>
        <w:t>part</w:t>
      </w:r>
      <w:r>
        <w:rPr>
          <w:spacing w:val="-4"/>
        </w:rPr>
        <w:t xml:space="preserve"> </w:t>
      </w:r>
      <w:r>
        <w:t>of</w:t>
      </w:r>
      <w:r>
        <w:rPr>
          <w:spacing w:val="-3"/>
        </w:rPr>
        <w:t xml:space="preserve"> </w:t>
      </w:r>
      <w:r>
        <w:t>the</w:t>
      </w:r>
      <w:r>
        <w:rPr>
          <w:spacing w:val="-3"/>
        </w:rPr>
        <w:t xml:space="preserve"> </w:t>
      </w:r>
      <w:r>
        <w:t>additional</w:t>
      </w:r>
      <w:r>
        <w:rPr>
          <w:spacing w:val="-3"/>
        </w:rPr>
        <w:t xml:space="preserve"> </w:t>
      </w:r>
      <w:r>
        <w:t>achievable</w:t>
      </w:r>
      <w:r>
        <w:rPr>
          <w:spacing w:val="-3"/>
        </w:rPr>
        <w:t xml:space="preserve"> </w:t>
      </w:r>
      <w:r>
        <w:t>e</w:t>
      </w:r>
      <w:r>
        <w:t>nergy efficiency</w:t>
      </w:r>
      <w:r>
        <w:rPr>
          <w:spacing w:val="-3"/>
        </w:rPr>
        <w:t xml:space="preserve"> </w:t>
      </w:r>
      <w:r>
        <w:t>(AAEE)/additional</w:t>
      </w:r>
      <w:r>
        <w:rPr>
          <w:spacing w:val="-3"/>
        </w:rPr>
        <w:t xml:space="preserve"> </w:t>
      </w:r>
      <w:r>
        <w:t>achievable</w:t>
      </w:r>
      <w:r>
        <w:rPr>
          <w:spacing w:val="-3"/>
        </w:rPr>
        <w:t xml:space="preserve"> </w:t>
      </w:r>
      <w:r>
        <w:t>fuel</w:t>
      </w:r>
      <w:r>
        <w:rPr>
          <w:spacing w:val="-3"/>
        </w:rPr>
        <w:t xml:space="preserve"> </w:t>
      </w:r>
      <w:r>
        <w:t>substitution</w:t>
      </w:r>
      <w:r>
        <w:rPr>
          <w:spacing w:val="-3"/>
        </w:rPr>
        <w:t xml:space="preserve"> </w:t>
      </w:r>
      <w:r>
        <w:t>(AAFS)</w:t>
      </w:r>
      <w:r>
        <w:rPr>
          <w:spacing w:val="-3"/>
        </w:rPr>
        <w:t xml:space="preserve"> </w:t>
      </w:r>
      <w:r>
        <w:t>analysis</w:t>
      </w:r>
      <w:r>
        <w:rPr>
          <w:spacing w:val="-3"/>
        </w:rPr>
        <w:t xml:space="preserve"> </w:t>
      </w:r>
      <w:r>
        <w:t>after</w:t>
      </w:r>
      <w:r>
        <w:rPr>
          <w:spacing w:val="-3"/>
        </w:rPr>
        <w:t xml:space="preserve"> </w:t>
      </w:r>
      <w:r>
        <w:t>the</w:t>
      </w:r>
      <w:r>
        <w:rPr>
          <w:spacing w:val="-3"/>
        </w:rPr>
        <w:t xml:space="preserve"> </w:t>
      </w:r>
      <w:r>
        <w:t>2023</w:t>
      </w:r>
      <w:r>
        <w:rPr>
          <w:spacing w:val="-3"/>
        </w:rPr>
        <w:t xml:space="preserve"> </w:t>
      </w:r>
      <w:r>
        <w:t>Study</w:t>
      </w:r>
      <w:r>
        <w:rPr>
          <w:spacing w:val="-3"/>
        </w:rPr>
        <w:t xml:space="preserve"> </w:t>
      </w:r>
      <w:r>
        <w:t>is finalized. AA scenarios feed into the CEC’s IEPR and are built around the adopted IOU goals and are informed by potential and goals scenarios. AA scenar</w:t>
      </w:r>
      <w:r>
        <w:t>ios consider additional variables, policy context, and, most importantly, do not impact IOU goals.</w:t>
      </w:r>
    </w:p>
    <w:p w:rsidR="00C31389" w:rsidRDefault="00C31389" w14:paraId="3E784CED" w14:textId="77777777">
      <w:pPr>
        <w:pStyle w:val="BodyText"/>
        <w:spacing w:before="10"/>
        <w:rPr>
          <w:sz w:val="20"/>
        </w:rPr>
      </w:pPr>
    </w:p>
    <w:p w:rsidR="00C31389" w:rsidRDefault="00561FBD" w14:paraId="282BF8D1" w14:textId="77777777">
      <w:pPr>
        <w:pStyle w:val="BodyText"/>
        <w:ind w:left="480" w:right="533"/>
      </w:pPr>
      <w:r>
        <w:t>This</w:t>
      </w:r>
      <w:r>
        <w:rPr>
          <w:spacing w:val="-4"/>
        </w:rPr>
        <w:t xml:space="preserve"> </w:t>
      </w:r>
      <w:r>
        <w:t>study</w:t>
      </w:r>
      <w:r>
        <w:rPr>
          <w:spacing w:val="-4"/>
        </w:rPr>
        <w:t xml:space="preserve"> </w:t>
      </w:r>
      <w:r>
        <w:t>considers</w:t>
      </w:r>
      <w:r>
        <w:rPr>
          <w:spacing w:val="-4"/>
        </w:rPr>
        <w:t xml:space="preserve"> </w:t>
      </w:r>
      <w:r>
        <w:t>scenarios</w:t>
      </w:r>
      <w:r>
        <w:rPr>
          <w:spacing w:val="-4"/>
        </w:rPr>
        <w:t xml:space="preserve"> </w:t>
      </w:r>
      <w:r>
        <w:t>primarily</w:t>
      </w:r>
      <w:r>
        <w:rPr>
          <w:spacing w:val="-4"/>
        </w:rPr>
        <w:t xml:space="preserve"> </w:t>
      </w:r>
      <w:r>
        <w:t>built</w:t>
      </w:r>
      <w:r>
        <w:rPr>
          <w:spacing w:val="-4"/>
        </w:rPr>
        <w:t xml:space="preserve"> </w:t>
      </w:r>
      <w:r>
        <w:t>around</w:t>
      </w:r>
      <w:r>
        <w:rPr>
          <w:spacing w:val="-4"/>
        </w:rPr>
        <w:t xml:space="preserve"> </w:t>
      </w:r>
      <w:r>
        <w:t>policies</w:t>
      </w:r>
      <w:r>
        <w:rPr>
          <w:spacing w:val="-4"/>
        </w:rPr>
        <w:t xml:space="preserve"> </w:t>
      </w:r>
      <w:r>
        <w:t>and</w:t>
      </w:r>
      <w:r>
        <w:rPr>
          <w:spacing w:val="-4"/>
        </w:rPr>
        <w:t xml:space="preserve"> </w:t>
      </w:r>
      <w:r>
        <w:t>program</w:t>
      </w:r>
      <w:r>
        <w:rPr>
          <w:spacing w:val="-5"/>
        </w:rPr>
        <w:t xml:space="preserve"> </w:t>
      </w:r>
      <w:r>
        <w:t>decisions</w:t>
      </w:r>
      <w:r>
        <w:rPr>
          <w:spacing w:val="-4"/>
        </w:rPr>
        <w:t xml:space="preserve"> </w:t>
      </w:r>
      <w:r>
        <w:t>under</w:t>
      </w:r>
      <w:r>
        <w:rPr>
          <w:spacing w:val="-4"/>
        </w:rPr>
        <w:t xml:space="preserve"> </w:t>
      </w:r>
      <w:r>
        <w:t xml:space="preserve">the control of the CPUC and IOUs collectively; these are referred to as internally influenced variables. External variables are those the CPUC and IOUs collectively have no control over. </w:t>
      </w:r>
      <w:hyperlink w:history="1" w:anchor="_bookmark90">
        <w:r>
          <w:t>Table 2-7</w:t>
        </w:r>
      </w:hyperlink>
      <w:r>
        <w:t xml:space="preserve"> provides examples of internally and externally influenced variables.</w:t>
      </w:r>
    </w:p>
    <w:p w:rsidR="00C31389" w:rsidRDefault="00C31389" w14:paraId="39F51FCD" w14:textId="77777777">
      <w:pPr>
        <w:sectPr w:rsidR="00C31389">
          <w:pgSz w:w="12240" w:h="15840"/>
          <w:pgMar w:top="1660" w:right="960" w:bottom="1120" w:left="960" w:header="397" w:footer="936" w:gutter="0"/>
          <w:cols w:space="720"/>
        </w:sectPr>
      </w:pPr>
    </w:p>
    <w:p w:rsidR="00C31389" w:rsidRDefault="00C31389" w14:paraId="0BD1C5F4" w14:textId="77777777">
      <w:pPr>
        <w:pStyle w:val="BodyText"/>
        <w:spacing w:before="11"/>
        <w:rPr>
          <w:sz w:val="13"/>
        </w:rPr>
      </w:pPr>
    </w:p>
    <w:p w:rsidR="00C31389" w:rsidRDefault="00561FBD" w14:paraId="09A3EA40" w14:textId="77777777">
      <w:pPr>
        <w:pStyle w:val="Heading7"/>
        <w:spacing w:before="92"/>
        <w:ind w:left="566" w:right="566"/>
        <w:jc w:val="center"/>
      </w:pPr>
      <w:bookmarkStart w:name="_bookmark90" w:id="121"/>
      <w:bookmarkEnd w:id="121"/>
      <w:r>
        <w:t>Table</w:t>
      </w:r>
      <w:r>
        <w:rPr>
          <w:spacing w:val="-8"/>
        </w:rPr>
        <w:t xml:space="preserve"> </w:t>
      </w:r>
      <w:r>
        <w:t>2-8.</w:t>
      </w:r>
      <w:r>
        <w:rPr>
          <w:spacing w:val="-7"/>
        </w:rPr>
        <w:t xml:space="preserve"> </w:t>
      </w:r>
      <w:r>
        <w:t>Variables</w:t>
      </w:r>
      <w:r>
        <w:rPr>
          <w:spacing w:val="-8"/>
        </w:rPr>
        <w:t xml:space="preserve"> </w:t>
      </w:r>
      <w:r>
        <w:t>Affecting</w:t>
      </w:r>
      <w:r>
        <w:rPr>
          <w:spacing w:val="-7"/>
        </w:rPr>
        <w:t xml:space="preserve"> </w:t>
      </w:r>
      <w:r>
        <w:t>EE</w:t>
      </w:r>
      <w:r>
        <w:rPr>
          <w:spacing w:val="-7"/>
        </w:rPr>
        <w:t xml:space="preserve"> </w:t>
      </w:r>
      <w:r>
        <w:rPr>
          <w:spacing w:val="-2"/>
        </w:rPr>
        <w:t>Potential</w:t>
      </w:r>
    </w:p>
    <w:p w:rsidR="00C31389" w:rsidRDefault="00C31389" w14:paraId="705E4D19" w14:textId="77777777">
      <w:pPr>
        <w:pStyle w:val="BodyText"/>
        <w:spacing w:before="7" w:after="1"/>
        <w:rPr>
          <w:b/>
          <w:sz w:val="9"/>
        </w:rPr>
      </w:pPr>
    </w:p>
    <w:tbl>
      <w:tblPr>
        <w:tblW w:w="0" w:type="auto"/>
        <w:tblInd w:w="478" w:type="dxa"/>
        <w:tblLayout w:type="fixed"/>
        <w:tblCellMar>
          <w:left w:w="0" w:type="dxa"/>
          <w:right w:w="0" w:type="dxa"/>
        </w:tblCellMar>
        <w:tblLook w:val="01E0" w:firstRow="1" w:lastRow="1" w:firstColumn="1" w:lastColumn="1" w:noHBand="0" w:noVBand="0"/>
      </w:tblPr>
      <w:tblGrid>
        <w:gridCol w:w="4614"/>
        <w:gridCol w:w="4755"/>
      </w:tblGrid>
      <w:tr w:rsidR="00C31389" w14:paraId="39C47C31" w14:textId="77777777">
        <w:trPr>
          <w:trHeight w:val="319"/>
        </w:trPr>
        <w:tc>
          <w:tcPr>
            <w:tcW w:w="4614" w:type="dxa"/>
            <w:shd w:val="clear" w:color="auto" w:fill="92D400"/>
          </w:tcPr>
          <w:p w:rsidR="00C31389" w:rsidRDefault="00561FBD" w14:paraId="6CC0AC98" w14:textId="77777777">
            <w:pPr>
              <w:pStyle w:val="TableParagraph"/>
              <w:ind w:left="124"/>
              <w:rPr>
                <w:b/>
                <w:sz w:val="20"/>
              </w:rPr>
            </w:pPr>
            <w:r>
              <w:rPr>
                <w:b/>
                <w:sz w:val="20"/>
              </w:rPr>
              <w:t>Internally</w:t>
            </w:r>
            <w:r>
              <w:rPr>
                <w:b/>
                <w:spacing w:val="-6"/>
                <w:sz w:val="20"/>
              </w:rPr>
              <w:t xml:space="preserve"> </w:t>
            </w:r>
            <w:r>
              <w:rPr>
                <w:b/>
                <w:spacing w:val="-2"/>
                <w:sz w:val="20"/>
              </w:rPr>
              <w:t>Influenced</w:t>
            </w:r>
          </w:p>
        </w:tc>
        <w:tc>
          <w:tcPr>
            <w:tcW w:w="4755" w:type="dxa"/>
            <w:shd w:val="clear" w:color="auto" w:fill="92D400"/>
          </w:tcPr>
          <w:p w:rsidR="00C31389" w:rsidRDefault="00561FBD" w14:paraId="36AA2E71" w14:textId="77777777">
            <w:pPr>
              <w:pStyle w:val="TableParagraph"/>
              <w:ind w:left="190"/>
              <w:rPr>
                <w:b/>
                <w:sz w:val="20"/>
              </w:rPr>
            </w:pPr>
            <w:r>
              <w:rPr>
                <w:b/>
                <w:sz w:val="20"/>
              </w:rPr>
              <w:t>Externally</w:t>
            </w:r>
            <w:r>
              <w:rPr>
                <w:b/>
                <w:spacing w:val="-6"/>
                <w:sz w:val="20"/>
              </w:rPr>
              <w:t xml:space="preserve"> </w:t>
            </w:r>
            <w:r>
              <w:rPr>
                <w:b/>
                <w:spacing w:val="-2"/>
                <w:sz w:val="20"/>
              </w:rPr>
              <w:t>Influenced</w:t>
            </w:r>
          </w:p>
        </w:tc>
      </w:tr>
      <w:tr w:rsidR="00C31389" w14:paraId="1D598B9B" w14:textId="77777777">
        <w:trPr>
          <w:trHeight w:val="1981"/>
        </w:trPr>
        <w:tc>
          <w:tcPr>
            <w:tcW w:w="4614" w:type="dxa"/>
            <w:tcBorders>
              <w:bottom w:val="single" w:color="000000" w:sz="8" w:space="0"/>
            </w:tcBorders>
          </w:tcPr>
          <w:p w:rsidR="00C31389" w:rsidRDefault="00561FBD" w14:paraId="41DD4728" w14:textId="77777777">
            <w:pPr>
              <w:pStyle w:val="TableParagraph"/>
              <w:numPr>
                <w:ilvl w:val="0"/>
                <w:numId w:val="59"/>
              </w:numPr>
              <w:tabs>
                <w:tab w:val="left" w:pos="544"/>
              </w:tabs>
              <w:spacing w:before="41"/>
              <w:ind w:left="544"/>
              <w:rPr>
                <w:sz w:val="20"/>
              </w:rPr>
            </w:pPr>
            <w:r>
              <w:rPr>
                <w:sz w:val="20"/>
              </w:rPr>
              <w:t>Cost-effectiveness</w:t>
            </w:r>
            <w:r>
              <w:rPr>
                <w:spacing w:val="-13"/>
                <w:sz w:val="20"/>
              </w:rPr>
              <w:t xml:space="preserve"> </w:t>
            </w:r>
            <w:r>
              <w:rPr>
                <w:spacing w:val="-4"/>
                <w:sz w:val="20"/>
              </w:rPr>
              <w:t>test</w:t>
            </w:r>
          </w:p>
          <w:p w:rsidR="00C31389" w:rsidRDefault="00561FBD" w14:paraId="60FF9DD3" w14:textId="77777777">
            <w:pPr>
              <w:pStyle w:val="TableParagraph"/>
              <w:numPr>
                <w:ilvl w:val="0"/>
                <w:numId w:val="59"/>
              </w:numPr>
              <w:tabs>
                <w:tab w:val="left" w:pos="543"/>
              </w:tabs>
              <w:spacing w:before="38" w:line="247" w:lineRule="auto"/>
              <w:ind w:right="666"/>
              <w:rPr>
                <w:sz w:val="20"/>
              </w:rPr>
            </w:pPr>
            <w:r>
              <w:rPr>
                <w:sz w:val="20"/>
              </w:rPr>
              <w:t>Cost-effectiveness</w:t>
            </w:r>
            <w:r>
              <w:rPr>
                <w:spacing w:val="-14"/>
                <w:sz w:val="20"/>
              </w:rPr>
              <w:t xml:space="preserve"> </w:t>
            </w:r>
            <w:r>
              <w:rPr>
                <w:sz w:val="20"/>
              </w:rPr>
              <w:t>measure</w:t>
            </w:r>
            <w:r>
              <w:rPr>
                <w:spacing w:val="-14"/>
                <w:sz w:val="20"/>
              </w:rPr>
              <w:t xml:space="preserve"> </w:t>
            </w:r>
            <w:r>
              <w:rPr>
                <w:sz w:val="20"/>
              </w:rPr>
              <w:t xml:space="preserve">screening </w:t>
            </w:r>
            <w:r>
              <w:rPr>
                <w:spacing w:val="-2"/>
                <w:sz w:val="20"/>
              </w:rPr>
              <w:t>threshold</w:t>
            </w:r>
          </w:p>
          <w:p w:rsidR="00C31389" w:rsidRDefault="00561FBD" w14:paraId="49568EC1" w14:textId="77777777">
            <w:pPr>
              <w:pStyle w:val="TableParagraph"/>
              <w:numPr>
                <w:ilvl w:val="0"/>
                <w:numId w:val="59"/>
              </w:numPr>
              <w:tabs>
                <w:tab w:val="left" w:pos="543"/>
              </w:tabs>
              <w:spacing w:before="34"/>
              <w:rPr>
                <w:sz w:val="20"/>
              </w:rPr>
            </w:pPr>
            <w:r>
              <w:rPr>
                <w:sz w:val="20"/>
              </w:rPr>
              <w:t>Incentive</w:t>
            </w:r>
            <w:r>
              <w:rPr>
                <w:spacing w:val="-7"/>
                <w:sz w:val="20"/>
              </w:rPr>
              <w:t xml:space="preserve"> </w:t>
            </w:r>
            <w:r>
              <w:rPr>
                <w:spacing w:val="-2"/>
                <w:sz w:val="20"/>
              </w:rPr>
              <w:t>levels</w:t>
            </w:r>
          </w:p>
          <w:p w:rsidR="00C31389" w:rsidRDefault="00561FBD" w14:paraId="18AF598F" w14:textId="77777777">
            <w:pPr>
              <w:pStyle w:val="TableParagraph"/>
              <w:numPr>
                <w:ilvl w:val="0"/>
                <w:numId w:val="59"/>
              </w:numPr>
              <w:tabs>
                <w:tab w:val="left" w:pos="543"/>
              </w:tabs>
              <w:spacing w:before="38"/>
              <w:rPr>
                <w:sz w:val="20"/>
              </w:rPr>
            </w:pPr>
            <w:r>
              <w:rPr>
                <w:sz w:val="20"/>
              </w:rPr>
              <w:t>Marketing</w:t>
            </w:r>
            <w:r>
              <w:rPr>
                <w:spacing w:val="-4"/>
                <w:sz w:val="20"/>
              </w:rPr>
              <w:t xml:space="preserve"> </w:t>
            </w:r>
            <w:r>
              <w:rPr>
                <w:sz w:val="20"/>
              </w:rPr>
              <w:t>&amp;</w:t>
            </w:r>
            <w:r>
              <w:rPr>
                <w:spacing w:val="-3"/>
                <w:sz w:val="20"/>
              </w:rPr>
              <w:t xml:space="preserve"> </w:t>
            </w:r>
            <w:r>
              <w:rPr>
                <w:sz w:val="20"/>
              </w:rPr>
              <w:t>outreach</w:t>
            </w:r>
            <w:r>
              <w:rPr>
                <w:spacing w:val="-4"/>
                <w:sz w:val="20"/>
              </w:rPr>
              <w:t xml:space="preserve"> </w:t>
            </w:r>
            <w:r>
              <w:rPr>
                <w:sz w:val="20"/>
              </w:rPr>
              <w:t>level</w:t>
            </w:r>
            <w:r>
              <w:rPr>
                <w:spacing w:val="-3"/>
                <w:sz w:val="20"/>
              </w:rPr>
              <w:t xml:space="preserve"> </w:t>
            </w:r>
            <w:r>
              <w:rPr>
                <w:sz w:val="20"/>
              </w:rPr>
              <w:t>of</w:t>
            </w:r>
            <w:r>
              <w:rPr>
                <w:spacing w:val="-3"/>
                <w:sz w:val="20"/>
              </w:rPr>
              <w:t xml:space="preserve"> </w:t>
            </w:r>
            <w:r>
              <w:rPr>
                <w:sz w:val="20"/>
              </w:rPr>
              <w:t>effort</w:t>
            </w:r>
            <w:r>
              <w:rPr>
                <w:spacing w:val="-4"/>
                <w:sz w:val="20"/>
              </w:rPr>
              <w:t xml:space="preserve"> </w:t>
            </w:r>
            <w:r>
              <w:rPr>
                <w:spacing w:val="-2"/>
                <w:sz w:val="20"/>
              </w:rPr>
              <w:t>(ME&amp;O)</w:t>
            </w:r>
          </w:p>
          <w:p w:rsidR="00C31389" w:rsidRDefault="00561FBD" w14:paraId="1A0B7574" w14:textId="77777777">
            <w:pPr>
              <w:pStyle w:val="TableParagraph"/>
              <w:numPr>
                <w:ilvl w:val="0"/>
                <w:numId w:val="59"/>
              </w:numPr>
              <w:tabs>
                <w:tab w:val="left" w:pos="543"/>
              </w:tabs>
              <w:rPr>
                <w:sz w:val="20"/>
              </w:rPr>
            </w:pPr>
            <w:r>
              <w:rPr>
                <w:sz w:val="20"/>
              </w:rPr>
              <w:t>BROs</w:t>
            </w:r>
            <w:r>
              <w:rPr>
                <w:spacing w:val="-5"/>
                <w:sz w:val="20"/>
              </w:rPr>
              <w:t xml:space="preserve"> </w:t>
            </w:r>
            <w:r>
              <w:rPr>
                <w:sz w:val="20"/>
              </w:rPr>
              <w:t>customer</w:t>
            </w:r>
            <w:r>
              <w:rPr>
                <w:spacing w:val="-4"/>
                <w:sz w:val="20"/>
              </w:rPr>
              <w:t xml:space="preserve"> </w:t>
            </w:r>
            <w:r>
              <w:rPr>
                <w:sz w:val="20"/>
              </w:rPr>
              <w:t>enrollment</w:t>
            </w:r>
            <w:r>
              <w:rPr>
                <w:spacing w:val="-5"/>
                <w:sz w:val="20"/>
              </w:rPr>
              <w:t xml:space="preserve"> </w:t>
            </w:r>
            <w:r>
              <w:rPr>
                <w:sz w:val="20"/>
              </w:rPr>
              <w:t>over</w:t>
            </w:r>
            <w:r>
              <w:rPr>
                <w:spacing w:val="-4"/>
                <w:sz w:val="20"/>
              </w:rPr>
              <w:t xml:space="preserve"> time</w:t>
            </w:r>
          </w:p>
          <w:p w:rsidR="00C31389" w:rsidRDefault="00561FBD" w14:paraId="44A5A6F3" w14:textId="77777777">
            <w:pPr>
              <w:pStyle w:val="TableParagraph"/>
              <w:numPr>
                <w:ilvl w:val="0"/>
                <w:numId w:val="59"/>
              </w:numPr>
              <w:tabs>
                <w:tab w:val="left" w:pos="543"/>
              </w:tabs>
              <w:spacing w:before="38"/>
              <w:rPr>
                <w:sz w:val="20"/>
              </w:rPr>
            </w:pPr>
            <w:r>
              <w:rPr>
                <w:sz w:val="20"/>
              </w:rPr>
              <w:t>IOU</w:t>
            </w:r>
            <w:r>
              <w:rPr>
                <w:spacing w:val="-4"/>
                <w:sz w:val="20"/>
              </w:rPr>
              <w:t xml:space="preserve"> </w:t>
            </w:r>
            <w:r>
              <w:rPr>
                <w:sz w:val="20"/>
              </w:rPr>
              <w:t>financing</w:t>
            </w:r>
            <w:r>
              <w:rPr>
                <w:spacing w:val="-4"/>
                <w:sz w:val="20"/>
              </w:rPr>
              <w:t xml:space="preserve"> </w:t>
            </w:r>
            <w:r>
              <w:rPr>
                <w:spacing w:val="-2"/>
                <w:sz w:val="20"/>
              </w:rPr>
              <w:t>programs</w:t>
            </w:r>
          </w:p>
        </w:tc>
        <w:tc>
          <w:tcPr>
            <w:tcW w:w="4755" w:type="dxa"/>
            <w:tcBorders>
              <w:bottom w:val="single" w:color="000000" w:sz="8" w:space="0"/>
            </w:tcBorders>
          </w:tcPr>
          <w:p w:rsidR="00C31389" w:rsidRDefault="00561FBD" w14:paraId="2202A0E1" w14:textId="77777777">
            <w:pPr>
              <w:pStyle w:val="TableParagraph"/>
              <w:numPr>
                <w:ilvl w:val="0"/>
                <w:numId w:val="58"/>
              </w:numPr>
              <w:tabs>
                <w:tab w:val="left" w:pos="609"/>
              </w:tabs>
              <w:spacing w:before="41"/>
              <w:rPr>
                <w:sz w:val="20"/>
              </w:rPr>
            </w:pPr>
            <w:r>
              <w:rPr>
                <w:sz w:val="20"/>
              </w:rPr>
              <w:t>Federal</w:t>
            </w:r>
            <w:r>
              <w:rPr>
                <w:spacing w:val="-3"/>
                <w:sz w:val="20"/>
              </w:rPr>
              <w:t xml:space="preserve"> </w:t>
            </w:r>
            <w:r>
              <w:rPr>
                <w:sz w:val="20"/>
              </w:rPr>
              <w:t>tax</w:t>
            </w:r>
            <w:r>
              <w:rPr>
                <w:spacing w:val="-2"/>
                <w:sz w:val="20"/>
              </w:rPr>
              <w:t xml:space="preserve"> credits</w:t>
            </w:r>
          </w:p>
          <w:p w:rsidR="00C31389" w:rsidRDefault="00561FBD" w14:paraId="59E2A118" w14:textId="77777777">
            <w:pPr>
              <w:pStyle w:val="TableParagraph"/>
              <w:numPr>
                <w:ilvl w:val="0"/>
                <w:numId w:val="58"/>
              </w:numPr>
              <w:tabs>
                <w:tab w:val="left" w:pos="609"/>
              </w:tabs>
              <w:spacing w:before="38"/>
              <w:rPr>
                <w:sz w:val="20"/>
              </w:rPr>
            </w:pPr>
            <w:r>
              <w:rPr>
                <w:sz w:val="20"/>
              </w:rPr>
              <w:t>Building</w:t>
            </w:r>
            <w:r>
              <w:rPr>
                <w:spacing w:val="-5"/>
                <w:sz w:val="20"/>
              </w:rPr>
              <w:t xml:space="preserve"> </w:t>
            </w:r>
            <w:r>
              <w:rPr>
                <w:sz w:val="20"/>
              </w:rPr>
              <w:t>stock</w:t>
            </w:r>
            <w:r>
              <w:rPr>
                <w:spacing w:val="-4"/>
                <w:sz w:val="20"/>
              </w:rPr>
              <w:t xml:space="preserve"> </w:t>
            </w:r>
            <w:r>
              <w:rPr>
                <w:spacing w:val="-2"/>
                <w:sz w:val="20"/>
              </w:rPr>
              <w:t>forecast</w:t>
            </w:r>
          </w:p>
          <w:p w:rsidR="00C31389" w:rsidRDefault="00561FBD" w14:paraId="664AE8E3" w14:textId="77777777">
            <w:pPr>
              <w:pStyle w:val="TableParagraph"/>
              <w:numPr>
                <w:ilvl w:val="0"/>
                <w:numId w:val="58"/>
              </w:numPr>
              <w:tabs>
                <w:tab w:val="left" w:pos="609"/>
              </w:tabs>
              <w:spacing w:before="38"/>
              <w:rPr>
                <w:sz w:val="20"/>
              </w:rPr>
            </w:pPr>
            <w:r>
              <w:rPr>
                <w:sz w:val="20"/>
              </w:rPr>
              <w:t>Retail</w:t>
            </w:r>
            <w:r>
              <w:rPr>
                <w:spacing w:val="-4"/>
                <w:sz w:val="20"/>
              </w:rPr>
              <w:t xml:space="preserve"> </w:t>
            </w:r>
            <w:r>
              <w:rPr>
                <w:sz w:val="20"/>
              </w:rPr>
              <w:t>energy</w:t>
            </w:r>
            <w:r>
              <w:rPr>
                <w:spacing w:val="-4"/>
                <w:sz w:val="20"/>
              </w:rPr>
              <w:t xml:space="preserve"> </w:t>
            </w:r>
            <w:r>
              <w:rPr>
                <w:sz w:val="20"/>
              </w:rPr>
              <w:t>price</w:t>
            </w:r>
            <w:r>
              <w:rPr>
                <w:spacing w:val="-3"/>
                <w:sz w:val="20"/>
              </w:rPr>
              <w:t xml:space="preserve"> </w:t>
            </w:r>
            <w:r>
              <w:rPr>
                <w:spacing w:val="-2"/>
                <w:sz w:val="20"/>
              </w:rPr>
              <w:t>forecast</w:t>
            </w:r>
          </w:p>
          <w:p w:rsidR="00C31389" w:rsidRDefault="00561FBD" w14:paraId="62D53E21" w14:textId="77777777">
            <w:pPr>
              <w:pStyle w:val="TableParagraph"/>
              <w:numPr>
                <w:ilvl w:val="0"/>
                <w:numId w:val="58"/>
              </w:numPr>
              <w:tabs>
                <w:tab w:val="left" w:pos="609"/>
              </w:tabs>
              <w:spacing w:before="38" w:line="247" w:lineRule="auto"/>
              <w:ind w:right="240"/>
              <w:rPr>
                <w:sz w:val="20"/>
              </w:rPr>
            </w:pPr>
            <w:r>
              <w:rPr>
                <w:sz w:val="20"/>
              </w:rPr>
              <w:t>Measure-level</w:t>
            </w:r>
            <w:r>
              <w:rPr>
                <w:spacing w:val="-10"/>
                <w:sz w:val="20"/>
              </w:rPr>
              <w:t xml:space="preserve"> </w:t>
            </w:r>
            <w:r>
              <w:rPr>
                <w:sz w:val="20"/>
              </w:rPr>
              <w:t>input</w:t>
            </w:r>
            <w:r>
              <w:rPr>
                <w:spacing w:val="-10"/>
                <w:sz w:val="20"/>
              </w:rPr>
              <w:t xml:space="preserve"> </w:t>
            </w:r>
            <w:r>
              <w:rPr>
                <w:sz w:val="20"/>
              </w:rPr>
              <w:t>uncertainties</w:t>
            </w:r>
            <w:r>
              <w:rPr>
                <w:spacing w:val="-9"/>
                <w:sz w:val="20"/>
              </w:rPr>
              <w:t xml:space="preserve"> </w:t>
            </w:r>
            <w:r>
              <w:rPr>
                <w:sz w:val="20"/>
              </w:rPr>
              <w:t>(UES,</w:t>
            </w:r>
            <w:r>
              <w:rPr>
                <w:spacing w:val="-10"/>
                <w:sz w:val="20"/>
              </w:rPr>
              <w:t xml:space="preserve"> </w:t>
            </w:r>
            <w:r>
              <w:rPr>
                <w:sz w:val="20"/>
              </w:rPr>
              <w:t xml:space="preserve">unit </w:t>
            </w:r>
            <w:r>
              <w:rPr>
                <w:sz w:val="20"/>
              </w:rPr>
              <w:t>costs, densities)</w:t>
            </w:r>
          </w:p>
          <w:p w:rsidR="00C31389" w:rsidRDefault="00561FBD" w14:paraId="29BD66E2" w14:textId="77777777">
            <w:pPr>
              <w:pStyle w:val="TableParagraph"/>
              <w:numPr>
                <w:ilvl w:val="0"/>
                <w:numId w:val="58"/>
              </w:numPr>
              <w:tabs>
                <w:tab w:val="left" w:pos="609"/>
              </w:tabs>
              <w:spacing w:before="36"/>
              <w:rPr>
                <w:sz w:val="20"/>
              </w:rPr>
            </w:pPr>
            <w:r>
              <w:rPr>
                <w:sz w:val="20"/>
              </w:rPr>
              <w:t>Non-IOU</w:t>
            </w:r>
            <w:r>
              <w:rPr>
                <w:spacing w:val="-6"/>
                <w:sz w:val="20"/>
              </w:rPr>
              <w:t xml:space="preserve"> </w:t>
            </w:r>
            <w:r>
              <w:rPr>
                <w:sz w:val="20"/>
              </w:rPr>
              <w:t>financing</w:t>
            </w:r>
            <w:r>
              <w:rPr>
                <w:spacing w:val="-5"/>
                <w:sz w:val="20"/>
              </w:rPr>
              <w:t xml:space="preserve"> </w:t>
            </w:r>
            <w:r>
              <w:rPr>
                <w:spacing w:val="-2"/>
                <w:sz w:val="20"/>
              </w:rPr>
              <w:t>programs</w:t>
            </w:r>
          </w:p>
          <w:p w:rsidR="00C31389" w:rsidRDefault="00561FBD" w14:paraId="6220BF58" w14:textId="77777777">
            <w:pPr>
              <w:pStyle w:val="TableParagraph"/>
              <w:numPr>
                <w:ilvl w:val="0"/>
                <w:numId w:val="58"/>
              </w:numPr>
              <w:tabs>
                <w:tab w:val="left" w:pos="608"/>
              </w:tabs>
              <w:spacing w:before="38"/>
              <w:ind w:left="608" w:hanging="359"/>
              <w:rPr>
                <w:sz w:val="20"/>
              </w:rPr>
            </w:pPr>
            <w:r>
              <w:rPr>
                <w:sz w:val="20"/>
              </w:rPr>
              <w:t>Enacting</w:t>
            </w:r>
            <w:r>
              <w:rPr>
                <w:spacing w:val="-5"/>
                <w:sz w:val="20"/>
              </w:rPr>
              <w:t xml:space="preserve"> </w:t>
            </w:r>
            <w:r>
              <w:rPr>
                <w:sz w:val="20"/>
              </w:rPr>
              <w:t>future</w:t>
            </w:r>
            <w:r>
              <w:rPr>
                <w:spacing w:val="-4"/>
                <w:sz w:val="20"/>
              </w:rPr>
              <w:t xml:space="preserve"> </w:t>
            </w:r>
            <w:r>
              <w:rPr>
                <w:spacing w:val="-5"/>
                <w:sz w:val="20"/>
              </w:rPr>
              <w:t>C&amp;S</w:t>
            </w:r>
          </w:p>
        </w:tc>
      </w:tr>
    </w:tbl>
    <w:p w:rsidR="00C31389" w:rsidRDefault="00561FBD" w14:paraId="0F4D7DB9" w14:textId="77777777">
      <w:pPr>
        <w:spacing w:before="70"/>
        <w:ind w:left="480"/>
        <w:rPr>
          <w:i/>
          <w:sz w:val="18"/>
        </w:rPr>
      </w:pPr>
      <w:r>
        <w:rPr>
          <w:i/>
          <w:sz w:val="18"/>
        </w:rPr>
        <w:t>Source:</w:t>
      </w:r>
      <w:r>
        <w:rPr>
          <w:i/>
          <w:spacing w:val="-4"/>
          <w:sz w:val="18"/>
        </w:rPr>
        <w:t xml:space="preserve"> </w:t>
      </w:r>
      <w:r>
        <w:rPr>
          <w:i/>
          <w:spacing w:val="-2"/>
          <w:sz w:val="18"/>
        </w:rPr>
        <w:t>Guidehouse</w:t>
      </w:r>
    </w:p>
    <w:p w:rsidR="00C31389" w:rsidRDefault="00C31389" w14:paraId="2ADCCF77" w14:textId="77777777">
      <w:pPr>
        <w:pStyle w:val="BodyText"/>
        <w:spacing w:before="9"/>
        <w:rPr>
          <w:i/>
          <w:sz w:val="20"/>
        </w:rPr>
      </w:pPr>
    </w:p>
    <w:p w:rsidR="00C31389" w:rsidRDefault="00561FBD" w14:paraId="740FD6FA" w14:textId="77777777">
      <w:pPr>
        <w:pStyle w:val="BodyText"/>
        <w:spacing w:before="1"/>
        <w:ind w:left="480" w:right="533" w:hanging="1"/>
      </w:pPr>
      <w:r>
        <w:t>Potential</w:t>
      </w:r>
      <w:r>
        <w:rPr>
          <w:spacing w:val="-3"/>
        </w:rPr>
        <w:t xml:space="preserve"> </w:t>
      </w:r>
      <w:r>
        <w:t>and</w:t>
      </w:r>
      <w:r>
        <w:rPr>
          <w:spacing w:val="-3"/>
        </w:rPr>
        <w:t xml:space="preserve"> </w:t>
      </w:r>
      <w:r>
        <w:t>goals</w:t>
      </w:r>
      <w:r>
        <w:rPr>
          <w:spacing w:val="-2"/>
        </w:rPr>
        <w:t xml:space="preserve"> </w:t>
      </w:r>
      <w:r>
        <w:t>scenarios</w:t>
      </w:r>
      <w:r>
        <w:rPr>
          <w:spacing w:val="-3"/>
        </w:rPr>
        <w:t xml:space="preserve"> </w:t>
      </w:r>
      <w:r>
        <w:t>fix</w:t>
      </w:r>
      <w:r>
        <w:rPr>
          <w:spacing w:val="-4"/>
        </w:rPr>
        <w:t xml:space="preserve"> </w:t>
      </w:r>
      <w:r>
        <w:t>the</w:t>
      </w:r>
      <w:r>
        <w:rPr>
          <w:spacing w:val="-3"/>
        </w:rPr>
        <w:t xml:space="preserve"> </w:t>
      </w:r>
      <w:r>
        <w:t>following</w:t>
      </w:r>
      <w:r>
        <w:rPr>
          <w:spacing w:val="-3"/>
        </w:rPr>
        <w:t xml:space="preserve"> </w:t>
      </w:r>
      <w:r>
        <w:t>externally</w:t>
      </w:r>
      <w:r>
        <w:rPr>
          <w:spacing w:val="-4"/>
        </w:rPr>
        <w:t xml:space="preserve"> </w:t>
      </w:r>
      <w:r>
        <w:t>influenced</w:t>
      </w:r>
      <w:r>
        <w:rPr>
          <w:spacing w:val="-3"/>
        </w:rPr>
        <w:t xml:space="preserve"> </w:t>
      </w:r>
      <w:r>
        <w:t>variables</w:t>
      </w:r>
      <w:r>
        <w:rPr>
          <w:spacing w:val="-3"/>
        </w:rPr>
        <w:t xml:space="preserve"> </w:t>
      </w:r>
      <w:r>
        <w:t>to</w:t>
      </w:r>
      <w:r>
        <w:rPr>
          <w:spacing w:val="-3"/>
        </w:rPr>
        <w:t xml:space="preserve"> </w:t>
      </w:r>
      <w:r>
        <w:t>a</w:t>
      </w:r>
      <w:r>
        <w:rPr>
          <w:spacing w:val="-3"/>
        </w:rPr>
        <w:t xml:space="preserve"> </w:t>
      </w:r>
      <w:r>
        <w:t>single</w:t>
      </w:r>
      <w:r>
        <w:rPr>
          <w:spacing w:val="-3"/>
        </w:rPr>
        <w:t xml:space="preserve"> </w:t>
      </w:r>
      <w:r>
        <w:t>setting across all scenarios:</w:t>
      </w:r>
    </w:p>
    <w:p w:rsidR="00C31389" w:rsidRDefault="00561FBD" w14:paraId="1EB7315A" w14:textId="77777777">
      <w:pPr>
        <w:pStyle w:val="ListParagraph"/>
        <w:numPr>
          <w:ilvl w:val="0"/>
          <w:numId w:val="57"/>
        </w:numPr>
        <w:tabs>
          <w:tab w:val="left" w:pos="1199"/>
        </w:tabs>
        <w:spacing w:before="120"/>
        <w:ind w:hanging="359"/>
        <w:rPr>
          <w:rFonts w:ascii="Symbol" w:hAnsi="Symbol"/>
        </w:rPr>
      </w:pPr>
      <w:r>
        <w:t>CEC</w:t>
      </w:r>
      <w:r>
        <w:rPr>
          <w:spacing w:val="-7"/>
        </w:rPr>
        <w:t xml:space="preserve"> </w:t>
      </w:r>
      <w:r>
        <w:t>mid-case</w:t>
      </w:r>
      <w:r>
        <w:rPr>
          <w:spacing w:val="-7"/>
        </w:rPr>
        <w:t xml:space="preserve"> </w:t>
      </w:r>
      <w:r>
        <w:t>forecast</w:t>
      </w:r>
      <w:r>
        <w:rPr>
          <w:spacing w:val="-7"/>
        </w:rPr>
        <w:t xml:space="preserve"> </w:t>
      </w:r>
      <w:r>
        <w:t>for</w:t>
      </w:r>
      <w:r>
        <w:rPr>
          <w:spacing w:val="-7"/>
        </w:rPr>
        <w:t xml:space="preserve"> </w:t>
      </w:r>
      <w:r>
        <w:t>retail</w:t>
      </w:r>
      <w:r>
        <w:rPr>
          <w:spacing w:val="-7"/>
        </w:rPr>
        <w:t xml:space="preserve"> </w:t>
      </w:r>
      <w:r>
        <w:t>rates,</w:t>
      </w:r>
      <w:r>
        <w:rPr>
          <w:spacing w:val="-7"/>
        </w:rPr>
        <w:t xml:space="preserve"> </w:t>
      </w:r>
      <w:r>
        <w:t>population,</w:t>
      </w:r>
      <w:r>
        <w:rPr>
          <w:spacing w:val="-7"/>
        </w:rPr>
        <w:t xml:space="preserve"> </w:t>
      </w:r>
      <w:r>
        <w:t>and</w:t>
      </w:r>
      <w:r>
        <w:rPr>
          <w:spacing w:val="-7"/>
        </w:rPr>
        <w:t xml:space="preserve"> </w:t>
      </w:r>
      <w:r>
        <w:t>building</w:t>
      </w:r>
      <w:r>
        <w:rPr>
          <w:spacing w:val="-7"/>
        </w:rPr>
        <w:t xml:space="preserve"> </w:t>
      </w:r>
      <w:r>
        <w:rPr>
          <w:spacing w:val="-2"/>
        </w:rPr>
        <w:t>stock</w:t>
      </w:r>
    </w:p>
    <w:p w:rsidR="00C31389" w:rsidRDefault="00561FBD" w14:paraId="74ED1F56" w14:textId="77777777">
      <w:pPr>
        <w:pStyle w:val="ListParagraph"/>
        <w:numPr>
          <w:ilvl w:val="0"/>
          <w:numId w:val="57"/>
        </w:numPr>
        <w:tabs>
          <w:tab w:val="left" w:pos="1199"/>
        </w:tabs>
        <w:spacing w:before="118"/>
        <w:rPr>
          <w:rFonts w:ascii="Symbol" w:hAnsi="Symbol"/>
        </w:rPr>
      </w:pPr>
      <w:r>
        <w:t>CA</w:t>
      </w:r>
      <w:r>
        <w:rPr>
          <w:spacing w:val="-6"/>
        </w:rPr>
        <w:t xml:space="preserve"> </w:t>
      </w:r>
      <w:r>
        <w:t>eTRM</w:t>
      </w:r>
      <w:r>
        <w:rPr>
          <w:spacing w:val="-7"/>
        </w:rPr>
        <w:t xml:space="preserve"> </w:t>
      </w:r>
      <w:r>
        <w:t>values</w:t>
      </w:r>
      <w:r>
        <w:rPr>
          <w:spacing w:val="-6"/>
        </w:rPr>
        <w:t xml:space="preserve"> </w:t>
      </w:r>
      <w:r>
        <w:t>used</w:t>
      </w:r>
      <w:r>
        <w:rPr>
          <w:spacing w:val="-7"/>
        </w:rPr>
        <w:t xml:space="preserve"> </w:t>
      </w:r>
      <w:r>
        <w:t>as</w:t>
      </w:r>
      <w:r>
        <w:rPr>
          <w:spacing w:val="-5"/>
        </w:rPr>
        <w:t xml:space="preserve"> </w:t>
      </w:r>
      <w:r>
        <w:t>is</w:t>
      </w:r>
      <w:r>
        <w:rPr>
          <w:spacing w:val="-6"/>
        </w:rPr>
        <w:t xml:space="preserve"> </w:t>
      </w:r>
      <w:r>
        <w:t>(measure-level</w:t>
      </w:r>
      <w:r>
        <w:rPr>
          <w:spacing w:val="-6"/>
        </w:rPr>
        <w:t xml:space="preserve"> </w:t>
      </w:r>
      <w:r>
        <w:rPr>
          <w:spacing w:val="-2"/>
        </w:rPr>
        <w:t>inputs)</w:t>
      </w:r>
    </w:p>
    <w:p w:rsidR="00C31389" w:rsidRDefault="00561FBD" w14:paraId="47D817AF" w14:textId="77777777">
      <w:pPr>
        <w:pStyle w:val="ListParagraph"/>
        <w:numPr>
          <w:ilvl w:val="0"/>
          <w:numId w:val="57"/>
        </w:numPr>
        <w:tabs>
          <w:tab w:val="left" w:pos="1199"/>
        </w:tabs>
        <w:spacing w:before="118"/>
        <w:rPr>
          <w:rFonts w:ascii="Symbol" w:hAnsi="Symbol"/>
        </w:rPr>
      </w:pPr>
      <w:r>
        <w:t>One</w:t>
      </w:r>
      <w:r>
        <w:rPr>
          <w:spacing w:val="-6"/>
        </w:rPr>
        <w:t xml:space="preserve"> </w:t>
      </w:r>
      <w:r>
        <w:t>set</w:t>
      </w:r>
      <w:r>
        <w:rPr>
          <w:spacing w:val="-6"/>
        </w:rPr>
        <w:t xml:space="preserve"> </w:t>
      </w:r>
      <w:r>
        <w:t>of</w:t>
      </w:r>
      <w:r>
        <w:rPr>
          <w:spacing w:val="-6"/>
        </w:rPr>
        <w:t xml:space="preserve"> </w:t>
      </w:r>
      <w:r>
        <w:t>assumptions</w:t>
      </w:r>
      <w:r>
        <w:rPr>
          <w:spacing w:val="-6"/>
        </w:rPr>
        <w:t xml:space="preserve"> </w:t>
      </w:r>
      <w:r>
        <w:t>about</w:t>
      </w:r>
      <w:r>
        <w:rPr>
          <w:spacing w:val="-6"/>
        </w:rPr>
        <w:t xml:space="preserve"> </w:t>
      </w:r>
      <w:r>
        <w:t>future</w:t>
      </w:r>
      <w:r>
        <w:rPr>
          <w:spacing w:val="-7"/>
        </w:rPr>
        <w:t xml:space="preserve"> </w:t>
      </w:r>
      <w:r>
        <w:rPr>
          <w:spacing w:val="-5"/>
        </w:rPr>
        <w:t>C&amp;S</w:t>
      </w:r>
    </w:p>
    <w:p w:rsidR="00C31389" w:rsidRDefault="00C31389" w14:paraId="48116EB6" w14:textId="77777777">
      <w:pPr>
        <w:pStyle w:val="BodyText"/>
        <w:spacing w:before="8"/>
        <w:rPr>
          <w:sz w:val="20"/>
        </w:rPr>
      </w:pPr>
    </w:p>
    <w:p w:rsidR="00C31389" w:rsidRDefault="00561FBD" w14:paraId="5FD129A9" w14:textId="77777777">
      <w:pPr>
        <w:pStyle w:val="BodyText"/>
        <w:ind w:left="479" w:right="485"/>
      </w:pPr>
      <w:hyperlink w:history="1" w:anchor="_bookmark91">
        <w:r>
          <w:t>Table 2-9</w:t>
        </w:r>
      </w:hyperlink>
      <w:r>
        <w:t xml:space="preserve"> lists additional details on each of the variables used for scenario setting. Guidehouse has always used only internally influenced variables for scenario levers. The 2023 Study includes the federal tax credits, an extern</w:t>
      </w:r>
      <w:r>
        <w:t>ally influenced variable, within the scenario levers to provide</w:t>
      </w:r>
      <w:r>
        <w:rPr>
          <w:spacing w:val="-3"/>
        </w:rPr>
        <w:t xml:space="preserve"> </w:t>
      </w:r>
      <w:r>
        <w:t>boundaries</w:t>
      </w:r>
      <w:r>
        <w:rPr>
          <w:spacing w:val="-3"/>
        </w:rPr>
        <w:t xml:space="preserve"> </w:t>
      </w:r>
      <w:r>
        <w:t>on</w:t>
      </w:r>
      <w:r>
        <w:rPr>
          <w:spacing w:val="-3"/>
        </w:rPr>
        <w:t xml:space="preserve"> </w:t>
      </w:r>
      <w:r>
        <w:t>probable</w:t>
      </w:r>
      <w:r>
        <w:rPr>
          <w:spacing w:val="-3"/>
        </w:rPr>
        <w:t xml:space="preserve"> </w:t>
      </w:r>
      <w:r>
        <w:t>impacts</w:t>
      </w:r>
      <w:r>
        <w:rPr>
          <w:spacing w:val="-3"/>
        </w:rPr>
        <w:t xml:space="preserve"> </w:t>
      </w:r>
      <w:r>
        <w:t>from</w:t>
      </w:r>
      <w:r>
        <w:rPr>
          <w:spacing w:val="-4"/>
        </w:rPr>
        <w:t xml:space="preserve"> </w:t>
      </w:r>
      <w:r>
        <w:t>the</w:t>
      </w:r>
      <w:r>
        <w:rPr>
          <w:spacing w:val="-3"/>
        </w:rPr>
        <w:t xml:space="preserve"> </w:t>
      </w:r>
      <w:r>
        <w:t>IRA.</w:t>
      </w:r>
      <w:r>
        <w:rPr>
          <w:spacing w:val="-2"/>
        </w:rPr>
        <w:t xml:space="preserve"> </w:t>
      </w:r>
      <w:r>
        <w:t>Furthermore,</w:t>
      </w:r>
      <w:r>
        <w:rPr>
          <w:spacing w:val="-3"/>
        </w:rPr>
        <w:t xml:space="preserve"> </w:t>
      </w:r>
      <w:r>
        <w:t>Guidehouse</w:t>
      </w:r>
      <w:r>
        <w:rPr>
          <w:spacing w:val="-3"/>
        </w:rPr>
        <w:t xml:space="preserve"> </w:t>
      </w:r>
      <w:r>
        <w:t>did</w:t>
      </w:r>
      <w:r>
        <w:rPr>
          <w:spacing w:val="-4"/>
        </w:rPr>
        <w:t xml:space="preserve"> </w:t>
      </w:r>
      <w:r>
        <w:t>not</w:t>
      </w:r>
      <w:r>
        <w:rPr>
          <w:spacing w:val="-3"/>
        </w:rPr>
        <w:t xml:space="preserve"> </w:t>
      </w:r>
      <w:r>
        <w:t>include all internally influenced variables including cost-effectiveness, cost-effectiveness threshold, ME&amp;O aggres</w:t>
      </w:r>
      <w:r>
        <w:t>siveness, and BROs program enrollment.</w:t>
      </w:r>
    </w:p>
    <w:p w:rsidR="00C31389" w:rsidRDefault="00C31389" w14:paraId="763827A9" w14:textId="77777777">
      <w:pPr>
        <w:pStyle w:val="BodyText"/>
        <w:spacing w:before="10"/>
        <w:rPr>
          <w:sz w:val="20"/>
        </w:rPr>
      </w:pPr>
    </w:p>
    <w:p w:rsidR="00C31389" w:rsidRDefault="00561FBD" w14:paraId="6356747B" w14:textId="77777777">
      <w:pPr>
        <w:pStyle w:val="BodyText"/>
        <w:spacing w:before="1"/>
        <w:ind w:left="479" w:right="533"/>
      </w:pPr>
      <w:r>
        <w:t>All</w:t>
      </w:r>
      <w:r>
        <w:rPr>
          <w:spacing w:val="-4"/>
        </w:rPr>
        <w:t xml:space="preserve"> </w:t>
      </w:r>
      <w:r>
        <w:t>scenarios</w:t>
      </w:r>
      <w:r>
        <w:rPr>
          <w:spacing w:val="-4"/>
        </w:rPr>
        <w:t xml:space="preserve"> </w:t>
      </w:r>
      <w:r>
        <w:t>use</w:t>
      </w:r>
      <w:r>
        <w:rPr>
          <w:spacing w:val="-4"/>
        </w:rPr>
        <w:t xml:space="preserve"> </w:t>
      </w:r>
      <w:r>
        <w:t>the</w:t>
      </w:r>
      <w:r>
        <w:rPr>
          <w:spacing w:val="-4"/>
        </w:rPr>
        <w:t xml:space="preserve"> </w:t>
      </w:r>
      <w:r>
        <w:t>following</w:t>
      </w:r>
      <w:r>
        <w:rPr>
          <w:spacing w:val="-4"/>
        </w:rPr>
        <w:t xml:space="preserve"> </w:t>
      </w:r>
      <w:r>
        <w:t>internally</w:t>
      </w:r>
      <w:r>
        <w:rPr>
          <w:spacing w:val="-4"/>
        </w:rPr>
        <w:t xml:space="preserve"> </w:t>
      </w:r>
      <w:r>
        <w:t>influenced</w:t>
      </w:r>
      <w:r>
        <w:rPr>
          <w:spacing w:val="-4"/>
        </w:rPr>
        <w:t xml:space="preserve"> </w:t>
      </w:r>
      <w:r>
        <w:t>variables</w:t>
      </w:r>
      <w:r>
        <w:rPr>
          <w:spacing w:val="-3"/>
        </w:rPr>
        <w:t xml:space="preserve"> </w:t>
      </w:r>
      <w:r>
        <w:t>with</w:t>
      </w:r>
      <w:r>
        <w:rPr>
          <w:spacing w:val="-4"/>
        </w:rPr>
        <w:t xml:space="preserve"> </w:t>
      </w:r>
      <w:r>
        <w:t>no</w:t>
      </w:r>
      <w:r>
        <w:rPr>
          <w:spacing w:val="-4"/>
        </w:rPr>
        <w:t xml:space="preserve"> </w:t>
      </w:r>
      <w:r>
        <w:t>variations</w:t>
      </w:r>
      <w:r>
        <w:rPr>
          <w:spacing w:val="-4"/>
        </w:rPr>
        <w:t xml:space="preserve"> </w:t>
      </w:r>
      <w:r>
        <w:t>across</w:t>
      </w:r>
      <w:r>
        <w:rPr>
          <w:spacing w:val="-4"/>
        </w:rPr>
        <w:t xml:space="preserve"> </w:t>
      </w:r>
      <w:r>
        <w:t xml:space="preserve">the </w:t>
      </w:r>
      <w:r>
        <w:rPr>
          <w:spacing w:val="-2"/>
        </w:rPr>
        <w:t>scenarios:</w:t>
      </w:r>
    </w:p>
    <w:p w:rsidR="00C31389" w:rsidRDefault="00561FBD" w14:paraId="06BF76B7" w14:textId="77777777">
      <w:pPr>
        <w:pStyle w:val="ListParagraph"/>
        <w:numPr>
          <w:ilvl w:val="0"/>
          <w:numId w:val="57"/>
        </w:numPr>
        <w:tabs>
          <w:tab w:val="left" w:pos="1199"/>
        </w:tabs>
        <w:spacing w:before="120"/>
        <w:ind w:right="631"/>
        <w:rPr>
          <w:rFonts w:ascii="Symbol" w:hAnsi="Symbol"/>
        </w:rPr>
      </w:pPr>
      <w:r>
        <w:rPr>
          <w:b/>
        </w:rPr>
        <w:t xml:space="preserve">Cost-effectiveness test and threshold. </w:t>
      </w:r>
      <w:r>
        <w:t>The cost-effectiveness threshold is set to a TRC</w:t>
      </w:r>
      <w:r>
        <w:rPr>
          <w:spacing w:val="-4"/>
        </w:rPr>
        <w:t xml:space="preserve"> </w:t>
      </w:r>
      <w:r>
        <w:t>of</w:t>
      </w:r>
      <w:r>
        <w:rPr>
          <w:spacing w:val="-3"/>
        </w:rPr>
        <w:t xml:space="preserve"> </w:t>
      </w:r>
      <w:r>
        <w:t>0.85,</w:t>
      </w:r>
      <w:r>
        <w:rPr>
          <w:spacing w:val="-3"/>
        </w:rPr>
        <w:t xml:space="preserve"> </w:t>
      </w:r>
      <w:r>
        <w:t>which</w:t>
      </w:r>
      <w:r>
        <w:rPr>
          <w:spacing w:val="-3"/>
        </w:rPr>
        <w:t xml:space="preserve"> </w:t>
      </w:r>
      <w:r>
        <w:t>assumes</w:t>
      </w:r>
      <w:r>
        <w:rPr>
          <w:spacing w:val="-3"/>
        </w:rPr>
        <w:t xml:space="preserve"> </w:t>
      </w:r>
      <w:r>
        <w:t>the</w:t>
      </w:r>
      <w:r>
        <w:rPr>
          <w:spacing w:val="-3"/>
        </w:rPr>
        <w:t xml:space="preserve"> </w:t>
      </w:r>
      <w:r>
        <w:t>balance</w:t>
      </w:r>
      <w:r>
        <w:rPr>
          <w:spacing w:val="-3"/>
        </w:rPr>
        <w:t xml:space="preserve"> </w:t>
      </w:r>
      <w:r>
        <w:t>of</w:t>
      </w:r>
      <w:r>
        <w:rPr>
          <w:spacing w:val="-3"/>
        </w:rPr>
        <w:t xml:space="preserve"> </w:t>
      </w:r>
      <w:r>
        <w:t>cost-effectiveness</w:t>
      </w:r>
      <w:r>
        <w:rPr>
          <w:spacing w:val="-3"/>
        </w:rPr>
        <w:t xml:space="preserve"> </w:t>
      </w:r>
      <w:r>
        <w:t>and</w:t>
      </w:r>
      <w:r>
        <w:rPr>
          <w:spacing w:val="-3"/>
        </w:rPr>
        <w:t xml:space="preserve"> </w:t>
      </w:r>
      <w:r>
        <w:t>other</w:t>
      </w:r>
      <w:r>
        <w:rPr>
          <w:spacing w:val="-4"/>
        </w:rPr>
        <w:t xml:space="preserve"> </w:t>
      </w:r>
      <w:r>
        <w:t>portfolio</w:t>
      </w:r>
      <w:r>
        <w:rPr>
          <w:spacing w:val="-3"/>
        </w:rPr>
        <w:t xml:space="preserve"> </w:t>
      </w:r>
      <w:r>
        <w:t>costs will result in an overall portfolio TRC greater than 1.0. A lower-than-unity</w:t>
      </w:r>
    </w:p>
    <w:p w:rsidR="00C31389" w:rsidRDefault="00561FBD" w14:paraId="7A3A10C3" w14:textId="77777777">
      <w:pPr>
        <w:pStyle w:val="BodyText"/>
        <w:spacing w:line="251" w:lineRule="exact"/>
        <w:ind w:left="1199"/>
      </w:pPr>
      <w:r>
        <w:t>cost-effectiveness</w:t>
      </w:r>
      <w:r>
        <w:rPr>
          <w:spacing w:val="-9"/>
        </w:rPr>
        <w:t xml:space="preserve"> </w:t>
      </w:r>
      <w:r>
        <w:t>screening</w:t>
      </w:r>
      <w:r>
        <w:rPr>
          <w:spacing w:val="-8"/>
        </w:rPr>
        <w:t xml:space="preserve"> </w:t>
      </w:r>
      <w:r>
        <w:t>threshold</w:t>
      </w:r>
      <w:r>
        <w:rPr>
          <w:spacing w:val="-9"/>
        </w:rPr>
        <w:t xml:space="preserve"> </w:t>
      </w:r>
      <w:r>
        <w:t>for</w:t>
      </w:r>
      <w:r>
        <w:rPr>
          <w:spacing w:val="-8"/>
        </w:rPr>
        <w:t xml:space="preserve"> </w:t>
      </w:r>
      <w:r>
        <w:t>measures</w:t>
      </w:r>
      <w:r>
        <w:rPr>
          <w:spacing w:val="-8"/>
        </w:rPr>
        <w:t xml:space="preserve"> </w:t>
      </w:r>
      <w:r>
        <w:t>allows</w:t>
      </w:r>
      <w:r>
        <w:rPr>
          <w:spacing w:val="-8"/>
        </w:rPr>
        <w:t xml:space="preserve"> </w:t>
      </w:r>
      <w:r>
        <w:t>those</w:t>
      </w:r>
      <w:r>
        <w:rPr>
          <w:spacing w:val="-9"/>
        </w:rPr>
        <w:t xml:space="preserve"> </w:t>
      </w:r>
      <w:r>
        <w:t>that</w:t>
      </w:r>
      <w:r>
        <w:rPr>
          <w:spacing w:val="-8"/>
        </w:rPr>
        <w:t xml:space="preserve"> </w:t>
      </w:r>
      <w:r>
        <w:t>are</w:t>
      </w:r>
      <w:r>
        <w:rPr>
          <w:spacing w:val="-9"/>
        </w:rPr>
        <w:t xml:space="preserve"> </w:t>
      </w:r>
      <w:r>
        <w:rPr>
          <w:spacing w:val="-4"/>
        </w:rPr>
        <w:t>less</w:t>
      </w:r>
    </w:p>
    <w:p w:rsidR="00C31389" w:rsidRDefault="00561FBD" w14:paraId="20A1F138" w14:textId="77777777">
      <w:pPr>
        <w:pStyle w:val="BodyText"/>
        <w:ind w:left="1199" w:right="533"/>
      </w:pPr>
      <w:r>
        <w:t>cost-effective</w:t>
      </w:r>
      <w:r>
        <w:rPr>
          <w:spacing w:val="-3"/>
        </w:rPr>
        <w:t xml:space="preserve"> </w:t>
      </w:r>
      <w:r>
        <w:t>into</w:t>
      </w:r>
      <w:r>
        <w:rPr>
          <w:spacing w:val="-3"/>
        </w:rPr>
        <w:t xml:space="preserve"> </w:t>
      </w:r>
      <w:r>
        <w:t>the</w:t>
      </w:r>
      <w:r>
        <w:rPr>
          <w:spacing w:val="-3"/>
        </w:rPr>
        <w:t xml:space="preserve"> </w:t>
      </w:r>
      <w:r>
        <w:t>forecast</w:t>
      </w:r>
      <w:r>
        <w:rPr>
          <w:spacing w:val="-3"/>
        </w:rPr>
        <w:t xml:space="preserve"> </w:t>
      </w:r>
      <w:r>
        <w:t>and</w:t>
      </w:r>
      <w:r>
        <w:rPr>
          <w:spacing w:val="-3"/>
        </w:rPr>
        <w:t xml:space="preserve"> </w:t>
      </w:r>
      <w:r>
        <w:t>reflects</w:t>
      </w:r>
      <w:r>
        <w:rPr>
          <w:spacing w:val="-4"/>
        </w:rPr>
        <w:t xml:space="preserve"> </w:t>
      </w:r>
      <w:r>
        <w:t>current</w:t>
      </w:r>
      <w:r>
        <w:rPr>
          <w:spacing w:val="-3"/>
        </w:rPr>
        <w:t xml:space="preserve"> </w:t>
      </w:r>
      <w:r>
        <w:t>and</w:t>
      </w:r>
      <w:r>
        <w:rPr>
          <w:spacing w:val="-3"/>
        </w:rPr>
        <w:t xml:space="preserve"> </w:t>
      </w:r>
      <w:r>
        <w:t>past</w:t>
      </w:r>
      <w:r>
        <w:rPr>
          <w:spacing w:val="-3"/>
        </w:rPr>
        <w:t xml:space="preserve"> </w:t>
      </w:r>
      <w:r>
        <w:t>EE</w:t>
      </w:r>
      <w:r>
        <w:rPr>
          <w:spacing w:val="-3"/>
        </w:rPr>
        <w:t xml:space="preserve"> </w:t>
      </w:r>
      <w:r>
        <w:t>portfolios</w:t>
      </w:r>
      <w:r>
        <w:rPr>
          <w:spacing w:val="-3"/>
        </w:rPr>
        <w:t xml:space="preserve"> </w:t>
      </w:r>
      <w:r>
        <w:t>that</w:t>
      </w:r>
      <w:r>
        <w:rPr>
          <w:spacing w:val="-3"/>
        </w:rPr>
        <w:t xml:space="preserve"> </w:t>
      </w:r>
      <w:r>
        <w:t>do</w:t>
      </w:r>
      <w:r>
        <w:rPr>
          <w:spacing w:val="-3"/>
        </w:rPr>
        <w:t xml:space="preserve"> </w:t>
      </w:r>
      <w:r>
        <w:t>include measures with TRC values below 1.0. Different cost-effectiveness screening tests or thresholds yield different amounts of economic potential and cause the achievable potential model to incentivize dif</w:t>
      </w:r>
      <w:r>
        <w:t>ferent sets of measures. The cost-effectiveness screening test threshold only applies to rebate programs.</w:t>
      </w:r>
    </w:p>
    <w:p w:rsidR="00C31389" w:rsidRDefault="00561FBD" w14:paraId="7FAFA5DD" w14:textId="77777777">
      <w:pPr>
        <w:pStyle w:val="ListParagraph"/>
        <w:numPr>
          <w:ilvl w:val="0"/>
          <w:numId w:val="57"/>
        </w:numPr>
        <w:tabs>
          <w:tab w:val="left" w:pos="1199"/>
        </w:tabs>
        <w:spacing w:before="122" w:line="237" w:lineRule="auto"/>
        <w:ind w:right="718"/>
        <w:rPr>
          <w:rFonts w:ascii="Symbol" w:hAnsi="Symbol"/>
          <w:sz w:val="24"/>
        </w:rPr>
      </w:pPr>
      <w:r>
        <w:rPr>
          <w:b/>
        </w:rPr>
        <w:t>ME&amp;O</w:t>
      </w:r>
      <w:r>
        <w:rPr>
          <w:b/>
          <w:spacing w:val="-1"/>
        </w:rPr>
        <w:t xml:space="preserve"> </w:t>
      </w:r>
      <w:r>
        <w:rPr>
          <w:b/>
        </w:rPr>
        <w:t xml:space="preserve">level of effort. </w:t>
      </w:r>
      <w:r>
        <w:t>Varying marketing and outreach levels impact the</w:t>
      </w:r>
      <w:r>
        <w:rPr>
          <w:spacing w:val="-1"/>
        </w:rPr>
        <w:t xml:space="preserve"> </w:t>
      </w:r>
      <w:r>
        <w:t>rate at which technologies are adopted by customers. The ranges have been the d</w:t>
      </w:r>
      <w:r>
        <w:t>efault calibrated value</w:t>
      </w:r>
      <w:r>
        <w:rPr>
          <w:spacing w:val="-4"/>
        </w:rPr>
        <w:t xml:space="preserve"> </w:t>
      </w:r>
      <w:r>
        <w:t>for</w:t>
      </w:r>
      <w:r>
        <w:rPr>
          <w:spacing w:val="-4"/>
        </w:rPr>
        <w:t xml:space="preserve"> </w:t>
      </w:r>
      <w:r>
        <w:t>the</w:t>
      </w:r>
      <w:r>
        <w:rPr>
          <w:spacing w:val="-5"/>
        </w:rPr>
        <w:t xml:space="preserve"> </w:t>
      </w:r>
      <w:r>
        <w:t>reference</w:t>
      </w:r>
      <w:r>
        <w:rPr>
          <w:spacing w:val="-4"/>
        </w:rPr>
        <w:t xml:space="preserve"> </w:t>
      </w:r>
      <w:r>
        <w:t>and</w:t>
      </w:r>
      <w:r>
        <w:rPr>
          <w:spacing w:val="-4"/>
        </w:rPr>
        <w:t xml:space="preserve"> </w:t>
      </w:r>
      <w:r>
        <w:t>increased</w:t>
      </w:r>
      <w:r>
        <w:rPr>
          <w:spacing w:val="-4"/>
        </w:rPr>
        <w:t xml:space="preserve"> </w:t>
      </w:r>
      <w:r>
        <w:t>marketing</w:t>
      </w:r>
      <w:r>
        <w:rPr>
          <w:spacing w:val="-4"/>
        </w:rPr>
        <w:t xml:space="preserve"> </w:t>
      </w:r>
      <w:r>
        <w:t>strength</w:t>
      </w:r>
      <w:r>
        <w:rPr>
          <w:spacing w:val="-4"/>
        </w:rPr>
        <w:t xml:space="preserve"> </w:t>
      </w:r>
      <w:r>
        <w:t>for</w:t>
      </w:r>
      <w:r>
        <w:rPr>
          <w:spacing w:val="-6"/>
        </w:rPr>
        <w:t xml:space="preserve"> </w:t>
      </w:r>
      <w:r>
        <w:t>the</w:t>
      </w:r>
      <w:r>
        <w:rPr>
          <w:spacing w:val="-4"/>
        </w:rPr>
        <w:t xml:space="preserve"> </w:t>
      </w:r>
      <w:r>
        <w:t>aggressive</w:t>
      </w:r>
      <w:r>
        <w:rPr>
          <w:spacing w:val="-4"/>
        </w:rPr>
        <w:t xml:space="preserve"> </w:t>
      </w:r>
      <w:r>
        <w:t>scenarios. All scenarios use the default calibrated value.</w:t>
      </w:r>
    </w:p>
    <w:p w:rsidR="00C31389" w:rsidRDefault="00561FBD" w14:paraId="107B1C27" w14:textId="77777777">
      <w:pPr>
        <w:pStyle w:val="ListParagraph"/>
        <w:numPr>
          <w:ilvl w:val="0"/>
          <w:numId w:val="57"/>
        </w:numPr>
        <w:tabs>
          <w:tab w:val="left" w:pos="1200"/>
        </w:tabs>
        <w:spacing w:before="128" w:line="235" w:lineRule="auto"/>
        <w:ind w:left="1200" w:right="536" w:hanging="361"/>
        <w:rPr>
          <w:rFonts w:ascii="Symbol" w:hAnsi="Symbol"/>
          <w:sz w:val="28"/>
        </w:rPr>
      </w:pPr>
      <w:r>
        <w:rPr>
          <w:b/>
        </w:rPr>
        <w:t xml:space="preserve">BROs program assumptions. </w:t>
      </w:r>
      <w:r>
        <w:t>Enrollment in BROs programs is an input vector. Guidehouse</w:t>
      </w:r>
      <w:r>
        <w:rPr>
          <w:spacing w:val="-4"/>
        </w:rPr>
        <w:t xml:space="preserve"> </w:t>
      </w:r>
      <w:r>
        <w:t>assumes</w:t>
      </w:r>
      <w:r>
        <w:rPr>
          <w:spacing w:val="-4"/>
        </w:rPr>
        <w:t xml:space="preserve"> </w:t>
      </w:r>
      <w:r>
        <w:t>a</w:t>
      </w:r>
      <w:r>
        <w:rPr>
          <w:spacing w:val="-5"/>
        </w:rPr>
        <w:t xml:space="preserve"> </w:t>
      </w:r>
      <w:r>
        <w:t>reference</w:t>
      </w:r>
      <w:r>
        <w:rPr>
          <w:spacing w:val="-4"/>
        </w:rPr>
        <w:t xml:space="preserve"> </w:t>
      </w:r>
      <w:r>
        <w:t>or</w:t>
      </w:r>
      <w:r>
        <w:rPr>
          <w:spacing w:val="-5"/>
        </w:rPr>
        <w:t xml:space="preserve"> </w:t>
      </w:r>
      <w:r>
        <w:t>aggressive</w:t>
      </w:r>
      <w:r>
        <w:rPr>
          <w:spacing w:val="-5"/>
        </w:rPr>
        <w:t xml:space="preserve"> </w:t>
      </w:r>
      <w:r>
        <w:t>rollout</w:t>
      </w:r>
      <w:r>
        <w:rPr>
          <w:spacing w:val="-4"/>
        </w:rPr>
        <w:t xml:space="preserve"> </w:t>
      </w:r>
      <w:r>
        <w:t>of</w:t>
      </w:r>
      <w:r>
        <w:rPr>
          <w:spacing w:val="-4"/>
        </w:rPr>
        <w:t xml:space="preserve"> </w:t>
      </w:r>
      <w:r>
        <w:t>BROs</w:t>
      </w:r>
      <w:r>
        <w:rPr>
          <w:spacing w:val="-4"/>
        </w:rPr>
        <w:t xml:space="preserve"> </w:t>
      </w:r>
      <w:r>
        <w:t>programs.</w:t>
      </w:r>
      <w:r>
        <w:rPr>
          <w:spacing w:val="-4"/>
        </w:rPr>
        <w:t xml:space="preserve"> </w:t>
      </w:r>
      <w:r>
        <w:t>Reference</w:t>
      </w:r>
      <w:r>
        <w:rPr>
          <w:spacing w:val="-4"/>
        </w:rPr>
        <w:t xml:space="preserve"> </w:t>
      </w:r>
      <w:r>
        <w:t>is the continued offering of existing BROs interventions and planned new interventions based on policy directions. Aggressive penetration grows program participation faster,</w:t>
      </w:r>
    </w:p>
    <w:p w:rsidR="00C31389" w:rsidRDefault="00C31389" w14:paraId="5DF3CA39" w14:textId="77777777">
      <w:pPr>
        <w:spacing w:line="235" w:lineRule="auto"/>
        <w:rPr>
          <w:rFonts w:ascii="Symbol" w:hAnsi="Symbol"/>
          <w:sz w:val="28"/>
        </w:rPr>
        <w:sectPr w:rsidR="00C31389">
          <w:pgSz w:w="12240" w:h="15840"/>
          <w:pgMar w:top="1660" w:right="960" w:bottom="1120" w:left="960" w:header="397" w:footer="936" w:gutter="0"/>
          <w:cols w:space="720"/>
        </w:sectPr>
      </w:pPr>
    </w:p>
    <w:p w:rsidR="00C31389" w:rsidRDefault="00C31389" w14:paraId="6CA1E68A" w14:textId="77777777">
      <w:pPr>
        <w:pStyle w:val="BodyText"/>
        <w:spacing w:before="11"/>
        <w:rPr>
          <w:sz w:val="13"/>
        </w:rPr>
      </w:pPr>
    </w:p>
    <w:p w:rsidR="00C31389" w:rsidRDefault="00561FBD" w14:paraId="1A162350" w14:textId="77777777">
      <w:pPr>
        <w:pStyle w:val="BodyText"/>
        <w:spacing w:before="92"/>
        <w:ind w:left="1200" w:right="533"/>
      </w:pPr>
      <w:r>
        <w:t>as</w:t>
      </w:r>
      <w:r>
        <w:rPr>
          <w:spacing w:val="-3"/>
        </w:rPr>
        <w:t xml:space="preserve"> </w:t>
      </w:r>
      <w:r>
        <w:t>well</w:t>
      </w:r>
      <w:r>
        <w:rPr>
          <w:spacing w:val="-3"/>
        </w:rPr>
        <w:t xml:space="preserve"> </w:t>
      </w:r>
      <w:r>
        <w:t>as</w:t>
      </w:r>
      <w:r>
        <w:rPr>
          <w:spacing w:val="-3"/>
        </w:rPr>
        <w:t xml:space="preserve"> </w:t>
      </w:r>
      <w:r>
        <w:t>BROs</w:t>
      </w:r>
      <w:r>
        <w:rPr>
          <w:spacing w:val="-3"/>
        </w:rPr>
        <w:t xml:space="preserve"> </w:t>
      </w:r>
      <w:r>
        <w:t>programs</w:t>
      </w:r>
      <w:r>
        <w:rPr>
          <w:spacing w:val="-3"/>
        </w:rPr>
        <w:t xml:space="preserve"> </w:t>
      </w:r>
      <w:r>
        <w:t>that</w:t>
      </w:r>
      <w:r>
        <w:rPr>
          <w:spacing w:val="-3"/>
        </w:rPr>
        <w:t xml:space="preserve"> </w:t>
      </w:r>
      <w:r>
        <w:t>are</w:t>
      </w:r>
      <w:r>
        <w:rPr>
          <w:spacing w:val="-3"/>
        </w:rPr>
        <w:t xml:space="preserve"> </w:t>
      </w:r>
      <w:r>
        <w:t>not</w:t>
      </w:r>
      <w:r>
        <w:rPr>
          <w:spacing w:val="-3"/>
        </w:rPr>
        <w:t xml:space="preserve"> </w:t>
      </w:r>
      <w:r>
        <w:t>currently</w:t>
      </w:r>
      <w:r>
        <w:rPr>
          <w:spacing w:val="-4"/>
        </w:rPr>
        <w:t xml:space="preserve"> </w:t>
      </w:r>
      <w:r>
        <w:t>in</w:t>
      </w:r>
      <w:r>
        <w:rPr>
          <w:spacing w:val="-3"/>
        </w:rPr>
        <w:t xml:space="preserve"> </w:t>
      </w:r>
      <w:r>
        <w:t>the</w:t>
      </w:r>
      <w:r>
        <w:rPr>
          <w:spacing w:val="-3"/>
        </w:rPr>
        <w:t xml:space="preserve"> </w:t>
      </w:r>
      <w:r>
        <w:t>California</w:t>
      </w:r>
      <w:r>
        <w:rPr>
          <w:spacing w:val="-3"/>
        </w:rPr>
        <w:t xml:space="preserve"> </w:t>
      </w:r>
      <w:r>
        <w:t>utility</w:t>
      </w:r>
      <w:r>
        <w:rPr>
          <w:spacing w:val="-3"/>
        </w:rPr>
        <w:t xml:space="preserve"> </w:t>
      </w:r>
      <w:r>
        <w:t>plans.</w:t>
      </w:r>
      <w:r>
        <w:rPr>
          <w:spacing w:val="-3"/>
        </w:rPr>
        <w:t xml:space="preserve"> </w:t>
      </w:r>
      <w:r>
        <w:t>For</w:t>
      </w:r>
      <w:r>
        <w:rPr>
          <w:spacing w:val="-3"/>
        </w:rPr>
        <w:t xml:space="preserve"> </w:t>
      </w:r>
      <w:r>
        <w:t>the 2023 Study, only the reference BROs program enrollments are used.</w:t>
      </w:r>
    </w:p>
    <w:p w:rsidR="00C31389" w:rsidRDefault="00561FBD" w14:paraId="5E556C2F" w14:textId="77777777">
      <w:pPr>
        <w:pStyle w:val="Heading7"/>
        <w:spacing w:before="121"/>
        <w:ind w:left="2421"/>
      </w:pPr>
      <w:bookmarkStart w:name="_bookmark91" w:id="122"/>
      <w:bookmarkEnd w:id="122"/>
      <w:r>
        <w:t>Table</w:t>
      </w:r>
      <w:r>
        <w:rPr>
          <w:spacing w:val="-9"/>
        </w:rPr>
        <w:t xml:space="preserve"> </w:t>
      </w:r>
      <w:r>
        <w:t>2-9.</w:t>
      </w:r>
      <w:r>
        <w:rPr>
          <w:spacing w:val="-8"/>
        </w:rPr>
        <w:t xml:space="preserve"> </w:t>
      </w:r>
      <w:r>
        <w:t>Variables</w:t>
      </w:r>
      <w:r>
        <w:rPr>
          <w:spacing w:val="-9"/>
        </w:rPr>
        <w:t xml:space="preserve"> </w:t>
      </w:r>
      <w:r>
        <w:t>Considered</w:t>
      </w:r>
      <w:r>
        <w:rPr>
          <w:spacing w:val="-8"/>
        </w:rPr>
        <w:t xml:space="preserve"> </w:t>
      </w:r>
      <w:r>
        <w:t>for</w:t>
      </w:r>
      <w:r>
        <w:rPr>
          <w:spacing w:val="-10"/>
        </w:rPr>
        <w:t xml:space="preserve"> </w:t>
      </w:r>
      <w:r>
        <w:t>Scenario</w:t>
      </w:r>
      <w:r>
        <w:rPr>
          <w:spacing w:val="-7"/>
        </w:rPr>
        <w:t xml:space="preserve"> </w:t>
      </w:r>
      <w:r>
        <w:rPr>
          <w:spacing w:val="-2"/>
        </w:rPr>
        <w:t>Setting</w:t>
      </w:r>
    </w:p>
    <w:p w:rsidR="00C31389" w:rsidRDefault="00C31389" w14:paraId="0E2422CA" w14:textId="77777777">
      <w:pPr>
        <w:pStyle w:val="BodyText"/>
        <w:spacing w:before="6"/>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848"/>
        <w:gridCol w:w="3952"/>
        <w:gridCol w:w="1756"/>
        <w:gridCol w:w="1820"/>
      </w:tblGrid>
      <w:tr w:rsidR="00C31389" w14:paraId="02239B42" w14:textId="77777777">
        <w:trPr>
          <w:trHeight w:val="531"/>
        </w:trPr>
        <w:tc>
          <w:tcPr>
            <w:tcW w:w="1848" w:type="dxa"/>
            <w:shd w:val="clear" w:color="auto" w:fill="92D400"/>
          </w:tcPr>
          <w:p w:rsidR="00C31389" w:rsidRDefault="00C31389" w14:paraId="1B575F73" w14:textId="77777777">
            <w:pPr>
              <w:pStyle w:val="TableParagraph"/>
              <w:spacing w:before="5"/>
              <w:rPr>
                <w:b/>
                <w:sz w:val="26"/>
              </w:rPr>
            </w:pPr>
          </w:p>
          <w:p w:rsidR="00C31389" w:rsidRDefault="00561FBD" w14:paraId="01F57DDF" w14:textId="77777777">
            <w:pPr>
              <w:pStyle w:val="TableParagraph"/>
              <w:spacing w:before="0" w:line="208" w:lineRule="exact"/>
              <w:ind w:left="129"/>
              <w:rPr>
                <w:b/>
                <w:sz w:val="20"/>
              </w:rPr>
            </w:pPr>
            <w:r>
              <w:rPr>
                <w:b/>
                <w:spacing w:val="-2"/>
                <w:sz w:val="20"/>
              </w:rPr>
              <w:t>Lever</w:t>
            </w:r>
          </w:p>
        </w:tc>
        <w:tc>
          <w:tcPr>
            <w:tcW w:w="3952" w:type="dxa"/>
            <w:shd w:val="clear" w:color="auto" w:fill="92D400"/>
          </w:tcPr>
          <w:p w:rsidR="00C31389" w:rsidRDefault="00C31389" w14:paraId="41EA853D" w14:textId="77777777">
            <w:pPr>
              <w:pStyle w:val="TableParagraph"/>
              <w:spacing w:before="5"/>
              <w:rPr>
                <w:b/>
                <w:sz w:val="26"/>
              </w:rPr>
            </w:pPr>
          </w:p>
          <w:p w:rsidR="00C31389" w:rsidRDefault="00561FBD" w14:paraId="5D065BF6" w14:textId="77777777">
            <w:pPr>
              <w:pStyle w:val="TableParagraph"/>
              <w:spacing w:before="0" w:line="208" w:lineRule="exact"/>
              <w:ind w:left="240"/>
              <w:rPr>
                <w:b/>
                <w:sz w:val="20"/>
              </w:rPr>
            </w:pPr>
            <w:r>
              <w:rPr>
                <w:b/>
                <w:spacing w:val="-2"/>
                <w:sz w:val="20"/>
              </w:rPr>
              <w:t>Description</w:t>
            </w:r>
          </w:p>
        </w:tc>
        <w:tc>
          <w:tcPr>
            <w:tcW w:w="3576" w:type="dxa"/>
            <w:gridSpan w:val="2"/>
            <w:tcBorders>
              <w:bottom w:val="single" w:color="D9D9D9" w:sz="2" w:space="0"/>
            </w:tcBorders>
            <w:shd w:val="clear" w:color="auto" w:fill="92D400"/>
          </w:tcPr>
          <w:p w:rsidR="00C31389" w:rsidRDefault="00561FBD" w14:paraId="5802E54D" w14:textId="77777777">
            <w:pPr>
              <w:pStyle w:val="TableParagraph"/>
              <w:spacing w:before="147"/>
              <w:ind w:left="392"/>
              <w:rPr>
                <w:b/>
                <w:sz w:val="20"/>
              </w:rPr>
            </w:pPr>
            <w:r>
              <w:rPr>
                <w:b/>
                <w:sz w:val="20"/>
              </w:rPr>
              <w:t>Potential</w:t>
            </w:r>
            <w:r>
              <w:rPr>
                <w:b/>
                <w:spacing w:val="-5"/>
                <w:sz w:val="20"/>
              </w:rPr>
              <w:t xml:space="preserve"> </w:t>
            </w:r>
            <w:r>
              <w:rPr>
                <w:b/>
                <w:sz w:val="20"/>
              </w:rPr>
              <w:t>Impact</w:t>
            </w:r>
            <w:r>
              <w:rPr>
                <w:b/>
                <w:spacing w:val="-5"/>
                <w:sz w:val="20"/>
              </w:rPr>
              <w:t xml:space="preserve"> </w:t>
            </w:r>
            <w:r>
              <w:rPr>
                <w:b/>
                <w:spacing w:val="-2"/>
                <w:sz w:val="20"/>
              </w:rPr>
              <w:t>Applicability</w:t>
            </w:r>
          </w:p>
        </w:tc>
      </w:tr>
      <w:tr w:rsidR="00C31389" w14:paraId="7FC3CFD2" w14:textId="77777777">
        <w:trPr>
          <w:trHeight w:val="310"/>
        </w:trPr>
        <w:tc>
          <w:tcPr>
            <w:tcW w:w="1848" w:type="dxa"/>
            <w:shd w:val="clear" w:color="auto" w:fill="92D400"/>
          </w:tcPr>
          <w:p w:rsidR="00C31389" w:rsidRDefault="00C31389" w14:paraId="2B07F61D" w14:textId="77777777">
            <w:pPr>
              <w:pStyle w:val="TableParagraph"/>
              <w:spacing w:before="0"/>
              <w:rPr>
                <w:rFonts w:ascii="Times New Roman"/>
                <w:sz w:val="20"/>
              </w:rPr>
            </w:pPr>
          </w:p>
        </w:tc>
        <w:tc>
          <w:tcPr>
            <w:tcW w:w="3952" w:type="dxa"/>
            <w:shd w:val="clear" w:color="auto" w:fill="92D400"/>
          </w:tcPr>
          <w:p w:rsidR="00C31389" w:rsidRDefault="00C31389" w14:paraId="6B7986C9" w14:textId="77777777">
            <w:pPr>
              <w:pStyle w:val="TableParagraph"/>
              <w:spacing w:before="0"/>
              <w:rPr>
                <w:rFonts w:ascii="Times New Roman"/>
                <w:sz w:val="20"/>
              </w:rPr>
            </w:pPr>
          </w:p>
        </w:tc>
        <w:tc>
          <w:tcPr>
            <w:tcW w:w="1756" w:type="dxa"/>
            <w:tcBorders>
              <w:top w:val="single" w:color="D9D9D9" w:sz="2" w:space="0"/>
            </w:tcBorders>
            <w:shd w:val="clear" w:color="auto" w:fill="92D400"/>
          </w:tcPr>
          <w:p w:rsidR="00C31389" w:rsidRDefault="00561FBD" w14:paraId="3034AC1B" w14:textId="77777777">
            <w:pPr>
              <w:pStyle w:val="TableParagraph"/>
              <w:spacing w:before="41"/>
              <w:ind w:left="396" w:right="379"/>
              <w:jc w:val="center"/>
              <w:rPr>
                <w:b/>
                <w:sz w:val="20"/>
              </w:rPr>
            </w:pPr>
            <w:r>
              <w:rPr>
                <w:b/>
                <w:spacing w:val="-2"/>
                <w:sz w:val="20"/>
              </w:rPr>
              <w:t>Economic</w:t>
            </w:r>
          </w:p>
        </w:tc>
        <w:tc>
          <w:tcPr>
            <w:tcW w:w="1820" w:type="dxa"/>
            <w:tcBorders>
              <w:top w:val="single" w:color="D9D9D9" w:sz="2" w:space="0"/>
            </w:tcBorders>
            <w:shd w:val="clear" w:color="auto" w:fill="92D400"/>
          </w:tcPr>
          <w:p w:rsidR="00C31389" w:rsidRDefault="00561FBD" w14:paraId="6FBB4E9D" w14:textId="77777777">
            <w:pPr>
              <w:pStyle w:val="TableParagraph"/>
              <w:spacing w:before="41"/>
              <w:ind w:left="379" w:right="364"/>
              <w:jc w:val="center"/>
              <w:rPr>
                <w:b/>
                <w:sz w:val="20"/>
              </w:rPr>
            </w:pPr>
            <w:r>
              <w:rPr>
                <w:b/>
                <w:spacing w:val="-2"/>
                <w:sz w:val="20"/>
              </w:rPr>
              <w:t>Achievable</w:t>
            </w:r>
          </w:p>
        </w:tc>
      </w:tr>
      <w:tr w:rsidR="00C31389" w14:paraId="76378014" w14:textId="77777777">
        <w:trPr>
          <w:trHeight w:val="826"/>
        </w:trPr>
        <w:tc>
          <w:tcPr>
            <w:tcW w:w="1848" w:type="dxa"/>
            <w:tcBorders>
              <w:bottom w:val="single" w:color="D9D9D9" w:sz="2" w:space="0"/>
            </w:tcBorders>
          </w:tcPr>
          <w:p w:rsidR="00C31389" w:rsidRDefault="00561FBD" w14:paraId="1608B5FC" w14:textId="77777777">
            <w:pPr>
              <w:pStyle w:val="TableParagraph"/>
              <w:spacing w:before="184"/>
              <w:ind w:left="129" w:right="490"/>
              <w:rPr>
                <w:b/>
                <w:sz w:val="20"/>
              </w:rPr>
            </w:pPr>
            <w:r>
              <w:rPr>
                <w:b/>
                <w:sz w:val="20"/>
              </w:rPr>
              <w:t>Federal Tax Credits</w:t>
            </w:r>
            <w:r>
              <w:rPr>
                <w:b/>
                <w:spacing w:val="-4"/>
                <w:sz w:val="20"/>
              </w:rPr>
              <w:t xml:space="preserve"> </w:t>
            </w:r>
            <w:r>
              <w:rPr>
                <w:b/>
                <w:spacing w:val="-2"/>
                <w:sz w:val="20"/>
              </w:rPr>
              <w:t>(IRA)</w:t>
            </w:r>
          </w:p>
        </w:tc>
        <w:tc>
          <w:tcPr>
            <w:tcW w:w="3952" w:type="dxa"/>
            <w:tcBorders>
              <w:bottom w:val="single" w:color="D9D9D9" w:sz="2" w:space="0"/>
            </w:tcBorders>
          </w:tcPr>
          <w:p w:rsidR="00C31389" w:rsidRDefault="00561FBD" w14:paraId="673A406A" w14:textId="77777777">
            <w:pPr>
              <w:pStyle w:val="TableParagraph"/>
              <w:spacing w:before="69"/>
              <w:ind w:left="239" w:right="185"/>
              <w:rPr>
                <w:sz w:val="20"/>
              </w:rPr>
            </w:pPr>
            <w:r>
              <w:rPr>
                <w:sz w:val="20"/>
              </w:rPr>
              <w:t>Including tax credit impact levels specified</w:t>
            </w:r>
            <w:r>
              <w:rPr>
                <w:spacing w:val="-7"/>
                <w:sz w:val="20"/>
              </w:rPr>
              <w:t xml:space="preserve"> </w:t>
            </w:r>
            <w:r>
              <w:rPr>
                <w:sz w:val="20"/>
              </w:rPr>
              <w:t>by</w:t>
            </w:r>
            <w:r>
              <w:rPr>
                <w:spacing w:val="-6"/>
                <w:sz w:val="20"/>
              </w:rPr>
              <w:t xml:space="preserve"> </w:t>
            </w:r>
            <w:r>
              <w:rPr>
                <w:sz w:val="20"/>
              </w:rPr>
              <w:t>the</w:t>
            </w:r>
            <w:r>
              <w:rPr>
                <w:spacing w:val="-7"/>
                <w:sz w:val="20"/>
              </w:rPr>
              <w:t xml:space="preserve"> </w:t>
            </w:r>
            <w:r>
              <w:rPr>
                <w:sz w:val="20"/>
              </w:rPr>
              <w:t>IRA</w:t>
            </w:r>
            <w:r>
              <w:rPr>
                <w:spacing w:val="-7"/>
                <w:sz w:val="20"/>
              </w:rPr>
              <w:t xml:space="preserve"> </w:t>
            </w:r>
            <w:r>
              <w:rPr>
                <w:sz w:val="20"/>
              </w:rPr>
              <w:t>within</w:t>
            </w:r>
            <w:r>
              <w:rPr>
                <w:spacing w:val="-8"/>
                <w:sz w:val="20"/>
              </w:rPr>
              <w:t xml:space="preserve"> </w:t>
            </w:r>
            <w:r>
              <w:rPr>
                <w:sz w:val="20"/>
              </w:rPr>
              <w:t>the</w:t>
            </w:r>
            <w:r>
              <w:rPr>
                <w:spacing w:val="-7"/>
                <w:sz w:val="20"/>
              </w:rPr>
              <w:t xml:space="preserve"> </w:t>
            </w:r>
            <w:r>
              <w:rPr>
                <w:sz w:val="20"/>
              </w:rPr>
              <w:t>P&amp;G Model for applicable measures</w:t>
            </w:r>
          </w:p>
        </w:tc>
        <w:tc>
          <w:tcPr>
            <w:tcW w:w="1756" w:type="dxa"/>
            <w:tcBorders>
              <w:bottom w:val="single" w:color="D9D9D9" w:sz="2" w:space="0"/>
            </w:tcBorders>
          </w:tcPr>
          <w:p w:rsidR="00C31389" w:rsidRDefault="00C31389" w14:paraId="40C6015E" w14:textId="77777777">
            <w:pPr>
              <w:pStyle w:val="TableParagraph"/>
              <w:spacing w:before="5"/>
              <w:rPr>
                <w:b/>
                <w:sz w:val="24"/>
              </w:rPr>
            </w:pPr>
          </w:p>
          <w:p w:rsidR="00C31389" w:rsidRDefault="00561FBD" w14:paraId="072F4B58" w14:textId="77777777">
            <w:pPr>
              <w:pStyle w:val="TableParagraph"/>
              <w:spacing w:before="0"/>
              <w:ind w:left="15"/>
              <w:jc w:val="center"/>
              <w:rPr>
                <w:rFonts w:ascii="Segoe UI Emoji" w:hAnsi="Segoe UI Emoji"/>
                <w:sz w:val="20"/>
              </w:rPr>
            </w:pPr>
            <w:r>
              <w:rPr>
                <w:rFonts w:ascii="Segoe UI Emoji" w:hAnsi="Segoe UI Emoji"/>
                <w:sz w:val="20"/>
              </w:rPr>
              <w:t>✔</w:t>
            </w:r>
          </w:p>
        </w:tc>
        <w:tc>
          <w:tcPr>
            <w:tcW w:w="1820" w:type="dxa"/>
            <w:tcBorders>
              <w:bottom w:val="single" w:color="D9D9D9" w:sz="2" w:space="0"/>
            </w:tcBorders>
          </w:tcPr>
          <w:p w:rsidR="00C31389" w:rsidRDefault="00C31389" w14:paraId="3C6A1A6D" w14:textId="77777777">
            <w:pPr>
              <w:pStyle w:val="TableParagraph"/>
              <w:spacing w:before="5"/>
              <w:rPr>
                <w:b/>
                <w:sz w:val="24"/>
              </w:rPr>
            </w:pPr>
          </w:p>
          <w:p w:rsidR="00C31389" w:rsidRDefault="00561FBD" w14:paraId="4D84AEEC" w14:textId="77777777">
            <w:pPr>
              <w:pStyle w:val="TableParagraph"/>
              <w:spacing w:before="0"/>
              <w:ind w:left="13"/>
              <w:jc w:val="center"/>
              <w:rPr>
                <w:rFonts w:ascii="Segoe UI Emoji" w:hAnsi="Segoe UI Emoji"/>
                <w:sz w:val="20"/>
              </w:rPr>
            </w:pPr>
            <w:r>
              <w:rPr>
                <w:rFonts w:ascii="Segoe UI Emoji" w:hAnsi="Segoe UI Emoji"/>
                <w:sz w:val="20"/>
              </w:rPr>
              <w:t>✔</w:t>
            </w:r>
          </w:p>
        </w:tc>
      </w:tr>
      <w:tr w:rsidR="00C31389" w14:paraId="3BA5242E" w14:textId="77777777">
        <w:trPr>
          <w:trHeight w:val="1229"/>
        </w:trPr>
        <w:tc>
          <w:tcPr>
            <w:tcW w:w="1848" w:type="dxa"/>
            <w:tcBorders>
              <w:top w:val="single" w:color="D9D9D9" w:sz="2" w:space="0"/>
              <w:bottom w:val="single" w:color="D9D9D9" w:sz="2" w:space="0"/>
            </w:tcBorders>
          </w:tcPr>
          <w:p w:rsidR="00C31389" w:rsidRDefault="00C31389" w14:paraId="4A397221" w14:textId="77777777">
            <w:pPr>
              <w:pStyle w:val="TableParagraph"/>
              <w:spacing w:before="0"/>
              <w:rPr>
                <w:b/>
              </w:rPr>
            </w:pPr>
          </w:p>
          <w:p w:rsidR="00C31389" w:rsidRDefault="00C31389" w14:paraId="18DC475D" w14:textId="77777777">
            <w:pPr>
              <w:pStyle w:val="TableParagraph"/>
              <w:spacing w:before="6"/>
              <w:rPr>
                <w:b/>
                <w:sz w:val="21"/>
              </w:rPr>
            </w:pPr>
          </w:p>
          <w:p w:rsidR="00C31389" w:rsidRDefault="00561FBD" w14:paraId="55AA796D" w14:textId="77777777">
            <w:pPr>
              <w:pStyle w:val="TableParagraph"/>
              <w:spacing w:before="0"/>
              <w:ind w:left="129"/>
              <w:rPr>
                <w:b/>
                <w:sz w:val="20"/>
              </w:rPr>
            </w:pPr>
            <w:r>
              <w:rPr>
                <w:b/>
                <w:sz w:val="20"/>
              </w:rPr>
              <w:t>Incentive</w:t>
            </w:r>
            <w:r>
              <w:rPr>
                <w:b/>
                <w:spacing w:val="-6"/>
                <w:sz w:val="20"/>
              </w:rPr>
              <w:t xml:space="preserve"> </w:t>
            </w:r>
            <w:r>
              <w:rPr>
                <w:b/>
                <w:spacing w:val="-2"/>
                <w:sz w:val="20"/>
              </w:rPr>
              <w:t>levels</w:t>
            </w:r>
          </w:p>
        </w:tc>
        <w:tc>
          <w:tcPr>
            <w:tcW w:w="3952" w:type="dxa"/>
            <w:tcBorders>
              <w:top w:val="single" w:color="D9D9D9" w:sz="2" w:space="0"/>
              <w:bottom w:val="single" w:color="D9D9D9" w:sz="2" w:space="0"/>
            </w:tcBorders>
          </w:tcPr>
          <w:p w:rsidR="00C31389" w:rsidRDefault="00561FBD" w14:paraId="08011EBF" w14:textId="77777777">
            <w:pPr>
              <w:pStyle w:val="TableParagraph"/>
              <w:spacing w:before="41"/>
              <w:ind w:left="240" w:right="185"/>
              <w:rPr>
                <w:sz w:val="20"/>
              </w:rPr>
            </w:pPr>
            <w:r>
              <w:rPr>
                <w:sz w:val="20"/>
              </w:rPr>
              <w:t xml:space="preserve">Varying incentive levels (at a percentage of </w:t>
            </w:r>
            <w:r>
              <w:rPr>
                <w:sz w:val="20"/>
              </w:rPr>
              <w:t>incremental measure cost) will</w:t>
            </w:r>
            <w:r>
              <w:rPr>
                <w:spacing w:val="-1"/>
                <w:sz w:val="20"/>
              </w:rPr>
              <w:t xml:space="preserve"> </w:t>
            </w:r>
            <w:r>
              <w:rPr>
                <w:sz w:val="20"/>
              </w:rPr>
              <w:t>change</w:t>
            </w:r>
            <w:r>
              <w:rPr>
                <w:spacing w:val="-1"/>
                <w:sz w:val="20"/>
              </w:rPr>
              <w:t xml:space="preserve"> </w:t>
            </w:r>
            <w:r>
              <w:rPr>
                <w:sz w:val="20"/>
              </w:rPr>
              <w:t>the</w:t>
            </w:r>
            <w:r>
              <w:rPr>
                <w:spacing w:val="-1"/>
                <w:sz w:val="20"/>
              </w:rPr>
              <w:t xml:space="preserve"> </w:t>
            </w:r>
            <w:r>
              <w:rPr>
                <w:sz w:val="20"/>
              </w:rPr>
              <w:t>cost-effectiveness of</w:t>
            </w:r>
            <w:r>
              <w:rPr>
                <w:spacing w:val="-8"/>
                <w:sz w:val="20"/>
              </w:rPr>
              <w:t xml:space="preserve"> </w:t>
            </w:r>
            <w:r>
              <w:rPr>
                <w:sz w:val="20"/>
              </w:rPr>
              <w:t>measures</w:t>
            </w:r>
            <w:r>
              <w:rPr>
                <w:spacing w:val="-8"/>
                <w:sz w:val="20"/>
              </w:rPr>
              <w:t xml:space="preserve"> </w:t>
            </w:r>
            <w:r>
              <w:rPr>
                <w:sz w:val="20"/>
              </w:rPr>
              <w:t>and</w:t>
            </w:r>
            <w:r>
              <w:rPr>
                <w:spacing w:val="-8"/>
                <w:sz w:val="20"/>
              </w:rPr>
              <w:t xml:space="preserve"> </w:t>
            </w:r>
            <w:r>
              <w:rPr>
                <w:sz w:val="20"/>
              </w:rPr>
              <w:t>their</w:t>
            </w:r>
            <w:r>
              <w:rPr>
                <w:spacing w:val="-8"/>
                <w:sz w:val="20"/>
              </w:rPr>
              <w:t xml:space="preserve"> </w:t>
            </w:r>
            <w:r>
              <w:rPr>
                <w:sz w:val="20"/>
              </w:rPr>
              <w:t>value</w:t>
            </w:r>
            <w:r>
              <w:rPr>
                <w:spacing w:val="-8"/>
                <w:sz w:val="20"/>
              </w:rPr>
              <w:t xml:space="preserve"> </w:t>
            </w:r>
            <w:r>
              <w:rPr>
                <w:sz w:val="20"/>
              </w:rPr>
              <w:t>proposition to customers</w:t>
            </w:r>
          </w:p>
        </w:tc>
        <w:tc>
          <w:tcPr>
            <w:tcW w:w="1756" w:type="dxa"/>
            <w:tcBorders>
              <w:top w:val="single" w:color="D9D9D9" w:sz="2" w:space="0"/>
              <w:bottom w:val="single" w:color="D9D9D9" w:sz="2" w:space="0"/>
            </w:tcBorders>
          </w:tcPr>
          <w:p w:rsidR="00C31389" w:rsidRDefault="00C31389" w14:paraId="2E053831" w14:textId="77777777">
            <w:pPr>
              <w:pStyle w:val="TableParagraph"/>
              <w:spacing w:before="0"/>
              <w:rPr>
                <w:b/>
                <w:sz w:val="20"/>
              </w:rPr>
            </w:pPr>
          </w:p>
          <w:p w:rsidR="00C31389" w:rsidRDefault="00C31389" w14:paraId="19496920" w14:textId="77777777">
            <w:pPr>
              <w:pStyle w:val="TableParagraph"/>
              <w:spacing w:before="11"/>
              <w:rPr>
                <w:b/>
                <w:sz w:val="21"/>
              </w:rPr>
            </w:pPr>
          </w:p>
          <w:p w:rsidR="00C31389" w:rsidRDefault="00561FBD" w14:paraId="3052A261" w14:textId="77777777">
            <w:pPr>
              <w:pStyle w:val="TableParagraph"/>
              <w:spacing w:before="0"/>
              <w:ind w:left="15"/>
              <w:jc w:val="center"/>
              <w:rPr>
                <w:rFonts w:ascii="Segoe UI Emoji" w:hAnsi="Segoe UI Emoji"/>
                <w:sz w:val="20"/>
              </w:rPr>
            </w:pPr>
            <w:r>
              <w:rPr>
                <w:rFonts w:ascii="Segoe UI Emoji" w:hAnsi="Segoe UI Emoji"/>
                <w:sz w:val="20"/>
              </w:rPr>
              <w:t>✔</w:t>
            </w:r>
          </w:p>
        </w:tc>
        <w:tc>
          <w:tcPr>
            <w:tcW w:w="1820" w:type="dxa"/>
            <w:tcBorders>
              <w:top w:val="single" w:color="D9D9D9" w:sz="2" w:space="0"/>
              <w:bottom w:val="single" w:color="D9D9D9" w:sz="2" w:space="0"/>
            </w:tcBorders>
          </w:tcPr>
          <w:p w:rsidR="00C31389" w:rsidRDefault="00C31389" w14:paraId="6D2C2E17" w14:textId="77777777">
            <w:pPr>
              <w:pStyle w:val="TableParagraph"/>
              <w:spacing w:before="0"/>
              <w:rPr>
                <w:b/>
                <w:sz w:val="20"/>
              </w:rPr>
            </w:pPr>
          </w:p>
          <w:p w:rsidR="00C31389" w:rsidRDefault="00C31389" w14:paraId="52F113CD" w14:textId="77777777">
            <w:pPr>
              <w:pStyle w:val="TableParagraph"/>
              <w:spacing w:before="11"/>
              <w:rPr>
                <w:b/>
                <w:sz w:val="21"/>
              </w:rPr>
            </w:pPr>
          </w:p>
          <w:p w:rsidR="00C31389" w:rsidRDefault="00561FBD" w14:paraId="05918B99" w14:textId="77777777">
            <w:pPr>
              <w:pStyle w:val="TableParagraph"/>
              <w:spacing w:before="0"/>
              <w:ind w:left="13"/>
              <w:jc w:val="center"/>
              <w:rPr>
                <w:rFonts w:ascii="Segoe UI Emoji" w:hAnsi="Segoe UI Emoji"/>
                <w:sz w:val="20"/>
              </w:rPr>
            </w:pPr>
            <w:r>
              <w:rPr>
                <w:rFonts w:ascii="Segoe UI Emoji" w:hAnsi="Segoe UI Emoji"/>
                <w:sz w:val="20"/>
              </w:rPr>
              <w:t>✔</w:t>
            </w:r>
          </w:p>
        </w:tc>
      </w:tr>
      <w:tr w:rsidR="00C31389" w14:paraId="458AE6AF" w14:textId="77777777">
        <w:trPr>
          <w:trHeight w:val="771"/>
        </w:trPr>
        <w:tc>
          <w:tcPr>
            <w:tcW w:w="1848" w:type="dxa"/>
            <w:tcBorders>
              <w:top w:val="single" w:color="D9D9D9" w:sz="2" w:space="0"/>
              <w:bottom w:val="single" w:color="000000" w:sz="8" w:space="0"/>
            </w:tcBorders>
          </w:tcPr>
          <w:p w:rsidR="00C31389" w:rsidRDefault="00C31389" w14:paraId="4969CA02" w14:textId="77777777">
            <w:pPr>
              <w:pStyle w:val="TableParagraph"/>
              <w:spacing w:before="6"/>
              <w:rPr>
                <w:b/>
                <w:sz w:val="23"/>
              </w:rPr>
            </w:pPr>
          </w:p>
          <w:p w:rsidR="00C31389" w:rsidRDefault="00561FBD" w14:paraId="7A778BA2" w14:textId="77777777">
            <w:pPr>
              <w:pStyle w:val="TableParagraph"/>
              <w:spacing w:before="0"/>
              <w:ind w:left="129"/>
              <w:rPr>
                <w:b/>
                <w:sz w:val="20"/>
              </w:rPr>
            </w:pPr>
            <w:r>
              <w:rPr>
                <w:b/>
                <w:spacing w:val="-5"/>
                <w:sz w:val="20"/>
              </w:rPr>
              <w:t>FS</w:t>
            </w:r>
          </w:p>
        </w:tc>
        <w:tc>
          <w:tcPr>
            <w:tcW w:w="3952" w:type="dxa"/>
            <w:tcBorders>
              <w:top w:val="single" w:color="D9D9D9" w:sz="2" w:space="0"/>
              <w:bottom w:val="single" w:color="000000" w:sz="8" w:space="0"/>
            </w:tcBorders>
          </w:tcPr>
          <w:p w:rsidR="00C31389" w:rsidRDefault="00561FBD" w14:paraId="5734CF0B" w14:textId="77777777">
            <w:pPr>
              <w:pStyle w:val="TableParagraph"/>
              <w:spacing w:before="41"/>
              <w:ind w:left="239" w:right="185"/>
              <w:rPr>
                <w:sz w:val="20"/>
              </w:rPr>
            </w:pPr>
            <w:r>
              <w:rPr>
                <w:sz w:val="20"/>
              </w:rPr>
              <w:t>Varying adoption parameters (Awareness,</w:t>
            </w:r>
            <w:r>
              <w:rPr>
                <w:spacing w:val="-14"/>
                <w:sz w:val="20"/>
              </w:rPr>
              <w:t xml:space="preserve"> </w:t>
            </w:r>
            <w:r>
              <w:rPr>
                <w:sz w:val="20"/>
              </w:rPr>
              <w:t>Willingness,</w:t>
            </w:r>
            <w:r>
              <w:rPr>
                <w:spacing w:val="-14"/>
                <w:sz w:val="20"/>
              </w:rPr>
              <w:t xml:space="preserve"> </w:t>
            </w:r>
            <w:r>
              <w:rPr>
                <w:sz w:val="20"/>
              </w:rPr>
              <w:t>Sensitivity, Stock Turnover)</w:t>
            </w:r>
          </w:p>
        </w:tc>
        <w:tc>
          <w:tcPr>
            <w:tcW w:w="1756" w:type="dxa"/>
            <w:tcBorders>
              <w:top w:val="single" w:color="D9D9D9" w:sz="2" w:space="0"/>
              <w:bottom w:val="single" w:color="000000" w:sz="8" w:space="0"/>
            </w:tcBorders>
          </w:tcPr>
          <w:p w:rsidR="00C31389" w:rsidRDefault="00C31389" w14:paraId="1FF7C951" w14:textId="77777777">
            <w:pPr>
              <w:pStyle w:val="TableParagraph"/>
              <w:spacing w:before="0"/>
              <w:rPr>
                <w:rFonts w:ascii="Times New Roman"/>
                <w:sz w:val="20"/>
              </w:rPr>
            </w:pPr>
          </w:p>
        </w:tc>
        <w:tc>
          <w:tcPr>
            <w:tcW w:w="1820" w:type="dxa"/>
            <w:tcBorders>
              <w:top w:val="single" w:color="D9D9D9" w:sz="2" w:space="0"/>
              <w:bottom w:val="single" w:color="000000" w:sz="8" w:space="0"/>
            </w:tcBorders>
          </w:tcPr>
          <w:p w:rsidR="00C31389" w:rsidRDefault="00C31389" w14:paraId="7FF2E69D" w14:textId="77777777">
            <w:pPr>
              <w:pStyle w:val="TableParagraph"/>
              <w:spacing w:before="10"/>
              <w:rPr>
                <w:b/>
                <w:sz w:val="21"/>
              </w:rPr>
            </w:pPr>
          </w:p>
          <w:p w:rsidR="00C31389" w:rsidRDefault="00561FBD" w14:paraId="24860C19" w14:textId="77777777">
            <w:pPr>
              <w:pStyle w:val="TableParagraph"/>
              <w:spacing w:before="0"/>
              <w:ind w:left="13"/>
              <w:jc w:val="center"/>
              <w:rPr>
                <w:rFonts w:ascii="Segoe UI Emoji" w:hAnsi="Segoe UI Emoji"/>
                <w:sz w:val="20"/>
              </w:rPr>
            </w:pPr>
            <w:r>
              <w:rPr>
                <w:rFonts w:ascii="Segoe UI Emoji" w:hAnsi="Segoe UI Emoji"/>
                <w:sz w:val="20"/>
              </w:rPr>
              <w:t>✔</w:t>
            </w:r>
          </w:p>
        </w:tc>
      </w:tr>
    </w:tbl>
    <w:p w:rsidR="00C31389" w:rsidRDefault="00561FBD" w14:paraId="7CC0ABFA"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06927EF3" w14:textId="77777777">
      <w:pPr>
        <w:pStyle w:val="BodyText"/>
        <w:spacing w:before="9"/>
        <w:rPr>
          <w:i/>
          <w:sz w:val="20"/>
        </w:rPr>
      </w:pPr>
    </w:p>
    <w:p w:rsidR="00C31389" w:rsidRDefault="00561FBD" w14:paraId="3D1CDDC2" w14:textId="77777777">
      <w:pPr>
        <w:pStyle w:val="BodyText"/>
        <w:ind w:left="480"/>
      </w:pPr>
      <w:r>
        <w:t>Each</w:t>
      </w:r>
      <w:r>
        <w:rPr>
          <w:spacing w:val="-5"/>
        </w:rPr>
        <w:t xml:space="preserve"> </w:t>
      </w:r>
      <w:r>
        <w:t>variable</w:t>
      </w:r>
      <w:r>
        <w:rPr>
          <w:spacing w:val="-5"/>
        </w:rPr>
        <w:t xml:space="preserve"> </w:t>
      </w:r>
      <w:r>
        <w:t>used</w:t>
      </w:r>
      <w:r>
        <w:rPr>
          <w:spacing w:val="-5"/>
        </w:rPr>
        <w:t xml:space="preserve"> </w:t>
      </w:r>
      <w:r>
        <w:t>for</w:t>
      </w:r>
      <w:r>
        <w:rPr>
          <w:spacing w:val="-5"/>
        </w:rPr>
        <w:t xml:space="preserve"> </w:t>
      </w:r>
      <w:r>
        <w:t>the</w:t>
      </w:r>
      <w:r>
        <w:rPr>
          <w:spacing w:val="-5"/>
        </w:rPr>
        <w:t xml:space="preserve"> </w:t>
      </w:r>
      <w:r>
        <w:t>scenarios</w:t>
      </w:r>
      <w:r>
        <w:rPr>
          <w:spacing w:val="-6"/>
        </w:rPr>
        <w:t xml:space="preserve"> </w:t>
      </w:r>
      <w:r>
        <w:t>has</w:t>
      </w:r>
      <w:r>
        <w:rPr>
          <w:spacing w:val="-5"/>
        </w:rPr>
        <w:t xml:space="preserve"> </w:t>
      </w:r>
      <w:r>
        <w:t>a</w:t>
      </w:r>
      <w:r>
        <w:rPr>
          <w:spacing w:val="-5"/>
        </w:rPr>
        <w:t xml:space="preserve"> </w:t>
      </w:r>
      <w:r>
        <w:t>range</w:t>
      </w:r>
      <w:r>
        <w:rPr>
          <w:spacing w:val="-6"/>
        </w:rPr>
        <w:t xml:space="preserve"> </w:t>
      </w:r>
      <w:r>
        <w:t>of</w:t>
      </w:r>
      <w:r>
        <w:rPr>
          <w:spacing w:val="-4"/>
        </w:rPr>
        <w:t xml:space="preserve"> </w:t>
      </w:r>
      <w:r>
        <w:t>options,</w:t>
      </w:r>
      <w:r>
        <w:rPr>
          <w:spacing w:val="-5"/>
        </w:rPr>
        <w:t xml:space="preserve"> </w:t>
      </w:r>
      <w:r>
        <w:t>as</w:t>
      </w:r>
      <w:r>
        <w:rPr>
          <w:spacing w:val="-5"/>
        </w:rPr>
        <w:t xml:space="preserve"> </w:t>
      </w:r>
      <w:hyperlink w:history="1" w:anchor="_bookmark92">
        <w:r>
          <w:t>Table</w:t>
        </w:r>
        <w:r>
          <w:rPr>
            <w:spacing w:val="-5"/>
          </w:rPr>
          <w:t xml:space="preserve"> </w:t>
        </w:r>
        <w:r>
          <w:t>2-9</w:t>
        </w:r>
      </w:hyperlink>
      <w:r>
        <w:rPr>
          <w:spacing w:val="-6"/>
        </w:rPr>
        <w:t xml:space="preserve"> </w:t>
      </w:r>
      <w:r>
        <w:rPr>
          <w:spacing w:val="-2"/>
        </w:rPr>
        <w:t>describes.</w:t>
      </w:r>
    </w:p>
    <w:p w:rsidR="00C31389" w:rsidRDefault="00C31389" w14:paraId="17743F22" w14:textId="77777777">
      <w:pPr>
        <w:pStyle w:val="BodyText"/>
        <w:spacing w:before="10"/>
        <w:rPr>
          <w:sz w:val="20"/>
        </w:rPr>
      </w:pPr>
    </w:p>
    <w:p w:rsidR="00C31389" w:rsidRDefault="00561FBD" w14:paraId="61A6C527" w14:textId="77777777">
      <w:pPr>
        <w:pStyle w:val="Heading7"/>
        <w:ind w:left="2512"/>
      </w:pPr>
      <w:bookmarkStart w:name="_bookmark92" w:id="123"/>
      <w:bookmarkEnd w:id="123"/>
      <w:r>
        <w:t>Table</w:t>
      </w:r>
      <w:r>
        <w:rPr>
          <w:spacing w:val="-6"/>
        </w:rPr>
        <w:t xml:space="preserve"> </w:t>
      </w:r>
      <w:r>
        <w:t>2-10.</w:t>
      </w:r>
      <w:r>
        <w:rPr>
          <w:spacing w:val="-7"/>
        </w:rPr>
        <w:t xml:space="preserve"> </w:t>
      </w:r>
      <w:r>
        <w:t>Range</w:t>
      </w:r>
      <w:r>
        <w:rPr>
          <w:spacing w:val="-6"/>
        </w:rPr>
        <w:t xml:space="preserve"> </w:t>
      </w:r>
      <w:r>
        <w:t>of</w:t>
      </w:r>
      <w:r>
        <w:rPr>
          <w:spacing w:val="-6"/>
        </w:rPr>
        <w:t xml:space="preserve"> </w:t>
      </w:r>
      <w:r>
        <w:t>Values</w:t>
      </w:r>
      <w:r>
        <w:rPr>
          <w:spacing w:val="-6"/>
        </w:rPr>
        <w:t xml:space="preserve"> </w:t>
      </w:r>
      <w:r>
        <w:t>for</w:t>
      </w:r>
      <w:r>
        <w:rPr>
          <w:spacing w:val="-7"/>
        </w:rPr>
        <w:t xml:space="preserve"> </w:t>
      </w:r>
      <w:r>
        <w:t>Scenario</w:t>
      </w:r>
      <w:r>
        <w:rPr>
          <w:spacing w:val="-5"/>
        </w:rPr>
        <w:t xml:space="preserve"> </w:t>
      </w:r>
      <w:r>
        <w:rPr>
          <w:spacing w:val="-2"/>
        </w:rPr>
        <w:t>Variables</w:t>
      </w:r>
    </w:p>
    <w:p w:rsidR="00C31389" w:rsidRDefault="00C31389" w14:paraId="55E66626" w14:textId="77777777">
      <w:pPr>
        <w:pStyle w:val="BodyText"/>
        <w:spacing w:before="7" w:after="1"/>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859"/>
        <w:gridCol w:w="3613"/>
        <w:gridCol w:w="3903"/>
      </w:tblGrid>
      <w:tr w:rsidR="00C31389" w14:paraId="1C317865" w14:textId="77777777">
        <w:trPr>
          <w:trHeight w:val="416"/>
        </w:trPr>
        <w:tc>
          <w:tcPr>
            <w:tcW w:w="1859" w:type="dxa"/>
            <w:shd w:val="clear" w:color="auto" w:fill="92D400"/>
          </w:tcPr>
          <w:p w:rsidR="00C31389" w:rsidRDefault="00C31389" w14:paraId="02E998C0" w14:textId="77777777">
            <w:pPr>
              <w:pStyle w:val="TableParagraph"/>
              <w:spacing w:before="3"/>
              <w:rPr>
                <w:b/>
                <w:sz w:val="19"/>
              </w:rPr>
            </w:pPr>
          </w:p>
          <w:p w:rsidR="00C31389" w:rsidRDefault="00561FBD" w14:paraId="5695A22A" w14:textId="77777777">
            <w:pPr>
              <w:pStyle w:val="TableParagraph"/>
              <w:spacing w:before="0" w:line="174" w:lineRule="exact"/>
              <w:ind w:left="129"/>
              <w:rPr>
                <w:b/>
                <w:sz w:val="20"/>
              </w:rPr>
            </w:pPr>
            <w:r>
              <w:rPr>
                <w:b/>
                <w:spacing w:val="-2"/>
                <w:sz w:val="20"/>
              </w:rPr>
              <w:t>Lever</w:t>
            </w:r>
          </w:p>
        </w:tc>
        <w:tc>
          <w:tcPr>
            <w:tcW w:w="7516" w:type="dxa"/>
            <w:gridSpan w:val="2"/>
            <w:shd w:val="clear" w:color="auto" w:fill="92D400"/>
          </w:tcPr>
          <w:p w:rsidR="00C31389" w:rsidRDefault="00561FBD" w14:paraId="457B09BD" w14:textId="77777777">
            <w:pPr>
              <w:pStyle w:val="TableParagraph"/>
              <w:spacing w:before="56"/>
              <w:ind w:left="3111" w:right="2977"/>
              <w:jc w:val="center"/>
              <w:rPr>
                <w:b/>
                <w:sz w:val="20"/>
              </w:rPr>
            </w:pPr>
            <w:r>
              <w:rPr>
                <w:noProof/>
              </w:rPr>
              <mc:AlternateContent>
                <mc:Choice Requires="wpg">
                  <w:drawing>
                    <wp:anchor distT="0" distB="0" distL="0" distR="0" simplePos="0" relativeHeight="15759872" behindDoc="0" locked="0" layoutInCell="1" allowOverlap="1" wp14:editId="46D7BBF8" wp14:anchorId="05FC9B20">
                      <wp:simplePos x="0" y="0"/>
                      <wp:positionH relativeFrom="column">
                        <wp:posOffset>86214</wp:posOffset>
                      </wp:positionH>
                      <wp:positionV relativeFrom="paragraph">
                        <wp:posOffset>217168</wp:posOffset>
                      </wp:positionV>
                      <wp:extent cx="4686300" cy="635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0" cy="6350"/>
                                <a:chOff x="0" y="0"/>
                                <a:chExt cx="4686300" cy="6350"/>
                              </a:xfrm>
                            </wpg:grpSpPr>
                            <wps:wsp>
                              <wps:cNvPr id="181" name="Graphic 181"/>
                              <wps:cNvSpPr/>
                              <wps:spPr>
                                <a:xfrm>
                                  <a:off x="0" y="0"/>
                                  <a:ext cx="4686300" cy="6350"/>
                                </a:xfrm>
                                <a:custGeom>
                                  <a:avLst/>
                                  <a:gdLst/>
                                  <a:ahLst/>
                                  <a:cxnLst/>
                                  <a:rect l="l" t="t" r="r" b="b"/>
                                  <a:pathLst>
                                    <a:path w="4686300" h="6350">
                                      <a:moveTo>
                                        <a:pt x="4686300" y="0"/>
                                      </a:moveTo>
                                      <a:lnTo>
                                        <a:pt x="2234946" y="0"/>
                                      </a:lnTo>
                                      <a:lnTo>
                                        <a:pt x="2228850" y="0"/>
                                      </a:lnTo>
                                      <a:lnTo>
                                        <a:pt x="0" y="0"/>
                                      </a:lnTo>
                                      <a:lnTo>
                                        <a:pt x="0" y="6096"/>
                                      </a:lnTo>
                                      <a:lnTo>
                                        <a:pt x="2228850" y="6096"/>
                                      </a:lnTo>
                                      <a:lnTo>
                                        <a:pt x="2234946" y="6096"/>
                                      </a:lnTo>
                                      <a:lnTo>
                                        <a:pt x="4686300" y="6096"/>
                                      </a:lnTo>
                                      <a:lnTo>
                                        <a:pt x="46863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id="Group 180" style="position:absolute;margin-left:6.8pt;margin-top:17.1pt;width:369pt;height:.5pt;z-index:15759872;mso-wrap-distance-left:0;mso-wrap-distance-right:0" coordsize="46863,63" o:spid="_x0000_s1026" w14:anchorId="68EC0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">
                      <v:shape id="Graphic 181" style="position:absolute;width:46863;height:63;visibility:visible;mso-wrap-style:square;v-text-anchor:top" coordsize="4686300,6350" o:spid="_x0000_s1027" fillcolor="#e4e4e4" stroked="f" path="m4686300,l2234946,r-6096,l,,,6096r2228850,l2234946,6096r2451354,l4686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">
                        <v:path arrowok="t"/>
                      </v:shape>
                    </v:group>
                  </w:pict>
                </mc:Fallback>
              </mc:AlternateContent>
            </w:r>
            <w:r>
              <w:rPr>
                <w:b/>
                <w:spacing w:val="-2"/>
                <w:sz w:val="20"/>
              </w:rPr>
              <w:t>Range/Bounds</w:t>
            </w:r>
          </w:p>
        </w:tc>
      </w:tr>
      <w:tr w:rsidR="00C31389" w14:paraId="5B29DE25" w14:textId="77777777">
        <w:trPr>
          <w:trHeight w:val="275"/>
        </w:trPr>
        <w:tc>
          <w:tcPr>
            <w:tcW w:w="1859" w:type="dxa"/>
            <w:shd w:val="clear" w:color="auto" w:fill="92D400"/>
          </w:tcPr>
          <w:p w:rsidR="00C31389" w:rsidRDefault="00C31389" w14:paraId="30E48146" w14:textId="77777777">
            <w:pPr>
              <w:pStyle w:val="TableParagraph"/>
              <w:spacing w:before="0"/>
              <w:rPr>
                <w:rFonts w:ascii="Times New Roman"/>
                <w:sz w:val="20"/>
              </w:rPr>
            </w:pPr>
          </w:p>
        </w:tc>
        <w:tc>
          <w:tcPr>
            <w:tcW w:w="3613" w:type="dxa"/>
            <w:shd w:val="clear" w:color="auto" w:fill="92D400"/>
          </w:tcPr>
          <w:p w:rsidR="00C31389" w:rsidRDefault="00561FBD" w14:paraId="49403851" w14:textId="77777777">
            <w:pPr>
              <w:pStyle w:val="TableParagraph"/>
              <w:spacing w:before="0" w:line="212" w:lineRule="exact"/>
              <w:ind w:left="1607" w:right="1440"/>
              <w:jc w:val="center"/>
              <w:rPr>
                <w:sz w:val="20"/>
              </w:rPr>
            </w:pPr>
            <w:r>
              <w:rPr>
                <w:spacing w:val="-4"/>
                <w:sz w:val="20"/>
              </w:rPr>
              <w:t>Lower</w:t>
            </w:r>
          </w:p>
        </w:tc>
        <w:tc>
          <w:tcPr>
            <w:tcW w:w="3903" w:type="dxa"/>
            <w:shd w:val="clear" w:color="auto" w:fill="92D400"/>
          </w:tcPr>
          <w:p w:rsidR="00C31389" w:rsidRDefault="00561FBD" w14:paraId="3FBD45C1" w14:textId="77777777">
            <w:pPr>
              <w:pStyle w:val="TableParagraph"/>
              <w:spacing w:before="0" w:line="212" w:lineRule="exact"/>
              <w:ind w:left="1684" w:right="1653"/>
              <w:jc w:val="center"/>
              <w:rPr>
                <w:sz w:val="20"/>
              </w:rPr>
            </w:pPr>
            <w:r>
              <w:rPr>
                <w:spacing w:val="-4"/>
                <w:sz w:val="20"/>
              </w:rPr>
              <w:t>Upper</w:t>
            </w:r>
          </w:p>
        </w:tc>
      </w:tr>
      <w:tr w:rsidR="00C31389" w14:paraId="1F6AA5CE" w14:textId="77777777">
        <w:trPr>
          <w:trHeight w:val="770"/>
        </w:trPr>
        <w:tc>
          <w:tcPr>
            <w:tcW w:w="1859" w:type="dxa"/>
            <w:tcBorders>
              <w:bottom w:val="single" w:color="000000" w:sz="4" w:space="0"/>
            </w:tcBorders>
          </w:tcPr>
          <w:p w:rsidR="00C31389" w:rsidRDefault="00C31389" w14:paraId="703C13E5" w14:textId="77777777">
            <w:pPr>
              <w:pStyle w:val="TableParagraph"/>
              <w:spacing w:before="6"/>
              <w:rPr>
                <w:b/>
                <w:sz w:val="23"/>
              </w:rPr>
            </w:pPr>
          </w:p>
          <w:p w:rsidR="00C31389" w:rsidRDefault="00561FBD" w14:paraId="4BD42BF5" w14:textId="77777777">
            <w:pPr>
              <w:pStyle w:val="TableParagraph"/>
              <w:spacing w:before="0"/>
              <w:ind w:left="129"/>
              <w:rPr>
                <w:b/>
                <w:sz w:val="20"/>
              </w:rPr>
            </w:pPr>
            <w:r>
              <w:rPr>
                <w:b/>
                <w:sz w:val="20"/>
              </w:rPr>
              <w:t>IRA</w:t>
            </w:r>
            <w:r>
              <w:rPr>
                <w:b/>
                <w:spacing w:val="-1"/>
                <w:sz w:val="20"/>
              </w:rPr>
              <w:t xml:space="preserve"> </w:t>
            </w:r>
            <w:r>
              <w:rPr>
                <w:b/>
                <w:spacing w:val="-2"/>
                <w:sz w:val="20"/>
              </w:rPr>
              <w:t>Credits</w:t>
            </w:r>
          </w:p>
        </w:tc>
        <w:tc>
          <w:tcPr>
            <w:tcW w:w="3613" w:type="dxa"/>
            <w:tcBorders>
              <w:bottom w:val="single" w:color="000000" w:sz="4" w:space="0"/>
            </w:tcBorders>
          </w:tcPr>
          <w:p w:rsidR="00C31389" w:rsidRDefault="00561FBD" w14:paraId="25A721E8" w14:textId="77777777">
            <w:pPr>
              <w:pStyle w:val="TableParagraph"/>
              <w:spacing w:before="41"/>
              <w:ind w:left="250" w:right="131"/>
              <w:rPr>
                <w:sz w:val="20"/>
              </w:rPr>
            </w:pPr>
            <w:r>
              <w:rPr>
                <w:sz w:val="20"/>
              </w:rPr>
              <w:t>Conservative:</w:t>
            </w:r>
            <w:r>
              <w:rPr>
                <w:spacing w:val="-14"/>
                <w:sz w:val="20"/>
              </w:rPr>
              <w:t xml:space="preserve"> </w:t>
            </w:r>
            <w:r>
              <w:rPr>
                <w:sz w:val="20"/>
              </w:rPr>
              <w:t>Estimated</w:t>
            </w:r>
            <w:r>
              <w:rPr>
                <w:spacing w:val="-14"/>
                <w:sz w:val="20"/>
              </w:rPr>
              <w:t xml:space="preserve"> </w:t>
            </w:r>
            <w:r>
              <w:rPr>
                <w:sz w:val="20"/>
              </w:rPr>
              <w:t>Residential Sector and Low EE Potential Commercial Sector</w:t>
            </w:r>
          </w:p>
        </w:tc>
        <w:tc>
          <w:tcPr>
            <w:tcW w:w="3903" w:type="dxa"/>
            <w:tcBorders>
              <w:bottom w:val="single" w:color="000000" w:sz="4" w:space="0"/>
            </w:tcBorders>
          </w:tcPr>
          <w:p w:rsidR="00C31389" w:rsidRDefault="00561FBD" w14:paraId="17CC9B33" w14:textId="77777777">
            <w:pPr>
              <w:pStyle w:val="TableParagraph"/>
              <w:spacing w:before="41"/>
              <w:ind w:left="327" w:right="93"/>
              <w:rPr>
                <w:sz w:val="20"/>
              </w:rPr>
            </w:pPr>
            <w:r>
              <w:rPr>
                <w:sz w:val="20"/>
              </w:rPr>
              <w:t>Aggressive:</w:t>
            </w:r>
            <w:r>
              <w:rPr>
                <w:spacing w:val="-14"/>
                <w:sz w:val="20"/>
              </w:rPr>
              <w:t xml:space="preserve"> </w:t>
            </w:r>
            <w:r>
              <w:rPr>
                <w:sz w:val="20"/>
              </w:rPr>
              <w:t>Estimated</w:t>
            </w:r>
            <w:r>
              <w:rPr>
                <w:spacing w:val="-14"/>
                <w:sz w:val="20"/>
              </w:rPr>
              <w:t xml:space="preserve"> </w:t>
            </w:r>
            <w:r>
              <w:rPr>
                <w:sz w:val="20"/>
              </w:rPr>
              <w:t>Residential Sector and High EE Potential Commercial Sector</w:t>
            </w:r>
          </w:p>
        </w:tc>
      </w:tr>
      <w:tr w:rsidR="00C31389" w14:paraId="4FBE60B8" w14:textId="77777777">
        <w:trPr>
          <w:trHeight w:val="1040"/>
        </w:trPr>
        <w:tc>
          <w:tcPr>
            <w:tcW w:w="1859" w:type="dxa"/>
            <w:tcBorders>
              <w:top w:val="single" w:color="000000" w:sz="4" w:space="0"/>
              <w:bottom w:val="single" w:color="000000" w:sz="4" w:space="0"/>
            </w:tcBorders>
          </w:tcPr>
          <w:p w:rsidR="00C31389" w:rsidRDefault="00C31389" w14:paraId="5967A51A" w14:textId="77777777">
            <w:pPr>
              <w:pStyle w:val="TableParagraph"/>
              <w:spacing w:before="0"/>
              <w:rPr>
                <w:b/>
              </w:rPr>
            </w:pPr>
          </w:p>
          <w:p w:rsidR="00C31389" w:rsidRDefault="00561FBD" w14:paraId="7835CB68" w14:textId="77777777">
            <w:pPr>
              <w:pStyle w:val="TableParagraph"/>
              <w:spacing w:before="153"/>
              <w:ind w:left="129"/>
              <w:rPr>
                <w:b/>
                <w:sz w:val="20"/>
              </w:rPr>
            </w:pPr>
            <w:r>
              <w:rPr>
                <w:b/>
                <w:sz w:val="20"/>
              </w:rPr>
              <w:t>Incentive</w:t>
            </w:r>
            <w:r>
              <w:rPr>
                <w:b/>
                <w:spacing w:val="-6"/>
                <w:sz w:val="20"/>
              </w:rPr>
              <w:t xml:space="preserve"> </w:t>
            </w:r>
            <w:r>
              <w:rPr>
                <w:b/>
                <w:spacing w:val="-2"/>
                <w:sz w:val="20"/>
              </w:rPr>
              <w:t>levels</w:t>
            </w:r>
          </w:p>
        </w:tc>
        <w:tc>
          <w:tcPr>
            <w:tcW w:w="3613" w:type="dxa"/>
            <w:tcBorders>
              <w:top w:val="single" w:color="000000" w:sz="4" w:space="0"/>
              <w:bottom w:val="single" w:color="000000" w:sz="4" w:space="0"/>
            </w:tcBorders>
          </w:tcPr>
          <w:p w:rsidR="00C31389" w:rsidRDefault="00561FBD" w14:paraId="42C94360" w14:textId="77777777">
            <w:pPr>
              <w:pStyle w:val="TableParagraph"/>
              <w:spacing w:before="41" w:line="261" w:lineRule="auto"/>
              <w:ind w:left="250" w:right="131"/>
              <w:rPr>
                <w:sz w:val="20"/>
              </w:rPr>
            </w:pPr>
            <w:r>
              <w:rPr>
                <w:sz w:val="20"/>
              </w:rPr>
              <w:t>Capped</w:t>
            </w:r>
            <w:r>
              <w:rPr>
                <w:spacing w:val="-8"/>
                <w:sz w:val="20"/>
              </w:rPr>
              <w:t xml:space="preserve"> </w:t>
            </w:r>
            <w:r>
              <w:rPr>
                <w:sz w:val="20"/>
              </w:rPr>
              <w:t>at</w:t>
            </w:r>
            <w:r>
              <w:rPr>
                <w:spacing w:val="-8"/>
                <w:sz w:val="20"/>
              </w:rPr>
              <w:t xml:space="preserve"> </w:t>
            </w:r>
            <w:r>
              <w:rPr>
                <w:sz w:val="20"/>
              </w:rPr>
              <w:t>50%</w:t>
            </w:r>
            <w:r>
              <w:rPr>
                <w:spacing w:val="-7"/>
                <w:sz w:val="20"/>
              </w:rPr>
              <w:t xml:space="preserve"> </w:t>
            </w:r>
            <w:r>
              <w:rPr>
                <w:sz w:val="20"/>
              </w:rPr>
              <w:t>of</w:t>
            </w:r>
            <w:r>
              <w:rPr>
                <w:spacing w:val="-8"/>
                <w:sz w:val="20"/>
              </w:rPr>
              <w:t xml:space="preserve"> </w:t>
            </w:r>
            <w:r>
              <w:rPr>
                <w:sz w:val="20"/>
              </w:rPr>
              <w:t>incremental</w:t>
            </w:r>
            <w:r>
              <w:rPr>
                <w:spacing w:val="-8"/>
                <w:sz w:val="20"/>
              </w:rPr>
              <w:t xml:space="preserve"> </w:t>
            </w:r>
            <w:r>
              <w:rPr>
                <w:sz w:val="20"/>
              </w:rPr>
              <w:t>cost or existing program levels for EE Capped</w:t>
            </w:r>
            <w:r>
              <w:rPr>
                <w:spacing w:val="-8"/>
                <w:sz w:val="20"/>
              </w:rPr>
              <w:t xml:space="preserve"> </w:t>
            </w:r>
            <w:r>
              <w:rPr>
                <w:sz w:val="20"/>
              </w:rPr>
              <w:t>at</w:t>
            </w:r>
            <w:r>
              <w:rPr>
                <w:spacing w:val="-8"/>
                <w:sz w:val="20"/>
              </w:rPr>
              <w:t xml:space="preserve"> </w:t>
            </w:r>
            <w:r>
              <w:rPr>
                <w:sz w:val="20"/>
              </w:rPr>
              <w:t>75%</w:t>
            </w:r>
            <w:r>
              <w:rPr>
                <w:spacing w:val="-7"/>
                <w:sz w:val="20"/>
              </w:rPr>
              <w:t xml:space="preserve"> </w:t>
            </w:r>
            <w:r>
              <w:rPr>
                <w:sz w:val="20"/>
              </w:rPr>
              <w:t>of</w:t>
            </w:r>
            <w:r>
              <w:rPr>
                <w:spacing w:val="-8"/>
                <w:sz w:val="20"/>
              </w:rPr>
              <w:t xml:space="preserve"> </w:t>
            </w:r>
            <w:r>
              <w:rPr>
                <w:sz w:val="20"/>
              </w:rPr>
              <w:t>incremental</w:t>
            </w:r>
            <w:r>
              <w:rPr>
                <w:spacing w:val="-8"/>
                <w:sz w:val="20"/>
              </w:rPr>
              <w:t xml:space="preserve"> </w:t>
            </w:r>
            <w:r>
              <w:rPr>
                <w:sz w:val="20"/>
              </w:rPr>
              <w:t>cost</w:t>
            </w:r>
          </w:p>
          <w:p w:rsidR="00C31389" w:rsidRDefault="00561FBD" w14:paraId="3E2A979C" w14:textId="77777777">
            <w:pPr>
              <w:pStyle w:val="TableParagraph"/>
              <w:spacing w:before="0" w:line="208" w:lineRule="exact"/>
              <w:ind w:left="250"/>
              <w:rPr>
                <w:sz w:val="20"/>
              </w:rPr>
            </w:pPr>
            <w:r>
              <w:rPr>
                <w:sz w:val="20"/>
              </w:rPr>
              <w:t>or</w:t>
            </w:r>
            <w:r>
              <w:rPr>
                <w:spacing w:val="-3"/>
                <w:sz w:val="20"/>
              </w:rPr>
              <w:t xml:space="preserve"> </w:t>
            </w:r>
            <w:r>
              <w:rPr>
                <w:sz w:val="20"/>
              </w:rPr>
              <w:t>existing</w:t>
            </w:r>
            <w:r>
              <w:rPr>
                <w:spacing w:val="-4"/>
                <w:sz w:val="20"/>
              </w:rPr>
              <w:t xml:space="preserve"> </w:t>
            </w:r>
            <w:r>
              <w:rPr>
                <w:sz w:val="20"/>
              </w:rPr>
              <w:t>program</w:t>
            </w:r>
            <w:r>
              <w:rPr>
                <w:spacing w:val="-3"/>
                <w:sz w:val="20"/>
              </w:rPr>
              <w:t xml:space="preserve"> </w:t>
            </w:r>
            <w:r>
              <w:rPr>
                <w:sz w:val="20"/>
              </w:rPr>
              <w:t>levels</w:t>
            </w:r>
            <w:r>
              <w:rPr>
                <w:spacing w:val="-5"/>
                <w:sz w:val="20"/>
              </w:rPr>
              <w:t xml:space="preserve"> </w:t>
            </w:r>
            <w:r>
              <w:rPr>
                <w:sz w:val="20"/>
              </w:rPr>
              <w:t>for</w:t>
            </w:r>
            <w:r>
              <w:rPr>
                <w:spacing w:val="-2"/>
                <w:sz w:val="20"/>
              </w:rPr>
              <w:t xml:space="preserve"> </w:t>
            </w:r>
            <w:r>
              <w:rPr>
                <w:spacing w:val="-5"/>
                <w:sz w:val="20"/>
              </w:rPr>
              <w:t>FS</w:t>
            </w:r>
          </w:p>
        </w:tc>
        <w:tc>
          <w:tcPr>
            <w:tcW w:w="3903" w:type="dxa"/>
            <w:tcBorders>
              <w:top w:val="single" w:color="000000" w:sz="4" w:space="0"/>
              <w:bottom w:val="single" w:color="000000" w:sz="4" w:space="0"/>
            </w:tcBorders>
          </w:tcPr>
          <w:p w:rsidR="00C31389" w:rsidRDefault="00C31389" w14:paraId="03071E6E" w14:textId="77777777">
            <w:pPr>
              <w:pStyle w:val="TableParagraph"/>
              <w:spacing w:before="3"/>
              <w:rPr>
                <w:b/>
                <w:sz w:val="25"/>
              </w:rPr>
            </w:pPr>
          </w:p>
          <w:p w:rsidR="00C31389" w:rsidRDefault="00561FBD" w14:paraId="432724DF" w14:textId="77777777">
            <w:pPr>
              <w:pStyle w:val="TableParagraph"/>
              <w:spacing w:before="0"/>
              <w:ind w:left="147" w:right="93"/>
              <w:rPr>
                <w:sz w:val="20"/>
              </w:rPr>
            </w:pPr>
            <w:r>
              <w:rPr>
                <w:sz w:val="20"/>
              </w:rPr>
              <w:t>Capped</w:t>
            </w:r>
            <w:r>
              <w:rPr>
                <w:spacing w:val="-7"/>
                <w:sz w:val="20"/>
              </w:rPr>
              <w:t xml:space="preserve"> </w:t>
            </w:r>
            <w:r>
              <w:rPr>
                <w:sz w:val="20"/>
              </w:rPr>
              <w:t>at</w:t>
            </w:r>
            <w:r>
              <w:rPr>
                <w:spacing w:val="-7"/>
                <w:sz w:val="20"/>
              </w:rPr>
              <w:t xml:space="preserve"> </w:t>
            </w:r>
            <w:r>
              <w:rPr>
                <w:sz w:val="20"/>
              </w:rPr>
              <w:t>75%</w:t>
            </w:r>
            <w:r>
              <w:rPr>
                <w:spacing w:val="-6"/>
                <w:sz w:val="20"/>
              </w:rPr>
              <w:t xml:space="preserve"> </w:t>
            </w:r>
            <w:r>
              <w:rPr>
                <w:sz w:val="20"/>
              </w:rPr>
              <w:t>of</w:t>
            </w:r>
            <w:r>
              <w:rPr>
                <w:spacing w:val="-7"/>
                <w:sz w:val="20"/>
              </w:rPr>
              <w:t xml:space="preserve"> </w:t>
            </w:r>
            <w:r>
              <w:rPr>
                <w:sz w:val="20"/>
              </w:rPr>
              <w:t>incremental</w:t>
            </w:r>
            <w:r>
              <w:rPr>
                <w:spacing w:val="-7"/>
                <w:sz w:val="20"/>
              </w:rPr>
              <w:t xml:space="preserve"> </w:t>
            </w:r>
            <w:r>
              <w:rPr>
                <w:sz w:val="20"/>
              </w:rPr>
              <w:t>cost</w:t>
            </w:r>
            <w:r>
              <w:rPr>
                <w:spacing w:val="-8"/>
                <w:sz w:val="20"/>
              </w:rPr>
              <w:t xml:space="preserve"> </w:t>
            </w:r>
            <w:r>
              <w:rPr>
                <w:sz w:val="20"/>
              </w:rPr>
              <w:t>for EE, 90% for FS</w:t>
            </w:r>
          </w:p>
        </w:tc>
      </w:tr>
      <w:tr w:rsidR="00C31389" w14:paraId="5C4ED95F" w14:textId="77777777">
        <w:trPr>
          <w:trHeight w:val="1013"/>
        </w:trPr>
        <w:tc>
          <w:tcPr>
            <w:tcW w:w="1859" w:type="dxa"/>
            <w:tcBorders>
              <w:top w:val="single" w:color="000000" w:sz="4" w:space="0"/>
              <w:bottom w:val="single" w:color="000000" w:sz="8" w:space="0"/>
            </w:tcBorders>
          </w:tcPr>
          <w:p w:rsidR="00C31389" w:rsidRDefault="00C31389" w14:paraId="55915E4A" w14:textId="77777777">
            <w:pPr>
              <w:pStyle w:val="TableParagraph"/>
              <w:spacing w:before="0"/>
              <w:rPr>
                <w:b/>
              </w:rPr>
            </w:pPr>
          </w:p>
          <w:p w:rsidR="00C31389" w:rsidRDefault="00561FBD" w14:paraId="44DB28DB" w14:textId="77777777">
            <w:pPr>
              <w:pStyle w:val="TableParagraph"/>
              <w:spacing w:before="140"/>
              <w:ind w:left="129"/>
              <w:rPr>
                <w:b/>
                <w:sz w:val="20"/>
              </w:rPr>
            </w:pPr>
            <w:r>
              <w:rPr>
                <w:b/>
                <w:spacing w:val="-5"/>
                <w:sz w:val="20"/>
              </w:rPr>
              <w:t>FS</w:t>
            </w:r>
          </w:p>
        </w:tc>
        <w:tc>
          <w:tcPr>
            <w:tcW w:w="3613" w:type="dxa"/>
            <w:tcBorders>
              <w:top w:val="single" w:color="000000" w:sz="4" w:space="0"/>
              <w:bottom w:val="single" w:color="000000" w:sz="8" w:space="0"/>
            </w:tcBorders>
          </w:tcPr>
          <w:p w:rsidR="00C31389" w:rsidRDefault="00C31389" w14:paraId="26BB2995" w14:textId="77777777">
            <w:pPr>
              <w:pStyle w:val="TableParagraph"/>
              <w:spacing w:before="0"/>
              <w:rPr>
                <w:b/>
              </w:rPr>
            </w:pPr>
          </w:p>
          <w:p w:rsidR="00C31389" w:rsidRDefault="00561FBD" w14:paraId="753712AA" w14:textId="77777777">
            <w:pPr>
              <w:pStyle w:val="TableParagraph"/>
              <w:spacing w:before="140"/>
              <w:ind w:left="250"/>
              <w:rPr>
                <w:sz w:val="20"/>
              </w:rPr>
            </w:pPr>
            <w:r>
              <w:rPr>
                <w:sz w:val="20"/>
              </w:rPr>
              <w:t>Reference:</w:t>
            </w:r>
            <w:r>
              <w:rPr>
                <w:spacing w:val="-7"/>
                <w:sz w:val="20"/>
              </w:rPr>
              <w:t xml:space="preserve"> </w:t>
            </w:r>
            <w:r>
              <w:rPr>
                <w:sz w:val="20"/>
              </w:rPr>
              <w:t>Default</w:t>
            </w:r>
            <w:r>
              <w:rPr>
                <w:spacing w:val="-5"/>
                <w:sz w:val="20"/>
              </w:rPr>
              <w:t xml:space="preserve"> </w:t>
            </w:r>
            <w:r>
              <w:rPr>
                <w:sz w:val="20"/>
              </w:rPr>
              <w:t>calibrated</w:t>
            </w:r>
            <w:r>
              <w:rPr>
                <w:spacing w:val="-5"/>
                <w:sz w:val="20"/>
              </w:rPr>
              <w:t xml:space="preserve"> </w:t>
            </w:r>
            <w:r>
              <w:rPr>
                <w:spacing w:val="-4"/>
                <w:sz w:val="20"/>
              </w:rPr>
              <w:t>value</w:t>
            </w:r>
          </w:p>
        </w:tc>
        <w:tc>
          <w:tcPr>
            <w:tcW w:w="3903" w:type="dxa"/>
            <w:tcBorders>
              <w:top w:val="single" w:color="000000" w:sz="4" w:space="0"/>
              <w:bottom w:val="single" w:color="000000" w:sz="8" w:space="0"/>
            </w:tcBorders>
          </w:tcPr>
          <w:p w:rsidR="00C31389" w:rsidRDefault="00C31389" w14:paraId="5CD40648" w14:textId="77777777">
            <w:pPr>
              <w:pStyle w:val="TableParagraph"/>
              <w:spacing w:before="1"/>
              <w:rPr>
                <w:b/>
                <w:sz w:val="24"/>
              </w:rPr>
            </w:pPr>
          </w:p>
          <w:p w:rsidR="00C31389" w:rsidRDefault="00561FBD" w14:paraId="4D01E22E" w14:textId="77777777">
            <w:pPr>
              <w:pStyle w:val="TableParagraph"/>
              <w:spacing w:before="0"/>
              <w:ind w:left="147" w:right="93"/>
              <w:rPr>
                <w:sz w:val="20"/>
              </w:rPr>
            </w:pPr>
            <w:r>
              <w:rPr>
                <w:sz w:val="20"/>
              </w:rPr>
              <w:t>Aggressive:</w:t>
            </w:r>
            <w:r>
              <w:rPr>
                <w:spacing w:val="-14"/>
                <w:sz w:val="20"/>
              </w:rPr>
              <w:t xml:space="preserve"> </w:t>
            </w:r>
            <w:r>
              <w:rPr>
                <w:sz w:val="20"/>
              </w:rPr>
              <w:t>Increased</w:t>
            </w:r>
            <w:r>
              <w:rPr>
                <w:spacing w:val="-14"/>
                <w:sz w:val="20"/>
              </w:rPr>
              <w:t xml:space="preserve"> </w:t>
            </w:r>
            <w:r>
              <w:rPr>
                <w:sz w:val="20"/>
              </w:rPr>
              <w:t>parametric adoption lever values</w:t>
            </w:r>
          </w:p>
        </w:tc>
      </w:tr>
    </w:tbl>
    <w:p w:rsidR="00C31389" w:rsidRDefault="00561FBD" w14:paraId="57F60979" w14:textId="77777777">
      <w:pPr>
        <w:spacing w:before="70"/>
        <w:ind w:left="480"/>
        <w:rPr>
          <w:i/>
          <w:sz w:val="18"/>
        </w:rPr>
      </w:pPr>
      <w:r>
        <w:rPr>
          <w:i/>
          <w:sz w:val="18"/>
        </w:rPr>
        <w:t>Source:</w:t>
      </w:r>
      <w:r>
        <w:rPr>
          <w:i/>
          <w:spacing w:val="-4"/>
          <w:sz w:val="18"/>
        </w:rPr>
        <w:t xml:space="preserve"> </w:t>
      </w:r>
      <w:r>
        <w:rPr>
          <w:i/>
          <w:spacing w:val="-2"/>
          <w:sz w:val="18"/>
        </w:rPr>
        <w:t>Guidehouse</w:t>
      </w:r>
    </w:p>
    <w:p w:rsidR="00C31389" w:rsidRDefault="00C31389" w14:paraId="14D63962" w14:textId="77777777">
      <w:pPr>
        <w:pStyle w:val="BodyText"/>
        <w:spacing w:before="10"/>
        <w:rPr>
          <w:i/>
          <w:sz w:val="20"/>
        </w:rPr>
      </w:pPr>
    </w:p>
    <w:p w:rsidR="00C31389" w:rsidRDefault="00561FBD" w14:paraId="79641095" w14:textId="77777777">
      <w:pPr>
        <w:pStyle w:val="BodyText"/>
        <w:ind w:left="479" w:right="533"/>
      </w:pPr>
      <w:r>
        <w:t xml:space="preserve">The Guidehouse team presented this scenario framework to stakeholders on December 14, 2022 and </w:t>
      </w:r>
      <w:r>
        <w:t>invited stakeholders to provide feedback. Building on stakeholder feedback, the Guidehouse</w:t>
      </w:r>
      <w:r>
        <w:rPr>
          <w:spacing w:val="-3"/>
        </w:rPr>
        <w:t xml:space="preserve"> </w:t>
      </w:r>
      <w:r>
        <w:t>team</w:t>
      </w:r>
      <w:r>
        <w:rPr>
          <w:spacing w:val="-4"/>
        </w:rPr>
        <w:t xml:space="preserve"> </w:t>
      </w:r>
      <w:r>
        <w:t>worked</w:t>
      </w:r>
      <w:r>
        <w:rPr>
          <w:spacing w:val="-3"/>
        </w:rPr>
        <w:t xml:space="preserve"> </w:t>
      </w:r>
      <w:r>
        <w:t>with</w:t>
      </w:r>
      <w:r>
        <w:rPr>
          <w:spacing w:val="-3"/>
        </w:rPr>
        <w:t xml:space="preserve"> </w:t>
      </w:r>
      <w:r>
        <w:t>CPUC</w:t>
      </w:r>
      <w:r>
        <w:rPr>
          <w:spacing w:val="-4"/>
        </w:rPr>
        <w:t xml:space="preserve"> </w:t>
      </w:r>
      <w:r>
        <w:t>staff</w:t>
      </w:r>
      <w:r>
        <w:rPr>
          <w:spacing w:val="-3"/>
        </w:rPr>
        <w:t xml:space="preserve"> </w:t>
      </w:r>
      <w:r>
        <w:t>to</w:t>
      </w:r>
      <w:r>
        <w:rPr>
          <w:spacing w:val="-3"/>
        </w:rPr>
        <w:t xml:space="preserve"> </w:t>
      </w:r>
      <w:r>
        <w:t>develop</w:t>
      </w:r>
      <w:r>
        <w:rPr>
          <w:spacing w:val="-3"/>
        </w:rPr>
        <w:t xml:space="preserve"> </w:t>
      </w:r>
      <w:r>
        <w:t>scenarios</w:t>
      </w:r>
      <w:r>
        <w:rPr>
          <w:spacing w:val="-3"/>
        </w:rPr>
        <w:t xml:space="preserve"> </w:t>
      </w:r>
      <w:r>
        <w:t>to</w:t>
      </w:r>
      <w:r>
        <w:rPr>
          <w:spacing w:val="-3"/>
        </w:rPr>
        <w:t xml:space="preserve"> </w:t>
      </w:r>
      <w:r>
        <w:t>consider</w:t>
      </w:r>
      <w:r>
        <w:rPr>
          <w:spacing w:val="-3"/>
        </w:rPr>
        <w:t xml:space="preserve"> </w:t>
      </w:r>
      <w:r>
        <w:t>in</w:t>
      </w:r>
      <w:r>
        <w:rPr>
          <w:spacing w:val="-3"/>
        </w:rPr>
        <w:t xml:space="preserve"> </w:t>
      </w:r>
      <w:r>
        <w:t>the</w:t>
      </w:r>
      <w:r>
        <w:rPr>
          <w:spacing w:val="-3"/>
        </w:rPr>
        <w:t xml:space="preserve"> </w:t>
      </w:r>
      <w:r>
        <w:t>goal</w:t>
      </w:r>
      <w:r>
        <w:rPr>
          <w:spacing w:val="-3"/>
        </w:rPr>
        <w:t xml:space="preserve"> </w:t>
      </w:r>
      <w:r>
        <w:t xml:space="preserve">setting process. Each of the selected variables in </w:t>
      </w:r>
      <w:hyperlink w:history="1" w:anchor="_bookmark92">
        <w:r>
          <w:t>Table 2-9</w:t>
        </w:r>
      </w:hyperlink>
      <w:r>
        <w:t xml:space="preserve"> is expected to impact the forecast of EE potential. The combined impact of these variables represents a scenario. The final selected scenarios are listed in </w:t>
      </w:r>
      <w:hyperlink w:history="1" w:anchor="_bookmark93">
        <w:r>
          <w:t>Table 2-10</w:t>
        </w:r>
      </w:hyperlink>
      <w:r>
        <w:t>. Every scenario includes FS.</w:t>
      </w:r>
    </w:p>
    <w:p w:rsidR="00C31389" w:rsidRDefault="00C31389" w14:paraId="0EDD15E0" w14:textId="77777777">
      <w:pPr>
        <w:sectPr w:rsidR="00C31389">
          <w:pgSz w:w="12240" w:h="15840"/>
          <w:pgMar w:top="1660" w:right="960" w:bottom="1120" w:left="960" w:header="397" w:footer="936" w:gutter="0"/>
          <w:cols w:space="720"/>
        </w:sectPr>
      </w:pPr>
    </w:p>
    <w:p w:rsidR="00C31389" w:rsidRDefault="00C31389" w14:paraId="529CDBA9" w14:textId="77777777">
      <w:pPr>
        <w:pStyle w:val="BodyText"/>
        <w:spacing w:before="11"/>
        <w:rPr>
          <w:sz w:val="13"/>
        </w:rPr>
      </w:pPr>
    </w:p>
    <w:p w:rsidR="00C31389" w:rsidRDefault="00561FBD" w14:paraId="66A3BF74" w14:textId="77777777">
      <w:pPr>
        <w:pStyle w:val="Heading7"/>
        <w:spacing w:before="92"/>
        <w:ind w:left="566" w:right="566"/>
        <w:jc w:val="center"/>
      </w:pPr>
      <w:bookmarkStart w:name="_bookmark93" w:id="124"/>
      <w:bookmarkEnd w:id="124"/>
      <w:r>
        <w:t>Table</w:t>
      </w:r>
      <w:r>
        <w:rPr>
          <w:spacing w:val="-6"/>
        </w:rPr>
        <w:t xml:space="preserve"> </w:t>
      </w:r>
      <w:r>
        <w:t>2-11.</w:t>
      </w:r>
      <w:r>
        <w:rPr>
          <w:spacing w:val="-7"/>
        </w:rPr>
        <w:t xml:space="preserve"> </w:t>
      </w:r>
      <w:r>
        <w:t>Summary</w:t>
      </w:r>
      <w:r>
        <w:rPr>
          <w:spacing w:val="-6"/>
        </w:rPr>
        <w:t xml:space="preserve"> </w:t>
      </w:r>
      <w:r>
        <w:t>of</w:t>
      </w:r>
      <w:r>
        <w:rPr>
          <w:spacing w:val="-6"/>
        </w:rPr>
        <w:t xml:space="preserve"> </w:t>
      </w:r>
      <w:r>
        <w:t>Final</w:t>
      </w:r>
      <w:r>
        <w:rPr>
          <w:spacing w:val="-6"/>
        </w:rPr>
        <w:t xml:space="preserve"> </w:t>
      </w:r>
      <w:r>
        <w:t>Scenarios</w:t>
      </w:r>
      <w:r>
        <w:rPr>
          <w:spacing w:val="-5"/>
        </w:rPr>
        <w:t xml:space="preserve"> </w:t>
      </w:r>
      <w:r>
        <w:t>for</w:t>
      </w:r>
      <w:r>
        <w:rPr>
          <w:spacing w:val="-7"/>
        </w:rPr>
        <w:t xml:space="preserve"> </w:t>
      </w:r>
      <w:r>
        <w:t>EE</w:t>
      </w:r>
      <w:r>
        <w:rPr>
          <w:spacing w:val="-6"/>
        </w:rPr>
        <w:t xml:space="preserve"> </w:t>
      </w:r>
      <w:r>
        <w:rPr>
          <w:spacing w:val="-2"/>
        </w:rPr>
        <w:t>Potential</w:t>
      </w:r>
    </w:p>
    <w:p w:rsidR="00C31389" w:rsidRDefault="00C31389" w14:paraId="32F4B5E9" w14:textId="77777777">
      <w:pPr>
        <w:pStyle w:val="BodyText"/>
        <w:spacing w:before="7" w:after="1"/>
        <w:rPr>
          <w:b/>
          <w:sz w:val="9"/>
        </w:rPr>
      </w:pPr>
    </w:p>
    <w:tbl>
      <w:tblPr>
        <w:tblW w:w="0" w:type="auto"/>
        <w:tblInd w:w="667" w:type="dxa"/>
        <w:tblLayout w:type="fixed"/>
        <w:tblCellMar>
          <w:left w:w="0" w:type="dxa"/>
          <w:right w:w="0" w:type="dxa"/>
        </w:tblCellMar>
        <w:tblLook w:val="01E0" w:firstRow="1" w:lastRow="1" w:firstColumn="1" w:lastColumn="1" w:noHBand="0" w:noVBand="0"/>
      </w:tblPr>
      <w:tblGrid>
        <w:gridCol w:w="2371"/>
        <w:gridCol w:w="816"/>
        <w:gridCol w:w="1312"/>
        <w:gridCol w:w="1448"/>
        <w:gridCol w:w="1312"/>
        <w:gridCol w:w="1738"/>
      </w:tblGrid>
      <w:tr w:rsidR="00C31389" w14:paraId="7845F928" w14:textId="77777777">
        <w:trPr>
          <w:trHeight w:val="778"/>
        </w:trPr>
        <w:tc>
          <w:tcPr>
            <w:tcW w:w="2371" w:type="dxa"/>
            <w:shd w:val="clear" w:color="auto" w:fill="92D400"/>
          </w:tcPr>
          <w:p w:rsidR="00C31389" w:rsidRDefault="00561FBD" w14:paraId="70F36D47" w14:textId="77777777">
            <w:pPr>
              <w:pStyle w:val="TableParagraph"/>
              <w:spacing w:before="135" w:line="280" w:lineRule="auto"/>
              <w:ind w:left="115" w:right="1248"/>
              <w:rPr>
                <w:b/>
                <w:sz w:val="20"/>
              </w:rPr>
            </w:pPr>
            <w:r>
              <w:rPr>
                <w:b/>
                <w:sz w:val="20"/>
              </w:rPr>
              <w:t>Levers → Scenario</w:t>
            </w:r>
            <w:r>
              <w:rPr>
                <w:b/>
                <w:spacing w:val="-3"/>
                <w:sz w:val="20"/>
              </w:rPr>
              <w:t xml:space="preserve"> </w:t>
            </w:r>
            <w:r>
              <w:rPr>
                <w:b/>
                <w:spacing w:val="-10"/>
                <w:sz w:val="20"/>
              </w:rPr>
              <w:t>↓</w:t>
            </w:r>
          </w:p>
        </w:tc>
        <w:tc>
          <w:tcPr>
            <w:tcW w:w="816" w:type="dxa"/>
            <w:shd w:val="clear" w:color="auto" w:fill="92D400"/>
          </w:tcPr>
          <w:p w:rsidR="00C31389" w:rsidRDefault="00561FBD" w14:paraId="45B4417E" w14:textId="77777777">
            <w:pPr>
              <w:pStyle w:val="TableParagraph"/>
              <w:spacing w:before="155"/>
              <w:ind w:left="249"/>
              <w:rPr>
                <w:b/>
                <w:sz w:val="20"/>
              </w:rPr>
            </w:pPr>
            <w:r>
              <w:rPr>
                <w:b/>
                <w:sz w:val="20"/>
              </w:rPr>
              <w:t>C-</w:t>
            </w:r>
            <w:r>
              <w:rPr>
                <w:b/>
                <w:spacing w:val="-10"/>
                <w:sz w:val="20"/>
              </w:rPr>
              <w:t>E</w:t>
            </w:r>
          </w:p>
          <w:p w:rsidR="00C31389" w:rsidRDefault="00561FBD" w14:paraId="2F414CA0" w14:textId="77777777">
            <w:pPr>
              <w:pStyle w:val="TableParagraph"/>
              <w:spacing w:before="1"/>
              <w:ind w:left="217"/>
              <w:rPr>
                <w:b/>
                <w:sz w:val="20"/>
              </w:rPr>
            </w:pPr>
            <w:r>
              <w:rPr>
                <w:b/>
                <w:spacing w:val="-4"/>
                <w:sz w:val="20"/>
              </w:rPr>
              <w:t>Test</w:t>
            </w:r>
          </w:p>
        </w:tc>
        <w:tc>
          <w:tcPr>
            <w:tcW w:w="1312" w:type="dxa"/>
            <w:shd w:val="clear" w:color="auto" w:fill="92D400"/>
          </w:tcPr>
          <w:p w:rsidR="00C31389" w:rsidRDefault="00561FBD" w14:paraId="77256565" w14:textId="77777777">
            <w:pPr>
              <w:pStyle w:val="TableParagraph"/>
              <w:spacing w:before="155"/>
              <w:ind w:left="145" w:right="115"/>
              <w:jc w:val="center"/>
              <w:rPr>
                <w:b/>
                <w:sz w:val="20"/>
              </w:rPr>
            </w:pPr>
            <w:r>
              <w:rPr>
                <w:b/>
                <w:sz w:val="20"/>
              </w:rPr>
              <w:t>C-</w:t>
            </w:r>
            <w:r>
              <w:rPr>
                <w:b/>
                <w:spacing w:val="-10"/>
                <w:sz w:val="20"/>
              </w:rPr>
              <w:t>E</w:t>
            </w:r>
          </w:p>
          <w:p w:rsidR="00C31389" w:rsidRDefault="00561FBD" w14:paraId="70AFDAA2" w14:textId="77777777">
            <w:pPr>
              <w:pStyle w:val="TableParagraph"/>
              <w:spacing w:before="1"/>
              <w:ind w:left="145" w:right="115"/>
              <w:jc w:val="center"/>
              <w:rPr>
                <w:b/>
                <w:sz w:val="20"/>
              </w:rPr>
            </w:pPr>
            <w:r>
              <w:rPr>
                <w:b/>
                <w:spacing w:val="-2"/>
                <w:sz w:val="20"/>
              </w:rPr>
              <w:t>Threshold</w:t>
            </w:r>
          </w:p>
        </w:tc>
        <w:tc>
          <w:tcPr>
            <w:tcW w:w="1448" w:type="dxa"/>
            <w:shd w:val="clear" w:color="auto" w:fill="92D400"/>
          </w:tcPr>
          <w:p w:rsidR="00C31389" w:rsidRDefault="00561FBD" w14:paraId="25637E4D" w14:textId="77777777">
            <w:pPr>
              <w:pStyle w:val="TableParagraph"/>
              <w:spacing w:before="155"/>
              <w:ind w:left="376" w:right="350" w:hanging="29"/>
              <w:rPr>
                <w:b/>
                <w:sz w:val="20"/>
              </w:rPr>
            </w:pPr>
            <w:r>
              <w:rPr>
                <w:b/>
                <w:sz w:val="20"/>
              </w:rPr>
              <w:t>IRA</w:t>
            </w:r>
            <w:r>
              <w:rPr>
                <w:b/>
                <w:spacing w:val="-14"/>
                <w:sz w:val="20"/>
              </w:rPr>
              <w:t xml:space="preserve"> </w:t>
            </w:r>
            <w:r>
              <w:rPr>
                <w:b/>
                <w:sz w:val="20"/>
              </w:rPr>
              <w:t xml:space="preserve">Tax </w:t>
            </w:r>
            <w:r>
              <w:rPr>
                <w:b/>
                <w:spacing w:val="-2"/>
                <w:sz w:val="20"/>
              </w:rPr>
              <w:t>Credits</w:t>
            </w:r>
          </w:p>
        </w:tc>
        <w:tc>
          <w:tcPr>
            <w:tcW w:w="1312" w:type="dxa"/>
            <w:shd w:val="clear" w:color="auto" w:fill="92D400"/>
          </w:tcPr>
          <w:p w:rsidR="00C31389" w:rsidRDefault="00561FBD" w14:paraId="74F116C7" w14:textId="77777777">
            <w:pPr>
              <w:pStyle w:val="TableParagraph"/>
              <w:ind w:left="145" w:right="298"/>
              <w:jc w:val="center"/>
              <w:rPr>
                <w:b/>
                <w:sz w:val="20"/>
              </w:rPr>
            </w:pPr>
            <w:r>
              <w:rPr>
                <w:b/>
                <w:spacing w:val="-2"/>
                <w:sz w:val="20"/>
              </w:rPr>
              <w:t>Incentive Levels Capped*</w:t>
            </w:r>
          </w:p>
        </w:tc>
        <w:tc>
          <w:tcPr>
            <w:tcW w:w="1738" w:type="dxa"/>
            <w:shd w:val="clear" w:color="auto" w:fill="92D400"/>
          </w:tcPr>
          <w:p w:rsidR="00C31389" w:rsidRDefault="00C31389" w14:paraId="6003C315" w14:textId="77777777">
            <w:pPr>
              <w:pStyle w:val="TableParagraph"/>
              <w:spacing w:before="5"/>
              <w:rPr>
                <w:b/>
                <w:sz w:val="23"/>
              </w:rPr>
            </w:pPr>
          </w:p>
          <w:p w:rsidR="00C31389" w:rsidRDefault="00561FBD" w14:paraId="0B5FE0F6" w14:textId="77777777">
            <w:pPr>
              <w:pStyle w:val="TableParagraph"/>
              <w:spacing w:before="0"/>
              <w:ind w:left="292" w:right="433"/>
              <w:jc w:val="center"/>
              <w:rPr>
                <w:b/>
                <w:sz w:val="20"/>
              </w:rPr>
            </w:pPr>
            <w:r>
              <w:rPr>
                <w:b/>
                <w:spacing w:val="-4"/>
                <w:sz w:val="20"/>
              </w:rPr>
              <w:t>FS**</w:t>
            </w:r>
          </w:p>
        </w:tc>
      </w:tr>
      <w:tr w:rsidR="00C31389" w14:paraId="03B1DFFC" w14:textId="77777777">
        <w:trPr>
          <w:trHeight w:val="580"/>
        </w:trPr>
        <w:tc>
          <w:tcPr>
            <w:tcW w:w="2371" w:type="dxa"/>
            <w:tcBorders>
              <w:bottom w:val="single" w:color="D9D9D9" w:sz="2" w:space="0"/>
            </w:tcBorders>
          </w:tcPr>
          <w:p w:rsidR="00C31389" w:rsidRDefault="00561FBD" w14:paraId="2F7471C9" w14:textId="77777777">
            <w:pPr>
              <w:pStyle w:val="TableParagraph"/>
              <w:spacing w:before="164"/>
              <w:ind w:left="115"/>
              <w:rPr>
                <w:b/>
              </w:rPr>
            </w:pPr>
            <w:r>
              <w:rPr>
                <w:b/>
                <w:sz w:val="20"/>
              </w:rPr>
              <w:t>1:</w:t>
            </w:r>
            <w:r>
              <w:rPr>
                <w:b/>
                <w:spacing w:val="-2"/>
                <w:sz w:val="20"/>
              </w:rPr>
              <w:t xml:space="preserve"> </w:t>
            </w:r>
            <w:r>
              <w:rPr>
                <w:b/>
              </w:rPr>
              <w:t>No</w:t>
            </w:r>
            <w:r>
              <w:rPr>
                <w:b/>
                <w:spacing w:val="-2"/>
              </w:rPr>
              <w:t xml:space="preserve"> </w:t>
            </w:r>
            <w:r>
              <w:rPr>
                <w:b/>
                <w:spacing w:val="-5"/>
              </w:rPr>
              <w:t>IRA</w:t>
            </w:r>
          </w:p>
        </w:tc>
        <w:tc>
          <w:tcPr>
            <w:tcW w:w="816" w:type="dxa"/>
          </w:tcPr>
          <w:p w:rsidR="00C31389" w:rsidRDefault="00C31389" w14:paraId="213E0869" w14:textId="77777777">
            <w:pPr>
              <w:pStyle w:val="TableParagraph"/>
              <w:spacing w:before="0"/>
              <w:rPr>
                <w:rFonts w:ascii="Times New Roman"/>
                <w:sz w:val="20"/>
              </w:rPr>
            </w:pPr>
          </w:p>
        </w:tc>
        <w:tc>
          <w:tcPr>
            <w:tcW w:w="1312" w:type="dxa"/>
          </w:tcPr>
          <w:p w:rsidR="00C31389" w:rsidRDefault="00C31389" w14:paraId="63D55632" w14:textId="77777777">
            <w:pPr>
              <w:pStyle w:val="TableParagraph"/>
              <w:spacing w:before="0"/>
              <w:rPr>
                <w:rFonts w:ascii="Times New Roman"/>
                <w:sz w:val="20"/>
              </w:rPr>
            </w:pPr>
          </w:p>
        </w:tc>
        <w:tc>
          <w:tcPr>
            <w:tcW w:w="1448" w:type="dxa"/>
            <w:tcBorders>
              <w:bottom w:val="single" w:color="D9D9D9" w:sz="2" w:space="0"/>
            </w:tcBorders>
          </w:tcPr>
          <w:p w:rsidR="00C31389" w:rsidRDefault="00561FBD" w14:paraId="0A58A2E5" w14:textId="77777777">
            <w:pPr>
              <w:pStyle w:val="TableParagraph"/>
              <w:spacing w:before="176"/>
              <w:ind w:left="130" w:right="134"/>
              <w:jc w:val="center"/>
              <w:rPr>
                <w:sz w:val="20"/>
              </w:rPr>
            </w:pPr>
            <w:r>
              <w:rPr>
                <w:spacing w:val="-4"/>
                <w:sz w:val="20"/>
              </w:rPr>
              <w:t>None</w:t>
            </w:r>
          </w:p>
        </w:tc>
        <w:tc>
          <w:tcPr>
            <w:tcW w:w="1312" w:type="dxa"/>
            <w:tcBorders>
              <w:bottom w:val="single" w:color="D9D9D9" w:sz="2" w:space="0"/>
            </w:tcBorders>
          </w:tcPr>
          <w:p w:rsidR="00C31389" w:rsidRDefault="00561FBD" w14:paraId="056DDFCC" w14:textId="77777777">
            <w:pPr>
              <w:pStyle w:val="TableParagraph"/>
              <w:spacing w:before="41"/>
              <w:ind w:left="217"/>
              <w:rPr>
                <w:sz w:val="20"/>
              </w:rPr>
            </w:pPr>
            <w:r>
              <w:rPr>
                <w:sz w:val="20"/>
              </w:rPr>
              <w:t>EE</w:t>
            </w:r>
            <w:r>
              <w:rPr>
                <w:spacing w:val="-2"/>
                <w:sz w:val="20"/>
              </w:rPr>
              <w:t xml:space="preserve"> </w:t>
            </w:r>
            <w:r>
              <w:rPr>
                <w:spacing w:val="-5"/>
                <w:sz w:val="20"/>
              </w:rPr>
              <w:t>50%</w:t>
            </w:r>
          </w:p>
          <w:p w:rsidR="00C31389" w:rsidRDefault="00561FBD" w14:paraId="632F35DA" w14:textId="77777777">
            <w:pPr>
              <w:pStyle w:val="TableParagraph"/>
              <w:ind w:left="223"/>
              <w:rPr>
                <w:sz w:val="20"/>
              </w:rPr>
            </w:pPr>
            <w:r>
              <w:rPr>
                <w:sz w:val="20"/>
              </w:rPr>
              <w:t>FS</w:t>
            </w:r>
            <w:r>
              <w:rPr>
                <w:spacing w:val="-1"/>
                <w:sz w:val="20"/>
              </w:rPr>
              <w:t xml:space="preserve"> </w:t>
            </w:r>
            <w:r>
              <w:rPr>
                <w:spacing w:val="-5"/>
                <w:sz w:val="20"/>
              </w:rPr>
              <w:t>75%</w:t>
            </w:r>
          </w:p>
        </w:tc>
        <w:tc>
          <w:tcPr>
            <w:tcW w:w="1738" w:type="dxa"/>
            <w:tcBorders>
              <w:bottom w:val="single" w:color="D9D9D9" w:sz="2" w:space="0"/>
            </w:tcBorders>
          </w:tcPr>
          <w:p w:rsidR="00C31389" w:rsidRDefault="00561FBD" w14:paraId="2531D47F" w14:textId="77777777">
            <w:pPr>
              <w:pStyle w:val="TableParagraph"/>
              <w:spacing w:before="175"/>
              <w:ind w:left="293" w:right="433"/>
              <w:jc w:val="center"/>
              <w:rPr>
                <w:sz w:val="20"/>
              </w:rPr>
            </w:pPr>
            <w:r>
              <w:rPr>
                <w:spacing w:val="-2"/>
                <w:sz w:val="20"/>
              </w:rPr>
              <w:t>Reference</w:t>
            </w:r>
          </w:p>
        </w:tc>
      </w:tr>
      <w:tr w:rsidR="00C31389" w14:paraId="6F1629B6" w14:textId="77777777">
        <w:trPr>
          <w:trHeight w:val="585"/>
        </w:trPr>
        <w:tc>
          <w:tcPr>
            <w:tcW w:w="2371" w:type="dxa"/>
            <w:tcBorders>
              <w:top w:val="single" w:color="D9D9D9" w:sz="2" w:space="0"/>
              <w:bottom w:val="single" w:color="D9D9D9" w:sz="2" w:space="0"/>
            </w:tcBorders>
          </w:tcPr>
          <w:p w:rsidR="00C31389" w:rsidRDefault="00561FBD" w14:paraId="59EA83D6" w14:textId="77777777">
            <w:pPr>
              <w:pStyle w:val="TableParagraph"/>
              <w:spacing w:before="39"/>
              <w:ind w:left="115" w:right="177"/>
              <w:rPr>
                <w:b/>
              </w:rPr>
            </w:pPr>
            <w:r>
              <w:rPr>
                <w:b/>
                <w:sz w:val="20"/>
              </w:rPr>
              <w:t>2:</w:t>
            </w:r>
            <w:r>
              <w:rPr>
                <w:b/>
                <w:spacing w:val="-14"/>
                <w:sz w:val="20"/>
              </w:rPr>
              <w:t xml:space="preserve"> </w:t>
            </w:r>
            <w:r>
              <w:rPr>
                <w:b/>
              </w:rPr>
              <w:t>Reference</w:t>
            </w:r>
            <w:r>
              <w:rPr>
                <w:b/>
                <w:spacing w:val="-16"/>
              </w:rPr>
              <w:t xml:space="preserve"> </w:t>
            </w:r>
            <w:r>
              <w:rPr>
                <w:b/>
              </w:rPr>
              <w:t>IRA and FS</w:t>
            </w:r>
          </w:p>
        </w:tc>
        <w:tc>
          <w:tcPr>
            <w:tcW w:w="816" w:type="dxa"/>
          </w:tcPr>
          <w:p w:rsidR="00C31389" w:rsidRDefault="00C31389" w14:paraId="14D098EA" w14:textId="77777777">
            <w:pPr>
              <w:pStyle w:val="TableParagraph"/>
              <w:spacing w:before="0"/>
              <w:rPr>
                <w:rFonts w:ascii="Times New Roman"/>
                <w:sz w:val="20"/>
              </w:rPr>
            </w:pPr>
          </w:p>
        </w:tc>
        <w:tc>
          <w:tcPr>
            <w:tcW w:w="1312" w:type="dxa"/>
            <w:vMerge w:val="restart"/>
          </w:tcPr>
          <w:p w:rsidR="00C31389" w:rsidRDefault="00C31389" w14:paraId="2186F944" w14:textId="77777777">
            <w:pPr>
              <w:pStyle w:val="TableParagraph"/>
              <w:spacing w:before="8"/>
              <w:rPr>
                <w:b/>
                <w:sz w:val="29"/>
              </w:rPr>
            </w:pPr>
          </w:p>
          <w:p w:rsidR="00C31389" w:rsidRDefault="00561FBD" w14:paraId="52155847" w14:textId="77777777">
            <w:pPr>
              <w:pStyle w:val="TableParagraph"/>
              <w:spacing w:before="0" w:line="283" w:lineRule="auto"/>
              <w:ind w:left="54" w:right="766" w:hanging="98"/>
              <w:rPr>
                <w:sz w:val="20"/>
              </w:rPr>
            </w:pPr>
            <w:r>
              <w:rPr>
                <w:sz w:val="20"/>
              </w:rPr>
              <w:t>TRC</w:t>
            </w:r>
            <w:r>
              <w:rPr>
                <w:spacing w:val="-14"/>
                <w:sz w:val="20"/>
              </w:rPr>
              <w:t xml:space="preserve"> </w:t>
            </w:r>
            <w:r>
              <w:rPr>
                <w:sz w:val="20"/>
              </w:rPr>
              <w:t xml:space="preserve">= </w:t>
            </w:r>
            <w:r>
              <w:rPr>
                <w:spacing w:val="-4"/>
                <w:sz w:val="20"/>
              </w:rPr>
              <w:t>0.85</w:t>
            </w:r>
          </w:p>
        </w:tc>
        <w:tc>
          <w:tcPr>
            <w:tcW w:w="1448" w:type="dxa"/>
            <w:tcBorders>
              <w:top w:val="single" w:color="D9D9D9" w:sz="2" w:space="0"/>
              <w:bottom w:val="single" w:color="D9D9D9" w:sz="2" w:space="0"/>
            </w:tcBorders>
          </w:tcPr>
          <w:p w:rsidR="00C31389" w:rsidRDefault="00561FBD" w14:paraId="17E88CF0" w14:textId="77777777">
            <w:pPr>
              <w:pStyle w:val="TableParagraph"/>
              <w:spacing w:before="178"/>
              <w:ind w:left="130" w:right="134"/>
              <w:jc w:val="center"/>
              <w:rPr>
                <w:sz w:val="20"/>
              </w:rPr>
            </w:pPr>
            <w:r>
              <w:rPr>
                <w:spacing w:val="-2"/>
                <w:sz w:val="20"/>
              </w:rPr>
              <w:t>Conservative</w:t>
            </w:r>
          </w:p>
        </w:tc>
        <w:tc>
          <w:tcPr>
            <w:tcW w:w="1312" w:type="dxa"/>
            <w:tcBorders>
              <w:top w:val="single" w:color="D9D9D9" w:sz="2" w:space="0"/>
              <w:bottom w:val="single" w:color="D9D9D9" w:sz="2" w:space="0"/>
            </w:tcBorders>
          </w:tcPr>
          <w:p w:rsidR="00C31389" w:rsidRDefault="00561FBD" w14:paraId="4F73914D" w14:textId="77777777">
            <w:pPr>
              <w:pStyle w:val="TableParagraph"/>
              <w:spacing w:before="44"/>
              <w:ind w:left="217"/>
              <w:rPr>
                <w:sz w:val="20"/>
              </w:rPr>
            </w:pPr>
            <w:r>
              <w:rPr>
                <w:sz w:val="20"/>
              </w:rPr>
              <w:t>EE</w:t>
            </w:r>
            <w:r>
              <w:rPr>
                <w:spacing w:val="-2"/>
                <w:sz w:val="20"/>
              </w:rPr>
              <w:t xml:space="preserve"> </w:t>
            </w:r>
            <w:r>
              <w:rPr>
                <w:spacing w:val="-5"/>
                <w:sz w:val="20"/>
              </w:rPr>
              <w:t>50%</w:t>
            </w:r>
          </w:p>
          <w:p w:rsidR="00C31389" w:rsidRDefault="00561FBD" w14:paraId="1F9A2711" w14:textId="77777777">
            <w:pPr>
              <w:pStyle w:val="TableParagraph"/>
              <w:ind w:left="223"/>
              <w:rPr>
                <w:sz w:val="20"/>
              </w:rPr>
            </w:pPr>
            <w:r>
              <w:rPr>
                <w:sz w:val="20"/>
              </w:rPr>
              <w:t>FS</w:t>
            </w:r>
            <w:r>
              <w:rPr>
                <w:spacing w:val="-1"/>
                <w:sz w:val="20"/>
              </w:rPr>
              <w:t xml:space="preserve"> </w:t>
            </w:r>
            <w:r>
              <w:rPr>
                <w:spacing w:val="-5"/>
                <w:sz w:val="20"/>
              </w:rPr>
              <w:t>75%</w:t>
            </w:r>
          </w:p>
        </w:tc>
        <w:tc>
          <w:tcPr>
            <w:tcW w:w="1738" w:type="dxa"/>
            <w:tcBorders>
              <w:top w:val="single" w:color="D9D9D9" w:sz="2" w:space="0"/>
              <w:bottom w:val="single" w:color="D9D9D9" w:sz="2" w:space="0"/>
            </w:tcBorders>
          </w:tcPr>
          <w:p w:rsidR="00C31389" w:rsidRDefault="00561FBD" w14:paraId="77D986D2" w14:textId="77777777">
            <w:pPr>
              <w:pStyle w:val="TableParagraph"/>
              <w:spacing w:before="178"/>
              <w:ind w:left="293" w:right="433"/>
              <w:jc w:val="center"/>
              <w:rPr>
                <w:sz w:val="20"/>
              </w:rPr>
            </w:pPr>
            <w:r>
              <w:rPr>
                <w:spacing w:val="-2"/>
                <w:sz w:val="20"/>
              </w:rPr>
              <w:t>Reference</w:t>
            </w:r>
          </w:p>
        </w:tc>
      </w:tr>
      <w:tr w:rsidR="00C31389" w14:paraId="480FFCF9" w14:textId="77777777">
        <w:trPr>
          <w:trHeight w:val="586"/>
        </w:trPr>
        <w:tc>
          <w:tcPr>
            <w:tcW w:w="2371" w:type="dxa"/>
            <w:tcBorders>
              <w:top w:val="single" w:color="D9D9D9" w:sz="2" w:space="0"/>
              <w:bottom w:val="single" w:color="D9D9D9" w:sz="2" w:space="0"/>
            </w:tcBorders>
          </w:tcPr>
          <w:p w:rsidR="00C31389" w:rsidRDefault="00561FBD" w14:paraId="404B1C09" w14:textId="77777777">
            <w:pPr>
              <w:pStyle w:val="TableParagraph"/>
              <w:ind w:left="115" w:right="124"/>
              <w:rPr>
                <w:b/>
              </w:rPr>
            </w:pPr>
            <w:r>
              <w:rPr>
                <w:b/>
              </w:rPr>
              <w:t>3: Reference IRA and</w:t>
            </w:r>
            <w:r>
              <w:rPr>
                <w:b/>
                <w:spacing w:val="-16"/>
              </w:rPr>
              <w:t xml:space="preserve"> </w:t>
            </w:r>
            <w:r>
              <w:rPr>
                <w:b/>
              </w:rPr>
              <w:t>aggressive</w:t>
            </w:r>
            <w:r>
              <w:rPr>
                <w:b/>
                <w:spacing w:val="-15"/>
              </w:rPr>
              <w:t xml:space="preserve"> </w:t>
            </w:r>
            <w:r>
              <w:rPr>
                <w:b/>
              </w:rPr>
              <w:t>FS</w:t>
            </w:r>
          </w:p>
        </w:tc>
        <w:tc>
          <w:tcPr>
            <w:tcW w:w="816" w:type="dxa"/>
          </w:tcPr>
          <w:p w:rsidR="00C31389" w:rsidRDefault="00C31389" w14:paraId="1C7F54EC" w14:textId="77777777">
            <w:pPr>
              <w:pStyle w:val="TableParagraph"/>
              <w:spacing w:before="0"/>
              <w:rPr>
                <w:rFonts w:ascii="Times New Roman"/>
                <w:sz w:val="20"/>
              </w:rPr>
            </w:pPr>
          </w:p>
        </w:tc>
        <w:tc>
          <w:tcPr>
            <w:tcW w:w="1312" w:type="dxa"/>
            <w:vMerge/>
            <w:tcBorders>
              <w:top w:val="nil"/>
            </w:tcBorders>
          </w:tcPr>
          <w:p w:rsidR="00C31389" w:rsidRDefault="00C31389" w14:paraId="5BE9986E" w14:textId="77777777">
            <w:pPr>
              <w:rPr>
                <w:sz w:val="2"/>
                <w:szCs w:val="2"/>
              </w:rPr>
            </w:pPr>
          </w:p>
        </w:tc>
        <w:tc>
          <w:tcPr>
            <w:tcW w:w="1448" w:type="dxa"/>
            <w:tcBorders>
              <w:top w:val="single" w:color="D9D9D9" w:sz="2" w:space="0"/>
              <w:bottom w:val="single" w:color="D9D9D9" w:sz="2" w:space="0"/>
            </w:tcBorders>
          </w:tcPr>
          <w:p w:rsidR="00C31389" w:rsidRDefault="00561FBD" w14:paraId="2B89A4BB" w14:textId="77777777">
            <w:pPr>
              <w:pStyle w:val="TableParagraph"/>
              <w:spacing w:before="179"/>
              <w:ind w:left="130" w:right="134"/>
              <w:jc w:val="center"/>
              <w:rPr>
                <w:sz w:val="20"/>
              </w:rPr>
            </w:pPr>
            <w:r>
              <w:rPr>
                <w:spacing w:val="-2"/>
                <w:sz w:val="20"/>
              </w:rPr>
              <w:t>Conservative</w:t>
            </w:r>
          </w:p>
        </w:tc>
        <w:tc>
          <w:tcPr>
            <w:tcW w:w="1312" w:type="dxa"/>
            <w:tcBorders>
              <w:top w:val="single" w:color="D9D9D9" w:sz="2" w:space="0"/>
              <w:bottom w:val="single" w:color="D9D9D9" w:sz="2" w:space="0"/>
            </w:tcBorders>
          </w:tcPr>
          <w:p w:rsidR="00C31389" w:rsidRDefault="00561FBD" w14:paraId="5A815B92" w14:textId="77777777">
            <w:pPr>
              <w:pStyle w:val="TableParagraph"/>
              <w:spacing w:before="44"/>
              <w:ind w:left="217"/>
              <w:rPr>
                <w:sz w:val="20"/>
              </w:rPr>
            </w:pPr>
            <w:r>
              <w:rPr>
                <w:sz w:val="20"/>
              </w:rPr>
              <w:t>EE</w:t>
            </w:r>
            <w:r>
              <w:rPr>
                <w:spacing w:val="-2"/>
                <w:sz w:val="20"/>
              </w:rPr>
              <w:t xml:space="preserve"> </w:t>
            </w:r>
            <w:r>
              <w:rPr>
                <w:spacing w:val="-5"/>
                <w:sz w:val="20"/>
              </w:rPr>
              <w:t>75%</w:t>
            </w:r>
          </w:p>
          <w:p w:rsidR="00C31389" w:rsidRDefault="00561FBD" w14:paraId="2FA2CE60" w14:textId="77777777">
            <w:pPr>
              <w:pStyle w:val="TableParagraph"/>
              <w:spacing w:before="39"/>
              <w:ind w:left="223"/>
              <w:rPr>
                <w:sz w:val="20"/>
              </w:rPr>
            </w:pPr>
            <w:r>
              <w:rPr>
                <w:sz w:val="20"/>
              </w:rPr>
              <w:t>FS</w:t>
            </w:r>
            <w:r>
              <w:rPr>
                <w:spacing w:val="-1"/>
                <w:sz w:val="20"/>
              </w:rPr>
              <w:t xml:space="preserve"> </w:t>
            </w:r>
            <w:r>
              <w:rPr>
                <w:spacing w:val="-5"/>
                <w:sz w:val="20"/>
              </w:rPr>
              <w:t>90%</w:t>
            </w:r>
          </w:p>
        </w:tc>
        <w:tc>
          <w:tcPr>
            <w:tcW w:w="1738" w:type="dxa"/>
            <w:tcBorders>
              <w:top w:val="single" w:color="D9D9D9" w:sz="2" w:space="0"/>
              <w:bottom w:val="single" w:color="D9D9D9" w:sz="2" w:space="0"/>
            </w:tcBorders>
          </w:tcPr>
          <w:p w:rsidR="00C31389" w:rsidRDefault="00561FBD" w14:paraId="13D406A7" w14:textId="77777777">
            <w:pPr>
              <w:pStyle w:val="TableParagraph"/>
              <w:spacing w:before="179"/>
              <w:ind w:left="294" w:right="433"/>
              <w:jc w:val="center"/>
              <w:rPr>
                <w:sz w:val="20"/>
              </w:rPr>
            </w:pPr>
            <w:r>
              <w:rPr>
                <w:spacing w:val="-2"/>
                <w:sz w:val="20"/>
              </w:rPr>
              <w:t>Aggressive</w:t>
            </w:r>
          </w:p>
        </w:tc>
      </w:tr>
      <w:tr w:rsidR="00C31389" w14:paraId="50A9877D" w14:textId="77777777">
        <w:trPr>
          <w:trHeight w:val="586"/>
        </w:trPr>
        <w:tc>
          <w:tcPr>
            <w:tcW w:w="2371" w:type="dxa"/>
            <w:tcBorders>
              <w:top w:val="single" w:color="D9D9D9" w:sz="2" w:space="0"/>
              <w:bottom w:val="single" w:color="000000" w:sz="8" w:space="0"/>
            </w:tcBorders>
          </w:tcPr>
          <w:p w:rsidR="00C31389" w:rsidRDefault="00561FBD" w14:paraId="2868C12A" w14:textId="77777777">
            <w:pPr>
              <w:pStyle w:val="TableParagraph"/>
              <w:spacing w:before="39"/>
              <w:ind w:left="115" w:right="177"/>
              <w:rPr>
                <w:b/>
              </w:rPr>
            </w:pPr>
            <w:r>
              <w:rPr>
                <w:b/>
              </w:rPr>
              <w:t>4:</w:t>
            </w:r>
            <w:r>
              <w:rPr>
                <w:b/>
                <w:spacing w:val="-16"/>
              </w:rPr>
              <w:t xml:space="preserve"> </w:t>
            </w:r>
            <w:r>
              <w:rPr>
                <w:b/>
              </w:rPr>
              <w:t>Aggressive</w:t>
            </w:r>
            <w:r>
              <w:rPr>
                <w:b/>
                <w:spacing w:val="-15"/>
              </w:rPr>
              <w:t xml:space="preserve"> </w:t>
            </w:r>
            <w:r>
              <w:rPr>
                <w:b/>
              </w:rPr>
              <w:t>IRA and reference FS</w:t>
            </w:r>
          </w:p>
        </w:tc>
        <w:tc>
          <w:tcPr>
            <w:tcW w:w="816" w:type="dxa"/>
            <w:tcBorders>
              <w:bottom w:val="single" w:color="000000" w:sz="8" w:space="0"/>
            </w:tcBorders>
          </w:tcPr>
          <w:p w:rsidR="00C31389" w:rsidRDefault="00C31389" w14:paraId="55C72087" w14:textId="77777777">
            <w:pPr>
              <w:pStyle w:val="TableParagraph"/>
              <w:spacing w:before="0"/>
              <w:rPr>
                <w:rFonts w:ascii="Times New Roman"/>
                <w:sz w:val="20"/>
              </w:rPr>
            </w:pPr>
          </w:p>
        </w:tc>
        <w:tc>
          <w:tcPr>
            <w:tcW w:w="1312" w:type="dxa"/>
            <w:tcBorders>
              <w:bottom w:val="single" w:color="000000" w:sz="8" w:space="0"/>
            </w:tcBorders>
          </w:tcPr>
          <w:p w:rsidR="00C31389" w:rsidRDefault="00C31389" w14:paraId="5337C4B1" w14:textId="77777777">
            <w:pPr>
              <w:pStyle w:val="TableParagraph"/>
              <w:spacing w:before="0"/>
              <w:rPr>
                <w:rFonts w:ascii="Times New Roman"/>
                <w:sz w:val="20"/>
              </w:rPr>
            </w:pPr>
          </w:p>
        </w:tc>
        <w:tc>
          <w:tcPr>
            <w:tcW w:w="1448" w:type="dxa"/>
            <w:tcBorders>
              <w:top w:val="single" w:color="D9D9D9" w:sz="2" w:space="0"/>
              <w:bottom w:val="single" w:color="000000" w:sz="8" w:space="0"/>
            </w:tcBorders>
          </w:tcPr>
          <w:p w:rsidR="00C31389" w:rsidRDefault="00561FBD" w14:paraId="1D81987D" w14:textId="77777777">
            <w:pPr>
              <w:pStyle w:val="TableParagraph"/>
              <w:spacing w:before="178"/>
              <w:ind w:left="130" w:right="133"/>
              <w:jc w:val="center"/>
              <w:rPr>
                <w:sz w:val="20"/>
              </w:rPr>
            </w:pPr>
            <w:r>
              <w:rPr>
                <w:spacing w:val="-2"/>
                <w:sz w:val="20"/>
              </w:rPr>
              <w:t>Aggressive</w:t>
            </w:r>
          </w:p>
        </w:tc>
        <w:tc>
          <w:tcPr>
            <w:tcW w:w="1312" w:type="dxa"/>
            <w:tcBorders>
              <w:top w:val="single" w:color="D9D9D9" w:sz="2" w:space="0"/>
              <w:bottom w:val="single" w:color="000000" w:sz="8" w:space="0"/>
            </w:tcBorders>
          </w:tcPr>
          <w:p w:rsidR="00C31389" w:rsidRDefault="00561FBD" w14:paraId="0FC3B341" w14:textId="77777777">
            <w:pPr>
              <w:pStyle w:val="TableParagraph"/>
              <w:spacing w:before="44"/>
              <w:ind w:left="217"/>
              <w:rPr>
                <w:sz w:val="20"/>
              </w:rPr>
            </w:pPr>
            <w:r>
              <w:rPr>
                <w:sz w:val="20"/>
              </w:rPr>
              <w:t>EE</w:t>
            </w:r>
            <w:r>
              <w:rPr>
                <w:spacing w:val="-2"/>
                <w:sz w:val="20"/>
              </w:rPr>
              <w:t xml:space="preserve"> </w:t>
            </w:r>
            <w:r>
              <w:rPr>
                <w:spacing w:val="-5"/>
                <w:sz w:val="20"/>
              </w:rPr>
              <w:t>50%</w:t>
            </w:r>
          </w:p>
          <w:p w:rsidR="00C31389" w:rsidRDefault="00561FBD" w14:paraId="61C06ECC" w14:textId="77777777">
            <w:pPr>
              <w:pStyle w:val="TableParagraph"/>
              <w:ind w:left="223"/>
              <w:rPr>
                <w:sz w:val="20"/>
              </w:rPr>
            </w:pPr>
            <w:r>
              <w:rPr>
                <w:sz w:val="20"/>
              </w:rPr>
              <w:t>FS</w:t>
            </w:r>
            <w:r>
              <w:rPr>
                <w:spacing w:val="-1"/>
                <w:sz w:val="20"/>
              </w:rPr>
              <w:t xml:space="preserve"> </w:t>
            </w:r>
            <w:r>
              <w:rPr>
                <w:spacing w:val="-5"/>
                <w:sz w:val="20"/>
              </w:rPr>
              <w:t>75%</w:t>
            </w:r>
          </w:p>
        </w:tc>
        <w:tc>
          <w:tcPr>
            <w:tcW w:w="1738" w:type="dxa"/>
            <w:tcBorders>
              <w:top w:val="single" w:color="D9D9D9" w:sz="2" w:space="0"/>
              <w:bottom w:val="single" w:color="000000" w:sz="8" w:space="0"/>
            </w:tcBorders>
          </w:tcPr>
          <w:p w:rsidR="00C31389" w:rsidRDefault="00561FBD" w14:paraId="2E676C11" w14:textId="77777777">
            <w:pPr>
              <w:pStyle w:val="TableParagraph"/>
              <w:spacing w:before="178"/>
              <w:ind w:left="293" w:right="433"/>
              <w:jc w:val="center"/>
              <w:rPr>
                <w:sz w:val="20"/>
              </w:rPr>
            </w:pPr>
            <w:r>
              <w:rPr>
                <w:spacing w:val="-2"/>
                <w:sz w:val="20"/>
              </w:rPr>
              <w:t>Reference</w:t>
            </w:r>
          </w:p>
        </w:tc>
      </w:tr>
    </w:tbl>
    <w:p w:rsidR="00C31389" w:rsidRDefault="00561FBD" w14:paraId="12BFB2E9" w14:textId="77777777">
      <w:pPr>
        <w:spacing w:before="32"/>
        <w:ind w:left="480"/>
        <w:rPr>
          <w:sz w:val="18"/>
        </w:rPr>
      </w:pPr>
      <w:r>
        <w:rPr>
          <w:sz w:val="18"/>
        </w:rPr>
        <w:t>C-E</w:t>
      </w:r>
      <w:r>
        <w:rPr>
          <w:spacing w:val="-2"/>
          <w:sz w:val="18"/>
        </w:rPr>
        <w:t xml:space="preserve"> </w:t>
      </w:r>
      <w:r>
        <w:rPr>
          <w:sz w:val="18"/>
        </w:rPr>
        <w:t>=</w:t>
      </w:r>
      <w:r>
        <w:rPr>
          <w:spacing w:val="-1"/>
          <w:sz w:val="18"/>
        </w:rPr>
        <w:t xml:space="preserve"> </w:t>
      </w:r>
      <w:r>
        <w:rPr>
          <w:sz w:val="18"/>
        </w:rPr>
        <w:t>cost-</w:t>
      </w:r>
      <w:r>
        <w:rPr>
          <w:spacing w:val="-2"/>
          <w:sz w:val="18"/>
        </w:rPr>
        <w:t>effectiveness</w:t>
      </w:r>
    </w:p>
    <w:p w:rsidR="00C31389" w:rsidRDefault="00561FBD" w14:paraId="5F3F48B8" w14:textId="77777777">
      <w:pPr>
        <w:spacing w:before="19"/>
        <w:ind w:left="480" w:right="629"/>
        <w:rPr>
          <w:sz w:val="18"/>
        </w:rPr>
      </w:pPr>
      <w:r>
        <w:rPr>
          <w:sz w:val="18"/>
        </w:rPr>
        <w:t>*Incentives</w:t>
      </w:r>
      <w:r>
        <w:rPr>
          <w:spacing w:val="-3"/>
          <w:sz w:val="18"/>
        </w:rPr>
        <w:t xml:space="preserve"> </w:t>
      </w:r>
      <w:r>
        <w:rPr>
          <w:sz w:val="18"/>
        </w:rPr>
        <w:t>are</w:t>
      </w:r>
      <w:r>
        <w:rPr>
          <w:spacing w:val="-2"/>
          <w:sz w:val="18"/>
        </w:rPr>
        <w:t xml:space="preserve"> </w:t>
      </w:r>
      <w:r>
        <w:rPr>
          <w:sz w:val="18"/>
        </w:rPr>
        <w:t>set</w:t>
      </w:r>
      <w:r>
        <w:rPr>
          <w:spacing w:val="-3"/>
          <w:sz w:val="18"/>
        </w:rPr>
        <w:t xml:space="preserve"> </w:t>
      </w:r>
      <w:r>
        <w:rPr>
          <w:sz w:val="18"/>
        </w:rPr>
        <w:t>based</w:t>
      </w:r>
      <w:r>
        <w:rPr>
          <w:spacing w:val="-4"/>
          <w:sz w:val="18"/>
        </w:rPr>
        <w:t xml:space="preserve"> </w:t>
      </w:r>
      <w:r>
        <w:rPr>
          <w:sz w:val="18"/>
        </w:rPr>
        <w:t>on</w:t>
      </w:r>
      <w:r>
        <w:rPr>
          <w:spacing w:val="-4"/>
          <w:sz w:val="18"/>
        </w:rPr>
        <w:t xml:space="preserve"> </w:t>
      </w:r>
      <w:r>
        <w:rPr>
          <w:sz w:val="18"/>
        </w:rPr>
        <w:t>a</w:t>
      </w:r>
      <w:r>
        <w:rPr>
          <w:spacing w:val="-4"/>
          <w:sz w:val="18"/>
        </w:rPr>
        <w:t xml:space="preserve"> </w:t>
      </w:r>
      <w:r>
        <w:rPr>
          <w:sz w:val="18"/>
        </w:rPr>
        <w:t>$/kWh</w:t>
      </w:r>
      <w:r>
        <w:rPr>
          <w:spacing w:val="-4"/>
          <w:sz w:val="18"/>
        </w:rPr>
        <w:t xml:space="preserve"> </w:t>
      </w:r>
      <w:r>
        <w:rPr>
          <w:sz w:val="18"/>
        </w:rPr>
        <w:t>and</w:t>
      </w:r>
      <w:r>
        <w:rPr>
          <w:spacing w:val="-4"/>
          <w:sz w:val="18"/>
        </w:rPr>
        <w:t xml:space="preserve"> </w:t>
      </w:r>
      <w:r>
        <w:rPr>
          <w:sz w:val="18"/>
        </w:rPr>
        <w:t>$/therm</w:t>
      </w:r>
      <w:r>
        <w:rPr>
          <w:spacing w:val="-3"/>
          <w:sz w:val="18"/>
        </w:rPr>
        <w:t xml:space="preserve"> </w:t>
      </w:r>
      <w:r>
        <w:rPr>
          <w:sz w:val="18"/>
        </w:rPr>
        <w:t>basis</w:t>
      </w:r>
      <w:r>
        <w:rPr>
          <w:spacing w:val="-3"/>
          <w:sz w:val="18"/>
        </w:rPr>
        <w:t xml:space="preserve"> </w:t>
      </w:r>
      <w:r>
        <w:rPr>
          <w:sz w:val="18"/>
        </w:rPr>
        <w:t>consistent</w:t>
      </w:r>
      <w:r>
        <w:rPr>
          <w:spacing w:val="-3"/>
          <w:sz w:val="18"/>
        </w:rPr>
        <w:t xml:space="preserve"> </w:t>
      </w:r>
      <w:r>
        <w:rPr>
          <w:sz w:val="18"/>
        </w:rPr>
        <w:t>with</w:t>
      </w:r>
      <w:r>
        <w:rPr>
          <w:spacing w:val="-4"/>
          <w:sz w:val="18"/>
        </w:rPr>
        <w:t xml:space="preserve"> </w:t>
      </w:r>
      <w:r>
        <w:rPr>
          <w:sz w:val="18"/>
        </w:rPr>
        <w:t>existing</w:t>
      </w:r>
      <w:r>
        <w:rPr>
          <w:spacing w:val="-4"/>
          <w:sz w:val="18"/>
        </w:rPr>
        <w:t xml:space="preserve"> </w:t>
      </w:r>
      <w:r>
        <w:rPr>
          <w:sz w:val="18"/>
        </w:rPr>
        <w:t>IOU</w:t>
      </w:r>
      <w:r>
        <w:rPr>
          <w:spacing w:val="-3"/>
          <w:sz w:val="18"/>
        </w:rPr>
        <w:t xml:space="preserve"> </w:t>
      </w:r>
      <w:r>
        <w:rPr>
          <w:sz w:val="18"/>
        </w:rPr>
        <w:t>programs;</w:t>
      </w:r>
      <w:r>
        <w:rPr>
          <w:spacing w:val="-3"/>
          <w:sz w:val="18"/>
        </w:rPr>
        <w:t xml:space="preserve"> </w:t>
      </w:r>
      <w:r>
        <w:rPr>
          <w:sz w:val="18"/>
        </w:rPr>
        <w:t>incentives</w:t>
      </w:r>
      <w:r>
        <w:rPr>
          <w:spacing w:val="-3"/>
          <w:sz w:val="18"/>
        </w:rPr>
        <w:t xml:space="preserve"> </w:t>
      </w:r>
      <w:r>
        <w:rPr>
          <w:sz w:val="18"/>
        </w:rPr>
        <w:t>are capped at 50%/75% (EE) or 75%/90% (FS) of incremental cost depending on the scenario.</w:t>
      </w:r>
    </w:p>
    <w:p w:rsidR="00C31389" w:rsidRDefault="00561FBD" w14:paraId="19D59DE7" w14:textId="77777777">
      <w:pPr>
        <w:spacing w:before="60"/>
        <w:ind w:left="479"/>
        <w:rPr>
          <w:sz w:val="18"/>
        </w:rPr>
      </w:pPr>
      <w:r>
        <w:rPr>
          <w:i/>
          <w:sz w:val="18"/>
        </w:rPr>
        <w:t>**</w:t>
      </w:r>
      <w:r>
        <w:rPr>
          <w:sz w:val="18"/>
        </w:rPr>
        <w:t>FS</w:t>
      </w:r>
      <w:r>
        <w:rPr>
          <w:spacing w:val="-5"/>
          <w:sz w:val="18"/>
        </w:rPr>
        <w:t xml:space="preserve"> </w:t>
      </w:r>
      <w:r>
        <w:rPr>
          <w:sz w:val="18"/>
        </w:rPr>
        <w:t>adoption</w:t>
      </w:r>
      <w:r>
        <w:rPr>
          <w:spacing w:val="-3"/>
          <w:sz w:val="18"/>
        </w:rPr>
        <w:t xml:space="preserve"> </w:t>
      </w:r>
      <w:r>
        <w:rPr>
          <w:sz w:val="18"/>
        </w:rPr>
        <w:t>parameters</w:t>
      </w:r>
      <w:r>
        <w:rPr>
          <w:spacing w:val="-2"/>
          <w:sz w:val="18"/>
        </w:rPr>
        <w:t xml:space="preserve"> </w:t>
      </w:r>
      <w:r>
        <w:rPr>
          <w:sz w:val="18"/>
        </w:rPr>
        <w:t>are</w:t>
      </w:r>
      <w:r>
        <w:rPr>
          <w:spacing w:val="-2"/>
          <w:sz w:val="18"/>
        </w:rPr>
        <w:t xml:space="preserve"> </w:t>
      </w:r>
      <w:r>
        <w:rPr>
          <w:sz w:val="18"/>
        </w:rPr>
        <w:t>set</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end</w:t>
      </w:r>
      <w:r>
        <w:rPr>
          <w:spacing w:val="-4"/>
          <w:sz w:val="18"/>
        </w:rPr>
        <w:t xml:space="preserve"> </w:t>
      </w:r>
      <w:r>
        <w:rPr>
          <w:sz w:val="18"/>
        </w:rPr>
        <w:t>use</w:t>
      </w:r>
      <w:r>
        <w:rPr>
          <w:spacing w:val="-3"/>
          <w:sz w:val="18"/>
        </w:rPr>
        <w:t xml:space="preserve"> </w:t>
      </w:r>
      <w:r>
        <w:rPr>
          <w:sz w:val="18"/>
        </w:rPr>
        <w:t>and</w:t>
      </w:r>
      <w:r>
        <w:rPr>
          <w:spacing w:val="-3"/>
          <w:sz w:val="18"/>
        </w:rPr>
        <w:t xml:space="preserve"> </w:t>
      </w:r>
      <w:r>
        <w:rPr>
          <w:sz w:val="18"/>
        </w:rPr>
        <w:t>sector-specific</w:t>
      </w:r>
      <w:r>
        <w:rPr>
          <w:spacing w:val="-2"/>
          <w:sz w:val="18"/>
        </w:rPr>
        <w:t xml:space="preserve"> </w:t>
      </w:r>
      <w:r>
        <w:rPr>
          <w:sz w:val="18"/>
        </w:rPr>
        <w:t>calibration</w:t>
      </w:r>
      <w:r>
        <w:rPr>
          <w:spacing w:val="-3"/>
          <w:sz w:val="18"/>
        </w:rPr>
        <w:t xml:space="preserve"> </w:t>
      </w:r>
      <w:r>
        <w:rPr>
          <w:spacing w:val="-2"/>
          <w:sz w:val="18"/>
        </w:rPr>
        <w:t>targets.</w:t>
      </w:r>
    </w:p>
    <w:p w:rsidR="00C31389" w:rsidRDefault="00561FBD" w14:paraId="33175F57" w14:textId="77777777">
      <w:pPr>
        <w:spacing w:before="61"/>
        <w:ind w:left="479"/>
        <w:rPr>
          <w:i/>
          <w:sz w:val="18"/>
        </w:rPr>
      </w:pPr>
      <w:r>
        <w:rPr>
          <w:i/>
          <w:sz w:val="18"/>
        </w:rPr>
        <w:t>Source:</w:t>
      </w:r>
      <w:r>
        <w:rPr>
          <w:i/>
          <w:spacing w:val="-4"/>
          <w:sz w:val="18"/>
        </w:rPr>
        <w:t xml:space="preserve"> </w:t>
      </w:r>
      <w:r>
        <w:rPr>
          <w:i/>
          <w:spacing w:val="-2"/>
          <w:sz w:val="18"/>
        </w:rPr>
        <w:t>Guidehouse</w:t>
      </w:r>
    </w:p>
    <w:p w:rsidR="00C31389" w:rsidRDefault="00C31389" w14:paraId="22B15DD4" w14:textId="77777777">
      <w:pPr>
        <w:pStyle w:val="BodyText"/>
        <w:spacing w:before="10"/>
        <w:rPr>
          <w:i/>
          <w:sz w:val="20"/>
        </w:rPr>
      </w:pPr>
    </w:p>
    <w:p w:rsidR="00C31389" w:rsidRDefault="00561FBD" w14:paraId="096963F6" w14:textId="77777777">
      <w:pPr>
        <w:pStyle w:val="BodyText"/>
        <w:ind w:left="480"/>
      </w:pPr>
      <w:r>
        <w:t>The</w:t>
      </w:r>
      <w:r>
        <w:rPr>
          <w:spacing w:val="-6"/>
        </w:rPr>
        <w:t xml:space="preserve"> </w:t>
      </w:r>
      <w:r>
        <w:t>scenarios</w:t>
      </w:r>
      <w:r>
        <w:rPr>
          <w:spacing w:val="-6"/>
        </w:rPr>
        <w:t xml:space="preserve"> </w:t>
      </w:r>
      <w:r>
        <w:t>can</w:t>
      </w:r>
      <w:r>
        <w:rPr>
          <w:spacing w:val="-6"/>
        </w:rPr>
        <w:t xml:space="preserve"> </w:t>
      </w:r>
      <w:r>
        <w:t>be</w:t>
      </w:r>
      <w:r>
        <w:rPr>
          <w:spacing w:val="-5"/>
        </w:rPr>
        <w:t xml:space="preserve"> </w:t>
      </w:r>
      <w:r>
        <w:t>interpreted</w:t>
      </w:r>
      <w:r>
        <w:rPr>
          <w:spacing w:val="-6"/>
        </w:rPr>
        <w:t xml:space="preserve"> </w:t>
      </w:r>
      <w:r>
        <w:t>as</w:t>
      </w:r>
      <w:r>
        <w:rPr>
          <w:spacing w:val="-7"/>
        </w:rPr>
        <w:t xml:space="preserve"> </w:t>
      </w:r>
      <w:r>
        <w:rPr>
          <w:spacing w:val="-2"/>
        </w:rPr>
        <w:t>follows:</w:t>
      </w:r>
    </w:p>
    <w:p w:rsidR="00C31389" w:rsidRDefault="00C31389" w14:paraId="2B2C94F5" w14:textId="77777777">
      <w:pPr>
        <w:pStyle w:val="BodyText"/>
        <w:spacing w:before="10"/>
        <w:rPr>
          <w:sz w:val="20"/>
        </w:rPr>
      </w:pPr>
    </w:p>
    <w:p w:rsidR="00C31389" w:rsidRDefault="00561FBD" w14:paraId="685B4482" w14:textId="77777777">
      <w:pPr>
        <w:pStyle w:val="ListParagraph"/>
        <w:numPr>
          <w:ilvl w:val="0"/>
          <w:numId w:val="57"/>
        </w:numPr>
        <w:tabs>
          <w:tab w:val="left" w:pos="1200"/>
        </w:tabs>
        <w:ind w:left="1200" w:right="841" w:hanging="361"/>
        <w:rPr>
          <w:rFonts w:ascii="Symbol" w:hAnsi="Symbol"/>
        </w:rPr>
      </w:pPr>
      <w:r>
        <w:rPr>
          <w:b/>
        </w:rPr>
        <w:t>Scenario</w:t>
      </w:r>
      <w:r>
        <w:rPr>
          <w:b/>
          <w:spacing w:val="-3"/>
        </w:rPr>
        <w:t xml:space="preserve"> </w:t>
      </w:r>
      <w:r>
        <w:rPr>
          <w:b/>
        </w:rPr>
        <w:t>1:</w:t>
      </w:r>
      <w:r>
        <w:rPr>
          <w:b/>
          <w:spacing w:val="-3"/>
        </w:rPr>
        <w:t xml:space="preserve"> </w:t>
      </w:r>
      <w:r>
        <w:rPr>
          <w:b/>
        </w:rPr>
        <w:t>No</w:t>
      </w:r>
      <w:r>
        <w:rPr>
          <w:b/>
          <w:spacing w:val="-3"/>
        </w:rPr>
        <w:t xml:space="preserve"> </w:t>
      </w:r>
      <w:r>
        <w:rPr>
          <w:b/>
        </w:rPr>
        <w:t>IRA</w:t>
      </w:r>
      <w:r>
        <w:rPr>
          <w:b/>
          <w:spacing w:val="-4"/>
        </w:rPr>
        <w:t xml:space="preserve"> </w:t>
      </w:r>
      <w:r>
        <w:t>represents</w:t>
      </w:r>
      <w:r>
        <w:rPr>
          <w:spacing w:val="-3"/>
        </w:rPr>
        <w:t xml:space="preserve"> </w:t>
      </w:r>
      <w:r>
        <w:t>business</w:t>
      </w:r>
      <w:r>
        <w:rPr>
          <w:spacing w:val="-3"/>
        </w:rPr>
        <w:t xml:space="preserve"> </w:t>
      </w:r>
      <w:r>
        <w:t>as</w:t>
      </w:r>
      <w:r>
        <w:rPr>
          <w:spacing w:val="-3"/>
        </w:rPr>
        <w:t xml:space="preserve"> </w:t>
      </w:r>
      <w:r>
        <w:t>usual</w:t>
      </w:r>
      <w:r>
        <w:rPr>
          <w:spacing w:val="-3"/>
        </w:rPr>
        <w:t xml:space="preserve"> </w:t>
      </w:r>
      <w:r>
        <w:t>with</w:t>
      </w:r>
      <w:r>
        <w:rPr>
          <w:spacing w:val="-3"/>
        </w:rPr>
        <w:t xml:space="preserve"> </w:t>
      </w:r>
      <w:r>
        <w:t>no</w:t>
      </w:r>
      <w:r>
        <w:rPr>
          <w:spacing w:val="-3"/>
        </w:rPr>
        <w:t xml:space="preserve"> </w:t>
      </w:r>
      <w:r>
        <w:t>impact</w:t>
      </w:r>
      <w:r>
        <w:rPr>
          <w:spacing w:val="-3"/>
        </w:rPr>
        <w:t xml:space="preserve"> </w:t>
      </w:r>
      <w:r>
        <w:t>(adoption)</w:t>
      </w:r>
      <w:r>
        <w:rPr>
          <w:spacing w:val="-2"/>
        </w:rPr>
        <w:t xml:space="preserve"> </w:t>
      </w:r>
      <w:r>
        <w:t>from</w:t>
      </w:r>
      <w:r>
        <w:rPr>
          <w:spacing w:val="-4"/>
        </w:rPr>
        <w:t xml:space="preserve"> </w:t>
      </w:r>
      <w:r>
        <w:t xml:space="preserve">the IRA tax credit and the continuation of current </w:t>
      </w:r>
      <w:r>
        <w:t>policies.</w:t>
      </w:r>
    </w:p>
    <w:p w:rsidR="00C31389" w:rsidRDefault="00561FBD" w14:paraId="10601056" w14:textId="77777777">
      <w:pPr>
        <w:pStyle w:val="ListParagraph"/>
        <w:numPr>
          <w:ilvl w:val="0"/>
          <w:numId w:val="57"/>
        </w:numPr>
        <w:tabs>
          <w:tab w:val="left" w:pos="1199"/>
        </w:tabs>
        <w:spacing w:before="118"/>
        <w:ind w:right="862"/>
        <w:rPr>
          <w:rFonts w:ascii="Symbol" w:hAnsi="Symbol"/>
        </w:rPr>
      </w:pPr>
      <w:r>
        <w:rPr>
          <w:b/>
        </w:rPr>
        <w:t xml:space="preserve">Scenario 2: Reference IRA and FS </w:t>
      </w:r>
      <w:r>
        <w:t>represents the same parameters as Scenario 1 with the addition of tax credits for residential and commercial EE and FS measures specified within the IRA provisions. Assumptions applied to specify per-measure tax c</w:t>
      </w:r>
      <w:r>
        <w:t>redit</w:t>
      </w:r>
      <w:r>
        <w:rPr>
          <w:spacing w:val="-4"/>
        </w:rPr>
        <w:t xml:space="preserve"> </w:t>
      </w:r>
      <w:r>
        <w:t>values</w:t>
      </w:r>
      <w:r>
        <w:rPr>
          <w:spacing w:val="-4"/>
        </w:rPr>
        <w:t xml:space="preserve"> </w:t>
      </w:r>
      <w:r>
        <w:t>represent</w:t>
      </w:r>
      <w:r>
        <w:rPr>
          <w:spacing w:val="-4"/>
        </w:rPr>
        <w:t xml:space="preserve"> </w:t>
      </w:r>
      <w:r>
        <w:t>the</w:t>
      </w:r>
      <w:r>
        <w:rPr>
          <w:spacing w:val="-4"/>
        </w:rPr>
        <w:t xml:space="preserve"> </w:t>
      </w:r>
      <w:r>
        <w:t>best</w:t>
      </w:r>
      <w:r>
        <w:rPr>
          <w:spacing w:val="-4"/>
        </w:rPr>
        <w:t xml:space="preserve"> </w:t>
      </w:r>
      <w:r>
        <w:t>available</w:t>
      </w:r>
      <w:r>
        <w:rPr>
          <w:spacing w:val="-4"/>
        </w:rPr>
        <w:t xml:space="preserve"> </w:t>
      </w:r>
      <w:r>
        <w:t>information</w:t>
      </w:r>
      <w:r>
        <w:rPr>
          <w:spacing w:val="-4"/>
        </w:rPr>
        <w:t xml:space="preserve"> </w:t>
      </w:r>
      <w:r>
        <w:t>regarding</w:t>
      </w:r>
      <w:r>
        <w:rPr>
          <w:spacing w:val="-4"/>
        </w:rPr>
        <w:t xml:space="preserve"> </w:t>
      </w:r>
      <w:r>
        <w:t>provisions</w:t>
      </w:r>
      <w:r>
        <w:rPr>
          <w:spacing w:val="-4"/>
        </w:rPr>
        <w:t xml:space="preserve"> </w:t>
      </w:r>
      <w:r>
        <w:t>of</w:t>
      </w:r>
      <w:r>
        <w:rPr>
          <w:spacing w:val="-4"/>
        </w:rPr>
        <w:t xml:space="preserve"> </w:t>
      </w:r>
      <w:r>
        <w:t>the</w:t>
      </w:r>
      <w:r>
        <w:rPr>
          <w:spacing w:val="-4"/>
        </w:rPr>
        <w:t xml:space="preserve"> </w:t>
      </w:r>
      <w:r>
        <w:t>law, and</w:t>
      </w:r>
      <w:r>
        <w:rPr>
          <w:spacing w:val="-1"/>
        </w:rPr>
        <w:t xml:space="preserve"> </w:t>
      </w:r>
      <w:r>
        <w:t>a</w:t>
      </w:r>
      <w:r>
        <w:rPr>
          <w:spacing w:val="-1"/>
        </w:rPr>
        <w:t xml:space="preserve"> </w:t>
      </w:r>
      <w:r>
        <w:t>conservative</w:t>
      </w:r>
      <w:r>
        <w:rPr>
          <w:spacing w:val="-1"/>
        </w:rPr>
        <w:t xml:space="preserve"> </w:t>
      </w:r>
      <w:r>
        <w:t>set</w:t>
      </w:r>
      <w:r>
        <w:rPr>
          <w:spacing w:val="-1"/>
        </w:rPr>
        <w:t xml:space="preserve"> </w:t>
      </w:r>
      <w:r>
        <w:t>of</w:t>
      </w:r>
      <w:r>
        <w:rPr>
          <w:spacing w:val="-1"/>
        </w:rPr>
        <w:t xml:space="preserve"> </w:t>
      </w:r>
      <w:r>
        <w:t>assumptions</w:t>
      </w:r>
      <w:r>
        <w:rPr>
          <w:spacing w:val="-1"/>
        </w:rPr>
        <w:t xml:space="preserve"> </w:t>
      </w:r>
      <w:r>
        <w:t>related</w:t>
      </w:r>
      <w:r>
        <w:rPr>
          <w:spacing w:val="-1"/>
        </w:rPr>
        <w:t xml:space="preserve"> </w:t>
      </w:r>
      <w:r>
        <w:t>to</w:t>
      </w:r>
      <w:r>
        <w:rPr>
          <w:spacing w:val="-2"/>
        </w:rPr>
        <w:t xml:space="preserve"> </w:t>
      </w:r>
      <w:r>
        <w:t>the</w:t>
      </w:r>
      <w:r>
        <w:rPr>
          <w:spacing w:val="-1"/>
        </w:rPr>
        <w:t xml:space="preserve"> </w:t>
      </w:r>
      <w:r>
        <w:t>proportion of</w:t>
      </w:r>
      <w:r>
        <w:rPr>
          <w:spacing w:val="-1"/>
        </w:rPr>
        <w:t xml:space="preserve"> </w:t>
      </w:r>
      <w:r>
        <w:t>commercial</w:t>
      </w:r>
      <w:r>
        <w:rPr>
          <w:spacing w:val="-1"/>
        </w:rPr>
        <w:t xml:space="preserve"> </w:t>
      </w:r>
      <w:r>
        <w:t>sector buildings (base threshold value of 25%) able to achieve the minimum IRA-specified re</w:t>
      </w:r>
      <w:r>
        <w:t>duction in baseline energy consumption required to qualify for tax credits.</w:t>
      </w:r>
    </w:p>
    <w:p w:rsidR="00C31389" w:rsidRDefault="00561FBD" w14:paraId="505F764D" w14:textId="77777777">
      <w:pPr>
        <w:pStyle w:val="ListParagraph"/>
        <w:numPr>
          <w:ilvl w:val="0"/>
          <w:numId w:val="57"/>
        </w:numPr>
        <w:tabs>
          <w:tab w:val="left" w:pos="1199"/>
        </w:tabs>
        <w:spacing w:before="118"/>
        <w:ind w:right="691"/>
        <w:rPr>
          <w:rFonts w:ascii="Symbol" w:hAnsi="Symbol"/>
        </w:rPr>
      </w:pPr>
      <w:r>
        <w:rPr>
          <w:b/>
        </w:rPr>
        <w:t xml:space="preserve">Scenario 3: Reference IRA and Aggressive FS </w:t>
      </w:r>
      <w:r>
        <w:t>builds on Scenario 2 with increased adoption parameter values assigned to FS measures designed to align these technologies with EE in te</w:t>
      </w:r>
      <w:r>
        <w:t>rms of how the overall market responds to programmatic interventions.</w:t>
      </w:r>
      <w:r>
        <w:rPr>
          <w:spacing w:val="-3"/>
        </w:rPr>
        <w:t xml:space="preserve"> </w:t>
      </w:r>
      <w:r>
        <w:t>In</w:t>
      </w:r>
      <w:r>
        <w:rPr>
          <w:spacing w:val="-3"/>
        </w:rPr>
        <w:t xml:space="preserve"> </w:t>
      </w:r>
      <w:r>
        <w:t>addition,</w:t>
      </w:r>
      <w:r>
        <w:rPr>
          <w:spacing w:val="-3"/>
        </w:rPr>
        <w:t xml:space="preserve"> </w:t>
      </w:r>
      <w:r>
        <w:t>Scenario</w:t>
      </w:r>
      <w:r>
        <w:rPr>
          <w:spacing w:val="-4"/>
        </w:rPr>
        <w:t xml:space="preserve"> </w:t>
      </w:r>
      <w:r>
        <w:t>3</w:t>
      </w:r>
      <w:r>
        <w:rPr>
          <w:spacing w:val="-3"/>
        </w:rPr>
        <w:t xml:space="preserve"> </w:t>
      </w:r>
      <w:r>
        <w:t>includes</w:t>
      </w:r>
      <w:r>
        <w:rPr>
          <w:spacing w:val="-3"/>
        </w:rPr>
        <w:t xml:space="preserve"> </w:t>
      </w:r>
      <w:r>
        <w:t>a</w:t>
      </w:r>
      <w:r>
        <w:rPr>
          <w:spacing w:val="-4"/>
        </w:rPr>
        <w:t xml:space="preserve"> </w:t>
      </w:r>
      <w:r>
        <w:t>75%</w:t>
      </w:r>
      <w:r>
        <w:rPr>
          <w:spacing w:val="-3"/>
        </w:rPr>
        <w:t xml:space="preserve"> </w:t>
      </w:r>
      <w:r>
        <w:t>incentive</w:t>
      </w:r>
      <w:r>
        <w:rPr>
          <w:spacing w:val="-3"/>
        </w:rPr>
        <w:t xml:space="preserve"> </w:t>
      </w:r>
      <w:r>
        <w:t>cap</w:t>
      </w:r>
      <w:r>
        <w:rPr>
          <w:spacing w:val="-3"/>
        </w:rPr>
        <w:t xml:space="preserve"> </w:t>
      </w:r>
      <w:r>
        <w:t>on</w:t>
      </w:r>
      <w:r>
        <w:rPr>
          <w:spacing w:val="-3"/>
        </w:rPr>
        <w:t xml:space="preserve"> </w:t>
      </w:r>
      <w:r>
        <w:t>incremental</w:t>
      </w:r>
      <w:r>
        <w:rPr>
          <w:spacing w:val="-3"/>
        </w:rPr>
        <w:t xml:space="preserve"> </w:t>
      </w:r>
      <w:r>
        <w:t>cost for EE measures and 90% incentive cap for FS measures. These were determined through</w:t>
      </w:r>
      <w:r>
        <w:rPr>
          <w:spacing w:val="-4"/>
        </w:rPr>
        <w:t xml:space="preserve"> </w:t>
      </w:r>
      <w:r>
        <w:t>discussions</w:t>
      </w:r>
      <w:r>
        <w:rPr>
          <w:spacing w:val="-5"/>
        </w:rPr>
        <w:t xml:space="preserve"> </w:t>
      </w:r>
      <w:r>
        <w:t>between</w:t>
      </w:r>
      <w:r>
        <w:rPr>
          <w:spacing w:val="-4"/>
        </w:rPr>
        <w:t xml:space="preserve"> </w:t>
      </w:r>
      <w:r>
        <w:t>Guidehou</w:t>
      </w:r>
      <w:r>
        <w:t>se</w:t>
      </w:r>
      <w:r>
        <w:rPr>
          <w:spacing w:val="-4"/>
        </w:rPr>
        <w:t xml:space="preserve"> </w:t>
      </w:r>
      <w:r>
        <w:t>and</w:t>
      </w:r>
      <w:r>
        <w:rPr>
          <w:spacing w:val="-4"/>
        </w:rPr>
        <w:t xml:space="preserve"> </w:t>
      </w:r>
      <w:r>
        <w:t>the</w:t>
      </w:r>
      <w:r>
        <w:rPr>
          <w:spacing w:val="-4"/>
        </w:rPr>
        <w:t xml:space="preserve"> </w:t>
      </w:r>
      <w:r>
        <w:t>CPUC</w:t>
      </w:r>
      <w:r>
        <w:rPr>
          <w:spacing w:val="-5"/>
        </w:rPr>
        <w:t xml:space="preserve"> </w:t>
      </w:r>
      <w:r>
        <w:t>and</w:t>
      </w:r>
      <w:r>
        <w:rPr>
          <w:spacing w:val="-4"/>
        </w:rPr>
        <w:t xml:space="preserve"> </w:t>
      </w:r>
      <w:r>
        <w:t>assigned</w:t>
      </w:r>
      <w:r>
        <w:rPr>
          <w:spacing w:val="-5"/>
        </w:rPr>
        <w:t xml:space="preserve"> </w:t>
      </w:r>
      <w:r>
        <w:t>to</w:t>
      </w:r>
      <w:r>
        <w:rPr>
          <w:spacing w:val="-2"/>
        </w:rPr>
        <w:t xml:space="preserve"> </w:t>
      </w:r>
      <w:r>
        <w:t>be</w:t>
      </w:r>
      <w:r>
        <w:rPr>
          <w:spacing w:val="-4"/>
        </w:rPr>
        <w:t xml:space="preserve"> </w:t>
      </w:r>
      <w:r>
        <w:t>reflective of state regulators’ relative high prioritization of FS measures but still accounting for some of the measure incremental cost burden to be assigned to technology adopters.</w:t>
      </w:r>
    </w:p>
    <w:p w:rsidR="00C31389" w:rsidRDefault="00561FBD" w14:paraId="794A579D" w14:textId="77777777">
      <w:pPr>
        <w:pStyle w:val="ListParagraph"/>
        <w:numPr>
          <w:ilvl w:val="0"/>
          <w:numId w:val="57"/>
        </w:numPr>
        <w:tabs>
          <w:tab w:val="left" w:pos="1199"/>
        </w:tabs>
        <w:spacing w:before="119"/>
        <w:ind w:right="731"/>
        <w:rPr>
          <w:rFonts w:ascii="Symbol" w:hAnsi="Symbol"/>
        </w:rPr>
      </w:pPr>
      <w:r>
        <w:rPr>
          <w:b/>
        </w:rPr>
        <w:t>Scenario 4: Aggressive IRA</w:t>
      </w:r>
      <w:r>
        <w:rPr>
          <w:b/>
          <w:spacing w:val="-1"/>
        </w:rPr>
        <w:t xml:space="preserve"> </w:t>
      </w:r>
      <w:r>
        <w:rPr>
          <w:b/>
        </w:rPr>
        <w:t xml:space="preserve">and Reference FS </w:t>
      </w:r>
      <w:r>
        <w:t>is consistent with Scenario 2 except the IRA tax credit values applied to the commercial sector EE and FS measures represent</w:t>
      </w:r>
      <w:r>
        <w:rPr>
          <w:spacing w:val="-4"/>
        </w:rPr>
        <w:t xml:space="preserve"> </w:t>
      </w:r>
      <w:r>
        <w:t>a</w:t>
      </w:r>
      <w:r>
        <w:rPr>
          <w:spacing w:val="-5"/>
        </w:rPr>
        <w:t xml:space="preserve"> </w:t>
      </w:r>
      <w:r>
        <w:t>more</w:t>
      </w:r>
      <w:r>
        <w:rPr>
          <w:spacing w:val="-4"/>
        </w:rPr>
        <w:t xml:space="preserve"> </w:t>
      </w:r>
      <w:r>
        <w:t>aggressive</w:t>
      </w:r>
      <w:r>
        <w:rPr>
          <w:spacing w:val="-5"/>
        </w:rPr>
        <w:t xml:space="preserve"> </w:t>
      </w:r>
      <w:r>
        <w:t>set</w:t>
      </w:r>
      <w:r>
        <w:rPr>
          <w:spacing w:val="-4"/>
        </w:rPr>
        <w:t xml:space="preserve"> </w:t>
      </w:r>
      <w:r>
        <w:t>of</w:t>
      </w:r>
      <w:r>
        <w:rPr>
          <w:spacing w:val="-5"/>
        </w:rPr>
        <w:t xml:space="preserve"> </w:t>
      </w:r>
      <w:r>
        <w:t>assumptions</w:t>
      </w:r>
      <w:r>
        <w:rPr>
          <w:spacing w:val="-3"/>
        </w:rPr>
        <w:t xml:space="preserve"> </w:t>
      </w:r>
      <w:r>
        <w:t>regarding</w:t>
      </w:r>
      <w:r>
        <w:rPr>
          <w:spacing w:val="-4"/>
        </w:rPr>
        <w:t xml:space="preserve"> </w:t>
      </w:r>
      <w:r>
        <w:t>the</w:t>
      </w:r>
      <w:r>
        <w:rPr>
          <w:spacing w:val="-4"/>
        </w:rPr>
        <w:t xml:space="preserve"> </w:t>
      </w:r>
      <w:r>
        <w:t>percentage</w:t>
      </w:r>
      <w:r>
        <w:rPr>
          <w:spacing w:val="-4"/>
        </w:rPr>
        <w:t xml:space="preserve"> </w:t>
      </w:r>
      <w:r>
        <w:t>of</w:t>
      </w:r>
      <w:r>
        <w:rPr>
          <w:spacing w:val="-4"/>
        </w:rPr>
        <w:t xml:space="preserve"> </w:t>
      </w:r>
      <w:r>
        <w:t>buildings (increased by a factor of 1.5 of the co</w:t>
      </w:r>
      <w:r>
        <w:t>nservative assumption for the proportion of buildings)</w:t>
      </w:r>
      <w:r>
        <w:rPr>
          <w:spacing w:val="-2"/>
        </w:rPr>
        <w:t xml:space="preserve"> </w:t>
      </w:r>
      <w:r>
        <w:t>across</w:t>
      </w:r>
      <w:r>
        <w:rPr>
          <w:spacing w:val="-2"/>
        </w:rPr>
        <w:t xml:space="preserve"> </w:t>
      </w:r>
      <w:r>
        <w:t>the</w:t>
      </w:r>
      <w:r>
        <w:rPr>
          <w:spacing w:val="-2"/>
        </w:rPr>
        <w:t xml:space="preserve"> </w:t>
      </w:r>
      <w:r>
        <w:t>market</w:t>
      </w:r>
      <w:r>
        <w:rPr>
          <w:spacing w:val="-2"/>
        </w:rPr>
        <w:t xml:space="preserve"> </w:t>
      </w:r>
      <w:r>
        <w:t>that</w:t>
      </w:r>
      <w:r>
        <w:rPr>
          <w:spacing w:val="-2"/>
        </w:rPr>
        <w:t xml:space="preserve"> </w:t>
      </w:r>
      <w:r>
        <w:t>can</w:t>
      </w:r>
      <w:r>
        <w:rPr>
          <w:spacing w:val="-2"/>
        </w:rPr>
        <w:t xml:space="preserve"> </w:t>
      </w:r>
      <w:r>
        <w:t>achieve</w:t>
      </w:r>
      <w:r>
        <w:rPr>
          <w:spacing w:val="-2"/>
        </w:rPr>
        <w:t xml:space="preserve"> </w:t>
      </w:r>
      <w:r>
        <w:t>the</w:t>
      </w:r>
      <w:r>
        <w:rPr>
          <w:spacing w:val="-2"/>
        </w:rPr>
        <w:t xml:space="preserve"> </w:t>
      </w:r>
      <w:r>
        <w:t>minimum</w:t>
      </w:r>
      <w:r>
        <w:rPr>
          <w:spacing w:val="-3"/>
        </w:rPr>
        <w:t xml:space="preserve"> </w:t>
      </w:r>
      <w:r>
        <w:t>IRA-qualifying</w:t>
      </w:r>
      <w:r>
        <w:rPr>
          <w:spacing w:val="-2"/>
        </w:rPr>
        <w:t xml:space="preserve"> </w:t>
      </w:r>
      <w:r>
        <w:t>reduction</w:t>
      </w:r>
      <w:r>
        <w:rPr>
          <w:spacing w:val="-2"/>
        </w:rPr>
        <w:t xml:space="preserve"> </w:t>
      </w:r>
      <w:r>
        <w:t>in baseline energy consumption through eligible measures.</w:t>
      </w:r>
      <w:r>
        <w:rPr>
          <w:spacing w:val="-32"/>
        </w:rPr>
        <w:t xml:space="preserve"> </w:t>
      </w:r>
      <w:hyperlink w:history="1" w:anchor="_bookmark94">
        <w:r>
          <w:rPr>
            <w:position w:val="7"/>
            <w:sz w:val="14"/>
          </w:rPr>
          <w:t>27</w:t>
        </w:r>
      </w:hyperlink>
    </w:p>
    <w:p w:rsidR="00C31389" w:rsidRDefault="00C31389" w14:paraId="3410149A" w14:textId="77777777">
      <w:pPr>
        <w:pStyle w:val="BodyText"/>
        <w:rPr>
          <w:sz w:val="20"/>
        </w:rPr>
      </w:pPr>
    </w:p>
    <w:p w:rsidR="00C31389" w:rsidRDefault="00561FBD" w14:paraId="67F32771" w14:textId="77777777">
      <w:pPr>
        <w:pStyle w:val="BodyText"/>
        <w:spacing w:before="10"/>
        <w:rPr>
          <w:sz w:val="15"/>
        </w:rPr>
      </w:pPr>
      <w:r>
        <w:rPr>
          <w:noProof/>
        </w:rPr>
        <mc:AlternateContent>
          <mc:Choice Requires="wps">
            <w:drawing>
              <wp:anchor distT="0" distB="0" distL="0" distR="0" simplePos="0" relativeHeight="487619584" behindDoc="1" locked="0" layoutInCell="1" allowOverlap="1" wp14:editId="514477BF" wp14:anchorId="5D52EC6A">
                <wp:simplePos x="0" y="0"/>
                <wp:positionH relativeFrom="page">
                  <wp:posOffset>914400</wp:posOffset>
                </wp:positionH>
                <wp:positionV relativeFrom="paragraph">
                  <wp:posOffset>131121</wp:posOffset>
                </wp:positionV>
                <wp:extent cx="1828800" cy="6985"/>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82" style="position:absolute;margin-left:1in;margin-top:10.3pt;width:2in;height:.55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" w14:anchorId="3058F39E">
                <v:path arrowok="t"/>
                <w10:wrap type="topAndBottom" anchorx="page"/>
              </v:shape>
            </w:pict>
          </mc:Fallback>
        </mc:AlternateContent>
      </w:r>
    </w:p>
    <w:p w:rsidR="00C31389" w:rsidRDefault="00561FBD" w14:paraId="763D0F89" w14:textId="77777777">
      <w:pPr>
        <w:spacing w:before="97"/>
        <w:ind w:left="480"/>
        <w:rPr>
          <w:sz w:val="18"/>
        </w:rPr>
      </w:pPr>
      <w:bookmarkStart w:name="_bookmark94" w:id="125"/>
      <w:bookmarkEnd w:id="125"/>
      <w:r>
        <w:rPr>
          <w:position w:val="7"/>
          <w:sz w:val="14"/>
        </w:rPr>
        <w:t>2</w:t>
      </w:r>
      <w:r>
        <w:rPr>
          <w:position w:val="7"/>
          <w:sz w:val="14"/>
        </w:rPr>
        <w:t>7</w:t>
      </w:r>
      <w:r>
        <w:rPr>
          <w:spacing w:val="6"/>
          <w:position w:val="7"/>
          <w:sz w:val="14"/>
        </w:rPr>
        <w:t xml:space="preserve"> </w:t>
      </w:r>
      <w:r>
        <w:rPr>
          <w:sz w:val="18"/>
        </w:rPr>
        <w:t>More</w:t>
      </w:r>
      <w:r>
        <w:rPr>
          <w:spacing w:val="-2"/>
          <w:sz w:val="18"/>
        </w:rPr>
        <w:t xml:space="preserve"> </w:t>
      </w:r>
      <w:r>
        <w:rPr>
          <w:sz w:val="18"/>
        </w:rPr>
        <w:t>detail</w:t>
      </w:r>
      <w:r>
        <w:rPr>
          <w:spacing w:val="-2"/>
          <w:sz w:val="18"/>
        </w:rPr>
        <w:t xml:space="preserve"> </w:t>
      </w:r>
      <w:r>
        <w:rPr>
          <w:sz w:val="18"/>
        </w:rPr>
        <w:t>on</w:t>
      </w:r>
      <w:r>
        <w:rPr>
          <w:spacing w:val="-2"/>
          <w:sz w:val="18"/>
        </w:rPr>
        <w:t xml:space="preserve"> </w:t>
      </w:r>
      <w:r>
        <w:rPr>
          <w:sz w:val="18"/>
        </w:rPr>
        <w:t>these</w:t>
      </w:r>
      <w:r>
        <w:rPr>
          <w:spacing w:val="-3"/>
          <w:sz w:val="18"/>
        </w:rPr>
        <w:t xml:space="preserve"> </w:t>
      </w:r>
      <w:r>
        <w:rPr>
          <w:sz w:val="18"/>
        </w:rPr>
        <w:t>assumptions</w:t>
      </w:r>
      <w:r>
        <w:rPr>
          <w:spacing w:val="-2"/>
          <w:sz w:val="18"/>
        </w:rPr>
        <w:t xml:space="preserve"> </w:t>
      </w:r>
      <w:r>
        <w:rPr>
          <w:sz w:val="18"/>
        </w:rPr>
        <w:t>can</w:t>
      </w:r>
      <w:r>
        <w:rPr>
          <w:spacing w:val="-3"/>
          <w:sz w:val="18"/>
        </w:rPr>
        <w:t xml:space="preserve"> </w:t>
      </w:r>
      <w:r>
        <w:rPr>
          <w:sz w:val="18"/>
        </w:rPr>
        <w:t>be</w:t>
      </w:r>
      <w:r>
        <w:rPr>
          <w:spacing w:val="-2"/>
          <w:sz w:val="18"/>
        </w:rPr>
        <w:t xml:space="preserve"> </w:t>
      </w:r>
      <w:r>
        <w:rPr>
          <w:sz w:val="18"/>
        </w:rPr>
        <w:t>found</w:t>
      </w:r>
      <w:r>
        <w:rPr>
          <w:spacing w:val="-3"/>
          <w:sz w:val="18"/>
        </w:rPr>
        <w:t xml:space="preserve"> </w:t>
      </w:r>
      <w:r>
        <w:rPr>
          <w:sz w:val="18"/>
        </w:rPr>
        <w:t>in</w:t>
      </w:r>
      <w:r>
        <w:rPr>
          <w:spacing w:val="-3"/>
          <w:sz w:val="18"/>
        </w:rPr>
        <w:t xml:space="preserve"> </w:t>
      </w:r>
      <w:r>
        <w:rPr>
          <w:sz w:val="18"/>
        </w:rPr>
        <w:t>Appendix</w:t>
      </w:r>
      <w:r>
        <w:rPr>
          <w:spacing w:val="-1"/>
          <w:sz w:val="18"/>
        </w:rPr>
        <w:t xml:space="preserve"> </w:t>
      </w:r>
      <w:r>
        <w:rPr>
          <w:spacing w:val="-5"/>
          <w:sz w:val="18"/>
        </w:rPr>
        <w:t>K.</w:t>
      </w:r>
    </w:p>
    <w:p w:rsidR="00C31389" w:rsidRDefault="00C31389" w14:paraId="1F89F3C8" w14:textId="77777777">
      <w:pPr>
        <w:rPr>
          <w:sz w:val="18"/>
        </w:rPr>
        <w:sectPr w:rsidR="00C31389">
          <w:pgSz w:w="12240" w:h="15840"/>
          <w:pgMar w:top="1660" w:right="960" w:bottom="1120" w:left="960" w:header="397" w:footer="936" w:gutter="0"/>
          <w:cols w:space="720"/>
        </w:sectPr>
      </w:pPr>
    </w:p>
    <w:p w:rsidR="00C31389" w:rsidRDefault="00C31389" w14:paraId="0A5A009F" w14:textId="77777777">
      <w:pPr>
        <w:pStyle w:val="BodyText"/>
      </w:pPr>
    </w:p>
    <w:p w:rsidR="00C31389" w:rsidRDefault="00C31389" w14:paraId="78D500E3" w14:textId="77777777">
      <w:pPr>
        <w:pStyle w:val="BodyText"/>
        <w:spacing w:before="1"/>
        <w:rPr>
          <w:sz w:val="14"/>
        </w:rPr>
      </w:pPr>
    </w:p>
    <w:p w:rsidR="00C31389" w:rsidRDefault="00561FBD" w14:paraId="1E8FEFC4" w14:textId="77777777">
      <w:pPr>
        <w:pStyle w:val="Heading1"/>
        <w:numPr>
          <w:ilvl w:val="0"/>
          <w:numId w:val="71"/>
        </w:numPr>
        <w:tabs>
          <w:tab w:val="left" w:pos="834"/>
        </w:tabs>
        <w:ind w:left="834" w:hanging="354"/>
      </w:pPr>
      <w:bookmarkStart w:name="3._Data_Sources" w:id="126"/>
      <w:bookmarkStart w:name="_bookmark95" w:id="127"/>
      <w:bookmarkEnd w:id="126"/>
      <w:bookmarkEnd w:id="127"/>
      <w:r>
        <w:t>Data</w:t>
      </w:r>
      <w:r>
        <w:rPr>
          <w:spacing w:val="-3"/>
        </w:rPr>
        <w:t xml:space="preserve"> </w:t>
      </w:r>
      <w:r>
        <w:rPr>
          <w:spacing w:val="-2"/>
        </w:rPr>
        <w:t>Sources</w:t>
      </w:r>
    </w:p>
    <w:p w:rsidR="00C31389" w:rsidRDefault="00561FBD" w14:paraId="12EDE9E1" w14:textId="77777777">
      <w:pPr>
        <w:pStyle w:val="BodyText"/>
        <w:spacing w:before="239"/>
        <w:ind w:left="480" w:right="533" w:hanging="1"/>
      </w:pPr>
      <w:r>
        <w:t>The</w:t>
      </w:r>
      <w:r>
        <w:rPr>
          <w:spacing w:val="-3"/>
        </w:rPr>
        <w:t xml:space="preserve"> </w:t>
      </w:r>
      <w:r>
        <w:t>2023</w:t>
      </w:r>
      <w:r>
        <w:rPr>
          <w:spacing w:val="-3"/>
        </w:rPr>
        <w:t xml:space="preserve"> </w:t>
      </w:r>
      <w:r>
        <w:t>Study</w:t>
      </w:r>
      <w:r>
        <w:rPr>
          <w:spacing w:val="-3"/>
        </w:rPr>
        <w:t xml:space="preserve"> </w:t>
      </w:r>
      <w:r>
        <w:t>relied</w:t>
      </w:r>
      <w:r>
        <w:rPr>
          <w:spacing w:val="-3"/>
        </w:rPr>
        <w:t xml:space="preserve"> </w:t>
      </w:r>
      <w:r>
        <w:t>on</w:t>
      </w:r>
      <w:r>
        <w:rPr>
          <w:spacing w:val="-3"/>
        </w:rPr>
        <w:t xml:space="preserve"> </w:t>
      </w:r>
      <w:r>
        <w:t>vast</w:t>
      </w:r>
      <w:r>
        <w:rPr>
          <w:spacing w:val="-3"/>
        </w:rPr>
        <w:t xml:space="preserve"> </w:t>
      </w:r>
      <w:r>
        <w:t>and</w:t>
      </w:r>
      <w:r>
        <w:rPr>
          <w:spacing w:val="-3"/>
        </w:rPr>
        <w:t xml:space="preserve"> </w:t>
      </w:r>
      <w:r>
        <w:t>varied</w:t>
      </w:r>
      <w:r>
        <w:rPr>
          <w:spacing w:val="-3"/>
        </w:rPr>
        <w:t xml:space="preserve"> </w:t>
      </w:r>
      <w:r>
        <w:t>data</w:t>
      </w:r>
      <w:r>
        <w:rPr>
          <w:spacing w:val="-3"/>
        </w:rPr>
        <w:t xml:space="preserve"> </w:t>
      </w:r>
      <w:r>
        <w:t>sources.</w:t>
      </w:r>
      <w:r>
        <w:rPr>
          <w:spacing w:val="-3"/>
        </w:rPr>
        <w:t xml:space="preserve"> </w:t>
      </w:r>
      <w:r>
        <w:t>Throughout</w:t>
      </w:r>
      <w:r>
        <w:rPr>
          <w:spacing w:val="-3"/>
        </w:rPr>
        <w:t xml:space="preserve"> </w:t>
      </w:r>
      <w:r>
        <w:t>the</w:t>
      </w:r>
      <w:r>
        <w:rPr>
          <w:spacing w:val="-4"/>
        </w:rPr>
        <w:t xml:space="preserve"> </w:t>
      </w:r>
      <w:r>
        <w:t>study,</w:t>
      </w:r>
      <w:r>
        <w:rPr>
          <w:spacing w:val="-3"/>
        </w:rPr>
        <w:t xml:space="preserve"> </w:t>
      </w:r>
      <w:r>
        <w:t>the</w:t>
      </w:r>
      <w:r>
        <w:rPr>
          <w:spacing w:val="-3"/>
        </w:rPr>
        <w:t xml:space="preserve"> </w:t>
      </w:r>
      <w:r>
        <w:t>Guidehouse team</w:t>
      </w:r>
      <w:r>
        <w:rPr>
          <w:spacing w:val="-2"/>
        </w:rPr>
        <w:t xml:space="preserve"> </w:t>
      </w:r>
      <w:r>
        <w:t>sought</w:t>
      </w:r>
      <w:r>
        <w:rPr>
          <w:spacing w:val="-1"/>
        </w:rPr>
        <w:t xml:space="preserve"> </w:t>
      </w:r>
      <w:r>
        <w:t>to</w:t>
      </w:r>
      <w:r>
        <w:rPr>
          <w:spacing w:val="-1"/>
        </w:rPr>
        <w:t xml:space="preserve"> </w:t>
      </w:r>
      <w:r>
        <w:t>rely</w:t>
      </w:r>
      <w:r>
        <w:rPr>
          <w:spacing w:val="-1"/>
        </w:rPr>
        <w:t xml:space="preserve"> </w:t>
      </w:r>
      <w:r>
        <w:t>on</w:t>
      </w:r>
      <w:r>
        <w:rPr>
          <w:spacing w:val="-1"/>
        </w:rPr>
        <w:t xml:space="preserve"> </w:t>
      </w:r>
      <w:r>
        <w:t>CPUC-vetted</w:t>
      </w:r>
      <w:r>
        <w:rPr>
          <w:spacing w:val="-1"/>
        </w:rPr>
        <w:t xml:space="preserve"> </w:t>
      </w:r>
      <w:r>
        <w:t>products</w:t>
      </w:r>
      <w:r>
        <w:rPr>
          <w:spacing w:val="-1"/>
        </w:rPr>
        <w:t xml:space="preserve"> </w:t>
      </w:r>
      <w:r>
        <w:t>as</w:t>
      </w:r>
      <w:r>
        <w:rPr>
          <w:spacing w:val="-2"/>
        </w:rPr>
        <w:t xml:space="preserve"> </w:t>
      </w:r>
      <w:r>
        <w:t>much</w:t>
      </w:r>
      <w:r>
        <w:rPr>
          <w:spacing w:val="-1"/>
        </w:rPr>
        <w:t xml:space="preserve"> </w:t>
      </w:r>
      <w:r>
        <w:t>as</w:t>
      </w:r>
      <w:r>
        <w:rPr>
          <w:spacing w:val="-1"/>
        </w:rPr>
        <w:t xml:space="preserve"> </w:t>
      </w:r>
      <w:r>
        <w:t>possible.</w:t>
      </w:r>
      <w:r>
        <w:rPr>
          <w:spacing w:val="-1"/>
        </w:rPr>
        <w:t xml:space="preserve"> </w:t>
      </w:r>
      <w:r>
        <w:t>In</w:t>
      </w:r>
      <w:r>
        <w:rPr>
          <w:spacing w:val="-1"/>
        </w:rPr>
        <w:t xml:space="preserve"> </w:t>
      </w:r>
      <w:r>
        <w:t>several</w:t>
      </w:r>
      <w:r>
        <w:rPr>
          <w:spacing w:val="-1"/>
        </w:rPr>
        <w:t xml:space="preserve"> </w:t>
      </w:r>
      <w:r>
        <w:t>cases,</w:t>
      </w:r>
      <w:r>
        <w:rPr>
          <w:spacing w:val="-2"/>
        </w:rPr>
        <w:t xml:space="preserve"> </w:t>
      </w:r>
      <w:r>
        <w:t>the</w:t>
      </w:r>
      <w:r>
        <w:rPr>
          <w:spacing w:val="-1"/>
        </w:rPr>
        <w:t xml:space="preserve"> </w:t>
      </w:r>
      <w:r>
        <w:t>team sought alternate data sources where CPUC resources did not provide the necessary information.</w:t>
      </w:r>
      <w:r>
        <w:rPr>
          <w:spacing w:val="-3"/>
        </w:rPr>
        <w:t xml:space="preserve"> </w:t>
      </w:r>
      <w:r>
        <w:t>This</w:t>
      </w:r>
      <w:r>
        <w:rPr>
          <w:spacing w:val="-3"/>
        </w:rPr>
        <w:t xml:space="preserve"> </w:t>
      </w:r>
      <w:r>
        <w:t>section</w:t>
      </w:r>
      <w:r>
        <w:rPr>
          <w:spacing w:val="-4"/>
        </w:rPr>
        <w:t xml:space="preserve"> </w:t>
      </w:r>
      <w:r>
        <w:t>describes</w:t>
      </w:r>
      <w:r>
        <w:rPr>
          <w:spacing w:val="-4"/>
        </w:rPr>
        <w:t xml:space="preserve"> </w:t>
      </w:r>
      <w:r>
        <w:t>the</w:t>
      </w:r>
      <w:r>
        <w:rPr>
          <w:spacing w:val="-3"/>
        </w:rPr>
        <w:t xml:space="preserve"> </w:t>
      </w:r>
      <w:r>
        <w:t>data</w:t>
      </w:r>
      <w:r>
        <w:rPr>
          <w:spacing w:val="-3"/>
        </w:rPr>
        <w:t xml:space="preserve"> </w:t>
      </w:r>
      <w:r>
        <w:t>update</w:t>
      </w:r>
      <w:r>
        <w:rPr>
          <w:spacing w:val="-3"/>
        </w:rPr>
        <w:t xml:space="preserve"> </w:t>
      </w:r>
      <w:r>
        <w:t>process,</w:t>
      </w:r>
      <w:r>
        <w:rPr>
          <w:spacing w:val="-4"/>
        </w:rPr>
        <w:t xml:space="preserve"> </w:t>
      </w:r>
      <w:r>
        <w:t>assumptions,</w:t>
      </w:r>
      <w:r>
        <w:rPr>
          <w:spacing w:val="-3"/>
        </w:rPr>
        <w:t xml:space="preserve"> </w:t>
      </w:r>
      <w:r>
        <w:t>and</w:t>
      </w:r>
      <w:r>
        <w:rPr>
          <w:spacing w:val="-3"/>
        </w:rPr>
        <w:t xml:space="preserve"> </w:t>
      </w:r>
      <w:r>
        <w:t>sources</w:t>
      </w:r>
      <w:r>
        <w:rPr>
          <w:spacing w:val="-3"/>
        </w:rPr>
        <w:t xml:space="preserve"> </w:t>
      </w:r>
      <w:r>
        <w:t>for</w:t>
      </w:r>
      <w:r>
        <w:rPr>
          <w:spacing w:val="-3"/>
        </w:rPr>
        <w:t xml:space="preserve"> </w:t>
      </w:r>
      <w:r>
        <w:t>key topic areas.</w:t>
      </w:r>
    </w:p>
    <w:p w:rsidR="00C31389" w:rsidRDefault="00C31389" w14:paraId="4C320EA4" w14:textId="77777777">
      <w:pPr>
        <w:pStyle w:val="BodyText"/>
        <w:rPr>
          <w:sz w:val="21"/>
        </w:rPr>
      </w:pPr>
    </w:p>
    <w:p w:rsidR="00C31389" w:rsidRDefault="00561FBD" w14:paraId="3768825E" w14:textId="77777777">
      <w:pPr>
        <w:pStyle w:val="Heading2"/>
        <w:numPr>
          <w:ilvl w:val="1"/>
          <w:numId w:val="71"/>
        </w:numPr>
        <w:tabs>
          <w:tab w:val="left" w:pos="945"/>
        </w:tabs>
        <w:ind w:left="945" w:hanging="465"/>
      </w:pPr>
      <w:bookmarkStart w:name="3.1_Global_Inputs" w:id="128"/>
      <w:bookmarkStart w:name="_bookmark96" w:id="129"/>
      <w:bookmarkEnd w:id="128"/>
      <w:bookmarkEnd w:id="129"/>
      <w:r>
        <w:t>Global</w:t>
      </w:r>
      <w:r>
        <w:rPr>
          <w:spacing w:val="-12"/>
        </w:rPr>
        <w:t xml:space="preserve"> </w:t>
      </w:r>
      <w:r>
        <w:rPr>
          <w:spacing w:val="-2"/>
        </w:rPr>
        <w:t>Inputs</w:t>
      </w:r>
    </w:p>
    <w:p w:rsidR="00C31389" w:rsidRDefault="00561FBD" w14:paraId="3F5E335B" w14:textId="77777777">
      <w:pPr>
        <w:pStyle w:val="BodyText"/>
        <w:spacing w:before="240"/>
        <w:ind w:left="480" w:right="533" w:hanging="1"/>
      </w:pPr>
      <w:r>
        <w:t xml:space="preserve">Global inputs are macro-level model inputs not specific to any measure that apply to market segments or sectors. The Guidehouse team reviewed the data source for each of these inputs to determine the most recent data to be used for the 2023 Study. </w:t>
      </w:r>
      <w:hyperlink w:history="1" w:anchor="_bookmark97">
        <w:r>
          <w:t>Table 3-1</w:t>
        </w:r>
      </w:hyperlink>
      <w:r>
        <w:t xml:space="preserve"> provides an overview</w:t>
      </w:r>
      <w:r>
        <w:rPr>
          <w:spacing w:val="-4"/>
        </w:rPr>
        <w:t xml:space="preserve"> </w:t>
      </w:r>
      <w:r>
        <w:t>of</w:t>
      </w:r>
      <w:r>
        <w:rPr>
          <w:spacing w:val="-4"/>
        </w:rPr>
        <w:t xml:space="preserve"> </w:t>
      </w:r>
      <w:r>
        <w:t>all</w:t>
      </w:r>
      <w:r>
        <w:rPr>
          <w:spacing w:val="-3"/>
        </w:rPr>
        <w:t xml:space="preserve"> </w:t>
      </w:r>
      <w:r>
        <w:t>global</w:t>
      </w:r>
      <w:r>
        <w:rPr>
          <w:spacing w:val="-4"/>
        </w:rPr>
        <w:t xml:space="preserve"> </w:t>
      </w:r>
      <w:r>
        <w:t>inputs</w:t>
      </w:r>
      <w:r>
        <w:rPr>
          <w:spacing w:val="-3"/>
        </w:rPr>
        <w:t xml:space="preserve"> </w:t>
      </w:r>
      <w:r>
        <w:t>within</w:t>
      </w:r>
      <w:r>
        <w:rPr>
          <w:spacing w:val="-3"/>
        </w:rPr>
        <w:t xml:space="preserve"> </w:t>
      </w:r>
      <w:r>
        <w:t>the</w:t>
      </w:r>
      <w:r>
        <w:rPr>
          <w:spacing w:val="-3"/>
        </w:rPr>
        <w:t xml:space="preserve"> </w:t>
      </w:r>
      <w:r>
        <w:t>PG</w:t>
      </w:r>
      <w:r>
        <w:rPr>
          <w:spacing w:val="-3"/>
        </w:rPr>
        <w:t xml:space="preserve"> </w:t>
      </w:r>
      <w:r>
        <w:t>Model</w:t>
      </w:r>
      <w:r>
        <w:rPr>
          <w:spacing w:val="-2"/>
        </w:rPr>
        <w:t xml:space="preserve"> </w:t>
      </w:r>
      <w:r>
        <w:t>and</w:t>
      </w:r>
      <w:r>
        <w:rPr>
          <w:spacing w:val="-3"/>
        </w:rPr>
        <w:t xml:space="preserve"> </w:t>
      </w:r>
      <w:r>
        <w:t>their</w:t>
      </w:r>
      <w:r>
        <w:rPr>
          <w:spacing w:val="-3"/>
        </w:rPr>
        <w:t xml:space="preserve"> </w:t>
      </w:r>
      <w:r>
        <w:t>data</w:t>
      </w:r>
      <w:r>
        <w:rPr>
          <w:spacing w:val="-3"/>
        </w:rPr>
        <w:t xml:space="preserve"> </w:t>
      </w:r>
      <w:r>
        <w:t>source.</w:t>
      </w:r>
      <w:r>
        <w:rPr>
          <w:spacing w:val="-3"/>
        </w:rPr>
        <w:t xml:space="preserve"> </w:t>
      </w:r>
      <w:r>
        <w:t>Each</w:t>
      </w:r>
      <w:r>
        <w:rPr>
          <w:spacing w:val="-3"/>
        </w:rPr>
        <w:t xml:space="preserve"> </w:t>
      </w:r>
      <w:r>
        <w:t>item</w:t>
      </w:r>
      <w:r>
        <w:rPr>
          <w:spacing w:val="-4"/>
        </w:rPr>
        <w:t xml:space="preserve"> </w:t>
      </w:r>
      <w:r>
        <w:t>is</w:t>
      </w:r>
      <w:r>
        <w:rPr>
          <w:spacing w:val="-4"/>
        </w:rPr>
        <w:t xml:space="preserve"> </w:t>
      </w:r>
      <w:r>
        <w:t>discussed in the subsections that follow.</w:t>
      </w:r>
    </w:p>
    <w:p w:rsidR="00C31389" w:rsidRDefault="00C31389" w14:paraId="1BE4F06B" w14:textId="77777777">
      <w:pPr>
        <w:pStyle w:val="BodyText"/>
        <w:spacing w:before="9"/>
        <w:rPr>
          <w:sz w:val="20"/>
        </w:rPr>
      </w:pPr>
    </w:p>
    <w:p w:rsidR="00C31389" w:rsidRDefault="00561FBD" w14:paraId="38E801DA" w14:textId="77777777">
      <w:pPr>
        <w:pStyle w:val="Heading7"/>
        <w:spacing w:before="1"/>
        <w:ind w:left="566" w:right="566"/>
        <w:jc w:val="center"/>
      </w:pPr>
      <w:bookmarkStart w:name="_bookmark97" w:id="130"/>
      <w:bookmarkEnd w:id="130"/>
      <w:r>
        <w:t>Table</w:t>
      </w:r>
      <w:r>
        <w:rPr>
          <w:spacing w:val="-7"/>
        </w:rPr>
        <w:t xml:space="preserve"> </w:t>
      </w:r>
      <w:r>
        <w:t>3-1.</w:t>
      </w:r>
      <w:r>
        <w:rPr>
          <w:spacing w:val="-7"/>
        </w:rPr>
        <w:t xml:space="preserve"> </w:t>
      </w:r>
      <w:r>
        <w:t>Overview</w:t>
      </w:r>
      <w:r>
        <w:rPr>
          <w:spacing w:val="-7"/>
        </w:rPr>
        <w:t xml:space="preserve"> </w:t>
      </w:r>
      <w:r>
        <w:t>of</w:t>
      </w:r>
      <w:r>
        <w:rPr>
          <w:spacing w:val="-7"/>
        </w:rPr>
        <w:t xml:space="preserve"> </w:t>
      </w:r>
      <w:r>
        <w:t>Global</w:t>
      </w:r>
      <w:r>
        <w:rPr>
          <w:spacing w:val="-6"/>
        </w:rPr>
        <w:t xml:space="preserve"> </w:t>
      </w:r>
      <w:r>
        <w:t>Inputs</w:t>
      </w:r>
      <w:r>
        <w:rPr>
          <w:spacing w:val="-6"/>
        </w:rPr>
        <w:t xml:space="preserve"> </w:t>
      </w:r>
      <w:r>
        <w:t>Updates</w:t>
      </w:r>
      <w:r>
        <w:rPr>
          <w:spacing w:val="-7"/>
        </w:rPr>
        <w:t xml:space="preserve"> </w:t>
      </w:r>
      <w:r>
        <w:t>and</w:t>
      </w:r>
      <w:r>
        <w:rPr>
          <w:spacing w:val="-6"/>
        </w:rPr>
        <w:t xml:space="preserve"> </w:t>
      </w:r>
      <w:r>
        <w:rPr>
          <w:spacing w:val="-2"/>
        </w:rPr>
        <w:t>Sources</w:t>
      </w:r>
    </w:p>
    <w:p w:rsidR="00C31389" w:rsidRDefault="00C31389" w14:paraId="379BDEE3" w14:textId="77777777">
      <w:pPr>
        <w:pStyle w:val="BodyText"/>
        <w:spacing w:before="6" w:after="1"/>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3144"/>
        <w:gridCol w:w="6231"/>
      </w:tblGrid>
      <w:tr w:rsidR="00C31389" w14:paraId="45C9016B" w14:textId="77777777">
        <w:trPr>
          <w:trHeight w:val="589"/>
        </w:trPr>
        <w:tc>
          <w:tcPr>
            <w:tcW w:w="3144" w:type="dxa"/>
            <w:shd w:val="clear" w:color="auto" w:fill="92D400"/>
          </w:tcPr>
          <w:p w:rsidR="00C31389" w:rsidRDefault="00561FBD" w14:paraId="71C28A5F" w14:textId="77777777">
            <w:pPr>
              <w:pStyle w:val="TableParagraph"/>
              <w:ind w:left="129"/>
              <w:rPr>
                <w:b/>
                <w:sz w:val="20"/>
              </w:rPr>
            </w:pPr>
            <w:r>
              <w:rPr>
                <w:b/>
                <w:sz w:val="20"/>
              </w:rPr>
              <w:t>Global</w:t>
            </w:r>
            <w:r>
              <w:rPr>
                <w:b/>
                <w:spacing w:val="-4"/>
                <w:sz w:val="20"/>
              </w:rPr>
              <w:t xml:space="preserve"> </w:t>
            </w:r>
            <w:r>
              <w:rPr>
                <w:b/>
                <w:spacing w:val="-2"/>
                <w:sz w:val="20"/>
              </w:rPr>
              <w:t>Input</w:t>
            </w:r>
          </w:p>
          <w:p w:rsidR="00C31389" w:rsidRDefault="00561FBD" w14:paraId="4F434B88" w14:textId="77777777">
            <w:pPr>
              <w:pStyle w:val="TableParagraph"/>
              <w:ind w:left="129"/>
              <w:rPr>
                <w:b/>
                <w:i/>
                <w:sz w:val="20"/>
              </w:rPr>
            </w:pPr>
            <w:r>
              <w:rPr>
                <w:b/>
                <w:i/>
                <w:spacing w:val="-2"/>
                <w:sz w:val="20"/>
              </w:rPr>
              <w:t>(Description)</w:t>
            </w:r>
          </w:p>
        </w:tc>
        <w:tc>
          <w:tcPr>
            <w:tcW w:w="6231" w:type="dxa"/>
            <w:shd w:val="clear" w:color="auto" w:fill="92D400"/>
          </w:tcPr>
          <w:p w:rsidR="00C31389" w:rsidRDefault="00561FBD" w14:paraId="63B58555" w14:textId="77777777">
            <w:pPr>
              <w:pStyle w:val="TableParagraph"/>
              <w:spacing w:before="175"/>
              <w:ind w:left="246"/>
              <w:rPr>
                <w:b/>
                <w:sz w:val="20"/>
              </w:rPr>
            </w:pPr>
            <w:r>
              <w:rPr>
                <w:b/>
                <w:sz w:val="20"/>
              </w:rPr>
              <w:t>Data</w:t>
            </w:r>
            <w:r>
              <w:rPr>
                <w:b/>
                <w:spacing w:val="-4"/>
                <w:sz w:val="20"/>
              </w:rPr>
              <w:t xml:space="preserve"> </w:t>
            </w:r>
            <w:r>
              <w:rPr>
                <w:b/>
                <w:sz w:val="20"/>
              </w:rPr>
              <w:t>Source</w:t>
            </w:r>
            <w:r>
              <w:rPr>
                <w:b/>
                <w:spacing w:val="-3"/>
                <w:sz w:val="20"/>
              </w:rPr>
              <w:t xml:space="preserve"> </w:t>
            </w:r>
            <w:r>
              <w:rPr>
                <w:b/>
                <w:sz w:val="20"/>
              </w:rPr>
              <w:t>for</w:t>
            </w:r>
            <w:r>
              <w:rPr>
                <w:b/>
                <w:spacing w:val="-3"/>
                <w:sz w:val="20"/>
              </w:rPr>
              <w:t xml:space="preserve"> </w:t>
            </w:r>
            <w:r>
              <w:rPr>
                <w:b/>
                <w:spacing w:val="-2"/>
                <w:sz w:val="20"/>
              </w:rPr>
              <w:t>Update</w:t>
            </w:r>
          </w:p>
        </w:tc>
      </w:tr>
      <w:tr w:rsidR="00C31389" w14:paraId="78EDA81F" w14:textId="77777777">
        <w:trPr>
          <w:trHeight w:val="1040"/>
        </w:trPr>
        <w:tc>
          <w:tcPr>
            <w:tcW w:w="3144" w:type="dxa"/>
            <w:tcBorders>
              <w:bottom w:val="single" w:color="D9D9D9" w:sz="2" w:space="0"/>
            </w:tcBorders>
          </w:tcPr>
          <w:p w:rsidR="00C31389" w:rsidRDefault="00C31389" w14:paraId="4B484328" w14:textId="77777777">
            <w:pPr>
              <w:pStyle w:val="TableParagraph"/>
              <w:spacing w:before="6"/>
              <w:rPr>
                <w:b/>
                <w:sz w:val="23"/>
              </w:rPr>
            </w:pPr>
          </w:p>
          <w:p w:rsidR="00C31389" w:rsidRDefault="00561FBD" w14:paraId="2E4534D7" w14:textId="77777777">
            <w:pPr>
              <w:pStyle w:val="TableParagraph"/>
              <w:spacing w:before="0"/>
              <w:ind w:left="129"/>
              <w:rPr>
                <w:b/>
                <w:sz w:val="20"/>
              </w:rPr>
            </w:pPr>
            <w:r>
              <w:rPr>
                <w:b/>
                <w:sz w:val="20"/>
              </w:rPr>
              <w:t>Retail</w:t>
            </w:r>
            <w:r>
              <w:rPr>
                <w:b/>
                <w:spacing w:val="-5"/>
                <w:sz w:val="20"/>
              </w:rPr>
              <w:t xml:space="preserve"> </w:t>
            </w:r>
            <w:r>
              <w:rPr>
                <w:b/>
                <w:spacing w:val="-2"/>
                <w:sz w:val="20"/>
              </w:rPr>
              <w:t>rates</w:t>
            </w:r>
          </w:p>
          <w:p w:rsidR="00C31389" w:rsidRDefault="00561FBD" w14:paraId="3008F7BE" w14:textId="77777777">
            <w:pPr>
              <w:pStyle w:val="TableParagraph"/>
              <w:ind w:left="129"/>
              <w:rPr>
                <w:i/>
                <w:sz w:val="20"/>
              </w:rPr>
            </w:pPr>
            <w:r>
              <w:rPr>
                <w:i/>
                <w:sz w:val="20"/>
              </w:rPr>
              <w:t>($/kWh,</w:t>
            </w:r>
            <w:r>
              <w:rPr>
                <w:i/>
                <w:spacing w:val="-3"/>
                <w:sz w:val="20"/>
              </w:rPr>
              <w:t xml:space="preserve"> </w:t>
            </w:r>
            <w:r>
              <w:rPr>
                <w:i/>
                <w:spacing w:val="-2"/>
                <w:sz w:val="20"/>
              </w:rPr>
              <w:t>$/therm)</w:t>
            </w:r>
          </w:p>
        </w:tc>
        <w:tc>
          <w:tcPr>
            <w:tcW w:w="6231" w:type="dxa"/>
            <w:tcBorders>
              <w:bottom w:val="single" w:color="D9D9D9" w:sz="2" w:space="0"/>
            </w:tcBorders>
          </w:tcPr>
          <w:p w:rsidR="00C31389" w:rsidRDefault="00561FBD" w14:paraId="6315137B" w14:textId="77777777">
            <w:pPr>
              <w:pStyle w:val="TableParagraph"/>
              <w:spacing w:before="41"/>
              <w:ind w:left="245" w:right="134"/>
              <w:rPr>
                <w:sz w:val="20"/>
              </w:rPr>
            </w:pPr>
            <w:r>
              <w:rPr>
                <w:sz w:val="20"/>
              </w:rPr>
              <w:t>Electric</w:t>
            </w:r>
            <w:r>
              <w:rPr>
                <w:spacing w:val="-5"/>
                <w:sz w:val="20"/>
              </w:rPr>
              <w:t xml:space="preserve"> </w:t>
            </w:r>
            <w:r>
              <w:rPr>
                <w:sz w:val="20"/>
              </w:rPr>
              <w:t>rate:</w:t>
            </w:r>
            <w:r>
              <w:rPr>
                <w:spacing w:val="-8"/>
                <w:sz w:val="20"/>
              </w:rPr>
              <w:t xml:space="preserve"> </w:t>
            </w:r>
            <w:r>
              <w:rPr>
                <w:sz w:val="20"/>
              </w:rPr>
              <w:t>CEC,</w:t>
            </w:r>
            <w:r>
              <w:rPr>
                <w:spacing w:val="-6"/>
                <w:sz w:val="20"/>
              </w:rPr>
              <w:t xml:space="preserve"> </w:t>
            </w:r>
            <w:r>
              <w:rPr>
                <w:sz w:val="20"/>
              </w:rPr>
              <w:t>2022</w:t>
            </w:r>
            <w:r>
              <w:rPr>
                <w:spacing w:val="-6"/>
                <w:sz w:val="20"/>
              </w:rPr>
              <w:t xml:space="preserve"> </w:t>
            </w:r>
            <w:r>
              <w:rPr>
                <w:sz w:val="20"/>
              </w:rPr>
              <w:t>IEPR</w:t>
            </w:r>
            <w:r>
              <w:rPr>
                <w:spacing w:val="-5"/>
                <w:sz w:val="20"/>
              </w:rPr>
              <w:t xml:space="preserve"> </w:t>
            </w:r>
            <w:r>
              <w:rPr>
                <w:sz w:val="20"/>
              </w:rPr>
              <w:t>(preliminary;</w:t>
            </w:r>
            <w:r>
              <w:rPr>
                <w:spacing w:val="-6"/>
                <w:sz w:val="20"/>
              </w:rPr>
              <w:t xml:space="preserve"> </w:t>
            </w:r>
            <w:r>
              <w:rPr>
                <w:sz w:val="20"/>
              </w:rPr>
              <w:t>communication</w:t>
            </w:r>
            <w:r>
              <w:rPr>
                <w:spacing w:val="-6"/>
                <w:sz w:val="20"/>
              </w:rPr>
              <w:t xml:space="preserve"> </w:t>
            </w:r>
            <w:r>
              <w:rPr>
                <w:sz w:val="20"/>
              </w:rPr>
              <w:t>with the CEC)</w:t>
            </w:r>
          </w:p>
          <w:p w:rsidR="00C31389" w:rsidRDefault="00561FBD" w14:paraId="3A993F42" w14:textId="77777777">
            <w:pPr>
              <w:pStyle w:val="TableParagraph"/>
              <w:spacing w:before="39"/>
              <w:ind w:left="245"/>
              <w:rPr>
                <w:sz w:val="20"/>
              </w:rPr>
            </w:pPr>
            <w:r>
              <w:rPr>
                <w:sz w:val="20"/>
              </w:rPr>
              <w:t>Gas</w:t>
            </w:r>
            <w:r>
              <w:rPr>
                <w:spacing w:val="-5"/>
                <w:sz w:val="20"/>
              </w:rPr>
              <w:t xml:space="preserve"> </w:t>
            </w:r>
            <w:r>
              <w:rPr>
                <w:sz w:val="20"/>
              </w:rPr>
              <w:t>rate:</w:t>
            </w:r>
            <w:r>
              <w:rPr>
                <w:spacing w:val="-3"/>
                <w:sz w:val="20"/>
              </w:rPr>
              <w:t xml:space="preserve"> </w:t>
            </w:r>
            <w:r>
              <w:rPr>
                <w:sz w:val="20"/>
              </w:rPr>
              <w:t>CEC,</w:t>
            </w:r>
            <w:r>
              <w:rPr>
                <w:spacing w:val="-5"/>
                <w:sz w:val="20"/>
              </w:rPr>
              <w:t xml:space="preserve"> </w:t>
            </w:r>
            <w:hyperlink r:id="rId90">
              <w:r>
                <w:rPr>
                  <w:i/>
                  <w:color w:val="68942C"/>
                  <w:sz w:val="20"/>
                  <w:u w:val="single" w:color="68942C"/>
                </w:rPr>
                <w:t>2021</w:t>
              </w:r>
              <w:r>
                <w:rPr>
                  <w:i/>
                  <w:color w:val="68942C"/>
                  <w:spacing w:val="-3"/>
                  <w:sz w:val="20"/>
                  <w:u w:val="single" w:color="68942C"/>
                </w:rPr>
                <w:t xml:space="preserve"> </w:t>
              </w:r>
              <w:r>
                <w:rPr>
                  <w:i/>
                  <w:color w:val="68942C"/>
                  <w:sz w:val="20"/>
                  <w:u w:val="single" w:color="68942C"/>
                </w:rPr>
                <w:t>Integrated</w:t>
              </w:r>
              <w:r>
                <w:rPr>
                  <w:i/>
                  <w:color w:val="68942C"/>
                  <w:spacing w:val="-4"/>
                  <w:sz w:val="20"/>
                  <w:u w:val="single" w:color="68942C"/>
                </w:rPr>
                <w:t xml:space="preserve"> </w:t>
              </w:r>
              <w:r>
                <w:rPr>
                  <w:i/>
                  <w:color w:val="68942C"/>
                  <w:sz w:val="20"/>
                  <w:u w:val="single" w:color="68942C"/>
                </w:rPr>
                <w:t>Energy</w:t>
              </w:r>
              <w:r>
                <w:rPr>
                  <w:i/>
                  <w:color w:val="68942C"/>
                  <w:spacing w:val="-3"/>
                  <w:sz w:val="20"/>
                  <w:u w:val="single" w:color="68942C"/>
                </w:rPr>
                <w:t xml:space="preserve"> </w:t>
              </w:r>
              <w:r>
                <w:rPr>
                  <w:i/>
                  <w:color w:val="68942C"/>
                  <w:sz w:val="20"/>
                  <w:u w:val="single" w:color="68942C"/>
                </w:rPr>
                <w:t>Policy</w:t>
              </w:r>
              <w:r>
                <w:rPr>
                  <w:i/>
                  <w:color w:val="68942C"/>
                  <w:spacing w:val="-3"/>
                  <w:sz w:val="20"/>
                  <w:u w:val="single" w:color="68942C"/>
                </w:rPr>
                <w:t xml:space="preserve"> </w:t>
              </w:r>
              <w:r>
                <w:rPr>
                  <w:i/>
                  <w:color w:val="68942C"/>
                  <w:sz w:val="20"/>
                  <w:u w:val="single" w:color="68942C"/>
                </w:rPr>
                <w:t>Report</w:t>
              </w:r>
              <w:r>
                <w:rPr>
                  <w:i/>
                  <w:color w:val="68942C"/>
                  <w:spacing w:val="-5"/>
                  <w:sz w:val="20"/>
                  <w:u w:val="single" w:color="68942C"/>
                </w:rPr>
                <w:t xml:space="preserve"> </w:t>
              </w:r>
              <w:r>
                <w:rPr>
                  <w:i/>
                  <w:color w:val="68942C"/>
                  <w:sz w:val="20"/>
                  <w:u w:val="single" w:color="68942C"/>
                </w:rPr>
                <w:t>(IEPR).</w:t>
              </w:r>
              <w:r>
                <w:rPr>
                  <w:i/>
                  <w:color w:val="68942C"/>
                  <w:spacing w:val="-36"/>
                  <w:sz w:val="20"/>
                </w:rPr>
                <w:t xml:space="preserve"> </w:t>
              </w:r>
            </w:hyperlink>
            <w:hyperlink w:history="1" w:anchor="_bookmark99">
              <w:r>
                <w:rPr>
                  <w:spacing w:val="-5"/>
                  <w:sz w:val="20"/>
                  <w:vertAlign w:val="superscript"/>
                </w:rPr>
                <w:t>28</w:t>
              </w:r>
            </w:hyperlink>
          </w:p>
          <w:p w:rsidR="00C31389" w:rsidRDefault="00561FBD" w14:paraId="241C9E32" w14:textId="77777777">
            <w:pPr>
              <w:pStyle w:val="TableParagraph"/>
              <w:spacing w:before="1"/>
              <w:ind w:left="246"/>
              <w:rPr>
                <w:sz w:val="20"/>
              </w:rPr>
            </w:pPr>
            <w:r>
              <w:rPr>
                <w:sz w:val="20"/>
              </w:rPr>
              <w:t>Adopted</w:t>
            </w:r>
            <w:r>
              <w:rPr>
                <w:spacing w:val="-4"/>
                <w:sz w:val="20"/>
              </w:rPr>
              <w:t xml:space="preserve"> </w:t>
            </w:r>
            <w:r>
              <w:rPr>
                <w:sz w:val="20"/>
              </w:rPr>
              <w:t>Feb.</w:t>
            </w:r>
            <w:r>
              <w:rPr>
                <w:spacing w:val="-3"/>
                <w:sz w:val="20"/>
              </w:rPr>
              <w:t xml:space="preserve"> </w:t>
            </w:r>
            <w:r>
              <w:rPr>
                <w:spacing w:val="-4"/>
                <w:sz w:val="20"/>
              </w:rPr>
              <w:t>2022</w:t>
            </w:r>
          </w:p>
        </w:tc>
      </w:tr>
      <w:tr w:rsidR="00C31389" w14:paraId="2796008D" w14:textId="77777777">
        <w:trPr>
          <w:trHeight w:val="580"/>
        </w:trPr>
        <w:tc>
          <w:tcPr>
            <w:tcW w:w="3144" w:type="dxa"/>
            <w:tcBorders>
              <w:top w:val="single" w:color="D9D9D9" w:sz="2" w:space="0"/>
              <w:bottom w:val="single" w:color="D9D9D9" w:sz="2" w:space="0"/>
            </w:tcBorders>
          </w:tcPr>
          <w:p w:rsidR="00C31389" w:rsidRDefault="00561FBD" w14:paraId="5057A3CC" w14:textId="77777777">
            <w:pPr>
              <w:pStyle w:val="TableParagraph"/>
              <w:ind w:left="129"/>
              <w:rPr>
                <w:b/>
                <w:sz w:val="20"/>
              </w:rPr>
            </w:pPr>
            <w:r>
              <w:rPr>
                <w:b/>
                <w:sz w:val="20"/>
              </w:rPr>
              <w:t>Consumption</w:t>
            </w:r>
            <w:r>
              <w:rPr>
                <w:b/>
                <w:spacing w:val="-10"/>
                <w:sz w:val="20"/>
              </w:rPr>
              <w:t xml:space="preserve"> </w:t>
            </w:r>
            <w:r>
              <w:rPr>
                <w:b/>
                <w:spacing w:val="-2"/>
                <w:sz w:val="20"/>
              </w:rPr>
              <w:t>forecasts</w:t>
            </w:r>
          </w:p>
          <w:p w:rsidR="00C31389" w:rsidRDefault="00561FBD" w14:paraId="4D33B0BC" w14:textId="77777777">
            <w:pPr>
              <w:pStyle w:val="TableParagraph"/>
              <w:spacing w:before="41"/>
              <w:ind w:left="129"/>
              <w:rPr>
                <w:i/>
                <w:sz w:val="20"/>
              </w:rPr>
            </w:pPr>
            <w:r>
              <w:rPr>
                <w:i/>
                <w:sz w:val="20"/>
              </w:rPr>
              <w:t>(GWh,</w:t>
            </w:r>
            <w:r>
              <w:rPr>
                <w:i/>
                <w:spacing w:val="-3"/>
                <w:sz w:val="20"/>
              </w:rPr>
              <w:t xml:space="preserve"> </w:t>
            </w:r>
            <w:r>
              <w:rPr>
                <w:i/>
                <w:sz w:val="20"/>
              </w:rPr>
              <w:t>MW,</w:t>
            </w:r>
            <w:r>
              <w:rPr>
                <w:i/>
                <w:spacing w:val="-3"/>
                <w:sz w:val="20"/>
              </w:rPr>
              <w:t xml:space="preserve"> </w:t>
            </w:r>
            <w:r>
              <w:rPr>
                <w:i/>
                <w:sz w:val="20"/>
              </w:rPr>
              <w:t>and</w:t>
            </w:r>
            <w:r>
              <w:rPr>
                <w:i/>
                <w:spacing w:val="-2"/>
                <w:sz w:val="20"/>
              </w:rPr>
              <w:t xml:space="preserve"> MMtherm)</w:t>
            </w:r>
          </w:p>
        </w:tc>
        <w:tc>
          <w:tcPr>
            <w:tcW w:w="6231" w:type="dxa"/>
            <w:tcBorders>
              <w:top w:val="single" w:color="D9D9D9" w:sz="2" w:space="0"/>
              <w:bottom w:val="single" w:color="D9D9D9" w:sz="2" w:space="0"/>
            </w:tcBorders>
          </w:tcPr>
          <w:p w:rsidR="00C31389" w:rsidRDefault="00561FBD" w14:paraId="530FFE27" w14:textId="77777777">
            <w:pPr>
              <w:pStyle w:val="TableParagraph"/>
              <w:spacing w:before="61"/>
              <w:ind w:left="246" w:hanging="1"/>
              <w:rPr>
                <w:sz w:val="20"/>
              </w:rPr>
            </w:pPr>
            <w:r>
              <w:rPr>
                <w:sz w:val="20"/>
              </w:rPr>
              <w:t>CEC,</w:t>
            </w:r>
            <w:r>
              <w:rPr>
                <w:spacing w:val="-5"/>
                <w:sz w:val="20"/>
              </w:rPr>
              <w:t xml:space="preserve"> </w:t>
            </w:r>
            <w:hyperlink r:id="rId91">
              <w:r>
                <w:rPr>
                  <w:i/>
                  <w:color w:val="68942C"/>
                  <w:sz w:val="20"/>
                  <w:u w:val="single" w:color="68942C"/>
                </w:rPr>
                <w:t>2021</w:t>
              </w:r>
              <w:r>
                <w:rPr>
                  <w:i/>
                  <w:color w:val="68942C"/>
                  <w:spacing w:val="-5"/>
                  <w:sz w:val="20"/>
                  <w:u w:val="single" w:color="68942C"/>
                </w:rPr>
                <w:t xml:space="preserve"> </w:t>
              </w:r>
              <w:r>
                <w:rPr>
                  <w:i/>
                  <w:color w:val="68942C"/>
                  <w:sz w:val="20"/>
                  <w:u w:val="single" w:color="68942C"/>
                </w:rPr>
                <w:t>Integrated</w:t>
              </w:r>
              <w:r>
                <w:rPr>
                  <w:i/>
                  <w:color w:val="68942C"/>
                  <w:spacing w:val="-5"/>
                  <w:sz w:val="20"/>
                  <w:u w:val="single" w:color="68942C"/>
                </w:rPr>
                <w:t xml:space="preserve"> </w:t>
              </w:r>
              <w:r>
                <w:rPr>
                  <w:i/>
                  <w:color w:val="68942C"/>
                  <w:sz w:val="20"/>
                  <w:u w:val="single" w:color="68942C"/>
                </w:rPr>
                <w:t>Energy</w:t>
              </w:r>
              <w:r>
                <w:rPr>
                  <w:i/>
                  <w:color w:val="68942C"/>
                  <w:spacing w:val="-4"/>
                  <w:sz w:val="20"/>
                  <w:u w:val="single" w:color="68942C"/>
                </w:rPr>
                <w:t xml:space="preserve"> </w:t>
              </w:r>
              <w:r>
                <w:rPr>
                  <w:i/>
                  <w:color w:val="68942C"/>
                  <w:sz w:val="20"/>
                  <w:u w:val="single" w:color="68942C"/>
                </w:rPr>
                <w:t>Policy</w:t>
              </w:r>
              <w:r>
                <w:rPr>
                  <w:i/>
                  <w:color w:val="68942C"/>
                  <w:spacing w:val="-4"/>
                  <w:sz w:val="20"/>
                  <w:u w:val="single" w:color="68942C"/>
                </w:rPr>
                <w:t xml:space="preserve"> </w:t>
              </w:r>
              <w:r>
                <w:rPr>
                  <w:i/>
                  <w:color w:val="68942C"/>
                  <w:sz w:val="20"/>
                  <w:u w:val="single" w:color="68942C"/>
                </w:rPr>
                <w:t>Report</w:t>
              </w:r>
              <w:r>
                <w:rPr>
                  <w:i/>
                  <w:color w:val="68942C"/>
                  <w:spacing w:val="-5"/>
                  <w:sz w:val="20"/>
                  <w:u w:val="single" w:color="68942C"/>
                </w:rPr>
                <w:t xml:space="preserve"> </w:t>
              </w:r>
              <w:r>
                <w:rPr>
                  <w:i/>
                  <w:color w:val="68942C"/>
                  <w:sz w:val="20"/>
                  <w:u w:val="single" w:color="68942C"/>
                </w:rPr>
                <w:t>(IEPR).</w:t>
              </w:r>
            </w:hyperlink>
            <w:r>
              <w:rPr>
                <w:i/>
                <w:color w:val="68942C"/>
                <w:spacing w:val="-6"/>
                <w:sz w:val="20"/>
              </w:rPr>
              <w:t xml:space="preserve"> </w:t>
            </w:r>
            <w:r>
              <w:rPr>
                <w:sz w:val="20"/>
              </w:rPr>
              <w:t>Adopted</w:t>
            </w:r>
            <w:r>
              <w:rPr>
                <w:spacing w:val="-5"/>
                <w:sz w:val="20"/>
              </w:rPr>
              <w:t xml:space="preserve"> </w:t>
            </w:r>
            <w:r>
              <w:rPr>
                <w:sz w:val="20"/>
              </w:rPr>
              <w:t xml:space="preserve">Feb. </w:t>
            </w:r>
            <w:r>
              <w:rPr>
                <w:spacing w:val="-4"/>
                <w:sz w:val="20"/>
              </w:rPr>
              <w:t>2022</w:t>
            </w:r>
          </w:p>
        </w:tc>
      </w:tr>
      <w:tr w:rsidR="00C31389" w14:paraId="6D6C7E65" w14:textId="77777777">
        <w:trPr>
          <w:trHeight w:val="809"/>
        </w:trPr>
        <w:tc>
          <w:tcPr>
            <w:tcW w:w="3144" w:type="dxa"/>
            <w:tcBorders>
              <w:top w:val="single" w:color="D9D9D9" w:sz="2" w:space="0"/>
              <w:bottom w:val="single" w:color="D9D9D9" w:sz="2" w:space="0"/>
            </w:tcBorders>
          </w:tcPr>
          <w:p w:rsidR="00C31389" w:rsidRDefault="00561FBD" w14:paraId="409FE7A8" w14:textId="77777777">
            <w:pPr>
              <w:pStyle w:val="TableParagraph"/>
              <w:ind w:left="129"/>
              <w:rPr>
                <w:b/>
                <w:sz w:val="20"/>
              </w:rPr>
            </w:pPr>
            <w:r>
              <w:rPr>
                <w:b/>
                <w:sz w:val="20"/>
              </w:rPr>
              <w:t>Building</w:t>
            </w:r>
            <w:r>
              <w:rPr>
                <w:b/>
                <w:spacing w:val="-4"/>
                <w:sz w:val="20"/>
              </w:rPr>
              <w:t xml:space="preserve"> </w:t>
            </w:r>
            <w:r>
              <w:rPr>
                <w:b/>
                <w:spacing w:val="-2"/>
                <w:sz w:val="20"/>
              </w:rPr>
              <w:t>stocks</w:t>
            </w:r>
          </w:p>
          <w:p w:rsidR="00C31389" w:rsidRDefault="00561FBD" w14:paraId="5186E7FB" w14:textId="77777777">
            <w:pPr>
              <w:pStyle w:val="TableParagraph"/>
              <w:ind w:left="129"/>
              <w:rPr>
                <w:i/>
                <w:sz w:val="20"/>
              </w:rPr>
            </w:pPr>
            <w:r>
              <w:rPr>
                <w:i/>
                <w:sz w:val="20"/>
              </w:rPr>
              <w:t>(Households,</w:t>
            </w:r>
            <w:r>
              <w:rPr>
                <w:i/>
                <w:spacing w:val="-14"/>
                <w:sz w:val="20"/>
              </w:rPr>
              <w:t xml:space="preserve"> </w:t>
            </w:r>
            <w:r>
              <w:rPr>
                <w:i/>
                <w:sz w:val="20"/>
              </w:rPr>
              <w:t>floor</w:t>
            </w:r>
            <w:r>
              <w:rPr>
                <w:i/>
                <w:spacing w:val="-14"/>
                <w:sz w:val="20"/>
              </w:rPr>
              <w:t xml:space="preserve"> </w:t>
            </w:r>
            <w:r>
              <w:rPr>
                <w:i/>
                <w:sz w:val="20"/>
              </w:rPr>
              <w:t xml:space="preserve">space, </w:t>
            </w:r>
            <w:r>
              <w:rPr>
                <w:i/>
                <w:spacing w:val="-2"/>
                <w:sz w:val="20"/>
              </w:rPr>
              <w:t>consumption)</w:t>
            </w:r>
          </w:p>
        </w:tc>
        <w:tc>
          <w:tcPr>
            <w:tcW w:w="6231" w:type="dxa"/>
            <w:tcBorders>
              <w:top w:val="single" w:color="D9D9D9" w:sz="2" w:space="0"/>
              <w:bottom w:val="single" w:color="D9D9D9" w:sz="2" w:space="0"/>
            </w:tcBorders>
          </w:tcPr>
          <w:p w:rsidR="00C31389" w:rsidRDefault="00561FBD" w14:paraId="3F7E5AC1" w14:textId="77777777">
            <w:pPr>
              <w:pStyle w:val="TableParagraph"/>
              <w:spacing w:before="174"/>
              <w:ind w:left="246"/>
              <w:rPr>
                <w:sz w:val="20"/>
              </w:rPr>
            </w:pPr>
            <w:r>
              <w:rPr>
                <w:sz w:val="20"/>
              </w:rPr>
              <w:t>CEC,</w:t>
            </w:r>
            <w:r>
              <w:rPr>
                <w:spacing w:val="-5"/>
                <w:sz w:val="20"/>
              </w:rPr>
              <w:t xml:space="preserve"> </w:t>
            </w:r>
            <w:hyperlink r:id="rId92">
              <w:r>
                <w:rPr>
                  <w:i/>
                  <w:color w:val="68942C"/>
                  <w:sz w:val="20"/>
                  <w:u w:val="single" w:color="68942C"/>
                </w:rPr>
                <w:t>2021</w:t>
              </w:r>
              <w:r>
                <w:rPr>
                  <w:i/>
                  <w:color w:val="68942C"/>
                  <w:spacing w:val="-5"/>
                  <w:sz w:val="20"/>
                  <w:u w:val="single" w:color="68942C"/>
                </w:rPr>
                <w:t xml:space="preserve"> </w:t>
              </w:r>
              <w:r>
                <w:rPr>
                  <w:i/>
                  <w:color w:val="68942C"/>
                  <w:sz w:val="20"/>
                  <w:u w:val="single" w:color="68942C"/>
                </w:rPr>
                <w:t>Integrated</w:t>
              </w:r>
              <w:r>
                <w:rPr>
                  <w:i/>
                  <w:color w:val="68942C"/>
                  <w:spacing w:val="-5"/>
                  <w:sz w:val="20"/>
                  <w:u w:val="single" w:color="68942C"/>
                </w:rPr>
                <w:t xml:space="preserve"> </w:t>
              </w:r>
              <w:r>
                <w:rPr>
                  <w:i/>
                  <w:color w:val="68942C"/>
                  <w:sz w:val="20"/>
                  <w:u w:val="single" w:color="68942C"/>
                </w:rPr>
                <w:t>Energy</w:t>
              </w:r>
              <w:r>
                <w:rPr>
                  <w:i/>
                  <w:color w:val="68942C"/>
                  <w:spacing w:val="-4"/>
                  <w:sz w:val="20"/>
                  <w:u w:val="single" w:color="68942C"/>
                </w:rPr>
                <w:t xml:space="preserve"> </w:t>
              </w:r>
              <w:r>
                <w:rPr>
                  <w:i/>
                  <w:color w:val="68942C"/>
                  <w:sz w:val="20"/>
                  <w:u w:val="single" w:color="68942C"/>
                </w:rPr>
                <w:t>Policy</w:t>
              </w:r>
              <w:r>
                <w:rPr>
                  <w:i/>
                  <w:color w:val="68942C"/>
                  <w:spacing w:val="-4"/>
                  <w:sz w:val="20"/>
                  <w:u w:val="single" w:color="68942C"/>
                </w:rPr>
                <w:t xml:space="preserve"> </w:t>
              </w:r>
              <w:r>
                <w:rPr>
                  <w:i/>
                  <w:color w:val="68942C"/>
                  <w:sz w:val="20"/>
                  <w:u w:val="single" w:color="68942C"/>
                </w:rPr>
                <w:t>Report</w:t>
              </w:r>
              <w:r>
                <w:rPr>
                  <w:i/>
                  <w:color w:val="68942C"/>
                  <w:spacing w:val="-5"/>
                  <w:sz w:val="20"/>
                  <w:u w:val="single" w:color="68942C"/>
                </w:rPr>
                <w:t xml:space="preserve"> </w:t>
              </w:r>
              <w:r>
                <w:rPr>
                  <w:i/>
                  <w:color w:val="68942C"/>
                  <w:sz w:val="20"/>
                  <w:u w:val="single" w:color="68942C"/>
                </w:rPr>
                <w:t>(IEPR).</w:t>
              </w:r>
            </w:hyperlink>
            <w:r>
              <w:rPr>
                <w:i/>
                <w:color w:val="68942C"/>
                <w:spacing w:val="-6"/>
                <w:sz w:val="20"/>
              </w:rPr>
              <w:t xml:space="preserve"> </w:t>
            </w:r>
            <w:r>
              <w:rPr>
                <w:sz w:val="20"/>
              </w:rPr>
              <w:t>Adopted</w:t>
            </w:r>
            <w:r>
              <w:rPr>
                <w:spacing w:val="-5"/>
                <w:sz w:val="20"/>
              </w:rPr>
              <w:t xml:space="preserve"> </w:t>
            </w:r>
            <w:r>
              <w:rPr>
                <w:sz w:val="20"/>
              </w:rPr>
              <w:t xml:space="preserve">Feb. </w:t>
            </w:r>
            <w:r>
              <w:rPr>
                <w:spacing w:val="-4"/>
                <w:sz w:val="20"/>
              </w:rPr>
              <w:t>2022</w:t>
            </w:r>
          </w:p>
        </w:tc>
      </w:tr>
      <w:tr w:rsidR="00C31389" w14:paraId="2CB0A282" w14:textId="77777777">
        <w:trPr>
          <w:trHeight w:val="809"/>
        </w:trPr>
        <w:tc>
          <w:tcPr>
            <w:tcW w:w="3144" w:type="dxa"/>
            <w:tcBorders>
              <w:top w:val="single" w:color="D9D9D9" w:sz="2" w:space="0"/>
              <w:bottom w:val="single" w:color="D9D9D9" w:sz="2" w:space="0"/>
            </w:tcBorders>
          </w:tcPr>
          <w:p w:rsidR="00C31389" w:rsidRDefault="00561FBD" w14:paraId="7639D230" w14:textId="77777777">
            <w:pPr>
              <w:pStyle w:val="TableParagraph"/>
              <w:ind w:left="129"/>
              <w:rPr>
                <w:b/>
                <w:sz w:val="20"/>
              </w:rPr>
            </w:pPr>
            <w:r>
              <w:rPr>
                <w:b/>
                <w:sz w:val="20"/>
              </w:rPr>
              <w:t>Avoided</w:t>
            </w:r>
            <w:r>
              <w:rPr>
                <w:b/>
                <w:spacing w:val="-5"/>
                <w:sz w:val="20"/>
              </w:rPr>
              <w:t xml:space="preserve"> </w:t>
            </w:r>
            <w:r>
              <w:rPr>
                <w:b/>
                <w:spacing w:val="-2"/>
                <w:sz w:val="20"/>
              </w:rPr>
              <w:t>costs</w:t>
            </w:r>
          </w:p>
          <w:p w:rsidR="00C31389" w:rsidRDefault="00561FBD" w14:paraId="2341720D" w14:textId="77777777">
            <w:pPr>
              <w:pStyle w:val="TableParagraph"/>
              <w:ind w:left="129"/>
              <w:rPr>
                <w:i/>
                <w:sz w:val="20"/>
              </w:rPr>
            </w:pPr>
            <w:r>
              <w:rPr>
                <w:i/>
                <w:sz w:val="20"/>
              </w:rPr>
              <w:t>(Avoided</w:t>
            </w:r>
            <w:r>
              <w:rPr>
                <w:i/>
                <w:spacing w:val="-13"/>
                <w:sz w:val="20"/>
              </w:rPr>
              <w:t xml:space="preserve"> </w:t>
            </w:r>
            <w:r>
              <w:rPr>
                <w:i/>
                <w:sz w:val="20"/>
              </w:rPr>
              <w:t>en</w:t>
            </w:r>
            <w:r>
              <w:rPr>
                <w:i/>
                <w:sz w:val="20"/>
              </w:rPr>
              <w:t>ergy</w:t>
            </w:r>
            <w:r>
              <w:rPr>
                <w:i/>
                <w:spacing w:val="-12"/>
                <w:sz w:val="20"/>
              </w:rPr>
              <w:t xml:space="preserve"> </w:t>
            </w:r>
            <w:r>
              <w:rPr>
                <w:i/>
                <w:sz w:val="20"/>
              </w:rPr>
              <w:t>and</w:t>
            </w:r>
            <w:r>
              <w:rPr>
                <w:i/>
                <w:spacing w:val="-13"/>
                <w:sz w:val="20"/>
              </w:rPr>
              <w:t xml:space="preserve"> </w:t>
            </w:r>
            <w:r>
              <w:rPr>
                <w:i/>
                <w:sz w:val="20"/>
              </w:rPr>
              <w:t xml:space="preserve">capacity </w:t>
            </w:r>
            <w:r>
              <w:rPr>
                <w:i/>
                <w:spacing w:val="-2"/>
                <w:sz w:val="20"/>
              </w:rPr>
              <w:t>costs)</w:t>
            </w:r>
          </w:p>
        </w:tc>
        <w:tc>
          <w:tcPr>
            <w:tcW w:w="6231" w:type="dxa"/>
            <w:tcBorders>
              <w:top w:val="single" w:color="D9D9D9" w:sz="2" w:space="0"/>
              <w:bottom w:val="single" w:color="D9D9D9" w:sz="2" w:space="0"/>
            </w:tcBorders>
          </w:tcPr>
          <w:p w:rsidR="00C31389" w:rsidRDefault="00561FBD" w14:paraId="20C124E1" w14:textId="77777777">
            <w:pPr>
              <w:pStyle w:val="TableParagraph"/>
              <w:spacing w:before="175"/>
              <w:ind w:left="246"/>
              <w:rPr>
                <w:sz w:val="20"/>
              </w:rPr>
            </w:pPr>
            <w:r>
              <w:rPr>
                <w:sz w:val="20"/>
              </w:rPr>
              <w:t>2022</w:t>
            </w:r>
            <w:r>
              <w:rPr>
                <w:spacing w:val="-5"/>
                <w:sz w:val="20"/>
              </w:rPr>
              <w:t xml:space="preserve"> </w:t>
            </w:r>
            <w:r>
              <w:rPr>
                <w:sz w:val="20"/>
              </w:rPr>
              <w:t>Avoided</w:t>
            </w:r>
            <w:r>
              <w:rPr>
                <w:spacing w:val="-6"/>
                <w:sz w:val="20"/>
              </w:rPr>
              <w:t xml:space="preserve"> </w:t>
            </w:r>
            <w:r>
              <w:rPr>
                <w:sz w:val="20"/>
              </w:rPr>
              <w:t>costs:</w:t>
            </w:r>
            <w:r>
              <w:rPr>
                <w:spacing w:val="-6"/>
                <w:sz w:val="20"/>
              </w:rPr>
              <w:t xml:space="preserve"> </w:t>
            </w:r>
            <w:hyperlink r:id="rId93">
              <w:r>
                <w:rPr>
                  <w:i/>
                  <w:color w:val="68942C"/>
                  <w:sz w:val="20"/>
                  <w:u w:val="single" w:color="68942C"/>
                </w:rPr>
                <w:t>E3</w:t>
              </w:r>
              <w:r>
                <w:rPr>
                  <w:i/>
                  <w:color w:val="68942C"/>
                  <w:spacing w:val="-5"/>
                  <w:sz w:val="20"/>
                  <w:u w:val="single" w:color="68942C"/>
                </w:rPr>
                <w:t xml:space="preserve"> </w:t>
              </w:r>
              <w:r>
                <w:rPr>
                  <w:i/>
                  <w:color w:val="68942C"/>
                  <w:sz w:val="20"/>
                  <w:u w:val="single" w:color="68942C"/>
                </w:rPr>
                <w:t>Avoided</w:t>
              </w:r>
              <w:r>
                <w:rPr>
                  <w:i/>
                  <w:color w:val="68942C"/>
                  <w:spacing w:val="-6"/>
                  <w:sz w:val="20"/>
                  <w:u w:val="single" w:color="68942C"/>
                </w:rPr>
                <w:t xml:space="preserve"> </w:t>
              </w:r>
              <w:r>
                <w:rPr>
                  <w:i/>
                  <w:color w:val="68942C"/>
                  <w:sz w:val="20"/>
                  <w:u w:val="single" w:color="68942C"/>
                </w:rPr>
                <w:t>Cost</w:t>
              </w:r>
              <w:r>
                <w:rPr>
                  <w:i/>
                  <w:color w:val="68942C"/>
                  <w:spacing w:val="-5"/>
                  <w:sz w:val="20"/>
                  <w:u w:val="single" w:color="68942C"/>
                </w:rPr>
                <w:t xml:space="preserve"> </w:t>
              </w:r>
              <w:r>
                <w:rPr>
                  <w:i/>
                  <w:color w:val="68942C"/>
                  <w:sz w:val="20"/>
                  <w:u w:val="single" w:color="68942C"/>
                </w:rPr>
                <w:t>Calculator</w:t>
              </w:r>
              <w:r>
                <w:rPr>
                  <w:sz w:val="20"/>
                </w:rPr>
                <w:t>.</w:t>
              </w:r>
            </w:hyperlink>
            <w:r>
              <w:rPr>
                <w:spacing w:val="-5"/>
                <w:sz w:val="20"/>
              </w:rPr>
              <w:t xml:space="preserve"> </w:t>
            </w:r>
            <w:r>
              <w:rPr>
                <w:sz w:val="20"/>
              </w:rPr>
              <w:t>Files</w:t>
            </w:r>
            <w:r>
              <w:rPr>
                <w:spacing w:val="-4"/>
                <w:sz w:val="20"/>
              </w:rPr>
              <w:t xml:space="preserve"> </w:t>
            </w:r>
            <w:r>
              <w:rPr>
                <w:sz w:val="20"/>
              </w:rPr>
              <w:t>received from DNV Oct. 2022.</w:t>
            </w:r>
          </w:p>
        </w:tc>
      </w:tr>
      <w:tr w:rsidR="00C31389" w14:paraId="7BE78A65" w14:textId="77777777">
        <w:trPr>
          <w:trHeight w:val="1040"/>
        </w:trPr>
        <w:tc>
          <w:tcPr>
            <w:tcW w:w="3144" w:type="dxa"/>
            <w:tcBorders>
              <w:top w:val="single" w:color="D9D9D9" w:sz="2" w:space="0"/>
              <w:bottom w:val="single" w:color="D9D9D9" w:sz="2" w:space="0"/>
            </w:tcBorders>
          </w:tcPr>
          <w:p w:rsidR="00C31389" w:rsidRDefault="00561FBD" w14:paraId="0F5715BE" w14:textId="77777777">
            <w:pPr>
              <w:pStyle w:val="TableParagraph"/>
              <w:spacing w:before="174"/>
              <w:ind w:left="129" w:right="842"/>
              <w:rPr>
                <w:i/>
                <w:sz w:val="20"/>
              </w:rPr>
            </w:pPr>
            <w:r>
              <w:rPr>
                <w:b/>
                <w:sz w:val="20"/>
              </w:rPr>
              <w:t xml:space="preserve">Historical program </w:t>
            </w:r>
            <w:r>
              <w:rPr>
                <w:b/>
                <w:spacing w:val="-2"/>
                <w:sz w:val="20"/>
              </w:rPr>
              <w:t xml:space="preserve">accomplishments </w:t>
            </w:r>
            <w:r>
              <w:rPr>
                <w:i/>
                <w:sz w:val="20"/>
              </w:rPr>
              <w:t>(Used</w:t>
            </w:r>
            <w:r>
              <w:rPr>
                <w:i/>
                <w:spacing w:val="-14"/>
                <w:sz w:val="20"/>
              </w:rPr>
              <w:t xml:space="preserve"> </w:t>
            </w:r>
            <w:r>
              <w:rPr>
                <w:i/>
                <w:sz w:val="20"/>
              </w:rPr>
              <w:t>for</w:t>
            </w:r>
            <w:r>
              <w:rPr>
                <w:i/>
                <w:spacing w:val="-14"/>
                <w:sz w:val="20"/>
              </w:rPr>
              <w:t xml:space="preserve"> </w:t>
            </w:r>
            <w:r>
              <w:rPr>
                <w:i/>
                <w:sz w:val="20"/>
              </w:rPr>
              <w:t>calibration)</w:t>
            </w:r>
          </w:p>
        </w:tc>
        <w:tc>
          <w:tcPr>
            <w:tcW w:w="6231" w:type="dxa"/>
            <w:tcBorders>
              <w:top w:val="single" w:color="D9D9D9" w:sz="2" w:space="0"/>
              <w:bottom w:val="single" w:color="D9D9D9" w:sz="2" w:space="0"/>
            </w:tcBorders>
          </w:tcPr>
          <w:p w:rsidR="00C31389" w:rsidRDefault="00561FBD" w14:paraId="1AE9DC90" w14:textId="77777777">
            <w:pPr>
              <w:pStyle w:val="TableParagraph"/>
              <w:ind w:left="246" w:hanging="1"/>
              <w:rPr>
                <w:sz w:val="20"/>
              </w:rPr>
            </w:pPr>
            <w:r>
              <w:rPr>
                <w:sz w:val="20"/>
              </w:rPr>
              <w:t>CPUC,</w:t>
            </w:r>
            <w:r>
              <w:rPr>
                <w:spacing w:val="-6"/>
                <w:sz w:val="20"/>
              </w:rPr>
              <w:t xml:space="preserve"> </w:t>
            </w:r>
            <w:r>
              <w:rPr>
                <w:sz w:val="20"/>
              </w:rPr>
              <w:t>California</w:t>
            </w:r>
            <w:r>
              <w:rPr>
                <w:spacing w:val="-5"/>
                <w:sz w:val="20"/>
              </w:rPr>
              <w:t xml:space="preserve"> </w:t>
            </w:r>
            <w:r>
              <w:rPr>
                <w:sz w:val="20"/>
              </w:rPr>
              <w:t>Energy</w:t>
            </w:r>
            <w:r>
              <w:rPr>
                <w:spacing w:val="-5"/>
                <w:sz w:val="20"/>
              </w:rPr>
              <w:t xml:space="preserve"> </w:t>
            </w:r>
            <w:r>
              <w:rPr>
                <w:sz w:val="20"/>
              </w:rPr>
              <w:t>Data</w:t>
            </w:r>
            <w:r>
              <w:rPr>
                <w:spacing w:val="-5"/>
                <w:sz w:val="20"/>
              </w:rPr>
              <w:t xml:space="preserve"> </w:t>
            </w:r>
            <w:r>
              <w:rPr>
                <w:sz w:val="20"/>
              </w:rPr>
              <w:t>and</w:t>
            </w:r>
            <w:r>
              <w:rPr>
                <w:spacing w:val="-5"/>
                <w:sz w:val="20"/>
              </w:rPr>
              <w:t xml:space="preserve"> </w:t>
            </w:r>
            <w:r>
              <w:rPr>
                <w:sz w:val="20"/>
              </w:rPr>
              <w:t>Reporting</w:t>
            </w:r>
            <w:r>
              <w:rPr>
                <w:spacing w:val="-5"/>
                <w:sz w:val="20"/>
              </w:rPr>
              <w:t xml:space="preserve"> </w:t>
            </w:r>
            <w:r>
              <w:rPr>
                <w:sz w:val="20"/>
              </w:rPr>
              <w:t>System</w:t>
            </w:r>
            <w:r>
              <w:rPr>
                <w:spacing w:val="-6"/>
                <w:sz w:val="20"/>
              </w:rPr>
              <w:t xml:space="preserve"> </w:t>
            </w:r>
            <w:r>
              <w:rPr>
                <w:sz w:val="20"/>
              </w:rPr>
              <w:t>(</w:t>
            </w:r>
            <w:hyperlink r:id="rId94">
              <w:r>
                <w:rPr>
                  <w:color w:val="68942C"/>
                  <w:sz w:val="20"/>
                  <w:u w:val="single" w:color="68942C"/>
                </w:rPr>
                <w:t>CEDARS</w:t>
              </w:r>
            </w:hyperlink>
            <w:r>
              <w:rPr>
                <w:sz w:val="20"/>
              </w:rPr>
              <w:t>) program cycle 2018-2021 data.</w:t>
            </w:r>
          </w:p>
          <w:p w:rsidR="00C31389" w:rsidRDefault="00561FBD" w14:paraId="18BF3F2E" w14:textId="77777777">
            <w:pPr>
              <w:pStyle w:val="TableParagraph"/>
              <w:ind w:left="246"/>
              <w:rPr>
                <w:sz w:val="20"/>
              </w:rPr>
            </w:pPr>
            <w:r>
              <w:rPr>
                <w:sz w:val="20"/>
              </w:rPr>
              <w:t>CPUC,</w:t>
            </w:r>
            <w:r>
              <w:rPr>
                <w:spacing w:val="-6"/>
                <w:sz w:val="20"/>
              </w:rPr>
              <w:t xml:space="preserve"> </w:t>
            </w:r>
            <w:r>
              <w:rPr>
                <w:sz w:val="20"/>
              </w:rPr>
              <w:t>California</w:t>
            </w:r>
            <w:r>
              <w:rPr>
                <w:spacing w:val="-6"/>
                <w:sz w:val="20"/>
              </w:rPr>
              <w:t xml:space="preserve"> </w:t>
            </w:r>
            <w:r>
              <w:rPr>
                <w:sz w:val="20"/>
              </w:rPr>
              <w:t>Energy</w:t>
            </w:r>
            <w:r>
              <w:rPr>
                <w:spacing w:val="-5"/>
                <w:sz w:val="20"/>
              </w:rPr>
              <w:t xml:space="preserve"> </w:t>
            </w:r>
            <w:r>
              <w:rPr>
                <w:sz w:val="20"/>
              </w:rPr>
              <w:t>Data</w:t>
            </w:r>
            <w:r>
              <w:rPr>
                <w:spacing w:val="-6"/>
                <w:sz w:val="20"/>
              </w:rPr>
              <w:t xml:space="preserve"> </w:t>
            </w:r>
            <w:r>
              <w:rPr>
                <w:sz w:val="20"/>
              </w:rPr>
              <w:t>and</w:t>
            </w:r>
            <w:r>
              <w:rPr>
                <w:spacing w:val="-6"/>
                <w:sz w:val="20"/>
              </w:rPr>
              <w:t xml:space="preserve"> </w:t>
            </w:r>
            <w:r>
              <w:rPr>
                <w:sz w:val="20"/>
              </w:rPr>
              <w:t>Reporting</w:t>
            </w:r>
            <w:r>
              <w:rPr>
                <w:spacing w:val="-6"/>
                <w:sz w:val="20"/>
              </w:rPr>
              <w:t xml:space="preserve"> </w:t>
            </w:r>
            <w:r>
              <w:rPr>
                <w:sz w:val="20"/>
              </w:rPr>
              <w:t>System</w:t>
            </w:r>
            <w:r>
              <w:rPr>
                <w:spacing w:val="-7"/>
                <w:sz w:val="20"/>
              </w:rPr>
              <w:t xml:space="preserve"> </w:t>
            </w:r>
            <w:r>
              <w:rPr>
                <w:sz w:val="20"/>
              </w:rPr>
              <w:t>(</w:t>
            </w:r>
            <w:hyperlink r:id="rId95">
              <w:r>
                <w:rPr>
                  <w:color w:val="68942C"/>
                  <w:sz w:val="20"/>
                  <w:u w:val="single" w:color="68942C"/>
                </w:rPr>
                <w:t>CEDARS</w:t>
              </w:r>
            </w:hyperlink>
            <w:r>
              <w:rPr>
                <w:sz w:val="20"/>
              </w:rPr>
              <w:t>) 2021 fillings and 2023 Plan (FS).</w:t>
            </w:r>
          </w:p>
        </w:tc>
      </w:tr>
      <w:tr w:rsidR="00C31389" w14:paraId="00069CA6" w14:textId="77777777">
        <w:trPr>
          <w:trHeight w:val="503"/>
        </w:trPr>
        <w:tc>
          <w:tcPr>
            <w:tcW w:w="3144" w:type="dxa"/>
            <w:tcBorders>
              <w:top w:val="single" w:color="D9D9D9" w:sz="2" w:space="0"/>
              <w:bottom w:val="single" w:color="000000" w:sz="8" w:space="0"/>
            </w:tcBorders>
          </w:tcPr>
          <w:p w:rsidR="00C31389" w:rsidRDefault="00561FBD" w14:paraId="7CB537DA" w14:textId="77777777">
            <w:pPr>
              <w:pStyle w:val="TableParagraph"/>
              <w:spacing w:before="136"/>
              <w:ind w:left="129"/>
              <w:rPr>
                <w:b/>
                <w:sz w:val="20"/>
              </w:rPr>
            </w:pPr>
            <w:r>
              <w:rPr>
                <w:b/>
                <w:sz w:val="20"/>
              </w:rPr>
              <w:t>Non-incentive</w:t>
            </w:r>
            <w:r>
              <w:rPr>
                <w:b/>
                <w:spacing w:val="-9"/>
                <w:sz w:val="20"/>
              </w:rPr>
              <w:t xml:space="preserve"> </w:t>
            </w:r>
            <w:r>
              <w:rPr>
                <w:b/>
                <w:sz w:val="20"/>
              </w:rPr>
              <w:t>program</w:t>
            </w:r>
            <w:r>
              <w:rPr>
                <w:b/>
                <w:spacing w:val="-7"/>
                <w:sz w:val="20"/>
              </w:rPr>
              <w:t xml:space="preserve"> </w:t>
            </w:r>
            <w:r>
              <w:rPr>
                <w:b/>
                <w:spacing w:val="-2"/>
                <w:sz w:val="20"/>
              </w:rPr>
              <w:t>costs</w:t>
            </w:r>
          </w:p>
        </w:tc>
        <w:tc>
          <w:tcPr>
            <w:tcW w:w="6231" w:type="dxa"/>
            <w:tcBorders>
              <w:top w:val="single" w:color="D9D9D9" w:sz="2" w:space="0"/>
              <w:bottom w:val="single" w:color="000000" w:sz="8" w:space="0"/>
            </w:tcBorders>
          </w:tcPr>
          <w:p w:rsidR="00C31389" w:rsidRDefault="00561FBD" w14:paraId="4F2CAD71" w14:textId="77777777">
            <w:pPr>
              <w:pStyle w:val="TableParagraph"/>
              <w:spacing w:before="3"/>
              <w:ind w:left="246"/>
              <w:rPr>
                <w:sz w:val="20"/>
              </w:rPr>
            </w:pPr>
            <w:r>
              <w:rPr>
                <w:sz w:val="20"/>
              </w:rPr>
              <w:t>CPUC,</w:t>
            </w:r>
            <w:r>
              <w:rPr>
                <w:spacing w:val="-6"/>
                <w:sz w:val="20"/>
              </w:rPr>
              <w:t xml:space="preserve"> </w:t>
            </w:r>
            <w:r>
              <w:rPr>
                <w:sz w:val="20"/>
              </w:rPr>
              <w:t>California</w:t>
            </w:r>
            <w:r>
              <w:rPr>
                <w:spacing w:val="-6"/>
                <w:sz w:val="20"/>
              </w:rPr>
              <w:t xml:space="preserve"> </w:t>
            </w:r>
            <w:r>
              <w:rPr>
                <w:sz w:val="20"/>
              </w:rPr>
              <w:t>Energy</w:t>
            </w:r>
            <w:r>
              <w:rPr>
                <w:spacing w:val="-5"/>
                <w:sz w:val="20"/>
              </w:rPr>
              <w:t xml:space="preserve"> </w:t>
            </w:r>
            <w:r>
              <w:rPr>
                <w:sz w:val="20"/>
              </w:rPr>
              <w:t>Data</w:t>
            </w:r>
            <w:r>
              <w:rPr>
                <w:spacing w:val="-6"/>
                <w:sz w:val="20"/>
              </w:rPr>
              <w:t xml:space="preserve"> </w:t>
            </w:r>
            <w:r>
              <w:rPr>
                <w:sz w:val="20"/>
              </w:rPr>
              <w:t>a</w:t>
            </w:r>
            <w:r>
              <w:rPr>
                <w:sz w:val="20"/>
              </w:rPr>
              <w:t>nd</w:t>
            </w:r>
            <w:r>
              <w:rPr>
                <w:spacing w:val="-6"/>
                <w:sz w:val="20"/>
              </w:rPr>
              <w:t xml:space="preserve"> </w:t>
            </w:r>
            <w:r>
              <w:rPr>
                <w:sz w:val="20"/>
              </w:rPr>
              <w:t>Reporting</w:t>
            </w:r>
            <w:r>
              <w:rPr>
                <w:spacing w:val="-6"/>
                <w:sz w:val="20"/>
              </w:rPr>
              <w:t xml:space="preserve"> </w:t>
            </w:r>
            <w:r>
              <w:rPr>
                <w:sz w:val="20"/>
              </w:rPr>
              <w:t>System</w:t>
            </w:r>
            <w:r>
              <w:rPr>
                <w:spacing w:val="-7"/>
                <w:sz w:val="20"/>
              </w:rPr>
              <w:t xml:space="preserve"> </w:t>
            </w:r>
            <w:r>
              <w:rPr>
                <w:sz w:val="20"/>
              </w:rPr>
              <w:t>(</w:t>
            </w:r>
            <w:hyperlink r:id="rId96">
              <w:r>
                <w:rPr>
                  <w:color w:val="68942C"/>
                  <w:sz w:val="20"/>
                  <w:u w:val="single" w:color="68942C"/>
                </w:rPr>
                <w:t>CEDARS</w:t>
              </w:r>
            </w:hyperlink>
            <w:r>
              <w:rPr>
                <w:sz w:val="20"/>
              </w:rPr>
              <w:t>) program cycle 2023 filings.</w:t>
            </w:r>
          </w:p>
        </w:tc>
      </w:tr>
    </w:tbl>
    <w:p w:rsidR="00C31389" w:rsidRDefault="00561FBD" w14:paraId="18B4428E" w14:textId="77777777">
      <w:pPr>
        <w:spacing w:before="73"/>
        <w:ind w:left="480"/>
        <w:rPr>
          <w:i/>
          <w:sz w:val="18"/>
        </w:rPr>
      </w:pPr>
      <w:r>
        <w:rPr>
          <w:i/>
          <w:sz w:val="18"/>
        </w:rPr>
        <w:t>Source:</w:t>
      </w:r>
      <w:r>
        <w:rPr>
          <w:i/>
          <w:spacing w:val="-4"/>
          <w:sz w:val="18"/>
        </w:rPr>
        <w:t xml:space="preserve"> </w:t>
      </w:r>
      <w:r>
        <w:rPr>
          <w:i/>
          <w:spacing w:val="-2"/>
          <w:sz w:val="18"/>
        </w:rPr>
        <w:t>Guidehouse</w:t>
      </w:r>
    </w:p>
    <w:p w:rsidR="00C31389" w:rsidRDefault="00C31389" w14:paraId="566A088B" w14:textId="77777777">
      <w:pPr>
        <w:pStyle w:val="BodyText"/>
        <w:rPr>
          <w:i/>
          <w:sz w:val="20"/>
        </w:rPr>
      </w:pPr>
    </w:p>
    <w:p w:rsidR="00C31389" w:rsidRDefault="00561FBD" w14:paraId="3CD6A484" w14:textId="77777777">
      <w:pPr>
        <w:pStyle w:val="Heading4"/>
        <w:numPr>
          <w:ilvl w:val="2"/>
          <w:numId w:val="71"/>
        </w:numPr>
        <w:tabs>
          <w:tab w:val="left" w:pos="1076"/>
        </w:tabs>
        <w:spacing w:before="129"/>
        <w:ind w:left="1076" w:hanging="596"/>
      </w:pPr>
      <w:bookmarkStart w:name="3.1.1_Retail_Rates_and_Consumption_Forec" w:id="131"/>
      <w:bookmarkStart w:name="_bookmark98" w:id="132"/>
      <w:bookmarkEnd w:id="131"/>
      <w:bookmarkEnd w:id="132"/>
      <w:r>
        <w:t>Retail</w:t>
      </w:r>
      <w:r>
        <w:rPr>
          <w:spacing w:val="-3"/>
        </w:rPr>
        <w:t xml:space="preserve"> </w:t>
      </w:r>
      <w:r>
        <w:t>Rates</w:t>
      </w:r>
      <w:r>
        <w:rPr>
          <w:spacing w:val="-4"/>
        </w:rPr>
        <w:t xml:space="preserve"> </w:t>
      </w:r>
      <w:r>
        <w:t>and</w:t>
      </w:r>
      <w:r>
        <w:rPr>
          <w:spacing w:val="-3"/>
        </w:rPr>
        <w:t xml:space="preserve"> </w:t>
      </w:r>
      <w:r>
        <w:t>Consumption</w:t>
      </w:r>
      <w:r>
        <w:rPr>
          <w:spacing w:val="-3"/>
        </w:rPr>
        <w:t xml:space="preserve"> </w:t>
      </w:r>
      <w:r>
        <w:rPr>
          <w:spacing w:val="-2"/>
        </w:rPr>
        <w:t>Forecasts</w:t>
      </w:r>
    </w:p>
    <w:p w:rsidR="00C31389" w:rsidRDefault="00C31389" w14:paraId="1172326C" w14:textId="77777777">
      <w:pPr>
        <w:pStyle w:val="BodyText"/>
        <w:spacing w:before="10"/>
        <w:rPr>
          <w:b/>
          <w:sz w:val="20"/>
        </w:rPr>
      </w:pPr>
    </w:p>
    <w:p w:rsidR="00C31389" w:rsidRDefault="00561FBD" w14:paraId="6505243C" w14:textId="77777777">
      <w:pPr>
        <w:pStyle w:val="BodyText"/>
        <w:ind w:left="480" w:right="544"/>
      </w:pPr>
      <w:r>
        <w:t xml:space="preserve">The CEC’s IEPR, which </w:t>
      </w:r>
      <w:r>
        <w:t>includes a forecast that is updated annually, is the source for retail rates</w:t>
      </w:r>
      <w:r>
        <w:rPr>
          <w:spacing w:val="-3"/>
        </w:rPr>
        <w:t xml:space="preserve"> </w:t>
      </w:r>
      <w:r>
        <w:t>and</w:t>
      </w:r>
      <w:r>
        <w:rPr>
          <w:spacing w:val="-3"/>
        </w:rPr>
        <w:t xml:space="preserve"> </w:t>
      </w:r>
      <w:r>
        <w:t>consumption</w:t>
      </w:r>
      <w:r>
        <w:rPr>
          <w:spacing w:val="-3"/>
        </w:rPr>
        <w:t xml:space="preserve"> </w:t>
      </w:r>
      <w:r>
        <w:t>forecasts</w:t>
      </w:r>
      <w:r>
        <w:rPr>
          <w:spacing w:val="-3"/>
        </w:rPr>
        <w:t xml:space="preserve"> </w:t>
      </w:r>
      <w:r>
        <w:t>in</w:t>
      </w:r>
      <w:r>
        <w:rPr>
          <w:spacing w:val="-3"/>
        </w:rPr>
        <w:t xml:space="preserve"> </w:t>
      </w:r>
      <w:r>
        <w:t>the</w:t>
      </w:r>
      <w:r>
        <w:rPr>
          <w:spacing w:val="-3"/>
        </w:rPr>
        <w:t xml:space="preserve"> </w:t>
      </w:r>
      <w:r>
        <w:t>2023</w:t>
      </w:r>
      <w:r>
        <w:rPr>
          <w:spacing w:val="-2"/>
        </w:rPr>
        <w:t xml:space="preserve"> </w:t>
      </w:r>
      <w:r>
        <w:t>Study.</w:t>
      </w:r>
      <w:r>
        <w:rPr>
          <w:spacing w:val="-3"/>
        </w:rPr>
        <w:t xml:space="preserve"> </w:t>
      </w:r>
      <w:r>
        <w:t>The</w:t>
      </w:r>
      <w:r>
        <w:rPr>
          <w:spacing w:val="-3"/>
        </w:rPr>
        <w:t xml:space="preserve"> </w:t>
      </w:r>
      <w:r>
        <w:t>Guidehouse</w:t>
      </w:r>
      <w:r>
        <w:rPr>
          <w:spacing w:val="-3"/>
        </w:rPr>
        <w:t xml:space="preserve"> </w:t>
      </w:r>
      <w:r>
        <w:t>team</w:t>
      </w:r>
      <w:r>
        <w:rPr>
          <w:spacing w:val="-4"/>
        </w:rPr>
        <w:t xml:space="preserve"> </w:t>
      </w:r>
      <w:r>
        <w:t>used</w:t>
      </w:r>
      <w:r>
        <w:rPr>
          <w:spacing w:val="-3"/>
        </w:rPr>
        <w:t xml:space="preserve"> </w:t>
      </w:r>
      <w:r>
        <w:t>the</w:t>
      </w:r>
      <w:r>
        <w:rPr>
          <w:spacing w:val="-3"/>
        </w:rPr>
        <w:t xml:space="preserve"> </w:t>
      </w:r>
      <w:r>
        <w:t>preliminary</w:t>
      </w:r>
    </w:p>
    <w:p w:rsidR="00C31389" w:rsidRDefault="00561FBD" w14:paraId="114C0B2F" w14:textId="77777777">
      <w:pPr>
        <w:pStyle w:val="BodyText"/>
        <w:spacing w:before="10"/>
        <w:rPr>
          <w:sz w:val="24"/>
        </w:rPr>
      </w:pPr>
      <w:r>
        <w:rPr>
          <w:noProof/>
        </w:rPr>
        <mc:AlternateContent>
          <mc:Choice Requires="wps">
            <w:drawing>
              <wp:anchor distT="0" distB="0" distL="0" distR="0" simplePos="0" relativeHeight="487620608" behindDoc="1" locked="0" layoutInCell="1" allowOverlap="1" wp14:editId="603FA368" wp14:anchorId="2D819BB8">
                <wp:simplePos x="0" y="0"/>
                <wp:positionH relativeFrom="page">
                  <wp:posOffset>914400</wp:posOffset>
                </wp:positionH>
                <wp:positionV relativeFrom="paragraph">
                  <wp:posOffset>196928</wp:posOffset>
                </wp:positionV>
                <wp:extent cx="1828800" cy="6985"/>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90" style="position:absolute;margin-left:1in;margin-top:15.5pt;width:2in;height:.5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" w14:anchorId="796CA725">
                <v:path arrowok="t"/>
                <w10:wrap type="topAndBottom" anchorx="page"/>
              </v:shape>
            </w:pict>
          </mc:Fallback>
        </mc:AlternateContent>
      </w:r>
    </w:p>
    <w:p w:rsidR="00C31389" w:rsidRDefault="00561FBD" w14:paraId="2D55C771" w14:textId="77777777">
      <w:pPr>
        <w:spacing w:before="88"/>
        <w:ind w:left="479" w:right="533"/>
        <w:rPr>
          <w:sz w:val="18"/>
        </w:rPr>
      </w:pPr>
      <w:bookmarkStart w:name="_bookmark99" w:id="133"/>
      <w:bookmarkEnd w:id="133"/>
      <w:r>
        <w:rPr>
          <w:position w:val="6"/>
          <w:sz w:val="12"/>
        </w:rPr>
        <w:t>28</w:t>
      </w:r>
      <w:r>
        <w:rPr>
          <w:spacing w:val="15"/>
          <w:position w:val="6"/>
          <w:sz w:val="12"/>
        </w:rPr>
        <w:t xml:space="preserve"> </w:t>
      </w:r>
      <w:r>
        <w:rPr>
          <w:sz w:val="18"/>
        </w:rPr>
        <w:t>As</w:t>
      </w:r>
      <w:r>
        <w:rPr>
          <w:spacing w:val="-2"/>
          <w:sz w:val="18"/>
        </w:rPr>
        <w:t xml:space="preserve"> </w:t>
      </w:r>
      <w:r>
        <w:rPr>
          <w:sz w:val="18"/>
        </w:rPr>
        <w:t>of</w:t>
      </w:r>
      <w:r>
        <w:rPr>
          <w:spacing w:val="-2"/>
          <w:sz w:val="18"/>
        </w:rPr>
        <w:t xml:space="preserve"> </w:t>
      </w:r>
      <w:r>
        <w:rPr>
          <w:sz w:val="18"/>
        </w:rPr>
        <w:t>October</w:t>
      </w:r>
      <w:r>
        <w:rPr>
          <w:spacing w:val="-2"/>
          <w:sz w:val="18"/>
        </w:rPr>
        <w:t xml:space="preserve"> </w:t>
      </w:r>
      <w:r>
        <w:rPr>
          <w:sz w:val="18"/>
        </w:rPr>
        <w:t>2022,</w:t>
      </w:r>
      <w:r>
        <w:rPr>
          <w:spacing w:val="-2"/>
          <w:sz w:val="18"/>
        </w:rPr>
        <w:t xml:space="preserve"> </w:t>
      </w:r>
      <w:r>
        <w:rPr>
          <w:sz w:val="18"/>
        </w:rPr>
        <w:t>the</w:t>
      </w:r>
      <w:r>
        <w:rPr>
          <w:spacing w:val="-3"/>
          <w:sz w:val="18"/>
        </w:rPr>
        <w:t xml:space="preserve"> </w:t>
      </w:r>
      <w:r>
        <w:rPr>
          <w:sz w:val="18"/>
        </w:rPr>
        <w:t>CEC</w:t>
      </w:r>
      <w:r>
        <w:rPr>
          <w:spacing w:val="-1"/>
          <w:sz w:val="18"/>
        </w:rPr>
        <w:t xml:space="preserve"> </w:t>
      </w:r>
      <w:r>
        <w:rPr>
          <w:sz w:val="18"/>
        </w:rPr>
        <w:t>indicated</w:t>
      </w:r>
      <w:r>
        <w:rPr>
          <w:spacing w:val="-3"/>
          <w:sz w:val="18"/>
        </w:rPr>
        <w:t xml:space="preserve"> </w:t>
      </w:r>
      <w:r>
        <w:rPr>
          <w:sz w:val="18"/>
        </w:rPr>
        <w:t>that</w:t>
      </w:r>
      <w:r>
        <w:rPr>
          <w:spacing w:val="-2"/>
          <w:sz w:val="18"/>
        </w:rPr>
        <w:t xml:space="preserve"> </w:t>
      </w:r>
      <w:r>
        <w:rPr>
          <w:sz w:val="18"/>
        </w:rPr>
        <w:t>they</w:t>
      </w:r>
      <w:r>
        <w:rPr>
          <w:spacing w:val="-2"/>
          <w:sz w:val="18"/>
        </w:rPr>
        <w:t xml:space="preserve"> </w:t>
      </w:r>
      <w:r>
        <w:rPr>
          <w:sz w:val="18"/>
        </w:rPr>
        <w:t>did</w:t>
      </w:r>
      <w:r>
        <w:rPr>
          <w:spacing w:val="-3"/>
          <w:sz w:val="18"/>
        </w:rPr>
        <w:t xml:space="preserve"> </w:t>
      </w:r>
      <w:r>
        <w:rPr>
          <w:sz w:val="18"/>
        </w:rPr>
        <w:t>not</w:t>
      </w:r>
      <w:r>
        <w:rPr>
          <w:spacing w:val="-2"/>
          <w:sz w:val="18"/>
        </w:rPr>
        <w:t xml:space="preserve"> </w:t>
      </w:r>
      <w:r>
        <w:rPr>
          <w:sz w:val="18"/>
        </w:rPr>
        <w:t>anticipate</w:t>
      </w:r>
      <w:r>
        <w:rPr>
          <w:spacing w:val="-3"/>
          <w:sz w:val="18"/>
        </w:rPr>
        <w:t xml:space="preserve"> </w:t>
      </w:r>
      <w:r>
        <w:rPr>
          <w:sz w:val="18"/>
        </w:rPr>
        <w:t>changing</w:t>
      </w:r>
      <w:r>
        <w:rPr>
          <w:spacing w:val="-3"/>
          <w:sz w:val="18"/>
        </w:rPr>
        <w:t xml:space="preserve"> </w:t>
      </w:r>
      <w:r>
        <w:rPr>
          <w:sz w:val="18"/>
        </w:rPr>
        <w:t>the</w:t>
      </w:r>
      <w:r>
        <w:rPr>
          <w:spacing w:val="-3"/>
          <w:sz w:val="18"/>
        </w:rPr>
        <w:t xml:space="preserve"> </w:t>
      </w:r>
      <w:r>
        <w:rPr>
          <w:sz w:val="18"/>
        </w:rPr>
        <w:t>gas</w:t>
      </w:r>
      <w:r>
        <w:rPr>
          <w:spacing w:val="-2"/>
          <w:sz w:val="18"/>
        </w:rPr>
        <w:t xml:space="preserve"> </w:t>
      </w:r>
      <w:r>
        <w:rPr>
          <w:sz w:val="18"/>
        </w:rPr>
        <w:t>retail</w:t>
      </w:r>
      <w:r>
        <w:rPr>
          <w:spacing w:val="-1"/>
          <w:sz w:val="18"/>
        </w:rPr>
        <w:t xml:space="preserve"> </w:t>
      </w:r>
      <w:r>
        <w:rPr>
          <w:sz w:val="18"/>
        </w:rPr>
        <w:t>rate</w:t>
      </w:r>
      <w:r>
        <w:rPr>
          <w:spacing w:val="-3"/>
          <w:sz w:val="18"/>
        </w:rPr>
        <w:t xml:space="preserve"> </w:t>
      </w:r>
      <w:r>
        <w:rPr>
          <w:sz w:val="18"/>
        </w:rPr>
        <w:t>forecast</w:t>
      </w:r>
      <w:r>
        <w:rPr>
          <w:spacing w:val="-2"/>
          <w:sz w:val="18"/>
        </w:rPr>
        <w:t xml:space="preserve"> </w:t>
      </w:r>
      <w:r>
        <w:rPr>
          <w:sz w:val="18"/>
        </w:rPr>
        <w:t>from</w:t>
      </w:r>
      <w:r>
        <w:rPr>
          <w:spacing w:val="-2"/>
          <w:sz w:val="18"/>
        </w:rPr>
        <w:t xml:space="preserve"> </w:t>
      </w:r>
      <w:r>
        <w:rPr>
          <w:sz w:val="18"/>
        </w:rPr>
        <w:t>the 2021 to the 2022 IEPR.</w:t>
      </w:r>
    </w:p>
    <w:p w:rsidR="00C31389" w:rsidRDefault="00C31389" w14:paraId="4ED10AD3" w14:textId="77777777">
      <w:pPr>
        <w:rPr>
          <w:sz w:val="18"/>
        </w:rPr>
        <w:sectPr w:rsidR="00C31389">
          <w:headerReference w:type="default" r:id="rId97"/>
          <w:footerReference w:type="default" r:id="rId98"/>
          <w:pgSz w:w="12240" w:h="15840"/>
          <w:pgMar w:top="1380" w:right="960" w:bottom="1120" w:left="960" w:header="397" w:footer="936" w:gutter="0"/>
          <w:cols w:space="720"/>
        </w:sectPr>
      </w:pPr>
    </w:p>
    <w:p w:rsidR="00C31389" w:rsidRDefault="00C31389" w14:paraId="44991326" w14:textId="77777777">
      <w:pPr>
        <w:pStyle w:val="BodyText"/>
      </w:pPr>
    </w:p>
    <w:p w:rsidR="00C31389" w:rsidRDefault="00C31389" w14:paraId="3DA6D685" w14:textId="77777777">
      <w:pPr>
        <w:pStyle w:val="BodyText"/>
        <w:spacing w:before="10"/>
        <w:rPr>
          <w:sz w:val="13"/>
        </w:rPr>
      </w:pPr>
    </w:p>
    <w:p w:rsidR="00C31389" w:rsidRDefault="00561FBD" w14:paraId="44807C31" w14:textId="77777777">
      <w:pPr>
        <w:pStyle w:val="BodyText"/>
        <w:spacing w:before="93"/>
        <w:ind w:left="479" w:right="533"/>
      </w:pPr>
      <w:r>
        <w:t xml:space="preserve">2022 IEPR for electric rates and the 2021 IEPR for gas rates with the </w:t>
      </w:r>
      <w:r>
        <w:t>understanding that the CEC</w:t>
      </w:r>
      <w:r>
        <w:rPr>
          <w:spacing w:val="-4"/>
        </w:rPr>
        <w:t xml:space="preserve"> </w:t>
      </w:r>
      <w:r>
        <w:t>was</w:t>
      </w:r>
      <w:r>
        <w:rPr>
          <w:spacing w:val="-3"/>
        </w:rPr>
        <w:t xml:space="preserve"> </w:t>
      </w:r>
      <w:r>
        <w:t>not</w:t>
      </w:r>
      <w:r>
        <w:rPr>
          <w:spacing w:val="-3"/>
        </w:rPr>
        <w:t xml:space="preserve"> </w:t>
      </w:r>
      <w:r>
        <w:t>anticipating</w:t>
      </w:r>
      <w:r>
        <w:rPr>
          <w:spacing w:val="-3"/>
        </w:rPr>
        <w:t xml:space="preserve"> </w:t>
      </w:r>
      <w:r>
        <w:t>updating</w:t>
      </w:r>
      <w:r>
        <w:rPr>
          <w:spacing w:val="-3"/>
        </w:rPr>
        <w:t xml:space="preserve"> </w:t>
      </w:r>
      <w:r>
        <w:t>the</w:t>
      </w:r>
      <w:r>
        <w:rPr>
          <w:spacing w:val="-3"/>
        </w:rPr>
        <w:t xml:space="preserve"> </w:t>
      </w:r>
      <w:r>
        <w:t>gas</w:t>
      </w:r>
      <w:r>
        <w:rPr>
          <w:spacing w:val="-3"/>
        </w:rPr>
        <w:t xml:space="preserve"> </w:t>
      </w:r>
      <w:r>
        <w:t>rate</w:t>
      </w:r>
      <w:r>
        <w:rPr>
          <w:spacing w:val="-3"/>
        </w:rPr>
        <w:t xml:space="preserve"> </w:t>
      </w:r>
      <w:r>
        <w:t>forecast</w:t>
      </w:r>
      <w:r>
        <w:rPr>
          <w:spacing w:val="-3"/>
        </w:rPr>
        <w:t xml:space="preserve"> </w:t>
      </w:r>
      <w:r>
        <w:t>in</w:t>
      </w:r>
      <w:r>
        <w:rPr>
          <w:spacing w:val="-3"/>
        </w:rPr>
        <w:t xml:space="preserve"> </w:t>
      </w:r>
      <w:r>
        <w:t>2022.</w:t>
      </w:r>
      <w:r>
        <w:rPr>
          <w:spacing w:val="-2"/>
        </w:rPr>
        <w:t xml:space="preserve"> </w:t>
      </w:r>
      <w:r>
        <w:t>The</w:t>
      </w:r>
      <w:r>
        <w:rPr>
          <w:spacing w:val="-3"/>
        </w:rPr>
        <w:t xml:space="preserve"> </w:t>
      </w:r>
      <w:r>
        <w:t>team</w:t>
      </w:r>
      <w:r>
        <w:rPr>
          <w:spacing w:val="-4"/>
        </w:rPr>
        <w:t xml:space="preserve"> </w:t>
      </w:r>
      <w:r>
        <w:t>used</w:t>
      </w:r>
      <w:r>
        <w:rPr>
          <w:spacing w:val="-3"/>
        </w:rPr>
        <w:t xml:space="preserve"> </w:t>
      </w:r>
      <w:r>
        <w:t>the</w:t>
      </w:r>
      <w:r>
        <w:rPr>
          <w:spacing w:val="-3"/>
        </w:rPr>
        <w:t xml:space="preserve"> </w:t>
      </w:r>
      <w:r>
        <w:t>2021</w:t>
      </w:r>
      <w:r>
        <w:rPr>
          <w:spacing w:val="-3"/>
        </w:rPr>
        <w:t xml:space="preserve"> </w:t>
      </w:r>
      <w:r>
        <w:t>IEPR consumption forecasts because the 2022 IEPR forecasts were not available at the time of the PG study analysis.</w:t>
      </w:r>
    </w:p>
    <w:p w:rsidR="00C31389" w:rsidRDefault="00C31389" w14:paraId="10292F68" w14:textId="77777777">
      <w:pPr>
        <w:pStyle w:val="BodyText"/>
        <w:spacing w:before="9"/>
        <w:rPr>
          <w:sz w:val="20"/>
        </w:rPr>
      </w:pPr>
    </w:p>
    <w:p w:rsidR="00C31389" w:rsidRDefault="00561FBD" w14:paraId="170C66D3" w14:textId="77777777">
      <w:pPr>
        <w:pStyle w:val="BodyText"/>
        <w:ind w:left="479" w:right="629" w:hanging="1"/>
      </w:pPr>
      <w:r>
        <w:t>The consumption forecasts fr</w:t>
      </w:r>
      <w:r>
        <w:t>om the IEPR were disaggregated by the CEC’s eight planning areas, which differ slightly from the IOU service territory areas. Some CEC planning areas include the territories of small publicly owned utilities in California or other non-IOU electricity provi</w:t>
      </w:r>
      <w:r>
        <w:t>ders, so an adjustment is needed. Using data from the CEC’s Energy Consumption Database (ECDMS)</w:t>
      </w:r>
      <w:r>
        <w:rPr>
          <w:spacing w:val="-37"/>
        </w:rPr>
        <w:t xml:space="preserve"> </w:t>
      </w:r>
      <w:hyperlink w:history="1" w:anchor="_bookmark102">
        <w:r>
          <w:rPr>
            <w:position w:val="7"/>
            <w:sz w:val="14"/>
          </w:rPr>
          <w:t>29</w:t>
        </w:r>
      </w:hyperlink>
      <w:r>
        <w:rPr>
          <w:spacing w:val="31"/>
          <w:position w:val="7"/>
          <w:sz w:val="14"/>
        </w:rPr>
        <w:t xml:space="preserve"> </w:t>
      </w:r>
      <w:r>
        <w:t xml:space="preserve">on </w:t>
      </w:r>
      <w:hyperlink r:id="rId99">
        <w:r>
          <w:rPr>
            <w:color w:val="68942C"/>
            <w:u w:val="single" w:color="68942C"/>
          </w:rPr>
          <w:t>service territory</w:t>
        </w:r>
      </w:hyperlink>
      <w:r>
        <w:rPr>
          <w:color w:val="68942C"/>
        </w:rPr>
        <w:t xml:space="preserve"> </w:t>
      </w:r>
      <w:r>
        <w:t xml:space="preserve">and </w:t>
      </w:r>
      <w:hyperlink r:id="rId100">
        <w:r>
          <w:rPr>
            <w:color w:val="68942C"/>
            <w:u w:val="single" w:color="68942C"/>
          </w:rPr>
          <w:t>planning area</w:t>
        </w:r>
      </w:hyperlink>
      <w:r>
        <w:rPr>
          <w:color w:val="68942C"/>
        </w:rPr>
        <w:t xml:space="preserve"> </w:t>
      </w:r>
      <w:r>
        <w:t>sales for 2021, the most recent year for which data was available, the team calculated ratios to adjust the pl</w:t>
      </w:r>
      <w:r>
        <w:t>anning area consumption</w:t>
      </w:r>
      <w:r>
        <w:rPr>
          <w:spacing w:val="-4"/>
        </w:rPr>
        <w:t xml:space="preserve"> </w:t>
      </w:r>
      <w:r>
        <w:t>(found</w:t>
      </w:r>
      <w:r>
        <w:rPr>
          <w:spacing w:val="-4"/>
        </w:rPr>
        <w:t xml:space="preserve"> </w:t>
      </w:r>
      <w:r>
        <w:t>within</w:t>
      </w:r>
      <w:r>
        <w:rPr>
          <w:spacing w:val="-4"/>
        </w:rPr>
        <w:t xml:space="preserve"> </w:t>
      </w:r>
      <w:r>
        <w:t>the</w:t>
      </w:r>
      <w:r>
        <w:rPr>
          <w:spacing w:val="-3"/>
        </w:rPr>
        <w:t xml:space="preserve"> </w:t>
      </w:r>
      <w:r>
        <w:t>IEPR)</w:t>
      </w:r>
      <w:r>
        <w:rPr>
          <w:spacing w:val="-4"/>
        </w:rPr>
        <w:t xml:space="preserve"> </w:t>
      </w:r>
      <w:r>
        <w:t>down</w:t>
      </w:r>
      <w:r>
        <w:rPr>
          <w:spacing w:val="-4"/>
        </w:rPr>
        <w:t xml:space="preserve"> </w:t>
      </w:r>
      <w:r>
        <w:t>to</w:t>
      </w:r>
      <w:r>
        <w:rPr>
          <w:spacing w:val="-4"/>
        </w:rPr>
        <w:t xml:space="preserve"> </w:t>
      </w:r>
      <w:r>
        <w:t>each</w:t>
      </w:r>
      <w:r>
        <w:rPr>
          <w:spacing w:val="-4"/>
        </w:rPr>
        <w:t xml:space="preserve"> </w:t>
      </w:r>
      <w:r>
        <w:t>IOU’s</w:t>
      </w:r>
      <w:r>
        <w:rPr>
          <w:spacing w:val="-4"/>
        </w:rPr>
        <w:t xml:space="preserve"> </w:t>
      </w:r>
      <w:r>
        <w:t>actual</w:t>
      </w:r>
      <w:r>
        <w:rPr>
          <w:spacing w:val="-4"/>
        </w:rPr>
        <w:t xml:space="preserve"> </w:t>
      </w:r>
      <w:r>
        <w:t>service</w:t>
      </w:r>
      <w:r>
        <w:rPr>
          <w:spacing w:val="-4"/>
        </w:rPr>
        <w:t xml:space="preserve"> </w:t>
      </w:r>
      <w:r>
        <w:t>territory</w:t>
      </w:r>
      <w:r>
        <w:rPr>
          <w:spacing w:val="-4"/>
        </w:rPr>
        <w:t xml:space="preserve"> </w:t>
      </w:r>
      <w:r>
        <w:t xml:space="preserve">consumption for all electric utilities. These ratios are referred to as service territory to planning area adjustment ratios and are detailed in </w:t>
      </w:r>
      <w:hyperlink w:history="1" w:anchor="_bookmark100">
        <w:r>
          <w:t>Table 3-2</w:t>
        </w:r>
      </w:hyperlink>
      <w:r>
        <w:t>.</w:t>
      </w:r>
    </w:p>
    <w:p w:rsidR="00C31389" w:rsidRDefault="00C31389" w14:paraId="51D16F6A" w14:textId="77777777">
      <w:pPr>
        <w:pStyle w:val="BodyText"/>
        <w:spacing w:before="11"/>
        <w:rPr>
          <w:sz w:val="20"/>
        </w:rPr>
      </w:pPr>
    </w:p>
    <w:p w:rsidR="00C31389" w:rsidRDefault="00561FBD" w14:paraId="6AAC0946" w14:textId="77777777">
      <w:pPr>
        <w:pStyle w:val="Heading7"/>
        <w:ind w:left="566" w:right="566"/>
        <w:jc w:val="center"/>
      </w:pPr>
      <w:bookmarkStart w:name="_bookmark100" w:id="134"/>
      <w:bookmarkEnd w:id="134"/>
      <w:r>
        <w:t>Table</w:t>
      </w:r>
      <w:r>
        <w:rPr>
          <w:spacing w:val="-8"/>
        </w:rPr>
        <w:t xml:space="preserve"> </w:t>
      </w:r>
      <w:r>
        <w:t>3-2.</w:t>
      </w:r>
      <w:r>
        <w:rPr>
          <w:spacing w:val="-8"/>
        </w:rPr>
        <w:t xml:space="preserve"> </w:t>
      </w:r>
      <w:r>
        <w:t>Electric</w:t>
      </w:r>
      <w:r>
        <w:rPr>
          <w:spacing w:val="-8"/>
        </w:rPr>
        <w:t xml:space="preserve"> </w:t>
      </w:r>
      <w:r>
        <w:t>Service</w:t>
      </w:r>
      <w:r>
        <w:rPr>
          <w:spacing w:val="-8"/>
        </w:rPr>
        <w:t xml:space="preserve"> </w:t>
      </w:r>
      <w:r>
        <w:t>Territ</w:t>
      </w:r>
      <w:r>
        <w:t>ory</w:t>
      </w:r>
      <w:r>
        <w:rPr>
          <w:spacing w:val="-8"/>
        </w:rPr>
        <w:t xml:space="preserve"> </w:t>
      </w:r>
      <w:r>
        <w:t>to</w:t>
      </w:r>
      <w:r>
        <w:rPr>
          <w:spacing w:val="-8"/>
        </w:rPr>
        <w:t xml:space="preserve"> </w:t>
      </w:r>
      <w:r>
        <w:t>Planning</w:t>
      </w:r>
      <w:r>
        <w:rPr>
          <w:spacing w:val="-8"/>
        </w:rPr>
        <w:t xml:space="preserve"> </w:t>
      </w:r>
      <w:r>
        <w:t>Area</w:t>
      </w:r>
      <w:r>
        <w:rPr>
          <w:spacing w:val="-8"/>
        </w:rPr>
        <w:t xml:space="preserve"> </w:t>
      </w:r>
      <w:r>
        <w:t>Adjustment</w:t>
      </w:r>
      <w:r>
        <w:rPr>
          <w:spacing w:val="-8"/>
        </w:rPr>
        <w:t xml:space="preserve"> </w:t>
      </w:r>
      <w:r>
        <w:rPr>
          <w:spacing w:val="-2"/>
        </w:rPr>
        <w:t>Ratios</w:t>
      </w:r>
    </w:p>
    <w:p w:rsidR="00C31389" w:rsidRDefault="00C31389" w14:paraId="64ECC57A" w14:textId="77777777">
      <w:pPr>
        <w:pStyle w:val="BodyText"/>
        <w:spacing w:before="6"/>
        <w:rPr>
          <w:b/>
          <w:sz w:val="9"/>
        </w:rPr>
      </w:pPr>
    </w:p>
    <w:tbl>
      <w:tblPr>
        <w:tblW w:w="0" w:type="auto"/>
        <w:tblInd w:w="1277" w:type="dxa"/>
        <w:tblLayout w:type="fixed"/>
        <w:tblCellMar>
          <w:left w:w="0" w:type="dxa"/>
          <w:right w:w="0" w:type="dxa"/>
        </w:tblCellMar>
        <w:tblLook w:val="01E0" w:firstRow="1" w:lastRow="1" w:firstColumn="1" w:lastColumn="1" w:noHBand="0" w:noVBand="0"/>
      </w:tblPr>
      <w:tblGrid>
        <w:gridCol w:w="1238"/>
        <w:gridCol w:w="1739"/>
        <w:gridCol w:w="1688"/>
        <w:gridCol w:w="1481"/>
        <w:gridCol w:w="1626"/>
      </w:tblGrid>
      <w:tr w:rsidR="00C31389" w14:paraId="60542FEF" w14:textId="77777777">
        <w:trPr>
          <w:trHeight w:val="604"/>
        </w:trPr>
        <w:tc>
          <w:tcPr>
            <w:tcW w:w="1238" w:type="dxa"/>
            <w:shd w:val="clear" w:color="auto" w:fill="92D400"/>
          </w:tcPr>
          <w:p w:rsidR="00C31389" w:rsidRDefault="00561FBD" w14:paraId="6A60CD9B" w14:textId="77777777">
            <w:pPr>
              <w:pStyle w:val="TableParagraph"/>
              <w:spacing w:before="183"/>
              <w:ind w:left="122"/>
              <w:rPr>
                <w:b/>
                <w:sz w:val="20"/>
              </w:rPr>
            </w:pPr>
            <w:r>
              <w:rPr>
                <w:b/>
                <w:spacing w:val="-5"/>
                <w:sz w:val="20"/>
              </w:rPr>
              <w:t>IOU</w:t>
            </w:r>
          </w:p>
        </w:tc>
        <w:tc>
          <w:tcPr>
            <w:tcW w:w="1739" w:type="dxa"/>
            <w:shd w:val="clear" w:color="auto" w:fill="92D400"/>
          </w:tcPr>
          <w:p w:rsidR="00C31389" w:rsidRDefault="00561FBD" w14:paraId="1EBCAFEB" w14:textId="77777777">
            <w:pPr>
              <w:pStyle w:val="TableParagraph"/>
              <w:spacing w:before="183"/>
              <w:ind w:left="406" w:right="247"/>
              <w:jc w:val="center"/>
              <w:rPr>
                <w:b/>
                <w:sz w:val="20"/>
              </w:rPr>
            </w:pPr>
            <w:r>
              <w:rPr>
                <w:b/>
                <w:spacing w:val="-2"/>
                <w:sz w:val="20"/>
              </w:rPr>
              <w:t>Residential</w:t>
            </w:r>
          </w:p>
        </w:tc>
        <w:tc>
          <w:tcPr>
            <w:tcW w:w="1688" w:type="dxa"/>
            <w:shd w:val="clear" w:color="auto" w:fill="92D400"/>
          </w:tcPr>
          <w:p w:rsidR="00C31389" w:rsidRDefault="00561FBD" w14:paraId="47B58078" w14:textId="77777777">
            <w:pPr>
              <w:pStyle w:val="TableParagraph"/>
              <w:spacing w:before="183"/>
              <w:ind w:left="248" w:right="274"/>
              <w:jc w:val="center"/>
              <w:rPr>
                <w:b/>
                <w:sz w:val="20"/>
              </w:rPr>
            </w:pPr>
            <w:r>
              <w:rPr>
                <w:b/>
                <w:spacing w:val="-2"/>
                <w:sz w:val="20"/>
              </w:rPr>
              <w:t>Commercial</w:t>
            </w:r>
          </w:p>
        </w:tc>
        <w:tc>
          <w:tcPr>
            <w:tcW w:w="1481" w:type="dxa"/>
            <w:shd w:val="clear" w:color="auto" w:fill="92D400"/>
          </w:tcPr>
          <w:p w:rsidR="00C31389" w:rsidRDefault="00561FBD" w14:paraId="190E5AFB" w14:textId="77777777">
            <w:pPr>
              <w:pStyle w:val="TableParagraph"/>
              <w:spacing w:before="183"/>
              <w:ind w:left="277" w:right="283"/>
              <w:jc w:val="center"/>
              <w:rPr>
                <w:b/>
                <w:sz w:val="20"/>
              </w:rPr>
            </w:pPr>
            <w:r>
              <w:rPr>
                <w:b/>
                <w:spacing w:val="-2"/>
                <w:sz w:val="20"/>
              </w:rPr>
              <w:t>Industrial</w:t>
            </w:r>
          </w:p>
        </w:tc>
        <w:tc>
          <w:tcPr>
            <w:tcW w:w="1626" w:type="dxa"/>
            <w:shd w:val="clear" w:color="auto" w:fill="92D400"/>
          </w:tcPr>
          <w:p w:rsidR="00C31389" w:rsidRDefault="00561FBD" w14:paraId="56C50B6D" w14:textId="77777777">
            <w:pPr>
              <w:pStyle w:val="TableParagraph"/>
              <w:spacing w:before="183"/>
              <w:ind w:left="285" w:right="256"/>
              <w:jc w:val="center"/>
              <w:rPr>
                <w:b/>
                <w:sz w:val="20"/>
              </w:rPr>
            </w:pPr>
            <w:r>
              <w:rPr>
                <w:b/>
                <w:spacing w:val="-2"/>
                <w:sz w:val="20"/>
              </w:rPr>
              <w:t>Agriculture</w:t>
            </w:r>
          </w:p>
        </w:tc>
      </w:tr>
      <w:tr w:rsidR="00C31389" w14:paraId="77959445" w14:textId="77777777">
        <w:trPr>
          <w:trHeight w:val="337"/>
        </w:trPr>
        <w:tc>
          <w:tcPr>
            <w:tcW w:w="1238" w:type="dxa"/>
            <w:tcBorders>
              <w:bottom w:val="single" w:color="D9D9D9" w:sz="2" w:space="0"/>
            </w:tcBorders>
          </w:tcPr>
          <w:p w:rsidR="00C31389" w:rsidRDefault="00561FBD" w14:paraId="18BFCDC7" w14:textId="77777777">
            <w:pPr>
              <w:pStyle w:val="TableParagraph"/>
              <w:spacing w:before="53"/>
              <w:ind w:left="122"/>
              <w:rPr>
                <w:sz w:val="20"/>
              </w:rPr>
            </w:pPr>
            <w:r>
              <w:rPr>
                <w:spacing w:val="-4"/>
                <w:sz w:val="20"/>
              </w:rPr>
              <w:t>PG&amp;E</w:t>
            </w:r>
          </w:p>
        </w:tc>
        <w:tc>
          <w:tcPr>
            <w:tcW w:w="1739" w:type="dxa"/>
            <w:tcBorders>
              <w:bottom w:val="single" w:color="D9D9D9" w:sz="2" w:space="0"/>
            </w:tcBorders>
          </w:tcPr>
          <w:p w:rsidR="00C31389" w:rsidRDefault="00561FBD" w14:paraId="1145F8A1" w14:textId="77777777">
            <w:pPr>
              <w:pStyle w:val="TableParagraph"/>
              <w:spacing w:before="53"/>
              <w:ind w:left="405" w:right="247"/>
              <w:jc w:val="center"/>
              <w:rPr>
                <w:sz w:val="20"/>
              </w:rPr>
            </w:pPr>
            <w:r>
              <w:rPr>
                <w:spacing w:val="-2"/>
                <w:sz w:val="20"/>
              </w:rPr>
              <w:t>80.6%</w:t>
            </w:r>
          </w:p>
        </w:tc>
        <w:tc>
          <w:tcPr>
            <w:tcW w:w="1688" w:type="dxa"/>
            <w:tcBorders>
              <w:bottom w:val="single" w:color="D9D9D9" w:sz="2" w:space="0"/>
            </w:tcBorders>
          </w:tcPr>
          <w:p w:rsidR="00C31389" w:rsidRDefault="00561FBD" w14:paraId="445FE7D8" w14:textId="77777777">
            <w:pPr>
              <w:pStyle w:val="TableParagraph"/>
              <w:spacing w:before="53"/>
              <w:ind w:left="245" w:right="274"/>
              <w:jc w:val="center"/>
              <w:rPr>
                <w:sz w:val="20"/>
              </w:rPr>
            </w:pPr>
            <w:r>
              <w:rPr>
                <w:spacing w:val="-2"/>
                <w:sz w:val="20"/>
              </w:rPr>
              <w:t>74.3%</w:t>
            </w:r>
          </w:p>
        </w:tc>
        <w:tc>
          <w:tcPr>
            <w:tcW w:w="1481" w:type="dxa"/>
            <w:tcBorders>
              <w:bottom w:val="single" w:color="D9D9D9" w:sz="2" w:space="0"/>
            </w:tcBorders>
          </w:tcPr>
          <w:p w:rsidR="00C31389" w:rsidRDefault="00561FBD" w14:paraId="2E4E1B84" w14:textId="77777777">
            <w:pPr>
              <w:pStyle w:val="TableParagraph"/>
              <w:spacing w:before="53"/>
              <w:ind w:left="275" w:right="283"/>
              <w:jc w:val="center"/>
              <w:rPr>
                <w:sz w:val="20"/>
              </w:rPr>
            </w:pPr>
            <w:r>
              <w:rPr>
                <w:spacing w:val="-2"/>
                <w:sz w:val="20"/>
              </w:rPr>
              <w:t>70.4%</w:t>
            </w:r>
          </w:p>
        </w:tc>
        <w:tc>
          <w:tcPr>
            <w:tcW w:w="1626" w:type="dxa"/>
            <w:tcBorders>
              <w:bottom w:val="single" w:color="D9D9D9" w:sz="2" w:space="0"/>
            </w:tcBorders>
          </w:tcPr>
          <w:p w:rsidR="00C31389" w:rsidRDefault="00561FBD" w14:paraId="05826CD3" w14:textId="77777777">
            <w:pPr>
              <w:pStyle w:val="TableParagraph"/>
              <w:spacing w:before="53"/>
              <w:ind w:left="284" w:right="256"/>
              <w:jc w:val="center"/>
              <w:rPr>
                <w:sz w:val="20"/>
              </w:rPr>
            </w:pPr>
            <w:r>
              <w:rPr>
                <w:spacing w:val="-2"/>
                <w:sz w:val="20"/>
              </w:rPr>
              <w:t>84.1%</w:t>
            </w:r>
          </w:p>
        </w:tc>
      </w:tr>
      <w:tr w:rsidR="00C31389" w14:paraId="6CB34622" w14:textId="77777777">
        <w:trPr>
          <w:trHeight w:val="335"/>
        </w:trPr>
        <w:tc>
          <w:tcPr>
            <w:tcW w:w="1238" w:type="dxa"/>
            <w:tcBorders>
              <w:top w:val="single" w:color="D9D9D9" w:sz="2" w:space="0"/>
              <w:bottom w:val="single" w:color="D9D9D9" w:sz="2" w:space="0"/>
            </w:tcBorders>
          </w:tcPr>
          <w:p w:rsidR="00C31389" w:rsidRDefault="00561FBD" w14:paraId="40660F0E" w14:textId="77777777">
            <w:pPr>
              <w:pStyle w:val="TableParagraph"/>
              <w:spacing w:before="53"/>
              <w:ind w:left="122"/>
              <w:rPr>
                <w:sz w:val="20"/>
              </w:rPr>
            </w:pPr>
            <w:r>
              <w:rPr>
                <w:spacing w:val="-5"/>
                <w:sz w:val="20"/>
              </w:rPr>
              <w:t>SCE</w:t>
            </w:r>
          </w:p>
        </w:tc>
        <w:tc>
          <w:tcPr>
            <w:tcW w:w="1739" w:type="dxa"/>
            <w:tcBorders>
              <w:top w:val="single" w:color="D9D9D9" w:sz="2" w:space="0"/>
              <w:bottom w:val="single" w:color="D9D9D9" w:sz="2" w:space="0"/>
            </w:tcBorders>
          </w:tcPr>
          <w:p w:rsidR="00C31389" w:rsidRDefault="00561FBD" w14:paraId="265C6CD2" w14:textId="77777777">
            <w:pPr>
              <w:pStyle w:val="TableParagraph"/>
              <w:spacing w:before="53"/>
              <w:ind w:left="405" w:right="247"/>
              <w:jc w:val="center"/>
              <w:rPr>
                <w:sz w:val="20"/>
              </w:rPr>
            </w:pPr>
            <w:r>
              <w:rPr>
                <w:spacing w:val="-2"/>
                <w:sz w:val="20"/>
              </w:rPr>
              <w:t>81.7%</w:t>
            </w:r>
          </w:p>
        </w:tc>
        <w:tc>
          <w:tcPr>
            <w:tcW w:w="1688" w:type="dxa"/>
            <w:tcBorders>
              <w:top w:val="single" w:color="D9D9D9" w:sz="2" w:space="0"/>
              <w:bottom w:val="single" w:color="D9D9D9" w:sz="2" w:space="0"/>
            </w:tcBorders>
          </w:tcPr>
          <w:p w:rsidR="00C31389" w:rsidRDefault="00561FBD" w14:paraId="42C77ADF" w14:textId="77777777">
            <w:pPr>
              <w:pStyle w:val="TableParagraph"/>
              <w:spacing w:before="53"/>
              <w:ind w:left="244" w:right="274"/>
              <w:jc w:val="center"/>
              <w:rPr>
                <w:sz w:val="20"/>
              </w:rPr>
            </w:pPr>
            <w:r>
              <w:rPr>
                <w:spacing w:val="-2"/>
                <w:sz w:val="20"/>
              </w:rPr>
              <w:t>83.2%</w:t>
            </w:r>
          </w:p>
        </w:tc>
        <w:tc>
          <w:tcPr>
            <w:tcW w:w="1481" w:type="dxa"/>
            <w:tcBorders>
              <w:top w:val="single" w:color="D9D9D9" w:sz="2" w:space="0"/>
              <w:bottom w:val="single" w:color="D9D9D9" w:sz="2" w:space="0"/>
            </w:tcBorders>
          </w:tcPr>
          <w:p w:rsidR="00C31389" w:rsidRDefault="00561FBD" w14:paraId="79C19AE5" w14:textId="77777777">
            <w:pPr>
              <w:pStyle w:val="TableParagraph"/>
              <w:spacing w:before="53"/>
              <w:ind w:left="275" w:right="283"/>
              <w:jc w:val="center"/>
              <w:rPr>
                <w:sz w:val="20"/>
              </w:rPr>
            </w:pPr>
            <w:r>
              <w:rPr>
                <w:spacing w:val="-2"/>
                <w:sz w:val="20"/>
              </w:rPr>
              <w:t>71.4%</w:t>
            </w:r>
          </w:p>
        </w:tc>
        <w:tc>
          <w:tcPr>
            <w:tcW w:w="1626" w:type="dxa"/>
            <w:tcBorders>
              <w:top w:val="single" w:color="D9D9D9" w:sz="2" w:space="0"/>
              <w:bottom w:val="single" w:color="D9D9D9" w:sz="2" w:space="0"/>
            </w:tcBorders>
          </w:tcPr>
          <w:p w:rsidR="00C31389" w:rsidRDefault="00561FBD" w14:paraId="136033E3" w14:textId="77777777">
            <w:pPr>
              <w:pStyle w:val="TableParagraph"/>
              <w:spacing w:before="53"/>
              <w:ind w:left="284" w:right="256"/>
              <w:jc w:val="center"/>
              <w:rPr>
                <w:sz w:val="20"/>
              </w:rPr>
            </w:pPr>
            <w:r>
              <w:rPr>
                <w:spacing w:val="-2"/>
                <w:sz w:val="20"/>
              </w:rPr>
              <w:t>57.1%</w:t>
            </w:r>
          </w:p>
        </w:tc>
      </w:tr>
      <w:tr w:rsidR="00C31389" w14:paraId="60B6BB58" w14:textId="77777777">
        <w:trPr>
          <w:trHeight w:val="351"/>
        </w:trPr>
        <w:tc>
          <w:tcPr>
            <w:tcW w:w="1238" w:type="dxa"/>
            <w:tcBorders>
              <w:top w:val="single" w:color="D9D9D9" w:sz="2" w:space="0"/>
              <w:bottom w:val="single" w:color="000000" w:sz="8" w:space="0"/>
            </w:tcBorders>
          </w:tcPr>
          <w:p w:rsidR="00C31389" w:rsidRDefault="00561FBD" w14:paraId="349668CF" w14:textId="77777777">
            <w:pPr>
              <w:pStyle w:val="TableParagraph"/>
              <w:spacing w:before="60"/>
              <w:ind w:left="122"/>
              <w:rPr>
                <w:sz w:val="20"/>
              </w:rPr>
            </w:pPr>
            <w:r>
              <w:rPr>
                <w:spacing w:val="-2"/>
                <w:sz w:val="20"/>
              </w:rPr>
              <w:t>SDG&amp;E</w:t>
            </w:r>
          </w:p>
        </w:tc>
        <w:tc>
          <w:tcPr>
            <w:tcW w:w="1739" w:type="dxa"/>
            <w:tcBorders>
              <w:top w:val="single" w:color="D9D9D9" w:sz="2" w:space="0"/>
              <w:bottom w:val="single" w:color="000000" w:sz="8" w:space="0"/>
            </w:tcBorders>
          </w:tcPr>
          <w:p w:rsidR="00C31389" w:rsidRDefault="00561FBD" w14:paraId="093F9AC1" w14:textId="77777777">
            <w:pPr>
              <w:pStyle w:val="TableParagraph"/>
              <w:spacing w:before="60"/>
              <w:ind w:left="405" w:right="247"/>
              <w:jc w:val="center"/>
              <w:rPr>
                <w:sz w:val="20"/>
              </w:rPr>
            </w:pPr>
            <w:r>
              <w:rPr>
                <w:spacing w:val="-2"/>
                <w:sz w:val="20"/>
              </w:rPr>
              <w:t>73.7%</w:t>
            </w:r>
          </w:p>
        </w:tc>
        <w:tc>
          <w:tcPr>
            <w:tcW w:w="1688" w:type="dxa"/>
            <w:tcBorders>
              <w:top w:val="single" w:color="D9D9D9" w:sz="2" w:space="0"/>
              <w:bottom w:val="single" w:color="000000" w:sz="8" w:space="0"/>
            </w:tcBorders>
          </w:tcPr>
          <w:p w:rsidR="00C31389" w:rsidRDefault="00561FBD" w14:paraId="68209183" w14:textId="77777777">
            <w:pPr>
              <w:pStyle w:val="TableParagraph"/>
              <w:spacing w:before="60"/>
              <w:ind w:left="244" w:right="274"/>
              <w:jc w:val="center"/>
              <w:rPr>
                <w:sz w:val="20"/>
              </w:rPr>
            </w:pPr>
            <w:r>
              <w:rPr>
                <w:spacing w:val="-2"/>
                <w:sz w:val="20"/>
              </w:rPr>
              <w:t>87.5%</w:t>
            </w:r>
          </w:p>
        </w:tc>
        <w:tc>
          <w:tcPr>
            <w:tcW w:w="1481" w:type="dxa"/>
            <w:tcBorders>
              <w:top w:val="single" w:color="D9D9D9" w:sz="2" w:space="0"/>
              <w:bottom w:val="single" w:color="000000" w:sz="8" w:space="0"/>
            </w:tcBorders>
          </w:tcPr>
          <w:p w:rsidR="00C31389" w:rsidRDefault="00561FBD" w14:paraId="447B3FA8" w14:textId="77777777">
            <w:pPr>
              <w:pStyle w:val="TableParagraph"/>
              <w:spacing w:before="60"/>
              <w:ind w:left="275" w:right="283"/>
              <w:jc w:val="center"/>
              <w:rPr>
                <w:sz w:val="20"/>
              </w:rPr>
            </w:pPr>
            <w:r>
              <w:rPr>
                <w:spacing w:val="-2"/>
                <w:sz w:val="20"/>
              </w:rPr>
              <w:t>89.3%</w:t>
            </w:r>
          </w:p>
        </w:tc>
        <w:tc>
          <w:tcPr>
            <w:tcW w:w="1626" w:type="dxa"/>
            <w:tcBorders>
              <w:top w:val="single" w:color="D9D9D9" w:sz="2" w:space="0"/>
              <w:bottom w:val="single" w:color="000000" w:sz="8" w:space="0"/>
            </w:tcBorders>
          </w:tcPr>
          <w:p w:rsidR="00C31389" w:rsidRDefault="00561FBD" w14:paraId="4745ED8B" w14:textId="77777777">
            <w:pPr>
              <w:pStyle w:val="TableParagraph"/>
              <w:spacing w:before="60"/>
              <w:ind w:left="284" w:right="256"/>
              <w:jc w:val="center"/>
              <w:rPr>
                <w:sz w:val="20"/>
              </w:rPr>
            </w:pPr>
            <w:r>
              <w:rPr>
                <w:spacing w:val="-2"/>
                <w:sz w:val="20"/>
              </w:rPr>
              <w:t>92.8%</w:t>
            </w:r>
          </w:p>
        </w:tc>
      </w:tr>
    </w:tbl>
    <w:p w:rsidR="00C31389" w:rsidRDefault="00561FBD" w14:paraId="5D3E149B" w14:textId="77777777">
      <w:pPr>
        <w:spacing w:before="71"/>
        <w:ind w:left="480"/>
        <w:rPr>
          <w:i/>
          <w:sz w:val="18"/>
        </w:rPr>
      </w:pPr>
      <w:r>
        <w:rPr>
          <w:i/>
          <w:sz w:val="18"/>
        </w:rPr>
        <w:t>Source:</w:t>
      </w:r>
      <w:r>
        <w:rPr>
          <w:i/>
          <w:spacing w:val="-4"/>
          <w:sz w:val="18"/>
        </w:rPr>
        <w:t xml:space="preserve"> </w:t>
      </w:r>
      <w:r>
        <w:rPr>
          <w:i/>
          <w:sz w:val="18"/>
        </w:rPr>
        <w:t>ECDMS,</w:t>
      </w:r>
      <w:r>
        <w:rPr>
          <w:i/>
          <w:spacing w:val="-3"/>
          <w:sz w:val="18"/>
        </w:rPr>
        <w:t xml:space="preserve"> </w:t>
      </w:r>
      <w:r>
        <w:rPr>
          <w:i/>
          <w:spacing w:val="-4"/>
          <w:sz w:val="18"/>
        </w:rPr>
        <w:t>2021</w:t>
      </w:r>
    </w:p>
    <w:p w:rsidR="00C31389" w:rsidRDefault="00C31389" w14:paraId="31A95EE4" w14:textId="77777777">
      <w:pPr>
        <w:pStyle w:val="BodyText"/>
        <w:spacing w:before="9"/>
        <w:rPr>
          <w:i/>
          <w:sz w:val="20"/>
        </w:rPr>
      </w:pPr>
    </w:p>
    <w:p w:rsidR="00C31389" w:rsidRDefault="00561FBD" w14:paraId="49AA2FD6" w14:textId="77777777">
      <w:pPr>
        <w:pStyle w:val="BodyText"/>
        <w:ind w:left="480" w:right="565"/>
      </w:pPr>
      <w:r>
        <w:t>Most</w:t>
      </w:r>
      <w:r>
        <w:rPr>
          <w:spacing w:val="-3"/>
        </w:rPr>
        <w:t xml:space="preserve"> </w:t>
      </w:r>
      <w:r>
        <w:t>publicly</w:t>
      </w:r>
      <w:r>
        <w:rPr>
          <w:spacing w:val="-3"/>
        </w:rPr>
        <w:t xml:space="preserve"> </w:t>
      </w:r>
      <w:r>
        <w:t>owned</w:t>
      </w:r>
      <w:r>
        <w:rPr>
          <w:spacing w:val="-3"/>
        </w:rPr>
        <w:t xml:space="preserve"> </w:t>
      </w:r>
      <w:r>
        <w:t>utilities</w:t>
      </w:r>
      <w:r>
        <w:rPr>
          <w:spacing w:val="-2"/>
        </w:rPr>
        <w:t xml:space="preserve"> </w:t>
      </w:r>
      <w:r>
        <w:t>in</w:t>
      </w:r>
      <w:r>
        <w:rPr>
          <w:spacing w:val="-3"/>
        </w:rPr>
        <w:t xml:space="preserve"> </w:t>
      </w:r>
      <w:r>
        <w:t>California</w:t>
      </w:r>
      <w:r>
        <w:rPr>
          <w:spacing w:val="-3"/>
        </w:rPr>
        <w:t xml:space="preserve"> </w:t>
      </w:r>
      <w:r>
        <w:t>do</w:t>
      </w:r>
      <w:r>
        <w:rPr>
          <w:spacing w:val="-3"/>
        </w:rPr>
        <w:t xml:space="preserve"> </w:t>
      </w:r>
      <w:r>
        <w:t>not</w:t>
      </w:r>
      <w:r>
        <w:rPr>
          <w:spacing w:val="-3"/>
        </w:rPr>
        <w:t xml:space="preserve"> </w:t>
      </w:r>
      <w:r>
        <w:t>offer</w:t>
      </w:r>
      <w:r>
        <w:rPr>
          <w:spacing w:val="-3"/>
        </w:rPr>
        <w:t xml:space="preserve"> </w:t>
      </w:r>
      <w:r>
        <w:t>gas</w:t>
      </w:r>
      <w:r>
        <w:rPr>
          <w:spacing w:val="-3"/>
        </w:rPr>
        <w:t xml:space="preserve"> </w:t>
      </w:r>
      <w:r>
        <w:t>service</w:t>
      </w:r>
      <w:r>
        <w:rPr>
          <w:spacing w:val="-3"/>
        </w:rPr>
        <w:t xml:space="preserve"> </w:t>
      </w:r>
      <w:r>
        <w:t>(only</w:t>
      </w:r>
      <w:r>
        <w:rPr>
          <w:spacing w:val="-3"/>
        </w:rPr>
        <w:t xml:space="preserve"> </w:t>
      </w:r>
      <w:r>
        <w:t>the</w:t>
      </w:r>
      <w:r>
        <w:rPr>
          <w:spacing w:val="-4"/>
        </w:rPr>
        <w:t xml:space="preserve"> </w:t>
      </w:r>
      <w:r>
        <w:t>City</w:t>
      </w:r>
      <w:r>
        <w:rPr>
          <w:spacing w:val="-3"/>
        </w:rPr>
        <w:t xml:space="preserve"> </w:t>
      </w:r>
      <w:r>
        <w:t>of</w:t>
      </w:r>
      <w:r>
        <w:rPr>
          <w:spacing w:val="-3"/>
        </w:rPr>
        <w:t xml:space="preserve"> </w:t>
      </w:r>
      <w:r>
        <w:t>Palo</w:t>
      </w:r>
      <w:r>
        <w:rPr>
          <w:spacing w:val="-4"/>
        </w:rPr>
        <w:t xml:space="preserve"> </w:t>
      </w:r>
      <w:r>
        <w:t>Alto</w:t>
      </w:r>
      <w:r>
        <w:rPr>
          <w:spacing w:val="-3"/>
        </w:rPr>
        <w:t xml:space="preserve"> </w:t>
      </w:r>
      <w:r>
        <w:t>and Island Energy offer natural gas service). The CEC estimates that California IOUs sell approximately 99% of the state’s natural gas. To obtain service territory consumption values, the Guidehouse team used 2</w:t>
      </w:r>
      <w:r>
        <w:t xml:space="preserve">021 data from the CEC’s Energy Consumption Database (ECDMS), shown in </w:t>
      </w:r>
      <w:hyperlink w:history="1" w:anchor="_bookmark101">
        <w:r>
          <w:t>Table 3-3</w:t>
        </w:r>
      </w:hyperlink>
      <w:r>
        <w:t>.</w:t>
      </w:r>
      <w:r>
        <w:rPr>
          <w:spacing w:val="-39"/>
        </w:rPr>
        <w:t xml:space="preserve"> </w:t>
      </w:r>
      <w:hyperlink w:history="1" w:anchor="_bookmark103">
        <w:r>
          <w:rPr>
            <w:position w:val="7"/>
            <w:sz w:val="14"/>
          </w:rPr>
          <w:t>30</w:t>
        </w:r>
      </w:hyperlink>
      <w:r>
        <w:rPr>
          <w:spacing w:val="29"/>
          <w:position w:val="7"/>
          <w:sz w:val="14"/>
        </w:rPr>
        <w:t xml:space="preserve"> </w:t>
      </w:r>
      <w:r>
        <w:t>The CEC planning area for San Diego directly maps to the SDG&amp;E service territory, so the team</w:t>
      </w:r>
      <w:r>
        <w:rPr>
          <w:spacing w:val="-1"/>
        </w:rPr>
        <w:t xml:space="preserve"> </w:t>
      </w:r>
      <w:r>
        <w:t>did not need to calculate an adjustment ratio for SDG&amp;E.</w:t>
      </w:r>
    </w:p>
    <w:p w:rsidR="00C31389" w:rsidRDefault="00C31389" w14:paraId="20FA0ADF" w14:textId="77777777">
      <w:pPr>
        <w:pStyle w:val="BodyText"/>
        <w:spacing w:before="10"/>
        <w:rPr>
          <w:sz w:val="20"/>
        </w:rPr>
      </w:pPr>
    </w:p>
    <w:p w:rsidR="00C31389" w:rsidRDefault="00561FBD" w14:paraId="337FD698" w14:textId="77777777">
      <w:pPr>
        <w:pStyle w:val="Heading7"/>
        <w:ind w:left="566" w:right="566"/>
        <w:jc w:val="center"/>
      </w:pPr>
      <w:bookmarkStart w:name="_bookmark101" w:id="135"/>
      <w:bookmarkEnd w:id="135"/>
      <w:r>
        <w:t>Table</w:t>
      </w:r>
      <w:r>
        <w:rPr>
          <w:spacing w:val="-8"/>
        </w:rPr>
        <w:t xml:space="preserve"> </w:t>
      </w:r>
      <w:r>
        <w:t>3-3.</w:t>
      </w:r>
      <w:r>
        <w:rPr>
          <w:spacing w:val="-8"/>
        </w:rPr>
        <w:t xml:space="preserve"> </w:t>
      </w:r>
      <w:r>
        <w:t>Gas</w:t>
      </w:r>
      <w:r>
        <w:rPr>
          <w:spacing w:val="-7"/>
        </w:rPr>
        <w:t xml:space="preserve"> </w:t>
      </w:r>
      <w:r>
        <w:t>Service</w:t>
      </w:r>
      <w:r>
        <w:rPr>
          <w:spacing w:val="-8"/>
        </w:rPr>
        <w:t xml:space="preserve"> </w:t>
      </w:r>
      <w:r>
        <w:t>Territory</w:t>
      </w:r>
      <w:r>
        <w:rPr>
          <w:spacing w:val="-7"/>
        </w:rPr>
        <w:t xml:space="preserve"> </w:t>
      </w:r>
      <w:r>
        <w:t>to</w:t>
      </w:r>
      <w:r>
        <w:rPr>
          <w:spacing w:val="-7"/>
        </w:rPr>
        <w:t xml:space="preserve"> </w:t>
      </w:r>
      <w:r>
        <w:t>Planning</w:t>
      </w:r>
      <w:r>
        <w:rPr>
          <w:spacing w:val="-8"/>
        </w:rPr>
        <w:t xml:space="preserve"> </w:t>
      </w:r>
      <w:r>
        <w:t>Area</w:t>
      </w:r>
      <w:r>
        <w:rPr>
          <w:spacing w:val="-7"/>
        </w:rPr>
        <w:t xml:space="preserve"> </w:t>
      </w:r>
      <w:r>
        <w:t>Adjustment</w:t>
      </w:r>
      <w:r>
        <w:rPr>
          <w:spacing w:val="-7"/>
        </w:rPr>
        <w:t xml:space="preserve"> </w:t>
      </w:r>
      <w:r>
        <w:rPr>
          <w:spacing w:val="-2"/>
        </w:rPr>
        <w:t>Ratios</w:t>
      </w:r>
    </w:p>
    <w:p w:rsidR="00C31389" w:rsidRDefault="00C31389" w14:paraId="4A5846EE" w14:textId="77777777">
      <w:pPr>
        <w:pStyle w:val="BodyText"/>
        <w:spacing w:before="7"/>
        <w:rPr>
          <w:b/>
          <w:sz w:val="9"/>
        </w:rPr>
      </w:pPr>
    </w:p>
    <w:tbl>
      <w:tblPr>
        <w:tblW w:w="0" w:type="auto"/>
        <w:tblInd w:w="1843" w:type="dxa"/>
        <w:tblLayout w:type="fixed"/>
        <w:tblCellMar>
          <w:left w:w="0" w:type="dxa"/>
          <w:right w:w="0" w:type="dxa"/>
        </w:tblCellMar>
        <w:tblLook w:val="01E0" w:firstRow="1" w:lastRow="1" w:firstColumn="1" w:lastColumn="1" w:noHBand="0" w:noVBand="0"/>
      </w:tblPr>
      <w:tblGrid>
        <w:gridCol w:w="1080"/>
        <w:gridCol w:w="1474"/>
        <w:gridCol w:w="1465"/>
        <w:gridCol w:w="1239"/>
        <w:gridCol w:w="1384"/>
      </w:tblGrid>
      <w:tr w:rsidR="00C31389" w14:paraId="1EEEA2C2" w14:textId="77777777">
        <w:trPr>
          <w:trHeight w:val="320"/>
        </w:trPr>
        <w:tc>
          <w:tcPr>
            <w:tcW w:w="1080" w:type="dxa"/>
            <w:shd w:val="clear" w:color="auto" w:fill="92D400"/>
          </w:tcPr>
          <w:p w:rsidR="00C31389" w:rsidRDefault="00561FBD" w14:paraId="37A5FDC4" w14:textId="77777777">
            <w:pPr>
              <w:pStyle w:val="TableParagraph"/>
              <w:ind w:left="122"/>
              <w:rPr>
                <w:b/>
                <w:sz w:val="20"/>
              </w:rPr>
            </w:pPr>
            <w:r>
              <w:rPr>
                <w:b/>
                <w:spacing w:val="-5"/>
                <w:sz w:val="20"/>
              </w:rPr>
              <w:t>IOU</w:t>
            </w:r>
          </w:p>
        </w:tc>
        <w:tc>
          <w:tcPr>
            <w:tcW w:w="1474" w:type="dxa"/>
            <w:shd w:val="clear" w:color="auto" w:fill="92D400"/>
          </w:tcPr>
          <w:p w:rsidR="00C31389" w:rsidRDefault="00561FBD" w14:paraId="760511DB" w14:textId="77777777">
            <w:pPr>
              <w:pStyle w:val="TableParagraph"/>
              <w:ind w:left="248" w:right="141"/>
              <w:jc w:val="center"/>
              <w:rPr>
                <w:b/>
                <w:sz w:val="20"/>
              </w:rPr>
            </w:pPr>
            <w:r>
              <w:rPr>
                <w:b/>
                <w:spacing w:val="-2"/>
                <w:sz w:val="20"/>
              </w:rPr>
              <w:t>Residential</w:t>
            </w:r>
          </w:p>
        </w:tc>
        <w:tc>
          <w:tcPr>
            <w:tcW w:w="1465" w:type="dxa"/>
            <w:shd w:val="clear" w:color="auto" w:fill="92D400"/>
          </w:tcPr>
          <w:p w:rsidR="00C31389" w:rsidRDefault="00561FBD" w14:paraId="3B8AED9A" w14:textId="77777777">
            <w:pPr>
              <w:pStyle w:val="TableParagraph"/>
              <w:ind w:left="141" w:right="159"/>
              <w:jc w:val="center"/>
              <w:rPr>
                <w:b/>
                <w:sz w:val="20"/>
              </w:rPr>
            </w:pPr>
            <w:r>
              <w:rPr>
                <w:b/>
                <w:spacing w:val="-2"/>
                <w:sz w:val="20"/>
              </w:rPr>
              <w:t>Commercial</w:t>
            </w:r>
          </w:p>
        </w:tc>
        <w:tc>
          <w:tcPr>
            <w:tcW w:w="1239" w:type="dxa"/>
            <w:shd w:val="clear" w:color="auto" w:fill="92D400"/>
          </w:tcPr>
          <w:p w:rsidR="00C31389" w:rsidRDefault="00561FBD" w14:paraId="5BCA0E47" w14:textId="77777777">
            <w:pPr>
              <w:pStyle w:val="TableParagraph"/>
              <w:ind w:left="159" w:right="159"/>
              <w:jc w:val="center"/>
              <w:rPr>
                <w:b/>
                <w:sz w:val="20"/>
              </w:rPr>
            </w:pPr>
            <w:r>
              <w:rPr>
                <w:b/>
                <w:spacing w:val="-2"/>
                <w:sz w:val="20"/>
              </w:rPr>
              <w:t>Industrial</w:t>
            </w:r>
          </w:p>
        </w:tc>
        <w:tc>
          <w:tcPr>
            <w:tcW w:w="1384" w:type="dxa"/>
            <w:shd w:val="clear" w:color="auto" w:fill="92D400"/>
          </w:tcPr>
          <w:p w:rsidR="00C31389" w:rsidRDefault="00561FBD" w14:paraId="719291C2" w14:textId="77777777">
            <w:pPr>
              <w:pStyle w:val="TableParagraph"/>
              <w:ind w:left="159" w:right="140"/>
              <w:jc w:val="center"/>
              <w:rPr>
                <w:b/>
                <w:sz w:val="20"/>
              </w:rPr>
            </w:pPr>
            <w:r>
              <w:rPr>
                <w:b/>
                <w:spacing w:val="-2"/>
                <w:sz w:val="20"/>
              </w:rPr>
              <w:t>Agriculture</w:t>
            </w:r>
          </w:p>
        </w:tc>
      </w:tr>
      <w:tr w:rsidR="00C31389" w14:paraId="1D63A787" w14:textId="77777777">
        <w:trPr>
          <w:trHeight w:val="309"/>
        </w:trPr>
        <w:tc>
          <w:tcPr>
            <w:tcW w:w="1080" w:type="dxa"/>
            <w:tcBorders>
              <w:bottom w:val="single" w:color="D9D9D9" w:sz="2" w:space="0"/>
            </w:tcBorders>
          </w:tcPr>
          <w:p w:rsidR="00C31389" w:rsidRDefault="00561FBD" w14:paraId="43E6B9E1" w14:textId="77777777">
            <w:pPr>
              <w:pStyle w:val="TableParagraph"/>
              <w:ind w:left="122"/>
              <w:rPr>
                <w:sz w:val="20"/>
              </w:rPr>
            </w:pPr>
            <w:r>
              <w:rPr>
                <w:spacing w:val="-4"/>
                <w:sz w:val="20"/>
              </w:rPr>
              <w:t>PG&amp;E</w:t>
            </w:r>
          </w:p>
        </w:tc>
        <w:tc>
          <w:tcPr>
            <w:tcW w:w="1474" w:type="dxa"/>
            <w:tcBorders>
              <w:bottom w:val="single" w:color="D9D9D9" w:sz="2" w:space="0"/>
            </w:tcBorders>
          </w:tcPr>
          <w:p w:rsidR="00C31389" w:rsidRDefault="00561FBD" w14:paraId="0575B892" w14:textId="77777777">
            <w:pPr>
              <w:pStyle w:val="TableParagraph"/>
              <w:ind w:left="246" w:right="141"/>
              <w:jc w:val="center"/>
              <w:rPr>
                <w:sz w:val="20"/>
              </w:rPr>
            </w:pPr>
            <w:r>
              <w:rPr>
                <w:spacing w:val="-2"/>
                <w:sz w:val="20"/>
              </w:rPr>
              <w:t>99.5%</w:t>
            </w:r>
          </w:p>
        </w:tc>
        <w:tc>
          <w:tcPr>
            <w:tcW w:w="1465" w:type="dxa"/>
            <w:tcBorders>
              <w:bottom w:val="single" w:color="D9D9D9" w:sz="2" w:space="0"/>
            </w:tcBorders>
          </w:tcPr>
          <w:p w:rsidR="00C31389" w:rsidRDefault="00561FBD" w14:paraId="103665A0" w14:textId="77777777">
            <w:pPr>
              <w:pStyle w:val="TableParagraph"/>
              <w:ind w:left="138" w:right="159"/>
              <w:jc w:val="center"/>
              <w:rPr>
                <w:sz w:val="20"/>
              </w:rPr>
            </w:pPr>
            <w:r>
              <w:rPr>
                <w:spacing w:val="-2"/>
                <w:sz w:val="20"/>
              </w:rPr>
              <w:t>98.4%</w:t>
            </w:r>
          </w:p>
        </w:tc>
        <w:tc>
          <w:tcPr>
            <w:tcW w:w="1239" w:type="dxa"/>
            <w:tcBorders>
              <w:bottom w:val="single" w:color="D9D9D9" w:sz="2" w:space="0"/>
            </w:tcBorders>
          </w:tcPr>
          <w:p w:rsidR="00C31389" w:rsidRDefault="00561FBD" w14:paraId="11E56187" w14:textId="77777777">
            <w:pPr>
              <w:pStyle w:val="TableParagraph"/>
              <w:ind w:left="159" w:right="159"/>
              <w:jc w:val="center"/>
              <w:rPr>
                <w:sz w:val="20"/>
              </w:rPr>
            </w:pPr>
            <w:r>
              <w:rPr>
                <w:spacing w:val="-2"/>
                <w:sz w:val="20"/>
              </w:rPr>
              <w:t>99.9%</w:t>
            </w:r>
          </w:p>
        </w:tc>
        <w:tc>
          <w:tcPr>
            <w:tcW w:w="1384" w:type="dxa"/>
            <w:tcBorders>
              <w:bottom w:val="single" w:color="D9D9D9" w:sz="2" w:space="0"/>
            </w:tcBorders>
          </w:tcPr>
          <w:p w:rsidR="00C31389" w:rsidRDefault="00561FBD" w14:paraId="27DB2693" w14:textId="77777777">
            <w:pPr>
              <w:pStyle w:val="TableParagraph"/>
              <w:ind w:left="158" w:right="140"/>
              <w:jc w:val="center"/>
              <w:rPr>
                <w:sz w:val="20"/>
              </w:rPr>
            </w:pPr>
            <w:r>
              <w:rPr>
                <w:spacing w:val="-2"/>
                <w:sz w:val="20"/>
              </w:rPr>
              <w:t>100.0%</w:t>
            </w:r>
          </w:p>
        </w:tc>
      </w:tr>
      <w:tr w:rsidR="00C31389" w14:paraId="76CE3563" w14:textId="77777777">
        <w:trPr>
          <w:trHeight w:val="310"/>
        </w:trPr>
        <w:tc>
          <w:tcPr>
            <w:tcW w:w="1080" w:type="dxa"/>
            <w:tcBorders>
              <w:top w:val="single" w:color="D9D9D9" w:sz="2" w:space="0"/>
              <w:bottom w:val="single" w:color="D9D9D9" w:sz="2" w:space="0"/>
            </w:tcBorders>
          </w:tcPr>
          <w:p w:rsidR="00C31389" w:rsidRDefault="00561FBD" w14:paraId="131E9C85" w14:textId="77777777">
            <w:pPr>
              <w:pStyle w:val="TableParagraph"/>
              <w:ind w:left="122"/>
              <w:rPr>
                <w:sz w:val="20"/>
              </w:rPr>
            </w:pPr>
            <w:r>
              <w:rPr>
                <w:spacing w:val="-5"/>
                <w:sz w:val="20"/>
              </w:rPr>
              <w:t>SCG</w:t>
            </w:r>
          </w:p>
        </w:tc>
        <w:tc>
          <w:tcPr>
            <w:tcW w:w="1474" w:type="dxa"/>
            <w:tcBorders>
              <w:top w:val="single" w:color="D9D9D9" w:sz="2" w:space="0"/>
              <w:bottom w:val="single" w:color="D9D9D9" w:sz="2" w:space="0"/>
            </w:tcBorders>
          </w:tcPr>
          <w:p w:rsidR="00C31389" w:rsidRDefault="00561FBD" w14:paraId="18674FD1" w14:textId="77777777">
            <w:pPr>
              <w:pStyle w:val="TableParagraph"/>
              <w:ind w:left="247" w:right="141"/>
              <w:jc w:val="center"/>
              <w:rPr>
                <w:sz w:val="20"/>
              </w:rPr>
            </w:pPr>
            <w:r>
              <w:rPr>
                <w:spacing w:val="-2"/>
                <w:sz w:val="20"/>
              </w:rPr>
              <w:t>97.9%</w:t>
            </w:r>
          </w:p>
        </w:tc>
        <w:tc>
          <w:tcPr>
            <w:tcW w:w="1465" w:type="dxa"/>
            <w:tcBorders>
              <w:top w:val="single" w:color="D9D9D9" w:sz="2" w:space="0"/>
              <w:bottom w:val="single" w:color="D9D9D9" w:sz="2" w:space="0"/>
            </w:tcBorders>
          </w:tcPr>
          <w:p w:rsidR="00C31389" w:rsidRDefault="00561FBD" w14:paraId="4E6DD2ED" w14:textId="77777777">
            <w:pPr>
              <w:pStyle w:val="TableParagraph"/>
              <w:ind w:left="139" w:right="159"/>
              <w:jc w:val="center"/>
              <w:rPr>
                <w:sz w:val="20"/>
              </w:rPr>
            </w:pPr>
            <w:r>
              <w:rPr>
                <w:spacing w:val="-2"/>
                <w:sz w:val="20"/>
              </w:rPr>
              <w:t>96.7%</w:t>
            </w:r>
          </w:p>
        </w:tc>
        <w:tc>
          <w:tcPr>
            <w:tcW w:w="1239" w:type="dxa"/>
            <w:tcBorders>
              <w:top w:val="single" w:color="D9D9D9" w:sz="2" w:space="0"/>
              <w:bottom w:val="single" w:color="D9D9D9" w:sz="2" w:space="0"/>
            </w:tcBorders>
          </w:tcPr>
          <w:p w:rsidR="00C31389" w:rsidRDefault="00561FBD" w14:paraId="6641AB4E" w14:textId="77777777">
            <w:pPr>
              <w:pStyle w:val="TableParagraph"/>
              <w:ind w:left="159" w:right="159"/>
              <w:jc w:val="center"/>
              <w:rPr>
                <w:sz w:val="20"/>
              </w:rPr>
            </w:pPr>
            <w:r>
              <w:rPr>
                <w:spacing w:val="-2"/>
                <w:sz w:val="20"/>
              </w:rPr>
              <w:t>97.5%</w:t>
            </w:r>
          </w:p>
        </w:tc>
        <w:tc>
          <w:tcPr>
            <w:tcW w:w="1384" w:type="dxa"/>
            <w:tcBorders>
              <w:top w:val="single" w:color="D9D9D9" w:sz="2" w:space="0"/>
              <w:bottom w:val="single" w:color="D9D9D9" w:sz="2" w:space="0"/>
            </w:tcBorders>
          </w:tcPr>
          <w:p w:rsidR="00C31389" w:rsidRDefault="00561FBD" w14:paraId="0055CE0B" w14:textId="77777777">
            <w:pPr>
              <w:pStyle w:val="TableParagraph"/>
              <w:ind w:left="158" w:right="140"/>
              <w:jc w:val="center"/>
              <w:rPr>
                <w:sz w:val="20"/>
              </w:rPr>
            </w:pPr>
            <w:r>
              <w:rPr>
                <w:spacing w:val="-2"/>
                <w:sz w:val="20"/>
              </w:rPr>
              <w:t>97.9%</w:t>
            </w:r>
          </w:p>
        </w:tc>
      </w:tr>
      <w:tr w:rsidR="00C31389" w14:paraId="5D0EA57B" w14:textId="77777777">
        <w:trPr>
          <w:trHeight w:val="310"/>
        </w:trPr>
        <w:tc>
          <w:tcPr>
            <w:tcW w:w="1080" w:type="dxa"/>
            <w:tcBorders>
              <w:top w:val="single" w:color="D9D9D9" w:sz="2" w:space="0"/>
              <w:bottom w:val="single" w:color="000000" w:sz="8" w:space="0"/>
            </w:tcBorders>
          </w:tcPr>
          <w:p w:rsidR="00C31389" w:rsidRDefault="00561FBD" w14:paraId="5FE31C69" w14:textId="77777777">
            <w:pPr>
              <w:pStyle w:val="TableParagraph"/>
              <w:ind w:left="122"/>
              <w:rPr>
                <w:sz w:val="20"/>
              </w:rPr>
            </w:pPr>
            <w:r>
              <w:rPr>
                <w:spacing w:val="-2"/>
                <w:sz w:val="20"/>
              </w:rPr>
              <w:t>SDG&amp;E</w:t>
            </w:r>
          </w:p>
        </w:tc>
        <w:tc>
          <w:tcPr>
            <w:tcW w:w="1474" w:type="dxa"/>
            <w:tcBorders>
              <w:top w:val="single" w:color="D9D9D9" w:sz="2" w:space="0"/>
              <w:bottom w:val="single" w:color="000000" w:sz="8" w:space="0"/>
            </w:tcBorders>
          </w:tcPr>
          <w:p w:rsidR="00C31389" w:rsidRDefault="00561FBD" w14:paraId="26C5E3B4" w14:textId="77777777">
            <w:pPr>
              <w:pStyle w:val="TableParagraph"/>
              <w:ind w:left="245" w:right="141"/>
              <w:jc w:val="center"/>
              <w:rPr>
                <w:sz w:val="20"/>
              </w:rPr>
            </w:pPr>
            <w:r>
              <w:rPr>
                <w:spacing w:val="-4"/>
                <w:sz w:val="20"/>
              </w:rPr>
              <w:t>100%</w:t>
            </w:r>
          </w:p>
        </w:tc>
        <w:tc>
          <w:tcPr>
            <w:tcW w:w="1465" w:type="dxa"/>
            <w:tcBorders>
              <w:top w:val="single" w:color="D9D9D9" w:sz="2" w:space="0"/>
              <w:bottom w:val="single" w:color="000000" w:sz="8" w:space="0"/>
            </w:tcBorders>
          </w:tcPr>
          <w:p w:rsidR="00C31389" w:rsidRDefault="00561FBD" w14:paraId="10BD3806" w14:textId="77777777">
            <w:pPr>
              <w:pStyle w:val="TableParagraph"/>
              <w:ind w:left="140" w:right="159"/>
              <w:jc w:val="center"/>
              <w:rPr>
                <w:sz w:val="20"/>
              </w:rPr>
            </w:pPr>
            <w:r>
              <w:rPr>
                <w:spacing w:val="-4"/>
                <w:sz w:val="20"/>
              </w:rPr>
              <w:t>100%</w:t>
            </w:r>
          </w:p>
        </w:tc>
        <w:tc>
          <w:tcPr>
            <w:tcW w:w="1239" w:type="dxa"/>
            <w:tcBorders>
              <w:top w:val="single" w:color="D9D9D9" w:sz="2" w:space="0"/>
              <w:bottom w:val="single" w:color="000000" w:sz="8" w:space="0"/>
            </w:tcBorders>
          </w:tcPr>
          <w:p w:rsidR="00C31389" w:rsidRDefault="00561FBD" w14:paraId="461B0A88" w14:textId="77777777">
            <w:pPr>
              <w:pStyle w:val="TableParagraph"/>
              <w:ind w:left="158" w:right="159"/>
              <w:jc w:val="center"/>
              <w:rPr>
                <w:sz w:val="20"/>
              </w:rPr>
            </w:pPr>
            <w:r>
              <w:rPr>
                <w:spacing w:val="-4"/>
                <w:sz w:val="20"/>
              </w:rPr>
              <w:t>100%</w:t>
            </w:r>
          </w:p>
        </w:tc>
        <w:tc>
          <w:tcPr>
            <w:tcW w:w="1384" w:type="dxa"/>
            <w:tcBorders>
              <w:top w:val="single" w:color="D9D9D9" w:sz="2" w:space="0"/>
              <w:bottom w:val="single" w:color="000000" w:sz="8" w:space="0"/>
            </w:tcBorders>
          </w:tcPr>
          <w:p w:rsidR="00C31389" w:rsidRDefault="00561FBD" w14:paraId="166FE0C5" w14:textId="77777777">
            <w:pPr>
              <w:pStyle w:val="TableParagraph"/>
              <w:ind w:left="159" w:right="139"/>
              <w:jc w:val="center"/>
              <w:rPr>
                <w:sz w:val="20"/>
              </w:rPr>
            </w:pPr>
            <w:r>
              <w:rPr>
                <w:spacing w:val="-4"/>
                <w:sz w:val="20"/>
              </w:rPr>
              <w:t>100%</w:t>
            </w:r>
          </w:p>
        </w:tc>
      </w:tr>
    </w:tbl>
    <w:p w:rsidR="00C31389" w:rsidRDefault="00561FBD" w14:paraId="15EF3734" w14:textId="77777777">
      <w:pPr>
        <w:spacing w:before="71"/>
        <w:ind w:left="480"/>
        <w:rPr>
          <w:i/>
          <w:sz w:val="18"/>
        </w:rPr>
      </w:pPr>
      <w:r>
        <w:rPr>
          <w:i/>
          <w:sz w:val="18"/>
        </w:rPr>
        <w:t>Source:</w:t>
      </w:r>
      <w:r>
        <w:rPr>
          <w:i/>
          <w:spacing w:val="-4"/>
          <w:sz w:val="18"/>
        </w:rPr>
        <w:t xml:space="preserve"> </w:t>
      </w:r>
      <w:r>
        <w:rPr>
          <w:i/>
          <w:sz w:val="18"/>
        </w:rPr>
        <w:t>ECDMS,</w:t>
      </w:r>
      <w:r>
        <w:rPr>
          <w:i/>
          <w:spacing w:val="-3"/>
          <w:sz w:val="18"/>
        </w:rPr>
        <w:t xml:space="preserve"> </w:t>
      </w:r>
      <w:r>
        <w:rPr>
          <w:i/>
          <w:spacing w:val="-4"/>
          <w:sz w:val="18"/>
        </w:rPr>
        <w:t>2021</w:t>
      </w:r>
    </w:p>
    <w:p w:rsidR="00C31389" w:rsidRDefault="00C31389" w14:paraId="15257F5D" w14:textId="77777777">
      <w:pPr>
        <w:pStyle w:val="BodyText"/>
        <w:spacing w:before="9"/>
        <w:rPr>
          <w:i/>
          <w:sz w:val="20"/>
        </w:rPr>
      </w:pPr>
    </w:p>
    <w:p w:rsidR="00C31389" w:rsidRDefault="00561FBD" w14:paraId="5A93D279" w14:textId="77777777">
      <w:pPr>
        <w:pStyle w:val="BodyText"/>
        <w:ind w:left="480" w:right="533"/>
      </w:pPr>
      <w:r>
        <w:t>The</w:t>
      </w:r>
      <w:r>
        <w:rPr>
          <w:spacing w:val="-3"/>
        </w:rPr>
        <w:t xml:space="preserve"> </w:t>
      </w:r>
      <w:r>
        <w:t>Guidehouse</w:t>
      </w:r>
      <w:r>
        <w:rPr>
          <w:spacing w:val="-3"/>
        </w:rPr>
        <w:t xml:space="preserve"> </w:t>
      </w:r>
      <w:r>
        <w:t>team</w:t>
      </w:r>
      <w:r>
        <w:rPr>
          <w:spacing w:val="-4"/>
        </w:rPr>
        <w:t xml:space="preserve"> </w:t>
      </w:r>
      <w:r>
        <w:t>applied</w:t>
      </w:r>
      <w:r>
        <w:rPr>
          <w:spacing w:val="-3"/>
        </w:rPr>
        <w:t xml:space="preserve"> </w:t>
      </w:r>
      <w:r>
        <w:t>these</w:t>
      </w:r>
      <w:r>
        <w:rPr>
          <w:spacing w:val="-4"/>
        </w:rPr>
        <w:t xml:space="preserve"> </w:t>
      </w:r>
      <w:r>
        <w:t>ratios</w:t>
      </w:r>
      <w:r>
        <w:rPr>
          <w:spacing w:val="-2"/>
        </w:rPr>
        <w:t xml:space="preserve"> </w:t>
      </w:r>
      <w:r>
        <w:t>to</w:t>
      </w:r>
      <w:r>
        <w:rPr>
          <w:spacing w:val="-3"/>
        </w:rPr>
        <w:t xml:space="preserve"> </w:t>
      </w:r>
      <w:r>
        <w:t>the</w:t>
      </w:r>
      <w:r>
        <w:rPr>
          <w:spacing w:val="-4"/>
        </w:rPr>
        <w:t xml:space="preserve"> </w:t>
      </w:r>
      <w:r>
        <w:t>sales</w:t>
      </w:r>
      <w:r>
        <w:rPr>
          <w:spacing w:val="-3"/>
        </w:rPr>
        <w:t xml:space="preserve"> </w:t>
      </w:r>
      <w:r>
        <w:t>forecast</w:t>
      </w:r>
      <w:r>
        <w:rPr>
          <w:spacing w:val="-3"/>
        </w:rPr>
        <w:t xml:space="preserve"> </w:t>
      </w:r>
      <w:r>
        <w:t>and</w:t>
      </w:r>
      <w:r>
        <w:rPr>
          <w:spacing w:val="-3"/>
        </w:rPr>
        <w:t xml:space="preserve"> </w:t>
      </w:r>
      <w:r>
        <w:t>the</w:t>
      </w:r>
      <w:r>
        <w:rPr>
          <w:spacing w:val="-4"/>
        </w:rPr>
        <w:t xml:space="preserve"> </w:t>
      </w:r>
      <w:r>
        <w:t>building</w:t>
      </w:r>
      <w:r>
        <w:rPr>
          <w:spacing w:val="-3"/>
        </w:rPr>
        <w:t xml:space="preserve"> </w:t>
      </w:r>
      <w:r>
        <w:t>stocks</w:t>
      </w:r>
      <w:r>
        <w:rPr>
          <w:spacing w:val="-3"/>
        </w:rPr>
        <w:t xml:space="preserve"> </w:t>
      </w:r>
      <w:r>
        <w:t>for electric and gas impacts.</w:t>
      </w:r>
    </w:p>
    <w:p w:rsidR="00C31389" w:rsidRDefault="00C31389" w14:paraId="73FE54EE" w14:textId="77777777">
      <w:pPr>
        <w:pStyle w:val="BodyText"/>
        <w:rPr>
          <w:sz w:val="20"/>
        </w:rPr>
      </w:pPr>
    </w:p>
    <w:p w:rsidR="00C31389" w:rsidRDefault="00C31389" w14:paraId="7F0D1AA7" w14:textId="77777777">
      <w:pPr>
        <w:pStyle w:val="BodyText"/>
        <w:rPr>
          <w:sz w:val="20"/>
        </w:rPr>
      </w:pPr>
    </w:p>
    <w:p w:rsidR="00C31389" w:rsidRDefault="00C31389" w14:paraId="34C483F6" w14:textId="77777777">
      <w:pPr>
        <w:pStyle w:val="BodyText"/>
        <w:rPr>
          <w:sz w:val="20"/>
        </w:rPr>
      </w:pPr>
    </w:p>
    <w:p w:rsidR="00C31389" w:rsidRDefault="00C31389" w14:paraId="7207419E" w14:textId="77777777">
      <w:pPr>
        <w:pStyle w:val="BodyText"/>
        <w:rPr>
          <w:sz w:val="20"/>
        </w:rPr>
      </w:pPr>
    </w:p>
    <w:p w:rsidR="00C31389" w:rsidRDefault="00561FBD" w14:paraId="1B6D2EA8" w14:textId="77777777">
      <w:pPr>
        <w:pStyle w:val="BodyText"/>
        <w:spacing w:before="7"/>
        <w:rPr>
          <w:sz w:val="18"/>
        </w:rPr>
      </w:pPr>
      <w:r>
        <w:rPr>
          <w:noProof/>
        </w:rPr>
        <mc:AlternateContent>
          <mc:Choice Requires="wps">
            <w:drawing>
              <wp:anchor distT="0" distB="0" distL="0" distR="0" simplePos="0" relativeHeight="487621632" behindDoc="1" locked="0" layoutInCell="1" allowOverlap="1" wp14:editId="2AAF5E04" wp14:anchorId="3AB41C53">
                <wp:simplePos x="0" y="0"/>
                <wp:positionH relativeFrom="page">
                  <wp:posOffset>914400</wp:posOffset>
                </wp:positionH>
                <wp:positionV relativeFrom="paragraph">
                  <wp:posOffset>151738</wp:posOffset>
                </wp:positionV>
                <wp:extent cx="1828800" cy="6985"/>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93" style="position:absolute;margin-left:1in;margin-top:11.95pt;width:2in;height:.5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" w14:anchorId="7D736694">
                <v:path arrowok="t"/>
                <w10:wrap type="topAndBottom" anchorx="page"/>
              </v:shape>
            </w:pict>
          </mc:Fallback>
        </mc:AlternateContent>
      </w:r>
    </w:p>
    <w:p w:rsidR="00C31389" w:rsidRDefault="00561FBD" w14:paraId="46A39801" w14:textId="77777777">
      <w:pPr>
        <w:spacing w:before="89"/>
        <w:ind w:left="480"/>
        <w:rPr>
          <w:sz w:val="18"/>
        </w:rPr>
      </w:pPr>
      <w:bookmarkStart w:name="_bookmark102" w:id="136"/>
      <w:bookmarkEnd w:id="136"/>
      <w:r>
        <w:rPr>
          <w:position w:val="6"/>
          <w:sz w:val="12"/>
        </w:rPr>
        <w:t>29</w:t>
      </w:r>
      <w:r>
        <w:rPr>
          <w:spacing w:val="11"/>
          <w:position w:val="6"/>
          <w:sz w:val="12"/>
        </w:rPr>
        <w:t xml:space="preserve"> </w:t>
      </w:r>
      <w:r>
        <w:rPr>
          <w:sz w:val="18"/>
        </w:rPr>
        <w:t>California</w:t>
      </w:r>
      <w:r>
        <w:rPr>
          <w:spacing w:val="-5"/>
          <w:sz w:val="18"/>
        </w:rPr>
        <w:t xml:space="preserve"> </w:t>
      </w:r>
      <w:r>
        <w:rPr>
          <w:sz w:val="18"/>
        </w:rPr>
        <w:t>Energy</w:t>
      </w:r>
      <w:r>
        <w:rPr>
          <w:spacing w:val="-3"/>
          <w:sz w:val="18"/>
        </w:rPr>
        <w:t xml:space="preserve"> </w:t>
      </w:r>
      <w:r>
        <w:rPr>
          <w:sz w:val="18"/>
        </w:rPr>
        <w:t>Consumption</w:t>
      </w:r>
      <w:r>
        <w:rPr>
          <w:spacing w:val="-5"/>
          <w:sz w:val="18"/>
        </w:rPr>
        <w:t xml:space="preserve"> </w:t>
      </w:r>
      <w:r>
        <w:rPr>
          <w:sz w:val="18"/>
        </w:rPr>
        <w:t>Database.</w:t>
      </w:r>
      <w:r>
        <w:rPr>
          <w:spacing w:val="-4"/>
          <w:sz w:val="18"/>
        </w:rPr>
        <w:t xml:space="preserve"> </w:t>
      </w:r>
      <w:r>
        <w:rPr>
          <w:sz w:val="18"/>
        </w:rPr>
        <w:t>Accessed</w:t>
      </w:r>
      <w:r>
        <w:rPr>
          <w:spacing w:val="-3"/>
          <w:sz w:val="18"/>
        </w:rPr>
        <w:t xml:space="preserve"> </w:t>
      </w:r>
      <w:r>
        <w:rPr>
          <w:sz w:val="18"/>
        </w:rPr>
        <w:t>October</w:t>
      </w:r>
      <w:r>
        <w:rPr>
          <w:spacing w:val="-4"/>
          <w:sz w:val="18"/>
        </w:rPr>
        <w:t xml:space="preserve"> </w:t>
      </w:r>
      <w:r>
        <w:rPr>
          <w:sz w:val="18"/>
        </w:rPr>
        <w:t>2022:</w:t>
      </w:r>
      <w:r>
        <w:rPr>
          <w:spacing w:val="-2"/>
          <w:sz w:val="18"/>
        </w:rPr>
        <w:t xml:space="preserve"> </w:t>
      </w:r>
      <w:hyperlink r:id="rId101">
        <w:r>
          <w:rPr>
            <w:color w:val="68942C"/>
            <w:spacing w:val="-2"/>
            <w:sz w:val="18"/>
            <w:u w:val="single" w:color="68942C"/>
          </w:rPr>
          <w:t>http://ecdms.energy.ca.gov/</w:t>
        </w:r>
      </w:hyperlink>
    </w:p>
    <w:p w:rsidR="00C31389" w:rsidRDefault="00561FBD" w14:paraId="0D0B4851" w14:textId="77777777">
      <w:pPr>
        <w:spacing w:before="36"/>
        <w:ind w:left="480"/>
        <w:rPr>
          <w:sz w:val="18"/>
        </w:rPr>
      </w:pPr>
      <w:bookmarkStart w:name="_bookmark103" w:id="137"/>
      <w:bookmarkEnd w:id="137"/>
      <w:r>
        <w:rPr>
          <w:position w:val="6"/>
          <w:sz w:val="12"/>
        </w:rPr>
        <w:t>30</w:t>
      </w:r>
      <w:r>
        <w:rPr>
          <w:spacing w:val="17"/>
          <w:position w:val="6"/>
          <w:sz w:val="12"/>
        </w:rPr>
        <w:t xml:space="preserve"> </w:t>
      </w:r>
      <w:r>
        <w:rPr>
          <w:spacing w:val="-2"/>
          <w:sz w:val="18"/>
        </w:rPr>
        <w:t>Ibid.</w:t>
      </w:r>
    </w:p>
    <w:p w:rsidR="00C31389" w:rsidRDefault="00C31389" w14:paraId="04E1F8C3" w14:textId="77777777">
      <w:pPr>
        <w:rPr>
          <w:sz w:val="18"/>
        </w:rPr>
        <w:sectPr w:rsidR="00C31389">
          <w:pgSz w:w="12240" w:h="15840"/>
          <w:pgMar w:top="1380" w:right="960" w:bottom="1120" w:left="960" w:header="397" w:footer="936" w:gutter="0"/>
          <w:cols w:space="720"/>
        </w:sectPr>
      </w:pPr>
    </w:p>
    <w:p w:rsidR="00C31389" w:rsidRDefault="00C31389" w14:paraId="6C110031" w14:textId="77777777">
      <w:pPr>
        <w:pStyle w:val="BodyText"/>
      </w:pPr>
    </w:p>
    <w:p w:rsidR="00C31389" w:rsidRDefault="00C31389" w14:paraId="5BAEFD8F" w14:textId="77777777">
      <w:pPr>
        <w:pStyle w:val="BodyText"/>
        <w:spacing w:before="11"/>
        <w:rPr>
          <w:sz w:val="13"/>
        </w:rPr>
      </w:pPr>
    </w:p>
    <w:p w:rsidR="00C31389" w:rsidRDefault="00561FBD" w14:paraId="63423DE6" w14:textId="77777777">
      <w:pPr>
        <w:pStyle w:val="Heading4"/>
        <w:numPr>
          <w:ilvl w:val="2"/>
          <w:numId w:val="71"/>
        </w:numPr>
        <w:tabs>
          <w:tab w:val="left" w:pos="1076"/>
        </w:tabs>
        <w:spacing w:before="92"/>
        <w:ind w:left="1076" w:hanging="596"/>
      </w:pPr>
      <w:bookmarkStart w:name="3.1.2_Building_Stocks" w:id="138"/>
      <w:bookmarkStart w:name="_bookmark104" w:id="139"/>
      <w:bookmarkEnd w:id="138"/>
      <w:bookmarkEnd w:id="139"/>
      <w:r>
        <w:t>Building</w:t>
      </w:r>
      <w:r>
        <w:rPr>
          <w:spacing w:val="-4"/>
        </w:rPr>
        <w:t xml:space="preserve"> </w:t>
      </w:r>
      <w:r>
        <w:rPr>
          <w:spacing w:val="-2"/>
        </w:rPr>
        <w:t>Stocks</w:t>
      </w:r>
    </w:p>
    <w:p w:rsidR="00C31389" w:rsidRDefault="00C31389" w14:paraId="7F4D906B" w14:textId="77777777">
      <w:pPr>
        <w:pStyle w:val="BodyText"/>
        <w:spacing w:before="10"/>
        <w:rPr>
          <w:b/>
          <w:sz w:val="20"/>
        </w:rPr>
      </w:pPr>
    </w:p>
    <w:p w:rsidR="00C31389" w:rsidRDefault="00561FBD" w14:paraId="5DAA6057" w14:textId="77777777">
      <w:pPr>
        <w:pStyle w:val="BodyText"/>
        <w:ind w:left="480" w:right="533"/>
      </w:pPr>
      <w:r>
        <w:t xml:space="preserve">Building stocks are the total population metrics of a given sector, though represented by different metrics for most sectors. Residential building stocks are based on the </w:t>
      </w:r>
      <w:r>
        <w:t>number of households in an IOU’s service territory. Commercial building stocks are represented by total floor space for each commercial building type. Industrial and agriculture building stocks are represented by energy consumption. The residential, commer</w:t>
      </w:r>
      <w:r>
        <w:t>cial, industrial, and agriculture building</w:t>
      </w:r>
      <w:r>
        <w:rPr>
          <w:spacing w:val="-3"/>
        </w:rPr>
        <w:t xml:space="preserve"> </w:t>
      </w:r>
      <w:r>
        <w:t>stock</w:t>
      </w:r>
      <w:r>
        <w:rPr>
          <w:spacing w:val="-3"/>
        </w:rPr>
        <w:t xml:space="preserve"> </w:t>
      </w:r>
      <w:r>
        <w:t>metrics</w:t>
      </w:r>
      <w:r>
        <w:rPr>
          <w:spacing w:val="-3"/>
        </w:rPr>
        <w:t xml:space="preserve"> </w:t>
      </w:r>
      <w:r>
        <w:t>are</w:t>
      </w:r>
      <w:r>
        <w:rPr>
          <w:spacing w:val="-3"/>
        </w:rPr>
        <w:t xml:space="preserve"> </w:t>
      </w:r>
      <w:r>
        <w:t>derived</w:t>
      </w:r>
      <w:r>
        <w:rPr>
          <w:spacing w:val="-3"/>
        </w:rPr>
        <w:t xml:space="preserve"> </w:t>
      </w:r>
      <w:r>
        <w:t>from</w:t>
      </w:r>
      <w:r>
        <w:rPr>
          <w:spacing w:val="-4"/>
        </w:rPr>
        <w:t xml:space="preserve"> </w:t>
      </w:r>
      <w:r>
        <w:t>the</w:t>
      </w:r>
      <w:r>
        <w:rPr>
          <w:spacing w:val="-3"/>
        </w:rPr>
        <w:t xml:space="preserve"> </w:t>
      </w:r>
      <w:r>
        <w:t>CEC’s</w:t>
      </w:r>
      <w:r>
        <w:rPr>
          <w:spacing w:val="-3"/>
        </w:rPr>
        <w:t xml:space="preserve"> </w:t>
      </w:r>
      <w:r>
        <w:t>IEPR.</w:t>
      </w:r>
      <w:r>
        <w:rPr>
          <w:spacing w:val="-3"/>
        </w:rPr>
        <w:t xml:space="preserve"> </w:t>
      </w:r>
      <w:r>
        <w:t>The</w:t>
      </w:r>
      <w:r>
        <w:rPr>
          <w:spacing w:val="-3"/>
        </w:rPr>
        <w:t xml:space="preserve"> </w:t>
      </w:r>
      <w:r>
        <w:t>model</w:t>
      </w:r>
      <w:r>
        <w:rPr>
          <w:spacing w:val="-3"/>
        </w:rPr>
        <w:t xml:space="preserve"> </w:t>
      </w:r>
      <w:r>
        <w:t>requires</w:t>
      </w:r>
      <w:r>
        <w:rPr>
          <w:spacing w:val="-3"/>
        </w:rPr>
        <w:t xml:space="preserve"> </w:t>
      </w:r>
      <w:r>
        <w:t>building</w:t>
      </w:r>
      <w:r>
        <w:rPr>
          <w:spacing w:val="-4"/>
        </w:rPr>
        <w:t xml:space="preserve"> </w:t>
      </w:r>
      <w:r>
        <w:t>stocks</w:t>
      </w:r>
      <w:r>
        <w:rPr>
          <w:spacing w:val="-4"/>
        </w:rPr>
        <w:t xml:space="preserve"> </w:t>
      </w:r>
      <w:r>
        <w:t>by sector, scenario, and utility for 2013-2035</w:t>
      </w:r>
    </w:p>
    <w:p w:rsidR="00C31389" w:rsidRDefault="00C31389" w14:paraId="6C3ED307" w14:textId="77777777">
      <w:pPr>
        <w:pStyle w:val="BodyText"/>
        <w:spacing w:before="9"/>
        <w:rPr>
          <w:sz w:val="20"/>
        </w:rPr>
      </w:pPr>
    </w:p>
    <w:p w:rsidR="00C31389" w:rsidRDefault="00561FBD" w14:paraId="4132A330" w14:textId="77777777">
      <w:pPr>
        <w:pStyle w:val="BodyText"/>
        <w:ind w:left="480" w:right="533"/>
      </w:pPr>
      <w:r>
        <w:t xml:space="preserve">The IEPR organizes building stock data into the eight electric planning </w:t>
      </w:r>
      <w:r>
        <w:t>areas. Each planning area</w:t>
      </w:r>
      <w:r>
        <w:rPr>
          <w:spacing w:val="-3"/>
        </w:rPr>
        <w:t xml:space="preserve"> </w:t>
      </w:r>
      <w:r>
        <w:t>aligns</w:t>
      </w:r>
      <w:r>
        <w:rPr>
          <w:spacing w:val="-3"/>
        </w:rPr>
        <w:t xml:space="preserve"> </w:t>
      </w:r>
      <w:r>
        <w:t>to</w:t>
      </w:r>
      <w:r>
        <w:rPr>
          <w:spacing w:val="-3"/>
        </w:rPr>
        <w:t xml:space="preserve"> </w:t>
      </w:r>
      <w:r>
        <w:t>a</w:t>
      </w:r>
      <w:r>
        <w:rPr>
          <w:spacing w:val="-3"/>
        </w:rPr>
        <w:t xml:space="preserve"> </w:t>
      </w:r>
      <w:r>
        <w:t>utility</w:t>
      </w:r>
      <w:r>
        <w:rPr>
          <w:spacing w:val="-3"/>
        </w:rPr>
        <w:t xml:space="preserve"> </w:t>
      </w:r>
      <w:r>
        <w:t>and</w:t>
      </w:r>
      <w:r>
        <w:rPr>
          <w:spacing w:val="-3"/>
        </w:rPr>
        <w:t xml:space="preserve"> </w:t>
      </w:r>
      <w:r>
        <w:t>includes</w:t>
      </w:r>
      <w:r>
        <w:rPr>
          <w:spacing w:val="-3"/>
        </w:rPr>
        <w:t xml:space="preserve"> </w:t>
      </w:r>
      <w:r>
        <w:t>one</w:t>
      </w:r>
      <w:r>
        <w:rPr>
          <w:spacing w:val="-3"/>
        </w:rPr>
        <w:t xml:space="preserve"> </w:t>
      </w:r>
      <w:r>
        <w:t>or</w:t>
      </w:r>
      <w:r>
        <w:rPr>
          <w:spacing w:val="-3"/>
        </w:rPr>
        <w:t xml:space="preserve"> </w:t>
      </w:r>
      <w:r>
        <w:t>more</w:t>
      </w:r>
      <w:r>
        <w:rPr>
          <w:spacing w:val="-3"/>
        </w:rPr>
        <w:t xml:space="preserve"> </w:t>
      </w:r>
      <w:r>
        <w:t>CEC</w:t>
      </w:r>
      <w:r>
        <w:rPr>
          <w:spacing w:val="-4"/>
        </w:rPr>
        <w:t xml:space="preserve"> </w:t>
      </w:r>
      <w:r>
        <w:t>forecasting</w:t>
      </w:r>
      <w:r>
        <w:rPr>
          <w:spacing w:val="-3"/>
        </w:rPr>
        <w:t xml:space="preserve"> </w:t>
      </w:r>
      <w:r>
        <w:t>zones,</w:t>
      </w:r>
      <w:r>
        <w:rPr>
          <w:spacing w:val="-4"/>
        </w:rPr>
        <w:t xml:space="preserve"> </w:t>
      </w:r>
      <w:r>
        <w:t>as</w:t>
      </w:r>
      <w:r>
        <w:rPr>
          <w:spacing w:val="-3"/>
        </w:rPr>
        <w:t xml:space="preserve"> </w:t>
      </w:r>
      <w:r>
        <w:t>listed</w:t>
      </w:r>
      <w:r>
        <w:rPr>
          <w:spacing w:val="-3"/>
        </w:rPr>
        <w:t xml:space="preserve"> </w:t>
      </w:r>
      <w:r>
        <w:t>in</w:t>
      </w:r>
      <w:r>
        <w:rPr>
          <w:spacing w:val="-4"/>
        </w:rPr>
        <w:t xml:space="preserve"> </w:t>
      </w:r>
      <w:hyperlink w:history="1" w:anchor="_bookmark105">
        <w:r>
          <w:t>Table</w:t>
        </w:r>
        <w:r>
          <w:rPr>
            <w:spacing w:val="-3"/>
          </w:rPr>
          <w:t xml:space="preserve"> </w:t>
        </w:r>
        <w:r>
          <w:t>3-4</w:t>
        </w:r>
      </w:hyperlink>
      <w:r>
        <w:t>.</w:t>
      </w:r>
    </w:p>
    <w:p w:rsidR="00C31389" w:rsidRDefault="00C31389" w14:paraId="4EAB34CA" w14:textId="77777777">
      <w:pPr>
        <w:pStyle w:val="BodyText"/>
        <w:spacing w:before="10"/>
        <w:rPr>
          <w:sz w:val="20"/>
        </w:rPr>
      </w:pPr>
    </w:p>
    <w:p w:rsidR="00C31389" w:rsidRDefault="00561FBD" w14:paraId="191506BF" w14:textId="77777777">
      <w:pPr>
        <w:pStyle w:val="Heading7"/>
        <w:ind w:left="826"/>
      </w:pPr>
      <w:bookmarkStart w:name="_bookmark105" w:id="140"/>
      <w:bookmarkEnd w:id="140"/>
      <w:r>
        <w:t>Table</w:t>
      </w:r>
      <w:r>
        <w:rPr>
          <w:spacing w:val="-7"/>
        </w:rPr>
        <w:t xml:space="preserve"> </w:t>
      </w:r>
      <w:r>
        <w:t>3-4.</w:t>
      </w:r>
      <w:r>
        <w:rPr>
          <w:spacing w:val="-7"/>
        </w:rPr>
        <w:t xml:space="preserve"> </w:t>
      </w:r>
      <w:r>
        <w:t>Mapping</w:t>
      </w:r>
      <w:r>
        <w:rPr>
          <w:spacing w:val="-7"/>
        </w:rPr>
        <w:t xml:space="preserve"> </w:t>
      </w:r>
      <w:r>
        <w:t>CEC</w:t>
      </w:r>
      <w:r>
        <w:rPr>
          <w:spacing w:val="-7"/>
        </w:rPr>
        <w:t xml:space="preserve"> </w:t>
      </w:r>
      <w:r>
        <w:t>Electric</w:t>
      </w:r>
      <w:r>
        <w:rPr>
          <w:spacing w:val="-5"/>
        </w:rPr>
        <w:t xml:space="preserve"> </w:t>
      </w:r>
      <w:r>
        <w:t>and</w:t>
      </w:r>
      <w:r>
        <w:rPr>
          <w:spacing w:val="-7"/>
        </w:rPr>
        <w:t xml:space="preserve"> </w:t>
      </w:r>
      <w:r>
        <w:t>Gas</w:t>
      </w:r>
      <w:r>
        <w:rPr>
          <w:spacing w:val="-6"/>
        </w:rPr>
        <w:t xml:space="preserve"> </w:t>
      </w:r>
      <w:r>
        <w:t>Planning</w:t>
      </w:r>
      <w:r>
        <w:rPr>
          <w:spacing w:val="-7"/>
        </w:rPr>
        <w:t xml:space="preserve"> </w:t>
      </w:r>
      <w:r>
        <w:t>Areas</w:t>
      </w:r>
      <w:r>
        <w:rPr>
          <w:spacing w:val="-6"/>
        </w:rPr>
        <w:t xml:space="preserve"> </w:t>
      </w:r>
      <w:r>
        <w:t>to</w:t>
      </w:r>
      <w:r>
        <w:rPr>
          <w:spacing w:val="-6"/>
        </w:rPr>
        <w:t xml:space="preserve"> </w:t>
      </w:r>
      <w:r>
        <w:t>IOU</w:t>
      </w:r>
      <w:r>
        <w:rPr>
          <w:spacing w:val="-8"/>
        </w:rPr>
        <w:t xml:space="preserve"> </w:t>
      </w:r>
      <w:r>
        <w:t>Service</w:t>
      </w:r>
      <w:r>
        <w:rPr>
          <w:spacing w:val="-6"/>
        </w:rPr>
        <w:t xml:space="preserve"> </w:t>
      </w:r>
      <w:r>
        <w:rPr>
          <w:spacing w:val="-2"/>
        </w:rPr>
        <w:t>Te</w:t>
      </w:r>
      <w:r>
        <w:rPr>
          <w:spacing w:val="-2"/>
        </w:rPr>
        <w:t>rritories</w:t>
      </w:r>
    </w:p>
    <w:p w:rsidR="00C31389" w:rsidRDefault="00C31389" w14:paraId="56B08D4D"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2353"/>
        <w:gridCol w:w="2339"/>
        <w:gridCol w:w="2341"/>
        <w:gridCol w:w="2341"/>
      </w:tblGrid>
      <w:tr w:rsidR="00C31389" w14:paraId="62EAF012" w14:textId="77777777">
        <w:trPr>
          <w:trHeight w:val="549"/>
        </w:trPr>
        <w:tc>
          <w:tcPr>
            <w:tcW w:w="2353" w:type="dxa"/>
            <w:shd w:val="clear" w:color="auto" w:fill="92D400"/>
          </w:tcPr>
          <w:p w:rsidR="00C31389" w:rsidRDefault="00561FBD" w14:paraId="4E299A7D" w14:textId="77777777">
            <w:pPr>
              <w:pStyle w:val="TableParagraph"/>
              <w:ind w:left="128" w:right="607"/>
              <w:rPr>
                <w:b/>
                <w:sz w:val="20"/>
              </w:rPr>
            </w:pPr>
            <w:r>
              <w:rPr>
                <w:b/>
                <w:sz w:val="20"/>
              </w:rPr>
              <w:t>CEC</w:t>
            </w:r>
            <w:r>
              <w:rPr>
                <w:b/>
                <w:spacing w:val="-14"/>
                <w:sz w:val="20"/>
              </w:rPr>
              <w:t xml:space="preserve"> </w:t>
            </w:r>
            <w:r>
              <w:rPr>
                <w:b/>
                <w:sz w:val="20"/>
              </w:rPr>
              <w:t>Forecasting Climate Zone</w:t>
            </w:r>
          </w:p>
        </w:tc>
        <w:tc>
          <w:tcPr>
            <w:tcW w:w="2339" w:type="dxa"/>
            <w:shd w:val="clear" w:color="auto" w:fill="92D400"/>
          </w:tcPr>
          <w:p w:rsidR="00C31389" w:rsidRDefault="00561FBD" w14:paraId="2D188D3F" w14:textId="77777777">
            <w:pPr>
              <w:pStyle w:val="TableParagraph"/>
              <w:ind w:left="114" w:right="596"/>
              <w:rPr>
                <w:b/>
                <w:sz w:val="20"/>
              </w:rPr>
            </w:pPr>
            <w:r>
              <w:rPr>
                <w:b/>
                <w:sz w:val="20"/>
              </w:rPr>
              <w:t>Electric</w:t>
            </w:r>
            <w:r>
              <w:rPr>
                <w:b/>
                <w:spacing w:val="-14"/>
                <w:sz w:val="20"/>
              </w:rPr>
              <w:t xml:space="preserve"> </w:t>
            </w:r>
            <w:r>
              <w:rPr>
                <w:b/>
                <w:sz w:val="20"/>
              </w:rPr>
              <w:t>Planning Area Number</w:t>
            </w:r>
          </w:p>
        </w:tc>
        <w:tc>
          <w:tcPr>
            <w:tcW w:w="2341" w:type="dxa"/>
            <w:shd w:val="clear" w:color="auto" w:fill="92D400"/>
          </w:tcPr>
          <w:p w:rsidR="00C31389" w:rsidRDefault="00561FBD" w14:paraId="21EF6994" w14:textId="77777777">
            <w:pPr>
              <w:pStyle w:val="TableParagraph"/>
              <w:ind w:left="114" w:right="598"/>
              <w:rPr>
                <w:b/>
                <w:sz w:val="20"/>
              </w:rPr>
            </w:pPr>
            <w:r>
              <w:rPr>
                <w:b/>
                <w:sz w:val="20"/>
              </w:rPr>
              <w:t>Electric</w:t>
            </w:r>
            <w:r>
              <w:rPr>
                <w:b/>
                <w:spacing w:val="-14"/>
                <w:sz w:val="20"/>
              </w:rPr>
              <w:t xml:space="preserve"> </w:t>
            </w:r>
            <w:r>
              <w:rPr>
                <w:b/>
                <w:sz w:val="20"/>
              </w:rPr>
              <w:t>Planning Area Utilities</w:t>
            </w:r>
          </w:p>
        </w:tc>
        <w:tc>
          <w:tcPr>
            <w:tcW w:w="2341" w:type="dxa"/>
            <w:shd w:val="clear" w:color="auto" w:fill="92D400"/>
          </w:tcPr>
          <w:p w:rsidR="00C31389" w:rsidRDefault="00561FBD" w14:paraId="78B21560" w14:textId="77777777">
            <w:pPr>
              <w:pStyle w:val="TableParagraph"/>
              <w:ind w:left="114"/>
              <w:rPr>
                <w:b/>
                <w:sz w:val="20"/>
              </w:rPr>
            </w:pPr>
            <w:r>
              <w:rPr>
                <w:b/>
                <w:sz w:val="20"/>
              </w:rPr>
              <w:t>Natural</w:t>
            </w:r>
            <w:r>
              <w:rPr>
                <w:b/>
                <w:spacing w:val="-14"/>
                <w:sz w:val="20"/>
              </w:rPr>
              <w:t xml:space="preserve"> </w:t>
            </w:r>
            <w:r>
              <w:rPr>
                <w:b/>
                <w:sz w:val="20"/>
              </w:rPr>
              <w:t>Gas</w:t>
            </w:r>
            <w:r>
              <w:rPr>
                <w:b/>
                <w:spacing w:val="-14"/>
                <w:sz w:val="20"/>
              </w:rPr>
              <w:t xml:space="preserve"> </w:t>
            </w:r>
            <w:r>
              <w:rPr>
                <w:b/>
                <w:sz w:val="20"/>
              </w:rPr>
              <w:t>Planning Area Utilities</w:t>
            </w:r>
          </w:p>
        </w:tc>
      </w:tr>
      <w:tr w:rsidR="00C31389" w14:paraId="5EE0835F" w14:textId="77777777">
        <w:trPr>
          <w:trHeight w:val="310"/>
        </w:trPr>
        <w:tc>
          <w:tcPr>
            <w:tcW w:w="2353" w:type="dxa"/>
            <w:tcBorders>
              <w:bottom w:val="single" w:color="D9D9D9" w:sz="2" w:space="0"/>
            </w:tcBorders>
          </w:tcPr>
          <w:p w:rsidR="00C31389" w:rsidRDefault="00561FBD" w14:paraId="6A08C777"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1</w:t>
            </w:r>
          </w:p>
        </w:tc>
        <w:tc>
          <w:tcPr>
            <w:tcW w:w="2339" w:type="dxa"/>
          </w:tcPr>
          <w:p w:rsidR="00C31389" w:rsidRDefault="00C31389" w14:paraId="6DD913C4" w14:textId="77777777">
            <w:pPr>
              <w:pStyle w:val="TableParagraph"/>
              <w:spacing w:before="0"/>
              <w:rPr>
                <w:rFonts w:ascii="Times New Roman"/>
                <w:sz w:val="20"/>
              </w:rPr>
            </w:pPr>
          </w:p>
        </w:tc>
        <w:tc>
          <w:tcPr>
            <w:tcW w:w="2341" w:type="dxa"/>
            <w:shd w:val="clear" w:color="auto" w:fill="FDF7D5"/>
          </w:tcPr>
          <w:p w:rsidR="00C31389" w:rsidRDefault="00C31389" w14:paraId="3BD849DA" w14:textId="77777777">
            <w:pPr>
              <w:pStyle w:val="TableParagraph"/>
              <w:spacing w:before="0"/>
              <w:rPr>
                <w:rFonts w:ascii="Times New Roman"/>
                <w:sz w:val="20"/>
              </w:rPr>
            </w:pPr>
          </w:p>
        </w:tc>
        <w:tc>
          <w:tcPr>
            <w:tcW w:w="2341" w:type="dxa"/>
            <w:shd w:val="clear" w:color="auto" w:fill="FDF7D5"/>
          </w:tcPr>
          <w:p w:rsidR="00C31389" w:rsidRDefault="00C31389" w14:paraId="73960F94" w14:textId="77777777">
            <w:pPr>
              <w:pStyle w:val="TableParagraph"/>
              <w:spacing w:before="0"/>
              <w:rPr>
                <w:rFonts w:ascii="Times New Roman"/>
                <w:sz w:val="20"/>
              </w:rPr>
            </w:pPr>
          </w:p>
        </w:tc>
      </w:tr>
      <w:tr w:rsidR="00C31389" w14:paraId="5450BE6D" w14:textId="77777777">
        <w:trPr>
          <w:trHeight w:val="309"/>
        </w:trPr>
        <w:tc>
          <w:tcPr>
            <w:tcW w:w="2353" w:type="dxa"/>
            <w:tcBorders>
              <w:top w:val="single" w:color="D9D9D9" w:sz="2" w:space="0"/>
              <w:bottom w:val="single" w:color="D9D9D9" w:sz="2" w:space="0"/>
            </w:tcBorders>
          </w:tcPr>
          <w:p w:rsidR="00C31389" w:rsidRDefault="00561FBD" w14:paraId="661CAED9"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2</w:t>
            </w:r>
          </w:p>
        </w:tc>
        <w:tc>
          <w:tcPr>
            <w:tcW w:w="2339" w:type="dxa"/>
          </w:tcPr>
          <w:p w:rsidR="00C31389" w:rsidRDefault="00C31389" w14:paraId="756CA4C7" w14:textId="77777777">
            <w:pPr>
              <w:pStyle w:val="TableParagraph"/>
              <w:spacing w:before="0"/>
              <w:rPr>
                <w:rFonts w:ascii="Times New Roman"/>
                <w:sz w:val="20"/>
              </w:rPr>
            </w:pPr>
          </w:p>
        </w:tc>
        <w:tc>
          <w:tcPr>
            <w:tcW w:w="2341" w:type="dxa"/>
            <w:shd w:val="clear" w:color="auto" w:fill="FDF7D5"/>
          </w:tcPr>
          <w:p w:rsidR="00C31389" w:rsidRDefault="00C31389" w14:paraId="63FA6059" w14:textId="77777777">
            <w:pPr>
              <w:pStyle w:val="TableParagraph"/>
              <w:spacing w:before="0"/>
              <w:rPr>
                <w:rFonts w:ascii="Times New Roman"/>
                <w:sz w:val="20"/>
              </w:rPr>
            </w:pPr>
          </w:p>
        </w:tc>
        <w:tc>
          <w:tcPr>
            <w:tcW w:w="2341" w:type="dxa"/>
            <w:shd w:val="clear" w:color="auto" w:fill="FDF7D5"/>
          </w:tcPr>
          <w:p w:rsidR="00C31389" w:rsidRDefault="00C31389" w14:paraId="174F327E" w14:textId="77777777">
            <w:pPr>
              <w:pStyle w:val="TableParagraph"/>
              <w:spacing w:before="0"/>
              <w:rPr>
                <w:rFonts w:ascii="Times New Roman"/>
                <w:sz w:val="20"/>
              </w:rPr>
            </w:pPr>
          </w:p>
        </w:tc>
      </w:tr>
      <w:tr w:rsidR="00C31389" w14:paraId="47732BE6" w14:textId="77777777">
        <w:trPr>
          <w:trHeight w:val="310"/>
        </w:trPr>
        <w:tc>
          <w:tcPr>
            <w:tcW w:w="2353" w:type="dxa"/>
            <w:tcBorders>
              <w:top w:val="single" w:color="D9D9D9" w:sz="2" w:space="0"/>
              <w:bottom w:val="single" w:color="D9D9D9" w:sz="2" w:space="0"/>
            </w:tcBorders>
          </w:tcPr>
          <w:p w:rsidR="00C31389" w:rsidRDefault="00561FBD" w14:paraId="38A62D58"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3</w:t>
            </w:r>
          </w:p>
        </w:tc>
        <w:tc>
          <w:tcPr>
            <w:tcW w:w="2339" w:type="dxa"/>
            <w:vMerge w:val="restart"/>
          </w:tcPr>
          <w:p w:rsidR="00C31389" w:rsidRDefault="00C31389" w14:paraId="5A266953" w14:textId="77777777">
            <w:pPr>
              <w:pStyle w:val="TableParagraph"/>
              <w:spacing w:before="3"/>
              <w:rPr>
                <w:b/>
                <w:sz w:val="17"/>
              </w:rPr>
            </w:pPr>
          </w:p>
          <w:p w:rsidR="00C31389" w:rsidRDefault="00561FBD" w14:paraId="0EA3859F" w14:textId="77777777">
            <w:pPr>
              <w:pStyle w:val="TableParagraph"/>
              <w:spacing w:before="0"/>
              <w:ind w:left="114"/>
              <w:rPr>
                <w:sz w:val="20"/>
              </w:rPr>
            </w:pPr>
            <w:r>
              <w:rPr>
                <w:sz w:val="20"/>
              </w:rPr>
              <w:t>1</w:t>
            </w:r>
            <w:r>
              <w:rPr>
                <w:spacing w:val="-1"/>
                <w:sz w:val="20"/>
              </w:rPr>
              <w:t xml:space="preserve"> </w:t>
            </w:r>
            <w:r>
              <w:rPr>
                <w:sz w:val="20"/>
              </w:rPr>
              <w:t>-</w:t>
            </w:r>
            <w:r>
              <w:rPr>
                <w:spacing w:val="-1"/>
                <w:sz w:val="20"/>
              </w:rPr>
              <w:t xml:space="preserve"> </w:t>
            </w:r>
            <w:r>
              <w:rPr>
                <w:spacing w:val="-4"/>
                <w:sz w:val="20"/>
              </w:rPr>
              <w:t>PG&amp;E</w:t>
            </w:r>
          </w:p>
        </w:tc>
        <w:tc>
          <w:tcPr>
            <w:tcW w:w="2341" w:type="dxa"/>
            <w:vMerge w:val="restart"/>
            <w:shd w:val="clear" w:color="auto" w:fill="FDF7D5"/>
          </w:tcPr>
          <w:p w:rsidR="00C31389" w:rsidRDefault="00C31389" w14:paraId="3249F0E4" w14:textId="77777777">
            <w:pPr>
              <w:pStyle w:val="TableParagraph"/>
              <w:spacing w:before="3"/>
              <w:rPr>
                <w:b/>
                <w:sz w:val="17"/>
              </w:rPr>
            </w:pPr>
          </w:p>
          <w:p w:rsidR="00C31389" w:rsidRDefault="00561FBD" w14:paraId="59AB2348" w14:textId="77777777">
            <w:pPr>
              <w:pStyle w:val="TableParagraph"/>
              <w:spacing w:before="0"/>
              <w:ind w:left="114"/>
              <w:rPr>
                <w:sz w:val="20"/>
              </w:rPr>
            </w:pPr>
            <w:r>
              <w:rPr>
                <w:spacing w:val="-4"/>
                <w:sz w:val="20"/>
              </w:rPr>
              <w:t>PG&amp;E</w:t>
            </w:r>
          </w:p>
        </w:tc>
        <w:tc>
          <w:tcPr>
            <w:tcW w:w="2341" w:type="dxa"/>
            <w:vMerge w:val="restart"/>
            <w:shd w:val="clear" w:color="auto" w:fill="FDF7D5"/>
          </w:tcPr>
          <w:p w:rsidR="00C31389" w:rsidRDefault="00C31389" w14:paraId="157573CD" w14:textId="77777777">
            <w:pPr>
              <w:pStyle w:val="TableParagraph"/>
              <w:spacing w:before="3"/>
              <w:rPr>
                <w:b/>
                <w:sz w:val="17"/>
              </w:rPr>
            </w:pPr>
          </w:p>
          <w:p w:rsidR="00C31389" w:rsidRDefault="00561FBD" w14:paraId="55E82F80" w14:textId="77777777">
            <w:pPr>
              <w:pStyle w:val="TableParagraph"/>
              <w:spacing w:before="0"/>
              <w:ind w:left="114"/>
              <w:rPr>
                <w:sz w:val="20"/>
              </w:rPr>
            </w:pPr>
            <w:r>
              <w:rPr>
                <w:spacing w:val="-4"/>
                <w:sz w:val="20"/>
              </w:rPr>
              <w:t>PG&amp;E</w:t>
            </w:r>
          </w:p>
        </w:tc>
      </w:tr>
      <w:tr w:rsidR="00C31389" w14:paraId="3769EADF" w14:textId="77777777">
        <w:trPr>
          <w:trHeight w:val="309"/>
        </w:trPr>
        <w:tc>
          <w:tcPr>
            <w:tcW w:w="2353" w:type="dxa"/>
            <w:tcBorders>
              <w:top w:val="single" w:color="D9D9D9" w:sz="2" w:space="0"/>
              <w:bottom w:val="single" w:color="D9D9D9" w:sz="2" w:space="0"/>
            </w:tcBorders>
          </w:tcPr>
          <w:p w:rsidR="00C31389" w:rsidRDefault="00561FBD" w14:paraId="2867EDB3"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4</w:t>
            </w:r>
          </w:p>
        </w:tc>
        <w:tc>
          <w:tcPr>
            <w:tcW w:w="2339" w:type="dxa"/>
            <w:vMerge/>
            <w:tcBorders>
              <w:top w:val="nil"/>
            </w:tcBorders>
          </w:tcPr>
          <w:p w:rsidR="00C31389" w:rsidRDefault="00C31389" w14:paraId="3616A905" w14:textId="77777777">
            <w:pPr>
              <w:rPr>
                <w:sz w:val="2"/>
                <w:szCs w:val="2"/>
              </w:rPr>
            </w:pPr>
          </w:p>
        </w:tc>
        <w:tc>
          <w:tcPr>
            <w:tcW w:w="2341" w:type="dxa"/>
            <w:vMerge/>
            <w:tcBorders>
              <w:top w:val="nil"/>
            </w:tcBorders>
            <w:shd w:val="clear" w:color="auto" w:fill="FDF7D5"/>
          </w:tcPr>
          <w:p w:rsidR="00C31389" w:rsidRDefault="00C31389" w14:paraId="1E5EF91D" w14:textId="77777777">
            <w:pPr>
              <w:rPr>
                <w:sz w:val="2"/>
                <w:szCs w:val="2"/>
              </w:rPr>
            </w:pPr>
          </w:p>
        </w:tc>
        <w:tc>
          <w:tcPr>
            <w:tcW w:w="2341" w:type="dxa"/>
            <w:vMerge/>
            <w:tcBorders>
              <w:top w:val="nil"/>
            </w:tcBorders>
            <w:shd w:val="clear" w:color="auto" w:fill="FDF7D5"/>
          </w:tcPr>
          <w:p w:rsidR="00C31389" w:rsidRDefault="00C31389" w14:paraId="3C878E46" w14:textId="77777777">
            <w:pPr>
              <w:rPr>
                <w:sz w:val="2"/>
                <w:szCs w:val="2"/>
              </w:rPr>
            </w:pPr>
          </w:p>
        </w:tc>
      </w:tr>
      <w:tr w:rsidR="00C31389" w14:paraId="200F56C5" w14:textId="77777777">
        <w:trPr>
          <w:trHeight w:val="310"/>
        </w:trPr>
        <w:tc>
          <w:tcPr>
            <w:tcW w:w="2353" w:type="dxa"/>
            <w:tcBorders>
              <w:top w:val="single" w:color="D9D9D9" w:sz="2" w:space="0"/>
              <w:bottom w:val="single" w:color="D9D9D9" w:sz="2" w:space="0"/>
            </w:tcBorders>
          </w:tcPr>
          <w:p w:rsidR="00C31389" w:rsidRDefault="00561FBD" w14:paraId="756445E0"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5</w:t>
            </w:r>
          </w:p>
        </w:tc>
        <w:tc>
          <w:tcPr>
            <w:tcW w:w="2339" w:type="dxa"/>
          </w:tcPr>
          <w:p w:rsidR="00C31389" w:rsidRDefault="00C31389" w14:paraId="22D98C8D" w14:textId="77777777">
            <w:pPr>
              <w:pStyle w:val="TableParagraph"/>
              <w:spacing w:before="0"/>
              <w:rPr>
                <w:rFonts w:ascii="Times New Roman"/>
                <w:sz w:val="20"/>
              </w:rPr>
            </w:pPr>
          </w:p>
        </w:tc>
        <w:tc>
          <w:tcPr>
            <w:tcW w:w="2341" w:type="dxa"/>
            <w:shd w:val="clear" w:color="auto" w:fill="FDF7D5"/>
          </w:tcPr>
          <w:p w:rsidR="00C31389" w:rsidRDefault="00C31389" w14:paraId="0EF1BF8A" w14:textId="77777777">
            <w:pPr>
              <w:pStyle w:val="TableParagraph"/>
              <w:spacing w:before="0"/>
              <w:rPr>
                <w:rFonts w:ascii="Times New Roman"/>
                <w:sz w:val="20"/>
              </w:rPr>
            </w:pPr>
          </w:p>
        </w:tc>
        <w:tc>
          <w:tcPr>
            <w:tcW w:w="2341" w:type="dxa"/>
            <w:shd w:val="clear" w:color="auto" w:fill="FDF7D5"/>
          </w:tcPr>
          <w:p w:rsidR="00C31389" w:rsidRDefault="00C31389" w14:paraId="6B4DBB17" w14:textId="77777777">
            <w:pPr>
              <w:pStyle w:val="TableParagraph"/>
              <w:spacing w:before="0"/>
              <w:rPr>
                <w:rFonts w:ascii="Times New Roman"/>
                <w:sz w:val="20"/>
              </w:rPr>
            </w:pPr>
          </w:p>
        </w:tc>
      </w:tr>
      <w:tr w:rsidR="00C31389" w14:paraId="428B7F3C" w14:textId="77777777">
        <w:trPr>
          <w:trHeight w:val="309"/>
        </w:trPr>
        <w:tc>
          <w:tcPr>
            <w:tcW w:w="2353" w:type="dxa"/>
            <w:tcBorders>
              <w:top w:val="single" w:color="D9D9D9" w:sz="2" w:space="0"/>
              <w:bottom w:val="single" w:color="D9D9D9" w:sz="2" w:space="0"/>
            </w:tcBorders>
          </w:tcPr>
          <w:p w:rsidR="00C31389" w:rsidRDefault="00561FBD" w14:paraId="07808F53"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6</w:t>
            </w:r>
          </w:p>
        </w:tc>
        <w:tc>
          <w:tcPr>
            <w:tcW w:w="2339" w:type="dxa"/>
            <w:tcBorders>
              <w:bottom w:val="single" w:color="D9D9D9" w:sz="2" w:space="0"/>
            </w:tcBorders>
          </w:tcPr>
          <w:p w:rsidR="00C31389" w:rsidRDefault="00C31389" w14:paraId="6A0708C4" w14:textId="77777777">
            <w:pPr>
              <w:pStyle w:val="TableParagraph"/>
              <w:spacing w:before="0"/>
              <w:rPr>
                <w:rFonts w:ascii="Times New Roman"/>
                <w:sz w:val="20"/>
              </w:rPr>
            </w:pPr>
          </w:p>
        </w:tc>
        <w:tc>
          <w:tcPr>
            <w:tcW w:w="2341" w:type="dxa"/>
            <w:tcBorders>
              <w:bottom w:val="single" w:color="D9D9D9" w:sz="2" w:space="0"/>
            </w:tcBorders>
            <w:shd w:val="clear" w:color="auto" w:fill="FDF7D5"/>
          </w:tcPr>
          <w:p w:rsidR="00C31389" w:rsidRDefault="00C31389" w14:paraId="2AE82816" w14:textId="77777777">
            <w:pPr>
              <w:pStyle w:val="TableParagraph"/>
              <w:spacing w:before="0"/>
              <w:rPr>
                <w:rFonts w:ascii="Times New Roman"/>
                <w:sz w:val="20"/>
              </w:rPr>
            </w:pPr>
          </w:p>
        </w:tc>
        <w:tc>
          <w:tcPr>
            <w:tcW w:w="2341" w:type="dxa"/>
            <w:tcBorders>
              <w:bottom w:val="single" w:color="D9D9D9" w:sz="2" w:space="0"/>
            </w:tcBorders>
            <w:shd w:val="clear" w:color="auto" w:fill="FDF7D5"/>
          </w:tcPr>
          <w:p w:rsidR="00C31389" w:rsidRDefault="00C31389" w14:paraId="2756A883" w14:textId="77777777">
            <w:pPr>
              <w:pStyle w:val="TableParagraph"/>
              <w:spacing w:before="0"/>
              <w:rPr>
                <w:rFonts w:ascii="Times New Roman"/>
                <w:sz w:val="20"/>
              </w:rPr>
            </w:pPr>
          </w:p>
        </w:tc>
      </w:tr>
      <w:tr w:rsidR="00C31389" w14:paraId="5B80D6EB" w14:textId="77777777">
        <w:trPr>
          <w:trHeight w:val="310"/>
        </w:trPr>
        <w:tc>
          <w:tcPr>
            <w:tcW w:w="2353" w:type="dxa"/>
            <w:tcBorders>
              <w:top w:val="single" w:color="D9D9D9" w:sz="2" w:space="0"/>
              <w:bottom w:val="single" w:color="D9D9D9" w:sz="2" w:space="0"/>
            </w:tcBorders>
          </w:tcPr>
          <w:p w:rsidR="00C31389" w:rsidRDefault="00561FBD" w14:paraId="7C9CEBDF"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7</w:t>
            </w:r>
          </w:p>
        </w:tc>
        <w:tc>
          <w:tcPr>
            <w:tcW w:w="2339" w:type="dxa"/>
            <w:tcBorders>
              <w:top w:val="single" w:color="D9D9D9" w:sz="2" w:space="0"/>
            </w:tcBorders>
          </w:tcPr>
          <w:p w:rsidR="00C31389" w:rsidRDefault="00C31389" w14:paraId="2B11CA5E" w14:textId="77777777">
            <w:pPr>
              <w:pStyle w:val="TableParagraph"/>
              <w:spacing w:before="0"/>
              <w:rPr>
                <w:rFonts w:ascii="Times New Roman"/>
                <w:sz w:val="20"/>
              </w:rPr>
            </w:pPr>
          </w:p>
        </w:tc>
        <w:tc>
          <w:tcPr>
            <w:tcW w:w="2341" w:type="dxa"/>
            <w:vMerge w:val="restart"/>
            <w:tcBorders>
              <w:top w:val="single" w:color="D9D9D9" w:sz="2" w:space="0"/>
              <w:bottom w:val="single" w:color="D9D9D9" w:sz="2" w:space="0"/>
            </w:tcBorders>
            <w:shd w:val="clear" w:color="auto" w:fill="E0EFCE"/>
          </w:tcPr>
          <w:p w:rsidR="00C31389" w:rsidRDefault="00C31389" w14:paraId="648D3177" w14:textId="77777777">
            <w:pPr>
              <w:pStyle w:val="TableParagraph"/>
              <w:spacing w:before="0"/>
              <w:rPr>
                <w:b/>
              </w:rPr>
            </w:pPr>
          </w:p>
          <w:p w:rsidR="00C31389" w:rsidRDefault="00C31389" w14:paraId="17AFA0B6" w14:textId="77777777">
            <w:pPr>
              <w:pStyle w:val="TableParagraph"/>
              <w:spacing w:before="0"/>
              <w:rPr>
                <w:b/>
              </w:rPr>
            </w:pPr>
          </w:p>
          <w:p w:rsidR="00C31389" w:rsidRDefault="00561FBD" w14:paraId="47B530F8" w14:textId="77777777">
            <w:pPr>
              <w:pStyle w:val="TableParagraph"/>
              <w:spacing w:before="164"/>
              <w:ind w:left="114"/>
              <w:rPr>
                <w:sz w:val="20"/>
              </w:rPr>
            </w:pPr>
            <w:r>
              <w:rPr>
                <w:spacing w:val="-5"/>
                <w:sz w:val="20"/>
              </w:rPr>
              <w:t>SCE</w:t>
            </w:r>
          </w:p>
        </w:tc>
        <w:tc>
          <w:tcPr>
            <w:tcW w:w="2341" w:type="dxa"/>
            <w:vMerge w:val="restart"/>
            <w:tcBorders>
              <w:top w:val="single" w:color="D9D9D9" w:sz="2" w:space="0"/>
              <w:bottom w:val="single" w:color="D9D9D9" w:sz="2" w:space="0"/>
            </w:tcBorders>
            <w:shd w:val="clear" w:color="auto" w:fill="E4E4E4"/>
          </w:tcPr>
          <w:p w:rsidR="00C31389" w:rsidRDefault="00C31389" w14:paraId="0D24858B" w14:textId="77777777">
            <w:pPr>
              <w:pStyle w:val="TableParagraph"/>
              <w:spacing w:before="0"/>
              <w:rPr>
                <w:b/>
              </w:rPr>
            </w:pPr>
          </w:p>
          <w:p w:rsidR="00C31389" w:rsidRDefault="00C31389" w14:paraId="4D23EB1B" w14:textId="77777777">
            <w:pPr>
              <w:pStyle w:val="TableParagraph"/>
              <w:spacing w:before="0"/>
              <w:rPr>
                <w:b/>
              </w:rPr>
            </w:pPr>
          </w:p>
          <w:p w:rsidR="00C31389" w:rsidRDefault="00561FBD" w14:paraId="75FF3AD4" w14:textId="77777777">
            <w:pPr>
              <w:pStyle w:val="TableParagraph"/>
              <w:spacing w:before="164"/>
              <w:ind w:left="114"/>
              <w:rPr>
                <w:sz w:val="20"/>
              </w:rPr>
            </w:pPr>
            <w:r>
              <w:rPr>
                <w:spacing w:val="-5"/>
                <w:sz w:val="20"/>
              </w:rPr>
              <w:t>SCG</w:t>
            </w:r>
          </w:p>
        </w:tc>
      </w:tr>
      <w:tr w:rsidR="00C31389" w14:paraId="7354F35F" w14:textId="77777777">
        <w:trPr>
          <w:trHeight w:val="309"/>
        </w:trPr>
        <w:tc>
          <w:tcPr>
            <w:tcW w:w="2353" w:type="dxa"/>
            <w:tcBorders>
              <w:top w:val="single" w:color="D9D9D9" w:sz="2" w:space="0"/>
              <w:bottom w:val="single" w:color="D9D9D9" w:sz="2" w:space="0"/>
            </w:tcBorders>
          </w:tcPr>
          <w:p w:rsidR="00C31389" w:rsidRDefault="00561FBD" w14:paraId="78C1D19B"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8</w:t>
            </w:r>
          </w:p>
        </w:tc>
        <w:tc>
          <w:tcPr>
            <w:tcW w:w="2339" w:type="dxa"/>
          </w:tcPr>
          <w:p w:rsidR="00C31389" w:rsidRDefault="00C31389" w14:paraId="3E931827" w14:textId="77777777">
            <w:pPr>
              <w:pStyle w:val="TableParagraph"/>
              <w:spacing w:before="0"/>
              <w:rPr>
                <w:rFonts w:ascii="Times New Roman"/>
                <w:sz w:val="20"/>
              </w:rPr>
            </w:pPr>
          </w:p>
        </w:tc>
        <w:tc>
          <w:tcPr>
            <w:tcW w:w="2341" w:type="dxa"/>
            <w:vMerge/>
            <w:tcBorders>
              <w:top w:val="nil"/>
              <w:bottom w:val="single" w:color="D9D9D9" w:sz="2" w:space="0"/>
            </w:tcBorders>
            <w:shd w:val="clear" w:color="auto" w:fill="E0EFCE"/>
          </w:tcPr>
          <w:p w:rsidR="00C31389" w:rsidRDefault="00C31389" w14:paraId="2C1258ED" w14:textId="77777777">
            <w:pPr>
              <w:rPr>
                <w:sz w:val="2"/>
                <w:szCs w:val="2"/>
              </w:rPr>
            </w:pPr>
          </w:p>
        </w:tc>
        <w:tc>
          <w:tcPr>
            <w:tcW w:w="2341" w:type="dxa"/>
            <w:vMerge/>
            <w:tcBorders>
              <w:top w:val="nil"/>
              <w:bottom w:val="single" w:color="D9D9D9" w:sz="2" w:space="0"/>
            </w:tcBorders>
            <w:shd w:val="clear" w:color="auto" w:fill="E4E4E4"/>
          </w:tcPr>
          <w:p w:rsidR="00C31389" w:rsidRDefault="00C31389" w14:paraId="56EA3DE2" w14:textId="77777777">
            <w:pPr>
              <w:rPr>
                <w:sz w:val="2"/>
                <w:szCs w:val="2"/>
              </w:rPr>
            </w:pPr>
          </w:p>
        </w:tc>
      </w:tr>
      <w:tr w:rsidR="00C31389" w14:paraId="1F337B1B" w14:textId="77777777">
        <w:trPr>
          <w:trHeight w:val="310"/>
        </w:trPr>
        <w:tc>
          <w:tcPr>
            <w:tcW w:w="2353" w:type="dxa"/>
            <w:tcBorders>
              <w:top w:val="single" w:color="D9D9D9" w:sz="2" w:space="0"/>
              <w:bottom w:val="single" w:color="D9D9D9" w:sz="2" w:space="0"/>
            </w:tcBorders>
          </w:tcPr>
          <w:p w:rsidR="00C31389" w:rsidRDefault="00561FBD" w14:paraId="1D096F69"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10"/>
                <w:sz w:val="20"/>
              </w:rPr>
              <w:t>9</w:t>
            </w:r>
          </w:p>
        </w:tc>
        <w:tc>
          <w:tcPr>
            <w:tcW w:w="2339" w:type="dxa"/>
          </w:tcPr>
          <w:p w:rsidR="00C31389" w:rsidRDefault="00561FBD" w14:paraId="0E03D834" w14:textId="77777777">
            <w:pPr>
              <w:pStyle w:val="TableParagraph"/>
              <w:ind w:left="114"/>
              <w:rPr>
                <w:sz w:val="20"/>
              </w:rPr>
            </w:pPr>
            <w:r>
              <w:rPr>
                <w:sz w:val="20"/>
              </w:rPr>
              <w:t>2</w:t>
            </w:r>
            <w:r>
              <w:rPr>
                <w:spacing w:val="-1"/>
                <w:sz w:val="20"/>
              </w:rPr>
              <w:t xml:space="preserve"> </w:t>
            </w:r>
            <w:r>
              <w:rPr>
                <w:sz w:val="20"/>
              </w:rPr>
              <w:t>-</w:t>
            </w:r>
            <w:r>
              <w:rPr>
                <w:spacing w:val="-1"/>
                <w:sz w:val="20"/>
              </w:rPr>
              <w:t xml:space="preserve"> </w:t>
            </w:r>
            <w:r>
              <w:rPr>
                <w:spacing w:val="-5"/>
                <w:sz w:val="20"/>
              </w:rPr>
              <w:t>SCE</w:t>
            </w:r>
          </w:p>
        </w:tc>
        <w:tc>
          <w:tcPr>
            <w:tcW w:w="2341" w:type="dxa"/>
            <w:vMerge/>
            <w:tcBorders>
              <w:top w:val="nil"/>
              <w:bottom w:val="single" w:color="D9D9D9" w:sz="2" w:space="0"/>
            </w:tcBorders>
            <w:shd w:val="clear" w:color="auto" w:fill="E0EFCE"/>
          </w:tcPr>
          <w:p w:rsidR="00C31389" w:rsidRDefault="00C31389" w14:paraId="4489FA30" w14:textId="77777777">
            <w:pPr>
              <w:rPr>
                <w:sz w:val="2"/>
                <w:szCs w:val="2"/>
              </w:rPr>
            </w:pPr>
          </w:p>
        </w:tc>
        <w:tc>
          <w:tcPr>
            <w:tcW w:w="2341" w:type="dxa"/>
            <w:vMerge/>
            <w:tcBorders>
              <w:top w:val="nil"/>
              <w:bottom w:val="single" w:color="D9D9D9" w:sz="2" w:space="0"/>
            </w:tcBorders>
            <w:shd w:val="clear" w:color="auto" w:fill="E4E4E4"/>
          </w:tcPr>
          <w:p w:rsidR="00C31389" w:rsidRDefault="00C31389" w14:paraId="7C4FDF39" w14:textId="77777777">
            <w:pPr>
              <w:rPr>
                <w:sz w:val="2"/>
                <w:szCs w:val="2"/>
              </w:rPr>
            </w:pPr>
          </w:p>
        </w:tc>
      </w:tr>
      <w:tr w:rsidR="00C31389" w14:paraId="3D67D832" w14:textId="77777777">
        <w:trPr>
          <w:trHeight w:val="309"/>
        </w:trPr>
        <w:tc>
          <w:tcPr>
            <w:tcW w:w="2353" w:type="dxa"/>
            <w:tcBorders>
              <w:top w:val="single" w:color="D9D9D9" w:sz="2" w:space="0"/>
              <w:bottom w:val="single" w:color="D9D9D9" w:sz="2" w:space="0"/>
            </w:tcBorders>
          </w:tcPr>
          <w:p w:rsidR="00C31389" w:rsidRDefault="00561FBD" w14:paraId="150675C8"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10</w:t>
            </w:r>
          </w:p>
        </w:tc>
        <w:tc>
          <w:tcPr>
            <w:tcW w:w="2339" w:type="dxa"/>
          </w:tcPr>
          <w:p w:rsidR="00C31389" w:rsidRDefault="00C31389" w14:paraId="33E12B43" w14:textId="77777777">
            <w:pPr>
              <w:pStyle w:val="TableParagraph"/>
              <w:spacing w:before="0"/>
              <w:rPr>
                <w:rFonts w:ascii="Times New Roman"/>
                <w:sz w:val="20"/>
              </w:rPr>
            </w:pPr>
          </w:p>
        </w:tc>
        <w:tc>
          <w:tcPr>
            <w:tcW w:w="2341" w:type="dxa"/>
            <w:vMerge/>
            <w:tcBorders>
              <w:top w:val="nil"/>
              <w:bottom w:val="single" w:color="D9D9D9" w:sz="2" w:space="0"/>
            </w:tcBorders>
            <w:shd w:val="clear" w:color="auto" w:fill="E0EFCE"/>
          </w:tcPr>
          <w:p w:rsidR="00C31389" w:rsidRDefault="00C31389" w14:paraId="60456641" w14:textId="77777777">
            <w:pPr>
              <w:rPr>
                <w:sz w:val="2"/>
                <w:szCs w:val="2"/>
              </w:rPr>
            </w:pPr>
          </w:p>
        </w:tc>
        <w:tc>
          <w:tcPr>
            <w:tcW w:w="2341" w:type="dxa"/>
            <w:vMerge/>
            <w:tcBorders>
              <w:top w:val="nil"/>
              <w:bottom w:val="single" w:color="D9D9D9" w:sz="2" w:space="0"/>
            </w:tcBorders>
            <w:shd w:val="clear" w:color="auto" w:fill="E4E4E4"/>
          </w:tcPr>
          <w:p w:rsidR="00C31389" w:rsidRDefault="00C31389" w14:paraId="6170BF4D" w14:textId="77777777">
            <w:pPr>
              <w:rPr>
                <w:sz w:val="2"/>
                <w:szCs w:val="2"/>
              </w:rPr>
            </w:pPr>
          </w:p>
        </w:tc>
      </w:tr>
      <w:tr w:rsidR="00C31389" w14:paraId="7A7C65DC" w14:textId="77777777">
        <w:trPr>
          <w:trHeight w:val="310"/>
        </w:trPr>
        <w:tc>
          <w:tcPr>
            <w:tcW w:w="2353" w:type="dxa"/>
            <w:tcBorders>
              <w:top w:val="single" w:color="D9D9D9" w:sz="2" w:space="0"/>
              <w:bottom w:val="single" w:color="D9D9D9" w:sz="2" w:space="0"/>
            </w:tcBorders>
          </w:tcPr>
          <w:p w:rsidR="00C31389" w:rsidRDefault="00561FBD" w14:paraId="53DDCD3B"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11</w:t>
            </w:r>
          </w:p>
        </w:tc>
        <w:tc>
          <w:tcPr>
            <w:tcW w:w="2339" w:type="dxa"/>
            <w:tcBorders>
              <w:bottom w:val="single" w:color="D9D9D9" w:sz="2" w:space="0"/>
            </w:tcBorders>
          </w:tcPr>
          <w:p w:rsidR="00C31389" w:rsidRDefault="00C31389" w14:paraId="7F172CD1" w14:textId="77777777">
            <w:pPr>
              <w:pStyle w:val="TableParagraph"/>
              <w:spacing w:before="0"/>
              <w:rPr>
                <w:rFonts w:ascii="Times New Roman"/>
                <w:sz w:val="20"/>
              </w:rPr>
            </w:pPr>
          </w:p>
        </w:tc>
        <w:tc>
          <w:tcPr>
            <w:tcW w:w="2341" w:type="dxa"/>
            <w:vMerge/>
            <w:tcBorders>
              <w:top w:val="nil"/>
              <w:bottom w:val="single" w:color="D9D9D9" w:sz="2" w:space="0"/>
            </w:tcBorders>
            <w:shd w:val="clear" w:color="auto" w:fill="E0EFCE"/>
          </w:tcPr>
          <w:p w:rsidR="00C31389" w:rsidRDefault="00C31389" w14:paraId="371F4CB5" w14:textId="77777777">
            <w:pPr>
              <w:rPr>
                <w:sz w:val="2"/>
                <w:szCs w:val="2"/>
              </w:rPr>
            </w:pPr>
          </w:p>
        </w:tc>
        <w:tc>
          <w:tcPr>
            <w:tcW w:w="2341" w:type="dxa"/>
            <w:vMerge/>
            <w:tcBorders>
              <w:top w:val="nil"/>
              <w:bottom w:val="single" w:color="D9D9D9" w:sz="2" w:space="0"/>
            </w:tcBorders>
            <w:shd w:val="clear" w:color="auto" w:fill="E4E4E4"/>
          </w:tcPr>
          <w:p w:rsidR="00C31389" w:rsidRDefault="00C31389" w14:paraId="46CE7C1E" w14:textId="77777777">
            <w:pPr>
              <w:rPr>
                <w:sz w:val="2"/>
                <w:szCs w:val="2"/>
              </w:rPr>
            </w:pPr>
          </w:p>
        </w:tc>
      </w:tr>
      <w:tr w:rsidR="00C31389" w14:paraId="53403FDA" w14:textId="77777777">
        <w:trPr>
          <w:trHeight w:val="309"/>
        </w:trPr>
        <w:tc>
          <w:tcPr>
            <w:tcW w:w="2353" w:type="dxa"/>
            <w:tcBorders>
              <w:top w:val="single" w:color="D9D9D9" w:sz="2" w:space="0"/>
              <w:bottom w:val="single" w:color="D9D9D9" w:sz="2" w:space="0"/>
            </w:tcBorders>
          </w:tcPr>
          <w:p w:rsidR="00C31389" w:rsidRDefault="00561FBD" w14:paraId="115C9665"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12</w:t>
            </w:r>
          </w:p>
        </w:tc>
        <w:tc>
          <w:tcPr>
            <w:tcW w:w="2339" w:type="dxa"/>
            <w:tcBorders>
              <w:top w:val="single" w:color="D9D9D9" w:sz="2" w:space="0"/>
              <w:bottom w:val="single" w:color="D9D9D9" w:sz="2" w:space="0"/>
            </w:tcBorders>
          </w:tcPr>
          <w:p w:rsidR="00C31389" w:rsidRDefault="00561FBD" w14:paraId="280262B4" w14:textId="77777777">
            <w:pPr>
              <w:pStyle w:val="TableParagraph"/>
              <w:ind w:left="114"/>
              <w:rPr>
                <w:sz w:val="20"/>
              </w:rPr>
            </w:pPr>
            <w:r>
              <w:rPr>
                <w:sz w:val="20"/>
              </w:rPr>
              <w:t>3</w:t>
            </w:r>
            <w:r>
              <w:rPr>
                <w:spacing w:val="-1"/>
                <w:sz w:val="20"/>
              </w:rPr>
              <w:t xml:space="preserve"> </w:t>
            </w:r>
            <w:r>
              <w:rPr>
                <w:sz w:val="20"/>
              </w:rPr>
              <w:t>-</w:t>
            </w:r>
            <w:r>
              <w:rPr>
                <w:spacing w:val="-1"/>
                <w:sz w:val="20"/>
              </w:rPr>
              <w:t xml:space="preserve"> </w:t>
            </w:r>
            <w:r>
              <w:rPr>
                <w:spacing w:val="-4"/>
                <w:sz w:val="20"/>
              </w:rPr>
              <w:t>SDG&amp;E</w:t>
            </w:r>
          </w:p>
        </w:tc>
        <w:tc>
          <w:tcPr>
            <w:tcW w:w="2341" w:type="dxa"/>
            <w:tcBorders>
              <w:top w:val="single" w:color="D9D9D9" w:sz="2" w:space="0"/>
              <w:bottom w:val="single" w:color="D9D9D9" w:sz="2" w:space="0"/>
            </w:tcBorders>
            <w:shd w:val="clear" w:color="auto" w:fill="FFE2D0"/>
          </w:tcPr>
          <w:p w:rsidR="00C31389" w:rsidRDefault="00561FBD" w14:paraId="7E916E33" w14:textId="77777777">
            <w:pPr>
              <w:pStyle w:val="TableParagraph"/>
              <w:ind w:left="114"/>
              <w:rPr>
                <w:sz w:val="20"/>
              </w:rPr>
            </w:pPr>
            <w:r>
              <w:rPr>
                <w:spacing w:val="-2"/>
                <w:sz w:val="20"/>
              </w:rPr>
              <w:t>SDG&amp;E</w:t>
            </w:r>
          </w:p>
        </w:tc>
        <w:tc>
          <w:tcPr>
            <w:tcW w:w="2341" w:type="dxa"/>
            <w:tcBorders>
              <w:top w:val="single" w:color="D9D9D9" w:sz="2" w:space="0"/>
              <w:bottom w:val="single" w:color="D9D9D9" w:sz="2" w:space="0"/>
            </w:tcBorders>
            <w:shd w:val="clear" w:color="auto" w:fill="FFE2D0"/>
          </w:tcPr>
          <w:p w:rsidR="00C31389" w:rsidRDefault="00561FBD" w14:paraId="2C3DA06D" w14:textId="77777777">
            <w:pPr>
              <w:pStyle w:val="TableParagraph"/>
              <w:ind w:left="114"/>
              <w:rPr>
                <w:sz w:val="20"/>
              </w:rPr>
            </w:pPr>
            <w:r>
              <w:rPr>
                <w:spacing w:val="-2"/>
                <w:sz w:val="20"/>
              </w:rPr>
              <w:t>SDG&amp;E</w:t>
            </w:r>
          </w:p>
        </w:tc>
      </w:tr>
      <w:tr w:rsidR="00C31389" w14:paraId="6EF883E9" w14:textId="77777777">
        <w:trPr>
          <w:trHeight w:val="310"/>
        </w:trPr>
        <w:tc>
          <w:tcPr>
            <w:tcW w:w="2353" w:type="dxa"/>
            <w:tcBorders>
              <w:top w:val="single" w:color="D9D9D9" w:sz="2" w:space="0"/>
              <w:bottom w:val="single" w:color="D9D9D9" w:sz="2" w:space="0"/>
            </w:tcBorders>
          </w:tcPr>
          <w:p w:rsidR="00C31389" w:rsidRDefault="00561FBD" w14:paraId="62DE6842"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13</w:t>
            </w:r>
          </w:p>
        </w:tc>
        <w:tc>
          <w:tcPr>
            <w:tcW w:w="2339" w:type="dxa"/>
            <w:tcBorders>
              <w:top w:val="single" w:color="D9D9D9" w:sz="2" w:space="0"/>
            </w:tcBorders>
          </w:tcPr>
          <w:p w:rsidR="00C31389" w:rsidRDefault="00C31389" w14:paraId="0952928F" w14:textId="77777777">
            <w:pPr>
              <w:pStyle w:val="TableParagraph"/>
              <w:spacing w:before="0"/>
              <w:rPr>
                <w:rFonts w:ascii="Times New Roman"/>
                <w:sz w:val="20"/>
              </w:rPr>
            </w:pPr>
          </w:p>
        </w:tc>
        <w:tc>
          <w:tcPr>
            <w:tcW w:w="2341" w:type="dxa"/>
            <w:tcBorders>
              <w:top w:val="single" w:color="D9D9D9" w:sz="2" w:space="0"/>
              <w:bottom w:val="single" w:color="D9D9D9" w:sz="2" w:space="0"/>
            </w:tcBorders>
          </w:tcPr>
          <w:p w:rsidR="00C31389" w:rsidRDefault="00561FBD" w14:paraId="3FCD1E9D" w14:textId="77777777">
            <w:pPr>
              <w:pStyle w:val="TableParagraph"/>
              <w:ind w:left="114"/>
              <w:rPr>
                <w:sz w:val="20"/>
              </w:rPr>
            </w:pPr>
            <w:r>
              <w:rPr>
                <w:spacing w:val="-4"/>
                <w:sz w:val="20"/>
              </w:rPr>
              <w:t>SMUD</w:t>
            </w:r>
          </w:p>
        </w:tc>
        <w:tc>
          <w:tcPr>
            <w:tcW w:w="2341" w:type="dxa"/>
            <w:vMerge w:val="restart"/>
            <w:tcBorders>
              <w:top w:val="single" w:color="D9D9D9" w:sz="2" w:space="0"/>
              <w:bottom w:val="single" w:color="D9D9D9" w:sz="2" w:space="0"/>
            </w:tcBorders>
            <w:shd w:val="clear" w:color="auto" w:fill="FDF7D5"/>
          </w:tcPr>
          <w:p w:rsidR="00C31389" w:rsidRDefault="00C31389" w14:paraId="3B1C3C63" w14:textId="77777777">
            <w:pPr>
              <w:pStyle w:val="TableParagraph"/>
              <w:spacing w:before="0"/>
              <w:rPr>
                <w:b/>
              </w:rPr>
            </w:pPr>
          </w:p>
          <w:p w:rsidR="00C31389" w:rsidRDefault="00C31389" w14:paraId="45456327" w14:textId="77777777">
            <w:pPr>
              <w:pStyle w:val="TableParagraph"/>
              <w:spacing w:before="0"/>
              <w:rPr>
                <w:b/>
              </w:rPr>
            </w:pPr>
          </w:p>
          <w:p w:rsidR="00C31389" w:rsidRDefault="00C31389" w14:paraId="11F9AA0F" w14:textId="77777777">
            <w:pPr>
              <w:pStyle w:val="TableParagraph"/>
              <w:spacing w:before="10"/>
              <w:rPr>
                <w:b/>
                <w:sz w:val="26"/>
              </w:rPr>
            </w:pPr>
          </w:p>
          <w:p w:rsidR="00C31389" w:rsidRDefault="00561FBD" w14:paraId="31FDC197" w14:textId="77777777">
            <w:pPr>
              <w:pStyle w:val="TableParagraph"/>
              <w:spacing w:before="0"/>
              <w:ind w:left="114"/>
              <w:rPr>
                <w:sz w:val="20"/>
              </w:rPr>
            </w:pPr>
            <w:r>
              <w:rPr>
                <w:spacing w:val="-4"/>
                <w:sz w:val="20"/>
              </w:rPr>
              <w:t>PG&amp;E</w:t>
            </w:r>
          </w:p>
        </w:tc>
      </w:tr>
      <w:tr w:rsidR="00C31389" w14:paraId="530C7DA4" w14:textId="77777777">
        <w:trPr>
          <w:trHeight w:val="539"/>
        </w:trPr>
        <w:tc>
          <w:tcPr>
            <w:tcW w:w="2353" w:type="dxa"/>
            <w:tcBorders>
              <w:top w:val="single" w:color="D9D9D9" w:sz="2" w:space="0"/>
              <w:bottom w:val="single" w:color="D9D9D9" w:sz="2" w:space="0"/>
            </w:tcBorders>
          </w:tcPr>
          <w:p w:rsidR="00C31389" w:rsidRDefault="00561FBD" w14:paraId="4EE97B7A" w14:textId="77777777">
            <w:pPr>
              <w:pStyle w:val="TableParagraph"/>
              <w:spacing w:before="155"/>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14</w:t>
            </w:r>
          </w:p>
        </w:tc>
        <w:tc>
          <w:tcPr>
            <w:tcW w:w="2339" w:type="dxa"/>
          </w:tcPr>
          <w:p w:rsidR="00C31389" w:rsidRDefault="00C31389" w14:paraId="6E32DEA5" w14:textId="77777777">
            <w:pPr>
              <w:pStyle w:val="TableParagraph"/>
              <w:spacing w:before="0"/>
              <w:rPr>
                <w:rFonts w:ascii="Times New Roman"/>
                <w:sz w:val="20"/>
              </w:rPr>
            </w:pPr>
          </w:p>
        </w:tc>
        <w:tc>
          <w:tcPr>
            <w:tcW w:w="2341" w:type="dxa"/>
            <w:tcBorders>
              <w:top w:val="single" w:color="D9D9D9" w:sz="2" w:space="0"/>
              <w:bottom w:val="single" w:color="D9D9D9" w:sz="2" w:space="0"/>
            </w:tcBorders>
          </w:tcPr>
          <w:p w:rsidR="00C31389" w:rsidRDefault="00561FBD" w14:paraId="30944C4A" w14:textId="77777777">
            <w:pPr>
              <w:pStyle w:val="TableParagraph"/>
              <w:ind w:left="114" w:right="731"/>
              <w:rPr>
                <w:sz w:val="20"/>
              </w:rPr>
            </w:pPr>
            <w:r>
              <w:rPr>
                <w:sz w:val="20"/>
              </w:rPr>
              <w:t>Turlock</w:t>
            </w:r>
            <w:r>
              <w:rPr>
                <w:spacing w:val="-14"/>
                <w:sz w:val="20"/>
              </w:rPr>
              <w:t xml:space="preserve"> </w:t>
            </w:r>
            <w:r>
              <w:rPr>
                <w:sz w:val="20"/>
              </w:rPr>
              <w:t xml:space="preserve">Irrigation </w:t>
            </w:r>
            <w:r>
              <w:rPr>
                <w:spacing w:val="-2"/>
                <w:sz w:val="20"/>
              </w:rPr>
              <w:t>District</w:t>
            </w:r>
          </w:p>
        </w:tc>
        <w:tc>
          <w:tcPr>
            <w:tcW w:w="2341" w:type="dxa"/>
            <w:vMerge/>
            <w:tcBorders>
              <w:top w:val="nil"/>
              <w:bottom w:val="single" w:color="D9D9D9" w:sz="2" w:space="0"/>
            </w:tcBorders>
            <w:shd w:val="clear" w:color="auto" w:fill="FDF7D5"/>
          </w:tcPr>
          <w:p w:rsidR="00C31389" w:rsidRDefault="00C31389" w14:paraId="443F7F89" w14:textId="77777777">
            <w:pPr>
              <w:rPr>
                <w:sz w:val="2"/>
                <w:szCs w:val="2"/>
              </w:rPr>
            </w:pPr>
          </w:p>
        </w:tc>
      </w:tr>
      <w:tr w:rsidR="00C31389" w14:paraId="6236FB20" w14:textId="77777777">
        <w:trPr>
          <w:trHeight w:val="285"/>
        </w:trPr>
        <w:tc>
          <w:tcPr>
            <w:tcW w:w="2353" w:type="dxa"/>
            <w:tcBorders>
              <w:top w:val="single" w:color="D9D9D9" w:sz="2" w:space="0"/>
            </w:tcBorders>
          </w:tcPr>
          <w:p w:rsidR="00C31389" w:rsidRDefault="00C31389" w14:paraId="213CD260" w14:textId="77777777">
            <w:pPr>
              <w:pStyle w:val="TableParagraph"/>
              <w:spacing w:before="0"/>
              <w:rPr>
                <w:rFonts w:ascii="Times New Roman"/>
                <w:sz w:val="20"/>
              </w:rPr>
            </w:pPr>
          </w:p>
        </w:tc>
        <w:tc>
          <w:tcPr>
            <w:tcW w:w="2339" w:type="dxa"/>
          </w:tcPr>
          <w:p w:rsidR="00C31389" w:rsidRDefault="00561FBD" w14:paraId="355F5F87" w14:textId="77777777">
            <w:pPr>
              <w:pStyle w:val="TableParagraph"/>
              <w:spacing w:before="0" w:line="185" w:lineRule="exact"/>
              <w:ind w:left="114"/>
              <w:rPr>
                <w:sz w:val="20"/>
              </w:rPr>
            </w:pPr>
            <w:r>
              <w:rPr>
                <w:sz w:val="20"/>
              </w:rPr>
              <w:t>4</w:t>
            </w:r>
            <w:r>
              <w:rPr>
                <w:spacing w:val="-1"/>
                <w:sz w:val="20"/>
              </w:rPr>
              <w:t xml:space="preserve"> </w:t>
            </w:r>
            <w:r>
              <w:rPr>
                <w:sz w:val="20"/>
              </w:rPr>
              <w:t>-</w:t>
            </w:r>
            <w:r>
              <w:rPr>
                <w:spacing w:val="-1"/>
                <w:sz w:val="20"/>
              </w:rPr>
              <w:t xml:space="preserve"> </w:t>
            </w:r>
            <w:r>
              <w:rPr>
                <w:spacing w:val="-4"/>
                <w:sz w:val="20"/>
              </w:rPr>
              <w:t>NCNC</w:t>
            </w:r>
          </w:p>
        </w:tc>
        <w:tc>
          <w:tcPr>
            <w:tcW w:w="2341" w:type="dxa"/>
            <w:vMerge w:val="restart"/>
            <w:tcBorders>
              <w:top w:val="single" w:color="D9D9D9" w:sz="2" w:space="0"/>
              <w:bottom w:val="single" w:color="D9D9D9" w:sz="2" w:space="0"/>
            </w:tcBorders>
          </w:tcPr>
          <w:p w:rsidR="00C31389" w:rsidRDefault="00561FBD" w14:paraId="26E08FCB" w14:textId="77777777">
            <w:pPr>
              <w:pStyle w:val="TableParagraph"/>
              <w:ind w:left="114" w:right="497"/>
              <w:rPr>
                <w:sz w:val="20"/>
              </w:rPr>
            </w:pPr>
            <w:r>
              <w:rPr>
                <w:sz w:val="20"/>
              </w:rPr>
              <w:t>Other (Modesto, Redding,</w:t>
            </w:r>
            <w:r>
              <w:rPr>
                <w:spacing w:val="-14"/>
                <w:sz w:val="20"/>
              </w:rPr>
              <w:t xml:space="preserve"> </w:t>
            </w:r>
            <w:r>
              <w:rPr>
                <w:sz w:val="20"/>
              </w:rPr>
              <w:t xml:space="preserve">Roseville, Trinity, and Shasta </w:t>
            </w:r>
            <w:r>
              <w:rPr>
                <w:spacing w:val="-2"/>
                <w:sz w:val="20"/>
              </w:rPr>
              <w:t>Lake)</w:t>
            </w:r>
          </w:p>
        </w:tc>
        <w:tc>
          <w:tcPr>
            <w:tcW w:w="2341" w:type="dxa"/>
            <w:vMerge/>
            <w:tcBorders>
              <w:top w:val="nil"/>
              <w:bottom w:val="single" w:color="D9D9D9" w:sz="2" w:space="0"/>
            </w:tcBorders>
            <w:shd w:val="clear" w:color="auto" w:fill="FDF7D5"/>
          </w:tcPr>
          <w:p w:rsidR="00C31389" w:rsidRDefault="00C31389" w14:paraId="0FF918BE" w14:textId="77777777">
            <w:pPr>
              <w:rPr>
                <w:sz w:val="2"/>
                <w:szCs w:val="2"/>
              </w:rPr>
            </w:pPr>
          </w:p>
        </w:tc>
      </w:tr>
      <w:tr w:rsidR="00C31389" w14:paraId="3FE4D724" w14:textId="77777777">
        <w:trPr>
          <w:trHeight w:val="708"/>
        </w:trPr>
        <w:tc>
          <w:tcPr>
            <w:tcW w:w="2353" w:type="dxa"/>
            <w:tcBorders>
              <w:bottom w:val="single" w:color="D9D9D9" w:sz="2" w:space="0"/>
            </w:tcBorders>
          </w:tcPr>
          <w:p w:rsidR="00C31389" w:rsidRDefault="00561FBD" w14:paraId="724CED1D" w14:textId="77777777">
            <w:pPr>
              <w:pStyle w:val="TableParagraph"/>
              <w:spacing w:before="94"/>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15</w:t>
            </w:r>
          </w:p>
        </w:tc>
        <w:tc>
          <w:tcPr>
            <w:tcW w:w="2339" w:type="dxa"/>
            <w:tcBorders>
              <w:bottom w:val="single" w:color="D9D9D9" w:sz="2" w:space="0"/>
            </w:tcBorders>
          </w:tcPr>
          <w:p w:rsidR="00C31389" w:rsidRDefault="00C31389" w14:paraId="0C31605C" w14:textId="77777777">
            <w:pPr>
              <w:pStyle w:val="TableParagraph"/>
              <w:spacing w:before="0"/>
              <w:rPr>
                <w:rFonts w:ascii="Times New Roman"/>
                <w:sz w:val="20"/>
              </w:rPr>
            </w:pPr>
          </w:p>
        </w:tc>
        <w:tc>
          <w:tcPr>
            <w:tcW w:w="2341" w:type="dxa"/>
            <w:vMerge/>
            <w:tcBorders>
              <w:top w:val="nil"/>
              <w:bottom w:val="single" w:color="D9D9D9" w:sz="2" w:space="0"/>
            </w:tcBorders>
          </w:tcPr>
          <w:p w:rsidR="00C31389" w:rsidRDefault="00C31389" w14:paraId="5D4A4F69" w14:textId="77777777">
            <w:pPr>
              <w:rPr>
                <w:sz w:val="2"/>
                <w:szCs w:val="2"/>
              </w:rPr>
            </w:pPr>
          </w:p>
        </w:tc>
        <w:tc>
          <w:tcPr>
            <w:tcW w:w="2341" w:type="dxa"/>
            <w:vMerge/>
            <w:tcBorders>
              <w:top w:val="nil"/>
              <w:bottom w:val="single" w:color="D9D9D9" w:sz="2" w:space="0"/>
            </w:tcBorders>
            <w:shd w:val="clear" w:color="auto" w:fill="FDF7D5"/>
          </w:tcPr>
          <w:p w:rsidR="00C31389" w:rsidRDefault="00C31389" w14:paraId="06D54C82" w14:textId="77777777">
            <w:pPr>
              <w:rPr>
                <w:sz w:val="2"/>
                <w:szCs w:val="2"/>
              </w:rPr>
            </w:pPr>
          </w:p>
        </w:tc>
      </w:tr>
      <w:tr w:rsidR="00C31389" w14:paraId="3C137245" w14:textId="77777777">
        <w:trPr>
          <w:trHeight w:val="266"/>
        </w:trPr>
        <w:tc>
          <w:tcPr>
            <w:tcW w:w="2353" w:type="dxa"/>
            <w:tcBorders>
              <w:top w:val="single" w:color="D9D9D9" w:sz="2" w:space="0"/>
              <w:bottom w:val="single" w:color="D9D9D9" w:sz="2" w:space="0"/>
            </w:tcBorders>
          </w:tcPr>
          <w:p w:rsidR="00C31389" w:rsidRDefault="00561FBD" w14:paraId="491E5798" w14:textId="77777777">
            <w:pPr>
              <w:pStyle w:val="TableParagraph"/>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16</w:t>
            </w:r>
          </w:p>
        </w:tc>
        <w:tc>
          <w:tcPr>
            <w:tcW w:w="2339" w:type="dxa"/>
            <w:tcBorders>
              <w:top w:val="single" w:color="D9D9D9" w:sz="2" w:space="0"/>
            </w:tcBorders>
          </w:tcPr>
          <w:p w:rsidR="00C31389" w:rsidRDefault="00C31389" w14:paraId="2C13420E" w14:textId="77777777">
            <w:pPr>
              <w:pStyle w:val="TableParagraph"/>
              <w:spacing w:before="0"/>
              <w:rPr>
                <w:rFonts w:ascii="Times New Roman"/>
                <w:sz w:val="18"/>
              </w:rPr>
            </w:pPr>
          </w:p>
        </w:tc>
        <w:tc>
          <w:tcPr>
            <w:tcW w:w="2341" w:type="dxa"/>
            <w:vMerge w:val="restart"/>
            <w:tcBorders>
              <w:top w:val="single" w:color="D9D9D9" w:sz="2" w:space="0"/>
              <w:bottom w:val="single" w:color="D9D9D9" w:sz="2" w:space="0"/>
            </w:tcBorders>
          </w:tcPr>
          <w:p w:rsidR="00C31389" w:rsidRDefault="00561FBD" w14:paraId="79D9D2C6" w14:textId="77777777">
            <w:pPr>
              <w:pStyle w:val="TableParagraph"/>
              <w:ind w:left="114" w:right="101"/>
              <w:rPr>
                <w:sz w:val="20"/>
              </w:rPr>
            </w:pPr>
            <w:r>
              <w:rPr>
                <w:sz w:val="20"/>
              </w:rPr>
              <w:t>Los Angeles Department</w:t>
            </w:r>
            <w:r>
              <w:rPr>
                <w:spacing w:val="-14"/>
                <w:sz w:val="20"/>
              </w:rPr>
              <w:t xml:space="preserve"> </w:t>
            </w:r>
            <w:r>
              <w:rPr>
                <w:sz w:val="20"/>
              </w:rPr>
              <w:t>of</w:t>
            </w:r>
            <w:r>
              <w:rPr>
                <w:spacing w:val="-14"/>
                <w:sz w:val="20"/>
              </w:rPr>
              <w:t xml:space="preserve"> </w:t>
            </w:r>
            <w:r>
              <w:rPr>
                <w:sz w:val="20"/>
              </w:rPr>
              <w:t>Water and</w:t>
            </w:r>
            <w:r>
              <w:rPr>
                <w:spacing w:val="-2"/>
                <w:sz w:val="20"/>
              </w:rPr>
              <w:t xml:space="preserve"> </w:t>
            </w:r>
            <w:r>
              <w:rPr>
                <w:sz w:val="20"/>
              </w:rPr>
              <w:t>Power</w:t>
            </w:r>
            <w:r>
              <w:rPr>
                <w:spacing w:val="-1"/>
                <w:sz w:val="20"/>
              </w:rPr>
              <w:t xml:space="preserve"> </w:t>
            </w:r>
            <w:r>
              <w:rPr>
                <w:spacing w:val="-2"/>
                <w:sz w:val="20"/>
              </w:rPr>
              <w:t>(LADWP)</w:t>
            </w:r>
          </w:p>
        </w:tc>
        <w:tc>
          <w:tcPr>
            <w:tcW w:w="2341" w:type="dxa"/>
            <w:vMerge w:val="restart"/>
            <w:tcBorders>
              <w:top w:val="single" w:color="D9D9D9" w:sz="2" w:space="0"/>
              <w:bottom w:val="single" w:color="000000" w:sz="8" w:space="0"/>
            </w:tcBorders>
            <w:shd w:val="clear" w:color="auto" w:fill="E4E4E4"/>
          </w:tcPr>
          <w:p w:rsidR="00C31389" w:rsidRDefault="00C31389" w14:paraId="3477DEE8" w14:textId="77777777">
            <w:pPr>
              <w:pStyle w:val="TableParagraph"/>
              <w:spacing w:before="0"/>
              <w:rPr>
                <w:b/>
              </w:rPr>
            </w:pPr>
          </w:p>
          <w:p w:rsidR="00C31389" w:rsidRDefault="00C31389" w14:paraId="75AF3030" w14:textId="77777777">
            <w:pPr>
              <w:pStyle w:val="TableParagraph"/>
              <w:spacing w:before="0"/>
              <w:rPr>
                <w:b/>
              </w:rPr>
            </w:pPr>
          </w:p>
          <w:p w:rsidR="00C31389" w:rsidRDefault="00C31389" w14:paraId="5CD88D55" w14:textId="77777777">
            <w:pPr>
              <w:pStyle w:val="TableParagraph"/>
              <w:spacing w:before="6"/>
              <w:rPr>
                <w:b/>
                <w:sz w:val="30"/>
              </w:rPr>
            </w:pPr>
          </w:p>
          <w:p w:rsidR="00C31389" w:rsidRDefault="00561FBD" w14:paraId="7AB2E54B" w14:textId="77777777">
            <w:pPr>
              <w:pStyle w:val="TableParagraph"/>
              <w:spacing w:before="0"/>
              <w:ind w:left="114"/>
              <w:rPr>
                <w:sz w:val="20"/>
              </w:rPr>
            </w:pPr>
            <w:r>
              <w:rPr>
                <w:spacing w:val="-5"/>
                <w:sz w:val="20"/>
              </w:rPr>
              <w:t>SCG</w:t>
            </w:r>
          </w:p>
        </w:tc>
      </w:tr>
      <w:tr w:rsidR="00C31389" w14:paraId="7F438C4E" w14:textId="77777777">
        <w:trPr>
          <w:trHeight w:val="475"/>
        </w:trPr>
        <w:tc>
          <w:tcPr>
            <w:tcW w:w="2353" w:type="dxa"/>
            <w:tcBorders>
              <w:top w:val="single" w:color="D9D9D9" w:sz="2" w:space="0"/>
              <w:bottom w:val="single" w:color="D9D9D9" w:sz="2" w:space="0"/>
            </w:tcBorders>
          </w:tcPr>
          <w:p w:rsidR="00C31389" w:rsidRDefault="00561FBD" w14:paraId="51139D01" w14:textId="77777777">
            <w:pPr>
              <w:pStyle w:val="TableParagraph"/>
              <w:spacing w:before="104"/>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17</w:t>
            </w:r>
          </w:p>
        </w:tc>
        <w:tc>
          <w:tcPr>
            <w:tcW w:w="2339" w:type="dxa"/>
            <w:tcBorders>
              <w:bottom w:val="single" w:color="D9D9D9" w:sz="2" w:space="0"/>
            </w:tcBorders>
          </w:tcPr>
          <w:p w:rsidR="00C31389" w:rsidRDefault="00561FBD" w14:paraId="787B0454" w14:textId="77777777">
            <w:pPr>
              <w:pStyle w:val="TableParagraph"/>
              <w:spacing w:before="0" w:line="214" w:lineRule="exact"/>
              <w:ind w:left="114"/>
              <w:rPr>
                <w:sz w:val="20"/>
              </w:rPr>
            </w:pPr>
            <w:r>
              <w:rPr>
                <w:sz w:val="20"/>
              </w:rPr>
              <w:t>5</w:t>
            </w:r>
            <w:r>
              <w:rPr>
                <w:spacing w:val="-1"/>
                <w:sz w:val="20"/>
              </w:rPr>
              <w:t xml:space="preserve"> </w:t>
            </w:r>
            <w:r>
              <w:rPr>
                <w:sz w:val="20"/>
              </w:rPr>
              <w:t>-</w:t>
            </w:r>
            <w:r>
              <w:rPr>
                <w:spacing w:val="-1"/>
                <w:sz w:val="20"/>
              </w:rPr>
              <w:t xml:space="preserve"> </w:t>
            </w:r>
            <w:r>
              <w:rPr>
                <w:spacing w:val="-4"/>
                <w:sz w:val="20"/>
              </w:rPr>
              <w:t>LADWP</w:t>
            </w:r>
          </w:p>
        </w:tc>
        <w:tc>
          <w:tcPr>
            <w:tcW w:w="2341" w:type="dxa"/>
            <w:vMerge/>
            <w:tcBorders>
              <w:top w:val="nil"/>
              <w:bottom w:val="single" w:color="D9D9D9" w:sz="2" w:space="0"/>
            </w:tcBorders>
          </w:tcPr>
          <w:p w:rsidR="00C31389" w:rsidRDefault="00C31389" w14:paraId="226209F9" w14:textId="77777777">
            <w:pPr>
              <w:rPr>
                <w:sz w:val="2"/>
                <w:szCs w:val="2"/>
              </w:rPr>
            </w:pPr>
          </w:p>
        </w:tc>
        <w:tc>
          <w:tcPr>
            <w:tcW w:w="2341" w:type="dxa"/>
            <w:vMerge/>
            <w:tcBorders>
              <w:top w:val="nil"/>
              <w:bottom w:val="single" w:color="000000" w:sz="8" w:space="0"/>
            </w:tcBorders>
            <w:shd w:val="clear" w:color="auto" w:fill="E4E4E4"/>
          </w:tcPr>
          <w:p w:rsidR="00C31389" w:rsidRDefault="00C31389" w14:paraId="262547E3" w14:textId="77777777">
            <w:pPr>
              <w:rPr>
                <w:sz w:val="2"/>
                <w:szCs w:val="2"/>
              </w:rPr>
            </w:pPr>
          </w:p>
        </w:tc>
      </w:tr>
      <w:tr w:rsidR="00C31389" w14:paraId="510E25A0" w14:textId="77777777">
        <w:trPr>
          <w:trHeight w:val="294"/>
        </w:trPr>
        <w:tc>
          <w:tcPr>
            <w:tcW w:w="2353" w:type="dxa"/>
            <w:tcBorders>
              <w:top w:val="single" w:color="D9D9D9" w:sz="2" w:space="0"/>
              <w:bottom w:val="single" w:color="D9D9D9" w:sz="2" w:space="0"/>
            </w:tcBorders>
          </w:tcPr>
          <w:p w:rsidR="00C31389" w:rsidRDefault="00561FBD" w14:paraId="5D6A790E" w14:textId="77777777">
            <w:pPr>
              <w:pStyle w:val="TableParagraph"/>
              <w:spacing w:before="33"/>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18</w:t>
            </w:r>
          </w:p>
        </w:tc>
        <w:tc>
          <w:tcPr>
            <w:tcW w:w="2339" w:type="dxa"/>
            <w:tcBorders>
              <w:top w:val="single" w:color="D9D9D9" w:sz="2" w:space="0"/>
              <w:bottom w:val="single" w:color="D9D9D9" w:sz="2" w:space="0"/>
            </w:tcBorders>
          </w:tcPr>
          <w:p w:rsidR="00C31389" w:rsidRDefault="00561FBD" w14:paraId="58B2FD81" w14:textId="77777777">
            <w:pPr>
              <w:pStyle w:val="TableParagraph"/>
              <w:spacing w:before="33"/>
              <w:ind w:left="114"/>
              <w:rPr>
                <w:sz w:val="20"/>
              </w:rPr>
            </w:pPr>
            <w:r>
              <w:rPr>
                <w:sz w:val="20"/>
              </w:rPr>
              <w:t>6</w:t>
            </w:r>
            <w:r>
              <w:rPr>
                <w:spacing w:val="-1"/>
                <w:sz w:val="20"/>
              </w:rPr>
              <w:t xml:space="preserve"> </w:t>
            </w:r>
            <w:r>
              <w:rPr>
                <w:sz w:val="20"/>
              </w:rPr>
              <w:t xml:space="preserve">- </w:t>
            </w:r>
            <w:r>
              <w:rPr>
                <w:spacing w:val="-2"/>
                <w:sz w:val="20"/>
              </w:rPr>
              <w:t>Burbank/Glendale</w:t>
            </w:r>
          </w:p>
        </w:tc>
        <w:tc>
          <w:tcPr>
            <w:tcW w:w="2341" w:type="dxa"/>
            <w:tcBorders>
              <w:top w:val="single" w:color="D9D9D9" w:sz="2" w:space="0"/>
              <w:bottom w:val="single" w:color="D9D9D9" w:sz="2" w:space="0"/>
            </w:tcBorders>
          </w:tcPr>
          <w:p w:rsidR="00C31389" w:rsidRDefault="00561FBD" w14:paraId="65B41B86" w14:textId="77777777">
            <w:pPr>
              <w:pStyle w:val="TableParagraph"/>
              <w:spacing w:before="33"/>
              <w:ind w:left="114"/>
              <w:rPr>
                <w:sz w:val="20"/>
              </w:rPr>
            </w:pPr>
            <w:r>
              <w:rPr>
                <w:spacing w:val="-2"/>
                <w:sz w:val="20"/>
              </w:rPr>
              <w:t>Burbank/Glendale</w:t>
            </w:r>
          </w:p>
        </w:tc>
        <w:tc>
          <w:tcPr>
            <w:tcW w:w="2341" w:type="dxa"/>
            <w:vMerge/>
            <w:tcBorders>
              <w:top w:val="nil"/>
              <w:bottom w:val="single" w:color="000000" w:sz="8" w:space="0"/>
            </w:tcBorders>
            <w:shd w:val="clear" w:color="auto" w:fill="E4E4E4"/>
          </w:tcPr>
          <w:p w:rsidR="00C31389" w:rsidRDefault="00C31389" w14:paraId="4990BF77" w14:textId="77777777">
            <w:pPr>
              <w:rPr>
                <w:sz w:val="2"/>
                <w:szCs w:val="2"/>
              </w:rPr>
            </w:pPr>
          </w:p>
        </w:tc>
      </w:tr>
      <w:tr w:rsidR="00C31389" w14:paraId="67261E40" w14:textId="77777777">
        <w:trPr>
          <w:trHeight w:val="524"/>
        </w:trPr>
        <w:tc>
          <w:tcPr>
            <w:tcW w:w="2353" w:type="dxa"/>
            <w:tcBorders>
              <w:top w:val="single" w:color="D9D9D9" w:sz="2" w:space="0"/>
              <w:bottom w:val="single" w:color="D9D9D9" w:sz="2" w:space="0"/>
            </w:tcBorders>
          </w:tcPr>
          <w:p w:rsidR="00C31389" w:rsidRDefault="00561FBD" w14:paraId="26C64C75" w14:textId="77777777">
            <w:pPr>
              <w:pStyle w:val="TableParagraph"/>
              <w:spacing w:before="148"/>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19</w:t>
            </w:r>
          </w:p>
        </w:tc>
        <w:tc>
          <w:tcPr>
            <w:tcW w:w="2339" w:type="dxa"/>
            <w:tcBorders>
              <w:top w:val="single" w:color="D9D9D9" w:sz="2" w:space="0"/>
              <w:bottom w:val="single" w:color="D9D9D9" w:sz="2" w:space="0"/>
            </w:tcBorders>
          </w:tcPr>
          <w:p w:rsidR="00C31389" w:rsidRDefault="00561FBD" w14:paraId="206FFC79" w14:textId="77777777">
            <w:pPr>
              <w:pStyle w:val="TableParagraph"/>
              <w:spacing w:before="148"/>
              <w:ind w:left="114"/>
              <w:rPr>
                <w:sz w:val="20"/>
              </w:rPr>
            </w:pPr>
            <w:r>
              <w:rPr>
                <w:sz w:val="20"/>
              </w:rPr>
              <w:t>7</w:t>
            </w:r>
            <w:r>
              <w:rPr>
                <w:spacing w:val="-1"/>
                <w:sz w:val="20"/>
              </w:rPr>
              <w:t xml:space="preserve"> </w:t>
            </w:r>
            <w:r>
              <w:rPr>
                <w:sz w:val="20"/>
              </w:rPr>
              <w:t>-</w:t>
            </w:r>
            <w:r>
              <w:rPr>
                <w:spacing w:val="-1"/>
                <w:sz w:val="20"/>
              </w:rPr>
              <w:t xml:space="preserve"> </w:t>
            </w:r>
            <w:r>
              <w:rPr>
                <w:spacing w:val="-5"/>
                <w:sz w:val="20"/>
              </w:rPr>
              <w:t>IID</w:t>
            </w:r>
          </w:p>
        </w:tc>
        <w:tc>
          <w:tcPr>
            <w:tcW w:w="2341" w:type="dxa"/>
            <w:tcBorders>
              <w:top w:val="single" w:color="D9D9D9" w:sz="2" w:space="0"/>
              <w:bottom w:val="single" w:color="D9D9D9" w:sz="2" w:space="0"/>
            </w:tcBorders>
          </w:tcPr>
          <w:p w:rsidR="00C31389" w:rsidRDefault="00561FBD" w14:paraId="03356AE1" w14:textId="77777777">
            <w:pPr>
              <w:pStyle w:val="TableParagraph"/>
              <w:spacing w:before="34"/>
              <w:ind w:left="114" w:right="675"/>
              <w:rPr>
                <w:sz w:val="20"/>
              </w:rPr>
            </w:pPr>
            <w:r>
              <w:rPr>
                <w:sz w:val="20"/>
              </w:rPr>
              <w:t>Imperial</w:t>
            </w:r>
            <w:r>
              <w:rPr>
                <w:spacing w:val="-14"/>
                <w:sz w:val="20"/>
              </w:rPr>
              <w:t xml:space="preserve"> </w:t>
            </w:r>
            <w:r>
              <w:rPr>
                <w:sz w:val="20"/>
              </w:rPr>
              <w:t xml:space="preserve">Irrigation </w:t>
            </w:r>
            <w:r>
              <w:rPr>
                <w:spacing w:val="-2"/>
                <w:sz w:val="20"/>
              </w:rPr>
              <w:t>District</w:t>
            </w:r>
          </w:p>
        </w:tc>
        <w:tc>
          <w:tcPr>
            <w:tcW w:w="2341" w:type="dxa"/>
            <w:vMerge/>
            <w:tcBorders>
              <w:top w:val="nil"/>
              <w:bottom w:val="single" w:color="000000" w:sz="8" w:space="0"/>
            </w:tcBorders>
            <w:shd w:val="clear" w:color="auto" w:fill="E4E4E4"/>
          </w:tcPr>
          <w:p w:rsidR="00C31389" w:rsidRDefault="00C31389" w14:paraId="3351E0B4" w14:textId="77777777">
            <w:pPr>
              <w:rPr>
                <w:sz w:val="2"/>
                <w:szCs w:val="2"/>
              </w:rPr>
            </w:pPr>
          </w:p>
        </w:tc>
      </w:tr>
      <w:tr w:rsidR="00C31389" w14:paraId="797BCF1A" w14:textId="77777777">
        <w:trPr>
          <w:trHeight w:val="303"/>
        </w:trPr>
        <w:tc>
          <w:tcPr>
            <w:tcW w:w="2353" w:type="dxa"/>
            <w:tcBorders>
              <w:top w:val="single" w:color="D9D9D9" w:sz="2" w:space="0"/>
              <w:bottom w:val="single" w:color="000000" w:sz="8" w:space="0"/>
            </w:tcBorders>
          </w:tcPr>
          <w:p w:rsidR="00C31389" w:rsidRDefault="00561FBD" w14:paraId="3C636B52" w14:textId="77777777">
            <w:pPr>
              <w:pStyle w:val="TableParagraph"/>
              <w:spacing w:before="34"/>
              <w:ind w:left="128"/>
              <w:rPr>
                <w:sz w:val="20"/>
              </w:rPr>
            </w:pPr>
            <w:r>
              <w:rPr>
                <w:sz w:val="20"/>
              </w:rPr>
              <w:t>Climate</w:t>
            </w:r>
            <w:r>
              <w:rPr>
                <w:spacing w:val="-5"/>
                <w:sz w:val="20"/>
              </w:rPr>
              <w:t xml:space="preserve"> </w:t>
            </w:r>
            <w:r>
              <w:rPr>
                <w:sz w:val="20"/>
              </w:rPr>
              <w:t>Zone</w:t>
            </w:r>
            <w:r>
              <w:rPr>
                <w:spacing w:val="-4"/>
                <w:sz w:val="20"/>
              </w:rPr>
              <w:t xml:space="preserve"> </w:t>
            </w:r>
            <w:r>
              <w:rPr>
                <w:spacing w:val="-5"/>
                <w:sz w:val="20"/>
              </w:rPr>
              <w:t>20</w:t>
            </w:r>
          </w:p>
        </w:tc>
        <w:tc>
          <w:tcPr>
            <w:tcW w:w="2339" w:type="dxa"/>
            <w:tcBorders>
              <w:top w:val="single" w:color="D9D9D9" w:sz="2" w:space="0"/>
              <w:bottom w:val="single" w:color="000000" w:sz="8" w:space="0"/>
            </w:tcBorders>
          </w:tcPr>
          <w:p w:rsidR="00C31389" w:rsidRDefault="00561FBD" w14:paraId="4D18FC1C" w14:textId="77777777">
            <w:pPr>
              <w:pStyle w:val="TableParagraph"/>
              <w:spacing w:before="34"/>
              <w:ind w:left="114"/>
              <w:rPr>
                <w:sz w:val="20"/>
              </w:rPr>
            </w:pPr>
            <w:r>
              <w:rPr>
                <w:sz w:val="20"/>
              </w:rPr>
              <w:t>8</w:t>
            </w:r>
            <w:r>
              <w:rPr>
                <w:spacing w:val="-2"/>
                <w:sz w:val="20"/>
              </w:rPr>
              <w:t xml:space="preserve"> </w:t>
            </w:r>
            <w:r>
              <w:rPr>
                <w:sz w:val="20"/>
              </w:rPr>
              <w:t>-</w:t>
            </w:r>
            <w:r>
              <w:rPr>
                <w:spacing w:val="-1"/>
                <w:sz w:val="20"/>
              </w:rPr>
              <w:t xml:space="preserve"> </w:t>
            </w:r>
            <w:r>
              <w:rPr>
                <w:sz w:val="20"/>
              </w:rPr>
              <w:t>Valley</w:t>
            </w:r>
            <w:r>
              <w:rPr>
                <w:spacing w:val="-1"/>
                <w:sz w:val="20"/>
              </w:rPr>
              <w:t xml:space="preserve"> </w:t>
            </w:r>
            <w:r>
              <w:rPr>
                <w:spacing w:val="-2"/>
                <w:sz w:val="20"/>
              </w:rPr>
              <w:t>Electric</w:t>
            </w:r>
          </w:p>
        </w:tc>
        <w:tc>
          <w:tcPr>
            <w:tcW w:w="2341" w:type="dxa"/>
            <w:tcBorders>
              <w:top w:val="single" w:color="D9D9D9" w:sz="2" w:space="0"/>
              <w:bottom w:val="single" w:color="000000" w:sz="8" w:space="0"/>
            </w:tcBorders>
          </w:tcPr>
          <w:p w:rsidR="00C31389" w:rsidRDefault="00561FBD" w14:paraId="528C9769" w14:textId="77777777">
            <w:pPr>
              <w:pStyle w:val="TableParagraph"/>
              <w:spacing w:before="34"/>
              <w:ind w:left="114"/>
              <w:rPr>
                <w:sz w:val="20"/>
              </w:rPr>
            </w:pPr>
            <w:r>
              <w:rPr>
                <w:sz w:val="20"/>
              </w:rPr>
              <w:t>Valley</w:t>
            </w:r>
            <w:r>
              <w:rPr>
                <w:spacing w:val="-5"/>
                <w:sz w:val="20"/>
              </w:rPr>
              <w:t xml:space="preserve"> </w:t>
            </w:r>
            <w:r>
              <w:rPr>
                <w:spacing w:val="-2"/>
                <w:sz w:val="20"/>
              </w:rPr>
              <w:t>Electric</w:t>
            </w:r>
          </w:p>
        </w:tc>
        <w:tc>
          <w:tcPr>
            <w:tcW w:w="2341" w:type="dxa"/>
            <w:vMerge/>
            <w:tcBorders>
              <w:top w:val="nil"/>
              <w:bottom w:val="single" w:color="000000" w:sz="8" w:space="0"/>
            </w:tcBorders>
            <w:shd w:val="clear" w:color="auto" w:fill="E4E4E4"/>
          </w:tcPr>
          <w:p w:rsidR="00C31389" w:rsidRDefault="00C31389" w14:paraId="76997DCB" w14:textId="77777777">
            <w:pPr>
              <w:rPr>
                <w:sz w:val="2"/>
                <w:szCs w:val="2"/>
              </w:rPr>
            </w:pPr>
          </w:p>
        </w:tc>
      </w:tr>
    </w:tbl>
    <w:p w:rsidR="00C31389" w:rsidRDefault="00561FBD" w14:paraId="1DC50A1D" w14:textId="77777777">
      <w:pPr>
        <w:spacing w:before="83"/>
        <w:ind w:left="480"/>
        <w:rPr>
          <w:i/>
          <w:sz w:val="18"/>
        </w:rPr>
      </w:pPr>
      <w:r>
        <w:rPr>
          <w:i/>
          <w:sz w:val="18"/>
        </w:rPr>
        <w:t>Source:</w:t>
      </w:r>
      <w:r>
        <w:rPr>
          <w:i/>
          <w:spacing w:val="-4"/>
          <w:sz w:val="18"/>
        </w:rPr>
        <w:t xml:space="preserve"> </w:t>
      </w:r>
      <w:r>
        <w:rPr>
          <w:i/>
          <w:spacing w:val="-5"/>
          <w:sz w:val="18"/>
        </w:rPr>
        <w:t>CEC</w:t>
      </w:r>
    </w:p>
    <w:p w:rsidR="00C31389" w:rsidRDefault="00C31389" w14:paraId="2B21C324" w14:textId="77777777">
      <w:pPr>
        <w:rPr>
          <w:sz w:val="18"/>
        </w:rPr>
        <w:sectPr w:rsidR="00C31389">
          <w:pgSz w:w="12240" w:h="15840"/>
          <w:pgMar w:top="1380" w:right="960" w:bottom="1120" w:left="960" w:header="397" w:footer="936" w:gutter="0"/>
          <w:cols w:space="720"/>
        </w:sectPr>
      </w:pPr>
    </w:p>
    <w:p w:rsidR="00C31389" w:rsidRDefault="00C31389" w14:paraId="4948164B" w14:textId="77777777">
      <w:pPr>
        <w:pStyle w:val="BodyText"/>
        <w:rPr>
          <w:i/>
        </w:rPr>
      </w:pPr>
    </w:p>
    <w:p w:rsidR="00C31389" w:rsidRDefault="00C31389" w14:paraId="305152D7" w14:textId="77777777">
      <w:pPr>
        <w:pStyle w:val="BodyText"/>
        <w:spacing w:before="11"/>
        <w:rPr>
          <w:i/>
          <w:sz w:val="13"/>
        </w:rPr>
      </w:pPr>
    </w:p>
    <w:p w:rsidR="00C31389" w:rsidRDefault="00561FBD" w14:paraId="3AE3D25B" w14:textId="77777777">
      <w:pPr>
        <w:pStyle w:val="Heading4"/>
        <w:numPr>
          <w:ilvl w:val="2"/>
          <w:numId w:val="71"/>
        </w:numPr>
        <w:tabs>
          <w:tab w:val="left" w:pos="1076"/>
        </w:tabs>
        <w:spacing w:before="92"/>
        <w:ind w:left="1076" w:hanging="596"/>
      </w:pPr>
      <w:bookmarkStart w:name="3.1.3_Historical_Rebate_Program_Activity" w:id="141"/>
      <w:bookmarkStart w:name="_bookmark106" w:id="142"/>
      <w:bookmarkEnd w:id="141"/>
      <w:bookmarkEnd w:id="142"/>
      <w:r>
        <w:t>Historical</w:t>
      </w:r>
      <w:r>
        <w:rPr>
          <w:spacing w:val="-5"/>
        </w:rPr>
        <w:t xml:space="preserve"> </w:t>
      </w:r>
      <w:r>
        <w:t>Rebate</w:t>
      </w:r>
      <w:r>
        <w:rPr>
          <w:spacing w:val="-4"/>
        </w:rPr>
        <w:t xml:space="preserve"> </w:t>
      </w:r>
      <w:r>
        <w:t>Program</w:t>
      </w:r>
      <w:r>
        <w:rPr>
          <w:spacing w:val="-4"/>
        </w:rPr>
        <w:t xml:space="preserve"> </w:t>
      </w:r>
      <w:r>
        <w:rPr>
          <w:spacing w:val="-2"/>
        </w:rPr>
        <w:t>Activity</w:t>
      </w:r>
    </w:p>
    <w:p w:rsidR="00C31389" w:rsidRDefault="00C31389" w14:paraId="5109B524" w14:textId="77777777">
      <w:pPr>
        <w:pStyle w:val="BodyText"/>
        <w:spacing w:before="10"/>
        <w:rPr>
          <w:b/>
          <w:sz w:val="20"/>
        </w:rPr>
      </w:pPr>
    </w:p>
    <w:p w:rsidR="00C31389" w:rsidRDefault="00561FBD" w14:paraId="7C76F5E0" w14:textId="77777777">
      <w:pPr>
        <w:pStyle w:val="BodyText"/>
        <w:ind w:left="479" w:right="533"/>
      </w:pPr>
      <w:r>
        <w:t xml:space="preserve">The historical rebate program achievements for each of the </w:t>
      </w:r>
      <w:r>
        <w:t>IOUs are important inputs to calibrate the forecast of rebate programs. The CPUC maintains CEDARS, an online resource that collects program achievement data, for public use. These datasets include program savings, expenditures, cost-effectiveness, and emis</w:t>
      </w:r>
      <w:r>
        <w:t>sions for EE programs statewide. For the 2023</w:t>
      </w:r>
      <w:r>
        <w:rPr>
          <w:spacing w:val="-3"/>
        </w:rPr>
        <w:t xml:space="preserve"> </w:t>
      </w:r>
      <w:r>
        <w:t>Study,</w:t>
      </w:r>
      <w:r>
        <w:rPr>
          <w:spacing w:val="-4"/>
        </w:rPr>
        <w:t xml:space="preserve"> </w:t>
      </w:r>
      <w:r>
        <w:t>the</w:t>
      </w:r>
      <w:r>
        <w:rPr>
          <w:spacing w:val="-3"/>
        </w:rPr>
        <w:t xml:space="preserve"> </w:t>
      </w:r>
      <w:r>
        <w:t>team</w:t>
      </w:r>
      <w:r>
        <w:rPr>
          <w:spacing w:val="-4"/>
        </w:rPr>
        <w:t xml:space="preserve"> </w:t>
      </w:r>
      <w:r>
        <w:t>used</w:t>
      </w:r>
      <w:r>
        <w:rPr>
          <w:spacing w:val="-3"/>
        </w:rPr>
        <w:t xml:space="preserve"> </w:t>
      </w:r>
      <w:r>
        <w:t>this</w:t>
      </w:r>
      <w:r>
        <w:rPr>
          <w:spacing w:val="-3"/>
        </w:rPr>
        <w:t xml:space="preserve"> </w:t>
      </w:r>
      <w:r>
        <w:t>dataset</w:t>
      </w:r>
      <w:r>
        <w:rPr>
          <w:spacing w:val="-3"/>
        </w:rPr>
        <w:t xml:space="preserve"> </w:t>
      </w:r>
      <w:r>
        <w:t>to</w:t>
      </w:r>
      <w:r>
        <w:rPr>
          <w:spacing w:val="-3"/>
        </w:rPr>
        <w:t xml:space="preserve"> </w:t>
      </w:r>
      <w:r>
        <w:t>quantify</w:t>
      </w:r>
      <w:r>
        <w:rPr>
          <w:spacing w:val="-3"/>
        </w:rPr>
        <w:t xml:space="preserve"> </w:t>
      </w:r>
      <w:r>
        <w:t>historical</w:t>
      </w:r>
      <w:r>
        <w:rPr>
          <w:spacing w:val="-4"/>
        </w:rPr>
        <w:t xml:space="preserve"> </w:t>
      </w:r>
      <w:r>
        <w:t>portfolio</w:t>
      </w:r>
      <w:r>
        <w:rPr>
          <w:spacing w:val="-3"/>
        </w:rPr>
        <w:t xml:space="preserve"> </w:t>
      </w:r>
      <w:r>
        <w:t>net</w:t>
      </w:r>
      <w:r>
        <w:rPr>
          <w:spacing w:val="-4"/>
        </w:rPr>
        <w:t xml:space="preserve"> </w:t>
      </w:r>
      <w:r>
        <w:t>and</w:t>
      </w:r>
      <w:r>
        <w:rPr>
          <w:spacing w:val="-3"/>
        </w:rPr>
        <w:t xml:space="preserve"> </w:t>
      </w:r>
      <w:r>
        <w:t>gross</w:t>
      </w:r>
      <w:r>
        <w:rPr>
          <w:spacing w:val="-3"/>
        </w:rPr>
        <w:t xml:space="preserve"> </w:t>
      </w:r>
      <w:r>
        <w:t>savings</w:t>
      </w:r>
      <w:r>
        <w:rPr>
          <w:spacing w:val="-3"/>
        </w:rPr>
        <w:t xml:space="preserve"> </w:t>
      </w:r>
      <w:r>
        <w:t>for each utility, sector, and end use.</w:t>
      </w:r>
    </w:p>
    <w:p w:rsidR="00C31389" w:rsidRDefault="00C31389" w14:paraId="7AC37D5F" w14:textId="77777777">
      <w:pPr>
        <w:pStyle w:val="BodyText"/>
        <w:spacing w:before="10"/>
        <w:rPr>
          <w:sz w:val="20"/>
        </w:rPr>
      </w:pPr>
    </w:p>
    <w:p w:rsidR="00C31389" w:rsidRDefault="00561FBD" w14:paraId="38AD8E0A" w14:textId="77777777">
      <w:pPr>
        <w:pStyle w:val="BodyText"/>
        <w:ind w:left="480" w:right="520" w:hanging="1"/>
      </w:pPr>
      <w:hyperlink w:history="1" w:anchor="_bookmark107">
        <w:r>
          <w:t>Table 3-5</w:t>
        </w:r>
      </w:hyperlink>
      <w:r>
        <w:t xml:space="preserve"> provides the 2018-2021 gross ex post savings at the utility and sector levels for EE programs, which informed calibration. Actual calibration was conducted at the end use level. Some program savings were not modeled as a</w:t>
      </w:r>
      <w:r>
        <w:t xml:space="preserve"> rebate program; those savings are excluded from</w:t>
      </w:r>
      <w:r>
        <w:rPr>
          <w:spacing w:val="-4"/>
        </w:rPr>
        <w:t xml:space="preserve"> </w:t>
      </w:r>
      <w:r>
        <w:t>this</w:t>
      </w:r>
      <w:r>
        <w:rPr>
          <w:spacing w:val="-3"/>
        </w:rPr>
        <w:t xml:space="preserve"> </w:t>
      </w:r>
      <w:r>
        <w:t>analysis.</w:t>
      </w:r>
      <w:r>
        <w:rPr>
          <w:spacing w:val="-3"/>
        </w:rPr>
        <w:t xml:space="preserve"> </w:t>
      </w:r>
      <w:r>
        <w:t>For</w:t>
      </w:r>
      <w:r>
        <w:rPr>
          <w:spacing w:val="-3"/>
        </w:rPr>
        <w:t xml:space="preserve"> </w:t>
      </w:r>
      <w:r>
        <w:t>example,</w:t>
      </w:r>
      <w:r>
        <w:rPr>
          <w:spacing w:val="-3"/>
        </w:rPr>
        <w:t xml:space="preserve"> </w:t>
      </w:r>
      <w:r>
        <w:t>residential</w:t>
      </w:r>
      <w:r>
        <w:rPr>
          <w:spacing w:val="-3"/>
        </w:rPr>
        <w:t xml:space="preserve"> </w:t>
      </w:r>
      <w:r>
        <w:t>HERs</w:t>
      </w:r>
      <w:r>
        <w:rPr>
          <w:spacing w:val="-3"/>
        </w:rPr>
        <w:t xml:space="preserve"> </w:t>
      </w:r>
      <w:r>
        <w:t>and</w:t>
      </w:r>
      <w:r>
        <w:rPr>
          <w:spacing w:val="-3"/>
        </w:rPr>
        <w:t xml:space="preserve"> </w:t>
      </w:r>
      <w:r>
        <w:t>RCx</w:t>
      </w:r>
      <w:r>
        <w:rPr>
          <w:spacing w:val="-2"/>
        </w:rPr>
        <w:t xml:space="preserve"> </w:t>
      </w:r>
      <w:r>
        <w:t>fall</w:t>
      </w:r>
      <w:r>
        <w:rPr>
          <w:spacing w:val="-3"/>
        </w:rPr>
        <w:t xml:space="preserve"> </w:t>
      </w:r>
      <w:r>
        <w:t>under</w:t>
      </w:r>
      <w:r>
        <w:rPr>
          <w:spacing w:val="-3"/>
        </w:rPr>
        <w:t xml:space="preserve"> </w:t>
      </w:r>
      <w:r>
        <w:t>the</w:t>
      </w:r>
      <w:r>
        <w:rPr>
          <w:spacing w:val="-4"/>
        </w:rPr>
        <w:t xml:space="preserve"> </w:t>
      </w:r>
      <w:r>
        <w:t>definition</w:t>
      </w:r>
      <w:r>
        <w:rPr>
          <w:spacing w:val="-3"/>
        </w:rPr>
        <w:t xml:space="preserve"> </w:t>
      </w:r>
      <w:r>
        <w:t>of</w:t>
      </w:r>
      <w:r>
        <w:rPr>
          <w:spacing w:val="-4"/>
        </w:rPr>
        <w:t xml:space="preserve"> </w:t>
      </w:r>
      <w:r>
        <w:t>BROs</w:t>
      </w:r>
      <w:r>
        <w:rPr>
          <w:spacing w:val="-3"/>
        </w:rPr>
        <w:t xml:space="preserve"> </w:t>
      </w:r>
      <w:r>
        <w:t>and were</w:t>
      </w:r>
      <w:r>
        <w:rPr>
          <w:spacing w:val="-3"/>
        </w:rPr>
        <w:t xml:space="preserve"> </w:t>
      </w:r>
      <w:r>
        <w:t>removed</w:t>
      </w:r>
      <w:r>
        <w:rPr>
          <w:spacing w:val="-3"/>
        </w:rPr>
        <w:t xml:space="preserve"> </w:t>
      </w:r>
      <w:r>
        <w:t>to</w:t>
      </w:r>
      <w:r>
        <w:rPr>
          <w:spacing w:val="-3"/>
        </w:rPr>
        <w:t xml:space="preserve"> </w:t>
      </w:r>
      <w:r>
        <w:t>prevent</w:t>
      </w:r>
      <w:r>
        <w:rPr>
          <w:spacing w:val="-3"/>
        </w:rPr>
        <w:t xml:space="preserve"> </w:t>
      </w:r>
      <w:r>
        <w:t>double</w:t>
      </w:r>
      <w:r>
        <w:rPr>
          <w:spacing w:val="-3"/>
        </w:rPr>
        <w:t xml:space="preserve"> </w:t>
      </w:r>
      <w:r>
        <w:t>counting</w:t>
      </w:r>
      <w:r>
        <w:rPr>
          <w:spacing w:val="-3"/>
        </w:rPr>
        <w:t xml:space="preserve"> </w:t>
      </w:r>
      <w:r>
        <w:t>savings.</w:t>
      </w:r>
      <w:r>
        <w:rPr>
          <w:spacing w:val="-3"/>
        </w:rPr>
        <w:t xml:space="preserve"> </w:t>
      </w:r>
      <w:hyperlink w:history="1" w:anchor="_bookmark108">
        <w:r>
          <w:t>Table</w:t>
        </w:r>
        <w:r>
          <w:rPr>
            <w:spacing w:val="-3"/>
          </w:rPr>
          <w:t xml:space="preserve"> </w:t>
        </w:r>
        <w:r>
          <w:t>3-6</w:t>
        </w:r>
      </w:hyperlink>
      <w:r>
        <w:rPr>
          <w:spacing w:val="-4"/>
        </w:rPr>
        <w:t xml:space="preserve"> </w:t>
      </w:r>
      <w:r>
        <w:t>shows</w:t>
      </w:r>
      <w:r>
        <w:rPr>
          <w:spacing w:val="-3"/>
        </w:rPr>
        <w:t xml:space="preserve"> </w:t>
      </w:r>
      <w:r>
        <w:t>the</w:t>
      </w:r>
      <w:r>
        <w:rPr>
          <w:spacing w:val="-3"/>
        </w:rPr>
        <w:t xml:space="preserve"> </w:t>
      </w:r>
      <w:r>
        <w:t>excluded</w:t>
      </w:r>
      <w:r>
        <w:rPr>
          <w:spacing w:val="-3"/>
        </w:rPr>
        <w:t xml:space="preserve"> </w:t>
      </w:r>
      <w:r>
        <w:t>programs</w:t>
      </w:r>
      <w:r>
        <w:rPr>
          <w:spacing w:val="-3"/>
        </w:rPr>
        <w:t xml:space="preserve"> </w:t>
      </w:r>
      <w:r>
        <w:t>and their reasons for exclusion.</w:t>
      </w:r>
    </w:p>
    <w:p w:rsidR="00C31389" w:rsidRDefault="00C31389" w14:paraId="752ED817" w14:textId="77777777">
      <w:pPr>
        <w:pStyle w:val="BodyText"/>
        <w:spacing w:before="10"/>
        <w:rPr>
          <w:sz w:val="20"/>
        </w:rPr>
      </w:pPr>
    </w:p>
    <w:p w:rsidR="00C31389" w:rsidRDefault="00561FBD" w14:paraId="2124EEFB" w14:textId="77777777">
      <w:pPr>
        <w:pStyle w:val="Heading7"/>
        <w:ind w:left="566" w:right="566"/>
        <w:jc w:val="center"/>
      </w:pPr>
      <w:bookmarkStart w:name="_bookmark107" w:id="143"/>
      <w:bookmarkEnd w:id="143"/>
      <w:r>
        <w:t>Table</w:t>
      </w:r>
      <w:r>
        <w:rPr>
          <w:spacing w:val="-9"/>
        </w:rPr>
        <w:t xml:space="preserve"> </w:t>
      </w:r>
      <w:r>
        <w:t>3-5.</w:t>
      </w:r>
      <w:r>
        <w:rPr>
          <w:spacing w:val="-9"/>
        </w:rPr>
        <w:t xml:space="preserve"> </w:t>
      </w:r>
      <w:r>
        <w:t>2018-2021</w:t>
      </w:r>
      <w:r>
        <w:rPr>
          <w:spacing w:val="-9"/>
        </w:rPr>
        <w:t xml:space="preserve"> </w:t>
      </w:r>
      <w:r>
        <w:t>IOU-Reported</w:t>
      </w:r>
      <w:r>
        <w:rPr>
          <w:spacing w:val="-8"/>
        </w:rPr>
        <w:t xml:space="preserve"> </w:t>
      </w:r>
      <w:r>
        <w:t>Portfolio</w:t>
      </w:r>
      <w:r>
        <w:rPr>
          <w:spacing w:val="-9"/>
        </w:rPr>
        <w:t xml:space="preserve"> </w:t>
      </w:r>
      <w:r>
        <w:t>Gross</w:t>
      </w:r>
      <w:r>
        <w:rPr>
          <w:spacing w:val="-9"/>
        </w:rPr>
        <w:t xml:space="preserve"> </w:t>
      </w:r>
      <w:r>
        <w:t>Program</w:t>
      </w:r>
      <w:r>
        <w:rPr>
          <w:spacing w:val="-8"/>
        </w:rPr>
        <w:t xml:space="preserve"> </w:t>
      </w:r>
      <w:r>
        <w:t>Savings</w:t>
      </w:r>
      <w:r>
        <w:rPr>
          <w:spacing w:val="-9"/>
        </w:rPr>
        <w:t xml:space="preserve"> </w:t>
      </w:r>
      <w:r>
        <w:t>–</w:t>
      </w:r>
      <w:r>
        <w:rPr>
          <w:spacing w:val="-9"/>
        </w:rPr>
        <w:t xml:space="preserve"> </w:t>
      </w:r>
      <w:r>
        <w:rPr>
          <w:spacing w:val="-5"/>
        </w:rPr>
        <w:t>EE</w:t>
      </w:r>
    </w:p>
    <w:p w:rsidR="00C31389" w:rsidRDefault="00C31389" w14:paraId="20F0DA25"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196"/>
        <w:gridCol w:w="1780"/>
        <w:gridCol w:w="2064"/>
        <w:gridCol w:w="2324"/>
        <w:gridCol w:w="2008"/>
      </w:tblGrid>
      <w:tr w:rsidR="00C31389" w14:paraId="679FE6E8" w14:textId="77777777">
        <w:trPr>
          <w:trHeight w:val="549"/>
        </w:trPr>
        <w:tc>
          <w:tcPr>
            <w:tcW w:w="1196" w:type="dxa"/>
            <w:shd w:val="clear" w:color="auto" w:fill="92D400"/>
          </w:tcPr>
          <w:p w:rsidR="00C31389" w:rsidRDefault="00561FBD" w14:paraId="52ED7171" w14:textId="77777777">
            <w:pPr>
              <w:pStyle w:val="TableParagraph"/>
              <w:spacing w:before="154"/>
              <w:ind w:left="129"/>
              <w:rPr>
                <w:b/>
                <w:sz w:val="20"/>
              </w:rPr>
            </w:pPr>
            <w:r>
              <w:rPr>
                <w:b/>
                <w:spacing w:val="-5"/>
                <w:sz w:val="20"/>
              </w:rPr>
              <w:t>IOU</w:t>
            </w:r>
          </w:p>
        </w:tc>
        <w:tc>
          <w:tcPr>
            <w:tcW w:w="1780" w:type="dxa"/>
            <w:shd w:val="clear" w:color="auto" w:fill="92D400"/>
          </w:tcPr>
          <w:p w:rsidR="00C31389" w:rsidRDefault="00561FBD" w14:paraId="7A25D822" w14:textId="77777777">
            <w:pPr>
              <w:pStyle w:val="TableParagraph"/>
              <w:spacing w:before="154"/>
              <w:ind w:left="115"/>
              <w:rPr>
                <w:b/>
                <w:sz w:val="20"/>
              </w:rPr>
            </w:pPr>
            <w:r>
              <w:rPr>
                <w:b/>
                <w:spacing w:val="-2"/>
                <w:sz w:val="20"/>
              </w:rPr>
              <w:t>Sector</w:t>
            </w:r>
          </w:p>
        </w:tc>
        <w:tc>
          <w:tcPr>
            <w:tcW w:w="2064" w:type="dxa"/>
            <w:shd w:val="clear" w:color="auto" w:fill="92D400"/>
          </w:tcPr>
          <w:p w:rsidR="00C31389" w:rsidRDefault="00561FBD" w14:paraId="18E1999F" w14:textId="77777777">
            <w:pPr>
              <w:pStyle w:val="TableParagraph"/>
              <w:spacing w:before="154"/>
              <w:ind w:left="586" w:right="354"/>
              <w:jc w:val="center"/>
              <w:rPr>
                <w:b/>
                <w:sz w:val="20"/>
              </w:rPr>
            </w:pPr>
            <w:r>
              <w:rPr>
                <w:b/>
                <w:sz w:val="20"/>
              </w:rPr>
              <w:t>Gross</w:t>
            </w:r>
            <w:r>
              <w:rPr>
                <w:b/>
                <w:spacing w:val="-2"/>
                <w:sz w:val="20"/>
              </w:rPr>
              <w:t xml:space="preserve"> </w:t>
            </w:r>
            <w:r>
              <w:rPr>
                <w:b/>
                <w:spacing w:val="-5"/>
                <w:sz w:val="20"/>
              </w:rPr>
              <w:t>GWh</w:t>
            </w:r>
          </w:p>
        </w:tc>
        <w:tc>
          <w:tcPr>
            <w:tcW w:w="2324" w:type="dxa"/>
            <w:shd w:val="clear" w:color="auto" w:fill="92D400"/>
          </w:tcPr>
          <w:p w:rsidR="00C31389" w:rsidRDefault="00561FBD" w14:paraId="21CF399D" w14:textId="77777777">
            <w:pPr>
              <w:pStyle w:val="TableParagraph"/>
              <w:spacing w:before="154"/>
              <w:ind w:left="356" w:right="312"/>
              <w:jc w:val="center"/>
              <w:rPr>
                <w:b/>
                <w:sz w:val="20"/>
              </w:rPr>
            </w:pPr>
            <w:r>
              <w:rPr>
                <w:b/>
                <w:sz w:val="20"/>
              </w:rPr>
              <w:t>Gross</w:t>
            </w:r>
            <w:r>
              <w:rPr>
                <w:b/>
                <w:spacing w:val="-2"/>
                <w:sz w:val="20"/>
              </w:rPr>
              <w:t xml:space="preserve"> MMtherms</w:t>
            </w:r>
          </w:p>
        </w:tc>
        <w:tc>
          <w:tcPr>
            <w:tcW w:w="2008" w:type="dxa"/>
            <w:shd w:val="clear" w:color="auto" w:fill="92D400"/>
          </w:tcPr>
          <w:p w:rsidR="00C31389" w:rsidRDefault="00561FBD" w14:paraId="25E1EF23" w14:textId="77777777">
            <w:pPr>
              <w:pStyle w:val="TableParagraph"/>
              <w:ind w:left="438" w:right="282" w:hanging="112"/>
              <w:rPr>
                <w:b/>
                <w:sz w:val="20"/>
              </w:rPr>
            </w:pPr>
            <w:r>
              <w:rPr>
                <w:b/>
                <w:spacing w:val="-2"/>
                <w:sz w:val="20"/>
              </w:rPr>
              <w:t xml:space="preserve">Expenditures </w:t>
            </w:r>
            <w:r>
              <w:rPr>
                <w:b/>
                <w:sz w:val="20"/>
              </w:rPr>
              <w:t>($ Millions)</w:t>
            </w:r>
          </w:p>
        </w:tc>
      </w:tr>
      <w:tr w:rsidR="00C31389" w14:paraId="76E02FD0" w14:textId="77777777">
        <w:trPr>
          <w:trHeight w:val="309"/>
        </w:trPr>
        <w:tc>
          <w:tcPr>
            <w:tcW w:w="1196" w:type="dxa"/>
          </w:tcPr>
          <w:p w:rsidR="00C31389" w:rsidRDefault="00C31389" w14:paraId="7C6A4046" w14:textId="77777777">
            <w:pPr>
              <w:pStyle w:val="TableParagraph"/>
              <w:spacing w:before="0"/>
              <w:rPr>
                <w:rFonts w:ascii="Times New Roman"/>
                <w:sz w:val="20"/>
              </w:rPr>
            </w:pPr>
          </w:p>
        </w:tc>
        <w:tc>
          <w:tcPr>
            <w:tcW w:w="1780" w:type="dxa"/>
            <w:tcBorders>
              <w:bottom w:val="single" w:color="D9D9D9" w:sz="2" w:space="0"/>
            </w:tcBorders>
          </w:tcPr>
          <w:p w:rsidR="00C31389" w:rsidRDefault="00561FBD" w14:paraId="1330B026" w14:textId="77777777">
            <w:pPr>
              <w:pStyle w:val="TableParagraph"/>
              <w:ind w:left="115"/>
              <w:rPr>
                <w:sz w:val="20"/>
              </w:rPr>
            </w:pPr>
            <w:r>
              <w:rPr>
                <w:spacing w:val="-2"/>
                <w:sz w:val="20"/>
              </w:rPr>
              <w:t>Residential</w:t>
            </w:r>
          </w:p>
        </w:tc>
        <w:tc>
          <w:tcPr>
            <w:tcW w:w="2064" w:type="dxa"/>
            <w:tcBorders>
              <w:bottom w:val="single" w:color="D9D9D9" w:sz="2" w:space="0"/>
            </w:tcBorders>
          </w:tcPr>
          <w:p w:rsidR="00C31389" w:rsidRDefault="00561FBD" w14:paraId="4DE258E0" w14:textId="77777777">
            <w:pPr>
              <w:pStyle w:val="TableParagraph"/>
              <w:ind w:left="586" w:right="352"/>
              <w:jc w:val="center"/>
              <w:rPr>
                <w:sz w:val="20"/>
              </w:rPr>
            </w:pPr>
            <w:r>
              <w:rPr>
                <w:spacing w:val="-2"/>
                <w:sz w:val="20"/>
              </w:rPr>
              <w:t>209.60</w:t>
            </w:r>
          </w:p>
        </w:tc>
        <w:tc>
          <w:tcPr>
            <w:tcW w:w="2324" w:type="dxa"/>
            <w:tcBorders>
              <w:bottom w:val="single" w:color="D9D9D9" w:sz="2" w:space="0"/>
            </w:tcBorders>
          </w:tcPr>
          <w:p w:rsidR="00C31389" w:rsidRDefault="00561FBD" w14:paraId="7F78769E" w14:textId="77777777">
            <w:pPr>
              <w:pStyle w:val="TableParagraph"/>
              <w:ind w:left="356" w:right="310"/>
              <w:jc w:val="center"/>
              <w:rPr>
                <w:sz w:val="20"/>
              </w:rPr>
            </w:pPr>
            <w:r>
              <w:rPr>
                <w:spacing w:val="-4"/>
                <w:sz w:val="20"/>
              </w:rPr>
              <w:t>0.72</w:t>
            </w:r>
          </w:p>
        </w:tc>
        <w:tc>
          <w:tcPr>
            <w:tcW w:w="2008" w:type="dxa"/>
            <w:tcBorders>
              <w:bottom w:val="single" w:color="D9D9D9" w:sz="2" w:space="0"/>
            </w:tcBorders>
          </w:tcPr>
          <w:p w:rsidR="00C31389" w:rsidRDefault="00561FBD" w14:paraId="4B6B8528" w14:textId="77777777">
            <w:pPr>
              <w:pStyle w:val="TableParagraph"/>
              <w:ind w:right="683"/>
              <w:jc w:val="right"/>
              <w:rPr>
                <w:sz w:val="20"/>
              </w:rPr>
            </w:pPr>
            <w:r>
              <w:rPr>
                <w:spacing w:val="-2"/>
                <w:sz w:val="20"/>
              </w:rPr>
              <w:t>$161.98</w:t>
            </w:r>
          </w:p>
        </w:tc>
      </w:tr>
      <w:tr w:rsidR="00C31389" w14:paraId="59BB04E1" w14:textId="77777777">
        <w:trPr>
          <w:trHeight w:val="310"/>
        </w:trPr>
        <w:tc>
          <w:tcPr>
            <w:tcW w:w="1196" w:type="dxa"/>
            <w:vMerge w:val="restart"/>
          </w:tcPr>
          <w:p w:rsidR="00C31389" w:rsidRDefault="00C31389" w14:paraId="11972811" w14:textId="77777777">
            <w:pPr>
              <w:pStyle w:val="TableParagraph"/>
              <w:spacing w:before="3"/>
              <w:rPr>
                <w:b/>
                <w:sz w:val="17"/>
              </w:rPr>
            </w:pPr>
          </w:p>
          <w:p w:rsidR="00C31389" w:rsidRDefault="00561FBD" w14:paraId="6EE8BE0F" w14:textId="77777777">
            <w:pPr>
              <w:pStyle w:val="TableParagraph"/>
              <w:spacing w:before="0"/>
              <w:ind w:left="129"/>
              <w:rPr>
                <w:b/>
                <w:sz w:val="20"/>
              </w:rPr>
            </w:pPr>
            <w:r>
              <w:rPr>
                <w:b/>
                <w:spacing w:val="-4"/>
                <w:sz w:val="20"/>
              </w:rPr>
              <w:t>PG&amp;E</w:t>
            </w:r>
          </w:p>
        </w:tc>
        <w:tc>
          <w:tcPr>
            <w:tcW w:w="1780" w:type="dxa"/>
            <w:tcBorders>
              <w:top w:val="single" w:color="D9D9D9" w:sz="2" w:space="0"/>
              <w:bottom w:val="single" w:color="D9D9D9" w:sz="2" w:space="0"/>
            </w:tcBorders>
          </w:tcPr>
          <w:p w:rsidR="00C31389" w:rsidRDefault="00561FBD" w14:paraId="71D033E4" w14:textId="77777777">
            <w:pPr>
              <w:pStyle w:val="TableParagraph"/>
              <w:ind w:left="115"/>
              <w:rPr>
                <w:sz w:val="20"/>
              </w:rPr>
            </w:pPr>
            <w:r>
              <w:rPr>
                <w:spacing w:val="-2"/>
                <w:sz w:val="20"/>
              </w:rPr>
              <w:t>Commercial</w:t>
            </w:r>
          </w:p>
        </w:tc>
        <w:tc>
          <w:tcPr>
            <w:tcW w:w="2064" w:type="dxa"/>
            <w:tcBorders>
              <w:top w:val="single" w:color="D9D9D9" w:sz="2" w:space="0"/>
              <w:bottom w:val="single" w:color="D9D9D9" w:sz="2" w:space="0"/>
            </w:tcBorders>
          </w:tcPr>
          <w:p w:rsidR="00C31389" w:rsidRDefault="00561FBD" w14:paraId="5B63A823" w14:textId="77777777">
            <w:pPr>
              <w:pStyle w:val="TableParagraph"/>
              <w:ind w:left="586" w:right="352"/>
              <w:jc w:val="center"/>
              <w:rPr>
                <w:sz w:val="20"/>
              </w:rPr>
            </w:pPr>
            <w:r>
              <w:rPr>
                <w:spacing w:val="-2"/>
                <w:sz w:val="20"/>
              </w:rPr>
              <w:t>438.57</w:t>
            </w:r>
          </w:p>
        </w:tc>
        <w:tc>
          <w:tcPr>
            <w:tcW w:w="2324" w:type="dxa"/>
            <w:tcBorders>
              <w:top w:val="single" w:color="D9D9D9" w:sz="2" w:space="0"/>
              <w:bottom w:val="single" w:color="D9D9D9" w:sz="2" w:space="0"/>
            </w:tcBorders>
          </w:tcPr>
          <w:p w:rsidR="00C31389" w:rsidRDefault="00561FBD" w14:paraId="19363FBA" w14:textId="77777777">
            <w:pPr>
              <w:pStyle w:val="TableParagraph"/>
              <w:ind w:left="356" w:right="311"/>
              <w:jc w:val="center"/>
              <w:rPr>
                <w:sz w:val="20"/>
              </w:rPr>
            </w:pPr>
            <w:r>
              <w:rPr>
                <w:spacing w:val="-2"/>
                <w:sz w:val="20"/>
              </w:rPr>
              <w:t>15.01</w:t>
            </w:r>
          </w:p>
        </w:tc>
        <w:tc>
          <w:tcPr>
            <w:tcW w:w="2008" w:type="dxa"/>
            <w:tcBorders>
              <w:top w:val="single" w:color="D9D9D9" w:sz="2" w:space="0"/>
              <w:bottom w:val="single" w:color="D9D9D9" w:sz="2" w:space="0"/>
            </w:tcBorders>
          </w:tcPr>
          <w:p w:rsidR="00C31389" w:rsidRDefault="00561FBD" w14:paraId="51378375" w14:textId="77777777">
            <w:pPr>
              <w:pStyle w:val="TableParagraph"/>
              <w:ind w:right="683"/>
              <w:jc w:val="right"/>
              <w:rPr>
                <w:sz w:val="20"/>
              </w:rPr>
            </w:pPr>
            <w:r>
              <w:rPr>
                <w:spacing w:val="-2"/>
                <w:sz w:val="20"/>
              </w:rPr>
              <w:t>$256.85</w:t>
            </w:r>
          </w:p>
        </w:tc>
      </w:tr>
      <w:tr w:rsidR="00C31389" w14:paraId="122CC9D5" w14:textId="77777777">
        <w:trPr>
          <w:trHeight w:val="309"/>
        </w:trPr>
        <w:tc>
          <w:tcPr>
            <w:tcW w:w="1196" w:type="dxa"/>
            <w:vMerge/>
            <w:tcBorders>
              <w:top w:val="nil"/>
            </w:tcBorders>
          </w:tcPr>
          <w:p w:rsidR="00C31389" w:rsidRDefault="00C31389" w14:paraId="76B722B9" w14:textId="77777777">
            <w:pPr>
              <w:rPr>
                <w:sz w:val="2"/>
                <w:szCs w:val="2"/>
              </w:rPr>
            </w:pPr>
          </w:p>
        </w:tc>
        <w:tc>
          <w:tcPr>
            <w:tcW w:w="1780" w:type="dxa"/>
            <w:tcBorders>
              <w:top w:val="single" w:color="D9D9D9" w:sz="2" w:space="0"/>
              <w:bottom w:val="single" w:color="D9D9D9" w:sz="2" w:space="0"/>
            </w:tcBorders>
          </w:tcPr>
          <w:p w:rsidR="00C31389" w:rsidRDefault="00561FBD" w14:paraId="6ABBFE21" w14:textId="77777777">
            <w:pPr>
              <w:pStyle w:val="TableParagraph"/>
              <w:ind w:left="115"/>
              <w:rPr>
                <w:sz w:val="20"/>
              </w:rPr>
            </w:pPr>
            <w:r>
              <w:rPr>
                <w:spacing w:val="-2"/>
                <w:sz w:val="20"/>
              </w:rPr>
              <w:t>Industrial</w:t>
            </w:r>
          </w:p>
        </w:tc>
        <w:tc>
          <w:tcPr>
            <w:tcW w:w="2064" w:type="dxa"/>
            <w:tcBorders>
              <w:top w:val="single" w:color="D9D9D9" w:sz="2" w:space="0"/>
              <w:bottom w:val="single" w:color="D9D9D9" w:sz="2" w:space="0"/>
            </w:tcBorders>
          </w:tcPr>
          <w:p w:rsidR="00C31389" w:rsidRDefault="00561FBD" w14:paraId="4911199F" w14:textId="77777777">
            <w:pPr>
              <w:pStyle w:val="TableParagraph"/>
              <w:ind w:left="586" w:right="353"/>
              <w:jc w:val="center"/>
              <w:rPr>
                <w:sz w:val="20"/>
              </w:rPr>
            </w:pPr>
            <w:r>
              <w:rPr>
                <w:spacing w:val="-2"/>
                <w:sz w:val="20"/>
              </w:rPr>
              <w:t>67.94</w:t>
            </w:r>
          </w:p>
        </w:tc>
        <w:tc>
          <w:tcPr>
            <w:tcW w:w="2324" w:type="dxa"/>
            <w:tcBorders>
              <w:top w:val="single" w:color="D9D9D9" w:sz="2" w:space="0"/>
              <w:bottom w:val="single" w:color="D9D9D9" w:sz="2" w:space="0"/>
            </w:tcBorders>
          </w:tcPr>
          <w:p w:rsidR="00C31389" w:rsidRDefault="00561FBD" w14:paraId="3010B63D" w14:textId="77777777">
            <w:pPr>
              <w:pStyle w:val="TableParagraph"/>
              <w:ind w:left="356" w:right="311"/>
              <w:jc w:val="center"/>
              <w:rPr>
                <w:sz w:val="20"/>
              </w:rPr>
            </w:pPr>
            <w:r>
              <w:rPr>
                <w:spacing w:val="-2"/>
                <w:sz w:val="20"/>
              </w:rPr>
              <w:t>42.16</w:t>
            </w:r>
          </w:p>
        </w:tc>
        <w:tc>
          <w:tcPr>
            <w:tcW w:w="2008" w:type="dxa"/>
            <w:tcBorders>
              <w:top w:val="single" w:color="D9D9D9" w:sz="2" w:space="0"/>
              <w:bottom w:val="single" w:color="D9D9D9" w:sz="2" w:space="0"/>
            </w:tcBorders>
          </w:tcPr>
          <w:p w:rsidR="00C31389" w:rsidRDefault="00561FBD" w14:paraId="0C2C14F6" w14:textId="77777777">
            <w:pPr>
              <w:pStyle w:val="TableParagraph"/>
              <w:ind w:right="737"/>
              <w:jc w:val="right"/>
              <w:rPr>
                <w:sz w:val="20"/>
              </w:rPr>
            </w:pPr>
            <w:r>
              <w:rPr>
                <w:spacing w:val="-2"/>
                <w:sz w:val="20"/>
              </w:rPr>
              <w:t>$73.36</w:t>
            </w:r>
          </w:p>
        </w:tc>
      </w:tr>
      <w:tr w:rsidR="00C31389" w14:paraId="6670FAB5" w14:textId="77777777">
        <w:trPr>
          <w:trHeight w:val="310"/>
        </w:trPr>
        <w:tc>
          <w:tcPr>
            <w:tcW w:w="1196" w:type="dxa"/>
            <w:tcBorders>
              <w:bottom w:val="single" w:color="000000" w:sz="4" w:space="0"/>
            </w:tcBorders>
          </w:tcPr>
          <w:p w:rsidR="00C31389" w:rsidRDefault="00C31389" w14:paraId="5B47A726" w14:textId="77777777">
            <w:pPr>
              <w:pStyle w:val="TableParagraph"/>
              <w:spacing w:before="0"/>
              <w:rPr>
                <w:rFonts w:ascii="Times New Roman"/>
                <w:sz w:val="20"/>
              </w:rPr>
            </w:pPr>
          </w:p>
        </w:tc>
        <w:tc>
          <w:tcPr>
            <w:tcW w:w="1780" w:type="dxa"/>
            <w:tcBorders>
              <w:top w:val="single" w:color="D9D9D9" w:sz="2" w:space="0"/>
              <w:bottom w:val="single" w:color="000000" w:sz="4" w:space="0"/>
            </w:tcBorders>
          </w:tcPr>
          <w:p w:rsidR="00C31389" w:rsidRDefault="00561FBD" w14:paraId="66E4548A" w14:textId="77777777">
            <w:pPr>
              <w:pStyle w:val="TableParagraph"/>
              <w:ind w:left="115"/>
              <w:rPr>
                <w:sz w:val="20"/>
              </w:rPr>
            </w:pPr>
            <w:r>
              <w:rPr>
                <w:spacing w:val="-2"/>
                <w:sz w:val="20"/>
              </w:rPr>
              <w:t>Agriculture</w:t>
            </w:r>
          </w:p>
        </w:tc>
        <w:tc>
          <w:tcPr>
            <w:tcW w:w="2064" w:type="dxa"/>
            <w:tcBorders>
              <w:top w:val="single" w:color="D9D9D9" w:sz="2" w:space="0"/>
              <w:bottom w:val="single" w:color="000000" w:sz="4" w:space="0"/>
            </w:tcBorders>
          </w:tcPr>
          <w:p w:rsidR="00C31389" w:rsidRDefault="00561FBD" w14:paraId="608C1603" w14:textId="77777777">
            <w:pPr>
              <w:pStyle w:val="TableParagraph"/>
              <w:ind w:left="586" w:right="353"/>
              <w:jc w:val="center"/>
              <w:rPr>
                <w:sz w:val="20"/>
              </w:rPr>
            </w:pPr>
            <w:r>
              <w:rPr>
                <w:spacing w:val="-2"/>
                <w:sz w:val="20"/>
              </w:rPr>
              <w:t>68.13</w:t>
            </w:r>
          </w:p>
        </w:tc>
        <w:tc>
          <w:tcPr>
            <w:tcW w:w="2324" w:type="dxa"/>
            <w:tcBorders>
              <w:top w:val="single" w:color="D9D9D9" w:sz="2" w:space="0"/>
              <w:bottom w:val="single" w:color="000000" w:sz="4" w:space="0"/>
            </w:tcBorders>
          </w:tcPr>
          <w:p w:rsidR="00C31389" w:rsidRDefault="00561FBD" w14:paraId="79354FCC" w14:textId="77777777">
            <w:pPr>
              <w:pStyle w:val="TableParagraph"/>
              <w:ind w:left="356" w:right="310"/>
              <w:jc w:val="center"/>
              <w:rPr>
                <w:sz w:val="20"/>
              </w:rPr>
            </w:pPr>
            <w:r>
              <w:rPr>
                <w:spacing w:val="-4"/>
                <w:sz w:val="20"/>
              </w:rPr>
              <w:t>1.93</w:t>
            </w:r>
          </w:p>
        </w:tc>
        <w:tc>
          <w:tcPr>
            <w:tcW w:w="2008" w:type="dxa"/>
            <w:tcBorders>
              <w:top w:val="single" w:color="D9D9D9" w:sz="2" w:space="0"/>
              <w:bottom w:val="single" w:color="000000" w:sz="4" w:space="0"/>
            </w:tcBorders>
          </w:tcPr>
          <w:p w:rsidR="00C31389" w:rsidRDefault="00561FBD" w14:paraId="0D4335BB" w14:textId="77777777">
            <w:pPr>
              <w:pStyle w:val="TableParagraph"/>
              <w:ind w:right="738"/>
              <w:jc w:val="right"/>
              <w:rPr>
                <w:sz w:val="20"/>
              </w:rPr>
            </w:pPr>
            <w:r>
              <w:rPr>
                <w:spacing w:val="-2"/>
                <w:sz w:val="20"/>
              </w:rPr>
              <w:t>$43.06</w:t>
            </w:r>
          </w:p>
        </w:tc>
      </w:tr>
      <w:tr w:rsidR="00C31389" w14:paraId="2933ACFD" w14:textId="77777777">
        <w:trPr>
          <w:trHeight w:val="309"/>
        </w:trPr>
        <w:tc>
          <w:tcPr>
            <w:tcW w:w="1196" w:type="dxa"/>
            <w:tcBorders>
              <w:top w:val="single" w:color="000000" w:sz="4" w:space="0"/>
            </w:tcBorders>
          </w:tcPr>
          <w:p w:rsidR="00C31389" w:rsidRDefault="00C31389" w14:paraId="174EDF4D" w14:textId="77777777">
            <w:pPr>
              <w:pStyle w:val="TableParagraph"/>
              <w:spacing w:before="0"/>
              <w:rPr>
                <w:rFonts w:ascii="Times New Roman"/>
                <w:sz w:val="20"/>
              </w:rPr>
            </w:pPr>
          </w:p>
        </w:tc>
        <w:tc>
          <w:tcPr>
            <w:tcW w:w="1780" w:type="dxa"/>
            <w:tcBorders>
              <w:top w:val="single" w:color="000000" w:sz="4" w:space="0"/>
              <w:bottom w:val="single" w:color="D9D9D9" w:sz="2" w:space="0"/>
            </w:tcBorders>
          </w:tcPr>
          <w:p w:rsidR="00C31389" w:rsidRDefault="00561FBD" w14:paraId="47D955E1" w14:textId="77777777">
            <w:pPr>
              <w:pStyle w:val="TableParagraph"/>
              <w:ind w:left="115"/>
              <w:rPr>
                <w:sz w:val="20"/>
              </w:rPr>
            </w:pPr>
            <w:r>
              <w:rPr>
                <w:spacing w:val="-2"/>
                <w:sz w:val="20"/>
              </w:rPr>
              <w:t>Residential</w:t>
            </w:r>
          </w:p>
        </w:tc>
        <w:tc>
          <w:tcPr>
            <w:tcW w:w="2064" w:type="dxa"/>
            <w:tcBorders>
              <w:top w:val="single" w:color="000000" w:sz="4" w:space="0"/>
              <w:bottom w:val="single" w:color="D9D9D9" w:sz="2" w:space="0"/>
            </w:tcBorders>
          </w:tcPr>
          <w:p w:rsidR="00C31389" w:rsidRDefault="00561FBD" w14:paraId="77C06875" w14:textId="77777777">
            <w:pPr>
              <w:pStyle w:val="TableParagraph"/>
              <w:ind w:left="586" w:right="352"/>
              <w:jc w:val="center"/>
              <w:rPr>
                <w:sz w:val="20"/>
              </w:rPr>
            </w:pPr>
            <w:r>
              <w:rPr>
                <w:spacing w:val="-2"/>
                <w:sz w:val="20"/>
              </w:rPr>
              <w:t>171.48</w:t>
            </w:r>
          </w:p>
        </w:tc>
        <w:tc>
          <w:tcPr>
            <w:tcW w:w="2324" w:type="dxa"/>
            <w:tcBorders>
              <w:top w:val="single" w:color="000000" w:sz="4" w:space="0"/>
              <w:bottom w:val="single" w:color="D9D9D9" w:sz="2" w:space="0"/>
            </w:tcBorders>
          </w:tcPr>
          <w:p w:rsidR="00C31389" w:rsidRDefault="00561FBD" w14:paraId="2B745AE6" w14:textId="77777777">
            <w:pPr>
              <w:pStyle w:val="TableParagraph"/>
              <w:ind w:left="356" w:right="310"/>
              <w:jc w:val="center"/>
              <w:rPr>
                <w:sz w:val="20"/>
              </w:rPr>
            </w:pPr>
            <w:r>
              <w:rPr>
                <w:spacing w:val="-4"/>
                <w:sz w:val="20"/>
              </w:rPr>
              <w:t>0.84</w:t>
            </w:r>
          </w:p>
        </w:tc>
        <w:tc>
          <w:tcPr>
            <w:tcW w:w="2008" w:type="dxa"/>
            <w:tcBorders>
              <w:top w:val="single" w:color="000000" w:sz="4" w:space="0"/>
              <w:bottom w:val="single" w:color="D9D9D9" w:sz="2" w:space="0"/>
            </w:tcBorders>
          </w:tcPr>
          <w:p w:rsidR="00C31389" w:rsidRDefault="00561FBD" w14:paraId="29CFEFEA" w14:textId="77777777">
            <w:pPr>
              <w:pStyle w:val="TableParagraph"/>
              <w:ind w:right="682"/>
              <w:jc w:val="right"/>
              <w:rPr>
                <w:sz w:val="20"/>
              </w:rPr>
            </w:pPr>
            <w:r>
              <w:rPr>
                <w:spacing w:val="-2"/>
                <w:sz w:val="20"/>
              </w:rPr>
              <w:t>$125.81</w:t>
            </w:r>
          </w:p>
        </w:tc>
      </w:tr>
      <w:tr w:rsidR="00C31389" w14:paraId="677DBB82" w14:textId="77777777">
        <w:trPr>
          <w:trHeight w:val="310"/>
        </w:trPr>
        <w:tc>
          <w:tcPr>
            <w:tcW w:w="1196" w:type="dxa"/>
            <w:vMerge w:val="restart"/>
          </w:tcPr>
          <w:p w:rsidR="00C31389" w:rsidRDefault="00C31389" w14:paraId="3E803C9A" w14:textId="77777777">
            <w:pPr>
              <w:pStyle w:val="TableParagraph"/>
              <w:spacing w:before="3"/>
              <w:rPr>
                <w:b/>
                <w:sz w:val="17"/>
              </w:rPr>
            </w:pPr>
          </w:p>
          <w:p w:rsidR="00C31389" w:rsidRDefault="00561FBD" w14:paraId="58A1BFDA" w14:textId="77777777">
            <w:pPr>
              <w:pStyle w:val="TableParagraph"/>
              <w:spacing w:before="0"/>
              <w:ind w:left="129"/>
              <w:rPr>
                <w:b/>
                <w:sz w:val="20"/>
              </w:rPr>
            </w:pPr>
            <w:r>
              <w:rPr>
                <w:b/>
                <w:spacing w:val="-5"/>
                <w:sz w:val="20"/>
              </w:rPr>
              <w:t>SCE</w:t>
            </w:r>
          </w:p>
        </w:tc>
        <w:tc>
          <w:tcPr>
            <w:tcW w:w="1780" w:type="dxa"/>
            <w:tcBorders>
              <w:top w:val="single" w:color="D9D9D9" w:sz="2" w:space="0"/>
              <w:bottom w:val="single" w:color="D9D9D9" w:sz="2" w:space="0"/>
            </w:tcBorders>
          </w:tcPr>
          <w:p w:rsidR="00C31389" w:rsidRDefault="00561FBD" w14:paraId="5049FB37" w14:textId="77777777">
            <w:pPr>
              <w:pStyle w:val="TableParagraph"/>
              <w:ind w:left="115"/>
              <w:rPr>
                <w:sz w:val="20"/>
              </w:rPr>
            </w:pPr>
            <w:r>
              <w:rPr>
                <w:spacing w:val="-2"/>
                <w:sz w:val="20"/>
              </w:rPr>
              <w:t>Commercial</w:t>
            </w:r>
          </w:p>
        </w:tc>
        <w:tc>
          <w:tcPr>
            <w:tcW w:w="2064" w:type="dxa"/>
            <w:tcBorders>
              <w:top w:val="single" w:color="D9D9D9" w:sz="2" w:space="0"/>
              <w:bottom w:val="single" w:color="D9D9D9" w:sz="2" w:space="0"/>
            </w:tcBorders>
          </w:tcPr>
          <w:p w:rsidR="00C31389" w:rsidRDefault="00561FBD" w14:paraId="413751D6" w14:textId="77777777">
            <w:pPr>
              <w:pStyle w:val="TableParagraph"/>
              <w:ind w:left="586" w:right="352"/>
              <w:jc w:val="center"/>
              <w:rPr>
                <w:sz w:val="20"/>
              </w:rPr>
            </w:pPr>
            <w:r>
              <w:rPr>
                <w:spacing w:val="-2"/>
                <w:sz w:val="20"/>
              </w:rPr>
              <w:t>198.84</w:t>
            </w:r>
          </w:p>
        </w:tc>
        <w:tc>
          <w:tcPr>
            <w:tcW w:w="2324" w:type="dxa"/>
            <w:tcBorders>
              <w:top w:val="single" w:color="D9D9D9" w:sz="2" w:space="0"/>
              <w:bottom w:val="single" w:color="D9D9D9" w:sz="2" w:space="0"/>
            </w:tcBorders>
          </w:tcPr>
          <w:p w:rsidR="00C31389" w:rsidRDefault="00561FBD" w14:paraId="024B44F4" w14:textId="77777777">
            <w:pPr>
              <w:pStyle w:val="TableParagraph"/>
              <w:ind w:left="356" w:right="310"/>
              <w:jc w:val="center"/>
              <w:rPr>
                <w:sz w:val="20"/>
              </w:rPr>
            </w:pPr>
            <w:r>
              <w:rPr>
                <w:spacing w:val="-4"/>
                <w:sz w:val="20"/>
              </w:rPr>
              <w:t>0.62</w:t>
            </w:r>
          </w:p>
        </w:tc>
        <w:tc>
          <w:tcPr>
            <w:tcW w:w="2008" w:type="dxa"/>
            <w:tcBorders>
              <w:top w:val="single" w:color="D9D9D9" w:sz="2" w:space="0"/>
              <w:bottom w:val="single" w:color="D9D9D9" w:sz="2" w:space="0"/>
            </w:tcBorders>
          </w:tcPr>
          <w:p w:rsidR="00C31389" w:rsidRDefault="00561FBD" w14:paraId="1CA0FFB0" w14:textId="77777777">
            <w:pPr>
              <w:pStyle w:val="TableParagraph"/>
              <w:ind w:right="683"/>
              <w:jc w:val="right"/>
              <w:rPr>
                <w:sz w:val="20"/>
              </w:rPr>
            </w:pPr>
            <w:r>
              <w:rPr>
                <w:spacing w:val="-2"/>
                <w:sz w:val="20"/>
              </w:rPr>
              <w:t>$142.76</w:t>
            </w:r>
          </w:p>
        </w:tc>
      </w:tr>
      <w:tr w:rsidR="00C31389" w14:paraId="2C875662" w14:textId="77777777">
        <w:trPr>
          <w:trHeight w:val="309"/>
        </w:trPr>
        <w:tc>
          <w:tcPr>
            <w:tcW w:w="1196" w:type="dxa"/>
            <w:vMerge/>
            <w:tcBorders>
              <w:top w:val="nil"/>
            </w:tcBorders>
          </w:tcPr>
          <w:p w:rsidR="00C31389" w:rsidRDefault="00C31389" w14:paraId="5D8F6063" w14:textId="77777777">
            <w:pPr>
              <w:rPr>
                <w:sz w:val="2"/>
                <w:szCs w:val="2"/>
              </w:rPr>
            </w:pPr>
          </w:p>
        </w:tc>
        <w:tc>
          <w:tcPr>
            <w:tcW w:w="1780" w:type="dxa"/>
            <w:tcBorders>
              <w:top w:val="single" w:color="D9D9D9" w:sz="2" w:space="0"/>
              <w:bottom w:val="single" w:color="D9D9D9" w:sz="2" w:space="0"/>
            </w:tcBorders>
          </w:tcPr>
          <w:p w:rsidR="00C31389" w:rsidRDefault="00561FBD" w14:paraId="6071A0F6" w14:textId="77777777">
            <w:pPr>
              <w:pStyle w:val="TableParagraph"/>
              <w:ind w:left="115"/>
              <w:rPr>
                <w:sz w:val="20"/>
              </w:rPr>
            </w:pPr>
            <w:r>
              <w:rPr>
                <w:spacing w:val="-2"/>
                <w:sz w:val="20"/>
              </w:rPr>
              <w:t>Industrial</w:t>
            </w:r>
          </w:p>
        </w:tc>
        <w:tc>
          <w:tcPr>
            <w:tcW w:w="2064" w:type="dxa"/>
            <w:tcBorders>
              <w:top w:val="single" w:color="D9D9D9" w:sz="2" w:space="0"/>
              <w:bottom w:val="single" w:color="D9D9D9" w:sz="2" w:space="0"/>
            </w:tcBorders>
          </w:tcPr>
          <w:p w:rsidR="00C31389" w:rsidRDefault="00561FBD" w14:paraId="0238E5E5" w14:textId="77777777">
            <w:pPr>
              <w:pStyle w:val="TableParagraph"/>
              <w:ind w:left="586" w:right="353"/>
              <w:jc w:val="center"/>
              <w:rPr>
                <w:sz w:val="20"/>
              </w:rPr>
            </w:pPr>
            <w:r>
              <w:rPr>
                <w:spacing w:val="-2"/>
                <w:sz w:val="20"/>
              </w:rPr>
              <w:t>36.24</w:t>
            </w:r>
          </w:p>
        </w:tc>
        <w:tc>
          <w:tcPr>
            <w:tcW w:w="2324" w:type="dxa"/>
            <w:tcBorders>
              <w:top w:val="single" w:color="D9D9D9" w:sz="2" w:space="0"/>
              <w:bottom w:val="single" w:color="D9D9D9" w:sz="2" w:space="0"/>
            </w:tcBorders>
          </w:tcPr>
          <w:p w:rsidR="00C31389" w:rsidRDefault="00561FBD" w14:paraId="5BD84494" w14:textId="77777777">
            <w:pPr>
              <w:pStyle w:val="TableParagraph"/>
              <w:ind w:left="44"/>
              <w:jc w:val="center"/>
              <w:rPr>
                <w:sz w:val="20"/>
              </w:rPr>
            </w:pPr>
            <w:r>
              <w:rPr>
                <w:sz w:val="20"/>
              </w:rPr>
              <w:t>-</w:t>
            </w:r>
          </w:p>
        </w:tc>
        <w:tc>
          <w:tcPr>
            <w:tcW w:w="2008" w:type="dxa"/>
            <w:tcBorders>
              <w:top w:val="single" w:color="D9D9D9" w:sz="2" w:space="0"/>
              <w:bottom w:val="single" w:color="D9D9D9" w:sz="2" w:space="0"/>
            </w:tcBorders>
          </w:tcPr>
          <w:p w:rsidR="00C31389" w:rsidRDefault="00561FBD" w14:paraId="12CBB910" w14:textId="77777777">
            <w:pPr>
              <w:pStyle w:val="TableParagraph"/>
              <w:ind w:left="695" w:right="779"/>
              <w:jc w:val="center"/>
              <w:rPr>
                <w:sz w:val="20"/>
              </w:rPr>
            </w:pPr>
            <w:r>
              <w:rPr>
                <w:spacing w:val="-2"/>
                <w:sz w:val="20"/>
              </w:rPr>
              <w:t>$9.25</w:t>
            </w:r>
          </w:p>
        </w:tc>
      </w:tr>
      <w:tr w:rsidR="00C31389" w14:paraId="05D8DE28" w14:textId="77777777">
        <w:trPr>
          <w:trHeight w:val="310"/>
        </w:trPr>
        <w:tc>
          <w:tcPr>
            <w:tcW w:w="1196" w:type="dxa"/>
            <w:tcBorders>
              <w:bottom w:val="single" w:color="000000" w:sz="4" w:space="0"/>
            </w:tcBorders>
          </w:tcPr>
          <w:p w:rsidR="00C31389" w:rsidRDefault="00C31389" w14:paraId="5F09B096" w14:textId="77777777">
            <w:pPr>
              <w:pStyle w:val="TableParagraph"/>
              <w:spacing w:before="0"/>
              <w:rPr>
                <w:rFonts w:ascii="Times New Roman"/>
                <w:sz w:val="20"/>
              </w:rPr>
            </w:pPr>
          </w:p>
        </w:tc>
        <w:tc>
          <w:tcPr>
            <w:tcW w:w="1780" w:type="dxa"/>
            <w:tcBorders>
              <w:top w:val="single" w:color="D9D9D9" w:sz="2" w:space="0"/>
              <w:bottom w:val="single" w:color="000000" w:sz="4" w:space="0"/>
            </w:tcBorders>
          </w:tcPr>
          <w:p w:rsidR="00C31389" w:rsidRDefault="00561FBD" w14:paraId="11C8532C" w14:textId="77777777">
            <w:pPr>
              <w:pStyle w:val="TableParagraph"/>
              <w:ind w:left="115"/>
              <w:rPr>
                <w:sz w:val="20"/>
              </w:rPr>
            </w:pPr>
            <w:r>
              <w:rPr>
                <w:spacing w:val="-2"/>
                <w:sz w:val="20"/>
              </w:rPr>
              <w:t>Agriculture</w:t>
            </w:r>
          </w:p>
        </w:tc>
        <w:tc>
          <w:tcPr>
            <w:tcW w:w="2064" w:type="dxa"/>
            <w:tcBorders>
              <w:top w:val="single" w:color="D9D9D9" w:sz="2" w:space="0"/>
              <w:bottom w:val="single" w:color="000000" w:sz="4" w:space="0"/>
            </w:tcBorders>
          </w:tcPr>
          <w:p w:rsidR="00C31389" w:rsidRDefault="00561FBD" w14:paraId="4D2B68F2" w14:textId="77777777">
            <w:pPr>
              <w:pStyle w:val="TableParagraph"/>
              <w:ind w:left="586" w:right="353"/>
              <w:jc w:val="center"/>
              <w:rPr>
                <w:sz w:val="20"/>
              </w:rPr>
            </w:pPr>
            <w:r>
              <w:rPr>
                <w:spacing w:val="-2"/>
                <w:sz w:val="20"/>
              </w:rPr>
              <w:t>11.59</w:t>
            </w:r>
          </w:p>
        </w:tc>
        <w:tc>
          <w:tcPr>
            <w:tcW w:w="2324" w:type="dxa"/>
            <w:tcBorders>
              <w:top w:val="single" w:color="D9D9D9" w:sz="2" w:space="0"/>
              <w:bottom w:val="single" w:color="000000" w:sz="4" w:space="0"/>
            </w:tcBorders>
          </w:tcPr>
          <w:p w:rsidR="00C31389" w:rsidRDefault="00561FBD" w14:paraId="1565DAF7" w14:textId="77777777">
            <w:pPr>
              <w:pStyle w:val="TableParagraph"/>
              <w:ind w:left="44"/>
              <w:jc w:val="center"/>
              <w:rPr>
                <w:sz w:val="20"/>
              </w:rPr>
            </w:pPr>
            <w:r>
              <w:rPr>
                <w:sz w:val="20"/>
              </w:rPr>
              <w:t>-</w:t>
            </w:r>
          </w:p>
        </w:tc>
        <w:tc>
          <w:tcPr>
            <w:tcW w:w="2008" w:type="dxa"/>
            <w:tcBorders>
              <w:top w:val="single" w:color="D9D9D9" w:sz="2" w:space="0"/>
              <w:bottom w:val="single" w:color="000000" w:sz="4" w:space="0"/>
            </w:tcBorders>
          </w:tcPr>
          <w:p w:rsidR="00C31389" w:rsidRDefault="00561FBD" w14:paraId="7F8E0168" w14:textId="77777777">
            <w:pPr>
              <w:pStyle w:val="TableParagraph"/>
              <w:ind w:left="694" w:right="780"/>
              <w:jc w:val="center"/>
              <w:rPr>
                <w:sz w:val="20"/>
              </w:rPr>
            </w:pPr>
            <w:r>
              <w:rPr>
                <w:spacing w:val="-2"/>
                <w:sz w:val="20"/>
              </w:rPr>
              <w:t>$6.30</w:t>
            </w:r>
          </w:p>
        </w:tc>
      </w:tr>
      <w:tr w:rsidR="00C31389" w14:paraId="30391AE6" w14:textId="77777777">
        <w:trPr>
          <w:trHeight w:val="309"/>
        </w:trPr>
        <w:tc>
          <w:tcPr>
            <w:tcW w:w="1196" w:type="dxa"/>
            <w:tcBorders>
              <w:top w:val="single" w:color="000000" w:sz="4" w:space="0"/>
            </w:tcBorders>
          </w:tcPr>
          <w:p w:rsidR="00C31389" w:rsidRDefault="00C31389" w14:paraId="6BCF633E" w14:textId="77777777">
            <w:pPr>
              <w:pStyle w:val="TableParagraph"/>
              <w:spacing w:before="0"/>
              <w:rPr>
                <w:rFonts w:ascii="Times New Roman"/>
                <w:sz w:val="20"/>
              </w:rPr>
            </w:pPr>
          </w:p>
        </w:tc>
        <w:tc>
          <w:tcPr>
            <w:tcW w:w="1780" w:type="dxa"/>
            <w:tcBorders>
              <w:top w:val="single" w:color="000000" w:sz="4" w:space="0"/>
              <w:bottom w:val="single" w:color="D9D9D9" w:sz="2" w:space="0"/>
            </w:tcBorders>
          </w:tcPr>
          <w:p w:rsidR="00C31389" w:rsidRDefault="00561FBD" w14:paraId="0E1F4301" w14:textId="77777777">
            <w:pPr>
              <w:pStyle w:val="TableParagraph"/>
              <w:ind w:left="115"/>
              <w:rPr>
                <w:sz w:val="20"/>
              </w:rPr>
            </w:pPr>
            <w:r>
              <w:rPr>
                <w:spacing w:val="-2"/>
                <w:sz w:val="20"/>
              </w:rPr>
              <w:t>Residential</w:t>
            </w:r>
          </w:p>
        </w:tc>
        <w:tc>
          <w:tcPr>
            <w:tcW w:w="2064" w:type="dxa"/>
            <w:tcBorders>
              <w:top w:val="single" w:color="000000" w:sz="4" w:space="0"/>
              <w:bottom w:val="single" w:color="D9D9D9" w:sz="2" w:space="0"/>
            </w:tcBorders>
          </w:tcPr>
          <w:p w:rsidR="00C31389" w:rsidRDefault="00561FBD" w14:paraId="605A2C0B" w14:textId="77777777">
            <w:pPr>
              <w:pStyle w:val="TableParagraph"/>
              <w:ind w:left="586" w:right="353"/>
              <w:jc w:val="center"/>
              <w:rPr>
                <w:sz w:val="20"/>
              </w:rPr>
            </w:pPr>
            <w:r>
              <w:rPr>
                <w:spacing w:val="-2"/>
                <w:sz w:val="20"/>
              </w:rPr>
              <w:t>37.83</w:t>
            </w:r>
          </w:p>
        </w:tc>
        <w:tc>
          <w:tcPr>
            <w:tcW w:w="2324" w:type="dxa"/>
            <w:tcBorders>
              <w:top w:val="single" w:color="000000" w:sz="4" w:space="0"/>
              <w:bottom w:val="single" w:color="D9D9D9" w:sz="2" w:space="0"/>
            </w:tcBorders>
          </w:tcPr>
          <w:p w:rsidR="00C31389" w:rsidRDefault="00561FBD" w14:paraId="7E58820D" w14:textId="77777777">
            <w:pPr>
              <w:pStyle w:val="TableParagraph"/>
              <w:ind w:left="356" w:right="311"/>
              <w:jc w:val="center"/>
              <w:rPr>
                <w:sz w:val="20"/>
              </w:rPr>
            </w:pPr>
            <w:r>
              <w:rPr>
                <w:spacing w:val="-2"/>
                <w:sz w:val="20"/>
              </w:rPr>
              <w:t>24.82</w:t>
            </w:r>
          </w:p>
        </w:tc>
        <w:tc>
          <w:tcPr>
            <w:tcW w:w="2008" w:type="dxa"/>
            <w:tcBorders>
              <w:top w:val="single" w:color="000000" w:sz="4" w:space="0"/>
              <w:bottom w:val="single" w:color="D9D9D9" w:sz="2" w:space="0"/>
            </w:tcBorders>
          </w:tcPr>
          <w:p w:rsidR="00C31389" w:rsidRDefault="00561FBD" w14:paraId="248227AF" w14:textId="77777777">
            <w:pPr>
              <w:pStyle w:val="TableParagraph"/>
              <w:ind w:right="682"/>
              <w:jc w:val="right"/>
              <w:rPr>
                <w:sz w:val="20"/>
              </w:rPr>
            </w:pPr>
            <w:r>
              <w:rPr>
                <w:spacing w:val="-2"/>
                <w:sz w:val="20"/>
              </w:rPr>
              <w:t>$153.79</w:t>
            </w:r>
          </w:p>
        </w:tc>
      </w:tr>
      <w:tr w:rsidR="00C31389" w14:paraId="2CDED48D" w14:textId="77777777">
        <w:trPr>
          <w:trHeight w:val="310"/>
        </w:trPr>
        <w:tc>
          <w:tcPr>
            <w:tcW w:w="1196" w:type="dxa"/>
            <w:vMerge w:val="restart"/>
          </w:tcPr>
          <w:p w:rsidR="00C31389" w:rsidRDefault="00C31389" w14:paraId="19C9B77C" w14:textId="77777777">
            <w:pPr>
              <w:pStyle w:val="TableParagraph"/>
              <w:spacing w:before="3"/>
              <w:rPr>
                <w:b/>
                <w:sz w:val="17"/>
              </w:rPr>
            </w:pPr>
          </w:p>
          <w:p w:rsidR="00C31389" w:rsidRDefault="00561FBD" w14:paraId="6A90BFEC" w14:textId="77777777">
            <w:pPr>
              <w:pStyle w:val="TableParagraph"/>
              <w:spacing w:before="0"/>
              <w:ind w:left="129"/>
              <w:rPr>
                <w:b/>
                <w:sz w:val="20"/>
              </w:rPr>
            </w:pPr>
            <w:r>
              <w:rPr>
                <w:b/>
                <w:spacing w:val="-5"/>
                <w:sz w:val="20"/>
              </w:rPr>
              <w:t>SCG</w:t>
            </w:r>
          </w:p>
        </w:tc>
        <w:tc>
          <w:tcPr>
            <w:tcW w:w="1780" w:type="dxa"/>
            <w:tcBorders>
              <w:top w:val="single" w:color="D9D9D9" w:sz="2" w:space="0"/>
              <w:bottom w:val="single" w:color="D9D9D9" w:sz="2" w:space="0"/>
            </w:tcBorders>
          </w:tcPr>
          <w:p w:rsidR="00C31389" w:rsidRDefault="00561FBD" w14:paraId="4E1FC38F" w14:textId="77777777">
            <w:pPr>
              <w:pStyle w:val="TableParagraph"/>
              <w:spacing w:before="41"/>
              <w:ind w:left="115"/>
              <w:rPr>
                <w:sz w:val="20"/>
              </w:rPr>
            </w:pPr>
            <w:r>
              <w:rPr>
                <w:spacing w:val="-2"/>
                <w:sz w:val="20"/>
              </w:rPr>
              <w:t>Commercial</w:t>
            </w:r>
          </w:p>
        </w:tc>
        <w:tc>
          <w:tcPr>
            <w:tcW w:w="2064" w:type="dxa"/>
            <w:tcBorders>
              <w:top w:val="single" w:color="D9D9D9" w:sz="2" w:space="0"/>
              <w:bottom w:val="single" w:color="D9D9D9" w:sz="2" w:space="0"/>
            </w:tcBorders>
          </w:tcPr>
          <w:p w:rsidR="00C31389" w:rsidRDefault="00561FBD" w14:paraId="339E2456" w14:textId="77777777">
            <w:pPr>
              <w:pStyle w:val="TableParagraph"/>
              <w:spacing w:before="41"/>
              <w:ind w:left="586" w:right="352"/>
              <w:jc w:val="center"/>
              <w:rPr>
                <w:sz w:val="20"/>
              </w:rPr>
            </w:pPr>
            <w:r>
              <w:rPr>
                <w:spacing w:val="-4"/>
                <w:sz w:val="20"/>
              </w:rPr>
              <w:t>0.24</w:t>
            </w:r>
          </w:p>
        </w:tc>
        <w:tc>
          <w:tcPr>
            <w:tcW w:w="2324" w:type="dxa"/>
            <w:tcBorders>
              <w:top w:val="single" w:color="D9D9D9" w:sz="2" w:space="0"/>
              <w:bottom w:val="single" w:color="D9D9D9" w:sz="2" w:space="0"/>
            </w:tcBorders>
          </w:tcPr>
          <w:p w:rsidR="00C31389" w:rsidRDefault="00561FBD" w14:paraId="54E4B37C" w14:textId="77777777">
            <w:pPr>
              <w:pStyle w:val="TableParagraph"/>
              <w:spacing w:before="41"/>
              <w:ind w:left="356" w:right="311"/>
              <w:jc w:val="center"/>
              <w:rPr>
                <w:sz w:val="20"/>
              </w:rPr>
            </w:pPr>
            <w:r>
              <w:rPr>
                <w:spacing w:val="-2"/>
                <w:sz w:val="20"/>
              </w:rPr>
              <w:t>23.00</w:t>
            </w:r>
          </w:p>
        </w:tc>
        <w:tc>
          <w:tcPr>
            <w:tcW w:w="2008" w:type="dxa"/>
            <w:tcBorders>
              <w:top w:val="single" w:color="D9D9D9" w:sz="2" w:space="0"/>
              <w:bottom w:val="single" w:color="D9D9D9" w:sz="2" w:space="0"/>
            </w:tcBorders>
          </w:tcPr>
          <w:p w:rsidR="00C31389" w:rsidRDefault="00561FBD" w14:paraId="64C67762" w14:textId="77777777">
            <w:pPr>
              <w:pStyle w:val="TableParagraph"/>
              <w:spacing w:before="41"/>
              <w:ind w:right="738"/>
              <w:jc w:val="right"/>
              <w:rPr>
                <w:sz w:val="20"/>
              </w:rPr>
            </w:pPr>
            <w:r>
              <w:rPr>
                <w:spacing w:val="-2"/>
                <w:sz w:val="20"/>
              </w:rPr>
              <w:t>$75.38</w:t>
            </w:r>
          </w:p>
        </w:tc>
      </w:tr>
      <w:tr w:rsidR="00C31389" w14:paraId="0652687E" w14:textId="77777777">
        <w:trPr>
          <w:trHeight w:val="309"/>
        </w:trPr>
        <w:tc>
          <w:tcPr>
            <w:tcW w:w="1196" w:type="dxa"/>
            <w:vMerge/>
            <w:tcBorders>
              <w:top w:val="nil"/>
            </w:tcBorders>
          </w:tcPr>
          <w:p w:rsidR="00C31389" w:rsidRDefault="00C31389" w14:paraId="7B8CF8EA" w14:textId="77777777">
            <w:pPr>
              <w:rPr>
                <w:sz w:val="2"/>
                <w:szCs w:val="2"/>
              </w:rPr>
            </w:pPr>
          </w:p>
        </w:tc>
        <w:tc>
          <w:tcPr>
            <w:tcW w:w="1780" w:type="dxa"/>
            <w:tcBorders>
              <w:top w:val="single" w:color="D9D9D9" w:sz="2" w:space="0"/>
              <w:bottom w:val="single" w:color="D9D9D9" w:sz="2" w:space="0"/>
            </w:tcBorders>
          </w:tcPr>
          <w:p w:rsidR="00C31389" w:rsidRDefault="00561FBD" w14:paraId="6A362516" w14:textId="77777777">
            <w:pPr>
              <w:pStyle w:val="TableParagraph"/>
              <w:ind w:left="115"/>
              <w:rPr>
                <w:sz w:val="20"/>
              </w:rPr>
            </w:pPr>
            <w:r>
              <w:rPr>
                <w:spacing w:val="-2"/>
                <w:sz w:val="20"/>
              </w:rPr>
              <w:t>Industrial</w:t>
            </w:r>
          </w:p>
        </w:tc>
        <w:tc>
          <w:tcPr>
            <w:tcW w:w="2064" w:type="dxa"/>
            <w:tcBorders>
              <w:top w:val="single" w:color="D9D9D9" w:sz="2" w:space="0"/>
              <w:bottom w:val="single" w:color="D9D9D9" w:sz="2" w:space="0"/>
            </w:tcBorders>
          </w:tcPr>
          <w:p w:rsidR="00C31389" w:rsidRDefault="00561FBD" w14:paraId="3A39B567" w14:textId="77777777">
            <w:pPr>
              <w:pStyle w:val="TableParagraph"/>
              <w:ind w:left="586" w:right="352"/>
              <w:jc w:val="center"/>
              <w:rPr>
                <w:sz w:val="20"/>
              </w:rPr>
            </w:pPr>
            <w:r>
              <w:rPr>
                <w:spacing w:val="-4"/>
                <w:sz w:val="20"/>
              </w:rPr>
              <w:t>0.01</w:t>
            </w:r>
          </w:p>
        </w:tc>
        <w:tc>
          <w:tcPr>
            <w:tcW w:w="2324" w:type="dxa"/>
            <w:tcBorders>
              <w:top w:val="single" w:color="D9D9D9" w:sz="2" w:space="0"/>
              <w:bottom w:val="single" w:color="D9D9D9" w:sz="2" w:space="0"/>
            </w:tcBorders>
          </w:tcPr>
          <w:p w:rsidR="00C31389" w:rsidRDefault="00561FBD" w14:paraId="52F10649" w14:textId="77777777">
            <w:pPr>
              <w:pStyle w:val="TableParagraph"/>
              <w:ind w:left="356" w:right="310"/>
              <w:jc w:val="center"/>
              <w:rPr>
                <w:sz w:val="20"/>
              </w:rPr>
            </w:pPr>
            <w:r>
              <w:rPr>
                <w:spacing w:val="-4"/>
                <w:sz w:val="20"/>
              </w:rPr>
              <w:t>9.51</w:t>
            </w:r>
          </w:p>
        </w:tc>
        <w:tc>
          <w:tcPr>
            <w:tcW w:w="2008" w:type="dxa"/>
            <w:tcBorders>
              <w:top w:val="single" w:color="D9D9D9" w:sz="2" w:space="0"/>
              <w:bottom w:val="single" w:color="D9D9D9" w:sz="2" w:space="0"/>
            </w:tcBorders>
          </w:tcPr>
          <w:p w:rsidR="00C31389" w:rsidRDefault="00561FBD" w14:paraId="038AFE82" w14:textId="77777777">
            <w:pPr>
              <w:pStyle w:val="TableParagraph"/>
              <w:ind w:right="738"/>
              <w:jc w:val="right"/>
              <w:rPr>
                <w:sz w:val="20"/>
              </w:rPr>
            </w:pPr>
            <w:r>
              <w:rPr>
                <w:spacing w:val="-2"/>
                <w:sz w:val="20"/>
              </w:rPr>
              <w:t>$19.32</w:t>
            </w:r>
          </w:p>
        </w:tc>
      </w:tr>
      <w:tr w:rsidR="00C31389" w14:paraId="7C0054A5" w14:textId="77777777">
        <w:trPr>
          <w:trHeight w:val="310"/>
        </w:trPr>
        <w:tc>
          <w:tcPr>
            <w:tcW w:w="1196" w:type="dxa"/>
            <w:tcBorders>
              <w:bottom w:val="single" w:color="000000" w:sz="4" w:space="0"/>
            </w:tcBorders>
          </w:tcPr>
          <w:p w:rsidR="00C31389" w:rsidRDefault="00C31389" w14:paraId="227F6425" w14:textId="77777777">
            <w:pPr>
              <w:pStyle w:val="TableParagraph"/>
              <w:spacing w:before="0"/>
              <w:rPr>
                <w:rFonts w:ascii="Times New Roman"/>
                <w:sz w:val="20"/>
              </w:rPr>
            </w:pPr>
          </w:p>
        </w:tc>
        <w:tc>
          <w:tcPr>
            <w:tcW w:w="1780" w:type="dxa"/>
            <w:tcBorders>
              <w:top w:val="single" w:color="D9D9D9" w:sz="2" w:space="0"/>
              <w:bottom w:val="single" w:color="000000" w:sz="4" w:space="0"/>
            </w:tcBorders>
          </w:tcPr>
          <w:p w:rsidR="00C31389" w:rsidRDefault="00561FBD" w14:paraId="0C31A607" w14:textId="77777777">
            <w:pPr>
              <w:pStyle w:val="TableParagraph"/>
              <w:spacing w:before="41"/>
              <w:ind w:left="115"/>
              <w:rPr>
                <w:sz w:val="20"/>
              </w:rPr>
            </w:pPr>
            <w:r>
              <w:rPr>
                <w:spacing w:val="-2"/>
                <w:sz w:val="20"/>
              </w:rPr>
              <w:t>Agriculture</w:t>
            </w:r>
          </w:p>
        </w:tc>
        <w:tc>
          <w:tcPr>
            <w:tcW w:w="2064" w:type="dxa"/>
            <w:tcBorders>
              <w:top w:val="single" w:color="D9D9D9" w:sz="2" w:space="0"/>
              <w:bottom w:val="single" w:color="000000" w:sz="4" w:space="0"/>
            </w:tcBorders>
          </w:tcPr>
          <w:p w:rsidR="00C31389" w:rsidRDefault="00561FBD" w14:paraId="67BB1210" w14:textId="77777777">
            <w:pPr>
              <w:pStyle w:val="TableParagraph"/>
              <w:spacing w:before="41"/>
              <w:ind w:left="586" w:right="352"/>
              <w:jc w:val="center"/>
              <w:rPr>
                <w:sz w:val="20"/>
              </w:rPr>
            </w:pPr>
            <w:r>
              <w:rPr>
                <w:spacing w:val="-4"/>
                <w:sz w:val="20"/>
              </w:rPr>
              <w:t>1.31</w:t>
            </w:r>
          </w:p>
        </w:tc>
        <w:tc>
          <w:tcPr>
            <w:tcW w:w="2324" w:type="dxa"/>
            <w:tcBorders>
              <w:top w:val="single" w:color="D9D9D9" w:sz="2" w:space="0"/>
              <w:bottom w:val="single" w:color="000000" w:sz="4" w:space="0"/>
            </w:tcBorders>
          </w:tcPr>
          <w:p w:rsidR="00C31389" w:rsidRDefault="00561FBD" w14:paraId="0EB0E082" w14:textId="77777777">
            <w:pPr>
              <w:pStyle w:val="TableParagraph"/>
              <w:spacing w:before="41"/>
              <w:ind w:left="356" w:right="310"/>
              <w:jc w:val="center"/>
              <w:rPr>
                <w:sz w:val="20"/>
              </w:rPr>
            </w:pPr>
            <w:r>
              <w:rPr>
                <w:spacing w:val="-4"/>
                <w:sz w:val="20"/>
              </w:rPr>
              <w:t>4.54</w:t>
            </w:r>
          </w:p>
        </w:tc>
        <w:tc>
          <w:tcPr>
            <w:tcW w:w="2008" w:type="dxa"/>
            <w:tcBorders>
              <w:top w:val="single" w:color="D9D9D9" w:sz="2" w:space="0"/>
              <w:bottom w:val="single" w:color="000000" w:sz="4" w:space="0"/>
            </w:tcBorders>
          </w:tcPr>
          <w:p w:rsidR="00C31389" w:rsidRDefault="00561FBD" w14:paraId="32A195E6" w14:textId="77777777">
            <w:pPr>
              <w:pStyle w:val="TableParagraph"/>
              <w:spacing w:before="41"/>
              <w:ind w:left="694" w:right="780"/>
              <w:jc w:val="center"/>
              <w:rPr>
                <w:sz w:val="20"/>
              </w:rPr>
            </w:pPr>
            <w:r>
              <w:rPr>
                <w:spacing w:val="-2"/>
                <w:sz w:val="20"/>
              </w:rPr>
              <w:t>$5.89</w:t>
            </w:r>
          </w:p>
        </w:tc>
      </w:tr>
      <w:tr w:rsidR="00C31389" w14:paraId="36BC1E29" w14:textId="77777777">
        <w:trPr>
          <w:trHeight w:val="309"/>
        </w:trPr>
        <w:tc>
          <w:tcPr>
            <w:tcW w:w="1196" w:type="dxa"/>
            <w:tcBorders>
              <w:top w:val="single" w:color="000000" w:sz="4" w:space="0"/>
            </w:tcBorders>
          </w:tcPr>
          <w:p w:rsidR="00C31389" w:rsidRDefault="00C31389" w14:paraId="33BC31B5" w14:textId="77777777">
            <w:pPr>
              <w:pStyle w:val="TableParagraph"/>
              <w:spacing w:before="0"/>
              <w:rPr>
                <w:rFonts w:ascii="Times New Roman"/>
                <w:sz w:val="20"/>
              </w:rPr>
            </w:pPr>
          </w:p>
        </w:tc>
        <w:tc>
          <w:tcPr>
            <w:tcW w:w="1780" w:type="dxa"/>
            <w:tcBorders>
              <w:top w:val="single" w:color="000000" w:sz="4" w:space="0"/>
              <w:bottom w:val="single" w:color="D9D9D9" w:sz="2" w:space="0"/>
            </w:tcBorders>
          </w:tcPr>
          <w:p w:rsidR="00C31389" w:rsidRDefault="00561FBD" w14:paraId="55CBB8A8" w14:textId="77777777">
            <w:pPr>
              <w:pStyle w:val="TableParagraph"/>
              <w:ind w:left="115"/>
              <w:rPr>
                <w:sz w:val="20"/>
              </w:rPr>
            </w:pPr>
            <w:r>
              <w:rPr>
                <w:spacing w:val="-2"/>
                <w:sz w:val="20"/>
              </w:rPr>
              <w:t>Residential</w:t>
            </w:r>
          </w:p>
        </w:tc>
        <w:tc>
          <w:tcPr>
            <w:tcW w:w="2064" w:type="dxa"/>
            <w:tcBorders>
              <w:top w:val="single" w:color="000000" w:sz="4" w:space="0"/>
              <w:bottom w:val="single" w:color="D9D9D9" w:sz="2" w:space="0"/>
            </w:tcBorders>
          </w:tcPr>
          <w:p w:rsidR="00C31389" w:rsidRDefault="00561FBD" w14:paraId="0377DEF3" w14:textId="77777777">
            <w:pPr>
              <w:pStyle w:val="TableParagraph"/>
              <w:ind w:left="586" w:right="354"/>
              <w:jc w:val="center"/>
              <w:rPr>
                <w:sz w:val="20"/>
              </w:rPr>
            </w:pPr>
            <w:r>
              <w:rPr>
                <w:spacing w:val="-2"/>
                <w:sz w:val="20"/>
              </w:rPr>
              <w:t>36.82</w:t>
            </w:r>
          </w:p>
        </w:tc>
        <w:tc>
          <w:tcPr>
            <w:tcW w:w="2324" w:type="dxa"/>
            <w:tcBorders>
              <w:top w:val="single" w:color="000000" w:sz="4" w:space="0"/>
              <w:bottom w:val="single" w:color="D9D9D9" w:sz="2" w:space="0"/>
            </w:tcBorders>
          </w:tcPr>
          <w:p w:rsidR="00C31389" w:rsidRDefault="00561FBD" w14:paraId="28B0C28E" w14:textId="77777777">
            <w:pPr>
              <w:pStyle w:val="TableParagraph"/>
              <w:ind w:left="356" w:right="311"/>
              <w:jc w:val="center"/>
              <w:rPr>
                <w:sz w:val="20"/>
              </w:rPr>
            </w:pPr>
            <w:r>
              <w:rPr>
                <w:spacing w:val="-4"/>
                <w:sz w:val="20"/>
              </w:rPr>
              <w:t>2.39</w:t>
            </w:r>
          </w:p>
        </w:tc>
        <w:tc>
          <w:tcPr>
            <w:tcW w:w="2008" w:type="dxa"/>
            <w:tcBorders>
              <w:top w:val="single" w:color="000000" w:sz="4" w:space="0"/>
              <w:bottom w:val="single" w:color="D9D9D9" w:sz="2" w:space="0"/>
            </w:tcBorders>
          </w:tcPr>
          <w:p w:rsidR="00C31389" w:rsidRDefault="00561FBD" w14:paraId="202496DB" w14:textId="77777777">
            <w:pPr>
              <w:pStyle w:val="TableParagraph"/>
              <w:ind w:right="738"/>
              <w:jc w:val="right"/>
              <w:rPr>
                <w:sz w:val="20"/>
              </w:rPr>
            </w:pPr>
            <w:r>
              <w:rPr>
                <w:spacing w:val="-2"/>
                <w:sz w:val="20"/>
              </w:rPr>
              <w:t>$59.96</w:t>
            </w:r>
          </w:p>
        </w:tc>
      </w:tr>
      <w:tr w:rsidR="00C31389" w14:paraId="7C8F5AB6" w14:textId="77777777">
        <w:trPr>
          <w:trHeight w:val="310"/>
        </w:trPr>
        <w:tc>
          <w:tcPr>
            <w:tcW w:w="1196" w:type="dxa"/>
            <w:vMerge w:val="restart"/>
          </w:tcPr>
          <w:p w:rsidR="00C31389" w:rsidRDefault="00C31389" w14:paraId="69DDD320" w14:textId="77777777">
            <w:pPr>
              <w:pStyle w:val="TableParagraph"/>
              <w:spacing w:before="3"/>
              <w:rPr>
                <w:b/>
                <w:sz w:val="17"/>
              </w:rPr>
            </w:pPr>
          </w:p>
          <w:p w:rsidR="00C31389" w:rsidRDefault="00561FBD" w14:paraId="7DF9505B" w14:textId="77777777">
            <w:pPr>
              <w:pStyle w:val="TableParagraph"/>
              <w:spacing w:before="0"/>
              <w:ind w:left="129"/>
              <w:rPr>
                <w:b/>
                <w:sz w:val="20"/>
              </w:rPr>
            </w:pPr>
            <w:r>
              <w:rPr>
                <w:b/>
                <w:spacing w:val="-2"/>
                <w:sz w:val="20"/>
              </w:rPr>
              <w:t>SDG&amp;E</w:t>
            </w:r>
          </w:p>
        </w:tc>
        <w:tc>
          <w:tcPr>
            <w:tcW w:w="1780" w:type="dxa"/>
            <w:tcBorders>
              <w:top w:val="single" w:color="D9D9D9" w:sz="2" w:space="0"/>
              <w:bottom w:val="single" w:color="D9D9D9" w:sz="2" w:space="0"/>
            </w:tcBorders>
          </w:tcPr>
          <w:p w:rsidR="00C31389" w:rsidRDefault="00561FBD" w14:paraId="608CBC2D" w14:textId="77777777">
            <w:pPr>
              <w:pStyle w:val="TableParagraph"/>
              <w:spacing w:before="41"/>
              <w:ind w:left="115"/>
              <w:rPr>
                <w:sz w:val="20"/>
              </w:rPr>
            </w:pPr>
            <w:r>
              <w:rPr>
                <w:spacing w:val="-2"/>
                <w:sz w:val="20"/>
              </w:rPr>
              <w:t>Commercial</w:t>
            </w:r>
          </w:p>
        </w:tc>
        <w:tc>
          <w:tcPr>
            <w:tcW w:w="2064" w:type="dxa"/>
            <w:tcBorders>
              <w:top w:val="single" w:color="D9D9D9" w:sz="2" w:space="0"/>
              <w:bottom w:val="single" w:color="D9D9D9" w:sz="2" w:space="0"/>
            </w:tcBorders>
          </w:tcPr>
          <w:p w:rsidR="00C31389" w:rsidRDefault="00561FBD" w14:paraId="121BF3C6" w14:textId="77777777">
            <w:pPr>
              <w:pStyle w:val="TableParagraph"/>
              <w:spacing w:before="41"/>
              <w:ind w:left="586" w:right="353"/>
              <w:jc w:val="center"/>
              <w:rPr>
                <w:sz w:val="20"/>
              </w:rPr>
            </w:pPr>
            <w:r>
              <w:rPr>
                <w:spacing w:val="-2"/>
                <w:sz w:val="20"/>
              </w:rPr>
              <w:t>85.05</w:t>
            </w:r>
          </w:p>
        </w:tc>
        <w:tc>
          <w:tcPr>
            <w:tcW w:w="2324" w:type="dxa"/>
            <w:tcBorders>
              <w:top w:val="single" w:color="D9D9D9" w:sz="2" w:space="0"/>
              <w:bottom w:val="single" w:color="D9D9D9" w:sz="2" w:space="0"/>
            </w:tcBorders>
          </w:tcPr>
          <w:p w:rsidR="00C31389" w:rsidRDefault="00561FBD" w14:paraId="5563BC35" w14:textId="77777777">
            <w:pPr>
              <w:pStyle w:val="TableParagraph"/>
              <w:spacing w:before="41"/>
              <w:ind w:left="356" w:right="310"/>
              <w:jc w:val="center"/>
              <w:rPr>
                <w:sz w:val="20"/>
              </w:rPr>
            </w:pPr>
            <w:r>
              <w:rPr>
                <w:spacing w:val="-4"/>
                <w:sz w:val="20"/>
              </w:rPr>
              <w:t>1.54</w:t>
            </w:r>
          </w:p>
        </w:tc>
        <w:tc>
          <w:tcPr>
            <w:tcW w:w="2008" w:type="dxa"/>
            <w:tcBorders>
              <w:top w:val="single" w:color="D9D9D9" w:sz="2" w:space="0"/>
              <w:bottom w:val="single" w:color="D9D9D9" w:sz="2" w:space="0"/>
            </w:tcBorders>
          </w:tcPr>
          <w:p w:rsidR="00C31389" w:rsidRDefault="00561FBD" w14:paraId="6E382FD1" w14:textId="77777777">
            <w:pPr>
              <w:pStyle w:val="TableParagraph"/>
              <w:spacing w:before="41"/>
              <w:ind w:right="738"/>
              <w:jc w:val="right"/>
              <w:rPr>
                <w:sz w:val="20"/>
              </w:rPr>
            </w:pPr>
            <w:r>
              <w:rPr>
                <w:spacing w:val="-2"/>
                <w:sz w:val="20"/>
              </w:rPr>
              <w:t>$60.37</w:t>
            </w:r>
          </w:p>
        </w:tc>
      </w:tr>
      <w:tr w:rsidR="00C31389" w14:paraId="60803A5E" w14:textId="77777777">
        <w:trPr>
          <w:trHeight w:val="309"/>
        </w:trPr>
        <w:tc>
          <w:tcPr>
            <w:tcW w:w="1196" w:type="dxa"/>
            <w:vMerge/>
            <w:tcBorders>
              <w:top w:val="nil"/>
            </w:tcBorders>
          </w:tcPr>
          <w:p w:rsidR="00C31389" w:rsidRDefault="00C31389" w14:paraId="2297E6A3" w14:textId="77777777">
            <w:pPr>
              <w:rPr>
                <w:sz w:val="2"/>
                <w:szCs w:val="2"/>
              </w:rPr>
            </w:pPr>
          </w:p>
        </w:tc>
        <w:tc>
          <w:tcPr>
            <w:tcW w:w="1780" w:type="dxa"/>
            <w:tcBorders>
              <w:top w:val="single" w:color="D9D9D9" w:sz="2" w:space="0"/>
              <w:bottom w:val="single" w:color="D9D9D9" w:sz="2" w:space="0"/>
            </w:tcBorders>
          </w:tcPr>
          <w:p w:rsidR="00C31389" w:rsidRDefault="00561FBD" w14:paraId="3877D20F" w14:textId="77777777">
            <w:pPr>
              <w:pStyle w:val="TableParagraph"/>
              <w:ind w:left="115"/>
              <w:rPr>
                <w:sz w:val="20"/>
              </w:rPr>
            </w:pPr>
            <w:r>
              <w:rPr>
                <w:spacing w:val="-2"/>
                <w:sz w:val="20"/>
              </w:rPr>
              <w:t>Industrial</w:t>
            </w:r>
          </w:p>
        </w:tc>
        <w:tc>
          <w:tcPr>
            <w:tcW w:w="2064" w:type="dxa"/>
            <w:tcBorders>
              <w:top w:val="single" w:color="D9D9D9" w:sz="2" w:space="0"/>
              <w:bottom w:val="single" w:color="D9D9D9" w:sz="2" w:space="0"/>
            </w:tcBorders>
          </w:tcPr>
          <w:p w:rsidR="00C31389" w:rsidRDefault="00561FBD" w14:paraId="67C250EE" w14:textId="77777777">
            <w:pPr>
              <w:pStyle w:val="TableParagraph"/>
              <w:ind w:left="586" w:right="353"/>
              <w:jc w:val="center"/>
              <w:rPr>
                <w:sz w:val="20"/>
              </w:rPr>
            </w:pPr>
            <w:r>
              <w:rPr>
                <w:spacing w:val="-2"/>
                <w:sz w:val="20"/>
              </w:rPr>
              <w:t>12.22</w:t>
            </w:r>
          </w:p>
        </w:tc>
        <w:tc>
          <w:tcPr>
            <w:tcW w:w="2324" w:type="dxa"/>
            <w:tcBorders>
              <w:top w:val="single" w:color="D9D9D9" w:sz="2" w:space="0"/>
              <w:bottom w:val="single" w:color="D9D9D9" w:sz="2" w:space="0"/>
            </w:tcBorders>
          </w:tcPr>
          <w:p w:rsidR="00C31389" w:rsidRDefault="00561FBD" w14:paraId="24A79F3E" w14:textId="77777777">
            <w:pPr>
              <w:pStyle w:val="TableParagraph"/>
              <w:ind w:left="356" w:right="310"/>
              <w:jc w:val="center"/>
              <w:rPr>
                <w:sz w:val="20"/>
              </w:rPr>
            </w:pPr>
            <w:r>
              <w:rPr>
                <w:spacing w:val="-4"/>
                <w:sz w:val="20"/>
              </w:rPr>
              <w:t>0.38</w:t>
            </w:r>
          </w:p>
        </w:tc>
        <w:tc>
          <w:tcPr>
            <w:tcW w:w="2008" w:type="dxa"/>
            <w:tcBorders>
              <w:top w:val="single" w:color="D9D9D9" w:sz="2" w:space="0"/>
              <w:bottom w:val="single" w:color="D9D9D9" w:sz="2" w:space="0"/>
            </w:tcBorders>
          </w:tcPr>
          <w:p w:rsidR="00C31389" w:rsidRDefault="00561FBD" w14:paraId="4D94CCC3" w14:textId="77777777">
            <w:pPr>
              <w:pStyle w:val="TableParagraph"/>
              <w:ind w:left="695" w:right="780"/>
              <w:jc w:val="center"/>
              <w:rPr>
                <w:sz w:val="20"/>
              </w:rPr>
            </w:pPr>
            <w:r>
              <w:rPr>
                <w:spacing w:val="-2"/>
                <w:sz w:val="20"/>
              </w:rPr>
              <w:t>$4.78</w:t>
            </w:r>
          </w:p>
        </w:tc>
      </w:tr>
      <w:tr w:rsidR="00C31389" w14:paraId="27501AD6" w14:textId="77777777">
        <w:trPr>
          <w:trHeight w:val="311"/>
        </w:trPr>
        <w:tc>
          <w:tcPr>
            <w:tcW w:w="1196" w:type="dxa"/>
            <w:tcBorders>
              <w:bottom w:val="single" w:color="000000" w:sz="8" w:space="0"/>
            </w:tcBorders>
          </w:tcPr>
          <w:p w:rsidR="00C31389" w:rsidRDefault="00C31389" w14:paraId="324C06B6" w14:textId="77777777">
            <w:pPr>
              <w:pStyle w:val="TableParagraph"/>
              <w:spacing w:before="0"/>
              <w:rPr>
                <w:rFonts w:ascii="Times New Roman"/>
                <w:sz w:val="20"/>
              </w:rPr>
            </w:pPr>
          </w:p>
        </w:tc>
        <w:tc>
          <w:tcPr>
            <w:tcW w:w="1780" w:type="dxa"/>
            <w:tcBorders>
              <w:top w:val="single" w:color="D9D9D9" w:sz="2" w:space="0"/>
              <w:bottom w:val="single" w:color="000000" w:sz="8" w:space="0"/>
            </w:tcBorders>
          </w:tcPr>
          <w:p w:rsidR="00C31389" w:rsidRDefault="00561FBD" w14:paraId="29AA3070" w14:textId="77777777">
            <w:pPr>
              <w:pStyle w:val="TableParagraph"/>
              <w:spacing w:before="41"/>
              <w:ind w:left="115"/>
              <w:rPr>
                <w:sz w:val="20"/>
              </w:rPr>
            </w:pPr>
            <w:r>
              <w:rPr>
                <w:spacing w:val="-2"/>
                <w:sz w:val="20"/>
              </w:rPr>
              <w:t>Agriculture</w:t>
            </w:r>
          </w:p>
        </w:tc>
        <w:tc>
          <w:tcPr>
            <w:tcW w:w="2064" w:type="dxa"/>
            <w:tcBorders>
              <w:top w:val="single" w:color="D9D9D9" w:sz="2" w:space="0"/>
              <w:bottom w:val="single" w:color="000000" w:sz="8" w:space="0"/>
            </w:tcBorders>
          </w:tcPr>
          <w:p w:rsidR="00C31389" w:rsidRDefault="00561FBD" w14:paraId="0110F4A2" w14:textId="77777777">
            <w:pPr>
              <w:pStyle w:val="TableParagraph"/>
              <w:spacing w:before="41"/>
              <w:ind w:left="586" w:right="352"/>
              <w:jc w:val="center"/>
              <w:rPr>
                <w:sz w:val="20"/>
              </w:rPr>
            </w:pPr>
            <w:r>
              <w:rPr>
                <w:spacing w:val="-4"/>
                <w:sz w:val="20"/>
              </w:rPr>
              <w:t>0.74</w:t>
            </w:r>
          </w:p>
        </w:tc>
        <w:tc>
          <w:tcPr>
            <w:tcW w:w="2324" w:type="dxa"/>
            <w:tcBorders>
              <w:top w:val="single" w:color="D9D9D9" w:sz="2" w:space="0"/>
              <w:bottom w:val="single" w:color="000000" w:sz="8" w:space="0"/>
            </w:tcBorders>
          </w:tcPr>
          <w:p w:rsidR="00C31389" w:rsidRDefault="00561FBD" w14:paraId="0285AA52" w14:textId="77777777">
            <w:pPr>
              <w:pStyle w:val="TableParagraph"/>
              <w:spacing w:before="41"/>
              <w:ind w:left="356" w:right="310"/>
              <w:jc w:val="center"/>
              <w:rPr>
                <w:sz w:val="20"/>
              </w:rPr>
            </w:pPr>
            <w:r>
              <w:rPr>
                <w:spacing w:val="-4"/>
                <w:sz w:val="20"/>
              </w:rPr>
              <w:t>0.05</w:t>
            </w:r>
          </w:p>
        </w:tc>
        <w:tc>
          <w:tcPr>
            <w:tcW w:w="2008" w:type="dxa"/>
            <w:tcBorders>
              <w:top w:val="single" w:color="D9D9D9" w:sz="2" w:space="0"/>
              <w:bottom w:val="single" w:color="000000" w:sz="8" w:space="0"/>
            </w:tcBorders>
          </w:tcPr>
          <w:p w:rsidR="00C31389" w:rsidRDefault="00561FBD" w14:paraId="5CE3B97F" w14:textId="77777777">
            <w:pPr>
              <w:pStyle w:val="TableParagraph"/>
              <w:spacing w:before="41"/>
              <w:ind w:left="694" w:right="780"/>
              <w:jc w:val="center"/>
              <w:rPr>
                <w:sz w:val="20"/>
              </w:rPr>
            </w:pPr>
            <w:r>
              <w:rPr>
                <w:spacing w:val="-2"/>
                <w:sz w:val="20"/>
              </w:rPr>
              <w:t>$1.42</w:t>
            </w:r>
          </w:p>
        </w:tc>
      </w:tr>
    </w:tbl>
    <w:p w:rsidR="00C31389" w:rsidRDefault="00561FBD" w14:paraId="472238DE" w14:textId="77777777">
      <w:pPr>
        <w:spacing w:before="77"/>
        <w:ind w:left="480"/>
        <w:rPr>
          <w:i/>
          <w:sz w:val="18"/>
        </w:rPr>
      </w:pPr>
      <w:r>
        <w:rPr>
          <w:i/>
          <w:sz w:val="18"/>
        </w:rPr>
        <w:t>Source:</w:t>
      </w:r>
      <w:r>
        <w:rPr>
          <w:i/>
          <w:spacing w:val="-7"/>
          <w:sz w:val="18"/>
        </w:rPr>
        <w:t xml:space="preserve"> </w:t>
      </w:r>
      <w:r>
        <w:rPr>
          <w:i/>
          <w:sz w:val="18"/>
        </w:rPr>
        <w:t>CPUC,</w:t>
      </w:r>
      <w:r>
        <w:rPr>
          <w:i/>
          <w:spacing w:val="-4"/>
          <w:sz w:val="18"/>
        </w:rPr>
        <w:t xml:space="preserve"> </w:t>
      </w:r>
      <w:r>
        <w:rPr>
          <w:i/>
          <w:sz w:val="18"/>
        </w:rPr>
        <w:t>CEDARS</w:t>
      </w:r>
      <w:r>
        <w:rPr>
          <w:i/>
          <w:spacing w:val="-5"/>
          <w:sz w:val="18"/>
        </w:rPr>
        <w:t xml:space="preserve"> </w:t>
      </w:r>
      <w:r>
        <w:rPr>
          <w:i/>
          <w:sz w:val="18"/>
        </w:rPr>
        <w:t>(2018-2021)</w:t>
      </w:r>
      <w:r>
        <w:rPr>
          <w:i/>
          <w:spacing w:val="-4"/>
          <w:sz w:val="18"/>
        </w:rPr>
        <w:t xml:space="preserve"> </w:t>
      </w:r>
      <w:r>
        <w:rPr>
          <w:i/>
          <w:sz w:val="18"/>
        </w:rPr>
        <w:t>Claims</w:t>
      </w:r>
      <w:r>
        <w:rPr>
          <w:i/>
          <w:spacing w:val="-4"/>
          <w:sz w:val="18"/>
        </w:rPr>
        <w:t xml:space="preserve"> Data</w:t>
      </w:r>
    </w:p>
    <w:p w:rsidR="00C31389" w:rsidRDefault="00C31389" w14:paraId="06EC6E2D" w14:textId="77777777">
      <w:pPr>
        <w:pStyle w:val="BodyText"/>
        <w:spacing w:before="9"/>
        <w:rPr>
          <w:i/>
          <w:sz w:val="20"/>
        </w:rPr>
      </w:pPr>
    </w:p>
    <w:p w:rsidR="00C31389" w:rsidRDefault="00561FBD" w14:paraId="374B5970" w14:textId="77777777">
      <w:pPr>
        <w:pStyle w:val="Heading7"/>
        <w:ind w:left="565" w:right="566"/>
        <w:jc w:val="center"/>
      </w:pPr>
      <w:bookmarkStart w:name="_bookmark108" w:id="144"/>
      <w:bookmarkEnd w:id="144"/>
      <w:r>
        <w:t>Table</w:t>
      </w:r>
      <w:r>
        <w:rPr>
          <w:spacing w:val="-9"/>
        </w:rPr>
        <w:t xml:space="preserve"> </w:t>
      </w:r>
      <w:r>
        <w:t>3-6.</w:t>
      </w:r>
      <w:r>
        <w:rPr>
          <w:spacing w:val="-8"/>
        </w:rPr>
        <w:t xml:space="preserve"> </w:t>
      </w:r>
      <w:r>
        <w:t>Programs</w:t>
      </w:r>
      <w:r>
        <w:rPr>
          <w:spacing w:val="-8"/>
        </w:rPr>
        <w:t xml:space="preserve"> </w:t>
      </w:r>
      <w:r>
        <w:t>Excluded</w:t>
      </w:r>
      <w:r>
        <w:rPr>
          <w:spacing w:val="-8"/>
        </w:rPr>
        <w:t xml:space="preserve"> </w:t>
      </w:r>
      <w:r>
        <w:t>from</w:t>
      </w:r>
      <w:r>
        <w:rPr>
          <w:spacing w:val="-8"/>
        </w:rPr>
        <w:t xml:space="preserve"> </w:t>
      </w:r>
      <w:r>
        <w:t>EE</w:t>
      </w:r>
      <w:r>
        <w:rPr>
          <w:spacing w:val="-9"/>
        </w:rPr>
        <w:t xml:space="preserve"> </w:t>
      </w:r>
      <w:r>
        <w:t>Portfolio</w:t>
      </w:r>
      <w:r>
        <w:rPr>
          <w:spacing w:val="-8"/>
        </w:rPr>
        <w:t xml:space="preserve"> </w:t>
      </w:r>
      <w:r>
        <w:t>Gross</w:t>
      </w:r>
      <w:r>
        <w:rPr>
          <w:spacing w:val="-7"/>
        </w:rPr>
        <w:t xml:space="preserve"> </w:t>
      </w:r>
      <w:r>
        <w:t>Program</w:t>
      </w:r>
      <w:r>
        <w:rPr>
          <w:spacing w:val="-8"/>
        </w:rPr>
        <w:t xml:space="preserve"> </w:t>
      </w:r>
      <w:r>
        <w:rPr>
          <w:spacing w:val="-2"/>
        </w:rPr>
        <w:t>Savings</w:t>
      </w:r>
    </w:p>
    <w:p w:rsidR="00C31389" w:rsidRDefault="00C31389" w14:paraId="60B2F427"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2396"/>
        <w:gridCol w:w="4590"/>
        <w:gridCol w:w="2389"/>
      </w:tblGrid>
      <w:tr w:rsidR="00C31389" w14:paraId="4621D94F" w14:textId="77777777">
        <w:trPr>
          <w:trHeight w:val="458"/>
        </w:trPr>
        <w:tc>
          <w:tcPr>
            <w:tcW w:w="2396" w:type="dxa"/>
            <w:shd w:val="clear" w:color="auto" w:fill="92D400"/>
          </w:tcPr>
          <w:p w:rsidR="00C31389" w:rsidRDefault="00561FBD" w14:paraId="4C4D6D89" w14:textId="77777777">
            <w:pPr>
              <w:pStyle w:val="TableParagraph"/>
              <w:spacing w:before="110"/>
              <w:ind w:left="129"/>
              <w:rPr>
                <w:b/>
                <w:sz w:val="20"/>
              </w:rPr>
            </w:pPr>
            <w:r>
              <w:rPr>
                <w:b/>
                <w:sz w:val="20"/>
              </w:rPr>
              <w:t>Program</w:t>
            </w:r>
            <w:r>
              <w:rPr>
                <w:b/>
                <w:spacing w:val="-7"/>
                <w:sz w:val="20"/>
              </w:rPr>
              <w:t xml:space="preserve"> </w:t>
            </w:r>
            <w:r>
              <w:rPr>
                <w:b/>
                <w:spacing w:val="-2"/>
                <w:sz w:val="20"/>
              </w:rPr>
              <w:t>Category</w:t>
            </w:r>
          </w:p>
        </w:tc>
        <w:tc>
          <w:tcPr>
            <w:tcW w:w="4590" w:type="dxa"/>
            <w:shd w:val="clear" w:color="auto" w:fill="92D400"/>
          </w:tcPr>
          <w:p w:rsidR="00C31389" w:rsidRDefault="00561FBD" w14:paraId="516FF3CA" w14:textId="77777777">
            <w:pPr>
              <w:pStyle w:val="TableParagraph"/>
              <w:spacing w:before="110"/>
              <w:ind w:left="253"/>
              <w:rPr>
                <w:b/>
                <w:sz w:val="20"/>
              </w:rPr>
            </w:pPr>
            <w:r>
              <w:rPr>
                <w:b/>
                <w:sz w:val="20"/>
              </w:rPr>
              <w:t>Reason</w:t>
            </w:r>
            <w:r>
              <w:rPr>
                <w:b/>
                <w:spacing w:val="-3"/>
                <w:sz w:val="20"/>
              </w:rPr>
              <w:t xml:space="preserve"> </w:t>
            </w:r>
            <w:r>
              <w:rPr>
                <w:b/>
                <w:sz w:val="20"/>
              </w:rPr>
              <w:t>for</w:t>
            </w:r>
            <w:r>
              <w:rPr>
                <w:b/>
                <w:spacing w:val="-3"/>
                <w:sz w:val="20"/>
              </w:rPr>
              <w:t xml:space="preserve"> </w:t>
            </w:r>
            <w:r>
              <w:rPr>
                <w:b/>
                <w:spacing w:val="-2"/>
                <w:sz w:val="20"/>
              </w:rPr>
              <w:t>Exclusion</w:t>
            </w:r>
          </w:p>
        </w:tc>
        <w:tc>
          <w:tcPr>
            <w:tcW w:w="2389" w:type="dxa"/>
            <w:shd w:val="clear" w:color="auto" w:fill="92D400"/>
          </w:tcPr>
          <w:p w:rsidR="00C31389" w:rsidRDefault="00561FBD" w14:paraId="4EE8701D" w14:textId="77777777">
            <w:pPr>
              <w:pStyle w:val="TableParagraph"/>
              <w:spacing w:before="110"/>
              <w:ind w:left="253"/>
              <w:rPr>
                <w:b/>
                <w:sz w:val="20"/>
              </w:rPr>
            </w:pPr>
            <w:r>
              <w:rPr>
                <w:b/>
                <w:sz w:val="20"/>
              </w:rPr>
              <w:t>Modeling</w:t>
            </w:r>
            <w:r>
              <w:rPr>
                <w:b/>
                <w:spacing w:val="-6"/>
                <w:sz w:val="20"/>
              </w:rPr>
              <w:t xml:space="preserve"> </w:t>
            </w:r>
            <w:r>
              <w:rPr>
                <w:b/>
                <w:spacing w:val="-2"/>
                <w:sz w:val="20"/>
              </w:rPr>
              <w:t>Location</w:t>
            </w:r>
          </w:p>
        </w:tc>
      </w:tr>
      <w:tr w:rsidR="00C31389" w14:paraId="5E0CF36C" w14:textId="77777777">
        <w:trPr>
          <w:trHeight w:val="540"/>
        </w:trPr>
        <w:tc>
          <w:tcPr>
            <w:tcW w:w="2396" w:type="dxa"/>
            <w:tcBorders>
              <w:bottom w:val="single" w:color="000000" w:sz="8" w:space="0"/>
            </w:tcBorders>
          </w:tcPr>
          <w:p w:rsidR="00C31389" w:rsidRDefault="00561FBD" w14:paraId="1B9A7E33" w14:textId="77777777">
            <w:pPr>
              <w:pStyle w:val="TableParagraph"/>
              <w:spacing w:before="155"/>
              <w:ind w:left="129"/>
              <w:rPr>
                <w:b/>
                <w:sz w:val="20"/>
              </w:rPr>
            </w:pPr>
            <w:r>
              <w:rPr>
                <w:b/>
                <w:sz w:val="20"/>
              </w:rPr>
              <w:t>BROs-type</w:t>
            </w:r>
            <w:r>
              <w:rPr>
                <w:b/>
                <w:spacing w:val="-5"/>
                <w:sz w:val="20"/>
              </w:rPr>
              <w:t xml:space="preserve"> </w:t>
            </w:r>
            <w:r>
              <w:rPr>
                <w:b/>
                <w:spacing w:val="-2"/>
                <w:sz w:val="20"/>
              </w:rPr>
              <w:t>programs</w:t>
            </w:r>
          </w:p>
        </w:tc>
        <w:tc>
          <w:tcPr>
            <w:tcW w:w="4590" w:type="dxa"/>
            <w:tcBorders>
              <w:bottom w:val="single" w:color="000000" w:sz="8" w:space="0"/>
            </w:tcBorders>
          </w:tcPr>
          <w:p w:rsidR="00C31389" w:rsidRDefault="00561FBD" w14:paraId="10E81D7B" w14:textId="77777777">
            <w:pPr>
              <w:pStyle w:val="TableParagraph"/>
              <w:ind w:left="253"/>
              <w:rPr>
                <w:sz w:val="20"/>
              </w:rPr>
            </w:pPr>
            <w:r>
              <w:rPr>
                <w:sz w:val="20"/>
              </w:rPr>
              <w:t>Behavioral</w:t>
            </w:r>
            <w:r>
              <w:rPr>
                <w:spacing w:val="-8"/>
                <w:sz w:val="20"/>
              </w:rPr>
              <w:t xml:space="preserve"> </w:t>
            </w:r>
            <w:r>
              <w:rPr>
                <w:sz w:val="20"/>
              </w:rPr>
              <w:t>programs</w:t>
            </w:r>
            <w:r>
              <w:rPr>
                <w:spacing w:val="-7"/>
                <w:sz w:val="20"/>
              </w:rPr>
              <w:t xml:space="preserve"> </w:t>
            </w:r>
            <w:r>
              <w:rPr>
                <w:sz w:val="20"/>
              </w:rPr>
              <w:t>are</w:t>
            </w:r>
            <w:r>
              <w:rPr>
                <w:spacing w:val="-8"/>
                <w:sz w:val="20"/>
              </w:rPr>
              <w:t xml:space="preserve"> </w:t>
            </w:r>
            <w:r>
              <w:rPr>
                <w:sz w:val="20"/>
              </w:rPr>
              <w:t>modeled</w:t>
            </w:r>
            <w:r>
              <w:rPr>
                <w:spacing w:val="-8"/>
                <w:sz w:val="20"/>
              </w:rPr>
              <w:t xml:space="preserve"> </w:t>
            </w:r>
            <w:r>
              <w:rPr>
                <w:sz w:val="20"/>
              </w:rPr>
              <w:t>through</w:t>
            </w:r>
            <w:r>
              <w:rPr>
                <w:spacing w:val="-8"/>
                <w:sz w:val="20"/>
              </w:rPr>
              <w:t xml:space="preserve"> </w:t>
            </w:r>
            <w:r>
              <w:rPr>
                <w:sz w:val="20"/>
              </w:rPr>
              <w:t xml:space="preserve">the BROs </w:t>
            </w:r>
            <w:r>
              <w:rPr>
                <w:sz w:val="20"/>
              </w:rPr>
              <w:t>methodology.</w:t>
            </w:r>
          </w:p>
        </w:tc>
        <w:tc>
          <w:tcPr>
            <w:tcW w:w="2389" w:type="dxa"/>
            <w:tcBorders>
              <w:bottom w:val="single" w:color="000000" w:sz="8" w:space="0"/>
            </w:tcBorders>
          </w:tcPr>
          <w:p w:rsidR="00C31389" w:rsidRDefault="00561FBD" w14:paraId="33BFBEF1" w14:textId="77777777">
            <w:pPr>
              <w:pStyle w:val="TableParagraph"/>
              <w:spacing w:before="155"/>
              <w:ind w:left="253"/>
              <w:rPr>
                <w:sz w:val="20"/>
              </w:rPr>
            </w:pPr>
            <w:r>
              <w:rPr>
                <w:spacing w:val="-4"/>
                <w:sz w:val="20"/>
              </w:rPr>
              <w:t>BROs</w:t>
            </w:r>
          </w:p>
        </w:tc>
      </w:tr>
    </w:tbl>
    <w:p w:rsidR="00C31389" w:rsidRDefault="00C31389" w14:paraId="31E36834" w14:textId="77777777">
      <w:pPr>
        <w:rPr>
          <w:sz w:val="20"/>
        </w:rPr>
        <w:sectPr w:rsidR="00C31389">
          <w:pgSz w:w="12240" w:h="15840"/>
          <w:pgMar w:top="1380" w:right="960" w:bottom="1120" w:left="960" w:header="397" w:footer="936" w:gutter="0"/>
          <w:cols w:space="720"/>
        </w:sectPr>
      </w:pPr>
    </w:p>
    <w:p w:rsidR="00C31389" w:rsidRDefault="00C31389" w14:paraId="7C2150EE" w14:textId="77777777">
      <w:pPr>
        <w:pStyle w:val="BodyText"/>
        <w:rPr>
          <w:b/>
        </w:rPr>
      </w:pPr>
    </w:p>
    <w:tbl>
      <w:tblPr>
        <w:tblW w:w="0" w:type="auto"/>
        <w:tblInd w:w="473" w:type="dxa"/>
        <w:tblLayout w:type="fixed"/>
        <w:tblCellMar>
          <w:left w:w="0" w:type="dxa"/>
          <w:right w:w="0" w:type="dxa"/>
        </w:tblCellMar>
        <w:tblLook w:val="01E0" w:firstRow="1" w:lastRow="1" w:firstColumn="1" w:lastColumn="1" w:noHBand="0" w:noVBand="0"/>
      </w:tblPr>
      <w:tblGrid>
        <w:gridCol w:w="2456"/>
        <w:gridCol w:w="4667"/>
        <w:gridCol w:w="2250"/>
      </w:tblGrid>
      <w:tr w:rsidR="00C31389" w14:paraId="3A6B9C82" w14:textId="77777777">
        <w:trPr>
          <w:trHeight w:val="252"/>
        </w:trPr>
        <w:tc>
          <w:tcPr>
            <w:tcW w:w="2456" w:type="dxa"/>
            <w:tcBorders>
              <w:top w:val="single" w:color="8B8B8B" w:sz="8" w:space="0"/>
            </w:tcBorders>
          </w:tcPr>
          <w:p w:rsidR="00C31389" w:rsidRDefault="00C31389" w14:paraId="252AA396" w14:textId="77777777">
            <w:pPr>
              <w:pStyle w:val="TableParagraph"/>
              <w:spacing w:before="0"/>
              <w:rPr>
                <w:rFonts w:ascii="Times New Roman"/>
                <w:sz w:val="18"/>
              </w:rPr>
            </w:pPr>
          </w:p>
        </w:tc>
        <w:tc>
          <w:tcPr>
            <w:tcW w:w="4667" w:type="dxa"/>
            <w:tcBorders>
              <w:top w:val="single" w:color="8B8B8B" w:sz="8" w:space="0"/>
            </w:tcBorders>
          </w:tcPr>
          <w:p w:rsidR="00C31389" w:rsidRDefault="00C31389" w14:paraId="6FD28556" w14:textId="77777777">
            <w:pPr>
              <w:pStyle w:val="TableParagraph"/>
              <w:spacing w:before="0"/>
              <w:rPr>
                <w:rFonts w:ascii="Times New Roman"/>
                <w:sz w:val="18"/>
              </w:rPr>
            </w:pPr>
          </w:p>
        </w:tc>
        <w:tc>
          <w:tcPr>
            <w:tcW w:w="2250" w:type="dxa"/>
            <w:tcBorders>
              <w:top w:val="single" w:color="8B8B8B" w:sz="8" w:space="0"/>
            </w:tcBorders>
          </w:tcPr>
          <w:p w:rsidR="00C31389" w:rsidRDefault="00C31389" w14:paraId="7A5217E5" w14:textId="77777777">
            <w:pPr>
              <w:pStyle w:val="TableParagraph"/>
              <w:spacing w:before="0"/>
              <w:rPr>
                <w:rFonts w:ascii="Times New Roman"/>
                <w:sz w:val="18"/>
              </w:rPr>
            </w:pPr>
          </w:p>
        </w:tc>
      </w:tr>
      <w:tr w:rsidR="00C31389" w14:paraId="61D2A634" w14:textId="77777777">
        <w:trPr>
          <w:trHeight w:val="458"/>
        </w:trPr>
        <w:tc>
          <w:tcPr>
            <w:tcW w:w="2456" w:type="dxa"/>
            <w:shd w:val="clear" w:color="auto" w:fill="92D400"/>
          </w:tcPr>
          <w:p w:rsidR="00C31389" w:rsidRDefault="00561FBD" w14:paraId="4D600BDB" w14:textId="77777777">
            <w:pPr>
              <w:pStyle w:val="TableParagraph"/>
              <w:spacing w:before="110"/>
              <w:ind w:left="129"/>
              <w:rPr>
                <w:b/>
                <w:sz w:val="20"/>
              </w:rPr>
            </w:pPr>
            <w:r>
              <w:rPr>
                <w:b/>
                <w:sz w:val="20"/>
              </w:rPr>
              <w:t>Program</w:t>
            </w:r>
            <w:r>
              <w:rPr>
                <w:b/>
                <w:spacing w:val="-7"/>
                <w:sz w:val="20"/>
              </w:rPr>
              <w:t xml:space="preserve"> </w:t>
            </w:r>
            <w:r>
              <w:rPr>
                <w:b/>
                <w:spacing w:val="-2"/>
                <w:sz w:val="20"/>
              </w:rPr>
              <w:t>Category</w:t>
            </w:r>
          </w:p>
        </w:tc>
        <w:tc>
          <w:tcPr>
            <w:tcW w:w="4667" w:type="dxa"/>
            <w:shd w:val="clear" w:color="auto" w:fill="92D400"/>
          </w:tcPr>
          <w:p w:rsidR="00C31389" w:rsidRDefault="00561FBD" w14:paraId="78B3A839" w14:textId="77777777">
            <w:pPr>
              <w:pStyle w:val="TableParagraph"/>
              <w:spacing w:before="110"/>
              <w:ind w:left="193"/>
              <w:rPr>
                <w:b/>
                <w:sz w:val="20"/>
              </w:rPr>
            </w:pPr>
            <w:r>
              <w:rPr>
                <w:b/>
                <w:sz w:val="20"/>
              </w:rPr>
              <w:t>Reason</w:t>
            </w:r>
            <w:r>
              <w:rPr>
                <w:b/>
                <w:spacing w:val="-3"/>
                <w:sz w:val="20"/>
              </w:rPr>
              <w:t xml:space="preserve"> </w:t>
            </w:r>
            <w:r>
              <w:rPr>
                <w:b/>
                <w:sz w:val="20"/>
              </w:rPr>
              <w:t>for</w:t>
            </w:r>
            <w:r>
              <w:rPr>
                <w:b/>
                <w:spacing w:val="-3"/>
                <w:sz w:val="20"/>
              </w:rPr>
              <w:t xml:space="preserve"> </w:t>
            </w:r>
            <w:r>
              <w:rPr>
                <w:b/>
                <w:spacing w:val="-2"/>
                <w:sz w:val="20"/>
              </w:rPr>
              <w:t>Exclusion</w:t>
            </w:r>
          </w:p>
        </w:tc>
        <w:tc>
          <w:tcPr>
            <w:tcW w:w="2250" w:type="dxa"/>
            <w:shd w:val="clear" w:color="auto" w:fill="92D400"/>
          </w:tcPr>
          <w:p w:rsidR="00C31389" w:rsidRDefault="00561FBD" w14:paraId="1F49807B" w14:textId="77777777">
            <w:pPr>
              <w:pStyle w:val="TableParagraph"/>
              <w:spacing w:before="110"/>
              <w:ind w:left="116"/>
              <w:rPr>
                <w:b/>
                <w:sz w:val="20"/>
              </w:rPr>
            </w:pPr>
            <w:r>
              <w:rPr>
                <w:b/>
                <w:sz w:val="20"/>
              </w:rPr>
              <w:t>Modeling</w:t>
            </w:r>
            <w:r>
              <w:rPr>
                <w:b/>
                <w:spacing w:val="-6"/>
                <w:sz w:val="20"/>
              </w:rPr>
              <w:t xml:space="preserve"> </w:t>
            </w:r>
            <w:r>
              <w:rPr>
                <w:b/>
                <w:spacing w:val="-2"/>
                <w:sz w:val="20"/>
              </w:rPr>
              <w:t>Location</w:t>
            </w:r>
          </w:p>
        </w:tc>
      </w:tr>
      <w:tr w:rsidR="00C31389" w14:paraId="54169F18" w14:textId="77777777">
        <w:trPr>
          <w:trHeight w:val="765"/>
        </w:trPr>
        <w:tc>
          <w:tcPr>
            <w:tcW w:w="2456" w:type="dxa"/>
            <w:tcBorders>
              <w:bottom w:val="single" w:color="D9D9D9" w:sz="2" w:space="0"/>
            </w:tcBorders>
          </w:tcPr>
          <w:p w:rsidR="00C31389" w:rsidRDefault="00561FBD" w14:paraId="693F0995" w14:textId="77777777">
            <w:pPr>
              <w:pStyle w:val="TableParagraph"/>
              <w:spacing w:before="35"/>
              <w:ind w:left="129" w:right="387"/>
              <w:rPr>
                <w:b/>
                <w:sz w:val="20"/>
              </w:rPr>
            </w:pPr>
            <w:r>
              <w:rPr>
                <w:b/>
                <w:sz w:val="20"/>
              </w:rPr>
              <w:t>Agriculture and industrial</w:t>
            </w:r>
            <w:r>
              <w:rPr>
                <w:b/>
                <w:spacing w:val="-14"/>
                <w:sz w:val="20"/>
              </w:rPr>
              <w:t xml:space="preserve"> </w:t>
            </w:r>
            <w:r>
              <w:rPr>
                <w:b/>
                <w:sz w:val="20"/>
              </w:rPr>
              <w:t xml:space="preserve">calculated </w:t>
            </w:r>
            <w:r>
              <w:rPr>
                <w:b/>
                <w:spacing w:val="-2"/>
                <w:sz w:val="20"/>
              </w:rPr>
              <w:t>incentives</w:t>
            </w:r>
          </w:p>
        </w:tc>
        <w:tc>
          <w:tcPr>
            <w:tcW w:w="4667" w:type="dxa"/>
            <w:tcBorders>
              <w:bottom w:val="single" w:color="D9D9D9" w:sz="2" w:space="0"/>
            </w:tcBorders>
          </w:tcPr>
          <w:p w:rsidR="00C31389" w:rsidRDefault="00561FBD" w14:paraId="325F7A2A" w14:textId="77777777">
            <w:pPr>
              <w:pStyle w:val="TableParagraph"/>
              <w:spacing w:before="151"/>
              <w:ind w:left="193" w:right="186"/>
              <w:rPr>
                <w:sz w:val="20"/>
              </w:rPr>
            </w:pPr>
            <w:r>
              <w:rPr>
                <w:sz w:val="20"/>
              </w:rPr>
              <w:t>These</w:t>
            </w:r>
            <w:r>
              <w:rPr>
                <w:spacing w:val="-7"/>
                <w:sz w:val="20"/>
              </w:rPr>
              <w:t xml:space="preserve"> </w:t>
            </w:r>
            <w:r>
              <w:rPr>
                <w:sz w:val="20"/>
              </w:rPr>
              <w:t>are</w:t>
            </w:r>
            <w:r>
              <w:rPr>
                <w:spacing w:val="-7"/>
                <w:sz w:val="20"/>
              </w:rPr>
              <w:t xml:space="preserve"> </w:t>
            </w:r>
            <w:r>
              <w:rPr>
                <w:sz w:val="20"/>
              </w:rPr>
              <w:t>custom</w:t>
            </w:r>
            <w:r>
              <w:rPr>
                <w:spacing w:val="-7"/>
                <w:sz w:val="20"/>
              </w:rPr>
              <w:t xml:space="preserve"> </w:t>
            </w:r>
            <w:r>
              <w:rPr>
                <w:sz w:val="20"/>
              </w:rPr>
              <w:t>measures</w:t>
            </w:r>
            <w:r>
              <w:rPr>
                <w:spacing w:val="-6"/>
                <w:sz w:val="20"/>
              </w:rPr>
              <w:t xml:space="preserve"> </w:t>
            </w:r>
            <w:r>
              <w:rPr>
                <w:sz w:val="20"/>
              </w:rPr>
              <w:t>or</w:t>
            </w:r>
            <w:r>
              <w:rPr>
                <w:spacing w:val="-6"/>
                <w:sz w:val="20"/>
              </w:rPr>
              <w:t xml:space="preserve"> </w:t>
            </w:r>
            <w:r>
              <w:rPr>
                <w:sz w:val="20"/>
              </w:rPr>
              <w:t>programs</w:t>
            </w:r>
            <w:r>
              <w:rPr>
                <w:spacing w:val="-6"/>
                <w:sz w:val="20"/>
              </w:rPr>
              <w:t xml:space="preserve"> </w:t>
            </w:r>
            <w:r>
              <w:rPr>
                <w:sz w:val="20"/>
              </w:rPr>
              <w:t>that are modeled separately.</w:t>
            </w:r>
          </w:p>
        </w:tc>
        <w:tc>
          <w:tcPr>
            <w:tcW w:w="2250" w:type="dxa"/>
            <w:tcBorders>
              <w:bottom w:val="single" w:color="D9D9D9" w:sz="2" w:space="0"/>
            </w:tcBorders>
          </w:tcPr>
          <w:p w:rsidR="00C31389" w:rsidRDefault="00561FBD" w14:paraId="13DE595A" w14:textId="77777777">
            <w:pPr>
              <w:pStyle w:val="TableParagraph"/>
              <w:spacing w:before="35"/>
              <w:ind w:left="116" w:right="304"/>
              <w:rPr>
                <w:sz w:val="20"/>
              </w:rPr>
            </w:pPr>
            <w:r>
              <w:rPr>
                <w:sz w:val="20"/>
              </w:rPr>
              <w:t xml:space="preserve">Industrial and agriculture generic </w:t>
            </w:r>
            <w:r>
              <w:rPr>
                <w:sz w:val="20"/>
              </w:rPr>
              <w:t>custom</w:t>
            </w:r>
            <w:r>
              <w:rPr>
                <w:spacing w:val="-14"/>
                <w:sz w:val="20"/>
              </w:rPr>
              <w:t xml:space="preserve"> </w:t>
            </w:r>
            <w:r>
              <w:rPr>
                <w:sz w:val="20"/>
              </w:rPr>
              <w:t>technologies</w:t>
            </w:r>
          </w:p>
        </w:tc>
      </w:tr>
      <w:tr w:rsidR="00C31389" w14:paraId="272EE84C" w14:textId="77777777">
        <w:trPr>
          <w:trHeight w:val="539"/>
        </w:trPr>
        <w:tc>
          <w:tcPr>
            <w:tcW w:w="2456" w:type="dxa"/>
            <w:tcBorders>
              <w:top w:val="single" w:color="D9D9D9" w:sz="2" w:space="0"/>
              <w:bottom w:val="single" w:color="D9D9D9" w:sz="2" w:space="0"/>
            </w:tcBorders>
          </w:tcPr>
          <w:p w:rsidR="00C31389" w:rsidRDefault="00561FBD" w14:paraId="02E24DEA" w14:textId="77777777">
            <w:pPr>
              <w:pStyle w:val="TableParagraph"/>
              <w:spacing w:before="155"/>
              <w:ind w:left="129"/>
              <w:rPr>
                <w:b/>
                <w:sz w:val="20"/>
              </w:rPr>
            </w:pPr>
            <w:r>
              <w:rPr>
                <w:b/>
                <w:spacing w:val="-5"/>
                <w:sz w:val="20"/>
              </w:rPr>
              <w:t>C&amp;S</w:t>
            </w:r>
          </w:p>
        </w:tc>
        <w:tc>
          <w:tcPr>
            <w:tcW w:w="4667" w:type="dxa"/>
            <w:tcBorders>
              <w:top w:val="single" w:color="D9D9D9" w:sz="2" w:space="0"/>
              <w:bottom w:val="single" w:color="D9D9D9" w:sz="2" w:space="0"/>
            </w:tcBorders>
          </w:tcPr>
          <w:p w:rsidR="00C31389" w:rsidRDefault="00561FBD" w14:paraId="3ED3B697" w14:textId="77777777">
            <w:pPr>
              <w:pStyle w:val="TableParagraph"/>
              <w:ind w:left="193"/>
              <w:rPr>
                <w:sz w:val="20"/>
              </w:rPr>
            </w:pPr>
            <w:r>
              <w:rPr>
                <w:sz w:val="20"/>
              </w:rPr>
              <w:t>The</w:t>
            </w:r>
            <w:r>
              <w:rPr>
                <w:spacing w:val="-8"/>
                <w:sz w:val="20"/>
              </w:rPr>
              <w:t xml:space="preserve"> </w:t>
            </w:r>
            <w:r>
              <w:rPr>
                <w:sz w:val="20"/>
              </w:rPr>
              <w:t>Guidehouse</w:t>
            </w:r>
            <w:r>
              <w:rPr>
                <w:spacing w:val="-8"/>
                <w:sz w:val="20"/>
              </w:rPr>
              <w:t xml:space="preserve"> </w:t>
            </w:r>
            <w:r>
              <w:rPr>
                <w:sz w:val="20"/>
              </w:rPr>
              <w:t>team</w:t>
            </w:r>
            <w:r>
              <w:rPr>
                <w:spacing w:val="-8"/>
                <w:sz w:val="20"/>
              </w:rPr>
              <w:t xml:space="preserve"> </w:t>
            </w:r>
            <w:r>
              <w:rPr>
                <w:sz w:val="20"/>
              </w:rPr>
              <w:t>modeled</w:t>
            </w:r>
            <w:r>
              <w:rPr>
                <w:spacing w:val="-8"/>
                <w:sz w:val="20"/>
              </w:rPr>
              <w:t xml:space="preserve"> </w:t>
            </w:r>
            <w:r>
              <w:rPr>
                <w:sz w:val="20"/>
              </w:rPr>
              <w:t>C&amp;S</w:t>
            </w:r>
            <w:r>
              <w:rPr>
                <w:spacing w:val="-8"/>
                <w:sz w:val="20"/>
              </w:rPr>
              <w:t xml:space="preserve"> </w:t>
            </w:r>
            <w:r>
              <w:rPr>
                <w:sz w:val="20"/>
              </w:rPr>
              <w:t>separately from the rebate programs.</w:t>
            </w:r>
          </w:p>
        </w:tc>
        <w:tc>
          <w:tcPr>
            <w:tcW w:w="2250" w:type="dxa"/>
            <w:tcBorders>
              <w:top w:val="single" w:color="D9D9D9" w:sz="2" w:space="0"/>
              <w:bottom w:val="single" w:color="D9D9D9" w:sz="2" w:space="0"/>
            </w:tcBorders>
          </w:tcPr>
          <w:p w:rsidR="00C31389" w:rsidRDefault="00561FBD" w14:paraId="5B109B9E" w14:textId="77777777">
            <w:pPr>
              <w:pStyle w:val="TableParagraph"/>
              <w:spacing w:before="155"/>
              <w:ind w:left="116"/>
              <w:rPr>
                <w:sz w:val="20"/>
              </w:rPr>
            </w:pPr>
            <w:r>
              <w:rPr>
                <w:spacing w:val="-5"/>
                <w:sz w:val="20"/>
              </w:rPr>
              <w:t>C&amp;S</w:t>
            </w:r>
          </w:p>
        </w:tc>
      </w:tr>
      <w:tr w:rsidR="00C31389" w14:paraId="514E816D" w14:textId="77777777">
        <w:trPr>
          <w:trHeight w:val="539"/>
        </w:trPr>
        <w:tc>
          <w:tcPr>
            <w:tcW w:w="2456" w:type="dxa"/>
            <w:tcBorders>
              <w:top w:val="single" w:color="D9D9D9" w:sz="2" w:space="0"/>
              <w:bottom w:val="single" w:color="D9D9D9" w:sz="2" w:space="0"/>
            </w:tcBorders>
          </w:tcPr>
          <w:p w:rsidR="00C31389" w:rsidRDefault="00561FBD" w14:paraId="4D9274AA" w14:textId="77777777">
            <w:pPr>
              <w:pStyle w:val="TableParagraph"/>
              <w:spacing w:before="155"/>
              <w:ind w:left="129"/>
              <w:rPr>
                <w:b/>
                <w:sz w:val="20"/>
              </w:rPr>
            </w:pPr>
            <w:r>
              <w:rPr>
                <w:b/>
                <w:spacing w:val="-5"/>
                <w:sz w:val="20"/>
              </w:rPr>
              <w:t>ESA</w:t>
            </w:r>
          </w:p>
        </w:tc>
        <w:tc>
          <w:tcPr>
            <w:tcW w:w="4667" w:type="dxa"/>
            <w:tcBorders>
              <w:top w:val="single" w:color="D9D9D9" w:sz="2" w:space="0"/>
              <w:bottom w:val="single" w:color="D9D9D9" w:sz="2" w:space="0"/>
            </w:tcBorders>
          </w:tcPr>
          <w:p w:rsidR="00C31389" w:rsidRDefault="00561FBD" w14:paraId="06927B6C" w14:textId="77777777">
            <w:pPr>
              <w:pStyle w:val="TableParagraph"/>
              <w:ind w:left="193"/>
              <w:rPr>
                <w:sz w:val="20"/>
              </w:rPr>
            </w:pPr>
            <w:r>
              <w:rPr>
                <w:sz w:val="20"/>
              </w:rPr>
              <w:t>The</w:t>
            </w:r>
            <w:r>
              <w:rPr>
                <w:spacing w:val="-8"/>
                <w:sz w:val="20"/>
              </w:rPr>
              <w:t xml:space="preserve"> </w:t>
            </w:r>
            <w:r>
              <w:rPr>
                <w:sz w:val="20"/>
              </w:rPr>
              <w:t>Guidehouse</w:t>
            </w:r>
            <w:r>
              <w:rPr>
                <w:spacing w:val="-8"/>
                <w:sz w:val="20"/>
              </w:rPr>
              <w:t xml:space="preserve"> </w:t>
            </w:r>
            <w:r>
              <w:rPr>
                <w:sz w:val="20"/>
              </w:rPr>
              <w:t>team</w:t>
            </w:r>
            <w:r>
              <w:rPr>
                <w:spacing w:val="-8"/>
                <w:sz w:val="20"/>
              </w:rPr>
              <w:t xml:space="preserve"> </w:t>
            </w:r>
            <w:r>
              <w:rPr>
                <w:sz w:val="20"/>
              </w:rPr>
              <w:t>modeled</w:t>
            </w:r>
            <w:r>
              <w:rPr>
                <w:spacing w:val="-8"/>
                <w:sz w:val="20"/>
              </w:rPr>
              <w:t xml:space="preserve"> </w:t>
            </w:r>
            <w:r>
              <w:rPr>
                <w:sz w:val="20"/>
              </w:rPr>
              <w:t>low</w:t>
            </w:r>
            <w:r>
              <w:rPr>
                <w:spacing w:val="-7"/>
                <w:sz w:val="20"/>
              </w:rPr>
              <w:t xml:space="preserve"> </w:t>
            </w:r>
            <w:r>
              <w:rPr>
                <w:sz w:val="20"/>
              </w:rPr>
              <w:t>income potential separately.</w:t>
            </w:r>
          </w:p>
        </w:tc>
        <w:tc>
          <w:tcPr>
            <w:tcW w:w="2250" w:type="dxa"/>
            <w:tcBorders>
              <w:top w:val="single" w:color="D9D9D9" w:sz="2" w:space="0"/>
              <w:bottom w:val="single" w:color="D9D9D9" w:sz="2" w:space="0"/>
            </w:tcBorders>
          </w:tcPr>
          <w:p w:rsidR="00C31389" w:rsidRDefault="00561FBD" w14:paraId="3C9593A9" w14:textId="77777777">
            <w:pPr>
              <w:pStyle w:val="TableParagraph"/>
              <w:spacing w:before="155"/>
              <w:ind w:left="116"/>
              <w:rPr>
                <w:sz w:val="20"/>
              </w:rPr>
            </w:pPr>
            <w:r>
              <w:rPr>
                <w:sz w:val="20"/>
              </w:rPr>
              <w:t>Low</w:t>
            </w:r>
            <w:r>
              <w:rPr>
                <w:spacing w:val="-2"/>
                <w:sz w:val="20"/>
              </w:rPr>
              <w:t xml:space="preserve"> income</w:t>
            </w:r>
          </w:p>
        </w:tc>
      </w:tr>
      <w:tr w:rsidR="00C31389" w14:paraId="64EC4E10" w14:textId="77777777">
        <w:trPr>
          <w:trHeight w:val="539"/>
        </w:trPr>
        <w:tc>
          <w:tcPr>
            <w:tcW w:w="2456" w:type="dxa"/>
            <w:tcBorders>
              <w:top w:val="single" w:color="D9D9D9" w:sz="2" w:space="0"/>
              <w:bottom w:val="single" w:color="D9D9D9" w:sz="2" w:space="0"/>
            </w:tcBorders>
          </w:tcPr>
          <w:p w:rsidR="00C31389" w:rsidRDefault="00561FBD" w14:paraId="4BC813EE" w14:textId="77777777">
            <w:pPr>
              <w:pStyle w:val="TableParagraph"/>
              <w:spacing w:before="155"/>
              <w:ind w:left="129"/>
              <w:rPr>
                <w:b/>
                <w:sz w:val="20"/>
              </w:rPr>
            </w:pPr>
            <w:r>
              <w:rPr>
                <w:b/>
                <w:sz w:val="20"/>
              </w:rPr>
              <w:t>Financing</w:t>
            </w:r>
            <w:r>
              <w:rPr>
                <w:b/>
                <w:spacing w:val="-5"/>
                <w:sz w:val="20"/>
              </w:rPr>
              <w:t xml:space="preserve"> </w:t>
            </w:r>
            <w:r>
              <w:rPr>
                <w:b/>
                <w:spacing w:val="-2"/>
                <w:sz w:val="20"/>
              </w:rPr>
              <w:t>programs</w:t>
            </w:r>
          </w:p>
        </w:tc>
        <w:tc>
          <w:tcPr>
            <w:tcW w:w="4667" w:type="dxa"/>
            <w:tcBorders>
              <w:top w:val="single" w:color="D9D9D9" w:sz="2" w:space="0"/>
              <w:bottom w:val="single" w:color="D9D9D9" w:sz="2" w:space="0"/>
            </w:tcBorders>
          </w:tcPr>
          <w:p w:rsidR="00C31389" w:rsidRDefault="00561FBD" w14:paraId="55B1696D" w14:textId="77777777">
            <w:pPr>
              <w:pStyle w:val="TableParagraph"/>
              <w:ind w:left="193"/>
              <w:rPr>
                <w:sz w:val="20"/>
              </w:rPr>
            </w:pPr>
            <w:r>
              <w:rPr>
                <w:sz w:val="20"/>
              </w:rPr>
              <w:t>Most</w:t>
            </w:r>
            <w:r>
              <w:rPr>
                <w:spacing w:val="-7"/>
                <w:sz w:val="20"/>
              </w:rPr>
              <w:t xml:space="preserve"> </w:t>
            </w:r>
            <w:r>
              <w:rPr>
                <w:sz w:val="20"/>
              </w:rPr>
              <w:t>historical</w:t>
            </w:r>
            <w:r>
              <w:rPr>
                <w:spacing w:val="-7"/>
                <w:sz w:val="20"/>
              </w:rPr>
              <w:t xml:space="preserve"> </w:t>
            </w:r>
            <w:r>
              <w:rPr>
                <w:sz w:val="20"/>
              </w:rPr>
              <w:t>financing</w:t>
            </w:r>
            <w:r>
              <w:rPr>
                <w:spacing w:val="-7"/>
                <w:sz w:val="20"/>
              </w:rPr>
              <w:t xml:space="preserve"> </w:t>
            </w:r>
            <w:r>
              <w:rPr>
                <w:sz w:val="20"/>
              </w:rPr>
              <w:t>programs</w:t>
            </w:r>
            <w:r>
              <w:rPr>
                <w:spacing w:val="-6"/>
                <w:sz w:val="20"/>
              </w:rPr>
              <w:t xml:space="preserve"> </w:t>
            </w:r>
            <w:r>
              <w:rPr>
                <w:sz w:val="20"/>
              </w:rPr>
              <w:t>only</w:t>
            </w:r>
            <w:r>
              <w:rPr>
                <w:spacing w:val="-6"/>
                <w:sz w:val="20"/>
              </w:rPr>
              <w:t xml:space="preserve"> </w:t>
            </w:r>
            <w:r>
              <w:rPr>
                <w:sz w:val="20"/>
              </w:rPr>
              <w:t>report</w:t>
            </w:r>
            <w:r>
              <w:rPr>
                <w:spacing w:val="-7"/>
                <w:sz w:val="20"/>
              </w:rPr>
              <w:t xml:space="preserve"> </w:t>
            </w:r>
            <w:r>
              <w:rPr>
                <w:sz w:val="20"/>
              </w:rPr>
              <w:t xml:space="preserve">a cost and </w:t>
            </w:r>
            <w:r>
              <w:rPr>
                <w:sz w:val="20"/>
              </w:rPr>
              <w:t>no savings.</w:t>
            </w:r>
            <w:r>
              <w:rPr>
                <w:spacing w:val="-23"/>
                <w:sz w:val="20"/>
              </w:rPr>
              <w:t xml:space="preserve"> </w:t>
            </w:r>
            <w:hyperlink w:history="1" w:anchor="_bookmark110">
              <w:r>
                <w:rPr>
                  <w:sz w:val="20"/>
                  <w:vertAlign w:val="superscript"/>
                </w:rPr>
                <w:t>31</w:t>
              </w:r>
            </w:hyperlink>
          </w:p>
        </w:tc>
        <w:tc>
          <w:tcPr>
            <w:tcW w:w="2250" w:type="dxa"/>
            <w:tcBorders>
              <w:top w:val="single" w:color="D9D9D9" w:sz="2" w:space="0"/>
              <w:bottom w:val="single" w:color="D9D9D9" w:sz="2" w:space="0"/>
            </w:tcBorders>
          </w:tcPr>
          <w:p w:rsidR="00C31389" w:rsidRDefault="00561FBD" w14:paraId="12265DE1" w14:textId="77777777">
            <w:pPr>
              <w:pStyle w:val="TableParagraph"/>
              <w:spacing w:before="155"/>
              <w:ind w:left="116"/>
              <w:rPr>
                <w:sz w:val="20"/>
              </w:rPr>
            </w:pPr>
            <w:r>
              <w:rPr>
                <w:spacing w:val="-5"/>
                <w:sz w:val="20"/>
              </w:rPr>
              <w:t>N/A</w:t>
            </w:r>
          </w:p>
        </w:tc>
      </w:tr>
      <w:tr w:rsidR="00C31389" w14:paraId="474F4EE7" w14:textId="77777777">
        <w:trPr>
          <w:trHeight w:val="539"/>
        </w:trPr>
        <w:tc>
          <w:tcPr>
            <w:tcW w:w="2456" w:type="dxa"/>
            <w:tcBorders>
              <w:top w:val="single" w:color="D9D9D9" w:sz="2" w:space="0"/>
              <w:bottom w:val="single" w:color="D9D9D9" w:sz="2" w:space="0"/>
            </w:tcBorders>
          </w:tcPr>
          <w:p w:rsidR="00C31389" w:rsidRDefault="00561FBD" w14:paraId="587BA709" w14:textId="77777777">
            <w:pPr>
              <w:pStyle w:val="TableParagraph"/>
              <w:ind w:left="129"/>
              <w:rPr>
                <w:b/>
                <w:sz w:val="20"/>
              </w:rPr>
            </w:pPr>
            <w:r>
              <w:rPr>
                <w:b/>
                <w:sz w:val="20"/>
              </w:rPr>
              <w:t>Non-resource</w:t>
            </w:r>
            <w:r>
              <w:rPr>
                <w:b/>
                <w:spacing w:val="-14"/>
                <w:sz w:val="20"/>
              </w:rPr>
              <w:t xml:space="preserve"> </w:t>
            </w:r>
            <w:r>
              <w:rPr>
                <w:b/>
                <w:sz w:val="20"/>
              </w:rPr>
              <w:t>or</w:t>
            </w:r>
            <w:r>
              <w:rPr>
                <w:b/>
                <w:spacing w:val="-14"/>
                <w:sz w:val="20"/>
              </w:rPr>
              <w:t xml:space="preserve"> </w:t>
            </w:r>
            <w:r>
              <w:rPr>
                <w:b/>
                <w:sz w:val="20"/>
              </w:rPr>
              <w:t>non- savings programs</w:t>
            </w:r>
          </w:p>
        </w:tc>
        <w:tc>
          <w:tcPr>
            <w:tcW w:w="4667" w:type="dxa"/>
            <w:tcBorders>
              <w:top w:val="single" w:color="D9D9D9" w:sz="2" w:space="0"/>
              <w:bottom w:val="single" w:color="D9D9D9" w:sz="2" w:space="0"/>
            </w:tcBorders>
          </w:tcPr>
          <w:p w:rsidR="00C31389" w:rsidRDefault="00561FBD" w14:paraId="1AC3DB57" w14:textId="77777777">
            <w:pPr>
              <w:pStyle w:val="TableParagraph"/>
              <w:ind w:left="193"/>
              <w:rPr>
                <w:sz w:val="20"/>
              </w:rPr>
            </w:pPr>
            <w:r>
              <w:rPr>
                <w:sz w:val="20"/>
              </w:rPr>
              <w:t>These</w:t>
            </w:r>
            <w:r>
              <w:rPr>
                <w:spacing w:val="-7"/>
                <w:sz w:val="20"/>
              </w:rPr>
              <w:t xml:space="preserve"> </w:t>
            </w:r>
            <w:r>
              <w:rPr>
                <w:sz w:val="20"/>
              </w:rPr>
              <w:t>programs</w:t>
            </w:r>
            <w:r>
              <w:rPr>
                <w:spacing w:val="-6"/>
                <w:sz w:val="20"/>
              </w:rPr>
              <w:t xml:space="preserve"> </w:t>
            </w:r>
            <w:r>
              <w:rPr>
                <w:sz w:val="20"/>
              </w:rPr>
              <w:t>have</w:t>
            </w:r>
            <w:r>
              <w:rPr>
                <w:spacing w:val="-7"/>
                <w:sz w:val="20"/>
              </w:rPr>
              <w:t xml:space="preserve"> </w:t>
            </w:r>
            <w:r>
              <w:rPr>
                <w:sz w:val="20"/>
              </w:rPr>
              <w:t>no</w:t>
            </w:r>
            <w:r>
              <w:rPr>
                <w:spacing w:val="-7"/>
                <w:sz w:val="20"/>
              </w:rPr>
              <w:t xml:space="preserve"> </w:t>
            </w:r>
            <w:r>
              <w:rPr>
                <w:sz w:val="20"/>
              </w:rPr>
              <w:t>associated</w:t>
            </w:r>
            <w:r>
              <w:rPr>
                <w:spacing w:val="-7"/>
                <w:sz w:val="20"/>
              </w:rPr>
              <w:t xml:space="preserve"> </w:t>
            </w:r>
            <w:r>
              <w:rPr>
                <w:sz w:val="20"/>
              </w:rPr>
              <w:t>savings</w:t>
            </w:r>
            <w:r>
              <w:rPr>
                <w:spacing w:val="-7"/>
                <w:sz w:val="20"/>
              </w:rPr>
              <w:t xml:space="preserve"> </w:t>
            </w:r>
            <w:r>
              <w:rPr>
                <w:sz w:val="20"/>
              </w:rPr>
              <w:t>and do not contribute to the goals.</w:t>
            </w:r>
          </w:p>
        </w:tc>
        <w:tc>
          <w:tcPr>
            <w:tcW w:w="2250" w:type="dxa"/>
            <w:tcBorders>
              <w:top w:val="single" w:color="D9D9D9" w:sz="2" w:space="0"/>
              <w:bottom w:val="single" w:color="D9D9D9" w:sz="2" w:space="0"/>
            </w:tcBorders>
          </w:tcPr>
          <w:p w:rsidR="00C31389" w:rsidRDefault="00561FBD" w14:paraId="66C24EA0" w14:textId="77777777">
            <w:pPr>
              <w:pStyle w:val="TableParagraph"/>
              <w:spacing w:before="155"/>
              <w:ind w:left="116"/>
              <w:rPr>
                <w:sz w:val="20"/>
              </w:rPr>
            </w:pPr>
            <w:r>
              <w:rPr>
                <w:spacing w:val="-5"/>
                <w:sz w:val="20"/>
              </w:rPr>
              <w:t>N/A</w:t>
            </w:r>
          </w:p>
        </w:tc>
      </w:tr>
      <w:tr w:rsidR="00C31389" w14:paraId="7D021B17" w14:textId="77777777">
        <w:trPr>
          <w:trHeight w:val="1230"/>
        </w:trPr>
        <w:tc>
          <w:tcPr>
            <w:tcW w:w="2456" w:type="dxa"/>
            <w:tcBorders>
              <w:top w:val="single" w:color="D9D9D9" w:sz="2" w:space="0"/>
              <w:bottom w:val="single" w:color="000000" w:sz="8" w:space="0"/>
            </w:tcBorders>
          </w:tcPr>
          <w:p w:rsidR="00C31389" w:rsidRDefault="00C31389" w14:paraId="4892DAA5" w14:textId="77777777">
            <w:pPr>
              <w:pStyle w:val="TableParagraph"/>
              <w:spacing w:before="0"/>
              <w:rPr>
                <w:b/>
              </w:rPr>
            </w:pPr>
          </w:p>
          <w:p w:rsidR="00C31389" w:rsidRDefault="00C31389" w14:paraId="44DAC6E8" w14:textId="77777777">
            <w:pPr>
              <w:pStyle w:val="TableParagraph"/>
              <w:spacing w:before="6"/>
              <w:rPr>
                <w:b/>
                <w:sz w:val="21"/>
              </w:rPr>
            </w:pPr>
          </w:p>
          <w:p w:rsidR="00C31389" w:rsidRDefault="00561FBD" w14:paraId="180D7964" w14:textId="77777777">
            <w:pPr>
              <w:pStyle w:val="TableParagraph"/>
              <w:spacing w:before="0"/>
              <w:ind w:left="129"/>
              <w:rPr>
                <w:b/>
                <w:sz w:val="20"/>
              </w:rPr>
            </w:pPr>
            <w:r>
              <w:rPr>
                <w:b/>
                <w:sz w:val="20"/>
              </w:rPr>
              <w:t>Whole</w:t>
            </w:r>
            <w:r>
              <w:rPr>
                <w:b/>
                <w:spacing w:val="-3"/>
                <w:sz w:val="20"/>
              </w:rPr>
              <w:t xml:space="preserve"> </w:t>
            </w:r>
            <w:r>
              <w:rPr>
                <w:b/>
                <w:sz w:val="20"/>
              </w:rPr>
              <w:t>building</w:t>
            </w:r>
            <w:r>
              <w:rPr>
                <w:b/>
                <w:spacing w:val="-3"/>
                <w:sz w:val="20"/>
              </w:rPr>
              <w:t xml:space="preserve"> </w:t>
            </w:r>
            <w:r>
              <w:rPr>
                <w:b/>
                <w:spacing w:val="-2"/>
                <w:sz w:val="20"/>
              </w:rPr>
              <w:t>retrofit</w:t>
            </w:r>
          </w:p>
        </w:tc>
        <w:tc>
          <w:tcPr>
            <w:tcW w:w="4667" w:type="dxa"/>
            <w:tcBorders>
              <w:top w:val="single" w:color="D9D9D9" w:sz="2" w:space="0"/>
              <w:bottom w:val="single" w:color="000000" w:sz="8" w:space="0"/>
            </w:tcBorders>
          </w:tcPr>
          <w:p w:rsidR="00C31389" w:rsidRDefault="00561FBD" w14:paraId="57F6B344" w14:textId="77777777">
            <w:pPr>
              <w:pStyle w:val="TableParagraph"/>
              <w:spacing w:before="41"/>
              <w:ind w:left="193"/>
              <w:rPr>
                <w:sz w:val="20"/>
              </w:rPr>
            </w:pPr>
            <w:r>
              <w:rPr>
                <w:sz w:val="20"/>
              </w:rPr>
              <w:t xml:space="preserve">These programs have </w:t>
            </w:r>
            <w:r>
              <w:rPr>
                <w:sz w:val="20"/>
              </w:rPr>
              <w:t>not been cost-effective historically</w:t>
            </w:r>
            <w:r>
              <w:rPr>
                <w:spacing w:val="-5"/>
                <w:sz w:val="20"/>
              </w:rPr>
              <w:t xml:space="preserve"> </w:t>
            </w:r>
            <w:r>
              <w:rPr>
                <w:sz w:val="20"/>
              </w:rPr>
              <w:t>and</w:t>
            </w:r>
            <w:r>
              <w:rPr>
                <w:spacing w:val="-6"/>
                <w:sz w:val="20"/>
              </w:rPr>
              <w:t xml:space="preserve"> </w:t>
            </w:r>
            <w:r>
              <w:rPr>
                <w:sz w:val="20"/>
              </w:rPr>
              <w:t>are</w:t>
            </w:r>
            <w:r>
              <w:rPr>
                <w:spacing w:val="-6"/>
                <w:sz w:val="20"/>
              </w:rPr>
              <w:t xml:space="preserve"> </w:t>
            </w:r>
            <w:r>
              <w:rPr>
                <w:sz w:val="20"/>
              </w:rPr>
              <w:t>rarely</w:t>
            </w:r>
            <w:r>
              <w:rPr>
                <w:spacing w:val="-5"/>
                <w:sz w:val="20"/>
              </w:rPr>
              <w:t xml:space="preserve"> </w:t>
            </w:r>
            <w:r>
              <w:rPr>
                <w:sz w:val="20"/>
              </w:rPr>
              <w:t>cost-effective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PG Model.</w:t>
            </w:r>
            <w:r>
              <w:rPr>
                <w:spacing w:val="-3"/>
                <w:sz w:val="20"/>
              </w:rPr>
              <w:t xml:space="preserve"> </w:t>
            </w:r>
            <w:r>
              <w:rPr>
                <w:sz w:val="20"/>
              </w:rPr>
              <w:t>The</w:t>
            </w:r>
            <w:r>
              <w:rPr>
                <w:spacing w:val="-3"/>
                <w:sz w:val="20"/>
              </w:rPr>
              <w:t xml:space="preserve"> </w:t>
            </w:r>
            <w:r>
              <w:rPr>
                <w:sz w:val="20"/>
              </w:rPr>
              <w:t>team</w:t>
            </w:r>
            <w:r>
              <w:rPr>
                <w:spacing w:val="-3"/>
                <w:sz w:val="20"/>
              </w:rPr>
              <w:t xml:space="preserve"> </w:t>
            </w:r>
            <w:r>
              <w:rPr>
                <w:sz w:val="20"/>
              </w:rPr>
              <w:t>removed</w:t>
            </w:r>
            <w:r>
              <w:rPr>
                <w:spacing w:val="-3"/>
                <w:sz w:val="20"/>
              </w:rPr>
              <w:t xml:space="preserve"> </w:t>
            </w:r>
            <w:r>
              <w:rPr>
                <w:sz w:val="20"/>
              </w:rPr>
              <w:t>them</w:t>
            </w:r>
            <w:r>
              <w:rPr>
                <w:spacing w:val="-3"/>
                <w:sz w:val="20"/>
              </w:rPr>
              <w:t xml:space="preserve"> </w:t>
            </w:r>
            <w:r>
              <w:rPr>
                <w:sz w:val="20"/>
              </w:rPr>
              <w:t>so</w:t>
            </w:r>
            <w:r>
              <w:rPr>
                <w:spacing w:val="-3"/>
                <w:sz w:val="20"/>
              </w:rPr>
              <w:t xml:space="preserve"> </w:t>
            </w:r>
            <w:r>
              <w:rPr>
                <w:sz w:val="20"/>
              </w:rPr>
              <w:t>its</w:t>
            </w:r>
            <w:r>
              <w:rPr>
                <w:spacing w:val="-2"/>
                <w:sz w:val="20"/>
              </w:rPr>
              <w:t xml:space="preserve"> </w:t>
            </w:r>
            <w:r>
              <w:rPr>
                <w:sz w:val="20"/>
              </w:rPr>
              <w:t>calibration for whole building new construction would not</w:t>
            </w:r>
            <w:r>
              <w:rPr>
                <w:spacing w:val="-1"/>
                <w:sz w:val="20"/>
              </w:rPr>
              <w:t xml:space="preserve"> </w:t>
            </w:r>
            <w:r>
              <w:rPr>
                <w:sz w:val="20"/>
              </w:rPr>
              <w:t>be artificially inflated</w:t>
            </w:r>
          </w:p>
        </w:tc>
        <w:tc>
          <w:tcPr>
            <w:tcW w:w="2250" w:type="dxa"/>
            <w:tcBorders>
              <w:top w:val="single" w:color="D9D9D9" w:sz="2" w:space="0"/>
              <w:bottom w:val="single" w:color="000000" w:sz="8" w:space="0"/>
            </w:tcBorders>
          </w:tcPr>
          <w:p w:rsidR="00C31389" w:rsidRDefault="00C31389" w14:paraId="2E480B8D" w14:textId="77777777">
            <w:pPr>
              <w:pStyle w:val="TableParagraph"/>
              <w:spacing w:before="0"/>
              <w:rPr>
                <w:b/>
              </w:rPr>
            </w:pPr>
          </w:p>
          <w:p w:rsidR="00C31389" w:rsidRDefault="00C31389" w14:paraId="1CEFDD84" w14:textId="77777777">
            <w:pPr>
              <w:pStyle w:val="TableParagraph"/>
              <w:spacing w:before="7"/>
              <w:rPr>
                <w:b/>
                <w:sz w:val="21"/>
              </w:rPr>
            </w:pPr>
          </w:p>
          <w:p w:rsidR="00C31389" w:rsidRDefault="00561FBD" w14:paraId="3911DAC2" w14:textId="77777777">
            <w:pPr>
              <w:pStyle w:val="TableParagraph"/>
              <w:spacing w:before="0"/>
              <w:ind w:left="115"/>
              <w:rPr>
                <w:sz w:val="20"/>
              </w:rPr>
            </w:pPr>
            <w:r>
              <w:rPr>
                <w:spacing w:val="-5"/>
                <w:sz w:val="20"/>
              </w:rPr>
              <w:t>N/A</w:t>
            </w:r>
          </w:p>
        </w:tc>
      </w:tr>
    </w:tbl>
    <w:p w:rsidR="00C31389" w:rsidRDefault="00561FBD" w14:paraId="54D640A8" w14:textId="77777777">
      <w:pPr>
        <w:spacing w:before="65"/>
        <w:ind w:left="480"/>
        <w:rPr>
          <w:i/>
          <w:sz w:val="18"/>
        </w:rPr>
      </w:pPr>
      <w:r>
        <w:rPr>
          <w:i/>
          <w:sz w:val="18"/>
        </w:rPr>
        <w:t>Source:</w:t>
      </w:r>
      <w:r>
        <w:rPr>
          <w:i/>
          <w:spacing w:val="-4"/>
          <w:sz w:val="18"/>
        </w:rPr>
        <w:t xml:space="preserve"> </w:t>
      </w:r>
      <w:r>
        <w:rPr>
          <w:i/>
          <w:spacing w:val="-2"/>
          <w:sz w:val="18"/>
        </w:rPr>
        <w:t>Guidehouse</w:t>
      </w:r>
    </w:p>
    <w:p w:rsidR="00C31389" w:rsidRDefault="00C31389" w14:paraId="3A7B5E40" w14:textId="77777777">
      <w:pPr>
        <w:pStyle w:val="BodyText"/>
        <w:spacing w:before="10"/>
        <w:rPr>
          <w:i/>
          <w:sz w:val="20"/>
        </w:rPr>
      </w:pPr>
    </w:p>
    <w:p w:rsidR="00C31389" w:rsidRDefault="00561FBD" w14:paraId="29DB8256" w14:textId="77777777">
      <w:pPr>
        <w:pStyle w:val="BodyText"/>
        <w:ind w:left="480" w:right="533" w:hanging="1"/>
      </w:pPr>
      <w:r>
        <w:t xml:space="preserve">FS calibration data from 2021 </w:t>
      </w:r>
      <w:r>
        <w:t>was limited because that was the first year that utilities were directed</w:t>
      </w:r>
      <w:r>
        <w:rPr>
          <w:spacing w:val="-3"/>
        </w:rPr>
        <w:t xml:space="preserve"> </w:t>
      </w:r>
      <w:r>
        <w:t>to</w:t>
      </w:r>
      <w:r>
        <w:rPr>
          <w:spacing w:val="-3"/>
        </w:rPr>
        <w:t xml:space="preserve"> </w:t>
      </w:r>
      <w:r>
        <w:t>have</w:t>
      </w:r>
      <w:r>
        <w:rPr>
          <w:spacing w:val="-3"/>
        </w:rPr>
        <w:t xml:space="preserve"> </w:t>
      </w:r>
      <w:r>
        <w:t>FS</w:t>
      </w:r>
      <w:r>
        <w:rPr>
          <w:spacing w:val="-3"/>
        </w:rPr>
        <w:t xml:space="preserve"> </w:t>
      </w:r>
      <w:r>
        <w:t>programs.</w:t>
      </w:r>
      <w:r>
        <w:rPr>
          <w:spacing w:val="-3"/>
        </w:rPr>
        <w:t xml:space="preserve"> </w:t>
      </w:r>
      <w:r>
        <w:t>Prior</w:t>
      </w:r>
      <w:r>
        <w:rPr>
          <w:spacing w:val="-3"/>
        </w:rPr>
        <w:t xml:space="preserve"> </w:t>
      </w:r>
      <w:r>
        <w:t>to</w:t>
      </w:r>
      <w:r>
        <w:rPr>
          <w:spacing w:val="-3"/>
        </w:rPr>
        <w:t xml:space="preserve"> </w:t>
      </w:r>
      <w:r>
        <w:t>that</w:t>
      </w:r>
      <w:r>
        <w:rPr>
          <w:spacing w:val="-3"/>
        </w:rPr>
        <w:t xml:space="preserve"> </w:t>
      </w:r>
      <w:r>
        <w:t>year,</w:t>
      </w:r>
      <w:r>
        <w:rPr>
          <w:spacing w:val="-4"/>
        </w:rPr>
        <w:t xml:space="preserve"> </w:t>
      </w:r>
      <w:r>
        <w:t>FS</w:t>
      </w:r>
      <w:r>
        <w:rPr>
          <w:spacing w:val="-3"/>
        </w:rPr>
        <w:t xml:space="preserve"> </w:t>
      </w:r>
      <w:r>
        <w:t>programs</w:t>
      </w:r>
      <w:r>
        <w:rPr>
          <w:spacing w:val="-3"/>
        </w:rPr>
        <w:t xml:space="preserve"> </w:t>
      </w:r>
      <w:r>
        <w:t>were</w:t>
      </w:r>
      <w:r>
        <w:rPr>
          <w:spacing w:val="-3"/>
        </w:rPr>
        <w:t xml:space="preserve"> </w:t>
      </w:r>
      <w:r>
        <w:t>either</w:t>
      </w:r>
      <w:r>
        <w:rPr>
          <w:spacing w:val="-3"/>
        </w:rPr>
        <w:t xml:space="preserve"> </w:t>
      </w:r>
      <w:r>
        <w:t>non-existent</w:t>
      </w:r>
      <w:r>
        <w:rPr>
          <w:spacing w:val="-3"/>
        </w:rPr>
        <w:t xml:space="preserve"> </w:t>
      </w:r>
      <w:r>
        <w:t>(2018- 2019) or pilot-only (2019-2020). To include more robust FS-specific program data to form a basis f</w:t>
      </w:r>
      <w:r>
        <w:t>or calibration, 2022 Q1-Q2 IOU budget data for was also included in the analysis.</w:t>
      </w:r>
    </w:p>
    <w:p w:rsidR="00C31389" w:rsidRDefault="00C31389" w14:paraId="6523E2D9" w14:textId="77777777">
      <w:pPr>
        <w:pStyle w:val="BodyText"/>
        <w:spacing w:before="10"/>
        <w:rPr>
          <w:sz w:val="20"/>
        </w:rPr>
      </w:pPr>
    </w:p>
    <w:p w:rsidR="00C31389" w:rsidRDefault="00561FBD" w14:paraId="2CC29538" w14:textId="77777777">
      <w:pPr>
        <w:pStyle w:val="BodyText"/>
        <w:ind w:left="480" w:right="565"/>
      </w:pPr>
      <w:hyperlink w:history="1" w:anchor="_bookmark109">
        <w:r>
          <w:t>Table 3-7</w:t>
        </w:r>
      </w:hyperlink>
      <w:r>
        <w:t xml:space="preserve"> provides the 2022 gross savings at the utility and sector levels for FS programs, which</w:t>
      </w:r>
      <w:r>
        <w:rPr>
          <w:spacing w:val="-4"/>
        </w:rPr>
        <w:t xml:space="preserve"> </w:t>
      </w:r>
      <w:r>
        <w:t>informed</w:t>
      </w:r>
      <w:r>
        <w:rPr>
          <w:spacing w:val="-4"/>
        </w:rPr>
        <w:t xml:space="preserve"> </w:t>
      </w:r>
      <w:r>
        <w:t>c</w:t>
      </w:r>
      <w:r>
        <w:t>alibration.</w:t>
      </w:r>
      <w:r>
        <w:rPr>
          <w:spacing w:val="-4"/>
        </w:rPr>
        <w:t xml:space="preserve"> </w:t>
      </w:r>
      <w:r>
        <w:t>GWh</w:t>
      </w:r>
      <w:r>
        <w:rPr>
          <w:spacing w:val="-4"/>
        </w:rPr>
        <w:t xml:space="preserve"> </w:t>
      </w:r>
      <w:r>
        <w:t>savings</w:t>
      </w:r>
      <w:r>
        <w:rPr>
          <w:spacing w:val="-4"/>
        </w:rPr>
        <w:t xml:space="preserve"> </w:t>
      </w:r>
      <w:r>
        <w:t>are</w:t>
      </w:r>
      <w:r>
        <w:rPr>
          <w:spacing w:val="-4"/>
        </w:rPr>
        <w:t xml:space="preserve"> </w:t>
      </w:r>
      <w:r>
        <w:t>negative</w:t>
      </w:r>
      <w:r>
        <w:rPr>
          <w:spacing w:val="-4"/>
        </w:rPr>
        <w:t xml:space="preserve"> </w:t>
      </w:r>
      <w:r>
        <w:t>because</w:t>
      </w:r>
      <w:r>
        <w:rPr>
          <w:spacing w:val="-4"/>
        </w:rPr>
        <w:t xml:space="preserve"> </w:t>
      </w:r>
      <w:r>
        <w:t>FS</w:t>
      </w:r>
      <w:r>
        <w:rPr>
          <w:spacing w:val="-3"/>
        </w:rPr>
        <w:t xml:space="preserve"> </w:t>
      </w:r>
      <w:r>
        <w:t>results</w:t>
      </w:r>
      <w:r>
        <w:rPr>
          <w:spacing w:val="-4"/>
        </w:rPr>
        <w:t xml:space="preserve"> </w:t>
      </w:r>
      <w:r>
        <w:t>in</w:t>
      </w:r>
      <w:r>
        <w:rPr>
          <w:spacing w:val="-4"/>
        </w:rPr>
        <w:t xml:space="preserve"> </w:t>
      </w:r>
      <w:r>
        <w:t>increased</w:t>
      </w:r>
      <w:r>
        <w:rPr>
          <w:spacing w:val="-4"/>
        </w:rPr>
        <w:t xml:space="preserve"> </w:t>
      </w:r>
      <w:r>
        <w:t xml:space="preserve">energy </w:t>
      </w:r>
      <w:r>
        <w:rPr>
          <w:spacing w:val="-2"/>
        </w:rPr>
        <w:t>consumption.</w:t>
      </w:r>
    </w:p>
    <w:p w:rsidR="00C31389" w:rsidRDefault="00C31389" w14:paraId="3FE35EE2" w14:textId="77777777">
      <w:pPr>
        <w:pStyle w:val="BodyText"/>
        <w:spacing w:before="9"/>
        <w:rPr>
          <w:sz w:val="20"/>
        </w:rPr>
      </w:pPr>
    </w:p>
    <w:p w:rsidR="00C31389" w:rsidRDefault="00561FBD" w14:paraId="10BBE044" w14:textId="77777777">
      <w:pPr>
        <w:pStyle w:val="Heading7"/>
        <w:ind w:left="566" w:right="566"/>
        <w:jc w:val="center"/>
      </w:pPr>
      <w:bookmarkStart w:name="_bookmark109" w:id="145"/>
      <w:bookmarkEnd w:id="145"/>
      <w:r>
        <w:t>Table</w:t>
      </w:r>
      <w:r>
        <w:rPr>
          <w:spacing w:val="-9"/>
        </w:rPr>
        <w:t xml:space="preserve"> </w:t>
      </w:r>
      <w:r>
        <w:t>3-7.</w:t>
      </w:r>
      <w:r>
        <w:rPr>
          <w:spacing w:val="-9"/>
        </w:rPr>
        <w:t xml:space="preserve"> </w:t>
      </w:r>
      <w:r>
        <w:t>2022</w:t>
      </w:r>
      <w:r>
        <w:rPr>
          <w:spacing w:val="-8"/>
        </w:rPr>
        <w:t xml:space="preserve"> </w:t>
      </w:r>
      <w:r>
        <w:t>IOU</w:t>
      </w:r>
      <w:r>
        <w:rPr>
          <w:spacing w:val="-10"/>
        </w:rPr>
        <w:t xml:space="preserve"> </w:t>
      </w:r>
      <w:r>
        <w:t>Program</w:t>
      </w:r>
      <w:r>
        <w:rPr>
          <w:spacing w:val="-9"/>
        </w:rPr>
        <w:t xml:space="preserve"> </w:t>
      </w:r>
      <w:r>
        <w:t>Filing</w:t>
      </w:r>
      <w:r>
        <w:rPr>
          <w:spacing w:val="-8"/>
        </w:rPr>
        <w:t xml:space="preserve"> </w:t>
      </w:r>
      <w:r>
        <w:t>Portfolio</w:t>
      </w:r>
      <w:r>
        <w:rPr>
          <w:spacing w:val="-9"/>
        </w:rPr>
        <w:t xml:space="preserve"> </w:t>
      </w:r>
      <w:r>
        <w:t>Gross</w:t>
      </w:r>
      <w:r>
        <w:rPr>
          <w:spacing w:val="-9"/>
        </w:rPr>
        <w:t xml:space="preserve"> </w:t>
      </w:r>
      <w:r>
        <w:t>Program</w:t>
      </w:r>
      <w:r>
        <w:rPr>
          <w:spacing w:val="-8"/>
        </w:rPr>
        <w:t xml:space="preserve"> </w:t>
      </w:r>
      <w:r>
        <w:t>Savings-</w:t>
      </w:r>
      <w:r>
        <w:rPr>
          <w:spacing w:val="-5"/>
        </w:rPr>
        <w:t>FS</w:t>
      </w:r>
    </w:p>
    <w:p w:rsidR="00C31389" w:rsidRDefault="00C31389" w14:paraId="12975437"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196"/>
        <w:gridCol w:w="1780"/>
        <w:gridCol w:w="2064"/>
        <w:gridCol w:w="2325"/>
        <w:gridCol w:w="2008"/>
      </w:tblGrid>
      <w:tr w:rsidR="00C31389" w14:paraId="5B3F91A9" w14:textId="77777777">
        <w:trPr>
          <w:trHeight w:val="549"/>
        </w:trPr>
        <w:tc>
          <w:tcPr>
            <w:tcW w:w="1196" w:type="dxa"/>
            <w:shd w:val="clear" w:color="auto" w:fill="92D400"/>
          </w:tcPr>
          <w:p w:rsidR="00C31389" w:rsidRDefault="00561FBD" w14:paraId="52868EB5" w14:textId="77777777">
            <w:pPr>
              <w:pStyle w:val="TableParagraph"/>
              <w:spacing w:before="155"/>
              <w:ind w:left="129"/>
              <w:rPr>
                <w:b/>
                <w:sz w:val="20"/>
              </w:rPr>
            </w:pPr>
            <w:r>
              <w:rPr>
                <w:b/>
                <w:spacing w:val="-5"/>
                <w:sz w:val="20"/>
              </w:rPr>
              <w:t>IOU</w:t>
            </w:r>
          </w:p>
        </w:tc>
        <w:tc>
          <w:tcPr>
            <w:tcW w:w="1780" w:type="dxa"/>
            <w:shd w:val="clear" w:color="auto" w:fill="92D400"/>
          </w:tcPr>
          <w:p w:rsidR="00C31389" w:rsidRDefault="00561FBD" w14:paraId="0F1D8F99" w14:textId="77777777">
            <w:pPr>
              <w:pStyle w:val="TableParagraph"/>
              <w:spacing w:before="155"/>
              <w:ind w:left="115"/>
              <w:rPr>
                <w:b/>
                <w:sz w:val="20"/>
              </w:rPr>
            </w:pPr>
            <w:r>
              <w:rPr>
                <w:b/>
                <w:spacing w:val="-2"/>
                <w:sz w:val="20"/>
              </w:rPr>
              <w:t>Sector</w:t>
            </w:r>
          </w:p>
        </w:tc>
        <w:tc>
          <w:tcPr>
            <w:tcW w:w="2064" w:type="dxa"/>
            <w:shd w:val="clear" w:color="auto" w:fill="92D400"/>
          </w:tcPr>
          <w:p w:rsidR="00C31389" w:rsidRDefault="00561FBD" w14:paraId="7C1A8BE3" w14:textId="77777777">
            <w:pPr>
              <w:pStyle w:val="TableParagraph"/>
              <w:spacing w:before="155"/>
              <w:ind w:left="586" w:right="354"/>
              <w:jc w:val="center"/>
              <w:rPr>
                <w:b/>
                <w:sz w:val="20"/>
              </w:rPr>
            </w:pPr>
            <w:r>
              <w:rPr>
                <w:b/>
                <w:sz w:val="20"/>
              </w:rPr>
              <w:t>Gross</w:t>
            </w:r>
            <w:r>
              <w:rPr>
                <w:b/>
                <w:spacing w:val="-2"/>
                <w:sz w:val="20"/>
              </w:rPr>
              <w:t xml:space="preserve"> </w:t>
            </w:r>
            <w:r>
              <w:rPr>
                <w:b/>
                <w:spacing w:val="-5"/>
                <w:sz w:val="20"/>
              </w:rPr>
              <w:t>GWh</w:t>
            </w:r>
          </w:p>
        </w:tc>
        <w:tc>
          <w:tcPr>
            <w:tcW w:w="2325" w:type="dxa"/>
            <w:shd w:val="clear" w:color="auto" w:fill="92D400"/>
          </w:tcPr>
          <w:p w:rsidR="00C31389" w:rsidRDefault="00561FBD" w14:paraId="21758338" w14:textId="77777777">
            <w:pPr>
              <w:pStyle w:val="TableParagraph"/>
              <w:spacing w:before="155"/>
              <w:ind w:left="356" w:right="313"/>
              <w:jc w:val="center"/>
              <w:rPr>
                <w:b/>
                <w:sz w:val="20"/>
              </w:rPr>
            </w:pPr>
            <w:r>
              <w:rPr>
                <w:b/>
                <w:sz w:val="20"/>
              </w:rPr>
              <w:t>Gross</w:t>
            </w:r>
            <w:r>
              <w:rPr>
                <w:b/>
                <w:spacing w:val="-2"/>
                <w:sz w:val="20"/>
              </w:rPr>
              <w:t xml:space="preserve"> MMtherms</w:t>
            </w:r>
          </w:p>
        </w:tc>
        <w:tc>
          <w:tcPr>
            <w:tcW w:w="2008" w:type="dxa"/>
            <w:shd w:val="clear" w:color="auto" w:fill="92D400"/>
          </w:tcPr>
          <w:p w:rsidR="00C31389" w:rsidRDefault="00561FBD" w14:paraId="3437C9A5" w14:textId="77777777">
            <w:pPr>
              <w:pStyle w:val="TableParagraph"/>
              <w:ind w:left="437" w:right="282" w:hanging="112"/>
              <w:rPr>
                <w:b/>
                <w:sz w:val="20"/>
              </w:rPr>
            </w:pPr>
            <w:r>
              <w:rPr>
                <w:b/>
                <w:spacing w:val="-2"/>
                <w:sz w:val="20"/>
              </w:rPr>
              <w:t xml:space="preserve">Expenditures </w:t>
            </w:r>
            <w:r>
              <w:rPr>
                <w:b/>
                <w:sz w:val="20"/>
              </w:rPr>
              <w:t>($ Millions)</w:t>
            </w:r>
          </w:p>
        </w:tc>
      </w:tr>
      <w:tr w:rsidR="00C31389" w14:paraId="5460252D" w14:textId="77777777">
        <w:trPr>
          <w:trHeight w:val="310"/>
        </w:trPr>
        <w:tc>
          <w:tcPr>
            <w:tcW w:w="1196" w:type="dxa"/>
          </w:tcPr>
          <w:p w:rsidR="00C31389" w:rsidRDefault="00C31389" w14:paraId="30C3EE9E" w14:textId="77777777">
            <w:pPr>
              <w:pStyle w:val="TableParagraph"/>
              <w:spacing w:before="0"/>
              <w:rPr>
                <w:rFonts w:ascii="Times New Roman"/>
                <w:sz w:val="20"/>
              </w:rPr>
            </w:pPr>
          </w:p>
        </w:tc>
        <w:tc>
          <w:tcPr>
            <w:tcW w:w="1780" w:type="dxa"/>
            <w:tcBorders>
              <w:bottom w:val="single" w:color="D9D9D9" w:sz="2" w:space="0"/>
            </w:tcBorders>
          </w:tcPr>
          <w:p w:rsidR="00C31389" w:rsidRDefault="00561FBD" w14:paraId="67A5DE4A" w14:textId="77777777">
            <w:pPr>
              <w:pStyle w:val="TableParagraph"/>
              <w:spacing w:before="41"/>
              <w:ind w:left="115"/>
              <w:rPr>
                <w:sz w:val="20"/>
              </w:rPr>
            </w:pPr>
            <w:r>
              <w:rPr>
                <w:spacing w:val="-2"/>
                <w:sz w:val="20"/>
              </w:rPr>
              <w:t>Residential</w:t>
            </w:r>
          </w:p>
        </w:tc>
        <w:tc>
          <w:tcPr>
            <w:tcW w:w="2064" w:type="dxa"/>
            <w:tcBorders>
              <w:bottom w:val="single" w:color="D9D9D9" w:sz="2" w:space="0"/>
            </w:tcBorders>
          </w:tcPr>
          <w:p w:rsidR="00C31389" w:rsidRDefault="00561FBD" w14:paraId="614DB43E" w14:textId="77777777">
            <w:pPr>
              <w:pStyle w:val="TableParagraph"/>
              <w:spacing w:before="41"/>
              <w:ind w:left="586" w:right="353"/>
              <w:jc w:val="center"/>
              <w:rPr>
                <w:sz w:val="20"/>
              </w:rPr>
            </w:pPr>
            <w:r>
              <w:rPr>
                <w:sz w:val="20"/>
              </w:rPr>
              <w:t>-</w:t>
            </w:r>
            <w:r>
              <w:rPr>
                <w:spacing w:val="-4"/>
                <w:sz w:val="20"/>
              </w:rPr>
              <w:t>0.59</w:t>
            </w:r>
          </w:p>
        </w:tc>
        <w:tc>
          <w:tcPr>
            <w:tcW w:w="2325" w:type="dxa"/>
            <w:tcBorders>
              <w:bottom w:val="single" w:color="D9D9D9" w:sz="2" w:space="0"/>
            </w:tcBorders>
          </w:tcPr>
          <w:p w:rsidR="00C31389" w:rsidRDefault="00561FBD" w14:paraId="7D0895EC" w14:textId="77777777">
            <w:pPr>
              <w:pStyle w:val="TableParagraph"/>
              <w:spacing w:before="41"/>
              <w:ind w:left="356" w:right="312"/>
              <w:jc w:val="center"/>
              <w:rPr>
                <w:sz w:val="20"/>
              </w:rPr>
            </w:pPr>
            <w:r>
              <w:rPr>
                <w:spacing w:val="-4"/>
                <w:sz w:val="20"/>
              </w:rPr>
              <w:t>0.17</w:t>
            </w:r>
          </w:p>
        </w:tc>
        <w:tc>
          <w:tcPr>
            <w:tcW w:w="2008" w:type="dxa"/>
            <w:tcBorders>
              <w:bottom w:val="single" w:color="D9D9D9" w:sz="2" w:space="0"/>
            </w:tcBorders>
          </w:tcPr>
          <w:p w:rsidR="00C31389" w:rsidRDefault="00561FBD" w14:paraId="4D6C720C" w14:textId="77777777">
            <w:pPr>
              <w:pStyle w:val="TableParagraph"/>
              <w:spacing w:before="41"/>
              <w:ind w:left="708"/>
              <w:rPr>
                <w:sz w:val="20"/>
              </w:rPr>
            </w:pPr>
            <w:r>
              <w:rPr>
                <w:spacing w:val="-2"/>
                <w:sz w:val="20"/>
              </w:rPr>
              <w:t>$2.15</w:t>
            </w:r>
          </w:p>
        </w:tc>
      </w:tr>
      <w:tr w:rsidR="00C31389" w14:paraId="238F387A" w14:textId="77777777">
        <w:trPr>
          <w:trHeight w:val="309"/>
        </w:trPr>
        <w:tc>
          <w:tcPr>
            <w:tcW w:w="1196" w:type="dxa"/>
            <w:vMerge w:val="restart"/>
          </w:tcPr>
          <w:p w:rsidR="00C31389" w:rsidRDefault="00561FBD" w14:paraId="077F21FE" w14:textId="77777777">
            <w:pPr>
              <w:pStyle w:val="TableParagraph"/>
              <w:spacing w:before="197"/>
              <w:ind w:left="129"/>
              <w:rPr>
                <w:b/>
                <w:sz w:val="20"/>
              </w:rPr>
            </w:pPr>
            <w:r>
              <w:rPr>
                <w:b/>
                <w:spacing w:val="-4"/>
                <w:sz w:val="20"/>
              </w:rPr>
              <w:t>PG&amp;E</w:t>
            </w:r>
          </w:p>
        </w:tc>
        <w:tc>
          <w:tcPr>
            <w:tcW w:w="1780" w:type="dxa"/>
            <w:tcBorders>
              <w:top w:val="single" w:color="D9D9D9" w:sz="2" w:space="0"/>
              <w:bottom w:val="single" w:color="D9D9D9" w:sz="2" w:space="0"/>
            </w:tcBorders>
          </w:tcPr>
          <w:p w:rsidR="00C31389" w:rsidRDefault="00561FBD" w14:paraId="3347BD4E" w14:textId="77777777">
            <w:pPr>
              <w:pStyle w:val="TableParagraph"/>
              <w:ind w:left="115"/>
              <w:rPr>
                <w:sz w:val="20"/>
              </w:rPr>
            </w:pPr>
            <w:r>
              <w:rPr>
                <w:spacing w:val="-2"/>
                <w:sz w:val="20"/>
              </w:rPr>
              <w:t>Commercial</w:t>
            </w:r>
          </w:p>
        </w:tc>
        <w:tc>
          <w:tcPr>
            <w:tcW w:w="2064" w:type="dxa"/>
            <w:tcBorders>
              <w:top w:val="single" w:color="D9D9D9" w:sz="2" w:space="0"/>
              <w:bottom w:val="single" w:color="D9D9D9" w:sz="2" w:space="0"/>
            </w:tcBorders>
          </w:tcPr>
          <w:p w:rsidR="00C31389" w:rsidRDefault="00561FBD" w14:paraId="62361D5E" w14:textId="77777777">
            <w:pPr>
              <w:pStyle w:val="TableParagraph"/>
              <w:ind w:left="586" w:right="352"/>
              <w:jc w:val="center"/>
              <w:rPr>
                <w:sz w:val="20"/>
              </w:rPr>
            </w:pPr>
            <w:r>
              <w:rPr>
                <w:sz w:val="20"/>
              </w:rPr>
              <w:t>-</w:t>
            </w:r>
            <w:r>
              <w:rPr>
                <w:spacing w:val="-4"/>
                <w:sz w:val="20"/>
              </w:rPr>
              <w:t>0.42</w:t>
            </w:r>
          </w:p>
        </w:tc>
        <w:tc>
          <w:tcPr>
            <w:tcW w:w="2325" w:type="dxa"/>
            <w:tcBorders>
              <w:top w:val="single" w:color="D9D9D9" w:sz="2" w:space="0"/>
              <w:bottom w:val="single" w:color="D9D9D9" w:sz="2" w:space="0"/>
            </w:tcBorders>
          </w:tcPr>
          <w:p w:rsidR="00C31389" w:rsidRDefault="00561FBD" w14:paraId="51119CA7" w14:textId="77777777">
            <w:pPr>
              <w:pStyle w:val="TableParagraph"/>
              <w:ind w:left="356" w:right="311"/>
              <w:jc w:val="center"/>
              <w:rPr>
                <w:sz w:val="20"/>
              </w:rPr>
            </w:pPr>
            <w:r>
              <w:rPr>
                <w:spacing w:val="-4"/>
                <w:sz w:val="20"/>
              </w:rPr>
              <w:t>0.06</w:t>
            </w:r>
          </w:p>
        </w:tc>
        <w:tc>
          <w:tcPr>
            <w:tcW w:w="2008" w:type="dxa"/>
            <w:tcBorders>
              <w:top w:val="single" w:color="D9D9D9" w:sz="2" w:space="0"/>
              <w:bottom w:val="single" w:color="D9D9D9" w:sz="2" w:space="0"/>
            </w:tcBorders>
          </w:tcPr>
          <w:p w:rsidR="00C31389" w:rsidRDefault="00561FBD" w14:paraId="2BB39606" w14:textId="77777777">
            <w:pPr>
              <w:pStyle w:val="TableParagraph"/>
              <w:ind w:left="708"/>
              <w:rPr>
                <w:sz w:val="20"/>
              </w:rPr>
            </w:pPr>
            <w:r>
              <w:rPr>
                <w:spacing w:val="-2"/>
                <w:sz w:val="20"/>
              </w:rPr>
              <w:t>$0.49</w:t>
            </w:r>
          </w:p>
        </w:tc>
      </w:tr>
      <w:tr w:rsidR="00C31389" w14:paraId="29856785" w14:textId="77777777">
        <w:trPr>
          <w:trHeight w:val="310"/>
        </w:trPr>
        <w:tc>
          <w:tcPr>
            <w:tcW w:w="1196" w:type="dxa"/>
            <w:vMerge/>
            <w:tcBorders>
              <w:top w:val="nil"/>
            </w:tcBorders>
          </w:tcPr>
          <w:p w:rsidR="00C31389" w:rsidRDefault="00C31389" w14:paraId="4876610F" w14:textId="77777777">
            <w:pPr>
              <w:rPr>
                <w:sz w:val="2"/>
                <w:szCs w:val="2"/>
              </w:rPr>
            </w:pPr>
          </w:p>
        </w:tc>
        <w:tc>
          <w:tcPr>
            <w:tcW w:w="1780" w:type="dxa"/>
            <w:tcBorders>
              <w:top w:val="single" w:color="D9D9D9" w:sz="2" w:space="0"/>
              <w:bottom w:val="single" w:color="D9D9D9" w:sz="2" w:space="0"/>
            </w:tcBorders>
          </w:tcPr>
          <w:p w:rsidR="00C31389" w:rsidRDefault="00561FBD" w14:paraId="007653E5" w14:textId="77777777">
            <w:pPr>
              <w:pStyle w:val="TableParagraph"/>
              <w:ind w:left="115"/>
              <w:rPr>
                <w:sz w:val="20"/>
              </w:rPr>
            </w:pPr>
            <w:r>
              <w:rPr>
                <w:spacing w:val="-2"/>
                <w:sz w:val="20"/>
              </w:rPr>
              <w:t>Industrial</w:t>
            </w:r>
          </w:p>
        </w:tc>
        <w:tc>
          <w:tcPr>
            <w:tcW w:w="2064" w:type="dxa"/>
            <w:tcBorders>
              <w:top w:val="single" w:color="D9D9D9" w:sz="2" w:space="0"/>
              <w:bottom w:val="single" w:color="D9D9D9" w:sz="2" w:space="0"/>
            </w:tcBorders>
          </w:tcPr>
          <w:p w:rsidR="00C31389" w:rsidRDefault="00561FBD" w14:paraId="567D2AB1" w14:textId="77777777">
            <w:pPr>
              <w:pStyle w:val="TableParagraph"/>
              <w:ind w:left="586" w:right="352"/>
              <w:jc w:val="center"/>
              <w:rPr>
                <w:sz w:val="20"/>
              </w:rPr>
            </w:pPr>
            <w:r>
              <w:rPr>
                <w:spacing w:val="-4"/>
                <w:sz w:val="20"/>
              </w:rPr>
              <w:t>0.00</w:t>
            </w:r>
          </w:p>
        </w:tc>
        <w:tc>
          <w:tcPr>
            <w:tcW w:w="2325" w:type="dxa"/>
            <w:tcBorders>
              <w:top w:val="single" w:color="D9D9D9" w:sz="2" w:space="0"/>
              <w:bottom w:val="single" w:color="D9D9D9" w:sz="2" w:space="0"/>
            </w:tcBorders>
          </w:tcPr>
          <w:p w:rsidR="00C31389" w:rsidRDefault="00561FBD" w14:paraId="1ADBB27A" w14:textId="77777777">
            <w:pPr>
              <w:pStyle w:val="TableParagraph"/>
              <w:ind w:left="356" w:right="311"/>
              <w:jc w:val="center"/>
              <w:rPr>
                <w:sz w:val="20"/>
              </w:rPr>
            </w:pPr>
            <w:r>
              <w:rPr>
                <w:spacing w:val="-4"/>
                <w:sz w:val="20"/>
              </w:rPr>
              <w:t>0.00</w:t>
            </w:r>
          </w:p>
        </w:tc>
        <w:tc>
          <w:tcPr>
            <w:tcW w:w="2008" w:type="dxa"/>
            <w:tcBorders>
              <w:top w:val="single" w:color="D9D9D9" w:sz="2" w:space="0"/>
              <w:bottom w:val="single" w:color="D9D9D9" w:sz="2" w:space="0"/>
            </w:tcBorders>
          </w:tcPr>
          <w:p w:rsidR="00C31389" w:rsidRDefault="00561FBD" w14:paraId="795AC005" w14:textId="77777777">
            <w:pPr>
              <w:pStyle w:val="TableParagraph"/>
              <w:ind w:left="708"/>
              <w:rPr>
                <w:sz w:val="20"/>
              </w:rPr>
            </w:pPr>
            <w:r>
              <w:rPr>
                <w:spacing w:val="-2"/>
                <w:sz w:val="20"/>
              </w:rPr>
              <w:t>$0.00</w:t>
            </w:r>
          </w:p>
        </w:tc>
      </w:tr>
      <w:tr w:rsidR="00C31389" w14:paraId="7F96865F" w14:textId="77777777">
        <w:trPr>
          <w:trHeight w:val="309"/>
        </w:trPr>
        <w:tc>
          <w:tcPr>
            <w:tcW w:w="1196" w:type="dxa"/>
            <w:tcBorders>
              <w:bottom w:val="single" w:color="000000" w:sz="4" w:space="0"/>
            </w:tcBorders>
          </w:tcPr>
          <w:p w:rsidR="00C31389" w:rsidRDefault="00C31389" w14:paraId="7DE11BC6" w14:textId="77777777">
            <w:pPr>
              <w:pStyle w:val="TableParagraph"/>
              <w:spacing w:before="0"/>
              <w:rPr>
                <w:rFonts w:ascii="Times New Roman"/>
                <w:sz w:val="20"/>
              </w:rPr>
            </w:pPr>
          </w:p>
        </w:tc>
        <w:tc>
          <w:tcPr>
            <w:tcW w:w="1780" w:type="dxa"/>
            <w:tcBorders>
              <w:top w:val="single" w:color="D9D9D9" w:sz="2" w:space="0"/>
              <w:bottom w:val="single" w:color="000000" w:sz="4" w:space="0"/>
            </w:tcBorders>
          </w:tcPr>
          <w:p w:rsidR="00C31389" w:rsidRDefault="00561FBD" w14:paraId="3FF37F8E" w14:textId="77777777">
            <w:pPr>
              <w:pStyle w:val="TableParagraph"/>
              <w:ind w:left="115"/>
              <w:rPr>
                <w:sz w:val="20"/>
              </w:rPr>
            </w:pPr>
            <w:r>
              <w:rPr>
                <w:spacing w:val="-2"/>
                <w:sz w:val="20"/>
              </w:rPr>
              <w:t>Agriculture</w:t>
            </w:r>
          </w:p>
        </w:tc>
        <w:tc>
          <w:tcPr>
            <w:tcW w:w="2064" w:type="dxa"/>
            <w:tcBorders>
              <w:top w:val="single" w:color="D9D9D9" w:sz="2" w:space="0"/>
              <w:bottom w:val="single" w:color="000000" w:sz="4" w:space="0"/>
            </w:tcBorders>
          </w:tcPr>
          <w:p w:rsidR="00C31389" w:rsidRDefault="00561FBD" w14:paraId="7B71318A" w14:textId="77777777">
            <w:pPr>
              <w:pStyle w:val="TableParagraph"/>
              <w:ind w:left="586" w:right="352"/>
              <w:jc w:val="center"/>
              <w:rPr>
                <w:sz w:val="20"/>
              </w:rPr>
            </w:pPr>
            <w:r>
              <w:rPr>
                <w:spacing w:val="-4"/>
                <w:sz w:val="20"/>
              </w:rPr>
              <w:t>0.00</w:t>
            </w:r>
          </w:p>
        </w:tc>
        <w:tc>
          <w:tcPr>
            <w:tcW w:w="2325" w:type="dxa"/>
            <w:tcBorders>
              <w:top w:val="single" w:color="D9D9D9" w:sz="2" w:space="0"/>
              <w:bottom w:val="single" w:color="000000" w:sz="4" w:space="0"/>
            </w:tcBorders>
          </w:tcPr>
          <w:p w:rsidR="00C31389" w:rsidRDefault="00561FBD" w14:paraId="40867BDC" w14:textId="77777777">
            <w:pPr>
              <w:pStyle w:val="TableParagraph"/>
              <w:ind w:left="356" w:right="311"/>
              <w:jc w:val="center"/>
              <w:rPr>
                <w:sz w:val="20"/>
              </w:rPr>
            </w:pPr>
            <w:r>
              <w:rPr>
                <w:spacing w:val="-4"/>
                <w:sz w:val="20"/>
              </w:rPr>
              <w:t>0.00</w:t>
            </w:r>
          </w:p>
        </w:tc>
        <w:tc>
          <w:tcPr>
            <w:tcW w:w="2008" w:type="dxa"/>
            <w:tcBorders>
              <w:top w:val="single" w:color="D9D9D9" w:sz="2" w:space="0"/>
              <w:bottom w:val="single" w:color="000000" w:sz="4" w:space="0"/>
            </w:tcBorders>
          </w:tcPr>
          <w:p w:rsidR="00C31389" w:rsidRDefault="00561FBD" w14:paraId="024A832A" w14:textId="77777777">
            <w:pPr>
              <w:pStyle w:val="TableParagraph"/>
              <w:ind w:left="708"/>
              <w:rPr>
                <w:sz w:val="20"/>
              </w:rPr>
            </w:pPr>
            <w:r>
              <w:rPr>
                <w:spacing w:val="-2"/>
                <w:sz w:val="20"/>
              </w:rPr>
              <w:t>$0.00</w:t>
            </w:r>
          </w:p>
        </w:tc>
      </w:tr>
      <w:tr w:rsidR="00C31389" w14:paraId="7920CE38" w14:textId="77777777">
        <w:trPr>
          <w:trHeight w:val="310"/>
        </w:trPr>
        <w:tc>
          <w:tcPr>
            <w:tcW w:w="1196" w:type="dxa"/>
            <w:tcBorders>
              <w:top w:val="single" w:color="000000" w:sz="4" w:space="0"/>
            </w:tcBorders>
          </w:tcPr>
          <w:p w:rsidR="00C31389" w:rsidRDefault="00C31389" w14:paraId="4CADD97B" w14:textId="77777777">
            <w:pPr>
              <w:pStyle w:val="TableParagraph"/>
              <w:spacing w:before="0"/>
              <w:rPr>
                <w:rFonts w:ascii="Times New Roman"/>
                <w:sz w:val="20"/>
              </w:rPr>
            </w:pPr>
          </w:p>
        </w:tc>
        <w:tc>
          <w:tcPr>
            <w:tcW w:w="1780" w:type="dxa"/>
            <w:tcBorders>
              <w:top w:val="single" w:color="000000" w:sz="4" w:space="0"/>
              <w:bottom w:val="single" w:color="D9D9D9" w:sz="2" w:space="0"/>
            </w:tcBorders>
          </w:tcPr>
          <w:p w:rsidR="00C31389" w:rsidRDefault="00561FBD" w14:paraId="447D34E6" w14:textId="77777777">
            <w:pPr>
              <w:pStyle w:val="TableParagraph"/>
              <w:spacing w:before="41"/>
              <w:ind w:left="115"/>
              <w:rPr>
                <w:sz w:val="20"/>
              </w:rPr>
            </w:pPr>
            <w:r>
              <w:rPr>
                <w:spacing w:val="-2"/>
                <w:sz w:val="20"/>
              </w:rPr>
              <w:t>Residential</w:t>
            </w:r>
          </w:p>
        </w:tc>
        <w:tc>
          <w:tcPr>
            <w:tcW w:w="2064" w:type="dxa"/>
            <w:tcBorders>
              <w:top w:val="single" w:color="000000" w:sz="4" w:space="0"/>
              <w:bottom w:val="single" w:color="D9D9D9" w:sz="2" w:space="0"/>
            </w:tcBorders>
          </w:tcPr>
          <w:p w:rsidR="00C31389" w:rsidRDefault="00561FBD" w14:paraId="12634701" w14:textId="77777777">
            <w:pPr>
              <w:pStyle w:val="TableParagraph"/>
              <w:spacing w:before="41"/>
              <w:ind w:left="586" w:right="353"/>
              <w:jc w:val="center"/>
              <w:rPr>
                <w:sz w:val="20"/>
              </w:rPr>
            </w:pPr>
            <w:r>
              <w:rPr>
                <w:sz w:val="20"/>
              </w:rPr>
              <w:t>-</w:t>
            </w:r>
            <w:r>
              <w:rPr>
                <w:spacing w:val="-4"/>
                <w:sz w:val="20"/>
              </w:rPr>
              <w:t>1.46</w:t>
            </w:r>
          </w:p>
        </w:tc>
        <w:tc>
          <w:tcPr>
            <w:tcW w:w="2325" w:type="dxa"/>
            <w:tcBorders>
              <w:top w:val="single" w:color="000000" w:sz="4" w:space="0"/>
              <w:bottom w:val="single" w:color="D9D9D9" w:sz="2" w:space="0"/>
            </w:tcBorders>
          </w:tcPr>
          <w:p w:rsidR="00C31389" w:rsidRDefault="00561FBD" w14:paraId="05A7B6FA" w14:textId="77777777">
            <w:pPr>
              <w:pStyle w:val="TableParagraph"/>
              <w:spacing w:before="41"/>
              <w:ind w:left="356" w:right="312"/>
              <w:jc w:val="center"/>
              <w:rPr>
                <w:sz w:val="20"/>
              </w:rPr>
            </w:pPr>
            <w:r>
              <w:rPr>
                <w:spacing w:val="-4"/>
                <w:sz w:val="20"/>
              </w:rPr>
              <w:t>0.38</w:t>
            </w:r>
          </w:p>
        </w:tc>
        <w:tc>
          <w:tcPr>
            <w:tcW w:w="2008" w:type="dxa"/>
            <w:tcBorders>
              <w:top w:val="single" w:color="000000" w:sz="4" w:space="0"/>
              <w:bottom w:val="single" w:color="D9D9D9" w:sz="2" w:space="0"/>
            </w:tcBorders>
          </w:tcPr>
          <w:p w:rsidR="00C31389" w:rsidRDefault="00561FBD" w14:paraId="0E233E7C" w14:textId="77777777">
            <w:pPr>
              <w:pStyle w:val="TableParagraph"/>
              <w:spacing w:before="41"/>
              <w:ind w:left="708"/>
              <w:rPr>
                <w:sz w:val="20"/>
              </w:rPr>
            </w:pPr>
            <w:r>
              <w:rPr>
                <w:spacing w:val="-2"/>
                <w:sz w:val="20"/>
              </w:rPr>
              <w:t>$3.21</w:t>
            </w:r>
          </w:p>
        </w:tc>
      </w:tr>
      <w:tr w:rsidR="00C31389" w14:paraId="5FAD11A7" w14:textId="77777777">
        <w:trPr>
          <w:trHeight w:val="309"/>
        </w:trPr>
        <w:tc>
          <w:tcPr>
            <w:tcW w:w="1196" w:type="dxa"/>
            <w:vMerge w:val="restart"/>
          </w:tcPr>
          <w:p w:rsidR="00C31389" w:rsidRDefault="00561FBD" w14:paraId="7A943CDE" w14:textId="77777777">
            <w:pPr>
              <w:pStyle w:val="TableParagraph"/>
              <w:spacing w:before="197"/>
              <w:ind w:left="129"/>
              <w:rPr>
                <w:b/>
                <w:sz w:val="20"/>
              </w:rPr>
            </w:pPr>
            <w:r>
              <w:rPr>
                <w:b/>
                <w:spacing w:val="-5"/>
                <w:sz w:val="20"/>
              </w:rPr>
              <w:t>SCE</w:t>
            </w:r>
          </w:p>
        </w:tc>
        <w:tc>
          <w:tcPr>
            <w:tcW w:w="1780" w:type="dxa"/>
            <w:tcBorders>
              <w:top w:val="single" w:color="D9D9D9" w:sz="2" w:space="0"/>
              <w:bottom w:val="single" w:color="D9D9D9" w:sz="2" w:space="0"/>
            </w:tcBorders>
          </w:tcPr>
          <w:p w:rsidR="00C31389" w:rsidRDefault="00561FBD" w14:paraId="23EFFAAD" w14:textId="77777777">
            <w:pPr>
              <w:pStyle w:val="TableParagraph"/>
              <w:ind w:left="115"/>
              <w:rPr>
                <w:sz w:val="20"/>
              </w:rPr>
            </w:pPr>
            <w:r>
              <w:rPr>
                <w:spacing w:val="-2"/>
                <w:sz w:val="20"/>
              </w:rPr>
              <w:t>Commercial</w:t>
            </w:r>
          </w:p>
        </w:tc>
        <w:tc>
          <w:tcPr>
            <w:tcW w:w="2064" w:type="dxa"/>
            <w:tcBorders>
              <w:top w:val="single" w:color="D9D9D9" w:sz="2" w:space="0"/>
              <w:bottom w:val="single" w:color="D9D9D9" w:sz="2" w:space="0"/>
            </w:tcBorders>
          </w:tcPr>
          <w:p w:rsidR="00C31389" w:rsidRDefault="00561FBD" w14:paraId="48707339" w14:textId="77777777">
            <w:pPr>
              <w:pStyle w:val="TableParagraph"/>
              <w:ind w:left="586" w:right="352"/>
              <w:jc w:val="center"/>
              <w:rPr>
                <w:sz w:val="20"/>
              </w:rPr>
            </w:pPr>
            <w:r>
              <w:rPr>
                <w:sz w:val="20"/>
              </w:rPr>
              <w:t>-</w:t>
            </w:r>
            <w:r>
              <w:rPr>
                <w:spacing w:val="-4"/>
                <w:sz w:val="20"/>
              </w:rPr>
              <w:t>6.45</w:t>
            </w:r>
          </w:p>
        </w:tc>
        <w:tc>
          <w:tcPr>
            <w:tcW w:w="2325" w:type="dxa"/>
            <w:tcBorders>
              <w:top w:val="single" w:color="D9D9D9" w:sz="2" w:space="0"/>
              <w:bottom w:val="single" w:color="D9D9D9" w:sz="2" w:space="0"/>
            </w:tcBorders>
          </w:tcPr>
          <w:p w:rsidR="00C31389" w:rsidRDefault="00561FBD" w14:paraId="1D012A46" w14:textId="77777777">
            <w:pPr>
              <w:pStyle w:val="TableParagraph"/>
              <w:ind w:left="356" w:right="311"/>
              <w:jc w:val="center"/>
              <w:rPr>
                <w:sz w:val="20"/>
              </w:rPr>
            </w:pPr>
            <w:r>
              <w:rPr>
                <w:spacing w:val="-4"/>
                <w:sz w:val="20"/>
              </w:rPr>
              <w:t>1.88</w:t>
            </w:r>
          </w:p>
        </w:tc>
        <w:tc>
          <w:tcPr>
            <w:tcW w:w="2008" w:type="dxa"/>
            <w:tcBorders>
              <w:top w:val="single" w:color="D9D9D9" w:sz="2" w:space="0"/>
              <w:bottom w:val="single" w:color="D9D9D9" w:sz="2" w:space="0"/>
            </w:tcBorders>
          </w:tcPr>
          <w:p w:rsidR="00C31389" w:rsidRDefault="00561FBD" w14:paraId="50BF8DBB" w14:textId="77777777">
            <w:pPr>
              <w:pStyle w:val="TableParagraph"/>
              <w:ind w:left="653"/>
              <w:rPr>
                <w:sz w:val="20"/>
              </w:rPr>
            </w:pPr>
            <w:r>
              <w:rPr>
                <w:spacing w:val="-2"/>
                <w:sz w:val="20"/>
              </w:rPr>
              <w:t>$12.00</w:t>
            </w:r>
          </w:p>
        </w:tc>
      </w:tr>
      <w:tr w:rsidR="00C31389" w14:paraId="220604FC" w14:textId="77777777">
        <w:trPr>
          <w:trHeight w:val="310"/>
        </w:trPr>
        <w:tc>
          <w:tcPr>
            <w:tcW w:w="1196" w:type="dxa"/>
            <w:vMerge/>
            <w:tcBorders>
              <w:top w:val="nil"/>
            </w:tcBorders>
          </w:tcPr>
          <w:p w:rsidR="00C31389" w:rsidRDefault="00C31389" w14:paraId="0D8B21E4" w14:textId="77777777">
            <w:pPr>
              <w:rPr>
                <w:sz w:val="2"/>
                <w:szCs w:val="2"/>
              </w:rPr>
            </w:pPr>
          </w:p>
        </w:tc>
        <w:tc>
          <w:tcPr>
            <w:tcW w:w="1780" w:type="dxa"/>
            <w:tcBorders>
              <w:top w:val="single" w:color="D9D9D9" w:sz="2" w:space="0"/>
              <w:bottom w:val="single" w:color="D9D9D9" w:sz="2" w:space="0"/>
            </w:tcBorders>
          </w:tcPr>
          <w:p w:rsidR="00C31389" w:rsidRDefault="00561FBD" w14:paraId="2D9FE2B9" w14:textId="77777777">
            <w:pPr>
              <w:pStyle w:val="TableParagraph"/>
              <w:spacing w:before="41"/>
              <w:ind w:left="115"/>
              <w:rPr>
                <w:sz w:val="20"/>
              </w:rPr>
            </w:pPr>
            <w:r>
              <w:rPr>
                <w:spacing w:val="-2"/>
                <w:sz w:val="20"/>
              </w:rPr>
              <w:t>Industrial</w:t>
            </w:r>
          </w:p>
        </w:tc>
        <w:tc>
          <w:tcPr>
            <w:tcW w:w="2064" w:type="dxa"/>
            <w:tcBorders>
              <w:top w:val="single" w:color="D9D9D9" w:sz="2" w:space="0"/>
              <w:bottom w:val="single" w:color="D9D9D9" w:sz="2" w:space="0"/>
            </w:tcBorders>
          </w:tcPr>
          <w:p w:rsidR="00C31389" w:rsidRDefault="00561FBD" w14:paraId="69C9A434" w14:textId="77777777">
            <w:pPr>
              <w:pStyle w:val="TableParagraph"/>
              <w:spacing w:before="41"/>
              <w:ind w:left="586" w:right="352"/>
              <w:jc w:val="center"/>
              <w:rPr>
                <w:sz w:val="20"/>
              </w:rPr>
            </w:pPr>
            <w:r>
              <w:rPr>
                <w:sz w:val="20"/>
              </w:rPr>
              <w:t>-</w:t>
            </w:r>
            <w:r>
              <w:rPr>
                <w:spacing w:val="-4"/>
                <w:sz w:val="20"/>
              </w:rPr>
              <w:t>0.63</w:t>
            </w:r>
          </w:p>
        </w:tc>
        <w:tc>
          <w:tcPr>
            <w:tcW w:w="2325" w:type="dxa"/>
            <w:tcBorders>
              <w:top w:val="single" w:color="D9D9D9" w:sz="2" w:space="0"/>
              <w:bottom w:val="single" w:color="D9D9D9" w:sz="2" w:space="0"/>
            </w:tcBorders>
          </w:tcPr>
          <w:p w:rsidR="00C31389" w:rsidRDefault="00561FBD" w14:paraId="77AD464A" w14:textId="77777777">
            <w:pPr>
              <w:pStyle w:val="TableParagraph"/>
              <w:spacing w:before="41"/>
              <w:ind w:left="356" w:right="311"/>
              <w:jc w:val="center"/>
              <w:rPr>
                <w:sz w:val="20"/>
              </w:rPr>
            </w:pPr>
            <w:r>
              <w:rPr>
                <w:spacing w:val="-4"/>
                <w:sz w:val="20"/>
              </w:rPr>
              <w:t>0.17</w:t>
            </w:r>
          </w:p>
        </w:tc>
        <w:tc>
          <w:tcPr>
            <w:tcW w:w="2008" w:type="dxa"/>
            <w:tcBorders>
              <w:top w:val="single" w:color="D9D9D9" w:sz="2" w:space="0"/>
              <w:bottom w:val="single" w:color="D9D9D9" w:sz="2" w:space="0"/>
            </w:tcBorders>
          </w:tcPr>
          <w:p w:rsidR="00C31389" w:rsidRDefault="00561FBD" w14:paraId="4D6E7832" w14:textId="77777777">
            <w:pPr>
              <w:pStyle w:val="TableParagraph"/>
              <w:spacing w:before="41"/>
              <w:ind w:left="708"/>
              <w:rPr>
                <w:sz w:val="20"/>
              </w:rPr>
            </w:pPr>
            <w:r>
              <w:rPr>
                <w:spacing w:val="-2"/>
                <w:sz w:val="20"/>
              </w:rPr>
              <w:t>$1.12</w:t>
            </w:r>
          </w:p>
        </w:tc>
      </w:tr>
      <w:tr w:rsidR="00C31389" w14:paraId="6C9F7397" w14:textId="77777777">
        <w:trPr>
          <w:trHeight w:val="310"/>
        </w:trPr>
        <w:tc>
          <w:tcPr>
            <w:tcW w:w="1196" w:type="dxa"/>
            <w:tcBorders>
              <w:bottom w:val="single" w:color="000000" w:sz="8" w:space="0"/>
            </w:tcBorders>
          </w:tcPr>
          <w:p w:rsidR="00C31389" w:rsidRDefault="00C31389" w14:paraId="5BFA03D3" w14:textId="77777777">
            <w:pPr>
              <w:pStyle w:val="TableParagraph"/>
              <w:spacing w:before="0"/>
              <w:rPr>
                <w:rFonts w:ascii="Times New Roman"/>
                <w:sz w:val="20"/>
              </w:rPr>
            </w:pPr>
          </w:p>
        </w:tc>
        <w:tc>
          <w:tcPr>
            <w:tcW w:w="1780" w:type="dxa"/>
            <w:tcBorders>
              <w:top w:val="single" w:color="D9D9D9" w:sz="2" w:space="0"/>
              <w:bottom w:val="single" w:color="000000" w:sz="4" w:space="0"/>
            </w:tcBorders>
          </w:tcPr>
          <w:p w:rsidR="00C31389" w:rsidRDefault="00561FBD" w14:paraId="21718C0C" w14:textId="77777777">
            <w:pPr>
              <w:pStyle w:val="TableParagraph"/>
              <w:ind w:left="115"/>
              <w:rPr>
                <w:sz w:val="20"/>
              </w:rPr>
            </w:pPr>
            <w:r>
              <w:rPr>
                <w:spacing w:val="-2"/>
                <w:sz w:val="20"/>
              </w:rPr>
              <w:t>Agriculture</w:t>
            </w:r>
          </w:p>
        </w:tc>
        <w:tc>
          <w:tcPr>
            <w:tcW w:w="2064" w:type="dxa"/>
            <w:tcBorders>
              <w:top w:val="single" w:color="D9D9D9" w:sz="2" w:space="0"/>
              <w:bottom w:val="single" w:color="000000" w:sz="4" w:space="0"/>
            </w:tcBorders>
          </w:tcPr>
          <w:p w:rsidR="00C31389" w:rsidRDefault="00561FBD" w14:paraId="1C166C66" w14:textId="77777777">
            <w:pPr>
              <w:pStyle w:val="TableParagraph"/>
              <w:ind w:left="586" w:right="352"/>
              <w:jc w:val="center"/>
              <w:rPr>
                <w:sz w:val="20"/>
              </w:rPr>
            </w:pPr>
            <w:r>
              <w:rPr>
                <w:spacing w:val="-4"/>
                <w:sz w:val="20"/>
              </w:rPr>
              <w:t>0.00</w:t>
            </w:r>
          </w:p>
        </w:tc>
        <w:tc>
          <w:tcPr>
            <w:tcW w:w="2325" w:type="dxa"/>
            <w:tcBorders>
              <w:top w:val="single" w:color="D9D9D9" w:sz="2" w:space="0"/>
              <w:bottom w:val="single" w:color="000000" w:sz="4" w:space="0"/>
            </w:tcBorders>
          </w:tcPr>
          <w:p w:rsidR="00C31389" w:rsidRDefault="00561FBD" w14:paraId="234935D6" w14:textId="77777777">
            <w:pPr>
              <w:pStyle w:val="TableParagraph"/>
              <w:ind w:left="356" w:right="311"/>
              <w:jc w:val="center"/>
              <w:rPr>
                <w:sz w:val="20"/>
              </w:rPr>
            </w:pPr>
            <w:r>
              <w:rPr>
                <w:spacing w:val="-4"/>
                <w:sz w:val="20"/>
              </w:rPr>
              <w:t>0.00</w:t>
            </w:r>
          </w:p>
        </w:tc>
        <w:tc>
          <w:tcPr>
            <w:tcW w:w="2008" w:type="dxa"/>
            <w:tcBorders>
              <w:top w:val="single" w:color="D9D9D9" w:sz="2" w:space="0"/>
              <w:bottom w:val="single" w:color="000000" w:sz="4" w:space="0"/>
            </w:tcBorders>
          </w:tcPr>
          <w:p w:rsidR="00C31389" w:rsidRDefault="00561FBD" w14:paraId="4AA30FBC" w14:textId="77777777">
            <w:pPr>
              <w:pStyle w:val="TableParagraph"/>
              <w:ind w:left="708"/>
              <w:rPr>
                <w:sz w:val="20"/>
              </w:rPr>
            </w:pPr>
            <w:r>
              <w:rPr>
                <w:spacing w:val="-2"/>
                <w:sz w:val="20"/>
              </w:rPr>
              <w:t>$0.00</w:t>
            </w:r>
          </w:p>
        </w:tc>
      </w:tr>
    </w:tbl>
    <w:p w:rsidR="00C31389" w:rsidRDefault="00561FBD" w14:paraId="3C224EF5" w14:textId="77777777">
      <w:pPr>
        <w:pStyle w:val="BodyText"/>
        <w:spacing w:before="4"/>
        <w:rPr>
          <w:b/>
          <w:sz w:val="18"/>
        </w:rPr>
      </w:pPr>
      <w:r>
        <w:rPr>
          <w:noProof/>
        </w:rPr>
        <mc:AlternateContent>
          <mc:Choice Requires="wps">
            <w:drawing>
              <wp:anchor distT="0" distB="0" distL="0" distR="0" simplePos="0" relativeHeight="487623168" behindDoc="1" locked="0" layoutInCell="1" allowOverlap="1" wp14:editId="41D9BCA0" wp14:anchorId="6D431717">
                <wp:simplePos x="0" y="0"/>
                <wp:positionH relativeFrom="page">
                  <wp:posOffset>914400</wp:posOffset>
                </wp:positionH>
                <wp:positionV relativeFrom="paragraph">
                  <wp:posOffset>149599</wp:posOffset>
                </wp:positionV>
                <wp:extent cx="1828800" cy="6985"/>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98" style="position:absolute;margin-left:1in;margin-top:11.8pt;width:2in;height:.55pt;z-index:-1569331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" w14:anchorId="46863F54">
                <v:path arrowok="t"/>
                <w10:wrap type="topAndBottom" anchorx="page"/>
              </v:shape>
            </w:pict>
          </mc:Fallback>
        </mc:AlternateContent>
      </w:r>
    </w:p>
    <w:p w:rsidR="00C31389" w:rsidRDefault="00561FBD" w14:paraId="0B3BE473" w14:textId="77777777">
      <w:pPr>
        <w:spacing w:before="88"/>
        <w:ind w:left="479" w:right="533"/>
        <w:rPr>
          <w:sz w:val="18"/>
        </w:rPr>
      </w:pPr>
      <w:bookmarkStart w:name="_bookmark110" w:id="146"/>
      <w:bookmarkEnd w:id="146"/>
      <w:r>
        <w:rPr>
          <w:position w:val="6"/>
          <w:sz w:val="12"/>
        </w:rPr>
        <w:t>31</w:t>
      </w:r>
      <w:r>
        <w:rPr>
          <w:spacing w:val="15"/>
          <w:position w:val="6"/>
          <w:sz w:val="12"/>
        </w:rPr>
        <w:t xml:space="preserve"> </w:t>
      </w:r>
      <w:r>
        <w:rPr>
          <w:sz w:val="18"/>
        </w:rPr>
        <w:t>There</w:t>
      </w:r>
      <w:r>
        <w:rPr>
          <w:spacing w:val="-3"/>
          <w:sz w:val="18"/>
        </w:rPr>
        <w:t xml:space="preserve"> </w:t>
      </w:r>
      <w:r>
        <w:rPr>
          <w:sz w:val="18"/>
        </w:rPr>
        <w:t>are</w:t>
      </w:r>
      <w:r>
        <w:rPr>
          <w:spacing w:val="-3"/>
          <w:sz w:val="18"/>
        </w:rPr>
        <w:t xml:space="preserve"> </w:t>
      </w:r>
      <w:r>
        <w:rPr>
          <w:sz w:val="18"/>
        </w:rPr>
        <w:t>two</w:t>
      </w:r>
      <w:r>
        <w:rPr>
          <w:spacing w:val="-1"/>
          <w:sz w:val="18"/>
        </w:rPr>
        <w:t xml:space="preserve"> </w:t>
      </w:r>
      <w:r>
        <w:rPr>
          <w:sz w:val="18"/>
        </w:rPr>
        <w:t>types</w:t>
      </w:r>
      <w:r>
        <w:rPr>
          <w:spacing w:val="-2"/>
          <w:sz w:val="18"/>
        </w:rPr>
        <w:t xml:space="preserve"> </w:t>
      </w:r>
      <w:r>
        <w:rPr>
          <w:sz w:val="18"/>
        </w:rPr>
        <w:t>of</w:t>
      </w:r>
      <w:r>
        <w:rPr>
          <w:spacing w:val="-2"/>
          <w:sz w:val="18"/>
        </w:rPr>
        <w:t xml:space="preserve"> </w:t>
      </w:r>
      <w:r>
        <w:rPr>
          <w:sz w:val="18"/>
        </w:rPr>
        <w:t>on</w:t>
      </w:r>
      <w:r>
        <w:rPr>
          <w:spacing w:val="-3"/>
          <w:sz w:val="18"/>
        </w:rPr>
        <w:t xml:space="preserve"> </w:t>
      </w:r>
      <w:r>
        <w:rPr>
          <w:sz w:val="18"/>
        </w:rPr>
        <w:t>bill</w:t>
      </w:r>
      <w:r>
        <w:rPr>
          <w:spacing w:val="-1"/>
          <w:sz w:val="18"/>
        </w:rPr>
        <w:t xml:space="preserve"> </w:t>
      </w:r>
      <w:r>
        <w:rPr>
          <w:sz w:val="18"/>
        </w:rPr>
        <w:t>financing</w:t>
      </w:r>
      <w:r>
        <w:rPr>
          <w:spacing w:val="-3"/>
          <w:sz w:val="18"/>
        </w:rPr>
        <w:t xml:space="preserve"> </w:t>
      </w:r>
      <w:r>
        <w:rPr>
          <w:sz w:val="18"/>
        </w:rPr>
        <w:t>(OBF)</w:t>
      </w:r>
      <w:r>
        <w:rPr>
          <w:spacing w:val="-2"/>
          <w:sz w:val="18"/>
        </w:rPr>
        <w:t xml:space="preserve"> </w:t>
      </w:r>
      <w:r>
        <w:rPr>
          <w:sz w:val="18"/>
        </w:rPr>
        <w:t>programs</w:t>
      </w:r>
      <w:r>
        <w:rPr>
          <w:spacing w:val="-2"/>
          <w:sz w:val="18"/>
        </w:rPr>
        <w:t xml:space="preserve"> </w:t>
      </w:r>
      <w:r>
        <w:rPr>
          <w:sz w:val="18"/>
        </w:rPr>
        <w:t>administered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CA</w:t>
      </w:r>
      <w:r>
        <w:rPr>
          <w:spacing w:val="-2"/>
          <w:sz w:val="18"/>
        </w:rPr>
        <w:t xml:space="preserve"> </w:t>
      </w:r>
      <w:r>
        <w:rPr>
          <w:sz w:val="18"/>
        </w:rPr>
        <w:t>IOUs.</w:t>
      </w:r>
      <w:r>
        <w:rPr>
          <w:spacing w:val="-2"/>
          <w:sz w:val="18"/>
        </w:rPr>
        <w:t xml:space="preserve"> </w:t>
      </w:r>
      <w:r>
        <w:rPr>
          <w:sz w:val="18"/>
        </w:rPr>
        <w:t>For</w:t>
      </w:r>
      <w:r>
        <w:rPr>
          <w:spacing w:val="-2"/>
          <w:sz w:val="18"/>
        </w:rPr>
        <w:t xml:space="preserve"> </w:t>
      </w:r>
      <w:r>
        <w:rPr>
          <w:sz w:val="18"/>
        </w:rPr>
        <w:t>several</w:t>
      </w:r>
      <w:r>
        <w:rPr>
          <w:spacing w:val="-2"/>
          <w:sz w:val="18"/>
        </w:rPr>
        <w:t xml:space="preserve"> </w:t>
      </w:r>
      <w:r>
        <w:rPr>
          <w:sz w:val="18"/>
        </w:rPr>
        <w:t>years,</w:t>
      </w:r>
      <w:r>
        <w:rPr>
          <w:spacing w:val="-2"/>
          <w:sz w:val="18"/>
        </w:rPr>
        <w:t xml:space="preserve"> </w:t>
      </w:r>
      <w:r>
        <w:rPr>
          <w:sz w:val="18"/>
        </w:rPr>
        <w:t>the</w:t>
      </w:r>
      <w:r>
        <w:rPr>
          <w:spacing w:val="-3"/>
          <w:sz w:val="18"/>
        </w:rPr>
        <w:t xml:space="preserve"> </w:t>
      </w:r>
      <w:r>
        <w:rPr>
          <w:sz w:val="18"/>
        </w:rPr>
        <w:t>IOUs have offered the OBF plus rebate pathway as this program requires participants to receive a rebate through another IOU program to qualify for OBF. The program savings</w:t>
      </w:r>
      <w:r>
        <w:rPr>
          <w:sz w:val="18"/>
        </w:rPr>
        <w:t xml:space="preserve"> are claimed through the incentive programs. The other OBF program is known as AP or Alternative Pathway. PG&amp;E started this as a pilot program in 2018. No claims have been made for both costs and savings, yet.</w:t>
      </w:r>
    </w:p>
    <w:p w:rsidR="00C31389" w:rsidRDefault="00C31389" w14:paraId="13B7C248" w14:textId="77777777">
      <w:pPr>
        <w:rPr>
          <w:sz w:val="18"/>
        </w:rPr>
        <w:sectPr w:rsidR="00C31389">
          <w:pgSz w:w="12240" w:h="15840"/>
          <w:pgMar w:top="1380" w:right="960" w:bottom="1120" w:left="960" w:header="397" w:footer="936" w:gutter="0"/>
          <w:cols w:space="720"/>
        </w:sectPr>
      </w:pPr>
    </w:p>
    <w:p w:rsidR="00C31389" w:rsidRDefault="00C31389" w14:paraId="0BA507F8" w14:textId="77777777">
      <w:pPr>
        <w:pStyle w:val="BodyText"/>
      </w:pPr>
    </w:p>
    <w:tbl>
      <w:tblPr>
        <w:tblW w:w="0" w:type="auto"/>
        <w:tblInd w:w="473" w:type="dxa"/>
        <w:tblLayout w:type="fixed"/>
        <w:tblCellMar>
          <w:left w:w="0" w:type="dxa"/>
          <w:right w:w="0" w:type="dxa"/>
        </w:tblCellMar>
        <w:tblLook w:val="01E0" w:firstRow="1" w:lastRow="1" w:firstColumn="1" w:lastColumn="1" w:noHBand="0" w:noVBand="0"/>
      </w:tblPr>
      <w:tblGrid>
        <w:gridCol w:w="1196"/>
        <w:gridCol w:w="1780"/>
        <w:gridCol w:w="2064"/>
        <w:gridCol w:w="2325"/>
        <w:gridCol w:w="2008"/>
      </w:tblGrid>
      <w:tr w:rsidR="00C31389" w14:paraId="66FB589B" w14:textId="77777777">
        <w:trPr>
          <w:trHeight w:val="252"/>
        </w:trPr>
        <w:tc>
          <w:tcPr>
            <w:tcW w:w="1196" w:type="dxa"/>
            <w:tcBorders>
              <w:top w:val="single" w:color="8B8B8B" w:sz="8" w:space="0"/>
            </w:tcBorders>
          </w:tcPr>
          <w:p w:rsidR="00C31389" w:rsidRDefault="00C31389" w14:paraId="552F7754" w14:textId="77777777">
            <w:pPr>
              <w:pStyle w:val="TableParagraph"/>
              <w:spacing w:before="0"/>
              <w:rPr>
                <w:rFonts w:ascii="Times New Roman"/>
                <w:sz w:val="18"/>
              </w:rPr>
            </w:pPr>
          </w:p>
        </w:tc>
        <w:tc>
          <w:tcPr>
            <w:tcW w:w="1780" w:type="dxa"/>
            <w:tcBorders>
              <w:top w:val="single" w:color="8B8B8B" w:sz="8" w:space="0"/>
            </w:tcBorders>
          </w:tcPr>
          <w:p w:rsidR="00C31389" w:rsidRDefault="00C31389" w14:paraId="1901C13D" w14:textId="77777777">
            <w:pPr>
              <w:pStyle w:val="TableParagraph"/>
              <w:spacing w:before="0"/>
              <w:rPr>
                <w:rFonts w:ascii="Times New Roman"/>
                <w:sz w:val="18"/>
              </w:rPr>
            </w:pPr>
          </w:p>
        </w:tc>
        <w:tc>
          <w:tcPr>
            <w:tcW w:w="2064" w:type="dxa"/>
            <w:tcBorders>
              <w:top w:val="single" w:color="8B8B8B" w:sz="8" w:space="0"/>
            </w:tcBorders>
          </w:tcPr>
          <w:p w:rsidR="00C31389" w:rsidRDefault="00C31389" w14:paraId="735EEDF7" w14:textId="77777777">
            <w:pPr>
              <w:pStyle w:val="TableParagraph"/>
              <w:spacing w:before="0"/>
              <w:rPr>
                <w:rFonts w:ascii="Times New Roman"/>
                <w:sz w:val="18"/>
              </w:rPr>
            </w:pPr>
          </w:p>
        </w:tc>
        <w:tc>
          <w:tcPr>
            <w:tcW w:w="2325" w:type="dxa"/>
            <w:tcBorders>
              <w:top w:val="single" w:color="8B8B8B" w:sz="8" w:space="0"/>
            </w:tcBorders>
          </w:tcPr>
          <w:p w:rsidR="00C31389" w:rsidRDefault="00C31389" w14:paraId="1BDC0E66" w14:textId="77777777">
            <w:pPr>
              <w:pStyle w:val="TableParagraph"/>
              <w:spacing w:before="0"/>
              <w:rPr>
                <w:rFonts w:ascii="Times New Roman"/>
                <w:sz w:val="18"/>
              </w:rPr>
            </w:pPr>
          </w:p>
        </w:tc>
        <w:tc>
          <w:tcPr>
            <w:tcW w:w="2008" w:type="dxa"/>
            <w:tcBorders>
              <w:top w:val="single" w:color="8B8B8B" w:sz="8" w:space="0"/>
            </w:tcBorders>
          </w:tcPr>
          <w:p w:rsidR="00C31389" w:rsidRDefault="00C31389" w14:paraId="642127A9" w14:textId="77777777">
            <w:pPr>
              <w:pStyle w:val="TableParagraph"/>
              <w:spacing w:before="0"/>
              <w:rPr>
                <w:rFonts w:ascii="Times New Roman"/>
                <w:sz w:val="18"/>
              </w:rPr>
            </w:pPr>
          </w:p>
        </w:tc>
      </w:tr>
      <w:tr w:rsidR="00C31389" w14:paraId="00A326E2" w14:textId="77777777">
        <w:trPr>
          <w:trHeight w:val="539"/>
        </w:trPr>
        <w:tc>
          <w:tcPr>
            <w:tcW w:w="1196" w:type="dxa"/>
            <w:tcBorders>
              <w:bottom w:val="single" w:color="000000" w:sz="4" w:space="0"/>
            </w:tcBorders>
            <w:shd w:val="clear" w:color="auto" w:fill="92D400"/>
          </w:tcPr>
          <w:p w:rsidR="00C31389" w:rsidRDefault="00561FBD" w14:paraId="538326D2" w14:textId="77777777">
            <w:pPr>
              <w:pStyle w:val="TableParagraph"/>
              <w:spacing w:before="155"/>
              <w:ind w:left="129"/>
              <w:rPr>
                <w:b/>
                <w:sz w:val="20"/>
              </w:rPr>
            </w:pPr>
            <w:r>
              <w:rPr>
                <w:b/>
                <w:spacing w:val="-5"/>
                <w:sz w:val="20"/>
              </w:rPr>
              <w:t>IOU</w:t>
            </w:r>
          </w:p>
        </w:tc>
        <w:tc>
          <w:tcPr>
            <w:tcW w:w="1780" w:type="dxa"/>
            <w:tcBorders>
              <w:bottom w:val="single" w:color="000000" w:sz="4" w:space="0"/>
            </w:tcBorders>
            <w:shd w:val="clear" w:color="auto" w:fill="92D400"/>
          </w:tcPr>
          <w:p w:rsidR="00C31389" w:rsidRDefault="00561FBD" w14:paraId="6975316F" w14:textId="77777777">
            <w:pPr>
              <w:pStyle w:val="TableParagraph"/>
              <w:spacing w:before="155"/>
              <w:ind w:left="115"/>
              <w:rPr>
                <w:b/>
                <w:sz w:val="20"/>
              </w:rPr>
            </w:pPr>
            <w:r>
              <w:rPr>
                <w:b/>
                <w:spacing w:val="-2"/>
                <w:sz w:val="20"/>
              </w:rPr>
              <w:t>Sector</w:t>
            </w:r>
          </w:p>
        </w:tc>
        <w:tc>
          <w:tcPr>
            <w:tcW w:w="2064" w:type="dxa"/>
            <w:tcBorders>
              <w:bottom w:val="single" w:color="000000" w:sz="4" w:space="0"/>
            </w:tcBorders>
            <w:shd w:val="clear" w:color="auto" w:fill="92D400"/>
          </w:tcPr>
          <w:p w:rsidR="00C31389" w:rsidRDefault="00561FBD" w14:paraId="4FF665C9" w14:textId="77777777">
            <w:pPr>
              <w:pStyle w:val="TableParagraph"/>
              <w:spacing w:before="155"/>
              <w:ind w:left="586" w:right="354"/>
              <w:jc w:val="center"/>
              <w:rPr>
                <w:b/>
                <w:sz w:val="20"/>
              </w:rPr>
            </w:pPr>
            <w:r>
              <w:rPr>
                <w:b/>
                <w:sz w:val="20"/>
              </w:rPr>
              <w:t>Gross</w:t>
            </w:r>
            <w:r>
              <w:rPr>
                <w:b/>
                <w:spacing w:val="-2"/>
                <w:sz w:val="20"/>
              </w:rPr>
              <w:t xml:space="preserve"> </w:t>
            </w:r>
            <w:r>
              <w:rPr>
                <w:b/>
                <w:spacing w:val="-5"/>
                <w:sz w:val="20"/>
              </w:rPr>
              <w:t>GWh</w:t>
            </w:r>
          </w:p>
        </w:tc>
        <w:tc>
          <w:tcPr>
            <w:tcW w:w="2325" w:type="dxa"/>
            <w:tcBorders>
              <w:bottom w:val="single" w:color="000000" w:sz="4" w:space="0"/>
            </w:tcBorders>
            <w:shd w:val="clear" w:color="auto" w:fill="92D400"/>
          </w:tcPr>
          <w:p w:rsidR="00C31389" w:rsidRDefault="00561FBD" w14:paraId="3AABB087" w14:textId="77777777">
            <w:pPr>
              <w:pStyle w:val="TableParagraph"/>
              <w:spacing w:before="155"/>
              <w:ind w:left="356" w:right="313"/>
              <w:jc w:val="center"/>
              <w:rPr>
                <w:b/>
                <w:sz w:val="20"/>
              </w:rPr>
            </w:pPr>
            <w:r>
              <w:rPr>
                <w:b/>
                <w:sz w:val="20"/>
              </w:rPr>
              <w:t>Gross</w:t>
            </w:r>
            <w:r>
              <w:rPr>
                <w:b/>
                <w:spacing w:val="-2"/>
                <w:sz w:val="20"/>
              </w:rPr>
              <w:t xml:space="preserve"> MMtherms</w:t>
            </w:r>
          </w:p>
        </w:tc>
        <w:tc>
          <w:tcPr>
            <w:tcW w:w="2008" w:type="dxa"/>
            <w:tcBorders>
              <w:bottom w:val="single" w:color="000000" w:sz="4" w:space="0"/>
            </w:tcBorders>
            <w:shd w:val="clear" w:color="auto" w:fill="92D400"/>
          </w:tcPr>
          <w:p w:rsidR="00C31389" w:rsidRDefault="00561FBD" w14:paraId="67A00315" w14:textId="77777777">
            <w:pPr>
              <w:pStyle w:val="TableParagraph"/>
              <w:ind w:left="437" w:right="282" w:hanging="112"/>
              <w:rPr>
                <w:b/>
                <w:sz w:val="20"/>
              </w:rPr>
            </w:pPr>
            <w:r>
              <w:rPr>
                <w:b/>
                <w:spacing w:val="-2"/>
                <w:sz w:val="20"/>
              </w:rPr>
              <w:t xml:space="preserve">Expenditures </w:t>
            </w:r>
            <w:r>
              <w:rPr>
                <w:b/>
                <w:sz w:val="20"/>
              </w:rPr>
              <w:t>($ Millions)</w:t>
            </w:r>
          </w:p>
        </w:tc>
      </w:tr>
      <w:tr w:rsidR="00C31389" w14:paraId="0F5AC2FC" w14:textId="77777777">
        <w:trPr>
          <w:trHeight w:val="310"/>
        </w:trPr>
        <w:tc>
          <w:tcPr>
            <w:tcW w:w="1196" w:type="dxa"/>
            <w:tcBorders>
              <w:top w:val="single" w:color="000000" w:sz="4" w:space="0"/>
            </w:tcBorders>
          </w:tcPr>
          <w:p w:rsidR="00C31389" w:rsidRDefault="00C31389" w14:paraId="0E174EF2" w14:textId="77777777">
            <w:pPr>
              <w:pStyle w:val="TableParagraph"/>
              <w:spacing w:before="0"/>
              <w:rPr>
                <w:rFonts w:ascii="Times New Roman"/>
                <w:sz w:val="20"/>
              </w:rPr>
            </w:pPr>
          </w:p>
        </w:tc>
        <w:tc>
          <w:tcPr>
            <w:tcW w:w="1780" w:type="dxa"/>
            <w:tcBorders>
              <w:top w:val="single" w:color="000000" w:sz="4" w:space="0"/>
              <w:bottom w:val="single" w:color="D9D9D9" w:sz="2" w:space="0"/>
            </w:tcBorders>
          </w:tcPr>
          <w:p w:rsidR="00C31389" w:rsidRDefault="00561FBD" w14:paraId="2F3C5F26" w14:textId="77777777">
            <w:pPr>
              <w:pStyle w:val="TableParagraph"/>
              <w:ind w:left="115"/>
              <w:rPr>
                <w:sz w:val="20"/>
              </w:rPr>
            </w:pPr>
            <w:r>
              <w:rPr>
                <w:spacing w:val="-2"/>
                <w:sz w:val="20"/>
              </w:rPr>
              <w:t>Residential</w:t>
            </w:r>
          </w:p>
        </w:tc>
        <w:tc>
          <w:tcPr>
            <w:tcW w:w="2064" w:type="dxa"/>
            <w:tcBorders>
              <w:top w:val="single" w:color="000000" w:sz="4" w:space="0"/>
              <w:bottom w:val="single" w:color="D9D9D9" w:sz="2" w:space="0"/>
            </w:tcBorders>
          </w:tcPr>
          <w:p w:rsidR="00C31389" w:rsidRDefault="00561FBD" w14:paraId="3A1B13DA" w14:textId="77777777">
            <w:pPr>
              <w:pStyle w:val="TableParagraph"/>
              <w:ind w:left="586" w:right="353"/>
              <w:jc w:val="center"/>
              <w:rPr>
                <w:sz w:val="20"/>
              </w:rPr>
            </w:pPr>
            <w:r>
              <w:rPr>
                <w:sz w:val="20"/>
              </w:rPr>
              <w:t>-</w:t>
            </w:r>
            <w:r>
              <w:rPr>
                <w:spacing w:val="-4"/>
                <w:sz w:val="20"/>
              </w:rPr>
              <w:t>0.15</w:t>
            </w:r>
          </w:p>
        </w:tc>
        <w:tc>
          <w:tcPr>
            <w:tcW w:w="2325" w:type="dxa"/>
            <w:tcBorders>
              <w:top w:val="single" w:color="000000" w:sz="4" w:space="0"/>
              <w:bottom w:val="single" w:color="D9D9D9" w:sz="2" w:space="0"/>
            </w:tcBorders>
          </w:tcPr>
          <w:p w:rsidR="00C31389" w:rsidRDefault="00561FBD" w14:paraId="3BD568A0" w14:textId="77777777">
            <w:pPr>
              <w:pStyle w:val="TableParagraph"/>
              <w:ind w:left="356" w:right="312"/>
              <w:jc w:val="center"/>
              <w:rPr>
                <w:sz w:val="20"/>
              </w:rPr>
            </w:pPr>
            <w:r>
              <w:rPr>
                <w:spacing w:val="-4"/>
                <w:sz w:val="20"/>
              </w:rPr>
              <w:t>0.05</w:t>
            </w:r>
          </w:p>
        </w:tc>
        <w:tc>
          <w:tcPr>
            <w:tcW w:w="2008" w:type="dxa"/>
            <w:tcBorders>
              <w:top w:val="single" w:color="000000" w:sz="4" w:space="0"/>
              <w:bottom w:val="single" w:color="D9D9D9" w:sz="2" w:space="0"/>
            </w:tcBorders>
          </w:tcPr>
          <w:p w:rsidR="00C31389" w:rsidRDefault="00561FBD" w14:paraId="051B9CCB" w14:textId="77777777">
            <w:pPr>
              <w:pStyle w:val="TableParagraph"/>
              <w:ind w:left="708"/>
              <w:rPr>
                <w:sz w:val="20"/>
              </w:rPr>
            </w:pPr>
            <w:r>
              <w:rPr>
                <w:spacing w:val="-2"/>
                <w:sz w:val="20"/>
              </w:rPr>
              <w:t>$0.63</w:t>
            </w:r>
          </w:p>
        </w:tc>
      </w:tr>
      <w:tr w:rsidR="00C31389" w14:paraId="0E819FD3" w14:textId="77777777">
        <w:trPr>
          <w:trHeight w:val="309"/>
        </w:trPr>
        <w:tc>
          <w:tcPr>
            <w:tcW w:w="1196" w:type="dxa"/>
            <w:vMerge w:val="restart"/>
          </w:tcPr>
          <w:p w:rsidR="00C31389" w:rsidRDefault="00561FBD" w14:paraId="27F6E99B" w14:textId="77777777">
            <w:pPr>
              <w:pStyle w:val="TableParagraph"/>
              <w:spacing w:before="197"/>
              <w:ind w:left="129"/>
              <w:rPr>
                <w:b/>
                <w:sz w:val="20"/>
              </w:rPr>
            </w:pPr>
            <w:r>
              <w:rPr>
                <w:b/>
                <w:spacing w:val="-2"/>
                <w:sz w:val="20"/>
              </w:rPr>
              <w:t>SDG&amp;E</w:t>
            </w:r>
          </w:p>
        </w:tc>
        <w:tc>
          <w:tcPr>
            <w:tcW w:w="1780" w:type="dxa"/>
            <w:tcBorders>
              <w:top w:val="single" w:color="D9D9D9" w:sz="2" w:space="0"/>
              <w:bottom w:val="single" w:color="D9D9D9" w:sz="2" w:space="0"/>
            </w:tcBorders>
          </w:tcPr>
          <w:p w:rsidR="00C31389" w:rsidRDefault="00561FBD" w14:paraId="466CB1A8" w14:textId="77777777">
            <w:pPr>
              <w:pStyle w:val="TableParagraph"/>
              <w:ind w:left="115"/>
              <w:rPr>
                <w:sz w:val="20"/>
              </w:rPr>
            </w:pPr>
            <w:r>
              <w:rPr>
                <w:spacing w:val="-2"/>
                <w:sz w:val="20"/>
              </w:rPr>
              <w:t>Commercial</w:t>
            </w:r>
          </w:p>
        </w:tc>
        <w:tc>
          <w:tcPr>
            <w:tcW w:w="2064" w:type="dxa"/>
            <w:tcBorders>
              <w:top w:val="single" w:color="D9D9D9" w:sz="2" w:space="0"/>
              <w:bottom w:val="single" w:color="D9D9D9" w:sz="2" w:space="0"/>
            </w:tcBorders>
          </w:tcPr>
          <w:p w:rsidR="00C31389" w:rsidRDefault="00561FBD" w14:paraId="52E84569" w14:textId="77777777">
            <w:pPr>
              <w:pStyle w:val="TableParagraph"/>
              <w:ind w:left="586" w:right="352"/>
              <w:jc w:val="center"/>
              <w:rPr>
                <w:sz w:val="20"/>
              </w:rPr>
            </w:pPr>
            <w:r>
              <w:rPr>
                <w:sz w:val="20"/>
              </w:rPr>
              <w:t>-</w:t>
            </w:r>
            <w:r>
              <w:rPr>
                <w:spacing w:val="-4"/>
                <w:sz w:val="20"/>
              </w:rPr>
              <w:t>0.03</w:t>
            </w:r>
          </w:p>
        </w:tc>
        <w:tc>
          <w:tcPr>
            <w:tcW w:w="2325" w:type="dxa"/>
            <w:tcBorders>
              <w:top w:val="single" w:color="D9D9D9" w:sz="2" w:space="0"/>
              <w:bottom w:val="single" w:color="D9D9D9" w:sz="2" w:space="0"/>
            </w:tcBorders>
          </w:tcPr>
          <w:p w:rsidR="00C31389" w:rsidRDefault="00561FBD" w14:paraId="33BB9CA5" w14:textId="77777777">
            <w:pPr>
              <w:pStyle w:val="TableParagraph"/>
              <w:ind w:left="356" w:right="311"/>
              <w:jc w:val="center"/>
              <w:rPr>
                <w:sz w:val="20"/>
              </w:rPr>
            </w:pPr>
            <w:r>
              <w:rPr>
                <w:spacing w:val="-4"/>
                <w:sz w:val="20"/>
              </w:rPr>
              <w:t>0.00</w:t>
            </w:r>
          </w:p>
        </w:tc>
        <w:tc>
          <w:tcPr>
            <w:tcW w:w="2008" w:type="dxa"/>
            <w:tcBorders>
              <w:top w:val="single" w:color="D9D9D9" w:sz="2" w:space="0"/>
              <w:bottom w:val="single" w:color="D9D9D9" w:sz="2" w:space="0"/>
            </w:tcBorders>
          </w:tcPr>
          <w:p w:rsidR="00C31389" w:rsidRDefault="00561FBD" w14:paraId="3F753511" w14:textId="77777777">
            <w:pPr>
              <w:pStyle w:val="TableParagraph"/>
              <w:ind w:left="708"/>
              <w:rPr>
                <w:sz w:val="20"/>
              </w:rPr>
            </w:pPr>
            <w:r>
              <w:rPr>
                <w:spacing w:val="-2"/>
                <w:sz w:val="20"/>
              </w:rPr>
              <w:t>$0.01</w:t>
            </w:r>
          </w:p>
        </w:tc>
      </w:tr>
      <w:tr w:rsidR="00C31389" w14:paraId="3B7B88CF" w14:textId="77777777">
        <w:trPr>
          <w:trHeight w:val="310"/>
        </w:trPr>
        <w:tc>
          <w:tcPr>
            <w:tcW w:w="1196" w:type="dxa"/>
            <w:vMerge/>
            <w:tcBorders>
              <w:top w:val="nil"/>
            </w:tcBorders>
          </w:tcPr>
          <w:p w:rsidR="00C31389" w:rsidRDefault="00C31389" w14:paraId="1DDD228B" w14:textId="77777777">
            <w:pPr>
              <w:rPr>
                <w:sz w:val="2"/>
                <w:szCs w:val="2"/>
              </w:rPr>
            </w:pPr>
          </w:p>
        </w:tc>
        <w:tc>
          <w:tcPr>
            <w:tcW w:w="1780" w:type="dxa"/>
            <w:tcBorders>
              <w:top w:val="single" w:color="D9D9D9" w:sz="2" w:space="0"/>
              <w:bottom w:val="single" w:color="D9D9D9" w:sz="2" w:space="0"/>
            </w:tcBorders>
          </w:tcPr>
          <w:p w:rsidR="00C31389" w:rsidRDefault="00561FBD" w14:paraId="4782ED83" w14:textId="77777777">
            <w:pPr>
              <w:pStyle w:val="TableParagraph"/>
              <w:ind w:left="115"/>
              <w:rPr>
                <w:sz w:val="20"/>
              </w:rPr>
            </w:pPr>
            <w:r>
              <w:rPr>
                <w:spacing w:val="-2"/>
                <w:sz w:val="20"/>
              </w:rPr>
              <w:t>Industrial</w:t>
            </w:r>
          </w:p>
        </w:tc>
        <w:tc>
          <w:tcPr>
            <w:tcW w:w="2064" w:type="dxa"/>
            <w:tcBorders>
              <w:top w:val="single" w:color="D9D9D9" w:sz="2" w:space="0"/>
              <w:bottom w:val="single" w:color="D9D9D9" w:sz="2" w:space="0"/>
            </w:tcBorders>
          </w:tcPr>
          <w:p w:rsidR="00C31389" w:rsidRDefault="00561FBD" w14:paraId="04DE8B37" w14:textId="77777777">
            <w:pPr>
              <w:pStyle w:val="TableParagraph"/>
              <w:ind w:left="586" w:right="352"/>
              <w:jc w:val="center"/>
              <w:rPr>
                <w:sz w:val="20"/>
              </w:rPr>
            </w:pPr>
            <w:r>
              <w:rPr>
                <w:spacing w:val="-4"/>
                <w:sz w:val="20"/>
              </w:rPr>
              <w:t>0.00</w:t>
            </w:r>
          </w:p>
        </w:tc>
        <w:tc>
          <w:tcPr>
            <w:tcW w:w="2325" w:type="dxa"/>
            <w:tcBorders>
              <w:top w:val="single" w:color="D9D9D9" w:sz="2" w:space="0"/>
              <w:bottom w:val="single" w:color="D9D9D9" w:sz="2" w:space="0"/>
            </w:tcBorders>
          </w:tcPr>
          <w:p w:rsidR="00C31389" w:rsidRDefault="00561FBD" w14:paraId="688F818A" w14:textId="77777777">
            <w:pPr>
              <w:pStyle w:val="TableParagraph"/>
              <w:ind w:left="356" w:right="311"/>
              <w:jc w:val="center"/>
              <w:rPr>
                <w:sz w:val="20"/>
              </w:rPr>
            </w:pPr>
            <w:r>
              <w:rPr>
                <w:spacing w:val="-4"/>
                <w:sz w:val="20"/>
              </w:rPr>
              <w:t>0.00</w:t>
            </w:r>
          </w:p>
        </w:tc>
        <w:tc>
          <w:tcPr>
            <w:tcW w:w="2008" w:type="dxa"/>
            <w:tcBorders>
              <w:top w:val="single" w:color="D9D9D9" w:sz="2" w:space="0"/>
              <w:bottom w:val="single" w:color="D9D9D9" w:sz="2" w:space="0"/>
            </w:tcBorders>
          </w:tcPr>
          <w:p w:rsidR="00C31389" w:rsidRDefault="00561FBD" w14:paraId="64696CB0" w14:textId="77777777">
            <w:pPr>
              <w:pStyle w:val="TableParagraph"/>
              <w:ind w:left="708"/>
              <w:rPr>
                <w:sz w:val="20"/>
              </w:rPr>
            </w:pPr>
            <w:r>
              <w:rPr>
                <w:spacing w:val="-2"/>
                <w:sz w:val="20"/>
              </w:rPr>
              <w:t>$0.00</w:t>
            </w:r>
          </w:p>
        </w:tc>
      </w:tr>
      <w:tr w:rsidR="00C31389" w14:paraId="2D8CDFEA" w14:textId="77777777">
        <w:trPr>
          <w:trHeight w:val="310"/>
        </w:trPr>
        <w:tc>
          <w:tcPr>
            <w:tcW w:w="1196" w:type="dxa"/>
            <w:tcBorders>
              <w:bottom w:val="single" w:color="000000" w:sz="8" w:space="0"/>
            </w:tcBorders>
          </w:tcPr>
          <w:p w:rsidR="00C31389" w:rsidRDefault="00C31389" w14:paraId="0D3C441F" w14:textId="77777777">
            <w:pPr>
              <w:pStyle w:val="TableParagraph"/>
              <w:spacing w:before="0"/>
              <w:rPr>
                <w:rFonts w:ascii="Times New Roman"/>
                <w:sz w:val="20"/>
              </w:rPr>
            </w:pPr>
          </w:p>
        </w:tc>
        <w:tc>
          <w:tcPr>
            <w:tcW w:w="1780" w:type="dxa"/>
            <w:tcBorders>
              <w:top w:val="single" w:color="D9D9D9" w:sz="2" w:space="0"/>
              <w:bottom w:val="single" w:color="000000" w:sz="8" w:space="0"/>
            </w:tcBorders>
          </w:tcPr>
          <w:p w:rsidR="00C31389" w:rsidRDefault="00561FBD" w14:paraId="5C0E0159" w14:textId="77777777">
            <w:pPr>
              <w:pStyle w:val="TableParagraph"/>
              <w:ind w:left="115"/>
              <w:rPr>
                <w:sz w:val="20"/>
              </w:rPr>
            </w:pPr>
            <w:r>
              <w:rPr>
                <w:spacing w:val="-2"/>
                <w:sz w:val="20"/>
              </w:rPr>
              <w:t>Agriculture</w:t>
            </w:r>
          </w:p>
        </w:tc>
        <w:tc>
          <w:tcPr>
            <w:tcW w:w="2064" w:type="dxa"/>
            <w:tcBorders>
              <w:top w:val="single" w:color="D9D9D9" w:sz="2" w:space="0"/>
              <w:bottom w:val="single" w:color="000000" w:sz="8" w:space="0"/>
            </w:tcBorders>
          </w:tcPr>
          <w:p w:rsidR="00C31389" w:rsidRDefault="00561FBD" w14:paraId="205693FE" w14:textId="77777777">
            <w:pPr>
              <w:pStyle w:val="TableParagraph"/>
              <w:ind w:left="586" w:right="352"/>
              <w:jc w:val="center"/>
              <w:rPr>
                <w:sz w:val="20"/>
              </w:rPr>
            </w:pPr>
            <w:r>
              <w:rPr>
                <w:spacing w:val="-4"/>
                <w:sz w:val="20"/>
              </w:rPr>
              <w:t>0.00</w:t>
            </w:r>
          </w:p>
        </w:tc>
        <w:tc>
          <w:tcPr>
            <w:tcW w:w="2325" w:type="dxa"/>
            <w:tcBorders>
              <w:top w:val="single" w:color="D9D9D9" w:sz="2" w:space="0"/>
              <w:bottom w:val="single" w:color="000000" w:sz="8" w:space="0"/>
            </w:tcBorders>
          </w:tcPr>
          <w:p w:rsidR="00C31389" w:rsidRDefault="00561FBD" w14:paraId="347836E3" w14:textId="77777777">
            <w:pPr>
              <w:pStyle w:val="TableParagraph"/>
              <w:ind w:left="356" w:right="311"/>
              <w:jc w:val="center"/>
              <w:rPr>
                <w:sz w:val="20"/>
              </w:rPr>
            </w:pPr>
            <w:r>
              <w:rPr>
                <w:spacing w:val="-4"/>
                <w:sz w:val="20"/>
              </w:rPr>
              <w:t>0.00</w:t>
            </w:r>
          </w:p>
        </w:tc>
        <w:tc>
          <w:tcPr>
            <w:tcW w:w="2008" w:type="dxa"/>
            <w:tcBorders>
              <w:top w:val="single" w:color="D9D9D9" w:sz="2" w:space="0"/>
              <w:bottom w:val="single" w:color="000000" w:sz="8" w:space="0"/>
            </w:tcBorders>
          </w:tcPr>
          <w:p w:rsidR="00C31389" w:rsidRDefault="00561FBD" w14:paraId="02DE847A" w14:textId="77777777">
            <w:pPr>
              <w:pStyle w:val="TableParagraph"/>
              <w:ind w:left="708"/>
              <w:rPr>
                <w:sz w:val="20"/>
              </w:rPr>
            </w:pPr>
            <w:r>
              <w:rPr>
                <w:spacing w:val="-2"/>
                <w:sz w:val="20"/>
              </w:rPr>
              <w:t>$0.00</w:t>
            </w:r>
          </w:p>
        </w:tc>
      </w:tr>
    </w:tbl>
    <w:p w:rsidR="00C31389" w:rsidRDefault="00561FBD" w14:paraId="1076D234" w14:textId="77777777">
      <w:pPr>
        <w:spacing w:before="63"/>
        <w:ind w:left="480"/>
        <w:rPr>
          <w:i/>
          <w:sz w:val="18"/>
        </w:rPr>
      </w:pPr>
      <w:r>
        <w:rPr>
          <w:i/>
          <w:sz w:val="18"/>
        </w:rPr>
        <w:t>Source:</w:t>
      </w:r>
      <w:r>
        <w:rPr>
          <w:i/>
          <w:spacing w:val="-3"/>
          <w:sz w:val="18"/>
        </w:rPr>
        <w:t xml:space="preserve"> </w:t>
      </w:r>
      <w:r>
        <w:rPr>
          <w:i/>
          <w:sz w:val="18"/>
        </w:rPr>
        <w:t>CEDARS</w:t>
      </w:r>
      <w:r>
        <w:rPr>
          <w:i/>
          <w:spacing w:val="-3"/>
          <w:sz w:val="18"/>
        </w:rPr>
        <w:t xml:space="preserve"> </w:t>
      </w:r>
      <w:r>
        <w:rPr>
          <w:i/>
          <w:sz w:val="18"/>
        </w:rPr>
        <w:t>2022</w:t>
      </w:r>
      <w:r>
        <w:rPr>
          <w:i/>
          <w:spacing w:val="44"/>
          <w:sz w:val="18"/>
        </w:rPr>
        <w:t xml:space="preserve"> </w:t>
      </w:r>
      <w:r>
        <w:rPr>
          <w:i/>
          <w:sz w:val="18"/>
        </w:rPr>
        <w:t>Budget</w:t>
      </w:r>
      <w:r>
        <w:rPr>
          <w:i/>
          <w:spacing w:val="-2"/>
          <w:sz w:val="18"/>
        </w:rPr>
        <w:t xml:space="preserve"> </w:t>
      </w:r>
      <w:r>
        <w:rPr>
          <w:i/>
          <w:spacing w:val="-4"/>
          <w:sz w:val="18"/>
        </w:rPr>
        <w:t>Data</w:t>
      </w:r>
    </w:p>
    <w:p w:rsidR="00C31389" w:rsidRDefault="00C31389" w14:paraId="396AD63B" w14:textId="77777777">
      <w:pPr>
        <w:pStyle w:val="BodyText"/>
        <w:spacing w:before="9"/>
        <w:rPr>
          <w:i/>
          <w:sz w:val="20"/>
        </w:rPr>
      </w:pPr>
    </w:p>
    <w:p w:rsidR="00C31389" w:rsidRDefault="00561FBD" w14:paraId="52A957E5" w14:textId="77777777">
      <w:pPr>
        <w:pStyle w:val="BodyText"/>
        <w:ind w:left="480"/>
      </w:pPr>
      <w:hyperlink w:history="1" w:anchor="_bookmark228">
        <w:r>
          <w:t>Appendix</w:t>
        </w:r>
        <w:r>
          <w:rPr>
            <w:spacing w:val="-8"/>
          </w:rPr>
          <w:t xml:space="preserve"> </w:t>
        </w:r>
        <w:r>
          <w:t>A</w:t>
        </w:r>
      </w:hyperlink>
      <w:r>
        <w:rPr>
          <w:spacing w:val="-8"/>
        </w:rPr>
        <w:t xml:space="preserve"> </w:t>
      </w:r>
      <w:r>
        <w:t>includes</w:t>
      </w:r>
      <w:r>
        <w:rPr>
          <w:spacing w:val="-7"/>
        </w:rPr>
        <w:t xml:space="preserve"> </w:t>
      </w:r>
      <w:r>
        <w:t>additional</w:t>
      </w:r>
      <w:r>
        <w:rPr>
          <w:spacing w:val="-8"/>
        </w:rPr>
        <w:t xml:space="preserve"> </w:t>
      </w:r>
      <w:r>
        <w:t>discussion</w:t>
      </w:r>
      <w:r>
        <w:rPr>
          <w:spacing w:val="-7"/>
        </w:rPr>
        <w:t xml:space="preserve"> </w:t>
      </w:r>
      <w:r>
        <w:t>on</w:t>
      </w:r>
      <w:r>
        <w:rPr>
          <w:spacing w:val="-8"/>
        </w:rPr>
        <w:t xml:space="preserve"> </w:t>
      </w:r>
      <w:r>
        <w:t>the</w:t>
      </w:r>
      <w:r>
        <w:rPr>
          <w:spacing w:val="-7"/>
        </w:rPr>
        <w:t xml:space="preserve"> </w:t>
      </w:r>
      <w:r>
        <w:t>calibration</w:t>
      </w:r>
      <w:r>
        <w:rPr>
          <w:spacing w:val="-8"/>
        </w:rPr>
        <w:t xml:space="preserve"> </w:t>
      </w:r>
      <w:r>
        <w:rPr>
          <w:spacing w:val="-2"/>
        </w:rPr>
        <w:t>process.</w:t>
      </w:r>
    </w:p>
    <w:p w:rsidR="00C31389" w:rsidRDefault="00C31389" w14:paraId="459DCA74" w14:textId="77777777">
      <w:pPr>
        <w:pStyle w:val="BodyText"/>
        <w:spacing w:before="4"/>
        <w:rPr>
          <w:sz w:val="31"/>
        </w:rPr>
      </w:pPr>
    </w:p>
    <w:p w:rsidR="00C31389" w:rsidRDefault="00561FBD" w14:paraId="516C8AF2" w14:textId="77777777">
      <w:pPr>
        <w:pStyle w:val="Heading4"/>
        <w:numPr>
          <w:ilvl w:val="2"/>
          <w:numId w:val="71"/>
        </w:numPr>
        <w:tabs>
          <w:tab w:val="left" w:pos="1076"/>
        </w:tabs>
        <w:ind w:left="1076" w:hanging="596"/>
      </w:pPr>
      <w:bookmarkStart w:name="3.1.4_Non-Incentive_Program_Costs" w:id="147"/>
      <w:bookmarkStart w:name="_bookmark111" w:id="148"/>
      <w:bookmarkEnd w:id="147"/>
      <w:bookmarkEnd w:id="148"/>
      <w:r>
        <w:t>Non-Incentive</w:t>
      </w:r>
      <w:r>
        <w:rPr>
          <w:spacing w:val="-5"/>
        </w:rPr>
        <w:t xml:space="preserve"> </w:t>
      </w:r>
      <w:r>
        <w:t>Program</w:t>
      </w:r>
      <w:r>
        <w:rPr>
          <w:spacing w:val="-5"/>
        </w:rPr>
        <w:t xml:space="preserve"> </w:t>
      </w:r>
      <w:r>
        <w:rPr>
          <w:spacing w:val="-2"/>
        </w:rPr>
        <w:t>Costs</w:t>
      </w:r>
    </w:p>
    <w:p w:rsidR="00C31389" w:rsidRDefault="00C31389" w14:paraId="4C1B58B4" w14:textId="77777777">
      <w:pPr>
        <w:pStyle w:val="BodyText"/>
        <w:spacing w:before="9"/>
        <w:rPr>
          <w:b/>
          <w:sz w:val="20"/>
        </w:rPr>
      </w:pPr>
    </w:p>
    <w:p w:rsidR="00C31389" w:rsidRDefault="00561FBD" w14:paraId="5026D5B8" w14:textId="77777777">
      <w:pPr>
        <w:pStyle w:val="BodyText"/>
        <w:spacing w:before="1"/>
        <w:ind w:left="480" w:right="485" w:hanging="1"/>
      </w:pPr>
      <w:r>
        <w:t xml:space="preserve">Non-incentive program costs come from the IOU 2023 filings data (as of December 2022), commonly referred to as the Annual </w:t>
      </w:r>
      <w:r>
        <w:t>Budget Advice Letters, in CEDARS. In past PG studies Guidehouse would source non-incentive program costs from historic evaluated program participation</w:t>
      </w:r>
      <w:r>
        <w:rPr>
          <w:spacing w:val="-4"/>
        </w:rPr>
        <w:t xml:space="preserve"> </w:t>
      </w:r>
      <w:r>
        <w:t>data.</w:t>
      </w:r>
      <w:r>
        <w:rPr>
          <w:spacing w:val="-3"/>
        </w:rPr>
        <w:t xml:space="preserve"> </w:t>
      </w:r>
      <w:r>
        <w:t>However,</w:t>
      </w:r>
      <w:r>
        <w:rPr>
          <w:spacing w:val="-3"/>
        </w:rPr>
        <w:t xml:space="preserve"> </w:t>
      </w:r>
      <w:r>
        <w:t>upon</w:t>
      </w:r>
      <w:r>
        <w:rPr>
          <w:spacing w:val="-3"/>
        </w:rPr>
        <w:t xml:space="preserve"> </w:t>
      </w:r>
      <w:r>
        <w:t>conferring</w:t>
      </w:r>
      <w:r>
        <w:rPr>
          <w:spacing w:val="-3"/>
        </w:rPr>
        <w:t xml:space="preserve"> </w:t>
      </w:r>
      <w:r>
        <w:t>with</w:t>
      </w:r>
      <w:r>
        <w:rPr>
          <w:spacing w:val="-3"/>
        </w:rPr>
        <w:t xml:space="preserve"> </w:t>
      </w:r>
      <w:r>
        <w:t>IOU</w:t>
      </w:r>
      <w:r>
        <w:rPr>
          <w:spacing w:val="-4"/>
        </w:rPr>
        <w:t xml:space="preserve"> </w:t>
      </w:r>
      <w:r>
        <w:t>staff</w:t>
      </w:r>
      <w:r>
        <w:rPr>
          <w:spacing w:val="-3"/>
        </w:rPr>
        <w:t xml:space="preserve"> </w:t>
      </w:r>
      <w:r>
        <w:t>and</w:t>
      </w:r>
      <w:r>
        <w:rPr>
          <w:spacing w:val="-3"/>
        </w:rPr>
        <w:t xml:space="preserve"> </w:t>
      </w:r>
      <w:r>
        <w:t>with</w:t>
      </w:r>
      <w:r>
        <w:rPr>
          <w:spacing w:val="-3"/>
        </w:rPr>
        <w:t xml:space="preserve"> </w:t>
      </w:r>
      <w:r>
        <w:t>CPUC</w:t>
      </w:r>
      <w:r>
        <w:rPr>
          <w:spacing w:val="-4"/>
        </w:rPr>
        <w:t xml:space="preserve"> </w:t>
      </w:r>
      <w:r>
        <w:t>staff,</w:t>
      </w:r>
      <w:r>
        <w:rPr>
          <w:spacing w:val="-3"/>
        </w:rPr>
        <w:t xml:space="preserve"> </w:t>
      </w:r>
      <w:r>
        <w:t>2023</w:t>
      </w:r>
      <w:r>
        <w:rPr>
          <w:spacing w:val="-3"/>
        </w:rPr>
        <w:t xml:space="preserve"> </w:t>
      </w:r>
      <w:r>
        <w:t>IOU</w:t>
      </w:r>
      <w:r>
        <w:rPr>
          <w:spacing w:val="-4"/>
        </w:rPr>
        <w:t xml:space="preserve"> </w:t>
      </w:r>
      <w:r>
        <w:t>filing data was determined to</w:t>
      </w:r>
      <w:r>
        <w:t xml:space="preserve"> be a far more representative view of program costs going forward than historic evaluated data could offer.</w:t>
      </w:r>
    </w:p>
    <w:p w:rsidR="00C31389" w:rsidRDefault="00C31389" w14:paraId="7CE1D5FF" w14:textId="77777777">
      <w:pPr>
        <w:pStyle w:val="BodyText"/>
        <w:spacing w:before="10"/>
        <w:rPr>
          <w:sz w:val="20"/>
        </w:rPr>
      </w:pPr>
    </w:p>
    <w:p w:rsidR="00C31389" w:rsidRDefault="00561FBD" w14:paraId="7EDB95E3" w14:textId="77777777">
      <w:pPr>
        <w:pStyle w:val="BodyText"/>
        <w:ind w:left="480" w:right="533"/>
      </w:pPr>
      <w:r>
        <w:t>For</w:t>
      </w:r>
      <w:r>
        <w:rPr>
          <w:spacing w:val="-3"/>
        </w:rPr>
        <w:t xml:space="preserve"> </w:t>
      </w:r>
      <w:r>
        <w:t>the</w:t>
      </w:r>
      <w:r>
        <w:rPr>
          <w:spacing w:val="-3"/>
        </w:rPr>
        <w:t xml:space="preserve"> </w:t>
      </w:r>
      <w:r>
        <w:t>PG</w:t>
      </w:r>
      <w:r>
        <w:rPr>
          <w:spacing w:val="-3"/>
        </w:rPr>
        <w:t xml:space="preserve"> </w:t>
      </w:r>
      <w:r>
        <w:t>Model,</w:t>
      </w:r>
      <w:r>
        <w:rPr>
          <w:spacing w:val="-3"/>
        </w:rPr>
        <w:t xml:space="preserve"> </w:t>
      </w:r>
      <w:r>
        <w:t>the</w:t>
      </w:r>
      <w:r>
        <w:rPr>
          <w:spacing w:val="-3"/>
        </w:rPr>
        <w:t xml:space="preserve"> </w:t>
      </w:r>
      <w:r>
        <w:t>Guidehouse</w:t>
      </w:r>
      <w:r>
        <w:rPr>
          <w:spacing w:val="-3"/>
        </w:rPr>
        <w:t xml:space="preserve"> </w:t>
      </w:r>
      <w:r>
        <w:t>team</w:t>
      </w:r>
      <w:r>
        <w:rPr>
          <w:spacing w:val="-4"/>
        </w:rPr>
        <w:t xml:space="preserve"> </w:t>
      </w:r>
      <w:r>
        <w:t>determined</w:t>
      </w:r>
      <w:r>
        <w:rPr>
          <w:spacing w:val="-3"/>
        </w:rPr>
        <w:t xml:space="preserve"> </w:t>
      </w:r>
      <w:r>
        <w:t>program</w:t>
      </w:r>
      <w:r>
        <w:rPr>
          <w:spacing w:val="-4"/>
        </w:rPr>
        <w:t xml:space="preserve"> </w:t>
      </w:r>
      <w:r>
        <w:t>costs</w:t>
      </w:r>
      <w:r>
        <w:rPr>
          <w:spacing w:val="-3"/>
        </w:rPr>
        <w:t xml:space="preserve"> </w:t>
      </w:r>
      <w:r>
        <w:t>per</w:t>
      </w:r>
      <w:r>
        <w:rPr>
          <w:spacing w:val="-3"/>
        </w:rPr>
        <w:t xml:space="preserve"> </w:t>
      </w:r>
      <w:r>
        <w:t>unit</w:t>
      </w:r>
      <w:r>
        <w:rPr>
          <w:spacing w:val="-3"/>
        </w:rPr>
        <w:t xml:space="preserve"> </w:t>
      </w:r>
      <w:r>
        <w:t>of</w:t>
      </w:r>
      <w:r>
        <w:rPr>
          <w:spacing w:val="-3"/>
        </w:rPr>
        <w:t xml:space="preserve"> </w:t>
      </w:r>
      <w:r>
        <w:t>first-year</w:t>
      </w:r>
      <w:r>
        <w:rPr>
          <w:spacing w:val="-3"/>
        </w:rPr>
        <w:t xml:space="preserve"> </w:t>
      </w:r>
      <w:r>
        <w:t>kWh</w:t>
      </w:r>
      <w:r>
        <w:rPr>
          <w:spacing w:val="-3"/>
        </w:rPr>
        <w:t xml:space="preserve"> </w:t>
      </w:r>
      <w:r>
        <w:t>or therm by sector. In CEDARS, program costs for each pro</w:t>
      </w:r>
      <w:r>
        <w:t>gram and measure line are already listed, and program costs combine administrative costs, marketing costs, implementation (customer service) costs, overhead, and evaluation, measurement, and verification (EM&amp;V) costs. Interactive effects and non-resource p</w:t>
      </w:r>
      <w:r>
        <w:t>rograms are not included in in calculating the program costs. Similarly, BROs program and C&amp;S program costs were not included in the rebate program costs because these categories are modeled elsewhere, and their costs are accounted for in that analysis.</w:t>
      </w:r>
    </w:p>
    <w:p w:rsidR="00C31389" w:rsidRDefault="00C31389" w14:paraId="49122837" w14:textId="77777777">
      <w:pPr>
        <w:pStyle w:val="BodyText"/>
        <w:spacing w:before="9"/>
        <w:rPr>
          <w:sz w:val="20"/>
        </w:rPr>
      </w:pPr>
    </w:p>
    <w:p w:rsidR="00C31389" w:rsidRDefault="00561FBD" w14:paraId="589D9E78" w14:textId="77777777">
      <w:pPr>
        <w:pStyle w:val="BodyText"/>
        <w:ind w:left="480" w:right="533"/>
      </w:pPr>
      <w:hyperlink w:history="1" w:anchor="_bookmark112">
        <w:r>
          <w:t>Table</w:t>
        </w:r>
        <w:r>
          <w:rPr>
            <w:spacing w:val="-3"/>
          </w:rPr>
          <w:t xml:space="preserve"> </w:t>
        </w:r>
        <w:r>
          <w:t>3-8</w:t>
        </w:r>
      </w:hyperlink>
      <w:r>
        <w:rPr>
          <w:spacing w:val="-3"/>
        </w:rPr>
        <w:t xml:space="preserve"> </w:t>
      </w:r>
      <w:r>
        <w:t>provides</w:t>
      </w:r>
      <w:r>
        <w:rPr>
          <w:spacing w:val="-3"/>
        </w:rPr>
        <w:t xml:space="preserve"> </w:t>
      </w:r>
      <w:r>
        <w:t>an</w:t>
      </w:r>
      <w:r>
        <w:rPr>
          <w:spacing w:val="-3"/>
        </w:rPr>
        <w:t xml:space="preserve"> </w:t>
      </w:r>
      <w:r>
        <w:t>overview</w:t>
      </w:r>
      <w:r>
        <w:rPr>
          <w:spacing w:val="-4"/>
        </w:rPr>
        <w:t xml:space="preserve"> </w:t>
      </w:r>
      <w:r>
        <w:t>of</w:t>
      </w:r>
      <w:r>
        <w:rPr>
          <w:spacing w:val="-3"/>
        </w:rPr>
        <w:t xml:space="preserve"> </w:t>
      </w:r>
      <w:r>
        <w:t>the</w:t>
      </w:r>
      <w:r>
        <w:rPr>
          <w:spacing w:val="-3"/>
        </w:rPr>
        <w:t xml:space="preserve"> </w:t>
      </w:r>
      <w:r>
        <w:t>non-incentive</w:t>
      </w:r>
      <w:r>
        <w:rPr>
          <w:spacing w:val="-3"/>
        </w:rPr>
        <w:t xml:space="preserve"> </w:t>
      </w:r>
      <w:r>
        <w:t>program</w:t>
      </w:r>
      <w:r>
        <w:rPr>
          <w:spacing w:val="-4"/>
        </w:rPr>
        <w:t xml:space="preserve"> </w:t>
      </w:r>
      <w:r>
        <w:t>costs</w:t>
      </w:r>
      <w:r>
        <w:rPr>
          <w:spacing w:val="-3"/>
        </w:rPr>
        <w:t xml:space="preserve"> </w:t>
      </w:r>
      <w:r>
        <w:t>based</w:t>
      </w:r>
      <w:r>
        <w:rPr>
          <w:spacing w:val="-3"/>
        </w:rPr>
        <w:t xml:space="preserve"> </w:t>
      </w:r>
      <w:r>
        <w:t>on</w:t>
      </w:r>
      <w:r>
        <w:rPr>
          <w:spacing w:val="-3"/>
        </w:rPr>
        <w:t xml:space="preserve"> </w:t>
      </w:r>
      <w:r>
        <w:t>gross</w:t>
      </w:r>
      <w:r>
        <w:rPr>
          <w:spacing w:val="-4"/>
        </w:rPr>
        <w:t xml:space="preserve"> </w:t>
      </w:r>
      <w:r>
        <w:t xml:space="preserve">reported </w:t>
      </w:r>
      <w:r>
        <w:rPr>
          <w:spacing w:val="-2"/>
        </w:rPr>
        <w:t>savings.</w:t>
      </w:r>
    </w:p>
    <w:p w:rsidR="00C31389" w:rsidRDefault="00C31389" w14:paraId="31D54F4A" w14:textId="77777777">
      <w:pPr>
        <w:pStyle w:val="BodyText"/>
        <w:spacing w:before="11"/>
        <w:rPr>
          <w:sz w:val="20"/>
        </w:rPr>
      </w:pPr>
    </w:p>
    <w:p w:rsidR="00C31389" w:rsidRDefault="00561FBD" w14:paraId="5F4FA0B9" w14:textId="77777777">
      <w:pPr>
        <w:pStyle w:val="Heading7"/>
        <w:ind w:left="566" w:right="566"/>
        <w:jc w:val="center"/>
      </w:pPr>
      <w:bookmarkStart w:name="_bookmark112" w:id="149"/>
      <w:bookmarkEnd w:id="149"/>
      <w:r>
        <w:t>Table</w:t>
      </w:r>
      <w:r>
        <w:rPr>
          <w:spacing w:val="-9"/>
        </w:rPr>
        <w:t xml:space="preserve"> </w:t>
      </w:r>
      <w:r>
        <w:t>3-8.</w:t>
      </w:r>
      <w:r>
        <w:rPr>
          <w:spacing w:val="-10"/>
        </w:rPr>
        <w:t xml:space="preserve"> </w:t>
      </w:r>
      <w:r>
        <w:t>Non-Incentive</w:t>
      </w:r>
      <w:r>
        <w:rPr>
          <w:spacing w:val="-9"/>
        </w:rPr>
        <w:t xml:space="preserve"> </w:t>
      </w:r>
      <w:r>
        <w:t>Program</w:t>
      </w:r>
      <w:r>
        <w:rPr>
          <w:spacing w:val="-8"/>
        </w:rPr>
        <w:t xml:space="preserve"> </w:t>
      </w:r>
      <w:r>
        <w:t>Costs</w:t>
      </w:r>
      <w:r>
        <w:rPr>
          <w:spacing w:val="-9"/>
        </w:rPr>
        <w:t xml:space="preserve"> </w:t>
      </w:r>
      <w:r>
        <w:rPr>
          <w:spacing w:val="-2"/>
        </w:rPr>
        <w:t>Summary</w:t>
      </w:r>
    </w:p>
    <w:p w:rsidR="00C31389" w:rsidRDefault="00C31389" w14:paraId="0CD5C70E" w14:textId="77777777">
      <w:pPr>
        <w:pStyle w:val="BodyText"/>
        <w:spacing w:before="6" w:after="1"/>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054"/>
        <w:gridCol w:w="998"/>
        <w:gridCol w:w="1047"/>
        <w:gridCol w:w="1048"/>
        <w:gridCol w:w="1048"/>
        <w:gridCol w:w="1047"/>
        <w:gridCol w:w="1048"/>
        <w:gridCol w:w="1048"/>
        <w:gridCol w:w="1048"/>
      </w:tblGrid>
      <w:tr w:rsidR="00C31389" w14:paraId="71A6AC52" w14:textId="77777777">
        <w:trPr>
          <w:trHeight w:val="318"/>
        </w:trPr>
        <w:tc>
          <w:tcPr>
            <w:tcW w:w="1054" w:type="dxa"/>
            <w:vMerge w:val="restart"/>
            <w:shd w:val="clear" w:color="auto" w:fill="92D400"/>
          </w:tcPr>
          <w:p w:rsidR="00C31389" w:rsidRDefault="00C31389" w14:paraId="00422281" w14:textId="77777777">
            <w:pPr>
              <w:pStyle w:val="TableParagraph"/>
              <w:spacing w:before="4"/>
              <w:rPr>
                <w:b/>
                <w:sz w:val="17"/>
              </w:rPr>
            </w:pPr>
          </w:p>
          <w:p w:rsidR="00C31389" w:rsidRDefault="00561FBD" w14:paraId="04326E1B" w14:textId="77777777">
            <w:pPr>
              <w:pStyle w:val="TableParagraph"/>
              <w:spacing w:before="0"/>
              <w:ind w:left="129"/>
              <w:rPr>
                <w:b/>
                <w:sz w:val="20"/>
              </w:rPr>
            </w:pPr>
            <w:r>
              <w:rPr>
                <w:b/>
                <w:spacing w:val="-5"/>
                <w:sz w:val="20"/>
              </w:rPr>
              <w:t>IOU</w:t>
            </w:r>
          </w:p>
        </w:tc>
        <w:tc>
          <w:tcPr>
            <w:tcW w:w="4141" w:type="dxa"/>
            <w:gridSpan w:val="4"/>
            <w:shd w:val="clear" w:color="auto" w:fill="92D400"/>
          </w:tcPr>
          <w:p w:rsidR="00C31389" w:rsidRDefault="00561FBD" w14:paraId="1DB6C0FA" w14:textId="77777777">
            <w:pPr>
              <w:pStyle w:val="TableParagraph"/>
              <w:ind w:left="564"/>
              <w:rPr>
                <w:b/>
                <w:sz w:val="20"/>
              </w:rPr>
            </w:pPr>
            <w:r>
              <w:rPr>
                <w:b/>
                <w:sz w:val="20"/>
              </w:rPr>
              <w:t>Electric</w:t>
            </w:r>
            <w:r>
              <w:rPr>
                <w:b/>
                <w:spacing w:val="-5"/>
                <w:sz w:val="20"/>
              </w:rPr>
              <w:t xml:space="preserve"> </w:t>
            </w:r>
            <w:r>
              <w:rPr>
                <w:b/>
                <w:sz w:val="20"/>
              </w:rPr>
              <w:t>Savings</w:t>
            </w:r>
            <w:r>
              <w:rPr>
                <w:b/>
                <w:spacing w:val="-4"/>
                <w:sz w:val="20"/>
              </w:rPr>
              <w:t xml:space="preserve"> </w:t>
            </w:r>
            <w:r>
              <w:rPr>
                <w:b/>
                <w:sz w:val="20"/>
              </w:rPr>
              <w:t>($/Gross</w:t>
            </w:r>
            <w:r>
              <w:rPr>
                <w:b/>
                <w:spacing w:val="-4"/>
                <w:sz w:val="20"/>
              </w:rPr>
              <w:t xml:space="preserve"> kWh)</w:t>
            </w:r>
          </w:p>
        </w:tc>
        <w:tc>
          <w:tcPr>
            <w:tcW w:w="4191" w:type="dxa"/>
            <w:gridSpan w:val="4"/>
            <w:shd w:val="clear" w:color="auto" w:fill="92D400"/>
          </w:tcPr>
          <w:p w:rsidR="00C31389" w:rsidRDefault="00561FBD" w14:paraId="0715FD64" w14:textId="77777777">
            <w:pPr>
              <w:pStyle w:val="TableParagraph"/>
              <w:ind w:left="658"/>
              <w:rPr>
                <w:b/>
                <w:sz w:val="20"/>
              </w:rPr>
            </w:pPr>
            <w:r>
              <w:rPr>
                <w:b/>
                <w:sz w:val="20"/>
              </w:rPr>
              <w:t>Gas</w:t>
            </w:r>
            <w:r>
              <w:rPr>
                <w:b/>
                <w:spacing w:val="-4"/>
                <w:sz w:val="20"/>
              </w:rPr>
              <w:t xml:space="preserve"> </w:t>
            </w:r>
            <w:r>
              <w:rPr>
                <w:b/>
                <w:sz w:val="20"/>
              </w:rPr>
              <w:t>Savings</w:t>
            </w:r>
            <w:r>
              <w:rPr>
                <w:b/>
                <w:spacing w:val="-4"/>
                <w:sz w:val="20"/>
              </w:rPr>
              <w:t xml:space="preserve"> </w:t>
            </w:r>
            <w:r>
              <w:rPr>
                <w:b/>
                <w:sz w:val="20"/>
              </w:rPr>
              <w:t>($/Gross</w:t>
            </w:r>
            <w:r>
              <w:rPr>
                <w:b/>
                <w:spacing w:val="-3"/>
                <w:sz w:val="20"/>
              </w:rPr>
              <w:t xml:space="preserve"> </w:t>
            </w:r>
            <w:r>
              <w:rPr>
                <w:b/>
                <w:spacing w:val="-2"/>
                <w:sz w:val="20"/>
              </w:rPr>
              <w:t>therms)</w:t>
            </w:r>
          </w:p>
        </w:tc>
      </w:tr>
      <w:tr w:rsidR="00C31389" w14:paraId="584E78CB" w14:textId="77777777">
        <w:trPr>
          <w:trHeight w:val="321"/>
        </w:trPr>
        <w:tc>
          <w:tcPr>
            <w:tcW w:w="1054" w:type="dxa"/>
            <w:vMerge/>
            <w:tcBorders>
              <w:top w:val="nil"/>
            </w:tcBorders>
            <w:shd w:val="clear" w:color="auto" w:fill="92D400"/>
          </w:tcPr>
          <w:p w:rsidR="00C31389" w:rsidRDefault="00C31389" w14:paraId="222DB6D2" w14:textId="77777777">
            <w:pPr>
              <w:rPr>
                <w:sz w:val="2"/>
                <w:szCs w:val="2"/>
              </w:rPr>
            </w:pPr>
          </w:p>
        </w:tc>
        <w:tc>
          <w:tcPr>
            <w:tcW w:w="998" w:type="dxa"/>
            <w:shd w:val="clear" w:color="auto" w:fill="92D400"/>
          </w:tcPr>
          <w:p w:rsidR="00C31389" w:rsidRDefault="00561FBD" w14:paraId="4ECB5D3F" w14:textId="77777777">
            <w:pPr>
              <w:pStyle w:val="TableParagraph"/>
              <w:spacing w:before="41"/>
              <w:ind w:left="209" w:right="256"/>
              <w:jc w:val="center"/>
              <w:rPr>
                <w:b/>
                <w:sz w:val="20"/>
              </w:rPr>
            </w:pPr>
            <w:r>
              <w:rPr>
                <w:b/>
                <w:spacing w:val="-5"/>
                <w:sz w:val="20"/>
              </w:rPr>
              <w:t>Res</w:t>
            </w:r>
          </w:p>
        </w:tc>
        <w:tc>
          <w:tcPr>
            <w:tcW w:w="1047" w:type="dxa"/>
            <w:shd w:val="clear" w:color="auto" w:fill="92D400"/>
          </w:tcPr>
          <w:p w:rsidR="00C31389" w:rsidRDefault="00561FBD" w14:paraId="6AC5143F" w14:textId="77777777">
            <w:pPr>
              <w:pStyle w:val="TableParagraph"/>
              <w:spacing w:before="41"/>
              <w:ind w:left="253" w:right="254"/>
              <w:jc w:val="center"/>
              <w:rPr>
                <w:b/>
                <w:sz w:val="20"/>
              </w:rPr>
            </w:pPr>
            <w:r>
              <w:rPr>
                <w:b/>
                <w:spacing w:val="-5"/>
                <w:sz w:val="20"/>
              </w:rPr>
              <w:t>Com</w:t>
            </w:r>
          </w:p>
        </w:tc>
        <w:tc>
          <w:tcPr>
            <w:tcW w:w="1048" w:type="dxa"/>
            <w:shd w:val="clear" w:color="auto" w:fill="92D400"/>
          </w:tcPr>
          <w:p w:rsidR="00C31389" w:rsidRDefault="00561FBD" w14:paraId="25A6B757" w14:textId="77777777">
            <w:pPr>
              <w:pStyle w:val="TableParagraph"/>
              <w:spacing w:before="41"/>
              <w:ind w:left="249" w:right="253"/>
              <w:jc w:val="center"/>
              <w:rPr>
                <w:b/>
                <w:sz w:val="20"/>
              </w:rPr>
            </w:pPr>
            <w:r>
              <w:rPr>
                <w:b/>
                <w:spacing w:val="-5"/>
                <w:sz w:val="20"/>
              </w:rPr>
              <w:t>Ag</w:t>
            </w:r>
          </w:p>
        </w:tc>
        <w:tc>
          <w:tcPr>
            <w:tcW w:w="1048" w:type="dxa"/>
            <w:shd w:val="clear" w:color="auto" w:fill="92D400"/>
          </w:tcPr>
          <w:p w:rsidR="00C31389" w:rsidRDefault="00561FBD" w14:paraId="07D4413A" w14:textId="77777777">
            <w:pPr>
              <w:pStyle w:val="TableParagraph"/>
              <w:spacing w:before="41"/>
              <w:ind w:left="249" w:right="257"/>
              <w:jc w:val="center"/>
              <w:rPr>
                <w:b/>
                <w:sz w:val="20"/>
              </w:rPr>
            </w:pPr>
            <w:r>
              <w:rPr>
                <w:b/>
                <w:spacing w:val="-5"/>
                <w:sz w:val="20"/>
              </w:rPr>
              <w:t>Ind</w:t>
            </w:r>
          </w:p>
        </w:tc>
        <w:tc>
          <w:tcPr>
            <w:tcW w:w="1047" w:type="dxa"/>
            <w:shd w:val="clear" w:color="auto" w:fill="92D400"/>
          </w:tcPr>
          <w:p w:rsidR="00C31389" w:rsidRDefault="00561FBD" w14:paraId="74D6FF85" w14:textId="77777777">
            <w:pPr>
              <w:pStyle w:val="TableParagraph"/>
              <w:spacing w:before="41"/>
              <w:ind w:left="249" w:right="258"/>
              <w:jc w:val="center"/>
              <w:rPr>
                <w:b/>
                <w:sz w:val="20"/>
              </w:rPr>
            </w:pPr>
            <w:r>
              <w:rPr>
                <w:b/>
                <w:spacing w:val="-5"/>
                <w:sz w:val="20"/>
              </w:rPr>
              <w:t>Res</w:t>
            </w:r>
          </w:p>
        </w:tc>
        <w:tc>
          <w:tcPr>
            <w:tcW w:w="1048" w:type="dxa"/>
            <w:shd w:val="clear" w:color="auto" w:fill="92D400"/>
          </w:tcPr>
          <w:p w:rsidR="00C31389" w:rsidRDefault="00561FBD" w14:paraId="77158D05" w14:textId="77777777">
            <w:pPr>
              <w:pStyle w:val="TableParagraph"/>
              <w:spacing w:before="41"/>
              <w:ind w:left="247" w:right="260"/>
              <w:jc w:val="center"/>
              <w:rPr>
                <w:b/>
                <w:sz w:val="20"/>
              </w:rPr>
            </w:pPr>
            <w:r>
              <w:rPr>
                <w:b/>
                <w:spacing w:val="-5"/>
                <w:sz w:val="20"/>
              </w:rPr>
              <w:t>Com</w:t>
            </w:r>
          </w:p>
        </w:tc>
        <w:tc>
          <w:tcPr>
            <w:tcW w:w="1048" w:type="dxa"/>
            <w:shd w:val="clear" w:color="auto" w:fill="92D400"/>
          </w:tcPr>
          <w:p w:rsidR="00C31389" w:rsidRDefault="00561FBD" w14:paraId="10CFF4D3" w14:textId="77777777">
            <w:pPr>
              <w:pStyle w:val="TableParagraph"/>
              <w:spacing w:before="41"/>
              <w:ind w:left="245" w:right="260"/>
              <w:jc w:val="center"/>
              <w:rPr>
                <w:b/>
                <w:sz w:val="20"/>
              </w:rPr>
            </w:pPr>
            <w:r>
              <w:rPr>
                <w:b/>
                <w:spacing w:val="-5"/>
                <w:sz w:val="20"/>
              </w:rPr>
              <w:t>Ag</w:t>
            </w:r>
          </w:p>
        </w:tc>
        <w:tc>
          <w:tcPr>
            <w:tcW w:w="1048" w:type="dxa"/>
            <w:shd w:val="clear" w:color="auto" w:fill="92D400"/>
          </w:tcPr>
          <w:p w:rsidR="00C31389" w:rsidRDefault="00561FBD" w14:paraId="14F00DCF" w14:textId="77777777">
            <w:pPr>
              <w:pStyle w:val="TableParagraph"/>
              <w:spacing w:before="41"/>
              <w:ind w:left="237" w:right="260"/>
              <w:jc w:val="center"/>
              <w:rPr>
                <w:b/>
                <w:sz w:val="20"/>
              </w:rPr>
            </w:pPr>
            <w:r>
              <w:rPr>
                <w:b/>
                <w:spacing w:val="-5"/>
                <w:sz w:val="20"/>
              </w:rPr>
              <w:t>Ind</w:t>
            </w:r>
          </w:p>
        </w:tc>
      </w:tr>
      <w:tr w:rsidR="00C31389" w14:paraId="350157A1" w14:textId="77777777">
        <w:trPr>
          <w:trHeight w:val="309"/>
        </w:trPr>
        <w:tc>
          <w:tcPr>
            <w:tcW w:w="1054" w:type="dxa"/>
            <w:tcBorders>
              <w:bottom w:val="single" w:color="D9D9D9" w:sz="2" w:space="0"/>
            </w:tcBorders>
          </w:tcPr>
          <w:p w:rsidR="00C31389" w:rsidRDefault="00561FBD" w14:paraId="557CDF3C" w14:textId="77777777">
            <w:pPr>
              <w:pStyle w:val="TableParagraph"/>
              <w:ind w:left="129"/>
              <w:rPr>
                <w:sz w:val="20"/>
              </w:rPr>
            </w:pPr>
            <w:r>
              <w:rPr>
                <w:spacing w:val="-4"/>
                <w:sz w:val="20"/>
              </w:rPr>
              <w:t>PG&amp;E</w:t>
            </w:r>
          </w:p>
        </w:tc>
        <w:tc>
          <w:tcPr>
            <w:tcW w:w="998" w:type="dxa"/>
            <w:tcBorders>
              <w:bottom w:val="single" w:color="D9D9D9" w:sz="2" w:space="0"/>
            </w:tcBorders>
          </w:tcPr>
          <w:p w:rsidR="00C31389" w:rsidRDefault="00561FBD" w14:paraId="328CD252" w14:textId="77777777">
            <w:pPr>
              <w:pStyle w:val="TableParagraph"/>
              <w:ind w:left="209" w:right="257"/>
              <w:jc w:val="center"/>
              <w:rPr>
                <w:sz w:val="20"/>
              </w:rPr>
            </w:pPr>
            <w:r>
              <w:rPr>
                <w:spacing w:val="-2"/>
                <w:sz w:val="20"/>
              </w:rPr>
              <w:t>$0.33</w:t>
            </w:r>
          </w:p>
        </w:tc>
        <w:tc>
          <w:tcPr>
            <w:tcW w:w="1047" w:type="dxa"/>
            <w:tcBorders>
              <w:bottom w:val="single" w:color="D9D9D9" w:sz="2" w:space="0"/>
            </w:tcBorders>
          </w:tcPr>
          <w:p w:rsidR="00C31389" w:rsidRDefault="00561FBD" w14:paraId="5F6D5F3E" w14:textId="77777777">
            <w:pPr>
              <w:pStyle w:val="TableParagraph"/>
              <w:ind w:left="253" w:right="253"/>
              <w:jc w:val="center"/>
              <w:rPr>
                <w:sz w:val="20"/>
              </w:rPr>
            </w:pPr>
            <w:r>
              <w:rPr>
                <w:spacing w:val="-2"/>
                <w:sz w:val="20"/>
              </w:rPr>
              <w:t>$0.11</w:t>
            </w:r>
          </w:p>
        </w:tc>
        <w:tc>
          <w:tcPr>
            <w:tcW w:w="1048" w:type="dxa"/>
            <w:tcBorders>
              <w:bottom w:val="single" w:color="D9D9D9" w:sz="2" w:space="0"/>
            </w:tcBorders>
          </w:tcPr>
          <w:p w:rsidR="00C31389" w:rsidRDefault="00561FBD" w14:paraId="01EBA3FF" w14:textId="77777777">
            <w:pPr>
              <w:pStyle w:val="TableParagraph"/>
              <w:ind w:left="249" w:right="254"/>
              <w:jc w:val="center"/>
              <w:rPr>
                <w:sz w:val="20"/>
              </w:rPr>
            </w:pPr>
            <w:r>
              <w:rPr>
                <w:spacing w:val="-2"/>
                <w:sz w:val="20"/>
              </w:rPr>
              <w:t>$0.33</w:t>
            </w:r>
          </w:p>
        </w:tc>
        <w:tc>
          <w:tcPr>
            <w:tcW w:w="1048" w:type="dxa"/>
            <w:tcBorders>
              <w:bottom w:val="single" w:color="D9D9D9" w:sz="2" w:space="0"/>
            </w:tcBorders>
          </w:tcPr>
          <w:p w:rsidR="00C31389" w:rsidRDefault="00561FBD" w14:paraId="47FF1247" w14:textId="77777777">
            <w:pPr>
              <w:pStyle w:val="TableParagraph"/>
              <w:ind w:left="249" w:right="255"/>
              <w:jc w:val="center"/>
              <w:rPr>
                <w:sz w:val="20"/>
              </w:rPr>
            </w:pPr>
            <w:r>
              <w:rPr>
                <w:spacing w:val="-2"/>
                <w:sz w:val="20"/>
              </w:rPr>
              <w:t>$0.01</w:t>
            </w:r>
          </w:p>
        </w:tc>
        <w:tc>
          <w:tcPr>
            <w:tcW w:w="1047" w:type="dxa"/>
            <w:tcBorders>
              <w:bottom w:val="single" w:color="D9D9D9" w:sz="2" w:space="0"/>
            </w:tcBorders>
          </w:tcPr>
          <w:p w:rsidR="00C31389" w:rsidRDefault="00561FBD" w14:paraId="1F6D00D1" w14:textId="77777777">
            <w:pPr>
              <w:pStyle w:val="TableParagraph"/>
              <w:ind w:left="248" w:right="258"/>
              <w:jc w:val="center"/>
              <w:rPr>
                <w:sz w:val="20"/>
              </w:rPr>
            </w:pPr>
            <w:r>
              <w:rPr>
                <w:spacing w:val="-2"/>
                <w:sz w:val="20"/>
              </w:rPr>
              <w:t>$9.76</w:t>
            </w:r>
          </w:p>
        </w:tc>
        <w:tc>
          <w:tcPr>
            <w:tcW w:w="1048" w:type="dxa"/>
            <w:tcBorders>
              <w:bottom w:val="single" w:color="D9D9D9" w:sz="2" w:space="0"/>
            </w:tcBorders>
          </w:tcPr>
          <w:p w:rsidR="00C31389" w:rsidRDefault="00561FBD" w14:paraId="33C5264C" w14:textId="77777777">
            <w:pPr>
              <w:pStyle w:val="TableParagraph"/>
              <w:ind w:left="246" w:right="260"/>
              <w:jc w:val="center"/>
              <w:rPr>
                <w:sz w:val="20"/>
              </w:rPr>
            </w:pPr>
            <w:r>
              <w:rPr>
                <w:spacing w:val="-2"/>
                <w:sz w:val="20"/>
              </w:rPr>
              <w:t>$3.31</w:t>
            </w:r>
          </w:p>
        </w:tc>
        <w:tc>
          <w:tcPr>
            <w:tcW w:w="1048" w:type="dxa"/>
            <w:tcBorders>
              <w:bottom w:val="single" w:color="D9D9D9" w:sz="2" w:space="0"/>
            </w:tcBorders>
          </w:tcPr>
          <w:p w:rsidR="00C31389" w:rsidRDefault="00561FBD" w14:paraId="2D5AF951" w14:textId="77777777">
            <w:pPr>
              <w:pStyle w:val="TableParagraph"/>
              <w:ind w:left="244" w:right="260"/>
              <w:jc w:val="center"/>
              <w:rPr>
                <w:sz w:val="20"/>
              </w:rPr>
            </w:pPr>
            <w:r>
              <w:rPr>
                <w:spacing w:val="-2"/>
                <w:sz w:val="20"/>
              </w:rPr>
              <w:t>$9.81</w:t>
            </w:r>
          </w:p>
        </w:tc>
        <w:tc>
          <w:tcPr>
            <w:tcW w:w="1048" w:type="dxa"/>
            <w:tcBorders>
              <w:bottom w:val="single" w:color="D9D9D9" w:sz="2" w:space="0"/>
            </w:tcBorders>
          </w:tcPr>
          <w:p w:rsidR="00C31389" w:rsidRDefault="00561FBD" w14:paraId="161B6BC0" w14:textId="77777777">
            <w:pPr>
              <w:pStyle w:val="TableParagraph"/>
              <w:ind w:left="241" w:right="260"/>
              <w:jc w:val="center"/>
              <w:rPr>
                <w:sz w:val="20"/>
              </w:rPr>
            </w:pPr>
            <w:r>
              <w:rPr>
                <w:spacing w:val="-2"/>
                <w:sz w:val="20"/>
              </w:rPr>
              <w:t>$0.29</w:t>
            </w:r>
          </w:p>
        </w:tc>
      </w:tr>
      <w:tr w:rsidR="00C31389" w14:paraId="7FC4C093" w14:textId="77777777">
        <w:trPr>
          <w:trHeight w:val="310"/>
        </w:trPr>
        <w:tc>
          <w:tcPr>
            <w:tcW w:w="1054" w:type="dxa"/>
            <w:tcBorders>
              <w:top w:val="single" w:color="D9D9D9" w:sz="2" w:space="0"/>
              <w:bottom w:val="single" w:color="D9D9D9" w:sz="2" w:space="0"/>
            </w:tcBorders>
          </w:tcPr>
          <w:p w:rsidR="00C31389" w:rsidRDefault="00561FBD" w14:paraId="0F8B7BC8" w14:textId="77777777">
            <w:pPr>
              <w:pStyle w:val="TableParagraph"/>
              <w:spacing w:before="41"/>
              <w:ind w:left="129"/>
              <w:rPr>
                <w:sz w:val="20"/>
              </w:rPr>
            </w:pPr>
            <w:r>
              <w:rPr>
                <w:spacing w:val="-5"/>
                <w:sz w:val="20"/>
              </w:rPr>
              <w:t>SCE</w:t>
            </w:r>
          </w:p>
        </w:tc>
        <w:tc>
          <w:tcPr>
            <w:tcW w:w="998" w:type="dxa"/>
            <w:tcBorders>
              <w:top w:val="single" w:color="D9D9D9" w:sz="2" w:space="0"/>
              <w:bottom w:val="single" w:color="D9D9D9" w:sz="2" w:space="0"/>
            </w:tcBorders>
          </w:tcPr>
          <w:p w:rsidR="00C31389" w:rsidRDefault="00561FBD" w14:paraId="75185549" w14:textId="77777777">
            <w:pPr>
              <w:pStyle w:val="TableParagraph"/>
              <w:spacing w:before="41"/>
              <w:ind w:left="209" w:right="257"/>
              <w:jc w:val="center"/>
              <w:rPr>
                <w:sz w:val="20"/>
              </w:rPr>
            </w:pPr>
            <w:r>
              <w:rPr>
                <w:spacing w:val="-2"/>
                <w:sz w:val="20"/>
              </w:rPr>
              <w:t>$0.19</w:t>
            </w:r>
          </w:p>
        </w:tc>
        <w:tc>
          <w:tcPr>
            <w:tcW w:w="1047" w:type="dxa"/>
            <w:tcBorders>
              <w:top w:val="single" w:color="D9D9D9" w:sz="2" w:space="0"/>
              <w:bottom w:val="single" w:color="D9D9D9" w:sz="2" w:space="0"/>
            </w:tcBorders>
          </w:tcPr>
          <w:p w:rsidR="00C31389" w:rsidRDefault="00561FBD" w14:paraId="418CC31C" w14:textId="77777777">
            <w:pPr>
              <w:pStyle w:val="TableParagraph"/>
              <w:spacing w:before="41"/>
              <w:ind w:left="253" w:right="253"/>
              <w:jc w:val="center"/>
              <w:rPr>
                <w:sz w:val="20"/>
              </w:rPr>
            </w:pPr>
            <w:r>
              <w:rPr>
                <w:spacing w:val="-2"/>
                <w:sz w:val="20"/>
              </w:rPr>
              <w:t>$0.43</w:t>
            </w:r>
          </w:p>
        </w:tc>
        <w:tc>
          <w:tcPr>
            <w:tcW w:w="1048" w:type="dxa"/>
            <w:tcBorders>
              <w:top w:val="single" w:color="D9D9D9" w:sz="2" w:space="0"/>
              <w:bottom w:val="single" w:color="D9D9D9" w:sz="2" w:space="0"/>
            </w:tcBorders>
          </w:tcPr>
          <w:p w:rsidR="00C31389" w:rsidRDefault="00561FBD" w14:paraId="5025F119" w14:textId="77777777">
            <w:pPr>
              <w:pStyle w:val="TableParagraph"/>
              <w:spacing w:before="41"/>
              <w:ind w:left="249" w:right="253"/>
              <w:jc w:val="center"/>
              <w:rPr>
                <w:sz w:val="20"/>
              </w:rPr>
            </w:pPr>
            <w:r>
              <w:rPr>
                <w:spacing w:val="-2"/>
                <w:sz w:val="20"/>
              </w:rPr>
              <w:t>$0.25</w:t>
            </w:r>
          </w:p>
        </w:tc>
        <w:tc>
          <w:tcPr>
            <w:tcW w:w="1048" w:type="dxa"/>
            <w:tcBorders>
              <w:top w:val="single" w:color="D9D9D9" w:sz="2" w:space="0"/>
              <w:bottom w:val="single" w:color="D9D9D9" w:sz="2" w:space="0"/>
            </w:tcBorders>
          </w:tcPr>
          <w:p w:rsidR="00C31389" w:rsidRDefault="00561FBD" w14:paraId="5A9F2372" w14:textId="77777777">
            <w:pPr>
              <w:pStyle w:val="TableParagraph"/>
              <w:spacing w:before="41"/>
              <w:ind w:left="249" w:right="254"/>
              <w:jc w:val="center"/>
              <w:rPr>
                <w:sz w:val="20"/>
              </w:rPr>
            </w:pPr>
            <w:r>
              <w:rPr>
                <w:spacing w:val="-2"/>
                <w:sz w:val="20"/>
              </w:rPr>
              <w:t>$0.15</w:t>
            </w:r>
          </w:p>
        </w:tc>
        <w:tc>
          <w:tcPr>
            <w:tcW w:w="1047" w:type="dxa"/>
            <w:tcBorders>
              <w:top w:val="single" w:color="D9D9D9" w:sz="2" w:space="0"/>
              <w:bottom w:val="single" w:color="D9D9D9" w:sz="2" w:space="0"/>
            </w:tcBorders>
          </w:tcPr>
          <w:p w:rsidR="00C31389" w:rsidRDefault="00561FBD" w14:paraId="261FC4AD" w14:textId="77777777">
            <w:pPr>
              <w:pStyle w:val="TableParagraph"/>
              <w:spacing w:before="41"/>
              <w:ind w:left="249" w:right="258"/>
              <w:jc w:val="center"/>
              <w:rPr>
                <w:sz w:val="20"/>
              </w:rPr>
            </w:pPr>
            <w:r>
              <w:rPr>
                <w:spacing w:val="-5"/>
                <w:sz w:val="20"/>
              </w:rPr>
              <w:t>N/A</w:t>
            </w:r>
          </w:p>
        </w:tc>
        <w:tc>
          <w:tcPr>
            <w:tcW w:w="1048" w:type="dxa"/>
            <w:tcBorders>
              <w:top w:val="single" w:color="D9D9D9" w:sz="2" w:space="0"/>
              <w:bottom w:val="single" w:color="D9D9D9" w:sz="2" w:space="0"/>
            </w:tcBorders>
          </w:tcPr>
          <w:p w:rsidR="00C31389" w:rsidRDefault="00561FBD" w14:paraId="2BC8E8C8" w14:textId="77777777">
            <w:pPr>
              <w:pStyle w:val="TableParagraph"/>
              <w:spacing w:before="41"/>
              <w:ind w:left="249" w:right="260"/>
              <w:jc w:val="center"/>
              <w:rPr>
                <w:sz w:val="20"/>
              </w:rPr>
            </w:pPr>
            <w:r>
              <w:rPr>
                <w:spacing w:val="-5"/>
                <w:sz w:val="20"/>
              </w:rPr>
              <w:t>N/A</w:t>
            </w:r>
          </w:p>
        </w:tc>
        <w:tc>
          <w:tcPr>
            <w:tcW w:w="1048" w:type="dxa"/>
            <w:tcBorders>
              <w:top w:val="single" w:color="D9D9D9" w:sz="2" w:space="0"/>
              <w:bottom w:val="single" w:color="D9D9D9" w:sz="2" w:space="0"/>
            </w:tcBorders>
          </w:tcPr>
          <w:p w:rsidR="00C31389" w:rsidRDefault="00561FBD" w14:paraId="55970284" w14:textId="77777777">
            <w:pPr>
              <w:pStyle w:val="TableParagraph"/>
              <w:spacing w:before="41"/>
              <w:ind w:left="246" w:right="260"/>
              <w:jc w:val="center"/>
              <w:rPr>
                <w:sz w:val="20"/>
              </w:rPr>
            </w:pPr>
            <w:r>
              <w:rPr>
                <w:spacing w:val="-5"/>
                <w:sz w:val="20"/>
              </w:rPr>
              <w:t>N/A</w:t>
            </w:r>
          </w:p>
        </w:tc>
        <w:tc>
          <w:tcPr>
            <w:tcW w:w="1048" w:type="dxa"/>
            <w:tcBorders>
              <w:top w:val="single" w:color="D9D9D9" w:sz="2" w:space="0"/>
              <w:bottom w:val="single" w:color="D9D9D9" w:sz="2" w:space="0"/>
            </w:tcBorders>
          </w:tcPr>
          <w:p w:rsidR="00C31389" w:rsidRDefault="00561FBD" w14:paraId="1D487532" w14:textId="77777777">
            <w:pPr>
              <w:pStyle w:val="TableParagraph"/>
              <w:spacing w:before="41"/>
              <w:ind w:left="240" w:right="260"/>
              <w:jc w:val="center"/>
              <w:rPr>
                <w:sz w:val="20"/>
              </w:rPr>
            </w:pPr>
            <w:r>
              <w:rPr>
                <w:spacing w:val="-5"/>
                <w:sz w:val="20"/>
              </w:rPr>
              <w:t>N/A</w:t>
            </w:r>
          </w:p>
        </w:tc>
      </w:tr>
      <w:tr w:rsidR="00C31389" w14:paraId="45FC164B" w14:textId="77777777">
        <w:trPr>
          <w:trHeight w:val="309"/>
        </w:trPr>
        <w:tc>
          <w:tcPr>
            <w:tcW w:w="1054" w:type="dxa"/>
            <w:tcBorders>
              <w:top w:val="single" w:color="D9D9D9" w:sz="2" w:space="0"/>
              <w:bottom w:val="single" w:color="D9D9D9" w:sz="2" w:space="0"/>
            </w:tcBorders>
          </w:tcPr>
          <w:p w:rsidR="00C31389" w:rsidRDefault="00561FBD" w14:paraId="3A1CB732" w14:textId="77777777">
            <w:pPr>
              <w:pStyle w:val="TableParagraph"/>
              <w:ind w:left="129"/>
              <w:rPr>
                <w:sz w:val="20"/>
              </w:rPr>
            </w:pPr>
            <w:r>
              <w:rPr>
                <w:spacing w:val="-5"/>
                <w:sz w:val="20"/>
              </w:rPr>
              <w:t>SCG</w:t>
            </w:r>
          </w:p>
        </w:tc>
        <w:tc>
          <w:tcPr>
            <w:tcW w:w="998" w:type="dxa"/>
            <w:tcBorders>
              <w:top w:val="single" w:color="D9D9D9" w:sz="2" w:space="0"/>
              <w:bottom w:val="single" w:color="D9D9D9" w:sz="2" w:space="0"/>
            </w:tcBorders>
          </w:tcPr>
          <w:p w:rsidR="00C31389" w:rsidRDefault="00561FBD" w14:paraId="7AACD34D" w14:textId="77777777">
            <w:pPr>
              <w:pStyle w:val="TableParagraph"/>
              <w:ind w:left="209" w:right="257"/>
              <w:jc w:val="center"/>
              <w:rPr>
                <w:sz w:val="20"/>
              </w:rPr>
            </w:pPr>
            <w:r>
              <w:rPr>
                <w:spacing w:val="-5"/>
                <w:sz w:val="20"/>
              </w:rPr>
              <w:t>N/A</w:t>
            </w:r>
          </w:p>
        </w:tc>
        <w:tc>
          <w:tcPr>
            <w:tcW w:w="1047" w:type="dxa"/>
            <w:tcBorders>
              <w:top w:val="single" w:color="D9D9D9" w:sz="2" w:space="0"/>
              <w:bottom w:val="single" w:color="D9D9D9" w:sz="2" w:space="0"/>
            </w:tcBorders>
          </w:tcPr>
          <w:p w:rsidR="00C31389" w:rsidRDefault="00561FBD" w14:paraId="53331E84" w14:textId="77777777">
            <w:pPr>
              <w:pStyle w:val="TableParagraph"/>
              <w:ind w:left="253" w:right="253"/>
              <w:jc w:val="center"/>
              <w:rPr>
                <w:sz w:val="20"/>
              </w:rPr>
            </w:pPr>
            <w:r>
              <w:rPr>
                <w:spacing w:val="-5"/>
                <w:sz w:val="20"/>
              </w:rPr>
              <w:t>N/A</w:t>
            </w:r>
          </w:p>
        </w:tc>
        <w:tc>
          <w:tcPr>
            <w:tcW w:w="1048" w:type="dxa"/>
            <w:tcBorders>
              <w:top w:val="single" w:color="D9D9D9" w:sz="2" w:space="0"/>
              <w:bottom w:val="single" w:color="D9D9D9" w:sz="2" w:space="0"/>
            </w:tcBorders>
          </w:tcPr>
          <w:p w:rsidR="00C31389" w:rsidRDefault="00561FBD" w14:paraId="6B269D5F" w14:textId="77777777">
            <w:pPr>
              <w:pStyle w:val="TableParagraph"/>
              <w:ind w:left="249" w:right="254"/>
              <w:jc w:val="center"/>
              <w:rPr>
                <w:sz w:val="20"/>
              </w:rPr>
            </w:pPr>
            <w:r>
              <w:rPr>
                <w:spacing w:val="-5"/>
                <w:sz w:val="20"/>
              </w:rPr>
              <w:t>N/A</w:t>
            </w:r>
          </w:p>
        </w:tc>
        <w:tc>
          <w:tcPr>
            <w:tcW w:w="1048" w:type="dxa"/>
            <w:tcBorders>
              <w:top w:val="single" w:color="D9D9D9" w:sz="2" w:space="0"/>
              <w:bottom w:val="single" w:color="D9D9D9" w:sz="2" w:space="0"/>
            </w:tcBorders>
          </w:tcPr>
          <w:p w:rsidR="00C31389" w:rsidRDefault="00561FBD" w14:paraId="4370232C" w14:textId="77777777">
            <w:pPr>
              <w:pStyle w:val="TableParagraph"/>
              <w:ind w:left="249" w:right="257"/>
              <w:jc w:val="center"/>
              <w:rPr>
                <w:sz w:val="20"/>
              </w:rPr>
            </w:pPr>
            <w:r>
              <w:rPr>
                <w:spacing w:val="-5"/>
                <w:sz w:val="20"/>
              </w:rPr>
              <w:t>N/A</w:t>
            </w:r>
          </w:p>
        </w:tc>
        <w:tc>
          <w:tcPr>
            <w:tcW w:w="1047" w:type="dxa"/>
            <w:tcBorders>
              <w:top w:val="single" w:color="D9D9D9" w:sz="2" w:space="0"/>
              <w:bottom w:val="single" w:color="D9D9D9" w:sz="2" w:space="0"/>
            </w:tcBorders>
          </w:tcPr>
          <w:p w:rsidR="00C31389" w:rsidRDefault="00561FBD" w14:paraId="40022AEC" w14:textId="77777777">
            <w:pPr>
              <w:pStyle w:val="TableParagraph"/>
              <w:ind w:left="248" w:right="258"/>
              <w:jc w:val="center"/>
              <w:rPr>
                <w:sz w:val="20"/>
              </w:rPr>
            </w:pPr>
            <w:r>
              <w:rPr>
                <w:spacing w:val="-2"/>
                <w:sz w:val="20"/>
              </w:rPr>
              <w:t>$1.70</w:t>
            </w:r>
          </w:p>
        </w:tc>
        <w:tc>
          <w:tcPr>
            <w:tcW w:w="1048" w:type="dxa"/>
            <w:tcBorders>
              <w:top w:val="single" w:color="D9D9D9" w:sz="2" w:space="0"/>
              <w:bottom w:val="single" w:color="D9D9D9" w:sz="2" w:space="0"/>
            </w:tcBorders>
          </w:tcPr>
          <w:p w:rsidR="00C31389" w:rsidRDefault="00561FBD" w14:paraId="2E3574B4" w14:textId="77777777">
            <w:pPr>
              <w:pStyle w:val="TableParagraph"/>
              <w:ind w:left="246" w:right="260"/>
              <w:jc w:val="center"/>
              <w:rPr>
                <w:sz w:val="20"/>
              </w:rPr>
            </w:pPr>
            <w:r>
              <w:rPr>
                <w:spacing w:val="-2"/>
                <w:sz w:val="20"/>
              </w:rPr>
              <w:t>$1.65</w:t>
            </w:r>
          </w:p>
        </w:tc>
        <w:tc>
          <w:tcPr>
            <w:tcW w:w="1048" w:type="dxa"/>
            <w:tcBorders>
              <w:top w:val="single" w:color="D9D9D9" w:sz="2" w:space="0"/>
              <w:bottom w:val="single" w:color="D9D9D9" w:sz="2" w:space="0"/>
            </w:tcBorders>
          </w:tcPr>
          <w:p w:rsidR="00C31389" w:rsidRDefault="00561FBD" w14:paraId="53CAF67B" w14:textId="77777777">
            <w:pPr>
              <w:pStyle w:val="TableParagraph"/>
              <w:ind w:left="244" w:right="260"/>
              <w:jc w:val="center"/>
              <w:rPr>
                <w:sz w:val="20"/>
              </w:rPr>
            </w:pPr>
            <w:r>
              <w:rPr>
                <w:spacing w:val="-2"/>
                <w:sz w:val="20"/>
              </w:rPr>
              <w:t>$0.26</w:t>
            </w:r>
          </w:p>
        </w:tc>
        <w:tc>
          <w:tcPr>
            <w:tcW w:w="1048" w:type="dxa"/>
            <w:tcBorders>
              <w:top w:val="single" w:color="D9D9D9" w:sz="2" w:space="0"/>
              <w:bottom w:val="single" w:color="D9D9D9" w:sz="2" w:space="0"/>
            </w:tcBorders>
          </w:tcPr>
          <w:p w:rsidR="00C31389" w:rsidRDefault="00561FBD" w14:paraId="2C5EA566" w14:textId="77777777">
            <w:pPr>
              <w:pStyle w:val="TableParagraph"/>
              <w:ind w:left="241" w:right="260"/>
              <w:jc w:val="center"/>
              <w:rPr>
                <w:sz w:val="20"/>
              </w:rPr>
            </w:pPr>
            <w:r>
              <w:rPr>
                <w:spacing w:val="-2"/>
                <w:sz w:val="20"/>
              </w:rPr>
              <w:t>$1.65</w:t>
            </w:r>
          </w:p>
        </w:tc>
      </w:tr>
      <w:tr w:rsidR="00C31389" w14:paraId="7906F9FF" w14:textId="77777777">
        <w:trPr>
          <w:trHeight w:val="311"/>
        </w:trPr>
        <w:tc>
          <w:tcPr>
            <w:tcW w:w="1054" w:type="dxa"/>
            <w:tcBorders>
              <w:top w:val="single" w:color="D9D9D9" w:sz="2" w:space="0"/>
              <w:bottom w:val="single" w:color="000000" w:sz="8" w:space="0"/>
            </w:tcBorders>
          </w:tcPr>
          <w:p w:rsidR="00C31389" w:rsidRDefault="00561FBD" w14:paraId="72F005B9" w14:textId="77777777">
            <w:pPr>
              <w:pStyle w:val="TableParagraph"/>
              <w:spacing w:before="41"/>
              <w:ind w:left="129"/>
              <w:rPr>
                <w:sz w:val="20"/>
              </w:rPr>
            </w:pPr>
            <w:r>
              <w:rPr>
                <w:spacing w:val="-2"/>
                <w:sz w:val="20"/>
              </w:rPr>
              <w:t>SDG&amp;E</w:t>
            </w:r>
          </w:p>
        </w:tc>
        <w:tc>
          <w:tcPr>
            <w:tcW w:w="998" w:type="dxa"/>
            <w:tcBorders>
              <w:top w:val="single" w:color="D9D9D9" w:sz="2" w:space="0"/>
              <w:bottom w:val="single" w:color="000000" w:sz="8" w:space="0"/>
            </w:tcBorders>
          </w:tcPr>
          <w:p w:rsidR="00C31389" w:rsidRDefault="00561FBD" w14:paraId="7D18792C" w14:textId="77777777">
            <w:pPr>
              <w:pStyle w:val="TableParagraph"/>
              <w:spacing w:before="41"/>
              <w:ind w:left="209" w:right="257"/>
              <w:jc w:val="center"/>
              <w:rPr>
                <w:sz w:val="20"/>
              </w:rPr>
            </w:pPr>
            <w:r>
              <w:rPr>
                <w:spacing w:val="-2"/>
                <w:sz w:val="20"/>
              </w:rPr>
              <w:t>$0.03</w:t>
            </w:r>
          </w:p>
        </w:tc>
        <w:tc>
          <w:tcPr>
            <w:tcW w:w="1047" w:type="dxa"/>
            <w:tcBorders>
              <w:top w:val="single" w:color="D9D9D9" w:sz="2" w:space="0"/>
              <w:bottom w:val="single" w:color="000000" w:sz="8" w:space="0"/>
            </w:tcBorders>
          </w:tcPr>
          <w:p w:rsidR="00C31389" w:rsidRDefault="00561FBD" w14:paraId="2EED8DA3" w14:textId="77777777">
            <w:pPr>
              <w:pStyle w:val="TableParagraph"/>
              <w:spacing w:before="41"/>
              <w:ind w:left="253" w:right="253"/>
              <w:jc w:val="center"/>
              <w:rPr>
                <w:sz w:val="20"/>
              </w:rPr>
            </w:pPr>
            <w:r>
              <w:rPr>
                <w:spacing w:val="-2"/>
                <w:sz w:val="20"/>
              </w:rPr>
              <w:t>$0.17</w:t>
            </w:r>
          </w:p>
        </w:tc>
        <w:tc>
          <w:tcPr>
            <w:tcW w:w="1048" w:type="dxa"/>
            <w:tcBorders>
              <w:top w:val="single" w:color="D9D9D9" w:sz="2" w:space="0"/>
              <w:bottom w:val="single" w:color="000000" w:sz="8" w:space="0"/>
            </w:tcBorders>
          </w:tcPr>
          <w:p w:rsidR="00C31389" w:rsidRDefault="00561FBD" w14:paraId="6A5F7B68" w14:textId="77777777">
            <w:pPr>
              <w:pStyle w:val="TableParagraph"/>
              <w:spacing w:before="41"/>
              <w:ind w:left="249" w:right="253"/>
              <w:jc w:val="center"/>
              <w:rPr>
                <w:sz w:val="20"/>
              </w:rPr>
            </w:pPr>
            <w:r>
              <w:rPr>
                <w:spacing w:val="-2"/>
                <w:sz w:val="20"/>
              </w:rPr>
              <w:t>$0.19</w:t>
            </w:r>
          </w:p>
        </w:tc>
        <w:tc>
          <w:tcPr>
            <w:tcW w:w="1048" w:type="dxa"/>
            <w:tcBorders>
              <w:top w:val="single" w:color="D9D9D9" w:sz="2" w:space="0"/>
              <w:bottom w:val="single" w:color="000000" w:sz="8" w:space="0"/>
            </w:tcBorders>
          </w:tcPr>
          <w:p w:rsidR="00C31389" w:rsidRDefault="00561FBD" w14:paraId="6C0E32C6" w14:textId="77777777">
            <w:pPr>
              <w:pStyle w:val="TableParagraph"/>
              <w:spacing w:before="41"/>
              <w:ind w:left="249" w:right="254"/>
              <w:jc w:val="center"/>
              <w:rPr>
                <w:sz w:val="20"/>
              </w:rPr>
            </w:pPr>
            <w:r>
              <w:rPr>
                <w:spacing w:val="-2"/>
                <w:sz w:val="20"/>
              </w:rPr>
              <w:t>$0.11</w:t>
            </w:r>
          </w:p>
        </w:tc>
        <w:tc>
          <w:tcPr>
            <w:tcW w:w="1047" w:type="dxa"/>
            <w:tcBorders>
              <w:top w:val="single" w:color="D9D9D9" w:sz="2" w:space="0"/>
              <w:bottom w:val="single" w:color="000000" w:sz="8" w:space="0"/>
            </w:tcBorders>
          </w:tcPr>
          <w:p w:rsidR="00C31389" w:rsidRDefault="00561FBD" w14:paraId="77BEC8A4" w14:textId="77777777">
            <w:pPr>
              <w:pStyle w:val="TableParagraph"/>
              <w:spacing w:before="41"/>
              <w:ind w:left="249" w:right="258"/>
              <w:jc w:val="center"/>
              <w:rPr>
                <w:sz w:val="20"/>
              </w:rPr>
            </w:pPr>
            <w:r>
              <w:rPr>
                <w:spacing w:val="-2"/>
                <w:sz w:val="20"/>
              </w:rPr>
              <w:t>$0.83</w:t>
            </w:r>
          </w:p>
        </w:tc>
        <w:tc>
          <w:tcPr>
            <w:tcW w:w="1048" w:type="dxa"/>
            <w:tcBorders>
              <w:top w:val="single" w:color="D9D9D9" w:sz="2" w:space="0"/>
              <w:bottom w:val="single" w:color="000000" w:sz="8" w:space="0"/>
            </w:tcBorders>
          </w:tcPr>
          <w:p w:rsidR="00C31389" w:rsidRDefault="00561FBD" w14:paraId="6D243F60" w14:textId="77777777">
            <w:pPr>
              <w:pStyle w:val="TableParagraph"/>
              <w:spacing w:before="41"/>
              <w:ind w:left="249" w:right="260"/>
              <w:jc w:val="center"/>
              <w:rPr>
                <w:sz w:val="20"/>
              </w:rPr>
            </w:pPr>
            <w:r>
              <w:rPr>
                <w:spacing w:val="-2"/>
                <w:sz w:val="20"/>
              </w:rPr>
              <w:t>$5.11</w:t>
            </w:r>
          </w:p>
        </w:tc>
        <w:tc>
          <w:tcPr>
            <w:tcW w:w="1048" w:type="dxa"/>
            <w:tcBorders>
              <w:top w:val="single" w:color="D9D9D9" w:sz="2" w:space="0"/>
              <w:bottom w:val="single" w:color="000000" w:sz="8" w:space="0"/>
            </w:tcBorders>
          </w:tcPr>
          <w:p w:rsidR="00C31389" w:rsidRDefault="00561FBD" w14:paraId="22A03333" w14:textId="77777777">
            <w:pPr>
              <w:pStyle w:val="TableParagraph"/>
              <w:spacing w:before="41"/>
              <w:ind w:left="245" w:right="260"/>
              <w:jc w:val="center"/>
              <w:rPr>
                <w:sz w:val="20"/>
              </w:rPr>
            </w:pPr>
            <w:r>
              <w:rPr>
                <w:spacing w:val="-2"/>
                <w:sz w:val="20"/>
              </w:rPr>
              <w:t>$5.58</w:t>
            </w:r>
          </w:p>
        </w:tc>
        <w:tc>
          <w:tcPr>
            <w:tcW w:w="1048" w:type="dxa"/>
            <w:tcBorders>
              <w:top w:val="single" w:color="D9D9D9" w:sz="2" w:space="0"/>
              <w:bottom w:val="single" w:color="000000" w:sz="8" w:space="0"/>
            </w:tcBorders>
          </w:tcPr>
          <w:p w:rsidR="00C31389" w:rsidRDefault="00561FBD" w14:paraId="76D8DF99" w14:textId="77777777">
            <w:pPr>
              <w:pStyle w:val="TableParagraph"/>
              <w:spacing w:before="41"/>
              <w:ind w:left="242" w:right="260"/>
              <w:jc w:val="center"/>
              <w:rPr>
                <w:sz w:val="20"/>
              </w:rPr>
            </w:pPr>
            <w:r>
              <w:rPr>
                <w:spacing w:val="-2"/>
                <w:sz w:val="20"/>
              </w:rPr>
              <w:t>$3.35</w:t>
            </w:r>
          </w:p>
        </w:tc>
      </w:tr>
    </w:tbl>
    <w:p w:rsidR="00C31389" w:rsidRDefault="00561FBD" w14:paraId="1BB1B0F0" w14:textId="77777777">
      <w:pPr>
        <w:spacing w:before="72"/>
        <w:ind w:left="480"/>
        <w:rPr>
          <w:i/>
          <w:sz w:val="18"/>
        </w:rPr>
      </w:pPr>
      <w:r>
        <w:rPr>
          <w:i/>
          <w:sz w:val="18"/>
        </w:rPr>
        <w:t>Source:</w:t>
      </w:r>
      <w:r>
        <w:rPr>
          <w:i/>
          <w:spacing w:val="-6"/>
          <w:sz w:val="18"/>
        </w:rPr>
        <w:t xml:space="preserve"> </w:t>
      </w:r>
      <w:r>
        <w:rPr>
          <w:i/>
          <w:sz w:val="18"/>
        </w:rPr>
        <w:t>CPUC,</w:t>
      </w:r>
      <w:r>
        <w:rPr>
          <w:i/>
          <w:spacing w:val="-3"/>
          <w:sz w:val="18"/>
        </w:rPr>
        <w:t xml:space="preserve"> </w:t>
      </w:r>
      <w:r>
        <w:rPr>
          <w:i/>
          <w:sz w:val="18"/>
        </w:rPr>
        <w:t>CEDARS</w:t>
      </w:r>
      <w:r>
        <w:rPr>
          <w:i/>
          <w:spacing w:val="-4"/>
          <w:sz w:val="18"/>
        </w:rPr>
        <w:t xml:space="preserve"> </w:t>
      </w:r>
      <w:r>
        <w:rPr>
          <w:i/>
          <w:sz w:val="18"/>
        </w:rPr>
        <w:t>–</w:t>
      </w:r>
      <w:r>
        <w:rPr>
          <w:i/>
          <w:spacing w:val="-4"/>
          <w:sz w:val="18"/>
        </w:rPr>
        <w:t xml:space="preserve"> </w:t>
      </w:r>
      <w:r>
        <w:rPr>
          <w:i/>
          <w:sz w:val="18"/>
        </w:rPr>
        <w:t>2023</w:t>
      </w:r>
      <w:r>
        <w:rPr>
          <w:i/>
          <w:spacing w:val="-4"/>
          <w:sz w:val="18"/>
        </w:rPr>
        <w:t xml:space="preserve"> </w:t>
      </w:r>
      <w:r>
        <w:rPr>
          <w:i/>
          <w:sz w:val="18"/>
        </w:rPr>
        <w:t>Program</w:t>
      </w:r>
      <w:r>
        <w:rPr>
          <w:i/>
          <w:spacing w:val="-3"/>
          <w:sz w:val="18"/>
        </w:rPr>
        <w:t xml:space="preserve"> </w:t>
      </w:r>
      <w:r>
        <w:rPr>
          <w:i/>
          <w:sz w:val="18"/>
        </w:rPr>
        <w:t>Filings</w:t>
      </w:r>
      <w:r>
        <w:rPr>
          <w:i/>
          <w:spacing w:val="-3"/>
          <w:sz w:val="18"/>
        </w:rPr>
        <w:t xml:space="preserve"> </w:t>
      </w:r>
      <w:r>
        <w:rPr>
          <w:i/>
          <w:spacing w:val="-4"/>
          <w:sz w:val="18"/>
        </w:rPr>
        <w:t>Data</w:t>
      </w:r>
    </w:p>
    <w:p w:rsidR="00C31389" w:rsidRDefault="00C31389" w14:paraId="0ADDA010" w14:textId="77777777">
      <w:pPr>
        <w:pStyle w:val="BodyText"/>
        <w:rPr>
          <w:i/>
          <w:sz w:val="20"/>
        </w:rPr>
      </w:pPr>
    </w:p>
    <w:p w:rsidR="00C31389" w:rsidRDefault="00561FBD" w14:paraId="7352341E" w14:textId="77777777">
      <w:pPr>
        <w:pStyle w:val="Heading4"/>
        <w:numPr>
          <w:ilvl w:val="2"/>
          <w:numId w:val="71"/>
        </w:numPr>
        <w:tabs>
          <w:tab w:val="left" w:pos="1076"/>
        </w:tabs>
        <w:spacing w:before="129"/>
        <w:ind w:left="1076" w:hanging="596"/>
      </w:pPr>
      <w:bookmarkStart w:name="3.1.5_Avoided_Costs" w:id="150"/>
      <w:bookmarkStart w:name="_bookmark113" w:id="151"/>
      <w:bookmarkEnd w:id="150"/>
      <w:bookmarkEnd w:id="151"/>
      <w:r>
        <w:t>Avoided</w:t>
      </w:r>
      <w:r>
        <w:rPr>
          <w:spacing w:val="-4"/>
        </w:rPr>
        <w:t xml:space="preserve"> </w:t>
      </w:r>
      <w:r>
        <w:rPr>
          <w:spacing w:val="-2"/>
        </w:rPr>
        <w:t>Costs</w:t>
      </w:r>
    </w:p>
    <w:p w:rsidR="00C31389" w:rsidRDefault="00C31389" w14:paraId="33A6467B" w14:textId="77777777">
      <w:pPr>
        <w:pStyle w:val="BodyText"/>
        <w:spacing w:before="10"/>
        <w:rPr>
          <w:b/>
          <w:sz w:val="20"/>
        </w:rPr>
      </w:pPr>
    </w:p>
    <w:p w:rsidR="00C31389" w:rsidRDefault="00561FBD" w14:paraId="0CEA9F99" w14:textId="77777777">
      <w:pPr>
        <w:pStyle w:val="BodyText"/>
        <w:ind w:left="480" w:right="533"/>
      </w:pPr>
      <w:r>
        <w:t>Avoided</w:t>
      </w:r>
      <w:r>
        <w:rPr>
          <w:spacing w:val="-3"/>
        </w:rPr>
        <w:t xml:space="preserve"> </w:t>
      </w:r>
      <w:r>
        <w:t>costs</w:t>
      </w:r>
      <w:r>
        <w:rPr>
          <w:spacing w:val="-3"/>
        </w:rPr>
        <w:t xml:space="preserve"> </w:t>
      </w:r>
      <w:r>
        <w:t>place</w:t>
      </w:r>
      <w:r>
        <w:rPr>
          <w:spacing w:val="-3"/>
        </w:rPr>
        <w:t xml:space="preserve"> </w:t>
      </w:r>
      <w:r>
        <w:t>an</w:t>
      </w:r>
      <w:r>
        <w:rPr>
          <w:spacing w:val="-4"/>
        </w:rPr>
        <w:t xml:space="preserve"> </w:t>
      </w:r>
      <w:r>
        <w:t>economic</w:t>
      </w:r>
      <w:r>
        <w:rPr>
          <w:spacing w:val="-3"/>
        </w:rPr>
        <w:t xml:space="preserve"> </w:t>
      </w:r>
      <w:r>
        <w:t>value</w:t>
      </w:r>
      <w:r>
        <w:rPr>
          <w:spacing w:val="-3"/>
        </w:rPr>
        <w:t xml:space="preserve"> </w:t>
      </w:r>
      <w:r>
        <w:t>on</w:t>
      </w:r>
      <w:r>
        <w:rPr>
          <w:spacing w:val="-3"/>
        </w:rPr>
        <w:t xml:space="preserve"> </w:t>
      </w:r>
      <w:r>
        <w:t>the</w:t>
      </w:r>
      <w:r>
        <w:rPr>
          <w:spacing w:val="-4"/>
        </w:rPr>
        <w:t xml:space="preserve"> </w:t>
      </w:r>
      <w:r>
        <w:t>amount</w:t>
      </w:r>
      <w:r>
        <w:rPr>
          <w:spacing w:val="-3"/>
        </w:rPr>
        <w:t xml:space="preserve"> </w:t>
      </w:r>
      <w:r>
        <w:t>of</w:t>
      </w:r>
      <w:r>
        <w:rPr>
          <w:spacing w:val="-3"/>
        </w:rPr>
        <w:t xml:space="preserve"> </w:t>
      </w:r>
      <w:r>
        <w:t>energy</w:t>
      </w:r>
      <w:r>
        <w:rPr>
          <w:spacing w:val="-3"/>
        </w:rPr>
        <w:t xml:space="preserve"> </w:t>
      </w:r>
      <w:r>
        <w:t>and</w:t>
      </w:r>
      <w:r>
        <w:rPr>
          <w:spacing w:val="-3"/>
        </w:rPr>
        <w:t xml:space="preserve"> </w:t>
      </w:r>
      <w:r>
        <w:t>GHG</w:t>
      </w:r>
      <w:r>
        <w:rPr>
          <w:spacing w:val="-4"/>
        </w:rPr>
        <w:t xml:space="preserve"> </w:t>
      </w:r>
      <w:r>
        <w:t>emissions</w:t>
      </w:r>
      <w:r>
        <w:rPr>
          <w:spacing w:val="-3"/>
        </w:rPr>
        <w:t xml:space="preserve"> </w:t>
      </w:r>
      <w:r>
        <w:t>saved</w:t>
      </w:r>
      <w:r>
        <w:rPr>
          <w:spacing w:val="-3"/>
        </w:rPr>
        <w:t xml:space="preserve"> </w:t>
      </w:r>
      <w:r>
        <w:t>by implementing an energy-saving measure. Avoided costs are a key input to calculating cost-</w:t>
      </w:r>
    </w:p>
    <w:p w:rsidR="00C31389" w:rsidRDefault="00C31389" w14:paraId="1FF96BED" w14:textId="77777777">
      <w:pPr>
        <w:sectPr w:rsidR="00C31389">
          <w:pgSz w:w="12240" w:h="15840"/>
          <w:pgMar w:top="1380" w:right="960" w:bottom="1120" w:left="960" w:header="397" w:footer="936" w:gutter="0"/>
          <w:cols w:space="720"/>
        </w:sectPr>
      </w:pPr>
    </w:p>
    <w:p w:rsidR="00C31389" w:rsidRDefault="00C31389" w14:paraId="3EAE378B" w14:textId="77777777">
      <w:pPr>
        <w:pStyle w:val="BodyText"/>
        <w:spacing w:before="11"/>
        <w:rPr>
          <w:sz w:val="13"/>
        </w:rPr>
      </w:pPr>
    </w:p>
    <w:p w:rsidR="00C31389" w:rsidRDefault="00561FBD" w14:paraId="3C959E2C" w14:textId="77777777">
      <w:pPr>
        <w:pStyle w:val="BodyText"/>
        <w:spacing w:before="92"/>
        <w:ind w:left="480" w:right="533" w:hanging="1"/>
      </w:pPr>
      <w:r>
        <w:t>effectiveness.</w:t>
      </w:r>
      <w:r>
        <w:rPr>
          <w:spacing w:val="-3"/>
        </w:rPr>
        <w:t xml:space="preserve"> </w:t>
      </w:r>
      <w:r>
        <w:t>One</w:t>
      </w:r>
      <w:r>
        <w:rPr>
          <w:spacing w:val="-3"/>
        </w:rPr>
        <w:t xml:space="preserve"> </w:t>
      </w:r>
      <w:r>
        <w:t>set</w:t>
      </w:r>
      <w:r>
        <w:rPr>
          <w:spacing w:val="-3"/>
        </w:rPr>
        <w:t xml:space="preserve"> </w:t>
      </w:r>
      <w:r>
        <w:t>of</w:t>
      </w:r>
      <w:r>
        <w:rPr>
          <w:spacing w:val="-3"/>
        </w:rPr>
        <w:t xml:space="preserve"> </w:t>
      </w:r>
      <w:r>
        <w:t>avoided</w:t>
      </w:r>
      <w:r>
        <w:rPr>
          <w:spacing w:val="-3"/>
        </w:rPr>
        <w:t xml:space="preserve"> </w:t>
      </w:r>
      <w:r>
        <w:t>costs</w:t>
      </w:r>
      <w:r>
        <w:rPr>
          <w:spacing w:val="-3"/>
        </w:rPr>
        <w:t xml:space="preserve"> </w:t>
      </w:r>
      <w:r>
        <w:t>are</w:t>
      </w:r>
      <w:r>
        <w:rPr>
          <w:spacing w:val="-3"/>
        </w:rPr>
        <w:t xml:space="preserve"> </w:t>
      </w:r>
      <w:r>
        <w:t>used</w:t>
      </w:r>
      <w:r>
        <w:rPr>
          <w:spacing w:val="-4"/>
        </w:rPr>
        <w:t xml:space="preserve"> </w:t>
      </w:r>
      <w:r>
        <w:t>for</w:t>
      </w:r>
      <w:r>
        <w:rPr>
          <w:spacing w:val="-3"/>
        </w:rPr>
        <w:t xml:space="preserve"> </w:t>
      </w:r>
      <w:r>
        <w:t>this</w:t>
      </w:r>
      <w:r>
        <w:rPr>
          <w:spacing w:val="-3"/>
        </w:rPr>
        <w:t xml:space="preserve"> </w:t>
      </w:r>
      <w:r>
        <w:t>analysis,</w:t>
      </w:r>
      <w:r>
        <w:rPr>
          <w:spacing w:val="-3"/>
        </w:rPr>
        <w:t xml:space="preserve"> </w:t>
      </w:r>
      <w:r>
        <w:t>the</w:t>
      </w:r>
      <w:r>
        <w:rPr>
          <w:spacing w:val="-3"/>
        </w:rPr>
        <w:t xml:space="preserve"> </w:t>
      </w:r>
      <w:r>
        <w:t>2022</w:t>
      </w:r>
      <w:r>
        <w:rPr>
          <w:spacing w:val="-3"/>
        </w:rPr>
        <w:t xml:space="preserve"> </w:t>
      </w:r>
      <w:r>
        <w:t>vintage</w:t>
      </w:r>
      <w:r>
        <w:rPr>
          <w:spacing w:val="-3"/>
        </w:rPr>
        <w:t xml:space="preserve"> </w:t>
      </w:r>
      <w:r>
        <w:t>of</w:t>
      </w:r>
      <w:r>
        <w:rPr>
          <w:spacing w:val="-3"/>
        </w:rPr>
        <w:t xml:space="preserve"> </w:t>
      </w:r>
      <w:r>
        <w:t>the avoided cost calculators (ACC).</w:t>
      </w:r>
    </w:p>
    <w:p w:rsidR="00C31389" w:rsidRDefault="00C31389" w14:paraId="52E1CD2F" w14:textId="77777777">
      <w:pPr>
        <w:pStyle w:val="BodyText"/>
        <w:spacing w:before="9"/>
        <w:rPr>
          <w:sz w:val="20"/>
        </w:rPr>
      </w:pPr>
    </w:p>
    <w:p w:rsidR="00C31389" w:rsidRDefault="00561FBD" w14:paraId="3B895DB0" w14:textId="77777777">
      <w:pPr>
        <w:pStyle w:val="BodyText"/>
        <w:spacing w:before="1"/>
        <w:ind w:left="480" w:right="533" w:hanging="1"/>
      </w:pPr>
      <w:r>
        <w:t xml:space="preserve">To source the 2022 vintage of avoided costs, Guidehouse worked with CPUC contractors E3 and DNV to obtain </w:t>
      </w:r>
      <w:r>
        <w:t>avoided cost inputs. Gas avoided costs were provided for each utility and sector,</w:t>
      </w:r>
      <w:r>
        <w:rPr>
          <w:spacing w:val="-3"/>
        </w:rPr>
        <w:t xml:space="preserve"> </w:t>
      </w:r>
      <w:r>
        <w:t>and</w:t>
      </w:r>
      <w:r>
        <w:rPr>
          <w:spacing w:val="-4"/>
        </w:rPr>
        <w:t xml:space="preserve"> </w:t>
      </w:r>
      <w:r>
        <w:t>electric</w:t>
      </w:r>
      <w:r>
        <w:rPr>
          <w:spacing w:val="-3"/>
        </w:rPr>
        <w:t xml:space="preserve"> </w:t>
      </w:r>
      <w:r>
        <w:t>avoided</w:t>
      </w:r>
      <w:r>
        <w:rPr>
          <w:spacing w:val="-3"/>
        </w:rPr>
        <w:t xml:space="preserve"> </w:t>
      </w:r>
      <w:r>
        <w:t>costs</w:t>
      </w:r>
      <w:r>
        <w:rPr>
          <w:spacing w:val="-3"/>
        </w:rPr>
        <w:t xml:space="preserve"> </w:t>
      </w:r>
      <w:r>
        <w:t>were</w:t>
      </w:r>
      <w:r>
        <w:rPr>
          <w:spacing w:val="-3"/>
        </w:rPr>
        <w:t xml:space="preserve"> </w:t>
      </w:r>
      <w:r>
        <w:t>provided</w:t>
      </w:r>
      <w:r>
        <w:rPr>
          <w:spacing w:val="-4"/>
        </w:rPr>
        <w:t xml:space="preserve"> </w:t>
      </w:r>
      <w:r>
        <w:t>by</w:t>
      </w:r>
      <w:r>
        <w:rPr>
          <w:spacing w:val="-3"/>
        </w:rPr>
        <w:t xml:space="preserve"> </w:t>
      </w:r>
      <w:r>
        <w:t>sector,</w:t>
      </w:r>
      <w:r>
        <w:rPr>
          <w:spacing w:val="-3"/>
        </w:rPr>
        <w:t xml:space="preserve"> </w:t>
      </w:r>
      <w:r>
        <w:t>utility,</w:t>
      </w:r>
      <w:r>
        <w:rPr>
          <w:spacing w:val="-3"/>
        </w:rPr>
        <w:t xml:space="preserve"> </w:t>
      </w:r>
      <w:r>
        <w:t>and</w:t>
      </w:r>
      <w:r>
        <w:rPr>
          <w:spacing w:val="-3"/>
        </w:rPr>
        <w:t xml:space="preserve"> </w:t>
      </w:r>
      <w:r>
        <w:t>end</w:t>
      </w:r>
      <w:r>
        <w:rPr>
          <w:spacing w:val="-3"/>
        </w:rPr>
        <w:t xml:space="preserve"> </w:t>
      </w:r>
      <w:r>
        <w:t>use.</w:t>
      </w:r>
      <w:r>
        <w:rPr>
          <w:spacing w:val="-3"/>
        </w:rPr>
        <w:t xml:space="preserve"> </w:t>
      </w:r>
      <w:r>
        <w:t>For</w:t>
      </w:r>
      <w:r>
        <w:rPr>
          <w:spacing w:val="-3"/>
        </w:rPr>
        <w:t xml:space="preserve"> </w:t>
      </w:r>
      <w:r>
        <w:t>the</w:t>
      </w:r>
      <w:r>
        <w:rPr>
          <w:spacing w:val="-3"/>
        </w:rPr>
        <w:t xml:space="preserve"> </w:t>
      </w:r>
      <w:r>
        <w:t>electric avoided costs, Guidehouse mapped each measure to an end use by matching to the Elec</w:t>
      </w:r>
      <w:r>
        <w:t>tric Loadshape Identifier in the eTRM.</w:t>
      </w:r>
    </w:p>
    <w:p w:rsidR="00C31389" w:rsidRDefault="00C31389" w14:paraId="1FDC0C12" w14:textId="77777777">
      <w:pPr>
        <w:pStyle w:val="BodyText"/>
        <w:spacing w:before="9"/>
        <w:rPr>
          <w:sz w:val="20"/>
        </w:rPr>
      </w:pPr>
    </w:p>
    <w:p w:rsidR="00C31389" w:rsidRDefault="00561FBD" w14:paraId="57C7CDED" w14:textId="77777777">
      <w:pPr>
        <w:pStyle w:val="BodyText"/>
        <w:ind w:left="481" w:right="533"/>
      </w:pPr>
      <w:r>
        <w:t>The</w:t>
      </w:r>
      <w:r>
        <w:rPr>
          <w:spacing w:val="-2"/>
        </w:rPr>
        <w:t xml:space="preserve"> </w:t>
      </w:r>
      <w:r>
        <w:t>2023</w:t>
      </w:r>
      <w:r>
        <w:rPr>
          <w:spacing w:val="-2"/>
        </w:rPr>
        <w:t xml:space="preserve"> </w:t>
      </w:r>
      <w:r>
        <w:t>PG</w:t>
      </w:r>
      <w:r>
        <w:rPr>
          <w:spacing w:val="-3"/>
        </w:rPr>
        <w:t xml:space="preserve"> </w:t>
      </w:r>
      <w:r>
        <w:t>Model</w:t>
      </w:r>
      <w:r>
        <w:rPr>
          <w:spacing w:val="-2"/>
        </w:rPr>
        <w:t xml:space="preserve"> </w:t>
      </w:r>
      <w:r>
        <w:t>is</w:t>
      </w:r>
      <w:r>
        <w:rPr>
          <w:spacing w:val="-2"/>
        </w:rPr>
        <w:t xml:space="preserve"> </w:t>
      </w:r>
      <w:r>
        <w:t>not</w:t>
      </w:r>
      <w:r>
        <w:rPr>
          <w:spacing w:val="-2"/>
        </w:rPr>
        <w:t xml:space="preserve"> </w:t>
      </w:r>
      <w:r>
        <w:t>meant</w:t>
      </w:r>
      <w:r>
        <w:rPr>
          <w:spacing w:val="-2"/>
        </w:rPr>
        <w:t xml:space="preserve"> </w:t>
      </w:r>
      <w:r>
        <w:t>to</w:t>
      </w:r>
      <w:r>
        <w:rPr>
          <w:spacing w:val="-2"/>
        </w:rPr>
        <w:t xml:space="preserve"> </w:t>
      </w:r>
      <w:r>
        <w:t>exactly</w:t>
      </w:r>
      <w:r>
        <w:rPr>
          <w:spacing w:val="-3"/>
        </w:rPr>
        <w:t xml:space="preserve"> </w:t>
      </w:r>
      <w:r>
        <w:t>replicate</w:t>
      </w:r>
      <w:r>
        <w:rPr>
          <w:spacing w:val="-2"/>
        </w:rPr>
        <w:t xml:space="preserve"> </w:t>
      </w:r>
      <w:r>
        <w:t>the</w:t>
      </w:r>
      <w:r>
        <w:rPr>
          <w:spacing w:val="-2"/>
        </w:rPr>
        <w:t xml:space="preserve"> </w:t>
      </w:r>
      <w:r>
        <w:t>CET</w:t>
      </w:r>
      <w:r>
        <w:rPr>
          <w:spacing w:val="-2"/>
        </w:rPr>
        <w:t xml:space="preserve"> </w:t>
      </w:r>
      <w:r>
        <w:t>in</w:t>
      </w:r>
      <w:r>
        <w:rPr>
          <w:spacing w:val="-2"/>
        </w:rPr>
        <w:t xml:space="preserve"> </w:t>
      </w:r>
      <w:r>
        <w:t>all</w:t>
      </w:r>
      <w:r>
        <w:rPr>
          <w:spacing w:val="-2"/>
        </w:rPr>
        <w:t xml:space="preserve"> </w:t>
      </w:r>
      <w:r>
        <w:t>its</w:t>
      </w:r>
      <w:r>
        <w:rPr>
          <w:spacing w:val="-2"/>
        </w:rPr>
        <w:t xml:space="preserve"> </w:t>
      </w:r>
      <w:r>
        <w:t>functions</w:t>
      </w:r>
      <w:r>
        <w:rPr>
          <w:spacing w:val="-2"/>
        </w:rPr>
        <w:t xml:space="preserve"> </w:t>
      </w:r>
      <w:r>
        <w:t>and</w:t>
      </w:r>
      <w:r>
        <w:rPr>
          <w:spacing w:val="-3"/>
        </w:rPr>
        <w:t xml:space="preserve"> </w:t>
      </w:r>
      <w:r>
        <w:t xml:space="preserve">granularity. Rather, the model applies avoided costs to the algorithms specified in the California Standard Practice Manual for </w:t>
      </w:r>
      <w:r>
        <w:t>cost-effectiveness calculations. Appendix I describes the avoided cost development for the 2023 Study analysis.</w:t>
      </w:r>
    </w:p>
    <w:p w:rsidR="00C31389" w:rsidRDefault="00C31389" w14:paraId="2733F090" w14:textId="77777777">
      <w:pPr>
        <w:pStyle w:val="BodyText"/>
        <w:rPr>
          <w:sz w:val="21"/>
        </w:rPr>
      </w:pPr>
    </w:p>
    <w:p w:rsidR="00C31389" w:rsidRDefault="00561FBD" w14:paraId="0EA09AA2" w14:textId="77777777">
      <w:pPr>
        <w:pStyle w:val="Heading2"/>
        <w:numPr>
          <w:ilvl w:val="1"/>
          <w:numId w:val="71"/>
        </w:numPr>
        <w:tabs>
          <w:tab w:val="left" w:pos="945"/>
        </w:tabs>
        <w:ind w:left="945" w:hanging="465"/>
      </w:pPr>
      <w:bookmarkStart w:name="3.2_Residential_and_Commercial_Technolog" w:id="152"/>
      <w:bookmarkStart w:name="_bookmark114" w:id="153"/>
      <w:bookmarkEnd w:id="152"/>
      <w:bookmarkEnd w:id="153"/>
      <w:r>
        <w:t>Residential</w:t>
      </w:r>
      <w:r>
        <w:rPr>
          <w:spacing w:val="-16"/>
        </w:rPr>
        <w:t xml:space="preserve"> </w:t>
      </w:r>
      <w:r>
        <w:t>and</w:t>
      </w:r>
      <w:r>
        <w:rPr>
          <w:spacing w:val="-17"/>
        </w:rPr>
        <w:t xml:space="preserve"> </w:t>
      </w:r>
      <w:r>
        <w:t>Commercial</w:t>
      </w:r>
      <w:r>
        <w:rPr>
          <w:spacing w:val="-16"/>
        </w:rPr>
        <w:t xml:space="preserve"> </w:t>
      </w:r>
      <w:r>
        <w:t>Technology</w:t>
      </w:r>
      <w:r>
        <w:rPr>
          <w:spacing w:val="-16"/>
        </w:rPr>
        <w:t xml:space="preserve"> </w:t>
      </w:r>
      <w:r>
        <w:rPr>
          <w:spacing w:val="-2"/>
        </w:rPr>
        <w:t>Characterization</w:t>
      </w:r>
    </w:p>
    <w:p w:rsidR="00C31389" w:rsidRDefault="00561FBD" w14:paraId="4258F5EB" w14:textId="77777777">
      <w:pPr>
        <w:pStyle w:val="BodyText"/>
        <w:spacing w:before="240"/>
        <w:ind w:left="480" w:right="513"/>
      </w:pPr>
      <w:r>
        <w:t xml:space="preserve">The technology characterization step develops the essential inputs used in the PG Model </w:t>
      </w:r>
      <w:r>
        <w:t>to calculate potential. This section provides an overview of the technology selection process for</w:t>
      </w:r>
      <w:r>
        <w:rPr>
          <w:spacing w:val="40"/>
        </w:rPr>
        <w:t xml:space="preserve"> </w:t>
      </w:r>
      <w:r>
        <w:t>the residential and commercial sectors, describes the fields along which technologies are characterized, lists the data sources and describes how these source</w:t>
      </w:r>
      <w:r>
        <w:t>s are used for characterization,</w:t>
      </w:r>
      <w:r>
        <w:rPr>
          <w:spacing w:val="-4"/>
        </w:rPr>
        <w:t xml:space="preserve"> </w:t>
      </w:r>
      <w:r>
        <w:t>and</w:t>
      </w:r>
      <w:r>
        <w:rPr>
          <w:spacing w:val="-4"/>
        </w:rPr>
        <w:t xml:space="preserve"> </w:t>
      </w:r>
      <w:r>
        <w:t>directs</w:t>
      </w:r>
      <w:r>
        <w:rPr>
          <w:spacing w:val="-4"/>
        </w:rPr>
        <w:t xml:space="preserve"> </w:t>
      </w:r>
      <w:r>
        <w:t>the</w:t>
      </w:r>
      <w:r>
        <w:rPr>
          <w:spacing w:val="-4"/>
        </w:rPr>
        <w:t xml:space="preserve"> </w:t>
      </w:r>
      <w:r>
        <w:t>reader</w:t>
      </w:r>
      <w:r>
        <w:rPr>
          <w:spacing w:val="-4"/>
        </w:rPr>
        <w:t xml:space="preserve"> </w:t>
      </w:r>
      <w:r>
        <w:t>to</w:t>
      </w:r>
      <w:r>
        <w:rPr>
          <w:spacing w:val="-4"/>
        </w:rPr>
        <w:t xml:space="preserve"> </w:t>
      </w:r>
      <w:r>
        <w:t>the</w:t>
      </w:r>
      <w:r>
        <w:rPr>
          <w:spacing w:val="-4"/>
        </w:rPr>
        <w:t xml:space="preserve"> </w:t>
      </w:r>
      <w:r>
        <w:t>complete</w:t>
      </w:r>
      <w:r>
        <w:rPr>
          <w:spacing w:val="-4"/>
        </w:rPr>
        <w:t xml:space="preserve"> </w:t>
      </w:r>
      <w:r>
        <w:t>database</w:t>
      </w:r>
      <w:r>
        <w:rPr>
          <w:spacing w:val="-4"/>
        </w:rPr>
        <w:t xml:space="preserve"> </w:t>
      </w:r>
      <w:r>
        <w:t>of</w:t>
      </w:r>
      <w:r>
        <w:rPr>
          <w:spacing w:val="-4"/>
        </w:rPr>
        <w:t xml:space="preserve"> </w:t>
      </w:r>
      <w:r>
        <w:t>characterized</w:t>
      </w:r>
      <w:r>
        <w:rPr>
          <w:spacing w:val="-4"/>
        </w:rPr>
        <w:t xml:space="preserve"> </w:t>
      </w:r>
      <w:r>
        <w:t>technologies.</w:t>
      </w:r>
    </w:p>
    <w:p w:rsidR="00C31389" w:rsidRDefault="00C31389" w14:paraId="69DF13A2" w14:textId="77777777">
      <w:pPr>
        <w:pStyle w:val="BodyText"/>
        <w:spacing w:before="9"/>
        <w:rPr>
          <w:sz w:val="20"/>
        </w:rPr>
      </w:pPr>
    </w:p>
    <w:p w:rsidR="00C31389" w:rsidRDefault="00561FBD" w14:paraId="2E0110D5" w14:textId="77777777">
      <w:pPr>
        <w:pStyle w:val="BodyText"/>
        <w:spacing w:before="1"/>
        <w:ind w:left="480" w:right="485"/>
      </w:pPr>
      <w:r>
        <w:t xml:space="preserve">Like the 2021 Study, the 2023 Study uses a technology-based characterization, which characterizes individual technology levels within a technology group. A </w:t>
      </w:r>
      <w:r>
        <w:rPr>
          <w:b/>
        </w:rPr>
        <w:t xml:space="preserve">technology group </w:t>
      </w:r>
      <w:r>
        <w:t>includes</w:t>
      </w:r>
      <w:r>
        <w:rPr>
          <w:spacing w:val="-4"/>
        </w:rPr>
        <w:t xml:space="preserve"> </w:t>
      </w:r>
      <w:r>
        <w:t>multiple</w:t>
      </w:r>
      <w:r>
        <w:rPr>
          <w:spacing w:val="-4"/>
        </w:rPr>
        <w:t xml:space="preserve"> </w:t>
      </w:r>
      <w:r>
        <w:t>technologies</w:t>
      </w:r>
      <w:r>
        <w:rPr>
          <w:spacing w:val="-4"/>
        </w:rPr>
        <w:t xml:space="preserve"> </w:t>
      </w:r>
      <w:r>
        <w:t>with</w:t>
      </w:r>
      <w:r>
        <w:rPr>
          <w:spacing w:val="-4"/>
        </w:rPr>
        <w:t xml:space="preserve"> </w:t>
      </w:r>
      <w:r>
        <w:t>different</w:t>
      </w:r>
      <w:r>
        <w:rPr>
          <w:spacing w:val="-4"/>
        </w:rPr>
        <w:t xml:space="preserve"> </w:t>
      </w:r>
      <w:r>
        <w:t>efficiency</w:t>
      </w:r>
      <w:r>
        <w:rPr>
          <w:spacing w:val="-4"/>
        </w:rPr>
        <w:t xml:space="preserve"> </w:t>
      </w:r>
      <w:r>
        <w:t>levels</w:t>
      </w:r>
      <w:r>
        <w:rPr>
          <w:spacing w:val="-4"/>
        </w:rPr>
        <w:t xml:space="preserve"> </w:t>
      </w:r>
      <w:r>
        <w:t>that</w:t>
      </w:r>
      <w:r>
        <w:rPr>
          <w:spacing w:val="-4"/>
        </w:rPr>
        <w:t xml:space="preserve"> </w:t>
      </w:r>
      <w:r>
        <w:t>compete</w:t>
      </w:r>
      <w:r>
        <w:rPr>
          <w:spacing w:val="-4"/>
        </w:rPr>
        <w:t xml:space="preserve"> </w:t>
      </w:r>
      <w:r>
        <w:t>for</w:t>
      </w:r>
      <w:r>
        <w:rPr>
          <w:spacing w:val="-4"/>
        </w:rPr>
        <w:t xml:space="preserve"> </w:t>
      </w:r>
      <w:r>
        <w:t>st</w:t>
      </w:r>
      <w:r>
        <w:t>ock</w:t>
      </w:r>
      <w:r>
        <w:rPr>
          <w:spacing w:val="-4"/>
        </w:rPr>
        <w:t xml:space="preserve"> </w:t>
      </w:r>
      <w:r>
        <w:t>replacement under an end use. A technology group is also commonly referred to as a Competition Group (CG). For example, floor insulation retrofit measures with different efficiency levels (below code R0, code level R19, efficient level R30, etc.) are c</w:t>
      </w:r>
      <w:r>
        <w:t>onsidered a single technology group termed floor insulation retrofits.</w:t>
      </w:r>
    </w:p>
    <w:p w:rsidR="00C31389" w:rsidRDefault="00C31389" w14:paraId="79EF9331" w14:textId="77777777">
      <w:pPr>
        <w:pStyle w:val="BodyText"/>
        <w:spacing w:before="4"/>
        <w:rPr>
          <w:sz w:val="31"/>
        </w:rPr>
      </w:pPr>
    </w:p>
    <w:p w:rsidR="00C31389" w:rsidRDefault="00561FBD" w14:paraId="76EEBA81" w14:textId="77777777">
      <w:pPr>
        <w:pStyle w:val="Heading4"/>
        <w:numPr>
          <w:ilvl w:val="2"/>
          <w:numId w:val="71"/>
        </w:numPr>
        <w:tabs>
          <w:tab w:val="left" w:pos="1076"/>
        </w:tabs>
        <w:ind w:left="1076" w:hanging="596"/>
      </w:pPr>
      <w:bookmarkStart w:name="3.2.1_Technology_Selection_Process" w:id="154"/>
      <w:bookmarkStart w:name="_bookmark115" w:id="155"/>
      <w:bookmarkEnd w:id="154"/>
      <w:bookmarkEnd w:id="155"/>
      <w:r>
        <w:t>Technology</w:t>
      </w:r>
      <w:r>
        <w:rPr>
          <w:spacing w:val="-6"/>
        </w:rPr>
        <w:t xml:space="preserve"> </w:t>
      </w:r>
      <w:r>
        <w:t>Selection</w:t>
      </w:r>
      <w:r>
        <w:rPr>
          <w:spacing w:val="-5"/>
        </w:rPr>
        <w:t xml:space="preserve"> </w:t>
      </w:r>
      <w:r>
        <w:rPr>
          <w:spacing w:val="-2"/>
        </w:rPr>
        <w:t>Process</w:t>
      </w:r>
    </w:p>
    <w:p w:rsidR="00C31389" w:rsidRDefault="00C31389" w14:paraId="3F75E2DF" w14:textId="77777777">
      <w:pPr>
        <w:pStyle w:val="BodyText"/>
        <w:spacing w:before="9"/>
        <w:rPr>
          <w:b/>
          <w:sz w:val="20"/>
        </w:rPr>
      </w:pPr>
    </w:p>
    <w:p w:rsidR="00C31389" w:rsidRDefault="00561FBD" w14:paraId="288D502B" w14:textId="77777777">
      <w:pPr>
        <w:pStyle w:val="BodyText"/>
        <w:spacing w:before="1"/>
        <w:ind w:left="480" w:right="533"/>
      </w:pPr>
      <w:r>
        <w:t>The</w:t>
      </w:r>
      <w:r>
        <w:rPr>
          <w:spacing w:val="-3"/>
        </w:rPr>
        <w:t xml:space="preserve"> </w:t>
      </w:r>
      <w:r>
        <w:t>technology</w:t>
      </w:r>
      <w:r>
        <w:rPr>
          <w:spacing w:val="-3"/>
        </w:rPr>
        <w:t xml:space="preserve"> </w:t>
      </w:r>
      <w:r>
        <w:t>selection</w:t>
      </w:r>
      <w:r>
        <w:rPr>
          <w:spacing w:val="-3"/>
        </w:rPr>
        <w:t xml:space="preserve"> </w:t>
      </w:r>
      <w:r>
        <w:t>process</w:t>
      </w:r>
      <w:r>
        <w:rPr>
          <w:spacing w:val="-3"/>
        </w:rPr>
        <w:t xml:space="preserve"> </w:t>
      </w:r>
      <w:r>
        <w:t>for</w:t>
      </w:r>
      <w:r>
        <w:rPr>
          <w:spacing w:val="-3"/>
        </w:rPr>
        <w:t xml:space="preserve"> </w:t>
      </w:r>
      <w:r>
        <w:t>the</w:t>
      </w:r>
      <w:r>
        <w:rPr>
          <w:spacing w:val="-3"/>
        </w:rPr>
        <w:t xml:space="preserve"> </w:t>
      </w:r>
      <w:r>
        <w:t>2023</w:t>
      </w:r>
      <w:r>
        <w:rPr>
          <w:spacing w:val="-2"/>
        </w:rPr>
        <w:t xml:space="preserve"> </w:t>
      </w:r>
      <w:r>
        <w:t>Study</w:t>
      </w:r>
      <w:r>
        <w:rPr>
          <w:spacing w:val="-3"/>
        </w:rPr>
        <w:t xml:space="preserve"> </w:t>
      </w:r>
      <w:r>
        <w:t>used</w:t>
      </w:r>
      <w:r>
        <w:rPr>
          <w:spacing w:val="-3"/>
        </w:rPr>
        <w:t xml:space="preserve"> </w:t>
      </w:r>
      <w:r>
        <w:t>the</w:t>
      </w:r>
      <w:r>
        <w:rPr>
          <w:spacing w:val="-3"/>
        </w:rPr>
        <w:t xml:space="preserve"> </w:t>
      </w:r>
      <w:r>
        <w:t>2021</w:t>
      </w:r>
      <w:r>
        <w:rPr>
          <w:spacing w:val="-3"/>
        </w:rPr>
        <w:t xml:space="preserve"> </w:t>
      </w:r>
      <w:r>
        <w:t>Study’s</w:t>
      </w:r>
      <w:r>
        <w:rPr>
          <w:spacing w:val="-3"/>
        </w:rPr>
        <w:t xml:space="preserve"> </w:t>
      </w:r>
      <w:r>
        <w:t>technology</w:t>
      </w:r>
      <w:r>
        <w:rPr>
          <w:spacing w:val="-3"/>
        </w:rPr>
        <w:t xml:space="preserve"> </w:t>
      </w:r>
      <w:r>
        <w:t>list</w:t>
      </w:r>
      <w:r>
        <w:rPr>
          <w:spacing w:val="-3"/>
        </w:rPr>
        <w:t xml:space="preserve"> </w:t>
      </w:r>
      <w:r>
        <w:t>as</w:t>
      </w:r>
      <w:r>
        <w:rPr>
          <w:spacing w:val="-3"/>
        </w:rPr>
        <w:t xml:space="preserve"> </w:t>
      </w:r>
      <w:r>
        <w:t xml:space="preserve">a starting point. The Guidehouse team retained many </w:t>
      </w:r>
      <w:r>
        <w:t>technologies from the previous study but refreshed the list by adding and removing some technology groups and levels within groups.</w:t>
      </w:r>
    </w:p>
    <w:p w:rsidR="00C31389" w:rsidRDefault="00561FBD" w14:paraId="50493C37" w14:textId="77777777">
      <w:pPr>
        <w:pStyle w:val="BodyText"/>
        <w:ind w:left="480" w:right="533"/>
      </w:pPr>
      <w:r>
        <w:t>The draft residential and commercial measure list for the 2023 Study was released to stakeholders</w:t>
      </w:r>
      <w:r>
        <w:rPr>
          <w:spacing w:val="-3"/>
        </w:rPr>
        <w:t xml:space="preserve"> </w:t>
      </w:r>
      <w:r>
        <w:t>and</w:t>
      </w:r>
      <w:r>
        <w:rPr>
          <w:spacing w:val="-3"/>
        </w:rPr>
        <w:t xml:space="preserve"> </w:t>
      </w:r>
      <w:r>
        <w:t>posted</w:t>
      </w:r>
      <w:r>
        <w:rPr>
          <w:spacing w:val="-3"/>
        </w:rPr>
        <w:t xml:space="preserve"> </w:t>
      </w:r>
      <w:r>
        <w:t>to</w:t>
      </w:r>
      <w:r>
        <w:rPr>
          <w:spacing w:val="-3"/>
        </w:rPr>
        <w:t xml:space="preserve"> </w:t>
      </w:r>
      <w:r>
        <w:t>the</w:t>
      </w:r>
      <w:r>
        <w:rPr>
          <w:spacing w:val="-2"/>
        </w:rPr>
        <w:t xml:space="preserve"> </w:t>
      </w:r>
      <w:r>
        <w:t>CPUC</w:t>
      </w:r>
      <w:r>
        <w:rPr>
          <w:spacing w:val="-4"/>
        </w:rPr>
        <w:t xml:space="preserve"> </w:t>
      </w:r>
      <w:r>
        <w:t>web</w:t>
      </w:r>
      <w:r>
        <w:t>site</w:t>
      </w:r>
      <w:r>
        <w:rPr>
          <w:spacing w:val="-3"/>
        </w:rPr>
        <w:t xml:space="preserve"> </w:t>
      </w:r>
      <w:r>
        <w:t>on</w:t>
      </w:r>
      <w:r>
        <w:rPr>
          <w:spacing w:val="-3"/>
        </w:rPr>
        <w:t xml:space="preserve"> </w:t>
      </w:r>
      <w:r>
        <w:t>August</w:t>
      </w:r>
      <w:r>
        <w:rPr>
          <w:spacing w:val="-3"/>
        </w:rPr>
        <w:t xml:space="preserve"> </w:t>
      </w:r>
      <w:r>
        <w:t>12,</w:t>
      </w:r>
      <w:r>
        <w:rPr>
          <w:spacing w:val="-3"/>
        </w:rPr>
        <w:t xml:space="preserve"> </w:t>
      </w:r>
      <w:r>
        <w:t>2022,</w:t>
      </w:r>
      <w:r>
        <w:rPr>
          <w:spacing w:val="-3"/>
        </w:rPr>
        <w:t xml:space="preserve"> </w:t>
      </w:r>
      <w:r>
        <w:t>for</w:t>
      </w:r>
      <w:r>
        <w:rPr>
          <w:spacing w:val="-5"/>
        </w:rPr>
        <w:t xml:space="preserve"> </w:t>
      </w:r>
      <w:r>
        <w:t>review</w:t>
      </w:r>
      <w:r>
        <w:rPr>
          <w:spacing w:val="-4"/>
        </w:rPr>
        <w:t xml:space="preserve"> </w:t>
      </w:r>
      <w:r>
        <w:t>and</w:t>
      </w:r>
      <w:r>
        <w:rPr>
          <w:spacing w:val="-3"/>
        </w:rPr>
        <w:t xml:space="preserve"> </w:t>
      </w:r>
      <w:r>
        <w:t>feedback. Major changes from the previous study include the following:</w:t>
      </w:r>
    </w:p>
    <w:p w:rsidR="00C31389" w:rsidRDefault="00561FBD" w14:paraId="2497E578" w14:textId="77777777">
      <w:pPr>
        <w:pStyle w:val="ListParagraph"/>
        <w:numPr>
          <w:ilvl w:val="0"/>
          <w:numId w:val="56"/>
        </w:numPr>
        <w:tabs>
          <w:tab w:val="left" w:pos="1200"/>
        </w:tabs>
        <w:spacing w:before="119"/>
        <w:ind w:right="509"/>
      </w:pPr>
      <w:r>
        <w:t>Added new gas to electricity FS measures based on available eTRM measure</w:t>
      </w:r>
      <w:r>
        <w:rPr>
          <w:spacing w:val="40"/>
        </w:rPr>
        <w:t xml:space="preserve"> </w:t>
      </w:r>
      <w:r>
        <w:t xml:space="preserve">packages. Some new FS measure levels like Heat Pump Clothes Dryers were </w:t>
      </w:r>
      <w:r>
        <w:t>added to existing gas-only technology groups such that they compete with existing efficient gas levels.</w:t>
      </w:r>
      <w:r>
        <w:rPr>
          <w:spacing w:val="-4"/>
        </w:rPr>
        <w:t xml:space="preserve"> </w:t>
      </w:r>
      <w:r>
        <w:t>Other</w:t>
      </w:r>
      <w:r>
        <w:rPr>
          <w:spacing w:val="-4"/>
        </w:rPr>
        <w:t xml:space="preserve"> </w:t>
      </w:r>
      <w:r>
        <w:t>measures</w:t>
      </w:r>
      <w:r>
        <w:rPr>
          <w:spacing w:val="-4"/>
        </w:rPr>
        <w:t xml:space="preserve"> </w:t>
      </w:r>
      <w:r>
        <w:t>like</w:t>
      </w:r>
      <w:r>
        <w:rPr>
          <w:spacing w:val="-4"/>
        </w:rPr>
        <w:t xml:space="preserve"> </w:t>
      </w:r>
      <w:r>
        <w:t>Ductless</w:t>
      </w:r>
      <w:r>
        <w:rPr>
          <w:spacing w:val="-5"/>
        </w:rPr>
        <w:t xml:space="preserve"> </w:t>
      </w:r>
      <w:r>
        <w:t>Mini-Split</w:t>
      </w:r>
      <w:r>
        <w:rPr>
          <w:spacing w:val="-4"/>
        </w:rPr>
        <w:t xml:space="preserve"> </w:t>
      </w:r>
      <w:r>
        <w:t>Heat</w:t>
      </w:r>
      <w:r>
        <w:rPr>
          <w:spacing w:val="-4"/>
        </w:rPr>
        <w:t xml:space="preserve"> </w:t>
      </w:r>
      <w:r>
        <w:t>Pump</w:t>
      </w:r>
      <w:r>
        <w:rPr>
          <w:spacing w:val="-4"/>
        </w:rPr>
        <w:t xml:space="preserve"> </w:t>
      </w:r>
      <w:r>
        <w:t>Fuel</w:t>
      </w:r>
      <w:r>
        <w:rPr>
          <w:spacing w:val="-4"/>
        </w:rPr>
        <w:t xml:space="preserve"> </w:t>
      </w:r>
      <w:r>
        <w:t>Substitution,</w:t>
      </w:r>
      <w:r>
        <w:rPr>
          <w:spacing w:val="-4"/>
        </w:rPr>
        <w:t xml:space="preserve"> </w:t>
      </w:r>
      <w:r>
        <w:t>Heat</w:t>
      </w:r>
      <w:r>
        <w:rPr>
          <w:spacing w:val="-4"/>
        </w:rPr>
        <w:t xml:space="preserve"> </w:t>
      </w:r>
      <w:r>
        <w:t xml:space="preserve">Pump Pool Heaters, and Large Com and Multifamily Heat Pump Water Heaters were </w:t>
      </w:r>
      <w:r>
        <w:t>added with new technology groups.</w:t>
      </w:r>
    </w:p>
    <w:p w:rsidR="00C31389" w:rsidRDefault="00561FBD" w14:paraId="724AFE1D" w14:textId="77777777">
      <w:pPr>
        <w:pStyle w:val="ListParagraph"/>
        <w:numPr>
          <w:ilvl w:val="0"/>
          <w:numId w:val="56"/>
        </w:numPr>
        <w:tabs>
          <w:tab w:val="left" w:pos="1201"/>
        </w:tabs>
        <w:spacing w:before="118"/>
        <w:ind w:left="1201" w:right="726" w:hanging="361"/>
      </w:pPr>
      <w:r>
        <w:t>Reorganized commercial air conditioning and heat pump measures into Small Unitary and</w:t>
      </w:r>
      <w:r>
        <w:rPr>
          <w:spacing w:val="-4"/>
        </w:rPr>
        <w:t xml:space="preserve"> </w:t>
      </w:r>
      <w:r>
        <w:t>Large</w:t>
      </w:r>
      <w:r>
        <w:rPr>
          <w:spacing w:val="-4"/>
        </w:rPr>
        <w:t xml:space="preserve"> </w:t>
      </w:r>
      <w:r>
        <w:t>Unitary</w:t>
      </w:r>
      <w:r>
        <w:rPr>
          <w:spacing w:val="-4"/>
        </w:rPr>
        <w:t xml:space="preserve"> </w:t>
      </w:r>
      <w:r>
        <w:t>technology</w:t>
      </w:r>
      <w:r>
        <w:rPr>
          <w:spacing w:val="-4"/>
        </w:rPr>
        <w:t xml:space="preserve"> </w:t>
      </w:r>
      <w:r>
        <w:t>groups</w:t>
      </w:r>
      <w:r>
        <w:rPr>
          <w:spacing w:val="-4"/>
        </w:rPr>
        <w:t xml:space="preserve"> </w:t>
      </w:r>
      <w:r>
        <w:t>to</w:t>
      </w:r>
      <w:r>
        <w:rPr>
          <w:spacing w:val="-4"/>
        </w:rPr>
        <w:t xml:space="preserve"> </w:t>
      </w:r>
      <w:r>
        <w:t>align</w:t>
      </w:r>
      <w:r>
        <w:rPr>
          <w:spacing w:val="-4"/>
        </w:rPr>
        <w:t xml:space="preserve"> </w:t>
      </w:r>
      <w:r>
        <w:t>with</w:t>
      </w:r>
      <w:r>
        <w:rPr>
          <w:spacing w:val="-4"/>
        </w:rPr>
        <w:t xml:space="preserve"> </w:t>
      </w:r>
      <w:r>
        <w:t>eTRM</w:t>
      </w:r>
      <w:r>
        <w:rPr>
          <w:spacing w:val="-4"/>
        </w:rPr>
        <w:t xml:space="preserve"> </w:t>
      </w:r>
      <w:r>
        <w:t>measure</w:t>
      </w:r>
      <w:r>
        <w:rPr>
          <w:spacing w:val="-4"/>
        </w:rPr>
        <w:t xml:space="preserve"> </w:t>
      </w:r>
      <w:r>
        <w:t>packages.</w:t>
      </w:r>
      <w:r>
        <w:rPr>
          <w:spacing w:val="-3"/>
        </w:rPr>
        <w:t xml:space="preserve"> </w:t>
      </w:r>
      <w:r>
        <w:t>Previous</w:t>
      </w:r>
    </w:p>
    <w:p w:rsidR="00C31389" w:rsidRDefault="00C31389" w14:paraId="4203905A" w14:textId="77777777">
      <w:pPr>
        <w:sectPr w:rsidR="00C31389">
          <w:headerReference w:type="default" r:id="rId102"/>
          <w:footerReference w:type="default" r:id="rId103"/>
          <w:pgSz w:w="12240" w:h="15840"/>
          <w:pgMar w:top="1660" w:right="960" w:bottom="1120" w:left="960" w:header="397" w:footer="936" w:gutter="0"/>
          <w:cols w:space="720"/>
        </w:sectPr>
      </w:pPr>
    </w:p>
    <w:p w:rsidR="00C31389" w:rsidRDefault="00C31389" w14:paraId="1DC5A33D" w14:textId="77777777">
      <w:pPr>
        <w:pStyle w:val="BodyText"/>
        <w:spacing w:before="11"/>
        <w:rPr>
          <w:sz w:val="13"/>
        </w:rPr>
      </w:pPr>
    </w:p>
    <w:p w:rsidR="00C31389" w:rsidRDefault="00561FBD" w14:paraId="42142D22" w14:textId="77777777">
      <w:pPr>
        <w:pStyle w:val="BodyText"/>
        <w:spacing w:before="92"/>
        <w:ind w:left="1200" w:right="533"/>
      </w:pPr>
      <w:r>
        <w:t>versions</w:t>
      </w:r>
      <w:r>
        <w:rPr>
          <w:spacing w:val="-4"/>
        </w:rPr>
        <w:t xml:space="preserve"> </w:t>
      </w:r>
      <w:r>
        <w:t>of</w:t>
      </w:r>
      <w:r>
        <w:rPr>
          <w:spacing w:val="-4"/>
        </w:rPr>
        <w:t xml:space="preserve"> </w:t>
      </w:r>
      <w:r>
        <w:t>the</w:t>
      </w:r>
      <w:r>
        <w:rPr>
          <w:spacing w:val="-4"/>
        </w:rPr>
        <w:t xml:space="preserve"> </w:t>
      </w:r>
      <w:r>
        <w:t>Study</w:t>
      </w:r>
      <w:r>
        <w:rPr>
          <w:spacing w:val="-4"/>
        </w:rPr>
        <w:t xml:space="preserve"> </w:t>
      </w:r>
      <w:r>
        <w:t>organized</w:t>
      </w:r>
      <w:r>
        <w:rPr>
          <w:spacing w:val="-4"/>
        </w:rPr>
        <w:t xml:space="preserve"> </w:t>
      </w:r>
      <w:r>
        <w:t>these</w:t>
      </w:r>
      <w:r>
        <w:rPr>
          <w:spacing w:val="-4"/>
        </w:rPr>
        <w:t xml:space="preserve"> </w:t>
      </w:r>
      <w:r>
        <w:t>measures</w:t>
      </w:r>
      <w:r>
        <w:rPr>
          <w:spacing w:val="-4"/>
        </w:rPr>
        <w:t xml:space="preserve"> </w:t>
      </w:r>
      <w:r>
        <w:t>using</w:t>
      </w:r>
      <w:r>
        <w:rPr>
          <w:spacing w:val="-4"/>
        </w:rPr>
        <w:t xml:space="preserve"> </w:t>
      </w:r>
      <w:r>
        <w:t>a</w:t>
      </w:r>
      <w:r>
        <w:rPr>
          <w:spacing w:val="-5"/>
        </w:rPr>
        <w:t xml:space="preserve"> </w:t>
      </w:r>
      <w:r>
        <w:t>split</w:t>
      </w:r>
      <w:r>
        <w:rPr>
          <w:spacing w:val="-4"/>
        </w:rPr>
        <w:t xml:space="preserve"> </w:t>
      </w:r>
      <w:r>
        <w:t>system</w:t>
      </w:r>
      <w:r>
        <w:rPr>
          <w:spacing w:val="-5"/>
        </w:rPr>
        <w:t xml:space="preserve"> </w:t>
      </w:r>
      <w:r>
        <w:t>versus</w:t>
      </w:r>
      <w:r>
        <w:rPr>
          <w:spacing w:val="-4"/>
        </w:rPr>
        <w:t xml:space="preserve"> </w:t>
      </w:r>
      <w:r>
        <w:t>packaged rooftop distinction.</w:t>
      </w:r>
    </w:p>
    <w:p w:rsidR="00C31389" w:rsidRDefault="00561FBD" w14:paraId="1B144041" w14:textId="77777777">
      <w:pPr>
        <w:pStyle w:val="ListParagraph"/>
        <w:numPr>
          <w:ilvl w:val="0"/>
          <w:numId w:val="56"/>
        </w:numPr>
        <w:tabs>
          <w:tab w:val="left" w:pos="1200"/>
        </w:tabs>
        <w:spacing w:before="120"/>
        <w:ind w:right="608"/>
      </w:pPr>
      <w:r>
        <w:t xml:space="preserve">Added HVAC efficiency level granularity (e.g., SEER 15, SEER 16, SEER </w:t>
      </w:r>
      <w:r>
        <w:t>17) to air conditioning</w:t>
      </w:r>
      <w:r>
        <w:rPr>
          <w:spacing w:val="-5"/>
        </w:rPr>
        <w:t xml:space="preserve"> </w:t>
      </w:r>
      <w:r>
        <w:t>and</w:t>
      </w:r>
      <w:r>
        <w:rPr>
          <w:spacing w:val="-4"/>
        </w:rPr>
        <w:t xml:space="preserve"> </w:t>
      </w:r>
      <w:r>
        <w:t>heat</w:t>
      </w:r>
      <w:r>
        <w:rPr>
          <w:spacing w:val="-4"/>
        </w:rPr>
        <w:t xml:space="preserve"> </w:t>
      </w:r>
      <w:r>
        <w:t>pump</w:t>
      </w:r>
      <w:r>
        <w:rPr>
          <w:spacing w:val="-4"/>
        </w:rPr>
        <w:t xml:space="preserve"> </w:t>
      </w:r>
      <w:r>
        <w:t>technology</w:t>
      </w:r>
      <w:r>
        <w:rPr>
          <w:spacing w:val="-4"/>
        </w:rPr>
        <w:t xml:space="preserve"> </w:t>
      </w:r>
      <w:r>
        <w:t>groups.</w:t>
      </w:r>
      <w:r>
        <w:rPr>
          <w:spacing w:val="-4"/>
        </w:rPr>
        <w:t xml:space="preserve"> </w:t>
      </w:r>
      <w:r>
        <w:t>The</w:t>
      </w:r>
      <w:r>
        <w:rPr>
          <w:spacing w:val="-4"/>
        </w:rPr>
        <w:t xml:space="preserve"> </w:t>
      </w:r>
      <w:r>
        <w:t>characterized</w:t>
      </w:r>
      <w:r>
        <w:rPr>
          <w:spacing w:val="-4"/>
        </w:rPr>
        <w:t xml:space="preserve"> </w:t>
      </w:r>
      <w:r>
        <w:t>efficiency</w:t>
      </w:r>
      <w:r>
        <w:rPr>
          <w:spacing w:val="-4"/>
        </w:rPr>
        <w:t xml:space="preserve"> </w:t>
      </w:r>
      <w:r>
        <w:t>levels</w:t>
      </w:r>
      <w:r>
        <w:rPr>
          <w:spacing w:val="-4"/>
        </w:rPr>
        <w:t xml:space="preserve"> </w:t>
      </w:r>
      <w:r>
        <w:t>now align</w:t>
      </w:r>
      <w:r>
        <w:rPr>
          <w:spacing w:val="-1"/>
        </w:rPr>
        <w:t xml:space="preserve"> </w:t>
      </w:r>
      <w:r>
        <w:t>with</w:t>
      </w:r>
      <w:r>
        <w:rPr>
          <w:spacing w:val="-1"/>
        </w:rPr>
        <w:t xml:space="preserve"> </w:t>
      </w:r>
      <w:r>
        <w:t>the</w:t>
      </w:r>
      <w:r>
        <w:rPr>
          <w:spacing w:val="-1"/>
        </w:rPr>
        <w:t xml:space="preserve"> </w:t>
      </w:r>
      <w:r>
        <w:t>measure</w:t>
      </w:r>
      <w:r>
        <w:rPr>
          <w:spacing w:val="-1"/>
        </w:rPr>
        <w:t xml:space="preserve"> </w:t>
      </w:r>
      <w:r>
        <w:t>offerings</w:t>
      </w:r>
      <w:r>
        <w:rPr>
          <w:spacing w:val="-1"/>
        </w:rPr>
        <w:t xml:space="preserve"> </w:t>
      </w:r>
      <w:r>
        <w:t>in</w:t>
      </w:r>
      <w:r>
        <w:rPr>
          <w:spacing w:val="-1"/>
        </w:rPr>
        <w:t xml:space="preserve"> </w:t>
      </w:r>
      <w:r>
        <w:t>eTRM</w:t>
      </w:r>
      <w:r>
        <w:rPr>
          <w:spacing w:val="-1"/>
        </w:rPr>
        <w:t xml:space="preserve"> </w:t>
      </w:r>
      <w:r>
        <w:t>measure</w:t>
      </w:r>
      <w:r>
        <w:rPr>
          <w:spacing w:val="-1"/>
        </w:rPr>
        <w:t xml:space="preserve"> </w:t>
      </w:r>
      <w:r>
        <w:t>packages. The</w:t>
      </w:r>
      <w:r>
        <w:rPr>
          <w:spacing w:val="-1"/>
        </w:rPr>
        <w:t xml:space="preserve"> </w:t>
      </w:r>
      <w:r>
        <w:t>2021</w:t>
      </w:r>
      <w:r>
        <w:rPr>
          <w:spacing w:val="-2"/>
        </w:rPr>
        <w:t xml:space="preserve"> </w:t>
      </w:r>
      <w:r>
        <w:t>Study</w:t>
      </w:r>
      <w:r>
        <w:rPr>
          <w:spacing w:val="-1"/>
        </w:rPr>
        <w:t xml:space="preserve"> </w:t>
      </w:r>
      <w:r>
        <w:t>included only SEER 18 and SEER 22 levels relative to a SEER 14 baseline.</w:t>
      </w:r>
    </w:p>
    <w:p w:rsidR="00C31389" w:rsidRDefault="00561FBD" w14:paraId="72F1BB5A" w14:textId="77777777">
      <w:pPr>
        <w:pStyle w:val="ListParagraph"/>
        <w:numPr>
          <w:ilvl w:val="0"/>
          <w:numId w:val="56"/>
        </w:numPr>
        <w:tabs>
          <w:tab w:val="left" w:pos="1200"/>
        </w:tabs>
        <w:spacing w:before="118"/>
        <w:ind w:right="510" w:hanging="361"/>
      </w:pPr>
      <w:r>
        <w:t>Added reside</w:t>
      </w:r>
      <w:r>
        <w:t>ntial FS technology groups to represent the portion of homes that may require an electrical panel upgrade to substitute from gas to electricity. For example, where</w:t>
      </w:r>
      <w:r>
        <w:rPr>
          <w:spacing w:val="-3"/>
        </w:rPr>
        <w:t xml:space="preserve"> </w:t>
      </w:r>
      <w:r>
        <w:t>the</w:t>
      </w:r>
      <w:r>
        <w:rPr>
          <w:spacing w:val="-3"/>
        </w:rPr>
        <w:t xml:space="preserve"> </w:t>
      </w:r>
      <w:r>
        <w:t>2021</w:t>
      </w:r>
      <w:r>
        <w:rPr>
          <w:spacing w:val="-3"/>
        </w:rPr>
        <w:t xml:space="preserve"> </w:t>
      </w:r>
      <w:r>
        <w:t>Study</w:t>
      </w:r>
      <w:r>
        <w:rPr>
          <w:spacing w:val="-3"/>
        </w:rPr>
        <w:t xml:space="preserve"> </w:t>
      </w:r>
      <w:r>
        <w:t>only</w:t>
      </w:r>
      <w:r>
        <w:rPr>
          <w:spacing w:val="-3"/>
        </w:rPr>
        <w:t xml:space="preserve"> </w:t>
      </w:r>
      <w:r>
        <w:t>had</w:t>
      </w:r>
      <w:r>
        <w:rPr>
          <w:spacing w:val="-3"/>
        </w:rPr>
        <w:t xml:space="preserve"> </w:t>
      </w:r>
      <w:r>
        <w:t>a</w:t>
      </w:r>
      <w:r>
        <w:rPr>
          <w:spacing w:val="-3"/>
        </w:rPr>
        <w:t xml:space="preserve"> </w:t>
      </w:r>
      <w:r>
        <w:t>single</w:t>
      </w:r>
      <w:r>
        <w:rPr>
          <w:spacing w:val="-3"/>
        </w:rPr>
        <w:t xml:space="preserve"> </w:t>
      </w:r>
      <w:r>
        <w:t>technology</w:t>
      </w:r>
      <w:r>
        <w:rPr>
          <w:spacing w:val="-3"/>
        </w:rPr>
        <w:t xml:space="preserve"> </w:t>
      </w:r>
      <w:r>
        <w:t>group</w:t>
      </w:r>
      <w:r>
        <w:rPr>
          <w:spacing w:val="-3"/>
        </w:rPr>
        <w:t xml:space="preserve"> </w:t>
      </w:r>
      <w:r>
        <w:t>for</w:t>
      </w:r>
      <w:r>
        <w:rPr>
          <w:spacing w:val="-3"/>
        </w:rPr>
        <w:t xml:space="preserve"> </w:t>
      </w:r>
      <w:r>
        <w:t>Res</w:t>
      </w:r>
      <w:r>
        <w:rPr>
          <w:spacing w:val="-3"/>
        </w:rPr>
        <w:t xml:space="preserve"> </w:t>
      </w:r>
      <w:r>
        <w:t>Central</w:t>
      </w:r>
      <w:r>
        <w:rPr>
          <w:spacing w:val="-3"/>
        </w:rPr>
        <w:t xml:space="preserve"> </w:t>
      </w:r>
      <w:r>
        <w:t>HVAC</w:t>
      </w:r>
      <w:r>
        <w:rPr>
          <w:spacing w:val="-4"/>
        </w:rPr>
        <w:t xml:space="preserve"> </w:t>
      </w:r>
      <w:r>
        <w:t xml:space="preserve">System FS, the </w:t>
      </w:r>
      <w:r>
        <w:t>2023 Study has two technology groups, with and without a panel upgrade.</w:t>
      </w:r>
    </w:p>
    <w:p w:rsidR="00C31389" w:rsidRDefault="00561FBD" w14:paraId="3EAD5F4F" w14:textId="77777777">
      <w:pPr>
        <w:pStyle w:val="ListParagraph"/>
        <w:numPr>
          <w:ilvl w:val="0"/>
          <w:numId w:val="56"/>
        </w:numPr>
        <w:tabs>
          <w:tab w:val="left" w:pos="1200"/>
        </w:tabs>
        <w:spacing w:before="119"/>
        <w:ind w:right="815"/>
      </w:pPr>
      <w:r>
        <w:t>Removed smart appliance technology levels (e.g., smart refrigerators, smart water heaters)</w:t>
      </w:r>
      <w:r>
        <w:rPr>
          <w:spacing w:val="-3"/>
        </w:rPr>
        <w:t xml:space="preserve"> </w:t>
      </w:r>
      <w:r>
        <w:t>which</w:t>
      </w:r>
      <w:r>
        <w:rPr>
          <w:spacing w:val="-3"/>
        </w:rPr>
        <w:t xml:space="preserve"> </w:t>
      </w:r>
      <w:r>
        <w:t>were</w:t>
      </w:r>
      <w:r>
        <w:rPr>
          <w:spacing w:val="-3"/>
        </w:rPr>
        <w:t xml:space="preserve"> </w:t>
      </w:r>
      <w:r>
        <w:t>used</w:t>
      </w:r>
      <w:r>
        <w:rPr>
          <w:spacing w:val="-3"/>
        </w:rPr>
        <w:t xml:space="preserve"> </w:t>
      </w:r>
      <w:r>
        <w:t>in</w:t>
      </w:r>
      <w:r>
        <w:rPr>
          <w:spacing w:val="-3"/>
        </w:rPr>
        <w:t xml:space="preserve"> </w:t>
      </w:r>
      <w:r>
        <w:t>the</w:t>
      </w:r>
      <w:r>
        <w:rPr>
          <w:spacing w:val="-3"/>
        </w:rPr>
        <w:t xml:space="preserve"> </w:t>
      </w:r>
      <w:r>
        <w:t>2021</w:t>
      </w:r>
      <w:r>
        <w:rPr>
          <w:spacing w:val="-3"/>
        </w:rPr>
        <w:t xml:space="preserve"> </w:t>
      </w:r>
      <w:r>
        <w:t>Study</w:t>
      </w:r>
      <w:r>
        <w:rPr>
          <w:spacing w:val="-3"/>
        </w:rPr>
        <w:t xml:space="preserve"> </w:t>
      </w:r>
      <w:r>
        <w:t>to</w:t>
      </w:r>
      <w:r>
        <w:rPr>
          <w:spacing w:val="-3"/>
        </w:rPr>
        <w:t xml:space="preserve"> </w:t>
      </w:r>
      <w:r>
        <w:t>estimate</w:t>
      </w:r>
      <w:r>
        <w:rPr>
          <w:spacing w:val="-3"/>
        </w:rPr>
        <w:t xml:space="preserve"> </w:t>
      </w:r>
      <w:r>
        <w:t>DR</w:t>
      </w:r>
      <w:r>
        <w:rPr>
          <w:spacing w:val="-2"/>
        </w:rPr>
        <w:t xml:space="preserve"> </w:t>
      </w:r>
      <w:r>
        <w:t>co-benefits</w:t>
      </w:r>
      <w:r>
        <w:rPr>
          <w:spacing w:val="-4"/>
        </w:rPr>
        <w:t xml:space="preserve"> </w:t>
      </w:r>
      <w:r>
        <w:t>but</w:t>
      </w:r>
      <w:r>
        <w:rPr>
          <w:spacing w:val="-3"/>
        </w:rPr>
        <w:t xml:space="preserve"> </w:t>
      </w:r>
      <w:r>
        <w:t>otherwise did not differ fro</w:t>
      </w:r>
      <w:r>
        <w:t>m non-smart efficient technology levels EE savings.</w:t>
      </w:r>
    </w:p>
    <w:p w:rsidR="00C31389" w:rsidRDefault="00561FBD" w14:paraId="1C2E3E08" w14:textId="77777777">
      <w:pPr>
        <w:pStyle w:val="BodyText"/>
        <w:spacing w:before="118"/>
        <w:ind w:left="480" w:right="533"/>
        <w:rPr>
          <w:sz w:val="14"/>
        </w:rPr>
      </w:pPr>
      <w:hyperlink w:history="1" w:anchor="_bookmark117">
        <w:r>
          <w:t>Table</w:t>
        </w:r>
        <w:r>
          <w:rPr>
            <w:spacing w:val="-4"/>
          </w:rPr>
          <w:t xml:space="preserve"> </w:t>
        </w:r>
        <w:r>
          <w:t>3-9</w:t>
        </w:r>
      </w:hyperlink>
      <w:r>
        <w:rPr>
          <w:spacing w:val="-4"/>
        </w:rPr>
        <w:t xml:space="preserve"> </w:t>
      </w:r>
      <w:r>
        <w:t>shows</w:t>
      </w:r>
      <w:r>
        <w:rPr>
          <w:spacing w:val="-4"/>
        </w:rPr>
        <w:t xml:space="preserve"> </w:t>
      </w:r>
      <w:r>
        <w:t>the</w:t>
      </w:r>
      <w:r>
        <w:rPr>
          <w:spacing w:val="-4"/>
        </w:rPr>
        <w:t xml:space="preserve"> </w:t>
      </w:r>
      <w:r>
        <w:t>number</w:t>
      </w:r>
      <w:r>
        <w:rPr>
          <w:spacing w:val="-4"/>
        </w:rPr>
        <w:t xml:space="preserve"> </w:t>
      </w:r>
      <w:r>
        <w:t>of</w:t>
      </w:r>
      <w:r>
        <w:rPr>
          <w:spacing w:val="-4"/>
        </w:rPr>
        <w:t xml:space="preserve"> </w:t>
      </w:r>
      <w:r>
        <w:t>technology</w:t>
      </w:r>
      <w:r>
        <w:rPr>
          <w:spacing w:val="-4"/>
        </w:rPr>
        <w:t xml:space="preserve"> </w:t>
      </w:r>
      <w:r>
        <w:t>groups</w:t>
      </w:r>
      <w:r>
        <w:rPr>
          <w:spacing w:val="-4"/>
        </w:rPr>
        <w:t xml:space="preserve"> </w:t>
      </w:r>
      <w:r>
        <w:t>and</w:t>
      </w:r>
      <w:r>
        <w:rPr>
          <w:spacing w:val="-4"/>
        </w:rPr>
        <w:t xml:space="preserve"> </w:t>
      </w:r>
      <w:r>
        <w:t>individual</w:t>
      </w:r>
      <w:r>
        <w:rPr>
          <w:spacing w:val="-4"/>
        </w:rPr>
        <w:t xml:space="preserve"> </w:t>
      </w:r>
      <w:r>
        <w:t>technologies</w:t>
      </w:r>
      <w:r>
        <w:rPr>
          <w:spacing w:val="-4"/>
        </w:rPr>
        <w:t xml:space="preserve"> </w:t>
      </w:r>
      <w:r>
        <w:t>characterized</w:t>
      </w:r>
      <w:r>
        <w:rPr>
          <w:spacing w:val="-4"/>
        </w:rPr>
        <w:t xml:space="preserve"> </w:t>
      </w:r>
      <w:r>
        <w:t xml:space="preserve">in the study by end use for the residential and </w:t>
      </w:r>
      <w:r>
        <w:t>commercial sectors, including technologies under the electric and gas fuel types.</w:t>
      </w:r>
      <w:r>
        <w:rPr>
          <w:spacing w:val="-35"/>
        </w:rPr>
        <w:t xml:space="preserve"> </w:t>
      </w:r>
      <w:hyperlink w:history="1" w:anchor="_bookmark116">
        <w:r>
          <w:rPr>
            <w:position w:val="7"/>
            <w:sz w:val="14"/>
          </w:rPr>
          <w:t>32</w:t>
        </w:r>
      </w:hyperlink>
    </w:p>
    <w:p w:rsidR="00C31389" w:rsidRDefault="00C31389" w14:paraId="350E74B3" w14:textId="77777777">
      <w:pPr>
        <w:pStyle w:val="BodyText"/>
        <w:rPr>
          <w:sz w:val="20"/>
        </w:rPr>
      </w:pPr>
    </w:p>
    <w:p w:rsidR="00C31389" w:rsidRDefault="00C31389" w14:paraId="069FCEEC" w14:textId="77777777">
      <w:pPr>
        <w:pStyle w:val="BodyText"/>
        <w:rPr>
          <w:sz w:val="20"/>
        </w:rPr>
      </w:pPr>
    </w:p>
    <w:p w:rsidR="00C31389" w:rsidRDefault="00C31389" w14:paraId="3BD1E9AF" w14:textId="77777777">
      <w:pPr>
        <w:pStyle w:val="BodyText"/>
        <w:rPr>
          <w:sz w:val="20"/>
        </w:rPr>
      </w:pPr>
    </w:p>
    <w:p w:rsidR="00C31389" w:rsidRDefault="00C31389" w14:paraId="7EFEB005" w14:textId="77777777">
      <w:pPr>
        <w:pStyle w:val="BodyText"/>
        <w:rPr>
          <w:sz w:val="20"/>
        </w:rPr>
      </w:pPr>
    </w:p>
    <w:p w:rsidR="00C31389" w:rsidRDefault="00C31389" w14:paraId="0BB39AAB" w14:textId="77777777">
      <w:pPr>
        <w:pStyle w:val="BodyText"/>
        <w:rPr>
          <w:sz w:val="20"/>
        </w:rPr>
      </w:pPr>
    </w:p>
    <w:p w:rsidR="00C31389" w:rsidRDefault="00C31389" w14:paraId="04414680" w14:textId="77777777">
      <w:pPr>
        <w:pStyle w:val="BodyText"/>
        <w:rPr>
          <w:sz w:val="20"/>
        </w:rPr>
      </w:pPr>
    </w:p>
    <w:p w:rsidR="00C31389" w:rsidRDefault="00C31389" w14:paraId="573A4EB3" w14:textId="77777777">
      <w:pPr>
        <w:pStyle w:val="BodyText"/>
        <w:rPr>
          <w:sz w:val="20"/>
        </w:rPr>
      </w:pPr>
    </w:p>
    <w:p w:rsidR="00C31389" w:rsidRDefault="00C31389" w14:paraId="72EA1DB0" w14:textId="77777777">
      <w:pPr>
        <w:pStyle w:val="BodyText"/>
        <w:rPr>
          <w:sz w:val="20"/>
        </w:rPr>
      </w:pPr>
    </w:p>
    <w:p w:rsidR="00C31389" w:rsidRDefault="00C31389" w14:paraId="1A81E206" w14:textId="77777777">
      <w:pPr>
        <w:pStyle w:val="BodyText"/>
        <w:rPr>
          <w:sz w:val="20"/>
        </w:rPr>
      </w:pPr>
    </w:p>
    <w:p w:rsidR="00C31389" w:rsidRDefault="00C31389" w14:paraId="03C8C80A" w14:textId="77777777">
      <w:pPr>
        <w:pStyle w:val="BodyText"/>
        <w:rPr>
          <w:sz w:val="20"/>
        </w:rPr>
      </w:pPr>
    </w:p>
    <w:p w:rsidR="00C31389" w:rsidRDefault="00C31389" w14:paraId="48AEE287" w14:textId="77777777">
      <w:pPr>
        <w:pStyle w:val="BodyText"/>
        <w:rPr>
          <w:sz w:val="20"/>
        </w:rPr>
      </w:pPr>
    </w:p>
    <w:p w:rsidR="00C31389" w:rsidRDefault="00C31389" w14:paraId="7835260A" w14:textId="77777777">
      <w:pPr>
        <w:pStyle w:val="BodyText"/>
        <w:rPr>
          <w:sz w:val="20"/>
        </w:rPr>
      </w:pPr>
    </w:p>
    <w:p w:rsidR="00C31389" w:rsidRDefault="00C31389" w14:paraId="2A013509" w14:textId="77777777">
      <w:pPr>
        <w:pStyle w:val="BodyText"/>
        <w:rPr>
          <w:sz w:val="20"/>
        </w:rPr>
      </w:pPr>
    </w:p>
    <w:p w:rsidR="00C31389" w:rsidRDefault="00C31389" w14:paraId="0B5C6739" w14:textId="77777777">
      <w:pPr>
        <w:pStyle w:val="BodyText"/>
        <w:rPr>
          <w:sz w:val="20"/>
        </w:rPr>
      </w:pPr>
    </w:p>
    <w:p w:rsidR="00C31389" w:rsidRDefault="00C31389" w14:paraId="72F0BE16" w14:textId="77777777">
      <w:pPr>
        <w:pStyle w:val="BodyText"/>
        <w:rPr>
          <w:sz w:val="20"/>
        </w:rPr>
      </w:pPr>
    </w:p>
    <w:p w:rsidR="00C31389" w:rsidRDefault="00C31389" w14:paraId="18B93DAB" w14:textId="77777777">
      <w:pPr>
        <w:pStyle w:val="BodyText"/>
        <w:rPr>
          <w:sz w:val="20"/>
        </w:rPr>
      </w:pPr>
    </w:p>
    <w:p w:rsidR="00C31389" w:rsidRDefault="00C31389" w14:paraId="157F7D59" w14:textId="77777777">
      <w:pPr>
        <w:pStyle w:val="BodyText"/>
        <w:rPr>
          <w:sz w:val="20"/>
        </w:rPr>
      </w:pPr>
    </w:p>
    <w:p w:rsidR="00C31389" w:rsidRDefault="00C31389" w14:paraId="56F889F6" w14:textId="77777777">
      <w:pPr>
        <w:pStyle w:val="BodyText"/>
        <w:rPr>
          <w:sz w:val="20"/>
        </w:rPr>
      </w:pPr>
    </w:p>
    <w:p w:rsidR="00C31389" w:rsidRDefault="00C31389" w14:paraId="17D178EA" w14:textId="77777777">
      <w:pPr>
        <w:pStyle w:val="BodyText"/>
        <w:rPr>
          <w:sz w:val="20"/>
        </w:rPr>
      </w:pPr>
    </w:p>
    <w:p w:rsidR="00C31389" w:rsidRDefault="00C31389" w14:paraId="5A18549D" w14:textId="77777777">
      <w:pPr>
        <w:pStyle w:val="BodyText"/>
        <w:rPr>
          <w:sz w:val="20"/>
        </w:rPr>
      </w:pPr>
    </w:p>
    <w:p w:rsidR="00C31389" w:rsidRDefault="00C31389" w14:paraId="7273004C" w14:textId="77777777">
      <w:pPr>
        <w:pStyle w:val="BodyText"/>
        <w:rPr>
          <w:sz w:val="20"/>
        </w:rPr>
      </w:pPr>
    </w:p>
    <w:p w:rsidR="00C31389" w:rsidRDefault="00C31389" w14:paraId="40DF47B7" w14:textId="77777777">
      <w:pPr>
        <w:pStyle w:val="BodyText"/>
        <w:rPr>
          <w:sz w:val="20"/>
        </w:rPr>
      </w:pPr>
    </w:p>
    <w:p w:rsidR="00C31389" w:rsidRDefault="00C31389" w14:paraId="50CF04BB" w14:textId="77777777">
      <w:pPr>
        <w:pStyle w:val="BodyText"/>
        <w:rPr>
          <w:sz w:val="20"/>
        </w:rPr>
      </w:pPr>
    </w:p>
    <w:p w:rsidR="00C31389" w:rsidRDefault="00C31389" w14:paraId="30F55E30" w14:textId="77777777">
      <w:pPr>
        <w:pStyle w:val="BodyText"/>
        <w:rPr>
          <w:sz w:val="20"/>
        </w:rPr>
      </w:pPr>
    </w:p>
    <w:p w:rsidR="00C31389" w:rsidRDefault="00C31389" w14:paraId="502B32A0" w14:textId="77777777">
      <w:pPr>
        <w:pStyle w:val="BodyText"/>
        <w:rPr>
          <w:sz w:val="20"/>
        </w:rPr>
      </w:pPr>
    </w:p>
    <w:p w:rsidR="00C31389" w:rsidRDefault="00C31389" w14:paraId="24420024" w14:textId="77777777">
      <w:pPr>
        <w:pStyle w:val="BodyText"/>
        <w:rPr>
          <w:sz w:val="20"/>
        </w:rPr>
      </w:pPr>
    </w:p>
    <w:p w:rsidR="00C31389" w:rsidRDefault="00C31389" w14:paraId="130C1AA8" w14:textId="77777777">
      <w:pPr>
        <w:pStyle w:val="BodyText"/>
        <w:rPr>
          <w:sz w:val="20"/>
        </w:rPr>
      </w:pPr>
    </w:p>
    <w:p w:rsidR="00C31389" w:rsidRDefault="00C31389" w14:paraId="52674DA3" w14:textId="77777777">
      <w:pPr>
        <w:pStyle w:val="BodyText"/>
        <w:rPr>
          <w:sz w:val="20"/>
        </w:rPr>
      </w:pPr>
    </w:p>
    <w:p w:rsidR="00C31389" w:rsidRDefault="00C31389" w14:paraId="601A3F4E" w14:textId="77777777">
      <w:pPr>
        <w:pStyle w:val="BodyText"/>
        <w:rPr>
          <w:sz w:val="20"/>
        </w:rPr>
      </w:pPr>
    </w:p>
    <w:p w:rsidR="00C31389" w:rsidRDefault="00C31389" w14:paraId="69FB6C0C" w14:textId="77777777">
      <w:pPr>
        <w:pStyle w:val="BodyText"/>
        <w:rPr>
          <w:sz w:val="20"/>
        </w:rPr>
      </w:pPr>
    </w:p>
    <w:p w:rsidR="00C31389" w:rsidRDefault="00C31389" w14:paraId="6D6D0AF5" w14:textId="77777777">
      <w:pPr>
        <w:pStyle w:val="BodyText"/>
        <w:rPr>
          <w:sz w:val="20"/>
        </w:rPr>
      </w:pPr>
    </w:p>
    <w:p w:rsidR="00C31389" w:rsidRDefault="00C31389" w14:paraId="0B4A49D9" w14:textId="77777777">
      <w:pPr>
        <w:pStyle w:val="BodyText"/>
        <w:rPr>
          <w:sz w:val="20"/>
        </w:rPr>
      </w:pPr>
    </w:p>
    <w:p w:rsidR="00C31389" w:rsidRDefault="00561FBD" w14:paraId="3BFFD297" w14:textId="77777777">
      <w:pPr>
        <w:pStyle w:val="BodyText"/>
        <w:spacing w:before="8"/>
        <w:rPr>
          <w:sz w:val="15"/>
        </w:rPr>
      </w:pPr>
      <w:r>
        <w:rPr>
          <w:noProof/>
        </w:rPr>
        <mc:AlternateContent>
          <mc:Choice Requires="wps">
            <w:drawing>
              <wp:anchor distT="0" distB="0" distL="0" distR="0" simplePos="0" relativeHeight="487623680" behindDoc="1" locked="0" layoutInCell="1" allowOverlap="1" wp14:editId="2523E9BC" wp14:anchorId="592615EC">
                <wp:simplePos x="0" y="0"/>
                <wp:positionH relativeFrom="page">
                  <wp:posOffset>914400</wp:posOffset>
                </wp:positionH>
                <wp:positionV relativeFrom="paragraph">
                  <wp:posOffset>129954</wp:posOffset>
                </wp:positionV>
                <wp:extent cx="1828800" cy="698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05" style="position:absolute;margin-left:1in;margin-top:10.25pt;width:2in;height:.55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" w14:anchorId="7E617036">
                <v:path arrowok="t"/>
                <w10:wrap type="topAndBottom" anchorx="page"/>
              </v:shape>
            </w:pict>
          </mc:Fallback>
        </mc:AlternateContent>
      </w:r>
    </w:p>
    <w:p w:rsidR="00C31389" w:rsidRDefault="00561FBD" w14:paraId="603EACA4" w14:textId="77777777">
      <w:pPr>
        <w:spacing w:before="89"/>
        <w:ind w:left="480"/>
        <w:rPr>
          <w:sz w:val="18"/>
        </w:rPr>
      </w:pPr>
      <w:bookmarkStart w:name="_bookmark116" w:id="156"/>
      <w:bookmarkEnd w:id="156"/>
      <w:r>
        <w:rPr>
          <w:position w:val="6"/>
          <w:sz w:val="12"/>
        </w:rPr>
        <w:t>32</w:t>
      </w:r>
      <w:r>
        <w:rPr>
          <w:spacing w:val="12"/>
          <w:position w:val="6"/>
          <w:sz w:val="12"/>
        </w:rPr>
        <w:t xml:space="preserve"> </w:t>
      </w:r>
      <w:r>
        <w:rPr>
          <w:sz w:val="18"/>
        </w:rPr>
        <w:t>Please</w:t>
      </w:r>
      <w:r>
        <w:rPr>
          <w:spacing w:val="-4"/>
          <w:sz w:val="18"/>
        </w:rPr>
        <w:t xml:space="preserve"> </w:t>
      </w:r>
      <w:r>
        <w:rPr>
          <w:sz w:val="18"/>
        </w:rPr>
        <w:t>refer</w:t>
      </w:r>
      <w:r>
        <w:rPr>
          <w:spacing w:val="-2"/>
          <w:sz w:val="18"/>
        </w:rPr>
        <w:t xml:space="preserve"> </w:t>
      </w:r>
      <w:r>
        <w:rPr>
          <w:sz w:val="18"/>
        </w:rPr>
        <w:t>to</w:t>
      </w:r>
      <w:r>
        <w:rPr>
          <w:spacing w:val="-2"/>
          <w:sz w:val="18"/>
        </w:rPr>
        <w:t xml:space="preserve"> </w:t>
      </w:r>
      <w:r>
        <w:rPr>
          <w:sz w:val="18"/>
        </w:rPr>
        <w:t>the</w:t>
      </w:r>
      <w:r>
        <w:rPr>
          <w:spacing w:val="-3"/>
          <w:sz w:val="18"/>
        </w:rPr>
        <w:t xml:space="preserve"> </w:t>
      </w:r>
      <w:r>
        <w:rPr>
          <w:sz w:val="18"/>
        </w:rPr>
        <w:t>Measure</w:t>
      </w:r>
      <w:r>
        <w:rPr>
          <w:spacing w:val="-4"/>
          <w:sz w:val="18"/>
        </w:rPr>
        <w:t xml:space="preserve"> </w:t>
      </w:r>
      <w:r>
        <w:rPr>
          <w:sz w:val="18"/>
        </w:rPr>
        <w:t>Input</w:t>
      </w:r>
      <w:r>
        <w:rPr>
          <w:spacing w:val="-2"/>
          <w:sz w:val="18"/>
        </w:rPr>
        <w:t xml:space="preserve"> </w:t>
      </w:r>
      <w:r>
        <w:rPr>
          <w:sz w:val="18"/>
        </w:rPr>
        <w:t>Characterization</w:t>
      </w:r>
      <w:r>
        <w:rPr>
          <w:spacing w:val="-4"/>
          <w:sz w:val="18"/>
        </w:rPr>
        <w:t xml:space="preserve"> </w:t>
      </w:r>
      <w:r>
        <w:rPr>
          <w:sz w:val="18"/>
        </w:rPr>
        <w:t>System</w:t>
      </w:r>
      <w:r>
        <w:rPr>
          <w:spacing w:val="-2"/>
          <w:sz w:val="18"/>
        </w:rPr>
        <w:t xml:space="preserve"> </w:t>
      </w:r>
      <w:r>
        <w:rPr>
          <w:sz w:val="18"/>
        </w:rPr>
        <w:t>(MICS)</w:t>
      </w:r>
      <w:r>
        <w:rPr>
          <w:spacing w:val="-3"/>
          <w:sz w:val="18"/>
        </w:rPr>
        <w:t xml:space="preserve"> </w:t>
      </w:r>
      <w:r>
        <w:rPr>
          <w:sz w:val="18"/>
        </w:rPr>
        <w:t>database</w:t>
      </w:r>
      <w:r>
        <w:rPr>
          <w:spacing w:val="-3"/>
          <w:sz w:val="18"/>
        </w:rPr>
        <w:t xml:space="preserve"> </w:t>
      </w:r>
      <w:r>
        <w:rPr>
          <w:sz w:val="18"/>
        </w:rPr>
        <w:t>for</w:t>
      </w:r>
      <w:r>
        <w:rPr>
          <w:spacing w:val="-3"/>
          <w:sz w:val="18"/>
        </w:rPr>
        <w:t xml:space="preserve"> </w:t>
      </w:r>
      <w:r>
        <w:rPr>
          <w:sz w:val="18"/>
        </w:rPr>
        <w:t>additional</w:t>
      </w:r>
      <w:r>
        <w:rPr>
          <w:spacing w:val="-2"/>
          <w:sz w:val="18"/>
        </w:rPr>
        <w:t xml:space="preserve"> detail.</w:t>
      </w:r>
    </w:p>
    <w:p w:rsidR="00C31389" w:rsidRDefault="00C31389" w14:paraId="5F71FBD9" w14:textId="77777777">
      <w:pPr>
        <w:rPr>
          <w:sz w:val="18"/>
        </w:rPr>
        <w:sectPr w:rsidR="00C31389">
          <w:pgSz w:w="12240" w:h="15840"/>
          <w:pgMar w:top="1660" w:right="960" w:bottom="1120" w:left="960" w:header="397" w:footer="936" w:gutter="0"/>
          <w:cols w:space="720"/>
        </w:sectPr>
      </w:pPr>
    </w:p>
    <w:p w:rsidR="00C31389" w:rsidRDefault="00C31389" w14:paraId="32D79FBB" w14:textId="77777777">
      <w:pPr>
        <w:pStyle w:val="BodyText"/>
        <w:spacing w:before="11"/>
        <w:rPr>
          <w:sz w:val="13"/>
        </w:rPr>
      </w:pPr>
    </w:p>
    <w:p w:rsidR="00C31389" w:rsidRDefault="00561FBD" w14:paraId="151791FE" w14:textId="77777777">
      <w:pPr>
        <w:pStyle w:val="Heading7"/>
        <w:spacing w:before="92"/>
        <w:ind w:left="566" w:right="566"/>
        <w:jc w:val="center"/>
      </w:pPr>
      <w:bookmarkStart w:name="_bookmark117" w:id="157"/>
      <w:bookmarkEnd w:id="157"/>
      <w:r>
        <w:t>Table</w:t>
      </w:r>
      <w:r>
        <w:rPr>
          <w:spacing w:val="-8"/>
        </w:rPr>
        <w:t xml:space="preserve"> </w:t>
      </w:r>
      <w:r>
        <w:t>3-9.</w:t>
      </w:r>
      <w:r>
        <w:rPr>
          <w:spacing w:val="-6"/>
        </w:rPr>
        <w:t xml:space="preserve"> </w:t>
      </w:r>
      <w:r>
        <w:t>Final</w:t>
      </w:r>
      <w:r>
        <w:rPr>
          <w:spacing w:val="-5"/>
        </w:rPr>
        <w:t xml:space="preserve"> </w:t>
      </w:r>
      <w:r>
        <w:t>List</w:t>
      </w:r>
      <w:r>
        <w:rPr>
          <w:spacing w:val="-6"/>
        </w:rPr>
        <w:t xml:space="preserve"> </w:t>
      </w:r>
      <w:r>
        <w:t>of</w:t>
      </w:r>
      <w:r>
        <w:rPr>
          <w:spacing w:val="-6"/>
        </w:rPr>
        <w:t xml:space="preserve"> </w:t>
      </w:r>
      <w:r>
        <w:t>Technology</w:t>
      </w:r>
      <w:r>
        <w:rPr>
          <w:spacing w:val="-5"/>
        </w:rPr>
        <w:t xml:space="preserve"> </w:t>
      </w:r>
      <w:r>
        <w:rPr>
          <w:spacing w:val="-2"/>
        </w:rPr>
        <w:t>Groups</w:t>
      </w:r>
    </w:p>
    <w:p w:rsidR="00C31389" w:rsidRDefault="00C31389" w14:paraId="44487492" w14:textId="77777777">
      <w:pPr>
        <w:pStyle w:val="BodyText"/>
        <w:spacing w:before="5" w:after="1"/>
        <w:rPr>
          <w:b/>
          <w:sz w:val="10"/>
        </w:rPr>
      </w:pPr>
    </w:p>
    <w:p w:rsidR="00C31389" w:rsidRDefault="00561FBD" w14:paraId="2AACE0D4" w14:textId="77777777">
      <w:pPr>
        <w:pStyle w:val="BodyText"/>
        <w:ind w:left="480"/>
        <w:rPr>
          <w:sz w:val="20"/>
        </w:rPr>
      </w:pPr>
      <w:r>
        <w:rPr>
          <w:noProof/>
          <w:sz w:val="20"/>
        </w:rPr>
        <mc:AlternateContent>
          <mc:Choice Requires="wpg">
            <w:drawing>
              <wp:inline distT="0" distB="0" distL="0" distR="0" wp14:anchorId="6DCA9375" wp14:editId="0F87D842">
                <wp:extent cx="5943600" cy="494665"/>
                <wp:effectExtent l="0" t="0" r="0" b="634"/>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94665"/>
                          <a:chOff x="0" y="0"/>
                          <a:chExt cx="5943600" cy="494665"/>
                        </a:xfrm>
                      </wpg:grpSpPr>
                      <wps:wsp>
                        <wps:cNvPr id="207" name="Graphic 207"/>
                        <wps:cNvSpPr/>
                        <wps:spPr>
                          <a:xfrm>
                            <a:off x="0" y="0"/>
                            <a:ext cx="5943600" cy="494665"/>
                          </a:xfrm>
                          <a:custGeom>
                            <a:avLst/>
                            <a:gdLst/>
                            <a:ahLst/>
                            <a:cxnLst/>
                            <a:rect l="l" t="t" r="r" b="b"/>
                            <a:pathLst>
                              <a:path w="5943600" h="494665">
                                <a:moveTo>
                                  <a:pt x="5943600" y="0"/>
                                </a:moveTo>
                                <a:lnTo>
                                  <a:pt x="5943600" y="0"/>
                                </a:lnTo>
                                <a:lnTo>
                                  <a:pt x="0" y="0"/>
                                </a:lnTo>
                                <a:lnTo>
                                  <a:pt x="0" y="488442"/>
                                </a:lnTo>
                                <a:lnTo>
                                  <a:pt x="0" y="494538"/>
                                </a:lnTo>
                                <a:lnTo>
                                  <a:pt x="932688" y="494538"/>
                                </a:lnTo>
                                <a:lnTo>
                                  <a:pt x="938784" y="494538"/>
                                </a:lnTo>
                                <a:lnTo>
                                  <a:pt x="5943600" y="494538"/>
                                </a:lnTo>
                                <a:lnTo>
                                  <a:pt x="5943600" y="488442"/>
                                </a:lnTo>
                                <a:lnTo>
                                  <a:pt x="5943600" y="0"/>
                                </a:lnTo>
                                <a:close/>
                              </a:path>
                            </a:pathLst>
                          </a:custGeom>
                          <a:solidFill>
                            <a:srgbClr val="92D400"/>
                          </a:solidFill>
                        </wps:spPr>
                        <wps:bodyPr wrap="square" lIns="0" tIns="0" rIns="0" bIns="0" rtlCol="0">
                          <a:prstTxWarp prst="textNoShape">
                            <a:avLst/>
                          </a:prstTxWarp>
                          <a:noAutofit/>
                        </wps:bodyPr>
                      </wps:wsp>
                      <wps:wsp>
                        <wps:cNvPr id="208" name="Textbox 208"/>
                        <wps:cNvSpPr txBox="1"/>
                        <wps:spPr>
                          <a:xfrm>
                            <a:off x="73152" y="175122"/>
                            <a:ext cx="409575" cy="142240"/>
                          </a:xfrm>
                          <a:prstGeom prst="rect">
                            <a:avLst/>
                          </a:prstGeom>
                        </wps:spPr>
                        <wps:txbx>
                          <w:txbxContent>
                            <w:p w:rsidR="00C31389" w:rsidRDefault="00561FBD" w14:paraId="639581E8" w14:textId="77777777">
                              <w:pPr>
                                <w:spacing w:line="224" w:lineRule="exact"/>
                                <w:rPr>
                                  <w:b/>
                                  <w:sz w:val="20"/>
                                </w:rPr>
                              </w:pPr>
                              <w:r>
                                <w:rPr>
                                  <w:b/>
                                  <w:spacing w:val="-2"/>
                                  <w:sz w:val="20"/>
                                </w:rPr>
                                <w:t>Sector</w:t>
                              </w:r>
                            </w:p>
                          </w:txbxContent>
                        </wps:txbx>
                        <wps:bodyPr wrap="square" lIns="0" tIns="0" rIns="0" bIns="0" rtlCol="0">
                          <a:noAutofit/>
                        </wps:bodyPr>
                      </wps:wsp>
                      <wps:wsp>
                        <wps:cNvPr id="209" name="Textbox 209"/>
                        <wps:cNvSpPr txBox="1"/>
                        <wps:spPr>
                          <a:xfrm>
                            <a:off x="1005839" y="175122"/>
                            <a:ext cx="521970" cy="142240"/>
                          </a:xfrm>
                          <a:prstGeom prst="rect">
                            <a:avLst/>
                          </a:prstGeom>
                        </wps:spPr>
                        <wps:txbx>
                          <w:txbxContent>
                            <w:p w:rsidR="00C31389" w:rsidRDefault="00561FBD" w14:paraId="607BF760" w14:textId="77777777">
                              <w:pPr>
                                <w:spacing w:line="224" w:lineRule="exact"/>
                                <w:rPr>
                                  <w:b/>
                                  <w:sz w:val="20"/>
                                </w:rPr>
                              </w:pPr>
                              <w:r>
                                <w:rPr>
                                  <w:b/>
                                  <w:sz w:val="20"/>
                                </w:rPr>
                                <w:t>End</w:t>
                              </w:r>
                              <w:r>
                                <w:rPr>
                                  <w:b/>
                                  <w:spacing w:val="-2"/>
                                  <w:sz w:val="20"/>
                                </w:rPr>
                                <w:t xml:space="preserve"> </w:t>
                              </w:r>
                              <w:r>
                                <w:rPr>
                                  <w:b/>
                                  <w:spacing w:val="-5"/>
                                  <w:sz w:val="20"/>
                                </w:rPr>
                                <w:t>Use</w:t>
                              </w:r>
                            </w:p>
                          </w:txbxContent>
                        </wps:txbx>
                        <wps:bodyPr wrap="square" lIns="0" tIns="0" rIns="0" bIns="0" rtlCol="0">
                          <a:noAutofit/>
                        </wps:bodyPr>
                      </wps:wsp>
                      <wps:wsp>
                        <wps:cNvPr id="210" name="Textbox 210"/>
                        <wps:cNvSpPr txBox="1"/>
                        <wps:spPr>
                          <a:xfrm>
                            <a:off x="1996439" y="29580"/>
                            <a:ext cx="3850004" cy="434340"/>
                          </a:xfrm>
                          <a:prstGeom prst="rect">
                            <a:avLst/>
                          </a:prstGeom>
                        </wps:spPr>
                        <wps:txbx>
                          <w:txbxContent>
                            <w:p w:rsidR="00C31389" w:rsidRDefault="00561FBD" w14:paraId="107C63F2" w14:textId="77777777">
                              <w:pPr>
                                <w:tabs>
                                  <w:tab w:val="left" w:pos="3181"/>
                                  <w:tab w:val="left" w:pos="4861"/>
                                  <w:tab w:val="left" w:pos="4894"/>
                                </w:tabs>
                                <w:ind w:right="199" w:firstLine="3242"/>
                                <w:rPr>
                                  <w:b/>
                                  <w:sz w:val="20"/>
                                </w:rPr>
                              </w:pPr>
                              <w:r>
                                <w:rPr>
                                  <w:b/>
                                  <w:sz w:val="20"/>
                                </w:rPr>
                                <w:t>Number of</w:t>
                              </w:r>
                              <w:r>
                                <w:rPr>
                                  <w:b/>
                                  <w:sz w:val="20"/>
                                </w:rPr>
                                <w:tab/>
                                <w:t>Number</w:t>
                              </w:r>
                              <w:r>
                                <w:rPr>
                                  <w:b/>
                                  <w:spacing w:val="-14"/>
                                  <w:sz w:val="20"/>
                                </w:rPr>
                                <w:t xml:space="preserve"> </w:t>
                              </w:r>
                              <w:r>
                                <w:rPr>
                                  <w:b/>
                                  <w:sz w:val="20"/>
                                </w:rPr>
                                <w:t>of Technology</w:t>
                              </w:r>
                              <w:r>
                                <w:rPr>
                                  <w:b/>
                                  <w:spacing w:val="-5"/>
                                  <w:sz w:val="20"/>
                                </w:rPr>
                                <w:t xml:space="preserve"> </w:t>
                              </w:r>
                              <w:r>
                                <w:rPr>
                                  <w:b/>
                                  <w:sz w:val="20"/>
                                </w:rPr>
                                <w:t>Group</w:t>
                              </w:r>
                              <w:r>
                                <w:rPr>
                                  <w:b/>
                                  <w:spacing w:val="-3"/>
                                  <w:sz w:val="20"/>
                                </w:rPr>
                                <w:t xml:space="preserve"> </w:t>
                              </w:r>
                              <w:r>
                                <w:rPr>
                                  <w:b/>
                                  <w:spacing w:val="-2"/>
                                  <w:sz w:val="20"/>
                                </w:rPr>
                                <w:t>Examples*</w:t>
                              </w:r>
                              <w:r>
                                <w:rPr>
                                  <w:b/>
                                  <w:sz w:val="20"/>
                                </w:rPr>
                                <w:tab/>
                              </w:r>
                              <w:r>
                                <w:rPr>
                                  <w:b/>
                                  <w:spacing w:val="-2"/>
                                  <w:sz w:val="20"/>
                                </w:rPr>
                                <w:t>Technology</w:t>
                              </w:r>
                              <w:r>
                                <w:rPr>
                                  <w:b/>
                                  <w:sz w:val="20"/>
                                </w:rPr>
                                <w:tab/>
                              </w:r>
                              <w:r>
                                <w:rPr>
                                  <w:b/>
                                  <w:sz w:val="20"/>
                                </w:rPr>
                                <w:tab/>
                              </w:r>
                              <w:r>
                                <w:rPr>
                                  <w:b/>
                                  <w:spacing w:val="-2"/>
                                  <w:sz w:val="20"/>
                                </w:rPr>
                                <w:t>Individual</w:t>
                              </w:r>
                            </w:p>
                            <w:p w:rsidR="00C31389" w:rsidRDefault="00561FBD" w14:paraId="0F12FCA1" w14:textId="77777777">
                              <w:pPr>
                                <w:tabs>
                                  <w:tab w:val="left" w:pos="4681"/>
                                </w:tabs>
                                <w:spacing w:line="230" w:lineRule="exact"/>
                                <w:ind w:left="3386"/>
                                <w:rPr>
                                  <w:b/>
                                  <w:sz w:val="20"/>
                                </w:rPr>
                              </w:pPr>
                              <w:r>
                                <w:rPr>
                                  <w:b/>
                                  <w:spacing w:val="-2"/>
                                  <w:sz w:val="20"/>
                                </w:rPr>
                                <w:t>Groups</w:t>
                              </w:r>
                              <w:r>
                                <w:rPr>
                                  <w:b/>
                                  <w:sz w:val="20"/>
                                </w:rPr>
                                <w:tab/>
                              </w:r>
                              <w:r>
                                <w:rPr>
                                  <w:b/>
                                  <w:spacing w:val="-2"/>
                                  <w:sz w:val="20"/>
                                </w:rPr>
                                <w:t>Technologies</w:t>
                              </w:r>
                              <w:r>
                                <w:rPr>
                                  <w:b/>
                                  <w:spacing w:val="-2"/>
                                  <w:sz w:val="20"/>
                                  <w:vertAlign w:val="superscript"/>
                                </w:rPr>
                                <w:t>†</w:t>
                              </w:r>
                            </w:p>
                          </w:txbxContent>
                        </wps:txbx>
                        <wps:bodyPr wrap="square" lIns="0" tIns="0" rIns="0" bIns="0" rtlCol="0">
                          <a:noAutofit/>
                        </wps:bodyPr>
                      </wps:wsp>
                    </wpg:wgp>
                  </a:graphicData>
                </a:graphic>
              </wp:inline>
            </w:drawing>
          </mc:Choice>
          <mc:Fallback>
            <w:pict>
              <v:group id="Group 206" style="width:468pt;height:38.95pt;mso-position-horizontal-relative:char;mso-position-vertical-relative:line" coordsize="59436,4946" o:spid="_x0000_s1035" w14:anchorId="6DCA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">
                <v:shape id="Graphic 207" style="position:absolute;width:59436;height:4946;visibility:visible;mso-wrap-style:square;v-text-anchor:top" coordsize="5943600,494665" o:spid="_x0000_s1036" fillcolor="#92d400" stroked="f" path="m5943600,r,l,,,488442r,6096l932688,494538r6096,l5943600,494538r,-6096l5943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">
                  <v:path arrowok="t"/>
                </v:shape>
                <v:shape id="Textbox 208" style="position:absolute;left:731;top:1751;width:4096;height:1422;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v:textbox inset="0,0,0,0">
                    <w:txbxContent>
                      <w:p w:rsidR="00C31389" w:rsidRDefault="00561FBD" w14:paraId="639581E8" w14:textId="77777777">
                        <w:pPr>
                          <w:spacing w:line="224" w:lineRule="exact"/>
                          <w:rPr>
                            <w:b/>
                            <w:sz w:val="20"/>
                          </w:rPr>
                        </w:pPr>
                        <w:r>
                          <w:rPr>
                            <w:b/>
                            <w:spacing w:val="-2"/>
                            <w:sz w:val="20"/>
                          </w:rPr>
                          <w:t>Sector</w:t>
                        </w:r>
                      </w:p>
                    </w:txbxContent>
                  </v:textbox>
                </v:shape>
                <v:shape id="Textbox 209" style="position:absolute;left:10058;top:1751;width:5220;height:1422;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v:textbox inset="0,0,0,0">
                    <w:txbxContent>
                      <w:p w:rsidR="00C31389" w:rsidRDefault="00561FBD" w14:paraId="607BF760" w14:textId="77777777">
                        <w:pPr>
                          <w:spacing w:line="224" w:lineRule="exact"/>
                          <w:rPr>
                            <w:b/>
                            <w:sz w:val="20"/>
                          </w:rPr>
                        </w:pPr>
                        <w:r>
                          <w:rPr>
                            <w:b/>
                            <w:sz w:val="20"/>
                          </w:rPr>
                          <w:t>End</w:t>
                        </w:r>
                        <w:r>
                          <w:rPr>
                            <w:b/>
                            <w:spacing w:val="-2"/>
                            <w:sz w:val="20"/>
                          </w:rPr>
                          <w:t xml:space="preserve"> </w:t>
                        </w:r>
                        <w:r>
                          <w:rPr>
                            <w:b/>
                            <w:spacing w:val="-5"/>
                            <w:sz w:val="20"/>
                          </w:rPr>
                          <w:t>Use</w:t>
                        </w:r>
                      </w:p>
                    </w:txbxContent>
                  </v:textbox>
                </v:shape>
                <v:shape id="Textbox 210" style="position:absolute;left:19964;top:295;width:38500;height:4344;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v:textbox inset="0,0,0,0">
                    <w:txbxContent>
                      <w:p w:rsidR="00C31389" w:rsidRDefault="00561FBD" w14:paraId="107C63F2" w14:textId="77777777">
                        <w:pPr>
                          <w:tabs>
                            <w:tab w:val="left" w:pos="3181"/>
                            <w:tab w:val="left" w:pos="4861"/>
                            <w:tab w:val="left" w:pos="4894"/>
                          </w:tabs>
                          <w:ind w:right="199" w:firstLine="3242"/>
                          <w:rPr>
                            <w:b/>
                            <w:sz w:val="20"/>
                          </w:rPr>
                        </w:pPr>
                        <w:r>
                          <w:rPr>
                            <w:b/>
                            <w:sz w:val="20"/>
                          </w:rPr>
                          <w:t>Number of</w:t>
                        </w:r>
                        <w:r>
                          <w:rPr>
                            <w:b/>
                            <w:sz w:val="20"/>
                          </w:rPr>
                          <w:tab/>
                          <w:t>Number</w:t>
                        </w:r>
                        <w:r>
                          <w:rPr>
                            <w:b/>
                            <w:spacing w:val="-14"/>
                            <w:sz w:val="20"/>
                          </w:rPr>
                          <w:t xml:space="preserve"> </w:t>
                        </w:r>
                        <w:r>
                          <w:rPr>
                            <w:b/>
                            <w:sz w:val="20"/>
                          </w:rPr>
                          <w:t>of Technology</w:t>
                        </w:r>
                        <w:r>
                          <w:rPr>
                            <w:b/>
                            <w:spacing w:val="-5"/>
                            <w:sz w:val="20"/>
                          </w:rPr>
                          <w:t xml:space="preserve"> </w:t>
                        </w:r>
                        <w:r>
                          <w:rPr>
                            <w:b/>
                            <w:sz w:val="20"/>
                          </w:rPr>
                          <w:t>Group</w:t>
                        </w:r>
                        <w:r>
                          <w:rPr>
                            <w:b/>
                            <w:spacing w:val="-3"/>
                            <w:sz w:val="20"/>
                          </w:rPr>
                          <w:t xml:space="preserve"> </w:t>
                        </w:r>
                        <w:r>
                          <w:rPr>
                            <w:b/>
                            <w:spacing w:val="-2"/>
                            <w:sz w:val="20"/>
                          </w:rPr>
                          <w:t>Examples*</w:t>
                        </w:r>
                        <w:r>
                          <w:rPr>
                            <w:b/>
                            <w:sz w:val="20"/>
                          </w:rPr>
                          <w:tab/>
                        </w:r>
                        <w:r>
                          <w:rPr>
                            <w:b/>
                            <w:spacing w:val="-2"/>
                            <w:sz w:val="20"/>
                          </w:rPr>
                          <w:t>Technology</w:t>
                        </w:r>
                        <w:r>
                          <w:rPr>
                            <w:b/>
                            <w:sz w:val="20"/>
                          </w:rPr>
                          <w:tab/>
                        </w:r>
                        <w:r>
                          <w:rPr>
                            <w:b/>
                            <w:sz w:val="20"/>
                          </w:rPr>
                          <w:tab/>
                        </w:r>
                        <w:r>
                          <w:rPr>
                            <w:b/>
                            <w:spacing w:val="-2"/>
                            <w:sz w:val="20"/>
                          </w:rPr>
                          <w:t>Individual</w:t>
                        </w:r>
                      </w:p>
                      <w:p w:rsidR="00C31389" w:rsidRDefault="00561FBD" w14:paraId="0F12FCA1" w14:textId="77777777">
                        <w:pPr>
                          <w:tabs>
                            <w:tab w:val="left" w:pos="4681"/>
                          </w:tabs>
                          <w:spacing w:line="230" w:lineRule="exact"/>
                          <w:ind w:left="3386"/>
                          <w:rPr>
                            <w:b/>
                            <w:sz w:val="20"/>
                          </w:rPr>
                        </w:pPr>
                        <w:r>
                          <w:rPr>
                            <w:b/>
                            <w:spacing w:val="-2"/>
                            <w:sz w:val="20"/>
                          </w:rPr>
                          <w:t>Groups</w:t>
                        </w:r>
                        <w:r>
                          <w:rPr>
                            <w:b/>
                            <w:sz w:val="20"/>
                          </w:rPr>
                          <w:tab/>
                        </w:r>
                        <w:r>
                          <w:rPr>
                            <w:b/>
                            <w:spacing w:val="-2"/>
                            <w:sz w:val="20"/>
                          </w:rPr>
                          <w:t>Technologies</w:t>
                        </w:r>
                        <w:r>
                          <w:rPr>
                            <w:b/>
                            <w:spacing w:val="-2"/>
                            <w:sz w:val="20"/>
                            <w:vertAlign w:val="superscript"/>
                          </w:rPr>
                          <w:t>†</w:t>
                        </w:r>
                      </w:p>
                    </w:txbxContent>
                  </v:textbox>
                </v:shape>
                <w10:anchorlock/>
              </v:group>
            </w:pict>
          </mc:Fallback>
        </mc:AlternateContent>
      </w:r>
    </w:p>
    <w:p w:rsidR="00C31389" w:rsidRDefault="00C31389" w14:paraId="4539EC0C" w14:textId="77777777">
      <w:pPr>
        <w:rPr>
          <w:sz w:val="20"/>
        </w:rPr>
        <w:sectPr w:rsidR="00C31389">
          <w:pgSz w:w="12240" w:h="15840"/>
          <w:pgMar w:top="1660" w:right="960" w:bottom="1120" w:left="960" w:header="397" w:footer="936" w:gutter="0"/>
          <w:cols w:space="720"/>
        </w:sectPr>
      </w:pPr>
    </w:p>
    <w:p w:rsidR="00C31389" w:rsidRDefault="00561FBD" w14:paraId="5A2169B1" w14:textId="77777777">
      <w:pPr>
        <w:spacing w:before="15"/>
        <w:ind w:left="2063"/>
        <w:rPr>
          <w:sz w:val="20"/>
        </w:rPr>
      </w:pPr>
      <w:r>
        <w:rPr>
          <w:noProof/>
        </w:rPr>
        <mc:AlternateContent>
          <mc:Choice Requires="wps">
            <w:drawing>
              <wp:anchor distT="0" distB="0" distL="0" distR="0" simplePos="0" relativeHeight="15766528" behindDoc="0" locked="0" layoutInCell="1" allowOverlap="1" wp14:editId="7081AAF3" wp14:anchorId="69800D0D">
                <wp:simplePos x="0" y="0"/>
                <wp:positionH relativeFrom="page">
                  <wp:posOffset>1847088</wp:posOffset>
                </wp:positionH>
                <wp:positionV relativeFrom="paragraph">
                  <wp:posOffset>326739</wp:posOffset>
                </wp:positionV>
                <wp:extent cx="5011420" cy="317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1420" cy="3175"/>
                        </a:xfrm>
                        <a:custGeom>
                          <a:avLst/>
                          <a:gdLst/>
                          <a:ahLst/>
                          <a:cxnLst/>
                          <a:rect l="l" t="t" r="r" b="b"/>
                          <a:pathLst>
                            <a:path w="5011420" h="3175">
                              <a:moveTo>
                                <a:pt x="993635" y="0"/>
                              </a:moveTo>
                              <a:lnTo>
                                <a:pt x="990600" y="0"/>
                              </a:lnTo>
                              <a:lnTo>
                                <a:pt x="0" y="0"/>
                              </a:lnTo>
                              <a:lnTo>
                                <a:pt x="0" y="3048"/>
                              </a:lnTo>
                              <a:lnTo>
                                <a:pt x="990600" y="3048"/>
                              </a:lnTo>
                              <a:lnTo>
                                <a:pt x="993635" y="3048"/>
                              </a:lnTo>
                              <a:lnTo>
                                <a:pt x="993635" y="0"/>
                              </a:lnTo>
                              <a:close/>
                            </a:path>
                            <a:path w="5011420" h="3175">
                              <a:moveTo>
                                <a:pt x="3928859" y="0"/>
                              </a:moveTo>
                              <a:lnTo>
                                <a:pt x="3925824" y="0"/>
                              </a:lnTo>
                              <a:lnTo>
                                <a:pt x="2958084" y="0"/>
                              </a:lnTo>
                              <a:lnTo>
                                <a:pt x="2955036" y="0"/>
                              </a:lnTo>
                              <a:lnTo>
                                <a:pt x="993648" y="0"/>
                              </a:lnTo>
                              <a:lnTo>
                                <a:pt x="993648" y="3048"/>
                              </a:lnTo>
                              <a:lnTo>
                                <a:pt x="2955036" y="3048"/>
                              </a:lnTo>
                              <a:lnTo>
                                <a:pt x="2958084" y="3048"/>
                              </a:lnTo>
                              <a:lnTo>
                                <a:pt x="3925824" y="3048"/>
                              </a:lnTo>
                              <a:lnTo>
                                <a:pt x="3928859" y="3048"/>
                              </a:lnTo>
                              <a:lnTo>
                                <a:pt x="3928859" y="0"/>
                              </a:lnTo>
                              <a:close/>
                            </a:path>
                            <a:path w="5011420" h="3175">
                              <a:moveTo>
                                <a:pt x="5010912" y="0"/>
                              </a:moveTo>
                              <a:lnTo>
                                <a:pt x="3928872" y="0"/>
                              </a:lnTo>
                              <a:lnTo>
                                <a:pt x="3928872" y="3048"/>
                              </a:lnTo>
                              <a:lnTo>
                                <a:pt x="5010912" y="3048"/>
                              </a:lnTo>
                              <a:lnTo>
                                <a:pt x="50109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211" style="position:absolute;margin-left:145.45pt;margin-top:25.75pt;width:394.6pt;height:.25pt;z-index:15766528;visibility:visible;mso-wrap-style:square;mso-wrap-distance-left:0;mso-wrap-distance-top:0;mso-wrap-distance-right:0;mso-wrap-distance-bottom:0;mso-position-horizontal:absolute;mso-position-horizontal-relative:page;mso-position-vertical:absolute;mso-position-vertical-relative:text;v-text-anchor:top" coordsize="5011420,3175" o:spid="_x0000_s1026" fillcolor="#d9d9d9" stroked="f" path="m993635,r-3035,l,,,3048r990600,l993635,3048r,-3048xem3928859,r-3035,l2958084,r-3048,l993648,r,3048l2955036,3048r3048,l3925824,3048r3035,l3928859,xem5010912,l3928872,r,3048l5010912,3048r,-3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" w14:anchorId="444364AC">
                <v:path arrowok="t"/>
                <w10:wrap anchorx="page"/>
              </v:shape>
            </w:pict>
          </mc:Fallback>
        </mc:AlternateContent>
      </w:r>
      <w:r>
        <w:rPr>
          <w:spacing w:val="-2"/>
          <w:sz w:val="20"/>
        </w:rPr>
        <w:t xml:space="preserve">Appliances/ </w:t>
      </w:r>
      <w:r>
        <w:rPr>
          <w:sz w:val="20"/>
        </w:rPr>
        <w:t>Plug</w:t>
      </w:r>
      <w:r>
        <w:rPr>
          <w:spacing w:val="-5"/>
          <w:sz w:val="20"/>
        </w:rPr>
        <w:t xml:space="preserve"> </w:t>
      </w:r>
      <w:r>
        <w:rPr>
          <w:spacing w:val="-2"/>
          <w:sz w:val="20"/>
        </w:rPr>
        <w:t>Loads</w:t>
      </w:r>
    </w:p>
    <w:p w:rsidR="00C31389" w:rsidRDefault="00561FBD" w14:paraId="4EE08344" w14:textId="77777777">
      <w:pPr>
        <w:spacing w:before="85"/>
        <w:ind w:left="2063"/>
        <w:rPr>
          <w:sz w:val="20"/>
        </w:rPr>
      </w:pPr>
      <w:r>
        <w:rPr>
          <w:noProof/>
        </w:rPr>
        <mc:AlternateContent>
          <mc:Choice Requires="wps">
            <w:drawing>
              <wp:anchor distT="0" distB="0" distL="0" distR="0" simplePos="0" relativeHeight="15767040" behindDoc="0" locked="0" layoutInCell="1" allowOverlap="1" wp14:editId="34D22274" wp14:anchorId="39881674">
                <wp:simplePos x="0" y="0"/>
                <wp:positionH relativeFrom="page">
                  <wp:posOffset>1847088</wp:posOffset>
                </wp:positionH>
                <wp:positionV relativeFrom="paragraph">
                  <wp:posOffset>371231</wp:posOffset>
                </wp:positionV>
                <wp:extent cx="5011420" cy="317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1420" cy="3175"/>
                        </a:xfrm>
                        <a:custGeom>
                          <a:avLst/>
                          <a:gdLst/>
                          <a:ahLst/>
                          <a:cxnLst/>
                          <a:rect l="l" t="t" r="r" b="b"/>
                          <a:pathLst>
                            <a:path w="5011420" h="3175">
                              <a:moveTo>
                                <a:pt x="993635" y="0"/>
                              </a:moveTo>
                              <a:lnTo>
                                <a:pt x="990600" y="0"/>
                              </a:lnTo>
                              <a:lnTo>
                                <a:pt x="0" y="0"/>
                              </a:lnTo>
                              <a:lnTo>
                                <a:pt x="0" y="3035"/>
                              </a:lnTo>
                              <a:lnTo>
                                <a:pt x="990600" y="3035"/>
                              </a:lnTo>
                              <a:lnTo>
                                <a:pt x="993635" y="3035"/>
                              </a:lnTo>
                              <a:lnTo>
                                <a:pt x="993635" y="0"/>
                              </a:lnTo>
                              <a:close/>
                            </a:path>
                            <a:path w="5011420" h="3175">
                              <a:moveTo>
                                <a:pt x="3928859" y="0"/>
                              </a:moveTo>
                              <a:lnTo>
                                <a:pt x="3925824" y="0"/>
                              </a:lnTo>
                              <a:lnTo>
                                <a:pt x="2958084" y="0"/>
                              </a:lnTo>
                              <a:lnTo>
                                <a:pt x="2955036" y="0"/>
                              </a:lnTo>
                              <a:lnTo>
                                <a:pt x="993648" y="0"/>
                              </a:lnTo>
                              <a:lnTo>
                                <a:pt x="993648" y="3035"/>
                              </a:lnTo>
                              <a:lnTo>
                                <a:pt x="2955036" y="3035"/>
                              </a:lnTo>
                              <a:lnTo>
                                <a:pt x="2958084" y="3035"/>
                              </a:lnTo>
                              <a:lnTo>
                                <a:pt x="3925824" y="3035"/>
                              </a:lnTo>
                              <a:lnTo>
                                <a:pt x="3928859" y="3035"/>
                              </a:lnTo>
                              <a:lnTo>
                                <a:pt x="3928859" y="0"/>
                              </a:lnTo>
                              <a:close/>
                            </a:path>
                            <a:path w="5011420" h="3175">
                              <a:moveTo>
                                <a:pt x="5010912" y="0"/>
                              </a:moveTo>
                              <a:lnTo>
                                <a:pt x="3928872" y="0"/>
                              </a:lnTo>
                              <a:lnTo>
                                <a:pt x="3928872" y="3035"/>
                              </a:lnTo>
                              <a:lnTo>
                                <a:pt x="5010912" y="3035"/>
                              </a:lnTo>
                              <a:lnTo>
                                <a:pt x="50109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212" style="position:absolute;margin-left:145.45pt;margin-top:29.25pt;width:394.6pt;height:.25pt;z-index:15767040;visibility:visible;mso-wrap-style:square;mso-wrap-distance-left:0;mso-wrap-distance-top:0;mso-wrap-distance-right:0;mso-wrap-distance-bottom:0;mso-position-horizontal:absolute;mso-position-horizontal-relative:page;mso-position-vertical:absolute;mso-position-vertical-relative:text;v-text-anchor:top" coordsize="5011420,3175" o:spid="_x0000_s1026" fillcolor="#d9d9d9" stroked="f" path="m993635,r-3035,l,,,3035r990600,l993635,3035r,-3035xem3928859,r-3035,l2958084,r-3048,l993648,r,3035l2955036,3035r3048,l3925824,3035r3035,l3928859,xem5010912,l3928872,r,3035l5010912,3035r,-3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" w14:anchorId="710D3516">
                <v:path arrowok="t"/>
                <w10:wrap anchorx="page"/>
              </v:shape>
            </w:pict>
          </mc:Fallback>
        </mc:AlternateContent>
      </w:r>
      <w:r>
        <w:rPr>
          <w:spacing w:val="-2"/>
          <w:sz w:val="20"/>
        </w:rPr>
        <w:t>Building Envelope</w:t>
      </w:r>
    </w:p>
    <w:p w:rsidR="00C31389" w:rsidRDefault="00561FBD" w14:paraId="1618AAFC" w14:textId="77777777">
      <w:pPr>
        <w:spacing w:before="15"/>
        <w:ind w:left="484" w:right="363"/>
        <w:rPr>
          <w:sz w:val="20"/>
        </w:rPr>
      </w:pPr>
      <w:r>
        <w:br w:type="column"/>
      </w:r>
      <w:r>
        <w:rPr>
          <w:sz w:val="20"/>
        </w:rPr>
        <w:t>Refrigerators,</w:t>
      </w:r>
      <w:r>
        <w:rPr>
          <w:spacing w:val="-14"/>
          <w:sz w:val="20"/>
        </w:rPr>
        <w:t xml:space="preserve"> </w:t>
      </w:r>
      <w:r>
        <w:rPr>
          <w:sz w:val="20"/>
        </w:rPr>
        <w:t>Dishwashers, Clothes Dryers</w:t>
      </w:r>
    </w:p>
    <w:p w:rsidR="00C31389" w:rsidRDefault="00561FBD" w14:paraId="4B6452DF" w14:textId="77777777">
      <w:pPr>
        <w:spacing w:before="85"/>
        <w:ind w:left="485"/>
        <w:rPr>
          <w:sz w:val="20"/>
        </w:rPr>
      </w:pPr>
      <w:r>
        <w:rPr>
          <w:sz w:val="20"/>
        </w:rPr>
        <w:t>Wall</w:t>
      </w:r>
      <w:r>
        <w:rPr>
          <w:spacing w:val="-14"/>
          <w:sz w:val="20"/>
        </w:rPr>
        <w:t xml:space="preserve"> </w:t>
      </w:r>
      <w:r>
        <w:rPr>
          <w:sz w:val="20"/>
        </w:rPr>
        <w:t>Insulation,</w:t>
      </w:r>
      <w:r>
        <w:rPr>
          <w:spacing w:val="-14"/>
          <w:sz w:val="20"/>
        </w:rPr>
        <w:t xml:space="preserve"> </w:t>
      </w:r>
      <w:r>
        <w:rPr>
          <w:sz w:val="20"/>
        </w:rPr>
        <w:t>Floor</w:t>
      </w:r>
      <w:r>
        <w:rPr>
          <w:spacing w:val="-13"/>
          <w:sz w:val="20"/>
        </w:rPr>
        <w:t xml:space="preserve"> </w:t>
      </w:r>
      <w:r>
        <w:rPr>
          <w:sz w:val="20"/>
        </w:rPr>
        <w:t>Insulation, Duct Insulation</w:t>
      </w:r>
    </w:p>
    <w:p w:rsidR="00C31389" w:rsidRDefault="00561FBD" w14:paraId="62CC203B" w14:textId="77777777">
      <w:pPr>
        <w:tabs>
          <w:tab w:val="left" w:pos="2374"/>
        </w:tabs>
        <w:spacing w:before="130"/>
        <w:ind w:left="755"/>
        <w:rPr>
          <w:sz w:val="20"/>
        </w:rPr>
      </w:pPr>
      <w:r>
        <w:br w:type="column"/>
      </w:r>
      <w:r>
        <w:rPr>
          <w:spacing w:val="-5"/>
          <w:sz w:val="20"/>
        </w:rPr>
        <w:t>12</w:t>
      </w:r>
      <w:r>
        <w:rPr>
          <w:sz w:val="20"/>
        </w:rPr>
        <w:tab/>
      </w:r>
      <w:r>
        <w:rPr>
          <w:spacing w:val="-5"/>
          <w:sz w:val="20"/>
        </w:rPr>
        <w:t>28</w:t>
      </w:r>
    </w:p>
    <w:p w:rsidR="00C31389" w:rsidRDefault="00C31389" w14:paraId="4BFD74DD" w14:textId="77777777">
      <w:pPr>
        <w:pStyle w:val="BodyText"/>
        <w:spacing w:before="4"/>
        <w:rPr>
          <w:sz w:val="27"/>
        </w:rPr>
      </w:pPr>
    </w:p>
    <w:p w:rsidR="00C31389" w:rsidRDefault="00561FBD" w14:paraId="55791EAC" w14:textId="77777777">
      <w:pPr>
        <w:tabs>
          <w:tab w:val="left" w:pos="2374"/>
        </w:tabs>
        <w:spacing w:before="1"/>
        <w:ind w:left="810"/>
        <w:rPr>
          <w:sz w:val="20"/>
        </w:rPr>
      </w:pPr>
      <w:r>
        <w:rPr>
          <w:spacing w:val="-10"/>
          <w:sz w:val="20"/>
        </w:rPr>
        <w:t>5</w:t>
      </w:r>
      <w:r>
        <w:rPr>
          <w:sz w:val="20"/>
        </w:rPr>
        <w:tab/>
      </w:r>
      <w:r>
        <w:rPr>
          <w:spacing w:val="-5"/>
          <w:sz w:val="20"/>
        </w:rPr>
        <w:t>13</w:t>
      </w:r>
    </w:p>
    <w:p w:rsidR="00C31389" w:rsidRDefault="00C31389" w14:paraId="229A84E7" w14:textId="77777777">
      <w:pPr>
        <w:rPr>
          <w:sz w:val="20"/>
        </w:rPr>
        <w:sectPr w:rsidR="00C31389">
          <w:type w:val="continuous"/>
          <w:pgSz w:w="12240" w:h="15840"/>
          <w:pgMar w:top="0" w:right="960" w:bottom="280" w:left="960" w:header="397" w:footer="936" w:gutter="0"/>
          <w:cols w:equalWidth="0" w:space="720" w:num="3">
            <w:col w:w="3099" w:space="40"/>
            <w:col w:w="3321" w:space="39"/>
            <w:col w:w="3821"/>
          </w:cols>
        </w:sectPr>
      </w:pPr>
    </w:p>
    <w:p w:rsidR="00C31389" w:rsidRDefault="00C31389" w14:paraId="1CE95249" w14:textId="77777777">
      <w:pPr>
        <w:pStyle w:val="BodyText"/>
      </w:pPr>
    </w:p>
    <w:p w:rsidR="00C31389" w:rsidRDefault="00C31389" w14:paraId="3E066F1F" w14:textId="77777777">
      <w:pPr>
        <w:pStyle w:val="BodyText"/>
        <w:spacing w:before="3"/>
        <w:rPr>
          <w:sz w:val="19"/>
        </w:rPr>
      </w:pPr>
    </w:p>
    <w:p w:rsidR="00C31389" w:rsidRDefault="00561FBD" w14:paraId="17E1BF5F" w14:textId="77777777">
      <w:pPr>
        <w:ind w:left="595"/>
        <w:rPr>
          <w:b/>
          <w:sz w:val="20"/>
        </w:rPr>
      </w:pPr>
      <w:r>
        <w:rPr>
          <w:b/>
          <w:spacing w:val="-2"/>
          <w:sz w:val="20"/>
        </w:rPr>
        <w:t>Residential</w:t>
      </w:r>
    </w:p>
    <w:p w:rsidR="00C31389" w:rsidRDefault="00561FBD" w14:paraId="4A776173" w14:textId="77777777">
      <w:pPr>
        <w:tabs>
          <w:tab w:val="left" w:pos="1919"/>
        </w:tabs>
        <w:spacing w:before="108" w:line="158" w:lineRule="auto"/>
        <w:ind w:left="1919" w:right="38" w:hanging="1560"/>
        <w:rPr>
          <w:sz w:val="20"/>
        </w:rPr>
      </w:pPr>
      <w:r>
        <w:br w:type="column"/>
      </w:r>
      <w:r>
        <w:rPr>
          <w:spacing w:val="-4"/>
          <w:position w:val="-11"/>
          <w:sz w:val="20"/>
        </w:rPr>
        <w:t>HVAC</w:t>
      </w:r>
      <w:r>
        <w:rPr>
          <w:position w:val="-11"/>
          <w:sz w:val="20"/>
        </w:rPr>
        <w:tab/>
      </w:r>
      <w:r>
        <w:rPr>
          <w:sz w:val="20"/>
        </w:rPr>
        <w:t>Air</w:t>
      </w:r>
      <w:r>
        <w:rPr>
          <w:spacing w:val="-12"/>
          <w:sz w:val="20"/>
        </w:rPr>
        <w:t xml:space="preserve"> </w:t>
      </w:r>
      <w:r>
        <w:rPr>
          <w:sz w:val="20"/>
        </w:rPr>
        <w:t>Conditioners</w:t>
      </w:r>
      <w:r>
        <w:rPr>
          <w:spacing w:val="-14"/>
          <w:sz w:val="20"/>
        </w:rPr>
        <w:t xml:space="preserve"> </w:t>
      </w:r>
      <w:r>
        <w:rPr>
          <w:sz w:val="20"/>
        </w:rPr>
        <w:t>(ACs),</w:t>
      </w:r>
      <w:r>
        <w:rPr>
          <w:spacing w:val="-13"/>
          <w:sz w:val="20"/>
        </w:rPr>
        <w:t xml:space="preserve"> </w:t>
      </w:r>
      <w:r>
        <w:rPr>
          <w:sz w:val="20"/>
        </w:rPr>
        <w:t>Heat Pumps, Furnaces</w:t>
      </w:r>
    </w:p>
    <w:p w:rsidR="00C31389" w:rsidRDefault="00561FBD" w14:paraId="60E24C9F" w14:textId="77777777">
      <w:pPr>
        <w:spacing w:before="98"/>
        <w:ind w:left="1919"/>
        <w:rPr>
          <w:sz w:val="20"/>
        </w:rPr>
      </w:pPr>
      <w:r>
        <w:rPr>
          <w:noProof/>
        </w:rPr>
        <mc:AlternateContent>
          <mc:Choice Requires="wps">
            <w:drawing>
              <wp:anchor distT="0" distB="0" distL="0" distR="0" simplePos="0" relativeHeight="15767552" behindDoc="0" locked="0" layoutInCell="1" allowOverlap="1" wp14:editId="6A998047" wp14:anchorId="7C808C76">
                <wp:simplePos x="0" y="0"/>
                <wp:positionH relativeFrom="page">
                  <wp:posOffset>1847088</wp:posOffset>
                </wp:positionH>
                <wp:positionV relativeFrom="paragraph">
                  <wp:posOffset>33526</wp:posOffset>
                </wp:positionV>
                <wp:extent cx="5011420" cy="31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1420" cy="3175"/>
                        </a:xfrm>
                        <a:custGeom>
                          <a:avLst/>
                          <a:gdLst/>
                          <a:ahLst/>
                          <a:cxnLst/>
                          <a:rect l="l" t="t" r="r" b="b"/>
                          <a:pathLst>
                            <a:path w="5011420" h="3175">
                              <a:moveTo>
                                <a:pt x="993635" y="0"/>
                              </a:moveTo>
                              <a:lnTo>
                                <a:pt x="990600" y="0"/>
                              </a:lnTo>
                              <a:lnTo>
                                <a:pt x="0" y="0"/>
                              </a:lnTo>
                              <a:lnTo>
                                <a:pt x="0" y="3048"/>
                              </a:lnTo>
                              <a:lnTo>
                                <a:pt x="990600" y="3048"/>
                              </a:lnTo>
                              <a:lnTo>
                                <a:pt x="993635" y="3048"/>
                              </a:lnTo>
                              <a:lnTo>
                                <a:pt x="993635" y="0"/>
                              </a:lnTo>
                              <a:close/>
                            </a:path>
                            <a:path w="5011420" h="3175">
                              <a:moveTo>
                                <a:pt x="3928859" y="0"/>
                              </a:moveTo>
                              <a:lnTo>
                                <a:pt x="3925824" y="0"/>
                              </a:lnTo>
                              <a:lnTo>
                                <a:pt x="2958084" y="0"/>
                              </a:lnTo>
                              <a:lnTo>
                                <a:pt x="2955036" y="0"/>
                              </a:lnTo>
                              <a:lnTo>
                                <a:pt x="993648" y="0"/>
                              </a:lnTo>
                              <a:lnTo>
                                <a:pt x="993648" y="3048"/>
                              </a:lnTo>
                              <a:lnTo>
                                <a:pt x="2955036" y="3048"/>
                              </a:lnTo>
                              <a:lnTo>
                                <a:pt x="2958084" y="3048"/>
                              </a:lnTo>
                              <a:lnTo>
                                <a:pt x="3925824" y="3048"/>
                              </a:lnTo>
                              <a:lnTo>
                                <a:pt x="3928859" y="3048"/>
                              </a:lnTo>
                              <a:lnTo>
                                <a:pt x="3928859" y="0"/>
                              </a:lnTo>
                              <a:close/>
                            </a:path>
                            <a:path w="5011420" h="3175">
                              <a:moveTo>
                                <a:pt x="5010912" y="0"/>
                              </a:moveTo>
                              <a:lnTo>
                                <a:pt x="3928872" y="0"/>
                              </a:lnTo>
                              <a:lnTo>
                                <a:pt x="3928872" y="3048"/>
                              </a:lnTo>
                              <a:lnTo>
                                <a:pt x="5010912" y="3048"/>
                              </a:lnTo>
                              <a:lnTo>
                                <a:pt x="50109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213" style="position:absolute;margin-left:145.45pt;margin-top:2.65pt;width:394.6pt;height:.25pt;z-index:15767552;visibility:visible;mso-wrap-style:square;mso-wrap-distance-left:0;mso-wrap-distance-top:0;mso-wrap-distance-right:0;mso-wrap-distance-bottom:0;mso-position-horizontal:absolute;mso-position-horizontal-relative:page;mso-position-vertical:absolute;mso-position-vertical-relative:text;v-text-anchor:top" coordsize="5011420,3175" o:spid="_x0000_s1026" fillcolor="#d9d9d9" stroked="f" path="m993635,r-3035,l,,,3048r990600,l993635,3048r,-3048xem3928859,r-3035,l2958084,r-3048,l993648,r,3048l2955036,3048r3048,l3925824,3048r3035,l3928859,xem5010912,l3928872,r,3048l5010912,3048r,-3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" w14:anchorId="589603C7">
                <v:path arrowok="t"/>
                <w10:wrap anchorx="page"/>
              </v:shape>
            </w:pict>
          </mc:Fallback>
        </mc:AlternateContent>
      </w:r>
      <w:r>
        <w:rPr>
          <w:sz w:val="20"/>
        </w:rPr>
        <w:t>Indoor</w:t>
      </w:r>
      <w:r>
        <w:rPr>
          <w:spacing w:val="-4"/>
          <w:sz w:val="20"/>
        </w:rPr>
        <w:t xml:space="preserve"> </w:t>
      </w:r>
      <w:r>
        <w:rPr>
          <w:sz w:val="20"/>
        </w:rPr>
        <w:t>Screw-In</w:t>
      </w:r>
      <w:r>
        <w:rPr>
          <w:spacing w:val="-4"/>
          <w:sz w:val="20"/>
        </w:rPr>
        <w:t xml:space="preserve"> </w:t>
      </w:r>
      <w:r>
        <w:rPr>
          <w:spacing w:val="-2"/>
          <w:sz w:val="20"/>
        </w:rPr>
        <w:t>Lamps,</w:t>
      </w:r>
    </w:p>
    <w:p w:rsidR="00C31389" w:rsidRDefault="00561FBD" w14:paraId="64A2536A" w14:textId="77777777">
      <w:pPr>
        <w:spacing w:before="4"/>
        <w:rPr>
          <w:sz w:val="17"/>
        </w:rPr>
      </w:pPr>
      <w:r>
        <w:br w:type="column"/>
      </w:r>
    </w:p>
    <w:p w:rsidR="00C31389" w:rsidRDefault="00561FBD" w14:paraId="4266F9AD" w14:textId="77777777">
      <w:pPr>
        <w:tabs>
          <w:tab w:val="left" w:pos="2213"/>
        </w:tabs>
        <w:ind w:left="595"/>
        <w:rPr>
          <w:sz w:val="20"/>
        </w:rPr>
      </w:pPr>
      <w:r>
        <w:rPr>
          <w:spacing w:val="-5"/>
          <w:sz w:val="20"/>
        </w:rPr>
        <w:t>21</w:t>
      </w:r>
      <w:r>
        <w:rPr>
          <w:sz w:val="20"/>
        </w:rPr>
        <w:tab/>
      </w:r>
      <w:r>
        <w:rPr>
          <w:spacing w:val="-5"/>
          <w:sz w:val="20"/>
        </w:rPr>
        <w:t>77</w:t>
      </w:r>
    </w:p>
    <w:p w:rsidR="00C31389" w:rsidRDefault="00C31389" w14:paraId="03853878" w14:textId="77777777">
      <w:pPr>
        <w:rPr>
          <w:sz w:val="20"/>
        </w:rPr>
        <w:sectPr w:rsidR="00C31389">
          <w:type w:val="continuous"/>
          <w:pgSz w:w="12240" w:h="15840"/>
          <w:pgMar w:top="0" w:right="960" w:bottom="280" w:left="960" w:header="397" w:footer="936" w:gutter="0"/>
          <w:cols w:equalWidth="0" w:space="720" w:num="3">
            <w:col w:w="1665" w:space="40"/>
            <w:col w:w="4483" w:space="472"/>
            <w:col w:w="3660"/>
          </w:cols>
        </w:sectPr>
      </w:pPr>
    </w:p>
    <w:p w:rsidR="00C31389" w:rsidRDefault="00561FBD" w14:paraId="28D4062C" w14:textId="77777777">
      <w:pPr>
        <w:jc w:val="right"/>
        <w:rPr>
          <w:sz w:val="20"/>
        </w:rPr>
      </w:pPr>
      <w:r>
        <w:rPr>
          <w:spacing w:val="-2"/>
          <w:sz w:val="20"/>
        </w:rPr>
        <w:t>Lighting</w:t>
      </w:r>
    </w:p>
    <w:p w:rsidR="00C31389" w:rsidRDefault="00561FBD" w14:paraId="68FD90C3" w14:textId="77777777">
      <w:pPr>
        <w:ind w:left="817"/>
        <w:rPr>
          <w:sz w:val="20"/>
        </w:rPr>
      </w:pPr>
      <w:r>
        <w:br w:type="column"/>
      </w:r>
      <w:r>
        <w:rPr>
          <w:sz w:val="20"/>
        </w:rPr>
        <w:t>Specialty</w:t>
      </w:r>
      <w:r>
        <w:rPr>
          <w:spacing w:val="-14"/>
          <w:sz w:val="20"/>
        </w:rPr>
        <w:t xml:space="preserve"> </w:t>
      </w:r>
      <w:r>
        <w:rPr>
          <w:sz w:val="20"/>
        </w:rPr>
        <w:t>Lamps,</w:t>
      </w:r>
      <w:r>
        <w:rPr>
          <w:spacing w:val="-14"/>
          <w:sz w:val="20"/>
        </w:rPr>
        <w:t xml:space="preserve"> </w:t>
      </w:r>
      <w:r>
        <w:rPr>
          <w:sz w:val="20"/>
        </w:rPr>
        <w:t xml:space="preserve">Lighting </w:t>
      </w:r>
      <w:r>
        <w:rPr>
          <w:spacing w:val="-2"/>
          <w:sz w:val="20"/>
        </w:rPr>
        <w:t>Controls</w:t>
      </w:r>
    </w:p>
    <w:p w:rsidR="00C31389" w:rsidRDefault="00561FBD" w14:paraId="62A76D51" w14:textId="77777777">
      <w:pPr>
        <w:tabs>
          <w:tab w:val="left" w:pos="2929"/>
        </w:tabs>
        <w:ind w:left="1366"/>
        <w:rPr>
          <w:sz w:val="20"/>
        </w:rPr>
      </w:pPr>
      <w:r>
        <w:br w:type="column"/>
      </w:r>
      <w:r>
        <w:rPr>
          <w:spacing w:val="-10"/>
          <w:sz w:val="20"/>
        </w:rPr>
        <w:t>7</w:t>
      </w:r>
      <w:r>
        <w:rPr>
          <w:sz w:val="20"/>
        </w:rPr>
        <w:tab/>
      </w:r>
      <w:r>
        <w:rPr>
          <w:spacing w:val="-5"/>
          <w:sz w:val="20"/>
        </w:rPr>
        <w:t>20</w:t>
      </w:r>
    </w:p>
    <w:p w:rsidR="00C31389" w:rsidRDefault="00C31389" w14:paraId="4C19AC85" w14:textId="77777777">
      <w:pPr>
        <w:rPr>
          <w:sz w:val="20"/>
        </w:rPr>
        <w:sectPr w:rsidR="00C31389">
          <w:type w:val="continuous"/>
          <w:pgSz w:w="12240" w:h="15840"/>
          <w:pgMar w:top="0" w:right="960" w:bottom="280" w:left="960" w:header="397" w:footer="936" w:gutter="0"/>
          <w:cols w:equalWidth="0" w:space="720" w:num="3">
            <w:col w:w="2767" w:space="40"/>
            <w:col w:w="3098" w:space="39"/>
            <w:col w:w="4376"/>
          </w:cols>
        </w:sectPr>
      </w:pPr>
    </w:p>
    <w:p w:rsidR="00C31389" w:rsidRDefault="00561FBD" w14:paraId="0FFC39F8" w14:textId="77777777">
      <w:pPr>
        <w:tabs>
          <w:tab w:val="left" w:pos="3623"/>
        </w:tabs>
        <w:spacing w:before="110" w:line="151" w:lineRule="auto"/>
        <w:ind w:left="2063"/>
        <w:rPr>
          <w:sz w:val="20"/>
        </w:rPr>
      </w:pPr>
      <w:r>
        <w:rPr>
          <w:noProof/>
        </w:rPr>
        <mc:AlternateContent>
          <mc:Choice Requires="wps">
            <w:drawing>
              <wp:anchor distT="0" distB="0" distL="0" distR="0" simplePos="0" relativeHeight="15768064" behindDoc="0" locked="0" layoutInCell="1" allowOverlap="1" wp14:editId="78E4579E" wp14:anchorId="1DDB15E9">
                <wp:simplePos x="0" y="0"/>
                <wp:positionH relativeFrom="page">
                  <wp:posOffset>1847088</wp:posOffset>
                </wp:positionH>
                <wp:positionV relativeFrom="paragraph">
                  <wp:posOffset>25264</wp:posOffset>
                </wp:positionV>
                <wp:extent cx="5011420" cy="317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1420" cy="3175"/>
                        </a:xfrm>
                        <a:custGeom>
                          <a:avLst/>
                          <a:gdLst/>
                          <a:ahLst/>
                          <a:cxnLst/>
                          <a:rect l="l" t="t" r="r" b="b"/>
                          <a:pathLst>
                            <a:path w="5011420" h="3175">
                              <a:moveTo>
                                <a:pt x="993635" y="0"/>
                              </a:moveTo>
                              <a:lnTo>
                                <a:pt x="990600" y="0"/>
                              </a:lnTo>
                              <a:lnTo>
                                <a:pt x="0" y="0"/>
                              </a:lnTo>
                              <a:lnTo>
                                <a:pt x="0" y="3060"/>
                              </a:lnTo>
                              <a:lnTo>
                                <a:pt x="990600" y="3060"/>
                              </a:lnTo>
                              <a:lnTo>
                                <a:pt x="993635" y="3060"/>
                              </a:lnTo>
                              <a:lnTo>
                                <a:pt x="993635" y="0"/>
                              </a:lnTo>
                              <a:close/>
                            </a:path>
                            <a:path w="5011420" h="3175">
                              <a:moveTo>
                                <a:pt x="3928859" y="0"/>
                              </a:moveTo>
                              <a:lnTo>
                                <a:pt x="3925824" y="0"/>
                              </a:lnTo>
                              <a:lnTo>
                                <a:pt x="2958084" y="0"/>
                              </a:lnTo>
                              <a:lnTo>
                                <a:pt x="2955036" y="0"/>
                              </a:lnTo>
                              <a:lnTo>
                                <a:pt x="993648" y="0"/>
                              </a:lnTo>
                              <a:lnTo>
                                <a:pt x="993648" y="3060"/>
                              </a:lnTo>
                              <a:lnTo>
                                <a:pt x="2955036" y="3060"/>
                              </a:lnTo>
                              <a:lnTo>
                                <a:pt x="2958084" y="3060"/>
                              </a:lnTo>
                              <a:lnTo>
                                <a:pt x="3925824" y="3060"/>
                              </a:lnTo>
                              <a:lnTo>
                                <a:pt x="3928859" y="3060"/>
                              </a:lnTo>
                              <a:lnTo>
                                <a:pt x="3928859" y="0"/>
                              </a:lnTo>
                              <a:close/>
                            </a:path>
                            <a:path w="5011420" h="3175">
                              <a:moveTo>
                                <a:pt x="5010912" y="0"/>
                              </a:moveTo>
                              <a:lnTo>
                                <a:pt x="3928872" y="0"/>
                              </a:lnTo>
                              <a:lnTo>
                                <a:pt x="3928872" y="3060"/>
                              </a:lnTo>
                              <a:lnTo>
                                <a:pt x="5010912" y="3060"/>
                              </a:lnTo>
                              <a:lnTo>
                                <a:pt x="50109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214" style="position:absolute;margin-left:145.45pt;margin-top:2pt;width:394.6pt;height:.25pt;z-index:15768064;visibility:visible;mso-wrap-style:square;mso-wrap-distance-left:0;mso-wrap-distance-top:0;mso-wrap-distance-right:0;mso-wrap-distance-bottom:0;mso-position-horizontal:absolute;mso-position-horizontal-relative:page;mso-position-vertical:absolute;mso-position-vertical-relative:text;v-text-anchor:top" coordsize="5011420,3175" o:spid="_x0000_s1026" fillcolor="#d9d9d9" stroked="f" path="m993635,r-3035,l,,,3060r990600,l993635,3060r,-3060xem3928859,r-3035,l2958084,r-3048,l993648,r,3060l2955036,3060r3048,l3925824,3060r3035,l3928859,xem5010912,l3928872,r,3060l5010912,3060r,-30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" w14:anchorId="30445AC2">
                <v:path arrowok="t"/>
                <w10:wrap anchorx="page"/>
              </v:shape>
            </w:pict>
          </mc:Fallback>
        </mc:AlternateContent>
      </w:r>
      <w:r>
        <w:rPr>
          <w:position w:val="-11"/>
          <w:sz w:val="20"/>
        </w:rPr>
        <w:t>Water</w:t>
      </w:r>
      <w:r>
        <w:rPr>
          <w:spacing w:val="-5"/>
          <w:position w:val="-11"/>
          <w:sz w:val="20"/>
        </w:rPr>
        <w:t xml:space="preserve"> </w:t>
      </w:r>
      <w:r>
        <w:rPr>
          <w:spacing w:val="-2"/>
          <w:position w:val="-11"/>
          <w:sz w:val="20"/>
        </w:rPr>
        <w:t>Heating</w:t>
      </w:r>
      <w:r>
        <w:rPr>
          <w:position w:val="-11"/>
          <w:sz w:val="20"/>
        </w:rPr>
        <w:tab/>
      </w:r>
      <w:r>
        <w:rPr>
          <w:sz w:val="20"/>
        </w:rPr>
        <w:t>Electric</w:t>
      </w:r>
      <w:r>
        <w:rPr>
          <w:spacing w:val="-7"/>
          <w:sz w:val="20"/>
        </w:rPr>
        <w:t xml:space="preserve"> </w:t>
      </w:r>
      <w:r>
        <w:rPr>
          <w:sz w:val="20"/>
        </w:rPr>
        <w:t>Water</w:t>
      </w:r>
      <w:r>
        <w:rPr>
          <w:spacing w:val="-4"/>
          <w:sz w:val="20"/>
        </w:rPr>
        <w:t xml:space="preserve"> </w:t>
      </w:r>
      <w:r>
        <w:rPr>
          <w:sz w:val="20"/>
        </w:rPr>
        <w:t>Heaters,</w:t>
      </w:r>
      <w:r>
        <w:rPr>
          <w:spacing w:val="-4"/>
          <w:sz w:val="20"/>
        </w:rPr>
        <w:t xml:space="preserve"> </w:t>
      </w:r>
      <w:r>
        <w:rPr>
          <w:spacing w:val="-2"/>
          <w:sz w:val="20"/>
        </w:rPr>
        <w:t>Faucet</w:t>
      </w:r>
    </w:p>
    <w:p w:rsidR="00C31389" w:rsidRDefault="00561FBD" w14:paraId="5A4895CA" w14:textId="77777777">
      <w:pPr>
        <w:spacing w:line="170" w:lineRule="exact"/>
        <w:ind w:left="3624"/>
        <w:rPr>
          <w:sz w:val="20"/>
        </w:rPr>
      </w:pPr>
      <w:r>
        <w:rPr>
          <w:sz w:val="20"/>
        </w:rPr>
        <w:t>Aerators,</w:t>
      </w:r>
      <w:r>
        <w:rPr>
          <w:spacing w:val="-4"/>
          <w:sz w:val="20"/>
        </w:rPr>
        <w:t xml:space="preserve"> </w:t>
      </w:r>
      <w:r>
        <w:rPr>
          <w:spacing w:val="-2"/>
          <w:sz w:val="20"/>
        </w:rPr>
        <w:t>Showerheads</w:t>
      </w:r>
    </w:p>
    <w:p w:rsidR="00C31389" w:rsidRDefault="00561FBD" w14:paraId="2DA75727" w14:textId="77777777">
      <w:pPr>
        <w:spacing w:before="5"/>
        <w:rPr>
          <w:sz w:val="17"/>
        </w:rPr>
      </w:pPr>
      <w:r>
        <w:br w:type="column"/>
      </w:r>
    </w:p>
    <w:p w:rsidR="00C31389" w:rsidRDefault="00561FBD" w14:paraId="07C734CF" w14:textId="77777777">
      <w:pPr>
        <w:tabs>
          <w:tab w:val="left" w:pos="2485"/>
        </w:tabs>
        <w:ind w:left="866"/>
        <w:rPr>
          <w:sz w:val="20"/>
        </w:rPr>
      </w:pPr>
      <w:r>
        <w:rPr>
          <w:spacing w:val="-5"/>
          <w:sz w:val="20"/>
        </w:rPr>
        <w:t>15</w:t>
      </w:r>
      <w:r>
        <w:rPr>
          <w:sz w:val="20"/>
        </w:rPr>
        <w:tab/>
      </w:r>
      <w:r>
        <w:rPr>
          <w:spacing w:val="-5"/>
          <w:sz w:val="20"/>
        </w:rPr>
        <w:t>36</w:t>
      </w:r>
    </w:p>
    <w:p w:rsidR="00C31389" w:rsidRDefault="00C31389" w14:paraId="0041A12D" w14:textId="77777777">
      <w:pPr>
        <w:rPr>
          <w:sz w:val="20"/>
        </w:rPr>
        <w:sectPr w:rsidR="00C31389">
          <w:type w:val="continuous"/>
          <w:pgSz w:w="12240" w:h="15840"/>
          <w:pgMar w:top="0" w:right="960" w:bottom="280" w:left="960" w:header="397" w:footer="936" w:gutter="0"/>
          <w:cols w:equalWidth="0" w:space="720" w:num="2">
            <w:col w:w="6349" w:space="40"/>
            <w:col w:w="3931"/>
          </w:cols>
        </w:sectPr>
      </w:pPr>
    </w:p>
    <w:p w:rsidR="00C31389" w:rsidRDefault="00C31389" w14:paraId="70D0E2C2" w14:textId="77777777">
      <w:pPr>
        <w:pStyle w:val="BodyText"/>
        <w:spacing w:before="5"/>
        <w:rPr>
          <w:sz w:val="3"/>
        </w:rPr>
      </w:pPr>
    </w:p>
    <w:p w:rsidR="00C31389" w:rsidRDefault="00561FBD" w14:paraId="1E564D9C" w14:textId="77777777">
      <w:pPr>
        <w:tabs>
          <w:tab w:val="left" w:pos="7255"/>
          <w:tab w:val="left" w:pos="8818"/>
        </w:tabs>
        <w:spacing w:before="30"/>
        <w:ind w:left="2063"/>
        <w:rPr>
          <w:b/>
          <w:sz w:val="20"/>
        </w:rPr>
      </w:pPr>
      <w:r>
        <w:rPr>
          <w:noProof/>
        </w:rPr>
        <mc:AlternateContent>
          <mc:Choice Requires="wps">
            <w:drawing>
              <wp:anchor distT="0" distB="0" distL="0" distR="0" simplePos="0" relativeHeight="487625216" behindDoc="1" locked="0" layoutInCell="1" allowOverlap="1" wp14:editId="692DB36D" wp14:anchorId="34FD0175">
                <wp:simplePos x="0" y="0"/>
                <wp:positionH relativeFrom="page">
                  <wp:posOffset>914400</wp:posOffset>
                </wp:positionH>
                <wp:positionV relativeFrom="paragraph">
                  <wp:posOffset>190752</wp:posOffset>
                </wp:positionV>
                <wp:extent cx="5943600" cy="635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17" style="position:absolute;margin-left:1in;margin-top:15pt;width:468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5943600,6350" o:spid="_x0000_s1026" fillcolor="black" stroked="f" path="m5943600,r,l,,,6096r5943600,l594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" w14:anchorId="4FBE74A7">
                <v:path arrowok="t"/>
                <w10:wrap type="topAndBottom" anchorx="page"/>
              </v:shape>
            </w:pict>
          </mc:Fallback>
        </mc:AlternateContent>
      </w:r>
      <w:r>
        <w:rPr>
          <w:noProof/>
        </w:rPr>
        <mc:AlternateContent>
          <mc:Choice Requires="wps">
            <w:drawing>
              <wp:anchor distT="0" distB="0" distL="0" distR="0" simplePos="0" relativeHeight="15768576" behindDoc="0" locked="0" layoutInCell="1" allowOverlap="1" wp14:editId="2DEFFC5B" wp14:anchorId="19495935">
                <wp:simplePos x="0" y="0"/>
                <wp:positionH relativeFrom="page">
                  <wp:posOffset>867155</wp:posOffset>
                </wp:positionH>
                <wp:positionV relativeFrom="paragraph">
                  <wp:posOffset>226489</wp:posOffset>
                </wp:positionV>
                <wp:extent cx="6029325" cy="367665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36766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483"/>
                              <w:gridCol w:w="1535"/>
                              <w:gridCol w:w="3341"/>
                              <w:gridCol w:w="1324"/>
                              <w:gridCol w:w="1691"/>
                            </w:tblGrid>
                            <w:tr w:rsidR="00C31389" w14:paraId="60D1BFCE" w14:textId="77777777">
                              <w:trPr>
                                <w:trHeight w:val="493"/>
                              </w:trPr>
                              <w:tc>
                                <w:tcPr>
                                  <w:tcW w:w="6359" w:type="dxa"/>
                                  <w:gridSpan w:val="3"/>
                                </w:tcPr>
                                <w:p w:rsidR="00C31389" w:rsidRDefault="00561FBD" w14:paraId="4E90249D" w14:textId="77777777">
                                  <w:pPr>
                                    <w:pStyle w:val="TableParagraph"/>
                                    <w:tabs>
                                      <w:tab w:val="left" w:pos="3158"/>
                                    </w:tabs>
                                    <w:spacing w:before="0"/>
                                    <w:ind w:left="1598" w:right="752"/>
                                    <w:rPr>
                                      <w:sz w:val="20"/>
                                    </w:rPr>
                                  </w:pPr>
                                  <w:r>
                                    <w:rPr>
                                      <w:spacing w:val="-2"/>
                                      <w:sz w:val="20"/>
                                    </w:rPr>
                                    <w:t>Appliances/</w:t>
                                  </w:r>
                                  <w:r>
                                    <w:rPr>
                                      <w:sz w:val="20"/>
                                    </w:rPr>
                                    <w:tab/>
                                    <w:t>Power</w:t>
                                  </w:r>
                                  <w:r>
                                    <w:rPr>
                                      <w:spacing w:val="-12"/>
                                      <w:sz w:val="20"/>
                                    </w:rPr>
                                    <w:t xml:space="preserve"> </w:t>
                                  </w:r>
                                  <w:r>
                                    <w:rPr>
                                      <w:sz w:val="20"/>
                                    </w:rPr>
                                    <w:t>Strips,</w:t>
                                  </w:r>
                                  <w:r>
                                    <w:rPr>
                                      <w:spacing w:val="-14"/>
                                      <w:sz w:val="20"/>
                                    </w:rPr>
                                    <w:t xml:space="preserve"> </w:t>
                                  </w:r>
                                  <w:r>
                                    <w:rPr>
                                      <w:sz w:val="20"/>
                                    </w:rPr>
                                    <w:t>Servers,</w:t>
                                  </w:r>
                                  <w:r>
                                    <w:rPr>
                                      <w:spacing w:val="-12"/>
                                      <w:sz w:val="20"/>
                                    </w:rPr>
                                    <w:t xml:space="preserve"> </w:t>
                                  </w:r>
                                  <w:r>
                                    <w:rPr>
                                      <w:sz w:val="20"/>
                                    </w:rPr>
                                    <w:t>Pool Plug Loads</w:t>
                                  </w:r>
                                  <w:r>
                                    <w:rPr>
                                      <w:sz w:val="20"/>
                                    </w:rPr>
                                    <w:tab/>
                                  </w:r>
                                  <w:r>
                                    <w:rPr>
                                      <w:spacing w:val="-2"/>
                                      <w:sz w:val="20"/>
                                    </w:rPr>
                                    <w:t>Covers</w:t>
                                  </w:r>
                                </w:p>
                              </w:tc>
                              <w:tc>
                                <w:tcPr>
                                  <w:tcW w:w="1324" w:type="dxa"/>
                                  <w:tcBorders>
                                    <w:bottom w:val="single" w:color="D9D9D9" w:sz="2" w:space="0"/>
                                  </w:tcBorders>
                                </w:tcPr>
                                <w:p w:rsidR="00C31389" w:rsidRDefault="00561FBD" w14:paraId="0AD98A15" w14:textId="77777777">
                                  <w:pPr>
                                    <w:pStyle w:val="TableParagraph"/>
                                    <w:spacing w:before="109"/>
                                    <w:ind w:left="485"/>
                                    <w:rPr>
                                      <w:sz w:val="20"/>
                                    </w:rPr>
                                  </w:pPr>
                                  <w:r>
                                    <w:rPr>
                                      <w:sz w:val="20"/>
                                    </w:rPr>
                                    <w:t>5</w:t>
                                  </w:r>
                                </w:p>
                              </w:tc>
                              <w:tc>
                                <w:tcPr>
                                  <w:tcW w:w="1691" w:type="dxa"/>
                                  <w:tcBorders>
                                    <w:bottom w:val="single" w:color="D9D9D9" w:sz="2" w:space="0"/>
                                  </w:tcBorders>
                                </w:tcPr>
                                <w:p w:rsidR="00C31389" w:rsidRDefault="00561FBD" w14:paraId="56930272" w14:textId="77777777">
                                  <w:pPr>
                                    <w:pStyle w:val="TableParagraph"/>
                                    <w:spacing w:before="109"/>
                                    <w:ind w:left="725"/>
                                    <w:rPr>
                                      <w:sz w:val="20"/>
                                    </w:rPr>
                                  </w:pPr>
                                  <w:r>
                                    <w:rPr>
                                      <w:spacing w:val="-5"/>
                                      <w:sz w:val="20"/>
                                    </w:rPr>
                                    <w:t>11</w:t>
                                  </w:r>
                                </w:p>
                              </w:tc>
                            </w:tr>
                            <w:tr w:rsidR="00C31389" w14:paraId="3255DDD5" w14:textId="77777777">
                              <w:trPr>
                                <w:trHeight w:val="539"/>
                              </w:trPr>
                              <w:tc>
                                <w:tcPr>
                                  <w:tcW w:w="6359" w:type="dxa"/>
                                  <w:gridSpan w:val="3"/>
                                  <w:tcBorders>
                                    <w:top w:val="single" w:color="D9D9D9" w:sz="2" w:space="0"/>
                                  </w:tcBorders>
                                </w:tcPr>
                                <w:p w:rsidR="00C31389" w:rsidRDefault="00561FBD" w14:paraId="69B82D5B" w14:textId="77777777">
                                  <w:pPr>
                                    <w:pStyle w:val="TableParagraph"/>
                                    <w:tabs>
                                      <w:tab w:val="left" w:pos="3158"/>
                                    </w:tabs>
                                    <w:spacing w:before="35"/>
                                    <w:ind w:left="1598"/>
                                    <w:rPr>
                                      <w:sz w:val="20"/>
                                    </w:rPr>
                                  </w:pPr>
                                  <w:r>
                                    <w:rPr>
                                      <w:spacing w:val="-2"/>
                                      <w:position w:val="12"/>
                                      <w:sz w:val="20"/>
                                    </w:rPr>
                                    <w:t>Building</w:t>
                                  </w:r>
                                  <w:r>
                                    <w:rPr>
                                      <w:position w:val="12"/>
                                      <w:sz w:val="20"/>
                                    </w:rPr>
                                    <w:tab/>
                                  </w:r>
                                  <w:r>
                                    <w:rPr>
                                      <w:sz w:val="20"/>
                                    </w:rPr>
                                    <w:t>Wall</w:t>
                                  </w:r>
                                  <w:r>
                                    <w:rPr>
                                      <w:spacing w:val="-2"/>
                                      <w:sz w:val="20"/>
                                    </w:rPr>
                                    <w:t xml:space="preserve"> Insulation</w:t>
                                  </w:r>
                                </w:p>
                              </w:tc>
                              <w:tc>
                                <w:tcPr>
                                  <w:tcW w:w="1324" w:type="dxa"/>
                                  <w:tcBorders>
                                    <w:top w:val="single" w:color="D9D9D9" w:sz="2" w:space="0"/>
                                    <w:bottom w:val="single" w:color="D9D9D9" w:sz="2" w:space="0"/>
                                  </w:tcBorders>
                                </w:tcPr>
                                <w:p w:rsidR="00C31389" w:rsidRDefault="00561FBD" w14:paraId="59B0EEFF" w14:textId="77777777">
                                  <w:pPr>
                                    <w:pStyle w:val="TableParagraph"/>
                                    <w:spacing w:before="155"/>
                                    <w:ind w:left="485"/>
                                    <w:rPr>
                                      <w:sz w:val="20"/>
                                    </w:rPr>
                                  </w:pPr>
                                  <w:r>
                                    <w:rPr>
                                      <w:sz w:val="20"/>
                                    </w:rPr>
                                    <w:t>1</w:t>
                                  </w:r>
                                </w:p>
                              </w:tc>
                              <w:tc>
                                <w:tcPr>
                                  <w:tcW w:w="1691" w:type="dxa"/>
                                  <w:tcBorders>
                                    <w:top w:val="single" w:color="D9D9D9" w:sz="2" w:space="0"/>
                                    <w:bottom w:val="single" w:color="D9D9D9" w:sz="2" w:space="0"/>
                                  </w:tcBorders>
                                </w:tcPr>
                                <w:p w:rsidR="00C31389" w:rsidRDefault="00561FBD" w14:paraId="73CD9EE6" w14:textId="77777777">
                                  <w:pPr>
                                    <w:pStyle w:val="TableParagraph"/>
                                    <w:spacing w:before="155"/>
                                    <w:ind w:right="16"/>
                                    <w:jc w:val="center"/>
                                    <w:rPr>
                                      <w:sz w:val="20"/>
                                    </w:rPr>
                                  </w:pPr>
                                  <w:r>
                                    <w:rPr>
                                      <w:sz w:val="20"/>
                                    </w:rPr>
                                    <w:t>3</w:t>
                                  </w:r>
                                </w:p>
                              </w:tc>
                            </w:tr>
                            <w:tr w:rsidR="00C31389" w14:paraId="14883F87" w14:textId="77777777">
                              <w:trPr>
                                <w:trHeight w:val="273"/>
                              </w:trPr>
                              <w:tc>
                                <w:tcPr>
                                  <w:tcW w:w="6359" w:type="dxa"/>
                                  <w:gridSpan w:val="3"/>
                                  <w:tcBorders>
                                    <w:top w:val="single" w:color="D9D9D9" w:sz="2" w:space="0"/>
                                  </w:tcBorders>
                                </w:tcPr>
                                <w:p w:rsidR="00C31389" w:rsidRDefault="00561FBD" w14:paraId="232C0D05" w14:textId="77777777">
                                  <w:pPr>
                                    <w:pStyle w:val="TableParagraph"/>
                                    <w:tabs>
                                      <w:tab w:val="left" w:pos="3158"/>
                                    </w:tabs>
                                    <w:spacing w:before="97" w:line="36" w:lineRule="auto"/>
                                    <w:ind w:left="1598"/>
                                    <w:rPr>
                                      <w:sz w:val="20"/>
                                    </w:rPr>
                                  </w:pPr>
                                  <w:r>
                                    <w:rPr>
                                      <w:spacing w:val="-4"/>
                                      <w:position w:val="-11"/>
                                      <w:sz w:val="20"/>
                                    </w:rPr>
                                    <w:t>Com.</w:t>
                                  </w:r>
                                  <w:r>
                                    <w:rPr>
                                      <w:position w:val="-11"/>
                                      <w:sz w:val="20"/>
                                    </w:rPr>
                                    <w:tab/>
                                  </w:r>
                                  <w:r>
                                    <w:rPr>
                                      <w:sz w:val="20"/>
                                    </w:rPr>
                                    <w:t>Display</w:t>
                                  </w:r>
                                  <w:r>
                                    <w:rPr>
                                      <w:spacing w:val="-3"/>
                                      <w:sz w:val="20"/>
                                    </w:rPr>
                                    <w:t xml:space="preserve"> </w:t>
                                  </w:r>
                                  <w:r>
                                    <w:rPr>
                                      <w:sz w:val="20"/>
                                    </w:rPr>
                                    <w:t>Case</w:t>
                                  </w:r>
                                  <w:r>
                                    <w:rPr>
                                      <w:spacing w:val="-4"/>
                                      <w:sz w:val="20"/>
                                    </w:rPr>
                                    <w:t xml:space="preserve"> </w:t>
                                  </w:r>
                                  <w:r>
                                    <w:rPr>
                                      <w:spacing w:val="-2"/>
                                      <w:sz w:val="20"/>
                                    </w:rPr>
                                    <w:t>Motors,</w:t>
                                  </w:r>
                                </w:p>
                              </w:tc>
                              <w:tc>
                                <w:tcPr>
                                  <w:tcW w:w="1324" w:type="dxa"/>
                                  <w:tcBorders>
                                    <w:top w:val="single" w:color="D9D9D9" w:sz="2" w:space="0"/>
                                  </w:tcBorders>
                                </w:tcPr>
                                <w:p w:rsidR="00C31389" w:rsidRDefault="00C31389" w14:paraId="6BFC4E15"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494C7097" w14:textId="77777777">
                                  <w:pPr>
                                    <w:pStyle w:val="TableParagraph"/>
                                    <w:spacing w:before="0"/>
                                    <w:rPr>
                                      <w:rFonts w:ascii="Times New Roman"/>
                                      <w:sz w:val="18"/>
                                    </w:rPr>
                                  </w:pPr>
                                </w:p>
                              </w:tc>
                            </w:tr>
                            <w:tr w:rsidR="00C31389" w14:paraId="3E96A899" w14:textId="77777777">
                              <w:trPr>
                                <w:trHeight w:val="230"/>
                              </w:trPr>
                              <w:tc>
                                <w:tcPr>
                                  <w:tcW w:w="6359" w:type="dxa"/>
                                  <w:gridSpan w:val="3"/>
                                </w:tcPr>
                                <w:p w:rsidR="00C31389" w:rsidRDefault="00561FBD" w14:paraId="49F9DC62" w14:textId="77777777">
                                  <w:pPr>
                                    <w:pStyle w:val="TableParagraph"/>
                                    <w:tabs>
                                      <w:tab w:val="left" w:pos="3158"/>
                                    </w:tabs>
                                    <w:spacing w:before="53" w:line="36" w:lineRule="auto"/>
                                    <w:ind w:left="1598"/>
                                    <w:rPr>
                                      <w:sz w:val="20"/>
                                    </w:rPr>
                                  </w:pPr>
                                  <w:r>
                                    <w:rPr>
                                      <w:spacing w:val="-2"/>
                                      <w:position w:val="-11"/>
                                      <w:sz w:val="20"/>
                                    </w:rPr>
                                    <w:t>Refrigeration</w:t>
                                  </w:r>
                                  <w:r>
                                    <w:rPr>
                                      <w:position w:val="-11"/>
                                      <w:sz w:val="20"/>
                                    </w:rPr>
                                    <w:tab/>
                                  </w:r>
                                  <w:r>
                                    <w:rPr>
                                      <w:sz w:val="20"/>
                                    </w:rPr>
                                    <w:t>Refrigeration</w:t>
                                  </w:r>
                                  <w:r>
                                    <w:rPr>
                                      <w:spacing w:val="-9"/>
                                      <w:sz w:val="20"/>
                                    </w:rPr>
                                    <w:t xml:space="preserve"> </w:t>
                                  </w:r>
                                  <w:r>
                                    <w:rPr>
                                      <w:spacing w:val="-2"/>
                                      <w:sz w:val="20"/>
                                    </w:rPr>
                                    <w:t>Compressors,</w:t>
                                  </w:r>
                                </w:p>
                              </w:tc>
                              <w:tc>
                                <w:tcPr>
                                  <w:tcW w:w="1324" w:type="dxa"/>
                                </w:tcPr>
                                <w:p w:rsidR="00C31389" w:rsidRDefault="00561FBD" w14:paraId="11887A3D" w14:textId="77777777">
                                  <w:pPr>
                                    <w:pStyle w:val="TableParagraph"/>
                                    <w:spacing w:before="0" w:line="210" w:lineRule="exact"/>
                                    <w:ind w:left="486"/>
                                    <w:rPr>
                                      <w:sz w:val="20"/>
                                    </w:rPr>
                                  </w:pPr>
                                  <w:r>
                                    <w:rPr>
                                      <w:sz w:val="20"/>
                                    </w:rPr>
                                    <w:t>8</w:t>
                                  </w:r>
                                </w:p>
                              </w:tc>
                              <w:tc>
                                <w:tcPr>
                                  <w:tcW w:w="1691" w:type="dxa"/>
                                </w:tcPr>
                                <w:p w:rsidR="00C31389" w:rsidRDefault="00561FBD" w14:paraId="3BC63972" w14:textId="77777777">
                                  <w:pPr>
                                    <w:pStyle w:val="TableParagraph"/>
                                    <w:spacing w:before="0" w:line="210" w:lineRule="exact"/>
                                    <w:ind w:left="725"/>
                                    <w:rPr>
                                      <w:sz w:val="20"/>
                                    </w:rPr>
                                  </w:pPr>
                                  <w:r>
                                    <w:rPr>
                                      <w:spacing w:val="-5"/>
                                      <w:sz w:val="20"/>
                                    </w:rPr>
                                    <w:t>17</w:t>
                                  </w:r>
                                </w:p>
                              </w:tc>
                            </w:tr>
                            <w:tr w:rsidR="00C31389" w14:paraId="16775A52" w14:textId="77777777">
                              <w:trPr>
                                <w:trHeight w:val="266"/>
                              </w:trPr>
                              <w:tc>
                                <w:tcPr>
                                  <w:tcW w:w="6359" w:type="dxa"/>
                                  <w:gridSpan w:val="3"/>
                                </w:tcPr>
                                <w:p w:rsidR="00C31389" w:rsidRDefault="00561FBD" w14:paraId="34CEDBC9" w14:textId="77777777">
                                  <w:pPr>
                                    <w:pStyle w:val="TableParagraph"/>
                                    <w:spacing w:before="0" w:line="227" w:lineRule="exact"/>
                                    <w:ind w:left="3158"/>
                                    <w:rPr>
                                      <w:sz w:val="20"/>
                                    </w:rPr>
                                  </w:pPr>
                                  <w:r>
                                    <w:rPr>
                                      <w:sz w:val="20"/>
                                    </w:rPr>
                                    <w:t>Anti-Sweat</w:t>
                                  </w:r>
                                  <w:r>
                                    <w:rPr>
                                      <w:spacing w:val="-4"/>
                                      <w:sz w:val="20"/>
                                    </w:rPr>
                                    <w:t xml:space="preserve"> </w:t>
                                  </w:r>
                                  <w:r>
                                    <w:rPr>
                                      <w:sz w:val="20"/>
                                    </w:rPr>
                                    <w:t>Heat</w:t>
                                  </w:r>
                                  <w:r>
                                    <w:rPr>
                                      <w:spacing w:val="-3"/>
                                      <w:sz w:val="20"/>
                                    </w:rPr>
                                    <w:t xml:space="preserve"> </w:t>
                                  </w:r>
                                  <w:r>
                                    <w:rPr>
                                      <w:spacing w:val="-2"/>
                                      <w:sz w:val="20"/>
                                    </w:rPr>
                                    <w:t>Controls</w:t>
                                  </w:r>
                                </w:p>
                              </w:tc>
                              <w:tc>
                                <w:tcPr>
                                  <w:tcW w:w="1324" w:type="dxa"/>
                                  <w:tcBorders>
                                    <w:bottom w:val="single" w:color="D9D9D9" w:sz="2" w:space="0"/>
                                  </w:tcBorders>
                                </w:tcPr>
                                <w:p w:rsidR="00C31389" w:rsidRDefault="00C31389" w14:paraId="7ED27E90"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6C4E64A1" w14:textId="77777777">
                                  <w:pPr>
                                    <w:pStyle w:val="TableParagraph"/>
                                    <w:spacing w:before="0"/>
                                    <w:rPr>
                                      <w:rFonts w:ascii="Times New Roman"/>
                                      <w:sz w:val="18"/>
                                    </w:rPr>
                                  </w:pPr>
                                </w:p>
                              </w:tc>
                            </w:tr>
                            <w:tr w:rsidR="00C31389" w14:paraId="7497B842" w14:textId="77777777">
                              <w:trPr>
                                <w:trHeight w:val="270"/>
                              </w:trPr>
                              <w:tc>
                                <w:tcPr>
                                  <w:tcW w:w="6359" w:type="dxa"/>
                                  <w:gridSpan w:val="3"/>
                                  <w:tcBorders>
                                    <w:top w:val="single" w:color="D9D9D9" w:sz="2" w:space="0"/>
                                  </w:tcBorders>
                                </w:tcPr>
                                <w:p w:rsidR="00C31389" w:rsidRDefault="00561FBD" w14:paraId="7BD0A991" w14:textId="77777777">
                                  <w:pPr>
                                    <w:pStyle w:val="TableParagraph"/>
                                    <w:spacing w:line="210" w:lineRule="exact"/>
                                    <w:ind w:left="3158"/>
                                    <w:rPr>
                                      <w:sz w:val="20"/>
                                    </w:rPr>
                                  </w:pPr>
                                  <w:r>
                                    <w:rPr>
                                      <w:sz w:val="20"/>
                                    </w:rPr>
                                    <w:t>Server</w:t>
                                  </w:r>
                                  <w:r>
                                    <w:rPr>
                                      <w:spacing w:val="-8"/>
                                      <w:sz w:val="20"/>
                                    </w:rPr>
                                    <w:t xml:space="preserve"> </w:t>
                                  </w:r>
                                  <w:r>
                                    <w:rPr>
                                      <w:sz w:val="20"/>
                                    </w:rPr>
                                    <w:t>Virtualization,</w:t>
                                  </w:r>
                                  <w:r>
                                    <w:rPr>
                                      <w:spacing w:val="-5"/>
                                      <w:sz w:val="20"/>
                                    </w:rPr>
                                    <w:t xml:space="preserve"> </w:t>
                                  </w:r>
                                  <w:r>
                                    <w:rPr>
                                      <w:spacing w:val="-4"/>
                                      <w:sz w:val="20"/>
                                    </w:rPr>
                                    <w:t>High</w:t>
                                  </w:r>
                                </w:p>
                              </w:tc>
                              <w:tc>
                                <w:tcPr>
                                  <w:tcW w:w="1324" w:type="dxa"/>
                                  <w:tcBorders>
                                    <w:top w:val="single" w:color="D9D9D9" w:sz="2" w:space="0"/>
                                  </w:tcBorders>
                                </w:tcPr>
                                <w:p w:rsidR="00C31389" w:rsidRDefault="00C31389" w14:paraId="0F061F35"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78E7EDB9" w14:textId="77777777">
                                  <w:pPr>
                                    <w:pStyle w:val="TableParagraph"/>
                                    <w:spacing w:before="0"/>
                                    <w:rPr>
                                      <w:rFonts w:ascii="Times New Roman"/>
                                      <w:sz w:val="18"/>
                                    </w:rPr>
                                  </w:pPr>
                                </w:p>
                              </w:tc>
                            </w:tr>
                            <w:tr w:rsidR="00C31389" w14:paraId="2B2BA3CF" w14:textId="77777777">
                              <w:trPr>
                                <w:trHeight w:val="235"/>
                              </w:trPr>
                              <w:tc>
                                <w:tcPr>
                                  <w:tcW w:w="6359" w:type="dxa"/>
                                  <w:gridSpan w:val="3"/>
                                </w:tcPr>
                                <w:p w:rsidR="00C31389" w:rsidRDefault="00561FBD" w14:paraId="7B84A519" w14:textId="77777777">
                                  <w:pPr>
                                    <w:pStyle w:val="TableParagraph"/>
                                    <w:tabs>
                                      <w:tab w:val="left" w:pos="3158"/>
                                    </w:tabs>
                                    <w:spacing w:before="0" w:line="215" w:lineRule="exact"/>
                                    <w:ind w:left="1598"/>
                                    <w:rPr>
                                      <w:sz w:val="20"/>
                                    </w:rPr>
                                  </w:pPr>
                                  <w:r>
                                    <w:rPr>
                                      <w:position w:val="-10"/>
                                      <w:sz w:val="20"/>
                                    </w:rPr>
                                    <w:t>Data</w:t>
                                  </w:r>
                                  <w:r>
                                    <w:rPr>
                                      <w:spacing w:val="-2"/>
                                      <w:position w:val="-10"/>
                                      <w:sz w:val="20"/>
                                    </w:rPr>
                                    <w:t xml:space="preserve"> Center</w:t>
                                  </w:r>
                                  <w:r>
                                    <w:rPr>
                                      <w:position w:val="-10"/>
                                      <w:sz w:val="20"/>
                                    </w:rPr>
                                    <w:tab/>
                                  </w:r>
                                  <w:r>
                                    <w:rPr>
                                      <w:sz w:val="20"/>
                                    </w:rPr>
                                    <w:t>Efficiency</w:t>
                                  </w:r>
                                  <w:r>
                                    <w:rPr>
                                      <w:spacing w:val="-5"/>
                                      <w:sz w:val="20"/>
                                    </w:rPr>
                                    <w:t xml:space="preserve"> </w:t>
                                  </w:r>
                                  <w:r>
                                    <w:rPr>
                                      <w:sz w:val="20"/>
                                    </w:rPr>
                                    <w:t>Universal</w:t>
                                  </w:r>
                                  <w:r>
                                    <w:rPr>
                                      <w:spacing w:val="-5"/>
                                      <w:sz w:val="20"/>
                                    </w:rPr>
                                    <w:t xml:space="preserve"> </w:t>
                                  </w:r>
                                  <w:r>
                                    <w:rPr>
                                      <w:spacing w:val="-4"/>
                                      <w:sz w:val="20"/>
                                    </w:rPr>
                                    <w:t>Power</w:t>
                                  </w:r>
                                </w:p>
                              </w:tc>
                              <w:tc>
                                <w:tcPr>
                                  <w:tcW w:w="1324" w:type="dxa"/>
                                </w:tcPr>
                                <w:p w:rsidR="00C31389" w:rsidRDefault="00561FBD" w14:paraId="2ABEAA4B" w14:textId="77777777">
                                  <w:pPr>
                                    <w:pStyle w:val="TableParagraph"/>
                                    <w:spacing w:before="114" w:line="101" w:lineRule="exact"/>
                                    <w:ind w:left="485"/>
                                    <w:rPr>
                                      <w:sz w:val="20"/>
                                    </w:rPr>
                                  </w:pPr>
                                  <w:r>
                                    <w:rPr>
                                      <w:sz w:val="20"/>
                                    </w:rPr>
                                    <w:t>4</w:t>
                                  </w:r>
                                </w:p>
                              </w:tc>
                              <w:tc>
                                <w:tcPr>
                                  <w:tcW w:w="1691" w:type="dxa"/>
                                </w:tcPr>
                                <w:p w:rsidR="00C31389" w:rsidRDefault="00561FBD" w14:paraId="6F97BC9C" w14:textId="77777777">
                                  <w:pPr>
                                    <w:pStyle w:val="TableParagraph"/>
                                    <w:spacing w:before="114" w:line="101" w:lineRule="exact"/>
                                    <w:ind w:right="16"/>
                                    <w:jc w:val="center"/>
                                    <w:rPr>
                                      <w:sz w:val="20"/>
                                    </w:rPr>
                                  </w:pPr>
                                  <w:r>
                                    <w:rPr>
                                      <w:sz w:val="20"/>
                                    </w:rPr>
                                    <w:t>8</w:t>
                                  </w:r>
                                </w:p>
                              </w:tc>
                            </w:tr>
                            <w:tr w:rsidR="00C31389" w14:paraId="13EA9D3F" w14:textId="77777777">
                              <w:trPr>
                                <w:trHeight w:val="227"/>
                              </w:trPr>
                              <w:tc>
                                <w:tcPr>
                                  <w:tcW w:w="1483" w:type="dxa"/>
                                </w:tcPr>
                                <w:p w:rsidR="00C31389" w:rsidRDefault="00C31389" w14:paraId="44380ED8" w14:textId="77777777">
                                  <w:pPr>
                                    <w:pStyle w:val="TableParagraph"/>
                                    <w:spacing w:before="0"/>
                                    <w:rPr>
                                      <w:rFonts w:ascii="Times New Roman"/>
                                      <w:sz w:val="16"/>
                                    </w:rPr>
                                  </w:pPr>
                                </w:p>
                              </w:tc>
                              <w:tc>
                                <w:tcPr>
                                  <w:tcW w:w="1535" w:type="dxa"/>
                                </w:tcPr>
                                <w:p w:rsidR="00C31389" w:rsidRDefault="00C31389" w14:paraId="359E5BB9" w14:textId="77777777">
                                  <w:pPr>
                                    <w:pStyle w:val="TableParagraph"/>
                                    <w:spacing w:before="0"/>
                                    <w:rPr>
                                      <w:rFonts w:ascii="Times New Roman"/>
                                      <w:sz w:val="16"/>
                                    </w:rPr>
                                  </w:pPr>
                                </w:p>
                              </w:tc>
                              <w:tc>
                                <w:tcPr>
                                  <w:tcW w:w="3341" w:type="dxa"/>
                                </w:tcPr>
                                <w:p w:rsidR="00C31389" w:rsidRDefault="00561FBD" w14:paraId="17318739" w14:textId="77777777">
                                  <w:pPr>
                                    <w:pStyle w:val="TableParagraph"/>
                                    <w:spacing w:before="0" w:line="207" w:lineRule="exact"/>
                                    <w:ind w:left="140"/>
                                    <w:rPr>
                                      <w:sz w:val="20"/>
                                    </w:rPr>
                                  </w:pPr>
                                  <w:r>
                                    <w:rPr>
                                      <w:sz w:val="20"/>
                                    </w:rPr>
                                    <w:t>Supply,</w:t>
                                  </w:r>
                                  <w:r>
                                    <w:rPr>
                                      <w:spacing w:val="-4"/>
                                      <w:sz w:val="20"/>
                                    </w:rPr>
                                    <w:t xml:space="preserve"> </w:t>
                                  </w:r>
                                  <w:r>
                                    <w:rPr>
                                      <w:sz w:val="20"/>
                                    </w:rPr>
                                    <w:t>Computer</w:t>
                                  </w:r>
                                  <w:r>
                                    <w:rPr>
                                      <w:spacing w:val="-2"/>
                                      <w:sz w:val="20"/>
                                    </w:rPr>
                                    <w:t xml:space="preserve"> </w:t>
                                  </w:r>
                                  <w:r>
                                    <w:rPr>
                                      <w:sz w:val="20"/>
                                    </w:rPr>
                                    <w:t>Room</w:t>
                                  </w:r>
                                  <w:r>
                                    <w:rPr>
                                      <w:spacing w:val="-4"/>
                                      <w:sz w:val="20"/>
                                    </w:rPr>
                                    <w:t xml:space="preserve"> </w:t>
                                  </w:r>
                                  <w:r>
                                    <w:rPr>
                                      <w:spacing w:val="-7"/>
                                      <w:sz w:val="20"/>
                                    </w:rPr>
                                    <w:t>AC</w:t>
                                  </w:r>
                                </w:p>
                              </w:tc>
                              <w:tc>
                                <w:tcPr>
                                  <w:tcW w:w="1324" w:type="dxa"/>
                                </w:tcPr>
                                <w:p w:rsidR="00C31389" w:rsidRDefault="00C31389" w14:paraId="621D6654" w14:textId="77777777">
                                  <w:pPr>
                                    <w:pStyle w:val="TableParagraph"/>
                                    <w:spacing w:before="0"/>
                                    <w:rPr>
                                      <w:rFonts w:ascii="Times New Roman"/>
                                      <w:sz w:val="16"/>
                                    </w:rPr>
                                  </w:pPr>
                                </w:p>
                              </w:tc>
                              <w:tc>
                                <w:tcPr>
                                  <w:tcW w:w="1691" w:type="dxa"/>
                                </w:tcPr>
                                <w:p w:rsidR="00C31389" w:rsidRDefault="00C31389" w14:paraId="1CEB8F71" w14:textId="77777777">
                                  <w:pPr>
                                    <w:pStyle w:val="TableParagraph"/>
                                    <w:spacing w:before="0"/>
                                    <w:rPr>
                                      <w:rFonts w:ascii="Times New Roman"/>
                                      <w:sz w:val="16"/>
                                    </w:rPr>
                                  </w:pPr>
                                </w:p>
                              </w:tc>
                            </w:tr>
                            <w:tr w:rsidR="00C31389" w14:paraId="7FB5A256" w14:textId="77777777">
                              <w:trPr>
                                <w:trHeight w:val="266"/>
                              </w:trPr>
                              <w:tc>
                                <w:tcPr>
                                  <w:tcW w:w="1483" w:type="dxa"/>
                                </w:tcPr>
                                <w:p w:rsidR="00C31389" w:rsidRDefault="00C31389" w14:paraId="2A9F4065" w14:textId="77777777">
                                  <w:pPr>
                                    <w:pStyle w:val="TableParagraph"/>
                                    <w:spacing w:before="0"/>
                                    <w:rPr>
                                      <w:rFonts w:ascii="Times New Roman"/>
                                      <w:sz w:val="18"/>
                                    </w:rPr>
                                  </w:pPr>
                                </w:p>
                              </w:tc>
                              <w:tc>
                                <w:tcPr>
                                  <w:tcW w:w="1535" w:type="dxa"/>
                                  <w:tcBorders>
                                    <w:bottom w:val="single" w:color="D9D9D9" w:sz="2" w:space="0"/>
                                  </w:tcBorders>
                                </w:tcPr>
                                <w:p w:rsidR="00C31389" w:rsidRDefault="00C31389" w14:paraId="3A76399C" w14:textId="77777777">
                                  <w:pPr>
                                    <w:pStyle w:val="TableParagraph"/>
                                    <w:spacing w:before="0"/>
                                    <w:rPr>
                                      <w:rFonts w:ascii="Times New Roman"/>
                                      <w:sz w:val="18"/>
                                    </w:rPr>
                                  </w:pPr>
                                </w:p>
                              </w:tc>
                              <w:tc>
                                <w:tcPr>
                                  <w:tcW w:w="3341" w:type="dxa"/>
                                  <w:tcBorders>
                                    <w:bottom w:val="single" w:color="D9D9D9" w:sz="2" w:space="0"/>
                                  </w:tcBorders>
                                </w:tcPr>
                                <w:p w:rsidR="00C31389" w:rsidRDefault="00561FBD" w14:paraId="648CE41F" w14:textId="77777777">
                                  <w:pPr>
                                    <w:pStyle w:val="TableParagraph"/>
                                    <w:spacing w:before="0" w:line="227" w:lineRule="exact"/>
                                    <w:ind w:left="140"/>
                                    <w:rPr>
                                      <w:sz w:val="20"/>
                                    </w:rPr>
                                  </w:pPr>
                                  <w:r>
                                    <w:rPr>
                                      <w:spacing w:val="-2"/>
                                      <w:sz w:val="20"/>
                                    </w:rPr>
                                    <w:t>Upgrades</w:t>
                                  </w:r>
                                </w:p>
                              </w:tc>
                              <w:tc>
                                <w:tcPr>
                                  <w:tcW w:w="1324" w:type="dxa"/>
                                  <w:tcBorders>
                                    <w:bottom w:val="single" w:color="D9D9D9" w:sz="2" w:space="0"/>
                                  </w:tcBorders>
                                </w:tcPr>
                                <w:p w:rsidR="00C31389" w:rsidRDefault="00C31389" w14:paraId="0C1859EC"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1D3E725A" w14:textId="77777777">
                                  <w:pPr>
                                    <w:pStyle w:val="TableParagraph"/>
                                    <w:spacing w:before="0"/>
                                    <w:rPr>
                                      <w:rFonts w:ascii="Times New Roman"/>
                                      <w:sz w:val="18"/>
                                    </w:rPr>
                                  </w:pPr>
                                </w:p>
                              </w:tc>
                            </w:tr>
                            <w:tr w:rsidR="00C31389" w14:paraId="4C71CEF3" w14:textId="77777777">
                              <w:trPr>
                                <w:trHeight w:val="310"/>
                              </w:trPr>
                              <w:tc>
                                <w:tcPr>
                                  <w:tcW w:w="1483" w:type="dxa"/>
                                </w:tcPr>
                                <w:p w:rsidR="00C31389" w:rsidRDefault="00561FBD" w14:paraId="7621AD8F" w14:textId="77777777">
                                  <w:pPr>
                                    <w:pStyle w:val="TableParagraph"/>
                                    <w:spacing w:before="0" w:line="159" w:lineRule="exact"/>
                                    <w:ind w:left="129"/>
                                    <w:rPr>
                                      <w:b/>
                                      <w:sz w:val="20"/>
                                    </w:rPr>
                                  </w:pPr>
                                  <w:r>
                                    <w:rPr>
                                      <w:b/>
                                      <w:spacing w:val="-2"/>
                                      <w:sz w:val="20"/>
                                    </w:rPr>
                                    <w:t>Commercial</w:t>
                                  </w:r>
                                </w:p>
                              </w:tc>
                              <w:tc>
                                <w:tcPr>
                                  <w:tcW w:w="1535" w:type="dxa"/>
                                  <w:tcBorders>
                                    <w:top w:val="single" w:color="D9D9D9" w:sz="2" w:space="0"/>
                                    <w:bottom w:val="single" w:color="D9D9D9" w:sz="2" w:space="0"/>
                                  </w:tcBorders>
                                </w:tcPr>
                                <w:p w:rsidR="00C31389" w:rsidRDefault="00561FBD" w14:paraId="050C2B95" w14:textId="77777777">
                                  <w:pPr>
                                    <w:pStyle w:val="TableParagraph"/>
                                    <w:ind w:left="115"/>
                                    <w:rPr>
                                      <w:sz w:val="20"/>
                                    </w:rPr>
                                  </w:pPr>
                                  <w:r>
                                    <w:rPr>
                                      <w:sz w:val="20"/>
                                    </w:rPr>
                                    <w:t>Food</w:t>
                                  </w:r>
                                  <w:r>
                                    <w:rPr>
                                      <w:spacing w:val="-1"/>
                                      <w:sz w:val="20"/>
                                    </w:rPr>
                                    <w:t xml:space="preserve"> </w:t>
                                  </w:r>
                                  <w:r>
                                    <w:rPr>
                                      <w:spacing w:val="-2"/>
                                      <w:sz w:val="20"/>
                                    </w:rPr>
                                    <w:t>Service</w:t>
                                  </w:r>
                                </w:p>
                              </w:tc>
                              <w:tc>
                                <w:tcPr>
                                  <w:tcW w:w="3341" w:type="dxa"/>
                                  <w:tcBorders>
                                    <w:top w:val="single" w:color="D9D9D9" w:sz="2" w:space="0"/>
                                    <w:bottom w:val="single" w:color="D9D9D9" w:sz="2" w:space="0"/>
                                  </w:tcBorders>
                                </w:tcPr>
                                <w:p w:rsidR="00C31389" w:rsidRDefault="00561FBD" w14:paraId="3EF0A482" w14:textId="77777777">
                                  <w:pPr>
                                    <w:pStyle w:val="TableParagraph"/>
                                    <w:ind w:left="140"/>
                                    <w:rPr>
                                      <w:sz w:val="20"/>
                                    </w:rPr>
                                  </w:pPr>
                                  <w:r>
                                    <w:rPr>
                                      <w:sz w:val="20"/>
                                    </w:rPr>
                                    <w:t>Ovens,</w:t>
                                  </w:r>
                                  <w:r>
                                    <w:rPr>
                                      <w:spacing w:val="-5"/>
                                      <w:sz w:val="20"/>
                                    </w:rPr>
                                    <w:t xml:space="preserve"> </w:t>
                                  </w:r>
                                  <w:r>
                                    <w:rPr>
                                      <w:sz w:val="20"/>
                                    </w:rPr>
                                    <w:t>Steamers,</w:t>
                                  </w:r>
                                  <w:r>
                                    <w:rPr>
                                      <w:spacing w:val="-5"/>
                                      <w:sz w:val="20"/>
                                    </w:rPr>
                                    <w:t xml:space="preserve"> </w:t>
                                  </w:r>
                                  <w:r>
                                    <w:rPr>
                                      <w:spacing w:val="-2"/>
                                      <w:sz w:val="20"/>
                                    </w:rPr>
                                    <w:t>Fryers</w:t>
                                  </w:r>
                                </w:p>
                              </w:tc>
                              <w:tc>
                                <w:tcPr>
                                  <w:tcW w:w="1324" w:type="dxa"/>
                                  <w:tcBorders>
                                    <w:top w:val="single" w:color="D9D9D9" w:sz="2" w:space="0"/>
                                    <w:bottom w:val="single" w:color="D9D9D9" w:sz="2" w:space="0"/>
                                  </w:tcBorders>
                                </w:tcPr>
                                <w:p w:rsidR="00C31389" w:rsidRDefault="00561FBD" w14:paraId="30E3DD9A" w14:textId="77777777">
                                  <w:pPr>
                                    <w:pStyle w:val="TableParagraph"/>
                                    <w:ind w:left="430"/>
                                    <w:rPr>
                                      <w:sz w:val="20"/>
                                    </w:rPr>
                                  </w:pPr>
                                  <w:r>
                                    <w:rPr>
                                      <w:spacing w:val="-5"/>
                                      <w:sz w:val="20"/>
                                    </w:rPr>
                                    <w:t>16</w:t>
                                  </w:r>
                                </w:p>
                              </w:tc>
                              <w:tc>
                                <w:tcPr>
                                  <w:tcW w:w="1691" w:type="dxa"/>
                                  <w:tcBorders>
                                    <w:top w:val="single" w:color="D9D9D9" w:sz="2" w:space="0"/>
                                    <w:bottom w:val="single" w:color="D9D9D9" w:sz="2" w:space="0"/>
                                  </w:tcBorders>
                                </w:tcPr>
                                <w:p w:rsidR="00C31389" w:rsidRDefault="00561FBD" w14:paraId="30B936A3" w14:textId="77777777">
                                  <w:pPr>
                                    <w:pStyle w:val="TableParagraph"/>
                                    <w:ind w:left="725"/>
                                    <w:rPr>
                                      <w:sz w:val="20"/>
                                    </w:rPr>
                                  </w:pPr>
                                  <w:r>
                                    <w:rPr>
                                      <w:spacing w:val="-5"/>
                                      <w:sz w:val="20"/>
                                    </w:rPr>
                                    <w:t>39</w:t>
                                  </w:r>
                                </w:p>
                              </w:tc>
                            </w:tr>
                            <w:tr w:rsidR="00C31389" w14:paraId="006A590D" w14:textId="77777777">
                              <w:trPr>
                                <w:trHeight w:val="273"/>
                              </w:trPr>
                              <w:tc>
                                <w:tcPr>
                                  <w:tcW w:w="1483" w:type="dxa"/>
                                </w:tcPr>
                                <w:p w:rsidR="00C31389" w:rsidRDefault="00C31389" w14:paraId="451D21E9" w14:textId="77777777">
                                  <w:pPr>
                                    <w:pStyle w:val="TableParagraph"/>
                                    <w:spacing w:before="0"/>
                                    <w:rPr>
                                      <w:rFonts w:ascii="Times New Roman"/>
                                      <w:sz w:val="18"/>
                                    </w:rPr>
                                  </w:pPr>
                                </w:p>
                              </w:tc>
                              <w:tc>
                                <w:tcPr>
                                  <w:tcW w:w="1535" w:type="dxa"/>
                                  <w:tcBorders>
                                    <w:top w:val="single" w:color="D9D9D9" w:sz="2" w:space="0"/>
                                  </w:tcBorders>
                                </w:tcPr>
                                <w:p w:rsidR="00C31389" w:rsidRDefault="00C31389" w14:paraId="09AAB520" w14:textId="77777777">
                                  <w:pPr>
                                    <w:pStyle w:val="TableParagraph"/>
                                    <w:spacing w:before="0"/>
                                    <w:rPr>
                                      <w:rFonts w:ascii="Times New Roman"/>
                                      <w:sz w:val="18"/>
                                    </w:rPr>
                                  </w:pPr>
                                </w:p>
                              </w:tc>
                              <w:tc>
                                <w:tcPr>
                                  <w:tcW w:w="3341" w:type="dxa"/>
                                  <w:tcBorders>
                                    <w:top w:val="single" w:color="D9D9D9" w:sz="2" w:space="0"/>
                                  </w:tcBorders>
                                </w:tcPr>
                                <w:p w:rsidR="00C31389" w:rsidRDefault="00561FBD" w14:paraId="74F3390E" w14:textId="77777777">
                                  <w:pPr>
                                    <w:pStyle w:val="TableParagraph"/>
                                    <w:spacing w:line="213" w:lineRule="exact"/>
                                    <w:ind w:left="140"/>
                                    <w:rPr>
                                      <w:sz w:val="20"/>
                                    </w:rPr>
                                  </w:pPr>
                                  <w:r>
                                    <w:rPr>
                                      <w:sz w:val="20"/>
                                    </w:rPr>
                                    <w:t>Unitary</w:t>
                                  </w:r>
                                  <w:r>
                                    <w:rPr>
                                      <w:spacing w:val="-4"/>
                                      <w:sz w:val="20"/>
                                    </w:rPr>
                                    <w:t xml:space="preserve"> </w:t>
                                  </w:r>
                                  <w:r>
                                    <w:rPr>
                                      <w:sz w:val="20"/>
                                    </w:rPr>
                                    <w:t>ACs,</w:t>
                                  </w:r>
                                  <w:r>
                                    <w:rPr>
                                      <w:spacing w:val="-4"/>
                                      <w:sz w:val="20"/>
                                    </w:rPr>
                                    <w:t xml:space="preserve"> </w:t>
                                  </w:r>
                                  <w:r>
                                    <w:rPr>
                                      <w:sz w:val="20"/>
                                    </w:rPr>
                                    <w:t>Mini-Split</w:t>
                                  </w:r>
                                  <w:r>
                                    <w:rPr>
                                      <w:spacing w:val="-4"/>
                                      <w:sz w:val="20"/>
                                    </w:rPr>
                                    <w:t xml:space="preserve"> Heat</w:t>
                                  </w:r>
                                </w:p>
                              </w:tc>
                              <w:tc>
                                <w:tcPr>
                                  <w:tcW w:w="1324" w:type="dxa"/>
                                  <w:tcBorders>
                                    <w:top w:val="single" w:color="D9D9D9" w:sz="2" w:space="0"/>
                                  </w:tcBorders>
                                </w:tcPr>
                                <w:p w:rsidR="00C31389" w:rsidRDefault="00C31389" w14:paraId="31E0C346"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16B03192" w14:textId="77777777">
                                  <w:pPr>
                                    <w:pStyle w:val="TableParagraph"/>
                                    <w:spacing w:before="0"/>
                                    <w:rPr>
                                      <w:rFonts w:ascii="Times New Roman"/>
                                      <w:sz w:val="18"/>
                                    </w:rPr>
                                  </w:pPr>
                                </w:p>
                              </w:tc>
                            </w:tr>
                            <w:tr w:rsidR="00C31389" w14:paraId="1C4248C1" w14:textId="77777777">
                              <w:trPr>
                                <w:trHeight w:val="229"/>
                              </w:trPr>
                              <w:tc>
                                <w:tcPr>
                                  <w:tcW w:w="1483" w:type="dxa"/>
                                </w:tcPr>
                                <w:p w:rsidR="00C31389" w:rsidRDefault="00C31389" w14:paraId="0AE7053E" w14:textId="77777777">
                                  <w:pPr>
                                    <w:pStyle w:val="TableParagraph"/>
                                    <w:spacing w:before="0"/>
                                    <w:rPr>
                                      <w:rFonts w:ascii="Times New Roman"/>
                                      <w:sz w:val="16"/>
                                    </w:rPr>
                                  </w:pPr>
                                </w:p>
                              </w:tc>
                              <w:tc>
                                <w:tcPr>
                                  <w:tcW w:w="1535" w:type="dxa"/>
                                </w:tcPr>
                                <w:p w:rsidR="00C31389" w:rsidRDefault="00561FBD" w14:paraId="5BC0D3DF" w14:textId="77777777">
                                  <w:pPr>
                                    <w:pStyle w:val="TableParagraph"/>
                                    <w:spacing w:before="0" w:line="210" w:lineRule="exact"/>
                                    <w:ind w:left="115"/>
                                    <w:rPr>
                                      <w:sz w:val="20"/>
                                    </w:rPr>
                                  </w:pPr>
                                  <w:r>
                                    <w:rPr>
                                      <w:spacing w:val="-4"/>
                                      <w:sz w:val="20"/>
                                    </w:rPr>
                                    <w:t>HVAC</w:t>
                                  </w:r>
                                </w:p>
                              </w:tc>
                              <w:tc>
                                <w:tcPr>
                                  <w:tcW w:w="3341" w:type="dxa"/>
                                </w:tcPr>
                                <w:p w:rsidR="00C31389" w:rsidRDefault="00561FBD" w14:paraId="0F8CE7C5" w14:textId="77777777">
                                  <w:pPr>
                                    <w:pStyle w:val="TableParagraph"/>
                                    <w:spacing w:before="0" w:line="210" w:lineRule="exact"/>
                                    <w:ind w:left="140"/>
                                    <w:rPr>
                                      <w:sz w:val="20"/>
                                    </w:rPr>
                                  </w:pPr>
                                  <w:r>
                                    <w:rPr>
                                      <w:sz w:val="20"/>
                                    </w:rPr>
                                    <w:t>Pumps,</w:t>
                                  </w:r>
                                  <w:r>
                                    <w:rPr>
                                      <w:spacing w:val="-5"/>
                                      <w:sz w:val="20"/>
                                    </w:rPr>
                                    <w:t xml:space="preserve"> </w:t>
                                  </w:r>
                                  <w:r>
                                    <w:rPr>
                                      <w:sz w:val="20"/>
                                    </w:rPr>
                                    <w:t>Chillers,</w:t>
                                  </w:r>
                                  <w:r>
                                    <w:rPr>
                                      <w:spacing w:val="-4"/>
                                      <w:sz w:val="20"/>
                                    </w:rPr>
                                    <w:t xml:space="preserve"> </w:t>
                                  </w:r>
                                  <w:r>
                                    <w:rPr>
                                      <w:spacing w:val="-2"/>
                                      <w:sz w:val="20"/>
                                    </w:rPr>
                                    <w:t>Energy</w:t>
                                  </w:r>
                                </w:p>
                              </w:tc>
                              <w:tc>
                                <w:tcPr>
                                  <w:tcW w:w="1324" w:type="dxa"/>
                                </w:tcPr>
                                <w:p w:rsidR="00C31389" w:rsidRDefault="00561FBD" w14:paraId="2BA432F4" w14:textId="77777777">
                                  <w:pPr>
                                    <w:pStyle w:val="TableParagraph"/>
                                    <w:spacing w:before="0" w:line="210" w:lineRule="exact"/>
                                    <w:ind w:left="430"/>
                                    <w:rPr>
                                      <w:sz w:val="20"/>
                                    </w:rPr>
                                  </w:pPr>
                                  <w:r>
                                    <w:rPr>
                                      <w:spacing w:val="-5"/>
                                      <w:sz w:val="20"/>
                                    </w:rPr>
                                    <w:t>22</w:t>
                                  </w:r>
                                </w:p>
                              </w:tc>
                              <w:tc>
                                <w:tcPr>
                                  <w:tcW w:w="1691" w:type="dxa"/>
                                </w:tcPr>
                                <w:p w:rsidR="00C31389" w:rsidRDefault="00561FBD" w14:paraId="554391EE" w14:textId="77777777">
                                  <w:pPr>
                                    <w:pStyle w:val="TableParagraph"/>
                                    <w:spacing w:before="0" w:line="210" w:lineRule="exact"/>
                                    <w:ind w:left="725"/>
                                    <w:rPr>
                                      <w:sz w:val="20"/>
                                    </w:rPr>
                                  </w:pPr>
                                  <w:r>
                                    <w:rPr>
                                      <w:spacing w:val="-5"/>
                                      <w:sz w:val="20"/>
                                    </w:rPr>
                                    <w:t>61</w:t>
                                  </w:r>
                                </w:p>
                              </w:tc>
                            </w:tr>
                            <w:tr w:rsidR="00C31389" w14:paraId="2F2AD18F" w14:textId="77777777">
                              <w:trPr>
                                <w:trHeight w:val="266"/>
                              </w:trPr>
                              <w:tc>
                                <w:tcPr>
                                  <w:tcW w:w="1483" w:type="dxa"/>
                                </w:tcPr>
                                <w:p w:rsidR="00C31389" w:rsidRDefault="00C31389" w14:paraId="35EDE02B" w14:textId="77777777">
                                  <w:pPr>
                                    <w:pStyle w:val="TableParagraph"/>
                                    <w:spacing w:before="0"/>
                                    <w:rPr>
                                      <w:rFonts w:ascii="Times New Roman"/>
                                      <w:sz w:val="18"/>
                                    </w:rPr>
                                  </w:pPr>
                                </w:p>
                              </w:tc>
                              <w:tc>
                                <w:tcPr>
                                  <w:tcW w:w="1535" w:type="dxa"/>
                                  <w:tcBorders>
                                    <w:bottom w:val="single" w:color="D9D9D9" w:sz="2" w:space="0"/>
                                  </w:tcBorders>
                                </w:tcPr>
                                <w:p w:rsidR="00C31389" w:rsidRDefault="00C31389" w14:paraId="01BD931D" w14:textId="77777777">
                                  <w:pPr>
                                    <w:pStyle w:val="TableParagraph"/>
                                    <w:spacing w:before="0"/>
                                    <w:rPr>
                                      <w:rFonts w:ascii="Times New Roman"/>
                                      <w:sz w:val="18"/>
                                    </w:rPr>
                                  </w:pPr>
                                </w:p>
                              </w:tc>
                              <w:tc>
                                <w:tcPr>
                                  <w:tcW w:w="3341" w:type="dxa"/>
                                  <w:tcBorders>
                                    <w:bottom w:val="single" w:color="D9D9D9" w:sz="2" w:space="0"/>
                                  </w:tcBorders>
                                </w:tcPr>
                                <w:p w:rsidR="00C31389" w:rsidRDefault="00561FBD" w14:paraId="60C16991" w14:textId="77777777">
                                  <w:pPr>
                                    <w:pStyle w:val="TableParagraph"/>
                                    <w:spacing w:before="0" w:line="227" w:lineRule="exact"/>
                                    <w:ind w:left="140"/>
                                    <w:rPr>
                                      <w:sz w:val="20"/>
                                    </w:rPr>
                                  </w:pPr>
                                  <w:r>
                                    <w:rPr>
                                      <w:sz w:val="20"/>
                                    </w:rPr>
                                    <w:t>Management</w:t>
                                  </w:r>
                                  <w:r>
                                    <w:rPr>
                                      <w:spacing w:val="-6"/>
                                      <w:sz w:val="20"/>
                                    </w:rPr>
                                    <w:t xml:space="preserve"> </w:t>
                                  </w:r>
                                  <w:r>
                                    <w:rPr>
                                      <w:sz w:val="20"/>
                                    </w:rPr>
                                    <w:t>Systems</w:t>
                                  </w:r>
                                  <w:r>
                                    <w:rPr>
                                      <w:spacing w:val="-5"/>
                                      <w:sz w:val="20"/>
                                    </w:rPr>
                                    <w:t xml:space="preserve"> </w:t>
                                  </w:r>
                                  <w:r>
                                    <w:rPr>
                                      <w:spacing w:val="-2"/>
                                      <w:sz w:val="20"/>
                                    </w:rPr>
                                    <w:t>(EMSs)</w:t>
                                  </w:r>
                                </w:p>
                              </w:tc>
                              <w:tc>
                                <w:tcPr>
                                  <w:tcW w:w="1324" w:type="dxa"/>
                                  <w:tcBorders>
                                    <w:bottom w:val="single" w:color="D9D9D9" w:sz="2" w:space="0"/>
                                  </w:tcBorders>
                                </w:tcPr>
                                <w:p w:rsidR="00C31389" w:rsidRDefault="00C31389" w14:paraId="76FBDC0E"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37360A02" w14:textId="77777777">
                                  <w:pPr>
                                    <w:pStyle w:val="TableParagraph"/>
                                    <w:spacing w:before="0"/>
                                    <w:rPr>
                                      <w:rFonts w:ascii="Times New Roman"/>
                                      <w:sz w:val="18"/>
                                    </w:rPr>
                                  </w:pPr>
                                </w:p>
                              </w:tc>
                            </w:tr>
                            <w:tr w:rsidR="00C31389" w14:paraId="7B0580F0" w14:textId="77777777">
                              <w:trPr>
                                <w:trHeight w:val="274"/>
                              </w:trPr>
                              <w:tc>
                                <w:tcPr>
                                  <w:tcW w:w="1483" w:type="dxa"/>
                                </w:tcPr>
                                <w:p w:rsidR="00C31389" w:rsidRDefault="00C31389" w14:paraId="18B624D5" w14:textId="77777777">
                                  <w:pPr>
                                    <w:pStyle w:val="TableParagraph"/>
                                    <w:spacing w:before="0"/>
                                    <w:rPr>
                                      <w:rFonts w:ascii="Times New Roman"/>
                                      <w:sz w:val="18"/>
                                    </w:rPr>
                                  </w:pPr>
                                </w:p>
                              </w:tc>
                              <w:tc>
                                <w:tcPr>
                                  <w:tcW w:w="1535" w:type="dxa"/>
                                  <w:tcBorders>
                                    <w:top w:val="single" w:color="D9D9D9" w:sz="2" w:space="0"/>
                                  </w:tcBorders>
                                </w:tcPr>
                                <w:p w:rsidR="00C31389" w:rsidRDefault="00C31389" w14:paraId="1EAFB69A" w14:textId="77777777">
                                  <w:pPr>
                                    <w:pStyle w:val="TableParagraph"/>
                                    <w:spacing w:before="0"/>
                                    <w:rPr>
                                      <w:rFonts w:ascii="Times New Roman"/>
                                      <w:sz w:val="18"/>
                                    </w:rPr>
                                  </w:pPr>
                                </w:p>
                              </w:tc>
                              <w:tc>
                                <w:tcPr>
                                  <w:tcW w:w="3341" w:type="dxa"/>
                                  <w:tcBorders>
                                    <w:top w:val="single" w:color="D9D9D9" w:sz="2" w:space="0"/>
                                  </w:tcBorders>
                                </w:tcPr>
                                <w:p w:rsidR="00C31389" w:rsidRDefault="00561FBD" w14:paraId="55FD06C3" w14:textId="77777777">
                                  <w:pPr>
                                    <w:pStyle w:val="TableParagraph"/>
                                    <w:spacing w:before="41" w:line="213" w:lineRule="exact"/>
                                    <w:ind w:left="140"/>
                                    <w:rPr>
                                      <w:sz w:val="20"/>
                                    </w:rPr>
                                  </w:pPr>
                                  <w:r>
                                    <w:rPr>
                                      <w:sz w:val="20"/>
                                    </w:rPr>
                                    <w:t>High</w:t>
                                  </w:r>
                                  <w:r>
                                    <w:rPr>
                                      <w:spacing w:val="-3"/>
                                      <w:sz w:val="20"/>
                                    </w:rPr>
                                    <w:t xml:space="preserve"> </w:t>
                                  </w:r>
                                  <w:r>
                                    <w:rPr>
                                      <w:sz w:val="20"/>
                                    </w:rPr>
                                    <w:t>and</w:t>
                                  </w:r>
                                  <w:r>
                                    <w:rPr>
                                      <w:spacing w:val="-2"/>
                                      <w:sz w:val="20"/>
                                    </w:rPr>
                                    <w:t xml:space="preserve"> </w:t>
                                  </w:r>
                                  <w:r>
                                    <w:rPr>
                                      <w:sz w:val="20"/>
                                    </w:rPr>
                                    <w:t>Low</w:t>
                                  </w:r>
                                  <w:r>
                                    <w:rPr>
                                      <w:spacing w:val="-4"/>
                                      <w:sz w:val="20"/>
                                    </w:rPr>
                                    <w:t xml:space="preserve"> </w:t>
                                  </w:r>
                                  <w:r>
                                    <w:rPr>
                                      <w:sz w:val="20"/>
                                    </w:rPr>
                                    <w:t>Bay</w:t>
                                  </w:r>
                                  <w:r>
                                    <w:rPr>
                                      <w:spacing w:val="-1"/>
                                      <w:sz w:val="20"/>
                                    </w:rPr>
                                    <w:t xml:space="preserve"> </w:t>
                                  </w:r>
                                  <w:r>
                                    <w:rPr>
                                      <w:spacing w:val="-2"/>
                                      <w:sz w:val="20"/>
                                    </w:rPr>
                                    <w:t>Fixtures,</w:t>
                                  </w:r>
                                </w:p>
                              </w:tc>
                              <w:tc>
                                <w:tcPr>
                                  <w:tcW w:w="1324" w:type="dxa"/>
                                  <w:tcBorders>
                                    <w:top w:val="single" w:color="D9D9D9" w:sz="2" w:space="0"/>
                                  </w:tcBorders>
                                </w:tcPr>
                                <w:p w:rsidR="00C31389" w:rsidRDefault="00C31389" w14:paraId="66F9585B"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06BF7C05" w14:textId="77777777">
                                  <w:pPr>
                                    <w:pStyle w:val="TableParagraph"/>
                                    <w:spacing w:before="0"/>
                                    <w:rPr>
                                      <w:rFonts w:ascii="Times New Roman"/>
                                      <w:sz w:val="18"/>
                                    </w:rPr>
                                  </w:pPr>
                                </w:p>
                              </w:tc>
                            </w:tr>
                            <w:tr w:rsidR="00C31389" w14:paraId="2088E9F8" w14:textId="77777777">
                              <w:trPr>
                                <w:trHeight w:val="229"/>
                              </w:trPr>
                              <w:tc>
                                <w:tcPr>
                                  <w:tcW w:w="1483" w:type="dxa"/>
                                </w:tcPr>
                                <w:p w:rsidR="00C31389" w:rsidRDefault="00C31389" w14:paraId="1D306F13" w14:textId="77777777">
                                  <w:pPr>
                                    <w:pStyle w:val="TableParagraph"/>
                                    <w:spacing w:before="0"/>
                                    <w:rPr>
                                      <w:rFonts w:ascii="Times New Roman"/>
                                      <w:sz w:val="16"/>
                                    </w:rPr>
                                  </w:pPr>
                                </w:p>
                              </w:tc>
                              <w:tc>
                                <w:tcPr>
                                  <w:tcW w:w="1535" w:type="dxa"/>
                                </w:tcPr>
                                <w:p w:rsidR="00C31389" w:rsidRDefault="00561FBD" w14:paraId="6621F75A" w14:textId="77777777">
                                  <w:pPr>
                                    <w:pStyle w:val="TableParagraph"/>
                                    <w:spacing w:before="0" w:line="210" w:lineRule="exact"/>
                                    <w:ind w:left="115"/>
                                    <w:rPr>
                                      <w:sz w:val="20"/>
                                    </w:rPr>
                                  </w:pPr>
                                  <w:r>
                                    <w:rPr>
                                      <w:spacing w:val="-2"/>
                                      <w:sz w:val="20"/>
                                    </w:rPr>
                                    <w:t>Lighting</w:t>
                                  </w:r>
                                </w:p>
                              </w:tc>
                              <w:tc>
                                <w:tcPr>
                                  <w:tcW w:w="3341" w:type="dxa"/>
                                </w:tcPr>
                                <w:p w:rsidR="00C31389" w:rsidRDefault="00561FBD" w14:paraId="401B3487" w14:textId="77777777">
                                  <w:pPr>
                                    <w:pStyle w:val="TableParagraph"/>
                                    <w:spacing w:before="0" w:line="210" w:lineRule="exact"/>
                                    <w:ind w:left="140"/>
                                    <w:rPr>
                                      <w:sz w:val="20"/>
                                    </w:rPr>
                                  </w:pPr>
                                  <w:r>
                                    <w:rPr>
                                      <w:sz w:val="20"/>
                                    </w:rPr>
                                    <w:t>Indoor</w:t>
                                  </w:r>
                                  <w:r>
                                    <w:rPr>
                                      <w:spacing w:val="-8"/>
                                      <w:sz w:val="20"/>
                                    </w:rPr>
                                    <w:t xml:space="preserve"> </w:t>
                                  </w:r>
                                  <w:r>
                                    <w:rPr>
                                      <w:sz w:val="20"/>
                                    </w:rPr>
                                    <w:t>Reflector</w:t>
                                  </w:r>
                                  <w:r>
                                    <w:rPr>
                                      <w:spacing w:val="-3"/>
                                      <w:sz w:val="20"/>
                                    </w:rPr>
                                    <w:t xml:space="preserve"> </w:t>
                                  </w:r>
                                  <w:r>
                                    <w:rPr>
                                      <w:spacing w:val="-2"/>
                                      <w:sz w:val="20"/>
                                    </w:rPr>
                                    <w:t>Lamps,</w:t>
                                  </w:r>
                                </w:p>
                              </w:tc>
                              <w:tc>
                                <w:tcPr>
                                  <w:tcW w:w="1324" w:type="dxa"/>
                                </w:tcPr>
                                <w:p w:rsidR="00C31389" w:rsidRDefault="00561FBD" w14:paraId="6EBAEA0B" w14:textId="77777777">
                                  <w:pPr>
                                    <w:pStyle w:val="TableParagraph"/>
                                    <w:spacing w:before="0" w:line="210" w:lineRule="exact"/>
                                    <w:ind w:left="485"/>
                                    <w:rPr>
                                      <w:sz w:val="20"/>
                                    </w:rPr>
                                  </w:pPr>
                                  <w:r>
                                    <w:rPr>
                                      <w:sz w:val="20"/>
                                    </w:rPr>
                                    <w:t>7</w:t>
                                  </w:r>
                                </w:p>
                              </w:tc>
                              <w:tc>
                                <w:tcPr>
                                  <w:tcW w:w="1691" w:type="dxa"/>
                                </w:tcPr>
                                <w:p w:rsidR="00C31389" w:rsidRDefault="00561FBD" w14:paraId="13B1A162" w14:textId="77777777">
                                  <w:pPr>
                                    <w:pStyle w:val="TableParagraph"/>
                                    <w:spacing w:before="0" w:line="210" w:lineRule="exact"/>
                                    <w:ind w:left="725"/>
                                    <w:rPr>
                                      <w:sz w:val="20"/>
                                    </w:rPr>
                                  </w:pPr>
                                  <w:r>
                                    <w:rPr>
                                      <w:spacing w:val="-5"/>
                                      <w:sz w:val="20"/>
                                    </w:rPr>
                                    <w:t>20</w:t>
                                  </w:r>
                                </w:p>
                              </w:tc>
                            </w:tr>
                            <w:tr w:rsidR="00C31389" w14:paraId="60583E96" w14:textId="77777777">
                              <w:trPr>
                                <w:trHeight w:val="266"/>
                              </w:trPr>
                              <w:tc>
                                <w:tcPr>
                                  <w:tcW w:w="1483" w:type="dxa"/>
                                </w:tcPr>
                                <w:p w:rsidR="00C31389" w:rsidRDefault="00C31389" w14:paraId="3F849FDE" w14:textId="77777777">
                                  <w:pPr>
                                    <w:pStyle w:val="TableParagraph"/>
                                    <w:spacing w:before="0"/>
                                    <w:rPr>
                                      <w:rFonts w:ascii="Times New Roman"/>
                                      <w:sz w:val="18"/>
                                    </w:rPr>
                                  </w:pPr>
                                </w:p>
                              </w:tc>
                              <w:tc>
                                <w:tcPr>
                                  <w:tcW w:w="1535" w:type="dxa"/>
                                  <w:tcBorders>
                                    <w:bottom w:val="single" w:color="D9D9D9" w:sz="2" w:space="0"/>
                                  </w:tcBorders>
                                </w:tcPr>
                                <w:p w:rsidR="00C31389" w:rsidRDefault="00C31389" w14:paraId="5DF5DA25" w14:textId="77777777">
                                  <w:pPr>
                                    <w:pStyle w:val="TableParagraph"/>
                                    <w:spacing w:before="0"/>
                                    <w:rPr>
                                      <w:rFonts w:ascii="Times New Roman"/>
                                      <w:sz w:val="18"/>
                                    </w:rPr>
                                  </w:pPr>
                                </w:p>
                              </w:tc>
                              <w:tc>
                                <w:tcPr>
                                  <w:tcW w:w="3341" w:type="dxa"/>
                                  <w:tcBorders>
                                    <w:bottom w:val="single" w:color="D9D9D9" w:sz="2" w:space="0"/>
                                  </w:tcBorders>
                                </w:tcPr>
                                <w:p w:rsidR="00C31389" w:rsidRDefault="00561FBD" w14:paraId="3BBE96C2" w14:textId="77777777">
                                  <w:pPr>
                                    <w:pStyle w:val="TableParagraph"/>
                                    <w:spacing w:before="0" w:line="227" w:lineRule="exact"/>
                                    <w:ind w:left="140"/>
                                    <w:rPr>
                                      <w:sz w:val="20"/>
                                    </w:rPr>
                                  </w:pPr>
                                  <w:r>
                                    <w:rPr>
                                      <w:sz w:val="20"/>
                                    </w:rPr>
                                    <w:t>Lighting</w:t>
                                  </w:r>
                                  <w:r>
                                    <w:rPr>
                                      <w:spacing w:val="-5"/>
                                      <w:sz w:val="20"/>
                                    </w:rPr>
                                    <w:t xml:space="preserve"> </w:t>
                                  </w:r>
                                  <w:r>
                                    <w:rPr>
                                      <w:spacing w:val="-2"/>
                                      <w:sz w:val="20"/>
                                    </w:rPr>
                                    <w:t>Controls</w:t>
                                  </w:r>
                                </w:p>
                              </w:tc>
                              <w:tc>
                                <w:tcPr>
                                  <w:tcW w:w="1324" w:type="dxa"/>
                                  <w:tcBorders>
                                    <w:bottom w:val="single" w:color="D9D9D9" w:sz="2" w:space="0"/>
                                  </w:tcBorders>
                                </w:tcPr>
                                <w:p w:rsidR="00C31389" w:rsidRDefault="00C31389" w14:paraId="19AA57BC"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36F4972C" w14:textId="77777777">
                                  <w:pPr>
                                    <w:pStyle w:val="TableParagraph"/>
                                    <w:spacing w:before="0"/>
                                    <w:rPr>
                                      <w:rFonts w:ascii="Times New Roman"/>
                                      <w:sz w:val="18"/>
                                    </w:rPr>
                                  </w:pPr>
                                </w:p>
                              </w:tc>
                            </w:tr>
                            <w:tr w:rsidR="00C31389" w14:paraId="07193B61" w14:textId="77777777">
                              <w:trPr>
                                <w:trHeight w:val="273"/>
                              </w:trPr>
                              <w:tc>
                                <w:tcPr>
                                  <w:tcW w:w="1483" w:type="dxa"/>
                                </w:tcPr>
                                <w:p w:rsidR="00C31389" w:rsidRDefault="00C31389" w14:paraId="3465E4E6" w14:textId="77777777">
                                  <w:pPr>
                                    <w:pStyle w:val="TableParagraph"/>
                                    <w:spacing w:before="0"/>
                                    <w:rPr>
                                      <w:rFonts w:ascii="Times New Roman"/>
                                      <w:sz w:val="18"/>
                                    </w:rPr>
                                  </w:pPr>
                                </w:p>
                              </w:tc>
                              <w:tc>
                                <w:tcPr>
                                  <w:tcW w:w="1535" w:type="dxa"/>
                                  <w:tcBorders>
                                    <w:top w:val="single" w:color="D9D9D9" w:sz="2" w:space="0"/>
                                  </w:tcBorders>
                                </w:tcPr>
                                <w:p w:rsidR="00C31389" w:rsidRDefault="00C31389" w14:paraId="440B0E51" w14:textId="77777777">
                                  <w:pPr>
                                    <w:pStyle w:val="TableParagraph"/>
                                    <w:spacing w:before="0"/>
                                    <w:rPr>
                                      <w:rFonts w:ascii="Times New Roman"/>
                                      <w:sz w:val="18"/>
                                    </w:rPr>
                                  </w:pPr>
                                </w:p>
                              </w:tc>
                              <w:tc>
                                <w:tcPr>
                                  <w:tcW w:w="3341" w:type="dxa"/>
                                  <w:tcBorders>
                                    <w:top w:val="single" w:color="D9D9D9" w:sz="2" w:space="0"/>
                                  </w:tcBorders>
                                </w:tcPr>
                                <w:p w:rsidR="00C31389" w:rsidRDefault="00561FBD" w14:paraId="77310D31" w14:textId="77777777">
                                  <w:pPr>
                                    <w:pStyle w:val="TableParagraph"/>
                                    <w:spacing w:line="213" w:lineRule="exact"/>
                                    <w:ind w:left="140"/>
                                    <w:rPr>
                                      <w:sz w:val="20"/>
                                    </w:rPr>
                                  </w:pPr>
                                  <w:r>
                                    <w:rPr>
                                      <w:sz w:val="20"/>
                                    </w:rPr>
                                    <w:t>Storage</w:t>
                                  </w:r>
                                  <w:r>
                                    <w:rPr>
                                      <w:spacing w:val="-5"/>
                                      <w:sz w:val="20"/>
                                    </w:rPr>
                                    <w:t xml:space="preserve"> </w:t>
                                  </w:r>
                                  <w:r>
                                    <w:rPr>
                                      <w:sz w:val="20"/>
                                    </w:rPr>
                                    <w:t>Water</w:t>
                                  </w:r>
                                  <w:r>
                                    <w:rPr>
                                      <w:spacing w:val="-3"/>
                                      <w:sz w:val="20"/>
                                    </w:rPr>
                                    <w:t xml:space="preserve"> </w:t>
                                  </w:r>
                                  <w:r>
                                    <w:rPr>
                                      <w:sz w:val="20"/>
                                    </w:rPr>
                                    <w:t>Heaters,</w:t>
                                  </w:r>
                                  <w:r>
                                    <w:rPr>
                                      <w:spacing w:val="-4"/>
                                      <w:sz w:val="20"/>
                                    </w:rPr>
                                    <w:t xml:space="preserve"> </w:t>
                                  </w:r>
                                  <w:r>
                                    <w:rPr>
                                      <w:spacing w:val="-2"/>
                                      <w:sz w:val="20"/>
                                    </w:rPr>
                                    <w:t>Faucet</w:t>
                                  </w:r>
                                </w:p>
                              </w:tc>
                              <w:tc>
                                <w:tcPr>
                                  <w:tcW w:w="1324" w:type="dxa"/>
                                  <w:tcBorders>
                                    <w:top w:val="single" w:color="D9D9D9" w:sz="2" w:space="0"/>
                                  </w:tcBorders>
                                </w:tcPr>
                                <w:p w:rsidR="00C31389" w:rsidRDefault="00C31389" w14:paraId="2FD413DA"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760A6031" w14:textId="77777777">
                                  <w:pPr>
                                    <w:pStyle w:val="TableParagraph"/>
                                    <w:spacing w:before="0"/>
                                    <w:rPr>
                                      <w:rFonts w:ascii="Times New Roman"/>
                                      <w:sz w:val="18"/>
                                    </w:rPr>
                                  </w:pPr>
                                </w:p>
                              </w:tc>
                            </w:tr>
                            <w:tr w:rsidR="00C31389" w14:paraId="68937770" w14:textId="77777777">
                              <w:trPr>
                                <w:trHeight w:val="230"/>
                              </w:trPr>
                              <w:tc>
                                <w:tcPr>
                                  <w:tcW w:w="1483" w:type="dxa"/>
                                </w:tcPr>
                                <w:p w:rsidR="00C31389" w:rsidRDefault="00C31389" w14:paraId="6E07AA37" w14:textId="77777777">
                                  <w:pPr>
                                    <w:pStyle w:val="TableParagraph"/>
                                    <w:spacing w:before="0"/>
                                    <w:rPr>
                                      <w:rFonts w:ascii="Times New Roman"/>
                                      <w:sz w:val="16"/>
                                    </w:rPr>
                                  </w:pPr>
                                </w:p>
                              </w:tc>
                              <w:tc>
                                <w:tcPr>
                                  <w:tcW w:w="1535" w:type="dxa"/>
                                </w:tcPr>
                                <w:p w:rsidR="00C31389" w:rsidRDefault="00561FBD" w14:paraId="3719DFBD" w14:textId="77777777">
                                  <w:pPr>
                                    <w:pStyle w:val="TableParagraph"/>
                                    <w:spacing w:before="0" w:line="210" w:lineRule="exact"/>
                                    <w:ind w:left="115"/>
                                    <w:rPr>
                                      <w:sz w:val="20"/>
                                    </w:rPr>
                                  </w:pPr>
                                  <w:r>
                                    <w:rPr>
                                      <w:sz w:val="20"/>
                                    </w:rPr>
                                    <w:t>Water</w:t>
                                  </w:r>
                                  <w:r>
                                    <w:rPr>
                                      <w:spacing w:val="-5"/>
                                      <w:sz w:val="20"/>
                                    </w:rPr>
                                    <w:t xml:space="preserve"> </w:t>
                                  </w:r>
                                  <w:r>
                                    <w:rPr>
                                      <w:spacing w:val="-2"/>
                                      <w:sz w:val="20"/>
                                    </w:rPr>
                                    <w:t>Heating</w:t>
                                  </w:r>
                                </w:p>
                              </w:tc>
                              <w:tc>
                                <w:tcPr>
                                  <w:tcW w:w="3341" w:type="dxa"/>
                                </w:tcPr>
                                <w:p w:rsidR="00C31389" w:rsidRDefault="00561FBD" w14:paraId="76A934E4" w14:textId="77777777">
                                  <w:pPr>
                                    <w:pStyle w:val="TableParagraph"/>
                                    <w:spacing w:before="0" w:line="210" w:lineRule="exact"/>
                                    <w:ind w:left="140"/>
                                    <w:rPr>
                                      <w:sz w:val="20"/>
                                    </w:rPr>
                                  </w:pPr>
                                  <w:r>
                                    <w:rPr>
                                      <w:sz w:val="20"/>
                                    </w:rPr>
                                    <w:t>Aerators,</w:t>
                                  </w:r>
                                  <w:r>
                                    <w:rPr>
                                      <w:spacing w:val="-5"/>
                                      <w:sz w:val="20"/>
                                    </w:rPr>
                                    <w:t xml:space="preserve"> </w:t>
                                  </w:r>
                                  <w:r>
                                    <w:rPr>
                                      <w:sz w:val="20"/>
                                    </w:rPr>
                                    <w:t>Pre-Rinse</w:t>
                                  </w:r>
                                  <w:r>
                                    <w:rPr>
                                      <w:spacing w:val="-5"/>
                                      <w:sz w:val="20"/>
                                    </w:rPr>
                                    <w:t xml:space="preserve"> </w:t>
                                  </w:r>
                                  <w:r>
                                    <w:rPr>
                                      <w:spacing w:val="-2"/>
                                      <w:sz w:val="20"/>
                                    </w:rPr>
                                    <w:t>Spray</w:t>
                                  </w:r>
                                </w:p>
                              </w:tc>
                              <w:tc>
                                <w:tcPr>
                                  <w:tcW w:w="1324" w:type="dxa"/>
                                </w:tcPr>
                                <w:p w:rsidR="00C31389" w:rsidRDefault="00561FBD" w14:paraId="545F09DC" w14:textId="77777777">
                                  <w:pPr>
                                    <w:pStyle w:val="TableParagraph"/>
                                    <w:spacing w:before="0" w:line="210" w:lineRule="exact"/>
                                    <w:ind w:left="430"/>
                                    <w:rPr>
                                      <w:sz w:val="20"/>
                                    </w:rPr>
                                  </w:pPr>
                                  <w:r>
                                    <w:rPr>
                                      <w:spacing w:val="-5"/>
                                      <w:sz w:val="20"/>
                                    </w:rPr>
                                    <w:t>10</w:t>
                                  </w:r>
                                </w:p>
                              </w:tc>
                              <w:tc>
                                <w:tcPr>
                                  <w:tcW w:w="1691" w:type="dxa"/>
                                </w:tcPr>
                                <w:p w:rsidR="00C31389" w:rsidRDefault="00561FBD" w14:paraId="5D0A20A6" w14:textId="77777777">
                                  <w:pPr>
                                    <w:pStyle w:val="TableParagraph"/>
                                    <w:spacing w:before="0" w:line="210" w:lineRule="exact"/>
                                    <w:ind w:left="725"/>
                                    <w:rPr>
                                      <w:sz w:val="20"/>
                                    </w:rPr>
                                  </w:pPr>
                                  <w:r>
                                    <w:rPr>
                                      <w:spacing w:val="-5"/>
                                      <w:sz w:val="20"/>
                                    </w:rPr>
                                    <w:t>23</w:t>
                                  </w:r>
                                </w:p>
                              </w:tc>
                            </w:tr>
                            <w:tr w:rsidR="00C31389" w14:paraId="695F6240" w14:textId="77777777">
                              <w:trPr>
                                <w:trHeight w:val="266"/>
                              </w:trPr>
                              <w:tc>
                                <w:tcPr>
                                  <w:tcW w:w="1483" w:type="dxa"/>
                                </w:tcPr>
                                <w:p w:rsidR="00C31389" w:rsidRDefault="00C31389" w14:paraId="7C59FC8B" w14:textId="77777777">
                                  <w:pPr>
                                    <w:pStyle w:val="TableParagraph"/>
                                    <w:spacing w:before="0"/>
                                    <w:rPr>
                                      <w:rFonts w:ascii="Times New Roman"/>
                                      <w:sz w:val="18"/>
                                    </w:rPr>
                                  </w:pPr>
                                </w:p>
                              </w:tc>
                              <w:tc>
                                <w:tcPr>
                                  <w:tcW w:w="1535" w:type="dxa"/>
                                  <w:tcBorders>
                                    <w:bottom w:val="single" w:color="000000" w:sz="4" w:space="0"/>
                                  </w:tcBorders>
                                </w:tcPr>
                                <w:p w:rsidR="00C31389" w:rsidRDefault="00C31389" w14:paraId="233A602D" w14:textId="77777777">
                                  <w:pPr>
                                    <w:pStyle w:val="TableParagraph"/>
                                    <w:spacing w:before="0"/>
                                    <w:rPr>
                                      <w:rFonts w:ascii="Times New Roman"/>
                                      <w:sz w:val="18"/>
                                    </w:rPr>
                                  </w:pPr>
                                </w:p>
                              </w:tc>
                              <w:tc>
                                <w:tcPr>
                                  <w:tcW w:w="3341" w:type="dxa"/>
                                  <w:tcBorders>
                                    <w:bottom w:val="single" w:color="000000" w:sz="4" w:space="0"/>
                                  </w:tcBorders>
                                </w:tcPr>
                                <w:p w:rsidR="00C31389" w:rsidRDefault="00561FBD" w14:paraId="1188659C" w14:textId="77777777">
                                  <w:pPr>
                                    <w:pStyle w:val="TableParagraph"/>
                                    <w:spacing w:before="0" w:line="227" w:lineRule="exact"/>
                                    <w:ind w:left="140"/>
                                    <w:rPr>
                                      <w:sz w:val="20"/>
                                    </w:rPr>
                                  </w:pPr>
                                  <w:r>
                                    <w:rPr>
                                      <w:spacing w:val="-2"/>
                                      <w:sz w:val="20"/>
                                    </w:rPr>
                                    <w:t>Valves</w:t>
                                  </w:r>
                                </w:p>
                              </w:tc>
                              <w:tc>
                                <w:tcPr>
                                  <w:tcW w:w="1324" w:type="dxa"/>
                                  <w:tcBorders>
                                    <w:bottom w:val="single" w:color="000000" w:sz="4" w:space="0"/>
                                  </w:tcBorders>
                                </w:tcPr>
                                <w:p w:rsidR="00C31389" w:rsidRDefault="00C31389" w14:paraId="38AEBB2F" w14:textId="77777777">
                                  <w:pPr>
                                    <w:pStyle w:val="TableParagraph"/>
                                    <w:spacing w:before="0"/>
                                    <w:rPr>
                                      <w:rFonts w:ascii="Times New Roman"/>
                                      <w:sz w:val="18"/>
                                    </w:rPr>
                                  </w:pPr>
                                </w:p>
                              </w:tc>
                              <w:tc>
                                <w:tcPr>
                                  <w:tcW w:w="1691" w:type="dxa"/>
                                  <w:tcBorders>
                                    <w:bottom w:val="single" w:color="000000" w:sz="4" w:space="0"/>
                                  </w:tcBorders>
                                </w:tcPr>
                                <w:p w:rsidR="00C31389" w:rsidRDefault="00C31389" w14:paraId="224FC5AE" w14:textId="77777777">
                                  <w:pPr>
                                    <w:pStyle w:val="TableParagraph"/>
                                    <w:spacing w:before="0"/>
                                    <w:rPr>
                                      <w:rFonts w:ascii="Times New Roman"/>
                                      <w:sz w:val="18"/>
                                    </w:rPr>
                                  </w:pPr>
                                </w:p>
                              </w:tc>
                            </w:tr>
                            <w:tr w:rsidR="00C31389" w14:paraId="063F6E4A" w14:textId="77777777">
                              <w:trPr>
                                <w:trHeight w:val="310"/>
                              </w:trPr>
                              <w:tc>
                                <w:tcPr>
                                  <w:tcW w:w="1483" w:type="dxa"/>
                                  <w:tcBorders>
                                    <w:bottom w:val="single" w:color="000000" w:sz="8" w:space="0"/>
                                  </w:tcBorders>
                                </w:tcPr>
                                <w:p w:rsidR="00C31389" w:rsidRDefault="00C31389" w14:paraId="0B491A61" w14:textId="77777777">
                                  <w:pPr>
                                    <w:pStyle w:val="TableParagraph"/>
                                    <w:spacing w:before="0"/>
                                    <w:rPr>
                                      <w:rFonts w:ascii="Times New Roman"/>
                                      <w:sz w:val="18"/>
                                    </w:rPr>
                                  </w:pPr>
                                </w:p>
                              </w:tc>
                              <w:tc>
                                <w:tcPr>
                                  <w:tcW w:w="1535" w:type="dxa"/>
                                  <w:tcBorders>
                                    <w:top w:val="single" w:color="000000" w:sz="4" w:space="0"/>
                                    <w:bottom w:val="single" w:color="000000" w:sz="8" w:space="0"/>
                                  </w:tcBorders>
                                </w:tcPr>
                                <w:p w:rsidR="00C31389" w:rsidRDefault="00561FBD" w14:paraId="0E85A8A6" w14:textId="77777777">
                                  <w:pPr>
                                    <w:pStyle w:val="TableParagraph"/>
                                    <w:ind w:left="115"/>
                                    <w:rPr>
                                      <w:b/>
                                      <w:sz w:val="20"/>
                                    </w:rPr>
                                  </w:pPr>
                                  <w:r>
                                    <w:rPr>
                                      <w:b/>
                                      <w:spacing w:val="-2"/>
                                      <w:sz w:val="20"/>
                                    </w:rPr>
                                    <w:t>Total</w:t>
                                  </w:r>
                                </w:p>
                              </w:tc>
                              <w:tc>
                                <w:tcPr>
                                  <w:tcW w:w="3341" w:type="dxa"/>
                                  <w:tcBorders>
                                    <w:top w:val="single" w:color="000000" w:sz="4" w:space="0"/>
                                    <w:bottom w:val="single" w:color="000000" w:sz="8" w:space="0"/>
                                  </w:tcBorders>
                                </w:tcPr>
                                <w:p w:rsidR="00C31389" w:rsidRDefault="00C31389" w14:paraId="38A39EA1" w14:textId="77777777">
                                  <w:pPr>
                                    <w:pStyle w:val="TableParagraph"/>
                                    <w:spacing w:before="0"/>
                                    <w:rPr>
                                      <w:rFonts w:ascii="Times New Roman"/>
                                      <w:sz w:val="18"/>
                                    </w:rPr>
                                  </w:pPr>
                                </w:p>
                              </w:tc>
                              <w:tc>
                                <w:tcPr>
                                  <w:tcW w:w="1324" w:type="dxa"/>
                                  <w:tcBorders>
                                    <w:top w:val="single" w:color="000000" w:sz="4" w:space="0"/>
                                    <w:bottom w:val="single" w:color="000000" w:sz="8" w:space="0"/>
                                  </w:tcBorders>
                                </w:tcPr>
                                <w:p w:rsidR="00C31389" w:rsidRDefault="00561FBD" w14:paraId="78095469" w14:textId="77777777">
                                  <w:pPr>
                                    <w:pStyle w:val="TableParagraph"/>
                                    <w:ind w:left="430"/>
                                    <w:rPr>
                                      <w:b/>
                                      <w:sz w:val="20"/>
                                    </w:rPr>
                                  </w:pPr>
                                  <w:r>
                                    <w:rPr>
                                      <w:b/>
                                      <w:spacing w:val="-5"/>
                                      <w:sz w:val="20"/>
                                    </w:rPr>
                                    <w:t>73</w:t>
                                  </w:r>
                                </w:p>
                              </w:tc>
                              <w:tc>
                                <w:tcPr>
                                  <w:tcW w:w="1691" w:type="dxa"/>
                                  <w:tcBorders>
                                    <w:top w:val="single" w:color="000000" w:sz="4" w:space="0"/>
                                    <w:bottom w:val="single" w:color="000000" w:sz="8" w:space="0"/>
                                  </w:tcBorders>
                                </w:tcPr>
                                <w:p w:rsidR="00C31389" w:rsidRDefault="00561FBD" w14:paraId="18F83CC1" w14:textId="77777777">
                                  <w:pPr>
                                    <w:pStyle w:val="TableParagraph"/>
                                    <w:ind w:left="670"/>
                                    <w:rPr>
                                      <w:b/>
                                      <w:sz w:val="20"/>
                                    </w:rPr>
                                  </w:pPr>
                                  <w:r>
                                    <w:rPr>
                                      <w:b/>
                                      <w:spacing w:val="-5"/>
                                      <w:sz w:val="20"/>
                                    </w:rPr>
                                    <w:t>182</w:t>
                                  </w:r>
                                </w:p>
                              </w:tc>
                            </w:tr>
                          </w:tbl>
                          <w:p w:rsidR="00C31389" w:rsidRDefault="00C31389" w14:paraId="4A76CCDF" w14:textId="77777777">
                            <w:pPr>
                              <w:pStyle w:val="BodyText"/>
                            </w:pPr>
                          </w:p>
                        </w:txbxContent>
                      </wps:txbx>
                      <wps:bodyPr wrap="square" lIns="0" tIns="0" rIns="0" bIns="0" rtlCol="0">
                        <a:noAutofit/>
                      </wps:bodyPr>
                    </wps:wsp>
                  </a:graphicData>
                </a:graphic>
              </wp:anchor>
            </w:drawing>
          </mc:Choice>
          <mc:Fallback>
            <w:pict>
              <v:shape id="Textbox 218" style="position:absolute;left:0;text-align:left;margin-left:68.3pt;margin-top:17.85pt;width:474.75pt;height:289.5pt;z-index:15768576;visibility:visible;mso-wrap-style:square;mso-wrap-distance-left:0;mso-wrap-distance-top:0;mso-wrap-distance-right:0;mso-wrap-distance-bottom:0;mso-position-horizontal:absolute;mso-position-horizontal-relative:page;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" w14:anchorId="19495935">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483"/>
                        <w:gridCol w:w="1535"/>
                        <w:gridCol w:w="3341"/>
                        <w:gridCol w:w="1324"/>
                        <w:gridCol w:w="1691"/>
                      </w:tblGrid>
                      <w:tr w:rsidR="00C31389" w14:paraId="60D1BFCE" w14:textId="77777777">
                        <w:trPr>
                          <w:trHeight w:val="493"/>
                        </w:trPr>
                        <w:tc>
                          <w:tcPr>
                            <w:tcW w:w="6359" w:type="dxa"/>
                            <w:gridSpan w:val="3"/>
                          </w:tcPr>
                          <w:p w:rsidR="00C31389" w:rsidRDefault="00561FBD" w14:paraId="4E90249D" w14:textId="77777777">
                            <w:pPr>
                              <w:pStyle w:val="TableParagraph"/>
                              <w:tabs>
                                <w:tab w:val="left" w:pos="3158"/>
                              </w:tabs>
                              <w:spacing w:before="0"/>
                              <w:ind w:left="1598" w:right="752"/>
                              <w:rPr>
                                <w:sz w:val="20"/>
                              </w:rPr>
                            </w:pPr>
                            <w:r>
                              <w:rPr>
                                <w:spacing w:val="-2"/>
                                <w:sz w:val="20"/>
                              </w:rPr>
                              <w:t>Appliances/</w:t>
                            </w:r>
                            <w:r>
                              <w:rPr>
                                <w:sz w:val="20"/>
                              </w:rPr>
                              <w:tab/>
                              <w:t>Power</w:t>
                            </w:r>
                            <w:r>
                              <w:rPr>
                                <w:spacing w:val="-12"/>
                                <w:sz w:val="20"/>
                              </w:rPr>
                              <w:t xml:space="preserve"> </w:t>
                            </w:r>
                            <w:r>
                              <w:rPr>
                                <w:sz w:val="20"/>
                              </w:rPr>
                              <w:t>Strips,</w:t>
                            </w:r>
                            <w:r>
                              <w:rPr>
                                <w:spacing w:val="-14"/>
                                <w:sz w:val="20"/>
                              </w:rPr>
                              <w:t xml:space="preserve"> </w:t>
                            </w:r>
                            <w:r>
                              <w:rPr>
                                <w:sz w:val="20"/>
                              </w:rPr>
                              <w:t>Servers,</w:t>
                            </w:r>
                            <w:r>
                              <w:rPr>
                                <w:spacing w:val="-12"/>
                                <w:sz w:val="20"/>
                              </w:rPr>
                              <w:t xml:space="preserve"> </w:t>
                            </w:r>
                            <w:r>
                              <w:rPr>
                                <w:sz w:val="20"/>
                              </w:rPr>
                              <w:t>Pool Plug Loads</w:t>
                            </w:r>
                            <w:r>
                              <w:rPr>
                                <w:sz w:val="20"/>
                              </w:rPr>
                              <w:tab/>
                            </w:r>
                            <w:r>
                              <w:rPr>
                                <w:spacing w:val="-2"/>
                                <w:sz w:val="20"/>
                              </w:rPr>
                              <w:t>Covers</w:t>
                            </w:r>
                          </w:p>
                        </w:tc>
                        <w:tc>
                          <w:tcPr>
                            <w:tcW w:w="1324" w:type="dxa"/>
                            <w:tcBorders>
                              <w:bottom w:val="single" w:color="D9D9D9" w:sz="2" w:space="0"/>
                            </w:tcBorders>
                          </w:tcPr>
                          <w:p w:rsidR="00C31389" w:rsidRDefault="00561FBD" w14:paraId="0AD98A15" w14:textId="77777777">
                            <w:pPr>
                              <w:pStyle w:val="TableParagraph"/>
                              <w:spacing w:before="109"/>
                              <w:ind w:left="485"/>
                              <w:rPr>
                                <w:sz w:val="20"/>
                              </w:rPr>
                            </w:pPr>
                            <w:r>
                              <w:rPr>
                                <w:sz w:val="20"/>
                              </w:rPr>
                              <w:t>5</w:t>
                            </w:r>
                          </w:p>
                        </w:tc>
                        <w:tc>
                          <w:tcPr>
                            <w:tcW w:w="1691" w:type="dxa"/>
                            <w:tcBorders>
                              <w:bottom w:val="single" w:color="D9D9D9" w:sz="2" w:space="0"/>
                            </w:tcBorders>
                          </w:tcPr>
                          <w:p w:rsidR="00C31389" w:rsidRDefault="00561FBD" w14:paraId="56930272" w14:textId="77777777">
                            <w:pPr>
                              <w:pStyle w:val="TableParagraph"/>
                              <w:spacing w:before="109"/>
                              <w:ind w:left="725"/>
                              <w:rPr>
                                <w:sz w:val="20"/>
                              </w:rPr>
                            </w:pPr>
                            <w:r>
                              <w:rPr>
                                <w:spacing w:val="-5"/>
                                <w:sz w:val="20"/>
                              </w:rPr>
                              <w:t>11</w:t>
                            </w:r>
                          </w:p>
                        </w:tc>
                      </w:tr>
                      <w:tr w:rsidR="00C31389" w14:paraId="3255DDD5" w14:textId="77777777">
                        <w:trPr>
                          <w:trHeight w:val="539"/>
                        </w:trPr>
                        <w:tc>
                          <w:tcPr>
                            <w:tcW w:w="6359" w:type="dxa"/>
                            <w:gridSpan w:val="3"/>
                            <w:tcBorders>
                              <w:top w:val="single" w:color="D9D9D9" w:sz="2" w:space="0"/>
                            </w:tcBorders>
                          </w:tcPr>
                          <w:p w:rsidR="00C31389" w:rsidRDefault="00561FBD" w14:paraId="69B82D5B" w14:textId="77777777">
                            <w:pPr>
                              <w:pStyle w:val="TableParagraph"/>
                              <w:tabs>
                                <w:tab w:val="left" w:pos="3158"/>
                              </w:tabs>
                              <w:spacing w:before="35"/>
                              <w:ind w:left="1598"/>
                              <w:rPr>
                                <w:sz w:val="20"/>
                              </w:rPr>
                            </w:pPr>
                            <w:r>
                              <w:rPr>
                                <w:spacing w:val="-2"/>
                                <w:position w:val="12"/>
                                <w:sz w:val="20"/>
                              </w:rPr>
                              <w:t>Building</w:t>
                            </w:r>
                            <w:r>
                              <w:rPr>
                                <w:position w:val="12"/>
                                <w:sz w:val="20"/>
                              </w:rPr>
                              <w:tab/>
                            </w:r>
                            <w:r>
                              <w:rPr>
                                <w:sz w:val="20"/>
                              </w:rPr>
                              <w:t>Wall</w:t>
                            </w:r>
                            <w:r>
                              <w:rPr>
                                <w:spacing w:val="-2"/>
                                <w:sz w:val="20"/>
                              </w:rPr>
                              <w:t xml:space="preserve"> Insulation</w:t>
                            </w:r>
                          </w:p>
                        </w:tc>
                        <w:tc>
                          <w:tcPr>
                            <w:tcW w:w="1324" w:type="dxa"/>
                            <w:tcBorders>
                              <w:top w:val="single" w:color="D9D9D9" w:sz="2" w:space="0"/>
                              <w:bottom w:val="single" w:color="D9D9D9" w:sz="2" w:space="0"/>
                            </w:tcBorders>
                          </w:tcPr>
                          <w:p w:rsidR="00C31389" w:rsidRDefault="00561FBD" w14:paraId="59B0EEFF" w14:textId="77777777">
                            <w:pPr>
                              <w:pStyle w:val="TableParagraph"/>
                              <w:spacing w:before="155"/>
                              <w:ind w:left="485"/>
                              <w:rPr>
                                <w:sz w:val="20"/>
                              </w:rPr>
                            </w:pPr>
                            <w:r>
                              <w:rPr>
                                <w:sz w:val="20"/>
                              </w:rPr>
                              <w:t>1</w:t>
                            </w:r>
                          </w:p>
                        </w:tc>
                        <w:tc>
                          <w:tcPr>
                            <w:tcW w:w="1691" w:type="dxa"/>
                            <w:tcBorders>
                              <w:top w:val="single" w:color="D9D9D9" w:sz="2" w:space="0"/>
                              <w:bottom w:val="single" w:color="D9D9D9" w:sz="2" w:space="0"/>
                            </w:tcBorders>
                          </w:tcPr>
                          <w:p w:rsidR="00C31389" w:rsidRDefault="00561FBD" w14:paraId="73CD9EE6" w14:textId="77777777">
                            <w:pPr>
                              <w:pStyle w:val="TableParagraph"/>
                              <w:spacing w:before="155"/>
                              <w:ind w:right="16"/>
                              <w:jc w:val="center"/>
                              <w:rPr>
                                <w:sz w:val="20"/>
                              </w:rPr>
                            </w:pPr>
                            <w:r>
                              <w:rPr>
                                <w:sz w:val="20"/>
                              </w:rPr>
                              <w:t>3</w:t>
                            </w:r>
                          </w:p>
                        </w:tc>
                      </w:tr>
                      <w:tr w:rsidR="00C31389" w14:paraId="14883F87" w14:textId="77777777">
                        <w:trPr>
                          <w:trHeight w:val="273"/>
                        </w:trPr>
                        <w:tc>
                          <w:tcPr>
                            <w:tcW w:w="6359" w:type="dxa"/>
                            <w:gridSpan w:val="3"/>
                            <w:tcBorders>
                              <w:top w:val="single" w:color="D9D9D9" w:sz="2" w:space="0"/>
                            </w:tcBorders>
                          </w:tcPr>
                          <w:p w:rsidR="00C31389" w:rsidRDefault="00561FBD" w14:paraId="232C0D05" w14:textId="77777777">
                            <w:pPr>
                              <w:pStyle w:val="TableParagraph"/>
                              <w:tabs>
                                <w:tab w:val="left" w:pos="3158"/>
                              </w:tabs>
                              <w:spacing w:before="97" w:line="36" w:lineRule="auto"/>
                              <w:ind w:left="1598"/>
                              <w:rPr>
                                <w:sz w:val="20"/>
                              </w:rPr>
                            </w:pPr>
                            <w:r>
                              <w:rPr>
                                <w:spacing w:val="-4"/>
                                <w:position w:val="-11"/>
                                <w:sz w:val="20"/>
                              </w:rPr>
                              <w:t>Com.</w:t>
                            </w:r>
                            <w:r>
                              <w:rPr>
                                <w:position w:val="-11"/>
                                <w:sz w:val="20"/>
                              </w:rPr>
                              <w:tab/>
                            </w:r>
                            <w:r>
                              <w:rPr>
                                <w:sz w:val="20"/>
                              </w:rPr>
                              <w:t>Display</w:t>
                            </w:r>
                            <w:r>
                              <w:rPr>
                                <w:spacing w:val="-3"/>
                                <w:sz w:val="20"/>
                              </w:rPr>
                              <w:t xml:space="preserve"> </w:t>
                            </w:r>
                            <w:r>
                              <w:rPr>
                                <w:sz w:val="20"/>
                              </w:rPr>
                              <w:t>Case</w:t>
                            </w:r>
                            <w:r>
                              <w:rPr>
                                <w:spacing w:val="-4"/>
                                <w:sz w:val="20"/>
                              </w:rPr>
                              <w:t xml:space="preserve"> </w:t>
                            </w:r>
                            <w:r>
                              <w:rPr>
                                <w:spacing w:val="-2"/>
                                <w:sz w:val="20"/>
                              </w:rPr>
                              <w:t>Motors,</w:t>
                            </w:r>
                          </w:p>
                        </w:tc>
                        <w:tc>
                          <w:tcPr>
                            <w:tcW w:w="1324" w:type="dxa"/>
                            <w:tcBorders>
                              <w:top w:val="single" w:color="D9D9D9" w:sz="2" w:space="0"/>
                            </w:tcBorders>
                          </w:tcPr>
                          <w:p w:rsidR="00C31389" w:rsidRDefault="00C31389" w14:paraId="6BFC4E15"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494C7097" w14:textId="77777777">
                            <w:pPr>
                              <w:pStyle w:val="TableParagraph"/>
                              <w:spacing w:before="0"/>
                              <w:rPr>
                                <w:rFonts w:ascii="Times New Roman"/>
                                <w:sz w:val="18"/>
                              </w:rPr>
                            </w:pPr>
                          </w:p>
                        </w:tc>
                      </w:tr>
                      <w:tr w:rsidR="00C31389" w14:paraId="3E96A899" w14:textId="77777777">
                        <w:trPr>
                          <w:trHeight w:val="230"/>
                        </w:trPr>
                        <w:tc>
                          <w:tcPr>
                            <w:tcW w:w="6359" w:type="dxa"/>
                            <w:gridSpan w:val="3"/>
                          </w:tcPr>
                          <w:p w:rsidR="00C31389" w:rsidRDefault="00561FBD" w14:paraId="49F9DC62" w14:textId="77777777">
                            <w:pPr>
                              <w:pStyle w:val="TableParagraph"/>
                              <w:tabs>
                                <w:tab w:val="left" w:pos="3158"/>
                              </w:tabs>
                              <w:spacing w:before="53" w:line="36" w:lineRule="auto"/>
                              <w:ind w:left="1598"/>
                              <w:rPr>
                                <w:sz w:val="20"/>
                              </w:rPr>
                            </w:pPr>
                            <w:r>
                              <w:rPr>
                                <w:spacing w:val="-2"/>
                                <w:position w:val="-11"/>
                                <w:sz w:val="20"/>
                              </w:rPr>
                              <w:t>Refrigeration</w:t>
                            </w:r>
                            <w:r>
                              <w:rPr>
                                <w:position w:val="-11"/>
                                <w:sz w:val="20"/>
                              </w:rPr>
                              <w:tab/>
                            </w:r>
                            <w:r>
                              <w:rPr>
                                <w:sz w:val="20"/>
                              </w:rPr>
                              <w:t>Refrigeration</w:t>
                            </w:r>
                            <w:r>
                              <w:rPr>
                                <w:spacing w:val="-9"/>
                                <w:sz w:val="20"/>
                              </w:rPr>
                              <w:t xml:space="preserve"> </w:t>
                            </w:r>
                            <w:r>
                              <w:rPr>
                                <w:spacing w:val="-2"/>
                                <w:sz w:val="20"/>
                              </w:rPr>
                              <w:t>Compressors,</w:t>
                            </w:r>
                          </w:p>
                        </w:tc>
                        <w:tc>
                          <w:tcPr>
                            <w:tcW w:w="1324" w:type="dxa"/>
                          </w:tcPr>
                          <w:p w:rsidR="00C31389" w:rsidRDefault="00561FBD" w14:paraId="11887A3D" w14:textId="77777777">
                            <w:pPr>
                              <w:pStyle w:val="TableParagraph"/>
                              <w:spacing w:before="0" w:line="210" w:lineRule="exact"/>
                              <w:ind w:left="486"/>
                              <w:rPr>
                                <w:sz w:val="20"/>
                              </w:rPr>
                            </w:pPr>
                            <w:r>
                              <w:rPr>
                                <w:sz w:val="20"/>
                              </w:rPr>
                              <w:t>8</w:t>
                            </w:r>
                          </w:p>
                        </w:tc>
                        <w:tc>
                          <w:tcPr>
                            <w:tcW w:w="1691" w:type="dxa"/>
                          </w:tcPr>
                          <w:p w:rsidR="00C31389" w:rsidRDefault="00561FBD" w14:paraId="3BC63972" w14:textId="77777777">
                            <w:pPr>
                              <w:pStyle w:val="TableParagraph"/>
                              <w:spacing w:before="0" w:line="210" w:lineRule="exact"/>
                              <w:ind w:left="725"/>
                              <w:rPr>
                                <w:sz w:val="20"/>
                              </w:rPr>
                            </w:pPr>
                            <w:r>
                              <w:rPr>
                                <w:spacing w:val="-5"/>
                                <w:sz w:val="20"/>
                              </w:rPr>
                              <w:t>17</w:t>
                            </w:r>
                          </w:p>
                        </w:tc>
                      </w:tr>
                      <w:tr w:rsidR="00C31389" w14:paraId="16775A52" w14:textId="77777777">
                        <w:trPr>
                          <w:trHeight w:val="266"/>
                        </w:trPr>
                        <w:tc>
                          <w:tcPr>
                            <w:tcW w:w="6359" w:type="dxa"/>
                            <w:gridSpan w:val="3"/>
                          </w:tcPr>
                          <w:p w:rsidR="00C31389" w:rsidRDefault="00561FBD" w14:paraId="34CEDBC9" w14:textId="77777777">
                            <w:pPr>
                              <w:pStyle w:val="TableParagraph"/>
                              <w:spacing w:before="0" w:line="227" w:lineRule="exact"/>
                              <w:ind w:left="3158"/>
                              <w:rPr>
                                <w:sz w:val="20"/>
                              </w:rPr>
                            </w:pPr>
                            <w:r>
                              <w:rPr>
                                <w:sz w:val="20"/>
                              </w:rPr>
                              <w:t>Anti-Sweat</w:t>
                            </w:r>
                            <w:r>
                              <w:rPr>
                                <w:spacing w:val="-4"/>
                                <w:sz w:val="20"/>
                              </w:rPr>
                              <w:t xml:space="preserve"> </w:t>
                            </w:r>
                            <w:r>
                              <w:rPr>
                                <w:sz w:val="20"/>
                              </w:rPr>
                              <w:t>Heat</w:t>
                            </w:r>
                            <w:r>
                              <w:rPr>
                                <w:spacing w:val="-3"/>
                                <w:sz w:val="20"/>
                              </w:rPr>
                              <w:t xml:space="preserve"> </w:t>
                            </w:r>
                            <w:r>
                              <w:rPr>
                                <w:spacing w:val="-2"/>
                                <w:sz w:val="20"/>
                              </w:rPr>
                              <w:t>Controls</w:t>
                            </w:r>
                          </w:p>
                        </w:tc>
                        <w:tc>
                          <w:tcPr>
                            <w:tcW w:w="1324" w:type="dxa"/>
                            <w:tcBorders>
                              <w:bottom w:val="single" w:color="D9D9D9" w:sz="2" w:space="0"/>
                            </w:tcBorders>
                          </w:tcPr>
                          <w:p w:rsidR="00C31389" w:rsidRDefault="00C31389" w14:paraId="7ED27E90"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6C4E64A1" w14:textId="77777777">
                            <w:pPr>
                              <w:pStyle w:val="TableParagraph"/>
                              <w:spacing w:before="0"/>
                              <w:rPr>
                                <w:rFonts w:ascii="Times New Roman"/>
                                <w:sz w:val="18"/>
                              </w:rPr>
                            </w:pPr>
                          </w:p>
                        </w:tc>
                      </w:tr>
                      <w:tr w:rsidR="00C31389" w14:paraId="7497B842" w14:textId="77777777">
                        <w:trPr>
                          <w:trHeight w:val="270"/>
                        </w:trPr>
                        <w:tc>
                          <w:tcPr>
                            <w:tcW w:w="6359" w:type="dxa"/>
                            <w:gridSpan w:val="3"/>
                            <w:tcBorders>
                              <w:top w:val="single" w:color="D9D9D9" w:sz="2" w:space="0"/>
                            </w:tcBorders>
                          </w:tcPr>
                          <w:p w:rsidR="00C31389" w:rsidRDefault="00561FBD" w14:paraId="7BD0A991" w14:textId="77777777">
                            <w:pPr>
                              <w:pStyle w:val="TableParagraph"/>
                              <w:spacing w:line="210" w:lineRule="exact"/>
                              <w:ind w:left="3158"/>
                              <w:rPr>
                                <w:sz w:val="20"/>
                              </w:rPr>
                            </w:pPr>
                            <w:r>
                              <w:rPr>
                                <w:sz w:val="20"/>
                              </w:rPr>
                              <w:t>Server</w:t>
                            </w:r>
                            <w:r>
                              <w:rPr>
                                <w:spacing w:val="-8"/>
                                <w:sz w:val="20"/>
                              </w:rPr>
                              <w:t xml:space="preserve"> </w:t>
                            </w:r>
                            <w:r>
                              <w:rPr>
                                <w:sz w:val="20"/>
                              </w:rPr>
                              <w:t>Virtualization,</w:t>
                            </w:r>
                            <w:r>
                              <w:rPr>
                                <w:spacing w:val="-5"/>
                                <w:sz w:val="20"/>
                              </w:rPr>
                              <w:t xml:space="preserve"> </w:t>
                            </w:r>
                            <w:r>
                              <w:rPr>
                                <w:spacing w:val="-4"/>
                                <w:sz w:val="20"/>
                              </w:rPr>
                              <w:t>High</w:t>
                            </w:r>
                          </w:p>
                        </w:tc>
                        <w:tc>
                          <w:tcPr>
                            <w:tcW w:w="1324" w:type="dxa"/>
                            <w:tcBorders>
                              <w:top w:val="single" w:color="D9D9D9" w:sz="2" w:space="0"/>
                            </w:tcBorders>
                          </w:tcPr>
                          <w:p w:rsidR="00C31389" w:rsidRDefault="00C31389" w14:paraId="0F061F35"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78E7EDB9" w14:textId="77777777">
                            <w:pPr>
                              <w:pStyle w:val="TableParagraph"/>
                              <w:spacing w:before="0"/>
                              <w:rPr>
                                <w:rFonts w:ascii="Times New Roman"/>
                                <w:sz w:val="18"/>
                              </w:rPr>
                            </w:pPr>
                          </w:p>
                        </w:tc>
                      </w:tr>
                      <w:tr w:rsidR="00C31389" w14:paraId="2B2BA3CF" w14:textId="77777777">
                        <w:trPr>
                          <w:trHeight w:val="235"/>
                        </w:trPr>
                        <w:tc>
                          <w:tcPr>
                            <w:tcW w:w="6359" w:type="dxa"/>
                            <w:gridSpan w:val="3"/>
                          </w:tcPr>
                          <w:p w:rsidR="00C31389" w:rsidRDefault="00561FBD" w14:paraId="7B84A519" w14:textId="77777777">
                            <w:pPr>
                              <w:pStyle w:val="TableParagraph"/>
                              <w:tabs>
                                <w:tab w:val="left" w:pos="3158"/>
                              </w:tabs>
                              <w:spacing w:before="0" w:line="215" w:lineRule="exact"/>
                              <w:ind w:left="1598"/>
                              <w:rPr>
                                <w:sz w:val="20"/>
                              </w:rPr>
                            </w:pPr>
                            <w:r>
                              <w:rPr>
                                <w:position w:val="-10"/>
                                <w:sz w:val="20"/>
                              </w:rPr>
                              <w:t>Data</w:t>
                            </w:r>
                            <w:r>
                              <w:rPr>
                                <w:spacing w:val="-2"/>
                                <w:position w:val="-10"/>
                                <w:sz w:val="20"/>
                              </w:rPr>
                              <w:t xml:space="preserve"> Center</w:t>
                            </w:r>
                            <w:r>
                              <w:rPr>
                                <w:position w:val="-10"/>
                                <w:sz w:val="20"/>
                              </w:rPr>
                              <w:tab/>
                            </w:r>
                            <w:r>
                              <w:rPr>
                                <w:sz w:val="20"/>
                              </w:rPr>
                              <w:t>Efficiency</w:t>
                            </w:r>
                            <w:r>
                              <w:rPr>
                                <w:spacing w:val="-5"/>
                                <w:sz w:val="20"/>
                              </w:rPr>
                              <w:t xml:space="preserve"> </w:t>
                            </w:r>
                            <w:r>
                              <w:rPr>
                                <w:sz w:val="20"/>
                              </w:rPr>
                              <w:t>Universal</w:t>
                            </w:r>
                            <w:r>
                              <w:rPr>
                                <w:spacing w:val="-5"/>
                                <w:sz w:val="20"/>
                              </w:rPr>
                              <w:t xml:space="preserve"> </w:t>
                            </w:r>
                            <w:r>
                              <w:rPr>
                                <w:spacing w:val="-4"/>
                                <w:sz w:val="20"/>
                              </w:rPr>
                              <w:t>Power</w:t>
                            </w:r>
                          </w:p>
                        </w:tc>
                        <w:tc>
                          <w:tcPr>
                            <w:tcW w:w="1324" w:type="dxa"/>
                          </w:tcPr>
                          <w:p w:rsidR="00C31389" w:rsidRDefault="00561FBD" w14:paraId="2ABEAA4B" w14:textId="77777777">
                            <w:pPr>
                              <w:pStyle w:val="TableParagraph"/>
                              <w:spacing w:before="114" w:line="101" w:lineRule="exact"/>
                              <w:ind w:left="485"/>
                              <w:rPr>
                                <w:sz w:val="20"/>
                              </w:rPr>
                            </w:pPr>
                            <w:r>
                              <w:rPr>
                                <w:sz w:val="20"/>
                              </w:rPr>
                              <w:t>4</w:t>
                            </w:r>
                          </w:p>
                        </w:tc>
                        <w:tc>
                          <w:tcPr>
                            <w:tcW w:w="1691" w:type="dxa"/>
                          </w:tcPr>
                          <w:p w:rsidR="00C31389" w:rsidRDefault="00561FBD" w14:paraId="6F97BC9C" w14:textId="77777777">
                            <w:pPr>
                              <w:pStyle w:val="TableParagraph"/>
                              <w:spacing w:before="114" w:line="101" w:lineRule="exact"/>
                              <w:ind w:right="16"/>
                              <w:jc w:val="center"/>
                              <w:rPr>
                                <w:sz w:val="20"/>
                              </w:rPr>
                            </w:pPr>
                            <w:r>
                              <w:rPr>
                                <w:sz w:val="20"/>
                              </w:rPr>
                              <w:t>8</w:t>
                            </w:r>
                          </w:p>
                        </w:tc>
                      </w:tr>
                      <w:tr w:rsidR="00C31389" w14:paraId="13EA9D3F" w14:textId="77777777">
                        <w:trPr>
                          <w:trHeight w:val="227"/>
                        </w:trPr>
                        <w:tc>
                          <w:tcPr>
                            <w:tcW w:w="1483" w:type="dxa"/>
                          </w:tcPr>
                          <w:p w:rsidR="00C31389" w:rsidRDefault="00C31389" w14:paraId="44380ED8" w14:textId="77777777">
                            <w:pPr>
                              <w:pStyle w:val="TableParagraph"/>
                              <w:spacing w:before="0"/>
                              <w:rPr>
                                <w:rFonts w:ascii="Times New Roman"/>
                                <w:sz w:val="16"/>
                              </w:rPr>
                            </w:pPr>
                          </w:p>
                        </w:tc>
                        <w:tc>
                          <w:tcPr>
                            <w:tcW w:w="1535" w:type="dxa"/>
                          </w:tcPr>
                          <w:p w:rsidR="00C31389" w:rsidRDefault="00C31389" w14:paraId="359E5BB9" w14:textId="77777777">
                            <w:pPr>
                              <w:pStyle w:val="TableParagraph"/>
                              <w:spacing w:before="0"/>
                              <w:rPr>
                                <w:rFonts w:ascii="Times New Roman"/>
                                <w:sz w:val="16"/>
                              </w:rPr>
                            </w:pPr>
                          </w:p>
                        </w:tc>
                        <w:tc>
                          <w:tcPr>
                            <w:tcW w:w="3341" w:type="dxa"/>
                          </w:tcPr>
                          <w:p w:rsidR="00C31389" w:rsidRDefault="00561FBD" w14:paraId="17318739" w14:textId="77777777">
                            <w:pPr>
                              <w:pStyle w:val="TableParagraph"/>
                              <w:spacing w:before="0" w:line="207" w:lineRule="exact"/>
                              <w:ind w:left="140"/>
                              <w:rPr>
                                <w:sz w:val="20"/>
                              </w:rPr>
                            </w:pPr>
                            <w:r>
                              <w:rPr>
                                <w:sz w:val="20"/>
                              </w:rPr>
                              <w:t>Supply,</w:t>
                            </w:r>
                            <w:r>
                              <w:rPr>
                                <w:spacing w:val="-4"/>
                                <w:sz w:val="20"/>
                              </w:rPr>
                              <w:t xml:space="preserve"> </w:t>
                            </w:r>
                            <w:r>
                              <w:rPr>
                                <w:sz w:val="20"/>
                              </w:rPr>
                              <w:t>Computer</w:t>
                            </w:r>
                            <w:r>
                              <w:rPr>
                                <w:spacing w:val="-2"/>
                                <w:sz w:val="20"/>
                              </w:rPr>
                              <w:t xml:space="preserve"> </w:t>
                            </w:r>
                            <w:r>
                              <w:rPr>
                                <w:sz w:val="20"/>
                              </w:rPr>
                              <w:t>Room</w:t>
                            </w:r>
                            <w:r>
                              <w:rPr>
                                <w:spacing w:val="-4"/>
                                <w:sz w:val="20"/>
                              </w:rPr>
                              <w:t xml:space="preserve"> </w:t>
                            </w:r>
                            <w:r>
                              <w:rPr>
                                <w:spacing w:val="-7"/>
                                <w:sz w:val="20"/>
                              </w:rPr>
                              <w:t>AC</w:t>
                            </w:r>
                          </w:p>
                        </w:tc>
                        <w:tc>
                          <w:tcPr>
                            <w:tcW w:w="1324" w:type="dxa"/>
                          </w:tcPr>
                          <w:p w:rsidR="00C31389" w:rsidRDefault="00C31389" w14:paraId="621D6654" w14:textId="77777777">
                            <w:pPr>
                              <w:pStyle w:val="TableParagraph"/>
                              <w:spacing w:before="0"/>
                              <w:rPr>
                                <w:rFonts w:ascii="Times New Roman"/>
                                <w:sz w:val="16"/>
                              </w:rPr>
                            </w:pPr>
                          </w:p>
                        </w:tc>
                        <w:tc>
                          <w:tcPr>
                            <w:tcW w:w="1691" w:type="dxa"/>
                          </w:tcPr>
                          <w:p w:rsidR="00C31389" w:rsidRDefault="00C31389" w14:paraId="1CEB8F71" w14:textId="77777777">
                            <w:pPr>
                              <w:pStyle w:val="TableParagraph"/>
                              <w:spacing w:before="0"/>
                              <w:rPr>
                                <w:rFonts w:ascii="Times New Roman"/>
                                <w:sz w:val="16"/>
                              </w:rPr>
                            </w:pPr>
                          </w:p>
                        </w:tc>
                      </w:tr>
                      <w:tr w:rsidR="00C31389" w14:paraId="7FB5A256" w14:textId="77777777">
                        <w:trPr>
                          <w:trHeight w:val="266"/>
                        </w:trPr>
                        <w:tc>
                          <w:tcPr>
                            <w:tcW w:w="1483" w:type="dxa"/>
                          </w:tcPr>
                          <w:p w:rsidR="00C31389" w:rsidRDefault="00C31389" w14:paraId="2A9F4065" w14:textId="77777777">
                            <w:pPr>
                              <w:pStyle w:val="TableParagraph"/>
                              <w:spacing w:before="0"/>
                              <w:rPr>
                                <w:rFonts w:ascii="Times New Roman"/>
                                <w:sz w:val="18"/>
                              </w:rPr>
                            </w:pPr>
                          </w:p>
                        </w:tc>
                        <w:tc>
                          <w:tcPr>
                            <w:tcW w:w="1535" w:type="dxa"/>
                            <w:tcBorders>
                              <w:bottom w:val="single" w:color="D9D9D9" w:sz="2" w:space="0"/>
                            </w:tcBorders>
                          </w:tcPr>
                          <w:p w:rsidR="00C31389" w:rsidRDefault="00C31389" w14:paraId="3A76399C" w14:textId="77777777">
                            <w:pPr>
                              <w:pStyle w:val="TableParagraph"/>
                              <w:spacing w:before="0"/>
                              <w:rPr>
                                <w:rFonts w:ascii="Times New Roman"/>
                                <w:sz w:val="18"/>
                              </w:rPr>
                            </w:pPr>
                          </w:p>
                        </w:tc>
                        <w:tc>
                          <w:tcPr>
                            <w:tcW w:w="3341" w:type="dxa"/>
                            <w:tcBorders>
                              <w:bottom w:val="single" w:color="D9D9D9" w:sz="2" w:space="0"/>
                            </w:tcBorders>
                          </w:tcPr>
                          <w:p w:rsidR="00C31389" w:rsidRDefault="00561FBD" w14:paraId="648CE41F" w14:textId="77777777">
                            <w:pPr>
                              <w:pStyle w:val="TableParagraph"/>
                              <w:spacing w:before="0" w:line="227" w:lineRule="exact"/>
                              <w:ind w:left="140"/>
                              <w:rPr>
                                <w:sz w:val="20"/>
                              </w:rPr>
                            </w:pPr>
                            <w:r>
                              <w:rPr>
                                <w:spacing w:val="-2"/>
                                <w:sz w:val="20"/>
                              </w:rPr>
                              <w:t>Upgrades</w:t>
                            </w:r>
                          </w:p>
                        </w:tc>
                        <w:tc>
                          <w:tcPr>
                            <w:tcW w:w="1324" w:type="dxa"/>
                            <w:tcBorders>
                              <w:bottom w:val="single" w:color="D9D9D9" w:sz="2" w:space="0"/>
                            </w:tcBorders>
                          </w:tcPr>
                          <w:p w:rsidR="00C31389" w:rsidRDefault="00C31389" w14:paraId="0C1859EC"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1D3E725A" w14:textId="77777777">
                            <w:pPr>
                              <w:pStyle w:val="TableParagraph"/>
                              <w:spacing w:before="0"/>
                              <w:rPr>
                                <w:rFonts w:ascii="Times New Roman"/>
                                <w:sz w:val="18"/>
                              </w:rPr>
                            </w:pPr>
                          </w:p>
                        </w:tc>
                      </w:tr>
                      <w:tr w:rsidR="00C31389" w14:paraId="4C71CEF3" w14:textId="77777777">
                        <w:trPr>
                          <w:trHeight w:val="310"/>
                        </w:trPr>
                        <w:tc>
                          <w:tcPr>
                            <w:tcW w:w="1483" w:type="dxa"/>
                          </w:tcPr>
                          <w:p w:rsidR="00C31389" w:rsidRDefault="00561FBD" w14:paraId="7621AD8F" w14:textId="77777777">
                            <w:pPr>
                              <w:pStyle w:val="TableParagraph"/>
                              <w:spacing w:before="0" w:line="159" w:lineRule="exact"/>
                              <w:ind w:left="129"/>
                              <w:rPr>
                                <w:b/>
                                <w:sz w:val="20"/>
                              </w:rPr>
                            </w:pPr>
                            <w:r>
                              <w:rPr>
                                <w:b/>
                                <w:spacing w:val="-2"/>
                                <w:sz w:val="20"/>
                              </w:rPr>
                              <w:t>Commercial</w:t>
                            </w:r>
                          </w:p>
                        </w:tc>
                        <w:tc>
                          <w:tcPr>
                            <w:tcW w:w="1535" w:type="dxa"/>
                            <w:tcBorders>
                              <w:top w:val="single" w:color="D9D9D9" w:sz="2" w:space="0"/>
                              <w:bottom w:val="single" w:color="D9D9D9" w:sz="2" w:space="0"/>
                            </w:tcBorders>
                          </w:tcPr>
                          <w:p w:rsidR="00C31389" w:rsidRDefault="00561FBD" w14:paraId="050C2B95" w14:textId="77777777">
                            <w:pPr>
                              <w:pStyle w:val="TableParagraph"/>
                              <w:ind w:left="115"/>
                              <w:rPr>
                                <w:sz w:val="20"/>
                              </w:rPr>
                            </w:pPr>
                            <w:r>
                              <w:rPr>
                                <w:sz w:val="20"/>
                              </w:rPr>
                              <w:t>Food</w:t>
                            </w:r>
                            <w:r>
                              <w:rPr>
                                <w:spacing w:val="-1"/>
                                <w:sz w:val="20"/>
                              </w:rPr>
                              <w:t xml:space="preserve"> </w:t>
                            </w:r>
                            <w:r>
                              <w:rPr>
                                <w:spacing w:val="-2"/>
                                <w:sz w:val="20"/>
                              </w:rPr>
                              <w:t>Service</w:t>
                            </w:r>
                          </w:p>
                        </w:tc>
                        <w:tc>
                          <w:tcPr>
                            <w:tcW w:w="3341" w:type="dxa"/>
                            <w:tcBorders>
                              <w:top w:val="single" w:color="D9D9D9" w:sz="2" w:space="0"/>
                              <w:bottom w:val="single" w:color="D9D9D9" w:sz="2" w:space="0"/>
                            </w:tcBorders>
                          </w:tcPr>
                          <w:p w:rsidR="00C31389" w:rsidRDefault="00561FBD" w14:paraId="3EF0A482" w14:textId="77777777">
                            <w:pPr>
                              <w:pStyle w:val="TableParagraph"/>
                              <w:ind w:left="140"/>
                              <w:rPr>
                                <w:sz w:val="20"/>
                              </w:rPr>
                            </w:pPr>
                            <w:r>
                              <w:rPr>
                                <w:sz w:val="20"/>
                              </w:rPr>
                              <w:t>Ovens,</w:t>
                            </w:r>
                            <w:r>
                              <w:rPr>
                                <w:spacing w:val="-5"/>
                                <w:sz w:val="20"/>
                              </w:rPr>
                              <w:t xml:space="preserve"> </w:t>
                            </w:r>
                            <w:r>
                              <w:rPr>
                                <w:sz w:val="20"/>
                              </w:rPr>
                              <w:t>Steamers,</w:t>
                            </w:r>
                            <w:r>
                              <w:rPr>
                                <w:spacing w:val="-5"/>
                                <w:sz w:val="20"/>
                              </w:rPr>
                              <w:t xml:space="preserve"> </w:t>
                            </w:r>
                            <w:r>
                              <w:rPr>
                                <w:spacing w:val="-2"/>
                                <w:sz w:val="20"/>
                              </w:rPr>
                              <w:t>Fryers</w:t>
                            </w:r>
                          </w:p>
                        </w:tc>
                        <w:tc>
                          <w:tcPr>
                            <w:tcW w:w="1324" w:type="dxa"/>
                            <w:tcBorders>
                              <w:top w:val="single" w:color="D9D9D9" w:sz="2" w:space="0"/>
                              <w:bottom w:val="single" w:color="D9D9D9" w:sz="2" w:space="0"/>
                            </w:tcBorders>
                          </w:tcPr>
                          <w:p w:rsidR="00C31389" w:rsidRDefault="00561FBD" w14:paraId="30E3DD9A" w14:textId="77777777">
                            <w:pPr>
                              <w:pStyle w:val="TableParagraph"/>
                              <w:ind w:left="430"/>
                              <w:rPr>
                                <w:sz w:val="20"/>
                              </w:rPr>
                            </w:pPr>
                            <w:r>
                              <w:rPr>
                                <w:spacing w:val="-5"/>
                                <w:sz w:val="20"/>
                              </w:rPr>
                              <w:t>16</w:t>
                            </w:r>
                          </w:p>
                        </w:tc>
                        <w:tc>
                          <w:tcPr>
                            <w:tcW w:w="1691" w:type="dxa"/>
                            <w:tcBorders>
                              <w:top w:val="single" w:color="D9D9D9" w:sz="2" w:space="0"/>
                              <w:bottom w:val="single" w:color="D9D9D9" w:sz="2" w:space="0"/>
                            </w:tcBorders>
                          </w:tcPr>
                          <w:p w:rsidR="00C31389" w:rsidRDefault="00561FBD" w14:paraId="30B936A3" w14:textId="77777777">
                            <w:pPr>
                              <w:pStyle w:val="TableParagraph"/>
                              <w:ind w:left="725"/>
                              <w:rPr>
                                <w:sz w:val="20"/>
                              </w:rPr>
                            </w:pPr>
                            <w:r>
                              <w:rPr>
                                <w:spacing w:val="-5"/>
                                <w:sz w:val="20"/>
                              </w:rPr>
                              <w:t>39</w:t>
                            </w:r>
                          </w:p>
                        </w:tc>
                      </w:tr>
                      <w:tr w:rsidR="00C31389" w14:paraId="006A590D" w14:textId="77777777">
                        <w:trPr>
                          <w:trHeight w:val="273"/>
                        </w:trPr>
                        <w:tc>
                          <w:tcPr>
                            <w:tcW w:w="1483" w:type="dxa"/>
                          </w:tcPr>
                          <w:p w:rsidR="00C31389" w:rsidRDefault="00C31389" w14:paraId="451D21E9" w14:textId="77777777">
                            <w:pPr>
                              <w:pStyle w:val="TableParagraph"/>
                              <w:spacing w:before="0"/>
                              <w:rPr>
                                <w:rFonts w:ascii="Times New Roman"/>
                                <w:sz w:val="18"/>
                              </w:rPr>
                            </w:pPr>
                          </w:p>
                        </w:tc>
                        <w:tc>
                          <w:tcPr>
                            <w:tcW w:w="1535" w:type="dxa"/>
                            <w:tcBorders>
                              <w:top w:val="single" w:color="D9D9D9" w:sz="2" w:space="0"/>
                            </w:tcBorders>
                          </w:tcPr>
                          <w:p w:rsidR="00C31389" w:rsidRDefault="00C31389" w14:paraId="09AAB520" w14:textId="77777777">
                            <w:pPr>
                              <w:pStyle w:val="TableParagraph"/>
                              <w:spacing w:before="0"/>
                              <w:rPr>
                                <w:rFonts w:ascii="Times New Roman"/>
                                <w:sz w:val="18"/>
                              </w:rPr>
                            </w:pPr>
                          </w:p>
                        </w:tc>
                        <w:tc>
                          <w:tcPr>
                            <w:tcW w:w="3341" w:type="dxa"/>
                            <w:tcBorders>
                              <w:top w:val="single" w:color="D9D9D9" w:sz="2" w:space="0"/>
                            </w:tcBorders>
                          </w:tcPr>
                          <w:p w:rsidR="00C31389" w:rsidRDefault="00561FBD" w14:paraId="74F3390E" w14:textId="77777777">
                            <w:pPr>
                              <w:pStyle w:val="TableParagraph"/>
                              <w:spacing w:line="213" w:lineRule="exact"/>
                              <w:ind w:left="140"/>
                              <w:rPr>
                                <w:sz w:val="20"/>
                              </w:rPr>
                            </w:pPr>
                            <w:r>
                              <w:rPr>
                                <w:sz w:val="20"/>
                              </w:rPr>
                              <w:t>Unitary</w:t>
                            </w:r>
                            <w:r>
                              <w:rPr>
                                <w:spacing w:val="-4"/>
                                <w:sz w:val="20"/>
                              </w:rPr>
                              <w:t xml:space="preserve"> </w:t>
                            </w:r>
                            <w:r>
                              <w:rPr>
                                <w:sz w:val="20"/>
                              </w:rPr>
                              <w:t>ACs,</w:t>
                            </w:r>
                            <w:r>
                              <w:rPr>
                                <w:spacing w:val="-4"/>
                                <w:sz w:val="20"/>
                              </w:rPr>
                              <w:t xml:space="preserve"> </w:t>
                            </w:r>
                            <w:r>
                              <w:rPr>
                                <w:sz w:val="20"/>
                              </w:rPr>
                              <w:t>Mini-Split</w:t>
                            </w:r>
                            <w:r>
                              <w:rPr>
                                <w:spacing w:val="-4"/>
                                <w:sz w:val="20"/>
                              </w:rPr>
                              <w:t xml:space="preserve"> Heat</w:t>
                            </w:r>
                          </w:p>
                        </w:tc>
                        <w:tc>
                          <w:tcPr>
                            <w:tcW w:w="1324" w:type="dxa"/>
                            <w:tcBorders>
                              <w:top w:val="single" w:color="D9D9D9" w:sz="2" w:space="0"/>
                            </w:tcBorders>
                          </w:tcPr>
                          <w:p w:rsidR="00C31389" w:rsidRDefault="00C31389" w14:paraId="31E0C346"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16B03192" w14:textId="77777777">
                            <w:pPr>
                              <w:pStyle w:val="TableParagraph"/>
                              <w:spacing w:before="0"/>
                              <w:rPr>
                                <w:rFonts w:ascii="Times New Roman"/>
                                <w:sz w:val="18"/>
                              </w:rPr>
                            </w:pPr>
                          </w:p>
                        </w:tc>
                      </w:tr>
                      <w:tr w:rsidR="00C31389" w14:paraId="1C4248C1" w14:textId="77777777">
                        <w:trPr>
                          <w:trHeight w:val="229"/>
                        </w:trPr>
                        <w:tc>
                          <w:tcPr>
                            <w:tcW w:w="1483" w:type="dxa"/>
                          </w:tcPr>
                          <w:p w:rsidR="00C31389" w:rsidRDefault="00C31389" w14:paraId="0AE7053E" w14:textId="77777777">
                            <w:pPr>
                              <w:pStyle w:val="TableParagraph"/>
                              <w:spacing w:before="0"/>
                              <w:rPr>
                                <w:rFonts w:ascii="Times New Roman"/>
                                <w:sz w:val="16"/>
                              </w:rPr>
                            </w:pPr>
                          </w:p>
                        </w:tc>
                        <w:tc>
                          <w:tcPr>
                            <w:tcW w:w="1535" w:type="dxa"/>
                          </w:tcPr>
                          <w:p w:rsidR="00C31389" w:rsidRDefault="00561FBD" w14:paraId="5BC0D3DF" w14:textId="77777777">
                            <w:pPr>
                              <w:pStyle w:val="TableParagraph"/>
                              <w:spacing w:before="0" w:line="210" w:lineRule="exact"/>
                              <w:ind w:left="115"/>
                              <w:rPr>
                                <w:sz w:val="20"/>
                              </w:rPr>
                            </w:pPr>
                            <w:r>
                              <w:rPr>
                                <w:spacing w:val="-4"/>
                                <w:sz w:val="20"/>
                              </w:rPr>
                              <w:t>HVAC</w:t>
                            </w:r>
                          </w:p>
                        </w:tc>
                        <w:tc>
                          <w:tcPr>
                            <w:tcW w:w="3341" w:type="dxa"/>
                          </w:tcPr>
                          <w:p w:rsidR="00C31389" w:rsidRDefault="00561FBD" w14:paraId="0F8CE7C5" w14:textId="77777777">
                            <w:pPr>
                              <w:pStyle w:val="TableParagraph"/>
                              <w:spacing w:before="0" w:line="210" w:lineRule="exact"/>
                              <w:ind w:left="140"/>
                              <w:rPr>
                                <w:sz w:val="20"/>
                              </w:rPr>
                            </w:pPr>
                            <w:r>
                              <w:rPr>
                                <w:sz w:val="20"/>
                              </w:rPr>
                              <w:t>Pumps,</w:t>
                            </w:r>
                            <w:r>
                              <w:rPr>
                                <w:spacing w:val="-5"/>
                                <w:sz w:val="20"/>
                              </w:rPr>
                              <w:t xml:space="preserve"> </w:t>
                            </w:r>
                            <w:r>
                              <w:rPr>
                                <w:sz w:val="20"/>
                              </w:rPr>
                              <w:t>Chillers,</w:t>
                            </w:r>
                            <w:r>
                              <w:rPr>
                                <w:spacing w:val="-4"/>
                                <w:sz w:val="20"/>
                              </w:rPr>
                              <w:t xml:space="preserve"> </w:t>
                            </w:r>
                            <w:r>
                              <w:rPr>
                                <w:spacing w:val="-2"/>
                                <w:sz w:val="20"/>
                              </w:rPr>
                              <w:t>Energy</w:t>
                            </w:r>
                          </w:p>
                        </w:tc>
                        <w:tc>
                          <w:tcPr>
                            <w:tcW w:w="1324" w:type="dxa"/>
                          </w:tcPr>
                          <w:p w:rsidR="00C31389" w:rsidRDefault="00561FBD" w14:paraId="2BA432F4" w14:textId="77777777">
                            <w:pPr>
                              <w:pStyle w:val="TableParagraph"/>
                              <w:spacing w:before="0" w:line="210" w:lineRule="exact"/>
                              <w:ind w:left="430"/>
                              <w:rPr>
                                <w:sz w:val="20"/>
                              </w:rPr>
                            </w:pPr>
                            <w:r>
                              <w:rPr>
                                <w:spacing w:val="-5"/>
                                <w:sz w:val="20"/>
                              </w:rPr>
                              <w:t>22</w:t>
                            </w:r>
                          </w:p>
                        </w:tc>
                        <w:tc>
                          <w:tcPr>
                            <w:tcW w:w="1691" w:type="dxa"/>
                          </w:tcPr>
                          <w:p w:rsidR="00C31389" w:rsidRDefault="00561FBD" w14:paraId="554391EE" w14:textId="77777777">
                            <w:pPr>
                              <w:pStyle w:val="TableParagraph"/>
                              <w:spacing w:before="0" w:line="210" w:lineRule="exact"/>
                              <w:ind w:left="725"/>
                              <w:rPr>
                                <w:sz w:val="20"/>
                              </w:rPr>
                            </w:pPr>
                            <w:r>
                              <w:rPr>
                                <w:spacing w:val="-5"/>
                                <w:sz w:val="20"/>
                              </w:rPr>
                              <w:t>61</w:t>
                            </w:r>
                          </w:p>
                        </w:tc>
                      </w:tr>
                      <w:tr w:rsidR="00C31389" w14:paraId="2F2AD18F" w14:textId="77777777">
                        <w:trPr>
                          <w:trHeight w:val="266"/>
                        </w:trPr>
                        <w:tc>
                          <w:tcPr>
                            <w:tcW w:w="1483" w:type="dxa"/>
                          </w:tcPr>
                          <w:p w:rsidR="00C31389" w:rsidRDefault="00C31389" w14:paraId="35EDE02B" w14:textId="77777777">
                            <w:pPr>
                              <w:pStyle w:val="TableParagraph"/>
                              <w:spacing w:before="0"/>
                              <w:rPr>
                                <w:rFonts w:ascii="Times New Roman"/>
                                <w:sz w:val="18"/>
                              </w:rPr>
                            </w:pPr>
                          </w:p>
                        </w:tc>
                        <w:tc>
                          <w:tcPr>
                            <w:tcW w:w="1535" w:type="dxa"/>
                            <w:tcBorders>
                              <w:bottom w:val="single" w:color="D9D9D9" w:sz="2" w:space="0"/>
                            </w:tcBorders>
                          </w:tcPr>
                          <w:p w:rsidR="00C31389" w:rsidRDefault="00C31389" w14:paraId="01BD931D" w14:textId="77777777">
                            <w:pPr>
                              <w:pStyle w:val="TableParagraph"/>
                              <w:spacing w:before="0"/>
                              <w:rPr>
                                <w:rFonts w:ascii="Times New Roman"/>
                                <w:sz w:val="18"/>
                              </w:rPr>
                            </w:pPr>
                          </w:p>
                        </w:tc>
                        <w:tc>
                          <w:tcPr>
                            <w:tcW w:w="3341" w:type="dxa"/>
                            <w:tcBorders>
                              <w:bottom w:val="single" w:color="D9D9D9" w:sz="2" w:space="0"/>
                            </w:tcBorders>
                          </w:tcPr>
                          <w:p w:rsidR="00C31389" w:rsidRDefault="00561FBD" w14:paraId="60C16991" w14:textId="77777777">
                            <w:pPr>
                              <w:pStyle w:val="TableParagraph"/>
                              <w:spacing w:before="0" w:line="227" w:lineRule="exact"/>
                              <w:ind w:left="140"/>
                              <w:rPr>
                                <w:sz w:val="20"/>
                              </w:rPr>
                            </w:pPr>
                            <w:r>
                              <w:rPr>
                                <w:sz w:val="20"/>
                              </w:rPr>
                              <w:t>Management</w:t>
                            </w:r>
                            <w:r>
                              <w:rPr>
                                <w:spacing w:val="-6"/>
                                <w:sz w:val="20"/>
                              </w:rPr>
                              <w:t xml:space="preserve"> </w:t>
                            </w:r>
                            <w:r>
                              <w:rPr>
                                <w:sz w:val="20"/>
                              </w:rPr>
                              <w:t>Systems</w:t>
                            </w:r>
                            <w:r>
                              <w:rPr>
                                <w:spacing w:val="-5"/>
                                <w:sz w:val="20"/>
                              </w:rPr>
                              <w:t xml:space="preserve"> </w:t>
                            </w:r>
                            <w:r>
                              <w:rPr>
                                <w:spacing w:val="-2"/>
                                <w:sz w:val="20"/>
                              </w:rPr>
                              <w:t>(EMSs)</w:t>
                            </w:r>
                          </w:p>
                        </w:tc>
                        <w:tc>
                          <w:tcPr>
                            <w:tcW w:w="1324" w:type="dxa"/>
                            <w:tcBorders>
                              <w:bottom w:val="single" w:color="D9D9D9" w:sz="2" w:space="0"/>
                            </w:tcBorders>
                          </w:tcPr>
                          <w:p w:rsidR="00C31389" w:rsidRDefault="00C31389" w14:paraId="76FBDC0E"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37360A02" w14:textId="77777777">
                            <w:pPr>
                              <w:pStyle w:val="TableParagraph"/>
                              <w:spacing w:before="0"/>
                              <w:rPr>
                                <w:rFonts w:ascii="Times New Roman"/>
                                <w:sz w:val="18"/>
                              </w:rPr>
                            </w:pPr>
                          </w:p>
                        </w:tc>
                      </w:tr>
                      <w:tr w:rsidR="00C31389" w14:paraId="7B0580F0" w14:textId="77777777">
                        <w:trPr>
                          <w:trHeight w:val="274"/>
                        </w:trPr>
                        <w:tc>
                          <w:tcPr>
                            <w:tcW w:w="1483" w:type="dxa"/>
                          </w:tcPr>
                          <w:p w:rsidR="00C31389" w:rsidRDefault="00C31389" w14:paraId="18B624D5" w14:textId="77777777">
                            <w:pPr>
                              <w:pStyle w:val="TableParagraph"/>
                              <w:spacing w:before="0"/>
                              <w:rPr>
                                <w:rFonts w:ascii="Times New Roman"/>
                                <w:sz w:val="18"/>
                              </w:rPr>
                            </w:pPr>
                          </w:p>
                        </w:tc>
                        <w:tc>
                          <w:tcPr>
                            <w:tcW w:w="1535" w:type="dxa"/>
                            <w:tcBorders>
                              <w:top w:val="single" w:color="D9D9D9" w:sz="2" w:space="0"/>
                            </w:tcBorders>
                          </w:tcPr>
                          <w:p w:rsidR="00C31389" w:rsidRDefault="00C31389" w14:paraId="1EAFB69A" w14:textId="77777777">
                            <w:pPr>
                              <w:pStyle w:val="TableParagraph"/>
                              <w:spacing w:before="0"/>
                              <w:rPr>
                                <w:rFonts w:ascii="Times New Roman"/>
                                <w:sz w:val="18"/>
                              </w:rPr>
                            </w:pPr>
                          </w:p>
                        </w:tc>
                        <w:tc>
                          <w:tcPr>
                            <w:tcW w:w="3341" w:type="dxa"/>
                            <w:tcBorders>
                              <w:top w:val="single" w:color="D9D9D9" w:sz="2" w:space="0"/>
                            </w:tcBorders>
                          </w:tcPr>
                          <w:p w:rsidR="00C31389" w:rsidRDefault="00561FBD" w14:paraId="55FD06C3" w14:textId="77777777">
                            <w:pPr>
                              <w:pStyle w:val="TableParagraph"/>
                              <w:spacing w:before="41" w:line="213" w:lineRule="exact"/>
                              <w:ind w:left="140"/>
                              <w:rPr>
                                <w:sz w:val="20"/>
                              </w:rPr>
                            </w:pPr>
                            <w:r>
                              <w:rPr>
                                <w:sz w:val="20"/>
                              </w:rPr>
                              <w:t>High</w:t>
                            </w:r>
                            <w:r>
                              <w:rPr>
                                <w:spacing w:val="-3"/>
                                <w:sz w:val="20"/>
                              </w:rPr>
                              <w:t xml:space="preserve"> </w:t>
                            </w:r>
                            <w:r>
                              <w:rPr>
                                <w:sz w:val="20"/>
                              </w:rPr>
                              <w:t>and</w:t>
                            </w:r>
                            <w:r>
                              <w:rPr>
                                <w:spacing w:val="-2"/>
                                <w:sz w:val="20"/>
                              </w:rPr>
                              <w:t xml:space="preserve"> </w:t>
                            </w:r>
                            <w:r>
                              <w:rPr>
                                <w:sz w:val="20"/>
                              </w:rPr>
                              <w:t>Low</w:t>
                            </w:r>
                            <w:r>
                              <w:rPr>
                                <w:spacing w:val="-4"/>
                                <w:sz w:val="20"/>
                              </w:rPr>
                              <w:t xml:space="preserve"> </w:t>
                            </w:r>
                            <w:r>
                              <w:rPr>
                                <w:sz w:val="20"/>
                              </w:rPr>
                              <w:t>Bay</w:t>
                            </w:r>
                            <w:r>
                              <w:rPr>
                                <w:spacing w:val="-1"/>
                                <w:sz w:val="20"/>
                              </w:rPr>
                              <w:t xml:space="preserve"> </w:t>
                            </w:r>
                            <w:r>
                              <w:rPr>
                                <w:spacing w:val="-2"/>
                                <w:sz w:val="20"/>
                              </w:rPr>
                              <w:t>Fixtures,</w:t>
                            </w:r>
                          </w:p>
                        </w:tc>
                        <w:tc>
                          <w:tcPr>
                            <w:tcW w:w="1324" w:type="dxa"/>
                            <w:tcBorders>
                              <w:top w:val="single" w:color="D9D9D9" w:sz="2" w:space="0"/>
                            </w:tcBorders>
                          </w:tcPr>
                          <w:p w:rsidR="00C31389" w:rsidRDefault="00C31389" w14:paraId="66F9585B"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06BF7C05" w14:textId="77777777">
                            <w:pPr>
                              <w:pStyle w:val="TableParagraph"/>
                              <w:spacing w:before="0"/>
                              <w:rPr>
                                <w:rFonts w:ascii="Times New Roman"/>
                                <w:sz w:val="18"/>
                              </w:rPr>
                            </w:pPr>
                          </w:p>
                        </w:tc>
                      </w:tr>
                      <w:tr w:rsidR="00C31389" w14:paraId="2088E9F8" w14:textId="77777777">
                        <w:trPr>
                          <w:trHeight w:val="229"/>
                        </w:trPr>
                        <w:tc>
                          <w:tcPr>
                            <w:tcW w:w="1483" w:type="dxa"/>
                          </w:tcPr>
                          <w:p w:rsidR="00C31389" w:rsidRDefault="00C31389" w14:paraId="1D306F13" w14:textId="77777777">
                            <w:pPr>
                              <w:pStyle w:val="TableParagraph"/>
                              <w:spacing w:before="0"/>
                              <w:rPr>
                                <w:rFonts w:ascii="Times New Roman"/>
                                <w:sz w:val="16"/>
                              </w:rPr>
                            </w:pPr>
                          </w:p>
                        </w:tc>
                        <w:tc>
                          <w:tcPr>
                            <w:tcW w:w="1535" w:type="dxa"/>
                          </w:tcPr>
                          <w:p w:rsidR="00C31389" w:rsidRDefault="00561FBD" w14:paraId="6621F75A" w14:textId="77777777">
                            <w:pPr>
                              <w:pStyle w:val="TableParagraph"/>
                              <w:spacing w:before="0" w:line="210" w:lineRule="exact"/>
                              <w:ind w:left="115"/>
                              <w:rPr>
                                <w:sz w:val="20"/>
                              </w:rPr>
                            </w:pPr>
                            <w:r>
                              <w:rPr>
                                <w:spacing w:val="-2"/>
                                <w:sz w:val="20"/>
                              </w:rPr>
                              <w:t>Lighting</w:t>
                            </w:r>
                          </w:p>
                        </w:tc>
                        <w:tc>
                          <w:tcPr>
                            <w:tcW w:w="3341" w:type="dxa"/>
                          </w:tcPr>
                          <w:p w:rsidR="00C31389" w:rsidRDefault="00561FBD" w14:paraId="401B3487" w14:textId="77777777">
                            <w:pPr>
                              <w:pStyle w:val="TableParagraph"/>
                              <w:spacing w:before="0" w:line="210" w:lineRule="exact"/>
                              <w:ind w:left="140"/>
                              <w:rPr>
                                <w:sz w:val="20"/>
                              </w:rPr>
                            </w:pPr>
                            <w:r>
                              <w:rPr>
                                <w:sz w:val="20"/>
                              </w:rPr>
                              <w:t>Indoor</w:t>
                            </w:r>
                            <w:r>
                              <w:rPr>
                                <w:spacing w:val="-8"/>
                                <w:sz w:val="20"/>
                              </w:rPr>
                              <w:t xml:space="preserve"> </w:t>
                            </w:r>
                            <w:r>
                              <w:rPr>
                                <w:sz w:val="20"/>
                              </w:rPr>
                              <w:t>Reflector</w:t>
                            </w:r>
                            <w:r>
                              <w:rPr>
                                <w:spacing w:val="-3"/>
                                <w:sz w:val="20"/>
                              </w:rPr>
                              <w:t xml:space="preserve"> </w:t>
                            </w:r>
                            <w:r>
                              <w:rPr>
                                <w:spacing w:val="-2"/>
                                <w:sz w:val="20"/>
                              </w:rPr>
                              <w:t>Lamps,</w:t>
                            </w:r>
                          </w:p>
                        </w:tc>
                        <w:tc>
                          <w:tcPr>
                            <w:tcW w:w="1324" w:type="dxa"/>
                          </w:tcPr>
                          <w:p w:rsidR="00C31389" w:rsidRDefault="00561FBD" w14:paraId="6EBAEA0B" w14:textId="77777777">
                            <w:pPr>
                              <w:pStyle w:val="TableParagraph"/>
                              <w:spacing w:before="0" w:line="210" w:lineRule="exact"/>
                              <w:ind w:left="485"/>
                              <w:rPr>
                                <w:sz w:val="20"/>
                              </w:rPr>
                            </w:pPr>
                            <w:r>
                              <w:rPr>
                                <w:sz w:val="20"/>
                              </w:rPr>
                              <w:t>7</w:t>
                            </w:r>
                          </w:p>
                        </w:tc>
                        <w:tc>
                          <w:tcPr>
                            <w:tcW w:w="1691" w:type="dxa"/>
                          </w:tcPr>
                          <w:p w:rsidR="00C31389" w:rsidRDefault="00561FBD" w14:paraId="13B1A162" w14:textId="77777777">
                            <w:pPr>
                              <w:pStyle w:val="TableParagraph"/>
                              <w:spacing w:before="0" w:line="210" w:lineRule="exact"/>
                              <w:ind w:left="725"/>
                              <w:rPr>
                                <w:sz w:val="20"/>
                              </w:rPr>
                            </w:pPr>
                            <w:r>
                              <w:rPr>
                                <w:spacing w:val="-5"/>
                                <w:sz w:val="20"/>
                              </w:rPr>
                              <w:t>20</w:t>
                            </w:r>
                          </w:p>
                        </w:tc>
                      </w:tr>
                      <w:tr w:rsidR="00C31389" w14:paraId="60583E96" w14:textId="77777777">
                        <w:trPr>
                          <w:trHeight w:val="266"/>
                        </w:trPr>
                        <w:tc>
                          <w:tcPr>
                            <w:tcW w:w="1483" w:type="dxa"/>
                          </w:tcPr>
                          <w:p w:rsidR="00C31389" w:rsidRDefault="00C31389" w14:paraId="3F849FDE" w14:textId="77777777">
                            <w:pPr>
                              <w:pStyle w:val="TableParagraph"/>
                              <w:spacing w:before="0"/>
                              <w:rPr>
                                <w:rFonts w:ascii="Times New Roman"/>
                                <w:sz w:val="18"/>
                              </w:rPr>
                            </w:pPr>
                          </w:p>
                        </w:tc>
                        <w:tc>
                          <w:tcPr>
                            <w:tcW w:w="1535" w:type="dxa"/>
                            <w:tcBorders>
                              <w:bottom w:val="single" w:color="D9D9D9" w:sz="2" w:space="0"/>
                            </w:tcBorders>
                          </w:tcPr>
                          <w:p w:rsidR="00C31389" w:rsidRDefault="00C31389" w14:paraId="5DF5DA25" w14:textId="77777777">
                            <w:pPr>
                              <w:pStyle w:val="TableParagraph"/>
                              <w:spacing w:before="0"/>
                              <w:rPr>
                                <w:rFonts w:ascii="Times New Roman"/>
                                <w:sz w:val="18"/>
                              </w:rPr>
                            </w:pPr>
                          </w:p>
                        </w:tc>
                        <w:tc>
                          <w:tcPr>
                            <w:tcW w:w="3341" w:type="dxa"/>
                            <w:tcBorders>
                              <w:bottom w:val="single" w:color="D9D9D9" w:sz="2" w:space="0"/>
                            </w:tcBorders>
                          </w:tcPr>
                          <w:p w:rsidR="00C31389" w:rsidRDefault="00561FBD" w14:paraId="3BBE96C2" w14:textId="77777777">
                            <w:pPr>
                              <w:pStyle w:val="TableParagraph"/>
                              <w:spacing w:before="0" w:line="227" w:lineRule="exact"/>
                              <w:ind w:left="140"/>
                              <w:rPr>
                                <w:sz w:val="20"/>
                              </w:rPr>
                            </w:pPr>
                            <w:r>
                              <w:rPr>
                                <w:sz w:val="20"/>
                              </w:rPr>
                              <w:t>Lighting</w:t>
                            </w:r>
                            <w:r>
                              <w:rPr>
                                <w:spacing w:val="-5"/>
                                <w:sz w:val="20"/>
                              </w:rPr>
                              <w:t xml:space="preserve"> </w:t>
                            </w:r>
                            <w:r>
                              <w:rPr>
                                <w:spacing w:val="-2"/>
                                <w:sz w:val="20"/>
                              </w:rPr>
                              <w:t>Controls</w:t>
                            </w:r>
                          </w:p>
                        </w:tc>
                        <w:tc>
                          <w:tcPr>
                            <w:tcW w:w="1324" w:type="dxa"/>
                            <w:tcBorders>
                              <w:bottom w:val="single" w:color="D9D9D9" w:sz="2" w:space="0"/>
                            </w:tcBorders>
                          </w:tcPr>
                          <w:p w:rsidR="00C31389" w:rsidRDefault="00C31389" w14:paraId="19AA57BC" w14:textId="77777777">
                            <w:pPr>
                              <w:pStyle w:val="TableParagraph"/>
                              <w:spacing w:before="0"/>
                              <w:rPr>
                                <w:rFonts w:ascii="Times New Roman"/>
                                <w:sz w:val="18"/>
                              </w:rPr>
                            </w:pPr>
                          </w:p>
                        </w:tc>
                        <w:tc>
                          <w:tcPr>
                            <w:tcW w:w="1691" w:type="dxa"/>
                            <w:tcBorders>
                              <w:bottom w:val="single" w:color="D9D9D9" w:sz="2" w:space="0"/>
                            </w:tcBorders>
                          </w:tcPr>
                          <w:p w:rsidR="00C31389" w:rsidRDefault="00C31389" w14:paraId="36F4972C" w14:textId="77777777">
                            <w:pPr>
                              <w:pStyle w:val="TableParagraph"/>
                              <w:spacing w:before="0"/>
                              <w:rPr>
                                <w:rFonts w:ascii="Times New Roman"/>
                                <w:sz w:val="18"/>
                              </w:rPr>
                            </w:pPr>
                          </w:p>
                        </w:tc>
                      </w:tr>
                      <w:tr w:rsidR="00C31389" w14:paraId="07193B61" w14:textId="77777777">
                        <w:trPr>
                          <w:trHeight w:val="273"/>
                        </w:trPr>
                        <w:tc>
                          <w:tcPr>
                            <w:tcW w:w="1483" w:type="dxa"/>
                          </w:tcPr>
                          <w:p w:rsidR="00C31389" w:rsidRDefault="00C31389" w14:paraId="3465E4E6" w14:textId="77777777">
                            <w:pPr>
                              <w:pStyle w:val="TableParagraph"/>
                              <w:spacing w:before="0"/>
                              <w:rPr>
                                <w:rFonts w:ascii="Times New Roman"/>
                                <w:sz w:val="18"/>
                              </w:rPr>
                            </w:pPr>
                          </w:p>
                        </w:tc>
                        <w:tc>
                          <w:tcPr>
                            <w:tcW w:w="1535" w:type="dxa"/>
                            <w:tcBorders>
                              <w:top w:val="single" w:color="D9D9D9" w:sz="2" w:space="0"/>
                            </w:tcBorders>
                          </w:tcPr>
                          <w:p w:rsidR="00C31389" w:rsidRDefault="00C31389" w14:paraId="440B0E51" w14:textId="77777777">
                            <w:pPr>
                              <w:pStyle w:val="TableParagraph"/>
                              <w:spacing w:before="0"/>
                              <w:rPr>
                                <w:rFonts w:ascii="Times New Roman"/>
                                <w:sz w:val="18"/>
                              </w:rPr>
                            </w:pPr>
                          </w:p>
                        </w:tc>
                        <w:tc>
                          <w:tcPr>
                            <w:tcW w:w="3341" w:type="dxa"/>
                            <w:tcBorders>
                              <w:top w:val="single" w:color="D9D9D9" w:sz="2" w:space="0"/>
                            </w:tcBorders>
                          </w:tcPr>
                          <w:p w:rsidR="00C31389" w:rsidRDefault="00561FBD" w14:paraId="77310D31" w14:textId="77777777">
                            <w:pPr>
                              <w:pStyle w:val="TableParagraph"/>
                              <w:spacing w:line="213" w:lineRule="exact"/>
                              <w:ind w:left="140"/>
                              <w:rPr>
                                <w:sz w:val="20"/>
                              </w:rPr>
                            </w:pPr>
                            <w:r>
                              <w:rPr>
                                <w:sz w:val="20"/>
                              </w:rPr>
                              <w:t>Storage</w:t>
                            </w:r>
                            <w:r>
                              <w:rPr>
                                <w:spacing w:val="-5"/>
                                <w:sz w:val="20"/>
                              </w:rPr>
                              <w:t xml:space="preserve"> </w:t>
                            </w:r>
                            <w:r>
                              <w:rPr>
                                <w:sz w:val="20"/>
                              </w:rPr>
                              <w:t>Water</w:t>
                            </w:r>
                            <w:r>
                              <w:rPr>
                                <w:spacing w:val="-3"/>
                                <w:sz w:val="20"/>
                              </w:rPr>
                              <w:t xml:space="preserve"> </w:t>
                            </w:r>
                            <w:r>
                              <w:rPr>
                                <w:sz w:val="20"/>
                              </w:rPr>
                              <w:t>Heaters,</w:t>
                            </w:r>
                            <w:r>
                              <w:rPr>
                                <w:spacing w:val="-4"/>
                                <w:sz w:val="20"/>
                              </w:rPr>
                              <w:t xml:space="preserve"> </w:t>
                            </w:r>
                            <w:r>
                              <w:rPr>
                                <w:spacing w:val="-2"/>
                                <w:sz w:val="20"/>
                              </w:rPr>
                              <w:t>Faucet</w:t>
                            </w:r>
                          </w:p>
                        </w:tc>
                        <w:tc>
                          <w:tcPr>
                            <w:tcW w:w="1324" w:type="dxa"/>
                            <w:tcBorders>
                              <w:top w:val="single" w:color="D9D9D9" w:sz="2" w:space="0"/>
                            </w:tcBorders>
                          </w:tcPr>
                          <w:p w:rsidR="00C31389" w:rsidRDefault="00C31389" w14:paraId="2FD413DA" w14:textId="77777777">
                            <w:pPr>
                              <w:pStyle w:val="TableParagraph"/>
                              <w:spacing w:before="0"/>
                              <w:rPr>
                                <w:rFonts w:ascii="Times New Roman"/>
                                <w:sz w:val="18"/>
                              </w:rPr>
                            </w:pPr>
                          </w:p>
                        </w:tc>
                        <w:tc>
                          <w:tcPr>
                            <w:tcW w:w="1691" w:type="dxa"/>
                            <w:tcBorders>
                              <w:top w:val="single" w:color="D9D9D9" w:sz="2" w:space="0"/>
                            </w:tcBorders>
                          </w:tcPr>
                          <w:p w:rsidR="00C31389" w:rsidRDefault="00C31389" w14:paraId="760A6031" w14:textId="77777777">
                            <w:pPr>
                              <w:pStyle w:val="TableParagraph"/>
                              <w:spacing w:before="0"/>
                              <w:rPr>
                                <w:rFonts w:ascii="Times New Roman"/>
                                <w:sz w:val="18"/>
                              </w:rPr>
                            </w:pPr>
                          </w:p>
                        </w:tc>
                      </w:tr>
                      <w:tr w:rsidR="00C31389" w14:paraId="68937770" w14:textId="77777777">
                        <w:trPr>
                          <w:trHeight w:val="230"/>
                        </w:trPr>
                        <w:tc>
                          <w:tcPr>
                            <w:tcW w:w="1483" w:type="dxa"/>
                          </w:tcPr>
                          <w:p w:rsidR="00C31389" w:rsidRDefault="00C31389" w14:paraId="6E07AA37" w14:textId="77777777">
                            <w:pPr>
                              <w:pStyle w:val="TableParagraph"/>
                              <w:spacing w:before="0"/>
                              <w:rPr>
                                <w:rFonts w:ascii="Times New Roman"/>
                                <w:sz w:val="16"/>
                              </w:rPr>
                            </w:pPr>
                          </w:p>
                        </w:tc>
                        <w:tc>
                          <w:tcPr>
                            <w:tcW w:w="1535" w:type="dxa"/>
                          </w:tcPr>
                          <w:p w:rsidR="00C31389" w:rsidRDefault="00561FBD" w14:paraId="3719DFBD" w14:textId="77777777">
                            <w:pPr>
                              <w:pStyle w:val="TableParagraph"/>
                              <w:spacing w:before="0" w:line="210" w:lineRule="exact"/>
                              <w:ind w:left="115"/>
                              <w:rPr>
                                <w:sz w:val="20"/>
                              </w:rPr>
                            </w:pPr>
                            <w:r>
                              <w:rPr>
                                <w:sz w:val="20"/>
                              </w:rPr>
                              <w:t>Water</w:t>
                            </w:r>
                            <w:r>
                              <w:rPr>
                                <w:spacing w:val="-5"/>
                                <w:sz w:val="20"/>
                              </w:rPr>
                              <w:t xml:space="preserve"> </w:t>
                            </w:r>
                            <w:r>
                              <w:rPr>
                                <w:spacing w:val="-2"/>
                                <w:sz w:val="20"/>
                              </w:rPr>
                              <w:t>Heating</w:t>
                            </w:r>
                          </w:p>
                        </w:tc>
                        <w:tc>
                          <w:tcPr>
                            <w:tcW w:w="3341" w:type="dxa"/>
                          </w:tcPr>
                          <w:p w:rsidR="00C31389" w:rsidRDefault="00561FBD" w14:paraId="76A934E4" w14:textId="77777777">
                            <w:pPr>
                              <w:pStyle w:val="TableParagraph"/>
                              <w:spacing w:before="0" w:line="210" w:lineRule="exact"/>
                              <w:ind w:left="140"/>
                              <w:rPr>
                                <w:sz w:val="20"/>
                              </w:rPr>
                            </w:pPr>
                            <w:r>
                              <w:rPr>
                                <w:sz w:val="20"/>
                              </w:rPr>
                              <w:t>Aerators,</w:t>
                            </w:r>
                            <w:r>
                              <w:rPr>
                                <w:spacing w:val="-5"/>
                                <w:sz w:val="20"/>
                              </w:rPr>
                              <w:t xml:space="preserve"> </w:t>
                            </w:r>
                            <w:r>
                              <w:rPr>
                                <w:sz w:val="20"/>
                              </w:rPr>
                              <w:t>Pre-Rinse</w:t>
                            </w:r>
                            <w:r>
                              <w:rPr>
                                <w:spacing w:val="-5"/>
                                <w:sz w:val="20"/>
                              </w:rPr>
                              <w:t xml:space="preserve"> </w:t>
                            </w:r>
                            <w:r>
                              <w:rPr>
                                <w:spacing w:val="-2"/>
                                <w:sz w:val="20"/>
                              </w:rPr>
                              <w:t>Spray</w:t>
                            </w:r>
                          </w:p>
                        </w:tc>
                        <w:tc>
                          <w:tcPr>
                            <w:tcW w:w="1324" w:type="dxa"/>
                          </w:tcPr>
                          <w:p w:rsidR="00C31389" w:rsidRDefault="00561FBD" w14:paraId="545F09DC" w14:textId="77777777">
                            <w:pPr>
                              <w:pStyle w:val="TableParagraph"/>
                              <w:spacing w:before="0" w:line="210" w:lineRule="exact"/>
                              <w:ind w:left="430"/>
                              <w:rPr>
                                <w:sz w:val="20"/>
                              </w:rPr>
                            </w:pPr>
                            <w:r>
                              <w:rPr>
                                <w:spacing w:val="-5"/>
                                <w:sz w:val="20"/>
                              </w:rPr>
                              <w:t>10</w:t>
                            </w:r>
                          </w:p>
                        </w:tc>
                        <w:tc>
                          <w:tcPr>
                            <w:tcW w:w="1691" w:type="dxa"/>
                          </w:tcPr>
                          <w:p w:rsidR="00C31389" w:rsidRDefault="00561FBD" w14:paraId="5D0A20A6" w14:textId="77777777">
                            <w:pPr>
                              <w:pStyle w:val="TableParagraph"/>
                              <w:spacing w:before="0" w:line="210" w:lineRule="exact"/>
                              <w:ind w:left="725"/>
                              <w:rPr>
                                <w:sz w:val="20"/>
                              </w:rPr>
                            </w:pPr>
                            <w:r>
                              <w:rPr>
                                <w:spacing w:val="-5"/>
                                <w:sz w:val="20"/>
                              </w:rPr>
                              <w:t>23</w:t>
                            </w:r>
                          </w:p>
                        </w:tc>
                      </w:tr>
                      <w:tr w:rsidR="00C31389" w14:paraId="695F6240" w14:textId="77777777">
                        <w:trPr>
                          <w:trHeight w:val="266"/>
                        </w:trPr>
                        <w:tc>
                          <w:tcPr>
                            <w:tcW w:w="1483" w:type="dxa"/>
                          </w:tcPr>
                          <w:p w:rsidR="00C31389" w:rsidRDefault="00C31389" w14:paraId="7C59FC8B" w14:textId="77777777">
                            <w:pPr>
                              <w:pStyle w:val="TableParagraph"/>
                              <w:spacing w:before="0"/>
                              <w:rPr>
                                <w:rFonts w:ascii="Times New Roman"/>
                                <w:sz w:val="18"/>
                              </w:rPr>
                            </w:pPr>
                          </w:p>
                        </w:tc>
                        <w:tc>
                          <w:tcPr>
                            <w:tcW w:w="1535" w:type="dxa"/>
                            <w:tcBorders>
                              <w:bottom w:val="single" w:color="000000" w:sz="4" w:space="0"/>
                            </w:tcBorders>
                          </w:tcPr>
                          <w:p w:rsidR="00C31389" w:rsidRDefault="00C31389" w14:paraId="233A602D" w14:textId="77777777">
                            <w:pPr>
                              <w:pStyle w:val="TableParagraph"/>
                              <w:spacing w:before="0"/>
                              <w:rPr>
                                <w:rFonts w:ascii="Times New Roman"/>
                                <w:sz w:val="18"/>
                              </w:rPr>
                            </w:pPr>
                          </w:p>
                        </w:tc>
                        <w:tc>
                          <w:tcPr>
                            <w:tcW w:w="3341" w:type="dxa"/>
                            <w:tcBorders>
                              <w:bottom w:val="single" w:color="000000" w:sz="4" w:space="0"/>
                            </w:tcBorders>
                          </w:tcPr>
                          <w:p w:rsidR="00C31389" w:rsidRDefault="00561FBD" w14:paraId="1188659C" w14:textId="77777777">
                            <w:pPr>
                              <w:pStyle w:val="TableParagraph"/>
                              <w:spacing w:before="0" w:line="227" w:lineRule="exact"/>
                              <w:ind w:left="140"/>
                              <w:rPr>
                                <w:sz w:val="20"/>
                              </w:rPr>
                            </w:pPr>
                            <w:r>
                              <w:rPr>
                                <w:spacing w:val="-2"/>
                                <w:sz w:val="20"/>
                              </w:rPr>
                              <w:t>Valves</w:t>
                            </w:r>
                          </w:p>
                        </w:tc>
                        <w:tc>
                          <w:tcPr>
                            <w:tcW w:w="1324" w:type="dxa"/>
                            <w:tcBorders>
                              <w:bottom w:val="single" w:color="000000" w:sz="4" w:space="0"/>
                            </w:tcBorders>
                          </w:tcPr>
                          <w:p w:rsidR="00C31389" w:rsidRDefault="00C31389" w14:paraId="38AEBB2F" w14:textId="77777777">
                            <w:pPr>
                              <w:pStyle w:val="TableParagraph"/>
                              <w:spacing w:before="0"/>
                              <w:rPr>
                                <w:rFonts w:ascii="Times New Roman"/>
                                <w:sz w:val="18"/>
                              </w:rPr>
                            </w:pPr>
                          </w:p>
                        </w:tc>
                        <w:tc>
                          <w:tcPr>
                            <w:tcW w:w="1691" w:type="dxa"/>
                            <w:tcBorders>
                              <w:bottom w:val="single" w:color="000000" w:sz="4" w:space="0"/>
                            </w:tcBorders>
                          </w:tcPr>
                          <w:p w:rsidR="00C31389" w:rsidRDefault="00C31389" w14:paraId="224FC5AE" w14:textId="77777777">
                            <w:pPr>
                              <w:pStyle w:val="TableParagraph"/>
                              <w:spacing w:before="0"/>
                              <w:rPr>
                                <w:rFonts w:ascii="Times New Roman"/>
                                <w:sz w:val="18"/>
                              </w:rPr>
                            </w:pPr>
                          </w:p>
                        </w:tc>
                      </w:tr>
                      <w:tr w:rsidR="00C31389" w14:paraId="063F6E4A" w14:textId="77777777">
                        <w:trPr>
                          <w:trHeight w:val="310"/>
                        </w:trPr>
                        <w:tc>
                          <w:tcPr>
                            <w:tcW w:w="1483" w:type="dxa"/>
                            <w:tcBorders>
                              <w:bottom w:val="single" w:color="000000" w:sz="8" w:space="0"/>
                            </w:tcBorders>
                          </w:tcPr>
                          <w:p w:rsidR="00C31389" w:rsidRDefault="00C31389" w14:paraId="0B491A61" w14:textId="77777777">
                            <w:pPr>
                              <w:pStyle w:val="TableParagraph"/>
                              <w:spacing w:before="0"/>
                              <w:rPr>
                                <w:rFonts w:ascii="Times New Roman"/>
                                <w:sz w:val="18"/>
                              </w:rPr>
                            </w:pPr>
                          </w:p>
                        </w:tc>
                        <w:tc>
                          <w:tcPr>
                            <w:tcW w:w="1535" w:type="dxa"/>
                            <w:tcBorders>
                              <w:top w:val="single" w:color="000000" w:sz="4" w:space="0"/>
                              <w:bottom w:val="single" w:color="000000" w:sz="8" w:space="0"/>
                            </w:tcBorders>
                          </w:tcPr>
                          <w:p w:rsidR="00C31389" w:rsidRDefault="00561FBD" w14:paraId="0E85A8A6" w14:textId="77777777">
                            <w:pPr>
                              <w:pStyle w:val="TableParagraph"/>
                              <w:ind w:left="115"/>
                              <w:rPr>
                                <w:b/>
                                <w:sz w:val="20"/>
                              </w:rPr>
                            </w:pPr>
                            <w:r>
                              <w:rPr>
                                <w:b/>
                                <w:spacing w:val="-2"/>
                                <w:sz w:val="20"/>
                              </w:rPr>
                              <w:t>Total</w:t>
                            </w:r>
                          </w:p>
                        </w:tc>
                        <w:tc>
                          <w:tcPr>
                            <w:tcW w:w="3341" w:type="dxa"/>
                            <w:tcBorders>
                              <w:top w:val="single" w:color="000000" w:sz="4" w:space="0"/>
                              <w:bottom w:val="single" w:color="000000" w:sz="8" w:space="0"/>
                            </w:tcBorders>
                          </w:tcPr>
                          <w:p w:rsidR="00C31389" w:rsidRDefault="00C31389" w14:paraId="38A39EA1" w14:textId="77777777">
                            <w:pPr>
                              <w:pStyle w:val="TableParagraph"/>
                              <w:spacing w:before="0"/>
                              <w:rPr>
                                <w:rFonts w:ascii="Times New Roman"/>
                                <w:sz w:val="18"/>
                              </w:rPr>
                            </w:pPr>
                          </w:p>
                        </w:tc>
                        <w:tc>
                          <w:tcPr>
                            <w:tcW w:w="1324" w:type="dxa"/>
                            <w:tcBorders>
                              <w:top w:val="single" w:color="000000" w:sz="4" w:space="0"/>
                              <w:bottom w:val="single" w:color="000000" w:sz="8" w:space="0"/>
                            </w:tcBorders>
                          </w:tcPr>
                          <w:p w:rsidR="00C31389" w:rsidRDefault="00561FBD" w14:paraId="78095469" w14:textId="77777777">
                            <w:pPr>
                              <w:pStyle w:val="TableParagraph"/>
                              <w:ind w:left="430"/>
                              <w:rPr>
                                <w:b/>
                                <w:sz w:val="20"/>
                              </w:rPr>
                            </w:pPr>
                            <w:r>
                              <w:rPr>
                                <w:b/>
                                <w:spacing w:val="-5"/>
                                <w:sz w:val="20"/>
                              </w:rPr>
                              <w:t>73</w:t>
                            </w:r>
                          </w:p>
                        </w:tc>
                        <w:tc>
                          <w:tcPr>
                            <w:tcW w:w="1691" w:type="dxa"/>
                            <w:tcBorders>
                              <w:top w:val="single" w:color="000000" w:sz="4" w:space="0"/>
                              <w:bottom w:val="single" w:color="000000" w:sz="8" w:space="0"/>
                            </w:tcBorders>
                          </w:tcPr>
                          <w:p w:rsidR="00C31389" w:rsidRDefault="00561FBD" w14:paraId="18F83CC1" w14:textId="77777777">
                            <w:pPr>
                              <w:pStyle w:val="TableParagraph"/>
                              <w:ind w:left="670"/>
                              <w:rPr>
                                <w:b/>
                                <w:sz w:val="20"/>
                              </w:rPr>
                            </w:pPr>
                            <w:r>
                              <w:rPr>
                                <w:b/>
                                <w:spacing w:val="-5"/>
                                <w:sz w:val="20"/>
                              </w:rPr>
                              <w:t>182</w:t>
                            </w:r>
                          </w:p>
                        </w:tc>
                      </w:tr>
                    </w:tbl>
                    <w:p w:rsidR="00C31389" w:rsidRDefault="00C31389" w14:paraId="4A76CCDF" w14:textId="77777777">
                      <w:pPr>
                        <w:pStyle w:val="BodyText"/>
                      </w:pPr>
                    </w:p>
                  </w:txbxContent>
                </v:textbox>
                <w10:wrap anchorx="page"/>
              </v:shape>
            </w:pict>
          </mc:Fallback>
        </mc:AlternateContent>
      </w:r>
      <w:r>
        <w:rPr>
          <w:b/>
          <w:spacing w:val="-2"/>
          <w:sz w:val="20"/>
        </w:rPr>
        <w:t>Total</w:t>
      </w:r>
      <w:r>
        <w:rPr>
          <w:b/>
          <w:sz w:val="20"/>
        </w:rPr>
        <w:tab/>
      </w:r>
      <w:r>
        <w:rPr>
          <w:b/>
          <w:spacing w:val="-5"/>
          <w:sz w:val="20"/>
        </w:rPr>
        <w:t>60</w:t>
      </w:r>
      <w:r>
        <w:rPr>
          <w:b/>
          <w:sz w:val="20"/>
        </w:rPr>
        <w:tab/>
      </w:r>
      <w:r>
        <w:rPr>
          <w:b/>
          <w:spacing w:val="-5"/>
          <w:sz w:val="20"/>
        </w:rPr>
        <w:t>174</w:t>
      </w:r>
    </w:p>
    <w:p w:rsidR="00C31389" w:rsidRDefault="00C31389" w14:paraId="6FEC141D" w14:textId="77777777">
      <w:pPr>
        <w:pStyle w:val="BodyText"/>
        <w:rPr>
          <w:b/>
        </w:rPr>
      </w:pPr>
    </w:p>
    <w:p w:rsidR="00C31389" w:rsidRDefault="00C31389" w14:paraId="4ECC9073" w14:textId="77777777">
      <w:pPr>
        <w:pStyle w:val="BodyText"/>
        <w:rPr>
          <w:b/>
        </w:rPr>
      </w:pPr>
    </w:p>
    <w:p w:rsidR="00C31389" w:rsidRDefault="00C31389" w14:paraId="18CE659E" w14:textId="77777777">
      <w:pPr>
        <w:pStyle w:val="BodyText"/>
        <w:spacing w:before="10"/>
        <w:rPr>
          <w:b/>
          <w:sz w:val="26"/>
        </w:rPr>
      </w:pPr>
    </w:p>
    <w:p w:rsidR="00C31389" w:rsidRDefault="00561FBD" w14:paraId="411D3012" w14:textId="77777777">
      <w:pPr>
        <w:ind w:left="2063"/>
        <w:rPr>
          <w:sz w:val="20"/>
        </w:rPr>
      </w:pPr>
      <w:r>
        <w:rPr>
          <w:spacing w:val="-2"/>
          <w:sz w:val="20"/>
        </w:rPr>
        <w:t>Envelope</w:t>
      </w:r>
    </w:p>
    <w:p w:rsidR="00C31389" w:rsidRDefault="00C31389" w14:paraId="17C9FBEE" w14:textId="77777777">
      <w:pPr>
        <w:pStyle w:val="BodyText"/>
      </w:pPr>
    </w:p>
    <w:p w:rsidR="00C31389" w:rsidRDefault="00C31389" w14:paraId="3AD2A7B0" w14:textId="77777777">
      <w:pPr>
        <w:pStyle w:val="BodyText"/>
      </w:pPr>
    </w:p>
    <w:p w:rsidR="00C31389" w:rsidRDefault="00C31389" w14:paraId="3E77D6B1" w14:textId="77777777">
      <w:pPr>
        <w:pStyle w:val="BodyText"/>
      </w:pPr>
    </w:p>
    <w:p w:rsidR="00C31389" w:rsidRDefault="00C31389" w14:paraId="16741048" w14:textId="77777777">
      <w:pPr>
        <w:pStyle w:val="BodyText"/>
      </w:pPr>
    </w:p>
    <w:p w:rsidR="00C31389" w:rsidRDefault="00C31389" w14:paraId="7DA154AC" w14:textId="77777777">
      <w:pPr>
        <w:pStyle w:val="BodyText"/>
      </w:pPr>
    </w:p>
    <w:p w:rsidR="00C31389" w:rsidRDefault="00C31389" w14:paraId="313A455E" w14:textId="77777777">
      <w:pPr>
        <w:pStyle w:val="BodyText"/>
      </w:pPr>
    </w:p>
    <w:p w:rsidR="00C31389" w:rsidRDefault="00C31389" w14:paraId="2383FCCB" w14:textId="77777777">
      <w:pPr>
        <w:pStyle w:val="BodyText"/>
      </w:pPr>
    </w:p>
    <w:p w:rsidR="00C31389" w:rsidRDefault="00C31389" w14:paraId="1985C2D4" w14:textId="77777777">
      <w:pPr>
        <w:pStyle w:val="BodyText"/>
      </w:pPr>
    </w:p>
    <w:p w:rsidR="00C31389" w:rsidRDefault="00C31389" w14:paraId="3B8FF2A4" w14:textId="77777777">
      <w:pPr>
        <w:pStyle w:val="BodyText"/>
      </w:pPr>
    </w:p>
    <w:p w:rsidR="00C31389" w:rsidRDefault="00C31389" w14:paraId="1C5C5D30" w14:textId="77777777">
      <w:pPr>
        <w:pStyle w:val="BodyText"/>
      </w:pPr>
    </w:p>
    <w:p w:rsidR="00C31389" w:rsidRDefault="00C31389" w14:paraId="1E6FCB96" w14:textId="77777777">
      <w:pPr>
        <w:pStyle w:val="BodyText"/>
      </w:pPr>
    </w:p>
    <w:p w:rsidR="00C31389" w:rsidRDefault="00C31389" w14:paraId="41E20878" w14:textId="77777777">
      <w:pPr>
        <w:pStyle w:val="BodyText"/>
      </w:pPr>
    </w:p>
    <w:p w:rsidR="00C31389" w:rsidRDefault="00C31389" w14:paraId="176BA84E" w14:textId="77777777">
      <w:pPr>
        <w:pStyle w:val="BodyText"/>
      </w:pPr>
    </w:p>
    <w:p w:rsidR="00C31389" w:rsidRDefault="00C31389" w14:paraId="18248178" w14:textId="77777777">
      <w:pPr>
        <w:pStyle w:val="BodyText"/>
      </w:pPr>
    </w:p>
    <w:p w:rsidR="00C31389" w:rsidRDefault="00C31389" w14:paraId="4B8796DC" w14:textId="77777777">
      <w:pPr>
        <w:pStyle w:val="BodyText"/>
      </w:pPr>
    </w:p>
    <w:p w:rsidR="00C31389" w:rsidRDefault="00C31389" w14:paraId="2BB34D97" w14:textId="77777777">
      <w:pPr>
        <w:pStyle w:val="BodyText"/>
      </w:pPr>
    </w:p>
    <w:p w:rsidR="00C31389" w:rsidRDefault="00C31389" w14:paraId="18B46144" w14:textId="77777777">
      <w:pPr>
        <w:pStyle w:val="BodyText"/>
      </w:pPr>
    </w:p>
    <w:p w:rsidR="00C31389" w:rsidRDefault="00C31389" w14:paraId="5B042526" w14:textId="77777777">
      <w:pPr>
        <w:pStyle w:val="BodyText"/>
      </w:pPr>
    </w:p>
    <w:p w:rsidR="00C31389" w:rsidRDefault="00C31389" w14:paraId="49120C87" w14:textId="77777777">
      <w:pPr>
        <w:pStyle w:val="BodyText"/>
        <w:spacing w:before="1"/>
        <w:rPr>
          <w:sz w:val="23"/>
        </w:rPr>
      </w:pPr>
    </w:p>
    <w:p w:rsidR="00C31389" w:rsidRDefault="00561FBD" w14:paraId="54777C32" w14:textId="77777777">
      <w:pPr>
        <w:ind w:left="480"/>
        <w:rPr>
          <w:sz w:val="18"/>
        </w:rPr>
      </w:pPr>
      <w:r>
        <w:rPr>
          <w:sz w:val="18"/>
        </w:rPr>
        <w:t>*The</w:t>
      </w:r>
      <w:r>
        <w:rPr>
          <w:spacing w:val="-6"/>
          <w:sz w:val="18"/>
        </w:rPr>
        <w:t xml:space="preserve"> </w:t>
      </w:r>
      <w:r>
        <w:rPr>
          <w:sz w:val="18"/>
        </w:rPr>
        <w:t>complete</w:t>
      </w:r>
      <w:r>
        <w:rPr>
          <w:spacing w:val="-1"/>
          <w:sz w:val="18"/>
        </w:rPr>
        <w:t xml:space="preserve"> </w:t>
      </w:r>
      <w:r>
        <w:rPr>
          <w:sz w:val="18"/>
        </w:rPr>
        <w:t>list</w:t>
      </w:r>
      <w:r>
        <w:rPr>
          <w:spacing w:val="-3"/>
          <w:sz w:val="18"/>
        </w:rPr>
        <w:t xml:space="preserve"> </w:t>
      </w:r>
      <w:r>
        <w:rPr>
          <w:sz w:val="18"/>
        </w:rPr>
        <w:t>of</w:t>
      </w:r>
      <w:r>
        <w:rPr>
          <w:spacing w:val="-3"/>
          <w:sz w:val="18"/>
        </w:rPr>
        <w:t xml:space="preserve"> </w:t>
      </w:r>
      <w:r>
        <w:rPr>
          <w:sz w:val="18"/>
        </w:rPr>
        <w:t>technology</w:t>
      </w:r>
      <w:r>
        <w:rPr>
          <w:spacing w:val="-2"/>
          <w:sz w:val="18"/>
        </w:rPr>
        <w:t xml:space="preserve"> </w:t>
      </w:r>
      <w:r>
        <w:rPr>
          <w:sz w:val="18"/>
        </w:rPr>
        <w:t>groups</w:t>
      </w:r>
      <w:r>
        <w:rPr>
          <w:spacing w:val="-3"/>
          <w:sz w:val="18"/>
        </w:rPr>
        <w:t xml:space="preserve"> </w:t>
      </w:r>
      <w:r>
        <w:rPr>
          <w:sz w:val="18"/>
        </w:rPr>
        <w:t>is</w:t>
      </w:r>
      <w:r>
        <w:rPr>
          <w:spacing w:val="-2"/>
          <w:sz w:val="18"/>
        </w:rPr>
        <w:t xml:space="preserve"> </w:t>
      </w:r>
      <w:r>
        <w:rPr>
          <w:sz w:val="18"/>
        </w:rPr>
        <w:t>presented</w:t>
      </w:r>
      <w:r>
        <w:rPr>
          <w:spacing w:val="-3"/>
          <w:sz w:val="18"/>
        </w:rPr>
        <w:t xml:space="preserve"> </w:t>
      </w:r>
      <w:r>
        <w:rPr>
          <w:sz w:val="18"/>
        </w:rPr>
        <w:t>in</w:t>
      </w:r>
      <w:r>
        <w:rPr>
          <w:spacing w:val="-4"/>
          <w:sz w:val="18"/>
        </w:rPr>
        <w:t xml:space="preserve"> </w:t>
      </w:r>
      <w:r>
        <w:rPr>
          <w:sz w:val="18"/>
        </w:rPr>
        <w:t>the</w:t>
      </w:r>
      <w:r>
        <w:rPr>
          <w:spacing w:val="-1"/>
          <w:sz w:val="18"/>
        </w:rPr>
        <w:t xml:space="preserve"> </w:t>
      </w:r>
      <w:r>
        <w:rPr>
          <w:sz w:val="18"/>
        </w:rPr>
        <w:t>measure-level</w:t>
      </w:r>
      <w:r>
        <w:rPr>
          <w:spacing w:val="-3"/>
          <w:sz w:val="18"/>
        </w:rPr>
        <w:t xml:space="preserve"> </w:t>
      </w:r>
      <w:r>
        <w:rPr>
          <w:sz w:val="18"/>
        </w:rPr>
        <w:t>input</w:t>
      </w:r>
      <w:r>
        <w:rPr>
          <w:spacing w:val="-2"/>
          <w:sz w:val="18"/>
        </w:rPr>
        <w:t xml:space="preserve"> workbook.</w:t>
      </w:r>
    </w:p>
    <w:p w:rsidR="00C31389" w:rsidRDefault="00561FBD" w14:paraId="06E46C40" w14:textId="77777777">
      <w:pPr>
        <w:spacing w:before="15"/>
        <w:ind w:left="480" w:right="533" w:hanging="1"/>
        <w:rPr>
          <w:sz w:val="18"/>
        </w:rPr>
      </w:pPr>
      <w:r>
        <w:rPr>
          <w:position w:val="6"/>
          <w:sz w:val="12"/>
        </w:rPr>
        <w:t>†</w:t>
      </w:r>
      <w:r>
        <w:rPr>
          <w:sz w:val="18"/>
        </w:rPr>
        <w:t>The</w:t>
      </w:r>
      <w:r>
        <w:rPr>
          <w:spacing w:val="-3"/>
          <w:sz w:val="18"/>
        </w:rPr>
        <w:t xml:space="preserve"> </w:t>
      </w:r>
      <w:r>
        <w:rPr>
          <w:sz w:val="18"/>
        </w:rPr>
        <w:t>technology</w:t>
      </w:r>
      <w:r>
        <w:rPr>
          <w:spacing w:val="-2"/>
          <w:sz w:val="18"/>
        </w:rPr>
        <w:t xml:space="preserve"> </w:t>
      </w:r>
      <w:r>
        <w:rPr>
          <w:sz w:val="18"/>
        </w:rPr>
        <w:t>list</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include</w:t>
      </w:r>
      <w:r>
        <w:rPr>
          <w:spacing w:val="-3"/>
          <w:sz w:val="18"/>
        </w:rPr>
        <w:t xml:space="preserve"> </w:t>
      </w:r>
      <w:r>
        <w:rPr>
          <w:sz w:val="18"/>
        </w:rPr>
        <w:t>whole</w:t>
      </w:r>
      <w:r>
        <w:rPr>
          <w:spacing w:val="-3"/>
          <w:sz w:val="18"/>
        </w:rPr>
        <w:t xml:space="preserve"> </w:t>
      </w:r>
      <w:r>
        <w:rPr>
          <w:sz w:val="18"/>
        </w:rPr>
        <w:t>building</w:t>
      </w:r>
      <w:r>
        <w:rPr>
          <w:spacing w:val="-3"/>
          <w:sz w:val="18"/>
        </w:rPr>
        <w:t xml:space="preserve"> </w:t>
      </w:r>
      <w:r>
        <w:rPr>
          <w:sz w:val="18"/>
        </w:rPr>
        <w:t>packages</w:t>
      </w:r>
      <w:r>
        <w:rPr>
          <w:spacing w:val="-2"/>
          <w:sz w:val="18"/>
        </w:rPr>
        <w:t xml:space="preserve"> </w:t>
      </w:r>
      <w:r>
        <w:rPr>
          <w:sz w:val="18"/>
        </w:rPr>
        <w:t>and</w:t>
      </w:r>
      <w:r>
        <w:rPr>
          <w:spacing w:val="-3"/>
          <w:sz w:val="18"/>
        </w:rPr>
        <w:t xml:space="preserve"> </w:t>
      </w:r>
      <w:r>
        <w:rPr>
          <w:sz w:val="18"/>
        </w:rPr>
        <w:t>BROs</w:t>
      </w:r>
      <w:r>
        <w:rPr>
          <w:spacing w:val="-2"/>
          <w:sz w:val="18"/>
        </w:rPr>
        <w:t xml:space="preserve"> </w:t>
      </w:r>
      <w:r>
        <w:rPr>
          <w:sz w:val="18"/>
        </w:rPr>
        <w:t>interventions.</w:t>
      </w:r>
      <w:r>
        <w:rPr>
          <w:spacing w:val="-2"/>
          <w:sz w:val="18"/>
        </w:rPr>
        <w:t xml:space="preserve"> </w:t>
      </w:r>
      <w:r>
        <w:rPr>
          <w:sz w:val="18"/>
        </w:rPr>
        <w:t>The</w:t>
      </w:r>
      <w:r>
        <w:rPr>
          <w:spacing w:val="-3"/>
          <w:sz w:val="18"/>
        </w:rPr>
        <w:t xml:space="preserve"> </w:t>
      </w:r>
      <w:r>
        <w:rPr>
          <w:sz w:val="18"/>
        </w:rPr>
        <w:t>approach</w:t>
      </w:r>
      <w:r>
        <w:rPr>
          <w:spacing w:val="-3"/>
          <w:sz w:val="18"/>
        </w:rPr>
        <w:t xml:space="preserve"> </w:t>
      </w:r>
      <w:r>
        <w:rPr>
          <w:sz w:val="18"/>
        </w:rPr>
        <w:t>used</w:t>
      </w:r>
      <w:r>
        <w:rPr>
          <w:spacing w:val="-3"/>
          <w:sz w:val="18"/>
        </w:rPr>
        <w:t xml:space="preserve"> </w:t>
      </w:r>
      <w:r>
        <w:rPr>
          <w:sz w:val="18"/>
        </w:rPr>
        <w:t>to</w:t>
      </w:r>
      <w:r>
        <w:rPr>
          <w:spacing w:val="-3"/>
          <w:sz w:val="18"/>
        </w:rPr>
        <w:t xml:space="preserve"> </w:t>
      </w:r>
      <w:r>
        <w:rPr>
          <w:sz w:val="18"/>
        </w:rPr>
        <w:t xml:space="preserve">select and characterize these measures is discussed in separate sections of this report. Please </w:t>
      </w:r>
      <w:r>
        <w:rPr>
          <w:sz w:val="18"/>
        </w:rPr>
        <w:t>refer to the measure input characterization system spreadsheet for a complete list of the technologies included in the study.</w:t>
      </w:r>
    </w:p>
    <w:p w:rsidR="00C31389" w:rsidRDefault="00561FBD" w14:paraId="04197DD0" w14:textId="77777777">
      <w:pPr>
        <w:spacing w:before="61"/>
        <w:ind w:left="480"/>
        <w:rPr>
          <w:i/>
          <w:sz w:val="18"/>
        </w:rPr>
      </w:pPr>
      <w:r>
        <w:rPr>
          <w:i/>
          <w:sz w:val="18"/>
        </w:rPr>
        <w:t>Source:</w:t>
      </w:r>
      <w:r>
        <w:rPr>
          <w:i/>
          <w:spacing w:val="-4"/>
          <w:sz w:val="18"/>
        </w:rPr>
        <w:t xml:space="preserve"> </w:t>
      </w:r>
      <w:r>
        <w:rPr>
          <w:i/>
          <w:spacing w:val="-2"/>
          <w:sz w:val="18"/>
        </w:rPr>
        <w:t>Guidehouse</w:t>
      </w:r>
    </w:p>
    <w:p w:rsidR="00C31389" w:rsidRDefault="00C31389" w14:paraId="60FC4EA1" w14:textId="77777777">
      <w:pPr>
        <w:rPr>
          <w:sz w:val="18"/>
        </w:rPr>
        <w:sectPr w:rsidR="00C31389">
          <w:type w:val="continuous"/>
          <w:pgSz w:w="12240" w:h="15840"/>
          <w:pgMar w:top="0" w:right="960" w:bottom="280" w:left="960" w:header="397" w:footer="936" w:gutter="0"/>
          <w:cols w:space="720"/>
        </w:sectPr>
      </w:pPr>
    </w:p>
    <w:p w:rsidR="00C31389" w:rsidRDefault="00C31389" w14:paraId="4A616DEC" w14:textId="77777777">
      <w:pPr>
        <w:pStyle w:val="BodyText"/>
        <w:rPr>
          <w:i/>
        </w:rPr>
      </w:pPr>
    </w:p>
    <w:p w:rsidR="00C31389" w:rsidRDefault="00C31389" w14:paraId="4DDC05A3" w14:textId="77777777">
      <w:pPr>
        <w:pStyle w:val="BodyText"/>
        <w:spacing w:before="11"/>
        <w:rPr>
          <w:i/>
          <w:sz w:val="13"/>
        </w:rPr>
      </w:pPr>
    </w:p>
    <w:p w:rsidR="00C31389" w:rsidRDefault="00561FBD" w14:paraId="0CD12D56" w14:textId="77777777">
      <w:pPr>
        <w:pStyle w:val="Heading5"/>
        <w:numPr>
          <w:ilvl w:val="3"/>
          <w:numId w:val="71"/>
        </w:numPr>
        <w:tabs>
          <w:tab w:val="left" w:pos="1212"/>
        </w:tabs>
        <w:ind w:left="1212" w:hanging="732"/>
      </w:pPr>
      <w:bookmarkStart w:name="3.2.1.1_FS_Considerations" w:id="158"/>
      <w:bookmarkStart w:name="_bookmark118" w:id="159"/>
      <w:bookmarkEnd w:id="158"/>
      <w:bookmarkEnd w:id="159"/>
      <w:r>
        <w:t>FS</w:t>
      </w:r>
      <w:r>
        <w:rPr>
          <w:spacing w:val="-1"/>
        </w:rPr>
        <w:t xml:space="preserve"> </w:t>
      </w:r>
      <w:r>
        <w:rPr>
          <w:spacing w:val="-2"/>
        </w:rPr>
        <w:t>Considerations</w:t>
      </w:r>
    </w:p>
    <w:p w:rsidR="00C31389" w:rsidRDefault="00C31389" w14:paraId="4FC4FE07" w14:textId="77777777">
      <w:pPr>
        <w:pStyle w:val="BodyText"/>
        <w:spacing w:before="10"/>
        <w:rPr>
          <w:b/>
          <w:i/>
          <w:sz w:val="20"/>
        </w:rPr>
      </w:pPr>
    </w:p>
    <w:p w:rsidR="00C31389" w:rsidRDefault="00561FBD" w14:paraId="53523ED0" w14:textId="77777777">
      <w:pPr>
        <w:pStyle w:val="BodyText"/>
        <w:ind w:left="480" w:right="812" w:hanging="1"/>
        <w:rPr>
          <w:sz w:val="14"/>
        </w:rPr>
      </w:pPr>
      <w:r>
        <w:t xml:space="preserve">The team followed a similar approach to the non-FS (EE </w:t>
      </w:r>
      <w:r>
        <w:t>technologies) technology selection process.</w:t>
      </w:r>
      <w:r>
        <w:rPr>
          <w:spacing w:val="-1"/>
        </w:rPr>
        <w:t xml:space="preserve"> </w:t>
      </w:r>
      <w:r>
        <w:t>The</w:t>
      </w:r>
      <w:r>
        <w:rPr>
          <w:spacing w:val="-1"/>
        </w:rPr>
        <w:t xml:space="preserve"> </w:t>
      </w:r>
      <w:r>
        <w:t>team</w:t>
      </w:r>
      <w:r>
        <w:rPr>
          <w:spacing w:val="-2"/>
        </w:rPr>
        <w:t xml:space="preserve"> </w:t>
      </w:r>
      <w:r>
        <w:t>excluded</w:t>
      </w:r>
      <w:r>
        <w:rPr>
          <w:spacing w:val="-1"/>
        </w:rPr>
        <w:t xml:space="preserve"> </w:t>
      </w:r>
      <w:r>
        <w:t>any</w:t>
      </w:r>
      <w:r>
        <w:rPr>
          <w:spacing w:val="-1"/>
        </w:rPr>
        <w:t xml:space="preserve"> </w:t>
      </w:r>
      <w:r>
        <w:t>measures</w:t>
      </w:r>
      <w:r>
        <w:rPr>
          <w:spacing w:val="-1"/>
        </w:rPr>
        <w:t xml:space="preserve"> </w:t>
      </w:r>
      <w:r>
        <w:t>that</w:t>
      </w:r>
      <w:r>
        <w:rPr>
          <w:spacing w:val="-2"/>
        </w:rPr>
        <w:t xml:space="preserve"> </w:t>
      </w:r>
      <w:r>
        <w:t>did</w:t>
      </w:r>
      <w:r>
        <w:rPr>
          <w:spacing w:val="-1"/>
        </w:rPr>
        <w:t xml:space="preserve"> </w:t>
      </w:r>
      <w:r>
        <w:t>not</w:t>
      </w:r>
      <w:r>
        <w:rPr>
          <w:spacing w:val="-1"/>
        </w:rPr>
        <w:t xml:space="preserve"> </w:t>
      </w:r>
      <w:r>
        <w:t>pass</w:t>
      </w:r>
      <w:r>
        <w:rPr>
          <w:spacing w:val="-1"/>
        </w:rPr>
        <w:t xml:space="preserve"> </w:t>
      </w:r>
      <w:r>
        <w:t>the</w:t>
      </w:r>
      <w:r>
        <w:rPr>
          <w:spacing w:val="-1"/>
        </w:rPr>
        <w:t xml:space="preserve"> </w:t>
      </w:r>
      <w:r>
        <w:t>FST,</w:t>
      </w:r>
      <w:r>
        <w:rPr>
          <w:spacing w:val="-1"/>
        </w:rPr>
        <w:t xml:space="preserve"> </w:t>
      </w:r>
      <w:r>
        <w:t>alternatively,</w:t>
      </w:r>
      <w:r>
        <w:rPr>
          <w:spacing w:val="-2"/>
        </w:rPr>
        <w:t xml:space="preserve"> </w:t>
      </w:r>
      <w:r>
        <w:t>the</w:t>
      </w:r>
      <w:r>
        <w:rPr>
          <w:spacing w:val="-1"/>
        </w:rPr>
        <w:t xml:space="preserve"> </w:t>
      </w:r>
      <w:r>
        <w:t>team included</w:t>
      </w:r>
      <w:r>
        <w:rPr>
          <w:spacing w:val="-4"/>
        </w:rPr>
        <w:t xml:space="preserve"> </w:t>
      </w:r>
      <w:r>
        <w:t>only</w:t>
      </w:r>
      <w:r>
        <w:rPr>
          <w:spacing w:val="-4"/>
        </w:rPr>
        <w:t xml:space="preserve"> </w:t>
      </w:r>
      <w:r>
        <w:t>approved</w:t>
      </w:r>
      <w:r>
        <w:rPr>
          <w:spacing w:val="-5"/>
        </w:rPr>
        <w:t xml:space="preserve"> </w:t>
      </w:r>
      <w:r>
        <w:t>measure</w:t>
      </w:r>
      <w:r>
        <w:rPr>
          <w:spacing w:val="-4"/>
        </w:rPr>
        <w:t xml:space="preserve"> </w:t>
      </w:r>
      <w:r>
        <w:t>packages</w:t>
      </w:r>
      <w:r>
        <w:rPr>
          <w:spacing w:val="-4"/>
        </w:rPr>
        <w:t xml:space="preserve"> </w:t>
      </w:r>
      <w:r>
        <w:t>in</w:t>
      </w:r>
      <w:r>
        <w:rPr>
          <w:spacing w:val="-4"/>
        </w:rPr>
        <w:t xml:space="preserve"> </w:t>
      </w:r>
      <w:r>
        <w:t>the</w:t>
      </w:r>
      <w:r>
        <w:rPr>
          <w:spacing w:val="-4"/>
        </w:rPr>
        <w:t xml:space="preserve"> </w:t>
      </w:r>
      <w:r>
        <w:t>eTRM.</w:t>
      </w:r>
      <w:r>
        <w:rPr>
          <w:spacing w:val="-4"/>
        </w:rPr>
        <w:t xml:space="preserve"> </w:t>
      </w:r>
      <w:r>
        <w:t>As</w:t>
      </w:r>
      <w:r>
        <w:rPr>
          <w:spacing w:val="-3"/>
        </w:rPr>
        <w:t xml:space="preserve"> </w:t>
      </w:r>
      <w:r>
        <w:t>implemented</w:t>
      </w:r>
      <w:r>
        <w:rPr>
          <w:spacing w:val="-4"/>
        </w:rPr>
        <w:t xml:space="preserve"> </w:t>
      </w:r>
      <w:r>
        <w:t>by</w:t>
      </w:r>
      <w:r>
        <w:rPr>
          <w:spacing w:val="-4"/>
        </w:rPr>
        <w:t xml:space="preserve"> </w:t>
      </w:r>
      <w:r>
        <w:t>CPUC</w:t>
      </w:r>
      <w:r>
        <w:rPr>
          <w:spacing w:val="-3"/>
        </w:rPr>
        <w:t xml:space="preserve"> </w:t>
      </w:r>
      <w:r>
        <w:t>Decision 19-08-009, the FST specifies that to be inclu</w:t>
      </w:r>
      <w:r>
        <w:t>ded in an EE portfolio, a measure must not increase</w:t>
      </w:r>
      <w:r>
        <w:rPr>
          <w:spacing w:val="-2"/>
        </w:rPr>
        <w:t xml:space="preserve"> </w:t>
      </w:r>
      <w:r>
        <w:t>source</w:t>
      </w:r>
      <w:r>
        <w:rPr>
          <w:spacing w:val="-2"/>
        </w:rPr>
        <w:t xml:space="preserve"> </w:t>
      </w:r>
      <w:r>
        <w:t>energy,</w:t>
      </w:r>
      <w:r>
        <w:rPr>
          <w:spacing w:val="-3"/>
        </w:rPr>
        <w:t xml:space="preserve"> </w:t>
      </w:r>
      <w:r>
        <w:t>and</w:t>
      </w:r>
      <w:r>
        <w:rPr>
          <w:spacing w:val="-2"/>
        </w:rPr>
        <w:t xml:space="preserve"> </w:t>
      </w:r>
      <w:r>
        <w:t>it</w:t>
      </w:r>
      <w:r>
        <w:rPr>
          <w:spacing w:val="-2"/>
        </w:rPr>
        <w:t xml:space="preserve"> </w:t>
      </w:r>
      <w:r>
        <w:t>must</w:t>
      </w:r>
      <w:r>
        <w:rPr>
          <w:spacing w:val="-2"/>
        </w:rPr>
        <w:t xml:space="preserve"> </w:t>
      </w:r>
      <w:r>
        <w:t>not</w:t>
      </w:r>
      <w:r>
        <w:rPr>
          <w:spacing w:val="-2"/>
        </w:rPr>
        <w:t xml:space="preserve"> </w:t>
      </w:r>
      <w:r>
        <w:t>harm</w:t>
      </w:r>
      <w:r>
        <w:rPr>
          <w:spacing w:val="-3"/>
        </w:rPr>
        <w:t xml:space="preserve"> </w:t>
      </w:r>
      <w:r>
        <w:t>the</w:t>
      </w:r>
      <w:r>
        <w:rPr>
          <w:spacing w:val="-2"/>
        </w:rPr>
        <w:t xml:space="preserve"> </w:t>
      </w:r>
      <w:r>
        <w:t>environment</w:t>
      </w:r>
      <w:r>
        <w:rPr>
          <w:spacing w:val="-2"/>
        </w:rPr>
        <w:t xml:space="preserve"> </w:t>
      </w:r>
      <w:r>
        <w:t>(where</w:t>
      </w:r>
      <w:r>
        <w:rPr>
          <w:spacing w:val="-2"/>
        </w:rPr>
        <w:t xml:space="preserve"> </w:t>
      </w:r>
      <w:r>
        <w:t>environmental</w:t>
      </w:r>
      <w:r>
        <w:rPr>
          <w:spacing w:val="-2"/>
        </w:rPr>
        <w:t xml:space="preserve"> </w:t>
      </w:r>
      <w:r>
        <w:t>harm</w:t>
      </w:r>
      <w:r>
        <w:rPr>
          <w:spacing w:val="-3"/>
        </w:rPr>
        <w:t xml:space="preserve"> </w:t>
      </w:r>
      <w:r>
        <w:t>is measured by net CO</w:t>
      </w:r>
      <w:r>
        <w:rPr>
          <w:vertAlign w:val="subscript"/>
        </w:rPr>
        <w:t>2</w:t>
      </w:r>
      <w:r>
        <w:t xml:space="preserve"> emissions).</w:t>
      </w:r>
      <w:r>
        <w:rPr>
          <w:spacing w:val="-32"/>
        </w:rPr>
        <w:t xml:space="preserve"> </w:t>
      </w:r>
      <w:hyperlink w:history="1" w:anchor="_bookmark120">
        <w:r>
          <w:rPr>
            <w:position w:val="7"/>
            <w:sz w:val="14"/>
          </w:rPr>
          <w:t>33</w:t>
        </w:r>
      </w:hyperlink>
    </w:p>
    <w:p w:rsidR="00C31389" w:rsidRDefault="00C31389" w14:paraId="15409D76" w14:textId="77777777">
      <w:pPr>
        <w:pStyle w:val="BodyText"/>
        <w:spacing w:before="10"/>
        <w:rPr>
          <w:sz w:val="20"/>
        </w:rPr>
      </w:pPr>
    </w:p>
    <w:p w:rsidR="00C31389" w:rsidRDefault="00561FBD" w14:paraId="6AE580EC" w14:textId="77777777">
      <w:pPr>
        <w:pStyle w:val="BodyText"/>
        <w:ind w:left="479" w:right="533"/>
      </w:pPr>
      <w:r>
        <w:t xml:space="preserve">The </w:t>
      </w:r>
      <w:r>
        <w:t>Guidehouse team analyzed FS technologies in the same technology group as the gas technology being replaced. In other words, a FS measure replacing a baseline gas technology would compete with the efficient gas technology that would replace the gas technolo</w:t>
      </w:r>
      <w:r>
        <w:t>gy. The electric</w:t>
      </w:r>
      <w:r>
        <w:rPr>
          <w:spacing w:val="-3"/>
        </w:rPr>
        <w:t xml:space="preserve"> </w:t>
      </w:r>
      <w:r>
        <w:t>and</w:t>
      </w:r>
      <w:r>
        <w:rPr>
          <w:spacing w:val="-4"/>
        </w:rPr>
        <w:t xml:space="preserve"> </w:t>
      </w:r>
      <w:r>
        <w:t>gas</w:t>
      </w:r>
      <w:r>
        <w:rPr>
          <w:spacing w:val="-3"/>
        </w:rPr>
        <w:t xml:space="preserve"> </w:t>
      </w:r>
      <w:r>
        <w:t>measures</w:t>
      </w:r>
      <w:r>
        <w:rPr>
          <w:spacing w:val="-3"/>
        </w:rPr>
        <w:t xml:space="preserve"> </w:t>
      </w:r>
      <w:r>
        <w:t>compete</w:t>
      </w:r>
      <w:r>
        <w:rPr>
          <w:spacing w:val="-3"/>
        </w:rPr>
        <w:t xml:space="preserve"> </w:t>
      </w:r>
      <w:r>
        <w:t>based</w:t>
      </w:r>
      <w:r>
        <w:rPr>
          <w:spacing w:val="-2"/>
        </w:rPr>
        <w:t xml:space="preserve"> </w:t>
      </w:r>
      <w:r>
        <w:t>on</w:t>
      </w:r>
      <w:r>
        <w:rPr>
          <w:spacing w:val="-3"/>
        </w:rPr>
        <w:t xml:space="preserve"> </w:t>
      </w:r>
      <w:r>
        <w:t>neutral</w:t>
      </w:r>
      <w:r>
        <w:rPr>
          <w:spacing w:val="-3"/>
        </w:rPr>
        <w:t xml:space="preserve"> </w:t>
      </w:r>
      <w:r>
        <w:t>unit</w:t>
      </w:r>
      <w:r>
        <w:rPr>
          <w:spacing w:val="-3"/>
        </w:rPr>
        <w:t xml:space="preserve"> </w:t>
      </w:r>
      <w:r>
        <w:t>savings;</w:t>
      </w:r>
      <w:r>
        <w:rPr>
          <w:spacing w:val="-3"/>
        </w:rPr>
        <w:t xml:space="preserve"> </w:t>
      </w:r>
      <w:r>
        <w:t>unit</w:t>
      </w:r>
      <w:r>
        <w:rPr>
          <w:spacing w:val="-3"/>
        </w:rPr>
        <w:t xml:space="preserve"> </w:t>
      </w:r>
      <w:r>
        <w:t>energy</w:t>
      </w:r>
      <w:r>
        <w:rPr>
          <w:spacing w:val="-3"/>
        </w:rPr>
        <w:t xml:space="preserve"> </w:t>
      </w:r>
      <w:r>
        <w:t>consumption</w:t>
      </w:r>
      <w:r>
        <w:rPr>
          <w:spacing w:val="-3"/>
        </w:rPr>
        <w:t xml:space="preserve"> </w:t>
      </w:r>
      <w:r>
        <w:t>for the technologies are converted to the same unit by converting gas energy units to equivalent electric energy units.</w:t>
      </w:r>
    </w:p>
    <w:p w:rsidR="00C31389" w:rsidRDefault="00C31389" w14:paraId="018FBB66" w14:textId="77777777">
      <w:pPr>
        <w:pStyle w:val="BodyText"/>
        <w:spacing w:before="10"/>
        <w:rPr>
          <w:sz w:val="20"/>
        </w:rPr>
      </w:pPr>
    </w:p>
    <w:p w:rsidR="00C31389" w:rsidRDefault="00561FBD" w14:paraId="0214EDA2" w14:textId="77777777">
      <w:pPr>
        <w:pStyle w:val="BodyText"/>
        <w:ind w:left="479" w:right="629"/>
      </w:pPr>
      <w:hyperlink w:history="1" w:anchor="_bookmark119">
        <w:r>
          <w:t>Figure 3</w:t>
        </w:r>
        <w:r>
          <w:t>-1</w:t>
        </w:r>
      </w:hyperlink>
      <w:r>
        <w:t xml:space="preserve"> illustrates how measures compete within a technology group, comparing a technology</w:t>
      </w:r>
      <w:r>
        <w:rPr>
          <w:spacing w:val="-4"/>
        </w:rPr>
        <w:t xml:space="preserve"> </w:t>
      </w:r>
      <w:r>
        <w:t>group</w:t>
      </w:r>
      <w:r>
        <w:rPr>
          <w:spacing w:val="-3"/>
        </w:rPr>
        <w:t xml:space="preserve"> </w:t>
      </w:r>
      <w:r>
        <w:t>without</w:t>
      </w:r>
      <w:r>
        <w:rPr>
          <w:spacing w:val="-2"/>
        </w:rPr>
        <w:t xml:space="preserve"> </w:t>
      </w:r>
      <w:r>
        <w:t>FS</w:t>
      </w:r>
      <w:r>
        <w:rPr>
          <w:spacing w:val="-3"/>
        </w:rPr>
        <w:t xml:space="preserve"> </w:t>
      </w:r>
      <w:r>
        <w:t>(left</w:t>
      </w:r>
      <w:r>
        <w:rPr>
          <w:spacing w:val="-3"/>
        </w:rPr>
        <w:t xml:space="preserve"> </w:t>
      </w:r>
      <w:r>
        <w:t>side)</w:t>
      </w:r>
      <w:r>
        <w:rPr>
          <w:spacing w:val="-3"/>
        </w:rPr>
        <w:t xml:space="preserve"> </w:t>
      </w:r>
      <w:r>
        <w:t>to</w:t>
      </w:r>
      <w:r>
        <w:rPr>
          <w:spacing w:val="-3"/>
        </w:rPr>
        <w:t xml:space="preserve"> </w:t>
      </w:r>
      <w:r>
        <w:t>a</w:t>
      </w:r>
      <w:r>
        <w:rPr>
          <w:spacing w:val="-3"/>
        </w:rPr>
        <w:t xml:space="preserve"> </w:t>
      </w:r>
      <w:r>
        <w:t>technology</w:t>
      </w:r>
      <w:r>
        <w:rPr>
          <w:spacing w:val="-3"/>
        </w:rPr>
        <w:t xml:space="preserve"> </w:t>
      </w:r>
      <w:r>
        <w:t>group</w:t>
      </w:r>
      <w:r>
        <w:rPr>
          <w:spacing w:val="-3"/>
        </w:rPr>
        <w:t xml:space="preserve"> </w:t>
      </w:r>
      <w:r>
        <w:t>incorporating</w:t>
      </w:r>
      <w:r>
        <w:rPr>
          <w:spacing w:val="-3"/>
        </w:rPr>
        <w:t xml:space="preserve"> </w:t>
      </w:r>
      <w:r>
        <w:t>FS</w:t>
      </w:r>
      <w:r>
        <w:rPr>
          <w:spacing w:val="-2"/>
        </w:rPr>
        <w:t xml:space="preserve"> </w:t>
      </w:r>
      <w:r>
        <w:t>(right</w:t>
      </w:r>
      <w:r>
        <w:rPr>
          <w:spacing w:val="-3"/>
        </w:rPr>
        <w:t xml:space="preserve"> </w:t>
      </w:r>
      <w:r>
        <w:t>side).</w:t>
      </w:r>
      <w:r>
        <w:rPr>
          <w:spacing w:val="-3"/>
        </w:rPr>
        <w:t xml:space="preserve"> </w:t>
      </w:r>
      <w:r>
        <w:t>In the FS technology group, two efficient gas technol</w:t>
      </w:r>
      <w:r>
        <w:t xml:space="preserve">ogy levels compete with two efficient FS </w:t>
      </w:r>
      <w:r>
        <w:rPr>
          <w:spacing w:val="-2"/>
        </w:rPr>
        <w:t>levels.</w:t>
      </w:r>
    </w:p>
    <w:p w:rsidR="00C31389" w:rsidRDefault="00C31389" w14:paraId="77ED0E74" w14:textId="77777777">
      <w:pPr>
        <w:pStyle w:val="BodyText"/>
        <w:spacing w:before="10"/>
        <w:rPr>
          <w:sz w:val="20"/>
        </w:rPr>
      </w:pPr>
    </w:p>
    <w:p w:rsidR="00C31389" w:rsidRDefault="00561FBD" w14:paraId="5C508317" w14:textId="77777777">
      <w:pPr>
        <w:pStyle w:val="Heading7"/>
        <w:ind w:left="566" w:right="566"/>
        <w:jc w:val="center"/>
      </w:pPr>
      <w:r>
        <w:rPr>
          <w:noProof/>
        </w:rPr>
        <mc:AlternateContent>
          <mc:Choice Requires="wps">
            <w:drawing>
              <wp:anchor distT="0" distB="0" distL="0" distR="0" simplePos="0" relativeHeight="465460224" behindDoc="1" locked="0" layoutInCell="1" allowOverlap="1" wp14:editId="3396DF48" wp14:anchorId="43872B59">
                <wp:simplePos x="0" y="0"/>
                <wp:positionH relativeFrom="page">
                  <wp:posOffset>3659692</wp:posOffset>
                </wp:positionH>
                <wp:positionV relativeFrom="paragraph">
                  <wp:posOffset>391487</wp:posOffset>
                </wp:positionV>
                <wp:extent cx="1270" cy="267271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72715"/>
                        </a:xfrm>
                        <a:custGeom>
                          <a:avLst/>
                          <a:gdLst/>
                          <a:ahLst/>
                          <a:cxnLst/>
                          <a:rect l="l" t="t" r="r" b="b"/>
                          <a:pathLst>
                            <a:path h="2672715">
                              <a:moveTo>
                                <a:pt x="0" y="0"/>
                              </a:moveTo>
                              <a:lnTo>
                                <a:pt x="0" y="267266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26" style="position:absolute;margin-left:288.15pt;margin-top:30.85pt;width:.1pt;height:210.45pt;z-index:-37856256;visibility:visible;mso-wrap-style:square;mso-wrap-distance-left:0;mso-wrap-distance-top:0;mso-wrap-distance-right:0;mso-wrap-distance-bottom:0;mso-position-horizontal:absolute;mso-position-horizontal-relative:page;mso-position-vertical:absolute;mso-position-vertical-relative:text;v-text-anchor:top" coordsize="1270,2672715" o:spid="_x0000_s1026" filled="f" strokeweight="1pt" path="m,l,26726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" w14:anchorId="7A5B12D5">
                <v:path arrowok="t"/>
                <w10:wrap anchorx="page"/>
              </v:shape>
            </w:pict>
          </mc:Fallback>
        </mc:AlternateContent>
      </w:r>
      <w:bookmarkStart w:name="_bookmark119" w:id="160"/>
      <w:bookmarkEnd w:id="160"/>
      <w:r>
        <w:t>Figure</w:t>
      </w:r>
      <w:r>
        <w:rPr>
          <w:spacing w:val="-8"/>
        </w:rPr>
        <w:t xml:space="preserve"> </w:t>
      </w:r>
      <w:r>
        <w:t>3-1.</w:t>
      </w:r>
      <w:r>
        <w:rPr>
          <w:spacing w:val="-8"/>
        </w:rPr>
        <w:t xml:space="preserve"> </w:t>
      </w:r>
      <w:r>
        <w:t>Example</w:t>
      </w:r>
      <w:r>
        <w:rPr>
          <w:spacing w:val="-7"/>
        </w:rPr>
        <w:t xml:space="preserve"> </w:t>
      </w:r>
      <w:r>
        <w:t>FS</w:t>
      </w:r>
      <w:r>
        <w:rPr>
          <w:spacing w:val="-8"/>
        </w:rPr>
        <w:t xml:space="preserve"> </w:t>
      </w:r>
      <w:r>
        <w:t>Technology</w:t>
      </w:r>
      <w:r>
        <w:rPr>
          <w:spacing w:val="-7"/>
        </w:rPr>
        <w:t xml:space="preserve"> </w:t>
      </w:r>
      <w:r>
        <w:rPr>
          <w:spacing w:val="-2"/>
        </w:rPr>
        <w:t>Group</w:t>
      </w:r>
    </w:p>
    <w:p w:rsidR="00C31389" w:rsidRDefault="00C31389" w14:paraId="17C2001F" w14:textId="77777777">
      <w:pPr>
        <w:pStyle w:val="BodyText"/>
        <w:spacing w:before="1"/>
        <w:rPr>
          <w:b/>
          <w:sz w:val="23"/>
        </w:rPr>
      </w:pPr>
    </w:p>
    <w:p w:rsidR="00C31389" w:rsidRDefault="00C31389" w14:paraId="088B54EB" w14:textId="77777777">
      <w:pPr>
        <w:rPr>
          <w:sz w:val="23"/>
        </w:rPr>
        <w:sectPr w:rsidR="00C31389">
          <w:headerReference w:type="default" r:id="rId104"/>
          <w:footerReference w:type="default" r:id="rId105"/>
          <w:pgSz w:w="12240" w:h="15840"/>
          <w:pgMar w:top="1380" w:right="960" w:bottom="1120" w:left="960" w:header="397" w:footer="936" w:gutter="0"/>
          <w:cols w:space="720"/>
        </w:sectPr>
      </w:pPr>
    </w:p>
    <w:p w:rsidR="00C31389" w:rsidRDefault="00561FBD" w14:paraId="644582ED" w14:textId="77777777">
      <w:pPr>
        <w:spacing w:before="143"/>
        <w:ind w:left="988"/>
        <w:rPr>
          <w:b/>
          <w:sz w:val="18"/>
        </w:rPr>
      </w:pPr>
      <w:r>
        <w:rPr>
          <w:b/>
          <w:sz w:val="18"/>
        </w:rPr>
        <w:t>Non-FS</w:t>
      </w:r>
      <w:r>
        <w:rPr>
          <w:b/>
          <w:spacing w:val="-3"/>
          <w:sz w:val="18"/>
        </w:rPr>
        <w:t xml:space="preserve"> </w:t>
      </w:r>
      <w:r>
        <w:rPr>
          <w:b/>
          <w:sz w:val="18"/>
        </w:rPr>
        <w:t>Technology</w:t>
      </w:r>
      <w:r>
        <w:rPr>
          <w:b/>
          <w:spacing w:val="-3"/>
          <w:sz w:val="18"/>
        </w:rPr>
        <w:t xml:space="preserve"> </w:t>
      </w:r>
      <w:r>
        <w:rPr>
          <w:b/>
          <w:spacing w:val="-4"/>
          <w:sz w:val="18"/>
        </w:rPr>
        <w:t>Group</w:t>
      </w:r>
    </w:p>
    <w:p w:rsidR="00C31389" w:rsidRDefault="00561FBD" w14:paraId="59BCA9D8" w14:textId="77777777">
      <w:pPr>
        <w:spacing w:before="95"/>
        <w:ind w:left="988"/>
        <w:rPr>
          <w:b/>
          <w:sz w:val="18"/>
        </w:rPr>
      </w:pPr>
      <w:r>
        <w:br w:type="column"/>
      </w:r>
      <w:r>
        <w:rPr>
          <w:b/>
          <w:sz w:val="18"/>
        </w:rPr>
        <w:t>FS</w:t>
      </w:r>
      <w:r>
        <w:rPr>
          <w:b/>
          <w:spacing w:val="-3"/>
          <w:sz w:val="18"/>
        </w:rPr>
        <w:t xml:space="preserve"> </w:t>
      </w:r>
      <w:r>
        <w:rPr>
          <w:b/>
          <w:sz w:val="18"/>
        </w:rPr>
        <w:t>Technology</w:t>
      </w:r>
      <w:r>
        <w:rPr>
          <w:b/>
          <w:spacing w:val="-2"/>
          <w:sz w:val="18"/>
        </w:rPr>
        <w:t xml:space="preserve"> </w:t>
      </w:r>
      <w:r>
        <w:rPr>
          <w:b/>
          <w:spacing w:val="-4"/>
          <w:sz w:val="18"/>
        </w:rPr>
        <w:t>Group</w:t>
      </w:r>
    </w:p>
    <w:p w:rsidR="00C31389" w:rsidRDefault="00C31389" w14:paraId="35CCA4F4" w14:textId="77777777">
      <w:pPr>
        <w:rPr>
          <w:sz w:val="18"/>
        </w:rPr>
        <w:sectPr w:rsidR="00C31389">
          <w:type w:val="continuous"/>
          <w:pgSz w:w="12240" w:h="15840"/>
          <w:pgMar w:top="0" w:right="960" w:bottom="280" w:left="960" w:header="397" w:footer="936" w:gutter="0"/>
          <w:cols w:equalWidth="0" w:space="720" w:num="2">
            <w:col w:w="3321" w:space="1267"/>
            <w:col w:w="5732"/>
          </w:cols>
        </w:sectPr>
      </w:pPr>
    </w:p>
    <w:p w:rsidR="00C31389" w:rsidRDefault="00C31389" w14:paraId="06E0E42F" w14:textId="77777777">
      <w:pPr>
        <w:pStyle w:val="BodyText"/>
        <w:rPr>
          <w:b/>
          <w:sz w:val="20"/>
        </w:rPr>
      </w:pPr>
    </w:p>
    <w:p w:rsidR="00C31389" w:rsidRDefault="00C31389" w14:paraId="7C9E93BF" w14:textId="77777777">
      <w:pPr>
        <w:pStyle w:val="BodyText"/>
        <w:spacing w:before="3"/>
        <w:rPr>
          <w:b/>
          <w:sz w:val="11"/>
        </w:rPr>
      </w:pPr>
    </w:p>
    <w:p w:rsidR="00C31389" w:rsidRDefault="00561FBD" w14:paraId="6A96FAD3" w14:textId="77777777">
      <w:pPr>
        <w:tabs>
          <w:tab w:val="left" w:pos="5199"/>
        </w:tabs>
        <w:ind w:left="470"/>
        <w:rPr>
          <w:sz w:val="20"/>
        </w:rPr>
      </w:pPr>
      <w:r>
        <w:rPr>
          <w:noProof/>
          <w:position w:val="26"/>
          <w:sz w:val="20"/>
        </w:rPr>
        <mc:AlternateContent>
          <mc:Choice Requires="wpg">
            <w:drawing>
              <wp:inline distT="0" distB="0" distL="0" distR="0" wp14:anchorId="3E00A0DA" wp14:editId="3927A0EA">
                <wp:extent cx="2563495" cy="2038985"/>
                <wp:effectExtent l="9525" t="9525" r="8255" b="18414"/>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3495" cy="2038985"/>
                          <a:chOff x="0" y="0"/>
                          <a:chExt cx="2563495" cy="2038985"/>
                        </a:xfrm>
                      </wpg:grpSpPr>
                      <wps:wsp>
                        <wps:cNvPr id="228" name="Graphic 228"/>
                        <wps:cNvSpPr/>
                        <wps:spPr>
                          <a:xfrm>
                            <a:off x="6350" y="720298"/>
                            <a:ext cx="914400" cy="550545"/>
                          </a:xfrm>
                          <a:custGeom>
                            <a:avLst/>
                            <a:gdLst/>
                            <a:ahLst/>
                            <a:cxnLst/>
                            <a:rect l="l" t="t" r="r" b="b"/>
                            <a:pathLst>
                              <a:path w="914400" h="550545">
                                <a:moveTo>
                                  <a:pt x="822642" y="0"/>
                                </a:moveTo>
                                <a:lnTo>
                                  <a:pt x="91757" y="0"/>
                                </a:lnTo>
                                <a:lnTo>
                                  <a:pt x="56042" y="7211"/>
                                </a:lnTo>
                                <a:lnTo>
                                  <a:pt x="26876" y="26876"/>
                                </a:lnTo>
                                <a:lnTo>
                                  <a:pt x="7211" y="56042"/>
                                </a:lnTo>
                                <a:lnTo>
                                  <a:pt x="0" y="91757"/>
                                </a:lnTo>
                                <a:lnTo>
                                  <a:pt x="0" y="458749"/>
                                </a:lnTo>
                                <a:lnTo>
                                  <a:pt x="7211" y="494464"/>
                                </a:lnTo>
                                <a:lnTo>
                                  <a:pt x="26876" y="523630"/>
                                </a:lnTo>
                                <a:lnTo>
                                  <a:pt x="56042" y="543295"/>
                                </a:lnTo>
                                <a:lnTo>
                                  <a:pt x="91757" y="550506"/>
                                </a:lnTo>
                                <a:lnTo>
                                  <a:pt x="822642" y="550506"/>
                                </a:lnTo>
                                <a:lnTo>
                                  <a:pt x="858357" y="543295"/>
                                </a:lnTo>
                                <a:lnTo>
                                  <a:pt x="887523" y="523630"/>
                                </a:lnTo>
                                <a:lnTo>
                                  <a:pt x="907188" y="494464"/>
                                </a:lnTo>
                                <a:lnTo>
                                  <a:pt x="914400" y="458749"/>
                                </a:lnTo>
                                <a:lnTo>
                                  <a:pt x="914400" y="91757"/>
                                </a:lnTo>
                                <a:lnTo>
                                  <a:pt x="907188" y="56042"/>
                                </a:lnTo>
                                <a:lnTo>
                                  <a:pt x="887523" y="26876"/>
                                </a:lnTo>
                                <a:lnTo>
                                  <a:pt x="858357" y="7211"/>
                                </a:lnTo>
                                <a:lnTo>
                                  <a:pt x="822642" y="0"/>
                                </a:lnTo>
                                <a:close/>
                              </a:path>
                            </a:pathLst>
                          </a:custGeom>
                          <a:solidFill>
                            <a:srgbClr val="1F54C8"/>
                          </a:solidFill>
                        </wps:spPr>
                        <wps:bodyPr wrap="square" lIns="0" tIns="0" rIns="0" bIns="0" rtlCol="0">
                          <a:prstTxWarp prst="textNoShape">
                            <a:avLst/>
                          </a:prstTxWarp>
                          <a:noAutofit/>
                        </wps:bodyPr>
                      </wps:wsp>
                      <wps:wsp>
                        <wps:cNvPr id="229" name="Graphic 229"/>
                        <wps:cNvSpPr/>
                        <wps:spPr>
                          <a:xfrm>
                            <a:off x="6350" y="720298"/>
                            <a:ext cx="914400" cy="550545"/>
                          </a:xfrm>
                          <a:custGeom>
                            <a:avLst/>
                            <a:gdLst/>
                            <a:ahLst/>
                            <a:cxnLst/>
                            <a:rect l="l" t="t" r="r" b="b"/>
                            <a:pathLst>
                              <a:path w="914400" h="550545">
                                <a:moveTo>
                                  <a:pt x="0" y="91757"/>
                                </a:moveTo>
                                <a:lnTo>
                                  <a:pt x="7211" y="56042"/>
                                </a:lnTo>
                                <a:lnTo>
                                  <a:pt x="26876" y="26876"/>
                                </a:lnTo>
                                <a:lnTo>
                                  <a:pt x="56042" y="7211"/>
                                </a:lnTo>
                                <a:lnTo>
                                  <a:pt x="91757" y="0"/>
                                </a:lnTo>
                                <a:lnTo>
                                  <a:pt x="822642" y="0"/>
                                </a:lnTo>
                                <a:lnTo>
                                  <a:pt x="858357" y="7211"/>
                                </a:lnTo>
                                <a:lnTo>
                                  <a:pt x="887523" y="26876"/>
                                </a:lnTo>
                                <a:lnTo>
                                  <a:pt x="907188" y="56042"/>
                                </a:lnTo>
                                <a:lnTo>
                                  <a:pt x="914400" y="91757"/>
                                </a:lnTo>
                                <a:lnTo>
                                  <a:pt x="914400" y="458749"/>
                                </a:lnTo>
                                <a:lnTo>
                                  <a:pt x="907188" y="494464"/>
                                </a:lnTo>
                                <a:lnTo>
                                  <a:pt x="887523" y="523630"/>
                                </a:lnTo>
                                <a:lnTo>
                                  <a:pt x="858357" y="543295"/>
                                </a:lnTo>
                                <a:lnTo>
                                  <a:pt x="822642" y="550506"/>
                                </a:lnTo>
                                <a:lnTo>
                                  <a:pt x="91757" y="550506"/>
                                </a:lnTo>
                                <a:lnTo>
                                  <a:pt x="56042" y="543295"/>
                                </a:lnTo>
                                <a:lnTo>
                                  <a:pt x="26876" y="523630"/>
                                </a:lnTo>
                                <a:lnTo>
                                  <a:pt x="7211" y="494464"/>
                                </a:lnTo>
                                <a:lnTo>
                                  <a:pt x="0" y="458749"/>
                                </a:lnTo>
                                <a:lnTo>
                                  <a:pt x="0" y="91757"/>
                                </a:lnTo>
                                <a:close/>
                              </a:path>
                            </a:pathLst>
                          </a:custGeom>
                          <a:ln w="12700">
                            <a:solidFill>
                              <a:srgbClr val="133B92"/>
                            </a:solidFill>
                            <a:prstDash val="solid"/>
                          </a:ln>
                        </wps:spPr>
                        <wps:bodyPr wrap="square" lIns="0" tIns="0" rIns="0" bIns="0" rtlCol="0">
                          <a:prstTxWarp prst="textNoShape">
                            <a:avLst/>
                          </a:prstTxWarp>
                          <a:noAutofit/>
                        </wps:bodyPr>
                      </wps:wsp>
                      <wps:wsp>
                        <wps:cNvPr id="230" name="Graphic 230"/>
                        <wps:cNvSpPr/>
                        <wps:spPr>
                          <a:xfrm>
                            <a:off x="1436081" y="778365"/>
                            <a:ext cx="914400" cy="523240"/>
                          </a:xfrm>
                          <a:custGeom>
                            <a:avLst/>
                            <a:gdLst/>
                            <a:ahLst/>
                            <a:cxnLst/>
                            <a:rect l="l" t="t" r="r" b="b"/>
                            <a:pathLst>
                              <a:path w="914400" h="523240">
                                <a:moveTo>
                                  <a:pt x="827227" y="0"/>
                                </a:moveTo>
                                <a:lnTo>
                                  <a:pt x="87172" y="0"/>
                                </a:lnTo>
                                <a:lnTo>
                                  <a:pt x="53240" y="6850"/>
                                </a:lnTo>
                                <a:lnTo>
                                  <a:pt x="25531" y="25531"/>
                                </a:lnTo>
                                <a:lnTo>
                                  <a:pt x="6850" y="53240"/>
                                </a:lnTo>
                                <a:lnTo>
                                  <a:pt x="0" y="87172"/>
                                </a:lnTo>
                                <a:lnTo>
                                  <a:pt x="0" y="435863"/>
                                </a:lnTo>
                                <a:lnTo>
                                  <a:pt x="6850" y="469796"/>
                                </a:lnTo>
                                <a:lnTo>
                                  <a:pt x="25531" y="497505"/>
                                </a:lnTo>
                                <a:lnTo>
                                  <a:pt x="53240" y="516186"/>
                                </a:lnTo>
                                <a:lnTo>
                                  <a:pt x="87172" y="523036"/>
                                </a:lnTo>
                                <a:lnTo>
                                  <a:pt x="827227" y="523036"/>
                                </a:lnTo>
                                <a:lnTo>
                                  <a:pt x="861159" y="516186"/>
                                </a:lnTo>
                                <a:lnTo>
                                  <a:pt x="888868" y="497505"/>
                                </a:lnTo>
                                <a:lnTo>
                                  <a:pt x="907549" y="469796"/>
                                </a:lnTo>
                                <a:lnTo>
                                  <a:pt x="914400" y="435863"/>
                                </a:lnTo>
                                <a:lnTo>
                                  <a:pt x="914400" y="87172"/>
                                </a:lnTo>
                                <a:lnTo>
                                  <a:pt x="907549" y="53240"/>
                                </a:lnTo>
                                <a:lnTo>
                                  <a:pt x="888868" y="25531"/>
                                </a:lnTo>
                                <a:lnTo>
                                  <a:pt x="861159" y="6850"/>
                                </a:lnTo>
                                <a:lnTo>
                                  <a:pt x="827227" y="0"/>
                                </a:lnTo>
                                <a:close/>
                              </a:path>
                            </a:pathLst>
                          </a:custGeom>
                          <a:solidFill>
                            <a:srgbClr val="1F54C8"/>
                          </a:solidFill>
                        </wps:spPr>
                        <wps:bodyPr wrap="square" lIns="0" tIns="0" rIns="0" bIns="0" rtlCol="0">
                          <a:prstTxWarp prst="textNoShape">
                            <a:avLst/>
                          </a:prstTxWarp>
                          <a:noAutofit/>
                        </wps:bodyPr>
                      </wps:wsp>
                      <wps:wsp>
                        <wps:cNvPr id="231" name="Graphic 231"/>
                        <wps:cNvSpPr/>
                        <wps:spPr>
                          <a:xfrm>
                            <a:off x="1436081" y="778365"/>
                            <a:ext cx="914400" cy="523240"/>
                          </a:xfrm>
                          <a:custGeom>
                            <a:avLst/>
                            <a:gdLst/>
                            <a:ahLst/>
                            <a:cxnLst/>
                            <a:rect l="l" t="t" r="r" b="b"/>
                            <a:pathLst>
                              <a:path w="914400" h="523240">
                                <a:moveTo>
                                  <a:pt x="0" y="87172"/>
                                </a:moveTo>
                                <a:lnTo>
                                  <a:pt x="6850" y="53240"/>
                                </a:lnTo>
                                <a:lnTo>
                                  <a:pt x="25531" y="25531"/>
                                </a:lnTo>
                                <a:lnTo>
                                  <a:pt x="53240" y="6850"/>
                                </a:lnTo>
                                <a:lnTo>
                                  <a:pt x="87172" y="0"/>
                                </a:lnTo>
                                <a:lnTo>
                                  <a:pt x="827227" y="0"/>
                                </a:lnTo>
                                <a:lnTo>
                                  <a:pt x="861159" y="6850"/>
                                </a:lnTo>
                                <a:lnTo>
                                  <a:pt x="888868" y="25531"/>
                                </a:lnTo>
                                <a:lnTo>
                                  <a:pt x="907549" y="53240"/>
                                </a:lnTo>
                                <a:lnTo>
                                  <a:pt x="914400" y="87172"/>
                                </a:lnTo>
                                <a:lnTo>
                                  <a:pt x="914400" y="435863"/>
                                </a:lnTo>
                                <a:lnTo>
                                  <a:pt x="907549" y="469796"/>
                                </a:lnTo>
                                <a:lnTo>
                                  <a:pt x="888868" y="497505"/>
                                </a:lnTo>
                                <a:lnTo>
                                  <a:pt x="861159" y="516186"/>
                                </a:lnTo>
                                <a:lnTo>
                                  <a:pt x="827227" y="523036"/>
                                </a:lnTo>
                                <a:lnTo>
                                  <a:pt x="87172" y="523036"/>
                                </a:lnTo>
                                <a:lnTo>
                                  <a:pt x="53240" y="516186"/>
                                </a:lnTo>
                                <a:lnTo>
                                  <a:pt x="25531" y="497505"/>
                                </a:lnTo>
                                <a:lnTo>
                                  <a:pt x="6850" y="469796"/>
                                </a:lnTo>
                                <a:lnTo>
                                  <a:pt x="0" y="435863"/>
                                </a:lnTo>
                                <a:lnTo>
                                  <a:pt x="0" y="87172"/>
                                </a:lnTo>
                                <a:close/>
                              </a:path>
                            </a:pathLst>
                          </a:custGeom>
                          <a:ln w="12700">
                            <a:solidFill>
                              <a:srgbClr val="133B92"/>
                            </a:solidFill>
                            <a:prstDash val="solid"/>
                          </a:ln>
                        </wps:spPr>
                        <wps:bodyPr wrap="square" lIns="0" tIns="0" rIns="0" bIns="0" rtlCol="0">
                          <a:prstTxWarp prst="textNoShape">
                            <a:avLst/>
                          </a:prstTxWarp>
                          <a:noAutofit/>
                        </wps:bodyPr>
                      </wps:wsp>
                      <wps:wsp>
                        <wps:cNvPr id="232" name="Graphic 232"/>
                        <wps:cNvSpPr/>
                        <wps:spPr>
                          <a:xfrm>
                            <a:off x="1438197" y="128934"/>
                            <a:ext cx="914400" cy="523240"/>
                          </a:xfrm>
                          <a:custGeom>
                            <a:avLst/>
                            <a:gdLst/>
                            <a:ahLst/>
                            <a:cxnLst/>
                            <a:rect l="l" t="t" r="r" b="b"/>
                            <a:pathLst>
                              <a:path w="914400" h="523240">
                                <a:moveTo>
                                  <a:pt x="827227" y="0"/>
                                </a:moveTo>
                                <a:lnTo>
                                  <a:pt x="87172" y="0"/>
                                </a:lnTo>
                                <a:lnTo>
                                  <a:pt x="53240" y="6850"/>
                                </a:lnTo>
                                <a:lnTo>
                                  <a:pt x="25531" y="25531"/>
                                </a:lnTo>
                                <a:lnTo>
                                  <a:pt x="6850" y="53240"/>
                                </a:lnTo>
                                <a:lnTo>
                                  <a:pt x="0" y="87172"/>
                                </a:lnTo>
                                <a:lnTo>
                                  <a:pt x="0" y="435863"/>
                                </a:lnTo>
                                <a:lnTo>
                                  <a:pt x="6850" y="469796"/>
                                </a:lnTo>
                                <a:lnTo>
                                  <a:pt x="25531" y="497505"/>
                                </a:lnTo>
                                <a:lnTo>
                                  <a:pt x="53240" y="516186"/>
                                </a:lnTo>
                                <a:lnTo>
                                  <a:pt x="87172" y="523036"/>
                                </a:lnTo>
                                <a:lnTo>
                                  <a:pt x="827227" y="523036"/>
                                </a:lnTo>
                                <a:lnTo>
                                  <a:pt x="861159" y="516186"/>
                                </a:lnTo>
                                <a:lnTo>
                                  <a:pt x="888868" y="497505"/>
                                </a:lnTo>
                                <a:lnTo>
                                  <a:pt x="907549" y="469796"/>
                                </a:lnTo>
                                <a:lnTo>
                                  <a:pt x="914400" y="435863"/>
                                </a:lnTo>
                                <a:lnTo>
                                  <a:pt x="914400" y="87172"/>
                                </a:lnTo>
                                <a:lnTo>
                                  <a:pt x="907549" y="53240"/>
                                </a:lnTo>
                                <a:lnTo>
                                  <a:pt x="888868" y="25531"/>
                                </a:lnTo>
                                <a:lnTo>
                                  <a:pt x="861159" y="6850"/>
                                </a:lnTo>
                                <a:lnTo>
                                  <a:pt x="827227" y="0"/>
                                </a:lnTo>
                                <a:close/>
                              </a:path>
                            </a:pathLst>
                          </a:custGeom>
                          <a:solidFill>
                            <a:srgbClr val="1F54C8"/>
                          </a:solidFill>
                        </wps:spPr>
                        <wps:bodyPr wrap="square" lIns="0" tIns="0" rIns="0" bIns="0" rtlCol="0">
                          <a:prstTxWarp prst="textNoShape">
                            <a:avLst/>
                          </a:prstTxWarp>
                          <a:noAutofit/>
                        </wps:bodyPr>
                      </wps:wsp>
                      <wps:wsp>
                        <wps:cNvPr id="233" name="Graphic 233"/>
                        <wps:cNvSpPr/>
                        <wps:spPr>
                          <a:xfrm>
                            <a:off x="1438197" y="128934"/>
                            <a:ext cx="914400" cy="523240"/>
                          </a:xfrm>
                          <a:custGeom>
                            <a:avLst/>
                            <a:gdLst/>
                            <a:ahLst/>
                            <a:cxnLst/>
                            <a:rect l="l" t="t" r="r" b="b"/>
                            <a:pathLst>
                              <a:path w="914400" h="523240">
                                <a:moveTo>
                                  <a:pt x="0" y="87172"/>
                                </a:moveTo>
                                <a:lnTo>
                                  <a:pt x="6850" y="53240"/>
                                </a:lnTo>
                                <a:lnTo>
                                  <a:pt x="25531" y="25531"/>
                                </a:lnTo>
                                <a:lnTo>
                                  <a:pt x="53240" y="6850"/>
                                </a:lnTo>
                                <a:lnTo>
                                  <a:pt x="87172" y="0"/>
                                </a:lnTo>
                                <a:lnTo>
                                  <a:pt x="827227" y="0"/>
                                </a:lnTo>
                                <a:lnTo>
                                  <a:pt x="861159" y="6850"/>
                                </a:lnTo>
                                <a:lnTo>
                                  <a:pt x="888868" y="25531"/>
                                </a:lnTo>
                                <a:lnTo>
                                  <a:pt x="907549" y="53240"/>
                                </a:lnTo>
                                <a:lnTo>
                                  <a:pt x="914400" y="87172"/>
                                </a:lnTo>
                                <a:lnTo>
                                  <a:pt x="914400" y="435863"/>
                                </a:lnTo>
                                <a:lnTo>
                                  <a:pt x="907549" y="469796"/>
                                </a:lnTo>
                                <a:lnTo>
                                  <a:pt x="888868" y="497505"/>
                                </a:lnTo>
                                <a:lnTo>
                                  <a:pt x="861159" y="516186"/>
                                </a:lnTo>
                                <a:lnTo>
                                  <a:pt x="827227" y="523036"/>
                                </a:lnTo>
                                <a:lnTo>
                                  <a:pt x="87172" y="523036"/>
                                </a:lnTo>
                                <a:lnTo>
                                  <a:pt x="53240" y="516186"/>
                                </a:lnTo>
                                <a:lnTo>
                                  <a:pt x="25531" y="497505"/>
                                </a:lnTo>
                                <a:lnTo>
                                  <a:pt x="6850" y="469796"/>
                                </a:lnTo>
                                <a:lnTo>
                                  <a:pt x="0" y="435863"/>
                                </a:lnTo>
                                <a:lnTo>
                                  <a:pt x="0" y="87172"/>
                                </a:lnTo>
                                <a:close/>
                              </a:path>
                            </a:pathLst>
                          </a:custGeom>
                          <a:ln w="12700">
                            <a:solidFill>
                              <a:srgbClr val="133B92"/>
                            </a:solidFill>
                            <a:prstDash val="solid"/>
                          </a:ln>
                        </wps:spPr>
                        <wps:bodyPr wrap="square" lIns="0" tIns="0" rIns="0" bIns="0" rtlCol="0">
                          <a:prstTxWarp prst="textNoShape">
                            <a:avLst/>
                          </a:prstTxWarp>
                          <a:noAutofit/>
                        </wps:bodyPr>
                      </wps:wsp>
                      <wps:wsp>
                        <wps:cNvPr id="234" name="Graphic 234"/>
                        <wps:cNvSpPr/>
                        <wps:spPr>
                          <a:xfrm>
                            <a:off x="920715" y="440184"/>
                            <a:ext cx="478155" cy="602615"/>
                          </a:xfrm>
                          <a:custGeom>
                            <a:avLst/>
                            <a:gdLst/>
                            <a:ahLst/>
                            <a:cxnLst/>
                            <a:rect l="l" t="t" r="r" b="b"/>
                            <a:pathLst>
                              <a:path w="478155" h="602615">
                                <a:moveTo>
                                  <a:pt x="0" y="602272"/>
                                </a:moveTo>
                                <a:lnTo>
                                  <a:pt x="478002" y="0"/>
                                </a:lnTo>
                              </a:path>
                            </a:pathLst>
                          </a:custGeom>
                          <a:ln w="12700">
                            <a:solidFill>
                              <a:srgbClr val="000000"/>
                            </a:solidFill>
                            <a:prstDash val="solid"/>
                          </a:ln>
                        </wps:spPr>
                        <wps:bodyPr wrap="square" lIns="0" tIns="0" rIns="0" bIns="0" rtlCol="0">
                          <a:prstTxWarp prst="textNoShape">
                            <a:avLst/>
                          </a:prstTxWarp>
                          <a:noAutofit/>
                        </wps:bodyPr>
                      </wps:wsp>
                      <wps:wsp>
                        <wps:cNvPr id="235" name="Graphic 235"/>
                        <wps:cNvSpPr/>
                        <wps:spPr>
                          <a:xfrm>
                            <a:off x="1360984" y="390441"/>
                            <a:ext cx="77470" cy="83820"/>
                          </a:xfrm>
                          <a:custGeom>
                            <a:avLst/>
                            <a:gdLst/>
                            <a:ahLst/>
                            <a:cxnLst/>
                            <a:rect l="l" t="t" r="r" b="b"/>
                            <a:pathLst>
                              <a:path w="77470" h="83820">
                                <a:moveTo>
                                  <a:pt x="77215" y="0"/>
                                </a:moveTo>
                                <a:lnTo>
                                  <a:pt x="0" y="36004"/>
                                </a:lnTo>
                                <a:lnTo>
                                  <a:pt x="59689" y="83375"/>
                                </a:lnTo>
                                <a:lnTo>
                                  <a:pt x="77215"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920715" y="1040196"/>
                            <a:ext cx="452120" cy="2540"/>
                          </a:xfrm>
                          <a:custGeom>
                            <a:avLst/>
                            <a:gdLst/>
                            <a:ahLst/>
                            <a:cxnLst/>
                            <a:rect l="l" t="t" r="r" b="b"/>
                            <a:pathLst>
                              <a:path w="452120" h="2540">
                                <a:moveTo>
                                  <a:pt x="0" y="2260"/>
                                </a:moveTo>
                                <a:lnTo>
                                  <a:pt x="451866" y="0"/>
                                </a:lnTo>
                              </a:path>
                            </a:pathLst>
                          </a:custGeom>
                          <a:ln w="12699">
                            <a:solidFill>
                              <a:srgbClr val="000000"/>
                            </a:solidFill>
                            <a:prstDash val="solid"/>
                          </a:ln>
                        </wps:spPr>
                        <wps:bodyPr wrap="square" lIns="0" tIns="0" rIns="0" bIns="0" rtlCol="0">
                          <a:prstTxWarp prst="textNoShape">
                            <a:avLst/>
                          </a:prstTxWarp>
                          <a:noAutofit/>
                        </wps:bodyPr>
                      </wps:wsp>
                      <wps:wsp>
                        <wps:cNvPr id="237" name="Graphic 237"/>
                        <wps:cNvSpPr/>
                        <wps:spPr>
                          <a:xfrm>
                            <a:off x="1359695" y="1002159"/>
                            <a:ext cx="76835" cy="76200"/>
                          </a:xfrm>
                          <a:custGeom>
                            <a:avLst/>
                            <a:gdLst/>
                            <a:ahLst/>
                            <a:cxnLst/>
                            <a:rect l="l" t="t" r="r" b="b"/>
                            <a:pathLst>
                              <a:path w="76835" h="76200">
                                <a:moveTo>
                                  <a:pt x="0" y="0"/>
                                </a:moveTo>
                                <a:lnTo>
                                  <a:pt x="381" y="76200"/>
                                </a:lnTo>
                                <a:lnTo>
                                  <a:pt x="76390" y="37719"/>
                                </a:lnTo>
                                <a:lnTo>
                                  <a:pt x="0"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1436081" y="1417826"/>
                            <a:ext cx="914400" cy="523240"/>
                          </a:xfrm>
                          <a:custGeom>
                            <a:avLst/>
                            <a:gdLst/>
                            <a:ahLst/>
                            <a:cxnLst/>
                            <a:rect l="l" t="t" r="r" b="b"/>
                            <a:pathLst>
                              <a:path w="914400" h="523240">
                                <a:moveTo>
                                  <a:pt x="827227" y="0"/>
                                </a:moveTo>
                                <a:lnTo>
                                  <a:pt x="87172" y="0"/>
                                </a:lnTo>
                                <a:lnTo>
                                  <a:pt x="53240" y="6850"/>
                                </a:lnTo>
                                <a:lnTo>
                                  <a:pt x="25531" y="25531"/>
                                </a:lnTo>
                                <a:lnTo>
                                  <a:pt x="6850" y="53240"/>
                                </a:lnTo>
                                <a:lnTo>
                                  <a:pt x="0" y="87172"/>
                                </a:lnTo>
                                <a:lnTo>
                                  <a:pt x="0" y="435864"/>
                                </a:lnTo>
                                <a:lnTo>
                                  <a:pt x="6850" y="469796"/>
                                </a:lnTo>
                                <a:lnTo>
                                  <a:pt x="25531" y="497505"/>
                                </a:lnTo>
                                <a:lnTo>
                                  <a:pt x="53240" y="516186"/>
                                </a:lnTo>
                                <a:lnTo>
                                  <a:pt x="87172" y="523036"/>
                                </a:lnTo>
                                <a:lnTo>
                                  <a:pt x="827227" y="523036"/>
                                </a:lnTo>
                                <a:lnTo>
                                  <a:pt x="861159" y="516186"/>
                                </a:lnTo>
                                <a:lnTo>
                                  <a:pt x="888868" y="497505"/>
                                </a:lnTo>
                                <a:lnTo>
                                  <a:pt x="907549" y="469796"/>
                                </a:lnTo>
                                <a:lnTo>
                                  <a:pt x="914400" y="435864"/>
                                </a:lnTo>
                                <a:lnTo>
                                  <a:pt x="914400" y="87172"/>
                                </a:lnTo>
                                <a:lnTo>
                                  <a:pt x="907549" y="53240"/>
                                </a:lnTo>
                                <a:lnTo>
                                  <a:pt x="888868" y="25531"/>
                                </a:lnTo>
                                <a:lnTo>
                                  <a:pt x="861159" y="6850"/>
                                </a:lnTo>
                                <a:lnTo>
                                  <a:pt x="827227" y="0"/>
                                </a:lnTo>
                                <a:close/>
                              </a:path>
                            </a:pathLst>
                          </a:custGeom>
                          <a:solidFill>
                            <a:srgbClr val="1F54C8"/>
                          </a:solidFill>
                        </wps:spPr>
                        <wps:bodyPr wrap="square" lIns="0" tIns="0" rIns="0" bIns="0" rtlCol="0">
                          <a:prstTxWarp prst="textNoShape">
                            <a:avLst/>
                          </a:prstTxWarp>
                          <a:noAutofit/>
                        </wps:bodyPr>
                      </wps:wsp>
                      <wps:wsp>
                        <wps:cNvPr id="239" name="Graphic 239"/>
                        <wps:cNvSpPr/>
                        <wps:spPr>
                          <a:xfrm>
                            <a:off x="1436081" y="1417826"/>
                            <a:ext cx="914400" cy="523240"/>
                          </a:xfrm>
                          <a:custGeom>
                            <a:avLst/>
                            <a:gdLst/>
                            <a:ahLst/>
                            <a:cxnLst/>
                            <a:rect l="l" t="t" r="r" b="b"/>
                            <a:pathLst>
                              <a:path w="914400" h="523240">
                                <a:moveTo>
                                  <a:pt x="0" y="87172"/>
                                </a:moveTo>
                                <a:lnTo>
                                  <a:pt x="6850" y="53240"/>
                                </a:lnTo>
                                <a:lnTo>
                                  <a:pt x="25531" y="25531"/>
                                </a:lnTo>
                                <a:lnTo>
                                  <a:pt x="53240" y="6850"/>
                                </a:lnTo>
                                <a:lnTo>
                                  <a:pt x="87172" y="0"/>
                                </a:lnTo>
                                <a:lnTo>
                                  <a:pt x="827227" y="0"/>
                                </a:lnTo>
                                <a:lnTo>
                                  <a:pt x="861159" y="6850"/>
                                </a:lnTo>
                                <a:lnTo>
                                  <a:pt x="888868" y="25531"/>
                                </a:lnTo>
                                <a:lnTo>
                                  <a:pt x="907549" y="53240"/>
                                </a:lnTo>
                                <a:lnTo>
                                  <a:pt x="914400" y="87172"/>
                                </a:lnTo>
                                <a:lnTo>
                                  <a:pt x="914400" y="435864"/>
                                </a:lnTo>
                                <a:lnTo>
                                  <a:pt x="907549" y="469796"/>
                                </a:lnTo>
                                <a:lnTo>
                                  <a:pt x="888868" y="497505"/>
                                </a:lnTo>
                                <a:lnTo>
                                  <a:pt x="861159" y="516186"/>
                                </a:lnTo>
                                <a:lnTo>
                                  <a:pt x="827227" y="523036"/>
                                </a:lnTo>
                                <a:lnTo>
                                  <a:pt x="87172" y="523036"/>
                                </a:lnTo>
                                <a:lnTo>
                                  <a:pt x="53240" y="516186"/>
                                </a:lnTo>
                                <a:lnTo>
                                  <a:pt x="25531" y="497505"/>
                                </a:lnTo>
                                <a:lnTo>
                                  <a:pt x="6850" y="469796"/>
                                </a:lnTo>
                                <a:lnTo>
                                  <a:pt x="0" y="435864"/>
                                </a:lnTo>
                                <a:lnTo>
                                  <a:pt x="0" y="87172"/>
                                </a:lnTo>
                                <a:close/>
                              </a:path>
                            </a:pathLst>
                          </a:custGeom>
                          <a:ln w="12700">
                            <a:solidFill>
                              <a:srgbClr val="133B92"/>
                            </a:solidFill>
                            <a:prstDash val="solid"/>
                          </a:ln>
                        </wps:spPr>
                        <wps:bodyPr wrap="square" lIns="0" tIns="0" rIns="0" bIns="0" rtlCol="0">
                          <a:prstTxWarp prst="textNoShape">
                            <a:avLst/>
                          </a:prstTxWarp>
                          <a:noAutofit/>
                        </wps:bodyPr>
                      </wps:wsp>
                      <wps:wsp>
                        <wps:cNvPr id="240" name="Graphic 240"/>
                        <wps:cNvSpPr/>
                        <wps:spPr>
                          <a:xfrm>
                            <a:off x="920715" y="1042456"/>
                            <a:ext cx="475615" cy="588010"/>
                          </a:xfrm>
                          <a:custGeom>
                            <a:avLst/>
                            <a:gdLst/>
                            <a:ahLst/>
                            <a:cxnLst/>
                            <a:rect l="l" t="t" r="r" b="b"/>
                            <a:pathLst>
                              <a:path w="475615" h="588010">
                                <a:moveTo>
                                  <a:pt x="0" y="0"/>
                                </a:moveTo>
                                <a:lnTo>
                                  <a:pt x="475424" y="587514"/>
                                </a:lnTo>
                              </a:path>
                            </a:pathLst>
                          </a:custGeom>
                          <a:ln w="12700">
                            <a:solidFill>
                              <a:srgbClr val="000000"/>
                            </a:solidFill>
                            <a:prstDash val="solid"/>
                          </a:ln>
                        </wps:spPr>
                        <wps:bodyPr wrap="square" lIns="0" tIns="0" rIns="0" bIns="0" rtlCol="0">
                          <a:prstTxWarp prst="textNoShape">
                            <a:avLst/>
                          </a:prstTxWarp>
                          <a:noAutofit/>
                        </wps:bodyPr>
                      </wps:wsp>
                      <wps:wsp>
                        <wps:cNvPr id="241" name="Graphic 241"/>
                        <wps:cNvSpPr/>
                        <wps:spPr>
                          <a:xfrm>
                            <a:off x="1358536" y="1596133"/>
                            <a:ext cx="78105" cy="83820"/>
                          </a:xfrm>
                          <a:custGeom>
                            <a:avLst/>
                            <a:gdLst/>
                            <a:ahLst/>
                            <a:cxnLst/>
                            <a:rect l="l" t="t" r="r" b="b"/>
                            <a:pathLst>
                              <a:path w="78105" h="83820">
                                <a:moveTo>
                                  <a:pt x="59232" y="0"/>
                                </a:moveTo>
                                <a:lnTo>
                                  <a:pt x="0" y="47929"/>
                                </a:lnTo>
                                <a:lnTo>
                                  <a:pt x="77546" y="83197"/>
                                </a:lnTo>
                                <a:lnTo>
                                  <a:pt x="59232"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1238594" y="14287"/>
                            <a:ext cx="1310640" cy="2010410"/>
                          </a:xfrm>
                          <a:custGeom>
                            <a:avLst/>
                            <a:gdLst/>
                            <a:ahLst/>
                            <a:cxnLst/>
                            <a:rect l="l" t="t" r="r" b="b"/>
                            <a:pathLst>
                              <a:path w="1310640" h="2010410">
                                <a:moveTo>
                                  <a:pt x="0" y="218351"/>
                                </a:moveTo>
                                <a:lnTo>
                                  <a:pt x="5767" y="168286"/>
                                </a:lnTo>
                                <a:lnTo>
                                  <a:pt x="22194" y="122328"/>
                                </a:lnTo>
                                <a:lnTo>
                                  <a:pt x="47971" y="81785"/>
                                </a:lnTo>
                                <a:lnTo>
                                  <a:pt x="81785" y="47971"/>
                                </a:lnTo>
                                <a:lnTo>
                                  <a:pt x="122328" y="22194"/>
                                </a:lnTo>
                                <a:lnTo>
                                  <a:pt x="168286" y="5767"/>
                                </a:lnTo>
                                <a:lnTo>
                                  <a:pt x="218351" y="0"/>
                                </a:lnTo>
                                <a:lnTo>
                                  <a:pt x="1091742" y="0"/>
                                </a:lnTo>
                                <a:lnTo>
                                  <a:pt x="1141806" y="5767"/>
                                </a:lnTo>
                                <a:lnTo>
                                  <a:pt x="1187765" y="22194"/>
                                </a:lnTo>
                                <a:lnTo>
                                  <a:pt x="1228307" y="47971"/>
                                </a:lnTo>
                                <a:lnTo>
                                  <a:pt x="1262122" y="81785"/>
                                </a:lnTo>
                                <a:lnTo>
                                  <a:pt x="1287899" y="122328"/>
                                </a:lnTo>
                                <a:lnTo>
                                  <a:pt x="1304326" y="168286"/>
                                </a:lnTo>
                                <a:lnTo>
                                  <a:pt x="1310093" y="218351"/>
                                </a:lnTo>
                                <a:lnTo>
                                  <a:pt x="1310093" y="1791703"/>
                                </a:lnTo>
                                <a:lnTo>
                                  <a:pt x="1304326" y="1841771"/>
                                </a:lnTo>
                                <a:lnTo>
                                  <a:pt x="1287899" y="1887731"/>
                                </a:lnTo>
                                <a:lnTo>
                                  <a:pt x="1262122" y="1928273"/>
                                </a:lnTo>
                                <a:lnTo>
                                  <a:pt x="1228307" y="1962087"/>
                                </a:lnTo>
                                <a:lnTo>
                                  <a:pt x="1187765" y="1987862"/>
                                </a:lnTo>
                                <a:lnTo>
                                  <a:pt x="1141806" y="2004287"/>
                                </a:lnTo>
                                <a:lnTo>
                                  <a:pt x="1091742" y="2010054"/>
                                </a:lnTo>
                                <a:lnTo>
                                  <a:pt x="218351" y="2010054"/>
                                </a:lnTo>
                                <a:lnTo>
                                  <a:pt x="168286" y="2004287"/>
                                </a:lnTo>
                                <a:lnTo>
                                  <a:pt x="122328" y="1987862"/>
                                </a:lnTo>
                                <a:lnTo>
                                  <a:pt x="81785" y="1962087"/>
                                </a:lnTo>
                                <a:lnTo>
                                  <a:pt x="47971" y="1928273"/>
                                </a:lnTo>
                                <a:lnTo>
                                  <a:pt x="22194" y="1887731"/>
                                </a:lnTo>
                                <a:lnTo>
                                  <a:pt x="5767" y="1841771"/>
                                </a:lnTo>
                                <a:lnTo>
                                  <a:pt x="0" y="1791703"/>
                                </a:lnTo>
                                <a:lnTo>
                                  <a:pt x="0" y="218351"/>
                                </a:lnTo>
                                <a:close/>
                              </a:path>
                            </a:pathLst>
                          </a:custGeom>
                          <a:ln w="28575">
                            <a:solidFill>
                              <a:srgbClr val="F16930"/>
                            </a:solidFill>
                            <a:prstDash val="sysDash"/>
                          </a:ln>
                        </wps:spPr>
                        <wps:bodyPr wrap="square" lIns="0" tIns="0" rIns="0" bIns="0" rtlCol="0">
                          <a:prstTxWarp prst="textNoShape">
                            <a:avLst/>
                          </a:prstTxWarp>
                          <a:noAutofit/>
                        </wps:bodyPr>
                      </wps:wsp>
                      <wps:wsp>
                        <wps:cNvPr id="243" name="Textbox 243"/>
                        <wps:cNvSpPr txBox="1"/>
                        <wps:spPr>
                          <a:xfrm>
                            <a:off x="50546" y="201101"/>
                            <a:ext cx="1041400" cy="260350"/>
                          </a:xfrm>
                          <a:prstGeom prst="rect">
                            <a:avLst/>
                          </a:prstGeom>
                        </wps:spPr>
                        <wps:txbx>
                          <w:txbxContent>
                            <w:p w:rsidR="00C31389" w:rsidRDefault="00561FBD" w14:paraId="39A894DA" w14:textId="77777777">
                              <w:pPr>
                                <w:spacing w:line="242" w:lineRule="auto"/>
                                <w:ind w:left="548" w:right="13" w:hanging="549"/>
                                <w:rPr>
                                  <w:sz w:val="18"/>
                                </w:rPr>
                              </w:pPr>
                              <w:r>
                                <w:rPr>
                                  <w:color w:val="F16930"/>
                                  <w:sz w:val="18"/>
                                </w:rPr>
                                <w:t>Competing</w:t>
                              </w:r>
                              <w:r>
                                <w:rPr>
                                  <w:color w:val="F16930"/>
                                  <w:spacing w:val="-13"/>
                                  <w:sz w:val="18"/>
                                </w:rPr>
                                <w:t xml:space="preserve"> </w:t>
                              </w:r>
                              <w:r>
                                <w:rPr>
                                  <w:color w:val="F16930"/>
                                  <w:sz w:val="18"/>
                                </w:rPr>
                                <w:t xml:space="preserve">Measure </w:t>
                              </w:r>
                              <w:r>
                                <w:rPr>
                                  <w:color w:val="F16930"/>
                                  <w:spacing w:val="-2"/>
                                  <w:sz w:val="18"/>
                                </w:rPr>
                                <w:t>Levels</w:t>
                              </w:r>
                            </w:p>
                          </w:txbxContent>
                        </wps:txbx>
                        <wps:bodyPr wrap="square" lIns="0" tIns="0" rIns="0" bIns="0" rtlCol="0">
                          <a:noAutofit/>
                        </wps:bodyPr>
                      </wps:wsp>
                      <wps:wsp>
                        <wps:cNvPr id="244" name="Textbox 244"/>
                        <wps:cNvSpPr txBox="1"/>
                        <wps:spPr>
                          <a:xfrm>
                            <a:off x="1692655" y="262823"/>
                            <a:ext cx="419100" cy="259715"/>
                          </a:xfrm>
                          <a:prstGeom prst="rect">
                            <a:avLst/>
                          </a:prstGeom>
                        </wps:spPr>
                        <wps:txbx>
                          <w:txbxContent>
                            <w:p w:rsidR="00C31389" w:rsidRDefault="00561FBD" w14:paraId="5F18DC6E" w14:textId="77777777">
                              <w:pPr>
                                <w:ind w:left="28" w:hanging="29"/>
                                <w:rPr>
                                  <w:sz w:val="18"/>
                                </w:rPr>
                              </w:pPr>
                              <w:r>
                                <w:rPr>
                                  <w:color w:val="FFFFFF"/>
                                  <w:spacing w:val="-2"/>
                                  <w:sz w:val="18"/>
                                </w:rPr>
                                <w:t xml:space="preserve">Efficient </w:t>
                              </w:r>
                              <w:r>
                                <w:rPr>
                                  <w:color w:val="FFFFFF"/>
                                  <w:sz w:val="18"/>
                                </w:rPr>
                                <w:t>Level</w:t>
                              </w:r>
                              <w:r>
                                <w:rPr>
                                  <w:color w:val="FFFFFF"/>
                                  <w:spacing w:val="-2"/>
                                  <w:sz w:val="18"/>
                                </w:rPr>
                                <w:t xml:space="preserve"> </w:t>
                              </w:r>
                              <w:r>
                                <w:rPr>
                                  <w:color w:val="FFFFFF"/>
                                  <w:spacing w:val="-10"/>
                                  <w:sz w:val="18"/>
                                </w:rPr>
                                <w:t>1</w:t>
                              </w:r>
                            </w:p>
                          </w:txbxContent>
                        </wps:txbx>
                        <wps:bodyPr wrap="square" lIns="0" tIns="0" rIns="0" bIns="0" rtlCol="0">
                          <a:noAutofit/>
                        </wps:bodyPr>
                      </wps:wsp>
                      <wps:wsp>
                        <wps:cNvPr id="245" name="Textbox 245"/>
                        <wps:cNvSpPr txBox="1"/>
                        <wps:spPr>
                          <a:xfrm>
                            <a:off x="241045" y="802319"/>
                            <a:ext cx="457200" cy="391160"/>
                          </a:xfrm>
                          <a:prstGeom prst="rect">
                            <a:avLst/>
                          </a:prstGeom>
                        </wps:spPr>
                        <wps:txbx>
                          <w:txbxContent>
                            <w:p w:rsidR="00C31389" w:rsidRDefault="00561FBD" w14:paraId="780BEB05" w14:textId="77777777">
                              <w:pPr>
                                <w:ind w:left="-1" w:right="18" w:hanging="2"/>
                                <w:jc w:val="center"/>
                                <w:rPr>
                                  <w:sz w:val="18"/>
                                </w:rPr>
                              </w:pPr>
                              <w:r>
                                <w:rPr>
                                  <w:color w:val="FFFFFF"/>
                                  <w:spacing w:val="-2"/>
                                  <w:sz w:val="18"/>
                                </w:rPr>
                                <w:t>Baseline Measure Level</w:t>
                              </w:r>
                            </w:p>
                          </w:txbxContent>
                        </wps:txbx>
                        <wps:bodyPr wrap="square" lIns="0" tIns="0" rIns="0" bIns="0" rtlCol="0">
                          <a:noAutofit/>
                        </wps:bodyPr>
                      </wps:wsp>
                      <wps:wsp>
                        <wps:cNvPr id="246" name="Textbox 246"/>
                        <wps:cNvSpPr txBox="1"/>
                        <wps:spPr>
                          <a:xfrm>
                            <a:off x="1584452" y="912047"/>
                            <a:ext cx="629285" cy="259715"/>
                          </a:xfrm>
                          <a:prstGeom prst="rect">
                            <a:avLst/>
                          </a:prstGeom>
                        </wps:spPr>
                        <wps:txbx>
                          <w:txbxContent>
                            <w:p w:rsidR="00C31389" w:rsidRDefault="00561FBD" w14:paraId="5D9D4698" w14:textId="77777777">
                              <w:pPr>
                                <w:ind w:firstLine="165"/>
                                <w:rPr>
                                  <w:sz w:val="18"/>
                                </w:rPr>
                              </w:pPr>
                              <w:r>
                                <w:rPr>
                                  <w:color w:val="FFFFFF"/>
                                  <w:spacing w:val="-2"/>
                                  <w:sz w:val="18"/>
                                </w:rPr>
                                <w:t xml:space="preserve">Efficient </w:t>
                              </w:r>
                              <w:r>
                                <w:rPr>
                                  <w:color w:val="FFFFFF"/>
                                  <w:sz w:val="18"/>
                                </w:rPr>
                                <w:t>Level</w:t>
                              </w:r>
                              <w:r>
                                <w:rPr>
                                  <w:color w:val="FFFFFF"/>
                                  <w:spacing w:val="-15"/>
                                  <w:sz w:val="18"/>
                                </w:rPr>
                                <w:t xml:space="preserve"> </w:t>
                              </w:r>
                              <w:r>
                                <w:rPr>
                                  <w:color w:val="FFFFFF"/>
                                  <w:sz w:val="18"/>
                                </w:rPr>
                                <w:t>2,</w:t>
                              </w:r>
                              <w:r>
                                <w:rPr>
                                  <w:color w:val="FFFFFF"/>
                                  <w:spacing w:val="-13"/>
                                  <w:sz w:val="18"/>
                                </w:rPr>
                                <w:t xml:space="preserve"> </w:t>
                              </w:r>
                              <w:r>
                                <w:rPr>
                                  <w:color w:val="FFFFFF"/>
                                  <w:sz w:val="18"/>
                                </w:rPr>
                                <w:t>etc.</w:t>
                              </w:r>
                            </w:p>
                          </w:txbxContent>
                        </wps:txbx>
                        <wps:bodyPr wrap="square" lIns="0" tIns="0" rIns="0" bIns="0" rtlCol="0">
                          <a:noAutofit/>
                        </wps:bodyPr>
                      </wps:wsp>
                      <wps:wsp>
                        <wps:cNvPr id="247" name="Textbox 247"/>
                        <wps:cNvSpPr txBox="1"/>
                        <wps:spPr>
                          <a:xfrm>
                            <a:off x="1648460" y="1498787"/>
                            <a:ext cx="501650" cy="391160"/>
                          </a:xfrm>
                          <a:prstGeom prst="rect">
                            <a:avLst/>
                          </a:prstGeom>
                        </wps:spPr>
                        <wps:txbx>
                          <w:txbxContent>
                            <w:p w:rsidR="00C31389" w:rsidRDefault="00561FBD" w14:paraId="1B57DE5C" w14:textId="77777777">
                              <w:pPr>
                                <w:ind w:right="18"/>
                                <w:jc w:val="center"/>
                                <w:rPr>
                                  <w:sz w:val="18"/>
                                </w:rPr>
                              </w:pPr>
                              <w:r>
                                <w:rPr>
                                  <w:color w:val="FFFFFF"/>
                                  <w:spacing w:val="-2"/>
                                  <w:sz w:val="18"/>
                                </w:rPr>
                                <w:t>Highest Efficiency Level</w:t>
                              </w:r>
                            </w:p>
                          </w:txbxContent>
                        </wps:txbx>
                        <wps:bodyPr wrap="square" lIns="0" tIns="0" rIns="0" bIns="0" rtlCol="0">
                          <a:noAutofit/>
                        </wps:bodyPr>
                      </wps:wsp>
                    </wpg:wgp>
                  </a:graphicData>
                </a:graphic>
              </wp:inline>
            </w:drawing>
          </mc:Choice>
          <mc:Fallback>
            <w:pict>
              <v:group id="Group 227" style="width:201.85pt;height:160.55pt;mso-position-horizontal-relative:char;mso-position-vertical-relative:line" coordsize="25634,20389" o:spid="_x0000_s1041" w14:anchorId="3E00A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">
                <v:shape id="Graphic 228" style="position:absolute;left:63;top:7202;width:9144;height:5506;visibility:visible;mso-wrap-style:square;v-text-anchor:top" coordsize="914400,550545" o:spid="_x0000_s1042" fillcolor="#1f54c8" stroked="f" path="m822642,l91757,,56042,7211,26876,26876,7211,56042,,91757,,458749r7211,35715l26876,523630r29166,19665l91757,550506r730885,l858357,543295r29166,-19665l907188,494464r7212,-35715l914400,91757,907188,56042,887523,26876,858357,7211,822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">
                  <v:path arrowok="t"/>
                </v:shape>
                <v:shape id="Graphic 229" style="position:absolute;left:63;top:7202;width:9144;height:5506;visibility:visible;mso-wrap-style:square;v-text-anchor:top" coordsize="914400,550545" o:spid="_x0000_s1043" filled="f" strokecolor="#133b92" strokeweight="1pt" path="m,91757l7211,56042,26876,26876,56042,7211,91757,,822642,r35715,7211l887523,26876r19665,29166l914400,91757r,366992l907188,494464r-19665,29166l858357,543295r-35715,7211l91757,550506,56042,543295,26876,523630,7211,494464,,458749,,917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">
                  <v:path arrowok="t"/>
                </v:shape>
                <v:shape id="Graphic 230" style="position:absolute;left:14360;top:7783;width:9144;height:5233;visibility:visible;mso-wrap-style:square;v-text-anchor:top" coordsize="914400,523240" o:spid="_x0000_s1044" fillcolor="#1f54c8" stroked="f" path="m827227,l87172,,53240,6850,25531,25531,6850,53240,,87172,,435863r6850,33933l25531,497505r27709,18681l87172,523036r740055,l861159,516186r27709,-18681l907549,469796r6851,-33933l914400,87172,907549,53240,888868,25531,861159,6850,827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">
                  <v:path arrowok="t"/>
                </v:shape>
                <v:shape id="Graphic 231" style="position:absolute;left:14360;top:7783;width:9144;height:5233;visibility:visible;mso-wrap-style:square;v-text-anchor:top" coordsize="914400,523240" o:spid="_x0000_s1045" filled="f" strokecolor="#133b92" strokeweight="1pt" path="m,87172l6850,53240,25531,25531,53240,6850,87172,,827227,r33932,6850l888868,25531r18681,27709l914400,87172r,348691l907549,469796r-18681,27709l861159,516186r-33932,6850l87172,523036,53240,516186,25531,497505,6850,469796,,435863,,87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">
                  <v:path arrowok="t"/>
                </v:shape>
                <v:shape id="Graphic 232" style="position:absolute;left:14381;top:1289;width:9144;height:5232;visibility:visible;mso-wrap-style:square;v-text-anchor:top" coordsize="914400,523240" o:spid="_x0000_s1046" fillcolor="#1f54c8" stroked="f" path="m827227,l87172,,53240,6850,25531,25531,6850,53240,,87172,,435863r6850,33933l25531,497505r27709,18681l87172,523036r740055,l861159,516186r27709,-18681l907549,469796r6851,-33933l914400,87172,907549,53240,888868,25531,861159,6850,827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">
                  <v:path arrowok="t"/>
                </v:shape>
                <v:shape id="Graphic 233" style="position:absolute;left:14381;top:1289;width:9144;height:5232;visibility:visible;mso-wrap-style:square;v-text-anchor:top" coordsize="914400,523240" o:spid="_x0000_s1047" filled="f" strokecolor="#133b92" strokeweight="1pt" path="m,87172l6850,53240,25531,25531,53240,6850,87172,,827227,r33932,6850l888868,25531r18681,27709l914400,87172r,348691l907549,469796r-18681,27709l861159,516186r-33932,6850l87172,523036,53240,516186,25531,497505,6850,469796,,435863,,87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">
                  <v:path arrowok="t"/>
                </v:shape>
                <v:shape id="Graphic 234" style="position:absolute;left:9207;top:4401;width:4781;height:6026;visibility:visible;mso-wrap-style:square;v-text-anchor:top" coordsize="478155,602615" o:spid="_x0000_s1048" filled="f" strokeweight="1pt" path="m,602272l478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">
                  <v:path arrowok="t"/>
                </v:shape>
                <v:shape id="Graphic 235" style="position:absolute;left:13609;top:3904;width:775;height:838;visibility:visible;mso-wrap-style:square;v-text-anchor:top" coordsize="77470,83820" o:spid="_x0000_s1049" fillcolor="black" stroked="f" path="m77215,l,36004,59689,83375,77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">
                  <v:path arrowok="t"/>
                </v:shape>
                <v:shape id="Graphic 236" style="position:absolute;left:9207;top:10401;width:4521;height:26;visibility:visible;mso-wrap-style:square;v-text-anchor:top" coordsize="452120,2540" o:spid="_x0000_s1050" filled="f" strokeweight=".35275mm" path="m,2260l4518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">
                  <v:path arrowok="t"/>
                </v:shape>
                <v:shape id="Graphic 237" style="position:absolute;left:13596;top:10021;width:769;height:762;visibility:visible;mso-wrap-style:square;v-text-anchor:top" coordsize="76835,76200" o:spid="_x0000_s1051" fillcolor="black" stroked="f" path="m,l381,76200,76390,37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">
                  <v:path arrowok="t"/>
                </v:shape>
                <v:shape id="Graphic 238" style="position:absolute;left:14360;top:14178;width:9144;height:5232;visibility:visible;mso-wrap-style:square;v-text-anchor:top" coordsize="914400,523240" o:spid="_x0000_s1052" fillcolor="#1f54c8" stroked="f" path="m827227,l87172,,53240,6850,25531,25531,6850,53240,,87172,,435864r6850,33932l25531,497505r27709,18681l87172,523036r740055,l861159,516186r27709,-18681l907549,469796r6851,-33932l914400,87172,907549,53240,888868,25531,861159,6850,827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">
                  <v:path arrowok="t"/>
                </v:shape>
                <v:shape id="Graphic 239" style="position:absolute;left:14360;top:14178;width:9144;height:5232;visibility:visible;mso-wrap-style:square;v-text-anchor:top" coordsize="914400,523240" o:spid="_x0000_s1053" filled="f" strokecolor="#133b92" strokeweight="1pt" path="m,87172l6850,53240,25531,25531,53240,6850,87172,,827227,r33932,6850l888868,25531r18681,27709l914400,87172r,348692l907549,469796r-18681,27709l861159,516186r-33932,6850l87172,523036,53240,516186,25531,497505,6850,469796,,435864,,87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">
                  <v:path arrowok="t"/>
                </v:shape>
                <v:shape id="Graphic 240" style="position:absolute;left:9207;top:10424;width:4756;height:5880;visibility:visible;mso-wrap-style:square;v-text-anchor:top" coordsize="475615,588010" o:spid="_x0000_s1054" filled="f" strokeweight="1pt" path="m,l475424,587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">
                  <v:path arrowok="t"/>
                </v:shape>
                <v:shape id="Graphic 241" style="position:absolute;left:13585;top:15961;width:781;height:838;visibility:visible;mso-wrap-style:square;v-text-anchor:top" coordsize="78105,83820" o:spid="_x0000_s1055" fillcolor="black" stroked="f" path="m59232,l,47929,77546,83197,5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">
                  <v:path arrowok="t"/>
                </v:shape>
                <v:shape id="Graphic 242" style="position:absolute;left:12385;top:142;width:13107;height:20104;visibility:visible;mso-wrap-style:square;v-text-anchor:top" coordsize="1310640,2010410" o:spid="_x0000_s1056" filled="f" strokecolor="#f16930" strokeweight="2.25pt" path="m,218351l5767,168286,22194,122328,47971,81785,81785,47971,122328,22194,168286,5767,218351,r873391,l1141806,5767r45959,16427l1228307,47971r33815,33814l1287899,122328r16427,45958l1310093,218351r,1573352l1304326,1841771r-16427,45960l1262122,1928273r-33815,33814l1187765,1987862r-45959,16425l1091742,2010054r-873391,l168286,2004287r-45958,-16425l81785,1962087,47971,1928273,22194,1887731,5767,1841771,,1791703,,218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">
                  <v:stroke dashstyle="3 1"/>
                  <v:path arrowok="t"/>
                </v:shape>
                <v:shape id="Textbox 243" style="position:absolute;left:505;top:2011;width:10414;height:2603;visibility:visible;mso-wrap-style:square;v-text-anchor:top"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v:textbox inset="0,0,0,0">
                    <w:txbxContent>
                      <w:p w:rsidR="00C31389" w:rsidRDefault="00561FBD" w14:paraId="39A894DA" w14:textId="77777777">
                        <w:pPr>
                          <w:spacing w:line="242" w:lineRule="auto"/>
                          <w:ind w:left="548" w:right="13" w:hanging="549"/>
                          <w:rPr>
                            <w:sz w:val="18"/>
                          </w:rPr>
                        </w:pPr>
                        <w:r>
                          <w:rPr>
                            <w:color w:val="F16930"/>
                            <w:sz w:val="18"/>
                          </w:rPr>
                          <w:t>Competing</w:t>
                        </w:r>
                        <w:r>
                          <w:rPr>
                            <w:color w:val="F16930"/>
                            <w:spacing w:val="-13"/>
                            <w:sz w:val="18"/>
                          </w:rPr>
                          <w:t xml:space="preserve"> </w:t>
                        </w:r>
                        <w:r>
                          <w:rPr>
                            <w:color w:val="F16930"/>
                            <w:sz w:val="18"/>
                          </w:rPr>
                          <w:t xml:space="preserve">Measure </w:t>
                        </w:r>
                        <w:r>
                          <w:rPr>
                            <w:color w:val="F16930"/>
                            <w:spacing w:val="-2"/>
                            <w:sz w:val="18"/>
                          </w:rPr>
                          <w:t>Levels</w:t>
                        </w:r>
                      </w:p>
                    </w:txbxContent>
                  </v:textbox>
                </v:shape>
                <v:shape id="Textbox 244" style="position:absolute;left:16926;top:2628;width:4191;height:2597;visibility:visible;mso-wrap-style:square;v-text-anchor:top" o:spid="_x0000_s10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v:textbox inset="0,0,0,0">
                    <w:txbxContent>
                      <w:p w:rsidR="00C31389" w:rsidRDefault="00561FBD" w14:paraId="5F18DC6E" w14:textId="77777777">
                        <w:pPr>
                          <w:ind w:left="28" w:hanging="29"/>
                          <w:rPr>
                            <w:sz w:val="18"/>
                          </w:rPr>
                        </w:pPr>
                        <w:r>
                          <w:rPr>
                            <w:color w:val="FFFFFF"/>
                            <w:spacing w:val="-2"/>
                            <w:sz w:val="18"/>
                          </w:rPr>
                          <w:t xml:space="preserve">Efficient </w:t>
                        </w:r>
                        <w:r>
                          <w:rPr>
                            <w:color w:val="FFFFFF"/>
                            <w:sz w:val="18"/>
                          </w:rPr>
                          <w:t>Level</w:t>
                        </w:r>
                        <w:r>
                          <w:rPr>
                            <w:color w:val="FFFFFF"/>
                            <w:spacing w:val="-2"/>
                            <w:sz w:val="18"/>
                          </w:rPr>
                          <w:t xml:space="preserve"> </w:t>
                        </w:r>
                        <w:r>
                          <w:rPr>
                            <w:color w:val="FFFFFF"/>
                            <w:spacing w:val="-10"/>
                            <w:sz w:val="18"/>
                          </w:rPr>
                          <w:t>1</w:t>
                        </w:r>
                      </w:p>
                    </w:txbxContent>
                  </v:textbox>
                </v:shape>
                <v:shape id="Textbox 245" style="position:absolute;left:2410;top:8023;width:4572;height:3911;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v:textbox inset="0,0,0,0">
                    <w:txbxContent>
                      <w:p w:rsidR="00C31389" w:rsidRDefault="00561FBD" w14:paraId="780BEB05" w14:textId="77777777">
                        <w:pPr>
                          <w:ind w:left="-1" w:right="18" w:hanging="2"/>
                          <w:jc w:val="center"/>
                          <w:rPr>
                            <w:sz w:val="18"/>
                          </w:rPr>
                        </w:pPr>
                        <w:r>
                          <w:rPr>
                            <w:color w:val="FFFFFF"/>
                            <w:spacing w:val="-2"/>
                            <w:sz w:val="18"/>
                          </w:rPr>
                          <w:t>Baseline Measure Level</w:t>
                        </w:r>
                      </w:p>
                    </w:txbxContent>
                  </v:textbox>
                </v:shape>
                <v:shape id="Textbox 246" style="position:absolute;left:15844;top:9120;width:6293;height:2597;visibility:visible;mso-wrap-style:square;v-text-anchor:top" o:spid="_x0000_s10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v:textbox inset="0,0,0,0">
                    <w:txbxContent>
                      <w:p w:rsidR="00C31389" w:rsidRDefault="00561FBD" w14:paraId="5D9D4698" w14:textId="77777777">
                        <w:pPr>
                          <w:ind w:firstLine="165"/>
                          <w:rPr>
                            <w:sz w:val="18"/>
                          </w:rPr>
                        </w:pPr>
                        <w:r>
                          <w:rPr>
                            <w:color w:val="FFFFFF"/>
                            <w:spacing w:val="-2"/>
                            <w:sz w:val="18"/>
                          </w:rPr>
                          <w:t xml:space="preserve">Efficient </w:t>
                        </w:r>
                        <w:r>
                          <w:rPr>
                            <w:color w:val="FFFFFF"/>
                            <w:sz w:val="18"/>
                          </w:rPr>
                          <w:t>Level</w:t>
                        </w:r>
                        <w:r>
                          <w:rPr>
                            <w:color w:val="FFFFFF"/>
                            <w:spacing w:val="-15"/>
                            <w:sz w:val="18"/>
                          </w:rPr>
                          <w:t xml:space="preserve"> </w:t>
                        </w:r>
                        <w:r>
                          <w:rPr>
                            <w:color w:val="FFFFFF"/>
                            <w:sz w:val="18"/>
                          </w:rPr>
                          <w:t>2,</w:t>
                        </w:r>
                        <w:r>
                          <w:rPr>
                            <w:color w:val="FFFFFF"/>
                            <w:spacing w:val="-13"/>
                            <w:sz w:val="18"/>
                          </w:rPr>
                          <w:t xml:space="preserve"> </w:t>
                        </w:r>
                        <w:r>
                          <w:rPr>
                            <w:color w:val="FFFFFF"/>
                            <w:sz w:val="18"/>
                          </w:rPr>
                          <w:t>etc.</w:t>
                        </w:r>
                      </w:p>
                    </w:txbxContent>
                  </v:textbox>
                </v:shape>
                <v:shape id="Textbox 247" style="position:absolute;left:16484;top:14987;width:5017;height:3912;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v:textbox inset="0,0,0,0">
                    <w:txbxContent>
                      <w:p w:rsidR="00C31389" w:rsidRDefault="00561FBD" w14:paraId="1B57DE5C" w14:textId="77777777">
                        <w:pPr>
                          <w:ind w:right="18"/>
                          <w:jc w:val="center"/>
                          <w:rPr>
                            <w:sz w:val="18"/>
                          </w:rPr>
                        </w:pPr>
                        <w:r>
                          <w:rPr>
                            <w:color w:val="FFFFFF"/>
                            <w:spacing w:val="-2"/>
                            <w:sz w:val="18"/>
                          </w:rPr>
                          <w:t>Highest Efficiency Level</w:t>
                        </w:r>
                      </w:p>
                    </w:txbxContent>
                  </v:textbox>
                </v:shape>
                <w10:anchorlock/>
              </v:group>
            </w:pict>
          </mc:Fallback>
        </mc:AlternateContent>
      </w:r>
      <w:r>
        <w:rPr>
          <w:position w:val="26"/>
          <w:sz w:val="20"/>
        </w:rPr>
        <w:tab/>
      </w:r>
      <w:r>
        <w:rPr>
          <w:noProof/>
          <w:sz w:val="20"/>
        </w:rPr>
        <mc:AlternateContent>
          <mc:Choice Requires="wpg">
            <w:drawing>
              <wp:inline distT="0" distB="0" distL="0" distR="0" wp14:anchorId="4055030E" wp14:editId="186305F5">
                <wp:extent cx="2747010" cy="2342515"/>
                <wp:effectExtent l="9525" t="9525" r="5714" b="1968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7010" cy="2342515"/>
                          <a:chOff x="0" y="0"/>
                          <a:chExt cx="2747010" cy="2342515"/>
                        </a:xfrm>
                      </wpg:grpSpPr>
                      <wps:wsp>
                        <wps:cNvPr id="249" name="Graphic 249"/>
                        <wps:cNvSpPr/>
                        <wps:spPr>
                          <a:xfrm>
                            <a:off x="6350" y="928761"/>
                            <a:ext cx="1033780" cy="457200"/>
                          </a:xfrm>
                          <a:custGeom>
                            <a:avLst/>
                            <a:gdLst/>
                            <a:ahLst/>
                            <a:cxnLst/>
                            <a:rect l="l" t="t" r="r" b="b"/>
                            <a:pathLst>
                              <a:path w="1033780" h="457200">
                                <a:moveTo>
                                  <a:pt x="957529" y="0"/>
                                </a:moveTo>
                                <a:lnTo>
                                  <a:pt x="76187" y="0"/>
                                </a:lnTo>
                                <a:lnTo>
                                  <a:pt x="46532" y="5987"/>
                                </a:lnTo>
                                <a:lnTo>
                                  <a:pt x="22315" y="22315"/>
                                </a:lnTo>
                                <a:lnTo>
                                  <a:pt x="5987" y="46532"/>
                                </a:lnTo>
                                <a:lnTo>
                                  <a:pt x="0" y="76187"/>
                                </a:lnTo>
                                <a:lnTo>
                                  <a:pt x="0" y="380949"/>
                                </a:lnTo>
                                <a:lnTo>
                                  <a:pt x="5987" y="410603"/>
                                </a:lnTo>
                                <a:lnTo>
                                  <a:pt x="22315" y="434821"/>
                                </a:lnTo>
                                <a:lnTo>
                                  <a:pt x="46532" y="451149"/>
                                </a:lnTo>
                                <a:lnTo>
                                  <a:pt x="76187" y="457136"/>
                                </a:lnTo>
                                <a:lnTo>
                                  <a:pt x="957529" y="457136"/>
                                </a:lnTo>
                                <a:lnTo>
                                  <a:pt x="987191" y="451149"/>
                                </a:lnTo>
                                <a:lnTo>
                                  <a:pt x="1011412" y="434821"/>
                                </a:lnTo>
                                <a:lnTo>
                                  <a:pt x="1027741" y="410603"/>
                                </a:lnTo>
                                <a:lnTo>
                                  <a:pt x="1033729" y="380949"/>
                                </a:lnTo>
                                <a:lnTo>
                                  <a:pt x="1033729" y="76187"/>
                                </a:lnTo>
                                <a:lnTo>
                                  <a:pt x="1027741" y="46532"/>
                                </a:lnTo>
                                <a:lnTo>
                                  <a:pt x="1011412" y="22315"/>
                                </a:lnTo>
                                <a:lnTo>
                                  <a:pt x="987191" y="5987"/>
                                </a:lnTo>
                                <a:lnTo>
                                  <a:pt x="957529" y="0"/>
                                </a:lnTo>
                                <a:close/>
                              </a:path>
                            </a:pathLst>
                          </a:custGeom>
                          <a:solidFill>
                            <a:srgbClr val="1F54C8"/>
                          </a:solidFill>
                        </wps:spPr>
                        <wps:bodyPr wrap="square" lIns="0" tIns="0" rIns="0" bIns="0" rtlCol="0">
                          <a:prstTxWarp prst="textNoShape">
                            <a:avLst/>
                          </a:prstTxWarp>
                          <a:noAutofit/>
                        </wps:bodyPr>
                      </wps:wsp>
                      <wps:wsp>
                        <wps:cNvPr id="250" name="Graphic 250"/>
                        <wps:cNvSpPr/>
                        <wps:spPr>
                          <a:xfrm>
                            <a:off x="6350" y="928761"/>
                            <a:ext cx="1033780" cy="457200"/>
                          </a:xfrm>
                          <a:custGeom>
                            <a:avLst/>
                            <a:gdLst/>
                            <a:ahLst/>
                            <a:cxnLst/>
                            <a:rect l="l" t="t" r="r" b="b"/>
                            <a:pathLst>
                              <a:path w="1033780" h="457200">
                                <a:moveTo>
                                  <a:pt x="0" y="76187"/>
                                </a:moveTo>
                                <a:lnTo>
                                  <a:pt x="5987" y="46532"/>
                                </a:lnTo>
                                <a:lnTo>
                                  <a:pt x="22315" y="22315"/>
                                </a:lnTo>
                                <a:lnTo>
                                  <a:pt x="46532" y="5987"/>
                                </a:lnTo>
                                <a:lnTo>
                                  <a:pt x="76187" y="0"/>
                                </a:lnTo>
                                <a:lnTo>
                                  <a:pt x="957529" y="0"/>
                                </a:lnTo>
                                <a:lnTo>
                                  <a:pt x="987191" y="5987"/>
                                </a:lnTo>
                                <a:lnTo>
                                  <a:pt x="1011412" y="22315"/>
                                </a:lnTo>
                                <a:lnTo>
                                  <a:pt x="1027741" y="46532"/>
                                </a:lnTo>
                                <a:lnTo>
                                  <a:pt x="1033729" y="76187"/>
                                </a:lnTo>
                                <a:lnTo>
                                  <a:pt x="1033729" y="380949"/>
                                </a:lnTo>
                                <a:lnTo>
                                  <a:pt x="1027741" y="410603"/>
                                </a:lnTo>
                                <a:lnTo>
                                  <a:pt x="1011412" y="434821"/>
                                </a:lnTo>
                                <a:lnTo>
                                  <a:pt x="987191" y="451149"/>
                                </a:lnTo>
                                <a:lnTo>
                                  <a:pt x="957529" y="457136"/>
                                </a:lnTo>
                                <a:lnTo>
                                  <a:pt x="76187" y="457136"/>
                                </a:lnTo>
                                <a:lnTo>
                                  <a:pt x="46532" y="451149"/>
                                </a:lnTo>
                                <a:lnTo>
                                  <a:pt x="22315" y="434821"/>
                                </a:lnTo>
                                <a:lnTo>
                                  <a:pt x="5987" y="410603"/>
                                </a:lnTo>
                                <a:lnTo>
                                  <a:pt x="0" y="380949"/>
                                </a:lnTo>
                                <a:lnTo>
                                  <a:pt x="0" y="76187"/>
                                </a:lnTo>
                                <a:close/>
                              </a:path>
                            </a:pathLst>
                          </a:custGeom>
                          <a:ln w="12700">
                            <a:solidFill>
                              <a:srgbClr val="133B92"/>
                            </a:solidFill>
                            <a:prstDash val="solid"/>
                          </a:ln>
                        </wps:spPr>
                        <wps:bodyPr wrap="square" lIns="0" tIns="0" rIns="0" bIns="0" rtlCol="0">
                          <a:prstTxWarp prst="textNoShape">
                            <a:avLst/>
                          </a:prstTxWarp>
                          <a:noAutofit/>
                        </wps:bodyPr>
                      </wps:wsp>
                      <wps:wsp>
                        <wps:cNvPr id="251" name="Graphic 251"/>
                        <wps:cNvSpPr/>
                        <wps:spPr>
                          <a:xfrm>
                            <a:off x="1526965" y="1197867"/>
                            <a:ext cx="1033780" cy="457200"/>
                          </a:xfrm>
                          <a:custGeom>
                            <a:avLst/>
                            <a:gdLst/>
                            <a:ahLst/>
                            <a:cxnLst/>
                            <a:rect l="l" t="t" r="r" b="b"/>
                            <a:pathLst>
                              <a:path w="1033780" h="457200">
                                <a:moveTo>
                                  <a:pt x="957529" y="0"/>
                                </a:moveTo>
                                <a:lnTo>
                                  <a:pt x="76187" y="0"/>
                                </a:lnTo>
                                <a:lnTo>
                                  <a:pt x="46532" y="5987"/>
                                </a:lnTo>
                                <a:lnTo>
                                  <a:pt x="22315" y="22315"/>
                                </a:lnTo>
                                <a:lnTo>
                                  <a:pt x="5987" y="46532"/>
                                </a:lnTo>
                                <a:lnTo>
                                  <a:pt x="0" y="76187"/>
                                </a:lnTo>
                                <a:lnTo>
                                  <a:pt x="0" y="380949"/>
                                </a:lnTo>
                                <a:lnTo>
                                  <a:pt x="5987" y="410603"/>
                                </a:lnTo>
                                <a:lnTo>
                                  <a:pt x="22315" y="434821"/>
                                </a:lnTo>
                                <a:lnTo>
                                  <a:pt x="46532" y="451149"/>
                                </a:lnTo>
                                <a:lnTo>
                                  <a:pt x="76187" y="457136"/>
                                </a:lnTo>
                                <a:lnTo>
                                  <a:pt x="957529" y="457136"/>
                                </a:lnTo>
                                <a:lnTo>
                                  <a:pt x="987191" y="451149"/>
                                </a:lnTo>
                                <a:lnTo>
                                  <a:pt x="1011412" y="434821"/>
                                </a:lnTo>
                                <a:lnTo>
                                  <a:pt x="1027741" y="410603"/>
                                </a:lnTo>
                                <a:lnTo>
                                  <a:pt x="1033729" y="380949"/>
                                </a:lnTo>
                                <a:lnTo>
                                  <a:pt x="1033729" y="76187"/>
                                </a:lnTo>
                                <a:lnTo>
                                  <a:pt x="1027741" y="46532"/>
                                </a:lnTo>
                                <a:lnTo>
                                  <a:pt x="1011412" y="22315"/>
                                </a:lnTo>
                                <a:lnTo>
                                  <a:pt x="987191" y="5987"/>
                                </a:lnTo>
                                <a:lnTo>
                                  <a:pt x="957529" y="0"/>
                                </a:lnTo>
                                <a:close/>
                              </a:path>
                            </a:pathLst>
                          </a:custGeom>
                          <a:solidFill>
                            <a:srgbClr val="F8B722"/>
                          </a:solidFill>
                        </wps:spPr>
                        <wps:bodyPr wrap="square" lIns="0" tIns="0" rIns="0" bIns="0" rtlCol="0">
                          <a:prstTxWarp prst="textNoShape">
                            <a:avLst/>
                          </a:prstTxWarp>
                          <a:noAutofit/>
                        </wps:bodyPr>
                      </wps:wsp>
                      <wps:wsp>
                        <wps:cNvPr id="252" name="Graphic 252"/>
                        <wps:cNvSpPr/>
                        <wps:spPr>
                          <a:xfrm>
                            <a:off x="1526965" y="1197867"/>
                            <a:ext cx="1033780" cy="457200"/>
                          </a:xfrm>
                          <a:custGeom>
                            <a:avLst/>
                            <a:gdLst/>
                            <a:ahLst/>
                            <a:cxnLst/>
                            <a:rect l="l" t="t" r="r" b="b"/>
                            <a:pathLst>
                              <a:path w="1033780" h="457200">
                                <a:moveTo>
                                  <a:pt x="0" y="76187"/>
                                </a:moveTo>
                                <a:lnTo>
                                  <a:pt x="5987" y="46532"/>
                                </a:lnTo>
                                <a:lnTo>
                                  <a:pt x="22315" y="22315"/>
                                </a:lnTo>
                                <a:lnTo>
                                  <a:pt x="46532" y="5987"/>
                                </a:lnTo>
                                <a:lnTo>
                                  <a:pt x="76187" y="0"/>
                                </a:lnTo>
                                <a:lnTo>
                                  <a:pt x="957529" y="0"/>
                                </a:lnTo>
                                <a:lnTo>
                                  <a:pt x="987191" y="5987"/>
                                </a:lnTo>
                                <a:lnTo>
                                  <a:pt x="1011412" y="22315"/>
                                </a:lnTo>
                                <a:lnTo>
                                  <a:pt x="1027741" y="46532"/>
                                </a:lnTo>
                                <a:lnTo>
                                  <a:pt x="1033729" y="76187"/>
                                </a:lnTo>
                                <a:lnTo>
                                  <a:pt x="1033729" y="380949"/>
                                </a:lnTo>
                                <a:lnTo>
                                  <a:pt x="1027741" y="410603"/>
                                </a:lnTo>
                                <a:lnTo>
                                  <a:pt x="1011412" y="434821"/>
                                </a:lnTo>
                                <a:lnTo>
                                  <a:pt x="987191" y="451149"/>
                                </a:lnTo>
                                <a:lnTo>
                                  <a:pt x="957529" y="457136"/>
                                </a:lnTo>
                                <a:lnTo>
                                  <a:pt x="76187" y="457136"/>
                                </a:lnTo>
                                <a:lnTo>
                                  <a:pt x="46532" y="451149"/>
                                </a:lnTo>
                                <a:lnTo>
                                  <a:pt x="22315" y="434821"/>
                                </a:lnTo>
                                <a:lnTo>
                                  <a:pt x="5987" y="410603"/>
                                </a:lnTo>
                                <a:lnTo>
                                  <a:pt x="0" y="380949"/>
                                </a:lnTo>
                                <a:lnTo>
                                  <a:pt x="0" y="76187"/>
                                </a:lnTo>
                                <a:close/>
                              </a:path>
                            </a:pathLst>
                          </a:custGeom>
                          <a:ln w="12700">
                            <a:solidFill>
                              <a:srgbClr val="B78516"/>
                            </a:solidFill>
                            <a:prstDash val="solid"/>
                          </a:ln>
                        </wps:spPr>
                        <wps:bodyPr wrap="square" lIns="0" tIns="0" rIns="0" bIns="0" rtlCol="0">
                          <a:prstTxWarp prst="textNoShape">
                            <a:avLst/>
                          </a:prstTxWarp>
                          <a:noAutofit/>
                        </wps:bodyPr>
                      </wps:wsp>
                      <wps:wsp>
                        <wps:cNvPr id="253" name="Graphic 253"/>
                        <wps:cNvSpPr/>
                        <wps:spPr>
                          <a:xfrm>
                            <a:off x="1531378" y="146894"/>
                            <a:ext cx="1029335" cy="457200"/>
                          </a:xfrm>
                          <a:custGeom>
                            <a:avLst/>
                            <a:gdLst/>
                            <a:ahLst/>
                            <a:cxnLst/>
                            <a:rect l="l" t="t" r="r" b="b"/>
                            <a:pathLst>
                              <a:path w="1029335" h="457200">
                                <a:moveTo>
                                  <a:pt x="953122" y="0"/>
                                </a:moveTo>
                                <a:lnTo>
                                  <a:pt x="76187" y="0"/>
                                </a:lnTo>
                                <a:lnTo>
                                  <a:pt x="46532" y="5987"/>
                                </a:lnTo>
                                <a:lnTo>
                                  <a:pt x="22315" y="22315"/>
                                </a:lnTo>
                                <a:lnTo>
                                  <a:pt x="5987" y="46532"/>
                                </a:lnTo>
                                <a:lnTo>
                                  <a:pt x="0" y="76187"/>
                                </a:lnTo>
                                <a:lnTo>
                                  <a:pt x="0" y="380949"/>
                                </a:lnTo>
                                <a:lnTo>
                                  <a:pt x="5987" y="410603"/>
                                </a:lnTo>
                                <a:lnTo>
                                  <a:pt x="22315" y="434821"/>
                                </a:lnTo>
                                <a:lnTo>
                                  <a:pt x="46532" y="451149"/>
                                </a:lnTo>
                                <a:lnTo>
                                  <a:pt x="76187" y="457136"/>
                                </a:lnTo>
                                <a:lnTo>
                                  <a:pt x="953122" y="457136"/>
                                </a:lnTo>
                                <a:lnTo>
                                  <a:pt x="982776" y="451149"/>
                                </a:lnTo>
                                <a:lnTo>
                                  <a:pt x="1006994" y="434821"/>
                                </a:lnTo>
                                <a:lnTo>
                                  <a:pt x="1023322" y="410603"/>
                                </a:lnTo>
                                <a:lnTo>
                                  <a:pt x="1029309" y="380949"/>
                                </a:lnTo>
                                <a:lnTo>
                                  <a:pt x="1029309" y="76187"/>
                                </a:lnTo>
                                <a:lnTo>
                                  <a:pt x="1023322" y="46532"/>
                                </a:lnTo>
                                <a:lnTo>
                                  <a:pt x="1006994" y="22315"/>
                                </a:lnTo>
                                <a:lnTo>
                                  <a:pt x="982776" y="5987"/>
                                </a:lnTo>
                                <a:lnTo>
                                  <a:pt x="953122" y="0"/>
                                </a:lnTo>
                                <a:close/>
                              </a:path>
                            </a:pathLst>
                          </a:custGeom>
                          <a:solidFill>
                            <a:srgbClr val="1F54C8"/>
                          </a:solidFill>
                        </wps:spPr>
                        <wps:bodyPr wrap="square" lIns="0" tIns="0" rIns="0" bIns="0" rtlCol="0">
                          <a:prstTxWarp prst="textNoShape">
                            <a:avLst/>
                          </a:prstTxWarp>
                          <a:noAutofit/>
                        </wps:bodyPr>
                      </wps:wsp>
                      <wps:wsp>
                        <wps:cNvPr id="254" name="Graphic 254"/>
                        <wps:cNvSpPr/>
                        <wps:spPr>
                          <a:xfrm>
                            <a:off x="1531378" y="146894"/>
                            <a:ext cx="1029335" cy="457200"/>
                          </a:xfrm>
                          <a:custGeom>
                            <a:avLst/>
                            <a:gdLst/>
                            <a:ahLst/>
                            <a:cxnLst/>
                            <a:rect l="l" t="t" r="r" b="b"/>
                            <a:pathLst>
                              <a:path w="1029335" h="457200">
                                <a:moveTo>
                                  <a:pt x="0" y="76187"/>
                                </a:moveTo>
                                <a:lnTo>
                                  <a:pt x="5987" y="46532"/>
                                </a:lnTo>
                                <a:lnTo>
                                  <a:pt x="22315" y="22315"/>
                                </a:lnTo>
                                <a:lnTo>
                                  <a:pt x="46532" y="5987"/>
                                </a:lnTo>
                                <a:lnTo>
                                  <a:pt x="76187" y="0"/>
                                </a:lnTo>
                                <a:lnTo>
                                  <a:pt x="953122" y="0"/>
                                </a:lnTo>
                                <a:lnTo>
                                  <a:pt x="982776" y="5987"/>
                                </a:lnTo>
                                <a:lnTo>
                                  <a:pt x="1006994" y="22315"/>
                                </a:lnTo>
                                <a:lnTo>
                                  <a:pt x="1023322" y="46532"/>
                                </a:lnTo>
                                <a:lnTo>
                                  <a:pt x="1029309" y="76187"/>
                                </a:lnTo>
                                <a:lnTo>
                                  <a:pt x="1029309" y="380949"/>
                                </a:lnTo>
                                <a:lnTo>
                                  <a:pt x="1023322" y="410603"/>
                                </a:lnTo>
                                <a:lnTo>
                                  <a:pt x="1006994" y="434821"/>
                                </a:lnTo>
                                <a:lnTo>
                                  <a:pt x="982776" y="451149"/>
                                </a:lnTo>
                                <a:lnTo>
                                  <a:pt x="953122" y="457136"/>
                                </a:lnTo>
                                <a:lnTo>
                                  <a:pt x="76187" y="457136"/>
                                </a:lnTo>
                                <a:lnTo>
                                  <a:pt x="46532" y="451149"/>
                                </a:lnTo>
                                <a:lnTo>
                                  <a:pt x="22315" y="434821"/>
                                </a:lnTo>
                                <a:lnTo>
                                  <a:pt x="5987" y="410603"/>
                                </a:lnTo>
                                <a:lnTo>
                                  <a:pt x="0" y="380949"/>
                                </a:lnTo>
                                <a:lnTo>
                                  <a:pt x="0" y="76187"/>
                                </a:lnTo>
                                <a:close/>
                              </a:path>
                            </a:pathLst>
                          </a:custGeom>
                          <a:ln w="12700">
                            <a:solidFill>
                              <a:srgbClr val="133B92"/>
                            </a:solidFill>
                            <a:prstDash val="solid"/>
                          </a:ln>
                        </wps:spPr>
                        <wps:bodyPr wrap="square" lIns="0" tIns="0" rIns="0" bIns="0" rtlCol="0">
                          <a:prstTxWarp prst="textNoShape">
                            <a:avLst/>
                          </a:prstTxWarp>
                          <a:noAutofit/>
                        </wps:bodyPr>
                      </wps:wsp>
                      <wps:wsp>
                        <wps:cNvPr id="255" name="Graphic 255"/>
                        <wps:cNvSpPr/>
                        <wps:spPr>
                          <a:xfrm>
                            <a:off x="1040072" y="429225"/>
                            <a:ext cx="457834" cy="728345"/>
                          </a:xfrm>
                          <a:custGeom>
                            <a:avLst/>
                            <a:gdLst/>
                            <a:ahLst/>
                            <a:cxnLst/>
                            <a:rect l="l" t="t" r="r" b="b"/>
                            <a:pathLst>
                              <a:path w="457834" h="728345">
                                <a:moveTo>
                                  <a:pt x="0" y="728103"/>
                                </a:moveTo>
                                <a:lnTo>
                                  <a:pt x="457517" y="0"/>
                                </a:lnTo>
                              </a:path>
                            </a:pathLst>
                          </a:custGeom>
                          <a:ln w="12700">
                            <a:solidFill>
                              <a:srgbClr val="000000"/>
                            </a:solidFill>
                            <a:prstDash val="solid"/>
                          </a:ln>
                        </wps:spPr>
                        <wps:bodyPr wrap="square" lIns="0" tIns="0" rIns="0" bIns="0" rtlCol="0">
                          <a:prstTxWarp prst="textNoShape">
                            <a:avLst/>
                          </a:prstTxWarp>
                          <a:noAutofit/>
                        </wps:bodyPr>
                      </wps:wsp>
                      <wps:wsp>
                        <wps:cNvPr id="256" name="Graphic 256"/>
                        <wps:cNvSpPr/>
                        <wps:spPr>
                          <a:xfrm>
                            <a:off x="1458583" y="375468"/>
                            <a:ext cx="73025" cy="85090"/>
                          </a:xfrm>
                          <a:custGeom>
                            <a:avLst/>
                            <a:gdLst/>
                            <a:ahLst/>
                            <a:cxnLst/>
                            <a:rect l="l" t="t" r="r" b="b"/>
                            <a:pathLst>
                              <a:path w="73025" h="85090">
                                <a:moveTo>
                                  <a:pt x="72796" y="0"/>
                                </a:moveTo>
                                <a:lnTo>
                                  <a:pt x="0" y="44246"/>
                                </a:lnTo>
                                <a:lnTo>
                                  <a:pt x="64515" y="84785"/>
                                </a:lnTo>
                                <a:lnTo>
                                  <a:pt x="72796"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1040072" y="1157329"/>
                            <a:ext cx="431800" cy="238760"/>
                          </a:xfrm>
                          <a:custGeom>
                            <a:avLst/>
                            <a:gdLst/>
                            <a:ahLst/>
                            <a:cxnLst/>
                            <a:rect l="l" t="t" r="r" b="b"/>
                            <a:pathLst>
                              <a:path w="431800" h="238760">
                                <a:moveTo>
                                  <a:pt x="0" y="0"/>
                                </a:moveTo>
                                <a:lnTo>
                                  <a:pt x="431317" y="238391"/>
                                </a:lnTo>
                              </a:path>
                            </a:pathLst>
                          </a:custGeom>
                          <a:ln w="12700">
                            <a:solidFill>
                              <a:srgbClr val="000000"/>
                            </a:solidFill>
                            <a:prstDash val="solid"/>
                          </a:ln>
                        </wps:spPr>
                        <wps:bodyPr wrap="square" lIns="0" tIns="0" rIns="0" bIns="0" rtlCol="0">
                          <a:prstTxWarp prst="textNoShape">
                            <a:avLst/>
                          </a:prstTxWarp>
                          <a:noAutofit/>
                        </wps:bodyPr>
                      </wps:wsp>
                      <wps:wsp>
                        <wps:cNvPr id="258" name="Graphic 258"/>
                        <wps:cNvSpPr/>
                        <wps:spPr>
                          <a:xfrm>
                            <a:off x="1441838" y="1356225"/>
                            <a:ext cx="85725" cy="70485"/>
                          </a:xfrm>
                          <a:custGeom>
                            <a:avLst/>
                            <a:gdLst/>
                            <a:ahLst/>
                            <a:cxnLst/>
                            <a:rect l="l" t="t" r="r" b="b"/>
                            <a:pathLst>
                              <a:path w="85725" h="70485">
                                <a:moveTo>
                                  <a:pt x="36868" y="0"/>
                                </a:moveTo>
                                <a:lnTo>
                                  <a:pt x="0" y="66687"/>
                                </a:lnTo>
                                <a:lnTo>
                                  <a:pt x="85128" y="70205"/>
                                </a:lnTo>
                                <a:lnTo>
                                  <a:pt x="36868"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1531378" y="672381"/>
                            <a:ext cx="1029335" cy="457200"/>
                          </a:xfrm>
                          <a:custGeom>
                            <a:avLst/>
                            <a:gdLst/>
                            <a:ahLst/>
                            <a:cxnLst/>
                            <a:rect l="l" t="t" r="r" b="b"/>
                            <a:pathLst>
                              <a:path w="1029335" h="457200">
                                <a:moveTo>
                                  <a:pt x="953122" y="0"/>
                                </a:moveTo>
                                <a:lnTo>
                                  <a:pt x="76187" y="0"/>
                                </a:lnTo>
                                <a:lnTo>
                                  <a:pt x="46532" y="5987"/>
                                </a:lnTo>
                                <a:lnTo>
                                  <a:pt x="22315" y="22315"/>
                                </a:lnTo>
                                <a:lnTo>
                                  <a:pt x="5987" y="46532"/>
                                </a:lnTo>
                                <a:lnTo>
                                  <a:pt x="0" y="76187"/>
                                </a:lnTo>
                                <a:lnTo>
                                  <a:pt x="0" y="380949"/>
                                </a:lnTo>
                                <a:lnTo>
                                  <a:pt x="5987" y="410603"/>
                                </a:lnTo>
                                <a:lnTo>
                                  <a:pt x="22315" y="434821"/>
                                </a:lnTo>
                                <a:lnTo>
                                  <a:pt x="46532" y="451149"/>
                                </a:lnTo>
                                <a:lnTo>
                                  <a:pt x="76187" y="457136"/>
                                </a:lnTo>
                                <a:lnTo>
                                  <a:pt x="953122" y="457136"/>
                                </a:lnTo>
                                <a:lnTo>
                                  <a:pt x="982776" y="451149"/>
                                </a:lnTo>
                                <a:lnTo>
                                  <a:pt x="1006994" y="434821"/>
                                </a:lnTo>
                                <a:lnTo>
                                  <a:pt x="1023322" y="410603"/>
                                </a:lnTo>
                                <a:lnTo>
                                  <a:pt x="1029309" y="380949"/>
                                </a:lnTo>
                                <a:lnTo>
                                  <a:pt x="1029309" y="76187"/>
                                </a:lnTo>
                                <a:lnTo>
                                  <a:pt x="1023322" y="46532"/>
                                </a:lnTo>
                                <a:lnTo>
                                  <a:pt x="1006994" y="22315"/>
                                </a:lnTo>
                                <a:lnTo>
                                  <a:pt x="982776" y="5987"/>
                                </a:lnTo>
                                <a:lnTo>
                                  <a:pt x="953122" y="0"/>
                                </a:lnTo>
                                <a:close/>
                              </a:path>
                            </a:pathLst>
                          </a:custGeom>
                          <a:solidFill>
                            <a:srgbClr val="1F54C8"/>
                          </a:solidFill>
                        </wps:spPr>
                        <wps:bodyPr wrap="square" lIns="0" tIns="0" rIns="0" bIns="0" rtlCol="0">
                          <a:prstTxWarp prst="textNoShape">
                            <a:avLst/>
                          </a:prstTxWarp>
                          <a:noAutofit/>
                        </wps:bodyPr>
                      </wps:wsp>
                      <wps:wsp>
                        <wps:cNvPr id="260" name="Graphic 260"/>
                        <wps:cNvSpPr/>
                        <wps:spPr>
                          <a:xfrm>
                            <a:off x="1531378" y="672381"/>
                            <a:ext cx="1029335" cy="457200"/>
                          </a:xfrm>
                          <a:custGeom>
                            <a:avLst/>
                            <a:gdLst/>
                            <a:ahLst/>
                            <a:cxnLst/>
                            <a:rect l="l" t="t" r="r" b="b"/>
                            <a:pathLst>
                              <a:path w="1029335" h="457200">
                                <a:moveTo>
                                  <a:pt x="0" y="76187"/>
                                </a:moveTo>
                                <a:lnTo>
                                  <a:pt x="5987" y="46532"/>
                                </a:lnTo>
                                <a:lnTo>
                                  <a:pt x="22315" y="22315"/>
                                </a:lnTo>
                                <a:lnTo>
                                  <a:pt x="46532" y="5987"/>
                                </a:lnTo>
                                <a:lnTo>
                                  <a:pt x="76187" y="0"/>
                                </a:lnTo>
                                <a:lnTo>
                                  <a:pt x="953122" y="0"/>
                                </a:lnTo>
                                <a:lnTo>
                                  <a:pt x="982776" y="5987"/>
                                </a:lnTo>
                                <a:lnTo>
                                  <a:pt x="1006994" y="22315"/>
                                </a:lnTo>
                                <a:lnTo>
                                  <a:pt x="1023322" y="46532"/>
                                </a:lnTo>
                                <a:lnTo>
                                  <a:pt x="1029309" y="76187"/>
                                </a:lnTo>
                                <a:lnTo>
                                  <a:pt x="1029309" y="380949"/>
                                </a:lnTo>
                                <a:lnTo>
                                  <a:pt x="1023322" y="410603"/>
                                </a:lnTo>
                                <a:lnTo>
                                  <a:pt x="1006994" y="434821"/>
                                </a:lnTo>
                                <a:lnTo>
                                  <a:pt x="982776" y="451149"/>
                                </a:lnTo>
                                <a:lnTo>
                                  <a:pt x="953122" y="457136"/>
                                </a:lnTo>
                                <a:lnTo>
                                  <a:pt x="76187" y="457136"/>
                                </a:lnTo>
                                <a:lnTo>
                                  <a:pt x="46532" y="451149"/>
                                </a:lnTo>
                                <a:lnTo>
                                  <a:pt x="22315" y="434821"/>
                                </a:lnTo>
                                <a:lnTo>
                                  <a:pt x="5987" y="410603"/>
                                </a:lnTo>
                                <a:lnTo>
                                  <a:pt x="0" y="380949"/>
                                </a:lnTo>
                                <a:lnTo>
                                  <a:pt x="0" y="76187"/>
                                </a:lnTo>
                                <a:close/>
                              </a:path>
                            </a:pathLst>
                          </a:custGeom>
                          <a:ln w="12700">
                            <a:solidFill>
                              <a:srgbClr val="133B92"/>
                            </a:solidFill>
                            <a:prstDash val="solid"/>
                          </a:ln>
                        </wps:spPr>
                        <wps:bodyPr wrap="square" lIns="0" tIns="0" rIns="0" bIns="0" rtlCol="0">
                          <a:prstTxWarp prst="textNoShape">
                            <a:avLst/>
                          </a:prstTxWarp>
                          <a:noAutofit/>
                        </wps:bodyPr>
                      </wps:wsp>
                      <wps:wsp>
                        <wps:cNvPr id="261" name="Graphic 261"/>
                        <wps:cNvSpPr/>
                        <wps:spPr>
                          <a:xfrm>
                            <a:off x="1040072" y="930329"/>
                            <a:ext cx="435609" cy="227329"/>
                          </a:xfrm>
                          <a:custGeom>
                            <a:avLst/>
                            <a:gdLst/>
                            <a:ahLst/>
                            <a:cxnLst/>
                            <a:rect l="l" t="t" r="r" b="b"/>
                            <a:pathLst>
                              <a:path w="435609" h="227329">
                                <a:moveTo>
                                  <a:pt x="0" y="226999"/>
                                </a:moveTo>
                                <a:lnTo>
                                  <a:pt x="435013" y="0"/>
                                </a:lnTo>
                              </a:path>
                            </a:pathLst>
                          </a:custGeom>
                          <a:ln w="12700">
                            <a:solidFill>
                              <a:srgbClr val="000000"/>
                            </a:solidFill>
                            <a:prstDash val="solid"/>
                          </a:ln>
                        </wps:spPr>
                        <wps:bodyPr wrap="square" lIns="0" tIns="0" rIns="0" bIns="0" rtlCol="0">
                          <a:prstTxWarp prst="textNoShape">
                            <a:avLst/>
                          </a:prstTxWarp>
                          <a:noAutofit/>
                        </wps:bodyPr>
                      </wps:wsp>
                      <wps:wsp>
                        <wps:cNvPr id="262" name="Graphic 262"/>
                        <wps:cNvSpPr/>
                        <wps:spPr>
                          <a:xfrm>
                            <a:off x="1446198" y="900943"/>
                            <a:ext cx="85725" cy="69215"/>
                          </a:xfrm>
                          <a:custGeom>
                            <a:avLst/>
                            <a:gdLst/>
                            <a:ahLst/>
                            <a:cxnLst/>
                            <a:rect l="l" t="t" r="r" b="b"/>
                            <a:pathLst>
                              <a:path w="85725" h="69215">
                                <a:moveTo>
                                  <a:pt x="85178" y="0"/>
                                </a:moveTo>
                                <a:lnTo>
                                  <a:pt x="0" y="1485"/>
                                </a:lnTo>
                                <a:lnTo>
                                  <a:pt x="35255" y="69037"/>
                                </a:lnTo>
                                <a:lnTo>
                                  <a:pt x="85178"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1526965" y="1723354"/>
                            <a:ext cx="1033780" cy="457200"/>
                          </a:xfrm>
                          <a:custGeom>
                            <a:avLst/>
                            <a:gdLst/>
                            <a:ahLst/>
                            <a:cxnLst/>
                            <a:rect l="l" t="t" r="r" b="b"/>
                            <a:pathLst>
                              <a:path w="1033780" h="457200">
                                <a:moveTo>
                                  <a:pt x="957529" y="0"/>
                                </a:moveTo>
                                <a:lnTo>
                                  <a:pt x="76187" y="0"/>
                                </a:lnTo>
                                <a:lnTo>
                                  <a:pt x="46532" y="5987"/>
                                </a:lnTo>
                                <a:lnTo>
                                  <a:pt x="22315" y="22315"/>
                                </a:lnTo>
                                <a:lnTo>
                                  <a:pt x="5987" y="46532"/>
                                </a:lnTo>
                                <a:lnTo>
                                  <a:pt x="0" y="76187"/>
                                </a:lnTo>
                                <a:lnTo>
                                  <a:pt x="0" y="380949"/>
                                </a:lnTo>
                                <a:lnTo>
                                  <a:pt x="5987" y="410603"/>
                                </a:lnTo>
                                <a:lnTo>
                                  <a:pt x="22315" y="434821"/>
                                </a:lnTo>
                                <a:lnTo>
                                  <a:pt x="46532" y="451149"/>
                                </a:lnTo>
                                <a:lnTo>
                                  <a:pt x="76187" y="457136"/>
                                </a:lnTo>
                                <a:lnTo>
                                  <a:pt x="957529" y="457136"/>
                                </a:lnTo>
                                <a:lnTo>
                                  <a:pt x="987191" y="451149"/>
                                </a:lnTo>
                                <a:lnTo>
                                  <a:pt x="1011412" y="434821"/>
                                </a:lnTo>
                                <a:lnTo>
                                  <a:pt x="1027741" y="410603"/>
                                </a:lnTo>
                                <a:lnTo>
                                  <a:pt x="1033729" y="380949"/>
                                </a:lnTo>
                                <a:lnTo>
                                  <a:pt x="1033729" y="76187"/>
                                </a:lnTo>
                                <a:lnTo>
                                  <a:pt x="1027741" y="46532"/>
                                </a:lnTo>
                                <a:lnTo>
                                  <a:pt x="1011412" y="22315"/>
                                </a:lnTo>
                                <a:lnTo>
                                  <a:pt x="987191" y="5987"/>
                                </a:lnTo>
                                <a:lnTo>
                                  <a:pt x="957529" y="0"/>
                                </a:lnTo>
                                <a:close/>
                              </a:path>
                            </a:pathLst>
                          </a:custGeom>
                          <a:solidFill>
                            <a:srgbClr val="F8B722"/>
                          </a:solidFill>
                        </wps:spPr>
                        <wps:bodyPr wrap="square" lIns="0" tIns="0" rIns="0" bIns="0" rtlCol="0">
                          <a:prstTxWarp prst="textNoShape">
                            <a:avLst/>
                          </a:prstTxWarp>
                          <a:noAutofit/>
                        </wps:bodyPr>
                      </wps:wsp>
                      <wps:wsp>
                        <wps:cNvPr id="264" name="Graphic 264"/>
                        <wps:cNvSpPr/>
                        <wps:spPr>
                          <a:xfrm>
                            <a:off x="1526965" y="1723354"/>
                            <a:ext cx="1033780" cy="457200"/>
                          </a:xfrm>
                          <a:custGeom>
                            <a:avLst/>
                            <a:gdLst/>
                            <a:ahLst/>
                            <a:cxnLst/>
                            <a:rect l="l" t="t" r="r" b="b"/>
                            <a:pathLst>
                              <a:path w="1033780" h="457200">
                                <a:moveTo>
                                  <a:pt x="0" y="76187"/>
                                </a:moveTo>
                                <a:lnTo>
                                  <a:pt x="5987" y="46532"/>
                                </a:lnTo>
                                <a:lnTo>
                                  <a:pt x="22315" y="22315"/>
                                </a:lnTo>
                                <a:lnTo>
                                  <a:pt x="46532" y="5987"/>
                                </a:lnTo>
                                <a:lnTo>
                                  <a:pt x="76187" y="0"/>
                                </a:lnTo>
                                <a:lnTo>
                                  <a:pt x="957529" y="0"/>
                                </a:lnTo>
                                <a:lnTo>
                                  <a:pt x="987191" y="5987"/>
                                </a:lnTo>
                                <a:lnTo>
                                  <a:pt x="1011412" y="22315"/>
                                </a:lnTo>
                                <a:lnTo>
                                  <a:pt x="1027741" y="46532"/>
                                </a:lnTo>
                                <a:lnTo>
                                  <a:pt x="1033729" y="76187"/>
                                </a:lnTo>
                                <a:lnTo>
                                  <a:pt x="1033729" y="380949"/>
                                </a:lnTo>
                                <a:lnTo>
                                  <a:pt x="1027741" y="410603"/>
                                </a:lnTo>
                                <a:lnTo>
                                  <a:pt x="1011412" y="434821"/>
                                </a:lnTo>
                                <a:lnTo>
                                  <a:pt x="987191" y="451149"/>
                                </a:lnTo>
                                <a:lnTo>
                                  <a:pt x="957529" y="457136"/>
                                </a:lnTo>
                                <a:lnTo>
                                  <a:pt x="76187" y="457136"/>
                                </a:lnTo>
                                <a:lnTo>
                                  <a:pt x="46532" y="451149"/>
                                </a:lnTo>
                                <a:lnTo>
                                  <a:pt x="22315" y="434821"/>
                                </a:lnTo>
                                <a:lnTo>
                                  <a:pt x="5987" y="410603"/>
                                </a:lnTo>
                                <a:lnTo>
                                  <a:pt x="0" y="380949"/>
                                </a:lnTo>
                                <a:lnTo>
                                  <a:pt x="0" y="76187"/>
                                </a:lnTo>
                                <a:close/>
                              </a:path>
                            </a:pathLst>
                          </a:custGeom>
                          <a:ln w="12700">
                            <a:solidFill>
                              <a:srgbClr val="B78516"/>
                            </a:solidFill>
                            <a:prstDash val="solid"/>
                          </a:ln>
                        </wps:spPr>
                        <wps:bodyPr wrap="square" lIns="0" tIns="0" rIns="0" bIns="0" rtlCol="0">
                          <a:prstTxWarp prst="textNoShape">
                            <a:avLst/>
                          </a:prstTxWarp>
                          <a:noAutofit/>
                        </wps:bodyPr>
                      </wps:wsp>
                      <wps:wsp>
                        <wps:cNvPr id="265" name="Graphic 265"/>
                        <wps:cNvSpPr/>
                        <wps:spPr>
                          <a:xfrm>
                            <a:off x="1040072" y="1157329"/>
                            <a:ext cx="454025" cy="741045"/>
                          </a:xfrm>
                          <a:custGeom>
                            <a:avLst/>
                            <a:gdLst/>
                            <a:ahLst/>
                            <a:cxnLst/>
                            <a:rect l="l" t="t" r="r" b="b"/>
                            <a:pathLst>
                              <a:path w="454025" h="741045">
                                <a:moveTo>
                                  <a:pt x="0" y="0"/>
                                </a:moveTo>
                                <a:lnTo>
                                  <a:pt x="453720" y="740448"/>
                                </a:lnTo>
                              </a:path>
                            </a:pathLst>
                          </a:custGeom>
                          <a:ln w="12700">
                            <a:solidFill>
                              <a:srgbClr val="000000"/>
                            </a:solidFill>
                            <a:prstDash val="solid"/>
                          </a:ln>
                        </wps:spPr>
                        <wps:bodyPr wrap="square" lIns="0" tIns="0" rIns="0" bIns="0" rtlCol="0">
                          <a:prstTxWarp prst="textNoShape">
                            <a:avLst/>
                          </a:prstTxWarp>
                          <a:noAutofit/>
                        </wps:bodyPr>
                      </wps:wsp>
                      <wps:wsp>
                        <wps:cNvPr id="266" name="Graphic 266"/>
                        <wps:cNvSpPr/>
                        <wps:spPr>
                          <a:xfrm>
                            <a:off x="1454669" y="1867041"/>
                            <a:ext cx="72390" cy="85090"/>
                          </a:xfrm>
                          <a:custGeom>
                            <a:avLst/>
                            <a:gdLst/>
                            <a:ahLst/>
                            <a:cxnLst/>
                            <a:rect l="l" t="t" r="r" b="b"/>
                            <a:pathLst>
                              <a:path w="72390" h="85090">
                                <a:moveTo>
                                  <a:pt x="64973" y="0"/>
                                </a:moveTo>
                                <a:lnTo>
                                  <a:pt x="0" y="39814"/>
                                </a:lnTo>
                                <a:lnTo>
                                  <a:pt x="72301" y="84874"/>
                                </a:lnTo>
                                <a:lnTo>
                                  <a:pt x="64973"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1329845" y="14287"/>
                            <a:ext cx="1402715" cy="2313940"/>
                          </a:xfrm>
                          <a:custGeom>
                            <a:avLst/>
                            <a:gdLst/>
                            <a:ahLst/>
                            <a:cxnLst/>
                            <a:rect l="l" t="t" r="r" b="b"/>
                            <a:pathLst>
                              <a:path w="1402715" h="2313940">
                                <a:moveTo>
                                  <a:pt x="0" y="233730"/>
                                </a:moveTo>
                                <a:lnTo>
                                  <a:pt x="4748" y="186626"/>
                                </a:lnTo>
                                <a:lnTo>
                                  <a:pt x="18368" y="142753"/>
                                </a:lnTo>
                                <a:lnTo>
                                  <a:pt x="39918" y="103051"/>
                                </a:lnTo>
                                <a:lnTo>
                                  <a:pt x="68459" y="68459"/>
                                </a:lnTo>
                                <a:lnTo>
                                  <a:pt x="103051" y="39918"/>
                                </a:lnTo>
                                <a:lnTo>
                                  <a:pt x="142753" y="18368"/>
                                </a:lnTo>
                                <a:lnTo>
                                  <a:pt x="186626" y="4748"/>
                                </a:lnTo>
                                <a:lnTo>
                                  <a:pt x="233730" y="0"/>
                                </a:lnTo>
                                <a:lnTo>
                                  <a:pt x="1168641" y="0"/>
                                </a:lnTo>
                                <a:lnTo>
                                  <a:pt x="1215749" y="4748"/>
                                </a:lnTo>
                                <a:lnTo>
                                  <a:pt x="1259625" y="18368"/>
                                </a:lnTo>
                                <a:lnTo>
                                  <a:pt x="1299330" y="39918"/>
                                </a:lnTo>
                                <a:lnTo>
                                  <a:pt x="1333923" y="68459"/>
                                </a:lnTo>
                                <a:lnTo>
                                  <a:pt x="1362465" y="103051"/>
                                </a:lnTo>
                                <a:lnTo>
                                  <a:pt x="1384016" y="142753"/>
                                </a:lnTo>
                                <a:lnTo>
                                  <a:pt x="1397636" y="186626"/>
                                </a:lnTo>
                                <a:lnTo>
                                  <a:pt x="1402384" y="233730"/>
                                </a:lnTo>
                                <a:lnTo>
                                  <a:pt x="1402384" y="2080031"/>
                                </a:lnTo>
                                <a:lnTo>
                                  <a:pt x="1397636" y="2127139"/>
                                </a:lnTo>
                                <a:lnTo>
                                  <a:pt x="1384016" y="2171015"/>
                                </a:lnTo>
                                <a:lnTo>
                                  <a:pt x="1362465" y="2210720"/>
                                </a:lnTo>
                                <a:lnTo>
                                  <a:pt x="1333923" y="2245313"/>
                                </a:lnTo>
                                <a:lnTo>
                                  <a:pt x="1299330" y="2273855"/>
                                </a:lnTo>
                                <a:lnTo>
                                  <a:pt x="1259625" y="2295406"/>
                                </a:lnTo>
                                <a:lnTo>
                                  <a:pt x="1215749" y="2309026"/>
                                </a:lnTo>
                                <a:lnTo>
                                  <a:pt x="1168641" y="2313774"/>
                                </a:lnTo>
                                <a:lnTo>
                                  <a:pt x="233730" y="2313774"/>
                                </a:lnTo>
                                <a:lnTo>
                                  <a:pt x="186626" y="2309026"/>
                                </a:lnTo>
                                <a:lnTo>
                                  <a:pt x="142753" y="2295406"/>
                                </a:lnTo>
                                <a:lnTo>
                                  <a:pt x="103051" y="2273855"/>
                                </a:lnTo>
                                <a:lnTo>
                                  <a:pt x="68459" y="2245313"/>
                                </a:lnTo>
                                <a:lnTo>
                                  <a:pt x="39918" y="2210720"/>
                                </a:lnTo>
                                <a:lnTo>
                                  <a:pt x="18368" y="2171015"/>
                                </a:lnTo>
                                <a:lnTo>
                                  <a:pt x="4748" y="2127139"/>
                                </a:lnTo>
                                <a:lnTo>
                                  <a:pt x="0" y="2080031"/>
                                </a:lnTo>
                                <a:lnTo>
                                  <a:pt x="0" y="233730"/>
                                </a:lnTo>
                                <a:close/>
                              </a:path>
                            </a:pathLst>
                          </a:custGeom>
                          <a:ln w="28575">
                            <a:solidFill>
                              <a:srgbClr val="F16930"/>
                            </a:solidFill>
                            <a:prstDash val="sysDash"/>
                          </a:ln>
                        </wps:spPr>
                        <wps:bodyPr wrap="square" lIns="0" tIns="0" rIns="0" bIns="0" rtlCol="0">
                          <a:prstTxWarp prst="textNoShape">
                            <a:avLst/>
                          </a:prstTxWarp>
                          <a:noAutofit/>
                        </wps:bodyPr>
                      </wps:wsp>
                      <wps:wsp>
                        <wps:cNvPr id="268" name="Textbox 268"/>
                        <wps:cNvSpPr txBox="1"/>
                        <wps:spPr>
                          <a:xfrm>
                            <a:off x="28393" y="323874"/>
                            <a:ext cx="1041400" cy="259715"/>
                          </a:xfrm>
                          <a:prstGeom prst="rect">
                            <a:avLst/>
                          </a:prstGeom>
                        </wps:spPr>
                        <wps:txbx>
                          <w:txbxContent>
                            <w:p w:rsidR="00C31389" w:rsidRDefault="00561FBD" w14:paraId="5EB179D7" w14:textId="77777777">
                              <w:pPr>
                                <w:ind w:left="549" w:right="13" w:hanging="550"/>
                                <w:rPr>
                                  <w:sz w:val="18"/>
                                </w:rPr>
                              </w:pPr>
                              <w:r>
                                <w:rPr>
                                  <w:color w:val="F16930"/>
                                  <w:sz w:val="18"/>
                                </w:rPr>
                                <w:t>Competing</w:t>
                              </w:r>
                              <w:r>
                                <w:rPr>
                                  <w:color w:val="F16930"/>
                                  <w:spacing w:val="-13"/>
                                  <w:sz w:val="18"/>
                                </w:rPr>
                                <w:t xml:space="preserve"> </w:t>
                              </w:r>
                              <w:r>
                                <w:rPr>
                                  <w:color w:val="F16930"/>
                                  <w:sz w:val="18"/>
                                </w:rPr>
                                <w:t xml:space="preserve">Measure </w:t>
                              </w:r>
                              <w:r>
                                <w:rPr>
                                  <w:color w:val="F16930"/>
                                  <w:spacing w:val="-2"/>
                                  <w:sz w:val="18"/>
                                </w:rPr>
                                <w:t>Levels</w:t>
                              </w:r>
                            </w:p>
                          </w:txbxContent>
                        </wps:txbx>
                        <wps:bodyPr wrap="square" lIns="0" tIns="0" rIns="0" bIns="0" rtlCol="0">
                          <a:noAutofit/>
                        </wps:bodyPr>
                      </wps:wsp>
                      <wps:wsp>
                        <wps:cNvPr id="269" name="Textbox 269"/>
                        <wps:cNvSpPr txBox="1"/>
                        <wps:spPr>
                          <a:xfrm>
                            <a:off x="1722319" y="247674"/>
                            <a:ext cx="660400" cy="259715"/>
                          </a:xfrm>
                          <a:prstGeom prst="rect">
                            <a:avLst/>
                          </a:prstGeom>
                        </wps:spPr>
                        <wps:txbx>
                          <w:txbxContent>
                            <w:p w:rsidR="00C31389" w:rsidRDefault="00561FBD" w14:paraId="5549DAFA" w14:textId="77777777">
                              <w:pPr>
                                <w:ind w:left="219" w:right="13" w:hanging="220"/>
                                <w:rPr>
                                  <w:sz w:val="18"/>
                                </w:rPr>
                              </w:pPr>
                              <w:r>
                                <w:rPr>
                                  <w:color w:val="FFFFFF"/>
                                  <w:sz w:val="18"/>
                                </w:rPr>
                                <w:t>Efficient</w:t>
                              </w:r>
                              <w:r>
                                <w:rPr>
                                  <w:color w:val="FFFFFF"/>
                                  <w:spacing w:val="-13"/>
                                  <w:sz w:val="18"/>
                                </w:rPr>
                                <w:t xml:space="preserve"> </w:t>
                              </w:r>
                              <w:r>
                                <w:rPr>
                                  <w:color w:val="FFFFFF"/>
                                  <w:sz w:val="18"/>
                                </w:rPr>
                                <w:t>Gas Level 1</w:t>
                              </w:r>
                            </w:p>
                          </w:txbxContent>
                        </wps:txbx>
                        <wps:bodyPr wrap="square" lIns="0" tIns="0" rIns="0" bIns="0" rtlCol="0">
                          <a:noAutofit/>
                        </wps:bodyPr>
                      </wps:wsp>
                      <wps:wsp>
                        <wps:cNvPr id="270" name="Textbox 270"/>
                        <wps:cNvSpPr txBox="1"/>
                        <wps:spPr>
                          <a:xfrm>
                            <a:off x="1722319" y="773454"/>
                            <a:ext cx="660400" cy="259715"/>
                          </a:xfrm>
                          <a:prstGeom prst="rect">
                            <a:avLst/>
                          </a:prstGeom>
                        </wps:spPr>
                        <wps:txbx>
                          <w:txbxContent>
                            <w:p w:rsidR="00C31389" w:rsidRDefault="00561FBD" w14:paraId="18B6CE00" w14:textId="77777777">
                              <w:pPr>
                                <w:ind w:left="219" w:right="13" w:hanging="220"/>
                                <w:rPr>
                                  <w:sz w:val="18"/>
                                </w:rPr>
                              </w:pPr>
                              <w:r>
                                <w:rPr>
                                  <w:color w:val="FFFFFF"/>
                                  <w:sz w:val="18"/>
                                </w:rPr>
                                <w:t>Efficient</w:t>
                              </w:r>
                              <w:r>
                                <w:rPr>
                                  <w:color w:val="FFFFFF"/>
                                  <w:spacing w:val="-13"/>
                                  <w:sz w:val="18"/>
                                </w:rPr>
                                <w:t xml:space="preserve"> </w:t>
                              </w:r>
                              <w:r>
                                <w:rPr>
                                  <w:color w:val="FFFFFF"/>
                                  <w:sz w:val="18"/>
                                </w:rPr>
                                <w:t>Gas Level 2</w:t>
                              </w:r>
                            </w:p>
                          </w:txbxContent>
                        </wps:txbx>
                        <wps:bodyPr wrap="square" lIns="0" tIns="0" rIns="0" bIns="0" rtlCol="0">
                          <a:noAutofit/>
                        </wps:bodyPr>
                      </wps:wsp>
                      <wps:wsp>
                        <wps:cNvPr id="271" name="Textbox 271"/>
                        <wps:cNvSpPr txBox="1"/>
                        <wps:spPr>
                          <a:xfrm>
                            <a:off x="147989" y="1029486"/>
                            <a:ext cx="762000" cy="259715"/>
                          </a:xfrm>
                          <a:prstGeom prst="rect">
                            <a:avLst/>
                          </a:prstGeom>
                        </wps:spPr>
                        <wps:txbx>
                          <w:txbxContent>
                            <w:p w:rsidR="00C31389" w:rsidRDefault="00561FBD" w14:paraId="5FD22BAA" w14:textId="77777777">
                              <w:pPr>
                                <w:ind w:right="12" w:firstLine="55"/>
                                <w:rPr>
                                  <w:sz w:val="18"/>
                                </w:rPr>
                              </w:pPr>
                              <w:r>
                                <w:rPr>
                                  <w:color w:val="FFFFFF"/>
                                  <w:sz w:val="18"/>
                                </w:rPr>
                                <w:t>Baseline Gas Measure</w:t>
                              </w:r>
                              <w:r>
                                <w:rPr>
                                  <w:color w:val="FFFFFF"/>
                                  <w:spacing w:val="-13"/>
                                  <w:sz w:val="18"/>
                                </w:rPr>
                                <w:t xml:space="preserve"> </w:t>
                              </w:r>
                              <w:r>
                                <w:rPr>
                                  <w:color w:val="FFFFFF"/>
                                  <w:sz w:val="18"/>
                                </w:rPr>
                                <w:t>Level</w:t>
                              </w:r>
                            </w:p>
                          </w:txbxContent>
                        </wps:txbx>
                        <wps:bodyPr wrap="square" lIns="0" tIns="0" rIns="0" bIns="0" rtlCol="0">
                          <a:noAutofit/>
                        </wps:bodyPr>
                      </wps:wsp>
                      <wps:wsp>
                        <wps:cNvPr id="272" name="Textbox 272"/>
                        <wps:cNvSpPr txBox="1"/>
                        <wps:spPr>
                          <a:xfrm>
                            <a:off x="1656025" y="1298472"/>
                            <a:ext cx="787400" cy="260350"/>
                          </a:xfrm>
                          <a:prstGeom prst="rect">
                            <a:avLst/>
                          </a:prstGeom>
                        </wps:spPr>
                        <wps:txbx>
                          <w:txbxContent>
                            <w:p w:rsidR="00C31389" w:rsidRDefault="00561FBD" w14:paraId="261B871D" w14:textId="77777777">
                              <w:pPr>
                                <w:spacing w:line="242" w:lineRule="auto"/>
                                <w:ind w:firstLine="290"/>
                                <w:rPr>
                                  <w:sz w:val="18"/>
                                </w:rPr>
                              </w:pPr>
                              <w:r>
                                <w:rPr>
                                  <w:spacing w:val="-2"/>
                                  <w:sz w:val="18"/>
                                </w:rPr>
                                <w:t xml:space="preserve">Efficient </w:t>
                              </w:r>
                              <w:r>
                                <w:rPr>
                                  <w:sz w:val="18"/>
                                </w:rPr>
                                <w:t>Electric</w:t>
                              </w:r>
                              <w:r>
                                <w:rPr>
                                  <w:spacing w:val="-15"/>
                                  <w:sz w:val="18"/>
                                </w:rPr>
                                <w:t xml:space="preserve"> </w:t>
                              </w:r>
                              <w:r>
                                <w:rPr>
                                  <w:sz w:val="18"/>
                                </w:rPr>
                                <w:t>Level</w:t>
                              </w:r>
                              <w:r>
                                <w:rPr>
                                  <w:spacing w:val="-13"/>
                                  <w:sz w:val="18"/>
                                </w:rPr>
                                <w:t xml:space="preserve"> </w:t>
                              </w:r>
                              <w:r>
                                <w:rPr>
                                  <w:sz w:val="18"/>
                                </w:rPr>
                                <w:t>1</w:t>
                              </w:r>
                            </w:p>
                          </w:txbxContent>
                        </wps:txbx>
                        <wps:bodyPr wrap="square" lIns="0" tIns="0" rIns="0" bIns="0" rtlCol="0">
                          <a:noAutofit/>
                        </wps:bodyPr>
                      </wps:wsp>
                      <wps:wsp>
                        <wps:cNvPr id="273" name="Textbox 273"/>
                        <wps:cNvSpPr txBox="1"/>
                        <wps:spPr>
                          <a:xfrm>
                            <a:off x="1656063" y="1824252"/>
                            <a:ext cx="787400" cy="259715"/>
                          </a:xfrm>
                          <a:prstGeom prst="rect">
                            <a:avLst/>
                          </a:prstGeom>
                        </wps:spPr>
                        <wps:txbx>
                          <w:txbxContent>
                            <w:p w:rsidR="00C31389" w:rsidRDefault="00561FBD" w14:paraId="72EC361E" w14:textId="77777777">
                              <w:pPr>
                                <w:ind w:firstLine="290"/>
                                <w:rPr>
                                  <w:sz w:val="18"/>
                                </w:rPr>
                              </w:pPr>
                              <w:r>
                                <w:rPr>
                                  <w:spacing w:val="-2"/>
                                  <w:sz w:val="18"/>
                                </w:rPr>
                                <w:t xml:space="preserve">Efficient </w:t>
                              </w:r>
                              <w:r>
                                <w:rPr>
                                  <w:sz w:val="18"/>
                                </w:rPr>
                                <w:t>Electric</w:t>
                              </w:r>
                              <w:r>
                                <w:rPr>
                                  <w:spacing w:val="-15"/>
                                  <w:sz w:val="18"/>
                                </w:rPr>
                                <w:t xml:space="preserve"> </w:t>
                              </w:r>
                              <w:r>
                                <w:rPr>
                                  <w:sz w:val="18"/>
                                </w:rPr>
                                <w:t>Level</w:t>
                              </w:r>
                              <w:r>
                                <w:rPr>
                                  <w:spacing w:val="-13"/>
                                  <w:sz w:val="18"/>
                                </w:rPr>
                                <w:t xml:space="preserve"> </w:t>
                              </w:r>
                              <w:r>
                                <w:rPr>
                                  <w:sz w:val="18"/>
                                </w:rPr>
                                <w:t>1</w:t>
                              </w:r>
                            </w:p>
                          </w:txbxContent>
                        </wps:txbx>
                        <wps:bodyPr wrap="square" lIns="0" tIns="0" rIns="0" bIns="0" rtlCol="0">
                          <a:noAutofit/>
                        </wps:bodyPr>
                      </wps:wsp>
                    </wpg:wgp>
                  </a:graphicData>
                </a:graphic>
              </wp:inline>
            </w:drawing>
          </mc:Choice>
          <mc:Fallback>
            <w:pict>
              <v:group id="Group 248" style="width:216.3pt;height:184.45pt;mso-position-horizontal-relative:char;mso-position-vertical-relative:line" coordsize="27470,23425" o:spid="_x0000_s1062" w14:anchorId="40550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">
                <v:shape id="Graphic 249" style="position:absolute;left:63;top:9287;width:10338;height:4572;visibility:visible;mso-wrap-style:square;v-text-anchor:top" coordsize="1033780,457200" o:spid="_x0000_s1063" fillcolor="#1f54c8" stroked="f" path="m957529,l76187,,46532,5987,22315,22315,5987,46532,,76187,,380949r5987,29654l22315,434821r24217,16328l76187,457136r881342,l987191,451149r24221,-16328l1027741,410603r5988,-29654l1033729,76187r-5988,-29655l1011412,22315,987191,5987,957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">
                  <v:path arrowok="t"/>
                </v:shape>
                <v:shape id="Graphic 250" style="position:absolute;left:63;top:9287;width:10338;height:4572;visibility:visible;mso-wrap-style:square;v-text-anchor:top" coordsize="1033780,457200" o:spid="_x0000_s1064" filled="f" strokecolor="#133b92" strokeweight="1pt" path="m,76187l5987,46532,22315,22315,46532,5987,76187,,957529,r29662,5987l1011412,22315r16329,24217l1033729,76187r,304762l1027741,410603r-16329,24218l987191,451149r-29662,5987l76187,457136,46532,451149,22315,434821,5987,410603,,380949,,76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">
                  <v:path arrowok="t"/>
                </v:shape>
                <v:shape id="Graphic 251" style="position:absolute;left:15269;top:11978;width:10338;height:4572;visibility:visible;mso-wrap-style:square;v-text-anchor:top" coordsize="1033780,457200" o:spid="_x0000_s1065" fillcolor="#f8b722" stroked="f" path="m957529,l76187,,46532,5987,22315,22315,5987,46532,,76187,,380949r5987,29654l22315,434821r24217,16328l76187,457136r881342,l987191,451149r24221,-16328l1027741,410603r5988,-29654l1033729,76187r-5988,-29655l1011412,22315,987191,5987,957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">
                  <v:path arrowok="t"/>
                </v:shape>
                <v:shape id="Graphic 252" style="position:absolute;left:15269;top:11978;width:10338;height:4572;visibility:visible;mso-wrap-style:square;v-text-anchor:top" coordsize="1033780,457200" o:spid="_x0000_s1066" filled="f" strokecolor="#b78516" strokeweight="1pt" path="m,76187l5987,46532,22315,22315,46532,5987,76187,,957529,r29662,5987l1011412,22315r16329,24217l1033729,76187r,304762l1027741,410603r-16329,24218l987191,451149r-29662,5987l76187,457136,46532,451149,22315,434821,5987,410603,,380949,,76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">
                  <v:path arrowok="t"/>
                </v:shape>
                <v:shape id="Graphic 253" style="position:absolute;left:15313;top:1468;width:10294;height:4572;visibility:visible;mso-wrap-style:square;v-text-anchor:top" coordsize="1029335,457200" o:spid="_x0000_s1067" fillcolor="#1f54c8" stroked="f" path="m953122,l76187,,46532,5987,22315,22315,5987,46532,,76187,,380949r5987,29654l22315,434821r24217,16328l76187,457136r876935,l982776,451149r24218,-16328l1023322,410603r5987,-29654l1029309,76187r-5987,-29655l1006994,22315,982776,5987,953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">
                  <v:path arrowok="t"/>
                </v:shape>
                <v:shape id="Graphic 254" style="position:absolute;left:15313;top:1468;width:10294;height:4572;visibility:visible;mso-wrap-style:square;v-text-anchor:top" coordsize="1029335,457200" o:spid="_x0000_s1068" filled="f" strokecolor="#133b92" strokeweight="1pt" path="m,76187l5987,46532,22315,22315,46532,5987,76187,,953122,r29654,5987l1006994,22315r16328,24217l1029309,76187r,304762l1023322,410603r-16328,24218l982776,451149r-29654,5987l76187,457136,46532,451149,22315,434821,5987,410603,,380949,,76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">
                  <v:path arrowok="t"/>
                </v:shape>
                <v:shape id="Graphic 255" style="position:absolute;left:10400;top:4292;width:4579;height:7283;visibility:visible;mso-wrap-style:square;v-text-anchor:top" coordsize="457834,728345" o:spid="_x0000_s1069" filled="f" strokeweight="1pt" path="m,728103l4575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">
                  <v:path arrowok="t"/>
                </v:shape>
                <v:shape id="Graphic 256" style="position:absolute;left:14585;top:3754;width:731;height:851;visibility:visible;mso-wrap-style:square;v-text-anchor:top" coordsize="73025,85090" o:spid="_x0000_s1070" fillcolor="black" stroked="f" path="m72796,l,44246,64515,84785,727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">
                  <v:path arrowok="t"/>
                </v:shape>
                <v:shape id="Graphic 257" style="position:absolute;left:10400;top:11573;width:4318;height:2387;visibility:visible;mso-wrap-style:square;v-text-anchor:top" coordsize="431800,238760" o:spid="_x0000_s1071" filled="f" strokeweight="1pt" path="m,l431317,2383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">
                  <v:path arrowok="t"/>
                </v:shape>
                <v:shape id="Graphic 258" style="position:absolute;left:14418;top:13562;width:857;height:705;visibility:visible;mso-wrap-style:square;v-text-anchor:top" coordsize="85725,70485" o:spid="_x0000_s1072" fillcolor="black" stroked="f" path="m36868,l,66687r85128,3518l368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">
                  <v:path arrowok="t"/>
                </v:shape>
                <v:shape id="Graphic 259" style="position:absolute;left:15313;top:6723;width:10294;height:4572;visibility:visible;mso-wrap-style:square;v-text-anchor:top" coordsize="1029335,457200" o:spid="_x0000_s1073" fillcolor="#1f54c8" stroked="f" path="m953122,l76187,,46532,5987,22315,22315,5987,46532,,76187,,380949r5987,29654l22315,434821r24217,16328l76187,457136r876935,l982776,451149r24218,-16328l1023322,410603r5987,-29654l1029309,76187r-5987,-29655l1006994,22315,982776,5987,953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">
                  <v:path arrowok="t"/>
                </v:shape>
                <v:shape id="Graphic 260" style="position:absolute;left:15313;top:6723;width:10294;height:4572;visibility:visible;mso-wrap-style:square;v-text-anchor:top" coordsize="1029335,457200" o:spid="_x0000_s1074" filled="f" strokecolor="#133b92" strokeweight="1pt" path="m,76187l5987,46532,22315,22315,46532,5987,76187,,953122,r29654,5987l1006994,22315r16328,24217l1029309,76187r,304762l1023322,410603r-16328,24218l982776,451149r-29654,5987l76187,457136,46532,451149,22315,434821,5987,410603,,380949,,76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">
                  <v:path arrowok="t"/>
                </v:shape>
                <v:shape id="Graphic 261" style="position:absolute;left:10400;top:9303;width:4356;height:2273;visibility:visible;mso-wrap-style:square;v-text-anchor:top" coordsize="435609,227329" o:spid="_x0000_s1075" filled="f" strokeweight="1pt" path="m,226999l4350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">
                  <v:path arrowok="t"/>
                </v:shape>
                <v:shape id="Graphic 262" style="position:absolute;left:14461;top:9009;width:858;height:692;visibility:visible;mso-wrap-style:square;v-text-anchor:top" coordsize="85725,69215" o:spid="_x0000_s1076" fillcolor="black" stroked="f" path="m85178,l,1485,35255,69037,85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">
                  <v:path arrowok="t"/>
                </v:shape>
                <v:shape id="Graphic 263" style="position:absolute;left:15269;top:17233;width:10338;height:4572;visibility:visible;mso-wrap-style:square;v-text-anchor:top" coordsize="1033780,457200" o:spid="_x0000_s1077" fillcolor="#f8b722" stroked="f" path="m957529,l76187,,46532,5987,22315,22315,5987,46532,,76187,,380949r5987,29654l22315,434821r24217,16328l76187,457136r881342,l987191,451149r24221,-16328l1027741,410603r5988,-29654l1033729,76187r-5988,-29655l1011412,22315,987191,5987,957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">
                  <v:path arrowok="t"/>
                </v:shape>
                <v:shape id="Graphic 264" style="position:absolute;left:15269;top:17233;width:10338;height:4572;visibility:visible;mso-wrap-style:square;v-text-anchor:top" coordsize="1033780,457200" o:spid="_x0000_s1078" filled="f" strokecolor="#b78516" strokeweight="1pt" path="m,76187l5987,46532,22315,22315,46532,5987,76187,,957529,r29662,5987l1011412,22315r16329,24217l1033729,76187r,304762l1027741,410603r-16329,24218l987191,451149r-29662,5987l76187,457136,46532,451149,22315,434821,5987,410603,,380949,,76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">
                  <v:path arrowok="t"/>
                </v:shape>
                <v:shape id="Graphic 265" style="position:absolute;left:10400;top:11573;width:4540;height:7410;visibility:visible;mso-wrap-style:square;v-text-anchor:top" coordsize="454025,741045" o:spid="_x0000_s1079" filled="f" strokeweight="1pt" path="m,l453720,7404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">
                  <v:path arrowok="t"/>
                </v:shape>
                <v:shape id="Graphic 266" style="position:absolute;left:14546;top:18670;width:724;height:851;visibility:visible;mso-wrap-style:square;v-text-anchor:top" coordsize="72390,85090" o:spid="_x0000_s1080" fillcolor="black" stroked="f" path="m64973,l,39814,72301,84874,649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">
                  <v:path arrowok="t"/>
                </v:shape>
                <v:shape id="Graphic 267" style="position:absolute;left:13298;top:142;width:14027;height:23140;visibility:visible;mso-wrap-style:square;v-text-anchor:top" coordsize="1402715,2313940" o:spid="_x0000_s1081" filled="f" strokecolor="#f16930" strokeweight="2.25pt" path="m,233730l4748,186626,18368,142753,39918,103051,68459,68459,103051,39918,142753,18368,186626,4748,233730,r934911,l1215749,4748r43876,13620l1299330,39918r34593,28541l1362465,103051r21551,39702l1397636,186626r4748,47104l1402384,2080031r-4748,47108l1384016,2171015r-21551,39705l1333923,2245313r-34593,28542l1259625,2295406r-43876,13620l1168641,2313774r-934911,l186626,2309026r-43873,-13620l103051,2273855,68459,2245313,39918,2210720,18368,2171015,4748,2127139,,2080031,,233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">
                  <v:stroke dashstyle="3 1"/>
                  <v:path arrowok="t"/>
                </v:shape>
                <v:shape id="Textbox 268" style="position:absolute;left:283;top:3238;width:10414;height:2597;visibility:visible;mso-wrap-style:square;v-text-anchor:top" o:spid="_x0000_s108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v:textbox inset="0,0,0,0">
                    <w:txbxContent>
                      <w:p w:rsidR="00C31389" w:rsidRDefault="00561FBD" w14:paraId="5EB179D7" w14:textId="77777777">
                        <w:pPr>
                          <w:ind w:left="549" w:right="13" w:hanging="550"/>
                          <w:rPr>
                            <w:sz w:val="18"/>
                          </w:rPr>
                        </w:pPr>
                        <w:r>
                          <w:rPr>
                            <w:color w:val="F16930"/>
                            <w:sz w:val="18"/>
                          </w:rPr>
                          <w:t>Competing</w:t>
                        </w:r>
                        <w:r>
                          <w:rPr>
                            <w:color w:val="F16930"/>
                            <w:spacing w:val="-13"/>
                            <w:sz w:val="18"/>
                          </w:rPr>
                          <w:t xml:space="preserve"> </w:t>
                        </w:r>
                        <w:r>
                          <w:rPr>
                            <w:color w:val="F16930"/>
                            <w:sz w:val="18"/>
                          </w:rPr>
                          <w:t xml:space="preserve">Measure </w:t>
                        </w:r>
                        <w:r>
                          <w:rPr>
                            <w:color w:val="F16930"/>
                            <w:spacing w:val="-2"/>
                            <w:sz w:val="18"/>
                          </w:rPr>
                          <w:t>Levels</w:t>
                        </w:r>
                      </w:p>
                    </w:txbxContent>
                  </v:textbox>
                </v:shape>
                <v:shape id="Textbox 269" style="position:absolute;left:17223;top:2476;width:6604;height:2597;visibility:visible;mso-wrap-style:square;v-text-anchor:top" o:spid="_x0000_s108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v:textbox inset="0,0,0,0">
                    <w:txbxContent>
                      <w:p w:rsidR="00C31389" w:rsidRDefault="00561FBD" w14:paraId="5549DAFA" w14:textId="77777777">
                        <w:pPr>
                          <w:ind w:left="219" w:right="13" w:hanging="220"/>
                          <w:rPr>
                            <w:sz w:val="18"/>
                          </w:rPr>
                        </w:pPr>
                        <w:r>
                          <w:rPr>
                            <w:color w:val="FFFFFF"/>
                            <w:sz w:val="18"/>
                          </w:rPr>
                          <w:t>Efficient</w:t>
                        </w:r>
                        <w:r>
                          <w:rPr>
                            <w:color w:val="FFFFFF"/>
                            <w:spacing w:val="-13"/>
                            <w:sz w:val="18"/>
                          </w:rPr>
                          <w:t xml:space="preserve"> </w:t>
                        </w:r>
                        <w:r>
                          <w:rPr>
                            <w:color w:val="FFFFFF"/>
                            <w:sz w:val="18"/>
                          </w:rPr>
                          <w:t>Gas Level 1</w:t>
                        </w:r>
                      </w:p>
                    </w:txbxContent>
                  </v:textbox>
                </v:shape>
                <v:shape id="Textbox 270" style="position:absolute;left:17223;top:7734;width:6604;height:2597;visibility:visible;mso-wrap-style:square;v-text-anchor:top" o:spid="_x0000_s10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v:textbox inset="0,0,0,0">
                    <w:txbxContent>
                      <w:p w:rsidR="00C31389" w:rsidRDefault="00561FBD" w14:paraId="18B6CE00" w14:textId="77777777">
                        <w:pPr>
                          <w:ind w:left="219" w:right="13" w:hanging="220"/>
                          <w:rPr>
                            <w:sz w:val="18"/>
                          </w:rPr>
                        </w:pPr>
                        <w:r>
                          <w:rPr>
                            <w:color w:val="FFFFFF"/>
                            <w:sz w:val="18"/>
                          </w:rPr>
                          <w:t>Efficient</w:t>
                        </w:r>
                        <w:r>
                          <w:rPr>
                            <w:color w:val="FFFFFF"/>
                            <w:spacing w:val="-13"/>
                            <w:sz w:val="18"/>
                          </w:rPr>
                          <w:t xml:space="preserve"> </w:t>
                        </w:r>
                        <w:r>
                          <w:rPr>
                            <w:color w:val="FFFFFF"/>
                            <w:sz w:val="18"/>
                          </w:rPr>
                          <w:t>Gas Level 2</w:t>
                        </w:r>
                      </w:p>
                    </w:txbxContent>
                  </v:textbox>
                </v:shape>
                <v:shape id="Textbox 271" style="position:absolute;left:1479;top:10294;width:7620;height:2598;visibility:visible;mso-wrap-style:square;v-text-anchor:top" o:spid="_x0000_s10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v:textbox inset="0,0,0,0">
                    <w:txbxContent>
                      <w:p w:rsidR="00C31389" w:rsidRDefault="00561FBD" w14:paraId="5FD22BAA" w14:textId="77777777">
                        <w:pPr>
                          <w:ind w:right="12" w:firstLine="55"/>
                          <w:rPr>
                            <w:sz w:val="18"/>
                          </w:rPr>
                        </w:pPr>
                        <w:r>
                          <w:rPr>
                            <w:color w:val="FFFFFF"/>
                            <w:sz w:val="18"/>
                          </w:rPr>
                          <w:t>Baseline Gas Measure</w:t>
                        </w:r>
                        <w:r>
                          <w:rPr>
                            <w:color w:val="FFFFFF"/>
                            <w:spacing w:val="-13"/>
                            <w:sz w:val="18"/>
                          </w:rPr>
                          <w:t xml:space="preserve"> </w:t>
                        </w:r>
                        <w:r>
                          <w:rPr>
                            <w:color w:val="FFFFFF"/>
                            <w:sz w:val="18"/>
                          </w:rPr>
                          <w:t>Level</w:t>
                        </w:r>
                      </w:p>
                    </w:txbxContent>
                  </v:textbox>
                </v:shape>
                <v:shape id="Textbox 272" style="position:absolute;left:16560;top:12984;width:7874;height:2604;visibility:visible;mso-wrap-style:square;v-text-anchor:top" o:spid="_x0000_s108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v:textbox inset="0,0,0,0">
                    <w:txbxContent>
                      <w:p w:rsidR="00C31389" w:rsidRDefault="00561FBD" w14:paraId="261B871D" w14:textId="77777777">
                        <w:pPr>
                          <w:spacing w:line="242" w:lineRule="auto"/>
                          <w:ind w:firstLine="290"/>
                          <w:rPr>
                            <w:sz w:val="18"/>
                          </w:rPr>
                        </w:pPr>
                        <w:r>
                          <w:rPr>
                            <w:spacing w:val="-2"/>
                            <w:sz w:val="18"/>
                          </w:rPr>
                          <w:t xml:space="preserve">Efficient </w:t>
                        </w:r>
                        <w:r>
                          <w:rPr>
                            <w:sz w:val="18"/>
                          </w:rPr>
                          <w:t>Electric</w:t>
                        </w:r>
                        <w:r>
                          <w:rPr>
                            <w:spacing w:val="-15"/>
                            <w:sz w:val="18"/>
                          </w:rPr>
                          <w:t xml:space="preserve"> </w:t>
                        </w:r>
                        <w:r>
                          <w:rPr>
                            <w:sz w:val="18"/>
                          </w:rPr>
                          <w:t>Level</w:t>
                        </w:r>
                        <w:r>
                          <w:rPr>
                            <w:spacing w:val="-13"/>
                            <w:sz w:val="18"/>
                          </w:rPr>
                          <w:t xml:space="preserve"> </w:t>
                        </w:r>
                        <w:r>
                          <w:rPr>
                            <w:sz w:val="18"/>
                          </w:rPr>
                          <w:t>1</w:t>
                        </w:r>
                      </w:p>
                    </w:txbxContent>
                  </v:textbox>
                </v:shape>
                <v:shape id="Textbox 273" style="position:absolute;left:16560;top:18242;width:7874;height:2597;visibility:visible;mso-wrap-style:square;v-text-anchor:top" o:spid="_x0000_s10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v:textbox inset="0,0,0,0">
                    <w:txbxContent>
                      <w:p w:rsidR="00C31389" w:rsidRDefault="00561FBD" w14:paraId="72EC361E" w14:textId="77777777">
                        <w:pPr>
                          <w:ind w:firstLine="290"/>
                          <w:rPr>
                            <w:sz w:val="18"/>
                          </w:rPr>
                        </w:pPr>
                        <w:r>
                          <w:rPr>
                            <w:spacing w:val="-2"/>
                            <w:sz w:val="18"/>
                          </w:rPr>
                          <w:t xml:space="preserve">Efficient </w:t>
                        </w:r>
                        <w:r>
                          <w:rPr>
                            <w:sz w:val="18"/>
                          </w:rPr>
                          <w:t>Electric</w:t>
                        </w:r>
                        <w:r>
                          <w:rPr>
                            <w:spacing w:val="-15"/>
                            <w:sz w:val="18"/>
                          </w:rPr>
                          <w:t xml:space="preserve"> </w:t>
                        </w:r>
                        <w:r>
                          <w:rPr>
                            <w:sz w:val="18"/>
                          </w:rPr>
                          <w:t>Level</w:t>
                        </w:r>
                        <w:r>
                          <w:rPr>
                            <w:spacing w:val="-13"/>
                            <w:sz w:val="18"/>
                          </w:rPr>
                          <w:t xml:space="preserve"> </w:t>
                        </w:r>
                        <w:r>
                          <w:rPr>
                            <w:sz w:val="18"/>
                          </w:rPr>
                          <w:t>1</w:t>
                        </w:r>
                      </w:p>
                    </w:txbxContent>
                  </v:textbox>
                </v:shape>
                <w10:anchorlock/>
              </v:group>
            </w:pict>
          </mc:Fallback>
        </mc:AlternateContent>
      </w:r>
    </w:p>
    <w:p w:rsidR="00C31389" w:rsidRDefault="00C31389" w14:paraId="3D2154FB" w14:textId="77777777">
      <w:pPr>
        <w:pStyle w:val="BodyText"/>
        <w:spacing w:before="10"/>
        <w:rPr>
          <w:b/>
        </w:rPr>
      </w:pPr>
    </w:p>
    <w:p w:rsidR="00C31389" w:rsidRDefault="00C31389" w14:paraId="42C60357" w14:textId="77777777">
      <w:pPr>
        <w:sectPr w:rsidR="00C31389">
          <w:type w:val="continuous"/>
          <w:pgSz w:w="12240" w:h="15840"/>
          <w:pgMar w:top="0" w:right="960" w:bottom="280" w:left="960" w:header="397" w:footer="936" w:gutter="0"/>
          <w:cols w:space="720"/>
        </w:sectPr>
      </w:pPr>
    </w:p>
    <w:p w:rsidR="00C31389" w:rsidRDefault="00C31389" w14:paraId="417AF87F" w14:textId="77777777">
      <w:pPr>
        <w:pStyle w:val="BodyText"/>
        <w:rPr>
          <w:b/>
          <w:sz w:val="20"/>
        </w:rPr>
      </w:pPr>
    </w:p>
    <w:p w:rsidR="00C31389" w:rsidRDefault="00C31389" w14:paraId="259BFC73" w14:textId="77777777">
      <w:pPr>
        <w:pStyle w:val="BodyText"/>
        <w:rPr>
          <w:b/>
          <w:sz w:val="20"/>
        </w:rPr>
      </w:pPr>
    </w:p>
    <w:p w:rsidR="00C31389" w:rsidRDefault="00C31389" w14:paraId="6C309939" w14:textId="77777777">
      <w:pPr>
        <w:pStyle w:val="BodyText"/>
        <w:spacing w:before="8"/>
        <w:rPr>
          <w:b/>
          <w:sz w:val="20"/>
        </w:rPr>
      </w:pPr>
    </w:p>
    <w:p w:rsidR="00C31389" w:rsidRDefault="00561FBD" w14:paraId="1F730A8F" w14:textId="77777777">
      <w:pPr>
        <w:ind w:left="480"/>
        <w:rPr>
          <w:i/>
          <w:sz w:val="18"/>
        </w:rPr>
      </w:pPr>
      <w:r>
        <w:rPr>
          <w:i/>
          <w:sz w:val="18"/>
        </w:rPr>
        <w:t>Source:</w:t>
      </w:r>
      <w:r>
        <w:rPr>
          <w:i/>
          <w:spacing w:val="-4"/>
          <w:sz w:val="18"/>
        </w:rPr>
        <w:t xml:space="preserve"> </w:t>
      </w:r>
      <w:r>
        <w:rPr>
          <w:i/>
          <w:spacing w:val="-2"/>
          <w:sz w:val="18"/>
        </w:rPr>
        <w:t>Guidehouse</w:t>
      </w:r>
    </w:p>
    <w:p w:rsidR="00C31389" w:rsidRDefault="00561FBD" w14:paraId="1B68C454" w14:textId="77777777">
      <w:pPr>
        <w:spacing w:before="94"/>
        <w:ind w:left="1075" w:right="690" w:hanging="596"/>
        <w:rPr>
          <w:sz w:val="18"/>
        </w:rPr>
      </w:pPr>
      <w:r>
        <w:br w:type="column"/>
      </w:r>
      <w:r>
        <w:rPr>
          <w:color w:val="F16930"/>
          <w:sz w:val="18"/>
        </w:rPr>
        <w:t>Electric</w:t>
      </w:r>
      <w:r>
        <w:rPr>
          <w:color w:val="F16930"/>
          <w:spacing w:val="-6"/>
          <w:sz w:val="18"/>
        </w:rPr>
        <w:t xml:space="preserve"> </w:t>
      </w:r>
      <w:r>
        <w:rPr>
          <w:color w:val="F16930"/>
          <w:sz w:val="18"/>
        </w:rPr>
        <w:t>and</w:t>
      </w:r>
      <w:r>
        <w:rPr>
          <w:color w:val="F16930"/>
          <w:spacing w:val="-7"/>
          <w:sz w:val="18"/>
        </w:rPr>
        <w:t xml:space="preserve"> </w:t>
      </w:r>
      <w:r>
        <w:rPr>
          <w:color w:val="F16930"/>
          <w:sz w:val="18"/>
        </w:rPr>
        <w:t>gas</w:t>
      </w:r>
      <w:r>
        <w:rPr>
          <w:color w:val="F16930"/>
          <w:spacing w:val="-6"/>
          <w:sz w:val="18"/>
        </w:rPr>
        <w:t xml:space="preserve"> </w:t>
      </w:r>
      <w:r>
        <w:rPr>
          <w:color w:val="F16930"/>
          <w:sz w:val="18"/>
        </w:rPr>
        <w:t>measures</w:t>
      </w:r>
      <w:r>
        <w:rPr>
          <w:color w:val="F16930"/>
          <w:spacing w:val="-6"/>
          <w:sz w:val="18"/>
        </w:rPr>
        <w:t xml:space="preserve"> </w:t>
      </w:r>
      <w:r>
        <w:rPr>
          <w:color w:val="F16930"/>
          <w:sz w:val="18"/>
        </w:rPr>
        <w:t>compete</w:t>
      </w:r>
      <w:r>
        <w:rPr>
          <w:color w:val="F16930"/>
          <w:spacing w:val="-7"/>
          <w:sz w:val="18"/>
        </w:rPr>
        <w:t xml:space="preserve"> </w:t>
      </w:r>
      <w:r>
        <w:rPr>
          <w:color w:val="F16930"/>
          <w:sz w:val="18"/>
        </w:rPr>
        <w:t>on</w:t>
      </w:r>
      <w:r>
        <w:rPr>
          <w:color w:val="F16930"/>
          <w:spacing w:val="-7"/>
          <w:sz w:val="18"/>
        </w:rPr>
        <w:t xml:space="preserve"> </w:t>
      </w:r>
      <w:r>
        <w:rPr>
          <w:color w:val="F16930"/>
          <w:sz w:val="18"/>
        </w:rPr>
        <w:t>the basis of neutral unit savings</w:t>
      </w:r>
    </w:p>
    <w:p w:rsidR="00C31389" w:rsidRDefault="00C31389" w14:paraId="1D407CB8" w14:textId="77777777">
      <w:pPr>
        <w:rPr>
          <w:sz w:val="18"/>
        </w:rPr>
        <w:sectPr w:rsidR="00C31389">
          <w:type w:val="continuous"/>
          <w:pgSz w:w="12240" w:h="15840"/>
          <w:pgMar w:top="0" w:right="960" w:bottom="280" w:left="960" w:header="397" w:footer="936" w:gutter="0"/>
          <w:cols w:equalWidth="0" w:space="720" w:num="2">
            <w:col w:w="2161" w:space="3216"/>
            <w:col w:w="4943"/>
          </w:cols>
        </w:sectPr>
      </w:pPr>
    </w:p>
    <w:p w:rsidR="00C31389" w:rsidRDefault="00C31389" w14:paraId="4DFD6D25" w14:textId="77777777">
      <w:pPr>
        <w:pStyle w:val="BodyText"/>
        <w:rPr>
          <w:sz w:val="20"/>
        </w:rPr>
      </w:pPr>
    </w:p>
    <w:p w:rsidR="00C31389" w:rsidRDefault="00C31389" w14:paraId="0E50F72A" w14:textId="77777777">
      <w:pPr>
        <w:pStyle w:val="BodyText"/>
        <w:rPr>
          <w:sz w:val="20"/>
        </w:rPr>
      </w:pPr>
    </w:p>
    <w:p w:rsidR="00C31389" w:rsidRDefault="00C31389" w14:paraId="5326CE1D" w14:textId="77777777">
      <w:pPr>
        <w:pStyle w:val="BodyText"/>
        <w:spacing w:before="9"/>
        <w:rPr>
          <w:sz w:val="24"/>
        </w:rPr>
      </w:pPr>
    </w:p>
    <w:p w:rsidR="00C31389" w:rsidRDefault="00561FBD" w14:paraId="2070AFBF" w14:textId="77777777">
      <w:pPr>
        <w:spacing w:before="80"/>
        <w:ind w:left="480"/>
        <w:rPr>
          <w:sz w:val="18"/>
        </w:rPr>
      </w:pPr>
      <w:bookmarkStart w:name="_bookmark120" w:id="161"/>
      <w:bookmarkEnd w:id="161"/>
      <w:r>
        <w:rPr>
          <w:position w:val="6"/>
          <w:sz w:val="12"/>
        </w:rPr>
        <w:lastRenderedPageBreak/>
        <w:t>33</w:t>
      </w:r>
      <w:r>
        <w:rPr>
          <w:spacing w:val="17"/>
          <w:position w:val="6"/>
          <w:sz w:val="12"/>
        </w:rPr>
        <w:t xml:space="preserve"> </w:t>
      </w:r>
      <w:hyperlink r:id="rId106">
        <w:r>
          <w:rPr>
            <w:color w:val="68942C"/>
            <w:spacing w:val="-2"/>
            <w:sz w:val="18"/>
            <w:u w:val="single" w:color="68942C"/>
          </w:rPr>
          <w:t>https://www.cpuc.ca.gov/General.aspx?id=6442463306</w:t>
        </w:r>
      </w:hyperlink>
    </w:p>
    <w:p w:rsidR="00C31389" w:rsidRDefault="00C31389" w14:paraId="1E12F36D" w14:textId="77777777">
      <w:pPr>
        <w:rPr>
          <w:sz w:val="18"/>
        </w:rPr>
        <w:sectPr w:rsidR="00C31389">
          <w:type w:val="continuous"/>
          <w:pgSz w:w="12240" w:h="15840"/>
          <w:pgMar w:top="0" w:right="960" w:bottom="280" w:left="960" w:header="397" w:footer="936" w:gutter="0"/>
          <w:cols w:space="720"/>
        </w:sectPr>
      </w:pPr>
    </w:p>
    <w:p w:rsidR="00C31389" w:rsidRDefault="00C31389" w14:paraId="5811698C" w14:textId="77777777">
      <w:pPr>
        <w:pStyle w:val="BodyText"/>
        <w:spacing w:before="11"/>
        <w:rPr>
          <w:sz w:val="13"/>
        </w:rPr>
      </w:pPr>
    </w:p>
    <w:p w:rsidR="00C31389" w:rsidRDefault="00561FBD" w14:paraId="2F0B0E9B" w14:textId="77777777">
      <w:pPr>
        <w:pStyle w:val="BodyText"/>
        <w:spacing w:before="92"/>
        <w:ind w:left="480" w:right="485"/>
      </w:pPr>
      <w:r>
        <w:t xml:space="preserve">For most FS technology groups, an electric appliance directly replaces a gas </w:t>
      </w:r>
      <w:r>
        <w:t>appliance. For residential</w:t>
      </w:r>
      <w:r>
        <w:rPr>
          <w:spacing w:val="-4"/>
        </w:rPr>
        <w:t xml:space="preserve"> </w:t>
      </w:r>
      <w:r>
        <w:t>HVAC</w:t>
      </w:r>
      <w:r>
        <w:rPr>
          <w:spacing w:val="-5"/>
        </w:rPr>
        <w:t xml:space="preserve"> </w:t>
      </w:r>
      <w:r>
        <w:t>FS</w:t>
      </w:r>
      <w:r>
        <w:rPr>
          <w:spacing w:val="-3"/>
        </w:rPr>
        <w:t xml:space="preserve"> </w:t>
      </w:r>
      <w:r>
        <w:t>measures,</w:t>
      </w:r>
      <w:r>
        <w:rPr>
          <w:spacing w:val="-4"/>
        </w:rPr>
        <w:t xml:space="preserve"> </w:t>
      </w:r>
      <w:r>
        <w:t>however,</w:t>
      </w:r>
      <w:r>
        <w:rPr>
          <w:spacing w:val="-4"/>
        </w:rPr>
        <w:t xml:space="preserve"> </w:t>
      </w:r>
      <w:r>
        <w:t>the</w:t>
      </w:r>
      <w:r>
        <w:rPr>
          <w:spacing w:val="-4"/>
        </w:rPr>
        <w:t xml:space="preserve"> </w:t>
      </w:r>
      <w:r>
        <w:t>electric</w:t>
      </w:r>
      <w:r>
        <w:rPr>
          <w:spacing w:val="-4"/>
        </w:rPr>
        <w:t xml:space="preserve"> </w:t>
      </w:r>
      <w:r>
        <w:t>FS</w:t>
      </w:r>
      <w:r>
        <w:rPr>
          <w:spacing w:val="-4"/>
        </w:rPr>
        <w:t xml:space="preserve"> </w:t>
      </w:r>
      <w:r>
        <w:t>level—a</w:t>
      </w:r>
      <w:r>
        <w:rPr>
          <w:spacing w:val="-4"/>
        </w:rPr>
        <w:t xml:space="preserve"> </w:t>
      </w:r>
      <w:r>
        <w:t>heat</w:t>
      </w:r>
      <w:r>
        <w:rPr>
          <w:spacing w:val="-4"/>
        </w:rPr>
        <w:t xml:space="preserve"> </w:t>
      </w:r>
      <w:r>
        <w:t>pump—provides</w:t>
      </w:r>
      <w:r>
        <w:rPr>
          <w:spacing w:val="-4"/>
        </w:rPr>
        <w:t xml:space="preserve"> </w:t>
      </w:r>
      <w:r>
        <w:t>heating and cooling, while the gas appliance being replaced only provides heating. The 2023 Study considers three possible situations:</w:t>
      </w:r>
    </w:p>
    <w:p w:rsidR="00C31389" w:rsidRDefault="00561FBD" w14:paraId="563C159E" w14:textId="77777777">
      <w:pPr>
        <w:pStyle w:val="ListParagraph"/>
        <w:numPr>
          <w:ilvl w:val="0"/>
          <w:numId w:val="55"/>
        </w:numPr>
        <w:tabs>
          <w:tab w:val="left" w:pos="1199"/>
        </w:tabs>
        <w:spacing w:before="120"/>
        <w:ind w:right="1596"/>
      </w:pPr>
      <w:r>
        <w:t>Homes</w:t>
      </w:r>
      <w:r>
        <w:rPr>
          <w:spacing w:val="-4"/>
        </w:rPr>
        <w:t xml:space="preserve"> </w:t>
      </w:r>
      <w:r>
        <w:t>with</w:t>
      </w:r>
      <w:r>
        <w:rPr>
          <w:spacing w:val="-3"/>
        </w:rPr>
        <w:t xml:space="preserve"> </w:t>
      </w:r>
      <w:r>
        <w:t>a</w:t>
      </w:r>
      <w:r>
        <w:rPr>
          <w:spacing w:val="-4"/>
        </w:rPr>
        <w:t xml:space="preserve"> </w:t>
      </w:r>
      <w:r>
        <w:t>central</w:t>
      </w:r>
      <w:r>
        <w:rPr>
          <w:spacing w:val="-4"/>
        </w:rPr>
        <w:t xml:space="preserve"> </w:t>
      </w:r>
      <w:r>
        <w:t>gas</w:t>
      </w:r>
      <w:r>
        <w:rPr>
          <w:spacing w:val="-4"/>
        </w:rPr>
        <w:t xml:space="preserve"> </w:t>
      </w:r>
      <w:r>
        <w:t>furnace</w:t>
      </w:r>
      <w:r>
        <w:rPr>
          <w:spacing w:val="-4"/>
        </w:rPr>
        <w:t xml:space="preserve"> </w:t>
      </w:r>
      <w:r>
        <w:t>providing</w:t>
      </w:r>
      <w:r>
        <w:rPr>
          <w:spacing w:val="-4"/>
        </w:rPr>
        <w:t xml:space="preserve"> </w:t>
      </w:r>
      <w:r>
        <w:t>heating</w:t>
      </w:r>
      <w:r>
        <w:rPr>
          <w:spacing w:val="-4"/>
        </w:rPr>
        <w:t xml:space="preserve"> </w:t>
      </w:r>
      <w:r>
        <w:t>and</w:t>
      </w:r>
      <w:r>
        <w:rPr>
          <w:spacing w:val="-4"/>
        </w:rPr>
        <w:t xml:space="preserve"> </w:t>
      </w:r>
      <w:r>
        <w:t>an</w:t>
      </w:r>
      <w:r>
        <w:rPr>
          <w:spacing w:val="-4"/>
        </w:rPr>
        <w:t xml:space="preserve"> </w:t>
      </w:r>
      <w:r>
        <w:t>electric</w:t>
      </w:r>
      <w:r>
        <w:rPr>
          <w:spacing w:val="-4"/>
        </w:rPr>
        <w:t xml:space="preserve"> </w:t>
      </w:r>
      <w:r>
        <w:t>central</w:t>
      </w:r>
      <w:r>
        <w:rPr>
          <w:spacing w:val="-4"/>
        </w:rPr>
        <w:t xml:space="preserve"> </w:t>
      </w:r>
      <w:r>
        <w:t>air conditioner providing cooling</w:t>
      </w:r>
    </w:p>
    <w:p w:rsidR="00C31389" w:rsidRDefault="00561FBD" w14:paraId="5A1628E9" w14:textId="77777777">
      <w:pPr>
        <w:pStyle w:val="ListParagraph"/>
        <w:numPr>
          <w:ilvl w:val="0"/>
          <w:numId w:val="55"/>
        </w:numPr>
        <w:tabs>
          <w:tab w:val="left" w:pos="1199"/>
        </w:tabs>
        <w:spacing w:before="118"/>
        <w:ind w:right="717"/>
      </w:pPr>
      <w:r>
        <w:t>Homes</w:t>
      </w:r>
      <w:r>
        <w:rPr>
          <w:spacing w:val="-3"/>
        </w:rPr>
        <w:t xml:space="preserve"> </w:t>
      </w:r>
      <w:r>
        <w:t>with</w:t>
      </w:r>
      <w:r>
        <w:rPr>
          <w:spacing w:val="-2"/>
        </w:rPr>
        <w:t xml:space="preserve"> </w:t>
      </w:r>
      <w:r>
        <w:t>a</w:t>
      </w:r>
      <w:r>
        <w:rPr>
          <w:spacing w:val="-3"/>
        </w:rPr>
        <w:t xml:space="preserve"> </w:t>
      </w:r>
      <w:r>
        <w:t>ductless</w:t>
      </w:r>
      <w:r>
        <w:rPr>
          <w:spacing w:val="-3"/>
        </w:rPr>
        <w:t xml:space="preserve"> </w:t>
      </w:r>
      <w:r>
        <w:t>wall</w:t>
      </w:r>
      <w:r>
        <w:rPr>
          <w:spacing w:val="-3"/>
        </w:rPr>
        <w:t xml:space="preserve"> </w:t>
      </w:r>
      <w:r>
        <w:t>furnace</w:t>
      </w:r>
      <w:r>
        <w:rPr>
          <w:spacing w:val="-3"/>
        </w:rPr>
        <w:t xml:space="preserve"> </w:t>
      </w:r>
      <w:r>
        <w:t>providing</w:t>
      </w:r>
      <w:r>
        <w:rPr>
          <w:spacing w:val="-3"/>
        </w:rPr>
        <w:t xml:space="preserve"> </w:t>
      </w:r>
      <w:r>
        <w:t>heating</w:t>
      </w:r>
      <w:r>
        <w:rPr>
          <w:spacing w:val="-3"/>
        </w:rPr>
        <w:t xml:space="preserve"> </w:t>
      </w:r>
      <w:r>
        <w:t>and</w:t>
      </w:r>
      <w:r>
        <w:rPr>
          <w:spacing w:val="-3"/>
        </w:rPr>
        <w:t xml:space="preserve"> </w:t>
      </w:r>
      <w:r>
        <w:t>an</w:t>
      </w:r>
      <w:r>
        <w:rPr>
          <w:spacing w:val="-4"/>
        </w:rPr>
        <w:t xml:space="preserve"> </w:t>
      </w:r>
      <w:r>
        <w:t>electric</w:t>
      </w:r>
      <w:r>
        <w:rPr>
          <w:spacing w:val="-3"/>
        </w:rPr>
        <w:t xml:space="preserve"> </w:t>
      </w:r>
      <w:r>
        <w:t>ductless</w:t>
      </w:r>
      <w:r>
        <w:rPr>
          <w:spacing w:val="-3"/>
        </w:rPr>
        <w:t xml:space="preserve"> </w:t>
      </w:r>
      <w:r>
        <w:t>room</w:t>
      </w:r>
      <w:r>
        <w:rPr>
          <w:spacing w:val="-4"/>
        </w:rPr>
        <w:t xml:space="preserve"> </w:t>
      </w:r>
      <w:r>
        <w:t>air conditioner providing cooling</w:t>
      </w:r>
    </w:p>
    <w:p w:rsidR="00C31389" w:rsidRDefault="00C31389" w14:paraId="1F2C5CAC" w14:textId="77777777">
      <w:pPr>
        <w:pStyle w:val="BodyText"/>
        <w:spacing w:before="8"/>
        <w:rPr>
          <w:sz w:val="20"/>
        </w:rPr>
      </w:pPr>
    </w:p>
    <w:p w:rsidR="00C31389" w:rsidRDefault="00561FBD" w14:paraId="03EBE6CA" w14:textId="77777777">
      <w:pPr>
        <w:pStyle w:val="ListParagraph"/>
        <w:numPr>
          <w:ilvl w:val="0"/>
          <w:numId w:val="55"/>
        </w:numPr>
        <w:tabs>
          <w:tab w:val="left" w:pos="1199"/>
        </w:tabs>
      </w:pPr>
      <w:r>
        <w:t>Homes</w:t>
      </w:r>
      <w:r>
        <w:rPr>
          <w:spacing w:val="-6"/>
        </w:rPr>
        <w:t xml:space="preserve"> </w:t>
      </w:r>
      <w:r>
        <w:t>with</w:t>
      </w:r>
      <w:r>
        <w:rPr>
          <w:spacing w:val="-4"/>
        </w:rPr>
        <w:t xml:space="preserve"> </w:t>
      </w:r>
      <w:r>
        <w:t>a</w:t>
      </w:r>
      <w:r>
        <w:rPr>
          <w:spacing w:val="-5"/>
        </w:rPr>
        <w:t xml:space="preserve"> </w:t>
      </w:r>
      <w:r>
        <w:t>central</w:t>
      </w:r>
      <w:r>
        <w:rPr>
          <w:spacing w:val="-5"/>
        </w:rPr>
        <w:t xml:space="preserve"> </w:t>
      </w:r>
      <w:r>
        <w:t>gas</w:t>
      </w:r>
      <w:r>
        <w:rPr>
          <w:spacing w:val="-5"/>
        </w:rPr>
        <w:t xml:space="preserve"> </w:t>
      </w:r>
      <w:r>
        <w:t>furnace</w:t>
      </w:r>
      <w:r>
        <w:rPr>
          <w:spacing w:val="-5"/>
        </w:rPr>
        <w:t xml:space="preserve"> </w:t>
      </w:r>
      <w:r>
        <w:t>and</w:t>
      </w:r>
      <w:r>
        <w:rPr>
          <w:spacing w:val="-5"/>
        </w:rPr>
        <w:t xml:space="preserve"> </w:t>
      </w:r>
      <w:r>
        <w:t>no</w:t>
      </w:r>
      <w:r>
        <w:rPr>
          <w:spacing w:val="-5"/>
        </w:rPr>
        <w:t xml:space="preserve"> </w:t>
      </w:r>
      <w:r>
        <w:rPr>
          <w:spacing w:val="-2"/>
        </w:rPr>
        <w:t>cooling</w:t>
      </w:r>
    </w:p>
    <w:p w:rsidR="00C31389" w:rsidRDefault="00C31389" w14:paraId="0C017E9F" w14:textId="77777777">
      <w:pPr>
        <w:pStyle w:val="BodyText"/>
        <w:spacing w:before="9"/>
        <w:rPr>
          <w:sz w:val="20"/>
        </w:rPr>
      </w:pPr>
    </w:p>
    <w:p w:rsidR="00C31389" w:rsidRDefault="00561FBD" w14:paraId="306345D2" w14:textId="77777777">
      <w:pPr>
        <w:pStyle w:val="BodyText"/>
        <w:ind w:left="479" w:right="533"/>
      </w:pPr>
      <w:r>
        <w:t>For homes with both a gas furnace and an electric air conditioner, FS would involve replacing both the furnace and the air conditioner with a heat pump (central heat pump or ductless mini- split</w:t>
      </w:r>
      <w:r>
        <w:rPr>
          <w:spacing w:val="-3"/>
        </w:rPr>
        <w:t xml:space="preserve"> </w:t>
      </w:r>
      <w:r>
        <w:t>heat</w:t>
      </w:r>
      <w:r>
        <w:rPr>
          <w:spacing w:val="-3"/>
        </w:rPr>
        <w:t xml:space="preserve"> </w:t>
      </w:r>
      <w:r>
        <w:t>pump),</w:t>
      </w:r>
      <w:r>
        <w:rPr>
          <w:spacing w:val="-3"/>
        </w:rPr>
        <w:t xml:space="preserve"> </w:t>
      </w:r>
      <w:r>
        <w:t>which</w:t>
      </w:r>
      <w:r>
        <w:rPr>
          <w:spacing w:val="-3"/>
        </w:rPr>
        <w:t xml:space="preserve"> </w:t>
      </w:r>
      <w:r>
        <w:t>provides</w:t>
      </w:r>
      <w:r>
        <w:rPr>
          <w:spacing w:val="-3"/>
        </w:rPr>
        <w:t xml:space="preserve"> </w:t>
      </w:r>
      <w:r>
        <w:t>heating</w:t>
      </w:r>
      <w:r>
        <w:rPr>
          <w:spacing w:val="-3"/>
        </w:rPr>
        <w:t xml:space="preserve"> </w:t>
      </w:r>
      <w:r>
        <w:t>and</w:t>
      </w:r>
      <w:r>
        <w:rPr>
          <w:spacing w:val="-3"/>
        </w:rPr>
        <w:t xml:space="preserve"> </w:t>
      </w:r>
      <w:r>
        <w:t>cooling.</w:t>
      </w:r>
      <w:r>
        <w:rPr>
          <w:spacing w:val="-3"/>
        </w:rPr>
        <w:t xml:space="preserve"> </w:t>
      </w:r>
      <w:r>
        <w:t>The</w:t>
      </w:r>
      <w:r>
        <w:rPr>
          <w:spacing w:val="-3"/>
        </w:rPr>
        <w:t xml:space="preserve"> </w:t>
      </w:r>
      <w:r>
        <w:t>technology</w:t>
      </w:r>
      <w:r>
        <w:rPr>
          <w:spacing w:val="-3"/>
        </w:rPr>
        <w:t xml:space="preserve"> </w:t>
      </w:r>
      <w:r>
        <w:t>group(s)</w:t>
      </w:r>
      <w:r>
        <w:rPr>
          <w:spacing w:val="-2"/>
        </w:rPr>
        <w:t xml:space="preserve"> </w:t>
      </w:r>
      <w:r>
        <w:t>consist</w:t>
      </w:r>
      <w:r>
        <w:rPr>
          <w:spacing w:val="-3"/>
        </w:rPr>
        <w:t xml:space="preserve"> </w:t>
      </w:r>
      <w:r>
        <w:t>of</w:t>
      </w:r>
      <w:r>
        <w:rPr>
          <w:spacing w:val="-3"/>
        </w:rPr>
        <w:t xml:space="preserve"> </w:t>
      </w:r>
      <w:r>
        <w:t>a</w:t>
      </w:r>
      <w:r>
        <w:rPr>
          <w:spacing w:val="-3"/>
        </w:rPr>
        <w:t xml:space="preserve"> </w:t>
      </w:r>
      <w:r>
        <w:t xml:space="preserve">heat pump competing with an efficient furnace and air conditioner combination, as </w:t>
      </w:r>
      <w:hyperlink w:history="1" w:anchor="_bookmark121">
        <w:r>
          <w:t>Figure 3-2</w:t>
        </w:r>
      </w:hyperlink>
      <w:r>
        <w:t xml:space="preserve"> shows for the Central HVAC System situation.</w:t>
      </w:r>
    </w:p>
    <w:p w:rsidR="00C31389" w:rsidRDefault="00C31389" w14:paraId="6B7A5BA2" w14:textId="77777777">
      <w:pPr>
        <w:pStyle w:val="BodyText"/>
        <w:spacing w:before="9"/>
        <w:rPr>
          <w:sz w:val="20"/>
        </w:rPr>
      </w:pPr>
    </w:p>
    <w:p w:rsidR="00C31389" w:rsidRDefault="00561FBD" w14:paraId="501A4798" w14:textId="77777777">
      <w:pPr>
        <w:pStyle w:val="Heading7"/>
        <w:spacing w:before="1"/>
        <w:ind w:left="565" w:right="566"/>
        <w:jc w:val="center"/>
      </w:pPr>
      <w:bookmarkStart w:name="_bookmark121" w:id="162"/>
      <w:bookmarkEnd w:id="162"/>
      <w:r>
        <w:t>Figure</w:t>
      </w:r>
      <w:r>
        <w:rPr>
          <w:spacing w:val="-9"/>
        </w:rPr>
        <w:t xml:space="preserve"> </w:t>
      </w:r>
      <w:r>
        <w:t>3-2.</w:t>
      </w:r>
      <w:r>
        <w:rPr>
          <w:spacing w:val="-8"/>
        </w:rPr>
        <w:t xml:space="preserve"> </w:t>
      </w:r>
      <w:r>
        <w:t>Residential</w:t>
      </w:r>
      <w:r>
        <w:rPr>
          <w:spacing w:val="-8"/>
        </w:rPr>
        <w:t xml:space="preserve"> </w:t>
      </w:r>
      <w:r>
        <w:t>HVAC</w:t>
      </w:r>
      <w:r>
        <w:rPr>
          <w:spacing w:val="-9"/>
        </w:rPr>
        <w:t xml:space="preserve"> </w:t>
      </w:r>
      <w:r>
        <w:t>FS</w:t>
      </w:r>
      <w:r>
        <w:rPr>
          <w:spacing w:val="-9"/>
        </w:rPr>
        <w:t xml:space="preserve"> </w:t>
      </w:r>
      <w:r>
        <w:t>Technology</w:t>
      </w:r>
      <w:r>
        <w:rPr>
          <w:spacing w:val="-8"/>
        </w:rPr>
        <w:t xml:space="preserve"> </w:t>
      </w:r>
      <w:r>
        <w:rPr>
          <w:spacing w:val="-2"/>
        </w:rPr>
        <w:t>Group</w:t>
      </w:r>
    </w:p>
    <w:p w:rsidR="00C31389" w:rsidRDefault="00561FBD" w14:paraId="1B3961DF" w14:textId="77777777">
      <w:pPr>
        <w:pStyle w:val="BodyText"/>
        <w:spacing w:before="9"/>
        <w:rPr>
          <w:b/>
          <w:sz w:val="29"/>
        </w:rPr>
      </w:pPr>
      <w:r>
        <w:rPr>
          <w:noProof/>
        </w:rPr>
        <mc:AlternateContent>
          <mc:Choice Requires="wpg">
            <w:drawing>
              <wp:anchor distT="0" distB="0" distL="0" distR="0" simplePos="0" relativeHeight="487630848" behindDoc="1" locked="0" layoutInCell="1" allowOverlap="1" wp14:editId="6F012DA0" wp14:anchorId="4B67FA7B">
                <wp:simplePos x="0" y="0"/>
                <wp:positionH relativeFrom="page">
                  <wp:posOffset>914400</wp:posOffset>
                </wp:positionH>
                <wp:positionV relativeFrom="paragraph">
                  <wp:posOffset>232737</wp:posOffset>
                </wp:positionV>
                <wp:extent cx="5774055" cy="1717675"/>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055" cy="1717675"/>
                          <a:chOff x="0" y="0"/>
                          <a:chExt cx="5774055" cy="1717675"/>
                        </a:xfrm>
                      </wpg:grpSpPr>
                      <pic:pic xmlns:pic="http://schemas.openxmlformats.org/drawingml/2006/picture">
                        <pic:nvPicPr>
                          <pic:cNvPr id="283" name="Image 283"/>
                          <pic:cNvPicPr/>
                        </pic:nvPicPr>
                        <pic:blipFill>
                          <a:blip r:embed="rId107" cstate="print"/>
                          <a:stretch>
                            <a:fillRect/>
                          </a:stretch>
                        </pic:blipFill>
                        <pic:spPr>
                          <a:xfrm>
                            <a:off x="0" y="795711"/>
                            <a:ext cx="2184234" cy="457187"/>
                          </a:xfrm>
                          <a:prstGeom prst="rect">
                            <a:avLst/>
                          </a:prstGeom>
                        </pic:spPr>
                      </pic:pic>
                      <wps:wsp>
                        <wps:cNvPr id="284" name="Graphic 284"/>
                        <wps:cNvSpPr/>
                        <wps:spPr>
                          <a:xfrm>
                            <a:off x="2184237" y="573435"/>
                            <a:ext cx="980440" cy="450850"/>
                          </a:xfrm>
                          <a:custGeom>
                            <a:avLst/>
                            <a:gdLst/>
                            <a:ahLst/>
                            <a:cxnLst/>
                            <a:rect l="l" t="t" r="r" b="b"/>
                            <a:pathLst>
                              <a:path w="980440" h="450850">
                                <a:moveTo>
                                  <a:pt x="0" y="450557"/>
                                </a:moveTo>
                                <a:lnTo>
                                  <a:pt x="980427"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108" cstate="print"/>
                          <a:stretch>
                            <a:fillRect/>
                          </a:stretch>
                        </pic:blipFill>
                        <pic:spPr>
                          <a:xfrm>
                            <a:off x="3222359" y="318547"/>
                            <a:ext cx="2174912" cy="457199"/>
                          </a:xfrm>
                          <a:prstGeom prst="rect">
                            <a:avLst/>
                          </a:prstGeom>
                        </pic:spPr>
                      </pic:pic>
                      <wps:wsp>
                        <wps:cNvPr id="286" name="Graphic 286"/>
                        <wps:cNvSpPr/>
                        <wps:spPr>
                          <a:xfrm>
                            <a:off x="3137207" y="544117"/>
                            <a:ext cx="85725" cy="69850"/>
                          </a:xfrm>
                          <a:custGeom>
                            <a:avLst/>
                            <a:gdLst/>
                            <a:ahLst/>
                            <a:cxnLst/>
                            <a:rect l="l" t="t" r="r" b="b"/>
                            <a:pathLst>
                              <a:path w="85725" h="69850">
                                <a:moveTo>
                                  <a:pt x="0" y="0"/>
                                </a:moveTo>
                                <a:lnTo>
                                  <a:pt x="31826" y="69240"/>
                                </a:lnTo>
                                <a:lnTo>
                                  <a:pt x="85153" y="2793"/>
                                </a:lnTo>
                                <a:lnTo>
                                  <a:pt x="0"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3222358" y="996041"/>
                            <a:ext cx="2184400" cy="457200"/>
                          </a:xfrm>
                          <a:custGeom>
                            <a:avLst/>
                            <a:gdLst/>
                            <a:ahLst/>
                            <a:cxnLst/>
                            <a:rect l="l" t="t" r="r" b="b"/>
                            <a:pathLst>
                              <a:path w="2184400" h="457200">
                                <a:moveTo>
                                  <a:pt x="2108034" y="0"/>
                                </a:moveTo>
                                <a:lnTo>
                                  <a:pt x="76200" y="0"/>
                                </a:lnTo>
                                <a:lnTo>
                                  <a:pt x="46537" y="5987"/>
                                </a:lnTo>
                                <a:lnTo>
                                  <a:pt x="22317" y="22317"/>
                                </a:lnTo>
                                <a:lnTo>
                                  <a:pt x="5987" y="46537"/>
                                </a:lnTo>
                                <a:lnTo>
                                  <a:pt x="0" y="76200"/>
                                </a:lnTo>
                                <a:lnTo>
                                  <a:pt x="0" y="381000"/>
                                </a:lnTo>
                                <a:lnTo>
                                  <a:pt x="5987" y="410656"/>
                                </a:lnTo>
                                <a:lnTo>
                                  <a:pt x="22317" y="434878"/>
                                </a:lnTo>
                                <a:lnTo>
                                  <a:pt x="46537" y="451210"/>
                                </a:lnTo>
                                <a:lnTo>
                                  <a:pt x="76200" y="457200"/>
                                </a:lnTo>
                                <a:lnTo>
                                  <a:pt x="2108034" y="457200"/>
                                </a:lnTo>
                                <a:lnTo>
                                  <a:pt x="2137696" y="451210"/>
                                </a:lnTo>
                                <a:lnTo>
                                  <a:pt x="2161917" y="434878"/>
                                </a:lnTo>
                                <a:lnTo>
                                  <a:pt x="2178247" y="410656"/>
                                </a:lnTo>
                                <a:lnTo>
                                  <a:pt x="2184234" y="381000"/>
                                </a:lnTo>
                                <a:lnTo>
                                  <a:pt x="2184234" y="76200"/>
                                </a:lnTo>
                                <a:lnTo>
                                  <a:pt x="2178247" y="46537"/>
                                </a:lnTo>
                                <a:lnTo>
                                  <a:pt x="2161917" y="22317"/>
                                </a:lnTo>
                                <a:lnTo>
                                  <a:pt x="2137696" y="5987"/>
                                </a:lnTo>
                                <a:lnTo>
                                  <a:pt x="2108034" y="0"/>
                                </a:lnTo>
                                <a:close/>
                              </a:path>
                            </a:pathLst>
                          </a:custGeom>
                          <a:solidFill>
                            <a:srgbClr val="F8B722"/>
                          </a:solidFill>
                        </wps:spPr>
                        <wps:bodyPr wrap="square" lIns="0" tIns="0" rIns="0" bIns="0" rtlCol="0">
                          <a:prstTxWarp prst="textNoShape">
                            <a:avLst/>
                          </a:prstTxWarp>
                          <a:noAutofit/>
                        </wps:bodyPr>
                      </wps:wsp>
                      <wps:wsp>
                        <wps:cNvPr id="288" name="Graphic 288"/>
                        <wps:cNvSpPr/>
                        <wps:spPr>
                          <a:xfrm>
                            <a:off x="2184237" y="1023993"/>
                            <a:ext cx="975994" cy="188595"/>
                          </a:xfrm>
                          <a:custGeom>
                            <a:avLst/>
                            <a:gdLst/>
                            <a:ahLst/>
                            <a:cxnLst/>
                            <a:rect l="l" t="t" r="r" b="b"/>
                            <a:pathLst>
                              <a:path w="975994" h="188595">
                                <a:moveTo>
                                  <a:pt x="0" y="0"/>
                                </a:moveTo>
                                <a:lnTo>
                                  <a:pt x="975766" y="188264"/>
                                </a:lnTo>
                              </a:path>
                            </a:pathLst>
                          </a:custGeom>
                          <a:ln w="12699">
                            <a:solidFill>
                              <a:srgbClr val="000000"/>
                            </a:solidFill>
                            <a:prstDash val="solid"/>
                          </a:ln>
                        </wps:spPr>
                        <wps:bodyPr wrap="square" lIns="0" tIns="0" rIns="0" bIns="0" rtlCol="0">
                          <a:prstTxWarp prst="textNoShape">
                            <a:avLst/>
                          </a:prstTxWarp>
                          <a:noAutofit/>
                        </wps:bodyPr>
                      </wps:wsp>
                      <wps:wsp>
                        <wps:cNvPr id="289" name="Graphic 289"/>
                        <wps:cNvSpPr/>
                        <wps:spPr>
                          <a:xfrm>
                            <a:off x="3140318" y="1172438"/>
                            <a:ext cx="82550" cy="74930"/>
                          </a:xfrm>
                          <a:custGeom>
                            <a:avLst/>
                            <a:gdLst/>
                            <a:ahLst/>
                            <a:cxnLst/>
                            <a:rect l="l" t="t" r="r" b="b"/>
                            <a:pathLst>
                              <a:path w="82550" h="74930">
                                <a:moveTo>
                                  <a:pt x="14439" y="0"/>
                                </a:moveTo>
                                <a:lnTo>
                                  <a:pt x="0" y="74815"/>
                                </a:lnTo>
                                <a:lnTo>
                                  <a:pt x="82042" y="51854"/>
                                </a:lnTo>
                                <a:lnTo>
                                  <a:pt x="14439"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2796246" y="85174"/>
                            <a:ext cx="2963545" cy="1617980"/>
                          </a:xfrm>
                          <a:custGeom>
                            <a:avLst/>
                            <a:gdLst/>
                            <a:ahLst/>
                            <a:cxnLst/>
                            <a:rect l="l" t="t" r="r" b="b"/>
                            <a:pathLst>
                              <a:path w="2963545" h="1617980">
                                <a:moveTo>
                                  <a:pt x="0" y="269659"/>
                                </a:moveTo>
                                <a:lnTo>
                                  <a:pt x="4344" y="221186"/>
                                </a:lnTo>
                                <a:lnTo>
                                  <a:pt x="16870" y="175564"/>
                                </a:lnTo>
                                <a:lnTo>
                                  <a:pt x="36815" y="133555"/>
                                </a:lnTo>
                                <a:lnTo>
                                  <a:pt x="63419" y="95919"/>
                                </a:lnTo>
                                <a:lnTo>
                                  <a:pt x="95919" y="63419"/>
                                </a:lnTo>
                                <a:lnTo>
                                  <a:pt x="133555" y="36815"/>
                                </a:lnTo>
                                <a:lnTo>
                                  <a:pt x="175564" y="16870"/>
                                </a:lnTo>
                                <a:lnTo>
                                  <a:pt x="221186" y="4344"/>
                                </a:lnTo>
                                <a:lnTo>
                                  <a:pt x="269659" y="0"/>
                                </a:lnTo>
                                <a:lnTo>
                                  <a:pt x="2693543" y="0"/>
                                </a:lnTo>
                                <a:lnTo>
                                  <a:pt x="2742015" y="4344"/>
                                </a:lnTo>
                                <a:lnTo>
                                  <a:pt x="2787637" y="16870"/>
                                </a:lnTo>
                                <a:lnTo>
                                  <a:pt x="2829647" y="36815"/>
                                </a:lnTo>
                                <a:lnTo>
                                  <a:pt x="2867282" y="63419"/>
                                </a:lnTo>
                                <a:lnTo>
                                  <a:pt x="2899783" y="95919"/>
                                </a:lnTo>
                                <a:lnTo>
                                  <a:pt x="2926386" y="133555"/>
                                </a:lnTo>
                                <a:lnTo>
                                  <a:pt x="2946332" y="175564"/>
                                </a:lnTo>
                                <a:lnTo>
                                  <a:pt x="2958857" y="221186"/>
                                </a:lnTo>
                                <a:lnTo>
                                  <a:pt x="2963202" y="269659"/>
                                </a:lnTo>
                                <a:lnTo>
                                  <a:pt x="2963202" y="1348270"/>
                                </a:lnTo>
                                <a:lnTo>
                                  <a:pt x="2958857" y="1396742"/>
                                </a:lnTo>
                                <a:lnTo>
                                  <a:pt x="2946332" y="1442364"/>
                                </a:lnTo>
                                <a:lnTo>
                                  <a:pt x="2926386" y="1484374"/>
                                </a:lnTo>
                                <a:lnTo>
                                  <a:pt x="2899783" y="1522009"/>
                                </a:lnTo>
                                <a:lnTo>
                                  <a:pt x="2867282" y="1554510"/>
                                </a:lnTo>
                                <a:lnTo>
                                  <a:pt x="2829647" y="1581113"/>
                                </a:lnTo>
                                <a:lnTo>
                                  <a:pt x="2787637" y="1601059"/>
                                </a:lnTo>
                                <a:lnTo>
                                  <a:pt x="2742015" y="1613584"/>
                                </a:lnTo>
                                <a:lnTo>
                                  <a:pt x="2693543" y="1617929"/>
                                </a:lnTo>
                                <a:lnTo>
                                  <a:pt x="269659" y="1617929"/>
                                </a:lnTo>
                                <a:lnTo>
                                  <a:pt x="221186" y="1613584"/>
                                </a:lnTo>
                                <a:lnTo>
                                  <a:pt x="175564" y="1601059"/>
                                </a:lnTo>
                                <a:lnTo>
                                  <a:pt x="133555" y="1581113"/>
                                </a:lnTo>
                                <a:lnTo>
                                  <a:pt x="95919" y="1554510"/>
                                </a:lnTo>
                                <a:lnTo>
                                  <a:pt x="63419" y="1522009"/>
                                </a:lnTo>
                                <a:lnTo>
                                  <a:pt x="36815" y="1484374"/>
                                </a:lnTo>
                                <a:lnTo>
                                  <a:pt x="16870" y="1442364"/>
                                </a:lnTo>
                                <a:lnTo>
                                  <a:pt x="4344" y="1396742"/>
                                </a:lnTo>
                                <a:lnTo>
                                  <a:pt x="0" y="1348270"/>
                                </a:lnTo>
                                <a:lnTo>
                                  <a:pt x="0" y="269659"/>
                                </a:lnTo>
                                <a:close/>
                              </a:path>
                            </a:pathLst>
                          </a:custGeom>
                          <a:ln w="28575">
                            <a:solidFill>
                              <a:srgbClr val="F16930"/>
                            </a:solidFill>
                            <a:prstDash val="sysDash"/>
                          </a:ln>
                        </wps:spPr>
                        <wps:bodyPr wrap="square" lIns="0" tIns="0" rIns="0" bIns="0" rtlCol="0">
                          <a:prstTxWarp prst="textNoShape">
                            <a:avLst/>
                          </a:prstTxWarp>
                          <a:noAutofit/>
                        </wps:bodyPr>
                      </wps:wsp>
                      <wps:wsp>
                        <wps:cNvPr id="291" name="Textbox 291"/>
                        <wps:cNvSpPr txBox="1"/>
                        <wps:spPr>
                          <a:xfrm>
                            <a:off x="1344167" y="0"/>
                            <a:ext cx="1402715" cy="128270"/>
                          </a:xfrm>
                          <a:prstGeom prst="rect">
                            <a:avLst/>
                          </a:prstGeom>
                        </wps:spPr>
                        <wps:txbx>
                          <w:txbxContent>
                            <w:p w:rsidR="00C31389" w:rsidRDefault="00561FBD" w14:paraId="6F24E806" w14:textId="77777777">
                              <w:pPr>
                                <w:spacing w:line="201" w:lineRule="exact"/>
                                <w:rPr>
                                  <w:sz w:val="18"/>
                                </w:rPr>
                              </w:pPr>
                              <w:r>
                                <w:rPr>
                                  <w:color w:val="F16930"/>
                                  <w:sz w:val="18"/>
                                </w:rPr>
                                <w:t>Competing</w:t>
                              </w:r>
                              <w:r>
                                <w:rPr>
                                  <w:color w:val="F16930"/>
                                  <w:spacing w:val="-5"/>
                                  <w:sz w:val="18"/>
                                </w:rPr>
                                <w:t xml:space="preserve"> </w:t>
                              </w:r>
                              <w:r>
                                <w:rPr>
                                  <w:color w:val="F16930"/>
                                  <w:sz w:val="18"/>
                                </w:rPr>
                                <w:t>Measure</w:t>
                              </w:r>
                              <w:r>
                                <w:rPr>
                                  <w:color w:val="F16930"/>
                                  <w:spacing w:val="-4"/>
                                  <w:sz w:val="18"/>
                                </w:rPr>
                                <w:t xml:space="preserve"> </w:t>
                              </w:r>
                              <w:r>
                                <w:rPr>
                                  <w:color w:val="F16930"/>
                                  <w:spacing w:val="-2"/>
                                  <w:sz w:val="18"/>
                                </w:rPr>
                                <w:t>Levels</w:t>
                              </w:r>
                            </w:p>
                          </w:txbxContent>
                        </wps:txbx>
                        <wps:bodyPr wrap="square" lIns="0" tIns="0" rIns="0" bIns="0" rtlCol="0">
                          <a:noAutofit/>
                        </wps:bodyPr>
                      </wps:wsp>
                      <wps:wsp>
                        <wps:cNvPr id="292" name="Textbox 292"/>
                        <wps:cNvSpPr txBox="1"/>
                        <wps:spPr>
                          <a:xfrm>
                            <a:off x="3509771" y="419100"/>
                            <a:ext cx="1613535" cy="259715"/>
                          </a:xfrm>
                          <a:prstGeom prst="rect">
                            <a:avLst/>
                          </a:prstGeom>
                        </wps:spPr>
                        <wps:txbx>
                          <w:txbxContent>
                            <w:p w:rsidR="00C31389" w:rsidRDefault="00561FBD" w14:paraId="1649E87F" w14:textId="77777777">
                              <w:pPr>
                                <w:ind w:left="358" w:hanging="359"/>
                                <w:rPr>
                                  <w:sz w:val="18"/>
                                </w:rPr>
                              </w:pPr>
                              <w:r>
                                <w:rPr>
                                  <w:color w:val="FFFFFF"/>
                                  <w:sz w:val="18"/>
                                </w:rPr>
                                <w:t>Condensing</w:t>
                              </w:r>
                              <w:r>
                                <w:rPr>
                                  <w:color w:val="FFFFFF"/>
                                  <w:spacing w:val="-13"/>
                                  <w:sz w:val="18"/>
                                </w:rPr>
                                <w:t xml:space="preserve"> </w:t>
                              </w:r>
                              <w:r>
                                <w:rPr>
                                  <w:color w:val="FFFFFF"/>
                                  <w:sz w:val="18"/>
                                </w:rPr>
                                <w:t>Furnace</w:t>
                              </w:r>
                              <w:r>
                                <w:rPr>
                                  <w:color w:val="FFFFFF"/>
                                  <w:spacing w:val="-12"/>
                                  <w:sz w:val="18"/>
                                </w:rPr>
                                <w:t xml:space="preserve"> </w:t>
                              </w:r>
                              <w:r>
                                <w:rPr>
                                  <w:color w:val="FFFFFF"/>
                                  <w:sz w:val="18"/>
                                </w:rPr>
                                <w:t>(Gas)</w:t>
                              </w:r>
                              <w:r>
                                <w:rPr>
                                  <w:color w:val="FFFFFF"/>
                                  <w:spacing w:val="-13"/>
                                  <w:sz w:val="18"/>
                                </w:rPr>
                                <w:t xml:space="preserve"> </w:t>
                              </w:r>
                              <w:r>
                                <w:rPr>
                                  <w:color w:val="FFFFFF"/>
                                  <w:sz w:val="18"/>
                                </w:rPr>
                                <w:t xml:space="preserve">and </w:t>
                              </w:r>
                              <w:r>
                                <w:rPr>
                                  <w:sz w:val="18"/>
                                </w:rPr>
                                <w:t>SEER 18 AC (Electric)</w:t>
                              </w:r>
                            </w:p>
                          </w:txbxContent>
                        </wps:txbx>
                        <wps:bodyPr wrap="square" lIns="0" tIns="0" rIns="0" bIns="0" rtlCol="0">
                          <a:noAutofit/>
                        </wps:bodyPr>
                      </wps:wsp>
                      <wps:wsp>
                        <wps:cNvPr id="293" name="Textbox 293"/>
                        <wps:cNvSpPr txBox="1"/>
                        <wps:spPr>
                          <a:xfrm>
                            <a:off x="460248" y="896111"/>
                            <a:ext cx="1276350" cy="259715"/>
                          </a:xfrm>
                          <a:prstGeom prst="rect">
                            <a:avLst/>
                          </a:prstGeom>
                        </wps:spPr>
                        <wps:txbx>
                          <w:txbxContent>
                            <w:p w:rsidR="00C31389" w:rsidRDefault="00561FBD" w14:paraId="53B0F039" w14:textId="77777777">
                              <w:pPr>
                                <w:ind w:left="93" w:hanging="94"/>
                                <w:rPr>
                                  <w:sz w:val="18"/>
                                </w:rPr>
                              </w:pPr>
                              <w:r>
                                <w:rPr>
                                  <w:color w:val="FFFFFF"/>
                                  <w:sz w:val="18"/>
                                </w:rPr>
                                <w:t>Code</w:t>
                              </w:r>
                              <w:r>
                                <w:rPr>
                                  <w:color w:val="FFFFFF"/>
                                  <w:spacing w:val="-13"/>
                                  <w:sz w:val="18"/>
                                </w:rPr>
                                <w:t xml:space="preserve"> </w:t>
                              </w:r>
                              <w:r>
                                <w:rPr>
                                  <w:color w:val="FFFFFF"/>
                                  <w:sz w:val="18"/>
                                </w:rPr>
                                <w:t>Furnace</w:t>
                              </w:r>
                              <w:r>
                                <w:rPr>
                                  <w:color w:val="FFFFFF"/>
                                  <w:spacing w:val="-12"/>
                                  <w:sz w:val="18"/>
                                </w:rPr>
                                <w:t xml:space="preserve"> </w:t>
                              </w:r>
                              <w:r>
                                <w:rPr>
                                  <w:color w:val="FFFFFF"/>
                                  <w:sz w:val="18"/>
                                </w:rPr>
                                <w:t>(Gas)</w:t>
                              </w:r>
                              <w:r>
                                <w:rPr>
                                  <w:color w:val="FFFFFF"/>
                                  <w:spacing w:val="-13"/>
                                  <w:sz w:val="18"/>
                                </w:rPr>
                                <w:t xml:space="preserve"> </w:t>
                              </w:r>
                              <w:r>
                                <w:rPr>
                                  <w:color w:val="FFFFFF"/>
                                  <w:sz w:val="18"/>
                                </w:rPr>
                                <w:t xml:space="preserve">and </w:t>
                              </w:r>
                              <w:r>
                                <w:rPr>
                                  <w:sz w:val="18"/>
                                </w:rPr>
                                <w:t>SEER 14 AC (Electric)</w:t>
                              </w:r>
                            </w:p>
                          </w:txbxContent>
                        </wps:txbx>
                        <wps:bodyPr wrap="square" lIns="0" tIns="0" rIns="0" bIns="0" rtlCol="0">
                          <a:noAutofit/>
                        </wps:bodyPr>
                      </wps:wsp>
                      <wps:wsp>
                        <wps:cNvPr id="294" name="Textbox 294"/>
                        <wps:cNvSpPr txBox="1"/>
                        <wps:spPr>
                          <a:xfrm>
                            <a:off x="3536441" y="1162811"/>
                            <a:ext cx="1569085" cy="128270"/>
                          </a:xfrm>
                          <a:prstGeom prst="rect">
                            <a:avLst/>
                          </a:prstGeom>
                        </wps:spPr>
                        <wps:txbx>
                          <w:txbxContent>
                            <w:p w:rsidR="00C31389" w:rsidRDefault="00561FBD" w14:paraId="0842B4DC" w14:textId="77777777">
                              <w:pPr>
                                <w:spacing w:line="201" w:lineRule="exact"/>
                                <w:rPr>
                                  <w:sz w:val="18"/>
                                </w:rPr>
                              </w:pPr>
                              <w:r>
                                <w:rPr>
                                  <w:sz w:val="18"/>
                                </w:rPr>
                                <w:t>SEER</w:t>
                              </w:r>
                              <w:r>
                                <w:rPr>
                                  <w:spacing w:val="-3"/>
                                  <w:sz w:val="18"/>
                                </w:rPr>
                                <w:t xml:space="preserve"> </w:t>
                              </w:r>
                              <w:r>
                                <w:rPr>
                                  <w:sz w:val="18"/>
                                </w:rPr>
                                <w:t>18</w:t>
                              </w:r>
                              <w:r>
                                <w:rPr>
                                  <w:spacing w:val="-3"/>
                                  <w:sz w:val="18"/>
                                </w:rPr>
                                <w:t xml:space="preserve"> </w:t>
                              </w:r>
                              <w:r>
                                <w:rPr>
                                  <w:sz w:val="18"/>
                                </w:rPr>
                                <w:t>Heat</w:t>
                              </w:r>
                              <w:r>
                                <w:rPr>
                                  <w:spacing w:val="-2"/>
                                  <w:sz w:val="18"/>
                                </w:rPr>
                                <w:t xml:space="preserve"> </w:t>
                              </w:r>
                              <w:r>
                                <w:rPr>
                                  <w:sz w:val="18"/>
                                </w:rPr>
                                <w:t>Pump</w:t>
                              </w:r>
                              <w:r>
                                <w:rPr>
                                  <w:spacing w:val="-3"/>
                                  <w:sz w:val="18"/>
                                </w:rPr>
                                <w:t xml:space="preserve"> </w:t>
                              </w:r>
                              <w:r>
                                <w:rPr>
                                  <w:spacing w:val="-2"/>
                                  <w:sz w:val="18"/>
                                </w:rPr>
                                <w:t>(Electric)</w:t>
                              </w:r>
                            </w:p>
                          </w:txbxContent>
                        </wps:txbx>
                        <wps:bodyPr wrap="square" lIns="0" tIns="0" rIns="0" bIns="0" rtlCol="0">
                          <a:noAutofit/>
                        </wps:bodyPr>
                      </wps:wsp>
                    </wpg:wgp>
                  </a:graphicData>
                </a:graphic>
              </wp:anchor>
            </w:drawing>
          </mc:Choice>
          <mc:Fallback>
            <w:pict>
              <v:group id="Group 282" style="position:absolute;margin-left:1in;margin-top:18.35pt;width:454.65pt;height:135.25pt;z-index:-15685632;mso-wrap-distance-left:0;mso-wrap-distance-right:0;mso-position-horizontal-relative:page;mso-position-vertical-relative:text" coordsize="57740,17176" o:spid="_x0000_s1088" w14:anchorId="4B67FA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">
                <v:shape id="Image 283" style="position:absolute;top:7957;width:21842;height:4571;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">
                  <v:imagedata o:title="" r:id="rId109"/>
                </v:shape>
                <v:shape id="Graphic 284" style="position:absolute;left:21842;top:5734;width:9804;height:4508;visibility:visible;mso-wrap-style:square;v-text-anchor:top" coordsize="980440,450850" o:spid="_x0000_s1090" filled="f" strokeweight=".35275mm" path="m,450557l9804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">
                  <v:path arrowok="t"/>
                </v:shape>
                <v:shape id="Image 285" style="position:absolute;left:32223;top:3185;width:21749;height:4572;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">
                  <v:imagedata o:title="" r:id="rId110"/>
                </v:shape>
                <v:shape id="Graphic 286" style="position:absolute;left:31372;top:5441;width:857;height:698;visibility:visible;mso-wrap-style:square;v-text-anchor:top" coordsize="85725,69850" o:spid="_x0000_s1092" fillcolor="black" stroked="f" path="m,l31826,69240,85153,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">
                  <v:path arrowok="t"/>
                </v:shape>
                <v:shape id="Graphic 287" style="position:absolute;left:32223;top:9960;width:21844;height:4572;visibility:visible;mso-wrap-style:square;v-text-anchor:top" coordsize="2184400,457200" o:spid="_x0000_s1093" fillcolor="#f8b722" stroked="f" path="m2108034,l76200,,46537,5987,22317,22317,5987,46537,,76200,,381000r5987,29656l22317,434878r24220,16332l76200,457200r2031834,l2137696,451210r24221,-16332l2178247,410656r5987,-29656l2184234,76200r-5987,-29663l2161917,22317,2137696,5987,2108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">
                  <v:path arrowok="t"/>
                </v:shape>
                <v:shape id="Graphic 288" style="position:absolute;left:21842;top:10239;width:9760;height:1886;visibility:visible;mso-wrap-style:square;v-text-anchor:top" coordsize="975994,188595" o:spid="_x0000_s1094" filled="f" strokeweight=".35275mm" path="m,l975766,1882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">
                  <v:path arrowok="t"/>
                </v:shape>
                <v:shape id="Graphic 289" style="position:absolute;left:31403;top:11724;width:825;height:749;visibility:visible;mso-wrap-style:square;v-text-anchor:top" coordsize="82550,74930" o:spid="_x0000_s1095" fillcolor="black" stroked="f" path="m14439,l,74815,82042,51854,144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">
                  <v:path arrowok="t"/>
                </v:shape>
                <v:shape id="Graphic 290" style="position:absolute;left:27962;top:851;width:29635;height:16180;visibility:visible;mso-wrap-style:square;v-text-anchor:top" coordsize="2963545,1617980" o:spid="_x0000_s1096" filled="f" strokecolor="#f16930" strokeweight="2.25pt" path="m,269659l4344,221186,16870,175564,36815,133555,63419,95919,95919,63419,133555,36815,175564,16870,221186,4344,269659,,2693543,r48472,4344l2787637,16870r42010,19945l2867282,63419r32501,32500l2926386,133555r19946,42009l2958857,221186r4345,48473l2963202,1348270r-4345,48472l2946332,1442364r-19946,42010l2899783,1522009r-32501,32501l2829647,1581113r-42010,19946l2742015,1613584r-48472,4345l269659,1617929r-48473,-4345l175564,1601059r-42009,-19946l95919,1554510,63419,1522009,36815,1484374,16870,1442364,4344,1396742,,1348270,,269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">
                  <v:stroke dashstyle="3 1"/>
                  <v:path arrowok="t"/>
                </v:shape>
                <v:shape id="Textbox 291" style="position:absolute;left:13441;width:14027;height:1282;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v:textbox inset="0,0,0,0">
                    <w:txbxContent>
                      <w:p w:rsidR="00C31389" w:rsidRDefault="00561FBD" w14:paraId="6F24E806" w14:textId="77777777">
                        <w:pPr>
                          <w:spacing w:line="201" w:lineRule="exact"/>
                          <w:rPr>
                            <w:sz w:val="18"/>
                          </w:rPr>
                        </w:pPr>
                        <w:r>
                          <w:rPr>
                            <w:color w:val="F16930"/>
                            <w:sz w:val="18"/>
                          </w:rPr>
                          <w:t>Competing</w:t>
                        </w:r>
                        <w:r>
                          <w:rPr>
                            <w:color w:val="F16930"/>
                            <w:spacing w:val="-5"/>
                            <w:sz w:val="18"/>
                          </w:rPr>
                          <w:t xml:space="preserve"> </w:t>
                        </w:r>
                        <w:r>
                          <w:rPr>
                            <w:color w:val="F16930"/>
                            <w:sz w:val="18"/>
                          </w:rPr>
                          <w:t>Measure</w:t>
                        </w:r>
                        <w:r>
                          <w:rPr>
                            <w:color w:val="F16930"/>
                            <w:spacing w:val="-4"/>
                            <w:sz w:val="18"/>
                          </w:rPr>
                          <w:t xml:space="preserve"> </w:t>
                        </w:r>
                        <w:r>
                          <w:rPr>
                            <w:color w:val="F16930"/>
                            <w:spacing w:val="-2"/>
                            <w:sz w:val="18"/>
                          </w:rPr>
                          <w:t>Levels</w:t>
                        </w:r>
                      </w:p>
                    </w:txbxContent>
                  </v:textbox>
                </v:shape>
                <v:shape id="Textbox 292" style="position:absolute;left:35097;top:4191;width:16136;height:2597;visibility:visible;mso-wrap-style:square;v-text-anchor:top" o:spid="_x0000_s109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v:textbox inset="0,0,0,0">
                    <w:txbxContent>
                      <w:p w:rsidR="00C31389" w:rsidRDefault="00561FBD" w14:paraId="1649E87F" w14:textId="77777777">
                        <w:pPr>
                          <w:ind w:left="358" w:hanging="359"/>
                          <w:rPr>
                            <w:sz w:val="18"/>
                          </w:rPr>
                        </w:pPr>
                        <w:r>
                          <w:rPr>
                            <w:color w:val="FFFFFF"/>
                            <w:sz w:val="18"/>
                          </w:rPr>
                          <w:t>Condensing</w:t>
                        </w:r>
                        <w:r>
                          <w:rPr>
                            <w:color w:val="FFFFFF"/>
                            <w:spacing w:val="-13"/>
                            <w:sz w:val="18"/>
                          </w:rPr>
                          <w:t xml:space="preserve"> </w:t>
                        </w:r>
                        <w:r>
                          <w:rPr>
                            <w:color w:val="FFFFFF"/>
                            <w:sz w:val="18"/>
                          </w:rPr>
                          <w:t>Furnace</w:t>
                        </w:r>
                        <w:r>
                          <w:rPr>
                            <w:color w:val="FFFFFF"/>
                            <w:spacing w:val="-12"/>
                            <w:sz w:val="18"/>
                          </w:rPr>
                          <w:t xml:space="preserve"> </w:t>
                        </w:r>
                        <w:r>
                          <w:rPr>
                            <w:color w:val="FFFFFF"/>
                            <w:sz w:val="18"/>
                          </w:rPr>
                          <w:t>(Gas)</w:t>
                        </w:r>
                        <w:r>
                          <w:rPr>
                            <w:color w:val="FFFFFF"/>
                            <w:spacing w:val="-13"/>
                            <w:sz w:val="18"/>
                          </w:rPr>
                          <w:t xml:space="preserve"> </w:t>
                        </w:r>
                        <w:r>
                          <w:rPr>
                            <w:color w:val="FFFFFF"/>
                            <w:sz w:val="18"/>
                          </w:rPr>
                          <w:t xml:space="preserve">and </w:t>
                        </w:r>
                        <w:r>
                          <w:rPr>
                            <w:sz w:val="18"/>
                          </w:rPr>
                          <w:t>SEER 18 AC (Electric)</w:t>
                        </w:r>
                      </w:p>
                    </w:txbxContent>
                  </v:textbox>
                </v:shape>
                <v:shape id="Textbox 293" style="position:absolute;left:4602;top:8961;width:12763;height:2597;visibility:visible;mso-wrap-style:square;v-text-anchor:top" o:spid="_x0000_s10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v:textbox inset="0,0,0,0">
                    <w:txbxContent>
                      <w:p w:rsidR="00C31389" w:rsidRDefault="00561FBD" w14:paraId="53B0F039" w14:textId="77777777">
                        <w:pPr>
                          <w:ind w:left="93" w:hanging="94"/>
                          <w:rPr>
                            <w:sz w:val="18"/>
                          </w:rPr>
                        </w:pPr>
                        <w:r>
                          <w:rPr>
                            <w:color w:val="FFFFFF"/>
                            <w:sz w:val="18"/>
                          </w:rPr>
                          <w:t>Code</w:t>
                        </w:r>
                        <w:r>
                          <w:rPr>
                            <w:color w:val="FFFFFF"/>
                            <w:spacing w:val="-13"/>
                            <w:sz w:val="18"/>
                          </w:rPr>
                          <w:t xml:space="preserve"> </w:t>
                        </w:r>
                        <w:r>
                          <w:rPr>
                            <w:color w:val="FFFFFF"/>
                            <w:sz w:val="18"/>
                          </w:rPr>
                          <w:t>Furnace</w:t>
                        </w:r>
                        <w:r>
                          <w:rPr>
                            <w:color w:val="FFFFFF"/>
                            <w:spacing w:val="-12"/>
                            <w:sz w:val="18"/>
                          </w:rPr>
                          <w:t xml:space="preserve"> </w:t>
                        </w:r>
                        <w:r>
                          <w:rPr>
                            <w:color w:val="FFFFFF"/>
                            <w:sz w:val="18"/>
                          </w:rPr>
                          <w:t>(Gas)</w:t>
                        </w:r>
                        <w:r>
                          <w:rPr>
                            <w:color w:val="FFFFFF"/>
                            <w:spacing w:val="-13"/>
                            <w:sz w:val="18"/>
                          </w:rPr>
                          <w:t xml:space="preserve"> </w:t>
                        </w:r>
                        <w:r>
                          <w:rPr>
                            <w:color w:val="FFFFFF"/>
                            <w:sz w:val="18"/>
                          </w:rPr>
                          <w:t xml:space="preserve">and </w:t>
                        </w:r>
                        <w:r>
                          <w:rPr>
                            <w:sz w:val="18"/>
                          </w:rPr>
                          <w:t>SEER 14 AC (Electric)</w:t>
                        </w:r>
                      </w:p>
                    </w:txbxContent>
                  </v:textbox>
                </v:shape>
                <v:shape id="Textbox 294" style="position:absolute;left:35364;top:11628;width:15691;height:1282;visibility:visible;mso-wrap-style:square;v-text-anchor:top" o:spid="_x0000_s11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v:textbox inset="0,0,0,0">
                    <w:txbxContent>
                      <w:p w:rsidR="00C31389" w:rsidRDefault="00561FBD" w14:paraId="0842B4DC" w14:textId="77777777">
                        <w:pPr>
                          <w:spacing w:line="201" w:lineRule="exact"/>
                          <w:rPr>
                            <w:sz w:val="18"/>
                          </w:rPr>
                        </w:pPr>
                        <w:r>
                          <w:rPr>
                            <w:sz w:val="18"/>
                          </w:rPr>
                          <w:t>SEER</w:t>
                        </w:r>
                        <w:r>
                          <w:rPr>
                            <w:spacing w:val="-3"/>
                            <w:sz w:val="18"/>
                          </w:rPr>
                          <w:t xml:space="preserve"> </w:t>
                        </w:r>
                        <w:r>
                          <w:rPr>
                            <w:sz w:val="18"/>
                          </w:rPr>
                          <w:t>18</w:t>
                        </w:r>
                        <w:r>
                          <w:rPr>
                            <w:spacing w:val="-3"/>
                            <w:sz w:val="18"/>
                          </w:rPr>
                          <w:t xml:space="preserve"> </w:t>
                        </w:r>
                        <w:r>
                          <w:rPr>
                            <w:sz w:val="18"/>
                          </w:rPr>
                          <w:t>Heat</w:t>
                        </w:r>
                        <w:r>
                          <w:rPr>
                            <w:spacing w:val="-2"/>
                            <w:sz w:val="18"/>
                          </w:rPr>
                          <w:t xml:space="preserve"> </w:t>
                        </w:r>
                        <w:r>
                          <w:rPr>
                            <w:sz w:val="18"/>
                          </w:rPr>
                          <w:t>Pump</w:t>
                        </w:r>
                        <w:r>
                          <w:rPr>
                            <w:spacing w:val="-3"/>
                            <w:sz w:val="18"/>
                          </w:rPr>
                          <w:t xml:space="preserve"> </w:t>
                        </w:r>
                        <w:r>
                          <w:rPr>
                            <w:spacing w:val="-2"/>
                            <w:sz w:val="18"/>
                          </w:rPr>
                          <w:t>(Electric)</w:t>
                        </w:r>
                      </w:p>
                    </w:txbxContent>
                  </v:textbox>
                </v:shape>
                <w10:wrap type="topAndBottom" anchorx="page"/>
              </v:group>
            </w:pict>
          </mc:Fallback>
        </mc:AlternateContent>
      </w:r>
    </w:p>
    <w:p w:rsidR="00C31389" w:rsidRDefault="00561FBD" w14:paraId="036C5EB7" w14:textId="77777777">
      <w:pPr>
        <w:spacing w:before="79"/>
        <w:ind w:left="480"/>
        <w:rPr>
          <w:i/>
          <w:sz w:val="18"/>
        </w:rPr>
      </w:pPr>
      <w:r>
        <w:rPr>
          <w:i/>
          <w:sz w:val="18"/>
        </w:rPr>
        <w:t>Source:</w:t>
      </w:r>
      <w:r>
        <w:rPr>
          <w:i/>
          <w:spacing w:val="-4"/>
          <w:sz w:val="18"/>
        </w:rPr>
        <w:t xml:space="preserve"> </w:t>
      </w:r>
      <w:r>
        <w:rPr>
          <w:i/>
          <w:spacing w:val="-2"/>
          <w:sz w:val="18"/>
        </w:rPr>
        <w:t>Guidehouse</w:t>
      </w:r>
    </w:p>
    <w:p w:rsidR="00C31389" w:rsidRDefault="00C31389" w14:paraId="6F7A3685" w14:textId="77777777">
      <w:pPr>
        <w:pStyle w:val="BodyText"/>
        <w:spacing w:before="10"/>
        <w:rPr>
          <w:i/>
          <w:sz w:val="20"/>
        </w:rPr>
      </w:pPr>
    </w:p>
    <w:p w:rsidR="00C31389" w:rsidRDefault="00561FBD" w14:paraId="3E8A7451" w14:textId="77777777">
      <w:pPr>
        <w:pStyle w:val="BodyText"/>
        <w:spacing w:before="1"/>
        <w:ind w:left="480" w:right="533" w:hanging="1"/>
      </w:pPr>
      <w:r>
        <w:t>For</w:t>
      </w:r>
      <w:r>
        <w:rPr>
          <w:spacing w:val="-3"/>
        </w:rPr>
        <w:t xml:space="preserve"> </w:t>
      </w:r>
      <w:r>
        <w:t>homes</w:t>
      </w:r>
      <w:r>
        <w:rPr>
          <w:spacing w:val="-3"/>
        </w:rPr>
        <w:t xml:space="preserve"> </w:t>
      </w:r>
      <w:r>
        <w:t>with</w:t>
      </w:r>
      <w:r>
        <w:rPr>
          <w:spacing w:val="-3"/>
        </w:rPr>
        <w:t xml:space="preserve"> </w:t>
      </w:r>
      <w:r>
        <w:t>a</w:t>
      </w:r>
      <w:r>
        <w:rPr>
          <w:spacing w:val="-3"/>
        </w:rPr>
        <w:t xml:space="preserve"> </w:t>
      </w:r>
      <w:r>
        <w:t>gas</w:t>
      </w:r>
      <w:r>
        <w:rPr>
          <w:spacing w:val="-3"/>
        </w:rPr>
        <w:t xml:space="preserve"> </w:t>
      </w:r>
      <w:r>
        <w:t>furnace</w:t>
      </w:r>
      <w:r>
        <w:rPr>
          <w:spacing w:val="-3"/>
        </w:rPr>
        <w:t xml:space="preserve"> </w:t>
      </w:r>
      <w:r>
        <w:t>only,</w:t>
      </w:r>
      <w:r>
        <w:rPr>
          <w:spacing w:val="-4"/>
        </w:rPr>
        <w:t xml:space="preserve"> </w:t>
      </w:r>
      <w:r>
        <w:t>the</w:t>
      </w:r>
      <w:r>
        <w:rPr>
          <w:spacing w:val="-3"/>
        </w:rPr>
        <w:t xml:space="preserve"> </w:t>
      </w:r>
      <w:r>
        <w:t>FS</w:t>
      </w:r>
      <w:r>
        <w:rPr>
          <w:spacing w:val="-3"/>
        </w:rPr>
        <w:t xml:space="preserve"> </w:t>
      </w:r>
      <w:r>
        <w:t>level</w:t>
      </w:r>
      <w:r>
        <w:rPr>
          <w:spacing w:val="-4"/>
        </w:rPr>
        <w:t xml:space="preserve"> </w:t>
      </w:r>
      <w:r>
        <w:t>competed</w:t>
      </w:r>
      <w:r>
        <w:rPr>
          <w:spacing w:val="-3"/>
        </w:rPr>
        <w:t xml:space="preserve"> </w:t>
      </w:r>
      <w:r>
        <w:t>with</w:t>
      </w:r>
      <w:r>
        <w:rPr>
          <w:spacing w:val="-3"/>
        </w:rPr>
        <w:t xml:space="preserve"> </w:t>
      </w:r>
      <w:r>
        <w:t>the</w:t>
      </w:r>
      <w:r>
        <w:rPr>
          <w:spacing w:val="-3"/>
        </w:rPr>
        <w:t xml:space="preserve"> </w:t>
      </w:r>
      <w:r>
        <w:t>efficient</w:t>
      </w:r>
      <w:r>
        <w:rPr>
          <w:spacing w:val="-3"/>
        </w:rPr>
        <w:t xml:space="preserve"> </w:t>
      </w:r>
      <w:r>
        <w:t>gas</w:t>
      </w:r>
      <w:r>
        <w:rPr>
          <w:spacing w:val="-3"/>
        </w:rPr>
        <w:t xml:space="preserve"> </w:t>
      </w:r>
      <w:r>
        <w:t>appliance</w:t>
      </w:r>
      <w:r>
        <w:rPr>
          <w:spacing w:val="-3"/>
        </w:rPr>
        <w:t xml:space="preserve"> </w:t>
      </w:r>
      <w:r>
        <w:t>only. Like the 2021 Study, the Guidehouse team only considered the heating energy from the heat pump when comparing energy use across the technology group. However, Guidehouse compared the full cost of</w:t>
      </w:r>
      <w:r>
        <w:t xml:space="preserve"> the heat pump in the characterization to the full cost of the baseline furnace.</w:t>
      </w:r>
      <w:r>
        <w:rPr>
          <w:spacing w:val="-38"/>
        </w:rPr>
        <w:t xml:space="preserve"> </w:t>
      </w:r>
      <w:hyperlink w:history="1" w:anchor="_bookmark122">
        <w:r>
          <w:rPr>
            <w:position w:val="7"/>
            <w:sz w:val="14"/>
          </w:rPr>
          <w:t>34</w:t>
        </w:r>
      </w:hyperlink>
      <w:r>
        <w:rPr>
          <w:spacing w:val="34"/>
          <w:position w:val="7"/>
          <w:sz w:val="14"/>
        </w:rPr>
        <w:t xml:space="preserve"> </w:t>
      </w:r>
      <w:hyperlink w:history="1" w:anchor="_bookmark123">
        <w:r>
          <w:t>Figure 3-3</w:t>
        </w:r>
      </w:hyperlink>
      <w:r>
        <w:t xml:space="preserve"> shows the efficiency levels in</w:t>
      </w:r>
      <w:r>
        <w:t xml:space="preserve"> this technology group.</w:t>
      </w:r>
    </w:p>
    <w:p w:rsidR="00C31389" w:rsidRDefault="00C31389" w14:paraId="609D25C2" w14:textId="77777777">
      <w:pPr>
        <w:pStyle w:val="BodyText"/>
        <w:rPr>
          <w:sz w:val="20"/>
        </w:rPr>
      </w:pPr>
    </w:p>
    <w:p w:rsidR="00C31389" w:rsidRDefault="00C31389" w14:paraId="07BE779F" w14:textId="77777777">
      <w:pPr>
        <w:pStyle w:val="BodyText"/>
        <w:rPr>
          <w:sz w:val="20"/>
        </w:rPr>
      </w:pPr>
    </w:p>
    <w:p w:rsidR="00C31389" w:rsidRDefault="00C31389" w14:paraId="30FFB0B5" w14:textId="77777777">
      <w:pPr>
        <w:pStyle w:val="BodyText"/>
        <w:rPr>
          <w:sz w:val="20"/>
        </w:rPr>
      </w:pPr>
    </w:p>
    <w:p w:rsidR="00C31389" w:rsidRDefault="00C31389" w14:paraId="5C2ACE18" w14:textId="77777777">
      <w:pPr>
        <w:pStyle w:val="BodyText"/>
        <w:rPr>
          <w:sz w:val="20"/>
        </w:rPr>
      </w:pPr>
    </w:p>
    <w:p w:rsidR="00C31389" w:rsidRDefault="00C31389" w14:paraId="71314D5A" w14:textId="77777777">
      <w:pPr>
        <w:pStyle w:val="BodyText"/>
        <w:rPr>
          <w:sz w:val="20"/>
        </w:rPr>
      </w:pPr>
    </w:p>
    <w:p w:rsidR="00C31389" w:rsidRDefault="00C31389" w14:paraId="0B715F59" w14:textId="77777777">
      <w:pPr>
        <w:pStyle w:val="BodyText"/>
        <w:rPr>
          <w:sz w:val="20"/>
        </w:rPr>
      </w:pPr>
    </w:p>
    <w:p w:rsidR="00C31389" w:rsidRDefault="00C31389" w14:paraId="1763914E" w14:textId="77777777">
      <w:pPr>
        <w:pStyle w:val="BodyText"/>
        <w:rPr>
          <w:sz w:val="20"/>
        </w:rPr>
      </w:pPr>
    </w:p>
    <w:p w:rsidR="00C31389" w:rsidRDefault="00C31389" w14:paraId="61CA2B1C" w14:textId="77777777">
      <w:pPr>
        <w:pStyle w:val="BodyText"/>
        <w:rPr>
          <w:sz w:val="20"/>
        </w:rPr>
      </w:pPr>
    </w:p>
    <w:p w:rsidR="00C31389" w:rsidRDefault="00C31389" w14:paraId="23E4BFD8" w14:textId="77777777">
      <w:pPr>
        <w:pStyle w:val="BodyText"/>
        <w:rPr>
          <w:sz w:val="20"/>
        </w:rPr>
      </w:pPr>
    </w:p>
    <w:p w:rsidR="00C31389" w:rsidRDefault="00C31389" w14:paraId="19A07FD0" w14:textId="77777777">
      <w:pPr>
        <w:pStyle w:val="BodyText"/>
        <w:rPr>
          <w:sz w:val="20"/>
        </w:rPr>
      </w:pPr>
    </w:p>
    <w:p w:rsidR="00C31389" w:rsidRDefault="00561FBD" w14:paraId="3D5406D6" w14:textId="77777777">
      <w:pPr>
        <w:pStyle w:val="BodyText"/>
        <w:rPr>
          <w:sz w:val="13"/>
        </w:rPr>
      </w:pPr>
      <w:r>
        <w:rPr>
          <w:noProof/>
        </w:rPr>
        <mc:AlternateContent>
          <mc:Choice Requires="wps">
            <w:drawing>
              <wp:anchor distT="0" distB="0" distL="0" distR="0" simplePos="0" relativeHeight="487631360" behindDoc="1" locked="0" layoutInCell="1" allowOverlap="1" wp14:editId="0E64C848" wp14:anchorId="1B405760">
                <wp:simplePos x="0" y="0"/>
                <wp:positionH relativeFrom="page">
                  <wp:posOffset>914400</wp:posOffset>
                </wp:positionH>
                <wp:positionV relativeFrom="paragraph">
                  <wp:posOffset>110703</wp:posOffset>
                </wp:positionV>
                <wp:extent cx="1828800" cy="6985"/>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5" style="position:absolute;margin-left:1in;margin-top:8.7pt;width:2in;height:.55pt;z-index:-1568512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" w14:anchorId="7A21B04F">
                <v:path arrowok="t"/>
                <w10:wrap type="topAndBottom" anchorx="page"/>
              </v:shape>
            </w:pict>
          </mc:Fallback>
        </mc:AlternateContent>
      </w:r>
    </w:p>
    <w:p w:rsidR="00C31389" w:rsidRDefault="00561FBD" w14:paraId="5B970307" w14:textId="77777777">
      <w:pPr>
        <w:spacing w:before="89"/>
        <w:ind w:left="480"/>
        <w:rPr>
          <w:sz w:val="18"/>
        </w:rPr>
      </w:pPr>
      <w:bookmarkStart w:name="_bookmark122" w:id="163"/>
      <w:bookmarkEnd w:id="163"/>
      <w:r>
        <w:rPr>
          <w:position w:val="6"/>
          <w:sz w:val="12"/>
        </w:rPr>
        <w:t>34</w:t>
      </w:r>
      <w:r>
        <w:rPr>
          <w:spacing w:val="14"/>
          <w:position w:val="6"/>
          <w:sz w:val="12"/>
        </w:rPr>
        <w:t xml:space="preserve"> </w:t>
      </w:r>
      <w:r>
        <w:rPr>
          <w:sz w:val="18"/>
        </w:rPr>
        <w:t>Conversation</w:t>
      </w:r>
      <w:r>
        <w:rPr>
          <w:spacing w:val="-1"/>
          <w:sz w:val="18"/>
        </w:rPr>
        <w:t xml:space="preserve"> </w:t>
      </w:r>
      <w:r>
        <w:rPr>
          <w:sz w:val="18"/>
        </w:rPr>
        <w:t>with</w:t>
      </w:r>
      <w:r>
        <w:rPr>
          <w:spacing w:val="-4"/>
          <w:sz w:val="18"/>
        </w:rPr>
        <w:t xml:space="preserve"> </w:t>
      </w:r>
      <w:r>
        <w:rPr>
          <w:sz w:val="18"/>
        </w:rPr>
        <w:t>CPUC</w:t>
      </w:r>
      <w:r>
        <w:rPr>
          <w:spacing w:val="-1"/>
          <w:sz w:val="18"/>
        </w:rPr>
        <w:t xml:space="preserve"> </w:t>
      </w:r>
      <w:r>
        <w:rPr>
          <w:sz w:val="18"/>
        </w:rPr>
        <w:t>on</w:t>
      </w:r>
      <w:r>
        <w:rPr>
          <w:spacing w:val="-2"/>
          <w:sz w:val="18"/>
        </w:rPr>
        <w:t xml:space="preserve"> </w:t>
      </w:r>
      <w:r>
        <w:rPr>
          <w:sz w:val="18"/>
        </w:rPr>
        <w:t>October</w:t>
      </w:r>
      <w:r>
        <w:rPr>
          <w:spacing w:val="-2"/>
          <w:sz w:val="18"/>
        </w:rPr>
        <w:t xml:space="preserve"> </w:t>
      </w:r>
      <w:r>
        <w:rPr>
          <w:sz w:val="18"/>
        </w:rPr>
        <w:t>21,</w:t>
      </w:r>
      <w:r>
        <w:rPr>
          <w:spacing w:val="-2"/>
          <w:sz w:val="18"/>
        </w:rPr>
        <w:t xml:space="preserve"> 2020.</w:t>
      </w:r>
    </w:p>
    <w:p w:rsidR="00C31389" w:rsidRDefault="00C31389" w14:paraId="4B5C01BA" w14:textId="77777777">
      <w:pPr>
        <w:rPr>
          <w:sz w:val="18"/>
        </w:rPr>
        <w:sectPr w:rsidR="00C31389">
          <w:headerReference w:type="default" r:id="rId111"/>
          <w:footerReference w:type="default" r:id="rId112"/>
          <w:pgSz w:w="12240" w:h="15840"/>
          <w:pgMar w:top="1660" w:right="960" w:bottom="1120" w:left="960" w:header="397" w:footer="936" w:gutter="0"/>
          <w:cols w:space="720"/>
        </w:sectPr>
      </w:pPr>
    </w:p>
    <w:p w:rsidR="00C31389" w:rsidRDefault="00C31389" w14:paraId="23BB22C6" w14:textId="77777777">
      <w:pPr>
        <w:pStyle w:val="BodyText"/>
        <w:spacing w:before="11"/>
        <w:rPr>
          <w:sz w:val="13"/>
        </w:rPr>
      </w:pPr>
    </w:p>
    <w:p w:rsidR="00C31389" w:rsidRDefault="00561FBD" w14:paraId="5D31D67A" w14:textId="77777777">
      <w:pPr>
        <w:pStyle w:val="Heading7"/>
        <w:spacing w:before="92"/>
        <w:ind w:left="565" w:right="566"/>
        <w:jc w:val="center"/>
      </w:pPr>
      <w:bookmarkStart w:name="_bookmark123" w:id="164"/>
      <w:bookmarkEnd w:id="164"/>
      <w:r>
        <w:t>Figure</w:t>
      </w:r>
      <w:r>
        <w:rPr>
          <w:spacing w:val="-9"/>
        </w:rPr>
        <w:t xml:space="preserve"> </w:t>
      </w:r>
      <w:r>
        <w:t>3-3.</w:t>
      </w:r>
      <w:r>
        <w:rPr>
          <w:spacing w:val="-8"/>
        </w:rPr>
        <w:t xml:space="preserve"> </w:t>
      </w:r>
      <w:r>
        <w:t>Residential</w:t>
      </w:r>
      <w:r>
        <w:rPr>
          <w:spacing w:val="-8"/>
        </w:rPr>
        <w:t xml:space="preserve"> </w:t>
      </w:r>
      <w:r>
        <w:t>Furnace</w:t>
      </w:r>
      <w:r>
        <w:rPr>
          <w:spacing w:val="-9"/>
        </w:rPr>
        <w:t xml:space="preserve"> </w:t>
      </w:r>
      <w:r>
        <w:t>FS</w:t>
      </w:r>
      <w:r>
        <w:rPr>
          <w:spacing w:val="-8"/>
        </w:rPr>
        <w:t xml:space="preserve"> </w:t>
      </w:r>
      <w:r>
        <w:t>Technology</w:t>
      </w:r>
      <w:r>
        <w:rPr>
          <w:spacing w:val="-8"/>
        </w:rPr>
        <w:t xml:space="preserve"> </w:t>
      </w:r>
      <w:r>
        <w:rPr>
          <w:spacing w:val="-2"/>
        </w:rPr>
        <w:t>Group</w:t>
      </w:r>
    </w:p>
    <w:p w:rsidR="00C31389" w:rsidRDefault="00561FBD" w14:paraId="5BFDEA46" w14:textId="77777777">
      <w:pPr>
        <w:pStyle w:val="BodyText"/>
        <w:spacing w:before="9"/>
        <w:rPr>
          <w:b/>
          <w:sz w:val="29"/>
        </w:rPr>
      </w:pPr>
      <w:r>
        <w:rPr>
          <w:noProof/>
        </w:rPr>
        <mc:AlternateContent>
          <mc:Choice Requires="wpg">
            <w:drawing>
              <wp:anchor distT="0" distB="0" distL="0" distR="0" simplePos="0" relativeHeight="487631872" behindDoc="1" locked="0" layoutInCell="1" allowOverlap="1" wp14:editId="5E23D114" wp14:anchorId="4B6433CB">
                <wp:simplePos x="0" y="0"/>
                <wp:positionH relativeFrom="page">
                  <wp:posOffset>908050</wp:posOffset>
                </wp:positionH>
                <wp:positionV relativeFrom="paragraph">
                  <wp:posOffset>233162</wp:posOffset>
                </wp:positionV>
                <wp:extent cx="5810885" cy="1717039"/>
                <wp:effectExtent l="0" t="0" r="0" b="0"/>
                <wp:wrapTopAndBottom/>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885" cy="1717039"/>
                          <a:chOff x="0" y="0"/>
                          <a:chExt cx="5810885" cy="1717039"/>
                        </a:xfrm>
                      </wpg:grpSpPr>
                      <wps:wsp>
                        <wps:cNvPr id="297" name="Graphic 297"/>
                        <wps:cNvSpPr/>
                        <wps:spPr>
                          <a:xfrm>
                            <a:off x="6350" y="673427"/>
                            <a:ext cx="2184400" cy="457200"/>
                          </a:xfrm>
                          <a:custGeom>
                            <a:avLst/>
                            <a:gdLst/>
                            <a:ahLst/>
                            <a:cxnLst/>
                            <a:rect l="l" t="t" r="r" b="b"/>
                            <a:pathLst>
                              <a:path w="2184400" h="457200">
                                <a:moveTo>
                                  <a:pt x="2108034" y="0"/>
                                </a:moveTo>
                                <a:lnTo>
                                  <a:pt x="76200" y="0"/>
                                </a:lnTo>
                                <a:lnTo>
                                  <a:pt x="46537" y="5987"/>
                                </a:lnTo>
                                <a:lnTo>
                                  <a:pt x="22317" y="22317"/>
                                </a:lnTo>
                                <a:lnTo>
                                  <a:pt x="5987" y="46537"/>
                                </a:lnTo>
                                <a:lnTo>
                                  <a:pt x="0" y="76200"/>
                                </a:lnTo>
                                <a:lnTo>
                                  <a:pt x="0" y="381000"/>
                                </a:lnTo>
                                <a:lnTo>
                                  <a:pt x="5987" y="410656"/>
                                </a:lnTo>
                                <a:lnTo>
                                  <a:pt x="22317" y="434878"/>
                                </a:lnTo>
                                <a:lnTo>
                                  <a:pt x="46537" y="451210"/>
                                </a:lnTo>
                                <a:lnTo>
                                  <a:pt x="76200" y="457200"/>
                                </a:lnTo>
                                <a:lnTo>
                                  <a:pt x="2108034" y="457200"/>
                                </a:lnTo>
                                <a:lnTo>
                                  <a:pt x="2137696" y="451210"/>
                                </a:lnTo>
                                <a:lnTo>
                                  <a:pt x="2161917" y="434878"/>
                                </a:lnTo>
                                <a:lnTo>
                                  <a:pt x="2178247" y="410656"/>
                                </a:lnTo>
                                <a:lnTo>
                                  <a:pt x="2184234" y="381000"/>
                                </a:lnTo>
                                <a:lnTo>
                                  <a:pt x="2184234" y="76200"/>
                                </a:lnTo>
                                <a:lnTo>
                                  <a:pt x="2178247" y="46537"/>
                                </a:lnTo>
                                <a:lnTo>
                                  <a:pt x="2161917" y="22317"/>
                                </a:lnTo>
                                <a:lnTo>
                                  <a:pt x="2137696" y="5987"/>
                                </a:lnTo>
                                <a:lnTo>
                                  <a:pt x="2108034" y="0"/>
                                </a:lnTo>
                                <a:close/>
                              </a:path>
                            </a:pathLst>
                          </a:custGeom>
                          <a:solidFill>
                            <a:srgbClr val="1F54C8"/>
                          </a:solidFill>
                        </wps:spPr>
                        <wps:bodyPr wrap="square" lIns="0" tIns="0" rIns="0" bIns="0" rtlCol="0">
                          <a:prstTxWarp prst="textNoShape">
                            <a:avLst/>
                          </a:prstTxWarp>
                          <a:noAutofit/>
                        </wps:bodyPr>
                      </wps:wsp>
                      <wps:wsp>
                        <wps:cNvPr id="298" name="Graphic 298"/>
                        <wps:cNvSpPr/>
                        <wps:spPr>
                          <a:xfrm>
                            <a:off x="6350" y="673427"/>
                            <a:ext cx="2184400" cy="457200"/>
                          </a:xfrm>
                          <a:custGeom>
                            <a:avLst/>
                            <a:gdLst/>
                            <a:ahLst/>
                            <a:cxnLst/>
                            <a:rect l="l" t="t" r="r" b="b"/>
                            <a:pathLst>
                              <a:path w="2184400" h="457200">
                                <a:moveTo>
                                  <a:pt x="0" y="76200"/>
                                </a:moveTo>
                                <a:lnTo>
                                  <a:pt x="5987" y="46537"/>
                                </a:lnTo>
                                <a:lnTo>
                                  <a:pt x="22317" y="22317"/>
                                </a:lnTo>
                                <a:lnTo>
                                  <a:pt x="46537" y="5987"/>
                                </a:lnTo>
                                <a:lnTo>
                                  <a:pt x="76200" y="0"/>
                                </a:lnTo>
                                <a:lnTo>
                                  <a:pt x="2108034" y="0"/>
                                </a:lnTo>
                                <a:lnTo>
                                  <a:pt x="2137696" y="5987"/>
                                </a:lnTo>
                                <a:lnTo>
                                  <a:pt x="2161917" y="22317"/>
                                </a:lnTo>
                                <a:lnTo>
                                  <a:pt x="2178247" y="46537"/>
                                </a:lnTo>
                                <a:lnTo>
                                  <a:pt x="2184234" y="76200"/>
                                </a:lnTo>
                                <a:lnTo>
                                  <a:pt x="2184234" y="381000"/>
                                </a:lnTo>
                                <a:lnTo>
                                  <a:pt x="2178247" y="410656"/>
                                </a:lnTo>
                                <a:lnTo>
                                  <a:pt x="2161917" y="434878"/>
                                </a:lnTo>
                                <a:lnTo>
                                  <a:pt x="2137696" y="451210"/>
                                </a:lnTo>
                                <a:lnTo>
                                  <a:pt x="2108034" y="457200"/>
                                </a:lnTo>
                                <a:lnTo>
                                  <a:pt x="76200" y="457200"/>
                                </a:lnTo>
                                <a:lnTo>
                                  <a:pt x="46537" y="451210"/>
                                </a:lnTo>
                                <a:lnTo>
                                  <a:pt x="22317" y="434878"/>
                                </a:lnTo>
                                <a:lnTo>
                                  <a:pt x="5987" y="410656"/>
                                </a:lnTo>
                                <a:lnTo>
                                  <a:pt x="0" y="381000"/>
                                </a:lnTo>
                                <a:lnTo>
                                  <a:pt x="0" y="76200"/>
                                </a:lnTo>
                                <a:close/>
                              </a:path>
                            </a:pathLst>
                          </a:custGeom>
                          <a:ln w="12700">
                            <a:solidFill>
                              <a:srgbClr val="133B92"/>
                            </a:solidFill>
                            <a:prstDash val="solid"/>
                          </a:ln>
                        </wps:spPr>
                        <wps:bodyPr wrap="square" lIns="0" tIns="0" rIns="0" bIns="0" rtlCol="0">
                          <a:prstTxWarp prst="textNoShape">
                            <a:avLst/>
                          </a:prstTxWarp>
                          <a:noAutofit/>
                        </wps:bodyPr>
                      </wps:wsp>
                      <wps:wsp>
                        <wps:cNvPr id="299" name="Graphic 299"/>
                        <wps:cNvSpPr/>
                        <wps:spPr>
                          <a:xfrm>
                            <a:off x="2190478" y="566808"/>
                            <a:ext cx="1008380" cy="335280"/>
                          </a:xfrm>
                          <a:custGeom>
                            <a:avLst/>
                            <a:gdLst/>
                            <a:ahLst/>
                            <a:cxnLst/>
                            <a:rect l="l" t="t" r="r" b="b"/>
                            <a:pathLst>
                              <a:path w="1008380" h="335280">
                                <a:moveTo>
                                  <a:pt x="0" y="335216"/>
                                </a:moveTo>
                                <a:lnTo>
                                  <a:pt x="1008291" y="0"/>
                                </a:lnTo>
                              </a:path>
                            </a:pathLst>
                          </a:custGeom>
                          <a:ln w="12700">
                            <a:solidFill>
                              <a:srgbClr val="000000"/>
                            </a:solidFill>
                            <a:prstDash val="solid"/>
                          </a:ln>
                        </wps:spPr>
                        <wps:bodyPr wrap="square" lIns="0" tIns="0" rIns="0" bIns="0" rtlCol="0">
                          <a:prstTxWarp prst="textNoShape">
                            <a:avLst/>
                          </a:prstTxWarp>
                          <a:noAutofit/>
                        </wps:bodyPr>
                      </wps:wsp>
                      <wps:wsp>
                        <wps:cNvPr id="300" name="Graphic 300"/>
                        <wps:cNvSpPr/>
                        <wps:spPr>
                          <a:xfrm>
                            <a:off x="3259188" y="318179"/>
                            <a:ext cx="2175510" cy="457200"/>
                          </a:xfrm>
                          <a:custGeom>
                            <a:avLst/>
                            <a:gdLst/>
                            <a:ahLst/>
                            <a:cxnLst/>
                            <a:rect l="l" t="t" r="r" b="b"/>
                            <a:pathLst>
                              <a:path w="2175510" h="457200">
                                <a:moveTo>
                                  <a:pt x="2098713" y="0"/>
                                </a:moveTo>
                                <a:lnTo>
                                  <a:pt x="76200" y="0"/>
                                </a:lnTo>
                                <a:lnTo>
                                  <a:pt x="46537" y="5987"/>
                                </a:lnTo>
                                <a:lnTo>
                                  <a:pt x="22317" y="22317"/>
                                </a:lnTo>
                                <a:lnTo>
                                  <a:pt x="5987" y="46537"/>
                                </a:lnTo>
                                <a:lnTo>
                                  <a:pt x="0" y="76200"/>
                                </a:lnTo>
                                <a:lnTo>
                                  <a:pt x="0" y="381000"/>
                                </a:lnTo>
                                <a:lnTo>
                                  <a:pt x="5987" y="410662"/>
                                </a:lnTo>
                                <a:lnTo>
                                  <a:pt x="22317" y="434882"/>
                                </a:lnTo>
                                <a:lnTo>
                                  <a:pt x="46537" y="451212"/>
                                </a:lnTo>
                                <a:lnTo>
                                  <a:pt x="76200" y="457200"/>
                                </a:lnTo>
                                <a:lnTo>
                                  <a:pt x="2098713" y="457200"/>
                                </a:lnTo>
                                <a:lnTo>
                                  <a:pt x="2128375" y="451212"/>
                                </a:lnTo>
                                <a:lnTo>
                                  <a:pt x="2152596" y="434882"/>
                                </a:lnTo>
                                <a:lnTo>
                                  <a:pt x="2168925" y="410662"/>
                                </a:lnTo>
                                <a:lnTo>
                                  <a:pt x="2174913" y="381000"/>
                                </a:lnTo>
                                <a:lnTo>
                                  <a:pt x="2174913" y="76200"/>
                                </a:lnTo>
                                <a:lnTo>
                                  <a:pt x="2168925" y="46537"/>
                                </a:lnTo>
                                <a:lnTo>
                                  <a:pt x="2152596" y="22317"/>
                                </a:lnTo>
                                <a:lnTo>
                                  <a:pt x="2128375" y="5987"/>
                                </a:lnTo>
                                <a:lnTo>
                                  <a:pt x="2098713" y="0"/>
                                </a:lnTo>
                                <a:close/>
                              </a:path>
                            </a:pathLst>
                          </a:custGeom>
                          <a:solidFill>
                            <a:srgbClr val="1F54C8"/>
                          </a:solidFill>
                        </wps:spPr>
                        <wps:bodyPr wrap="square" lIns="0" tIns="0" rIns="0" bIns="0" rtlCol="0">
                          <a:prstTxWarp prst="textNoShape">
                            <a:avLst/>
                          </a:prstTxWarp>
                          <a:noAutofit/>
                        </wps:bodyPr>
                      </wps:wsp>
                      <wps:wsp>
                        <wps:cNvPr id="301" name="Graphic 301"/>
                        <wps:cNvSpPr/>
                        <wps:spPr>
                          <a:xfrm>
                            <a:off x="3259188" y="318179"/>
                            <a:ext cx="2175510" cy="457200"/>
                          </a:xfrm>
                          <a:custGeom>
                            <a:avLst/>
                            <a:gdLst/>
                            <a:ahLst/>
                            <a:cxnLst/>
                            <a:rect l="l" t="t" r="r" b="b"/>
                            <a:pathLst>
                              <a:path w="2175510" h="457200">
                                <a:moveTo>
                                  <a:pt x="0" y="76200"/>
                                </a:moveTo>
                                <a:lnTo>
                                  <a:pt x="5987" y="46537"/>
                                </a:lnTo>
                                <a:lnTo>
                                  <a:pt x="22317" y="22317"/>
                                </a:lnTo>
                                <a:lnTo>
                                  <a:pt x="46537" y="5987"/>
                                </a:lnTo>
                                <a:lnTo>
                                  <a:pt x="76200" y="0"/>
                                </a:lnTo>
                                <a:lnTo>
                                  <a:pt x="2098713" y="0"/>
                                </a:lnTo>
                                <a:lnTo>
                                  <a:pt x="2128375" y="5987"/>
                                </a:lnTo>
                                <a:lnTo>
                                  <a:pt x="2152596" y="22317"/>
                                </a:lnTo>
                                <a:lnTo>
                                  <a:pt x="2168925" y="46537"/>
                                </a:lnTo>
                                <a:lnTo>
                                  <a:pt x="2174913" y="76200"/>
                                </a:lnTo>
                                <a:lnTo>
                                  <a:pt x="2174913" y="381000"/>
                                </a:lnTo>
                                <a:lnTo>
                                  <a:pt x="2168925" y="410662"/>
                                </a:lnTo>
                                <a:lnTo>
                                  <a:pt x="2152596" y="434882"/>
                                </a:lnTo>
                                <a:lnTo>
                                  <a:pt x="2128375" y="451212"/>
                                </a:lnTo>
                                <a:lnTo>
                                  <a:pt x="2098713" y="457200"/>
                                </a:lnTo>
                                <a:lnTo>
                                  <a:pt x="76200" y="457200"/>
                                </a:lnTo>
                                <a:lnTo>
                                  <a:pt x="46537" y="451212"/>
                                </a:lnTo>
                                <a:lnTo>
                                  <a:pt x="22317" y="434882"/>
                                </a:lnTo>
                                <a:lnTo>
                                  <a:pt x="5987" y="410662"/>
                                </a:lnTo>
                                <a:lnTo>
                                  <a:pt x="0" y="381000"/>
                                </a:lnTo>
                                <a:lnTo>
                                  <a:pt x="0" y="76200"/>
                                </a:lnTo>
                                <a:close/>
                              </a:path>
                            </a:pathLst>
                          </a:custGeom>
                          <a:ln w="12700">
                            <a:solidFill>
                              <a:srgbClr val="133B92"/>
                            </a:solidFill>
                            <a:prstDash val="solid"/>
                          </a:ln>
                        </wps:spPr>
                        <wps:bodyPr wrap="square" lIns="0" tIns="0" rIns="0" bIns="0" rtlCol="0">
                          <a:prstTxWarp prst="textNoShape">
                            <a:avLst/>
                          </a:prstTxWarp>
                          <a:noAutofit/>
                        </wps:bodyPr>
                      </wps:wsp>
                      <wps:wsp>
                        <wps:cNvPr id="302" name="Graphic 302"/>
                        <wps:cNvSpPr/>
                        <wps:spPr>
                          <a:xfrm>
                            <a:off x="3174697" y="534674"/>
                            <a:ext cx="84455" cy="72390"/>
                          </a:xfrm>
                          <a:custGeom>
                            <a:avLst/>
                            <a:gdLst/>
                            <a:ahLst/>
                            <a:cxnLst/>
                            <a:rect l="l" t="t" r="r" b="b"/>
                            <a:pathLst>
                              <a:path w="84455" h="72390">
                                <a:moveTo>
                                  <a:pt x="0" y="0"/>
                                </a:moveTo>
                                <a:lnTo>
                                  <a:pt x="24041" y="72301"/>
                                </a:lnTo>
                                <a:lnTo>
                                  <a:pt x="84327" y="12103"/>
                                </a:lnTo>
                                <a:lnTo>
                                  <a:pt x="0"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3259188" y="995678"/>
                            <a:ext cx="2184400" cy="457200"/>
                          </a:xfrm>
                          <a:custGeom>
                            <a:avLst/>
                            <a:gdLst/>
                            <a:ahLst/>
                            <a:cxnLst/>
                            <a:rect l="l" t="t" r="r" b="b"/>
                            <a:pathLst>
                              <a:path w="2184400" h="457200">
                                <a:moveTo>
                                  <a:pt x="2108034" y="0"/>
                                </a:moveTo>
                                <a:lnTo>
                                  <a:pt x="76200" y="0"/>
                                </a:lnTo>
                                <a:lnTo>
                                  <a:pt x="46537" y="5987"/>
                                </a:lnTo>
                                <a:lnTo>
                                  <a:pt x="22317" y="22317"/>
                                </a:lnTo>
                                <a:lnTo>
                                  <a:pt x="5987" y="46537"/>
                                </a:lnTo>
                                <a:lnTo>
                                  <a:pt x="0" y="76200"/>
                                </a:lnTo>
                                <a:lnTo>
                                  <a:pt x="0" y="381000"/>
                                </a:lnTo>
                                <a:lnTo>
                                  <a:pt x="5987" y="410656"/>
                                </a:lnTo>
                                <a:lnTo>
                                  <a:pt x="22317" y="434878"/>
                                </a:lnTo>
                                <a:lnTo>
                                  <a:pt x="46537" y="451210"/>
                                </a:lnTo>
                                <a:lnTo>
                                  <a:pt x="76200" y="457200"/>
                                </a:lnTo>
                                <a:lnTo>
                                  <a:pt x="2108034" y="457200"/>
                                </a:lnTo>
                                <a:lnTo>
                                  <a:pt x="2137696" y="451210"/>
                                </a:lnTo>
                                <a:lnTo>
                                  <a:pt x="2161917" y="434878"/>
                                </a:lnTo>
                                <a:lnTo>
                                  <a:pt x="2178247" y="410656"/>
                                </a:lnTo>
                                <a:lnTo>
                                  <a:pt x="2184234" y="381000"/>
                                </a:lnTo>
                                <a:lnTo>
                                  <a:pt x="2184234" y="76200"/>
                                </a:lnTo>
                                <a:lnTo>
                                  <a:pt x="2178247" y="46537"/>
                                </a:lnTo>
                                <a:lnTo>
                                  <a:pt x="2161917" y="22317"/>
                                </a:lnTo>
                                <a:lnTo>
                                  <a:pt x="2137696" y="5987"/>
                                </a:lnTo>
                                <a:lnTo>
                                  <a:pt x="2108034" y="0"/>
                                </a:lnTo>
                                <a:close/>
                              </a:path>
                            </a:pathLst>
                          </a:custGeom>
                          <a:solidFill>
                            <a:srgbClr val="F8B722"/>
                          </a:solidFill>
                        </wps:spPr>
                        <wps:bodyPr wrap="square" lIns="0" tIns="0" rIns="0" bIns="0" rtlCol="0">
                          <a:prstTxWarp prst="textNoShape">
                            <a:avLst/>
                          </a:prstTxWarp>
                          <a:noAutofit/>
                        </wps:bodyPr>
                      </wps:wsp>
                      <wps:wsp>
                        <wps:cNvPr id="304" name="Graphic 304"/>
                        <wps:cNvSpPr/>
                        <wps:spPr>
                          <a:xfrm>
                            <a:off x="3259188" y="995678"/>
                            <a:ext cx="2184400" cy="457200"/>
                          </a:xfrm>
                          <a:custGeom>
                            <a:avLst/>
                            <a:gdLst/>
                            <a:ahLst/>
                            <a:cxnLst/>
                            <a:rect l="l" t="t" r="r" b="b"/>
                            <a:pathLst>
                              <a:path w="2184400" h="457200">
                                <a:moveTo>
                                  <a:pt x="0" y="76200"/>
                                </a:moveTo>
                                <a:lnTo>
                                  <a:pt x="5987" y="46537"/>
                                </a:lnTo>
                                <a:lnTo>
                                  <a:pt x="22317" y="22317"/>
                                </a:lnTo>
                                <a:lnTo>
                                  <a:pt x="46537" y="5987"/>
                                </a:lnTo>
                                <a:lnTo>
                                  <a:pt x="76200" y="0"/>
                                </a:lnTo>
                                <a:lnTo>
                                  <a:pt x="2108034" y="0"/>
                                </a:lnTo>
                                <a:lnTo>
                                  <a:pt x="2137696" y="5987"/>
                                </a:lnTo>
                                <a:lnTo>
                                  <a:pt x="2161917" y="22317"/>
                                </a:lnTo>
                                <a:lnTo>
                                  <a:pt x="2178247" y="46537"/>
                                </a:lnTo>
                                <a:lnTo>
                                  <a:pt x="2184234" y="76200"/>
                                </a:lnTo>
                                <a:lnTo>
                                  <a:pt x="2184234" y="381000"/>
                                </a:lnTo>
                                <a:lnTo>
                                  <a:pt x="2178247" y="410656"/>
                                </a:lnTo>
                                <a:lnTo>
                                  <a:pt x="2161917" y="434878"/>
                                </a:lnTo>
                                <a:lnTo>
                                  <a:pt x="2137696" y="451210"/>
                                </a:lnTo>
                                <a:lnTo>
                                  <a:pt x="2108034" y="457200"/>
                                </a:lnTo>
                                <a:lnTo>
                                  <a:pt x="76200" y="457200"/>
                                </a:lnTo>
                                <a:lnTo>
                                  <a:pt x="46537" y="451210"/>
                                </a:lnTo>
                                <a:lnTo>
                                  <a:pt x="22317" y="434878"/>
                                </a:lnTo>
                                <a:lnTo>
                                  <a:pt x="5987" y="410656"/>
                                </a:lnTo>
                                <a:lnTo>
                                  <a:pt x="0" y="381000"/>
                                </a:lnTo>
                                <a:lnTo>
                                  <a:pt x="0" y="76200"/>
                                </a:lnTo>
                                <a:close/>
                              </a:path>
                            </a:pathLst>
                          </a:custGeom>
                          <a:ln w="12700">
                            <a:solidFill>
                              <a:srgbClr val="B78516"/>
                            </a:solidFill>
                            <a:prstDash val="solid"/>
                          </a:ln>
                        </wps:spPr>
                        <wps:bodyPr wrap="square" lIns="0" tIns="0" rIns="0" bIns="0" rtlCol="0">
                          <a:prstTxWarp prst="textNoShape">
                            <a:avLst/>
                          </a:prstTxWarp>
                          <a:noAutofit/>
                        </wps:bodyPr>
                      </wps:wsp>
                      <wps:wsp>
                        <wps:cNvPr id="305" name="Graphic 305"/>
                        <wps:cNvSpPr/>
                        <wps:spPr>
                          <a:xfrm>
                            <a:off x="2190478" y="902024"/>
                            <a:ext cx="1008380" cy="304165"/>
                          </a:xfrm>
                          <a:custGeom>
                            <a:avLst/>
                            <a:gdLst/>
                            <a:ahLst/>
                            <a:cxnLst/>
                            <a:rect l="l" t="t" r="r" b="b"/>
                            <a:pathLst>
                              <a:path w="1008380" h="304165">
                                <a:moveTo>
                                  <a:pt x="0" y="0"/>
                                </a:moveTo>
                                <a:lnTo>
                                  <a:pt x="1007757" y="303911"/>
                                </a:lnTo>
                              </a:path>
                            </a:pathLst>
                          </a:custGeom>
                          <a:ln w="12700">
                            <a:solidFill>
                              <a:srgbClr val="000000"/>
                            </a:solidFill>
                            <a:prstDash val="solid"/>
                          </a:ln>
                        </wps:spPr>
                        <wps:bodyPr wrap="square" lIns="0" tIns="0" rIns="0" bIns="0" rtlCol="0">
                          <a:prstTxWarp prst="textNoShape">
                            <a:avLst/>
                          </a:prstTxWarp>
                          <a:noAutofit/>
                        </wps:bodyPr>
                      </wps:wsp>
                      <wps:wsp>
                        <wps:cNvPr id="306" name="Graphic 306"/>
                        <wps:cNvSpPr/>
                        <wps:spPr>
                          <a:xfrm>
                            <a:off x="3175064" y="1165793"/>
                            <a:ext cx="84455" cy="73025"/>
                          </a:xfrm>
                          <a:custGeom>
                            <a:avLst/>
                            <a:gdLst/>
                            <a:ahLst/>
                            <a:cxnLst/>
                            <a:rect l="l" t="t" r="r" b="b"/>
                            <a:pathLst>
                              <a:path w="84455" h="73025">
                                <a:moveTo>
                                  <a:pt x="22009" y="0"/>
                                </a:moveTo>
                                <a:lnTo>
                                  <a:pt x="0" y="72948"/>
                                </a:lnTo>
                                <a:lnTo>
                                  <a:pt x="83959" y="58483"/>
                                </a:lnTo>
                                <a:lnTo>
                                  <a:pt x="22009"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2833075" y="84811"/>
                            <a:ext cx="2963545" cy="1617980"/>
                          </a:xfrm>
                          <a:custGeom>
                            <a:avLst/>
                            <a:gdLst/>
                            <a:ahLst/>
                            <a:cxnLst/>
                            <a:rect l="l" t="t" r="r" b="b"/>
                            <a:pathLst>
                              <a:path w="2963545" h="1617980">
                                <a:moveTo>
                                  <a:pt x="0" y="269659"/>
                                </a:moveTo>
                                <a:lnTo>
                                  <a:pt x="4344" y="221186"/>
                                </a:lnTo>
                                <a:lnTo>
                                  <a:pt x="16870" y="175564"/>
                                </a:lnTo>
                                <a:lnTo>
                                  <a:pt x="36815" y="133555"/>
                                </a:lnTo>
                                <a:lnTo>
                                  <a:pt x="63419" y="95919"/>
                                </a:lnTo>
                                <a:lnTo>
                                  <a:pt x="95919" y="63419"/>
                                </a:lnTo>
                                <a:lnTo>
                                  <a:pt x="133555" y="36815"/>
                                </a:lnTo>
                                <a:lnTo>
                                  <a:pt x="175564" y="16870"/>
                                </a:lnTo>
                                <a:lnTo>
                                  <a:pt x="221186" y="4344"/>
                                </a:lnTo>
                                <a:lnTo>
                                  <a:pt x="269659" y="0"/>
                                </a:lnTo>
                                <a:lnTo>
                                  <a:pt x="2693543" y="0"/>
                                </a:lnTo>
                                <a:lnTo>
                                  <a:pt x="2742015" y="4344"/>
                                </a:lnTo>
                                <a:lnTo>
                                  <a:pt x="2787637" y="16870"/>
                                </a:lnTo>
                                <a:lnTo>
                                  <a:pt x="2829647" y="36815"/>
                                </a:lnTo>
                                <a:lnTo>
                                  <a:pt x="2867282" y="63419"/>
                                </a:lnTo>
                                <a:lnTo>
                                  <a:pt x="2899783" y="95919"/>
                                </a:lnTo>
                                <a:lnTo>
                                  <a:pt x="2926386" y="133555"/>
                                </a:lnTo>
                                <a:lnTo>
                                  <a:pt x="2946332" y="175564"/>
                                </a:lnTo>
                                <a:lnTo>
                                  <a:pt x="2958857" y="221186"/>
                                </a:lnTo>
                                <a:lnTo>
                                  <a:pt x="2963202" y="269659"/>
                                </a:lnTo>
                                <a:lnTo>
                                  <a:pt x="2963202" y="1348270"/>
                                </a:lnTo>
                                <a:lnTo>
                                  <a:pt x="2958857" y="1396742"/>
                                </a:lnTo>
                                <a:lnTo>
                                  <a:pt x="2946332" y="1442364"/>
                                </a:lnTo>
                                <a:lnTo>
                                  <a:pt x="2926386" y="1484374"/>
                                </a:lnTo>
                                <a:lnTo>
                                  <a:pt x="2899783" y="1522009"/>
                                </a:lnTo>
                                <a:lnTo>
                                  <a:pt x="2867282" y="1554510"/>
                                </a:lnTo>
                                <a:lnTo>
                                  <a:pt x="2829647" y="1581113"/>
                                </a:lnTo>
                                <a:lnTo>
                                  <a:pt x="2787637" y="1601059"/>
                                </a:lnTo>
                                <a:lnTo>
                                  <a:pt x="2742015" y="1613584"/>
                                </a:lnTo>
                                <a:lnTo>
                                  <a:pt x="2693543" y="1617929"/>
                                </a:lnTo>
                                <a:lnTo>
                                  <a:pt x="269659" y="1617929"/>
                                </a:lnTo>
                                <a:lnTo>
                                  <a:pt x="221186" y="1613584"/>
                                </a:lnTo>
                                <a:lnTo>
                                  <a:pt x="175564" y="1601059"/>
                                </a:lnTo>
                                <a:lnTo>
                                  <a:pt x="133555" y="1581113"/>
                                </a:lnTo>
                                <a:lnTo>
                                  <a:pt x="95919" y="1554510"/>
                                </a:lnTo>
                                <a:lnTo>
                                  <a:pt x="63419" y="1522009"/>
                                </a:lnTo>
                                <a:lnTo>
                                  <a:pt x="36815" y="1484374"/>
                                </a:lnTo>
                                <a:lnTo>
                                  <a:pt x="16870" y="1442364"/>
                                </a:lnTo>
                                <a:lnTo>
                                  <a:pt x="4344" y="1396742"/>
                                </a:lnTo>
                                <a:lnTo>
                                  <a:pt x="0" y="1348270"/>
                                </a:lnTo>
                                <a:lnTo>
                                  <a:pt x="0" y="269659"/>
                                </a:lnTo>
                                <a:close/>
                              </a:path>
                            </a:pathLst>
                          </a:custGeom>
                          <a:ln w="28575">
                            <a:solidFill>
                              <a:srgbClr val="F16930"/>
                            </a:solidFill>
                            <a:prstDash val="sysDash"/>
                          </a:ln>
                        </wps:spPr>
                        <wps:bodyPr wrap="square" lIns="0" tIns="0" rIns="0" bIns="0" rtlCol="0">
                          <a:prstTxWarp prst="textNoShape">
                            <a:avLst/>
                          </a:prstTxWarp>
                          <a:noAutofit/>
                        </wps:bodyPr>
                      </wps:wsp>
                      <wps:wsp>
                        <wps:cNvPr id="308" name="Textbox 308"/>
                        <wps:cNvSpPr txBox="1"/>
                        <wps:spPr>
                          <a:xfrm>
                            <a:off x="1380236" y="0"/>
                            <a:ext cx="1402715" cy="128270"/>
                          </a:xfrm>
                          <a:prstGeom prst="rect">
                            <a:avLst/>
                          </a:prstGeom>
                        </wps:spPr>
                        <wps:txbx>
                          <w:txbxContent>
                            <w:p w:rsidR="00C31389" w:rsidRDefault="00561FBD" w14:paraId="49588DBA" w14:textId="77777777">
                              <w:pPr>
                                <w:spacing w:line="201" w:lineRule="exact"/>
                                <w:rPr>
                                  <w:sz w:val="18"/>
                                </w:rPr>
                              </w:pPr>
                              <w:r>
                                <w:rPr>
                                  <w:color w:val="F16930"/>
                                  <w:sz w:val="18"/>
                                </w:rPr>
                                <w:t>Competing</w:t>
                              </w:r>
                              <w:r>
                                <w:rPr>
                                  <w:color w:val="F16930"/>
                                  <w:spacing w:val="-5"/>
                                  <w:sz w:val="18"/>
                                </w:rPr>
                                <w:t xml:space="preserve"> </w:t>
                              </w:r>
                              <w:r>
                                <w:rPr>
                                  <w:color w:val="F16930"/>
                                  <w:sz w:val="18"/>
                                </w:rPr>
                                <w:t>Measure</w:t>
                              </w:r>
                              <w:r>
                                <w:rPr>
                                  <w:color w:val="F16930"/>
                                  <w:spacing w:val="-4"/>
                                  <w:sz w:val="18"/>
                                </w:rPr>
                                <w:t xml:space="preserve"> </w:t>
                              </w:r>
                              <w:r>
                                <w:rPr>
                                  <w:color w:val="F16930"/>
                                  <w:spacing w:val="-2"/>
                                  <w:sz w:val="18"/>
                                </w:rPr>
                                <w:t>Levels</w:t>
                              </w:r>
                            </w:p>
                          </w:txbxContent>
                        </wps:txbx>
                        <wps:bodyPr wrap="square" lIns="0" tIns="0" rIns="0" bIns="0" rtlCol="0">
                          <a:noAutofit/>
                        </wps:bodyPr>
                      </wps:wsp>
                      <wps:wsp>
                        <wps:cNvPr id="309" name="Textbox 309"/>
                        <wps:cNvSpPr txBox="1"/>
                        <wps:spPr>
                          <a:xfrm>
                            <a:off x="3657853" y="485394"/>
                            <a:ext cx="1390650" cy="128270"/>
                          </a:xfrm>
                          <a:prstGeom prst="rect">
                            <a:avLst/>
                          </a:prstGeom>
                        </wps:spPr>
                        <wps:txbx>
                          <w:txbxContent>
                            <w:p w:rsidR="00C31389" w:rsidRDefault="00561FBD" w14:paraId="2DEC4F99" w14:textId="77777777">
                              <w:pPr>
                                <w:spacing w:line="201" w:lineRule="exact"/>
                                <w:rPr>
                                  <w:sz w:val="18"/>
                                </w:rPr>
                              </w:pPr>
                              <w:r>
                                <w:rPr>
                                  <w:color w:val="FFFFFF"/>
                                  <w:sz w:val="18"/>
                                </w:rPr>
                                <w:t>Condensing</w:t>
                              </w:r>
                              <w:r>
                                <w:rPr>
                                  <w:color w:val="FFFFFF"/>
                                  <w:spacing w:val="-5"/>
                                  <w:sz w:val="18"/>
                                </w:rPr>
                                <w:t xml:space="preserve"> </w:t>
                              </w:r>
                              <w:r>
                                <w:rPr>
                                  <w:color w:val="FFFFFF"/>
                                  <w:sz w:val="18"/>
                                </w:rPr>
                                <w:t>Furnace</w:t>
                              </w:r>
                              <w:r>
                                <w:rPr>
                                  <w:color w:val="FFFFFF"/>
                                  <w:spacing w:val="-5"/>
                                  <w:sz w:val="18"/>
                                </w:rPr>
                                <w:t xml:space="preserve"> </w:t>
                              </w:r>
                              <w:r>
                                <w:rPr>
                                  <w:color w:val="FFFFFF"/>
                                  <w:spacing w:val="-2"/>
                                  <w:sz w:val="18"/>
                                </w:rPr>
                                <w:t>(Gas)</w:t>
                              </w:r>
                            </w:p>
                          </w:txbxContent>
                        </wps:txbx>
                        <wps:bodyPr wrap="square" lIns="0" tIns="0" rIns="0" bIns="0" rtlCol="0">
                          <a:noAutofit/>
                        </wps:bodyPr>
                      </wps:wsp>
                      <wps:wsp>
                        <wps:cNvPr id="310" name="Textbox 310"/>
                        <wps:cNvSpPr txBox="1"/>
                        <wps:spPr>
                          <a:xfrm>
                            <a:off x="577087" y="840486"/>
                            <a:ext cx="1054735" cy="128270"/>
                          </a:xfrm>
                          <a:prstGeom prst="rect">
                            <a:avLst/>
                          </a:prstGeom>
                        </wps:spPr>
                        <wps:txbx>
                          <w:txbxContent>
                            <w:p w:rsidR="00C31389" w:rsidRDefault="00561FBD" w14:paraId="390B1ADE" w14:textId="77777777">
                              <w:pPr>
                                <w:spacing w:line="201" w:lineRule="exact"/>
                                <w:rPr>
                                  <w:sz w:val="18"/>
                                </w:rPr>
                              </w:pPr>
                              <w:r>
                                <w:rPr>
                                  <w:color w:val="FFFFFF"/>
                                  <w:sz w:val="18"/>
                                </w:rPr>
                                <w:t>Code</w:t>
                              </w:r>
                              <w:r>
                                <w:rPr>
                                  <w:color w:val="FFFFFF"/>
                                  <w:spacing w:val="-4"/>
                                  <w:sz w:val="18"/>
                                </w:rPr>
                                <w:t xml:space="preserve"> </w:t>
                              </w:r>
                              <w:r>
                                <w:rPr>
                                  <w:color w:val="FFFFFF"/>
                                  <w:sz w:val="18"/>
                                </w:rPr>
                                <w:t>Furnace</w:t>
                              </w:r>
                              <w:r>
                                <w:rPr>
                                  <w:color w:val="FFFFFF"/>
                                  <w:spacing w:val="-1"/>
                                  <w:sz w:val="18"/>
                                </w:rPr>
                                <w:t xml:space="preserve"> </w:t>
                              </w:r>
                              <w:r>
                                <w:rPr>
                                  <w:color w:val="FFFFFF"/>
                                  <w:spacing w:val="-2"/>
                                  <w:sz w:val="18"/>
                                </w:rPr>
                                <w:t>(Gas)</w:t>
                              </w:r>
                            </w:p>
                          </w:txbxContent>
                        </wps:txbx>
                        <wps:bodyPr wrap="square" lIns="0" tIns="0" rIns="0" bIns="0" rtlCol="0">
                          <a:noAutofit/>
                        </wps:bodyPr>
                      </wps:wsp>
                      <wps:wsp>
                        <wps:cNvPr id="311" name="Textbox 311"/>
                        <wps:cNvSpPr txBox="1"/>
                        <wps:spPr>
                          <a:xfrm>
                            <a:off x="3526028" y="1095755"/>
                            <a:ext cx="1664335" cy="260350"/>
                          </a:xfrm>
                          <a:prstGeom prst="rect">
                            <a:avLst/>
                          </a:prstGeom>
                        </wps:spPr>
                        <wps:txbx>
                          <w:txbxContent>
                            <w:p w:rsidR="00C31389" w:rsidRDefault="00561FBD" w14:paraId="3649310E" w14:textId="77777777">
                              <w:pPr>
                                <w:spacing w:line="242" w:lineRule="auto"/>
                                <w:ind w:left="780" w:hanging="781"/>
                                <w:rPr>
                                  <w:sz w:val="18"/>
                                </w:rPr>
                              </w:pPr>
                              <w:r>
                                <w:rPr>
                                  <w:sz w:val="18"/>
                                </w:rPr>
                                <w:t>SEER</w:t>
                              </w:r>
                              <w:r>
                                <w:rPr>
                                  <w:spacing w:val="-8"/>
                                  <w:sz w:val="18"/>
                                </w:rPr>
                                <w:t xml:space="preserve"> </w:t>
                              </w:r>
                              <w:r>
                                <w:rPr>
                                  <w:sz w:val="18"/>
                                </w:rPr>
                                <w:t>18</w:t>
                              </w:r>
                              <w:r>
                                <w:rPr>
                                  <w:spacing w:val="-8"/>
                                  <w:sz w:val="18"/>
                                </w:rPr>
                                <w:t xml:space="preserve"> </w:t>
                              </w:r>
                              <w:r>
                                <w:rPr>
                                  <w:sz w:val="18"/>
                                </w:rPr>
                                <w:t>Heat</w:t>
                              </w:r>
                              <w:r>
                                <w:rPr>
                                  <w:spacing w:val="-8"/>
                                  <w:sz w:val="18"/>
                                </w:rPr>
                                <w:t xml:space="preserve"> </w:t>
                              </w:r>
                              <w:r>
                                <w:rPr>
                                  <w:sz w:val="18"/>
                                </w:rPr>
                                <w:t>Pump</w:t>
                              </w:r>
                              <w:r>
                                <w:rPr>
                                  <w:spacing w:val="-8"/>
                                  <w:sz w:val="18"/>
                                </w:rPr>
                                <w:t xml:space="preserve"> </w:t>
                              </w:r>
                              <w:r>
                                <w:rPr>
                                  <w:sz w:val="18"/>
                                </w:rPr>
                                <w:t>(Electric)</w:t>
                              </w:r>
                              <w:r>
                                <w:rPr>
                                  <w:spacing w:val="-8"/>
                                  <w:sz w:val="18"/>
                                </w:rPr>
                                <w:t xml:space="preserve"> </w:t>
                              </w:r>
                              <w:r>
                                <w:rPr>
                                  <w:sz w:val="18"/>
                                </w:rPr>
                                <w:t>– Heating Only</w:t>
                              </w:r>
                            </w:p>
                          </w:txbxContent>
                        </wps:txbx>
                        <wps:bodyPr wrap="square" lIns="0" tIns="0" rIns="0" bIns="0" rtlCol="0">
                          <a:noAutofit/>
                        </wps:bodyPr>
                      </wps:wsp>
                    </wpg:wgp>
                  </a:graphicData>
                </a:graphic>
              </wp:anchor>
            </w:drawing>
          </mc:Choice>
          <mc:Fallback>
            <w:pict>
              <v:group id="Group 296" style="position:absolute;margin-left:71.5pt;margin-top:18.35pt;width:457.55pt;height:135.2pt;z-index:-15684608;mso-wrap-distance-left:0;mso-wrap-distance-right:0;mso-position-horizontal-relative:page;mso-position-vertical-relative:text" coordsize="58108,17170" o:spid="_x0000_s1101" w14:anchorId="4B643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">
                <v:shape id="Graphic 297" style="position:absolute;left:63;top:6734;width:21844;height:4572;visibility:visible;mso-wrap-style:square;v-text-anchor:top" coordsize="2184400,457200" o:spid="_x0000_s1102" fillcolor="#1f54c8" stroked="f" path="m2108034,l76200,,46537,5987,22317,22317,5987,46537,,76200,,381000r5987,29656l22317,434878r24220,16332l76200,457200r2031834,l2137696,451210r24221,-16332l2178247,410656r5987,-29656l2184234,76200r-5987,-29663l2161917,22317,2137696,5987,2108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">
                  <v:path arrowok="t"/>
                </v:shape>
                <v:shape id="Graphic 298" style="position:absolute;left:63;top:6734;width:21844;height:4572;visibility:visible;mso-wrap-style:square;v-text-anchor:top" coordsize="2184400,457200" o:spid="_x0000_s1103" filled="f" strokecolor="#133b92" strokeweight="1pt" path="m,76200l5987,46537,22317,22317,46537,5987,76200,,2108034,r29662,5987l2161917,22317r16330,24220l2184234,76200r,304800l2178247,410656r-16330,24222l2137696,451210r-29662,5990l76200,457200,46537,451210,22317,434878,5987,410656,,381000,,7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">
                  <v:path arrowok="t"/>
                </v:shape>
                <v:shape id="Graphic 299" style="position:absolute;left:21904;top:5668;width:10084;height:3352;visibility:visible;mso-wrap-style:square;v-text-anchor:top" coordsize="1008380,335280" o:spid="_x0000_s1104" filled="f" strokeweight="1pt" path="m,335216l10082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">
                  <v:path arrowok="t"/>
                </v:shape>
                <v:shape id="Graphic 300" style="position:absolute;left:32591;top:3181;width:21755;height:4572;visibility:visible;mso-wrap-style:square;v-text-anchor:top" coordsize="2175510,457200" o:spid="_x0000_s1105" fillcolor="#1f54c8" stroked="f" path="m2098713,l76200,,46537,5987,22317,22317,5987,46537,,76200,,381000r5987,29662l22317,434882r24220,16330l76200,457200r2022513,l2128375,451212r24221,-16330l2168925,410662r5988,-29662l2174913,76200r-5988,-29663l2152596,22317,2128375,5987,209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">
                  <v:path arrowok="t"/>
                </v:shape>
                <v:shape id="Graphic 301" style="position:absolute;left:32591;top:3181;width:21755;height:4572;visibility:visible;mso-wrap-style:square;v-text-anchor:top" coordsize="2175510,457200" o:spid="_x0000_s1106" filled="f" strokecolor="#133b92" strokeweight="1pt" path="m,76200l5987,46537,22317,22317,46537,5987,76200,,2098713,r29662,5987l2152596,22317r16329,24220l2174913,76200r,304800l2168925,410662r-16329,24220l2128375,451212r-29662,5988l76200,457200,46537,451212,22317,434882,5987,410662,,381000,,7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">
                  <v:path arrowok="t"/>
                </v:shape>
                <v:shape id="Graphic 302" style="position:absolute;left:31746;top:5346;width:845;height:724;visibility:visible;mso-wrap-style:square;v-text-anchor:top" coordsize="84455,72390" o:spid="_x0000_s1107" fillcolor="black" stroked="f" path="m,l24041,72301,84327,12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">
                  <v:path arrowok="t"/>
                </v:shape>
                <v:shape id="Graphic 303" style="position:absolute;left:32591;top:9956;width:21844;height:4572;visibility:visible;mso-wrap-style:square;v-text-anchor:top" coordsize="2184400,457200" o:spid="_x0000_s1108" fillcolor="#f8b722" stroked="f" path="m2108034,l76200,,46537,5987,22317,22317,5987,46537,,76200,,381000r5987,29656l22317,434878r24220,16332l76200,457200r2031834,l2137696,451210r24221,-16332l2178247,410656r5987,-29656l2184234,76200r-5987,-29663l2161917,22317,2137696,5987,2108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">
                  <v:path arrowok="t"/>
                </v:shape>
                <v:shape id="Graphic 304" style="position:absolute;left:32591;top:9956;width:21844;height:4572;visibility:visible;mso-wrap-style:square;v-text-anchor:top" coordsize="2184400,457200" o:spid="_x0000_s1109" filled="f" strokecolor="#b78516" strokeweight="1pt" path="m,76200l5987,46537,22317,22317,46537,5987,76200,,2108034,r29662,5987l2161917,22317r16330,24220l2184234,76200r,304800l2178247,410656r-16330,24222l2137696,451210r-29662,5990l76200,457200,46537,451210,22317,434878,5987,410656,,381000,,7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">
                  <v:path arrowok="t"/>
                </v:shape>
                <v:shape id="Graphic 305" style="position:absolute;left:21904;top:9020;width:10084;height:3041;visibility:visible;mso-wrap-style:square;v-text-anchor:top" coordsize="1008380,304165" o:spid="_x0000_s1110" filled="f" strokeweight="1pt" path="m,l1007757,3039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">
                  <v:path arrowok="t"/>
                </v:shape>
                <v:shape id="Graphic 306" style="position:absolute;left:31750;top:11657;width:845;height:731;visibility:visible;mso-wrap-style:square;v-text-anchor:top" coordsize="84455,73025" o:spid="_x0000_s1111" fillcolor="black" stroked="f" path="m22009,l,72948,83959,58483,22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">
                  <v:path arrowok="t"/>
                </v:shape>
                <v:shape id="Graphic 307" style="position:absolute;left:28330;top:848;width:29636;height:16179;visibility:visible;mso-wrap-style:square;v-text-anchor:top" coordsize="2963545,1617980" o:spid="_x0000_s1112" filled="f" strokecolor="#f16930" strokeweight="2.25pt" path="m,269659l4344,221186,16870,175564,36815,133555,63419,95919,95919,63419,133555,36815,175564,16870,221186,4344,269659,,2693543,r48472,4344l2787637,16870r42010,19945l2867282,63419r32501,32500l2926386,133555r19946,42009l2958857,221186r4345,48473l2963202,1348270r-4345,48472l2946332,1442364r-19946,42010l2899783,1522009r-32501,32501l2829647,1581113r-42010,19946l2742015,1613584r-48472,4345l269659,1617929r-48473,-4345l175564,1601059r-42009,-19946l95919,1554510,63419,1522009,36815,1484374,16870,1442364,4344,1396742,,1348270,,269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">
                  <v:stroke dashstyle="3 1"/>
                  <v:path arrowok="t"/>
                </v:shape>
                <v:shape id="Textbox 308" style="position:absolute;left:13802;width:14027;height:1282;visibility:visible;mso-wrap-style:square;v-text-anchor:top" o:spid="_x0000_s11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v:textbox inset="0,0,0,0">
                    <w:txbxContent>
                      <w:p w:rsidR="00C31389" w:rsidRDefault="00561FBD" w14:paraId="49588DBA" w14:textId="77777777">
                        <w:pPr>
                          <w:spacing w:line="201" w:lineRule="exact"/>
                          <w:rPr>
                            <w:sz w:val="18"/>
                          </w:rPr>
                        </w:pPr>
                        <w:r>
                          <w:rPr>
                            <w:color w:val="F16930"/>
                            <w:sz w:val="18"/>
                          </w:rPr>
                          <w:t>Competing</w:t>
                        </w:r>
                        <w:r>
                          <w:rPr>
                            <w:color w:val="F16930"/>
                            <w:spacing w:val="-5"/>
                            <w:sz w:val="18"/>
                          </w:rPr>
                          <w:t xml:space="preserve"> </w:t>
                        </w:r>
                        <w:r>
                          <w:rPr>
                            <w:color w:val="F16930"/>
                            <w:sz w:val="18"/>
                          </w:rPr>
                          <w:t>Measure</w:t>
                        </w:r>
                        <w:r>
                          <w:rPr>
                            <w:color w:val="F16930"/>
                            <w:spacing w:val="-4"/>
                            <w:sz w:val="18"/>
                          </w:rPr>
                          <w:t xml:space="preserve"> </w:t>
                        </w:r>
                        <w:r>
                          <w:rPr>
                            <w:color w:val="F16930"/>
                            <w:spacing w:val="-2"/>
                            <w:sz w:val="18"/>
                          </w:rPr>
                          <w:t>Levels</w:t>
                        </w:r>
                      </w:p>
                    </w:txbxContent>
                  </v:textbox>
                </v:shape>
                <v:shape id="Textbox 309" style="position:absolute;left:36578;top:4853;width:13907;height:1283;visibility:visible;mso-wrap-style:square;v-text-anchor:top" o:spid="_x0000_s11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v:textbox inset="0,0,0,0">
                    <w:txbxContent>
                      <w:p w:rsidR="00C31389" w:rsidRDefault="00561FBD" w14:paraId="2DEC4F99" w14:textId="77777777">
                        <w:pPr>
                          <w:spacing w:line="201" w:lineRule="exact"/>
                          <w:rPr>
                            <w:sz w:val="18"/>
                          </w:rPr>
                        </w:pPr>
                        <w:r>
                          <w:rPr>
                            <w:color w:val="FFFFFF"/>
                            <w:sz w:val="18"/>
                          </w:rPr>
                          <w:t>Condensing</w:t>
                        </w:r>
                        <w:r>
                          <w:rPr>
                            <w:color w:val="FFFFFF"/>
                            <w:spacing w:val="-5"/>
                            <w:sz w:val="18"/>
                          </w:rPr>
                          <w:t xml:space="preserve"> </w:t>
                        </w:r>
                        <w:r>
                          <w:rPr>
                            <w:color w:val="FFFFFF"/>
                            <w:sz w:val="18"/>
                          </w:rPr>
                          <w:t>Furnace</w:t>
                        </w:r>
                        <w:r>
                          <w:rPr>
                            <w:color w:val="FFFFFF"/>
                            <w:spacing w:val="-5"/>
                            <w:sz w:val="18"/>
                          </w:rPr>
                          <w:t xml:space="preserve"> </w:t>
                        </w:r>
                        <w:r>
                          <w:rPr>
                            <w:color w:val="FFFFFF"/>
                            <w:spacing w:val="-2"/>
                            <w:sz w:val="18"/>
                          </w:rPr>
                          <w:t>(Gas)</w:t>
                        </w:r>
                      </w:p>
                    </w:txbxContent>
                  </v:textbox>
                </v:shape>
                <v:shape id="Textbox 310" style="position:absolute;left:5770;top:8404;width:10548;height:1283;visibility:visible;mso-wrap-style:square;v-text-anchor:top" o:spid="_x0000_s111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v:textbox inset="0,0,0,0">
                    <w:txbxContent>
                      <w:p w:rsidR="00C31389" w:rsidRDefault="00561FBD" w14:paraId="390B1ADE" w14:textId="77777777">
                        <w:pPr>
                          <w:spacing w:line="201" w:lineRule="exact"/>
                          <w:rPr>
                            <w:sz w:val="18"/>
                          </w:rPr>
                        </w:pPr>
                        <w:r>
                          <w:rPr>
                            <w:color w:val="FFFFFF"/>
                            <w:sz w:val="18"/>
                          </w:rPr>
                          <w:t>Code</w:t>
                        </w:r>
                        <w:r>
                          <w:rPr>
                            <w:color w:val="FFFFFF"/>
                            <w:spacing w:val="-4"/>
                            <w:sz w:val="18"/>
                          </w:rPr>
                          <w:t xml:space="preserve"> </w:t>
                        </w:r>
                        <w:r>
                          <w:rPr>
                            <w:color w:val="FFFFFF"/>
                            <w:sz w:val="18"/>
                          </w:rPr>
                          <w:t>Furnace</w:t>
                        </w:r>
                        <w:r>
                          <w:rPr>
                            <w:color w:val="FFFFFF"/>
                            <w:spacing w:val="-1"/>
                            <w:sz w:val="18"/>
                          </w:rPr>
                          <w:t xml:space="preserve"> </w:t>
                        </w:r>
                        <w:r>
                          <w:rPr>
                            <w:color w:val="FFFFFF"/>
                            <w:spacing w:val="-2"/>
                            <w:sz w:val="18"/>
                          </w:rPr>
                          <w:t>(Gas)</w:t>
                        </w:r>
                      </w:p>
                    </w:txbxContent>
                  </v:textbox>
                </v:shape>
                <v:shape id="Textbox 311" style="position:absolute;left:35260;top:10957;width:16643;height:2604;visibility:visible;mso-wrap-style:square;v-text-anchor:top" o:spid="_x0000_s111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v:textbox inset="0,0,0,0">
                    <w:txbxContent>
                      <w:p w:rsidR="00C31389" w:rsidRDefault="00561FBD" w14:paraId="3649310E" w14:textId="77777777">
                        <w:pPr>
                          <w:spacing w:line="242" w:lineRule="auto"/>
                          <w:ind w:left="780" w:hanging="781"/>
                          <w:rPr>
                            <w:sz w:val="18"/>
                          </w:rPr>
                        </w:pPr>
                        <w:r>
                          <w:rPr>
                            <w:sz w:val="18"/>
                          </w:rPr>
                          <w:t>SEER</w:t>
                        </w:r>
                        <w:r>
                          <w:rPr>
                            <w:spacing w:val="-8"/>
                            <w:sz w:val="18"/>
                          </w:rPr>
                          <w:t xml:space="preserve"> </w:t>
                        </w:r>
                        <w:r>
                          <w:rPr>
                            <w:sz w:val="18"/>
                          </w:rPr>
                          <w:t>18</w:t>
                        </w:r>
                        <w:r>
                          <w:rPr>
                            <w:spacing w:val="-8"/>
                            <w:sz w:val="18"/>
                          </w:rPr>
                          <w:t xml:space="preserve"> </w:t>
                        </w:r>
                        <w:r>
                          <w:rPr>
                            <w:sz w:val="18"/>
                          </w:rPr>
                          <w:t>Heat</w:t>
                        </w:r>
                        <w:r>
                          <w:rPr>
                            <w:spacing w:val="-8"/>
                            <w:sz w:val="18"/>
                          </w:rPr>
                          <w:t xml:space="preserve"> </w:t>
                        </w:r>
                        <w:r>
                          <w:rPr>
                            <w:sz w:val="18"/>
                          </w:rPr>
                          <w:t>Pump</w:t>
                        </w:r>
                        <w:r>
                          <w:rPr>
                            <w:spacing w:val="-8"/>
                            <w:sz w:val="18"/>
                          </w:rPr>
                          <w:t xml:space="preserve"> </w:t>
                        </w:r>
                        <w:r>
                          <w:rPr>
                            <w:sz w:val="18"/>
                          </w:rPr>
                          <w:t>(Electric)</w:t>
                        </w:r>
                        <w:r>
                          <w:rPr>
                            <w:spacing w:val="-8"/>
                            <w:sz w:val="18"/>
                          </w:rPr>
                          <w:t xml:space="preserve"> </w:t>
                        </w:r>
                        <w:r>
                          <w:rPr>
                            <w:sz w:val="18"/>
                          </w:rPr>
                          <w:t>– Heating Only</w:t>
                        </w:r>
                      </w:p>
                    </w:txbxContent>
                  </v:textbox>
                </v:shape>
                <w10:wrap type="topAndBottom" anchorx="page"/>
              </v:group>
            </w:pict>
          </mc:Fallback>
        </mc:AlternateContent>
      </w:r>
    </w:p>
    <w:p w:rsidR="00C31389" w:rsidRDefault="00561FBD" w14:paraId="3711651C" w14:textId="77777777">
      <w:pPr>
        <w:spacing w:before="80"/>
        <w:ind w:left="480"/>
        <w:jc w:val="both"/>
        <w:rPr>
          <w:i/>
          <w:sz w:val="18"/>
        </w:rPr>
      </w:pPr>
      <w:r>
        <w:rPr>
          <w:i/>
          <w:sz w:val="18"/>
        </w:rPr>
        <w:t>Source:</w:t>
      </w:r>
      <w:r>
        <w:rPr>
          <w:i/>
          <w:spacing w:val="-4"/>
          <w:sz w:val="18"/>
        </w:rPr>
        <w:t xml:space="preserve"> </w:t>
      </w:r>
      <w:r>
        <w:rPr>
          <w:i/>
          <w:spacing w:val="-2"/>
          <w:sz w:val="18"/>
        </w:rPr>
        <w:t>Guidehouse</w:t>
      </w:r>
    </w:p>
    <w:p w:rsidR="00C31389" w:rsidRDefault="00C31389" w14:paraId="3160A94E" w14:textId="77777777">
      <w:pPr>
        <w:pStyle w:val="BodyText"/>
        <w:rPr>
          <w:i/>
          <w:sz w:val="20"/>
        </w:rPr>
      </w:pPr>
    </w:p>
    <w:p w:rsidR="00C31389" w:rsidRDefault="00561FBD" w14:paraId="644BEFC6" w14:textId="77777777">
      <w:pPr>
        <w:pStyle w:val="Heading4"/>
        <w:numPr>
          <w:ilvl w:val="2"/>
          <w:numId w:val="71"/>
        </w:numPr>
        <w:tabs>
          <w:tab w:val="left" w:pos="1076"/>
        </w:tabs>
        <w:spacing w:before="129"/>
        <w:ind w:left="1076" w:hanging="596"/>
      </w:pPr>
      <w:bookmarkStart w:name="3.2.2_Technology_Characterization" w:id="165"/>
      <w:bookmarkStart w:name="_bookmark124" w:id="166"/>
      <w:bookmarkEnd w:id="165"/>
      <w:bookmarkEnd w:id="166"/>
      <w:r>
        <w:t>Technology</w:t>
      </w:r>
      <w:r>
        <w:rPr>
          <w:spacing w:val="-6"/>
        </w:rPr>
        <w:t xml:space="preserve"> </w:t>
      </w:r>
      <w:r>
        <w:rPr>
          <w:spacing w:val="-2"/>
        </w:rPr>
        <w:t>Characterization</w:t>
      </w:r>
    </w:p>
    <w:p w:rsidR="00C31389" w:rsidRDefault="00C31389" w14:paraId="503A61FC" w14:textId="77777777">
      <w:pPr>
        <w:pStyle w:val="BodyText"/>
        <w:spacing w:before="10"/>
        <w:rPr>
          <w:b/>
          <w:sz w:val="20"/>
        </w:rPr>
      </w:pPr>
    </w:p>
    <w:p w:rsidR="00C31389" w:rsidRDefault="00561FBD" w14:paraId="6ACDDF54" w14:textId="77777777">
      <w:pPr>
        <w:pStyle w:val="BodyText"/>
        <w:ind w:left="480" w:right="827"/>
        <w:jc w:val="both"/>
      </w:pPr>
      <w:r>
        <w:t>Characterizing</w:t>
      </w:r>
      <w:r>
        <w:rPr>
          <w:spacing w:val="-1"/>
        </w:rPr>
        <w:t xml:space="preserve"> </w:t>
      </w:r>
      <w:r>
        <w:t>selected</w:t>
      </w:r>
      <w:r>
        <w:rPr>
          <w:spacing w:val="-2"/>
        </w:rPr>
        <w:t xml:space="preserve"> </w:t>
      </w:r>
      <w:r>
        <w:t>technologies</w:t>
      </w:r>
      <w:r>
        <w:rPr>
          <w:spacing w:val="-1"/>
        </w:rPr>
        <w:t xml:space="preserve"> </w:t>
      </w:r>
      <w:r>
        <w:t>involves</w:t>
      </w:r>
      <w:r>
        <w:rPr>
          <w:spacing w:val="-1"/>
        </w:rPr>
        <w:t xml:space="preserve"> </w:t>
      </w:r>
      <w:r>
        <w:t>developing</w:t>
      </w:r>
      <w:r>
        <w:rPr>
          <w:spacing w:val="-2"/>
        </w:rPr>
        <w:t xml:space="preserve"> </w:t>
      </w:r>
      <w:r>
        <w:t>various</w:t>
      </w:r>
      <w:r>
        <w:rPr>
          <w:spacing w:val="-1"/>
        </w:rPr>
        <w:t xml:space="preserve"> </w:t>
      </w:r>
      <w:r>
        <w:t>inputs</w:t>
      </w:r>
      <w:r>
        <w:rPr>
          <w:spacing w:val="-1"/>
        </w:rPr>
        <w:t xml:space="preserve"> </w:t>
      </w:r>
      <w:r>
        <w:t>for</w:t>
      </w:r>
      <w:r>
        <w:rPr>
          <w:spacing w:val="-1"/>
        </w:rPr>
        <w:t xml:space="preserve"> </w:t>
      </w:r>
      <w:r>
        <w:t>each</w:t>
      </w:r>
      <w:r>
        <w:rPr>
          <w:spacing w:val="-1"/>
        </w:rPr>
        <w:t xml:space="preserve"> </w:t>
      </w:r>
      <w:r>
        <w:t>technology necessary</w:t>
      </w:r>
      <w:r>
        <w:rPr>
          <w:spacing w:val="-5"/>
        </w:rPr>
        <w:t xml:space="preserve"> </w:t>
      </w:r>
      <w:r>
        <w:t>to</w:t>
      </w:r>
      <w:r>
        <w:rPr>
          <w:spacing w:val="-4"/>
        </w:rPr>
        <w:t xml:space="preserve"> </w:t>
      </w:r>
      <w:r>
        <w:t>calculate</w:t>
      </w:r>
      <w:r>
        <w:rPr>
          <w:spacing w:val="-5"/>
        </w:rPr>
        <w:t xml:space="preserve"> </w:t>
      </w:r>
      <w:r>
        <w:t>potential.</w:t>
      </w:r>
      <w:r>
        <w:rPr>
          <w:spacing w:val="-4"/>
        </w:rPr>
        <w:t xml:space="preserve"> </w:t>
      </w:r>
      <w:hyperlink w:history="1" w:anchor="_bookmark125">
        <w:r>
          <w:t>Table</w:t>
        </w:r>
        <w:r>
          <w:rPr>
            <w:spacing w:val="-3"/>
          </w:rPr>
          <w:t xml:space="preserve"> </w:t>
        </w:r>
        <w:r>
          <w:t>3-10</w:t>
        </w:r>
      </w:hyperlink>
      <w:r>
        <w:rPr>
          <w:spacing w:val="-4"/>
        </w:rPr>
        <w:t xml:space="preserve"> </w:t>
      </w:r>
      <w:r>
        <w:t>summarizes</w:t>
      </w:r>
      <w:r>
        <w:rPr>
          <w:spacing w:val="-4"/>
        </w:rPr>
        <w:t xml:space="preserve"> </w:t>
      </w:r>
      <w:r>
        <w:t>the</w:t>
      </w:r>
      <w:r>
        <w:rPr>
          <w:spacing w:val="-4"/>
        </w:rPr>
        <w:t xml:space="preserve"> </w:t>
      </w:r>
      <w:r>
        <w:t>key</w:t>
      </w:r>
      <w:r>
        <w:rPr>
          <w:spacing w:val="-4"/>
        </w:rPr>
        <w:t xml:space="preserve"> </w:t>
      </w:r>
      <w:r>
        <w:t>items</w:t>
      </w:r>
      <w:r>
        <w:rPr>
          <w:spacing w:val="-5"/>
        </w:rPr>
        <w:t xml:space="preserve"> </w:t>
      </w:r>
      <w:r>
        <w:t>the</w:t>
      </w:r>
      <w:r>
        <w:rPr>
          <w:spacing w:val="-4"/>
        </w:rPr>
        <w:t xml:space="preserve"> </w:t>
      </w:r>
      <w:r>
        <w:t>Guidehouse</w:t>
      </w:r>
      <w:r>
        <w:rPr>
          <w:spacing w:val="-4"/>
        </w:rPr>
        <w:t xml:space="preserve"> </w:t>
      </w:r>
      <w:r>
        <w:t>team used to characterize the technologies and provides brief descript</w:t>
      </w:r>
      <w:r>
        <w:t>ions.</w:t>
      </w:r>
    </w:p>
    <w:p w:rsidR="00C31389" w:rsidRDefault="00C31389" w14:paraId="76FD9119" w14:textId="77777777">
      <w:pPr>
        <w:pStyle w:val="BodyText"/>
        <w:spacing w:before="11"/>
        <w:rPr>
          <w:sz w:val="20"/>
        </w:rPr>
      </w:pPr>
    </w:p>
    <w:p w:rsidR="00C31389" w:rsidRDefault="00561FBD" w14:paraId="78B46863" w14:textId="77777777">
      <w:pPr>
        <w:pStyle w:val="Heading7"/>
        <w:ind w:left="565" w:right="566"/>
        <w:jc w:val="center"/>
      </w:pPr>
      <w:bookmarkStart w:name="_bookmark125" w:id="167"/>
      <w:bookmarkEnd w:id="167"/>
      <w:r>
        <w:t>Table</w:t>
      </w:r>
      <w:r>
        <w:rPr>
          <w:spacing w:val="-6"/>
        </w:rPr>
        <w:t xml:space="preserve"> </w:t>
      </w:r>
      <w:r>
        <w:t>3-10.</w:t>
      </w:r>
      <w:r>
        <w:rPr>
          <w:spacing w:val="-7"/>
        </w:rPr>
        <w:t xml:space="preserve"> </w:t>
      </w:r>
      <w:r>
        <w:t>Key</w:t>
      </w:r>
      <w:r>
        <w:rPr>
          <w:spacing w:val="-5"/>
        </w:rPr>
        <w:t xml:space="preserve"> </w:t>
      </w:r>
      <w:r>
        <w:t>Fields</w:t>
      </w:r>
      <w:r>
        <w:rPr>
          <w:spacing w:val="-6"/>
        </w:rPr>
        <w:t xml:space="preserve"> </w:t>
      </w:r>
      <w:r>
        <w:t>for</w:t>
      </w:r>
      <w:r>
        <w:rPr>
          <w:spacing w:val="-7"/>
        </w:rPr>
        <w:t xml:space="preserve"> </w:t>
      </w:r>
      <w:r>
        <w:t>Measure</w:t>
      </w:r>
      <w:r>
        <w:rPr>
          <w:spacing w:val="-6"/>
        </w:rPr>
        <w:t xml:space="preserve"> </w:t>
      </w:r>
      <w:r>
        <w:rPr>
          <w:spacing w:val="-2"/>
        </w:rPr>
        <w:t>Characterization</w:t>
      </w:r>
    </w:p>
    <w:p w:rsidR="00C31389" w:rsidRDefault="00C31389" w14:paraId="3C1584FE"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2155"/>
        <w:gridCol w:w="7219"/>
      </w:tblGrid>
      <w:tr w:rsidR="00C31389" w14:paraId="61B91033" w14:textId="77777777">
        <w:trPr>
          <w:trHeight w:val="363"/>
        </w:trPr>
        <w:tc>
          <w:tcPr>
            <w:tcW w:w="2155" w:type="dxa"/>
            <w:shd w:val="clear" w:color="auto" w:fill="92D400"/>
          </w:tcPr>
          <w:p w:rsidR="00C31389" w:rsidRDefault="00561FBD" w14:paraId="209BD4D3" w14:textId="77777777">
            <w:pPr>
              <w:pStyle w:val="TableParagraph"/>
              <w:spacing w:before="62"/>
              <w:ind w:left="129"/>
              <w:rPr>
                <w:b/>
                <w:sz w:val="20"/>
              </w:rPr>
            </w:pPr>
            <w:r>
              <w:rPr>
                <w:b/>
                <w:spacing w:val="-2"/>
                <w:sz w:val="20"/>
              </w:rPr>
              <w:t>Items</w:t>
            </w:r>
          </w:p>
        </w:tc>
        <w:tc>
          <w:tcPr>
            <w:tcW w:w="7219" w:type="dxa"/>
            <w:shd w:val="clear" w:color="auto" w:fill="92D400"/>
          </w:tcPr>
          <w:p w:rsidR="00C31389" w:rsidRDefault="00561FBD" w14:paraId="1540603F" w14:textId="77777777">
            <w:pPr>
              <w:pStyle w:val="TableParagraph"/>
              <w:spacing w:before="62"/>
              <w:ind w:left="224"/>
              <w:rPr>
                <w:b/>
                <w:sz w:val="20"/>
              </w:rPr>
            </w:pPr>
            <w:r>
              <w:rPr>
                <w:b/>
                <w:sz w:val="20"/>
              </w:rPr>
              <w:t>Brief</w:t>
            </w:r>
            <w:r>
              <w:rPr>
                <w:b/>
                <w:spacing w:val="-3"/>
                <w:sz w:val="20"/>
              </w:rPr>
              <w:t xml:space="preserve"> </w:t>
            </w:r>
            <w:r>
              <w:rPr>
                <w:b/>
                <w:spacing w:val="-2"/>
                <w:sz w:val="20"/>
              </w:rPr>
              <w:t>Description</w:t>
            </w:r>
          </w:p>
        </w:tc>
      </w:tr>
      <w:tr w:rsidR="00C31389" w14:paraId="57DF9B27" w14:textId="77777777">
        <w:trPr>
          <w:trHeight w:val="1739"/>
        </w:trPr>
        <w:tc>
          <w:tcPr>
            <w:tcW w:w="2155" w:type="dxa"/>
            <w:tcBorders>
              <w:bottom w:val="single" w:color="D9D9D9" w:sz="2" w:space="0"/>
            </w:tcBorders>
          </w:tcPr>
          <w:p w:rsidR="00C31389" w:rsidRDefault="00C31389" w14:paraId="13AF6107" w14:textId="77777777">
            <w:pPr>
              <w:pStyle w:val="TableParagraph"/>
              <w:spacing w:before="0"/>
              <w:rPr>
                <w:b/>
              </w:rPr>
            </w:pPr>
          </w:p>
          <w:p w:rsidR="00C31389" w:rsidRDefault="00C31389" w14:paraId="4A29FD9E" w14:textId="77777777">
            <w:pPr>
              <w:pStyle w:val="TableParagraph"/>
              <w:spacing w:before="0"/>
              <w:rPr>
                <w:b/>
              </w:rPr>
            </w:pPr>
          </w:p>
          <w:p w:rsidR="00C31389" w:rsidRDefault="00561FBD" w14:paraId="47F37974" w14:textId="77777777">
            <w:pPr>
              <w:pStyle w:val="TableParagraph"/>
              <w:spacing w:before="134"/>
              <w:ind w:left="129"/>
              <w:rPr>
                <w:b/>
                <w:sz w:val="20"/>
              </w:rPr>
            </w:pPr>
            <w:r>
              <w:rPr>
                <w:b/>
                <w:spacing w:val="-2"/>
                <w:sz w:val="20"/>
              </w:rPr>
              <w:t>Technology description</w:t>
            </w:r>
          </w:p>
        </w:tc>
        <w:tc>
          <w:tcPr>
            <w:tcW w:w="7219" w:type="dxa"/>
            <w:tcBorders>
              <w:bottom w:val="single" w:color="D9D9D9" w:sz="2" w:space="0"/>
            </w:tcBorders>
          </w:tcPr>
          <w:p w:rsidR="00C31389" w:rsidRDefault="00561FBD" w14:paraId="628735EC" w14:textId="77777777">
            <w:pPr>
              <w:pStyle w:val="TableParagraph"/>
              <w:numPr>
                <w:ilvl w:val="0"/>
                <w:numId w:val="54"/>
              </w:numPr>
              <w:tabs>
                <w:tab w:val="left" w:pos="483"/>
              </w:tabs>
              <w:spacing w:before="41"/>
              <w:ind w:hanging="187"/>
              <w:rPr>
                <w:sz w:val="20"/>
              </w:rPr>
            </w:pPr>
            <w:r>
              <w:rPr>
                <w:spacing w:val="-2"/>
                <w:sz w:val="20"/>
              </w:rPr>
              <w:t>Sector</w:t>
            </w:r>
          </w:p>
          <w:p w:rsidR="00C31389" w:rsidRDefault="00561FBD" w14:paraId="782C9651" w14:textId="77777777">
            <w:pPr>
              <w:pStyle w:val="TableParagraph"/>
              <w:numPr>
                <w:ilvl w:val="0"/>
                <w:numId w:val="54"/>
              </w:numPr>
              <w:tabs>
                <w:tab w:val="left" w:pos="483"/>
              </w:tabs>
              <w:spacing w:before="37"/>
              <w:ind w:hanging="187"/>
              <w:rPr>
                <w:sz w:val="20"/>
              </w:rPr>
            </w:pPr>
            <w:r>
              <w:rPr>
                <w:sz w:val="20"/>
              </w:rPr>
              <w:t>End</w:t>
            </w:r>
            <w:r>
              <w:rPr>
                <w:spacing w:val="-2"/>
                <w:sz w:val="20"/>
              </w:rPr>
              <w:t xml:space="preserve"> </w:t>
            </w:r>
            <w:r>
              <w:rPr>
                <w:spacing w:val="-5"/>
                <w:sz w:val="20"/>
              </w:rPr>
              <w:t>use</w:t>
            </w:r>
          </w:p>
          <w:p w:rsidR="00C31389" w:rsidRDefault="00561FBD" w14:paraId="618F9DBB" w14:textId="77777777">
            <w:pPr>
              <w:pStyle w:val="TableParagraph"/>
              <w:numPr>
                <w:ilvl w:val="0"/>
                <w:numId w:val="54"/>
              </w:numPr>
              <w:tabs>
                <w:tab w:val="left" w:pos="483"/>
              </w:tabs>
              <w:spacing w:before="39"/>
              <w:ind w:hanging="187"/>
              <w:rPr>
                <w:sz w:val="20"/>
              </w:rPr>
            </w:pPr>
            <w:r>
              <w:rPr>
                <w:sz w:val="20"/>
              </w:rPr>
              <w:t>Fuel</w:t>
            </w:r>
            <w:r>
              <w:rPr>
                <w:spacing w:val="-1"/>
                <w:sz w:val="20"/>
              </w:rPr>
              <w:t xml:space="preserve"> </w:t>
            </w:r>
            <w:r>
              <w:rPr>
                <w:spacing w:val="-4"/>
                <w:sz w:val="20"/>
              </w:rPr>
              <w:t>type</w:t>
            </w:r>
          </w:p>
          <w:p w:rsidR="00C31389" w:rsidRDefault="00561FBD" w14:paraId="5DA2F5F5" w14:textId="77777777">
            <w:pPr>
              <w:pStyle w:val="TableParagraph"/>
              <w:numPr>
                <w:ilvl w:val="0"/>
                <w:numId w:val="54"/>
              </w:numPr>
              <w:tabs>
                <w:tab w:val="left" w:pos="483"/>
              </w:tabs>
              <w:spacing w:before="38"/>
              <w:ind w:hanging="187"/>
              <w:rPr>
                <w:sz w:val="20"/>
              </w:rPr>
            </w:pPr>
            <w:r>
              <w:rPr>
                <w:sz w:val="20"/>
              </w:rPr>
              <w:t>Climate</w:t>
            </w:r>
            <w:r>
              <w:rPr>
                <w:spacing w:val="-7"/>
                <w:sz w:val="20"/>
              </w:rPr>
              <w:t xml:space="preserve"> </w:t>
            </w:r>
            <w:r>
              <w:rPr>
                <w:spacing w:val="-4"/>
                <w:sz w:val="20"/>
              </w:rPr>
              <w:t>zone</w:t>
            </w:r>
          </w:p>
          <w:p w:rsidR="00C31389" w:rsidRDefault="00561FBD" w14:paraId="4FC2AED7" w14:textId="77777777">
            <w:pPr>
              <w:pStyle w:val="TableParagraph"/>
              <w:numPr>
                <w:ilvl w:val="0"/>
                <w:numId w:val="54"/>
              </w:numPr>
              <w:tabs>
                <w:tab w:val="left" w:pos="483"/>
              </w:tabs>
              <w:spacing w:before="39"/>
              <w:ind w:hanging="187"/>
              <w:rPr>
                <w:sz w:val="20"/>
              </w:rPr>
            </w:pPr>
            <w:r>
              <w:rPr>
                <w:sz w:val="20"/>
              </w:rPr>
              <w:t>Segment</w:t>
            </w:r>
            <w:r>
              <w:rPr>
                <w:spacing w:val="-7"/>
                <w:sz w:val="20"/>
              </w:rPr>
              <w:t xml:space="preserve"> </w:t>
            </w:r>
            <w:r>
              <w:rPr>
                <w:sz w:val="20"/>
              </w:rPr>
              <w:t>or</w:t>
            </w:r>
            <w:r>
              <w:rPr>
                <w:spacing w:val="-2"/>
                <w:sz w:val="20"/>
              </w:rPr>
              <w:t xml:space="preserve"> </w:t>
            </w:r>
            <w:r>
              <w:rPr>
                <w:sz w:val="20"/>
              </w:rPr>
              <w:t>building</w:t>
            </w:r>
            <w:r>
              <w:rPr>
                <w:spacing w:val="-3"/>
                <w:sz w:val="20"/>
              </w:rPr>
              <w:t xml:space="preserve"> </w:t>
            </w:r>
            <w:r>
              <w:rPr>
                <w:spacing w:val="-4"/>
                <w:sz w:val="20"/>
              </w:rPr>
              <w:t>type</w:t>
            </w:r>
          </w:p>
          <w:p w:rsidR="00C31389" w:rsidRDefault="00561FBD" w14:paraId="7ABA4B17" w14:textId="77777777">
            <w:pPr>
              <w:pStyle w:val="TableParagraph"/>
              <w:numPr>
                <w:ilvl w:val="0"/>
                <w:numId w:val="54"/>
              </w:numPr>
              <w:tabs>
                <w:tab w:val="left" w:pos="483"/>
              </w:tabs>
              <w:spacing w:before="38"/>
              <w:ind w:hanging="187"/>
              <w:rPr>
                <w:sz w:val="20"/>
              </w:rPr>
            </w:pPr>
            <w:r>
              <w:rPr>
                <w:sz w:val="20"/>
              </w:rPr>
              <w:t>Replacement</w:t>
            </w:r>
            <w:r>
              <w:rPr>
                <w:spacing w:val="-7"/>
                <w:sz w:val="20"/>
              </w:rPr>
              <w:t xml:space="preserve"> </w:t>
            </w:r>
            <w:r>
              <w:rPr>
                <w:spacing w:val="-4"/>
                <w:sz w:val="20"/>
              </w:rPr>
              <w:t>type</w:t>
            </w:r>
          </w:p>
        </w:tc>
      </w:tr>
      <w:tr w:rsidR="00C31389" w14:paraId="6144A1EA" w14:textId="77777777">
        <w:trPr>
          <w:trHeight w:val="898"/>
        </w:trPr>
        <w:tc>
          <w:tcPr>
            <w:tcW w:w="2155" w:type="dxa"/>
            <w:tcBorders>
              <w:top w:val="single" w:color="D9D9D9" w:sz="2" w:space="0"/>
              <w:bottom w:val="single" w:color="D9D9D9" w:sz="2" w:space="0"/>
            </w:tcBorders>
          </w:tcPr>
          <w:p w:rsidR="00C31389" w:rsidRDefault="00C31389" w14:paraId="3850134A" w14:textId="77777777">
            <w:pPr>
              <w:pStyle w:val="TableParagraph"/>
              <w:spacing w:before="2"/>
              <w:rPr>
                <w:b/>
                <w:sz w:val="29"/>
              </w:rPr>
            </w:pPr>
          </w:p>
          <w:p w:rsidR="00C31389" w:rsidRDefault="00561FBD" w14:paraId="7300DBD7" w14:textId="77777777">
            <w:pPr>
              <w:pStyle w:val="TableParagraph"/>
              <w:spacing w:before="0"/>
              <w:ind w:left="129"/>
              <w:rPr>
                <w:b/>
                <w:sz w:val="20"/>
              </w:rPr>
            </w:pPr>
            <w:r>
              <w:rPr>
                <w:b/>
                <w:sz w:val="20"/>
              </w:rPr>
              <w:t>Energy</w:t>
            </w:r>
            <w:r>
              <w:rPr>
                <w:b/>
                <w:spacing w:val="-5"/>
                <w:sz w:val="20"/>
              </w:rPr>
              <w:t xml:space="preserve"> use</w:t>
            </w:r>
          </w:p>
        </w:tc>
        <w:tc>
          <w:tcPr>
            <w:tcW w:w="7219" w:type="dxa"/>
            <w:tcBorders>
              <w:top w:val="single" w:color="D9D9D9" w:sz="2" w:space="0"/>
              <w:bottom w:val="single" w:color="D9D9D9" w:sz="2" w:space="0"/>
            </w:tcBorders>
          </w:tcPr>
          <w:p w:rsidR="00C31389" w:rsidRDefault="00561FBD" w14:paraId="02FEBEC5" w14:textId="77777777">
            <w:pPr>
              <w:pStyle w:val="TableParagraph"/>
              <w:numPr>
                <w:ilvl w:val="0"/>
                <w:numId w:val="53"/>
              </w:numPr>
              <w:tabs>
                <w:tab w:val="left" w:pos="483"/>
              </w:tabs>
              <w:spacing w:before="46"/>
              <w:ind w:hanging="187"/>
              <w:rPr>
                <w:sz w:val="20"/>
              </w:rPr>
            </w:pPr>
            <w:r>
              <w:rPr>
                <w:sz w:val="20"/>
              </w:rPr>
              <w:t>Energy</w:t>
            </w:r>
            <w:r>
              <w:rPr>
                <w:spacing w:val="-4"/>
                <w:sz w:val="20"/>
              </w:rPr>
              <w:t xml:space="preserve"> </w:t>
            </w:r>
            <w:r>
              <w:rPr>
                <w:sz w:val="20"/>
              </w:rPr>
              <w:t>use</w:t>
            </w:r>
            <w:r>
              <w:rPr>
                <w:spacing w:val="-3"/>
                <w:sz w:val="20"/>
              </w:rPr>
              <w:t xml:space="preserve"> </w:t>
            </w:r>
            <w:r>
              <w:rPr>
                <w:sz w:val="20"/>
              </w:rPr>
              <w:t>(electric</w:t>
            </w:r>
            <w:r>
              <w:rPr>
                <w:spacing w:val="-4"/>
                <w:sz w:val="20"/>
              </w:rPr>
              <w:t xml:space="preserve"> </w:t>
            </w:r>
            <w:r>
              <w:rPr>
                <w:sz w:val="20"/>
              </w:rPr>
              <w:t>and</w:t>
            </w:r>
            <w:r>
              <w:rPr>
                <w:spacing w:val="-3"/>
                <w:sz w:val="20"/>
              </w:rPr>
              <w:t xml:space="preserve"> </w:t>
            </w:r>
            <w:r>
              <w:rPr>
                <w:spacing w:val="-4"/>
                <w:sz w:val="20"/>
              </w:rPr>
              <w:t>gas)</w:t>
            </w:r>
          </w:p>
          <w:p w:rsidR="00C31389" w:rsidRDefault="00561FBD" w14:paraId="01E94231" w14:textId="77777777">
            <w:pPr>
              <w:pStyle w:val="TableParagraph"/>
              <w:numPr>
                <w:ilvl w:val="0"/>
                <w:numId w:val="53"/>
              </w:numPr>
              <w:tabs>
                <w:tab w:val="left" w:pos="483"/>
              </w:tabs>
              <w:spacing w:before="37"/>
              <w:ind w:hanging="187"/>
              <w:rPr>
                <w:sz w:val="20"/>
              </w:rPr>
            </w:pPr>
            <w:r>
              <w:rPr>
                <w:sz w:val="20"/>
              </w:rPr>
              <w:t>Coincident</w:t>
            </w:r>
            <w:r>
              <w:rPr>
                <w:spacing w:val="-5"/>
                <w:sz w:val="20"/>
              </w:rPr>
              <w:t xml:space="preserve"> </w:t>
            </w:r>
            <w:r>
              <w:rPr>
                <w:sz w:val="20"/>
              </w:rPr>
              <w:t>peak</w:t>
            </w:r>
            <w:r>
              <w:rPr>
                <w:spacing w:val="-4"/>
                <w:sz w:val="20"/>
              </w:rPr>
              <w:t xml:space="preserve"> </w:t>
            </w:r>
            <w:r>
              <w:rPr>
                <w:spacing w:val="-2"/>
                <w:sz w:val="20"/>
              </w:rPr>
              <w:t>demand</w:t>
            </w:r>
          </w:p>
          <w:p w:rsidR="00C31389" w:rsidRDefault="00561FBD" w14:paraId="6C9D153C" w14:textId="77777777">
            <w:pPr>
              <w:pStyle w:val="TableParagraph"/>
              <w:numPr>
                <w:ilvl w:val="0"/>
                <w:numId w:val="53"/>
              </w:numPr>
              <w:tabs>
                <w:tab w:val="left" w:pos="483"/>
              </w:tabs>
              <w:spacing w:before="39"/>
              <w:ind w:hanging="187"/>
              <w:rPr>
                <w:sz w:val="20"/>
              </w:rPr>
            </w:pPr>
            <w:r>
              <w:rPr>
                <w:sz w:val="20"/>
              </w:rPr>
              <w:t>Interactive</w:t>
            </w:r>
            <w:r>
              <w:rPr>
                <w:spacing w:val="-6"/>
                <w:sz w:val="20"/>
              </w:rPr>
              <w:t xml:space="preserve"> </w:t>
            </w:r>
            <w:r>
              <w:rPr>
                <w:spacing w:val="-2"/>
                <w:sz w:val="20"/>
              </w:rPr>
              <w:t>effects</w:t>
            </w:r>
          </w:p>
        </w:tc>
      </w:tr>
      <w:tr w:rsidR="00C31389" w14:paraId="3367E287" w14:textId="77777777">
        <w:trPr>
          <w:trHeight w:val="890"/>
        </w:trPr>
        <w:tc>
          <w:tcPr>
            <w:tcW w:w="2155" w:type="dxa"/>
            <w:tcBorders>
              <w:top w:val="single" w:color="D9D9D9" w:sz="2" w:space="0"/>
              <w:bottom w:val="single" w:color="D9D9D9" w:sz="2" w:space="0"/>
            </w:tcBorders>
          </w:tcPr>
          <w:p w:rsidR="00C31389" w:rsidRDefault="00C31389" w14:paraId="210481C6" w14:textId="77777777">
            <w:pPr>
              <w:pStyle w:val="TableParagraph"/>
              <w:spacing w:before="8"/>
              <w:rPr>
                <w:b/>
                <w:sz w:val="28"/>
              </w:rPr>
            </w:pPr>
          </w:p>
          <w:p w:rsidR="00C31389" w:rsidRDefault="00561FBD" w14:paraId="44F354C2" w14:textId="77777777">
            <w:pPr>
              <w:pStyle w:val="TableParagraph"/>
              <w:spacing w:before="0"/>
              <w:ind w:left="129"/>
              <w:rPr>
                <w:b/>
                <w:sz w:val="20"/>
              </w:rPr>
            </w:pPr>
            <w:r>
              <w:rPr>
                <w:b/>
                <w:sz w:val="20"/>
              </w:rPr>
              <w:t>Technology</w:t>
            </w:r>
            <w:r>
              <w:rPr>
                <w:b/>
                <w:spacing w:val="-7"/>
                <w:sz w:val="20"/>
              </w:rPr>
              <w:t xml:space="preserve"> </w:t>
            </w:r>
            <w:r>
              <w:rPr>
                <w:b/>
                <w:spacing w:val="-2"/>
                <w:sz w:val="20"/>
              </w:rPr>
              <w:t>costs</w:t>
            </w:r>
          </w:p>
        </w:tc>
        <w:tc>
          <w:tcPr>
            <w:tcW w:w="7219" w:type="dxa"/>
            <w:tcBorders>
              <w:top w:val="single" w:color="D9D9D9" w:sz="2" w:space="0"/>
              <w:bottom w:val="single" w:color="D9D9D9" w:sz="2" w:space="0"/>
            </w:tcBorders>
          </w:tcPr>
          <w:p w:rsidR="00C31389" w:rsidRDefault="00561FBD" w14:paraId="4607696C" w14:textId="77777777">
            <w:pPr>
              <w:pStyle w:val="TableParagraph"/>
              <w:numPr>
                <w:ilvl w:val="0"/>
                <w:numId w:val="52"/>
              </w:numPr>
              <w:tabs>
                <w:tab w:val="left" w:pos="483"/>
              </w:tabs>
              <w:spacing w:before="41"/>
              <w:ind w:hanging="187"/>
              <w:rPr>
                <w:sz w:val="20"/>
              </w:rPr>
            </w:pPr>
            <w:r>
              <w:rPr>
                <w:sz w:val="20"/>
              </w:rPr>
              <w:t>Equipment</w:t>
            </w:r>
            <w:r>
              <w:rPr>
                <w:spacing w:val="-8"/>
                <w:sz w:val="20"/>
              </w:rPr>
              <w:t xml:space="preserve"> </w:t>
            </w:r>
            <w:r>
              <w:rPr>
                <w:spacing w:val="-4"/>
                <w:sz w:val="20"/>
              </w:rPr>
              <w:t>cost</w:t>
            </w:r>
          </w:p>
          <w:p w:rsidR="00C31389" w:rsidRDefault="00561FBD" w14:paraId="256430FF" w14:textId="77777777">
            <w:pPr>
              <w:pStyle w:val="TableParagraph"/>
              <w:numPr>
                <w:ilvl w:val="0"/>
                <w:numId w:val="52"/>
              </w:numPr>
              <w:tabs>
                <w:tab w:val="left" w:pos="483"/>
              </w:tabs>
              <w:spacing w:before="38"/>
              <w:ind w:hanging="187"/>
              <w:rPr>
                <w:sz w:val="20"/>
              </w:rPr>
            </w:pPr>
            <w:r>
              <w:rPr>
                <w:sz w:val="20"/>
              </w:rPr>
              <w:t>Installation</w:t>
            </w:r>
            <w:r>
              <w:rPr>
                <w:spacing w:val="-10"/>
                <w:sz w:val="20"/>
              </w:rPr>
              <w:t xml:space="preserve"> </w:t>
            </w:r>
            <w:r>
              <w:rPr>
                <w:spacing w:val="-4"/>
                <w:sz w:val="20"/>
              </w:rPr>
              <w:t>cost</w:t>
            </w:r>
          </w:p>
          <w:p w:rsidR="00C31389" w:rsidRDefault="00561FBD" w14:paraId="0FB87B89" w14:textId="77777777">
            <w:pPr>
              <w:pStyle w:val="TableParagraph"/>
              <w:numPr>
                <w:ilvl w:val="0"/>
                <w:numId w:val="52"/>
              </w:numPr>
              <w:tabs>
                <w:tab w:val="left" w:pos="483"/>
              </w:tabs>
              <w:spacing w:before="38"/>
              <w:ind w:hanging="187"/>
              <w:rPr>
                <w:sz w:val="20"/>
              </w:rPr>
            </w:pPr>
            <w:r>
              <w:rPr>
                <w:sz w:val="20"/>
              </w:rPr>
              <w:t>Panel</w:t>
            </w:r>
            <w:r>
              <w:rPr>
                <w:spacing w:val="-5"/>
                <w:sz w:val="20"/>
              </w:rPr>
              <w:t xml:space="preserve"> </w:t>
            </w:r>
            <w:r>
              <w:rPr>
                <w:sz w:val="20"/>
              </w:rPr>
              <w:t>upgrade</w:t>
            </w:r>
            <w:r>
              <w:rPr>
                <w:spacing w:val="-5"/>
                <w:sz w:val="20"/>
              </w:rPr>
              <w:t xml:space="preserve"> </w:t>
            </w:r>
            <w:r>
              <w:rPr>
                <w:sz w:val="20"/>
              </w:rPr>
              <w:t>costs</w:t>
            </w:r>
            <w:r>
              <w:rPr>
                <w:spacing w:val="-3"/>
                <w:sz w:val="20"/>
              </w:rPr>
              <w:t xml:space="preserve"> </w:t>
            </w:r>
            <w:r>
              <w:rPr>
                <w:sz w:val="20"/>
              </w:rPr>
              <w:t>(for</w:t>
            </w:r>
            <w:r>
              <w:rPr>
                <w:spacing w:val="-4"/>
                <w:sz w:val="20"/>
              </w:rPr>
              <w:t xml:space="preserve"> </w:t>
            </w:r>
            <w:r>
              <w:rPr>
                <w:sz w:val="20"/>
              </w:rPr>
              <w:t>applicable</w:t>
            </w:r>
            <w:r>
              <w:rPr>
                <w:spacing w:val="-4"/>
                <w:sz w:val="20"/>
              </w:rPr>
              <w:t xml:space="preserve"> </w:t>
            </w:r>
            <w:r>
              <w:rPr>
                <w:sz w:val="20"/>
              </w:rPr>
              <w:t>FS</w:t>
            </w:r>
            <w:r>
              <w:rPr>
                <w:spacing w:val="-6"/>
                <w:sz w:val="20"/>
              </w:rPr>
              <w:t xml:space="preserve"> </w:t>
            </w:r>
            <w:r>
              <w:rPr>
                <w:sz w:val="20"/>
              </w:rPr>
              <w:t>technology</w:t>
            </w:r>
            <w:r>
              <w:rPr>
                <w:spacing w:val="-3"/>
                <w:sz w:val="20"/>
              </w:rPr>
              <w:t xml:space="preserve"> </w:t>
            </w:r>
            <w:r>
              <w:rPr>
                <w:spacing w:val="-2"/>
                <w:sz w:val="20"/>
              </w:rPr>
              <w:t>groups)</w:t>
            </w:r>
          </w:p>
        </w:tc>
      </w:tr>
      <w:tr w:rsidR="00C31389" w14:paraId="00ADC87E" w14:textId="77777777">
        <w:trPr>
          <w:trHeight w:val="928"/>
        </w:trPr>
        <w:tc>
          <w:tcPr>
            <w:tcW w:w="2155" w:type="dxa"/>
            <w:tcBorders>
              <w:top w:val="single" w:color="D9D9D9" w:sz="2" w:space="0"/>
              <w:bottom w:val="single" w:color="D9D9D9" w:sz="2" w:space="0"/>
            </w:tcBorders>
          </w:tcPr>
          <w:p w:rsidR="00C31389" w:rsidRDefault="00C31389" w14:paraId="336A31E1" w14:textId="77777777">
            <w:pPr>
              <w:pStyle w:val="TableParagraph"/>
              <w:spacing w:before="4"/>
              <w:rPr>
                <w:b/>
                <w:sz w:val="30"/>
              </w:rPr>
            </w:pPr>
          </w:p>
          <w:p w:rsidR="00C31389" w:rsidRDefault="00561FBD" w14:paraId="0C08609B" w14:textId="77777777">
            <w:pPr>
              <w:pStyle w:val="TableParagraph"/>
              <w:spacing w:before="1"/>
              <w:ind w:left="129"/>
              <w:rPr>
                <w:b/>
                <w:sz w:val="20"/>
              </w:rPr>
            </w:pPr>
            <w:r>
              <w:rPr>
                <w:b/>
                <w:sz w:val="20"/>
              </w:rPr>
              <w:t>Market</w:t>
            </w:r>
            <w:r>
              <w:rPr>
                <w:b/>
                <w:spacing w:val="-3"/>
                <w:sz w:val="20"/>
              </w:rPr>
              <w:t xml:space="preserve"> </w:t>
            </w:r>
            <w:r>
              <w:rPr>
                <w:b/>
                <w:spacing w:val="-2"/>
                <w:sz w:val="20"/>
              </w:rPr>
              <w:t>information</w:t>
            </w:r>
          </w:p>
        </w:tc>
        <w:tc>
          <w:tcPr>
            <w:tcW w:w="7219" w:type="dxa"/>
            <w:tcBorders>
              <w:top w:val="single" w:color="D9D9D9" w:sz="2" w:space="0"/>
              <w:bottom w:val="single" w:color="D9D9D9" w:sz="2" w:space="0"/>
            </w:tcBorders>
          </w:tcPr>
          <w:p w:rsidR="00C31389" w:rsidRDefault="00561FBD" w14:paraId="386EC1F2" w14:textId="77777777">
            <w:pPr>
              <w:pStyle w:val="TableParagraph"/>
              <w:numPr>
                <w:ilvl w:val="0"/>
                <w:numId w:val="51"/>
              </w:numPr>
              <w:tabs>
                <w:tab w:val="left" w:pos="483"/>
              </w:tabs>
              <w:spacing w:before="60"/>
              <w:ind w:hanging="187"/>
              <w:rPr>
                <w:sz w:val="20"/>
              </w:rPr>
            </w:pPr>
            <w:r>
              <w:rPr>
                <w:sz w:val="20"/>
              </w:rPr>
              <w:t>Applicability</w:t>
            </w:r>
            <w:r>
              <w:rPr>
                <w:spacing w:val="-4"/>
                <w:sz w:val="20"/>
              </w:rPr>
              <w:t xml:space="preserve"> </w:t>
            </w:r>
            <w:r>
              <w:rPr>
                <w:sz w:val="20"/>
              </w:rPr>
              <w:t>by</w:t>
            </w:r>
            <w:r>
              <w:rPr>
                <w:spacing w:val="-4"/>
                <w:sz w:val="20"/>
              </w:rPr>
              <w:t xml:space="preserve"> </w:t>
            </w:r>
            <w:r>
              <w:rPr>
                <w:sz w:val="20"/>
              </w:rPr>
              <w:t>segment</w:t>
            </w:r>
            <w:r>
              <w:rPr>
                <w:spacing w:val="-4"/>
                <w:sz w:val="20"/>
              </w:rPr>
              <w:t xml:space="preserve"> </w:t>
            </w:r>
            <w:r>
              <w:rPr>
                <w:sz w:val="20"/>
              </w:rPr>
              <w:t>or</w:t>
            </w:r>
            <w:r>
              <w:rPr>
                <w:spacing w:val="-4"/>
                <w:sz w:val="20"/>
              </w:rPr>
              <w:t xml:space="preserve"> </w:t>
            </w:r>
            <w:r>
              <w:rPr>
                <w:sz w:val="20"/>
              </w:rPr>
              <w:t>building</w:t>
            </w:r>
            <w:r>
              <w:rPr>
                <w:spacing w:val="-4"/>
                <w:sz w:val="20"/>
              </w:rPr>
              <w:t xml:space="preserve"> type</w:t>
            </w:r>
          </w:p>
          <w:p w:rsidR="00C31389" w:rsidRDefault="00561FBD" w14:paraId="0C133E21" w14:textId="77777777">
            <w:pPr>
              <w:pStyle w:val="TableParagraph"/>
              <w:numPr>
                <w:ilvl w:val="0"/>
                <w:numId w:val="51"/>
              </w:numPr>
              <w:tabs>
                <w:tab w:val="left" w:pos="483"/>
              </w:tabs>
              <w:spacing w:before="38"/>
              <w:ind w:hanging="187"/>
              <w:rPr>
                <w:sz w:val="20"/>
              </w:rPr>
            </w:pPr>
            <w:r>
              <w:rPr>
                <w:sz w:val="20"/>
              </w:rPr>
              <w:t>Density</w:t>
            </w:r>
            <w:r>
              <w:rPr>
                <w:spacing w:val="-5"/>
                <w:sz w:val="20"/>
              </w:rPr>
              <w:t xml:space="preserve"> </w:t>
            </w:r>
            <w:r>
              <w:rPr>
                <w:sz w:val="20"/>
              </w:rPr>
              <w:t>associated</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technology</w:t>
            </w:r>
            <w:r>
              <w:rPr>
                <w:spacing w:val="-5"/>
                <w:sz w:val="20"/>
              </w:rPr>
              <w:t xml:space="preserve"> </w:t>
            </w:r>
            <w:r>
              <w:rPr>
                <w:spacing w:val="-2"/>
                <w:sz w:val="20"/>
              </w:rPr>
              <w:t>group</w:t>
            </w:r>
          </w:p>
          <w:p w:rsidR="00C31389" w:rsidRDefault="00561FBD" w14:paraId="594329F7" w14:textId="77777777">
            <w:pPr>
              <w:pStyle w:val="TableParagraph"/>
              <w:numPr>
                <w:ilvl w:val="0"/>
                <w:numId w:val="51"/>
              </w:numPr>
              <w:tabs>
                <w:tab w:val="left" w:pos="483"/>
              </w:tabs>
              <w:spacing w:before="38"/>
              <w:ind w:hanging="187"/>
              <w:rPr>
                <w:sz w:val="20"/>
              </w:rPr>
            </w:pPr>
            <w:r>
              <w:rPr>
                <w:sz w:val="20"/>
              </w:rPr>
              <w:t>Saturation</w:t>
            </w:r>
            <w:r>
              <w:rPr>
                <w:spacing w:val="-5"/>
                <w:sz w:val="20"/>
              </w:rPr>
              <w:t xml:space="preserve"> </w:t>
            </w:r>
            <w:r>
              <w:rPr>
                <w:sz w:val="20"/>
              </w:rPr>
              <w:t>for</w:t>
            </w:r>
            <w:r>
              <w:rPr>
                <w:spacing w:val="-5"/>
                <w:sz w:val="20"/>
              </w:rPr>
              <w:t xml:space="preserve"> </w:t>
            </w:r>
            <w:r>
              <w:rPr>
                <w:sz w:val="20"/>
              </w:rPr>
              <w:t>individual</w:t>
            </w:r>
            <w:r>
              <w:rPr>
                <w:spacing w:val="-4"/>
                <w:sz w:val="20"/>
              </w:rPr>
              <w:t xml:space="preserve"> </w:t>
            </w:r>
            <w:r>
              <w:rPr>
                <w:spacing w:val="-2"/>
                <w:sz w:val="20"/>
              </w:rPr>
              <w:t>technologies</w:t>
            </w:r>
          </w:p>
        </w:tc>
      </w:tr>
      <w:tr w:rsidR="00C31389" w14:paraId="70149831" w14:textId="77777777">
        <w:trPr>
          <w:trHeight w:val="607"/>
        </w:trPr>
        <w:tc>
          <w:tcPr>
            <w:tcW w:w="2155" w:type="dxa"/>
            <w:tcBorders>
              <w:top w:val="single" w:color="D9D9D9" w:sz="2" w:space="0"/>
              <w:bottom w:val="single" w:color="000000" w:sz="8" w:space="0"/>
            </w:tcBorders>
          </w:tcPr>
          <w:p w:rsidR="00C31389" w:rsidRDefault="00561FBD" w14:paraId="25F1427F" w14:textId="77777777">
            <w:pPr>
              <w:pStyle w:val="TableParagraph"/>
              <w:spacing w:before="189"/>
              <w:ind w:left="129"/>
              <w:rPr>
                <w:b/>
                <w:sz w:val="20"/>
              </w:rPr>
            </w:pPr>
            <w:r>
              <w:rPr>
                <w:b/>
                <w:sz w:val="20"/>
              </w:rPr>
              <w:t>Other</w:t>
            </w:r>
            <w:r>
              <w:rPr>
                <w:b/>
                <w:spacing w:val="-4"/>
                <w:sz w:val="20"/>
              </w:rPr>
              <w:t xml:space="preserve"> </w:t>
            </w:r>
            <w:r>
              <w:rPr>
                <w:b/>
                <w:spacing w:val="-2"/>
                <w:sz w:val="20"/>
              </w:rPr>
              <w:t>items</w:t>
            </w:r>
          </w:p>
        </w:tc>
        <w:tc>
          <w:tcPr>
            <w:tcW w:w="7219" w:type="dxa"/>
            <w:tcBorders>
              <w:top w:val="single" w:color="D9D9D9" w:sz="2" w:space="0"/>
              <w:bottom w:val="single" w:color="000000" w:sz="8" w:space="0"/>
            </w:tcBorders>
          </w:tcPr>
          <w:p w:rsidR="00C31389" w:rsidRDefault="00561FBD" w14:paraId="3390C8DF" w14:textId="77777777">
            <w:pPr>
              <w:pStyle w:val="TableParagraph"/>
              <w:numPr>
                <w:ilvl w:val="0"/>
                <w:numId w:val="50"/>
              </w:numPr>
              <w:tabs>
                <w:tab w:val="left" w:pos="483"/>
              </w:tabs>
              <w:spacing w:before="42"/>
              <w:ind w:hanging="187"/>
              <w:rPr>
                <w:sz w:val="20"/>
              </w:rPr>
            </w:pPr>
            <w:r>
              <w:rPr>
                <w:sz w:val="20"/>
              </w:rPr>
              <w:t>Technology</w:t>
            </w:r>
            <w:r>
              <w:rPr>
                <w:spacing w:val="-4"/>
                <w:sz w:val="20"/>
              </w:rPr>
              <w:t xml:space="preserve"> </w:t>
            </w:r>
            <w:r>
              <w:rPr>
                <w:sz w:val="20"/>
              </w:rPr>
              <w:t>lifetime</w:t>
            </w:r>
            <w:r>
              <w:rPr>
                <w:spacing w:val="-5"/>
                <w:sz w:val="20"/>
              </w:rPr>
              <w:t xml:space="preserve"> </w:t>
            </w:r>
            <w:r>
              <w:rPr>
                <w:sz w:val="20"/>
              </w:rPr>
              <w:t>(EUL</w:t>
            </w:r>
            <w:r>
              <w:rPr>
                <w:spacing w:val="-5"/>
                <w:sz w:val="20"/>
              </w:rPr>
              <w:t xml:space="preserve"> </w:t>
            </w:r>
            <w:r>
              <w:rPr>
                <w:sz w:val="20"/>
              </w:rPr>
              <w:t>and</w:t>
            </w:r>
            <w:r>
              <w:rPr>
                <w:spacing w:val="-4"/>
                <w:sz w:val="20"/>
              </w:rPr>
              <w:t xml:space="preserve"> RUL)</w:t>
            </w:r>
          </w:p>
          <w:p w:rsidR="00C31389" w:rsidRDefault="00561FBD" w14:paraId="5476E3F9" w14:textId="77777777">
            <w:pPr>
              <w:pStyle w:val="TableParagraph"/>
              <w:numPr>
                <w:ilvl w:val="0"/>
                <w:numId w:val="50"/>
              </w:numPr>
              <w:tabs>
                <w:tab w:val="left" w:pos="483"/>
              </w:tabs>
              <w:spacing w:before="37"/>
              <w:ind w:hanging="187"/>
              <w:rPr>
                <w:sz w:val="20"/>
              </w:rPr>
            </w:pPr>
            <w:r>
              <w:rPr>
                <w:sz w:val="20"/>
              </w:rPr>
              <w:t>Net-to-gross</w:t>
            </w:r>
            <w:r>
              <w:rPr>
                <w:spacing w:val="-5"/>
                <w:sz w:val="20"/>
              </w:rPr>
              <w:t xml:space="preserve"> </w:t>
            </w:r>
            <w:r>
              <w:rPr>
                <w:sz w:val="20"/>
              </w:rPr>
              <w:t>(NTG)</w:t>
            </w:r>
            <w:r>
              <w:rPr>
                <w:spacing w:val="-5"/>
                <w:sz w:val="20"/>
              </w:rPr>
              <w:t xml:space="preserve"> </w:t>
            </w:r>
            <w:r>
              <w:rPr>
                <w:spacing w:val="-2"/>
                <w:sz w:val="20"/>
              </w:rPr>
              <w:t>ratio</w:t>
            </w:r>
          </w:p>
        </w:tc>
      </w:tr>
    </w:tbl>
    <w:p w:rsidR="00C31389" w:rsidRDefault="00561FBD" w14:paraId="611F71F5" w14:textId="77777777">
      <w:pPr>
        <w:spacing w:before="73"/>
        <w:ind w:left="480"/>
        <w:jc w:val="both"/>
        <w:rPr>
          <w:i/>
          <w:sz w:val="18"/>
        </w:rPr>
      </w:pPr>
      <w:r>
        <w:rPr>
          <w:i/>
          <w:sz w:val="18"/>
        </w:rPr>
        <w:t>Source:</w:t>
      </w:r>
      <w:r>
        <w:rPr>
          <w:i/>
          <w:spacing w:val="-4"/>
          <w:sz w:val="18"/>
        </w:rPr>
        <w:t xml:space="preserve"> </w:t>
      </w:r>
      <w:r>
        <w:rPr>
          <w:i/>
          <w:spacing w:val="-2"/>
          <w:sz w:val="18"/>
        </w:rPr>
        <w:t>Guidehouse</w:t>
      </w:r>
    </w:p>
    <w:p w:rsidR="00C31389" w:rsidRDefault="00C31389" w14:paraId="0E639C0C" w14:textId="77777777">
      <w:pPr>
        <w:pStyle w:val="BodyText"/>
        <w:spacing w:before="9"/>
        <w:rPr>
          <w:i/>
          <w:sz w:val="20"/>
        </w:rPr>
      </w:pPr>
    </w:p>
    <w:p w:rsidR="00C31389" w:rsidRDefault="00561FBD" w14:paraId="1E663C3F" w14:textId="77777777">
      <w:pPr>
        <w:pStyle w:val="BodyText"/>
        <w:ind w:left="480" w:right="533" w:hanging="1"/>
      </w:pPr>
      <w:r>
        <w:t>For the 2023 Study, Guidehouse used a prioritization approach to determine which existing measures</w:t>
      </w:r>
      <w:r>
        <w:rPr>
          <w:spacing w:val="-3"/>
        </w:rPr>
        <w:t xml:space="preserve"> </w:t>
      </w:r>
      <w:r>
        <w:t>that</w:t>
      </w:r>
      <w:r>
        <w:rPr>
          <w:spacing w:val="-3"/>
        </w:rPr>
        <w:t xml:space="preserve"> </w:t>
      </w:r>
      <w:r>
        <w:t>were</w:t>
      </w:r>
      <w:r>
        <w:rPr>
          <w:spacing w:val="-3"/>
        </w:rPr>
        <w:t xml:space="preserve"> </w:t>
      </w:r>
      <w:r>
        <w:t>previously</w:t>
      </w:r>
      <w:r>
        <w:rPr>
          <w:spacing w:val="-4"/>
        </w:rPr>
        <w:t xml:space="preserve"> </w:t>
      </w:r>
      <w:r>
        <w:t>characterized</w:t>
      </w:r>
      <w:r>
        <w:rPr>
          <w:spacing w:val="-3"/>
        </w:rPr>
        <w:t xml:space="preserve"> </w:t>
      </w:r>
      <w:r>
        <w:t>in</w:t>
      </w:r>
      <w:r>
        <w:rPr>
          <w:spacing w:val="-4"/>
        </w:rPr>
        <w:t xml:space="preserve"> </w:t>
      </w:r>
      <w:r>
        <w:t>the</w:t>
      </w:r>
      <w:r>
        <w:rPr>
          <w:spacing w:val="-3"/>
        </w:rPr>
        <w:t xml:space="preserve"> </w:t>
      </w:r>
      <w:r>
        <w:t>2021</w:t>
      </w:r>
      <w:r>
        <w:rPr>
          <w:spacing w:val="-3"/>
        </w:rPr>
        <w:t xml:space="preserve"> </w:t>
      </w:r>
      <w:r>
        <w:t>Study</w:t>
      </w:r>
      <w:r>
        <w:rPr>
          <w:spacing w:val="-3"/>
        </w:rPr>
        <w:t xml:space="preserve"> </w:t>
      </w:r>
      <w:r>
        <w:t>were</w:t>
      </w:r>
      <w:r>
        <w:rPr>
          <w:spacing w:val="-3"/>
        </w:rPr>
        <w:t xml:space="preserve"> </w:t>
      </w:r>
      <w:r>
        <w:t>most</w:t>
      </w:r>
      <w:r>
        <w:rPr>
          <w:spacing w:val="-3"/>
        </w:rPr>
        <w:t xml:space="preserve"> </w:t>
      </w:r>
      <w:r>
        <w:t>important</w:t>
      </w:r>
      <w:r>
        <w:rPr>
          <w:spacing w:val="-3"/>
        </w:rPr>
        <w:t xml:space="preserve"> </w:t>
      </w:r>
      <w:r>
        <w:t>to</w:t>
      </w:r>
      <w:r>
        <w:rPr>
          <w:spacing w:val="-3"/>
        </w:rPr>
        <w:t xml:space="preserve"> </w:t>
      </w:r>
      <w:r>
        <w:t>update.</w:t>
      </w:r>
    </w:p>
    <w:p w:rsidR="00C31389" w:rsidRDefault="00C31389" w14:paraId="53220617" w14:textId="77777777">
      <w:pPr>
        <w:sectPr w:rsidR="00C31389">
          <w:pgSz w:w="12240" w:h="15840"/>
          <w:pgMar w:top="1660" w:right="960" w:bottom="1120" w:left="960" w:header="397" w:footer="936" w:gutter="0"/>
          <w:cols w:space="720"/>
        </w:sectPr>
      </w:pPr>
    </w:p>
    <w:p w:rsidR="00C31389" w:rsidRDefault="00C31389" w14:paraId="5B508BF3" w14:textId="77777777">
      <w:pPr>
        <w:pStyle w:val="BodyText"/>
        <w:spacing w:before="11"/>
        <w:rPr>
          <w:sz w:val="13"/>
        </w:rPr>
      </w:pPr>
    </w:p>
    <w:p w:rsidR="00C31389" w:rsidRDefault="00561FBD" w14:paraId="3C15E330" w14:textId="77777777">
      <w:pPr>
        <w:pStyle w:val="BodyText"/>
        <w:spacing w:before="92"/>
        <w:ind w:left="479" w:right="544"/>
      </w:pPr>
      <w:r>
        <w:t xml:space="preserve">The prioritization was based on potential results from the 2021 Study. Any measure within a technology group that had a 1% or greater contribution to total </w:t>
      </w:r>
      <w:r>
        <w:t>electric or gas economic potential within any scenario was marked as high priority for update. In addition, all FS measures were considered high priority to update, regardless of 2021 Study potential results. Measures</w:t>
      </w:r>
      <w:r>
        <w:rPr>
          <w:spacing w:val="-3"/>
        </w:rPr>
        <w:t xml:space="preserve"> </w:t>
      </w:r>
      <w:r>
        <w:t>that</w:t>
      </w:r>
      <w:r>
        <w:rPr>
          <w:spacing w:val="-3"/>
        </w:rPr>
        <w:t xml:space="preserve"> </w:t>
      </w:r>
      <w:r>
        <w:t>were</w:t>
      </w:r>
      <w:r>
        <w:rPr>
          <w:spacing w:val="-3"/>
        </w:rPr>
        <w:t xml:space="preserve"> </w:t>
      </w:r>
      <w:r>
        <w:t>not</w:t>
      </w:r>
      <w:r>
        <w:rPr>
          <w:spacing w:val="-3"/>
        </w:rPr>
        <w:t xml:space="preserve"> </w:t>
      </w:r>
      <w:r>
        <w:t>designated</w:t>
      </w:r>
      <w:r>
        <w:rPr>
          <w:spacing w:val="-3"/>
        </w:rPr>
        <w:t xml:space="preserve"> </w:t>
      </w:r>
      <w:r>
        <w:t>as</w:t>
      </w:r>
      <w:r>
        <w:rPr>
          <w:spacing w:val="-3"/>
        </w:rPr>
        <w:t xml:space="preserve"> </w:t>
      </w:r>
      <w:r>
        <w:t>high</w:t>
      </w:r>
      <w:r>
        <w:rPr>
          <w:spacing w:val="-3"/>
        </w:rPr>
        <w:t xml:space="preserve"> </w:t>
      </w:r>
      <w:r>
        <w:t>prior</w:t>
      </w:r>
      <w:r>
        <w:t>ity</w:t>
      </w:r>
      <w:r>
        <w:rPr>
          <w:spacing w:val="-3"/>
        </w:rPr>
        <w:t xml:space="preserve"> </w:t>
      </w:r>
      <w:r>
        <w:t>were</w:t>
      </w:r>
      <w:r>
        <w:rPr>
          <w:spacing w:val="-3"/>
        </w:rPr>
        <w:t xml:space="preserve"> </w:t>
      </w:r>
      <w:r>
        <w:t>still</w:t>
      </w:r>
      <w:r>
        <w:rPr>
          <w:spacing w:val="-3"/>
        </w:rPr>
        <w:t xml:space="preserve"> </w:t>
      </w:r>
      <w:r>
        <w:t>included</w:t>
      </w:r>
      <w:r>
        <w:rPr>
          <w:spacing w:val="-3"/>
        </w:rPr>
        <w:t xml:space="preserve"> </w:t>
      </w:r>
      <w:r>
        <w:t>in</w:t>
      </w:r>
      <w:r>
        <w:rPr>
          <w:spacing w:val="-3"/>
        </w:rPr>
        <w:t xml:space="preserve"> </w:t>
      </w:r>
      <w:r>
        <w:t>the</w:t>
      </w:r>
      <w:r>
        <w:rPr>
          <w:spacing w:val="-3"/>
        </w:rPr>
        <w:t xml:space="preserve"> </w:t>
      </w:r>
      <w:r>
        <w:t>2023</w:t>
      </w:r>
      <w:r>
        <w:rPr>
          <w:spacing w:val="-3"/>
        </w:rPr>
        <w:t xml:space="preserve"> </w:t>
      </w:r>
      <w:r>
        <w:t>Study,</w:t>
      </w:r>
      <w:r>
        <w:rPr>
          <w:spacing w:val="-3"/>
        </w:rPr>
        <w:t xml:space="preserve"> </w:t>
      </w:r>
      <w:r>
        <w:t>but</w:t>
      </w:r>
      <w:r>
        <w:rPr>
          <w:spacing w:val="-3"/>
        </w:rPr>
        <w:t xml:space="preserve"> </w:t>
      </w:r>
      <w:r>
        <w:t>the technology characterization inputs and sources for these measures were largely unchanged from what was used in the 2021 Study.</w:t>
      </w:r>
    </w:p>
    <w:p w:rsidR="00C31389" w:rsidRDefault="00C31389" w14:paraId="2EB97038" w14:textId="77777777">
      <w:pPr>
        <w:pStyle w:val="BodyText"/>
        <w:spacing w:before="9"/>
        <w:rPr>
          <w:sz w:val="20"/>
        </w:rPr>
      </w:pPr>
    </w:p>
    <w:p w:rsidR="00C31389" w:rsidRDefault="00561FBD" w14:paraId="1B12EEA3" w14:textId="77777777">
      <w:pPr>
        <w:pStyle w:val="BodyText"/>
        <w:spacing w:before="1"/>
        <w:ind w:left="480" w:right="533"/>
      </w:pPr>
      <w:r>
        <w:t xml:space="preserve">The following subsections detail how the Guidehouse team developed </w:t>
      </w:r>
      <w:r>
        <w:t>energy use, costs, market</w:t>
      </w:r>
      <w:r>
        <w:rPr>
          <w:spacing w:val="-3"/>
        </w:rPr>
        <w:t xml:space="preserve"> </w:t>
      </w:r>
      <w:r>
        <w:t>information,</w:t>
      </w:r>
      <w:r>
        <w:rPr>
          <w:spacing w:val="-3"/>
        </w:rPr>
        <w:t xml:space="preserve"> </w:t>
      </w:r>
      <w:r>
        <w:t>and</w:t>
      </w:r>
      <w:r>
        <w:rPr>
          <w:spacing w:val="-3"/>
        </w:rPr>
        <w:t xml:space="preserve"> </w:t>
      </w:r>
      <w:r>
        <w:t>other</w:t>
      </w:r>
      <w:r>
        <w:rPr>
          <w:spacing w:val="-3"/>
        </w:rPr>
        <w:t xml:space="preserve"> </w:t>
      </w:r>
      <w:r>
        <w:t>relevant</w:t>
      </w:r>
      <w:r>
        <w:rPr>
          <w:spacing w:val="-3"/>
        </w:rPr>
        <w:t xml:space="preserve"> </w:t>
      </w:r>
      <w:r>
        <w:t>fields</w:t>
      </w:r>
      <w:r>
        <w:rPr>
          <w:spacing w:val="-3"/>
        </w:rPr>
        <w:t xml:space="preserve"> </w:t>
      </w:r>
      <w:r>
        <w:t>and</w:t>
      </w:r>
      <w:r>
        <w:rPr>
          <w:spacing w:val="-4"/>
        </w:rPr>
        <w:t xml:space="preserve"> </w:t>
      </w:r>
      <w:r>
        <w:t>provide</w:t>
      </w:r>
      <w:r>
        <w:rPr>
          <w:spacing w:val="-3"/>
        </w:rPr>
        <w:t xml:space="preserve"> </w:t>
      </w:r>
      <w:r>
        <w:t>the</w:t>
      </w:r>
      <w:r>
        <w:rPr>
          <w:spacing w:val="-4"/>
        </w:rPr>
        <w:t xml:space="preserve"> </w:t>
      </w:r>
      <w:r>
        <w:t>associated</w:t>
      </w:r>
      <w:r>
        <w:rPr>
          <w:spacing w:val="-4"/>
        </w:rPr>
        <w:t xml:space="preserve"> </w:t>
      </w:r>
      <w:r>
        <w:t>hierarchical</w:t>
      </w:r>
      <w:r>
        <w:rPr>
          <w:spacing w:val="-4"/>
        </w:rPr>
        <w:t xml:space="preserve"> </w:t>
      </w:r>
      <w:r>
        <w:t>list</w:t>
      </w:r>
      <w:r>
        <w:rPr>
          <w:spacing w:val="-3"/>
        </w:rPr>
        <w:t xml:space="preserve"> </w:t>
      </w:r>
      <w:r>
        <w:t>of</w:t>
      </w:r>
      <w:r>
        <w:rPr>
          <w:spacing w:val="-3"/>
        </w:rPr>
        <w:t xml:space="preserve"> </w:t>
      </w:r>
      <w:r>
        <w:t>data sources for this information.</w:t>
      </w:r>
    </w:p>
    <w:p w:rsidR="00C31389" w:rsidRDefault="00C31389" w14:paraId="405991F8" w14:textId="77777777">
      <w:pPr>
        <w:pStyle w:val="BodyText"/>
        <w:spacing w:before="4"/>
        <w:rPr>
          <w:sz w:val="31"/>
        </w:rPr>
      </w:pPr>
    </w:p>
    <w:p w:rsidR="00C31389" w:rsidRDefault="00561FBD" w14:paraId="4741BE1F" w14:textId="77777777">
      <w:pPr>
        <w:pStyle w:val="Heading8"/>
        <w:numPr>
          <w:ilvl w:val="3"/>
          <w:numId w:val="71"/>
        </w:numPr>
        <w:tabs>
          <w:tab w:val="left" w:pos="1212"/>
        </w:tabs>
        <w:ind w:left="1212" w:hanging="732"/>
      </w:pPr>
      <w:bookmarkStart w:name="3.2.2.1_Energy_Use" w:id="168"/>
      <w:bookmarkEnd w:id="168"/>
      <w:r>
        <w:t>Energy</w:t>
      </w:r>
      <w:r>
        <w:rPr>
          <w:spacing w:val="-10"/>
        </w:rPr>
        <w:t xml:space="preserve"> </w:t>
      </w:r>
      <w:r>
        <w:rPr>
          <w:spacing w:val="-5"/>
        </w:rPr>
        <w:t>Use</w:t>
      </w:r>
    </w:p>
    <w:p w:rsidR="00C31389" w:rsidRDefault="00C31389" w14:paraId="40277BBC" w14:textId="77777777">
      <w:pPr>
        <w:pStyle w:val="BodyText"/>
        <w:spacing w:before="10"/>
        <w:rPr>
          <w:b/>
          <w:i/>
          <w:sz w:val="20"/>
        </w:rPr>
      </w:pPr>
    </w:p>
    <w:p w:rsidR="00C31389" w:rsidRDefault="00561FBD" w14:paraId="45C2B848" w14:textId="77777777">
      <w:pPr>
        <w:pStyle w:val="BodyText"/>
        <w:ind w:left="480" w:right="491"/>
      </w:pPr>
      <w:r>
        <w:t>Energy use is a key input for technology characterization. The technology-based approach follow</w:t>
      </w:r>
      <w:r>
        <w:t>ed in this study requires that the energy use associated with each technology level be specified relative to the baseline level of the technology group in which the technology competes. If the measure is an early retirement measure (i.e. efficient equipmen</w:t>
      </w:r>
      <w:r>
        <w:t>t replacing old equipment before the end of its life) or a retrofit component being added on to existing equipment, the baseline</w:t>
      </w:r>
      <w:r>
        <w:rPr>
          <w:spacing w:val="-1"/>
        </w:rPr>
        <w:t xml:space="preserve"> </w:t>
      </w:r>
      <w:r>
        <w:t>is typically considered to</w:t>
      </w:r>
      <w:r>
        <w:rPr>
          <w:spacing w:val="-1"/>
        </w:rPr>
        <w:t xml:space="preserve"> </w:t>
      </w:r>
      <w:r>
        <w:t>be at the average efficiency of that equipment type currently existing in homes or buildings (termed</w:t>
      </w:r>
      <w:r>
        <w:t xml:space="preserve"> “average existing”). If the measure is replacing burned-out equipment or being installed in new construction, the baseline is considered</w:t>
      </w:r>
      <w:r>
        <w:rPr>
          <w:spacing w:val="-3"/>
        </w:rPr>
        <w:t xml:space="preserve"> </w:t>
      </w:r>
      <w:r>
        <w:t>to</w:t>
      </w:r>
      <w:r>
        <w:rPr>
          <w:spacing w:val="-3"/>
        </w:rPr>
        <w:t xml:space="preserve"> </w:t>
      </w:r>
      <w:r>
        <w:t>be</w:t>
      </w:r>
      <w:r>
        <w:rPr>
          <w:spacing w:val="-3"/>
        </w:rPr>
        <w:t xml:space="preserve"> </w:t>
      </w:r>
      <w:r>
        <w:t>the</w:t>
      </w:r>
      <w:r>
        <w:rPr>
          <w:spacing w:val="-3"/>
        </w:rPr>
        <w:t xml:space="preserve"> </w:t>
      </w:r>
      <w:r>
        <w:t>minimally</w:t>
      </w:r>
      <w:r>
        <w:rPr>
          <w:spacing w:val="-3"/>
        </w:rPr>
        <w:t xml:space="preserve"> </w:t>
      </w:r>
      <w:r>
        <w:t>code-compliant</w:t>
      </w:r>
      <w:r>
        <w:rPr>
          <w:spacing w:val="-3"/>
        </w:rPr>
        <w:t xml:space="preserve"> </w:t>
      </w:r>
      <w:r>
        <w:t>efficiency</w:t>
      </w:r>
      <w:r>
        <w:rPr>
          <w:spacing w:val="-3"/>
        </w:rPr>
        <w:t xml:space="preserve"> </w:t>
      </w:r>
      <w:r>
        <w:t>level,</w:t>
      </w:r>
      <w:r>
        <w:rPr>
          <w:spacing w:val="-3"/>
        </w:rPr>
        <w:t xml:space="preserve"> </w:t>
      </w:r>
      <w:r>
        <w:t>because</w:t>
      </w:r>
      <w:r>
        <w:rPr>
          <w:spacing w:val="-3"/>
        </w:rPr>
        <w:t xml:space="preserve"> </w:t>
      </w:r>
      <w:r>
        <w:t>that</w:t>
      </w:r>
      <w:r>
        <w:rPr>
          <w:spacing w:val="-3"/>
        </w:rPr>
        <w:t xml:space="preserve"> </w:t>
      </w:r>
      <w:r>
        <w:t>is</w:t>
      </w:r>
      <w:r>
        <w:rPr>
          <w:spacing w:val="-3"/>
        </w:rPr>
        <w:t xml:space="preserve"> </w:t>
      </w:r>
      <w:r>
        <w:t>the</w:t>
      </w:r>
      <w:r>
        <w:rPr>
          <w:spacing w:val="-3"/>
        </w:rPr>
        <w:t xml:space="preserve"> </w:t>
      </w:r>
      <w:r>
        <w:t>least</w:t>
      </w:r>
      <w:r>
        <w:rPr>
          <w:spacing w:val="-3"/>
        </w:rPr>
        <w:t xml:space="preserve"> </w:t>
      </w:r>
      <w:r>
        <w:t>efficient equipment that could be purch</w:t>
      </w:r>
      <w:r>
        <w:t>ased.</w:t>
      </w:r>
    </w:p>
    <w:p w:rsidR="00C31389" w:rsidRDefault="00C31389" w14:paraId="5A248BF4" w14:textId="77777777">
      <w:pPr>
        <w:pStyle w:val="BodyText"/>
        <w:spacing w:before="10"/>
        <w:rPr>
          <w:sz w:val="20"/>
        </w:rPr>
      </w:pPr>
    </w:p>
    <w:p w:rsidR="00C31389" w:rsidRDefault="00561FBD" w14:paraId="4719FBC3" w14:textId="77777777">
      <w:pPr>
        <w:pStyle w:val="BodyText"/>
        <w:ind w:left="479" w:right="533"/>
      </w:pPr>
      <w:r>
        <w:t>Unit energy use is specified in kWh for electric technologies and in therms for gas-fueled technologies.</w:t>
      </w:r>
      <w:r>
        <w:rPr>
          <w:spacing w:val="-2"/>
        </w:rPr>
        <w:t xml:space="preserve"> </w:t>
      </w:r>
      <w:r>
        <w:t>For</w:t>
      </w:r>
      <w:r>
        <w:rPr>
          <w:spacing w:val="-2"/>
        </w:rPr>
        <w:t xml:space="preserve"> </w:t>
      </w:r>
      <w:r>
        <w:t>dual</w:t>
      </w:r>
      <w:r>
        <w:rPr>
          <w:spacing w:val="-2"/>
        </w:rPr>
        <w:t xml:space="preserve"> </w:t>
      </w:r>
      <w:r>
        <w:t>fuel</w:t>
      </w:r>
      <w:r>
        <w:rPr>
          <w:spacing w:val="-2"/>
        </w:rPr>
        <w:t xml:space="preserve"> </w:t>
      </w:r>
      <w:r>
        <w:t>technologies</w:t>
      </w:r>
      <w:r>
        <w:rPr>
          <w:spacing w:val="-2"/>
        </w:rPr>
        <w:t xml:space="preserve"> </w:t>
      </w:r>
      <w:r>
        <w:t>that</w:t>
      </w:r>
      <w:r>
        <w:rPr>
          <w:spacing w:val="-2"/>
        </w:rPr>
        <w:t xml:space="preserve"> </w:t>
      </w:r>
      <w:r>
        <w:t>can</w:t>
      </w:r>
      <w:r>
        <w:rPr>
          <w:spacing w:val="-2"/>
        </w:rPr>
        <w:t xml:space="preserve"> </w:t>
      </w:r>
      <w:r>
        <w:t>achieve</w:t>
      </w:r>
      <w:r>
        <w:rPr>
          <w:spacing w:val="-2"/>
        </w:rPr>
        <w:t xml:space="preserve"> </w:t>
      </w:r>
      <w:r>
        <w:t>both</w:t>
      </w:r>
      <w:r>
        <w:rPr>
          <w:spacing w:val="-2"/>
        </w:rPr>
        <w:t xml:space="preserve"> </w:t>
      </w:r>
      <w:r>
        <w:t>electric</w:t>
      </w:r>
      <w:r>
        <w:rPr>
          <w:spacing w:val="-3"/>
        </w:rPr>
        <w:t xml:space="preserve"> </w:t>
      </w:r>
      <w:r>
        <w:t>and</w:t>
      </w:r>
      <w:r>
        <w:rPr>
          <w:spacing w:val="-2"/>
        </w:rPr>
        <w:t xml:space="preserve"> </w:t>
      </w:r>
      <w:r>
        <w:t>gas</w:t>
      </w:r>
      <w:r>
        <w:rPr>
          <w:spacing w:val="-2"/>
        </w:rPr>
        <w:t xml:space="preserve"> </w:t>
      </w:r>
      <w:r>
        <w:t>savings</w:t>
      </w:r>
      <w:r>
        <w:rPr>
          <w:spacing w:val="-2"/>
        </w:rPr>
        <w:t xml:space="preserve"> </w:t>
      </w:r>
      <w:r>
        <w:t>such</w:t>
      </w:r>
      <w:r>
        <w:rPr>
          <w:spacing w:val="-2"/>
        </w:rPr>
        <w:t xml:space="preserve"> </w:t>
      </w:r>
      <w:r>
        <w:t>as insulation,</w:t>
      </w:r>
      <w:r>
        <w:rPr>
          <w:spacing w:val="-5"/>
        </w:rPr>
        <w:t xml:space="preserve"> </w:t>
      </w:r>
      <w:r>
        <w:t>both</w:t>
      </w:r>
      <w:r>
        <w:rPr>
          <w:spacing w:val="-4"/>
        </w:rPr>
        <w:t xml:space="preserve"> </w:t>
      </w:r>
      <w:r>
        <w:t>metrics</w:t>
      </w:r>
      <w:r>
        <w:rPr>
          <w:spacing w:val="-5"/>
        </w:rPr>
        <w:t xml:space="preserve"> </w:t>
      </w:r>
      <w:r>
        <w:t>are</w:t>
      </w:r>
      <w:r>
        <w:rPr>
          <w:spacing w:val="-4"/>
        </w:rPr>
        <w:t xml:space="preserve"> </w:t>
      </w:r>
      <w:r>
        <w:t>calculated.</w:t>
      </w:r>
      <w:r>
        <w:rPr>
          <w:spacing w:val="-4"/>
        </w:rPr>
        <w:t xml:space="preserve"> </w:t>
      </w:r>
      <w:r>
        <w:t>Some</w:t>
      </w:r>
      <w:r>
        <w:rPr>
          <w:spacing w:val="-4"/>
        </w:rPr>
        <w:t xml:space="preserve"> </w:t>
      </w:r>
      <w:r>
        <w:t>technologies</w:t>
      </w:r>
      <w:r>
        <w:rPr>
          <w:spacing w:val="-5"/>
        </w:rPr>
        <w:t xml:space="preserve"> </w:t>
      </w:r>
      <w:r>
        <w:t>have</w:t>
      </w:r>
      <w:r>
        <w:rPr>
          <w:spacing w:val="-4"/>
        </w:rPr>
        <w:t xml:space="preserve"> </w:t>
      </w:r>
      <w:r>
        <w:t>interactive</w:t>
      </w:r>
      <w:r>
        <w:rPr>
          <w:spacing w:val="-4"/>
        </w:rPr>
        <w:t xml:space="preserve"> </w:t>
      </w:r>
      <w:r>
        <w:t>effects.</w:t>
      </w:r>
      <w:r>
        <w:rPr>
          <w:spacing w:val="-5"/>
        </w:rPr>
        <w:t xml:space="preserve"> </w:t>
      </w:r>
      <w:r>
        <w:t>An</w:t>
      </w:r>
      <w:r>
        <w:rPr>
          <w:spacing w:val="-4"/>
        </w:rPr>
        <w:t xml:space="preserve"> </w:t>
      </w:r>
      <w:r>
        <w:t>example is energy efficient lighting, which produces less waste heat than inefficient lighting and has additional HVAC energy consumption associated with it. These interactive effects are included in the savings fo</w:t>
      </w:r>
      <w:r>
        <w:t>r the technology characterization.</w:t>
      </w:r>
    </w:p>
    <w:p w:rsidR="00C31389" w:rsidRDefault="00C31389" w14:paraId="4ADC45CD" w14:textId="77777777">
      <w:pPr>
        <w:pStyle w:val="BodyText"/>
        <w:spacing w:before="10"/>
        <w:rPr>
          <w:sz w:val="20"/>
        </w:rPr>
      </w:pPr>
    </w:p>
    <w:p w:rsidR="00C31389" w:rsidRDefault="00561FBD" w14:paraId="7F6E9AC4" w14:textId="77777777">
      <w:pPr>
        <w:pStyle w:val="BodyText"/>
        <w:ind w:left="480" w:right="533"/>
      </w:pPr>
      <w:r>
        <w:t>Electric technologies also require the characterization of coincident peak demand. Effective January 1, 2020, the peak period used to calculate demand impacts in Database for Energy Efficient Resources (DEER) changed per</w:t>
      </w:r>
      <w:r>
        <w:t xml:space="preserve"> DEER Resolution E-4952, published October 11, 2018.</w:t>
      </w:r>
      <w:r>
        <w:rPr>
          <w:spacing w:val="-38"/>
        </w:rPr>
        <w:t xml:space="preserve"> </w:t>
      </w:r>
      <w:hyperlink w:history="1" w:anchor="_bookmark126">
        <w:r>
          <w:rPr>
            <w:position w:val="7"/>
            <w:sz w:val="14"/>
          </w:rPr>
          <w:t>35</w:t>
        </w:r>
      </w:hyperlink>
      <w:r>
        <w:rPr>
          <w:spacing w:val="31"/>
          <w:position w:val="7"/>
          <w:sz w:val="14"/>
        </w:rPr>
        <w:t xml:space="preserve"> </w:t>
      </w:r>
      <w:r>
        <w:t>The Guidehouse team assumed the demand impacts in sources for deemed savings (e.g., approved workpapers and the California eTRM) publi</w:t>
      </w:r>
      <w:r>
        <w:t>shed in 2019 and beyond already incorporated this new peak demand period. For demand data from non-eTRM sources that do not</w:t>
      </w:r>
      <w:r>
        <w:rPr>
          <w:spacing w:val="-3"/>
        </w:rPr>
        <w:t xml:space="preserve"> </w:t>
      </w:r>
      <w:r>
        <w:t>incorporate</w:t>
      </w:r>
      <w:r>
        <w:rPr>
          <w:spacing w:val="-3"/>
        </w:rPr>
        <w:t xml:space="preserve"> </w:t>
      </w:r>
      <w:r>
        <w:t>the</w:t>
      </w:r>
      <w:r>
        <w:rPr>
          <w:spacing w:val="-3"/>
        </w:rPr>
        <w:t xml:space="preserve"> </w:t>
      </w:r>
      <w:r>
        <w:t>peak</w:t>
      </w:r>
      <w:r>
        <w:rPr>
          <w:spacing w:val="-4"/>
        </w:rPr>
        <w:t xml:space="preserve"> </w:t>
      </w:r>
      <w:r>
        <w:t>demand</w:t>
      </w:r>
      <w:r>
        <w:rPr>
          <w:spacing w:val="-3"/>
        </w:rPr>
        <w:t xml:space="preserve"> </w:t>
      </w:r>
      <w:r>
        <w:t>period</w:t>
      </w:r>
      <w:r>
        <w:rPr>
          <w:spacing w:val="-3"/>
        </w:rPr>
        <w:t xml:space="preserve"> </w:t>
      </w:r>
      <w:r>
        <w:t>update</w:t>
      </w:r>
      <w:r>
        <w:rPr>
          <w:spacing w:val="-3"/>
        </w:rPr>
        <w:t xml:space="preserve"> </w:t>
      </w:r>
      <w:r>
        <w:t>(those</w:t>
      </w:r>
      <w:r>
        <w:rPr>
          <w:spacing w:val="-3"/>
        </w:rPr>
        <w:t xml:space="preserve"> </w:t>
      </w:r>
      <w:r>
        <w:t>that</w:t>
      </w:r>
      <w:r>
        <w:rPr>
          <w:spacing w:val="-3"/>
        </w:rPr>
        <w:t xml:space="preserve"> </w:t>
      </w:r>
      <w:r>
        <w:t>have</w:t>
      </w:r>
      <w:r>
        <w:rPr>
          <w:spacing w:val="-3"/>
        </w:rPr>
        <w:t xml:space="preserve"> </w:t>
      </w:r>
      <w:r>
        <w:t>not</w:t>
      </w:r>
      <w:r>
        <w:rPr>
          <w:spacing w:val="-3"/>
        </w:rPr>
        <w:t xml:space="preserve"> </w:t>
      </w:r>
      <w:r>
        <w:t>been</w:t>
      </w:r>
      <w:r>
        <w:rPr>
          <w:spacing w:val="-3"/>
        </w:rPr>
        <w:t xml:space="preserve"> </w:t>
      </w:r>
      <w:r>
        <w:t>updated</w:t>
      </w:r>
      <w:r>
        <w:rPr>
          <w:spacing w:val="-3"/>
        </w:rPr>
        <w:t xml:space="preserve"> </w:t>
      </w:r>
      <w:r>
        <w:t>since</w:t>
      </w:r>
      <w:r>
        <w:rPr>
          <w:spacing w:val="-3"/>
        </w:rPr>
        <w:t xml:space="preserve"> </w:t>
      </w:r>
      <w:r>
        <w:t xml:space="preserve">2018), the team updated the peak demand impacts to be consistent with the new DEER definitions, leveraging available load shape data and prioritizing the use of DEER load shapes when </w:t>
      </w:r>
      <w:r>
        <w:rPr>
          <w:spacing w:val="-2"/>
        </w:rPr>
        <w:t>available.</w:t>
      </w:r>
    </w:p>
    <w:p w:rsidR="00C31389" w:rsidRDefault="00C31389" w14:paraId="5134547A" w14:textId="77777777">
      <w:pPr>
        <w:pStyle w:val="BodyText"/>
        <w:spacing w:before="10"/>
        <w:rPr>
          <w:sz w:val="20"/>
        </w:rPr>
      </w:pPr>
    </w:p>
    <w:p w:rsidR="00C31389" w:rsidRDefault="00561FBD" w14:paraId="5F99AF26" w14:textId="77777777">
      <w:pPr>
        <w:pStyle w:val="BodyText"/>
        <w:ind w:left="480" w:right="533"/>
      </w:pPr>
      <w:r>
        <w:t>Some measures’ energy use varies depending on the climate whe</w:t>
      </w:r>
      <w:r>
        <w:t>re they are located. For example, ACs are operated more frequently in hotter climates and have higher annual energy use</w:t>
      </w:r>
      <w:r>
        <w:rPr>
          <w:spacing w:val="-4"/>
        </w:rPr>
        <w:t xml:space="preserve"> </w:t>
      </w:r>
      <w:r>
        <w:t>in</w:t>
      </w:r>
      <w:r>
        <w:rPr>
          <w:spacing w:val="-4"/>
        </w:rPr>
        <w:t xml:space="preserve"> </w:t>
      </w:r>
      <w:r>
        <w:t>these</w:t>
      </w:r>
      <w:r>
        <w:rPr>
          <w:spacing w:val="-5"/>
        </w:rPr>
        <w:t xml:space="preserve"> </w:t>
      </w:r>
      <w:r>
        <w:t>climates.</w:t>
      </w:r>
      <w:r>
        <w:rPr>
          <w:spacing w:val="-4"/>
        </w:rPr>
        <w:t xml:space="preserve"> </w:t>
      </w:r>
      <w:r>
        <w:t>Previous</w:t>
      </w:r>
      <w:r>
        <w:rPr>
          <w:spacing w:val="-4"/>
        </w:rPr>
        <w:t xml:space="preserve"> </w:t>
      </w:r>
      <w:r>
        <w:t>studies</w:t>
      </w:r>
      <w:r>
        <w:rPr>
          <w:spacing w:val="-4"/>
        </w:rPr>
        <w:t xml:space="preserve"> </w:t>
      </w:r>
      <w:r>
        <w:t>characterized</w:t>
      </w:r>
      <w:r>
        <w:rPr>
          <w:spacing w:val="-4"/>
        </w:rPr>
        <w:t xml:space="preserve"> </w:t>
      </w:r>
      <w:r>
        <w:t>climate-dependent</w:t>
      </w:r>
      <w:r>
        <w:rPr>
          <w:spacing w:val="-4"/>
        </w:rPr>
        <w:t xml:space="preserve"> </w:t>
      </w:r>
      <w:r>
        <w:t>measures</w:t>
      </w:r>
      <w:r>
        <w:rPr>
          <w:spacing w:val="-4"/>
        </w:rPr>
        <w:t xml:space="preserve"> </w:t>
      </w:r>
      <w:r>
        <w:t>for</w:t>
      </w:r>
      <w:r>
        <w:rPr>
          <w:spacing w:val="-4"/>
        </w:rPr>
        <w:t xml:space="preserve"> </w:t>
      </w:r>
      <w:r>
        <w:t>each</w:t>
      </w:r>
      <w:r>
        <w:rPr>
          <w:spacing w:val="-4"/>
        </w:rPr>
        <w:t xml:space="preserve"> </w:t>
      </w:r>
      <w:r>
        <w:t>of the 16 climate zones that existed in each utili</w:t>
      </w:r>
      <w:r>
        <w:t>ty’s service territory. The model then aggregated</w:t>
      </w:r>
    </w:p>
    <w:p w:rsidR="00C31389" w:rsidRDefault="00561FBD" w14:paraId="25E1350D" w14:textId="77777777">
      <w:pPr>
        <w:pStyle w:val="BodyText"/>
        <w:spacing w:before="7"/>
        <w:rPr>
          <w:sz w:val="15"/>
        </w:rPr>
      </w:pPr>
      <w:r>
        <w:rPr>
          <w:noProof/>
        </w:rPr>
        <mc:AlternateContent>
          <mc:Choice Requires="wps">
            <w:drawing>
              <wp:anchor distT="0" distB="0" distL="0" distR="0" simplePos="0" relativeHeight="487632384" behindDoc="1" locked="0" layoutInCell="1" allowOverlap="1" wp14:editId="1865BE17" wp14:anchorId="1F18E068">
                <wp:simplePos x="0" y="0"/>
                <wp:positionH relativeFrom="page">
                  <wp:posOffset>914400</wp:posOffset>
                </wp:positionH>
                <wp:positionV relativeFrom="paragraph">
                  <wp:posOffset>129426</wp:posOffset>
                </wp:positionV>
                <wp:extent cx="1828800" cy="6985"/>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2" style="position:absolute;margin-left:1in;margin-top:10.2pt;width:2in;height:.55pt;z-index:-1568409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" w14:anchorId="41C704BE">
                <v:path arrowok="t"/>
                <w10:wrap type="topAndBottom" anchorx="page"/>
              </v:shape>
            </w:pict>
          </mc:Fallback>
        </mc:AlternateContent>
      </w:r>
    </w:p>
    <w:p w:rsidR="00C31389" w:rsidRDefault="00561FBD" w14:paraId="4BBCEAF2" w14:textId="77777777">
      <w:pPr>
        <w:spacing w:before="89"/>
        <w:ind w:left="480"/>
        <w:rPr>
          <w:sz w:val="18"/>
        </w:rPr>
      </w:pPr>
      <w:bookmarkStart w:name="_bookmark126" w:id="169"/>
      <w:bookmarkEnd w:id="169"/>
      <w:r>
        <w:rPr>
          <w:position w:val="6"/>
          <w:sz w:val="12"/>
        </w:rPr>
        <w:t>35</w:t>
      </w:r>
      <w:r>
        <w:rPr>
          <w:spacing w:val="15"/>
          <w:position w:val="6"/>
          <w:sz w:val="12"/>
        </w:rPr>
        <w:t xml:space="preserve"> </w:t>
      </w:r>
      <w:hyperlink r:id="rId113">
        <w:r>
          <w:rPr>
            <w:color w:val="68942C"/>
            <w:spacing w:val="-2"/>
            <w:sz w:val="18"/>
            <w:u w:val="single" w:color="68942C"/>
          </w:rPr>
          <w:t>https://docs.cpuc.ca.gov/publisheddocs/published/g000/m232/k459/232459122.pdf</w:t>
        </w:r>
      </w:hyperlink>
    </w:p>
    <w:p w:rsidR="00C31389" w:rsidRDefault="00C31389" w14:paraId="298E1ABC" w14:textId="77777777">
      <w:pPr>
        <w:rPr>
          <w:sz w:val="18"/>
        </w:rPr>
        <w:sectPr w:rsidR="00C31389">
          <w:pgSz w:w="12240" w:h="15840"/>
          <w:pgMar w:top="1660" w:right="960" w:bottom="1120" w:left="960" w:header="397" w:footer="936" w:gutter="0"/>
          <w:cols w:space="720"/>
        </w:sectPr>
      </w:pPr>
    </w:p>
    <w:p w:rsidR="00C31389" w:rsidRDefault="00C31389" w14:paraId="4BA46973" w14:textId="77777777">
      <w:pPr>
        <w:pStyle w:val="BodyText"/>
        <w:spacing w:before="11"/>
        <w:rPr>
          <w:sz w:val="13"/>
        </w:rPr>
      </w:pPr>
    </w:p>
    <w:p w:rsidR="00C31389" w:rsidRDefault="00561FBD" w14:paraId="7D6E41BB" w14:textId="77777777">
      <w:pPr>
        <w:pStyle w:val="BodyText"/>
        <w:spacing w:before="92"/>
        <w:ind w:left="480" w:right="533"/>
      </w:pPr>
      <w:r>
        <w:t>the costs and savings across the climate zones in a pre-processing step before determining overall</w:t>
      </w:r>
      <w:r>
        <w:rPr>
          <w:spacing w:val="-4"/>
        </w:rPr>
        <w:t xml:space="preserve"> </w:t>
      </w:r>
      <w:r>
        <w:t>cost-effectiveness</w:t>
      </w:r>
      <w:r>
        <w:rPr>
          <w:spacing w:val="-4"/>
        </w:rPr>
        <w:t xml:space="preserve"> </w:t>
      </w:r>
      <w:r>
        <w:t>for</w:t>
      </w:r>
      <w:r>
        <w:rPr>
          <w:spacing w:val="-4"/>
        </w:rPr>
        <w:t xml:space="preserve"> </w:t>
      </w:r>
      <w:r>
        <w:t>an</w:t>
      </w:r>
      <w:r>
        <w:rPr>
          <w:spacing w:val="-4"/>
        </w:rPr>
        <w:t xml:space="preserve"> </w:t>
      </w:r>
      <w:r>
        <w:t>IOU</w:t>
      </w:r>
      <w:r>
        <w:rPr>
          <w:spacing w:val="-5"/>
        </w:rPr>
        <w:t xml:space="preserve"> </w:t>
      </w:r>
      <w:r>
        <w:t>territory</w:t>
      </w:r>
      <w:r>
        <w:rPr>
          <w:spacing w:val="-4"/>
        </w:rPr>
        <w:t xml:space="preserve"> </w:t>
      </w:r>
      <w:r>
        <w:t>and</w:t>
      </w:r>
      <w:r>
        <w:rPr>
          <w:spacing w:val="-4"/>
        </w:rPr>
        <w:t xml:space="preserve"> </w:t>
      </w:r>
      <w:r>
        <w:t>assigning</w:t>
      </w:r>
      <w:r>
        <w:rPr>
          <w:spacing w:val="-5"/>
        </w:rPr>
        <w:t xml:space="preserve"> </w:t>
      </w:r>
      <w:r>
        <w:t>achievable</w:t>
      </w:r>
      <w:r>
        <w:rPr>
          <w:spacing w:val="-6"/>
        </w:rPr>
        <w:t xml:space="preserve"> </w:t>
      </w:r>
      <w:r>
        <w:t>potential.</w:t>
      </w:r>
      <w:r>
        <w:rPr>
          <w:spacing w:val="-4"/>
        </w:rPr>
        <w:t xml:space="preserve"> </w:t>
      </w:r>
      <w:r>
        <w:t>This</w:t>
      </w:r>
      <w:r>
        <w:rPr>
          <w:spacing w:val="-4"/>
        </w:rPr>
        <w:t xml:space="preserve"> </w:t>
      </w:r>
      <w:r>
        <w:t xml:space="preserve">approach could result in some measures </w:t>
      </w:r>
      <w:r>
        <w:t>appearing to have lower savings than were achievable because low cost-effectiveness in one region could outweigh high cost-effectiveness in another region, making the entire measure appear nonviable.</w:t>
      </w:r>
    </w:p>
    <w:p w:rsidR="00C31389" w:rsidRDefault="00C31389" w14:paraId="09DCA4CA" w14:textId="77777777">
      <w:pPr>
        <w:pStyle w:val="BodyText"/>
        <w:spacing w:before="10"/>
        <w:rPr>
          <w:sz w:val="20"/>
        </w:rPr>
      </w:pPr>
    </w:p>
    <w:p w:rsidR="00C31389" w:rsidRDefault="00561FBD" w14:paraId="70AA849D" w14:textId="77777777">
      <w:pPr>
        <w:pStyle w:val="BodyText"/>
        <w:spacing w:before="1"/>
        <w:ind w:left="480" w:right="520" w:hanging="1"/>
        <w:rPr>
          <w:sz w:val="14"/>
        </w:rPr>
      </w:pPr>
      <w:r>
        <w:t>As</w:t>
      </w:r>
      <w:r>
        <w:rPr>
          <w:spacing w:val="-3"/>
        </w:rPr>
        <w:t xml:space="preserve"> </w:t>
      </w:r>
      <w:r>
        <w:t>in</w:t>
      </w:r>
      <w:r>
        <w:rPr>
          <w:spacing w:val="-3"/>
        </w:rPr>
        <w:t xml:space="preserve"> </w:t>
      </w:r>
      <w:r>
        <w:t>the</w:t>
      </w:r>
      <w:r>
        <w:rPr>
          <w:spacing w:val="-3"/>
        </w:rPr>
        <w:t xml:space="preserve"> </w:t>
      </w:r>
      <w:r>
        <w:t>2021</w:t>
      </w:r>
      <w:r>
        <w:rPr>
          <w:spacing w:val="-3"/>
        </w:rPr>
        <w:t xml:space="preserve"> </w:t>
      </w:r>
      <w:r>
        <w:t>Study,</w:t>
      </w:r>
      <w:r>
        <w:rPr>
          <w:spacing w:val="-3"/>
        </w:rPr>
        <w:t xml:space="preserve"> </w:t>
      </w:r>
      <w:r>
        <w:t>the</w:t>
      </w:r>
      <w:r>
        <w:rPr>
          <w:spacing w:val="-3"/>
        </w:rPr>
        <w:t xml:space="preserve"> </w:t>
      </w:r>
      <w:r>
        <w:t>Guidehouse</w:t>
      </w:r>
      <w:r>
        <w:rPr>
          <w:spacing w:val="-3"/>
        </w:rPr>
        <w:t xml:space="preserve"> </w:t>
      </w:r>
      <w:r>
        <w:t>team</w:t>
      </w:r>
      <w:r>
        <w:rPr>
          <w:spacing w:val="-4"/>
        </w:rPr>
        <w:t xml:space="preserve"> </w:t>
      </w:r>
      <w:r>
        <w:t>characterized</w:t>
      </w:r>
      <w:r>
        <w:rPr>
          <w:spacing w:val="-3"/>
        </w:rPr>
        <w:t xml:space="preserve"> </w:t>
      </w:r>
      <w:r>
        <w:t>climate-dependent</w:t>
      </w:r>
      <w:r>
        <w:rPr>
          <w:spacing w:val="-3"/>
        </w:rPr>
        <w:t xml:space="preserve"> </w:t>
      </w:r>
      <w:r>
        <w:t>measures</w:t>
      </w:r>
      <w:r>
        <w:rPr>
          <w:spacing w:val="-2"/>
        </w:rPr>
        <w:t xml:space="preserve"> </w:t>
      </w:r>
      <w:r>
        <w:t>in</w:t>
      </w:r>
      <w:r>
        <w:rPr>
          <w:spacing w:val="-3"/>
        </w:rPr>
        <w:t xml:space="preserve"> </w:t>
      </w:r>
      <w:r>
        <w:t>up</w:t>
      </w:r>
      <w:r>
        <w:rPr>
          <w:spacing w:val="-3"/>
        </w:rPr>
        <w:t xml:space="preserve"> </w:t>
      </w:r>
      <w:r>
        <w:t>to three climate regions for each utility: Marine, Hot-Dry, and Cold. The team chose these designations to approximately align with the International Energy Conservation Code regions 3C, 3B, and 4B, respectively, which cov</w:t>
      </w:r>
      <w:r>
        <w:t>er most of the state’s population.</w:t>
      </w:r>
      <w:r>
        <w:rPr>
          <w:spacing w:val="-37"/>
        </w:rPr>
        <w:t xml:space="preserve"> </w:t>
      </w:r>
      <w:hyperlink w:history="1" w:anchor="_bookmark128">
        <w:r>
          <w:rPr>
            <w:position w:val="7"/>
            <w:sz w:val="14"/>
          </w:rPr>
          <w:t>36</w:t>
        </w:r>
      </w:hyperlink>
    </w:p>
    <w:p w:rsidR="00C31389" w:rsidRDefault="00C31389" w14:paraId="58AE73D2" w14:textId="77777777">
      <w:pPr>
        <w:pStyle w:val="BodyText"/>
        <w:spacing w:before="9"/>
        <w:rPr>
          <w:sz w:val="20"/>
        </w:rPr>
      </w:pPr>
    </w:p>
    <w:p w:rsidR="00C31389" w:rsidRDefault="00561FBD" w14:paraId="379E11A3" w14:textId="77777777">
      <w:pPr>
        <w:pStyle w:val="BodyText"/>
        <w:ind w:left="480" w:right="565"/>
      </w:pPr>
      <w:r>
        <w:t>Most</w:t>
      </w:r>
      <w:r>
        <w:rPr>
          <w:spacing w:val="-4"/>
        </w:rPr>
        <w:t xml:space="preserve"> </w:t>
      </w:r>
      <w:r>
        <w:t>California</w:t>
      </w:r>
      <w:r>
        <w:rPr>
          <w:spacing w:val="-4"/>
        </w:rPr>
        <w:t xml:space="preserve"> </w:t>
      </w:r>
      <w:r>
        <w:t>energy</w:t>
      </w:r>
      <w:r>
        <w:rPr>
          <w:spacing w:val="-4"/>
        </w:rPr>
        <w:t xml:space="preserve"> </w:t>
      </w:r>
      <w:r>
        <w:t>data</w:t>
      </w:r>
      <w:r>
        <w:rPr>
          <w:spacing w:val="-4"/>
        </w:rPr>
        <w:t xml:space="preserve"> </w:t>
      </w:r>
      <w:r>
        <w:t>sources</w:t>
      </w:r>
      <w:r>
        <w:rPr>
          <w:spacing w:val="-5"/>
        </w:rPr>
        <w:t xml:space="preserve"> </w:t>
      </w:r>
      <w:r>
        <w:t>provide</w:t>
      </w:r>
      <w:r>
        <w:rPr>
          <w:spacing w:val="-4"/>
        </w:rPr>
        <w:t xml:space="preserve"> </w:t>
      </w:r>
      <w:r>
        <w:t>energy</w:t>
      </w:r>
      <w:r>
        <w:rPr>
          <w:spacing w:val="-4"/>
        </w:rPr>
        <w:t xml:space="preserve"> </w:t>
      </w:r>
      <w:r>
        <w:t>values</w:t>
      </w:r>
      <w:r>
        <w:rPr>
          <w:spacing w:val="-4"/>
        </w:rPr>
        <w:t xml:space="preserve"> </w:t>
      </w:r>
      <w:r>
        <w:t>for</w:t>
      </w:r>
      <w:r>
        <w:rPr>
          <w:spacing w:val="-4"/>
        </w:rPr>
        <w:t xml:space="preserve"> </w:t>
      </w:r>
      <w:r>
        <w:t>climate-dependent</w:t>
      </w:r>
      <w:r>
        <w:rPr>
          <w:spacing w:val="-4"/>
        </w:rPr>
        <w:t xml:space="preserve"> </w:t>
      </w:r>
      <w:r>
        <w:t>measures</w:t>
      </w:r>
      <w:r>
        <w:rPr>
          <w:spacing w:val="-4"/>
        </w:rPr>
        <w:t xml:space="preserve"> </w:t>
      </w:r>
      <w:r>
        <w:t xml:space="preserve">for each of the 16 climate zones. </w:t>
      </w:r>
      <w:hyperlink w:history="1" w:anchor="_bookmark127">
        <w:r>
          <w:t>Table 3-11</w:t>
        </w:r>
      </w:hyperlink>
      <w:r>
        <w:t xml:space="preserve"> shows the mapping the team used to select the appropriate energy value from data sources that calculated energy consumption by climate zone. In the 2023 Study, Guidehouse updated the designated climate zone f</w:t>
      </w:r>
      <w:r>
        <w:t>or SCE Hot-Dry and SCE All from CZ08 to CZ09 because CZ09 was a more representative zone in terms of climate characteristics across all of SCE service territory.</w:t>
      </w:r>
    </w:p>
    <w:p w:rsidR="00C31389" w:rsidRDefault="00C31389" w14:paraId="46176598" w14:textId="77777777">
      <w:pPr>
        <w:pStyle w:val="BodyText"/>
        <w:spacing w:before="10"/>
        <w:rPr>
          <w:sz w:val="20"/>
        </w:rPr>
      </w:pPr>
    </w:p>
    <w:p w:rsidR="00C31389" w:rsidRDefault="00561FBD" w14:paraId="0AA147B9" w14:textId="77777777">
      <w:pPr>
        <w:pStyle w:val="Heading7"/>
        <w:ind w:left="887"/>
      </w:pPr>
      <w:bookmarkStart w:name="_bookmark127" w:id="170"/>
      <w:bookmarkEnd w:id="170"/>
      <w:r>
        <w:t>Table</w:t>
      </w:r>
      <w:r>
        <w:rPr>
          <w:spacing w:val="-6"/>
        </w:rPr>
        <w:t xml:space="preserve"> </w:t>
      </w:r>
      <w:r>
        <w:t>3-11.</w:t>
      </w:r>
      <w:r>
        <w:rPr>
          <w:spacing w:val="-7"/>
        </w:rPr>
        <w:t xml:space="preserve"> </w:t>
      </w:r>
      <w:r>
        <w:t>Map</w:t>
      </w:r>
      <w:r>
        <w:rPr>
          <w:spacing w:val="-6"/>
        </w:rPr>
        <w:t xml:space="preserve"> </w:t>
      </w:r>
      <w:r>
        <w:t>of</w:t>
      </w:r>
      <w:r>
        <w:rPr>
          <w:spacing w:val="-6"/>
        </w:rPr>
        <w:t xml:space="preserve"> </w:t>
      </w:r>
      <w:r>
        <w:t>Climate</w:t>
      </w:r>
      <w:r>
        <w:rPr>
          <w:spacing w:val="-6"/>
        </w:rPr>
        <w:t xml:space="preserve"> </w:t>
      </w:r>
      <w:r>
        <w:t>Region</w:t>
      </w:r>
      <w:r>
        <w:rPr>
          <w:spacing w:val="-6"/>
        </w:rPr>
        <w:t xml:space="preserve"> </w:t>
      </w:r>
      <w:r>
        <w:t>to</w:t>
      </w:r>
      <w:r>
        <w:rPr>
          <w:spacing w:val="-6"/>
        </w:rPr>
        <w:t xml:space="preserve"> </w:t>
      </w:r>
      <w:r>
        <w:t>Designated</w:t>
      </w:r>
      <w:r>
        <w:rPr>
          <w:spacing w:val="-6"/>
        </w:rPr>
        <w:t xml:space="preserve"> </w:t>
      </w:r>
      <w:r>
        <w:t>Climate</w:t>
      </w:r>
      <w:r>
        <w:rPr>
          <w:spacing w:val="-6"/>
        </w:rPr>
        <w:t xml:space="preserve"> </w:t>
      </w:r>
      <w:r>
        <w:t>Zones</w:t>
      </w:r>
      <w:r>
        <w:rPr>
          <w:spacing w:val="-5"/>
        </w:rPr>
        <w:t xml:space="preserve"> </w:t>
      </w:r>
      <w:r>
        <w:t>1-16</w:t>
      </w:r>
      <w:r>
        <w:rPr>
          <w:spacing w:val="-6"/>
        </w:rPr>
        <w:t xml:space="preserve"> </w:t>
      </w:r>
      <w:r>
        <w:t>for</w:t>
      </w:r>
      <w:r>
        <w:rPr>
          <w:spacing w:val="-7"/>
        </w:rPr>
        <w:t xml:space="preserve"> </w:t>
      </w:r>
      <w:r>
        <w:t>Each</w:t>
      </w:r>
      <w:r>
        <w:rPr>
          <w:spacing w:val="-6"/>
        </w:rPr>
        <w:t xml:space="preserve"> </w:t>
      </w:r>
      <w:r>
        <w:rPr>
          <w:spacing w:val="-5"/>
        </w:rPr>
        <w:t>IOU</w:t>
      </w:r>
    </w:p>
    <w:p w:rsidR="00C31389" w:rsidRDefault="00C31389" w14:paraId="68492CF7"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793"/>
        <w:gridCol w:w="1428"/>
        <w:gridCol w:w="1833"/>
        <w:gridCol w:w="1872"/>
        <w:gridCol w:w="2447"/>
      </w:tblGrid>
      <w:tr w:rsidR="00C31389" w14:paraId="798B523F" w14:textId="77777777">
        <w:trPr>
          <w:trHeight w:val="319"/>
        </w:trPr>
        <w:tc>
          <w:tcPr>
            <w:tcW w:w="1793" w:type="dxa"/>
            <w:shd w:val="clear" w:color="auto" w:fill="92D400"/>
          </w:tcPr>
          <w:p w:rsidR="00C31389" w:rsidRDefault="00561FBD" w14:paraId="5A4EF8BD" w14:textId="77777777">
            <w:pPr>
              <w:pStyle w:val="TableParagraph"/>
              <w:ind w:left="129"/>
              <w:rPr>
                <w:b/>
                <w:sz w:val="20"/>
              </w:rPr>
            </w:pPr>
            <w:r>
              <w:rPr>
                <w:b/>
                <w:sz w:val="20"/>
              </w:rPr>
              <w:t>Climate</w:t>
            </w:r>
            <w:r>
              <w:rPr>
                <w:b/>
                <w:spacing w:val="-7"/>
                <w:sz w:val="20"/>
              </w:rPr>
              <w:t xml:space="preserve"> </w:t>
            </w:r>
            <w:r>
              <w:rPr>
                <w:b/>
                <w:spacing w:val="-2"/>
                <w:sz w:val="20"/>
              </w:rPr>
              <w:t>Region</w:t>
            </w:r>
          </w:p>
        </w:tc>
        <w:tc>
          <w:tcPr>
            <w:tcW w:w="1428" w:type="dxa"/>
            <w:shd w:val="clear" w:color="auto" w:fill="92D400"/>
          </w:tcPr>
          <w:p w:rsidR="00C31389" w:rsidRDefault="00561FBD" w14:paraId="22A951EA" w14:textId="77777777">
            <w:pPr>
              <w:pStyle w:val="TableParagraph"/>
              <w:ind w:left="208"/>
              <w:rPr>
                <w:b/>
                <w:sz w:val="20"/>
              </w:rPr>
            </w:pPr>
            <w:r>
              <w:rPr>
                <w:b/>
                <w:spacing w:val="-4"/>
                <w:sz w:val="20"/>
              </w:rPr>
              <w:t>PG&amp;E</w:t>
            </w:r>
          </w:p>
        </w:tc>
        <w:tc>
          <w:tcPr>
            <w:tcW w:w="1833" w:type="dxa"/>
            <w:shd w:val="clear" w:color="auto" w:fill="92D400"/>
          </w:tcPr>
          <w:p w:rsidR="00C31389" w:rsidRDefault="00561FBD" w14:paraId="54B83D06" w14:textId="77777777">
            <w:pPr>
              <w:pStyle w:val="TableParagraph"/>
              <w:ind w:left="652"/>
              <w:rPr>
                <w:b/>
                <w:sz w:val="20"/>
              </w:rPr>
            </w:pPr>
            <w:r>
              <w:rPr>
                <w:b/>
                <w:spacing w:val="-5"/>
                <w:sz w:val="20"/>
              </w:rPr>
              <w:t>SCE</w:t>
            </w:r>
          </w:p>
        </w:tc>
        <w:tc>
          <w:tcPr>
            <w:tcW w:w="1872" w:type="dxa"/>
            <w:shd w:val="clear" w:color="auto" w:fill="92D400"/>
          </w:tcPr>
          <w:p w:rsidR="00C31389" w:rsidRDefault="00561FBD" w14:paraId="3B09DFCE" w14:textId="77777777">
            <w:pPr>
              <w:pStyle w:val="TableParagraph"/>
              <w:ind w:left="626" w:right="678"/>
              <w:jc w:val="center"/>
              <w:rPr>
                <w:b/>
                <w:sz w:val="20"/>
              </w:rPr>
            </w:pPr>
            <w:r>
              <w:rPr>
                <w:b/>
                <w:spacing w:val="-5"/>
                <w:sz w:val="20"/>
              </w:rPr>
              <w:t>SCG</w:t>
            </w:r>
          </w:p>
        </w:tc>
        <w:tc>
          <w:tcPr>
            <w:tcW w:w="2447" w:type="dxa"/>
            <w:shd w:val="clear" w:color="auto" w:fill="92D400"/>
          </w:tcPr>
          <w:p w:rsidR="00C31389" w:rsidRDefault="00561FBD" w14:paraId="04DBA666" w14:textId="77777777">
            <w:pPr>
              <w:pStyle w:val="TableParagraph"/>
              <w:ind w:left="691"/>
              <w:rPr>
                <w:b/>
                <w:sz w:val="20"/>
              </w:rPr>
            </w:pPr>
            <w:r>
              <w:rPr>
                <w:b/>
                <w:spacing w:val="-2"/>
                <w:sz w:val="20"/>
              </w:rPr>
              <w:t>SDG&amp;E</w:t>
            </w:r>
          </w:p>
        </w:tc>
      </w:tr>
      <w:tr w:rsidR="00C31389" w14:paraId="5EEA4702" w14:textId="77777777">
        <w:trPr>
          <w:trHeight w:val="310"/>
        </w:trPr>
        <w:tc>
          <w:tcPr>
            <w:tcW w:w="1793" w:type="dxa"/>
            <w:tcBorders>
              <w:bottom w:val="single" w:color="D9D9D9" w:sz="2" w:space="0"/>
            </w:tcBorders>
          </w:tcPr>
          <w:p w:rsidR="00C31389" w:rsidRDefault="00561FBD" w14:paraId="70DF27C1" w14:textId="77777777">
            <w:pPr>
              <w:pStyle w:val="TableParagraph"/>
              <w:spacing w:before="41"/>
              <w:ind w:left="129"/>
              <w:rPr>
                <w:b/>
                <w:sz w:val="20"/>
              </w:rPr>
            </w:pPr>
            <w:r>
              <w:rPr>
                <w:b/>
                <w:spacing w:val="-2"/>
                <w:sz w:val="20"/>
              </w:rPr>
              <w:t>Marine</w:t>
            </w:r>
          </w:p>
        </w:tc>
        <w:tc>
          <w:tcPr>
            <w:tcW w:w="1428" w:type="dxa"/>
            <w:tcBorders>
              <w:bottom w:val="single" w:color="D9D9D9" w:sz="2" w:space="0"/>
            </w:tcBorders>
          </w:tcPr>
          <w:p w:rsidR="00C31389" w:rsidRDefault="00561FBD" w14:paraId="3C051478" w14:textId="77777777">
            <w:pPr>
              <w:pStyle w:val="TableParagraph"/>
              <w:spacing w:before="41"/>
              <w:ind w:left="208"/>
              <w:rPr>
                <w:sz w:val="20"/>
              </w:rPr>
            </w:pPr>
            <w:r>
              <w:rPr>
                <w:spacing w:val="-4"/>
                <w:sz w:val="20"/>
              </w:rPr>
              <w:t>CZ03</w:t>
            </w:r>
          </w:p>
        </w:tc>
        <w:tc>
          <w:tcPr>
            <w:tcW w:w="1833" w:type="dxa"/>
            <w:tcBorders>
              <w:bottom w:val="single" w:color="D9D9D9" w:sz="2" w:space="0"/>
            </w:tcBorders>
          </w:tcPr>
          <w:p w:rsidR="00C31389" w:rsidRDefault="00561FBD" w14:paraId="29EF1517" w14:textId="77777777">
            <w:pPr>
              <w:pStyle w:val="TableParagraph"/>
              <w:spacing w:before="41"/>
              <w:ind w:left="652"/>
              <w:rPr>
                <w:sz w:val="20"/>
              </w:rPr>
            </w:pPr>
            <w:r>
              <w:rPr>
                <w:spacing w:val="-4"/>
                <w:sz w:val="20"/>
              </w:rPr>
              <w:t>CZ06</w:t>
            </w:r>
          </w:p>
        </w:tc>
        <w:tc>
          <w:tcPr>
            <w:tcW w:w="1872" w:type="dxa"/>
            <w:tcBorders>
              <w:bottom w:val="single" w:color="D9D9D9" w:sz="2" w:space="0"/>
            </w:tcBorders>
          </w:tcPr>
          <w:p w:rsidR="00C31389" w:rsidRDefault="00561FBD" w14:paraId="5408D07F" w14:textId="77777777">
            <w:pPr>
              <w:pStyle w:val="TableParagraph"/>
              <w:spacing w:before="41"/>
              <w:ind w:left="680" w:right="678"/>
              <w:jc w:val="center"/>
              <w:rPr>
                <w:sz w:val="20"/>
              </w:rPr>
            </w:pPr>
            <w:r>
              <w:rPr>
                <w:spacing w:val="-4"/>
                <w:sz w:val="20"/>
              </w:rPr>
              <w:t>CZ06</w:t>
            </w:r>
          </w:p>
        </w:tc>
        <w:tc>
          <w:tcPr>
            <w:tcW w:w="2447" w:type="dxa"/>
            <w:tcBorders>
              <w:bottom w:val="single" w:color="D9D9D9" w:sz="2" w:space="0"/>
            </w:tcBorders>
          </w:tcPr>
          <w:p w:rsidR="00C31389" w:rsidRDefault="00561FBD" w14:paraId="71337A5D" w14:textId="77777777">
            <w:pPr>
              <w:pStyle w:val="TableParagraph"/>
              <w:spacing w:before="41"/>
              <w:ind w:left="692"/>
              <w:rPr>
                <w:sz w:val="20"/>
              </w:rPr>
            </w:pPr>
            <w:r>
              <w:rPr>
                <w:spacing w:val="-4"/>
                <w:sz w:val="20"/>
              </w:rPr>
              <w:t>CZ06</w:t>
            </w:r>
          </w:p>
        </w:tc>
      </w:tr>
      <w:tr w:rsidR="00C31389" w14:paraId="71FCDA1D" w14:textId="77777777">
        <w:trPr>
          <w:trHeight w:val="309"/>
        </w:trPr>
        <w:tc>
          <w:tcPr>
            <w:tcW w:w="1793" w:type="dxa"/>
            <w:tcBorders>
              <w:top w:val="single" w:color="D9D9D9" w:sz="2" w:space="0"/>
              <w:bottom w:val="single" w:color="D9D9D9" w:sz="2" w:space="0"/>
            </w:tcBorders>
          </w:tcPr>
          <w:p w:rsidR="00C31389" w:rsidRDefault="00561FBD" w14:paraId="5CB2F011" w14:textId="77777777">
            <w:pPr>
              <w:pStyle w:val="TableParagraph"/>
              <w:ind w:left="129"/>
              <w:rPr>
                <w:b/>
                <w:sz w:val="20"/>
              </w:rPr>
            </w:pPr>
            <w:r>
              <w:rPr>
                <w:b/>
                <w:spacing w:val="-2"/>
                <w:sz w:val="20"/>
              </w:rPr>
              <w:t>Hot-</w:t>
            </w:r>
            <w:r>
              <w:rPr>
                <w:b/>
                <w:spacing w:val="-5"/>
                <w:sz w:val="20"/>
              </w:rPr>
              <w:t>Dry</w:t>
            </w:r>
          </w:p>
        </w:tc>
        <w:tc>
          <w:tcPr>
            <w:tcW w:w="1428" w:type="dxa"/>
            <w:tcBorders>
              <w:top w:val="single" w:color="D9D9D9" w:sz="2" w:space="0"/>
              <w:bottom w:val="single" w:color="D9D9D9" w:sz="2" w:space="0"/>
            </w:tcBorders>
          </w:tcPr>
          <w:p w:rsidR="00C31389" w:rsidRDefault="00561FBD" w14:paraId="57B09BEF" w14:textId="77777777">
            <w:pPr>
              <w:pStyle w:val="TableParagraph"/>
              <w:ind w:left="208"/>
              <w:rPr>
                <w:sz w:val="20"/>
              </w:rPr>
            </w:pPr>
            <w:r>
              <w:rPr>
                <w:spacing w:val="-4"/>
                <w:sz w:val="20"/>
              </w:rPr>
              <w:t>CZ12</w:t>
            </w:r>
          </w:p>
        </w:tc>
        <w:tc>
          <w:tcPr>
            <w:tcW w:w="1833" w:type="dxa"/>
            <w:tcBorders>
              <w:top w:val="single" w:color="D9D9D9" w:sz="2" w:space="0"/>
              <w:bottom w:val="single" w:color="D9D9D9" w:sz="2" w:space="0"/>
            </w:tcBorders>
          </w:tcPr>
          <w:p w:rsidR="00C31389" w:rsidRDefault="00561FBD" w14:paraId="2D5AFEE9" w14:textId="77777777">
            <w:pPr>
              <w:pStyle w:val="TableParagraph"/>
              <w:ind w:left="652"/>
              <w:rPr>
                <w:sz w:val="20"/>
              </w:rPr>
            </w:pPr>
            <w:r>
              <w:rPr>
                <w:spacing w:val="-4"/>
                <w:sz w:val="20"/>
              </w:rPr>
              <w:t>CZ09</w:t>
            </w:r>
          </w:p>
        </w:tc>
        <w:tc>
          <w:tcPr>
            <w:tcW w:w="1872" w:type="dxa"/>
            <w:tcBorders>
              <w:top w:val="single" w:color="D9D9D9" w:sz="2" w:space="0"/>
              <w:bottom w:val="single" w:color="D9D9D9" w:sz="2" w:space="0"/>
            </w:tcBorders>
          </w:tcPr>
          <w:p w:rsidR="00C31389" w:rsidRDefault="00561FBD" w14:paraId="16F1F761" w14:textId="77777777">
            <w:pPr>
              <w:pStyle w:val="TableParagraph"/>
              <w:ind w:left="680" w:right="678"/>
              <w:jc w:val="center"/>
              <w:rPr>
                <w:sz w:val="20"/>
              </w:rPr>
            </w:pPr>
            <w:r>
              <w:rPr>
                <w:spacing w:val="-4"/>
                <w:sz w:val="20"/>
              </w:rPr>
              <w:t>CZ09</w:t>
            </w:r>
          </w:p>
        </w:tc>
        <w:tc>
          <w:tcPr>
            <w:tcW w:w="2447" w:type="dxa"/>
            <w:tcBorders>
              <w:top w:val="single" w:color="D9D9D9" w:sz="2" w:space="0"/>
              <w:bottom w:val="single" w:color="D9D9D9" w:sz="2" w:space="0"/>
            </w:tcBorders>
          </w:tcPr>
          <w:p w:rsidR="00C31389" w:rsidRDefault="00561FBD" w14:paraId="5BAC09B2" w14:textId="77777777">
            <w:pPr>
              <w:pStyle w:val="TableParagraph"/>
              <w:ind w:left="691"/>
              <w:rPr>
                <w:sz w:val="20"/>
              </w:rPr>
            </w:pPr>
            <w:r>
              <w:rPr>
                <w:spacing w:val="-4"/>
                <w:sz w:val="20"/>
              </w:rPr>
              <w:t>CZ07</w:t>
            </w:r>
          </w:p>
        </w:tc>
      </w:tr>
      <w:tr w:rsidR="00C31389" w14:paraId="004FED56" w14:textId="77777777">
        <w:trPr>
          <w:trHeight w:val="310"/>
        </w:trPr>
        <w:tc>
          <w:tcPr>
            <w:tcW w:w="1793" w:type="dxa"/>
            <w:tcBorders>
              <w:top w:val="single" w:color="D9D9D9" w:sz="2" w:space="0"/>
              <w:bottom w:val="single" w:color="D9D9D9" w:sz="2" w:space="0"/>
            </w:tcBorders>
          </w:tcPr>
          <w:p w:rsidR="00C31389" w:rsidRDefault="00561FBD" w14:paraId="0C486C52" w14:textId="77777777">
            <w:pPr>
              <w:pStyle w:val="TableParagraph"/>
              <w:spacing w:before="41"/>
              <w:ind w:left="129"/>
              <w:rPr>
                <w:b/>
                <w:sz w:val="20"/>
              </w:rPr>
            </w:pPr>
            <w:r>
              <w:rPr>
                <w:b/>
                <w:spacing w:val="-4"/>
                <w:sz w:val="20"/>
              </w:rPr>
              <w:t>Cold</w:t>
            </w:r>
          </w:p>
        </w:tc>
        <w:tc>
          <w:tcPr>
            <w:tcW w:w="1428" w:type="dxa"/>
            <w:tcBorders>
              <w:top w:val="single" w:color="D9D9D9" w:sz="2" w:space="0"/>
              <w:bottom w:val="single" w:color="D9D9D9" w:sz="2" w:space="0"/>
            </w:tcBorders>
          </w:tcPr>
          <w:p w:rsidR="00C31389" w:rsidRDefault="00561FBD" w14:paraId="51703AEA" w14:textId="77777777">
            <w:pPr>
              <w:pStyle w:val="TableParagraph"/>
              <w:spacing w:before="41"/>
              <w:ind w:left="208"/>
              <w:rPr>
                <w:sz w:val="20"/>
              </w:rPr>
            </w:pPr>
            <w:r>
              <w:rPr>
                <w:spacing w:val="-4"/>
                <w:sz w:val="20"/>
              </w:rPr>
              <w:t>CZ16</w:t>
            </w:r>
          </w:p>
        </w:tc>
        <w:tc>
          <w:tcPr>
            <w:tcW w:w="1833" w:type="dxa"/>
            <w:tcBorders>
              <w:top w:val="single" w:color="D9D9D9" w:sz="2" w:space="0"/>
              <w:bottom w:val="single" w:color="D9D9D9" w:sz="2" w:space="0"/>
            </w:tcBorders>
          </w:tcPr>
          <w:p w:rsidR="00C31389" w:rsidRDefault="00561FBD" w14:paraId="5990F487" w14:textId="77777777">
            <w:pPr>
              <w:pStyle w:val="TableParagraph"/>
              <w:spacing w:before="41"/>
              <w:ind w:left="652"/>
              <w:rPr>
                <w:sz w:val="20"/>
              </w:rPr>
            </w:pPr>
            <w:r>
              <w:rPr>
                <w:spacing w:val="-4"/>
                <w:sz w:val="20"/>
              </w:rPr>
              <w:t>CZ16</w:t>
            </w:r>
          </w:p>
        </w:tc>
        <w:tc>
          <w:tcPr>
            <w:tcW w:w="1872" w:type="dxa"/>
            <w:tcBorders>
              <w:top w:val="single" w:color="D9D9D9" w:sz="2" w:space="0"/>
              <w:bottom w:val="single" w:color="D9D9D9" w:sz="2" w:space="0"/>
            </w:tcBorders>
          </w:tcPr>
          <w:p w:rsidR="00C31389" w:rsidRDefault="00561FBD" w14:paraId="2901D0DC" w14:textId="77777777">
            <w:pPr>
              <w:pStyle w:val="TableParagraph"/>
              <w:spacing w:before="41"/>
              <w:ind w:left="680" w:right="678"/>
              <w:jc w:val="center"/>
              <w:rPr>
                <w:sz w:val="20"/>
              </w:rPr>
            </w:pPr>
            <w:r>
              <w:rPr>
                <w:spacing w:val="-4"/>
                <w:sz w:val="20"/>
              </w:rPr>
              <w:t>CZ16</w:t>
            </w:r>
          </w:p>
        </w:tc>
        <w:tc>
          <w:tcPr>
            <w:tcW w:w="2447" w:type="dxa"/>
            <w:tcBorders>
              <w:top w:val="single" w:color="D9D9D9" w:sz="2" w:space="0"/>
              <w:bottom w:val="single" w:color="D9D9D9" w:sz="2" w:space="0"/>
            </w:tcBorders>
          </w:tcPr>
          <w:p w:rsidR="00C31389" w:rsidRDefault="00561FBD" w14:paraId="45B65E64" w14:textId="77777777">
            <w:pPr>
              <w:pStyle w:val="TableParagraph"/>
              <w:spacing w:before="41"/>
              <w:ind w:left="692"/>
              <w:rPr>
                <w:sz w:val="20"/>
              </w:rPr>
            </w:pPr>
            <w:r>
              <w:rPr>
                <w:spacing w:val="-5"/>
                <w:sz w:val="20"/>
              </w:rPr>
              <w:t>N/A</w:t>
            </w:r>
          </w:p>
        </w:tc>
      </w:tr>
      <w:tr w:rsidR="00C31389" w14:paraId="38CAA737" w14:textId="77777777">
        <w:trPr>
          <w:trHeight w:val="540"/>
        </w:trPr>
        <w:tc>
          <w:tcPr>
            <w:tcW w:w="1793" w:type="dxa"/>
            <w:tcBorders>
              <w:top w:val="single" w:color="D9D9D9" w:sz="2" w:space="0"/>
              <w:bottom w:val="single" w:color="000000" w:sz="8" w:space="0"/>
            </w:tcBorders>
          </w:tcPr>
          <w:p w:rsidR="00C31389" w:rsidRDefault="00561FBD" w14:paraId="1550A8E7" w14:textId="77777777">
            <w:pPr>
              <w:pStyle w:val="TableParagraph"/>
              <w:ind w:left="129"/>
              <w:rPr>
                <w:b/>
                <w:sz w:val="20"/>
              </w:rPr>
            </w:pPr>
            <w:r>
              <w:rPr>
                <w:b/>
                <w:spacing w:val="-2"/>
                <w:sz w:val="20"/>
              </w:rPr>
              <w:t>Non-Climate- Dependent*</w:t>
            </w:r>
          </w:p>
        </w:tc>
        <w:tc>
          <w:tcPr>
            <w:tcW w:w="1428" w:type="dxa"/>
            <w:tcBorders>
              <w:top w:val="single" w:color="D9D9D9" w:sz="2" w:space="0"/>
              <w:bottom w:val="single" w:color="000000" w:sz="8" w:space="0"/>
            </w:tcBorders>
          </w:tcPr>
          <w:p w:rsidR="00C31389" w:rsidRDefault="00561FBD" w14:paraId="526C6349" w14:textId="77777777">
            <w:pPr>
              <w:pStyle w:val="TableParagraph"/>
              <w:spacing w:before="155"/>
              <w:ind w:left="208"/>
              <w:rPr>
                <w:sz w:val="20"/>
              </w:rPr>
            </w:pPr>
            <w:r>
              <w:rPr>
                <w:spacing w:val="-4"/>
                <w:sz w:val="20"/>
              </w:rPr>
              <w:t>CZ03</w:t>
            </w:r>
          </w:p>
        </w:tc>
        <w:tc>
          <w:tcPr>
            <w:tcW w:w="1833" w:type="dxa"/>
            <w:tcBorders>
              <w:top w:val="single" w:color="D9D9D9" w:sz="2" w:space="0"/>
              <w:bottom w:val="single" w:color="000000" w:sz="8" w:space="0"/>
            </w:tcBorders>
          </w:tcPr>
          <w:p w:rsidR="00C31389" w:rsidRDefault="00561FBD" w14:paraId="2329C6A9" w14:textId="77777777">
            <w:pPr>
              <w:pStyle w:val="TableParagraph"/>
              <w:spacing w:before="155"/>
              <w:ind w:left="652"/>
              <w:rPr>
                <w:sz w:val="20"/>
              </w:rPr>
            </w:pPr>
            <w:r>
              <w:rPr>
                <w:spacing w:val="-4"/>
                <w:sz w:val="20"/>
              </w:rPr>
              <w:t>CZ09</w:t>
            </w:r>
          </w:p>
        </w:tc>
        <w:tc>
          <w:tcPr>
            <w:tcW w:w="1872" w:type="dxa"/>
            <w:tcBorders>
              <w:top w:val="single" w:color="D9D9D9" w:sz="2" w:space="0"/>
              <w:bottom w:val="single" w:color="000000" w:sz="8" w:space="0"/>
            </w:tcBorders>
          </w:tcPr>
          <w:p w:rsidR="00C31389" w:rsidRDefault="00561FBD" w14:paraId="14B716F7" w14:textId="77777777">
            <w:pPr>
              <w:pStyle w:val="TableParagraph"/>
              <w:spacing w:before="155"/>
              <w:ind w:left="680" w:right="678"/>
              <w:jc w:val="center"/>
              <w:rPr>
                <w:sz w:val="20"/>
              </w:rPr>
            </w:pPr>
            <w:r>
              <w:rPr>
                <w:spacing w:val="-4"/>
                <w:sz w:val="20"/>
              </w:rPr>
              <w:t>CZ09</w:t>
            </w:r>
          </w:p>
        </w:tc>
        <w:tc>
          <w:tcPr>
            <w:tcW w:w="2447" w:type="dxa"/>
            <w:tcBorders>
              <w:top w:val="single" w:color="D9D9D9" w:sz="2" w:space="0"/>
              <w:bottom w:val="single" w:color="000000" w:sz="8" w:space="0"/>
            </w:tcBorders>
          </w:tcPr>
          <w:p w:rsidR="00C31389" w:rsidRDefault="00561FBD" w14:paraId="4EF8C5D7" w14:textId="77777777">
            <w:pPr>
              <w:pStyle w:val="TableParagraph"/>
              <w:spacing w:before="155"/>
              <w:ind w:left="691"/>
              <w:rPr>
                <w:sz w:val="20"/>
              </w:rPr>
            </w:pPr>
            <w:r>
              <w:rPr>
                <w:spacing w:val="-4"/>
                <w:sz w:val="20"/>
              </w:rPr>
              <w:t>CZ07</w:t>
            </w:r>
          </w:p>
        </w:tc>
      </w:tr>
    </w:tbl>
    <w:p w:rsidR="00C31389" w:rsidRDefault="00561FBD" w14:paraId="517DC837" w14:textId="77777777">
      <w:pPr>
        <w:spacing w:before="32"/>
        <w:ind w:left="480"/>
        <w:rPr>
          <w:sz w:val="18"/>
        </w:rPr>
      </w:pPr>
      <w:r>
        <w:rPr>
          <w:sz w:val="18"/>
        </w:rPr>
        <w:t>CZ</w:t>
      </w:r>
      <w:r>
        <w:rPr>
          <w:spacing w:val="-2"/>
          <w:sz w:val="18"/>
        </w:rPr>
        <w:t xml:space="preserve"> </w:t>
      </w:r>
      <w:r>
        <w:rPr>
          <w:sz w:val="18"/>
        </w:rPr>
        <w:t>=</w:t>
      </w:r>
      <w:r>
        <w:rPr>
          <w:spacing w:val="-1"/>
          <w:sz w:val="18"/>
        </w:rPr>
        <w:t xml:space="preserve"> </w:t>
      </w:r>
      <w:r>
        <w:rPr>
          <w:sz w:val="18"/>
        </w:rPr>
        <w:t>climate</w:t>
      </w:r>
      <w:r>
        <w:rPr>
          <w:spacing w:val="-2"/>
          <w:sz w:val="18"/>
        </w:rPr>
        <w:t xml:space="preserve"> </w:t>
      </w:r>
      <w:r>
        <w:rPr>
          <w:spacing w:val="-4"/>
          <w:sz w:val="18"/>
        </w:rPr>
        <w:t>zone</w:t>
      </w:r>
    </w:p>
    <w:p w:rsidR="00C31389" w:rsidRDefault="00561FBD" w14:paraId="6176BAA6" w14:textId="77777777">
      <w:pPr>
        <w:spacing w:before="19"/>
        <w:ind w:left="479" w:right="533"/>
        <w:rPr>
          <w:sz w:val="18"/>
        </w:rPr>
      </w:pPr>
      <w:r>
        <w:rPr>
          <w:sz w:val="18"/>
        </w:rPr>
        <w:t xml:space="preserve">*The Non-Climate-Dependent row shows the mapping used for measures not </w:t>
      </w:r>
      <w:r>
        <w:rPr>
          <w:sz w:val="18"/>
        </w:rPr>
        <w:t>treated as climate-dependent in the 2023</w:t>
      </w:r>
      <w:r>
        <w:rPr>
          <w:spacing w:val="-3"/>
          <w:sz w:val="18"/>
        </w:rPr>
        <w:t xml:space="preserve"> </w:t>
      </w:r>
      <w:r>
        <w:rPr>
          <w:sz w:val="18"/>
        </w:rPr>
        <w:t>Study.</w:t>
      </w:r>
      <w:r>
        <w:rPr>
          <w:spacing w:val="-3"/>
          <w:sz w:val="18"/>
        </w:rPr>
        <w:t xml:space="preserve"> </w:t>
      </w:r>
      <w:r>
        <w:rPr>
          <w:sz w:val="18"/>
        </w:rPr>
        <w:t>Measures</w:t>
      </w:r>
      <w:r>
        <w:rPr>
          <w:spacing w:val="-3"/>
          <w:sz w:val="18"/>
        </w:rPr>
        <w:t xml:space="preserve"> </w:t>
      </w:r>
      <w:r>
        <w:rPr>
          <w:sz w:val="18"/>
        </w:rPr>
        <w:t>were</w:t>
      </w:r>
      <w:r>
        <w:rPr>
          <w:spacing w:val="-3"/>
          <w:sz w:val="18"/>
        </w:rPr>
        <w:t xml:space="preserve"> </w:t>
      </w:r>
      <w:r>
        <w:rPr>
          <w:sz w:val="18"/>
        </w:rPr>
        <w:t>treated</w:t>
      </w:r>
      <w:r>
        <w:rPr>
          <w:spacing w:val="-3"/>
          <w:sz w:val="18"/>
        </w:rPr>
        <w:t xml:space="preserve"> </w:t>
      </w:r>
      <w:r>
        <w:rPr>
          <w:sz w:val="18"/>
        </w:rPr>
        <w:t>this</w:t>
      </w:r>
      <w:r>
        <w:rPr>
          <w:spacing w:val="-3"/>
          <w:sz w:val="18"/>
        </w:rPr>
        <w:t xml:space="preserve"> </w:t>
      </w:r>
      <w:r>
        <w:rPr>
          <w:sz w:val="18"/>
        </w:rPr>
        <w:t>way</w:t>
      </w:r>
      <w:r>
        <w:rPr>
          <w:spacing w:val="-2"/>
          <w:sz w:val="18"/>
        </w:rPr>
        <w:t xml:space="preserve"> </w:t>
      </w:r>
      <w:r>
        <w:rPr>
          <w:sz w:val="18"/>
        </w:rPr>
        <w:t>if</w:t>
      </w:r>
      <w:r>
        <w:rPr>
          <w:spacing w:val="-2"/>
          <w:sz w:val="18"/>
        </w:rPr>
        <w:t xml:space="preserve"> </w:t>
      </w:r>
      <w:r>
        <w:rPr>
          <w:sz w:val="18"/>
        </w:rPr>
        <w:t>their</w:t>
      </w:r>
      <w:r>
        <w:rPr>
          <w:spacing w:val="-3"/>
          <w:sz w:val="18"/>
        </w:rPr>
        <w:t xml:space="preserve"> </w:t>
      </w:r>
      <w:r>
        <w:rPr>
          <w:sz w:val="18"/>
        </w:rPr>
        <w:t>savings</w:t>
      </w:r>
      <w:r>
        <w:rPr>
          <w:spacing w:val="-2"/>
          <w:sz w:val="18"/>
        </w:rPr>
        <w:t xml:space="preserve"> </w:t>
      </w:r>
      <w:r>
        <w:rPr>
          <w:sz w:val="18"/>
        </w:rPr>
        <w:t>did</w:t>
      </w:r>
      <w:r>
        <w:rPr>
          <w:spacing w:val="-3"/>
          <w:sz w:val="18"/>
        </w:rPr>
        <w:t xml:space="preserve"> </w:t>
      </w:r>
      <w:r>
        <w:rPr>
          <w:sz w:val="18"/>
        </w:rPr>
        <w:t>not</w:t>
      </w:r>
      <w:r>
        <w:rPr>
          <w:spacing w:val="-3"/>
          <w:sz w:val="18"/>
        </w:rPr>
        <w:t xml:space="preserve"> </w:t>
      </w:r>
      <w:r>
        <w:rPr>
          <w:sz w:val="18"/>
        </w:rPr>
        <w:t>vary</w:t>
      </w:r>
      <w:r>
        <w:rPr>
          <w:spacing w:val="-3"/>
          <w:sz w:val="18"/>
        </w:rPr>
        <w:t xml:space="preserve"> </w:t>
      </w:r>
      <w:r>
        <w:rPr>
          <w:sz w:val="18"/>
        </w:rPr>
        <w:t>significantly</w:t>
      </w:r>
      <w:r>
        <w:rPr>
          <w:spacing w:val="-3"/>
          <w:sz w:val="18"/>
        </w:rPr>
        <w:t xml:space="preserve"> </w:t>
      </w:r>
      <w:r>
        <w:rPr>
          <w:sz w:val="18"/>
        </w:rPr>
        <w:t>across</w:t>
      </w:r>
      <w:r>
        <w:rPr>
          <w:spacing w:val="-3"/>
          <w:sz w:val="18"/>
        </w:rPr>
        <w:t xml:space="preserve"> </w:t>
      </w:r>
      <w:r>
        <w:rPr>
          <w:sz w:val="18"/>
        </w:rPr>
        <w:t>climate</w:t>
      </w:r>
      <w:r>
        <w:rPr>
          <w:spacing w:val="-3"/>
          <w:sz w:val="18"/>
        </w:rPr>
        <w:t xml:space="preserve"> </w:t>
      </w:r>
      <w:r>
        <w:rPr>
          <w:sz w:val="18"/>
        </w:rPr>
        <w:t>regions,</w:t>
      </w:r>
      <w:r>
        <w:rPr>
          <w:spacing w:val="-3"/>
          <w:sz w:val="18"/>
        </w:rPr>
        <w:t xml:space="preserve"> </w:t>
      </w:r>
      <w:r>
        <w:rPr>
          <w:sz w:val="18"/>
        </w:rPr>
        <w:t>but</w:t>
      </w:r>
      <w:r>
        <w:rPr>
          <w:spacing w:val="-3"/>
          <w:sz w:val="18"/>
        </w:rPr>
        <w:t xml:space="preserve"> </w:t>
      </w:r>
      <w:r>
        <w:rPr>
          <w:sz w:val="18"/>
        </w:rPr>
        <w:t>the data source had climate zone-specific savings. An example is lighting measures with interactive effec</w:t>
      </w:r>
      <w:r>
        <w:rPr>
          <w:sz w:val="18"/>
        </w:rPr>
        <w:t>ts varying slightly across climate zones. For simplification purposes, the Guidehouse team did not characterize this measure separately for individual climate regions and chose the deemed savings value corresponding to the climate zone in the Non-Climate-D</w:t>
      </w:r>
      <w:r>
        <w:rPr>
          <w:sz w:val="18"/>
        </w:rPr>
        <w:t>ependent row.</w:t>
      </w:r>
    </w:p>
    <w:p w:rsidR="00C31389" w:rsidRDefault="00561FBD" w14:paraId="22E355E3" w14:textId="77777777">
      <w:pPr>
        <w:spacing w:before="60"/>
        <w:ind w:left="479"/>
        <w:rPr>
          <w:i/>
          <w:sz w:val="18"/>
        </w:rPr>
      </w:pPr>
      <w:r>
        <w:rPr>
          <w:i/>
          <w:sz w:val="18"/>
        </w:rPr>
        <w:t>Source:</w:t>
      </w:r>
      <w:r>
        <w:rPr>
          <w:i/>
          <w:spacing w:val="-4"/>
          <w:sz w:val="18"/>
        </w:rPr>
        <w:t xml:space="preserve"> </w:t>
      </w:r>
      <w:r>
        <w:rPr>
          <w:i/>
          <w:spacing w:val="-2"/>
          <w:sz w:val="18"/>
        </w:rPr>
        <w:t>Guidehouse</w:t>
      </w:r>
    </w:p>
    <w:p w:rsidR="00C31389" w:rsidRDefault="00C31389" w14:paraId="0662A84E" w14:textId="77777777">
      <w:pPr>
        <w:pStyle w:val="BodyText"/>
        <w:spacing w:before="10"/>
        <w:rPr>
          <w:i/>
          <w:sz w:val="20"/>
        </w:rPr>
      </w:pPr>
    </w:p>
    <w:p w:rsidR="00C31389" w:rsidRDefault="00561FBD" w14:paraId="11DF6CB7" w14:textId="77777777">
      <w:pPr>
        <w:pStyle w:val="BodyText"/>
        <w:ind w:left="479" w:right="533"/>
      </w:pPr>
      <w:r>
        <w:t>The team characterized climate-dependent measures separately for each climate region and appended the climate region name to the measure name. The climate-specific measures were considered</w:t>
      </w:r>
      <w:r>
        <w:rPr>
          <w:spacing w:val="-5"/>
        </w:rPr>
        <w:t xml:space="preserve"> </w:t>
      </w:r>
      <w:r>
        <w:t>as</w:t>
      </w:r>
      <w:r>
        <w:rPr>
          <w:spacing w:val="-4"/>
        </w:rPr>
        <w:t xml:space="preserve"> </w:t>
      </w:r>
      <w:r>
        <w:t>entirely</w:t>
      </w:r>
      <w:r>
        <w:rPr>
          <w:spacing w:val="-5"/>
        </w:rPr>
        <w:t xml:space="preserve"> </w:t>
      </w:r>
      <w:r>
        <w:t>separate</w:t>
      </w:r>
      <w:r>
        <w:rPr>
          <w:spacing w:val="-4"/>
        </w:rPr>
        <w:t xml:space="preserve"> </w:t>
      </w:r>
      <w:r>
        <w:t>measures</w:t>
      </w:r>
      <w:r>
        <w:rPr>
          <w:spacing w:val="-4"/>
        </w:rPr>
        <w:t xml:space="preserve"> </w:t>
      </w:r>
      <w:r>
        <w:t>throughout</w:t>
      </w:r>
      <w:r>
        <w:rPr>
          <w:spacing w:val="-4"/>
        </w:rPr>
        <w:t xml:space="preserve"> </w:t>
      </w:r>
      <w:r>
        <w:t>the</w:t>
      </w:r>
      <w:r>
        <w:rPr>
          <w:spacing w:val="-4"/>
        </w:rPr>
        <w:t xml:space="preserve"> </w:t>
      </w:r>
      <w:r>
        <w:t>analysis</w:t>
      </w:r>
      <w:r>
        <w:rPr>
          <w:spacing w:val="-4"/>
        </w:rPr>
        <w:t xml:space="preserve"> </w:t>
      </w:r>
      <w:r>
        <w:t>(e.g.,</w:t>
      </w:r>
      <w:r>
        <w:rPr>
          <w:spacing w:val="-4"/>
        </w:rPr>
        <w:t xml:space="preserve"> </w:t>
      </w:r>
      <w:r>
        <w:t>Packaged/Split</w:t>
      </w:r>
      <w:r>
        <w:rPr>
          <w:spacing w:val="-4"/>
        </w:rPr>
        <w:t xml:space="preserve"> </w:t>
      </w:r>
      <w:r>
        <w:t>System AC (SEER 16) – Marine). The model does not aggregate the costs and savings across the climate zones, which allows it to consider a measure’s cost-effectiveness independently for each climate reg</w:t>
      </w:r>
      <w:r>
        <w:t>ion.</w:t>
      </w:r>
    </w:p>
    <w:p w:rsidR="00C31389" w:rsidRDefault="00C31389" w14:paraId="435A5AAF" w14:textId="77777777">
      <w:pPr>
        <w:pStyle w:val="BodyText"/>
        <w:spacing w:before="4"/>
        <w:rPr>
          <w:sz w:val="31"/>
        </w:rPr>
      </w:pPr>
    </w:p>
    <w:p w:rsidR="00C31389" w:rsidRDefault="00561FBD" w14:paraId="7C55B9DF" w14:textId="77777777">
      <w:pPr>
        <w:pStyle w:val="Heading8"/>
        <w:numPr>
          <w:ilvl w:val="3"/>
          <w:numId w:val="71"/>
        </w:numPr>
        <w:tabs>
          <w:tab w:val="left" w:pos="1211"/>
        </w:tabs>
        <w:ind w:left="1211" w:hanging="732"/>
      </w:pPr>
      <w:bookmarkStart w:name="3.2.2.2_Equipment_Costs" w:id="171"/>
      <w:bookmarkEnd w:id="171"/>
      <w:r>
        <w:t>Equipment</w:t>
      </w:r>
      <w:r>
        <w:rPr>
          <w:spacing w:val="-13"/>
        </w:rPr>
        <w:t xml:space="preserve"> </w:t>
      </w:r>
      <w:r>
        <w:rPr>
          <w:spacing w:val="-2"/>
        </w:rPr>
        <w:t>Costs</w:t>
      </w:r>
    </w:p>
    <w:p w:rsidR="00C31389" w:rsidRDefault="00C31389" w14:paraId="7FC89918" w14:textId="77777777">
      <w:pPr>
        <w:pStyle w:val="BodyText"/>
        <w:spacing w:before="9"/>
        <w:rPr>
          <w:b/>
          <w:i/>
          <w:sz w:val="20"/>
        </w:rPr>
      </w:pPr>
    </w:p>
    <w:p w:rsidR="00C31389" w:rsidRDefault="00561FBD" w14:paraId="4DA61BF0" w14:textId="77777777">
      <w:pPr>
        <w:pStyle w:val="BodyText"/>
        <w:ind w:left="479"/>
      </w:pPr>
      <w:r>
        <w:t>The</w:t>
      </w:r>
      <w:r>
        <w:rPr>
          <w:spacing w:val="-4"/>
        </w:rPr>
        <w:t xml:space="preserve"> </w:t>
      </w:r>
      <w:r>
        <w:t>measure</w:t>
      </w:r>
      <w:r>
        <w:rPr>
          <w:spacing w:val="-4"/>
        </w:rPr>
        <w:t xml:space="preserve"> </w:t>
      </w:r>
      <w:r>
        <w:t>characterization</w:t>
      </w:r>
      <w:r>
        <w:rPr>
          <w:spacing w:val="-4"/>
        </w:rPr>
        <w:t xml:space="preserve"> </w:t>
      </w:r>
      <w:r>
        <w:t>database</w:t>
      </w:r>
      <w:r>
        <w:rPr>
          <w:spacing w:val="-4"/>
        </w:rPr>
        <w:t xml:space="preserve"> </w:t>
      </w:r>
      <w:r>
        <w:t>requires</w:t>
      </w:r>
      <w:r>
        <w:rPr>
          <w:spacing w:val="-5"/>
        </w:rPr>
        <w:t xml:space="preserve"> </w:t>
      </w:r>
      <w:r>
        <w:t>specification</w:t>
      </w:r>
      <w:r>
        <w:rPr>
          <w:spacing w:val="-4"/>
        </w:rPr>
        <w:t xml:space="preserve"> </w:t>
      </w:r>
      <w:r>
        <w:t>of</w:t>
      </w:r>
      <w:r>
        <w:rPr>
          <w:spacing w:val="-4"/>
        </w:rPr>
        <w:t xml:space="preserve"> </w:t>
      </w:r>
      <w:r>
        <w:t>equipment</w:t>
      </w:r>
      <w:r>
        <w:rPr>
          <w:spacing w:val="-4"/>
        </w:rPr>
        <w:t xml:space="preserve"> </w:t>
      </w:r>
      <w:r>
        <w:t>costs,</w:t>
      </w:r>
      <w:r>
        <w:rPr>
          <w:spacing w:val="-4"/>
        </w:rPr>
        <w:t xml:space="preserve"> </w:t>
      </w:r>
      <w:r>
        <w:t>which</w:t>
      </w:r>
      <w:r>
        <w:rPr>
          <w:spacing w:val="-4"/>
        </w:rPr>
        <w:t xml:space="preserve"> </w:t>
      </w:r>
      <w:r>
        <w:t>include material costs, labor costs for installation, and repair costs where applicable. Like energy</w:t>
      </w:r>
    </w:p>
    <w:p w:rsidR="00C31389" w:rsidRDefault="00561FBD" w14:paraId="788AA784" w14:textId="77777777">
      <w:pPr>
        <w:pStyle w:val="BodyText"/>
        <w:spacing w:before="10"/>
        <w:rPr>
          <w:sz w:val="27"/>
        </w:rPr>
      </w:pPr>
      <w:r>
        <w:rPr>
          <w:noProof/>
        </w:rPr>
        <mc:AlternateContent>
          <mc:Choice Requires="wps">
            <w:drawing>
              <wp:anchor distT="0" distB="0" distL="0" distR="0" simplePos="0" relativeHeight="487632896" behindDoc="1" locked="0" layoutInCell="1" allowOverlap="1" wp14:editId="5E51294C" wp14:anchorId="123A36B3">
                <wp:simplePos x="0" y="0"/>
                <wp:positionH relativeFrom="page">
                  <wp:posOffset>914400</wp:posOffset>
                </wp:positionH>
                <wp:positionV relativeFrom="paragraph">
                  <wp:posOffset>219140</wp:posOffset>
                </wp:positionV>
                <wp:extent cx="1828800" cy="6985"/>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3" style="position:absolute;margin-left:1in;margin-top:17.25pt;width:2in;height:.55pt;z-index:-1568358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" w14:anchorId="32D2A564">
                <v:path arrowok="t"/>
                <w10:wrap type="topAndBottom" anchorx="page"/>
              </v:shape>
            </w:pict>
          </mc:Fallback>
        </mc:AlternateContent>
      </w:r>
    </w:p>
    <w:p w:rsidR="00C31389" w:rsidRDefault="00561FBD" w14:paraId="7A497147" w14:textId="77777777">
      <w:pPr>
        <w:spacing w:before="88"/>
        <w:ind w:left="480" w:right="533"/>
        <w:rPr>
          <w:sz w:val="18"/>
        </w:rPr>
      </w:pPr>
      <w:bookmarkStart w:name="_bookmark128" w:id="172"/>
      <w:bookmarkEnd w:id="172"/>
      <w:r>
        <w:rPr>
          <w:position w:val="6"/>
          <w:sz w:val="12"/>
        </w:rPr>
        <w:t>36</w:t>
      </w:r>
      <w:r>
        <w:rPr>
          <w:spacing w:val="11"/>
          <w:position w:val="6"/>
          <w:sz w:val="12"/>
        </w:rPr>
        <w:t xml:space="preserve"> </w:t>
      </w:r>
      <w:r>
        <w:rPr>
          <w:sz w:val="18"/>
        </w:rPr>
        <w:t>See</w:t>
      </w:r>
      <w:r>
        <w:rPr>
          <w:spacing w:val="-6"/>
          <w:sz w:val="18"/>
        </w:rPr>
        <w:t xml:space="preserve"> </w:t>
      </w:r>
      <w:hyperlink r:id="rId114">
        <w:r>
          <w:rPr>
            <w:color w:val="68942C"/>
            <w:sz w:val="18"/>
            <w:u w:val="single" w:color="68942C"/>
          </w:rPr>
          <w:t>https://www.energy.gov/sites/prod/files/2015/10/f27/ba_climate_region_guide_7.3.pdf</w:t>
        </w:r>
      </w:hyperlink>
      <w:r>
        <w:rPr>
          <w:color w:val="68942C"/>
          <w:spacing w:val="-5"/>
          <w:sz w:val="18"/>
        </w:rPr>
        <w:t xml:space="preserve"> </w:t>
      </w:r>
      <w:r>
        <w:rPr>
          <w:sz w:val="18"/>
        </w:rPr>
        <w:t>for</w:t>
      </w:r>
      <w:r>
        <w:rPr>
          <w:spacing w:val="-6"/>
          <w:sz w:val="18"/>
        </w:rPr>
        <w:t xml:space="preserve"> </w:t>
      </w:r>
      <w:r>
        <w:rPr>
          <w:sz w:val="18"/>
        </w:rPr>
        <w:t>a</w:t>
      </w:r>
      <w:r>
        <w:rPr>
          <w:spacing w:val="-6"/>
          <w:sz w:val="18"/>
        </w:rPr>
        <w:t xml:space="preserve"> </w:t>
      </w:r>
      <w:r>
        <w:rPr>
          <w:sz w:val="18"/>
        </w:rPr>
        <w:t>map</w:t>
      </w:r>
      <w:r>
        <w:rPr>
          <w:spacing w:val="-6"/>
          <w:sz w:val="18"/>
        </w:rPr>
        <w:t xml:space="preserve"> </w:t>
      </w:r>
      <w:r>
        <w:rPr>
          <w:sz w:val="18"/>
        </w:rPr>
        <w:t>of</w:t>
      </w:r>
      <w:r>
        <w:rPr>
          <w:spacing w:val="-6"/>
          <w:sz w:val="18"/>
        </w:rPr>
        <w:t xml:space="preserve"> </w:t>
      </w:r>
      <w:r>
        <w:rPr>
          <w:sz w:val="18"/>
        </w:rPr>
        <w:t xml:space="preserve">the </w:t>
      </w:r>
      <w:r>
        <w:rPr>
          <w:sz w:val="18"/>
        </w:rPr>
        <w:t>International Energy Conservation Code climate zones.</w:t>
      </w:r>
    </w:p>
    <w:p w:rsidR="00C31389" w:rsidRDefault="00C31389" w14:paraId="6E8BBA95" w14:textId="77777777">
      <w:pPr>
        <w:rPr>
          <w:sz w:val="18"/>
        </w:rPr>
        <w:sectPr w:rsidR="00C31389">
          <w:pgSz w:w="12240" w:h="15840"/>
          <w:pgMar w:top="1660" w:right="960" w:bottom="1120" w:left="960" w:header="397" w:footer="936" w:gutter="0"/>
          <w:cols w:space="720"/>
        </w:sectPr>
      </w:pPr>
    </w:p>
    <w:p w:rsidR="00C31389" w:rsidRDefault="00C31389" w14:paraId="0181E7D5" w14:textId="77777777">
      <w:pPr>
        <w:pStyle w:val="BodyText"/>
        <w:spacing w:before="11"/>
        <w:rPr>
          <w:sz w:val="13"/>
        </w:rPr>
      </w:pPr>
    </w:p>
    <w:p w:rsidR="00C31389" w:rsidRDefault="00561FBD" w14:paraId="6FA79A09" w14:textId="77777777">
      <w:pPr>
        <w:pStyle w:val="BodyText"/>
        <w:spacing w:before="92"/>
        <w:ind w:left="480" w:right="1362"/>
        <w:jc w:val="both"/>
        <w:rPr>
          <w:sz w:val="14"/>
        </w:rPr>
      </w:pPr>
      <w:r>
        <w:t>savings</w:t>
      </w:r>
      <w:r>
        <w:rPr>
          <w:spacing w:val="-3"/>
        </w:rPr>
        <w:t xml:space="preserve"> </w:t>
      </w:r>
      <w:r>
        <w:t>data,</w:t>
      </w:r>
      <w:r>
        <w:rPr>
          <w:spacing w:val="-2"/>
        </w:rPr>
        <w:t xml:space="preserve"> </w:t>
      </w:r>
      <w:r>
        <w:t>most</w:t>
      </w:r>
      <w:r>
        <w:rPr>
          <w:spacing w:val="-2"/>
        </w:rPr>
        <w:t xml:space="preserve"> </w:t>
      </w:r>
      <w:r>
        <w:t>cost</w:t>
      </w:r>
      <w:r>
        <w:rPr>
          <w:spacing w:val="-3"/>
        </w:rPr>
        <w:t xml:space="preserve"> </w:t>
      </w:r>
      <w:r>
        <w:t>data</w:t>
      </w:r>
      <w:r>
        <w:rPr>
          <w:spacing w:val="-2"/>
        </w:rPr>
        <w:t xml:space="preserve"> </w:t>
      </w:r>
      <w:r>
        <w:t>for</w:t>
      </w:r>
      <w:r>
        <w:rPr>
          <w:spacing w:val="-2"/>
        </w:rPr>
        <w:t xml:space="preserve"> </w:t>
      </w:r>
      <w:r>
        <w:t>characterized</w:t>
      </w:r>
      <w:r>
        <w:rPr>
          <w:spacing w:val="-2"/>
        </w:rPr>
        <w:t xml:space="preserve"> </w:t>
      </w:r>
      <w:r>
        <w:t>technologies</w:t>
      </w:r>
      <w:r>
        <w:rPr>
          <w:spacing w:val="-3"/>
        </w:rPr>
        <w:t xml:space="preserve"> </w:t>
      </w:r>
      <w:r>
        <w:t>came</w:t>
      </w:r>
      <w:r>
        <w:rPr>
          <w:spacing w:val="-2"/>
        </w:rPr>
        <w:t xml:space="preserve"> </w:t>
      </w:r>
      <w:r>
        <w:t>from</w:t>
      </w:r>
      <w:r>
        <w:rPr>
          <w:spacing w:val="-3"/>
        </w:rPr>
        <w:t xml:space="preserve"> </w:t>
      </w:r>
      <w:r>
        <w:t>eTRM</w:t>
      </w:r>
      <w:r>
        <w:rPr>
          <w:spacing w:val="-2"/>
        </w:rPr>
        <w:t xml:space="preserve"> </w:t>
      </w:r>
      <w:r>
        <w:t>measure packages.</w:t>
      </w:r>
      <w:r>
        <w:rPr>
          <w:spacing w:val="-5"/>
        </w:rPr>
        <w:t xml:space="preserve"> </w:t>
      </w:r>
      <w:r>
        <w:t>Many</w:t>
      </w:r>
      <w:r>
        <w:rPr>
          <w:spacing w:val="-4"/>
        </w:rPr>
        <w:t xml:space="preserve"> </w:t>
      </w:r>
      <w:r>
        <w:t>of</w:t>
      </w:r>
      <w:r>
        <w:rPr>
          <w:spacing w:val="-4"/>
        </w:rPr>
        <w:t xml:space="preserve"> </w:t>
      </w:r>
      <w:r>
        <w:t>the</w:t>
      </w:r>
      <w:r>
        <w:rPr>
          <w:spacing w:val="-4"/>
        </w:rPr>
        <w:t xml:space="preserve"> </w:t>
      </w:r>
      <w:r>
        <w:t>other</w:t>
      </w:r>
      <w:r>
        <w:rPr>
          <w:spacing w:val="-4"/>
        </w:rPr>
        <w:t xml:space="preserve"> </w:t>
      </w:r>
      <w:r>
        <w:t>California-specific</w:t>
      </w:r>
      <w:r>
        <w:rPr>
          <w:spacing w:val="-3"/>
        </w:rPr>
        <w:t xml:space="preserve"> </w:t>
      </w:r>
      <w:r>
        <w:t>technology</w:t>
      </w:r>
      <w:r>
        <w:rPr>
          <w:spacing w:val="-5"/>
        </w:rPr>
        <w:t xml:space="preserve"> </w:t>
      </w:r>
      <w:r>
        <w:t>cost</w:t>
      </w:r>
      <w:r>
        <w:rPr>
          <w:spacing w:val="-4"/>
        </w:rPr>
        <w:t xml:space="preserve"> </w:t>
      </w:r>
      <w:r>
        <w:t>data</w:t>
      </w:r>
      <w:r>
        <w:rPr>
          <w:spacing w:val="-4"/>
        </w:rPr>
        <w:t xml:space="preserve"> </w:t>
      </w:r>
      <w:r>
        <w:t>sources</w:t>
      </w:r>
      <w:r>
        <w:rPr>
          <w:spacing w:val="-4"/>
        </w:rPr>
        <w:t xml:space="preserve"> </w:t>
      </w:r>
      <w:r>
        <w:t>reference underlying resear</w:t>
      </w:r>
      <w:r>
        <w:t>ch conducted through the California Measure Cost Study.</w:t>
      </w:r>
      <w:r>
        <w:rPr>
          <w:spacing w:val="-36"/>
        </w:rPr>
        <w:t xml:space="preserve"> </w:t>
      </w:r>
      <w:hyperlink w:history="1" w:anchor="_bookmark129">
        <w:r>
          <w:rPr>
            <w:position w:val="7"/>
            <w:sz w:val="14"/>
          </w:rPr>
          <w:t>37</w:t>
        </w:r>
      </w:hyperlink>
    </w:p>
    <w:p w:rsidR="00C31389" w:rsidRDefault="00C31389" w14:paraId="0BCD4C4D" w14:textId="77777777">
      <w:pPr>
        <w:pStyle w:val="BodyText"/>
        <w:spacing w:before="10"/>
        <w:rPr>
          <w:sz w:val="20"/>
        </w:rPr>
      </w:pPr>
    </w:p>
    <w:p w:rsidR="00C31389" w:rsidRDefault="00561FBD" w14:paraId="5DF4DCBE" w14:textId="77777777">
      <w:pPr>
        <w:pStyle w:val="BodyText"/>
        <w:ind w:left="479" w:right="507"/>
      </w:pPr>
      <w:r>
        <w:t>The</w:t>
      </w:r>
      <w:r>
        <w:rPr>
          <w:spacing w:val="-4"/>
        </w:rPr>
        <w:t xml:space="preserve"> </w:t>
      </w:r>
      <w:r>
        <w:t>Guidehouse</w:t>
      </w:r>
      <w:r>
        <w:rPr>
          <w:spacing w:val="-4"/>
        </w:rPr>
        <w:t xml:space="preserve"> </w:t>
      </w:r>
      <w:r>
        <w:t>team</w:t>
      </w:r>
      <w:r>
        <w:rPr>
          <w:spacing w:val="-4"/>
        </w:rPr>
        <w:t xml:space="preserve"> </w:t>
      </w:r>
      <w:r>
        <w:t>assumed</w:t>
      </w:r>
      <w:r>
        <w:rPr>
          <w:spacing w:val="-4"/>
        </w:rPr>
        <w:t xml:space="preserve"> </w:t>
      </w:r>
      <w:r>
        <w:t>constant</w:t>
      </w:r>
      <w:r>
        <w:rPr>
          <w:spacing w:val="-4"/>
        </w:rPr>
        <w:t xml:space="preserve"> </w:t>
      </w:r>
      <w:r>
        <w:t>technology</w:t>
      </w:r>
      <w:r>
        <w:rPr>
          <w:spacing w:val="-4"/>
        </w:rPr>
        <w:t xml:space="preserve"> </w:t>
      </w:r>
      <w:r>
        <w:t>cost</w:t>
      </w:r>
      <w:r>
        <w:rPr>
          <w:spacing w:val="-4"/>
        </w:rPr>
        <w:t xml:space="preserve"> </w:t>
      </w:r>
      <w:r>
        <w:t>through</w:t>
      </w:r>
      <w:r>
        <w:rPr>
          <w:spacing w:val="-4"/>
        </w:rPr>
        <w:t xml:space="preserve"> </w:t>
      </w:r>
      <w:r>
        <w:t>the</w:t>
      </w:r>
      <w:r>
        <w:rPr>
          <w:spacing w:val="-4"/>
        </w:rPr>
        <w:t xml:space="preserve"> </w:t>
      </w:r>
      <w:r>
        <w:t>study</w:t>
      </w:r>
      <w:r>
        <w:rPr>
          <w:spacing w:val="-4"/>
        </w:rPr>
        <w:t xml:space="preserve"> </w:t>
      </w:r>
      <w:r>
        <w:t>period</w:t>
      </w:r>
      <w:r>
        <w:rPr>
          <w:spacing w:val="-4"/>
        </w:rPr>
        <w:t xml:space="preserve"> </w:t>
      </w:r>
      <w:r>
        <w:t>(adjusted</w:t>
      </w:r>
      <w:r>
        <w:rPr>
          <w:spacing w:val="-4"/>
        </w:rPr>
        <w:t xml:space="preserve"> </w:t>
      </w:r>
      <w:r>
        <w:t>for inflation) for most measures.</w:t>
      </w:r>
      <w:r>
        <w:rPr>
          <w:spacing w:val="-36"/>
        </w:rPr>
        <w:t xml:space="preserve"> </w:t>
      </w:r>
      <w:hyperlink w:history="1" w:anchor="_bookmark130">
        <w:r>
          <w:rPr>
            <w:position w:val="7"/>
            <w:sz w:val="14"/>
          </w:rPr>
          <w:t>38</w:t>
        </w:r>
      </w:hyperlink>
      <w:r>
        <w:rPr>
          <w:spacing w:val="34"/>
          <w:position w:val="7"/>
          <w:sz w:val="14"/>
        </w:rPr>
        <w:t xml:space="preserve"> </w:t>
      </w:r>
      <w:r>
        <w:t>For one measure—heat pump water heaters—the team developed cost reduction vectors for residential and commercial products. Heat pump water heaters are an emerging technology with few product</w:t>
      </w:r>
      <w:r>
        <w:t>s currently on the market, but they have the potential to undergo market transformation as they are more widely adopted.</w:t>
      </w:r>
    </w:p>
    <w:p w:rsidR="00C31389" w:rsidRDefault="00C31389" w14:paraId="15C55CC3" w14:textId="77777777">
      <w:pPr>
        <w:pStyle w:val="BodyText"/>
        <w:spacing w:before="10"/>
        <w:rPr>
          <w:sz w:val="20"/>
        </w:rPr>
      </w:pPr>
    </w:p>
    <w:p w:rsidR="00C31389" w:rsidRDefault="00561FBD" w14:paraId="4F84625B" w14:textId="77777777">
      <w:pPr>
        <w:pStyle w:val="BodyText"/>
        <w:ind w:left="480" w:right="533" w:hanging="1"/>
      </w:pPr>
      <w:r>
        <w:t>Labor</w:t>
      </w:r>
      <w:r>
        <w:rPr>
          <w:spacing w:val="-3"/>
        </w:rPr>
        <w:t xml:space="preserve"> </w:t>
      </w:r>
      <w:r>
        <w:t>costs</w:t>
      </w:r>
      <w:r>
        <w:rPr>
          <w:spacing w:val="-4"/>
        </w:rPr>
        <w:t xml:space="preserve"> </w:t>
      </w:r>
      <w:r>
        <w:t>for</w:t>
      </w:r>
      <w:r>
        <w:rPr>
          <w:spacing w:val="-3"/>
        </w:rPr>
        <w:t xml:space="preserve"> </w:t>
      </w:r>
      <w:r>
        <w:t>FS</w:t>
      </w:r>
      <w:r>
        <w:rPr>
          <w:spacing w:val="-3"/>
        </w:rPr>
        <w:t xml:space="preserve"> </w:t>
      </w:r>
      <w:r>
        <w:t>technologies</w:t>
      </w:r>
      <w:r>
        <w:rPr>
          <w:spacing w:val="-3"/>
        </w:rPr>
        <w:t xml:space="preserve"> </w:t>
      </w:r>
      <w:r>
        <w:t>generally</w:t>
      </w:r>
      <w:r>
        <w:rPr>
          <w:spacing w:val="-3"/>
        </w:rPr>
        <w:t xml:space="preserve"> </w:t>
      </w:r>
      <w:r>
        <w:t>account</w:t>
      </w:r>
      <w:r>
        <w:rPr>
          <w:spacing w:val="-3"/>
        </w:rPr>
        <w:t xml:space="preserve"> </w:t>
      </w:r>
      <w:r>
        <w:t>for</w:t>
      </w:r>
      <w:r>
        <w:rPr>
          <w:spacing w:val="-3"/>
        </w:rPr>
        <w:t xml:space="preserve"> </w:t>
      </w:r>
      <w:r>
        <w:t>the</w:t>
      </w:r>
      <w:r>
        <w:rPr>
          <w:spacing w:val="-3"/>
        </w:rPr>
        <w:t xml:space="preserve"> </w:t>
      </w:r>
      <w:r>
        <w:t>cost</w:t>
      </w:r>
      <w:r>
        <w:rPr>
          <w:spacing w:val="-3"/>
        </w:rPr>
        <w:t xml:space="preserve"> </w:t>
      </w:r>
      <w:r>
        <w:t>of</w:t>
      </w:r>
      <w:r>
        <w:rPr>
          <w:spacing w:val="-3"/>
        </w:rPr>
        <w:t xml:space="preserve"> </w:t>
      </w:r>
      <w:r>
        <w:t>capping</w:t>
      </w:r>
      <w:r>
        <w:rPr>
          <w:spacing w:val="-3"/>
        </w:rPr>
        <w:t xml:space="preserve"> </w:t>
      </w:r>
      <w:r>
        <w:t>the</w:t>
      </w:r>
      <w:r>
        <w:rPr>
          <w:spacing w:val="-3"/>
        </w:rPr>
        <w:t xml:space="preserve"> </w:t>
      </w:r>
      <w:r>
        <w:t>original</w:t>
      </w:r>
      <w:r>
        <w:rPr>
          <w:spacing w:val="-3"/>
        </w:rPr>
        <w:t xml:space="preserve"> </w:t>
      </w:r>
      <w:r>
        <w:t>gas</w:t>
      </w:r>
      <w:r>
        <w:rPr>
          <w:spacing w:val="-3"/>
        </w:rPr>
        <w:t xml:space="preserve"> </w:t>
      </w:r>
      <w:r>
        <w:t>line and wiring needed to accommodate the n</w:t>
      </w:r>
      <w:r>
        <w:t xml:space="preserve">ew electric appliance. Costs associated with residential FS panel upgrade requirements were added to the 2023 Study, as described in </w:t>
      </w:r>
      <w:hyperlink w:history="1" w:anchor="_bookmark276">
        <w:r>
          <w:t>Appendix C</w:t>
        </w:r>
      </w:hyperlink>
      <w:r>
        <w:t>.</w:t>
      </w:r>
    </w:p>
    <w:p w:rsidR="00C31389" w:rsidRDefault="00C31389" w14:paraId="24BE1BC5" w14:textId="77777777">
      <w:pPr>
        <w:pStyle w:val="BodyText"/>
        <w:spacing w:before="4"/>
        <w:rPr>
          <w:sz w:val="31"/>
        </w:rPr>
      </w:pPr>
    </w:p>
    <w:p w:rsidR="00C31389" w:rsidRDefault="00561FBD" w14:paraId="2C3C1ED2" w14:textId="77777777">
      <w:pPr>
        <w:pStyle w:val="Heading8"/>
        <w:numPr>
          <w:ilvl w:val="3"/>
          <w:numId w:val="71"/>
        </w:numPr>
        <w:tabs>
          <w:tab w:val="left" w:pos="1212"/>
        </w:tabs>
        <w:ind w:left="1212" w:hanging="732"/>
      </w:pPr>
      <w:bookmarkStart w:name="3.2.2.3_Market_Information:_Density_and_" w:id="173"/>
      <w:bookmarkEnd w:id="173"/>
      <w:r>
        <w:t>Market</w:t>
      </w:r>
      <w:r>
        <w:rPr>
          <w:spacing w:val="-10"/>
        </w:rPr>
        <w:t xml:space="preserve"> </w:t>
      </w:r>
      <w:r>
        <w:t>Information:</w:t>
      </w:r>
      <w:r>
        <w:rPr>
          <w:spacing w:val="-9"/>
        </w:rPr>
        <w:t xml:space="preserve"> </w:t>
      </w:r>
      <w:r>
        <w:t>Density</w:t>
      </w:r>
      <w:r>
        <w:rPr>
          <w:spacing w:val="-9"/>
        </w:rPr>
        <w:t xml:space="preserve"> </w:t>
      </w:r>
      <w:r>
        <w:t>and</w:t>
      </w:r>
      <w:r>
        <w:rPr>
          <w:spacing w:val="-10"/>
        </w:rPr>
        <w:t xml:space="preserve"> </w:t>
      </w:r>
      <w:r>
        <w:t>Saturation</w:t>
      </w:r>
      <w:r>
        <w:rPr>
          <w:spacing w:val="-9"/>
        </w:rPr>
        <w:t xml:space="preserve"> </w:t>
      </w:r>
      <w:r>
        <w:rPr>
          <w:spacing w:val="-2"/>
        </w:rPr>
        <w:t>Values</w:t>
      </w:r>
    </w:p>
    <w:p w:rsidR="00C31389" w:rsidRDefault="00C31389" w14:paraId="1977385B" w14:textId="77777777">
      <w:pPr>
        <w:pStyle w:val="BodyText"/>
        <w:spacing w:before="10"/>
        <w:rPr>
          <w:b/>
          <w:i/>
          <w:sz w:val="20"/>
        </w:rPr>
      </w:pPr>
    </w:p>
    <w:p w:rsidR="00C31389" w:rsidRDefault="00561FBD" w14:paraId="0DB9BB47" w14:textId="77777777">
      <w:pPr>
        <w:pStyle w:val="BodyText"/>
        <w:ind w:left="480"/>
      </w:pPr>
      <w:r>
        <w:t>Density</w:t>
      </w:r>
      <w:r>
        <w:rPr>
          <w:spacing w:val="-9"/>
        </w:rPr>
        <w:t xml:space="preserve"> </w:t>
      </w:r>
      <w:r>
        <w:t>and</w:t>
      </w:r>
      <w:r>
        <w:rPr>
          <w:spacing w:val="-10"/>
        </w:rPr>
        <w:t xml:space="preserve"> </w:t>
      </w:r>
      <w:r>
        <w:t>saturation</w:t>
      </w:r>
      <w:r>
        <w:rPr>
          <w:spacing w:val="-9"/>
        </w:rPr>
        <w:t xml:space="preserve"> </w:t>
      </w:r>
      <w:r>
        <w:t>are</w:t>
      </w:r>
      <w:r>
        <w:rPr>
          <w:spacing w:val="-9"/>
        </w:rPr>
        <w:t xml:space="preserve"> </w:t>
      </w:r>
      <w:r>
        <w:t>two</w:t>
      </w:r>
      <w:r>
        <w:rPr>
          <w:spacing w:val="-9"/>
        </w:rPr>
        <w:t xml:space="preserve"> </w:t>
      </w:r>
      <w:r>
        <w:t>essential</w:t>
      </w:r>
      <w:r>
        <w:rPr>
          <w:spacing w:val="-9"/>
        </w:rPr>
        <w:t xml:space="preserve"> </w:t>
      </w:r>
      <w:r>
        <w:t>technology</w:t>
      </w:r>
      <w:r>
        <w:rPr>
          <w:spacing w:val="-9"/>
        </w:rPr>
        <w:t xml:space="preserve"> </w:t>
      </w:r>
      <w:r>
        <w:t>characterization</w:t>
      </w:r>
      <w:r>
        <w:rPr>
          <w:spacing w:val="-9"/>
        </w:rPr>
        <w:t xml:space="preserve"> </w:t>
      </w:r>
      <w:r>
        <w:rPr>
          <w:spacing w:val="-2"/>
        </w:rPr>
        <w:t>calculations.</w:t>
      </w:r>
    </w:p>
    <w:p w:rsidR="00C31389" w:rsidRDefault="00561FBD" w14:paraId="29523975" w14:textId="77777777">
      <w:pPr>
        <w:pStyle w:val="ListParagraph"/>
        <w:numPr>
          <w:ilvl w:val="4"/>
          <w:numId w:val="71"/>
        </w:numPr>
        <w:tabs>
          <w:tab w:val="left" w:pos="1199"/>
        </w:tabs>
        <w:spacing w:before="119"/>
        <w:ind w:right="534"/>
      </w:pPr>
      <w:r>
        <w:rPr>
          <w:b/>
        </w:rPr>
        <w:t xml:space="preserve">Density </w:t>
      </w:r>
      <w:r>
        <w:t>is a measure of the number of units per building. The PG Model uses density information to determine the number of applicable technology units on the appropr</w:t>
      </w:r>
      <w:r>
        <w:t>iate scaling basis (per household for residential and</w:t>
      </w:r>
      <w:r>
        <w:rPr>
          <w:spacing w:val="-1"/>
        </w:rPr>
        <w:t xml:space="preserve"> </w:t>
      </w:r>
      <w:r>
        <w:t>per square foot for commercial) to scale up the technology stock by segment or building type. Density is specified by technology group. Technologies within a technology group share the same density unde</w:t>
      </w:r>
      <w:r>
        <w:t>r the assumption that lower efficiency technologies are replaced on an equivalent unit basis with higher efficiency technologies. Density can be expressed as the following: units/home,</w:t>
      </w:r>
      <w:r>
        <w:rPr>
          <w:spacing w:val="-5"/>
        </w:rPr>
        <w:t xml:space="preserve"> </w:t>
      </w:r>
      <w:r>
        <w:t>bulbs/home,</w:t>
      </w:r>
      <w:r>
        <w:rPr>
          <w:spacing w:val="-5"/>
        </w:rPr>
        <w:t xml:space="preserve"> </w:t>
      </w:r>
      <w:r>
        <w:t>lighting</w:t>
      </w:r>
      <w:r>
        <w:rPr>
          <w:spacing w:val="-5"/>
        </w:rPr>
        <w:t xml:space="preserve"> </w:t>
      </w:r>
      <w:r>
        <w:t>fixtures/1,000</w:t>
      </w:r>
      <w:r>
        <w:rPr>
          <w:spacing w:val="-5"/>
        </w:rPr>
        <w:t xml:space="preserve"> </w:t>
      </w:r>
      <w:r>
        <w:t>square</w:t>
      </w:r>
      <w:r>
        <w:rPr>
          <w:spacing w:val="-5"/>
        </w:rPr>
        <w:t xml:space="preserve"> </w:t>
      </w:r>
      <w:r>
        <w:t>feet,</w:t>
      </w:r>
      <w:r>
        <w:rPr>
          <w:spacing w:val="-5"/>
        </w:rPr>
        <w:t xml:space="preserve"> </w:t>
      </w:r>
      <w:r>
        <w:t>tons</w:t>
      </w:r>
      <w:r>
        <w:rPr>
          <w:spacing w:val="-5"/>
        </w:rPr>
        <w:t xml:space="preserve"> </w:t>
      </w:r>
      <w:r>
        <w:t>of</w:t>
      </w:r>
      <w:r>
        <w:rPr>
          <w:spacing w:val="-5"/>
        </w:rPr>
        <w:t xml:space="preserve"> </w:t>
      </w:r>
      <w:r>
        <w:t>cooling/1,000</w:t>
      </w:r>
      <w:r>
        <w:rPr>
          <w:spacing w:val="-5"/>
        </w:rPr>
        <w:t xml:space="preserve"> </w:t>
      </w:r>
      <w:r>
        <w:t>square feet, etc.</w:t>
      </w:r>
    </w:p>
    <w:p w:rsidR="00C31389" w:rsidRDefault="00561FBD" w14:paraId="52730CDA" w14:textId="77777777">
      <w:pPr>
        <w:pStyle w:val="ListParagraph"/>
        <w:numPr>
          <w:ilvl w:val="4"/>
          <w:numId w:val="71"/>
        </w:numPr>
        <w:tabs>
          <w:tab w:val="left" w:pos="1199"/>
        </w:tabs>
        <w:spacing w:before="119"/>
        <w:ind w:right="582"/>
      </w:pPr>
      <w:r>
        <w:rPr>
          <w:b/>
        </w:rPr>
        <w:t xml:space="preserve">Saturation </w:t>
      </w:r>
      <w:r>
        <w:t>is the share of a specific technology within a technology group, so that the sum</w:t>
      </w:r>
      <w:r>
        <w:rPr>
          <w:spacing w:val="-4"/>
        </w:rPr>
        <w:t xml:space="preserve"> </w:t>
      </w:r>
      <w:r>
        <w:t>of</w:t>
      </w:r>
      <w:r>
        <w:rPr>
          <w:spacing w:val="-3"/>
        </w:rPr>
        <w:t xml:space="preserve"> </w:t>
      </w:r>
      <w:r>
        <w:t>the</w:t>
      </w:r>
      <w:r>
        <w:rPr>
          <w:spacing w:val="-3"/>
        </w:rPr>
        <w:t xml:space="preserve"> </w:t>
      </w:r>
      <w:r>
        <w:t>saturations</w:t>
      </w:r>
      <w:r>
        <w:rPr>
          <w:spacing w:val="-3"/>
        </w:rPr>
        <w:t xml:space="preserve"> </w:t>
      </w:r>
      <w:r>
        <w:t>across</w:t>
      </w:r>
      <w:r>
        <w:rPr>
          <w:spacing w:val="-3"/>
        </w:rPr>
        <w:t xml:space="preserve"> </w:t>
      </w:r>
      <w:r>
        <w:t>a</w:t>
      </w:r>
      <w:r>
        <w:rPr>
          <w:spacing w:val="-3"/>
        </w:rPr>
        <w:t xml:space="preserve"> </w:t>
      </w:r>
      <w:r>
        <w:t>technology</w:t>
      </w:r>
      <w:r>
        <w:rPr>
          <w:spacing w:val="-3"/>
        </w:rPr>
        <w:t xml:space="preserve"> </w:t>
      </w:r>
      <w:r>
        <w:t>group</w:t>
      </w:r>
      <w:r>
        <w:rPr>
          <w:spacing w:val="-3"/>
        </w:rPr>
        <w:t xml:space="preserve"> </w:t>
      </w:r>
      <w:r>
        <w:t>always</w:t>
      </w:r>
      <w:r>
        <w:rPr>
          <w:spacing w:val="-3"/>
        </w:rPr>
        <w:t xml:space="preserve"> </w:t>
      </w:r>
      <w:r>
        <w:t>sums</w:t>
      </w:r>
      <w:r>
        <w:rPr>
          <w:spacing w:val="-3"/>
        </w:rPr>
        <w:t xml:space="preserve"> </w:t>
      </w:r>
      <w:r>
        <w:t>to</w:t>
      </w:r>
      <w:r>
        <w:rPr>
          <w:spacing w:val="-3"/>
        </w:rPr>
        <w:t xml:space="preserve"> </w:t>
      </w:r>
      <w:r>
        <w:t>100%.</w:t>
      </w:r>
      <w:r>
        <w:rPr>
          <w:spacing w:val="-3"/>
        </w:rPr>
        <w:t xml:space="preserve"> </w:t>
      </w:r>
      <w:r>
        <w:t>Saturation</w:t>
      </w:r>
      <w:r>
        <w:rPr>
          <w:spacing w:val="-3"/>
        </w:rPr>
        <w:t xml:space="preserve"> </w:t>
      </w:r>
      <w:r>
        <w:t xml:space="preserve">can also be calculated by dividing the individual technology density </w:t>
      </w:r>
      <w:r>
        <w:t>by the total technology group maximum density.</w:t>
      </w:r>
    </w:p>
    <w:p w:rsidR="00C31389" w:rsidRDefault="00C31389" w14:paraId="22C0EEC0" w14:textId="77777777">
      <w:pPr>
        <w:pStyle w:val="BodyText"/>
        <w:spacing w:before="9"/>
        <w:rPr>
          <w:sz w:val="20"/>
        </w:rPr>
      </w:pPr>
    </w:p>
    <w:p w:rsidR="00C31389" w:rsidRDefault="00561FBD" w14:paraId="5E93F046" w14:textId="77777777">
      <w:pPr>
        <w:pStyle w:val="BodyText"/>
        <w:ind w:left="479" w:right="533"/>
      </w:pPr>
      <w:r>
        <w:t>As</w:t>
      </w:r>
      <w:r>
        <w:rPr>
          <w:spacing w:val="-3"/>
        </w:rPr>
        <w:t xml:space="preserve"> </w:t>
      </w:r>
      <w:r>
        <w:t>an</w:t>
      </w:r>
      <w:r>
        <w:rPr>
          <w:spacing w:val="-3"/>
        </w:rPr>
        <w:t xml:space="preserve"> </w:t>
      </w:r>
      <w:r>
        <w:t>example,</w:t>
      </w:r>
      <w:r>
        <w:rPr>
          <w:spacing w:val="-3"/>
        </w:rPr>
        <w:t xml:space="preserve"> </w:t>
      </w:r>
      <w:hyperlink w:history="1" w:anchor="_bookmark131">
        <w:r>
          <w:t>Table</w:t>
        </w:r>
        <w:r>
          <w:rPr>
            <w:spacing w:val="-3"/>
          </w:rPr>
          <w:t xml:space="preserve"> </w:t>
        </w:r>
        <w:r>
          <w:t>3-12.</w:t>
        </w:r>
      </w:hyperlink>
      <w:r>
        <w:rPr>
          <w:spacing w:val="-3"/>
        </w:rPr>
        <w:t xml:space="preserve"> </w:t>
      </w:r>
      <w:r>
        <w:t>shows</w:t>
      </w:r>
      <w:r>
        <w:rPr>
          <w:spacing w:val="-3"/>
        </w:rPr>
        <w:t xml:space="preserve"> </w:t>
      </w:r>
      <w:r>
        <w:t>the</w:t>
      </w:r>
      <w:r>
        <w:rPr>
          <w:spacing w:val="-3"/>
        </w:rPr>
        <w:t xml:space="preserve"> </w:t>
      </w:r>
      <w:r>
        <w:t>densities</w:t>
      </w:r>
      <w:r>
        <w:rPr>
          <w:spacing w:val="-4"/>
        </w:rPr>
        <w:t xml:space="preserve"> </w:t>
      </w:r>
      <w:r>
        <w:t>and</w:t>
      </w:r>
      <w:r>
        <w:rPr>
          <w:spacing w:val="-3"/>
        </w:rPr>
        <w:t xml:space="preserve"> </w:t>
      </w:r>
      <w:r>
        <w:t>saturations</w:t>
      </w:r>
      <w:r>
        <w:rPr>
          <w:spacing w:val="-3"/>
        </w:rPr>
        <w:t xml:space="preserve"> </w:t>
      </w:r>
      <w:r>
        <w:t>for</w:t>
      </w:r>
      <w:r>
        <w:rPr>
          <w:spacing w:val="-3"/>
        </w:rPr>
        <w:t xml:space="preserve"> </w:t>
      </w:r>
      <w:r>
        <w:t>the</w:t>
      </w:r>
      <w:r>
        <w:rPr>
          <w:spacing w:val="-2"/>
        </w:rPr>
        <w:t xml:space="preserve"> </w:t>
      </w:r>
      <w:r>
        <w:t>floor</w:t>
      </w:r>
      <w:r>
        <w:rPr>
          <w:spacing w:val="-3"/>
        </w:rPr>
        <w:t xml:space="preserve"> </w:t>
      </w:r>
      <w:r>
        <w:t>insulation</w:t>
      </w:r>
      <w:r>
        <w:rPr>
          <w:spacing w:val="-3"/>
        </w:rPr>
        <w:t xml:space="preserve"> </w:t>
      </w:r>
      <w:r>
        <w:t>retrofit technology group in single-family homes in PG&amp;E’s service territory.</w:t>
      </w:r>
    </w:p>
    <w:p w:rsidR="00C31389" w:rsidRDefault="00C31389" w14:paraId="6C7593EE" w14:textId="77777777">
      <w:pPr>
        <w:pStyle w:val="BodyText"/>
        <w:rPr>
          <w:sz w:val="20"/>
        </w:rPr>
      </w:pPr>
    </w:p>
    <w:p w:rsidR="00C31389" w:rsidRDefault="00C31389" w14:paraId="75B8FDE1" w14:textId="77777777">
      <w:pPr>
        <w:pStyle w:val="BodyText"/>
        <w:rPr>
          <w:sz w:val="20"/>
        </w:rPr>
      </w:pPr>
    </w:p>
    <w:p w:rsidR="00C31389" w:rsidRDefault="00C31389" w14:paraId="54F09AA5" w14:textId="77777777">
      <w:pPr>
        <w:pStyle w:val="BodyText"/>
        <w:rPr>
          <w:sz w:val="20"/>
        </w:rPr>
      </w:pPr>
    </w:p>
    <w:p w:rsidR="00C31389" w:rsidRDefault="00C31389" w14:paraId="2D699A2A" w14:textId="77777777">
      <w:pPr>
        <w:pStyle w:val="BodyText"/>
        <w:rPr>
          <w:sz w:val="20"/>
        </w:rPr>
      </w:pPr>
    </w:p>
    <w:p w:rsidR="00C31389" w:rsidRDefault="00C31389" w14:paraId="474BF827" w14:textId="77777777">
      <w:pPr>
        <w:pStyle w:val="BodyText"/>
        <w:rPr>
          <w:sz w:val="20"/>
        </w:rPr>
      </w:pPr>
    </w:p>
    <w:p w:rsidR="00C31389" w:rsidRDefault="00C31389" w14:paraId="487BC12A" w14:textId="77777777">
      <w:pPr>
        <w:pStyle w:val="BodyText"/>
        <w:rPr>
          <w:sz w:val="20"/>
        </w:rPr>
      </w:pPr>
    </w:p>
    <w:p w:rsidR="00C31389" w:rsidRDefault="00C31389" w14:paraId="4EAE4FA9" w14:textId="77777777">
      <w:pPr>
        <w:pStyle w:val="BodyText"/>
        <w:rPr>
          <w:sz w:val="20"/>
        </w:rPr>
      </w:pPr>
    </w:p>
    <w:p w:rsidR="00C31389" w:rsidRDefault="00C31389" w14:paraId="1032D359" w14:textId="77777777">
      <w:pPr>
        <w:pStyle w:val="BodyText"/>
        <w:rPr>
          <w:sz w:val="20"/>
        </w:rPr>
      </w:pPr>
    </w:p>
    <w:p w:rsidR="00C31389" w:rsidRDefault="00C31389" w14:paraId="08E2C5B7" w14:textId="77777777">
      <w:pPr>
        <w:pStyle w:val="BodyText"/>
        <w:rPr>
          <w:sz w:val="20"/>
        </w:rPr>
      </w:pPr>
    </w:p>
    <w:p w:rsidR="00C31389" w:rsidRDefault="00C31389" w14:paraId="7EC7C2C9" w14:textId="77777777">
      <w:pPr>
        <w:pStyle w:val="BodyText"/>
        <w:rPr>
          <w:sz w:val="20"/>
        </w:rPr>
      </w:pPr>
    </w:p>
    <w:p w:rsidR="00C31389" w:rsidRDefault="00561FBD" w14:paraId="508899E5" w14:textId="77777777">
      <w:pPr>
        <w:pStyle w:val="BodyText"/>
        <w:spacing w:before="5"/>
        <w:rPr>
          <w:sz w:val="19"/>
        </w:rPr>
      </w:pPr>
      <w:r>
        <w:rPr>
          <w:noProof/>
        </w:rPr>
        <mc:AlternateContent>
          <mc:Choice Requires="wps">
            <w:drawing>
              <wp:anchor distT="0" distB="0" distL="0" distR="0" simplePos="0" relativeHeight="487633408" behindDoc="1" locked="0" layoutInCell="1" allowOverlap="1" wp14:editId="1E56EC2A" wp14:anchorId="6AAA3242">
                <wp:simplePos x="0" y="0"/>
                <wp:positionH relativeFrom="page">
                  <wp:posOffset>914400</wp:posOffset>
                </wp:positionH>
                <wp:positionV relativeFrom="paragraph">
                  <wp:posOffset>157767</wp:posOffset>
                </wp:positionV>
                <wp:extent cx="1828800" cy="6985"/>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4" style="position:absolute;margin-left:1in;margin-top:12.4pt;width:2in;height:.55pt;z-index:-1568307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" w14:anchorId="229B3B6A">
                <v:path arrowok="t"/>
                <w10:wrap type="topAndBottom" anchorx="page"/>
              </v:shape>
            </w:pict>
          </mc:Fallback>
        </mc:AlternateContent>
      </w:r>
    </w:p>
    <w:p w:rsidR="00C31389" w:rsidRDefault="00561FBD" w14:paraId="2384D038" w14:textId="77777777">
      <w:pPr>
        <w:spacing w:before="89"/>
        <w:ind w:left="480"/>
        <w:rPr>
          <w:sz w:val="18"/>
        </w:rPr>
      </w:pPr>
      <w:bookmarkStart w:name="_bookmark129" w:id="174"/>
      <w:bookmarkEnd w:id="174"/>
      <w:r>
        <w:rPr>
          <w:spacing w:val="-2"/>
          <w:position w:val="6"/>
          <w:sz w:val="12"/>
        </w:rPr>
        <w:t>37</w:t>
      </w:r>
      <w:r>
        <w:rPr>
          <w:spacing w:val="53"/>
          <w:position w:val="6"/>
          <w:sz w:val="12"/>
        </w:rPr>
        <w:t xml:space="preserve">  </w:t>
      </w:r>
      <w:hyperlink r:id="rId115">
        <w:r>
          <w:rPr>
            <w:color w:val="68942C"/>
            <w:spacing w:val="-2"/>
            <w:sz w:val="18"/>
            <w:u w:val="single" w:color="68942C"/>
          </w:rPr>
          <w:t>http://www.calmac.org/publications/2010-2012_WO017_Ex_Ante_Measure_Cost_Study_-_Final_Report.pdf</w:t>
        </w:r>
      </w:hyperlink>
    </w:p>
    <w:p w:rsidR="00C31389" w:rsidRDefault="00561FBD" w14:paraId="3934A8A5" w14:textId="77777777">
      <w:pPr>
        <w:spacing w:before="35"/>
        <w:ind w:left="480" w:right="624" w:hanging="1"/>
        <w:rPr>
          <w:sz w:val="18"/>
        </w:rPr>
      </w:pPr>
      <w:bookmarkStart w:name="_bookmark130" w:id="175"/>
      <w:bookmarkEnd w:id="175"/>
      <w:r>
        <w:rPr>
          <w:position w:val="6"/>
          <w:sz w:val="12"/>
        </w:rPr>
        <w:t>38</w:t>
      </w:r>
      <w:r>
        <w:rPr>
          <w:spacing w:val="26"/>
          <w:position w:val="6"/>
          <w:sz w:val="12"/>
        </w:rPr>
        <w:t xml:space="preserve"> </w:t>
      </w:r>
      <w:r>
        <w:rPr>
          <w:sz w:val="18"/>
        </w:rPr>
        <w:t>Inflation rate assumption of around 2% comes from the 2022 avoided cost</w:t>
      </w:r>
      <w:r>
        <w:rPr>
          <w:sz w:val="18"/>
        </w:rPr>
        <w:t xml:space="preserve"> calculator documentation. </w:t>
      </w:r>
      <w:r>
        <w:rPr>
          <w:spacing w:val="-2"/>
          <w:sz w:val="18"/>
        </w:rPr>
        <w:t>https</w:t>
      </w:r>
      <w:hyperlink r:id="rId116">
        <w:r>
          <w:rPr>
            <w:spacing w:val="-2"/>
            <w:sz w:val="18"/>
          </w:rPr>
          <w:t>://w</w:t>
        </w:r>
      </w:hyperlink>
      <w:r>
        <w:rPr>
          <w:spacing w:val="-2"/>
          <w:sz w:val="18"/>
        </w:rPr>
        <w:t>ww</w:t>
      </w:r>
      <w:hyperlink r:id="rId117">
        <w:r>
          <w:rPr>
            <w:spacing w:val="-2"/>
            <w:sz w:val="18"/>
          </w:rPr>
          <w:t>.c</w:t>
        </w:r>
      </w:hyperlink>
      <w:r>
        <w:rPr>
          <w:spacing w:val="-2"/>
          <w:sz w:val="18"/>
        </w:rPr>
        <w:t>p</w:t>
      </w:r>
      <w:hyperlink r:id="rId118">
        <w:r>
          <w:rPr>
            <w:spacing w:val="-2"/>
            <w:sz w:val="18"/>
          </w:rPr>
          <w:t>uc.ca.gov/-/media/cpuc-website/divisions/energy-division/documents/demand-side-management/acc-</w:t>
        </w:r>
      </w:hyperlink>
      <w:r>
        <w:rPr>
          <w:spacing w:val="-2"/>
          <w:sz w:val="18"/>
        </w:rPr>
        <w:t xml:space="preserve"> mo</w:t>
      </w:r>
      <w:r>
        <w:rPr>
          <w:spacing w:val="-2"/>
          <w:sz w:val="18"/>
        </w:rPr>
        <w:t>dels-latest-version/2022-acc-documentation-v1a.pdf</w:t>
      </w:r>
    </w:p>
    <w:p w:rsidR="00C31389" w:rsidRDefault="00C31389" w14:paraId="3436938A" w14:textId="77777777">
      <w:pPr>
        <w:rPr>
          <w:sz w:val="18"/>
        </w:rPr>
        <w:sectPr w:rsidR="00C31389">
          <w:pgSz w:w="12240" w:h="15840"/>
          <w:pgMar w:top="1660" w:right="960" w:bottom="1120" w:left="960" w:header="397" w:footer="936" w:gutter="0"/>
          <w:cols w:space="720"/>
        </w:sectPr>
      </w:pPr>
    </w:p>
    <w:p w:rsidR="00C31389" w:rsidRDefault="00C31389" w14:paraId="2CC6E78E" w14:textId="77777777">
      <w:pPr>
        <w:pStyle w:val="BodyText"/>
        <w:spacing w:before="11"/>
        <w:rPr>
          <w:sz w:val="13"/>
        </w:rPr>
      </w:pPr>
    </w:p>
    <w:p w:rsidR="00C31389" w:rsidRDefault="00561FBD" w14:paraId="65AE04EE" w14:textId="77777777">
      <w:pPr>
        <w:pStyle w:val="Heading7"/>
        <w:spacing w:before="92"/>
        <w:ind w:left="1632" w:right="533" w:hanging="824"/>
      </w:pPr>
      <w:bookmarkStart w:name="_bookmark131" w:id="176"/>
      <w:bookmarkEnd w:id="176"/>
      <w:r>
        <w:t>Table</w:t>
      </w:r>
      <w:r>
        <w:rPr>
          <w:spacing w:val="-4"/>
        </w:rPr>
        <w:t xml:space="preserve"> </w:t>
      </w:r>
      <w:r>
        <w:t>3-12.</w:t>
      </w:r>
      <w:r>
        <w:rPr>
          <w:spacing w:val="-5"/>
        </w:rPr>
        <w:t xml:space="preserve"> </w:t>
      </w:r>
      <w:r>
        <w:t>Example</w:t>
      </w:r>
      <w:r>
        <w:rPr>
          <w:spacing w:val="-4"/>
        </w:rPr>
        <w:t xml:space="preserve"> </w:t>
      </w:r>
      <w:r>
        <w:t>of</w:t>
      </w:r>
      <w:r>
        <w:rPr>
          <w:spacing w:val="-4"/>
        </w:rPr>
        <w:t xml:space="preserve"> </w:t>
      </w:r>
      <w:r>
        <w:t>Density</w:t>
      </w:r>
      <w:r>
        <w:rPr>
          <w:spacing w:val="-4"/>
        </w:rPr>
        <w:t xml:space="preserve"> </w:t>
      </w:r>
      <w:r>
        <w:t>and</w:t>
      </w:r>
      <w:r>
        <w:rPr>
          <w:spacing w:val="-4"/>
        </w:rPr>
        <w:t xml:space="preserve"> </w:t>
      </w:r>
      <w:r>
        <w:t>Saturation</w:t>
      </w:r>
      <w:r>
        <w:rPr>
          <w:spacing w:val="-4"/>
        </w:rPr>
        <w:t xml:space="preserve"> </w:t>
      </w:r>
      <w:r>
        <w:t>Calculation:</w:t>
      </w:r>
      <w:r>
        <w:rPr>
          <w:spacing w:val="-4"/>
        </w:rPr>
        <w:t xml:space="preserve"> </w:t>
      </w:r>
      <w:r>
        <w:t>Floor</w:t>
      </w:r>
      <w:r>
        <w:rPr>
          <w:spacing w:val="-5"/>
        </w:rPr>
        <w:t xml:space="preserve"> </w:t>
      </w:r>
      <w:r>
        <w:t>Insulation</w:t>
      </w:r>
      <w:r>
        <w:rPr>
          <w:spacing w:val="-4"/>
        </w:rPr>
        <w:t xml:space="preserve"> </w:t>
      </w:r>
      <w:r>
        <w:t>Retrofit Technology Group in Single-Family Homes, PG&amp;E Service Territory</w:t>
      </w:r>
    </w:p>
    <w:p w:rsidR="00C31389" w:rsidRDefault="00C31389" w14:paraId="60001033" w14:textId="77777777">
      <w:pPr>
        <w:pStyle w:val="BodyText"/>
        <w:spacing w:before="8"/>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2451"/>
        <w:gridCol w:w="2061"/>
        <w:gridCol w:w="1766"/>
        <w:gridCol w:w="1581"/>
        <w:gridCol w:w="1513"/>
      </w:tblGrid>
      <w:tr w:rsidR="00C31389" w14:paraId="07052262" w14:textId="77777777">
        <w:trPr>
          <w:trHeight w:val="1009"/>
        </w:trPr>
        <w:tc>
          <w:tcPr>
            <w:tcW w:w="2451" w:type="dxa"/>
            <w:shd w:val="clear" w:color="auto" w:fill="92D400"/>
          </w:tcPr>
          <w:p w:rsidR="00C31389" w:rsidRDefault="00C31389" w14:paraId="7D7A6A63" w14:textId="77777777">
            <w:pPr>
              <w:pStyle w:val="TableParagraph"/>
              <w:spacing w:before="0"/>
              <w:rPr>
                <w:b/>
              </w:rPr>
            </w:pPr>
          </w:p>
          <w:p w:rsidR="00C31389" w:rsidRDefault="00561FBD" w14:paraId="5C504D73" w14:textId="77777777">
            <w:pPr>
              <w:pStyle w:val="TableParagraph"/>
              <w:spacing w:before="132"/>
              <w:ind w:left="129"/>
              <w:rPr>
                <w:b/>
                <w:sz w:val="20"/>
              </w:rPr>
            </w:pPr>
            <w:r>
              <w:rPr>
                <w:b/>
                <w:sz w:val="20"/>
              </w:rPr>
              <w:t>Technology</w:t>
            </w:r>
            <w:r>
              <w:rPr>
                <w:b/>
                <w:spacing w:val="-7"/>
                <w:sz w:val="20"/>
              </w:rPr>
              <w:t xml:space="preserve"> </w:t>
            </w:r>
            <w:r>
              <w:rPr>
                <w:b/>
                <w:spacing w:val="-4"/>
                <w:sz w:val="20"/>
              </w:rPr>
              <w:t>Name</w:t>
            </w:r>
          </w:p>
        </w:tc>
        <w:tc>
          <w:tcPr>
            <w:tcW w:w="2061" w:type="dxa"/>
            <w:shd w:val="clear" w:color="auto" w:fill="92D400"/>
          </w:tcPr>
          <w:p w:rsidR="00C31389" w:rsidRDefault="00C31389" w14:paraId="0FB82DCA" w14:textId="77777777">
            <w:pPr>
              <w:pStyle w:val="TableParagraph"/>
              <w:spacing w:before="5"/>
              <w:rPr>
                <w:b/>
                <w:sz w:val="23"/>
              </w:rPr>
            </w:pPr>
          </w:p>
          <w:p w:rsidR="00C31389" w:rsidRDefault="00561FBD" w14:paraId="27C15F46" w14:textId="77777777">
            <w:pPr>
              <w:pStyle w:val="TableParagraph"/>
              <w:spacing w:before="0"/>
              <w:ind w:left="399" w:right="144"/>
              <w:rPr>
                <w:b/>
                <w:sz w:val="20"/>
              </w:rPr>
            </w:pPr>
            <w:r>
              <w:rPr>
                <w:b/>
                <w:sz w:val="20"/>
              </w:rPr>
              <w:t xml:space="preserve">Base Year </w:t>
            </w:r>
            <w:r>
              <w:rPr>
                <w:b/>
                <w:sz w:val="20"/>
              </w:rPr>
              <w:t>Efficiency</w:t>
            </w:r>
            <w:r>
              <w:rPr>
                <w:b/>
                <w:spacing w:val="-14"/>
                <w:sz w:val="20"/>
              </w:rPr>
              <w:t xml:space="preserve"> </w:t>
            </w:r>
            <w:r>
              <w:rPr>
                <w:b/>
                <w:sz w:val="20"/>
              </w:rPr>
              <w:t>Level</w:t>
            </w:r>
          </w:p>
        </w:tc>
        <w:tc>
          <w:tcPr>
            <w:tcW w:w="1766" w:type="dxa"/>
            <w:shd w:val="clear" w:color="auto" w:fill="92D400"/>
          </w:tcPr>
          <w:p w:rsidR="00C31389" w:rsidRDefault="00C31389" w14:paraId="4070BF72" w14:textId="77777777">
            <w:pPr>
              <w:pStyle w:val="TableParagraph"/>
              <w:spacing w:before="0"/>
              <w:rPr>
                <w:b/>
              </w:rPr>
            </w:pPr>
          </w:p>
          <w:p w:rsidR="00C31389" w:rsidRDefault="00561FBD" w14:paraId="406D490A" w14:textId="77777777">
            <w:pPr>
              <w:pStyle w:val="TableParagraph"/>
              <w:spacing w:before="132"/>
              <w:ind w:left="150"/>
              <w:rPr>
                <w:b/>
                <w:sz w:val="20"/>
              </w:rPr>
            </w:pPr>
            <w:r>
              <w:rPr>
                <w:b/>
                <w:sz w:val="20"/>
              </w:rPr>
              <w:t>Unit</w:t>
            </w:r>
            <w:r>
              <w:rPr>
                <w:b/>
                <w:spacing w:val="-2"/>
                <w:sz w:val="20"/>
              </w:rPr>
              <w:t xml:space="preserve"> Basis</w:t>
            </w:r>
          </w:p>
        </w:tc>
        <w:tc>
          <w:tcPr>
            <w:tcW w:w="1581" w:type="dxa"/>
            <w:shd w:val="clear" w:color="auto" w:fill="92D400"/>
          </w:tcPr>
          <w:p w:rsidR="00C31389" w:rsidRDefault="00561FBD" w14:paraId="3B97C931" w14:textId="77777777">
            <w:pPr>
              <w:pStyle w:val="TableParagraph"/>
              <w:ind w:left="198" w:right="175"/>
              <w:jc w:val="center"/>
              <w:rPr>
                <w:b/>
                <w:sz w:val="20"/>
              </w:rPr>
            </w:pPr>
            <w:r>
              <w:rPr>
                <w:b/>
                <w:spacing w:val="-2"/>
                <w:sz w:val="20"/>
              </w:rPr>
              <w:t xml:space="preserve">Technology Density </w:t>
            </w:r>
            <w:r>
              <w:rPr>
                <w:b/>
                <w:sz w:val="20"/>
              </w:rPr>
              <w:t xml:space="preserve">(Units per </w:t>
            </w:r>
            <w:r>
              <w:rPr>
                <w:b/>
                <w:spacing w:val="-2"/>
                <w:sz w:val="20"/>
              </w:rPr>
              <w:t>Household)</w:t>
            </w:r>
          </w:p>
        </w:tc>
        <w:tc>
          <w:tcPr>
            <w:tcW w:w="1513" w:type="dxa"/>
            <w:shd w:val="clear" w:color="auto" w:fill="92D400"/>
          </w:tcPr>
          <w:p w:rsidR="00C31389" w:rsidRDefault="00C31389" w14:paraId="490E3E5B" w14:textId="77777777">
            <w:pPr>
              <w:pStyle w:val="TableParagraph"/>
              <w:spacing w:before="5"/>
              <w:rPr>
                <w:b/>
                <w:sz w:val="23"/>
              </w:rPr>
            </w:pPr>
          </w:p>
          <w:p w:rsidR="00C31389" w:rsidRDefault="00561FBD" w14:paraId="427B15EE" w14:textId="77777777">
            <w:pPr>
              <w:pStyle w:val="TableParagraph"/>
              <w:spacing w:before="0"/>
              <w:ind w:left="288" w:hanging="68"/>
              <w:rPr>
                <w:b/>
                <w:sz w:val="20"/>
              </w:rPr>
            </w:pPr>
            <w:r>
              <w:rPr>
                <w:b/>
                <w:spacing w:val="-2"/>
                <w:sz w:val="20"/>
              </w:rPr>
              <w:t>Technology Saturation</w:t>
            </w:r>
          </w:p>
        </w:tc>
      </w:tr>
      <w:tr w:rsidR="00C31389" w14:paraId="0D12973A" w14:textId="77777777">
        <w:trPr>
          <w:trHeight w:val="310"/>
        </w:trPr>
        <w:tc>
          <w:tcPr>
            <w:tcW w:w="2451" w:type="dxa"/>
            <w:tcBorders>
              <w:bottom w:val="single" w:color="D9D9D9" w:sz="2" w:space="0"/>
            </w:tcBorders>
          </w:tcPr>
          <w:p w:rsidR="00C31389" w:rsidRDefault="00561FBD" w14:paraId="6B04B1B0" w14:textId="77777777">
            <w:pPr>
              <w:pStyle w:val="TableParagraph"/>
              <w:ind w:left="129"/>
              <w:rPr>
                <w:sz w:val="20"/>
              </w:rPr>
            </w:pPr>
            <w:r>
              <w:rPr>
                <w:sz w:val="20"/>
              </w:rPr>
              <w:t>Floor</w:t>
            </w:r>
            <w:r>
              <w:rPr>
                <w:spacing w:val="-7"/>
                <w:sz w:val="20"/>
              </w:rPr>
              <w:t xml:space="preserve"> </w:t>
            </w:r>
            <w:r>
              <w:rPr>
                <w:sz w:val="20"/>
              </w:rPr>
              <w:t>Insulation</w:t>
            </w:r>
            <w:r>
              <w:rPr>
                <w:spacing w:val="-4"/>
                <w:sz w:val="20"/>
              </w:rPr>
              <w:t xml:space="preserve"> (R0)</w:t>
            </w:r>
          </w:p>
        </w:tc>
        <w:tc>
          <w:tcPr>
            <w:tcW w:w="2061" w:type="dxa"/>
            <w:tcBorders>
              <w:bottom w:val="single" w:color="D9D9D9" w:sz="2" w:space="0"/>
            </w:tcBorders>
          </w:tcPr>
          <w:p w:rsidR="00C31389" w:rsidRDefault="00561FBD" w14:paraId="2E218D99" w14:textId="77777777">
            <w:pPr>
              <w:pStyle w:val="TableParagraph"/>
              <w:ind w:left="399"/>
              <w:rPr>
                <w:sz w:val="20"/>
              </w:rPr>
            </w:pPr>
            <w:r>
              <w:rPr>
                <w:sz w:val="20"/>
              </w:rPr>
              <w:t>Below</w:t>
            </w:r>
            <w:r>
              <w:rPr>
                <w:spacing w:val="-2"/>
                <w:sz w:val="20"/>
              </w:rPr>
              <w:t xml:space="preserve"> </w:t>
            </w:r>
            <w:r>
              <w:rPr>
                <w:spacing w:val="-4"/>
                <w:sz w:val="20"/>
              </w:rPr>
              <w:t>Code</w:t>
            </w:r>
          </w:p>
        </w:tc>
        <w:tc>
          <w:tcPr>
            <w:tcW w:w="1766" w:type="dxa"/>
            <w:tcBorders>
              <w:bottom w:val="single" w:color="D9D9D9" w:sz="2" w:space="0"/>
            </w:tcBorders>
          </w:tcPr>
          <w:p w:rsidR="00C31389" w:rsidRDefault="00561FBD" w14:paraId="5841E658" w14:textId="77777777">
            <w:pPr>
              <w:pStyle w:val="TableParagraph"/>
              <w:ind w:left="150"/>
              <w:rPr>
                <w:sz w:val="20"/>
              </w:rPr>
            </w:pPr>
            <w:r>
              <w:rPr>
                <w:spacing w:val="-2"/>
                <w:sz w:val="20"/>
              </w:rPr>
              <w:t>Sq.Ft.insulation</w:t>
            </w:r>
          </w:p>
        </w:tc>
        <w:tc>
          <w:tcPr>
            <w:tcW w:w="1581" w:type="dxa"/>
            <w:tcBorders>
              <w:bottom w:val="single" w:color="D9D9D9" w:sz="2" w:space="0"/>
            </w:tcBorders>
          </w:tcPr>
          <w:p w:rsidR="00C31389" w:rsidRDefault="00561FBD" w14:paraId="732EADE9" w14:textId="77777777">
            <w:pPr>
              <w:pStyle w:val="TableParagraph"/>
              <w:ind w:left="198" w:right="178"/>
              <w:jc w:val="center"/>
              <w:rPr>
                <w:sz w:val="20"/>
              </w:rPr>
            </w:pPr>
            <w:r>
              <w:rPr>
                <w:spacing w:val="-4"/>
                <w:sz w:val="20"/>
              </w:rPr>
              <w:t>1,840</w:t>
            </w:r>
          </w:p>
        </w:tc>
        <w:tc>
          <w:tcPr>
            <w:tcW w:w="1513" w:type="dxa"/>
            <w:tcBorders>
              <w:bottom w:val="single" w:color="D9D9D9" w:sz="2" w:space="0"/>
            </w:tcBorders>
          </w:tcPr>
          <w:p w:rsidR="00C31389" w:rsidRDefault="00561FBD" w14:paraId="60D2ABB8" w14:textId="77777777">
            <w:pPr>
              <w:pStyle w:val="TableParagraph"/>
              <w:ind w:left="582"/>
              <w:rPr>
                <w:sz w:val="20"/>
              </w:rPr>
            </w:pPr>
            <w:r>
              <w:rPr>
                <w:spacing w:val="-5"/>
                <w:sz w:val="20"/>
              </w:rPr>
              <w:t>90%</w:t>
            </w:r>
          </w:p>
        </w:tc>
      </w:tr>
      <w:tr w:rsidR="00C31389" w14:paraId="14877420" w14:textId="77777777">
        <w:trPr>
          <w:trHeight w:val="309"/>
        </w:trPr>
        <w:tc>
          <w:tcPr>
            <w:tcW w:w="2451" w:type="dxa"/>
            <w:tcBorders>
              <w:top w:val="single" w:color="D9D9D9" w:sz="2" w:space="0"/>
              <w:bottom w:val="single" w:color="D9D9D9" w:sz="2" w:space="0"/>
            </w:tcBorders>
          </w:tcPr>
          <w:p w:rsidR="00C31389" w:rsidRDefault="00561FBD" w14:paraId="1D403655" w14:textId="77777777">
            <w:pPr>
              <w:pStyle w:val="TableParagraph"/>
              <w:ind w:left="129"/>
              <w:rPr>
                <w:sz w:val="20"/>
              </w:rPr>
            </w:pPr>
            <w:r>
              <w:rPr>
                <w:sz w:val="20"/>
              </w:rPr>
              <w:t>Floor</w:t>
            </w:r>
            <w:r>
              <w:rPr>
                <w:spacing w:val="-7"/>
                <w:sz w:val="20"/>
              </w:rPr>
              <w:t xml:space="preserve"> </w:t>
            </w:r>
            <w:r>
              <w:rPr>
                <w:sz w:val="20"/>
              </w:rPr>
              <w:t>Insulation</w:t>
            </w:r>
            <w:r>
              <w:rPr>
                <w:spacing w:val="-4"/>
                <w:sz w:val="20"/>
              </w:rPr>
              <w:t xml:space="preserve"> (R19)</w:t>
            </w:r>
          </w:p>
        </w:tc>
        <w:tc>
          <w:tcPr>
            <w:tcW w:w="2061" w:type="dxa"/>
            <w:tcBorders>
              <w:top w:val="single" w:color="D9D9D9" w:sz="2" w:space="0"/>
              <w:bottom w:val="single" w:color="D9D9D9" w:sz="2" w:space="0"/>
            </w:tcBorders>
          </w:tcPr>
          <w:p w:rsidR="00C31389" w:rsidRDefault="00561FBD" w14:paraId="43711F70" w14:textId="77777777">
            <w:pPr>
              <w:pStyle w:val="TableParagraph"/>
              <w:ind w:left="399"/>
              <w:rPr>
                <w:sz w:val="20"/>
              </w:rPr>
            </w:pPr>
            <w:r>
              <w:rPr>
                <w:spacing w:val="-4"/>
                <w:sz w:val="20"/>
              </w:rPr>
              <w:t>Code</w:t>
            </w:r>
          </w:p>
        </w:tc>
        <w:tc>
          <w:tcPr>
            <w:tcW w:w="1766" w:type="dxa"/>
            <w:tcBorders>
              <w:top w:val="single" w:color="D9D9D9" w:sz="2" w:space="0"/>
              <w:bottom w:val="single" w:color="D9D9D9" w:sz="2" w:space="0"/>
            </w:tcBorders>
          </w:tcPr>
          <w:p w:rsidR="00C31389" w:rsidRDefault="00561FBD" w14:paraId="65CFED3E" w14:textId="77777777">
            <w:pPr>
              <w:pStyle w:val="TableParagraph"/>
              <w:ind w:left="150"/>
              <w:rPr>
                <w:sz w:val="20"/>
              </w:rPr>
            </w:pPr>
            <w:r>
              <w:rPr>
                <w:spacing w:val="-2"/>
                <w:sz w:val="20"/>
              </w:rPr>
              <w:t>Sq.Ft.insulation</w:t>
            </w:r>
          </w:p>
        </w:tc>
        <w:tc>
          <w:tcPr>
            <w:tcW w:w="1581" w:type="dxa"/>
            <w:tcBorders>
              <w:top w:val="single" w:color="D9D9D9" w:sz="2" w:space="0"/>
              <w:bottom w:val="single" w:color="D9D9D9" w:sz="2" w:space="0"/>
            </w:tcBorders>
          </w:tcPr>
          <w:p w:rsidR="00C31389" w:rsidRDefault="00561FBD" w14:paraId="74CD5064" w14:textId="77777777">
            <w:pPr>
              <w:pStyle w:val="TableParagraph"/>
              <w:ind w:left="198" w:right="178"/>
              <w:jc w:val="center"/>
              <w:rPr>
                <w:sz w:val="20"/>
              </w:rPr>
            </w:pPr>
            <w:r>
              <w:rPr>
                <w:spacing w:val="-4"/>
                <w:sz w:val="20"/>
              </w:rPr>
              <w:t>1,840</w:t>
            </w:r>
          </w:p>
        </w:tc>
        <w:tc>
          <w:tcPr>
            <w:tcW w:w="1513" w:type="dxa"/>
            <w:tcBorders>
              <w:top w:val="single" w:color="D9D9D9" w:sz="2" w:space="0"/>
              <w:bottom w:val="single" w:color="D9D9D9" w:sz="2" w:space="0"/>
            </w:tcBorders>
          </w:tcPr>
          <w:p w:rsidR="00C31389" w:rsidRDefault="00561FBD" w14:paraId="0392099D" w14:textId="77777777">
            <w:pPr>
              <w:pStyle w:val="TableParagraph"/>
              <w:ind w:left="624" w:right="569"/>
              <w:jc w:val="center"/>
              <w:rPr>
                <w:sz w:val="20"/>
              </w:rPr>
            </w:pPr>
            <w:r>
              <w:rPr>
                <w:spacing w:val="-5"/>
                <w:sz w:val="20"/>
              </w:rPr>
              <w:t>8%</w:t>
            </w:r>
          </w:p>
        </w:tc>
      </w:tr>
      <w:tr w:rsidR="00C31389" w14:paraId="5365D4B6" w14:textId="77777777">
        <w:trPr>
          <w:trHeight w:val="308"/>
        </w:trPr>
        <w:tc>
          <w:tcPr>
            <w:tcW w:w="2451" w:type="dxa"/>
            <w:tcBorders>
              <w:top w:val="single" w:color="D9D9D9" w:sz="2" w:space="0"/>
              <w:bottom w:val="double" w:color="000000" w:sz="4" w:space="0"/>
            </w:tcBorders>
          </w:tcPr>
          <w:p w:rsidR="00C31389" w:rsidRDefault="00561FBD" w14:paraId="2B7EA9EC" w14:textId="77777777">
            <w:pPr>
              <w:pStyle w:val="TableParagraph"/>
              <w:ind w:left="129"/>
              <w:rPr>
                <w:sz w:val="20"/>
              </w:rPr>
            </w:pPr>
            <w:r>
              <w:rPr>
                <w:sz w:val="20"/>
              </w:rPr>
              <w:t>Floor</w:t>
            </w:r>
            <w:r>
              <w:rPr>
                <w:spacing w:val="-7"/>
                <w:sz w:val="20"/>
              </w:rPr>
              <w:t xml:space="preserve"> </w:t>
            </w:r>
            <w:r>
              <w:rPr>
                <w:sz w:val="20"/>
              </w:rPr>
              <w:t>Insulation</w:t>
            </w:r>
            <w:r>
              <w:rPr>
                <w:spacing w:val="-4"/>
                <w:sz w:val="20"/>
              </w:rPr>
              <w:t xml:space="preserve"> (R30)</w:t>
            </w:r>
          </w:p>
        </w:tc>
        <w:tc>
          <w:tcPr>
            <w:tcW w:w="2061" w:type="dxa"/>
            <w:tcBorders>
              <w:top w:val="single" w:color="D9D9D9" w:sz="2" w:space="0"/>
              <w:bottom w:val="double" w:color="000000" w:sz="4" w:space="0"/>
            </w:tcBorders>
          </w:tcPr>
          <w:p w:rsidR="00C31389" w:rsidRDefault="00561FBD" w14:paraId="35498259" w14:textId="77777777">
            <w:pPr>
              <w:pStyle w:val="TableParagraph"/>
              <w:ind w:left="399"/>
              <w:rPr>
                <w:sz w:val="20"/>
              </w:rPr>
            </w:pPr>
            <w:r>
              <w:rPr>
                <w:spacing w:val="-2"/>
                <w:sz w:val="20"/>
              </w:rPr>
              <w:t>Efficient</w:t>
            </w:r>
          </w:p>
        </w:tc>
        <w:tc>
          <w:tcPr>
            <w:tcW w:w="1766" w:type="dxa"/>
            <w:tcBorders>
              <w:top w:val="single" w:color="D9D9D9" w:sz="2" w:space="0"/>
              <w:bottom w:val="double" w:color="000000" w:sz="4" w:space="0"/>
            </w:tcBorders>
          </w:tcPr>
          <w:p w:rsidR="00C31389" w:rsidRDefault="00561FBD" w14:paraId="601A7256" w14:textId="77777777">
            <w:pPr>
              <w:pStyle w:val="TableParagraph"/>
              <w:ind w:left="150"/>
              <w:rPr>
                <w:sz w:val="20"/>
              </w:rPr>
            </w:pPr>
            <w:r>
              <w:rPr>
                <w:spacing w:val="-2"/>
                <w:sz w:val="20"/>
              </w:rPr>
              <w:t>Sq.Ft.insulation</w:t>
            </w:r>
          </w:p>
        </w:tc>
        <w:tc>
          <w:tcPr>
            <w:tcW w:w="1581" w:type="dxa"/>
            <w:tcBorders>
              <w:top w:val="single" w:color="D9D9D9" w:sz="2" w:space="0"/>
              <w:bottom w:val="double" w:color="000000" w:sz="4" w:space="0"/>
            </w:tcBorders>
          </w:tcPr>
          <w:p w:rsidR="00C31389" w:rsidRDefault="00561FBD" w14:paraId="71A13D8F" w14:textId="77777777">
            <w:pPr>
              <w:pStyle w:val="TableParagraph"/>
              <w:ind w:left="198" w:right="178"/>
              <w:jc w:val="center"/>
              <w:rPr>
                <w:sz w:val="20"/>
              </w:rPr>
            </w:pPr>
            <w:r>
              <w:rPr>
                <w:spacing w:val="-4"/>
                <w:sz w:val="20"/>
              </w:rPr>
              <w:t>1,840</w:t>
            </w:r>
          </w:p>
        </w:tc>
        <w:tc>
          <w:tcPr>
            <w:tcW w:w="1513" w:type="dxa"/>
            <w:tcBorders>
              <w:top w:val="single" w:color="D9D9D9" w:sz="2" w:space="0"/>
              <w:bottom w:val="double" w:color="000000" w:sz="4" w:space="0"/>
            </w:tcBorders>
          </w:tcPr>
          <w:p w:rsidR="00C31389" w:rsidRDefault="00561FBD" w14:paraId="51C37B81" w14:textId="77777777">
            <w:pPr>
              <w:pStyle w:val="TableParagraph"/>
              <w:ind w:left="624" w:right="569"/>
              <w:jc w:val="center"/>
              <w:rPr>
                <w:sz w:val="20"/>
              </w:rPr>
            </w:pPr>
            <w:r>
              <w:rPr>
                <w:spacing w:val="-5"/>
                <w:sz w:val="20"/>
              </w:rPr>
              <w:t>2%</w:t>
            </w:r>
          </w:p>
        </w:tc>
      </w:tr>
      <w:tr w:rsidR="00C31389" w14:paraId="01B1DC4B" w14:textId="77777777">
        <w:trPr>
          <w:trHeight w:val="310"/>
        </w:trPr>
        <w:tc>
          <w:tcPr>
            <w:tcW w:w="2451" w:type="dxa"/>
            <w:tcBorders>
              <w:top w:val="double" w:color="000000" w:sz="4" w:space="0"/>
              <w:bottom w:val="single" w:color="000000" w:sz="8" w:space="0"/>
            </w:tcBorders>
          </w:tcPr>
          <w:p w:rsidR="00C31389" w:rsidRDefault="00561FBD" w14:paraId="049E2396" w14:textId="77777777">
            <w:pPr>
              <w:pStyle w:val="TableParagraph"/>
              <w:spacing w:before="41"/>
              <w:ind w:left="129"/>
              <w:rPr>
                <w:b/>
                <w:sz w:val="20"/>
              </w:rPr>
            </w:pPr>
            <w:r>
              <w:rPr>
                <w:b/>
                <w:spacing w:val="-2"/>
                <w:sz w:val="20"/>
              </w:rPr>
              <w:t>Total</w:t>
            </w:r>
          </w:p>
        </w:tc>
        <w:tc>
          <w:tcPr>
            <w:tcW w:w="2061" w:type="dxa"/>
            <w:tcBorders>
              <w:top w:val="double" w:color="000000" w:sz="4" w:space="0"/>
              <w:bottom w:val="single" w:color="000000" w:sz="8" w:space="0"/>
            </w:tcBorders>
          </w:tcPr>
          <w:p w:rsidR="00C31389" w:rsidRDefault="00C31389" w14:paraId="41C7E053" w14:textId="77777777">
            <w:pPr>
              <w:pStyle w:val="TableParagraph"/>
              <w:spacing w:before="0"/>
              <w:rPr>
                <w:rFonts w:ascii="Times New Roman"/>
                <w:sz w:val="20"/>
              </w:rPr>
            </w:pPr>
          </w:p>
        </w:tc>
        <w:tc>
          <w:tcPr>
            <w:tcW w:w="1766" w:type="dxa"/>
            <w:tcBorders>
              <w:top w:val="double" w:color="000000" w:sz="4" w:space="0"/>
              <w:bottom w:val="single" w:color="000000" w:sz="8" w:space="0"/>
            </w:tcBorders>
          </w:tcPr>
          <w:p w:rsidR="00C31389" w:rsidRDefault="00C31389" w14:paraId="2BF597C9" w14:textId="77777777">
            <w:pPr>
              <w:pStyle w:val="TableParagraph"/>
              <w:spacing w:before="0"/>
              <w:rPr>
                <w:rFonts w:ascii="Times New Roman"/>
                <w:sz w:val="20"/>
              </w:rPr>
            </w:pPr>
          </w:p>
        </w:tc>
        <w:tc>
          <w:tcPr>
            <w:tcW w:w="1581" w:type="dxa"/>
            <w:tcBorders>
              <w:top w:val="double" w:color="000000" w:sz="4" w:space="0"/>
              <w:bottom w:val="single" w:color="000000" w:sz="8" w:space="0"/>
            </w:tcBorders>
          </w:tcPr>
          <w:p w:rsidR="00C31389" w:rsidRDefault="00561FBD" w14:paraId="07CCC660" w14:textId="77777777">
            <w:pPr>
              <w:pStyle w:val="TableParagraph"/>
              <w:spacing w:before="41"/>
              <w:ind w:left="198" w:right="178"/>
              <w:jc w:val="center"/>
              <w:rPr>
                <w:b/>
                <w:sz w:val="20"/>
              </w:rPr>
            </w:pPr>
            <w:r>
              <w:rPr>
                <w:b/>
                <w:spacing w:val="-4"/>
                <w:sz w:val="20"/>
              </w:rPr>
              <w:t>1,840</w:t>
            </w:r>
          </w:p>
        </w:tc>
        <w:tc>
          <w:tcPr>
            <w:tcW w:w="1513" w:type="dxa"/>
            <w:tcBorders>
              <w:top w:val="double" w:color="000000" w:sz="4" w:space="0"/>
              <w:bottom w:val="single" w:color="000000" w:sz="8" w:space="0"/>
            </w:tcBorders>
          </w:tcPr>
          <w:p w:rsidR="00C31389" w:rsidRDefault="00561FBD" w14:paraId="55E307DF" w14:textId="77777777">
            <w:pPr>
              <w:pStyle w:val="TableParagraph"/>
              <w:spacing w:before="41"/>
              <w:ind w:left="527"/>
              <w:rPr>
                <w:b/>
                <w:sz w:val="20"/>
              </w:rPr>
            </w:pPr>
            <w:r>
              <w:rPr>
                <w:b/>
                <w:spacing w:val="-4"/>
                <w:sz w:val="20"/>
              </w:rPr>
              <w:t>100%</w:t>
            </w:r>
          </w:p>
        </w:tc>
      </w:tr>
    </w:tbl>
    <w:p w:rsidR="00C31389" w:rsidRDefault="00561FBD" w14:paraId="1F5CDA67"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48335AE4" w14:textId="77777777">
      <w:pPr>
        <w:pStyle w:val="BodyText"/>
        <w:spacing w:before="11"/>
        <w:rPr>
          <w:i/>
          <w:sz w:val="20"/>
        </w:rPr>
      </w:pPr>
    </w:p>
    <w:p w:rsidR="00C31389" w:rsidRDefault="00561FBD" w14:paraId="7532B384" w14:textId="77777777">
      <w:pPr>
        <w:pStyle w:val="BodyText"/>
        <w:ind w:left="479" w:right="533"/>
      </w:pPr>
      <w:r>
        <w:t>The table shows that an average single-family home in PG&amp;E’s territory has 1,840 square feet of floor insulation per home, which is the density</w:t>
      </w:r>
      <w:r>
        <w:rPr>
          <w:spacing w:val="-1"/>
        </w:rPr>
        <w:t xml:space="preserve"> </w:t>
      </w:r>
      <w:r>
        <w:t>for floor insulation in</w:t>
      </w:r>
      <w:r>
        <w:rPr>
          <w:spacing w:val="-1"/>
        </w:rPr>
        <w:t xml:space="preserve"> </w:t>
      </w:r>
      <w:r>
        <w:t>single-family homes. The saturations</w:t>
      </w:r>
      <w:r>
        <w:rPr>
          <w:spacing w:val="-1"/>
        </w:rPr>
        <w:t xml:space="preserve"> </w:t>
      </w:r>
      <w:r>
        <w:t>of below</w:t>
      </w:r>
      <w:r>
        <w:rPr>
          <w:spacing w:val="-1"/>
        </w:rPr>
        <w:t xml:space="preserve"> </w:t>
      </w:r>
      <w:r>
        <w:t>code, code-compliant, and efficient floor insulation</w:t>
      </w:r>
      <w:r>
        <w:rPr>
          <w:spacing w:val="-1"/>
        </w:rPr>
        <w:t xml:space="preserve"> </w:t>
      </w:r>
      <w:r>
        <w:t>for single-family homes is</w:t>
      </w:r>
      <w:r>
        <w:rPr>
          <w:spacing w:val="-3"/>
        </w:rPr>
        <w:t xml:space="preserve"> </w:t>
      </w:r>
      <w:r>
        <w:t>90%,</w:t>
      </w:r>
      <w:r>
        <w:rPr>
          <w:spacing w:val="-3"/>
        </w:rPr>
        <w:t xml:space="preserve"> </w:t>
      </w:r>
      <w:r>
        <w:t>8%,</w:t>
      </w:r>
      <w:r>
        <w:rPr>
          <w:spacing w:val="-3"/>
        </w:rPr>
        <w:t xml:space="preserve"> </w:t>
      </w:r>
      <w:r>
        <w:t>and</w:t>
      </w:r>
      <w:r>
        <w:rPr>
          <w:spacing w:val="-3"/>
        </w:rPr>
        <w:t xml:space="preserve"> </w:t>
      </w:r>
      <w:r>
        <w:t>2%,</w:t>
      </w:r>
      <w:r>
        <w:rPr>
          <w:spacing w:val="-3"/>
        </w:rPr>
        <w:t xml:space="preserve"> </w:t>
      </w:r>
      <w:r>
        <w:t>respectively.</w:t>
      </w:r>
      <w:r>
        <w:rPr>
          <w:spacing w:val="-3"/>
        </w:rPr>
        <w:t xml:space="preserve"> </w:t>
      </w:r>
      <w:r>
        <w:t>This</w:t>
      </w:r>
      <w:r>
        <w:rPr>
          <w:spacing w:val="-3"/>
        </w:rPr>
        <w:t xml:space="preserve"> </w:t>
      </w:r>
      <w:r>
        <w:t>means</w:t>
      </w:r>
      <w:r>
        <w:rPr>
          <w:spacing w:val="-3"/>
        </w:rPr>
        <w:t xml:space="preserve"> </w:t>
      </w:r>
      <w:r>
        <w:t>that</w:t>
      </w:r>
      <w:r>
        <w:rPr>
          <w:spacing w:val="-3"/>
        </w:rPr>
        <w:t xml:space="preserve"> </w:t>
      </w:r>
      <w:r>
        <w:t>90%</w:t>
      </w:r>
      <w:r>
        <w:rPr>
          <w:spacing w:val="-3"/>
        </w:rPr>
        <w:t xml:space="preserve"> </w:t>
      </w:r>
      <w:r>
        <w:t>of</w:t>
      </w:r>
      <w:r>
        <w:rPr>
          <w:spacing w:val="-3"/>
        </w:rPr>
        <w:t xml:space="preserve"> </w:t>
      </w:r>
      <w:r>
        <w:t>existing</w:t>
      </w:r>
      <w:r>
        <w:rPr>
          <w:spacing w:val="-3"/>
        </w:rPr>
        <w:t xml:space="preserve"> </w:t>
      </w:r>
      <w:r>
        <w:t>floor</w:t>
      </w:r>
      <w:r>
        <w:rPr>
          <w:spacing w:val="-3"/>
        </w:rPr>
        <w:t xml:space="preserve"> </w:t>
      </w:r>
      <w:r>
        <w:t>insulation</w:t>
      </w:r>
      <w:r>
        <w:rPr>
          <w:spacing w:val="-3"/>
        </w:rPr>
        <w:t xml:space="preserve"> </w:t>
      </w:r>
      <w:r>
        <w:t>is</w:t>
      </w:r>
      <w:r>
        <w:rPr>
          <w:spacing w:val="-3"/>
        </w:rPr>
        <w:t xml:space="preserve"> </w:t>
      </w:r>
      <w:r>
        <w:t>at</w:t>
      </w:r>
      <w:r>
        <w:rPr>
          <w:spacing w:val="-3"/>
        </w:rPr>
        <w:t xml:space="preserve"> </w:t>
      </w:r>
      <w:r>
        <w:t>a</w:t>
      </w:r>
      <w:r>
        <w:rPr>
          <w:spacing w:val="-3"/>
        </w:rPr>
        <w:t xml:space="preserve"> </w:t>
      </w:r>
      <w:r>
        <w:t xml:space="preserve">below code level, 8% is at code, and 2% </w:t>
      </w:r>
      <w:r>
        <w:t>is above code. The saturation changes over time with population</w:t>
      </w:r>
      <w:r>
        <w:rPr>
          <w:spacing w:val="-3"/>
        </w:rPr>
        <w:t xml:space="preserve"> </w:t>
      </w:r>
      <w:r>
        <w:t>growth</w:t>
      </w:r>
      <w:r>
        <w:rPr>
          <w:spacing w:val="-3"/>
        </w:rPr>
        <w:t xml:space="preserve"> </w:t>
      </w:r>
      <w:r>
        <w:t>and</w:t>
      </w:r>
      <w:r>
        <w:rPr>
          <w:spacing w:val="-3"/>
        </w:rPr>
        <w:t xml:space="preserve"> </w:t>
      </w:r>
      <w:r>
        <w:t>stock</w:t>
      </w:r>
      <w:r>
        <w:rPr>
          <w:spacing w:val="-3"/>
        </w:rPr>
        <w:t xml:space="preserve"> </w:t>
      </w:r>
      <w:r>
        <w:t>turnover</w:t>
      </w:r>
      <w:r>
        <w:rPr>
          <w:spacing w:val="-4"/>
        </w:rPr>
        <w:t xml:space="preserve"> </w:t>
      </w:r>
      <w:r>
        <w:t>as</w:t>
      </w:r>
      <w:r>
        <w:rPr>
          <w:spacing w:val="-3"/>
        </w:rPr>
        <w:t xml:space="preserve"> </w:t>
      </w:r>
      <w:r>
        <w:t>more</w:t>
      </w:r>
      <w:r>
        <w:rPr>
          <w:spacing w:val="-3"/>
        </w:rPr>
        <w:t xml:space="preserve"> </w:t>
      </w:r>
      <w:r>
        <w:t>below</w:t>
      </w:r>
      <w:r>
        <w:rPr>
          <w:spacing w:val="-4"/>
        </w:rPr>
        <w:t xml:space="preserve"> </w:t>
      </w:r>
      <w:r>
        <w:t>code</w:t>
      </w:r>
      <w:r>
        <w:rPr>
          <w:spacing w:val="-3"/>
        </w:rPr>
        <w:t xml:space="preserve"> </w:t>
      </w:r>
      <w:r>
        <w:t>stock</w:t>
      </w:r>
      <w:r>
        <w:rPr>
          <w:spacing w:val="-3"/>
        </w:rPr>
        <w:t xml:space="preserve"> </w:t>
      </w:r>
      <w:r>
        <w:t>gets</w:t>
      </w:r>
      <w:r>
        <w:rPr>
          <w:spacing w:val="-3"/>
        </w:rPr>
        <w:t xml:space="preserve"> </w:t>
      </w:r>
      <w:r>
        <w:t>replaced</w:t>
      </w:r>
      <w:r>
        <w:rPr>
          <w:spacing w:val="-3"/>
        </w:rPr>
        <w:t xml:space="preserve"> </w:t>
      </w:r>
      <w:r>
        <w:t>with</w:t>
      </w:r>
      <w:r>
        <w:rPr>
          <w:spacing w:val="-3"/>
        </w:rPr>
        <w:t xml:space="preserve"> </w:t>
      </w:r>
      <w:r>
        <w:t>at</w:t>
      </w:r>
      <w:r>
        <w:rPr>
          <w:spacing w:val="-4"/>
        </w:rPr>
        <w:t xml:space="preserve"> </w:t>
      </w:r>
      <w:r>
        <w:t>code</w:t>
      </w:r>
      <w:r>
        <w:rPr>
          <w:spacing w:val="-3"/>
        </w:rPr>
        <w:t xml:space="preserve"> </w:t>
      </w:r>
      <w:r>
        <w:t>and higher efficiency stock.</w:t>
      </w:r>
    </w:p>
    <w:p w:rsidR="00C31389" w:rsidRDefault="00C31389" w14:paraId="351DD53A" w14:textId="77777777">
      <w:pPr>
        <w:pStyle w:val="BodyText"/>
        <w:spacing w:before="9"/>
        <w:rPr>
          <w:sz w:val="20"/>
        </w:rPr>
      </w:pPr>
    </w:p>
    <w:p w:rsidR="00C31389" w:rsidRDefault="00561FBD" w14:paraId="5489D8BA" w14:textId="77777777">
      <w:pPr>
        <w:pStyle w:val="BodyText"/>
        <w:ind w:left="479" w:right="497"/>
      </w:pPr>
      <w:r>
        <w:t xml:space="preserve">Measure characterization also requires specifying the technical suitability factor. </w:t>
      </w:r>
      <w:r>
        <w:t>Technical suitability refers to the percentage of customers with the physical or infrastructural prerequisites to install a technology. Technical suitability is less than 100% for technologies that cannot physically be installed in some cases. For example,</w:t>
      </w:r>
      <w:r>
        <w:t xml:space="preserve"> the technical suitability for geothermal heat pumps is less than 100%</w:t>
      </w:r>
      <w:r>
        <w:rPr>
          <w:spacing w:val="-1"/>
        </w:rPr>
        <w:t xml:space="preserve"> </w:t>
      </w:r>
      <w:r>
        <w:t>because not all homes</w:t>
      </w:r>
      <w:r>
        <w:rPr>
          <w:spacing w:val="-1"/>
        </w:rPr>
        <w:t xml:space="preserve"> </w:t>
      </w:r>
      <w:r>
        <w:t>have access</w:t>
      </w:r>
      <w:r>
        <w:rPr>
          <w:spacing w:val="-1"/>
        </w:rPr>
        <w:t xml:space="preserve"> </w:t>
      </w:r>
      <w:r>
        <w:t>to space below</w:t>
      </w:r>
      <w:r>
        <w:rPr>
          <w:spacing w:val="-1"/>
        </w:rPr>
        <w:t xml:space="preserve"> </w:t>
      </w:r>
      <w:r>
        <w:t>the ground where a heat exchanger loop can be installed. The technical suitability factor assumptions are based on</w:t>
      </w:r>
      <w:r>
        <w:rPr>
          <w:spacing w:val="-3"/>
        </w:rPr>
        <w:t xml:space="preserve"> </w:t>
      </w:r>
      <w:r>
        <w:t>data</w:t>
      </w:r>
      <w:r>
        <w:rPr>
          <w:spacing w:val="-3"/>
        </w:rPr>
        <w:t xml:space="preserve"> </w:t>
      </w:r>
      <w:r>
        <w:t>sources,</w:t>
      </w:r>
      <w:r>
        <w:rPr>
          <w:spacing w:val="-3"/>
        </w:rPr>
        <w:t xml:space="preserve"> </w:t>
      </w:r>
      <w:r>
        <w:t>whereve</w:t>
      </w:r>
      <w:r>
        <w:t>r</w:t>
      </w:r>
      <w:r>
        <w:rPr>
          <w:spacing w:val="-3"/>
        </w:rPr>
        <w:t xml:space="preserve"> </w:t>
      </w:r>
      <w:r>
        <w:t>available,</w:t>
      </w:r>
      <w:r>
        <w:rPr>
          <w:spacing w:val="-4"/>
        </w:rPr>
        <w:t xml:space="preserve"> </w:t>
      </w:r>
      <w:r>
        <w:t>and</w:t>
      </w:r>
      <w:r>
        <w:rPr>
          <w:spacing w:val="-3"/>
        </w:rPr>
        <w:t xml:space="preserve"> </w:t>
      </w:r>
      <w:r>
        <w:t>the</w:t>
      </w:r>
      <w:r>
        <w:rPr>
          <w:spacing w:val="-3"/>
        </w:rPr>
        <w:t xml:space="preserve"> </w:t>
      </w:r>
      <w:r>
        <w:t>team’s</w:t>
      </w:r>
      <w:r>
        <w:rPr>
          <w:spacing w:val="-3"/>
        </w:rPr>
        <w:t xml:space="preserve"> </w:t>
      </w:r>
      <w:r>
        <w:t>industry</w:t>
      </w:r>
      <w:r>
        <w:rPr>
          <w:spacing w:val="-4"/>
        </w:rPr>
        <w:t xml:space="preserve"> </w:t>
      </w:r>
      <w:r>
        <w:t>and</w:t>
      </w:r>
      <w:r>
        <w:rPr>
          <w:spacing w:val="-3"/>
        </w:rPr>
        <w:t xml:space="preserve"> </w:t>
      </w:r>
      <w:r>
        <w:t>subject</w:t>
      </w:r>
      <w:r>
        <w:rPr>
          <w:spacing w:val="-4"/>
        </w:rPr>
        <w:t xml:space="preserve"> </w:t>
      </w:r>
      <w:r>
        <w:t>matter</w:t>
      </w:r>
      <w:r>
        <w:rPr>
          <w:spacing w:val="-3"/>
        </w:rPr>
        <w:t xml:space="preserve"> </w:t>
      </w:r>
      <w:r>
        <w:t>expertise</w:t>
      </w:r>
      <w:r>
        <w:rPr>
          <w:spacing w:val="-3"/>
        </w:rPr>
        <w:t xml:space="preserve"> </w:t>
      </w:r>
      <w:r>
        <w:t>in</w:t>
      </w:r>
      <w:r>
        <w:rPr>
          <w:spacing w:val="-3"/>
        </w:rPr>
        <w:t xml:space="preserve"> </w:t>
      </w:r>
      <w:r>
        <w:t xml:space="preserve">the </w:t>
      </w:r>
      <w:r>
        <w:rPr>
          <w:spacing w:val="-2"/>
        </w:rPr>
        <w:t>area.</w:t>
      </w:r>
    </w:p>
    <w:p w:rsidR="00C31389" w:rsidRDefault="00C31389" w14:paraId="474C3C6C" w14:textId="77777777">
      <w:pPr>
        <w:pStyle w:val="BodyText"/>
        <w:spacing w:before="10"/>
        <w:rPr>
          <w:sz w:val="20"/>
        </w:rPr>
      </w:pPr>
    </w:p>
    <w:p w:rsidR="00C31389" w:rsidRDefault="00561FBD" w14:paraId="52B6E7CE" w14:textId="77777777">
      <w:pPr>
        <w:pStyle w:val="BodyText"/>
        <w:spacing w:before="1"/>
        <w:ind w:left="480" w:right="518"/>
        <w:rPr>
          <w:sz w:val="14"/>
        </w:rPr>
      </w:pPr>
      <w:r>
        <w:t xml:space="preserve">As noted in </w:t>
      </w:r>
      <w:hyperlink w:history="1" w:anchor="_bookmark115">
        <w:r>
          <w:t>3.2.1</w:t>
        </w:r>
      </w:hyperlink>
      <w:r>
        <w:t>, for the 2023 Study Guidehouse added residential FS technology groups to represent the portion of homes that may require an electrical panel upgrade to substitute from gas</w:t>
      </w:r>
      <w:r>
        <w:rPr>
          <w:spacing w:val="-3"/>
        </w:rPr>
        <w:t xml:space="preserve"> </w:t>
      </w:r>
      <w:r>
        <w:t>to</w:t>
      </w:r>
      <w:r>
        <w:rPr>
          <w:spacing w:val="-3"/>
        </w:rPr>
        <w:t xml:space="preserve"> </w:t>
      </w:r>
      <w:r>
        <w:t>electricity.</w:t>
      </w:r>
      <w:r>
        <w:rPr>
          <w:spacing w:val="-3"/>
        </w:rPr>
        <w:t xml:space="preserve"> </w:t>
      </w:r>
      <w:r>
        <w:t>Based</w:t>
      </w:r>
      <w:r>
        <w:rPr>
          <w:spacing w:val="-4"/>
        </w:rPr>
        <w:t xml:space="preserve"> </w:t>
      </w:r>
      <w:r>
        <w:t>on</w:t>
      </w:r>
      <w:r>
        <w:rPr>
          <w:spacing w:val="-3"/>
        </w:rPr>
        <w:t xml:space="preserve"> </w:t>
      </w:r>
      <w:r>
        <w:t>the</w:t>
      </w:r>
      <w:r>
        <w:rPr>
          <w:spacing w:val="-3"/>
        </w:rPr>
        <w:t xml:space="preserve"> </w:t>
      </w:r>
      <w:r>
        <w:t>findings</w:t>
      </w:r>
      <w:r>
        <w:rPr>
          <w:spacing w:val="-3"/>
        </w:rPr>
        <w:t xml:space="preserve"> </w:t>
      </w:r>
      <w:r>
        <w:t>of</w:t>
      </w:r>
      <w:r>
        <w:rPr>
          <w:spacing w:val="-3"/>
        </w:rPr>
        <w:t xml:space="preserve"> </w:t>
      </w:r>
      <w:r>
        <w:t>the</w:t>
      </w:r>
      <w:r>
        <w:rPr>
          <w:spacing w:val="-3"/>
        </w:rPr>
        <w:t xml:space="preserve"> </w:t>
      </w:r>
      <w:r>
        <w:t>pan</w:t>
      </w:r>
      <w:r>
        <w:t>el</w:t>
      </w:r>
      <w:r>
        <w:rPr>
          <w:spacing w:val="-3"/>
        </w:rPr>
        <w:t xml:space="preserve"> </w:t>
      </w:r>
      <w:r>
        <w:t>upgrade</w:t>
      </w:r>
      <w:r>
        <w:rPr>
          <w:spacing w:val="-4"/>
        </w:rPr>
        <w:t xml:space="preserve"> </w:t>
      </w:r>
      <w:r>
        <w:t>research</w:t>
      </w:r>
      <w:r>
        <w:rPr>
          <w:spacing w:val="-3"/>
        </w:rPr>
        <w:t xml:space="preserve"> </w:t>
      </w:r>
      <w:r>
        <w:t>described</w:t>
      </w:r>
      <w:r>
        <w:rPr>
          <w:spacing w:val="-3"/>
        </w:rPr>
        <w:t xml:space="preserve"> </w:t>
      </w:r>
      <w:r>
        <w:t>in</w:t>
      </w:r>
      <w:r>
        <w:rPr>
          <w:spacing w:val="-2"/>
        </w:rPr>
        <w:t xml:space="preserve"> </w:t>
      </w:r>
      <w:hyperlink w:history="1" w:anchor="_bookmark276">
        <w:r>
          <w:t>Appendix</w:t>
        </w:r>
        <w:r>
          <w:rPr>
            <w:spacing w:val="-3"/>
          </w:rPr>
          <w:t xml:space="preserve"> </w:t>
        </w:r>
        <w:r>
          <w:t>C</w:t>
        </w:r>
      </w:hyperlink>
      <w:r>
        <w:t>, Guidehouse split the total density for a FS technology among the panel upgrade and non-panel upgrade. For example, if the total density of reside</w:t>
      </w:r>
      <w:r>
        <w:t>ntial gas stove is 0.75 per household and the estimated proportion of homes that would require a panel upgrade for induction cooking FS is one-third, then the total density would be split up to 0.25 stovetops per household in the panel upgrade technology g</w:t>
      </w:r>
      <w:r>
        <w:t>roup and 0.5 stovetops per household in the non-panel upgrade technology group.</w:t>
      </w:r>
      <w:r>
        <w:rPr>
          <w:spacing w:val="-31"/>
        </w:rPr>
        <w:t xml:space="preserve"> </w:t>
      </w:r>
      <w:hyperlink w:history="1" w:anchor="_bookmark132">
        <w:r>
          <w:rPr>
            <w:position w:val="7"/>
            <w:sz w:val="14"/>
          </w:rPr>
          <w:t>39</w:t>
        </w:r>
      </w:hyperlink>
    </w:p>
    <w:p w:rsidR="00C31389" w:rsidRDefault="00C31389" w14:paraId="4DE7AB3E" w14:textId="77777777">
      <w:pPr>
        <w:pStyle w:val="BodyText"/>
        <w:spacing w:before="10"/>
        <w:rPr>
          <w:sz w:val="20"/>
        </w:rPr>
      </w:pPr>
    </w:p>
    <w:p w:rsidR="00C31389" w:rsidRDefault="00561FBD" w14:paraId="4BA14875" w14:textId="77777777">
      <w:pPr>
        <w:pStyle w:val="Heading8"/>
        <w:numPr>
          <w:ilvl w:val="3"/>
          <w:numId w:val="71"/>
        </w:numPr>
        <w:tabs>
          <w:tab w:val="left" w:pos="1212"/>
        </w:tabs>
        <w:ind w:left="1212" w:hanging="732"/>
      </w:pPr>
      <w:bookmarkStart w:name="3.2.2.4_Effect_of_2030_Natural_Gas_Appli" w:id="177"/>
      <w:bookmarkEnd w:id="177"/>
      <w:r>
        <w:t>Effect</w:t>
      </w:r>
      <w:r>
        <w:rPr>
          <w:spacing w:val="-7"/>
        </w:rPr>
        <w:t xml:space="preserve"> </w:t>
      </w:r>
      <w:r>
        <w:t>of</w:t>
      </w:r>
      <w:r>
        <w:rPr>
          <w:spacing w:val="-7"/>
        </w:rPr>
        <w:t xml:space="preserve"> </w:t>
      </w:r>
      <w:r>
        <w:t>2030</w:t>
      </w:r>
      <w:r>
        <w:rPr>
          <w:spacing w:val="-6"/>
        </w:rPr>
        <w:t xml:space="preserve"> </w:t>
      </w:r>
      <w:r>
        <w:t>Natural</w:t>
      </w:r>
      <w:r>
        <w:rPr>
          <w:spacing w:val="-7"/>
        </w:rPr>
        <w:t xml:space="preserve"> </w:t>
      </w:r>
      <w:r>
        <w:t>Gas</w:t>
      </w:r>
      <w:r>
        <w:rPr>
          <w:spacing w:val="-6"/>
        </w:rPr>
        <w:t xml:space="preserve"> </w:t>
      </w:r>
      <w:r>
        <w:t>Appliance</w:t>
      </w:r>
      <w:r>
        <w:rPr>
          <w:spacing w:val="-7"/>
        </w:rPr>
        <w:t xml:space="preserve"> </w:t>
      </w:r>
      <w:r>
        <w:rPr>
          <w:spacing w:val="-5"/>
        </w:rPr>
        <w:t>Ban</w:t>
      </w:r>
    </w:p>
    <w:p w:rsidR="00C31389" w:rsidRDefault="00C31389" w14:paraId="05658FAB" w14:textId="77777777">
      <w:pPr>
        <w:pStyle w:val="BodyText"/>
        <w:spacing w:before="9"/>
        <w:rPr>
          <w:b/>
          <w:i/>
          <w:sz w:val="20"/>
        </w:rPr>
      </w:pPr>
    </w:p>
    <w:p w:rsidR="00C31389" w:rsidRDefault="00561FBD" w14:paraId="24453A76" w14:textId="77777777">
      <w:pPr>
        <w:pStyle w:val="BodyText"/>
        <w:ind w:left="480" w:right="533"/>
      </w:pPr>
      <w:r>
        <w:t xml:space="preserve">In September 2022, the California Air Resources Board </w:t>
      </w:r>
      <w:r>
        <w:t>(CARB) published a state implementation plan (SIP) memo to propose a “zero-emission standard for space and water heaters,”</w:t>
      </w:r>
      <w:r>
        <w:rPr>
          <w:spacing w:val="-3"/>
        </w:rPr>
        <w:t xml:space="preserve"> </w:t>
      </w:r>
      <w:r>
        <w:t>which</w:t>
      </w:r>
      <w:r>
        <w:rPr>
          <w:spacing w:val="-3"/>
        </w:rPr>
        <w:t xml:space="preserve"> </w:t>
      </w:r>
      <w:r>
        <w:t>would</w:t>
      </w:r>
      <w:r>
        <w:rPr>
          <w:spacing w:val="-3"/>
        </w:rPr>
        <w:t xml:space="preserve"> </w:t>
      </w:r>
      <w:r>
        <w:t>ban</w:t>
      </w:r>
      <w:r>
        <w:rPr>
          <w:spacing w:val="-3"/>
        </w:rPr>
        <w:t xml:space="preserve"> </w:t>
      </w:r>
      <w:r>
        <w:t>the</w:t>
      </w:r>
      <w:r>
        <w:rPr>
          <w:spacing w:val="-3"/>
        </w:rPr>
        <w:t xml:space="preserve"> </w:t>
      </w:r>
      <w:r>
        <w:t>sale</w:t>
      </w:r>
      <w:r>
        <w:rPr>
          <w:spacing w:val="-3"/>
        </w:rPr>
        <w:t xml:space="preserve"> </w:t>
      </w:r>
      <w:r>
        <w:t>of</w:t>
      </w:r>
      <w:r>
        <w:rPr>
          <w:spacing w:val="-4"/>
        </w:rPr>
        <w:t xml:space="preserve"> </w:t>
      </w:r>
      <w:r>
        <w:t>natural</w:t>
      </w:r>
      <w:r>
        <w:rPr>
          <w:spacing w:val="-3"/>
        </w:rPr>
        <w:t xml:space="preserve"> </w:t>
      </w:r>
      <w:r>
        <w:t>gas-burning</w:t>
      </w:r>
      <w:r>
        <w:rPr>
          <w:spacing w:val="-3"/>
        </w:rPr>
        <w:t xml:space="preserve"> </w:t>
      </w:r>
      <w:r>
        <w:t>HVAC</w:t>
      </w:r>
      <w:r>
        <w:rPr>
          <w:spacing w:val="-4"/>
        </w:rPr>
        <w:t xml:space="preserve"> </w:t>
      </w:r>
      <w:r>
        <w:t>and</w:t>
      </w:r>
      <w:r>
        <w:rPr>
          <w:spacing w:val="-3"/>
        </w:rPr>
        <w:t xml:space="preserve"> </w:t>
      </w:r>
      <w:r>
        <w:t>water</w:t>
      </w:r>
      <w:r>
        <w:rPr>
          <w:spacing w:val="-3"/>
        </w:rPr>
        <w:t xml:space="preserve"> </w:t>
      </w:r>
      <w:r>
        <w:t>heating</w:t>
      </w:r>
      <w:r>
        <w:rPr>
          <w:spacing w:val="-3"/>
        </w:rPr>
        <w:t xml:space="preserve"> </w:t>
      </w:r>
      <w:r>
        <w:t>appliances</w:t>
      </w:r>
    </w:p>
    <w:p w:rsidR="00C31389" w:rsidRDefault="00C31389" w14:paraId="0EE08235" w14:textId="77777777">
      <w:pPr>
        <w:pStyle w:val="BodyText"/>
        <w:rPr>
          <w:sz w:val="20"/>
        </w:rPr>
      </w:pPr>
    </w:p>
    <w:p w:rsidR="00C31389" w:rsidRDefault="00C31389" w14:paraId="55EFEDB7" w14:textId="77777777">
      <w:pPr>
        <w:pStyle w:val="BodyText"/>
        <w:rPr>
          <w:sz w:val="20"/>
        </w:rPr>
      </w:pPr>
    </w:p>
    <w:p w:rsidR="00C31389" w:rsidRDefault="00561FBD" w14:paraId="707F63BD" w14:textId="77777777">
      <w:pPr>
        <w:pStyle w:val="BodyText"/>
        <w:spacing w:before="5"/>
        <w:rPr>
          <w:sz w:val="14"/>
        </w:rPr>
      </w:pPr>
      <w:r>
        <w:rPr>
          <w:noProof/>
        </w:rPr>
        <mc:AlternateContent>
          <mc:Choice Requires="wps">
            <w:drawing>
              <wp:anchor distT="0" distB="0" distL="0" distR="0" simplePos="0" relativeHeight="487633920" behindDoc="1" locked="0" layoutInCell="1" allowOverlap="1" wp14:editId="5718DAA1" wp14:anchorId="07AEC71A">
                <wp:simplePos x="0" y="0"/>
                <wp:positionH relativeFrom="page">
                  <wp:posOffset>914400</wp:posOffset>
                </wp:positionH>
                <wp:positionV relativeFrom="paragraph">
                  <wp:posOffset>121002</wp:posOffset>
                </wp:positionV>
                <wp:extent cx="1828800" cy="6985"/>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5" style="position:absolute;margin-left:1in;margin-top:9.55pt;width:2in;height:.55pt;z-index:-1568256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" w14:anchorId="0D40BD8E">
                <v:path arrowok="t"/>
                <w10:wrap type="topAndBottom" anchorx="page"/>
              </v:shape>
            </w:pict>
          </mc:Fallback>
        </mc:AlternateContent>
      </w:r>
    </w:p>
    <w:p w:rsidR="00C31389" w:rsidRDefault="00561FBD" w14:paraId="622236D4" w14:textId="77777777">
      <w:pPr>
        <w:spacing w:before="89"/>
        <w:ind w:left="480"/>
        <w:rPr>
          <w:sz w:val="18"/>
        </w:rPr>
      </w:pPr>
      <w:bookmarkStart w:name="_bookmark132" w:id="178"/>
      <w:bookmarkEnd w:id="178"/>
      <w:r>
        <w:rPr>
          <w:position w:val="6"/>
          <w:sz w:val="12"/>
        </w:rPr>
        <w:t>39</w:t>
      </w:r>
      <w:r>
        <w:rPr>
          <w:spacing w:val="14"/>
          <w:position w:val="6"/>
          <w:sz w:val="12"/>
        </w:rPr>
        <w:t xml:space="preserve"> </w:t>
      </w:r>
      <w:r>
        <w:rPr>
          <w:sz w:val="18"/>
        </w:rPr>
        <w:t>These</w:t>
      </w:r>
      <w:r>
        <w:rPr>
          <w:spacing w:val="-2"/>
          <w:sz w:val="18"/>
        </w:rPr>
        <w:t xml:space="preserve"> </w:t>
      </w:r>
      <w:r>
        <w:rPr>
          <w:sz w:val="18"/>
        </w:rPr>
        <w:t>numbers</w:t>
      </w:r>
      <w:r>
        <w:rPr>
          <w:spacing w:val="-3"/>
          <w:sz w:val="18"/>
        </w:rPr>
        <w:t xml:space="preserve"> </w:t>
      </w:r>
      <w:r>
        <w:rPr>
          <w:sz w:val="18"/>
        </w:rPr>
        <w:t>are</w:t>
      </w:r>
      <w:r>
        <w:rPr>
          <w:spacing w:val="-2"/>
          <w:sz w:val="18"/>
        </w:rPr>
        <w:t xml:space="preserve"> </w:t>
      </w:r>
      <w:r>
        <w:rPr>
          <w:sz w:val="18"/>
        </w:rPr>
        <w:t>for</w:t>
      </w:r>
      <w:r>
        <w:rPr>
          <w:spacing w:val="-2"/>
          <w:sz w:val="18"/>
        </w:rPr>
        <w:t xml:space="preserve"> </w:t>
      </w:r>
      <w:r>
        <w:rPr>
          <w:sz w:val="18"/>
        </w:rPr>
        <w:t>illustrative</w:t>
      </w:r>
      <w:r>
        <w:rPr>
          <w:spacing w:val="-3"/>
          <w:sz w:val="18"/>
        </w:rPr>
        <w:t xml:space="preserve"> </w:t>
      </w:r>
      <w:r>
        <w:rPr>
          <w:sz w:val="18"/>
        </w:rPr>
        <w:t>purposes</w:t>
      </w:r>
      <w:r>
        <w:rPr>
          <w:spacing w:val="-2"/>
          <w:sz w:val="18"/>
        </w:rPr>
        <w:t xml:space="preserve"> </w:t>
      </w:r>
      <w:r>
        <w:rPr>
          <w:spacing w:val="-2"/>
          <w:sz w:val="18"/>
        </w:rPr>
        <w:t>only.</w:t>
      </w:r>
    </w:p>
    <w:p w:rsidR="00C31389" w:rsidRDefault="00C31389" w14:paraId="559E55E1" w14:textId="77777777">
      <w:pPr>
        <w:rPr>
          <w:sz w:val="18"/>
        </w:rPr>
        <w:sectPr w:rsidR="00C31389">
          <w:pgSz w:w="12240" w:h="15840"/>
          <w:pgMar w:top="1660" w:right="960" w:bottom="1120" w:left="960" w:header="397" w:footer="936" w:gutter="0"/>
          <w:cols w:space="720"/>
        </w:sectPr>
      </w:pPr>
    </w:p>
    <w:p w:rsidR="00C31389" w:rsidRDefault="00C31389" w14:paraId="36518409" w14:textId="77777777">
      <w:pPr>
        <w:pStyle w:val="BodyText"/>
        <w:spacing w:before="11"/>
        <w:rPr>
          <w:sz w:val="13"/>
        </w:rPr>
      </w:pPr>
    </w:p>
    <w:p w:rsidR="00C31389" w:rsidRDefault="00561FBD" w14:paraId="70432B4D" w14:textId="77777777">
      <w:pPr>
        <w:pStyle w:val="BodyText"/>
        <w:spacing w:before="92"/>
        <w:ind w:left="479" w:right="533"/>
      </w:pPr>
      <w:r>
        <w:t>starting in 2030.</w:t>
      </w:r>
      <w:r>
        <w:rPr>
          <w:spacing w:val="-38"/>
        </w:rPr>
        <w:t xml:space="preserve"> </w:t>
      </w:r>
      <w:hyperlink w:history="1" w:anchor="_bookmark135">
        <w:r>
          <w:rPr>
            <w:position w:val="7"/>
            <w:sz w:val="14"/>
          </w:rPr>
          <w:t>40</w:t>
        </w:r>
      </w:hyperlink>
      <w:r>
        <w:rPr>
          <w:spacing w:val="30"/>
          <w:position w:val="7"/>
          <w:sz w:val="14"/>
        </w:rPr>
        <w:t xml:space="preserve"> </w:t>
      </w:r>
      <w:r>
        <w:t>The team accounted for this proposed ban by removing any natural gas EE or</w:t>
      </w:r>
      <w:r>
        <w:rPr>
          <w:spacing w:val="-3"/>
        </w:rPr>
        <w:t xml:space="preserve"> </w:t>
      </w:r>
      <w:r>
        <w:t>FS</w:t>
      </w:r>
      <w:r>
        <w:rPr>
          <w:spacing w:val="-3"/>
        </w:rPr>
        <w:t xml:space="preserve"> </w:t>
      </w:r>
      <w:r>
        <w:t>savings</w:t>
      </w:r>
      <w:r>
        <w:rPr>
          <w:spacing w:val="-3"/>
        </w:rPr>
        <w:t xml:space="preserve"> </w:t>
      </w:r>
      <w:r>
        <w:t>for</w:t>
      </w:r>
      <w:r>
        <w:rPr>
          <w:spacing w:val="-3"/>
        </w:rPr>
        <w:t xml:space="preserve"> </w:t>
      </w:r>
      <w:r>
        <w:t>space</w:t>
      </w:r>
      <w:r>
        <w:rPr>
          <w:spacing w:val="-4"/>
        </w:rPr>
        <w:t xml:space="preserve"> </w:t>
      </w:r>
      <w:r>
        <w:t>heating</w:t>
      </w:r>
      <w:r>
        <w:rPr>
          <w:spacing w:val="-3"/>
        </w:rPr>
        <w:t xml:space="preserve"> </w:t>
      </w:r>
      <w:r>
        <w:t>and</w:t>
      </w:r>
      <w:r>
        <w:rPr>
          <w:spacing w:val="-4"/>
        </w:rPr>
        <w:t xml:space="preserve"> </w:t>
      </w:r>
      <w:r>
        <w:t>water</w:t>
      </w:r>
      <w:r>
        <w:rPr>
          <w:spacing w:val="-3"/>
        </w:rPr>
        <w:t xml:space="preserve"> </w:t>
      </w:r>
      <w:r>
        <w:t>heating</w:t>
      </w:r>
      <w:r>
        <w:rPr>
          <w:spacing w:val="-3"/>
        </w:rPr>
        <w:t xml:space="preserve"> </w:t>
      </w:r>
      <w:r>
        <w:t>appliances</w:t>
      </w:r>
      <w:r>
        <w:rPr>
          <w:spacing w:val="-3"/>
        </w:rPr>
        <w:t xml:space="preserve"> </w:t>
      </w:r>
      <w:r>
        <w:t>beginning</w:t>
      </w:r>
      <w:r>
        <w:rPr>
          <w:spacing w:val="-3"/>
        </w:rPr>
        <w:t xml:space="preserve"> </w:t>
      </w:r>
      <w:r>
        <w:t>in</w:t>
      </w:r>
      <w:r>
        <w:rPr>
          <w:spacing w:val="-3"/>
        </w:rPr>
        <w:t xml:space="preserve"> </w:t>
      </w:r>
      <w:r>
        <w:t>2030.</w:t>
      </w:r>
      <w:r>
        <w:rPr>
          <w:spacing w:val="-3"/>
        </w:rPr>
        <w:t xml:space="preserve"> </w:t>
      </w:r>
      <w:r>
        <w:t>(However,</w:t>
      </w:r>
      <w:r>
        <w:rPr>
          <w:spacing w:val="-3"/>
        </w:rPr>
        <w:t xml:space="preserve"> </w:t>
      </w:r>
      <w:r>
        <w:t>the Guidehouse team did include natural gas savings from technologies that indirectly save gas, such as home insulation, because these would not involve the replacement of the gas-burning appliance.) For FS technologies, this m</w:t>
      </w:r>
      <w:r>
        <w:t xml:space="preserve">eans that starting in 2030, the minimum efficient appliance replacing a burned-out natural gas space or water heating appliance would be a minimum efficiency </w:t>
      </w:r>
      <w:r>
        <w:rPr>
          <w:u w:val="single"/>
        </w:rPr>
        <w:t>electric</w:t>
      </w:r>
      <w:r>
        <w:t xml:space="preserve"> appliance. More efficient electric appliances within this technology group would therefor</w:t>
      </w:r>
      <w:r>
        <w:t xml:space="preserve">e save electricity, resulting in apparent electric savings for FS measures from 2030 onward. See </w:t>
      </w:r>
      <w:hyperlink w:history="1" w:anchor="_bookmark234">
        <w:r>
          <w:t>Appendix B</w:t>
        </w:r>
      </w:hyperlink>
      <w:r>
        <w:t xml:space="preserve"> for more details on how this is implemented for FS.</w:t>
      </w:r>
    </w:p>
    <w:p w:rsidR="00C31389" w:rsidRDefault="00C31389" w14:paraId="5BE1279A" w14:textId="77777777">
      <w:pPr>
        <w:pStyle w:val="BodyText"/>
        <w:spacing w:before="10"/>
        <w:rPr>
          <w:sz w:val="20"/>
        </w:rPr>
      </w:pPr>
    </w:p>
    <w:p w:rsidR="00C31389" w:rsidRDefault="00561FBD" w14:paraId="67B917E2" w14:textId="77777777">
      <w:pPr>
        <w:pStyle w:val="Heading4"/>
        <w:numPr>
          <w:ilvl w:val="2"/>
          <w:numId w:val="71"/>
        </w:numPr>
        <w:tabs>
          <w:tab w:val="left" w:pos="1076"/>
        </w:tabs>
        <w:spacing w:before="1"/>
        <w:ind w:left="1076" w:hanging="596"/>
      </w:pPr>
      <w:bookmarkStart w:name="3.2.3_Data_Sources" w:id="179"/>
      <w:bookmarkStart w:name="_bookmark133" w:id="180"/>
      <w:bookmarkEnd w:id="179"/>
      <w:bookmarkEnd w:id="180"/>
      <w:r>
        <w:t>Data</w:t>
      </w:r>
      <w:r>
        <w:rPr>
          <w:spacing w:val="-2"/>
        </w:rPr>
        <w:t xml:space="preserve"> Sources</w:t>
      </w:r>
    </w:p>
    <w:p w:rsidR="00C31389" w:rsidRDefault="00C31389" w14:paraId="42D62A3E" w14:textId="77777777">
      <w:pPr>
        <w:pStyle w:val="BodyText"/>
        <w:spacing w:before="9"/>
        <w:rPr>
          <w:b/>
          <w:sz w:val="20"/>
        </w:rPr>
      </w:pPr>
    </w:p>
    <w:p w:rsidR="00C31389" w:rsidRDefault="00561FBD" w14:paraId="2D1F7101" w14:textId="77777777">
      <w:pPr>
        <w:pStyle w:val="BodyText"/>
        <w:ind w:left="480" w:right="533"/>
      </w:pPr>
      <w:r>
        <w:t>Data to charact</w:t>
      </w:r>
      <w:r>
        <w:t>erize new technologies and update high-priority existing technologies were primarily sourced from the CA eTRM measure packages. The data source for lower-priority measures is the same as the 2021 Study, which is primarily a mix of eTRM, DEER and IOU workpa</w:t>
      </w:r>
      <w:r>
        <w:t>pers.</w:t>
      </w:r>
      <w:r>
        <w:rPr>
          <w:spacing w:val="-3"/>
        </w:rPr>
        <w:t xml:space="preserve"> </w:t>
      </w:r>
      <w:hyperlink w:history="1" w:anchor="_bookmark134">
        <w:r>
          <w:t>Table</w:t>
        </w:r>
        <w:r>
          <w:rPr>
            <w:spacing w:val="-3"/>
          </w:rPr>
          <w:t xml:space="preserve"> </w:t>
        </w:r>
        <w:r>
          <w:t>3-13</w:t>
        </w:r>
      </w:hyperlink>
      <w:r>
        <w:t>3</w:t>
      </w:r>
      <w:r>
        <w:rPr>
          <w:spacing w:val="-3"/>
        </w:rPr>
        <w:t xml:space="preserve"> </w:t>
      </w:r>
      <w:r>
        <w:t>lists</w:t>
      </w:r>
      <w:r>
        <w:rPr>
          <w:spacing w:val="-4"/>
        </w:rPr>
        <w:t xml:space="preserve"> </w:t>
      </w:r>
      <w:r>
        <w:t>the</w:t>
      </w:r>
      <w:r>
        <w:rPr>
          <w:spacing w:val="-3"/>
        </w:rPr>
        <w:t xml:space="preserve"> </w:t>
      </w:r>
      <w:r>
        <w:t>data</w:t>
      </w:r>
      <w:r>
        <w:rPr>
          <w:spacing w:val="-3"/>
        </w:rPr>
        <w:t xml:space="preserve"> </w:t>
      </w:r>
      <w:r>
        <w:t>sources</w:t>
      </w:r>
      <w:r>
        <w:rPr>
          <w:spacing w:val="-4"/>
        </w:rPr>
        <w:t xml:space="preserve"> </w:t>
      </w:r>
      <w:r>
        <w:t>for</w:t>
      </w:r>
      <w:r>
        <w:rPr>
          <w:spacing w:val="-3"/>
        </w:rPr>
        <w:t xml:space="preserve"> </w:t>
      </w:r>
      <w:r>
        <w:t>cost</w:t>
      </w:r>
      <w:r>
        <w:rPr>
          <w:spacing w:val="-3"/>
        </w:rPr>
        <w:t xml:space="preserve"> </w:t>
      </w:r>
      <w:r>
        <w:t>and</w:t>
      </w:r>
      <w:r>
        <w:rPr>
          <w:spacing w:val="-4"/>
        </w:rPr>
        <w:t xml:space="preserve"> </w:t>
      </w:r>
      <w:r>
        <w:t>energy</w:t>
      </w:r>
      <w:r>
        <w:rPr>
          <w:spacing w:val="-3"/>
        </w:rPr>
        <w:t xml:space="preserve"> </w:t>
      </w:r>
      <w:r>
        <w:t>use</w:t>
      </w:r>
      <w:r>
        <w:rPr>
          <w:spacing w:val="-3"/>
        </w:rPr>
        <w:t xml:space="preserve"> </w:t>
      </w:r>
      <w:r>
        <w:t>(in</w:t>
      </w:r>
      <w:r>
        <w:rPr>
          <w:spacing w:val="-3"/>
        </w:rPr>
        <w:t xml:space="preserve"> </w:t>
      </w:r>
      <w:r>
        <w:t>hierarchical</w:t>
      </w:r>
      <w:r>
        <w:rPr>
          <w:spacing w:val="-3"/>
        </w:rPr>
        <w:t xml:space="preserve"> </w:t>
      </w:r>
      <w:r>
        <w:t>order) and provides brief descriptions of each source.</w:t>
      </w:r>
    </w:p>
    <w:p w:rsidR="00C31389" w:rsidRDefault="00C31389" w14:paraId="2A3EFD18" w14:textId="77777777">
      <w:pPr>
        <w:pStyle w:val="BodyText"/>
        <w:spacing w:before="10"/>
        <w:rPr>
          <w:sz w:val="20"/>
        </w:rPr>
      </w:pPr>
    </w:p>
    <w:p w:rsidR="00C31389" w:rsidRDefault="00561FBD" w14:paraId="4D80515E" w14:textId="77777777">
      <w:pPr>
        <w:pStyle w:val="Heading7"/>
        <w:ind w:left="566" w:right="566"/>
        <w:jc w:val="center"/>
      </w:pPr>
      <w:bookmarkStart w:name="_bookmark134" w:id="181"/>
      <w:bookmarkEnd w:id="181"/>
      <w:r>
        <w:t>Table</w:t>
      </w:r>
      <w:r>
        <w:rPr>
          <w:spacing w:val="-7"/>
        </w:rPr>
        <w:t xml:space="preserve"> </w:t>
      </w:r>
      <w:r>
        <w:t>3-13.</w:t>
      </w:r>
      <w:r>
        <w:rPr>
          <w:spacing w:val="-7"/>
        </w:rPr>
        <w:t xml:space="preserve"> </w:t>
      </w:r>
      <w:r>
        <w:t>Hierarchy</w:t>
      </w:r>
      <w:r>
        <w:rPr>
          <w:spacing w:val="-6"/>
        </w:rPr>
        <w:t xml:space="preserve"> </w:t>
      </w:r>
      <w:r>
        <w:t>of</w:t>
      </w:r>
      <w:r>
        <w:rPr>
          <w:spacing w:val="-6"/>
        </w:rPr>
        <w:t xml:space="preserve"> </w:t>
      </w:r>
      <w:r>
        <w:t>Data</w:t>
      </w:r>
      <w:r>
        <w:rPr>
          <w:spacing w:val="-6"/>
        </w:rPr>
        <w:t xml:space="preserve"> </w:t>
      </w:r>
      <w:r>
        <w:t>Sources</w:t>
      </w:r>
      <w:r>
        <w:rPr>
          <w:spacing w:val="-6"/>
        </w:rPr>
        <w:t xml:space="preserve"> </w:t>
      </w:r>
      <w:r>
        <w:t>for</w:t>
      </w:r>
      <w:r>
        <w:rPr>
          <w:spacing w:val="-7"/>
        </w:rPr>
        <w:t xml:space="preserve"> </w:t>
      </w:r>
      <w:r>
        <w:t>Cost</w:t>
      </w:r>
      <w:r>
        <w:rPr>
          <w:spacing w:val="-6"/>
        </w:rPr>
        <w:t xml:space="preserve"> </w:t>
      </w:r>
      <w:r>
        <w:t>and</w:t>
      </w:r>
      <w:r>
        <w:rPr>
          <w:spacing w:val="-6"/>
        </w:rPr>
        <w:t xml:space="preserve"> </w:t>
      </w:r>
      <w:r>
        <w:t>Energy</w:t>
      </w:r>
      <w:r>
        <w:rPr>
          <w:spacing w:val="-6"/>
        </w:rPr>
        <w:t xml:space="preserve"> </w:t>
      </w:r>
      <w:r>
        <w:t>Use</w:t>
      </w:r>
      <w:r>
        <w:rPr>
          <w:spacing w:val="-6"/>
        </w:rPr>
        <w:t xml:space="preserve"> </w:t>
      </w:r>
      <w:r>
        <w:rPr>
          <w:spacing w:val="-2"/>
        </w:rPr>
        <w:t>Information</w:t>
      </w:r>
    </w:p>
    <w:p w:rsidR="00C31389" w:rsidRDefault="00C31389" w14:paraId="4EBE6035"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974"/>
        <w:gridCol w:w="1906"/>
        <w:gridCol w:w="3664"/>
        <w:gridCol w:w="1396"/>
        <w:gridCol w:w="1433"/>
      </w:tblGrid>
      <w:tr w:rsidR="00C31389" w14:paraId="431E9CDB" w14:textId="77777777">
        <w:trPr>
          <w:trHeight w:val="780"/>
        </w:trPr>
        <w:tc>
          <w:tcPr>
            <w:tcW w:w="974" w:type="dxa"/>
            <w:shd w:val="clear" w:color="auto" w:fill="92D400"/>
          </w:tcPr>
          <w:p w:rsidR="00C31389" w:rsidRDefault="00C31389" w14:paraId="787DC205" w14:textId="77777777">
            <w:pPr>
              <w:pStyle w:val="TableParagraph"/>
              <w:spacing w:before="6"/>
              <w:rPr>
                <w:b/>
                <w:sz w:val="23"/>
              </w:rPr>
            </w:pPr>
          </w:p>
          <w:p w:rsidR="00C31389" w:rsidRDefault="00561FBD" w14:paraId="0B8921D2" w14:textId="77777777">
            <w:pPr>
              <w:pStyle w:val="TableParagraph"/>
              <w:spacing w:before="0"/>
              <w:ind w:left="129"/>
              <w:rPr>
                <w:b/>
                <w:sz w:val="20"/>
              </w:rPr>
            </w:pPr>
            <w:r>
              <w:rPr>
                <w:b/>
                <w:spacing w:val="-2"/>
                <w:sz w:val="20"/>
              </w:rPr>
              <w:t>Priority</w:t>
            </w:r>
          </w:p>
        </w:tc>
        <w:tc>
          <w:tcPr>
            <w:tcW w:w="1906" w:type="dxa"/>
            <w:shd w:val="clear" w:color="auto" w:fill="92D400"/>
          </w:tcPr>
          <w:p w:rsidR="00C31389" w:rsidRDefault="00561FBD" w14:paraId="26E32D43" w14:textId="77777777">
            <w:pPr>
              <w:pStyle w:val="TableParagraph"/>
              <w:ind w:left="144" w:right="121"/>
              <w:rPr>
                <w:b/>
                <w:sz w:val="20"/>
              </w:rPr>
            </w:pPr>
            <w:r>
              <w:rPr>
                <w:b/>
                <w:spacing w:val="-2"/>
                <w:sz w:val="20"/>
              </w:rPr>
              <w:t xml:space="preserve">Energy Consumption </w:t>
            </w:r>
            <w:r>
              <w:rPr>
                <w:b/>
                <w:sz w:val="20"/>
              </w:rPr>
              <w:t>Source</w:t>
            </w:r>
            <w:r>
              <w:rPr>
                <w:b/>
                <w:spacing w:val="-7"/>
                <w:sz w:val="20"/>
              </w:rPr>
              <w:t xml:space="preserve"> </w:t>
            </w:r>
            <w:r>
              <w:rPr>
                <w:b/>
                <w:spacing w:val="-4"/>
                <w:sz w:val="20"/>
              </w:rPr>
              <w:t>Name</w:t>
            </w:r>
          </w:p>
        </w:tc>
        <w:tc>
          <w:tcPr>
            <w:tcW w:w="3664" w:type="dxa"/>
            <w:shd w:val="clear" w:color="auto" w:fill="92D400"/>
          </w:tcPr>
          <w:p w:rsidR="00C31389" w:rsidRDefault="00C31389" w14:paraId="744C311D" w14:textId="77777777">
            <w:pPr>
              <w:pStyle w:val="TableParagraph"/>
              <w:spacing w:before="6"/>
              <w:rPr>
                <w:b/>
                <w:sz w:val="23"/>
              </w:rPr>
            </w:pPr>
          </w:p>
          <w:p w:rsidR="00C31389" w:rsidRDefault="00561FBD" w14:paraId="2A051435" w14:textId="77777777">
            <w:pPr>
              <w:pStyle w:val="TableParagraph"/>
              <w:spacing w:before="0"/>
              <w:ind w:left="127"/>
              <w:rPr>
                <w:b/>
                <w:sz w:val="20"/>
              </w:rPr>
            </w:pPr>
            <w:r>
              <w:rPr>
                <w:b/>
                <w:spacing w:val="-2"/>
                <w:sz w:val="20"/>
              </w:rPr>
              <w:t>Description</w:t>
            </w:r>
          </w:p>
        </w:tc>
        <w:tc>
          <w:tcPr>
            <w:tcW w:w="1396" w:type="dxa"/>
            <w:shd w:val="clear" w:color="auto" w:fill="92D400"/>
          </w:tcPr>
          <w:p w:rsidR="00C31389" w:rsidRDefault="00C31389" w14:paraId="1FE4F3AC" w14:textId="77777777">
            <w:pPr>
              <w:pStyle w:val="TableParagraph"/>
              <w:spacing w:before="6"/>
              <w:rPr>
                <w:b/>
                <w:sz w:val="23"/>
              </w:rPr>
            </w:pPr>
          </w:p>
          <w:p w:rsidR="00C31389" w:rsidRDefault="00561FBD" w14:paraId="2D64CCBA" w14:textId="77777777">
            <w:pPr>
              <w:pStyle w:val="TableParagraph"/>
              <w:spacing w:before="0"/>
              <w:ind w:left="125"/>
              <w:rPr>
                <w:b/>
                <w:sz w:val="20"/>
              </w:rPr>
            </w:pPr>
            <w:r>
              <w:rPr>
                <w:b/>
                <w:spacing w:val="-2"/>
                <w:sz w:val="20"/>
              </w:rPr>
              <w:t>Author</w:t>
            </w:r>
          </w:p>
        </w:tc>
        <w:tc>
          <w:tcPr>
            <w:tcW w:w="1433" w:type="dxa"/>
            <w:shd w:val="clear" w:color="auto" w:fill="92D400"/>
          </w:tcPr>
          <w:p w:rsidR="00C31389" w:rsidRDefault="00561FBD" w14:paraId="0F0EBABD" w14:textId="77777777">
            <w:pPr>
              <w:pStyle w:val="TableParagraph"/>
              <w:spacing w:before="155"/>
              <w:ind w:left="139"/>
              <w:rPr>
                <w:b/>
                <w:sz w:val="20"/>
              </w:rPr>
            </w:pPr>
            <w:r>
              <w:rPr>
                <w:b/>
                <w:spacing w:val="-2"/>
                <w:sz w:val="20"/>
              </w:rPr>
              <w:t xml:space="preserve">Publication </w:t>
            </w:r>
            <w:r>
              <w:rPr>
                <w:b/>
                <w:spacing w:val="-4"/>
                <w:sz w:val="20"/>
              </w:rPr>
              <w:t>Year</w:t>
            </w:r>
          </w:p>
        </w:tc>
      </w:tr>
      <w:tr w:rsidR="00C31389" w14:paraId="672B2E16" w14:textId="77777777">
        <w:trPr>
          <w:trHeight w:val="1689"/>
        </w:trPr>
        <w:tc>
          <w:tcPr>
            <w:tcW w:w="974" w:type="dxa"/>
            <w:tcBorders>
              <w:bottom w:val="single" w:color="D9D9D9" w:sz="2" w:space="0"/>
            </w:tcBorders>
          </w:tcPr>
          <w:p w:rsidR="00C31389" w:rsidRDefault="00C31389" w14:paraId="0874603E" w14:textId="77777777">
            <w:pPr>
              <w:pStyle w:val="TableParagraph"/>
              <w:spacing w:before="0"/>
              <w:rPr>
                <w:b/>
              </w:rPr>
            </w:pPr>
          </w:p>
          <w:p w:rsidR="00C31389" w:rsidRDefault="00C31389" w14:paraId="739CE677" w14:textId="77777777">
            <w:pPr>
              <w:pStyle w:val="TableParagraph"/>
              <w:spacing w:before="0"/>
              <w:rPr>
                <w:b/>
              </w:rPr>
            </w:pPr>
          </w:p>
          <w:p w:rsidR="00C31389" w:rsidRDefault="00C31389" w14:paraId="6542490E" w14:textId="77777777">
            <w:pPr>
              <w:pStyle w:val="TableParagraph"/>
              <w:spacing w:before="6"/>
              <w:rPr>
                <w:b/>
                <w:sz w:val="19"/>
              </w:rPr>
            </w:pPr>
          </w:p>
          <w:p w:rsidR="00C31389" w:rsidRDefault="00561FBD" w14:paraId="3AF99898" w14:textId="77777777">
            <w:pPr>
              <w:pStyle w:val="TableParagraph"/>
              <w:spacing w:before="0"/>
              <w:ind w:left="129"/>
              <w:rPr>
                <w:sz w:val="20"/>
              </w:rPr>
            </w:pPr>
            <w:r>
              <w:rPr>
                <w:sz w:val="20"/>
              </w:rPr>
              <w:t>1</w:t>
            </w:r>
          </w:p>
        </w:tc>
        <w:tc>
          <w:tcPr>
            <w:tcW w:w="1906" w:type="dxa"/>
            <w:tcBorders>
              <w:bottom w:val="single" w:color="D9D9D9" w:sz="2" w:space="0"/>
            </w:tcBorders>
          </w:tcPr>
          <w:p w:rsidR="00C31389" w:rsidRDefault="00C31389" w14:paraId="145FD863" w14:textId="77777777">
            <w:pPr>
              <w:pStyle w:val="TableParagraph"/>
              <w:spacing w:before="6"/>
              <w:rPr>
                <w:b/>
                <w:sz w:val="23"/>
              </w:rPr>
            </w:pPr>
          </w:p>
          <w:p w:rsidR="00C31389" w:rsidRDefault="00561FBD" w14:paraId="3BFD0749" w14:textId="77777777">
            <w:pPr>
              <w:pStyle w:val="TableParagraph"/>
              <w:spacing w:before="0"/>
              <w:ind w:left="144" w:right="121" w:hanging="1"/>
              <w:rPr>
                <w:sz w:val="20"/>
              </w:rPr>
            </w:pPr>
            <w:r>
              <w:rPr>
                <w:spacing w:val="-2"/>
                <w:sz w:val="20"/>
              </w:rPr>
              <w:t xml:space="preserve">California Electronic Technical </w:t>
            </w:r>
            <w:r>
              <w:rPr>
                <w:sz w:val="20"/>
              </w:rPr>
              <w:t>Reference</w:t>
            </w:r>
            <w:r>
              <w:rPr>
                <w:spacing w:val="-14"/>
                <w:sz w:val="20"/>
              </w:rPr>
              <w:t xml:space="preserve"> </w:t>
            </w:r>
            <w:r>
              <w:rPr>
                <w:sz w:val="20"/>
              </w:rPr>
              <w:t xml:space="preserve">Manual </w:t>
            </w:r>
            <w:r>
              <w:rPr>
                <w:spacing w:val="-2"/>
                <w:sz w:val="20"/>
              </w:rPr>
              <w:t>(eTRM)</w:t>
            </w:r>
          </w:p>
        </w:tc>
        <w:tc>
          <w:tcPr>
            <w:tcW w:w="3664" w:type="dxa"/>
            <w:tcBorders>
              <w:bottom w:val="single" w:color="D9D9D9" w:sz="2" w:space="0"/>
            </w:tcBorders>
          </w:tcPr>
          <w:p w:rsidR="00C31389" w:rsidRDefault="00561FBD" w14:paraId="750D53A2" w14:textId="77777777">
            <w:pPr>
              <w:pStyle w:val="TableParagraph"/>
              <w:ind w:left="127" w:right="121"/>
              <w:rPr>
                <w:sz w:val="20"/>
              </w:rPr>
            </w:pPr>
            <w:r>
              <w:rPr>
                <w:sz w:val="20"/>
              </w:rPr>
              <w:t>According to the website, “the eTRM</w:t>
            </w:r>
            <w:r>
              <w:rPr>
                <w:spacing w:val="40"/>
                <w:sz w:val="20"/>
              </w:rPr>
              <w:t xml:space="preserve"> </w:t>
            </w:r>
            <w:r>
              <w:rPr>
                <w:sz w:val="20"/>
              </w:rPr>
              <w:t>is</w:t>
            </w:r>
            <w:r>
              <w:rPr>
                <w:spacing w:val="-7"/>
                <w:sz w:val="20"/>
              </w:rPr>
              <w:t xml:space="preserve"> </w:t>
            </w:r>
            <w:r>
              <w:rPr>
                <w:sz w:val="20"/>
              </w:rPr>
              <w:t>a</w:t>
            </w:r>
            <w:r>
              <w:rPr>
                <w:spacing w:val="-8"/>
                <w:sz w:val="20"/>
              </w:rPr>
              <w:t xml:space="preserve"> </w:t>
            </w:r>
            <w:r>
              <w:rPr>
                <w:sz w:val="20"/>
              </w:rPr>
              <w:t>statewide</w:t>
            </w:r>
            <w:r>
              <w:rPr>
                <w:spacing w:val="-9"/>
                <w:sz w:val="20"/>
              </w:rPr>
              <w:t xml:space="preserve"> </w:t>
            </w:r>
            <w:r>
              <w:rPr>
                <w:sz w:val="20"/>
              </w:rPr>
              <w:t>repository</w:t>
            </w:r>
            <w:r>
              <w:rPr>
                <w:spacing w:val="-7"/>
                <w:sz w:val="20"/>
              </w:rPr>
              <w:t xml:space="preserve"> </w:t>
            </w:r>
            <w:r>
              <w:rPr>
                <w:sz w:val="20"/>
              </w:rPr>
              <w:t>of</w:t>
            </w:r>
            <w:r>
              <w:rPr>
                <w:spacing w:val="-9"/>
                <w:sz w:val="20"/>
              </w:rPr>
              <w:t xml:space="preserve"> </w:t>
            </w:r>
            <w:r>
              <w:rPr>
                <w:sz w:val="20"/>
              </w:rPr>
              <w:t xml:space="preserve">California’s deemed </w:t>
            </w:r>
            <w:r>
              <w:rPr>
                <w:sz w:val="20"/>
              </w:rPr>
              <w:t>measures, including supporting values and</w:t>
            </w:r>
            <w:r>
              <w:rPr>
                <w:spacing w:val="40"/>
                <w:sz w:val="20"/>
              </w:rPr>
              <w:t xml:space="preserve"> </w:t>
            </w:r>
            <w:r>
              <w:rPr>
                <w:sz w:val="20"/>
              </w:rPr>
              <w:t>documentation.”</w:t>
            </w:r>
            <w:r>
              <w:rPr>
                <w:spacing w:val="-4"/>
                <w:sz w:val="20"/>
              </w:rPr>
              <w:t xml:space="preserve"> </w:t>
            </w:r>
            <w:r>
              <w:rPr>
                <w:sz w:val="20"/>
              </w:rPr>
              <w:t>It</w:t>
            </w:r>
            <w:r>
              <w:rPr>
                <w:spacing w:val="-4"/>
                <w:sz w:val="20"/>
              </w:rPr>
              <w:t xml:space="preserve"> </w:t>
            </w:r>
            <w:r>
              <w:rPr>
                <w:sz w:val="20"/>
              </w:rPr>
              <w:t>includes</w:t>
            </w:r>
            <w:r>
              <w:rPr>
                <w:spacing w:val="-5"/>
                <w:sz w:val="20"/>
              </w:rPr>
              <w:t xml:space="preserve"> </w:t>
            </w:r>
            <w:r>
              <w:rPr>
                <w:sz w:val="20"/>
              </w:rPr>
              <w:t>DEER</w:t>
            </w:r>
            <w:r>
              <w:rPr>
                <w:spacing w:val="-4"/>
                <w:sz w:val="20"/>
              </w:rPr>
              <w:t xml:space="preserve"> </w:t>
            </w:r>
            <w:r>
              <w:rPr>
                <w:sz w:val="20"/>
              </w:rPr>
              <w:t>and non-DEER measures and aligns with the latest approved workpapers.</w:t>
            </w:r>
          </w:p>
        </w:tc>
        <w:tc>
          <w:tcPr>
            <w:tcW w:w="1396" w:type="dxa"/>
            <w:tcBorders>
              <w:bottom w:val="single" w:color="D9D9D9" w:sz="2" w:space="0"/>
            </w:tcBorders>
          </w:tcPr>
          <w:p w:rsidR="00C31389" w:rsidRDefault="00C31389" w14:paraId="1B4E5F12" w14:textId="77777777">
            <w:pPr>
              <w:pStyle w:val="TableParagraph"/>
              <w:spacing w:before="0"/>
              <w:rPr>
                <w:b/>
              </w:rPr>
            </w:pPr>
          </w:p>
          <w:p w:rsidR="00C31389" w:rsidRDefault="00C31389" w14:paraId="28A1FAB3" w14:textId="77777777">
            <w:pPr>
              <w:pStyle w:val="TableParagraph"/>
              <w:spacing w:before="6"/>
              <w:rPr>
                <w:b/>
                <w:sz w:val="21"/>
              </w:rPr>
            </w:pPr>
          </w:p>
          <w:p w:rsidR="00C31389" w:rsidRDefault="00561FBD" w14:paraId="691B719A" w14:textId="77777777">
            <w:pPr>
              <w:pStyle w:val="TableParagraph"/>
              <w:spacing w:before="0"/>
              <w:ind w:left="125" w:right="411"/>
              <w:jc w:val="both"/>
              <w:rPr>
                <w:sz w:val="20"/>
              </w:rPr>
            </w:pPr>
            <w:r>
              <w:rPr>
                <w:spacing w:val="-2"/>
                <w:sz w:val="20"/>
              </w:rPr>
              <w:t>California Technical Forum</w:t>
            </w:r>
          </w:p>
        </w:tc>
        <w:tc>
          <w:tcPr>
            <w:tcW w:w="1433" w:type="dxa"/>
            <w:tcBorders>
              <w:bottom w:val="single" w:color="D9D9D9" w:sz="2" w:space="0"/>
            </w:tcBorders>
          </w:tcPr>
          <w:p w:rsidR="00C31389" w:rsidRDefault="00C31389" w14:paraId="5CE21336" w14:textId="77777777">
            <w:pPr>
              <w:pStyle w:val="TableParagraph"/>
              <w:spacing w:before="0"/>
              <w:rPr>
                <w:b/>
              </w:rPr>
            </w:pPr>
          </w:p>
          <w:p w:rsidR="00C31389" w:rsidRDefault="00C31389" w14:paraId="6807D887" w14:textId="77777777">
            <w:pPr>
              <w:pStyle w:val="TableParagraph"/>
              <w:spacing w:before="10"/>
              <w:rPr>
                <w:b/>
                <w:sz w:val="19"/>
              </w:rPr>
            </w:pPr>
          </w:p>
          <w:p w:rsidR="00C31389" w:rsidRDefault="00561FBD" w14:paraId="100AB20D" w14:textId="77777777">
            <w:pPr>
              <w:pStyle w:val="TableParagraph"/>
              <w:spacing w:before="0"/>
              <w:ind w:left="139"/>
              <w:rPr>
                <w:sz w:val="20"/>
              </w:rPr>
            </w:pPr>
            <w:r>
              <w:rPr>
                <w:spacing w:val="-2"/>
                <w:sz w:val="20"/>
              </w:rPr>
              <w:t>2020-</w:t>
            </w:r>
            <w:r>
              <w:rPr>
                <w:spacing w:val="-4"/>
                <w:sz w:val="20"/>
              </w:rPr>
              <w:t>2022</w:t>
            </w:r>
          </w:p>
          <w:p w:rsidR="00C31389" w:rsidRDefault="00561FBD" w14:paraId="055D4BA2" w14:textId="77777777">
            <w:pPr>
              <w:pStyle w:val="TableParagraph"/>
              <w:ind w:left="139"/>
              <w:rPr>
                <w:sz w:val="20"/>
              </w:rPr>
            </w:pPr>
            <w:r>
              <w:rPr>
                <w:spacing w:val="-2"/>
                <w:sz w:val="20"/>
              </w:rPr>
              <w:t>(continuously updated)</w:t>
            </w:r>
          </w:p>
        </w:tc>
      </w:tr>
      <w:tr w:rsidR="00C31389" w14:paraId="6A7C05B9" w14:textId="77777777">
        <w:trPr>
          <w:trHeight w:val="2380"/>
        </w:trPr>
        <w:tc>
          <w:tcPr>
            <w:tcW w:w="974" w:type="dxa"/>
            <w:tcBorders>
              <w:top w:val="single" w:color="D9D9D9" w:sz="2" w:space="0"/>
              <w:bottom w:val="single" w:color="D9D9D9" w:sz="2" w:space="0"/>
            </w:tcBorders>
          </w:tcPr>
          <w:p w:rsidR="00C31389" w:rsidRDefault="00C31389" w14:paraId="7E93F095" w14:textId="77777777">
            <w:pPr>
              <w:pStyle w:val="TableParagraph"/>
              <w:spacing w:before="0"/>
              <w:rPr>
                <w:b/>
              </w:rPr>
            </w:pPr>
          </w:p>
          <w:p w:rsidR="00C31389" w:rsidRDefault="00C31389" w14:paraId="0C81883B" w14:textId="77777777">
            <w:pPr>
              <w:pStyle w:val="TableParagraph"/>
              <w:spacing w:before="0"/>
              <w:rPr>
                <w:b/>
              </w:rPr>
            </w:pPr>
          </w:p>
          <w:p w:rsidR="00C31389" w:rsidRDefault="00C31389" w14:paraId="6053FBE6" w14:textId="77777777">
            <w:pPr>
              <w:pStyle w:val="TableParagraph"/>
              <w:spacing w:before="0"/>
              <w:rPr>
                <w:b/>
              </w:rPr>
            </w:pPr>
          </w:p>
          <w:p w:rsidR="00C31389" w:rsidRDefault="00C31389" w14:paraId="10F396CD" w14:textId="77777777">
            <w:pPr>
              <w:pStyle w:val="TableParagraph"/>
              <w:spacing w:before="6"/>
              <w:rPr>
                <w:b/>
                <w:sz w:val="27"/>
              </w:rPr>
            </w:pPr>
          </w:p>
          <w:p w:rsidR="00C31389" w:rsidRDefault="00561FBD" w14:paraId="6BECEDB1" w14:textId="77777777">
            <w:pPr>
              <w:pStyle w:val="TableParagraph"/>
              <w:spacing w:before="0"/>
              <w:ind w:left="129"/>
              <w:rPr>
                <w:sz w:val="20"/>
              </w:rPr>
            </w:pPr>
            <w:r>
              <w:rPr>
                <w:sz w:val="20"/>
              </w:rPr>
              <w:t>2</w:t>
            </w:r>
          </w:p>
        </w:tc>
        <w:tc>
          <w:tcPr>
            <w:tcW w:w="1906" w:type="dxa"/>
            <w:tcBorders>
              <w:top w:val="single" w:color="D9D9D9" w:sz="2" w:space="0"/>
              <w:bottom w:val="single" w:color="D9D9D9" w:sz="2" w:space="0"/>
            </w:tcBorders>
          </w:tcPr>
          <w:p w:rsidR="00C31389" w:rsidRDefault="00C31389" w14:paraId="7B679A7B" w14:textId="77777777">
            <w:pPr>
              <w:pStyle w:val="TableParagraph"/>
              <w:spacing w:before="0"/>
              <w:rPr>
                <w:b/>
              </w:rPr>
            </w:pPr>
          </w:p>
          <w:p w:rsidR="00C31389" w:rsidRDefault="00C31389" w14:paraId="509E5233" w14:textId="77777777">
            <w:pPr>
              <w:pStyle w:val="TableParagraph"/>
              <w:spacing w:before="0"/>
              <w:rPr>
                <w:b/>
              </w:rPr>
            </w:pPr>
          </w:p>
          <w:p w:rsidR="00C31389" w:rsidRDefault="00C31389" w14:paraId="64C44F8F" w14:textId="77777777">
            <w:pPr>
              <w:pStyle w:val="TableParagraph"/>
              <w:spacing w:before="6"/>
              <w:rPr>
                <w:b/>
                <w:sz w:val="29"/>
              </w:rPr>
            </w:pPr>
          </w:p>
          <w:p w:rsidR="00C31389" w:rsidRDefault="00561FBD" w14:paraId="5A2D0367" w14:textId="77777777">
            <w:pPr>
              <w:pStyle w:val="TableParagraph"/>
              <w:spacing w:before="0"/>
              <w:ind w:left="144" w:right="311"/>
              <w:rPr>
                <w:sz w:val="20"/>
              </w:rPr>
            </w:pPr>
            <w:r>
              <w:rPr>
                <w:sz w:val="20"/>
              </w:rPr>
              <w:t>IOU</w:t>
            </w:r>
            <w:r>
              <w:rPr>
                <w:spacing w:val="-14"/>
                <w:sz w:val="20"/>
              </w:rPr>
              <w:t xml:space="preserve"> </w:t>
            </w:r>
            <w:r>
              <w:rPr>
                <w:sz w:val="20"/>
              </w:rPr>
              <w:t xml:space="preserve">workpapers (with CPUC </w:t>
            </w:r>
            <w:r>
              <w:rPr>
                <w:spacing w:val="-2"/>
                <w:sz w:val="20"/>
              </w:rPr>
              <w:t>disposition)</w:t>
            </w:r>
          </w:p>
        </w:tc>
        <w:tc>
          <w:tcPr>
            <w:tcW w:w="3664" w:type="dxa"/>
            <w:tcBorders>
              <w:top w:val="single" w:color="D9D9D9" w:sz="2" w:space="0"/>
              <w:bottom w:val="single" w:color="D9D9D9" w:sz="2" w:space="0"/>
            </w:tcBorders>
          </w:tcPr>
          <w:p w:rsidR="00C31389" w:rsidRDefault="00561FBD" w14:paraId="0BE87A30" w14:textId="77777777">
            <w:pPr>
              <w:pStyle w:val="TableParagraph"/>
              <w:ind w:left="127" w:right="121"/>
              <w:rPr>
                <w:sz w:val="20"/>
              </w:rPr>
            </w:pPr>
            <w:r>
              <w:rPr>
                <w:sz w:val="20"/>
              </w:rPr>
              <w:t>The team referred to approved workpapers for additional measure information</w:t>
            </w:r>
            <w:r>
              <w:rPr>
                <w:spacing w:val="-8"/>
                <w:sz w:val="20"/>
              </w:rPr>
              <w:t xml:space="preserve"> </w:t>
            </w:r>
            <w:r>
              <w:rPr>
                <w:sz w:val="20"/>
              </w:rPr>
              <w:t>not</w:t>
            </w:r>
            <w:r>
              <w:rPr>
                <w:spacing w:val="-8"/>
                <w:sz w:val="20"/>
              </w:rPr>
              <w:t xml:space="preserve"> </w:t>
            </w:r>
            <w:r>
              <w:rPr>
                <w:sz w:val="20"/>
              </w:rPr>
              <w:t>contained</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eTRM or for measures that had not yet been added to the eTRM. In some cases, the team referred to expired workpapers for und</w:t>
            </w:r>
            <w:r>
              <w:rPr>
                <w:sz w:val="20"/>
              </w:rPr>
              <w:t>erlying data when those workpapers had not been superseded and no other information was available.</w:t>
            </w:r>
          </w:p>
        </w:tc>
        <w:tc>
          <w:tcPr>
            <w:tcW w:w="1396" w:type="dxa"/>
            <w:tcBorders>
              <w:top w:val="single" w:color="D9D9D9" w:sz="2" w:space="0"/>
              <w:bottom w:val="single" w:color="D9D9D9" w:sz="2" w:space="0"/>
            </w:tcBorders>
          </w:tcPr>
          <w:p w:rsidR="00C31389" w:rsidRDefault="00C31389" w14:paraId="70A428E6" w14:textId="77777777">
            <w:pPr>
              <w:pStyle w:val="TableParagraph"/>
              <w:spacing w:before="0"/>
              <w:rPr>
                <w:b/>
              </w:rPr>
            </w:pPr>
          </w:p>
          <w:p w:rsidR="00C31389" w:rsidRDefault="00C31389" w14:paraId="64C1F8DD" w14:textId="77777777">
            <w:pPr>
              <w:pStyle w:val="TableParagraph"/>
              <w:spacing w:before="0"/>
              <w:rPr>
                <w:b/>
              </w:rPr>
            </w:pPr>
          </w:p>
          <w:p w:rsidR="00C31389" w:rsidRDefault="00C31389" w14:paraId="00751320" w14:textId="77777777">
            <w:pPr>
              <w:pStyle w:val="TableParagraph"/>
              <w:spacing w:before="0"/>
              <w:rPr>
                <w:b/>
              </w:rPr>
            </w:pPr>
          </w:p>
          <w:p w:rsidR="00C31389" w:rsidRDefault="00C31389" w14:paraId="266B6820" w14:textId="77777777">
            <w:pPr>
              <w:pStyle w:val="TableParagraph"/>
              <w:spacing w:before="6"/>
              <w:rPr>
                <w:b/>
                <w:sz w:val="17"/>
              </w:rPr>
            </w:pPr>
          </w:p>
          <w:p w:rsidR="00C31389" w:rsidRDefault="00561FBD" w14:paraId="018661A1" w14:textId="77777777">
            <w:pPr>
              <w:pStyle w:val="TableParagraph"/>
              <w:spacing w:before="0"/>
              <w:ind w:left="125" w:right="26"/>
              <w:rPr>
                <w:sz w:val="20"/>
              </w:rPr>
            </w:pPr>
            <w:r>
              <w:rPr>
                <w:spacing w:val="-2"/>
                <w:sz w:val="20"/>
              </w:rPr>
              <w:t xml:space="preserve">California </w:t>
            </w:r>
            <w:r>
              <w:rPr>
                <w:spacing w:val="-4"/>
                <w:sz w:val="20"/>
              </w:rPr>
              <w:t>IOUs</w:t>
            </w:r>
          </w:p>
        </w:tc>
        <w:tc>
          <w:tcPr>
            <w:tcW w:w="1433" w:type="dxa"/>
            <w:tcBorders>
              <w:top w:val="single" w:color="D9D9D9" w:sz="2" w:space="0"/>
              <w:bottom w:val="single" w:color="D9D9D9" w:sz="2" w:space="0"/>
            </w:tcBorders>
          </w:tcPr>
          <w:p w:rsidR="00C31389" w:rsidRDefault="00C31389" w14:paraId="1B5C1FD7" w14:textId="77777777">
            <w:pPr>
              <w:pStyle w:val="TableParagraph"/>
              <w:spacing w:before="0"/>
              <w:rPr>
                <w:b/>
              </w:rPr>
            </w:pPr>
          </w:p>
          <w:p w:rsidR="00C31389" w:rsidRDefault="00C31389" w14:paraId="383E3BBC" w14:textId="77777777">
            <w:pPr>
              <w:pStyle w:val="TableParagraph"/>
              <w:spacing w:before="0"/>
              <w:rPr>
                <w:b/>
              </w:rPr>
            </w:pPr>
          </w:p>
          <w:p w:rsidR="00C31389" w:rsidRDefault="00C31389" w14:paraId="4686609B" w14:textId="77777777">
            <w:pPr>
              <w:pStyle w:val="TableParagraph"/>
              <w:spacing w:before="0"/>
              <w:rPr>
                <w:b/>
              </w:rPr>
            </w:pPr>
          </w:p>
          <w:p w:rsidR="00C31389" w:rsidRDefault="00C31389" w14:paraId="2C34F4D3" w14:textId="77777777">
            <w:pPr>
              <w:pStyle w:val="TableParagraph"/>
              <w:spacing w:before="6"/>
              <w:rPr>
                <w:b/>
                <w:sz w:val="27"/>
              </w:rPr>
            </w:pPr>
          </w:p>
          <w:p w:rsidR="00C31389" w:rsidRDefault="00561FBD" w14:paraId="06A10651" w14:textId="77777777">
            <w:pPr>
              <w:pStyle w:val="TableParagraph"/>
              <w:spacing w:before="0"/>
              <w:ind w:left="139"/>
              <w:rPr>
                <w:sz w:val="20"/>
              </w:rPr>
            </w:pPr>
            <w:r>
              <w:rPr>
                <w:spacing w:val="-2"/>
                <w:sz w:val="20"/>
              </w:rPr>
              <w:t>Various</w:t>
            </w:r>
          </w:p>
        </w:tc>
      </w:tr>
      <w:tr w:rsidR="00C31389" w14:paraId="2F2707A6" w14:textId="77777777">
        <w:trPr>
          <w:trHeight w:val="1229"/>
        </w:trPr>
        <w:tc>
          <w:tcPr>
            <w:tcW w:w="974" w:type="dxa"/>
            <w:tcBorders>
              <w:top w:val="single" w:color="D9D9D9" w:sz="2" w:space="0"/>
              <w:bottom w:val="single" w:color="000000" w:sz="8" w:space="0"/>
            </w:tcBorders>
          </w:tcPr>
          <w:p w:rsidR="00C31389" w:rsidRDefault="00C31389" w14:paraId="32F4822B" w14:textId="77777777">
            <w:pPr>
              <w:pStyle w:val="TableParagraph"/>
              <w:spacing w:before="0"/>
              <w:rPr>
                <w:b/>
              </w:rPr>
            </w:pPr>
          </w:p>
          <w:p w:rsidR="00C31389" w:rsidRDefault="00C31389" w14:paraId="69327E0A" w14:textId="77777777">
            <w:pPr>
              <w:pStyle w:val="TableParagraph"/>
              <w:spacing w:before="5"/>
              <w:rPr>
                <w:b/>
                <w:sz w:val="21"/>
              </w:rPr>
            </w:pPr>
          </w:p>
          <w:p w:rsidR="00C31389" w:rsidRDefault="00561FBD" w14:paraId="511A3E57" w14:textId="77777777">
            <w:pPr>
              <w:pStyle w:val="TableParagraph"/>
              <w:spacing w:before="0"/>
              <w:ind w:left="129"/>
              <w:rPr>
                <w:sz w:val="20"/>
              </w:rPr>
            </w:pPr>
            <w:r>
              <w:rPr>
                <w:sz w:val="20"/>
              </w:rPr>
              <w:t>3</w:t>
            </w:r>
          </w:p>
        </w:tc>
        <w:tc>
          <w:tcPr>
            <w:tcW w:w="1906" w:type="dxa"/>
            <w:tcBorders>
              <w:top w:val="single" w:color="D9D9D9" w:sz="2" w:space="0"/>
              <w:bottom w:val="single" w:color="000000" w:sz="8" w:space="0"/>
            </w:tcBorders>
          </w:tcPr>
          <w:p w:rsidR="00C31389" w:rsidRDefault="00C31389" w14:paraId="76D68158" w14:textId="77777777">
            <w:pPr>
              <w:pStyle w:val="TableParagraph"/>
              <w:spacing w:before="0"/>
              <w:rPr>
                <w:b/>
              </w:rPr>
            </w:pPr>
          </w:p>
          <w:p w:rsidR="00C31389" w:rsidRDefault="00C31389" w14:paraId="1E2D02D5" w14:textId="77777777">
            <w:pPr>
              <w:pStyle w:val="TableParagraph"/>
              <w:spacing w:before="5"/>
              <w:rPr>
                <w:b/>
                <w:sz w:val="21"/>
              </w:rPr>
            </w:pPr>
          </w:p>
          <w:p w:rsidR="00C31389" w:rsidRDefault="00561FBD" w14:paraId="3FD27494" w14:textId="77777777">
            <w:pPr>
              <w:pStyle w:val="TableParagraph"/>
              <w:spacing w:before="0"/>
              <w:ind w:left="144"/>
              <w:rPr>
                <w:sz w:val="20"/>
              </w:rPr>
            </w:pPr>
            <w:r>
              <w:rPr>
                <w:sz w:val="20"/>
              </w:rPr>
              <w:t>IOU</w:t>
            </w:r>
            <w:r>
              <w:rPr>
                <w:spacing w:val="-4"/>
                <w:sz w:val="20"/>
              </w:rPr>
              <w:t xml:space="preserve"> </w:t>
            </w:r>
            <w:r>
              <w:rPr>
                <w:sz w:val="20"/>
              </w:rPr>
              <w:t>program</w:t>
            </w:r>
            <w:r>
              <w:rPr>
                <w:spacing w:val="-3"/>
                <w:sz w:val="20"/>
              </w:rPr>
              <w:t xml:space="preserve"> </w:t>
            </w:r>
            <w:r>
              <w:rPr>
                <w:spacing w:val="-4"/>
                <w:sz w:val="20"/>
              </w:rPr>
              <w:t>data</w:t>
            </w:r>
          </w:p>
        </w:tc>
        <w:tc>
          <w:tcPr>
            <w:tcW w:w="3664" w:type="dxa"/>
            <w:tcBorders>
              <w:top w:val="single" w:color="D9D9D9" w:sz="2" w:space="0"/>
              <w:bottom w:val="single" w:color="000000" w:sz="8" w:space="0"/>
            </w:tcBorders>
          </w:tcPr>
          <w:p w:rsidR="00C31389" w:rsidRDefault="00561FBD" w14:paraId="07CF2B62" w14:textId="77777777">
            <w:pPr>
              <w:pStyle w:val="TableParagraph"/>
              <w:ind w:left="127" w:right="121"/>
              <w:rPr>
                <w:sz w:val="20"/>
              </w:rPr>
            </w:pPr>
            <w:r>
              <w:rPr>
                <w:sz w:val="20"/>
              </w:rPr>
              <w:t>The team referred to the CEDARS database for the California IOUs in cases</w:t>
            </w:r>
            <w:r>
              <w:rPr>
                <w:spacing w:val="-9"/>
                <w:sz w:val="20"/>
              </w:rPr>
              <w:t xml:space="preserve"> </w:t>
            </w:r>
            <w:r>
              <w:rPr>
                <w:sz w:val="20"/>
              </w:rPr>
              <w:t>where</w:t>
            </w:r>
            <w:r>
              <w:rPr>
                <w:spacing w:val="-10"/>
                <w:sz w:val="20"/>
              </w:rPr>
              <w:t xml:space="preserve"> </w:t>
            </w:r>
            <w:r>
              <w:rPr>
                <w:sz w:val="20"/>
              </w:rPr>
              <w:t>energy</w:t>
            </w:r>
            <w:r>
              <w:rPr>
                <w:spacing w:val="-9"/>
                <w:sz w:val="20"/>
              </w:rPr>
              <w:t xml:space="preserve"> </w:t>
            </w:r>
            <w:r>
              <w:rPr>
                <w:sz w:val="20"/>
              </w:rPr>
              <w:t>use</w:t>
            </w:r>
            <w:r>
              <w:rPr>
                <w:spacing w:val="-9"/>
                <w:sz w:val="20"/>
              </w:rPr>
              <w:t xml:space="preserve"> </w:t>
            </w:r>
            <w:r>
              <w:rPr>
                <w:sz w:val="20"/>
              </w:rPr>
              <w:t>information was not available from the above- listed sources.</w:t>
            </w:r>
          </w:p>
        </w:tc>
        <w:tc>
          <w:tcPr>
            <w:tcW w:w="1396" w:type="dxa"/>
            <w:tcBorders>
              <w:top w:val="single" w:color="D9D9D9" w:sz="2" w:space="0"/>
              <w:bottom w:val="single" w:color="000000" w:sz="8" w:space="0"/>
            </w:tcBorders>
          </w:tcPr>
          <w:p w:rsidR="00C31389" w:rsidRDefault="00C31389" w14:paraId="31C00B5F" w14:textId="77777777">
            <w:pPr>
              <w:pStyle w:val="TableParagraph"/>
              <w:spacing w:before="0"/>
              <w:rPr>
                <w:b/>
              </w:rPr>
            </w:pPr>
          </w:p>
          <w:p w:rsidR="00C31389" w:rsidRDefault="00C31389" w14:paraId="2F80FAE7" w14:textId="77777777">
            <w:pPr>
              <w:pStyle w:val="TableParagraph"/>
              <w:spacing w:before="5"/>
              <w:rPr>
                <w:b/>
                <w:sz w:val="21"/>
              </w:rPr>
            </w:pPr>
          </w:p>
          <w:p w:rsidR="00C31389" w:rsidRDefault="00561FBD" w14:paraId="02263D06" w14:textId="77777777">
            <w:pPr>
              <w:pStyle w:val="TableParagraph"/>
              <w:spacing w:before="1"/>
              <w:ind w:left="125"/>
              <w:rPr>
                <w:sz w:val="20"/>
              </w:rPr>
            </w:pPr>
            <w:r>
              <w:rPr>
                <w:sz w:val="20"/>
              </w:rPr>
              <w:t>CPUC,</w:t>
            </w:r>
            <w:r>
              <w:rPr>
                <w:spacing w:val="-5"/>
                <w:sz w:val="20"/>
              </w:rPr>
              <w:t xml:space="preserve"> </w:t>
            </w:r>
            <w:r>
              <w:rPr>
                <w:spacing w:val="-4"/>
                <w:sz w:val="20"/>
              </w:rPr>
              <w:t>IOUs</w:t>
            </w:r>
          </w:p>
        </w:tc>
        <w:tc>
          <w:tcPr>
            <w:tcW w:w="1433" w:type="dxa"/>
            <w:tcBorders>
              <w:top w:val="single" w:color="D9D9D9" w:sz="2" w:space="0"/>
              <w:bottom w:val="single" w:color="000000" w:sz="8" w:space="0"/>
            </w:tcBorders>
          </w:tcPr>
          <w:p w:rsidR="00C31389" w:rsidRDefault="00C31389" w14:paraId="0FFFBF23" w14:textId="77777777">
            <w:pPr>
              <w:pStyle w:val="TableParagraph"/>
              <w:spacing w:before="0"/>
              <w:rPr>
                <w:b/>
              </w:rPr>
            </w:pPr>
          </w:p>
          <w:p w:rsidR="00C31389" w:rsidRDefault="00C31389" w14:paraId="61545EC8" w14:textId="77777777">
            <w:pPr>
              <w:pStyle w:val="TableParagraph"/>
              <w:spacing w:before="5"/>
              <w:rPr>
                <w:b/>
                <w:sz w:val="21"/>
              </w:rPr>
            </w:pPr>
          </w:p>
          <w:p w:rsidR="00C31389" w:rsidRDefault="00561FBD" w14:paraId="7CC510EB" w14:textId="77777777">
            <w:pPr>
              <w:pStyle w:val="TableParagraph"/>
              <w:spacing w:before="1"/>
              <w:ind w:left="139"/>
              <w:rPr>
                <w:sz w:val="20"/>
              </w:rPr>
            </w:pPr>
            <w:r>
              <w:rPr>
                <w:spacing w:val="-4"/>
                <w:sz w:val="20"/>
              </w:rPr>
              <w:t>2021</w:t>
            </w:r>
          </w:p>
        </w:tc>
      </w:tr>
    </w:tbl>
    <w:p w:rsidR="00C31389" w:rsidRDefault="00C31389" w14:paraId="075D43F3" w14:textId="77777777">
      <w:pPr>
        <w:pStyle w:val="BodyText"/>
        <w:rPr>
          <w:b/>
          <w:sz w:val="20"/>
        </w:rPr>
      </w:pPr>
    </w:p>
    <w:p w:rsidR="00C31389" w:rsidRDefault="00C31389" w14:paraId="2004702F" w14:textId="77777777">
      <w:pPr>
        <w:pStyle w:val="BodyText"/>
        <w:rPr>
          <w:b/>
          <w:sz w:val="20"/>
        </w:rPr>
      </w:pPr>
    </w:p>
    <w:p w:rsidR="00C31389" w:rsidRDefault="00C31389" w14:paraId="655089AC" w14:textId="77777777">
      <w:pPr>
        <w:pStyle w:val="BodyText"/>
        <w:rPr>
          <w:b/>
          <w:sz w:val="20"/>
        </w:rPr>
      </w:pPr>
    </w:p>
    <w:p w:rsidR="00C31389" w:rsidRDefault="00561FBD" w14:paraId="5DBE7A14" w14:textId="77777777">
      <w:pPr>
        <w:pStyle w:val="BodyText"/>
        <w:spacing w:before="10"/>
        <w:rPr>
          <w:b/>
          <w:sz w:val="17"/>
        </w:rPr>
      </w:pPr>
      <w:r>
        <w:rPr>
          <w:noProof/>
        </w:rPr>
        <mc:AlternateContent>
          <mc:Choice Requires="wps">
            <w:drawing>
              <wp:anchor distT="0" distB="0" distL="0" distR="0" simplePos="0" relativeHeight="487634432" behindDoc="1" locked="0" layoutInCell="1" allowOverlap="1" wp14:editId="579D72BA" wp14:anchorId="6F883671">
                <wp:simplePos x="0" y="0"/>
                <wp:positionH relativeFrom="page">
                  <wp:posOffset>914400</wp:posOffset>
                </wp:positionH>
                <wp:positionV relativeFrom="paragraph">
                  <wp:posOffset>146334</wp:posOffset>
                </wp:positionV>
                <wp:extent cx="1828800" cy="6985"/>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6" style="position:absolute;margin-left:1in;margin-top:11.5pt;width:2in;height:.55pt;z-index:-1568204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" w14:anchorId="6FAB5790">
                <v:path arrowok="t"/>
                <w10:wrap type="topAndBottom" anchorx="page"/>
              </v:shape>
            </w:pict>
          </mc:Fallback>
        </mc:AlternateContent>
      </w:r>
    </w:p>
    <w:p w:rsidR="00C31389" w:rsidRDefault="00561FBD" w14:paraId="6F5E2F00" w14:textId="77777777">
      <w:pPr>
        <w:spacing w:before="88"/>
        <w:ind w:left="479" w:right="533"/>
        <w:rPr>
          <w:sz w:val="18"/>
        </w:rPr>
      </w:pPr>
      <w:bookmarkStart w:name="_bookmark135" w:id="182"/>
      <w:bookmarkEnd w:id="182"/>
      <w:r>
        <w:rPr>
          <w:position w:val="6"/>
          <w:sz w:val="12"/>
        </w:rPr>
        <w:t>40</w:t>
      </w:r>
      <w:r>
        <w:rPr>
          <w:spacing w:val="14"/>
          <w:position w:val="6"/>
          <w:sz w:val="12"/>
        </w:rPr>
        <w:t xml:space="preserve"> </w:t>
      </w:r>
      <w:r>
        <w:rPr>
          <w:sz w:val="18"/>
        </w:rPr>
        <w:t>California</w:t>
      </w:r>
      <w:r>
        <w:rPr>
          <w:spacing w:val="-4"/>
          <w:sz w:val="18"/>
        </w:rPr>
        <w:t xml:space="preserve"> </w:t>
      </w:r>
      <w:r>
        <w:rPr>
          <w:sz w:val="18"/>
        </w:rPr>
        <w:t>Air</w:t>
      </w:r>
      <w:r>
        <w:rPr>
          <w:spacing w:val="-2"/>
          <w:sz w:val="18"/>
        </w:rPr>
        <w:t xml:space="preserve"> </w:t>
      </w:r>
      <w:r>
        <w:rPr>
          <w:sz w:val="18"/>
        </w:rPr>
        <w:t>Resources</w:t>
      </w:r>
      <w:r>
        <w:rPr>
          <w:spacing w:val="-3"/>
          <w:sz w:val="18"/>
        </w:rPr>
        <w:t xml:space="preserve"> </w:t>
      </w:r>
      <w:r>
        <w:rPr>
          <w:sz w:val="18"/>
        </w:rPr>
        <w:t>Board,</w:t>
      </w:r>
      <w:r>
        <w:rPr>
          <w:spacing w:val="-3"/>
          <w:sz w:val="18"/>
        </w:rPr>
        <w:t xml:space="preserve"> </w:t>
      </w:r>
      <w:r>
        <w:rPr>
          <w:sz w:val="18"/>
        </w:rPr>
        <w:t>“2022</w:t>
      </w:r>
      <w:r>
        <w:rPr>
          <w:spacing w:val="-4"/>
          <w:sz w:val="18"/>
        </w:rPr>
        <w:t xml:space="preserve"> </w:t>
      </w:r>
      <w:r>
        <w:rPr>
          <w:sz w:val="18"/>
        </w:rPr>
        <w:t>State</w:t>
      </w:r>
      <w:r>
        <w:rPr>
          <w:spacing w:val="-4"/>
          <w:sz w:val="18"/>
        </w:rPr>
        <w:t xml:space="preserve"> </w:t>
      </w:r>
      <w:r>
        <w:rPr>
          <w:sz w:val="18"/>
        </w:rPr>
        <w:t>Strategy</w:t>
      </w:r>
      <w:r>
        <w:rPr>
          <w:spacing w:val="-3"/>
          <w:sz w:val="18"/>
        </w:rPr>
        <w:t xml:space="preserve"> </w:t>
      </w:r>
      <w:r>
        <w:rPr>
          <w:sz w:val="18"/>
        </w:rPr>
        <w:t>for</w:t>
      </w:r>
      <w:r>
        <w:rPr>
          <w:spacing w:val="-3"/>
          <w:sz w:val="18"/>
        </w:rPr>
        <w:t xml:space="preserve"> </w:t>
      </w:r>
      <w:r>
        <w:rPr>
          <w:sz w:val="18"/>
        </w:rPr>
        <w:t>the</w:t>
      </w:r>
      <w:r>
        <w:rPr>
          <w:spacing w:val="-4"/>
          <w:sz w:val="18"/>
        </w:rPr>
        <w:t xml:space="preserve"> </w:t>
      </w:r>
      <w:r>
        <w:rPr>
          <w:sz w:val="18"/>
        </w:rPr>
        <w:t>State</w:t>
      </w:r>
      <w:r>
        <w:rPr>
          <w:spacing w:val="-4"/>
          <w:sz w:val="18"/>
        </w:rPr>
        <w:t xml:space="preserve"> </w:t>
      </w:r>
      <w:r>
        <w:rPr>
          <w:sz w:val="18"/>
        </w:rPr>
        <w:t>Implementation</w:t>
      </w:r>
      <w:r>
        <w:rPr>
          <w:spacing w:val="-4"/>
          <w:sz w:val="18"/>
        </w:rPr>
        <w:t xml:space="preserve"> </w:t>
      </w:r>
      <w:r>
        <w:rPr>
          <w:sz w:val="18"/>
        </w:rPr>
        <w:t>Plan,”</w:t>
      </w:r>
      <w:r>
        <w:rPr>
          <w:spacing w:val="-3"/>
          <w:sz w:val="18"/>
        </w:rPr>
        <w:t xml:space="preserve"> </w:t>
      </w:r>
      <w:r>
        <w:rPr>
          <w:sz w:val="18"/>
        </w:rPr>
        <w:t>Adopted</w:t>
      </w:r>
      <w:r>
        <w:rPr>
          <w:spacing w:val="-4"/>
          <w:sz w:val="18"/>
        </w:rPr>
        <w:t xml:space="preserve"> </w:t>
      </w:r>
      <w:r>
        <w:rPr>
          <w:sz w:val="18"/>
        </w:rPr>
        <w:t>September</w:t>
      </w:r>
      <w:r>
        <w:rPr>
          <w:spacing w:val="-3"/>
          <w:sz w:val="18"/>
        </w:rPr>
        <w:t xml:space="preserve"> </w:t>
      </w:r>
      <w:r>
        <w:rPr>
          <w:sz w:val="18"/>
        </w:rPr>
        <w:t xml:space="preserve">22, 2022. </w:t>
      </w:r>
      <w:hyperlink r:id="rId119">
        <w:r>
          <w:rPr>
            <w:color w:val="68942C"/>
            <w:sz w:val="18"/>
            <w:u w:val="single" w:color="68942C"/>
          </w:rPr>
          <w:t>https://ww2.arb.ca.gov/sites/default/files/2022-08/2022_State_SIP_Strategy.pdf</w:t>
        </w:r>
      </w:hyperlink>
    </w:p>
    <w:p w:rsidR="00C31389" w:rsidRDefault="00C31389" w14:paraId="0B3DF5C2" w14:textId="77777777">
      <w:pPr>
        <w:rPr>
          <w:sz w:val="18"/>
        </w:rPr>
        <w:sectPr w:rsidR="00C31389">
          <w:pgSz w:w="12240" w:h="15840"/>
          <w:pgMar w:top="1660" w:right="960" w:bottom="1120" w:left="960" w:header="397" w:footer="936" w:gutter="0"/>
          <w:cols w:space="720"/>
        </w:sectPr>
      </w:pPr>
    </w:p>
    <w:p w:rsidR="00C31389" w:rsidRDefault="00C31389" w14:paraId="6309D689" w14:textId="77777777">
      <w:pPr>
        <w:pStyle w:val="BodyText"/>
      </w:pPr>
    </w:p>
    <w:tbl>
      <w:tblPr>
        <w:tblW w:w="0" w:type="auto"/>
        <w:tblInd w:w="473" w:type="dxa"/>
        <w:tblLayout w:type="fixed"/>
        <w:tblCellMar>
          <w:left w:w="0" w:type="dxa"/>
          <w:right w:w="0" w:type="dxa"/>
        </w:tblCellMar>
        <w:tblLook w:val="01E0" w:firstRow="1" w:lastRow="1" w:firstColumn="1" w:lastColumn="1" w:noHBand="0" w:noVBand="0"/>
      </w:tblPr>
      <w:tblGrid>
        <w:gridCol w:w="1003"/>
        <w:gridCol w:w="1816"/>
        <w:gridCol w:w="3720"/>
        <w:gridCol w:w="1425"/>
        <w:gridCol w:w="1410"/>
      </w:tblGrid>
      <w:tr w:rsidR="00C31389" w14:paraId="170DED32" w14:textId="77777777">
        <w:trPr>
          <w:trHeight w:val="252"/>
        </w:trPr>
        <w:tc>
          <w:tcPr>
            <w:tcW w:w="1003" w:type="dxa"/>
            <w:tcBorders>
              <w:top w:val="single" w:color="8B8B8B" w:sz="8" w:space="0"/>
            </w:tcBorders>
          </w:tcPr>
          <w:p w:rsidR="00C31389" w:rsidRDefault="00C31389" w14:paraId="0B78356B" w14:textId="77777777">
            <w:pPr>
              <w:pStyle w:val="TableParagraph"/>
              <w:spacing w:before="0"/>
              <w:rPr>
                <w:rFonts w:ascii="Times New Roman"/>
                <w:sz w:val="18"/>
              </w:rPr>
            </w:pPr>
          </w:p>
        </w:tc>
        <w:tc>
          <w:tcPr>
            <w:tcW w:w="1816" w:type="dxa"/>
            <w:tcBorders>
              <w:top w:val="single" w:color="8B8B8B" w:sz="8" w:space="0"/>
            </w:tcBorders>
          </w:tcPr>
          <w:p w:rsidR="00C31389" w:rsidRDefault="00C31389" w14:paraId="1DA5EFB6" w14:textId="77777777">
            <w:pPr>
              <w:pStyle w:val="TableParagraph"/>
              <w:spacing w:before="0"/>
              <w:rPr>
                <w:rFonts w:ascii="Times New Roman"/>
                <w:sz w:val="18"/>
              </w:rPr>
            </w:pPr>
          </w:p>
        </w:tc>
        <w:tc>
          <w:tcPr>
            <w:tcW w:w="3720" w:type="dxa"/>
            <w:tcBorders>
              <w:top w:val="single" w:color="8B8B8B" w:sz="8" w:space="0"/>
            </w:tcBorders>
          </w:tcPr>
          <w:p w:rsidR="00C31389" w:rsidRDefault="00C31389" w14:paraId="01E9E88C" w14:textId="77777777">
            <w:pPr>
              <w:pStyle w:val="TableParagraph"/>
              <w:spacing w:before="0"/>
              <w:rPr>
                <w:rFonts w:ascii="Times New Roman"/>
                <w:sz w:val="18"/>
              </w:rPr>
            </w:pPr>
          </w:p>
        </w:tc>
        <w:tc>
          <w:tcPr>
            <w:tcW w:w="1425" w:type="dxa"/>
            <w:tcBorders>
              <w:top w:val="single" w:color="8B8B8B" w:sz="8" w:space="0"/>
            </w:tcBorders>
          </w:tcPr>
          <w:p w:rsidR="00C31389" w:rsidRDefault="00C31389" w14:paraId="058AE4A8" w14:textId="77777777">
            <w:pPr>
              <w:pStyle w:val="TableParagraph"/>
              <w:spacing w:before="0"/>
              <w:rPr>
                <w:rFonts w:ascii="Times New Roman"/>
                <w:sz w:val="18"/>
              </w:rPr>
            </w:pPr>
          </w:p>
        </w:tc>
        <w:tc>
          <w:tcPr>
            <w:tcW w:w="1410" w:type="dxa"/>
            <w:tcBorders>
              <w:top w:val="single" w:color="8B8B8B" w:sz="8" w:space="0"/>
            </w:tcBorders>
          </w:tcPr>
          <w:p w:rsidR="00C31389" w:rsidRDefault="00C31389" w14:paraId="3C72B170" w14:textId="77777777">
            <w:pPr>
              <w:pStyle w:val="TableParagraph"/>
              <w:spacing w:before="0"/>
              <w:rPr>
                <w:rFonts w:ascii="Times New Roman"/>
                <w:sz w:val="18"/>
              </w:rPr>
            </w:pPr>
          </w:p>
        </w:tc>
      </w:tr>
      <w:tr w:rsidR="00C31389" w14:paraId="5C82330D" w14:textId="77777777">
        <w:trPr>
          <w:trHeight w:val="780"/>
        </w:trPr>
        <w:tc>
          <w:tcPr>
            <w:tcW w:w="1003" w:type="dxa"/>
            <w:shd w:val="clear" w:color="auto" w:fill="92D400"/>
          </w:tcPr>
          <w:p w:rsidR="00C31389" w:rsidRDefault="00C31389" w14:paraId="0C5167B7" w14:textId="77777777">
            <w:pPr>
              <w:pStyle w:val="TableParagraph"/>
              <w:spacing w:before="6"/>
              <w:rPr>
                <w:sz w:val="23"/>
              </w:rPr>
            </w:pPr>
          </w:p>
          <w:p w:rsidR="00C31389" w:rsidRDefault="00561FBD" w14:paraId="2A049513" w14:textId="77777777">
            <w:pPr>
              <w:pStyle w:val="TableParagraph"/>
              <w:spacing w:before="0"/>
              <w:ind w:left="129"/>
              <w:rPr>
                <w:b/>
                <w:sz w:val="20"/>
              </w:rPr>
            </w:pPr>
            <w:r>
              <w:rPr>
                <w:b/>
                <w:spacing w:val="-2"/>
                <w:sz w:val="20"/>
              </w:rPr>
              <w:t>Priority</w:t>
            </w:r>
          </w:p>
        </w:tc>
        <w:tc>
          <w:tcPr>
            <w:tcW w:w="1816" w:type="dxa"/>
            <w:shd w:val="clear" w:color="auto" w:fill="92D400"/>
          </w:tcPr>
          <w:p w:rsidR="00C31389" w:rsidRDefault="00561FBD" w14:paraId="0CD7B938" w14:textId="77777777">
            <w:pPr>
              <w:pStyle w:val="TableParagraph"/>
              <w:ind w:left="115" w:right="183"/>
              <w:rPr>
                <w:b/>
                <w:sz w:val="20"/>
              </w:rPr>
            </w:pPr>
            <w:r>
              <w:rPr>
                <w:b/>
                <w:spacing w:val="-2"/>
                <w:sz w:val="20"/>
              </w:rPr>
              <w:t xml:space="preserve">Energy Consumption </w:t>
            </w:r>
            <w:r>
              <w:rPr>
                <w:b/>
                <w:sz w:val="20"/>
              </w:rPr>
              <w:t>Source</w:t>
            </w:r>
            <w:r>
              <w:rPr>
                <w:b/>
                <w:spacing w:val="-7"/>
                <w:sz w:val="20"/>
              </w:rPr>
              <w:t xml:space="preserve"> </w:t>
            </w:r>
            <w:r>
              <w:rPr>
                <w:b/>
                <w:spacing w:val="-4"/>
                <w:sz w:val="20"/>
              </w:rPr>
              <w:t>Name</w:t>
            </w:r>
          </w:p>
        </w:tc>
        <w:tc>
          <w:tcPr>
            <w:tcW w:w="3720" w:type="dxa"/>
            <w:shd w:val="clear" w:color="auto" w:fill="92D400"/>
          </w:tcPr>
          <w:p w:rsidR="00C31389" w:rsidRDefault="00C31389" w14:paraId="4AE95F7A" w14:textId="77777777">
            <w:pPr>
              <w:pStyle w:val="TableParagraph"/>
              <w:spacing w:before="6"/>
              <w:rPr>
                <w:sz w:val="23"/>
              </w:rPr>
            </w:pPr>
          </w:p>
          <w:p w:rsidR="00C31389" w:rsidRDefault="00561FBD" w14:paraId="7600A5C1" w14:textId="77777777">
            <w:pPr>
              <w:pStyle w:val="TableParagraph"/>
              <w:spacing w:before="0"/>
              <w:ind w:left="188"/>
              <w:rPr>
                <w:b/>
                <w:sz w:val="20"/>
              </w:rPr>
            </w:pPr>
            <w:r>
              <w:rPr>
                <w:b/>
                <w:spacing w:val="-2"/>
                <w:sz w:val="20"/>
              </w:rPr>
              <w:t>Description</w:t>
            </w:r>
          </w:p>
        </w:tc>
        <w:tc>
          <w:tcPr>
            <w:tcW w:w="1425" w:type="dxa"/>
            <w:shd w:val="clear" w:color="auto" w:fill="92D400"/>
          </w:tcPr>
          <w:p w:rsidR="00C31389" w:rsidRDefault="00C31389" w14:paraId="11E3E689" w14:textId="77777777">
            <w:pPr>
              <w:pStyle w:val="TableParagraph"/>
              <w:spacing w:before="6"/>
              <w:rPr>
                <w:sz w:val="23"/>
              </w:rPr>
            </w:pPr>
          </w:p>
          <w:p w:rsidR="00C31389" w:rsidRDefault="00561FBD" w14:paraId="6F0FCE56" w14:textId="77777777">
            <w:pPr>
              <w:pStyle w:val="TableParagraph"/>
              <w:spacing w:before="0"/>
              <w:ind w:left="130"/>
              <w:rPr>
                <w:b/>
                <w:sz w:val="20"/>
              </w:rPr>
            </w:pPr>
            <w:r>
              <w:rPr>
                <w:b/>
                <w:spacing w:val="-2"/>
                <w:sz w:val="20"/>
              </w:rPr>
              <w:t>Author</w:t>
            </w:r>
          </w:p>
        </w:tc>
        <w:tc>
          <w:tcPr>
            <w:tcW w:w="1410" w:type="dxa"/>
            <w:shd w:val="clear" w:color="auto" w:fill="92D400"/>
          </w:tcPr>
          <w:p w:rsidR="00C31389" w:rsidRDefault="00561FBD" w14:paraId="4C6BBEC4" w14:textId="77777777">
            <w:pPr>
              <w:pStyle w:val="TableParagraph"/>
              <w:spacing w:before="155"/>
              <w:ind w:left="115"/>
              <w:rPr>
                <w:b/>
                <w:sz w:val="20"/>
              </w:rPr>
            </w:pPr>
            <w:r>
              <w:rPr>
                <w:b/>
                <w:spacing w:val="-2"/>
                <w:sz w:val="20"/>
              </w:rPr>
              <w:t xml:space="preserve">Publication </w:t>
            </w:r>
            <w:r>
              <w:rPr>
                <w:b/>
                <w:spacing w:val="-4"/>
                <w:sz w:val="20"/>
              </w:rPr>
              <w:t>Year</w:t>
            </w:r>
          </w:p>
        </w:tc>
      </w:tr>
      <w:tr w:rsidR="00C31389" w14:paraId="367ED8FC" w14:textId="77777777">
        <w:trPr>
          <w:trHeight w:val="962"/>
        </w:trPr>
        <w:tc>
          <w:tcPr>
            <w:tcW w:w="1003" w:type="dxa"/>
          </w:tcPr>
          <w:p w:rsidR="00C31389" w:rsidRDefault="00C31389" w14:paraId="09ED6F5D" w14:textId="77777777">
            <w:pPr>
              <w:pStyle w:val="TableParagraph"/>
              <w:spacing w:before="0"/>
              <w:rPr>
                <w:rFonts w:ascii="Times New Roman"/>
                <w:sz w:val="20"/>
              </w:rPr>
            </w:pPr>
          </w:p>
        </w:tc>
        <w:tc>
          <w:tcPr>
            <w:tcW w:w="1816" w:type="dxa"/>
            <w:tcBorders>
              <w:bottom w:val="single" w:color="D9D9D9" w:sz="2" w:space="0"/>
            </w:tcBorders>
          </w:tcPr>
          <w:p w:rsidR="00C31389" w:rsidRDefault="00C31389" w14:paraId="74D5FD00" w14:textId="77777777">
            <w:pPr>
              <w:pStyle w:val="TableParagraph"/>
              <w:spacing w:before="1"/>
              <w:rPr>
                <w:sz w:val="18"/>
              </w:rPr>
            </w:pPr>
          </w:p>
          <w:p w:rsidR="00C31389" w:rsidRDefault="00561FBD" w14:paraId="5057EE5F" w14:textId="77777777">
            <w:pPr>
              <w:pStyle w:val="TableParagraph"/>
              <w:spacing w:before="0"/>
              <w:ind w:left="115" w:right="183"/>
              <w:rPr>
                <w:sz w:val="20"/>
              </w:rPr>
            </w:pPr>
            <w:r>
              <w:rPr>
                <w:spacing w:val="-2"/>
                <w:sz w:val="20"/>
              </w:rPr>
              <w:t xml:space="preserve">Non-California </w:t>
            </w:r>
            <w:r>
              <w:rPr>
                <w:sz w:val="20"/>
              </w:rPr>
              <w:t>source</w:t>
            </w:r>
            <w:r>
              <w:rPr>
                <w:spacing w:val="-14"/>
                <w:sz w:val="20"/>
              </w:rPr>
              <w:t xml:space="preserve"> </w:t>
            </w:r>
            <w:r>
              <w:rPr>
                <w:sz w:val="20"/>
              </w:rPr>
              <w:t>examples</w:t>
            </w:r>
          </w:p>
        </w:tc>
        <w:tc>
          <w:tcPr>
            <w:tcW w:w="3720" w:type="dxa"/>
            <w:tcBorders>
              <w:bottom w:val="single" w:color="D9D9D9" w:sz="2" w:space="0"/>
            </w:tcBorders>
          </w:tcPr>
          <w:p w:rsidR="00C31389" w:rsidRDefault="00561FBD" w14:paraId="586098A3" w14:textId="77777777">
            <w:pPr>
              <w:pStyle w:val="TableParagraph"/>
              <w:spacing w:before="94"/>
              <w:ind w:left="188"/>
              <w:rPr>
                <w:sz w:val="20"/>
              </w:rPr>
            </w:pPr>
            <w:r>
              <w:rPr>
                <w:sz w:val="20"/>
              </w:rPr>
              <w:t>In cases where California-specific sources</w:t>
            </w:r>
            <w:r>
              <w:rPr>
                <w:spacing w:val="-8"/>
                <w:sz w:val="20"/>
              </w:rPr>
              <w:t xml:space="preserve"> </w:t>
            </w:r>
            <w:r>
              <w:rPr>
                <w:sz w:val="20"/>
              </w:rPr>
              <w:t>were</w:t>
            </w:r>
            <w:r>
              <w:rPr>
                <w:spacing w:val="-8"/>
                <w:sz w:val="20"/>
              </w:rPr>
              <w:t xml:space="preserve"> </w:t>
            </w:r>
            <w:r>
              <w:rPr>
                <w:sz w:val="20"/>
              </w:rPr>
              <w:t>not</w:t>
            </w:r>
            <w:r>
              <w:rPr>
                <w:spacing w:val="-8"/>
                <w:sz w:val="20"/>
              </w:rPr>
              <w:t xml:space="preserve"> </w:t>
            </w:r>
            <w:r>
              <w:rPr>
                <w:sz w:val="20"/>
              </w:rPr>
              <w:t>available</w:t>
            </w:r>
            <w:r>
              <w:rPr>
                <w:spacing w:val="-8"/>
                <w:sz w:val="20"/>
              </w:rPr>
              <w:t xml:space="preserve"> </w:t>
            </w:r>
            <w:r>
              <w:rPr>
                <w:sz w:val="20"/>
              </w:rPr>
              <w:t>for</w:t>
            </w:r>
            <w:r>
              <w:rPr>
                <w:spacing w:val="-7"/>
                <w:sz w:val="20"/>
              </w:rPr>
              <w:t xml:space="preserve"> </w:t>
            </w:r>
            <w:r>
              <w:rPr>
                <w:sz w:val="20"/>
              </w:rPr>
              <w:t>energy use information</w:t>
            </w:r>
          </w:p>
        </w:tc>
        <w:tc>
          <w:tcPr>
            <w:tcW w:w="1425" w:type="dxa"/>
            <w:tcBorders>
              <w:bottom w:val="single" w:color="D9D9D9" w:sz="2" w:space="0"/>
            </w:tcBorders>
          </w:tcPr>
          <w:p w:rsidR="00C31389" w:rsidRDefault="00C31389" w14:paraId="0CCC9529" w14:textId="77777777">
            <w:pPr>
              <w:pStyle w:val="TableParagraph"/>
              <w:spacing w:before="7"/>
              <w:rPr>
                <w:sz w:val="31"/>
              </w:rPr>
            </w:pPr>
          </w:p>
          <w:p w:rsidR="00C31389" w:rsidRDefault="00561FBD" w14:paraId="1F83079C" w14:textId="77777777">
            <w:pPr>
              <w:pStyle w:val="TableParagraph"/>
              <w:spacing w:before="1"/>
              <w:ind w:left="130"/>
              <w:rPr>
                <w:sz w:val="20"/>
              </w:rPr>
            </w:pPr>
            <w:r>
              <w:rPr>
                <w:spacing w:val="-2"/>
                <w:sz w:val="20"/>
              </w:rPr>
              <w:t>Various</w:t>
            </w:r>
          </w:p>
        </w:tc>
        <w:tc>
          <w:tcPr>
            <w:tcW w:w="1410" w:type="dxa"/>
            <w:tcBorders>
              <w:bottom w:val="single" w:color="D9D9D9" w:sz="2" w:space="0"/>
            </w:tcBorders>
          </w:tcPr>
          <w:p w:rsidR="00C31389" w:rsidRDefault="00C31389" w14:paraId="00C7AA9E" w14:textId="77777777">
            <w:pPr>
              <w:pStyle w:val="TableParagraph"/>
              <w:spacing w:before="7"/>
              <w:rPr>
                <w:sz w:val="31"/>
              </w:rPr>
            </w:pPr>
          </w:p>
          <w:p w:rsidR="00C31389" w:rsidRDefault="00561FBD" w14:paraId="06E912B2" w14:textId="77777777">
            <w:pPr>
              <w:pStyle w:val="TableParagraph"/>
              <w:spacing w:before="1"/>
              <w:ind w:left="115"/>
              <w:rPr>
                <w:sz w:val="20"/>
              </w:rPr>
            </w:pPr>
            <w:r>
              <w:rPr>
                <w:spacing w:val="-2"/>
                <w:sz w:val="20"/>
              </w:rPr>
              <w:t>Various</w:t>
            </w:r>
          </w:p>
        </w:tc>
      </w:tr>
      <w:tr w:rsidR="00C31389" w14:paraId="40456523" w14:textId="77777777">
        <w:trPr>
          <w:trHeight w:val="999"/>
        </w:trPr>
        <w:tc>
          <w:tcPr>
            <w:tcW w:w="1003" w:type="dxa"/>
          </w:tcPr>
          <w:p w:rsidR="00C31389" w:rsidRDefault="00C31389" w14:paraId="3B5701DE" w14:textId="77777777">
            <w:pPr>
              <w:pStyle w:val="TableParagraph"/>
              <w:spacing w:before="0"/>
            </w:pPr>
          </w:p>
          <w:p w:rsidR="00C31389" w:rsidRDefault="00561FBD" w14:paraId="13EF7A5E" w14:textId="77777777">
            <w:pPr>
              <w:pStyle w:val="TableParagraph"/>
              <w:spacing w:before="148"/>
              <w:ind w:left="129"/>
              <w:rPr>
                <w:sz w:val="20"/>
              </w:rPr>
            </w:pPr>
            <w:r>
              <w:rPr>
                <w:sz w:val="20"/>
              </w:rPr>
              <w:t>4</w:t>
            </w:r>
          </w:p>
        </w:tc>
        <w:tc>
          <w:tcPr>
            <w:tcW w:w="1816" w:type="dxa"/>
            <w:tcBorders>
              <w:top w:val="single" w:color="D9D9D9" w:sz="2" w:space="0"/>
              <w:bottom w:val="single" w:color="D9D9D9" w:sz="2" w:space="0"/>
            </w:tcBorders>
          </w:tcPr>
          <w:p w:rsidR="00C31389" w:rsidRDefault="00561FBD" w14:paraId="65361E05" w14:textId="77777777">
            <w:pPr>
              <w:pStyle w:val="TableParagraph"/>
              <w:spacing w:before="155"/>
              <w:ind w:left="115" w:right="205"/>
              <w:rPr>
                <w:sz w:val="20"/>
              </w:rPr>
            </w:pPr>
            <w:r>
              <w:rPr>
                <w:spacing w:val="-2"/>
                <w:sz w:val="20"/>
              </w:rPr>
              <w:t xml:space="preserve">Regional </w:t>
            </w:r>
            <w:r>
              <w:rPr>
                <w:sz w:val="20"/>
              </w:rPr>
              <w:t>Technical</w:t>
            </w:r>
            <w:r>
              <w:rPr>
                <w:spacing w:val="-14"/>
                <w:sz w:val="20"/>
              </w:rPr>
              <w:t xml:space="preserve"> </w:t>
            </w:r>
            <w:r>
              <w:rPr>
                <w:sz w:val="20"/>
              </w:rPr>
              <w:t xml:space="preserve">Forum </w:t>
            </w:r>
            <w:r>
              <w:rPr>
                <w:spacing w:val="-2"/>
                <w:sz w:val="20"/>
              </w:rPr>
              <w:t>database</w:t>
            </w:r>
          </w:p>
        </w:tc>
        <w:tc>
          <w:tcPr>
            <w:tcW w:w="3720" w:type="dxa"/>
            <w:tcBorders>
              <w:top w:val="single" w:color="D9D9D9" w:sz="2" w:space="0"/>
              <w:bottom w:val="single" w:color="D9D9D9" w:sz="2" w:space="0"/>
            </w:tcBorders>
          </w:tcPr>
          <w:p w:rsidR="00C31389" w:rsidRDefault="00561FBD" w14:paraId="682A96A8" w14:textId="77777777">
            <w:pPr>
              <w:pStyle w:val="TableParagraph"/>
              <w:ind w:left="188" w:right="163"/>
              <w:rPr>
                <w:sz w:val="20"/>
              </w:rPr>
            </w:pPr>
            <w:r>
              <w:rPr>
                <w:sz w:val="20"/>
              </w:rPr>
              <w:t>Measure-level savings data from evaluated programs in the Pacific Northwest</w:t>
            </w:r>
            <w:r>
              <w:rPr>
                <w:spacing w:val="-12"/>
                <w:sz w:val="20"/>
              </w:rPr>
              <w:t xml:space="preserve"> </w:t>
            </w:r>
            <w:r>
              <w:rPr>
                <w:sz w:val="20"/>
              </w:rPr>
              <w:t>region,</w:t>
            </w:r>
            <w:r>
              <w:rPr>
                <w:spacing w:val="-12"/>
                <w:sz w:val="20"/>
              </w:rPr>
              <w:t xml:space="preserve"> </w:t>
            </w:r>
            <w:r>
              <w:rPr>
                <w:sz w:val="20"/>
              </w:rPr>
              <w:t>available</w:t>
            </w:r>
            <w:r>
              <w:rPr>
                <w:spacing w:val="-12"/>
                <w:sz w:val="20"/>
              </w:rPr>
              <w:t xml:space="preserve"> </w:t>
            </w:r>
            <w:r>
              <w:rPr>
                <w:sz w:val="20"/>
              </w:rPr>
              <w:t>through the Regional Technical Forum.</w:t>
            </w:r>
          </w:p>
        </w:tc>
        <w:tc>
          <w:tcPr>
            <w:tcW w:w="1425" w:type="dxa"/>
            <w:tcBorders>
              <w:top w:val="single" w:color="D9D9D9" w:sz="2" w:space="0"/>
              <w:bottom w:val="single" w:color="D9D9D9" w:sz="2" w:space="0"/>
            </w:tcBorders>
          </w:tcPr>
          <w:p w:rsidR="00C31389" w:rsidRDefault="00561FBD" w14:paraId="44E29A00" w14:textId="77777777">
            <w:pPr>
              <w:pStyle w:val="TableParagraph"/>
              <w:ind w:left="130"/>
              <w:rPr>
                <w:sz w:val="20"/>
              </w:rPr>
            </w:pPr>
            <w:r>
              <w:rPr>
                <w:spacing w:val="-2"/>
                <w:sz w:val="20"/>
              </w:rPr>
              <w:t xml:space="preserve">Northwest </w:t>
            </w:r>
            <w:r>
              <w:rPr>
                <w:sz w:val="20"/>
              </w:rPr>
              <w:t xml:space="preserve">Power and </w:t>
            </w:r>
            <w:r>
              <w:rPr>
                <w:spacing w:val="-2"/>
                <w:sz w:val="20"/>
              </w:rPr>
              <w:t>Conservation Council</w:t>
            </w:r>
          </w:p>
        </w:tc>
        <w:tc>
          <w:tcPr>
            <w:tcW w:w="1410" w:type="dxa"/>
            <w:tcBorders>
              <w:top w:val="single" w:color="D9D9D9" w:sz="2" w:space="0"/>
              <w:bottom w:val="single" w:color="D9D9D9" w:sz="2" w:space="0"/>
            </w:tcBorders>
          </w:tcPr>
          <w:p w:rsidR="00C31389" w:rsidRDefault="00C31389" w14:paraId="443ACC37" w14:textId="77777777">
            <w:pPr>
              <w:pStyle w:val="TableParagraph"/>
              <w:spacing w:before="0"/>
            </w:pPr>
          </w:p>
          <w:p w:rsidR="00C31389" w:rsidRDefault="00561FBD" w14:paraId="1EB92822" w14:textId="77777777">
            <w:pPr>
              <w:pStyle w:val="TableParagraph"/>
              <w:spacing w:before="132"/>
              <w:ind w:left="115"/>
              <w:rPr>
                <w:sz w:val="20"/>
              </w:rPr>
            </w:pPr>
            <w:r>
              <w:rPr>
                <w:spacing w:val="-4"/>
                <w:sz w:val="20"/>
              </w:rPr>
              <w:t>2015</w:t>
            </w:r>
          </w:p>
        </w:tc>
      </w:tr>
      <w:tr w:rsidR="00C31389" w14:paraId="24E6B80E" w14:textId="77777777">
        <w:trPr>
          <w:trHeight w:val="1000"/>
        </w:trPr>
        <w:tc>
          <w:tcPr>
            <w:tcW w:w="1003" w:type="dxa"/>
            <w:tcBorders>
              <w:bottom w:val="single" w:color="000000" w:sz="8" w:space="0"/>
            </w:tcBorders>
          </w:tcPr>
          <w:p w:rsidR="00C31389" w:rsidRDefault="00C31389" w14:paraId="4145BFD0" w14:textId="77777777">
            <w:pPr>
              <w:pStyle w:val="TableParagraph"/>
              <w:spacing w:before="0"/>
              <w:rPr>
                <w:rFonts w:ascii="Times New Roman"/>
                <w:sz w:val="20"/>
              </w:rPr>
            </w:pPr>
          </w:p>
        </w:tc>
        <w:tc>
          <w:tcPr>
            <w:tcW w:w="1816" w:type="dxa"/>
            <w:tcBorders>
              <w:top w:val="single" w:color="D9D9D9" w:sz="2" w:space="0"/>
              <w:bottom w:val="single" w:color="000000" w:sz="8" w:space="0"/>
            </w:tcBorders>
          </w:tcPr>
          <w:p w:rsidR="00C31389" w:rsidRDefault="00561FBD" w14:paraId="2BDC6F12" w14:textId="77777777">
            <w:pPr>
              <w:pStyle w:val="TableParagraph"/>
              <w:spacing w:before="155"/>
              <w:ind w:left="115" w:right="405"/>
              <w:rPr>
                <w:sz w:val="20"/>
              </w:rPr>
            </w:pPr>
            <w:r>
              <w:rPr>
                <w:spacing w:val="-2"/>
                <w:sz w:val="20"/>
              </w:rPr>
              <w:t xml:space="preserve">Guidehouse </w:t>
            </w:r>
            <w:r>
              <w:rPr>
                <w:sz w:val="20"/>
              </w:rPr>
              <w:t>potential</w:t>
            </w:r>
            <w:r>
              <w:rPr>
                <w:spacing w:val="-14"/>
                <w:sz w:val="20"/>
              </w:rPr>
              <w:t xml:space="preserve"> </w:t>
            </w:r>
            <w:r>
              <w:rPr>
                <w:sz w:val="20"/>
              </w:rPr>
              <w:t xml:space="preserve">study </w:t>
            </w:r>
            <w:r>
              <w:rPr>
                <w:spacing w:val="-2"/>
                <w:sz w:val="20"/>
              </w:rPr>
              <w:t>database</w:t>
            </w:r>
          </w:p>
        </w:tc>
        <w:tc>
          <w:tcPr>
            <w:tcW w:w="3720" w:type="dxa"/>
            <w:tcBorders>
              <w:top w:val="single" w:color="D9D9D9" w:sz="2" w:space="0"/>
              <w:bottom w:val="single" w:color="000000" w:sz="8" w:space="0"/>
            </w:tcBorders>
          </w:tcPr>
          <w:p w:rsidR="00C31389" w:rsidRDefault="00561FBD" w14:paraId="429DDD94" w14:textId="77777777">
            <w:pPr>
              <w:pStyle w:val="TableParagraph"/>
              <w:ind w:left="188" w:right="94"/>
              <w:rPr>
                <w:sz w:val="20"/>
              </w:rPr>
            </w:pPr>
            <w:r>
              <w:rPr>
                <w:sz w:val="20"/>
              </w:rPr>
              <w:t>Guidehouse’s</w:t>
            </w:r>
            <w:r>
              <w:rPr>
                <w:spacing w:val="-12"/>
                <w:sz w:val="20"/>
              </w:rPr>
              <w:t xml:space="preserve"> </w:t>
            </w:r>
            <w:r>
              <w:rPr>
                <w:sz w:val="20"/>
              </w:rPr>
              <w:t>archive</w:t>
            </w:r>
            <w:r>
              <w:rPr>
                <w:spacing w:val="-12"/>
                <w:sz w:val="20"/>
              </w:rPr>
              <w:t xml:space="preserve"> </w:t>
            </w:r>
            <w:r>
              <w:rPr>
                <w:sz w:val="20"/>
              </w:rPr>
              <w:t>of</w:t>
            </w:r>
            <w:r>
              <w:rPr>
                <w:spacing w:val="-14"/>
                <w:sz w:val="20"/>
              </w:rPr>
              <w:t xml:space="preserve"> </w:t>
            </w:r>
            <w:r>
              <w:rPr>
                <w:sz w:val="20"/>
              </w:rPr>
              <w:t>characterized measure savings from previous potential studies and projects with other utilities.</w:t>
            </w:r>
          </w:p>
        </w:tc>
        <w:tc>
          <w:tcPr>
            <w:tcW w:w="1425" w:type="dxa"/>
            <w:tcBorders>
              <w:top w:val="single" w:color="D9D9D9" w:sz="2" w:space="0"/>
              <w:bottom w:val="single" w:color="000000" w:sz="8" w:space="0"/>
            </w:tcBorders>
          </w:tcPr>
          <w:p w:rsidR="00C31389" w:rsidRDefault="00C31389" w14:paraId="3D4A6104" w14:textId="77777777">
            <w:pPr>
              <w:pStyle w:val="TableParagraph"/>
              <w:spacing w:before="0"/>
            </w:pPr>
          </w:p>
          <w:p w:rsidR="00C31389" w:rsidRDefault="00561FBD" w14:paraId="69789FA8" w14:textId="77777777">
            <w:pPr>
              <w:pStyle w:val="TableParagraph"/>
              <w:spacing w:before="133"/>
              <w:ind w:left="130"/>
              <w:rPr>
                <w:sz w:val="20"/>
              </w:rPr>
            </w:pPr>
            <w:r>
              <w:rPr>
                <w:spacing w:val="-2"/>
                <w:sz w:val="20"/>
              </w:rPr>
              <w:t>Guidehouse</w:t>
            </w:r>
          </w:p>
        </w:tc>
        <w:tc>
          <w:tcPr>
            <w:tcW w:w="1410" w:type="dxa"/>
            <w:tcBorders>
              <w:top w:val="single" w:color="D9D9D9" w:sz="2" w:space="0"/>
              <w:bottom w:val="single" w:color="000000" w:sz="8" w:space="0"/>
            </w:tcBorders>
          </w:tcPr>
          <w:p w:rsidR="00C31389" w:rsidRDefault="00C31389" w14:paraId="5391DBA1" w14:textId="77777777">
            <w:pPr>
              <w:pStyle w:val="TableParagraph"/>
              <w:spacing w:before="0"/>
            </w:pPr>
          </w:p>
          <w:p w:rsidR="00C31389" w:rsidRDefault="00561FBD" w14:paraId="1DA38309" w14:textId="77777777">
            <w:pPr>
              <w:pStyle w:val="TableParagraph"/>
              <w:spacing w:before="133"/>
              <w:ind w:left="115"/>
              <w:rPr>
                <w:sz w:val="20"/>
              </w:rPr>
            </w:pPr>
            <w:r>
              <w:rPr>
                <w:spacing w:val="-2"/>
                <w:sz w:val="20"/>
              </w:rPr>
              <w:t>Various</w:t>
            </w:r>
          </w:p>
        </w:tc>
      </w:tr>
    </w:tbl>
    <w:p w:rsidR="00C31389" w:rsidRDefault="00561FBD" w14:paraId="422FA503" w14:textId="77777777">
      <w:pPr>
        <w:spacing w:before="61"/>
        <w:ind w:left="480"/>
        <w:rPr>
          <w:i/>
          <w:sz w:val="18"/>
        </w:rPr>
      </w:pPr>
      <w:r>
        <w:rPr>
          <w:i/>
          <w:sz w:val="18"/>
        </w:rPr>
        <w:t>Source:</w:t>
      </w:r>
      <w:r>
        <w:rPr>
          <w:i/>
          <w:spacing w:val="-4"/>
          <w:sz w:val="18"/>
        </w:rPr>
        <w:t xml:space="preserve"> </w:t>
      </w:r>
      <w:r>
        <w:rPr>
          <w:i/>
          <w:spacing w:val="-2"/>
          <w:sz w:val="18"/>
        </w:rPr>
        <w:t>Guidehouse</w:t>
      </w:r>
    </w:p>
    <w:p w:rsidR="00C31389" w:rsidRDefault="00C31389" w14:paraId="38DA3936" w14:textId="77777777">
      <w:pPr>
        <w:pStyle w:val="BodyText"/>
        <w:spacing w:before="9"/>
        <w:rPr>
          <w:i/>
          <w:sz w:val="20"/>
        </w:rPr>
      </w:pPr>
    </w:p>
    <w:p w:rsidR="00C31389" w:rsidRDefault="00561FBD" w14:paraId="26D18D48" w14:textId="77777777">
      <w:pPr>
        <w:pStyle w:val="BodyText"/>
        <w:ind w:left="480" w:right="520"/>
      </w:pPr>
      <w:hyperlink w:history="1" w:anchor="_bookmark136">
        <w:r>
          <w:t>Table 3-14</w:t>
        </w:r>
      </w:hyperlink>
      <w:r>
        <w:t>4 lists the resources used to calculate density and saturation for the residential and commercial</w:t>
      </w:r>
      <w:r>
        <w:rPr>
          <w:spacing w:val="-3"/>
        </w:rPr>
        <w:t xml:space="preserve"> </w:t>
      </w:r>
      <w:r>
        <w:t>sectors</w:t>
      </w:r>
      <w:r>
        <w:rPr>
          <w:spacing w:val="-3"/>
        </w:rPr>
        <w:t xml:space="preserve"> </w:t>
      </w:r>
      <w:r>
        <w:t>in</w:t>
      </w:r>
      <w:r>
        <w:rPr>
          <w:spacing w:val="-4"/>
        </w:rPr>
        <w:t xml:space="preserve"> </w:t>
      </w:r>
      <w:r>
        <w:t>the</w:t>
      </w:r>
      <w:r>
        <w:rPr>
          <w:spacing w:val="-3"/>
        </w:rPr>
        <w:t xml:space="preserve"> </w:t>
      </w:r>
      <w:r>
        <w:t>2023</w:t>
      </w:r>
      <w:r>
        <w:rPr>
          <w:spacing w:val="-3"/>
        </w:rPr>
        <w:t xml:space="preserve"> </w:t>
      </w:r>
      <w:r>
        <w:t>Study</w:t>
      </w:r>
      <w:r>
        <w:rPr>
          <w:spacing w:val="-3"/>
        </w:rPr>
        <w:t xml:space="preserve"> </w:t>
      </w:r>
      <w:r>
        <w:t>(in</w:t>
      </w:r>
      <w:r>
        <w:rPr>
          <w:spacing w:val="-3"/>
        </w:rPr>
        <w:t xml:space="preserve"> </w:t>
      </w:r>
      <w:r>
        <w:t>order</w:t>
      </w:r>
      <w:r>
        <w:rPr>
          <w:spacing w:val="-3"/>
        </w:rPr>
        <w:t xml:space="preserve"> </w:t>
      </w:r>
      <w:r>
        <w:t>of</w:t>
      </w:r>
      <w:r>
        <w:rPr>
          <w:spacing w:val="-3"/>
        </w:rPr>
        <w:t xml:space="preserve"> </w:t>
      </w:r>
      <w:r>
        <w:t>priority).</w:t>
      </w:r>
      <w:r>
        <w:rPr>
          <w:spacing w:val="-3"/>
        </w:rPr>
        <w:t xml:space="preserve"> </w:t>
      </w:r>
      <w:r>
        <w:t>The</w:t>
      </w:r>
      <w:r>
        <w:rPr>
          <w:spacing w:val="-3"/>
        </w:rPr>
        <w:t xml:space="preserve"> </w:t>
      </w:r>
      <w:r>
        <w:t>Guidehouse</w:t>
      </w:r>
      <w:r>
        <w:rPr>
          <w:spacing w:val="-3"/>
        </w:rPr>
        <w:t xml:space="preserve"> </w:t>
      </w:r>
      <w:r>
        <w:t>team</w:t>
      </w:r>
      <w:r>
        <w:rPr>
          <w:spacing w:val="-4"/>
        </w:rPr>
        <w:t xml:space="preserve"> </w:t>
      </w:r>
      <w:r>
        <w:t>primarily</w:t>
      </w:r>
      <w:r>
        <w:rPr>
          <w:spacing w:val="-3"/>
        </w:rPr>
        <w:t xml:space="preserve"> </w:t>
      </w:r>
      <w:r>
        <w:t>used California-specific sources for this d</w:t>
      </w:r>
      <w:r>
        <w:t>ata and referred to non-California sources only in cases the California-specific sources did not have the required data.</w:t>
      </w:r>
    </w:p>
    <w:p w:rsidR="00C31389" w:rsidRDefault="00C31389" w14:paraId="5025D3A1" w14:textId="77777777">
      <w:pPr>
        <w:pStyle w:val="BodyText"/>
        <w:spacing w:before="11"/>
        <w:rPr>
          <w:sz w:val="20"/>
        </w:rPr>
      </w:pPr>
    </w:p>
    <w:p w:rsidR="00C31389" w:rsidRDefault="00561FBD" w14:paraId="5634A479" w14:textId="77777777">
      <w:pPr>
        <w:pStyle w:val="Heading7"/>
        <w:ind w:left="565" w:right="566"/>
        <w:jc w:val="center"/>
      </w:pPr>
      <w:bookmarkStart w:name="_bookmark136" w:id="183"/>
      <w:bookmarkEnd w:id="183"/>
      <w:r>
        <w:t>Table</w:t>
      </w:r>
      <w:r>
        <w:rPr>
          <w:spacing w:val="-8"/>
        </w:rPr>
        <w:t xml:space="preserve"> </w:t>
      </w:r>
      <w:r>
        <w:t>3-14.</w:t>
      </w:r>
      <w:r>
        <w:rPr>
          <w:spacing w:val="-7"/>
        </w:rPr>
        <w:t xml:space="preserve"> </w:t>
      </w:r>
      <w:r>
        <w:t>Sources</w:t>
      </w:r>
      <w:r>
        <w:rPr>
          <w:spacing w:val="-7"/>
        </w:rPr>
        <w:t xml:space="preserve"> </w:t>
      </w:r>
      <w:r>
        <w:t>for</w:t>
      </w:r>
      <w:r>
        <w:rPr>
          <w:spacing w:val="-7"/>
        </w:rPr>
        <w:t xml:space="preserve"> </w:t>
      </w:r>
      <w:r>
        <w:t>Density</w:t>
      </w:r>
      <w:r>
        <w:rPr>
          <w:spacing w:val="-7"/>
        </w:rPr>
        <w:t xml:space="preserve"> </w:t>
      </w:r>
      <w:r>
        <w:t>and</w:t>
      </w:r>
      <w:r>
        <w:rPr>
          <w:spacing w:val="-7"/>
        </w:rPr>
        <w:t xml:space="preserve"> </w:t>
      </w:r>
      <w:r>
        <w:t>Saturation</w:t>
      </w:r>
      <w:r>
        <w:rPr>
          <w:spacing w:val="-7"/>
        </w:rPr>
        <w:t xml:space="preserve"> </w:t>
      </w:r>
      <w:r>
        <w:rPr>
          <w:spacing w:val="-2"/>
        </w:rPr>
        <w:t>Characterization</w:t>
      </w:r>
    </w:p>
    <w:p w:rsidR="00C31389" w:rsidRDefault="00C31389" w14:paraId="3C969FC2" w14:textId="77777777">
      <w:pPr>
        <w:pStyle w:val="BodyText"/>
        <w:rPr>
          <w:b/>
          <w:sz w:val="10"/>
        </w:rPr>
      </w:pPr>
    </w:p>
    <w:tbl>
      <w:tblPr>
        <w:tblW w:w="0" w:type="auto"/>
        <w:tblInd w:w="473" w:type="dxa"/>
        <w:tblLayout w:type="fixed"/>
        <w:tblCellMar>
          <w:left w:w="0" w:type="dxa"/>
          <w:right w:w="0" w:type="dxa"/>
        </w:tblCellMar>
        <w:tblLook w:val="01E0" w:firstRow="1" w:lastRow="1" w:firstColumn="1" w:lastColumn="1" w:noHBand="0" w:noVBand="0"/>
      </w:tblPr>
      <w:tblGrid>
        <w:gridCol w:w="975"/>
        <w:gridCol w:w="2722"/>
        <w:gridCol w:w="3304"/>
        <w:gridCol w:w="1304"/>
        <w:gridCol w:w="1068"/>
      </w:tblGrid>
      <w:tr w:rsidR="00C31389" w14:paraId="1F3B1437" w14:textId="77777777">
        <w:trPr>
          <w:trHeight w:val="514"/>
        </w:trPr>
        <w:tc>
          <w:tcPr>
            <w:tcW w:w="975" w:type="dxa"/>
            <w:shd w:val="clear" w:color="auto" w:fill="92D400"/>
          </w:tcPr>
          <w:p w:rsidR="00C31389" w:rsidRDefault="00561FBD" w14:paraId="797B9B3B" w14:textId="77777777">
            <w:pPr>
              <w:pStyle w:val="TableParagraph"/>
              <w:spacing w:before="128"/>
              <w:ind w:left="129"/>
              <w:rPr>
                <w:b/>
                <w:sz w:val="20"/>
              </w:rPr>
            </w:pPr>
            <w:r>
              <w:rPr>
                <w:b/>
                <w:spacing w:val="-2"/>
                <w:sz w:val="20"/>
              </w:rPr>
              <w:t>Priority</w:t>
            </w:r>
          </w:p>
        </w:tc>
        <w:tc>
          <w:tcPr>
            <w:tcW w:w="2722" w:type="dxa"/>
            <w:shd w:val="clear" w:color="auto" w:fill="92D400"/>
          </w:tcPr>
          <w:p w:rsidR="00C31389" w:rsidRDefault="00561FBD" w14:paraId="15FF2AC3" w14:textId="77777777">
            <w:pPr>
              <w:pStyle w:val="TableParagraph"/>
              <w:spacing w:before="128"/>
              <w:ind w:left="144"/>
              <w:rPr>
                <w:b/>
                <w:sz w:val="20"/>
              </w:rPr>
            </w:pPr>
            <w:r>
              <w:rPr>
                <w:b/>
                <w:spacing w:val="-2"/>
                <w:sz w:val="20"/>
              </w:rPr>
              <w:t>Sources</w:t>
            </w:r>
          </w:p>
        </w:tc>
        <w:tc>
          <w:tcPr>
            <w:tcW w:w="3304" w:type="dxa"/>
            <w:shd w:val="clear" w:color="auto" w:fill="92D400"/>
          </w:tcPr>
          <w:p w:rsidR="00C31389" w:rsidRDefault="00561FBD" w14:paraId="791825EC" w14:textId="77777777">
            <w:pPr>
              <w:pStyle w:val="TableParagraph"/>
              <w:spacing w:before="128"/>
              <w:ind w:left="363"/>
              <w:rPr>
                <w:b/>
                <w:sz w:val="20"/>
              </w:rPr>
            </w:pPr>
            <w:r>
              <w:rPr>
                <w:b/>
                <w:spacing w:val="-2"/>
                <w:sz w:val="20"/>
              </w:rPr>
              <w:t>Description</w:t>
            </w:r>
          </w:p>
        </w:tc>
        <w:tc>
          <w:tcPr>
            <w:tcW w:w="1304" w:type="dxa"/>
            <w:shd w:val="clear" w:color="auto" w:fill="92D400"/>
          </w:tcPr>
          <w:p w:rsidR="00C31389" w:rsidRDefault="00561FBD" w14:paraId="2E73B995" w14:textId="77777777">
            <w:pPr>
              <w:pStyle w:val="TableParagraph"/>
              <w:spacing w:before="128"/>
              <w:ind w:left="148"/>
              <w:rPr>
                <w:b/>
                <w:sz w:val="20"/>
              </w:rPr>
            </w:pPr>
            <w:r>
              <w:rPr>
                <w:b/>
                <w:spacing w:val="-2"/>
                <w:sz w:val="20"/>
              </w:rPr>
              <w:t>Author</w:t>
            </w:r>
          </w:p>
        </w:tc>
        <w:tc>
          <w:tcPr>
            <w:tcW w:w="1068" w:type="dxa"/>
            <w:shd w:val="clear" w:color="auto" w:fill="92D400"/>
          </w:tcPr>
          <w:p w:rsidR="00C31389" w:rsidRDefault="00561FBD" w14:paraId="28A363DE" w14:textId="77777777">
            <w:pPr>
              <w:pStyle w:val="TableParagraph"/>
              <w:spacing w:before="128"/>
              <w:ind w:right="219"/>
              <w:jc w:val="right"/>
              <w:rPr>
                <w:b/>
                <w:sz w:val="20"/>
              </w:rPr>
            </w:pPr>
            <w:r>
              <w:rPr>
                <w:b/>
                <w:spacing w:val="-4"/>
                <w:sz w:val="20"/>
              </w:rPr>
              <w:t>Year</w:t>
            </w:r>
          </w:p>
        </w:tc>
      </w:tr>
      <w:tr w:rsidR="00C31389" w14:paraId="0D82255F" w14:textId="77777777">
        <w:trPr>
          <w:trHeight w:val="768"/>
        </w:trPr>
        <w:tc>
          <w:tcPr>
            <w:tcW w:w="975" w:type="dxa"/>
            <w:tcBorders>
              <w:bottom w:val="single" w:color="DCDDDE" w:sz="4" w:space="0"/>
            </w:tcBorders>
          </w:tcPr>
          <w:p w:rsidR="00C31389" w:rsidRDefault="00C31389" w14:paraId="38835048" w14:textId="77777777">
            <w:pPr>
              <w:pStyle w:val="TableParagraph"/>
              <w:spacing w:before="6"/>
              <w:rPr>
                <w:b/>
                <w:sz w:val="23"/>
              </w:rPr>
            </w:pPr>
          </w:p>
          <w:p w:rsidR="00C31389" w:rsidRDefault="00561FBD" w14:paraId="20ABACE1" w14:textId="77777777">
            <w:pPr>
              <w:pStyle w:val="TableParagraph"/>
              <w:spacing w:before="0"/>
              <w:ind w:left="129"/>
              <w:rPr>
                <w:sz w:val="20"/>
              </w:rPr>
            </w:pPr>
            <w:r>
              <w:rPr>
                <w:sz w:val="20"/>
              </w:rPr>
              <w:t>1</w:t>
            </w:r>
          </w:p>
        </w:tc>
        <w:tc>
          <w:tcPr>
            <w:tcW w:w="2722" w:type="dxa"/>
            <w:tcBorders>
              <w:bottom w:val="single" w:color="DCDDDE" w:sz="4" w:space="0"/>
            </w:tcBorders>
          </w:tcPr>
          <w:p w:rsidR="00C31389" w:rsidRDefault="00561FBD" w14:paraId="7513FB97" w14:textId="77777777">
            <w:pPr>
              <w:pStyle w:val="TableParagraph"/>
              <w:spacing w:before="155"/>
              <w:ind w:left="144"/>
              <w:rPr>
                <w:sz w:val="20"/>
              </w:rPr>
            </w:pPr>
            <w:r>
              <w:rPr>
                <w:sz w:val="20"/>
              </w:rPr>
              <w:t xml:space="preserve">Residential </w:t>
            </w:r>
            <w:r>
              <w:rPr>
                <w:sz w:val="20"/>
              </w:rPr>
              <w:t>Appliance Saturation</w:t>
            </w:r>
            <w:r>
              <w:rPr>
                <w:spacing w:val="-14"/>
                <w:sz w:val="20"/>
              </w:rPr>
              <w:t xml:space="preserve"> </w:t>
            </w:r>
            <w:r>
              <w:rPr>
                <w:sz w:val="20"/>
              </w:rPr>
              <w:t>Study</w:t>
            </w:r>
            <w:r>
              <w:rPr>
                <w:spacing w:val="-14"/>
                <w:sz w:val="20"/>
              </w:rPr>
              <w:t xml:space="preserve"> </w:t>
            </w:r>
            <w:r>
              <w:rPr>
                <w:sz w:val="20"/>
              </w:rPr>
              <w:t>(RASS)</w:t>
            </w:r>
          </w:p>
        </w:tc>
        <w:tc>
          <w:tcPr>
            <w:tcW w:w="3304" w:type="dxa"/>
            <w:tcBorders>
              <w:bottom w:val="single" w:color="DCDDDE" w:sz="4" w:space="0"/>
            </w:tcBorders>
          </w:tcPr>
          <w:p w:rsidR="00C31389" w:rsidRDefault="00561FBD" w14:paraId="1AA7D77A" w14:textId="77777777">
            <w:pPr>
              <w:pStyle w:val="TableParagraph"/>
              <w:ind w:left="363"/>
              <w:rPr>
                <w:sz w:val="20"/>
              </w:rPr>
            </w:pPr>
            <w:r>
              <w:rPr>
                <w:sz w:val="20"/>
              </w:rPr>
              <w:t>Residential</w:t>
            </w:r>
            <w:r>
              <w:rPr>
                <w:spacing w:val="-12"/>
                <w:sz w:val="20"/>
              </w:rPr>
              <w:t xml:space="preserve"> </w:t>
            </w:r>
            <w:r>
              <w:rPr>
                <w:sz w:val="20"/>
              </w:rPr>
              <w:t>end</w:t>
            </w:r>
            <w:r>
              <w:rPr>
                <w:spacing w:val="-12"/>
                <w:sz w:val="20"/>
              </w:rPr>
              <w:t xml:space="preserve"> </w:t>
            </w:r>
            <w:r>
              <w:rPr>
                <w:sz w:val="20"/>
              </w:rPr>
              <w:t>use</w:t>
            </w:r>
            <w:r>
              <w:rPr>
                <w:spacing w:val="-12"/>
                <w:sz w:val="20"/>
              </w:rPr>
              <w:t xml:space="preserve"> </w:t>
            </w:r>
            <w:r>
              <w:rPr>
                <w:sz w:val="20"/>
              </w:rPr>
              <w:t xml:space="preserve">saturations for 39,000 households in </w:t>
            </w:r>
            <w:r>
              <w:rPr>
                <w:spacing w:val="-2"/>
                <w:sz w:val="20"/>
              </w:rPr>
              <w:t>California.</w:t>
            </w:r>
          </w:p>
        </w:tc>
        <w:tc>
          <w:tcPr>
            <w:tcW w:w="1304" w:type="dxa"/>
            <w:tcBorders>
              <w:bottom w:val="single" w:color="DCDDDE" w:sz="4" w:space="0"/>
            </w:tcBorders>
          </w:tcPr>
          <w:p w:rsidR="00C31389" w:rsidRDefault="00C31389" w14:paraId="34023478" w14:textId="77777777">
            <w:pPr>
              <w:pStyle w:val="TableParagraph"/>
              <w:spacing w:before="6"/>
              <w:rPr>
                <w:b/>
                <w:sz w:val="23"/>
              </w:rPr>
            </w:pPr>
          </w:p>
          <w:p w:rsidR="00C31389" w:rsidRDefault="00561FBD" w14:paraId="53A3AE91" w14:textId="77777777">
            <w:pPr>
              <w:pStyle w:val="TableParagraph"/>
              <w:spacing w:before="0"/>
              <w:ind w:left="148"/>
              <w:rPr>
                <w:sz w:val="20"/>
              </w:rPr>
            </w:pPr>
            <w:r>
              <w:rPr>
                <w:sz w:val="20"/>
              </w:rPr>
              <w:t>DNV</w:t>
            </w:r>
            <w:r>
              <w:rPr>
                <w:spacing w:val="-1"/>
                <w:sz w:val="20"/>
              </w:rPr>
              <w:t xml:space="preserve"> </w:t>
            </w:r>
            <w:r>
              <w:rPr>
                <w:spacing w:val="-5"/>
                <w:sz w:val="20"/>
              </w:rPr>
              <w:t>GL</w:t>
            </w:r>
          </w:p>
        </w:tc>
        <w:tc>
          <w:tcPr>
            <w:tcW w:w="1068" w:type="dxa"/>
            <w:tcBorders>
              <w:bottom w:val="single" w:color="DCDDDE" w:sz="4" w:space="0"/>
            </w:tcBorders>
          </w:tcPr>
          <w:p w:rsidR="00C31389" w:rsidRDefault="00C31389" w14:paraId="496CDBC0" w14:textId="77777777">
            <w:pPr>
              <w:pStyle w:val="TableParagraph"/>
              <w:spacing w:before="6"/>
              <w:rPr>
                <w:b/>
                <w:sz w:val="23"/>
              </w:rPr>
            </w:pPr>
          </w:p>
          <w:p w:rsidR="00C31389" w:rsidRDefault="00561FBD" w14:paraId="70371DE1" w14:textId="77777777">
            <w:pPr>
              <w:pStyle w:val="TableParagraph"/>
              <w:spacing w:before="0"/>
              <w:ind w:right="207"/>
              <w:jc w:val="right"/>
              <w:rPr>
                <w:sz w:val="20"/>
              </w:rPr>
            </w:pPr>
            <w:r>
              <w:rPr>
                <w:spacing w:val="-4"/>
                <w:sz w:val="20"/>
              </w:rPr>
              <w:t>2019</w:t>
            </w:r>
          </w:p>
        </w:tc>
      </w:tr>
    </w:tbl>
    <w:p w:rsidR="00C31389" w:rsidRDefault="00C31389" w14:paraId="54E05EE3" w14:textId="77777777">
      <w:pPr>
        <w:jc w:val="right"/>
        <w:rPr>
          <w:sz w:val="20"/>
        </w:rPr>
        <w:sectPr w:rsidR="00C31389">
          <w:headerReference w:type="default" r:id="rId120"/>
          <w:footerReference w:type="default" r:id="rId121"/>
          <w:pgSz w:w="12240" w:h="15840"/>
          <w:pgMar w:top="1380" w:right="960" w:bottom="1120" w:left="960" w:header="397" w:footer="936" w:gutter="0"/>
          <w:cols w:space="720"/>
        </w:sectPr>
      </w:pPr>
    </w:p>
    <w:p w:rsidR="00C31389" w:rsidRDefault="00561FBD" w14:paraId="3EA51F34" w14:textId="77777777">
      <w:pPr>
        <w:pStyle w:val="ListParagraph"/>
        <w:numPr>
          <w:ilvl w:val="0"/>
          <w:numId w:val="49"/>
        </w:numPr>
        <w:tabs>
          <w:tab w:val="left" w:pos="1585"/>
        </w:tabs>
        <w:spacing w:before="71" w:line="158" w:lineRule="auto"/>
        <w:ind w:right="45"/>
        <w:rPr>
          <w:position w:val="-11"/>
          <w:sz w:val="20"/>
        </w:rPr>
      </w:pPr>
      <w:r>
        <w:rPr>
          <w:noProof/>
        </w:rPr>
        <mc:AlternateContent>
          <mc:Choice Requires="wps">
            <w:drawing>
              <wp:anchor distT="0" distB="0" distL="0" distR="0" simplePos="0" relativeHeight="15776256" behindDoc="0" locked="0" layoutInCell="1" allowOverlap="1" wp14:editId="1CF4E47D" wp14:anchorId="4E473624">
                <wp:simplePos x="0" y="0"/>
                <wp:positionH relativeFrom="page">
                  <wp:posOffset>914400</wp:posOffset>
                </wp:positionH>
                <wp:positionV relativeFrom="paragraph">
                  <wp:posOffset>347734</wp:posOffset>
                </wp:positionV>
                <wp:extent cx="5943600" cy="635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DCDDDE"/>
                        </a:solidFill>
                      </wps:spPr>
                      <wps:bodyPr wrap="square" lIns="0" tIns="0" rIns="0" bIns="0" rtlCol="0">
                        <a:prstTxWarp prst="textNoShape">
                          <a:avLst/>
                        </a:prstTxWarp>
                        <a:noAutofit/>
                      </wps:bodyPr>
                    </wps:wsp>
                  </a:graphicData>
                </a:graphic>
              </wp:anchor>
            </w:drawing>
          </mc:Choice>
          <mc:Fallback>
            <w:pict>
              <v:shape id="Graphic 322" style="position:absolute;margin-left:1in;margin-top:27.4pt;width:468pt;height:.5pt;z-index:15776256;visibility:visible;mso-wrap-style:square;mso-wrap-distance-left:0;mso-wrap-distance-top:0;mso-wrap-distance-right:0;mso-wrap-distance-bottom:0;mso-position-horizontal:absolute;mso-position-horizontal-relative:page;mso-position-vertical:absolute;mso-position-vertical-relative:text;v-text-anchor:top" coordsize="5943600,6350" o:spid="_x0000_s1026" fillcolor="#dcddde" stroked="f" path="m5943600,r,l,,,6096r5943600,l594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" w14:anchorId="2FF1658B">
                <v:path arrowok="t"/>
                <w10:wrap anchorx="page"/>
              </v:shape>
            </w:pict>
          </mc:Fallback>
        </mc:AlternateContent>
      </w:r>
      <w:r>
        <w:rPr>
          <w:sz w:val="20"/>
        </w:rPr>
        <w:t>California Lighting and Appliance</w:t>
      </w:r>
      <w:r>
        <w:rPr>
          <w:spacing w:val="-14"/>
          <w:sz w:val="20"/>
        </w:rPr>
        <w:t xml:space="preserve"> </w:t>
      </w:r>
      <w:r>
        <w:rPr>
          <w:sz w:val="20"/>
        </w:rPr>
        <w:t>Saturation</w:t>
      </w:r>
      <w:r>
        <w:rPr>
          <w:spacing w:val="-14"/>
          <w:sz w:val="20"/>
        </w:rPr>
        <w:t xml:space="preserve"> </w:t>
      </w:r>
      <w:r>
        <w:rPr>
          <w:sz w:val="20"/>
        </w:rPr>
        <w:t>Survey</w:t>
      </w:r>
    </w:p>
    <w:p w:rsidR="00C31389" w:rsidRDefault="00C31389" w14:paraId="5FAAE794" w14:textId="77777777">
      <w:pPr>
        <w:pStyle w:val="BodyText"/>
        <w:spacing w:before="11"/>
        <w:rPr>
          <w:sz w:val="20"/>
        </w:rPr>
      </w:pPr>
    </w:p>
    <w:p w:rsidR="00C31389" w:rsidRDefault="00561FBD" w14:paraId="3A8302DD" w14:textId="77777777">
      <w:pPr>
        <w:pStyle w:val="ListParagraph"/>
        <w:numPr>
          <w:ilvl w:val="0"/>
          <w:numId w:val="49"/>
        </w:numPr>
        <w:tabs>
          <w:tab w:val="left" w:pos="1585"/>
        </w:tabs>
        <w:spacing w:line="158" w:lineRule="auto"/>
        <w:ind w:right="534"/>
        <w:rPr>
          <w:position w:val="-11"/>
          <w:sz w:val="20"/>
        </w:rPr>
      </w:pPr>
      <w:r>
        <w:rPr>
          <w:sz w:val="20"/>
        </w:rPr>
        <w:t>Commercial</w:t>
      </w:r>
      <w:r>
        <w:rPr>
          <w:spacing w:val="-14"/>
          <w:sz w:val="20"/>
        </w:rPr>
        <w:t xml:space="preserve"> </w:t>
      </w:r>
      <w:r>
        <w:rPr>
          <w:sz w:val="20"/>
        </w:rPr>
        <w:t xml:space="preserve">Saturation </w:t>
      </w:r>
      <w:r>
        <w:rPr>
          <w:spacing w:val="-2"/>
          <w:sz w:val="20"/>
        </w:rPr>
        <w:t>Survey</w:t>
      </w:r>
    </w:p>
    <w:p w:rsidR="00C31389" w:rsidRDefault="00C31389" w14:paraId="4F11B9EB" w14:textId="77777777">
      <w:pPr>
        <w:pStyle w:val="BodyText"/>
        <w:spacing w:before="11"/>
        <w:rPr>
          <w:sz w:val="18"/>
        </w:rPr>
      </w:pPr>
    </w:p>
    <w:p w:rsidR="00C31389" w:rsidRDefault="00561FBD" w14:paraId="761639D8" w14:textId="77777777">
      <w:pPr>
        <w:ind w:left="1585" w:right="632"/>
        <w:rPr>
          <w:sz w:val="20"/>
        </w:rPr>
      </w:pPr>
      <w:r>
        <w:rPr>
          <w:noProof/>
        </w:rPr>
        <mc:AlternateContent>
          <mc:Choice Requires="wps">
            <w:drawing>
              <wp:anchor distT="0" distB="0" distL="0" distR="0" simplePos="0" relativeHeight="15776768" behindDoc="0" locked="0" layoutInCell="1" allowOverlap="1" wp14:editId="454C4758" wp14:anchorId="79EE47FA">
                <wp:simplePos x="0" y="0"/>
                <wp:positionH relativeFrom="page">
                  <wp:posOffset>914400</wp:posOffset>
                </wp:positionH>
                <wp:positionV relativeFrom="paragraph">
                  <wp:posOffset>-31751</wp:posOffset>
                </wp:positionV>
                <wp:extent cx="5943600" cy="635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DCDDDE"/>
                        </a:solidFill>
                      </wps:spPr>
                      <wps:bodyPr wrap="square" lIns="0" tIns="0" rIns="0" bIns="0" rtlCol="0">
                        <a:prstTxWarp prst="textNoShape">
                          <a:avLst/>
                        </a:prstTxWarp>
                        <a:noAutofit/>
                      </wps:bodyPr>
                    </wps:wsp>
                  </a:graphicData>
                </a:graphic>
              </wp:anchor>
            </w:drawing>
          </mc:Choice>
          <mc:Fallback>
            <w:pict>
              <v:shape id="Graphic 323" style="position:absolute;margin-left:1in;margin-top:-2.5pt;width:468pt;height:.5pt;z-index:15776768;visibility:visible;mso-wrap-style:square;mso-wrap-distance-left:0;mso-wrap-distance-top:0;mso-wrap-distance-right:0;mso-wrap-distance-bottom:0;mso-position-horizontal:absolute;mso-position-horizontal-relative:page;mso-position-vertical:absolute;mso-position-vertical-relative:text;v-text-anchor:top" coordsize="5943600,6350" o:spid="_x0000_s1026" fillcolor="#dcddde" stroked="f" path="m5943600,r,l,,,6096r5943600,l594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" w14:anchorId="4F803126">
                <v:path arrowok="t"/>
                <w10:wrap anchorx="page"/>
              </v:shape>
            </w:pict>
          </mc:Fallback>
        </mc:AlternateContent>
      </w:r>
      <w:r>
        <w:rPr>
          <w:sz w:val="20"/>
        </w:rPr>
        <w:t>Non-California</w:t>
      </w:r>
      <w:r>
        <w:rPr>
          <w:spacing w:val="-14"/>
          <w:sz w:val="20"/>
        </w:rPr>
        <w:t xml:space="preserve"> </w:t>
      </w:r>
      <w:r>
        <w:rPr>
          <w:sz w:val="20"/>
        </w:rPr>
        <w:t xml:space="preserve">source </w:t>
      </w:r>
      <w:r>
        <w:rPr>
          <w:spacing w:val="-2"/>
          <w:sz w:val="20"/>
        </w:rPr>
        <w:t>examples:</w:t>
      </w:r>
    </w:p>
    <w:p w:rsidR="00C31389" w:rsidRDefault="00561FBD" w14:paraId="4DB60CA1" w14:textId="77777777">
      <w:pPr>
        <w:pStyle w:val="ListParagraph"/>
        <w:numPr>
          <w:ilvl w:val="1"/>
          <w:numId w:val="49"/>
        </w:numPr>
        <w:tabs>
          <w:tab w:val="left" w:pos="1844"/>
        </w:tabs>
        <w:spacing w:before="121" w:line="104" w:lineRule="exact"/>
        <w:ind w:hanging="187"/>
        <w:rPr>
          <w:sz w:val="20"/>
        </w:rPr>
      </w:pPr>
      <w:r>
        <w:rPr>
          <w:sz w:val="20"/>
        </w:rPr>
        <w:t>Residential</w:t>
      </w:r>
      <w:r>
        <w:rPr>
          <w:spacing w:val="-7"/>
          <w:sz w:val="20"/>
        </w:rPr>
        <w:t xml:space="preserve"> </w:t>
      </w:r>
      <w:r>
        <w:rPr>
          <w:sz w:val="20"/>
        </w:rPr>
        <w:t>Building</w:t>
      </w:r>
      <w:r>
        <w:rPr>
          <w:spacing w:val="-6"/>
          <w:sz w:val="20"/>
        </w:rPr>
        <w:t xml:space="preserve"> </w:t>
      </w:r>
      <w:r>
        <w:rPr>
          <w:spacing w:val="-4"/>
          <w:sz w:val="20"/>
        </w:rPr>
        <w:t>Stock</w:t>
      </w:r>
    </w:p>
    <w:p w:rsidR="00C31389" w:rsidRDefault="00561FBD" w14:paraId="5C0F4B63" w14:textId="77777777">
      <w:pPr>
        <w:spacing w:before="48"/>
        <w:ind w:left="328"/>
        <w:rPr>
          <w:sz w:val="20"/>
        </w:rPr>
      </w:pPr>
      <w:r>
        <w:br w:type="column"/>
      </w:r>
      <w:r>
        <w:rPr>
          <w:sz w:val="20"/>
        </w:rPr>
        <w:t>Residential baseline study of 1,987</w:t>
      </w:r>
      <w:r>
        <w:rPr>
          <w:spacing w:val="-13"/>
          <w:sz w:val="20"/>
        </w:rPr>
        <w:t xml:space="preserve"> </w:t>
      </w:r>
      <w:r>
        <w:rPr>
          <w:sz w:val="20"/>
        </w:rPr>
        <w:t>homes</w:t>
      </w:r>
      <w:r>
        <w:rPr>
          <w:spacing w:val="-13"/>
          <w:sz w:val="20"/>
        </w:rPr>
        <w:t xml:space="preserve"> </w:t>
      </w:r>
      <w:r>
        <w:rPr>
          <w:sz w:val="20"/>
        </w:rPr>
        <w:t>across</w:t>
      </w:r>
      <w:r>
        <w:rPr>
          <w:spacing w:val="-12"/>
          <w:sz w:val="20"/>
        </w:rPr>
        <w:t xml:space="preserve"> </w:t>
      </w:r>
      <w:r>
        <w:rPr>
          <w:sz w:val="20"/>
        </w:rPr>
        <w:t>California.</w:t>
      </w:r>
    </w:p>
    <w:p w:rsidR="00C31389" w:rsidRDefault="00561FBD" w14:paraId="51CBF911" w14:textId="77777777">
      <w:pPr>
        <w:spacing w:before="89"/>
        <w:ind w:left="328"/>
        <w:rPr>
          <w:sz w:val="20"/>
        </w:rPr>
      </w:pPr>
      <w:r>
        <w:rPr>
          <w:sz w:val="20"/>
        </w:rPr>
        <w:t>Baseline study of 1,439 commercial</w:t>
      </w:r>
      <w:r>
        <w:rPr>
          <w:spacing w:val="-14"/>
          <w:sz w:val="20"/>
        </w:rPr>
        <w:t xml:space="preserve"> </w:t>
      </w:r>
      <w:r>
        <w:rPr>
          <w:sz w:val="20"/>
        </w:rPr>
        <w:t>buildings</w:t>
      </w:r>
      <w:r>
        <w:rPr>
          <w:spacing w:val="-14"/>
          <w:sz w:val="20"/>
        </w:rPr>
        <w:t xml:space="preserve"> </w:t>
      </w:r>
      <w:r>
        <w:rPr>
          <w:sz w:val="20"/>
        </w:rPr>
        <w:t>across</w:t>
      </w:r>
      <w:r>
        <w:rPr>
          <w:sz w:val="20"/>
        </w:rPr>
        <w:t xml:space="preserve"> </w:t>
      </w:r>
      <w:r>
        <w:rPr>
          <w:spacing w:val="-2"/>
          <w:sz w:val="20"/>
        </w:rPr>
        <w:t>California.</w:t>
      </w:r>
    </w:p>
    <w:p w:rsidR="00C31389" w:rsidRDefault="00C31389" w14:paraId="191EF4CB" w14:textId="77777777">
      <w:pPr>
        <w:pStyle w:val="BodyText"/>
        <w:spacing w:before="10"/>
        <w:rPr>
          <w:sz w:val="26"/>
        </w:rPr>
      </w:pPr>
    </w:p>
    <w:p w:rsidR="00C31389" w:rsidRDefault="00561FBD" w14:paraId="53A1CDA3" w14:textId="77777777">
      <w:pPr>
        <w:ind w:left="328"/>
        <w:rPr>
          <w:sz w:val="20"/>
        </w:rPr>
      </w:pPr>
      <w:r>
        <w:rPr>
          <w:sz w:val="20"/>
        </w:rPr>
        <w:t>Survey of residential and commercial</w:t>
      </w:r>
      <w:r>
        <w:rPr>
          <w:spacing w:val="-14"/>
          <w:sz w:val="20"/>
        </w:rPr>
        <w:t xml:space="preserve"> </w:t>
      </w:r>
      <w:r>
        <w:rPr>
          <w:sz w:val="20"/>
        </w:rPr>
        <w:t>building</w:t>
      </w:r>
      <w:r>
        <w:rPr>
          <w:spacing w:val="-14"/>
          <w:sz w:val="20"/>
        </w:rPr>
        <w:t xml:space="preserve"> </w:t>
      </w:r>
      <w:r>
        <w:rPr>
          <w:sz w:val="20"/>
        </w:rPr>
        <w:t>stock</w:t>
      </w:r>
    </w:p>
    <w:p w:rsidR="00C31389" w:rsidRDefault="00561FBD" w14:paraId="015AC168" w14:textId="77777777">
      <w:pPr>
        <w:tabs>
          <w:tab w:val="right" w:pos="2303"/>
        </w:tabs>
        <w:spacing w:before="163"/>
        <w:ind w:left="289"/>
        <w:rPr>
          <w:sz w:val="20"/>
        </w:rPr>
      </w:pPr>
      <w:r>
        <w:br w:type="column"/>
      </w:r>
      <w:r>
        <w:rPr>
          <w:sz w:val="20"/>
        </w:rPr>
        <w:t>DNV</w:t>
      </w:r>
      <w:r>
        <w:rPr>
          <w:spacing w:val="-1"/>
          <w:sz w:val="20"/>
        </w:rPr>
        <w:t xml:space="preserve"> </w:t>
      </w:r>
      <w:r>
        <w:rPr>
          <w:spacing w:val="-5"/>
          <w:sz w:val="20"/>
        </w:rPr>
        <w:t>GL</w:t>
      </w:r>
      <w:r>
        <w:rPr>
          <w:sz w:val="20"/>
        </w:rPr>
        <w:tab/>
      </w:r>
      <w:r>
        <w:rPr>
          <w:spacing w:val="-4"/>
          <w:sz w:val="20"/>
        </w:rPr>
        <w:t>2012</w:t>
      </w:r>
    </w:p>
    <w:p w:rsidR="00C31389" w:rsidRDefault="00561FBD" w14:paraId="11BA686F" w14:textId="77777777">
      <w:pPr>
        <w:tabs>
          <w:tab w:val="right" w:pos="2303"/>
        </w:tabs>
        <w:spacing w:before="435"/>
        <w:ind w:left="289"/>
        <w:rPr>
          <w:sz w:val="20"/>
        </w:rPr>
      </w:pPr>
      <w:r>
        <w:rPr>
          <w:spacing w:val="-2"/>
          <w:sz w:val="20"/>
        </w:rPr>
        <w:t>Itron</w:t>
      </w:r>
      <w:r>
        <w:rPr>
          <w:sz w:val="20"/>
        </w:rPr>
        <w:tab/>
      </w:r>
      <w:r>
        <w:rPr>
          <w:spacing w:val="-4"/>
          <w:sz w:val="20"/>
        </w:rPr>
        <w:t>2012</w:t>
      </w:r>
    </w:p>
    <w:p w:rsidR="00C31389" w:rsidRDefault="00561FBD" w14:paraId="37451FE6" w14:textId="77777777">
      <w:pPr>
        <w:spacing w:before="538"/>
        <w:ind w:left="289" w:right="1222"/>
        <w:rPr>
          <w:sz w:val="20"/>
        </w:rPr>
      </w:pPr>
      <w:r>
        <w:rPr>
          <w:spacing w:val="-2"/>
          <w:sz w:val="20"/>
        </w:rPr>
        <w:t>Northwest Energy</w:t>
      </w:r>
    </w:p>
    <w:p w:rsidR="00C31389" w:rsidRDefault="00C31389" w14:paraId="71E59B06" w14:textId="77777777">
      <w:pPr>
        <w:rPr>
          <w:sz w:val="20"/>
        </w:rPr>
        <w:sectPr w:rsidR="00C31389">
          <w:type w:val="continuous"/>
          <w:pgSz w:w="12240" w:h="15840"/>
          <w:pgMar w:top="0" w:right="960" w:bottom="280" w:left="960" w:header="397" w:footer="936" w:gutter="0"/>
          <w:cols w:equalWidth="0" w:space="720" w:num="3">
            <w:col w:w="4158" w:space="40"/>
            <w:col w:w="3088" w:space="39"/>
            <w:col w:w="2995"/>
          </w:cols>
        </w:sectPr>
      </w:pPr>
    </w:p>
    <w:p w:rsidR="00C31389" w:rsidRDefault="00561FBD" w14:paraId="10791CE2" w14:textId="77777777">
      <w:pPr>
        <w:spacing w:before="150"/>
        <w:ind w:left="1844"/>
        <w:rPr>
          <w:sz w:val="20"/>
        </w:rPr>
      </w:pPr>
      <w:r>
        <w:rPr>
          <w:spacing w:val="-2"/>
          <w:sz w:val="20"/>
        </w:rPr>
        <w:t>Assessment</w:t>
      </w:r>
    </w:p>
    <w:p w:rsidR="00C31389" w:rsidRDefault="00561FBD" w14:paraId="1155CC91" w14:textId="77777777">
      <w:pPr>
        <w:pStyle w:val="ListParagraph"/>
        <w:numPr>
          <w:ilvl w:val="1"/>
          <w:numId w:val="49"/>
        </w:numPr>
        <w:tabs>
          <w:tab w:val="left" w:pos="1844"/>
        </w:tabs>
        <w:spacing w:before="39"/>
        <w:ind w:hanging="187"/>
        <w:rPr>
          <w:sz w:val="20"/>
        </w:rPr>
      </w:pPr>
      <w:r>
        <w:rPr>
          <w:sz w:val="20"/>
        </w:rPr>
        <w:t>Commercial</w:t>
      </w:r>
      <w:r>
        <w:rPr>
          <w:spacing w:val="-7"/>
          <w:sz w:val="20"/>
        </w:rPr>
        <w:t xml:space="preserve"> </w:t>
      </w:r>
      <w:r>
        <w:rPr>
          <w:sz w:val="20"/>
        </w:rPr>
        <w:t>Building</w:t>
      </w:r>
      <w:r>
        <w:rPr>
          <w:spacing w:val="-5"/>
          <w:sz w:val="20"/>
        </w:rPr>
        <w:t xml:space="preserve"> </w:t>
      </w:r>
      <w:r>
        <w:rPr>
          <w:spacing w:val="-4"/>
          <w:sz w:val="20"/>
        </w:rPr>
        <w:t>Stock</w:t>
      </w:r>
    </w:p>
    <w:p w:rsidR="00C31389" w:rsidRDefault="00561FBD" w14:paraId="23958E93" w14:textId="77777777">
      <w:pPr>
        <w:pStyle w:val="ListParagraph"/>
        <w:numPr>
          <w:ilvl w:val="0"/>
          <w:numId w:val="49"/>
        </w:numPr>
        <w:tabs>
          <w:tab w:val="left" w:pos="1844"/>
        </w:tabs>
        <w:spacing w:before="14" w:line="223" w:lineRule="auto"/>
        <w:ind w:left="1844" w:hanging="1249"/>
        <w:rPr>
          <w:position w:val="-10"/>
          <w:sz w:val="20"/>
        </w:rPr>
      </w:pPr>
      <w:r>
        <w:rPr>
          <w:spacing w:val="-2"/>
          <w:sz w:val="20"/>
        </w:rPr>
        <w:t>Assessment</w:t>
      </w:r>
    </w:p>
    <w:p w:rsidR="00C31389" w:rsidRDefault="00561FBD" w14:paraId="3B8B6436" w14:textId="77777777">
      <w:pPr>
        <w:pStyle w:val="ListParagraph"/>
        <w:numPr>
          <w:ilvl w:val="1"/>
          <w:numId w:val="49"/>
        </w:numPr>
        <w:tabs>
          <w:tab w:val="left" w:pos="1844"/>
        </w:tabs>
        <w:spacing w:line="249" w:lineRule="auto"/>
        <w:ind w:right="530" w:hanging="187"/>
        <w:rPr>
          <w:sz w:val="20"/>
        </w:rPr>
      </w:pPr>
      <w:r>
        <w:rPr>
          <w:sz w:val="20"/>
        </w:rPr>
        <w:t>Residential Energy Consumption</w:t>
      </w:r>
      <w:r>
        <w:rPr>
          <w:spacing w:val="-14"/>
          <w:sz w:val="20"/>
        </w:rPr>
        <w:t xml:space="preserve"> </w:t>
      </w:r>
      <w:r>
        <w:rPr>
          <w:sz w:val="20"/>
        </w:rPr>
        <w:t xml:space="preserve">Survey </w:t>
      </w:r>
      <w:r>
        <w:rPr>
          <w:spacing w:val="-2"/>
          <w:sz w:val="20"/>
        </w:rPr>
        <w:t>(RECS)</w:t>
      </w:r>
    </w:p>
    <w:p w:rsidR="00C31389" w:rsidRDefault="00561FBD" w14:paraId="6D90380B" w14:textId="77777777">
      <w:pPr>
        <w:pStyle w:val="ListParagraph"/>
        <w:numPr>
          <w:ilvl w:val="1"/>
          <w:numId w:val="49"/>
        </w:numPr>
        <w:tabs>
          <w:tab w:val="left" w:pos="1843"/>
        </w:tabs>
        <w:spacing w:before="21" w:line="249" w:lineRule="auto"/>
        <w:ind w:left="1843" w:right="519" w:hanging="187"/>
        <w:jc w:val="both"/>
        <w:rPr>
          <w:sz w:val="20"/>
        </w:rPr>
      </w:pPr>
      <w:r>
        <w:rPr>
          <w:sz w:val="20"/>
        </w:rPr>
        <w:t>Commercial</w:t>
      </w:r>
      <w:r>
        <w:rPr>
          <w:spacing w:val="-2"/>
          <w:sz w:val="20"/>
        </w:rPr>
        <w:t xml:space="preserve"> </w:t>
      </w:r>
      <w:r>
        <w:rPr>
          <w:sz w:val="20"/>
        </w:rPr>
        <w:t>Building Energy</w:t>
      </w:r>
      <w:r>
        <w:rPr>
          <w:spacing w:val="-14"/>
          <w:sz w:val="20"/>
        </w:rPr>
        <w:t xml:space="preserve"> </w:t>
      </w:r>
      <w:r>
        <w:rPr>
          <w:sz w:val="20"/>
        </w:rPr>
        <w:t>Consumption Survey (CBECS)</w:t>
      </w:r>
    </w:p>
    <w:p w:rsidR="00C31389" w:rsidRDefault="00561FBD" w14:paraId="50C2E253" w14:textId="77777777">
      <w:pPr>
        <w:ind w:left="252"/>
        <w:rPr>
          <w:sz w:val="20"/>
        </w:rPr>
      </w:pPr>
      <w:r>
        <w:br w:type="column"/>
      </w:r>
      <w:r>
        <w:rPr>
          <w:sz w:val="20"/>
        </w:rPr>
        <w:t>across</w:t>
      </w:r>
      <w:r>
        <w:rPr>
          <w:spacing w:val="-11"/>
          <w:sz w:val="20"/>
        </w:rPr>
        <w:t xml:space="preserve"> </w:t>
      </w:r>
      <w:r>
        <w:rPr>
          <w:sz w:val="20"/>
        </w:rPr>
        <w:t>the</w:t>
      </w:r>
      <w:r>
        <w:rPr>
          <w:spacing w:val="-12"/>
          <w:sz w:val="20"/>
        </w:rPr>
        <w:t xml:space="preserve"> </w:t>
      </w:r>
      <w:r>
        <w:rPr>
          <w:sz w:val="20"/>
        </w:rPr>
        <w:t>Northwest</w:t>
      </w:r>
      <w:r>
        <w:rPr>
          <w:spacing w:val="-13"/>
          <w:sz w:val="20"/>
        </w:rPr>
        <w:t xml:space="preserve"> </w:t>
      </w:r>
      <w:r>
        <w:rPr>
          <w:sz w:val="20"/>
        </w:rPr>
        <w:t xml:space="preserve">states (Idaho, Montana, Oregon, </w:t>
      </w:r>
      <w:r>
        <w:rPr>
          <w:spacing w:val="-2"/>
          <w:sz w:val="20"/>
        </w:rPr>
        <w:t>Washington).</w:t>
      </w:r>
    </w:p>
    <w:p w:rsidR="00C31389" w:rsidRDefault="00C31389" w14:paraId="5F716C62" w14:textId="77777777">
      <w:pPr>
        <w:pStyle w:val="BodyText"/>
      </w:pPr>
    </w:p>
    <w:p w:rsidR="00C31389" w:rsidRDefault="00C31389" w14:paraId="1D57CA77" w14:textId="77777777">
      <w:pPr>
        <w:pStyle w:val="BodyText"/>
        <w:rPr>
          <w:sz w:val="19"/>
        </w:rPr>
      </w:pPr>
    </w:p>
    <w:p w:rsidR="00C31389" w:rsidRDefault="00561FBD" w14:paraId="4BFEE90F" w14:textId="77777777">
      <w:pPr>
        <w:ind w:left="251"/>
        <w:rPr>
          <w:sz w:val="20"/>
        </w:rPr>
      </w:pPr>
      <w:r>
        <w:rPr>
          <w:noProof/>
        </w:rPr>
        <mc:AlternateContent>
          <mc:Choice Requires="wps">
            <w:drawing>
              <wp:anchor distT="0" distB="0" distL="0" distR="0" simplePos="0" relativeHeight="465466368" behindDoc="1" locked="0" layoutInCell="1" allowOverlap="1" wp14:editId="0179EF91" wp14:anchorId="1A59C8D2">
                <wp:simplePos x="0" y="0"/>
                <wp:positionH relativeFrom="page">
                  <wp:posOffset>1543050</wp:posOffset>
                </wp:positionH>
                <wp:positionV relativeFrom="paragraph">
                  <wp:posOffset>-139404</wp:posOffset>
                </wp:positionV>
                <wp:extent cx="5314950" cy="635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0" cy="6350"/>
                        </a:xfrm>
                        <a:custGeom>
                          <a:avLst/>
                          <a:gdLst/>
                          <a:ahLst/>
                          <a:cxnLst/>
                          <a:rect l="l" t="t" r="r" b="b"/>
                          <a:pathLst>
                            <a:path w="5314950" h="6350">
                              <a:moveTo>
                                <a:pt x="5314950" y="0"/>
                              </a:moveTo>
                              <a:lnTo>
                                <a:pt x="5314950" y="0"/>
                              </a:lnTo>
                              <a:lnTo>
                                <a:pt x="0" y="0"/>
                              </a:lnTo>
                              <a:lnTo>
                                <a:pt x="0" y="6108"/>
                              </a:lnTo>
                              <a:lnTo>
                                <a:pt x="5314950" y="6108"/>
                              </a:lnTo>
                              <a:lnTo>
                                <a:pt x="5314950" y="0"/>
                              </a:lnTo>
                              <a:close/>
                            </a:path>
                          </a:pathLst>
                        </a:custGeom>
                        <a:solidFill>
                          <a:srgbClr val="DCDDDE"/>
                        </a:solidFill>
                      </wps:spPr>
                      <wps:bodyPr wrap="square" lIns="0" tIns="0" rIns="0" bIns="0" rtlCol="0">
                        <a:prstTxWarp prst="textNoShape">
                          <a:avLst/>
                        </a:prstTxWarp>
                        <a:noAutofit/>
                      </wps:bodyPr>
                    </wps:wsp>
                  </a:graphicData>
                </a:graphic>
              </wp:anchor>
            </w:drawing>
          </mc:Choice>
          <mc:Fallback>
            <w:pict>
              <v:shape id="Graphic 324" style="position:absolute;margin-left:121.5pt;margin-top:-11pt;width:418.5pt;height:.5pt;z-index:-37850112;visibility:visible;mso-wrap-style:square;mso-wrap-distance-left:0;mso-wrap-distance-top:0;mso-wrap-distance-right:0;mso-wrap-distance-bottom:0;mso-position-horizontal:absolute;mso-position-horizontal-relative:page;mso-position-vertical:absolute;mso-position-vertical-relative:text;v-text-anchor:top" coordsize="5314950,6350" o:spid="_x0000_s1026" fillcolor="#dcddde" stroked="f" path="m5314950,r,l,,,6108r5314950,l53149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" w14:anchorId="542A6B52">
                <v:path arrowok="t"/>
                <w10:wrap anchorx="page"/>
              </v:shape>
            </w:pict>
          </mc:Fallback>
        </mc:AlternateContent>
      </w:r>
      <w:r>
        <w:rPr>
          <w:sz w:val="20"/>
        </w:rPr>
        <w:t>RECS and CBECS are surveys of residential and commercial building stock in the US by region.</w:t>
      </w:r>
      <w:r>
        <w:rPr>
          <w:spacing w:val="-10"/>
          <w:sz w:val="20"/>
        </w:rPr>
        <w:t xml:space="preserve"> </w:t>
      </w:r>
      <w:r>
        <w:rPr>
          <w:sz w:val="20"/>
        </w:rPr>
        <w:t>Used</w:t>
      </w:r>
      <w:r>
        <w:rPr>
          <w:spacing w:val="-10"/>
          <w:sz w:val="20"/>
        </w:rPr>
        <w:t xml:space="preserve"> </w:t>
      </w:r>
      <w:r>
        <w:rPr>
          <w:sz w:val="20"/>
        </w:rPr>
        <w:t>West</w:t>
      </w:r>
      <w:r>
        <w:rPr>
          <w:spacing w:val="-10"/>
          <w:sz w:val="20"/>
        </w:rPr>
        <w:t xml:space="preserve"> </w:t>
      </w:r>
      <w:r>
        <w:rPr>
          <w:sz w:val="20"/>
        </w:rPr>
        <w:t>regional</w:t>
      </w:r>
      <w:r>
        <w:rPr>
          <w:spacing w:val="-10"/>
          <w:sz w:val="20"/>
        </w:rPr>
        <w:t xml:space="preserve"> </w:t>
      </w:r>
      <w:r>
        <w:rPr>
          <w:sz w:val="20"/>
        </w:rPr>
        <w:t xml:space="preserve">data </w:t>
      </w:r>
      <w:r>
        <w:rPr>
          <w:spacing w:val="-2"/>
          <w:sz w:val="20"/>
        </w:rPr>
        <w:t>only.</w:t>
      </w:r>
    </w:p>
    <w:p w:rsidR="00C31389" w:rsidRDefault="00561FBD" w14:paraId="0D3FB646" w14:textId="77777777">
      <w:pPr>
        <w:ind w:left="191"/>
        <w:rPr>
          <w:sz w:val="20"/>
        </w:rPr>
      </w:pPr>
      <w:r>
        <w:br w:type="column"/>
      </w:r>
      <w:r>
        <w:rPr>
          <w:spacing w:val="-2"/>
          <w:sz w:val="20"/>
        </w:rPr>
        <w:t>Efficiency Alliance</w:t>
      </w:r>
      <w:r>
        <w:rPr>
          <w:spacing w:val="-2"/>
          <w:sz w:val="20"/>
        </w:rPr>
        <w:t xml:space="preserve"> (NEEA)</w:t>
      </w:r>
    </w:p>
    <w:p w:rsidR="00C31389" w:rsidRDefault="00C31389" w14:paraId="60405C64" w14:textId="77777777">
      <w:pPr>
        <w:pStyle w:val="BodyText"/>
      </w:pPr>
    </w:p>
    <w:p w:rsidR="00C31389" w:rsidRDefault="00C31389" w14:paraId="202554AD" w14:textId="77777777">
      <w:pPr>
        <w:pStyle w:val="BodyText"/>
      </w:pPr>
    </w:p>
    <w:p w:rsidR="00C31389" w:rsidRDefault="00561FBD" w14:paraId="532E3D59" w14:textId="77777777">
      <w:pPr>
        <w:spacing w:before="196" w:line="230" w:lineRule="exact"/>
        <w:ind w:left="191"/>
        <w:rPr>
          <w:sz w:val="20"/>
        </w:rPr>
      </w:pPr>
      <w:r>
        <w:rPr>
          <w:spacing w:val="-4"/>
          <w:sz w:val="20"/>
        </w:rPr>
        <w:t>U.S.</w:t>
      </w:r>
    </w:p>
    <w:p w:rsidR="00C31389" w:rsidRDefault="00561FBD" w14:paraId="2FF46AA1" w14:textId="77777777">
      <w:pPr>
        <w:ind w:left="191" w:right="-5"/>
        <w:rPr>
          <w:sz w:val="20"/>
        </w:rPr>
      </w:pPr>
      <w:r>
        <w:rPr>
          <w:sz w:val="20"/>
        </w:rPr>
        <w:t>Department</w:t>
      </w:r>
      <w:r>
        <w:rPr>
          <w:spacing w:val="-14"/>
          <w:sz w:val="20"/>
        </w:rPr>
        <w:t xml:space="preserve"> </w:t>
      </w:r>
      <w:r>
        <w:rPr>
          <w:sz w:val="20"/>
        </w:rPr>
        <w:t>of Energy</w:t>
      </w:r>
      <w:r>
        <w:rPr>
          <w:spacing w:val="-3"/>
          <w:sz w:val="20"/>
        </w:rPr>
        <w:t xml:space="preserve"> </w:t>
      </w:r>
      <w:r>
        <w:rPr>
          <w:spacing w:val="-2"/>
          <w:sz w:val="20"/>
        </w:rPr>
        <w:t>(DOE)</w:t>
      </w:r>
    </w:p>
    <w:p w:rsidR="00C31389" w:rsidRDefault="00561FBD" w14:paraId="4EAB8086" w14:textId="77777777">
      <w:pPr>
        <w:spacing w:line="224" w:lineRule="exact"/>
        <w:ind w:left="259"/>
        <w:rPr>
          <w:sz w:val="20"/>
        </w:rPr>
      </w:pPr>
      <w:r>
        <w:br w:type="column"/>
      </w:r>
      <w:r>
        <w:rPr>
          <w:spacing w:val="-4"/>
          <w:sz w:val="20"/>
        </w:rPr>
        <w:t>2014</w:t>
      </w:r>
    </w:p>
    <w:p w:rsidR="00C31389" w:rsidRDefault="00C31389" w14:paraId="246E6CF2" w14:textId="77777777">
      <w:pPr>
        <w:pStyle w:val="BodyText"/>
      </w:pPr>
    </w:p>
    <w:p w:rsidR="00C31389" w:rsidRDefault="00C31389" w14:paraId="3B5658B4" w14:textId="77777777">
      <w:pPr>
        <w:pStyle w:val="BodyText"/>
      </w:pPr>
    </w:p>
    <w:p w:rsidR="00C31389" w:rsidRDefault="00C31389" w14:paraId="7A95D498" w14:textId="77777777">
      <w:pPr>
        <w:pStyle w:val="BodyText"/>
      </w:pPr>
    </w:p>
    <w:p w:rsidR="00C31389" w:rsidRDefault="00C31389" w14:paraId="6109B7F0" w14:textId="77777777">
      <w:pPr>
        <w:pStyle w:val="BodyText"/>
      </w:pPr>
    </w:p>
    <w:p w:rsidR="00C31389" w:rsidRDefault="00C31389" w14:paraId="4CE2619B" w14:textId="77777777">
      <w:pPr>
        <w:pStyle w:val="BodyText"/>
        <w:spacing w:before="6"/>
        <w:rPr>
          <w:sz w:val="23"/>
        </w:rPr>
      </w:pPr>
    </w:p>
    <w:p w:rsidR="00C31389" w:rsidRDefault="00561FBD" w14:paraId="23C754F9" w14:textId="77777777">
      <w:pPr>
        <w:ind w:left="258"/>
        <w:rPr>
          <w:sz w:val="20"/>
        </w:rPr>
      </w:pPr>
      <w:r>
        <w:rPr>
          <w:spacing w:val="-2"/>
          <w:sz w:val="20"/>
        </w:rPr>
        <w:t>2018,</w:t>
      </w:r>
    </w:p>
    <w:p w:rsidR="00C31389" w:rsidRDefault="00561FBD" w14:paraId="311389E2" w14:textId="77777777">
      <w:pPr>
        <w:ind w:left="258"/>
        <w:rPr>
          <w:sz w:val="20"/>
        </w:rPr>
      </w:pPr>
      <w:r>
        <w:rPr>
          <w:spacing w:val="-4"/>
          <w:sz w:val="20"/>
        </w:rPr>
        <w:t>2021</w:t>
      </w:r>
    </w:p>
    <w:p w:rsidR="00C31389" w:rsidRDefault="00C31389" w14:paraId="559D6A22" w14:textId="77777777">
      <w:pPr>
        <w:rPr>
          <w:sz w:val="20"/>
        </w:rPr>
        <w:sectPr w:rsidR="00C31389">
          <w:type w:val="continuous"/>
          <w:pgSz w:w="12240" w:h="15840"/>
          <w:pgMar w:top="0" w:right="960" w:bottom="280" w:left="960" w:header="397" w:footer="936" w:gutter="0"/>
          <w:cols w:equalWidth="0" w:space="720" w:num="4">
            <w:col w:w="4235" w:space="40"/>
            <w:col w:w="3110" w:space="39"/>
            <w:col w:w="1460" w:space="39"/>
            <w:col w:w="1397"/>
          </w:cols>
        </w:sectPr>
      </w:pPr>
    </w:p>
    <w:p w:rsidR="00C31389" w:rsidRDefault="00C31389" w14:paraId="12FD7BB0" w14:textId="77777777">
      <w:pPr>
        <w:pStyle w:val="BodyText"/>
        <w:spacing w:before="8"/>
        <w:rPr>
          <w:sz w:val="2"/>
        </w:rPr>
      </w:pPr>
    </w:p>
    <w:p w:rsidR="00C31389" w:rsidRDefault="00C31389" w14:paraId="16AD516A" w14:textId="77777777">
      <w:pPr>
        <w:spacing w:line="20" w:lineRule="exact"/>
        <w:rPr>
          <w:sz w:val="2"/>
        </w:rPr>
        <w:sectPr w:rsidR="00C31389">
          <w:type w:val="continuous"/>
          <w:pgSz w:w="12240" w:h="15840"/>
          <w:pgMar w:top="0" w:right="960" w:bottom="280" w:left="960" w:header="397" w:footer="936" w:gutter="0"/>
          <w:cols w:space="720"/>
        </w:sectPr>
      </w:pPr>
    </w:p>
    <w:p w:rsidR="00C31389" w:rsidRDefault="00C31389" w14:paraId="12191CD6" w14:textId="77777777">
      <w:pPr>
        <w:pStyle w:val="BodyText"/>
      </w:pPr>
    </w:p>
    <w:tbl>
      <w:tblPr>
        <w:tblW w:w="0" w:type="auto"/>
        <w:tblInd w:w="473" w:type="dxa"/>
        <w:tblLayout w:type="fixed"/>
        <w:tblCellMar>
          <w:left w:w="0" w:type="dxa"/>
          <w:right w:w="0" w:type="dxa"/>
        </w:tblCellMar>
        <w:tblLook w:val="01E0" w:firstRow="1" w:lastRow="1" w:firstColumn="1" w:lastColumn="1" w:noHBand="0" w:noVBand="0"/>
      </w:tblPr>
      <w:tblGrid>
        <w:gridCol w:w="975"/>
        <w:gridCol w:w="2913"/>
        <w:gridCol w:w="3114"/>
        <w:gridCol w:w="1572"/>
        <w:gridCol w:w="802"/>
      </w:tblGrid>
      <w:tr w:rsidR="00C31389" w14:paraId="7E940824" w14:textId="77777777">
        <w:trPr>
          <w:trHeight w:val="252"/>
        </w:trPr>
        <w:tc>
          <w:tcPr>
            <w:tcW w:w="975" w:type="dxa"/>
            <w:tcBorders>
              <w:top w:val="single" w:color="8B8B8B" w:sz="8" w:space="0"/>
            </w:tcBorders>
          </w:tcPr>
          <w:p w:rsidR="00C31389" w:rsidRDefault="00C31389" w14:paraId="68740299" w14:textId="77777777">
            <w:pPr>
              <w:pStyle w:val="TableParagraph"/>
              <w:spacing w:before="0"/>
              <w:rPr>
                <w:rFonts w:ascii="Times New Roman"/>
                <w:sz w:val="18"/>
              </w:rPr>
            </w:pPr>
          </w:p>
        </w:tc>
        <w:tc>
          <w:tcPr>
            <w:tcW w:w="2913" w:type="dxa"/>
            <w:tcBorders>
              <w:top w:val="single" w:color="8B8B8B" w:sz="8" w:space="0"/>
            </w:tcBorders>
          </w:tcPr>
          <w:p w:rsidR="00C31389" w:rsidRDefault="00C31389" w14:paraId="4594A503" w14:textId="77777777">
            <w:pPr>
              <w:pStyle w:val="TableParagraph"/>
              <w:spacing w:before="0"/>
              <w:rPr>
                <w:rFonts w:ascii="Times New Roman"/>
                <w:sz w:val="18"/>
              </w:rPr>
            </w:pPr>
          </w:p>
        </w:tc>
        <w:tc>
          <w:tcPr>
            <w:tcW w:w="3114" w:type="dxa"/>
            <w:tcBorders>
              <w:top w:val="single" w:color="8B8B8B" w:sz="8" w:space="0"/>
            </w:tcBorders>
          </w:tcPr>
          <w:p w:rsidR="00C31389" w:rsidRDefault="00C31389" w14:paraId="728B4079" w14:textId="77777777">
            <w:pPr>
              <w:pStyle w:val="TableParagraph"/>
              <w:spacing w:before="0"/>
              <w:rPr>
                <w:rFonts w:ascii="Times New Roman"/>
                <w:sz w:val="18"/>
              </w:rPr>
            </w:pPr>
          </w:p>
        </w:tc>
        <w:tc>
          <w:tcPr>
            <w:tcW w:w="1572" w:type="dxa"/>
            <w:tcBorders>
              <w:top w:val="single" w:color="8B8B8B" w:sz="8" w:space="0"/>
            </w:tcBorders>
          </w:tcPr>
          <w:p w:rsidR="00C31389" w:rsidRDefault="00C31389" w14:paraId="633560BC" w14:textId="77777777">
            <w:pPr>
              <w:pStyle w:val="TableParagraph"/>
              <w:spacing w:before="0"/>
              <w:rPr>
                <w:rFonts w:ascii="Times New Roman"/>
                <w:sz w:val="18"/>
              </w:rPr>
            </w:pPr>
          </w:p>
        </w:tc>
        <w:tc>
          <w:tcPr>
            <w:tcW w:w="802" w:type="dxa"/>
            <w:tcBorders>
              <w:top w:val="single" w:color="8B8B8B" w:sz="8" w:space="0"/>
            </w:tcBorders>
          </w:tcPr>
          <w:p w:rsidR="00C31389" w:rsidRDefault="00C31389" w14:paraId="11CCF307" w14:textId="77777777">
            <w:pPr>
              <w:pStyle w:val="TableParagraph"/>
              <w:spacing w:before="0"/>
              <w:rPr>
                <w:rFonts w:ascii="Times New Roman"/>
                <w:sz w:val="18"/>
              </w:rPr>
            </w:pPr>
          </w:p>
        </w:tc>
      </w:tr>
      <w:tr w:rsidR="00C31389" w14:paraId="2C6CE16C" w14:textId="77777777">
        <w:trPr>
          <w:trHeight w:val="514"/>
        </w:trPr>
        <w:tc>
          <w:tcPr>
            <w:tcW w:w="975" w:type="dxa"/>
            <w:shd w:val="clear" w:color="auto" w:fill="92D400"/>
          </w:tcPr>
          <w:p w:rsidR="00C31389" w:rsidRDefault="00561FBD" w14:paraId="10093A8D" w14:textId="77777777">
            <w:pPr>
              <w:pStyle w:val="TableParagraph"/>
              <w:spacing w:before="128"/>
              <w:ind w:left="129"/>
              <w:rPr>
                <w:b/>
                <w:sz w:val="20"/>
              </w:rPr>
            </w:pPr>
            <w:r>
              <w:rPr>
                <w:b/>
                <w:spacing w:val="-2"/>
                <w:sz w:val="20"/>
              </w:rPr>
              <w:t>Priority</w:t>
            </w:r>
          </w:p>
        </w:tc>
        <w:tc>
          <w:tcPr>
            <w:tcW w:w="2913" w:type="dxa"/>
            <w:shd w:val="clear" w:color="auto" w:fill="92D400"/>
          </w:tcPr>
          <w:p w:rsidR="00C31389" w:rsidRDefault="00561FBD" w14:paraId="4D17F53C" w14:textId="77777777">
            <w:pPr>
              <w:pStyle w:val="TableParagraph"/>
              <w:spacing w:before="128"/>
              <w:ind w:left="144"/>
              <w:rPr>
                <w:b/>
                <w:sz w:val="20"/>
              </w:rPr>
            </w:pPr>
            <w:r>
              <w:rPr>
                <w:b/>
                <w:spacing w:val="-2"/>
                <w:sz w:val="20"/>
              </w:rPr>
              <w:t>Sources</w:t>
            </w:r>
          </w:p>
        </w:tc>
        <w:tc>
          <w:tcPr>
            <w:tcW w:w="3114" w:type="dxa"/>
            <w:shd w:val="clear" w:color="auto" w:fill="92D400"/>
          </w:tcPr>
          <w:p w:rsidR="00C31389" w:rsidRDefault="00561FBD" w14:paraId="2B27D99D" w14:textId="77777777">
            <w:pPr>
              <w:pStyle w:val="TableParagraph"/>
              <w:spacing w:before="128"/>
              <w:ind w:left="172"/>
              <w:rPr>
                <w:b/>
                <w:sz w:val="20"/>
              </w:rPr>
            </w:pPr>
            <w:r>
              <w:rPr>
                <w:b/>
                <w:spacing w:val="-2"/>
                <w:sz w:val="20"/>
              </w:rPr>
              <w:t>Description</w:t>
            </w:r>
          </w:p>
        </w:tc>
        <w:tc>
          <w:tcPr>
            <w:tcW w:w="1572" w:type="dxa"/>
            <w:shd w:val="clear" w:color="auto" w:fill="92D400"/>
          </w:tcPr>
          <w:p w:rsidR="00C31389" w:rsidRDefault="00561FBD" w14:paraId="32D41535" w14:textId="77777777">
            <w:pPr>
              <w:pStyle w:val="TableParagraph"/>
              <w:spacing w:before="128"/>
              <w:ind w:left="147"/>
              <w:rPr>
                <w:b/>
                <w:sz w:val="20"/>
              </w:rPr>
            </w:pPr>
            <w:r>
              <w:rPr>
                <w:b/>
                <w:spacing w:val="-2"/>
                <w:sz w:val="20"/>
              </w:rPr>
              <w:t>Author</w:t>
            </w:r>
          </w:p>
        </w:tc>
        <w:tc>
          <w:tcPr>
            <w:tcW w:w="802" w:type="dxa"/>
            <w:shd w:val="clear" w:color="auto" w:fill="92D400"/>
          </w:tcPr>
          <w:p w:rsidR="00C31389" w:rsidRDefault="00561FBD" w14:paraId="0D3E5C70" w14:textId="77777777">
            <w:pPr>
              <w:pStyle w:val="TableParagraph"/>
              <w:spacing w:before="128"/>
              <w:ind w:left="142"/>
              <w:rPr>
                <w:b/>
                <w:sz w:val="20"/>
              </w:rPr>
            </w:pPr>
            <w:r>
              <w:rPr>
                <w:b/>
                <w:spacing w:val="-4"/>
                <w:sz w:val="20"/>
              </w:rPr>
              <w:t>Year</w:t>
            </w:r>
          </w:p>
        </w:tc>
      </w:tr>
      <w:tr w:rsidR="00C31389" w14:paraId="5EE48210" w14:textId="77777777">
        <w:trPr>
          <w:trHeight w:val="979"/>
        </w:trPr>
        <w:tc>
          <w:tcPr>
            <w:tcW w:w="975" w:type="dxa"/>
            <w:tcBorders>
              <w:bottom w:val="single" w:color="545658" w:sz="8" w:space="0"/>
            </w:tcBorders>
          </w:tcPr>
          <w:p w:rsidR="00C31389" w:rsidRDefault="00C31389" w14:paraId="6810B091" w14:textId="77777777">
            <w:pPr>
              <w:pStyle w:val="TableParagraph"/>
              <w:spacing w:before="0"/>
              <w:rPr>
                <w:rFonts w:ascii="Times New Roman"/>
                <w:sz w:val="20"/>
              </w:rPr>
            </w:pPr>
          </w:p>
        </w:tc>
        <w:tc>
          <w:tcPr>
            <w:tcW w:w="2913" w:type="dxa"/>
            <w:tcBorders>
              <w:bottom w:val="single" w:color="545658" w:sz="8" w:space="0"/>
            </w:tcBorders>
          </w:tcPr>
          <w:p w:rsidR="00C31389" w:rsidRDefault="00C31389" w14:paraId="63529DB0" w14:textId="77777777">
            <w:pPr>
              <w:pStyle w:val="TableParagraph"/>
              <w:spacing w:before="8"/>
              <w:rPr>
                <w:sz w:val="20"/>
              </w:rPr>
            </w:pPr>
          </w:p>
          <w:p w:rsidR="00C31389" w:rsidRDefault="00561FBD" w14:paraId="7378622B" w14:textId="77777777">
            <w:pPr>
              <w:pStyle w:val="TableParagraph"/>
              <w:numPr>
                <w:ilvl w:val="0"/>
                <w:numId w:val="48"/>
              </w:numPr>
              <w:tabs>
                <w:tab w:val="left" w:pos="403"/>
              </w:tabs>
              <w:spacing w:before="0" w:line="249" w:lineRule="auto"/>
              <w:ind w:right="171"/>
              <w:rPr>
                <w:sz w:val="20"/>
              </w:rPr>
            </w:pPr>
            <w:r>
              <w:rPr>
                <w:sz w:val="20"/>
              </w:rPr>
              <w:t>ENERGY</w:t>
            </w:r>
            <w:r>
              <w:rPr>
                <w:spacing w:val="-14"/>
                <w:sz w:val="20"/>
              </w:rPr>
              <w:t xml:space="preserve"> </w:t>
            </w:r>
            <w:r>
              <w:rPr>
                <w:sz w:val="20"/>
              </w:rPr>
              <w:t>STAR</w:t>
            </w:r>
            <w:r>
              <w:rPr>
                <w:spacing w:val="-14"/>
                <w:sz w:val="20"/>
              </w:rPr>
              <w:t xml:space="preserve"> </w:t>
            </w:r>
            <w:r>
              <w:rPr>
                <w:sz w:val="20"/>
              </w:rPr>
              <w:t xml:space="preserve">Shipment </w:t>
            </w:r>
            <w:r>
              <w:rPr>
                <w:spacing w:val="-2"/>
                <w:sz w:val="20"/>
              </w:rPr>
              <w:t>Database</w:t>
            </w:r>
          </w:p>
        </w:tc>
        <w:tc>
          <w:tcPr>
            <w:tcW w:w="3114" w:type="dxa"/>
            <w:tcBorders>
              <w:bottom w:val="single" w:color="545658" w:sz="8" w:space="0"/>
            </w:tcBorders>
          </w:tcPr>
          <w:p w:rsidR="00C31389" w:rsidRDefault="00561FBD" w14:paraId="6C5B07C6" w14:textId="77777777">
            <w:pPr>
              <w:pStyle w:val="TableParagraph"/>
              <w:spacing w:before="20"/>
              <w:ind w:left="172" w:right="147"/>
              <w:rPr>
                <w:sz w:val="20"/>
              </w:rPr>
            </w:pPr>
            <w:r>
              <w:rPr>
                <w:sz w:val="20"/>
              </w:rPr>
              <w:t>Unit</w:t>
            </w:r>
            <w:r>
              <w:rPr>
                <w:spacing w:val="-9"/>
                <w:sz w:val="20"/>
              </w:rPr>
              <w:t xml:space="preserve"> </w:t>
            </w:r>
            <w:r>
              <w:rPr>
                <w:sz w:val="20"/>
              </w:rPr>
              <w:t>shipment</w:t>
            </w:r>
            <w:r>
              <w:rPr>
                <w:spacing w:val="-11"/>
                <w:sz w:val="20"/>
              </w:rPr>
              <w:t xml:space="preserve"> </w:t>
            </w:r>
            <w:r>
              <w:rPr>
                <w:sz w:val="20"/>
              </w:rPr>
              <w:t>data</w:t>
            </w:r>
            <w:r>
              <w:rPr>
                <w:spacing w:val="-9"/>
                <w:sz w:val="20"/>
              </w:rPr>
              <w:t xml:space="preserve"> </w:t>
            </w:r>
            <w:r>
              <w:rPr>
                <w:sz w:val="20"/>
              </w:rPr>
              <w:t>of</w:t>
            </w:r>
            <w:r>
              <w:rPr>
                <w:spacing w:val="-9"/>
                <w:sz w:val="20"/>
              </w:rPr>
              <w:t xml:space="preserve"> </w:t>
            </w:r>
            <w:r>
              <w:rPr>
                <w:sz w:val="20"/>
              </w:rPr>
              <w:t xml:space="preserve">ENERGY </w:t>
            </w:r>
            <w:r>
              <w:rPr>
                <w:sz w:val="20"/>
              </w:rPr>
              <w:t>STAR-certified products collected to evaluate market penetration and performance.</w:t>
            </w:r>
          </w:p>
        </w:tc>
        <w:tc>
          <w:tcPr>
            <w:tcW w:w="1572" w:type="dxa"/>
            <w:tcBorders>
              <w:bottom w:val="single" w:color="545658" w:sz="8" w:space="0"/>
            </w:tcBorders>
          </w:tcPr>
          <w:p w:rsidR="00C31389" w:rsidRDefault="00561FBD" w14:paraId="7B463661" w14:textId="77777777">
            <w:pPr>
              <w:pStyle w:val="TableParagraph"/>
              <w:spacing w:before="20"/>
              <w:ind w:left="147"/>
              <w:rPr>
                <w:sz w:val="20"/>
              </w:rPr>
            </w:pPr>
            <w:r>
              <w:rPr>
                <w:spacing w:val="-5"/>
                <w:sz w:val="20"/>
              </w:rPr>
              <w:t>US</w:t>
            </w:r>
          </w:p>
          <w:p w:rsidR="00C31389" w:rsidRDefault="00561FBD" w14:paraId="4FA12664" w14:textId="77777777">
            <w:pPr>
              <w:pStyle w:val="TableParagraph"/>
              <w:spacing w:before="0"/>
              <w:ind w:left="147"/>
              <w:rPr>
                <w:sz w:val="20"/>
              </w:rPr>
            </w:pPr>
            <w:r>
              <w:rPr>
                <w:spacing w:val="-2"/>
                <w:sz w:val="20"/>
              </w:rPr>
              <w:t xml:space="preserve">Environmental Protection </w:t>
            </w:r>
            <w:r>
              <w:rPr>
                <w:sz w:val="20"/>
              </w:rPr>
              <w:t>Agency</w:t>
            </w:r>
            <w:r>
              <w:rPr>
                <w:spacing w:val="-14"/>
                <w:sz w:val="20"/>
              </w:rPr>
              <w:t xml:space="preserve"> </w:t>
            </w:r>
            <w:r>
              <w:rPr>
                <w:sz w:val="20"/>
              </w:rPr>
              <w:t>(EPA)</w:t>
            </w:r>
          </w:p>
        </w:tc>
        <w:tc>
          <w:tcPr>
            <w:tcW w:w="802" w:type="dxa"/>
            <w:tcBorders>
              <w:bottom w:val="single" w:color="545658" w:sz="8" w:space="0"/>
            </w:tcBorders>
          </w:tcPr>
          <w:p w:rsidR="00C31389" w:rsidRDefault="00C31389" w14:paraId="744AAD9B" w14:textId="77777777">
            <w:pPr>
              <w:pStyle w:val="TableParagraph"/>
              <w:spacing w:before="8"/>
              <w:rPr>
                <w:sz w:val="21"/>
              </w:rPr>
            </w:pPr>
          </w:p>
          <w:p w:rsidR="00C31389" w:rsidRDefault="00561FBD" w14:paraId="6FF306FF" w14:textId="77777777">
            <w:pPr>
              <w:pStyle w:val="TableParagraph"/>
              <w:spacing w:before="1"/>
              <w:ind w:left="142"/>
              <w:rPr>
                <w:sz w:val="20"/>
              </w:rPr>
            </w:pPr>
            <w:r>
              <w:rPr>
                <w:spacing w:val="-2"/>
                <w:sz w:val="20"/>
              </w:rPr>
              <w:t>2003-</w:t>
            </w:r>
          </w:p>
          <w:p w:rsidR="00C31389" w:rsidRDefault="00561FBD" w14:paraId="59604FDC" w14:textId="77777777">
            <w:pPr>
              <w:pStyle w:val="TableParagraph"/>
              <w:spacing w:before="0"/>
              <w:ind w:left="142"/>
              <w:rPr>
                <w:sz w:val="20"/>
              </w:rPr>
            </w:pPr>
            <w:r>
              <w:rPr>
                <w:spacing w:val="-4"/>
                <w:sz w:val="20"/>
              </w:rPr>
              <w:t>2020</w:t>
            </w:r>
          </w:p>
        </w:tc>
      </w:tr>
    </w:tbl>
    <w:p w:rsidR="00C31389" w:rsidRDefault="00561FBD" w14:paraId="7F5E832A" w14:textId="77777777">
      <w:pPr>
        <w:spacing w:before="62"/>
        <w:ind w:left="480"/>
        <w:rPr>
          <w:i/>
          <w:sz w:val="18"/>
        </w:rPr>
      </w:pPr>
      <w:r>
        <w:rPr>
          <w:i/>
          <w:sz w:val="18"/>
        </w:rPr>
        <w:t>Source:</w:t>
      </w:r>
      <w:r>
        <w:rPr>
          <w:i/>
          <w:spacing w:val="-4"/>
          <w:sz w:val="18"/>
        </w:rPr>
        <w:t xml:space="preserve"> </w:t>
      </w:r>
      <w:r>
        <w:rPr>
          <w:i/>
          <w:spacing w:val="-2"/>
          <w:sz w:val="18"/>
        </w:rPr>
        <w:t>Guidehouse</w:t>
      </w:r>
    </w:p>
    <w:p w:rsidR="00C31389" w:rsidRDefault="00C31389" w14:paraId="67DADCEA" w14:textId="77777777">
      <w:pPr>
        <w:pStyle w:val="BodyText"/>
        <w:spacing w:before="10"/>
        <w:rPr>
          <w:i/>
          <w:sz w:val="20"/>
        </w:rPr>
      </w:pPr>
    </w:p>
    <w:p w:rsidR="00C31389" w:rsidRDefault="00561FBD" w14:paraId="5259E42F" w14:textId="77777777">
      <w:pPr>
        <w:pStyle w:val="Heading4"/>
        <w:numPr>
          <w:ilvl w:val="2"/>
          <w:numId w:val="71"/>
        </w:numPr>
        <w:tabs>
          <w:tab w:val="left" w:pos="1077"/>
        </w:tabs>
        <w:spacing w:before="1"/>
        <w:ind w:left="1077" w:hanging="597"/>
      </w:pPr>
      <w:bookmarkStart w:name="3.2.4_Measure_Characterization_Workbook" w:id="184"/>
      <w:bookmarkStart w:name="_bookmark137" w:id="185"/>
      <w:bookmarkEnd w:id="184"/>
      <w:bookmarkEnd w:id="185"/>
      <w:r>
        <w:t>Measure</w:t>
      </w:r>
      <w:r>
        <w:rPr>
          <w:spacing w:val="-6"/>
        </w:rPr>
        <w:t xml:space="preserve"> </w:t>
      </w:r>
      <w:r>
        <w:t>Characterization</w:t>
      </w:r>
      <w:r>
        <w:rPr>
          <w:spacing w:val="-6"/>
        </w:rPr>
        <w:t xml:space="preserve"> </w:t>
      </w:r>
      <w:r>
        <w:rPr>
          <w:spacing w:val="-2"/>
        </w:rPr>
        <w:t>Workbook</w:t>
      </w:r>
    </w:p>
    <w:p w:rsidR="00C31389" w:rsidRDefault="00C31389" w14:paraId="5D93BD7B" w14:textId="77777777">
      <w:pPr>
        <w:pStyle w:val="BodyText"/>
        <w:spacing w:before="9"/>
        <w:rPr>
          <w:b/>
          <w:sz w:val="20"/>
        </w:rPr>
      </w:pPr>
    </w:p>
    <w:p w:rsidR="00C31389" w:rsidRDefault="00561FBD" w14:paraId="07D912CB" w14:textId="77777777">
      <w:pPr>
        <w:pStyle w:val="BodyText"/>
        <w:ind w:left="480" w:right="533"/>
        <w:rPr>
          <w:sz w:val="14"/>
        </w:rPr>
      </w:pPr>
      <w:r>
        <w:t xml:space="preserve">The measure characterization workbook consolidates </w:t>
      </w:r>
      <w:r>
        <w:t>information from the measure characterization effort in an Excel spreadsheet that serves as an input to the PG Model. The workbook</w:t>
      </w:r>
      <w:r>
        <w:rPr>
          <w:spacing w:val="-3"/>
        </w:rPr>
        <w:t xml:space="preserve"> </w:t>
      </w:r>
      <w:r>
        <w:t>presents</w:t>
      </w:r>
      <w:r>
        <w:rPr>
          <w:spacing w:val="-3"/>
        </w:rPr>
        <w:t xml:space="preserve"> </w:t>
      </w:r>
      <w:r>
        <w:t>the</w:t>
      </w:r>
      <w:r>
        <w:rPr>
          <w:spacing w:val="-3"/>
        </w:rPr>
        <w:t xml:space="preserve"> </w:t>
      </w:r>
      <w:r>
        <w:t>characterized</w:t>
      </w:r>
      <w:r>
        <w:rPr>
          <w:spacing w:val="-4"/>
        </w:rPr>
        <w:t xml:space="preserve"> </w:t>
      </w:r>
      <w:r>
        <w:t>measures</w:t>
      </w:r>
      <w:r>
        <w:rPr>
          <w:spacing w:val="-3"/>
        </w:rPr>
        <w:t xml:space="preserve"> </w:t>
      </w:r>
      <w:r>
        <w:t>with</w:t>
      </w:r>
      <w:r>
        <w:rPr>
          <w:spacing w:val="-3"/>
        </w:rPr>
        <w:t xml:space="preserve"> </w:t>
      </w:r>
      <w:r>
        <w:t>all</w:t>
      </w:r>
      <w:r>
        <w:rPr>
          <w:spacing w:val="-3"/>
        </w:rPr>
        <w:t xml:space="preserve"> </w:t>
      </w:r>
      <w:r>
        <w:t>the</w:t>
      </w:r>
      <w:r>
        <w:rPr>
          <w:spacing w:val="-3"/>
        </w:rPr>
        <w:t xml:space="preserve"> </w:t>
      </w:r>
      <w:r>
        <w:t>separate</w:t>
      </w:r>
      <w:r>
        <w:rPr>
          <w:spacing w:val="-3"/>
        </w:rPr>
        <w:t xml:space="preserve"> </w:t>
      </w:r>
      <w:r>
        <w:t>fields</w:t>
      </w:r>
      <w:r>
        <w:rPr>
          <w:spacing w:val="-3"/>
        </w:rPr>
        <w:t xml:space="preserve"> </w:t>
      </w:r>
      <w:r>
        <w:t>used</w:t>
      </w:r>
      <w:r>
        <w:rPr>
          <w:spacing w:val="-3"/>
        </w:rPr>
        <w:t xml:space="preserve"> </w:t>
      </w:r>
      <w:r>
        <w:t>for</w:t>
      </w:r>
      <w:r>
        <w:rPr>
          <w:spacing w:val="-3"/>
        </w:rPr>
        <w:t xml:space="preserve"> </w:t>
      </w:r>
      <w:r>
        <w:t>modeling. The workbook is publicly available and ca</w:t>
      </w:r>
      <w:r>
        <w:t>n be downloaded through the CPUC website.</w:t>
      </w:r>
      <w:r>
        <w:rPr>
          <w:spacing w:val="-37"/>
        </w:rPr>
        <w:t xml:space="preserve"> </w:t>
      </w:r>
      <w:hyperlink w:history="1" w:anchor="_bookmark140">
        <w:r>
          <w:rPr>
            <w:position w:val="7"/>
            <w:sz w:val="14"/>
          </w:rPr>
          <w:t>41</w:t>
        </w:r>
      </w:hyperlink>
    </w:p>
    <w:p w:rsidR="00C31389" w:rsidRDefault="00C31389" w14:paraId="2DB2B9EF" w14:textId="77777777">
      <w:pPr>
        <w:pStyle w:val="BodyText"/>
        <w:spacing w:before="10"/>
        <w:rPr>
          <w:sz w:val="20"/>
        </w:rPr>
      </w:pPr>
    </w:p>
    <w:p w:rsidR="00C31389" w:rsidRDefault="00561FBD" w14:paraId="3C93C48A" w14:textId="77777777">
      <w:pPr>
        <w:pStyle w:val="Heading2"/>
        <w:numPr>
          <w:ilvl w:val="1"/>
          <w:numId w:val="71"/>
        </w:numPr>
        <w:tabs>
          <w:tab w:val="left" w:pos="945"/>
        </w:tabs>
        <w:ind w:left="945" w:hanging="465"/>
      </w:pPr>
      <w:bookmarkStart w:name="3.3_Market_Adoption_Characteristics" w:id="186"/>
      <w:bookmarkStart w:name="_bookmark138" w:id="187"/>
      <w:bookmarkEnd w:id="186"/>
      <w:bookmarkEnd w:id="187"/>
      <w:r>
        <w:t>Market</w:t>
      </w:r>
      <w:r>
        <w:rPr>
          <w:spacing w:val="-14"/>
        </w:rPr>
        <w:t xml:space="preserve"> </w:t>
      </w:r>
      <w:r>
        <w:t>Adoption</w:t>
      </w:r>
      <w:r>
        <w:rPr>
          <w:spacing w:val="-13"/>
        </w:rPr>
        <w:t xml:space="preserve"> </w:t>
      </w:r>
      <w:r>
        <w:rPr>
          <w:spacing w:val="-2"/>
        </w:rPr>
        <w:t>Characteristics</w:t>
      </w:r>
    </w:p>
    <w:p w:rsidR="00C31389" w:rsidRDefault="00561FBD" w14:paraId="0BE7BD40" w14:textId="77777777">
      <w:pPr>
        <w:pStyle w:val="BodyText"/>
        <w:spacing w:before="240"/>
        <w:ind w:left="480" w:right="533" w:hanging="1"/>
      </w:pPr>
      <w:r>
        <w:t>As</w:t>
      </w:r>
      <w:r>
        <w:rPr>
          <w:spacing w:val="-3"/>
        </w:rPr>
        <w:t xml:space="preserve"> </w:t>
      </w:r>
      <w:r>
        <w:t>discussed</w:t>
      </w:r>
      <w:r>
        <w:rPr>
          <w:spacing w:val="-3"/>
        </w:rPr>
        <w:t xml:space="preserve"> </w:t>
      </w:r>
      <w:r>
        <w:t>in</w:t>
      </w:r>
      <w:r>
        <w:rPr>
          <w:spacing w:val="-3"/>
        </w:rPr>
        <w:t xml:space="preserve"> </w:t>
      </w:r>
      <w:r>
        <w:t>Section</w:t>
      </w:r>
      <w:r>
        <w:rPr>
          <w:spacing w:val="-4"/>
        </w:rPr>
        <w:t xml:space="preserve"> </w:t>
      </w:r>
      <w:hyperlink w:history="1" w:anchor="_bookmark46">
        <w:r>
          <w:t>2.1.1.4</w:t>
        </w:r>
      </w:hyperlink>
      <w:r>
        <w:t>,</w:t>
      </w:r>
      <w:r>
        <w:rPr>
          <w:spacing w:val="-3"/>
        </w:rPr>
        <w:t xml:space="preserve"> </w:t>
      </w:r>
      <w:r>
        <w:t>the</w:t>
      </w:r>
      <w:r>
        <w:rPr>
          <w:spacing w:val="-4"/>
        </w:rPr>
        <w:t xml:space="preserve"> </w:t>
      </w:r>
      <w:r>
        <w:t>2021</w:t>
      </w:r>
      <w:r>
        <w:rPr>
          <w:spacing w:val="-2"/>
        </w:rPr>
        <w:t xml:space="preserve"> </w:t>
      </w:r>
      <w:r>
        <w:t>Study</w:t>
      </w:r>
      <w:r>
        <w:rPr>
          <w:spacing w:val="-4"/>
        </w:rPr>
        <w:t xml:space="preserve"> </w:t>
      </w:r>
      <w:r>
        <w:t>updated</w:t>
      </w:r>
      <w:r>
        <w:rPr>
          <w:spacing w:val="-3"/>
        </w:rPr>
        <w:t xml:space="preserve"> </w:t>
      </w:r>
      <w:r>
        <w:t>the</w:t>
      </w:r>
      <w:r>
        <w:rPr>
          <w:spacing w:val="-4"/>
        </w:rPr>
        <w:t xml:space="preserve"> </w:t>
      </w:r>
      <w:r>
        <w:t>drivers</w:t>
      </w:r>
      <w:r>
        <w:rPr>
          <w:spacing w:val="-3"/>
        </w:rPr>
        <w:t xml:space="preserve"> </w:t>
      </w:r>
      <w:r>
        <w:t>of</w:t>
      </w:r>
      <w:r>
        <w:rPr>
          <w:spacing w:val="-4"/>
        </w:rPr>
        <w:t xml:space="preserve"> </w:t>
      </w:r>
      <w:r>
        <w:t>customer</w:t>
      </w:r>
      <w:r>
        <w:rPr>
          <w:spacing w:val="-3"/>
        </w:rPr>
        <w:t xml:space="preserve"> </w:t>
      </w:r>
      <w:r>
        <w:t>willingness</w:t>
      </w:r>
      <w:r>
        <w:rPr>
          <w:spacing w:val="-3"/>
        </w:rPr>
        <w:t xml:space="preserve"> </w:t>
      </w:r>
      <w:r>
        <w:t>to adopt EE technologies. The 2021 Study used a broader set of customer preferences on economic and non-economic factors when modeling technology adoption. The 2023 Study retained the 2021 Study’s new appro</w:t>
      </w:r>
      <w:r>
        <w:t>ach to adoption modeling. The market adoption characteristics collected via surveys in the 2021 Market Adoption Survey</w:t>
      </w:r>
    </w:p>
    <w:p w:rsidR="00C31389" w:rsidRDefault="00C31389" w14:paraId="5453EEEE" w14:textId="77777777">
      <w:pPr>
        <w:pStyle w:val="BodyText"/>
        <w:spacing w:before="9"/>
        <w:rPr>
          <w:sz w:val="20"/>
        </w:rPr>
      </w:pPr>
    </w:p>
    <w:p w:rsidR="00C31389" w:rsidRDefault="00561FBD" w14:paraId="33020085" w14:textId="77777777">
      <w:pPr>
        <w:pStyle w:val="BodyText"/>
        <w:ind w:left="480" w:right="629"/>
      </w:pPr>
      <w:r>
        <w:t>resulted in a table indicating the importance of each of the six value factors (previously introduced</w:t>
      </w:r>
      <w:r>
        <w:rPr>
          <w:spacing w:val="-4"/>
        </w:rPr>
        <w:t xml:space="preserve"> </w:t>
      </w:r>
      <w:r>
        <w:t>in</w:t>
      </w:r>
      <w:r>
        <w:rPr>
          <w:spacing w:val="-4"/>
        </w:rPr>
        <w:t xml:space="preserve"> </w:t>
      </w:r>
      <w:r>
        <w:t>Section</w:t>
      </w:r>
      <w:r>
        <w:rPr>
          <w:spacing w:val="-4"/>
        </w:rPr>
        <w:t xml:space="preserve"> </w:t>
      </w:r>
      <w:hyperlink w:history="1" w:anchor="_bookmark46">
        <w:r>
          <w:t>2.1.1.4</w:t>
        </w:r>
      </w:hyperlink>
      <w:r>
        <w:t>)</w:t>
      </w:r>
      <w:r>
        <w:rPr>
          <w:spacing w:val="-4"/>
        </w:rPr>
        <w:t xml:space="preserve"> </w:t>
      </w:r>
      <w:r>
        <w:t>to</w:t>
      </w:r>
      <w:r>
        <w:rPr>
          <w:spacing w:val="-4"/>
        </w:rPr>
        <w:t xml:space="preserve"> </w:t>
      </w:r>
      <w:r>
        <w:t>each</w:t>
      </w:r>
      <w:r>
        <w:rPr>
          <w:spacing w:val="-4"/>
        </w:rPr>
        <w:t xml:space="preserve"> </w:t>
      </w:r>
      <w:r>
        <w:t>respondent’s</w:t>
      </w:r>
      <w:r>
        <w:rPr>
          <w:spacing w:val="-4"/>
        </w:rPr>
        <w:t xml:space="preserve"> </w:t>
      </w:r>
      <w:r>
        <w:t>decision</w:t>
      </w:r>
      <w:r>
        <w:rPr>
          <w:spacing w:val="-5"/>
        </w:rPr>
        <w:t xml:space="preserve"> </w:t>
      </w:r>
      <w:r>
        <w:t>on</w:t>
      </w:r>
      <w:r>
        <w:rPr>
          <w:spacing w:val="-4"/>
        </w:rPr>
        <w:t xml:space="preserve"> </w:t>
      </w:r>
      <w:r>
        <w:t>whether</w:t>
      </w:r>
      <w:r>
        <w:rPr>
          <w:spacing w:val="-4"/>
        </w:rPr>
        <w:t xml:space="preserve"> </w:t>
      </w:r>
      <w:r>
        <w:t>to</w:t>
      </w:r>
      <w:r>
        <w:rPr>
          <w:spacing w:val="-4"/>
        </w:rPr>
        <w:t xml:space="preserve"> </w:t>
      </w:r>
      <w:r>
        <w:t>adopt</w:t>
      </w:r>
      <w:r>
        <w:rPr>
          <w:spacing w:val="-4"/>
        </w:rPr>
        <w:t xml:space="preserve"> </w:t>
      </w:r>
      <w:r>
        <w:t>energy efficient technologies.</w:t>
      </w:r>
    </w:p>
    <w:p w:rsidR="00C31389" w:rsidRDefault="00C31389" w14:paraId="6EDAC2E8" w14:textId="77777777">
      <w:pPr>
        <w:pStyle w:val="BodyText"/>
        <w:spacing w:before="11"/>
        <w:rPr>
          <w:sz w:val="20"/>
        </w:rPr>
      </w:pPr>
    </w:p>
    <w:p w:rsidR="00C31389" w:rsidRDefault="00561FBD" w14:paraId="59744141" w14:textId="77777777">
      <w:pPr>
        <w:pStyle w:val="BodyText"/>
        <w:ind w:left="480" w:right="485"/>
      </w:pPr>
      <w:hyperlink w:history="1" w:anchor="_bookmark139">
        <w:r>
          <w:t>Table 3-15</w:t>
        </w:r>
      </w:hyperlink>
      <w:r>
        <w:t xml:space="preserve"> summarizes the survey responses mapped to each</w:t>
      </w:r>
      <w:r>
        <w:t xml:space="preserve"> value factor, transformed using an</w:t>
      </w:r>
      <w:r>
        <w:rPr>
          <w:spacing w:val="-4"/>
        </w:rPr>
        <w:t xml:space="preserve"> </w:t>
      </w:r>
      <w:r>
        <w:t>ordinal-to-metric</w:t>
      </w:r>
      <w:r>
        <w:rPr>
          <w:spacing w:val="-3"/>
        </w:rPr>
        <w:t xml:space="preserve"> </w:t>
      </w:r>
      <w:r>
        <w:t>analysis</w:t>
      </w:r>
      <w:r>
        <w:rPr>
          <w:spacing w:val="-42"/>
        </w:rPr>
        <w:t xml:space="preserve"> </w:t>
      </w:r>
      <w:hyperlink w:history="1" w:anchor="_bookmark141">
        <w:r>
          <w:rPr>
            <w:position w:val="7"/>
            <w:sz w:val="14"/>
          </w:rPr>
          <w:t>42</w:t>
        </w:r>
      </w:hyperlink>
      <w:r>
        <w:rPr>
          <w:spacing w:val="18"/>
          <w:position w:val="7"/>
          <w:sz w:val="14"/>
        </w:rPr>
        <w:t xml:space="preserve"> </w:t>
      </w:r>
      <w:r>
        <w:t>(described</w:t>
      </w:r>
      <w:r>
        <w:rPr>
          <w:spacing w:val="-3"/>
        </w:rPr>
        <w:t xml:space="preserve"> </w:t>
      </w:r>
      <w:r>
        <w:t>in</w:t>
      </w:r>
      <w:r>
        <w:rPr>
          <w:spacing w:val="-3"/>
        </w:rPr>
        <w:t xml:space="preserve"> </w:t>
      </w:r>
      <w:r>
        <w:t>more</w:t>
      </w:r>
      <w:r>
        <w:rPr>
          <w:spacing w:val="-3"/>
        </w:rPr>
        <w:t xml:space="preserve"> </w:t>
      </w:r>
      <w:r>
        <w:t>detail</w:t>
      </w:r>
      <w:r>
        <w:rPr>
          <w:spacing w:val="-3"/>
        </w:rPr>
        <w:t xml:space="preserve"> </w:t>
      </w:r>
      <w:r>
        <w:t>in</w:t>
      </w:r>
      <w:r>
        <w:rPr>
          <w:spacing w:val="-3"/>
        </w:rPr>
        <w:t xml:space="preserve"> </w:t>
      </w:r>
      <w:r>
        <w:t>the</w:t>
      </w:r>
      <w:r>
        <w:rPr>
          <w:spacing w:val="-4"/>
        </w:rPr>
        <w:t xml:space="preserve"> </w:t>
      </w:r>
      <w:r>
        <w:t>2021</w:t>
      </w:r>
      <w:r>
        <w:rPr>
          <w:spacing w:val="-3"/>
        </w:rPr>
        <w:t xml:space="preserve"> </w:t>
      </w:r>
      <w:r>
        <w:t>Study</w:t>
      </w:r>
      <w:r>
        <w:rPr>
          <w:spacing w:val="-4"/>
        </w:rPr>
        <w:t xml:space="preserve"> </w:t>
      </w:r>
      <w:r>
        <w:t>report),</w:t>
      </w:r>
      <w:r>
        <w:rPr>
          <w:spacing w:val="-3"/>
        </w:rPr>
        <w:t xml:space="preserve"> </w:t>
      </w:r>
      <w:r>
        <w:t>and</w:t>
      </w:r>
      <w:r>
        <w:rPr>
          <w:spacing w:val="-3"/>
        </w:rPr>
        <w:t xml:space="preserve"> </w:t>
      </w:r>
      <w:r>
        <w:t xml:space="preserve">averaged over all example EE technologies. There are </w:t>
      </w:r>
      <w:r>
        <w:t>analogous tables for each EE measure, FS measure, and DR measure used in the surveys.</w:t>
      </w:r>
    </w:p>
    <w:p w:rsidR="00C31389" w:rsidRDefault="00C31389" w14:paraId="5BF847EF" w14:textId="77777777">
      <w:pPr>
        <w:pStyle w:val="BodyText"/>
        <w:spacing w:before="10"/>
        <w:rPr>
          <w:sz w:val="20"/>
        </w:rPr>
      </w:pPr>
    </w:p>
    <w:p w:rsidR="00C31389" w:rsidRDefault="00561FBD" w14:paraId="5EEC7630" w14:textId="77777777">
      <w:pPr>
        <w:pStyle w:val="Heading7"/>
        <w:ind w:left="4652" w:right="533" w:hanging="3962"/>
      </w:pPr>
      <w:r>
        <w:rPr>
          <w:noProof/>
        </w:rPr>
        <mc:AlternateContent>
          <mc:Choice Requires="wps">
            <w:drawing>
              <wp:anchor distT="0" distB="0" distL="0" distR="0" simplePos="0" relativeHeight="15778816" behindDoc="0" locked="0" layoutInCell="1" allowOverlap="1" wp14:editId="304DF7D3" wp14:anchorId="0D23C51F">
                <wp:simplePos x="0" y="0"/>
                <wp:positionH relativeFrom="page">
                  <wp:posOffset>867155</wp:posOffset>
                </wp:positionH>
                <wp:positionV relativeFrom="paragraph">
                  <wp:posOffset>426590</wp:posOffset>
                </wp:positionV>
                <wp:extent cx="6029325" cy="12992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12992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42"/>
                              <w:gridCol w:w="1076"/>
                              <w:gridCol w:w="1925"/>
                              <w:gridCol w:w="1133"/>
                              <w:gridCol w:w="1273"/>
                              <w:gridCol w:w="1325"/>
                            </w:tblGrid>
                            <w:tr w:rsidR="00C31389" w14:paraId="143AFA0C" w14:textId="77777777">
                              <w:trPr>
                                <w:trHeight w:val="698"/>
                              </w:trPr>
                              <w:tc>
                                <w:tcPr>
                                  <w:tcW w:w="2642" w:type="dxa"/>
                                  <w:shd w:val="clear" w:color="auto" w:fill="92D400"/>
                                </w:tcPr>
                                <w:p w:rsidR="00C31389" w:rsidRDefault="00561FBD" w14:paraId="5F2EB8C5" w14:textId="77777777">
                                  <w:pPr>
                                    <w:pStyle w:val="TableParagraph"/>
                                    <w:tabs>
                                      <w:tab w:val="left" w:pos="1630"/>
                                    </w:tabs>
                                    <w:spacing w:before="103" w:line="274" w:lineRule="exact"/>
                                    <w:ind w:left="129"/>
                                    <w:rPr>
                                      <w:b/>
                                      <w:sz w:val="19"/>
                                    </w:rPr>
                                  </w:pPr>
                                  <w:r>
                                    <w:rPr>
                                      <w:b/>
                                      <w:sz w:val="19"/>
                                    </w:rPr>
                                    <w:t>Value</w:t>
                                  </w:r>
                                  <w:r>
                                    <w:rPr>
                                      <w:b/>
                                      <w:spacing w:val="-7"/>
                                      <w:sz w:val="19"/>
                                    </w:rPr>
                                    <w:t xml:space="preserve"> </w:t>
                                  </w:r>
                                  <w:r>
                                    <w:rPr>
                                      <w:b/>
                                      <w:spacing w:val="-2"/>
                                      <w:sz w:val="19"/>
                                    </w:rPr>
                                    <w:t>Factor</w:t>
                                  </w:r>
                                  <w:r>
                                    <w:rPr>
                                      <w:b/>
                                      <w:sz w:val="19"/>
                                    </w:rPr>
                                    <w:tab/>
                                  </w:r>
                                  <w:r>
                                    <w:rPr>
                                      <w:b/>
                                      <w:spacing w:val="-2"/>
                                      <w:position w:val="11"/>
                                      <w:sz w:val="19"/>
                                    </w:rPr>
                                    <w:t>Average</w:t>
                                  </w:r>
                                </w:p>
                                <w:p w:rsidR="00C31389" w:rsidRDefault="00561FBD" w14:paraId="1E7336F5" w14:textId="77777777">
                                  <w:pPr>
                                    <w:pStyle w:val="TableParagraph"/>
                                    <w:spacing w:before="0" w:line="164" w:lineRule="exact"/>
                                    <w:ind w:left="1520"/>
                                    <w:rPr>
                                      <w:b/>
                                      <w:sz w:val="19"/>
                                    </w:rPr>
                                  </w:pPr>
                                  <w:r>
                                    <w:rPr>
                                      <w:b/>
                                      <w:spacing w:val="-2"/>
                                      <w:sz w:val="19"/>
                                    </w:rPr>
                                    <w:t>Americans</w:t>
                                  </w:r>
                                </w:p>
                              </w:tc>
                              <w:tc>
                                <w:tcPr>
                                  <w:tcW w:w="1076" w:type="dxa"/>
                                  <w:shd w:val="clear" w:color="auto" w:fill="92D400"/>
                                </w:tcPr>
                                <w:p w:rsidR="00C31389" w:rsidRDefault="00561FBD" w14:paraId="4510233B" w14:textId="77777777">
                                  <w:pPr>
                                    <w:pStyle w:val="TableParagraph"/>
                                    <w:spacing w:before="102"/>
                                    <w:ind w:left="107" w:firstLine="153"/>
                                    <w:rPr>
                                      <w:b/>
                                      <w:sz w:val="19"/>
                                    </w:rPr>
                                  </w:pPr>
                                  <w:r>
                                    <w:rPr>
                                      <w:b/>
                                      <w:spacing w:val="-4"/>
                                      <w:sz w:val="19"/>
                                    </w:rPr>
                                    <w:t xml:space="preserve">Eager </w:t>
                                  </w:r>
                                  <w:r>
                                    <w:rPr>
                                      <w:b/>
                                      <w:spacing w:val="-2"/>
                                      <w:sz w:val="19"/>
                                    </w:rPr>
                                    <w:t>Adopters</w:t>
                                  </w:r>
                                </w:p>
                              </w:tc>
                              <w:tc>
                                <w:tcPr>
                                  <w:tcW w:w="1925" w:type="dxa"/>
                                  <w:shd w:val="clear" w:color="auto" w:fill="92D400"/>
                                </w:tcPr>
                                <w:p w:rsidR="00C31389" w:rsidRDefault="00561FBD" w14:paraId="17245A30" w14:textId="77777777">
                                  <w:pPr>
                                    <w:pStyle w:val="TableParagraph"/>
                                    <w:spacing w:before="0"/>
                                    <w:ind w:left="132" w:right="142"/>
                                    <w:jc w:val="center"/>
                                    <w:rPr>
                                      <w:b/>
                                      <w:sz w:val="19"/>
                                    </w:rPr>
                                  </w:pPr>
                                  <w:r>
                                    <w:rPr>
                                      <w:b/>
                                      <w:spacing w:val="-2"/>
                                      <w:sz w:val="19"/>
                                    </w:rPr>
                                    <w:t>Economically Strained Environmentalists</w:t>
                                  </w:r>
                                </w:p>
                              </w:tc>
                              <w:tc>
                                <w:tcPr>
                                  <w:tcW w:w="1133" w:type="dxa"/>
                                  <w:shd w:val="clear" w:color="auto" w:fill="92D400"/>
                                </w:tcPr>
                                <w:p w:rsidR="00C31389" w:rsidRDefault="00561FBD" w14:paraId="68A4AF6A" w14:textId="77777777">
                                  <w:pPr>
                                    <w:pStyle w:val="TableParagraph"/>
                                    <w:spacing w:before="102"/>
                                    <w:ind w:left="144" w:firstLine="158"/>
                                    <w:rPr>
                                      <w:b/>
                                      <w:sz w:val="19"/>
                                    </w:rPr>
                                  </w:pPr>
                                  <w:r>
                                    <w:rPr>
                                      <w:b/>
                                      <w:spacing w:val="-2"/>
                                      <w:sz w:val="19"/>
                                    </w:rPr>
                                    <w:t>Likely Laggards</w:t>
                                  </w:r>
                                </w:p>
                              </w:tc>
                              <w:tc>
                                <w:tcPr>
                                  <w:tcW w:w="1273" w:type="dxa"/>
                                  <w:shd w:val="clear" w:color="auto" w:fill="92D400"/>
                                </w:tcPr>
                                <w:p w:rsidR="00C31389" w:rsidRDefault="00C31389" w14:paraId="10EA5665" w14:textId="77777777">
                                  <w:pPr>
                                    <w:pStyle w:val="TableParagraph"/>
                                    <w:spacing w:before="6"/>
                                    <w:rPr>
                                      <w:sz w:val="18"/>
                                    </w:rPr>
                                  </w:pPr>
                                </w:p>
                                <w:p w:rsidR="00C31389" w:rsidRDefault="00561FBD" w14:paraId="09010EDA" w14:textId="77777777">
                                  <w:pPr>
                                    <w:pStyle w:val="TableParagraph"/>
                                    <w:spacing w:before="0"/>
                                    <w:ind w:left="124" w:right="136"/>
                                    <w:jc w:val="center"/>
                                    <w:rPr>
                                      <w:b/>
                                      <w:sz w:val="19"/>
                                    </w:rPr>
                                  </w:pPr>
                                  <w:r>
                                    <w:rPr>
                                      <w:b/>
                                      <w:spacing w:val="-2"/>
                                      <w:sz w:val="19"/>
                                    </w:rPr>
                                    <w:t>Multifamily</w:t>
                                  </w:r>
                                </w:p>
                              </w:tc>
                              <w:tc>
                                <w:tcPr>
                                  <w:tcW w:w="1325" w:type="dxa"/>
                                  <w:shd w:val="clear" w:color="auto" w:fill="92D400"/>
                                </w:tcPr>
                                <w:p w:rsidR="00C31389" w:rsidRDefault="00C31389" w14:paraId="08A3707B" w14:textId="77777777">
                                  <w:pPr>
                                    <w:pStyle w:val="TableParagraph"/>
                                    <w:spacing w:before="6"/>
                                    <w:rPr>
                                      <w:sz w:val="18"/>
                                    </w:rPr>
                                  </w:pPr>
                                </w:p>
                                <w:p w:rsidR="00C31389" w:rsidRDefault="00561FBD" w14:paraId="011EC367" w14:textId="77777777">
                                  <w:pPr>
                                    <w:pStyle w:val="TableParagraph"/>
                                    <w:spacing w:before="0"/>
                                    <w:ind w:left="94" w:right="123"/>
                                    <w:jc w:val="center"/>
                                    <w:rPr>
                                      <w:b/>
                                      <w:sz w:val="19"/>
                                    </w:rPr>
                                  </w:pPr>
                                  <w:r>
                                    <w:rPr>
                                      <w:b/>
                                      <w:spacing w:val="-2"/>
                                      <w:sz w:val="19"/>
                                    </w:rPr>
                                    <w:t>Commercial</w:t>
                                  </w:r>
                                </w:p>
                              </w:tc>
                            </w:tr>
                            <w:tr w:rsidR="00C31389" w14:paraId="58253BDC" w14:textId="77777777">
                              <w:trPr>
                                <w:trHeight w:val="300"/>
                              </w:trPr>
                              <w:tc>
                                <w:tcPr>
                                  <w:tcW w:w="2642" w:type="dxa"/>
                                  <w:tcBorders>
                                    <w:bottom w:val="single" w:color="D9D9D9" w:sz="2" w:space="0"/>
                                  </w:tcBorders>
                                </w:tcPr>
                                <w:p w:rsidR="00C31389" w:rsidRDefault="00561FBD" w14:paraId="3597579B" w14:textId="77777777">
                                  <w:pPr>
                                    <w:pStyle w:val="TableParagraph"/>
                                    <w:tabs>
                                      <w:tab w:val="left" w:pos="1821"/>
                                    </w:tabs>
                                    <w:spacing w:before="41"/>
                                    <w:ind w:left="129"/>
                                    <w:rPr>
                                      <w:sz w:val="19"/>
                                    </w:rPr>
                                  </w:pPr>
                                  <w:r>
                                    <w:rPr>
                                      <w:sz w:val="19"/>
                                    </w:rPr>
                                    <w:t>Eco</w:t>
                                  </w:r>
                                  <w:r>
                                    <w:rPr>
                                      <w:spacing w:val="-5"/>
                                      <w:sz w:val="19"/>
                                    </w:rPr>
                                    <w:t xml:space="preserve"> </w:t>
                                  </w:r>
                                  <w:r>
                                    <w:rPr>
                                      <w:spacing w:val="-2"/>
                                      <w:sz w:val="19"/>
                                    </w:rPr>
                                    <w:t>Impacts</w:t>
                                  </w:r>
                                  <w:r>
                                    <w:rPr>
                                      <w:sz w:val="19"/>
                                    </w:rPr>
                                    <w:tab/>
                                  </w:r>
                                  <w:r>
                                    <w:rPr>
                                      <w:spacing w:val="-4"/>
                                      <w:sz w:val="19"/>
                                    </w:rPr>
                                    <w:t>4.00</w:t>
                                  </w:r>
                                </w:p>
                              </w:tc>
                              <w:tc>
                                <w:tcPr>
                                  <w:tcW w:w="1076" w:type="dxa"/>
                                  <w:tcBorders>
                                    <w:bottom w:val="single" w:color="D9D9D9" w:sz="2" w:space="0"/>
                                  </w:tcBorders>
                                </w:tcPr>
                                <w:p w:rsidR="00C31389" w:rsidRDefault="00561FBD" w14:paraId="0A08B1F6" w14:textId="77777777">
                                  <w:pPr>
                                    <w:pStyle w:val="TableParagraph"/>
                                    <w:spacing w:before="41"/>
                                    <w:ind w:left="164" w:right="188"/>
                                    <w:jc w:val="center"/>
                                    <w:rPr>
                                      <w:sz w:val="19"/>
                                    </w:rPr>
                                  </w:pPr>
                                  <w:r>
                                    <w:rPr>
                                      <w:spacing w:val="-4"/>
                                      <w:sz w:val="19"/>
                                    </w:rPr>
                                    <w:t>5.10</w:t>
                                  </w:r>
                                </w:p>
                              </w:tc>
                              <w:tc>
                                <w:tcPr>
                                  <w:tcW w:w="1925" w:type="dxa"/>
                                  <w:tcBorders>
                                    <w:bottom w:val="single" w:color="D9D9D9" w:sz="2" w:space="0"/>
                                  </w:tcBorders>
                                </w:tcPr>
                                <w:p w:rsidR="00C31389" w:rsidRDefault="00561FBD" w14:paraId="0A9FE1AB" w14:textId="77777777">
                                  <w:pPr>
                                    <w:pStyle w:val="TableParagraph"/>
                                    <w:spacing w:before="41"/>
                                    <w:ind w:right="780"/>
                                    <w:jc w:val="right"/>
                                    <w:rPr>
                                      <w:sz w:val="19"/>
                                    </w:rPr>
                                  </w:pPr>
                                  <w:r>
                                    <w:rPr>
                                      <w:spacing w:val="-4"/>
                                      <w:sz w:val="19"/>
                                    </w:rPr>
                                    <w:t>4.50</w:t>
                                  </w:r>
                                </w:p>
                              </w:tc>
                              <w:tc>
                                <w:tcPr>
                                  <w:tcW w:w="1133" w:type="dxa"/>
                                  <w:tcBorders>
                                    <w:bottom w:val="single" w:color="D9D9D9" w:sz="2" w:space="0"/>
                                  </w:tcBorders>
                                </w:tcPr>
                                <w:p w:rsidR="00C31389" w:rsidRDefault="00561FBD" w14:paraId="32A1128C" w14:textId="77777777">
                                  <w:pPr>
                                    <w:pStyle w:val="TableParagraph"/>
                                    <w:spacing w:before="41"/>
                                    <w:ind w:left="374" w:right="364"/>
                                    <w:jc w:val="center"/>
                                    <w:rPr>
                                      <w:sz w:val="19"/>
                                    </w:rPr>
                                  </w:pPr>
                                  <w:r>
                                    <w:rPr>
                                      <w:spacing w:val="-4"/>
                                      <w:sz w:val="19"/>
                                    </w:rPr>
                                    <w:t>3.20</w:t>
                                  </w:r>
                                </w:p>
                              </w:tc>
                              <w:tc>
                                <w:tcPr>
                                  <w:tcW w:w="1273" w:type="dxa"/>
                                  <w:tcBorders>
                                    <w:bottom w:val="single" w:color="D9D9D9" w:sz="2" w:space="0"/>
                                  </w:tcBorders>
                                </w:tcPr>
                                <w:p w:rsidR="00C31389" w:rsidRDefault="00561FBD" w14:paraId="68514BE4" w14:textId="77777777">
                                  <w:pPr>
                                    <w:pStyle w:val="TableParagraph"/>
                                    <w:spacing w:before="41"/>
                                    <w:ind w:left="121" w:right="136"/>
                                    <w:jc w:val="center"/>
                                    <w:rPr>
                                      <w:sz w:val="19"/>
                                    </w:rPr>
                                  </w:pPr>
                                  <w:r>
                                    <w:rPr>
                                      <w:spacing w:val="-4"/>
                                      <w:sz w:val="19"/>
                                    </w:rPr>
                                    <w:t>4.10</w:t>
                                  </w:r>
                                </w:p>
                              </w:tc>
                              <w:tc>
                                <w:tcPr>
                                  <w:tcW w:w="1325" w:type="dxa"/>
                                  <w:tcBorders>
                                    <w:bottom w:val="single" w:color="D9D9D9" w:sz="2" w:space="0"/>
                                  </w:tcBorders>
                                </w:tcPr>
                                <w:p w:rsidR="00C31389" w:rsidRDefault="00561FBD" w14:paraId="11D94B2A" w14:textId="77777777">
                                  <w:pPr>
                                    <w:pStyle w:val="TableParagraph"/>
                                    <w:spacing w:before="41"/>
                                    <w:ind w:left="93" w:right="123"/>
                                    <w:jc w:val="center"/>
                                    <w:rPr>
                                      <w:sz w:val="19"/>
                                    </w:rPr>
                                  </w:pPr>
                                  <w:r>
                                    <w:rPr>
                                      <w:spacing w:val="-4"/>
                                      <w:sz w:val="19"/>
                                    </w:rPr>
                                    <w:t>4.03</w:t>
                                  </w:r>
                                </w:p>
                              </w:tc>
                            </w:tr>
                            <w:tr w:rsidR="00C31389" w14:paraId="3A23896E" w14:textId="77777777">
                              <w:trPr>
                                <w:trHeight w:val="516"/>
                              </w:trPr>
                              <w:tc>
                                <w:tcPr>
                                  <w:tcW w:w="2642" w:type="dxa"/>
                                  <w:tcBorders>
                                    <w:top w:val="single" w:color="D9D9D9" w:sz="2" w:space="0"/>
                                    <w:bottom w:val="single" w:color="D9D9D9" w:sz="2" w:space="0"/>
                                  </w:tcBorders>
                                </w:tcPr>
                                <w:p w:rsidR="00C31389" w:rsidRDefault="00561FBD" w14:paraId="27764A34" w14:textId="77777777">
                                  <w:pPr>
                                    <w:pStyle w:val="TableParagraph"/>
                                    <w:tabs>
                                      <w:tab w:val="right" w:pos="2191"/>
                                    </w:tabs>
                                    <w:spacing w:before="39"/>
                                    <w:ind w:left="129"/>
                                    <w:rPr>
                                      <w:sz w:val="19"/>
                                    </w:rPr>
                                  </w:pPr>
                                  <w:r>
                                    <w:rPr>
                                      <w:spacing w:val="-2"/>
                                      <w:sz w:val="19"/>
                                    </w:rPr>
                                    <w:t>Hassle</w:t>
                                  </w:r>
                                  <w:r>
                                    <w:rPr>
                                      <w:sz w:val="19"/>
                                    </w:rPr>
                                    <w:tab/>
                                  </w:r>
                                  <w:r>
                                    <w:rPr>
                                      <w:spacing w:val="-4"/>
                                      <w:position w:val="-10"/>
                                      <w:sz w:val="19"/>
                                    </w:rPr>
                                    <w:t>3.09</w:t>
                                  </w:r>
                                </w:p>
                              </w:tc>
                              <w:tc>
                                <w:tcPr>
                                  <w:tcW w:w="1076" w:type="dxa"/>
                                  <w:tcBorders>
                                    <w:top w:val="single" w:color="D9D9D9" w:sz="2" w:space="0"/>
                                    <w:bottom w:val="single" w:color="D9D9D9" w:sz="2" w:space="0"/>
                                  </w:tcBorders>
                                </w:tcPr>
                                <w:p w:rsidR="00C31389" w:rsidRDefault="00561FBD" w14:paraId="00097A39" w14:textId="77777777">
                                  <w:pPr>
                                    <w:pStyle w:val="TableParagraph"/>
                                    <w:spacing w:before="149"/>
                                    <w:ind w:left="164" w:right="188"/>
                                    <w:jc w:val="center"/>
                                    <w:rPr>
                                      <w:sz w:val="19"/>
                                    </w:rPr>
                                  </w:pPr>
                                  <w:r>
                                    <w:rPr>
                                      <w:spacing w:val="-4"/>
                                      <w:sz w:val="19"/>
                                    </w:rPr>
                                    <w:t>3.11</w:t>
                                  </w:r>
                                </w:p>
                              </w:tc>
                              <w:tc>
                                <w:tcPr>
                                  <w:tcW w:w="1925" w:type="dxa"/>
                                  <w:tcBorders>
                                    <w:top w:val="single" w:color="D9D9D9" w:sz="2" w:space="0"/>
                                    <w:bottom w:val="single" w:color="D9D9D9" w:sz="2" w:space="0"/>
                                  </w:tcBorders>
                                </w:tcPr>
                                <w:p w:rsidR="00C31389" w:rsidRDefault="00561FBD" w14:paraId="06A27B35" w14:textId="77777777">
                                  <w:pPr>
                                    <w:pStyle w:val="TableParagraph"/>
                                    <w:spacing w:before="149"/>
                                    <w:ind w:right="780"/>
                                    <w:jc w:val="right"/>
                                    <w:rPr>
                                      <w:sz w:val="19"/>
                                    </w:rPr>
                                  </w:pPr>
                                  <w:r>
                                    <w:rPr>
                                      <w:spacing w:val="-4"/>
                                      <w:sz w:val="19"/>
                                    </w:rPr>
                                    <w:t>3.39</w:t>
                                  </w:r>
                                </w:p>
                              </w:tc>
                              <w:tc>
                                <w:tcPr>
                                  <w:tcW w:w="1133" w:type="dxa"/>
                                  <w:tcBorders>
                                    <w:top w:val="single" w:color="D9D9D9" w:sz="2" w:space="0"/>
                                    <w:bottom w:val="single" w:color="D9D9D9" w:sz="2" w:space="0"/>
                                  </w:tcBorders>
                                </w:tcPr>
                                <w:p w:rsidR="00C31389" w:rsidRDefault="00561FBD" w14:paraId="225D50F6" w14:textId="77777777">
                                  <w:pPr>
                                    <w:pStyle w:val="TableParagraph"/>
                                    <w:spacing w:before="149"/>
                                    <w:ind w:left="374" w:right="364"/>
                                    <w:jc w:val="center"/>
                                    <w:rPr>
                                      <w:sz w:val="19"/>
                                    </w:rPr>
                                  </w:pPr>
                                  <w:r>
                                    <w:rPr>
                                      <w:spacing w:val="-4"/>
                                      <w:sz w:val="19"/>
                                    </w:rPr>
                                    <w:t>3.06</w:t>
                                  </w:r>
                                </w:p>
                              </w:tc>
                              <w:tc>
                                <w:tcPr>
                                  <w:tcW w:w="1273" w:type="dxa"/>
                                  <w:tcBorders>
                                    <w:top w:val="single" w:color="D9D9D9" w:sz="2" w:space="0"/>
                                    <w:bottom w:val="single" w:color="D9D9D9" w:sz="2" w:space="0"/>
                                  </w:tcBorders>
                                </w:tcPr>
                                <w:p w:rsidR="00C31389" w:rsidRDefault="00561FBD" w14:paraId="70F7B10B" w14:textId="77777777">
                                  <w:pPr>
                                    <w:pStyle w:val="TableParagraph"/>
                                    <w:spacing w:before="149"/>
                                    <w:ind w:left="122" w:right="136"/>
                                    <w:jc w:val="center"/>
                                    <w:rPr>
                                      <w:sz w:val="19"/>
                                    </w:rPr>
                                  </w:pPr>
                                  <w:r>
                                    <w:rPr>
                                      <w:spacing w:val="-4"/>
                                      <w:sz w:val="19"/>
                                    </w:rPr>
                                    <w:t>3.33</w:t>
                                  </w:r>
                                </w:p>
                              </w:tc>
                              <w:tc>
                                <w:tcPr>
                                  <w:tcW w:w="1325" w:type="dxa"/>
                                  <w:tcBorders>
                                    <w:top w:val="single" w:color="D9D9D9" w:sz="2" w:space="0"/>
                                    <w:bottom w:val="single" w:color="D9D9D9" w:sz="2" w:space="0"/>
                                  </w:tcBorders>
                                </w:tcPr>
                                <w:p w:rsidR="00C31389" w:rsidRDefault="00561FBD" w14:paraId="694FEC27" w14:textId="77777777">
                                  <w:pPr>
                                    <w:pStyle w:val="TableParagraph"/>
                                    <w:spacing w:before="149"/>
                                    <w:ind w:left="93" w:right="123"/>
                                    <w:jc w:val="center"/>
                                    <w:rPr>
                                      <w:sz w:val="19"/>
                                    </w:rPr>
                                  </w:pPr>
                                  <w:r>
                                    <w:rPr>
                                      <w:spacing w:val="-4"/>
                                      <w:sz w:val="19"/>
                                    </w:rPr>
                                    <w:t>3.13</w:t>
                                  </w:r>
                                </w:p>
                              </w:tc>
                            </w:tr>
                            <w:tr w:rsidR="00C31389" w14:paraId="2A70325C" w14:textId="77777777">
                              <w:trPr>
                                <w:trHeight w:val="517"/>
                              </w:trPr>
                              <w:tc>
                                <w:tcPr>
                                  <w:tcW w:w="2642" w:type="dxa"/>
                                  <w:tcBorders>
                                    <w:top w:val="single" w:color="D9D9D9" w:sz="2" w:space="0"/>
                                    <w:bottom w:val="single" w:color="D9D9D9" w:sz="2" w:space="0"/>
                                  </w:tcBorders>
                                </w:tcPr>
                                <w:p w:rsidR="00C31389" w:rsidRDefault="00561FBD" w14:paraId="005C2512" w14:textId="77777777">
                                  <w:pPr>
                                    <w:pStyle w:val="TableParagraph"/>
                                    <w:tabs>
                                      <w:tab w:val="right" w:pos="2191"/>
                                    </w:tabs>
                                    <w:spacing w:before="39"/>
                                    <w:ind w:left="129"/>
                                    <w:rPr>
                                      <w:sz w:val="19"/>
                                    </w:rPr>
                                  </w:pPr>
                                  <w:r>
                                    <w:rPr>
                                      <w:spacing w:val="-2"/>
                                      <w:sz w:val="19"/>
                                    </w:rPr>
                                    <w:t>Lifetime</w:t>
                                  </w:r>
                                  <w:r>
                                    <w:rPr>
                                      <w:sz w:val="19"/>
                                    </w:rPr>
                                    <w:tab/>
                                  </w:r>
                                  <w:r>
                                    <w:rPr>
                                      <w:spacing w:val="-4"/>
                                      <w:position w:val="-10"/>
                                      <w:sz w:val="19"/>
                                    </w:rPr>
                                    <w:t>3.23</w:t>
                                  </w:r>
                                </w:p>
                              </w:tc>
                              <w:tc>
                                <w:tcPr>
                                  <w:tcW w:w="1076" w:type="dxa"/>
                                  <w:tcBorders>
                                    <w:top w:val="single" w:color="D9D9D9" w:sz="2" w:space="0"/>
                                    <w:bottom w:val="single" w:color="D9D9D9" w:sz="2" w:space="0"/>
                                  </w:tcBorders>
                                </w:tcPr>
                                <w:p w:rsidR="00C31389" w:rsidRDefault="00561FBD" w14:paraId="6A06CA6D" w14:textId="77777777">
                                  <w:pPr>
                                    <w:pStyle w:val="TableParagraph"/>
                                    <w:spacing w:before="149"/>
                                    <w:ind w:left="164" w:right="188"/>
                                    <w:jc w:val="center"/>
                                    <w:rPr>
                                      <w:sz w:val="19"/>
                                    </w:rPr>
                                  </w:pPr>
                                  <w:r>
                                    <w:rPr>
                                      <w:spacing w:val="-4"/>
                                      <w:sz w:val="19"/>
                                    </w:rPr>
                                    <w:t>3.27</w:t>
                                  </w:r>
                                </w:p>
                              </w:tc>
                              <w:tc>
                                <w:tcPr>
                                  <w:tcW w:w="1925" w:type="dxa"/>
                                  <w:tcBorders>
                                    <w:top w:val="single" w:color="D9D9D9" w:sz="2" w:space="0"/>
                                    <w:bottom w:val="single" w:color="D9D9D9" w:sz="2" w:space="0"/>
                                  </w:tcBorders>
                                </w:tcPr>
                                <w:p w:rsidR="00C31389" w:rsidRDefault="00561FBD" w14:paraId="21909BDB" w14:textId="77777777">
                                  <w:pPr>
                                    <w:pStyle w:val="TableParagraph"/>
                                    <w:spacing w:before="149"/>
                                    <w:ind w:right="780"/>
                                    <w:jc w:val="right"/>
                                    <w:rPr>
                                      <w:sz w:val="19"/>
                                    </w:rPr>
                                  </w:pPr>
                                  <w:r>
                                    <w:rPr>
                                      <w:spacing w:val="-4"/>
                                      <w:sz w:val="19"/>
                                    </w:rPr>
                                    <w:t>3.60</w:t>
                                  </w:r>
                                </w:p>
                              </w:tc>
                              <w:tc>
                                <w:tcPr>
                                  <w:tcW w:w="1133" w:type="dxa"/>
                                  <w:tcBorders>
                                    <w:top w:val="single" w:color="D9D9D9" w:sz="2" w:space="0"/>
                                    <w:bottom w:val="single" w:color="D9D9D9" w:sz="2" w:space="0"/>
                                  </w:tcBorders>
                                </w:tcPr>
                                <w:p w:rsidR="00C31389" w:rsidRDefault="00561FBD" w14:paraId="43B7E3C5" w14:textId="77777777">
                                  <w:pPr>
                                    <w:pStyle w:val="TableParagraph"/>
                                    <w:spacing w:before="149"/>
                                    <w:ind w:left="374" w:right="364"/>
                                    <w:jc w:val="center"/>
                                    <w:rPr>
                                      <w:sz w:val="19"/>
                                    </w:rPr>
                                  </w:pPr>
                                  <w:r>
                                    <w:rPr>
                                      <w:spacing w:val="-4"/>
                                      <w:sz w:val="19"/>
                                    </w:rPr>
                                    <w:t>2.87</w:t>
                                  </w:r>
                                </w:p>
                              </w:tc>
                              <w:tc>
                                <w:tcPr>
                                  <w:tcW w:w="1273" w:type="dxa"/>
                                  <w:tcBorders>
                                    <w:top w:val="single" w:color="D9D9D9" w:sz="2" w:space="0"/>
                                    <w:bottom w:val="single" w:color="D9D9D9" w:sz="2" w:space="0"/>
                                  </w:tcBorders>
                                </w:tcPr>
                                <w:p w:rsidR="00C31389" w:rsidRDefault="00561FBD" w14:paraId="00A9D3CA" w14:textId="77777777">
                                  <w:pPr>
                                    <w:pStyle w:val="TableParagraph"/>
                                    <w:spacing w:before="149"/>
                                    <w:ind w:left="121" w:right="136"/>
                                    <w:jc w:val="center"/>
                                    <w:rPr>
                                      <w:sz w:val="19"/>
                                    </w:rPr>
                                  </w:pPr>
                                  <w:r>
                                    <w:rPr>
                                      <w:spacing w:val="-4"/>
                                      <w:sz w:val="19"/>
                                    </w:rPr>
                                    <w:t>3.03</w:t>
                                  </w:r>
                                </w:p>
                              </w:tc>
                              <w:tc>
                                <w:tcPr>
                                  <w:tcW w:w="1325" w:type="dxa"/>
                                  <w:tcBorders>
                                    <w:top w:val="single" w:color="D9D9D9" w:sz="2" w:space="0"/>
                                    <w:bottom w:val="single" w:color="D9D9D9" w:sz="2" w:space="0"/>
                                  </w:tcBorders>
                                </w:tcPr>
                                <w:p w:rsidR="00C31389" w:rsidRDefault="00561FBD" w14:paraId="0E2E89FC" w14:textId="77777777">
                                  <w:pPr>
                                    <w:pStyle w:val="TableParagraph"/>
                                    <w:spacing w:before="149"/>
                                    <w:ind w:left="93" w:right="123"/>
                                    <w:jc w:val="center"/>
                                    <w:rPr>
                                      <w:sz w:val="19"/>
                                    </w:rPr>
                                  </w:pPr>
                                  <w:r>
                                    <w:rPr>
                                      <w:spacing w:val="-4"/>
                                      <w:sz w:val="19"/>
                                    </w:rPr>
                                    <w:t>3.28</w:t>
                                  </w:r>
                                </w:p>
                              </w:tc>
                            </w:tr>
                          </w:tbl>
                          <w:p w:rsidR="00C31389" w:rsidRDefault="00C31389" w14:paraId="2D48C00A" w14:textId="77777777">
                            <w:pPr>
                              <w:pStyle w:val="BodyText"/>
                            </w:pPr>
                          </w:p>
                        </w:txbxContent>
                      </wps:txbx>
                      <wps:bodyPr wrap="square" lIns="0" tIns="0" rIns="0" bIns="0" rtlCol="0">
                        <a:noAutofit/>
                      </wps:bodyPr>
                    </wps:wsp>
                  </a:graphicData>
                </a:graphic>
              </wp:anchor>
            </w:drawing>
          </mc:Choice>
          <mc:Fallback>
            <w:pict>
              <v:shape id="Textbox 327" style="position:absolute;left:0;text-align:left;margin-left:68.3pt;margin-top:33.6pt;width:474.75pt;height:102.3pt;z-index:15778816;visibility:visible;mso-wrap-style:square;mso-wrap-distance-left:0;mso-wrap-distance-top:0;mso-wrap-distance-right:0;mso-wrap-distance-bottom:0;mso-position-horizontal:absolute;mso-position-horizontal-relative:page;mso-position-vertical:absolute;mso-position-vertical-relative:text;v-text-anchor:top" o:spid="_x0000_s11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" w14:anchorId="0D23C51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42"/>
                        <w:gridCol w:w="1076"/>
                        <w:gridCol w:w="1925"/>
                        <w:gridCol w:w="1133"/>
                        <w:gridCol w:w="1273"/>
                        <w:gridCol w:w="1325"/>
                      </w:tblGrid>
                      <w:tr w:rsidR="00C31389" w14:paraId="143AFA0C" w14:textId="77777777">
                        <w:trPr>
                          <w:trHeight w:val="698"/>
                        </w:trPr>
                        <w:tc>
                          <w:tcPr>
                            <w:tcW w:w="2642" w:type="dxa"/>
                            <w:shd w:val="clear" w:color="auto" w:fill="92D400"/>
                          </w:tcPr>
                          <w:p w:rsidR="00C31389" w:rsidRDefault="00561FBD" w14:paraId="5F2EB8C5" w14:textId="77777777">
                            <w:pPr>
                              <w:pStyle w:val="TableParagraph"/>
                              <w:tabs>
                                <w:tab w:val="left" w:pos="1630"/>
                              </w:tabs>
                              <w:spacing w:before="103" w:line="274" w:lineRule="exact"/>
                              <w:ind w:left="129"/>
                              <w:rPr>
                                <w:b/>
                                <w:sz w:val="19"/>
                              </w:rPr>
                            </w:pPr>
                            <w:r>
                              <w:rPr>
                                <w:b/>
                                <w:sz w:val="19"/>
                              </w:rPr>
                              <w:t>Value</w:t>
                            </w:r>
                            <w:r>
                              <w:rPr>
                                <w:b/>
                                <w:spacing w:val="-7"/>
                                <w:sz w:val="19"/>
                              </w:rPr>
                              <w:t xml:space="preserve"> </w:t>
                            </w:r>
                            <w:r>
                              <w:rPr>
                                <w:b/>
                                <w:spacing w:val="-2"/>
                                <w:sz w:val="19"/>
                              </w:rPr>
                              <w:t>Factor</w:t>
                            </w:r>
                            <w:r>
                              <w:rPr>
                                <w:b/>
                                <w:sz w:val="19"/>
                              </w:rPr>
                              <w:tab/>
                            </w:r>
                            <w:r>
                              <w:rPr>
                                <w:b/>
                                <w:spacing w:val="-2"/>
                                <w:position w:val="11"/>
                                <w:sz w:val="19"/>
                              </w:rPr>
                              <w:t>Average</w:t>
                            </w:r>
                          </w:p>
                          <w:p w:rsidR="00C31389" w:rsidRDefault="00561FBD" w14:paraId="1E7336F5" w14:textId="77777777">
                            <w:pPr>
                              <w:pStyle w:val="TableParagraph"/>
                              <w:spacing w:before="0" w:line="164" w:lineRule="exact"/>
                              <w:ind w:left="1520"/>
                              <w:rPr>
                                <w:b/>
                                <w:sz w:val="19"/>
                              </w:rPr>
                            </w:pPr>
                            <w:r>
                              <w:rPr>
                                <w:b/>
                                <w:spacing w:val="-2"/>
                                <w:sz w:val="19"/>
                              </w:rPr>
                              <w:t>Americans</w:t>
                            </w:r>
                          </w:p>
                        </w:tc>
                        <w:tc>
                          <w:tcPr>
                            <w:tcW w:w="1076" w:type="dxa"/>
                            <w:shd w:val="clear" w:color="auto" w:fill="92D400"/>
                          </w:tcPr>
                          <w:p w:rsidR="00C31389" w:rsidRDefault="00561FBD" w14:paraId="4510233B" w14:textId="77777777">
                            <w:pPr>
                              <w:pStyle w:val="TableParagraph"/>
                              <w:spacing w:before="102"/>
                              <w:ind w:left="107" w:firstLine="153"/>
                              <w:rPr>
                                <w:b/>
                                <w:sz w:val="19"/>
                              </w:rPr>
                            </w:pPr>
                            <w:r>
                              <w:rPr>
                                <w:b/>
                                <w:spacing w:val="-4"/>
                                <w:sz w:val="19"/>
                              </w:rPr>
                              <w:t xml:space="preserve">Eager </w:t>
                            </w:r>
                            <w:r>
                              <w:rPr>
                                <w:b/>
                                <w:spacing w:val="-2"/>
                                <w:sz w:val="19"/>
                              </w:rPr>
                              <w:t>Adopters</w:t>
                            </w:r>
                          </w:p>
                        </w:tc>
                        <w:tc>
                          <w:tcPr>
                            <w:tcW w:w="1925" w:type="dxa"/>
                            <w:shd w:val="clear" w:color="auto" w:fill="92D400"/>
                          </w:tcPr>
                          <w:p w:rsidR="00C31389" w:rsidRDefault="00561FBD" w14:paraId="17245A30" w14:textId="77777777">
                            <w:pPr>
                              <w:pStyle w:val="TableParagraph"/>
                              <w:spacing w:before="0"/>
                              <w:ind w:left="132" w:right="142"/>
                              <w:jc w:val="center"/>
                              <w:rPr>
                                <w:b/>
                                <w:sz w:val="19"/>
                              </w:rPr>
                            </w:pPr>
                            <w:r>
                              <w:rPr>
                                <w:b/>
                                <w:spacing w:val="-2"/>
                                <w:sz w:val="19"/>
                              </w:rPr>
                              <w:t>Economically Strained Environmentalists</w:t>
                            </w:r>
                          </w:p>
                        </w:tc>
                        <w:tc>
                          <w:tcPr>
                            <w:tcW w:w="1133" w:type="dxa"/>
                            <w:shd w:val="clear" w:color="auto" w:fill="92D400"/>
                          </w:tcPr>
                          <w:p w:rsidR="00C31389" w:rsidRDefault="00561FBD" w14:paraId="68A4AF6A" w14:textId="77777777">
                            <w:pPr>
                              <w:pStyle w:val="TableParagraph"/>
                              <w:spacing w:before="102"/>
                              <w:ind w:left="144" w:firstLine="158"/>
                              <w:rPr>
                                <w:b/>
                                <w:sz w:val="19"/>
                              </w:rPr>
                            </w:pPr>
                            <w:r>
                              <w:rPr>
                                <w:b/>
                                <w:spacing w:val="-2"/>
                                <w:sz w:val="19"/>
                              </w:rPr>
                              <w:t>Likely Laggards</w:t>
                            </w:r>
                          </w:p>
                        </w:tc>
                        <w:tc>
                          <w:tcPr>
                            <w:tcW w:w="1273" w:type="dxa"/>
                            <w:shd w:val="clear" w:color="auto" w:fill="92D400"/>
                          </w:tcPr>
                          <w:p w:rsidR="00C31389" w:rsidRDefault="00C31389" w14:paraId="10EA5665" w14:textId="77777777">
                            <w:pPr>
                              <w:pStyle w:val="TableParagraph"/>
                              <w:spacing w:before="6"/>
                              <w:rPr>
                                <w:sz w:val="18"/>
                              </w:rPr>
                            </w:pPr>
                          </w:p>
                          <w:p w:rsidR="00C31389" w:rsidRDefault="00561FBD" w14:paraId="09010EDA" w14:textId="77777777">
                            <w:pPr>
                              <w:pStyle w:val="TableParagraph"/>
                              <w:spacing w:before="0"/>
                              <w:ind w:left="124" w:right="136"/>
                              <w:jc w:val="center"/>
                              <w:rPr>
                                <w:b/>
                                <w:sz w:val="19"/>
                              </w:rPr>
                            </w:pPr>
                            <w:r>
                              <w:rPr>
                                <w:b/>
                                <w:spacing w:val="-2"/>
                                <w:sz w:val="19"/>
                              </w:rPr>
                              <w:t>Multifamily</w:t>
                            </w:r>
                          </w:p>
                        </w:tc>
                        <w:tc>
                          <w:tcPr>
                            <w:tcW w:w="1325" w:type="dxa"/>
                            <w:shd w:val="clear" w:color="auto" w:fill="92D400"/>
                          </w:tcPr>
                          <w:p w:rsidR="00C31389" w:rsidRDefault="00C31389" w14:paraId="08A3707B" w14:textId="77777777">
                            <w:pPr>
                              <w:pStyle w:val="TableParagraph"/>
                              <w:spacing w:before="6"/>
                              <w:rPr>
                                <w:sz w:val="18"/>
                              </w:rPr>
                            </w:pPr>
                          </w:p>
                          <w:p w:rsidR="00C31389" w:rsidRDefault="00561FBD" w14:paraId="011EC367" w14:textId="77777777">
                            <w:pPr>
                              <w:pStyle w:val="TableParagraph"/>
                              <w:spacing w:before="0"/>
                              <w:ind w:left="94" w:right="123"/>
                              <w:jc w:val="center"/>
                              <w:rPr>
                                <w:b/>
                                <w:sz w:val="19"/>
                              </w:rPr>
                            </w:pPr>
                            <w:r>
                              <w:rPr>
                                <w:b/>
                                <w:spacing w:val="-2"/>
                                <w:sz w:val="19"/>
                              </w:rPr>
                              <w:t>Commercial</w:t>
                            </w:r>
                          </w:p>
                        </w:tc>
                      </w:tr>
                      <w:tr w:rsidR="00C31389" w14:paraId="58253BDC" w14:textId="77777777">
                        <w:trPr>
                          <w:trHeight w:val="300"/>
                        </w:trPr>
                        <w:tc>
                          <w:tcPr>
                            <w:tcW w:w="2642" w:type="dxa"/>
                            <w:tcBorders>
                              <w:bottom w:val="single" w:color="D9D9D9" w:sz="2" w:space="0"/>
                            </w:tcBorders>
                          </w:tcPr>
                          <w:p w:rsidR="00C31389" w:rsidRDefault="00561FBD" w14:paraId="3597579B" w14:textId="77777777">
                            <w:pPr>
                              <w:pStyle w:val="TableParagraph"/>
                              <w:tabs>
                                <w:tab w:val="left" w:pos="1821"/>
                              </w:tabs>
                              <w:spacing w:before="41"/>
                              <w:ind w:left="129"/>
                              <w:rPr>
                                <w:sz w:val="19"/>
                              </w:rPr>
                            </w:pPr>
                            <w:r>
                              <w:rPr>
                                <w:sz w:val="19"/>
                              </w:rPr>
                              <w:t>Eco</w:t>
                            </w:r>
                            <w:r>
                              <w:rPr>
                                <w:spacing w:val="-5"/>
                                <w:sz w:val="19"/>
                              </w:rPr>
                              <w:t xml:space="preserve"> </w:t>
                            </w:r>
                            <w:r>
                              <w:rPr>
                                <w:spacing w:val="-2"/>
                                <w:sz w:val="19"/>
                              </w:rPr>
                              <w:t>Impacts</w:t>
                            </w:r>
                            <w:r>
                              <w:rPr>
                                <w:sz w:val="19"/>
                              </w:rPr>
                              <w:tab/>
                            </w:r>
                            <w:r>
                              <w:rPr>
                                <w:spacing w:val="-4"/>
                                <w:sz w:val="19"/>
                              </w:rPr>
                              <w:t>4.00</w:t>
                            </w:r>
                          </w:p>
                        </w:tc>
                        <w:tc>
                          <w:tcPr>
                            <w:tcW w:w="1076" w:type="dxa"/>
                            <w:tcBorders>
                              <w:bottom w:val="single" w:color="D9D9D9" w:sz="2" w:space="0"/>
                            </w:tcBorders>
                          </w:tcPr>
                          <w:p w:rsidR="00C31389" w:rsidRDefault="00561FBD" w14:paraId="0A08B1F6" w14:textId="77777777">
                            <w:pPr>
                              <w:pStyle w:val="TableParagraph"/>
                              <w:spacing w:before="41"/>
                              <w:ind w:left="164" w:right="188"/>
                              <w:jc w:val="center"/>
                              <w:rPr>
                                <w:sz w:val="19"/>
                              </w:rPr>
                            </w:pPr>
                            <w:r>
                              <w:rPr>
                                <w:spacing w:val="-4"/>
                                <w:sz w:val="19"/>
                              </w:rPr>
                              <w:t>5.10</w:t>
                            </w:r>
                          </w:p>
                        </w:tc>
                        <w:tc>
                          <w:tcPr>
                            <w:tcW w:w="1925" w:type="dxa"/>
                            <w:tcBorders>
                              <w:bottom w:val="single" w:color="D9D9D9" w:sz="2" w:space="0"/>
                            </w:tcBorders>
                          </w:tcPr>
                          <w:p w:rsidR="00C31389" w:rsidRDefault="00561FBD" w14:paraId="0A9FE1AB" w14:textId="77777777">
                            <w:pPr>
                              <w:pStyle w:val="TableParagraph"/>
                              <w:spacing w:before="41"/>
                              <w:ind w:right="780"/>
                              <w:jc w:val="right"/>
                              <w:rPr>
                                <w:sz w:val="19"/>
                              </w:rPr>
                            </w:pPr>
                            <w:r>
                              <w:rPr>
                                <w:spacing w:val="-4"/>
                                <w:sz w:val="19"/>
                              </w:rPr>
                              <w:t>4.50</w:t>
                            </w:r>
                          </w:p>
                        </w:tc>
                        <w:tc>
                          <w:tcPr>
                            <w:tcW w:w="1133" w:type="dxa"/>
                            <w:tcBorders>
                              <w:bottom w:val="single" w:color="D9D9D9" w:sz="2" w:space="0"/>
                            </w:tcBorders>
                          </w:tcPr>
                          <w:p w:rsidR="00C31389" w:rsidRDefault="00561FBD" w14:paraId="32A1128C" w14:textId="77777777">
                            <w:pPr>
                              <w:pStyle w:val="TableParagraph"/>
                              <w:spacing w:before="41"/>
                              <w:ind w:left="374" w:right="364"/>
                              <w:jc w:val="center"/>
                              <w:rPr>
                                <w:sz w:val="19"/>
                              </w:rPr>
                            </w:pPr>
                            <w:r>
                              <w:rPr>
                                <w:spacing w:val="-4"/>
                                <w:sz w:val="19"/>
                              </w:rPr>
                              <w:t>3.20</w:t>
                            </w:r>
                          </w:p>
                        </w:tc>
                        <w:tc>
                          <w:tcPr>
                            <w:tcW w:w="1273" w:type="dxa"/>
                            <w:tcBorders>
                              <w:bottom w:val="single" w:color="D9D9D9" w:sz="2" w:space="0"/>
                            </w:tcBorders>
                          </w:tcPr>
                          <w:p w:rsidR="00C31389" w:rsidRDefault="00561FBD" w14:paraId="68514BE4" w14:textId="77777777">
                            <w:pPr>
                              <w:pStyle w:val="TableParagraph"/>
                              <w:spacing w:before="41"/>
                              <w:ind w:left="121" w:right="136"/>
                              <w:jc w:val="center"/>
                              <w:rPr>
                                <w:sz w:val="19"/>
                              </w:rPr>
                            </w:pPr>
                            <w:r>
                              <w:rPr>
                                <w:spacing w:val="-4"/>
                                <w:sz w:val="19"/>
                              </w:rPr>
                              <w:t>4.10</w:t>
                            </w:r>
                          </w:p>
                        </w:tc>
                        <w:tc>
                          <w:tcPr>
                            <w:tcW w:w="1325" w:type="dxa"/>
                            <w:tcBorders>
                              <w:bottom w:val="single" w:color="D9D9D9" w:sz="2" w:space="0"/>
                            </w:tcBorders>
                          </w:tcPr>
                          <w:p w:rsidR="00C31389" w:rsidRDefault="00561FBD" w14:paraId="11D94B2A" w14:textId="77777777">
                            <w:pPr>
                              <w:pStyle w:val="TableParagraph"/>
                              <w:spacing w:before="41"/>
                              <w:ind w:left="93" w:right="123"/>
                              <w:jc w:val="center"/>
                              <w:rPr>
                                <w:sz w:val="19"/>
                              </w:rPr>
                            </w:pPr>
                            <w:r>
                              <w:rPr>
                                <w:spacing w:val="-4"/>
                                <w:sz w:val="19"/>
                              </w:rPr>
                              <w:t>4.03</w:t>
                            </w:r>
                          </w:p>
                        </w:tc>
                      </w:tr>
                      <w:tr w:rsidR="00C31389" w14:paraId="3A23896E" w14:textId="77777777">
                        <w:trPr>
                          <w:trHeight w:val="516"/>
                        </w:trPr>
                        <w:tc>
                          <w:tcPr>
                            <w:tcW w:w="2642" w:type="dxa"/>
                            <w:tcBorders>
                              <w:top w:val="single" w:color="D9D9D9" w:sz="2" w:space="0"/>
                              <w:bottom w:val="single" w:color="D9D9D9" w:sz="2" w:space="0"/>
                            </w:tcBorders>
                          </w:tcPr>
                          <w:p w:rsidR="00C31389" w:rsidRDefault="00561FBD" w14:paraId="27764A34" w14:textId="77777777">
                            <w:pPr>
                              <w:pStyle w:val="TableParagraph"/>
                              <w:tabs>
                                <w:tab w:val="right" w:pos="2191"/>
                              </w:tabs>
                              <w:spacing w:before="39"/>
                              <w:ind w:left="129"/>
                              <w:rPr>
                                <w:sz w:val="19"/>
                              </w:rPr>
                            </w:pPr>
                            <w:r>
                              <w:rPr>
                                <w:spacing w:val="-2"/>
                                <w:sz w:val="19"/>
                              </w:rPr>
                              <w:t>Hassle</w:t>
                            </w:r>
                            <w:r>
                              <w:rPr>
                                <w:sz w:val="19"/>
                              </w:rPr>
                              <w:tab/>
                            </w:r>
                            <w:r>
                              <w:rPr>
                                <w:spacing w:val="-4"/>
                                <w:position w:val="-10"/>
                                <w:sz w:val="19"/>
                              </w:rPr>
                              <w:t>3.09</w:t>
                            </w:r>
                          </w:p>
                        </w:tc>
                        <w:tc>
                          <w:tcPr>
                            <w:tcW w:w="1076" w:type="dxa"/>
                            <w:tcBorders>
                              <w:top w:val="single" w:color="D9D9D9" w:sz="2" w:space="0"/>
                              <w:bottom w:val="single" w:color="D9D9D9" w:sz="2" w:space="0"/>
                            </w:tcBorders>
                          </w:tcPr>
                          <w:p w:rsidR="00C31389" w:rsidRDefault="00561FBD" w14:paraId="00097A39" w14:textId="77777777">
                            <w:pPr>
                              <w:pStyle w:val="TableParagraph"/>
                              <w:spacing w:before="149"/>
                              <w:ind w:left="164" w:right="188"/>
                              <w:jc w:val="center"/>
                              <w:rPr>
                                <w:sz w:val="19"/>
                              </w:rPr>
                            </w:pPr>
                            <w:r>
                              <w:rPr>
                                <w:spacing w:val="-4"/>
                                <w:sz w:val="19"/>
                              </w:rPr>
                              <w:t>3.11</w:t>
                            </w:r>
                          </w:p>
                        </w:tc>
                        <w:tc>
                          <w:tcPr>
                            <w:tcW w:w="1925" w:type="dxa"/>
                            <w:tcBorders>
                              <w:top w:val="single" w:color="D9D9D9" w:sz="2" w:space="0"/>
                              <w:bottom w:val="single" w:color="D9D9D9" w:sz="2" w:space="0"/>
                            </w:tcBorders>
                          </w:tcPr>
                          <w:p w:rsidR="00C31389" w:rsidRDefault="00561FBD" w14:paraId="06A27B35" w14:textId="77777777">
                            <w:pPr>
                              <w:pStyle w:val="TableParagraph"/>
                              <w:spacing w:before="149"/>
                              <w:ind w:right="780"/>
                              <w:jc w:val="right"/>
                              <w:rPr>
                                <w:sz w:val="19"/>
                              </w:rPr>
                            </w:pPr>
                            <w:r>
                              <w:rPr>
                                <w:spacing w:val="-4"/>
                                <w:sz w:val="19"/>
                              </w:rPr>
                              <w:t>3.39</w:t>
                            </w:r>
                          </w:p>
                        </w:tc>
                        <w:tc>
                          <w:tcPr>
                            <w:tcW w:w="1133" w:type="dxa"/>
                            <w:tcBorders>
                              <w:top w:val="single" w:color="D9D9D9" w:sz="2" w:space="0"/>
                              <w:bottom w:val="single" w:color="D9D9D9" w:sz="2" w:space="0"/>
                            </w:tcBorders>
                          </w:tcPr>
                          <w:p w:rsidR="00C31389" w:rsidRDefault="00561FBD" w14:paraId="225D50F6" w14:textId="77777777">
                            <w:pPr>
                              <w:pStyle w:val="TableParagraph"/>
                              <w:spacing w:before="149"/>
                              <w:ind w:left="374" w:right="364"/>
                              <w:jc w:val="center"/>
                              <w:rPr>
                                <w:sz w:val="19"/>
                              </w:rPr>
                            </w:pPr>
                            <w:r>
                              <w:rPr>
                                <w:spacing w:val="-4"/>
                                <w:sz w:val="19"/>
                              </w:rPr>
                              <w:t>3.06</w:t>
                            </w:r>
                          </w:p>
                        </w:tc>
                        <w:tc>
                          <w:tcPr>
                            <w:tcW w:w="1273" w:type="dxa"/>
                            <w:tcBorders>
                              <w:top w:val="single" w:color="D9D9D9" w:sz="2" w:space="0"/>
                              <w:bottom w:val="single" w:color="D9D9D9" w:sz="2" w:space="0"/>
                            </w:tcBorders>
                          </w:tcPr>
                          <w:p w:rsidR="00C31389" w:rsidRDefault="00561FBD" w14:paraId="70F7B10B" w14:textId="77777777">
                            <w:pPr>
                              <w:pStyle w:val="TableParagraph"/>
                              <w:spacing w:before="149"/>
                              <w:ind w:left="122" w:right="136"/>
                              <w:jc w:val="center"/>
                              <w:rPr>
                                <w:sz w:val="19"/>
                              </w:rPr>
                            </w:pPr>
                            <w:r>
                              <w:rPr>
                                <w:spacing w:val="-4"/>
                                <w:sz w:val="19"/>
                              </w:rPr>
                              <w:t>3.33</w:t>
                            </w:r>
                          </w:p>
                        </w:tc>
                        <w:tc>
                          <w:tcPr>
                            <w:tcW w:w="1325" w:type="dxa"/>
                            <w:tcBorders>
                              <w:top w:val="single" w:color="D9D9D9" w:sz="2" w:space="0"/>
                              <w:bottom w:val="single" w:color="D9D9D9" w:sz="2" w:space="0"/>
                            </w:tcBorders>
                          </w:tcPr>
                          <w:p w:rsidR="00C31389" w:rsidRDefault="00561FBD" w14:paraId="694FEC27" w14:textId="77777777">
                            <w:pPr>
                              <w:pStyle w:val="TableParagraph"/>
                              <w:spacing w:before="149"/>
                              <w:ind w:left="93" w:right="123"/>
                              <w:jc w:val="center"/>
                              <w:rPr>
                                <w:sz w:val="19"/>
                              </w:rPr>
                            </w:pPr>
                            <w:r>
                              <w:rPr>
                                <w:spacing w:val="-4"/>
                                <w:sz w:val="19"/>
                              </w:rPr>
                              <w:t>3.13</w:t>
                            </w:r>
                          </w:p>
                        </w:tc>
                      </w:tr>
                      <w:tr w:rsidR="00C31389" w14:paraId="2A70325C" w14:textId="77777777">
                        <w:trPr>
                          <w:trHeight w:val="517"/>
                        </w:trPr>
                        <w:tc>
                          <w:tcPr>
                            <w:tcW w:w="2642" w:type="dxa"/>
                            <w:tcBorders>
                              <w:top w:val="single" w:color="D9D9D9" w:sz="2" w:space="0"/>
                              <w:bottom w:val="single" w:color="D9D9D9" w:sz="2" w:space="0"/>
                            </w:tcBorders>
                          </w:tcPr>
                          <w:p w:rsidR="00C31389" w:rsidRDefault="00561FBD" w14:paraId="005C2512" w14:textId="77777777">
                            <w:pPr>
                              <w:pStyle w:val="TableParagraph"/>
                              <w:tabs>
                                <w:tab w:val="right" w:pos="2191"/>
                              </w:tabs>
                              <w:spacing w:before="39"/>
                              <w:ind w:left="129"/>
                              <w:rPr>
                                <w:sz w:val="19"/>
                              </w:rPr>
                            </w:pPr>
                            <w:r>
                              <w:rPr>
                                <w:spacing w:val="-2"/>
                                <w:sz w:val="19"/>
                              </w:rPr>
                              <w:t>Lifetime</w:t>
                            </w:r>
                            <w:r>
                              <w:rPr>
                                <w:sz w:val="19"/>
                              </w:rPr>
                              <w:tab/>
                            </w:r>
                            <w:r>
                              <w:rPr>
                                <w:spacing w:val="-4"/>
                                <w:position w:val="-10"/>
                                <w:sz w:val="19"/>
                              </w:rPr>
                              <w:t>3.23</w:t>
                            </w:r>
                          </w:p>
                        </w:tc>
                        <w:tc>
                          <w:tcPr>
                            <w:tcW w:w="1076" w:type="dxa"/>
                            <w:tcBorders>
                              <w:top w:val="single" w:color="D9D9D9" w:sz="2" w:space="0"/>
                              <w:bottom w:val="single" w:color="D9D9D9" w:sz="2" w:space="0"/>
                            </w:tcBorders>
                          </w:tcPr>
                          <w:p w:rsidR="00C31389" w:rsidRDefault="00561FBD" w14:paraId="6A06CA6D" w14:textId="77777777">
                            <w:pPr>
                              <w:pStyle w:val="TableParagraph"/>
                              <w:spacing w:before="149"/>
                              <w:ind w:left="164" w:right="188"/>
                              <w:jc w:val="center"/>
                              <w:rPr>
                                <w:sz w:val="19"/>
                              </w:rPr>
                            </w:pPr>
                            <w:r>
                              <w:rPr>
                                <w:spacing w:val="-4"/>
                                <w:sz w:val="19"/>
                              </w:rPr>
                              <w:t>3.27</w:t>
                            </w:r>
                          </w:p>
                        </w:tc>
                        <w:tc>
                          <w:tcPr>
                            <w:tcW w:w="1925" w:type="dxa"/>
                            <w:tcBorders>
                              <w:top w:val="single" w:color="D9D9D9" w:sz="2" w:space="0"/>
                              <w:bottom w:val="single" w:color="D9D9D9" w:sz="2" w:space="0"/>
                            </w:tcBorders>
                          </w:tcPr>
                          <w:p w:rsidR="00C31389" w:rsidRDefault="00561FBD" w14:paraId="21909BDB" w14:textId="77777777">
                            <w:pPr>
                              <w:pStyle w:val="TableParagraph"/>
                              <w:spacing w:before="149"/>
                              <w:ind w:right="780"/>
                              <w:jc w:val="right"/>
                              <w:rPr>
                                <w:sz w:val="19"/>
                              </w:rPr>
                            </w:pPr>
                            <w:r>
                              <w:rPr>
                                <w:spacing w:val="-4"/>
                                <w:sz w:val="19"/>
                              </w:rPr>
                              <w:t>3.60</w:t>
                            </w:r>
                          </w:p>
                        </w:tc>
                        <w:tc>
                          <w:tcPr>
                            <w:tcW w:w="1133" w:type="dxa"/>
                            <w:tcBorders>
                              <w:top w:val="single" w:color="D9D9D9" w:sz="2" w:space="0"/>
                              <w:bottom w:val="single" w:color="D9D9D9" w:sz="2" w:space="0"/>
                            </w:tcBorders>
                          </w:tcPr>
                          <w:p w:rsidR="00C31389" w:rsidRDefault="00561FBD" w14:paraId="43B7E3C5" w14:textId="77777777">
                            <w:pPr>
                              <w:pStyle w:val="TableParagraph"/>
                              <w:spacing w:before="149"/>
                              <w:ind w:left="374" w:right="364"/>
                              <w:jc w:val="center"/>
                              <w:rPr>
                                <w:sz w:val="19"/>
                              </w:rPr>
                            </w:pPr>
                            <w:r>
                              <w:rPr>
                                <w:spacing w:val="-4"/>
                                <w:sz w:val="19"/>
                              </w:rPr>
                              <w:t>2.87</w:t>
                            </w:r>
                          </w:p>
                        </w:tc>
                        <w:tc>
                          <w:tcPr>
                            <w:tcW w:w="1273" w:type="dxa"/>
                            <w:tcBorders>
                              <w:top w:val="single" w:color="D9D9D9" w:sz="2" w:space="0"/>
                              <w:bottom w:val="single" w:color="D9D9D9" w:sz="2" w:space="0"/>
                            </w:tcBorders>
                          </w:tcPr>
                          <w:p w:rsidR="00C31389" w:rsidRDefault="00561FBD" w14:paraId="00A9D3CA" w14:textId="77777777">
                            <w:pPr>
                              <w:pStyle w:val="TableParagraph"/>
                              <w:spacing w:before="149"/>
                              <w:ind w:left="121" w:right="136"/>
                              <w:jc w:val="center"/>
                              <w:rPr>
                                <w:sz w:val="19"/>
                              </w:rPr>
                            </w:pPr>
                            <w:r>
                              <w:rPr>
                                <w:spacing w:val="-4"/>
                                <w:sz w:val="19"/>
                              </w:rPr>
                              <w:t>3.03</w:t>
                            </w:r>
                          </w:p>
                        </w:tc>
                        <w:tc>
                          <w:tcPr>
                            <w:tcW w:w="1325" w:type="dxa"/>
                            <w:tcBorders>
                              <w:top w:val="single" w:color="D9D9D9" w:sz="2" w:space="0"/>
                              <w:bottom w:val="single" w:color="D9D9D9" w:sz="2" w:space="0"/>
                            </w:tcBorders>
                          </w:tcPr>
                          <w:p w:rsidR="00C31389" w:rsidRDefault="00561FBD" w14:paraId="0E2E89FC" w14:textId="77777777">
                            <w:pPr>
                              <w:pStyle w:val="TableParagraph"/>
                              <w:spacing w:before="149"/>
                              <w:ind w:left="93" w:right="123"/>
                              <w:jc w:val="center"/>
                              <w:rPr>
                                <w:sz w:val="19"/>
                              </w:rPr>
                            </w:pPr>
                            <w:r>
                              <w:rPr>
                                <w:spacing w:val="-4"/>
                                <w:sz w:val="19"/>
                              </w:rPr>
                              <w:t>3.28</w:t>
                            </w:r>
                          </w:p>
                        </w:tc>
                      </w:tr>
                    </w:tbl>
                    <w:p w:rsidR="00C31389" w:rsidRDefault="00C31389" w14:paraId="2D48C00A" w14:textId="77777777">
                      <w:pPr>
                        <w:pStyle w:val="BodyText"/>
                      </w:pPr>
                    </w:p>
                  </w:txbxContent>
                </v:textbox>
                <w10:wrap anchorx="page"/>
              </v:shape>
            </w:pict>
          </mc:Fallback>
        </mc:AlternateContent>
      </w:r>
      <w:bookmarkStart w:name="_bookmark139" w:id="188"/>
      <w:bookmarkEnd w:id="188"/>
      <w:r>
        <w:t>Table</w:t>
      </w:r>
      <w:r>
        <w:rPr>
          <w:spacing w:val="-4"/>
        </w:rPr>
        <w:t xml:space="preserve"> </w:t>
      </w:r>
      <w:r>
        <w:t>3-15.</w:t>
      </w:r>
      <w:r>
        <w:rPr>
          <w:spacing w:val="-5"/>
        </w:rPr>
        <w:t xml:space="preserve"> </w:t>
      </w:r>
      <w:r>
        <w:t>Average</w:t>
      </w:r>
      <w:r>
        <w:rPr>
          <w:spacing w:val="-4"/>
        </w:rPr>
        <w:t xml:space="preserve"> </w:t>
      </w:r>
      <w:r>
        <w:t>Importance</w:t>
      </w:r>
      <w:r>
        <w:rPr>
          <w:spacing w:val="-4"/>
        </w:rPr>
        <w:t xml:space="preserve"> </w:t>
      </w:r>
      <w:r>
        <w:t>of</w:t>
      </w:r>
      <w:r>
        <w:rPr>
          <w:spacing w:val="-4"/>
        </w:rPr>
        <w:t xml:space="preserve"> </w:t>
      </w:r>
      <w:r>
        <w:t>Value</w:t>
      </w:r>
      <w:r>
        <w:rPr>
          <w:spacing w:val="-4"/>
        </w:rPr>
        <w:t xml:space="preserve"> </w:t>
      </w:r>
      <w:r>
        <w:t>Factors</w:t>
      </w:r>
      <w:r>
        <w:rPr>
          <w:spacing w:val="-4"/>
        </w:rPr>
        <w:t xml:space="preserve"> </w:t>
      </w:r>
      <w:r>
        <w:t>by</w:t>
      </w:r>
      <w:r>
        <w:rPr>
          <w:spacing w:val="-4"/>
        </w:rPr>
        <w:t xml:space="preserve"> </w:t>
      </w:r>
      <w:r>
        <w:t>Customer</w:t>
      </w:r>
      <w:r>
        <w:rPr>
          <w:spacing w:val="-5"/>
        </w:rPr>
        <w:t xml:space="preserve"> </w:t>
      </w:r>
      <w:r>
        <w:t>Clusters</w:t>
      </w:r>
      <w:r>
        <w:rPr>
          <w:spacing w:val="-4"/>
        </w:rPr>
        <w:t xml:space="preserve"> </w:t>
      </w:r>
      <w:r>
        <w:t>Across</w:t>
      </w:r>
      <w:r>
        <w:rPr>
          <w:spacing w:val="-3"/>
        </w:rPr>
        <w:t xml:space="preserve"> </w:t>
      </w:r>
      <w:r>
        <w:t>All</w:t>
      </w:r>
      <w:r>
        <w:rPr>
          <w:spacing w:val="-4"/>
        </w:rPr>
        <w:t xml:space="preserve"> </w:t>
      </w:r>
      <w:r>
        <w:t xml:space="preserve">EE </w:t>
      </w:r>
      <w:r>
        <w:rPr>
          <w:spacing w:val="-2"/>
        </w:rPr>
        <w:t>Measures</w:t>
      </w:r>
    </w:p>
    <w:p w:rsidR="00C31389" w:rsidRDefault="00561FBD" w14:paraId="307EEB87" w14:textId="77777777">
      <w:pPr>
        <w:pStyle w:val="BodyText"/>
        <w:spacing w:before="4"/>
        <w:rPr>
          <w:b/>
          <w:sz w:val="8"/>
        </w:rPr>
      </w:pPr>
      <w:r>
        <w:rPr>
          <w:noProof/>
        </w:rPr>
        <mc:AlternateContent>
          <mc:Choice Requires="wps">
            <w:drawing>
              <wp:anchor distT="0" distB="0" distL="0" distR="0" simplePos="0" relativeHeight="487636992" behindDoc="1" locked="0" layoutInCell="1" allowOverlap="1" wp14:editId="594A5EB6" wp14:anchorId="3A293105">
                <wp:simplePos x="0" y="0"/>
                <wp:positionH relativeFrom="page">
                  <wp:posOffset>914400</wp:posOffset>
                </wp:positionH>
                <wp:positionV relativeFrom="paragraph">
                  <wp:posOffset>76563</wp:posOffset>
                </wp:positionV>
                <wp:extent cx="5943600" cy="473709"/>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73709"/>
                        </a:xfrm>
                        <a:custGeom>
                          <a:avLst/>
                          <a:gdLst/>
                          <a:ahLst/>
                          <a:cxnLst/>
                          <a:rect l="l" t="t" r="r" b="b"/>
                          <a:pathLst>
                            <a:path w="5943600" h="473709">
                              <a:moveTo>
                                <a:pt x="5943600" y="0"/>
                              </a:moveTo>
                              <a:lnTo>
                                <a:pt x="5943600" y="0"/>
                              </a:lnTo>
                              <a:lnTo>
                                <a:pt x="0" y="0"/>
                              </a:lnTo>
                              <a:lnTo>
                                <a:pt x="0" y="467106"/>
                              </a:lnTo>
                              <a:lnTo>
                                <a:pt x="0" y="473202"/>
                              </a:lnTo>
                              <a:lnTo>
                                <a:pt x="874776" y="473202"/>
                              </a:lnTo>
                              <a:lnTo>
                                <a:pt x="880872" y="473202"/>
                              </a:lnTo>
                              <a:lnTo>
                                <a:pt x="1655826" y="473202"/>
                              </a:lnTo>
                              <a:lnTo>
                                <a:pt x="1661909" y="473202"/>
                              </a:lnTo>
                              <a:lnTo>
                                <a:pt x="1661909" y="467106"/>
                              </a:lnTo>
                              <a:lnTo>
                                <a:pt x="1661922" y="473202"/>
                              </a:lnTo>
                              <a:lnTo>
                                <a:pt x="2347722" y="473202"/>
                              </a:lnTo>
                              <a:lnTo>
                                <a:pt x="5943600" y="473202"/>
                              </a:lnTo>
                              <a:lnTo>
                                <a:pt x="5943600" y="467106"/>
                              </a:lnTo>
                              <a:lnTo>
                                <a:pt x="5943600" y="0"/>
                              </a:lnTo>
                              <a:close/>
                            </a:path>
                          </a:pathLst>
                        </a:custGeom>
                        <a:solidFill>
                          <a:srgbClr val="92D400"/>
                        </a:solidFill>
                      </wps:spPr>
                      <wps:bodyPr wrap="square" lIns="0" tIns="0" rIns="0" bIns="0" rtlCol="0">
                        <a:prstTxWarp prst="textNoShape">
                          <a:avLst/>
                        </a:prstTxWarp>
                        <a:noAutofit/>
                      </wps:bodyPr>
                    </wps:wsp>
                  </a:graphicData>
                </a:graphic>
              </wp:anchor>
            </w:drawing>
          </mc:Choice>
          <mc:Fallback>
            <w:pict>
              <v:shape id="Graphic 328" style="position:absolute;margin-left:1in;margin-top:6.05pt;width:468pt;height:37.3pt;z-index:-15679488;visibility:visible;mso-wrap-style:square;mso-wrap-distance-left:0;mso-wrap-distance-top:0;mso-wrap-distance-right:0;mso-wrap-distance-bottom:0;mso-position-horizontal:absolute;mso-position-horizontal-relative:page;mso-position-vertical:absolute;mso-position-vertical-relative:text;v-text-anchor:top" coordsize="5943600,473709" o:spid="_x0000_s1026" fillcolor="#92d400" stroked="f" path="m5943600,r,l,,,467106r,6096l874776,473202r6096,l1655826,473202r6083,l1661909,467106r13,6096l2347722,473202r3595878,l5943600,467106,594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" w14:anchorId="534A9C01">
                <v:path arrowok="t"/>
                <w10:wrap type="topAndBottom" anchorx="page"/>
              </v:shape>
            </w:pict>
          </mc:Fallback>
        </mc:AlternateContent>
      </w:r>
    </w:p>
    <w:p w:rsidR="00C31389" w:rsidRDefault="00C31389" w14:paraId="101E5697" w14:textId="77777777">
      <w:pPr>
        <w:pStyle w:val="BodyText"/>
        <w:rPr>
          <w:b/>
          <w:sz w:val="24"/>
        </w:rPr>
      </w:pPr>
    </w:p>
    <w:p w:rsidR="00C31389" w:rsidRDefault="00C31389" w14:paraId="76EC8956" w14:textId="77777777">
      <w:pPr>
        <w:pStyle w:val="BodyText"/>
        <w:spacing w:before="10"/>
        <w:rPr>
          <w:b/>
          <w:sz w:val="24"/>
        </w:rPr>
      </w:pPr>
    </w:p>
    <w:p w:rsidR="00C31389" w:rsidRDefault="00561FBD" w14:paraId="6B5DA811" w14:textId="77777777">
      <w:pPr>
        <w:spacing w:line="573" w:lineRule="auto"/>
        <w:ind w:left="595" w:right="9178"/>
        <w:rPr>
          <w:sz w:val="19"/>
        </w:rPr>
      </w:pPr>
      <w:r>
        <w:rPr>
          <w:spacing w:val="-2"/>
          <w:sz w:val="19"/>
        </w:rPr>
        <w:t>Factor Costs</w:t>
      </w:r>
    </w:p>
    <w:p w:rsidR="00C31389" w:rsidRDefault="00C31389" w14:paraId="03058FE3" w14:textId="77777777">
      <w:pPr>
        <w:pStyle w:val="BodyText"/>
        <w:rPr>
          <w:sz w:val="20"/>
        </w:rPr>
      </w:pPr>
    </w:p>
    <w:p w:rsidR="00C31389" w:rsidRDefault="00561FBD" w14:paraId="076DA6C0" w14:textId="77777777">
      <w:pPr>
        <w:pStyle w:val="BodyText"/>
        <w:spacing w:before="9"/>
        <w:rPr>
          <w:sz w:val="29"/>
        </w:rPr>
      </w:pPr>
      <w:r>
        <w:rPr>
          <w:noProof/>
        </w:rPr>
        <mc:AlternateContent>
          <mc:Choice Requires="wps">
            <w:drawing>
              <wp:anchor distT="0" distB="0" distL="0" distR="0" simplePos="0" relativeHeight="487637504" behindDoc="1" locked="0" layoutInCell="1" allowOverlap="1" wp14:editId="1539565F" wp14:anchorId="15205A6A">
                <wp:simplePos x="0" y="0"/>
                <wp:positionH relativeFrom="page">
                  <wp:posOffset>914400</wp:posOffset>
                </wp:positionH>
                <wp:positionV relativeFrom="paragraph">
                  <wp:posOffset>232997</wp:posOffset>
                </wp:positionV>
                <wp:extent cx="1828800" cy="6985"/>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9" style="position:absolute;margin-left:1in;margin-top:18.35pt;width:2in;height:.55pt;z-index:-1567897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" w14:anchorId="2386270C">
                <v:path arrowok="t"/>
                <w10:wrap type="topAndBottom" anchorx="page"/>
              </v:shape>
            </w:pict>
          </mc:Fallback>
        </mc:AlternateContent>
      </w:r>
    </w:p>
    <w:p w:rsidR="00C31389" w:rsidRDefault="00561FBD" w14:paraId="14A2B878" w14:textId="77777777">
      <w:pPr>
        <w:spacing w:before="89"/>
        <w:ind w:left="480"/>
        <w:rPr>
          <w:sz w:val="18"/>
        </w:rPr>
      </w:pPr>
      <w:bookmarkStart w:name="_bookmark140" w:id="189"/>
      <w:bookmarkEnd w:id="189"/>
      <w:r>
        <w:rPr>
          <w:position w:val="6"/>
          <w:sz w:val="12"/>
        </w:rPr>
        <w:t>41</w:t>
      </w:r>
      <w:r>
        <w:rPr>
          <w:spacing w:val="14"/>
          <w:position w:val="6"/>
          <w:sz w:val="12"/>
        </w:rPr>
        <w:t xml:space="preserve"> </w:t>
      </w:r>
      <w:hyperlink r:id="rId122">
        <w:r>
          <w:rPr>
            <w:color w:val="68942C"/>
            <w:sz w:val="18"/>
            <w:u w:val="single" w:color="68942C"/>
          </w:rPr>
          <w:t>2023</w:t>
        </w:r>
        <w:r>
          <w:rPr>
            <w:color w:val="68942C"/>
            <w:spacing w:val="-2"/>
            <w:sz w:val="18"/>
            <w:u w:val="single" w:color="68942C"/>
          </w:rPr>
          <w:t xml:space="preserve"> </w:t>
        </w:r>
        <w:r>
          <w:rPr>
            <w:color w:val="68942C"/>
            <w:sz w:val="18"/>
            <w:u w:val="single" w:color="68942C"/>
          </w:rPr>
          <w:t>CPUC</w:t>
        </w:r>
        <w:r>
          <w:rPr>
            <w:color w:val="68942C"/>
            <w:spacing w:val="-2"/>
            <w:sz w:val="18"/>
            <w:u w:val="single" w:color="68942C"/>
          </w:rPr>
          <w:t xml:space="preserve"> </w:t>
        </w:r>
        <w:r>
          <w:rPr>
            <w:color w:val="68942C"/>
            <w:sz w:val="18"/>
            <w:u w:val="single" w:color="68942C"/>
          </w:rPr>
          <w:t>Potential</w:t>
        </w:r>
        <w:r>
          <w:rPr>
            <w:color w:val="68942C"/>
            <w:spacing w:val="-3"/>
            <w:sz w:val="18"/>
            <w:u w:val="single" w:color="68942C"/>
          </w:rPr>
          <w:t xml:space="preserve"> </w:t>
        </w:r>
        <w:r>
          <w:rPr>
            <w:color w:val="68942C"/>
            <w:sz w:val="18"/>
            <w:u w:val="single" w:color="68942C"/>
          </w:rPr>
          <w:t>and</w:t>
        </w:r>
        <w:r>
          <w:rPr>
            <w:color w:val="68942C"/>
            <w:spacing w:val="-2"/>
            <w:sz w:val="18"/>
            <w:u w:val="single" w:color="68942C"/>
          </w:rPr>
          <w:t xml:space="preserve"> </w:t>
        </w:r>
        <w:r>
          <w:rPr>
            <w:color w:val="68942C"/>
            <w:sz w:val="18"/>
            <w:u w:val="single" w:color="68942C"/>
          </w:rPr>
          <w:t>Goals</w:t>
        </w:r>
        <w:r>
          <w:rPr>
            <w:color w:val="68942C"/>
            <w:spacing w:val="-2"/>
            <w:sz w:val="18"/>
            <w:u w:val="single" w:color="68942C"/>
          </w:rPr>
          <w:t xml:space="preserve"> </w:t>
        </w:r>
        <w:r>
          <w:rPr>
            <w:color w:val="68942C"/>
            <w:sz w:val="18"/>
            <w:u w:val="single" w:color="68942C"/>
          </w:rPr>
          <w:t>Study</w:t>
        </w:r>
        <w:r>
          <w:rPr>
            <w:color w:val="68942C"/>
            <w:spacing w:val="-2"/>
            <w:sz w:val="18"/>
            <w:u w:val="single" w:color="68942C"/>
          </w:rPr>
          <w:t xml:space="preserve"> website</w:t>
        </w:r>
        <w:r>
          <w:rPr>
            <w:color w:val="68942C"/>
            <w:spacing w:val="-2"/>
            <w:sz w:val="18"/>
          </w:rPr>
          <w:t>.</w:t>
        </w:r>
      </w:hyperlink>
    </w:p>
    <w:p w:rsidR="00C31389" w:rsidRDefault="00561FBD" w14:paraId="418B9E37" w14:textId="77777777">
      <w:pPr>
        <w:spacing w:before="35"/>
        <w:ind w:left="479" w:right="533"/>
        <w:rPr>
          <w:sz w:val="18"/>
        </w:rPr>
      </w:pPr>
      <w:bookmarkStart w:name="_bookmark141" w:id="190"/>
      <w:bookmarkEnd w:id="190"/>
      <w:r>
        <w:rPr>
          <w:position w:val="6"/>
          <w:sz w:val="12"/>
        </w:rPr>
        <w:t>42</w:t>
      </w:r>
      <w:r>
        <w:rPr>
          <w:spacing w:val="15"/>
          <w:position w:val="6"/>
          <w:sz w:val="12"/>
        </w:rPr>
        <w:t xml:space="preserve"> </w:t>
      </w:r>
      <w:r>
        <w:rPr>
          <w:sz w:val="18"/>
        </w:rPr>
        <w:t>Ordinal</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non-metric</w:t>
      </w:r>
      <w:r>
        <w:rPr>
          <w:spacing w:val="-2"/>
          <w:sz w:val="18"/>
        </w:rPr>
        <w:t xml:space="preserve"> </w:t>
      </w:r>
      <w:r>
        <w:rPr>
          <w:sz w:val="18"/>
        </w:rPr>
        <w:t>scale</w:t>
      </w:r>
      <w:r>
        <w:rPr>
          <w:spacing w:val="-3"/>
          <w:sz w:val="18"/>
        </w:rPr>
        <w:t xml:space="preserve"> </w:t>
      </w:r>
      <w:r>
        <w:rPr>
          <w:sz w:val="18"/>
        </w:rPr>
        <w:t>and</w:t>
      </w:r>
      <w:r>
        <w:rPr>
          <w:spacing w:val="-2"/>
          <w:sz w:val="18"/>
        </w:rPr>
        <w:t xml:space="preserve"> </w:t>
      </w:r>
      <w:r>
        <w:rPr>
          <w:sz w:val="18"/>
        </w:rPr>
        <w:t>cannot</w:t>
      </w:r>
      <w:r>
        <w:rPr>
          <w:spacing w:val="-2"/>
          <w:sz w:val="18"/>
        </w:rPr>
        <w:t xml:space="preserve"> </w:t>
      </w:r>
      <w:r>
        <w:rPr>
          <w:sz w:val="18"/>
        </w:rPr>
        <w:t>be</w:t>
      </w:r>
      <w:r>
        <w:rPr>
          <w:spacing w:val="-3"/>
          <w:sz w:val="18"/>
        </w:rPr>
        <w:t xml:space="preserve"> </w:t>
      </w:r>
      <w:r>
        <w:rPr>
          <w:sz w:val="18"/>
        </w:rPr>
        <w:t>used</w:t>
      </w:r>
      <w:r>
        <w:rPr>
          <w:spacing w:val="-3"/>
          <w:sz w:val="18"/>
        </w:rPr>
        <w:t xml:space="preserve"> </w:t>
      </w:r>
      <w:r>
        <w:rPr>
          <w:sz w:val="18"/>
        </w:rPr>
        <w:t>for</w:t>
      </w:r>
      <w:r>
        <w:rPr>
          <w:spacing w:val="-2"/>
          <w:sz w:val="18"/>
        </w:rPr>
        <w:t xml:space="preserve"> </w:t>
      </w:r>
      <w:r>
        <w:rPr>
          <w:sz w:val="18"/>
        </w:rPr>
        <w:t>analysis.</w:t>
      </w:r>
      <w:r>
        <w:rPr>
          <w:spacing w:val="-2"/>
          <w:sz w:val="18"/>
        </w:rPr>
        <w:t xml:space="preserve"> </w:t>
      </w:r>
      <w:r>
        <w:rPr>
          <w:sz w:val="18"/>
        </w:rPr>
        <w:t>The</w:t>
      </w:r>
      <w:r>
        <w:rPr>
          <w:spacing w:val="-3"/>
          <w:sz w:val="18"/>
        </w:rPr>
        <w:t xml:space="preserve"> </w:t>
      </w:r>
      <w:r>
        <w:rPr>
          <w:sz w:val="18"/>
        </w:rPr>
        <w:t>survey</w:t>
      </w:r>
      <w:r>
        <w:rPr>
          <w:spacing w:val="-2"/>
          <w:sz w:val="18"/>
        </w:rPr>
        <w:t xml:space="preserve"> </w:t>
      </w:r>
      <w:r>
        <w:rPr>
          <w:sz w:val="18"/>
        </w:rPr>
        <w:t>responses</w:t>
      </w:r>
      <w:r>
        <w:rPr>
          <w:spacing w:val="-1"/>
          <w:sz w:val="18"/>
        </w:rPr>
        <w:t xml:space="preserve"> </w:t>
      </w:r>
      <w:r>
        <w:rPr>
          <w:sz w:val="18"/>
        </w:rPr>
        <w:t>are</w:t>
      </w:r>
      <w:r>
        <w:rPr>
          <w:spacing w:val="-1"/>
          <w:sz w:val="18"/>
        </w:rPr>
        <w:t xml:space="preserve"> </w:t>
      </w:r>
      <w:r>
        <w:rPr>
          <w:sz w:val="18"/>
        </w:rPr>
        <w:t>transformed</w:t>
      </w:r>
      <w:r>
        <w:rPr>
          <w:spacing w:val="-3"/>
          <w:sz w:val="18"/>
        </w:rPr>
        <w:t xml:space="preserve"> </w:t>
      </w:r>
      <w:r>
        <w:rPr>
          <w:sz w:val="18"/>
        </w:rPr>
        <w:t>to</w:t>
      </w:r>
      <w:r>
        <w:rPr>
          <w:spacing w:val="-1"/>
          <w:sz w:val="18"/>
        </w:rPr>
        <w:t xml:space="preserve"> </w:t>
      </w:r>
      <w:r>
        <w:rPr>
          <w:sz w:val="18"/>
        </w:rPr>
        <w:t>a numerical value, ordinal -to-metric.</w:t>
      </w:r>
    </w:p>
    <w:p w:rsidR="00C31389" w:rsidRDefault="00C31389" w14:paraId="24416B47" w14:textId="77777777">
      <w:pPr>
        <w:rPr>
          <w:sz w:val="18"/>
        </w:rPr>
        <w:sectPr w:rsidR="00C31389">
          <w:pgSz w:w="12240" w:h="15840"/>
          <w:pgMar w:top="1380" w:right="960" w:bottom="1120" w:left="960" w:header="397" w:footer="936" w:gutter="0"/>
          <w:cols w:space="720"/>
        </w:sectPr>
      </w:pPr>
    </w:p>
    <w:p w:rsidR="00C31389" w:rsidRDefault="00C31389" w14:paraId="7CBD42EE" w14:textId="77777777">
      <w:pPr>
        <w:pStyle w:val="BodyText"/>
      </w:pPr>
    </w:p>
    <w:p w:rsidR="00C31389" w:rsidRDefault="00561FBD" w14:paraId="1A6C01A6" w14:textId="77777777">
      <w:pPr>
        <w:pStyle w:val="BodyText"/>
        <w:spacing w:before="9"/>
        <w:rPr>
          <w:sz w:val="19"/>
        </w:rPr>
      </w:pPr>
      <w:r>
        <w:rPr>
          <w:noProof/>
        </w:rPr>
        <mc:AlternateContent>
          <mc:Choice Requires="wps">
            <w:drawing>
              <wp:anchor distT="0" distB="0" distL="0" distR="0" simplePos="0" relativeHeight="487639040" behindDoc="1" locked="0" layoutInCell="1" allowOverlap="1" wp14:editId="162FFE48" wp14:anchorId="1E78AA75">
                <wp:simplePos x="0" y="0"/>
                <wp:positionH relativeFrom="page">
                  <wp:posOffset>914400</wp:posOffset>
                </wp:positionH>
                <wp:positionV relativeFrom="paragraph">
                  <wp:posOffset>160273</wp:posOffset>
                </wp:positionV>
                <wp:extent cx="5943600" cy="473709"/>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73709"/>
                        </a:xfrm>
                        <a:custGeom>
                          <a:avLst/>
                          <a:gdLst/>
                          <a:ahLst/>
                          <a:cxnLst/>
                          <a:rect l="l" t="t" r="r" b="b"/>
                          <a:pathLst>
                            <a:path w="5943600" h="473709">
                              <a:moveTo>
                                <a:pt x="5943600" y="0"/>
                              </a:moveTo>
                              <a:lnTo>
                                <a:pt x="5943600" y="0"/>
                              </a:lnTo>
                              <a:lnTo>
                                <a:pt x="0" y="0"/>
                              </a:lnTo>
                              <a:lnTo>
                                <a:pt x="0" y="467106"/>
                              </a:lnTo>
                              <a:lnTo>
                                <a:pt x="0" y="473202"/>
                              </a:lnTo>
                              <a:lnTo>
                                <a:pt x="874776" y="473202"/>
                              </a:lnTo>
                              <a:lnTo>
                                <a:pt x="880872" y="473202"/>
                              </a:lnTo>
                              <a:lnTo>
                                <a:pt x="1655826" y="473202"/>
                              </a:lnTo>
                              <a:lnTo>
                                <a:pt x="1661909" y="473202"/>
                              </a:lnTo>
                              <a:lnTo>
                                <a:pt x="1661909" y="467106"/>
                              </a:lnTo>
                              <a:lnTo>
                                <a:pt x="1661922" y="473202"/>
                              </a:lnTo>
                              <a:lnTo>
                                <a:pt x="2347722" y="473202"/>
                              </a:lnTo>
                              <a:lnTo>
                                <a:pt x="5943600" y="473202"/>
                              </a:lnTo>
                              <a:lnTo>
                                <a:pt x="5943600" y="467106"/>
                              </a:lnTo>
                              <a:lnTo>
                                <a:pt x="5943600" y="0"/>
                              </a:lnTo>
                              <a:close/>
                            </a:path>
                          </a:pathLst>
                        </a:custGeom>
                        <a:solidFill>
                          <a:srgbClr val="92D400"/>
                        </a:solidFill>
                      </wps:spPr>
                      <wps:bodyPr wrap="square" lIns="0" tIns="0" rIns="0" bIns="0" rtlCol="0">
                        <a:prstTxWarp prst="textNoShape">
                          <a:avLst/>
                        </a:prstTxWarp>
                        <a:noAutofit/>
                      </wps:bodyPr>
                    </wps:wsp>
                  </a:graphicData>
                </a:graphic>
              </wp:anchor>
            </w:drawing>
          </mc:Choice>
          <mc:Fallback>
            <w:pict>
              <v:shape id="Graphic 332" style="position:absolute;margin-left:1in;margin-top:12.6pt;width:468pt;height:37.3pt;z-index:-15677440;visibility:visible;mso-wrap-style:square;mso-wrap-distance-left:0;mso-wrap-distance-top:0;mso-wrap-distance-right:0;mso-wrap-distance-bottom:0;mso-position-horizontal:absolute;mso-position-horizontal-relative:page;mso-position-vertical:absolute;mso-position-vertical-relative:text;v-text-anchor:top" coordsize="5943600,473709" o:spid="_x0000_s1026" fillcolor="#92d400" stroked="f" path="m5943600,r,l,,,467106r,6096l874776,473202r6096,l1655826,473202r6083,l1661909,467106r13,6096l2347722,473202r3595878,l5943600,467106,594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" w14:anchorId="08A4C062">
                <v:path arrowok="t"/>
                <w10:wrap type="topAndBottom" anchorx="page"/>
              </v:shape>
            </w:pict>
          </mc:Fallback>
        </mc:AlternateContent>
      </w:r>
    </w:p>
    <w:p w:rsidR="00C31389" w:rsidRDefault="00C31389" w14:paraId="3C880516" w14:textId="77777777">
      <w:pPr>
        <w:pStyle w:val="BodyText"/>
        <w:rPr>
          <w:sz w:val="20"/>
        </w:rPr>
      </w:pPr>
    </w:p>
    <w:p w:rsidR="00C31389" w:rsidRDefault="00C31389" w14:paraId="4937F748" w14:textId="77777777">
      <w:pPr>
        <w:pStyle w:val="BodyText"/>
        <w:rPr>
          <w:sz w:val="20"/>
        </w:rPr>
      </w:pPr>
    </w:p>
    <w:p w:rsidR="00C31389" w:rsidRDefault="00C31389" w14:paraId="03165A47" w14:textId="77777777">
      <w:pPr>
        <w:pStyle w:val="BodyText"/>
        <w:rPr>
          <w:sz w:val="20"/>
        </w:rPr>
      </w:pPr>
    </w:p>
    <w:p w:rsidR="00C31389" w:rsidRDefault="00C31389" w14:paraId="0B921676" w14:textId="77777777">
      <w:pPr>
        <w:pStyle w:val="BodyText"/>
        <w:spacing w:before="1"/>
        <w:rPr>
          <w:sz w:val="21"/>
        </w:rPr>
      </w:pPr>
    </w:p>
    <w:p w:rsidR="00C31389" w:rsidRDefault="00561FBD" w14:paraId="7E7456FA" w14:textId="77777777">
      <w:pPr>
        <w:spacing w:before="94"/>
        <w:ind w:left="595"/>
        <w:rPr>
          <w:sz w:val="19"/>
        </w:rPr>
      </w:pPr>
      <w:r>
        <w:rPr>
          <w:noProof/>
        </w:rPr>
        <mc:AlternateContent>
          <mc:Choice Requires="wps">
            <w:drawing>
              <wp:anchor distT="0" distB="0" distL="0" distR="0" simplePos="0" relativeHeight="15782912" behindDoc="0" locked="0" layoutInCell="1" allowOverlap="1" wp14:editId="4E63ED83" wp14:anchorId="4A3AD756">
                <wp:simplePos x="0" y="0"/>
                <wp:positionH relativeFrom="page">
                  <wp:posOffset>823722</wp:posOffset>
                </wp:positionH>
                <wp:positionV relativeFrom="paragraph">
                  <wp:posOffset>-1036514</wp:posOffset>
                </wp:positionV>
                <wp:extent cx="6116955" cy="162306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955" cy="16230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710"/>
                              <w:gridCol w:w="1076"/>
                              <w:gridCol w:w="1925"/>
                              <w:gridCol w:w="1133"/>
                              <w:gridCol w:w="1273"/>
                              <w:gridCol w:w="1394"/>
                            </w:tblGrid>
                            <w:tr w:rsidR="00C31389" w14:paraId="3B17D4ED" w14:textId="77777777">
                              <w:trPr>
                                <w:trHeight w:val="1430"/>
                              </w:trPr>
                              <w:tc>
                                <w:tcPr>
                                  <w:tcW w:w="2710" w:type="dxa"/>
                                  <w:tcBorders>
                                    <w:bottom w:val="single" w:color="D9D9D9" w:sz="2" w:space="0"/>
                                  </w:tcBorders>
                                </w:tcPr>
                                <w:p w:rsidR="00C31389" w:rsidRDefault="00561FBD" w14:paraId="0FF92BC8" w14:textId="77777777">
                                  <w:pPr>
                                    <w:pStyle w:val="TableParagraph"/>
                                    <w:tabs>
                                      <w:tab w:val="left" w:pos="1699"/>
                                    </w:tabs>
                                    <w:spacing w:before="103" w:line="274" w:lineRule="exact"/>
                                    <w:ind w:left="198"/>
                                    <w:rPr>
                                      <w:b/>
                                      <w:sz w:val="19"/>
                                    </w:rPr>
                                  </w:pPr>
                                  <w:r>
                                    <w:rPr>
                                      <w:b/>
                                      <w:sz w:val="19"/>
                                    </w:rPr>
                                    <w:t>Value</w:t>
                                  </w:r>
                                  <w:r>
                                    <w:rPr>
                                      <w:b/>
                                      <w:spacing w:val="-7"/>
                                      <w:sz w:val="19"/>
                                    </w:rPr>
                                    <w:t xml:space="preserve"> </w:t>
                                  </w:r>
                                  <w:r>
                                    <w:rPr>
                                      <w:b/>
                                      <w:spacing w:val="-2"/>
                                      <w:sz w:val="19"/>
                                    </w:rPr>
                                    <w:t>Factor</w:t>
                                  </w:r>
                                  <w:r>
                                    <w:rPr>
                                      <w:b/>
                                      <w:sz w:val="19"/>
                                    </w:rPr>
                                    <w:tab/>
                                  </w:r>
                                  <w:r>
                                    <w:rPr>
                                      <w:b/>
                                      <w:spacing w:val="-2"/>
                                      <w:position w:val="11"/>
                                      <w:sz w:val="19"/>
                                    </w:rPr>
                                    <w:t>Average</w:t>
                                  </w:r>
                                </w:p>
                                <w:p w:rsidR="00C31389" w:rsidRDefault="00561FBD" w14:paraId="65114A28" w14:textId="77777777">
                                  <w:pPr>
                                    <w:pStyle w:val="TableParagraph"/>
                                    <w:spacing w:before="0" w:line="164" w:lineRule="exact"/>
                                    <w:ind w:left="1588"/>
                                    <w:rPr>
                                      <w:b/>
                                      <w:sz w:val="19"/>
                                    </w:rPr>
                                  </w:pPr>
                                  <w:r>
                                    <w:rPr>
                                      <w:b/>
                                      <w:spacing w:val="-2"/>
                                      <w:sz w:val="19"/>
                                    </w:rPr>
                                    <w:t>Americans</w:t>
                                  </w:r>
                                </w:p>
                                <w:p w:rsidR="00C31389" w:rsidRDefault="00C31389" w14:paraId="6356CAB4" w14:textId="77777777">
                                  <w:pPr>
                                    <w:pStyle w:val="TableParagraph"/>
                                    <w:spacing w:before="9"/>
                                    <w:rPr>
                                      <w:sz w:val="16"/>
                                    </w:rPr>
                                  </w:pPr>
                                </w:p>
                                <w:p w:rsidR="00C31389" w:rsidRDefault="00561FBD" w14:paraId="13AB43FE" w14:textId="77777777">
                                  <w:pPr>
                                    <w:pStyle w:val="TableParagraph"/>
                                    <w:spacing w:before="0"/>
                                    <w:ind w:left="198"/>
                                    <w:rPr>
                                      <w:sz w:val="19"/>
                                    </w:rPr>
                                  </w:pPr>
                                  <w:r>
                                    <w:rPr>
                                      <w:spacing w:val="-4"/>
                                      <w:sz w:val="19"/>
                                    </w:rPr>
                                    <w:t>Non-</w:t>
                                  </w:r>
                                </w:p>
                                <w:p w:rsidR="00C31389" w:rsidRDefault="00561FBD" w14:paraId="2C5C30A1" w14:textId="77777777">
                                  <w:pPr>
                                    <w:pStyle w:val="TableParagraph"/>
                                    <w:tabs>
                                      <w:tab w:val="right" w:pos="2259"/>
                                    </w:tabs>
                                    <w:spacing w:before="1"/>
                                    <w:ind w:left="198"/>
                                    <w:rPr>
                                      <w:sz w:val="19"/>
                                    </w:rPr>
                                  </w:pPr>
                                  <w:r>
                                    <w:rPr>
                                      <w:spacing w:val="-2"/>
                                      <w:sz w:val="19"/>
                                    </w:rPr>
                                    <w:t>Consumption</w:t>
                                  </w:r>
                                  <w:r>
                                    <w:rPr>
                                      <w:sz w:val="19"/>
                                    </w:rPr>
                                    <w:tab/>
                                  </w:r>
                                  <w:r>
                                    <w:rPr>
                                      <w:spacing w:val="-4"/>
                                      <w:sz w:val="19"/>
                                    </w:rPr>
                                    <w:t>2.97</w:t>
                                  </w:r>
                                </w:p>
                                <w:p w:rsidR="00C31389" w:rsidRDefault="00561FBD" w14:paraId="67C263A8" w14:textId="77777777">
                                  <w:pPr>
                                    <w:pStyle w:val="TableParagraph"/>
                                    <w:spacing w:before="0"/>
                                    <w:ind w:left="198"/>
                                    <w:rPr>
                                      <w:sz w:val="19"/>
                                    </w:rPr>
                                  </w:pPr>
                                  <w:r>
                                    <w:rPr>
                                      <w:spacing w:val="-2"/>
                                      <w:sz w:val="19"/>
                                    </w:rPr>
                                    <w:t>Performance</w:t>
                                  </w:r>
                                </w:p>
                              </w:tc>
                              <w:tc>
                                <w:tcPr>
                                  <w:tcW w:w="1076" w:type="dxa"/>
                                  <w:tcBorders>
                                    <w:bottom w:val="single" w:color="D9D9D9" w:sz="2" w:space="0"/>
                                  </w:tcBorders>
                                </w:tcPr>
                                <w:p w:rsidR="00C31389" w:rsidRDefault="00561FBD" w14:paraId="277615B3" w14:textId="77777777">
                                  <w:pPr>
                                    <w:pStyle w:val="TableParagraph"/>
                                    <w:spacing w:before="102"/>
                                    <w:ind w:left="107" w:right="130" w:hanging="1"/>
                                    <w:jc w:val="center"/>
                                    <w:rPr>
                                      <w:b/>
                                      <w:sz w:val="19"/>
                                    </w:rPr>
                                  </w:pPr>
                                  <w:r>
                                    <w:rPr>
                                      <w:b/>
                                      <w:spacing w:val="-2"/>
                                      <w:sz w:val="19"/>
                                    </w:rPr>
                                    <w:t>Eager Adopters</w:t>
                                  </w:r>
                                </w:p>
                                <w:p w:rsidR="00C31389" w:rsidRDefault="00C31389" w14:paraId="782B3C8E" w14:textId="77777777">
                                  <w:pPr>
                                    <w:pStyle w:val="TableParagraph"/>
                                    <w:spacing w:before="0"/>
                                    <w:rPr>
                                      <w:sz w:val="20"/>
                                    </w:rPr>
                                  </w:pPr>
                                </w:p>
                                <w:p w:rsidR="00C31389" w:rsidRDefault="00C31389" w14:paraId="2DBF0D32" w14:textId="77777777">
                                  <w:pPr>
                                    <w:pStyle w:val="TableParagraph"/>
                                    <w:spacing w:before="0"/>
                                    <w:rPr>
                                      <w:sz w:val="16"/>
                                    </w:rPr>
                                  </w:pPr>
                                </w:p>
                                <w:p w:rsidR="00C31389" w:rsidRDefault="00561FBD" w14:paraId="156A0983" w14:textId="77777777">
                                  <w:pPr>
                                    <w:pStyle w:val="TableParagraph"/>
                                    <w:spacing w:before="0"/>
                                    <w:ind w:left="165" w:right="188"/>
                                    <w:jc w:val="center"/>
                                    <w:rPr>
                                      <w:sz w:val="19"/>
                                    </w:rPr>
                                  </w:pPr>
                                  <w:r>
                                    <w:rPr>
                                      <w:spacing w:val="-4"/>
                                      <w:sz w:val="19"/>
                                    </w:rPr>
                                    <w:t>3.09</w:t>
                                  </w:r>
                                </w:p>
                              </w:tc>
                              <w:tc>
                                <w:tcPr>
                                  <w:tcW w:w="1925" w:type="dxa"/>
                                  <w:tcBorders>
                                    <w:bottom w:val="single" w:color="D9D9D9" w:sz="2" w:space="0"/>
                                  </w:tcBorders>
                                </w:tcPr>
                                <w:p w:rsidR="00C31389" w:rsidRDefault="00561FBD" w14:paraId="1FFBB1F8" w14:textId="77777777">
                                  <w:pPr>
                                    <w:pStyle w:val="TableParagraph"/>
                                    <w:spacing w:before="0"/>
                                    <w:ind w:left="132" w:right="141"/>
                                    <w:jc w:val="center"/>
                                    <w:rPr>
                                      <w:b/>
                                      <w:sz w:val="19"/>
                                    </w:rPr>
                                  </w:pPr>
                                  <w:r>
                                    <w:rPr>
                                      <w:b/>
                                      <w:spacing w:val="-2"/>
                                      <w:sz w:val="19"/>
                                    </w:rPr>
                                    <w:t>Economically Strained Environmentalists</w:t>
                                  </w:r>
                                </w:p>
                                <w:p w:rsidR="00C31389" w:rsidRDefault="00C31389" w14:paraId="15E74698" w14:textId="77777777">
                                  <w:pPr>
                                    <w:pStyle w:val="TableParagraph"/>
                                    <w:spacing w:before="10"/>
                                    <w:rPr>
                                      <w:sz w:val="25"/>
                                    </w:rPr>
                                  </w:pPr>
                                </w:p>
                                <w:p w:rsidR="00C31389" w:rsidRDefault="00561FBD" w14:paraId="648C0457" w14:textId="77777777">
                                  <w:pPr>
                                    <w:pStyle w:val="TableParagraph"/>
                                    <w:spacing w:before="0"/>
                                    <w:ind w:left="132" w:right="139"/>
                                    <w:jc w:val="center"/>
                                    <w:rPr>
                                      <w:sz w:val="19"/>
                                    </w:rPr>
                                  </w:pPr>
                                  <w:r>
                                    <w:rPr>
                                      <w:spacing w:val="-4"/>
                                      <w:sz w:val="19"/>
                                    </w:rPr>
                                    <w:t>3.41</w:t>
                                  </w:r>
                                </w:p>
                              </w:tc>
                              <w:tc>
                                <w:tcPr>
                                  <w:tcW w:w="1133" w:type="dxa"/>
                                  <w:tcBorders>
                                    <w:bottom w:val="single" w:color="D9D9D9" w:sz="2" w:space="0"/>
                                  </w:tcBorders>
                                </w:tcPr>
                                <w:p w:rsidR="00C31389" w:rsidRDefault="00561FBD" w14:paraId="6A8F769D" w14:textId="77777777">
                                  <w:pPr>
                                    <w:pStyle w:val="TableParagraph"/>
                                    <w:spacing w:before="102"/>
                                    <w:ind w:left="145" w:right="129" w:hanging="2"/>
                                    <w:jc w:val="center"/>
                                    <w:rPr>
                                      <w:b/>
                                      <w:sz w:val="19"/>
                                    </w:rPr>
                                  </w:pPr>
                                  <w:r>
                                    <w:rPr>
                                      <w:b/>
                                      <w:spacing w:val="-2"/>
                                      <w:sz w:val="19"/>
                                    </w:rPr>
                                    <w:t>Likely Laggards</w:t>
                                  </w:r>
                                </w:p>
                                <w:p w:rsidR="00C31389" w:rsidRDefault="00C31389" w14:paraId="1CC64C4A" w14:textId="77777777">
                                  <w:pPr>
                                    <w:pStyle w:val="TableParagraph"/>
                                    <w:spacing w:before="0"/>
                                    <w:rPr>
                                      <w:sz w:val="20"/>
                                    </w:rPr>
                                  </w:pPr>
                                </w:p>
                                <w:p w:rsidR="00C31389" w:rsidRDefault="00C31389" w14:paraId="7E6971E5" w14:textId="77777777">
                                  <w:pPr>
                                    <w:pStyle w:val="TableParagraph"/>
                                    <w:spacing w:before="0"/>
                                    <w:rPr>
                                      <w:sz w:val="16"/>
                                    </w:rPr>
                                  </w:pPr>
                                </w:p>
                                <w:p w:rsidR="00C31389" w:rsidRDefault="00561FBD" w14:paraId="2E43552E" w14:textId="77777777">
                                  <w:pPr>
                                    <w:pStyle w:val="TableParagraph"/>
                                    <w:spacing w:before="0"/>
                                    <w:ind w:left="374" w:right="363"/>
                                    <w:jc w:val="center"/>
                                    <w:rPr>
                                      <w:sz w:val="19"/>
                                    </w:rPr>
                                  </w:pPr>
                                  <w:r>
                                    <w:rPr>
                                      <w:spacing w:val="-4"/>
                                      <w:sz w:val="19"/>
                                    </w:rPr>
                                    <w:t>2.80</w:t>
                                  </w:r>
                                </w:p>
                              </w:tc>
                              <w:tc>
                                <w:tcPr>
                                  <w:tcW w:w="1273" w:type="dxa"/>
                                  <w:tcBorders>
                                    <w:bottom w:val="single" w:color="D9D9D9" w:sz="2" w:space="0"/>
                                  </w:tcBorders>
                                </w:tcPr>
                                <w:p w:rsidR="00C31389" w:rsidRDefault="00C31389" w14:paraId="68278A45" w14:textId="77777777">
                                  <w:pPr>
                                    <w:pStyle w:val="TableParagraph"/>
                                    <w:spacing w:before="6"/>
                                    <w:rPr>
                                      <w:sz w:val="18"/>
                                    </w:rPr>
                                  </w:pPr>
                                </w:p>
                                <w:p w:rsidR="00C31389" w:rsidRDefault="00561FBD" w14:paraId="4FF05A9F" w14:textId="77777777">
                                  <w:pPr>
                                    <w:pStyle w:val="TableParagraph"/>
                                    <w:spacing w:before="0"/>
                                    <w:ind w:left="125" w:right="136"/>
                                    <w:jc w:val="center"/>
                                    <w:rPr>
                                      <w:b/>
                                      <w:sz w:val="19"/>
                                    </w:rPr>
                                  </w:pPr>
                                  <w:r>
                                    <w:rPr>
                                      <w:b/>
                                      <w:spacing w:val="-2"/>
                                      <w:sz w:val="19"/>
                                    </w:rPr>
                                    <w:t>Multifamily</w:t>
                                  </w:r>
                                </w:p>
                                <w:p w:rsidR="00C31389" w:rsidRDefault="00C31389" w14:paraId="52D172A2" w14:textId="77777777">
                                  <w:pPr>
                                    <w:pStyle w:val="TableParagraph"/>
                                    <w:spacing w:before="0"/>
                                    <w:rPr>
                                      <w:sz w:val="20"/>
                                    </w:rPr>
                                  </w:pPr>
                                </w:p>
                                <w:p w:rsidR="00C31389" w:rsidRDefault="00C31389" w14:paraId="482787C5" w14:textId="77777777">
                                  <w:pPr>
                                    <w:pStyle w:val="TableParagraph"/>
                                    <w:spacing w:before="4"/>
                                    <w:rPr>
                                      <w:sz w:val="25"/>
                                    </w:rPr>
                                  </w:pPr>
                                </w:p>
                                <w:p w:rsidR="00C31389" w:rsidRDefault="00561FBD" w14:paraId="2F905F05" w14:textId="77777777">
                                  <w:pPr>
                                    <w:pStyle w:val="TableParagraph"/>
                                    <w:spacing w:before="0"/>
                                    <w:ind w:left="122" w:right="136"/>
                                    <w:jc w:val="center"/>
                                    <w:rPr>
                                      <w:sz w:val="19"/>
                                    </w:rPr>
                                  </w:pPr>
                                  <w:r>
                                    <w:rPr>
                                      <w:spacing w:val="-4"/>
                                      <w:sz w:val="19"/>
                                    </w:rPr>
                                    <w:t>2.73</w:t>
                                  </w:r>
                                </w:p>
                              </w:tc>
                              <w:tc>
                                <w:tcPr>
                                  <w:tcW w:w="1394" w:type="dxa"/>
                                  <w:tcBorders>
                                    <w:bottom w:val="single" w:color="D9D9D9" w:sz="2" w:space="0"/>
                                  </w:tcBorders>
                                </w:tcPr>
                                <w:p w:rsidR="00C31389" w:rsidRDefault="00C31389" w14:paraId="5099FD1C" w14:textId="77777777">
                                  <w:pPr>
                                    <w:pStyle w:val="TableParagraph"/>
                                    <w:spacing w:before="6"/>
                                    <w:rPr>
                                      <w:sz w:val="18"/>
                                    </w:rPr>
                                  </w:pPr>
                                </w:p>
                                <w:p w:rsidR="00C31389" w:rsidRDefault="00561FBD" w14:paraId="3E900126" w14:textId="77777777">
                                  <w:pPr>
                                    <w:pStyle w:val="TableParagraph"/>
                                    <w:spacing w:before="0"/>
                                    <w:ind w:left="94" w:right="191"/>
                                    <w:jc w:val="center"/>
                                    <w:rPr>
                                      <w:b/>
                                      <w:sz w:val="19"/>
                                    </w:rPr>
                                  </w:pPr>
                                  <w:r>
                                    <w:rPr>
                                      <w:b/>
                                      <w:spacing w:val="-2"/>
                                      <w:sz w:val="19"/>
                                    </w:rPr>
                                    <w:t>Commercial</w:t>
                                  </w:r>
                                </w:p>
                                <w:p w:rsidR="00C31389" w:rsidRDefault="00C31389" w14:paraId="3588F0D0" w14:textId="77777777">
                                  <w:pPr>
                                    <w:pStyle w:val="TableParagraph"/>
                                    <w:spacing w:before="0"/>
                                    <w:rPr>
                                      <w:sz w:val="20"/>
                                    </w:rPr>
                                  </w:pPr>
                                </w:p>
                                <w:p w:rsidR="00C31389" w:rsidRDefault="00C31389" w14:paraId="618B2584" w14:textId="77777777">
                                  <w:pPr>
                                    <w:pStyle w:val="TableParagraph"/>
                                    <w:spacing w:before="4"/>
                                    <w:rPr>
                                      <w:sz w:val="25"/>
                                    </w:rPr>
                                  </w:pPr>
                                </w:p>
                                <w:p w:rsidR="00C31389" w:rsidRDefault="00561FBD" w14:paraId="322B1D82" w14:textId="77777777">
                                  <w:pPr>
                                    <w:pStyle w:val="TableParagraph"/>
                                    <w:spacing w:before="0"/>
                                    <w:ind w:left="93" w:right="191"/>
                                    <w:jc w:val="center"/>
                                    <w:rPr>
                                      <w:sz w:val="19"/>
                                    </w:rPr>
                                  </w:pPr>
                                  <w:r>
                                    <w:rPr>
                                      <w:spacing w:val="-4"/>
                                      <w:sz w:val="19"/>
                                    </w:rPr>
                                    <w:t>2.91</w:t>
                                  </w:r>
                                </w:p>
                              </w:tc>
                            </w:tr>
                            <w:tr w:rsidR="00C31389" w14:paraId="77D23F4F" w14:textId="77777777">
                              <w:trPr>
                                <w:trHeight w:val="579"/>
                              </w:trPr>
                              <w:tc>
                                <w:tcPr>
                                  <w:tcW w:w="2710" w:type="dxa"/>
                                  <w:tcBorders>
                                    <w:top w:val="single" w:color="D9D9D9" w:sz="2" w:space="0"/>
                                    <w:bottom w:val="single" w:color="D9D9D9" w:sz="2" w:space="0"/>
                                  </w:tcBorders>
                                </w:tcPr>
                                <w:p w:rsidR="00C31389" w:rsidRDefault="00561FBD" w14:paraId="1C5053A1" w14:textId="77777777">
                                  <w:pPr>
                                    <w:pStyle w:val="TableParagraph"/>
                                    <w:tabs>
                                      <w:tab w:val="right" w:pos="2259"/>
                                    </w:tabs>
                                    <w:spacing w:before="70"/>
                                    <w:ind w:left="198"/>
                                    <w:rPr>
                                      <w:sz w:val="19"/>
                                    </w:rPr>
                                  </w:pPr>
                                  <w:r>
                                    <w:rPr>
                                      <w:spacing w:val="-2"/>
                                      <w:sz w:val="19"/>
                                    </w:rPr>
                                    <w:t>Social</w:t>
                                  </w:r>
                                  <w:r>
                                    <w:rPr>
                                      <w:sz w:val="19"/>
                                    </w:rPr>
                                    <w:tab/>
                                  </w:r>
                                  <w:r>
                                    <w:rPr>
                                      <w:spacing w:val="-4"/>
                                      <w:position w:val="-10"/>
                                      <w:sz w:val="19"/>
                                    </w:rPr>
                                    <w:t>2.80</w:t>
                                  </w:r>
                                </w:p>
                              </w:tc>
                              <w:tc>
                                <w:tcPr>
                                  <w:tcW w:w="1076" w:type="dxa"/>
                                  <w:tcBorders>
                                    <w:top w:val="single" w:color="D9D9D9" w:sz="2" w:space="0"/>
                                    <w:bottom w:val="single" w:color="D9D9D9" w:sz="2" w:space="0"/>
                                  </w:tcBorders>
                                </w:tcPr>
                                <w:p w:rsidR="00C31389" w:rsidRDefault="00C31389" w14:paraId="50A4FE8F" w14:textId="77777777">
                                  <w:pPr>
                                    <w:pStyle w:val="TableParagraph"/>
                                    <w:spacing w:before="8"/>
                                    <w:rPr>
                                      <w:sz w:val="15"/>
                                    </w:rPr>
                                  </w:pPr>
                                </w:p>
                                <w:p w:rsidR="00C31389" w:rsidRDefault="00561FBD" w14:paraId="64C6A131" w14:textId="77777777">
                                  <w:pPr>
                                    <w:pStyle w:val="TableParagraph"/>
                                    <w:spacing w:before="0"/>
                                    <w:ind w:left="165" w:right="188"/>
                                    <w:jc w:val="center"/>
                                    <w:rPr>
                                      <w:sz w:val="19"/>
                                    </w:rPr>
                                  </w:pPr>
                                  <w:r>
                                    <w:rPr>
                                      <w:spacing w:val="-4"/>
                                      <w:sz w:val="19"/>
                                    </w:rPr>
                                    <w:t>3.40</w:t>
                                  </w:r>
                                </w:p>
                              </w:tc>
                              <w:tc>
                                <w:tcPr>
                                  <w:tcW w:w="1925" w:type="dxa"/>
                                  <w:tcBorders>
                                    <w:top w:val="single" w:color="D9D9D9" w:sz="2" w:space="0"/>
                                    <w:bottom w:val="single" w:color="D9D9D9" w:sz="2" w:space="0"/>
                                  </w:tcBorders>
                                </w:tcPr>
                                <w:p w:rsidR="00C31389" w:rsidRDefault="00C31389" w14:paraId="3322CE8F" w14:textId="77777777">
                                  <w:pPr>
                                    <w:pStyle w:val="TableParagraph"/>
                                    <w:spacing w:before="8"/>
                                    <w:rPr>
                                      <w:sz w:val="15"/>
                                    </w:rPr>
                                  </w:pPr>
                                </w:p>
                                <w:p w:rsidR="00C31389" w:rsidRDefault="00561FBD" w14:paraId="595B2428" w14:textId="77777777">
                                  <w:pPr>
                                    <w:pStyle w:val="TableParagraph"/>
                                    <w:spacing w:before="0"/>
                                    <w:ind w:right="780"/>
                                    <w:jc w:val="right"/>
                                    <w:rPr>
                                      <w:sz w:val="19"/>
                                    </w:rPr>
                                  </w:pPr>
                                  <w:r>
                                    <w:rPr>
                                      <w:spacing w:val="-4"/>
                                      <w:sz w:val="19"/>
                                    </w:rPr>
                                    <w:t>3.80</w:t>
                                  </w:r>
                                </w:p>
                              </w:tc>
                              <w:tc>
                                <w:tcPr>
                                  <w:tcW w:w="1133" w:type="dxa"/>
                                  <w:tcBorders>
                                    <w:top w:val="single" w:color="D9D9D9" w:sz="2" w:space="0"/>
                                    <w:bottom w:val="single" w:color="D9D9D9" w:sz="2" w:space="0"/>
                                  </w:tcBorders>
                                </w:tcPr>
                                <w:p w:rsidR="00C31389" w:rsidRDefault="00C31389" w14:paraId="1886F511" w14:textId="77777777">
                                  <w:pPr>
                                    <w:pStyle w:val="TableParagraph"/>
                                    <w:spacing w:before="8"/>
                                    <w:rPr>
                                      <w:sz w:val="15"/>
                                    </w:rPr>
                                  </w:pPr>
                                </w:p>
                                <w:p w:rsidR="00C31389" w:rsidRDefault="00561FBD" w14:paraId="0C743B2F" w14:textId="77777777">
                                  <w:pPr>
                                    <w:pStyle w:val="TableParagraph"/>
                                    <w:spacing w:before="0"/>
                                    <w:ind w:left="374" w:right="363"/>
                                    <w:jc w:val="center"/>
                                    <w:rPr>
                                      <w:sz w:val="19"/>
                                    </w:rPr>
                                  </w:pPr>
                                  <w:r>
                                    <w:rPr>
                                      <w:spacing w:val="-4"/>
                                      <w:sz w:val="19"/>
                                    </w:rPr>
                                    <w:t>2.50</w:t>
                                  </w:r>
                                </w:p>
                              </w:tc>
                              <w:tc>
                                <w:tcPr>
                                  <w:tcW w:w="1273" w:type="dxa"/>
                                  <w:tcBorders>
                                    <w:top w:val="single" w:color="D9D9D9" w:sz="2" w:space="0"/>
                                    <w:bottom w:val="single" w:color="D9D9D9" w:sz="2" w:space="0"/>
                                  </w:tcBorders>
                                </w:tcPr>
                                <w:p w:rsidR="00C31389" w:rsidRDefault="00C31389" w14:paraId="620F41C7" w14:textId="77777777">
                                  <w:pPr>
                                    <w:pStyle w:val="TableParagraph"/>
                                    <w:spacing w:before="8"/>
                                    <w:rPr>
                                      <w:sz w:val="15"/>
                                    </w:rPr>
                                  </w:pPr>
                                </w:p>
                                <w:p w:rsidR="00C31389" w:rsidRDefault="00561FBD" w14:paraId="7E5B68F9" w14:textId="77777777">
                                  <w:pPr>
                                    <w:pStyle w:val="TableParagraph"/>
                                    <w:spacing w:before="0"/>
                                    <w:ind w:left="122" w:right="136"/>
                                    <w:jc w:val="center"/>
                                    <w:rPr>
                                      <w:sz w:val="19"/>
                                    </w:rPr>
                                  </w:pPr>
                                  <w:r>
                                    <w:rPr>
                                      <w:spacing w:val="-4"/>
                                      <w:sz w:val="19"/>
                                    </w:rPr>
                                    <w:t>3.50</w:t>
                                  </w:r>
                                </w:p>
                              </w:tc>
                              <w:tc>
                                <w:tcPr>
                                  <w:tcW w:w="1394" w:type="dxa"/>
                                  <w:tcBorders>
                                    <w:top w:val="single" w:color="D9D9D9" w:sz="2" w:space="0"/>
                                    <w:bottom w:val="single" w:color="D9D9D9" w:sz="2" w:space="0"/>
                                  </w:tcBorders>
                                </w:tcPr>
                                <w:p w:rsidR="00C31389" w:rsidRDefault="00C31389" w14:paraId="13D71810" w14:textId="77777777">
                                  <w:pPr>
                                    <w:pStyle w:val="TableParagraph"/>
                                    <w:spacing w:before="8"/>
                                    <w:rPr>
                                      <w:sz w:val="15"/>
                                    </w:rPr>
                                  </w:pPr>
                                </w:p>
                                <w:p w:rsidR="00C31389" w:rsidRDefault="00561FBD" w14:paraId="3DC2DE2D" w14:textId="77777777">
                                  <w:pPr>
                                    <w:pStyle w:val="TableParagraph"/>
                                    <w:spacing w:before="0"/>
                                    <w:ind w:left="461"/>
                                    <w:rPr>
                                      <w:sz w:val="19"/>
                                    </w:rPr>
                                  </w:pPr>
                                  <w:r>
                                    <w:rPr>
                                      <w:spacing w:val="-4"/>
                                      <w:sz w:val="19"/>
                                    </w:rPr>
                                    <w:t>3.63</w:t>
                                  </w:r>
                                </w:p>
                              </w:tc>
                            </w:tr>
                            <w:tr w:rsidR="00C31389" w14:paraId="05B17C1A" w14:textId="77777777">
                              <w:trPr>
                                <w:trHeight w:val="517"/>
                              </w:trPr>
                              <w:tc>
                                <w:tcPr>
                                  <w:tcW w:w="2710" w:type="dxa"/>
                                  <w:tcBorders>
                                    <w:top w:val="single" w:color="D9D9D9" w:sz="2" w:space="0"/>
                                    <w:bottom w:val="single" w:color="000000" w:sz="8" w:space="0"/>
                                  </w:tcBorders>
                                </w:tcPr>
                                <w:p w:rsidR="00C31389" w:rsidRDefault="00561FBD" w14:paraId="57D3A72B" w14:textId="77777777">
                                  <w:pPr>
                                    <w:pStyle w:val="TableParagraph"/>
                                    <w:tabs>
                                      <w:tab w:val="right" w:pos="2259"/>
                                    </w:tabs>
                                    <w:ind w:left="198"/>
                                    <w:rPr>
                                      <w:sz w:val="19"/>
                                    </w:rPr>
                                  </w:pPr>
                                  <w:r>
                                    <w:rPr>
                                      <w:spacing w:val="-2"/>
                                      <w:sz w:val="19"/>
                                    </w:rPr>
                                    <w:t>Upfront</w:t>
                                  </w:r>
                                  <w:r>
                                    <w:rPr>
                                      <w:sz w:val="19"/>
                                    </w:rPr>
                                    <w:tab/>
                                  </w:r>
                                  <w:r>
                                    <w:rPr>
                                      <w:spacing w:val="-4"/>
                                      <w:position w:val="-10"/>
                                      <w:sz w:val="19"/>
                                    </w:rPr>
                                    <w:t>2.27</w:t>
                                  </w:r>
                                </w:p>
                              </w:tc>
                              <w:tc>
                                <w:tcPr>
                                  <w:tcW w:w="1076" w:type="dxa"/>
                                  <w:tcBorders>
                                    <w:top w:val="single" w:color="D9D9D9" w:sz="2" w:space="0"/>
                                    <w:bottom w:val="single" w:color="000000" w:sz="8" w:space="0"/>
                                  </w:tcBorders>
                                </w:tcPr>
                                <w:p w:rsidR="00C31389" w:rsidRDefault="00561FBD" w14:paraId="6DC104FE" w14:textId="77777777">
                                  <w:pPr>
                                    <w:pStyle w:val="TableParagraph"/>
                                    <w:spacing w:before="150"/>
                                    <w:ind w:left="165" w:right="188"/>
                                    <w:jc w:val="center"/>
                                    <w:rPr>
                                      <w:sz w:val="19"/>
                                    </w:rPr>
                                  </w:pPr>
                                  <w:r>
                                    <w:rPr>
                                      <w:spacing w:val="-4"/>
                                      <w:sz w:val="19"/>
                                    </w:rPr>
                                    <w:t>1.80</w:t>
                                  </w:r>
                                </w:p>
                              </w:tc>
                              <w:tc>
                                <w:tcPr>
                                  <w:tcW w:w="1925" w:type="dxa"/>
                                  <w:tcBorders>
                                    <w:top w:val="single" w:color="D9D9D9" w:sz="2" w:space="0"/>
                                    <w:bottom w:val="single" w:color="000000" w:sz="8" w:space="0"/>
                                  </w:tcBorders>
                                </w:tcPr>
                                <w:p w:rsidR="00C31389" w:rsidRDefault="00561FBD" w14:paraId="20E98574" w14:textId="77777777">
                                  <w:pPr>
                                    <w:pStyle w:val="TableParagraph"/>
                                    <w:spacing w:before="150"/>
                                    <w:ind w:right="780"/>
                                    <w:jc w:val="right"/>
                                    <w:rPr>
                                      <w:sz w:val="19"/>
                                    </w:rPr>
                                  </w:pPr>
                                  <w:r>
                                    <w:rPr>
                                      <w:spacing w:val="-4"/>
                                      <w:sz w:val="19"/>
                                    </w:rPr>
                                    <w:t>2.73</w:t>
                                  </w:r>
                                </w:p>
                              </w:tc>
                              <w:tc>
                                <w:tcPr>
                                  <w:tcW w:w="1133" w:type="dxa"/>
                                  <w:tcBorders>
                                    <w:top w:val="single" w:color="D9D9D9" w:sz="2" w:space="0"/>
                                    <w:bottom w:val="single" w:color="000000" w:sz="8" w:space="0"/>
                                  </w:tcBorders>
                                </w:tcPr>
                                <w:p w:rsidR="00C31389" w:rsidRDefault="00561FBD" w14:paraId="39B16C50" w14:textId="77777777">
                                  <w:pPr>
                                    <w:pStyle w:val="TableParagraph"/>
                                    <w:spacing w:before="150"/>
                                    <w:ind w:left="374" w:right="363"/>
                                    <w:jc w:val="center"/>
                                    <w:rPr>
                                      <w:sz w:val="19"/>
                                    </w:rPr>
                                  </w:pPr>
                                  <w:r>
                                    <w:rPr>
                                      <w:spacing w:val="-4"/>
                                      <w:sz w:val="19"/>
                                    </w:rPr>
                                    <w:t>2.14</w:t>
                                  </w:r>
                                </w:p>
                              </w:tc>
                              <w:tc>
                                <w:tcPr>
                                  <w:tcW w:w="1273" w:type="dxa"/>
                                  <w:tcBorders>
                                    <w:top w:val="single" w:color="D9D9D9" w:sz="2" w:space="0"/>
                                    <w:bottom w:val="single" w:color="000000" w:sz="8" w:space="0"/>
                                  </w:tcBorders>
                                </w:tcPr>
                                <w:p w:rsidR="00C31389" w:rsidRDefault="00561FBD" w14:paraId="6695033D" w14:textId="77777777">
                                  <w:pPr>
                                    <w:pStyle w:val="TableParagraph"/>
                                    <w:spacing w:before="150"/>
                                    <w:ind w:left="122" w:right="136"/>
                                    <w:jc w:val="center"/>
                                    <w:rPr>
                                      <w:sz w:val="19"/>
                                    </w:rPr>
                                  </w:pPr>
                                  <w:r>
                                    <w:rPr>
                                      <w:spacing w:val="-4"/>
                                      <w:sz w:val="19"/>
                                    </w:rPr>
                                    <w:t>2.63</w:t>
                                  </w:r>
                                </w:p>
                              </w:tc>
                              <w:tc>
                                <w:tcPr>
                                  <w:tcW w:w="1394" w:type="dxa"/>
                                  <w:tcBorders>
                                    <w:top w:val="single" w:color="D9D9D9" w:sz="2" w:space="0"/>
                                    <w:bottom w:val="single" w:color="000000" w:sz="8" w:space="0"/>
                                  </w:tcBorders>
                                </w:tcPr>
                                <w:p w:rsidR="00C31389" w:rsidRDefault="00561FBD" w14:paraId="7DAA349E" w14:textId="77777777">
                                  <w:pPr>
                                    <w:pStyle w:val="TableParagraph"/>
                                    <w:spacing w:before="150"/>
                                    <w:ind w:left="461"/>
                                    <w:rPr>
                                      <w:sz w:val="19"/>
                                    </w:rPr>
                                  </w:pPr>
                                  <w:r>
                                    <w:rPr>
                                      <w:spacing w:val="-4"/>
                                      <w:sz w:val="19"/>
                                    </w:rPr>
                                    <w:t>2.53</w:t>
                                  </w:r>
                                </w:p>
                              </w:tc>
                            </w:tr>
                          </w:tbl>
                          <w:p w:rsidR="00C31389" w:rsidRDefault="00C31389" w14:paraId="04F297BD" w14:textId="77777777">
                            <w:pPr>
                              <w:pStyle w:val="BodyText"/>
                            </w:pPr>
                          </w:p>
                        </w:txbxContent>
                      </wps:txbx>
                      <wps:bodyPr wrap="square" lIns="0" tIns="0" rIns="0" bIns="0" rtlCol="0">
                        <a:noAutofit/>
                      </wps:bodyPr>
                    </wps:wsp>
                  </a:graphicData>
                </a:graphic>
              </wp:anchor>
            </w:drawing>
          </mc:Choice>
          <mc:Fallback>
            <w:pict>
              <v:shape id="Textbox 333" style="position:absolute;left:0;text-align:left;margin-left:64.85pt;margin-top:-81.6pt;width:481.65pt;height:127.8pt;z-index:15782912;visibility:visible;mso-wrap-style:square;mso-wrap-distance-left:0;mso-wrap-distance-top:0;mso-wrap-distance-right:0;mso-wrap-distance-bottom:0;mso-position-horizontal:absolute;mso-position-horizontal-relative:page;mso-position-vertical:absolute;mso-position-vertical-relative:text;v-text-anchor:top" o:spid="_x0000_s11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" w14:anchorId="4A3AD756">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710"/>
                        <w:gridCol w:w="1076"/>
                        <w:gridCol w:w="1925"/>
                        <w:gridCol w:w="1133"/>
                        <w:gridCol w:w="1273"/>
                        <w:gridCol w:w="1394"/>
                      </w:tblGrid>
                      <w:tr w:rsidR="00C31389" w14:paraId="3B17D4ED" w14:textId="77777777">
                        <w:trPr>
                          <w:trHeight w:val="1430"/>
                        </w:trPr>
                        <w:tc>
                          <w:tcPr>
                            <w:tcW w:w="2710" w:type="dxa"/>
                            <w:tcBorders>
                              <w:bottom w:val="single" w:color="D9D9D9" w:sz="2" w:space="0"/>
                            </w:tcBorders>
                          </w:tcPr>
                          <w:p w:rsidR="00C31389" w:rsidRDefault="00561FBD" w14:paraId="0FF92BC8" w14:textId="77777777">
                            <w:pPr>
                              <w:pStyle w:val="TableParagraph"/>
                              <w:tabs>
                                <w:tab w:val="left" w:pos="1699"/>
                              </w:tabs>
                              <w:spacing w:before="103" w:line="274" w:lineRule="exact"/>
                              <w:ind w:left="198"/>
                              <w:rPr>
                                <w:b/>
                                <w:sz w:val="19"/>
                              </w:rPr>
                            </w:pPr>
                            <w:r>
                              <w:rPr>
                                <w:b/>
                                <w:sz w:val="19"/>
                              </w:rPr>
                              <w:t>Value</w:t>
                            </w:r>
                            <w:r>
                              <w:rPr>
                                <w:b/>
                                <w:spacing w:val="-7"/>
                                <w:sz w:val="19"/>
                              </w:rPr>
                              <w:t xml:space="preserve"> </w:t>
                            </w:r>
                            <w:r>
                              <w:rPr>
                                <w:b/>
                                <w:spacing w:val="-2"/>
                                <w:sz w:val="19"/>
                              </w:rPr>
                              <w:t>Factor</w:t>
                            </w:r>
                            <w:r>
                              <w:rPr>
                                <w:b/>
                                <w:sz w:val="19"/>
                              </w:rPr>
                              <w:tab/>
                            </w:r>
                            <w:r>
                              <w:rPr>
                                <w:b/>
                                <w:spacing w:val="-2"/>
                                <w:position w:val="11"/>
                                <w:sz w:val="19"/>
                              </w:rPr>
                              <w:t>Average</w:t>
                            </w:r>
                          </w:p>
                          <w:p w:rsidR="00C31389" w:rsidRDefault="00561FBD" w14:paraId="65114A28" w14:textId="77777777">
                            <w:pPr>
                              <w:pStyle w:val="TableParagraph"/>
                              <w:spacing w:before="0" w:line="164" w:lineRule="exact"/>
                              <w:ind w:left="1588"/>
                              <w:rPr>
                                <w:b/>
                                <w:sz w:val="19"/>
                              </w:rPr>
                            </w:pPr>
                            <w:r>
                              <w:rPr>
                                <w:b/>
                                <w:spacing w:val="-2"/>
                                <w:sz w:val="19"/>
                              </w:rPr>
                              <w:t>Americans</w:t>
                            </w:r>
                          </w:p>
                          <w:p w:rsidR="00C31389" w:rsidRDefault="00C31389" w14:paraId="6356CAB4" w14:textId="77777777">
                            <w:pPr>
                              <w:pStyle w:val="TableParagraph"/>
                              <w:spacing w:before="9"/>
                              <w:rPr>
                                <w:sz w:val="16"/>
                              </w:rPr>
                            </w:pPr>
                          </w:p>
                          <w:p w:rsidR="00C31389" w:rsidRDefault="00561FBD" w14:paraId="13AB43FE" w14:textId="77777777">
                            <w:pPr>
                              <w:pStyle w:val="TableParagraph"/>
                              <w:spacing w:before="0"/>
                              <w:ind w:left="198"/>
                              <w:rPr>
                                <w:sz w:val="19"/>
                              </w:rPr>
                            </w:pPr>
                            <w:r>
                              <w:rPr>
                                <w:spacing w:val="-4"/>
                                <w:sz w:val="19"/>
                              </w:rPr>
                              <w:t>Non-</w:t>
                            </w:r>
                          </w:p>
                          <w:p w:rsidR="00C31389" w:rsidRDefault="00561FBD" w14:paraId="2C5C30A1" w14:textId="77777777">
                            <w:pPr>
                              <w:pStyle w:val="TableParagraph"/>
                              <w:tabs>
                                <w:tab w:val="right" w:pos="2259"/>
                              </w:tabs>
                              <w:spacing w:before="1"/>
                              <w:ind w:left="198"/>
                              <w:rPr>
                                <w:sz w:val="19"/>
                              </w:rPr>
                            </w:pPr>
                            <w:r>
                              <w:rPr>
                                <w:spacing w:val="-2"/>
                                <w:sz w:val="19"/>
                              </w:rPr>
                              <w:t>Consumption</w:t>
                            </w:r>
                            <w:r>
                              <w:rPr>
                                <w:sz w:val="19"/>
                              </w:rPr>
                              <w:tab/>
                            </w:r>
                            <w:r>
                              <w:rPr>
                                <w:spacing w:val="-4"/>
                                <w:sz w:val="19"/>
                              </w:rPr>
                              <w:t>2.97</w:t>
                            </w:r>
                          </w:p>
                          <w:p w:rsidR="00C31389" w:rsidRDefault="00561FBD" w14:paraId="67C263A8" w14:textId="77777777">
                            <w:pPr>
                              <w:pStyle w:val="TableParagraph"/>
                              <w:spacing w:before="0"/>
                              <w:ind w:left="198"/>
                              <w:rPr>
                                <w:sz w:val="19"/>
                              </w:rPr>
                            </w:pPr>
                            <w:r>
                              <w:rPr>
                                <w:spacing w:val="-2"/>
                                <w:sz w:val="19"/>
                              </w:rPr>
                              <w:t>Performance</w:t>
                            </w:r>
                          </w:p>
                        </w:tc>
                        <w:tc>
                          <w:tcPr>
                            <w:tcW w:w="1076" w:type="dxa"/>
                            <w:tcBorders>
                              <w:bottom w:val="single" w:color="D9D9D9" w:sz="2" w:space="0"/>
                            </w:tcBorders>
                          </w:tcPr>
                          <w:p w:rsidR="00C31389" w:rsidRDefault="00561FBD" w14:paraId="277615B3" w14:textId="77777777">
                            <w:pPr>
                              <w:pStyle w:val="TableParagraph"/>
                              <w:spacing w:before="102"/>
                              <w:ind w:left="107" w:right="130" w:hanging="1"/>
                              <w:jc w:val="center"/>
                              <w:rPr>
                                <w:b/>
                                <w:sz w:val="19"/>
                              </w:rPr>
                            </w:pPr>
                            <w:r>
                              <w:rPr>
                                <w:b/>
                                <w:spacing w:val="-2"/>
                                <w:sz w:val="19"/>
                              </w:rPr>
                              <w:t>Eager Adopters</w:t>
                            </w:r>
                          </w:p>
                          <w:p w:rsidR="00C31389" w:rsidRDefault="00C31389" w14:paraId="782B3C8E" w14:textId="77777777">
                            <w:pPr>
                              <w:pStyle w:val="TableParagraph"/>
                              <w:spacing w:before="0"/>
                              <w:rPr>
                                <w:sz w:val="20"/>
                              </w:rPr>
                            </w:pPr>
                          </w:p>
                          <w:p w:rsidR="00C31389" w:rsidRDefault="00C31389" w14:paraId="2DBF0D32" w14:textId="77777777">
                            <w:pPr>
                              <w:pStyle w:val="TableParagraph"/>
                              <w:spacing w:before="0"/>
                              <w:rPr>
                                <w:sz w:val="16"/>
                              </w:rPr>
                            </w:pPr>
                          </w:p>
                          <w:p w:rsidR="00C31389" w:rsidRDefault="00561FBD" w14:paraId="156A0983" w14:textId="77777777">
                            <w:pPr>
                              <w:pStyle w:val="TableParagraph"/>
                              <w:spacing w:before="0"/>
                              <w:ind w:left="165" w:right="188"/>
                              <w:jc w:val="center"/>
                              <w:rPr>
                                <w:sz w:val="19"/>
                              </w:rPr>
                            </w:pPr>
                            <w:r>
                              <w:rPr>
                                <w:spacing w:val="-4"/>
                                <w:sz w:val="19"/>
                              </w:rPr>
                              <w:t>3.09</w:t>
                            </w:r>
                          </w:p>
                        </w:tc>
                        <w:tc>
                          <w:tcPr>
                            <w:tcW w:w="1925" w:type="dxa"/>
                            <w:tcBorders>
                              <w:bottom w:val="single" w:color="D9D9D9" w:sz="2" w:space="0"/>
                            </w:tcBorders>
                          </w:tcPr>
                          <w:p w:rsidR="00C31389" w:rsidRDefault="00561FBD" w14:paraId="1FFBB1F8" w14:textId="77777777">
                            <w:pPr>
                              <w:pStyle w:val="TableParagraph"/>
                              <w:spacing w:before="0"/>
                              <w:ind w:left="132" w:right="141"/>
                              <w:jc w:val="center"/>
                              <w:rPr>
                                <w:b/>
                                <w:sz w:val="19"/>
                              </w:rPr>
                            </w:pPr>
                            <w:r>
                              <w:rPr>
                                <w:b/>
                                <w:spacing w:val="-2"/>
                                <w:sz w:val="19"/>
                              </w:rPr>
                              <w:t>Economically Strained Environmentalists</w:t>
                            </w:r>
                          </w:p>
                          <w:p w:rsidR="00C31389" w:rsidRDefault="00C31389" w14:paraId="15E74698" w14:textId="77777777">
                            <w:pPr>
                              <w:pStyle w:val="TableParagraph"/>
                              <w:spacing w:before="10"/>
                              <w:rPr>
                                <w:sz w:val="25"/>
                              </w:rPr>
                            </w:pPr>
                          </w:p>
                          <w:p w:rsidR="00C31389" w:rsidRDefault="00561FBD" w14:paraId="648C0457" w14:textId="77777777">
                            <w:pPr>
                              <w:pStyle w:val="TableParagraph"/>
                              <w:spacing w:before="0"/>
                              <w:ind w:left="132" w:right="139"/>
                              <w:jc w:val="center"/>
                              <w:rPr>
                                <w:sz w:val="19"/>
                              </w:rPr>
                            </w:pPr>
                            <w:r>
                              <w:rPr>
                                <w:spacing w:val="-4"/>
                                <w:sz w:val="19"/>
                              </w:rPr>
                              <w:t>3.41</w:t>
                            </w:r>
                          </w:p>
                        </w:tc>
                        <w:tc>
                          <w:tcPr>
                            <w:tcW w:w="1133" w:type="dxa"/>
                            <w:tcBorders>
                              <w:bottom w:val="single" w:color="D9D9D9" w:sz="2" w:space="0"/>
                            </w:tcBorders>
                          </w:tcPr>
                          <w:p w:rsidR="00C31389" w:rsidRDefault="00561FBD" w14:paraId="6A8F769D" w14:textId="77777777">
                            <w:pPr>
                              <w:pStyle w:val="TableParagraph"/>
                              <w:spacing w:before="102"/>
                              <w:ind w:left="145" w:right="129" w:hanging="2"/>
                              <w:jc w:val="center"/>
                              <w:rPr>
                                <w:b/>
                                <w:sz w:val="19"/>
                              </w:rPr>
                            </w:pPr>
                            <w:r>
                              <w:rPr>
                                <w:b/>
                                <w:spacing w:val="-2"/>
                                <w:sz w:val="19"/>
                              </w:rPr>
                              <w:t>Likely Laggards</w:t>
                            </w:r>
                          </w:p>
                          <w:p w:rsidR="00C31389" w:rsidRDefault="00C31389" w14:paraId="1CC64C4A" w14:textId="77777777">
                            <w:pPr>
                              <w:pStyle w:val="TableParagraph"/>
                              <w:spacing w:before="0"/>
                              <w:rPr>
                                <w:sz w:val="20"/>
                              </w:rPr>
                            </w:pPr>
                          </w:p>
                          <w:p w:rsidR="00C31389" w:rsidRDefault="00C31389" w14:paraId="7E6971E5" w14:textId="77777777">
                            <w:pPr>
                              <w:pStyle w:val="TableParagraph"/>
                              <w:spacing w:before="0"/>
                              <w:rPr>
                                <w:sz w:val="16"/>
                              </w:rPr>
                            </w:pPr>
                          </w:p>
                          <w:p w:rsidR="00C31389" w:rsidRDefault="00561FBD" w14:paraId="2E43552E" w14:textId="77777777">
                            <w:pPr>
                              <w:pStyle w:val="TableParagraph"/>
                              <w:spacing w:before="0"/>
                              <w:ind w:left="374" w:right="363"/>
                              <w:jc w:val="center"/>
                              <w:rPr>
                                <w:sz w:val="19"/>
                              </w:rPr>
                            </w:pPr>
                            <w:r>
                              <w:rPr>
                                <w:spacing w:val="-4"/>
                                <w:sz w:val="19"/>
                              </w:rPr>
                              <w:t>2.80</w:t>
                            </w:r>
                          </w:p>
                        </w:tc>
                        <w:tc>
                          <w:tcPr>
                            <w:tcW w:w="1273" w:type="dxa"/>
                            <w:tcBorders>
                              <w:bottom w:val="single" w:color="D9D9D9" w:sz="2" w:space="0"/>
                            </w:tcBorders>
                          </w:tcPr>
                          <w:p w:rsidR="00C31389" w:rsidRDefault="00C31389" w14:paraId="68278A45" w14:textId="77777777">
                            <w:pPr>
                              <w:pStyle w:val="TableParagraph"/>
                              <w:spacing w:before="6"/>
                              <w:rPr>
                                <w:sz w:val="18"/>
                              </w:rPr>
                            </w:pPr>
                          </w:p>
                          <w:p w:rsidR="00C31389" w:rsidRDefault="00561FBD" w14:paraId="4FF05A9F" w14:textId="77777777">
                            <w:pPr>
                              <w:pStyle w:val="TableParagraph"/>
                              <w:spacing w:before="0"/>
                              <w:ind w:left="125" w:right="136"/>
                              <w:jc w:val="center"/>
                              <w:rPr>
                                <w:b/>
                                <w:sz w:val="19"/>
                              </w:rPr>
                            </w:pPr>
                            <w:r>
                              <w:rPr>
                                <w:b/>
                                <w:spacing w:val="-2"/>
                                <w:sz w:val="19"/>
                              </w:rPr>
                              <w:t>Multifamily</w:t>
                            </w:r>
                          </w:p>
                          <w:p w:rsidR="00C31389" w:rsidRDefault="00C31389" w14:paraId="52D172A2" w14:textId="77777777">
                            <w:pPr>
                              <w:pStyle w:val="TableParagraph"/>
                              <w:spacing w:before="0"/>
                              <w:rPr>
                                <w:sz w:val="20"/>
                              </w:rPr>
                            </w:pPr>
                          </w:p>
                          <w:p w:rsidR="00C31389" w:rsidRDefault="00C31389" w14:paraId="482787C5" w14:textId="77777777">
                            <w:pPr>
                              <w:pStyle w:val="TableParagraph"/>
                              <w:spacing w:before="4"/>
                              <w:rPr>
                                <w:sz w:val="25"/>
                              </w:rPr>
                            </w:pPr>
                          </w:p>
                          <w:p w:rsidR="00C31389" w:rsidRDefault="00561FBD" w14:paraId="2F905F05" w14:textId="77777777">
                            <w:pPr>
                              <w:pStyle w:val="TableParagraph"/>
                              <w:spacing w:before="0"/>
                              <w:ind w:left="122" w:right="136"/>
                              <w:jc w:val="center"/>
                              <w:rPr>
                                <w:sz w:val="19"/>
                              </w:rPr>
                            </w:pPr>
                            <w:r>
                              <w:rPr>
                                <w:spacing w:val="-4"/>
                                <w:sz w:val="19"/>
                              </w:rPr>
                              <w:t>2.73</w:t>
                            </w:r>
                          </w:p>
                        </w:tc>
                        <w:tc>
                          <w:tcPr>
                            <w:tcW w:w="1394" w:type="dxa"/>
                            <w:tcBorders>
                              <w:bottom w:val="single" w:color="D9D9D9" w:sz="2" w:space="0"/>
                            </w:tcBorders>
                          </w:tcPr>
                          <w:p w:rsidR="00C31389" w:rsidRDefault="00C31389" w14:paraId="5099FD1C" w14:textId="77777777">
                            <w:pPr>
                              <w:pStyle w:val="TableParagraph"/>
                              <w:spacing w:before="6"/>
                              <w:rPr>
                                <w:sz w:val="18"/>
                              </w:rPr>
                            </w:pPr>
                          </w:p>
                          <w:p w:rsidR="00C31389" w:rsidRDefault="00561FBD" w14:paraId="3E900126" w14:textId="77777777">
                            <w:pPr>
                              <w:pStyle w:val="TableParagraph"/>
                              <w:spacing w:before="0"/>
                              <w:ind w:left="94" w:right="191"/>
                              <w:jc w:val="center"/>
                              <w:rPr>
                                <w:b/>
                                <w:sz w:val="19"/>
                              </w:rPr>
                            </w:pPr>
                            <w:r>
                              <w:rPr>
                                <w:b/>
                                <w:spacing w:val="-2"/>
                                <w:sz w:val="19"/>
                              </w:rPr>
                              <w:t>Commercial</w:t>
                            </w:r>
                          </w:p>
                          <w:p w:rsidR="00C31389" w:rsidRDefault="00C31389" w14:paraId="3588F0D0" w14:textId="77777777">
                            <w:pPr>
                              <w:pStyle w:val="TableParagraph"/>
                              <w:spacing w:before="0"/>
                              <w:rPr>
                                <w:sz w:val="20"/>
                              </w:rPr>
                            </w:pPr>
                          </w:p>
                          <w:p w:rsidR="00C31389" w:rsidRDefault="00C31389" w14:paraId="618B2584" w14:textId="77777777">
                            <w:pPr>
                              <w:pStyle w:val="TableParagraph"/>
                              <w:spacing w:before="4"/>
                              <w:rPr>
                                <w:sz w:val="25"/>
                              </w:rPr>
                            </w:pPr>
                          </w:p>
                          <w:p w:rsidR="00C31389" w:rsidRDefault="00561FBD" w14:paraId="322B1D82" w14:textId="77777777">
                            <w:pPr>
                              <w:pStyle w:val="TableParagraph"/>
                              <w:spacing w:before="0"/>
                              <w:ind w:left="93" w:right="191"/>
                              <w:jc w:val="center"/>
                              <w:rPr>
                                <w:sz w:val="19"/>
                              </w:rPr>
                            </w:pPr>
                            <w:r>
                              <w:rPr>
                                <w:spacing w:val="-4"/>
                                <w:sz w:val="19"/>
                              </w:rPr>
                              <w:t>2.91</w:t>
                            </w:r>
                          </w:p>
                        </w:tc>
                      </w:tr>
                      <w:tr w:rsidR="00C31389" w14:paraId="77D23F4F" w14:textId="77777777">
                        <w:trPr>
                          <w:trHeight w:val="579"/>
                        </w:trPr>
                        <w:tc>
                          <w:tcPr>
                            <w:tcW w:w="2710" w:type="dxa"/>
                            <w:tcBorders>
                              <w:top w:val="single" w:color="D9D9D9" w:sz="2" w:space="0"/>
                              <w:bottom w:val="single" w:color="D9D9D9" w:sz="2" w:space="0"/>
                            </w:tcBorders>
                          </w:tcPr>
                          <w:p w:rsidR="00C31389" w:rsidRDefault="00561FBD" w14:paraId="1C5053A1" w14:textId="77777777">
                            <w:pPr>
                              <w:pStyle w:val="TableParagraph"/>
                              <w:tabs>
                                <w:tab w:val="right" w:pos="2259"/>
                              </w:tabs>
                              <w:spacing w:before="70"/>
                              <w:ind w:left="198"/>
                              <w:rPr>
                                <w:sz w:val="19"/>
                              </w:rPr>
                            </w:pPr>
                            <w:r>
                              <w:rPr>
                                <w:spacing w:val="-2"/>
                                <w:sz w:val="19"/>
                              </w:rPr>
                              <w:t>Social</w:t>
                            </w:r>
                            <w:r>
                              <w:rPr>
                                <w:sz w:val="19"/>
                              </w:rPr>
                              <w:tab/>
                            </w:r>
                            <w:r>
                              <w:rPr>
                                <w:spacing w:val="-4"/>
                                <w:position w:val="-10"/>
                                <w:sz w:val="19"/>
                              </w:rPr>
                              <w:t>2.80</w:t>
                            </w:r>
                          </w:p>
                        </w:tc>
                        <w:tc>
                          <w:tcPr>
                            <w:tcW w:w="1076" w:type="dxa"/>
                            <w:tcBorders>
                              <w:top w:val="single" w:color="D9D9D9" w:sz="2" w:space="0"/>
                              <w:bottom w:val="single" w:color="D9D9D9" w:sz="2" w:space="0"/>
                            </w:tcBorders>
                          </w:tcPr>
                          <w:p w:rsidR="00C31389" w:rsidRDefault="00C31389" w14:paraId="50A4FE8F" w14:textId="77777777">
                            <w:pPr>
                              <w:pStyle w:val="TableParagraph"/>
                              <w:spacing w:before="8"/>
                              <w:rPr>
                                <w:sz w:val="15"/>
                              </w:rPr>
                            </w:pPr>
                          </w:p>
                          <w:p w:rsidR="00C31389" w:rsidRDefault="00561FBD" w14:paraId="64C6A131" w14:textId="77777777">
                            <w:pPr>
                              <w:pStyle w:val="TableParagraph"/>
                              <w:spacing w:before="0"/>
                              <w:ind w:left="165" w:right="188"/>
                              <w:jc w:val="center"/>
                              <w:rPr>
                                <w:sz w:val="19"/>
                              </w:rPr>
                            </w:pPr>
                            <w:r>
                              <w:rPr>
                                <w:spacing w:val="-4"/>
                                <w:sz w:val="19"/>
                              </w:rPr>
                              <w:t>3.40</w:t>
                            </w:r>
                          </w:p>
                        </w:tc>
                        <w:tc>
                          <w:tcPr>
                            <w:tcW w:w="1925" w:type="dxa"/>
                            <w:tcBorders>
                              <w:top w:val="single" w:color="D9D9D9" w:sz="2" w:space="0"/>
                              <w:bottom w:val="single" w:color="D9D9D9" w:sz="2" w:space="0"/>
                            </w:tcBorders>
                          </w:tcPr>
                          <w:p w:rsidR="00C31389" w:rsidRDefault="00C31389" w14:paraId="3322CE8F" w14:textId="77777777">
                            <w:pPr>
                              <w:pStyle w:val="TableParagraph"/>
                              <w:spacing w:before="8"/>
                              <w:rPr>
                                <w:sz w:val="15"/>
                              </w:rPr>
                            </w:pPr>
                          </w:p>
                          <w:p w:rsidR="00C31389" w:rsidRDefault="00561FBD" w14:paraId="595B2428" w14:textId="77777777">
                            <w:pPr>
                              <w:pStyle w:val="TableParagraph"/>
                              <w:spacing w:before="0"/>
                              <w:ind w:right="780"/>
                              <w:jc w:val="right"/>
                              <w:rPr>
                                <w:sz w:val="19"/>
                              </w:rPr>
                            </w:pPr>
                            <w:r>
                              <w:rPr>
                                <w:spacing w:val="-4"/>
                                <w:sz w:val="19"/>
                              </w:rPr>
                              <w:t>3.80</w:t>
                            </w:r>
                          </w:p>
                        </w:tc>
                        <w:tc>
                          <w:tcPr>
                            <w:tcW w:w="1133" w:type="dxa"/>
                            <w:tcBorders>
                              <w:top w:val="single" w:color="D9D9D9" w:sz="2" w:space="0"/>
                              <w:bottom w:val="single" w:color="D9D9D9" w:sz="2" w:space="0"/>
                            </w:tcBorders>
                          </w:tcPr>
                          <w:p w:rsidR="00C31389" w:rsidRDefault="00C31389" w14:paraId="1886F511" w14:textId="77777777">
                            <w:pPr>
                              <w:pStyle w:val="TableParagraph"/>
                              <w:spacing w:before="8"/>
                              <w:rPr>
                                <w:sz w:val="15"/>
                              </w:rPr>
                            </w:pPr>
                          </w:p>
                          <w:p w:rsidR="00C31389" w:rsidRDefault="00561FBD" w14:paraId="0C743B2F" w14:textId="77777777">
                            <w:pPr>
                              <w:pStyle w:val="TableParagraph"/>
                              <w:spacing w:before="0"/>
                              <w:ind w:left="374" w:right="363"/>
                              <w:jc w:val="center"/>
                              <w:rPr>
                                <w:sz w:val="19"/>
                              </w:rPr>
                            </w:pPr>
                            <w:r>
                              <w:rPr>
                                <w:spacing w:val="-4"/>
                                <w:sz w:val="19"/>
                              </w:rPr>
                              <w:t>2.50</w:t>
                            </w:r>
                          </w:p>
                        </w:tc>
                        <w:tc>
                          <w:tcPr>
                            <w:tcW w:w="1273" w:type="dxa"/>
                            <w:tcBorders>
                              <w:top w:val="single" w:color="D9D9D9" w:sz="2" w:space="0"/>
                              <w:bottom w:val="single" w:color="D9D9D9" w:sz="2" w:space="0"/>
                            </w:tcBorders>
                          </w:tcPr>
                          <w:p w:rsidR="00C31389" w:rsidRDefault="00C31389" w14:paraId="620F41C7" w14:textId="77777777">
                            <w:pPr>
                              <w:pStyle w:val="TableParagraph"/>
                              <w:spacing w:before="8"/>
                              <w:rPr>
                                <w:sz w:val="15"/>
                              </w:rPr>
                            </w:pPr>
                          </w:p>
                          <w:p w:rsidR="00C31389" w:rsidRDefault="00561FBD" w14:paraId="7E5B68F9" w14:textId="77777777">
                            <w:pPr>
                              <w:pStyle w:val="TableParagraph"/>
                              <w:spacing w:before="0"/>
                              <w:ind w:left="122" w:right="136"/>
                              <w:jc w:val="center"/>
                              <w:rPr>
                                <w:sz w:val="19"/>
                              </w:rPr>
                            </w:pPr>
                            <w:r>
                              <w:rPr>
                                <w:spacing w:val="-4"/>
                                <w:sz w:val="19"/>
                              </w:rPr>
                              <w:t>3.50</w:t>
                            </w:r>
                          </w:p>
                        </w:tc>
                        <w:tc>
                          <w:tcPr>
                            <w:tcW w:w="1394" w:type="dxa"/>
                            <w:tcBorders>
                              <w:top w:val="single" w:color="D9D9D9" w:sz="2" w:space="0"/>
                              <w:bottom w:val="single" w:color="D9D9D9" w:sz="2" w:space="0"/>
                            </w:tcBorders>
                          </w:tcPr>
                          <w:p w:rsidR="00C31389" w:rsidRDefault="00C31389" w14:paraId="13D71810" w14:textId="77777777">
                            <w:pPr>
                              <w:pStyle w:val="TableParagraph"/>
                              <w:spacing w:before="8"/>
                              <w:rPr>
                                <w:sz w:val="15"/>
                              </w:rPr>
                            </w:pPr>
                          </w:p>
                          <w:p w:rsidR="00C31389" w:rsidRDefault="00561FBD" w14:paraId="3DC2DE2D" w14:textId="77777777">
                            <w:pPr>
                              <w:pStyle w:val="TableParagraph"/>
                              <w:spacing w:before="0"/>
                              <w:ind w:left="461"/>
                              <w:rPr>
                                <w:sz w:val="19"/>
                              </w:rPr>
                            </w:pPr>
                            <w:r>
                              <w:rPr>
                                <w:spacing w:val="-4"/>
                                <w:sz w:val="19"/>
                              </w:rPr>
                              <w:t>3.63</w:t>
                            </w:r>
                          </w:p>
                        </w:tc>
                      </w:tr>
                      <w:tr w:rsidR="00C31389" w14:paraId="05B17C1A" w14:textId="77777777">
                        <w:trPr>
                          <w:trHeight w:val="517"/>
                        </w:trPr>
                        <w:tc>
                          <w:tcPr>
                            <w:tcW w:w="2710" w:type="dxa"/>
                            <w:tcBorders>
                              <w:top w:val="single" w:color="D9D9D9" w:sz="2" w:space="0"/>
                              <w:bottom w:val="single" w:color="000000" w:sz="8" w:space="0"/>
                            </w:tcBorders>
                          </w:tcPr>
                          <w:p w:rsidR="00C31389" w:rsidRDefault="00561FBD" w14:paraId="57D3A72B" w14:textId="77777777">
                            <w:pPr>
                              <w:pStyle w:val="TableParagraph"/>
                              <w:tabs>
                                <w:tab w:val="right" w:pos="2259"/>
                              </w:tabs>
                              <w:ind w:left="198"/>
                              <w:rPr>
                                <w:sz w:val="19"/>
                              </w:rPr>
                            </w:pPr>
                            <w:r>
                              <w:rPr>
                                <w:spacing w:val="-2"/>
                                <w:sz w:val="19"/>
                              </w:rPr>
                              <w:t>Upfront</w:t>
                            </w:r>
                            <w:r>
                              <w:rPr>
                                <w:sz w:val="19"/>
                              </w:rPr>
                              <w:tab/>
                            </w:r>
                            <w:r>
                              <w:rPr>
                                <w:spacing w:val="-4"/>
                                <w:position w:val="-10"/>
                                <w:sz w:val="19"/>
                              </w:rPr>
                              <w:t>2.27</w:t>
                            </w:r>
                          </w:p>
                        </w:tc>
                        <w:tc>
                          <w:tcPr>
                            <w:tcW w:w="1076" w:type="dxa"/>
                            <w:tcBorders>
                              <w:top w:val="single" w:color="D9D9D9" w:sz="2" w:space="0"/>
                              <w:bottom w:val="single" w:color="000000" w:sz="8" w:space="0"/>
                            </w:tcBorders>
                          </w:tcPr>
                          <w:p w:rsidR="00C31389" w:rsidRDefault="00561FBD" w14:paraId="6DC104FE" w14:textId="77777777">
                            <w:pPr>
                              <w:pStyle w:val="TableParagraph"/>
                              <w:spacing w:before="150"/>
                              <w:ind w:left="165" w:right="188"/>
                              <w:jc w:val="center"/>
                              <w:rPr>
                                <w:sz w:val="19"/>
                              </w:rPr>
                            </w:pPr>
                            <w:r>
                              <w:rPr>
                                <w:spacing w:val="-4"/>
                                <w:sz w:val="19"/>
                              </w:rPr>
                              <w:t>1.80</w:t>
                            </w:r>
                          </w:p>
                        </w:tc>
                        <w:tc>
                          <w:tcPr>
                            <w:tcW w:w="1925" w:type="dxa"/>
                            <w:tcBorders>
                              <w:top w:val="single" w:color="D9D9D9" w:sz="2" w:space="0"/>
                              <w:bottom w:val="single" w:color="000000" w:sz="8" w:space="0"/>
                            </w:tcBorders>
                          </w:tcPr>
                          <w:p w:rsidR="00C31389" w:rsidRDefault="00561FBD" w14:paraId="20E98574" w14:textId="77777777">
                            <w:pPr>
                              <w:pStyle w:val="TableParagraph"/>
                              <w:spacing w:before="150"/>
                              <w:ind w:right="780"/>
                              <w:jc w:val="right"/>
                              <w:rPr>
                                <w:sz w:val="19"/>
                              </w:rPr>
                            </w:pPr>
                            <w:r>
                              <w:rPr>
                                <w:spacing w:val="-4"/>
                                <w:sz w:val="19"/>
                              </w:rPr>
                              <w:t>2.73</w:t>
                            </w:r>
                          </w:p>
                        </w:tc>
                        <w:tc>
                          <w:tcPr>
                            <w:tcW w:w="1133" w:type="dxa"/>
                            <w:tcBorders>
                              <w:top w:val="single" w:color="D9D9D9" w:sz="2" w:space="0"/>
                              <w:bottom w:val="single" w:color="000000" w:sz="8" w:space="0"/>
                            </w:tcBorders>
                          </w:tcPr>
                          <w:p w:rsidR="00C31389" w:rsidRDefault="00561FBD" w14:paraId="39B16C50" w14:textId="77777777">
                            <w:pPr>
                              <w:pStyle w:val="TableParagraph"/>
                              <w:spacing w:before="150"/>
                              <w:ind w:left="374" w:right="363"/>
                              <w:jc w:val="center"/>
                              <w:rPr>
                                <w:sz w:val="19"/>
                              </w:rPr>
                            </w:pPr>
                            <w:r>
                              <w:rPr>
                                <w:spacing w:val="-4"/>
                                <w:sz w:val="19"/>
                              </w:rPr>
                              <w:t>2.14</w:t>
                            </w:r>
                          </w:p>
                        </w:tc>
                        <w:tc>
                          <w:tcPr>
                            <w:tcW w:w="1273" w:type="dxa"/>
                            <w:tcBorders>
                              <w:top w:val="single" w:color="D9D9D9" w:sz="2" w:space="0"/>
                              <w:bottom w:val="single" w:color="000000" w:sz="8" w:space="0"/>
                            </w:tcBorders>
                          </w:tcPr>
                          <w:p w:rsidR="00C31389" w:rsidRDefault="00561FBD" w14:paraId="6695033D" w14:textId="77777777">
                            <w:pPr>
                              <w:pStyle w:val="TableParagraph"/>
                              <w:spacing w:before="150"/>
                              <w:ind w:left="122" w:right="136"/>
                              <w:jc w:val="center"/>
                              <w:rPr>
                                <w:sz w:val="19"/>
                              </w:rPr>
                            </w:pPr>
                            <w:r>
                              <w:rPr>
                                <w:spacing w:val="-4"/>
                                <w:sz w:val="19"/>
                              </w:rPr>
                              <w:t>2.63</w:t>
                            </w:r>
                          </w:p>
                        </w:tc>
                        <w:tc>
                          <w:tcPr>
                            <w:tcW w:w="1394" w:type="dxa"/>
                            <w:tcBorders>
                              <w:top w:val="single" w:color="D9D9D9" w:sz="2" w:space="0"/>
                              <w:bottom w:val="single" w:color="000000" w:sz="8" w:space="0"/>
                            </w:tcBorders>
                          </w:tcPr>
                          <w:p w:rsidR="00C31389" w:rsidRDefault="00561FBD" w14:paraId="7DAA349E" w14:textId="77777777">
                            <w:pPr>
                              <w:pStyle w:val="TableParagraph"/>
                              <w:spacing w:before="150"/>
                              <w:ind w:left="461"/>
                              <w:rPr>
                                <w:sz w:val="19"/>
                              </w:rPr>
                            </w:pPr>
                            <w:r>
                              <w:rPr>
                                <w:spacing w:val="-4"/>
                                <w:sz w:val="19"/>
                              </w:rPr>
                              <w:t>2.53</w:t>
                            </w:r>
                          </w:p>
                        </w:tc>
                      </w:tr>
                    </w:tbl>
                    <w:p w:rsidR="00C31389" w:rsidRDefault="00C31389" w14:paraId="04F297BD" w14:textId="77777777">
                      <w:pPr>
                        <w:pStyle w:val="BodyText"/>
                      </w:pPr>
                    </w:p>
                  </w:txbxContent>
                </v:textbox>
                <w10:wrap anchorx="page"/>
              </v:shape>
            </w:pict>
          </mc:Fallback>
        </mc:AlternateContent>
      </w:r>
      <w:r>
        <w:rPr>
          <w:spacing w:val="-2"/>
          <w:sz w:val="19"/>
        </w:rPr>
        <w:t>Signaling</w:t>
      </w:r>
    </w:p>
    <w:p w:rsidR="00C31389" w:rsidRDefault="00C31389" w14:paraId="5039A8CD" w14:textId="77777777">
      <w:pPr>
        <w:pStyle w:val="BodyText"/>
        <w:spacing w:before="1"/>
        <w:rPr>
          <w:sz w:val="29"/>
        </w:rPr>
      </w:pPr>
    </w:p>
    <w:p w:rsidR="00C31389" w:rsidRDefault="00561FBD" w14:paraId="4F0D9212" w14:textId="77777777">
      <w:pPr>
        <w:ind w:left="595"/>
        <w:rPr>
          <w:sz w:val="19"/>
        </w:rPr>
      </w:pPr>
      <w:r>
        <w:rPr>
          <w:spacing w:val="-2"/>
          <w:sz w:val="19"/>
        </w:rPr>
        <w:t>Costs</w:t>
      </w:r>
    </w:p>
    <w:p w:rsidR="00C31389" w:rsidRDefault="00561FBD" w14:paraId="56A98EF6" w14:textId="77777777">
      <w:pPr>
        <w:spacing w:before="120"/>
        <w:ind w:left="480"/>
        <w:rPr>
          <w:i/>
          <w:sz w:val="18"/>
        </w:rPr>
      </w:pPr>
      <w:r>
        <w:rPr>
          <w:i/>
          <w:sz w:val="18"/>
        </w:rPr>
        <w:t>Source:</w:t>
      </w:r>
      <w:r>
        <w:rPr>
          <w:i/>
          <w:spacing w:val="-4"/>
          <w:sz w:val="18"/>
        </w:rPr>
        <w:t xml:space="preserve"> </w:t>
      </w:r>
      <w:r>
        <w:rPr>
          <w:i/>
          <w:sz w:val="18"/>
        </w:rPr>
        <w:t>CEC</w:t>
      </w:r>
      <w:r>
        <w:rPr>
          <w:i/>
          <w:spacing w:val="-2"/>
          <w:sz w:val="18"/>
        </w:rPr>
        <w:t xml:space="preserve"> </w:t>
      </w:r>
      <w:r>
        <w:rPr>
          <w:i/>
          <w:sz w:val="18"/>
        </w:rPr>
        <w:t>Market</w:t>
      </w:r>
      <w:r>
        <w:rPr>
          <w:i/>
          <w:spacing w:val="-4"/>
          <w:sz w:val="18"/>
        </w:rPr>
        <w:t xml:space="preserve"> </w:t>
      </w:r>
      <w:r>
        <w:rPr>
          <w:i/>
          <w:sz w:val="18"/>
        </w:rPr>
        <w:t>Adoption</w:t>
      </w:r>
      <w:r>
        <w:rPr>
          <w:i/>
          <w:spacing w:val="-4"/>
          <w:sz w:val="18"/>
        </w:rPr>
        <w:t xml:space="preserve"> </w:t>
      </w:r>
      <w:r>
        <w:rPr>
          <w:i/>
          <w:sz w:val="18"/>
        </w:rPr>
        <w:t>Characteristics</w:t>
      </w:r>
      <w:r>
        <w:rPr>
          <w:i/>
          <w:spacing w:val="-3"/>
          <w:sz w:val="18"/>
        </w:rPr>
        <w:t xml:space="preserve"> </w:t>
      </w:r>
      <w:r>
        <w:rPr>
          <w:i/>
          <w:sz w:val="18"/>
        </w:rPr>
        <w:t>Study;</w:t>
      </w:r>
      <w:r>
        <w:rPr>
          <w:i/>
          <w:spacing w:val="-3"/>
          <w:sz w:val="18"/>
        </w:rPr>
        <w:t xml:space="preserve"> </w:t>
      </w:r>
      <w:r>
        <w:rPr>
          <w:i/>
          <w:spacing w:val="-2"/>
          <w:sz w:val="18"/>
        </w:rPr>
        <w:t>Guidehouse</w:t>
      </w:r>
    </w:p>
    <w:p w:rsidR="00C31389" w:rsidRDefault="00C31389" w14:paraId="41DE45B7" w14:textId="77777777">
      <w:pPr>
        <w:pStyle w:val="BodyText"/>
        <w:spacing w:before="9"/>
        <w:rPr>
          <w:i/>
          <w:sz w:val="20"/>
        </w:rPr>
      </w:pPr>
    </w:p>
    <w:p w:rsidR="00C31389" w:rsidRDefault="00561FBD" w14:paraId="072548DD" w14:textId="77777777">
      <w:pPr>
        <w:pStyle w:val="BodyText"/>
        <w:ind w:left="480" w:right="485"/>
      </w:pPr>
      <w:r>
        <w:t>Because the survey was only able to ask about a subset of the 2021 Study measure list, the Guidehouse team conducted an exercise to map the surveyed measures to the entire 2021 Study measure li</w:t>
      </w:r>
      <w:r>
        <w:t>st for residential and commercial measures which align with the 2023 measures.</w:t>
      </w:r>
      <w:r>
        <w:rPr>
          <w:spacing w:val="-4"/>
        </w:rPr>
        <w:t xml:space="preserve"> </w:t>
      </w:r>
      <w:r>
        <w:t>The</w:t>
      </w:r>
      <w:r>
        <w:rPr>
          <w:spacing w:val="-4"/>
        </w:rPr>
        <w:t xml:space="preserve"> </w:t>
      </w:r>
      <w:r>
        <w:t>first</w:t>
      </w:r>
      <w:r>
        <w:rPr>
          <w:spacing w:val="-4"/>
        </w:rPr>
        <w:t xml:space="preserve"> </w:t>
      </w:r>
      <w:r>
        <w:t>step</w:t>
      </w:r>
      <w:r>
        <w:rPr>
          <w:spacing w:val="-5"/>
        </w:rPr>
        <w:t xml:space="preserve"> </w:t>
      </w:r>
      <w:r>
        <w:t>in</w:t>
      </w:r>
      <w:r>
        <w:rPr>
          <w:spacing w:val="-4"/>
        </w:rPr>
        <w:t xml:space="preserve"> </w:t>
      </w:r>
      <w:r>
        <w:t>conducting</w:t>
      </w:r>
      <w:r>
        <w:rPr>
          <w:spacing w:val="-4"/>
        </w:rPr>
        <w:t xml:space="preserve"> </w:t>
      </w:r>
      <w:r>
        <w:t>this</w:t>
      </w:r>
      <w:r>
        <w:rPr>
          <w:spacing w:val="-4"/>
        </w:rPr>
        <w:t xml:space="preserve"> </w:t>
      </w:r>
      <w:r>
        <w:t>mapping</w:t>
      </w:r>
      <w:r>
        <w:rPr>
          <w:spacing w:val="-4"/>
        </w:rPr>
        <w:t xml:space="preserve"> </w:t>
      </w:r>
      <w:r>
        <w:t>was</w:t>
      </w:r>
      <w:r>
        <w:rPr>
          <w:spacing w:val="-4"/>
        </w:rPr>
        <w:t xml:space="preserve"> </w:t>
      </w:r>
      <w:r>
        <w:t>categorizing</w:t>
      </w:r>
      <w:r>
        <w:rPr>
          <w:spacing w:val="-4"/>
        </w:rPr>
        <w:t xml:space="preserve"> </w:t>
      </w:r>
      <w:r>
        <w:t>each</w:t>
      </w:r>
      <w:r>
        <w:rPr>
          <w:spacing w:val="-4"/>
        </w:rPr>
        <w:t xml:space="preserve"> </w:t>
      </w:r>
      <w:r>
        <w:t>surveyed</w:t>
      </w:r>
      <w:r>
        <w:rPr>
          <w:spacing w:val="-4"/>
        </w:rPr>
        <w:t xml:space="preserve"> </w:t>
      </w:r>
      <w:r>
        <w:t xml:space="preserve">technology as high or low for the attributes shown in </w:t>
      </w:r>
      <w:hyperlink w:history="1" w:anchor="_bookmark142">
        <w:r>
          <w:t>Table 3-16</w:t>
        </w:r>
      </w:hyperlink>
      <w:r>
        <w:t xml:space="preserve">. Each technology in the 2021 Study was then mapped to the surveyed technologies with which it shares the most attribute </w:t>
      </w:r>
      <w:r>
        <w:rPr>
          <w:spacing w:val="-2"/>
        </w:rPr>
        <w:t>catego</w:t>
      </w:r>
      <w:r>
        <w:rPr>
          <w:spacing w:val="-2"/>
        </w:rPr>
        <w:t>rizations.</w:t>
      </w:r>
    </w:p>
    <w:p w:rsidR="00C31389" w:rsidRDefault="00C31389" w14:paraId="3C68EF6C" w14:textId="77777777">
      <w:pPr>
        <w:pStyle w:val="BodyText"/>
        <w:spacing w:before="10"/>
        <w:rPr>
          <w:sz w:val="20"/>
        </w:rPr>
      </w:pPr>
    </w:p>
    <w:p w:rsidR="00C31389" w:rsidRDefault="00561FBD" w14:paraId="20B5D15C" w14:textId="77777777">
      <w:pPr>
        <w:pStyle w:val="Heading7"/>
        <w:ind w:left="565" w:right="566"/>
        <w:jc w:val="center"/>
      </w:pPr>
      <w:bookmarkStart w:name="_bookmark142" w:id="191"/>
      <w:bookmarkEnd w:id="191"/>
      <w:r>
        <w:t>Table</w:t>
      </w:r>
      <w:r>
        <w:rPr>
          <w:spacing w:val="-8"/>
        </w:rPr>
        <w:t xml:space="preserve"> </w:t>
      </w:r>
      <w:r>
        <w:t>3-16.</w:t>
      </w:r>
      <w:r>
        <w:rPr>
          <w:spacing w:val="-8"/>
        </w:rPr>
        <w:t xml:space="preserve"> </w:t>
      </w:r>
      <w:r>
        <w:t>Technology</w:t>
      </w:r>
      <w:r>
        <w:rPr>
          <w:spacing w:val="-8"/>
        </w:rPr>
        <w:t xml:space="preserve"> </w:t>
      </w:r>
      <w:r>
        <w:t>Attributes</w:t>
      </w:r>
      <w:r>
        <w:rPr>
          <w:spacing w:val="-6"/>
        </w:rPr>
        <w:t xml:space="preserve"> </w:t>
      </w:r>
      <w:r>
        <w:t>and</w:t>
      </w:r>
      <w:r>
        <w:rPr>
          <w:spacing w:val="-8"/>
        </w:rPr>
        <w:t xml:space="preserve"> </w:t>
      </w:r>
      <w:r>
        <w:rPr>
          <w:spacing w:val="-2"/>
        </w:rPr>
        <w:t>Examples</w:t>
      </w:r>
    </w:p>
    <w:p w:rsidR="00C31389" w:rsidRDefault="00C31389" w14:paraId="7A2D8911" w14:textId="77777777">
      <w:pPr>
        <w:pStyle w:val="BodyText"/>
        <w:spacing w:before="5"/>
        <w:rPr>
          <w:b/>
          <w:sz w:val="10"/>
        </w:rPr>
      </w:pPr>
    </w:p>
    <w:p w:rsidR="00C31389" w:rsidRDefault="00561FBD" w14:paraId="3FF0386D" w14:textId="77777777">
      <w:pPr>
        <w:pStyle w:val="BodyText"/>
        <w:ind w:left="411"/>
        <w:rPr>
          <w:sz w:val="20"/>
        </w:rPr>
      </w:pPr>
      <w:r>
        <w:rPr>
          <w:noProof/>
          <w:sz w:val="20"/>
        </w:rPr>
        <mc:AlternateContent>
          <mc:Choice Requires="wpg">
            <w:drawing>
              <wp:inline distT="0" distB="0" distL="0" distR="0" wp14:anchorId="6A9B8A50" wp14:editId="6C160317">
                <wp:extent cx="6031230" cy="408940"/>
                <wp:effectExtent l="0" t="0" r="0" b="634"/>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408940"/>
                          <a:chOff x="0" y="0"/>
                          <a:chExt cx="6031230" cy="408940"/>
                        </a:xfrm>
                      </wpg:grpSpPr>
                      <wps:wsp>
                        <wps:cNvPr id="335" name="Graphic 335"/>
                        <wps:cNvSpPr/>
                        <wps:spPr>
                          <a:xfrm>
                            <a:off x="0" y="0"/>
                            <a:ext cx="6031230" cy="408940"/>
                          </a:xfrm>
                          <a:custGeom>
                            <a:avLst/>
                            <a:gdLst/>
                            <a:ahLst/>
                            <a:cxnLst/>
                            <a:rect l="l" t="t" r="r" b="b"/>
                            <a:pathLst>
                              <a:path w="6031230" h="408940">
                                <a:moveTo>
                                  <a:pt x="1351775" y="0"/>
                                </a:moveTo>
                                <a:lnTo>
                                  <a:pt x="0" y="0"/>
                                </a:lnTo>
                                <a:lnTo>
                                  <a:pt x="0" y="402323"/>
                                </a:lnTo>
                                <a:lnTo>
                                  <a:pt x="0" y="408432"/>
                                </a:lnTo>
                                <a:lnTo>
                                  <a:pt x="1351775" y="408432"/>
                                </a:lnTo>
                                <a:lnTo>
                                  <a:pt x="1351775" y="402336"/>
                                </a:lnTo>
                                <a:lnTo>
                                  <a:pt x="1351775" y="0"/>
                                </a:lnTo>
                                <a:close/>
                              </a:path>
                              <a:path w="6031230" h="408940">
                                <a:moveTo>
                                  <a:pt x="6031230" y="402323"/>
                                </a:moveTo>
                                <a:lnTo>
                                  <a:pt x="6030468" y="402323"/>
                                </a:lnTo>
                                <a:lnTo>
                                  <a:pt x="6030468" y="0"/>
                                </a:lnTo>
                                <a:lnTo>
                                  <a:pt x="3846576" y="0"/>
                                </a:lnTo>
                                <a:lnTo>
                                  <a:pt x="1351788" y="0"/>
                                </a:lnTo>
                                <a:lnTo>
                                  <a:pt x="1351788" y="402323"/>
                                </a:lnTo>
                                <a:lnTo>
                                  <a:pt x="1351788" y="408432"/>
                                </a:lnTo>
                                <a:lnTo>
                                  <a:pt x="1357884" y="408432"/>
                                </a:lnTo>
                                <a:lnTo>
                                  <a:pt x="3846576" y="408432"/>
                                </a:lnTo>
                                <a:lnTo>
                                  <a:pt x="3852672" y="408432"/>
                                </a:lnTo>
                                <a:lnTo>
                                  <a:pt x="6031230" y="408432"/>
                                </a:lnTo>
                                <a:lnTo>
                                  <a:pt x="6031230" y="402323"/>
                                </a:lnTo>
                                <a:close/>
                              </a:path>
                            </a:pathLst>
                          </a:custGeom>
                          <a:solidFill>
                            <a:srgbClr val="92D400"/>
                          </a:solidFill>
                        </wps:spPr>
                        <wps:bodyPr wrap="square" lIns="0" tIns="0" rIns="0" bIns="0" rtlCol="0">
                          <a:prstTxWarp prst="textNoShape">
                            <a:avLst/>
                          </a:prstTxWarp>
                          <a:noAutofit/>
                        </wps:bodyPr>
                      </wps:wsp>
                      <wps:wsp>
                        <wps:cNvPr id="336" name="Textbox 336"/>
                        <wps:cNvSpPr txBox="1"/>
                        <wps:spPr>
                          <a:xfrm>
                            <a:off x="72389" y="59298"/>
                            <a:ext cx="726440" cy="288925"/>
                          </a:xfrm>
                          <a:prstGeom prst="rect">
                            <a:avLst/>
                          </a:prstGeom>
                        </wps:spPr>
                        <wps:txbx>
                          <w:txbxContent>
                            <w:p w:rsidR="00C31389" w:rsidRDefault="00561FBD" w14:paraId="33C5796A" w14:textId="77777777">
                              <w:pPr>
                                <w:rPr>
                                  <w:b/>
                                  <w:sz w:val="20"/>
                                </w:rPr>
                              </w:pPr>
                              <w:r>
                                <w:rPr>
                                  <w:b/>
                                  <w:spacing w:val="-2"/>
                                  <w:sz w:val="20"/>
                                </w:rPr>
                                <w:t>Technology Attribute</w:t>
                              </w:r>
                            </w:p>
                          </w:txbxContent>
                        </wps:txbx>
                        <wps:bodyPr wrap="square" lIns="0" tIns="0" rIns="0" bIns="0" rtlCol="0">
                          <a:noAutofit/>
                        </wps:bodyPr>
                      </wps:wsp>
                      <wps:wsp>
                        <wps:cNvPr id="337" name="Textbox 337"/>
                        <wps:cNvSpPr txBox="1"/>
                        <wps:spPr>
                          <a:xfrm>
                            <a:off x="1424939" y="132450"/>
                            <a:ext cx="712470" cy="142240"/>
                          </a:xfrm>
                          <a:prstGeom prst="rect">
                            <a:avLst/>
                          </a:prstGeom>
                        </wps:spPr>
                        <wps:txbx>
                          <w:txbxContent>
                            <w:p w:rsidR="00C31389" w:rsidRDefault="00561FBD" w14:paraId="6FB3D66D" w14:textId="77777777">
                              <w:pPr>
                                <w:spacing w:line="224" w:lineRule="exact"/>
                                <w:rPr>
                                  <w:b/>
                                  <w:sz w:val="20"/>
                                </w:rPr>
                              </w:pPr>
                              <w:r>
                                <w:rPr>
                                  <w:b/>
                                  <w:spacing w:val="-2"/>
                                  <w:sz w:val="20"/>
                                </w:rPr>
                                <w:t>Description</w:t>
                              </w:r>
                            </w:p>
                          </w:txbxContent>
                        </wps:txbx>
                        <wps:bodyPr wrap="square" lIns="0" tIns="0" rIns="0" bIns="0" rtlCol="0">
                          <a:noAutofit/>
                        </wps:bodyPr>
                      </wps:wsp>
                      <wps:wsp>
                        <wps:cNvPr id="338" name="Textbox 338"/>
                        <wps:cNvSpPr txBox="1"/>
                        <wps:spPr>
                          <a:xfrm>
                            <a:off x="3919728" y="132450"/>
                            <a:ext cx="606425" cy="142240"/>
                          </a:xfrm>
                          <a:prstGeom prst="rect">
                            <a:avLst/>
                          </a:prstGeom>
                        </wps:spPr>
                        <wps:txbx>
                          <w:txbxContent>
                            <w:p w:rsidR="00C31389" w:rsidRDefault="00561FBD" w14:paraId="6DDCC841" w14:textId="77777777">
                              <w:pPr>
                                <w:spacing w:line="224" w:lineRule="exact"/>
                                <w:rPr>
                                  <w:b/>
                                  <w:sz w:val="20"/>
                                </w:rPr>
                              </w:pPr>
                              <w:r>
                                <w:rPr>
                                  <w:b/>
                                  <w:spacing w:val="-2"/>
                                  <w:sz w:val="20"/>
                                </w:rPr>
                                <w:t>Examples</w:t>
                              </w:r>
                            </w:p>
                          </w:txbxContent>
                        </wps:txbx>
                        <wps:bodyPr wrap="square" lIns="0" tIns="0" rIns="0" bIns="0" rtlCol="0">
                          <a:noAutofit/>
                        </wps:bodyPr>
                      </wps:wsp>
                    </wpg:wgp>
                  </a:graphicData>
                </a:graphic>
              </wp:inline>
            </w:drawing>
          </mc:Choice>
          <mc:Fallback>
            <w:pict>
              <v:group id="Group 334" style="width:474.9pt;height:32.2pt;mso-position-horizontal-relative:char;mso-position-vertical-relative:line" coordsize="60312,4089" o:spid="_x0000_s1119" w14:anchorId="6A9B8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">
                <v:shape id="Graphic 335" style="position:absolute;width:60312;height:4089;visibility:visible;mso-wrap-style:square;v-text-anchor:top" coordsize="6031230,408940" o:spid="_x0000_s1120" fillcolor="#92d400" stroked="f" path="m1351775,l,,,402323r,6109l1351775,408432r,-6096l1351775,xem6031230,402323r-762,l6030468,,3846576,,1351788,r,402323l1351788,408432r6096,l3846576,408432r6096,l6031230,408432r,-6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">
                  <v:path arrowok="t"/>
                </v:shape>
                <v:shape id="Textbox 336" style="position:absolute;left:723;top:592;width:7265;height:2890;visibility:visible;mso-wrap-style:square;v-text-anchor:top" o:spid="_x0000_s112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v:textbox inset="0,0,0,0">
                    <w:txbxContent>
                      <w:p w:rsidR="00C31389" w:rsidRDefault="00561FBD" w14:paraId="33C5796A" w14:textId="77777777">
                        <w:pPr>
                          <w:rPr>
                            <w:b/>
                            <w:sz w:val="20"/>
                          </w:rPr>
                        </w:pPr>
                        <w:r>
                          <w:rPr>
                            <w:b/>
                            <w:spacing w:val="-2"/>
                            <w:sz w:val="20"/>
                          </w:rPr>
                          <w:t>Technology Attribute</w:t>
                        </w:r>
                      </w:p>
                    </w:txbxContent>
                  </v:textbox>
                </v:shape>
                <v:shape id="Textbox 337" style="position:absolute;left:14249;top:1324;width:7125;height:1422;visibility:visible;mso-wrap-style:square;v-text-anchor:top" o:spid="_x0000_s112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v:textbox inset="0,0,0,0">
                    <w:txbxContent>
                      <w:p w:rsidR="00C31389" w:rsidRDefault="00561FBD" w14:paraId="6FB3D66D" w14:textId="77777777">
                        <w:pPr>
                          <w:spacing w:line="224" w:lineRule="exact"/>
                          <w:rPr>
                            <w:b/>
                            <w:sz w:val="20"/>
                          </w:rPr>
                        </w:pPr>
                        <w:r>
                          <w:rPr>
                            <w:b/>
                            <w:spacing w:val="-2"/>
                            <w:sz w:val="20"/>
                          </w:rPr>
                          <w:t>Description</w:t>
                        </w:r>
                      </w:p>
                    </w:txbxContent>
                  </v:textbox>
                </v:shape>
                <v:shape id="Textbox 338" style="position:absolute;left:39197;top:1324;width:6064;height:1422;visibility:visible;mso-wrap-style:square;v-text-anchor:top" o:spid="_x0000_s112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v:textbox inset="0,0,0,0">
                    <w:txbxContent>
                      <w:p w:rsidR="00C31389" w:rsidRDefault="00561FBD" w14:paraId="6DDCC841" w14:textId="77777777">
                        <w:pPr>
                          <w:spacing w:line="224" w:lineRule="exact"/>
                          <w:rPr>
                            <w:b/>
                            <w:sz w:val="20"/>
                          </w:rPr>
                        </w:pPr>
                        <w:r>
                          <w:rPr>
                            <w:b/>
                            <w:spacing w:val="-2"/>
                            <w:sz w:val="20"/>
                          </w:rPr>
                          <w:t>Examples</w:t>
                        </w:r>
                      </w:p>
                    </w:txbxContent>
                  </v:textbox>
                </v:shape>
                <w10:anchorlock/>
              </v:group>
            </w:pict>
          </mc:Fallback>
        </mc:AlternateContent>
      </w:r>
    </w:p>
    <w:p w:rsidR="00C31389" w:rsidRDefault="00C31389" w14:paraId="7DB1931F" w14:textId="77777777">
      <w:pPr>
        <w:rPr>
          <w:sz w:val="20"/>
        </w:rPr>
        <w:sectPr w:rsidR="00C31389">
          <w:pgSz w:w="12240" w:h="15840"/>
          <w:pgMar w:top="1380" w:right="960" w:bottom="1120" w:left="960" w:header="397" w:footer="936" w:gutter="0"/>
          <w:cols w:space="720"/>
        </w:sectPr>
      </w:pPr>
    </w:p>
    <w:p w:rsidR="00C31389" w:rsidRDefault="00561FBD" w14:paraId="20661130" w14:textId="77777777">
      <w:pPr>
        <w:tabs>
          <w:tab w:val="left" w:pos="2655"/>
        </w:tabs>
        <w:spacing w:before="78" w:line="158" w:lineRule="auto"/>
        <w:ind w:left="2655" w:hanging="2131"/>
        <w:rPr>
          <w:sz w:val="20"/>
        </w:rPr>
      </w:pPr>
      <w:r>
        <w:rPr>
          <w:b/>
          <w:spacing w:val="-2"/>
          <w:position w:val="-11"/>
          <w:sz w:val="20"/>
        </w:rPr>
        <w:t>Urgency</w:t>
      </w:r>
      <w:r>
        <w:rPr>
          <w:b/>
          <w:position w:val="-11"/>
          <w:sz w:val="20"/>
        </w:rPr>
        <w:tab/>
      </w:r>
      <w:r>
        <w:rPr>
          <w:sz w:val="20"/>
        </w:rPr>
        <w:t>How</w:t>
      </w:r>
      <w:r>
        <w:rPr>
          <w:spacing w:val="-6"/>
          <w:sz w:val="20"/>
        </w:rPr>
        <w:t xml:space="preserve"> </w:t>
      </w:r>
      <w:r>
        <w:rPr>
          <w:sz w:val="20"/>
        </w:rPr>
        <w:t>urgently</w:t>
      </w:r>
      <w:r>
        <w:rPr>
          <w:spacing w:val="-7"/>
          <w:sz w:val="20"/>
        </w:rPr>
        <w:t xml:space="preserve"> </w:t>
      </w:r>
      <w:r>
        <w:rPr>
          <w:sz w:val="20"/>
        </w:rPr>
        <w:t>a</w:t>
      </w:r>
      <w:r>
        <w:rPr>
          <w:spacing w:val="-7"/>
          <w:sz w:val="20"/>
        </w:rPr>
        <w:t xml:space="preserve"> </w:t>
      </w:r>
      <w:r>
        <w:rPr>
          <w:sz w:val="20"/>
        </w:rPr>
        <w:t>piece</w:t>
      </w:r>
      <w:r>
        <w:rPr>
          <w:spacing w:val="-7"/>
          <w:sz w:val="20"/>
        </w:rPr>
        <w:t xml:space="preserve"> </w:t>
      </w:r>
      <w:r>
        <w:rPr>
          <w:sz w:val="20"/>
        </w:rPr>
        <w:t>of</w:t>
      </w:r>
      <w:r>
        <w:rPr>
          <w:spacing w:val="-7"/>
          <w:sz w:val="20"/>
        </w:rPr>
        <w:t xml:space="preserve"> </w:t>
      </w:r>
      <w:r>
        <w:rPr>
          <w:sz w:val="20"/>
        </w:rPr>
        <w:t>equipment</w:t>
      </w:r>
      <w:r>
        <w:rPr>
          <w:spacing w:val="-7"/>
          <w:sz w:val="20"/>
        </w:rPr>
        <w:t xml:space="preserve"> </w:t>
      </w:r>
      <w:r>
        <w:rPr>
          <w:sz w:val="20"/>
        </w:rPr>
        <w:t>needs to be replaced when it fails</w:t>
      </w:r>
    </w:p>
    <w:p w:rsidR="00C31389" w:rsidRDefault="00561FBD" w14:paraId="06AE1AE9" w14:textId="77777777">
      <w:pPr>
        <w:spacing w:before="165"/>
        <w:ind w:left="2655"/>
        <w:rPr>
          <w:sz w:val="20"/>
        </w:rPr>
      </w:pPr>
      <w:r>
        <w:rPr>
          <w:noProof/>
        </w:rPr>
        <mc:AlternateContent>
          <mc:Choice Requires="wps">
            <w:drawing>
              <wp:anchor distT="0" distB="0" distL="0" distR="0" simplePos="0" relativeHeight="15781888" behindDoc="0" locked="0" layoutInCell="1" allowOverlap="1" wp14:editId="3898C687" wp14:anchorId="23817601">
                <wp:simplePos x="0" y="0"/>
                <wp:positionH relativeFrom="page">
                  <wp:posOffset>870966</wp:posOffset>
                </wp:positionH>
                <wp:positionV relativeFrom="paragraph">
                  <wp:posOffset>60831</wp:posOffset>
                </wp:positionV>
                <wp:extent cx="6031230" cy="317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3175"/>
                        </a:xfrm>
                        <a:custGeom>
                          <a:avLst/>
                          <a:gdLst/>
                          <a:ahLst/>
                          <a:cxnLst/>
                          <a:rect l="l" t="t" r="r" b="b"/>
                          <a:pathLst>
                            <a:path w="6031230" h="3175">
                              <a:moveTo>
                                <a:pt x="1351775" y="0"/>
                              </a:moveTo>
                              <a:lnTo>
                                <a:pt x="0" y="0"/>
                              </a:lnTo>
                              <a:lnTo>
                                <a:pt x="0" y="3048"/>
                              </a:lnTo>
                              <a:lnTo>
                                <a:pt x="1351775" y="3048"/>
                              </a:lnTo>
                              <a:lnTo>
                                <a:pt x="1351775" y="0"/>
                              </a:lnTo>
                              <a:close/>
                            </a:path>
                            <a:path w="6031230" h="3175">
                              <a:moveTo>
                                <a:pt x="1354823" y="0"/>
                              </a:moveTo>
                              <a:lnTo>
                                <a:pt x="1351788" y="0"/>
                              </a:lnTo>
                              <a:lnTo>
                                <a:pt x="1351788" y="3048"/>
                              </a:lnTo>
                              <a:lnTo>
                                <a:pt x="1354823" y="3048"/>
                              </a:lnTo>
                              <a:lnTo>
                                <a:pt x="1354823" y="0"/>
                              </a:lnTo>
                              <a:close/>
                            </a:path>
                            <a:path w="6031230" h="3175">
                              <a:moveTo>
                                <a:pt x="6031230" y="0"/>
                              </a:moveTo>
                              <a:lnTo>
                                <a:pt x="3849624" y="0"/>
                              </a:lnTo>
                              <a:lnTo>
                                <a:pt x="3846576" y="0"/>
                              </a:lnTo>
                              <a:lnTo>
                                <a:pt x="1354836" y="0"/>
                              </a:lnTo>
                              <a:lnTo>
                                <a:pt x="1354836" y="3048"/>
                              </a:lnTo>
                              <a:lnTo>
                                <a:pt x="3846576" y="3048"/>
                              </a:lnTo>
                              <a:lnTo>
                                <a:pt x="3849624" y="3048"/>
                              </a:lnTo>
                              <a:lnTo>
                                <a:pt x="6031230" y="3048"/>
                              </a:lnTo>
                              <a:lnTo>
                                <a:pt x="6031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339" style="position:absolute;margin-left:68.6pt;margin-top:4.8pt;width:474.9pt;height:.25pt;z-index:15781888;visibility:visible;mso-wrap-style:square;mso-wrap-distance-left:0;mso-wrap-distance-top:0;mso-wrap-distance-right:0;mso-wrap-distance-bottom:0;mso-position-horizontal:absolute;mso-position-horizontal-relative:page;mso-position-vertical:absolute;mso-position-vertical-relative:text;v-text-anchor:top" coordsize="6031230,3175" o:spid="_x0000_s1026" fillcolor="#d9d9d9" stroked="f" path="m1351775,l,,,3048r1351775,l1351775,xem1354823,r-3035,l1351788,3048r3035,l1354823,xem6031230,l3849624,r-3048,l1354836,r,3048l3846576,3048r3048,l6031230,3048r,-3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" w14:anchorId="26A5F9B8">
                <v:path arrowok="t"/>
                <w10:wrap anchorx="page"/>
              </v:shape>
            </w:pict>
          </mc:Fallback>
        </mc:AlternateContent>
      </w:r>
      <w:r>
        <w:rPr>
          <w:sz w:val="20"/>
        </w:rPr>
        <w:t>Whether</w:t>
      </w:r>
      <w:r>
        <w:rPr>
          <w:spacing w:val="-3"/>
          <w:sz w:val="20"/>
        </w:rPr>
        <w:t xml:space="preserve"> </w:t>
      </w:r>
      <w:r>
        <w:rPr>
          <w:sz w:val="20"/>
        </w:rPr>
        <w:t>or</w:t>
      </w:r>
      <w:r>
        <w:rPr>
          <w:spacing w:val="-2"/>
          <w:sz w:val="20"/>
        </w:rPr>
        <w:t xml:space="preserve"> </w:t>
      </w:r>
      <w:r>
        <w:rPr>
          <w:sz w:val="20"/>
        </w:rPr>
        <w:t>not</w:t>
      </w:r>
      <w:r>
        <w:rPr>
          <w:spacing w:val="-3"/>
          <w:sz w:val="20"/>
        </w:rPr>
        <w:t xml:space="preserve"> </w:t>
      </w:r>
      <w:r>
        <w:rPr>
          <w:sz w:val="20"/>
        </w:rPr>
        <w:t>the</w:t>
      </w:r>
      <w:r>
        <w:rPr>
          <w:spacing w:val="-2"/>
          <w:sz w:val="20"/>
        </w:rPr>
        <w:t xml:space="preserve"> </w:t>
      </w:r>
      <w:r>
        <w:rPr>
          <w:sz w:val="20"/>
        </w:rPr>
        <w:t>equipment</w:t>
      </w:r>
      <w:r>
        <w:rPr>
          <w:spacing w:val="-3"/>
          <w:sz w:val="20"/>
        </w:rPr>
        <w:t xml:space="preserve"> </w:t>
      </w:r>
      <w:r>
        <w:rPr>
          <w:sz w:val="20"/>
        </w:rPr>
        <w:t>is</w:t>
      </w:r>
      <w:r>
        <w:rPr>
          <w:spacing w:val="-2"/>
          <w:sz w:val="20"/>
        </w:rPr>
        <w:t xml:space="preserve"> visible</w:t>
      </w:r>
    </w:p>
    <w:p w:rsidR="00C31389" w:rsidRDefault="00561FBD" w14:paraId="604B0029" w14:textId="77777777">
      <w:pPr>
        <w:spacing w:before="36" w:line="280" w:lineRule="auto"/>
        <w:ind w:left="207" w:right="1276"/>
        <w:rPr>
          <w:sz w:val="20"/>
        </w:rPr>
      </w:pPr>
      <w:r>
        <w:br w:type="column"/>
      </w:r>
      <w:r>
        <w:rPr>
          <w:sz w:val="20"/>
        </w:rPr>
        <w:t xml:space="preserve">Low </w:t>
      </w:r>
      <w:r>
        <w:rPr>
          <w:sz w:val="20"/>
        </w:rPr>
        <w:t>urgency: LED bulb High</w:t>
      </w:r>
      <w:r>
        <w:rPr>
          <w:spacing w:val="-13"/>
          <w:sz w:val="20"/>
        </w:rPr>
        <w:t xml:space="preserve"> </w:t>
      </w:r>
      <w:r>
        <w:rPr>
          <w:sz w:val="20"/>
        </w:rPr>
        <w:t>urgency:</w:t>
      </w:r>
      <w:r>
        <w:rPr>
          <w:spacing w:val="-13"/>
          <w:sz w:val="20"/>
        </w:rPr>
        <w:t xml:space="preserve"> </w:t>
      </w:r>
      <w:r>
        <w:rPr>
          <w:sz w:val="20"/>
        </w:rPr>
        <w:t>Water</w:t>
      </w:r>
      <w:r>
        <w:rPr>
          <w:spacing w:val="-13"/>
          <w:sz w:val="20"/>
        </w:rPr>
        <w:t xml:space="preserve"> </w:t>
      </w:r>
      <w:r>
        <w:rPr>
          <w:sz w:val="20"/>
        </w:rPr>
        <w:t>heater</w:t>
      </w:r>
    </w:p>
    <w:p w:rsidR="00C31389" w:rsidRDefault="00561FBD" w14:paraId="3852027B" w14:textId="77777777">
      <w:pPr>
        <w:spacing w:before="187" w:line="141" w:lineRule="exact"/>
        <w:ind w:left="208"/>
        <w:rPr>
          <w:sz w:val="20"/>
        </w:rPr>
      </w:pPr>
      <w:r>
        <w:rPr>
          <w:sz w:val="20"/>
        </w:rPr>
        <w:t>Visible:</w:t>
      </w:r>
      <w:r>
        <w:rPr>
          <w:spacing w:val="-5"/>
          <w:sz w:val="20"/>
        </w:rPr>
        <w:t xml:space="preserve"> </w:t>
      </w:r>
      <w:r>
        <w:rPr>
          <w:sz w:val="20"/>
        </w:rPr>
        <w:t>Clothes</w:t>
      </w:r>
      <w:r>
        <w:rPr>
          <w:spacing w:val="-4"/>
          <w:sz w:val="20"/>
        </w:rPr>
        <w:t xml:space="preserve"> dryer</w:t>
      </w:r>
    </w:p>
    <w:p w:rsidR="00C31389" w:rsidRDefault="00C31389" w14:paraId="3D35FD81" w14:textId="77777777">
      <w:pPr>
        <w:spacing w:line="141" w:lineRule="exact"/>
        <w:rPr>
          <w:sz w:val="20"/>
        </w:rPr>
        <w:sectPr w:rsidR="00C31389">
          <w:type w:val="continuous"/>
          <w:pgSz w:w="12240" w:h="15840"/>
          <w:pgMar w:top="0" w:right="960" w:bottom="280" w:left="960" w:header="397" w:footer="936" w:gutter="0"/>
          <w:cols w:equalWidth="0" w:space="720" w:num="2">
            <w:col w:w="6337" w:space="40"/>
            <w:col w:w="3943"/>
          </w:cols>
        </w:sectPr>
      </w:pPr>
    </w:p>
    <w:p w:rsidR="00C31389" w:rsidRDefault="00561FBD" w14:paraId="5B4B0904" w14:textId="77777777">
      <w:pPr>
        <w:spacing w:line="224" w:lineRule="exact"/>
        <w:ind w:left="525"/>
        <w:rPr>
          <w:b/>
          <w:sz w:val="20"/>
        </w:rPr>
      </w:pPr>
      <w:r>
        <w:rPr>
          <w:b/>
          <w:spacing w:val="-2"/>
          <w:sz w:val="20"/>
        </w:rPr>
        <w:t>Visibility</w:t>
      </w:r>
    </w:p>
    <w:p w:rsidR="00C31389" w:rsidRDefault="00C31389" w14:paraId="68A5BF68" w14:textId="77777777">
      <w:pPr>
        <w:pStyle w:val="BodyText"/>
        <w:rPr>
          <w:b/>
        </w:rPr>
      </w:pPr>
    </w:p>
    <w:p w:rsidR="00C31389" w:rsidRDefault="00C31389" w14:paraId="39ACFAA2" w14:textId="77777777">
      <w:pPr>
        <w:pStyle w:val="BodyText"/>
        <w:spacing w:before="5"/>
        <w:rPr>
          <w:b/>
          <w:sz w:val="27"/>
        </w:rPr>
      </w:pPr>
    </w:p>
    <w:p w:rsidR="00C31389" w:rsidRDefault="00561FBD" w14:paraId="3C17EA60" w14:textId="77777777">
      <w:pPr>
        <w:ind w:left="525"/>
        <w:rPr>
          <w:b/>
          <w:sz w:val="20"/>
        </w:rPr>
      </w:pPr>
      <w:r>
        <w:rPr>
          <w:noProof/>
        </w:rPr>
        <mc:AlternateContent>
          <mc:Choice Requires="wps">
            <w:drawing>
              <wp:anchor distT="0" distB="0" distL="0" distR="0" simplePos="0" relativeHeight="15782400" behindDoc="0" locked="0" layoutInCell="1" allowOverlap="1" wp14:editId="4FC8B240" wp14:anchorId="5804EB6E">
                <wp:simplePos x="0" y="0"/>
                <wp:positionH relativeFrom="page">
                  <wp:posOffset>870966</wp:posOffset>
                </wp:positionH>
                <wp:positionV relativeFrom="paragraph">
                  <wp:posOffset>-175007</wp:posOffset>
                </wp:positionV>
                <wp:extent cx="6031230" cy="317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3175"/>
                        </a:xfrm>
                        <a:custGeom>
                          <a:avLst/>
                          <a:gdLst/>
                          <a:ahLst/>
                          <a:cxnLst/>
                          <a:rect l="l" t="t" r="r" b="b"/>
                          <a:pathLst>
                            <a:path w="6031230" h="3175">
                              <a:moveTo>
                                <a:pt x="1351775" y="0"/>
                              </a:moveTo>
                              <a:lnTo>
                                <a:pt x="0" y="0"/>
                              </a:lnTo>
                              <a:lnTo>
                                <a:pt x="0" y="3048"/>
                              </a:lnTo>
                              <a:lnTo>
                                <a:pt x="1351775" y="3048"/>
                              </a:lnTo>
                              <a:lnTo>
                                <a:pt x="1351775" y="0"/>
                              </a:lnTo>
                              <a:close/>
                            </a:path>
                            <a:path w="6031230" h="3175">
                              <a:moveTo>
                                <a:pt x="1354823" y="0"/>
                              </a:moveTo>
                              <a:lnTo>
                                <a:pt x="1351788" y="0"/>
                              </a:lnTo>
                              <a:lnTo>
                                <a:pt x="1351788" y="3048"/>
                              </a:lnTo>
                              <a:lnTo>
                                <a:pt x="1354823" y="3048"/>
                              </a:lnTo>
                              <a:lnTo>
                                <a:pt x="1354823" y="0"/>
                              </a:lnTo>
                              <a:close/>
                            </a:path>
                            <a:path w="6031230" h="3175">
                              <a:moveTo>
                                <a:pt x="6031230" y="0"/>
                              </a:moveTo>
                              <a:lnTo>
                                <a:pt x="3849624" y="0"/>
                              </a:lnTo>
                              <a:lnTo>
                                <a:pt x="3846576" y="0"/>
                              </a:lnTo>
                              <a:lnTo>
                                <a:pt x="1354836" y="0"/>
                              </a:lnTo>
                              <a:lnTo>
                                <a:pt x="1354836" y="3048"/>
                              </a:lnTo>
                              <a:lnTo>
                                <a:pt x="3846576" y="3048"/>
                              </a:lnTo>
                              <a:lnTo>
                                <a:pt x="3849624" y="3048"/>
                              </a:lnTo>
                              <a:lnTo>
                                <a:pt x="6031230" y="3048"/>
                              </a:lnTo>
                              <a:lnTo>
                                <a:pt x="6031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340" style="position:absolute;margin-left:68.6pt;margin-top:-13.8pt;width:474.9pt;height:.25pt;z-index:15782400;visibility:visible;mso-wrap-style:square;mso-wrap-distance-left:0;mso-wrap-distance-top:0;mso-wrap-distance-right:0;mso-wrap-distance-bottom:0;mso-position-horizontal:absolute;mso-position-horizontal-relative:page;mso-position-vertical:absolute;mso-position-vertical-relative:text;v-text-anchor:top" coordsize="6031230,3175" o:spid="_x0000_s1026" fillcolor="#d9d9d9" stroked="f" path="m1351775,l,,,3048r1351775,l1351775,xem1354823,r-3035,l1351788,3048r3035,l1354823,xem6031230,l3849624,r-3048,l1354836,r,3048l3846576,3048r3048,l6031230,3048r,-3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" w14:anchorId="0DD24785">
                <v:path arrowok="t"/>
                <w10:wrap anchorx="page"/>
              </v:shape>
            </w:pict>
          </mc:Fallback>
        </mc:AlternateContent>
      </w:r>
      <w:r>
        <w:rPr>
          <w:b/>
          <w:spacing w:val="-2"/>
          <w:sz w:val="20"/>
        </w:rPr>
        <w:t>Disruption</w:t>
      </w:r>
    </w:p>
    <w:p w:rsidR="00C31389" w:rsidRDefault="00561FBD" w14:paraId="7C873053" w14:textId="77777777">
      <w:pPr>
        <w:ind w:left="525"/>
        <w:rPr>
          <w:sz w:val="20"/>
        </w:rPr>
      </w:pPr>
      <w:r>
        <w:br w:type="column"/>
      </w:r>
      <w:r>
        <w:rPr>
          <w:sz w:val="20"/>
        </w:rPr>
        <w:t>on</w:t>
      </w:r>
      <w:r>
        <w:rPr>
          <w:spacing w:val="-7"/>
          <w:sz w:val="20"/>
        </w:rPr>
        <w:t xml:space="preserve"> </w:t>
      </w:r>
      <w:r>
        <w:rPr>
          <w:sz w:val="20"/>
        </w:rPr>
        <w:t>the</w:t>
      </w:r>
      <w:r>
        <w:rPr>
          <w:spacing w:val="-7"/>
          <w:sz w:val="20"/>
        </w:rPr>
        <w:t xml:space="preserve"> </w:t>
      </w:r>
      <w:r>
        <w:rPr>
          <w:sz w:val="20"/>
        </w:rPr>
        <w:t>customer</w:t>
      </w:r>
      <w:r>
        <w:rPr>
          <w:spacing w:val="-6"/>
          <w:sz w:val="20"/>
        </w:rPr>
        <w:t xml:space="preserve"> </w:t>
      </w:r>
      <w:r>
        <w:rPr>
          <w:sz w:val="20"/>
        </w:rPr>
        <w:t>premise</w:t>
      </w:r>
      <w:r>
        <w:rPr>
          <w:spacing w:val="-8"/>
          <w:sz w:val="20"/>
        </w:rPr>
        <w:t xml:space="preserve"> </w:t>
      </w:r>
      <w:r>
        <w:rPr>
          <w:sz w:val="20"/>
        </w:rPr>
        <w:t>on</w:t>
      </w:r>
      <w:r>
        <w:rPr>
          <w:spacing w:val="-7"/>
          <w:sz w:val="20"/>
        </w:rPr>
        <w:t xml:space="preserve"> </w:t>
      </w:r>
      <w:r>
        <w:rPr>
          <w:sz w:val="20"/>
        </w:rPr>
        <w:t>a</w:t>
      </w:r>
      <w:r>
        <w:rPr>
          <w:spacing w:val="-7"/>
          <w:sz w:val="20"/>
        </w:rPr>
        <w:t xml:space="preserve"> </w:t>
      </w:r>
      <w:r>
        <w:rPr>
          <w:sz w:val="20"/>
        </w:rPr>
        <w:t xml:space="preserve">day-to-day </w:t>
      </w:r>
      <w:r>
        <w:rPr>
          <w:spacing w:val="-2"/>
          <w:sz w:val="20"/>
        </w:rPr>
        <w:t>basis</w:t>
      </w:r>
    </w:p>
    <w:p w:rsidR="00C31389" w:rsidRDefault="00561FBD" w14:paraId="6955DCFB" w14:textId="77777777">
      <w:pPr>
        <w:spacing w:before="102"/>
        <w:ind w:left="525"/>
        <w:rPr>
          <w:sz w:val="20"/>
        </w:rPr>
      </w:pPr>
      <w:r>
        <w:rPr>
          <w:sz w:val="20"/>
        </w:rPr>
        <w:t>Level</w:t>
      </w:r>
      <w:r>
        <w:rPr>
          <w:spacing w:val="-8"/>
          <w:sz w:val="20"/>
        </w:rPr>
        <w:t xml:space="preserve"> </w:t>
      </w:r>
      <w:r>
        <w:rPr>
          <w:sz w:val="20"/>
        </w:rPr>
        <w:t>of</w:t>
      </w:r>
      <w:r>
        <w:rPr>
          <w:spacing w:val="-8"/>
          <w:sz w:val="20"/>
        </w:rPr>
        <w:t xml:space="preserve"> </w:t>
      </w:r>
      <w:r>
        <w:rPr>
          <w:sz w:val="20"/>
        </w:rPr>
        <w:t>disruption</w:t>
      </w:r>
      <w:r>
        <w:rPr>
          <w:spacing w:val="-8"/>
          <w:sz w:val="20"/>
        </w:rPr>
        <w:t xml:space="preserve"> </w:t>
      </w:r>
      <w:r>
        <w:rPr>
          <w:sz w:val="20"/>
        </w:rPr>
        <w:t>experienced</w:t>
      </w:r>
      <w:r>
        <w:rPr>
          <w:spacing w:val="-8"/>
          <w:sz w:val="20"/>
        </w:rPr>
        <w:t xml:space="preserve"> </w:t>
      </w:r>
      <w:r>
        <w:rPr>
          <w:sz w:val="20"/>
        </w:rPr>
        <w:t>by</w:t>
      </w:r>
      <w:r>
        <w:rPr>
          <w:spacing w:val="-7"/>
          <w:sz w:val="20"/>
        </w:rPr>
        <w:t xml:space="preserve"> </w:t>
      </w:r>
      <w:r>
        <w:rPr>
          <w:sz w:val="20"/>
        </w:rPr>
        <w:t xml:space="preserve">the customer when adopting a new or </w:t>
      </w:r>
      <w:r>
        <w:rPr>
          <w:sz w:val="20"/>
        </w:rPr>
        <w:t>replacement</w:t>
      </w:r>
      <w:r>
        <w:rPr>
          <w:spacing w:val="-5"/>
          <w:sz w:val="20"/>
        </w:rPr>
        <w:t xml:space="preserve"> </w:t>
      </w:r>
      <w:r>
        <w:rPr>
          <w:sz w:val="20"/>
        </w:rPr>
        <w:t>version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equipment</w:t>
      </w:r>
    </w:p>
    <w:p w:rsidR="00C31389" w:rsidRDefault="00561FBD" w14:paraId="1E0B7AB4" w14:textId="77777777">
      <w:pPr>
        <w:spacing w:before="129"/>
        <w:ind w:left="242"/>
        <w:rPr>
          <w:sz w:val="20"/>
        </w:rPr>
      </w:pPr>
      <w:r>
        <w:br w:type="column"/>
      </w:r>
      <w:r>
        <w:rPr>
          <w:sz w:val="20"/>
        </w:rPr>
        <w:t>Invisible:</w:t>
      </w:r>
      <w:r>
        <w:rPr>
          <w:spacing w:val="-6"/>
          <w:sz w:val="20"/>
        </w:rPr>
        <w:t xml:space="preserve"> </w:t>
      </w:r>
      <w:r>
        <w:rPr>
          <w:spacing w:val="-2"/>
          <w:sz w:val="20"/>
        </w:rPr>
        <w:t>Insulation</w:t>
      </w:r>
    </w:p>
    <w:p w:rsidR="00C31389" w:rsidRDefault="00C31389" w14:paraId="396F05FC" w14:textId="77777777">
      <w:pPr>
        <w:pStyle w:val="BodyText"/>
        <w:spacing w:before="11"/>
        <w:rPr>
          <w:sz w:val="25"/>
        </w:rPr>
      </w:pPr>
    </w:p>
    <w:p w:rsidR="00C31389" w:rsidRDefault="00561FBD" w14:paraId="73457008" w14:textId="77777777">
      <w:pPr>
        <w:spacing w:line="280" w:lineRule="auto"/>
        <w:ind w:left="242" w:right="981"/>
        <w:rPr>
          <w:sz w:val="20"/>
        </w:rPr>
      </w:pPr>
      <w:r>
        <w:rPr>
          <w:sz w:val="20"/>
        </w:rPr>
        <w:t>Low</w:t>
      </w:r>
      <w:r>
        <w:rPr>
          <w:spacing w:val="-12"/>
          <w:sz w:val="20"/>
        </w:rPr>
        <w:t xml:space="preserve"> </w:t>
      </w:r>
      <w:r>
        <w:rPr>
          <w:sz w:val="20"/>
        </w:rPr>
        <w:t>disruption:</w:t>
      </w:r>
      <w:r>
        <w:rPr>
          <w:spacing w:val="-13"/>
          <w:sz w:val="20"/>
        </w:rPr>
        <w:t xml:space="preserve"> </w:t>
      </w:r>
      <w:r>
        <w:rPr>
          <w:sz w:val="20"/>
        </w:rPr>
        <w:t>Power</w:t>
      </w:r>
      <w:r>
        <w:rPr>
          <w:spacing w:val="-13"/>
          <w:sz w:val="20"/>
        </w:rPr>
        <w:t xml:space="preserve"> </w:t>
      </w:r>
      <w:r>
        <w:rPr>
          <w:sz w:val="20"/>
        </w:rPr>
        <w:t>strip High disruption: Insulation</w:t>
      </w:r>
    </w:p>
    <w:p w:rsidR="00C31389" w:rsidRDefault="00C31389" w14:paraId="49E7DACB" w14:textId="77777777">
      <w:pPr>
        <w:spacing w:line="280" w:lineRule="auto"/>
        <w:rPr>
          <w:sz w:val="20"/>
        </w:rPr>
        <w:sectPr w:rsidR="00C31389">
          <w:type w:val="continuous"/>
          <w:pgSz w:w="12240" w:h="15840"/>
          <w:pgMar w:top="0" w:right="960" w:bottom="280" w:left="960" w:header="397" w:footer="936" w:gutter="0"/>
          <w:cols w:equalWidth="0" w:space="720" w:num="3">
            <w:col w:w="1567" w:space="563"/>
            <w:col w:w="4172" w:space="40"/>
            <w:col w:w="3978"/>
          </w:cols>
        </w:sectPr>
      </w:pPr>
    </w:p>
    <w:p w:rsidR="00C31389" w:rsidRDefault="00C31389" w14:paraId="5EC16933" w14:textId="77777777">
      <w:pPr>
        <w:pStyle w:val="BodyText"/>
        <w:spacing w:before="6"/>
        <w:rPr>
          <w:sz w:val="3"/>
        </w:rPr>
      </w:pPr>
    </w:p>
    <w:p w:rsidR="00C31389" w:rsidRDefault="00561FBD" w14:paraId="031FC4A5" w14:textId="77777777">
      <w:pPr>
        <w:tabs>
          <w:tab w:val="left" w:pos="2655"/>
          <w:tab w:val="left" w:pos="6584"/>
        </w:tabs>
        <w:spacing w:before="106" w:line="141" w:lineRule="auto"/>
        <w:ind w:left="6584" w:right="1732" w:hanging="6059"/>
        <w:rPr>
          <w:sz w:val="20"/>
        </w:rPr>
      </w:pPr>
      <w:r>
        <w:rPr>
          <w:noProof/>
        </w:rPr>
        <mc:AlternateContent>
          <mc:Choice Requires="wps">
            <w:drawing>
              <wp:anchor distT="0" distB="0" distL="0" distR="0" simplePos="0" relativeHeight="487640576" behindDoc="1" locked="0" layoutInCell="1" allowOverlap="1" wp14:editId="5AB1CA84" wp14:anchorId="632D44B5">
                <wp:simplePos x="0" y="0"/>
                <wp:positionH relativeFrom="page">
                  <wp:posOffset>861822</wp:posOffset>
                </wp:positionH>
                <wp:positionV relativeFrom="paragraph">
                  <wp:posOffset>358827</wp:posOffset>
                </wp:positionV>
                <wp:extent cx="6040755" cy="1270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0755" cy="12700"/>
                        </a:xfrm>
                        <a:custGeom>
                          <a:avLst/>
                          <a:gdLst/>
                          <a:ahLst/>
                          <a:cxnLst/>
                          <a:rect l="l" t="t" r="r" b="b"/>
                          <a:pathLst>
                            <a:path w="6040755" h="12700">
                              <a:moveTo>
                                <a:pt x="1363967" y="0"/>
                              </a:moveTo>
                              <a:lnTo>
                                <a:pt x="1360919" y="0"/>
                              </a:lnTo>
                              <a:lnTo>
                                <a:pt x="1351788" y="0"/>
                              </a:lnTo>
                              <a:lnTo>
                                <a:pt x="0" y="0"/>
                              </a:lnTo>
                              <a:lnTo>
                                <a:pt x="0" y="12192"/>
                              </a:lnTo>
                              <a:lnTo>
                                <a:pt x="1351788" y="12192"/>
                              </a:lnTo>
                              <a:lnTo>
                                <a:pt x="1360919" y="12192"/>
                              </a:lnTo>
                              <a:lnTo>
                                <a:pt x="1363967" y="12192"/>
                              </a:lnTo>
                              <a:lnTo>
                                <a:pt x="1363967" y="0"/>
                              </a:lnTo>
                              <a:close/>
                            </a:path>
                            <a:path w="6040755" h="12700">
                              <a:moveTo>
                                <a:pt x="6040374" y="0"/>
                              </a:moveTo>
                              <a:lnTo>
                                <a:pt x="3858768" y="0"/>
                              </a:lnTo>
                              <a:lnTo>
                                <a:pt x="3855720" y="0"/>
                              </a:lnTo>
                              <a:lnTo>
                                <a:pt x="3846576" y="0"/>
                              </a:lnTo>
                              <a:lnTo>
                                <a:pt x="1363980" y="0"/>
                              </a:lnTo>
                              <a:lnTo>
                                <a:pt x="1363980" y="12192"/>
                              </a:lnTo>
                              <a:lnTo>
                                <a:pt x="3846576" y="12192"/>
                              </a:lnTo>
                              <a:lnTo>
                                <a:pt x="3855720" y="12192"/>
                              </a:lnTo>
                              <a:lnTo>
                                <a:pt x="3858768" y="12192"/>
                              </a:lnTo>
                              <a:lnTo>
                                <a:pt x="6040374" y="12192"/>
                              </a:lnTo>
                              <a:lnTo>
                                <a:pt x="6040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43" style="position:absolute;margin-left:67.85pt;margin-top:28.25pt;width:475.6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040755,12700" o:spid="_x0000_s1026" fillcolor="black" stroked="f" path="m1363967,r-3048,l1351788,,,,,12192r1351788,l1360919,12192r3048,l1363967,xem6040374,l3858768,r-3048,l3846576,,1363980,r,12192l3846576,12192r9144,l3858768,12192r2181606,l6040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" w14:anchorId="6D2A5CF9">
                <v:path arrowok="t"/>
                <w10:wrap type="topAndBottom" anchorx="page"/>
              </v:shape>
            </w:pict>
          </mc:Fallback>
        </mc:AlternateContent>
      </w:r>
      <w:r>
        <w:rPr>
          <w:b/>
          <w:spacing w:val="-4"/>
          <w:sz w:val="20"/>
        </w:rPr>
        <w:t>Cost</w:t>
      </w:r>
      <w:r>
        <w:rPr>
          <w:b/>
          <w:sz w:val="20"/>
        </w:rPr>
        <w:tab/>
      </w:r>
      <w:r>
        <w:rPr>
          <w:sz w:val="20"/>
        </w:rPr>
        <w:t>Relative cost of an equipment</w:t>
      </w:r>
      <w:r>
        <w:rPr>
          <w:sz w:val="20"/>
        </w:rPr>
        <w:tab/>
      </w:r>
      <w:r>
        <w:rPr>
          <w:position w:val="13"/>
          <w:sz w:val="20"/>
        </w:rPr>
        <w:t xml:space="preserve">Low cost: Thermostat </w:t>
      </w:r>
      <w:r>
        <w:rPr>
          <w:sz w:val="20"/>
        </w:rPr>
        <w:t>High</w:t>
      </w:r>
      <w:r>
        <w:rPr>
          <w:spacing w:val="-14"/>
          <w:sz w:val="20"/>
        </w:rPr>
        <w:t xml:space="preserve"> </w:t>
      </w:r>
      <w:r>
        <w:rPr>
          <w:sz w:val="20"/>
        </w:rPr>
        <w:t>cost:</w:t>
      </w:r>
      <w:r>
        <w:rPr>
          <w:spacing w:val="-14"/>
          <w:sz w:val="20"/>
        </w:rPr>
        <w:t xml:space="preserve"> </w:t>
      </w:r>
      <w:r>
        <w:rPr>
          <w:sz w:val="20"/>
        </w:rPr>
        <w:t>Refrigerator</w:t>
      </w:r>
    </w:p>
    <w:p w:rsidR="00C31389" w:rsidRDefault="00561FBD" w14:paraId="74C79A99" w14:textId="77777777">
      <w:pPr>
        <w:spacing w:before="60"/>
        <w:ind w:left="480"/>
        <w:rPr>
          <w:i/>
          <w:sz w:val="18"/>
        </w:rPr>
      </w:pPr>
      <w:r>
        <w:rPr>
          <w:i/>
          <w:sz w:val="18"/>
        </w:rPr>
        <w:t>Source:</w:t>
      </w:r>
      <w:r>
        <w:rPr>
          <w:i/>
          <w:spacing w:val="-6"/>
          <w:sz w:val="18"/>
        </w:rPr>
        <w:t xml:space="preserve"> </w:t>
      </w:r>
      <w:r>
        <w:rPr>
          <w:i/>
          <w:sz w:val="18"/>
        </w:rPr>
        <w:t>Human</w:t>
      </w:r>
      <w:r>
        <w:rPr>
          <w:i/>
          <w:spacing w:val="-4"/>
          <w:sz w:val="18"/>
        </w:rPr>
        <w:t xml:space="preserve"> </w:t>
      </w:r>
      <w:r>
        <w:rPr>
          <w:i/>
          <w:sz w:val="18"/>
        </w:rPr>
        <w:t>Behavior</w:t>
      </w:r>
      <w:r>
        <w:rPr>
          <w:i/>
          <w:spacing w:val="-4"/>
          <w:sz w:val="18"/>
        </w:rPr>
        <w:t xml:space="preserve"> </w:t>
      </w:r>
      <w:r>
        <w:rPr>
          <w:i/>
          <w:sz w:val="18"/>
        </w:rPr>
        <w:t>and</w:t>
      </w:r>
      <w:r>
        <w:rPr>
          <w:i/>
          <w:spacing w:val="-3"/>
          <w:sz w:val="18"/>
        </w:rPr>
        <w:t xml:space="preserve"> </w:t>
      </w:r>
      <w:r>
        <w:rPr>
          <w:i/>
          <w:sz w:val="18"/>
        </w:rPr>
        <w:t>Decarbonization</w:t>
      </w:r>
      <w:r>
        <w:rPr>
          <w:i/>
          <w:spacing w:val="-4"/>
          <w:sz w:val="18"/>
        </w:rPr>
        <w:t xml:space="preserve"> </w:t>
      </w:r>
      <w:r>
        <w:rPr>
          <w:i/>
          <w:sz w:val="18"/>
        </w:rPr>
        <w:t>Potential</w:t>
      </w:r>
      <w:r>
        <w:rPr>
          <w:i/>
          <w:spacing w:val="-3"/>
          <w:sz w:val="18"/>
        </w:rPr>
        <w:t xml:space="preserve"> </w:t>
      </w:r>
      <w:r>
        <w:rPr>
          <w:i/>
          <w:sz w:val="18"/>
        </w:rPr>
        <w:t>draft</w:t>
      </w:r>
      <w:r>
        <w:rPr>
          <w:i/>
          <w:spacing w:val="-4"/>
          <w:sz w:val="18"/>
        </w:rPr>
        <w:t xml:space="preserve"> </w:t>
      </w:r>
      <w:r>
        <w:rPr>
          <w:i/>
          <w:sz w:val="18"/>
        </w:rPr>
        <w:t>paper;</w:t>
      </w:r>
      <w:r>
        <w:rPr>
          <w:i/>
          <w:spacing w:val="-3"/>
          <w:sz w:val="18"/>
        </w:rPr>
        <w:t xml:space="preserve"> </w:t>
      </w:r>
      <w:r>
        <w:rPr>
          <w:i/>
          <w:spacing w:val="-2"/>
          <w:sz w:val="18"/>
        </w:rPr>
        <w:t>Guidehouse</w:t>
      </w:r>
    </w:p>
    <w:p w:rsidR="00C31389" w:rsidRDefault="00C31389" w14:paraId="2882C351" w14:textId="77777777">
      <w:pPr>
        <w:pStyle w:val="BodyText"/>
        <w:spacing w:before="9"/>
        <w:rPr>
          <w:i/>
          <w:sz w:val="20"/>
        </w:rPr>
      </w:pPr>
    </w:p>
    <w:p w:rsidR="00C31389" w:rsidRDefault="00561FBD" w14:paraId="3B8BBBD7" w14:textId="77777777">
      <w:pPr>
        <w:pStyle w:val="BodyText"/>
        <w:ind w:left="479" w:right="533"/>
      </w:pPr>
      <w:hyperlink w:history="1" w:anchor="_bookmark143">
        <w:r>
          <w:t>Table 3-17</w:t>
        </w:r>
      </w:hyperlink>
      <w:r>
        <w:t xml:space="preserve"> shows how various combinations of sector and technology attributes (defined in </w:t>
      </w:r>
      <w:hyperlink w:history="1" w:anchor="_bookmark142">
        <w:r>
          <w:t>Table 3-16</w:t>
        </w:r>
      </w:hyperlink>
      <w:r>
        <w:t>) are linked to sample measures. Due to the limited number of sam</w:t>
      </w:r>
      <w:r>
        <w:t xml:space="preserve">pled measures, one measure may appear to represent the full range of one of the attributes (indicated by both under each attribute in </w:t>
      </w:r>
      <w:hyperlink w:history="1" w:anchor="_bookmark143">
        <w:r>
          <w:t>Table 3-17</w:t>
        </w:r>
      </w:hyperlink>
      <w:r>
        <w:t>). For example, Clothes Dryer is listed as both</w:t>
      </w:r>
      <w:r>
        <w:t xml:space="preserve"> for disruption and costs. For low urgency, visible technology, the team did not survey different technologies that are low and high disruption and low and high cost. Each residential and commercial measure</w:t>
      </w:r>
      <w:r>
        <w:rPr>
          <w:spacing w:val="-1"/>
        </w:rPr>
        <w:t xml:space="preserve"> </w:t>
      </w:r>
      <w:r>
        <w:t>in</w:t>
      </w:r>
      <w:r>
        <w:rPr>
          <w:spacing w:val="-1"/>
        </w:rPr>
        <w:t xml:space="preserve"> </w:t>
      </w:r>
      <w:r>
        <w:t>the</w:t>
      </w:r>
      <w:r>
        <w:rPr>
          <w:spacing w:val="-1"/>
        </w:rPr>
        <w:t xml:space="preserve"> </w:t>
      </w:r>
      <w:r>
        <w:t>PG</w:t>
      </w:r>
      <w:r>
        <w:rPr>
          <w:spacing w:val="-2"/>
        </w:rPr>
        <w:t xml:space="preserve"> </w:t>
      </w:r>
      <w:r>
        <w:t>Study</w:t>
      </w:r>
      <w:r>
        <w:rPr>
          <w:spacing w:val="-1"/>
        </w:rPr>
        <w:t xml:space="preserve"> </w:t>
      </w:r>
      <w:r>
        <w:t>is</w:t>
      </w:r>
      <w:r>
        <w:rPr>
          <w:spacing w:val="-1"/>
        </w:rPr>
        <w:t xml:space="preserve"> </w:t>
      </w:r>
      <w:r>
        <w:t>mapped</w:t>
      </w:r>
      <w:r>
        <w:rPr>
          <w:spacing w:val="-2"/>
        </w:rPr>
        <w:t xml:space="preserve"> </w:t>
      </w:r>
      <w:r>
        <w:t>to</w:t>
      </w:r>
      <w:r>
        <w:rPr>
          <w:spacing w:val="-1"/>
        </w:rPr>
        <w:t xml:space="preserve"> </w:t>
      </w:r>
      <w:r>
        <w:t>a</w:t>
      </w:r>
      <w:r>
        <w:rPr>
          <w:spacing w:val="-1"/>
        </w:rPr>
        <w:t xml:space="preserve"> </w:t>
      </w:r>
      <w:r>
        <w:t>combination</w:t>
      </w:r>
      <w:r>
        <w:rPr>
          <w:spacing w:val="-1"/>
        </w:rPr>
        <w:t xml:space="preserve"> </w:t>
      </w:r>
      <w:r>
        <w:t>of</w:t>
      </w:r>
      <w:r>
        <w:rPr>
          <w:spacing w:val="-1"/>
        </w:rPr>
        <w:t xml:space="preserve"> </w:t>
      </w:r>
      <w:r>
        <w:t>urg</w:t>
      </w:r>
      <w:r>
        <w:t>ency,</w:t>
      </w:r>
      <w:r>
        <w:rPr>
          <w:spacing w:val="-1"/>
        </w:rPr>
        <w:t xml:space="preserve"> </w:t>
      </w:r>
      <w:r>
        <w:t>visibility,</w:t>
      </w:r>
      <w:r>
        <w:rPr>
          <w:spacing w:val="-1"/>
        </w:rPr>
        <w:t xml:space="preserve"> </w:t>
      </w:r>
      <w:r>
        <w:t>disruption,</w:t>
      </w:r>
      <w:r>
        <w:rPr>
          <w:spacing w:val="-2"/>
        </w:rPr>
        <w:t xml:space="preserve"> </w:t>
      </w:r>
      <w:r>
        <w:t>cost,</w:t>
      </w:r>
      <w:r>
        <w:rPr>
          <w:spacing w:val="-1"/>
        </w:rPr>
        <w:t xml:space="preserve"> </w:t>
      </w:r>
      <w:r>
        <w:t>and type (DR or FS, if applicable). Based on the measure assignments, the Guidehouse team applied the appropriate surveyed response dataset for the sampled measures to each 2021 Study</w:t>
      </w:r>
      <w:r>
        <w:rPr>
          <w:spacing w:val="-3"/>
        </w:rPr>
        <w:t xml:space="preserve"> </w:t>
      </w:r>
      <w:r>
        <w:t>measure.</w:t>
      </w:r>
      <w:r>
        <w:rPr>
          <w:spacing w:val="-3"/>
        </w:rPr>
        <w:t xml:space="preserve"> </w:t>
      </w:r>
      <w:r>
        <w:t>Based</w:t>
      </w:r>
      <w:r>
        <w:rPr>
          <w:spacing w:val="-3"/>
        </w:rPr>
        <w:t xml:space="preserve"> </w:t>
      </w:r>
      <w:r>
        <w:t>on</w:t>
      </w:r>
      <w:r>
        <w:rPr>
          <w:spacing w:val="-3"/>
        </w:rPr>
        <w:t xml:space="preserve"> </w:t>
      </w:r>
      <w:r>
        <w:t>the</w:t>
      </w:r>
      <w:r>
        <w:rPr>
          <w:spacing w:val="-3"/>
        </w:rPr>
        <w:t xml:space="preserve"> </w:t>
      </w:r>
      <w:r>
        <w:t>example,</w:t>
      </w:r>
      <w:r>
        <w:rPr>
          <w:spacing w:val="-3"/>
        </w:rPr>
        <w:t xml:space="preserve"> </w:t>
      </w:r>
      <w:r>
        <w:t>if</w:t>
      </w:r>
      <w:r>
        <w:rPr>
          <w:spacing w:val="-3"/>
        </w:rPr>
        <w:t xml:space="preserve"> </w:t>
      </w:r>
      <w:r>
        <w:t>a</w:t>
      </w:r>
      <w:r>
        <w:rPr>
          <w:spacing w:val="-3"/>
        </w:rPr>
        <w:t xml:space="preserve"> </w:t>
      </w:r>
      <w:r>
        <w:t>characterized</w:t>
      </w:r>
      <w:r>
        <w:rPr>
          <w:spacing w:val="-3"/>
        </w:rPr>
        <w:t xml:space="preserve"> </w:t>
      </w:r>
      <w:r>
        <w:t>measure</w:t>
      </w:r>
      <w:r>
        <w:rPr>
          <w:spacing w:val="-3"/>
        </w:rPr>
        <w:t xml:space="preserve"> </w:t>
      </w:r>
      <w:r>
        <w:t>is</w:t>
      </w:r>
      <w:r>
        <w:rPr>
          <w:spacing w:val="-3"/>
        </w:rPr>
        <w:t xml:space="preserve"> </w:t>
      </w:r>
      <w:r>
        <w:t>low</w:t>
      </w:r>
      <w:r>
        <w:rPr>
          <w:spacing w:val="-4"/>
        </w:rPr>
        <w:t xml:space="preserve"> </w:t>
      </w:r>
      <w:r>
        <w:t>urgency</w:t>
      </w:r>
      <w:r>
        <w:rPr>
          <w:spacing w:val="-3"/>
        </w:rPr>
        <w:t xml:space="preserve"> </w:t>
      </w:r>
      <w:r>
        <w:t>and</w:t>
      </w:r>
      <w:r>
        <w:rPr>
          <w:spacing w:val="-3"/>
        </w:rPr>
        <w:t xml:space="preserve"> </w:t>
      </w:r>
      <w:r>
        <w:t>visible,</w:t>
      </w:r>
      <w:r>
        <w:rPr>
          <w:spacing w:val="-3"/>
        </w:rPr>
        <w:t xml:space="preserve"> </w:t>
      </w:r>
      <w:r>
        <w:t>it will be mapped to the survey results for Clothes Dryer.</w:t>
      </w:r>
    </w:p>
    <w:p w:rsidR="00C31389" w:rsidRDefault="00C31389" w14:paraId="7AB1F088" w14:textId="77777777">
      <w:pPr>
        <w:sectPr w:rsidR="00C31389">
          <w:type w:val="continuous"/>
          <w:pgSz w:w="12240" w:h="15840"/>
          <w:pgMar w:top="0" w:right="960" w:bottom="280" w:left="960" w:header="397" w:footer="936" w:gutter="0"/>
          <w:cols w:space="720"/>
        </w:sectPr>
      </w:pPr>
    </w:p>
    <w:p w:rsidR="00C31389" w:rsidRDefault="00C31389" w14:paraId="176591E9" w14:textId="77777777">
      <w:pPr>
        <w:pStyle w:val="BodyText"/>
        <w:spacing w:before="11"/>
        <w:rPr>
          <w:sz w:val="13"/>
        </w:rPr>
      </w:pPr>
    </w:p>
    <w:p w:rsidR="00C31389" w:rsidRDefault="00561FBD" w14:paraId="2E9B5EE7" w14:textId="77777777">
      <w:pPr>
        <w:pStyle w:val="Heading7"/>
        <w:spacing w:before="92"/>
        <w:ind w:left="566" w:right="566"/>
        <w:jc w:val="center"/>
      </w:pPr>
      <w:bookmarkStart w:name="_bookmark143" w:id="192"/>
      <w:bookmarkEnd w:id="192"/>
      <w:r>
        <w:t>Table</w:t>
      </w:r>
      <w:r>
        <w:rPr>
          <w:spacing w:val="-7"/>
        </w:rPr>
        <w:t xml:space="preserve"> </w:t>
      </w:r>
      <w:r>
        <w:t>3-17.</w:t>
      </w:r>
      <w:r>
        <w:rPr>
          <w:spacing w:val="-8"/>
        </w:rPr>
        <w:t xml:space="preserve"> </w:t>
      </w:r>
      <w:r>
        <w:t>Attribute</w:t>
      </w:r>
      <w:r>
        <w:rPr>
          <w:spacing w:val="-7"/>
        </w:rPr>
        <w:t xml:space="preserve"> </w:t>
      </w:r>
      <w:r>
        <w:t>Mapping</w:t>
      </w:r>
      <w:r>
        <w:rPr>
          <w:spacing w:val="-7"/>
        </w:rPr>
        <w:t xml:space="preserve"> </w:t>
      </w:r>
      <w:r>
        <w:t>and</w:t>
      </w:r>
      <w:r>
        <w:rPr>
          <w:spacing w:val="-7"/>
        </w:rPr>
        <w:t xml:space="preserve"> </w:t>
      </w:r>
      <w:r>
        <w:t>Linking</w:t>
      </w:r>
      <w:r>
        <w:rPr>
          <w:spacing w:val="-7"/>
        </w:rPr>
        <w:t xml:space="preserve"> </w:t>
      </w:r>
      <w:r>
        <w:t>to</w:t>
      </w:r>
      <w:r>
        <w:rPr>
          <w:spacing w:val="-7"/>
        </w:rPr>
        <w:t xml:space="preserve"> </w:t>
      </w:r>
      <w:r>
        <w:t>Surveyed</w:t>
      </w:r>
      <w:r>
        <w:rPr>
          <w:spacing w:val="-7"/>
        </w:rPr>
        <w:t xml:space="preserve"> </w:t>
      </w:r>
      <w:r>
        <w:rPr>
          <w:spacing w:val="-2"/>
        </w:rPr>
        <w:t>Measures</w:t>
      </w:r>
    </w:p>
    <w:p w:rsidR="00C31389" w:rsidRDefault="00C31389" w14:paraId="199493CB" w14:textId="77777777">
      <w:pPr>
        <w:pStyle w:val="BodyText"/>
        <w:spacing w:before="5" w:after="1"/>
        <w:rPr>
          <w:b/>
          <w:sz w:val="10"/>
        </w:rPr>
      </w:pPr>
    </w:p>
    <w:tbl>
      <w:tblPr>
        <w:tblW w:w="0" w:type="auto"/>
        <w:tblInd w:w="473" w:type="dxa"/>
        <w:tblLayout w:type="fixed"/>
        <w:tblCellMar>
          <w:left w:w="0" w:type="dxa"/>
          <w:right w:w="0" w:type="dxa"/>
        </w:tblCellMar>
        <w:tblLook w:val="01E0" w:firstRow="1" w:lastRow="1" w:firstColumn="1" w:lastColumn="1" w:noHBand="0" w:noVBand="0"/>
      </w:tblPr>
      <w:tblGrid>
        <w:gridCol w:w="1452"/>
        <w:gridCol w:w="1257"/>
        <w:gridCol w:w="1221"/>
        <w:gridCol w:w="1492"/>
        <w:gridCol w:w="1024"/>
        <w:gridCol w:w="2930"/>
      </w:tblGrid>
      <w:tr w:rsidR="00C31389" w14:paraId="17CC4853" w14:textId="77777777">
        <w:trPr>
          <w:trHeight w:val="539"/>
        </w:trPr>
        <w:tc>
          <w:tcPr>
            <w:tcW w:w="1452" w:type="dxa"/>
            <w:tcBorders>
              <w:bottom w:val="single" w:color="B6B6B6" w:sz="4" w:space="0"/>
            </w:tcBorders>
            <w:shd w:val="clear" w:color="auto" w:fill="92D400"/>
          </w:tcPr>
          <w:p w:rsidR="00C31389" w:rsidRDefault="00561FBD" w14:paraId="73F69E59" w14:textId="77777777">
            <w:pPr>
              <w:pStyle w:val="TableParagraph"/>
              <w:spacing w:before="155"/>
              <w:ind w:left="122"/>
              <w:rPr>
                <w:b/>
                <w:sz w:val="20"/>
              </w:rPr>
            </w:pPr>
            <w:r>
              <w:rPr>
                <w:b/>
                <w:spacing w:val="-2"/>
                <w:sz w:val="20"/>
              </w:rPr>
              <w:t>Sector</w:t>
            </w:r>
          </w:p>
        </w:tc>
        <w:tc>
          <w:tcPr>
            <w:tcW w:w="1257" w:type="dxa"/>
            <w:tcBorders>
              <w:bottom w:val="single" w:color="B6B6B6" w:sz="4" w:space="0"/>
            </w:tcBorders>
            <w:shd w:val="clear" w:color="auto" w:fill="92D400"/>
          </w:tcPr>
          <w:p w:rsidR="00C31389" w:rsidRDefault="00561FBD" w14:paraId="5725A0BC" w14:textId="77777777">
            <w:pPr>
              <w:pStyle w:val="TableParagraph"/>
              <w:spacing w:before="155"/>
              <w:ind w:left="247" w:right="182"/>
              <w:jc w:val="center"/>
              <w:rPr>
                <w:b/>
                <w:sz w:val="20"/>
              </w:rPr>
            </w:pPr>
            <w:r>
              <w:rPr>
                <w:b/>
                <w:spacing w:val="-2"/>
                <w:sz w:val="20"/>
              </w:rPr>
              <w:t>Urgency</w:t>
            </w:r>
          </w:p>
        </w:tc>
        <w:tc>
          <w:tcPr>
            <w:tcW w:w="1221" w:type="dxa"/>
            <w:tcBorders>
              <w:bottom w:val="single" w:color="B6B6B6" w:sz="4" w:space="0"/>
            </w:tcBorders>
            <w:shd w:val="clear" w:color="auto" w:fill="92D400"/>
          </w:tcPr>
          <w:p w:rsidR="00C31389" w:rsidRDefault="00561FBD" w14:paraId="5994356C" w14:textId="77777777">
            <w:pPr>
              <w:pStyle w:val="TableParagraph"/>
              <w:spacing w:before="155"/>
              <w:ind w:left="184" w:right="193"/>
              <w:jc w:val="center"/>
              <w:rPr>
                <w:b/>
                <w:sz w:val="20"/>
              </w:rPr>
            </w:pPr>
            <w:r>
              <w:rPr>
                <w:b/>
                <w:spacing w:val="-2"/>
                <w:sz w:val="20"/>
              </w:rPr>
              <w:t>Visibility</w:t>
            </w:r>
          </w:p>
        </w:tc>
        <w:tc>
          <w:tcPr>
            <w:tcW w:w="1492" w:type="dxa"/>
            <w:tcBorders>
              <w:bottom w:val="single" w:color="B6B6B6" w:sz="4" w:space="0"/>
            </w:tcBorders>
            <w:shd w:val="clear" w:color="auto" w:fill="92D400"/>
          </w:tcPr>
          <w:p w:rsidR="00C31389" w:rsidRDefault="00561FBD" w14:paraId="25D24402" w14:textId="77777777">
            <w:pPr>
              <w:pStyle w:val="TableParagraph"/>
              <w:spacing w:before="155"/>
              <w:ind w:left="195" w:right="276"/>
              <w:jc w:val="center"/>
              <w:rPr>
                <w:b/>
                <w:sz w:val="20"/>
              </w:rPr>
            </w:pPr>
            <w:r>
              <w:rPr>
                <w:b/>
                <w:spacing w:val="-2"/>
                <w:sz w:val="20"/>
              </w:rPr>
              <w:t>Disruption</w:t>
            </w:r>
          </w:p>
        </w:tc>
        <w:tc>
          <w:tcPr>
            <w:tcW w:w="1024" w:type="dxa"/>
            <w:tcBorders>
              <w:bottom w:val="single" w:color="B6B6B6" w:sz="4" w:space="0"/>
            </w:tcBorders>
            <w:shd w:val="clear" w:color="auto" w:fill="92D400"/>
          </w:tcPr>
          <w:p w:rsidR="00C31389" w:rsidRDefault="00561FBD" w14:paraId="0E87B70E" w14:textId="77777777">
            <w:pPr>
              <w:pStyle w:val="TableParagraph"/>
              <w:spacing w:before="155"/>
              <w:ind w:left="286"/>
              <w:rPr>
                <w:b/>
                <w:sz w:val="20"/>
              </w:rPr>
            </w:pPr>
            <w:r>
              <w:rPr>
                <w:b/>
                <w:spacing w:val="-4"/>
                <w:sz w:val="20"/>
              </w:rPr>
              <w:t>Cost</w:t>
            </w:r>
          </w:p>
        </w:tc>
        <w:tc>
          <w:tcPr>
            <w:tcW w:w="2930" w:type="dxa"/>
            <w:tcBorders>
              <w:bottom w:val="single" w:color="B6B6B6" w:sz="4" w:space="0"/>
            </w:tcBorders>
            <w:shd w:val="clear" w:color="auto" w:fill="92D400"/>
          </w:tcPr>
          <w:p w:rsidR="00C31389" w:rsidRDefault="00561FBD" w14:paraId="07863BA7" w14:textId="77777777">
            <w:pPr>
              <w:pStyle w:val="TableParagraph"/>
              <w:tabs>
                <w:tab w:val="left" w:pos="1082"/>
              </w:tabs>
              <w:spacing w:before="65" w:line="151" w:lineRule="auto"/>
              <w:ind w:left="293"/>
              <w:rPr>
                <w:b/>
                <w:sz w:val="20"/>
              </w:rPr>
            </w:pPr>
            <w:r>
              <w:rPr>
                <w:b/>
                <w:spacing w:val="-4"/>
                <w:position w:val="-11"/>
                <w:sz w:val="20"/>
              </w:rPr>
              <w:t>FS?*</w:t>
            </w:r>
            <w:r>
              <w:rPr>
                <w:b/>
                <w:position w:val="-11"/>
                <w:sz w:val="20"/>
              </w:rPr>
              <w:tab/>
            </w:r>
            <w:r>
              <w:rPr>
                <w:b/>
                <w:sz w:val="20"/>
              </w:rPr>
              <w:t>Sample</w:t>
            </w:r>
            <w:r>
              <w:rPr>
                <w:b/>
                <w:spacing w:val="-4"/>
                <w:sz w:val="20"/>
              </w:rPr>
              <w:t xml:space="preserve"> </w:t>
            </w:r>
            <w:r>
              <w:rPr>
                <w:b/>
                <w:spacing w:val="-2"/>
                <w:sz w:val="20"/>
              </w:rPr>
              <w:t>Measure</w:t>
            </w:r>
          </w:p>
          <w:p w:rsidR="00C31389" w:rsidRDefault="00561FBD" w14:paraId="43AB258C" w14:textId="77777777">
            <w:pPr>
              <w:pStyle w:val="TableParagraph"/>
              <w:spacing w:before="0" w:line="170" w:lineRule="exact"/>
              <w:ind w:left="1015" w:right="1231"/>
              <w:jc w:val="center"/>
              <w:rPr>
                <w:b/>
                <w:sz w:val="20"/>
              </w:rPr>
            </w:pPr>
            <w:r>
              <w:rPr>
                <w:b/>
                <w:spacing w:val="-4"/>
                <w:sz w:val="20"/>
              </w:rPr>
              <w:t>Name</w:t>
            </w:r>
          </w:p>
        </w:tc>
      </w:tr>
      <w:tr w:rsidR="00C31389" w14:paraId="1EDBA645" w14:textId="77777777">
        <w:trPr>
          <w:trHeight w:val="539"/>
        </w:trPr>
        <w:tc>
          <w:tcPr>
            <w:tcW w:w="1452" w:type="dxa"/>
            <w:tcBorders>
              <w:top w:val="single" w:color="B6B6B6" w:sz="4" w:space="0"/>
              <w:bottom w:val="single" w:color="B6B6B6" w:sz="4" w:space="0"/>
            </w:tcBorders>
          </w:tcPr>
          <w:p w:rsidR="00C31389" w:rsidRDefault="00561FBD" w14:paraId="12FF512D" w14:textId="77777777">
            <w:pPr>
              <w:pStyle w:val="TableParagraph"/>
              <w:spacing w:before="155"/>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67D9E797" w14:textId="77777777">
            <w:pPr>
              <w:pStyle w:val="TableParagraph"/>
              <w:spacing w:before="155"/>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2D966732" w14:textId="77777777">
            <w:pPr>
              <w:pStyle w:val="TableParagraph"/>
              <w:spacing w:before="155"/>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7E01ACBF" w14:textId="77777777">
            <w:pPr>
              <w:pStyle w:val="TableParagraph"/>
              <w:spacing w:before="155"/>
              <w:ind w:left="195" w:right="276"/>
              <w:jc w:val="center"/>
              <w:rPr>
                <w:sz w:val="20"/>
              </w:rPr>
            </w:pPr>
            <w:r>
              <w:rPr>
                <w:spacing w:val="-4"/>
                <w:sz w:val="20"/>
              </w:rPr>
              <w:t>High</w:t>
            </w:r>
          </w:p>
        </w:tc>
        <w:tc>
          <w:tcPr>
            <w:tcW w:w="1024" w:type="dxa"/>
            <w:tcBorders>
              <w:top w:val="single" w:color="B6B6B6" w:sz="4" w:space="0"/>
              <w:bottom w:val="single" w:color="B6B6B6" w:sz="4" w:space="0"/>
            </w:tcBorders>
          </w:tcPr>
          <w:p w:rsidR="00C31389" w:rsidRDefault="00561FBD" w14:paraId="214D1572" w14:textId="77777777">
            <w:pPr>
              <w:pStyle w:val="TableParagraph"/>
              <w:spacing w:before="155"/>
              <w:ind w:left="301"/>
              <w:rPr>
                <w:sz w:val="20"/>
              </w:rPr>
            </w:pPr>
            <w:r>
              <w:rPr>
                <w:spacing w:val="-4"/>
                <w:sz w:val="20"/>
              </w:rPr>
              <w:t>High</w:t>
            </w:r>
          </w:p>
        </w:tc>
        <w:tc>
          <w:tcPr>
            <w:tcW w:w="2930" w:type="dxa"/>
            <w:tcBorders>
              <w:top w:val="single" w:color="B6B6B6" w:sz="4" w:space="0"/>
              <w:bottom w:val="single" w:color="B6B6B6" w:sz="4" w:space="0"/>
            </w:tcBorders>
          </w:tcPr>
          <w:p w:rsidR="00C31389" w:rsidRDefault="00561FBD" w14:paraId="253C8C35" w14:textId="77777777">
            <w:pPr>
              <w:pStyle w:val="TableParagraph"/>
              <w:ind w:left="1082"/>
              <w:rPr>
                <w:sz w:val="20"/>
              </w:rPr>
            </w:pPr>
            <w:r>
              <w:rPr>
                <w:sz w:val="20"/>
              </w:rPr>
              <w:t>Air</w:t>
            </w:r>
            <w:r>
              <w:rPr>
                <w:spacing w:val="-14"/>
                <w:sz w:val="20"/>
              </w:rPr>
              <w:t xml:space="preserve"> </w:t>
            </w:r>
            <w:r>
              <w:rPr>
                <w:sz w:val="20"/>
              </w:rPr>
              <w:t>Source</w:t>
            </w:r>
            <w:r>
              <w:rPr>
                <w:spacing w:val="-14"/>
                <w:sz w:val="20"/>
              </w:rPr>
              <w:t xml:space="preserve"> </w:t>
            </w:r>
            <w:r>
              <w:rPr>
                <w:sz w:val="20"/>
              </w:rPr>
              <w:t xml:space="preserve">Heat </w:t>
            </w:r>
            <w:r>
              <w:rPr>
                <w:spacing w:val="-4"/>
                <w:sz w:val="20"/>
              </w:rPr>
              <w:t>Pump</w:t>
            </w:r>
          </w:p>
        </w:tc>
      </w:tr>
      <w:tr w:rsidR="00C31389" w14:paraId="621A8AF5" w14:textId="77777777">
        <w:trPr>
          <w:trHeight w:val="315"/>
        </w:trPr>
        <w:tc>
          <w:tcPr>
            <w:tcW w:w="1452" w:type="dxa"/>
            <w:tcBorders>
              <w:top w:val="single" w:color="B6B6B6" w:sz="4" w:space="0"/>
              <w:bottom w:val="single" w:color="B6B6B6" w:sz="4" w:space="0"/>
            </w:tcBorders>
          </w:tcPr>
          <w:p w:rsidR="00C31389" w:rsidRDefault="00561FBD" w14:paraId="6B8676D0" w14:textId="77777777">
            <w:pPr>
              <w:pStyle w:val="TableParagraph"/>
              <w:spacing w:before="42"/>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2088E9EC" w14:textId="77777777">
            <w:pPr>
              <w:pStyle w:val="TableParagraph"/>
              <w:spacing w:before="42"/>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3F82CCFD" w14:textId="77777777">
            <w:pPr>
              <w:pStyle w:val="TableParagraph"/>
              <w:spacing w:before="42"/>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17FEDFFA" w14:textId="77777777">
            <w:pPr>
              <w:pStyle w:val="TableParagraph"/>
              <w:spacing w:before="42"/>
              <w:ind w:left="195" w:right="276"/>
              <w:jc w:val="center"/>
              <w:rPr>
                <w:sz w:val="20"/>
              </w:rPr>
            </w:pPr>
            <w:r>
              <w:rPr>
                <w:spacing w:val="-4"/>
                <w:sz w:val="20"/>
              </w:rPr>
              <w:t>High</w:t>
            </w:r>
          </w:p>
        </w:tc>
        <w:tc>
          <w:tcPr>
            <w:tcW w:w="1024" w:type="dxa"/>
            <w:tcBorders>
              <w:top w:val="single" w:color="B6B6B6" w:sz="4" w:space="0"/>
              <w:bottom w:val="single" w:color="B6B6B6" w:sz="4" w:space="0"/>
            </w:tcBorders>
          </w:tcPr>
          <w:p w:rsidR="00C31389" w:rsidRDefault="00561FBD" w14:paraId="27E33A09" w14:textId="77777777">
            <w:pPr>
              <w:pStyle w:val="TableParagraph"/>
              <w:spacing w:before="42"/>
              <w:ind w:left="301"/>
              <w:rPr>
                <w:sz w:val="20"/>
              </w:rPr>
            </w:pPr>
            <w:r>
              <w:rPr>
                <w:spacing w:val="-4"/>
                <w:sz w:val="20"/>
              </w:rPr>
              <w:t>High</w:t>
            </w:r>
          </w:p>
        </w:tc>
        <w:tc>
          <w:tcPr>
            <w:tcW w:w="2930" w:type="dxa"/>
            <w:tcBorders>
              <w:top w:val="single" w:color="B6B6B6" w:sz="4" w:space="0"/>
              <w:bottom w:val="single" w:color="B6B6B6" w:sz="4" w:space="0"/>
            </w:tcBorders>
          </w:tcPr>
          <w:p w:rsidR="00C31389" w:rsidRDefault="00561FBD" w14:paraId="5336384C" w14:textId="77777777">
            <w:pPr>
              <w:pStyle w:val="TableParagraph"/>
              <w:spacing w:before="42"/>
              <w:ind w:left="1082"/>
              <w:rPr>
                <w:sz w:val="20"/>
              </w:rPr>
            </w:pPr>
            <w:r>
              <w:rPr>
                <w:sz w:val="20"/>
              </w:rPr>
              <w:t>Central</w:t>
            </w:r>
            <w:r>
              <w:rPr>
                <w:spacing w:val="-3"/>
                <w:sz w:val="20"/>
              </w:rPr>
              <w:t xml:space="preserve"> </w:t>
            </w:r>
            <w:r>
              <w:rPr>
                <w:spacing w:val="-5"/>
                <w:sz w:val="20"/>
              </w:rPr>
              <w:t>AC</w:t>
            </w:r>
          </w:p>
        </w:tc>
      </w:tr>
      <w:tr w:rsidR="00C31389" w14:paraId="32301B59" w14:textId="77777777">
        <w:trPr>
          <w:trHeight w:val="315"/>
        </w:trPr>
        <w:tc>
          <w:tcPr>
            <w:tcW w:w="1452" w:type="dxa"/>
            <w:tcBorders>
              <w:top w:val="single" w:color="B6B6B6" w:sz="4" w:space="0"/>
              <w:bottom w:val="single" w:color="B6B6B6" w:sz="4" w:space="0"/>
            </w:tcBorders>
          </w:tcPr>
          <w:p w:rsidR="00C31389" w:rsidRDefault="00561FBD" w14:paraId="2F51C08E" w14:textId="77777777">
            <w:pPr>
              <w:pStyle w:val="TableParagraph"/>
              <w:spacing w:before="42"/>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6E54E279" w14:textId="77777777">
            <w:pPr>
              <w:pStyle w:val="TableParagraph"/>
              <w:spacing w:before="42"/>
              <w:ind w:left="247" w:right="181"/>
              <w:jc w:val="center"/>
              <w:rPr>
                <w:sz w:val="20"/>
              </w:rPr>
            </w:pPr>
            <w:r>
              <w:rPr>
                <w:spacing w:val="-5"/>
                <w:sz w:val="20"/>
              </w:rPr>
              <w:t>Low</w:t>
            </w:r>
          </w:p>
        </w:tc>
        <w:tc>
          <w:tcPr>
            <w:tcW w:w="1221" w:type="dxa"/>
            <w:tcBorders>
              <w:top w:val="single" w:color="B6B6B6" w:sz="4" w:space="0"/>
              <w:bottom w:val="single" w:color="B6B6B6" w:sz="4" w:space="0"/>
            </w:tcBorders>
          </w:tcPr>
          <w:p w:rsidR="00C31389" w:rsidRDefault="00561FBD" w14:paraId="49812275" w14:textId="77777777">
            <w:pPr>
              <w:pStyle w:val="TableParagraph"/>
              <w:spacing w:before="42"/>
              <w:ind w:left="184" w:right="192"/>
              <w:jc w:val="center"/>
              <w:rPr>
                <w:sz w:val="20"/>
              </w:rPr>
            </w:pPr>
            <w:r>
              <w:rPr>
                <w:spacing w:val="-2"/>
                <w:sz w:val="20"/>
              </w:rPr>
              <w:t>Visible</w:t>
            </w:r>
          </w:p>
        </w:tc>
        <w:tc>
          <w:tcPr>
            <w:tcW w:w="1492" w:type="dxa"/>
            <w:tcBorders>
              <w:top w:val="single" w:color="B6B6B6" w:sz="4" w:space="0"/>
              <w:bottom w:val="single" w:color="B6B6B6" w:sz="4" w:space="0"/>
            </w:tcBorders>
          </w:tcPr>
          <w:p w:rsidR="00C31389" w:rsidRDefault="00561FBD" w14:paraId="7A13CEEC" w14:textId="77777777">
            <w:pPr>
              <w:pStyle w:val="TableParagraph"/>
              <w:spacing w:before="42"/>
              <w:ind w:left="194" w:right="276"/>
              <w:jc w:val="center"/>
              <w:rPr>
                <w:i/>
                <w:sz w:val="20"/>
              </w:rPr>
            </w:pPr>
            <w:r>
              <w:rPr>
                <w:i/>
                <w:spacing w:val="-4"/>
                <w:sz w:val="20"/>
              </w:rPr>
              <w:t>Both</w:t>
            </w:r>
          </w:p>
        </w:tc>
        <w:tc>
          <w:tcPr>
            <w:tcW w:w="1024" w:type="dxa"/>
            <w:tcBorders>
              <w:top w:val="single" w:color="B6B6B6" w:sz="4" w:space="0"/>
              <w:bottom w:val="single" w:color="B6B6B6" w:sz="4" w:space="0"/>
            </w:tcBorders>
          </w:tcPr>
          <w:p w:rsidR="00C31389" w:rsidRDefault="00561FBD" w14:paraId="64F62D91" w14:textId="77777777">
            <w:pPr>
              <w:pStyle w:val="TableParagraph"/>
              <w:spacing w:before="42"/>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533EFB00" w14:textId="77777777">
            <w:pPr>
              <w:pStyle w:val="TableParagraph"/>
              <w:spacing w:before="42"/>
              <w:ind w:left="1082"/>
              <w:rPr>
                <w:sz w:val="20"/>
              </w:rPr>
            </w:pPr>
            <w:r>
              <w:rPr>
                <w:sz w:val="20"/>
              </w:rPr>
              <w:t>Clothes</w:t>
            </w:r>
            <w:r>
              <w:rPr>
                <w:spacing w:val="-4"/>
                <w:sz w:val="20"/>
              </w:rPr>
              <w:t xml:space="preserve"> </w:t>
            </w:r>
            <w:r>
              <w:rPr>
                <w:spacing w:val="-2"/>
                <w:sz w:val="20"/>
              </w:rPr>
              <w:t>Dryer</w:t>
            </w:r>
          </w:p>
        </w:tc>
      </w:tr>
      <w:tr w:rsidR="00C31389" w14:paraId="113B238E" w14:textId="77777777">
        <w:trPr>
          <w:trHeight w:val="315"/>
        </w:trPr>
        <w:tc>
          <w:tcPr>
            <w:tcW w:w="1452" w:type="dxa"/>
            <w:tcBorders>
              <w:top w:val="single" w:color="B6B6B6" w:sz="4" w:space="0"/>
              <w:bottom w:val="single" w:color="B6B6B6" w:sz="4" w:space="0"/>
            </w:tcBorders>
          </w:tcPr>
          <w:p w:rsidR="00C31389" w:rsidRDefault="00561FBD" w14:paraId="7A95F1D5" w14:textId="77777777">
            <w:pPr>
              <w:pStyle w:val="TableParagraph"/>
              <w:spacing w:before="42"/>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656B63AD" w14:textId="77777777">
            <w:pPr>
              <w:pStyle w:val="TableParagraph"/>
              <w:spacing w:before="42"/>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63DBC1E1" w14:textId="77777777">
            <w:pPr>
              <w:pStyle w:val="TableParagraph"/>
              <w:spacing w:before="42"/>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00A9D35F" w14:textId="77777777">
            <w:pPr>
              <w:pStyle w:val="TableParagraph"/>
              <w:spacing w:before="42"/>
              <w:ind w:left="194" w:right="276"/>
              <w:jc w:val="center"/>
              <w:rPr>
                <w:i/>
                <w:sz w:val="20"/>
              </w:rPr>
            </w:pPr>
            <w:r>
              <w:rPr>
                <w:i/>
                <w:spacing w:val="-4"/>
                <w:sz w:val="20"/>
              </w:rPr>
              <w:t>Both</w:t>
            </w:r>
          </w:p>
        </w:tc>
        <w:tc>
          <w:tcPr>
            <w:tcW w:w="1024" w:type="dxa"/>
            <w:tcBorders>
              <w:top w:val="single" w:color="B6B6B6" w:sz="4" w:space="0"/>
              <w:bottom w:val="single" w:color="B6B6B6" w:sz="4" w:space="0"/>
            </w:tcBorders>
          </w:tcPr>
          <w:p w:rsidR="00C31389" w:rsidRDefault="00561FBD" w14:paraId="0E1E95F1" w14:textId="77777777">
            <w:pPr>
              <w:pStyle w:val="TableParagraph"/>
              <w:spacing w:before="42"/>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466AFB65" w14:textId="77777777">
            <w:pPr>
              <w:pStyle w:val="TableParagraph"/>
              <w:spacing w:before="42"/>
              <w:ind w:left="1082"/>
              <w:rPr>
                <w:sz w:val="20"/>
              </w:rPr>
            </w:pPr>
            <w:r>
              <w:rPr>
                <w:spacing w:val="-2"/>
                <w:sz w:val="20"/>
              </w:rPr>
              <w:t>Furnace</w:t>
            </w:r>
          </w:p>
        </w:tc>
      </w:tr>
      <w:tr w:rsidR="00C31389" w14:paraId="6AB2F5BA" w14:textId="77777777">
        <w:trPr>
          <w:trHeight w:val="539"/>
        </w:trPr>
        <w:tc>
          <w:tcPr>
            <w:tcW w:w="1452" w:type="dxa"/>
            <w:tcBorders>
              <w:top w:val="single" w:color="B6B6B6" w:sz="4" w:space="0"/>
              <w:bottom w:val="single" w:color="B6B6B6" w:sz="4" w:space="0"/>
            </w:tcBorders>
          </w:tcPr>
          <w:p w:rsidR="00C31389" w:rsidRDefault="00561FBD" w14:paraId="24CFAFE4" w14:textId="77777777">
            <w:pPr>
              <w:pStyle w:val="TableParagraph"/>
              <w:spacing w:before="155"/>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4E9B853C" w14:textId="77777777">
            <w:pPr>
              <w:pStyle w:val="TableParagraph"/>
              <w:spacing w:before="155"/>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3F532C9C" w14:textId="77777777">
            <w:pPr>
              <w:pStyle w:val="TableParagraph"/>
              <w:spacing w:before="155"/>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74E32008" w14:textId="77777777">
            <w:pPr>
              <w:pStyle w:val="TableParagraph"/>
              <w:spacing w:before="155"/>
              <w:ind w:left="195" w:right="276"/>
              <w:jc w:val="center"/>
              <w:rPr>
                <w:sz w:val="20"/>
              </w:rPr>
            </w:pPr>
            <w:r>
              <w:rPr>
                <w:spacing w:val="-4"/>
                <w:sz w:val="20"/>
              </w:rPr>
              <w:t>High</w:t>
            </w:r>
          </w:p>
        </w:tc>
        <w:tc>
          <w:tcPr>
            <w:tcW w:w="1024" w:type="dxa"/>
            <w:tcBorders>
              <w:top w:val="single" w:color="B6B6B6" w:sz="4" w:space="0"/>
              <w:bottom w:val="single" w:color="B6B6B6" w:sz="4" w:space="0"/>
            </w:tcBorders>
          </w:tcPr>
          <w:p w:rsidR="00C31389" w:rsidRDefault="00561FBD" w14:paraId="4850B80F" w14:textId="77777777">
            <w:pPr>
              <w:pStyle w:val="TableParagraph"/>
              <w:spacing w:before="155"/>
              <w:ind w:left="301"/>
              <w:rPr>
                <w:sz w:val="20"/>
              </w:rPr>
            </w:pPr>
            <w:r>
              <w:rPr>
                <w:spacing w:val="-4"/>
                <w:sz w:val="20"/>
              </w:rPr>
              <w:t>High</w:t>
            </w:r>
          </w:p>
        </w:tc>
        <w:tc>
          <w:tcPr>
            <w:tcW w:w="2930" w:type="dxa"/>
            <w:tcBorders>
              <w:top w:val="single" w:color="B6B6B6" w:sz="4" w:space="0"/>
              <w:bottom w:val="single" w:color="B6B6B6" w:sz="4" w:space="0"/>
            </w:tcBorders>
          </w:tcPr>
          <w:p w:rsidR="00C31389" w:rsidRDefault="00561FBD" w14:paraId="5BB1F9AE" w14:textId="77777777">
            <w:pPr>
              <w:pStyle w:val="TableParagraph"/>
              <w:tabs>
                <w:tab w:val="left" w:pos="1082"/>
              </w:tabs>
              <w:spacing w:before="65" w:line="151" w:lineRule="auto"/>
              <w:ind w:left="392"/>
              <w:rPr>
                <w:sz w:val="20"/>
              </w:rPr>
            </w:pPr>
            <w:r>
              <w:rPr>
                <w:spacing w:val="-5"/>
                <w:position w:val="-11"/>
                <w:sz w:val="20"/>
              </w:rPr>
              <w:t>FS</w:t>
            </w:r>
            <w:r>
              <w:rPr>
                <w:position w:val="-11"/>
                <w:sz w:val="20"/>
              </w:rPr>
              <w:tab/>
            </w:r>
            <w:r>
              <w:rPr>
                <w:sz w:val="20"/>
              </w:rPr>
              <w:t>Heat</w:t>
            </w:r>
            <w:r>
              <w:rPr>
                <w:spacing w:val="-2"/>
                <w:sz w:val="20"/>
              </w:rPr>
              <w:t xml:space="preserve"> </w:t>
            </w:r>
            <w:r>
              <w:rPr>
                <w:sz w:val="20"/>
              </w:rPr>
              <w:t>Pump</w:t>
            </w:r>
            <w:r>
              <w:rPr>
                <w:spacing w:val="-3"/>
                <w:sz w:val="20"/>
              </w:rPr>
              <w:t xml:space="preserve"> </w:t>
            </w:r>
            <w:r>
              <w:rPr>
                <w:spacing w:val="-4"/>
                <w:sz w:val="20"/>
              </w:rPr>
              <w:t>Water</w:t>
            </w:r>
          </w:p>
          <w:p w:rsidR="00C31389" w:rsidRDefault="00561FBD" w14:paraId="55C46712" w14:textId="77777777">
            <w:pPr>
              <w:pStyle w:val="TableParagraph"/>
              <w:spacing w:before="0" w:line="171" w:lineRule="exact"/>
              <w:ind w:left="1070" w:right="1231"/>
              <w:jc w:val="center"/>
              <w:rPr>
                <w:sz w:val="20"/>
              </w:rPr>
            </w:pPr>
            <w:r>
              <w:rPr>
                <w:spacing w:val="-2"/>
                <w:sz w:val="20"/>
              </w:rPr>
              <w:t>Heater</w:t>
            </w:r>
          </w:p>
        </w:tc>
      </w:tr>
      <w:tr w:rsidR="00C31389" w14:paraId="21BD626D" w14:textId="77777777">
        <w:trPr>
          <w:trHeight w:val="315"/>
        </w:trPr>
        <w:tc>
          <w:tcPr>
            <w:tcW w:w="1452" w:type="dxa"/>
            <w:tcBorders>
              <w:top w:val="single" w:color="B6B6B6" w:sz="4" w:space="0"/>
              <w:bottom w:val="single" w:color="B6B6B6" w:sz="4" w:space="0"/>
            </w:tcBorders>
          </w:tcPr>
          <w:p w:rsidR="00C31389" w:rsidRDefault="00561FBD" w14:paraId="6E89D8C1" w14:textId="77777777">
            <w:pPr>
              <w:pStyle w:val="TableParagraph"/>
              <w:spacing w:before="42"/>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394D4B71" w14:textId="77777777">
            <w:pPr>
              <w:pStyle w:val="TableParagraph"/>
              <w:spacing w:before="42"/>
              <w:ind w:left="247" w:right="181"/>
              <w:jc w:val="center"/>
              <w:rPr>
                <w:sz w:val="20"/>
              </w:rPr>
            </w:pPr>
            <w:r>
              <w:rPr>
                <w:spacing w:val="-5"/>
                <w:sz w:val="20"/>
              </w:rPr>
              <w:t>Low</w:t>
            </w:r>
          </w:p>
        </w:tc>
        <w:tc>
          <w:tcPr>
            <w:tcW w:w="1221" w:type="dxa"/>
            <w:tcBorders>
              <w:top w:val="single" w:color="B6B6B6" w:sz="4" w:space="0"/>
              <w:bottom w:val="single" w:color="B6B6B6" w:sz="4" w:space="0"/>
            </w:tcBorders>
          </w:tcPr>
          <w:p w:rsidR="00C31389" w:rsidRDefault="00561FBD" w14:paraId="6553F41B" w14:textId="77777777">
            <w:pPr>
              <w:pStyle w:val="TableParagraph"/>
              <w:spacing w:before="42"/>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60C8A9A4" w14:textId="77777777">
            <w:pPr>
              <w:pStyle w:val="TableParagraph"/>
              <w:spacing w:before="42"/>
              <w:ind w:left="194" w:right="276"/>
              <w:jc w:val="center"/>
              <w:rPr>
                <w:i/>
                <w:sz w:val="20"/>
              </w:rPr>
            </w:pPr>
            <w:r>
              <w:rPr>
                <w:i/>
                <w:spacing w:val="-4"/>
                <w:sz w:val="20"/>
              </w:rPr>
              <w:t>Both</w:t>
            </w:r>
          </w:p>
        </w:tc>
        <w:tc>
          <w:tcPr>
            <w:tcW w:w="1024" w:type="dxa"/>
            <w:tcBorders>
              <w:top w:val="single" w:color="B6B6B6" w:sz="4" w:space="0"/>
              <w:bottom w:val="single" w:color="B6B6B6" w:sz="4" w:space="0"/>
            </w:tcBorders>
          </w:tcPr>
          <w:p w:rsidR="00C31389" w:rsidRDefault="00561FBD" w14:paraId="0D20DFC2" w14:textId="77777777">
            <w:pPr>
              <w:pStyle w:val="TableParagraph"/>
              <w:spacing w:before="42"/>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4134CD86" w14:textId="77777777">
            <w:pPr>
              <w:pStyle w:val="TableParagraph"/>
              <w:spacing w:before="42"/>
              <w:ind w:left="1082"/>
              <w:rPr>
                <w:sz w:val="20"/>
              </w:rPr>
            </w:pPr>
            <w:r>
              <w:rPr>
                <w:spacing w:val="-2"/>
                <w:sz w:val="20"/>
              </w:rPr>
              <w:t>Insulation</w:t>
            </w:r>
          </w:p>
        </w:tc>
      </w:tr>
      <w:tr w:rsidR="00C31389" w14:paraId="37629EEA" w14:textId="77777777">
        <w:trPr>
          <w:trHeight w:val="315"/>
        </w:trPr>
        <w:tc>
          <w:tcPr>
            <w:tcW w:w="1452" w:type="dxa"/>
            <w:tcBorders>
              <w:top w:val="single" w:color="B6B6B6" w:sz="4" w:space="0"/>
              <w:bottom w:val="single" w:color="B6B6B6" w:sz="4" w:space="0"/>
            </w:tcBorders>
          </w:tcPr>
          <w:p w:rsidR="00C31389" w:rsidRDefault="00561FBD" w14:paraId="7975B3C7" w14:textId="77777777">
            <w:pPr>
              <w:pStyle w:val="TableParagraph"/>
              <w:spacing w:before="42"/>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337EE4BC" w14:textId="77777777">
            <w:pPr>
              <w:pStyle w:val="TableParagraph"/>
              <w:spacing w:before="42"/>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2619DB7D" w14:textId="77777777">
            <w:pPr>
              <w:pStyle w:val="TableParagraph"/>
              <w:spacing w:before="42"/>
              <w:ind w:left="184" w:right="192"/>
              <w:jc w:val="center"/>
              <w:rPr>
                <w:sz w:val="20"/>
              </w:rPr>
            </w:pPr>
            <w:r>
              <w:rPr>
                <w:spacing w:val="-2"/>
                <w:sz w:val="20"/>
              </w:rPr>
              <w:t>Visible</w:t>
            </w:r>
          </w:p>
        </w:tc>
        <w:tc>
          <w:tcPr>
            <w:tcW w:w="1492" w:type="dxa"/>
            <w:tcBorders>
              <w:top w:val="single" w:color="B6B6B6" w:sz="4" w:space="0"/>
              <w:bottom w:val="single" w:color="B6B6B6" w:sz="4" w:space="0"/>
            </w:tcBorders>
          </w:tcPr>
          <w:p w:rsidR="00C31389" w:rsidRDefault="00561FBD" w14:paraId="4906000F" w14:textId="77777777">
            <w:pPr>
              <w:pStyle w:val="TableParagraph"/>
              <w:spacing w:before="42"/>
              <w:ind w:left="194" w:right="276"/>
              <w:jc w:val="center"/>
              <w:rPr>
                <w:i/>
                <w:sz w:val="20"/>
              </w:rPr>
            </w:pPr>
            <w:r>
              <w:rPr>
                <w:i/>
                <w:spacing w:val="-4"/>
                <w:sz w:val="20"/>
              </w:rPr>
              <w:t>Both</w:t>
            </w:r>
          </w:p>
        </w:tc>
        <w:tc>
          <w:tcPr>
            <w:tcW w:w="1024" w:type="dxa"/>
            <w:tcBorders>
              <w:top w:val="single" w:color="B6B6B6" w:sz="4" w:space="0"/>
              <w:bottom w:val="single" w:color="B6B6B6" w:sz="4" w:space="0"/>
            </w:tcBorders>
          </w:tcPr>
          <w:p w:rsidR="00C31389" w:rsidRDefault="00561FBD" w14:paraId="063D1B64" w14:textId="77777777">
            <w:pPr>
              <w:pStyle w:val="TableParagraph"/>
              <w:spacing w:before="42"/>
              <w:ind w:left="301"/>
              <w:rPr>
                <w:sz w:val="20"/>
              </w:rPr>
            </w:pPr>
            <w:r>
              <w:rPr>
                <w:spacing w:val="-4"/>
                <w:sz w:val="20"/>
              </w:rPr>
              <w:t>High</w:t>
            </w:r>
          </w:p>
        </w:tc>
        <w:tc>
          <w:tcPr>
            <w:tcW w:w="2930" w:type="dxa"/>
            <w:tcBorders>
              <w:top w:val="single" w:color="B6B6B6" w:sz="4" w:space="0"/>
              <w:bottom w:val="single" w:color="B6B6B6" w:sz="4" w:space="0"/>
            </w:tcBorders>
          </w:tcPr>
          <w:p w:rsidR="00C31389" w:rsidRDefault="00561FBD" w14:paraId="715079EE" w14:textId="77777777">
            <w:pPr>
              <w:pStyle w:val="TableParagraph"/>
              <w:spacing w:before="42"/>
              <w:ind w:left="1082"/>
              <w:rPr>
                <w:sz w:val="20"/>
              </w:rPr>
            </w:pPr>
            <w:r>
              <w:rPr>
                <w:spacing w:val="-2"/>
                <w:sz w:val="20"/>
              </w:rPr>
              <w:t>Refrigerator</w:t>
            </w:r>
          </w:p>
        </w:tc>
      </w:tr>
      <w:tr w:rsidR="00C31389" w14:paraId="6FC4C6D0" w14:textId="77777777">
        <w:trPr>
          <w:trHeight w:val="313"/>
        </w:trPr>
        <w:tc>
          <w:tcPr>
            <w:tcW w:w="1452" w:type="dxa"/>
            <w:tcBorders>
              <w:top w:val="single" w:color="B6B6B6" w:sz="4" w:space="0"/>
              <w:bottom w:val="single" w:color="B6B6B6" w:sz="4" w:space="0"/>
            </w:tcBorders>
          </w:tcPr>
          <w:p w:rsidR="00C31389" w:rsidRDefault="00561FBD" w14:paraId="5D774FCC" w14:textId="77777777">
            <w:pPr>
              <w:pStyle w:val="TableParagraph"/>
              <w:spacing w:before="42"/>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453D2850" w14:textId="77777777">
            <w:pPr>
              <w:pStyle w:val="TableParagraph"/>
              <w:spacing w:before="42"/>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564071C8" w14:textId="77777777">
            <w:pPr>
              <w:pStyle w:val="TableParagraph"/>
              <w:spacing w:before="42"/>
              <w:ind w:left="184" w:right="192"/>
              <w:jc w:val="center"/>
              <w:rPr>
                <w:sz w:val="20"/>
              </w:rPr>
            </w:pPr>
            <w:r>
              <w:rPr>
                <w:spacing w:val="-2"/>
                <w:sz w:val="20"/>
              </w:rPr>
              <w:t>Visible</w:t>
            </w:r>
          </w:p>
        </w:tc>
        <w:tc>
          <w:tcPr>
            <w:tcW w:w="1492" w:type="dxa"/>
            <w:tcBorders>
              <w:top w:val="single" w:color="B6B6B6" w:sz="4" w:space="0"/>
              <w:bottom w:val="single" w:color="B6B6B6" w:sz="4" w:space="0"/>
            </w:tcBorders>
          </w:tcPr>
          <w:p w:rsidR="00C31389" w:rsidRDefault="00561FBD" w14:paraId="0159F501" w14:textId="77777777">
            <w:pPr>
              <w:pStyle w:val="TableParagraph"/>
              <w:spacing w:before="42"/>
              <w:ind w:left="194" w:right="276"/>
              <w:jc w:val="center"/>
              <w:rPr>
                <w:i/>
                <w:sz w:val="20"/>
              </w:rPr>
            </w:pPr>
            <w:r>
              <w:rPr>
                <w:i/>
                <w:spacing w:val="-4"/>
                <w:sz w:val="20"/>
              </w:rPr>
              <w:t>Both</w:t>
            </w:r>
          </w:p>
        </w:tc>
        <w:tc>
          <w:tcPr>
            <w:tcW w:w="1024" w:type="dxa"/>
            <w:tcBorders>
              <w:top w:val="single" w:color="B6B6B6" w:sz="4" w:space="0"/>
              <w:bottom w:val="single" w:color="B6B6B6" w:sz="4" w:space="0"/>
            </w:tcBorders>
          </w:tcPr>
          <w:p w:rsidR="00C31389" w:rsidRDefault="00561FBD" w14:paraId="7318D7B0" w14:textId="77777777">
            <w:pPr>
              <w:pStyle w:val="TableParagraph"/>
              <w:spacing w:before="42"/>
              <w:ind w:left="324"/>
              <w:rPr>
                <w:sz w:val="20"/>
              </w:rPr>
            </w:pPr>
            <w:r>
              <w:rPr>
                <w:spacing w:val="-5"/>
                <w:sz w:val="20"/>
              </w:rPr>
              <w:t>Low</w:t>
            </w:r>
          </w:p>
        </w:tc>
        <w:tc>
          <w:tcPr>
            <w:tcW w:w="2930" w:type="dxa"/>
            <w:tcBorders>
              <w:top w:val="single" w:color="B6B6B6" w:sz="4" w:space="0"/>
              <w:bottom w:val="single" w:color="B6B6B6" w:sz="4" w:space="0"/>
            </w:tcBorders>
          </w:tcPr>
          <w:p w:rsidR="00C31389" w:rsidRDefault="00561FBD" w14:paraId="1B178136" w14:textId="77777777">
            <w:pPr>
              <w:pStyle w:val="TableParagraph"/>
              <w:spacing w:before="42"/>
              <w:ind w:left="1082"/>
              <w:rPr>
                <w:sz w:val="20"/>
              </w:rPr>
            </w:pPr>
            <w:r>
              <w:rPr>
                <w:spacing w:val="-2"/>
                <w:sz w:val="20"/>
              </w:rPr>
              <w:t>Thermostat</w:t>
            </w:r>
          </w:p>
        </w:tc>
      </w:tr>
      <w:tr w:rsidR="00C31389" w14:paraId="56B00929" w14:textId="77777777">
        <w:trPr>
          <w:trHeight w:val="315"/>
        </w:trPr>
        <w:tc>
          <w:tcPr>
            <w:tcW w:w="1452" w:type="dxa"/>
            <w:tcBorders>
              <w:top w:val="single" w:color="B6B6B6" w:sz="4" w:space="0"/>
              <w:bottom w:val="single" w:color="B6B6B6" w:sz="4" w:space="0"/>
            </w:tcBorders>
          </w:tcPr>
          <w:p w:rsidR="00C31389" w:rsidRDefault="00561FBD" w14:paraId="6B0BFD5D" w14:textId="77777777">
            <w:pPr>
              <w:pStyle w:val="TableParagraph"/>
              <w:spacing w:before="44"/>
              <w:ind w:left="122"/>
              <w:rPr>
                <w:sz w:val="20"/>
              </w:rPr>
            </w:pPr>
            <w:r>
              <w:rPr>
                <w:spacing w:val="-2"/>
                <w:sz w:val="20"/>
              </w:rPr>
              <w:t>Residential</w:t>
            </w:r>
          </w:p>
        </w:tc>
        <w:tc>
          <w:tcPr>
            <w:tcW w:w="1257" w:type="dxa"/>
            <w:tcBorders>
              <w:top w:val="single" w:color="B6B6B6" w:sz="4" w:space="0"/>
              <w:bottom w:val="single" w:color="B6B6B6" w:sz="4" w:space="0"/>
            </w:tcBorders>
          </w:tcPr>
          <w:p w:rsidR="00C31389" w:rsidRDefault="00561FBD" w14:paraId="4603D6E4" w14:textId="77777777">
            <w:pPr>
              <w:pStyle w:val="TableParagraph"/>
              <w:spacing w:before="44"/>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1C57B748" w14:textId="77777777">
            <w:pPr>
              <w:pStyle w:val="TableParagraph"/>
              <w:spacing w:before="44"/>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6C1EFF73" w14:textId="77777777">
            <w:pPr>
              <w:pStyle w:val="TableParagraph"/>
              <w:spacing w:before="44"/>
              <w:ind w:left="195" w:right="276"/>
              <w:jc w:val="center"/>
              <w:rPr>
                <w:sz w:val="20"/>
              </w:rPr>
            </w:pPr>
            <w:r>
              <w:rPr>
                <w:spacing w:val="-4"/>
                <w:sz w:val="20"/>
              </w:rPr>
              <w:t>High</w:t>
            </w:r>
          </w:p>
        </w:tc>
        <w:tc>
          <w:tcPr>
            <w:tcW w:w="1024" w:type="dxa"/>
            <w:tcBorders>
              <w:top w:val="single" w:color="B6B6B6" w:sz="4" w:space="0"/>
              <w:bottom w:val="single" w:color="B6B6B6" w:sz="4" w:space="0"/>
            </w:tcBorders>
          </w:tcPr>
          <w:p w:rsidR="00C31389" w:rsidRDefault="00561FBD" w14:paraId="7C3AC4C0" w14:textId="77777777">
            <w:pPr>
              <w:pStyle w:val="TableParagraph"/>
              <w:spacing w:before="44"/>
              <w:ind w:left="324"/>
              <w:rPr>
                <w:sz w:val="20"/>
              </w:rPr>
            </w:pPr>
            <w:r>
              <w:rPr>
                <w:spacing w:val="-5"/>
                <w:sz w:val="20"/>
              </w:rPr>
              <w:t>Low</w:t>
            </w:r>
          </w:p>
        </w:tc>
        <w:tc>
          <w:tcPr>
            <w:tcW w:w="2930" w:type="dxa"/>
            <w:tcBorders>
              <w:top w:val="single" w:color="B6B6B6" w:sz="4" w:space="0"/>
              <w:bottom w:val="single" w:color="B6B6B6" w:sz="4" w:space="0"/>
            </w:tcBorders>
          </w:tcPr>
          <w:p w:rsidR="00C31389" w:rsidRDefault="00561FBD" w14:paraId="759B0231" w14:textId="77777777">
            <w:pPr>
              <w:pStyle w:val="TableParagraph"/>
              <w:spacing w:before="44"/>
              <w:ind w:left="1082"/>
              <w:rPr>
                <w:sz w:val="20"/>
              </w:rPr>
            </w:pPr>
            <w:r>
              <w:rPr>
                <w:sz w:val="20"/>
              </w:rPr>
              <w:t>Water</w:t>
            </w:r>
            <w:r>
              <w:rPr>
                <w:spacing w:val="-3"/>
                <w:sz w:val="20"/>
              </w:rPr>
              <w:t xml:space="preserve"> </w:t>
            </w:r>
            <w:r>
              <w:rPr>
                <w:spacing w:val="-2"/>
                <w:sz w:val="20"/>
              </w:rPr>
              <w:t>Heater</w:t>
            </w:r>
          </w:p>
        </w:tc>
      </w:tr>
      <w:tr w:rsidR="00C31389" w14:paraId="15BBFE27" w14:textId="77777777">
        <w:trPr>
          <w:trHeight w:val="315"/>
        </w:trPr>
        <w:tc>
          <w:tcPr>
            <w:tcW w:w="1452" w:type="dxa"/>
            <w:tcBorders>
              <w:top w:val="single" w:color="B6B6B6" w:sz="4" w:space="0"/>
              <w:bottom w:val="single" w:color="B6B6B6" w:sz="4" w:space="0"/>
            </w:tcBorders>
          </w:tcPr>
          <w:p w:rsidR="00C31389" w:rsidRDefault="00561FBD" w14:paraId="3A5C515F" w14:textId="77777777">
            <w:pPr>
              <w:pStyle w:val="TableParagraph"/>
              <w:spacing w:before="44"/>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561FBD" w14:paraId="02AA7D6F" w14:textId="77777777">
            <w:pPr>
              <w:pStyle w:val="TableParagraph"/>
              <w:spacing w:before="44"/>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619ACF95" w14:textId="77777777">
            <w:pPr>
              <w:pStyle w:val="TableParagraph"/>
              <w:spacing w:before="44"/>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0B1A732E" w14:textId="77777777">
            <w:pPr>
              <w:pStyle w:val="TableParagraph"/>
              <w:spacing w:before="44"/>
              <w:ind w:left="194" w:right="276"/>
              <w:jc w:val="center"/>
              <w:rPr>
                <w:sz w:val="20"/>
              </w:rPr>
            </w:pPr>
            <w:r>
              <w:rPr>
                <w:spacing w:val="-5"/>
                <w:sz w:val="20"/>
              </w:rPr>
              <w:t>Low</w:t>
            </w:r>
          </w:p>
        </w:tc>
        <w:tc>
          <w:tcPr>
            <w:tcW w:w="1024" w:type="dxa"/>
            <w:tcBorders>
              <w:top w:val="single" w:color="B6B6B6" w:sz="4" w:space="0"/>
              <w:bottom w:val="single" w:color="B6B6B6" w:sz="4" w:space="0"/>
            </w:tcBorders>
          </w:tcPr>
          <w:p w:rsidR="00C31389" w:rsidRDefault="00561FBD" w14:paraId="10C17358" w14:textId="77777777">
            <w:pPr>
              <w:pStyle w:val="TableParagraph"/>
              <w:spacing w:before="44"/>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6872C352" w14:textId="77777777">
            <w:pPr>
              <w:pStyle w:val="TableParagraph"/>
              <w:spacing w:before="44"/>
              <w:ind w:left="1082"/>
              <w:rPr>
                <w:sz w:val="20"/>
              </w:rPr>
            </w:pPr>
            <w:r>
              <w:rPr>
                <w:spacing w:val="-5"/>
                <w:sz w:val="20"/>
              </w:rPr>
              <w:t>EMS</w:t>
            </w:r>
          </w:p>
        </w:tc>
      </w:tr>
      <w:tr w:rsidR="00C31389" w14:paraId="06170AE0" w14:textId="77777777">
        <w:trPr>
          <w:trHeight w:val="315"/>
        </w:trPr>
        <w:tc>
          <w:tcPr>
            <w:tcW w:w="1452" w:type="dxa"/>
            <w:tcBorders>
              <w:top w:val="single" w:color="B6B6B6" w:sz="4" w:space="0"/>
              <w:bottom w:val="single" w:color="B6B6B6" w:sz="4" w:space="0"/>
            </w:tcBorders>
          </w:tcPr>
          <w:p w:rsidR="00C31389" w:rsidRDefault="00561FBD" w14:paraId="6811DE14" w14:textId="77777777">
            <w:pPr>
              <w:pStyle w:val="TableParagraph"/>
              <w:spacing w:before="42"/>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561FBD" w14:paraId="1081A326" w14:textId="77777777">
            <w:pPr>
              <w:pStyle w:val="TableParagraph"/>
              <w:spacing w:before="42"/>
              <w:ind w:left="247" w:right="181"/>
              <w:jc w:val="center"/>
              <w:rPr>
                <w:sz w:val="20"/>
              </w:rPr>
            </w:pPr>
            <w:r>
              <w:rPr>
                <w:spacing w:val="-5"/>
                <w:sz w:val="20"/>
              </w:rPr>
              <w:t>Low</w:t>
            </w:r>
          </w:p>
        </w:tc>
        <w:tc>
          <w:tcPr>
            <w:tcW w:w="1221" w:type="dxa"/>
            <w:tcBorders>
              <w:top w:val="single" w:color="B6B6B6" w:sz="4" w:space="0"/>
              <w:bottom w:val="single" w:color="B6B6B6" w:sz="4" w:space="0"/>
            </w:tcBorders>
          </w:tcPr>
          <w:p w:rsidR="00C31389" w:rsidRDefault="00561FBD" w14:paraId="585CA246" w14:textId="77777777">
            <w:pPr>
              <w:pStyle w:val="TableParagraph"/>
              <w:spacing w:before="42"/>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74CA3D7B" w14:textId="77777777">
            <w:pPr>
              <w:pStyle w:val="TableParagraph"/>
              <w:spacing w:before="42"/>
              <w:ind w:left="195" w:right="276"/>
              <w:jc w:val="center"/>
              <w:rPr>
                <w:sz w:val="20"/>
              </w:rPr>
            </w:pPr>
            <w:r>
              <w:rPr>
                <w:spacing w:val="-4"/>
                <w:sz w:val="20"/>
              </w:rPr>
              <w:t>High</w:t>
            </w:r>
          </w:p>
        </w:tc>
        <w:tc>
          <w:tcPr>
            <w:tcW w:w="1024" w:type="dxa"/>
            <w:tcBorders>
              <w:top w:val="single" w:color="B6B6B6" w:sz="4" w:space="0"/>
              <w:bottom w:val="single" w:color="B6B6B6" w:sz="4" w:space="0"/>
            </w:tcBorders>
          </w:tcPr>
          <w:p w:rsidR="00C31389" w:rsidRDefault="00561FBD" w14:paraId="0DA580A9" w14:textId="77777777">
            <w:pPr>
              <w:pStyle w:val="TableParagraph"/>
              <w:spacing w:before="42"/>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2145994E" w14:textId="77777777">
            <w:pPr>
              <w:pStyle w:val="TableParagraph"/>
              <w:spacing w:before="42"/>
              <w:ind w:left="1082"/>
              <w:rPr>
                <w:sz w:val="20"/>
              </w:rPr>
            </w:pPr>
            <w:r>
              <w:rPr>
                <w:spacing w:val="-2"/>
                <w:sz w:val="20"/>
              </w:rPr>
              <w:t>Insulation</w:t>
            </w:r>
          </w:p>
        </w:tc>
      </w:tr>
      <w:tr w:rsidR="00C31389" w14:paraId="525C9116" w14:textId="77777777">
        <w:trPr>
          <w:trHeight w:val="315"/>
        </w:trPr>
        <w:tc>
          <w:tcPr>
            <w:tcW w:w="1452" w:type="dxa"/>
            <w:tcBorders>
              <w:top w:val="single" w:color="B6B6B6" w:sz="4" w:space="0"/>
              <w:bottom w:val="single" w:color="B6B6B6" w:sz="4" w:space="0"/>
            </w:tcBorders>
          </w:tcPr>
          <w:p w:rsidR="00C31389" w:rsidRDefault="00561FBD" w14:paraId="3D08D611" w14:textId="77777777">
            <w:pPr>
              <w:pStyle w:val="TableParagraph"/>
              <w:spacing w:before="42"/>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561FBD" w14:paraId="170927D7" w14:textId="77777777">
            <w:pPr>
              <w:pStyle w:val="TableParagraph"/>
              <w:spacing w:before="42"/>
              <w:ind w:left="247" w:right="181"/>
              <w:jc w:val="center"/>
              <w:rPr>
                <w:sz w:val="20"/>
              </w:rPr>
            </w:pPr>
            <w:r>
              <w:rPr>
                <w:spacing w:val="-5"/>
                <w:sz w:val="20"/>
              </w:rPr>
              <w:t>Low</w:t>
            </w:r>
          </w:p>
        </w:tc>
        <w:tc>
          <w:tcPr>
            <w:tcW w:w="1221" w:type="dxa"/>
            <w:tcBorders>
              <w:top w:val="single" w:color="B6B6B6" w:sz="4" w:space="0"/>
              <w:bottom w:val="single" w:color="B6B6B6" w:sz="4" w:space="0"/>
            </w:tcBorders>
          </w:tcPr>
          <w:p w:rsidR="00C31389" w:rsidRDefault="00561FBD" w14:paraId="554A1887" w14:textId="77777777">
            <w:pPr>
              <w:pStyle w:val="TableParagraph"/>
              <w:spacing w:before="42"/>
              <w:ind w:left="184" w:right="192"/>
              <w:jc w:val="center"/>
              <w:rPr>
                <w:sz w:val="20"/>
              </w:rPr>
            </w:pPr>
            <w:r>
              <w:rPr>
                <w:spacing w:val="-2"/>
                <w:sz w:val="20"/>
              </w:rPr>
              <w:t>Visible</w:t>
            </w:r>
          </w:p>
        </w:tc>
        <w:tc>
          <w:tcPr>
            <w:tcW w:w="1492" w:type="dxa"/>
            <w:tcBorders>
              <w:top w:val="single" w:color="B6B6B6" w:sz="4" w:space="0"/>
              <w:bottom w:val="single" w:color="B6B6B6" w:sz="4" w:space="0"/>
            </w:tcBorders>
          </w:tcPr>
          <w:p w:rsidR="00C31389" w:rsidRDefault="00561FBD" w14:paraId="169BE071" w14:textId="77777777">
            <w:pPr>
              <w:pStyle w:val="TableParagraph"/>
              <w:spacing w:before="42"/>
              <w:ind w:left="194" w:right="276"/>
              <w:jc w:val="center"/>
              <w:rPr>
                <w:sz w:val="20"/>
              </w:rPr>
            </w:pPr>
            <w:r>
              <w:rPr>
                <w:spacing w:val="-5"/>
                <w:sz w:val="20"/>
              </w:rPr>
              <w:t>Low</w:t>
            </w:r>
          </w:p>
        </w:tc>
        <w:tc>
          <w:tcPr>
            <w:tcW w:w="1024" w:type="dxa"/>
            <w:tcBorders>
              <w:top w:val="single" w:color="B6B6B6" w:sz="4" w:space="0"/>
              <w:bottom w:val="single" w:color="B6B6B6" w:sz="4" w:space="0"/>
            </w:tcBorders>
          </w:tcPr>
          <w:p w:rsidR="00C31389" w:rsidRDefault="00561FBD" w14:paraId="74FE0A04" w14:textId="77777777">
            <w:pPr>
              <w:pStyle w:val="TableParagraph"/>
              <w:spacing w:before="42"/>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50D339C8" w14:textId="77777777">
            <w:pPr>
              <w:pStyle w:val="TableParagraph"/>
              <w:spacing w:before="42"/>
              <w:ind w:left="1082"/>
              <w:rPr>
                <w:sz w:val="20"/>
              </w:rPr>
            </w:pPr>
            <w:r>
              <w:rPr>
                <w:sz w:val="20"/>
              </w:rPr>
              <w:t>Lighting</w:t>
            </w:r>
            <w:r>
              <w:rPr>
                <w:spacing w:val="-7"/>
                <w:sz w:val="20"/>
              </w:rPr>
              <w:t xml:space="preserve"> </w:t>
            </w:r>
            <w:r>
              <w:rPr>
                <w:spacing w:val="-2"/>
                <w:sz w:val="20"/>
              </w:rPr>
              <w:t>Control</w:t>
            </w:r>
          </w:p>
        </w:tc>
      </w:tr>
      <w:tr w:rsidR="00C31389" w14:paraId="03AA95FC" w14:textId="77777777">
        <w:trPr>
          <w:trHeight w:val="770"/>
        </w:trPr>
        <w:tc>
          <w:tcPr>
            <w:tcW w:w="1452" w:type="dxa"/>
            <w:tcBorders>
              <w:top w:val="single" w:color="B6B6B6" w:sz="4" w:space="0"/>
              <w:bottom w:val="single" w:color="B6B6B6" w:sz="4" w:space="0"/>
            </w:tcBorders>
          </w:tcPr>
          <w:p w:rsidR="00C31389" w:rsidRDefault="00C31389" w14:paraId="4436D441" w14:textId="77777777">
            <w:pPr>
              <w:pStyle w:val="TableParagraph"/>
              <w:spacing w:before="6"/>
              <w:rPr>
                <w:b/>
                <w:sz w:val="23"/>
              </w:rPr>
            </w:pPr>
          </w:p>
          <w:p w:rsidR="00C31389" w:rsidRDefault="00561FBD" w14:paraId="0679A499" w14:textId="77777777">
            <w:pPr>
              <w:pStyle w:val="TableParagraph"/>
              <w:spacing w:before="0"/>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C31389" w14:paraId="03AC330A" w14:textId="77777777">
            <w:pPr>
              <w:pStyle w:val="TableParagraph"/>
              <w:spacing w:before="6"/>
              <w:rPr>
                <w:b/>
                <w:sz w:val="23"/>
              </w:rPr>
            </w:pPr>
          </w:p>
          <w:p w:rsidR="00C31389" w:rsidRDefault="00561FBD" w14:paraId="002EB59E" w14:textId="77777777">
            <w:pPr>
              <w:pStyle w:val="TableParagraph"/>
              <w:spacing w:before="0"/>
              <w:ind w:left="247" w:right="181"/>
              <w:jc w:val="center"/>
              <w:rPr>
                <w:sz w:val="20"/>
              </w:rPr>
            </w:pPr>
            <w:r>
              <w:rPr>
                <w:spacing w:val="-5"/>
                <w:sz w:val="20"/>
              </w:rPr>
              <w:t>Low</w:t>
            </w:r>
          </w:p>
        </w:tc>
        <w:tc>
          <w:tcPr>
            <w:tcW w:w="1221" w:type="dxa"/>
            <w:tcBorders>
              <w:top w:val="single" w:color="B6B6B6" w:sz="4" w:space="0"/>
              <w:bottom w:val="single" w:color="B6B6B6" w:sz="4" w:space="0"/>
            </w:tcBorders>
          </w:tcPr>
          <w:p w:rsidR="00C31389" w:rsidRDefault="00C31389" w14:paraId="1AFA1D9B" w14:textId="77777777">
            <w:pPr>
              <w:pStyle w:val="TableParagraph"/>
              <w:spacing w:before="6"/>
              <w:rPr>
                <w:b/>
                <w:sz w:val="23"/>
              </w:rPr>
            </w:pPr>
          </w:p>
          <w:p w:rsidR="00C31389" w:rsidRDefault="00561FBD" w14:paraId="084E876C" w14:textId="77777777">
            <w:pPr>
              <w:pStyle w:val="TableParagraph"/>
              <w:spacing w:before="0"/>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C31389" w14:paraId="47AE005E" w14:textId="77777777">
            <w:pPr>
              <w:pStyle w:val="TableParagraph"/>
              <w:spacing w:before="6"/>
              <w:rPr>
                <w:b/>
                <w:sz w:val="23"/>
              </w:rPr>
            </w:pPr>
          </w:p>
          <w:p w:rsidR="00C31389" w:rsidRDefault="00561FBD" w14:paraId="7950F095" w14:textId="77777777">
            <w:pPr>
              <w:pStyle w:val="TableParagraph"/>
              <w:spacing w:before="0"/>
              <w:ind w:left="192" w:right="276"/>
              <w:jc w:val="center"/>
              <w:rPr>
                <w:sz w:val="20"/>
              </w:rPr>
            </w:pPr>
            <w:r>
              <w:rPr>
                <w:spacing w:val="-5"/>
                <w:sz w:val="20"/>
              </w:rPr>
              <w:t>Low</w:t>
            </w:r>
          </w:p>
        </w:tc>
        <w:tc>
          <w:tcPr>
            <w:tcW w:w="1024" w:type="dxa"/>
            <w:tcBorders>
              <w:top w:val="single" w:color="B6B6B6" w:sz="4" w:space="0"/>
              <w:bottom w:val="single" w:color="B6B6B6" w:sz="4" w:space="0"/>
            </w:tcBorders>
          </w:tcPr>
          <w:p w:rsidR="00C31389" w:rsidRDefault="00C31389" w14:paraId="312A8D8C" w14:textId="77777777">
            <w:pPr>
              <w:pStyle w:val="TableParagraph"/>
              <w:spacing w:before="6"/>
              <w:rPr>
                <w:b/>
                <w:sz w:val="23"/>
              </w:rPr>
            </w:pPr>
          </w:p>
          <w:p w:rsidR="00C31389" w:rsidRDefault="00561FBD" w14:paraId="488512CB" w14:textId="77777777">
            <w:pPr>
              <w:pStyle w:val="TableParagraph"/>
              <w:spacing w:before="0"/>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342ED4E8" w14:textId="77777777">
            <w:pPr>
              <w:pStyle w:val="TableParagraph"/>
              <w:ind w:left="1082" w:right="65"/>
              <w:rPr>
                <w:sz w:val="20"/>
              </w:rPr>
            </w:pPr>
            <w:r>
              <w:rPr>
                <w:sz w:val="20"/>
              </w:rPr>
              <w:t xml:space="preserve">PC Power </w:t>
            </w:r>
            <w:r>
              <w:rPr>
                <w:spacing w:val="-2"/>
                <w:sz w:val="20"/>
              </w:rPr>
              <w:t>Management System</w:t>
            </w:r>
          </w:p>
        </w:tc>
      </w:tr>
      <w:tr w:rsidR="00C31389" w14:paraId="5C243DCF" w14:textId="77777777">
        <w:trPr>
          <w:trHeight w:val="314"/>
        </w:trPr>
        <w:tc>
          <w:tcPr>
            <w:tcW w:w="1452" w:type="dxa"/>
            <w:tcBorders>
              <w:top w:val="single" w:color="B6B6B6" w:sz="4" w:space="0"/>
              <w:bottom w:val="single" w:color="B6B6B6" w:sz="4" w:space="0"/>
            </w:tcBorders>
          </w:tcPr>
          <w:p w:rsidR="00C31389" w:rsidRDefault="00561FBD" w14:paraId="4248A5E2" w14:textId="77777777">
            <w:pPr>
              <w:pStyle w:val="TableParagraph"/>
              <w:spacing w:before="42"/>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561FBD" w14:paraId="7810B7EC" w14:textId="77777777">
            <w:pPr>
              <w:pStyle w:val="TableParagraph"/>
              <w:spacing w:before="42"/>
              <w:ind w:left="247" w:right="181"/>
              <w:jc w:val="center"/>
              <w:rPr>
                <w:sz w:val="20"/>
              </w:rPr>
            </w:pPr>
            <w:r>
              <w:rPr>
                <w:spacing w:val="-5"/>
                <w:sz w:val="20"/>
              </w:rPr>
              <w:t>Low</w:t>
            </w:r>
          </w:p>
        </w:tc>
        <w:tc>
          <w:tcPr>
            <w:tcW w:w="1221" w:type="dxa"/>
            <w:tcBorders>
              <w:top w:val="single" w:color="B6B6B6" w:sz="4" w:space="0"/>
              <w:bottom w:val="single" w:color="B6B6B6" w:sz="4" w:space="0"/>
            </w:tcBorders>
          </w:tcPr>
          <w:p w:rsidR="00C31389" w:rsidRDefault="00561FBD" w14:paraId="346CDD5C" w14:textId="77777777">
            <w:pPr>
              <w:pStyle w:val="TableParagraph"/>
              <w:spacing w:before="42"/>
              <w:ind w:left="184" w:right="192"/>
              <w:jc w:val="center"/>
              <w:rPr>
                <w:sz w:val="20"/>
              </w:rPr>
            </w:pPr>
            <w:r>
              <w:rPr>
                <w:spacing w:val="-2"/>
                <w:sz w:val="20"/>
              </w:rPr>
              <w:t>Visible</w:t>
            </w:r>
          </w:p>
        </w:tc>
        <w:tc>
          <w:tcPr>
            <w:tcW w:w="1492" w:type="dxa"/>
            <w:tcBorders>
              <w:top w:val="single" w:color="B6B6B6" w:sz="4" w:space="0"/>
              <w:bottom w:val="single" w:color="B6B6B6" w:sz="4" w:space="0"/>
            </w:tcBorders>
          </w:tcPr>
          <w:p w:rsidR="00C31389" w:rsidRDefault="00561FBD" w14:paraId="4F74D961" w14:textId="77777777">
            <w:pPr>
              <w:pStyle w:val="TableParagraph"/>
              <w:spacing w:before="42"/>
              <w:ind w:left="195" w:right="276"/>
              <w:jc w:val="center"/>
              <w:rPr>
                <w:sz w:val="20"/>
              </w:rPr>
            </w:pPr>
            <w:r>
              <w:rPr>
                <w:spacing w:val="-4"/>
                <w:sz w:val="20"/>
              </w:rPr>
              <w:t>High</w:t>
            </w:r>
          </w:p>
        </w:tc>
        <w:tc>
          <w:tcPr>
            <w:tcW w:w="1024" w:type="dxa"/>
            <w:tcBorders>
              <w:top w:val="single" w:color="B6B6B6" w:sz="4" w:space="0"/>
              <w:bottom w:val="single" w:color="B6B6B6" w:sz="4" w:space="0"/>
            </w:tcBorders>
          </w:tcPr>
          <w:p w:rsidR="00C31389" w:rsidRDefault="00561FBD" w14:paraId="50C4389A" w14:textId="77777777">
            <w:pPr>
              <w:pStyle w:val="TableParagraph"/>
              <w:spacing w:before="42"/>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12BC4809" w14:textId="77777777">
            <w:pPr>
              <w:pStyle w:val="TableParagraph"/>
              <w:spacing w:before="42"/>
              <w:ind w:left="1082"/>
              <w:rPr>
                <w:sz w:val="20"/>
              </w:rPr>
            </w:pPr>
            <w:r>
              <w:rPr>
                <w:sz w:val="20"/>
              </w:rPr>
              <w:t>Power</w:t>
            </w:r>
            <w:r>
              <w:rPr>
                <w:spacing w:val="-5"/>
                <w:sz w:val="20"/>
              </w:rPr>
              <w:t xml:space="preserve"> </w:t>
            </w:r>
            <w:r>
              <w:rPr>
                <w:spacing w:val="-2"/>
                <w:sz w:val="20"/>
              </w:rPr>
              <w:t>Strip</w:t>
            </w:r>
          </w:p>
        </w:tc>
      </w:tr>
      <w:tr w:rsidR="00C31389" w14:paraId="135CBC62" w14:textId="77777777">
        <w:trPr>
          <w:trHeight w:val="540"/>
        </w:trPr>
        <w:tc>
          <w:tcPr>
            <w:tcW w:w="1452" w:type="dxa"/>
            <w:tcBorders>
              <w:top w:val="single" w:color="B6B6B6" w:sz="4" w:space="0"/>
              <w:bottom w:val="single" w:color="B6B6B6" w:sz="4" w:space="0"/>
            </w:tcBorders>
          </w:tcPr>
          <w:p w:rsidR="00C31389" w:rsidRDefault="00561FBD" w14:paraId="75642568" w14:textId="77777777">
            <w:pPr>
              <w:pStyle w:val="TableParagraph"/>
              <w:spacing w:before="156"/>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561FBD" w14:paraId="1DFC069D" w14:textId="77777777">
            <w:pPr>
              <w:pStyle w:val="TableParagraph"/>
              <w:spacing w:before="156"/>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68966403" w14:textId="77777777">
            <w:pPr>
              <w:pStyle w:val="TableParagraph"/>
              <w:spacing w:before="156"/>
              <w:ind w:left="184" w:right="192"/>
              <w:jc w:val="center"/>
              <w:rPr>
                <w:sz w:val="20"/>
              </w:rPr>
            </w:pPr>
            <w:r>
              <w:rPr>
                <w:spacing w:val="-2"/>
                <w:sz w:val="20"/>
              </w:rPr>
              <w:t>Visible</w:t>
            </w:r>
          </w:p>
        </w:tc>
        <w:tc>
          <w:tcPr>
            <w:tcW w:w="1492" w:type="dxa"/>
            <w:tcBorders>
              <w:top w:val="single" w:color="B6B6B6" w:sz="4" w:space="0"/>
              <w:bottom w:val="single" w:color="B6B6B6" w:sz="4" w:space="0"/>
            </w:tcBorders>
          </w:tcPr>
          <w:p w:rsidR="00C31389" w:rsidRDefault="00561FBD" w14:paraId="6C87C305" w14:textId="77777777">
            <w:pPr>
              <w:pStyle w:val="TableParagraph"/>
              <w:spacing w:before="156"/>
              <w:ind w:left="194" w:right="276"/>
              <w:jc w:val="center"/>
              <w:rPr>
                <w:i/>
                <w:sz w:val="20"/>
              </w:rPr>
            </w:pPr>
            <w:r>
              <w:rPr>
                <w:i/>
                <w:spacing w:val="-4"/>
                <w:sz w:val="20"/>
              </w:rPr>
              <w:t>Both</w:t>
            </w:r>
          </w:p>
        </w:tc>
        <w:tc>
          <w:tcPr>
            <w:tcW w:w="1024" w:type="dxa"/>
            <w:tcBorders>
              <w:top w:val="single" w:color="B6B6B6" w:sz="4" w:space="0"/>
              <w:bottom w:val="single" w:color="B6B6B6" w:sz="4" w:space="0"/>
            </w:tcBorders>
          </w:tcPr>
          <w:p w:rsidR="00C31389" w:rsidRDefault="00561FBD" w14:paraId="2F51814A" w14:textId="77777777">
            <w:pPr>
              <w:pStyle w:val="TableParagraph"/>
              <w:spacing w:before="156"/>
              <w:ind w:left="301"/>
              <w:rPr>
                <w:sz w:val="20"/>
              </w:rPr>
            </w:pPr>
            <w:r>
              <w:rPr>
                <w:spacing w:val="-4"/>
                <w:sz w:val="20"/>
              </w:rPr>
              <w:t>High</w:t>
            </w:r>
          </w:p>
        </w:tc>
        <w:tc>
          <w:tcPr>
            <w:tcW w:w="2930" w:type="dxa"/>
            <w:tcBorders>
              <w:top w:val="single" w:color="B6B6B6" w:sz="4" w:space="0"/>
              <w:bottom w:val="single" w:color="B6B6B6" w:sz="4" w:space="0"/>
            </w:tcBorders>
          </w:tcPr>
          <w:p w:rsidR="00C31389" w:rsidRDefault="00561FBD" w14:paraId="64D9D211" w14:textId="77777777">
            <w:pPr>
              <w:pStyle w:val="TableParagraph"/>
              <w:spacing w:before="41"/>
              <w:ind w:left="1082"/>
              <w:rPr>
                <w:sz w:val="20"/>
              </w:rPr>
            </w:pPr>
            <w:r>
              <w:rPr>
                <w:spacing w:val="-2"/>
                <w:sz w:val="20"/>
              </w:rPr>
              <w:t>Refrigeration Case/Unit</w:t>
            </w:r>
          </w:p>
        </w:tc>
      </w:tr>
      <w:tr w:rsidR="00C31389" w14:paraId="15429E40" w14:textId="77777777">
        <w:trPr>
          <w:trHeight w:val="315"/>
        </w:trPr>
        <w:tc>
          <w:tcPr>
            <w:tcW w:w="1452" w:type="dxa"/>
            <w:tcBorders>
              <w:top w:val="single" w:color="B6B6B6" w:sz="4" w:space="0"/>
              <w:bottom w:val="single" w:color="B6B6B6" w:sz="4" w:space="0"/>
            </w:tcBorders>
          </w:tcPr>
          <w:p w:rsidR="00C31389" w:rsidRDefault="00561FBD" w14:paraId="67B3A5C9" w14:textId="77777777">
            <w:pPr>
              <w:pStyle w:val="TableParagraph"/>
              <w:spacing w:before="42"/>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561FBD" w14:paraId="71EBF3F9" w14:textId="77777777">
            <w:pPr>
              <w:pStyle w:val="TableParagraph"/>
              <w:spacing w:before="42"/>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03FB7D24" w14:textId="77777777">
            <w:pPr>
              <w:pStyle w:val="TableParagraph"/>
              <w:spacing w:before="42"/>
              <w:ind w:left="184" w:right="192"/>
              <w:jc w:val="center"/>
              <w:rPr>
                <w:sz w:val="20"/>
              </w:rPr>
            </w:pPr>
            <w:r>
              <w:rPr>
                <w:spacing w:val="-2"/>
                <w:sz w:val="20"/>
              </w:rPr>
              <w:t>Visible</w:t>
            </w:r>
          </w:p>
        </w:tc>
        <w:tc>
          <w:tcPr>
            <w:tcW w:w="1492" w:type="dxa"/>
            <w:tcBorders>
              <w:top w:val="single" w:color="B6B6B6" w:sz="4" w:space="0"/>
              <w:bottom w:val="single" w:color="B6B6B6" w:sz="4" w:space="0"/>
            </w:tcBorders>
          </w:tcPr>
          <w:p w:rsidR="00C31389" w:rsidRDefault="00561FBD" w14:paraId="61FC6DEC" w14:textId="77777777">
            <w:pPr>
              <w:pStyle w:val="TableParagraph"/>
              <w:spacing w:before="42"/>
              <w:ind w:left="194" w:right="276"/>
              <w:jc w:val="center"/>
              <w:rPr>
                <w:i/>
                <w:sz w:val="20"/>
              </w:rPr>
            </w:pPr>
            <w:r>
              <w:rPr>
                <w:i/>
                <w:spacing w:val="-4"/>
                <w:sz w:val="20"/>
              </w:rPr>
              <w:t>Both</w:t>
            </w:r>
          </w:p>
        </w:tc>
        <w:tc>
          <w:tcPr>
            <w:tcW w:w="1024" w:type="dxa"/>
            <w:tcBorders>
              <w:top w:val="single" w:color="B6B6B6" w:sz="4" w:space="0"/>
              <w:bottom w:val="single" w:color="B6B6B6" w:sz="4" w:space="0"/>
            </w:tcBorders>
          </w:tcPr>
          <w:p w:rsidR="00C31389" w:rsidRDefault="00561FBD" w14:paraId="2C11D825" w14:textId="77777777">
            <w:pPr>
              <w:pStyle w:val="TableParagraph"/>
              <w:spacing w:before="42"/>
              <w:ind w:left="324"/>
              <w:rPr>
                <w:sz w:val="20"/>
              </w:rPr>
            </w:pPr>
            <w:r>
              <w:rPr>
                <w:spacing w:val="-5"/>
                <w:sz w:val="20"/>
              </w:rPr>
              <w:t>Low</w:t>
            </w:r>
          </w:p>
        </w:tc>
        <w:tc>
          <w:tcPr>
            <w:tcW w:w="2930" w:type="dxa"/>
            <w:tcBorders>
              <w:top w:val="single" w:color="B6B6B6" w:sz="4" w:space="0"/>
              <w:bottom w:val="single" w:color="B6B6B6" w:sz="4" w:space="0"/>
            </w:tcBorders>
          </w:tcPr>
          <w:p w:rsidR="00C31389" w:rsidRDefault="00561FBD" w14:paraId="439DBC03" w14:textId="77777777">
            <w:pPr>
              <w:pStyle w:val="TableParagraph"/>
              <w:spacing w:before="42"/>
              <w:ind w:left="1082"/>
              <w:rPr>
                <w:sz w:val="20"/>
              </w:rPr>
            </w:pPr>
            <w:r>
              <w:rPr>
                <w:spacing w:val="-2"/>
                <w:sz w:val="20"/>
              </w:rPr>
              <w:t>Thermostat</w:t>
            </w:r>
          </w:p>
        </w:tc>
      </w:tr>
      <w:tr w:rsidR="00C31389" w14:paraId="0BF1377A" w14:textId="77777777">
        <w:trPr>
          <w:trHeight w:val="315"/>
        </w:trPr>
        <w:tc>
          <w:tcPr>
            <w:tcW w:w="1452" w:type="dxa"/>
            <w:tcBorders>
              <w:top w:val="single" w:color="B6B6B6" w:sz="4" w:space="0"/>
              <w:bottom w:val="single" w:color="B6B6B6" w:sz="4" w:space="0"/>
            </w:tcBorders>
          </w:tcPr>
          <w:p w:rsidR="00C31389" w:rsidRDefault="00561FBD" w14:paraId="37BDCAF4" w14:textId="77777777">
            <w:pPr>
              <w:pStyle w:val="TableParagraph"/>
              <w:spacing w:before="42"/>
              <w:ind w:left="122"/>
              <w:rPr>
                <w:sz w:val="20"/>
              </w:rPr>
            </w:pPr>
            <w:r>
              <w:rPr>
                <w:spacing w:val="-2"/>
                <w:sz w:val="20"/>
              </w:rPr>
              <w:t>Commercial</w:t>
            </w:r>
          </w:p>
        </w:tc>
        <w:tc>
          <w:tcPr>
            <w:tcW w:w="1257" w:type="dxa"/>
            <w:tcBorders>
              <w:top w:val="single" w:color="B6B6B6" w:sz="4" w:space="0"/>
              <w:bottom w:val="single" w:color="B6B6B6" w:sz="4" w:space="0"/>
            </w:tcBorders>
          </w:tcPr>
          <w:p w:rsidR="00C31389" w:rsidRDefault="00561FBD" w14:paraId="071FB3FB" w14:textId="77777777">
            <w:pPr>
              <w:pStyle w:val="TableParagraph"/>
              <w:spacing w:before="42"/>
              <w:ind w:left="247" w:right="182"/>
              <w:jc w:val="center"/>
              <w:rPr>
                <w:sz w:val="20"/>
              </w:rPr>
            </w:pPr>
            <w:r>
              <w:rPr>
                <w:spacing w:val="-4"/>
                <w:sz w:val="20"/>
              </w:rPr>
              <w:t>High</w:t>
            </w:r>
          </w:p>
        </w:tc>
        <w:tc>
          <w:tcPr>
            <w:tcW w:w="1221" w:type="dxa"/>
            <w:tcBorders>
              <w:top w:val="single" w:color="B6B6B6" w:sz="4" w:space="0"/>
              <w:bottom w:val="single" w:color="B6B6B6" w:sz="4" w:space="0"/>
            </w:tcBorders>
          </w:tcPr>
          <w:p w:rsidR="00C31389" w:rsidRDefault="00561FBD" w14:paraId="664866A5" w14:textId="77777777">
            <w:pPr>
              <w:pStyle w:val="TableParagraph"/>
              <w:spacing w:before="42"/>
              <w:ind w:left="184" w:right="191"/>
              <w:jc w:val="center"/>
              <w:rPr>
                <w:sz w:val="20"/>
              </w:rPr>
            </w:pPr>
            <w:r>
              <w:rPr>
                <w:spacing w:val="-2"/>
                <w:sz w:val="20"/>
              </w:rPr>
              <w:t>Invisible</w:t>
            </w:r>
          </w:p>
        </w:tc>
        <w:tc>
          <w:tcPr>
            <w:tcW w:w="1492" w:type="dxa"/>
            <w:tcBorders>
              <w:top w:val="single" w:color="B6B6B6" w:sz="4" w:space="0"/>
              <w:bottom w:val="single" w:color="B6B6B6" w:sz="4" w:space="0"/>
            </w:tcBorders>
          </w:tcPr>
          <w:p w:rsidR="00C31389" w:rsidRDefault="00561FBD" w14:paraId="0296A635" w14:textId="77777777">
            <w:pPr>
              <w:pStyle w:val="TableParagraph"/>
              <w:spacing w:before="42"/>
              <w:ind w:left="195" w:right="276"/>
              <w:jc w:val="center"/>
              <w:rPr>
                <w:sz w:val="20"/>
              </w:rPr>
            </w:pPr>
            <w:r>
              <w:rPr>
                <w:spacing w:val="-4"/>
                <w:sz w:val="20"/>
              </w:rPr>
              <w:t>High</w:t>
            </w:r>
          </w:p>
        </w:tc>
        <w:tc>
          <w:tcPr>
            <w:tcW w:w="1024" w:type="dxa"/>
            <w:tcBorders>
              <w:top w:val="single" w:color="B6B6B6" w:sz="4" w:space="0"/>
              <w:bottom w:val="single" w:color="B6B6B6" w:sz="4" w:space="0"/>
            </w:tcBorders>
          </w:tcPr>
          <w:p w:rsidR="00C31389" w:rsidRDefault="00561FBD" w14:paraId="6872DFB2" w14:textId="77777777">
            <w:pPr>
              <w:pStyle w:val="TableParagraph"/>
              <w:spacing w:before="42"/>
              <w:ind w:left="301"/>
              <w:rPr>
                <w:i/>
                <w:sz w:val="20"/>
              </w:rPr>
            </w:pPr>
            <w:r>
              <w:rPr>
                <w:i/>
                <w:spacing w:val="-4"/>
                <w:sz w:val="20"/>
              </w:rPr>
              <w:t>Both</w:t>
            </w:r>
          </w:p>
        </w:tc>
        <w:tc>
          <w:tcPr>
            <w:tcW w:w="2930" w:type="dxa"/>
            <w:tcBorders>
              <w:top w:val="single" w:color="B6B6B6" w:sz="4" w:space="0"/>
              <w:bottom w:val="single" w:color="B6B6B6" w:sz="4" w:space="0"/>
            </w:tcBorders>
          </w:tcPr>
          <w:p w:rsidR="00C31389" w:rsidRDefault="00561FBD" w14:paraId="19FCA276" w14:textId="77777777">
            <w:pPr>
              <w:pStyle w:val="TableParagraph"/>
              <w:spacing w:before="42"/>
              <w:ind w:left="1082"/>
              <w:rPr>
                <w:sz w:val="20"/>
              </w:rPr>
            </w:pPr>
            <w:r>
              <w:rPr>
                <w:sz w:val="20"/>
              </w:rPr>
              <w:t>Water</w:t>
            </w:r>
            <w:r>
              <w:rPr>
                <w:spacing w:val="-3"/>
                <w:sz w:val="20"/>
              </w:rPr>
              <w:t xml:space="preserve"> </w:t>
            </w:r>
            <w:r>
              <w:rPr>
                <w:spacing w:val="-2"/>
                <w:sz w:val="20"/>
              </w:rPr>
              <w:t>Heater</w:t>
            </w:r>
          </w:p>
        </w:tc>
      </w:tr>
    </w:tbl>
    <w:p w:rsidR="00C31389" w:rsidRDefault="00561FBD" w14:paraId="3FE9F60C" w14:textId="77777777">
      <w:pPr>
        <w:spacing w:before="26"/>
        <w:ind w:left="480"/>
        <w:rPr>
          <w:sz w:val="18"/>
        </w:rPr>
      </w:pPr>
      <w:r>
        <w:rPr>
          <w:sz w:val="18"/>
        </w:rPr>
        <w:t>*</w:t>
      </w:r>
      <w:r>
        <w:rPr>
          <w:spacing w:val="-4"/>
          <w:sz w:val="18"/>
        </w:rPr>
        <w:t xml:space="preserve"> </w:t>
      </w:r>
      <w:r>
        <w:rPr>
          <w:sz w:val="18"/>
        </w:rPr>
        <w:t>Blank</w:t>
      </w:r>
      <w:r>
        <w:rPr>
          <w:spacing w:val="-2"/>
          <w:sz w:val="18"/>
        </w:rPr>
        <w:t xml:space="preserve"> </w:t>
      </w:r>
      <w:r>
        <w:rPr>
          <w:sz w:val="18"/>
        </w:rPr>
        <w:t>cells</w:t>
      </w:r>
      <w:r>
        <w:rPr>
          <w:spacing w:val="-2"/>
          <w:sz w:val="18"/>
        </w:rPr>
        <w:t xml:space="preserve"> </w:t>
      </w:r>
      <w:r>
        <w:rPr>
          <w:sz w:val="18"/>
        </w:rPr>
        <w:t>indicate</w:t>
      </w:r>
      <w:r>
        <w:rPr>
          <w:spacing w:val="-3"/>
          <w:sz w:val="18"/>
        </w:rPr>
        <w:t xml:space="preserve"> </w:t>
      </w:r>
      <w:r>
        <w:rPr>
          <w:sz w:val="18"/>
        </w:rPr>
        <w:t>that</w:t>
      </w:r>
      <w:r>
        <w:rPr>
          <w:spacing w:val="-2"/>
          <w:sz w:val="18"/>
        </w:rPr>
        <w:t xml:space="preserve"> </w:t>
      </w:r>
      <w:r>
        <w:rPr>
          <w:sz w:val="18"/>
        </w:rPr>
        <w:t>the</w:t>
      </w:r>
      <w:r>
        <w:rPr>
          <w:spacing w:val="-1"/>
          <w:sz w:val="18"/>
        </w:rPr>
        <w:t xml:space="preserve"> </w:t>
      </w:r>
      <w:r>
        <w:rPr>
          <w:sz w:val="18"/>
        </w:rPr>
        <w:t>survey</w:t>
      </w:r>
      <w:r>
        <w:rPr>
          <w:spacing w:val="-2"/>
          <w:sz w:val="18"/>
        </w:rPr>
        <w:t xml:space="preserve"> </w:t>
      </w:r>
      <w:r>
        <w:rPr>
          <w:sz w:val="18"/>
        </w:rPr>
        <w:t>did</w:t>
      </w:r>
      <w:r>
        <w:rPr>
          <w:spacing w:val="-3"/>
          <w:sz w:val="18"/>
        </w:rPr>
        <w:t xml:space="preserve"> </w:t>
      </w:r>
      <w:r>
        <w:rPr>
          <w:sz w:val="18"/>
        </w:rPr>
        <w:t>not</w:t>
      </w:r>
      <w:r>
        <w:rPr>
          <w:spacing w:val="-2"/>
          <w:sz w:val="18"/>
        </w:rPr>
        <w:t xml:space="preserve"> </w:t>
      </w:r>
      <w:r>
        <w:rPr>
          <w:sz w:val="18"/>
        </w:rPr>
        <w:t>address</w:t>
      </w:r>
      <w:r>
        <w:rPr>
          <w:spacing w:val="-2"/>
          <w:sz w:val="18"/>
        </w:rPr>
        <w:t xml:space="preserve"> </w:t>
      </w:r>
      <w:r>
        <w:rPr>
          <w:sz w:val="18"/>
        </w:rPr>
        <w:t>FS</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z w:val="18"/>
        </w:rPr>
        <w:t>specific</w:t>
      </w:r>
      <w:r>
        <w:rPr>
          <w:spacing w:val="-1"/>
          <w:sz w:val="18"/>
        </w:rPr>
        <w:t xml:space="preserve"> </w:t>
      </w:r>
      <w:r>
        <w:rPr>
          <w:spacing w:val="-2"/>
          <w:sz w:val="18"/>
        </w:rPr>
        <w:t>measure.</w:t>
      </w:r>
    </w:p>
    <w:p w:rsidR="00C31389" w:rsidRDefault="00561FBD" w14:paraId="0D910314" w14:textId="77777777">
      <w:pPr>
        <w:spacing w:before="60"/>
        <w:ind w:left="480"/>
        <w:rPr>
          <w:i/>
          <w:sz w:val="18"/>
        </w:rPr>
      </w:pPr>
      <w:r>
        <w:rPr>
          <w:i/>
          <w:sz w:val="18"/>
        </w:rPr>
        <w:t>Source:</w:t>
      </w:r>
      <w:r>
        <w:rPr>
          <w:i/>
          <w:spacing w:val="-4"/>
          <w:sz w:val="18"/>
        </w:rPr>
        <w:t xml:space="preserve"> </w:t>
      </w:r>
      <w:r>
        <w:rPr>
          <w:i/>
          <w:spacing w:val="-2"/>
          <w:sz w:val="18"/>
        </w:rPr>
        <w:t>Guidehouse</w:t>
      </w:r>
    </w:p>
    <w:p w:rsidR="00C31389" w:rsidRDefault="00C31389" w14:paraId="0F2FCC24" w14:textId="77777777">
      <w:pPr>
        <w:pStyle w:val="BodyText"/>
        <w:spacing w:before="9"/>
        <w:rPr>
          <w:i/>
          <w:sz w:val="20"/>
        </w:rPr>
      </w:pPr>
    </w:p>
    <w:p w:rsidR="00C31389" w:rsidRDefault="00561FBD" w14:paraId="37B74B8F" w14:textId="77777777">
      <w:pPr>
        <w:pStyle w:val="Heading4"/>
        <w:numPr>
          <w:ilvl w:val="2"/>
          <w:numId w:val="71"/>
        </w:numPr>
        <w:tabs>
          <w:tab w:val="left" w:pos="1076"/>
        </w:tabs>
        <w:ind w:left="1076" w:hanging="596"/>
      </w:pPr>
      <w:bookmarkStart w:name="3.3.1_Impacts_of_the_Multi-Attribute_Ana" w:id="193"/>
      <w:bookmarkStart w:name="_bookmark144" w:id="194"/>
      <w:bookmarkEnd w:id="193"/>
      <w:bookmarkEnd w:id="194"/>
      <w:r>
        <w:t>Impacts</w:t>
      </w:r>
      <w:r>
        <w:rPr>
          <w:spacing w:val="-4"/>
        </w:rPr>
        <w:t xml:space="preserve"> </w:t>
      </w:r>
      <w:r>
        <w:t>of</w:t>
      </w:r>
      <w:r>
        <w:rPr>
          <w:spacing w:val="-3"/>
        </w:rPr>
        <w:t xml:space="preserve"> </w:t>
      </w:r>
      <w:r>
        <w:t>the</w:t>
      </w:r>
      <w:r>
        <w:rPr>
          <w:spacing w:val="-4"/>
        </w:rPr>
        <w:t xml:space="preserve"> </w:t>
      </w:r>
      <w:r>
        <w:t>Multi-Attribute</w:t>
      </w:r>
      <w:r>
        <w:rPr>
          <w:spacing w:val="-3"/>
        </w:rPr>
        <w:t xml:space="preserve"> </w:t>
      </w:r>
      <w:r>
        <w:rPr>
          <w:spacing w:val="-2"/>
        </w:rPr>
        <w:t>Analysis</w:t>
      </w:r>
    </w:p>
    <w:p w:rsidR="00C31389" w:rsidRDefault="00C31389" w14:paraId="0DDA758F" w14:textId="77777777">
      <w:pPr>
        <w:pStyle w:val="BodyText"/>
        <w:spacing w:before="10"/>
        <w:rPr>
          <w:b/>
          <w:sz w:val="20"/>
        </w:rPr>
      </w:pPr>
    </w:p>
    <w:p w:rsidR="00C31389" w:rsidRDefault="00561FBD" w14:paraId="10DCA2CE" w14:textId="77777777">
      <w:pPr>
        <w:pStyle w:val="BodyText"/>
        <w:ind w:left="479" w:right="533"/>
      </w:pPr>
      <w:r>
        <w:t>The market study results have the greatest effect on measure groups where the relative magnitude</w:t>
      </w:r>
      <w:r>
        <w:rPr>
          <w:spacing w:val="-3"/>
        </w:rPr>
        <w:t xml:space="preserve"> </w:t>
      </w:r>
      <w:r>
        <w:t>of</w:t>
      </w:r>
      <w:r>
        <w:rPr>
          <w:spacing w:val="-3"/>
        </w:rPr>
        <w:t xml:space="preserve"> </w:t>
      </w:r>
      <w:r>
        <w:t>the</w:t>
      </w:r>
      <w:r>
        <w:rPr>
          <w:spacing w:val="-3"/>
        </w:rPr>
        <w:t xml:space="preserve"> </w:t>
      </w:r>
      <w:r>
        <w:t>levelized</w:t>
      </w:r>
      <w:r>
        <w:rPr>
          <w:spacing w:val="-3"/>
        </w:rPr>
        <w:t xml:space="preserve"> </w:t>
      </w:r>
      <w:r>
        <w:t>measure</w:t>
      </w:r>
      <w:r>
        <w:rPr>
          <w:spacing w:val="-3"/>
        </w:rPr>
        <w:t xml:space="preserve"> </w:t>
      </w:r>
      <w:r>
        <w:t>cost</w:t>
      </w:r>
      <w:r>
        <w:rPr>
          <w:spacing w:val="-3"/>
        </w:rPr>
        <w:t xml:space="preserve"> </w:t>
      </w:r>
      <w:r>
        <w:t>(LMC)</w:t>
      </w:r>
      <w:r>
        <w:rPr>
          <w:spacing w:val="-3"/>
        </w:rPr>
        <w:t xml:space="preserve"> </w:t>
      </w:r>
      <w:r>
        <w:t>value</w:t>
      </w:r>
      <w:r>
        <w:rPr>
          <w:spacing w:val="-3"/>
        </w:rPr>
        <w:t xml:space="preserve"> </w:t>
      </w:r>
      <w:r>
        <w:t>factor</w:t>
      </w:r>
      <w:r>
        <w:rPr>
          <w:spacing w:val="-3"/>
        </w:rPr>
        <w:t xml:space="preserve"> </w:t>
      </w:r>
      <w:r>
        <w:t>alone</w:t>
      </w:r>
      <w:r>
        <w:rPr>
          <w:spacing w:val="-3"/>
        </w:rPr>
        <w:t xml:space="preserve"> </w:t>
      </w:r>
      <w:r>
        <w:t>is</w:t>
      </w:r>
      <w:r>
        <w:rPr>
          <w:spacing w:val="-3"/>
        </w:rPr>
        <w:t xml:space="preserve"> </w:t>
      </w:r>
      <w:r>
        <w:t>different</w:t>
      </w:r>
      <w:r>
        <w:rPr>
          <w:spacing w:val="-3"/>
        </w:rPr>
        <w:t xml:space="preserve"> </w:t>
      </w:r>
      <w:r>
        <w:t>than</w:t>
      </w:r>
      <w:r>
        <w:rPr>
          <w:spacing w:val="-3"/>
        </w:rPr>
        <w:t xml:space="preserve"> </w:t>
      </w:r>
      <w:r>
        <w:t>the</w:t>
      </w:r>
      <w:r>
        <w:rPr>
          <w:spacing w:val="-4"/>
        </w:rPr>
        <w:t xml:space="preserve"> </w:t>
      </w:r>
      <w:r>
        <w:t xml:space="preserve">weighted average of the non-LMC value </w:t>
      </w:r>
      <w:r>
        <w:t>factors.</w:t>
      </w:r>
    </w:p>
    <w:p w:rsidR="00C31389" w:rsidRDefault="00C31389" w14:paraId="7B5E609F" w14:textId="77777777">
      <w:pPr>
        <w:pStyle w:val="BodyText"/>
        <w:spacing w:before="10"/>
        <w:rPr>
          <w:sz w:val="20"/>
        </w:rPr>
      </w:pPr>
    </w:p>
    <w:p w:rsidR="00C31389" w:rsidRDefault="00561FBD" w14:paraId="6EAD9EE8" w14:textId="77777777">
      <w:pPr>
        <w:pStyle w:val="BodyText"/>
        <w:spacing w:before="1"/>
        <w:ind w:left="479" w:right="533" w:hanging="1"/>
      </w:pPr>
      <w:r>
        <w:t>The</w:t>
      </w:r>
      <w:r>
        <w:rPr>
          <w:spacing w:val="-3"/>
        </w:rPr>
        <w:t xml:space="preserve"> </w:t>
      </w:r>
      <w:r>
        <w:t>examples</w:t>
      </w:r>
      <w:r>
        <w:rPr>
          <w:spacing w:val="-3"/>
        </w:rPr>
        <w:t xml:space="preserve"> </w:t>
      </w:r>
      <w:r>
        <w:t>in</w:t>
      </w:r>
      <w:r>
        <w:rPr>
          <w:spacing w:val="-3"/>
        </w:rPr>
        <w:t xml:space="preserve"> </w:t>
      </w:r>
      <w:r>
        <w:t>this</w:t>
      </w:r>
      <w:r>
        <w:rPr>
          <w:spacing w:val="-3"/>
        </w:rPr>
        <w:t xml:space="preserve"> </w:t>
      </w:r>
      <w:r>
        <w:t>section</w:t>
      </w:r>
      <w:r>
        <w:rPr>
          <w:spacing w:val="-3"/>
        </w:rPr>
        <w:t xml:space="preserve"> </w:t>
      </w:r>
      <w:r>
        <w:t>show</w:t>
      </w:r>
      <w:r>
        <w:rPr>
          <w:spacing w:val="-4"/>
        </w:rPr>
        <w:t xml:space="preserve"> </w:t>
      </w:r>
      <w:r>
        <w:t>the</w:t>
      </w:r>
      <w:r>
        <w:rPr>
          <w:spacing w:val="-3"/>
        </w:rPr>
        <w:t xml:space="preserve"> </w:t>
      </w:r>
      <w:r>
        <w:t>value</w:t>
      </w:r>
      <w:r>
        <w:rPr>
          <w:spacing w:val="-3"/>
        </w:rPr>
        <w:t xml:space="preserve"> </w:t>
      </w:r>
      <w:r>
        <w:t>factors</w:t>
      </w:r>
      <w:r>
        <w:rPr>
          <w:spacing w:val="-3"/>
        </w:rPr>
        <w:t xml:space="preserve"> </w:t>
      </w:r>
      <w:r>
        <w:t>associated</w:t>
      </w:r>
      <w:r>
        <w:rPr>
          <w:spacing w:val="-3"/>
        </w:rPr>
        <w:t xml:space="preserve"> </w:t>
      </w:r>
      <w:r>
        <w:t>with</w:t>
      </w:r>
      <w:r>
        <w:rPr>
          <w:spacing w:val="-3"/>
        </w:rPr>
        <w:t xml:space="preserve"> </w:t>
      </w:r>
      <w:r>
        <w:t>the</w:t>
      </w:r>
      <w:r>
        <w:rPr>
          <w:spacing w:val="-3"/>
        </w:rPr>
        <w:t xml:space="preserve"> </w:t>
      </w:r>
      <w:r>
        <w:t>efficient</w:t>
      </w:r>
      <w:r>
        <w:rPr>
          <w:spacing w:val="-3"/>
        </w:rPr>
        <w:t xml:space="preserve"> </w:t>
      </w:r>
      <w:r>
        <w:t>measure</w:t>
      </w:r>
      <w:r>
        <w:rPr>
          <w:spacing w:val="-3"/>
        </w:rPr>
        <w:t xml:space="preserve"> </w:t>
      </w:r>
      <w:r>
        <w:t>and indicates whether their associated technology characteristics serve as a benefit or barrier to adoption relative to the rest of the Competition Group.</w:t>
      </w:r>
    </w:p>
    <w:p w:rsidR="00C31389" w:rsidRDefault="00C31389" w14:paraId="15B620E5" w14:textId="77777777">
      <w:pPr>
        <w:pStyle w:val="BodyText"/>
        <w:spacing w:before="9"/>
        <w:rPr>
          <w:sz w:val="20"/>
        </w:rPr>
      </w:pPr>
    </w:p>
    <w:p w:rsidR="00C31389" w:rsidRDefault="00561FBD" w14:paraId="0718B95A" w14:textId="77777777">
      <w:pPr>
        <w:pStyle w:val="BodyText"/>
        <w:ind w:left="480" w:right="565"/>
      </w:pPr>
      <w:r>
        <w:t xml:space="preserve">In the illustrative instance in </w:t>
      </w:r>
      <w:hyperlink w:history="1" w:anchor="_bookmark145">
        <w:r>
          <w:t>Figure 3-4</w:t>
        </w:r>
      </w:hyperlink>
      <w:r>
        <w:t xml:space="preserve">, all of the value factors add benefits (+) to the efficient measure. However, a multi-attribute analysis does not necessarily calculate an increase </w:t>
      </w:r>
      <w:r>
        <w:t>in efficient measure adoption compared to the single attribute analysis. This is because the adoption depends on the relative magnitude of the technology characteristics between measures</w:t>
      </w:r>
      <w:r>
        <w:rPr>
          <w:spacing w:val="-3"/>
        </w:rPr>
        <w:t xml:space="preserve"> </w:t>
      </w:r>
      <w:r>
        <w:t>in</w:t>
      </w:r>
      <w:r>
        <w:rPr>
          <w:spacing w:val="-3"/>
        </w:rPr>
        <w:t xml:space="preserve"> </w:t>
      </w:r>
      <w:r>
        <w:t>a</w:t>
      </w:r>
      <w:r>
        <w:rPr>
          <w:spacing w:val="-3"/>
        </w:rPr>
        <w:t xml:space="preserve"> </w:t>
      </w:r>
      <w:r>
        <w:t>technology</w:t>
      </w:r>
      <w:r>
        <w:rPr>
          <w:spacing w:val="-2"/>
        </w:rPr>
        <w:t xml:space="preserve"> </w:t>
      </w:r>
      <w:r>
        <w:t>CG</w:t>
      </w:r>
      <w:r>
        <w:rPr>
          <w:spacing w:val="-4"/>
        </w:rPr>
        <w:t xml:space="preserve"> </w:t>
      </w:r>
      <w:r>
        <w:t>when</w:t>
      </w:r>
      <w:r>
        <w:rPr>
          <w:spacing w:val="-2"/>
        </w:rPr>
        <w:t xml:space="preserve"> </w:t>
      </w:r>
      <w:r>
        <w:t>all</w:t>
      </w:r>
      <w:r>
        <w:rPr>
          <w:spacing w:val="-3"/>
        </w:rPr>
        <w:t xml:space="preserve"> </w:t>
      </w:r>
      <w:r>
        <w:t>value</w:t>
      </w:r>
      <w:r>
        <w:rPr>
          <w:spacing w:val="-4"/>
        </w:rPr>
        <w:t xml:space="preserve"> </w:t>
      </w:r>
      <w:r>
        <w:t>factors</w:t>
      </w:r>
      <w:r>
        <w:rPr>
          <w:spacing w:val="-3"/>
        </w:rPr>
        <w:t xml:space="preserve"> </w:t>
      </w:r>
      <w:r>
        <w:t>are</w:t>
      </w:r>
      <w:r>
        <w:rPr>
          <w:spacing w:val="-3"/>
        </w:rPr>
        <w:t xml:space="preserve"> </w:t>
      </w:r>
      <w:r>
        <w:t>included</w:t>
      </w:r>
      <w:r>
        <w:rPr>
          <w:spacing w:val="-3"/>
        </w:rPr>
        <w:t xml:space="preserve"> </w:t>
      </w:r>
      <w:r>
        <w:t>compared</w:t>
      </w:r>
      <w:r>
        <w:rPr>
          <w:spacing w:val="-3"/>
        </w:rPr>
        <w:t xml:space="preserve"> </w:t>
      </w:r>
      <w:r>
        <w:t>to</w:t>
      </w:r>
      <w:r>
        <w:rPr>
          <w:spacing w:val="-3"/>
        </w:rPr>
        <w:t xml:space="preserve"> </w:t>
      </w:r>
      <w:r>
        <w:t>wh</w:t>
      </w:r>
      <w:r>
        <w:t>en</w:t>
      </w:r>
      <w:r>
        <w:rPr>
          <w:spacing w:val="-3"/>
        </w:rPr>
        <w:t xml:space="preserve"> </w:t>
      </w:r>
      <w:r>
        <w:t>only</w:t>
      </w:r>
      <w:r>
        <w:rPr>
          <w:spacing w:val="-3"/>
        </w:rPr>
        <w:t xml:space="preserve"> </w:t>
      </w:r>
      <w:r>
        <w:t>LMC is included. For a single attribute analysis only considering LMC, if the LMC of the efficient</w:t>
      </w:r>
    </w:p>
    <w:p w:rsidR="00C31389" w:rsidRDefault="00C31389" w14:paraId="5A8B6219" w14:textId="77777777">
      <w:pPr>
        <w:sectPr w:rsidR="00C31389">
          <w:headerReference w:type="default" r:id="rId123"/>
          <w:footerReference w:type="default" r:id="rId124"/>
          <w:pgSz w:w="12240" w:h="15840"/>
          <w:pgMar w:top="1660" w:right="960" w:bottom="1120" w:left="960" w:header="397" w:footer="936" w:gutter="0"/>
          <w:cols w:space="720"/>
        </w:sectPr>
      </w:pPr>
    </w:p>
    <w:p w:rsidR="00C31389" w:rsidRDefault="00C31389" w14:paraId="303F3FF6" w14:textId="77777777">
      <w:pPr>
        <w:pStyle w:val="BodyText"/>
        <w:spacing w:before="11"/>
        <w:rPr>
          <w:sz w:val="13"/>
        </w:rPr>
      </w:pPr>
    </w:p>
    <w:p w:rsidR="00C31389" w:rsidRDefault="00561FBD" w14:paraId="058582E8" w14:textId="77777777">
      <w:pPr>
        <w:pStyle w:val="BodyText"/>
        <w:spacing w:before="92"/>
        <w:ind w:left="480" w:right="485"/>
      </w:pPr>
      <w:r>
        <w:t>measure</w:t>
      </w:r>
      <w:r>
        <w:rPr>
          <w:spacing w:val="-3"/>
        </w:rPr>
        <w:t xml:space="preserve"> </w:t>
      </w:r>
      <w:r>
        <w:t>is</w:t>
      </w:r>
      <w:r>
        <w:rPr>
          <w:spacing w:val="-3"/>
        </w:rPr>
        <w:t xml:space="preserve"> </w:t>
      </w:r>
      <w:r>
        <w:t>only</w:t>
      </w:r>
      <w:r>
        <w:rPr>
          <w:spacing w:val="-3"/>
        </w:rPr>
        <w:t xml:space="preserve"> </w:t>
      </w:r>
      <w:r>
        <w:t>slightly</w:t>
      </w:r>
      <w:r>
        <w:rPr>
          <w:spacing w:val="-4"/>
        </w:rPr>
        <w:t xml:space="preserve"> </w:t>
      </w:r>
      <w:r>
        <w:t>better</w:t>
      </w:r>
      <w:r>
        <w:rPr>
          <w:spacing w:val="-3"/>
        </w:rPr>
        <w:t xml:space="preserve"> </w:t>
      </w:r>
      <w:r>
        <w:t>than</w:t>
      </w:r>
      <w:r>
        <w:rPr>
          <w:spacing w:val="-3"/>
        </w:rPr>
        <w:t xml:space="preserve"> </w:t>
      </w:r>
      <w:r>
        <w:t>the</w:t>
      </w:r>
      <w:r>
        <w:rPr>
          <w:spacing w:val="-3"/>
        </w:rPr>
        <w:t xml:space="preserve"> </w:t>
      </w:r>
      <w:r>
        <w:t>baseline</w:t>
      </w:r>
      <w:r>
        <w:rPr>
          <w:spacing w:val="-4"/>
        </w:rPr>
        <w:t xml:space="preserve"> </w:t>
      </w:r>
      <w:r>
        <w:t>measure,</w:t>
      </w:r>
      <w:r>
        <w:rPr>
          <w:spacing w:val="-3"/>
        </w:rPr>
        <w:t xml:space="preserve"> </w:t>
      </w:r>
      <w:r>
        <w:t>then,</w:t>
      </w:r>
      <w:r>
        <w:rPr>
          <w:spacing w:val="-3"/>
        </w:rPr>
        <w:t xml:space="preserve"> </w:t>
      </w:r>
      <w:r>
        <w:t>correspondingly,</w:t>
      </w:r>
      <w:r>
        <w:rPr>
          <w:spacing w:val="-3"/>
        </w:rPr>
        <w:t xml:space="preserve"> </w:t>
      </w:r>
      <w:r>
        <w:t>there</w:t>
      </w:r>
      <w:r>
        <w:rPr>
          <w:spacing w:val="-3"/>
        </w:rPr>
        <w:t xml:space="preserve"> </w:t>
      </w:r>
      <w:r>
        <w:t>would</w:t>
      </w:r>
      <w:r>
        <w:rPr>
          <w:spacing w:val="-3"/>
        </w:rPr>
        <w:t xml:space="preserve"> </w:t>
      </w:r>
      <w:r>
        <w:t>be slightly more adoption of the efficient measure compared to the baseline measure. In a multi- attribute analysis, the following are cases where this figure can hold true.</w:t>
      </w:r>
    </w:p>
    <w:p w:rsidR="00C31389" w:rsidRDefault="00C31389" w14:paraId="6DFBBD25" w14:textId="77777777">
      <w:pPr>
        <w:pStyle w:val="BodyText"/>
        <w:spacing w:before="9"/>
        <w:rPr>
          <w:sz w:val="20"/>
        </w:rPr>
      </w:pPr>
    </w:p>
    <w:p w:rsidR="00C31389" w:rsidRDefault="00561FBD" w14:paraId="6D941D7D" w14:textId="77777777">
      <w:pPr>
        <w:pStyle w:val="ListParagraph"/>
        <w:numPr>
          <w:ilvl w:val="0"/>
          <w:numId w:val="47"/>
        </w:numPr>
        <w:tabs>
          <w:tab w:val="left" w:pos="1200"/>
        </w:tabs>
        <w:spacing w:before="1"/>
        <w:ind w:right="595"/>
      </w:pPr>
      <w:r>
        <w:t>The</w:t>
      </w:r>
      <w:r>
        <w:t xml:space="preserve"> technology characteristics for all the other (non-LMC) value factors for the efficient measure</w:t>
      </w:r>
      <w:r>
        <w:rPr>
          <w:spacing w:val="-3"/>
        </w:rPr>
        <w:t xml:space="preserve"> </w:t>
      </w:r>
      <w:r>
        <w:t>are</w:t>
      </w:r>
      <w:r>
        <w:rPr>
          <w:spacing w:val="-3"/>
        </w:rPr>
        <w:t xml:space="preserve"> </w:t>
      </w:r>
      <w:r>
        <w:t>only</w:t>
      </w:r>
      <w:r>
        <w:rPr>
          <w:spacing w:val="-3"/>
        </w:rPr>
        <w:t xml:space="preserve"> </w:t>
      </w:r>
      <w:r>
        <w:t>slightly</w:t>
      </w:r>
      <w:r>
        <w:rPr>
          <w:spacing w:val="-3"/>
        </w:rPr>
        <w:t xml:space="preserve"> </w:t>
      </w:r>
      <w:r>
        <w:t>better</w:t>
      </w:r>
      <w:r>
        <w:rPr>
          <w:spacing w:val="-3"/>
        </w:rPr>
        <w:t xml:space="preserve"> </w:t>
      </w:r>
      <w:r>
        <w:t>than</w:t>
      </w:r>
      <w:r>
        <w:rPr>
          <w:spacing w:val="-4"/>
        </w:rPr>
        <w:t xml:space="preserve"> </w:t>
      </w:r>
      <w:r>
        <w:t>the</w:t>
      </w:r>
      <w:r>
        <w:rPr>
          <w:spacing w:val="-3"/>
        </w:rPr>
        <w:t xml:space="preserve"> </w:t>
      </w:r>
      <w:r>
        <w:t>baseline</w:t>
      </w:r>
      <w:r>
        <w:rPr>
          <w:spacing w:val="-3"/>
        </w:rPr>
        <w:t xml:space="preserve"> </w:t>
      </w:r>
      <w:r>
        <w:t>measure.</w:t>
      </w:r>
      <w:r>
        <w:rPr>
          <w:spacing w:val="-3"/>
        </w:rPr>
        <w:t xml:space="preserve"> </w:t>
      </w:r>
      <w:r>
        <w:t>In</w:t>
      </w:r>
      <w:r>
        <w:rPr>
          <w:spacing w:val="-3"/>
        </w:rPr>
        <w:t xml:space="preserve"> </w:t>
      </w:r>
      <w:r>
        <w:t>this</w:t>
      </w:r>
      <w:r>
        <w:rPr>
          <w:spacing w:val="-3"/>
        </w:rPr>
        <w:t xml:space="preserve"> </w:t>
      </w:r>
      <w:r>
        <w:t>case,</w:t>
      </w:r>
      <w:r>
        <w:rPr>
          <w:spacing w:val="-4"/>
        </w:rPr>
        <w:t xml:space="preserve"> </w:t>
      </w:r>
      <w:r>
        <w:t>the</w:t>
      </w:r>
      <w:r>
        <w:rPr>
          <w:spacing w:val="-3"/>
        </w:rPr>
        <w:t xml:space="preserve"> </w:t>
      </w:r>
      <w:r>
        <w:t>adoption</w:t>
      </w:r>
      <w:r>
        <w:rPr>
          <w:spacing w:val="-4"/>
        </w:rPr>
        <w:t xml:space="preserve"> </w:t>
      </w:r>
      <w:r>
        <w:t xml:space="preserve">of the efficient measure would be nearly identical to the adoption in the </w:t>
      </w:r>
      <w:r>
        <w:t>LMC-only case since the LMC</w:t>
      </w:r>
      <w:r>
        <w:rPr>
          <w:spacing w:val="-1"/>
        </w:rPr>
        <w:t xml:space="preserve"> </w:t>
      </w:r>
      <w:r>
        <w:t>value factor is also</w:t>
      </w:r>
      <w:r>
        <w:rPr>
          <w:spacing w:val="-1"/>
        </w:rPr>
        <w:t xml:space="preserve"> </w:t>
      </w:r>
      <w:r>
        <w:t>only slightly</w:t>
      </w:r>
      <w:r>
        <w:rPr>
          <w:spacing w:val="-1"/>
        </w:rPr>
        <w:t xml:space="preserve"> </w:t>
      </w:r>
      <w:r>
        <w:t>more attractive for the efficient measure.</w:t>
      </w:r>
    </w:p>
    <w:p w:rsidR="00C31389" w:rsidRDefault="00561FBD" w14:paraId="663C37B9" w14:textId="77777777">
      <w:pPr>
        <w:pStyle w:val="ListParagraph"/>
        <w:numPr>
          <w:ilvl w:val="0"/>
          <w:numId w:val="47"/>
        </w:numPr>
        <w:tabs>
          <w:tab w:val="left" w:pos="1199"/>
        </w:tabs>
        <w:spacing w:before="118"/>
        <w:ind w:left="1199" w:right="619"/>
      </w:pPr>
      <w:r>
        <w:t>The</w:t>
      </w:r>
      <w:r>
        <w:rPr>
          <w:spacing w:val="-4"/>
        </w:rPr>
        <w:t xml:space="preserve"> </w:t>
      </w:r>
      <w:r>
        <w:t>technology</w:t>
      </w:r>
      <w:r>
        <w:rPr>
          <w:spacing w:val="-4"/>
        </w:rPr>
        <w:t xml:space="preserve"> </w:t>
      </w:r>
      <w:r>
        <w:t>characteristics</w:t>
      </w:r>
      <w:r>
        <w:rPr>
          <w:spacing w:val="-4"/>
        </w:rPr>
        <w:t xml:space="preserve"> </w:t>
      </w:r>
      <w:r>
        <w:t>for</w:t>
      </w:r>
      <w:r>
        <w:rPr>
          <w:spacing w:val="-4"/>
        </w:rPr>
        <w:t xml:space="preserve"> </w:t>
      </w:r>
      <w:r>
        <w:t>all</w:t>
      </w:r>
      <w:r>
        <w:rPr>
          <w:spacing w:val="-3"/>
        </w:rPr>
        <w:t xml:space="preserve"> </w:t>
      </w:r>
      <w:r>
        <w:t>the</w:t>
      </w:r>
      <w:r>
        <w:rPr>
          <w:spacing w:val="-4"/>
        </w:rPr>
        <w:t xml:space="preserve"> </w:t>
      </w:r>
      <w:r>
        <w:t>other</w:t>
      </w:r>
      <w:r>
        <w:rPr>
          <w:spacing w:val="-4"/>
        </w:rPr>
        <w:t xml:space="preserve"> </w:t>
      </w:r>
      <w:r>
        <w:t>(non-LMC)</w:t>
      </w:r>
      <w:r>
        <w:rPr>
          <w:spacing w:val="-4"/>
        </w:rPr>
        <w:t xml:space="preserve"> </w:t>
      </w:r>
      <w:r>
        <w:t>value</w:t>
      </w:r>
      <w:r>
        <w:rPr>
          <w:spacing w:val="-4"/>
        </w:rPr>
        <w:t xml:space="preserve"> </w:t>
      </w:r>
      <w:r>
        <w:t>factors</w:t>
      </w:r>
      <w:r>
        <w:rPr>
          <w:spacing w:val="-5"/>
        </w:rPr>
        <w:t xml:space="preserve"> </w:t>
      </w:r>
      <w:r>
        <w:t>are</w:t>
      </w:r>
      <w:r>
        <w:rPr>
          <w:spacing w:val="-4"/>
        </w:rPr>
        <w:t xml:space="preserve"> </w:t>
      </w:r>
      <w:r>
        <w:t>significantly more attractive for the efficient measure compared to the b</w:t>
      </w:r>
      <w:r>
        <w:t>aseline measure, then the adoption of the efficient measure would be higher when considering all value factors than</w:t>
      </w:r>
      <w:r>
        <w:rPr>
          <w:spacing w:val="-1"/>
        </w:rPr>
        <w:t xml:space="preserve"> </w:t>
      </w:r>
      <w:r>
        <w:t>in</w:t>
      </w:r>
      <w:r>
        <w:rPr>
          <w:spacing w:val="-1"/>
        </w:rPr>
        <w:t xml:space="preserve"> </w:t>
      </w:r>
      <w:r>
        <w:t>the</w:t>
      </w:r>
      <w:r>
        <w:rPr>
          <w:spacing w:val="-1"/>
        </w:rPr>
        <w:t xml:space="preserve"> </w:t>
      </w:r>
      <w:r>
        <w:t>LMC-only</w:t>
      </w:r>
      <w:r>
        <w:rPr>
          <w:spacing w:val="-1"/>
        </w:rPr>
        <w:t xml:space="preserve"> </w:t>
      </w:r>
      <w:r>
        <w:t>case</w:t>
      </w:r>
      <w:r>
        <w:rPr>
          <w:spacing w:val="-1"/>
        </w:rPr>
        <w:t xml:space="preserve"> </w:t>
      </w:r>
      <w:r>
        <w:t>since</w:t>
      </w:r>
      <w:r>
        <w:rPr>
          <w:spacing w:val="-1"/>
        </w:rPr>
        <w:t xml:space="preserve"> </w:t>
      </w:r>
      <w:r>
        <w:t>the</w:t>
      </w:r>
      <w:r>
        <w:rPr>
          <w:spacing w:val="-2"/>
        </w:rPr>
        <w:t xml:space="preserve"> </w:t>
      </w:r>
      <w:r>
        <w:t>LMC</w:t>
      </w:r>
      <w:r>
        <w:rPr>
          <w:spacing w:val="-2"/>
        </w:rPr>
        <w:t xml:space="preserve"> </w:t>
      </w:r>
      <w:r>
        <w:t>value</w:t>
      </w:r>
      <w:r>
        <w:rPr>
          <w:spacing w:val="-1"/>
        </w:rPr>
        <w:t xml:space="preserve"> </w:t>
      </w:r>
      <w:r>
        <w:t>factor</w:t>
      </w:r>
      <w:r>
        <w:rPr>
          <w:spacing w:val="-1"/>
        </w:rPr>
        <w:t xml:space="preserve"> </w:t>
      </w:r>
      <w:r>
        <w:t>is</w:t>
      </w:r>
      <w:r>
        <w:rPr>
          <w:spacing w:val="-1"/>
        </w:rPr>
        <w:t xml:space="preserve"> </w:t>
      </w:r>
      <w:r>
        <w:t>only</w:t>
      </w:r>
      <w:r>
        <w:rPr>
          <w:spacing w:val="-2"/>
        </w:rPr>
        <w:t xml:space="preserve"> </w:t>
      </w:r>
      <w:r>
        <w:t>slightly</w:t>
      </w:r>
      <w:r>
        <w:rPr>
          <w:spacing w:val="-1"/>
        </w:rPr>
        <w:t xml:space="preserve"> </w:t>
      </w:r>
      <w:r>
        <w:t>more</w:t>
      </w:r>
      <w:r>
        <w:rPr>
          <w:spacing w:val="-1"/>
        </w:rPr>
        <w:t xml:space="preserve"> </w:t>
      </w:r>
      <w:r>
        <w:t>attractive</w:t>
      </w:r>
      <w:r>
        <w:rPr>
          <w:spacing w:val="-1"/>
        </w:rPr>
        <w:t xml:space="preserve"> </w:t>
      </w:r>
      <w:r>
        <w:t>for the efficient measure.</w:t>
      </w:r>
    </w:p>
    <w:p w:rsidR="00C31389" w:rsidRDefault="00C31389" w14:paraId="2F32A307" w14:textId="77777777">
      <w:pPr>
        <w:pStyle w:val="BodyText"/>
        <w:spacing w:before="8"/>
        <w:rPr>
          <w:sz w:val="20"/>
        </w:rPr>
      </w:pPr>
    </w:p>
    <w:p w:rsidR="00C31389" w:rsidRDefault="00561FBD" w14:paraId="44A50FD2" w14:textId="77777777">
      <w:pPr>
        <w:pStyle w:val="Heading7"/>
        <w:ind w:left="566" w:right="566"/>
        <w:jc w:val="center"/>
      </w:pPr>
      <w:bookmarkStart w:name="_bookmark145" w:id="195"/>
      <w:bookmarkEnd w:id="195"/>
      <w:r>
        <w:t>Figure</w:t>
      </w:r>
      <w:r>
        <w:rPr>
          <w:spacing w:val="-8"/>
        </w:rPr>
        <w:t xml:space="preserve"> </w:t>
      </w:r>
      <w:r>
        <w:t>3-4.</w:t>
      </w:r>
      <w:r>
        <w:rPr>
          <w:spacing w:val="-8"/>
        </w:rPr>
        <w:t xml:space="preserve"> </w:t>
      </w:r>
      <w:r>
        <w:t>Illustrative</w:t>
      </w:r>
      <w:r>
        <w:rPr>
          <w:spacing w:val="-8"/>
        </w:rPr>
        <w:t xml:space="preserve"> </w:t>
      </w:r>
      <w:r>
        <w:t>Example</w:t>
      </w:r>
      <w:r>
        <w:rPr>
          <w:spacing w:val="-7"/>
        </w:rPr>
        <w:t xml:space="preserve"> </w:t>
      </w:r>
      <w:r>
        <w:t>of</w:t>
      </w:r>
      <w:r>
        <w:rPr>
          <w:spacing w:val="-8"/>
        </w:rPr>
        <w:t xml:space="preserve"> </w:t>
      </w:r>
      <w:r>
        <w:t>Efficient</w:t>
      </w:r>
      <w:r>
        <w:rPr>
          <w:spacing w:val="-8"/>
        </w:rPr>
        <w:t xml:space="preserve"> </w:t>
      </w:r>
      <w:r>
        <w:rPr>
          <w:spacing w:val="-2"/>
        </w:rPr>
        <w:t>Measure</w:t>
      </w:r>
    </w:p>
    <w:p w:rsidR="00C31389" w:rsidRDefault="00561FBD" w14:paraId="0B5CC1AF" w14:textId="77777777">
      <w:pPr>
        <w:pStyle w:val="BodyText"/>
        <w:spacing w:before="11"/>
        <w:rPr>
          <w:b/>
          <w:sz w:val="15"/>
        </w:rPr>
      </w:pPr>
      <w:r>
        <w:rPr>
          <w:noProof/>
        </w:rPr>
        <w:drawing>
          <wp:anchor distT="0" distB="0" distL="0" distR="0" simplePos="0" relativeHeight="487642624" behindDoc="1" locked="0" layoutInCell="1" allowOverlap="1" wp14:editId="7B12BB03" wp14:anchorId="71B2FFF8">
            <wp:simplePos x="0" y="0"/>
            <wp:positionH relativeFrom="page">
              <wp:posOffset>2848651</wp:posOffset>
            </wp:positionH>
            <wp:positionV relativeFrom="paragraph">
              <wp:posOffset>131857</wp:posOffset>
            </wp:positionV>
            <wp:extent cx="2148935" cy="2676144"/>
            <wp:effectExtent l="0" t="0" r="0" b="0"/>
            <wp:wrapTopAndBottom/>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25" cstate="print"/>
                    <a:stretch>
                      <a:fillRect/>
                    </a:stretch>
                  </pic:blipFill>
                  <pic:spPr>
                    <a:xfrm>
                      <a:off x="0" y="0"/>
                      <a:ext cx="2148935" cy="2676144"/>
                    </a:xfrm>
                    <a:prstGeom prst="rect">
                      <a:avLst/>
                    </a:prstGeom>
                  </pic:spPr>
                </pic:pic>
              </a:graphicData>
            </a:graphic>
          </wp:anchor>
        </w:drawing>
      </w:r>
    </w:p>
    <w:p w:rsidR="00C31389" w:rsidRDefault="00561FBD" w14:paraId="007F1A9D" w14:textId="77777777">
      <w:pPr>
        <w:spacing w:before="109"/>
        <w:ind w:left="480"/>
        <w:rPr>
          <w:i/>
          <w:sz w:val="18"/>
        </w:rPr>
      </w:pPr>
      <w:r>
        <w:rPr>
          <w:i/>
          <w:sz w:val="18"/>
        </w:rPr>
        <w:t>Source:</w:t>
      </w:r>
      <w:r>
        <w:rPr>
          <w:i/>
          <w:spacing w:val="-4"/>
          <w:sz w:val="18"/>
        </w:rPr>
        <w:t xml:space="preserve"> </w:t>
      </w:r>
      <w:r>
        <w:rPr>
          <w:i/>
          <w:spacing w:val="-2"/>
          <w:sz w:val="18"/>
        </w:rPr>
        <w:t>Guidehouse</w:t>
      </w:r>
    </w:p>
    <w:p w:rsidR="00C31389" w:rsidRDefault="00C31389" w14:paraId="272CA9D1" w14:textId="77777777">
      <w:pPr>
        <w:pStyle w:val="BodyText"/>
        <w:spacing w:before="10"/>
        <w:rPr>
          <w:i/>
          <w:sz w:val="20"/>
        </w:rPr>
      </w:pPr>
    </w:p>
    <w:p w:rsidR="00C31389" w:rsidRDefault="00561FBD" w14:paraId="777B73EA" w14:textId="77777777">
      <w:pPr>
        <w:pStyle w:val="BodyText"/>
        <w:ind w:left="479" w:right="502"/>
      </w:pPr>
      <w:r>
        <w:t xml:space="preserve">In the applied example in </w:t>
      </w:r>
      <w:hyperlink w:history="1" w:anchor="_bookmark146">
        <w:r>
          <w:t>Figure 3-5</w:t>
        </w:r>
      </w:hyperlink>
      <w:r>
        <w:t xml:space="preserve"> for instantaneous gas water heaters, the value factors address both benefits and barriers to the adopt</w:t>
      </w:r>
      <w:r>
        <w:t>ion of this measure. If the model only considered LMC,</w:t>
      </w:r>
      <w:r>
        <w:rPr>
          <w:spacing w:val="-3"/>
        </w:rPr>
        <w:t xml:space="preserve"> </w:t>
      </w:r>
      <w:r>
        <w:t>there</w:t>
      </w:r>
      <w:r>
        <w:rPr>
          <w:spacing w:val="-2"/>
        </w:rPr>
        <w:t xml:space="preserve"> </w:t>
      </w:r>
      <w:r>
        <w:t>would</w:t>
      </w:r>
      <w:r>
        <w:rPr>
          <w:spacing w:val="-3"/>
        </w:rPr>
        <w:t xml:space="preserve"> </w:t>
      </w:r>
      <w:r>
        <w:t>be</w:t>
      </w:r>
      <w:r>
        <w:rPr>
          <w:spacing w:val="-3"/>
        </w:rPr>
        <w:t xml:space="preserve"> </w:t>
      </w:r>
      <w:r>
        <w:t>adoption</w:t>
      </w:r>
      <w:r>
        <w:rPr>
          <w:spacing w:val="-3"/>
        </w:rPr>
        <w:t xml:space="preserve"> </w:t>
      </w:r>
      <w:r>
        <w:t>of</w:t>
      </w:r>
      <w:r>
        <w:rPr>
          <w:spacing w:val="-3"/>
        </w:rPr>
        <w:t xml:space="preserve"> </w:t>
      </w:r>
      <w:r>
        <w:t>instantaneous</w:t>
      </w:r>
      <w:r>
        <w:rPr>
          <w:spacing w:val="-4"/>
        </w:rPr>
        <w:t xml:space="preserve"> </w:t>
      </w:r>
      <w:r>
        <w:t>gas</w:t>
      </w:r>
      <w:r>
        <w:rPr>
          <w:spacing w:val="-3"/>
        </w:rPr>
        <w:t xml:space="preserve"> </w:t>
      </w:r>
      <w:r>
        <w:t>water</w:t>
      </w:r>
      <w:r>
        <w:rPr>
          <w:spacing w:val="-3"/>
        </w:rPr>
        <w:t xml:space="preserve"> </w:t>
      </w:r>
      <w:r>
        <w:t>heaters</w:t>
      </w:r>
      <w:r>
        <w:rPr>
          <w:spacing w:val="-3"/>
        </w:rPr>
        <w:t xml:space="preserve"> </w:t>
      </w:r>
      <w:r>
        <w:t>because</w:t>
      </w:r>
      <w:r>
        <w:rPr>
          <w:spacing w:val="-2"/>
        </w:rPr>
        <w:t xml:space="preserve"> </w:t>
      </w:r>
      <w:r>
        <w:t>LMC</w:t>
      </w:r>
      <w:r>
        <w:rPr>
          <w:spacing w:val="-4"/>
        </w:rPr>
        <w:t xml:space="preserve"> </w:t>
      </w:r>
      <w:r>
        <w:t>is</w:t>
      </w:r>
      <w:r>
        <w:rPr>
          <w:spacing w:val="-3"/>
        </w:rPr>
        <w:t xml:space="preserve"> </w:t>
      </w:r>
      <w:r>
        <w:t>preferable</w:t>
      </w:r>
      <w:r>
        <w:rPr>
          <w:spacing w:val="-3"/>
        </w:rPr>
        <w:t xml:space="preserve"> </w:t>
      </w:r>
      <w:r>
        <w:t>to the baseline. With the addition of all the value factors and application of the customer</w:t>
      </w:r>
      <w:r>
        <w:rPr>
          <w:spacing w:val="40"/>
        </w:rPr>
        <w:t xml:space="preserve"> </w:t>
      </w:r>
      <w:r>
        <w:t>preference weightings, t</w:t>
      </w:r>
      <w:r>
        <w:t>here is lower adoption of efficient instantaneous water heaters. The reason is that the barriers from upfront costs and hassle factor lead to efficient measures being less attractive compared with if only LMC was considered. While there are benefits in the</w:t>
      </w:r>
      <w:r>
        <w:t xml:space="preserve"> eco impacts value factor, those are outweighed by the barriers from upfront cost and hassle factor.</w:t>
      </w:r>
    </w:p>
    <w:p w:rsidR="00C31389" w:rsidRDefault="00C31389" w14:paraId="561ADE2A" w14:textId="77777777">
      <w:pPr>
        <w:sectPr w:rsidR="00C31389">
          <w:pgSz w:w="12240" w:h="15840"/>
          <w:pgMar w:top="1660" w:right="960" w:bottom="1120" w:left="960" w:header="397" w:footer="936" w:gutter="0"/>
          <w:cols w:space="720"/>
        </w:sectPr>
      </w:pPr>
    </w:p>
    <w:p w:rsidR="00C31389" w:rsidRDefault="00C31389" w14:paraId="5FC9E71E" w14:textId="77777777">
      <w:pPr>
        <w:pStyle w:val="BodyText"/>
        <w:spacing w:before="11"/>
        <w:rPr>
          <w:sz w:val="13"/>
        </w:rPr>
      </w:pPr>
    </w:p>
    <w:p w:rsidR="00C31389" w:rsidRDefault="00561FBD" w14:paraId="5FB45F62" w14:textId="77777777">
      <w:pPr>
        <w:pStyle w:val="Heading7"/>
        <w:spacing w:before="92"/>
        <w:ind w:left="565" w:right="566"/>
        <w:jc w:val="center"/>
      </w:pPr>
      <w:bookmarkStart w:name="_bookmark146" w:id="196"/>
      <w:bookmarkEnd w:id="196"/>
      <w:r>
        <w:t>Figure</w:t>
      </w:r>
      <w:r>
        <w:rPr>
          <w:spacing w:val="-6"/>
        </w:rPr>
        <w:t xml:space="preserve"> </w:t>
      </w:r>
      <w:r>
        <w:t>3-5.</w:t>
      </w:r>
      <w:r>
        <w:rPr>
          <w:spacing w:val="-6"/>
        </w:rPr>
        <w:t xml:space="preserve"> </w:t>
      </w:r>
      <w:r>
        <w:t>Gas</w:t>
      </w:r>
      <w:r>
        <w:rPr>
          <w:spacing w:val="-6"/>
        </w:rPr>
        <w:t xml:space="preserve"> </w:t>
      </w:r>
      <w:r>
        <w:t>Water</w:t>
      </w:r>
      <w:r>
        <w:rPr>
          <w:spacing w:val="-5"/>
        </w:rPr>
        <w:t xml:space="preserve"> </w:t>
      </w:r>
      <w:r>
        <w:rPr>
          <w:spacing w:val="-2"/>
        </w:rPr>
        <w:t>Heaters</w:t>
      </w:r>
    </w:p>
    <w:p w:rsidR="00C31389" w:rsidRDefault="00561FBD" w14:paraId="25BC2B9D" w14:textId="77777777">
      <w:pPr>
        <w:pStyle w:val="BodyText"/>
        <w:ind w:left="3700"/>
        <w:rPr>
          <w:sz w:val="20"/>
        </w:rPr>
      </w:pPr>
      <w:r>
        <w:rPr>
          <w:noProof/>
          <w:sz w:val="20"/>
        </w:rPr>
        <w:drawing>
          <wp:inline distT="0" distB="0" distL="0" distR="0" wp14:anchorId="189D4DEA" wp14:editId="65C2CC2B">
            <wp:extent cx="2048078" cy="2340864"/>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26" cstate="print"/>
                    <a:stretch>
                      <a:fillRect/>
                    </a:stretch>
                  </pic:blipFill>
                  <pic:spPr>
                    <a:xfrm>
                      <a:off x="0" y="0"/>
                      <a:ext cx="2048078" cy="2340864"/>
                    </a:xfrm>
                    <a:prstGeom prst="rect">
                      <a:avLst/>
                    </a:prstGeom>
                  </pic:spPr>
                </pic:pic>
              </a:graphicData>
            </a:graphic>
          </wp:inline>
        </w:drawing>
      </w:r>
    </w:p>
    <w:p w:rsidR="00C31389" w:rsidRDefault="00561FBD" w14:paraId="3EE1E6EC" w14:textId="77777777">
      <w:pPr>
        <w:spacing w:before="172"/>
        <w:ind w:left="480" w:right="533" w:hanging="1"/>
        <w:rPr>
          <w:sz w:val="18"/>
        </w:rPr>
      </w:pPr>
      <w:r>
        <w:rPr>
          <w:sz w:val="18"/>
        </w:rPr>
        <w:t>Note:</w:t>
      </w:r>
      <w:r>
        <w:rPr>
          <w:spacing w:val="-2"/>
          <w:sz w:val="18"/>
        </w:rPr>
        <w:t xml:space="preserve"> </w:t>
      </w:r>
      <w:r>
        <w:rPr>
          <w:sz w:val="18"/>
        </w:rPr>
        <w:t>Social</w:t>
      </w:r>
      <w:r>
        <w:rPr>
          <w:spacing w:val="-3"/>
          <w:sz w:val="18"/>
        </w:rPr>
        <w:t xml:space="preserve"> </w:t>
      </w:r>
      <w:r>
        <w:rPr>
          <w:sz w:val="18"/>
        </w:rPr>
        <w:t>signaling</w:t>
      </w:r>
      <w:r>
        <w:rPr>
          <w:spacing w:val="-3"/>
          <w:sz w:val="18"/>
        </w:rPr>
        <w:t xml:space="preserve"> </w:t>
      </w:r>
      <w:r>
        <w:rPr>
          <w:sz w:val="18"/>
        </w:rPr>
        <w:t>for</w:t>
      </w:r>
      <w:r>
        <w:rPr>
          <w:spacing w:val="-2"/>
          <w:sz w:val="18"/>
        </w:rPr>
        <w:t xml:space="preserve"> </w:t>
      </w:r>
      <w:r>
        <w:rPr>
          <w:sz w:val="18"/>
        </w:rPr>
        <w:t>this</w:t>
      </w:r>
      <w:r>
        <w:rPr>
          <w:spacing w:val="-2"/>
          <w:sz w:val="18"/>
        </w:rPr>
        <w:t xml:space="preserve"> </w:t>
      </w:r>
      <w:r>
        <w:rPr>
          <w:sz w:val="18"/>
        </w:rPr>
        <w:t>measure</w:t>
      </w:r>
      <w:r>
        <w:rPr>
          <w:spacing w:val="-3"/>
          <w:sz w:val="18"/>
        </w:rPr>
        <w:t xml:space="preserve"> </w:t>
      </w:r>
      <w:r>
        <w:rPr>
          <w:sz w:val="18"/>
        </w:rPr>
        <w:t>is</w:t>
      </w:r>
      <w:r>
        <w:rPr>
          <w:spacing w:val="-2"/>
          <w:sz w:val="18"/>
        </w:rPr>
        <w:t xml:space="preserve"> </w:t>
      </w:r>
      <w:r>
        <w:rPr>
          <w:sz w:val="18"/>
        </w:rPr>
        <w:t>blank</w:t>
      </w:r>
      <w:r>
        <w:rPr>
          <w:spacing w:val="-2"/>
          <w:sz w:val="18"/>
        </w:rPr>
        <w:t xml:space="preserve"> </w:t>
      </w:r>
      <w:r>
        <w:rPr>
          <w:sz w:val="18"/>
        </w:rPr>
        <w:t>because</w:t>
      </w:r>
      <w:r>
        <w:rPr>
          <w:spacing w:val="-2"/>
          <w:sz w:val="18"/>
        </w:rPr>
        <w:t xml:space="preserve"> </w:t>
      </w:r>
      <w:r>
        <w:rPr>
          <w:sz w:val="18"/>
        </w:rPr>
        <w:t>it</w:t>
      </w:r>
      <w:r>
        <w:rPr>
          <w:spacing w:val="-2"/>
          <w:sz w:val="18"/>
        </w:rPr>
        <w:t xml:space="preserve"> </w:t>
      </w:r>
      <w:r>
        <w:rPr>
          <w:sz w:val="18"/>
        </w:rPr>
        <w:t>is</w:t>
      </w:r>
      <w:r>
        <w:rPr>
          <w:spacing w:val="-2"/>
          <w:sz w:val="18"/>
        </w:rPr>
        <w:t xml:space="preserve"> </w:t>
      </w:r>
      <w:r>
        <w:rPr>
          <w:sz w:val="18"/>
        </w:rPr>
        <w:t>not</w:t>
      </w:r>
      <w:r>
        <w:rPr>
          <w:spacing w:val="-2"/>
          <w:sz w:val="18"/>
        </w:rPr>
        <w:t xml:space="preserve"> </w:t>
      </w:r>
      <w:r>
        <w:rPr>
          <w:sz w:val="18"/>
        </w:rPr>
        <w:t>a</w:t>
      </w:r>
      <w:r>
        <w:rPr>
          <w:spacing w:val="-3"/>
          <w:sz w:val="18"/>
        </w:rPr>
        <w:t xml:space="preserve"> </w:t>
      </w:r>
      <w:r>
        <w:rPr>
          <w:sz w:val="18"/>
        </w:rPr>
        <w:t>visible</w:t>
      </w:r>
      <w:r>
        <w:rPr>
          <w:spacing w:val="-3"/>
          <w:sz w:val="18"/>
        </w:rPr>
        <w:t xml:space="preserve"> </w:t>
      </w:r>
      <w:r>
        <w:rPr>
          <w:sz w:val="18"/>
        </w:rPr>
        <w:t>measure;</w:t>
      </w:r>
      <w:r>
        <w:rPr>
          <w:spacing w:val="-1"/>
          <w:sz w:val="18"/>
        </w:rPr>
        <w:t xml:space="preserve"> </w:t>
      </w:r>
      <w:r>
        <w:rPr>
          <w:sz w:val="18"/>
        </w:rPr>
        <w:t>thus,</w:t>
      </w:r>
      <w:r>
        <w:rPr>
          <w:spacing w:val="-2"/>
          <w:sz w:val="18"/>
        </w:rPr>
        <w:t xml:space="preserve"> </w:t>
      </w:r>
      <w:r>
        <w:rPr>
          <w:sz w:val="18"/>
        </w:rPr>
        <w:t>this</w:t>
      </w:r>
      <w:r>
        <w:rPr>
          <w:spacing w:val="-2"/>
          <w:sz w:val="18"/>
        </w:rPr>
        <w:t xml:space="preserve"> </w:t>
      </w:r>
      <w:r>
        <w:rPr>
          <w:sz w:val="18"/>
        </w:rPr>
        <w:t>value</w:t>
      </w:r>
      <w:r>
        <w:rPr>
          <w:spacing w:val="-3"/>
          <w:sz w:val="18"/>
        </w:rPr>
        <w:t xml:space="preserve"> </w:t>
      </w:r>
      <w:r>
        <w:rPr>
          <w:sz w:val="18"/>
        </w:rPr>
        <w:t>factor</w:t>
      </w:r>
      <w:r>
        <w:rPr>
          <w:spacing w:val="-2"/>
          <w:sz w:val="18"/>
        </w:rPr>
        <w:t xml:space="preserve"> </w:t>
      </w:r>
      <w:r>
        <w:rPr>
          <w:sz w:val="18"/>
        </w:rPr>
        <w:t>does</w:t>
      </w:r>
      <w:r>
        <w:rPr>
          <w:spacing w:val="-2"/>
          <w:sz w:val="18"/>
        </w:rPr>
        <w:t xml:space="preserve"> </w:t>
      </w:r>
      <w:r>
        <w:rPr>
          <w:sz w:val="18"/>
        </w:rPr>
        <w:t>not have any impact on adoption.</w:t>
      </w:r>
    </w:p>
    <w:p w:rsidR="00C31389" w:rsidRDefault="00561FBD" w14:paraId="7B64D11C" w14:textId="77777777">
      <w:pPr>
        <w:spacing w:before="60"/>
        <w:ind w:left="480"/>
        <w:rPr>
          <w:i/>
          <w:sz w:val="18"/>
        </w:rPr>
      </w:pPr>
      <w:r>
        <w:rPr>
          <w:i/>
          <w:sz w:val="18"/>
        </w:rPr>
        <w:t>Source:</w:t>
      </w:r>
      <w:r>
        <w:rPr>
          <w:i/>
          <w:spacing w:val="-4"/>
          <w:sz w:val="18"/>
        </w:rPr>
        <w:t xml:space="preserve"> </w:t>
      </w:r>
      <w:r>
        <w:rPr>
          <w:i/>
          <w:spacing w:val="-2"/>
          <w:sz w:val="18"/>
        </w:rPr>
        <w:t>Guidehouse</w:t>
      </w:r>
    </w:p>
    <w:p w:rsidR="00C31389" w:rsidRDefault="00C31389" w14:paraId="65B71628" w14:textId="77777777">
      <w:pPr>
        <w:pStyle w:val="BodyText"/>
        <w:spacing w:before="10"/>
        <w:rPr>
          <w:i/>
          <w:sz w:val="20"/>
        </w:rPr>
      </w:pPr>
    </w:p>
    <w:p w:rsidR="00C31389" w:rsidRDefault="00561FBD" w14:paraId="3BD9E774" w14:textId="77777777">
      <w:pPr>
        <w:pStyle w:val="BodyText"/>
        <w:spacing w:before="1"/>
        <w:ind w:left="479" w:right="485"/>
      </w:pPr>
      <w:hyperlink w:history="1" w:anchor="_bookmark147">
        <w:r>
          <w:t>Table 3-18</w:t>
        </w:r>
      </w:hyperlink>
      <w:r>
        <w:t xml:space="preserve"> summarizes the impacts</w:t>
      </w:r>
      <w:r>
        <w:rPr>
          <w:spacing w:val="-1"/>
        </w:rPr>
        <w:t xml:space="preserve"> </w:t>
      </w:r>
      <w:r>
        <w:t>of including</w:t>
      </w:r>
      <w:r>
        <w:rPr>
          <w:spacing w:val="-1"/>
        </w:rPr>
        <w:t xml:space="preserve"> </w:t>
      </w:r>
      <w:r>
        <w:t>multiple value factors into the adoption logic for several</w:t>
      </w:r>
      <w:r>
        <w:rPr>
          <w:spacing w:val="-3"/>
        </w:rPr>
        <w:t xml:space="preserve"> </w:t>
      </w:r>
      <w:r>
        <w:t>case</w:t>
      </w:r>
      <w:r>
        <w:rPr>
          <w:spacing w:val="-3"/>
        </w:rPr>
        <w:t xml:space="preserve"> </w:t>
      </w:r>
      <w:r>
        <w:t>study</w:t>
      </w:r>
      <w:r>
        <w:rPr>
          <w:spacing w:val="-3"/>
        </w:rPr>
        <w:t xml:space="preserve"> </w:t>
      </w:r>
      <w:r>
        <w:t>measure</w:t>
      </w:r>
      <w:r>
        <w:rPr>
          <w:spacing w:val="-3"/>
        </w:rPr>
        <w:t xml:space="preserve"> </w:t>
      </w:r>
      <w:r>
        <w:t>groups.</w:t>
      </w:r>
      <w:r>
        <w:rPr>
          <w:spacing w:val="-4"/>
        </w:rPr>
        <w:t xml:space="preserve"> </w:t>
      </w:r>
      <w:r>
        <w:t>The</w:t>
      </w:r>
      <w:r>
        <w:rPr>
          <w:spacing w:val="-3"/>
        </w:rPr>
        <w:t xml:space="preserve"> </w:t>
      </w:r>
      <w:r>
        <w:t>examples</w:t>
      </w:r>
      <w:r>
        <w:rPr>
          <w:spacing w:val="-3"/>
        </w:rPr>
        <w:t xml:space="preserve"> </w:t>
      </w:r>
      <w:r>
        <w:t>above</w:t>
      </w:r>
      <w:r>
        <w:rPr>
          <w:spacing w:val="-3"/>
        </w:rPr>
        <w:t xml:space="preserve"> </w:t>
      </w:r>
      <w:r>
        <w:t>and</w:t>
      </w:r>
      <w:r>
        <w:rPr>
          <w:spacing w:val="-3"/>
        </w:rPr>
        <w:t xml:space="preserve"> </w:t>
      </w:r>
      <w:r>
        <w:t>the</w:t>
      </w:r>
      <w:r>
        <w:rPr>
          <w:spacing w:val="-3"/>
        </w:rPr>
        <w:t xml:space="preserve"> </w:t>
      </w:r>
      <w:r>
        <w:t>case</w:t>
      </w:r>
      <w:r>
        <w:rPr>
          <w:spacing w:val="-3"/>
        </w:rPr>
        <w:t xml:space="preserve"> </w:t>
      </w:r>
      <w:r>
        <w:t>studies</w:t>
      </w:r>
      <w:r>
        <w:rPr>
          <w:spacing w:val="-3"/>
        </w:rPr>
        <w:t xml:space="preserve"> </w:t>
      </w:r>
      <w:r>
        <w:t>below</w:t>
      </w:r>
      <w:r>
        <w:rPr>
          <w:spacing w:val="-5"/>
        </w:rPr>
        <w:t xml:space="preserve"> </w:t>
      </w:r>
      <w:r>
        <w:t>show</w:t>
      </w:r>
      <w:r>
        <w:rPr>
          <w:spacing w:val="-4"/>
        </w:rPr>
        <w:t xml:space="preserve"> </w:t>
      </w:r>
      <w:r>
        <w:t>that the impacts of the market study logic are dependent on both the individual measure characteristics and the customer preference weightings. The “market study impacts” column describes t</w:t>
      </w:r>
      <w:r>
        <w:t>he relative change in adoption compared to an LMC-only attribute analysis. No residential technology group is included in the table since including non-LMC value factors did not have significant impacts on high savings residential technology groups.</w:t>
      </w:r>
    </w:p>
    <w:p w:rsidR="00C31389" w:rsidRDefault="00C31389" w14:paraId="31912EB3" w14:textId="77777777">
      <w:pPr>
        <w:pStyle w:val="BodyText"/>
        <w:spacing w:before="10"/>
        <w:rPr>
          <w:sz w:val="20"/>
        </w:rPr>
      </w:pPr>
    </w:p>
    <w:p w:rsidR="00C31389" w:rsidRDefault="00561FBD" w14:paraId="29B94F89" w14:textId="77777777">
      <w:pPr>
        <w:pStyle w:val="Heading7"/>
        <w:ind w:left="565" w:right="566"/>
        <w:jc w:val="center"/>
      </w:pPr>
      <w:bookmarkStart w:name="_bookmark147" w:id="197"/>
      <w:bookmarkEnd w:id="197"/>
      <w:r>
        <w:t>Table</w:t>
      </w:r>
      <w:r>
        <w:rPr>
          <w:spacing w:val="-8"/>
        </w:rPr>
        <w:t xml:space="preserve"> </w:t>
      </w:r>
      <w:r>
        <w:t>3-18.</w:t>
      </w:r>
      <w:r>
        <w:rPr>
          <w:spacing w:val="-8"/>
        </w:rPr>
        <w:t xml:space="preserve"> </w:t>
      </w:r>
      <w:r>
        <w:t>Technology</w:t>
      </w:r>
      <w:r>
        <w:rPr>
          <w:spacing w:val="-7"/>
        </w:rPr>
        <w:t xml:space="preserve"> </w:t>
      </w:r>
      <w:r>
        <w:t>Group</w:t>
      </w:r>
      <w:r>
        <w:rPr>
          <w:spacing w:val="-7"/>
        </w:rPr>
        <w:t xml:space="preserve"> </w:t>
      </w:r>
      <w:r>
        <w:t>Case</w:t>
      </w:r>
      <w:r>
        <w:rPr>
          <w:spacing w:val="-7"/>
        </w:rPr>
        <w:t xml:space="preserve"> </w:t>
      </w:r>
      <w:r>
        <w:rPr>
          <w:spacing w:val="-2"/>
        </w:rPr>
        <w:t>Studies</w:t>
      </w:r>
    </w:p>
    <w:p w:rsidR="00C31389" w:rsidRDefault="00C31389" w14:paraId="452D11B0" w14:textId="77777777">
      <w:pPr>
        <w:pStyle w:val="BodyText"/>
        <w:spacing w:before="10" w:after="1"/>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394"/>
        <w:gridCol w:w="1877"/>
        <w:gridCol w:w="1895"/>
        <w:gridCol w:w="4210"/>
      </w:tblGrid>
      <w:tr w:rsidR="00C31389" w14:paraId="763B3BDB" w14:textId="77777777">
        <w:trPr>
          <w:trHeight w:val="539"/>
        </w:trPr>
        <w:tc>
          <w:tcPr>
            <w:tcW w:w="1394" w:type="dxa"/>
            <w:tcBorders>
              <w:bottom w:val="single" w:color="B6B6B6" w:sz="4" w:space="0"/>
            </w:tcBorders>
            <w:shd w:val="clear" w:color="auto" w:fill="92D400"/>
          </w:tcPr>
          <w:p w:rsidR="00C31389" w:rsidRDefault="00561FBD" w14:paraId="6D0C5B63" w14:textId="77777777">
            <w:pPr>
              <w:pStyle w:val="TableParagraph"/>
              <w:spacing w:before="155"/>
              <w:ind w:left="122"/>
              <w:rPr>
                <w:b/>
                <w:sz w:val="20"/>
              </w:rPr>
            </w:pPr>
            <w:r>
              <w:rPr>
                <w:b/>
                <w:spacing w:val="-2"/>
                <w:sz w:val="20"/>
              </w:rPr>
              <w:t>Sector</w:t>
            </w:r>
          </w:p>
        </w:tc>
        <w:tc>
          <w:tcPr>
            <w:tcW w:w="1877" w:type="dxa"/>
            <w:tcBorders>
              <w:bottom w:val="single" w:color="B6B6B6" w:sz="4" w:space="0"/>
            </w:tcBorders>
            <w:shd w:val="clear" w:color="auto" w:fill="92D400"/>
          </w:tcPr>
          <w:p w:rsidR="00C31389" w:rsidRDefault="00561FBD" w14:paraId="0E1AC5A0" w14:textId="77777777">
            <w:pPr>
              <w:pStyle w:val="TableParagraph"/>
              <w:ind w:left="203" w:right="160"/>
              <w:rPr>
                <w:b/>
                <w:sz w:val="20"/>
              </w:rPr>
            </w:pPr>
            <w:r>
              <w:rPr>
                <w:b/>
                <w:spacing w:val="-2"/>
                <w:sz w:val="20"/>
              </w:rPr>
              <w:t>Technology Group</w:t>
            </w:r>
          </w:p>
        </w:tc>
        <w:tc>
          <w:tcPr>
            <w:tcW w:w="1895" w:type="dxa"/>
            <w:tcBorders>
              <w:bottom w:val="single" w:color="B6B6B6" w:sz="4" w:space="0"/>
            </w:tcBorders>
            <w:shd w:val="clear" w:color="auto" w:fill="92D400"/>
          </w:tcPr>
          <w:p w:rsidR="00C31389" w:rsidRDefault="00561FBD" w14:paraId="341C4AE4" w14:textId="77777777">
            <w:pPr>
              <w:pStyle w:val="TableParagraph"/>
              <w:ind w:left="160" w:right="473"/>
              <w:rPr>
                <w:b/>
                <w:sz w:val="20"/>
              </w:rPr>
            </w:pPr>
            <w:r>
              <w:rPr>
                <w:b/>
                <w:sz w:val="20"/>
              </w:rPr>
              <w:t>Market</w:t>
            </w:r>
            <w:r>
              <w:rPr>
                <w:b/>
                <w:spacing w:val="-14"/>
                <w:sz w:val="20"/>
              </w:rPr>
              <w:t xml:space="preserve"> </w:t>
            </w:r>
            <w:r>
              <w:rPr>
                <w:b/>
                <w:sz w:val="20"/>
              </w:rPr>
              <w:t xml:space="preserve">Study </w:t>
            </w:r>
            <w:r>
              <w:rPr>
                <w:b/>
                <w:spacing w:val="-2"/>
                <w:sz w:val="20"/>
              </w:rPr>
              <w:t>Impacts</w:t>
            </w:r>
          </w:p>
        </w:tc>
        <w:tc>
          <w:tcPr>
            <w:tcW w:w="4210" w:type="dxa"/>
            <w:tcBorders>
              <w:bottom w:val="single" w:color="B6B6B6" w:sz="4" w:space="0"/>
            </w:tcBorders>
            <w:shd w:val="clear" w:color="auto" w:fill="92D400"/>
          </w:tcPr>
          <w:p w:rsidR="00C31389" w:rsidRDefault="00561FBD" w14:paraId="3C71D669" w14:textId="77777777">
            <w:pPr>
              <w:pStyle w:val="TableParagraph"/>
              <w:spacing w:before="155"/>
              <w:ind w:left="176"/>
              <w:rPr>
                <w:b/>
                <w:sz w:val="20"/>
              </w:rPr>
            </w:pPr>
            <w:r>
              <w:rPr>
                <w:b/>
                <w:spacing w:val="-2"/>
                <w:sz w:val="20"/>
              </w:rPr>
              <w:t>Description</w:t>
            </w:r>
          </w:p>
        </w:tc>
      </w:tr>
      <w:tr w:rsidR="00C31389" w14:paraId="69FA2B01" w14:textId="77777777">
        <w:trPr>
          <w:trHeight w:val="1106"/>
        </w:trPr>
        <w:tc>
          <w:tcPr>
            <w:tcW w:w="1394" w:type="dxa"/>
            <w:tcBorders>
              <w:top w:val="single" w:color="B6B6B6" w:sz="4" w:space="0"/>
              <w:bottom w:val="single" w:color="B6B6B6" w:sz="4" w:space="0"/>
            </w:tcBorders>
          </w:tcPr>
          <w:p w:rsidR="00C31389" w:rsidRDefault="00C31389" w14:paraId="597425DC" w14:textId="77777777">
            <w:pPr>
              <w:pStyle w:val="TableParagraph"/>
              <w:spacing w:before="0"/>
              <w:rPr>
                <w:b/>
              </w:rPr>
            </w:pPr>
          </w:p>
          <w:p w:rsidR="00C31389" w:rsidRDefault="00561FBD" w14:paraId="57DD58F0" w14:textId="77777777">
            <w:pPr>
              <w:pStyle w:val="TableParagraph"/>
              <w:spacing w:before="185"/>
              <w:ind w:left="122"/>
              <w:rPr>
                <w:sz w:val="20"/>
              </w:rPr>
            </w:pPr>
            <w:r>
              <w:rPr>
                <w:spacing w:val="-2"/>
                <w:sz w:val="20"/>
              </w:rPr>
              <w:t>Commercial</w:t>
            </w:r>
          </w:p>
        </w:tc>
        <w:tc>
          <w:tcPr>
            <w:tcW w:w="1877" w:type="dxa"/>
            <w:tcBorders>
              <w:top w:val="single" w:color="B6B6B6" w:sz="4" w:space="0"/>
              <w:bottom w:val="single" w:color="B6B6B6" w:sz="4" w:space="0"/>
            </w:tcBorders>
          </w:tcPr>
          <w:p w:rsidR="00C31389" w:rsidRDefault="00C31389" w14:paraId="61A9DE3B" w14:textId="77777777">
            <w:pPr>
              <w:pStyle w:val="TableParagraph"/>
              <w:spacing w:before="2"/>
              <w:rPr>
                <w:b/>
                <w:sz w:val="28"/>
              </w:rPr>
            </w:pPr>
          </w:p>
          <w:p w:rsidR="00C31389" w:rsidRDefault="00561FBD" w14:paraId="4CBF5E9D" w14:textId="77777777">
            <w:pPr>
              <w:pStyle w:val="TableParagraph"/>
              <w:spacing w:before="0"/>
              <w:ind w:left="203" w:right="160" w:hanging="1"/>
              <w:rPr>
                <w:sz w:val="20"/>
              </w:rPr>
            </w:pPr>
            <w:r>
              <w:rPr>
                <w:sz w:val="20"/>
              </w:rPr>
              <w:t>Split</w:t>
            </w:r>
            <w:r>
              <w:rPr>
                <w:spacing w:val="-14"/>
                <w:sz w:val="20"/>
              </w:rPr>
              <w:t xml:space="preserve"> </w:t>
            </w:r>
            <w:r>
              <w:rPr>
                <w:sz w:val="20"/>
              </w:rPr>
              <w:t>System</w:t>
            </w:r>
            <w:r>
              <w:rPr>
                <w:spacing w:val="-14"/>
                <w:sz w:val="20"/>
              </w:rPr>
              <w:t xml:space="preserve"> </w:t>
            </w:r>
            <w:r>
              <w:rPr>
                <w:sz w:val="20"/>
              </w:rPr>
              <w:t xml:space="preserve">AC- </w:t>
            </w:r>
            <w:r>
              <w:rPr>
                <w:spacing w:val="-2"/>
                <w:sz w:val="20"/>
              </w:rPr>
              <w:t>Hot-Dry*</w:t>
            </w:r>
          </w:p>
        </w:tc>
        <w:tc>
          <w:tcPr>
            <w:tcW w:w="1895" w:type="dxa"/>
            <w:tcBorders>
              <w:top w:val="single" w:color="B6B6B6" w:sz="4" w:space="0"/>
              <w:bottom w:val="single" w:color="B6B6B6" w:sz="4" w:space="0"/>
            </w:tcBorders>
          </w:tcPr>
          <w:p w:rsidR="00C31389" w:rsidRDefault="00C31389" w14:paraId="649D9D6D" w14:textId="77777777">
            <w:pPr>
              <w:pStyle w:val="TableParagraph"/>
              <w:spacing w:before="0"/>
              <w:rPr>
                <w:b/>
              </w:rPr>
            </w:pPr>
          </w:p>
          <w:p w:rsidR="00C31389" w:rsidRDefault="00561FBD" w14:paraId="0DAD4A20" w14:textId="77777777">
            <w:pPr>
              <w:pStyle w:val="TableParagraph"/>
              <w:spacing w:before="185"/>
              <w:ind w:left="160"/>
              <w:rPr>
                <w:sz w:val="20"/>
              </w:rPr>
            </w:pPr>
            <w:r>
              <w:rPr>
                <w:sz w:val="20"/>
              </w:rPr>
              <w:t>Higher</w:t>
            </w:r>
            <w:r>
              <w:rPr>
                <w:spacing w:val="-5"/>
                <w:sz w:val="20"/>
              </w:rPr>
              <w:t xml:space="preserve"> </w:t>
            </w:r>
            <w:r>
              <w:rPr>
                <w:spacing w:val="-2"/>
                <w:sz w:val="20"/>
              </w:rPr>
              <w:t>adoption</w:t>
            </w:r>
          </w:p>
        </w:tc>
        <w:tc>
          <w:tcPr>
            <w:tcW w:w="4210" w:type="dxa"/>
            <w:tcBorders>
              <w:top w:val="single" w:color="B6B6B6" w:sz="4" w:space="0"/>
              <w:bottom w:val="single" w:color="B6B6B6" w:sz="4" w:space="0"/>
            </w:tcBorders>
          </w:tcPr>
          <w:p w:rsidR="00C31389" w:rsidRDefault="00561FBD" w14:paraId="4C0153D7" w14:textId="77777777">
            <w:pPr>
              <w:pStyle w:val="TableParagraph"/>
              <w:spacing w:before="94"/>
              <w:ind w:left="176" w:right="117"/>
              <w:rPr>
                <w:sz w:val="20"/>
              </w:rPr>
            </w:pPr>
            <w:r>
              <w:rPr>
                <w:sz w:val="20"/>
              </w:rPr>
              <w:t xml:space="preserve">Benefits from eco impacts outweigh the barriers posed by upfront costs, which makes the </w:t>
            </w:r>
            <w:r>
              <w:rPr>
                <w:sz w:val="20"/>
              </w:rPr>
              <w:t>efficient measures more attractive</w:t>
            </w:r>
            <w:r>
              <w:rPr>
                <w:spacing w:val="-7"/>
                <w:sz w:val="20"/>
              </w:rPr>
              <w:t xml:space="preserve"> </w:t>
            </w:r>
            <w:r>
              <w:rPr>
                <w:sz w:val="20"/>
              </w:rPr>
              <w:t>compared</w:t>
            </w:r>
            <w:r>
              <w:rPr>
                <w:spacing w:val="-7"/>
                <w:sz w:val="20"/>
              </w:rPr>
              <w:t xml:space="preserve"> </w:t>
            </w:r>
            <w:r>
              <w:rPr>
                <w:sz w:val="20"/>
              </w:rPr>
              <w:t>to</w:t>
            </w:r>
            <w:r>
              <w:rPr>
                <w:spacing w:val="-7"/>
                <w:sz w:val="20"/>
              </w:rPr>
              <w:t xml:space="preserve"> </w:t>
            </w:r>
            <w:r>
              <w:rPr>
                <w:sz w:val="20"/>
              </w:rPr>
              <w:t>a</w:t>
            </w:r>
            <w:r>
              <w:rPr>
                <w:spacing w:val="-7"/>
                <w:sz w:val="20"/>
              </w:rPr>
              <w:t xml:space="preserve"> </w:t>
            </w:r>
            <w:r>
              <w:rPr>
                <w:sz w:val="20"/>
              </w:rPr>
              <w:t>pure</w:t>
            </w:r>
            <w:r>
              <w:rPr>
                <w:spacing w:val="-7"/>
                <w:sz w:val="20"/>
              </w:rPr>
              <w:t xml:space="preserve"> </w:t>
            </w:r>
            <w:r>
              <w:rPr>
                <w:sz w:val="20"/>
              </w:rPr>
              <w:t>LMC</w:t>
            </w:r>
            <w:r>
              <w:rPr>
                <w:spacing w:val="-6"/>
                <w:sz w:val="20"/>
              </w:rPr>
              <w:t xml:space="preserve"> </w:t>
            </w:r>
            <w:r>
              <w:rPr>
                <w:sz w:val="20"/>
              </w:rPr>
              <w:t>analysis.</w:t>
            </w:r>
          </w:p>
        </w:tc>
      </w:tr>
      <w:tr w:rsidR="00C31389" w14:paraId="542D9B26" w14:textId="77777777">
        <w:trPr>
          <w:trHeight w:val="625"/>
        </w:trPr>
        <w:tc>
          <w:tcPr>
            <w:tcW w:w="1394" w:type="dxa"/>
            <w:tcBorders>
              <w:top w:val="single" w:color="B6B6B6" w:sz="4" w:space="0"/>
              <w:bottom w:val="single" w:color="B6B6B6" w:sz="4" w:space="0"/>
            </w:tcBorders>
          </w:tcPr>
          <w:p w:rsidR="00C31389" w:rsidRDefault="00C31389" w14:paraId="3D50C5A4" w14:textId="77777777">
            <w:pPr>
              <w:pStyle w:val="TableParagraph"/>
              <w:spacing w:before="3"/>
              <w:rPr>
                <w:b/>
                <w:sz w:val="17"/>
              </w:rPr>
            </w:pPr>
          </w:p>
          <w:p w:rsidR="00C31389" w:rsidRDefault="00561FBD" w14:paraId="5EBAFD37" w14:textId="77777777">
            <w:pPr>
              <w:pStyle w:val="TableParagraph"/>
              <w:spacing w:before="0"/>
              <w:ind w:left="122"/>
              <w:rPr>
                <w:sz w:val="20"/>
              </w:rPr>
            </w:pPr>
            <w:r>
              <w:rPr>
                <w:spacing w:val="-2"/>
                <w:sz w:val="20"/>
              </w:rPr>
              <w:t>Commercial</w:t>
            </w:r>
          </w:p>
        </w:tc>
        <w:tc>
          <w:tcPr>
            <w:tcW w:w="1877" w:type="dxa"/>
            <w:tcBorders>
              <w:top w:val="single" w:color="B6B6B6" w:sz="4" w:space="0"/>
              <w:bottom w:val="single" w:color="B6B6B6" w:sz="4" w:space="0"/>
            </w:tcBorders>
          </w:tcPr>
          <w:p w:rsidR="00C31389" w:rsidRDefault="00561FBD" w14:paraId="4691229D" w14:textId="77777777">
            <w:pPr>
              <w:pStyle w:val="TableParagraph"/>
              <w:spacing w:before="83"/>
              <w:ind w:left="203" w:right="160"/>
              <w:rPr>
                <w:sz w:val="20"/>
              </w:rPr>
            </w:pPr>
            <w:r>
              <w:rPr>
                <w:sz w:val="20"/>
              </w:rPr>
              <w:t>LED</w:t>
            </w:r>
            <w:r>
              <w:rPr>
                <w:spacing w:val="-14"/>
                <w:sz w:val="20"/>
              </w:rPr>
              <w:t xml:space="preserve"> </w:t>
            </w:r>
            <w:r>
              <w:rPr>
                <w:sz w:val="20"/>
              </w:rPr>
              <w:t>High</w:t>
            </w:r>
            <w:r>
              <w:rPr>
                <w:spacing w:val="-14"/>
                <w:sz w:val="20"/>
              </w:rPr>
              <w:t xml:space="preserve"> </w:t>
            </w:r>
            <w:r>
              <w:rPr>
                <w:sz w:val="20"/>
              </w:rPr>
              <w:t>and Low Bay</w:t>
            </w:r>
          </w:p>
        </w:tc>
        <w:tc>
          <w:tcPr>
            <w:tcW w:w="1895" w:type="dxa"/>
            <w:tcBorders>
              <w:top w:val="single" w:color="B6B6B6" w:sz="4" w:space="0"/>
              <w:bottom w:val="single" w:color="B6B6B6" w:sz="4" w:space="0"/>
            </w:tcBorders>
          </w:tcPr>
          <w:p w:rsidR="00C31389" w:rsidRDefault="00561FBD" w14:paraId="48E9AFA2" w14:textId="77777777">
            <w:pPr>
              <w:pStyle w:val="TableParagraph"/>
              <w:spacing w:before="83"/>
              <w:ind w:left="160"/>
              <w:rPr>
                <w:sz w:val="20"/>
              </w:rPr>
            </w:pPr>
            <w:r>
              <w:rPr>
                <w:sz w:val="20"/>
              </w:rPr>
              <w:t>Minimal</w:t>
            </w:r>
            <w:r>
              <w:rPr>
                <w:spacing w:val="-14"/>
                <w:sz w:val="20"/>
              </w:rPr>
              <w:t xml:space="preserve"> </w:t>
            </w:r>
            <w:r>
              <w:rPr>
                <w:sz w:val="20"/>
              </w:rPr>
              <w:t>impact</w:t>
            </w:r>
            <w:r>
              <w:rPr>
                <w:spacing w:val="-14"/>
                <w:sz w:val="20"/>
              </w:rPr>
              <w:t xml:space="preserve"> </w:t>
            </w:r>
            <w:r>
              <w:rPr>
                <w:sz w:val="20"/>
              </w:rPr>
              <w:t xml:space="preserve">to </w:t>
            </w:r>
            <w:r>
              <w:rPr>
                <w:spacing w:val="-2"/>
                <w:sz w:val="20"/>
              </w:rPr>
              <w:t>adoption</w:t>
            </w:r>
          </w:p>
        </w:tc>
        <w:tc>
          <w:tcPr>
            <w:tcW w:w="4210" w:type="dxa"/>
            <w:tcBorders>
              <w:top w:val="single" w:color="B6B6B6" w:sz="4" w:space="0"/>
              <w:bottom w:val="single" w:color="B6B6B6" w:sz="4" w:space="0"/>
            </w:tcBorders>
          </w:tcPr>
          <w:p w:rsidR="00C31389" w:rsidRDefault="00561FBD" w14:paraId="4803C872" w14:textId="77777777">
            <w:pPr>
              <w:pStyle w:val="TableParagraph"/>
              <w:spacing w:before="83"/>
              <w:ind w:left="176"/>
              <w:rPr>
                <w:sz w:val="20"/>
              </w:rPr>
            </w:pPr>
            <w:r>
              <w:rPr>
                <w:sz w:val="20"/>
              </w:rPr>
              <w:t>Relative</w:t>
            </w:r>
            <w:r>
              <w:rPr>
                <w:spacing w:val="-7"/>
                <w:sz w:val="20"/>
              </w:rPr>
              <w:t xml:space="preserve"> </w:t>
            </w:r>
            <w:r>
              <w:rPr>
                <w:sz w:val="20"/>
              </w:rPr>
              <w:t>benefits</w:t>
            </w:r>
            <w:r>
              <w:rPr>
                <w:spacing w:val="-6"/>
                <w:sz w:val="20"/>
              </w:rPr>
              <w:t xml:space="preserve"> </w:t>
            </w:r>
            <w:r>
              <w:rPr>
                <w:sz w:val="20"/>
              </w:rPr>
              <w:t>of</w:t>
            </w:r>
            <w:r>
              <w:rPr>
                <w:spacing w:val="-7"/>
                <w:sz w:val="20"/>
              </w:rPr>
              <w:t xml:space="preserve"> </w:t>
            </w:r>
            <w:r>
              <w:rPr>
                <w:sz w:val="20"/>
              </w:rPr>
              <w:t>other</w:t>
            </w:r>
            <w:r>
              <w:rPr>
                <w:spacing w:val="-6"/>
                <w:sz w:val="20"/>
              </w:rPr>
              <w:t xml:space="preserve"> </w:t>
            </w:r>
            <w:r>
              <w:rPr>
                <w:sz w:val="20"/>
              </w:rPr>
              <w:t>value</w:t>
            </w:r>
            <w:r>
              <w:rPr>
                <w:spacing w:val="-7"/>
                <w:sz w:val="20"/>
              </w:rPr>
              <w:t xml:space="preserve"> </w:t>
            </w:r>
            <w:r>
              <w:rPr>
                <w:sz w:val="20"/>
              </w:rPr>
              <w:t>factors</w:t>
            </w:r>
            <w:r>
              <w:rPr>
                <w:spacing w:val="-6"/>
                <w:sz w:val="20"/>
              </w:rPr>
              <w:t xml:space="preserve"> </w:t>
            </w:r>
            <w:r>
              <w:rPr>
                <w:sz w:val="20"/>
              </w:rPr>
              <w:t>are similar to the benefits of LMC.</w:t>
            </w:r>
          </w:p>
        </w:tc>
      </w:tr>
      <w:tr w:rsidR="00C31389" w14:paraId="0633ACB3" w14:textId="77777777">
        <w:trPr>
          <w:trHeight w:val="999"/>
        </w:trPr>
        <w:tc>
          <w:tcPr>
            <w:tcW w:w="1394" w:type="dxa"/>
            <w:tcBorders>
              <w:top w:val="single" w:color="B6B6B6" w:sz="4" w:space="0"/>
              <w:bottom w:val="single" w:color="B6B6B6" w:sz="4" w:space="0"/>
            </w:tcBorders>
          </w:tcPr>
          <w:p w:rsidR="00C31389" w:rsidRDefault="00C31389" w14:paraId="74A5E38F" w14:textId="77777777">
            <w:pPr>
              <w:pStyle w:val="TableParagraph"/>
              <w:spacing w:before="0"/>
              <w:rPr>
                <w:b/>
              </w:rPr>
            </w:pPr>
          </w:p>
          <w:p w:rsidR="00C31389" w:rsidRDefault="00561FBD" w14:paraId="1B17CE3A" w14:textId="77777777">
            <w:pPr>
              <w:pStyle w:val="TableParagraph"/>
              <w:spacing w:before="131"/>
              <w:ind w:left="122"/>
              <w:rPr>
                <w:sz w:val="20"/>
              </w:rPr>
            </w:pPr>
            <w:r>
              <w:rPr>
                <w:spacing w:val="-2"/>
                <w:sz w:val="20"/>
              </w:rPr>
              <w:t>Commercial</w:t>
            </w:r>
          </w:p>
        </w:tc>
        <w:tc>
          <w:tcPr>
            <w:tcW w:w="1877" w:type="dxa"/>
            <w:tcBorders>
              <w:top w:val="single" w:color="B6B6B6" w:sz="4" w:space="0"/>
              <w:bottom w:val="single" w:color="B6B6B6" w:sz="4" w:space="0"/>
            </w:tcBorders>
          </w:tcPr>
          <w:p w:rsidR="00C31389" w:rsidRDefault="00C31389" w14:paraId="7B4F427C" w14:textId="77777777">
            <w:pPr>
              <w:pStyle w:val="TableParagraph"/>
              <w:spacing w:before="6"/>
              <w:rPr>
                <w:b/>
                <w:sz w:val="23"/>
              </w:rPr>
            </w:pPr>
          </w:p>
          <w:p w:rsidR="00C31389" w:rsidRDefault="00561FBD" w14:paraId="2AB690D3" w14:textId="77777777">
            <w:pPr>
              <w:pStyle w:val="TableParagraph"/>
              <w:spacing w:before="0"/>
              <w:ind w:left="203"/>
              <w:rPr>
                <w:sz w:val="20"/>
              </w:rPr>
            </w:pPr>
            <w:r>
              <w:rPr>
                <w:sz w:val="20"/>
              </w:rPr>
              <w:t>Small</w:t>
            </w:r>
            <w:r>
              <w:rPr>
                <w:spacing w:val="-14"/>
                <w:sz w:val="20"/>
              </w:rPr>
              <w:t xml:space="preserve"> </w:t>
            </w:r>
            <w:r>
              <w:rPr>
                <w:sz w:val="20"/>
              </w:rPr>
              <w:t>Gas</w:t>
            </w:r>
            <w:r>
              <w:rPr>
                <w:spacing w:val="-14"/>
                <w:sz w:val="20"/>
              </w:rPr>
              <w:t xml:space="preserve"> </w:t>
            </w:r>
            <w:r>
              <w:rPr>
                <w:sz w:val="20"/>
              </w:rPr>
              <w:t xml:space="preserve">Water </w:t>
            </w:r>
            <w:r>
              <w:rPr>
                <w:spacing w:val="-2"/>
                <w:sz w:val="20"/>
              </w:rPr>
              <w:t>Heaters</w:t>
            </w:r>
          </w:p>
        </w:tc>
        <w:tc>
          <w:tcPr>
            <w:tcW w:w="1895" w:type="dxa"/>
            <w:tcBorders>
              <w:top w:val="single" w:color="B6B6B6" w:sz="4" w:space="0"/>
              <w:bottom w:val="single" w:color="B6B6B6" w:sz="4" w:space="0"/>
            </w:tcBorders>
          </w:tcPr>
          <w:p w:rsidR="00C31389" w:rsidRDefault="00C31389" w14:paraId="38DEB935" w14:textId="77777777">
            <w:pPr>
              <w:pStyle w:val="TableParagraph"/>
              <w:spacing w:before="0"/>
              <w:rPr>
                <w:b/>
              </w:rPr>
            </w:pPr>
          </w:p>
          <w:p w:rsidR="00C31389" w:rsidRDefault="00561FBD" w14:paraId="5373F5D4" w14:textId="77777777">
            <w:pPr>
              <w:pStyle w:val="TableParagraph"/>
              <w:spacing w:before="131"/>
              <w:ind w:left="161"/>
              <w:rPr>
                <w:sz w:val="20"/>
              </w:rPr>
            </w:pPr>
            <w:r>
              <w:rPr>
                <w:sz w:val="20"/>
              </w:rPr>
              <w:t>Lower</w:t>
            </w:r>
            <w:r>
              <w:rPr>
                <w:spacing w:val="-3"/>
                <w:sz w:val="20"/>
              </w:rPr>
              <w:t xml:space="preserve"> </w:t>
            </w:r>
            <w:r>
              <w:rPr>
                <w:spacing w:val="-2"/>
                <w:sz w:val="20"/>
              </w:rPr>
              <w:t>adoption</w:t>
            </w:r>
          </w:p>
        </w:tc>
        <w:tc>
          <w:tcPr>
            <w:tcW w:w="4210" w:type="dxa"/>
            <w:tcBorders>
              <w:top w:val="single" w:color="B6B6B6" w:sz="4" w:space="0"/>
              <w:bottom w:val="single" w:color="B6B6B6" w:sz="4" w:space="0"/>
            </w:tcBorders>
          </w:tcPr>
          <w:p w:rsidR="00C31389" w:rsidRDefault="00561FBD" w14:paraId="22AA9C1C" w14:textId="77777777">
            <w:pPr>
              <w:pStyle w:val="TableParagraph"/>
              <w:ind w:left="176" w:right="174"/>
              <w:rPr>
                <w:sz w:val="20"/>
              </w:rPr>
            </w:pPr>
            <w:r>
              <w:rPr>
                <w:sz w:val="20"/>
              </w:rPr>
              <w:t>Barriers from upfront costs and hassle factor</w:t>
            </w:r>
            <w:r>
              <w:rPr>
                <w:spacing w:val="-6"/>
                <w:sz w:val="20"/>
              </w:rPr>
              <w:t xml:space="preserve"> </w:t>
            </w:r>
            <w:r>
              <w:rPr>
                <w:sz w:val="20"/>
              </w:rPr>
              <w:t>lead</w:t>
            </w:r>
            <w:r>
              <w:rPr>
                <w:spacing w:val="-7"/>
                <w:sz w:val="20"/>
              </w:rPr>
              <w:t xml:space="preserve"> </w:t>
            </w:r>
            <w:r>
              <w:rPr>
                <w:sz w:val="20"/>
              </w:rPr>
              <w:t>to</w:t>
            </w:r>
            <w:r>
              <w:rPr>
                <w:spacing w:val="-7"/>
                <w:sz w:val="20"/>
              </w:rPr>
              <w:t xml:space="preserve"> </w:t>
            </w:r>
            <w:r>
              <w:rPr>
                <w:sz w:val="20"/>
              </w:rPr>
              <w:t>efficient</w:t>
            </w:r>
            <w:r>
              <w:rPr>
                <w:spacing w:val="-7"/>
                <w:sz w:val="20"/>
              </w:rPr>
              <w:t xml:space="preserve"> </w:t>
            </w:r>
            <w:r>
              <w:rPr>
                <w:sz w:val="20"/>
              </w:rPr>
              <w:t>measures</w:t>
            </w:r>
            <w:r>
              <w:rPr>
                <w:spacing w:val="-6"/>
                <w:sz w:val="20"/>
              </w:rPr>
              <w:t xml:space="preserve"> </w:t>
            </w:r>
            <w:r>
              <w:rPr>
                <w:sz w:val="20"/>
              </w:rPr>
              <w:t>being</w:t>
            </w:r>
            <w:r>
              <w:rPr>
                <w:spacing w:val="-7"/>
                <w:sz w:val="20"/>
              </w:rPr>
              <w:t xml:space="preserve"> </w:t>
            </w:r>
            <w:r>
              <w:rPr>
                <w:sz w:val="20"/>
              </w:rPr>
              <w:t>less attractive than the baseline measure compared to the LMC-only case.</w:t>
            </w:r>
          </w:p>
        </w:tc>
      </w:tr>
      <w:tr w:rsidR="00C31389" w14:paraId="6F137AD6" w14:textId="77777777">
        <w:trPr>
          <w:trHeight w:val="1000"/>
        </w:trPr>
        <w:tc>
          <w:tcPr>
            <w:tcW w:w="1394" w:type="dxa"/>
            <w:tcBorders>
              <w:top w:val="single" w:color="B6B6B6" w:sz="4" w:space="0"/>
              <w:bottom w:val="single" w:color="B6B6B6" w:sz="4" w:space="0"/>
            </w:tcBorders>
          </w:tcPr>
          <w:p w:rsidR="00C31389" w:rsidRDefault="00C31389" w14:paraId="0775104B" w14:textId="77777777">
            <w:pPr>
              <w:pStyle w:val="TableParagraph"/>
              <w:spacing w:before="0"/>
              <w:rPr>
                <w:b/>
              </w:rPr>
            </w:pPr>
          </w:p>
          <w:p w:rsidR="00C31389" w:rsidRDefault="00561FBD" w14:paraId="30FEC8BE" w14:textId="77777777">
            <w:pPr>
              <w:pStyle w:val="TableParagraph"/>
              <w:spacing w:before="133"/>
              <w:ind w:left="122"/>
              <w:rPr>
                <w:sz w:val="20"/>
              </w:rPr>
            </w:pPr>
            <w:r>
              <w:rPr>
                <w:spacing w:val="-2"/>
                <w:sz w:val="20"/>
              </w:rPr>
              <w:t>Commercial</w:t>
            </w:r>
          </w:p>
        </w:tc>
        <w:tc>
          <w:tcPr>
            <w:tcW w:w="1877" w:type="dxa"/>
            <w:tcBorders>
              <w:top w:val="single" w:color="B6B6B6" w:sz="4" w:space="0"/>
              <w:bottom w:val="single" w:color="B6B6B6" w:sz="4" w:space="0"/>
            </w:tcBorders>
          </w:tcPr>
          <w:p w:rsidR="00C31389" w:rsidRDefault="00C31389" w14:paraId="3967DD0B" w14:textId="77777777">
            <w:pPr>
              <w:pStyle w:val="TableParagraph"/>
              <w:spacing w:before="6"/>
              <w:rPr>
                <w:b/>
                <w:sz w:val="23"/>
              </w:rPr>
            </w:pPr>
          </w:p>
          <w:p w:rsidR="00C31389" w:rsidRDefault="00561FBD" w14:paraId="6097B56D" w14:textId="77777777">
            <w:pPr>
              <w:pStyle w:val="TableParagraph"/>
              <w:spacing w:before="0"/>
              <w:ind w:left="202" w:right="357"/>
              <w:rPr>
                <w:sz w:val="20"/>
              </w:rPr>
            </w:pPr>
            <w:r>
              <w:rPr>
                <w:sz w:val="20"/>
              </w:rPr>
              <w:t>FS</w:t>
            </w:r>
            <w:r>
              <w:rPr>
                <w:spacing w:val="-14"/>
                <w:sz w:val="20"/>
              </w:rPr>
              <w:t xml:space="preserve"> </w:t>
            </w:r>
            <w:r>
              <w:rPr>
                <w:sz w:val="20"/>
              </w:rPr>
              <w:t xml:space="preserve">Convection </w:t>
            </w:r>
            <w:r>
              <w:rPr>
                <w:spacing w:val="-2"/>
                <w:sz w:val="20"/>
              </w:rPr>
              <w:t>Oven</w:t>
            </w:r>
            <w:r>
              <w:rPr>
                <w:spacing w:val="-2"/>
                <w:sz w:val="20"/>
                <w:vertAlign w:val="superscript"/>
              </w:rPr>
              <w:t>†</w:t>
            </w:r>
          </w:p>
        </w:tc>
        <w:tc>
          <w:tcPr>
            <w:tcW w:w="1895" w:type="dxa"/>
            <w:tcBorders>
              <w:top w:val="single" w:color="B6B6B6" w:sz="4" w:space="0"/>
              <w:bottom w:val="single" w:color="B6B6B6" w:sz="4" w:space="0"/>
            </w:tcBorders>
          </w:tcPr>
          <w:p w:rsidR="00C31389" w:rsidRDefault="00C31389" w14:paraId="37180CE9" w14:textId="77777777">
            <w:pPr>
              <w:pStyle w:val="TableParagraph"/>
              <w:spacing w:before="0"/>
              <w:rPr>
                <w:b/>
              </w:rPr>
            </w:pPr>
          </w:p>
          <w:p w:rsidR="00C31389" w:rsidRDefault="00561FBD" w14:paraId="30B41937" w14:textId="77777777">
            <w:pPr>
              <w:pStyle w:val="TableParagraph"/>
              <w:spacing w:before="132"/>
              <w:ind w:left="160"/>
              <w:rPr>
                <w:sz w:val="20"/>
              </w:rPr>
            </w:pPr>
            <w:r>
              <w:rPr>
                <w:sz w:val="20"/>
              </w:rPr>
              <w:t>Lower</w:t>
            </w:r>
            <w:r>
              <w:rPr>
                <w:spacing w:val="-3"/>
                <w:sz w:val="20"/>
              </w:rPr>
              <w:t xml:space="preserve"> </w:t>
            </w:r>
            <w:r>
              <w:rPr>
                <w:spacing w:val="-2"/>
                <w:sz w:val="20"/>
              </w:rPr>
              <w:t>adoption</w:t>
            </w:r>
          </w:p>
        </w:tc>
        <w:tc>
          <w:tcPr>
            <w:tcW w:w="4210" w:type="dxa"/>
            <w:tcBorders>
              <w:top w:val="single" w:color="B6B6B6" w:sz="4" w:space="0"/>
              <w:bottom w:val="single" w:color="B6B6B6" w:sz="4" w:space="0"/>
            </w:tcBorders>
          </w:tcPr>
          <w:p w:rsidR="00C31389" w:rsidRDefault="00561FBD" w14:paraId="08383344" w14:textId="77777777">
            <w:pPr>
              <w:pStyle w:val="TableParagraph"/>
              <w:ind w:left="176" w:right="272"/>
              <w:rPr>
                <w:sz w:val="20"/>
              </w:rPr>
            </w:pPr>
            <w:r>
              <w:rPr>
                <w:sz w:val="20"/>
              </w:rPr>
              <w:t xml:space="preserve">Upfront costs, which are a barrier to </w:t>
            </w:r>
            <w:r>
              <w:rPr>
                <w:sz w:val="20"/>
              </w:rPr>
              <w:t>adoption, feature more prominently in the decision-making</w:t>
            </w:r>
            <w:r>
              <w:rPr>
                <w:spacing w:val="-10"/>
                <w:sz w:val="20"/>
              </w:rPr>
              <w:t xml:space="preserve"> </w:t>
            </w:r>
            <w:r>
              <w:rPr>
                <w:sz w:val="20"/>
              </w:rPr>
              <w:t>consideration</w:t>
            </w:r>
            <w:r>
              <w:rPr>
                <w:spacing w:val="-10"/>
                <w:sz w:val="20"/>
              </w:rPr>
              <w:t xml:space="preserve"> </w:t>
            </w:r>
            <w:r>
              <w:rPr>
                <w:sz w:val="20"/>
              </w:rPr>
              <w:t>as</w:t>
            </w:r>
            <w:r>
              <w:rPr>
                <w:spacing w:val="-9"/>
                <w:sz w:val="20"/>
              </w:rPr>
              <w:t xml:space="preserve"> </w:t>
            </w:r>
            <w:r>
              <w:rPr>
                <w:sz w:val="20"/>
              </w:rPr>
              <w:t>a</w:t>
            </w:r>
            <w:r>
              <w:rPr>
                <w:spacing w:val="-10"/>
                <w:sz w:val="20"/>
              </w:rPr>
              <w:t xml:space="preserve"> </w:t>
            </w:r>
            <w:r>
              <w:rPr>
                <w:sz w:val="20"/>
              </w:rPr>
              <w:t>barrier to adoption.</w:t>
            </w:r>
          </w:p>
        </w:tc>
      </w:tr>
    </w:tbl>
    <w:p w:rsidR="00C31389" w:rsidRDefault="00561FBD" w14:paraId="595C5A5A" w14:textId="77777777">
      <w:pPr>
        <w:spacing w:before="27"/>
        <w:ind w:left="480"/>
        <w:rPr>
          <w:sz w:val="18"/>
        </w:rPr>
      </w:pPr>
      <w:r>
        <w:rPr>
          <w:sz w:val="18"/>
        </w:rPr>
        <w:t>*</w:t>
      </w:r>
      <w:r>
        <w:rPr>
          <w:spacing w:val="-4"/>
          <w:sz w:val="18"/>
        </w:rPr>
        <w:t xml:space="preserve"> </w:t>
      </w:r>
      <w:r>
        <w:rPr>
          <w:sz w:val="18"/>
        </w:rPr>
        <w:t>In</w:t>
      </w:r>
      <w:r>
        <w:rPr>
          <w:spacing w:val="-3"/>
          <w:sz w:val="18"/>
        </w:rPr>
        <w:t xml:space="preserve"> </w:t>
      </w:r>
      <w:r>
        <w:rPr>
          <w:sz w:val="18"/>
        </w:rPr>
        <w:t>this</w:t>
      </w:r>
      <w:r>
        <w:rPr>
          <w:spacing w:val="-2"/>
          <w:sz w:val="18"/>
        </w:rPr>
        <w:t xml:space="preserve"> </w:t>
      </w:r>
      <w:r>
        <w:rPr>
          <w:sz w:val="18"/>
        </w:rPr>
        <w:t>instance,</w:t>
      </w:r>
      <w:r>
        <w:rPr>
          <w:spacing w:val="-2"/>
          <w:sz w:val="18"/>
        </w:rPr>
        <w:t xml:space="preserve"> </w:t>
      </w:r>
      <w:r>
        <w:rPr>
          <w:sz w:val="18"/>
        </w:rPr>
        <w:t>only</w:t>
      </w:r>
      <w:r>
        <w:rPr>
          <w:spacing w:val="-2"/>
          <w:sz w:val="18"/>
        </w:rPr>
        <w:t xml:space="preserve"> </w:t>
      </w:r>
      <w:r>
        <w:rPr>
          <w:sz w:val="18"/>
        </w:rPr>
        <w:t>LMC,</w:t>
      </w:r>
      <w:r>
        <w:rPr>
          <w:spacing w:val="-2"/>
          <w:sz w:val="18"/>
        </w:rPr>
        <w:t xml:space="preserve"> </w:t>
      </w:r>
      <w:r>
        <w:rPr>
          <w:sz w:val="18"/>
        </w:rPr>
        <w:t>upfront</w:t>
      </w:r>
      <w:r>
        <w:rPr>
          <w:spacing w:val="-2"/>
          <w:sz w:val="18"/>
        </w:rPr>
        <w:t xml:space="preserve"> </w:t>
      </w:r>
      <w:r>
        <w:rPr>
          <w:sz w:val="18"/>
        </w:rPr>
        <w:t>costs,</w:t>
      </w:r>
      <w:r>
        <w:rPr>
          <w:spacing w:val="-2"/>
          <w:sz w:val="18"/>
        </w:rPr>
        <w:t xml:space="preserve"> </w:t>
      </w:r>
      <w:r>
        <w:rPr>
          <w:sz w:val="18"/>
        </w:rPr>
        <w:t>and</w:t>
      </w:r>
      <w:r>
        <w:rPr>
          <w:spacing w:val="-3"/>
          <w:sz w:val="18"/>
        </w:rPr>
        <w:t xml:space="preserve"> </w:t>
      </w:r>
      <w:r>
        <w:rPr>
          <w:sz w:val="18"/>
        </w:rPr>
        <w:t>eco</w:t>
      </w:r>
      <w:r>
        <w:rPr>
          <w:spacing w:val="-3"/>
          <w:sz w:val="18"/>
        </w:rPr>
        <w:t xml:space="preserve"> </w:t>
      </w:r>
      <w:r>
        <w:rPr>
          <w:sz w:val="18"/>
        </w:rPr>
        <w:t>impacts</w:t>
      </w:r>
      <w:r>
        <w:rPr>
          <w:spacing w:val="-1"/>
          <w:sz w:val="18"/>
        </w:rPr>
        <w:t xml:space="preserve"> </w:t>
      </w:r>
      <w:r>
        <w:rPr>
          <w:sz w:val="18"/>
        </w:rPr>
        <w:t>serve</w:t>
      </w:r>
      <w:r>
        <w:rPr>
          <w:spacing w:val="-3"/>
          <w:sz w:val="18"/>
        </w:rPr>
        <w:t xml:space="preserve"> </w:t>
      </w:r>
      <w:r>
        <w:rPr>
          <w:sz w:val="18"/>
        </w:rPr>
        <w:t>to</w:t>
      </w:r>
      <w:r>
        <w:rPr>
          <w:spacing w:val="-3"/>
          <w:sz w:val="18"/>
        </w:rPr>
        <w:t xml:space="preserve"> </w:t>
      </w:r>
      <w:r>
        <w:rPr>
          <w:sz w:val="18"/>
        </w:rPr>
        <w:t>differentiate</w:t>
      </w:r>
      <w:r>
        <w:rPr>
          <w:spacing w:val="-3"/>
          <w:sz w:val="18"/>
        </w:rPr>
        <w:t xml:space="preserve"> </w:t>
      </w:r>
      <w:r>
        <w:rPr>
          <w:sz w:val="18"/>
        </w:rPr>
        <w:t>measures</w:t>
      </w:r>
      <w:r>
        <w:rPr>
          <w:spacing w:val="-2"/>
          <w:sz w:val="18"/>
        </w:rPr>
        <w:t xml:space="preserve"> </w:t>
      </w:r>
      <w:r>
        <w:rPr>
          <w:sz w:val="18"/>
        </w:rPr>
        <w:t>within</w:t>
      </w:r>
      <w:r>
        <w:rPr>
          <w:spacing w:val="-3"/>
          <w:sz w:val="18"/>
        </w:rPr>
        <w:t xml:space="preserve"> </w:t>
      </w:r>
      <w:r>
        <w:rPr>
          <w:sz w:val="18"/>
        </w:rPr>
        <w:t>a</w:t>
      </w:r>
      <w:r>
        <w:rPr>
          <w:spacing w:val="-2"/>
          <w:sz w:val="18"/>
        </w:rPr>
        <w:t xml:space="preserve"> </w:t>
      </w:r>
      <w:r>
        <w:rPr>
          <w:spacing w:val="-5"/>
          <w:sz w:val="18"/>
        </w:rPr>
        <w:t>CG.</w:t>
      </w:r>
    </w:p>
    <w:p w:rsidR="00C31389" w:rsidRDefault="00561FBD" w14:paraId="47031D37" w14:textId="77777777">
      <w:pPr>
        <w:spacing w:before="17"/>
        <w:ind w:left="480"/>
        <w:rPr>
          <w:sz w:val="18"/>
        </w:rPr>
      </w:pPr>
      <w:r>
        <w:rPr>
          <w:position w:val="6"/>
          <w:sz w:val="12"/>
        </w:rPr>
        <w:t>†</w:t>
      </w:r>
      <w:r>
        <w:rPr>
          <w:sz w:val="18"/>
        </w:rPr>
        <w:t>Not</w:t>
      </w:r>
      <w:r>
        <w:rPr>
          <w:spacing w:val="-5"/>
          <w:sz w:val="18"/>
        </w:rPr>
        <w:t xml:space="preserve"> </w:t>
      </w:r>
      <w:r>
        <w:rPr>
          <w:sz w:val="18"/>
        </w:rPr>
        <w:t>all</w:t>
      </w:r>
      <w:r>
        <w:rPr>
          <w:spacing w:val="-2"/>
          <w:sz w:val="18"/>
        </w:rPr>
        <w:t xml:space="preserve"> </w:t>
      </w:r>
      <w:r>
        <w:rPr>
          <w:sz w:val="18"/>
        </w:rPr>
        <w:t>value</w:t>
      </w:r>
      <w:r>
        <w:rPr>
          <w:spacing w:val="-3"/>
          <w:sz w:val="18"/>
        </w:rPr>
        <w:t xml:space="preserve"> </w:t>
      </w:r>
      <w:r>
        <w:rPr>
          <w:sz w:val="18"/>
        </w:rPr>
        <w:t>factors</w:t>
      </w:r>
      <w:r>
        <w:rPr>
          <w:spacing w:val="-2"/>
          <w:sz w:val="18"/>
        </w:rPr>
        <w:t xml:space="preserve"> </w:t>
      </w:r>
      <w:r>
        <w:rPr>
          <w:sz w:val="18"/>
        </w:rPr>
        <w:t>are</w:t>
      </w:r>
      <w:r>
        <w:rPr>
          <w:spacing w:val="-3"/>
          <w:sz w:val="18"/>
        </w:rPr>
        <w:t xml:space="preserve"> </w:t>
      </w:r>
      <w:r>
        <w:rPr>
          <w:sz w:val="18"/>
        </w:rPr>
        <w:t>applicable</w:t>
      </w:r>
      <w:r>
        <w:rPr>
          <w:spacing w:val="-3"/>
          <w:sz w:val="18"/>
        </w:rPr>
        <w:t xml:space="preserve"> </w:t>
      </w:r>
      <w:r>
        <w:rPr>
          <w:sz w:val="18"/>
        </w:rPr>
        <w:t>and</w:t>
      </w:r>
      <w:r>
        <w:rPr>
          <w:spacing w:val="-3"/>
          <w:sz w:val="18"/>
        </w:rPr>
        <w:t xml:space="preserve"> </w:t>
      </w:r>
      <w:r>
        <w:rPr>
          <w:sz w:val="18"/>
        </w:rPr>
        <w:t>social</w:t>
      </w:r>
      <w:r>
        <w:rPr>
          <w:spacing w:val="-2"/>
          <w:sz w:val="18"/>
        </w:rPr>
        <w:t xml:space="preserve"> </w:t>
      </w:r>
      <w:r>
        <w:rPr>
          <w:sz w:val="18"/>
        </w:rPr>
        <w:t>signaling</w:t>
      </w:r>
      <w:r>
        <w:rPr>
          <w:spacing w:val="-3"/>
          <w:sz w:val="18"/>
        </w:rPr>
        <w:t xml:space="preserve"> </w:t>
      </w:r>
      <w:r>
        <w:rPr>
          <w:sz w:val="18"/>
        </w:rPr>
        <w:t>is</w:t>
      </w:r>
      <w:r>
        <w:rPr>
          <w:spacing w:val="-1"/>
          <w:sz w:val="18"/>
        </w:rPr>
        <w:t xml:space="preserve"> </w:t>
      </w:r>
      <w:r>
        <w:rPr>
          <w:sz w:val="18"/>
        </w:rPr>
        <w:t>not</w:t>
      </w:r>
      <w:r>
        <w:rPr>
          <w:spacing w:val="-2"/>
          <w:sz w:val="18"/>
        </w:rPr>
        <w:t xml:space="preserve"> </w:t>
      </w:r>
      <w:r>
        <w:rPr>
          <w:sz w:val="18"/>
        </w:rPr>
        <w:t>considered</w:t>
      </w:r>
      <w:r>
        <w:rPr>
          <w:spacing w:val="-1"/>
          <w:sz w:val="18"/>
        </w:rPr>
        <w:t xml:space="preserve"> </w:t>
      </w:r>
      <w:r>
        <w:rPr>
          <w:sz w:val="18"/>
        </w:rPr>
        <w:t>for</w:t>
      </w:r>
      <w:r>
        <w:rPr>
          <w:spacing w:val="-2"/>
          <w:sz w:val="18"/>
        </w:rPr>
        <w:t xml:space="preserve"> </w:t>
      </w:r>
      <w:r>
        <w:rPr>
          <w:sz w:val="18"/>
        </w:rPr>
        <w:t>FS</w:t>
      </w:r>
      <w:r>
        <w:rPr>
          <w:spacing w:val="-3"/>
          <w:sz w:val="18"/>
        </w:rPr>
        <w:t xml:space="preserve"> </w:t>
      </w:r>
      <w:r>
        <w:rPr>
          <w:spacing w:val="-2"/>
          <w:sz w:val="18"/>
        </w:rPr>
        <w:t>technologies.</w:t>
      </w:r>
    </w:p>
    <w:p w:rsidR="00C31389" w:rsidRDefault="00561FBD" w14:paraId="5D849DBF" w14:textId="77777777">
      <w:pPr>
        <w:spacing w:before="59"/>
        <w:ind w:left="480"/>
        <w:rPr>
          <w:i/>
          <w:sz w:val="18"/>
        </w:rPr>
      </w:pPr>
      <w:r>
        <w:rPr>
          <w:i/>
          <w:sz w:val="18"/>
        </w:rPr>
        <w:t>Source:</w:t>
      </w:r>
      <w:r>
        <w:rPr>
          <w:i/>
          <w:spacing w:val="-4"/>
          <w:sz w:val="18"/>
        </w:rPr>
        <w:t xml:space="preserve"> </w:t>
      </w:r>
      <w:r>
        <w:rPr>
          <w:i/>
          <w:spacing w:val="-2"/>
          <w:sz w:val="18"/>
        </w:rPr>
        <w:t>Guidehouse</w:t>
      </w:r>
    </w:p>
    <w:p w:rsidR="00C31389" w:rsidRDefault="00C31389" w14:paraId="43A48F43" w14:textId="77777777">
      <w:pPr>
        <w:rPr>
          <w:sz w:val="18"/>
        </w:rPr>
        <w:sectPr w:rsidR="00C31389">
          <w:pgSz w:w="12240" w:h="15840"/>
          <w:pgMar w:top="1660" w:right="960" w:bottom="1120" w:left="960" w:header="397" w:footer="936" w:gutter="0"/>
          <w:cols w:space="720"/>
        </w:sectPr>
      </w:pPr>
    </w:p>
    <w:p w:rsidR="00C31389" w:rsidRDefault="00C31389" w14:paraId="1B18E63E" w14:textId="77777777">
      <w:pPr>
        <w:pStyle w:val="BodyText"/>
        <w:rPr>
          <w:i/>
        </w:rPr>
      </w:pPr>
    </w:p>
    <w:p w:rsidR="00C31389" w:rsidRDefault="00C31389" w14:paraId="79CD9A03" w14:textId="77777777">
      <w:pPr>
        <w:pStyle w:val="BodyText"/>
        <w:spacing w:before="1"/>
        <w:rPr>
          <w:i/>
          <w:sz w:val="14"/>
        </w:rPr>
      </w:pPr>
    </w:p>
    <w:p w:rsidR="00C31389" w:rsidRDefault="00561FBD" w14:paraId="5F9A5841" w14:textId="77777777">
      <w:pPr>
        <w:pStyle w:val="Heading2"/>
        <w:numPr>
          <w:ilvl w:val="1"/>
          <w:numId w:val="71"/>
        </w:numPr>
        <w:tabs>
          <w:tab w:val="left" w:pos="945"/>
        </w:tabs>
        <w:spacing w:before="90"/>
        <w:ind w:left="945" w:hanging="465"/>
      </w:pPr>
      <w:bookmarkStart w:name="3.4_Whole_Building_Initiatives" w:id="198"/>
      <w:bookmarkStart w:name="_bookmark148" w:id="199"/>
      <w:bookmarkEnd w:id="198"/>
      <w:bookmarkEnd w:id="199"/>
      <w:r>
        <w:t>Whole</w:t>
      </w:r>
      <w:r>
        <w:rPr>
          <w:spacing w:val="-12"/>
        </w:rPr>
        <w:t xml:space="preserve"> </w:t>
      </w:r>
      <w:r>
        <w:t>Building</w:t>
      </w:r>
      <w:r>
        <w:rPr>
          <w:spacing w:val="-13"/>
        </w:rPr>
        <w:t xml:space="preserve"> </w:t>
      </w:r>
      <w:r>
        <w:rPr>
          <w:spacing w:val="-2"/>
        </w:rPr>
        <w:t>Initiatives</w:t>
      </w:r>
    </w:p>
    <w:p w:rsidR="00C31389" w:rsidRDefault="00561FBD" w14:paraId="3F38967F" w14:textId="77777777">
      <w:pPr>
        <w:pStyle w:val="BodyText"/>
        <w:spacing w:before="240"/>
        <w:ind w:left="480" w:right="533"/>
      </w:pPr>
      <w:r>
        <w:t>Whole building initiatives aim to deliver savings to residential and commercial customers as a package</w:t>
      </w:r>
      <w:r>
        <w:rPr>
          <w:spacing w:val="-3"/>
        </w:rPr>
        <w:t xml:space="preserve"> </w:t>
      </w:r>
      <w:r>
        <w:t>of</w:t>
      </w:r>
      <w:r>
        <w:rPr>
          <w:spacing w:val="-4"/>
        </w:rPr>
        <w:t xml:space="preserve"> </w:t>
      </w:r>
      <w:r>
        <w:t>multiple</w:t>
      </w:r>
      <w:r>
        <w:rPr>
          <w:spacing w:val="-3"/>
        </w:rPr>
        <w:t xml:space="preserve"> </w:t>
      </w:r>
      <w:r>
        <w:t>efficiency</w:t>
      </w:r>
      <w:r>
        <w:rPr>
          <w:spacing w:val="-2"/>
        </w:rPr>
        <w:t xml:space="preserve"> </w:t>
      </w:r>
      <w:r>
        <w:t>measures</w:t>
      </w:r>
      <w:r>
        <w:rPr>
          <w:spacing w:val="-3"/>
        </w:rPr>
        <w:t xml:space="preserve"> </w:t>
      </w:r>
      <w:r>
        <w:t>a</w:t>
      </w:r>
      <w:r>
        <w:t>ll</w:t>
      </w:r>
      <w:r>
        <w:rPr>
          <w:spacing w:val="-3"/>
        </w:rPr>
        <w:t xml:space="preserve"> </w:t>
      </w:r>
      <w:r>
        <w:t>installed</w:t>
      </w:r>
      <w:r>
        <w:rPr>
          <w:spacing w:val="-3"/>
        </w:rPr>
        <w:t xml:space="preserve"> </w:t>
      </w:r>
      <w:r>
        <w:t>at</w:t>
      </w:r>
      <w:r>
        <w:rPr>
          <w:spacing w:val="-3"/>
        </w:rPr>
        <w:t xml:space="preserve"> </w:t>
      </w:r>
      <w:r>
        <w:t>the</w:t>
      </w:r>
      <w:r>
        <w:rPr>
          <w:spacing w:val="-4"/>
        </w:rPr>
        <w:t xml:space="preserve"> </w:t>
      </w:r>
      <w:r>
        <w:t>same</w:t>
      </w:r>
      <w:r>
        <w:rPr>
          <w:spacing w:val="-3"/>
        </w:rPr>
        <w:t xml:space="preserve"> </w:t>
      </w:r>
      <w:r>
        <w:t>time.</w:t>
      </w:r>
      <w:r>
        <w:rPr>
          <w:spacing w:val="-3"/>
        </w:rPr>
        <w:t xml:space="preserve"> </w:t>
      </w:r>
      <w:r>
        <w:t>The</w:t>
      </w:r>
      <w:r>
        <w:rPr>
          <w:spacing w:val="-3"/>
        </w:rPr>
        <w:t xml:space="preserve"> </w:t>
      </w:r>
      <w:r>
        <w:t>2023</w:t>
      </w:r>
      <w:r>
        <w:rPr>
          <w:spacing w:val="-3"/>
        </w:rPr>
        <w:t xml:space="preserve"> </w:t>
      </w:r>
      <w:r>
        <w:t>Study</w:t>
      </w:r>
      <w:r>
        <w:rPr>
          <w:spacing w:val="-3"/>
        </w:rPr>
        <w:t xml:space="preserve"> </w:t>
      </w:r>
      <w:r>
        <w:t xml:space="preserve">models whole building initiatives via the technology levels indicated in </w:t>
      </w:r>
      <w:hyperlink w:history="1" w:anchor="_bookmark149">
        <w:r>
          <w:t>Table 3-19.</w:t>
        </w:r>
      </w:hyperlink>
      <w:r>
        <w:t>. These levels are unchanged</w:t>
      </w:r>
      <w:r>
        <w:rPr>
          <w:spacing w:val="-1"/>
        </w:rPr>
        <w:t xml:space="preserve"> </w:t>
      </w:r>
      <w:r>
        <w:t>from</w:t>
      </w:r>
      <w:r>
        <w:rPr>
          <w:spacing w:val="-2"/>
        </w:rPr>
        <w:t xml:space="preserve"> </w:t>
      </w:r>
      <w:r>
        <w:t>the</w:t>
      </w:r>
      <w:r>
        <w:rPr>
          <w:spacing w:val="-1"/>
        </w:rPr>
        <w:t xml:space="preserve"> </w:t>
      </w:r>
      <w:r>
        <w:t>2021</w:t>
      </w:r>
      <w:r>
        <w:rPr>
          <w:spacing w:val="-1"/>
        </w:rPr>
        <w:t xml:space="preserve"> </w:t>
      </w:r>
      <w:r>
        <w:t>Study. As</w:t>
      </w:r>
      <w:r>
        <w:rPr>
          <w:spacing w:val="-2"/>
        </w:rPr>
        <w:t xml:space="preserve"> </w:t>
      </w:r>
      <w:r>
        <w:t>Section</w:t>
      </w:r>
      <w:r>
        <w:rPr>
          <w:spacing w:val="-1"/>
        </w:rPr>
        <w:t xml:space="preserve"> </w:t>
      </w:r>
      <w:hyperlink w:history="1" w:anchor="_bookmark42">
        <w:r>
          <w:t>2.1.1.2</w:t>
        </w:r>
      </w:hyperlink>
      <w:r>
        <w:rPr>
          <w:spacing w:val="-1"/>
        </w:rPr>
        <w:t xml:space="preserve"> </w:t>
      </w:r>
      <w:r>
        <w:t>describes the</w:t>
      </w:r>
      <w:r>
        <w:rPr>
          <w:spacing w:val="-1"/>
        </w:rPr>
        <w:t xml:space="preserve"> </w:t>
      </w:r>
      <w:r>
        <w:t>technology</w:t>
      </w:r>
      <w:r>
        <w:rPr>
          <w:spacing w:val="-1"/>
        </w:rPr>
        <w:t xml:space="preserve"> </w:t>
      </w:r>
      <w:r>
        <w:t>levels</w:t>
      </w:r>
      <w:r>
        <w:rPr>
          <w:spacing w:val="-2"/>
        </w:rPr>
        <w:t xml:space="preserve"> </w:t>
      </w:r>
      <w:r>
        <w:t>within</w:t>
      </w:r>
      <w:r>
        <w:rPr>
          <w:spacing w:val="-1"/>
        </w:rPr>
        <w:t xml:space="preserve"> </w:t>
      </w:r>
      <w:r>
        <w:t>the technology group include existing baseline, c</w:t>
      </w:r>
      <w:r>
        <w:t>ode baseline, and the efficient result of a whole building initiative.</w:t>
      </w:r>
    </w:p>
    <w:p w:rsidR="00C31389" w:rsidRDefault="00C31389" w14:paraId="78F25AA7" w14:textId="77777777">
      <w:pPr>
        <w:pStyle w:val="BodyText"/>
        <w:spacing w:before="10"/>
        <w:rPr>
          <w:sz w:val="20"/>
        </w:rPr>
      </w:pPr>
    </w:p>
    <w:p w:rsidR="00C31389" w:rsidRDefault="00561FBD" w14:paraId="048CB4AE" w14:textId="77777777">
      <w:pPr>
        <w:pStyle w:val="Heading7"/>
        <w:ind w:left="565" w:right="566"/>
        <w:jc w:val="center"/>
      </w:pPr>
      <w:bookmarkStart w:name="_bookmark149" w:id="200"/>
      <w:bookmarkEnd w:id="200"/>
      <w:r>
        <w:t>Table</w:t>
      </w:r>
      <w:r>
        <w:rPr>
          <w:spacing w:val="-8"/>
        </w:rPr>
        <w:t xml:space="preserve"> </w:t>
      </w:r>
      <w:r>
        <w:t>3-19.</w:t>
      </w:r>
      <w:r>
        <w:rPr>
          <w:spacing w:val="-9"/>
        </w:rPr>
        <w:t xml:space="preserve"> </w:t>
      </w:r>
      <w:r>
        <w:t>Whole</w:t>
      </w:r>
      <w:r>
        <w:rPr>
          <w:spacing w:val="-8"/>
        </w:rPr>
        <w:t xml:space="preserve"> </w:t>
      </w:r>
      <w:r>
        <w:t>Building</w:t>
      </w:r>
      <w:r>
        <w:rPr>
          <w:spacing w:val="-7"/>
        </w:rPr>
        <w:t xml:space="preserve"> </w:t>
      </w:r>
      <w:r>
        <w:t>Technology</w:t>
      </w:r>
      <w:r>
        <w:rPr>
          <w:spacing w:val="-8"/>
        </w:rPr>
        <w:t xml:space="preserve"> </w:t>
      </w:r>
      <w:r>
        <w:rPr>
          <w:spacing w:val="-2"/>
        </w:rPr>
        <w:t>Levels</w:t>
      </w:r>
    </w:p>
    <w:p w:rsidR="00C31389" w:rsidRDefault="00C31389" w14:paraId="24FC1C01" w14:textId="77777777">
      <w:pPr>
        <w:pStyle w:val="BodyText"/>
        <w:spacing w:before="7"/>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2492"/>
        <w:gridCol w:w="3286"/>
        <w:gridCol w:w="3596"/>
      </w:tblGrid>
      <w:tr w:rsidR="00C31389" w14:paraId="623DF3EE" w14:textId="77777777">
        <w:trPr>
          <w:trHeight w:val="441"/>
        </w:trPr>
        <w:tc>
          <w:tcPr>
            <w:tcW w:w="2492" w:type="dxa"/>
            <w:shd w:val="clear" w:color="auto" w:fill="92D400"/>
          </w:tcPr>
          <w:p w:rsidR="00C31389" w:rsidRDefault="00561FBD" w14:paraId="76CB0CF4" w14:textId="77777777">
            <w:pPr>
              <w:pStyle w:val="TableParagraph"/>
              <w:spacing w:before="101"/>
              <w:ind w:left="129"/>
              <w:rPr>
                <w:b/>
                <w:sz w:val="20"/>
              </w:rPr>
            </w:pPr>
            <w:r>
              <w:rPr>
                <w:b/>
                <w:sz w:val="20"/>
              </w:rPr>
              <w:t>Technology</w:t>
            </w:r>
            <w:r>
              <w:rPr>
                <w:b/>
                <w:spacing w:val="-7"/>
                <w:sz w:val="20"/>
              </w:rPr>
              <w:t xml:space="preserve"> </w:t>
            </w:r>
            <w:r>
              <w:rPr>
                <w:b/>
                <w:spacing w:val="-2"/>
                <w:sz w:val="20"/>
              </w:rPr>
              <w:t>Group</w:t>
            </w:r>
          </w:p>
        </w:tc>
        <w:tc>
          <w:tcPr>
            <w:tcW w:w="3286" w:type="dxa"/>
            <w:shd w:val="clear" w:color="auto" w:fill="92D400"/>
          </w:tcPr>
          <w:p w:rsidR="00C31389" w:rsidRDefault="00561FBD" w14:paraId="66BCEE7D" w14:textId="77777777">
            <w:pPr>
              <w:pStyle w:val="TableParagraph"/>
              <w:spacing w:before="101"/>
              <w:ind w:left="115"/>
              <w:rPr>
                <w:b/>
                <w:sz w:val="20"/>
              </w:rPr>
            </w:pPr>
            <w:r>
              <w:rPr>
                <w:b/>
                <w:sz w:val="20"/>
              </w:rPr>
              <w:t>Residential</w:t>
            </w:r>
            <w:r>
              <w:rPr>
                <w:b/>
                <w:spacing w:val="-7"/>
                <w:sz w:val="20"/>
              </w:rPr>
              <w:t xml:space="preserve"> </w:t>
            </w:r>
            <w:r>
              <w:rPr>
                <w:b/>
                <w:sz w:val="20"/>
              </w:rPr>
              <w:t>Technology</w:t>
            </w:r>
            <w:r>
              <w:rPr>
                <w:b/>
                <w:spacing w:val="-5"/>
                <w:sz w:val="20"/>
              </w:rPr>
              <w:t xml:space="preserve"> </w:t>
            </w:r>
            <w:r>
              <w:rPr>
                <w:b/>
                <w:spacing w:val="-2"/>
                <w:sz w:val="20"/>
              </w:rPr>
              <w:t>Level</w:t>
            </w:r>
          </w:p>
        </w:tc>
        <w:tc>
          <w:tcPr>
            <w:tcW w:w="3596" w:type="dxa"/>
            <w:shd w:val="clear" w:color="auto" w:fill="92D400"/>
          </w:tcPr>
          <w:p w:rsidR="00C31389" w:rsidRDefault="00561FBD" w14:paraId="7916295E" w14:textId="77777777">
            <w:pPr>
              <w:pStyle w:val="TableParagraph"/>
              <w:spacing w:before="101"/>
              <w:ind w:left="270"/>
              <w:rPr>
                <w:b/>
                <w:sz w:val="20"/>
              </w:rPr>
            </w:pPr>
            <w:r>
              <w:rPr>
                <w:b/>
                <w:sz w:val="20"/>
              </w:rPr>
              <w:t>Commercial</w:t>
            </w:r>
            <w:r>
              <w:rPr>
                <w:b/>
                <w:spacing w:val="-7"/>
                <w:sz w:val="20"/>
              </w:rPr>
              <w:t xml:space="preserve"> </w:t>
            </w:r>
            <w:r>
              <w:rPr>
                <w:b/>
                <w:sz w:val="20"/>
              </w:rPr>
              <w:t>Technology</w:t>
            </w:r>
            <w:r>
              <w:rPr>
                <w:b/>
                <w:spacing w:val="-6"/>
                <w:sz w:val="20"/>
              </w:rPr>
              <w:t xml:space="preserve"> </w:t>
            </w:r>
            <w:r>
              <w:rPr>
                <w:b/>
                <w:spacing w:val="-2"/>
                <w:sz w:val="20"/>
              </w:rPr>
              <w:t>Level</w:t>
            </w:r>
          </w:p>
        </w:tc>
      </w:tr>
      <w:tr w:rsidR="00C31389" w14:paraId="3D222F63" w14:textId="77777777">
        <w:trPr>
          <w:trHeight w:val="310"/>
        </w:trPr>
        <w:tc>
          <w:tcPr>
            <w:tcW w:w="2492" w:type="dxa"/>
          </w:tcPr>
          <w:p w:rsidR="00C31389" w:rsidRDefault="00C31389" w14:paraId="7DC3EA2B" w14:textId="77777777">
            <w:pPr>
              <w:pStyle w:val="TableParagraph"/>
              <w:spacing w:before="0"/>
              <w:rPr>
                <w:rFonts w:ascii="Times New Roman"/>
                <w:sz w:val="20"/>
              </w:rPr>
            </w:pPr>
          </w:p>
        </w:tc>
        <w:tc>
          <w:tcPr>
            <w:tcW w:w="3286" w:type="dxa"/>
            <w:tcBorders>
              <w:bottom w:val="single" w:color="D9D9D9" w:sz="2" w:space="0"/>
            </w:tcBorders>
          </w:tcPr>
          <w:p w:rsidR="00C31389" w:rsidRDefault="00561FBD" w14:paraId="5FFB655C" w14:textId="77777777">
            <w:pPr>
              <w:pStyle w:val="TableParagraph"/>
              <w:ind w:left="115"/>
              <w:rPr>
                <w:sz w:val="20"/>
              </w:rPr>
            </w:pPr>
            <w:r>
              <w:rPr>
                <w:sz w:val="20"/>
              </w:rPr>
              <w:t>Title</w:t>
            </w:r>
            <w:r>
              <w:rPr>
                <w:spacing w:val="-2"/>
                <w:sz w:val="20"/>
              </w:rPr>
              <w:t xml:space="preserve"> </w:t>
            </w:r>
            <w:r>
              <w:rPr>
                <w:sz w:val="20"/>
              </w:rPr>
              <w:t>24</w:t>
            </w:r>
            <w:r>
              <w:rPr>
                <w:spacing w:val="-3"/>
                <w:sz w:val="20"/>
              </w:rPr>
              <w:t xml:space="preserve"> </w:t>
            </w:r>
            <w:r>
              <w:rPr>
                <w:sz w:val="20"/>
              </w:rPr>
              <w:t>2016</w:t>
            </w:r>
            <w:r>
              <w:rPr>
                <w:spacing w:val="-2"/>
                <w:sz w:val="20"/>
              </w:rPr>
              <w:t xml:space="preserve"> </w:t>
            </w:r>
            <w:r>
              <w:rPr>
                <w:spacing w:val="-4"/>
                <w:sz w:val="20"/>
              </w:rPr>
              <w:t>Code</w:t>
            </w:r>
          </w:p>
        </w:tc>
        <w:tc>
          <w:tcPr>
            <w:tcW w:w="3596" w:type="dxa"/>
            <w:tcBorders>
              <w:bottom w:val="single" w:color="D9D9D9" w:sz="2" w:space="0"/>
            </w:tcBorders>
          </w:tcPr>
          <w:p w:rsidR="00C31389" w:rsidRDefault="00561FBD" w14:paraId="4A6C706F" w14:textId="77777777">
            <w:pPr>
              <w:pStyle w:val="TableParagraph"/>
              <w:ind w:left="270"/>
              <w:rPr>
                <w:sz w:val="20"/>
              </w:rPr>
            </w:pPr>
            <w:r>
              <w:rPr>
                <w:sz w:val="20"/>
              </w:rPr>
              <w:t>Title</w:t>
            </w:r>
            <w:r>
              <w:rPr>
                <w:spacing w:val="-2"/>
                <w:sz w:val="20"/>
              </w:rPr>
              <w:t xml:space="preserve"> </w:t>
            </w:r>
            <w:r>
              <w:rPr>
                <w:sz w:val="20"/>
              </w:rPr>
              <w:t>24</w:t>
            </w:r>
            <w:r>
              <w:rPr>
                <w:spacing w:val="-3"/>
                <w:sz w:val="20"/>
              </w:rPr>
              <w:t xml:space="preserve"> </w:t>
            </w:r>
            <w:r>
              <w:rPr>
                <w:sz w:val="20"/>
              </w:rPr>
              <w:t>2016</w:t>
            </w:r>
            <w:r>
              <w:rPr>
                <w:spacing w:val="-2"/>
                <w:sz w:val="20"/>
              </w:rPr>
              <w:t xml:space="preserve"> </w:t>
            </w:r>
            <w:r>
              <w:rPr>
                <w:spacing w:val="-4"/>
                <w:sz w:val="20"/>
              </w:rPr>
              <w:t>Code</w:t>
            </w:r>
          </w:p>
        </w:tc>
      </w:tr>
      <w:tr w:rsidR="00C31389" w14:paraId="70436FDA" w14:textId="77777777">
        <w:trPr>
          <w:trHeight w:val="309"/>
        </w:trPr>
        <w:tc>
          <w:tcPr>
            <w:tcW w:w="2492" w:type="dxa"/>
          </w:tcPr>
          <w:p w:rsidR="00C31389" w:rsidRDefault="00561FBD" w14:paraId="6380B35E" w14:textId="77777777">
            <w:pPr>
              <w:pStyle w:val="TableParagraph"/>
              <w:ind w:left="129"/>
              <w:rPr>
                <w:b/>
                <w:sz w:val="20"/>
              </w:rPr>
            </w:pPr>
            <w:r>
              <w:rPr>
                <w:b/>
                <w:sz w:val="20"/>
              </w:rPr>
              <w:t>New</w:t>
            </w:r>
            <w:r>
              <w:rPr>
                <w:b/>
                <w:spacing w:val="-2"/>
                <w:sz w:val="20"/>
              </w:rPr>
              <w:t xml:space="preserve"> Construction</w:t>
            </w:r>
          </w:p>
        </w:tc>
        <w:tc>
          <w:tcPr>
            <w:tcW w:w="3286" w:type="dxa"/>
            <w:tcBorders>
              <w:top w:val="single" w:color="D9D9D9" w:sz="2" w:space="0"/>
              <w:bottom w:val="single" w:color="D9D9D9" w:sz="2" w:space="0"/>
            </w:tcBorders>
          </w:tcPr>
          <w:p w:rsidR="00C31389" w:rsidRDefault="00561FBD" w14:paraId="5B6E0526" w14:textId="77777777">
            <w:pPr>
              <w:pStyle w:val="TableParagraph"/>
              <w:ind w:left="115"/>
              <w:rPr>
                <w:sz w:val="20"/>
              </w:rPr>
            </w:pPr>
            <w:r>
              <w:rPr>
                <w:sz w:val="20"/>
              </w:rPr>
              <w:t>Title</w:t>
            </w:r>
            <w:r>
              <w:rPr>
                <w:spacing w:val="-2"/>
                <w:sz w:val="20"/>
              </w:rPr>
              <w:t xml:space="preserve"> </w:t>
            </w:r>
            <w:r>
              <w:rPr>
                <w:sz w:val="20"/>
              </w:rPr>
              <w:t>24</w:t>
            </w:r>
            <w:r>
              <w:rPr>
                <w:spacing w:val="-3"/>
                <w:sz w:val="20"/>
              </w:rPr>
              <w:t xml:space="preserve"> </w:t>
            </w:r>
            <w:r>
              <w:rPr>
                <w:sz w:val="20"/>
              </w:rPr>
              <w:t>2019</w:t>
            </w:r>
            <w:r>
              <w:rPr>
                <w:spacing w:val="-2"/>
                <w:sz w:val="20"/>
              </w:rPr>
              <w:t xml:space="preserve"> </w:t>
            </w:r>
            <w:r>
              <w:rPr>
                <w:spacing w:val="-4"/>
                <w:sz w:val="20"/>
              </w:rPr>
              <w:t>Code</w:t>
            </w:r>
          </w:p>
        </w:tc>
        <w:tc>
          <w:tcPr>
            <w:tcW w:w="3596" w:type="dxa"/>
            <w:tcBorders>
              <w:top w:val="single" w:color="D9D9D9" w:sz="2" w:space="0"/>
              <w:bottom w:val="single" w:color="D9D9D9" w:sz="2" w:space="0"/>
            </w:tcBorders>
          </w:tcPr>
          <w:p w:rsidR="00C31389" w:rsidRDefault="00561FBD" w14:paraId="26C86124" w14:textId="77777777">
            <w:pPr>
              <w:pStyle w:val="TableParagraph"/>
              <w:ind w:left="270"/>
              <w:rPr>
                <w:sz w:val="20"/>
              </w:rPr>
            </w:pPr>
            <w:r>
              <w:rPr>
                <w:sz w:val="20"/>
              </w:rPr>
              <w:t>Title</w:t>
            </w:r>
            <w:r>
              <w:rPr>
                <w:spacing w:val="-2"/>
                <w:sz w:val="20"/>
              </w:rPr>
              <w:t xml:space="preserve"> </w:t>
            </w:r>
            <w:r>
              <w:rPr>
                <w:sz w:val="20"/>
              </w:rPr>
              <w:t>24</w:t>
            </w:r>
            <w:r>
              <w:rPr>
                <w:spacing w:val="-3"/>
                <w:sz w:val="20"/>
              </w:rPr>
              <w:t xml:space="preserve"> </w:t>
            </w:r>
            <w:r>
              <w:rPr>
                <w:sz w:val="20"/>
              </w:rPr>
              <w:t>2019</w:t>
            </w:r>
            <w:r>
              <w:rPr>
                <w:spacing w:val="-2"/>
                <w:sz w:val="20"/>
              </w:rPr>
              <w:t xml:space="preserve"> </w:t>
            </w:r>
            <w:r>
              <w:rPr>
                <w:spacing w:val="-4"/>
                <w:sz w:val="20"/>
              </w:rPr>
              <w:t>Code</w:t>
            </w:r>
          </w:p>
        </w:tc>
      </w:tr>
      <w:tr w:rsidR="00C31389" w14:paraId="2C46FE0A" w14:textId="77777777">
        <w:trPr>
          <w:trHeight w:val="310"/>
        </w:trPr>
        <w:tc>
          <w:tcPr>
            <w:tcW w:w="2492" w:type="dxa"/>
            <w:tcBorders>
              <w:bottom w:val="single" w:color="000000" w:sz="4" w:space="0"/>
            </w:tcBorders>
          </w:tcPr>
          <w:p w:rsidR="00C31389" w:rsidRDefault="00C31389" w14:paraId="6626ECDD" w14:textId="77777777">
            <w:pPr>
              <w:pStyle w:val="TableParagraph"/>
              <w:spacing w:before="0"/>
              <w:rPr>
                <w:rFonts w:ascii="Times New Roman"/>
                <w:sz w:val="20"/>
              </w:rPr>
            </w:pPr>
          </w:p>
        </w:tc>
        <w:tc>
          <w:tcPr>
            <w:tcW w:w="3286" w:type="dxa"/>
            <w:tcBorders>
              <w:top w:val="single" w:color="D9D9D9" w:sz="2" w:space="0"/>
              <w:bottom w:val="single" w:color="000000" w:sz="4" w:space="0"/>
            </w:tcBorders>
          </w:tcPr>
          <w:p w:rsidR="00C31389" w:rsidRDefault="00561FBD" w14:paraId="7E59BF0F" w14:textId="77777777">
            <w:pPr>
              <w:pStyle w:val="TableParagraph"/>
              <w:ind w:left="115"/>
              <w:rPr>
                <w:sz w:val="20"/>
              </w:rPr>
            </w:pPr>
            <w:r>
              <w:rPr>
                <w:sz w:val="20"/>
              </w:rPr>
              <w:t>Zero</w:t>
            </w:r>
            <w:r>
              <w:rPr>
                <w:spacing w:val="-2"/>
                <w:sz w:val="20"/>
              </w:rPr>
              <w:t xml:space="preserve"> </w:t>
            </w:r>
            <w:r>
              <w:rPr>
                <w:sz w:val="20"/>
              </w:rPr>
              <w:t>Net</w:t>
            </w:r>
            <w:r>
              <w:rPr>
                <w:spacing w:val="-1"/>
                <w:sz w:val="20"/>
              </w:rPr>
              <w:t xml:space="preserve"> </w:t>
            </w:r>
            <w:r>
              <w:rPr>
                <w:spacing w:val="-2"/>
                <w:sz w:val="20"/>
              </w:rPr>
              <w:t>Energy</w:t>
            </w:r>
          </w:p>
        </w:tc>
        <w:tc>
          <w:tcPr>
            <w:tcW w:w="3596" w:type="dxa"/>
            <w:tcBorders>
              <w:top w:val="single" w:color="D9D9D9" w:sz="2" w:space="0"/>
              <w:bottom w:val="single" w:color="000000" w:sz="4" w:space="0"/>
            </w:tcBorders>
          </w:tcPr>
          <w:p w:rsidR="00C31389" w:rsidRDefault="00561FBD" w14:paraId="5403AE6A" w14:textId="77777777">
            <w:pPr>
              <w:pStyle w:val="TableParagraph"/>
              <w:ind w:left="269"/>
              <w:rPr>
                <w:sz w:val="20"/>
              </w:rPr>
            </w:pPr>
            <w:r>
              <w:rPr>
                <w:sz w:val="20"/>
              </w:rPr>
              <w:t>Zero</w:t>
            </w:r>
            <w:r>
              <w:rPr>
                <w:spacing w:val="-2"/>
                <w:sz w:val="20"/>
              </w:rPr>
              <w:t xml:space="preserve"> </w:t>
            </w:r>
            <w:r>
              <w:rPr>
                <w:sz w:val="20"/>
              </w:rPr>
              <w:t>Net</w:t>
            </w:r>
            <w:r>
              <w:rPr>
                <w:spacing w:val="-1"/>
                <w:sz w:val="20"/>
              </w:rPr>
              <w:t xml:space="preserve"> </w:t>
            </w:r>
            <w:r>
              <w:rPr>
                <w:spacing w:val="-2"/>
                <w:sz w:val="20"/>
              </w:rPr>
              <w:t>Energy</w:t>
            </w:r>
          </w:p>
        </w:tc>
      </w:tr>
      <w:tr w:rsidR="00C31389" w14:paraId="2B6535EC" w14:textId="77777777">
        <w:trPr>
          <w:trHeight w:val="309"/>
        </w:trPr>
        <w:tc>
          <w:tcPr>
            <w:tcW w:w="2492" w:type="dxa"/>
            <w:tcBorders>
              <w:top w:val="single" w:color="000000" w:sz="4" w:space="0"/>
            </w:tcBorders>
          </w:tcPr>
          <w:p w:rsidR="00C31389" w:rsidRDefault="00C31389" w14:paraId="3A8C7DD4" w14:textId="77777777">
            <w:pPr>
              <w:pStyle w:val="TableParagraph"/>
              <w:spacing w:before="0"/>
              <w:rPr>
                <w:rFonts w:ascii="Times New Roman"/>
                <w:sz w:val="20"/>
              </w:rPr>
            </w:pPr>
          </w:p>
        </w:tc>
        <w:tc>
          <w:tcPr>
            <w:tcW w:w="3286" w:type="dxa"/>
            <w:tcBorders>
              <w:top w:val="single" w:color="000000" w:sz="4" w:space="0"/>
              <w:bottom w:val="single" w:color="D9D9D9" w:sz="2" w:space="0"/>
            </w:tcBorders>
          </w:tcPr>
          <w:p w:rsidR="00C31389" w:rsidRDefault="00561FBD" w14:paraId="3AC410B2" w14:textId="77777777">
            <w:pPr>
              <w:pStyle w:val="TableParagraph"/>
              <w:ind w:left="115"/>
              <w:rPr>
                <w:sz w:val="20"/>
              </w:rPr>
            </w:pPr>
            <w:r>
              <w:rPr>
                <w:sz w:val="20"/>
              </w:rPr>
              <w:t>Existing</w:t>
            </w:r>
            <w:r>
              <w:rPr>
                <w:spacing w:val="-4"/>
                <w:sz w:val="20"/>
              </w:rPr>
              <w:t xml:space="preserve"> </w:t>
            </w:r>
            <w:r>
              <w:rPr>
                <w:sz w:val="20"/>
              </w:rPr>
              <w:t>Building</w:t>
            </w:r>
            <w:r>
              <w:rPr>
                <w:spacing w:val="-4"/>
                <w:sz w:val="20"/>
              </w:rPr>
              <w:t xml:space="preserve"> </w:t>
            </w:r>
            <w:r>
              <w:rPr>
                <w:sz w:val="20"/>
              </w:rPr>
              <w:t>–</w:t>
            </w:r>
            <w:r>
              <w:rPr>
                <w:spacing w:val="-4"/>
                <w:sz w:val="20"/>
              </w:rPr>
              <w:t xml:space="preserve"> </w:t>
            </w:r>
            <w:r>
              <w:rPr>
                <w:sz w:val="20"/>
              </w:rPr>
              <w:t>No</w:t>
            </w:r>
            <w:r>
              <w:rPr>
                <w:spacing w:val="-4"/>
                <w:sz w:val="20"/>
              </w:rPr>
              <w:t xml:space="preserve"> </w:t>
            </w:r>
            <w:r>
              <w:rPr>
                <w:spacing w:val="-2"/>
                <w:sz w:val="20"/>
              </w:rPr>
              <w:t>Retrofit</w:t>
            </w:r>
          </w:p>
        </w:tc>
        <w:tc>
          <w:tcPr>
            <w:tcW w:w="3596" w:type="dxa"/>
            <w:tcBorders>
              <w:top w:val="single" w:color="000000" w:sz="4" w:space="0"/>
              <w:bottom w:val="single" w:color="D9D9D9" w:sz="2" w:space="0"/>
            </w:tcBorders>
          </w:tcPr>
          <w:p w:rsidR="00C31389" w:rsidRDefault="00561FBD" w14:paraId="0EC15EF9" w14:textId="77777777">
            <w:pPr>
              <w:pStyle w:val="TableParagraph"/>
              <w:ind w:left="269"/>
              <w:rPr>
                <w:sz w:val="20"/>
              </w:rPr>
            </w:pPr>
            <w:r>
              <w:rPr>
                <w:sz w:val="20"/>
              </w:rPr>
              <w:t>-</w:t>
            </w:r>
          </w:p>
        </w:tc>
      </w:tr>
      <w:tr w:rsidR="00C31389" w14:paraId="03B14EDD" w14:textId="77777777">
        <w:trPr>
          <w:trHeight w:val="310"/>
        </w:trPr>
        <w:tc>
          <w:tcPr>
            <w:tcW w:w="2492" w:type="dxa"/>
          </w:tcPr>
          <w:p w:rsidR="00C31389" w:rsidRDefault="00561FBD" w14:paraId="64D272CD" w14:textId="77777777">
            <w:pPr>
              <w:pStyle w:val="TableParagraph"/>
              <w:ind w:left="129"/>
              <w:rPr>
                <w:b/>
                <w:sz w:val="20"/>
              </w:rPr>
            </w:pPr>
            <w:r>
              <w:rPr>
                <w:b/>
                <w:spacing w:val="-2"/>
                <w:sz w:val="20"/>
              </w:rPr>
              <w:t>Retrofit</w:t>
            </w:r>
          </w:p>
        </w:tc>
        <w:tc>
          <w:tcPr>
            <w:tcW w:w="3286" w:type="dxa"/>
            <w:tcBorders>
              <w:top w:val="single" w:color="D9D9D9" w:sz="2" w:space="0"/>
              <w:bottom w:val="single" w:color="D9D9D9" w:sz="2" w:space="0"/>
            </w:tcBorders>
          </w:tcPr>
          <w:p w:rsidR="00C31389" w:rsidRDefault="00561FBD" w14:paraId="788B1B07" w14:textId="77777777">
            <w:pPr>
              <w:pStyle w:val="TableParagraph"/>
              <w:ind w:left="115"/>
              <w:rPr>
                <w:sz w:val="20"/>
              </w:rPr>
            </w:pPr>
            <w:r>
              <w:rPr>
                <w:sz w:val="20"/>
              </w:rPr>
              <w:t>Energy</w:t>
            </w:r>
            <w:r>
              <w:rPr>
                <w:spacing w:val="-4"/>
                <w:sz w:val="20"/>
              </w:rPr>
              <w:t xml:space="preserve"> </w:t>
            </w:r>
            <w:r>
              <w:rPr>
                <w:sz w:val="20"/>
              </w:rPr>
              <w:t>Upgrade</w:t>
            </w:r>
            <w:r>
              <w:rPr>
                <w:spacing w:val="-2"/>
                <w:sz w:val="20"/>
              </w:rPr>
              <w:t xml:space="preserve"> </w:t>
            </w:r>
            <w:r>
              <w:rPr>
                <w:sz w:val="20"/>
              </w:rPr>
              <w:t>CA</w:t>
            </w:r>
            <w:r>
              <w:rPr>
                <w:spacing w:val="-2"/>
                <w:sz w:val="20"/>
              </w:rPr>
              <w:t xml:space="preserve"> </w:t>
            </w:r>
            <w:r>
              <w:rPr>
                <w:sz w:val="20"/>
              </w:rPr>
              <w:t>–</w:t>
            </w:r>
            <w:r>
              <w:rPr>
                <w:spacing w:val="-2"/>
                <w:sz w:val="20"/>
              </w:rPr>
              <w:t xml:space="preserve"> </w:t>
            </w:r>
            <w:r>
              <w:rPr>
                <w:spacing w:val="-4"/>
                <w:sz w:val="20"/>
              </w:rPr>
              <w:t>Basic</w:t>
            </w:r>
          </w:p>
        </w:tc>
        <w:tc>
          <w:tcPr>
            <w:tcW w:w="3596" w:type="dxa"/>
            <w:tcBorders>
              <w:top w:val="single" w:color="D9D9D9" w:sz="2" w:space="0"/>
              <w:bottom w:val="single" w:color="D9D9D9" w:sz="2" w:space="0"/>
            </w:tcBorders>
          </w:tcPr>
          <w:p w:rsidR="00C31389" w:rsidRDefault="00561FBD" w14:paraId="0B98E5B7" w14:textId="77777777">
            <w:pPr>
              <w:pStyle w:val="TableParagraph"/>
              <w:ind w:left="270"/>
              <w:rPr>
                <w:sz w:val="20"/>
              </w:rPr>
            </w:pPr>
            <w:r>
              <w:rPr>
                <w:sz w:val="20"/>
              </w:rPr>
              <w:t>-</w:t>
            </w:r>
          </w:p>
        </w:tc>
      </w:tr>
      <w:tr w:rsidR="00C31389" w14:paraId="53326B62" w14:textId="77777777">
        <w:trPr>
          <w:trHeight w:val="310"/>
        </w:trPr>
        <w:tc>
          <w:tcPr>
            <w:tcW w:w="2492" w:type="dxa"/>
            <w:tcBorders>
              <w:bottom w:val="single" w:color="000000" w:sz="8" w:space="0"/>
            </w:tcBorders>
          </w:tcPr>
          <w:p w:rsidR="00C31389" w:rsidRDefault="00C31389" w14:paraId="442B1C4C" w14:textId="77777777">
            <w:pPr>
              <w:pStyle w:val="TableParagraph"/>
              <w:spacing w:before="0"/>
              <w:rPr>
                <w:rFonts w:ascii="Times New Roman"/>
                <w:sz w:val="20"/>
              </w:rPr>
            </w:pPr>
          </w:p>
        </w:tc>
        <w:tc>
          <w:tcPr>
            <w:tcW w:w="3286" w:type="dxa"/>
            <w:tcBorders>
              <w:top w:val="single" w:color="D9D9D9" w:sz="2" w:space="0"/>
              <w:bottom w:val="single" w:color="000000" w:sz="8" w:space="0"/>
            </w:tcBorders>
          </w:tcPr>
          <w:p w:rsidR="00C31389" w:rsidRDefault="00561FBD" w14:paraId="44E9694C" w14:textId="77777777">
            <w:pPr>
              <w:pStyle w:val="TableParagraph"/>
              <w:ind w:left="115"/>
              <w:rPr>
                <w:sz w:val="20"/>
              </w:rPr>
            </w:pPr>
            <w:r>
              <w:rPr>
                <w:sz w:val="20"/>
              </w:rPr>
              <w:t>Energy</w:t>
            </w:r>
            <w:r>
              <w:rPr>
                <w:spacing w:val="-2"/>
                <w:sz w:val="20"/>
              </w:rPr>
              <w:t xml:space="preserve"> </w:t>
            </w:r>
            <w:r>
              <w:rPr>
                <w:sz w:val="20"/>
              </w:rPr>
              <w:t>Upgrade</w:t>
            </w:r>
            <w:r>
              <w:rPr>
                <w:spacing w:val="-2"/>
                <w:sz w:val="20"/>
              </w:rPr>
              <w:t xml:space="preserve"> </w:t>
            </w:r>
            <w:r>
              <w:rPr>
                <w:sz w:val="20"/>
              </w:rPr>
              <w:t>CA</w:t>
            </w:r>
            <w:r>
              <w:rPr>
                <w:spacing w:val="-3"/>
                <w:sz w:val="20"/>
              </w:rPr>
              <w:t xml:space="preserve"> </w:t>
            </w:r>
            <w:r>
              <w:rPr>
                <w:sz w:val="20"/>
              </w:rPr>
              <w:t>–</w:t>
            </w:r>
            <w:r>
              <w:rPr>
                <w:spacing w:val="-2"/>
                <w:sz w:val="20"/>
              </w:rPr>
              <w:t xml:space="preserve"> Advanced</w:t>
            </w:r>
          </w:p>
        </w:tc>
        <w:tc>
          <w:tcPr>
            <w:tcW w:w="3596" w:type="dxa"/>
            <w:tcBorders>
              <w:top w:val="single" w:color="D9D9D9" w:sz="2" w:space="0"/>
              <w:bottom w:val="single" w:color="000000" w:sz="8" w:space="0"/>
            </w:tcBorders>
          </w:tcPr>
          <w:p w:rsidR="00C31389" w:rsidRDefault="00561FBD" w14:paraId="497972B5" w14:textId="77777777">
            <w:pPr>
              <w:pStyle w:val="TableParagraph"/>
              <w:ind w:left="325"/>
              <w:rPr>
                <w:sz w:val="20"/>
              </w:rPr>
            </w:pPr>
            <w:r>
              <w:rPr>
                <w:sz w:val="20"/>
              </w:rPr>
              <w:t>-</w:t>
            </w:r>
          </w:p>
        </w:tc>
      </w:tr>
    </w:tbl>
    <w:p w:rsidR="00C31389" w:rsidRDefault="00561FBD" w14:paraId="504E8271" w14:textId="77777777">
      <w:pPr>
        <w:spacing w:before="73"/>
        <w:ind w:left="480"/>
        <w:rPr>
          <w:i/>
          <w:sz w:val="18"/>
        </w:rPr>
      </w:pPr>
      <w:r>
        <w:rPr>
          <w:i/>
          <w:sz w:val="18"/>
        </w:rPr>
        <w:t>Source:</w:t>
      </w:r>
      <w:r>
        <w:rPr>
          <w:i/>
          <w:spacing w:val="-4"/>
          <w:sz w:val="18"/>
        </w:rPr>
        <w:t xml:space="preserve"> </w:t>
      </w:r>
      <w:r>
        <w:rPr>
          <w:i/>
          <w:spacing w:val="-2"/>
          <w:sz w:val="18"/>
        </w:rPr>
        <w:t>Guidehouse</w:t>
      </w:r>
    </w:p>
    <w:p w:rsidR="00C31389" w:rsidRDefault="00C31389" w14:paraId="6EEEFBD8" w14:textId="77777777">
      <w:pPr>
        <w:pStyle w:val="BodyText"/>
        <w:spacing w:before="9"/>
        <w:rPr>
          <w:i/>
          <w:sz w:val="20"/>
        </w:rPr>
      </w:pPr>
    </w:p>
    <w:p w:rsidR="00C31389" w:rsidRDefault="00561FBD" w14:paraId="614082A8" w14:textId="77777777">
      <w:pPr>
        <w:pStyle w:val="BodyText"/>
        <w:ind w:left="480" w:right="485"/>
      </w:pPr>
      <w:r>
        <w:t>The</w:t>
      </w:r>
      <w:r>
        <w:rPr>
          <w:spacing w:val="-3"/>
        </w:rPr>
        <w:t xml:space="preserve"> </w:t>
      </w:r>
      <w:r>
        <w:t>following</w:t>
      </w:r>
      <w:r>
        <w:rPr>
          <w:spacing w:val="-3"/>
        </w:rPr>
        <w:t xml:space="preserve"> </w:t>
      </w:r>
      <w:r>
        <w:t>sections</w:t>
      </w:r>
      <w:r>
        <w:rPr>
          <w:spacing w:val="-3"/>
        </w:rPr>
        <w:t xml:space="preserve"> </w:t>
      </w:r>
      <w:r>
        <w:t>discuss</w:t>
      </w:r>
      <w:r>
        <w:rPr>
          <w:spacing w:val="-4"/>
        </w:rPr>
        <w:t xml:space="preserve"> </w:t>
      </w:r>
      <w:r>
        <w:t>the</w:t>
      </w:r>
      <w:r>
        <w:rPr>
          <w:spacing w:val="-3"/>
        </w:rPr>
        <w:t xml:space="preserve"> </w:t>
      </w:r>
      <w:r>
        <w:t>technology</w:t>
      </w:r>
      <w:r>
        <w:rPr>
          <w:spacing w:val="-3"/>
        </w:rPr>
        <w:t xml:space="preserve"> </w:t>
      </w:r>
      <w:r>
        <w:t>levels</w:t>
      </w:r>
      <w:r>
        <w:rPr>
          <w:spacing w:val="-3"/>
        </w:rPr>
        <w:t xml:space="preserve"> </w:t>
      </w:r>
      <w:r>
        <w:t>used</w:t>
      </w:r>
      <w:r>
        <w:rPr>
          <w:spacing w:val="-3"/>
        </w:rPr>
        <w:t xml:space="preserve"> </w:t>
      </w:r>
      <w:r>
        <w:t>by</w:t>
      </w:r>
      <w:r>
        <w:rPr>
          <w:spacing w:val="-4"/>
        </w:rPr>
        <w:t xml:space="preserve"> </w:t>
      </w:r>
      <w:r>
        <w:t>technology</w:t>
      </w:r>
      <w:r>
        <w:rPr>
          <w:spacing w:val="-4"/>
        </w:rPr>
        <w:t xml:space="preserve"> </w:t>
      </w:r>
      <w:r>
        <w:t>group.</w:t>
      </w:r>
      <w:r>
        <w:rPr>
          <w:spacing w:val="-2"/>
        </w:rPr>
        <w:t xml:space="preserve"> </w:t>
      </w:r>
      <w:r>
        <w:t>The</w:t>
      </w:r>
      <w:r>
        <w:rPr>
          <w:spacing w:val="-3"/>
        </w:rPr>
        <w:t xml:space="preserve"> </w:t>
      </w:r>
      <w:r>
        <w:t>final</w:t>
      </w:r>
      <w:r>
        <w:rPr>
          <w:spacing w:val="-3"/>
        </w:rPr>
        <w:t xml:space="preserve"> </w:t>
      </w:r>
      <w:r>
        <w:t>values for savings, cost, measure life, and other key model inputs can be found in the measure characterization spreadsheet.</w:t>
      </w:r>
    </w:p>
    <w:p w:rsidR="00C31389" w:rsidRDefault="00C31389" w14:paraId="02E1442C" w14:textId="77777777">
      <w:pPr>
        <w:pStyle w:val="BodyText"/>
        <w:spacing w:before="4"/>
        <w:rPr>
          <w:sz w:val="31"/>
        </w:rPr>
      </w:pPr>
    </w:p>
    <w:p w:rsidR="00C31389" w:rsidRDefault="00561FBD" w14:paraId="1700F6FF" w14:textId="77777777">
      <w:pPr>
        <w:pStyle w:val="Heading4"/>
        <w:numPr>
          <w:ilvl w:val="2"/>
          <w:numId w:val="71"/>
        </w:numPr>
        <w:tabs>
          <w:tab w:val="left" w:pos="1076"/>
        </w:tabs>
        <w:ind w:left="1076" w:hanging="596"/>
      </w:pPr>
      <w:bookmarkStart w:name="3.4.1_New_Construction" w:id="201"/>
      <w:bookmarkStart w:name="_bookmark150" w:id="202"/>
      <w:bookmarkEnd w:id="201"/>
      <w:bookmarkEnd w:id="202"/>
      <w:r>
        <w:t>New</w:t>
      </w:r>
      <w:r>
        <w:rPr>
          <w:spacing w:val="-1"/>
        </w:rPr>
        <w:t xml:space="preserve"> </w:t>
      </w:r>
      <w:r>
        <w:rPr>
          <w:spacing w:val="-2"/>
        </w:rPr>
        <w:t>Construction</w:t>
      </w:r>
    </w:p>
    <w:p w:rsidR="00C31389" w:rsidRDefault="00C31389" w14:paraId="1B105228" w14:textId="77777777">
      <w:pPr>
        <w:pStyle w:val="BodyText"/>
        <w:spacing w:before="10"/>
        <w:rPr>
          <w:b/>
          <w:sz w:val="20"/>
        </w:rPr>
      </w:pPr>
    </w:p>
    <w:p w:rsidR="00C31389" w:rsidRDefault="00561FBD" w14:paraId="5C2C97E1" w14:textId="77777777">
      <w:pPr>
        <w:pStyle w:val="BodyText"/>
        <w:ind w:left="479" w:right="533"/>
      </w:pPr>
      <w:r>
        <w:t>The</w:t>
      </w:r>
      <w:r>
        <w:rPr>
          <w:spacing w:val="-3"/>
        </w:rPr>
        <w:t xml:space="preserve"> </w:t>
      </w:r>
      <w:r>
        <w:t>teams</w:t>
      </w:r>
      <w:r>
        <w:rPr>
          <w:spacing w:val="-3"/>
        </w:rPr>
        <w:t xml:space="preserve"> </w:t>
      </w:r>
      <w:r>
        <w:t>used</w:t>
      </w:r>
      <w:r>
        <w:rPr>
          <w:spacing w:val="-3"/>
        </w:rPr>
        <w:t xml:space="preserve"> </w:t>
      </w:r>
      <w:r>
        <w:t>the</w:t>
      </w:r>
      <w:r>
        <w:rPr>
          <w:spacing w:val="-3"/>
        </w:rPr>
        <w:t xml:space="preserve"> </w:t>
      </w:r>
      <w:r>
        <w:t>new</w:t>
      </w:r>
      <w:r>
        <w:rPr>
          <w:spacing w:val="-4"/>
        </w:rPr>
        <w:t xml:space="preserve"> </w:t>
      </w:r>
      <w:r>
        <w:t>construction</w:t>
      </w:r>
      <w:r>
        <w:rPr>
          <w:spacing w:val="-3"/>
        </w:rPr>
        <w:t xml:space="preserve"> </w:t>
      </w:r>
      <w:r>
        <w:t>whole</w:t>
      </w:r>
      <w:r>
        <w:rPr>
          <w:spacing w:val="-3"/>
        </w:rPr>
        <w:t xml:space="preserve"> </w:t>
      </w:r>
      <w:r>
        <w:t>building</w:t>
      </w:r>
      <w:r>
        <w:rPr>
          <w:spacing w:val="-3"/>
        </w:rPr>
        <w:t xml:space="preserve"> </w:t>
      </w:r>
      <w:r>
        <w:t>technology</w:t>
      </w:r>
      <w:r>
        <w:rPr>
          <w:spacing w:val="-3"/>
        </w:rPr>
        <w:t xml:space="preserve"> </w:t>
      </w:r>
      <w:r>
        <w:t>group</w:t>
      </w:r>
      <w:r>
        <w:rPr>
          <w:spacing w:val="-3"/>
        </w:rPr>
        <w:t xml:space="preserve"> </w:t>
      </w:r>
      <w:r>
        <w:t>to</w:t>
      </w:r>
      <w:r>
        <w:rPr>
          <w:spacing w:val="-4"/>
        </w:rPr>
        <w:t xml:space="preserve"> </w:t>
      </w:r>
      <w:r>
        <w:t>analyze</w:t>
      </w:r>
      <w:r>
        <w:rPr>
          <w:spacing w:val="-3"/>
        </w:rPr>
        <w:t xml:space="preserve"> </w:t>
      </w:r>
      <w:r>
        <w:t>the</w:t>
      </w:r>
      <w:r>
        <w:rPr>
          <w:spacing w:val="-4"/>
        </w:rPr>
        <w:t xml:space="preserve"> </w:t>
      </w:r>
      <w:r>
        <w:t>potential for new construction programs increasing adoption of building above code. The Guidehouse team analyzed the following efficiency levels for new construction:</w:t>
      </w:r>
    </w:p>
    <w:p w:rsidR="00C31389" w:rsidRDefault="00561FBD" w14:paraId="35CB7A4A" w14:textId="77777777">
      <w:pPr>
        <w:pStyle w:val="ListParagraph"/>
        <w:numPr>
          <w:ilvl w:val="0"/>
          <w:numId w:val="46"/>
        </w:numPr>
        <w:tabs>
          <w:tab w:val="left" w:pos="1199"/>
        </w:tabs>
        <w:spacing w:before="119"/>
        <w:ind w:right="939"/>
      </w:pPr>
      <w:r>
        <w:t>Consistent</w:t>
      </w:r>
      <w:r>
        <w:rPr>
          <w:spacing w:val="-4"/>
        </w:rPr>
        <w:t xml:space="preserve"> </w:t>
      </w:r>
      <w:r>
        <w:t>with</w:t>
      </w:r>
      <w:r>
        <w:rPr>
          <w:spacing w:val="-3"/>
        </w:rPr>
        <w:t xml:space="preserve"> </w:t>
      </w:r>
      <w:r>
        <w:t>the</w:t>
      </w:r>
      <w:r>
        <w:rPr>
          <w:spacing w:val="-3"/>
        </w:rPr>
        <w:t xml:space="preserve"> </w:t>
      </w:r>
      <w:r>
        <w:t>Title</w:t>
      </w:r>
      <w:r>
        <w:rPr>
          <w:spacing w:val="-3"/>
        </w:rPr>
        <w:t xml:space="preserve"> </w:t>
      </w:r>
      <w:r>
        <w:t>24-2016</w:t>
      </w:r>
      <w:r>
        <w:rPr>
          <w:spacing w:val="-3"/>
        </w:rPr>
        <w:t xml:space="preserve"> </w:t>
      </w:r>
      <w:r>
        <w:t>code,</w:t>
      </w:r>
      <w:r>
        <w:rPr>
          <w:spacing w:val="-3"/>
        </w:rPr>
        <w:t xml:space="preserve"> </w:t>
      </w:r>
      <w:r>
        <w:t>which</w:t>
      </w:r>
      <w:r>
        <w:rPr>
          <w:spacing w:val="-4"/>
        </w:rPr>
        <w:t xml:space="preserve"> </w:t>
      </w:r>
      <w:r>
        <w:t>became</w:t>
      </w:r>
      <w:r>
        <w:rPr>
          <w:spacing w:val="-3"/>
        </w:rPr>
        <w:t xml:space="preserve"> </w:t>
      </w:r>
      <w:r>
        <w:t>effe</w:t>
      </w:r>
      <w:r>
        <w:t>ctive</w:t>
      </w:r>
      <w:r>
        <w:rPr>
          <w:spacing w:val="-3"/>
        </w:rPr>
        <w:t xml:space="preserve"> </w:t>
      </w:r>
      <w:r>
        <w:t>in</w:t>
      </w:r>
      <w:r>
        <w:rPr>
          <w:spacing w:val="-4"/>
        </w:rPr>
        <w:t xml:space="preserve"> </w:t>
      </w:r>
      <w:r>
        <w:t>2017</w:t>
      </w:r>
      <w:r>
        <w:rPr>
          <w:spacing w:val="-3"/>
        </w:rPr>
        <w:t xml:space="preserve"> </w:t>
      </w:r>
      <w:r>
        <w:t>and</w:t>
      </w:r>
      <w:r>
        <w:rPr>
          <w:spacing w:val="-3"/>
        </w:rPr>
        <w:t xml:space="preserve"> </w:t>
      </w:r>
      <w:r>
        <w:t>was</w:t>
      </w:r>
      <w:r>
        <w:rPr>
          <w:spacing w:val="-3"/>
        </w:rPr>
        <w:t xml:space="preserve"> </w:t>
      </w:r>
      <w:r>
        <w:t>the code baseline level in 2019, the base year of the study</w:t>
      </w:r>
    </w:p>
    <w:p w:rsidR="00C31389" w:rsidRDefault="00561FBD" w14:paraId="5A1F43C5" w14:textId="77777777">
      <w:pPr>
        <w:pStyle w:val="ListParagraph"/>
        <w:numPr>
          <w:ilvl w:val="0"/>
          <w:numId w:val="46"/>
        </w:numPr>
        <w:tabs>
          <w:tab w:val="left" w:pos="1199"/>
        </w:tabs>
        <w:spacing w:before="118"/>
        <w:ind w:right="987" w:hanging="361"/>
      </w:pPr>
      <w:r>
        <w:t>Consistent</w:t>
      </w:r>
      <w:r>
        <w:rPr>
          <w:spacing w:val="-4"/>
        </w:rPr>
        <w:t xml:space="preserve"> </w:t>
      </w:r>
      <w:r>
        <w:t>with</w:t>
      </w:r>
      <w:r>
        <w:rPr>
          <w:spacing w:val="-3"/>
        </w:rPr>
        <w:t xml:space="preserve"> </w:t>
      </w:r>
      <w:r>
        <w:t>the</w:t>
      </w:r>
      <w:r>
        <w:rPr>
          <w:spacing w:val="-3"/>
        </w:rPr>
        <w:t xml:space="preserve"> </w:t>
      </w:r>
      <w:r>
        <w:t>Title</w:t>
      </w:r>
      <w:r>
        <w:rPr>
          <w:spacing w:val="-3"/>
        </w:rPr>
        <w:t xml:space="preserve"> </w:t>
      </w:r>
      <w:r>
        <w:t>24-2019</w:t>
      </w:r>
      <w:r>
        <w:rPr>
          <w:spacing w:val="-3"/>
        </w:rPr>
        <w:t xml:space="preserve"> </w:t>
      </w:r>
      <w:r>
        <w:t>code,</w:t>
      </w:r>
      <w:r>
        <w:rPr>
          <w:spacing w:val="-3"/>
        </w:rPr>
        <w:t xml:space="preserve"> </w:t>
      </w:r>
      <w:r>
        <w:t>which</w:t>
      </w:r>
      <w:r>
        <w:rPr>
          <w:spacing w:val="-4"/>
        </w:rPr>
        <w:t xml:space="preserve"> </w:t>
      </w:r>
      <w:r>
        <w:t>became</w:t>
      </w:r>
      <w:r>
        <w:rPr>
          <w:spacing w:val="-3"/>
        </w:rPr>
        <w:t xml:space="preserve"> </w:t>
      </w:r>
      <w:r>
        <w:t>effective</w:t>
      </w:r>
      <w:r>
        <w:rPr>
          <w:spacing w:val="-3"/>
        </w:rPr>
        <w:t xml:space="preserve"> </w:t>
      </w:r>
      <w:r>
        <w:t>in</w:t>
      </w:r>
      <w:r>
        <w:rPr>
          <w:spacing w:val="-4"/>
        </w:rPr>
        <w:t xml:space="preserve"> </w:t>
      </w:r>
      <w:r>
        <w:t>2020;</w:t>
      </w:r>
      <w:r>
        <w:rPr>
          <w:spacing w:val="-2"/>
        </w:rPr>
        <w:t xml:space="preserve"> </w:t>
      </w:r>
      <w:r>
        <w:t>this</w:t>
      </w:r>
      <w:r>
        <w:rPr>
          <w:spacing w:val="-3"/>
        </w:rPr>
        <w:t xml:space="preserve"> </w:t>
      </w:r>
      <w:r>
        <w:t>level</w:t>
      </w:r>
      <w:r>
        <w:rPr>
          <w:spacing w:val="-3"/>
        </w:rPr>
        <w:t xml:space="preserve"> </w:t>
      </w:r>
      <w:r>
        <w:t>is considered the code baseline level for all forecast years after 2020</w:t>
      </w:r>
    </w:p>
    <w:p w:rsidR="00C31389" w:rsidRDefault="00561FBD" w14:paraId="7C77C311" w14:textId="77777777">
      <w:pPr>
        <w:pStyle w:val="ListParagraph"/>
        <w:numPr>
          <w:ilvl w:val="0"/>
          <w:numId w:val="46"/>
        </w:numPr>
        <w:tabs>
          <w:tab w:val="left" w:pos="1199"/>
        </w:tabs>
        <w:spacing w:before="119"/>
        <w:ind w:right="912"/>
      </w:pPr>
      <w:r>
        <w:t>Consistent</w:t>
      </w:r>
      <w:r>
        <w:rPr>
          <w:spacing w:val="-4"/>
        </w:rPr>
        <w:t xml:space="preserve"> </w:t>
      </w:r>
      <w:r>
        <w:t>with</w:t>
      </w:r>
      <w:r>
        <w:rPr>
          <w:spacing w:val="-3"/>
        </w:rPr>
        <w:t xml:space="preserve"> </w:t>
      </w:r>
      <w:r>
        <w:t>Zero</w:t>
      </w:r>
      <w:r>
        <w:rPr>
          <w:spacing w:val="-3"/>
        </w:rPr>
        <w:t xml:space="preserve"> </w:t>
      </w:r>
      <w:r>
        <w:t>Net</w:t>
      </w:r>
      <w:r>
        <w:rPr>
          <w:spacing w:val="-3"/>
        </w:rPr>
        <w:t xml:space="preserve"> </w:t>
      </w:r>
      <w:r>
        <w:t>Energy</w:t>
      </w:r>
      <w:r>
        <w:rPr>
          <w:spacing w:val="-3"/>
        </w:rPr>
        <w:t xml:space="preserve"> </w:t>
      </w:r>
      <w:r>
        <w:t>(ZNE)</w:t>
      </w:r>
      <w:r>
        <w:rPr>
          <w:spacing w:val="-3"/>
        </w:rPr>
        <w:t xml:space="preserve"> </w:t>
      </w:r>
      <w:r>
        <w:t>performance</w:t>
      </w:r>
      <w:r>
        <w:rPr>
          <w:spacing w:val="-3"/>
        </w:rPr>
        <w:t xml:space="preserve"> </w:t>
      </w:r>
      <w:r>
        <w:t>where</w:t>
      </w:r>
      <w:r>
        <w:rPr>
          <w:spacing w:val="-3"/>
        </w:rPr>
        <w:t xml:space="preserve"> </w:t>
      </w:r>
      <w:r>
        <w:t>EE</w:t>
      </w:r>
      <w:r>
        <w:rPr>
          <w:spacing w:val="-4"/>
        </w:rPr>
        <w:t xml:space="preserve"> </w:t>
      </w:r>
      <w:r>
        <w:t>is</w:t>
      </w:r>
      <w:r>
        <w:rPr>
          <w:spacing w:val="-3"/>
        </w:rPr>
        <w:t xml:space="preserve"> </w:t>
      </w:r>
      <w:r>
        <w:t>maximized</w:t>
      </w:r>
      <w:r>
        <w:rPr>
          <w:spacing w:val="-3"/>
        </w:rPr>
        <w:t xml:space="preserve"> </w:t>
      </w:r>
      <w:r>
        <w:t>prior</w:t>
      </w:r>
      <w:r>
        <w:rPr>
          <w:spacing w:val="-3"/>
        </w:rPr>
        <w:t xml:space="preserve"> </w:t>
      </w:r>
      <w:r>
        <w:t>to sizing onsite generation systems</w:t>
      </w:r>
    </w:p>
    <w:p w:rsidR="00C31389" w:rsidRDefault="00C31389" w14:paraId="19834F9A" w14:textId="77777777">
      <w:pPr>
        <w:pStyle w:val="BodyText"/>
        <w:spacing w:before="8"/>
        <w:rPr>
          <w:sz w:val="20"/>
        </w:rPr>
      </w:pPr>
    </w:p>
    <w:p w:rsidR="00C31389" w:rsidRDefault="00561FBD" w14:paraId="5D917420" w14:textId="77777777">
      <w:pPr>
        <w:pStyle w:val="BodyText"/>
        <w:spacing w:before="1"/>
        <w:ind w:left="479" w:right="795"/>
      </w:pPr>
      <w:r>
        <w:t>To calculate energy use, the team used published outputs of the California Building Energy Code Compliance (CBECC) software to demonstrate co</w:t>
      </w:r>
      <w:r>
        <w:t>mpliance with California energy codes.</w:t>
      </w:r>
      <w:r>
        <w:rPr>
          <w:spacing w:val="-41"/>
        </w:rPr>
        <w:t xml:space="preserve"> </w:t>
      </w:r>
      <w:hyperlink w:history="1" w:anchor="_bookmark151">
        <w:r>
          <w:rPr>
            <w:position w:val="7"/>
            <w:sz w:val="14"/>
          </w:rPr>
          <w:t>43</w:t>
        </w:r>
      </w:hyperlink>
      <w:r>
        <w:rPr>
          <w:spacing w:val="24"/>
          <w:position w:val="7"/>
          <w:sz w:val="14"/>
        </w:rPr>
        <w:t xml:space="preserve"> </w:t>
      </w:r>
      <w:r>
        <w:t>The team used results from the 2019 version of the software and analyzed building characteristics</w:t>
      </w:r>
      <w:r>
        <w:rPr>
          <w:spacing w:val="-4"/>
        </w:rPr>
        <w:t xml:space="preserve"> </w:t>
      </w:r>
      <w:r>
        <w:t>for</w:t>
      </w:r>
      <w:r>
        <w:rPr>
          <w:spacing w:val="-4"/>
        </w:rPr>
        <w:t xml:space="preserve"> </w:t>
      </w:r>
      <w:r>
        <w:t>a</w:t>
      </w:r>
      <w:r>
        <w:rPr>
          <w:spacing w:val="-4"/>
        </w:rPr>
        <w:t xml:space="preserve"> </w:t>
      </w:r>
      <w:r>
        <w:t>2019</w:t>
      </w:r>
      <w:r>
        <w:rPr>
          <w:spacing w:val="-4"/>
        </w:rPr>
        <w:t xml:space="preserve"> </w:t>
      </w:r>
      <w:r>
        <w:t>code-compliant</w:t>
      </w:r>
      <w:r>
        <w:rPr>
          <w:spacing w:val="-4"/>
        </w:rPr>
        <w:t xml:space="preserve"> </w:t>
      </w:r>
      <w:r>
        <w:t>building</w:t>
      </w:r>
      <w:r>
        <w:rPr>
          <w:spacing w:val="-4"/>
        </w:rPr>
        <w:t xml:space="preserve"> </w:t>
      </w:r>
      <w:r>
        <w:t>to</w:t>
      </w:r>
      <w:r>
        <w:rPr>
          <w:spacing w:val="-4"/>
        </w:rPr>
        <w:t xml:space="preserve"> </w:t>
      </w:r>
      <w:r>
        <w:t>establish</w:t>
      </w:r>
      <w:r>
        <w:rPr>
          <w:spacing w:val="-4"/>
        </w:rPr>
        <w:t xml:space="preserve"> </w:t>
      </w:r>
      <w:r>
        <w:t>th</w:t>
      </w:r>
      <w:r>
        <w:t>e</w:t>
      </w:r>
      <w:r>
        <w:rPr>
          <w:spacing w:val="-4"/>
        </w:rPr>
        <w:t xml:space="preserve"> </w:t>
      </w:r>
      <w:r>
        <w:t>energy</w:t>
      </w:r>
      <w:r>
        <w:rPr>
          <w:spacing w:val="-5"/>
        </w:rPr>
        <w:t xml:space="preserve"> </w:t>
      </w:r>
      <w:r>
        <w:t>consumption</w:t>
      </w:r>
      <w:r>
        <w:rPr>
          <w:spacing w:val="-4"/>
        </w:rPr>
        <w:t xml:space="preserve"> </w:t>
      </w:r>
      <w:r>
        <w:t>of</w:t>
      </w:r>
      <w:r>
        <w:rPr>
          <w:spacing w:val="-4"/>
        </w:rPr>
        <w:t xml:space="preserve"> </w:t>
      </w:r>
      <w:r>
        <w:t>the Title 24-2019 code level. The energy consumption of a 2016 code-compliant building was</w:t>
      </w:r>
    </w:p>
    <w:p w:rsidR="00C31389" w:rsidRDefault="00561FBD" w14:paraId="3020DDC5" w14:textId="77777777">
      <w:pPr>
        <w:pStyle w:val="BodyText"/>
        <w:ind w:left="480" w:right="533"/>
      </w:pPr>
      <w:r>
        <w:t>calculated</w:t>
      </w:r>
      <w:r>
        <w:rPr>
          <w:spacing w:val="-4"/>
        </w:rPr>
        <w:t xml:space="preserve"> </w:t>
      </w:r>
      <w:r>
        <w:t>using</w:t>
      </w:r>
      <w:r>
        <w:rPr>
          <w:spacing w:val="-3"/>
        </w:rPr>
        <w:t xml:space="preserve"> </w:t>
      </w:r>
      <w:r>
        <w:t>an</w:t>
      </w:r>
      <w:r>
        <w:rPr>
          <w:spacing w:val="-3"/>
        </w:rPr>
        <w:t xml:space="preserve"> </w:t>
      </w:r>
      <w:r>
        <w:t>assumption</w:t>
      </w:r>
      <w:r>
        <w:rPr>
          <w:spacing w:val="-3"/>
        </w:rPr>
        <w:t xml:space="preserve"> </w:t>
      </w:r>
      <w:r>
        <w:t>from</w:t>
      </w:r>
      <w:r>
        <w:rPr>
          <w:spacing w:val="-4"/>
        </w:rPr>
        <w:t xml:space="preserve"> </w:t>
      </w:r>
      <w:r>
        <w:t>the</w:t>
      </w:r>
      <w:r>
        <w:rPr>
          <w:spacing w:val="-3"/>
        </w:rPr>
        <w:t xml:space="preserve"> </w:t>
      </w:r>
      <w:r>
        <w:t>CEC</w:t>
      </w:r>
      <w:r>
        <w:rPr>
          <w:spacing w:val="-3"/>
        </w:rPr>
        <w:t xml:space="preserve"> </w:t>
      </w:r>
      <w:r>
        <w:t>that</w:t>
      </w:r>
      <w:r>
        <w:rPr>
          <w:spacing w:val="-3"/>
        </w:rPr>
        <w:t xml:space="preserve"> </w:t>
      </w:r>
      <w:r>
        <w:t>the</w:t>
      </w:r>
      <w:r>
        <w:rPr>
          <w:spacing w:val="-3"/>
        </w:rPr>
        <w:t xml:space="preserve"> </w:t>
      </w:r>
      <w:r>
        <w:t>2019</w:t>
      </w:r>
      <w:r>
        <w:rPr>
          <w:spacing w:val="-4"/>
        </w:rPr>
        <w:t xml:space="preserve"> </w:t>
      </w:r>
      <w:r>
        <w:t>code</w:t>
      </w:r>
      <w:r>
        <w:rPr>
          <w:spacing w:val="-3"/>
        </w:rPr>
        <w:t xml:space="preserve"> </w:t>
      </w:r>
      <w:r>
        <w:t>level</w:t>
      </w:r>
      <w:r>
        <w:rPr>
          <w:spacing w:val="-3"/>
        </w:rPr>
        <w:t xml:space="preserve"> </w:t>
      </w:r>
      <w:r>
        <w:t>saves</w:t>
      </w:r>
      <w:r>
        <w:rPr>
          <w:spacing w:val="-3"/>
        </w:rPr>
        <w:t xml:space="preserve"> </w:t>
      </w:r>
      <w:r>
        <w:t>2%</w:t>
      </w:r>
      <w:r>
        <w:rPr>
          <w:spacing w:val="-3"/>
        </w:rPr>
        <w:t xml:space="preserve"> </w:t>
      </w:r>
      <w:r>
        <w:t>of</w:t>
      </w:r>
      <w:r>
        <w:rPr>
          <w:spacing w:val="-3"/>
        </w:rPr>
        <w:t xml:space="preserve"> </w:t>
      </w:r>
      <w:r>
        <w:t>the</w:t>
      </w:r>
      <w:r>
        <w:rPr>
          <w:spacing w:val="-3"/>
        </w:rPr>
        <w:t xml:space="preserve"> </w:t>
      </w:r>
      <w:r>
        <w:t xml:space="preserve">building energy use compared with the 2016 level for </w:t>
      </w:r>
      <w:r>
        <w:t>commercial buildings and 7% of the home energy</w:t>
      </w:r>
    </w:p>
    <w:p w:rsidR="00C31389" w:rsidRDefault="00561FBD" w14:paraId="77E8A8DA" w14:textId="77777777">
      <w:pPr>
        <w:pStyle w:val="BodyText"/>
        <w:spacing w:before="2"/>
        <w:rPr>
          <w:sz w:val="20"/>
        </w:rPr>
      </w:pPr>
      <w:r>
        <w:rPr>
          <w:noProof/>
        </w:rPr>
        <mc:AlternateContent>
          <mc:Choice Requires="wps">
            <w:drawing>
              <wp:anchor distT="0" distB="0" distL="0" distR="0" simplePos="0" relativeHeight="487643648" behindDoc="1" locked="0" layoutInCell="1" allowOverlap="1" wp14:editId="2F35A921" wp14:anchorId="7AA536D6">
                <wp:simplePos x="0" y="0"/>
                <wp:positionH relativeFrom="page">
                  <wp:posOffset>914400</wp:posOffset>
                </wp:positionH>
                <wp:positionV relativeFrom="paragraph">
                  <wp:posOffset>163073</wp:posOffset>
                </wp:positionV>
                <wp:extent cx="1828800" cy="6985"/>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59" style="position:absolute;margin-left:1in;margin-top:12.85pt;width:2in;height:.55pt;z-index:-1567283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" w14:anchorId="3AFE90B1">
                <v:path arrowok="t"/>
                <w10:wrap type="topAndBottom" anchorx="page"/>
              </v:shape>
            </w:pict>
          </mc:Fallback>
        </mc:AlternateContent>
      </w:r>
    </w:p>
    <w:p w:rsidR="00C31389" w:rsidRDefault="00561FBD" w14:paraId="33A2AEAE" w14:textId="77777777">
      <w:pPr>
        <w:spacing w:before="89"/>
        <w:ind w:left="480"/>
        <w:rPr>
          <w:sz w:val="18"/>
        </w:rPr>
      </w:pPr>
      <w:bookmarkStart w:name="_bookmark151" w:id="203"/>
      <w:bookmarkEnd w:id="203"/>
      <w:r>
        <w:rPr>
          <w:position w:val="6"/>
          <w:sz w:val="12"/>
        </w:rPr>
        <w:t>43</w:t>
      </w:r>
      <w:r>
        <w:rPr>
          <w:spacing w:val="17"/>
          <w:position w:val="6"/>
          <w:sz w:val="12"/>
        </w:rPr>
        <w:t xml:space="preserve"> </w:t>
      </w:r>
      <w:hyperlink r:id="rId127">
        <w:r>
          <w:rPr>
            <w:color w:val="68942C"/>
            <w:spacing w:val="-2"/>
            <w:sz w:val="18"/>
            <w:u w:val="single" w:color="68942C"/>
          </w:rPr>
          <w:t>http://bees.archenergy.com/index.html</w:t>
        </w:r>
      </w:hyperlink>
    </w:p>
    <w:p w:rsidR="00C31389" w:rsidRDefault="00C31389" w14:paraId="031409E1" w14:textId="77777777">
      <w:pPr>
        <w:rPr>
          <w:sz w:val="18"/>
        </w:rPr>
        <w:sectPr w:rsidR="00C31389">
          <w:headerReference w:type="default" r:id="rId128"/>
          <w:footerReference w:type="default" r:id="rId129"/>
          <w:pgSz w:w="12240" w:h="15840"/>
          <w:pgMar w:top="1380" w:right="960" w:bottom="1120" w:left="960" w:header="397" w:footer="936" w:gutter="0"/>
          <w:cols w:space="720"/>
        </w:sectPr>
      </w:pPr>
    </w:p>
    <w:p w:rsidR="00C31389" w:rsidRDefault="00C31389" w14:paraId="32CBA6D9" w14:textId="77777777">
      <w:pPr>
        <w:pStyle w:val="BodyText"/>
        <w:spacing w:before="11"/>
        <w:rPr>
          <w:sz w:val="13"/>
        </w:rPr>
      </w:pPr>
    </w:p>
    <w:p w:rsidR="00C31389" w:rsidRDefault="00561FBD" w14:paraId="49CCAFD2" w14:textId="77777777">
      <w:pPr>
        <w:pStyle w:val="BodyText"/>
        <w:spacing w:before="92"/>
        <w:ind w:left="480" w:right="565" w:hanging="1"/>
      </w:pPr>
      <w:r>
        <w:t>use compared with the 2016 level for residential buildings.</w:t>
      </w:r>
      <w:r>
        <w:rPr>
          <w:spacing w:val="-39"/>
        </w:rPr>
        <w:t xml:space="preserve"> </w:t>
      </w:r>
      <w:hyperlink w:history="1" w:anchor="_bookmark154">
        <w:r>
          <w:rPr>
            <w:position w:val="7"/>
            <w:sz w:val="14"/>
          </w:rPr>
          <w:t>44</w:t>
        </w:r>
      </w:hyperlink>
      <w:r>
        <w:rPr>
          <w:spacing w:val="31"/>
          <w:position w:val="7"/>
          <w:sz w:val="14"/>
        </w:rPr>
        <w:t xml:space="preserve"> </w:t>
      </w:r>
      <w:r>
        <w:t>Similar assumptions as the previous</w:t>
      </w:r>
      <w:r>
        <w:rPr>
          <w:spacing w:val="-3"/>
        </w:rPr>
        <w:t xml:space="preserve"> </w:t>
      </w:r>
      <w:r>
        <w:t>study</w:t>
      </w:r>
      <w:r>
        <w:rPr>
          <w:spacing w:val="-3"/>
        </w:rPr>
        <w:t xml:space="preserve"> </w:t>
      </w:r>
      <w:r>
        <w:t>were</w:t>
      </w:r>
      <w:r>
        <w:rPr>
          <w:spacing w:val="-3"/>
        </w:rPr>
        <w:t xml:space="preserve"> </w:t>
      </w:r>
      <w:r>
        <w:t>used</w:t>
      </w:r>
      <w:r>
        <w:rPr>
          <w:spacing w:val="-3"/>
        </w:rPr>
        <w:t xml:space="preserve"> </w:t>
      </w:r>
      <w:r>
        <w:t>to</w:t>
      </w:r>
      <w:r>
        <w:rPr>
          <w:spacing w:val="-3"/>
        </w:rPr>
        <w:t xml:space="preserve"> </w:t>
      </w:r>
      <w:r>
        <w:t>forecast</w:t>
      </w:r>
      <w:r>
        <w:rPr>
          <w:spacing w:val="-4"/>
        </w:rPr>
        <w:t xml:space="preserve"> </w:t>
      </w:r>
      <w:r>
        <w:t>EE</w:t>
      </w:r>
      <w:r>
        <w:rPr>
          <w:spacing w:val="-3"/>
        </w:rPr>
        <w:t xml:space="preserve"> </w:t>
      </w:r>
      <w:r>
        <w:t>savings</w:t>
      </w:r>
      <w:r>
        <w:rPr>
          <w:spacing w:val="-4"/>
        </w:rPr>
        <w:t xml:space="preserve"> </w:t>
      </w:r>
      <w:r>
        <w:t>to</w:t>
      </w:r>
      <w:r>
        <w:rPr>
          <w:spacing w:val="-3"/>
        </w:rPr>
        <w:t xml:space="preserve"> </w:t>
      </w:r>
      <w:r>
        <w:t>the</w:t>
      </w:r>
      <w:r>
        <w:rPr>
          <w:spacing w:val="-3"/>
        </w:rPr>
        <w:t xml:space="preserve"> </w:t>
      </w:r>
      <w:r>
        <w:t>ZNE</w:t>
      </w:r>
      <w:r>
        <w:rPr>
          <w:spacing w:val="-3"/>
        </w:rPr>
        <w:t xml:space="preserve"> </w:t>
      </w:r>
      <w:r>
        <w:t>level,</w:t>
      </w:r>
      <w:r>
        <w:rPr>
          <w:spacing w:val="-3"/>
        </w:rPr>
        <w:t xml:space="preserve"> </w:t>
      </w:r>
      <w:r>
        <w:t>including</w:t>
      </w:r>
      <w:r>
        <w:rPr>
          <w:spacing w:val="-3"/>
        </w:rPr>
        <w:t xml:space="preserve"> </w:t>
      </w:r>
      <w:r>
        <w:t>an</w:t>
      </w:r>
      <w:r>
        <w:rPr>
          <w:spacing w:val="-3"/>
        </w:rPr>
        <w:t xml:space="preserve"> </w:t>
      </w:r>
      <w:r>
        <w:t>adjustment</w:t>
      </w:r>
      <w:r>
        <w:rPr>
          <w:spacing w:val="-3"/>
        </w:rPr>
        <w:t xml:space="preserve"> </w:t>
      </w:r>
      <w:r>
        <w:t>to the lighting baseline.</w:t>
      </w:r>
    </w:p>
    <w:p w:rsidR="00C31389" w:rsidRDefault="00C31389" w14:paraId="4C81E5BA" w14:textId="77777777">
      <w:pPr>
        <w:pStyle w:val="BodyText"/>
        <w:spacing w:before="10"/>
        <w:rPr>
          <w:sz w:val="20"/>
        </w:rPr>
      </w:pPr>
    </w:p>
    <w:p w:rsidR="00C31389" w:rsidRDefault="00561FBD" w14:paraId="2E56F3A0" w14:textId="77777777">
      <w:pPr>
        <w:pStyle w:val="BodyText"/>
        <w:ind w:left="480" w:right="565"/>
      </w:pPr>
      <w:r>
        <w:t>The Guidehouse team calculated incremental cos</w:t>
      </w:r>
      <w:r>
        <w:t>t assumptions in a manner similar to the previous study and based them on cost impact analyses and communications from the CEC and</w:t>
      </w:r>
      <w:r>
        <w:rPr>
          <w:spacing w:val="-3"/>
        </w:rPr>
        <w:t xml:space="preserve"> </w:t>
      </w:r>
      <w:r>
        <w:t>a</w:t>
      </w:r>
      <w:r>
        <w:rPr>
          <w:spacing w:val="-3"/>
        </w:rPr>
        <w:t xml:space="preserve"> </w:t>
      </w:r>
      <w:r>
        <w:t>New</w:t>
      </w:r>
      <w:r>
        <w:rPr>
          <w:spacing w:val="-4"/>
        </w:rPr>
        <w:t xml:space="preserve"> </w:t>
      </w:r>
      <w:r>
        <w:t>Building</w:t>
      </w:r>
      <w:r>
        <w:rPr>
          <w:spacing w:val="-3"/>
        </w:rPr>
        <w:t xml:space="preserve"> </w:t>
      </w:r>
      <w:r>
        <w:t>Institute</w:t>
      </w:r>
      <w:r>
        <w:rPr>
          <w:spacing w:val="-3"/>
        </w:rPr>
        <w:t xml:space="preserve"> </w:t>
      </w:r>
      <w:r>
        <w:t>study.</w:t>
      </w:r>
      <w:r>
        <w:rPr>
          <w:spacing w:val="-6"/>
        </w:rPr>
        <w:t xml:space="preserve"> </w:t>
      </w:r>
      <w:hyperlink w:history="1" w:anchor="_bookmark152">
        <w:r>
          <w:t>Table</w:t>
        </w:r>
        <w:r>
          <w:rPr>
            <w:spacing w:val="-3"/>
          </w:rPr>
          <w:t xml:space="preserve"> </w:t>
        </w:r>
        <w:r>
          <w:t>3-20.</w:t>
        </w:r>
      </w:hyperlink>
      <w:r>
        <w:rPr>
          <w:spacing w:val="-4"/>
        </w:rPr>
        <w:t xml:space="preserve"> </w:t>
      </w:r>
      <w:r>
        <w:t>provides</w:t>
      </w:r>
      <w:r>
        <w:rPr>
          <w:spacing w:val="-3"/>
        </w:rPr>
        <w:t xml:space="preserve"> </w:t>
      </w:r>
      <w:r>
        <w:t>the</w:t>
      </w:r>
      <w:r>
        <w:rPr>
          <w:spacing w:val="-4"/>
        </w:rPr>
        <w:t xml:space="preserve"> </w:t>
      </w:r>
      <w:r>
        <w:t>sources</w:t>
      </w:r>
      <w:r>
        <w:rPr>
          <w:spacing w:val="-3"/>
        </w:rPr>
        <w:t xml:space="preserve"> </w:t>
      </w:r>
      <w:r>
        <w:t>used</w:t>
      </w:r>
      <w:r>
        <w:rPr>
          <w:spacing w:val="-3"/>
        </w:rPr>
        <w:t xml:space="preserve"> </w:t>
      </w:r>
      <w:r>
        <w:t>to</w:t>
      </w:r>
      <w:r>
        <w:rPr>
          <w:spacing w:val="-3"/>
        </w:rPr>
        <w:t xml:space="preserve"> </w:t>
      </w:r>
      <w:r>
        <w:t>characterize</w:t>
      </w:r>
      <w:r>
        <w:rPr>
          <w:spacing w:val="-3"/>
        </w:rPr>
        <w:t xml:space="preserve"> </w:t>
      </w:r>
      <w:r>
        <w:t>new construction whole building initiatives. These sources represent the best usable datasets available</w:t>
      </w:r>
      <w:r>
        <w:rPr>
          <w:spacing w:val="-1"/>
        </w:rPr>
        <w:t xml:space="preserve"> </w:t>
      </w:r>
      <w:r>
        <w:t>to</w:t>
      </w:r>
      <w:r>
        <w:rPr>
          <w:spacing w:val="-2"/>
        </w:rPr>
        <w:t xml:space="preserve"> </w:t>
      </w:r>
      <w:r>
        <w:t>the</w:t>
      </w:r>
      <w:r>
        <w:rPr>
          <w:spacing w:val="-1"/>
        </w:rPr>
        <w:t xml:space="preserve"> </w:t>
      </w:r>
      <w:r>
        <w:t>team</w:t>
      </w:r>
      <w:r>
        <w:rPr>
          <w:spacing w:val="-2"/>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characterization. The</w:t>
      </w:r>
      <w:r>
        <w:rPr>
          <w:spacing w:val="-1"/>
        </w:rPr>
        <w:t xml:space="preserve"> </w:t>
      </w:r>
      <w:r>
        <w:t>data</w:t>
      </w:r>
      <w:r>
        <w:rPr>
          <w:spacing w:val="-1"/>
        </w:rPr>
        <w:t xml:space="preserve"> </w:t>
      </w:r>
      <w:r>
        <w:t>from</w:t>
      </w:r>
      <w:r>
        <w:rPr>
          <w:spacing w:val="-2"/>
        </w:rPr>
        <w:t xml:space="preserve"> </w:t>
      </w:r>
      <w:r>
        <w:t>the</w:t>
      </w:r>
      <w:r>
        <w:rPr>
          <w:spacing w:val="-1"/>
        </w:rPr>
        <w:t xml:space="preserve"> </w:t>
      </w:r>
      <w:r>
        <w:t>2019</w:t>
      </w:r>
      <w:r>
        <w:rPr>
          <w:spacing w:val="-1"/>
        </w:rPr>
        <w:t xml:space="preserve"> </w:t>
      </w:r>
      <w:r>
        <w:t>CBECC software was particularly valuable because it pro</w:t>
      </w:r>
      <w:r>
        <w:t>vided variability by climate zone.</w:t>
      </w:r>
    </w:p>
    <w:p w:rsidR="00C31389" w:rsidRDefault="00C31389" w14:paraId="58CD1FE8" w14:textId="77777777">
      <w:pPr>
        <w:pStyle w:val="BodyText"/>
        <w:spacing w:before="10"/>
        <w:rPr>
          <w:sz w:val="20"/>
        </w:rPr>
      </w:pPr>
    </w:p>
    <w:p w:rsidR="00C31389" w:rsidRDefault="00561FBD" w14:paraId="504DFEDE" w14:textId="77777777">
      <w:pPr>
        <w:pStyle w:val="Heading7"/>
        <w:ind w:left="566" w:right="566"/>
        <w:jc w:val="center"/>
      </w:pPr>
      <w:bookmarkStart w:name="_bookmark152" w:id="204"/>
      <w:bookmarkEnd w:id="204"/>
      <w:r>
        <w:t>Table</w:t>
      </w:r>
      <w:r>
        <w:rPr>
          <w:spacing w:val="-8"/>
        </w:rPr>
        <w:t xml:space="preserve"> </w:t>
      </w:r>
      <w:r>
        <w:t>3-20.</w:t>
      </w:r>
      <w:r>
        <w:rPr>
          <w:spacing w:val="-8"/>
        </w:rPr>
        <w:t xml:space="preserve"> </w:t>
      </w:r>
      <w:r>
        <w:t>New</w:t>
      </w:r>
      <w:r>
        <w:rPr>
          <w:spacing w:val="-8"/>
        </w:rPr>
        <w:t xml:space="preserve"> </w:t>
      </w:r>
      <w:r>
        <w:t>Construction</w:t>
      </w:r>
      <w:r>
        <w:rPr>
          <w:spacing w:val="-8"/>
        </w:rPr>
        <w:t xml:space="preserve"> </w:t>
      </w:r>
      <w:r>
        <w:t>Whole</w:t>
      </w:r>
      <w:r>
        <w:rPr>
          <w:spacing w:val="-7"/>
        </w:rPr>
        <w:t xml:space="preserve"> </w:t>
      </w:r>
      <w:r>
        <w:t>Building</w:t>
      </w:r>
      <w:r>
        <w:rPr>
          <w:spacing w:val="-7"/>
        </w:rPr>
        <w:t xml:space="preserve"> </w:t>
      </w:r>
      <w:r>
        <w:t>Data</w:t>
      </w:r>
      <w:r>
        <w:rPr>
          <w:spacing w:val="-8"/>
        </w:rPr>
        <w:t xml:space="preserve"> </w:t>
      </w:r>
      <w:r>
        <w:rPr>
          <w:spacing w:val="-2"/>
        </w:rPr>
        <w:t>Sources</w:t>
      </w:r>
    </w:p>
    <w:p w:rsidR="00C31389" w:rsidRDefault="00C31389" w14:paraId="5B376097" w14:textId="77777777">
      <w:pPr>
        <w:pStyle w:val="BodyText"/>
        <w:spacing w:before="5"/>
        <w:rPr>
          <w:b/>
          <w:sz w:val="10"/>
        </w:rPr>
      </w:pPr>
    </w:p>
    <w:p w:rsidR="00C31389" w:rsidRDefault="00561FBD" w14:paraId="768167CE" w14:textId="77777777">
      <w:pPr>
        <w:pStyle w:val="BodyText"/>
        <w:ind w:left="465"/>
        <w:rPr>
          <w:sz w:val="20"/>
        </w:rPr>
      </w:pPr>
      <w:r>
        <w:rPr>
          <w:noProof/>
          <w:sz w:val="20"/>
        </w:rPr>
        <mc:AlternateContent>
          <mc:Choice Requires="wps">
            <w:drawing>
              <wp:inline distT="0" distB="0" distL="0" distR="0" wp14:anchorId="38A6145B" wp14:editId="5667B7D5">
                <wp:extent cx="5953125" cy="203200"/>
                <wp:effectExtent l="0" t="0" r="0" b="0"/>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03200"/>
                        </a:xfrm>
                        <a:prstGeom prst="rect">
                          <a:avLst/>
                        </a:prstGeom>
                        <a:solidFill>
                          <a:srgbClr val="92D400"/>
                        </a:solidFill>
                      </wps:spPr>
                      <wps:txbx>
                        <w:txbxContent>
                          <w:p w:rsidR="00C31389" w:rsidRDefault="00561FBD" w14:paraId="4C86745C" w14:textId="77777777">
                            <w:pPr>
                              <w:tabs>
                                <w:tab w:val="left" w:pos="1839"/>
                                <w:tab w:val="left" w:pos="3686"/>
                              </w:tabs>
                              <w:spacing w:before="40"/>
                              <w:ind w:left="129"/>
                              <w:rPr>
                                <w:b/>
                                <w:color w:val="000000"/>
                                <w:sz w:val="20"/>
                              </w:rPr>
                            </w:pPr>
                            <w:r>
                              <w:rPr>
                                <w:b/>
                                <w:color w:val="000000"/>
                                <w:sz w:val="20"/>
                              </w:rPr>
                              <w:t>Data</w:t>
                            </w:r>
                            <w:r>
                              <w:rPr>
                                <w:b/>
                                <w:color w:val="000000"/>
                                <w:spacing w:val="-2"/>
                                <w:sz w:val="20"/>
                              </w:rPr>
                              <w:t xml:space="preserve"> Category</w:t>
                            </w:r>
                            <w:r>
                              <w:rPr>
                                <w:b/>
                                <w:color w:val="000000"/>
                                <w:sz w:val="20"/>
                              </w:rPr>
                              <w:tab/>
                              <w:t>Data</w:t>
                            </w:r>
                            <w:r>
                              <w:rPr>
                                <w:b/>
                                <w:color w:val="000000"/>
                                <w:spacing w:val="-2"/>
                                <w:sz w:val="20"/>
                              </w:rPr>
                              <w:t xml:space="preserve"> Items</w:t>
                            </w:r>
                            <w:r>
                              <w:rPr>
                                <w:b/>
                                <w:color w:val="000000"/>
                                <w:sz w:val="20"/>
                              </w:rPr>
                              <w:tab/>
                              <w:t>Data</w:t>
                            </w:r>
                            <w:r>
                              <w:rPr>
                                <w:b/>
                                <w:color w:val="000000"/>
                                <w:spacing w:val="-4"/>
                                <w:sz w:val="20"/>
                              </w:rPr>
                              <w:t xml:space="preserve"> </w:t>
                            </w:r>
                            <w:r>
                              <w:rPr>
                                <w:b/>
                                <w:color w:val="000000"/>
                                <w:spacing w:val="-2"/>
                                <w:sz w:val="20"/>
                              </w:rPr>
                              <w:t>Sources</w:t>
                            </w:r>
                          </w:p>
                        </w:txbxContent>
                      </wps:txbx>
                      <wps:bodyPr wrap="square" lIns="0" tIns="0" rIns="0" bIns="0" rtlCol="0">
                        <a:noAutofit/>
                      </wps:bodyPr>
                    </wps:wsp>
                  </a:graphicData>
                </a:graphic>
              </wp:inline>
            </w:drawing>
          </mc:Choice>
          <mc:Fallback>
            <w:pict>
              <v:shape id="Textbox 366" style="width:468.75pt;height:16pt;visibility:visible;mso-wrap-style:square;mso-left-percent:-10001;mso-top-percent:-10001;mso-position-horizontal:absolute;mso-position-horizontal-relative:char;mso-position-vertical:absolute;mso-position-vertical-relative:line;mso-left-percent:-10001;mso-top-percent:-10001;v-text-anchor:top" o:spid="_x0000_s1124" fillcolor="#92d4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" w14:anchorId="38A6145B">
                <v:textbox inset="0,0,0,0">
                  <w:txbxContent>
                    <w:p w:rsidR="00C31389" w:rsidRDefault="00561FBD" w14:paraId="4C86745C" w14:textId="77777777">
                      <w:pPr>
                        <w:tabs>
                          <w:tab w:val="left" w:pos="1839"/>
                          <w:tab w:val="left" w:pos="3686"/>
                        </w:tabs>
                        <w:spacing w:before="40"/>
                        <w:ind w:left="129"/>
                        <w:rPr>
                          <w:b/>
                          <w:color w:val="000000"/>
                          <w:sz w:val="20"/>
                        </w:rPr>
                      </w:pPr>
                      <w:r>
                        <w:rPr>
                          <w:b/>
                          <w:color w:val="000000"/>
                          <w:sz w:val="20"/>
                        </w:rPr>
                        <w:t>Data</w:t>
                      </w:r>
                      <w:r>
                        <w:rPr>
                          <w:b/>
                          <w:color w:val="000000"/>
                          <w:spacing w:val="-2"/>
                          <w:sz w:val="20"/>
                        </w:rPr>
                        <w:t xml:space="preserve"> Category</w:t>
                      </w:r>
                      <w:r>
                        <w:rPr>
                          <w:b/>
                          <w:color w:val="000000"/>
                          <w:sz w:val="20"/>
                        </w:rPr>
                        <w:tab/>
                        <w:t>Data</w:t>
                      </w:r>
                      <w:r>
                        <w:rPr>
                          <w:b/>
                          <w:color w:val="000000"/>
                          <w:spacing w:val="-2"/>
                          <w:sz w:val="20"/>
                        </w:rPr>
                        <w:t xml:space="preserve"> Items</w:t>
                      </w:r>
                      <w:r>
                        <w:rPr>
                          <w:b/>
                          <w:color w:val="000000"/>
                          <w:sz w:val="20"/>
                        </w:rPr>
                        <w:tab/>
                        <w:t>Data</w:t>
                      </w:r>
                      <w:r>
                        <w:rPr>
                          <w:b/>
                          <w:color w:val="000000"/>
                          <w:spacing w:val="-4"/>
                          <w:sz w:val="20"/>
                        </w:rPr>
                        <w:t xml:space="preserve"> </w:t>
                      </w:r>
                      <w:r>
                        <w:rPr>
                          <w:b/>
                          <w:color w:val="000000"/>
                          <w:spacing w:val="-2"/>
                          <w:sz w:val="20"/>
                        </w:rPr>
                        <w:t>Sources</w:t>
                      </w:r>
                    </w:p>
                  </w:txbxContent>
                </v:textbox>
                <w10:anchorlock/>
              </v:shape>
            </w:pict>
          </mc:Fallback>
        </mc:AlternateContent>
      </w:r>
    </w:p>
    <w:p w:rsidR="00C31389" w:rsidRDefault="00C31389" w14:paraId="5D7839B4" w14:textId="77777777">
      <w:pPr>
        <w:rPr>
          <w:sz w:val="20"/>
        </w:rPr>
        <w:sectPr w:rsidR="00C31389">
          <w:headerReference w:type="default" r:id="rId130"/>
          <w:footerReference w:type="default" r:id="rId131"/>
          <w:pgSz w:w="12240" w:h="15840"/>
          <w:pgMar w:top="1660" w:right="960" w:bottom="1120" w:left="960" w:header="397" w:footer="936" w:gutter="0"/>
          <w:cols w:space="720"/>
        </w:sectPr>
      </w:pPr>
    </w:p>
    <w:p w:rsidR="00C31389" w:rsidRDefault="00C31389" w14:paraId="684A8F92" w14:textId="77777777">
      <w:pPr>
        <w:pStyle w:val="BodyText"/>
        <w:rPr>
          <w:b/>
        </w:rPr>
      </w:pPr>
    </w:p>
    <w:p w:rsidR="00C31389" w:rsidRDefault="00C31389" w14:paraId="0F72C46F" w14:textId="77777777">
      <w:pPr>
        <w:pStyle w:val="BodyText"/>
        <w:rPr>
          <w:b/>
        </w:rPr>
      </w:pPr>
    </w:p>
    <w:p w:rsidR="00C31389" w:rsidRDefault="00C31389" w14:paraId="40E69B7C" w14:textId="77777777">
      <w:pPr>
        <w:pStyle w:val="BodyText"/>
        <w:rPr>
          <w:b/>
        </w:rPr>
      </w:pPr>
    </w:p>
    <w:p w:rsidR="00C31389" w:rsidRDefault="00C31389" w14:paraId="69E7B09F" w14:textId="77777777">
      <w:pPr>
        <w:pStyle w:val="BodyText"/>
        <w:rPr>
          <w:b/>
        </w:rPr>
      </w:pPr>
    </w:p>
    <w:p w:rsidR="00C31389" w:rsidRDefault="00C31389" w14:paraId="786FB606" w14:textId="77777777">
      <w:pPr>
        <w:pStyle w:val="BodyText"/>
        <w:rPr>
          <w:b/>
        </w:rPr>
      </w:pPr>
    </w:p>
    <w:p w:rsidR="00C31389" w:rsidRDefault="00C31389" w14:paraId="70A70474" w14:textId="77777777">
      <w:pPr>
        <w:pStyle w:val="BodyText"/>
        <w:rPr>
          <w:b/>
        </w:rPr>
      </w:pPr>
    </w:p>
    <w:p w:rsidR="00C31389" w:rsidRDefault="00C31389" w14:paraId="5262D525" w14:textId="77777777">
      <w:pPr>
        <w:pStyle w:val="BodyText"/>
        <w:spacing w:before="5"/>
        <w:rPr>
          <w:b/>
          <w:sz w:val="18"/>
        </w:rPr>
      </w:pPr>
    </w:p>
    <w:p w:rsidR="00C31389" w:rsidRDefault="00561FBD" w14:paraId="3497C1C9" w14:textId="77777777">
      <w:pPr>
        <w:ind w:left="595"/>
        <w:rPr>
          <w:b/>
          <w:sz w:val="20"/>
        </w:rPr>
      </w:pPr>
      <w:r>
        <w:rPr>
          <w:b/>
          <w:spacing w:val="-4"/>
          <w:sz w:val="20"/>
        </w:rPr>
        <w:t>Cost</w:t>
      </w:r>
    </w:p>
    <w:p w:rsidR="00C31389" w:rsidRDefault="00C31389" w14:paraId="3CF21197" w14:textId="77777777">
      <w:pPr>
        <w:pStyle w:val="BodyText"/>
        <w:rPr>
          <w:b/>
        </w:rPr>
      </w:pPr>
    </w:p>
    <w:p w:rsidR="00C31389" w:rsidRDefault="00C31389" w14:paraId="2D9991F7" w14:textId="77777777">
      <w:pPr>
        <w:pStyle w:val="BodyText"/>
        <w:rPr>
          <w:b/>
        </w:rPr>
      </w:pPr>
    </w:p>
    <w:p w:rsidR="00C31389" w:rsidRDefault="00C31389" w14:paraId="77818ED6" w14:textId="77777777">
      <w:pPr>
        <w:pStyle w:val="BodyText"/>
        <w:rPr>
          <w:b/>
        </w:rPr>
      </w:pPr>
    </w:p>
    <w:p w:rsidR="00C31389" w:rsidRDefault="00C31389" w14:paraId="4051AD57" w14:textId="77777777">
      <w:pPr>
        <w:pStyle w:val="BodyText"/>
        <w:rPr>
          <w:b/>
        </w:rPr>
      </w:pPr>
    </w:p>
    <w:p w:rsidR="00C31389" w:rsidRDefault="00C31389" w14:paraId="1873B75A" w14:textId="77777777">
      <w:pPr>
        <w:pStyle w:val="BodyText"/>
        <w:rPr>
          <w:b/>
        </w:rPr>
      </w:pPr>
    </w:p>
    <w:p w:rsidR="00C31389" w:rsidRDefault="00C31389" w14:paraId="2A4DBBE2" w14:textId="77777777">
      <w:pPr>
        <w:pStyle w:val="BodyText"/>
        <w:rPr>
          <w:b/>
        </w:rPr>
      </w:pPr>
    </w:p>
    <w:p w:rsidR="00C31389" w:rsidRDefault="00C31389" w14:paraId="032D8BD2" w14:textId="77777777">
      <w:pPr>
        <w:pStyle w:val="BodyText"/>
        <w:rPr>
          <w:b/>
        </w:rPr>
      </w:pPr>
    </w:p>
    <w:p w:rsidR="00C31389" w:rsidRDefault="00C31389" w14:paraId="0559AC0B" w14:textId="77777777">
      <w:pPr>
        <w:pStyle w:val="BodyText"/>
        <w:rPr>
          <w:b/>
        </w:rPr>
      </w:pPr>
    </w:p>
    <w:p w:rsidR="00C31389" w:rsidRDefault="00C31389" w14:paraId="5C29D0AD" w14:textId="77777777">
      <w:pPr>
        <w:pStyle w:val="BodyText"/>
        <w:rPr>
          <w:b/>
        </w:rPr>
      </w:pPr>
    </w:p>
    <w:p w:rsidR="00C31389" w:rsidRDefault="00C31389" w14:paraId="4B3773E6" w14:textId="77777777">
      <w:pPr>
        <w:pStyle w:val="BodyText"/>
        <w:spacing w:before="1"/>
        <w:rPr>
          <w:b/>
          <w:sz w:val="18"/>
        </w:rPr>
      </w:pPr>
    </w:p>
    <w:p w:rsidR="00C31389" w:rsidRDefault="00561FBD" w14:paraId="29662129" w14:textId="77777777">
      <w:pPr>
        <w:ind w:left="595"/>
        <w:rPr>
          <w:b/>
          <w:sz w:val="20"/>
        </w:rPr>
      </w:pPr>
      <w:r>
        <w:rPr>
          <w:b/>
          <w:spacing w:val="-2"/>
          <w:sz w:val="20"/>
        </w:rPr>
        <w:t xml:space="preserve">Energy consumption </w:t>
      </w:r>
      <w:r>
        <w:rPr>
          <w:b/>
          <w:sz w:val="20"/>
        </w:rPr>
        <w:t>and savings</w:t>
      </w:r>
    </w:p>
    <w:p w:rsidR="00C31389" w:rsidRDefault="00C31389" w14:paraId="4E12FD3B" w14:textId="77777777">
      <w:pPr>
        <w:pStyle w:val="BodyText"/>
        <w:rPr>
          <w:b/>
        </w:rPr>
      </w:pPr>
    </w:p>
    <w:p w:rsidR="00C31389" w:rsidRDefault="00C31389" w14:paraId="4989AA62" w14:textId="77777777">
      <w:pPr>
        <w:pStyle w:val="BodyText"/>
        <w:rPr>
          <w:b/>
        </w:rPr>
      </w:pPr>
    </w:p>
    <w:p w:rsidR="00C31389" w:rsidRDefault="00C31389" w14:paraId="415A454C" w14:textId="77777777">
      <w:pPr>
        <w:pStyle w:val="BodyText"/>
        <w:spacing w:before="6"/>
        <w:rPr>
          <w:b/>
          <w:sz w:val="25"/>
        </w:rPr>
      </w:pPr>
    </w:p>
    <w:p w:rsidR="00C31389" w:rsidRDefault="00561FBD" w14:paraId="3F214A54" w14:textId="77777777">
      <w:pPr>
        <w:spacing w:before="1"/>
        <w:ind w:left="480"/>
        <w:rPr>
          <w:i/>
          <w:sz w:val="18"/>
        </w:rPr>
      </w:pPr>
      <w:r>
        <w:rPr>
          <w:noProof/>
        </w:rPr>
        <mc:AlternateContent>
          <mc:Choice Requires="wps">
            <w:drawing>
              <wp:anchor distT="0" distB="0" distL="0" distR="0" simplePos="0" relativeHeight="15788544" behindDoc="0" locked="0" layoutInCell="1" allowOverlap="1" wp14:editId="1106C2B1" wp14:anchorId="640438E0">
                <wp:simplePos x="0" y="0"/>
                <wp:positionH relativeFrom="page">
                  <wp:posOffset>914400</wp:posOffset>
                </wp:positionH>
                <wp:positionV relativeFrom="paragraph">
                  <wp:posOffset>-49874</wp:posOffset>
                </wp:positionV>
                <wp:extent cx="5943600" cy="1270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5943600" y="0"/>
                              </a:lnTo>
                              <a:lnTo>
                                <a:pt x="0" y="0"/>
                              </a:lnTo>
                              <a:lnTo>
                                <a:pt x="0" y="12179"/>
                              </a:lnTo>
                              <a:lnTo>
                                <a:pt x="5943600" y="12179"/>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67" style="position:absolute;margin-left:1in;margin-top:-3.95pt;width:468pt;height:1pt;z-index:15788544;visibility:visible;mso-wrap-style:square;mso-wrap-distance-left:0;mso-wrap-distance-top:0;mso-wrap-distance-right:0;mso-wrap-distance-bottom:0;mso-position-horizontal:absolute;mso-position-horizontal-relative:page;mso-position-vertical:absolute;mso-position-vertical-relative:text;v-text-anchor:top" coordsize="5943600,12700" o:spid="_x0000_s1026" fillcolor="black" stroked="f" path="m5943600,r,l,,,12179r5943600,l594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" w14:anchorId="2DF3A9DE">
                <v:path arrowok="t"/>
                <w10:wrap anchorx="page"/>
              </v:shape>
            </w:pict>
          </mc:Fallback>
        </mc:AlternateContent>
      </w:r>
      <w:r>
        <w:rPr>
          <w:i/>
          <w:sz w:val="18"/>
        </w:rPr>
        <w:t>Source:</w:t>
      </w:r>
      <w:r>
        <w:rPr>
          <w:i/>
          <w:spacing w:val="-4"/>
          <w:sz w:val="18"/>
        </w:rPr>
        <w:t xml:space="preserve"> </w:t>
      </w:r>
      <w:r>
        <w:rPr>
          <w:i/>
          <w:spacing w:val="-2"/>
          <w:sz w:val="18"/>
        </w:rPr>
        <w:t>Guidehouse</w:t>
      </w:r>
    </w:p>
    <w:p w:rsidR="00C31389" w:rsidRDefault="00C31389" w14:paraId="7B2D4A8F" w14:textId="77777777">
      <w:pPr>
        <w:pStyle w:val="BodyText"/>
        <w:rPr>
          <w:i/>
          <w:sz w:val="20"/>
        </w:rPr>
      </w:pPr>
    </w:p>
    <w:p w:rsidR="00C31389" w:rsidRDefault="00561FBD" w14:paraId="13924C2F" w14:textId="77777777">
      <w:pPr>
        <w:pStyle w:val="Heading4"/>
        <w:numPr>
          <w:ilvl w:val="2"/>
          <w:numId w:val="71"/>
        </w:numPr>
        <w:tabs>
          <w:tab w:val="left" w:pos="1076"/>
        </w:tabs>
        <w:spacing w:before="130"/>
        <w:ind w:left="1076" w:hanging="596"/>
      </w:pPr>
      <w:bookmarkStart w:name="3.4.2_Retrofit" w:id="205"/>
      <w:bookmarkStart w:name="_bookmark153" w:id="206"/>
      <w:bookmarkEnd w:id="205"/>
      <w:bookmarkEnd w:id="206"/>
      <w:r>
        <w:rPr>
          <w:spacing w:val="-2"/>
        </w:rPr>
        <w:t>Retrofit</w:t>
      </w:r>
    </w:p>
    <w:p w:rsidR="00C31389" w:rsidRDefault="00561FBD" w14:paraId="6E8160D7" w14:textId="77777777">
      <w:pPr>
        <w:spacing w:before="15"/>
        <w:ind w:left="144"/>
        <w:rPr>
          <w:sz w:val="20"/>
        </w:rPr>
      </w:pPr>
      <w:r>
        <w:br w:type="column"/>
      </w:r>
      <w:r>
        <w:rPr>
          <w:sz w:val="20"/>
        </w:rPr>
        <w:t>Cost</w:t>
      </w:r>
      <w:r>
        <w:rPr>
          <w:spacing w:val="-2"/>
          <w:sz w:val="20"/>
        </w:rPr>
        <w:t xml:space="preserve"> </w:t>
      </w:r>
      <w:r>
        <w:rPr>
          <w:sz w:val="20"/>
        </w:rPr>
        <w:t>of</w:t>
      </w:r>
      <w:r>
        <w:rPr>
          <w:spacing w:val="-2"/>
          <w:sz w:val="20"/>
        </w:rPr>
        <w:t xml:space="preserve"> </w:t>
      </w:r>
      <w:r>
        <w:rPr>
          <w:spacing w:val="-4"/>
          <w:sz w:val="20"/>
        </w:rPr>
        <w:t>2016</w:t>
      </w:r>
    </w:p>
    <w:p w:rsidR="00C31389" w:rsidRDefault="00561FBD" w14:paraId="746D1A07" w14:textId="77777777">
      <w:pPr>
        <w:spacing w:before="1"/>
        <w:ind w:left="144"/>
        <w:rPr>
          <w:sz w:val="20"/>
        </w:rPr>
      </w:pPr>
      <w:r>
        <w:rPr>
          <w:noProof/>
        </w:rPr>
        <mc:AlternateContent>
          <mc:Choice Requires="wps">
            <w:drawing>
              <wp:anchor distT="0" distB="0" distL="0" distR="0" simplePos="0" relativeHeight="15785984" behindDoc="0" locked="0" layoutInCell="1" allowOverlap="1" wp14:editId="675F88D2" wp14:anchorId="4B67C78F">
                <wp:simplePos x="0" y="0"/>
                <wp:positionH relativeFrom="page">
                  <wp:posOffset>2000250</wp:posOffset>
                </wp:positionH>
                <wp:positionV relativeFrom="paragraph">
                  <wp:posOffset>171551</wp:posOffset>
                </wp:positionV>
                <wp:extent cx="4857750" cy="317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3175"/>
                        </a:xfrm>
                        <a:custGeom>
                          <a:avLst/>
                          <a:gdLst/>
                          <a:ahLst/>
                          <a:cxnLst/>
                          <a:rect l="l" t="t" r="r" b="b"/>
                          <a:pathLst>
                            <a:path w="4857750" h="3175">
                              <a:moveTo>
                                <a:pt x="4857750" y="0"/>
                              </a:moveTo>
                              <a:lnTo>
                                <a:pt x="1175766" y="0"/>
                              </a:lnTo>
                              <a:lnTo>
                                <a:pt x="1172718" y="0"/>
                              </a:lnTo>
                              <a:lnTo>
                                <a:pt x="0" y="0"/>
                              </a:lnTo>
                              <a:lnTo>
                                <a:pt x="0" y="3048"/>
                              </a:lnTo>
                              <a:lnTo>
                                <a:pt x="1172718" y="3048"/>
                              </a:lnTo>
                              <a:lnTo>
                                <a:pt x="1175766" y="3048"/>
                              </a:lnTo>
                              <a:lnTo>
                                <a:pt x="4857750" y="3048"/>
                              </a:lnTo>
                              <a:lnTo>
                                <a:pt x="485775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368" style="position:absolute;margin-left:157.5pt;margin-top:13.5pt;width:382.5pt;height:.25pt;z-index:15785984;visibility:visible;mso-wrap-style:square;mso-wrap-distance-left:0;mso-wrap-distance-top:0;mso-wrap-distance-right:0;mso-wrap-distance-bottom:0;mso-position-horizontal:absolute;mso-position-horizontal-relative:page;mso-position-vertical:absolute;mso-position-vertical-relative:text;v-text-anchor:top" coordsize="4857750,3175" o:spid="_x0000_s1026" fillcolor="#d9d9d9" stroked="f" path="m4857750,l1175766,r-3048,l,,,3048r1172718,l1175766,3048r3681984,l48577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" w14:anchorId="69B52C95">
                <v:path arrowok="t"/>
                <w10:wrap anchorx="page"/>
              </v:shape>
            </w:pict>
          </mc:Fallback>
        </mc:AlternateContent>
      </w:r>
      <w:r>
        <w:rPr>
          <w:sz w:val="20"/>
        </w:rPr>
        <w:t>Title</w:t>
      </w:r>
      <w:r>
        <w:rPr>
          <w:spacing w:val="-4"/>
          <w:sz w:val="20"/>
        </w:rPr>
        <w:t xml:space="preserve"> </w:t>
      </w:r>
      <w:r>
        <w:rPr>
          <w:spacing w:val="-5"/>
          <w:sz w:val="20"/>
        </w:rPr>
        <w:t>24</w:t>
      </w:r>
    </w:p>
    <w:p w:rsidR="00C31389" w:rsidRDefault="00561FBD" w14:paraId="188C7D8D" w14:textId="77777777">
      <w:pPr>
        <w:spacing w:before="84"/>
        <w:ind w:left="144" w:right="-5"/>
        <w:rPr>
          <w:sz w:val="20"/>
        </w:rPr>
      </w:pPr>
      <w:r>
        <w:rPr>
          <w:noProof/>
        </w:rPr>
        <mc:AlternateContent>
          <mc:Choice Requires="wps">
            <w:drawing>
              <wp:anchor distT="0" distB="0" distL="0" distR="0" simplePos="0" relativeHeight="15786496" behindDoc="0" locked="0" layoutInCell="1" allowOverlap="1" wp14:editId="3B5EEC05" wp14:anchorId="5710D241">
                <wp:simplePos x="0" y="0"/>
                <wp:positionH relativeFrom="page">
                  <wp:posOffset>2000250</wp:posOffset>
                </wp:positionH>
                <wp:positionV relativeFrom="paragraph">
                  <wp:posOffset>370609</wp:posOffset>
                </wp:positionV>
                <wp:extent cx="4857750" cy="317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3175"/>
                        </a:xfrm>
                        <a:custGeom>
                          <a:avLst/>
                          <a:gdLst/>
                          <a:ahLst/>
                          <a:cxnLst/>
                          <a:rect l="l" t="t" r="r" b="b"/>
                          <a:pathLst>
                            <a:path w="4857750" h="3175">
                              <a:moveTo>
                                <a:pt x="4857750" y="0"/>
                              </a:moveTo>
                              <a:lnTo>
                                <a:pt x="1175766" y="0"/>
                              </a:lnTo>
                              <a:lnTo>
                                <a:pt x="1172718" y="0"/>
                              </a:lnTo>
                              <a:lnTo>
                                <a:pt x="0" y="0"/>
                              </a:lnTo>
                              <a:lnTo>
                                <a:pt x="0" y="3022"/>
                              </a:lnTo>
                              <a:lnTo>
                                <a:pt x="1172718" y="3022"/>
                              </a:lnTo>
                              <a:lnTo>
                                <a:pt x="1175766" y="3022"/>
                              </a:lnTo>
                              <a:lnTo>
                                <a:pt x="4857750" y="3022"/>
                              </a:lnTo>
                              <a:lnTo>
                                <a:pt x="485775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369" style="position:absolute;margin-left:157.5pt;margin-top:29.2pt;width:382.5pt;height:.25pt;z-index:15786496;visibility:visible;mso-wrap-style:square;mso-wrap-distance-left:0;mso-wrap-distance-top:0;mso-wrap-distance-right:0;mso-wrap-distance-bottom:0;mso-position-horizontal:absolute;mso-position-horizontal-relative:page;mso-position-vertical:absolute;mso-position-vertical-relative:text;v-text-anchor:top" coordsize="4857750,3175" o:spid="_x0000_s1026" fillcolor="#d9d9d9" stroked="f" path="m4857750,l1175766,r-3048,l,,,3022r1172718,l1175766,3022r3681984,l48577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" w14:anchorId="2E270576">
                <v:path arrowok="t"/>
                <w10:wrap anchorx="page"/>
              </v:shape>
            </w:pict>
          </mc:Fallback>
        </mc:AlternateContent>
      </w:r>
      <w:r>
        <w:rPr>
          <w:sz w:val="20"/>
        </w:rPr>
        <w:t>Incremental</w:t>
      </w:r>
      <w:r>
        <w:rPr>
          <w:spacing w:val="-14"/>
          <w:sz w:val="20"/>
        </w:rPr>
        <w:t xml:space="preserve"> </w:t>
      </w:r>
      <w:r>
        <w:rPr>
          <w:sz w:val="20"/>
        </w:rPr>
        <w:t>cost of 2019 Title 24</w:t>
      </w:r>
    </w:p>
    <w:p w:rsidR="00C31389" w:rsidRDefault="00C31389" w14:paraId="60B93933" w14:textId="77777777">
      <w:pPr>
        <w:pStyle w:val="BodyText"/>
      </w:pPr>
    </w:p>
    <w:p w:rsidR="00C31389" w:rsidRDefault="00C31389" w14:paraId="3CD45576" w14:textId="77777777">
      <w:pPr>
        <w:pStyle w:val="BodyText"/>
      </w:pPr>
    </w:p>
    <w:p w:rsidR="00C31389" w:rsidRDefault="00C31389" w14:paraId="38DF53FA" w14:textId="77777777">
      <w:pPr>
        <w:pStyle w:val="BodyText"/>
      </w:pPr>
    </w:p>
    <w:p w:rsidR="00C31389" w:rsidRDefault="00C31389" w14:paraId="6AA57BEE" w14:textId="77777777">
      <w:pPr>
        <w:pStyle w:val="BodyText"/>
      </w:pPr>
    </w:p>
    <w:p w:rsidR="00C31389" w:rsidRDefault="00561FBD" w14:paraId="699038B1" w14:textId="77777777">
      <w:pPr>
        <w:spacing w:before="128"/>
        <w:ind w:left="144" w:right="-5"/>
        <w:rPr>
          <w:sz w:val="20"/>
        </w:rPr>
      </w:pPr>
      <w:r>
        <w:rPr>
          <w:sz w:val="20"/>
        </w:rPr>
        <w:t>Incremental</w:t>
      </w:r>
      <w:r>
        <w:rPr>
          <w:spacing w:val="-14"/>
          <w:sz w:val="20"/>
        </w:rPr>
        <w:t xml:space="preserve"> </w:t>
      </w:r>
      <w:r>
        <w:rPr>
          <w:sz w:val="20"/>
        </w:rPr>
        <w:t>cost of ZNE</w:t>
      </w:r>
    </w:p>
    <w:p w:rsidR="00C31389" w:rsidRDefault="00C31389" w14:paraId="5CDBD955" w14:textId="77777777">
      <w:pPr>
        <w:pStyle w:val="BodyText"/>
      </w:pPr>
    </w:p>
    <w:p w:rsidR="00C31389" w:rsidRDefault="00C31389" w14:paraId="792D7575" w14:textId="77777777">
      <w:pPr>
        <w:pStyle w:val="BodyText"/>
      </w:pPr>
    </w:p>
    <w:p w:rsidR="00C31389" w:rsidRDefault="00C31389" w14:paraId="5FFFF2B4" w14:textId="77777777">
      <w:pPr>
        <w:pStyle w:val="BodyText"/>
      </w:pPr>
    </w:p>
    <w:p w:rsidR="00C31389" w:rsidRDefault="00C31389" w14:paraId="790EBE20" w14:textId="77777777">
      <w:pPr>
        <w:pStyle w:val="BodyText"/>
      </w:pPr>
    </w:p>
    <w:p w:rsidR="00C31389" w:rsidRDefault="00561FBD" w14:paraId="45A0D08E" w14:textId="77777777">
      <w:pPr>
        <w:spacing w:before="134"/>
        <w:ind w:left="144"/>
        <w:rPr>
          <w:sz w:val="20"/>
        </w:rPr>
      </w:pPr>
      <w:r>
        <w:rPr>
          <w:noProof/>
        </w:rPr>
        <mc:AlternateContent>
          <mc:Choice Requires="wps">
            <w:drawing>
              <wp:anchor distT="0" distB="0" distL="0" distR="0" simplePos="0" relativeHeight="15787008" behindDoc="0" locked="0" layoutInCell="1" allowOverlap="1" wp14:editId="361A8789" wp14:anchorId="43913E94">
                <wp:simplePos x="0" y="0"/>
                <wp:positionH relativeFrom="page">
                  <wp:posOffset>914400</wp:posOffset>
                </wp:positionH>
                <wp:positionV relativeFrom="paragraph">
                  <wp:posOffset>52563</wp:posOffset>
                </wp:positionV>
                <wp:extent cx="5943600" cy="635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2258555" y="0"/>
                              </a:moveTo>
                              <a:lnTo>
                                <a:pt x="1091946" y="0"/>
                              </a:lnTo>
                              <a:lnTo>
                                <a:pt x="1085850" y="0"/>
                              </a:lnTo>
                              <a:lnTo>
                                <a:pt x="0" y="0"/>
                              </a:lnTo>
                              <a:lnTo>
                                <a:pt x="0" y="6108"/>
                              </a:lnTo>
                              <a:lnTo>
                                <a:pt x="1085850" y="6108"/>
                              </a:lnTo>
                              <a:lnTo>
                                <a:pt x="1091946" y="6108"/>
                              </a:lnTo>
                              <a:lnTo>
                                <a:pt x="2258555" y="6108"/>
                              </a:lnTo>
                              <a:lnTo>
                                <a:pt x="2258555" y="0"/>
                              </a:lnTo>
                              <a:close/>
                            </a:path>
                            <a:path w="5943600" h="6350">
                              <a:moveTo>
                                <a:pt x="5943600" y="0"/>
                              </a:moveTo>
                              <a:lnTo>
                                <a:pt x="2264664" y="0"/>
                              </a:lnTo>
                              <a:lnTo>
                                <a:pt x="2258568" y="0"/>
                              </a:lnTo>
                              <a:lnTo>
                                <a:pt x="2258568" y="6108"/>
                              </a:lnTo>
                              <a:lnTo>
                                <a:pt x="226466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70" style="position:absolute;margin-left:1in;margin-top:4.15pt;width:468pt;height:.5pt;z-index:15787008;visibility:visible;mso-wrap-style:square;mso-wrap-distance-left:0;mso-wrap-distance-top:0;mso-wrap-distance-right:0;mso-wrap-distance-bottom:0;mso-position-horizontal:absolute;mso-position-horizontal-relative:page;mso-position-vertical:absolute;mso-position-vertical-relative:text;v-text-anchor:top" coordsize="5943600,6350" o:spid="_x0000_s1026" fillcolor="black" stroked="f" path="m2258555,l1091946,r-6096,l,,,6108r1085850,l1091946,6108r1166609,l2258555,xem5943600,l2264664,r-6096,l2258568,6108r6096,l5943600,6108r,-61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" w14:anchorId="64A2E8B9">
                <v:path arrowok="t"/>
                <w10:wrap anchorx="page"/>
              </v:shape>
            </w:pict>
          </mc:Fallback>
        </mc:AlternateContent>
      </w:r>
      <w:r>
        <w:rPr>
          <w:noProof/>
        </w:rPr>
        <mc:AlternateContent>
          <mc:Choice Requires="wps">
            <w:drawing>
              <wp:anchor distT="0" distB="0" distL="0" distR="0" simplePos="0" relativeHeight="15787520" behindDoc="0" locked="0" layoutInCell="1" allowOverlap="1" wp14:editId="3496A96E" wp14:anchorId="32CE6F75">
                <wp:simplePos x="0" y="0"/>
                <wp:positionH relativeFrom="page">
                  <wp:posOffset>2000250</wp:posOffset>
                </wp:positionH>
                <wp:positionV relativeFrom="paragraph">
                  <wp:posOffset>547888</wp:posOffset>
                </wp:positionV>
                <wp:extent cx="4857750" cy="317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3175"/>
                        </a:xfrm>
                        <a:custGeom>
                          <a:avLst/>
                          <a:gdLst/>
                          <a:ahLst/>
                          <a:cxnLst/>
                          <a:rect l="l" t="t" r="r" b="b"/>
                          <a:pathLst>
                            <a:path w="4857750" h="3175">
                              <a:moveTo>
                                <a:pt x="4857750" y="0"/>
                              </a:moveTo>
                              <a:lnTo>
                                <a:pt x="1175766" y="0"/>
                              </a:lnTo>
                              <a:lnTo>
                                <a:pt x="1172718" y="0"/>
                              </a:lnTo>
                              <a:lnTo>
                                <a:pt x="0" y="0"/>
                              </a:lnTo>
                              <a:lnTo>
                                <a:pt x="0" y="3035"/>
                              </a:lnTo>
                              <a:lnTo>
                                <a:pt x="1172718" y="3035"/>
                              </a:lnTo>
                              <a:lnTo>
                                <a:pt x="1175766" y="3035"/>
                              </a:lnTo>
                              <a:lnTo>
                                <a:pt x="4857750" y="3035"/>
                              </a:lnTo>
                              <a:lnTo>
                                <a:pt x="485775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371" style="position:absolute;margin-left:157.5pt;margin-top:43.15pt;width:382.5pt;height:.25pt;z-index:15787520;visibility:visible;mso-wrap-style:square;mso-wrap-distance-left:0;mso-wrap-distance-top:0;mso-wrap-distance-right:0;mso-wrap-distance-bottom:0;mso-position-horizontal:absolute;mso-position-horizontal-relative:page;mso-position-vertical:absolute;mso-position-vertical-relative:text;v-text-anchor:top" coordsize="4857750,3175" o:spid="_x0000_s1026" fillcolor="#d9d9d9" stroked="f" path="m4857750,l1175766,r-3048,l,,,3035r1172718,l1175766,3035r3681984,l48577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" w14:anchorId="5B9A2D33">
                <v:path arrowok="t"/>
                <w10:wrap anchorx="page"/>
              </v:shape>
            </w:pict>
          </mc:Fallback>
        </mc:AlternateContent>
      </w:r>
      <w:r>
        <w:rPr>
          <w:sz w:val="20"/>
        </w:rPr>
        <w:t>2016</w:t>
      </w:r>
      <w:r>
        <w:rPr>
          <w:spacing w:val="-14"/>
          <w:sz w:val="20"/>
        </w:rPr>
        <w:t xml:space="preserve"> </w:t>
      </w:r>
      <w:r>
        <w:rPr>
          <w:sz w:val="20"/>
        </w:rPr>
        <w:t>Title</w:t>
      </w:r>
      <w:r>
        <w:rPr>
          <w:spacing w:val="-14"/>
          <w:sz w:val="20"/>
        </w:rPr>
        <w:t xml:space="preserve"> </w:t>
      </w:r>
      <w:r>
        <w:rPr>
          <w:sz w:val="20"/>
        </w:rPr>
        <w:t xml:space="preserve">24 </w:t>
      </w:r>
      <w:r>
        <w:rPr>
          <w:spacing w:val="-2"/>
          <w:sz w:val="20"/>
        </w:rPr>
        <w:t>energy consumption</w:t>
      </w:r>
    </w:p>
    <w:p w:rsidR="00C31389" w:rsidRDefault="00561FBD" w14:paraId="456DA609" w14:textId="77777777">
      <w:pPr>
        <w:spacing w:before="104"/>
        <w:ind w:left="144"/>
        <w:rPr>
          <w:sz w:val="20"/>
        </w:rPr>
      </w:pPr>
      <w:r>
        <w:rPr>
          <w:sz w:val="20"/>
        </w:rPr>
        <w:t>2019</w:t>
      </w:r>
      <w:r>
        <w:rPr>
          <w:spacing w:val="-14"/>
          <w:sz w:val="20"/>
        </w:rPr>
        <w:t xml:space="preserve"> </w:t>
      </w:r>
      <w:r>
        <w:rPr>
          <w:sz w:val="20"/>
        </w:rPr>
        <w:t>Title</w:t>
      </w:r>
      <w:r>
        <w:rPr>
          <w:spacing w:val="-14"/>
          <w:sz w:val="20"/>
        </w:rPr>
        <w:t xml:space="preserve"> </w:t>
      </w:r>
      <w:r>
        <w:rPr>
          <w:sz w:val="20"/>
        </w:rPr>
        <w:t xml:space="preserve">24 </w:t>
      </w:r>
      <w:r>
        <w:rPr>
          <w:spacing w:val="-2"/>
          <w:sz w:val="20"/>
        </w:rPr>
        <w:t>energy consumption</w:t>
      </w:r>
    </w:p>
    <w:p w:rsidR="00C31389" w:rsidRDefault="00561FBD" w14:paraId="1A8787EE" w14:textId="77777777">
      <w:pPr>
        <w:spacing w:before="105"/>
        <w:ind w:left="144"/>
        <w:rPr>
          <w:sz w:val="20"/>
        </w:rPr>
      </w:pPr>
      <w:r>
        <w:rPr>
          <w:noProof/>
        </w:rPr>
        <mc:AlternateContent>
          <mc:Choice Requires="wps">
            <w:drawing>
              <wp:anchor distT="0" distB="0" distL="0" distR="0" simplePos="0" relativeHeight="15788032" behindDoc="0" locked="0" layoutInCell="1" allowOverlap="1" wp14:editId="6AF7225A" wp14:anchorId="12EEB735">
                <wp:simplePos x="0" y="0"/>
                <wp:positionH relativeFrom="page">
                  <wp:posOffset>2000250</wp:posOffset>
                </wp:positionH>
                <wp:positionV relativeFrom="paragraph">
                  <wp:posOffset>37971</wp:posOffset>
                </wp:positionV>
                <wp:extent cx="4857750" cy="31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3175"/>
                        </a:xfrm>
                        <a:custGeom>
                          <a:avLst/>
                          <a:gdLst/>
                          <a:ahLst/>
                          <a:cxnLst/>
                          <a:rect l="l" t="t" r="r" b="b"/>
                          <a:pathLst>
                            <a:path w="4857750" h="3175">
                              <a:moveTo>
                                <a:pt x="4857750" y="0"/>
                              </a:moveTo>
                              <a:lnTo>
                                <a:pt x="1175766" y="0"/>
                              </a:lnTo>
                              <a:lnTo>
                                <a:pt x="1172718" y="0"/>
                              </a:lnTo>
                              <a:lnTo>
                                <a:pt x="0" y="0"/>
                              </a:lnTo>
                              <a:lnTo>
                                <a:pt x="0" y="3048"/>
                              </a:lnTo>
                              <a:lnTo>
                                <a:pt x="1172718" y="3048"/>
                              </a:lnTo>
                              <a:lnTo>
                                <a:pt x="1175766" y="3048"/>
                              </a:lnTo>
                              <a:lnTo>
                                <a:pt x="4857750" y="3048"/>
                              </a:lnTo>
                              <a:lnTo>
                                <a:pt x="485775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372" style="position:absolute;margin-left:157.5pt;margin-top:3pt;width:382.5pt;height:.25pt;z-index:15788032;visibility:visible;mso-wrap-style:square;mso-wrap-distance-left:0;mso-wrap-distance-top:0;mso-wrap-distance-right:0;mso-wrap-distance-bottom:0;mso-position-horizontal:absolute;mso-position-horizontal-relative:page;mso-position-vertical:absolute;mso-position-vertical-relative:text;v-text-anchor:top" coordsize="4857750,3175" o:spid="_x0000_s1026" fillcolor="#d9d9d9" stroked="f" path="m4857750,l1175766,r-3048,l,,,3048r1172718,l1175766,3048r3681984,l48577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" w14:anchorId="25530D35">
                <v:path arrowok="t"/>
                <w10:wrap anchorx="page"/>
              </v:shape>
            </w:pict>
          </mc:Fallback>
        </mc:AlternateContent>
      </w:r>
      <w:r>
        <w:rPr>
          <w:sz w:val="20"/>
        </w:rPr>
        <w:t xml:space="preserve">ZNE energy </w:t>
      </w:r>
      <w:r>
        <w:rPr>
          <w:spacing w:val="-2"/>
          <w:sz w:val="20"/>
        </w:rPr>
        <w:t>consumption</w:t>
      </w:r>
    </w:p>
    <w:p w:rsidR="00C31389" w:rsidRDefault="00561FBD" w14:paraId="5C767513" w14:textId="77777777">
      <w:pPr>
        <w:spacing w:before="15"/>
        <w:ind w:left="338" w:right="705"/>
        <w:rPr>
          <w:sz w:val="20"/>
        </w:rPr>
      </w:pPr>
      <w:r>
        <w:br w:type="column"/>
      </w:r>
      <w:r>
        <w:rPr>
          <w:sz w:val="20"/>
        </w:rPr>
        <w:t>California</w:t>
      </w:r>
      <w:r>
        <w:rPr>
          <w:spacing w:val="-6"/>
          <w:sz w:val="20"/>
        </w:rPr>
        <w:t xml:space="preserve"> </w:t>
      </w:r>
      <w:r>
        <w:rPr>
          <w:sz w:val="20"/>
        </w:rPr>
        <w:t>Energy</w:t>
      </w:r>
      <w:r>
        <w:rPr>
          <w:spacing w:val="-6"/>
          <w:sz w:val="20"/>
        </w:rPr>
        <w:t xml:space="preserve"> </w:t>
      </w:r>
      <w:r>
        <w:rPr>
          <w:sz w:val="20"/>
        </w:rPr>
        <w:t>Commission,</w:t>
      </w:r>
      <w:r>
        <w:rPr>
          <w:spacing w:val="-6"/>
          <w:sz w:val="20"/>
        </w:rPr>
        <w:t xml:space="preserve"> </w:t>
      </w:r>
      <w:r>
        <w:rPr>
          <w:sz w:val="20"/>
        </w:rPr>
        <w:t>2016</w:t>
      </w:r>
      <w:r>
        <w:rPr>
          <w:spacing w:val="-6"/>
          <w:sz w:val="20"/>
        </w:rPr>
        <w:t xml:space="preserve"> </w:t>
      </w:r>
      <w:r>
        <w:rPr>
          <w:sz w:val="20"/>
        </w:rPr>
        <w:t>Notice</w:t>
      </w:r>
      <w:r>
        <w:rPr>
          <w:spacing w:val="-6"/>
          <w:sz w:val="20"/>
        </w:rPr>
        <w:t xml:space="preserve"> </w:t>
      </w:r>
      <w:r>
        <w:rPr>
          <w:sz w:val="20"/>
        </w:rPr>
        <w:t>of</w:t>
      </w:r>
      <w:r>
        <w:rPr>
          <w:spacing w:val="-6"/>
          <w:sz w:val="20"/>
        </w:rPr>
        <w:t xml:space="preserve"> </w:t>
      </w:r>
      <w:r>
        <w:rPr>
          <w:sz w:val="20"/>
        </w:rPr>
        <w:t>Proposed Action</w:t>
      </w:r>
      <w:r>
        <w:rPr>
          <w:spacing w:val="-37"/>
          <w:sz w:val="20"/>
        </w:rPr>
        <w:t xml:space="preserve"> </w:t>
      </w:r>
      <w:hyperlink w:history="1" w:anchor="_bookmark155">
        <w:r>
          <w:rPr>
            <w:sz w:val="20"/>
            <w:vertAlign w:val="superscript"/>
          </w:rPr>
          <w:t>45</w:t>
        </w:r>
      </w:hyperlink>
    </w:p>
    <w:p w:rsidR="00C31389" w:rsidRDefault="00C31389" w14:paraId="47763BE9" w14:textId="77777777">
      <w:pPr>
        <w:pStyle w:val="BodyText"/>
        <w:spacing w:before="5"/>
        <w:rPr>
          <w:sz w:val="17"/>
        </w:rPr>
      </w:pPr>
    </w:p>
    <w:p w:rsidR="00C31389" w:rsidRDefault="00561FBD" w14:paraId="1DE5239A" w14:textId="77777777">
      <w:pPr>
        <w:ind w:left="338"/>
        <w:rPr>
          <w:sz w:val="20"/>
        </w:rPr>
      </w:pPr>
      <w:r>
        <w:rPr>
          <w:sz w:val="20"/>
        </w:rPr>
        <w:t>Extrapolation</w:t>
      </w:r>
      <w:r>
        <w:rPr>
          <w:spacing w:val="-7"/>
          <w:sz w:val="20"/>
        </w:rPr>
        <w:t xml:space="preserve"> </w:t>
      </w:r>
      <w:r>
        <w:rPr>
          <w:sz w:val="20"/>
        </w:rPr>
        <w:t>based</w:t>
      </w:r>
      <w:r>
        <w:rPr>
          <w:spacing w:val="-4"/>
          <w:sz w:val="20"/>
        </w:rPr>
        <w:t xml:space="preserve"> </w:t>
      </w:r>
      <w:r>
        <w:rPr>
          <w:sz w:val="20"/>
        </w:rPr>
        <w:t>on</w:t>
      </w:r>
      <w:r>
        <w:rPr>
          <w:spacing w:val="-4"/>
          <w:sz w:val="20"/>
        </w:rPr>
        <w:t xml:space="preserve"> </w:t>
      </w:r>
      <w:r>
        <w:rPr>
          <w:sz w:val="20"/>
        </w:rPr>
        <w:t>2016</w:t>
      </w:r>
      <w:r>
        <w:rPr>
          <w:spacing w:val="-4"/>
          <w:sz w:val="20"/>
        </w:rPr>
        <w:t xml:space="preserve"> </w:t>
      </w:r>
      <w:r>
        <w:rPr>
          <w:sz w:val="20"/>
        </w:rPr>
        <w:t>Title</w:t>
      </w:r>
      <w:r>
        <w:rPr>
          <w:spacing w:val="-4"/>
          <w:sz w:val="20"/>
        </w:rPr>
        <w:t xml:space="preserve"> </w:t>
      </w:r>
      <w:r>
        <w:rPr>
          <w:spacing w:val="-5"/>
          <w:sz w:val="20"/>
        </w:rPr>
        <w:t>24</w:t>
      </w:r>
    </w:p>
    <w:p w:rsidR="00C31389" w:rsidRDefault="00C31389" w14:paraId="7A938922" w14:textId="77777777">
      <w:pPr>
        <w:pStyle w:val="BodyText"/>
        <w:spacing w:before="4"/>
        <w:rPr>
          <w:sz w:val="17"/>
        </w:rPr>
      </w:pPr>
    </w:p>
    <w:p w:rsidR="00C31389" w:rsidRDefault="00561FBD" w14:paraId="0900D46B" w14:textId="77777777">
      <w:pPr>
        <w:ind w:left="338" w:right="705"/>
        <w:rPr>
          <w:sz w:val="20"/>
        </w:rPr>
      </w:pPr>
      <w:r>
        <w:rPr>
          <w:sz w:val="20"/>
        </w:rPr>
        <w:t>Residential:</w:t>
      </w:r>
      <w:r>
        <w:rPr>
          <w:spacing w:val="-6"/>
          <w:sz w:val="20"/>
        </w:rPr>
        <w:t xml:space="preserve"> </w:t>
      </w:r>
      <w:r>
        <w:rPr>
          <w:sz w:val="20"/>
        </w:rPr>
        <w:t>CEC</w:t>
      </w:r>
      <w:r>
        <w:rPr>
          <w:spacing w:val="-5"/>
          <w:sz w:val="20"/>
        </w:rPr>
        <w:t xml:space="preserve"> </w:t>
      </w:r>
      <w:r>
        <w:rPr>
          <w:sz w:val="20"/>
        </w:rPr>
        <w:t>Draft</w:t>
      </w:r>
      <w:r>
        <w:rPr>
          <w:spacing w:val="-6"/>
          <w:sz w:val="20"/>
        </w:rPr>
        <w:t xml:space="preserve"> </w:t>
      </w:r>
      <w:r>
        <w:rPr>
          <w:sz w:val="20"/>
        </w:rPr>
        <w:t>Title</w:t>
      </w:r>
      <w:r>
        <w:rPr>
          <w:spacing w:val="-6"/>
          <w:sz w:val="20"/>
        </w:rPr>
        <w:t xml:space="preserve"> </w:t>
      </w:r>
      <w:r>
        <w:rPr>
          <w:sz w:val="20"/>
        </w:rPr>
        <w:t>24</w:t>
      </w:r>
      <w:r>
        <w:rPr>
          <w:spacing w:val="-6"/>
          <w:sz w:val="20"/>
        </w:rPr>
        <w:t xml:space="preserve"> </w:t>
      </w:r>
      <w:r>
        <w:rPr>
          <w:sz w:val="20"/>
        </w:rPr>
        <w:t>Code</w:t>
      </w:r>
      <w:r>
        <w:rPr>
          <w:spacing w:val="-6"/>
          <w:sz w:val="20"/>
        </w:rPr>
        <w:t xml:space="preserve"> </w:t>
      </w:r>
      <w:r>
        <w:rPr>
          <w:sz w:val="20"/>
        </w:rPr>
        <w:t>Update</w:t>
      </w:r>
      <w:r>
        <w:rPr>
          <w:spacing w:val="-6"/>
          <w:sz w:val="20"/>
        </w:rPr>
        <w:t xml:space="preserve"> </w:t>
      </w:r>
      <w:r>
        <w:rPr>
          <w:sz w:val="20"/>
        </w:rPr>
        <w:t>Analysis provided to the team</w:t>
      </w:r>
    </w:p>
    <w:p w:rsidR="00C31389" w:rsidRDefault="00561FBD" w14:paraId="7FE1B21B" w14:textId="77777777">
      <w:pPr>
        <w:spacing w:before="41" w:line="230" w:lineRule="exact"/>
        <w:ind w:left="338"/>
        <w:rPr>
          <w:sz w:val="20"/>
        </w:rPr>
      </w:pPr>
      <w:r>
        <w:rPr>
          <w:spacing w:val="-2"/>
          <w:sz w:val="20"/>
        </w:rPr>
        <w:t>Commercial:</w:t>
      </w:r>
    </w:p>
    <w:p w:rsidR="00C31389" w:rsidRDefault="00561FBD" w14:paraId="107AC094" w14:textId="77777777">
      <w:pPr>
        <w:ind w:left="338" w:right="748"/>
        <w:rPr>
          <w:sz w:val="20"/>
        </w:rPr>
      </w:pPr>
      <w:r>
        <w:rPr>
          <w:sz w:val="20"/>
        </w:rPr>
        <w:t>New</w:t>
      </w:r>
      <w:r>
        <w:rPr>
          <w:spacing w:val="-3"/>
          <w:sz w:val="20"/>
        </w:rPr>
        <w:t xml:space="preserve"> </w:t>
      </w:r>
      <w:r>
        <w:rPr>
          <w:sz w:val="20"/>
        </w:rPr>
        <w:t>Building</w:t>
      </w:r>
      <w:r>
        <w:rPr>
          <w:spacing w:val="-5"/>
          <w:sz w:val="20"/>
        </w:rPr>
        <w:t xml:space="preserve"> </w:t>
      </w:r>
      <w:r>
        <w:rPr>
          <w:sz w:val="20"/>
        </w:rPr>
        <w:t>Institute,</w:t>
      </w:r>
      <w:r>
        <w:rPr>
          <w:spacing w:val="-5"/>
          <w:sz w:val="20"/>
        </w:rPr>
        <w:t xml:space="preserve"> </w:t>
      </w:r>
      <w:r>
        <w:rPr>
          <w:i/>
          <w:sz w:val="20"/>
        </w:rPr>
        <w:t>Getting</w:t>
      </w:r>
      <w:r>
        <w:rPr>
          <w:i/>
          <w:spacing w:val="-4"/>
          <w:sz w:val="20"/>
        </w:rPr>
        <w:t xml:space="preserve"> </w:t>
      </w:r>
      <w:r>
        <w:rPr>
          <w:i/>
          <w:sz w:val="20"/>
        </w:rPr>
        <w:t>to</w:t>
      </w:r>
      <w:r>
        <w:rPr>
          <w:i/>
          <w:spacing w:val="-4"/>
          <w:sz w:val="20"/>
        </w:rPr>
        <w:t xml:space="preserve"> </w:t>
      </w:r>
      <w:r>
        <w:rPr>
          <w:i/>
          <w:sz w:val="20"/>
        </w:rPr>
        <w:t>Zero</w:t>
      </w:r>
      <w:r>
        <w:rPr>
          <w:i/>
          <w:spacing w:val="-4"/>
          <w:sz w:val="20"/>
        </w:rPr>
        <w:t xml:space="preserve"> </w:t>
      </w:r>
      <w:r>
        <w:rPr>
          <w:i/>
          <w:sz w:val="20"/>
        </w:rPr>
        <w:t>2012</w:t>
      </w:r>
      <w:r>
        <w:rPr>
          <w:i/>
          <w:spacing w:val="-4"/>
          <w:sz w:val="20"/>
        </w:rPr>
        <w:t xml:space="preserve"> </w:t>
      </w:r>
      <w:r>
        <w:rPr>
          <w:i/>
          <w:sz w:val="20"/>
        </w:rPr>
        <w:t>Status</w:t>
      </w:r>
      <w:r>
        <w:rPr>
          <w:i/>
          <w:spacing w:val="-3"/>
          <w:sz w:val="20"/>
        </w:rPr>
        <w:t xml:space="preserve"> </w:t>
      </w:r>
      <w:r>
        <w:rPr>
          <w:i/>
          <w:sz w:val="20"/>
        </w:rPr>
        <w:t>Update:</w:t>
      </w:r>
      <w:r>
        <w:rPr>
          <w:i/>
          <w:spacing w:val="-4"/>
          <w:sz w:val="20"/>
        </w:rPr>
        <w:t xml:space="preserve"> </w:t>
      </w:r>
      <w:r>
        <w:rPr>
          <w:i/>
          <w:sz w:val="20"/>
        </w:rPr>
        <w:t xml:space="preserve">A First Look at the Costs and </w:t>
      </w:r>
      <w:r>
        <w:rPr>
          <w:i/>
          <w:sz w:val="20"/>
        </w:rPr>
        <w:t>Features of Zero Energy Commercial Buildings</w:t>
      </w:r>
      <w:r>
        <w:rPr>
          <w:sz w:val="20"/>
        </w:rPr>
        <w:t xml:space="preserve">: </w:t>
      </w:r>
      <w:r>
        <w:rPr>
          <w:color w:val="68942C"/>
          <w:sz w:val="20"/>
          <w:u w:val="single" w:color="68942C"/>
        </w:rPr>
        <w:t>https://newbuildings.org/wp-</w:t>
      </w:r>
      <w:r>
        <w:rPr>
          <w:color w:val="68942C"/>
          <w:sz w:val="20"/>
        </w:rPr>
        <w:t xml:space="preserve"> </w:t>
      </w:r>
      <w:r>
        <w:rPr>
          <w:color w:val="68942C"/>
          <w:spacing w:val="-2"/>
          <w:sz w:val="20"/>
          <w:u w:val="single" w:color="68942C"/>
        </w:rPr>
        <w:t>content/uploads/2015/11/GettingtoZeroReport_01.pdf</w:t>
      </w:r>
      <w:r>
        <w:rPr>
          <w:color w:val="68942C"/>
          <w:spacing w:val="80"/>
          <w:sz w:val="20"/>
        </w:rPr>
        <w:t xml:space="preserve">  </w:t>
      </w:r>
      <w:r>
        <w:rPr>
          <w:sz w:val="20"/>
        </w:rPr>
        <w:t>Comm. RE Specialists, Cost Per Square Foot For New Commercial Construction, 2013</w:t>
      </w:r>
    </w:p>
    <w:p w:rsidR="00C31389" w:rsidRDefault="00561FBD" w14:paraId="503AB087" w14:textId="77777777">
      <w:pPr>
        <w:ind w:left="338" w:right="611"/>
        <w:rPr>
          <w:sz w:val="20"/>
        </w:rPr>
      </w:pPr>
      <w:r>
        <w:rPr>
          <w:sz w:val="20"/>
        </w:rPr>
        <w:t>Reed</w:t>
      </w:r>
      <w:r>
        <w:rPr>
          <w:spacing w:val="-5"/>
          <w:sz w:val="20"/>
        </w:rPr>
        <w:t xml:space="preserve"> </w:t>
      </w:r>
      <w:r>
        <w:rPr>
          <w:sz w:val="20"/>
        </w:rPr>
        <w:t>Construction</w:t>
      </w:r>
      <w:r>
        <w:rPr>
          <w:spacing w:val="-6"/>
          <w:sz w:val="20"/>
        </w:rPr>
        <w:t xml:space="preserve"> </w:t>
      </w:r>
      <w:r>
        <w:rPr>
          <w:sz w:val="20"/>
        </w:rPr>
        <w:t>Data</w:t>
      </w:r>
      <w:r>
        <w:rPr>
          <w:spacing w:val="-5"/>
          <w:sz w:val="20"/>
        </w:rPr>
        <w:t xml:space="preserve"> </w:t>
      </w:r>
      <w:r>
        <w:rPr>
          <w:sz w:val="20"/>
        </w:rPr>
        <w:t>Inc.,</w:t>
      </w:r>
      <w:r>
        <w:rPr>
          <w:spacing w:val="-6"/>
          <w:sz w:val="20"/>
        </w:rPr>
        <w:t xml:space="preserve"> </w:t>
      </w:r>
      <w:r>
        <w:rPr>
          <w:sz w:val="20"/>
        </w:rPr>
        <w:t>RS</w:t>
      </w:r>
      <w:r>
        <w:rPr>
          <w:spacing w:val="-5"/>
          <w:sz w:val="20"/>
        </w:rPr>
        <w:t xml:space="preserve"> </w:t>
      </w:r>
      <w:r>
        <w:rPr>
          <w:sz w:val="20"/>
        </w:rPr>
        <w:t>Means</w:t>
      </w:r>
      <w:r>
        <w:rPr>
          <w:spacing w:val="-4"/>
          <w:sz w:val="20"/>
        </w:rPr>
        <w:t xml:space="preserve"> </w:t>
      </w:r>
      <w:r>
        <w:rPr>
          <w:sz w:val="20"/>
        </w:rPr>
        <w:t>Square</w:t>
      </w:r>
      <w:r>
        <w:rPr>
          <w:spacing w:val="-5"/>
          <w:sz w:val="20"/>
        </w:rPr>
        <w:t xml:space="preserve"> </w:t>
      </w:r>
      <w:r>
        <w:rPr>
          <w:sz w:val="20"/>
        </w:rPr>
        <w:t xml:space="preserve">Foot Estimator, 2013: </w:t>
      </w:r>
      <w:hyperlink r:id="rId132">
        <w:r>
          <w:rPr>
            <w:color w:val="68942C"/>
            <w:sz w:val="20"/>
            <w:u w:val="single" w:color="68942C"/>
          </w:rPr>
          <w:t>http://www.rsmeansonline.com</w:t>
        </w:r>
      </w:hyperlink>
    </w:p>
    <w:p w:rsidR="00C31389" w:rsidRDefault="00561FBD" w14:paraId="7692FECF" w14:textId="77777777">
      <w:pPr>
        <w:spacing w:before="9" w:line="540" w:lineRule="atLeast"/>
        <w:ind w:left="338" w:right="705" w:hanging="1"/>
        <w:rPr>
          <w:sz w:val="20"/>
        </w:rPr>
      </w:pPr>
      <w:r>
        <w:rPr>
          <w:sz w:val="20"/>
        </w:rPr>
        <w:t>Communications</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CEC,</w:t>
      </w:r>
      <w:r>
        <w:rPr>
          <w:spacing w:val="-8"/>
          <w:sz w:val="20"/>
        </w:rPr>
        <w:t xml:space="preserve"> </w:t>
      </w:r>
      <w:r>
        <w:rPr>
          <w:sz w:val="20"/>
        </w:rPr>
        <w:t>January</w:t>
      </w:r>
      <w:r>
        <w:rPr>
          <w:spacing w:val="-7"/>
          <w:sz w:val="20"/>
        </w:rPr>
        <w:t xml:space="preserve"> </w:t>
      </w:r>
      <w:r>
        <w:rPr>
          <w:sz w:val="20"/>
        </w:rPr>
        <w:t>2019 Communications</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CEC,</w:t>
      </w:r>
      <w:r>
        <w:rPr>
          <w:spacing w:val="-4"/>
          <w:sz w:val="20"/>
        </w:rPr>
        <w:t xml:space="preserve"> </w:t>
      </w:r>
      <w:r>
        <w:rPr>
          <w:sz w:val="20"/>
        </w:rPr>
        <w:t>January</w:t>
      </w:r>
      <w:r>
        <w:rPr>
          <w:spacing w:val="-3"/>
          <w:sz w:val="20"/>
        </w:rPr>
        <w:t xml:space="preserve"> </w:t>
      </w:r>
      <w:r>
        <w:rPr>
          <w:spacing w:val="-4"/>
          <w:sz w:val="20"/>
        </w:rPr>
        <w:t>2019</w:t>
      </w:r>
    </w:p>
    <w:p w:rsidR="00C31389" w:rsidRDefault="00561FBD" w14:paraId="00464E41" w14:textId="77777777">
      <w:pPr>
        <w:spacing w:before="45"/>
        <w:ind w:left="338" w:right="705"/>
        <w:rPr>
          <w:sz w:val="20"/>
        </w:rPr>
      </w:pPr>
      <w:r>
        <w:rPr>
          <w:sz w:val="20"/>
        </w:rPr>
        <w:t>CEC,</w:t>
      </w:r>
      <w:r>
        <w:rPr>
          <w:spacing w:val="-6"/>
          <w:sz w:val="20"/>
        </w:rPr>
        <w:t xml:space="preserve"> </w:t>
      </w:r>
      <w:r>
        <w:rPr>
          <w:sz w:val="20"/>
        </w:rPr>
        <w:t>CBECC-Res</w:t>
      </w:r>
      <w:r>
        <w:rPr>
          <w:spacing w:val="-5"/>
          <w:sz w:val="20"/>
        </w:rPr>
        <w:t xml:space="preserve"> </w:t>
      </w:r>
      <w:r>
        <w:rPr>
          <w:sz w:val="20"/>
        </w:rPr>
        <w:t>and</w:t>
      </w:r>
      <w:r>
        <w:rPr>
          <w:spacing w:val="-7"/>
          <w:sz w:val="20"/>
        </w:rPr>
        <w:t xml:space="preserve"> </w:t>
      </w:r>
      <w:r>
        <w:rPr>
          <w:sz w:val="20"/>
        </w:rPr>
        <w:t>CBECC-Com</w:t>
      </w:r>
      <w:r>
        <w:rPr>
          <w:spacing w:val="-6"/>
          <w:sz w:val="20"/>
        </w:rPr>
        <w:t xml:space="preserve"> </w:t>
      </w:r>
      <w:r>
        <w:rPr>
          <w:sz w:val="20"/>
        </w:rPr>
        <w:t>201</w:t>
      </w:r>
      <w:r>
        <w:rPr>
          <w:sz w:val="20"/>
        </w:rPr>
        <w:t>9</w:t>
      </w:r>
      <w:r>
        <w:rPr>
          <w:spacing w:val="-6"/>
          <w:sz w:val="20"/>
        </w:rPr>
        <w:t xml:space="preserve"> </w:t>
      </w:r>
      <w:r>
        <w:rPr>
          <w:sz w:val="20"/>
        </w:rPr>
        <w:t>Standard</w:t>
      </w:r>
      <w:r>
        <w:rPr>
          <w:spacing w:val="-7"/>
          <w:sz w:val="20"/>
        </w:rPr>
        <w:t xml:space="preserve"> </w:t>
      </w:r>
      <w:r>
        <w:rPr>
          <w:sz w:val="20"/>
        </w:rPr>
        <w:t>Design Results, September 2020</w:t>
      </w:r>
    </w:p>
    <w:p w:rsidR="00C31389" w:rsidRDefault="00561FBD" w14:paraId="2434BB41" w14:textId="77777777">
      <w:pPr>
        <w:spacing w:before="85"/>
        <w:ind w:left="338" w:right="593"/>
        <w:rPr>
          <w:sz w:val="20"/>
        </w:rPr>
      </w:pPr>
      <w:r>
        <w:rPr>
          <w:sz w:val="20"/>
        </w:rPr>
        <w:t>ARUP,</w:t>
      </w:r>
      <w:r>
        <w:rPr>
          <w:spacing w:val="-6"/>
          <w:sz w:val="20"/>
        </w:rPr>
        <w:t xml:space="preserve"> </w:t>
      </w:r>
      <w:r>
        <w:rPr>
          <w:i/>
          <w:sz w:val="20"/>
        </w:rPr>
        <w:t>The</w:t>
      </w:r>
      <w:r>
        <w:rPr>
          <w:i/>
          <w:spacing w:val="-5"/>
          <w:sz w:val="20"/>
        </w:rPr>
        <w:t xml:space="preserve"> </w:t>
      </w:r>
      <w:r>
        <w:rPr>
          <w:i/>
          <w:sz w:val="20"/>
        </w:rPr>
        <w:t>Technical</w:t>
      </w:r>
      <w:r>
        <w:rPr>
          <w:i/>
          <w:spacing w:val="-5"/>
          <w:sz w:val="20"/>
        </w:rPr>
        <w:t xml:space="preserve"> </w:t>
      </w:r>
      <w:r>
        <w:rPr>
          <w:i/>
          <w:sz w:val="20"/>
        </w:rPr>
        <w:t>Feasibility</w:t>
      </w:r>
      <w:r>
        <w:rPr>
          <w:i/>
          <w:spacing w:val="-4"/>
          <w:sz w:val="20"/>
        </w:rPr>
        <w:t xml:space="preserve"> </w:t>
      </w:r>
      <w:r>
        <w:rPr>
          <w:i/>
          <w:sz w:val="20"/>
        </w:rPr>
        <w:t>of</w:t>
      </w:r>
      <w:r>
        <w:rPr>
          <w:i/>
          <w:spacing w:val="-5"/>
          <w:sz w:val="20"/>
        </w:rPr>
        <w:t xml:space="preserve"> </w:t>
      </w:r>
      <w:r>
        <w:rPr>
          <w:i/>
          <w:sz w:val="20"/>
        </w:rPr>
        <w:t>Zero</w:t>
      </w:r>
      <w:r>
        <w:rPr>
          <w:i/>
          <w:spacing w:val="-5"/>
          <w:sz w:val="20"/>
        </w:rPr>
        <w:t xml:space="preserve"> </w:t>
      </w:r>
      <w:r>
        <w:rPr>
          <w:i/>
          <w:sz w:val="20"/>
        </w:rPr>
        <w:t>Net</w:t>
      </w:r>
      <w:r>
        <w:rPr>
          <w:i/>
          <w:spacing w:val="-5"/>
          <w:sz w:val="20"/>
        </w:rPr>
        <w:t xml:space="preserve"> </w:t>
      </w:r>
      <w:r>
        <w:rPr>
          <w:i/>
          <w:sz w:val="20"/>
        </w:rPr>
        <w:t>Energy</w:t>
      </w:r>
      <w:r>
        <w:rPr>
          <w:i/>
          <w:spacing w:val="-5"/>
          <w:sz w:val="20"/>
        </w:rPr>
        <w:t xml:space="preserve"> </w:t>
      </w:r>
      <w:r>
        <w:rPr>
          <w:i/>
          <w:sz w:val="20"/>
        </w:rPr>
        <w:t>Buildings in California</w:t>
      </w:r>
      <w:r>
        <w:rPr>
          <w:sz w:val="20"/>
        </w:rPr>
        <w:t>, December 2012</w:t>
      </w:r>
    </w:p>
    <w:p w:rsidR="00C31389" w:rsidRDefault="00C31389" w14:paraId="16006377" w14:textId="77777777">
      <w:pPr>
        <w:rPr>
          <w:sz w:val="20"/>
        </w:rPr>
        <w:sectPr w:rsidR="00C31389">
          <w:type w:val="continuous"/>
          <w:pgSz w:w="12240" w:h="15840"/>
          <w:pgMar w:top="0" w:right="960" w:bottom="280" w:left="960" w:header="397" w:footer="936" w:gutter="0"/>
          <w:cols w:equalWidth="0" w:space="720" w:num="3">
            <w:col w:w="2121" w:space="40"/>
            <w:col w:w="1613" w:space="39"/>
            <w:col w:w="6507"/>
          </w:cols>
        </w:sectPr>
      </w:pPr>
    </w:p>
    <w:p w:rsidR="00C31389" w:rsidRDefault="00C31389" w14:paraId="27F48C98" w14:textId="77777777">
      <w:pPr>
        <w:pStyle w:val="BodyText"/>
        <w:spacing w:before="8"/>
        <w:rPr>
          <w:sz w:val="12"/>
        </w:rPr>
      </w:pPr>
    </w:p>
    <w:p w:rsidR="00C31389" w:rsidRDefault="00561FBD" w14:paraId="6BC27E2E" w14:textId="77777777">
      <w:pPr>
        <w:pStyle w:val="BodyText"/>
        <w:spacing w:before="93"/>
        <w:ind w:left="480" w:right="533" w:hanging="1"/>
      </w:pPr>
      <w:r>
        <w:t xml:space="preserve">The 2023 Study includes only residential whole building retrofits, which are </w:t>
      </w:r>
      <w:r>
        <w:t>characterized using the same inputs as the 2021 Study. The Guidehouse team did not analyze commercial retrofits based</w:t>
      </w:r>
      <w:r>
        <w:rPr>
          <w:spacing w:val="-3"/>
        </w:rPr>
        <w:t xml:space="preserve"> </w:t>
      </w:r>
      <w:r>
        <w:t>on</w:t>
      </w:r>
      <w:r>
        <w:rPr>
          <w:spacing w:val="-3"/>
        </w:rPr>
        <w:t xml:space="preserve"> </w:t>
      </w:r>
      <w:r>
        <w:t>a</w:t>
      </w:r>
      <w:r>
        <w:rPr>
          <w:spacing w:val="-3"/>
        </w:rPr>
        <w:t xml:space="preserve"> </w:t>
      </w:r>
      <w:r>
        <w:t>review</w:t>
      </w:r>
      <w:r>
        <w:rPr>
          <w:spacing w:val="-4"/>
        </w:rPr>
        <w:t xml:space="preserve"> </w:t>
      </w:r>
      <w:r>
        <w:t>of</w:t>
      </w:r>
      <w:r>
        <w:rPr>
          <w:spacing w:val="-3"/>
        </w:rPr>
        <w:t xml:space="preserve"> </w:t>
      </w:r>
      <w:r>
        <w:t>CEDARS</w:t>
      </w:r>
      <w:r>
        <w:rPr>
          <w:spacing w:val="-3"/>
        </w:rPr>
        <w:t xml:space="preserve"> </w:t>
      </w:r>
      <w:r>
        <w:t>data,</w:t>
      </w:r>
      <w:r>
        <w:rPr>
          <w:spacing w:val="-2"/>
        </w:rPr>
        <w:t xml:space="preserve"> </w:t>
      </w:r>
      <w:r>
        <w:t>which</w:t>
      </w:r>
      <w:r>
        <w:rPr>
          <w:spacing w:val="-3"/>
        </w:rPr>
        <w:t xml:space="preserve"> </w:t>
      </w:r>
      <w:r>
        <w:t>suggested</w:t>
      </w:r>
      <w:r>
        <w:rPr>
          <w:spacing w:val="-3"/>
        </w:rPr>
        <w:t xml:space="preserve"> </w:t>
      </w:r>
      <w:r>
        <w:t>there</w:t>
      </w:r>
      <w:r>
        <w:rPr>
          <w:spacing w:val="-3"/>
        </w:rPr>
        <w:t xml:space="preserve"> </w:t>
      </w:r>
      <w:r>
        <w:t>are</w:t>
      </w:r>
      <w:r>
        <w:rPr>
          <w:spacing w:val="-3"/>
        </w:rPr>
        <w:t xml:space="preserve"> </w:t>
      </w:r>
      <w:r>
        <w:t>few</w:t>
      </w:r>
      <w:r>
        <w:rPr>
          <w:spacing w:val="-4"/>
        </w:rPr>
        <w:t xml:space="preserve"> </w:t>
      </w:r>
      <w:r>
        <w:t>commercial</w:t>
      </w:r>
      <w:r>
        <w:rPr>
          <w:spacing w:val="-3"/>
        </w:rPr>
        <w:t xml:space="preserve"> </w:t>
      </w:r>
      <w:r>
        <w:t>retrofit</w:t>
      </w:r>
      <w:r>
        <w:rPr>
          <w:spacing w:val="-3"/>
        </w:rPr>
        <w:t xml:space="preserve"> </w:t>
      </w:r>
      <w:r>
        <w:t>projects and the large majority are undertaken as non-standa</w:t>
      </w:r>
      <w:r>
        <w:t>rd custom projects with savings that vary</w:t>
      </w:r>
    </w:p>
    <w:p w:rsidR="00C31389" w:rsidRDefault="00561FBD" w14:paraId="1F6F982F" w14:textId="77777777">
      <w:pPr>
        <w:pStyle w:val="BodyText"/>
        <w:spacing w:before="5"/>
        <w:rPr>
          <w:sz w:val="13"/>
        </w:rPr>
      </w:pPr>
      <w:r>
        <w:rPr>
          <w:noProof/>
        </w:rPr>
        <mc:AlternateContent>
          <mc:Choice Requires="wps">
            <w:drawing>
              <wp:anchor distT="0" distB="0" distL="0" distR="0" simplePos="0" relativeHeight="487644672" behindDoc="1" locked="0" layoutInCell="1" allowOverlap="1" wp14:editId="2B6EFFF3" wp14:anchorId="25EDB615">
                <wp:simplePos x="0" y="0"/>
                <wp:positionH relativeFrom="page">
                  <wp:posOffset>914400</wp:posOffset>
                </wp:positionH>
                <wp:positionV relativeFrom="paragraph">
                  <wp:posOffset>113386</wp:posOffset>
                </wp:positionV>
                <wp:extent cx="1828800" cy="6985"/>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73" style="position:absolute;margin-left:1in;margin-top:8.95pt;width:2in;height:.55pt;z-index:-1567180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" w14:anchorId="7B21F157">
                <v:path arrowok="t"/>
                <w10:wrap type="topAndBottom" anchorx="page"/>
              </v:shape>
            </w:pict>
          </mc:Fallback>
        </mc:AlternateContent>
      </w:r>
    </w:p>
    <w:p w:rsidR="00C31389" w:rsidRDefault="00561FBD" w14:paraId="172E0517" w14:textId="77777777">
      <w:pPr>
        <w:spacing w:before="89"/>
        <w:ind w:left="480"/>
        <w:rPr>
          <w:sz w:val="18"/>
        </w:rPr>
      </w:pPr>
      <w:bookmarkStart w:name="_bookmark154" w:id="207"/>
      <w:bookmarkEnd w:id="207"/>
      <w:r>
        <w:rPr>
          <w:spacing w:val="-2"/>
          <w:position w:val="6"/>
          <w:sz w:val="12"/>
        </w:rPr>
        <w:t>44</w:t>
      </w:r>
      <w:r>
        <w:rPr>
          <w:spacing w:val="34"/>
          <w:position w:val="6"/>
          <w:sz w:val="12"/>
        </w:rPr>
        <w:t xml:space="preserve">  </w:t>
      </w:r>
      <w:hyperlink r:id="rId133">
        <w:r>
          <w:rPr>
            <w:color w:val="68942C"/>
            <w:spacing w:val="-2"/>
            <w:sz w:val="18"/>
            <w:u w:val="single" w:color="68942C"/>
          </w:rPr>
          <w:t>https://www.energy.ca.gov/sites/default/files/2020-03/Title_24_2019_Building_Standards_FAQ_a</w:t>
        </w:r>
        <w:r>
          <w:rPr>
            <w:color w:val="68942C"/>
            <w:spacing w:val="-2"/>
            <w:sz w:val="18"/>
            <w:u w:val="single" w:color="68942C"/>
          </w:rPr>
          <w:t>da.pdf</w:t>
        </w:r>
      </w:hyperlink>
    </w:p>
    <w:p w:rsidR="00C31389" w:rsidRDefault="00561FBD" w14:paraId="5B85F7CE" w14:textId="77777777">
      <w:pPr>
        <w:spacing w:before="35"/>
        <w:ind w:left="480"/>
        <w:rPr>
          <w:sz w:val="18"/>
        </w:rPr>
      </w:pPr>
      <w:bookmarkStart w:name="_bookmark155" w:id="208"/>
      <w:bookmarkEnd w:id="208"/>
      <w:r>
        <w:rPr>
          <w:spacing w:val="-2"/>
          <w:position w:val="6"/>
          <w:sz w:val="12"/>
        </w:rPr>
        <w:t>45</w:t>
      </w:r>
      <w:r>
        <w:rPr>
          <w:spacing w:val="78"/>
          <w:w w:val="150"/>
          <w:position w:val="6"/>
          <w:sz w:val="12"/>
        </w:rPr>
        <w:t xml:space="preserve"> </w:t>
      </w:r>
      <w:hyperlink r:id="rId134">
        <w:r>
          <w:rPr>
            <w:color w:val="68942C"/>
            <w:spacing w:val="-2"/>
            <w:sz w:val="18"/>
            <w:u w:val="single" w:color="68942C"/>
          </w:rPr>
          <w:t>http://www.energy.ca.gov/title24/2016standards/rulemaking/documents/NOPA_title24_parts_01_06.pdf</w:t>
        </w:r>
      </w:hyperlink>
      <w:r>
        <w:rPr>
          <w:color w:val="68942C"/>
          <w:spacing w:val="-2"/>
          <w:sz w:val="18"/>
          <w:u w:val="single" w:color="68942C"/>
        </w:rPr>
        <w:t>,</w:t>
      </w:r>
      <w:r>
        <w:rPr>
          <w:color w:val="68942C"/>
          <w:spacing w:val="78"/>
          <w:sz w:val="18"/>
          <w:u w:val="single" w:color="68942C"/>
        </w:rPr>
        <w:t xml:space="preserve"> </w:t>
      </w:r>
      <w:r>
        <w:rPr>
          <w:spacing w:val="-4"/>
          <w:sz w:val="18"/>
        </w:rPr>
        <w:t>Last</w:t>
      </w:r>
    </w:p>
    <w:p w:rsidR="00C31389" w:rsidRDefault="00561FBD" w14:paraId="3D80795F" w14:textId="77777777">
      <w:pPr>
        <w:spacing w:before="1"/>
        <w:ind w:left="480"/>
        <w:rPr>
          <w:sz w:val="18"/>
        </w:rPr>
      </w:pPr>
      <w:r>
        <w:rPr>
          <w:sz w:val="18"/>
        </w:rPr>
        <w:t>accessed</w:t>
      </w:r>
      <w:r>
        <w:rPr>
          <w:spacing w:val="-5"/>
          <w:sz w:val="18"/>
        </w:rPr>
        <w:t xml:space="preserve"> </w:t>
      </w:r>
      <w:r>
        <w:rPr>
          <w:sz w:val="18"/>
        </w:rPr>
        <w:t>September</w:t>
      </w:r>
      <w:r>
        <w:rPr>
          <w:spacing w:val="-3"/>
          <w:sz w:val="18"/>
        </w:rPr>
        <w:t xml:space="preserve"> </w:t>
      </w:r>
      <w:r>
        <w:rPr>
          <w:spacing w:val="-4"/>
          <w:sz w:val="18"/>
        </w:rPr>
        <w:t>2018.</w:t>
      </w:r>
    </w:p>
    <w:p w:rsidR="00C31389" w:rsidRDefault="00C31389" w14:paraId="04BCFBB2" w14:textId="77777777">
      <w:pPr>
        <w:rPr>
          <w:sz w:val="18"/>
        </w:rPr>
        <w:sectPr w:rsidR="00C31389">
          <w:type w:val="continuous"/>
          <w:pgSz w:w="12240" w:h="15840"/>
          <w:pgMar w:top="0" w:right="960" w:bottom="280" w:left="960" w:header="397" w:footer="936" w:gutter="0"/>
          <w:cols w:space="720"/>
        </w:sectPr>
      </w:pPr>
    </w:p>
    <w:p w:rsidR="00C31389" w:rsidRDefault="00C31389" w14:paraId="61108865" w14:textId="77777777">
      <w:pPr>
        <w:pStyle w:val="BodyText"/>
        <w:spacing w:before="11"/>
        <w:rPr>
          <w:sz w:val="13"/>
        </w:rPr>
      </w:pPr>
    </w:p>
    <w:p w:rsidR="00C31389" w:rsidRDefault="00561FBD" w14:paraId="524D7563" w14:textId="77777777">
      <w:pPr>
        <w:pStyle w:val="BodyText"/>
        <w:spacing w:before="92"/>
        <w:ind w:left="480" w:right="533" w:hanging="1"/>
      </w:pPr>
      <w:r>
        <w:t>widely.</w:t>
      </w:r>
      <w:r>
        <w:rPr>
          <w:spacing w:val="-4"/>
        </w:rPr>
        <w:t xml:space="preserve"> </w:t>
      </w:r>
      <w:r>
        <w:t>Furthermore,</w:t>
      </w:r>
      <w:r>
        <w:rPr>
          <w:spacing w:val="-4"/>
        </w:rPr>
        <w:t xml:space="preserve"> </w:t>
      </w:r>
      <w:r>
        <w:t>the</w:t>
      </w:r>
      <w:r>
        <w:rPr>
          <w:spacing w:val="-4"/>
        </w:rPr>
        <w:t xml:space="preserve"> </w:t>
      </w:r>
      <w:r>
        <w:t>upgrade</w:t>
      </w:r>
      <w:r>
        <w:rPr>
          <w:spacing w:val="-4"/>
        </w:rPr>
        <w:t xml:space="preserve"> </w:t>
      </w:r>
      <w:r>
        <w:t>types</w:t>
      </w:r>
      <w:r>
        <w:rPr>
          <w:spacing w:val="-4"/>
        </w:rPr>
        <w:t xml:space="preserve"> </w:t>
      </w:r>
      <w:r>
        <w:t>undertaken</w:t>
      </w:r>
      <w:r>
        <w:rPr>
          <w:spacing w:val="-4"/>
        </w:rPr>
        <w:t xml:space="preserve"> </w:t>
      </w:r>
      <w:r>
        <w:t>in</w:t>
      </w:r>
      <w:r>
        <w:rPr>
          <w:spacing w:val="-4"/>
        </w:rPr>
        <w:t xml:space="preserve"> </w:t>
      </w:r>
      <w:r>
        <w:t>a</w:t>
      </w:r>
      <w:r>
        <w:rPr>
          <w:spacing w:val="-4"/>
        </w:rPr>
        <w:t xml:space="preserve"> </w:t>
      </w:r>
      <w:r>
        <w:t>whole</w:t>
      </w:r>
      <w:r>
        <w:rPr>
          <w:spacing w:val="-4"/>
        </w:rPr>
        <w:t xml:space="preserve"> </w:t>
      </w:r>
      <w:r>
        <w:t>building</w:t>
      </w:r>
      <w:r>
        <w:rPr>
          <w:spacing w:val="-6"/>
        </w:rPr>
        <w:t xml:space="preserve"> </w:t>
      </w:r>
      <w:r>
        <w:t>retrofit</w:t>
      </w:r>
      <w:r>
        <w:rPr>
          <w:spacing w:val="-4"/>
        </w:rPr>
        <w:t xml:space="preserve"> </w:t>
      </w:r>
      <w:r>
        <w:t>are</w:t>
      </w:r>
      <w:r>
        <w:rPr>
          <w:spacing w:val="-4"/>
        </w:rPr>
        <w:t xml:space="preserve"> </w:t>
      </w:r>
      <w:r>
        <w:t>sufficiently covered by other measures in the study, such as HVAC and lighting upgrades.</w:t>
      </w:r>
    </w:p>
    <w:p w:rsidR="00C31389" w:rsidRDefault="00C31389" w14:paraId="009D49FC" w14:textId="77777777">
      <w:pPr>
        <w:pStyle w:val="BodyText"/>
        <w:spacing w:before="9"/>
        <w:rPr>
          <w:sz w:val="20"/>
        </w:rPr>
      </w:pPr>
    </w:p>
    <w:p w:rsidR="00C31389" w:rsidRDefault="00561FBD" w14:paraId="2D2BF50E" w14:textId="77777777">
      <w:pPr>
        <w:pStyle w:val="BodyText"/>
        <w:spacing w:before="1"/>
        <w:ind w:left="480" w:right="485"/>
      </w:pPr>
      <w:r>
        <w:t>The team characterized energy savings fro</w:t>
      </w:r>
      <w:r>
        <w:t>m residential whole building retrofits using data from the</w:t>
      </w:r>
      <w:r>
        <w:rPr>
          <w:spacing w:val="-4"/>
        </w:rPr>
        <w:t xml:space="preserve"> </w:t>
      </w:r>
      <w:r>
        <w:t>DNV</w:t>
      </w:r>
      <w:r>
        <w:rPr>
          <w:spacing w:val="-3"/>
        </w:rPr>
        <w:t xml:space="preserve"> </w:t>
      </w:r>
      <w:r>
        <w:t>GL</w:t>
      </w:r>
      <w:r>
        <w:rPr>
          <w:spacing w:val="-2"/>
        </w:rPr>
        <w:t xml:space="preserve"> </w:t>
      </w:r>
      <w:r>
        <w:t>PY2017</w:t>
      </w:r>
      <w:r>
        <w:rPr>
          <w:spacing w:val="-3"/>
        </w:rPr>
        <w:t xml:space="preserve"> </w:t>
      </w:r>
      <w:r>
        <w:t>impact</w:t>
      </w:r>
      <w:r>
        <w:rPr>
          <w:spacing w:val="-3"/>
        </w:rPr>
        <w:t xml:space="preserve"> </w:t>
      </w:r>
      <w:r>
        <w:t>evaluation</w:t>
      </w:r>
      <w:r>
        <w:rPr>
          <w:spacing w:val="-3"/>
        </w:rPr>
        <w:t xml:space="preserve"> </w:t>
      </w:r>
      <w:r>
        <w:t>of</w:t>
      </w:r>
      <w:r>
        <w:rPr>
          <w:spacing w:val="-3"/>
        </w:rPr>
        <w:t xml:space="preserve"> </w:t>
      </w:r>
      <w:r>
        <w:t>the</w:t>
      </w:r>
      <w:r>
        <w:rPr>
          <w:spacing w:val="-3"/>
        </w:rPr>
        <w:t xml:space="preserve"> </w:t>
      </w:r>
      <w:r>
        <w:t>Home</w:t>
      </w:r>
      <w:r>
        <w:rPr>
          <w:spacing w:val="-3"/>
        </w:rPr>
        <w:t xml:space="preserve"> </w:t>
      </w:r>
      <w:r>
        <w:t>Upgrade</w:t>
      </w:r>
      <w:r>
        <w:rPr>
          <w:spacing w:val="-3"/>
        </w:rPr>
        <w:t xml:space="preserve"> </w:t>
      </w:r>
      <w:r>
        <w:t>Program,</w:t>
      </w:r>
      <w:r>
        <w:rPr>
          <w:spacing w:val="-39"/>
        </w:rPr>
        <w:t xml:space="preserve"> </w:t>
      </w:r>
      <w:hyperlink w:history="1" w:anchor="_bookmark157">
        <w:r>
          <w:rPr>
            <w:position w:val="7"/>
            <w:sz w:val="14"/>
          </w:rPr>
          <w:t>46</w:t>
        </w:r>
      </w:hyperlink>
      <w:r>
        <w:rPr>
          <w:spacing w:val="18"/>
          <w:position w:val="7"/>
          <w:sz w:val="14"/>
        </w:rPr>
        <w:t xml:space="preserve"> </w:t>
      </w:r>
      <w:r>
        <w:t>supplemented</w:t>
      </w:r>
      <w:r>
        <w:rPr>
          <w:spacing w:val="-3"/>
        </w:rPr>
        <w:t xml:space="preserve"> </w:t>
      </w:r>
      <w:r>
        <w:t>by</w:t>
      </w:r>
      <w:r>
        <w:rPr>
          <w:spacing w:val="-3"/>
        </w:rPr>
        <w:t xml:space="preserve"> </w:t>
      </w:r>
      <w:r>
        <w:t>data from the All Things Reported database for PY 2017 whole building retrofits analyzed in the Guidehouse Group A EUL Study. The impact evaluation provided percentage energy savings, while the All Things</w:t>
      </w:r>
      <w:r>
        <w:t xml:space="preserve"> Reported database provided per home kWh, kW, and therm savings.</w:t>
      </w:r>
    </w:p>
    <w:p w:rsidR="00C31389" w:rsidRDefault="00C31389" w14:paraId="0A64EFE2" w14:textId="77777777">
      <w:pPr>
        <w:pStyle w:val="BodyText"/>
        <w:spacing w:before="9"/>
        <w:rPr>
          <w:sz w:val="20"/>
        </w:rPr>
      </w:pPr>
    </w:p>
    <w:p w:rsidR="00C31389" w:rsidRDefault="00561FBD" w14:paraId="5D536F41" w14:textId="77777777">
      <w:pPr>
        <w:pStyle w:val="BodyText"/>
        <w:spacing w:before="1"/>
        <w:ind w:left="479" w:right="485"/>
      </w:pPr>
      <w:r>
        <w:t>The Guidehouse team characterized cost savings by reviewing costs of home upgrade projects included</w:t>
      </w:r>
      <w:r>
        <w:rPr>
          <w:spacing w:val="-3"/>
        </w:rPr>
        <w:t xml:space="preserve"> </w:t>
      </w:r>
      <w:r>
        <w:t>in</w:t>
      </w:r>
      <w:r>
        <w:rPr>
          <w:spacing w:val="-4"/>
        </w:rPr>
        <w:t xml:space="preserve"> </w:t>
      </w:r>
      <w:r>
        <w:t>the</w:t>
      </w:r>
      <w:r>
        <w:rPr>
          <w:spacing w:val="-3"/>
        </w:rPr>
        <w:t xml:space="preserve"> </w:t>
      </w:r>
      <w:r>
        <w:t>evaluation.</w:t>
      </w:r>
      <w:r>
        <w:rPr>
          <w:spacing w:val="-3"/>
        </w:rPr>
        <w:t xml:space="preserve"> </w:t>
      </w:r>
      <w:r>
        <w:t>The</w:t>
      </w:r>
      <w:r>
        <w:rPr>
          <w:spacing w:val="-3"/>
        </w:rPr>
        <w:t xml:space="preserve"> </w:t>
      </w:r>
      <w:r>
        <w:t>team</w:t>
      </w:r>
      <w:r>
        <w:rPr>
          <w:spacing w:val="-4"/>
        </w:rPr>
        <w:t xml:space="preserve"> </w:t>
      </w:r>
      <w:r>
        <w:t>found</w:t>
      </w:r>
      <w:r>
        <w:rPr>
          <w:spacing w:val="-3"/>
        </w:rPr>
        <w:t xml:space="preserve"> </w:t>
      </w:r>
      <w:r>
        <w:t>that</w:t>
      </w:r>
      <w:r>
        <w:rPr>
          <w:spacing w:val="-3"/>
        </w:rPr>
        <w:t xml:space="preserve"> </w:t>
      </w:r>
      <w:r>
        <w:t>for</w:t>
      </w:r>
      <w:r>
        <w:rPr>
          <w:spacing w:val="-3"/>
        </w:rPr>
        <w:t xml:space="preserve"> </w:t>
      </w:r>
      <w:r>
        <w:t>projects</w:t>
      </w:r>
      <w:r>
        <w:rPr>
          <w:spacing w:val="-3"/>
        </w:rPr>
        <w:t xml:space="preserve"> </w:t>
      </w:r>
      <w:r>
        <w:t>below</w:t>
      </w:r>
      <w:r>
        <w:rPr>
          <w:spacing w:val="-4"/>
        </w:rPr>
        <w:t xml:space="preserve"> </w:t>
      </w:r>
      <w:r>
        <w:t>$15,000,</w:t>
      </w:r>
      <w:r>
        <w:rPr>
          <w:spacing w:val="-2"/>
        </w:rPr>
        <w:t xml:space="preserve"> </w:t>
      </w:r>
      <w:r>
        <w:t>savings</w:t>
      </w:r>
      <w:r>
        <w:rPr>
          <w:spacing w:val="-3"/>
        </w:rPr>
        <w:t xml:space="preserve"> </w:t>
      </w:r>
      <w:r>
        <w:t>appeared</w:t>
      </w:r>
      <w:r>
        <w:rPr>
          <w:spacing w:val="-3"/>
        </w:rPr>
        <w:t xml:space="preserve"> </w:t>
      </w:r>
      <w:r>
        <w:t>to cor</w:t>
      </w:r>
      <w:r>
        <w:t>relate with cost and the team used this data to establish a cost per unit savings for the characterization. (For the relatively small number of projects greater than $15,000, there appeared to be no strong correlation of cost to energy savings, so the team</w:t>
      </w:r>
      <w:r>
        <w:t xml:space="preserve"> excluded these outliers from the cost analysis.)</w:t>
      </w:r>
    </w:p>
    <w:p w:rsidR="00C31389" w:rsidRDefault="00C31389" w14:paraId="64DFF102" w14:textId="77777777">
      <w:pPr>
        <w:pStyle w:val="BodyText"/>
        <w:spacing w:before="11"/>
        <w:rPr>
          <w:sz w:val="20"/>
        </w:rPr>
      </w:pPr>
    </w:p>
    <w:p w:rsidR="00C31389" w:rsidRDefault="00561FBD" w14:paraId="7E2DBA88" w14:textId="77777777">
      <w:pPr>
        <w:pStyle w:val="Heading2"/>
        <w:numPr>
          <w:ilvl w:val="1"/>
          <w:numId w:val="71"/>
        </w:numPr>
        <w:tabs>
          <w:tab w:val="left" w:pos="945"/>
        </w:tabs>
        <w:ind w:left="945" w:hanging="465"/>
      </w:pPr>
      <w:bookmarkStart w:name="3.5_Agriculture_and_Industrial_Technolog" w:id="209"/>
      <w:bookmarkStart w:name="_bookmark156" w:id="210"/>
      <w:bookmarkEnd w:id="209"/>
      <w:bookmarkEnd w:id="210"/>
      <w:r>
        <w:t>Agriculture</w:t>
      </w:r>
      <w:r>
        <w:rPr>
          <w:spacing w:val="-16"/>
        </w:rPr>
        <w:t xml:space="preserve"> </w:t>
      </w:r>
      <w:r>
        <w:t>and</w:t>
      </w:r>
      <w:r>
        <w:rPr>
          <w:spacing w:val="-16"/>
        </w:rPr>
        <w:t xml:space="preserve"> </w:t>
      </w:r>
      <w:r>
        <w:t>Industrial</w:t>
      </w:r>
      <w:r>
        <w:rPr>
          <w:spacing w:val="-16"/>
        </w:rPr>
        <w:t xml:space="preserve"> </w:t>
      </w:r>
      <w:r>
        <w:t>Technology</w:t>
      </w:r>
      <w:r>
        <w:rPr>
          <w:spacing w:val="-15"/>
        </w:rPr>
        <w:t xml:space="preserve"> </w:t>
      </w:r>
      <w:r>
        <w:rPr>
          <w:spacing w:val="-2"/>
        </w:rPr>
        <w:t>Characterization</w:t>
      </w:r>
    </w:p>
    <w:p w:rsidR="00C31389" w:rsidRDefault="00561FBD" w14:paraId="3B59E752" w14:textId="77777777">
      <w:pPr>
        <w:pStyle w:val="BodyText"/>
        <w:spacing w:before="240"/>
        <w:ind w:left="480" w:right="533" w:hanging="1"/>
      </w:pPr>
      <w:r>
        <w:t>The 2023 Study update for the AIM sectors focused on agriculture and industrial and did not include</w:t>
      </w:r>
      <w:r>
        <w:rPr>
          <w:spacing w:val="-3"/>
        </w:rPr>
        <w:t xml:space="preserve"> </w:t>
      </w:r>
      <w:r>
        <w:t>an</w:t>
      </w:r>
      <w:r>
        <w:rPr>
          <w:spacing w:val="-3"/>
        </w:rPr>
        <w:t xml:space="preserve"> </w:t>
      </w:r>
      <w:r>
        <w:t>update</w:t>
      </w:r>
      <w:r>
        <w:rPr>
          <w:spacing w:val="-3"/>
        </w:rPr>
        <w:t xml:space="preserve"> </w:t>
      </w:r>
      <w:r>
        <w:t>for</w:t>
      </w:r>
      <w:r>
        <w:rPr>
          <w:spacing w:val="-3"/>
        </w:rPr>
        <w:t xml:space="preserve"> </w:t>
      </w:r>
      <w:r>
        <w:t>mining.</w:t>
      </w:r>
      <w:r>
        <w:rPr>
          <w:spacing w:val="-3"/>
        </w:rPr>
        <w:t xml:space="preserve"> </w:t>
      </w:r>
      <w:r>
        <w:t>The</w:t>
      </w:r>
      <w:r>
        <w:rPr>
          <w:spacing w:val="-3"/>
        </w:rPr>
        <w:t xml:space="preserve"> </w:t>
      </w:r>
      <w:r>
        <w:t>Guidehouse</w:t>
      </w:r>
      <w:r>
        <w:rPr>
          <w:spacing w:val="-3"/>
        </w:rPr>
        <w:t xml:space="preserve"> </w:t>
      </w:r>
      <w:r>
        <w:t>team’s</w:t>
      </w:r>
      <w:r>
        <w:rPr>
          <w:spacing w:val="-3"/>
        </w:rPr>
        <w:t xml:space="preserve"> </w:t>
      </w:r>
      <w:r>
        <w:t>approach</w:t>
      </w:r>
      <w:r>
        <w:rPr>
          <w:spacing w:val="-3"/>
        </w:rPr>
        <w:t xml:space="preserve"> </w:t>
      </w:r>
      <w:r>
        <w:t>to</w:t>
      </w:r>
      <w:r>
        <w:rPr>
          <w:spacing w:val="-3"/>
        </w:rPr>
        <w:t xml:space="preserve"> </w:t>
      </w:r>
      <w:r>
        <w:t>each</w:t>
      </w:r>
      <w:r>
        <w:rPr>
          <w:spacing w:val="-4"/>
        </w:rPr>
        <w:t xml:space="preserve"> </w:t>
      </w:r>
      <w:r>
        <w:t>sector’s</w:t>
      </w:r>
      <w:r>
        <w:rPr>
          <w:spacing w:val="-3"/>
        </w:rPr>
        <w:t xml:space="preserve"> </w:t>
      </w:r>
      <w:r>
        <w:t>data</w:t>
      </w:r>
      <w:r>
        <w:rPr>
          <w:spacing w:val="-3"/>
        </w:rPr>
        <w:t xml:space="preserve"> </w:t>
      </w:r>
      <w:r>
        <w:t>sources varied. The primary effort for agriculture and industrial was to leverage two key data sources:</w:t>
      </w:r>
    </w:p>
    <w:p w:rsidR="00C31389" w:rsidRDefault="00561FBD" w14:paraId="030C0EA2" w14:textId="77777777">
      <w:pPr>
        <w:pStyle w:val="ListParagraph"/>
        <w:numPr>
          <w:ilvl w:val="0"/>
          <w:numId w:val="45"/>
        </w:numPr>
        <w:tabs>
          <w:tab w:val="left" w:pos="1199"/>
        </w:tabs>
        <w:spacing w:before="119"/>
        <w:ind w:right="533"/>
      </w:pPr>
      <w:r>
        <w:rPr>
          <w:b/>
        </w:rPr>
        <w:t>Recently completed Industrial and Agriculture Market Study:</w:t>
      </w:r>
      <w:r>
        <w:rPr>
          <w:b/>
          <w:spacing w:val="-40"/>
        </w:rPr>
        <w:t xml:space="preserve"> </w:t>
      </w:r>
      <w:hyperlink w:history="1" w:anchor="_bookmark158">
        <w:r>
          <w:rPr>
            <w:position w:val="7"/>
            <w:sz w:val="14"/>
          </w:rPr>
          <w:t>47</w:t>
        </w:r>
      </w:hyperlink>
      <w:r>
        <w:rPr>
          <w:spacing w:val="24"/>
          <w:position w:val="7"/>
          <w:sz w:val="14"/>
        </w:rPr>
        <w:t xml:space="preserve"> </w:t>
      </w:r>
      <w:r>
        <w:t>This study identified new</w:t>
      </w:r>
      <w:r>
        <w:rPr>
          <w:spacing w:val="-5"/>
        </w:rPr>
        <w:t xml:space="preserve"> </w:t>
      </w:r>
      <w:r>
        <w:t>measures</w:t>
      </w:r>
      <w:r>
        <w:rPr>
          <w:spacing w:val="-4"/>
        </w:rPr>
        <w:t xml:space="preserve"> </w:t>
      </w:r>
      <w:r>
        <w:t>and</w:t>
      </w:r>
      <w:r>
        <w:rPr>
          <w:spacing w:val="-4"/>
        </w:rPr>
        <w:t xml:space="preserve"> </w:t>
      </w:r>
      <w:r>
        <w:t>collected</w:t>
      </w:r>
      <w:r>
        <w:rPr>
          <w:spacing w:val="-4"/>
        </w:rPr>
        <w:t xml:space="preserve"> </w:t>
      </w:r>
      <w:r>
        <w:t>California-specific</w:t>
      </w:r>
      <w:r>
        <w:rPr>
          <w:spacing w:val="-5"/>
        </w:rPr>
        <w:t xml:space="preserve"> </w:t>
      </w:r>
      <w:r>
        <w:t>data</w:t>
      </w:r>
      <w:r>
        <w:rPr>
          <w:spacing w:val="-4"/>
        </w:rPr>
        <w:t xml:space="preserve"> </w:t>
      </w:r>
      <w:r>
        <w:t>to</w:t>
      </w:r>
      <w:r>
        <w:rPr>
          <w:spacing w:val="-4"/>
        </w:rPr>
        <w:t xml:space="preserve"> </w:t>
      </w:r>
      <w:r>
        <w:t>inform</w:t>
      </w:r>
      <w:r>
        <w:rPr>
          <w:spacing w:val="-5"/>
        </w:rPr>
        <w:t xml:space="preserve"> </w:t>
      </w:r>
      <w:r>
        <w:t>measure</w:t>
      </w:r>
      <w:r>
        <w:rPr>
          <w:spacing w:val="-3"/>
        </w:rPr>
        <w:t xml:space="preserve"> </w:t>
      </w:r>
      <w:r>
        <w:t>characterization.</w:t>
      </w:r>
    </w:p>
    <w:p w:rsidR="00C31389" w:rsidRDefault="00561FBD" w14:paraId="009A082A" w14:textId="77777777">
      <w:pPr>
        <w:pStyle w:val="ListParagraph"/>
        <w:numPr>
          <w:ilvl w:val="0"/>
          <w:numId w:val="45"/>
        </w:numPr>
        <w:tabs>
          <w:tab w:val="left" w:pos="1200"/>
        </w:tabs>
        <w:spacing w:before="118"/>
        <w:ind w:left="1200" w:right="1169" w:hanging="361"/>
      </w:pPr>
      <w:r>
        <w:rPr>
          <w:b/>
        </w:rPr>
        <w:t>Historical</w:t>
      </w:r>
      <w:r>
        <w:rPr>
          <w:b/>
          <w:spacing w:val="-4"/>
        </w:rPr>
        <w:t xml:space="preserve"> </w:t>
      </w:r>
      <w:r>
        <w:rPr>
          <w:b/>
        </w:rPr>
        <w:t>IOU</w:t>
      </w:r>
      <w:r>
        <w:rPr>
          <w:b/>
          <w:spacing w:val="-4"/>
        </w:rPr>
        <w:t xml:space="preserve"> </w:t>
      </w:r>
      <w:r>
        <w:rPr>
          <w:b/>
        </w:rPr>
        <w:t>program</w:t>
      </w:r>
      <w:r>
        <w:rPr>
          <w:b/>
          <w:spacing w:val="-4"/>
        </w:rPr>
        <w:t xml:space="preserve"> </w:t>
      </w:r>
      <w:r>
        <w:rPr>
          <w:b/>
        </w:rPr>
        <w:t>data:</w:t>
      </w:r>
      <w:r>
        <w:rPr>
          <w:b/>
          <w:spacing w:val="-4"/>
        </w:rPr>
        <w:t xml:space="preserve"> </w:t>
      </w:r>
      <w:r>
        <w:t>This</w:t>
      </w:r>
      <w:r>
        <w:rPr>
          <w:spacing w:val="-4"/>
        </w:rPr>
        <w:t xml:space="preserve"> </w:t>
      </w:r>
      <w:r>
        <w:t>data</w:t>
      </w:r>
      <w:r>
        <w:rPr>
          <w:spacing w:val="-4"/>
        </w:rPr>
        <w:t xml:space="preserve"> </w:t>
      </w:r>
      <w:r>
        <w:t>allowed</w:t>
      </w:r>
      <w:r>
        <w:rPr>
          <w:spacing w:val="-4"/>
        </w:rPr>
        <w:t xml:space="preserve"> </w:t>
      </w:r>
      <w:r>
        <w:t>the</w:t>
      </w:r>
      <w:r>
        <w:rPr>
          <w:spacing w:val="-3"/>
        </w:rPr>
        <w:t xml:space="preserve"> </w:t>
      </w:r>
      <w:r>
        <w:t>team</w:t>
      </w:r>
      <w:r>
        <w:rPr>
          <w:spacing w:val="-5"/>
        </w:rPr>
        <w:t xml:space="preserve"> </w:t>
      </w:r>
      <w:r>
        <w:t>to</w:t>
      </w:r>
      <w:r>
        <w:rPr>
          <w:spacing w:val="-4"/>
        </w:rPr>
        <w:t xml:space="preserve"> </w:t>
      </w:r>
      <w:r>
        <w:t>directly</w:t>
      </w:r>
      <w:r>
        <w:rPr>
          <w:spacing w:val="-5"/>
        </w:rPr>
        <w:t xml:space="preserve"> </w:t>
      </w:r>
      <w:r>
        <w:t>characterize measures developed for the PG Model to IOU program activi</w:t>
      </w:r>
      <w:r>
        <w:t>ties.</w:t>
      </w:r>
    </w:p>
    <w:p w:rsidR="00C31389" w:rsidRDefault="00C31389" w14:paraId="3037E64A" w14:textId="77777777">
      <w:pPr>
        <w:pStyle w:val="BodyText"/>
        <w:spacing w:before="9"/>
        <w:rPr>
          <w:sz w:val="20"/>
        </w:rPr>
      </w:pPr>
    </w:p>
    <w:p w:rsidR="00C31389" w:rsidRDefault="00561FBD" w14:paraId="6B8A63BD" w14:textId="77777777">
      <w:pPr>
        <w:pStyle w:val="BodyText"/>
        <w:ind w:left="480" w:right="533"/>
      </w:pPr>
      <w:r>
        <w:t>This</w:t>
      </w:r>
      <w:r>
        <w:rPr>
          <w:spacing w:val="-3"/>
        </w:rPr>
        <w:t xml:space="preserve"> </w:t>
      </w:r>
      <w:r>
        <w:t>section</w:t>
      </w:r>
      <w:r>
        <w:rPr>
          <w:spacing w:val="-4"/>
        </w:rPr>
        <w:t xml:space="preserve"> </w:t>
      </w:r>
      <w:r>
        <w:t>and</w:t>
      </w:r>
      <w:r>
        <w:rPr>
          <w:spacing w:val="-3"/>
        </w:rPr>
        <w:t xml:space="preserve"> </w:t>
      </w:r>
      <w:r>
        <w:t>the</w:t>
      </w:r>
      <w:r>
        <w:rPr>
          <w:spacing w:val="-3"/>
        </w:rPr>
        <w:t xml:space="preserve"> </w:t>
      </w:r>
      <w:r>
        <w:t>material</w:t>
      </w:r>
      <w:r>
        <w:rPr>
          <w:spacing w:val="-3"/>
        </w:rPr>
        <w:t xml:space="preserve"> </w:t>
      </w:r>
      <w:r>
        <w:t>in</w:t>
      </w:r>
      <w:r>
        <w:rPr>
          <w:spacing w:val="-3"/>
        </w:rPr>
        <w:t xml:space="preserve"> </w:t>
      </w:r>
      <w:hyperlink w:history="1" w:anchor="_bookmark450">
        <w:r>
          <w:t>Appendix</w:t>
        </w:r>
        <w:r>
          <w:rPr>
            <w:spacing w:val="-3"/>
          </w:rPr>
          <w:t xml:space="preserve"> </w:t>
        </w:r>
        <w:r>
          <w:t>E</w:t>
        </w:r>
      </w:hyperlink>
      <w:r>
        <w:rPr>
          <w:spacing w:val="-3"/>
        </w:rPr>
        <w:t xml:space="preserve"> </w:t>
      </w:r>
      <w:r>
        <w:t>represent</w:t>
      </w:r>
      <w:r>
        <w:rPr>
          <w:spacing w:val="-3"/>
        </w:rPr>
        <w:t xml:space="preserve"> </w:t>
      </w:r>
      <w:r>
        <w:t>the</w:t>
      </w:r>
      <w:r>
        <w:rPr>
          <w:spacing w:val="-3"/>
        </w:rPr>
        <w:t xml:space="preserve"> </w:t>
      </w:r>
      <w:r>
        <w:t>team’s</w:t>
      </w:r>
      <w:r>
        <w:rPr>
          <w:spacing w:val="-3"/>
        </w:rPr>
        <w:t xml:space="preserve"> </w:t>
      </w:r>
      <w:r>
        <w:t>use</w:t>
      </w:r>
      <w:r>
        <w:rPr>
          <w:spacing w:val="-3"/>
        </w:rPr>
        <w:t xml:space="preserve"> </w:t>
      </w:r>
      <w:r>
        <w:t>of</w:t>
      </w:r>
      <w:r>
        <w:rPr>
          <w:spacing w:val="-3"/>
        </w:rPr>
        <w:t xml:space="preserve"> </w:t>
      </w:r>
      <w:r>
        <w:t>the</w:t>
      </w:r>
      <w:r>
        <w:rPr>
          <w:spacing w:val="-3"/>
        </w:rPr>
        <w:t xml:space="preserve"> </w:t>
      </w:r>
      <w:r>
        <w:t>best</w:t>
      </w:r>
      <w:r>
        <w:rPr>
          <w:spacing w:val="-3"/>
        </w:rPr>
        <w:t xml:space="preserve"> </w:t>
      </w:r>
      <w:r>
        <w:t>available</w:t>
      </w:r>
      <w:r>
        <w:rPr>
          <w:spacing w:val="-3"/>
        </w:rPr>
        <w:t xml:space="preserve"> </w:t>
      </w:r>
      <w:r>
        <w:t>data for the technology characterization of the industrial and agricultural sectors. The existing datasets for AIM sectors still have data gaps and are not all necessarily C</w:t>
      </w:r>
      <w:r>
        <w:t>alifornia-specific.</w:t>
      </w:r>
    </w:p>
    <w:p w:rsidR="00C31389" w:rsidRDefault="00561FBD" w14:paraId="372145EE" w14:textId="77777777">
      <w:pPr>
        <w:pStyle w:val="BodyText"/>
        <w:ind w:left="480" w:right="501"/>
      </w:pPr>
      <w:r>
        <w:t>Guidehouse has conducted similar industrial potential analysis in other jurisdictions</w:t>
      </w:r>
      <w:r>
        <w:rPr>
          <w:spacing w:val="-39"/>
        </w:rPr>
        <w:t xml:space="preserve"> </w:t>
      </w:r>
      <w:hyperlink w:history="1" w:anchor="_bookmark159">
        <w:r>
          <w:rPr>
            <w:position w:val="7"/>
            <w:sz w:val="14"/>
          </w:rPr>
          <w:t>48</w:t>
        </w:r>
      </w:hyperlink>
      <w:r>
        <w:rPr>
          <w:spacing w:val="25"/>
          <w:position w:val="7"/>
          <w:sz w:val="14"/>
        </w:rPr>
        <w:t xml:space="preserve"> </w:t>
      </w:r>
      <w:r>
        <w:t>and, in all cases,</w:t>
      </w:r>
      <w:r>
        <w:rPr>
          <w:spacing w:val="-4"/>
        </w:rPr>
        <w:t xml:space="preserve"> </w:t>
      </w:r>
      <w:r>
        <w:t>stakeholder</w:t>
      </w:r>
      <w:r>
        <w:rPr>
          <w:spacing w:val="-3"/>
        </w:rPr>
        <w:t xml:space="preserve"> </w:t>
      </w:r>
      <w:r>
        <w:t>reviewers</w:t>
      </w:r>
      <w:r>
        <w:rPr>
          <w:spacing w:val="-3"/>
        </w:rPr>
        <w:t xml:space="preserve"> </w:t>
      </w:r>
      <w:r>
        <w:t>believed</w:t>
      </w:r>
      <w:r>
        <w:rPr>
          <w:spacing w:val="-3"/>
        </w:rPr>
        <w:t xml:space="preserve"> </w:t>
      </w:r>
      <w:r>
        <w:t>the</w:t>
      </w:r>
      <w:r>
        <w:rPr>
          <w:spacing w:val="-3"/>
        </w:rPr>
        <w:t xml:space="preserve"> </w:t>
      </w:r>
      <w:r>
        <w:t>savings</w:t>
      </w:r>
      <w:r>
        <w:rPr>
          <w:spacing w:val="-3"/>
        </w:rPr>
        <w:t xml:space="preserve"> </w:t>
      </w:r>
      <w:r>
        <w:t>estimates</w:t>
      </w:r>
      <w:r>
        <w:rPr>
          <w:spacing w:val="-4"/>
        </w:rPr>
        <w:t xml:space="preserve"> </w:t>
      </w:r>
      <w:r>
        <w:t>to</w:t>
      </w:r>
      <w:r>
        <w:rPr>
          <w:spacing w:val="-3"/>
        </w:rPr>
        <w:t xml:space="preserve"> </w:t>
      </w:r>
      <w:r>
        <w:t>be</w:t>
      </w:r>
      <w:r>
        <w:rPr>
          <w:spacing w:val="-3"/>
        </w:rPr>
        <w:t xml:space="preserve"> </w:t>
      </w:r>
      <w:r>
        <w:t>high</w:t>
      </w:r>
      <w:r>
        <w:t>er</w:t>
      </w:r>
      <w:r>
        <w:rPr>
          <w:spacing w:val="-4"/>
        </w:rPr>
        <w:t xml:space="preserve"> </w:t>
      </w:r>
      <w:r>
        <w:t>than</w:t>
      </w:r>
      <w:r>
        <w:rPr>
          <w:spacing w:val="-3"/>
        </w:rPr>
        <w:t xml:space="preserve"> </w:t>
      </w:r>
      <w:r>
        <w:t>calculated</w:t>
      </w:r>
      <w:r>
        <w:rPr>
          <w:spacing w:val="-3"/>
        </w:rPr>
        <w:t xml:space="preserve"> </w:t>
      </w:r>
      <w:r>
        <w:t>for</w:t>
      </w:r>
      <w:r>
        <w:rPr>
          <w:spacing w:val="-3"/>
        </w:rPr>
        <w:t xml:space="preserve"> </w:t>
      </w:r>
      <w:r>
        <w:t>the studies. There are several reasons that results and observations of what occurs in the market</w:t>
      </w:r>
      <w:r>
        <w:rPr>
          <w:spacing w:val="40"/>
        </w:rPr>
        <w:t xml:space="preserve"> </w:t>
      </w:r>
      <w:r>
        <w:t>do not align:</w:t>
      </w:r>
    </w:p>
    <w:p w:rsidR="00C31389" w:rsidRDefault="00C31389" w14:paraId="12848BDD" w14:textId="77777777">
      <w:pPr>
        <w:pStyle w:val="BodyText"/>
        <w:spacing w:before="9"/>
        <w:rPr>
          <w:sz w:val="20"/>
        </w:rPr>
      </w:pPr>
    </w:p>
    <w:p w:rsidR="00C31389" w:rsidRDefault="00561FBD" w14:paraId="01F64CF2" w14:textId="77777777">
      <w:pPr>
        <w:pStyle w:val="ListParagraph"/>
        <w:numPr>
          <w:ilvl w:val="0"/>
          <w:numId w:val="45"/>
        </w:numPr>
        <w:tabs>
          <w:tab w:val="left" w:pos="1200"/>
        </w:tabs>
        <w:spacing w:before="1"/>
        <w:ind w:left="1200"/>
      </w:pPr>
      <w:r>
        <w:t>No</w:t>
      </w:r>
      <w:r>
        <w:rPr>
          <w:spacing w:val="-6"/>
        </w:rPr>
        <w:t xml:space="preserve"> </w:t>
      </w:r>
      <w:r>
        <w:t>good</w:t>
      </w:r>
      <w:r>
        <w:rPr>
          <w:spacing w:val="-6"/>
        </w:rPr>
        <w:t xml:space="preserve"> </w:t>
      </w:r>
      <w:r>
        <w:t>baseline</w:t>
      </w:r>
      <w:r>
        <w:rPr>
          <w:spacing w:val="-6"/>
        </w:rPr>
        <w:t xml:space="preserve"> </w:t>
      </w:r>
      <w:r>
        <w:t>or</w:t>
      </w:r>
      <w:r>
        <w:rPr>
          <w:spacing w:val="-5"/>
        </w:rPr>
        <w:t xml:space="preserve"> </w:t>
      </w:r>
      <w:r>
        <w:t>saturation</w:t>
      </w:r>
      <w:r>
        <w:rPr>
          <w:spacing w:val="-6"/>
        </w:rPr>
        <w:t xml:space="preserve"> </w:t>
      </w:r>
      <w:r>
        <w:t>data</w:t>
      </w:r>
      <w:r>
        <w:rPr>
          <w:spacing w:val="-6"/>
        </w:rPr>
        <w:t xml:space="preserve"> </w:t>
      </w:r>
      <w:r>
        <w:t>exists</w:t>
      </w:r>
      <w:r>
        <w:rPr>
          <w:spacing w:val="-6"/>
        </w:rPr>
        <w:t xml:space="preserve"> </w:t>
      </w:r>
      <w:r>
        <w:t>for</w:t>
      </w:r>
      <w:r>
        <w:rPr>
          <w:spacing w:val="-6"/>
        </w:rPr>
        <w:t xml:space="preserve"> </w:t>
      </w:r>
      <w:r>
        <w:t>the</w:t>
      </w:r>
      <w:r>
        <w:rPr>
          <w:spacing w:val="-6"/>
        </w:rPr>
        <w:t xml:space="preserve"> </w:t>
      </w:r>
      <w:r>
        <w:t>industrial</w:t>
      </w:r>
      <w:r>
        <w:rPr>
          <w:spacing w:val="-7"/>
        </w:rPr>
        <w:t xml:space="preserve"> </w:t>
      </w:r>
      <w:r>
        <w:rPr>
          <w:spacing w:val="-2"/>
        </w:rPr>
        <w:t>sector.</w:t>
      </w:r>
    </w:p>
    <w:p w:rsidR="00C31389" w:rsidRDefault="00561FBD" w14:paraId="60F2811B" w14:textId="77777777">
      <w:pPr>
        <w:pStyle w:val="ListParagraph"/>
        <w:numPr>
          <w:ilvl w:val="0"/>
          <w:numId w:val="45"/>
        </w:numPr>
        <w:tabs>
          <w:tab w:val="left" w:pos="1200"/>
        </w:tabs>
        <w:spacing w:before="118"/>
        <w:ind w:left="1200"/>
      </w:pPr>
      <w:r>
        <w:t>Assumptions</w:t>
      </w:r>
      <w:r>
        <w:rPr>
          <w:spacing w:val="-9"/>
        </w:rPr>
        <w:t xml:space="preserve"> </w:t>
      </w:r>
      <w:r>
        <w:t>are</w:t>
      </w:r>
      <w:r>
        <w:rPr>
          <w:spacing w:val="-8"/>
        </w:rPr>
        <w:t xml:space="preserve"> </w:t>
      </w:r>
      <w:r>
        <w:t>made</w:t>
      </w:r>
      <w:r>
        <w:rPr>
          <w:spacing w:val="-8"/>
        </w:rPr>
        <w:t xml:space="preserve"> </w:t>
      </w:r>
      <w:r>
        <w:t>regarding</w:t>
      </w:r>
      <w:r>
        <w:rPr>
          <w:spacing w:val="-8"/>
        </w:rPr>
        <w:t xml:space="preserve"> </w:t>
      </w:r>
      <w:r>
        <w:rPr>
          <w:spacing w:val="-2"/>
        </w:rPr>
        <w:t>costs.</w:t>
      </w:r>
    </w:p>
    <w:p w:rsidR="00C31389" w:rsidRDefault="00561FBD" w14:paraId="524FD48F" w14:textId="77777777">
      <w:pPr>
        <w:pStyle w:val="ListParagraph"/>
        <w:numPr>
          <w:ilvl w:val="0"/>
          <w:numId w:val="45"/>
        </w:numPr>
        <w:tabs>
          <w:tab w:val="left" w:pos="1200"/>
        </w:tabs>
        <w:spacing w:before="118"/>
        <w:ind w:left="1200" w:right="882" w:hanging="361"/>
      </w:pPr>
      <w:r>
        <w:t>Many</w:t>
      </w:r>
      <w:r>
        <w:rPr>
          <w:spacing w:val="-5"/>
        </w:rPr>
        <w:t xml:space="preserve"> </w:t>
      </w:r>
      <w:r>
        <w:t>studies</w:t>
      </w:r>
      <w:r>
        <w:rPr>
          <w:spacing w:val="-4"/>
        </w:rPr>
        <w:t xml:space="preserve"> </w:t>
      </w:r>
      <w:r>
        <w:t>leverage</w:t>
      </w:r>
      <w:r>
        <w:rPr>
          <w:spacing w:val="-4"/>
        </w:rPr>
        <w:t xml:space="preserve"> </w:t>
      </w:r>
      <w:r>
        <w:t>the</w:t>
      </w:r>
      <w:r>
        <w:rPr>
          <w:spacing w:val="-4"/>
        </w:rPr>
        <w:t xml:space="preserve"> </w:t>
      </w:r>
      <w:r>
        <w:t>Industrial</w:t>
      </w:r>
      <w:r>
        <w:rPr>
          <w:spacing w:val="-5"/>
        </w:rPr>
        <w:t xml:space="preserve"> </w:t>
      </w:r>
      <w:r>
        <w:t>Assessment</w:t>
      </w:r>
      <w:r>
        <w:rPr>
          <w:spacing w:val="-4"/>
        </w:rPr>
        <w:t xml:space="preserve"> </w:t>
      </w:r>
      <w:r>
        <w:t>Center</w:t>
      </w:r>
      <w:r>
        <w:rPr>
          <w:spacing w:val="-4"/>
        </w:rPr>
        <w:t xml:space="preserve"> </w:t>
      </w:r>
      <w:r>
        <w:t>(IAC)</w:t>
      </w:r>
      <w:r>
        <w:rPr>
          <w:spacing w:val="-4"/>
        </w:rPr>
        <w:t xml:space="preserve"> </w:t>
      </w:r>
      <w:r>
        <w:t>database</w:t>
      </w:r>
      <w:r>
        <w:rPr>
          <w:spacing w:val="-40"/>
        </w:rPr>
        <w:t xml:space="preserve"> </w:t>
      </w:r>
      <w:hyperlink w:history="1" w:anchor="_bookmark160">
        <w:r>
          <w:rPr>
            <w:position w:val="7"/>
            <w:sz w:val="14"/>
          </w:rPr>
          <w:t>49</w:t>
        </w:r>
      </w:hyperlink>
      <w:r>
        <w:rPr>
          <w:spacing w:val="17"/>
          <w:position w:val="7"/>
          <w:sz w:val="14"/>
        </w:rPr>
        <w:t xml:space="preserve"> </w:t>
      </w:r>
      <w:r>
        <w:t>to</w:t>
      </w:r>
      <w:r>
        <w:rPr>
          <w:spacing w:val="-4"/>
        </w:rPr>
        <w:t xml:space="preserve"> </w:t>
      </w:r>
      <w:r>
        <w:t xml:space="preserve">various </w:t>
      </w:r>
      <w:r>
        <w:rPr>
          <w:spacing w:val="-2"/>
        </w:rPr>
        <w:t>levels.</w:t>
      </w:r>
    </w:p>
    <w:p w:rsidR="00C31389" w:rsidRDefault="00C31389" w14:paraId="5B9A4412" w14:textId="77777777">
      <w:pPr>
        <w:pStyle w:val="BodyText"/>
        <w:rPr>
          <w:sz w:val="20"/>
        </w:rPr>
      </w:pPr>
    </w:p>
    <w:p w:rsidR="00C31389" w:rsidRDefault="00C31389" w14:paraId="48324360" w14:textId="77777777">
      <w:pPr>
        <w:pStyle w:val="BodyText"/>
        <w:rPr>
          <w:sz w:val="20"/>
        </w:rPr>
      </w:pPr>
    </w:p>
    <w:p w:rsidR="00C31389" w:rsidRDefault="00561FBD" w14:paraId="4B4F95BD" w14:textId="77777777">
      <w:pPr>
        <w:pStyle w:val="BodyText"/>
        <w:spacing w:before="3"/>
        <w:rPr>
          <w:sz w:val="11"/>
        </w:rPr>
      </w:pPr>
      <w:r>
        <w:rPr>
          <w:noProof/>
        </w:rPr>
        <mc:AlternateContent>
          <mc:Choice Requires="wps">
            <w:drawing>
              <wp:anchor distT="0" distB="0" distL="0" distR="0" simplePos="0" relativeHeight="487648256" behindDoc="1" locked="0" layoutInCell="1" allowOverlap="1" wp14:editId="14FD4F2D" wp14:anchorId="5C5DC938">
                <wp:simplePos x="0" y="0"/>
                <wp:positionH relativeFrom="page">
                  <wp:posOffset>914400</wp:posOffset>
                </wp:positionH>
                <wp:positionV relativeFrom="paragraph">
                  <wp:posOffset>98061</wp:posOffset>
                </wp:positionV>
                <wp:extent cx="1828800" cy="6985"/>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81" style="position:absolute;margin-left:1in;margin-top:7.7pt;width:2in;height:.55pt;z-index:-1566822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" w14:anchorId="6DE2EE46">
                <v:path arrowok="t"/>
                <w10:wrap type="topAndBottom" anchorx="page"/>
              </v:shape>
            </w:pict>
          </mc:Fallback>
        </mc:AlternateContent>
      </w:r>
    </w:p>
    <w:p w:rsidR="00C31389" w:rsidRDefault="00561FBD" w14:paraId="473041A9" w14:textId="77777777">
      <w:pPr>
        <w:spacing w:before="88"/>
        <w:ind w:left="480" w:right="533" w:hanging="1"/>
        <w:rPr>
          <w:sz w:val="18"/>
        </w:rPr>
      </w:pPr>
      <w:bookmarkStart w:name="_bookmark157" w:id="211"/>
      <w:bookmarkEnd w:id="211"/>
      <w:r>
        <w:rPr>
          <w:position w:val="6"/>
          <w:sz w:val="12"/>
        </w:rPr>
        <w:t>46</w:t>
      </w:r>
      <w:r>
        <w:rPr>
          <w:spacing w:val="14"/>
          <w:position w:val="6"/>
          <w:sz w:val="12"/>
        </w:rPr>
        <w:t xml:space="preserve"> </w:t>
      </w:r>
      <w:r>
        <w:rPr>
          <w:sz w:val="18"/>
        </w:rPr>
        <w:t>DNV</w:t>
      </w:r>
      <w:r>
        <w:rPr>
          <w:spacing w:val="-3"/>
          <w:sz w:val="18"/>
        </w:rPr>
        <w:t xml:space="preserve"> </w:t>
      </w:r>
      <w:r>
        <w:rPr>
          <w:sz w:val="18"/>
        </w:rPr>
        <w:t>GL,</w:t>
      </w:r>
      <w:r>
        <w:rPr>
          <w:spacing w:val="-3"/>
          <w:sz w:val="18"/>
        </w:rPr>
        <w:t xml:space="preserve"> </w:t>
      </w:r>
      <w:r>
        <w:rPr>
          <w:i/>
          <w:sz w:val="18"/>
        </w:rPr>
        <w:t>Impact</w:t>
      </w:r>
      <w:r>
        <w:rPr>
          <w:i/>
          <w:spacing w:val="-3"/>
          <w:sz w:val="18"/>
        </w:rPr>
        <w:t xml:space="preserve"> </w:t>
      </w:r>
      <w:r>
        <w:rPr>
          <w:i/>
          <w:sz w:val="18"/>
        </w:rPr>
        <w:t>Evaluation</w:t>
      </w:r>
      <w:r>
        <w:rPr>
          <w:i/>
          <w:spacing w:val="-4"/>
          <w:sz w:val="18"/>
        </w:rPr>
        <w:t xml:space="preserve"> </w:t>
      </w:r>
      <w:r>
        <w:rPr>
          <w:i/>
          <w:sz w:val="18"/>
        </w:rPr>
        <w:t>Report:</w:t>
      </w:r>
      <w:r>
        <w:rPr>
          <w:i/>
          <w:spacing w:val="-3"/>
          <w:sz w:val="18"/>
        </w:rPr>
        <w:t xml:space="preserve"> </w:t>
      </w:r>
      <w:r>
        <w:rPr>
          <w:i/>
          <w:sz w:val="18"/>
        </w:rPr>
        <w:t>Home</w:t>
      </w:r>
      <w:r>
        <w:rPr>
          <w:i/>
          <w:spacing w:val="-4"/>
          <w:sz w:val="18"/>
        </w:rPr>
        <w:t xml:space="preserve"> </w:t>
      </w:r>
      <w:r>
        <w:rPr>
          <w:i/>
          <w:sz w:val="18"/>
        </w:rPr>
        <w:t>Upgrade</w:t>
      </w:r>
      <w:r>
        <w:rPr>
          <w:i/>
          <w:spacing w:val="-4"/>
          <w:sz w:val="18"/>
        </w:rPr>
        <w:t xml:space="preserve"> </w:t>
      </w:r>
      <w:r>
        <w:rPr>
          <w:i/>
          <w:sz w:val="18"/>
        </w:rPr>
        <w:t>Program</w:t>
      </w:r>
      <w:r>
        <w:rPr>
          <w:i/>
          <w:spacing w:val="-3"/>
          <w:sz w:val="18"/>
        </w:rPr>
        <w:t xml:space="preserve"> </w:t>
      </w:r>
      <w:r>
        <w:rPr>
          <w:i/>
          <w:sz w:val="18"/>
        </w:rPr>
        <w:t>–</w:t>
      </w:r>
      <w:r>
        <w:rPr>
          <w:i/>
          <w:spacing w:val="-3"/>
          <w:sz w:val="18"/>
        </w:rPr>
        <w:t xml:space="preserve"> </w:t>
      </w:r>
      <w:r>
        <w:rPr>
          <w:i/>
          <w:sz w:val="18"/>
        </w:rPr>
        <w:t>Residential</w:t>
      </w:r>
      <w:r>
        <w:rPr>
          <w:i/>
          <w:spacing w:val="-3"/>
          <w:sz w:val="18"/>
        </w:rPr>
        <w:t xml:space="preserve"> </w:t>
      </w:r>
      <w:r>
        <w:rPr>
          <w:i/>
          <w:sz w:val="18"/>
        </w:rPr>
        <w:t>Program</w:t>
      </w:r>
      <w:r>
        <w:rPr>
          <w:i/>
          <w:spacing w:val="-3"/>
          <w:sz w:val="18"/>
        </w:rPr>
        <w:t xml:space="preserve"> </w:t>
      </w:r>
      <w:r>
        <w:rPr>
          <w:i/>
          <w:sz w:val="18"/>
        </w:rPr>
        <w:t>Year</w:t>
      </w:r>
      <w:r>
        <w:rPr>
          <w:i/>
          <w:spacing w:val="-2"/>
          <w:sz w:val="18"/>
        </w:rPr>
        <w:t xml:space="preserve"> </w:t>
      </w:r>
      <w:r>
        <w:rPr>
          <w:i/>
          <w:sz w:val="18"/>
        </w:rPr>
        <w:t>2017</w:t>
      </w:r>
      <w:r>
        <w:rPr>
          <w:sz w:val="18"/>
        </w:rPr>
        <w:t>,</w:t>
      </w:r>
      <w:r>
        <w:rPr>
          <w:spacing w:val="-2"/>
          <w:sz w:val="18"/>
        </w:rPr>
        <w:t xml:space="preserve"> </w:t>
      </w:r>
      <w:r>
        <w:rPr>
          <w:sz w:val="18"/>
        </w:rPr>
        <w:t>April</w:t>
      </w:r>
      <w:r>
        <w:rPr>
          <w:spacing w:val="-3"/>
          <w:sz w:val="18"/>
        </w:rPr>
        <w:t xml:space="preserve"> </w:t>
      </w:r>
      <w:r>
        <w:rPr>
          <w:sz w:val="18"/>
        </w:rPr>
        <w:t>29,</w:t>
      </w:r>
      <w:r>
        <w:rPr>
          <w:spacing w:val="-2"/>
          <w:sz w:val="18"/>
        </w:rPr>
        <w:t xml:space="preserve"> </w:t>
      </w:r>
      <w:r>
        <w:rPr>
          <w:sz w:val="18"/>
        </w:rPr>
        <w:t>2019, (CALMAC ID: CPU0191.01).</w:t>
      </w:r>
    </w:p>
    <w:p w:rsidR="00C31389" w:rsidRDefault="00561FBD" w14:paraId="2153CD9C" w14:textId="77777777">
      <w:pPr>
        <w:spacing w:before="38"/>
        <w:ind w:left="480"/>
        <w:rPr>
          <w:sz w:val="18"/>
        </w:rPr>
      </w:pPr>
      <w:bookmarkStart w:name="_bookmark158" w:id="212"/>
      <w:bookmarkEnd w:id="212"/>
      <w:r>
        <w:rPr>
          <w:position w:val="6"/>
          <w:sz w:val="12"/>
        </w:rPr>
        <w:t>47</w:t>
      </w:r>
      <w:r>
        <w:rPr>
          <w:spacing w:val="15"/>
          <w:position w:val="6"/>
          <w:sz w:val="12"/>
        </w:rPr>
        <w:t xml:space="preserve"> </w:t>
      </w:r>
      <w:r>
        <w:rPr>
          <w:sz w:val="18"/>
        </w:rPr>
        <w:t>The</w:t>
      </w:r>
      <w:r>
        <w:rPr>
          <w:spacing w:val="-2"/>
          <w:sz w:val="18"/>
        </w:rPr>
        <w:t xml:space="preserve"> </w:t>
      </w:r>
      <w:r>
        <w:rPr>
          <w:sz w:val="18"/>
        </w:rPr>
        <w:t>report</w:t>
      </w:r>
      <w:r>
        <w:rPr>
          <w:spacing w:val="-2"/>
          <w:sz w:val="18"/>
        </w:rPr>
        <w:t xml:space="preserve"> </w:t>
      </w:r>
      <w:r>
        <w:rPr>
          <w:sz w:val="18"/>
        </w:rPr>
        <w:t>is</w:t>
      </w:r>
      <w:r>
        <w:rPr>
          <w:spacing w:val="-2"/>
          <w:sz w:val="18"/>
        </w:rPr>
        <w:t xml:space="preserve"> </w:t>
      </w:r>
      <w:r>
        <w:rPr>
          <w:sz w:val="18"/>
        </w:rPr>
        <w:t>Attachment</w:t>
      </w:r>
      <w:r>
        <w:rPr>
          <w:spacing w:val="-1"/>
          <w:sz w:val="18"/>
        </w:rPr>
        <w:t xml:space="preserve"> </w:t>
      </w:r>
      <w:r>
        <w:rPr>
          <w:sz w:val="18"/>
        </w:rPr>
        <w:t>2</w:t>
      </w:r>
      <w:r>
        <w:rPr>
          <w:spacing w:val="-3"/>
          <w:sz w:val="18"/>
        </w:rPr>
        <w:t xml:space="preserve"> </w:t>
      </w:r>
      <w:r>
        <w:rPr>
          <w:sz w:val="18"/>
        </w:rPr>
        <w:t>to</w:t>
      </w:r>
      <w:r>
        <w:rPr>
          <w:spacing w:val="-2"/>
          <w:sz w:val="18"/>
        </w:rPr>
        <w:t xml:space="preserve"> </w:t>
      </w:r>
      <w:r>
        <w:rPr>
          <w:sz w:val="18"/>
        </w:rPr>
        <w:t>this</w:t>
      </w:r>
      <w:r>
        <w:rPr>
          <w:spacing w:val="-1"/>
          <w:sz w:val="18"/>
        </w:rPr>
        <w:t xml:space="preserve"> </w:t>
      </w:r>
      <w:r>
        <w:rPr>
          <w:spacing w:val="-2"/>
          <w:sz w:val="18"/>
        </w:rPr>
        <w:t>report.</w:t>
      </w:r>
    </w:p>
    <w:p w:rsidR="00C31389" w:rsidRDefault="00561FBD" w14:paraId="27038BA7" w14:textId="77777777">
      <w:pPr>
        <w:spacing w:before="34"/>
        <w:ind w:left="480" w:right="581" w:hanging="1"/>
        <w:rPr>
          <w:sz w:val="18"/>
        </w:rPr>
      </w:pPr>
      <w:bookmarkStart w:name="_bookmark159" w:id="213"/>
      <w:bookmarkEnd w:id="213"/>
      <w:r>
        <w:rPr>
          <w:position w:val="6"/>
          <w:sz w:val="12"/>
        </w:rPr>
        <w:t>48</w:t>
      </w:r>
      <w:r>
        <w:rPr>
          <w:spacing w:val="30"/>
          <w:position w:val="6"/>
          <w:sz w:val="12"/>
        </w:rPr>
        <w:t xml:space="preserve"> </w:t>
      </w:r>
      <w:r>
        <w:rPr>
          <w:sz w:val="18"/>
        </w:rPr>
        <w:t xml:space="preserve">One example is the Energy Efficiency Alberta study: https://open.alberta.ca/dataset/f63b924c-3134-4a81-a42c- </w:t>
      </w:r>
      <w:r>
        <w:rPr>
          <w:spacing w:val="-2"/>
          <w:sz w:val="18"/>
        </w:rPr>
        <w:t>2fb0a416eb72/resource/955757bd-de5b-43a3-ac52-4cb19f9630e</w:t>
      </w:r>
      <w:r>
        <w:rPr>
          <w:spacing w:val="-2"/>
          <w:sz w:val="18"/>
        </w:rPr>
        <w:t>3/download/aep-eea-2019-2038-energy-efficiency- small-scale-renewables-potential-study.pdf</w:t>
      </w:r>
      <w:r>
        <w:rPr>
          <w:color w:val="68942C"/>
          <w:spacing w:val="-2"/>
          <w:sz w:val="18"/>
        </w:rPr>
        <w:t>.</w:t>
      </w:r>
    </w:p>
    <w:p w:rsidR="00C31389" w:rsidRDefault="00561FBD" w14:paraId="4E113F10" w14:textId="77777777">
      <w:pPr>
        <w:spacing w:before="38"/>
        <w:ind w:left="480"/>
        <w:rPr>
          <w:sz w:val="18"/>
        </w:rPr>
      </w:pPr>
      <w:bookmarkStart w:name="_bookmark160" w:id="214"/>
      <w:bookmarkEnd w:id="214"/>
      <w:r>
        <w:rPr>
          <w:position w:val="6"/>
          <w:sz w:val="12"/>
        </w:rPr>
        <w:t>49</w:t>
      </w:r>
      <w:r>
        <w:rPr>
          <w:spacing w:val="17"/>
          <w:position w:val="6"/>
          <w:sz w:val="12"/>
        </w:rPr>
        <w:t xml:space="preserve"> </w:t>
      </w:r>
      <w:hyperlink w:anchor="database" r:id="rId135">
        <w:r>
          <w:rPr>
            <w:color w:val="68942C"/>
            <w:spacing w:val="-2"/>
            <w:sz w:val="18"/>
            <w:u w:val="single" w:color="68942C"/>
          </w:rPr>
          <w:t>https://iac.university/#database</w:t>
        </w:r>
      </w:hyperlink>
    </w:p>
    <w:p w:rsidR="00C31389" w:rsidRDefault="00C31389" w14:paraId="06AD27E6" w14:textId="77777777">
      <w:pPr>
        <w:rPr>
          <w:sz w:val="18"/>
        </w:rPr>
        <w:sectPr w:rsidR="00C31389">
          <w:headerReference w:type="default" r:id="rId136"/>
          <w:footerReference w:type="default" r:id="rId137"/>
          <w:pgSz w:w="12240" w:h="15840"/>
          <w:pgMar w:top="1660" w:right="960" w:bottom="1120" w:left="960" w:header="397" w:footer="936" w:gutter="0"/>
          <w:cols w:space="720"/>
        </w:sectPr>
      </w:pPr>
    </w:p>
    <w:p w:rsidR="00C31389" w:rsidRDefault="00C31389" w14:paraId="3BE0694A" w14:textId="77777777">
      <w:pPr>
        <w:pStyle w:val="BodyText"/>
        <w:spacing w:before="11"/>
        <w:rPr>
          <w:sz w:val="13"/>
        </w:rPr>
      </w:pPr>
    </w:p>
    <w:p w:rsidR="00C31389" w:rsidRDefault="00561FBD" w14:paraId="2B340158" w14:textId="77777777">
      <w:pPr>
        <w:pStyle w:val="BodyText"/>
        <w:spacing w:before="92"/>
        <w:ind w:left="479" w:right="872"/>
        <w:jc w:val="both"/>
      </w:pPr>
      <w:r>
        <w:t>The</w:t>
      </w:r>
      <w:r>
        <w:rPr>
          <w:spacing w:val="-2"/>
        </w:rPr>
        <w:t xml:space="preserve"> </w:t>
      </w:r>
      <w:r>
        <w:t>Industrial</w:t>
      </w:r>
      <w:r>
        <w:rPr>
          <w:spacing w:val="-2"/>
        </w:rPr>
        <w:t xml:space="preserve"> </w:t>
      </w:r>
      <w:r>
        <w:t>and</w:t>
      </w:r>
      <w:r>
        <w:rPr>
          <w:spacing w:val="-2"/>
        </w:rPr>
        <w:t xml:space="preserve"> </w:t>
      </w:r>
      <w:r>
        <w:t>Agriculture</w:t>
      </w:r>
      <w:r>
        <w:rPr>
          <w:spacing w:val="-2"/>
        </w:rPr>
        <w:t xml:space="preserve"> </w:t>
      </w:r>
      <w:r>
        <w:t>Market</w:t>
      </w:r>
      <w:r>
        <w:rPr>
          <w:spacing w:val="-2"/>
        </w:rPr>
        <w:t xml:space="preserve"> </w:t>
      </w:r>
      <w:r>
        <w:t>Study</w:t>
      </w:r>
      <w:r>
        <w:rPr>
          <w:spacing w:val="-2"/>
        </w:rPr>
        <w:t xml:space="preserve"> </w:t>
      </w:r>
      <w:r>
        <w:t>describes</w:t>
      </w:r>
      <w:r>
        <w:rPr>
          <w:spacing w:val="-1"/>
        </w:rPr>
        <w:t xml:space="preserve"> </w:t>
      </w:r>
      <w:r>
        <w:t>the</w:t>
      </w:r>
      <w:r>
        <w:rPr>
          <w:spacing w:val="-2"/>
        </w:rPr>
        <w:t xml:space="preserve"> </w:t>
      </w:r>
      <w:r>
        <w:t>specific</w:t>
      </w:r>
      <w:r>
        <w:rPr>
          <w:spacing w:val="-2"/>
        </w:rPr>
        <w:t xml:space="preserve"> </w:t>
      </w:r>
      <w:r>
        <w:t>data</w:t>
      </w:r>
      <w:r>
        <w:rPr>
          <w:spacing w:val="-2"/>
        </w:rPr>
        <w:t xml:space="preserve"> </w:t>
      </w:r>
      <w:r>
        <w:t>collected.</w:t>
      </w:r>
      <w:r>
        <w:rPr>
          <w:spacing w:val="-2"/>
        </w:rPr>
        <w:t xml:space="preserve"> </w:t>
      </w:r>
      <w:r>
        <w:t>The</w:t>
      </w:r>
      <w:r>
        <w:rPr>
          <w:spacing w:val="-2"/>
        </w:rPr>
        <w:t xml:space="preserve"> </w:t>
      </w:r>
      <w:r>
        <w:t xml:space="preserve">report limited the scope to six segments and the three top </w:t>
      </w:r>
      <w:r>
        <w:t>potential</w:t>
      </w:r>
      <w:r>
        <w:rPr>
          <w:spacing w:val="-1"/>
        </w:rPr>
        <w:t xml:space="preserve"> </w:t>
      </w:r>
      <w:r>
        <w:t>measures per segment. Future studies</w:t>
      </w:r>
      <w:r>
        <w:rPr>
          <w:spacing w:val="-3"/>
        </w:rPr>
        <w:t xml:space="preserve"> </w:t>
      </w:r>
      <w:r>
        <w:t>would</w:t>
      </w:r>
      <w:r>
        <w:rPr>
          <w:spacing w:val="-3"/>
        </w:rPr>
        <w:t xml:space="preserve"> </w:t>
      </w:r>
      <w:r>
        <w:t>need</w:t>
      </w:r>
      <w:r>
        <w:rPr>
          <w:spacing w:val="-3"/>
        </w:rPr>
        <w:t xml:space="preserve"> </w:t>
      </w:r>
      <w:r>
        <w:t>to</w:t>
      </w:r>
      <w:r>
        <w:rPr>
          <w:spacing w:val="-3"/>
        </w:rPr>
        <w:t xml:space="preserve"> </w:t>
      </w:r>
      <w:r>
        <w:t>expand</w:t>
      </w:r>
      <w:r>
        <w:rPr>
          <w:spacing w:val="-3"/>
        </w:rPr>
        <w:t xml:space="preserve"> </w:t>
      </w:r>
      <w:r>
        <w:t>the</w:t>
      </w:r>
      <w:r>
        <w:rPr>
          <w:spacing w:val="-3"/>
        </w:rPr>
        <w:t xml:space="preserve"> </w:t>
      </w:r>
      <w:r>
        <w:t>scope</w:t>
      </w:r>
      <w:r>
        <w:rPr>
          <w:spacing w:val="-2"/>
        </w:rPr>
        <w:t xml:space="preserve"> </w:t>
      </w:r>
      <w:r>
        <w:t>to</w:t>
      </w:r>
      <w:r>
        <w:rPr>
          <w:spacing w:val="-3"/>
        </w:rPr>
        <w:t xml:space="preserve"> </w:t>
      </w:r>
      <w:r>
        <w:t>other</w:t>
      </w:r>
      <w:r>
        <w:rPr>
          <w:spacing w:val="-4"/>
        </w:rPr>
        <w:t xml:space="preserve"> </w:t>
      </w:r>
      <w:r>
        <w:t>segments</w:t>
      </w:r>
      <w:r>
        <w:rPr>
          <w:spacing w:val="-3"/>
        </w:rPr>
        <w:t xml:space="preserve"> </w:t>
      </w:r>
      <w:r>
        <w:t>and</w:t>
      </w:r>
      <w:r>
        <w:rPr>
          <w:spacing w:val="-3"/>
        </w:rPr>
        <w:t xml:space="preserve"> </w:t>
      </w:r>
      <w:r>
        <w:t>end</w:t>
      </w:r>
      <w:r>
        <w:rPr>
          <w:spacing w:val="-3"/>
        </w:rPr>
        <w:t xml:space="preserve"> </w:t>
      </w:r>
      <w:r>
        <w:t>uses</w:t>
      </w:r>
      <w:r>
        <w:rPr>
          <w:spacing w:val="-4"/>
        </w:rPr>
        <w:t xml:space="preserve"> </w:t>
      </w:r>
      <w:r>
        <w:t>to</w:t>
      </w:r>
      <w:r>
        <w:rPr>
          <w:spacing w:val="-3"/>
        </w:rPr>
        <w:t xml:space="preserve"> </w:t>
      </w:r>
      <w:r>
        <w:t>expand</w:t>
      </w:r>
      <w:r>
        <w:rPr>
          <w:spacing w:val="-3"/>
        </w:rPr>
        <w:t xml:space="preserve"> </w:t>
      </w:r>
      <w:r>
        <w:t>savings potential (beyond those identified as top savers by experts).</w:t>
      </w:r>
    </w:p>
    <w:p w:rsidR="00C31389" w:rsidRDefault="00C31389" w14:paraId="05244F0F" w14:textId="77777777">
      <w:pPr>
        <w:pStyle w:val="BodyText"/>
        <w:spacing w:before="4"/>
        <w:rPr>
          <w:sz w:val="31"/>
        </w:rPr>
      </w:pPr>
    </w:p>
    <w:p w:rsidR="00C31389" w:rsidRDefault="00561FBD" w14:paraId="5CF9ADDE" w14:textId="77777777">
      <w:pPr>
        <w:pStyle w:val="Heading4"/>
        <w:numPr>
          <w:ilvl w:val="2"/>
          <w:numId w:val="71"/>
        </w:numPr>
        <w:tabs>
          <w:tab w:val="left" w:pos="1076"/>
        </w:tabs>
        <w:ind w:left="1076" w:hanging="596"/>
      </w:pPr>
      <w:bookmarkStart w:name="3.5.1_Agriculture_and_Industrial_Sectors" w:id="215"/>
      <w:bookmarkStart w:name="_bookmark161" w:id="216"/>
      <w:bookmarkEnd w:id="215"/>
      <w:bookmarkEnd w:id="216"/>
      <w:r>
        <w:t>Agriculture</w:t>
      </w:r>
      <w:r>
        <w:rPr>
          <w:spacing w:val="-4"/>
        </w:rPr>
        <w:t xml:space="preserve"> </w:t>
      </w:r>
      <w:r>
        <w:t>and</w:t>
      </w:r>
      <w:r>
        <w:rPr>
          <w:spacing w:val="-4"/>
        </w:rPr>
        <w:t xml:space="preserve"> </w:t>
      </w:r>
      <w:r>
        <w:t>Industrial</w:t>
      </w:r>
      <w:r>
        <w:rPr>
          <w:spacing w:val="-3"/>
        </w:rPr>
        <w:t xml:space="preserve"> </w:t>
      </w:r>
      <w:r>
        <w:rPr>
          <w:spacing w:val="-2"/>
        </w:rPr>
        <w:t>Sectors</w:t>
      </w:r>
    </w:p>
    <w:p w:rsidR="00C31389" w:rsidRDefault="00C31389" w14:paraId="718FF90F" w14:textId="77777777">
      <w:pPr>
        <w:pStyle w:val="BodyText"/>
        <w:spacing w:before="10"/>
        <w:rPr>
          <w:b/>
          <w:sz w:val="20"/>
        </w:rPr>
      </w:pPr>
    </w:p>
    <w:p w:rsidR="00C31389" w:rsidRDefault="00561FBD" w14:paraId="3B52A55E" w14:textId="77777777">
      <w:pPr>
        <w:pStyle w:val="BodyText"/>
        <w:ind w:left="479" w:right="533"/>
      </w:pPr>
      <w:r>
        <w:t>The</w:t>
      </w:r>
      <w:r>
        <w:rPr>
          <w:spacing w:val="-4"/>
        </w:rPr>
        <w:t xml:space="preserve"> </w:t>
      </w:r>
      <w:r>
        <w:t>Guidehouse</w:t>
      </w:r>
      <w:r>
        <w:rPr>
          <w:spacing w:val="-4"/>
        </w:rPr>
        <w:t xml:space="preserve"> </w:t>
      </w:r>
      <w:r>
        <w:t>team</w:t>
      </w:r>
      <w:r>
        <w:rPr>
          <w:spacing w:val="-5"/>
        </w:rPr>
        <w:t xml:space="preserve"> </w:t>
      </w:r>
      <w:r>
        <w:t>characteri</w:t>
      </w:r>
      <w:r>
        <w:t>zed</w:t>
      </w:r>
      <w:r>
        <w:rPr>
          <w:spacing w:val="-5"/>
        </w:rPr>
        <w:t xml:space="preserve"> </w:t>
      </w:r>
      <w:r>
        <w:t>the</w:t>
      </w:r>
      <w:r>
        <w:rPr>
          <w:spacing w:val="-4"/>
        </w:rPr>
        <w:t xml:space="preserve"> </w:t>
      </w:r>
      <w:r>
        <w:t>agriculture</w:t>
      </w:r>
      <w:r>
        <w:rPr>
          <w:spacing w:val="-4"/>
        </w:rPr>
        <w:t xml:space="preserve"> </w:t>
      </w:r>
      <w:r>
        <w:t>and</w:t>
      </w:r>
      <w:r>
        <w:rPr>
          <w:spacing w:val="-4"/>
        </w:rPr>
        <w:t xml:space="preserve"> </w:t>
      </w:r>
      <w:r>
        <w:t>industrial</w:t>
      </w:r>
      <w:r>
        <w:rPr>
          <w:spacing w:val="-4"/>
        </w:rPr>
        <w:t xml:space="preserve"> </w:t>
      </w:r>
      <w:r>
        <w:t>sectors</w:t>
      </w:r>
      <w:r>
        <w:rPr>
          <w:spacing w:val="-4"/>
        </w:rPr>
        <w:t xml:space="preserve"> </w:t>
      </w:r>
      <w:r>
        <w:t>following</w:t>
      </w:r>
      <w:r>
        <w:rPr>
          <w:spacing w:val="-4"/>
        </w:rPr>
        <w:t xml:space="preserve"> </w:t>
      </w:r>
      <w:r>
        <w:t>the</w:t>
      </w:r>
      <w:r>
        <w:rPr>
          <w:spacing w:val="-4"/>
        </w:rPr>
        <w:t xml:space="preserve"> </w:t>
      </w:r>
      <w:r>
        <w:t>overall approach that stakeholders agreed to in the 2017 Study and duplicated in each subsequent study. No new studies or datasets are available for the team to change this approach. The approach lev</w:t>
      </w:r>
      <w:r>
        <w:t>eraged historical program data and included the following steps:</w:t>
      </w:r>
    </w:p>
    <w:p w:rsidR="00C31389" w:rsidRDefault="00561FBD" w14:paraId="6C9ED6CB" w14:textId="77777777">
      <w:pPr>
        <w:pStyle w:val="ListParagraph"/>
        <w:numPr>
          <w:ilvl w:val="0"/>
          <w:numId w:val="44"/>
        </w:numPr>
        <w:tabs>
          <w:tab w:val="left" w:pos="1199"/>
        </w:tabs>
        <w:spacing w:before="119"/>
        <w:ind w:right="556"/>
      </w:pPr>
      <w:r>
        <w:t>Extract measure-level data from the reported program data (prior to 2017, California EEStats portal</w:t>
      </w:r>
      <w:r>
        <w:rPr>
          <w:spacing w:val="-36"/>
        </w:rPr>
        <w:t xml:space="preserve"> </w:t>
      </w:r>
      <w:hyperlink w:history="1" w:anchor="_bookmark162">
        <w:r>
          <w:rPr>
            <w:position w:val="7"/>
            <w:sz w:val="14"/>
          </w:rPr>
          <w:t>50</w:t>
        </w:r>
      </w:hyperlink>
      <w:r>
        <w:rPr>
          <w:spacing w:val="33"/>
          <w:position w:val="7"/>
          <w:sz w:val="14"/>
        </w:rPr>
        <w:t xml:space="preserve"> </w:t>
      </w:r>
      <w:r>
        <w:t>and now the CEDARS database). The team identified over 1,300 measure-level</w:t>
      </w:r>
      <w:r>
        <w:rPr>
          <w:spacing w:val="-3"/>
        </w:rPr>
        <w:t xml:space="preserve"> </w:t>
      </w:r>
      <w:r>
        <w:t>data</w:t>
      </w:r>
      <w:r>
        <w:rPr>
          <w:spacing w:val="-3"/>
        </w:rPr>
        <w:t xml:space="preserve"> </w:t>
      </w:r>
      <w:r>
        <w:t>points</w:t>
      </w:r>
      <w:r>
        <w:rPr>
          <w:spacing w:val="-3"/>
        </w:rPr>
        <w:t xml:space="preserve"> </w:t>
      </w:r>
      <w:r>
        <w:t>for</w:t>
      </w:r>
      <w:r>
        <w:rPr>
          <w:spacing w:val="-3"/>
        </w:rPr>
        <w:t xml:space="preserve"> </w:t>
      </w:r>
      <w:r>
        <w:t>the</w:t>
      </w:r>
      <w:r>
        <w:rPr>
          <w:spacing w:val="-3"/>
        </w:rPr>
        <w:t xml:space="preserve"> </w:t>
      </w:r>
      <w:r>
        <w:t>industrial</w:t>
      </w:r>
      <w:r>
        <w:rPr>
          <w:spacing w:val="-3"/>
        </w:rPr>
        <w:t xml:space="preserve"> </w:t>
      </w:r>
      <w:r>
        <w:t>and</w:t>
      </w:r>
      <w:r>
        <w:rPr>
          <w:spacing w:val="-3"/>
        </w:rPr>
        <w:t xml:space="preserve"> </w:t>
      </w:r>
      <w:r>
        <w:t>agriculture</w:t>
      </w:r>
      <w:r>
        <w:rPr>
          <w:spacing w:val="-2"/>
        </w:rPr>
        <w:t xml:space="preserve"> </w:t>
      </w:r>
      <w:r>
        <w:t>sectors</w:t>
      </w:r>
      <w:r>
        <w:rPr>
          <w:spacing w:val="-3"/>
        </w:rPr>
        <w:t xml:space="preserve"> </w:t>
      </w:r>
      <w:r>
        <w:t>in</w:t>
      </w:r>
      <w:r>
        <w:rPr>
          <w:spacing w:val="-3"/>
        </w:rPr>
        <w:t xml:space="preserve"> </w:t>
      </w:r>
      <w:r>
        <w:t>the</w:t>
      </w:r>
      <w:r>
        <w:rPr>
          <w:spacing w:val="-4"/>
        </w:rPr>
        <w:t xml:space="preserve"> </w:t>
      </w:r>
      <w:r>
        <w:t>2021</w:t>
      </w:r>
      <w:r>
        <w:rPr>
          <w:spacing w:val="-3"/>
        </w:rPr>
        <w:t xml:space="preserve"> </w:t>
      </w:r>
      <w:r>
        <w:t>CEDARS program data.</w:t>
      </w:r>
    </w:p>
    <w:p w:rsidR="00C31389" w:rsidRDefault="00561FBD" w14:paraId="24A32D2C" w14:textId="77777777">
      <w:pPr>
        <w:pStyle w:val="ListParagraph"/>
        <w:numPr>
          <w:ilvl w:val="0"/>
          <w:numId w:val="44"/>
        </w:numPr>
        <w:tabs>
          <w:tab w:val="left" w:pos="1199"/>
        </w:tabs>
        <w:spacing w:before="121"/>
        <w:ind w:hanging="359"/>
      </w:pPr>
      <w:r>
        <w:t>Categorize</w:t>
      </w:r>
      <w:r>
        <w:rPr>
          <w:spacing w:val="-11"/>
        </w:rPr>
        <w:t xml:space="preserve"> </w:t>
      </w:r>
      <w:r>
        <w:t>measures</w:t>
      </w:r>
      <w:r>
        <w:rPr>
          <w:spacing w:val="-8"/>
        </w:rPr>
        <w:t xml:space="preserve"> </w:t>
      </w:r>
      <w:r>
        <w:t>into</w:t>
      </w:r>
      <w:r>
        <w:rPr>
          <w:spacing w:val="-10"/>
        </w:rPr>
        <w:t xml:space="preserve"> </w:t>
      </w:r>
      <w:r>
        <w:t>technology</w:t>
      </w:r>
      <w:r>
        <w:rPr>
          <w:spacing w:val="-9"/>
        </w:rPr>
        <w:t xml:space="preserve"> </w:t>
      </w:r>
      <w:r>
        <w:rPr>
          <w:spacing w:val="-2"/>
        </w:rPr>
        <w:t>groupings:</w:t>
      </w:r>
    </w:p>
    <w:p w:rsidR="00C31389" w:rsidRDefault="00561FBD" w14:paraId="2308BB8A" w14:textId="77777777">
      <w:pPr>
        <w:pStyle w:val="ListParagraph"/>
        <w:numPr>
          <w:ilvl w:val="1"/>
          <w:numId w:val="44"/>
        </w:numPr>
        <w:tabs>
          <w:tab w:val="left" w:pos="1918"/>
          <w:tab w:val="left" w:pos="1920"/>
        </w:tabs>
        <w:spacing w:before="119"/>
        <w:ind w:right="496" w:hanging="361"/>
      </w:pPr>
      <w:r>
        <w:rPr>
          <w:b/>
        </w:rPr>
        <w:t xml:space="preserve">Characterized custom </w:t>
      </w:r>
      <w:r>
        <w:t>measures are identified by the team’s review of the records list, focusing on the high impact measures (i.e., those contributing significant amounts of energy savings) and excluding records with negligible savings contributions or thos</w:t>
      </w:r>
      <w:r>
        <w:t>e representing niche activities. The characterized custom category includes readily defined measures. They make up the forecast using</w:t>
      </w:r>
      <w:r>
        <w:rPr>
          <w:spacing w:val="-3"/>
        </w:rPr>
        <w:t xml:space="preserve"> </w:t>
      </w:r>
      <w:r>
        <w:t>the</w:t>
      </w:r>
      <w:r>
        <w:rPr>
          <w:spacing w:val="-3"/>
        </w:rPr>
        <w:t xml:space="preserve"> </w:t>
      </w:r>
      <w:r>
        <w:t>Bass</w:t>
      </w:r>
      <w:r>
        <w:rPr>
          <w:spacing w:val="-3"/>
        </w:rPr>
        <w:t xml:space="preserve"> </w:t>
      </w:r>
      <w:r>
        <w:t>diffusion</w:t>
      </w:r>
      <w:r>
        <w:rPr>
          <w:spacing w:val="-4"/>
        </w:rPr>
        <w:t xml:space="preserve"> </w:t>
      </w:r>
      <w:r>
        <w:t>model</w:t>
      </w:r>
      <w:r>
        <w:rPr>
          <w:spacing w:val="-3"/>
        </w:rPr>
        <w:t xml:space="preserve"> </w:t>
      </w:r>
      <w:r>
        <w:t>and</w:t>
      </w:r>
      <w:r>
        <w:rPr>
          <w:spacing w:val="-2"/>
        </w:rPr>
        <w:t xml:space="preserve"> </w:t>
      </w:r>
      <w:r>
        <w:t>savings</w:t>
      </w:r>
      <w:r>
        <w:rPr>
          <w:spacing w:val="-3"/>
        </w:rPr>
        <w:t xml:space="preserve"> </w:t>
      </w:r>
      <w:r>
        <w:t>estimates</w:t>
      </w:r>
      <w:r>
        <w:rPr>
          <w:spacing w:val="-3"/>
        </w:rPr>
        <w:t xml:space="preserve"> </w:t>
      </w:r>
      <w:r>
        <w:t>sourced</w:t>
      </w:r>
      <w:r>
        <w:rPr>
          <w:spacing w:val="-3"/>
        </w:rPr>
        <w:t xml:space="preserve"> </w:t>
      </w:r>
      <w:r>
        <w:t>from</w:t>
      </w:r>
      <w:r>
        <w:rPr>
          <w:spacing w:val="-4"/>
        </w:rPr>
        <w:t xml:space="preserve"> </w:t>
      </w:r>
      <w:r>
        <w:t>the</w:t>
      </w:r>
      <w:r>
        <w:rPr>
          <w:spacing w:val="-3"/>
        </w:rPr>
        <w:t xml:space="preserve"> </w:t>
      </w:r>
      <w:r>
        <w:t>Industrial and Agriculture Market Study (as the primary so</w:t>
      </w:r>
      <w:r>
        <w:t>urce) and are supplemented with the IAC database for measures and segments not included in the data collection study.</w:t>
      </w:r>
      <w:r>
        <w:rPr>
          <w:spacing w:val="-3"/>
        </w:rPr>
        <w:t xml:space="preserve"> </w:t>
      </w:r>
      <w:r>
        <w:t>Some</w:t>
      </w:r>
      <w:r>
        <w:rPr>
          <w:spacing w:val="-3"/>
        </w:rPr>
        <w:t xml:space="preserve"> </w:t>
      </w:r>
      <w:r>
        <w:t>measures</w:t>
      </w:r>
      <w:r>
        <w:rPr>
          <w:spacing w:val="-3"/>
        </w:rPr>
        <w:t xml:space="preserve"> </w:t>
      </w:r>
      <w:r>
        <w:t>in</w:t>
      </w:r>
      <w:r>
        <w:rPr>
          <w:spacing w:val="-3"/>
        </w:rPr>
        <w:t xml:space="preserve"> </w:t>
      </w:r>
      <w:r>
        <w:t>this</w:t>
      </w:r>
      <w:r>
        <w:rPr>
          <w:spacing w:val="-3"/>
        </w:rPr>
        <w:t xml:space="preserve"> </w:t>
      </w:r>
      <w:r>
        <w:t>category</w:t>
      </w:r>
      <w:r>
        <w:rPr>
          <w:spacing w:val="-3"/>
        </w:rPr>
        <w:t xml:space="preserve"> </w:t>
      </w:r>
      <w:r>
        <w:t>may</w:t>
      </w:r>
      <w:r>
        <w:rPr>
          <w:spacing w:val="-3"/>
        </w:rPr>
        <w:t xml:space="preserve"> </w:t>
      </w:r>
      <w:r>
        <w:t>fall</w:t>
      </w:r>
      <w:r>
        <w:rPr>
          <w:spacing w:val="-4"/>
        </w:rPr>
        <w:t xml:space="preserve"> </w:t>
      </w:r>
      <w:r>
        <w:t>under</w:t>
      </w:r>
      <w:r>
        <w:rPr>
          <w:spacing w:val="-3"/>
        </w:rPr>
        <w:t xml:space="preserve"> </w:t>
      </w:r>
      <w:r>
        <w:t>the</w:t>
      </w:r>
      <w:r>
        <w:rPr>
          <w:spacing w:val="-3"/>
        </w:rPr>
        <w:t xml:space="preserve"> </w:t>
      </w:r>
      <w:r>
        <w:t>custom</w:t>
      </w:r>
      <w:r>
        <w:rPr>
          <w:spacing w:val="-3"/>
        </w:rPr>
        <w:t xml:space="preserve"> </w:t>
      </w:r>
      <w:r>
        <w:t>review</w:t>
      </w:r>
      <w:r>
        <w:rPr>
          <w:spacing w:val="-4"/>
        </w:rPr>
        <w:t xml:space="preserve"> </w:t>
      </w:r>
      <w:r>
        <w:t>process established by the CPUC.</w:t>
      </w:r>
    </w:p>
    <w:p w:rsidR="00C31389" w:rsidRDefault="00561FBD" w14:paraId="210F6CB5" w14:textId="77777777">
      <w:pPr>
        <w:pStyle w:val="ListParagraph"/>
        <w:numPr>
          <w:ilvl w:val="1"/>
          <w:numId w:val="44"/>
        </w:numPr>
        <w:tabs>
          <w:tab w:val="left" w:pos="1919"/>
          <w:tab w:val="left" w:pos="1921"/>
        </w:tabs>
        <w:spacing w:before="121"/>
        <w:ind w:left="1921" w:right="485" w:hanging="361"/>
      </w:pPr>
      <w:r>
        <w:rPr>
          <w:b/>
        </w:rPr>
        <w:t xml:space="preserve">Generic custom </w:t>
      </w:r>
      <w:r>
        <w:t>measures are those measure</w:t>
      </w:r>
      <w:r>
        <w:t>s included in projects unique to various subsectors that cannot be readily defined at the measure level or</w:t>
      </w:r>
      <w:r>
        <w:rPr>
          <w:spacing w:val="40"/>
        </w:rPr>
        <w:t xml:space="preserve"> </w:t>
      </w:r>
      <w:r>
        <w:t xml:space="preserve">forecast using a Bass diffusion model. Section </w:t>
      </w:r>
      <w:hyperlink w:history="1" w:anchor="_bookmark170">
        <w:r>
          <w:t>3.6</w:t>
        </w:r>
      </w:hyperlink>
      <w:r>
        <w:t xml:space="preserve"> describes the methodology used to characterize these generic custom measures. CEDARS measures that were marked as process improvement or other process were considered as generic custom. Additionally, if there were measur</w:t>
      </w:r>
      <w:r>
        <w:t>es with small portfolio savings contribution within the sector that could be considered as characterized custom, then</w:t>
      </w:r>
      <w:r>
        <w:rPr>
          <w:spacing w:val="-4"/>
        </w:rPr>
        <w:t xml:space="preserve"> </w:t>
      </w:r>
      <w:r>
        <w:t>the</w:t>
      </w:r>
      <w:r>
        <w:rPr>
          <w:spacing w:val="-4"/>
        </w:rPr>
        <w:t xml:space="preserve"> </w:t>
      </w:r>
      <w:r>
        <w:t>team</w:t>
      </w:r>
      <w:r>
        <w:rPr>
          <w:spacing w:val="-5"/>
        </w:rPr>
        <w:t xml:space="preserve"> </w:t>
      </w:r>
      <w:r>
        <w:t>aggregated</w:t>
      </w:r>
      <w:r>
        <w:rPr>
          <w:spacing w:val="-4"/>
        </w:rPr>
        <w:t xml:space="preserve"> </w:t>
      </w:r>
      <w:r>
        <w:t>them</w:t>
      </w:r>
      <w:r>
        <w:rPr>
          <w:spacing w:val="-5"/>
        </w:rPr>
        <w:t xml:space="preserve"> </w:t>
      </w:r>
      <w:r>
        <w:t>under</w:t>
      </w:r>
      <w:r>
        <w:rPr>
          <w:spacing w:val="-4"/>
        </w:rPr>
        <w:t xml:space="preserve"> </w:t>
      </w:r>
      <w:r>
        <w:t>the</w:t>
      </w:r>
      <w:r>
        <w:rPr>
          <w:spacing w:val="-4"/>
        </w:rPr>
        <w:t xml:space="preserve"> </w:t>
      </w:r>
      <w:r>
        <w:t>generic</w:t>
      </w:r>
      <w:r>
        <w:rPr>
          <w:spacing w:val="-4"/>
        </w:rPr>
        <w:t xml:space="preserve"> </w:t>
      </w:r>
      <w:r>
        <w:t>custom</w:t>
      </w:r>
      <w:r>
        <w:rPr>
          <w:spacing w:val="-5"/>
        </w:rPr>
        <w:t xml:space="preserve"> </w:t>
      </w:r>
      <w:r>
        <w:t>group.</w:t>
      </w:r>
      <w:r>
        <w:rPr>
          <w:spacing w:val="-4"/>
        </w:rPr>
        <w:t xml:space="preserve"> </w:t>
      </w:r>
      <w:r>
        <w:t>The</w:t>
      </w:r>
      <w:r>
        <w:rPr>
          <w:spacing w:val="-4"/>
        </w:rPr>
        <w:t xml:space="preserve"> </w:t>
      </w:r>
      <w:r>
        <w:t>aggregated savings of these small savers contribute no more than 10% of the s</w:t>
      </w:r>
      <w:r>
        <w:t>ector savings of the characterized custom list. Most of the savings established within generic custom fall under the custom review process.</w:t>
      </w:r>
    </w:p>
    <w:p w:rsidR="00C31389" w:rsidRDefault="00561FBD" w14:paraId="67CA31D8" w14:textId="77777777">
      <w:pPr>
        <w:pStyle w:val="ListParagraph"/>
        <w:numPr>
          <w:ilvl w:val="1"/>
          <w:numId w:val="44"/>
        </w:numPr>
        <w:tabs>
          <w:tab w:val="left" w:pos="1921"/>
        </w:tabs>
        <w:spacing w:before="119"/>
        <w:ind w:left="1921" w:right="594"/>
      </w:pPr>
      <w:r>
        <w:rPr>
          <w:b/>
        </w:rPr>
        <w:t xml:space="preserve">Emerging technologies </w:t>
      </w:r>
      <w:r>
        <w:t>measures are considered nascent or emerging and cannot</w:t>
      </w:r>
      <w:r>
        <w:rPr>
          <w:spacing w:val="-3"/>
        </w:rPr>
        <w:t xml:space="preserve"> </w:t>
      </w:r>
      <w:r>
        <w:t>be</w:t>
      </w:r>
      <w:r>
        <w:rPr>
          <w:spacing w:val="-3"/>
        </w:rPr>
        <w:t xml:space="preserve"> </w:t>
      </w:r>
      <w:r>
        <w:t>readily</w:t>
      </w:r>
      <w:r>
        <w:rPr>
          <w:spacing w:val="-3"/>
        </w:rPr>
        <w:t xml:space="preserve"> </w:t>
      </w:r>
      <w:r>
        <w:t>defined</w:t>
      </w:r>
      <w:r>
        <w:rPr>
          <w:spacing w:val="-3"/>
        </w:rPr>
        <w:t xml:space="preserve"> </w:t>
      </w:r>
      <w:r>
        <w:t>at</w:t>
      </w:r>
      <w:r>
        <w:rPr>
          <w:spacing w:val="-3"/>
        </w:rPr>
        <w:t xml:space="preserve"> </w:t>
      </w:r>
      <w:r>
        <w:t>the</w:t>
      </w:r>
      <w:r>
        <w:rPr>
          <w:spacing w:val="-3"/>
        </w:rPr>
        <w:t xml:space="preserve"> </w:t>
      </w:r>
      <w:r>
        <w:t>measure</w:t>
      </w:r>
      <w:r>
        <w:rPr>
          <w:spacing w:val="-3"/>
        </w:rPr>
        <w:t xml:space="preserve"> </w:t>
      </w:r>
      <w:r>
        <w:t>level</w:t>
      </w:r>
      <w:r>
        <w:rPr>
          <w:spacing w:val="-4"/>
        </w:rPr>
        <w:t xml:space="preserve"> </w:t>
      </w:r>
      <w:r>
        <w:t>or</w:t>
      </w:r>
      <w:r>
        <w:rPr>
          <w:spacing w:val="-3"/>
        </w:rPr>
        <w:t xml:space="preserve"> </w:t>
      </w:r>
      <w:r>
        <w:t>forecast</w:t>
      </w:r>
      <w:r>
        <w:rPr>
          <w:spacing w:val="-3"/>
        </w:rPr>
        <w:t xml:space="preserve"> </w:t>
      </w:r>
      <w:r>
        <w:t>using</w:t>
      </w:r>
      <w:r>
        <w:rPr>
          <w:spacing w:val="-3"/>
        </w:rPr>
        <w:t xml:space="preserve"> </w:t>
      </w:r>
      <w:r>
        <w:t>a</w:t>
      </w:r>
      <w:r>
        <w:rPr>
          <w:spacing w:val="-3"/>
        </w:rPr>
        <w:t xml:space="preserve"> </w:t>
      </w:r>
      <w:r>
        <w:t>Bass</w:t>
      </w:r>
      <w:r>
        <w:rPr>
          <w:spacing w:val="-3"/>
        </w:rPr>
        <w:t xml:space="preserve"> </w:t>
      </w:r>
      <w:r>
        <w:t xml:space="preserve">diffusion model. Section </w:t>
      </w:r>
      <w:hyperlink w:history="1" w:anchor="_bookmark170">
        <w:r>
          <w:t>3.6</w:t>
        </w:r>
      </w:hyperlink>
      <w:r>
        <w:t xml:space="preserve"> describes the methodology used to characterize these generic custom measures.</w:t>
      </w:r>
    </w:p>
    <w:p w:rsidR="00C31389" w:rsidRDefault="00C31389" w14:paraId="52E7205B" w14:textId="77777777">
      <w:pPr>
        <w:pStyle w:val="BodyText"/>
        <w:rPr>
          <w:sz w:val="20"/>
        </w:rPr>
      </w:pPr>
    </w:p>
    <w:p w:rsidR="00C31389" w:rsidRDefault="00C31389" w14:paraId="07D12AB0" w14:textId="77777777">
      <w:pPr>
        <w:pStyle w:val="BodyText"/>
        <w:rPr>
          <w:sz w:val="20"/>
        </w:rPr>
      </w:pPr>
    </w:p>
    <w:p w:rsidR="00C31389" w:rsidRDefault="00C31389" w14:paraId="7E5F5D6D" w14:textId="77777777">
      <w:pPr>
        <w:pStyle w:val="BodyText"/>
        <w:rPr>
          <w:sz w:val="20"/>
        </w:rPr>
      </w:pPr>
    </w:p>
    <w:p w:rsidR="00C31389" w:rsidRDefault="00561FBD" w14:paraId="2B902758" w14:textId="77777777">
      <w:pPr>
        <w:pStyle w:val="BodyText"/>
        <w:rPr>
          <w:sz w:val="29"/>
        </w:rPr>
      </w:pPr>
      <w:r>
        <w:rPr>
          <w:noProof/>
        </w:rPr>
        <mc:AlternateContent>
          <mc:Choice Requires="wps">
            <w:drawing>
              <wp:anchor distT="0" distB="0" distL="0" distR="0" simplePos="0" relativeHeight="487648768" behindDoc="1" locked="0" layoutInCell="1" allowOverlap="1" wp14:editId="425B2E48" wp14:anchorId="54D31F0E">
                <wp:simplePos x="0" y="0"/>
                <wp:positionH relativeFrom="page">
                  <wp:posOffset>914400</wp:posOffset>
                </wp:positionH>
                <wp:positionV relativeFrom="paragraph">
                  <wp:posOffset>227178</wp:posOffset>
                </wp:positionV>
                <wp:extent cx="1828800" cy="6985"/>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88" style="position:absolute;margin-left:1in;margin-top:17.9pt;width:2in;height:.55pt;z-index:-1566771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" w14:anchorId="3CA75ABF">
                <v:path arrowok="t"/>
                <w10:wrap type="topAndBottom" anchorx="page"/>
              </v:shape>
            </w:pict>
          </mc:Fallback>
        </mc:AlternateContent>
      </w:r>
    </w:p>
    <w:p w:rsidR="00C31389" w:rsidRDefault="00561FBD" w14:paraId="5442217A" w14:textId="77777777">
      <w:pPr>
        <w:spacing w:before="89"/>
        <w:ind w:left="480"/>
        <w:rPr>
          <w:sz w:val="18"/>
        </w:rPr>
      </w:pPr>
      <w:bookmarkStart w:name="_bookmark162" w:id="217"/>
      <w:bookmarkEnd w:id="217"/>
      <w:r>
        <w:rPr>
          <w:position w:val="6"/>
          <w:sz w:val="12"/>
        </w:rPr>
        <w:t>50</w:t>
      </w:r>
      <w:r>
        <w:rPr>
          <w:spacing w:val="17"/>
          <w:position w:val="6"/>
          <w:sz w:val="12"/>
        </w:rPr>
        <w:t xml:space="preserve"> </w:t>
      </w:r>
      <w:hyperlink r:id="rId138">
        <w:r>
          <w:rPr>
            <w:color w:val="68942C"/>
            <w:spacing w:val="-2"/>
            <w:sz w:val="18"/>
            <w:u w:val="single" w:color="68942C"/>
          </w:rPr>
          <w:t>http://eestats.cpuc.ca.gov/Default.aspx</w:t>
        </w:r>
      </w:hyperlink>
    </w:p>
    <w:p w:rsidR="00C31389" w:rsidRDefault="00C31389" w14:paraId="080B1C3E" w14:textId="77777777">
      <w:pPr>
        <w:rPr>
          <w:sz w:val="18"/>
        </w:rPr>
        <w:sectPr w:rsidR="00C31389">
          <w:headerReference w:type="default" r:id="rId139"/>
          <w:footerReference w:type="default" r:id="rId140"/>
          <w:pgSz w:w="12240" w:h="15840"/>
          <w:pgMar w:top="1660" w:right="960" w:bottom="1120" w:left="960" w:header="397" w:footer="936" w:gutter="0"/>
          <w:cols w:space="720"/>
        </w:sectPr>
      </w:pPr>
    </w:p>
    <w:p w:rsidR="00C31389" w:rsidRDefault="00C31389" w14:paraId="2D471E9D" w14:textId="77777777">
      <w:pPr>
        <w:pStyle w:val="BodyText"/>
        <w:spacing w:before="11"/>
        <w:rPr>
          <w:sz w:val="13"/>
        </w:rPr>
      </w:pPr>
    </w:p>
    <w:p w:rsidR="00C31389" w:rsidRDefault="00561FBD" w14:paraId="1C6E2755" w14:textId="77777777">
      <w:pPr>
        <w:pStyle w:val="ListParagraph"/>
        <w:numPr>
          <w:ilvl w:val="1"/>
          <w:numId w:val="44"/>
        </w:numPr>
        <w:tabs>
          <w:tab w:val="left" w:pos="1919"/>
        </w:tabs>
        <w:spacing w:before="92"/>
        <w:ind w:left="1919" w:right="1025"/>
      </w:pPr>
      <w:r>
        <w:rPr>
          <w:b/>
        </w:rPr>
        <w:t>BROs</w:t>
      </w:r>
      <w:r>
        <w:rPr>
          <w:b/>
          <w:spacing w:val="-4"/>
        </w:rPr>
        <w:t xml:space="preserve"> </w:t>
      </w:r>
      <w:r>
        <w:rPr>
          <w:b/>
        </w:rPr>
        <w:t>or</w:t>
      </w:r>
      <w:r>
        <w:rPr>
          <w:b/>
          <w:spacing w:val="-5"/>
        </w:rPr>
        <w:t xml:space="preserve"> </w:t>
      </w:r>
      <w:r>
        <w:rPr>
          <w:b/>
        </w:rPr>
        <w:t>SEM-like</w:t>
      </w:r>
      <w:r>
        <w:rPr>
          <w:b/>
          <w:spacing w:val="-4"/>
        </w:rPr>
        <w:t xml:space="preserve"> </w:t>
      </w:r>
      <w:r>
        <w:t>measures</w:t>
      </w:r>
      <w:r>
        <w:rPr>
          <w:spacing w:val="-4"/>
        </w:rPr>
        <w:t xml:space="preserve"> </w:t>
      </w:r>
      <w:r>
        <w:t>that</w:t>
      </w:r>
      <w:r>
        <w:rPr>
          <w:spacing w:val="-4"/>
        </w:rPr>
        <w:t xml:space="preserve"> </w:t>
      </w:r>
      <w:r>
        <w:t>include</w:t>
      </w:r>
      <w:r>
        <w:rPr>
          <w:spacing w:val="-4"/>
        </w:rPr>
        <w:t xml:space="preserve"> </w:t>
      </w:r>
      <w:r>
        <w:t>RCx</w:t>
      </w:r>
      <w:r>
        <w:rPr>
          <w:spacing w:val="-4"/>
        </w:rPr>
        <w:t xml:space="preserve"> </w:t>
      </w:r>
      <w:r>
        <w:t>and</w:t>
      </w:r>
      <w:r>
        <w:rPr>
          <w:spacing w:val="-4"/>
        </w:rPr>
        <w:t xml:space="preserve"> </w:t>
      </w:r>
      <w:r>
        <w:t>some</w:t>
      </w:r>
      <w:r>
        <w:rPr>
          <w:spacing w:val="-4"/>
        </w:rPr>
        <w:t xml:space="preserve"> </w:t>
      </w:r>
      <w:r>
        <w:t>optimization.</w:t>
      </w:r>
      <w:r>
        <w:rPr>
          <w:spacing w:val="-5"/>
        </w:rPr>
        <w:t xml:space="preserve"> </w:t>
      </w:r>
      <w:r>
        <w:t xml:space="preserve">This group is modeled alongside other BROs measures and cannot be readily forecast using a diffusion model, as Section </w:t>
      </w:r>
      <w:hyperlink w:history="1" w:anchor="_bookmark40">
        <w:r>
          <w:t>2.1.1</w:t>
        </w:r>
      </w:hyperlink>
      <w:r>
        <w:t xml:space="preserve"> describes.</w:t>
      </w:r>
    </w:p>
    <w:p w:rsidR="00C31389" w:rsidRDefault="00561FBD" w14:paraId="48E7A77E" w14:textId="77777777">
      <w:pPr>
        <w:pStyle w:val="ListParagraph"/>
        <w:numPr>
          <w:ilvl w:val="0"/>
          <w:numId w:val="44"/>
        </w:numPr>
        <w:tabs>
          <w:tab w:val="left" w:pos="1199"/>
        </w:tabs>
        <w:spacing w:before="120"/>
        <w:ind w:right="535"/>
      </w:pPr>
      <w:r>
        <w:t>Append 2023 savings totals to previously collected savi</w:t>
      </w:r>
      <w:r>
        <w:t>ngs data for 2015 to 2021 associated</w:t>
      </w:r>
      <w:r>
        <w:rPr>
          <w:spacing w:val="-5"/>
        </w:rPr>
        <w:t xml:space="preserve"> </w:t>
      </w:r>
      <w:r>
        <w:t>with</w:t>
      </w:r>
      <w:r>
        <w:rPr>
          <w:spacing w:val="-4"/>
        </w:rPr>
        <w:t xml:space="preserve"> </w:t>
      </w:r>
      <w:r>
        <w:t>the</w:t>
      </w:r>
      <w:r>
        <w:rPr>
          <w:spacing w:val="-4"/>
        </w:rPr>
        <w:t xml:space="preserve"> </w:t>
      </w:r>
      <w:r>
        <w:t>agriculture</w:t>
      </w:r>
      <w:r>
        <w:rPr>
          <w:spacing w:val="-4"/>
        </w:rPr>
        <w:t xml:space="preserve"> </w:t>
      </w:r>
      <w:r>
        <w:t>and</w:t>
      </w:r>
      <w:r>
        <w:rPr>
          <w:spacing w:val="-4"/>
        </w:rPr>
        <w:t xml:space="preserve"> </w:t>
      </w:r>
      <w:r>
        <w:t>industrial</w:t>
      </w:r>
      <w:r>
        <w:rPr>
          <w:spacing w:val="-4"/>
        </w:rPr>
        <w:t xml:space="preserve"> </w:t>
      </w:r>
      <w:r>
        <w:t>sectors.</w:t>
      </w:r>
      <w:r>
        <w:rPr>
          <w:spacing w:val="-4"/>
        </w:rPr>
        <w:t xml:space="preserve"> </w:t>
      </w:r>
      <w:r>
        <w:t>This</w:t>
      </w:r>
      <w:r>
        <w:rPr>
          <w:spacing w:val="-4"/>
        </w:rPr>
        <w:t xml:space="preserve"> </w:t>
      </w:r>
      <w:r>
        <w:t>dataset</w:t>
      </w:r>
      <w:r>
        <w:rPr>
          <w:spacing w:val="-4"/>
        </w:rPr>
        <w:t xml:space="preserve"> </w:t>
      </w:r>
      <w:r>
        <w:t>retains</w:t>
      </w:r>
      <w:r>
        <w:rPr>
          <w:spacing w:val="-4"/>
        </w:rPr>
        <w:t xml:space="preserve"> </w:t>
      </w:r>
      <w:r>
        <w:t>measure-level data for each technology grouping and forms the basis for the Guidehouse team analysis (more details are provided in Appendix G</w:t>
      </w:r>
      <w:hyperlink w:history="1" w:anchor="_bookmark450">
        <w:r>
          <w:t>5.2Appendix E</w:t>
        </w:r>
      </w:hyperlink>
      <w:r>
        <w:t>).</w:t>
      </w:r>
    </w:p>
    <w:p w:rsidR="00C31389" w:rsidRDefault="00C31389" w14:paraId="7A116EC7" w14:textId="77777777">
      <w:pPr>
        <w:pStyle w:val="BodyText"/>
        <w:spacing w:before="4"/>
        <w:rPr>
          <w:sz w:val="31"/>
        </w:rPr>
      </w:pPr>
    </w:p>
    <w:p w:rsidR="00C31389" w:rsidRDefault="00561FBD" w14:paraId="09D3B89D" w14:textId="77777777">
      <w:pPr>
        <w:pStyle w:val="Heading8"/>
        <w:numPr>
          <w:ilvl w:val="3"/>
          <w:numId w:val="71"/>
        </w:numPr>
        <w:tabs>
          <w:tab w:val="left" w:pos="1212"/>
        </w:tabs>
        <w:ind w:left="1212" w:hanging="732"/>
      </w:pPr>
      <w:bookmarkStart w:name="3.5.1.1_Characterized_Custom_for_Agricul" w:id="218"/>
      <w:bookmarkStart w:name="_bookmark163" w:id="219"/>
      <w:bookmarkEnd w:id="218"/>
      <w:bookmarkEnd w:id="219"/>
      <w:r>
        <w:t>Characterized</w:t>
      </w:r>
      <w:r>
        <w:rPr>
          <w:spacing w:val="-10"/>
        </w:rPr>
        <w:t xml:space="preserve"> </w:t>
      </w:r>
      <w:r>
        <w:t>Custom</w:t>
      </w:r>
      <w:r>
        <w:rPr>
          <w:spacing w:val="-9"/>
        </w:rPr>
        <w:t xml:space="preserve"> </w:t>
      </w:r>
      <w:r>
        <w:t>for</w:t>
      </w:r>
      <w:r>
        <w:rPr>
          <w:spacing w:val="-10"/>
        </w:rPr>
        <w:t xml:space="preserve"> </w:t>
      </w:r>
      <w:r>
        <w:t>Agriculture</w:t>
      </w:r>
      <w:r>
        <w:rPr>
          <w:spacing w:val="-10"/>
        </w:rPr>
        <w:t xml:space="preserve"> </w:t>
      </w:r>
      <w:r>
        <w:t>and</w:t>
      </w:r>
      <w:r>
        <w:rPr>
          <w:spacing w:val="-9"/>
        </w:rPr>
        <w:t xml:space="preserve"> </w:t>
      </w:r>
      <w:r>
        <w:rPr>
          <w:spacing w:val="-2"/>
        </w:rPr>
        <w:t>Industrial</w:t>
      </w:r>
    </w:p>
    <w:p w:rsidR="00C31389" w:rsidRDefault="00C31389" w14:paraId="1A5E1D4E" w14:textId="77777777">
      <w:pPr>
        <w:pStyle w:val="BodyText"/>
        <w:spacing w:before="9"/>
        <w:rPr>
          <w:b/>
          <w:i/>
          <w:sz w:val="20"/>
        </w:rPr>
      </w:pPr>
    </w:p>
    <w:p w:rsidR="00C31389" w:rsidRDefault="00561FBD" w14:paraId="2796EAA4" w14:textId="77777777">
      <w:pPr>
        <w:pStyle w:val="BodyText"/>
        <w:ind w:left="479" w:right="533"/>
      </w:pPr>
      <w:r>
        <w:t>For the 2023 Study, the Guidehouse team characterized 29 technology groups for the agriculture sector and 24 for the industrial sect</w:t>
      </w:r>
      <w:r>
        <w:t>or, representing the characterized custom measures for the market adoption model using Bass diffusion.</w:t>
      </w:r>
      <w:r>
        <w:rPr>
          <w:spacing w:val="-38"/>
        </w:rPr>
        <w:t xml:space="preserve"> </w:t>
      </w:r>
      <w:hyperlink w:history="1" w:anchor="_bookmark164">
        <w:r>
          <w:rPr>
            <w:position w:val="7"/>
            <w:sz w:val="14"/>
          </w:rPr>
          <w:t>51</w:t>
        </w:r>
      </w:hyperlink>
      <w:r>
        <w:rPr>
          <w:spacing w:val="31"/>
          <w:position w:val="7"/>
          <w:sz w:val="14"/>
        </w:rPr>
        <w:t xml:space="preserve"> </w:t>
      </w:r>
      <w:r>
        <w:t>The technology groups are sourced</w:t>
      </w:r>
      <w:r>
        <w:rPr>
          <w:spacing w:val="-3"/>
        </w:rPr>
        <w:t xml:space="preserve"> </w:t>
      </w:r>
      <w:r>
        <w:t>from</w:t>
      </w:r>
      <w:r>
        <w:rPr>
          <w:spacing w:val="-4"/>
        </w:rPr>
        <w:t xml:space="preserve"> </w:t>
      </w:r>
      <w:r>
        <w:t>past</w:t>
      </w:r>
      <w:r>
        <w:rPr>
          <w:spacing w:val="-3"/>
        </w:rPr>
        <w:t xml:space="preserve"> </w:t>
      </w:r>
      <w:r>
        <w:t>potential</w:t>
      </w:r>
      <w:r>
        <w:rPr>
          <w:spacing w:val="-3"/>
        </w:rPr>
        <w:t xml:space="preserve"> </w:t>
      </w:r>
      <w:r>
        <w:t>and</w:t>
      </w:r>
      <w:r>
        <w:rPr>
          <w:spacing w:val="-3"/>
        </w:rPr>
        <w:t xml:space="preserve"> </w:t>
      </w:r>
      <w:r>
        <w:t>goals</w:t>
      </w:r>
      <w:r>
        <w:rPr>
          <w:spacing w:val="-2"/>
        </w:rPr>
        <w:t xml:space="preserve"> </w:t>
      </w:r>
      <w:r>
        <w:t>studies</w:t>
      </w:r>
      <w:r>
        <w:rPr>
          <w:spacing w:val="-2"/>
        </w:rPr>
        <w:t xml:space="preserve"> </w:t>
      </w:r>
      <w:r>
        <w:t>and</w:t>
      </w:r>
      <w:r>
        <w:rPr>
          <w:spacing w:val="-3"/>
        </w:rPr>
        <w:t xml:space="preserve"> </w:t>
      </w:r>
      <w:r>
        <w:t>the</w:t>
      </w:r>
      <w:r>
        <w:rPr>
          <w:spacing w:val="-3"/>
        </w:rPr>
        <w:t xml:space="preserve"> </w:t>
      </w:r>
      <w:r>
        <w:t>Industrial</w:t>
      </w:r>
      <w:r>
        <w:rPr>
          <w:spacing w:val="-3"/>
        </w:rPr>
        <w:t xml:space="preserve"> </w:t>
      </w:r>
      <w:r>
        <w:t>and</w:t>
      </w:r>
      <w:r>
        <w:rPr>
          <w:spacing w:val="-3"/>
        </w:rPr>
        <w:t xml:space="preserve"> </w:t>
      </w:r>
      <w:r>
        <w:t>Agriculture</w:t>
      </w:r>
      <w:r>
        <w:rPr>
          <w:spacing w:val="-3"/>
        </w:rPr>
        <w:t xml:space="preserve"> </w:t>
      </w:r>
      <w:r>
        <w:t>Market</w:t>
      </w:r>
      <w:r>
        <w:rPr>
          <w:spacing w:val="-3"/>
        </w:rPr>
        <w:t xml:space="preserve"> </w:t>
      </w:r>
      <w:r>
        <w:t>Study. This approach provided consistency with the methods used in the residential and commercial sectors and allowed the Guidehouse team to calibrate the PG Model using prior program achievements and establish greater con</w:t>
      </w:r>
      <w:r>
        <w:t>fidence in the results.</w:t>
      </w:r>
    </w:p>
    <w:p w:rsidR="00C31389" w:rsidRDefault="00C31389" w14:paraId="63B45CFC" w14:textId="77777777">
      <w:pPr>
        <w:pStyle w:val="BodyText"/>
        <w:spacing w:before="4"/>
        <w:rPr>
          <w:sz w:val="31"/>
        </w:rPr>
      </w:pPr>
    </w:p>
    <w:p w:rsidR="00C31389" w:rsidRDefault="00561FBD" w14:paraId="19600D5C" w14:textId="77777777">
      <w:pPr>
        <w:pStyle w:val="Heading8"/>
        <w:numPr>
          <w:ilvl w:val="3"/>
          <w:numId w:val="71"/>
        </w:numPr>
        <w:tabs>
          <w:tab w:val="left" w:pos="1212"/>
        </w:tabs>
        <w:ind w:left="1212" w:hanging="732"/>
      </w:pPr>
      <w:bookmarkStart w:name="3.5.1.2_Technology_Characterization" w:id="220"/>
      <w:bookmarkEnd w:id="220"/>
      <w:r>
        <w:t>Technology</w:t>
      </w:r>
      <w:r>
        <w:rPr>
          <w:spacing w:val="-13"/>
        </w:rPr>
        <w:t xml:space="preserve"> </w:t>
      </w:r>
      <w:r>
        <w:rPr>
          <w:spacing w:val="-2"/>
        </w:rPr>
        <w:t>Characterization</w:t>
      </w:r>
    </w:p>
    <w:p w:rsidR="00C31389" w:rsidRDefault="00C31389" w14:paraId="14ED45C9" w14:textId="77777777">
      <w:pPr>
        <w:pStyle w:val="BodyText"/>
        <w:spacing w:before="10"/>
        <w:rPr>
          <w:b/>
          <w:i/>
          <w:sz w:val="20"/>
        </w:rPr>
      </w:pPr>
    </w:p>
    <w:p w:rsidR="00C31389" w:rsidRDefault="00561FBD" w14:paraId="6D9AEECF" w14:textId="77777777">
      <w:pPr>
        <w:pStyle w:val="BodyText"/>
        <w:spacing w:before="1"/>
        <w:ind w:left="480" w:right="485"/>
      </w:pPr>
      <w:r>
        <w:t>The</w:t>
      </w:r>
      <w:r>
        <w:rPr>
          <w:spacing w:val="-3"/>
        </w:rPr>
        <w:t xml:space="preserve"> </w:t>
      </w:r>
      <w:r>
        <w:t>PG</w:t>
      </w:r>
      <w:r>
        <w:rPr>
          <w:spacing w:val="-4"/>
        </w:rPr>
        <w:t xml:space="preserve"> </w:t>
      </w:r>
      <w:r>
        <w:t>Model</w:t>
      </w:r>
      <w:r>
        <w:rPr>
          <w:spacing w:val="-3"/>
        </w:rPr>
        <w:t xml:space="preserve"> </w:t>
      </w:r>
      <w:r>
        <w:t>required</w:t>
      </w:r>
      <w:r>
        <w:rPr>
          <w:spacing w:val="-4"/>
        </w:rPr>
        <w:t xml:space="preserve"> </w:t>
      </w:r>
      <w:r>
        <w:t>characterizing</w:t>
      </w:r>
      <w:r>
        <w:rPr>
          <w:spacing w:val="-3"/>
        </w:rPr>
        <w:t xml:space="preserve"> </w:t>
      </w:r>
      <w:r>
        <w:t>technology</w:t>
      </w:r>
      <w:r>
        <w:rPr>
          <w:spacing w:val="-2"/>
        </w:rPr>
        <w:t xml:space="preserve"> </w:t>
      </w:r>
      <w:r>
        <w:t>level</w:t>
      </w:r>
      <w:r>
        <w:rPr>
          <w:spacing w:val="-4"/>
        </w:rPr>
        <w:t xml:space="preserve"> </w:t>
      </w:r>
      <w:r>
        <w:t>inputs</w:t>
      </w:r>
      <w:r>
        <w:rPr>
          <w:spacing w:val="-3"/>
        </w:rPr>
        <w:t xml:space="preserve"> </w:t>
      </w:r>
      <w:r>
        <w:t>including</w:t>
      </w:r>
      <w:r>
        <w:rPr>
          <w:spacing w:val="-4"/>
        </w:rPr>
        <w:t xml:space="preserve"> </w:t>
      </w:r>
      <w:r>
        <w:t>UES,</w:t>
      </w:r>
      <w:r>
        <w:rPr>
          <w:spacing w:val="-3"/>
        </w:rPr>
        <w:t xml:space="preserve"> </w:t>
      </w:r>
      <w:r>
        <w:t>unit</w:t>
      </w:r>
      <w:r>
        <w:rPr>
          <w:spacing w:val="-3"/>
        </w:rPr>
        <w:t xml:space="preserve"> </w:t>
      </w:r>
      <w:r>
        <w:t>costs,</w:t>
      </w:r>
      <w:r>
        <w:rPr>
          <w:spacing w:val="-3"/>
        </w:rPr>
        <w:t xml:space="preserve"> </w:t>
      </w:r>
      <w:r>
        <w:t>and</w:t>
      </w:r>
      <w:r>
        <w:rPr>
          <w:spacing w:val="-3"/>
        </w:rPr>
        <w:t xml:space="preserve"> </w:t>
      </w:r>
      <w:r>
        <w:t xml:space="preserve">the saturation or density of efficient versions of each technology existing in the marketplace. The team </w:t>
      </w:r>
      <w:r>
        <w:t>mined data sources to complete a thorough characterization of the agriculture and industrial technologies.</w:t>
      </w:r>
    </w:p>
    <w:p w:rsidR="00C31389" w:rsidRDefault="00561FBD" w14:paraId="6BC85D47" w14:textId="77777777">
      <w:pPr>
        <w:pStyle w:val="ListParagraph"/>
        <w:numPr>
          <w:ilvl w:val="4"/>
          <w:numId w:val="71"/>
        </w:numPr>
        <w:tabs>
          <w:tab w:val="left" w:pos="1200"/>
        </w:tabs>
        <w:spacing w:before="119"/>
        <w:ind w:left="1200" w:right="1095"/>
      </w:pPr>
      <w:r>
        <w:rPr>
          <w:b/>
        </w:rPr>
        <w:t xml:space="preserve">Agriculture </w:t>
      </w:r>
      <w:r>
        <w:t>data sources for measure characterization included CEDARS, CPUC workpapers,</w:t>
      </w:r>
      <w:r>
        <w:rPr>
          <w:spacing w:val="-4"/>
        </w:rPr>
        <w:t xml:space="preserve"> </w:t>
      </w:r>
      <w:r>
        <w:t>DEER,</w:t>
      </w:r>
      <w:r>
        <w:rPr>
          <w:spacing w:val="-4"/>
        </w:rPr>
        <w:t xml:space="preserve"> </w:t>
      </w:r>
      <w:r>
        <w:t>and</w:t>
      </w:r>
      <w:r>
        <w:rPr>
          <w:spacing w:val="-3"/>
        </w:rPr>
        <w:t xml:space="preserve"> </w:t>
      </w:r>
      <w:r>
        <w:t>data</w:t>
      </w:r>
      <w:r>
        <w:rPr>
          <w:spacing w:val="-4"/>
        </w:rPr>
        <w:t xml:space="preserve"> </w:t>
      </w:r>
      <w:r>
        <w:t>provided</w:t>
      </w:r>
      <w:r>
        <w:rPr>
          <w:spacing w:val="-4"/>
        </w:rPr>
        <w:t xml:space="preserve"> </w:t>
      </w:r>
      <w:r>
        <w:t>by</w:t>
      </w:r>
      <w:r>
        <w:rPr>
          <w:spacing w:val="-4"/>
        </w:rPr>
        <w:t xml:space="preserve"> </w:t>
      </w:r>
      <w:r>
        <w:t>the</w:t>
      </w:r>
      <w:r>
        <w:rPr>
          <w:spacing w:val="-4"/>
        </w:rPr>
        <w:t xml:space="preserve"> </w:t>
      </w:r>
      <w:r>
        <w:t>IOUs.</w:t>
      </w:r>
      <w:r>
        <w:rPr>
          <w:spacing w:val="-4"/>
        </w:rPr>
        <w:t xml:space="preserve"> </w:t>
      </w:r>
      <w:r>
        <w:t>The</w:t>
      </w:r>
      <w:r>
        <w:rPr>
          <w:spacing w:val="-4"/>
        </w:rPr>
        <w:t xml:space="preserve"> </w:t>
      </w:r>
      <w:r>
        <w:t>team</w:t>
      </w:r>
      <w:r>
        <w:rPr>
          <w:spacing w:val="-5"/>
        </w:rPr>
        <w:t xml:space="preserve"> </w:t>
      </w:r>
      <w:r>
        <w:t>completed</w:t>
      </w:r>
      <w:r>
        <w:rPr>
          <w:spacing w:val="-4"/>
        </w:rPr>
        <w:t xml:space="preserve"> </w:t>
      </w:r>
      <w:r>
        <w:t>measure savings updates, measure costs, and net-to-gross (NTG) updates per the 2021 CEDARS program data.</w:t>
      </w:r>
    </w:p>
    <w:p w:rsidR="00C31389" w:rsidRDefault="00561FBD" w14:paraId="00AF6428" w14:textId="77777777">
      <w:pPr>
        <w:pStyle w:val="ListParagraph"/>
        <w:numPr>
          <w:ilvl w:val="4"/>
          <w:numId w:val="71"/>
        </w:numPr>
        <w:tabs>
          <w:tab w:val="left" w:pos="1200"/>
        </w:tabs>
        <w:spacing w:before="119"/>
        <w:ind w:left="1200" w:right="643"/>
      </w:pPr>
      <w:r>
        <w:rPr>
          <w:b/>
        </w:rPr>
        <w:t>Industrial</w:t>
      </w:r>
      <w:r>
        <w:rPr>
          <w:b/>
          <w:spacing w:val="-3"/>
        </w:rPr>
        <w:t xml:space="preserve"> </w:t>
      </w:r>
      <w:r>
        <w:t>data</w:t>
      </w:r>
      <w:r>
        <w:rPr>
          <w:spacing w:val="-3"/>
        </w:rPr>
        <w:t xml:space="preserve"> </w:t>
      </w:r>
      <w:r>
        <w:t>sources</w:t>
      </w:r>
      <w:r>
        <w:rPr>
          <w:spacing w:val="-4"/>
        </w:rPr>
        <w:t xml:space="preserve"> </w:t>
      </w:r>
      <w:r>
        <w:t>were</w:t>
      </w:r>
      <w:r>
        <w:rPr>
          <w:spacing w:val="-3"/>
        </w:rPr>
        <w:t xml:space="preserve"> </w:t>
      </w:r>
      <w:r>
        <w:t>similar</w:t>
      </w:r>
      <w:r>
        <w:rPr>
          <w:spacing w:val="-3"/>
        </w:rPr>
        <w:t xml:space="preserve"> </w:t>
      </w:r>
      <w:r>
        <w:t>to</w:t>
      </w:r>
      <w:r>
        <w:rPr>
          <w:spacing w:val="-3"/>
        </w:rPr>
        <w:t xml:space="preserve"> </w:t>
      </w:r>
      <w:r>
        <w:t>those</w:t>
      </w:r>
      <w:r>
        <w:rPr>
          <w:spacing w:val="-3"/>
        </w:rPr>
        <w:t xml:space="preserve"> </w:t>
      </w:r>
      <w:r>
        <w:t>mined</w:t>
      </w:r>
      <w:r>
        <w:rPr>
          <w:spacing w:val="-3"/>
        </w:rPr>
        <w:t xml:space="preserve"> </w:t>
      </w:r>
      <w:r>
        <w:t>for</w:t>
      </w:r>
      <w:r>
        <w:rPr>
          <w:spacing w:val="-3"/>
        </w:rPr>
        <w:t xml:space="preserve"> </w:t>
      </w:r>
      <w:r>
        <w:t>the</w:t>
      </w:r>
      <w:r>
        <w:rPr>
          <w:spacing w:val="-4"/>
        </w:rPr>
        <w:t xml:space="preserve"> </w:t>
      </w:r>
      <w:r>
        <w:t>agriculture</w:t>
      </w:r>
      <w:r>
        <w:rPr>
          <w:spacing w:val="-3"/>
        </w:rPr>
        <w:t xml:space="preserve"> </w:t>
      </w:r>
      <w:r>
        <w:t>sector,</w:t>
      </w:r>
      <w:r>
        <w:rPr>
          <w:spacing w:val="-3"/>
        </w:rPr>
        <w:t xml:space="preserve"> </w:t>
      </w:r>
      <w:r>
        <w:t>including CEDARS and data provided by IOUs, the CPUC, and the</w:t>
      </w:r>
      <w:r>
        <w:t xml:space="preserve"> CEC. For energy savings estimates, the team used the IAC.</w:t>
      </w:r>
      <w:r>
        <w:rPr>
          <w:spacing w:val="-37"/>
        </w:rPr>
        <w:t xml:space="preserve"> </w:t>
      </w:r>
      <w:hyperlink w:history="1" w:anchor="_bookmark165">
        <w:r>
          <w:rPr>
            <w:position w:val="7"/>
            <w:sz w:val="14"/>
          </w:rPr>
          <w:t>52</w:t>
        </w:r>
      </w:hyperlink>
      <w:r>
        <w:rPr>
          <w:spacing w:val="32"/>
          <w:position w:val="7"/>
          <w:sz w:val="14"/>
        </w:rPr>
        <w:t xml:space="preserve"> </w:t>
      </w:r>
      <w:r>
        <w:t>The team completed measure updates including measure costs and NTG updates per the 2021 CEDARS program data.</w:t>
      </w:r>
    </w:p>
    <w:p w:rsidR="00C31389" w:rsidRDefault="00561FBD" w14:paraId="63A213A4" w14:textId="77777777">
      <w:pPr>
        <w:pStyle w:val="BodyText"/>
        <w:spacing w:before="117"/>
        <w:ind w:left="480" w:right="533"/>
        <w:rPr>
          <w:sz w:val="14"/>
        </w:rPr>
      </w:pPr>
      <w:r>
        <w:t>For</w:t>
      </w:r>
      <w:r>
        <w:rPr>
          <w:spacing w:val="-4"/>
        </w:rPr>
        <w:t xml:space="preserve"> </w:t>
      </w:r>
      <w:r>
        <w:t>most</w:t>
      </w:r>
      <w:r>
        <w:rPr>
          <w:spacing w:val="-4"/>
        </w:rPr>
        <w:t xml:space="preserve"> </w:t>
      </w:r>
      <w:r>
        <w:t>measures,</w:t>
      </w:r>
      <w:r>
        <w:rPr>
          <w:spacing w:val="-4"/>
        </w:rPr>
        <w:t xml:space="preserve"> </w:t>
      </w:r>
      <w:r>
        <w:t>the</w:t>
      </w:r>
      <w:r>
        <w:rPr>
          <w:spacing w:val="-5"/>
        </w:rPr>
        <w:t xml:space="preserve"> </w:t>
      </w:r>
      <w:r>
        <w:t>Guidehouse</w:t>
      </w:r>
      <w:r>
        <w:rPr>
          <w:spacing w:val="-4"/>
        </w:rPr>
        <w:t xml:space="preserve"> </w:t>
      </w:r>
      <w:r>
        <w:t>team</w:t>
      </w:r>
      <w:r>
        <w:rPr>
          <w:spacing w:val="-5"/>
        </w:rPr>
        <w:t xml:space="preserve"> </w:t>
      </w:r>
      <w:r>
        <w:t>leveraged</w:t>
      </w:r>
      <w:r>
        <w:rPr>
          <w:spacing w:val="-4"/>
        </w:rPr>
        <w:t xml:space="preserve"> </w:t>
      </w:r>
      <w:r>
        <w:t>California-specific</w:t>
      </w:r>
      <w:r>
        <w:rPr>
          <w:spacing w:val="-5"/>
        </w:rPr>
        <w:t xml:space="preserve"> </w:t>
      </w:r>
      <w:r>
        <w:t>resources;</w:t>
      </w:r>
      <w:r>
        <w:rPr>
          <w:spacing w:val="-5"/>
        </w:rPr>
        <w:t xml:space="preserve"> </w:t>
      </w:r>
      <w:r>
        <w:t>when</w:t>
      </w:r>
      <w:r>
        <w:rPr>
          <w:spacing w:val="-4"/>
        </w:rPr>
        <w:t xml:space="preserve"> </w:t>
      </w:r>
      <w:r>
        <w:t>these resources were not applicable or available to certain measure types, the team used other peer group jurisdictions and substituted in California-specific variables where possible.</w:t>
      </w:r>
      <w:r>
        <w:rPr>
          <w:spacing w:val="-35"/>
        </w:rPr>
        <w:t xml:space="preserve"> </w:t>
      </w:r>
      <w:hyperlink w:history="1" w:anchor="_bookmark166">
        <w:r>
          <w:rPr>
            <w:position w:val="7"/>
            <w:sz w:val="14"/>
          </w:rPr>
          <w:t>53</w:t>
        </w:r>
      </w:hyperlink>
    </w:p>
    <w:p w:rsidR="00C31389" w:rsidRDefault="00C31389" w14:paraId="5BD874DC" w14:textId="77777777">
      <w:pPr>
        <w:pStyle w:val="BodyText"/>
        <w:spacing w:before="11"/>
        <w:rPr>
          <w:sz w:val="20"/>
        </w:rPr>
      </w:pPr>
    </w:p>
    <w:p w:rsidR="00C31389" w:rsidRDefault="00561FBD" w14:paraId="1A081203" w14:textId="77777777">
      <w:pPr>
        <w:pStyle w:val="BodyText"/>
        <w:ind w:left="480" w:right="533"/>
      </w:pPr>
      <w:r>
        <w:rPr>
          <w:b/>
        </w:rPr>
        <w:t>Energy</w:t>
      </w:r>
      <w:r>
        <w:rPr>
          <w:b/>
          <w:spacing w:val="-3"/>
        </w:rPr>
        <w:t xml:space="preserve"> </w:t>
      </w:r>
      <w:r>
        <w:rPr>
          <w:b/>
        </w:rPr>
        <w:t>savings.</w:t>
      </w:r>
      <w:r>
        <w:rPr>
          <w:b/>
          <w:spacing w:val="-3"/>
        </w:rPr>
        <w:t xml:space="preserve"> </w:t>
      </w:r>
      <w:r>
        <w:t>The</w:t>
      </w:r>
      <w:r>
        <w:rPr>
          <w:spacing w:val="-3"/>
        </w:rPr>
        <w:t xml:space="preserve"> </w:t>
      </w:r>
      <w:r>
        <w:t>team</w:t>
      </w:r>
      <w:r>
        <w:rPr>
          <w:spacing w:val="-4"/>
        </w:rPr>
        <w:t xml:space="preserve"> </w:t>
      </w:r>
      <w:r>
        <w:t>used</w:t>
      </w:r>
      <w:r>
        <w:rPr>
          <w:spacing w:val="-3"/>
        </w:rPr>
        <w:t xml:space="preserve"> </w:t>
      </w:r>
      <w:r>
        <w:t>data</w:t>
      </w:r>
      <w:r>
        <w:rPr>
          <w:spacing w:val="-3"/>
        </w:rPr>
        <w:t xml:space="preserve"> </w:t>
      </w:r>
      <w:r>
        <w:t>from</w:t>
      </w:r>
      <w:r>
        <w:rPr>
          <w:spacing w:val="-4"/>
        </w:rPr>
        <w:t xml:space="preserve"> </w:t>
      </w:r>
      <w:r>
        <w:t>the</w:t>
      </w:r>
      <w:r>
        <w:rPr>
          <w:spacing w:val="-3"/>
        </w:rPr>
        <w:t xml:space="preserve"> </w:t>
      </w:r>
      <w:r>
        <w:t>national</w:t>
      </w:r>
      <w:r>
        <w:rPr>
          <w:spacing w:val="-3"/>
        </w:rPr>
        <w:t xml:space="preserve"> </w:t>
      </w:r>
      <w:r>
        <w:t>IAC</w:t>
      </w:r>
      <w:r>
        <w:rPr>
          <w:spacing w:val="-4"/>
        </w:rPr>
        <w:t xml:space="preserve"> </w:t>
      </w:r>
      <w:r>
        <w:t>database</w:t>
      </w:r>
      <w:r>
        <w:rPr>
          <w:spacing w:val="-3"/>
        </w:rPr>
        <w:t xml:space="preserve"> </w:t>
      </w:r>
      <w:r>
        <w:t>to</w:t>
      </w:r>
      <w:r>
        <w:rPr>
          <w:spacing w:val="-4"/>
        </w:rPr>
        <w:t xml:space="preserve"> </w:t>
      </w:r>
      <w:r>
        <w:t>supplement</w:t>
      </w:r>
      <w:r>
        <w:rPr>
          <w:spacing w:val="-2"/>
        </w:rPr>
        <w:t xml:space="preserve"> </w:t>
      </w:r>
      <w:r>
        <w:t>CEDARS data and inform the energy savings estimates for the industrial characterized custom</w:t>
      </w:r>
    </w:p>
    <w:p w:rsidR="00C31389" w:rsidRDefault="00561FBD" w14:paraId="42A7BAC2" w14:textId="77777777">
      <w:pPr>
        <w:pStyle w:val="BodyText"/>
        <w:spacing w:before="9"/>
        <w:rPr>
          <w:sz w:val="24"/>
        </w:rPr>
      </w:pPr>
      <w:r>
        <w:rPr>
          <w:noProof/>
        </w:rPr>
        <mc:AlternateContent>
          <mc:Choice Requires="wps">
            <w:drawing>
              <wp:anchor distT="0" distB="0" distL="0" distR="0" simplePos="0" relativeHeight="487649280" behindDoc="1" locked="0" layoutInCell="1" allowOverlap="1" wp14:editId="3306AC1C" wp14:anchorId="3F0B63F6">
                <wp:simplePos x="0" y="0"/>
                <wp:positionH relativeFrom="page">
                  <wp:posOffset>914400</wp:posOffset>
                </wp:positionH>
                <wp:positionV relativeFrom="paragraph">
                  <wp:posOffset>196376</wp:posOffset>
                </wp:positionV>
                <wp:extent cx="1828800" cy="6985"/>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89" style="position:absolute;margin-left:1in;margin-top:15.45pt;width:2in;height:.55pt;z-index:-1566720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" w14:anchorId="67766524">
                <v:path arrowok="t"/>
                <w10:wrap type="topAndBottom" anchorx="page"/>
              </v:shape>
            </w:pict>
          </mc:Fallback>
        </mc:AlternateContent>
      </w:r>
    </w:p>
    <w:p w:rsidR="00C31389" w:rsidRDefault="00561FBD" w14:paraId="37B46AC3" w14:textId="77777777">
      <w:pPr>
        <w:spacing w:before="89"/>
        <w:ind w:left="480"/>
        <w:rPr>
          <w:sz w:val="18"/>
        </w:rPr>
      </w:pPr>
      <w:bookmarkStart w:name="_bookmark164" w:id="221"/>
      <w:bookmarkEnd w:id="221"/>
      <w:r>
        <w:rPr>
          <w:position w:val="6"/>
          <w:sz w:val="12"/>
        </w:rPr>
        <w:t>51</w:t>
      </w:r>
      <w:r>
        <w:rPr>
          <w:spacing w:val="14"/>
          <w:position w:val="6"/>
          <w:sz w:val="12"/>
        </w:rPr>
        <w:t xml:space="preserve"> </w:t>
      </w:r>
      <w:r>
        <w:rPr>
          <w:sz w:val="18"/>
        </w:rPr>
        <w:t>Appendix</w:t>
      </w:r>
      <w:r>
        <w:rPr>
          <w:spacing w:val="-3"/>
          <w:sz w:val="18"/>
        </w:rPr>
        <w:t xml:space="preserve"> </w:t>
      </w:r>
      <w:r>
        <w:rPr>
          <w:sz w:val="18"/>
        </w:rPr>
        <w:t>E</w:t>
      </w:r>
      <w:r>
        <w:rPr>
          <w:spacing w:val="-2"/>
          <w:sz w:val="18"/>
        </w:rPr>
        <w:t xml:space="preserve"> </w:t>
      </w:r>
      <w:r>
        <w:rPr>
          <w:sz w:val="18"/>
        </w:rPr>
        <w:t>provides</w:t>
      </w:r>
      <w:r>
        <w:rPr>
          <w:spacing w:val="-3"/>
          <w:sz w:val="18"/>
        </w:rPr>
        <w:t xml:space="preserve"> </w:t>
      </w:r>
      <w:r>
        <w:rPr>
          <w:sz w:val="18"/>
        </w:rPr>
        <w:t>details</w:t>
      </w:r>
      <w:r>
        <w:rPr>
          <w:spacing w:val="-2"/>
          <w:sz w:val="18"/>
        </w:rPr>
        <w:t xml:space="preserve"> </w:t>
      </w:r>
      <w:r>
        <w:rPr>
          <w:sz w:val="18"/>
        </w:rPr>
        <w:t>for</w:t>
      </w:r>
      <w:r>
        <w:rPr>
          <w:spacing w:val="-3"/>
          <w:sz w:val="18"/>
        </w:rPr>
        <w:t xml:space="preserve"> </w:t>
      </w:r>
      <w:r>
        <w:rPr>
          <w:sz w:val="18"/>
        </w:rPr>
        <w:t>the</w:t>
      </w:r>
      <w:r>
        <w:rPr>
          <w:spacing w:val="-3"/>
          <w:sz w:val="18"/>
        </w:rPr>
        <w:t xml:space="preserve"> </w:t>
      </w:r>
      <w:r>
        <w:rPr>
          <w:sz w:val="18"/>
        </w:rPr>
        <w:t>technology</w:t>
      </w:r>
      <w:r>
        <w:rPr>
          <w:spacing w:val="-2"/>
          <w:sz w:val="18"/>
        </w:rPr>
        <w:t xml:space="preserve"> group.</w:t>
      </w:r>
    </w:p>
    <w:p w:rsidR="00C31389" w:rsidRDefault="00561FBD" w14:paraId="1F707CDB" w14:textId="77777777">
      <w:pPr>
        <w:spacing w:before="36"/>
        <w:ind w:left="480"/>
        <w:rPr>
          <w:sz w:val="18"/>
        </w:rPr>
      </w:pPr>
      <w:bookmarkStart w:name="_bookmark165" w:id="222"/>
      <w:bookmarkEnd w:id="222"/>
      <w:r>
        <w:rPr>
          <w:spacing w:val="-2"/>
          <w:position w:val="6"/>
          <w:sz w:val="12"/>
        </w:rPr>
        <w:t>52</w:t>
      </w:r>
      <w:r>
        <w:rPr>
          <w:spacing w:val="41"/>
          <w:position w:val="6"/>
          <w:sz w:val="12"/>
        </w:rPr>
        <w:t xml:space="preserve">  </w:t>
      </w:r>
      <w:hyperlink r:id="rId141">
        <w:r>
          <w:rPr>
            <w:color w:val="68942C"/>
            <w:spacing w:val="-2"/>
            <w:sz w:val="18"/>
            <w:u w:val="single" w:color="68942C"/>
          </w:rPr>
          <w:t>https://energy.gov/eere/amo/industrial-assessment-centers-</w:t>
        </w:r>
        <w:r>
          <w:rPr>
            <w:color w:val="68942C"/>
            <w:spacing w:val="-4"/>
            <w:sz w:val="18"/>
            <w:u w:val="single" w:color="68942C"/>
          </w:rPr>
          <w:t>iacs</w:t>
        </w:r>
      </w:hyperlink>
    </w:p>
    <w:p w:rsidR="00C31389" w:rsidRDefault="00561FBD" w14:paraId="39729202" w14:textId="77777777">
      <w:pPr>
        <w:spacing w:before="36"/>
        <w:ind w:left="479" w:right="533"/>
        <w:rPr>
          <w:sz w:val="18"/>
        </w:rPr>
      </w:pPr>
      <w:bookmarkStart w:name="_bookmark166" w:id="223"/>
      <w:bookmarkEnd w:id="223"/>
      <w:r>
        <w:rPr>
          <w:position w:val="6"/>
          <w:sz w:val="12"/>
        </w:rPr>
        <w:t>53</w:t>
      </w:r>
      <w:r>
        <w:rPr>
          <w:spacing w:val="32"/>
          <w:position w:val="6"/>
          <w:sz w:val="12"/>
        </w:rPr>
        <w:t xml:space="preserve"> </w:t>
      </w:r>
      <w:r>
        <w:rPr>
          <w:sz w:val="18"/>
        </w:rPr>
        <w:t xml:space="preserve">Other sources include the Pennsylvania Technical Reference Manual (TRM) </w:t>
      </w:r>
      <w:r>
        <w:rPr>
          <w:spacing w:val="-2"/>
          <w:sz w:val="18"/>
        </w:rPr>
        <w:t>(</w:t>
      </w:r>
      <w:hyperlink r:id="rId142">
        <w:r>
          <w:rPr>
            <w:color w:val="68942C"/>
            <w:spacing w:val="-2"/>
            <w:sz w:val="18"/>
            <w:u w:val="single" w:color="68942C"/>
          </w:rPr>
          <w:t>http://www.puc.pa.gov/filing_resources/issues_laws_</w:t>
        </w:r>
        <w:r>
          <w:rPr>
            <w:color w:val="68942C"/>
            <w:spacing w:val="-2"/>
            <w:sz w:val="18"/>
            <w:u w:val="single" w:color="68942C"/>
          </w:rPr>
          <w:t>regulations/act_129_information/technical_reference_manual.a</w:t>
        </w:r>
      </w:hyperlink>
      <w:r>
        <w:rPr>
          <w:color w:val="68942C"/>
          <w:spacing w:val="-2"/>
          <w:sz w:val="18"/>
        </w:rPr>
        <w:t xml:space="preserve"> </w:t>
      </w:r>
      <w:hyperlink r:id="rId143">
        <w:r>
          <w:rPr>
            <w:color w:val="68942C"/>
            <w:sz w:val="18"/>
            <w:u w:val="single" w:color="68942C"/>
          </w:rPr>
          <w:t>spx</w:t>
        </w:r>
        <w:r>
          <w:rPr>
            <w:sz w:val="18"/>
          </w:rPr>
          <w:t>)</w:t>
        </w:r>
      </w:hyperlink>
      <w:r>
        <w:rPr>
          <w:sz w:val="18"/>
        </w:rPr>
        <w:t xml:space="preserve">; the Illinois TRM </w:t>
      </w:r>
      <w:hyperlink r:id="rId144">
        <w:r>
          <w:rPr>
            <w:sz w:val="18"/>
          </w:rPr>
          <w:t>(</w:t>
        </w:r>
        <w:r>
          <w:rPr>
            <w:color w:val="68942C"/>
            <w:sz w:val="18"/>
            <w:u w:val="single" w:color="68942C"/>
          </w:rPr>
          <w:t>http://www.ilsag.info/technical-reference-manual.htm</w:t>
        </w:r>
        <w:r>
          <w:rPr>
            <w:color w:val="68942C"/>
            <w:sz w:val="18"/>
          </w:rPr>
          <w:t>l</w:t>
        </w:r>
        <w:r>
          <w:rPr>
            <w:sz w:val="18"/>
          </w:rPr>
          <w:t>)</w:t>
        </w:r>
      </w:hyperlink>
      <w:r>
        <w:rPr>
          <w:sz w:val="18"/>
        </w:rPr>
        <w:t>; the Michigan Energy Measures Database</w:t>
      </w:r>
      <w:r>
        <w:rPr>
          <w:spacing w:val="-3"/>
          <w:sz w:val="18"/>
        </w:rPr>
        <w:t xml:space="preserve"> </w:t>
      </w:r>
      <w:r>
        <w:rPr>
          <w:sz w:val="18"/>
        </w:rPr>
        <w:t>(</w:t>
      </w:r>
      <w:hyperlink r:id="rId145">
        <w:r>
          <w:rPr>
            <w:color w:val="68942C"/>
            <w:sz w:val="18"/>
            <w:u w:val="single" w:color="68942C"/>
          </w:rPr>
          <w:t>https://www.michigan.gov/mpsc/regulatory/ewr/michigan-energy-measures-database</w:t>
        </w:r>
        <w:r>
          <w:rPr>
            <w:sz w:val="18"/>
          </w:rPr>
          <w:t>)</w:t>
        </w:r>
      </w:hyperlink>
      <w:r>
        <w:rPr>
          <w:sz w:val="18"/>
        </w:rPr>
        <w:t>;</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 xml:space="preserve">Wisconsin TRM </w:t>
      </w:r>
      <w:hyperlink r:id="rId146">
        <w:r>
          <w:rPr>
            <w:sz w:val="18"/>
          </w:rPr>
          <w:t>(</w:t>
        </w:r>
        <w:r>
          <w:rPr>
            <w:color w:val="68942C"/>
            <w:sz w:val="18"/>
            <w:u w:val="single" w:color="68942C"/>
          </w:rPr>
          <w:t>http://dsmexplorer.esource.com/documents/Wisconsin%20-%2010.22.2015%20-%202016%20TRM.pdf</w:t>
        </w:r>
        <w:r>
          <w:rPr>
            <w:sz w:val="18"/>
          </w:rPr>
          <w:t>)</w:t>
        </w:r>
      </w:hyperlink>
      <w:r>
        <w:rPr>
          <w:sz w:val="18"/>
        </w:rPr>
        <w:t>. See the Agriculture measure characterization workbook for more deta</w:t>
      </w:r>
      <w:r>
        <w:rPr>
          <w:sz w:val="18"/>
        </w:rPr>
        <w:t>il on which measures these sources informed.</w:t>
      </w:r>
    </w:p>
    <w:p w:rsidR="00C31389" w:rsidRDefault="00C31389" w14:paraId="7B583642" w14:textId="77777777">
      <w:pPr>
        <w:rPr>
          <w:sz w:val="18"/>
        </w:rPr>
        <w:sectPr w:rsidR="00C31389">
          <w:pgSz w:w="12240" w:h="15840"/>
          <w:pgMar w:top="1660" w:right="960" w:bottom="1120" w:left="960" w:header="397" w:footer="936" w:gutter="0"/>
          <w:cols w:space="720"/>
        </w:sectPr>
      </w:pPr>
    </w:p>
    <w:p w:rsidR="00C31389" w:rsidRDefault="00C31389" w14:paraId="02267286" w14:textId="77777777">
      <w:pPr>
        <w:pStyle w:val="BodyText"/>
        <w:spacing w:before="11"/>
        <w:rPr>
          <w:sz w:val="13"/>
        </w:rPr>
      </w:pPr>
    </w:p>
    <w:p w:rsidR="00C31389" w:rsidRDefault="00561FBD" w14:paraId="18042B91" w14:textId="77777777">
      <w:pPr>
        <w:pStyle w:val="BodyText"/>
        <w:spacing w:before="92"/>
        <w:ind w:left="480" w:right="485"/>
      </w:pPr>
      <w:r>
        <w:t>technologies.</w:t>
      </w:r>
      <w:r>
        <w:rPr>
          <w:spacing w:val="-3"/>
        </w:rPr>
        <w:t xml:space="preserve"> </w:t>
      </w:r>
      <w:r>
        <w:t>The</w:t>
      </w:r>
      <w:r>
        <w:rPr>
          <w:spacing w:val="-3"/>
        </w:rPr>
        <w:t xml:space="preserve"> </w:t>
      </w:r>
      <w:r>
        <w:t>IAC</w:t>
      </w:r>
      <w:r>
        <w:rPr>
          <w:spacing w:val="-4"/>
        </w:rPr>
        <w:t xml:space="preserve"> </w:t>
      </w:r>
      <w:r>
        <w:t>network</w:t>
      </w:r>
      <w:r>
        <w:rPr>
          <w:spacing w:val="-3"/>
        </w:rPr>
        <w:t xml:space="preserve"> </w:t>
      </w:r>
      <w:r>
        <w:t>consists</w:t>
      </w:r>
      <w:r>
        <w:rPr>
          <w:spacing w:val="-3"/>
        </w:rPr>
        <w:t xml:space="preserve"> </w:t>
      </w:r>
      <w:r>
        <w:t>of</w:t>
      </w:r>
      <w:r>
        <w:rPr>
          <w:spacing w:val="-3"/>
        </w:rPr>
        <w:t xml:space="preserve"> </w:t>
      </w:r>
      <w:r>
        <w:t>over</w:t>
      </w:r>
      <w:r>
        <w:rPr>
          <w:spacing w:val="-3"/>
        </w:rPr>
        <w:t xml:space="preserve"> </w:t>
      </w:r>
      <w:r>
        <w:t>30</w:t>
      </w:r>
      <w:r>
        <w:rPr>
          <w:spacing w:val="-3"/>
        </w:rPr>
        <w:t xml:space="preserve"> </w:t>
      </w:r>
      <w:r>
        <w:t>universities</w:t>
      </w:r>
      <w:r>
        <w:rPr>
          <w:spacing w:val="-2"/>
        </w:rPr>
        <w:t xml:space="preserve"> </w:t>
      </w:r>
      <w:r>
        <w:t>that</w:t>
      </w:r>
      <w:r>
        <w:rPr>
          <w:spacing w:val="-3"/>
        </w:rPr>
        <w:t xml:space="preserve"> </w:t>
      </w:r>
      <w:r>
        <w:t>have</w:t>
      </w:r>
      <w:r>
        <w:rPr>
          <w:spacing w:val="-4"/>
        </w:rPr>
        <w:t xml:space="preserve"> </w:t>
      </w:r>
      <w:r>
        <w:t>completed</w:t>
      </w:r>
      <w:r>
        <w:rPr>
          <w:spacing w:val="-3"/>
        </w:rPr>
        <w:t xml:space="preserve"> </w:t>
      </w:r>
      <w:r>
        <w:t>over</w:t>
      </w:r>
      <w:r>
        <w:rPr>
          <w:spacing w:val="-3"/>
        </w:rPr>
        <w:t xml:space="preserve"> </w:t>
      </w:r>
      <w:r>
        <w:t xml:space="preserve">20,000 assessments at industrial facilities across the nation. Each assessment completed by the IAC </w:t>
      </w:r>
      <w:r>
        <w:t>includes detailed recommendations for improving energy consumption at a given site,</w:t>
      </w:r>
      <w:r>
        <w:rPr>
          <w:spacing w:val="-35"/>
        </w:rPr>
        <w:t xml:space="preserve"> </w:t>
      </w:r>
      <w:hyperlink w:history="1" w:anchor="_bookmark167">
        <w:r>
          <w:rPr>
            <w:position w:val="7"/>
            <w:sz w:val="14"/>
          </w:rPr>
          <w:t>54</w:t>
        </w:r>
      </w:hyperlink>
      <w:r>
        <w:rPr>
          <w:spacing w:val="32"/>
          <w:position w:val="7"/>
          <w:sz w:val="14"/>
        </w:rPr>
        <w:t xml:space="preserve"> </w:t>
      </w:r>
      <w:r>
        <w:t xml:space="preserve">the specific energy savings the site can expect by implementing such improvements, and the total energy </w:t>
      </w:r>
      <w:r>
        <w:t>each site currently uses. PG Model efforts have relied on IAC data since 2011.</w:t>
      </w:r>
    </w:p>
    <w:p w:rsidR="00C31389" w:rsidRDefault="00C31389" w14:paraId="73080595" w14:textId="77777777">
      <w:pPr>
        <w:pStyle w:val="BodyText"/>
        <w:spacing w:before="10"/>
        <w:rPr>
          <w:sz w:val="20"/>
        </w:rPr>
      </w:pPr>
    </w:p>
    <w:p w:rsidR="00C31389" w:rsidRDefault="00561FBD" w14:paraId="15CB26E8" w14:textId="77777777">
      <w:pPr>
        <w:pStyle w:val="BodyText"/>
        <w:ind w:left="480" w:right="533"/>
      </w:pPr>
      <w:r>
        <w:t>The Guidehouse team</w:t>
      </w:r>
      <w:r>
        <w:rPr>
          <w:spacing w:val="-1"/>
        </w:rPr>
        <w:t xml:space="preserve"> </w:t>
      </w:r>
      <w:r>
        <w:t>mapped all the unique IAC</w:t>
      </w:r>
      <w:r>
        <w:rPr>
          <w:spacing w:val="-1"/>
        </w:rPr>
        <w:t xml:space="preserve"> </w:t>
      </w:r>
      <w:r>
        <w:t>recommendations to</w:t>
      </w:r>
      <w:r>
        <w:rPr>
          <w:spacing w:val="-1"/>
        </w:rPr>
        <w:t xml:space="preserve"> </w:t>
      </w:r>
      <w:r>
        <w:t>the list of</w:t>
      </w:r>
      <w:r>
        <w:rPr>
          <w:spacing w:val="-1"/>
        </w:rPr>
        <w:t xml:space="preserve"> </w:t>
      </w:r>
      <w:r>
        <w:t xml:space="preserve">characterized custom industrial technologies created from the EEStats and CEDARS </w:t>
      </w:r>
      <w:r>
        <w:t>databases. The team then</w:t>
      </w:r>
      <w:r>
        <w:rPr>
          <w:spacing w:val="-3"/>
        </w:rPr>
        <w:t xml:space="preserve"> </w:t>
      </w:r>
      <w:r>
        <w:t>used</w:t>
      </w:r>
      <w:r>
        <w:rPr>
          <w:spacing w:val="-3"/>
        </w:rPr>
        <w:t xml:space="preserve"> </w:t>
      </w:r>
      <w:r>
        <w:t>NAICS</w:t>
      </w:r>
      <w:r>
        <w:rPr>
          <w:spacing w:val="-3"/>
        </w:rPr>
        <w:t xml:space="preserve"> </w:t>
      </w:r>
      <w:r>
        <w:t>coding</w:t>
      </w:r>
      <w:r>
        <w:rPr>
          <w:spacing w:val="-3"/>
        </w:rPr>
        <w:t xml:space="preserve"> </w:t>
      </w:r>
      <w:r>
        <w:t>to</w:t>
      </w:r>
      <w:r>
        <w:rPr>
          <w:spacing w:val="-3"/>
        </w:rPr>
        <w:t xml:space="preserve"> </w:t>
      </w:r>
      <w:r>
        <w:t>sum</w:t>
      </w:r>
      <w:r>
        <w:rPr>
          <w:spacing w:val="-4"/>
        </w:rPr>
        <w:t xml:space="preserve"> </w:t>
      </w:r>
      <w:r>
        <w:t>the</w:t>
      </w:r>
      <w:r>
        <w:rPr>
          <w:spacing w:val="-3"/>
        </w:rPr>
        <w:t xml:space="preserve"> </w:t>
      </w:r>
      <w:r>
        <w:t>energy</w:t>
      </w:r>
      <w:r>
        <w:rPr>
          <w:spacing w:val="-3"/>
        </w:rPr>
        <w:t xml:space="preserve"> </w:t>
      </w:r>
      <w:r>
        <w:t>savings</w:t>
      </w:r>
      <w:r>
        <w:rPr>
          <w:spacing w:val="-3"/>
        </w:rPr>
        <w:t xml:space="preserve"> </w:t>
      </w:r>
      <w:r>
        <w:t>estimates</w:t>
      </w:r>
      <w:r>
        <w:rPr>
          <w:spacing w:val="-3"/>
        </w:rPr>
        <w:t xml:space="preserve"> </w:t>
      </w:r>
      <w:r>
        <w:t>for</w:t>
      </w:r>
      <w:r>
        <w:rPr>
          <w:spacing w:val="-3"/>
        </w:rPr>
        <w:t xml:space="preserve"> </w:t>
      </w:r>
      <w:r>
        <w:t>each</w:t>
      </w:r>
      <w:r>
        <w:rPr>
          <w:spacing w:val="-3"/>
        </w:rPr>
        <w:t xml:space="preserve"> </w:t>
      </w:r>
      <w:r>
        <w:t>technology</w:t>
      </w:r>
      <w:r>
        <w:rPr>
          <w:spacing w:val="-3"/>
        </w:rPr>
        <w:t xml:space="preserve"> </w:t>
      </w:r>
      <w:r>
        <w:t>to</w:t>
      </w:r>
      <w:r>
        <w:rPr>
          <w:spacing w:val="-3"/>
        </w:rPr>
        <w:t xml:space="preserve"> </w:t>
      </w:r>
      <w:r>
        <w:t>the</w:t>
      </w:r>
      <w:r>
        <w:rPr>
          <w:spacing w:val="-3"/>
        </w:rPr>
        <w:t xml:space="preserve"> </w:t>
      </w:r>
      <w:r>
        <w:t>entire industrial</w:t>
      </w:r>
      <w:r>
        <w:rPr>
          <w:spacing w:val="-1"/>
        </w:rPr>
        <w:t xml:space="preserve"> </w:t>
      </w:r>
      <w:r>
        <w:t>sector by building type and</w:t>
      </w:r>
      <w:r>
        <w:rPr>
          <w:spacing w:val="-1"/>
        </w:rPr>
        <w:t xml:space="preserve"> </w:t>
      </w:r>
      <w:r>
        <w:t>divided it by</w:t>
      </w:r>
      <w:r>
        <w:rPr>
          <w:spacing w:val="-1"/>
        </w:rPr>
        <w:t xml:space="preserve"> </w:t>
      </w:r>
      <w:r>
        <w:t xml:space="preserve">the total energy consumption for all buildings of that type. Using the measure-level data </w:t>
      </w:r>
      <w:r>
        <w:t>from IAC provided the percentage each technology saves by building type across the entire industrial sector.</w:t>
      </w:r>
      <w:r>
        <w:rPr>
          <w:spacing w:val="-40"/>
        </w:rPr>
        <w:t xml:space="preserve"> </w:t>
      </w:r>
      <w:hyperlink w:history="1" w:anchor="_bookmark168">
        <w:r>
          <w:rPr>
            <w:position w:val="7"/>
            <w:sz w:val="14"/>
          </w:rPr>
          <w:t>55</w:t>
        </w:r>
      </w:hyperlink>
      <w:r>
        <w:rPr>
          <w:spacing w:val="28"/>
          <w:position w:val="7"/>
          <w:sz w:val="14"/>
        </w:rPr>
        <w:t xml:space="preserve"> </w:t>
      </w:r>
      <w:r>
        <w:t>The team followed this process for electric (kWh)- and gas (therm)-consuming industrial measures.</w:t>
      </w:r>
    </w:p>
    <w:p w:rsidR="00C31389" w:rsidRDefault="00C31389" w14:paraId="2DA05CD6" w14:textId="77777777">
      <w:pPr>
        <w:pStyle w:val="BodyText"/>
        <w:spacing w:before="11"/>
        <w:rPr>
          <w:sz w:val="20"/>
        </w:rPr>
      </w:pPr>
    </w:p>
    <w:p w:rsidR="00C31389" w:rsidRDefault="00561FBD" w14:paraId="7C164D50" w14:textId="77777777">
      <w:pPr>
        <w:pStyle w:val="BodyText"/>
        <w:ind w:left="480" w:right="533"/>
      </w:pPr>
      <w:r>
        <w:t>The</w:t>
      </w:r>
      <w:r>
        <w:rPr>
          <w:spacing w:val="-4"/>
        </w:rPr>
        <w:t xml:space="preserve"> </w:t>
      </w:r>
      <w:r>
        <w:t>IAC</w:t>
      </w:r>
      <w:r>
        <w:rPr>
          <w:spacing w:val="-5"/>
        </w:rPr>
        <w:t xml:space="preserve"> </w:t>
      </w:r>
      <w:r>
        <w:t>database</w:t>
      </w:r>
      <w:r>
        <w:rPr>
          <w:spacing w:val="-4"/>
        </w:rPr>
        <w:t xml:space="preserve"> </w:t>
      </w:r>
      <w:r>
        <w:t>included</w:t>
      </w:r>
      <w:r>
        <w:rPr>
          <w:spacing w:val="-4"/>
        </w:rPr>
        <w:t xml:space="preserve"> </w:t>
      </w:r>
      <w:r>
        <w:t>robust,</w:t>
      </w:r>
      <w:r>
        <w:rPr>
          <w:spacing w:val="-4"/>
        </w:rPr>
        <w:t xml:space="preserve"> </w:t>
      </w:r>
      <w:r>
        <w:t>informative</w:t>
      </w:r>
      <w:r>
        <w:rPr>
          <w:spacing w:val="-4"/>
        </w:rPr>
        <w:t xml:space="preserve"> </w:t>
      </w:r>
      <w:r>
        <w:t>data</w:t>
      </w:r>
      <w:r>
        <w:rPr>
          <w:spacing w:val="-4"/>
        </w:rPr>
        <w:t xml:space="preserve"> </w:t>
      </w:r>
      <w:r>
        <w:t>for</w:t>
      </w:r>
      <w:r>
        <w:rPr>
          <w:spacing w:val="-4"/>
        </w:rPr>
        <w:t xml:space="preserve"> </w:t>
      </w:r>
      <w:r>
        <w:t>all</w:t>
      </w:r>
      <w:r>
        <w:rPr>
          <w:spacing w:val="-4"/>
        </w:rPr>
        <w:t xml:space="preserve"> </w:t>
      </w:r>
      <w:r>
        <w:t>but</w:t>
      </w:r>
      <w:r>
        <w:rPr>
          <w:spacing w:val="-4"/>
        </w:rPr>
        <w:t xml:space="preserve"> </w:t>
      </w:r>
      <w:r>
        <w:t>one</w:t>
      </w:r>
      <w:r>
        <w:rPr>
          <w:spacing w:val="-4"/>
        </w:rPr>
        <w:t xml:space="preserve"> </w:t>
      </w:r>
      <w:r>
        <w:t>industrial</w:t>
      </w:r>
      <w:r>
        <w:rPr>
          <w:spacing w:val="-4"/>
        </w:rPr>
        <w:t xml:space="preserve"> </w:t>
      </w:r>
      <w:r>
        <w:t>technology: wastewater aerators. Wastewater</w:t>
      </w:r>
      <w:r>
        <w:t xml:space="preserve"> aerators are listed as energy efficient aerators in the technology list and use an SCE workpaper for data.</w:t>
      </w:r>
    </w:p>
    <w:p w:rsidR="00C31389" w:rsidRDefault="00C31389" w14:paraId="7EA0F284" w14:textId="77777777">
      <w:pPr>
        <w:pStyle w:val="BodyText"/>
        <w:spacing w:before="9"/>
        <w:rPr>
          <w:sz w:val="20"/>
        </w:rPr>
      </w:pPr>
    </w:p>
    <w:p w:rsidR="00C31389" w:rsidRDefault="00561FBD" w14:paraId="7F84A6EA" w14:textId="77777777">
      <w:pPr>
        <w:pStyle w:val="BodyText"/>
        <w:ind w:left="480" w:right="629"/>
      </w:pPr>
      <w:r>
        <w:t>Other measures not using the IAC database are the new measures established from the Industrial</w:t>
      </w:r>
      <w:r>
        <w:rPr>
          <w:spacing w:val="-3"/>
        </w:rPr>
        <w:t xml:space="preserve"> </w:t>
      </w:r>
      <w:r>
        <w:t>and</w:t>
      </w:r>
      <w:r>
        <w:rPr>
          <w:spacing w:val="-3"/>
        </w:rPr>
        <w:t xml:space="preserve"> </w:t>
      </w:r>
      <w:r>
        <w:t>Agriculture</w:t>
      </w:r>
      <w:r>
        <w:rPr>
          <w:spacing w:val="-3"/>
        </w:rPr>
        <w:t xml:space="preserve"> </w:t>
      </w:r>
      <w:r>
        <w:t>Market</w:t>
      </w:r>
      <w:r>
        <w:rPr>
          <w:spacing w:val="-3"/>
        </w:rPr>
        <w:t xml:space="preserve"> </w:t>
      </w:r>
      <w:r>
        <w:t>Study</w:t>
      </w:r>
      <w:r>
        <w:rPr>
          <w:spacing w:val="-3"/>
        </w:rPr>
        <w:t xml:space="preserve"> </w:t>
      </w:r>
      <w:r>
        <w:t>in</w:t>
      </w:r>
      <w:r>
        <w:rPr>
          <w:spacing w:val="-3"/>
        </w:rPr>
        <w:t xml:space="preserve"> </w:t>
      </w:r>
      <w:r>
        <w:t>2021,</w:t>
      </w:r>
      <w:r>
        <w:rPr>
          <w:spacing w:val="-4"/>
        </w:rPr>
        <w:t xml:space="preserve"> </w:t>
      </w:r>
      <w:r>
        <w:t>which</w:t>
      </w:r>
      <w:r>
        <w:rPr>
          <w:spacing w:val="-3"/>
        </w:rPr>
        <w:t xml:space="preserve"> </w:t>
      </w:r>
      <w:r>
        <w:t>are</w:t>
      </w:r>
      <w:r>
        <w:rPr>
          <w:spacing w:val="-3"/>
        </w:rPr>
        <w:t xml:space="preserve"> </w:t>
      </w:r>
      <w:r>
        <w:t>deta</w:t>
      </w:r>
      <w:r>
        <w:t>iled</w:t>
      </w:r>
      <w:r>
        <w:rPr>
          <w:spacing w:val="-3"/>
        </w:rPr>
        <w:t xml:space="preserve"> </w:t>
      </w:r>
      <w:r>
        <w:t>in</w:t>
      </w:r>
      <w:r>
        <w:rPr>
          <w:spacing w:val="-3"/>
        </w:rPr>
        <w:t xml:space="preserve"> </w:t>
      </w:r>
      <w:r>
        <w:t>Appendix</w:t>
      </w:r>
      <w:r>
        <w:rPr>
          <w:spacing w:val="-2"/>
        </w:rPr>
        <w:t xml:space="preserve"> </w:t>
      </w:r>
      <w:r>
        <w:t>E.</w:t>
      </w:r>
      <w:r>
        <w:rPr>
          <w:spacing w:val="-3"/>
        </w:rPr>
        <w:t xml:space="preserve"> </w:t>
      </w:r>
      <w:r>
        <w:t>The</w:t>
      </w:r>
      <w:r>
        <w:rPr>
          <w:spacing w:val="-3"/>
        </w:rPr>
        <w:t xml:space="preserve"> </w:t>
      </w:r>
      <w:r>
        <w:t>data from the study includes (and provided in the separate report):</w:t>
      </w:r>
    </w:p>
    <w:p w:rsidR="00C31389" w:rsidRDefault="00561FBD" w14:paraId="1F044DAE" w14:textId="77777777">
      <w:pPr>
        <w:pStyle w:val="ListParagraph"/>
        <w:numPr>
          <w:ilvl w:val="4"/>
          <w:numId w:val="71"/>
        </w:numPr>
        <w:tabs>
          <w:tab w:val="left" w:pos="1200"/>
        </w:tabs>
        <w:spacing w:before="121"/>
        <w:ind w:left="1200"/>
      </w:pPr>
      <w:r>
        <w:t>Percent</w:t>
      </w:r>
      <w:r>
        <w:rPr>
          <w:spacing w:val="-5"/>
        </w:rPr>
        <w:t xml:space="preserve"> </w:t>
      </w:r>
      <w:r>
        <w:t>savings,</w:t>
      </w:r>
      <w:r>
        <w:rPr>
          <w:spacing w:val="-5"/>
        </w:rPr>
        <w:t xml:space="preserve"> </w:t>
      </w:r>
      <w:r>
        <w:t>as</w:t>
      </w:r>
      <w:r>
        <w:rPr>
          <w:spacing w:val="-5"/>
        </w:rPr>
        <w:t xml:space="preserve"> </w:t>
      </w:r>
      <w:r>
        <w:t>a</w:t>
      </w:r>
      <w:r>
        <w:rPr>
          <w:spacing w:val="-5"/>
        </w:rPr>
        <w:t xml:space="preserve"> </w:t>
      </w:r>
      <w:r>
        <w:t>percentage</w:t>
      </w:r>
      <w:r>
        <w:rPr>
          <w:spacing w:val="-5"/>
        </w:rPr>
        <w:t xml:space="preserve"> </w:t>
      </w:r>
      <w:r>
        <w:t>of</w:t>
      </w:r>
      <w:r>
        <w:rPr>
          <w:spacing w:val="-6"/>
        </w:rPr>
        <w:t xml:space="preserve"> </w:t>
      </w:r>
      <w:r>
        <w:t>end</w:t>
      </w:r>
      <w:r>
        <w:rPr>
          <w:spacing w:val="-5"/>
        </w:rPr>
        <w:t xml:space="preserve"> </w:t>
      </w:r>
      <w:r>
        <w:t>use</w:t>
      </w:r>
      <w:r>
        <w:rPr>
          <w:spacing w:val="-5"/>
        </w:rPr>
        <w:t xml:space="preserve"> </w:t>
      </w:r>
      <w:r>
        <w:t>related</w:t>
      </w:r>
      <w:r>
        <w:rPr>
          <w:spacing w:val="-5"/>
        </w:rPr>
        <w:t xml:space="preserve"> </w:t>
      </w:r>
      <w:r>
        <w:t>to</w:t>
      </w:r>
      <w:r>
        <w:rPr>
          <w:spacing w:val="-5"/>
        </w:rPr>
        <w:t xml:space="preserve"> </w:t>
      </w:r>
      <w:r>
        <w:t>the</w:t>
      </w:r>
      <w:r>
        <w:rPr>
          <w:spacing w:val="-5"/>
        </w:rPr>
        <w:t xml:space="preserve"> </w:t>
      </w:r>
      <w:r>
        <w:rPr>
          <w:spacing w:val="-2"/>
        </w:rPr>
        <w:t>measure</w:t>
      </w:r>
    </w:p>
    <w:p w:rsidR="00C31389" w:rsidRDefault="00561FBD" w14:paraId="0324CAA1" w14:textId="77777777">
      <w:pPr>
        <w:pStyle w:val="ListParagraph"/>
        <w:numPr>
          <w:ilvl w:val="4"/>
          <w:numId w:val="71"/>
        </w:numPr>
        <w:tabs>
          <w:tab w:val="left" w:pos="1200"/>
        </w:tabs>
        <w:spacing w:before="118"/>
        <w:ind w:left="1200"/>
      </w:pPr>
      <w:r>
        <w:t>Percent</w:t>
      </w:r>
      <w:r>
        <w:rPr>
          <w:spacing w:val="-5"/>
        </w:rPr>
        <w:t xml:space="preserve"> </w:t>
      </w:r>
      <w:r>
        <w:t>end</w:t>
      </w:r>
      <w:r>
        <w:rPr>
          <w:spacing w:val="-5"/>
        </w:rPr>
        <w:t xml:space="preserve"> </w:t>
      </w:r>
      <w:r>
        <w:t>use,</w:t>
      </w:r>
      <w:r>
        <w:rPr>
          <w:spacing w:val="-4"/>
        </w:rPr>
        <w:t xml:space="preserve"> </w:t>
      </w:r>
      <w:r>
        <w:t>as</w:t>
      </w:r>
      <w:r>
        <w:rPr>
          <w:spacing w:val="-5"/>
        </w:rPr>
        <w:t xml:space="preserve"> </w:t>
      </w:r>
      <w:r>
        <w:t>a</w:t>
      </w:r>
      <w:r>
        <w:rPr>
          <w:spacing w:val="-5"/>
        </w:rPr>
        <w:t xml:space="preserve"> </w:t>
      </w:r>
      <w:r>
        <w:t>percentage</w:t>
      </w:r>
      <w:r>
        <w:rPr>
          <w:spacing w:val="-4"/>
        </w:rPr>
        <w:t xml:space="preserve"> </w:t>
      </w:r>
      <w:r>
        <w:t>of</w:t>
      </w:r>
      <w:r>
        <w:rPr>
          <w:spacing w:val="-6"/>
        </w:rPr>
        <w:t xml:space="preserve"> </w:t>
      </w:r>
      <w:r>
        <w:t>total</w:t>
      </w:r>
      <w:r>
        <w:rPr>
          <w:spacing w:val="-4"/>
        </w:rPr>
        <w:t xml:space="preserve"> </w:t>
      </w:r>
      <w:r>
        <w:t>site</w:t>
      </w:r>
      <w:r>
        <w:rPr>
          <w:spacing w:val="-5"/>
        </w:rPr>
        <w:t xml:space="preserve"> </w:t>
      </w:r>
      <w:r>
        <w:rPr>
          <w:spacing w:val="-4"/>
        </w:rPr>
        <w:t>usage</w:t>
      </w:r>
    </w:p>
    <w:p w:rsidR="00C31389" w:rsidRDefault="00561FBD" w14:paraId="357E41BB" w14:textId="77777777">
      <w:pPr>
        <w:pStyle w:val="ListParagraph"/>
        <w:numPr>
          <w:ilvl w:val="4"/>
          <w:numId w:val="71"/>
        </w:numPr>
        <w:tabs>
          <w:tab w:val="left" w:pos="1200"/>
        </w:tabs>
        <w:spacing w:before="118"/>
        <w:ind w:left="1200" w:right="1413"/>
      </w:pPr>
      <w:r>
        <w:t>Percentage</w:t>
      </w:r>
      <w:r>
        <w:rPr>
          <w:spacing w:val="-4"/>
        </w:rPr>
        <w:t xml:space="preserve"> </w:t>
      </w:r>
      <w:r>
        <w:t>of</w:t>
      </w:r>
      <w:r>
        <w:rPr>
          <w:spacing w:val="-4"/>
        </w:rPr>
        <w:t xml:space="preserve"> </w:t>
      </w:r>
      <w:r>
        <w:t>sites</w:t>
      </w:r>
      <w:r>
        <w:rPr>
          <w:spacing w:val="-4"/>
        </w:rPr>
        <w:t xml:space="preserve"> </w:t>
      </w:r>
      <w:r>
        <w:t>with</w:t>
      </w:r>
      <w:r>
        <w:rPr>
          <w:spacing w:val="-5"/>
        </w:rPr>
        <w:t xml:space="preserve"> </w:t>
      </w:r>
      <w:r>
        <w:t>equipment</w:t>
      </w:r>
      <w:r>
        <w:rPr>
          <w:spacing w:val="-4"/>
        </w:rPr>
        <w:t xml:space="preserve"> </w:t>
      </w:r>
      <w:r>
        <w:t>(technical</w:t>
      </w:r>
      <w:r>
        <w:rPr>
          <w:spacing w:val="-4"/>
        </w:rPr>
        <w:t xml:space="preserve"> </w:t>
      </w:r>
      <w:r>
        <w:t>applicability</w:t>
      </w:r>
      <w:r>
        <w:rPr>
          <w:spacing w:val="-4"/>
        </w:rPr>
        <w:t xml:space="preserve"> </w:t>
      </w:r>
      <w:r>
        <w:t>and</w:t>
      </w:r>
      <w:r>
        <w:rPr>
          <w:spacing w:val="-4"/>
        </w:rPr>
        <w:t xml:space="preserve"> </w:t>
      </w:r>
      <w:r>
        <w:t>suitability</w:t>
      </w:r>
      <w:r>
        <w:rPr>
          <w:spacing w:val="-4"/>
        </w:rPr>
        <w:t xml:space="preserve"> </w:t>
      </w:r>
      <w:r>
        <w:t>for</w:t>
      </w:r>
      <w:r>
        <w:rPr>
          <w:spacing w:val="-4"/>
        </w:rPr>
        <w:t xml:space="preserve"> </w:t>
      </w:r>
      <w:r>
        <w:t xml:space="preserve">the </w:t>
      </w:r>
      <w:r>
        <w:rPr>
          <w:spacing w:val="-2"/>
        </w:rPr>
        <w:t>technology)</w:t>
      </w:r>
    </w:p>
    <w:p w:rsidR="00C31389" w:rsidRDefault="00C31389" w14:paraId="47AC621A" w14:textId="77777777">
      <w:pPr>
        <w:pStyle w:val="BodyText"/>
        <w:spacing w:before="8"/>
        <w:rPr>
          <w:sz w:val="20"/>
        </w:rPr>
      </w:pPr>
    </w:p>
    <w:p w:rsidR="00C31389" w:rsidRDefault="00561FBD" w14:paraId="3B3C4EA5" w14:textId="77777777">
      <w:pPr>
        <w:pStyle w:val="BodyText"/>
        <w:spacing w:before="1"/>
        <w:ind w:left="480" w:right="628"/>
      </w:pPr>
      <w:r>
        <w:rPr>
          <w:b/>
        </w:rPr>
        <w:t xml:space="preserve">Costs. </w:t>
      </w:r>
      <w:r>
        <w:t>The Guidehouse team primarily used the CEDARS database to calculate the incremental cost per UES for technologies included in the industrial and agriculture analysis.</w:t>
      </w:r>
      <w:r>
        <w:rPr>
          <w:spacing w:val="-41"/>
        </w:rPr>
        <w:t xml:space="preserve"> </w:t>
      </w:r>
      <w:hyperlink w:history="1" w:anchor="_bookmark169">
        <w:r>
          <w:rPr>
            <w:position w:val="7"/>
            <w:sz w:val="14"/>
          </w:rPr>
          <w:t>56</w:t>
        </w:r>
      </w:hyperlink>
      <w:r>
        <w:rPr>
          <w:spacing w:val="40"/>
          <w:position w:val="7"/>
          <w:sz w:val="14"/>
        </w:rPr>
        <w:t xml:space="preserve"> </w:t>
      </w:r>
      <w:r>
        <w:t>The</w:t>
      </w:r>
      <w:r>
        <w:rPr>
          <w:spacing w:val="-3"/>
        </w:rPr>
        <w:t xml:space="preserve"> </w:t>
      </w:r>
      <w:r>
        <w:t>team</w:t>
      </w:r>
      <w:r>
        <w:rPr>
          <w:spacing w:val="-4"/>
        </w:rPr>
        <w:t xml:space="preserve"> </w:t>
      </w:r>
      <w:r>
        <w:t>aligned</w:t>
      </w:r>
      <w:r>
        <w:rPr>
          <w:spacing w:val="-3"/>
        </w:rPr>
        <w:t xml:space="preserve"> </w:t>
      </w:r>
      <w:r>
        <w:t>the</w:t>
      </w:r>
      <w:r>
        <w:rPr>
          <w:spacing w:val="-3"/>
        </w:rPr>
        <w:t xml:space="preserve"> </w:t>
      </w:r>
      <w:r>
        <w:t>costs</w:t>
      </w:r>
      <w:r>
        <w:rPr>
          <w:spacing w:val="-3"/>
        </w:rPr>
        <w:t xml:space="preserve"> </w:t>
      </w:r>
      <w:r>
        <w:t>to</w:t>
      </w:r>
      <w:r>
        <w:rPr>
          <w:spacing w:val="-3"/>
        </w:rPr>
        <w:t xml:space="preserve"> </w:t>
      </w:r>
      <w:r>
        <w:t>the</w:t>
      </w:r>
      <w:r>
        <w:rPr>
          <w:spacing w:val="-3"/>
        </w:rPr>
        <w:t xml:space="preserve"> </w:t>
      </w:r>
      <w:r>
        <w:t>more</w:t>
      </w:r>
      <w:r>
        <w:rPr>
          <w:spacing w:val="-3"/>
        </w:rPr>
        <w:t xml:space="preserve"> </w:t>
      </w:r>
      <w:r>
        <w:t>recent</w:t>
      </w:r>
      <w:r>
        <w:rPr>
          <w:spacing w:val="-3"/>
        </w:rPr>
        <w:t xml:space="preserve"> </w:t>
      </w:r>
      <w:r>
        <w:t>dataset</w:t>
      </w:r>
      <w:r>
        <w:rPr>
          <w:spacing w:val="-3"/>
        </w:rPr>
        <w:t xml:space="preserve"> </w:t>
      </w:r>
      <w:r>
        <w:t>because</w:t>
      </w:r>
      <w:r>
        <w:rPr>
          <w:spacing w:val="-3"/>
        </w:rPr>
        <w:t xml:space="preserve"> </w:t>
      </w:r>
      <w:r>
        <w:t>measure</w:t>
      </w:r>
      <w:r>
        <w:rPr>
          <w:spacing w:val="-3"/>
        </w:rPr>
        <w:t xml:space="preserve"> </w:t>
      </w:r>
      <w:r>
        <w:t>costs</w:t>
      </w:r>
      <w:r>
        <w:rPr>
          <w:spacing w:val="-4"/>
        </w:rPr>
        <w:t xml:space="preserve"> </w:t>
      </w:r>
      <w:r>
        <w:t>can</w:t>
      </w:r>
      <w:r>
        <w:rPr>
          <w:spacing w:val="-4"/>
        </w:rPr>
        <w:t xml:space="preserve"> </w:t>
      </w:r>
      <w:r>
        <w:t>be</w:t>
      </w:r>
      <w:r>
        <w:rPr>
          <w:spacing w:val="-3"/>
        </w:rPr>
        <w:t xml:space="preserve"> </w:t>
      </w:r>
      <w:r>
        <w:t>variable year-over-year</w:t>
      </w:r>
      <w:r>
        <w:rPr>
          <w:spacing w:val="-3"/>
        </w:rPr>
        <w:t xml:space="preserve"> </w:t>
      </w:r>
      <w:r>
        <w:t>and</w:t>
      </w:r>
      <w:r>
        <w:rPr>
          <w:spacing w:val="-3"/>
        </w:rPr>
        <w:t xml:space="preserve"> </w:t>
      </w:r>
      <w:r>
        <w:t>from</w:t>
      </w:r>
      <w:r>
        <w:rPr>
          <w:spacing w:val="-4"/>
        </w:rPr>
        <w:t xml:space="preserve"> </w:t>
      </w:r>
      <w:r>
        <w:t>project</w:t>
      </w:r>
      <w:r>
        <w:rPr>
          <w:spacing w:val="-3"/>
        </w:rPr>
        <w:t xml:space="preserve"> </w:t>
      </w:r>
      <w:r>
        <w:t>to</w:t>
      </w:r>
      <w:r>
        <w:rPr>
          <w:spacing w:val="-3"/>
        </w:rPr>
        <w:t xml:space="preserve"> </w:t>
      </w:r>
      <w:r>
        <w:t>project.</w:t>
      </w:r>
      <w:r>
        <w:rPr>
          <w:spacing w:val="-3"/>
        </w:rPr>
        <w:t xml:space="preserve"> </w:t>
      </w:r>
      <w:r>
        <w:t>The</w:t>
      </w:r>
      <w:r>
        <w:rPr>
          <w:spacing w:val="-4"/>
        </w:rPr>
        <w:t xml:space="preserve"> </w:t>
      </w:r>
      <w:r>
        <w:t>team</w:t>
      </w:r>
      <w:r>
        <w:rPr>
          <w:spacing w:val="-4"/>
        </w:rPr>
        <w:t xml:space="preserve"> </w:t>
      </w:r>
      <w:r>
        <w:t>multiplied</w:t>
      </w:r>
      <w:r>
        <w:rPr>
          <w:spacing w:val="-3"/>
        </w:rPr>
        <w:t xml:space="preserve"> </w:t>
      </w:r>
      <w:r>
        <w:t>the</w:t>
      </w:r>
      <w:r>
        <w:rPr>
          <w:spacing w:val="-3"/>
        </w:rPr>
        <w:t xml:space="preserve"> </w:t>
      </w:r>
      <w:r>
        <w:t>incremental</w:t>
      </w:r>
      <w:r>
        <w:rPr>
          <w:spacing w:val="-3"/>
        </w:rPr>
        <w:t xml:space="preserve"> </w:t>
      </w:r>
      <w:r>
        <w:t>cost</w:t>
      </w:r>
      <w:r>
        <w:rPr>
          <w:spacing w:val="-4"/>
        </w:rPr>
        <w:t xml:space="preserve"> </w:t>
      </w:r>
      <w:r>
        <w:t>per</w:t>
      </w:r>
      <w:r>
        <w:rPr>
          <w:spacing w:val="-3"/>
        </w:rPr>
        <w:t xml:space="preserve"> </w:t>
      </w:r>
      <w:r>
        <w:t>unit</w:t>
      </w:r>
      <w:r>
        <w:rPr>
          <w:spacing w:val="-3"/>
        </w:rPr>
        <w:t xml:space="preserve"> </w:t>
      </w:r>
      <w:r>
        <w:t xml:space="preserve">by the </w:t>
      </w:r>
      <w:r>
        <w:t>technology energy savings to estimate technology costs.</w:t>
      </w:r>
    </w:p>
    <w:p w:rsidR="00C31389" w:rsidRDefault="00C31389" w14:paraId="13A1E98F" w14:textId="77777777">
      <w:pPr>
        <w:pStyle w:val="BodyText"/>
        <w:spacing w:before="9"/>
        <w:rPr>
          <w:sz w:val="20"/>
        </w:rPr>
      </w:pPr>
    </w:p>
    <w:p w:rsidR="00C31389" w:rsidRDefault="00561FBD" w14:paraId="4589CFB7" w14:textId="77777777">
      <w:pPr>
        <w:pStyle w:val="BodyText"/>
        <w:ind w:left="480" w:right="533"/>
      </w:pPr>
      <w:r>
        <w:rPr>
          <w:b/>
        </w:rPr>
        <w:t>EUL</w:t>
      </w:r>
      <w:r>
        <w:rPr>
          <w:b/>
          <w:spacing w:val="-3"/>
        </w:rPr>
        <w:t xml:space="preserve"> </w:t>
      </w:r>
      <w:r>
        <w:rPr>
          <w:b/>
        </w:rPr>
        <w:t>and</w:t>
      </w:r>
      <w:r>
        <w:rPr>
          <w:b/>
          <w:spacing w:val="-3"/>
        </w:rPr>
        <w:t xml:space="preserve"> </w:t>
      </w:r>
      <w:r>
        <w:rPr>
          <w:b/>
        </w:rPr>
        <w:t>NTG.</w:t>
      </w:r>
      <w:r>
        <w:rPr>
          <w:b/>
          <w:spacing w:val="-3"/>
        </w:rPr>
        <w:t xml:space="preserve"> </w:t>
      </w:r>
      <w:r>
        <w:t>The</w:t>
      </w:r>
      <w:r>
        <w:rPr>
          <w:spacing w:val="-3"/>
        </w:rPr>
        <w:t xml:space="preserve"> </w:t>
      </w:r>
      <w:r>
        <w:t>Guidehouse</w:t>
      </w:r>
      <w:r>
        <w:rPr>
          <w:spacing w:val="-3"/>
        </w:rPr>
        <w:t xml:space="preserve"> </w:t>
      </w:r>
      <w:r>
        <w:t>team</w:t>
      </w:r>
      <w:r>
        <w:rPr>
          <w:spacing w:val="-4"/>
        </w:rPr>
        <w:t xml:space="preserve"> </w:t>
      </w:r>
      <w:r>
        <w:t>used</w:t>
      </w:r>
      <w:r>
        <w:rPr>
          <w:spacing w:val="-3"/>
        </w:rPr>
        <w:t xml:space="preserve"> </w:t>
      </w:r>
      <w:r>
        <w:t>the</w:t>
      </w:r>
      <w:r>
        <w:rPr>
          <w:spacing w:val="-3"/>
        </w:rPr>
        <w:t xml:space="preserve"> </w:t>
      </w:r>
      <w:r>
        <w:t>CEDARS</w:t>
      </w:r>
      <w:r>
        <w:rPr>
          <w:spacing w:val="-3"/>
        </w:rPr>
        <w:t xml:space="preserve"> </w:t>
      </w:r>
      <w:r>
        <w:t>database</w:t>
      </w:r>
      <w:r>
        <w:rPr>
          <w:spacing w:val="-3"/>
        </w:rPr>
        <w:t xml:space="preserve"> </w:t>
      </w:r>
      <w:r>
        <w:t>to</w:t>
      </w:r>
      <w:r>
        <w:rPr>
          <w:spacing w:val="-3"/>
        </w:rPr>
        <w:t xml:space="preserve"> </w:t>
      </w:r>
      <w:r>
        <w:t>calculate</w:t>
      </w:r>
      <w:r>
        <w:rPr>
          <w:spacing w:val="-3"/>
        </w:rPr>
        <w:t xml:space="preserve"> </w:t>
      </w:r>
      <w:r>
        <w:t>the</w:t>
      </w:r>
      <w:r>
        <w:rPr>
          <w:spacing w:val="-3"/>
        </w:rPr>
        <w:t xml:space="preserve"> </w:t>
      </w:r>
      <w:r>
        <w:t>EUL</w:t>
      </w:r>
      <w:r>
        <w:rPr>
          <w:spacing w:val="-3"/>
        </w:rPr>
        <w:t xml:space="preserve"> </w:t>
      </w:r>
      <w:r>
        <w:t>(some measures relied on the DEER EUL estimates) and NTG ratios for all technologies included in the industrial technolo</w:t>
      </w:r>
      <w:r>
        <w:t>gy list. The team compared this calculation across industrial and agriculture findings and the 2021 Study. Adjustments were made as necessary.</w:t>
      </w:r>
    </w:p>
    <w:p w:rsidR="00C31389" w:rsidRDefault="00C31389" w14:paraId="52F2853B" w14:textId="77777777">
      <w:pPr>
        <w:pStyle w:val="BodyText"/>
        <w:spacing w:before="10"/>
        <w:rPr>
          <w:sz w:val="20"/>
        </w:rPr>
      </w:pPr>
    </w:p>
    <w:p w:rsidR="00C31389" w:rsidRDefault="00561FBD" w14:paraId="3CEE1BE6" w14:textId="77777777">
      <w:pPr>
        <w:pStyle w:val="BodyText"/>
        <w:ind w:left="480" w:right="533"/>
      </w:pPr>
      <w:r>
        <w:rPr>
          <w:b/>
        </w:rPr>
        <w:t xml:space="preserve">Saturations and Densities. </w:t>
      </w:r>
      <w:r>
        <w:t>Technology characterization requires data on the saturation of efficient</w:t>
      </w:r>
      <w:r>
        <w:rPr>
          <w:spacing w:val="-3"/>
        </w:rPr>
        <w:t xml:space="preserve"> </w:t>
      </w:r>
      <w:r>
        <w:t>technologies</w:t>
      </w:r>
      <w:r>
        <w:rPr>
          <w:spacing w:val="-3"/>
        </w:rPr>
        <w:t xml:space="preserve"> </w:t>
      </w:r>
      <w:r>
        <w:t>existing</w:t>
      </w:r>
      <w:r>
        <w:rPr>
          <w:spacing w:val="-4"/>
        </w:rPr>
        <w:t xml:space="preserve"> </w:t>
      </w:r>
      <w:r>
        <w:t>in</w:t>
      </w:r>
      <w:r>
        <w:rPr>
          <w:spacing w:val="-3"/>
        </w:rPr>
        <w:t xml:space="preserve"> </w:t>
      </w:r>
      <w:r>
        <w:t>the</w:t>
      </w:r>
      <w:r>
        <w:rPr>
          <w:spacing w:val="-4"/>
        </w:rPr>
        <w:t xml:space="preserve"> </w:t>
      </w:r>
      <w:r>
        <w:t>marketplace.</w:t>
      </w:r>
      <w:r>
        <w:rPr>
          <w:spacing w:val="-3"/>
        </w:rPr>
        <w:t xml:space="preserve"> </w:t>
      </w:r>
      <w:r>
        <w:t>The</w:t>
      </w:r>
      <w:r>
        <w:rPr>
          <w:spacing w:val="-3"/>
        </w:rPr>
        <w:t xml:space="preserve"> </w:t>
      </w:r>
      <w:r>
        <w:t>saturation</w:t>
      </w:r>
      <w:r>
        <w:rPr>
          <w:spacing w:val="-3"/>
        </w:rPr>
        <w:t xml:space="preserve"> </w:t>
      </w:r>
      <w:r>
        <w:t>data</w:t>
      </w:r>
      <w:r>
        <w:rPr>
          <w:spacing w:val="-3"/>
        </w:rPr>
        <w:t xml:space="preserve"> </w:t>
      </w:r>
      <w:r>
        <w:t>provides</w:t>
      </w:r>
      <w:r>
        <w:rPr>
          <w:spacing w:val="-3"/>
        </w:rPr>
        <w:t xml:space="preserve"> </w:t>
      </w:r>
      <w:r>
        <w:t>a</w:t>
      </w:r>
      <w:r>
        <w:rPr>
          <w:spacing w:val="-4"/>
        </w:rPr>
        <w:t xml:space="preserve"> </w:t>
      </w:r>
      <w:r>
        <w:t>clearer</w:t>
      </w:r>
      <w:r>
        <w:rPr>
          <w:spacing w:val="-3"/>
        </w:rPr>
        <w:t xml:space="preserve"> </w:t>
      </w:r>
      <w:r>
        <w:t>picture</w:t>
      </w:r>
    </w:p>
    <w:p w:rsidR="00C31389" w:rsidRDefault="00561FBD" w14:paraId="15B11CE0" w14:textId="77777777">
      <w:pPr>
        <w:pStyle w:val="BodyText"/>
        <w:rPr>
          <w:sz w:val="16"/>
        </w:rPr>
      </w:pPr>
      <w:r>
        <w:rPr>
          <w:noProof/>
        </w:rPr>
        <mc:AlternateContent>
          <mc:Choice Requires="wps">
            <w:drawing>
              <wp:anchor distT="0" distB="0" distL="0" distR="0" simplePos="0" relativeHeight="487649792" behindDoc="1" locked="0" layoutInCell="1" allowOverlap="1" wp14:editId="4787E08C" wp14:anchorId="22057C8D">
                <wp:simplePos x="0" y="0"/>
                <wp:positionH relativeFrom="page">
                  <wp:posOffset>914400</wp:posOffset>
                </wp:positionH>
                <wp:positionV relativeFrom="paragraph">
                  <wp:posOffset>132276</wp:posOffset>
                </wp:positionV>
                <wp:extent cx="1828800" cy="6985"/>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90" style="position:absolute;margin-left:1in;margin-top:10.4pt;width:2in;height:.55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" w14:anchorId="3A99FFC9">
                <v:path arrowok="t"/>
                <w10:wrap type="topAndBottom" anchorx="page"/>
              </v:shape>
            </w:pict>
          </mc:Fallback>
        </mc:AlternateContent>
      </w:r>
    </w:p>
    <w:p w:rsidR="00C31389" w:rsidRDefault="00561FBD" w14:paraId="46AD7A71" w14:textId="77777777">
      <w:pPr>
        <w:spacing w:before="88"/>
        <w:ind w:left="479"/>
        <w:rPr>
          <w:sz w:val="18"/>
        </w:rPr>
      </w:pPr>
      <w:bookmarkStart w:name="_bookmark167" w:id="224"/>
      <w:bookmarkEnd w:id="224"/>
      <w:r>
        <w:rPr>
          <w:position w:val="6"/>
          <w:sz w:val="12"/>
        </w:rPr>
        <w:t>54</w:t>
      </w:r>
      <w:r>
        <w:rPr>
          <w:spacing w:val="14"/>
          <w:position w:val="6"/>
          <w:sz w:val="12"/>
        </w:rPr>
        <w:t xml:space="preserve"> </w:t>
      </w:r>
      <w:r>
        <w:rPr>
          <w:sz w:val="18"/>
        </w:rPr>
        <w:t>The</w:t>
      </w:r>
      <w:r>
        <w:rPr>
          <w:spacing w:val="-4"/>
          <w:sz w:val="18"/>
        </w:rPr>
        <w:t xml:space="preserve"> </w:t>
      </w:r>
      <w:r>
        <w:rPr>
          <w:sz w:val="18"/>
        </w:rPr>
        <w:t>IAC</w:t>
      </w:r>
      <w:r>
        <w:rPr>
          <w:spacing w:val="-3"/>
          <w:sz w:val="18"/>
        </w:rPr>
        <w:t xml:space="preserve"> </w:t>
      </w:r>
      <w:r>
        <w:rPr>
          <w:sz w:val="18"/>
        </w:rPr>
        <w:t>recommendations</w:t>
      </w:r>
      <w:r>
        <w:rPr>
          <w:spacing w:val="-3"/>
          <w:sz w:val="18"/>
        </w:rPr>
        <w:t xml:space="preserve"> </w:t>
      </w:r>
      <w:r>
        <w:rPr>
          <w:sz w:val="18"/>
        </w:rPr>
        <w:t>cover</w:t>
      </w:r>
      <w:r>
        <w:rPr>
          <w:spacing w:val="-3"/>
          <w:sz w:val="18"/>
        </w:rPr>
        <w:t xml:space="preserve"> </w:t>
      </w:r>
      <w:r>
        <w:rPr>
          <w:sz w:val="18"/>
        </w:rPr>
        <w:t>upgrades</w:t>
      </w:r>
      <w:r>
        <w:rPr>
          <w:spacing w:val="-2"/>
          <w:sz w:val="18"/>
        </w:rPr>
        <w:t xml:space="preserve"> </w:t>
      </w:r>
      <w:r>
        <w:rPr>
          <w:sz w:val="18"/>
        </w:rPr>
        <w:t>to</w:t>
      </w:r>
      <w:r>
        <w:rPr>
          <w:spacing w:val="-4"/>
          <w:sz w:val="18"/>
        </w:rPr>
        <w:t xml:space="preserve"> </w:t>
      </w:r>
      <w:r>
        <w:rPr>
          <w:sz w:val="18"/>
        </w:rPr>
        <w:t>inefficient</w:t>
      </w:r>
      <w:r>
        <w:rPr>
          <w:spacing w:val="-3"/>
          <w:sz w:val="18"/>
        </w:rPr>
        <w:t xml:space="preserve"> </w:t>
      </w:r>
      <w:r>
        <w:rPr>
          <w:sz w:val="18"/>
        </w:rPr>
        <w:t>equipment,</w:t>
      </w:r>
      <w:r>
        <w:rPr>
          <w:spacing w:val="-3"/>
          <w:sz w:val="18"/>
        </w:rPr>
        <w:t xml:space="preserve"> </w:t>
      </w:r>
      <w:r>
        <w:rPr>
          <w:sz w:val="18"/>
        </w:rPr>
        <w:t>the</w:t>
      </w:r>
      <w:r>
        <w:rPr>
          <w:spacing w:val="-4"/>
          <w:sz w:val="18"/>
        </w:rPr>
        <w:t xml:space="preserve"> </w:t>
      </w:r>
      <w:r>
        <w:rPr>
          <w:sz w:val="18"/>
        </w:rPr>
        <w:t>addition</w:t>
      </w:r>
      <w:r>
        <w:rPr>
          <w:spacing w:val="-4"/>
          <w:sz w:val="18"/>
        </w:rPr>
        <w:t xml:space="preserve"> </w:t>
      </w:r>
      <w:r>
        <w:rPr>
          <w:sz w:val="18"/>
        </w:rPr>
        <w:t>of</w:t>
      </w:r>
      <w:r>
        <w:rPr>
          <w:spacing w:val="-3"/>
          <w:sz w:val="18"/>
        </w:rPr>
        <w:t xml:space="preserve"> </w:t>
      </w:r>
      <w:r>
        <w:rPr>
          <w:sz w:val="18"/>
        </w:rPr>
        <w:t>energy-reducing</w:t>
      </w:r>
      <w:r>
        <w:rPr>
          <w:spacing w:val="-4"/>
          <w:sz w:val="18"/>
        </w:rPr>
        <w:t xml:space="preserve"> </w:t>
      </w:r>
      <w:r>
        <w:rPr>
          <w:sz w:val="18"/>
        </w:rPr>
        <w:t>technologies</w:t>
      </w:r>
      <w:r>
        <w:rPr>
          <w:spacing w:val="-3"/>
          <w:sz w:val="18"/>
        </w:rPr>
        <w:t xml:space="preserve"> </w:t>
      </w:r>
      <w:r>
        <w:rPr>
          <w:sz w:val="18"/>
        </w:rPr>
        <w:t xml:space="preserve">to existing equipment, and improvements to industrial </w:t>
      </w:r>
      <w:r>
        <w:rPr>
          <w:sz w:val="18"/>
        </w:rPr>
        <w:t>processes through controls.</w:t>
      </w:r>
    </w:p>
    <w:p w:rsidR="00C31389" w:rsidRDefault="00561FBD" w14:paraId="083F1C51" w14:textId="77777777">
      <w:pPr>
        <w:spacing w:before="35"/>
        <w:ind w:left="479" w:right="607"/>
        <w:rPr>
          <w:sz w:val="18"/>
        </w:rPr>
      </w:pPr>
      <w:bookmarkStart w:name="_bookmark168" w:id="225"/>
      <w:bookmarkEnd w:id="225"/>
      <w:r>
        <w:rPr>
          <w:position w:val="6"/>
          <w:sz w:val="12"/>
        </w:rPr>
        <w:t>55</w:t>
      </w:r>
      <w:r>
        <w:rPr>
          <w:spacing w:val="21"/>
          <w:position w:val="6"/>
          <w:sz w:val="12"/>
        </w:rPr>
        <w:t xml:space="preserve"> </w:t>
      </w:r>
      <w:r>
        <w:rPr>
          <w:sz w:val="18"/>
        </w:rPr>
        <w:t>The final percentages of savings by building type are a nationwide value. The IAC data does not contain enough assessment</w:t>
      </w:r>
      <w:r>
        <w:rPr>
          <w:spacing w:val="-1"/>
          <w:sz w:val="18"/>
        </w:rPr>
        <w:t xml:space="preserve"> </w:t>
      </w:r>
      <w:r>
        <w:rPr>
          <w:sz w:val="18"/>
        </w:rPr>
        <w:t>data</w:t>
      </w:r>
      <w:r>
        <w:rPr>
          <w:spacing w:val="-2"/>
          <w:sz w:val="18"/>
        </w:rPr>
        <w:t xml:space="preserve"> </w:t>
      </w:r>
      <w:r>
        <w:rPr>
          <w:sz w:val="18"/>
        </w:rPr>
        <w:t>points</w:t>
      </w:r>
      <w:r>
        <w:rPr>
          <w:spacing w:val="-1"/>
          <w:sz w:val="18"/>
        </w:rPr>
        <w:t xml:space="preserve"> </w:t>
      </w:r>
      <w:r>
        <w:rPr>
          <w:sz w:val="18"/>
        </w:rPr>
        <w:t>to</w:t>
      </w:r>
      <w:r>
        <w:rPr>
          <w:spacing w:val="-2"/>
          <w:sz w:val="18"/>
        </w:rPr>
        <w:t xml:space="preserve"> </w:t>
      </w:r>
      <w:r>
        <w:rPr>
          <w:sz w:val="18"/>
        </w:rPr>
        <w:t>calculate</w:t>
      </w:r>
      <w:r>
        <w:rPr>
          <w:spacing w:val="-2"/>
          <w:sz w:val="18"/>
        </w:rPr>
        <w:t xml:space="preserve"> </w:t>
      </w:r>
      <w:r>
        <w:rPr>
          <w:sz w:val="18"/>
        </w:rPr>
        <w:t>these</w:t>
      </w:r>
      <w:r>
        <w:rPr>
          <w:spacing w:val="-2"/>
          <w:sz w:val="18"/>
        </w:rPr>
        <w:t xml:space="preserve"> </w:t>
      </w:r>
      <w:r>
        <w:rPr>
          <w:sz w:val="18"/>
        </w:rPr>
        <w:t>values</w:t>
      </w:r>
      <w:r>
        <w:rPr>
          <w:spacing w:val="-1"/>
          <w:sz w:val="18"/>
        </w:rPr>
        <w:t xml:space="preserve"> </w:t>
      </w:r>
      <w:r>
        <w:rPr>
          <w:sz w:val="18"/>
        </w:rPr>
        <w:t>on</w:t>
      </w:r>
      <w:r>
        <w:rPr>
          <w:spacing w:val="-2"/>
          <w:sz w:val="18"/>
        </w:rPr>
        <w:t xml:space="preserve"> </w:t>
      </w:r>
      <w:r>
        <w:rPr>
          <w:sz w:val="18"/>
        </w:rPr>
        <w:t>a</w:t>
      </w:r>
      <w:r>
        <w:rPr>
          <w:spacing w:val="-2"/>
          <w:sz w:val="18"/>
        </w:rPr>
        <w:t xml:space="preserve"> </w:t>
      </w:r>
      <w:r>
        <w:rPr>
          <w:sz w:val="18"/>
        </w:rPr>
        <w:t>state</w:t>
      </w:r>
      <w:r>
        <w:rPr>
          <w:spacing w:val="-2"/>
          <w:sz w:val="18"/>
        </w:rPr>
        <w:t xml:space="preserve"> </w:t>
      </w:r>
      <w:r>
        <w:rPr>
          <w:sz w:val="18"/>
        </w:rPr>
        <w:t>or</w:t>
      </w:r>
      <w:r>
        <w:rPr>
          <w:spacing w:val="-1"/>
          <w:sz w:val="18"/>
        </w:rPr>
        <w:t xml:space="preserve"> </w:t>
      </w:r>
      <w:r>
        <w:rPr>
          <w:sz w:val="18"/>
        </w:rPr>
        <w:t>region</w:t>
      </w:r>
      <w:r>
        <w:rPr>
          <w:spacing w:val="-2"/>
          <w:sz w:val="18"/>
        </w:rPr>
        <w:t xml:space="preserve"> </w:t>
      </w:r>
      <w:r>
        <w:rPr>
          <w:sz w:val="18"/>
        </w:rPr>
        <w:t>level with</w:t>
      </w:r>
      <w:r>
        <w:rPr>
          <w:spacing w:val="-2"/>
          <w:sz w:val="18"/>
        </w:rPr>
        <w:t xml:space="preserve"> </w:t>
      </w:r>
      <w:r>
        <w:rPr>
          <w:sz w:val="18"/>
        </w:rPr>
        <w:t>any</w:t>
      </w:r>
      <w:r>
        <w:rPr>
          <w:spacing w:val="-1"/>
          <w:sz w:val="18"/>
        </w:rPr>
        <w:t xml:space="preserve"> </w:t>
      </w:r>
      <w:r>
        <w:rPr>
          <w:sz w:val="18"/>
        </w:rPr>
        <w:t>degree</w:t>
      </w:r>
      <w:r>
        <w:rPr>
          <w:spacing w:val="-2"/>
          <w:sz w:val="18"/>
        </w:rPr>
        <w:t xml:space="preserve"> </w:t>
      </w:r>
      <w:r>
        <w:rPr>
          <w:sz w:val="18"/>
        </w:rPr>
        <w:t>of</w:t>
      </w:r>
      <w:r>
        <w:rPr>
          <w:spacing w:val="-1"/>
          <w:sz w:val="18"/>
        </w:rPr>
        <w:t xml:space="preserve"> </w:t>
      </w:r>
      <w:r>
        <w:rPr>
          <w:sz w:val="18"/>
        </w:rPr>
        <w:t>statistical</w:t>
      </w:r>
      <w:r>
        <w:rPr>
          <w:spacing w:val="-1"/>
          <w:sz w:val="18"/>
        </w:rPr>
        <w:t xml:space="preserve"> </w:t>
      </w:r>
      <w:r>
        <w:rPr>
          <w:sz w:val="18"/>
        </w:rPr>
        <w:t>confidence. Further,</w:t>
      </w:r>
      <w:r>
        <w:rPr>
          <w:spacing w:val="-3"/>
          <w:sz w:val="18"/>
        </w:rPr>
        <w:t xml:space="preserve"> </w:t>
      </w:r>
      <w:r>
        <w:rPr>
          <w:sz w:val="18"/>
        </w:rPr>
        <w:t>the</w:t>
      </w:r>
      <w:r>
        <w:rPr>
          <w:spacing w:val="-4"/>
          <w:sz w:val="18"/>
        </w:rPr>
        <w:t xml:space="preserve"> </w:t>
      </w:r>
      <w:r>
        <w:rPr>
          <w:sz w:val="18"/>
        </w:rPr>
        <w:t>Guidehouse</w:t>
      </w:r>
      <w:r>
        <w:rPr>
          <w:spacing w:val="-4"/>
          <w:sz w:val="18"/>
        </w:rPr>
        <w:t xml:space="preserve"> </w:t>
      </w:r>
      <w:r>
        <w:rPr>
          <w:sz w:val="18"/>
        </w:rPr>
        <w:t>team’s</w:t>
      </w:r>
      <w:r>
        <w:rPr>
          <w:spacing w:val="-3"/>
          <w:sz w:val="18"/>
        </w:rPr>
        <w:t xml:space="preserve"> </w:t>
      </w:r>
      <w:r>
        <w:rPr>
          <w:sz w:val="18"/>
        </w:rPr>
        <w:t>vetting</w:t>
      </w:r>
      <w:r>
        <w:rPr>
          <w:spacing w:val="-4"/>
          <w:sz w:val="18"/>
        </w:rPr>
        <w:t xml:space="preserve"> </w:t>
      </w:r>
      <w:r>
        <w:rPr>
          <w:sz w:val="18"/>
        </w:rPr>
        <w:t>of</w:t>
      </w:r>
      <w:r>
        <w:rPr>
          <w:spacing w:val="-3"/>
          <w:sz w:val="18"/>
        </w:rPr>
        <w:t xml:space="preserve"> </w:t>
      </w:r>
      <w:r>
        <w:rPr>
          <w:sz w:val="18"/>
        </w:rPr>
        <w:t>IAC</w:t>
      </w:r>
      <w:r>
        <w:rPr>
          <w:spacing w:val="-3"/>
          <w:sz w:val="18"/>
        </w:rPr>
        <w:t xml:space="preserve"> </w:t>
      </w:r>
      <w:r>
        <w:rPr>
          <w:sz w:val="18"/>
        </w:rPr>
        <w:t>data</w:t>
      </w:r>
      <w:r>
        <w:rPr>
          <w:spacing w:val="-4"/>
          <w:sz w:val="18"/>
        </w:rPr>
        <w:t xml:space="preserve"> </w:t>
      </w:r>
      <w:r>
        <w:rPr>
          <w:sz w:val="18"/>
        </w:rPr>
        <w:t>during</w:t>
      </w:r>
      <w:r>
        <w:rPr>
          <w:spacing w:val="-4"/>
          <w:sz w:val="18"/>
        </w:rPr>
        <w:t xml:space="preserve"> </w:t>
      </w:r>
      <w:r>
        <w:rPr>
          <w:sz w:val="18"/>
        </w:rPr>
        <w:t>previous</w:t>
      </w:r>
      <w:r>
        <w:rPr>
          <w:spacing w:val="-3"/>
          <w:sz w:val="18"/>
        </w:rPr>
        <w:t xml:space="preserve"> </w:t>
      </w:r>
      <w:r>
        <w:rPr>
          <w:sz w:val="18"/>
        </w:rPr>
        <w:t>potential</w:t>
      </w:r>
      <w:r>
        <w:rPr>
          <w:spacing w:val="-3"/>
          <w:sz w:val="18"/>
        </w:rPr>
        <w:t xml:space="preserve"> </w:t>
      </w:r>
      <w:r>
        <w:rPr>
          <w:sz w:val="18"/>
        </w:rPr>
        <w:t>and</w:t>
      </w:r>
      <w:r>
        <w:rPr>
          <w:spacing w:val="-4"/>
          <w:sz w:val="18"/>
        </w:rPr>
        <w:t xml:space="preserve"> </w:t>
      </w:r>
      <w:r>
        <w:rPr>
          <w:sz w:val="18"/>
        </w:rPr>
        <w:t>goals</w:t>
      </w:r>
      <w:r>
        <w:rPr>
          <w:spacing w:val="-3"/>
          <w:sz w:val="18"/>
        </w:rPr>
        <w:t xml:space="preserve"> </w:t>
      </w:r>
      <w:r>
        <w:rPr>
          <w:sz w:val="18"/>
        </w:rPr>
        <w:t>study</w:t>
      </w:r>
      <w:r>
        <w:rPr>
          <w:spacing w:val="-3"/>
          <w:sz w:val="18"/>
        </w:rPr>
        <w:t xml:space="preserve"> </w:t>
      </w:r>
      <w:r>
        <w:rPr>
          <w:sz w:val="18"/>
        </w:rPr>
        <w:t>efforts</w:t>
      </w:r>
      <w:r>
        <w:rPr>
          <w:spacing w:val="-3"/>
          <w:sz w:val="18"/>
        </w:rPr>
        <w:t xml:space="preserve"> </w:t>
      </w:r>
      <w:r>
        <w:rPr>
          <w:sz w:val="18"/>
        </w:rPr>
        <w:t>determined</w:t>
      </w:r>
      <w:r>
        <w:rPr>
          <w:spacing w:val="-4"/>
          <w:sz w:val="18"/>
        </w:rPr>
        <w:t xml:space="preserve"> </w:t>
      </w:r>
      <w:r>
        <w:rPr>
          <w:sz w:val="18"/>
        </w:rPr>
        <w:t>that national-level IAC data is representative of California industrial sector activities.</w:t>
      </w:r>
    </w:p>
    <w:p w:rsidR="00C31389" w:rsidRDefault="00561FBD" w14:paraId="782E0C0A" w14:textId="77777777">
      <w:pPr>
        <w:spacing w:before="36"/>
        <w:ind w:left="479" w:right="533"/>
        <w:rPr>
          <w:sz w:val="18"/>
        </w:rPr>
      </w:pPr>
      <w:bookmarkStart w:name="_bookmark169" w:id="226"/>
      <w:bookmarkEnd w:id="226"/>
      <w:r>
        <w:rPr>
          <w:position w:val="6"/>
          <w:sz w:val="12"/>
        </w:rPr>
        <w:t>56</w:t>
      </w:r>
      <w:r>
        <w:rPr>
          <w:spacing w:val="15"/>
          <w:position w:val="6"/>
          <w:sz w:val="12"/>
        </w:rPr>
        <w:t xml:space="preserve"> </w:t>
      </w:r>
      <w:r>
        <w:rPr>
          <w:sz w:val="18"/>
        </w:rPr>
        <w:t>The</w:t>
      </w:r>
      <w:r>
        <w:rPr>
          <w:spacing w:val="-3"/>
          <w:sz w:val="18"/>
        </w:rPr>
        <w:t xml:space="preserve"> </w:t>
      </w:r>
      <w:r>
        <w:rPr>
          <w:sz w:val="18"/>
        </w:rPr>
        <w:t>costs</w:t>
      </w:r>
      <w:r>
        <w:rPr>
          <w:spacing w:val="-2"/>
          <w:sz w:val="18"/>
        </w:rPr>
        <w:t xml:space="preserve"> </w:t>
      </w:r>
      <w:r>
        <w:rPr>
          <w:sz w:val="18"/>
        </w:rPr>
        <w:t>include</w:t>
      </w:r>
      <w:r>
        <w:rPr>
          <w:spacing w:val="-3"/>
          <w:sz w:val="18"/>
        </w:rPr>
        <w:t xml:space="preserve"> </w:t>
      </w:r>
      <w:r>
        <w:rPr>
          <w:sz w:val="18"/>
        </w:rPr>
        <w:t>labor</w:t>
      </w:r>
      <w:r>
        <w:rPr>
          <w:spacing w:val="-2"/>
          <w:sz w:val="18"/>
        </w:rPr>
        <w:t xml:space="preserve"> </w:t>
      </w:r>
      <w:r>
        <w:rPr>
          <w:sz w:val="18"/>
        </w:rPr>
        <w:t>to</w:t>
      </w:r>
      <w:r>
        <w:rPr>
          <w:spacing w:val="-3"/>
          <w:sz w:val="18"/>
        </w:rPr>
        <w:t xml:space="preserve"> </w:t>
      </w:r>
      <w:r>
        <w:rPr>
          <w:sz w:val="18"/>
        </w:rPr>
        <w:t>represent</w:t>
      </w:r>
      <w:r>
        <w:rPr>
          <w:spacing w:val="-2"/>
          <w:sz w:val="18"/>
        </w:rPr>
        <w:t xml:space="preserve"> </w:t>
      </w:r>
      <w:r>
        <w:rPr>
          <w:sz w:val="18"/>
        </w:rPr>
        <w:t>the</w:t>
      </w:r>
      <w:r>
        <w:rPr>
          <w:spacing w:val="-3"/>
          <w:sz w:val="18"/>
        </w:rPr>
        <w:t xml:space="preserve"> </w:t>
      </w:r>
      <w:r>
        <w:rPr>
          <w:sz w:val="18"/>
        </w:rPr>
        <w:t>full</w:t>
      </w:r>
      <w:r>
        <w:rPr>
          <w:spacing w:val="-1"/>
          <w:sz w:val="18"/>
        </w:rPr>
        <w:t xml:space="preserve"> </w:t>
      </w:r>
      <w:r>
        <w:rPr>
          <w:sz w:val="18"/>
        </w:rPr>
        <w:t>incremental</w:t>
      </w:r>
      <w:r>
        <w:rPr>
          <w:spacing w:val="-2"/>
          <w:sz w:val="18"/>
        </w:rPr>
        <w:t xml:space="preserve"> </w:t>
      </w:r>
      <w:r>
        <w:rPr>
          <w:sz w:val="18"/>
        </w:rPr>
        <w:t>cost</w:t>
      </w:r>
      <w:r>
        <w:rPr>
          <w:spacing w:val="-2"/>
          <w:sz w:val="18"/>
        </w:rPr>
        <w:t xml:space="preserve"> </w:t>
      </w:r>
      <w:r>
        <w:rPr>
          <w:sz w:val="18"/>
        </w:rPr>
        <w:t>of</w:t>
      </w:r>
      <w:r>
        <w:rPr>
          <w:spacing w:val="-2"/>
          <w:sz w:val="18"/>
        </w:rPr>
        <w:t xml:space="preserve"> </w:t>
      </w:r>
      <w:r>
        <w:rPr>
          <w:sz w:val="18"/>
        </w:rPr>
        <w:t>implementation.</w:t>
      </w:r>
      <w:r>
        <w:rPr>
          <w:spacing w:val="-2"/>
          <w:sz w:val="18"/>
        </w:rPr>
        <w:t xml:space="preserve"> </w:t>
      </w:r>
      <w:r>
        <w:rPr>
          <w:sz w:val="18"/>
        </w:rPr>
        <w:t>The</w:t>
      </w:r>
      <w:r>
        <w:rPr>
          <w:spacing w:val="-3"/>
          <w:sz w:val="18"/>
        </w:rPr>
        <w:t xml:space="preserve"> </w:t>
      </w:r>
      <w:r>
        <w:rPr>
          <w:sz w:val="18"/>
        </w:rPr>
        <w:t>lighting</w:t>
      </w:r>
      <w:r>
        <w:rPr>
          <w:spacing w:val="-3"/>
          <w:sz w:val="18"/>
        </w:rPr>
        <w:t xml:space="preserve"> </w:t>
      </w:r>
      <w:r>
        <w:rPr>
          <w:sz w:val="18"/>
        </w:rPr>
        <w:t>end</w:t>
      </w:r>
      <w:r>
        <w:rPr>
          <w:spacing w:val="-3"/>
          <w:sz w:val="18"/>
        </w:rPr>
        <w:t xml:space="preserve"> </w:t>
      </w:r>
      <w:r>
        <w:rPr>
          <w:sz w:val="18"/>
        </w:rPr>
        <w:t>use</w:t>
      </w:r>
      <w:r>
        <w:rPr>
          <w:spacing w:val="-3"/>
          <w:sz w:val="18"/>
        </w:rPr>
        <w:t xml:space="preserve"> </w:t>
      </w:r>
      <w:r>
        <w:rPr>
          <w:sz w:val="18"/>
        </w:rPr>
        <w:t>relied</w:t>
      </w:r>
      <w:r>
        <w:rPr>
          <w:spacing w:val="-3"/>
          <w:sz w:val="18"/>
        </w:rPr>
        <w:t xml:space="preserve"> </w:t>
      </w:r>
      <w:r>
        <w:rPr>
          <w:sz w:val="18"/>
        </w:rPr>
        <w:t>on</w:t>
      </w:r>
      <w:r>
        <w:rPr>
          <w:spacing w:val="-3"/>
          <w:sz w:val="18"/>
        </w:rPr>
        <w:t xml:space="preserve"> </w:t>
      </w:r>
      <w:r>
        <w:rPr>
          <w:sz w:val="18"/>
        </w:rPr>
        <w:t>cost per kWh consumed rather than cost per kWh saved because the team relied on commercial data for the industrial lighting end use measures.</w:t>
      </w:r>
    </w:p>
    <w:p w:rsidR="00C31389" w:rsidRDefault="00C31389" w14:paraId="1990D9D1" w14:textId="77777777">
      <w:pPr>
        <w:rPr>
          <w:sz w:val="18"/>
        </w:rPr>
        <w:sectPr w:rsidR="00C31389">
          <w:pgSz w:w="12240" w:h="15840"/>
          <w:pgMar w:top="1660" w:right="960" w:bottom="1120" w:left="960" w:header="397" w:footer="936" w:gutter="0"/>
          <w:cols w:space="720"/>
        </w:sectPr>
      </w:pPr>
    </w:p>
    <w:p w:rsidR="00C31389" w:rsidRDefault="00C31389" w14:paraId="6500D5E7" w14:textId="77777777">
      <w:pPr>
        <w:pStyle w:val="BodyText"/>
        <w:spacing w:before="11"/>
        <w:rPr>
          <w:sz w:val="13"/>
        </w:rPr>
      </w:pPr>
    </w:p>
    <w:p w:rsidR="00C31389" w:rsidRDefault="00561FBD" w14:paraId="6C1AFAD9" w14:textId="77777777">
      <w:pPr>
        <w:pStyle w:val="BodyText"/>
        <w:spacing w:before="92"/>
        <w:ind w:left="480" w:right="565"/>
      </w:pPr>
      <w:r>
        <w:t xml:space="preserve">of how </w:t>
      </w:r>
      <w:r>
        <w:t>much potential energy savings still exist by upgrading remaining baseline technologies within</w:t>
      </w:r>
      <w:r>
        <w:rPr>
          <w:spacing w:val="-3"/>
        </w:rPr>
        <w:t xml:space="preserve"> </w:t>
      </w:r>
      <w:r>
        <w:t>that</w:t>
      </w:r>
      <w:r>
        <w:rPr>
          <w:spacing w:val="-4"/>
        </w:rPr>
        <w:t xml:space="preserve"> </w:t>
      </w:r>
      <w:r>
        <w:t>marketplace.</w:t>
      </w:r>
      <w:r>
        <w:rPr>
          <w:spacing w:val="-3"/>
        </w:rPr>
        <w:t xml:space="preserve"> </w:t>
      </w:r>
      <w:r>
        <w:t>For</w:t>
      </w:r>
      <w:r>
        <w:rPr>
          <w:spacing w:val="-3"/>
        </w:rPr>
        <w:t xml:space="preserve"> </w:t>
      </w:r>
      <w:r>
        <w:t>industrial</w:t>
      </w:r>
      <w:r>
        <w:rPr>
          <w:spacing w:val="-3"/>
        </w:rPr>
        <w:t xml:space="preserve"> </w:t>
      </w:r>
      <w:r>
        <w:t>technologies</w:t>
      </w:r>
      <w:r>
        <w:rPr>
          <w:spacing w:val="-3"/>
        </w:rPr>
        <w:t xml:space="preserve"> </w:t>
      </w:r>
      <w:r>
        <w:t>analyzed</w:t>
      </w:r>
      <w:r>
        <w:rPr>
          <w:spacing w:val="-4"/>
        </w:rPr>
        <w:t xml:space="preserve"> </w:t>
      </w:r>
      <w:r>
        <w:t>using</w:t>
      </w:r>
      <w:r>
        <w:rPr>
          <w:spacing w:val="-3"/>
        </w:rPr>
        <w:t xml:space="preserve"> </w:t>
      </w:r>
      <w:r>
        <w:t>the</w:t>
      </w:r>
      <w:r>
        <w:rPr>
          <w:spacing w:val="-3"/>
        </w:rPr>
        <w:t xml:space="preserve"> </w:t>
      </w:r>
      <w:r>
        <w:t>IAC</w:t>
      </w:r>
      <w:r>
        <w:rPr>
          <w:spacing w:val="-4"/>
        </w:rPr>
        <w:t xml:space="preserve"> </w:t>
      </w:r>
      <w:r>
        <w:t>database,</w:t>
      </w:r>
      <w:r>
        <w:rPr>
          <w:spacing w:val="-3"/>
        </w:rPr>
        <w:t xml:space="preserve"> </w:t>
      </w:r>
      <w:r>
        <w:t>the</w:t>
      </w:r>
      <w:r>
        <w:rPr>
          <w:spacing w:val="-3"/>
        </w:rPr>
        <w:t xml:space="preserve"> </w:t>
      </w:r>
      <w:r>
        <w:t>team assumed that every recommendation made at an industrial facility meant tha</w:t>
      </w:r>
      <w:r>
        <w:t>t this facility still had the inefficient baseline technology installed. For example, if a facility received a recommendation to upgrade its lighting system, the team assumed this facility still used inefficient or baseline lighting technologies. This assu</w:t>
      </w:r>
      <w:r>
        <w:t>mption allowed the team to identify the percentage of sites with baseline equipment (i.e., those receiving a recommendation for a technology).</w:t>
      </w:r>
      <w:r>
        <w:rPr>
          <w:spacing w:val="-42"/>
        </w:rPr>
        <w:t xml:space="preserve"> </w:t>
      </w:r>
      <w:hyperlink w:history="1" w:anchor="_bookmark171">
        <w:r>
          <w:rPr>
            <w:position w:val="7"/>
            <w:sz w:val="14"/>
          </w:rPr>
          <w:t>57</w:t>
        </w:r>
      </w:hyperlink>
      <w:r>
        <w:rPr>
          <w:spacing w:val="20"/>
          <w:position w:val="7"/>
          <w:sz w:val="14"/>
        </w:rPr>
        <w:t xml:space="preserve"> </w:t>
      </w:r>
      <w:r>
        <w:t>This</w:t>
      </w:r>
      <w:r>
        <w:rPr>
          <w:spacing w:val="-1"/>
        </w:rPr>
        <w:t xml:space="preserve"> </w:t>
      </w:r>
      <w:r>
        <w:t>baseline</w:t>
      </w:r>
      <w:r>
        <w:rPr>
          <w:spacing w:val="-1"/>
        </w:rPr>
        <w:t xml:space="preserve"> </w:t>
      </w:r>
      <w:r>
        <w:t>percentage</w:t>
      </w:r>
      <w:r>
        <w:rPr>
          <w:spacing w:val="-1"/>
        </w:rPr>
        <w:t xml:space="preserve"> </w:t>
      </w:r>
      <w:r>
        <w:t>was</w:t>
      </w:r>
      <w:r>
        <w:rPr>
          <w:spacing w:val="-1"/>
        </w:rPr>
        <w:t xml:space="preserve"> </w:t>
      </w:r>
      <w:r>
        <w:t>used</w:t>
      </w:r>
      <w:r>
        <w:rPr>
          <w:spacing w:val="-1"/>
        </w:rPr>
        <w:t xml:space="preserve"> </w:t>
      </w:r>
      <w:r>
        <w:t>as</w:t>
      </w:r>
      <w:r>
        <w:rPr>
          <w:spacing w:val="-1"/>
        </w:rPr>
        <w:t xml:space="preserve"> </w:t>
      </w:r>
      <w:r>
        <w:t>one</w:t>
      </w:r>
      <w:r>
        <w:rPr>
          <w:spacing w:val="-1"/>
        </w:rPr>
        <w:t xml:space="preserve"> </w:t>
      </w:r>
      <w:r>
        <w:t>of</w:t>
      </w:r>
      <w:r>
        <w:rPr>
          <w:spacing w:val="-1"/>
        </w:rPr>
        <w:t xml:space="preserve"> </w:t>
      </w:r>
      <w:r>
        <w:t>the</w:t>
      </w:r>
      <w:r>
        <w:rPr>
          <w:spacing w:val="-1"/>
        </w:rPr>
        <w:t xml:space="preserve"> </w:t>
      </w:r>
      <w:r>
        <w:t>variables</w:t>
      </w:r>
      <w:r>
        <w:rPr>
          <w:spacing w:val="-2"/>
        </w:rPr>
        <w:t xml:space="preserve"> </w:t>
      </w:r>
      <w:r>
        <w:t>to</w:t>
      </w:r>
      <w:r>
        <w:rPr>
          <w:spacing w:val="-1"/>
        </w:rPr>
        <w:t xml:space="preserve"> </w:t>
      </w:r>
      <w:r>
        <w:t>calculate</w:t>
      </w:r>
      <w:r>
        <w:rPr>
          <w:spacing w:val="-1"/>
        </w:rPr>
        <w:t xml:space="preserve"> </w:t>
      </w:r>
      <w:r>
        <w:t>the</w:t>
      </w:r>
      <w:r>
        <w:rPr>
          <w:spacing w:val="-1"/>
        </w:rPr>
        <w:t xml:space="preserve"> </w:t>
      </w:r>
      <w:r>
        <w:t>total sector savings available for each measure defined in the Energy Savings section above.</w:t>
      </w:r>
    </w:p>
    <w:p w:rsidR="00C31389" w:rsidRDefault="00C31389" w14:paraId="6216414E" w14:textId="77777777">
      <w:pPr>
        <w:pStyle w:val="BodyText"/>
        <w:spacing w:before="10"/>
        <w:rPr>
          <w:sz w:val="20"/>
        </w:rPr>
      </w:pPr>
    </w:p>
    <w:p w:rsidR="00C31389" w:rsidRDefault="00561FBD" w14:paraId="0AD42B86" w14:textId="77777777">
      <w:pPr>
        <w:pStyle w:val="BodyText"/>
        <w:ind w:left="480" w:right="565"/>
      </w:pPr>
      <w:r>
        <w:t>For measures not covered in the IAC database, the team used professional judgement based on</w:t>
      </w:r>
      <w:r>
        <w:rPr>
          <w:spacing w:val="-3"/>
        </w:rPr>
        <w:t xml:space="preserve"> </w:t>
      </w:r>
      <w:r>
        <w:t>data</w:t>
      </w:r>
      <w:r>
        <w:rPr>
          <w:spacing w:val="-3"/>
        </w:rPr>
        <w:t xml:space="preserve"> </w:t>
      </w:r>
      <w:r>
        <w:t>sources</w:t>
      </w:r>
      <w:r>
        <w:rPr>
          <w:spacing w:val="-3"/>
        </w:rPr>
        <w:t xml:space="preserve"> </w:t>
      </w:r>
      <w:r>
        <w:t>such</w:t>
      </w:r>
      <w:r>
        <w:rPr>
          <w:spacing w:val="-3"/>
        </w:rPr>
        <w:t xml:space="preserve"> </w:t>
      </w:r>
      <w:r>
        <w:t>as</w:t>
      </w:r>
      <w:r>
        <w:rPr>
          <w:spacing w:val="-4"/>
        </w:rPr>
        <w:t xml:space="preserve"> </w:t>
      </w:r>
      <w:r>
        <w:t>commercial</w:t>
      </w:r>
      <w:r>
        <w:rPr>
          <w:spacing w:val="-3"/>
        </w:rPr>
        <w:t xml:space="preserve"> </w:t>
      </w:r>
      <w:r>
        <w:t>sector</w:t>
      </w:r>
      <w:r>
        <w:rPr>
          <w:spacing w:val="-3"/>
        </w:rPr>
        <w:t xml:space="preserve"> </w:t>
      </w:r>
      <w:r>
        <w:t>saturation</w:t>
      </w:r>
      <w:r>
        <w:rPr>
          <w:spacing w:val="-3"/>
        </w:rPr>
        <w:t xml:space="preserve"> </w:t>
      </w:r>
      <w:r>
        <w:t>data</w:t>
      </w:r>
      <w:r>
        <w:rPr>
          <w:spacing w:val="-3"/>
        </w:rPr>
        <w:t xml:space="preserve"> </w:t>
      </w:r>
      <w:r>
        <w:t>and</w:t>
      </w:r>
      <w:r>
        <w:rPr>
          <w:spacing w:val="-3"/>
        </w:rPr>
        <w:t xml:space="preserve"> </w:t>
      </w:r>
      <w:r>
        <w:t>feedback</w:t>
      </w:r>
      <w:r>
        <w:rPr>
          <w:spacing w:val="-4"/>
        </w:rPr>
        <w:t xml:space="preserve"> </w:t>
      </w:r>
      <w:r>
        <w:t>from</w:t>
      </w:r>
      <w:r>
        <w:rPr>
          <w:spacing w:val="-4"/>
        </w:rPr>
        <w:t xml:space="preserve"> </w:t>
      </w:r>
      <w:r>
        <w:t>stakeholders</w:t>
      </w:r>
      <w:r>
        <w:rPr>
          <w:spacing w:val="-3"/>
        </w:rPr>
        <w:t xml:space="preserve"> </w:t>
      </w:r>
      <w:r>
        <w:t>to estimate a density of efficient versus inefficient technology.</w:t>
      </w:r>
    </w:p>
    <w:p w:rsidR="00C31389" w:rsidRDefault="00C31389" w14:paraId="08967386" w14:textId="77777777">
      <w:pPr>
        <w:pStyle w:val="BodyText"/>
        <w:spacing w:before="11"/>
        <w:rPr>
          <w:sz w:val="20"/>
        </w:rPr>
      </w:pPr>
    </w:p>
    <w:p w:rsidR="00C31389" w:rsidRDefault="00561FBD" w14:paraId="0EDA85DE" w14:textId="77777777">
      <w:pPr>
        <w:pStyle w:val="BodyText"/>
        <w:ind w:left="480" w:right="485"/>
      </w:pPr>
      <w:r>
        <w:t xml:space="preserve">The measures established from the Industrial and Agriculture Market Study and detailed in the Appendix E use the study’s input from the </w:t>
      </w:r>
      <w:r>
        <w:t>interviews of technology vendors and end users. The data</w:t>
      </w:r>
      <w:r>
        <w:rPr>
          <w:spacing w:val="-3"/>
        </w:rPr>
        <w:t xml:space="preserve"> </w:t>
      </w:r>
      <w:r>
        <w:t>includes</w:t>
      </w:r>
      <w:r>
        <w:rPr>
          <w:spacing w:val="-3"/>
        </w:rPr>
        <w:t xml:space="preserve"> </w:t>
      </w:r>
      <w:r>
        <w:t>percent</w:t>
      </w:r>
      <w:r>
        <w:rPr>
          <w:spacing w:val="-3"/>
        </w:rPr>
        <w:t xml:space="preserve"> </w:t>
      </w:r>
      <w:r>
        <w:t>suitability,</w:t>
      </w:r>
      <w:r>
        <w:rPr>
          <w:spacing w:val="-3"/>
        </w:rPr>
        <w:t xml:space="preserve"> </w:t>
      </w:r>
      <w:r>
        <w:t>percentage</w:t>
      </w:r>
      <w:r>
        <w:rPr>
          <w:spacing w:val="-3"/>
        </w:rPr>
        <w:t xml:space="preserve"> </w:t>
      </w:r>
      <w:r>
        <w:t>of</w:t>
      </w:r>
      <w:r>
        <w:rPr>
          <w:spacing w:val="-3"/>
        </w:rPr>
        <w:t xml:space="preserve"> </w:t>
      </w:r>
      <w:r>
        <w:t>site</w:t>
      </w:r>
      <w:r>
        <w:rPr>
          <w:spacing w:val="-3"/>
        </w:rPr>
        <w:t xml:space="preserve"> </w:t>
      </w:r>
      <w:r>
        <w:t>with</w:t>
      </w:r>
      <w:r>
        <w:rPr>
          <w:spacing w:val="-3"/>
        </w:rPr>
        <w:t xml:space="preserve"> </w:t>
      </w:r>
      <w:r>
        <w:t>equipment,</w:t>
      </w:r>
      <w:r>
        <w:rPr>
          <w:spacing w:val="-3"/>
        </w:rPr>
        <w:t xml:space="preserve"> </w:t>
      </w:r>
      <w:r>
        <w:t>and</w:t>
      </w:r>
      <w:r>
        <w:rPr>
          <w:spacing w:val="-3"/>
        </w:rPr>
        <w:t xml:space="preserve"> </w:t>
      </w:r>
      <w:r>
        <w:t>percent</w:t>
      </w:r>
      <w:r>
        <w:rPr>
          <w:spacing w:val="-3"/>
        </w:rPr>
        <w:t xml:space="preserve"> </w:t>
      </w:r>
      <w:r>
        <w:t>of</w:t>
      </w:r>
      <w:r>
        <w:rPr>
          <w:spacing w:val="-3"/>
        </w:rPr>
        <w:t xml:space="preserve"> </w:t>
      </w:r>
      <w:r>
        <w:t>equipment</w:t>
      </w:r>
      <w:r>
        <w:rPr>
          <w:spacing w:val="-3"/>
        </w:rPr>
        <w:t xml:space="preserve"> </w:t>
      </w:r>
      <w:r>
        <w:t>at energy efficient level. The data is provided in the Industrial and Agriculture Market Study report.</w:t>
      </w:r>
    </w:p>
    <w:p w:rsidR="00C31389" w:rsidRDefault="00C31389" w14:paraId="704E533D" w14:textId="77777777">
      <w:pPr>
        <w:pStyle w:val="BodyText"/>
        <w:spacing w:before="9"/>
        <w:rPr>
          <w:sz w:val="20"/>
        </w:rPr>
      </w:pPr>
    </w:p>
    <w:p w:rsidR="00C31389" w:rsidRDefault="00561FBD" w14:paraId="07DC30D7" w14:textId="77777777">
      <w:pPr>
        <w:pStyle w:val="Heading2"/>
        <w:numPr>
          <w:ilvl w:val="1"/>
          <w:numId w:val="71"/>
        </w:numPr>
        <w:tabs>
          <w:tab w:val="left" w:pos="945"/>
        </w:tabs>
        <w:spacing w:before="1"/>
        <w:ind w:left="945" w:hanging="465"/>
      </w:pPr>
      <w:bookmarkStart w:name="3.6_Industrial_and_Agriculture_Custom_Te" w:id="227"/>
      <w:bookmarkStart w:name="_bookmark170" w:id="228"/>
      <w:bookmarkEnd w:id="227"/>
      <w:bookmarkEnd w:id="228"/>
      <w:r>
        <w:t>Indus</w:t>
      </w:r>
      <w:r>
        <w:t>trial</w:t>
      </w:r>
      <w:r>
        <w:rPr>
          <w:spacing w:val="-14"/>
        </w:rPr>
        <w:t xml:space="preserve"> </w:t>
      </w:r>
      <w:r>
        <w:t>and</w:t>
      </w:r>
      <w:r>
        <w:rPr>
          <w:spacing w:val="-15"/>
        </w:rPr>
        <w:t xml:space="preserve"> </w:t>
      </w:r>
      <w:r>
        <w:t>Agriculture</w:t>
      </w:r>
      <w:r>
        <w:rPr>
          <w:spacing w:val="-14"/>
        </w:rPr>
        <w:t xml:space="preserve"> </w:t>
      </w:r>
      <w:r>
        <w:t>Custom</w:t>
      </w:r>
      <w:r>
        <w:rPr>
          <w:spacing w:val="-13"/>
        </w:rPr>
        <w:t xml:space="preserve"> </w:t>
      </w:r>
      <w:r>
        <w:t>Technologies</w:t>
      </w:r>
      <w:r>
        <w:rPr>
          <w:spacing w:val="-14"/>
        </w:rPr>
        <w:t xml:space="preserve"> </w:t>
      </w:r>
      <w:r>
        <w:t>Data</w:t>
      </w:r>
      <w:r>
        <w:rPr>
          <w:spacing w:val="-14"/>
        </w:rPr>
        <w:t xml:space="preserve"> </w:t>
      </w:r>
      <w:r>
        <w:rPr>
          <w:spacing w:val="-2"/>
        </w:rPr>
        <w:t>Sources</w:t>
      </w:r>
    </w:p>
    <w:p w:rsidR="00C31389" w:rsidRDefault="00561FBD" w14:paraId="254A6E51" w14:textId="77777777">
      <w:pPr>
        <w:pStyle w:val="BodyText"/>
        <w:spacing w:before="239"/>
        <w:ind w:left="479" w:right="533"/>
      </w:pPr>
      <w:r>
        <w:t>Generic custom (GC) measures in the industrial and agriculture sector are projects that implement</w:t>
      </w:r>
      <w:r>
        <w:rPr>
          <w:spacing w:val="-3"/>
        </w:rPr>
        <w:t xml:space="preserve"> </w:t>
      </w:r>
      <w:r>
        <w:t>EE</w:t>
      </w:r>
      <w:r>
        <w:rPr>
          <w:spacing w:val="-3"/>
        </w:rPr>
        <w:t xml:space="preserve"> </w:t>
      </w:r>
      <w:r>
        <w:t>on</w:t>
      </w:r>
      <w:r>
        <w:rPr>
          <w:spacing w:val="-3"/>
        </w:rPr>
        <w:t xml:space="preserve"> </w:t>
      </w:r>
      <w:r>
        <w:t>a</w:t>
      </w:r>
      <w:r>
        <w:rPr>
          <w:spacing w:val="-3"/>
        </w:rPr>
        <w:t xml:space="preserve"> </w:t>
      </w:r>
      <w:r>
        <w:t>wide</w:t>
      </w:r>
      <w:r>
        <w:rPr>
          <w:spacing w:val="-3"/>
        </w:rPr>
        <w:t xml:space="preserve"> </w:t>
      </w:r>
      <w:r>
        <w:t>diversity</w:t>
      </w:r>
      <w:r>
        <w:rPr>
          <w:spacing w:val="-3"/>
        </w:rPr>
        <w:t xml:space="preserve"> </w:t>
      </w:r>
      <w:r>
        <w:t>of</w:t>
      </w:r>
      <w:r>
        <w:rPr>
          <w:spacing w:val="-4"/>
        </w:rPr>
        <w:t xml:space="preserve"> </w:t>
      </w:r>
      <w:r>
        <w:t>production</w:t>
      </w:r>
      <w:r>
        <w:rPr>
          <w:spacing w:val="-3"/>
        </w:rPr>
        <w:t xml:space="preserve"> </w:t>
      </w:r>
      <w:r>
        <w:t>processes</w:t>
      </w:r>
      <w:r>
        <w:rPr>
          <w:spacing w:val="-4"/>
        </w:rPr>
        <w:t xml:space="preserve"> </w:t>
      </w:r>
      <w:r>
        <w:t>and</w:t>
      </w:r>
      <w:r>
        <w:rPr>
          <w:spacing w:val="-3"/>
        </w:rPr>
        <w:t xml:space="preserve"> </w:t>
      </w:r>
      <w:r>
        <w:t>operating</w:t>
      </w:r>
      <w:r>
        <w:rPr>
          <w:spacing w:val="-4"/>
        </w:rPr>
        <w:t xml:space="preserve"> </w:t>
      </w:r>
      <w:r>
        <w:t>environments.</w:t>
      </w:r>
      <w:r>
        <w:rPr>
          <w:spacing w:val="-3"/>
        </w:rPr>
        <w:t xml:space="preserve"> </w:t>
      </w:r>
      <w:r>
        <w:t>These projects</w:t>
      </w:r>
      <w:r>
        <w:rPr>
          <w:spacing w:val="-2"/>
        </w:rPr>
        <w:t xml:space="preserve"> </w:t>
      </w:r>
      <w:r>
        <w:t>are</w:t>
      </w:r>
      <w:r>
        <w:rPr>
          <w:spacing w:val="-3"/>
        </w:rPr>
        <w:t xml:space="preserve"> </w:t>
      </w:r>
      <w:r>
        <w:t>diverse</w:t>
      </w:r>
      <w:r>
        <w:rPr>
          <w:spacing w:val="-2"/>
        </w:rPr>
        <w:t xml:space="preserve"> </w:t>
      </w:r>
      <w:r>
        <w:t>a</w:t>
      </w:r>
      <w:r>
        <w:t>nd</w:t>
      </w:r>
      <w:r>
        <w:rPr>
          <w:spacing w:val="-3"/>
        </w:rPr>
        <w:t xml:space="preserve"> </w:t>
      </w:r>
      <w:r>
        <w:t>often</w:t>
      </w:r>
      <w:r>
        <w:rPr>
          <w:spacing w:val="-2"/>
        </w:rPr>
        <w:t xml:space="preserve"> </w:t>
      </w:r>
      <w:r>
        <w:t>unique,</w:t>
      </w:r>
      <w:r>
        <w:rPr>
          <w:spacing w:val="-2"/>
        </w:rPr>
        <w:t xml:space="preserve"> </w:t>
      </w:r>
      <w:r>
        <w:t>and</w:t>
      </w:r>
      <w:r>
        <w:rPr>
          <w:spacing w:val="-2"/>
        </w:rPr>
        <w:t xml:space="preserve"> </w:t>
      </w:r>
      <w:r>
        <w:t>typically</w:t>
      </w:r>
      <w:r>
        <w:rPr>
          <w:spacing w:val="-2"/>
        </w:rPr>
        <w:t xml:space="preserve"> </w:t>
      </w:r>
      <w:r>
        <w:t>have</w:t>
      </w:r>
      <w:r>
        <w:rPr>
          <w:spacing w:val="-2"/>
        </w:rPr>
        <w:t xml:space="preserve"> </w:t>
      </w:r>
      <w:r>
        <w:t>generic,</w:t>
      </w:r>
      <w:r>
        <w:rPr>
          <w:spacing w:val="-2"/>
        </w:rPr>
        <w:t xml:space="preserve"> </w:t>
      </w:r>
      <w:r>
        <w:t>non-descript</w:t>
      </w:r>
      <w:r>
        <w:rPr>
          <w:spacing w:val="-2"/>
        </w:rPr>
        <w:t xml:space="preserve"> </w:t>
      </w:r>
      <w:r>
        <w:t>names</w:t>
      </w:r>
      <w:r>
        <w:rPr>
          <w:spacing w:val="-3"/>
        </w:rPr>
        <w:t xml:space="preserve"> </w:t>
      </w:r>
      <w:r>
        <w:t>such</w:t>
      </w:r>
      <w:r>
        <w:rPr>
          <w:spacing w:val="-2"/>
        </w:rPr>
        <w:t xml:space="preserve"> </w:t>
      </w:r>
      <w:r>
        <w:t>as Other, Process, or System in program tracking data such as CEDARS.</w:t>
      </w:r>
      <w:r>
        <w:rPr>
          <w:spacing w:val="-37"/>
        </w:rPr>
        <w:t xml:space="preserve"> </w:t>
      </w:r>
      <w:hyperlink w:history="1" w:anchor="_bookmark172">
        <w:r>
          <w:rPr>
            <w:position w:val="7"/>
            <w:sz w:val="14"/>
          </w:rPr>
          <w:t>58</w:t>
        </w:r>
      </w:hyperlink>
      <w:r>
        <w:rPr>
          <w:spacing w:val="31"/>
          <w:position w:val="7"/>
          <w:sz w:val="14"/>
        </w:rPr>
        <w:t xml:space="preserve"> </w:t>
      </w:r>
      <w:r>
        <w:t>Generic custom measures present several challenges within a potential forecast:</w:t>
      </w:r>
    </w:p>
    <w:p w:rsidR="00C31389" w:rsidRDefault="00561FBD" w14:paraId="3376D478" w14:textId="77777777">
      <w:pPr>
        <w:pStyle w:val="ListParagraph"/>
        <w:numPr>
          <w:ilvl w:val="0"/>
          <w:numId w:val="43"/>
        </w:numPr>
        <w:tabs>
          <w:tab w:val="left" w:pos="1199"/>
        </w:tabs>
        <w:spacing w:before="120"/>
        <w:ind w:right="706"/>
      </w:pPr>
      <w:r>
        <w:t>GC projects have unique attributes that make them difficult to forecast within the diffusion-based</w:t>
      </w:r>
      <w:r>
        <w:rPr>
          <w:spacing w:val="-4"/>
        </w:rPr>
        <w:t xml:space="preserve"> </w:t>
      </w:r>
      <w:r>
        <w:t>PG</w:t>
      </w:r>
      <w:r>
        <w:rPr>
          <w:spacing w:val="-5"/>
        </w:rPr>
        <w:t xml:space="preserve"> </w:t>
      </w:r>
      <w:r>
        <w:t>Model.</w:t>
      </w:r>
      <w:r>
        <w:rPr>
          <w:spacing w:val="-4"/>
        </w:rPr>
        <w:t xml:space="preserve"> </w:t>
      </w:r>
      <w:r>
        <w:t>For</w:t>
      </w:r>
      <w:r>
        <w:rPr>
          <w:spacing w:val="-4"/>
        </w:rPr>
        <w:t xml:space="preserve"> </w:t>
      </w:r>
      <w:r>
        <w:t>example,</w:t>
      </w:r>
      <w:r>
        <w:rPr>
          <w:spacing w:val="-4"/>
        </w:rPr>
        <w:t xml:space="preserve"> </w:t>
      </w:r>
      <w:r>
        <w:t>there</w:t>
      </w:r>
      <w:r>
        <w:rPr>
          <w:spacing w:val="-4"/>
        </w:rPr>
        <w:t xml:space="preserve"> </w:t>
      </w:r>
      <w:r>
        <w:t>are</w:t>
      </w:r>
      <w:r>
        <w:rPr>
          <w:spacing w:val="-4"/>
        </w:rPr>
        <w:t xml:space="preserve"> </w:t>
      </w:r>
      <w:r>
        <w:t>no</w:t>
      </w:r>
      <w:r>
        <w:rPr>
          <w:spacing w:val="-4"/>
        </w:rPr>
        <w:t xml:space="preserve"> </w:t>
      </w:r>
      <w:r>
        <w:t>forma</w:t>
      </w:r>
      <w:r>
        <w:t>l</w:t>
      </w:r>
      <w:r>
        <w:rPr>
          <w:spacing w:val="-4"/>
        </w:rPr>
        <w:t xml:space="preserve"> </w:t>
      </w:r>
      <w:r>
        <w:t>estimates</w:t>
      </w:r>
      <w:r>
        <w:rPr>
          <w:spacing w:val="-4"/>
        </w:rPr>
        <w:t xml:space="preserve"> </w:t>
      </w:r>
      <w:r>
        <w:t>of</w:t>
      </w:r>
      <w:r>
        <w:rPr>
          <w:spacing w:val="-5"/>
        </w:rPr>
        <w:t xml:space="preserve"> </w:t>
      </w:r>
      <w:r>
        <w:t>GC</w:t>
      </w:r>
      <w:r>
        <w:rPr>
          <w:spacing w:val="-3"/>
        </w:rPr>
        <w:t xml:space="preserve"> </w:t>
      </w:r>
      <w:r>
        <w:t>measure saturation, such as Commercial End Use Survey or RASS, and EE potential forecasts are more dependent on an analysis of long-term trends of reported savings.</w:t>
      </w:r>
    </w:p>
    <w:p w:rsidR="00C31389" w:rsidRDefault="00561FBD" w14:paraId="70C1DE86" w14:textId="77777777">
      <w:pPr>
        <w:pStyle w:val="ListParagraph"/>
        <w:numPr>
          <w:ilvl w:val="0"/>
          <w:numId w:val="43"/>
        </w:numPr>
        <w:tabs>
          <w:tab w:val="left" w:pos="1200"/>
        </w:tabs>
        <w:spacing w:before="118"/>
        <w:ind w:left="1200" w:right="510"/>
      </w:pPr>
      <w:r>
        <w:t>Common</w:t>
      </w:r>
      <w:r>
        <w:rPr>
          <w:spacing w:val="-4"/>
        </w:rPr>
        <w:t xml:space="preserve"> </w:t>
      </w:r>
      <w:r>
        <w:t>engineering</w:t>
      </w:r>
      <w:r>
        <w:rPr>
          <w:spacing w:val="-4"/>
        </w:rPr>
        <w:t xml:space="preserve"> </w:t>
      </w:r>
      <w:r>
        <w:t>resources</w:t>
      </w:r>
      <w:r>
        <w:rPr>
          <w:spacing w:val="-4"/>
        </w:rPr>
        <w:t xml:space="preserve"> </w:t>
      </w:r>
      <w:r>
        <w:t>such</w:t>
      </w:r>
      <w:r>
        <w:rPr>
          <w:spacing w:val="-4"/>
        </w:rPr>
        <w:t xml:space="preserve"> </w:t>
      </w:r>
      <w:r>
        <w:t>as</w:t>
      </w:r>
      <w:r>
        <w:rPr>
          <w:spacing w:val="-4"/>
        </w:rPr>
        <w:t xml:space="preserve"> </w:t>
      </w:r>
      <w:r>
        <w:t>IOU</w:t>
      </w:r>
      <w:r>
        <w:rPr>
          <w:spacing w:val="-5"/>
        </w:rPr>
        <w:t xml:space="preserve"> </w:t>
      </w:r>
      <w:r>
        <w:t>workpapers,</w:t>
      </w:r>
      <w:r>
        <w:rPr>
          <w:spacing w:val="-4"/>
        </w:rPr>
        <w:t xml:space="preserve"> </w:t>
      </w:r>
      <w:r>
        <w:t>DEER</w:t>
      </w:r>
      <w:r>
        <w:rPr>
          <w:spacing w:val="-5"/>
        </w:rPr>
        <w:t xml:space="preserve"> </w:t>
      </w:r>
      <w:r>
        <w:t>or</w:t>
      </w:r>
      <w:r>
        <w:rPr>
          <w:spacing w:val="-4"/>
        </w:rPr>
        <w:t xml:space="preserve"> </w:t>
      </w:r>
      <w:r>
        <w:t>the</w:t>
      </w:r>
      <w:r>
        <w:rPr>
          <w:spacing w:val="-2"/>
        </w:rPr>
        <w:t xml:space="preserve"> </w:t>
      </w:r>
      <w:r>
        <w:t>Californ</w:t>
      </w:r>
      <w:r>
        <w:t>ia</w:t>
      </w:r>
      <w:r>
        <w:rPr>
          <w:spacing w:val="-4"/>
        </w:rPr>
        <w:t xml:space="preserve"> </w:t>
      </w:r>
      <w:r>
        <w:t xml:space="preserve">eTRM are well designed for building system applications but do not apply to the unique production-oriented projects being implemented in the industrial and agriculture </w:t>
      </w:r>
      <w:r>
        <w:rPr>
          <w:spacing w:val="-2"/>
        </w:rPr>
        <w:t>segments.</w:t>
      </w:r>
    </w:p>
    <w:p w:rsidR="00C31389" w:rsidRDefault="00561FBD" w14:paraId="5882C033" w14:textId="77777777">
      <w:pPr>
        <w:pStyle w:val="BodyText"/>
        <w:spacing w:before="118"/>
        <w:ind w:left="479" w:right="533"/>
      </w:pPr>
      <w:r>
        <w:t>As</w:t>
      </w:r>
      <w:r>
        <w:rPr>
          <w:spacing w:val="-3"/>
        </w:rPr>
        <w:t xml:space="preserve"> </w:t>
      </w:r>
      <w:r>
        <w:t>discussed</w:t>
      </w:r>
      <w:r>
        <w:rPr>
          <w:spacing w:val="-3"/>
        </w:rPr>
        <w:t xml:space="preserve"> </w:t>
      </w:r>
      <w:r>
        <w:t>further</w:t>
      </w:r>
      <w:r>
        <w:rPr>
          <w:spacing w:val="-3"/>
        </w:rPr>
        <w:t xml:space="preserve"> </w:t>
      </w:r>
      <w:r>
        <w:t>in</w:t>
      </w:r>
      <w:r>
        <w:rPr>
          <w:spacing w:val="-4"/>
        </w:rPr>
        <w:t xml:space="preserve"> </w:t>
      </w:r>
      <w:r>
        <w:t>Section</w:t>
      </w:r>
      <w:r>
        <w:rPr>
          <w:spacing w:val="-3"/>
        </w:rPr>
        <w:t xml:space="preserve"> </w:t>
      </w:r>
      <w:hyperlink w:history="1" w:anchor="_bookmark163">
        <w:r>
          <w:t>3.5.1.1</w:t>
        </w:r>
      </w:hyperlink>
      <w:r>
        <w:t>,</w:t>
      </w:r>
      <w:r>
        <w:rPr>
          <w:spacing w:val="-3"/>
        </w:rPr>
        <w:t xml:space="preserve"> </w:t>
      </w:r>
      <w:r>
        <w:t>the</w:t>
      </w:r>
      <w:r>
        <w:rPr>
          <w:spacing w:val="-3"/>
        </w:rPr>
        <w:t xml:space="preserve"> </w:t>
      </w:r>
      <w:r>
        <w:t>definition</w:t>
      </w:r>
      <w:r>
        <w:rPr>
          <w:spacing w:val="-3"/>
        </w:rPr>
        <w:t xml:space="preserve"> </w:t>
      </w:r>
      <w:r>
        <w:t>of</w:t>
      </w:r>
      <w:r>
        <w:rPr>
          <w:spacing w:val="-3"/>
        </w:rPr>
        <w:t xml:space="preserve"> </w:t>
      </w:r>
      <w:r>
        <w:t>generic</w:t>
      </w:r>
      <w:r>
        <w:rPr>
          <w:spacing w:val="-3"/>
        </w:rPr>
        <w:t xml:space="preserve"> </w:t>
      </w:r>
      <w:r>
        <w:t>custom</w:t>
      </w:r>
      <w:r>
        <w:rPr>
          <w:spacing w:val="-5"/>
        </w:rPr>
        <w:t xml:space="preserve"> </w:t>
      </w:r>
      <w:r>
        <w:t>measures</w:t>
      </w:r>
      <w:r>
        <w:rPr>
          <w:spacing w:val="-3"/>
        </w:rPr>
        <w:t xml:space="preserve"> </w:t>
      </w:r>
      <w:r>
        <w:t>for</w:t>
      </w:r>
      <w:r>
        <w:rPr>
          <w:spacing w:val="-3"/>
        </w:rPr>
        <w:t xml:space="preserve"> </w:t>
      </w:r>
      <w:r>
        <w:t>the</w:t>
      </w:r>
      <w:r>
        <w:rPr>
          <w:spacing w:val="-3"/>
        </w:rPr>
        <w:t xml:space="preserve"> </w:t>
      </w:r>
      <w:r>
        <w:t>2023 Study accounts for the following:</w:t>
      </w:r>
    </w:p>
    <w:p w:rsidR="00C31389" w:rsidRDefault="00561FBD" w14:paraId="2B1458BE" w14:textId="77777777">
      <w:pPr>
        <w:pStyle w:val="ListParagraph"/>
        <w:numPr>
          <w:ilvl w:val="0"/>
          <w:numId w:val="43"/>
        </w:numPr>
        <w:tabs>
          <w:tab w:val="left" w:pos="1200"/>
        </w:tabs>
        <w:spacing w:before="120"/>
        <w:ind w:left="1200"/>
      </w:pPr>
      <w:r>
        <w:t>Measures</w:t>
      </w:r>
      <w:r>
        <w:rPr>
          <w:spacing w:val="-7"/>
        </w:rPr>
        <w:t xml:space="preserve"> </w:t>
      </w:r>
      <w:r>
        <w:t>reported</w:t>
      </w:r>
      <w:r>
        <w:rPr>
          <w:spacing w:val="-6"/>
        </w:rPr>
        <w:t xml:space="preserve"> </w:t>
      </w:r>
      <w:r>
        <w:t>in</w:t>
      </w:r>
      <w:r>
        <w:rPr>
          <w:spacing w:val="-6"/>
        </w:rPr>
        <w:t xml:space="preserve"> </w:t>
      </w:r>
      <w:r>
        <w:t>CEDARS</w:t>
      </w:r>
      <w:r>
        <w:rPr>
          <w:spacing w:val="-7"/>
        </w:rPr>
        <w:t xml:space="preserve"> </w:t>
      </w:r>
      <w:r>
        <w:t>that</w:t>
      </w:r>
      <w:r>
        <w:rPr>
          <w:spacing w:val="-6"/>
        </w:rPr>
        <w:t xml:space="preserve"> </w:t>
      </w:r>
      <w:r>
        <w:t>are</w:t>
      </w:r>
      <w:r>
        <w:rPr>
          <w:spacing w:val="-6"/>
        </w:rPr>
        <w:t xml:space="preserve"> </w:t>
      </w:r>
      <w:r>
        <w:t>named</w:t>
      </w:r>
      <w:r>
        <w:rPr>
          <w:spacing w:val="-7"/>
        </w:rPr>
        <w:t xml:space="preserve"> </w:t>
      </w:r>
      <w:r>
        <w:t>as</w:t>
      </w:r>
      <w:r>
        <w:rPr>
          <w:spacing w:val="-6"/>
        </w:rPr>
        <w:t xml:space="preserve"> </w:t>
      </w:r>
      <w:r>
        <w:t>Other,</w:t>
      </w:r>
      <w:r>
        <w:rPr>
          <w:spacing w:val="-6"/>
        </w:rPr>
        <w:t xml:space="preserve"> </w:t>
      </w:r>
      <w:r>
        <w:t>Process,</w:t>
      </w:r>
      <w:r>
        <w:rPr>
          <w:spacing w:val="-6"/>
        </w:rPr>
        <w:t xml:space="preserve"> </w:t>
      </w:r>
      <w:r>
        <w:t>or</w:t>
      </w:r>
      <w:r>
        <w:rPr>
          <w:spacing w:val="-7"/>
        </w:rPr>
        <w:t xml:space="preserve"> </w:t>
      </w:r>
      <w:r>
        <w:rPr>
          <w:spacing w:val="-2"/>
        </w:rPr>
        <w:t>System.</w:t>
      </w:r>
    </w:p>
    <w:p w:rsidR="00C31389" w:rsidRDefault="00561FBD" w14:paraId="469D404C" w14:textId="77777777">
      <w:pPr>
        <w:pStyle w:val="ListParagraph"/>
        <w:numPr>
          <w:ilvl w:val="0"/>
          <w:numId w:val="43"/>
        </w:numPr>
        <w:tabs>
          <w:tab w:val="left" w:pos="1200"/>
        </w:tabs>
        <w:spacing w:before="118" w:line="261" w:lineRule="auto"/>
        <w:ind w:left="1200" w:right="669"/>
      </w:pPr>
      <w:r>
        <w:t xml:space="preserve">Any one measure that </w:t>
      </w:r>
      <w:r>
        <w:t>contributes only a small percentage of portfolio savings (e.g., faucet</w:t>
      </w:r>
      <w:r>
        <w:rPr>
          <w:spacing w:val="-3"/>
        </w:rPr>
        <w:t xml:space="preserve"> </w:t>
      </w:r>
      <w:r>
        <w:t>aerator</w:t>
      </w:r>
      <w:r>
        <w:rPr>
          <w:spacing w:val="-3"/>
        </w:rPr>
        <w:t xml:space="preserve"> </w:t>
      </w:r>
      <w:r>
        <w:t>or</w:t>
      </w:r>
      <w:r>
        <w:rPr>
          <w:spacing w:val="-3"/>
        </w:rPr>
        <w:t xml:space="preserve"> </w:t>
      </w:r>
      <w:r>
        <w:t>HVAC</w:t>
      </w:r>
      <w:r>
        <w:rPr>
          <w:spacing w:val="-2"/>
        </w:rPr>
        <w:t xml:space="preserve"> </w:t>
      </w:r>
      <w:r>
        <w:t>controls)</w:t>
      </w:r>
      <w:r>
        <w:rPr>
          <w:spacing w:val="-3"/>
        </w:rPr>
        <w:t xml:space="preserve"> </w:t>
      </w:r>
      <w:r>
        <w:t>is</w:t>
      </w:r>
      <w:r>
        <w:rPr>
          <w:spacing w:val="-4"/>
        </w:rPr>
        <w:t xml:space="preserve"> </w:t>
      </w:r>
      <w:r>
        <w:t>now</w:t>
      </w:r>
      <w:r>
        <w:rPr>
          <w:spacing w:val="-4"/>
        </w:rPr>
        <w:t xml:space="preserve"> </w:t>
      </w:r>
      <w:r>
        <w:t>included</w:t>
      </w:r>
      <w:r>
        <w:rPr>
          <w:spacing w:val="-3"/>
        </w:rPr>
        <w:t xml:space="preserve"> </w:t>
      </w:r>
      <w:r>
        <w:t>in</w:t>
      </w:r>
      <w:r>
        <w:rPr>
          <w:spacing w:val="-3"/>
        </w:rPr>
        <w:t xml:space="preserve"> </w:t>
      </w:r>
      <w:r>
        <w:t>the</w:t>
      </w:r>
      <w:r>
        <w:rPr>
          <w:spacing w:val="-3"/>
        </w:rPr>
        <w:t xml:space="preserve"> </w:t>
      </w:r>
      <w:r>
        <w:t>generic</w:t>
      </w:r>
      <w:r>
        <w:rPr>
          <w:spacing w:val="-3"/>
        </w:rPr>
        <w:t xml:space="preserve"> </w:t>
      </w:r>
      <w:r>
        <w:t>custom</w:t>
      </w:r>
      <w:r>
        <w:rPr>
          <w:spacing w:val="-5"/>
        </w:rPr>
        <w:t xml:space="preserve"> </w:t>
      </w:r>
      <w:r>
        <w:t>measure</w:t>
      </w:r>
      <w:r>
        <w:rPr>
          <w:spacing w:val="-3"/>
        </w:rPr>
        <w:t xml:space="preserve"> </w:t>
      </w:r>
      <w:r>
        <w:t>class.</w:t>
      </w:r>
    </w:p>
    <w:p w:rsidR="00C31389" w:rsidRDefault="00C31389" w14:paraId="19B88432" w14:textId="77777777">
      <w:pPr>
        <w:pStyle w:val="BodyText"/>
        <w:rPr>
          <w:sz w:val="20"/>
        </w:rPr>
      </w:pPr>
    </w:p>
    <w:p w:rsidR="00C31389" w:rsidRDefault="00C31389" w14:paraId="56B42ACF" w14:textId="77777777">
      <w:pPr>
        <w:pStyle w:val="BodyText"/>
        <w:rPr>
          <w:sz w:val="20"/>
        </w:rPr>
      </w:pPr>
    </w:p>
    <w:p w:rsidR="00C31389" w:rsidRDefault="00561FBD" w14:paraId="58DB2D53" w14:textId="77777777">
      <w:pPr>
        <w:pStyle w:val="BodyText"/>
        <w:spacing w:before="10"/>
        <w:rPr>
          <w:sz w:val="16"/>
        </w:rPr>
      </w:pPr>
      <w:r>
        <w:rPr>
          <w:noProof/>
        </w:rPr>
        <mc:AlternateContent>
          <mc:Choice Requires="wps">
            <w:drawing>
              <wp:anchor distT="0" distB="0" distL="0" distR="0" simplePos="0" relativeHeight="487650304" behindDoc="1" locked="0" layoutInCell="1" allowOverlap="1" wp14:editId="18684CA3" wp14:anchorId="42BE44F5">
                <wp:simplePos x="0" y="0"/>
                <wp:positionH relativeFrom="page">
                  <wp:posOffset>914400</wp:posOffset>
                </wp:positionH>
                <wp:positionV relativeFrom="paragraph">
                  <wp:posOffset>138665</wp:posOffset>
                </wp:positionV>
                <wp:extent cx="1828800" cy="6985"/>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91" style="position:absolute;margin-left:1in;margin-top:10.9pt;width:2in;height:.55pt;z-index:-1566617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" w14:anchorId="59EE0ABF">
                <v:path arrowok="t"/>
                <w10:wrap type="topAndBottom" anchorx="page"/>
              </v:shape>
            </w:pict>
          </mc:Fallback>
        </mc:AlternateContent>
      </w:r>
    </w:p>
    <w:p w:rsidR="00C31389" w:rsidRDefault="00561FBD" w14:paraId="6B66B918" w14:textId="77777777">
      <w:pPr>
        <w:spacing w:before="88"/>
        <w:ind w:left="479" w:right="533"/>
        <w:rPr>
          <w:sz w:val="18"/>
        </w:rPr>
      </w:pPr>
      <w:bookmarkStart w:name="_bookmark171" w:id="229"/>
      <w:bookmarkEnd w:id="229"/>
      <w:r>
        <w:rPr>
          <w:position w:val="6"/>
          <w:sz w:val="12"/>
        </w:rPr>
        <w:t>57</w:t>
      </w:r>
      <w:r>
        <w:rPr>
          <w:spacing w:val="14"/>
          <w:position w:val="6"/>
          <w:sz w:val="12"/>
        </w:rPr>
        <w:t xml:space="preserve"> </w:t>
      </w:r>
      <w:r>
        <w:rPr>
          <w:sz w:val="18"/>
        </w:rPr>
        <w:t>The</w:t>
      </w:r>
      <w:r>
        <w:rPr>
          <w:spacing w:val="-3"/>
          <w:sz w:val="18"/>
        </w:rPr>
        <w:t xml:space="preserve"> </w:t>
      </w:r>
      <w:r>
        <w:rPr>
          <w:sz w:val="18"/>
        </w:rPr>
        <w:t>IAC</w:t>
      </w:r>
      <w:r>
        <w:rPr>
          <w:spacing w:val="-3"/>
          <w:sz w:val="18"/>
        </w:rPr>
        <w:t xml:space="preserve"> </w:t>
      </w:r>
      <w:r>
        <w:rPr>
          <w:sz w:val="18"/>
        </w:rPr>
        <w:t>recommendations</w:t>
      </w:r>
      <w:r>
        <w:rPr>
          <w:spacing w:val="-2"/>
          <w:sz w:val="18"/>
        </w:rPr>
        <w:t xml:space="preserve"> </w:t>
      </w:r>
      <w:r>
        <w:rPr>
          <w:sz w:val="18"/>
        </w:rPr>
        <w:t>do</w:t>
      </w:r>
      <w:r>
        <w:rPr>
          <w:spacing w:val="-3"/>
          <w:sz w:val="18"/>
        </w:rPr>
        <w:t xml:space="preserve"> </w:t>
      </w:r>
      <w:r>
        <w:rPr>
          <w:sz w:val="18"/>
        </w:rPr>
        <w:t>not</w:t>
      </w:r>
      <w:r>
        <w:rPr>
          <w:spacing w:val="-3"/>
          <w:sz w:val="18"/>
        </w:rPr>
        <w:t xml:space="preserve"> </w:t>
      </w:r>
      <w:r>
        <w:rPr>
          <w:sz w:val="18"/>
        </w:rPr>
        <w:t>provide</w:t>
      </w:r>
      <w:r>
        <w:rPr>
          <w:spacing w:val="-3"/>
          <w:sz w:val="18"/>
        </w:rPr>
        <w:t xml:space="preserve"> </w:t>
      </w:r>
      <w:r>
        <w:rPr>
          <w:sz w:val="18"/>
        </w:rPr>
        <w:t>a</w:t>
      </w:r>
      <w:r>
        <w:rPr>
          <w:spacing w:val="-3"/>
          <w:sz w:val="18"/>
        </w:rPr>
        <w:t xml:space="preserve"> </w:t>
      </w:r>
      <w:r>
        <w:rPr>
          <w:sz w:val="18"/>
        </w:rPr>
        <w:t>density</w:t>
      </w:r>
      <w:r>
        <w:rPr>
          <w:spacing w:val="-3"/>
          <w:sz w:val="18"/>
        </w:rPr>
        <w:t xml:space="preserve"> </w:t>
      </w:r>
      <w:r>
        <w:rPr>
          <w:sz w:val="18"/>
        </w:rPr>
        <w:t>of</w:t>
      </w:r>
      <w:r>
        <w:rPr>
          <w:spacing w:val="-3"/>
          <w:sz w:val="18"/>
        </w:rPr>
        <w:t xml:space="preserve"> </w:t>
      </w:r>
      <w:r>
        <w:rPr>
          <w:sz w:val="18"/>
        </w:rPr>
        <w:t>efficient</w:t>
      </w:r>
      <w:r>
        <w:rPr>
          <w:spacing w:val="-3"/>
          <w:sz w:val="18"/>
        </w:rPr>
        <w:t xml:space="preserve"> </w:t>
      </w:r>
      <w:r>
        <w:rPr>
          <w:sz w:val="18"/>
        </w:rPr>
        <w:t>equipment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marketplace</w:t>
      </w:r>
      <w:r>
        <w:rPr>
          <w:spacing w:val="-3"/>
          <w:sz w:val="18"/>
        </w:rPr>
        <w:t xml:space="preserve"> </w:t>
      </w:r>
      <w:r>
        <w:rPr>
          <w:sz w:val="18"/>
        </w:rPr>
        <w:t>because</w:t>
      </w:r>
      <w:r>
        <w:rPr>
          <w:spacing w:val="-2"/>
          <w:sz w:val="18"/>
        </w:rPr>
        <w:t xml:space="preserve"> </w:t>
      </w:r>
      <w:r>
        <w:rPr>
          <w:sz w:val="18"/>
        </w:rPr>
        <w:t>the</w:t>
      </w:r>
      <w:r>
        <w:rPr>
          <w:spacing w:val="-3"/>
          <w:sz w:val="18"/>
        </w:rPr>
        <w:t xml:space="preserve"> </w:t>
      </w:r>
      <w:r>
        <w:rPr>
          <w:sz w:val="18"/>
        </w:rPr>
        <w:t>inverse of the assumption regarding recommendations is not true (i.e., just because an industrial facility did not receive a recommendation does not mean it already had the efficient version of the recommendation installed).</w:t>
      </w:r>
    </w:p>
    <w:p w:rsidR="00C31389" w:rsidRDefault="00561FBD" w14:paraId="5ED7B5CB" w14:textId="77777777">
      <w:pPr>
        <w:spacing w:before="36"/>
        <w:ind w:left="480" w:right="533" w:hanging="1"/>
        <w:rPr>
          <w:sz w:val="18"/>
        </w:rPr>
      </w:pPr>
      <w:bookmarkStart w:name="_bookmark172" w:id="230"/>
      <w:bookmarkEnd w:id="230"/>
      <w:r>
        <w:rPr>
          <w:position w:val="6"/>
          <w:sz w:val="12"/>
        </w:rPr>
        <w:t>58</w:t>
      </w:r>
      <w:r>
        <w:rPr>
          <w:spacing w:val="15"/>
          <w:position w:val="6"/>
          <w:sz w:val="12"/>
        </w:rPr>
        <w:t xml:space="preserve"> </w:t>
      </w:r>
      <w:r>
        <w:rPr>
          <w:sz w:val="18"/>
        </w:rPr>
        <w:t>Gene</w:t>
      </w:r>
      <w:r>
        <w:rPr>
          <w:sz w:val="18"/>
        </w:rPr>
        <w:t>ric</w:t>
      </w:r>
      <w:r>
        <w:rPr>
          <w:spacing w:val="-2"/>
          <w:sz w:val="18"/>
        </w:rPr>
        <w:t xml:space="preserve"> </w:t>
      </w:r>
      <w:r>
        <w:rPr>
          <w:sz w:val="18"/>
        </w:rPr>
        <w:t>custom</w:t>
      </w:r>
      <w:r>
        <w:rPr>
          <w:spacing w:val="-2"/>
          <w:sz w:val="18"/>
        </w:rPr>
        <w:t xml:space="preserve"> </w:t>
      </w:r>
      <w:r>
        <w:rPr>
          <w:sz w:val="18"/>
        </w:rPr>
        <w:t>also</w:t>
      </w:r>
      <w:r>
        <w:rPr>
          <w:spacing w:val="-3"/>
          <w:sz w:val="18"/>
        </w:rPr>
        <w:t xml:space="preserve"> </w:t>
      </w:r>
      <w:r>
        <w:rPr>
          <w:sz w:val="18"/>
        </w:rPr>
        <w:t>includes</w:t>
      </w:r>
      <w:r>
        <w:rPr>
          <w:spacing w:val="-2"/>
          <w:sz w:val="18"/>
        </w:rPr>
        <w:t xml:space="preserve"> </w:t>
      </w:r>
      <w:r>
        <w:rPr>
          <w:sz w:val="18"/>
        </w:rPr>
        <w:t>a</w:t>
      </w:r>
      <w:r>
        <w:rPr>
          <w:spacing w:val="-3"/>
          <w:sz w:val="18"/>
        </w:rPr>
        <w:t xml:space="preserve"> </w:t>
      </w:r>
      <w:r>
        <w:rPr>
          <w:sz w:val="18"/>
        </w:rPr>
        <w:t>large</w:t>
      </w:r>
      <w:r>
        <w:rPr>
          <w:spacing w:val="-3"/>
          <w:sz w:val="18"/>
        </w:rPr>
        <w:t xml:space="preserve"> </w:t>
      </w:r>
      <w:r>
        <w:rPr>
          <w:sz w:val="18"/>
        </w:rPr>
        <w:t>number</w:t>
      </w:r>
      <w:r>
        <w:rPr>
          <w:spacing w:val="-2"/>
          <w:sz w:val="18"/>
        </w:rPr>
        <w:t xml:space="preserve"> </w:t>
      </w:r>
      <w:r>
        <w:rPr>
          <w:sz w:val="18"/>
        </w:rPr>
        <w:t>of</w:t>
      </w:r>
      <w:r>
        <w:rPr>
          <w:spacing w:val="-2"/>
          <w:sz w:val="18"/>
        </w:rPr>
        <w:t xml:space="preserve"> </w:t>
      </w:r>
      <w:r>
        <w:rPr>
          <w:sz w:val="18"/>
        </w:rPr>
        <w:t>discrete</w:t>
      </w:r>
      <w:r>
        <w:rPr>
          <w:spacing w:val="-1"/>
          <w:sz w:val="18"/>
        </w:rPr>
        <w:t xml:space="preserve"> </w:t>
      </w:r>
      <w:r>
        <w:rPr>
          <w:sz w:val="18"/>
        </w:rPr>
        <w:t>measures</w:t>
      </w:r>
      <w:r>
        <w:rPr>
          <w:spacing w:val="-2"/>
          <w:sz w:val="18"/>
        </w:rPr>
        <w:t xml:space="preserve"> </w:t>
      </w:r>
      <w:r>
        <w:rPr>
          <w:sz w:val="18"/>
        </w:rPr>
        <w:t>that</w:t>
      </w:r>
      <w:r>
        <w:rPr>
          <w:spacing w:val="-1"/>
          <w:sz w:val="18"/>
        </w:rPr>
        <w:t xml:space="preserve"> </w:t>
      </w:r>
      <w:r>
        <w:rPr>
          <w:sz w:val="18"/>
        </w:rPr>
        <w:t>each</w:t>
      </w:r>
      <w:r>
        <w:rPr>
          <w:spacing w:val="-3"/>
          <w:sz w:val="18"/>
        </w:rPr>
        <w:t xml:space="preserve"> </w:t>
      </w:r>
      <w:r>
        <w:rPr>
          <w:sz w:val="18"/>
        </w:rPr>
        <w:t>contribute</w:t>
      </w:r>
      <w:r>
        <w:rPr>
          <w:spacing w:val="-3"/>
          <w:sz w:val="18"/>
        </w:rPr>
        <w:t xml:space="preserve"> </w:t>
      </w:r>
      <w:r>
        <w:rPr>
          <w:sz w:val="18"/>
        </w:rPr>
        <w:t>a</w:t>
      </w:r>
      <w:r>
        <w:rPr>
          <w:spacing w:val="-3"/>
          <w:sz w:val="18"/>
        </w:rPr>
        <w:t xml:space="preserve"> </w:t>
      </w:r>
      <w:r>
        <w:rPr>
          <w:sz w:val="18"/>
        </w:rPr>
        <w:t>small</w:t>
      </w:r>
      <w:r>
        <w:rPr>
          <w:spacing w:val="-3"/>
          <w:sz w:val="18"/>
        </w:rPr>
        <w:t xml:space="preserve"> </w:t>
      </w:r>
      <w:r>
        <w:rPr>
          <w:sz w:val="18"/>
        </w:rPr>
        <w:t>amount</w:t>
      </w:r>
      <w:r>
        <w:rPr>
          <w:spacing w:val="-2"/>
          <w:sz w:val="18"/>
        </w:rPr>
        <w:t xml:space="preserve"> </w:t>
      </w:r>
      <w:r>
        <w:rPr>
          <w:sz w:val="18"/>
        </w:rPr>
        <w:t>of</w:t>
      </w:r>
      <w:r>
        <w:rPr>
          <w:spacing w:val="-2"/>
          <w:sz w:val="18"/>
        </w:rPr>
        <w:t xml:space="preserve"> </w:t>
      </w:r>
      <w:r>
        <w:rPr>
          <w:sz w:val="18"/>
        </w:rPr>
        <w:t>savings and collectively account for a small percentage of sector savings.</w:t>
      </w:r>
    </w:p>
    <w:p w:rsidR="00C31389" w:rsidRDefault="00C31389" w14:paraId="14661221" w14:textId="77777777">
      <w:pPr>
        <w:rPr>
          <w:sz w:val="18"/>
        </w:rPr>
        <w:sectPr w:rsidR="00C31389">
          <w:pgSz w:w="12240" w:h="15840"/>
          <w:pgMar w:top="1660" w:right="960" w:bottom="1120" w:left="960" w:header="397" w:footer="936" w:gutter="0"/>
          <w:cols w:space="720"/>
        </w:sectPr>
      </w:pPr>
    </w:p>
    <w:p w:rsidR="00C31389" w:rsidRDefault="00C31389" w14:paraId="2AD22640" w14:textId="77777777">
      <w:pPr>
        <w:pStyle w:val="BodyText"/>
        <w:spacing w:before="11"/>
        <w:rPr>
          <w:sz w:val="13"/>
        </w:rPr>
      </w:pPr>
    </w:p>
    <w:p w:rsidR="00C31389" w:rsidRDefault="00561FBD" w14:paraId="5B1229CF" w14:textId="77777777">
      <w:pPr>
        <w:pStyle w:val="BodyText"/>
        <w:spacing w:before="92"/>
        <w:ind w:left="480" w:right="544"/>
      </w:pPr>
      <w:r>
        <w:t xml:space="preserve">Similar to the 2021 PG Model, the 2023 model treats generic custom measures as a specific measure class. </w:t>
      </w:r>
      <w:hyperlink w:history="1" w:anchor="_bookmark173">
        <w:r>
          <w:t>Table 3-21.</w:t>
        </w:r>
      </w:hyperlink>
      <w:r>
        <w:t xml:space="preserve"> provides the inputs for electricity and natural gas for these measures; ad</w:t>
      </w:r>
      <w:r>
        <w:t>ditional discussion follows the table. The Guidehouse team provides separate UES estimates for the industrial and agriculture market sectors. The team calculated the EUL for these measures at 15 years because most savings come from larger capital investmen</w:t>
      </w:r>
      <w:r>
        <w:t>ts with</w:t>
      </w:r>
      <w:r>
        <w:rPr>
          <w:spacing w:val="-3"/>
        </w:rPr>
        <w:t xml:space="preserve"> </w:t>
      </w:r>
      <w:r>
        <w:t>long</w:t>
      </w:r>
      <w:r>
        <w:rPr>
          <w:spacing w:val="-3"/>
        </w:rPr>
        <w:t xml:space="preserve"> </w:t>
      </w:r>
      <w:r>
        <w:t>operating</w:t>
      </w:r>
      <w:r>
        <w:rPr>
          <w:spacing w:val="-3"/>
        </w:rPr>
        <w:t xml:space="preserve"> </w:t>
      </w:r>
      <w:r>
        <w:t>lives.</w:t>
      </w:r>
      <w:r>
        <w:rPr>
          <w:spacing w:val="-3"/>
        </w:rPr>
        <w:t xml:space="preserve"> </w:t>
      </w:r>
      <w:hyperlink w:history="1" w:anchor="_bookmark464">
        <w:r>
          <w:t>Appendix</w:t>
        </w:r>
        <w:r>
          <w:rPr>
            <w:spacing w:val="-4"/>
          </w:rPr>
          <w:t xml:space="preserve"> </w:t>
        </w:r>
        <w:r>
          <w:t>G</w:t>
        </w:r>
      </w:hyperlink>
      <w:r>
        <w:rPr>
          <w:spacing w:val="-3"/>
        </w:rPr>
        <w:t xml:space="preserve"> </w:t>
      </w:r>
      <w:r>
        <w:t>provides</w:t>
      </w:r>
      <w:r>
        <w:rPr>
          <w:spacing w:val="-4"/>
        </w:rPr>
        <w:t xml:space="preserve"> </w:t>
      </w:r>
      <w:r>
        <w:t>additional</w:t>
      </w:r>
      <w:r>
        <w:rPr>
          <w:spacing w:val="-3"/>
        </w:rPr>
        <w:t xml:space="preserve"> </w:t>
      </w:r>
      <w:r>
        <w:t>details</w:t>
      </w:r>
      <w:r>
        <w:rPr>
          <w:spacing w:val="-3"/>
        </w:rPr>
        <w:t xml:space="preserve"> </w:t>
      </w:r>
      <w:r>
        <w:t>on</w:t>
      </w:r>
      <w:r>
        <w:rPr>
          <w:spacing w:val="-3"/>
        </w:rPr>
        <w:t xml:space="preserve"> </w:t>
      </w:r>
      <w:r>
        <w:t>the</w:t>
      </w:r>
      <w:r>
        <w:rPr>
          <w:spacing w:val="-4"/>
        </w:rPr>
        <w:t xml:space="preserve"> </w:t>
      </w:r>
      <w:r>
        <w:t>generic</w:t>
      </w:r>
      <w:r>
        <w:rPr>
          <w:spacing w:val="-3"/>
        </w:rPr>
        <w:t xml:space="preserve"> </w:t>
      </w:r>
      <w:r>
        <w:t>custom</w:t>
      </w:r>
      <w:r>
        <w:rPr>
          <w:spacing w:val="-4"/>
        </w:rPr>
        <w:t xml:space="preserve"> </w:t>
      </w:r>
      <w:r>
        <w:t>analysis and forecast methodology.</w:t>
      </w:r>
    </w:p>
    <w:p w:rsidR="00C31389" w:rsidRDefault="00C31389" w14:paraId="62DACBC1" w14:textId="77777777">
      <w:pPr>
        <w:pStyle w:val="BodyText"/>
        <w:spacing w:before="11"/>
        <w:rPr>
          <w:sz w:val="20"/>
        </w:rPr>
      </w:pPr>
    </w:p>
    <w:p w:rsidR="00C31389" w:rsidRDefault="00561FBD" w14:paraId="7EC797FB" w14:textId="77777777">
      <w:pPr>
        <w:pStyle w:val="Heading7"/>
        <w:ind w:left="566" w:right="566"/>
        <w:jc w:val="center"/>
      </w:pPr>
      <w:bookmarkStart w:name="_bookmark173" w:id="231"/>
      <w:bookmarkEnd w:id="231"/>
      <w:r>
        <w:t>Table</w:t>
      </w:r>
      <w:r>
        <w:rPr>
          <w:spacing w:val="-7"/>
        </w:rPr>
        <w:t xml:space="preserve"> </w:t>
      </w:r>
      <w:r>
        <w:t>3-21.</w:t>
      </w:r>
      <w:r>
        <w:rPr>
          <w:spacing w:val="-7"/>
        </w:rPr>
        <w:t xml:space="preserve"> </w:t>
      </w:r>
      <w:r>
        <w:t>Generic</w:t>
      </w:r>
      <w:r>
        <w:rPr>
          <w:spacing w:val="-7"/>
        </w:rPr>
        <w:t xml:space="preserve"> </w:t>
      </w:r>
      <w:r>
        <w:t>Custom</w:t>
      </w:r>
      <w:r>
        <w:rPr>
          <w:spacing w:val="-6"/>
        </w:rPr>
        <w:t xml:space="preserve"> </w:t>
      </w:r>
      <w:r>
        <w:t>Measures</w:t>
      </w:r>
      <w:r>
        <w:rPr>
          <w:spacing w:val="-7"/>
        </w:rPr>
        <w:t xml:space="preserve"> </w:t>
      </w:r>
      <w:r>
        <w:t>–</w:t>
      </w:r>
      <w:r>
        <w:rPr>
          <w:spacing w:val="-7"/>
        </w:rPr>
        <w:t xml:space="preserve"> </w:t>
      </w:r>
      <w:r>
        <w:t>Key</w:t>
      </w:r>
      <w:r>
        <w:rPr>
          <w:spacing w:val="-6"/>
        </w:rPr>
        <w:t xml:space="preserve"> </w:t>
      </w:r>
      <w:r>
        <w:rPr>
          <w:spacing w:val="-2"/>
        </w:rPr>
        <w:t>Assumptions</w:t>
      </w:r>
    </w:p>
    <w:p w:rsidR="00C31389" w:rsidRDefault="00C31389" w14:paraId="4A1E7577" w14:textId="77777777">
      <w:pPr>
        <w:pStyle w:val="BodyText"/>
        <w:spacing w:before="6"/>
        <w:rPr>
          <w:b/>
          <w:sz w:val="9"/>
        </w:rPr>
      </w:pPr>
    </w:p>
    <w:tbl>
      <w:tblPr>
        <w:tblW w:w="0" w:type="auto"/>
        <w:tblInd w:w="487" w:type="dxa"/>
        <w:tblLayout w:type="fixed"/>
        <w:tblCellMar>
          <w:left w:w="0" w:type="dxa"/>
          <w:right w:w="0" w:type="dxa"/>
        </w:tblCellMar>
        <w:tblLook w:val="01E0" w:firstRow="1" w:lastRow="1" w:firstColumn="1" w:lastColumn="1" w:noHBand="0" w:noVBand="0"/>
      </w:tblPr>
      <w:tblGrid>
        <w:gridCol w:w="1269"/>
        <w:gridCol w:w="1305"/>
        <w:gridCol w:w="1221"/>
        <w:gridCol w:w="1049"/>
        <w:gridCol w:w="1222"/>
        <w:gridCol w:w="1247"/>
        <w:gridCol w:w="835"/>
        <w:gridCol w:w="1208"/>
      </w:tblGrid>
      <w:tr w:rsidR="00C31389" w14:paraId="5085D8C0" w14:textId="77777777">
        <w:trPr>
          <w:trHeight w:val="273"/>
        </w:trPr>
        <w:tc>
          <w:tcPr>
            <w:tcW w:w="1269" w:type="dxa"/>
            <w:shd w:val="clear" w:color="auto" w:fill="92D400"/>
          </w:tcPr>
          <w:p w:rsidR="00C31389" w:rsidRDefault="00C31389" w14:paraId="0D8D24AF" w14:textId="77777777">
            <w:pPr>
              <w:pStyle w:val="TableParagraph"/>
              <w:spacing w:before="0"/>
              <w:rPr>
                <w:rFonts w:ascii="Times New Roman"/>
                <w:sz w:val="20"/>
              </w:rPr>
            </w:pPr>
          </w:p>
        </w:tc>
        <w:tc>
          <w:tcPr>
            <w:tcW w:w="1305" w:type="dxa"/>
            <w:shd w:val="clear" w:color="auto" w:fill="92D400"/>
          </w:tcPr>
          <w:p w:rsidR="00C31389" w:rsidRDefault="00C31389" w14:paraId="7AC507DD" w14:textId="77777777">
            <w:pPr>
              <w:pStyle w:val="TableParagraph"/>
              <w:spacing w:before="0"/>
              <w:rPr>
                <w:rFonts w:ascii="Times New Roman"/>
                <w:sz w:val="20"/>
              </w:rPr>
            </w:pPr>
          </w:p>
        </w:tc>
        <w:tc>
          <w:tcPr>
            <w:tcW w:w="1221" w:type="dxa"/>
            <w:vMerge w:val="restart"/>
            <w:shd w:val="clear" w:color="auto" w:fill="92D400"/>
          </w:tcPr>
          <w:p w:rsidR="00C31389" w:rsidRDefault="00561FBD" w14:paraId="73CBB59F" w14:textId="77777777">
            <w:pPr>
              <w:pStyle w:val="TableParagraph"/>
              <w:spacing w:before="155"/>
              <w:ind w:left="480"/>
              <w:rPr>
                <w:b/>
                <w:sz w:val="20"/>
              </w:rPr>
            </w:pPr>
            <w:r>
              <w:rPr>
                <w:b/>
                <w:spacing w:val="-5"/>
                <w:sz w:val="20"/>
              </w:rPr>
              <w:t>EUL</w:t>
            </w:r>
          </w:p>
          <w:p w:rsidR="00C31389" w:rsidRDefault="00561FBD" w14:paraId="69039D34" w14:textId="77777777">
            <w:pPr>
              <w:pStyle w:val="TableParagraph"/>
              <w:spacing w:before="1"/>
              <w:ind w:left="408"/>
              <w:rPr>
                <w:b/>
                <w:sz w:val="20"/>
              </w:rPr>
            </w:pPr>
            <w:r>
              <w:rPr>
                <w:b/>
                <w:spacing w:val="-2"/>
                <w:sz w:val="20"/>
              </w:rPr>
              <w:t>Years</w:t>
            </w:r>
          </w:p>
        </w:tc>
        <w:tc>
          <w:tcPr>
            <w:tcW w:w="2271" w:type="dxa"/>
            <w:gridSpan w:val="2"/>
            <w:shd w:val="clear" w:color="auto" w:fill="92D400"/>
          </w:tcPr>
          <w:p w:rsidR="00C31389" w:rsidRDefault="00561FBD" w14:paraId="4AB2CB40" w14:textId="77777777">
            <w:pPr>
              <w:pStyle w:val="TableParagraph"/>
              <w:spacing w:line="213" w:lineRule="exact"/>
              <w:ind w:left="666"/>
              <w:rPr>
                <w:b/>
                <w:sz w:val="20"/>
              </w:rPr>
            </w:pPr>
            <w:r>
              <w:rPr>
                <w:b/>
                <w:spacing w:val="-2"/>
                <w:sz w:val="20"/>
              </w:rPr>
              <w:t>Savings</w:t>
            </w:r>
          </w:p>
        </w:tc>
        <w:tc>
          <w:tcPr>
            <w:tcW w:w="1247" w:type="dxa"/>
            <w:shd w:val="clear" w:color="auto" w:fill="92D400"/>
          </w:tcPr>
          <w:p w:rsidR="00C31389" w:rsidRDefault="00561FBD" w14:paraId="482C3DA7" w14:textId="77777777">
            <w:pPr>
              <w:pStyle w:val="TableParagraph"/>
              <w:spacing w:line="213" w:lineRule="exact"/>
              <w:ind w:left="808" w:right="-15"/>
              <w:rPr>
                <w:b/>
                <w:sz w:val="20"/>
              </w:rPr>
            </w:pPr>
            <w:r>
              <w:rPr>
                <w:b/>
                <w:spacing w:val="-4"/>
                <w:sz w:val="20"/>
              </w:rPr>
              <w:t>Cost</w:t>
            </w:r>
          </w:p>
        </w:tc>
        <w:tc>
          <w:tcPr>
            <w:tcW w:w="835" w:type="dxa"/>
            <w:shd w:val="clear" w:color="auto" w:fill="92D400"/>
          </w:tcPr>
          <w:p w:rsidR="00C31389" w:rsidRDefault="00C31389" w14:paraId="6445FC9E" w14:textId="77777777">
            <w:pPr>
              <w:pStyle w:val="TableParagraph"/>
              <w:spacing w:before="0"/>
              <w:rPr>
                <w:rFonts w:ascii="Times New Roman"/>
                <w:sz w:val="20"/>
              </w:rPr>
            </w:pPr>
          </w:p>
        </w:tc>
        <w:tc>
          <w:tcPr>
            <w:tcW w:w="1208" w:type="dxa"/>
            <w:vMerge w:val="restart"/>
            <w:shd w:val="clear" w:color="auto" w:fill="92D400"/>
          </w:tcPr>
          <w:p w:rsidR="00C31389" w:rsidRDefault="00561FBD" w14:paraId="6BF92824" w14:textId="77777777">
            <w:pPr>
              <w:pStyle w:val="TableParagraph"/>
              <w:ind w:left="173" w:right="252"/>
              <w:jc w:val="both"/>
              <w:rPr>
                <w:b/>
                <w:sz w:val="20"/>
              </w:rPr>
            </w:pPr>
            <w:r>
              <w:rPr>
                <w:b/>
                <w:spacing w:val="-2"/>
                <w:sz w:val="20"/>
              </w:rPr>
              <w:t>kW/kWh Savings Ratio</w:t>
            </w:r>
          </w:p>
        </w:tc>
      </w:tr>
      <w:tr w:rsidR="00C31389" w14:paraId="6B99FC5D" w14:textId="77777777">
        <w:trPr>
          <w:trHeight w:val="506"/>
        </w:trPr>
        <w:tc>
          <w:tcPr>
            <w:tcW w:w="1269" w:type="dxa"/>
            <w:shd w:val="clear" w:color="auto" w:fill="92D400"/>
          </w:tcPr>
          <w:p w:rsidR="00C31389" w:rsidRDefault="00561FBD" w14:paraId="39D91857" w14:textId="77777777">
            <w:pPr>
              <w:pStyle w:val="TableParagraph"/>
              <w:spacing w:before="0" w:line="227" w:lineRule="exact"/>
              <w:ind w:left="115"/>
              <w:rPr>
                <w:b/>
                <w:sz w:val="20"/>
              </w:rPr>
            </w:pPr>
            <w:r>
              <w:rPr>
                <w:b/>
                <w:spacing w:val="-2"/>
                <w:sz w:val="20"/>
              </w:rPr>
              <w:t>Sector</w:t>
            </w:r>
          </w:p>
        </w:tc>
        <w:tc>
          <w:tcPr>
            <w:tcW w:w="1305" w:type="dxa"/>
            <w:shd w:val="clear" w:color="auto" w:fill="92D400"/>
          </w:tcPr>
          <w:p w:rsidR="00C31389" w:rsidRDefault="00561FBD" w14:paraId="58878C3C" w14:textId="77777777">
            <w:pPr>
              <w:pStyle w:val="TableParagraph"/>
              <w:spacing w:before="0" w:line="227" w:lineRule="exact"/>
              <w:ind w:left="196"/>
              <w:rPr>
                <w:b/>
                <w:sz w:val="20"/>
              </w:rPr>
            </w:pPr>
            <w:r>
              <w:rPr>
                <w:b/>
                <w:spacing w:val="-4"/>
                <w:sz w:val="20"/>
              </w:rPr>
              <w:t>Type</w:t>
            </w:r>
          </w:p>
        </w:tc>
        <w:tc>
          <w:tcPr>
            <w:tcW w:w="1221" w:type="dxa"/>
            <w:vMerge/>
            <w:tcBorders>
              <w:top w:val="nil"/>
            </w:tcBorders>
            <w:shd w:val="clear" w:color="auto" w:fill="92D400"/>
          </w:tcPr>
          <w:p w:rsidR="00C31389" w:rsidRDefault="00C31389" w14:paraId="631BB056" w14:textId="77777777">
            <w:pPr>
              <w:rPr>
                <w:sz w:val="2"/>
                <w:szCs w:val="2"/>
              </w:rPr>
            </w:pPr>
          </w:p>
        </w:tc>
        <w:tc>
          <w:tcPr>
            <w:tcW w:w="1049" w:type="dxa"/>
            <w:shd w:val="clear" w:color="auto" w:fill="92D400"/>
          </w:tcPr>
          <w:p w:rsidR="00C31389" w:rsidRDefault="00561FBD" w14:paraId="3848CB94" w14:textId="77777777">
            <w:pPr>
              <w:pStyle w:val="TableParagraph"/>
              <w:spacing w:before="162"/>
              <w:ind w:left="73" w:right="159"/>
              <w:jc w:val="center"/>
              <w:rPr>
                <w:b/>
                <w:sz w:val="20"/>
              </w:rPr>
            </w:pPr>
            <w:r>
              <w:rPr>
                <w:b/>
                <w:spacing w:val="-5"/>
                <w:sz w:val="20"/>
              </w:rPr>
              <w:t>kWh</w:t>
            </w:r>
          </w:p>
        </w:tc>
        <w:tc>
          <w:tcPr>
            <w:tcW w:w="1222" w:type="dxa"/>
            <w:shd w:val="clear" w:color="auto" w:fill="92D400"/>
          </w:tcPr>
          <w:p w:rsidR="00C31389" w:rsidRDefault="00561FBD" w14:paraId="5BB6BBAA" w14:textId="77777777">
            <w:pPr>
              <w:pStyle w:val="TableParagraph"/>
              <w:spacing w:before="162"/>
              <w:ind w:left="94" w:right="169"/>
              <w:jc w:val="center"/>
              <w:rPr>
                <w:b/>
                <w:sz w:val="20"/>
              </w:rPr>
            </w:pPr>
            <w:r>
              <w:rPr>
                <w:b/>
                <w:spacing w:val="-2"/>
                <w:sz w:val="20"/>
              </w:rPr>
              <w:t>therms</w:t>
            </w:r>
          </w:p>
        </w:tc>
        <w:tc>
          <w:tcPr>
            <w:tcW w:w="1247" w:type="dxa"/>
            <w:shd w:val="clear" w:color="auto" w:fill="92D400"/>
          </w:tcPr>
          <w:p w:rsidR="00C31389" w:rsidRDefault="00561FBD" w14:paraId="0C4A4CDE" w14:textId="77777777">
            <w:pPr>
              <w:pStyle w:val="TableParagraph"/>
              <w:spacing w:before="162"/>
              <w:ind w:left="257"/>
              <w:rPr>
                <w:b/>
                <w:sz w:val="20"/>
              </w:rPr>
            </w:pPr>
            <w:r>
              <w:rPr>
                <w:b/>
                <w:spacing w:val="-5"/>
                <w:sz w:val="20"/>
              </w:rPr>
              <w:t>kWh</w:t>
            </w:r>
          </w:p>
        </w:tc>
        <w:tc>
          <w:tcPr>
            <w:tcW w:w="835" w:type="dxa"/>
            <w:shd w:val="clear" w:color="auto" w:fill="92D400"/>
          </w:tcPr>
          <w:p w:rsidR="00C31389" w:rsidRDefault="00561FBD" w14:paraId="1973878A" w14:textId="77777777">
            <w:pPr>
              <w:pStyle w:val="TableParagraph"/>
              <w:spacing w:before="162"/>
              <w:ind w:left="-2" w:right="166"/>
              <w:jc w:val="center"/>
              <w:rPr>
                <w:b/>
                <w:sz w:val="20"/>
              </w:rPr>
            </w:pPr>
            <w:r>
              <w:rPr>
                <w:b/>
                <w:spacing w:val="-2"/>
                <w:sz w:val="20"/>
              </w:rPr>
              <w:t>therms</w:t>
            </w:r>
          </w:p>
        </w:tc>
        <w:tc>
          <w:tcPr>
            <w:tcW w:w="1208" w:type="dxa"/>
            <w:vMerge/>
            <w:tcBorders>
              <w:top w:val="nil"/>
            </w:tcBorders>
            <w:shd w:val="clear" w:color="auto" w:fill="92D400"/>
          </w:tcPr>
          <w:p w:rsidR="00C31389" w:rsidRDefault="00C31389" w14:paraId="00237707" w14:textId="77777777">
            <w:pPr>
              <w:rPr>
                <w:sz w:val="2"/>
                <w:szCs w:val="2"/>
              </w:rPr>
            </w:pPr>
          </w:p>
        </w:tc>
      </w:tr>
      <w:tr w:rsidR="00C31389" w14:paraId="23F86836" w14:textId="77777777">
        <w:trPr>
          <w:trHeight w:val="294"/>
        </w:trPr>
        <w:tc>
          <w:tcPr>
            <w:tcW w:w="1269" w:type="dxa"/>
          </w:tcPr>
          <w:p w:rsidR="00C31389" w:rsidRDefault="00561FBD" w14:paraId="0D737E2A" w14:textId="77777777">
            <w:pPr>
              <w:pStyle w:val="TableParagraph"/>
              <w:spacing w:before="97" w:line="178" w:lineRule="exact"/>
              <w:ind w:left="115"/>
              <w:rPr>
                <w:sz w:val="20"/>
              </w:rPr>
            </w:pPr>
            <w:r>
              <w:rPr>
                <w:spacing w:val="-2"/>
                <w:sz w:val="20"/>
              </w:rPr>
              <w:t>Industrial</w:t>
            </w:r>
          </w:p>
        </w:tc>
        <w:tc>
          <w:tcPr>
            <w:tcW w:w="1305" w:type="dxa"/>
            <w:vMerge w:val="restart"/>
            <w:tcBorders>
              <w:bottom w:val="single" w:color="000000" w:sz="8" w:space="0"/>
            </w:tcBorders>
          </w:tcPr>
          <w:p w:rsidR="00C31389" w:rsidRDefault="00561FBD" w14:paraId="22BBD538" w14:textId="77777777">
            <w:pPr>
              <w:pStyle w:val="TableParagraph"/>
              <w:spacing w:before="161"/>
              <w:ind w:left="196" w:right="402"/>
              <w:rPr>
                <w:sz w:val="20"/>
              </w:rPr>
            </w:pPr>
            <w:r>
              <w:rPr>
                <w:spacing w:val="-2"/>
                <w:sz w:val="20"/>
              </w:rPr>
              <w:t>Generic Custom</w:t>
            </w:r>
          </w:p>
        </w:tc>
        <w:tc>
          <w:tcPr>
            <w:tcW w:w="1221" w:type="dxa"/>
          </w:tcPr>
          <w:p w:rsidR="00C31389" w:rsidRDefault="00C31389" w14:paraId="1AEF9585" w14:textId="77777777">
            <w:pPr>
              <w:pStyle w:val="TableParagraph"/>
              <w:spacing w:before="0"/>
              <w:rPr>
                <w:rFonts w:ascii="Times New Roman"/>
                <w:sz w:val="20"/>
              </w:rPr>
            </w:pPr>
          </w:p>
        </w:tc>
        <w:tc>
          <w:tcPr>
            <w:tcW w:w="1049" w:type="dxa"/>
          </w:tcPr>
          <w:p w:rsidR="00C31389" w:rsidRDefault="00561FBD" w14:paraId="7447D06D" w14:textId="77777777">
            <w:pPr>
              <w:pStyle w:val="TableParagraph"/>
              <w:spacing w:before="97" w:line="178" w:lineRule="exact"/>
              <w:ind w:left="73" w:right="160"/>
              <w:jc w:val="center"/>
              <w:rPr>
                <w:sz w:val="20"/>
              </w:rPr>
            </w:pPr>
            <w:r>
              <w:rPr>
                <w:spacing w:val="-2"/>
                <w:sz w:val="20"/>
              </w:rPr>
              <w:t>0.0651%</w:t>
            </w:r>
          </w:p>
        </w:tc>
        <w:tc>
          <w:tcPr>
            <w:tcW w:w="1222" w:type="dxa"/>
          </w:tcPr>
          <w:p w:rsidR="00C31389" w:rsidRDefault="00561FBD" w14:paraId="0213DFE2" w14:textId="77777777">
            <w:pPr>
              <w:pStyle w:val="TableParagraph"/>
              <w:spacing w:before="97" w:line="178" w:lineRule="exact"/>
              <w:ind w:left="93" w:right="169"/>
              <w:jc w:val="center"/>
              <w:rPr>
                <w:sz w:val="20"/>
              </w:rPr>
            </w:pPr>
            <w:r>
              <w:rPr>
                <w:spacing w:val="-2"/>
                <w:sz w:val="20"/>
              </w:rPr>
              <w:t>0.0496%</w:t>
            </w:r>
          </w:p>
        </w:tc>
        <w:tc>
          <w:tcPr>
            <w:tcW w:w="1247" w:type="dxa"/>
          </w:tcPr>
          <w:p w:rsidR="00C31389" w:rsidRDefault="00C31389" w14:paraId="4F80A55C" w14:textId="77777777">
            <w:pPr>
              <w:pStyle w:val="TableParagraph"/>
              <w:spacing w:before="0"/>
              <w:rPr>
                <w:rFonts w:ascii="Times New Roman"/>
                <w:sz w:val="20"/>
              </w:rPr>
            </w:pPr>
          </w:p>
        </w:tc>
        <w:tc>
          <w:tcPr>
            <w:tcW w:w="835" w:type="dxa"/>
          </w:tcPr>
          <w:p w:rsidR="00C31389" w:rsidRDefault="00C31389" w14:paraId="1554A679" w14:textId="77777777">
            <w:pPr>
              <w:pStyle w:val="TableParagraph"/>
              <w:spacing w:before="0"/>
              <w:rPr>
                <w:rFonts w:ascii="Times New Roman"/>
                <w:sz w:val="20"/>
              </w:rPr>
            </w:pPr>
          </w:p>
        </w:tc>
        <w:tc>
          <w:tcPr>
            <w:tcW w:w="1208" w:type="dxa"/>
          </w:tcPr>
          <w:p w:rsidR="00C31389" w:rsidRDefault="00C31389" w14:paraId="6B833796" w14:textId="77777777">
            <w:pPr>
              <w:pStyle w:val="TableParagraph"/>
              <w:spacing w:before="0"/>
              <w:rPr>
                <w:rFonts w:ascii="Times New Roman"/>
                <w:sz w:val="20"/>
              </w:rPr>
            </w:pPr>
          </w:p>
        </w:tc>
      </w:tr>
      <w:tr w:rsidR="00C31389" w14:paraId="78D57098" w14:textId="77777777">
        <w:trPr>
          <w:trHeight w:val="176"/>
        </w:trPr>
        <w:tc>
          <w:tcPr>
            <w:tcW w:w="1269" w:type="dxa"/>
          </w:tcPr>
          <w:p w:rsidR="00C31389" w:rsidRDefault="00C31389" w14:paraId="0BC296B1" w14:textId="77777777">
            <w:pPr>
              <w:pStyle w:val="TableParagraph"/>
              <w:spacing w:before="0"/>
              <w:rPr>
                <w:rFonts w:ascii="Times New Roman"/>
                <w:sz w:val="10"/>
              </w:rPr>
            </w:pPr>
          </w:p>
        </w:tc>
        <w:tc>
          <w:tcPr>
            <w:tcW w:w="1305" w:type="dxa"/>
            <w:vMerge/>
            <w:tcBorders>
              <w:top w:val="nil"/>
              <w:bottom w:val="single" w:color="000000" w:sz="8" w:space="0"/>
            </w:tcBorders>
          </w:tcPr>
          <w:p w:rsidR="00C31389" w:rsidRDefault="00C31389" w14:paraId="431BCB2F" w14:textId="77777777">
            <w:pPr>
              <w:rPr>
                <w:sz w:val="2"/>
                <w:szCs w:val="2"/>
              </w:rPr>
            </w:pPr>
          </w:p>
        </w:tc>
        <w:tc>
          <w:tcPr>
            <w:tcW w:w="1221" w:type="dxa"/>
          </w:tcPr>
          <w:p w:rsidR="00C31389" w:rsidRDefault="00561FBD" w14:paraId="1C4E9D79" w14:textId="77777777">
            <w:pPr>
              <w:pStyle w:val="TableParagraph"/>
              <w:spacing w:before="0" w:line="157" w:lineRule="exact"/>
              <w:ind w:left="184" w:right="45"/>
              <w:jc w:val="center"/>
              <w:rPr>
                <w:sz w:val="20"/>
              </w:rPr>
            </w:pPr>
            <w:r>
              <w:rPr>
                <w:spacing w:val="-5"/>
                <w:sz w:val="20"/>
              </w:rPr>
              <w:t>15</w:t>
            </w:r>
          </w:p>
        </w:tc>
        <w:tc>
          <w:tcPr>
            <w:tcW w:w="1049" w:type="dxa"/>
          </w:tcPr>
          <w:p w:rsidR="00C31389" w:rsidRDefault="00C31389" w14:paraId="0EFBE4CE" w14:textId="77777777">
            <w:pPr>
              <w:pStyle w:val="TableParagraph"/>
              <w:spacing w:before="0"/>
              <w:rPr>
                <w:rFonts w:ascii="Times New Roman"/>
                <w:sz w:val="10"/>
              </w:rPr>
            </w:pPr>
          </w:p>
        </w:tc>
        <w:tc>
          <w:tcPr>
            <w:tcW w:w="1222" w:type="dxa"/>
          </w:tcPr>
          <w:p w:rsidR="00C31389" w:rsidRDefault="00C31389" w14:paraId="70856F00" w14:textId="77777777">
            <w:pPr>
              <w:pStyle w:val="TableParagraph"/>
              <w:spacing w:before="0"/>
              <w:rPr>
                <w:rFonts w:ascii="Times New Roman"/>
                <w:sz w:val="10"/>
              </w:rPr>
            </w:pPr>
          </w:p>
        </w:tc>
        <w:tc>
          <w:tcPr>
            <w:tcW w:w="1247" w:type="dxa"/>
          </w:tcPr>
          <w:p w:rsidR="00C31389" w:rsidRDefault="00561FBD" w14:paraId="4A004DBB" w14:textId="77777777">
            <w:pPr>
              <w:pStyle w:val="TableParagraph"/>
              <w:spacing w:before="0" w:line="157" w:lineRule="exact"/>
              <w:ind w:left="219"/>
              <w:rPr>
                <w:sz w:val="20"/>
              </w:rPr>
            </w:pPr>
            <w:r>
              <w:rPr>
                <w:spacing w:val="-2"/>
                <w:sz w:val="20"/>
              </w:rPr>
              <w:t>$0.48</w:t>
            </w:r>
          </w:p>
        </w:tc>
        <w:tc>
          <w:tcPr>
            <w:tcW w:w="835" w:type="dxa"/>
          </w:tcPr>
          <w:p w:rsidR="00C31389" w:rsidRDefault="00561FBD" w14:paraId="08B2ED28" w14:textId="77777777">
            <w:pPr>
              <w:pStyle w:val="TableParagraph"/>
              <w:spacing w:before="0" w:line="157" w:lineRule="exact"/>
              <w:ind w:left="68" w:right="236"/>
              <w:jc w:val="center"/>
              <w:rPr>
                <w:sz w:val="20"/>
              </w:rPr>
            </w:pPr>
            <w:r>
              <w:rPr>
                <w:spacing w:val="-2"/>
                <w:sz w:val="20"/>
              </w:rPr>
              <w:t>$2.81</w:t>
            </w:r>
          </w:p>
        </w:tc>
        <w:tc>
          <w:tcPr>
            <w:tcW w:w="1208" w:type="dxa"/>
          </w:tcPr>
          <w:p w:rsidR="00C31389" w:rsidRDefault="00561FBD" w14:paraId="5340D26D" w14:textId="77777777">
            <w:pPr>
              <w:pStyle w:val="TableParagraph"/>
              <w:spacing w:before="0" w:line="157" w:lineRule="exact"/>
              <w:ind w:left="173"/>
              <w:rPr>
                <w:sz w:val="20"/>
              </w:rPr>
            </w:pPr>
            <w:r>
              <w:rPr>
                <w:spacing w:val="-2"/>
                <w:sz w:val="20"/>
              </w:rPr>
              <w:t>0.000195</w:t>
            </w:r>
          </w:p>
        </w:tc>
      </w:tr>
      <w:tr w:rsidR="00C31389" w14:paraId="1B533004" w14:textId="77777777">
        <w:trPr>
          <w:trHeight w:val="271"/>
        </w:trPr>
        <w:tc>
          <w:tcPr>
            <w:tcW w:w="1269" w:type="dxa"/>
            <w:tcBorders>
              <w:bottom w:val="single" w:color="000000" w:sz="8" w:space="0"/>
            </w:tcBorders>
          </w:tcPr>
          <w:p w:rsidR="00C31389" w:rsidRDefault="00561FBD" w14:paraId="2F4D5E9F" w14:textId="77777777">
            <w:pPr>
              <w:pStyle w:val="TableParagraph"/>
              <w:spacing w:before="0" w:line="209" w:lineRule="exact"/>
              <w:ind w:left="115"/>
              <w:rPr>
                <w:sz w:val="20"/>
              </w:rPr>
            </w:pPr>
            <w:r>
              <w:rPr>
                <w:noProof/>
              </w:rPr>
              <mc:AlternateContent>
                <mc:Choice Requires="wpg">
                  <w:drawing>
                    <wp:anchor distT="0" distB="0" distL="0" distR="0" simplePos="0" relativeHeight="465481216" behindDoc="1" locked="0" layoutInCell="1" allowOverlap="1" wp14:editId="5C491718" wp14:anchorId="7450D6B0">
                      <wp:simplePos x="0" y="0"/>
                      <wp:positionH relativeFrom="column">
                        <wp:posOffset>0</wp:posOffset>
                      </wp:positionH>
                      <wp:positionV relativeFrom="paragraph">
                        <wp:posOffset>-56721</wp:posOffset>
                      </wp:positionV>
                      <wp:extent cx="857250" cy="3175"/>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3175"/>
                                <a:chOff x="0" y="0"/>
                                <a:chExt cx="857250" cy="3175"/>
                              </a:xfrm>
                            </wpg:grpSpPr>
                            <wps:wsp>
                              <wps:cNvPr id="393" name="Graphic 393"/>
                              <wps:cNvSpPr/>
                              <wps:spPr>
                                <a:xfrm>
                                  <a:off x="0" y="0"/>
                                  <a:ext cx="857250" cy="3175"/>
                                </a:xfrm>
                                <a:custGeom>
                                  <a:avLst/>
                                  <a:gdLst/>
                                  <a:ahLst/>
                                  <a:cxnLst/>
                                  <a:rect l="l" t="t" r="r" b="b"/>
                                  <a:pathLst>
                                    <a:path w="857250" h="3175">
                                      <a:moveTo>
                                        <a:pt x="857250" y="0"/>
                                      </a:moveTo>
                                      <a:lnTo>
                                        <a:pt x="0" y="0"/>
                                      </a:lnTo>
                                      <a:lnTo>
                                        <a:pt x="0" y="3048"/>
                                      </a:lnTo>
                                      <a:lnTo>
                                        <a:pt x="857250" y="3048"/>
                                      </a:lnTo>
                                      <a:lnTo>
                                        <a:pt x="85725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id="Group 392" style="position:absolute;margin-left:0;margin-top:-4.45pt;width:67.5pt;height:.25pt;z-index:-37835264;mso-wrap-distance-left:0;mso-wrap-distance-right:0" coordsize="8572,31" o:spid="_x0000_s1026" w14:anchorId="2EF76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">
                      <v:shape id="Graphic 393" style="position:absolute;width:8572;height:31;visibility:visible;mso-wrap-style:square;v-text-anchor:top" coordsize="857250,3175" o:spid="_x0000_s1027" fillcolor="#d9d9d9" stroked="f" path="m857250,l,,,3048r857250,l857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">
                        <v:path arrowok="t"/>
                      </v:shape>
                    </v:group>
                  </w:pict>
                </mc:Fallback>
              </mc:AlternateContent>
            </w:r>
            <w:r>
              <w:rPr>
                <w:spacing w:val="-2"/>
                <w:sz w:val="20"/>
              </w:rPr>
              <w:t>Agriculture</w:t>
            </w:r>
          </w:p>
        </w:tc>
        <w:tc>
          <w:tcPr>
            <w:tcW w:w="1305" w:type="dxa"/>
            <w:vMerge/>
            <w:tcBorders>
              <w:top w:val="nil"/>
              <w:bottom w:val="single" w:color="000000" w:sz="8" w:space="0"/>
            </w:tcBorders>
          </w:tcPr>
          <w:p w:rsidR="00C31389" w:rsidRDefault="00C31389" w14:paraId="4633C6B7" w14:textId="77777777">
            <w:pPr>
              <w:rPr>
                <w:sz w:val="2"/>
                <w:szCs w:val="2"/>
              </w:rPr>
            </w:pPr>
          </w:p>
        </w:tc>
        <w:tc>
          <w:tcPr>
            <w:tcW w:w="1221" w:type="dxa"/>
            <w:tcBorders>
              <w:bottom w:val="single" w:color="000000" w:sz="8" w:space="0"/>
            </w:tcBorders>
          </w:tcPr>
          <w:p w:rsidR="00C31389" w:rsidRDefault="00C31389" w14:paraId="4B5B22DC" w14:textId="77777777">
            <w:pPr>
              <w:pStyle w:val="TableParagraph"/>
              <w:spacing w:before="0"/>
              <w:rPr>
                <w:rFonts w:ascii="Times New Roman"/>
                <w:sz w:val="20"/>
              </w:rPr>
            </w:pPr>
          </w:p>
        </w:tc>
        <w:tc>
          <w:tcPr>
            <w:tcW w:w="1049" w:type="dxa"/>
            <w:tcBorders>
              <w:bottom w:val="single" w:color="000000" w:sz="8" w:space="0"/>
            </w:tcBorders>
          </w:tcPr>
          <w:p w:rsidR="00C31389" w:rsidRDefault="00561FBD" w14:paraId="02553D99" w14:textId="77777777">
            <w:pPr>
              <w:pStyle w:val="TableParagraph"/>
              <w:spacing w:before="0" w:line="209" w:lineRule="exact"/>
              <w:ind w:left="73" w:right="160"/>
              <w:jc w:val="center"/>
              <w:rPr>
                <w:sz w:val="20"/>
              </w:rPr>
            </w:pPr>
            <w:r>
              <w:rPr>
                <w:noProof/>
              </w:rPr>
              <mc:AlternateContent>
                <mc:Choice Requires="wpg">
                  <w:drawing>
                    <wp:anchor distT="0" distB="0" distL="0" distR="0" simplePos="0" relativeHeight="465481728" behindDoc="1" locked="0" layoutInCell="1" allowOverlap="1" wp14:editId="7981C949" wp14:anchorId="7B07E8FA">
                      <wp:simplePos x="0" y="0"/>
                      <wp:positionH relativeFrom="column">
                        <wp:posOffset>-58641</wp:posOffset>
                      </wp:positionH>
                      <wp:positionV relativeFrom="paragraph">
                        <wp:posOffset>-56721</wp:posOffset>
                      </wp:positionV>
                      <wp:extent cx="1450340" cy="317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340" cy="3175"/>
                                <a:chOff x="0" y="0"/>
                                <a:chExt cx="1450340" cy="3175"/>
                              </a:xfrm>
                            </wpg:grpSpPr>
                            <wps:wsp>
                              <wps:cNvPr id="395" name="Graphic 395"/>
                              <wps:cNvSpPr/>
                              <wps:spPr>
                                <a:xfrm>
                                  <a:off x="0" y="0"/>
                                  <a:ext cx="1450340" cy="3175"/>
                                </a:xfrm>
                                <a:custGeom>
                                  <a:avLst/>
                                  <a:gdLst/>
                                  <a:ahLst/>
                                  <a:cxnLst/>
                                  <a:rect l="l" t="t" r="r" b="b"/>
                                  <a:pathLst>
                                    <a:path w="1450340" h="3175">
                                      <a:moveTo>
                                        <a:pt x="1450086" y="0"/>
                                      </a:moveTo>
                                      <a:lnTo>
                                        <a:pt x="728472" y="0"/>
                                      </a:lnTo>
                                      <a:lnTo>
                                        <a:pt x="725424" y="0"/>
                                      </a:lnTo>
                                      <a:lnTo>
                                        <a:pt x="0" y="0"/>
                                      </a:lnTo>
                                      <a:lnTo>
                                        <a:pt x="0" y="3048"/>
                                      </a:lnTo>
                                      <a:lnTo>
                                        <a:pt x="725424" y="3048"/>
                                      </a:lnTo>
                                      <a:lnTo>
                                        <a:pt x="728472" y="3048"/>
                                      </a:lnTo>
                                      <a:lnTo>
                                        <a:pt x="1450086" y="3048"/>
                                      </a:lnTo>
                                      <a:lnTo>
                                        <a:pt x="145008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id="Group 394" style="position:absolute;margin-left:-4.6pt;margin-top:-4.45pt;width:114.2pt;height:.25pt;z-index:-37834752;mso-wrap-distance-left:0;mso-wrap-distance-right:0" coordsize="14503,31" o:spid="_x0000_s1026" w14:anchorId="307C5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">
                      <v:shape id="Graphic 395" style="position:absolute;width:14503;height:31;visibility:visible;mso-wrap-style:square;v-text-anchor:top" coordsize="1450340,3175" o:spid="_x0000_s1027" fillcolor="#d9d9d9" stroked="f" path="m1450086,l728472,r-3048,l,,,3048r725424,l728472,3048r721614,l1450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">
                        <v:path arrowok="t"/>
                      </v:shape>
                    </v:group>
                  </w:pict>
                </mc:Fallback>
              </mc:AlternateContent>
            </w:r>
            <w:r>
              <w:rPr>
                <w:spacing w:val="-2"/>
                <w:sz w:val="20"/>
              </w:rPr>
              <w:t>0.0570%</w:t>
            </w:r>
          </w:p>
        </w:tc>
        <w:tc>
          <w:tcPr>
            <w:tcW w:w="2469" w:type="dxa"/>
            <w:gridSpan w:val="2"/>
            <w:tcBorders>
              <w:bottom w:val="single" w:color="000000" w:sz="8" w:space="0"/>
            </w:tcBorders>
          </w:tcPr>
          <w:p w:rsidR="00C31389" w:rsidRDefault="00561FBD" w14:paraId="1B28CABC" w14:textId="77777777">
            <w:pPr>
              <w:pStyle w:val="TableParagraph"/>
              <w:spacing w:before="0" w:line="209" w:lineRule="exact"/>
              <w:ind w:left="176"/>
              <w:rPr>
                <w:sz w:val="20"/>
              </w:rPr>
            </w:pPr>
            <w:r>
              <w:rPr>
                <w:spacing w:val="-2"/>
                <w:sz w:val="20"/>
              </w:rPr>
              <w:t>0.5540%</w:t>
            </w:r>
          </w:p>
        </w:tc>
        <w:tc>
          <w:tcPr>
            <w:tcW w:w="835" w:type="dxa"/>
            <w:tcBorders>
              <w:bottom w:val="single" w:color="000000" w:sz="8" w:space="0"/>
            </w:tcBorders>
          </w:tcPr>
          <w:p w:rsidR="00C31389" w:rsidRDefault="00C31389" w14:paraId="06F651F7" w14:textId="77777777">
            <w:pPr>
              <w:pStyle w:val="TableParagraph"/>
              <w:spacing w:before="0"/>
              <w:rPr>
                <w:rFonts w:ascii="Times New Roman"/>
                <w:sz w:val="20"/>
              </w:rPr>
            </w:pPr>
          </w:p>
        </w:tc>
        <w:tc>
          <w:tcPr>
            <w:tcW w:w="1208" w:type="dxa"/>
            <w:tcBorders>
              <w:bottom w:val="single" w:color="000000" w:sz="8" w:space="0"/>
            </w:tcBorders>
          </w:tcPr>
          <w:p w:rsidR="00C31389" w:rsidRDefault="00C31389" w14:paraId="32B315AC" w14:textId="77777777">
            <w:pPr>
              <w:pStyle w:val="TableParagraph"/>
              <w:spacing w:before="0"/>
              <w:rPr>
                <w:rFonts w:ascii="Times New Roman"/>
                <w:sz w:val="20"/>
              </w:rPr>
            </w:pPr>
          </w:p>
        </w:tc>
      </w:tr>
    </w:tbl>
    <w:p w:rsidR="00C31389" w:rsidRDefault="00561FBD" w14:paraId="6165DCB2"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1BD0914D" w14:textId="77777777">
      <w:pPr>
        <w:pStyle w:val="BodyText"/>
        <w:spacing w:before="9"/>
        <w:rPr>
          <w:i/>
          <w:sz w:val="20"/>
        </w:rPr>
      </w:pPr>
    </w:p>
    <w:p w:rsidR="00C31389" w:rsidRDefault="00561FBD" w14:paraId="2B62FB62" w14:textId="77777777">
      <w:pPr>
        <w:pStyle w:val="BodyText"/>
        <w:spacing w:before="1"/>
        <w:ind w:left="480" w:right="514"/>
      </w:pPr>
      <w:r>
        <w:t xml:space="preserve">The Guidehouse team estimated savings </w:t>
      </w:r>
      <w:r>
        <w:t xml:space="preserve">based on building type consumption (kWh or therms/year); however, because these technologies are forecast as a single class of measure, savings do not vary by market segment or IOU. The team based generic custom savings in the 2023 Study on an analysis of </w:t>
      </w:r>
      <w:r>
        <w:t>data previously extracted through the California EEStats portal</w:t>
      </w:r>
      <w:r>
        <w:rPr>
          <w:spacing w:val="-39"/>
        </w:rPr>
        <w:t xml:space="preserve"> </w:t>
      </w:r>
      <w:hyperlink w:history="1" w:anchor="_bookmark175">
        <w:r>
          <w:rPr>
            <w:position w:val="7"/>
            <w:sz w:val="14"/>
          </w:rPr>
          <w:t>59</w:t>
        </w:r>
      </w:hyperlink>
      <w:r>
        <w:rPr>
          <w:spacing w:val="40"/>
          <w:position w:val="7"/>
          <w:sz w:val="14"/>
        </w:rPr>
        <w:t xml:space="preserve"> </w:t>
      </w:r>
      <w:r>
        <w:t>and more recent data from CEDARS for programs operating from 2016 through 2021. Data for these program years provided the le</w:t>
      </w:r>
      <w:r>
        <w:t xml:space="preserve">vel of detail necessary to separate generic custom measures from RCx and other custom measures that could be defined and modeled using a Bass diffusion approach. </w:t>
      </w:r>
      <w:hyperlink w:history="1" w:anchor="_bookmark174">
        <w:r>
          <w:t>Table 3-22.</w:t>
        </w:r>
      </w:hyperlink>
      <w:r>
        <w:t xml:space="preserve"> summarizes the g</w:t>
      </w:r>
      <w:r>
        <w:t>eneric custom savings contribution to</w:t>
      </w:r>
      <w:r>
        <w:rPr>
          <w:spacing w:val="40"/>
        </w:rPr>
        <w:t xml:space="preserve"> </w:t>
      </w:r>
      <w:r>
        <w:t>the overall sector over six-year periods between 2016 through 2021. These averages exclude RCx</w:t>
      </w:r>
      <w:r>
        <w:rPr>
          <w:spacing w:val="-3"/>
        </w:rPr>
        <w:t xml:space="preserve"> </w:t>
      </w:r>
      <w:r>
        <w:t>from</w:t>
      </w:r>
      <w:r>
        <w:rPr>
          <w:spacing w:val="-4"/>
        </w:rPr>
        <w:t xml:space="preserve"> </w:t>
      </w:r>
      <w:r>
        <w:t>generic</w:t>
      </w:r>
      <w:r>
        <w:rPr>
          <w:spacing w:val="-3"/>
        </w:rPr>
        <w:t xml:space="preserve"> </w:t>
      </w:r>
      <w:r>
        <w:t>custom</w:t>
      </w:r>
      <w:r>
        <w:rPr>
          <w:spacing w:val="-4"/>
        </w:rPr>
        <w:t xml:space="preserve"> </w:t>
      </w:r>
      <w:r>
        <w:t>and</w:t>
      </w:r>
      <w:r>
        <w:rPr>
          <w:spacing w:val="-3"/>
        </w:rPr>
        <w:t xml:space="preserve"> </w:t>
      </w:r>
      <w:r>
        <w:t>include</w:t>
      </w:r>
      <w:r>
        <w:rPr>
          <w:spacing w:val="-3"/>
        </w:rPr>
        <w:t xml:space="preserve"> </w:t>
      </w:r>
      <w:r>
        <w:t>the</w:t>
      </w:r>
      <w:r>
        <w:rPr>
          <w:spacing w:val="-3"/>
        </w:rPr>
        <w:t xml:space="preserve"> </w:t>
      </w:r>
      <w:r>
        <w:t>addition</w:t>
      </w:r>
      <w:r>
        <w:rPr>
          <w:spacing w:val="-3"/>
        </w:rPr>
        <w:t xml:space="preserve"> </w:t>
      </w:r>
      <w:r>
        <w:t>of</w:t>
      </w:r>
      <w:r>
        <w:rPr>
          <w:spacing w:val="-3"/>
        </w:rPr>
        <w:t xml:space="preserve"> </w:t>
      </w:r>
      <w:r>
        <w:t>the</w:t>
      </w:r>
      <w:r>
        <w:rPr>
          <w:spacing w:val="-3"/>
        </w:rPr>
        <w:t xml:space="preserve"> </w:t>
      </w:r>
      <w:r>
        <w:t>large</w:t>
      </w:r>
      <w:r>
        <w:rPr>
          <w:spacing w:val="-3"/>
        </w:rPr>
        <w:t xml:space="preserve"> </w:t>
      </w:r>
      <w:r>
        <w:t>number</w:t>
      </w:r>
      <w:r>
        <w:rPr>
          <w:spacing w:val="-3"/>
        </w:rPr>
        <w:t xml:space="preserve"> </w:t>
      </w:r>
      <w:r>
        <w:t>of</w:t>
      </w:r>
      <w:r>
        <w:rPr>
          <w:spacing w:val="-3"/>
        </w:rPr>
        <w:t xml:space="preserve"> </w:t>
      </w:r>
      <w:r>
        <w:t>smaller</w:t>
      </w:r>
      <w:r>
        <w:rPr>
          <w:spacing w:val="-3"/>
        </w:rPr>
        <w:t xml:space="preserve"> </w:t>
      </w:r>
      <w:r>
        <w:t>measures</w:t>
      </w:r>
      <w:r>
        <w:rPr>
          <w:spacing w:val="-3"/>
        </w:rPr>
        <w:t xml:space="preserve"> </w:t>
      </w:r>
      <w:r>
        <w:t>now considered part of the generic cus</w:t>
      </w:r>
      <w:r>
        <w:t>tom measure class.</w:t>
      </w:r>
    </w:p>
    <w:p w:rsidR="00C31389" w:rsidRDefault="00C31389" w14:paraId="0F52B23A" w14:textId="77777777">
      <w:pPr>
        <w:pStyle w:val="BodyText"/>
        <w:spacing w:before="10"/>
        <w:rPr>
          <w:sz w:val="20"/>
        </w:rPr>
      </w:pPr>
    </w:p>
    <w:p w:rsidR="00C31389" w:rsidRDefault="00561FBD" w14:paraId="728C0374" w14:textId="77777777">
      <w:pPr>
        <w:pStyle w:val="Heading7"/>
        <w:ind w:left="568" w:right="566"/>
        <w:jc w:val="center"/>
      </w:pPr>
      <w:bookmarkStart w:name="_bookmark174" w:id="232"/>
      <w:bookmarkEnd w:id="232"/>
      <w:r>
        <w:t>Table</w:t>
      </w:r>
      <w:r>
        <w:rPr>
          <w:spacing w:val="-4"/>
        </w:rPr>
        <w:t xml:space="preserve"> </w:t>
      </w:r>
      <w:r>
        <w:t>3-22.</w:t>
      </w:r>
      <w:r>
        <w:rPr>
          <w:spacing w:val="-5"/>
        </w:rPr>
        <w:t xml:space="preserve"> </w:t>
      </w:r>
      <w:r>
        <w:t>Generic</w:t>
      </w:r>
      <w:r>
        <w:rPr>
          <w:spacing w:val="-4"/>
        </w:rPr>
        <w:t xml:space="preserve"> </w:t>
      </w:r>
      <w:r>
        <w:t>Custom</w:t>
      </w:r>
      <w:r>
        <w:rPr>
          <w:spacing w:val="-4"/>
        </w:rPr>
        <w:t xml:space="preserve"> </w:t>
      </w:r>
      <w:r>
        <w:t>Contribution</w:t>
      </w:r>
      <w:r>
        <w:rPr>
          <w:spacing w:val="-4"/>
        </w:rPr>
        <w:t xml:space="preserve"> </w:t>
      </w:r>
      <w:r>
        <w:t>as</w:t>
      </w:r>
      <w:r>
        <w:rPr>
          <w:spacing w:val="-4"/>
        </w:rPr>
        <w:t xml:space="preserve"> </w:t>
      </w:r>
      <w:r>
        <w:t>a</w:t>
      </w:r>
      <w:r>
        <w:rPr>
          <w:spacing w:val="-4"/>
        </w:rPr>
        <w:t xml:space="preserve"> </w:t>
      </w:r>
      <w:r>
        <w:t>Percentage</w:t>
      </w:r>
      <w:r>
        <w:rPr>
          <w:spacing w:val="-4"/>
        </w:rPr>
        <w:t xml:space="preserve"> </w:t>
      </w:r>
      <w:r>
        <w:t>of</w:t>
      </w:r>
      <w:r>
        <w:rPr>
          <w:spacing w:val="-4"/>
        </w:rPr>
        <w:t xml:space="preserve"> </w:t>
      </w:r>
      <w:r>
        <w:t>Sector</w:t>
      </w:r>
      <w:r>
        <w:rPr>
          <w:spacing w:val="-5"/>
        </w:rPr>
        <w:t xml:space="preserve"> </w:t>
      </w:r>
      <w:r>
        <w:t>Savings,</w:t>
      </w:r>
      <w:r>
        <w:rPr>
          <w:spacing w:val="-3"/>
        </w:rPr>
        <w:t xml:space="preserve"> </w:t>
      </w:r>
      <w:r>
        <w:t>Average</w:t>
      </w:r>
      <w:r>
        <w:rPr>
          <w:spacing w:val="-4"/>
        </w:rPr>
        <w:t xml:space="preserve"> </w:t>
      </w:r>
      <w:r>
        <w:t>of 2016 through 2021</w:t>
      </w:r>
    </w:p>
    <w:p w:rsidR="00C31389" w:rsidRDefault="00C31389" w14:paraId="006D75AD" w14:textId="77777777">
      <w:pPr>
        <w:pStyle w:val="BodyText"/>
        <w:spacing w:before="7"/>
        <w:rPr>
          <w:b/>
          <w:sz w:val="9"/>
        </w:rPr>
      </w:pPr>
    </w:p>
    <w:tbl>
      <w:tblPr>
        <w:tblW w:w="0" w:type="auto"/>
        <w:tblInd w:w="1559" w:type="dxa"/>
        <w:tblLayout w:type="fixed"/>
        <w:tblCellMar>
          <w:left w:w="0" w:type="dxa"/>
          <w:right w:w="0" w:type="dxa"/>
        </w:tblCellMar>
        <w:tblLook w:val="01E0" w:firstRow="1" w:lastRow="1" w:firstColumn="1" w:lastColumn="1" w:noHBand="0" w:noVBand="0"/>
      </w:tblPr>
      <w:tblGrid>
        <w:gridCol w:w="2105"/>
        <w:gridCol w:w="2842"/>
        <w:gridCol w:w="2261"/>
      </w:tblGrid>
      <w:tr w:rsidR="00C31389" w14:paraId="600F5403" w14:textId="77777777">
        <w:trPr>
          <w:trHeight w:val="319"/>
        </w:trPr>
        <w:tc>
          <w:tcPr>
            <w:tcW w:w="2105" w:type="dxa"/>
            <w:shd w:val="clear" w:color="auto" w:fill="92D400"/>
          </w:tcPr>
          <w:p w:rsidR="00C31389" w:rsidRDefault="00561FBD" w14:paraId="02481D22" w14:textId="77777777">
            <w:pPr>
              <w:pStyle w:val="TableParagraph"/>
              <w:ind w:left="123"/>
              <w:rPr>
                <w:b/>
                <w:sz w:val="20"/>
              </w:rPr>
            </w:pPr>
            <w:r>
              <w:rPr>
                <w:b/>
                <w:spacing w:val="-2"/>
                <w:sz w:val="20"/>
              </w:rPr>
              <w:t>Sector</w:t>
            </w:r>
          </w:p>
        </w:tc>
        <w:tc>
          <w:tcPr>
            <w:tcW w:w="2842" w:type="dxa"/>
            <w:shd w:val="clear" w:color="auto" w:fill="92D400"/>
          </w:tcPr>
          <w:p w:rsidR="00C31389" w:rsidRDefault="00561FBD" w14:paraId="23924612" w14:textId="77777777">
            <w:pPr>
              <w:pStyle w:val="TableParagraph"/>
              <w:ind w:left="1015" w:right="851"/>
              <w:jc w:val="center"/>
              <w:rPr>
                <w:b/>
                <w:sz w:val="20"/>
              </w:rPr>
            </w:pPr>
            <w:r>
              <w:rPr>
                <w:b/>
                <w:spacing w:val="-2"/>
                <w:sz w:val="20"/>
              </w:rPr>
              <w:t>Electricity</w:t>
            </w:r>
          </w:p>
        </w:tc>
        <w:tc>
          <w:tcPr>
            <w:tcW w:w="2261" w:type="dxa"/>
            <w:shd w:val="clear" w:color="auto" w:fill="92D400"/>
          </w:tcPr>
          <w:p w:rsidR="00C31389" w:rsidRDefault="00561FBD" w14:paraId="3D96DFAA" w14:textId="77777777">
            <w:pPr>
              <w:pStyle w:val="TableParagraph"/>
              <w:ind w:left="871"/>
              <w:rPr>
                <w:b/>
                <w:sz w:val="20"/>
              </w:rPr>
            </w:pPr>
            <w:r>
              <w:rPr>
                <w:b/>
                <w:spacing w:val="-5"/>
                <w:sz w:val="20"/>
              </w:rPr>
              <w:t>Gas</w:t>
            </w:r>
          </w:p>
        </w:tc>
      </w:tr>
      <w:tr w:rsidR="00C31389" w14:paraId="0D4AB27C" w14:textId="77777777">
        <w:trPr>
          <w:trHeight w:val="310"/>
        </w:trPr>
        <w:tc>
          <w:tcPr>
            <w:tcW w:w="2105" w:type="dxa"/>
            <w:tcBorders>
              <w:bottom w:val="single" w:color="D9D9D9" w:sz="2" w:space="0"/>
            </w:tcBorders>
          </w:tcPr>
          <w:p w:rsidR="00C31389" w:rsidRDefault="00561FBD" w14:paraId="4716D1C1" w14:textId="77777777">
            <w:pPr>
              <w:pStyle w:val="TableParagraph"/>
              <w:spacing w:before="41"/>
              <w:ind w:left="123"/>
              <w:rPr>
                <w:sz w:val="20"/>
              </w:rPr>
            </w:pPr>
            <w:r>
              <w:rPr>
                <w:spacing w:val="-2"/>
                <w:sz w:val="20"/>
              </w:rPr>
              <w:t>Industrial</w:t>
            </w:r>
          </w:p>
        </w:tc>
        <w:tc>
          <w:tcPr>
            <w:tcW w:w="2842" w:type="dxa"/>
            <w:tcBorders>
              <w:bottom w:val="single" w:color="D9D9D9" w:sz="2" w:space="0"/>
            </w:tcBorders>
          </w:tcPr>
          <w:p w:rsidR="00C31389" w:rsidRDefault="00561FBD" w14:paraId="5179AAB6" w14:textId="77777777">
            <w:pPr>
              <w:pStyle w:val="TableParagraph"/>
              <w:spacing w:before="41"/>
              <w:ind w:left="1015" w:right="851"/>
              <w:jc w:val="center"/>
              <w:rPr>
                <w:sz w:val="20"/>
              </w:rPr>
            </w:pPr>
            <w:r>
              <w:rPr>
                <w:spacing w:val="-5"/>
                <w:sz w:val="20"/>
              </w:rPr>
              <w:t>22%</w:t>
            </w:r>
          </w:p>
        </w:tc>
        <w:tc>
          <w:tcPr>
            <w:tcW w:w="2261" w:type="dxa"/>
            <w:tcBorders>
              <w:bottom w:val="single" w:color="D9D9D9" w:sz="2" w:space="0"/>
            </w:tcBorders>
          </w:tcPr>
          <w:p w:rsidR="00C31389" w:rsidRDefault="00561FBD" w14:paraId="4396DA8A" w14:textId="77777777">
            <w:pPr>
              <w:pStyle w:val="TableParagraph"/>
              <w:spacing w:before="41"/>
              <w:ind w:left="860"/>
              <w:rPr>
                <w:sz w:val="20"/>
              </w:rPr>
            </w:pPr>
            <w:r>
              <w:rPr>
                <w:spacing w:val="-5"/>
                <w:sz w:val="20"/>
              </w:rPr>
              <w:t>21%</w:t>
            </w:r>
          </w:p>
        </w:tc>
      </w:tr>
      <w:tr w:rsidR="00C31389" w14:paraId="07F53116" w14:textId="77777777">
        <w:trPr>
          <w:trHeight w:val="310"/>
        </w:trPr>
        <w:tc>
          <w:tcPr>
            <w:tcW w:w="2105" w:type="dxa"/>
            <w:tcBorders>
              <w:top w:val="single" w:color="D9D9D9" w:sz="2" w:space="0"/>
              <w:bottom w:val="single" w:color="000000" w:sz="8" w:space="0"/>
            </w:tcBorders>
          </w:tcPr>
          <w:p w:rsidR="00C31389" w:rsidRDefault="00561FBD" w14:paraId="05ADE411" w14:textId="77777777">
            <w:pPr>
              <w:pStyle w:val="TableParagraph"/>
              <w:ind w:left="123"/>
              <w:rPr>
                <w:sz w:val="20"/>
              </w:rPr>
            </w:pPr>
            <w:r>
              <w:rPr>
                <w:spacing w:val="-2"/>
                <w:sz w:val="20"/>
              </w:rPr>
              <w:t>Agriculture</w:t>
            </w:r>
          </w:p>
        </w:tc>
        <w:tc>
          <w:tcPr>
            <w:tcW w:w="2842" w:type="dxa"/>
            <w:tcBorders>
              <w:top w:val="single" w:color="D9D9D9" w:sz="2" w:space="0"/>
              <w:bottom w:val="single" w:color="000000" w:sz="8" w:space="0"/>
            </w:tcBorders>
          </w:tcPr>
          <w:p w:rsidR="00C31389" w:rsidRDefault="00561FBD" w14:paraId="7B13094F" w14:textId="77777777">
            <w:pPr>
              <w:pStyle w:val="TableParagraph"/>
              <w:ind w:left="1015" w:right="851"/>
              <w:jc w:val="center"/>
              <w:rPr>
                <w:sz w:val="20"/>
              </w:rPr>
            </w:pPr>
            <w:r>
              <w:rPr>
                <w:spacing w:val="-5"/>
                <w:sz w:val="20"/>
              </w:rPr>
              <w:t>21%</w:t>
            </w:r>
          </w:p>
        </w:tc>
        <w:tc>
          <w:tcPr>
            <w:tcW w:w="2261" w:type="dxa"/>
            <w:tcBorders>
              <w:top w:val="single" w:color="D9D9D9" w:sz="2" w:space="0"/>
              <w:bottom w:val="single" w:color="000000" w:sz="8" w:space="0"/>
            </w:tcBorders>
          </w:tcPr>
          <w:p w:rsidR="00C31389" w:rsidRDefault="00561FBD" w14:paraId="24591130" w14:textId="77777777">
            <w:pPr>
              <w:pStyle w:val="TableParagraph"/>
              <w:ind w:left="860"/>
              <w:rPr>
                <w:sz w:val="20"/>
              </w:rPr>
            </w:pPr>
            <w:r>
              <w:rPr>
                <w:spacing w:val="-5"/>
                <w:sz w:val="20"/>
              </w:rPr>
              <w:t>32%</w:t>
            </w:r>
          </w:p>
        </w:tc>
      </w:tr>
    </w:tbl>
    <w:p w:rsidR="00C31389" w:rsidRDefault="00561FBD" w14:paraId="6468D9E1" w14:textId="77777777">
      <w:pPr>
        <w:spacing w:before="70"/>
        <w:ind w:left="480"/>
        <w:rPr>
          <w:i/>
          <w:sz w:val="18"/>
        </w:rPr>
      </w:pPr>
      <w:r>
        <w:rPr>
          <w:i/>
          <w:sz w:val="18"/>
        </w:rPr>
        <w:t>Source:</w:t>
      </w:r>
      <w:r>
        <w:rPr>
          <w:i/>
          <w:spacing w:val="-4"/>
          <w:sz w:val="18"/>
        </w:rPr>
        <w:t xml:space="preserve"> </w:t>
      </w:r>
      <w:r>
        <w:rPr>
          <w:i/>
          <w:spacing w:val="-2"/>
          <w:sz w:val="18"/>
        </w:rPr>
        <w:t>Guidehouse</w:t>
      </w:r>
    </w:p>
    <w:p w:rsidR="00C31389" w:rsidRDefault="00C31389" w14:paraId="257B721E" w14:textId="77777777">
      <w:pPr>
        <w:pStyle w:val="BodyText"/>
        <w:spacing w:before="9"/>
        <w:rPr>
          <w:i/>
          <w:sz w:val="20"/>
        </w:rPr>
      </w:pPr>
    </w:p>
    <w:p w:rsidR="00C31389" w:rsidRDefault="00561FBD" w14:paraId="0BD5B986" w14:textId="77777777">
      <w:pPr>
        <w:pStyle w:val="BodyText"/>
        <w:spacing w:before="1"/>
        <w:ind w:left="479" w:right="485"/>
      </w:pPr>
      <w:r>
        <w:t>Based</w:t>
      </w:r>
      <w:r>
        <w:rPr>
          <w:spacing w:val="-2"/>
        </w:rPr>
        <w:t xml:space="preserve"> </w:t>
      </w:r>
      <w:r>
        <w:t>on</w:t>
      </w:r>
      <w:r>
        <w:rPr>
          <w:spacing w:val="-2"/>
        </w:rPr>
        <w:t xml:space="preserve"> </w:t>
      </w:r>
      <w:r>
        <w:t>this</w:t>
      </w:r>
      <w:r>
        <w:rPr>
          <w:spacing w:val="-2"/>
        </w:rPr>
        <w:t xml:space="preserve"> </w:t>
      </w:r>
      <w:r>
        <w:t>analysis</w:t>
      </w:r>
      <w:r>
        <w:rPr>
          <w:spacing w:val="-2"/>
        </w:rPr>
        <w:t xml:space="preserve"> </w:t>
      </w:r>
      <w:r>
        <w:t>and</w:t>
      </w:r>
      <w:r>
        <w:rPr>
          <w:spacing w:val="-2"/>
        </w:rPr>
        <w:t xml:space="preserve"> </w:t>
      </w:r>
      <w:r>
        <w:t>sector-level</w:t>
      </w:r>
      <w:r>
        <w:rPr>
          <w:spacing w:val="-2"/>
        </w:rPr>
        <w:t xml:space="preserve"> </w:t>
      </w:r>
      <w:r>
        <w:t>consumption</w:t>
      </w:r>
      <w:r>
        <w:rPr>
          <w:spacing w:val="-2"/>
        </w:rPr>
        <w:t xml:space="preserve"> </w:t>
      </w:r>
      <w:r>
        <w:t>forecasts</w:t>
      </w:r>
      <w:r>
        <w:rPr>
          <w:spacing w:val="-2"/>
        </w:rPr>
        <w:t xml:space="preserve"> </w:t>
      </w:r>
      <w:r>
        <w:t>provided</w:t>
      </w:r>
      <w:r>
        <w:rPr>
          <w:spacing w:val="-3"/>
        </w:rPr>
        <w:t xml:space="preserve"> </w:t>
      </w:r>
      <w:r>
        <w:t>by</w:t>
      </w:r>
      <w:r>
        <w:rPr>
          <w:spacing w:val="-2"/>
        </w:rPr>
        <w:t xml:space="preserve"> </w:t>
      </w:r>
      <w:r>
        <w:t>the</w:t>
      </w:r>
      <w:r>
        <w:rPr>
          <w:spacing w:val="-2"/>
        </w:rPr>
        <w:t xml:space="preserve"> </w:t>
      </w:r>
      <w:r>
        <w:t>CEC</w:t>
      </w:r>
      <w:r>
        <w:rPr>
          <w:spacing w:val="-2"/>
        </w:rPr>
        <w:t xml:space="preserve"> </w:t>
      </w:r>
      <w:r>
        <w:t>IEPR</w:t>
      </w:r>
      <w:r>
        <w:rPr>
          <w:spacing w:val="-3"/>
        </w:rPr>
        <w:t xml:space="preserve"> </w:t>
      </w:r>
      <w:r>
        <w:t>team, the Guidehouse team determined that generic custom measures would save roughly 0.065% and 0.05% of annual industrial sector electricity and natural gas usage, respectively. Using a similar</w:t>
      </w:r>
      <w:r>
        <w:rPr>
          <w:spacing w:val="-3"/>
        </w:rPr>
        <w:t xml:space="preserve"> </w:t>
      </w:r>
      <w:r>
        <w:t>m</w:t>
      </w:r>
      <w:r>
        <w:t>ethodology,</w:t>
      </w:r>
      <w:r>
        <w:rPr>
          <w:spacing w:val="-3"/>
        </w:rPr>
        <w:t xml:space="preserve"> </w:t>
      </w:r>
      <w:r>
        <w:t>the</w:t>
      </w:r>
      <w:r>
        <w:rPr>
          <w:spacing w:val="-4"/>
        </w:rPr>
        <w:t xml:space="preserve"> </w:t>
      </w:r>
      <w:r>
        <w:t>team</w:t>
      </w:r>
      <w:r>
        <w:rPr>
          <w:spacing w:val="-4"/>
        </w:rPr>
        <w:t xml:space="preserve"> </w:t>
      </w:r>
      <w:r>
        <w:t>forecast</w:t>
      </w:r>
      <w:r>
        <w:rPr>
          <w:spacing w:val="-3"/>
        </w:rPr>
        <w:t xml:space="preserve"> </w:t>
      </w:r>
      <w:r>
        <w:t>savings</w:t>
      </w:r>
      <w:r>
        <w:rPr>
          <w:spacing w:val="-3"/>
        </w:rPr>
        <w:t xml:space="preserve"> </w:t>
      </w:r>
      <w:r>
        <w:t>from</w:t>
      </w:r>
      <w:r>
        <w:rPr>
          <w:spacing w:val="-4"/>
        </w:rPr>
        <w:t xml:space="preserve"> </w:t>
      </w:r>
      <w:r>
        <w:t>generic</w:t>
      </w:r>
      <w:r>
        <w:rPr>
          <w:spacing w:val="-3"/>
        </w:rPr>
        <w:t xml:space="preserve"> </w:t>
      </w:r>
      <w:r>
        <w:t>custom</w:t>
      </w:r>
      <w:r>
        <w:rPr>
          <w:spacing w:val="-4"/>
        </w:rPr>
        <w:t xml:space="preserve"> </w:t>
      </w:r>
      <w:r>
        <w:t>measures</w:t>
      </w:r>
      <w:r>
        <w:rPr>
          <w:spacing w:val="-3"/>
        </w:rPr>
        <w:t xml:space="preserve"> </w:t>
      </w:r>
      <w:r>
        <w:t>in</w:t>
      </w:r>
      <w:r>
        <w:rPr>
          <w:spacing w:val="-3"/>
        </w:rPr>
        <w:t xml:space="preserve"> </w:t>
      </w:r>
      <w:r>
        <w:t>the</w:t>
      </w:r>
      <w:r>
        <w:rPr>
          <w:spacing w:val="-4"/>
        </w:rPr>
        <w:t xml:space="preserve"> </w:t>
      </w:r>
      <w:r>
        <w:t>agriculture sector at 0.057% of annual electricity consumption and roughly 0.554% of annual gas usage.</w:t>
      </w:r>
    </w:p>
    <w:p w:rsidR="00C31389" w:rsidRDefault="00561FBD" w14:paraId="213B0E3E" w14:textId="77777777">
      <w:pPr>
        <w:pStyle w:val="BodyText"/>
        <w:ind w:left="480" w:right="533"/>
      </w:pPr>
      <w:r>
        <w:t>These</w:t>
      </w:r>
      <w:r>
        <w:rPr>
          <w:spacing w:val="-4"/>
        </w:rPr>
        <w:t xml:space="preserve"> </w:t>
      </w:r>
      <w:r>
        <w:t>percentages</w:t>
      </w:r>
      <w:r>
        <w:rPr>
          <w:spacing w:val="-4"/>
        </w:rPr>
        <w:t xml:space="preserve"> </w:t>
      </w:r>
      <w:r>
        <w:t>are</w:t>
      </w:r>
      <w:r>
        <w:rPr>
          <w:spacing w:val="-4"/>
        </w:rPr>
        <w:t xml:space="preserve"> </w:t>
      </w:r>
      <w:r>
        <w:t>used</w:t>
      </w:r>
      <w:r>
        <w:rPr>
          <w:spacing w:val="-4"/>
        </w:rPr>
        <w:t xml:space="preserve"> </w:t>
      </w:r>
      <w:r>
        <w:t>in</w:t>
      </w:r>
      <w:r>
        <w:rPr>
          <w:spacing w:val="-4"/>
        </w:rPr>
        <w:t xml:space="preserve"> </w:t>
      </w:r>
      <w:r>
        <w:t>both</w:t>
      </w:r>
      <w:r>
        <w:rPr>
          <w:spacing w:val="-3"/>
        </w:rPr>
        <w:t xml:space="preserve"> </w:t>
      </w:r>
      <w:r>
        <w:t>the</w:t>
      </w:r>
      <w:r>
        <w:rPr>
          <w:spacing w:val="-4"/>
        </w:rPr>
        <w:t xml:space="preserve"> </w:t>
      </w:r>
      <w:r>
        <w:t>reference</w:t>
      </w:r>
      <w:r>
        <w:rPr>
          <w:spacing w:val="-4"/>
        </w:rPr>
        <w:t xml:space="preserve"> </w:t>
      </w:r>
      <w:r>
        <w:t>or</w:t>
      </w:r>
      <w:r>
        <w:rPr>
          <w:spacing w:val="-4"/>
        </w:rPr>
        <w:t xml:space="preserve"> </w:t>
      </w:r>
      <w:r>
        <w:t>aggressive</w:t>
      </w:r>
      <w:r>
        <w:rPr>
          <w:spacing w:val="-4"/>
        </w:rPr>
        <w:t xml:space="preserve"> </w:t>
      </w:r>
      <w:r>
        <w:t>cases</w:t>
      </w:r>
      <w:r>
        <w:rPr>
          <w:spacing w:val="-4"/>
        </w:rPr>
        <w:t xml:space="preserve"> </w:t>
      </w:r>
      <w:r>
        <w:t>and</w:t>
      </w:r>
      <w:r>
        <w:rPr>
          <w:spacing w:val="-4"/>
        </w:rPr>
        <w:t xml:space="preserve"> </w:t>
      </w:r>
      <w:r>
        <w:t>remain</w:t>
      </w:r>
      <w:r>
        <w:rPr>
          <w:spacing w:val="-4"/>
        </w:rPr>
        <w:t xml:space="preserve"> </w:t>
      </w:r>
      <w:r>
        <w:t>constant throughout the forecast horizon.</w:t>
      </w:r>
    </w:p>
    <w:p w:rsidR="00C31389" w:rsidRDefault="00C31389" w14:paraId="719E1BB7" w14:textId="77777777">
      <w:pPr>
        <w:pStyle w:val="BodyText"/>
        <w:rPr>
          <w:sz w:val="20"/>
        </w:rPr>
      </w:pPr>
    </w:p>
    <w:p w:rsidR="00C31389" w:rsidRDefault="00C31389" w14:paraId="599A285A" w14:textId="77777777">
      <w:pPr>
        <w:pStyle w:val="BodyText"/>
        <w:rPr>
          <w:sz w:val="20"/>
        </w:rPr>
      </w:pPr>
    </w:p>
    <w:p w:rsidR="00C31389" w:rsidRDefault="00561FBD" w14:paraId="0A0ADBB1" w14:textId="77777777">
      <w:pPr>
        <w:pStyle w:val="BodyText"/>
        <w:rPr>
          <w:sz w:val="25"/>
        </w:rPr>
      </w:pPr>
      <w:r>
        <w:rPr>
          <w:noProof/>
        </w:rPr>
        <mc:AlternateContent>
          <mc:Choice Requires="wps">
            <w:drawing>
              <wp:anchor distT="0" distB="0" distL="0" distR="0" simplePos="0" relativeHeight="487650816" behindDoc="1" locked="0" layoutInCell="1" allowOverlap="1" wp14:editId="2DE3A1AF" wp14:anchorId="0313E923">
                <wp:simplePos x="0" y="0"/>
                <wp:positionH relativeFrom="page">
                  <wp:posOffset>914400</wp:posOffset>
                </wp:positionH>
                <wp:positionV relativeFrom="paragraph">
                  <wp:posOffset>198003</wp:posOffset>
                </wp:positionV>
                <wp:extent cx="1828800" cy="6985"/>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96" style="position:absolute;margin-left:1in;margin-top:15.6pt;width:2in;height:.55pt;z-index:-1566566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" w14:anchorId="56989508">
                <v:path arrowok="t"/>
                <w10:wrap type="topAndBottom" anchorx="page"/>
              </v:shape>
            </w:pict>
          </mc:Fallback>
        </mc:AlternateContent>
      </w:r>
    </w:p>
    <w:p w:rsidR="00C31389" w:rsidRDefault="00561FBD" w14:paraId="5D9AC45B" w14:textId="77777777">
      <w:pPr>
        <w:spacing w:before="89"/>
        <w:ind w:left="480"/>
        <w:rPr>
          <w:sz w:val="18"/>
        </w:rPr>
      </w:pPr>
      <w:bookmarkStart w:name="_bookmark175" w:id="233"/>
      <w:bookmarkEnd w:id="233"/>
      <w:r>
        <w:rPr>
          <w:position w:val="6"/>
          <w:sz w:val="12"/>
        </w:rPr>
        <w:t>59</w:t>
      </w:r>
      <w:r>
        <w:rPr>
          <w:spacing w:val="17"/>
          <w:position w:val="6"/>
          <w:sz w:val="12"/>
        </w:rPr>
        <w:t xml:space="preserve"> </w:t>
      </w:r>
      <w:hyperlink r:id="rId147">
        <w:r>
          <w:rPr>
            <w:color w:val="68942C"/>
            <w:spacing w:val="-2"/>
            <w:sz w:val="18"/>
            <w:u w:val="single" w:color="68942C"/>
          </w:rPr>
          <w:t>http://eestats.cpuc.ca.gov/Default.aspx</w:t>
        </w:r>
      </w:hyperlink>
    </w:p>
    <w:p w:rsidR="00C31389" w:rsidRDefault="00C31389" w14:paraId="156BB399" w14:textId="77777777">
      <w:pPr>
        <w:rPr>
          <w:sz w:val="18"/>
        </w:rPr>
        <w:sectPr w:rsidR="00C31389">
          <w:pgSz w:w="12240" w:h="15840"/>
          <w:pgMar w:top="1660" w:right="960" w:bottom="1120" w:left="960" w:header="397" w:footer="936" w:gutter="0"/>
          <w:cols w:space="720"/>
        </w:sectPr>
      </w:pPr>
    </w:p>
    <w:p w:rsidR="00C31389" w:rsidRDefault="00C31389" w14:paraId="5FD5B492" w14:textId="77777777">
      <w:pPr>
        <w:pStyle w:val="BodyText"/>
        <w:spacing w:before="11"/>
        <w:rPr>
          <w:sz w:val="13"/>
        </w:rPr>
      </w:pPr>
    </w:p>
    <w:p w:rsidR="00C31389" w:rsidRDefault="00561FBD" w14:paraId="247D2387" w14:textId="77777777">
      <w:pPr>
        <w:pStyle w:val="BodyText"/>
        <w:spacing w:before="92"/>
        <w:ind w:left="479" w:right="533"/>
      </w:pPr>
      <w:r>
        <w:t>The costs for electricity and natural gas savings wer</w:t>
      </w:r>
      <w:r>
        <w:t>e based on an analysis of industrial and agriculture</w:t>
      </w:r>
      <w:r>
        <w:rPr>
          <w:spacing w:val="-4"/>
        </w:rPr>
        <w:t xml:space="preserve"> </w:t>
      </w:r>
      <w:r>
        <w:t>programs</w:t>
      </w:r>
      <w:r>
        <w:rPr>
          <w:spacing w:val="-4"/>
        </w:rPr>
        <w:t xml:space="preserve"> </w:t>
      </w:r>
      <w:r>
        <w:t>operating</w:t>
      </w:r>
      <w:r>
        <w:rPr>
          <w:spacing w:val="-4"/>
        </w:rPr>
        <w:t xml:space="preserve"> </w:t>
      </w:r>
      <w:r>
        <w:t>in</w:t>
      </w:r>
      <w:r>
        <w:rPr>
          <w:spacing w:val="-4"/>
        </w:rPr>
        <w:t xml:space="preserve"> </w:t>
      </w:r>
      <w:r>
        <w:t>California</w:t>
      </w:r>
      <w:r>
        <w:rPr>
          <w:spacing w:val="-4"/>
        </w:rPr>
        <w:t xml:space="preserve"> </w:t>
      </w:r>
      <w:r>
        <w:t>in</w:t>
      </w:r>
      <w:r>
        <w:rPr>
          <w:spacing w:val="-4"/>
        </w:rPr>
        <w:t xml:space="preserve"> </w:t>
      </w:r>
      <w:r>
        <w:t>2019.</w:t>
      </w:r>
      <w:r>
        <w:rPr>
          <w:spacing w:val="-4"/>
        </w:rPr>
        <w:t xml:space="preserve"> </w:t>
      </w:r>
      <w:r>
        <w:t>These</w:t>
      </w:r>
      <w:r>
        <w:rPr>
          <w:spacing w:val="-5"/>
        </w:rPr>
        <w:t xml:space="preserve"> </w:t>
      </w:r>
      <w:r>
        <w:t>costs</w:t>
      </w:r>
      <w:r>
        <w:rPr>
          <w:spacing w:val="-3"/>
        </w:rPr>
        <w:t xml:space="preserve"> </w:t>
      </w:r>
      <w:r>
        <w:t>are</w:t>
      </w:r>
      <w:r>
        <w:rPr>
          <w:spacing w:val="-4"/>
        </w:rPr>
        <w:t xml:space="preserve"> </w:t>
      </w:r>
      <w:r>
        <w:t>estimated</w:t>
      </w:r>
      <w:r>
        <w:rPr>
          <w:spacing w:val="-4"/>
        </w:rPr>
        <w:t xml:space="preserve"> </w:t>
      </w:r>
      <w:r>
        <w:t>at</w:t>
      </w:r>
      <w:r>
        <w:rPr>
          <w:spacing w:val="-4"/>
        </w:rPr>
        <w:t xml:space="preserve"> </w:t>
      </w:r>
      <w:r>
        <w:t>$0.48/kWh and</w:t>
      </w:r>
      <w:r>
        <w:rPr>
          <w:spacing w:val="-4"/>
        </w:rPr>
        <w:t xml:space="preserve"> </w:t>
      </w:r>
      <w:r>
        <w:t>$2.81/therm</w:t>
      </w:r>
      <w:r>
        <w:rPr>
          <w:spacing w:val="-4"/>
        </w:rPr>
        <w:t xml:space="preserve"> </w:t>
      </w:r>
      <w:r>
        <w:t>and</w:t>
      </w:r>
      <w:r>
        <w:rPr>
          <w:spacing w:val="-4"/>
        </w:rPr>
        <w:t xml:space="preserve"> </w:t>
      </w:r>
      <w:r>
        <w:t>are</w:t>
      </w:r>
      <w:r>
        <w:rPr>
          <w:spacing w:val="-4"/>
        </w:rPr>
        <w:t xml:space="preserve"> </w:t>
      </w:r>
      <w:r>
        <w:t>applied</w:t>
      </w:r>
      <w:r>
        <w:rPr>
          <w:spacing w:val="-4"/>
        </w:rPr>
        <w:t xml:space="preserve"> </w:t>
      </w:r>
      <w:r>
        <w:t>consistently</w:t>
      </w:r>
      <w:r>
        <w:rPr>
          <w:spacing w:val="-4"/>
        </w:rPr>
        <w:t xml:space="preserve"> </w:t>
      </w:r>
      <w:r>
        <w:t>across</w:t>
      </w:r>
      <w:r>
        <w:rPr>
          <w:spacing w:val="-4"/>
        </w:rPr>
        <w:t xml:space="preserve"> </w:t>
      </w:r>
      <w:r>
        <w:t>sectors</w:t>
      </w:r>
      <w:r>
        <w:rPr>
          <w:spacing w:val="-4"/>
        </w:rPr>
        <w:t xml:space="preserve"> </w:t>
      </w:r>
      <w:r>
        <w:t>and</w:t>
      </w:r>
      <w:r>
        <w:rPr>
          <w:spacing w:val="-4"/>
        </w:rPr>
        <w:t xml:space="preserve"> </w:t>
      </w:r>
      <w:r>
        <w:t>utilities</w:t>
      </w:r>
      <w:r>
        <w:rPr>
          <w:spacing w:val="-4"/>
        </w:rPr>
        <w:t xml:space="preserve"> </w:t>
      </w:r>
      <w:r>
        <w:t>throughout</w:t>
      </w:r>
      <w:r>
        <w:rPr>
          <w:spacing w:val="-4"/>
        </w:rPr>
        <w:t xml:space="preserve"> </w:t>
      </w:r>
      <w:r>
        <w:t>the</w:t>
      </w:r>
      <w:r>
        <w:rPr>
          <w:spacing w:val="-4"/>
        </w:rPr>
        <w:t xml:space="preserve"> </w:t>
      </w:r>
      <w:r>
        <w:t xml:space="preserve">2023 Study forecast </w:t>
      </w:r>
      <w:r>
        <w:t>horizon.</w:t>
      </w:r>
    </w:p>
    <w:p w:rsidR="00C31389" w:rsidRDefault="00C31389" w14:paraId="6FC8A764" w14:textId="77777777">
      <w:pPr>
        <w:pStyle w:val="BodyText"/>
        <w:spacing w:before="10"/>
        <w:rPr>
          <w:sz w:val="20"/>
        </w:rPr>
      </w:pPr>
    </w:p>
    <w:p w:rsidR="00C31389" w:rsidRDefault="00561FBD" w14:paraId="7FCA8DC0" w14:textId="77777777">
      <w:pPr>
        <w:pStyle w:val="BodyText"/>
        <w:ind w:left="479" w:right="533"/>
      </w:pPr>
      <w:r>
        <w:t>Applicability and penetration rate are key inputs to the savings forecast. Applicability of generic custom</w:t>
      </w:r>
      <w:r>
        <w:rPr>
          <w:spacing w:val="-4"/>
        </w:rPr>
        <w:t xml:space="preserve"> </w:t>
      </w:r>
      <w:r>
        <w:t>measures</w:t>
      </w:r>
      <w:r>
        <w:rPr>
          <w:spacing w:val="-3"/>
        </w:rPr>
        <w:t xml:space="preserve"> </w:t>
      </w:r>
      <w:r>
        <w:t>in</w:t>
      </w:r>
      <w:r>
        <w:rPr>
          <w:spacing w:val="-3"/>
        </w:rPr>
        <w:t xml:space="preserve"> </w:t>
      </w:r>
      <w:r>
        <w:t>the</w:t>
      </w:r>
      <w:r>
        <w:rPr>
          <w:spacing w:val="-4"/>
        </w:rPr>
        <w:t xml:space="preserve"> </w:t>
      </w:r>
      <w:r>
        <w:t>industrial</w:t>
      </w:r>
      <w:r>
        <w:rPr>
          <w:spacing w:val="-3"/>
        </w:rPr>
        <w:t xml:space="preserve"> </w:t>
      </w:r>
      <w:r>
        <w:t>and</w:t>
      </w:r>
      <w:r>
        <w:rPr>
          <w:spacing w:val="-3"/>
        </w:rPr>
        <w:t xml:space="preserve"> </w:t>
      </w:r>
      <w:r>
        <w:t>agriculture</w:t>
      </w:r>
      <w:r>
        <w:rPr>
          <w:spacing w:val="-3"/>
        </w:rPr>
        <w:t xml:space="preserve"> </w:t>
      </w:r>
      <w:r>
        <w:t>sectors</w:t>
      </w:r>
      <w:r>
        <w:rPr>
          <w:spacing w:val="-4"/>
        </w:rPr>
        <w:t xml:space="preserve"> </w:t>
      </w:r>
      <w:r>
        <w:t>is</w:t>
      </w:r>
      <w:r>
        <w:rPr>
          <w:spacing w:val="-3"/>
        </w:rPr>
        <w:t xml:space="preserve"> </w:t>
      </w:r>
      <w:r>
        <w:t>100%</w:t>
      </w:r>
      <w:r>
        <w:rPr>
          <w:spacing w:val="-3"/>
        </w:rPr>
        <w:t xml:space="preserve"> </w:t>
      </w:r>
      <w:r>
        <w:t>because</w:t>
      </w:r>
      <w:r>
        <w:rPr>
          <w:spacing w:val="-3"/>
        </w:rPr>
        <w:t xml:space="preserve"> </w:t>
      </w:r>
      <w:r>
        <w:t>these</w:t>
      </w:r>
      <w:r>
        <w:rPr>
          <w:spacing w:val="-3"/>
        </w:rPr>
        <w:t xml:space="preserve"> </w:t>
      </w:r>
      <w:r>
        <w:t>measures</w:t>
      </w:r>
      <w:r>
        <w:rPr>
          <w:spacing w:val="-3"/>
        </w:rPr>
        <w:t xml:space="preserve"> </w:t>
      </w:r>
      <w:r>
        <w:t>are considered ubiquitous to all activities in all market</w:t>
      </w:r>
      <w:r>
        <w:t xml:space="preserve"> segments. The approach to forecasting the penetration rate for generic custom measures remained the same from the 2021 Study. The 2023 Study uses a compound annual decline rate of -4.2% for the reference case and this produced a declining forecast where g</w:t>
      </w:r>
      <w:r>
        <w:t>eneric custom savings potential in 2035 would be 52.5% of savings potential in 2020, the base year for the generic custom forecast. The decline rate is based on analyzing the trends of generic custom savings achievement in the EE portfolio, see Appendix G.</w:t>
      </w:r>
      <w:r>
        <w:t>1.</w:t>
      </w:r>
    </w:p>
    <w:p w:rsidR="00C31389" w:rsidRDefault="00C31389" w14:paraId="18AD0AA5" w14:textId="77777777">
      <w:pPr>
        <w:pStyle w:val="BodyText"/>
        <w:rPr>
          <w:sz w:val="21"/>
        </w:rPr>
      </w:pPr>
    </w:p>
    <w:p w:rsidR="00C31389" w:rsidRDefault="00561FBD" w14:paraId="417E1436" w14:textId="77777777">
      <w:pPr>
        <w:pStyle w:val="Heading4"/>
        <w:numPr>
          <w:ilvl w:val="2"/>
          <w:numId w:val="71"/>
        </w:numPr>
        <w:tabs>
          <w:tab w:val="left" w:pos="1076"/>
        </w:tabs>
        <w:ind w:left="1076" w:hanging="596"/>
      </w:pPr>
      <w:bookmarkStart w:name="3.6.1_Industrial_and_Agriculture_Emergin" w:id="234"/>
      <w:bookmarkStart w:name="_bookmark176" w:id="235"/>
      <w:bookmarkEnd w:id="234"/>
      <w:bookmarkEnd w:id="235"/>
      <w:r>
        <w:t>Industrial</w:t>
      </w:r>
      <w:r>
        <w:rPr>
          <w:spacing w:val="-8"/>
        </w:rPr>
        <w:t xml:space="preserve"> </w:t>
      </w:r>
      <w:r>
        <w:t>and</w:t>
      </w:r>
      <w:r>
        <w:rPr>
          <w:spacing w:val="-4"/>
        </w:rPr>
        <w:t xml:space="preserve"> </w:t>
      </w:r>
      <w:r>
        <w:t>Agriculture</w:t>
      </w:r>
      <w:r>
        <w:rPr>
          <w:spacing w:val="-4"/>
        </w:rPr>
        <w:t xml:space="preserve"> </w:t>
      </w:r>
      <w:r>
        <w:t>Emerging</w:t>
      </w:r>
      <w:r>
        <w:rPr>
          <w:spacing w:val="-4"/>
        </w:rPr>
        <w:t xml:space="preserve"> </w:t>
      </w:r>
      <w:r>
        <w:rPr>
          <w:spacing w:val="-2"/>
        </w:rPr>
        <w:t>Technologies</w:t>
      </w:r>
    </w:p>
    <w:p w:rsidR="00C31389" w:rsidRDefault="00C31389" w14:paraId="1CDA4545" w14:textId="77777777">
      <w:pPr>
        <w:pStyle w:val="BodyText"/>
        <w:spacing w:before="8"/>
        <w:rPr>
          <w:b/>
          <w:sz w:val="20"/>
        </w:rPr>
      </w:pPr>
    </w:p>
    <w:p w:rsidR="00C31389" w:rsidRDefault="00561FBD" w14:paraId="7CA01FE2" w14:textId="77777777">
      <w:pPr>
        <w:pStyle w:val="BodyText"/>
        <w:ind w:left="480" w:right="485"/>
      </w:pPr>
      <w:r>
        <w:t>New emerging technologies to reduce energy use and energy demand are continually being introduced</w:t>
      </w:r>
      <w:r>
        <w:rPr>
          <w:spacing w:val="-3"/>
        </w:rPr>
        <w:t xml:space="preserve"> </w:t>
      </w:r>
      <w:r>
        <w:t>in</w:t>
      </w:r>
      <w:r>
        <w:rPr>
          <w:spacing w:val="-3"/>
        </w:rPr>
        <w:t xml:space="preserve"> </w:t>
      </w:r>
      <w:r>
        <w:t>the</w:t>
      </w:r>
      <w:r>
        <w:rPr>
          <w:spacing w:val="-3"/>
        </w:rPr>
        <w:t xml:space="preserve"> </w:t>
      </w:r>
      <w:r>
        <w:t>California</w:t>
      </w:r>
      <w:r>
        <w:rPr>
          <w:spacing w:val="-3"/>
        </w:rPr>
        <w:t xml:space="preserve"> </w:t>
      </w:r>
      <w:r>
        <w:t>marketplace.</w:t>
      </w:r>
      <w:r>
        <w:rPr>
          <w:spacing w:val="-3"/>
        </w:rPr>
        <w:t xml:space="preserve"> </w:t>
      </w:r>
      <w:r>
        <w:t>The</w:t>
      </w:r>
      <w:r>
        <w:rPr>
          <w:spacing w:val="-3"/>
        </w:rPr>
        <w:t xml:space="preserve"> </w:t>
      </w:r>
      <w:r>
        <w:t>2023</w:t>
      </w:r>
      <w:r>
        <w:rPr>
          <w:spacing w:val="-2"/>
        </w:rPr>
        <w:t xml:space="preserve"> </w:t>
      </w:r>
      <w:r>
        <w:t>Study</w:t>
      </w:r>
      <w:r>
        <w:rPr>
          <w:spacing w:val="-3"/>
        </w:rPr>
        <w:t xml:space="preserve"> </w:t>
      </w:r>
      <w:r>
        <w:t>used</w:t>
      </w:r>
      <w:r>
        <w:rPr>
          <w:spacing w:val="-3"/>
        </w:rPr>
        <w:t xml:space="preserve"> </w:t>
      </w:r>
      <w:r>
        <w:t>the</w:t>
      </w:r>
      <w:r>
        <w:rPr>
          <w:spacing w:val="-3"/>
        </w:rPr>
        <w:t xml:space="preserve"> </w:t>
      </w:r>
      <w:r>
        <w:t>same</w:t>
      </w:r>
      <w:r>
        <w:rPr>
          <w:spacing w:val="-3"/>
        </w:rPr>
        <w:t xml:space="preserve"> </w:t>
      </w:r>
      <w:r>
        <w:t>approaches</w:t>
      </w:r>
      <w:r>
        <w:rPr>
          <w:spacing w:val="-4"/>
        </w:rPr>
        <w:t xml:space="preserve"> </w:t>
      </w:r>
      <w:r>
        <w:t>and</w:t>
      </w:r>
      <w:r>
        <w:rPr>
          <w:spacing w:val="-3"/>
        </w:rPr>
        <w:t xml:space="preserve"> </w:t>
      </w:r>
      <w:r>
        <w:t xml:space="preserve">inputs (some updates in </w:t>
      </w:r>
      <w:r>
        <w:t>2019)</w:t>
      </w:r>
      <w:r>
        <w:rPr>
          <w:spacing w:val="-2"/>
        </w:rPr>
        <w:t xml:space="preserve"> </w:t>
      </w:r>
      <w:r>
        <w:t>built on analysis</w:t>
      </w:r>
      <w:r>
        <w:rPr>
          <w:spacing w:val="-1"/>
        </w:rPr>
        <w:t xml:space="preserve"> </w:t>
      </w:r>
      <w:r>
        <w:t>conducted for the 2017 Study.</w:t>
      </w:r>
      <w:r>
        <w:rPr>
          <w:spacing w:val="-1"/>
        </w:rPr>
        <w:t xml:space="preserve"> </w:t>
      </w:r>
      <w:r>
        <w:t>For the 2017 Study, the Guidehouse team identified approximately 1,100 potential emerging technologies. These emerging technologies were run through a screening process to rate energy technical potentia</w:t>
      </w:r>
      <w:r>
        <w:t>l, energy achievable potential, market risk, technical risk, and utility ability to impact market adoption. This process yielded 169 emerging technology processes</w:t>
      </w:r>
      <w:r>
        <w:rPr>
          <w:spacing w:val="-37"/>
        </w:rPr>
        <w:t xml:space="preserve"> </w:t>
      </w:r>
      <w:hyperlink w:history="1" w:anchor="_bookmark178">
        <w:r>
          <w:rPr>
            <w:position w:val="7"/>
            <w:sz w:val="14"/>
          </w:rPr>
          <w:t>60</w:t>
        </w:r>
      </w:hyperlink>
      <w:r>
        <w:rPr>
          <w:spacing w:val="34"/>
          <w:position w:val="7"/>
          <w:sz w:val="14"/>
        </w:rPr>
        <w:t xml:space="preserve"> </w:t>
      </w:r>
      <w:r>
        <w:t xml:space="preserve">for final consideration </w:t>
      </w:r>
      <w:r>
        <w:t xml:space="preserve">within the model. For the 2019 Study, the team reviewed the data sources used in the 2017 Study to include measures that might have been added since the initial review and updated measures for which there might be more recent data. </w:t>
      </w:r>
      <w:hyperlink w:history="1" w:anchor="_bookmark464">
        <w:r>
          <w:t>Appendix G</w:t>
        </w:r>
      </w:hyperlink>
      <w:r>
        <w:t xml:space="preserve"> includes a summary of the emerging technology literature reviewed and details on the screening process and how it was used to define subsector potential.</w:t>
      </w:r>
    </w:p>
    <w:p w:rsidR="00C31389" w:rsidRDefault="00C31389" w14:paraId="25F42DAB" w14:textId="77777777">
      <w:pPr>
        <w:pStyle w:val="BodyText"/>
        <w:spacing w:before="10"/>
        <w:rPr>
          <w:sz w:val="20"/>
        </w:rPr>
      </w:pPr>
    </w:p>
    <w:p w:rsidR="00C31389" w:rsidRDefault="00561FBD" w14:paraId="2388C9AC" w14:textId="77777777">
      <w:pPr>
        <w:pStyle w:val="BodyText"/>
        <w:ind w:left="479" w:right="533"/>
      </w:pPr>
      <w:hyperlink w:history="1" w:anchor="_bookmark177">
        <w:r>
          <w:t>Table</w:t>
        </w:r>
        <w:r>
          <w:rPr>
            <w:spacing w:val="-3"/>
          </w:rPr>
          <w:t xml:space="preserve"> </w:t>
        </w:r>
        <w:r>
          <w:t>3-23</w:t>
        </w:r>
      </w:hyperlink>
      <w:r>
        <w:rPr>
          <w:spacing w:val="-3"/>
        </w:rPr>
        <w:t xml:space="preserve"> </w:t>
      </w:r>
      <w:r>
        <w:t>summarizes</w:t>
      </w:r>
      <w:r>
        <w:rPr>
          <w:spacing w:val="-3"/>
        </w:rPr>
        <w:t xml:space="preserve"> </w:t>
      </w:r>
      <w:r>
        <w:t>the</w:t>
      </w:r>
      <w:r>
        <w:rPr>
          <w:spacing w:val="-3"/>
        </w:rPr>
        <w:t xml:space="preserve"> </w:t>
      </w:r>
      <w:r>
        <w:t>resulting</w:t>
      </w:r>
      <w:r>
        <w:rPr>
          <w:spacing w:val="-4"/>
        </w:rPr>
        <w:t xml:space="preserve"> </w:t>
      </w:r>
      <w:r>
        <w:t>savings</w:t>
      </w:r>
      <w:r>
        <w:rPr>
          <w:spacing w:val="-4"/>
        </w:rPr>
        <w:t xml:space="preserve"> </w:t>
      </w:r>
      <w:r>
        <w:t>and</w:t>
      </w:r>
      <w:r>
        <w:rPr>
          <w:spacing w:val="-4"/>
        </w:rPr>
        <w:t xml:space="preserve"> </w:t>
      </w:r>
      <w:r>
        <w:t>cost</w:t>
      </w:r>
      <w:r>
        <w:rPr>
          <w:spacing w:val="-3"/>
        </w:rPr>
        <w:t xml:space="preserve"> </w:t>
      </w:r>
      <w:r>
        <w:t>factors;</w:t>
      </w:r>
      <w:r>
        <w:rPr>
          <w:spacing w:val="-3"/>
        </w:rPr>
        <w:t xml:space="preserve"> </w:t>
      </w:r>
      <w:r>
        <w:t>additional</w:t>
      </w:r>
      <w:r>
        <w:rPr>
          <w:spacing w:val="-4"/>
        </w:rPr>
        <w:t xml:space="preserve"> </w:t>
      </w:r>
      <w:r>
        <w:t>discussion</w:t>
      </w:r>
      <w:r>
        <w:rPr>
          <w:spacing w:val="-3"/>
        </w:rPr>
        <w:t xml:space="preserve"> </w:t>
      </w:r>
      <w:r>
        <w:t>follows</w:t>
      </w:r>
      <w:r>
        <w:rPr>
          <w:spacing w:val="-3"/>
        </w:rPr>
        <w:t xml:space="preserve"> </w:t>
      </w:r>
      <w:r>
        <w:t>the table. The Guidehouse team applied segment-specific electric and gas savings, as well as costs, EUL, and kW/kWh savings ratio consistently acro</w:t>
      </w:r>
      <w:r>
        <w:t>ss all utilities.</w:t>
      </w:r>
    </w:p>
    <w:p w:rsidR="00C31389" w:rsidRDefault="00C31389" w14:paraId="51AD8913" w14:textId="77777777">
      <w:pPr>
        <w:pStyle w:val="BodyText"/>
        <w:spacing w:before="11"/>
        <w:rPr>
          <w:sz w:val="20"/>
        </w:rPr>
      </w:pPr>
    </w:p>
    <w:p w:rsidR="00C31389" w:rsidRDefault="00561FBD" w14:paraId="09708395" w14:textId="77777777">
      <w:pPr>
        <w:pStyle w:val="Heading7"/>
        <w:ind w:left="565" w:right="566"/>
        <w:jc w:val="center"/>
      </w:pPr>
      <w:bookmarkStart w:name="_bookmark177" w:id="236"/>
      <w:bookmarkEnd w:id="236"/>
      <w:r>
        <w:t>Table</w:t>
      </w:r>
      <w:r>
        <w:rPr>
          <w:spacing w:val="-8"/>
        </w:rPr>
        <w:t xml:space="preserve"> </w:t>
      </w:r>
      <w:r>
        <w:t>3-23.</w:t>
      </w:r>
      <w:r>
        <w:rPr>
          <w:spacing w:val="-8"/>
        </w:rPr>
        <w:t xml:space="preserve"> </w:t>
      </w:r>
      <w:r>
        <w:t>Emerging</w:t>
      </w:r>
      <w:r>
        <w:rPr>
          <w:spacing w:val="-7"/>
        </w:rPr>
        <w:t xml:space="preserve"> </w:t>
      </w:r>
      <w:r>
        <w:t>Technologies</w:t>
      </w:r>
      <w:r>
        <w:rPr>
          <w:spacing w:val="-7"/>
        </w:rPr>
        <w:t xml:space="preserve"> </w:t>
      </w:r>
      <w:r>
        <w:t>–</w:t>
      </w:r>
      <w:r>
        <w:rPr>
          <w:spacing w:val="-7"/>
        </w:rPr>
        <w:t xml:space="preserve"> </w:t>
      </w:r>
      <w:r>
        <w:t>Key</w:t>
      </w:r>
      <w:r>
        <w:rPr>
          <w:spacing w:val="-7"/>
        </w:rPr>
        <w:t xml:space="preserve"> </w:t>
      </w:r>
      <w:r>
        <w:rPr>
          <w:spacing w:val="-2"/>
        </w:rPr>
        <w:t>Assumptions</w:t>
      </w:r>
    </w:p>
    <w:p w:rsidR="00C31389" w:rsidRDefault="00C31389" w14:paraId="3C74B143" w14:textId="77777777">
      <w:pPr>
        <w:pStyle w:val="BodyText"/>
        <w:spacing w:before="7"/>
        <w:rPr>
          <w:b/>
          <w:sz w:val="9"/>
        </w:rPr>
      </w:pPr>
    </w:p>
    <w:tbl>
      <w:tblPr>
        <w:tblW w:w="0" w:type="auto"/>
        <w:tblInd w:w="478" w:type="dxa"/>
        <w:tblLayout w:type="fixed"/>
        <w:tblCellMar>
          <w:left w:w="0" w:type="dxa"/>
          <w:right w:w="0" w:type="dxa"/>
        </w:tblCellMar>
        <w:tblLook w:val="01E0" w:firstRow="1" w:lastRow="1" w:firstColumn="1" w:lastColumn="1" w:noHBand="0" w:noVBand="0"/>
      </w:tblPr>
      <w:tblGrid>
        <w:gridCol w:w="1278"/>
        <w:gridCol w:w="1397"/>
        <w:gridCol w:w="910"/>
        <w:gridCol w:w="1090"/>
        <w:gridCol w:w="1226"/>
        <w:gridCol w:w="1362"/>
        <w:gridCol w:w="893"/>
        <w:gridCol w:w="1213"/>
      </w:tblGrid>
      <w:tr w:rsidR="00C31389" w14:paraId="585FAD3E" w14:textId="77777777">
        <w:trPr>
          <w:trHeight w:val="281"/>
        </w:trPr>
        <w:tc>
          <w:tcPr>
            <w:tcW w:w="1278" w:type="dxa"/>
            <w:shd w:val="clear" w:color="auto" w:fill="92D400"/>
          </w:tcPr>
          <w:p w:rsidR="00C31389" w:rsidRDefault="00C31389" w14:paraId="63C131C7" w14:textId="77777777">
            <w:pPr>
              <w:pStyle w:val="TableParagraph"/>
              <w:spacing w:before="0"/>
              <w:rPr>
                <w:rFonts w:ascii="Times New Roman"/>
                <w:sz w:val="20"/>
              </w:rPr>
            </w:pPr>
          </w:p>
        </w:tc>
        <w:tc>
          <w:tcPr>
            <w:tcW w:w="1397" w:type="dxa"/>
            <w:shd w:val="clear" w:color="auto" w:fill="92D400"/>
          </w:tcPr>
          <w:p w:rsidR="00C31389" w:rsidRDefault="00C31389" w14:paraId="059F825A" w14:textId="77777777">
            <w:pPr>
              <w:pStyle w:val="TableParagraph"/>
              <w:spacing w:before="0"/>
              <w:rPr>
                <w:rFonts w:ascii="Times New Roman"/>
                <w:sz w:val="20"/>
              </w:rPr>
            </w:pPr>
          </w:p>
        </w:tc>
        <w:tc>
          <w:tcPr>
            <w:tcW w:w="910" w:type="dxa"/>
            <w:vMerge w:val="restart"/>
            <w:tcBorders>
              <w:bottom w:val="single" w:color="D9D9D9" w:sz="2" w:space="0"/>
            </w:tcBorders>
            <w:shd w:val="clear" w:color="auto" w:fill="92D400"/>
          </w:tcPr>
          <w:p w:rsidR="00C31389" w:rsidRDefault="00561FBD" w14:paraId="53586F1E" w14:textId="77777777">
            <w:pPr>
              <w:pStyle w:val="TableParagraph"/>
              <w:spacing w:before="154"/>
              <w:ind w:left="238"/>
              <w:rPr>
                <w:b/>
                <w:sz w:val="20"/>
              </w:rPr>
            </w:pPr>
            <w:r>
              <w:rPr>
                <w:b/>
                <w:spacing w:val="-5"/>
                <w:sz w:val="20"/>
              </w:rPr>
              <w:t>EUL</w:t>
            </w:r>
          </w:p>
          <w:p w:rsidR="00C31389" w:rsidRDefault="00561FBD" w14:paraId="02ABA320" w14:textId="77777777">
            <w:pPr>
              <w:pStyle w:val="TableParagraph"/>
              <w:spacing w:before="1"/>
              <w:ind w:left="166"/>
              <w:rPr>
                <w:b/>
                <w:sz w:val="20"/>
              </w:rPr>
            </w:pPr>
            <w:r>
              <w:rPr>
                <w:b/>
                <w:spacing w:val="-2"/>
                <w:sz w:val="20"/>
              </w:rPr>
              <w:t>Years</w:t>
            </w:r>
          </w:p>
        </w:tc>
        <w:tc>
          <w:tcPr>
            <w:tcW w:w="2316" w:type="dxa"/>
            <w:gridSpan w:val="2"/>
            <w:shd w:val="clear" w:color="auto" w:fill="92D400"/>
          </w:tcPr>
          <w:p w:rsidR="00C31389" w:rsidRDefault="00561FBD" w14:paraId="0D9DB235" w14:textId="77777777">
            <w:pPr>
              <w:pStyle w:val="TableParagraph"/>
              <w:spacing w:before="62" w:line="199" w:lineRule="exact"/>
              <w:ind w:left="385"/>
              <w:rPr>
                <w:b/>
                <w:sz w:val="20"/>
              </w:rPr>
            </w:pPr>
            <w:r>
              <w:rPr>
                <w:b/>
                <w:sz w:val="20"/>
              </w:rPr>
              <w:t>Savings</w:t>
            </w:r>
            <w:r>
              <w:rPr>
                <w:b/>
                <w:spacing w:val="-4"/>
                <w:sz w:val="20"/>
              </w:rPr>
              <w:t xml:space="preserve"> </w:t>
            </w:r>
            <w:r>
              <w:rPr>
                <w:b/>
                <w:spacing w:val="-2"/>
                <w:sz w:val="20"/>
              </w:rPr>
              <w:t>Range</w:t>
            </w:r>
          </w:p>
        </w:tc>
        <w:tc>
          <w:tcPr>
            <w:tcW w:w="1362" w:type="dxa"/>
            <w:shd w:val="clear" w:color="auto" w:fill="92D400"/>
          </w:tcPr>
          <w:p w:rsidR="00C31389" w:rsidRDefault="00561FBD" w14:paraId="75CA5BD7" w14:textId="77777777">
            <w:pPr>
              <w:pStyle w:val="TableParagraph"/>
              <w:spacing w:before="62" w:line="199" w:lineRule="exact"/>
              <w:ind w:left="903"/>
              <w:rPr>
                <w:b/>
                <w:sz w:val="20"/>
              </w:rPr>
            </w:pPr>
            <w:r>
              <w:rPr>
                <w:b/>
                <w:spacing w:val="-4"/>
                <w:sz w:val="20"/>
              </w:rPr>
              <w:t>Cost</w:t>
            </w:r>
          </w:p>
        </w:tc>
        <w:tc>
          <w:tcPr>
            <w:tcW w:w="893" w:type="dxa"/>
            <w:shd w:val="clear" w:color="auto" w:fill="92D400"/>
          </w:tcPr>
          <w:p w:rsidR="00C31389" w:rsidRDefault="00C31389" w14:paraId="6F324DF9" w14:textId="77777777">
            <w:pPr>
              <w:pStyle w:val="TableParagraph"/>
              <w:spacing w:before="0"/>
              <w:rPr>
                <w:rFonts w:ascii="Times New Roman"/>
                <w:sz w:val="20"/>
              </w:rPr>
            </w:pPr>
          </w:p>
        </w:tc>
        <w:tc>
          <w:tcPr>
            <w:tcW w:w="1213" w:type="dxa"/>
            <w:vMerge w:val="restart"/>
            <w:tcBorders>
              <w:bottom w:val="single" w:color="D9D9D9" w:sz="2" w:space="0"/>
            </w:tcBorders>
            <w:shd w:val="clear" w:color="auto" w:fill="92D400"/>
          </w:tcPr>
          <w:p w:rsidR="00C31389" w:rsidRDefault="00561FBD" w14:paraId="77E647DC" w14:textId="77777777">
            <w:pPr>
              <w:pStyle w:val="TableParagraph"/>
              <w:ind w:left="237" w:right="194"/>
              <w:jc w:val="center"/>
              <w:rPr>
                <w:b/>
                <w:sz w:val="20"/>
              </w:rPr>
            </w:pPr>
            <w:r>
              <w:rPr>
                <w:b/>
                <w:spacing w:val="-2"/>
                <w:sz w:val="20"/>
              </w:rPr>
              <w:t>kW/kWh Savings Ratio</w:t>
            </w:r>
          </w:p>
        </w:tc>
      </w:tr>
      <w:tr w:rsidR="00C31389" w14:paraId="3CC34648" w14:textId="77777777">
        <w:trPr>
          <w:trHeight w:val="189"/>
        </w:trPr>
        <w:tc>
          <w:tcPr>
            <w:tcW w:w="1278" w:type="dxa"/>
            <w:shd w:val="clear" w:color="auto" w:fill="92D400"/>
          </w:tcPr>
          <w:p w:rsidR="00C31389" w:rsidRDefault="00561FBD" w14:paraId="69861A22" w14:textId="77777777">
            <w:pPr>
              <w:pStyle w:val="TableParagraph"/>
              <w:spacing w:before="0" w:line="169" w:lineRule="exact"/>
              <w:ind w:left="124"/>
              <w:rPr>
                <w:b/>
                <w:sz w:val="20"/>
              </w:rPr>
            </w:pPr>
            <w:r>
              <w:rPr>
                <w:b/>
                <w:spacing w:val="-2"/>
                <w:sz w:val="20"/>
              </w:rPr>
              <w:t>Sector</w:t>
            </w:r>
          </w:p>
        </w:tc>
        <w:tc>
          <w:tcPr>
            <w:tcW w:w="1397" w:type="dxa"/>
            <w:shd w:val="clear" w:color="auto" w:fill="92D400"/>
          </w:tcPr>
          <w:p w:rsidR="00C31389" w:rsidRDefault="00561FBD" w14:paraId="58A578CB" w14:textId="77777777">
            <w:pPr>
              <w:pStyle w:val="TableParagraph"/>
              <w:spacing w:before="0" w:line="169" w:lineRule="exact"/>
              <w:ind w:left="196"/>
              <w:rPr>
                <w:b/>
                <w:sz w:val="20"/>
              </w:rPr>
            </w:pPr>
            <w:r>
              <w:rPr>
                <w:b/>
                <w:spacing w:val="-4"/>
                <w:sz w:val="20"/>
              </w:rPr>
              <w:t>Type</w:t>
            </w:r>
          </w:p>
        </w:tc>
        <w:tc>
          <w:tcPr>
            <w:tcW w:w="910" w:type="dxa"/>
            <w:vMerge/>
            <w:tcBorders>
              <w:top w:val="nil"/>
              <w:bottom w:val="single" w:color="D9D9D9" w:sz="2" w:space="0"/>
            </w:tcBorders>
            <w:shd w:val="clear" w:color="auto" w:fill="92D400"/>
          </w:tcPr>
          <w:p w:rsidR="00C31389" w:rsidRDefault="00C31389" w14:paraId="5F17F9E8" w14:textId="77777777">
            <w:pPr>
              <w:rPr>
                <w:sz w:val="2"/>
                <w:szCs w:val="2"/>
              </w:rPr>
            </w:pPr>
          </w:p>
        </w:tc>
        <w:tc>
          <w:tcPr>
            <w:tcW w:w="1090" w:type="dxa"/>
            <w:shd w:val="clear" w:color="auto" w:fill="92D400"/>
          </w:tcPr>
          <w:p w:rsidR="00C31389" w:rsidRDefault="00C31389" w14:paraId="35DB2448" w14:textId="77777777">
            <w:pPr>
              <w:pStyle w:val="TableParagraph"/>
              <w:spacing w:before="0"/>
              <w:rPr>
                <w:rFonts w:ascii="Times New Roman"/>
                <w:sz w:val="12"/>
              </w:rPr>
            </w:pPr>
          </w:p>
        </w:tc>
        <w:tc>
          <w:tcPr>
            <w:tcW w:w="1226" w:type="dxa"/>
            <w:shd w:val="clear" w:color="auto" w:fill="92D400"/>
          </w:tcPr>
          <w:p w:rsidR="00C31389" w:rsidRDefault="00C31389" w14:paraId="330BA052" w14:textId="77777777">
            <w:pPr>
              <w:pStyle w:val="TableParagraph"/>
              <w:spacing w:before="0"/>
              <w:rPr>
                <w:rFonts w:ascii="Times New Roman"/>
                <w:sz w:val="12"/>
              </w:rPr>
            </w:pPr>
          </w:p>
        </w:tc>
        <w:tc>
          <w:tcPr>
            <w:tcW w:w="1362" w:type="dxa"/>
            <w:shd w:val="clear" w:color="auto" w:fill="92D400"/>
          </w:tcPr>
          <w:p w:rsidR="00C31389" w:rsidRDefault="00C31389" w14:paraId="60122C2D" w14:textId="77777777">
            <w:pPr>
              <w:pStyle w:val="TableParagraph"/>
              <w:spacing w:before="0"/>
              <w:rPr>
                <w:rFonts w:ascii="Times New Roman"/>
                <w:sz w:val="12"/>
              </w:rPr>
            </w:pPr>
          </w:p>
        </w:tc>
        <w:tc>
          <w:tcPr>
            <w:tcW w:w="893" w:type="dxa"/>
            <w:shd w:val="clear" w:color="auto" w:fill="92D400"/>
          </w:tcPr>
          <w:p w:rsidR="00C31389" w:rsidRDefault="00C31389" w14:paraId="343591A4" w14:textId="77777777">
            <w:pPr>
              <w:pStyle w:val="TableParagraph"/>
              <w:spacing w:before="0"/>
              <w:rPr>
                <w:rFonts w:ascii="Times New Roman"/>
                <w:sz w:val="12"/>
              </w:rPr>
            </w:pPr>
          </w:p>
        </w:tc>
        <w:tc>
          <w:tcPr>
            <w:tcW w:w="1213" w:type="dxa"/>
            <w:vMerge/>
            <w:tcBorders>
              <w:top w:val="nil"/>
              <w:bottom w:val="single" w:color="D9D9D9" w:sz="2" w:space="0"/>
            </w:tcBorders>
            <w:shd w:val="clear" w:color="auto" w:fill="92D400"/>
          </w:tcPr>
          <w:p w:rsidR="00C31389" w:rsidRDefault="00C31389" w14:paraId="06210B83" w14:textId="77777777">
            <w:pPr>
              <w:rPr>
                <w:sz w:val="2"/>
                <w:szCs w:val="2"/>
              </w:rPr>
            </w:pPr>
          </w:p>
        </w:tc>
      </w:tr>
      <w:tr w:rsidR="00C31389" w14:paraId="6E2EEB64" w14:textId="77777777">
        <w:trPr>
          <w:trHeight w:val="288"/>
        </w:trPr>
        <w:tc>
          <w:tcPr>
            <w:tcW w:w="1278" w:type="dxa"/>
            <w:tcBorders>
              <w:bottom w:val="single" w:color="D9D9D9" w:sz="2" w:space="0"/>
            </w:tcBorders>
            <w:shd w:val="clear" w:color="auto" w:fill="92D400"/>
          </w:tcPr>
          <w:p w:rsidR="00C31389" w:rsidRDefault="00C31389" w14:paraId="2A6BF9A5" w14:textId="77777777">
            <w:pPr>
              <w:pStyle w:val="TableParagraph"/>
              <w:spacing w:before="0"/>
              <w:rPr>
                <w:rFonts w:ascii="Times New Roman"/>
                <w:sz w:val="20"/>
              </w:rPr>
            </w:pPr>
          </w:p>
        </w:tc>
        <w:tc>
          <w:tcPr>
            <w:tcW w:w="1397" w:type="dxa"/>
            <w:tcBorders>
              <w:bottom w:val="single" w:color="D9D9D9" w:sz="2" w:space="0"/>
            </w:tcBorders>
            <w:shd w:val="clear" w:color="auto" w:fill="92D400"/>
          </w:tcPr>
          <w:p w:rsidR="00C31389" w:rsidRDefault="00C31389" w14:paraId="0B54FF58" w14:textId="77777777">
            <w:pPr>
              <w:pStyle w:val="TableParagraph"/>
              <w:spacing w:before="0"/>
              <w:rPr>
                <w:rFonts w:ascii="Times New Roman"/>
                <w:sz w:val="20"/>
              </w:rPr>
            </w:pPr>
          </w:p>
        </w:tc>
        <w:tc>
          <w:tcPr>
            <w:tcW w:w="910" w:type="dxa"/>
            <w:vMerge/>
            <w:tcBorders>
              <w:top w:val="nil"/>
              <w:bottom w:val="single" w:color="D9D9D9" w:sz="2" w:space="0"/>
            </w:tcBorders>
            <w:shd w:val="clear" w:color="auto" w:fill="92D400"/>
          </w:tcPr>
          <w:p w:rsidR="00C31389" w:rsidRDefault="00C31389" w14:paraId="56D4829F" w14:textId="77777777">
            <w:pPr>
              <w:rPr>
                <w:sz w:val="2"/>
                <w:szCs w:val="2"/>
              </w:rPr>
            </w:pPr>
          </w:p>
        </w:tc>
        <w:tc>
          <w:tcPr>
            <w:tcW w:w="1090" w:type="dxa"/>
            <w:shd w:val="clear" w:color="auto" w:fill="92D400"/>
          </w:tcPr>
          <w:p w:rsidR="00C31389" w:rsidRDefault="00561FBD" w14:paraId="31A3FBAF" w14:textId="77777777">
            <w:pPr>
              <w:pStyle w:val="TableParagraph"/>
              <w:spacing w:before="0" w:line="200" w:lineRule="exact"/>
              <w:ind w:left="304"/>
              <w:rPr>
                <w:b/>
                <w:sz w:val="20"/>
              </w:rPr>
            </w:pPr>
            <w:r>
              <w:rPr>
                <w:b/>
                <w:spacing w:val="-5"/>
                <w:sz w:val="20"/>
              </w:rPr>
              <w:t>kWh</w:t>
            </w:r>
          </w:p>
        </w:tc>
        <w:tc>
          <w:tcPr>
            <w:tcW w:w="1226" w:type="dxa"/>
            <w:shd w:val="clear" w:color="auto" w:fill="92D400"/>
          </w:tcPr>
          <w:p w:rsidR="00C31389" w:rsidRDefault="00561FBD" w14:paraId="7AFB2DF4" w14:textId="77777777">
            <w:pPr>
              <w:pStyle w:val="TableParagraph"/>
              <w:spacing w:before="0" w:line="200" w:lineRule="exact"/>
              <w:ind w:left="262"/>
              <w:rPr>
                <w:b/>
                <w:sz w:val="20"/>
              </w:rPr>
            </w:pPr>
            <w:r>
              <w:rPr>
                <w:b/>
                <w:spacing w:val="-2"/>
                <w:sz w:val="20"/>
              </w:rPr>
              <w:t>therms</w:t>
            </w:r>
          </w:p>
        </w:tc>
        <w:tc>
          <w:tcPr>
            <w:tcW w:w="1362" w:type="dxa"/>
            <w:shd w:val="clear" w:color="auto" w:fill="92D400"/>
          </w:tcPr>
          <w:p w:rsidR="00C31389" w:rsidRDefault="00561FBD" w14:paraId="111EF17D" w14:textId="77777777">
            <w:pPr>
              <w:pStyle w:val="TableParagraph"/>
              <w:spacing w:before="0" w:line="200" w:lineRule="exact"/>
              <w:ind w:left="328"/>
              <w:rPr>
                <w:b/>
                <w:sz w:val="20"/>
              </w:rPr>
            </w:pPr>
            <w:r>
              <w:rPr>
                <w:b/>
                <w:spacing w:val="-5"/>
                <w:sz w:val="20"/>
              </w:rPr>
              <w:t>kWh</w:t>
            </w:r>
          </w:p>
        </w:tc>
        <w:tc>
          <w:tcPr>
            <w:tcW w:w="893" w:type="dxa"/>
            <w:shd w:val="clear" w:color="auto" w:fill="92D400"/>
          </w:tcPr>
          <w:p w:rsidR="00C31389" w:rsidRDefault="00561FBD" w14:paraId="6B230806" w14:textId="77777777">
            <w:pPr>
              <w:pStyle w:val="TableParagraph"/>
              <w:spacing w:before="0" w:line="200" w:lineRule="exact"/>
              <w:ind w:left="3" w:right="194"/>
              <w:jc w:val="center"/>
              <w:rPr>
                <w:b/>
                <w:sz w:val="20"/>
              </w:rPr>
            </w:pPr>
            <w:r>
              <w:rPr>
                <w:b/>
                <w:spacing w:val="-2"/>
                <w:sz w:val="20"/>
              </w:rPr>
              <w:t>therms</w:t>
            </w:r>
          </w:p>
        </w:tc>
        <w:tc>
          <w:tcPr>
            <w:tcW w:w="1213" w:type="dxa"/>
            <w:vMerge/>
            <w:tcBorders>
              <w:top w:val="nil"/>
              <w:bottom w:val="single" w:color="D9D9D9" w:sz="2" w:space="0"/>
            </w:tcBorders>
            <w:shd w:val="clear" w:color="auto" w:fill="92D400"/>
          </w:tcPr>
          <w:p w:rsidR="00C31389" w:rsidRDefault="00C31389" w14:paraId="39F7B030" w14:textId="77777777">
            <w:pPr>
              <w:rPr>
                <w:sz w:val="2"/>
                <w:szCs w:val="2"/>
              </w:rPr>
            </w:pPr>
          </w:p>
        </w:tc>
      </w:tr>
      <w:tr w:rsidR="00C31389" w14:paraId="5AD03B4D" w14:textId="77777777">
        <w:trPr>
          <w:trHeight w:val="545"/>
        </w:trPr>
        <w:tc>
          <w:tcPr>
            <w:tcW w:w="1278" w:type="dxa"/>
            <w:tcBorders>
              <w:top w:val="single" w:color="D9D9D9" w:sz="2" w:space="0"/>
              <w:bottom w:val="single" w:color="000000" w:sz="8" w:space="0"/>
            </w:tcBorders>
          </w:tcPr>
          <w:p w:rsidR="00C31389" w:rsidRDefault="00561FBD" w14:paraId="19093FE2" w14:textId="77777777">
            <w:pPr>
              <w:pStyle w:val="TableParagraph"/>
              <w:spacing w:before="46"/>
              <w:ind w:left="124"/>
              <w:rPr>
                <w:sz w:val="20"/>
              </w:rPr>
            </w:pPr>
            <w:r>
              <w:rPr>
                <w:spacing w:val="-2"/>
                <w:sz w:val="20"/>
              </w:rPr>
              <w:t>Industrial Agriculture</w:t>
            </w:r>
          </w:p>
        </w:tc>
        <w:tc>
          <w:tcPr>
            <w:tcW w:w="1397" w:type="dxa"/>
            <w:tcBorders>
              <w:top w:val="single" w:color="D9D9D9" w:sz="2" w:space="0"/>
              <w:bottom w:val="single" w:color="000000" w:sz="8" w:space="0"/>
            </w:tcBorders>
          </w:tcPr>
          <w:p w:rsidR="00C31389" w:rsidRDefault="00561FBD" w14:paraId="12E491F4" w14:textId="77777777">
            <w:pPr>
              <w:pStyle w:val="TableParagraph"/>
              <w:spacing w:before="46"/>
              <w:ind w:left="196"/>
              <w:rPr>
                <w:sz w:val="20"/>
              </w:rPr>
            </w:pPr>
            <w:r>
              <w:rPr>
                <w:spacing w:val="-2"/>
                <w:sz w:val="20"/>
              </w:rPr>
              <w:t>Emerging Technology</w:t>
            </w:r>
          </w:p>
        </w:tc>
        <w:tc>
          <w:tcPr>
            <w:tcW w:w="910" w:type="dxa"/>
            <w:tcBorders>
              <w:top w:val="single" w:color="D9D9D9" w:sz="2" w:space="0"/>
              <w:bottom w:val="single" w:color="000000" w:sz="8" w:space="0"/>
            </w:tcBorders>
          </w:tcPr>
          <w:p w:rsidR="00C31389" w:rsidRDefault="00561FBD" w14:paraId="65BFF0BD" w14:textId="77777777">
            <w:pPr>
              <w:pStyle w:val="TableParagraph"/>
              <w:spacing w:before="160"/>
              <w:ind w:left="313" w:right="344"/>
              <w:jc w:val="center"/>
              <w:rPr>
                <w:sz w:val="20"/>
              </w:rPr>
            </w:pPr>
            <w:r>
              <w:rPr>
                <w:spacing w:val="-5"/>
                <w:sz w:val="20"/>
              </w:rPr>
              <w:t>10</w:t>
            </w:r>
          </w:p>
        </w:tc>
        <w:tc>
          <w:tcPr>
            <w:tcW w:w="1090" w:type="dxa"/>
            <w:tcBorders>
              <w:bottom w:val="single" w:color="000000" w:sz="8" w:space="0"/>
            </w:tcBorders>
          </w:tcPr>
          <w:p w:rsidR="00C31389" w:rsidRDefault="00561FBD" w14:paraId="0F837E38" w14:textId="77777777">
            <w:pPr>
              <w:pStyle w:val="TableParagraph"/>
              <w:spacing w:before="46"/>
              <w:ind w:left="199"/>
              <w:rPr>
                <w:sz w:val="20"/>
              </w:rPr>
            </w:pPr>
            <w:r>
              <w:rPr>
                <w:spacing w:val="-2"/>
                <w:sz w:val="20"/>
              </w:rPr>
              <w:t>0.93%-</w:t>
            </w:r>
          </w:p>
          <w:p w:rsidR="00C31389" w:rsidRDefault="00561FBD" w14:paraId="428DF1FA" w14:textId="77777777">
            <w:pPr>
              <w:pStyle w:val="TableParagraph"/>
              <w:spacing w:before="0"/>
              <w:ind w:left="232"/>
              <w:rPr>
                <w:sz w:val="20"/>
              </w:rPr>
            </w:pPr>
            <w:r>
              <w:rPr>
                <w:spacing w:val="-4"/>
                <w:sz w:val="20"/>
              </w:rPr>
              <w:t>9.62%</w:t>
            </w:r>
          </w:p>
        </w:tc>
        <w:tc>
          <w:tcPr>
            <w:tcW w:w="1226" w:type="dxa"/>
            <w:tcBorders>
              <w:bottom w:val="single" w:color="000000" w:sz="8" w:space="0"/>
            </w:tcBorders>
          </w:tcPr>
          <w:p w:rsidR="00C31389" w:rsidRDefault="00561FBD" w14:paraId="5A88D02C" w14:textId="77777777">
            <w:pPr>
              <w:pStyle w:val="TableParagraph"/>
              <w:spacing w:before="46"/>
              <w:ind w:left="335"/>
              <w:rPr>
                <w:sz w:val="20"/>
              </w:rPr>
            </w:pPr>
            <w:r>
              <w:rPr>
                <w:spacing w:val="-2"/>
                <w:sz w:val="20"/>
              </w:rPr>
              <w:t>0.0%-</w:t>
            </w:r>
          </w:p>
          <w:p w:rsidR="00C31389" w:rsidRDefault="00561FBD" w14:paraId="4DA70558" w14:textId="77777777">
            <w:pPr>
              <w:pStyle w:val="TableParagraph"/>
              <w:spacing w:before="0"/>
              <w:ind w:left="257"/>
              <w:rPr>
                <w:sz w:val="20"/>
              </w:rPr>
            </w:pPr>
            <w:r>
              <w:rPr>
                <w:spacing w:val="-2"/>
                <w:sz w:val="20"/>
              </w:rPr>
              <w:t>14.21%</w:t>
            </w:r>
          </w:p>
        </w:tc>
        <w:tc>
          <w:tcPr>
            <w:tcW w:w="1362" w:type="dxa"/>
            <w:tcBorders>
              <w:bottom w:val="single" w:color="000000" w:sz="8" w:space="0"/>
            </w:tcBorders>
          </w:tcPr>
          <w:p w:rsidR="00C31389" w:rsidRDefault="00561FBD" w14:paraId="1B84E740" w14:textId="77777777">
            <w:pPr>
              <w:pStyle w:val="TableParagraph"/>
              <w:spacing w:before="160"/>
              <w:ind w:left="290"/>
              <w:rPr>
                <w:sz w:val="20"/>
              </w:rPr>
            </w:pPr>
            <w:r>
              <w:rPr>
                <w:spacing w:val="-2"/>
                <w:sz w:val="20"/>
              </w:rPr>
              <w:t>$0.42</w:t>
            </w:r>
          </w:p>
        </w:tc>
        <w:tc>
          <w:tcPr>
            <w:tcW w:w="893" w:type="dxa"/>
            <w:tcBorders>
              <w:bottom w:val="single" w:color="000000" w:sz="8" w:space="0"/>
            </w:tcBorders>
          </w:tcPr>
          <w:p w:rsidR="00C31389" w:rsidRDefault="00561FBD" w14:paraId="54A83367" w14:textId="77777777">
            <w:pPr>
              <w:pStyle w:val="TableParagraph"/>
              <w:spacing w:before="160"/>
              <w:ind w:left="85" w:right="277"/>
              <w:jc w:val="center"/>
              <w:rPr>
                <w:sz w:val="20"/>
              </w:rPr>
            </w:pPr>
            <w:r>
              <w:rPr>
                <w:spacing w:val="-2"/>
                <w:sz w:val="20"/>
              </w:rPr>
              <w:t>$2.83</w:t>
            </w:r>
          </w:p>
        </w:tc>
        <w:tc>
          <w:tcPr>
            <w:tcW w:w="1213" w:type="dxa"/>
            <w:tcBorders>
              <w:top w:val="single" w:color="D9D9D9" w:sz="2" w:space="0"/>
              <w:bottom w:val="single" w:color="000000" w:sz="8" w:space="0"/>
            </w:tcBorders>
          </w:tcPr>
          <w:p w:rsidR="00C31389" w:rsidRDefault="00561FBD" w14:paraId="53C8D640" w14:textId="77777777">
            <w:pPr>
              <w:pStyle w:val="TableParagraph"/>
              <w:spacing w:before="160"/>
              <w:ind w:left="209"/>
              <w:rPr>
                <w:sz w:val="20"/>
              </w:rPr>
            </w:pPr>
            <w:r>
              <w:rPr>
                <w:spacing w:val="-2"/>
                <w:sz w:val="20"/>
              </w:rPr>
              <w:t>0.000195</w:t>
            </w:r>
          </w:p>
        </w:tc>
      </w:tr>
    </w:tbl>
    <w:p w:rsidR="00C31389" w:rsidRDefault="00561FBD" w14:paraId="017FE1F4"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220BED1D" w14:textId="77777777">
      <w:pPr>
        <w:pStyle w:val="BodyText"/>
        <w:spacing w:before="9"/>
        <w:rPr>
          <w:i/>
          <w:sz w:val="20"/>
        </w:rPr>
      </w:pPr>
    </w:p>
    <w:p w:rsidR="00C31389" w:rsidRDefault="00561FBD" w14:paraId="3E94301A" w14:textId="77777777">
      <w:pPr>
        <w:pStyle w:val="BodyText"/>
        <w:ind w:left="480" w:right="485"/>
      </w:pPr>
      <w:r>
        <w:t>The model uses a universal EUL of 10 years to accommodate the broad range of emerging technology adoption curves. Similarly, a universal 0.000195 ratio of kW to kWh was applied to the</w:t>
      </w:r>
      <w:r>
        <w:rPr>
          <w:spacing w:val="-2"/>
        </w:rPr>
        <w:t xml:space="preserve"> </w:t>
      </w:r>
      <w:r>
        <w:t>three</w:t>
      </w:r>
      <w:r>
        <w:rPr>
          <w:spacing w:val="-2"/>
        </w:rPr>
        <w:t xml:space="preserve"> </w:t>
      </w:r>
      <w:r>
        <w:t>electric</w:t>
      </w:r>
      <w:r>
        <w:rPr>
          <w:spacing w:val="-2"/>
        </w:rPr>
        <w:t xml:space="preserve"> </w:t>
      </w:r>
      <w:r>
        <w:t>utilities.</w:t>
      </w:r>
      <w:r>
        <w:rPr>
          <w:spacing w:val="-3"/>
        </w:rPr>
        <w:t xml:space="preserve"> </w:t>
      </w:r>
      <w:r>
        <w:t>This</w:t>
      </w:r>
      <w:r>
        <w:rPr>
          <w:spacing w:val="-2"/>
        </w:rPr>
        <w:t xml:space="preserve"> </w:t>
      </w:r>
      <w:r>
        <w:t>is</w:t>
      </w:r>
      <w:r>
        <w:rPr>
          <w:spacing w:val="-3"/>
        </w:rPr>
        <w:t xml:space="preserve"> </w:t>
      </w:r>
      <w:r>
        <w:t>the</w:t>
      </w:r>
      <w:r>
        <w:rPr>
          <w:spacing w:val="-3"/>
        </w:rPr>
        <w:t xml:space="preserve"> </w:t>
      </w:r>
      <w:r>
        <w:t>same</w:t>
      </w:r>
      <w:r>
        <w:rPr>
          <w:spacing w:val="-2"/>
        </w:rPr>
        <w:t xml:space="preserve"> </w:t>
      </w:r>
      <w:r>
        <w:t>value</w:t>
      </w:r>
      <w:r>
        <w:rPr>
          <w:spacing w:val="-3"/>
        </w:rPr>
        <w:t xml:space="preserve"> </w:t>
      </w:r>
      <w:r>
        <w:t>used</w:t>
      </w:r>
      <w:r>
        <w:rPr>
          <w:spacing w:val="-2"/>
        </w:rPr>
        <w:t xml:space="preserve"> </w:t>
      </w:r>
      <w:r>
        <w:t>for</w:t>
      </w:r>
      <w:r>
        <w:rPr>
          <w:spacing w:val="-2"/>
        </w:rPr>
        <w:t xml:space="preserve"> </w:t>
      </w:r>
      <w:r>
        <w:t>SEM,</w:t>
      </w:r>
      <w:r>
        <w:rPr>
          <w:spacing w:val="-2"/>
        </w:rPr>
        <w:t xml:space="preserve"> </w:t>
      </w:r>
      <w:r>
        <w:t>and</w:t>
      </w:r>
      <w:r>
        <w:rPr>
          <w:spacing w:val="-2"/>
        </w:rPr>
        <w:t xml:space="preserve"> </w:t>
      </w:r>
      <w:r>
        <w:t>it</w:t>
      </w:r>
      <w:r>
        <w:rPr>
          <w:spacing w:val="-2"/>
        </w:rPr>
        <w:t xml:space="preserve"> </w:t>
      </w:r>
      <w:r>
        <w:t>is</w:t>
      </w:r>
      <w:r>
        <w:rPr>
          <w:spacing w:val="-3"/>
        </w:rPr>
        <w:t xml:space="preserve"> </w:t>
      </w:r>
      <w:r>
        <w:t>based</w:t>
      </w:r>
      <w:r>
        <w:rPr>
          <w:spacing w:val="-2"/>
        </w:rPr>
        <w:t xml:space="preserve"> </w:t>
      </w:r>
      <w:r>
        <w:t>on</w:t>
      </w:r>
      <w:r>
        <w:rPr>
          <w:spacing w:val="-2"/>
        </w:rPr>
        <w:t xml:space="preserve"> </w:t>
      </w:r>
      <w:r>
        <w:t>an</w:t>
      </w:r>
      <w:r>
        <w:rPr>
          <w:spacing w:val="-3"/>
        </w:rPr>
        <w:t xml:space="preserve"> </w:t>
      </w:r>
      <w:r>
        <w:t>analysis</w:t>
      </w:r>
      <w:r>
        <w:rPr>
          <w:spacing w:val="-2"/>
        </w:rPr>
        <w:t xml:space="preserve"> </w:t>
      </w:r>
      <w:r>
        <w:t>of</w:t>
      </w:r>
    </w:p>
    <w:p w:rsidR="00C31389" w:rsidRDefault="00C31389" w14:paraId="56062E1F" w14:textId="77777777">
      <w:pPr>
        <w:pStyle w:val="BodyText"/>
        <w:rPr>
          <w:sz w:val="20"/>
        </w:rPr>
      </w:pPr>
    </w:p>
    <w:p w:rsidR="00C31389" w:rsidRDefault="00561FBD" w14:paraId="46244729" w14:textId="77777777">
      <w:pPr>
        <w:pStyle w:val="BodyText"/>
        <w:rPr>
          <w:sz w:val="12"/>
        </w:rPr>
      </w:pPr>
      <w:r>
        <w:rPr>
          <w:noProof/>
        </w:rPr>
        <mc:AlternateContent>
          <mc:Choice Requires="wps">
            <w:drawing>
              <wp:anchor distT="0" distB="0" distL="0" distR="0" simplePos="0" relativeHeight="487652352" behindDoc="1" locked="0" layoutInCell="1" allowOverlap="1" wp14:editId="75366F0A" wp14:anchorId="10BE725F">
                <wp:simplePos x="0" y="0"/>
                <wp:positionH relativeFrom="page">
                  <wp:posOffset>914400</wp:posOffset>
                </wp:positionH>
                <wp:positionV relativeFrom="paragraph">
                  <wp:posOffset>102946</wp:posOffset>
                </wp:positionV>
                <wp:extent cx="1828800" cy="6985"/>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97" style="position:absolute;margin-left:1in;margin-top:8.1pt;width:2in;height:.55pt;z-index:-1566412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" w14:anchorId="649B8F7A">
                <v:path arrowok="t"/>
                <w10:wrap type="topAndBottom" anchorx="page"/>
              </v:shape>
            </w:pict>
          </mc:Fallback>
        </mc:AlternateContent>
      </w:r>
    </w:p>
    <w:p w:rsidR="00C31389" w:rsidRDefault="00561FBD" w14:paraId="78CAB8F2" w14:textId="77777777">
      <w:pPr>
        <w:spacing w:before="88"/>
        <w:ind w:left="479" w:right="533"/>
        <w:rPr>
          <w:sz w:val="18"/>
        </w:rPr>
      </w:pPr>
      <w:bookmarkStart w:name="_bookmark178" w:id="237"/>
      <w:bookmarkEnd w:id="237"/>
      <w:r>
        <w:rPr>
          <w:position w:val="6"/>
          <w:sz w:val="12"/>
        </w:rPr>
        <w:t>60</w:t>
      </w:r>
      <w:r>
        <w:rPr>
          <w:spacing w:val="14"/>
          <w:position w:val="6"/>
          <w:sz w:val="12"/>
        </w:rPr>
        <w:t xml:space="preserve"> </w:t>
      </w:r>
      <w:r>
        <w:rPr>
          <w:sz w:val="18"/>
        </w:rPr>
        <w:t>The</w:t>
      </w:r>
      <w:r>
        <w:rPr>
          <w:spacing w:val="-4"/>
          <w:sz w:val="18"/>
        </w:rPr>
        <w:t xml:space="preserve"> </w:t>
      </w:r>
      <w:r>
        <w:rPr>
          <w:sz w:val="18"/>
        </w:rPr>
        <w:t>emerging</w:t>
      </w:r>
      <w:r>
        <w:rPr>
          <w:spacing w:val="-2"/>
          <w:sz w:val="18"/>
        </w:rPr>
        <w:t xml:space="preserve"> </w:t>
      </w:r>
      <w:r>
        <w:rPr>
          <w:sz w:val="18"/>
        </w:rPr>
        <w:t>technologies</w:t>
      </w:r>
      <w:r>
        <w:rPr>
          <w:spacing w:val="-3"/>
          <w:sz w:val="18"/>
        </w:rPr>
        <w:t xml:space="preserve"> </w:t>
      </w:r>
      <w:r>
        <w:rPr>
          <w:sz w:val="18"/>
        </w:rPr>
        <w:t>represent</w:t>
      </w:r>
      <w:r>
        <w:rPr>
          <w:spacing w:val="-3"/>
          <w:sz w:val="18"/>
        </w:rPr>
        <w:t xml:space="preserve"> </w:t>
      </w:r>
      <w:r>
        <w:rPr>
          <w:sz w:val="18"/>
        </w:rPr>
        <w:t>a</w:t>
      </w:r>
      <w:r>
        <w:rPr>
          <w:spacing w:val="-4"/>
          <w:sz w:val="18"/>
        </w:rPr>
        <w:t xml:space="preserve"> </w:t>
      </w:r>
      <w:r>
        <w:rPr>
          <w:sz w:val="18"/>
        </w:rPr>
        <w:t>process</w:t>
      </w:r>
      <w:r>
        <w:rPr>
          <w:spacing w:val="-2"/>
          <w:sz w:val="18"/>
        </w:rPr>
        <w:t xml:space="preserve"> </w:t>
      </w:r>
      <w:r>
        <w:rPr>
          <w:sz w:val="18"/>
        </w:rPr>
        <w:t>for</w:t>
      </w:r>
      <w:r>
        <w:rPr>
          <w:spacing w:val="-3"/>
          <w:sz w:val="18"/>
        </w:rPr>
        <w:t xml:space="preserve"> </w:t>
      </w:r>
      <w:r>
        <w:rPr>
          <w:sz w:val="18"/>
        </w:rPr>
        <w:t>reducing</w:t>
      </w:r>
      <w:r>
        <w:rPr>
          <w:spacing w:val="-4"/>
          <w:sz w:val="18"/>
        </w:rPr>
        <w:t xml:space="preserve"> </w:t>
      </w:r>
      <w:r>
        <w:rPr>
          <w:sz w:val="18"/>
        </w:rPr>
        <w:t>energy</w:t>
      </w:r>
      <w:r>
        <w:rPr>
          <w:spacing w:val="-3"/>
          <w:sz w:val="18"/>
        </w:rPr>
        <w:t xml:space="preserve"> </w:t>
      </w:r>
      <w:r>
        <w:rPr>
          <w:sz w:val="18"/>
        </w:rPr>
        <w:t>consumption</w:t>
      </w:r>
      <w:r>
        <w:rPr>
          <w:spacing w:val="-4"/>
          <w:sz w:val="18"/>
        </w:rPr>
        <w:t xml:space="preserve"> </w:t>
      </w:r>
      <w:r>
        <w:rPr>
          <w:sz w:val="18"/>
        </w:rPr>
        <w:t>and</w:t>
      </w:r>
      <w:r>
        <w:rPr>
          <w:spacing w:val="-4"/>
          <w:sz w:val="18"/>
        </w:rPr>
        <w:t xml:space="preserve"> </w:t>
      </w:r>
      <w:r>
        <w:rPr>
          <w:sz w:val="18"/>
        </w:rPr>
        <w:t>not</w:t>
      </w:r>
      <w:r>
        <w:rPr>
          <w:spacing w:val="-3"/>
          <w:sz w:val="18"/>
        </w:rPr>
        <w:t xml:space="preserve"> </w:t>
      </w:r>
      <w:r>
        <w:rPr>
          <w:sz w:val="18"/>
        </w:rPr>
        <w:t>necessarily</w:t>
      </w:r>
      <w:r>
        <w:rPr>
          <w:spacing w:val="-2"/>
          <w:sz w:val="18"/>
        </w:rPr>
        <w:t xml:space="preserve"> </w:t>
      </w:r>
      <w:r>
        <w:rPr>
          <w:sz w:val="18"/>
        </w:rPr>
        <w:t>a</w:t>
      </w:r>
      <w:r>
        <w:rPr>
          <w:spacing w:val="-4"/>
          <w:sz w:val="18"/>
        </w:rPr>
        <w:t xml:space="preserve"> </w:t>
      </w:r>
      <w:r>
        <w:rPr>
          <w:sz w:val="18"/>
        </w:rPr>
        <w:t xml:space="preserve">specific </w:t>
      </w:r>
      <w:r>
        <w:rPr>
          <w:spacing w:val="-2"/>
          <w:sz w:val="18"/>
        </w:rPr>
        <w:t>technology.</w:t>
      </w:r>
    </w:p>
    <w:p w:rsidR="00C31389" w:rsidRDefault="00C31389" w14:paraId="14261FF1" w14:textId="77777777">
      <w:pPr>
        <w:rPr>
          <w:sz w:val="18"/>
        </w:rPr>
        <w:sectPr w:rsidR="00C31389">
          <w:pgSz w:w="12240" w:h="15840"/>
          <w:pgMar w:top="1660" w:right="960" w:bottom="1120" w:left="960" w:header="397" w:footer="936" w:gutter="0"/>
          <w:cols w:space="720"/>
        </w:sectPr>
      </w:pPr>
    </w:p>
    <w:p w:rsidR="00C31389" w:rsidRDefault="00C31389" w14:paraId="15A41621" w14:textId="77777777">
      <w:pPr>
        <w:pStyle w:val="BodyText"/>
        <w:spacing w:before="11"/>
        <w:rPr>
          <w:sz w:val="13"/>
        </w:rPr>
      </w:pPr>
    </w:p>
    <w:p w:rsidR="00C31389" w:rsidRDefault="00561FBD" w14:paraId="52F19E98" w14:textId="77777777">
      <w:pPr>
        <w:pStyle w:val="BodyText"/>
        <w:spacing w:before="92"/>
        <w:ind w:left="479" w:right="533"/>
      </w:pPr>
      <w:r>
        <w:t>several</w:t>
      </w:r>
      <w:r>
        <w:rPr>
          <w:spacing w:val="-2"/>
        </w:rPr>
        <w:t xml:space="preserve"> </w:t>
      </w:r>
      <w:r>
        <w:t>third-party</w:t>
      </w:r>
      <w:r>
        <w:rPr>
          <w:spacing w:val="-2"/>
        </w:rPr>
        <w:t xml:space="preserve"> </w:t>
      </w:r>
      <w:r>
        <w:t>SEM</w:t>
      </w:r>
      <w:r>
        <w:rPr>
          <w:spacing w:val="-2"/>
        </w:rPr>
        <w:t xml:space="preserve"> </w:t>
      </w:r>
      <w:r>
        <w:t>programs</w:t>
      </w:r>
      <w:r>
        <w:rPr>
          <w:spacing w:val="-2"/>
        </w:rPr>
        <w:t xml:space="preserve"> </w:t>
      </w:r>
      <w:r>
        <w:t>operating</w:t>
      </w:r>
      <w:r>
        <w:rPr>
          <w:spacing w:val="-2"/>
        </w:rPr>
        <w:t xml:space="preserve"> </w:t>
      </w:r>
      <w:r>
        <w:t>in</w:t>
      </w:r>
      <w:r>
        <w:rPr>
          <w:spacing w:val="-3"/>
        </w:rPr>
        <w:t xml:space="preserve"> </w:t>
      </w:r>
      <w:r>
        <w:t>California</w:t>
      </w:r>
      <w:r>
        <w:rPr>
          <w:spacing w:val="-2"/>
        </w:rPr>
        <w:t xml:space="preserve"> </w:t>
      </w:r>
      <w:r>
        <w:t>during</w:t>
      </w:r>
      <w:r>
        <w:rPr>
          <w:spacing w:val="-2"/>
        </w:rPr>
        <w:t xml:space="preserve"> </w:t>
      </w:r>
      <w:r>
        <w:t>the</w:t>
      </w:r>
      <w:r>
        <w:rPr>
          <w:spacing w:val="-2"/>
        </w:rPr>
        <w:t xml:space="preserve"> </w:t>
      </w:r>
      <w:r>
        <w:t>2014-2015</w:t>
      </w:r>
      <w:r>
        <w:rPr>
          <w:spacing w:val="-2"/>
        </w:rPr>
        <w:t xml:space="preserve"> </w:t>
      </w:r>
      <w:r>
        <w:t>portfolio</w:t>
      </w:r>
      <w:r>
        <w:rPr>
          <w:spacing w:val="-2"/>
        </w:rPr>
        <w:t xml:space="preserve"> </w:t>
      </w:r>
      <w:r>
        <w:t>cycle. Actual emerging technology-specific EULs and kW/kWh are presently unknown and may be refined</w:t>
      </w:r>
      <w:r>
        <w:rPr>
          <w:spacing w:val="-4"/>
        </w:rPr>
        <w:t xml:space="preserve"> </w:t>
      </w:r>
      <w:r>
        <w:t>during</w:t>
      </w:r>
      <w:r>
        <w:rPr>
          <w:spacing w:val="-4"/>
        </w:rPr>
        <w:t xml:space="preserve"> </w:t>
      </w:r>
      <w:r>
        <w:t>future</w:t>
      </w:r>
      <w:r>
        <w:rPr>
          <w:spacing w:val="-4"/>
        </w:rPr>
        <w:t xml:space="preserve"> </w:t>
      </w:r>
      <w:r>
        <w:t>emerging</w:t>
      </w:r>
      <w:r>
        <w:rPr>
          <w:spacing w:val="-4"/>
        </w:rPr>
        <w:t xml:space="preserve"> </w:t>
      </w:r>
      <w:r>
        <w:t>technologies</w:t>
      </w:r>
      <w:r>
        <w:rPr>
          <w:spacing w:val="-4"/>
        </w:rPr>
        <w:t xml:space="preserve"> </w:t>
      </w:r>
      <w:r>
        <w:t>market</w:t>
      </w:r>
      <w:r>
        <w:rPr>
          <w:spacing w:val="-4"/>
        </w:rPr>
        <w:t xml:space="preserve"> </w:t>
      </w:r>
      <w:r>
        <w:t>studies</w:t>
      </w:r>
      <w:r>
        <w:rPr>
          <w:spacing w:val="-5"/>
        </w:rPr>
        <w:t xml:space="preserve"> </w:t>
      </w:r>
      <w:r>
        <w:t>as</w:t>
      </w:r>
      <w:r>
        <w:rPr>
          <w:spacing w:val="-4"/>
        </w:rPr>
        <w:t xml:space="preserve"> </w:t>
      </w:r>
      <w:r>
        <w:t>additional</w:t>
      </w:r>
      <w:r>
        <w:rPr>
          <w:spacing w:val="-4"/>
        </w:rPr>
        <w:t xml:space="preserve"> </w:t>
      </w:r>
      <w:r>
        <w:t>information</w:t>
      </w:r>
      <w:r>
        <w:rPr>
          <w:spacing w:val="-4"/>
        </w:rPr>
        <w:t xml:space="preserve"> </w:t>
      </w:r>
      <w:r>
        <w:t xml:space="preserve">becomes </w:t>
      </w:r>
      <w:r>
        <w:rPr>
          <w:spacing w:val="-2"/>
        </w:rPr>
        <w:t>available.</w:t>
      </w:r>
    </w:p>
    <w:p w:rsidR="00C31389" w:rsidRDefault="00C31389" w14:paraId="1A5E0650" w14:textId="77777777">
      <w:pPr>
        <w:pStyle w:val="BodyText"/>
        <w:spacing w:before="10"/>
        <w:rPr>
          <w:sz w:val="20"/>
        </w:rPr>
      </w:pPr>
    </w:p>
    <w:p w:rsidR="00C31389" w:rsidRDefault="00561FBD" w14:paraId="2424DD6B" w14:textId="77777777">
      <w:pPr>
        <w:pStyle w:val="BodyText"/>
        <w:ind w:left="479" w:right="485"/>
      </w:pPr>
      <w:r>
        <w:t xml:space="preserve">The </w:t>
      </w:r>
      <w:r>
        <w:t>Guidehouse team estimated costs for electricity and natural gas emerging technologies savings based on an analysis of industrial and agriculture programs operating throughout 2016. Costs for electricity and natural gas savings are estimated at $0.42/kWh an</w:t>
      </w:r>
      <w:r>
        <w:t>d $2.83/therm and are</w:t>
      </w:r>
      <w:r>
        <w:rPr>
          <w:spacing w:val="-3"/>
        </w:rPr>
        <w:t xml:space="preserve"> </w:t>
      </w:r>
      <w:r>
        <w:t>applied</w:t>
      </w:r>
      <w:r>
        <w:rPr>
          <w:spacing w:val="-4"/>
        </w:rPr>
        <w:t xml:space="preserve"> </w:t>
      </w:r>
      <w:r>
        <w:t>consistently</w:t>
      </w:r>
      <w:r>
        <w:rPr>
          <w:spacing w:val="-4"/>
        </w:rPr>
        <w:t xml:space="preserve"> </w:t>
      </w:r>
      <w:r>
        <w:t>for</w:t>
      </w:r>
      <w:r>
        <w:rPr>
          <w:spacing w:val="-3"/>
        </w:rPr>
        <w:t xml:space="preserve"> </w:t>
      </w:r>
      <w:r>
        <w:t>all</w:t>
      </w:r>
      <w:r>
        <w:rPr>
          <w:spacing w:val="-3"/>
        </w:rPr>
        <w:t xml:space="preserve"> </w:t>
      </w:r>
      <w:r>
        <w:t>utilities</w:t>
      </w:r>
      <w:r>
        <w:rPr>
          <w:spacing w:val="-3"/>
        </w:rPr>
        <w:t xml:space="preserve"> </w:t>
      </w:r>
      <w:r>
        <w:t>and</w:t>
      </w:r>
      <w:r>
        <w:rPr>
          <w:spacing w:val="-3"/>
        </w:rPr>
        <w:t xml:space="preserve"> </w:t>
      </w:r>
      <w:r>
        <w:t>across</w:t>
      </w:r>
      <w:r>
        <w:rPr>
          <w:spacing w:val="-3"/>
        </w:rPr>
        <w:t xml:space="preserve"> </w:t>
      </w:r>
      <w:r>
        <w:t>all</w:t>
      </w:r>
      <w:r>
        <w:rPr>
          <w:spacing w:val="-3"/>
        </w:rPr>
        <w:t xml:space="preserve"> </w:t>
      </w:r>
      <w:r>
        <w:t>industrial</w:t>
      </w:r>
      <w:r>
        <w:rPr>
          <w:spacing w:val="-3"/>
        </w:rPr>
        <w:t xml:space="preserve"> </w:t>
      </w:r>
      <w:r>
        <w:t>and</w:t>
      </w:r>
      <w:r>
        <w:rPr>
          <w:spacing w:val="-3"/>
        </w:rPr>
        <w:t xml:space="preserve"> </w:t>
      </w:r>
      <w:r>
        <w:t>agriculture</w:t>
      </w:r>
      <w:r>
        <w:rPr>
          <w:spacing w:val="-2"/>
        </w:rPr>
        <w:t xml:space="preserve"> </w:t>
      </w:r>
      <w:r>
        <w:t>sectors.</w:t>
      </w:r>
      <w:r>
        <w:rPr>
          <w:spacing w:val="-3"/>
        </w:rPr>
        <w:t xml:space="preserve"> </w:t>
      </w:r>
      <w:hyperlink w:history="1" w:anchor="_bookmark464">
        <w:r>
          <w:t>Appendix</w:t>
        </w:r>
      </w:hyperlink>
      <w:r>
        <w:t xml:space="preserve"> </w:t>
      </w:r>
      <w:hyperlink w:history="1" w:anchor="_bookmark464">
        <w:r>
          <w:t>G</w:t>
        </w:r>
      </w:hyperlink>
      <w:r>
        <w:t xml:space="preserve"> includes additional information on the methodology used to derives UES values and costs for emerging technologies measures.</w:t>
      </w:r>
    </w:p>
    <w:p w:rsidR="00C31389" w:rsidRDefault="00C31389" w14:paraId="354F07BF" w14:textId="77777777">
      <w:pPr>
        <w:pStyle w:val="BodyText"/>
        <w:spacing w:before="10"/>
        <w:rPr>
          <w:sz w:val="20"/>
        </w:rPr>
      </w:pPr>
    </w:p>
    <w:p w:rsidR="00C31389" w:rsidRDefault="00561FBD" w14:paraId="33E8F4DE" w14:textId="77777777">
      <w:pPr>
        <w:pStyle w:val="BodyText"/>
        <w:spacing w:before="1"/>
        <w:ind w:left="480" w:right="533" w:hanging="1"/>
      </w:pPr>
      <w:r>
        <w:t>The</w:t>
      </w:r>
      <w:r>
        <w:rPr>
          <w:spacing w:val="-4"/>
        </w:rPr>
        <w:t xml:space="preserve"> </w:t>
      </w:r>
      <w:r>
        <w:t>Guidehouse</w:t>
      </w:r>
      <w:r>
        <w:rPr>
          <w:spacing w:val="-4"/>
        </w:rPr>
        <w:t xml:space="preserve"> </w:t>
      </w:r>
      <w:r>
        <w:t>team</w:t>
      </w:r>
      <w:r>
        <w:rPr>
          <w:spacing w:val="-5"/>
        </w:rPr>
        <w:t xml:space="preserve"> </w:t>
      </w:r>
      <w:r>
        <w:t>assesse</w:t>
      </w:r>
      <w:r>
        <w:t>d</w:t>
      </w:r>
      <w:r>
        <w:rPr>
          <w:spacing w:val="-5"/>
        </w:rPr>
        <w:t xml:space="preserve"> </w:t>
      </w:r>
      <w:r>
        <w:t>segment-specific</w:t>
      </w:r>
      <w:r>
        <w:rPr>
          <w:spacing w:val="-3"/>
        </w:rPr>
        <w:t xml:space="preserve"> </w:t>
      </w:r>
      <w:r>
        <w:t>technology</w:t>
      </w:r>
      <w:r>
        <w:rPr>
          <w:spacing w:val="-4"/>
        </w:rPr>
        <w:t xml:space="preserve"> </w:t>
      </w:r>
      <w:r>
        <w:t>applicability</w:t>
      </w:r>
      <w:r>
        <w:rPr>
          <w:spacing w:val="-4"/>
        </w:rPr>
        <w:t xml:space="preserve"> </w:t>
      </w:r>
      <w:r>
        <w:t>during</w:t>
      </w:r>
      <w:r>
        <w:rPr>
          <w:spacing w:val="-4"/>
        </w:rPr>
        <w:t xml:space="preserve"> </w:t>
      </w:r>
      <w:r>
        <w:t>the</w:t>
      </w:r>
      <w:r>
        <w:rPr>
          <w:spacing w:val="-5"/>
        </w:rPr>
        <w:t xml:space="preserve"> </w:t>
      </w:r>
      <w:r>
        <w:t>screening process since emerging technologies apply to different industrial and agriculture sectors in varying degrees. For emerging technologies determined to be feasible at the segment level, a UES e</w:t>
      </w:r>
      <w:r>
        <w:t>stimate that includes adjustment for applicability was completed for each emerging technology. The team assigned each sector 100% applicability in the forecast model with the understanding</w:t>
      </w:r>
      <w:r>
        <w:rPr>
          <w:spacing w:val="-3"/>
        </w:rPr>
        <w:t xml:space="preserve"> </w:t>
      </w:r>
      <w:r>
        <w:t>that</w:t>
      </w:r>
      <w:r>
        <w:rPr>
          <w:spacing w:val="-3"/>
        </w:rPr>
        <w:t xml:space="preserve"> </w:t>
      </w:r>
      <w:r>
        <w:t>applicability</w:t>
      </w:r>
      <w:r>
        <w:rPr>
          <w:spacing w:val="-3"/>
        </w:rPr>
        <w:t xml:space="preserve"> </w:t>
      </w:r>
      <w:r>
        <w:t>was</w:t>
      </w:r>
      <w:r>
        <w:rPr>
          <w:spacing w:val="-3"/>
        </w:rPr>
        <w:t xml:space="preserve"> </w:t>
      </w:r>
      <w:r>
        <w:t>considered</w:t>
      </w:r>
      <w:r>
        <w:rPr>
          <w:spacing w:val="-3"/>
        </w:rPr>
        <w:t xml:space="preserve"> </w:t>
      </w:r>
      <w:r>
        <w:t>during</w:t>
      </w:r>
      <w:r>
        <w:rPr>
          <w:spacing w:val="-3"/>
        </w:rPr>
        <w:t xml:space="preserve"> </w:t>
      </w:r>
      <w:r>
        <w:t>the</w:t>
      </w:r>
      <w:r>
        <w:rPr>
          <w:spacing w:val="-3"/>
        </w:rPr>
        <w:t xml:space="preserve"> </w:t>
      </w:r>
      <w:r>
        <w:t>screening</w:t>
      </w:r>
      <w:r>
        <w:rPr>
          <w:spacing w:val="-3"/>
        </w:rPr>
        <w:t xml:space="preserve"> </w:t>
      </w:r>
      <w:r>
        <w:t>process</w:t>
      </w:r>
      <w:r>
        <w:rPr>
          <w:spacing w:val="-3"/>
        </w:rPr>
        <w:t xml:space="preserve"> </w:t>
      </w:r>
      <w:r>
        <w:t>and</w:t>
      </w:r>
      <w:r>
        <w:rPr>
          <w:spacing w:val="-3"/>
        </w:rPr>
        <w:t xml:space="preserve"> </w:t>
      </w:r>
      <w:r>
        <w:t>is</w:t>
      </w:r>
      <w:r>
        <w:rPr>
          <w:spacing w:val="-3"/>
        </w:rPr>
        <w:t xml:space="preserve"> </w:t>
      </w:r>
      <w:r>
        <w:t>embedded in the UES value for each emerging technology.</w:t>
      </w:r>
    </w:p>
    <w:p w:rsidR="00C31389" w:rsidRDefault="00C31389" w14:paraId="0B06B142" w14:textId="77777777">
      <w:pPr>
        <w:pStyle w:val="BodyText"/>
        <w:spacing w:before="10"/>
        <w:rPr>
          <w:sz w:val="20"/>
        </w:rPr>
      </w:pPr>
    </w:p>
    <w:p w:rsidR="00C31389" w:rsidRDefault="00561FBD" w14:paraId="1ACAE4D4" w14:textId="77777777">
      <w:pPr>
        <w:pStyle w:val="BodyText"/>
        <w:ind w:left="480" w:right="533"/>
      </w:pPr>
      <w:r>
        <w:t>Adoption</w:t>
      </w:r>
      <w:r>
        <w:rPr>
          <w:spacing w:val="-4"/>
        </w:rPr>
        <w:t xml:space="preserve"> </w:t>
      </w:r>
      <w:r>
        <w:t>of</w:t>
      </w:r>
      <w:r>
        <w:rPr>
          <w:spacing w:val="-5"/>
        </w:rPr>
        <w:t xml:space="preserve"> </w:t>
      </w:r>
      <w:r>
        <w:t>future</w:t>
      </w:r>
      <w:r>
        <w:rPr>
          <w:spacing w:val="-4"/>
        </w:rPr>
        <w:t xml:space="preserve"> </w:t>
      </w:r>
      <w:r>
        <w:t>emerging</w:t>
      </w:r>
      <w:r>
        <w:rPr>
          <w:spacing w:val="-4"/>
        </w:rPr>
        <w:t xml:space="preserve"> </w:t>
      </w:r>
      <w:r>
        <w:t>technologies</w:t>
      </w:r>
      <w:r>
        <w:rPr>
          <w:spacing w:val="-4"/>
        </w:rPr>
        <w:t xml:space="preserve"> </w:t>
      </w:r>
      <w:r>
        <w:t>will</w:t>
      </w:r>
      <w:r>
        <w:rPr>
          <w:spacing w:val="-5"/>
        </w:rPr>
        <w:t xml:space="preserve"> </w:t>
      </w:r>
      <w:r>
        <w:t>vary</w:t>
      </w:r>
      <w:r>
        <w:rPr>
          <w:spacing w:val="-4"/>
        </w:rPr>
        <w:t xml:space="preserve"> </w:t>
      </w:r>
      <w:r>
        <w:t>by</w:t>
      </w:r>
      <w:r>
        <w:rPr>
          <w:spacing w:val="-4"/>
        </w:rPr>
        <w:t xml:space="preserve"> </w:t>
      </w:r>
      <w:r>
        <w:t>technology.</w:t>
      </w:r>
      <w:r>
        <w:rPr>
          <w:spacing w:val="-4"/>
        </w:rPr>
        <w:t xml:space="preserve"> </w:t>
      </w:r>
      <w:r>
        <w:t>Some</w:t>
      </w:r>
      <w:r>
        <w:rPr>
          <w:spacing w:val="-4"/>
        </w:rPr>
        <w:t xml:space="preserve"> </w:t>
      </w:r>
      <w:r>
        <w:t>emerging</w:t>
      </w:r>
      <w:r>
        <w:rPr>
          <w:spacing w:val="-4"/>
        </w:rPr>
        <w:t xml:space="preserve"> </w:t>
      </w:r>
      <w:r>
        <w:t xml:space="preserve">technologies will gain widespread customer acceptance and capture broad market share based on price, energy </w:t>
      </w:r>
      <w:r>
        <w:t xml:space="preserve">savings, and other customer-driven factors, while other emerging technologies will see more limited adoption. Although the team assigned unique risk factors to each new technology during the screening process, it is impossible to definitively predetermine </w:t>
      </w:r>
      <w:r>
        <w:t>which technology will be successful. Therefore, the model considers all emerging technologies in aggregate and applies a consistent participation rate to all emerging technologies.</w:t>
      </w:r>
    </w:p>
    <w:p w:rsidR="00C31389" w:rsidRDefault="00C31389" w14:paraId="74B9672A" w14:textId="77777777">
      <w:pPr>
        <w:pStyle w:val="BodyText"/>
        <w:spacing w:before="9"/>
        <w:rPr>
          <w:sz w:val="20"/>
        </w:rPr>
      </w:pPr>
    </w:p>
    <w:p w:rsidR="00C31389" w:rsidRDefault="00561FBD" w14:paraId="07B7A169" w14:textId="77777777">
      <w:pPr>
        <w:pStyle w:val="BodyText"/>
        <w:ind w:left="479" w:right="533"/>
      </w:pPr>
      <w:r>
        <w:t>Penetration forecasts for the industrial and agriculture sectors begin wit</w:t>
      </w:r>
      <w:r>
        <w:t>h a saturation level of 0.1% for the reference case and follow a compound annual growth rate (CAGR) of 3.25%, yielding a target saturation of 1.84% by 2035. The 2035 target saturation of the portfolio of Industrial</w:t>
      </w:r>
      <w:r>
        <w:rPr>
          <w:spacing w:val="-4"/>
        </w:rPr>
        <w:t xml:space="preserve"> </w:t>
      </w:r>
      <w:r>
        <w:t>and</w:t>
      </w:r>
      <w:r>
        <w:rPr>
          <w:spacing w:val="-4"/>
        </w:rPr>
        <w:t xml:space="preserve"> </w:t>
      </w:r>
      <w:r>
        <w:t>Agricultural</w:t>
      </w:r>
      <w:r>
        <w:rPr>
          <w:spacing w:val="-3"/>
        </w:rPr>
        <w:t xml:space="preserve"> </w:t>
      </w:r>
      <w:r>
        <w:t>relevant</w:t>
      </w:r>
      <w:r>
        <w:rPr>
          <w:spacing w:val="-4"/>
        </w:rPr>
        <w:t xml:space="preserve"> </w:t>
      </w:r>
      <w:r>
        <w:t>emerging</w:t>
      </w:r>
      <w:r>
        <w:rPr>
          <w:spacing w:val="-4"/>
        </w:rPr>
        <w:t xml:space="preserve"> </w:t>
      </w:r>
      <w:r>
        <w:t>techno</w:t>
      </w:r>
      <w:r>
        <w:t>logies</w:t>
      </w:r>
      <w:r>
        <w:rPr>
          <w:spacing w:val="-4"/>
        </w:rPr>
        <w:t xml:space="preserve"> </w:t>
      </w:r>
      <w:r>
        <w:t>is</w:t>
      </w:r>
      <w:r>
        <w:rPr>
          <w:spacing w:val="-5"/>
        </w:rPr>
        <w:t xml:space="preserve"> </w:t>
      </w:r>
      <w:r>
        <w:t>an</w:t>
      </w:r>
      <w:r>
        <w:rPr>
          <w:spacing w:val="-4"/>
        </w:rPr>
        <w:t xml:space="preserve"> </w:t>
      </w:r>
      <w:r>
        <w:t>estimate</w:t>
      </w:r>
      <w:r>
        <w:rPr>
          <w:spacing w:val="-4"/>
        </w:rPr>
        <w:t xml:space="preserve"> </w:t>
      </w:r>
      <w:r>
        <w:t>that</w:t>
      </w:r>
      <w:r>
        <w:rPr>
          <w:spacing w:val="-4"/>
        </w:rPr>
        <w:t xml:space="preserve"> </w:t>
      </w:r>
      <w:r>
        <w:t>acknowledges</w:t>
      </w:r>
      <w:r>
        <w:rPr>
          <w:spacing w:val="-4"/>
        </w:rPr>
        <w:t xml:space="preserve"> </w:t>
      </w:r>
      <w:r>
        <w:t>the timeline</w:t>
      </w:r>
      <w:r>
        <w:rPr>
          <w:spacing w:val="-2"/>
        </w:rPr>
        <w:t xml:space="preserve"> </w:t>
      </w:r>
      <w:r>
        <w:t>over</w:t>
      </w:r>
      <w:r>
        <w:rPr>
          <w:spacing w:val="-2"/>
        </w:rPr>
        <w:t xml:space="preserve"> </w:t>
      </w:r>
      <w:r>
        <w:t>which</w:t>
      </w:r>
      <w:r>
        <w:rPr>
          <w:spacing w:val="-2"/>
        </w:rPr>
        <w:t xml:space="preserve"> </w:t>
      </w:r>
      <w:r>
        <w:t>new</w:t>
      </w:r>
      <w:r>
        <w:rPr>
          <w:spacing w:val="-3"/>
        </w:rPr>
        <w:t xml:space="preserve"> </w:t>
      </w:r>
      <w:r>
        <w:t>technologies</w:t>
      </w:r>
      <w:r>
        <w:rPr>
          <w:spacing w:val="-2"/>
        </w:rPr>
        <w:t xml:space="preserve"> </w:t>
      </w:r>
      <w:r>
        <w:t>move</w:t>
      </w:r>
      <w:r>
        <w:rPr>
          <w:spacing w:val="-2"/>
        </w:rPr>
        <w:t xml:space="preserve"> </w:t>
      </w:r>
      <w:r>
        <w:t>through</w:t>
      </w:r>
      <w:r>
        <w:rPr>
          <w:spacing w:val="-2"/>
        </w:rPr>
        <w:t xml:space="preserve"> </w:t>
      </w:r>
      <w:r>
        <w:t>the</w:t>
      </w:r>
      <w:r>
        <w:rPr>
          <w:spacing w:val="-2"/>
        </w:rPr>
        <w:t xml:space="preserve"> </w:t>
      </w:r>
      <w:r>
        <w:t>adoption</w:t>
      </w:r>
      <w:r>
        <w:rPr>
          <w:spacing w:val="-2"/>
        </w:rPr>
        <w:t xml:space="preserve"> </w:t>
      </w:r>
      <w:r>
        <w:t>cycle</w:t>
      </w:r>
      <w:r>
        <w:rPr>
          <w:spacing w:val="-2"/>
        </w:rPr>
        <w:t xml:space="preserve"> </w:t>
      </w:r>
      <w:r>
        <w:t>to</w:t>
      </w:r>
      <w:r>
        <w:rPr>
          <w:spacing w:val="-2"/>
        </w:rPr>
        <w:t xml:space="preserve"> </w:t>
      </w:r>
      <w:r>
        <w:t>reach</w:t>
      </w:r>
      <w:r>
        <w:rPr>
          <w:spacing w:val="-2"/>
        </w:rPr>
        <w:t xml:space="preserve"> </w:t>
      </w:r>
      <w:r>
        <w:t>80%</w:t>
      </w:r>
      <w:r>
        <w:rPr>
          <w:spacing w:val="-2"/>
        </w:rPr>
        <w:t xml:space="preserve"> </w:t>
      </w:r>
      <w:r>
        <w:t>saturation (typically ranging from 10 to 30 years) and the relatively slow turnover of the diverse set of production equipment ass</w:t>
      </w:r>
      <w:r>
        <w:t>ociated with many industrial processes. From 2030 to 2035, the penetration rate remains at the 1.84% level.</w:t>
      </w:r>
    </w:p>
    <w:p w:rsidR="00C31389" w:rsidRDefault="00C31389" w14:paraId="2AB7E308" w14:textId="77777777">
      <w:pPr>
        <w:pStyle w:val="BodyText"/>
        <w:spacing w:before="10"/>
        <w:rPr>
          <w:sz w:val="20"/>
        </w:rPr>
      </w:pPr>
    </w:p>
    <w:p w:rsidR="00C31389" w:rsidRDefault="00561FBD" w14:paraId="6B8D71FC" w14:textId="77777777">
      <w:pPr>
        <w:pStyle w:val="Heading2"/>
        <w:numPr>
          <w:ilvl w:val="1"/>
          <w:numId w:val="71"/>
        </w:numPr>
        <w:tabs>
          <w:tab w:val="left" w:pos="945"/>
        </w:tabs>
        <w:spacing w:before="1"/>
        <w:ind w:left="945" w:hanging="465"/>
      </w:pPr>
      <w:bookmarkStart w:name="3.7_C&amp;S" w:id="238"/>
      <w:bookmarkStart w:name="_bookmark179" w:id="239"/>
      <w:bookmarkEnd w:id="238"/>
      <w:bookmarkEnd w:id="239"/>
      <w:r>
        <w:rPr>
          <w:spacing w:val="-5"/>
        </w:rPr>
        <w:t>C&amp;S</w:t>
      </w:r>
    </w:p>
    <w:p w:rsidR="00C31389" w:rsidRDefault="00561FBD" w14:paraId="2C5AC6B6" w14:textId="77777777">
      <w:pPr>
        <w:pStyle w:val="BodyText"/>
        <w:spacing w:before="239"/>
        <w:ind w:left="480"/>
      </w:pPr>
      <w:r>
        <w:t>C&amp;S</w:t>
      </w:r>
      <w:r>
        <w:rPr>
          <w:spacing w:val="-5"/>
        </w:rPr>
        <w:t xml:space="preserve"> </w:t>
      </w:r>
      <w:r>
        <w:t>modeled</w:t>
      </w:r>
      <w:r>
        <w:rPr>
          <w:spacing w:val="-6"/>
        </w:rPr>
        <w:t xml:space="preserve"> </w:t>
      </w:r>
      <w:r>
        <w:t>in</w:t>
      </w:r>
      <w:r>
        <w:rPr>
          <w:spacing w:val="-5"/>
        </w:rPr>
        <w:t xml:space="preserve"> </w:t>
      </w:r>
      <w:r>
        <w:t>the</w:t>
      </w:r>
      <w:r>
        <w:rPr>
          <w:spacing w:val="-6"/>
        </w:rPr>
        <w:t xml:space="preserve"> </w:t>
      </w:r>
      <w:r>
        <w:t>2023</w:t>
      </w:r>
      <w:r>
        <w:rPr>
          <w:spacing w:val="-5"/>
        </w:rPr>
        <w:t xml:space="preserve"> </w:t>
      </w:r>
      <w:r>
        <w:t>Study</w:t>
      </w:r>
      <w:r>
        <w:rPr>
          <w:spacing w:val="-6"/>
        </w:rPr>
        <w:t xml:space="preserve"> </w:t>
      </w:r>
      <w:r>
        <w:t>uses</w:t>
      </w:r>
      <w:r>
        <w:rPr>
          <w:spacing w:val="-5"/>
        </w:rPr>
        <w:t xml:space="preserve"> </w:t>
      </w:r>
      <w:r>
        <w:t>data</w:t>
      </w:r>
      <w:r>
        <w:rPr>
          <w:spacing w:val="-6"/>
        </w:rPr>
        <w:t xml:space="preserve"> </w:t>
      </w:r>
      <w:r>
        <w:t>from</w:t>
      </w:r>
      <w:r>
        <w:rPr>
          <w:spacing w:val="-6"/>
        </w:rPr>
        <w:t xml:space="preserve"> </w:t>
      </w:r>
      <w:r>
        <w:t>multiple</w:t>
      </w:r>
      <w:r>
        <w:rPr>
          <w:spacing w:val="-6"/>
        </w:rPr>
        <w:t xml:space="preserve"> </w:t>
      </w:r>
      <w:r>
        <w:rPr>
          <w:spacing w:val="-2"/>
        </w:rPr>
        <w:t>sources.</w:t>
      </w:r>
    </w:p>
    <w:p w:rsidR="00C31389" w:rsidRDefault="00561FBD" w14:paraId="3185F8D4" w14:textId="77777777">
      <w:pPr>
        <w:pStyle w:val="ListParagraph"/>
        <w:numPr>
          <w:ilvl w:val="0"/>
          <w:numId w:val="42"/>
        </w:numPr>
        <w:tabs>
          <w:tab w:val="left" w:pos="1199"/>
        </w:tabs>
        <w:spacing w:before="120"/>
        <w:ind w:left="1199" w:hanging="359"/>
      </w:pPr>
      <w:r>
        <w:t>For</w:t>
      </w:r>
      <w:r>
        <w:rPr>
          <w:spacing w:val="-8"/>
        </w:rPr>
        <w:t xml:space="preserve"> </w:t>
      </w:r>
      <w:r>
        <w:t>evaluated</w:t>
      </w:r>
      <w:r>
        <w:rPr>
          <w:spacing w:val="-5"/>
        </w:rPr>
        <w:t xml:space="preserve"> </w:t>
      </w:r>
      <w:r>
        <w:t>C&amp;S,</w:t>
      </w:r>
      <w:r>
        <w:rPr>
          <w:spacing w:val="-5"/>
        </w:rPr>
        <w:t xml:space="preserve"> </w:t>
      </w:r>
      <w:r>
        <w:t>the</w:t>
      </w:r>
      <w:r>
        <w:rPr>
          <w:spacing w:val="-6"/>
        </w:rPr>
        <w:t xml:space="preserve"> </w:t>
      </w:r>
      <w:r>
        <w:t>study</w:t>
      </w:r>
      <w:r>
        <w:rPr>
          <w:spacing w:val="-5"/>
        </w:rPr>
        <w:t xml:space="preserve"> </w:t>
      </w:r>
      <w:r>
        <w:t>uses</w:t>
      </w:r>
      <w:r>
        <w:rPr>
          <w:spacing w:val="-5"/>
        </w:rPr>
        <w:t xml:space="preserve"> </w:t>
      </w:r>
      <w:r>
        <w:t>ISSM</w:t>
      </w:r>
      <w:r>
        <w:rPr>
          <w:spacing w:val="-40"/>
        </w:rPr>
        <w:t xml:space="preserve"> </w:t>
      </w:r>
      <w:hyperlink w:history="1" w:anchor="_bookmark180">
        <w:r>
          <w:rPr>
            <w:position w:val="7"/>
            <w:sz w:val="14"/>
          </w:rPr>
          <w:t>61</w:t>
        </w:r>
      </w:hyperlink>
      <w:r>
        <w:rPr>
          <w:spacing w:val="15"/>
          <w:position w:val="7"/>
          <w:sz w:val="14"/>
        </w:rPr>
        <w:t xml:space="preserve"> </w:t>
      </w:r>
      <w:r>
        <w:t>as</w:t>
      </w:r>
      <w:r>
        <w:rPr>
          <w:spacing w:val="-5"/>
        </w:rPr>
        <w:t xml:space="preserve"> </w:t>
      </w:r>
      <w:r>
        <w:t>its</w:t>
      </w:r>
      <w:r>
        <w:rPr>
          <w:spacing w:val="-6"/>
        </w:rPr>
        <w:t xml:space="preserve"> </w:t>
      </w:r>
      <w:r>
        <w:t>data</w:t>
      </w:r>
      <w:r>
        <w:rPr>
          <w:spacing w:val="-6"/>
        </w:rPr>
        <w:t xml:space="preserve"> </w:t>
      </w:r>
      <w:r>
        <w:rPr>
          <w:spacing w:val="-2"/>
        </w:rPr>
        <w:t>source.</w:t>
      </w:r>
    </w:p>
    <w:p w:rsidR="00C31389" w:rsidRDefault="00561FBD" w14:paraId="7BA7A624" w14:textId="77777777">
      <w:pPr>
        <w:pStyle w:val="ListParagraph"/>
        <w:numPr>
          <w:ilvl w:val="0"/>
          <w:numId w:val="42"/>
        </w:numPr>
        <w:tabs>
          <w:tab w:val="left" w:pos="1200"/>
        </w:tabs>
        <w:spacing w:before="118"/>
        <w:ind w:right="546"/>
        <w:rPr>
          <w:sz w:val="14"/>
        </w:rPr>
      </w:pPr>
      <w:r>
        <w:t>For</w:t>
      </w:r>
      <w:r>
        <w:rPr>
          <w:spacing w:val="-3"/>
        </w:rPr>
        <w:t xml:space="preserve"> </w:t>
      </w:r>
      <w:r>
        <w:t>unevaluated</w:t>
      </w:r>
      <w:r>
        <w:rPr>
          <w:spacing w:val="-3"/>
        </w:rPr>
        <w:t xml:space="preserve"> </w:t>
      </w:r>
      <w:r>
        <w:t>C&amp;S,</w:t>
      </w:r>
      <w:r>
        <w:rPr>
          <w:spacing w:val="-3"/>
        </w:rPr>
        <w:t xml:space="preserve"> </w:t>
      </w:r>
      <w:r>
        <w:t>the</w:t>
      </w:r>
      <w:r>
        <w:rPr>
          <w:spacing w:val="-3"/>
        </w:rPr>
        <w:t xml:space="preserve"> </w:t>
      </w:r>
      <w:r>
        <w:t>study</w:t>
      </w:r>
      <w:r>
        <w:rPr>
          <w:spacing w:val="-3"/>
        </w:rPr>
        <w:t xml:space="preserve"> </w:t>
      </w:r>
      <w:r>
        <w:t>uses</w:t>
      </w:r>
      <w:r>
        <w:rPr>
          <w:spacing w:val="-3"/>
        </w:rPr>
        <w:t xml:space="preserve"> </w:t>
      </w:r>
      <w:r>
        <w:t>data</w:t>
      </w:r>
      <w:r>
        <w:rPr>
          <w:spacing w:val="-3"/>
        </w:rPr>
        <w:t xml:space="preserve"> </w:t>
      </w:r>
      <w:r>
        <w:t>provided</w:t>
      </w:r>
      <w:r>
        <w:rPr>
          <w:spacing w:val="-3"/>
        </w:rPr>
        <w:t xml:space="preserve"> </w:t>
      </w:r>
      <w:r>
        <w:t>by</w:t>
      </w:r>
      <w:r>
        <w:rPr>
          <w:spacing w:val="-3"/>
        </w:rPr>
        <w:t xml:space="preserve"> </w:t>
      </w:r>
      <w:r>
        <w:t>California</w:t>
      </w:r>
      <w:r>
        <w:rPr>
          <w:spacing w:val="-3"/>
        </w:rPr>
        <w:t xml:space="preserve"> </w:t>
      </w:r>
      <w:r>
        <w:t>IOUs</w:t>
      </w:r>
      <w:r>
        <w:rPr>
          <w:spacing w:val="-3"/>
        </w:rPr>
        <w:t xml:space="preserve"> </w:t>
      </w:r>
      <w:r>
        <w:t>via</w:t>
      </w:r>
      <w:r>
        <w:rPr>
          <w:spacing w:val="-3"/>
        </w:rPr>
        <w:t xml:space="preserve"> </w:t>
      </w:r>
      <w:r>
        <w:t>a</w:t>
      </w:r>
      <w:r>
        <w:rPr>
          <w:spacing w:val="-3"/>
        </w:rPr>
        <w:t xml:space="preserve"> </w:t>
      </w:r>
      <w:r>
        <w:t>formal</w:t>
      </w:r>
      <w:r>
        <w:rPr>
          <w:spacing w:val="-3"/>
        </w:rPr>
        <w:t xml:space="preserve"> </w:t>
      </w:r>
      <w:r>
        <w:t>data request.</w:t>
      </w:r>
      <w:r>
        <w:rPr>
          <w:spacing w:val="-42"/>
        </w:rPr>
        <w:t xml:space="preserve"> </w:t>
      </w:r>
      <w:hyperlink w:history="1" w:anchor="_bookmark181">
        <w:r>
          <w:rPr>
            <w:position w:val="7"/>
            <w:sz w:val="14"/>
          </w:rPr>
          <w:t>62</w:t>
        </w:r>
      </w:hyperlink>
    </w:p>
    <w:p w:rsidR="00C31389" w:rsidRDefault="00C31389" w14:paraId="699DBE11" w14:textId="77777777">
      <w:pPr>
        <w:pStyle w:val="BodyText"/>
        <w:rPr>
          <w:sz w:val="20"/>
        </w:rPr>
      </w:pPr>
    </w:p>
    <w:p w:rsidR="00C31389" w:rsidRDefault="00C31389" w14:paraId="63919047" w14:textId="77777777">
      <w:pPr>
        <w:pStyle w:val="BodyText"/>
        <w:rPr>
          <w:sz w:val="20"/>
        </w:rPr>
      </w:pPr>
    </w:p>
    <w:p w:rsidR="00C31389" w:rsidRDefault="00561FBD" w14:paraId="6258E888" w14:textId="77777777">
      <w:pPr>
        <w:pStyle w:val="BodyText"/>
        <w:rPr>
          <w:sz w:val="23"/>
        </w:rPr>
      </w:pPr>
      <w:r>
        <w:rPr>
          <w:noProof/>
        </w:rPr>
        <mc:AlternateContent>
          <mc:Choice Requires="wps">
            <w:drawing>
              <wp:anchor distT="0" distB="0" distL="0" distR="0" simplePos="0" relativeHeight="487652864" behindDoc="1" locked="0" layoutInCell="1" allowOverlap="1" wp14:editId="1DFE38DF" wp14:anchorId="444ECC3E">
                <wp:simplePos x="0" y="0"/>
                <wp:positionH relativeFrom="page">
                  <wp:posOffset>914400</wp:posOffset>
                </wp:positionH>
                <wp:positionV relativeFrom="paragraph">
                  <wp:posOffset>183492</wp:posOffset>
                </wp:positionV>
                <wp:extent cx="1828800" cy="6985"/>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98" style="position:absolute;margin-left:1in;margin-top:14.45pt;width:2in;height:.55pt;z-index:-1566361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" w14:anchorId="07BD03EF">
                <v:path arrowok="t"/>
                <w10:wrap type="topAndBottom" anchorx="page"/>
              </v:shape>
            </w:pict>
          </mc:Fallback>
        </mc:AlternateContent>
      </w:r>
    </w:p>
    <w:p w:rsidR="00C31389" w:rsidRDefault="00561FBD" w14:paraId="07DD8319" w14:textId="77777777">
      <w:pPr>
        <w:spacing w:before="89"/>
        <w:ind w:left="480"/>
        <w:rPr>
          <w:sz w:val="18"/>
        </w:rPr>
      </w:pPr>
      <w:bookmarkStart w:name="_bookmark180" w:id="240"/>
      <w:bookmarkEnd w:id="240"/>
      <w:r>
        <w:rPr>
          <w:position w:val="6"/>
          <w:sz w:val="12"/>
        </w:rPr>
        <w:t>61</w:t>
      </w:r>
      <w:r>
        <w:rPr>
          <w:spacing w:val="12"/>
          <w:position w:val="6"/>
          <w:sz w:val="12"/>
        </w:rPr>
        <w:t xml:space="preserve"> </w:t>
      </w:r>
      <w:r>
        <w:rPr>
          <w:sz w:val="18"/>
        </w:rPr>
        <w:t>Market</w:t>
      </w:r>
      <w:r>
        <w:rPr>
          <w:spacing w:val="-3"/>
          <w:sz w:val="18"/>
        </w:rPr>
        <w:t xml:space="preserve"> </w:t>
      </w:r>
      <w:r>
        <w:rPr>
          <w:sz w:val="18"/>
        </w:rPr>
        <w:t>Logics</w:t>
      </w:r>
      <w:r>
        <w:rPr>
          <w:spacing w:val="-2"/>
          <w:sz w:val="18"/>
        </w:rPr>
        <w:t xml:space="preserve"> </w:t>
      </w:r>
      <w:r>
        <w:rPr>
          <w:sz w:val="18"/>
        </w:rPr>
        <w:t>and</w:t>
      </w:r>
      <w:r>
        <w:rPr>
          <w:spacing w:val="-4"/>
          <w:sz w:val="18"/>
        </w:rPr>
        <w:t xml:space="preserve"> </w:t>
      </w:r>
      <w:r>
        <w:rPr>
          <w:sz w:val="18"/>
        </w:rPr>
        <w:t>Opinion</w:t>
      </w:r>
      <w:r>
        <w:rPr>
          <w:spacing w:val="-4"/>
          <w:sz w:val="18"/>
        </w:rPr>
        <w:t xml:space="preserve"> </w:t>
      </w:r>
      <w:r>
        <w:rPr>
          <w:sz w:val="18"/>
        </w:rPr>
        <w:t>Dynamics</w:t>
      </w:r>
      <w:r>
        <w:rPr>
          <w:i/>
          <w:sz w:val="18"/>
        </w:rPr>
        <w:t>,</w:t>
      </w:r>
      <w:r>
        <w:rPr>
          <w:i/>
          <w:spacing w:val="-2"/>
          <w:sz w:val="18"/>
        </w:rPr>
        <w:t xml:space="preserve"> </w:t>
      </w:r>
      <w:r>
        <w:rPr>
          <w:i/>
          <w:sz w:val="18"/>
        </w:rPr>
        <w:t>Integrated</w:t>
      </w:r>
      <w:r>
        <w:rPr>
          <w:i/>
          <w:spacing w:val="-4"/>
          <w:sz w:val="18"/>
        </w:rPr>
        <w:t xml:space="preserve"> </w:t>
      </w:r>
      <w:r>
        <w:rPr>
          <w:i/>
          <w:sz w:val="18"/>
        </w:rPr>
        <w:t>Standards</w:t>
      </w:r>
      <w:r>
        <w:rPr>
          <w:i/>
          <w:spacing w:val="-2"/>
          <w:sz w:val="18"/>
        </w:rPr>
        <w:t xml:space="preserve"> </w:t>
      </w:r>
      <w:r>
        <w:rPr>
          <w:i/>
          <w:sz w:val="18"/>
        </w:rPr>
        <w:t>Savings</w:t>
      </w:r>
      <w:r>
        <w:rPr>
          <w:i/>
          <w:spacing w:val="-3"/>
          <w:sz w:val="18"/>
        </w:rPr>
        <w:t xml:space="preserve"> </w:t>
      </w:r>
      <w:r>
        <w:rPr>
          <w:i/>
          <w:sz w:val="18"/>
        </w:rPr>
        <w:t>Model</w:t>
      </w:r>
      <w:r>
        <w:rPr>
          <w:i/>
          <w:spacing w:val="-3"/>
          <w:sz w:val="18"/>
        </w:rPr>
        <w:t xml:space="preserve"> </w:t>
      </w:r>
      <w:r>
        <w:rPr>
          <w:i/>
          <w:sz w:val="18"/>
        </w:rPr>
        <w:t>(ISSM),</w:t>
      </w:r>
      <w:r>
        <w:rPr>
          <w:i/>
          <w:spacing w:val="-2"/>
          <w:sz w:val="18"/>
        </w:rPr>
        <w:t xml:space="preserve"> </w:t>
      </w:r>
      <w:r>
        <w:rPr>
          <w:spacing w:val="-2"/>
          <w:sz w:val="18"/>
        </w:rPr>
        <w:t>2020.</w:t>
      </w:r>
    </w:p>
    <w:p w:rsidR="00C31389" w:rsidRDefault="00561FBD" w14:paraId="57FB19D1" w14:textId="77777777">
      <w:pPr>
        <w:spacing w:before="36"/>
        <w:ind w:left="480"/>
        <w:rPr>
          <w:sz w:val="18"/>
        </w:rPr>
      </w:pPr>
      <w:bookmarkStart w:name="_bookmark181" w:id="241"/>
      <w:bookmarkEnd w:id="241"/>
      <w:r>
        <w:rPr>
          <w:position w:val="6"/>
          <w:sz w:val="12"/>
        </w:rPr>
        <w:t>62</w:t>
      </w:r>
      <w:r>
        <w:rPr>
          <w:spacing w:val="12"/>
          <w:position w:val="6"/>
          <w:sz w:val="12"/>
        </w:rPr>
        <w:t xml:space="preserve"> </w:t>
      </w:r>
      <w:r>
        <w:rPr>
          <w:sz w:val="18"/>
        </w:rPr>
        <w:t>PG&amp;E,</w:t>
      </w:r>
      <w:r>
        <w:rPr>
          <w:spacing w:val="-2"/>
          <w:sz w:val="18"/>
        </w:rPr>
        <w:t xml:space="preserve"> </w:t>
      </w:r>
      <w:r>
        <w:rPr>
          <w:sz w:val="18"/>
        </w:rPr>
        <w:t>SCE,</w:t>
      </w:r>
      <w:r>
        <w:rPr>
          <w:spacing w:val="-3"/>
          <w:sz w:val="18"/>
        </w:rPr>
        <w:t xml:space="preserve"> </w:t>
      </w:r>
      <w:r>
        <w:rPr>
          <w:sz w:val="18"/>
        </w:rPr>
        <w:t>SDG&amp;E,</w:t>
      </w:r>
      <w:r>
        <w:rPr>
          <w:spacing w:val="-2"/>
          <w:sz w:val="18"/>
        </w:rPr>
        <w:t xml:space="preserve"> </w:t>
      </w:r>
      <w:r>
        <w:rPr>
          <w:sz w:val="18"/>
        </w:rPr>
        <w:t>and</w:t>
      </w:r>
      <w:r>
        <w:rPr>
          <w:spacing w:val="-3"/>
          <w:sz w:val="18"/>
        </w:rPr>
        <w:t xml:space="preserve"> </w:t>
      </w:r>
      <w:r>
        <w:rPr>
          <w:sz w:val="18"/>
        </w:rPr>
        <w:t>SCG</w:t>
      </w:r>
      <w:r>
        <w:rPr>
          <w:spacing w:val="-2"/>
          <w:sz w:val="18"/>
        </w:rPr>
        <w:t xml:space="preserve"> </w:t>
      </w:r>
      <w:r>
        <w:rPr>
          <w:sz w:val="18"/>
        </w:rPr>
        <w:t>all</w:t>
      </w:r>
      <w:r>
        <w:rPr>
          <w:spacing w:val="-2"/>
          <w:sz w:val="18"/>
        </w:rPr>
        <w:t xml:space="preserve"> </w:t>
      </w:r>
      <w:r>
        <w:rPr>
          <w:sz w:val="18"/>
        </w:rPr>
        <w:t>responded</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data</w:t>
      </w:r>
      <w:r>
        <w:rPr>
          <w:spacing w:val="-3"/>
          <w:sz w:val="18"/>
        </w:rPr>
        <w:t xml:space="preserve"> </w:t>
      </w:r>
      <w:r>
        <w:rPr>
          <w:sz w:val="18"/>
        </w:rPr>
        <w:t>request</w:t>
      </w:r>
      <w:r>
        <w:rPr>
          <w:spacing w:val="-2"/>
          <w:sz w:val="18"/>
        </w:rPr>
        <w:t xml:space="preserve"> </w:t>
      </w:r>
      <w:r>
        <w:rPr>
          <w:sz w:val="18"/>
        </w:rPr>
        <w:t>on</w:t>
      </w:r>
      <w:r>
        <w:rPr>
          <w:spacing w:val="-3"/>
          <w:sz w:val="18"/>
        </w:rPr>
        <w:t xml:space="preserve"> </w:t>
      </w:r>
      <w:r>
        <w:rPr>
          <w:sz w:val="18"/>
        </w:rPr>
        <w:t>October</w:t>
      </w:r>
      <w:r>
        <w:rPr>
          <w:spacing w:val="-1"/>
          <w:sz w:val="18"/>
        </w:rPr>
        <w:t xml:space="preserve"> </w:t>
      </w:r>
      <w:r>
        <w:rPr>
          <w:sz w:val="18"/>
        </w:rPr>
        <w:t>14,</w:t>
      </w:r>
      <w:r>
        <w:rPr>
          <w:spacing w:val="-2"/>
          <w:sz w:val="18"/>
        </w:rPr>
        <w:t xml:space="preserve"> 2022.</w:t>
      </w:r>
    </w:p>
    <w:p w:rsidR="00C31389" w:rsidRDefault="00C31389" w14:paraId="571A488E" w14:textId="77777777">
      <w:pPr>
        <w:rPr>
          <w:sz w:val="18"/>
        </w:rPr>
        <w:sectPr w:rsidR="00C31389">
          <w:pgSz w:w="12240" w:h="15840"/>
          <w:pgMar w:top="1660" w:right="960" w:bottom="1120" w:left="960" w:header="397" w:footer="936" w:gutter="0"/>
          <w:cols w:space="720"/>
        </w:sectPr>
      </w:pPr>
    </w:p>
    <w:p w:rsidR="00C31389" w:rsidRDefault="00C31389" w14:paraId="265E636D" w14:textId="77777777">
      <w:pPr>
        <w:pStyle w:val="BodyText"/>
      </w:pPr>
    </w:p>
    <w:p w:rsidR="00C31389" w:rsidRDefault="00C31389" w14:paraId="74D63483" w14:textId="77777777">
      <w:pPr>
        <w:pStyle w:val="BodyText"/>
        <w:spacing w:before="2"/>
        <w:rPr>
          <w:sz w:val="13"/>
        </w:rPr>
      </w:pPr>
    </w:p>
    <w:p w:rsidR="00C31389" w:rsidRDefault="00561FBD" w14:paraId="58A98916" w14:textId="77777777">
      <w:pPr>
        <w:pStyle w:val="ListParagraph"/>
        <w:numPr>
          <w:ilvl w:val="0"/>
          <w:numId w:val="42"/>
        </w:numPr>
        <w:tabs>
          <w:tab w:val="left" w:pos="1199"/>
        </w:tabs>
        <w:spacing w:before="100"/>
        <w:ind w:left="1199" w:right="618"/>
      </w:pPr>
      <w:r>
        <w:t>For</w:t>
      </w:r>
      <w:r>
        <w:rPr>
          <w:spacing w:val="-3"/>
        </w:rPr>
        <w:t xml:space="preserve"> </w:t>
      </w:r>
      <w:r>
        <w:t>future</w:t>
      </w:r>
      <w:r>
        <w:rPr>
          <w:spacing w:val="-3"/>
        </w:rPr>
        <w:t xml:space="preserve"> </w:t>
      </w:r>
      <w:r>
        <w:t>T-24</w:t>
      </w:r>
      <w:r>
        <w:rPr>
          <w:spacing w:val="-3"/>
        </w:rPr>
        <w:t xml:space="preserve"> </w:t>
      </w:r>
      <w:r>
        <w:t>C&amp;S,</w:t>
      </w:r>
      <w:r>
        <w:rPr>
          <w:spacing w:val="-3"/>
        </w:rPr>
        <w:t xml:space="preserve"> </w:t>
      </w:r>
      <w:r>
        <w:t>the</w:t>
      </w:r>
      <w:r>
        <w:rPr>
          <w:spacing w:val="-2"/>
        </w:rPr>
        <w:t xml:space="preserve"> </w:t>
      </w:r>
      <w:r>
        <w:t>study</w:t>
      </w:r>
      <w:r>
        <w:rPr>
          <w:spacing w:val="-3"/>
        </w:rPr>
        <w:t xml:space="preserve"> </w:t>
      </w:r>
      <w:r>
        <w:t>uses</w:t>
      </w:r>
      <w:r>
        <w:rPr>
          <w:spacing w:val="-4"/>
        </w:rPr>
        <w:t xml:space="preserve"> </w:t>
      </w:r>
      <w:r>
        <w:t>additional</w:t>
      </w:r>
      <w:r>
        <w:rPr>
          <w:spacing w:val="-3"/>
        </w:rPr>
        <w:t xml:space="preserve"> </w:t>
      </w:r>
      <w:r>
        <w:t>data</w:t>
      </w:r>
      <w:r>
        <w:rPr>
          <w:spacing w:val="-3"/>
        </w:rPr>
        <w:t xml:space="preserve"> </w:t>
      </w:r>
      <w:r>
        <w:t>and</w:t>
      </w:r>
      <w:r>
        <w:rPr>
          <w:spacing w:val="-3"/>
        </w:rPr>
        <w:t xml:space="preserve"> </w:t>
      </w:r>
      <w:r>
        <w:t>information</w:t>
      </w:r>
      <w:r>
        <w:rPr>
          <w:spacing w:val="-2"/>
        </w:rPr>
        <w:t xml:space="preserve"> </w:t>
      </w:r>
      <w:r>
        <w:t>collected</w:t>
      </w:r>
      <w:r>
        <w:rPr>
          <w:spacing w:val="-3"/>
        </w:rPr>
        <w:t xml:space="preserve"> </w:t>
      </w:r>
      <w:r>
        <w:t>as</w:t>
      </w:r>
      <w:r>
        <w:rPr>
          <w:spacing w:val="-3"/>
        </w:rPr>
        <w:t xml:space="preserve"> </w:t>
      </w:r>
      <w:r>
        <w:t>part</w:t>
      </w:r>
      <w:r>
        <w:rPr>
          <w:spacing w:val="-4"/>
        </w:rPr>
        <w:t xml:space="preserve"> </w:t>
      </w:r>
      <w:r>
        <w:t>of the 2021 Study from the CEC along with additional assumptions made by the Guidehouse team.</w:t>
      </w:r>
    </w:p>
    <w:p w:rsidR="00C31389" w:rsidRDefault="00C31389" w14:paraId="7AFD08CD" w14:textId="77777777">
      <w:pPr>
        <w:pStyle w:val="BodyText"/>
        <w:spacing w:before="9"/>
        <w:rPr>
          <w:sz w:val="20"/>
        </w:rPr>
      </w:pPr>
    </w:p>
    <w:p w:rsidR="00C31389" w:rsidRDefault="00561FBD" w14:paraId="58478B52" w14:textId="77777777">
      <w:pPr>
        <w:pStyle w:val="BodyText"/>
        <w:ind w:left="479" w:right="485"/>
        <w:rPr>
          <w:sz w:val="14"/>
        </w:rPr>
      </w:pPr>
      <w:hyperlink w:history="1" w:anchor="_bookmark182">
        <w:r>
          <w:t>Table 3-24</w:t>
        </w:r>
      </w:hyperlink>
      <w:r>
        <w:t xml:space="preserve"> lists the number and type of C&amp;S and their data source</w:t>
      </w:r>
      <w:r>
        <w:t xml:space="preserve">. </w:t>
      </w:r>
      <w:hyperlink w:history="1" w:anchor="_bookmark460">
        <w:r>
          <w:t>Appendix F</w:t>
        </w:r>
      </w:hyperlink>
      <w:r>
        <w:t xml:space="preserve"> contains a full list</w:t>
      </w:r>
      <w:r>
        <w:rPr>
          <w:spacing w:val="-3"/>
        </w:rPr>
        <w:t xml:space="preserve"> </w:t>
      </w:r>
      <w:r>
        <w:t>of</w:t>
      </w:r>
      <w:r>
        <w:rPr>
          <w:spacing w:val="-3"/>
        </w:rPr>
        <w:t xml:space="preserve"> </w:t>
      </w:r>
      <w:r>
        <w:t>the</w:t>
      </w:r>
      <w:r>
        <w:rPr>
          <w:spacing w:val="-3"/>
        </w:rPr>
        <w:t xml:space="preserve"> </w:t>
      </w:r>
      <w:r>
        <w:t>modeled</w:t>
      </w:r>
      <w:r>
        <w:rPr>
          <w:spacing w:val="-3"/>
        </w:rPr>
        <w:t xml:space="preserve"> </w:t>
      </w:r>
      <w:r>
        <w:t>C&amp;S,</w:t>
      </w:r>
      <w:r>
        <w:rPr>
          <w:spacing w:val="-3"/>
        </w:rPr>
        <w:t xml:space="preserve"> </w:t>
      </w:r>
      <w:r>
        <w:t>their</w:t>
      </w:r>
      <w:r>
        <w:rPr>
          <w:spacing w:val="-3"/>
        </w:rPr>
        <w:t xml:space="preserve"> </w:t>
      </w:r>
      <w:r>
        <w:t>compliance</w:t>
      </w:r>
      <w:r>
        <w:rPr>
          <w:spacing w:val="-3"/>
        </w:rPr>
        <w:t xml:space="preserve"> </w:t>
      </w:r>
      <w:r>
        <w:t>rates,</w:t>
      </w:r>
      <w:r>
        <w:rPr>
          <w:spacing w:val="-4"/>
        </w:rPr>
        <w:t xml:space="preserve"> </w:t>
      </w:r>
      <w:r>
        <w:t>effective</w:t>
      </w:r>
      <w:r>
        <w:rPr>
          <w:spacing w:val="-3"/>
        </w:rPr>
        <w:t xml:space="preserve"> </w:t>
      </w:r>
      <w:r>
        <w:t>dates,</w:t>
      </w:r>
      <w:r>
        <w:rPr>
          <w:spacing w:val="-3"/>
        </w:rPr>
        <w:t xml:space="preserve"> </w:t>
      </w:r>
      <w:r>
        <w:t>and</w:t>
      </w:r>
      <w:r>
        <w:rPr>
          <w:spacing w:val="-3"/>
        </w:rPr>
        <w:t xml:space="preserve"> </w:t>
      </w:r>
      <w:r>
        <w:t>policy</w:t>
      </w:r>
      <w:r>
        <w:rPr>
          <w:spacing w:val="-3"/>
        </w:rPr>
        <w:t xml:space="preserve"> </w:t>
      </w:r>
      <w:r>
        <w:t>status</w:t>
      </w:r>
      <w:r>
        <w:rPr>
          <w:spacing w:val="-3"/>
        </w:rPr>
        <w:t xml:space="preserve"> </w:t>
      </w:r>
      <w:r>
        <w:t>(on-the-books, possible, or expected).</w:t>
      </w:r>
      <w:r>
        <w:rPr>
          <w:spacing w:val="-29"/>
        </w:rPr>
        <w:t xml:space="preserve"> </w:t>
      </w:r>
      <w:hyperlink w:history="1" w:anchor="_bookmark183">
        <w:r>
          <w:rPr>
            <w:position w:val="7"/>
            <w:sz w:val="14"/>
          </w:rPr>
          <w:t>63</w:t>
        </w:r>
      </w:hyperlink>
    </w:p>
    <w:p w:rsidR="00C31389" w:rsidRDefault="00C31389" w14:paraId="4BB8A387" w14:textId="77777777">
      <w:pPr>
        <w:pStyle w:val="BodyText"/>
        <w:spacing w:before="10"/>
        <w:rPr>
          <w:sz w:val="20"/>
        </w:rPr>
      </w:pPr>
    </w:p>
    <w:p w:rsidR="00C31389" w:rsidRDefault="00561FBD" w14:paraId="05664A9D" w14:textId="77777777">
      <w:pPr>
        <w:pStyle w:val="Heading7"/>
        <w:ind w:left="565" w:right="566"/>
        <w:jc w:val="center"/>
      </w:pPr>
      <w:bookmarkStart w:name="_bookmark182" w:id="242"/>
      <w:bookmarkEnd w:id="242"/>
      <w:r>
        <w:t>Table</w:t>
      </w:r>
      <w:r>
        <w:rPr>
          <w:spacing w:val="-6"/>
        </w:rPr>
        <w:t xml:space="preserve"> </w:t>
      </w:r>
      <w:r>
        <w:t>3-24.</w:t>
      </w:r>
      <w:r>
        <w:rPr>
          <w:spacing w:val="-7"/>
        </w:rPr>
        <w:t xml:space="preserve"> </w:t>
      </w:r>
      <w:r>
        <w:t>C&amp;S</w:t>
      </w:r>
      <w:r>
        <w:rPr>
          <w:spacing w:val="-6"/>
        </w:rPr>
        <w:t xml:space="preserve"> </w:t>
      </w:r>
      <w:r>
        <w:t>Data</w:t>
      </w:r>
      <w:r>
        <w:rPr>
          <w:spacing w:val="-5"/>
        </w:rPr>
        <w:t xml:space="preserve"> </w:t>
      </w:r>
      <w:r>
        <w:t>Source</w:t>
      </w:r>
      <w:r>
        <w:rPr>
          <w:spacing w:val="-6"/>
        </w:rPr>
        <w:t xml:space="preserve"> </w:t>
      </w:r>
      <w:r>
        <w:rPr>
          <w:spacing w:val="-2"/>
        </w:rPr>
        <w:t>Summary</w:t>
      </w:r>
    </w:p>
    <w:p w:rsidR="00C31389" w:rsidRDefault="00C31389" w14:paraId="404910F9" w14:textId="77777777">
      <w:pPr>
        <w:pStyle w:val="BodyText"/>
        <w:spacing w:before="7"/>
        <w:rPr>
          <w:b/>
          <w:sz w:val="12"/>
        </w:rPr>
      </w:pPr>
    </w:p>
    <w:tbl>
      <w:tblPr>
        <w:tblW w:w="0" w:type="auto"/>
        <w:tblInd w:w="473" w:type="dxa"/>
        <w:tblLayout w:type="fixed"/>
        <w:tblCellMar>
          <w:left w:w="0" w:type="dxa"/>
          <w:right w:w="0" w:type="dxa"/>
        </w:tblCellMar>
        <w:tblLook w:val="01E0" w:firstRow="1" w:lastRow="1" w:firstColumn="1" w:lastColumn="1" w:noHBand="0" w:noVBand="0"/>
      </w:tblPr>
      <w:tblGrid>
        <w:gridCol w:w="2491"/>
        <w:gridCol w:w="3303"/>
        <w:gridCol w:w="3579"/>
      </w:tblGrid>
      <w:tr w:rsidR="00C31389" w14:paraId="239BBBD3" w14:textId="77777777">
        <w:trPr>
          <w:trHeight w:val="586"/>
        </w:trPr>
        <w:tc>
          <w:tcPr>
            <w:tcW w:w="2491" w:type="dxa"/>
            <w:shd w:val="clear" w:color="auto" w:fill="92D400"/>
          </w:tcPr>
          <w:p w:rsidR="00C31389" w:rsidRDefault="00561FBD" w14:paraId="4E1CF32D" w14:textId="77777777">
            <w:pPr>
              <w:pStyle w:val="TableParagraph"/>
              <w:spacing w:before="167"/>
              <w:ind w:left="129"/>
              <w:rPr>
                <w:b/>
                <w:sz w:val="20"/>
              </w:rPr>
            </w:pPr>
            <w:r>
              <w:rPr>
                <w:b/>
                <w:sz w:val="20"/>
              </w:rPr>
              <w:t>IOU</w:t>
            </w:r>
            <w:r>
              <w:rPr>
                <w:b/>
                <w:spacing w:val="-9"/>
                <w:sz w:val="20"/>
              </w:rPr>
              <w:t xml:space="preserve"> </w:t>
            </w:r>
            <w:r>
              <w:rPr>
                <w:b/>
                <w:sz w:val="20"/>
              </w:rPr>
              <w:t>C&amp;S</w:t>
            </w:r>
            <w:r>
              <w:rPr>
                <w:b/>
                <w:spacing w:val="-9"/>
                <w:sz w:val="20"/>
              </w:rPr>
              <w:t xml:space="preserve"> </w:t>
            </w:r>
            <w:r>
              <w:rPr>
                <w:b/>
                <w:spacing w:val="-2"/>
                <w:sz w:val="20"/>
              </w:rPr>
              <w:t>Group</w:t>
            </w:r>
          </w:p>
        </w:tc>
        <w:tc>
          <w:tcPr>
            <w:tcW w:w="3303" w:type="dxa"/>
            <w:shd w:val="clear" w:color="auto" w:fill="92D400"/>
          </w:tcPr>
          <w:p w:rsidR="00C31389" w:rsidRDefault="00561FBD" w14:paraId="47A9F391" w14:textId="77777777">
            <w:pPr>
              <w:pStyle w:val="TableParagraph"/>
              <w:spacing w:before="167"/>
              <w:ind w:left="163"/>
              <w:rPr>
                <w:b/>
                <w:sz w:val="20"/>
              </w:rPr>
            </w:pPr>
            <w:r>
              <w:rPr>
                <w:b/>
                <w:sz w:val="20"/>
              </w:rPr>
              <w:t>Number</w:t>
            </w:r>
            <w:r>
              <w:rPr>
                <w:b/>
                <w:spacing w:val="-11"/>
                <w:sz w:val="20"/>
              </w:rPr>
              <w:t xml:space="preserve"> </w:t>
            </w:r>
            <w:r>
              <w:rPr>
                <w:b/>
                <w:sz w:val="20"/>
              </w:rPr>
              <w:t>and</w:t>
            </w:r>
            <w:r>
              <w:rPr>
                <w:b/>
                <w:spacing w:val="-8"/>
                <w:sz w:val="20"/>
              </w:rPr>
              <w:t xml:space="preserve"> </w:t>
            </w:r>
            <w:r>
              <w:rPr>
                <w:b/>
                <w:sz w:val="20"/>
              </w:rPr>
              <w:t>Type</w:t>
            </w:r>
            <w:r>
              <w:rPr>
                <w:b/>
                <w:spacing w:val="-8"/>
                <w:sz w:val="20"/>
              </w:rPr>
              <w:t xml:space="preserve"> </w:t>
            </w:r>
            <w:r>
              <w:rPr>
                <w:b/>
                <w:sz w:val="20"/>
              </w:rPr>
              <w:t>of</w:t>
            </w:r>
            <w:r>
              <w:rPr>
                <w:b/>
                <w:spacing w:val="-7"/>
                <w:sz w:val="20"/>
              </w:rPr>
              <w:t xml:space="preserve"> </w:t>
            </w:r>
            <w:r>
              <w:rPr>
                <w:b/>
                <w:spacing w:val="-5"/>
                <w:sz w:val="20"/>
              </w:rPr>
              <w:t>C&amp;S</w:t>
            </w:r>
          </w:p>
        </w:tc>
        <w:tc>
          <w:tcPr>
            <w:tcW w:w="3579" w:type="dxa"/>
            <w:shd w:val="clear" w:color="auto" w:fill="92D400"/>
          </w:tcPr>
          <w:p w:rsidR="00C31389" w:rsidRDefault="00561FBD" w14:paraId="5DF1E2EE" w14:textId="77777777">
            <w:pPr>
              <w:pStyle w:val="TableParagraph"/>
              <w:spacing w:before="167"/>
              <w:ind w:left="755"/>
              <w:rPr>
                <w:b/>
                <w:sz w:val="20"/>
              </w:rPr>
            </w:pPr>
            <w:r>
              <w:rPr>
                <w:b/>
                <w:sz w:val="20"/>
              </w:rPr>
              <w:t>Data</w:t>
            </w:r>
            <w:r>
              <w:rPr>
                <w:b/>
                <w:spacing w:val="-2"/>
                <w:sz w:val="20"/>
              </w:rPr>
              <w:t xml:space="preserve"> Source</w:t>
            </w:r>
          </w:p>
        </w:tc>
      </w:tr>
      <w:tr w:rsidR="00C31389" w14:paraId="1E94CAA0" w14:textId="77777777">
        <w:trPr>
          <w:trHeight w:val="688"/>
        </w:trPr>
        <w:tc>
          <w:tcPr>
            <w:tcW w:w="2491" w:type="dxa"/>
            <w:tcBorders>
              <w:bottom w:val="single" w:color="D9D9D9" w:sz="2" w:space="0"/>
            </w:tcBorders>
          </w:tcPr>
          <w:p w:rsidR="00C31389" w:rsidRDefault="00561FBD" w14:paraId="28814EB1" w14:textId="77777777">
            <w:pPr>
              <w:pStyle w:val="TableParagraph"/>
              <w:spacing w:before="109"/>
              <w:ind w:left="129"/>
              <w:rPr>
                <w:sz w:val="20"/>
              </w:rPr>
            </w:pPr>
            <w:r>
              <w:rPr>
                <w:sz w:val="20"/>
              </w:rPr>
              <w:t>Evaluated</w:t>
            </w:r>
            <w:r>
              <w:rPr>
                <w:spacing w:val="-14"/>
                <w:sz w:val="20"/>
              </w:rPr>
              <w:t xml:space="preserve"> </w:t>
            </w:r>
            <w:r>
              <w:rPr>
                <w:sz w:val="20"/>
              </w:rPr>
              <w:t>Title</w:t>
            </w:r>
            <w:r>
              <w:rPr>
                <w:spacing w:val="-14"/>
                <w:sz w:val="20"/>
              </w:rPr>
              <w:t xml:space="preserve"> </w:t>
            </w:r>
            <w:r>
              <w:rPr>
                <w:sz w:val="20"/>
              </w:rPr>
              <w:t>20</w:t>
            </w:r>
            <w:r>
              <w:rPr>
                <w:spacing w:val="-14"/>
                <w:sz w:val="20"/>
              </w:rPr>
              <w:t xml:space="preserve"> </w:t>
            </w:r>
            <w:r>
              <w:rPr>
                <w:sz w:val="20"/>
              </w:rPr>
              <w:t xml:space="preserve">and </w:t>
            </w:r>
            <w:r>
              <w:rPr>
                <w:spacing w:val="-2"/>
                <w:sz w:val="20"/>
              </w:rPr>
              <w:t>Federal</w:t>
            </w:r>
          </w:p>
        </w:tc>
        <w:tc>
          <w:tcPr>
            <w:tcW w:w="3303" w:type="dxa"/>
            <w:tcBorders>
              <w:bottom w:val="single" w:color="D9D9D9" w:sz="2" w:space="0"/>
            </w:tcBorders>
          </w:tcPr>
          <w:p w:rsidR="00C31389" w:rsidRDefault="00C31389" w14:paraId="03B4A942" w14:textId="77777777">
            <w:pPr>
              <w:pStyle w:val="TableParagraph"/>
              <w:spacing w:before="5"/>
              <w:rPr>
                <w:b/>
                <w:sz w:val="19"/>
              </w:rPr>
            </w:pPr>
          </w:p>
          <w:p w:rsidR="00C31389" w:rsidRDefault="00561FBD" w14:paraId="44CDEAFE" w14:textId="77777777">
            <w:pPr>
              <w:pStyle w:val="TableParagraph"/>
              <w:spacing w:before="0"/>
              <w:ind w:left="163"/>
              <w:rPr>
                <w:sz w:val="20"/>
              </w:rPr>
            </w:pPr>
            <w:r>
              <w:rPr>
                <w:sz w:val="20"/>
              </w:rPr>
              <w:t>99</w:t>
            </w:r>
            <w:r>
              <w:rPr>
                <w:spacing w:val="-11"/>
                <w:sz w:val="20"/>
              </w:rPr>
              <w:t xml:space="preserve"> </w:t>
            </w:r>
            <w:r>
              <w:rPr>
                <w:sz w:val="20"/>
              </w:rPr>
              <w:t>appliance</w:t>
            </w:r>
            <w:r>
              <w:rPr>
                <w:spacing w:val="-10"/>
                <w:sz w:val="20"/>
              </w:rPr>
              <w:t xml:space="preserve"> </w:t>
            </w:r>
            <w:r>
              <w:rPr>
                <w:spacing w:val="-2"/>
                <w:sz w:val="20"/>
              </w:rPr>
              <w:t>standards</w:t>
            </w:r>
          </w:p>
        </w:tc>
        <w:tc>
          <w:tcPr>
            <w:tcW w:w="3579" w:type="dxa"/>
            <w:tcBorders>
              <w:bottom w:val="single" w:color="D9D9D9" w:sz="2" w:space="0"/>
            </w:tcBorders>
          </w:tcPr>
          <w:p w:rsidR="00C31389" w:rsidRDefault="00C31389" w14:paraId="2ABCFDF2" w14:textId="77777777">
            <w:pPr>
              <w:pStyle w:val="TableParagraph"/>
              <w:spacing w:before="5"/>
              <w:rPr>
                <w:b/>
                <w:sz w:val="19"/>
              </w:rPr>
            </w:pPr>
          </w:p>
          <w:p w:rsidR="00C31389" w:rsidRDefault="00561FBD" w14:paraId="2F67076E" w14:textId="77777777">
            <w:pPr>
              <w:pStyle w:val="TableParagraph"/>
              <w:spacing w:before="0"/>
              <w:ind w:left="750"/>
              <w:rPr>
                <w:sz w:val="20"/>
              </w:rPr>
            </w:pPr>
            <w:r>
              <w:rPr>
                <w:spacing w:val="-4"/>
                <w:sz w:val="20"/>
              </w:rPr>
              <w:t>ISSM</w:t>
            </w:r>
          </w:p>
        </w:tc>
      </w:tr>
      <w:tr w:rsidR="00C31389" w14:paraId="3EE5EFFC" w14:textId="77777777">
        <w:trPr>
          <w:trHeight w:val="688"/>
        </w:trPr>
        <w:tc>
          <w:tcPr>
            <w:tcW w:w="2491" w:type="dxa"/>
            <w:tcBorders>
              <w:top w:val="single" w:color="D9D9D9" w:sz="2" w:space="0"/>
              <w:bottom w:val="single" w:color="D9D9D9" w:sz="2" w:space="0"/>
            </w:tcBorders>
          </w:tcPr>
          <w:p w:rsidR="00C31389" w:rsidRDefault="00561FBD" w14:paraId="4D2E106D" w14:textId="77777777">
            <w:pPr>
              <w:pStyle w:val="TableParagraph"/>
              <w:spacing w:before="107"/>
              <w:ind w:left="129"/>
              <w:rPr>
                <w:sz w:val="20"/>
              </w:rPr>
            </w:pPr>
            <w:r>
              <w:rPr>
                <w:sz w:val="20"/>
              </w:rPr>
              <w:t>Evaluated</w:t>
            </w:r>
            <w:r>
              <w:rPr>
                <w:spacing w:val="-11"/>
                <w:sz w:val="20"/>
              </w:rPr>
              <w:t xml:space="preserve"> </w:t>
            </w:r>
            <w:r>
              <w:rPr>
                <w:sz w:val="20"/>
              </w:rPr>
              <w:t>Title</w:t>
            </w:r>
            <w:r>
              <w:rPr>
                <w:spacing w:val="-10"/>
                <w:sz w:val="20"/>
              </w:rPr>
              <w:t xml:space="preserve"> </w:t>
            </w:r>
            <w:r>
              <w:rPr>
                <w:sz w:val="20"/>
              </w:rPr>
              <w:t>24</w:t>
            </w:r>
            <w:r>
              <w:rPr>
                <w:spacing w:val="-10"/>
                <w:sz w:val="20"/>
              </w:rPr>
              <w:t xml:space="preserve"> </w:t>
            </w:r>
            <w:r>
              <w:rPr>
                <w:spacing w:val="-2"/>
                <w:sz w:val="20"/>
              </w:rPr>
              <w:t>2005-</w:t>
            </w:r>
          </w:p>
          <w:p w:rsidR="00C31389" w:rsidRDefault="00561FBD" w14:paraId="7B38F731" w14:textId="77777777">
            <w:pPr>
              <w:pStyle w:val="TableParagraph"/>
              <w:spacing w:before="2"/>
              <w:ind w:left="129"/>
              <w:rPr>
                <w:sz w:val="20"/>
              </w:rPr>
            </w:pPr>
            <w:r>
              <w:rPr>
                <w:spacing w:val="-4"/>
                <w:sz w:val="20"/>
              </w:rPr>
              <w:t>2016</w:t>
            </w:r>
          </w:p>
        </w:tc>
        <w:tc>
          <w:tcPr>
            <w:tcW w:w="3303" w:type="dxa"/>
            <w:tcBorders>
              <w:top w:val="single" w:color="D9D9D9" w:sz="2" w:space="0"/>
              <w:bottom w:val="single" w:color="D9D9D9" w:sz="2" w:space="0"/>
            </w:tcBorders>
          </w:tcPr>
          <w:p w:rsidR="00C31389" w:rsidRDefault="00C31389" w14:paraId="53700B96" w14:textId="77777777">
            <w:pPr>
              <w:pStyle w:val="TableParagraph"/>
              <w:spacing w:before="4"/>
              <w:rPr>
                <w:b/>
                <w:sz w:val="19"/>
              </w:rPr>
            </w:pPr>
          </w:p>
          <w:p w:rsidR="00C31389" w:rsidRDefault="00561FBD" w14:paraId="0C794BD8" w14:textId="77777777">
            <w:pPr>
              <w:pStyle w:val="TableParagraph"/>
              <w:spacing w:before="0"/>
              <w:ind w:left="163"/>
              <w:rPr>
                <w:sz w:val="20"/>
              </w:rPr>
            </w:pPr>
            <w:r>
              <w:rPr>
                <w:sz w:val="20"/>
              </w:rPr>
              <w:t>119</w:t>
            </w:r>
            <w:r>
              <w:rPr>
                <w:spacing w:val="-12"/>
                <w:sz w:val="20"/>
              </w:rPr>
              <w:t xml:space="preserve"> </w:t>
            </w:r>
            <w:r>
              <w:rPr>
                <w:sz w:val="20"/>
              </w:rPr>
              <w:t>building</w:t>
            </w:r>
            <w:r>
              <w:rPr>
                <w:spacing w:val="-12"/>
                <w:sz w:val="20"/>
              </w:rPr>
              <w:t xml:space="preserve"> </w:t>
            </w:r>
            <w:r>
              <w:rPr>
                <w:spacing w:val="-2"/>
                <w:sz w:val="20"/>
              </w:rPr>
              <w:t>codes</w:t>
            </w:r>
          </w:p>
        </w:tc>
        <w:tc>
          <w:tcPr>
            <w:tcW w:w="3579" w:type="dxa"/>
            <w:tcBorders>
              <w:top w:val="single" w:color="D9D9D9" w:sz="2" w:space="0"/>
              <w:bottom w:val="single" w:color="D9D9D9" w:sz="2" w:space="0"/>
            </w:tcBorders>
          </w:tcPr>
          <w:p w:rsidR="00C31389" w:rsidRDefault="00C31389" w14:paraId="245F427C" w14:textId="77777777">
            <w:pPr>
              <w:pStyle w:val="TableParagraph"/>
              <w:spacing w:before="4"/>
              <w:rPr>
                <w:b/>
                <w:sz w:val="19"/>
              </w:rPr>
            </w:pPr>
          </w:p>
          <w:p w:rsidR="00C31389" w:rsidRDefault="00561FBD" w14:paraId="75865E8B" w14:textId="77777777">
            <w:pPr>
              <w:pStyle w:val="TableParagraph"/>
              <w:spacing w:before="0"/>
              <w:ind w:left="750"/>
              <w:rPr>
                <w:sz w:val="20"/>
              </w:rPr>
            </w:pPr>
            <w:r>
              <w:rPr>
                <w:spacing w:val="-4"/>
                <w:sz w:val="20"/>
              </w:rPr>
              <w:t>ISSM</w:t>
            </w:r>
          </w:p>
        </w:tc>
      </w:tr>
      <w:tr w:rsidR="00C31389" w14:paraId="3CA80788" w14:textId="77777777">
        <w:trPr>
          <w:trHeight w:val="687"/>
        </w:trPr>
        <w:tc>
          <w:tcPr>
            <w:tcW w:w="2491" w:type="dxa"/>
            <w:tcBorders>
              <w:top w:val="single" w:color="D9D9D9" w:sz="2" w:space="0"/>
              <w:bottom w:val="single" w:color="D9D9D9" w:sz="2" w:space="0"/>
            </w:tcBorders>
          </w:tcPr>
          <w:p w:rsidR="00C31389" w:rsidRDefault="00561FBD" w14:paraId="16346932" w14:textId="77777777">
            <w:pPr>
              <w:pStyle w:val="TableParagraph"/>
              <w:spacing w:before="107"/>
              <w:ind w:left="129"/>
              <w:rPr>
                <w:sz w:val="20"/>
              </w:rPr>
            </w:pPr>
            <w:r>
              <w:rPr>
                <w:sz w:val="20"/>
              </w:rPr>
              <w:t>Unevaluated</w:t>
            </w:r>
            <w:r>
              <w:rPr>
                <w:spacing w:val="-14"/>
                <w:sz w:val="20"/>
              </w:rPr>
              <w:t xml:space="preserve"> </w:t>
            </w:r>
            <w:r>
              <w:rPr>
                <w:sz w:val="20"/>
              </w:rPr>
              <w:t>Title</w:t>
            </w:r>
            <w:r>
              <w:rPr>
                <w:spacing w:val="-14"/>
                <w:sz w:val="20"/>
              </w:rPr>
              <w:t xml:space="preserve"> </w:t>
            </w:r>
            <w:r>
              <w:rPr>
                <w:sz w:val="20"/>
              </w:rPr>
              <w:t>20</w:t>
            </w:r>
            <w:r>
              <w:rPr>
                <w:spacing w:val="-14"/>
                <w:sz w:val="20"/>
              </w:rPr>
              <w:t xml:space="preserve"> </w:t>
            </w:r>
            <w:r>
              <w:rPr>
                <w:sz w:val="20"/>
              </w:rPr>
              <w:t xml:space="preserve">and </w:t>
            </w:r>
            <w:r>
              <w:rPr>
                <w:spacing w:val="-2"/>
                <w:sz w:val="20"/>
              </w:rPr>
              <w:t>Federal</w:t>
            </w:r>
          </w:p>
        </w:tc>
        <w:tc>
          <w:tcPr>
            <w:tcW w:w="3303" w:type="dxa"/>
            <w:tcBorders>
              <w:top w:val="single" w:color="D9D9D9" w:sz="2" w:space="0"/>
              <w:bottom w:val="single" w:color="D9D9D9" w:sz="2" w:space="0"/>
            </w:tcBorders>
          </w:tcPr>
          <w:p w:rsidR="00C31389" w:rsidRDefault="00C31389" w14:paraId="73B4640D" w14:textId="77777777">
            <w:pPr>
              <w:pStyle w:val="TableParagraph"/>
              <w:spacing w:before="4"/>
              <w:rPr>
                <w:b/>
                <w:sz w:val="19"/>
              </w:rPr>
            </w:pPr>
          </w:p>
          <w:p w:rsidR="00C31389" w:rsidRDefault="00561FBD" w14:paraId="6A6F2C19" w14:textId="77777777">
            <w:pPr>
              <w:pStyle w:val="TableParagraph"/>
              <w:spacing w:before="0"/>
              <w:ind w:left="163"/>
              <w:rPr>
                <w:sz w:val="20"/>
              </w:rPr>
            </w:pPr>
            <w:r>
              <w:rPr>
                <w:sz w:val="20"/>
              </w:rPr>
              <w:t>29</w:t>
            </w:r>
            <w:r>
              <w:rPr>
                <w:spacing w:val="-11"/>
                <w:sz w:val="20"/>
              </w:rPr>
              <w:t xml:space="preserve"> </w:t>
            </w:r>
            <w:r>
              <w:rPr>
                <w:sz w:val="20"/>
              </w:rPr>
              <w:t>appliance</w:t>
            </w:r>
            <w:r>
              <w:rPr>
                <w:spacing w:val="-10"/>
                <w:sz w:val="20"/>
              </w:rPr>
              <w:t xml:space="preserve"> </w:t>
            </w:r>
            <w:r>
              <w:rPr>
                <w:spacing w:val="-2"/>
                <w:sz w:val="20"/>
              </w:rPr>
              <w:t>standards</w:t>
            </w:r>
          </w:p>
        </w:tc>
        <w:tc>
          <w:tcPr>
            <w:tcW w:w="3579" w:type="dxa"/>
            <w:tcBorders>
              <w:top w:val="single" w:color="D9D9D9" w:sz="2" w:space="0"/>
              <w:bottom w:val="single" w:color="D9D9D9" w:sz="2" w:space="0"/>
            </w:tcBorders>
          </w:tcPr>
          <w:p w:rsidR="00C31389" w:rsidRDefault="00C31389" w14:paraId="45FBB225" w14:textId="77777777">
            <w:pPr>
              <w:pStyle w:val="TableParagraph"/>
              <w:spacing w:before="4"/>
              <w:rPr>
                <w:b/>
                <w:sz w:val="19"/>
              </w:rPr>
            </w:pPr>
          </w:p>
          <w:p w:rsidR="00C31389" w:rsidRDefault="00561FBD" w14:paraId="63EE00F8" w14:textId="77777777">
            <w:pPr>
              <w:pStyle w:val="TableParagraph"/>
              <w:spacing w:before="0"/>
              <w:ind w:left="750"/>
              <w:rPr>
                <w:sz w:val="20"/>
              </w:rPr>
            </w:pPr>
            <w:r>
              <w:rPr>
                <w:sz w:val="20"/>
              </w:rPr>
              <w:t>IOU</w:t>
            </w:r>
            <w:r>
              <w:rPr>
                <w:spacing w:val="-7"/>
                <w:sz w:val="20"/>
              </w:rPr>
              <w:t xml:space="preserve"> </w:t>
            </w:r>
            <w:r>
              <w:rPr>
                <w:sz w:val="20"/>
              </w:rPr>
              <w:t>data</w:t>
            </w:r>
            <w:r>
              <w:rPr>
                <w:spacing w:val="-7"/>
                <w:sz w:val="20"/>
              </w:rPr>
              <w:t xml:space="preserve"> </w:t>
            </w:r>
            <w:r>
              <w:rPr>
                <w:spacing w:val="-2"/>
                <w:sz w:val="20"/>
              </w:rPr>
              <w:t>request</w:t>
            </w:r>
          </w:p>
        </w:tc>
      </w:tr>
      <w:tr w:rsidR="00C31389" w14:paraId="7E5FAD51" w14:textId="77777777">
        <w:trPr>
          <w:trHeight w:val="688"/>
        </w:trPr>
        <w:tc>
          <w:tcPr>
            <w:tcW w:w="2491" w:type="dxa"/>
            <w:tcBorders>
              <w:top w:val="single" w:color="D9D9D9" w:sz="2" w:space="0"/>
              <w:bottom w:val="single" w:color="D9D9D9" w:sz="2" w:space="0"/>
            </w:tcBorders>
          </w:tcPr>
          <w:p w:rsidR="00C31389" w:rsidRDefault="00561FBD" w14:paraId="1535B34B" w14:textId="77777777">
            <w:pPr>
              <w:pStyle w:val="TableParagraph"/>
              <w:spacing w:before="107"/>
              <w:ind w:left="129"/>
              <w:rPr>
                <w:sz w:val="20"/>
              </w:rPr>
            </w:pPr>
            <w:r>
              <w:rPr>
                <w:spacing w:val="-2"/>
                <w:sz w:val="20"/>
              </w:rPr>
              <w:t>Unevaluated</w:t>
            </w:r>
            <w:r>
              <w:rPr>
                <w:spacing w:val="1"/>
                <w:sz w:val="20"/>
              </w:rPr>
              <w:t xml:space="preserve"> </w:t>
            </w:r>
            <w:r>
              <w:rPr>
                <w:spacing w:val="-2"/>
                <w:sz w:val="20"/>
              </w:rPr>
              <w:t>Title</w:t>
            </w:r>
            <w:r>
              <w:rPr>
                <w:spacing w:val="1"/>
                <w:sz w:val="20"/>
              </w:rPr>
              <w:t xml:space="preserve"> </w:t>
            </w:r>
            <w:r>
              <w:rPr>
                <w:spacing w:val="-5"/>
                <w:sz w:val="20"/>
              </w:rPr>
              <w:t>24</w:t>
            </w:r>
          </w:p>
          <w:p w:rsidR="00C31389" w:rsidRDefault="00561FBD" w14:paraId="482BF147" w14:textId="77777777">
            <w:pPr>
              <w:pStyle w:val="TableParagraph"/>
              <w:spacing w:before="2"/>
              <w:ind w:left="129"/>
              <w:rPr>
                <w:sz w:val="20"/>
              </w:rPr>
            </w:pPr>
            <w:r>
              <w:rPr>
                <w:spacing w:val="-4"/>
                <w:sz w:val="20"/>
              </w:rPr>
              <w:t>2019</w:t>
            </w:r>
          </w:p>
        </w:tc>
        <w:tc>
          <w:tcPr>
            <w:tcW w:w="3303" w:type="dxa"/>
            <w:tcBorders>
              <w:top w:val="single" w:color="D9D9D9" w:sz="2" w:space="0"/>
              <w:bottom w:val="single" w:color="D9D9D9" w:sz="2" w:space="0"/>
            </w:tcBorders>
          </w:tcPr>
          <w:p w:rsidR="00C31389" w:rsidRDefault="00C31389" w14:paraId="58D41100" w14:textId="77777777">
            <w:pPr>
              <w:pStyle w:val="TableParagraph"/>
              <w:spacing w:before="4"/>
              <w:rPr>
                <w:b/>
                <w:sz w:val="19"/>
              </w:rPr>
            </w:pPr>
          </w:p>
          <w:p w:rsidR="00C31389" w:rsidRDefault="00561FBD" w14:paraId="5A9D0F88" w14:textId="77777777">
            <w:pPr>
              <w:pStyle w:val="TableParagraph"/>
              <w:spacing w:before="0"/>
              <w:ind w:left="163"/>
              <w:rPr>
                <w:sz w:val="20"/>
              </w:rPr>
            </w:pPr>
            <w:r>
              <w:rPr>
                <w:sz w:val="20"/>
              </w:rPr>
              <w:t>40</w:t>
            </w:r>
            <w:r>
              <w:rPr>
                <w:spacing w:val="-11"/>
                <w:sz w:val="20"/>
              </w:rPr>
              <w:t xml:space="preserve"> </w:t>
            </w:r>
            <w:r>
              <w:rPr>
                <w:sz w:val="20"/>
              </w:rPr>
              <w:t>building</w:t>
            </w:r>
            <w:r>
              <w:rPr>
                <w:spacing w:val="-11"/>
                <w:sz w:val="20"/>
              </w:rPr>
              <w:t xml:space="preserve"> </w:t>
            </w:r>
            <w:r>
              <w:rPr>
                <w:spacing w:val="-2"/>
                <w:sz w:val="20"/>
              </w:rPr>
              <w:t>codes</w:t>
            </w:r>
          </w:p>
        </w:tc>
        <w:tc>
          <w:tcPr>
            <w:tcW w:w="3579" w:type="dxa"/>
            <w:tcBorders>
              <w:top w:val="single" w:color="D9D9D9" w:sz="2" w:space="0"/>
              <w:bottom w:val="single" w:color="D9D9D9" w:sz="2" w:space="0"/>
            </w:tcBorders>
          </w:tcPr>
          <w:p w:rsidR="00C31389" w:rsidRDefault="00C31389" w14:paraId="5669A8C6" w14:textId="77777777">
            <w:pPr>
              <w:pStyle w:val="TableParagraph"/>
              <w:spacing w:before="4"/>
              <w:rPr>
                <w:b/>
                <w:sz w:val="19"/>
              </w:rPr>
            </w:pPr>
          </w:p>
          <w:p w:rsidR="00C31389" w:rsidRDefault="00561FBD" w14:paraId="2E7CA200" w14:textId="77777777">
            <w:pPr>
              <w:pStyle w:val="TableParagraph"/>
              <w:spacing w:before="0"/>
              <w:ind w:left="750"/>
              <w:rPr>
                <w:sz w:val="20"/>
              </w:rPr>
            </w:pPr>
            <w:r>
              <w:rPr>
                <w:sz w:val="20"/>
              </w:rPr>
              <w:t>IOU</w:t>
            </w:r>
            <w:r>
              <w:rPr>
                <w:spacing w:val="-7"/>
                <w:sz w:val="20"/>
              </w:rPr>
              <w:t xml:space="preserve"> </w:t>
            </w:r>
            <w:r>
              <w:rPr>
                <w:sz w:val="20"/>
              </w:rPr>
              <w:t>data</w:t>
            </w:r>
            <w:r>
              <w:rPr>
                <w:spacing w:val="-7"/>
                <w:sz w:val="20"/>
              </w:rPr>
              <w:t xml:space="preserve"> </w:t>
            </w:r>
            <w:r>
              <w:rPr>
                <w:spacing w:val="-2"/>
                <w:sz w:val="20"/>
              </w:rPr>
              <w:t>request</w:t>
            </w:r>
          </w:p>
        </w:tc>
      </w:tr>
      <w:tr w:rsidR="00C31389" w14:paraId="3A90D22C" w14:textId="77777777">
        <w:trPr>
          <w:trHeight w:val="756"/>
        </w:trPr>
        <w:tc>
          <w:tcPr>
            <w:tcW w:w="2491" w:type="dxa"/>
            <w:tcBorders>
              <w:top w:val="single" w:color="D9D9D9" w:sz="2" w:space="0"/>
              <w:bottom w:val="single" w:color="000000" w:sz="8" w:space="0"/>
            </w:tcBorders>
          </w:tcPr>
          <w:p w:rsidR="00C31389" w:rsidRDefault="00C31389" w14:paraId="3788FC08" w14:textId="77777777">
            <w:pPr>
              <w:pStyle w:val="TableParagraph"/>
              <w:spacing w:before="3"/>
              <w:rPr>
                <w:b/>
              </w:rPr>
            </w:pPr>
          </w:p>
          <w:p w:rsidR="00C31389" w:rsidRDefault="00561FBD" w14:paraId="1D397F46" w14:textId="77777777">
            <w:pPr>
              <w:pStyle w:val="TableParagraph"/>
              <w:spacing w:before="0"/>
              <w:ind w:left="129"/>
              <w:rPr>
                <w:sz w:val="20"/>
              </w:rPr>
            </w:pPr>
            <w:r>
              <w:rPr>
                <w:spacing w:val="-2"/>
                <w:sz w:val="20"/>
              </w:rPr>
              <w:t>2022-2028</w:t>
            </w:r>
            <w:r>
              <w:rPr>
                <w:spacing w:val="-1"/>
                <w:sz w:val="20"/>
              </w:rPr>
              <w:t xml:space="preserve"> </w:t>
            </w:r>
            <w:r>
              <w:rPr>
                <w:spacing w:val="-2"/>
                <w:sz w:val="20"/>
              </w:rPr>
              <w:t>Title</w:t>
            </w:r>
            <w:r>
              <w:rPr>
                <w:sz w:val="20"/>
              </w:rPr>
              <w:t xml:space="preserve"> </w:t>
            </w:r>
            <w:r>
              <w:rPr>
                <w:spacing w:val="-5"/>
                <w:sz w:val="20"/>
              </w:rPr>
              <w:t>24</w:t>
            </w:r>
          </w:p>
        </w:tc>
        <w:tc>
          <w:tcPr>
            <w:tcW w:w="3303" w:type="dxa"/>
            <w:tcBorders>
              <w:top w:val="single" w:color="D9D9D9" w:sz="2" w:space="0"/>
              <w:bottom w:val="single" w:color="000000" w:sz="8" w:space="0"/>
            </w:tcBorders>
          </w:tcPr>
          <w:p w:rsidR="00C31389" w:rsidRDefault="00C31389" w14:paraId="41D45508" w14:textId="77777777">
            <w:pPr>
              <w:pStyle w:val="TableParagraph"/>
              <w:spacing w:before="3"/>
              <w:rPr>
                <w:b/>
              </w:rPr>
            </w:pPr>
          </w:p>
          <w:p w:rsidR="00C31389" w:rsidRDefault="00561FBD" w14:paraId="09CEDB04" w14:textId="77777777">
            <w:pPr>
              <w:pStyle w:val="TableParagraph"/>
              <w:spacing w:before="0"/>
              <w:ind w:left="163"/>
              <w:rPr>
                <w:sz w:val="20"/>
              </w:rPr>
            </w:pPr>
            <w:r>
              <w:rPr>
                <w:sz w:val="20"/>
              </w:rPr>
              <w:t>85</w:t>
            </w:r>
            <w:r>
              <w:rPr>
                <w:spacing w:val="-11"/>
                <w:sz w:val="20"/>
              </w:rPr>
              <w:t xml:space="preserve"> </w:t>
            </w:r>
            <w:r>
              <w:rPr>
                <w:sz w:val="20"/>
              </w:rPr>
              <w:t>building</w:t>
            </w:r>
            <w:r>
              <w:rPr>
                <w:spacing w:val="-11"/>
                <w:sz w:val="20"/>
              </w:rPr>
              <w:t xml:space="preserve"> </w:t>
            </w:r>
            <w:r>
              <w:rPr>
                <w:spacing w:val="-2"/>
                <w:sz w:val="20"/>
              </w:rPr>
              <w:t>codes</w:t>
            </w:r>
          </w:p>
        </w:tc>
        <w:tc>
          <w:tcPr>
            <w:tcW w:w="3579" w:type="dxa"/>
            <w:tcBorders>
              <w:top w:val="single" w:color="D9D9D9" w:sz="2" w:space="0"/>
              <w:bottom w:val="single" w:color="000000" w:sz="8" w:space="0"/>
            </w:tcBorders>
          </w:tcPr>
          <w:p w:rsidR="00C31389" w:rsidRDefault="00561FBD" w14:paraId="5FB4EA63" w14:textId="77777777">
            <w:pPr>
              <w:pStyle w:val="TableParagraph"/>
              <w:spacing w:before="27"/>
              <w:ind w:left="755" w:hanging="5"/>
              <w:rPr>
                <w:sz w:val="20"/>
              </w:rPr>
            </w:pPr>
            <w:r>
              <w:rPr>
                <w:sz w:val="20"/>
              </w:rPr>
              <w:t>IOU</w:t>
            </w:r>
            <w:r>
              <w:rPr>
                <w:spacing w:val="-14"/>
                <w:sz w:val="20"/>
              </w:rPr>
              <w:t xml:space="preserve"> </w:t>
            </w:r>
            <w:r>
              <w:rPr>
                <w:sz w:val="20"/>
              </w:rPr>
              <w:t>data</w:t>
            </w:r>
            <w:r>
              <w:rPr>
                <w:spacing w:val="-14"/>
                <w:sz w:val="20"/>
              </w:rPr>
              <w:t xml:space="preserve"> </w:t>
            </w:r>
            <w:r>
              <w:rPr>
                <w:sz w:val="20"/>
              </w:rPr>
              <w:t>request,</w:t>
            </w:r>
            <w:r>
              <w:rPr>
                <w:spacing w:val="-14"/>
                <w:sz w:val="20"/>
              </w:rPr>
              <w:t xml:space="preserve"> </w:t>
            </w:r>
            <w:r>
              <w:rPr>
                <w:sz w:val="20"/>
              </w:rPr>
              <w:t xml:space="preserve">Guidehouse assumptions for 2024 and </w:t>
            </w:r>
            <w:r>
              <w:rPr>
                <w:spacing w:val="-2"/>
                <w:sz w:val="20"/>
              </w:rPr>
              <w:t>beyond</w:t>
            </w:r>
          </w:p>
        </w:tc>
      </w:tr>
    </w:tbl>
    <w:p w:rsidR="00C31389" w:rsidRDefault="00561FBD" w14:paraId="60DBC5A3" w14:textId="77777777">
      <w:pPr>
        <w:spacing w:before="73"/>
        <w:ind w:left="480"/>
        <w:rPr>
          <w:i/>
          <w:sz w:val="18"/>
        </w:rPr>
      </w:pPr>
      <w:r>
        <w:rPr>
          <w:i/>
          <w:sz w:val="18"/>
        </w:rPr>
        <w:t>Sources:</w:t>
      </w:r>
      <w:r>
        <w:rPr>
          <w:i/>
          <w:spacing w:val="-5"/>
          <w:sz w:val="18"/>
        </w:rPr>
        <w:t xml:space="preserve"> </w:t>
      </w:r>
      <w:r>
        <w:rPr>
          <w:i/>
          <w:sz w:val="18"/>
        </w:rPr>
        <w:t>Market</w:t>
      </w:r>
      <w:r>
        <w:rPr>
          <w:i/>
          <w:spacing w:val="-3"/>
          <w:sz w:val="18"/>
        </w:rPr>
        <w:t xml:space="preserve"> </w:t>
      </w:r>
      <w:r>
        <w:rPr>
          <w:i/>
          <w:sz w:val="18"/>
        </w:rPr>
        <w:t>Logics</w:t>
      </w:r>
      <w:r>
        <w:rPr>
          <w:i/>
          <w:spacing w:val="-2"/>
          <w:sz w:val="18"/>
        </w:rPr>
        <w:t xml:space="preserve"> </w:t>
      </w:r>
      <w:r>
        <w:rPr>
          <w:i/>
          <w:sz w:val="18"/>
        </w:rPr>
        <w:t>and</w:t>
      </w:r>
      <w:r>
        <w:rPr>
          <w:i/>
          <w:spacing w:val="-2"/>
          <w:sz w:val="18"/>
        </w:rPr>
        <w:t xml:space="preserve"> </w:t>
      </w:r>
      <w:r>
        <w:rPr>
          <w:i/>
          <w:sz w:val="18"/>
        </w:rPr>
        <w:t>Opinion</w:t>
      </w:r>
      <w:r>
        <w:rPr>
          <w:i/>
          <w:spacing w:val="-3"/>
          <w:sz w:val="18"/>
        </w:rPr>
        <w:t xml:space="preserve"> </w:t>
      </w:r>
      <w:r>
        <w:rPr>
          <w:i/>
          <w:sz w:val="18"/>
        </w:rPr>
        <w:t>Dynamics.</w:t>
      </w:r>
      <w:r>
        <w:rPr>
          <w:i/>
          <w:spacing w:val="-2"/>
          <w:sz w:val="18"/>
        </w:rPr>
        <w:t xml:space="preserve"> </w:t>
      </w:r>
      <w:r>
        <w:rPr>
          <w:i/>
          <w:sz w:val="18"/>
        </w:rPr>
        <w:t>ISSM.</w:t>
      </w:r>
      <w:r>
        <w:rPr>
          <w:i/>
          <w:spacing w:val="-3"/>
          <w:sz w:val="18"/>
        </w:rPr>
        <w:t xml:space="preserve"> </w:t>
      </w:r>
      <w:r>
        <w:rPr>
          <w:i/>
          <w:sz w:val="18"/>
        </w:rPr>
        <w:t>2022.;</w:t>
      </w:r>
      <w:r>
        <w:rPr>
          <w:i/>
          <w:spacing w:val="-2"/>
          <w:sz w:val="18"/>
        </w:rPr>
        <w:t xml:space="preserve"> </w:t>
      </w:r>
      <w:r>
        <w:rPr>
          <w:i/>
          <w:sz w:val="18"/>
        </w:rPr>
        <w:t>IOU</w:t>
      </w:r>
      <w:r>
        <w:rPr>
          <w:i/>
          <w:spacing w:val="-3"/>
          <w:sz w:val="18"/>
        </w:rPr>
        <w:t xml:space="preserve"> </w:t>
      </w:r>
      <w:r>
        <w:rPr>
          <w:i/>
          <w:sz w:val="18"/>
        </w:rPr>
        <w:t>data</w:t>
      </w:r>
      <w:r>
        <w:rPr>
          <w:i/>
          <w:spacing w:val="-3"/>
          <w:sz w:val="18"/>
        </w:rPr>
        <w:t xml:space="preserve"> </w:t>
      </w:r>
      <w:r>
        <w:rPr>
          <w:i/>
          <w:sz w:val="18"/>
        </w:rPr>
        <w:t>request</w:t>
      </w:r>
      <w:r>
        <w:rPr>
          <w:i/>
          <w:spacing w:val="-3"/>
          <w:sz w:val="18"/>
        </w:rPr>
        <w:t xml:space="preserve"> </w:t>
      </w:r>
      <w:r>
        <w:rPr>
          <w:i/>
          <w:sz w:val="18"/>
        </w:rPr>
        <w:t>filed</w:t>
      </w:r>
      <w:r>
        <w:rPr>
          <w:i/>
          <w:spacing w:val="-3"/>
          <w:sz w:val="18"/>
        </w:rPr>
        <w:t xml:space="preserve"> </w:t>
      </w:r>
      <w:r>
        <w:rPr>
          <w:i/>
          <w:sz w:val="18"/>
        </w:rPr>
        <w:t>September</w:t>
      </w:r>
      <w:r>
        <w:rPr>
          <w:i/>
          <w:spacing w:val="-2"/>
          <w:sz w:val="18"/>
        </w:rPr>
        <w:t xml:space="preserve"> </w:t>
      </w:r>
      <w:r>
        <w:rPr>
          <w:i/>
          <w:sz w:val="18"/>
        </w:rPr>
        <w:t>29,</w:t>
      </w:r>
      <w:r>
        <w:rPr>
          <w:i/>
          <w:spacing w:val="-3"/>
          <w:sz w:val="18"/>
        </w:rPr>
        <w:t xml:space="preserve"> </w:t>
      </w:r>
      <w:r>
        <w:rPr>
          <w:i/>
          <w:sz w:val="18"/>
        </w:rPr>
        <w:t>2022;</w:t>
      </w:r>
      <w:r>
        <w:rPr>
          <w:i/>
          <w:spacing w:val="-2"/>
          <w:sz w:val="18"/>
        </w:rPr>
        <w:t xml:space="preserve"> </w:t>
      </w:r>
      <w:r>
        <w:rPr>
          <w:i/>
          <w:spacing w:val="-5"/>
          <w:sz w:val="18"/>
        </w:rPr>
        <w:t>CEC</w:t>
      </w:r>
    </w:p>
    <w:p w:rsidR="00C31389" w:rsidRDefault="00C31389" w14:paraId="6A39EE61" w14:textId="77777777">
      <w:pPr>
        <w:pStyle w:val="BodyText"/>
        <w:spacing w:before="10"/>
        <w:rPr>
          <w:i/>
          <w:sz w:val="20"/>
        </w:rPr>
      </w:pPr>
    </w:p>
    <w:p w:rsidR="00C31389" w:rsidRDefault="00561FBD" w14:paraId="4B7AFC38" w14:textId="77777777">
      <w:pPr>
        <w:pStyle w:val="BodyText"/>
        <w:ind w:left="479" w:right="629"/>
      </w:pPr>
      <w:r>
        <w:t>For 2013 Title 24, the ISSM provides the option to use either bounded or unbounded energy savings adjustme</w:t>
      </w:r>
      <w:r>
        <w:t>nt factors, which are analogous to compliance factors for appliance standards.</w:t>
      </w:r>
      <w:r>
        <w:rPr>
          <w:spacing w:val="-42"/>
        </w:rPr>
        <w:t xml:space="preserve"> </w:t>
      </w:r>
      <w:hyperlink w:history="1" w:anchor="_bookmark184">
        <w:r>
          <w:rPr>
            <w:position w:val="7"/>
            <w:sz w:val="14"/>
          </w:rPr>
          <w:t>64</w:t>
        </w:r>
      </w:hyperlink>
      <w:r>
        <w:rPr>
          <w:spacing w:val="17"/>
          <w:position w:val="7"/>
          <w:sz w:val="14"/>
        </w:rPr>
        <w:t xml:space="preserve"> </w:t>
      </w:r>
      <w:r>
        <w:t>Unbounded</w:t>
      </w:r>
      <w:r>
        <w:rPr>
          <w:spacing w:val="-3"/>
        </w:rPr>
        <w:t xml:space="preserve"> </w:t>
      </w:r>
      <w:r>
        <w:t>refers</w:t>
      </w:r>
      <w:r>
        <w:rPr>
          <w:spacing w:val="-3"/>
        </w:rPr>
        <w:t xml:space="preserve"> </w:t>
      </w:r>
      <w:r>
        <w:t>to</w:t>
      </w:r>
      <w:r>
        <w:rPr>
          <w:spacing w:val="-3"/>
        </w:rPr>
        <w:t xml:space="preserve"> </w:t>
      </w:r>
      <w:r>
        <w:t>the</w:t>
      </w:r>
      <w:r>
        <w:rPr>
          <w:spacing w:val="-4"/>
        </w:rPr>
        <w:t xml:space="preserve"> </w:t>
      </w:r>
      <w:r>
        <w:t>case</w:t>
      </w:r>
      <w:r>
        <w:rPr>
          <w:spacing w:val="-3"/>
        </w:rPr>
        <w:t xml:space="preserve"> </w:t>
      </w:r>
      <w:r>
        <w:t>where</w:t>
      </w:r>
      <w:r>
        <w:rPr>
          <w:spacing w:val="-4"/>
        </w:rPr>
        <w:t xml:space="preserve"> </w:t>
      </w:r>
      <w:r>
        <w:t>a</w:t>
      </w:r>
      <w:r>
        <w:rPr>
          <w:spacing w:val="-3"/>
        </w:rPr>
        <w:t xml:space="preserve"> </w:t>
      </w:r>
      <w:r>
        <w:t>building,</w:t>
      </w:r>
      <w:r>
        <w:rPr>
          <w:spacing w:val="-4"/>
        </w:rPr>
        <w:t xml:space="preserve"> </w:t>
      </w:r>
      <w:r>
        <w:t>project,</w:t>
      </w:r>
      <w:r>
        <w:rPr>
          <w:spacing w:val="-3"/>
        </w:rPr>
        <w:t xml:space="preserve"> </w:t>
      </w:r>
      <w:r>
        <w:t>or</w:t>
      </w:r>
      <w:r>
        <w:rPr>
          <w:spacing w:val="-3"/>
        </w:rPr>
        <w:t xml:space="preserve"> </w:t>
      </w:r>
      <w:r>
        <w:t>measure</w:t>
      </w:r>
      <w:r>
        <w:rPr>
          <w:spacing w:val="-3"/>
        </w:rPr>
        <w:t xml:space="preserve"> </w:t>
      </w:r>
      <w:r>
        <w:t>can</w:t>
      </w:r>
      <w:r>
        <w:rPr>
          <w:spacing w:val="-4"/>
        </w:rPr>
        <w:t xml:space="preserve"> </w:t>
      </w:r>
      <w:r>
        <w:t xml:space="preserve">consume less energy than the </w:t>
      </w:r>
      <w:r>
        <w:t>level established by the current Title 24 code, resulting in an energy savings adjustment factor greater than 100%. Bounded refers to limiting the energy savings adjustment factor values to a maximum of 100%. The 2023 Study uses bounded values from the ISS</w:t>
      </w:r>
      <w:r>
        <w:t>M.</w:t>
      </w:r>
    </w:p>
    <w:p w:rsidR="00C31389" w:rsidRDefault="00C31389" w14:paraId="482AC949" w14:textId="77777777">
      <w:pPr>
        <w:pStyle w:val="BodyText"/>
        <w:spacing w:before="9"/>
        <w:rPr>
          <w:sz w:val="20"/>
        </w:rPr>
      </w:pPr>
    </w:p>
    <w:p w:rsidR="00C31389" w:rsidRDefault="00561FBD" w14:paraId="2C78C04D" w14:textId="77777777">
      <w:pPr>
        <w:pStyle w:val="BodyText"/>
        <w:ind w:left="480" w:right="533" w:hanging="1"/>
      </w:pPr>
      <w:r>
        <w:t>The 2023 Study carries forward assumptions made during the 2021 Study on energy savings estimates</w:t>
      </w:r>
      <w:r>
        <w:rPr>
          <w:spacing w:val="-3"/>
        </w:rPr>
        <w:t xml:space="preserve"> </w:t>
      </w:r>
      <w:r>
        <w:t>for</w:t>
      </w:r>
      <w:r>
        <w:rPr>
          <w:spacing w:val="-3"/>
        </w:rPr>
        <w:t xml:space="preserve"> </w:t>
      </w:r>
      <w:r>
        <w:t>future</w:t>
      </w:r>
      <w:r>
        <w:rPr>
          <w:spacing w:val="-3"/>
        </w:rPr>
        <w:t xml:space="preserve"> </w:t>
      </w:r>
      <w:r>
        <w:t>Title</w:t>
      </w:r>
      <w:r>
        <w:rPr>
          <w:spacing w:val="-4"/>
        </w:rPr>
        <w:t xml:space="preserve"> </w:t>
      </w:r>
      <w:r>
        <w:t>24</w:t>
      </w:r>
      <w:r>
        <w:rPr>
          <w:spacing w:val="-3"/>
        </w:rPr>
        <w:t xml:space="preserve"> </w:t>
      </w:r>
      <w:r>
        <w:t>code</w:t>
      </w:r>
      <w:r>
        <w:rPr>
          <w:spacing w:val="-3"/>
        </w:rPr>
        <w:t xml:space="preserve"> </w:t>
      </w:r>
      <w:r>
        <w:t>cycles</w:t>
      </w:r>
      <w:r>
        <w:rPr>
          <w:spacing w:val="-3"/>
        </w:rPr>
        <w:t xml:space="preserve"> </w:t>
      </w:r>
      <w:r>
        <w:t>in</w:t>
      </w:r>
      <w:r>
        <w:rPr>
          <w:spacing w:val="-3"/>
        </w:rPr>
        <w:t xml:space="preserve"> </w:t>
      </w:r>
      <w:r>
        <w:t>2025</w:t>
      </w:r>
      <w:r>
        <w:rPr>
          <w:spacing w:val="-4"/>
        </w:rPr>
        <w:t xml:space="preserve"> </w:t>
      </w:r>
      <w:r>
        <w:t>and</w:t>
      </w:r>
      <w:r>
        <w:rPr>
          <w:spacing w:val="-3"/>
        </w:rPr>
        <w:t xml:space="preserve"> </w:t>
      </w:r>
      <w:r>
        <w:t>2028</w:t>
      </w:r>
      <w:r>
        <w:rPr>
          <w:spacing w:val="-3"/>
        </w:rPr>
        <w:t xml:space="preserve"> </w:t>
      </w:r>
      <w:r>
        <w:t>for</w:t>
      </w:r>
      <w:r>
        <w:rPr>
          <w:spacing w:val="-3"/>
        </w:rPr>
        <w:t xml:space="preserve"> </w:t>
      </w:r>
      <w:r>
        <w:t>the</w:t>
      </w:r>
      <w:r>
        <w:rPr>
          <w:spacing w:val="-3"/>
        </w:rPr>
        <w:t xml:space="preserve"> </w:t>
      </w:r>
      <w:r>
        <w:t>commercial</w:t>
      </w:r>
      <w:r>
        <w:rPr>
          <w:spacing w:val="-3"/>
        </w:rPr>
        <w:t xml:space="preserve"> </w:t>
      </w:r>
      <w:r>
        <w:t>sector.</w:t>
      </w:r>
      <w:r>
        <w:rPr>
          <w:spacing w:val="-4"/>
        </w:rPr>
        <w:t xml:space="preserve"> </w:t>
      </w:r>
      <w:r>
        <w:t>Personal communication with staff at CEC during the 2019 Study provided insigh</w:t>
      </w:r>
      <w:r>
        <w:t xml:space="preserve">t on the path between 2019 Title 24 and 2028 Title 24, as </w:t>
      </w:r>
      <w:hyperlink w:history="1" w:anchor="_bookmark185">
        <w:r>
          <w:t>Table 3-25</w:t>
        </w:r>
      </w:hyperlink>
      <w:r>
        <w:t xml:space="preserve"> illustrates. The Guidehouse team continued to</w:t>
      </w:r>
    </w:p>
    <w:p w:rsidR="00C31389" w:rsidRDefault="00C31389" w14:paraId="2F760817" w14:textId="77777777">
      <w:pPr>
        <w:pStyle w:val="BodyText"/>
        <w:rPr>
          <w:sz w:val="20"/>
        </w:rPr>
      </w:pPr>
    </w:p>
    <w:p w:rsidR="00C31389" w:rsidRDefault="00C31389" w14:paraId="5E212415" w14:textId="77777777">
      <w:pPr>
        <w:pStyle w:val="BodyText"/>
        <w:rPr>
          <w:sz w:val="20"/>
        </w:rPr>
      </w:pPr>
    </w:p>
    <w:p w:rsidR="00C31389" w:rsidRDefault="00561FBD" w14:paraId="38722FA4" w14:textId="77777777">
      <w:pPr>
        <w:pStyle w:val="BodyText"/>
        <w:spacing w:before="8"/>
        <w:rPr>
          <w:sz w:val="24"/>
        </w:rPr>
      </w:pPr>
      <w:r>
        <w:rPr>
          <w:noProof/>
        </w:rPr>
        <mc:AlternateContent>
          <mc:Choice Requires="wps">
            <w:drawing>
              <wp:anchor distT="0" distB="0" distL="0" distR="0" simplePos="0" relativeHeight="487653888" behindDoc="1" locked="0" layoutInCell="1" allowOverlap="1" wp14:editId="441824B9" wp14:anchorId="2D44D124">
                <wp:simplePos x="0" y="0"/>
                <wp:positionH relativeFrom="page">
                  <wp:posOffset>914400</wp:posOffset>
                </wp:positionH>
                <wp:positionV relativeFrom="paragraph">
                  <wp:posOffset>195917</wp:posOffset>
                </wp:positionV>
                <wp:extent cx="1828800" cy="6985"/>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06" style="position:absolute;margin-left:1in;margin-top:15.45pt;width:2in;height:.55pt;z-index:-1566259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" w14:anchorId="5228BEC0">
                <v:path arrowok="t"/>
                <w10:wrap type="topAndBottom" anchorx="page"/>
              </v:shape>
            </w:pict>
          </mc:Fallback>
        </mc:AlternateContent>
      </w:r>
    </w:p>
    <w:p w:rsidR="00C31389" w:rsidRDefault="00561FBD" w14:paraId="0F9A83A4" w14:textId="77777777">
      <w:pPr>
        <w:spacing w:before="88" w:line="210" w:lineRule="exact"/>
        <w:ind w:left="480"/>
        <w:jc w:val="both"/>
        <w:rPr>
          <w:sz w:val="18"/>
        </w:rPr>
      </w:pPr>
      <w:bookmarkStart w:name="_bookmark183" w:id="243"/>
      <w:bookmarkEnd w:id="243"/>
      <w:r>
        <w:rPr>
          <w:position w:val="6"/>
          <w:sz w:val="12"/>
        </w:rPr>
        <w:t>63</w:t>
      </w:r>
      <w:r>
        <w:rPr>
          <w:spacing w:val="13"/>
          <w:position w:val="6"/>
          <w:sz w:val="12"/>
        </w:rPr>
        <w:t xml:space="preserve"> </w:t>
      </w:r>
      <w:r>
        <w:rPr>
          <w:b/>
          <w:sz w:val="18"/>
        </w:rPr>
        <w:t>On</w:t>
      </w:r>
      <w:r>
        <w:rPr>
          <w:b/>
          <w:spacing w:val="-2"/>
          <w:sz w:val="18"/>
        </w:rPr>
        <w:t xml:space="preserve"> </w:t>
      </w:r>
      <w:r>
        <w:rPr>
          <w:b/>
          <w:sz w:val="18"/>
        </w:rPr>
        <w:t>the</w:t>
      </w:r>
      <w:r>
        <w:rPr>
          <w:b/>
          <w:spacing w:val="-2"/>
          <w:sz w:val="18"/>
        </w:rPr>
        <w:t xml:space="preserve"> </w:t>
      </w:r>
      <w:r>
        <w:rPr>
          <w:b/>
          <w:sz w:val="18"/>
        </w:rPr>
        <w:t>books:</w:t>
      </w:r>
      <w:r>
        <w:rPr>
          <w:b/>
          <w:spacing w:val="-2"/>
          <w:sz w:val="18"/>
        </w:rPr>
        <w:t xml:space="preserve"> </w:t>
      </w:r>
      <w:r>
        <w:rPr>
          <w:sz w:val="18"/>
        </w:rPr>
        <w:t>A</w:t>
      </w:r>
      <w:r>
        <w:rPr>
          <w:spacing w:val="-2"/>
          <w:sz w:val="18"/>
        </w:rPr>
        <w:t xml:space="preserve"> </w:t>
      </w:r>
      <w:r>
        <w:rPr>
          <w:sz w:val="18"/>
        </w:rPr>
        <w:t>code</w:t>
      </w:r>
      <w:r>
        <w:rPr>
          <w:spacing w:val="-2"/>
          <w:sz w:val="18"/>
        </w:rPr>
        <w:t xml:space="preserve"> </w:t>
      </w:r>
      <w:r>
        <w:rPr>
          <w:sz w:val="18"/>
        </w:rPr>
        <w:t>or</w:t>
      </w:r>
      <w:r>
        <w:rPr>
          <w:spacing w:val="-2"/>
          <w:sz w:val="18"/>
        </w:rPr>
        <w:t xml:space="preserve"> </w:t>
      </w:r>
      <w:r>
        <w:rPr>
          <w:sz w:val="18"/>
        </w:rPr>
        <w:t>standard</w:t>
      </w:r>
      <w:r>
        <w:rPr>
          <w:spacing w:val="-2"/>
          <w:sz w:val="18"/>
        </w:rPr>
        <w:t xml:space="preserve"> </w:t>
      </w:r>
      <w:r>
        <w:rPr>
          <w:sz w:val="18"/>
        </w:rPr>
        <w:t>that</w:t>
      </w:r>
      <w:r>
        <w:rPr>
          <w:spacing w:val="-2"/>
          <w:sz w:val="18"/>
        </w:rPr>
        <w:t xml:space="preserve"> </w:t>
      </w:r>
      <w:r>
        <w:rPr>
          <w:sz w:val="18"/>
        </w:rPr>
        <w:t>has</w:t>
      </w:r>
      <w:r>
        <w:rPr>
          <w:spacing w:val="-1"/>
          <w:sz w:val="18"/>
        </w:rPr>
        <w:t xml:space="preserve"> </w:t>
      </w:r>
      <w:r>
        <w:rPr>
          <w:sz w:val="18"/>
        </w:rPr>
        <w:t>been</w:t>
      </w:r>
      <w:r>
        <w:rPr>
          <w:spacing w:val="-2"/>
          <w:sz w:val="18"/>
        </w:rPr>
        <w:t xml:space="preserve"> </w:t>
      </w:r>
      <w:r>
        <w:rPr>
          <w:sz w:val="18"/>
        </w:rPr>
        <w:t>passed</w:t>
      </w:r>
      <w:r>
        <w:rPr>
          <w:spacing w:val="-3"/>
          <w:sz w:val="18"/>
        </w:rPr>
        <w:t xml:space="preserve"> </w:t>
      </w:r>
      <w:r>
        <w:rPr>
          <w:sz w:val="18"/>
        </w:rPr>
        <w:t>into</w:t>
      </w:r>
      <w:r>
        <w:rPr>
          <w:spacing w:val="-2"/>
          <w:sz w:val="18"/>
        </w:rPr>
        <w:t xml:space="preserve"> </w:t>
      </w:r>
      <w:r>
        <w:rPr>
          <w:spacing w:val="-4"/>
          <w:sz w:val="18"/>
        </w:rPr>
        <w:t>law.</w:t>
      </w:r>
    </w:p>
    <w:p w:rsidR="00C31389" w:rsidRDefault="00561FBD" w14:paraId="35B8F4FC" w14:textId="77777777">
      <w:pPr>
        <w:spacing w:line="207" w:lineRule="exact"/>
        <w:ind w:left="479"/>
        <w:jc w:val="both"/>
        <w:rPr>
          <w:sz w:val="18"/>
        </w:rPr>
      </w:pPr>
      <w:r>
        <w:rPr>
          <w:b/>
          <w:sz w:val="18"/>
        </w:rPr>
        <w:t>Expected:</w:t>
      </w:r>
      <w:r>
        <w:rPr>
          <w:b/>
          <w:spacing w:val="-2"/>
          <w:sz w:val="18"/>
        </w:rPr>
        <w:t xml:space="preserve"> </w:t>
      </w:r>
      <w:r>
        <w:rPr>
          <w:sz w:val="18"/>
        </w:rPr>
        <w:t>A</w:t>
      </w:r>
      <w:r>
        <w:rPr>
          <w:spacing w:val="-2"/>
          <w:sz w:val="18"/>
        </w:rPr>
        <w:t xml:space="preserve"> </w:t>
      </w:r>
      <w:r>
        <w:rPr>
          <w:sz w:val="18"/>
        </w:rPr>
        <w:t>code</w:t>
      </w:r>
      <w:r>
        <w:rPr>
          <w:spacing w:val="-3"/>
          <w:sz w:val="18"/>
        </w:rPr>
        <w:t xml:space="preserve"> </w:t>
      </w:r>
      <w:r>
        <w:rPr>
          <w:sz w:val="18"/>
        </w:rPr>
        <w:t>or</w:t>
      </w:r>
      <w:r>
        <w:rPr>
          <w:spacing w:val="-2"/>
          <w:sz w:val="18"/>
        </w:rPr>
        <w:t xml:space="preserve"> </w:t>
      </w:r>
      <w:r>
        <w:rPr>
          <w:sz w:val="18"/>
        </w:rPr>
        <w:t>standard</w:t>
      </w:r>
      <w:r>
        <w:rPr>
          <w:spacing w:val="-2"/>
          <w:sz w:val="18"/>
        </w:rPr>
        <w:t xml:space="preserve"> </w:t>
      </w:r>
      <w:r>
        <w:rPr>
          <w:sz w:val="18"/>
        </w:rPr>
        <w:t>that</w:t>
      </w:r>
      <w:r>
        <w:rPr>
          <w:spacing w:val="-2"/>
          <w:sz w:val="18"/>
        </w:rPr>
        <w:t xml:space="preserve"> </w:t>
      </w:r>
      <w:r>
        <w:rPr>
          <w:sz w:val="18"/>
        </w:rPr>
        <w:t>is</w:t>
      </w:r>
      <w:r>
        <w:rPr>
          <w:spacing w:val="-2"/>
          <w:sz w:val="18"/>
        </w:rPr>
        <w:t xml:space="preserve"> </w:t>
      </w:r>
      <w:r>
        <w:rPr>
          <w:sz w:val="18"/>
        </w:rPr>
        <w:t>in</w:t>
      </w:r>
      <w:r>
        <w:rPr>
          <w:spacing w:val="-2"/>
          <w:sz w:val="18"/>
        </w:rPr>
        <w:t xml:space="preserve"> development.</w:t>
      </w:r>
    </w:p>
    <w:p w:rsidR="00C31389" w:rsidRDefault="00561FBD" w14:paraId="139B2930" w14:textId="77777777">
      <w:pPr>
        <w:ind w:left="479" w:right="673"/>
        <w:jc w:val="both"/>
        <w:rPr>
          <w:sz w:val="18"/>
        </w:rPr>
      </w:pPr>
      <w:r>
        <w:rPr>
          <w:b/>
          <w:sz w:val="18"/>
        </w:rPr>
        <w:t>Possible:</w:t>
      </w:r>
      <w:r>
        <w:rPr>
          <w:b/>
          <w:spacing w:val="-3"/>
          <w:sz w:val="18"/>
        </w:rPr>
        <w:t xml:space="preserve"> </w:t>
      </w:r>
      <w:r>
        <w:rPr>
          <w:sz w:val="18"/>
        </w:rPr>
        <w:t>A</w:t>
      </w:r>
      <w:r>
        <w:rPr>
          <w:spacing w:val="-3"/>
          <w:sz w:val="18"/>
        </w:rPr>
        <w:t xml:space="preserve"> </w:t>
      </w:r>
      <w:r>
        <w:rPr>
          <w:sz w:val="18"/>
        </w:rPr>
        <w:t>code</w:t>
      </w:r>
      <w:r>
        <w:rPr>
          <w:spacing w:val="-4"/>
          <w:sz w:val="18"/>
        </w:rPr>
        <w:t xml:space="preserve"> </w:t>
      </w:r>
      <w:r>
        <w:rPr>
          <w:sz w:val="18"/>
        </w:rPr>
        <w:t>or</w:t>
      </w:r>
      <w:r>
        <w:rPr>
          <w:spacing w:val="-3"/>
          <w:sz w:val="18"/>
        </w:rPr>
        <w:t xml:space="preserve"> </w:t>
      </w:r>
      <w:r>
        <w:rPr>
          <w:sz w:val="18"/>
        </w:rPr>
        <w:t>standard</w:t>
      </w:r>
      <w:r>
        <w:rPr>
          <w:spacing w:val="-2"/>
          <w:sz w:val="18"/>
        </w:rPr>
        <w:t xml:space="preserve"> </w:t>
      </w:r>
      <w:r>
        <w:rPr>
          <w:sz w:val="18"/>
        </w:rPr>
        <w:t>that</w:t>
      </w:r>
      <w:r>
        <w:rPr>
          <w:spacing w:val="-3"/>
          <w:sz w:val="18"/>
        </w:rPr>
        <w:t xml:space="preserve"> </w:t>
      </w:r>
      <w:r>
        <w:rPr>
          <w:sz w:val="18"/>
        </w:rPr>
        <w:t>is</w:t>
      </w:r>
      <w:r>
        <w:rPr>
          <w:spacing w:val="-3"/>
          <w:sz w:val="18"/>
        </w:rPr>
        <w:t xml:space="preserve"> </w:t>
      </w:r>
      <w:r>
        <w:rPr>
          <w:sz w:val="18"/>
        </w:rPr>
        <w:t>not</w:t>
      </w:r>
      <w:r>
        <w:rPr>
          <w:spacing w:val="-3"/>
          <w:sz w:val="18"/>
        </w:rPr>
        <w:t xml:space="preserve"> </w:t>
      </w:r>
      <w:r>
        <w:rPr>
          <w:sz w:val="18"/>
        </w:rPr>
        <w:t>actively</w:t>
      </w:r>
      <w:r>
        <w:rPr>
          <w:spacing w:val="-3"/>
          <w:sz w:val="18"/>
        </w:rPr>
        <w:t xml:space="preserve"> </w:t>
      </w:r>
      <w:r>
        <w:rPr>
          <w:sz w:val="18"/>
        </w:rPr>
        <w:t>being</w:t>
      </w:r>
      <w:r>
        <w:rPr>
          <w:spacing w:val="-2"/>
          <w:sz w:val="18"/>
        </w:rPr>
        <w:t xml:space="preserve"> </w:t>
      </w:r>
      <w:r>
        <w:rPr>
          <w:sz w:val="18"/>
        </w:rPr>
        <w:t>developed,</w:t>
      </w:r>
      <w:r>
        <w:rPr>
          <w:spacing w:val="-3"/>
          <w:sz w:val="18"/>
        </w:rPr>
        <w:t xml:space="preserve"> </w:t>
      </w:r>
      <w:r>
        <w:rPr>
          <w:sz w:val="18"/>
        </w:rPr>
        <w:t>but</w:t>
      </w:r>
      <w:r>
        <w:rPr>
          <w:spacing w:val="-3"/>
          <w:sz w:val="18"/>
        </w:rPr>
        <w:t xml:space="preserve"> </w:t>
      </w:r>
      <w:r>
        <w:rPr>
          <w:sz w:val="18"/>
        </w:rPr>
        <w:t>other</w:t>
      </w:r>
      <w:r>
        <w:rPr>
          <w:spacing w:val="-2"/>
          <w:sz w:val="18"/>
        </w:rPr>
        <w:t xml:space="preserve"> </w:t>
      </w:r>
      <w:r>
        <w:rPr>
          <w:sz w:val="18"/>
        </w:rPr>
        <w:t>policy</w:t>
      </w:r>
      <w:r>
        <w:rPr>
          <w:spacing w:val="-3"/>
          <w:sz w:val="18"/>
        </w:rPr>
        <w:t xml:space="preserve"> </w:t>
      </w:r>
      <w:r>
        <w:rPr>
          <w:sz w:val="18"/>
        </w:rPr>
        <w:t>guidance</w:t>
      </w:r>
      <w:r>
        <w:rPr>
          <w:spacing w:val="-4"/>
          <w:sz w:val="18"/>
        </w:rPr>
        <w:t xml:space="preserve"> </w:t>
      </w:r>
      <w:r>
        <w:rPr>
          <w:sz w:val="18"/>
        </w:rPr>
        <w:t>suggests</w:t>
      </w:r>
      <w:r>
        <w:rPr>
          <w:spacing w:val="-3"/>
          <w:sz w:val="18"/>
        </w:rPr>
        <w:t xml:space="preserve"> </w:t>
      </w:r>
      <w:r>
        <w:rPr>
          <w:sz w:val="18"/>
        </w:rPr>
        <w:t>these</w:t>
      </w:r>
      <w:r>
        <w:rPr>
          <w:spacing w:val="-4"/>
          <w:sz w:val="18"/>
        </w:rPr>
        <w:t xml:space="preserve"> </w:t>
      </w:r>
      <w:r>
        <w:rPr>
          <w:sz w:val="18"/>
        </w:rPr>
        <w:t>should be</w:t>
      </w:r>
      <w:r>
        <w:rPr>
          <w:spacing w:val="-3"/>
          <w:sz w:val="18"/>
        </w:rPr>
        <w:t xml:space="preserve"> </w:t>
      </w:r>
      <w:r>
        <w:rPr>
          <w:sz w:val="18"/>
        </w:rPr>
        <w:t>the</w:t>
      </w:r>
      <w:r>
        <w:rPr>
          <w:spacing w:val="-3"/>
          <w:sz w:val="18"/>
        </w:rPr>
        <w:t xml:space="preserve"> </w:t>
      </w:r>
      <w:r>
        <w:rPr>
          <w:sz w:val="18"/>
        </w:rPr>
        <w:t>next</w:t>
      </w:r>
      <w:r>
        <w:rPr>
          <w:spacing w:val="-2"/>
          <w:sz w:val="18"/>
        </w:rPr>
        <w:t xml:space="preserve"> </w:t>
      </w:r>
      <w:r>
        <w:rPr>
          <w:sz w:val="18"/>
        </w:rPr>
        <w:t>logical</w:t>
      </w:r>
      <w:r>
        <w:rPr>
          <w:spacing w:val="-2"/>
          <w:sz w:val="18"/>
        </w:rPr>
        <w:t xml:space="preserve"> </w:t>
      </w:r>
      <w:r>
        <w:rPr>
          <w:sz w:val="18"/>
        </w:rPr>
        <w:t>C&amp;S</w:t>
      </w:r>
      <w:r>
        <w:rPr>
          <w:spacing w:val="-2"/>
          <w:sz w:val="18"/>
        </w:rPr>
        <w:t xml:space="preserve"> </w:t>
      </w:r>
      <w:r>
        <w:rPr>
          <w:sz w:val="18"/>
        </w:rPr>
        <w:t>to</w:t>
      </w:r>
      <w:r>
        <w:rPr>
          <w:spacing w:val="-3"/>
          <w:sz w:val="18"/>
        </w:rPr>
        <w:t xml:space="preserve"> </w:t>
      </w:r>
      <w:r>
        <w:rPr>
          <w:sz w:val="18"/>
        </w:rPr>
        <w:t>be</w:t>
      </w:r>
      <w:r>
        <w:rPr>
          <w:spacing w:val="-1"/>
          <w:sz w:val="18"/>
        </w:rPr>
        <w:t xml:space="preserve"> </w:t>
      </w:r>
      <w:r>
        <w:rPr>
          <w:sz w:val="18"/>
        </w:rPr>
        <w:t>developed.</w:t>
      </w:r>
      <w:r>
        <w:rPr>
          <w:spacing w:val="-2"/>
          <w:sz w:val="18"/>
        </w:rPr>
        <w:t xml:space="preserve"> </w:t>
      </w:r>
      <w:r>
        <w:rPr>
          <w:sz w:val="18"/>
        </w:rPr>
        <w:t>Possible</w:t>
      </w:r>
      <w:r>
        <w:rPr>
          <w:spacing w:val="-3"/>
          <w:sz w:val="18"/>
        </w:rPr>
        <w:t xml:space="preserve"> </w:t>
      </w:r>
      <w:r>
        <w:rPr>
          <w:sz w:val="18"/>
        </w:rPr>
        <w:t>C&amp;S</w:t>
      </w:r>
      <w:r>
        <w:rPr>
          <w:spacing w:val="-2"/>
          <w:sz w:val="18"/>
        </w:rPr>
        <w:t xml:space="preserve"> </w:t>
      </w:r>
      <w:r>
        <w:rPr>
          <w:sz w:val="18"/>
        </w:rPr>
        <w:t>are</w:t>
      </w:r>
      <w:r>
        <w:rPr>
          <w:spacing w:val="-1"/>
          <w:sz w:val="18"/>
        </w:rPr>
        <w:t xml:space="preserve"> </w:t>
      </w:r>
      <w:r>
        <w:rPr>
          <w:sz w:val="18"/>
        </w:rPr>
        <w:t>not</w:t>
      </w:r>
      <w:r>
        <w:rPr>
          <w:spacing w:val="-2"/>
          <w:sz w:val="18"/>
        </w:rPr>
        <w:t xml:space="preserve"> </w:t>
      </w:r>
      <w:r>
        <w:rPr>
          <w:sz w:val="18"/>
        </w:rPr>
        <w:t>included</w:t>
      </w:r>
      <w:r>
        <w:rPr>
          <w:spacing w:val="-3"/>
          <w:sz w:val="18"/>
        </w:rPr>
        <w:t xml:space="preserve"> </w:t>
      </w:r>
      <w:r>
        <w:rPr>
          <w:sz w:val="18"/>
        </w:rPr>
        <w:t>in</w:t>
      </w:r>
      <w:r>
        <w:rPr>
          <w:spacing w:val="-1"/>
          <w:sz w:val="18"/>
        </w:rPr>
        <w:t xml:space="preserve"> </w:t>
      </w:r>
      <w:r>
        <w:rPr>
          <w:sz w:val="18"/>
        </w:rPr>
        <w:t>the</w:t>
      </w:r>
      <w:r>
        <w:rPr>
          <w:spacing w:val="-3"/>
          <w:sz w:val="18"/>
        </w:rPr>
        <w:t xml:space="preserve"> </w:t>
      </w:r>
      <w:r>
        <w:rPr>
          <w:sz w:val="18"/>
        </w:rPr>
        <w:t>forecasted</w:t>
      </w:r>
      <w:r>
        <w:rPr>
          <w:spacing w:val="-1"/>
          <w:sz w:val="18"/>
        </w:rPr>
        <w:t xml:space="preserve"> </w:t>
      </w:r>
      <w:r>
        <w:rPr>
          <w:sz w:val="18"/>
        </w:rPr>
        <w:t>results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2023</w:t>
      </w:r>
      <w:r>
        <w:rPr>
          <w:spacing w:val="-3"/>
          <w:sz w:val="18"/>
        </w:rPr>
        <w:t xml:space="preserve"> </w:t>
      </w:r>
      <w:r>
        <w:rPr>
          <w:sz w:val="18"/>
        </w:rPr>
        <w:t>Study but are made available for the CEC’s AAEE forecasting process.</w:t>
      </w:r>
    </w:p>
    <w:p w:rsidR="00C31389" w:rsidRDefault="00561FBD" w14:paraId="4287CE69" w14:textId="77777777">
      <w:pPr>
        <w:spacing w:before="37"/>
        <w:ind w:left="480" w:right="641" w:hanging="1"/>
        <w:jc w:val="both"/>
        <w:rPr>
          <w:sz w:val="18"/>
        </w:rPr>
      </w:pPr>
      <w:bookmarkStart w:name="_bookmark184" w:id="244"/>
      <w:bookmarkEnd w:id="244"/>
      <w:r>
        <w:rPr>
          <w:position w:val="6"/>
          <w:sz w:val="12"/>
        </w:rPr>
        <w:t>64</w:t>
      </w:r>
      <w:r>
        <w:rPr>
          <w:spacing w:val="14"/>
          <w:position w:val="6"/>
          <w:sz w:val="12"/>
        </w:rPr>
        <w:t xml:space="preserve"> </w:t>
      </w:r>
      <w:r>
        <w:rPr>
          <w:sz w:val="18"/>
        </w:rPr>
        <w:t>Cadmus</w:t>
      </w:r>
      <w:r>
        <w:rPr>
          <w:spacing w:val="-3"/>
          <w:sz w:val="18"/>
        </w:rPr>
        <w:t xml:space="preserve"> </w:t>
      </w:r>
      <w:r>
        <w:rPr>
          <w:sz w:val="18"/>
        </w:rPr>
        <w:t>and</w:t>
      </w:r>
      <w:r>
        <w:rPr>
          <w:spacing w:val="-2"/>
          <w:sz w:val="18"/>
        </w:rPr>
        <w:t xml:space="preserve"> </w:t>
      </w:r>
      <w:r>
        <w:rPr>
          <w:sz w:val="18"/>
        </w:rPr>
        <w:t>DNV</w:t>
      </w:r>
      <w:r>
        <w:rPr>
          <w:spacing w:val="-3"/>
          <w:sz w:val="18"/>
        </w:rPr>
        <w:t xml:space="preserve"> </w:t>
      </w:r>
      <w:r>
        <w:rPr>
          <w:sz w:val="18"/>
        </w:rPr>
        <w:t>GL,</w:t>
      </w:r>
      <w:r>
        <w:rPr>
          <w:spacing w:val="-2"/>
          <w:sz w:val="18"/>
        </w:rPr>
        <w:t xml:space="preserve"> </w:t>
      </w:r>
      <w:r>
        <w:rPr>
          <w:i/>
          <w:sz w:val="18"/>
        </w:rPr>
        <w:t>California</w:t>
      </w:r>
      <w:r>
        <w:rPr>
          <w:i/>
          <w:spacing w:val="-4"/>
          <w:sz w:val="18"/>
        </w:rPr>
        <w:t xml:space="preserve"> </w:t>
      </w:r>
      <w:r>
        <w:rPr>
          <w:i/>
          <w:sz w:val="18"/>
        </w:rPr>
        <w:t>Statewide</w:t>
      </w:r>
      <w:r>
        <w:rPr>
          <w:i/>
          <w:spacing w:val="-4"/>
          <w:sz w:val="18"/>
        </w:rPr>
        <w:t xml:space="preserve"> </w:t>
      </w:r>
      <w:r>
        <w:rPr>
          <w:i/>
          <w:sz w:val="18"/>
        </w:rPr>
        <w:t>Codes</w:t>
      </w:r>
      <w:r>
        <w:rPr>
          <w:i/>
          <w:spacing w:val="-3"/>
          <w:sz w:val="18"/>
        </w:rPr>
        <w:t xml:space="preserve"> </w:t>
      </w:r>
      <w:r>
        <w:rPr>
          <w:i/>
          <w:sz w:val="18"/>
        </w:rPr>
        <w:t>an</w:t>
      </w:r>
      <w:r>
        <w:rPr>
          <w:i/>
          <w:spacing w:val="-4"/>
          <w:sz w:val="18"/>
        </w:rPr>
        <w:t xml:space="preserve"> </w:t>
      </w:r>
      <w:r>
        <w:rPr>
          <w:i/>
          <w:sz w:val="18"/>
        </w:rPr>
        <w:t>Standards</w:t>
      </w:r>
      <w:r>
        <w:rPr>
          <w:i/>
          <w:spacing w:val="-3"/>
          <w:sz w:val="18"/>
        </w:rPr>
        <w:t xml:space="preserve"> </w:t>
      </w:r>
      <w:r>
        <w:rPr>
          <w:i/>
          <w:sz w:val="18"/>
        </w:rPr>
        <w:t>Program</w:t>
      </w:r>
      <w:r>
        <w:rPr>
          <w:i/>
          <w:spacing w:val="-3"/>
          <w:sz w:val="18"/>
        </w:rPr>
        <w:t xml:space="preserve"> </w:t>
      </w:r>
      <w:r>
        <w:rPr>
          <w:i/>
          <w:sz w:val="18"/>
        </w:rPr>
        <w:t>Impact</w:t>
      </w:r>
      <w:r>
        <w:rPr>
          <w:i/>
          <w:spacing w:val="-3"/>
          <w:sz w:val="18"/>
        </w:rPr>
        <w:t xml:space="preserve"> </w:t>
      </w:r>
      <w:r>
        <w:rPr>
          <w:i/>
          <w:sz w:val="18"/>
        </w:rPr>
        <w:t>Evaluation</w:t>
      </w:r>
      <w:r>
        <w:rPr>
          <w:i/>
          <w:spacing w:val="-4"/>
          <w:sz w:val="18"/>
        </w:rPr>
        <w:t xml:space="preserve"> </w:t>
      </w:r>
      <w:r>
        <w:rPr>
          <w:i/>
          <w:sz w:val="18"/>
        </w:rPr>
        <w:t>Phase</w:t>
      </w:r>
      <w:r>
        <w:rPr>
          <w:i/>
          <w:spacing w:val="-2"/>
          <w:sz w:val="18"/>
        </w:rPr>
        <w:t xml:space="preserve"> </w:t>
      </w:r>
      <w:r>
        <w:rPr>
          <w:i/>
          <w:sz w:val="18"/>
        </w:rPr>
        <w:t>Two,</w:t>
      </w:r>
      <w:r>
        <w:rPr>
          <w:i/>
          <w:spacing w:val="-3"/>
          <w:sz w:val="18"/>
        </w:rPr>
        <w:t xml:space="preserve"> </w:t>
      </w:r>
      <w:r>
        <w:rPr>
          <w:i/>
          <w:sz w:val="18"/>
        </w:rPr>
        <w:t>Volume Two: 2013 Title 24</w:t>
      </w:r>
      <w:r>
        <w:rPr>
          <w:sz w:val="18"/>
        </w:rPr>
        <w:t>, August 2017.</w:t>
      </w:r>
    </w:p>
    <w:p w:rsidR="00C31389" w:rsidRDefault="00C31389" w14:paraId="6F065FEB" w14:textId="77777777">
      <w:pPr>
        <w:jc w:val="both"/>
        <w:rPr>
          <w:sz w:val="18"/>
        </w:rPr>
        <w:sectPr w:rsidR="00C31389">
          <w:headerReference w:type="default" r:id="rId148"/>
          <w:footerReference w:type="default" r:id="rId149"/>
          <w:pgSz w:w="12240" w:h="15840"/>
          <w:pgMar w:top="1380" w:right="960" w:bottom="1120" w:left="960" w:header="397" w:footer="936" w:gutter="0"/>
          <w:cols w:space="720"/>
        </w:sectPr>
      </w:pPr>
    </w:p>
    <w:p w:rsidR="00C31389" w:rsidRDefault="00C31389" w14:paraId="629AA90A" w14:textId="77777777">
      <w:pPr>
        <w:pStyle w:val="BodyText"/>
        <w:spacing w:before="11"/>
        <w:rPr>
          <w:sz w:val="13"/>
        </w:rPr>
      </w:pPr>
    </w:p>
    <w:p w:rsidR="00C31389" w:rsidRDefault="00561FBD" w14:paraId="6253C969" w14:textId="77777777">
      <w:pPr>
        <w:pStyle w:val="BodyText"/>
        <w:spacing w:before="92"/>
        <w:ind w:left="480" w:right="485"/>
        <w:rPr>
          <w:sz w:val="14"/>
        </w:rPr>
      </w:pPr>
      <w:r>
        <w:t>use</w:t>
      </w:r>
      <w:r>
        <w:rPr>
          <w:spacing w:val="-4"/>
        </w:rPr>
        <w:t xml:space="preserve"> </w:t>
      </w:r>
      <w:r>
        <w:t>these</w:t>
      </w:r>
      <w:r>
        <w:rPr>
          <w:spacing w:val="-4"/>
        </w:rPr>
        <w:t xml:space="preserve"> </w:t>
      </w:r>
      <w:r>
        <w:t>assumptions</w:t>
      </w:r>
      <w:r>
        <w:rPr>
          <w:spacing w:val="-5"/>
        </w:rPr>
        <w:t xml:space="preserve"> </w:t>
      </w:r>
      <w:r>
        <w:t>for</w:t>
      </w:r>
      <w:r>
        <w:rPr>
          <w:spacing w:val="-4"/>
        </w:rPr>
        <w:t xml:space="preserve"> </w:t>
      </w:r>
      <w:r>
        <w:t>the</w:t>
      </w:r>
      <w:r>
        <w:rPr>
          <w:spacing w:val="-4"/>
        </w:rPr>
        <w:t xml:space="preserve"> </w:t>
      </w:r>
      <w:r>
        <w:t>2023</w:t>
      </w:r>
      <w:r>
        <w:rPr>
          <w:spacing w:val="-5"/>
        </w:rPr>
        <w:t xml:space="preserve"> </w:t>
      </w:r>
      <w:r>
        <w:t>Study.</w:t>
      </w:r>
      <w:r>
        <w:rPr>
          <w:spacing w:val="-4"/>
        </w:rPr>
        <w:t xml:space="preserve"> </w:t>
      </w:r>
      <w:r>
        <w:t>However,</w:t>
      </w:r>
      <w:r>
        <w:rPr>
          <w:spacing w:val="-4"/>
        </w:rPr>
        <w:t xml:space="preserve"> </w:t>
      </w:r>
      <w:r>
        <w:t>Guidehouse</w:t>
      </w:r>
      <w:r>
        <w:rPr>
          <w:spacing w:val="-4"/>
        </w:rPr>
        <w:t xml:space="preserve"> </w:t>
      </w:r>
      <w:r>
        <w:t>updated</w:t>
      </w:r>
      <w:r>
        <w:rPr>
          <w:spacing w:val="-4"/>
        </w:rPr>
        <w:t xml:space="preserve"> </w:t>
      </w:r>
      <w:r>
        <w:t>the</w:t>
      </w:r>
      <w:r>
        <w:rPr>
          <w:spacing w:val="-4"/>
        </w:rPr>
        <w:t xml:space="preserve"> </w:t>
      </w:r>
      <w:r>
        <w:t>allocation</w:t>
      </w:r>
      <w:r>
        <w:rPr>
          <w:spacing w:val="-4"/>
        </w:rPr>
        <w:t xml:space="preserve"> </w:t>
      </w:r>
      <w:r>
        <w:t>factors using the most recent impact evaluation publishe</w:t>
      </w:r>
      <w:r>
        <w:t>d in May 2021.</w:t>
      </w:r>
      <w:r>
        <w:rPr>
          <w:spacing w:val="-35"/>
        </w:rPr>
        <w:t xml:space="preserve"> </w:t>
      </w:r>
      <w:hyperlink w:history="1" w:anchor="_bookmark188">
        <w:r>
          <w:rPr>
            <w:position w:val="7"/>
            <w:sz w:val="14"/>
          </w:rPr>
          <w:t>65</w:t>
        </w:r>
      </w:hyperlink>
    </w:p>
    <w:p w:rsidR="00C31389" w:rsidRDefault="00C31389" w14:paraId="4362A6BF" w14:textId="77777777">
      <w:pPr>
        <w:pStyle w:val="BodyText"/>
        <w:spacing w:before="11"/>
        <w:rPr>
          <w:sz w:val="20"/>
        </w:rPr>
      </w:pPr>
    </w:p>
    <w:p w:rsidR="00C31389" w:rsidRDefault="00561FBD" w14:paraId="3AA3D2EA" w14:textId="77777777">
      <w:pPr>
        <w:pStyle w:val="Heading7"/>
        <w:ind w:left="566" w:right="566"/>
        <w:jc w:val="center"/>
      </w:pPr>
      <w:bookmarkStart w:name="_bookmark185" w:id="245"/>
      <w:bookmarkEnd w:id="245"/>
      <w:r>
        <w:t>Table</w:t>
      </w:r>
      <w:r>
        <w:rPr>
          <w:spacing w:val="-8"/>
        </w:rPr>
        <w:t xml:space="preserve"> </w:t>
      </w:r>
      <w:r>
        <w:t>3-25.</w:t>
      </w:r>
      <w:r>
        <w:rPr>
          <w:spacing w:val="-8"/>
        </w:rPr>
        <w:t xml:space="preserve"> </w:t>
      </w:r>
      <w:r>
        <w:t>Progression</w:t>
      </w:r>
      <w:r>
        <w:rPr>
          <w:spacing w:val="-8"/>
        </w:rPr>
        <w:t xml:space="preserve"> </w:t>
      </w:r>
      <w:r>
        <w:t>of</w:t>
      </w:r>
      <w:r>
        <w:rPr>
          <w:spacing w:val="-7"/>
        </w:rPr>
        <w:t xml:space="preserve"> </w:t>
      </w:r>
      <w:r>
        <w:t>Commercial</w:t>
      </w:r>
      <w:r>
        <w:rPr>
          <w:spacing w:val="-8"/>
        </w:rPr>
        <w:t xml:space="preserve"> </w:t>
      </w:r>
      <w:r>
        <w:t>Title</w:t>
      </w:r>
      <w:r>
        <w:rPr>
          <w:spacing w:val="-9"/>
        </w:rPr>
        <w:t xml:space="preserve"> </w:t>
      </w:r>
      <w:r>
        <w:rPr>
          <w:spacing w:val="-5"/>
        </w:rPr>
        <w:t>24</w:t>
      </w:r>
    </w:p>
    <w:p w:rsidR="00C31389" w:rsidRDefault="00C31389" w14:paraId="39DF3991" w14:textId="77777777">
      <w:pPr>
        <w:pStyle w:val="BodyText"/>
        <w:spacing w:before="6"/>
        <w:rPr>
          <w:b/>
          <w:sz w:val="9"/>
        </w:rPr>
      </w:pPr>
    </w:p>
    <w:tbl>
      <w:tblPr>
        <w:tblW w:w="0" w:type="auto"/>
        <w:tblInd w:w="1946" w:type="dxa"/>
        <w:tblLayout w:type="fixed"/>
        <w:tblCellMar>
          <w:left w:w="0" w:type="dxa"/>
          <w:right w:w="0" w:type="dxa"/>
        </w:tblCellMar>
        <w:tblLook w:val="01E0" w:firstRow="1" w:lastRow="1" w:firstColumn="1" w:lastColumn="1" w:noHBand="0" w:noVBand="0"/>
      </w:tblPr>
      <w:tblGrid>
        <w:gridCol w:w="1510"/>
        <w:gridCol w:w="2541"/>
        <w:gridCol w:w="2380"/>
      </w:tblGrid>
      <w:tr w:rsidR="00C31389" w14:paraId="2F06C31B" w14:textId="77777777">
        <w:trPr>
          <w:trHeight w:val="572"/>
        </w:trPr>
        <w:tc>
          <w:tcPr>
            <w:tcW w:w="1510" w:type="dxa"/>
            <w:shd w:val="clear" w:color="auto" w:fill="92D400"/>
          </w:tcPr>
          <w:p w:rsidR="00C31389" w:rsidRDefault="00561FBD" w14:paraId="43B0525B" w14:textId="77777777">
            <w:pPr>
              <w:pStyle w:val="TableParagraph"/>
              <w:spacing w:before="52"/>
              <w:ind w:left="122"/>
              <w:rPr>
                <w:b/>
                <w:sz w:val="20"/>
              </w:rPr>
            </w:pPr>
            <w:r>
              <w:rPr>
                <w:b/>
                <w:sz w:val="20"/>
              </w:rPr>
              <w:t>Title</w:t>
            </w:r>
            <w:r>
              <w:rPr>
                <w:b/>
                <w:spacing w:val="-14"/>
                <w:sz w:val="20"/>
              </w:rPr>
              <w:t xml:space="preserve"> </w:t>
            </w:r>
            <w:r>
              <w:rPr>
                <w:b/>
                <w:sz w:val="20"/>
              </w:rPr>
              <w:t>24</w:t>
            </w:r>
            <w:r>
              <w:rPr>
                <w:b/>
                <w:spacing w:val="-14"/>
                <w:sz w:val="20"/>
              </w:rPr>
              <w:t xml:space="preserve"> </w:t>
            </w:r>
            <w:r>
              <w:rPr>
                <w:b/>
                <w:sz w:val="20"/>
              </w:rPr>
              <w:t xml:space="preserve">Code </w:t>
            </w:r>
            <w:r>
              <w:rPr>
                <w:b/>
                <w:spacing w:val="-2"/>
                <w:sz w:val="20"/>
              </w:rPr>
              <w:t>Cycle</w:t>
            </w:r>
          </w:p>
        </w:tc>
        <w:tc>
          <w:tcPr>
            <w:tcW w:w="2541" w:type="dxa"/>
            <w:shd w:val="clear" w:color="auto" w:fill="92D400"/>
          </w:tcPr>
          <w:p w:rsidR="00C31389" w:rsidRDefault="00561FBD" w14:paraId="5E544F5D" w14:textId="77777777">
            <w:pPr>
              <w:pStyle w:val="TableParagraph"/>
              <w:spacing w:before="52"/>
              <w:ind w:left="159" w:right="182" w:hanging="18"/>
              <w:rPr>
                <w:b/>
                <w:sz w:val="20"/>
              </w:rPr>
            </w:pPr>
            <w:r>
              <w:rPr>
                <w:b/>
                <w:sz w:val="20"/>
              </w:rPr>
              <w:t>Cumulative</w:t>
            </w:r>
            <w:r>
              <w:rPr>
                <w:b/>
                <w:spacing w:val="-14"/>
                <w:sz w:val="20"/>
              </w:rPr>
              <w:t xml:space="preserve"> </w:t>
            </w:r>
            <w:r>
              <w:rPr>
                <w:b/>
                <w:sz w:val="20"/>
              </w:rPr>
              <w:t>Percentage of</w:t>
            </w:r>
            <w:r>
              <w:rPr>
                <w:b/>
                <w:spacing w:val="-2"/>
                <w:sz w:val="20"/>
              </w:rPr>
              <w:t xml:space="preserve"> </w:t>
            </w:r>
            <w:r>
              <w:rPr>
                <w:b/>
                <w:sz w:val="20"/>
              </w:rPr>
              <w:t>2028</w:t>
            </w:r>
            <w:r>
              <w:rPr>
                <w:b/>
                <w:spacing w:val="-3"/>
                <w:sz w:val="20"/>
              </w:rPr>
              <w:t xml:space="preserve"> </w:t>
            </w:r>
            <w:r>
              <w:rPr>
                <w:b/>
                <w:sz w:val="20"/>
              </w:rPr>
              <w:t>Savings</w:t>
            </w:r>
            <w:r>
              <w:rPr>
                <w:b/>
                <w:spacing w:val="-3"/>
                <w:sz w:val="20"/>
              </w:rPr>
              <w:t xml:space="preserve"> </w:t>
            </w:r>
            <w:r>
              <w:rPr>
                <w:b/>
                <w:spacing w:val="-2"/>
                <w:sz w:val="20"/>
              </w:rPr>
              <w:t>Target</w:t>
            </w:r>
          </w:p>
        </w:tc>
        <w:tc>
          <w:tcPr>
            <w:tcW w:w="2380" w:type="dxa"/>
            <w:shd w:val="clear" w:color="auto" w:fill="92D400"/>
          </w:tcPr>
          <w:p w:rsidR="00C31389" w:rsidRDefault="00561FBD" w14:paraId="6375889C" w14:textId="77777777">
            <w:pPr>
              <w:pStyle w:val="TableParagraph"/>
              <w:spacing w:before="52"/>
              <w:ind w:left="245" w:right="245" w:hanging="62"/>
              <w:rPr>
                <w:b/>
                <w:sz w:val="20"/>
              </w:rPr>
            </w:pPr>
            <w:r>
              <w:rPr>
                <w:b/>
                <w:sz w:val="20"/>
              </w:rPr>
              <w:t>Incremental</w:t>
            </w:r>
            <w:r>
              <w:rPr>
                <w:b/>
                <w:spacing w:val="-14"/>
                <w:sz w:val="20"/>
              </w:rPr>
              <w:t xml:space="preserve"> </w:t>
            </w:r>
            <w:r>
              <w:rPr>
                <w:b/>
                <w:sz w:val="20"/>
              </w:rPr>
              <w:t>Savings toward 2028 Target</w:t>
            </w:r>
          </w:p>
        </w:tc>
      </w:tr>
      <w:tr w:rsidR="00C31389" w14:paraId="4D4FA629" w14:textId="77777777">
        <w:trPr>
          <w:trHeight w:val="309"/>
        </w:trPr>
        <w:tc>
          <w:tcPr>
            <w:tcW w:w="1510" w:type="dxa"/>
            <w:tcBorders>
              <w:bottom w:val="single" w:color="D9D9D9" w:sz="2" w:space="0"/>
            </w:tcBorders>
          </w:tcPr>
          <w:p w:rsidR="00C31389" w:rsidRDefault="00561FBD" w14:paraId="3177B502" w14:textId="77777777">
            <w:pPr>
              <w:pStyle w:val="TableParagraph"/>
              <w:ind w:left="122"/>
              <w:rPr>
                <w:b/>
                <w:sz w:val="20"/>
              </w:rPr>
            </w:pPr>
            <w:r>
              <w:rPr>
                <w:b/>
                <w:color w:val="050505"/>
                <w:spacing w:val="-4"/>
                <w:sz w:val="20"/>
              </w:rPr>
              <w:t>2016</w:t>
            </w:r>
          </w:p>
        </w:tc>
        <w:tc>
          <w:tcPr>
            <w:tcW w:w="2541" w:type="dxa"/>
            <w:tcBorders>
              <w:bottom w:val="single" w:color="D9D9D9" w:sz="2" w:space="0"/>
            </w:tcBorders>
          </w:tcPr>
          <w:p w:rsidR="00C31389" w:rsidRDefault="00561FBD" w14:paraId="5867CB2B" w14:textId="77777777">
            <w:pPr>
              <w:pStyle w:val="TableParagraph"/>
              <w:ind w:left="1103"/>
              <w:rPr>
                <w:sz w:val="20"/>
              </w:rPr>
            </w:pPr>
            <w:r>
              <w:rPr>
                <w:color w:val="050505"/>
                <w:spacing w:val="-5"/>
                <w:sz w:val="20"/>
              </w:rPr>
              <w:t>0%</w:t>
            </w:r>
          </w:p>
        </w:tc>
        <w:tc>
          <w:tcPr>
            <w:tcW w:w="2380" w:type="dxa"/>
            <w:tcBorders>
              <w:bottom w:val="single" w:color="D9D9D9" w:sz="2" w:space="0"/>
            </w:tcBorders>
          </w:tcPr>
          <w:p w:rsidR="00C31389" w:rsidRDefault="00561FBD" w14:paraId="20EA085D" w14:textId="77777777">
            <w:pPr>
              <w:pStyle w:val="TableParagraph"/>
              <w:ind w:right="71"/>
              <w:jc w:val="center"/>
              <w:rPr>
                <w:b/>
                <w:sz w:val="20"/>
              </w:rPr>
            </w:pPr>
            <w:r>
              <w:rPr>
                <w:b/>
                <w:color w:val="050505"/>
                <w:sz w:val="20"/>
              </w:rPr>
              <w:t>-</w:t>
            </w:r>
          </w:p>
        </w:tc>
      </w:tr>
      <w:tr w:rsidR="00C31389" w14:paraId="5CBAFADD" w14:textId="77777777">
        <w:trPr>
          <w:trHeight w:val="310"/>
        </w:trPr>
        <w:tc>
          <w:tcPr>
            <w:tcW w:w="1510" w:type="dxa"/>
            <w:tcBorders>
              <w:top w:val="single" w:color="D9D9D9" w:sz="2" w:space="0"/>
              <w:bottom w:val="single" w:color="D9D9D9" w:sz="2" w:space="0"/>
            </w:tcBorders>
          </w:tcPr>
          <w:p w:rsidR="00C31389" w:rsidRDefault="00561FBD" w14:paraId="03A64C96" w14:textId="77777777">
            <w:pPr>
              <w:pStyle w:val="TableParagraph"/>
              <w:spacing w:before="41"/>
              <w:ind w:left="122"/>
              <w:rPr>
                <w:b/>
                <w:sz w:val="20"/>
              </w:rPr>
            </w:pPr>
            <w:r>
              <w:rPr>
                <w:b/>
                <w:color w:val="050505"/>
                <w:spacing w:val="-4"/>
                <w:sz w:val="20"/>
              </w:rPr>
              <w:t>2019</w:t>
            </w:r>
          </w:p>
        </w:tc>
        <w:tc>
          <w:tcPr>
            <w:tcW w:w="2541" w:type="dxa"/>
            <w:tcBorders>
              <w:top w:val="single" w:color="D9D9D9" w:sz="2" w:space="0"/>
              <w:bottom w:val="single" w:color="D9D9D9" w:sz="2" w:space="0"/>
            </w:tcBorders>
          </w:tcPr>
          <w:p w:rsidR="00C31389" w:rsidRDefault="00561FBD" w14:paraId="1DD4DA3B" w14:textId="77777777">
            <w:pPr>
              <w:pStyle w:val="TableParagraph"/>
              <w:spacing w:before="41"/>
              <w:ind w:left="1048"/>
              <w:rPr>
                <w:sz w:val="20"/>
              </w:rPr>
            </w:pPr>
            <w:r>
              <w:rPr>
                <w:color w:val="050505"/>
                <w:spacing w:val="-5"/>
                <w:sz w:val="20"/>
              </w:rPr>
              <w:t>33%</w:t>
            </w:r>
          </w:p>
        </w:tc>
        <w:tc>
          <w:tcPr>
            <w:tcW w:w="2380" w:type="dxa"/>
            <w:tcBorders>
              <w:top w:val="single" w:color="D9D9D9" w:sz="2" w:space="0"/>
              <w:bottom w:val="single" w:color="D9D9D9" w:sz="2" w:space="0"/>
            </w:tcBorders>
          </w:tcPr>
          <w:p w:rsidR="00C31389" w:rsidRDefault="00561FBD" w14:paraId="09C4C4B5" w14:textId="77777777">
            <w:pPr>
              <w:pStyle w:val="TableParagraph"/>
              <w:spacing w:before="41"/>
              <w:ind w:left="942" w:right="1004"/>
              <w:jc w:val="center"/>
              <w:rPr>
                <w:sz w:val="20"/>
              </w:rPr>
            </w:pPr>
            <w:r>
              <w:rPr>
                <w:color w:val="050505"/>
                <w:spacing w:val="-5"/>
                <w:sz w:val="20"/>
              </w:rPr>
              <w:t>33%</w:t>
            </w:r>
          </w:p>
        </w:tc>
      </w:tr>
      <w:tr w:rsidR="00C31389" w14:paraId="5C2322FB" w14:textId="77777777">
        <w:trPr>
          <w:trHeight w:val="309"/>
        </w:trPr>
        <w:tc>
          <w:tcPr>
            <w:tcW w:w="1510" w:type="dxa"/>
            <w:tcBorders>
              <w:top w:val="single" w:color="D9D9D9" w:sz="2" w:space="0"/>
              <w:bottom w:val="single" w:color="D9D9D9" w:sz="2" w:space="0"/>
            </w:tcBorders>
          </w:tcPr>
          <w:p w:rsidR="00C31389" w:rsidRDefault="00561FBD" w14:paraId="0C36E973" w14:textId="77777777">
            <w:pPr>
              <w:pStyle w:val="TableParagraph"/>
              <w:ind w:left="122"/>
              <w:rPr>
                <w:b/>
                <w:sz w:val="20"/>
              </w:rPr>
            </w:pPr>
            <w:r>
              <w:rPr>
                <w:b/>
                <w:color w:val="050505"/>
                <w:spacing w:val="-4"/>
                <w:sz w:val="20"/>
              </w:rPr>
              <w:t>2022</w:t>
            </w:r>
          </w:p>
        </w:tc>
        <w:tc>
          <w:tcPr>
            <w:tcW w:w="2541" w:type="dxa"/>
            <w:tcBorders>
              <w:top w:val="single" w:color="D9D9D9" w:sz="2" w:space="0"/>
              <w:bottom w:val="single" w:color="D9D9D9" w:sz="2" w:space="0"/>
            </w:tcBorders>
          </w:tcPr>
          <w:p w:rsidR="00C31389" w:rsidRDefault="00561FBD" w14:paraId="31A6893D" w14:textId="77777777">
            <w:pPr>
              <w:pStyle w:val="TableParagraph"/>
              <w:ind w:left="1048"/>
              <w:rPr>
                <w:sz w:val="20"/>
              </w:rPr>
            </w:pPr>
            <w:r>
              <w:rPr>
                <w:color w:val="050505"/>
                <w:spacing w:val="-5"/>
                <w:sz w:val="20"/>
              </w:rPr>
              <w:t>50%</w:t>
            </w:r>
          </w:p>
        </w:tc>
        <w:tc>
          <w:tcPr>
            <w:tcW w:w="2380" w:type="dxa"/>
            <w:tcBorders>
              <w:top w:val="single" w:color="D9D9D9" w:sz="2" w:space="0"/>
              <w:bottom w:val="single" w:color="D9D9D9" w:sz="2" w:space="0"/>
            </w:tcBorders>
          </w:tcPr>
          <w:p w:rsidR="00C31389" w:rsidRDefault="00561FBD" w14:paraId="5CEBC64B" w14:textId="77777777">
            <w:pPr>
              <w:pStyle w:val="TableParagraph"/>
              <w:ind w:left="939" w:right="1008"/>
              <w:jc w:val="center"/>
              <w:rPr>
                <w:sz w:val="20"/>
              </w:rPr>
            </w:pPr>
            <w:r>
              <w:rPr>
                <w:color w:val="050505"/>
                <w:spacing w:val="-5"/>
                <w:sz w:val="20"/>
              </w:rPr>
              <w:t>17%</w:t>
            </w:r>
          </w:p>
        </w:tc>
      </w:tr>
      <w:tr w:rsidR="00C31389" w14:paraId="0266FBE4" w14:textId="77777777">
        <w:trPr>
          <w:trHeight w:val="310"/>
        </w:trPr>
        <w:tc>
          <w:tcPr>
            <w:tcW w:w="1510" w:type="dxa"/>
            <w:tcBorders>
              <w:top w:val="single" w:color="D9D9D9" w:sz="2" w:space="0"/>
              <w:bottom w:val="single" w:color="D9D9D9" w:sz="2" w:space="0"/>
            </w:tcBorders>
          </w:tcPr>
          <w:p w:rsidR="00C31389" w:rsidRDefault="00561FBD" w14:paraId="4B01DB10" w14:textId="77777777">
            <w:pPr>
              <w:pStyle w:val="TableParagraph"/>
              <w:spacing w:before="41"/>
              <w:ind w:left="122"/>
              <w:rPr>
                <w:b/>
                <w:sz w:val="20"/>
              </w:rPr>
            </w:pPr>
            <w:r>
              <w:rPr>
                <w:b/>
                <w:color w:val="050505"/>
                <w:spacing w:val="-4"/>
                <w:sz w:val="20"/>
              </w:rPr>
              <w:t>2025</w:t>
            </w:r>
          </w:p>
        </w:tc>
        <w:tc>
          <w:tcPr>
            <w:tcW w:w="2541" w:type="dxa"/>
            <w:tcBorders>
              <w:top w:val="single" w:color="D9D9D9" w:sz="2" w:space="0"/>
              <w:bottom w:val="single" w:color="D9D9D9" w:sz="2" w:space="0"/>
            </w:tcBorders>
          </w:tcPr>
          <w:p w:rsidR="00C31389" w:rsidRDefault="00561FBD" w14:paraId="213DD386" w14:textId="77777777">
            <w:pPr>
              <w:pStyle w:val="TableParagraph"/>
              <w:spacing w:before="41"/>
              <w:ind w:left="1048"/>
              <w:rPr>
                <w:sz w:val="20"/>
              </w:rPr>
            </w:pPr>
            <w:r>
              <w:rPr>
                <w:color w:val="050505"/>
                <w:spacing w:val="-5"/>
                <w:sz w:val="20"/>
              </w:rPr>
              <w:t>67%</w:t>
            </w:r>
          </w:p>
        </w:tc>
        <w:tc>
          <w:tcPr>
            <w:tcW w:w="2380" w:type="dxa"/>
            <w:tcBorders>
              <w:top w:val="single" w:color="D9D9D9" w:sz="2" w:space="0"/>
              <w:bottom w:val="single" w:color="D9D9D9" w:sz="2" w:space="0"/>
            </w:tcBorders>
          </w:tcPr>
          <w:p w:rsidR="00C31389" w:rsidRDefault="00561FBD" w14:paraId="5BE885EF" w14:textId="77777777">
            <w:pPr>
              <w:pStyle w:val="TableParagraph"/>
              <w:spacing w:before="41"/>
              <w:ind w:left="942" w:right="1004"/>
              <w:jc w:val="center"/>
              <w:rPr>
                <w:sz w:val="20"/>
              </w:rPr>
            </w:pPr>
            <w:r>
              <w:rPr>
                <w:color w:val="050505"/>
                <w:spacing w:val="-5"/>
                <w:sz w:val="20"/>
              </w:rPr>
              <w:t>17%</w:t>
            </w:r>
          </w:p>
        </w:tc>
      </w:tr>
      <w:tr w:rsidR="00C31389" w14:paraId="573E28E4" w14:textId="77777777">
        <w:trPr>
          <w:trHeight w:val="310"/>
        </w:trPr>
        <w:tc>
          <w:tcPr>
            <w:tcW w:w="1510" w:type="dxa"/>
            <w:tcBorders>
              <w:top w:val="single" w:color="D9D9D9" w:sz="2" w:space="0"/>
              <w:bottom w:val="single" w:color="000000" w:sz="8" w:space="0"/>
            </w:tcBorders>
          </w:tcPr>
          <w:p w:rsidR="00C31389" w:rsidRDefault="00561FBD" w14:paraId="43DA1A0B" w14:textId="77777777">
            <w:pPr>
              <w:pStyle w:val="TableParagraph"/>
              <w:ind w:left="122"/>
              <w:rPr>
                <w:b/>
                <w:sz w:val="20"/>
              </w:rPr>
            </w:pPr>
            <w:r>
              <w:rPr>
                <w:b/>
                <w:color w:val="050505"/>
                <w:spacing w:val="-4"/>
                <w:sz w:val="20"/>
              </w:rPr>
              <w:t>2028</w:t>
            </w:r>
          </w:p>
        </w:tc>
        <w:tc>
          <w:tcPr>
            <w:tcW w:w="2541" w:type="dxa"/>
            <w:tcBorders>
              <w:top w:val="single" w:color="D9D9D9" w:sz="2" w:space="0"/>
              <w:bottom w:val="single" w:color="000000" w:sz="8" w:space="0"/>
            </w:tcBorders>
          </w:tcPr>
          <w:p w:rsidR="00C31389" w:rsidRDefault="00561FBD" w14:paraId="2125E507" w14:textId="77777777">
            <w:pPr>
              <w:pStyle w:val="TableParagraph"/>
              <w:ind w:left="993"/>
              <w:rPr>
                <w:sz w:val="20"/>
              </w:rPr>
            </w:pPr>
            <w:r>
              <w:rPr>
                <w:color w:val="050505"/>
                <w:spacing w:val="-4"/>
                <w:sz w:val="20"/>
              </w:rPr>
              <w:t>100%</w:t>
            </w:r>
          </w:p>
        </w:tc>
        <w:tc>
          <w:tcPr>
            <w:tcW w:w="2380" w:type="dxa"/>
            <w:tcBorders>
              <w:top w:val="single" w:color="D9D9D9" w:sz="2" w:space="0"/>
              <w:bottom w:val="single" w:color="000000" w:sz="8" w:space="0"/>
            </w:tcBorders>
          </w:tcPr>
          <w:p w:rsidR="00C31389" w:rsidRDefault="00561FBD" w14:paraId="45CFFD88" w14:textId="77777777">
            <w:pPr>
              <w:pStyle w:val="TableParagraph"/>
              <w:ind w:left="938" w:right="1008"/>
              <w:jc w:val="center"/>
              <w:rPr>
                <w:sz w:val="20"/>
              </w:rPr>
            </w:pPr>
            <w:r>
              <w:rPr>
                <w:color w:val="050505"/>
                <w:spacing w:val="-5"/>
                <w:sz w:val="20"/>
              </w:rPr>
              <w:t>33%</w:t>
            </w:r>
          </w:p>
        </w:tc>
      </w:tr>
    </w:tbl>
    <w:p w:rsidR="00C31389" w:rsidRDefault="00561FBD" w14:paraId="06B38E8B" w14:textId="77777777">
      <w:pPr>
        <w:spacing w:before="72"/>
        <w:ind w:left="480"/>
        <w:rPr>
          <w:i/>
          <w:sz w:val="18"/>
        </w:rPr>
      </w:pPr>
      <w:r>
        <w:rPr>
          <w:i/>
          <w:sz w:val="18"/>
        </w:rPr>
        <w:t>Source:</w:t>
      </w:r>
      <w:r>
        <w:rPr>
          <w:i/>
          <w:spacing w:val="-5"/>
          <w:sz w:val="18"/>
        </w:rPr>
        <w:t xml:space="preserve"> </w:t>
      </w:r>
      <w:r>
        <w:rPr>
          <w:i/>
          <w:sz w:val="18"/>
        </w:rPr>
        <w:t>Guidehouse</w:t>
      </w:r>
      <w:r>
        <w:rPr>
          <w:i/>
          <w:spacing w:val="-4"/>
          <w:sz w:val="18"/>
        </w:rPr>
        <w:t xml:space="preserve"> </w:t>
      </w:r>
      <w:r>
        <w:rPr>
          <w:i/>
          <w:sz w:val="18"/>
        </w:rPr>
        <w:t>2019</w:t>
      </w:r>
      <w:r>
        <w:rPr>
          <w:i/>
          <w:spacing w:val="-3"/>
          <w:sz w:val="18"/>
        </w:rPr>
        <w:t xml:space="preserve"> </w:t>
      </w:r>
      <w:r>
        <w:rPr>
          <w:i/>
          <w:sz w:val="18"/>
        </w:rPr>
        <w:t>based</w:t>
      </w:r>
      <w:r>
        <w:rPr>
          <w:i/>
          <w:spacing w:val="-4"/>
          <w:sz w:val="18"/>
        </w:rPr>
        <w:t xml:space="preserve"> </w:t>
      </w:r>
      <w:r>
        <w:rPr>
          <w:i/>
          <w:sz w:val="18"/>
        </w:rPr>
        <w:t>on</w:t>
      </w:r>
      <w:r>
        <w:rPr>
          <w:i/>
          <w:spacing w:val="-4"/>
          <w:sz w:val="18"/>
        </w:rPr>
        <w:t xml:space="preserve"> </w:t>
      </w:r>
      <w:r>
        <w:rPr>
          <w:i/>
          <w:sz w:val="18"/>
        </w:rPr>
        <w:t>communications</w:t>
      </w:r>
      <w:r>
        <w:rPr>
          <w:i/>
          <w:spacing w:val="-2"/>
          <w:sz w:val="18"/>
        </w:rPr>
        <w:t xml:space="preserve"> </w:t>
      </w:r>
      <w:r>
        <w:rPr>
          <w:i/>
          <w:sz w:val="18"/>
        </w:rPr>
        <w:t>with</w:t>
      </w:r>
      <w:r>
        <w:rPr>
          <w:i/>
          <w:spacing w:val="-2"/>
          <w:sz w:val="18"/>
        </w:rPr>
        <w:t xml:space="preserve"> </w:t>
      </w:r>
      <w:r>
        <w:rPr>
          <w:i/>
          <w:sz w:val="18"/>
        </w:rPr>
        <w:t>CEC</w:t>
      </w:r>
      <w:r>
        <w:rPr>
          <w:i/>
          <w:spacing w:val="-2"/>
          <w:sz w:val="18"/>
        </w:rPr>
        <w:t xml:space="preserve"> Staff</w:t>
      </w:r>
    </w:p>
    <w:p w:rsidR="00C31389" w:rsidRDefault="00C31389" w14:paraId="31702A90" w14:textId="77777777">
      <w:pPr>
        <w:pStyle w:val="BodyText"/>
        <w:spacing w:before="9"/>
        <w:rPr>
          <w:i/>
          <w:sz w:val="20"/>
        </w:rPr>
      </w:pPr>
    </w:p>
    <w:p w:rsidR="00C31389" w:rsidRDefault="00561FBD" w14:paraId="371D9567" w14:textId="77777777">
      <w:pPr>
        <w:pStyle w:val="BodyText"/>
        <w:ind w:left="480" w:right="533"/>
      </w:pPr>
      <w:r>
        <w:t>The</w:t>
      </w:r>
      <w:r>
        <w:rPr>
          <w:spacing w:val="-3"/>
        </w:rPr>
        <w:t xml:space="preserve"> </w:t>
      </w:r>
      <w:r>
        <w:t>team</w:t>
      </w:r>
      <w:r>
        <w:rPr>
          <w:spacing w:val="-4"/>
        </w:rPr>
        <w:t xml:space="preserve"> </w:t>
      </w:r>
      <w:r>
        <w:t>scaled</w:t>
      </w:r>
      <w:r>
        <w:rPr>
          <w:spacing w:val="-3"/>
        </w:rPr>
        <w:t xml:space="preserve"> </w:t>
      </w:r>
      <w:r>
        <w:t>2019</w:t>
      </w:r>
      <w:r>
        <w:rPr>
          <w:spacing w:val="-3"/>
        </w:rPr>
        <w:t xml:space="preserve"> </w:t>
      </w:r>
      <w:r>
        <w:t>Title</w:t>
      </w:r>
      <w:r>
        <w:rPr>
          <w:spacing w:val="-3"/>
        </w:rPr>
        <w:t xml:space="preserve"> </w:t>
      </w:r>
      <w:r>
        <w:t>24</w:t>
      </w:r>
      <w:r>
        <w:rPr>
          <w:spacing w:val="-3"/>
        </w:rPr>
        <w:t xml:space="preserve"> </w:t>
      </w:r>
      <w:r>
        <w:t>claimed</w:t>
      </w:r>
      <w:r>
        <w:rPr>
          <w:spacing w:val="-3"/>
        </w:rPr>
        <w:t xml:space="preserve"> </w:t>
      </w:r>
      <w:r>
        <w:t>savings</w:t>
      </w:r>
      <w:r>
        <w:rPr>
          <w:spacing w:val="-4"/>
        </w:rPr>
        <w:t xml:space="preserve"> </w:t>
      </w:r>
      <w:r>
        <w:t>based</w:t>
      </w:r>
      <w:r>
        <w:rPr>
          <w:spacing w:val="-3"/>
        </w:rPr>
        <w:t xml:space="preserve"> </w:t>
      </w:r>
      <w:r>
        <w:t>on</w:t>
      </w:r>
      <w:r>
        <w:rPr>
          <w:spacing w:val="-3"/>
        </w:rPr>
        <w:t xml:space="preserve"> </w:t>
      </w:r>
      <w:r>
        <w:t>the</w:t>
      </w:r>
      <w:r>
        <w:rPr>
          <w:spacing w:val="-3"/>
        </w:rPr>
        <w:t xml:space="preserve"> </w:t>
      </w:r>
      <w:r>
        <w:t>Incremental</w:t>
      </w:r>
      <w:r>
        <w:rPr>
          <w:spacing w:val="-3"/>
        </w:rPr>
        <w:t xml:space="preserve"> </w:t>
      </w:r>
      <w:r>
        <w:t>Savings</w:t>
      </w:r>
      <w:r>
        <w:rPr>
          <w:spacing w:val="-3"/>
        </w:rPr>
        <w:t xml:space="preserve"> </w:t>
      </w:r>
      <w:r>
        <w:t>toward</w:t>
      </w:r>
      <w:r>
        <w:rPr>
          <w:spacing w:val="-3"/>
        </w:rPr>
        <w:t xml:space="preserve"> </w:t>
      </w:r>
      <w:r>
        <w:t xml:space="preserve">2028 Target column in </w:t>
      </w:r>
      <w:hyperlink w:history="1" w:anchor="_bookmark185">
        <w:r>
          <w:t>Table 3-25</w:t>
        </w:r>
      </w:hyperlink>
      <w:r>
        <w:t xml:space="preserve"> to develop estimates of savings for the 2025-2028 Title 24.</w:t>
      </w:r>
    </w:p>
    <w:p w:rsidR="00C31389" w:rsidRDefault="00561FBD" w14:paraId="04F96803" w14:textId="77777777">
      <w:pPr>
        <w:pStyle w:val="BodyText"/>
        <w:spacing w:before="1"/>
        <w:ind w:left="480" w:right="533"/>
      </w:pPr>
      <w:r>
        <w:t>NOMAD</w:t>
      </w:r>
      <w:r>
        <w:rPr>
          <w:spacing w:val="-4"/>
        </w:rPr>
        <w:t xml:space="preserve"> </w:t>
      </w:r>
      <w:r>
        <w:t>factors</w:t>
      </w:r>
      <w:r>
        <w:rPr>
          <w:spacing w:val="-3"/>
        </w:rPr>
        <w:t xml:space="preserve"> </w:t>
      </w:r>
      <w:r>
        <w:t>for</w:t>
      </w:r>
      <w:r>
        <w:rPr>
          <w:spacing w:val="-3"/>
        </w:rPr>
        <w:t xml:space="preserve"> </w:t>
      </w:r>
      <w:r>
        <w:t>2025-2028</w:t>
      </w:r>
      <w:r>
        <w:rPr>
          <w:spacing w:val="-3"/>
        </w:rPr>
        <w:t xml:space="preserve"> </w:t>
      </w:r>
      <w:r>
        <w:t>Title</w:t>
      </w:r>
      <w:r>
        <w:rPr>
          <w:spacing w:val="-4"/>
        </w:rPr>
        <w:t xml:space="preserve"> </w:t>
      </w:r>
      <w:r>
        <w:t>24</w:t>
      </w:r>
      <w:r>
        <w:rPr>
          <w:spacing w:val="-3"/>
        </w:rPr>
        <w:t xml:space="preserve"> </w:t>
      </w:r>
      <w:r>
        <w:t>were</w:t>
      </w:r>
      <w:r>
        <w:rPr>
          <w:spacing w:val="-3"/>
        </w:rPr>
        <w:t xml:space="preserve"> </w:t>
      </w:r>
      <w:r>
        <w:t>adapted</w:t>
      </w:r>
      <w:r>
        <w:rPr>
          <w:spacing w:val="-3"/>
        </w:rPr>
        <w:t xml:space="preserve"> </w:t>
      </w:r>
      <w:r>
        <w:t>from</w:t>
      </w:r>
      <w:r>
        <w:rPr>
          <w:spacing w:val="-4"/>
        </w:rPr>
        <w:t xml:space="preserve"> </w:t>
      </w:r>
      <w:r>
        <w:t>2019</w:t>
      </w:r>
      <w:r>
        <w:rPr>
          <w:spacing w:val="-3"/>
        </w:rPr>
        <w:t xml:space="preserve"> </w:t>
      </w:r>
      <w:r>
        <w:t>Title</w:t>
      </w:r>
      <w:r>
        <w:rPr>
          <w:spacing w:val="-3"/>
        </w:rPr>
        <w:t xml:space="preserve"> </w:t>
      </w:r>
      <w:r>
        <w:t>24</w:t>
      </w:r>
      <w:r>
        <w:rPr>
          <w:spacing w:val="-4"/>
        </w:rPr>
        <w:t xml:space="preserve"> </w:t>
      </w:r>
      <w:r>
        <w:t>and</w:t>
      </w:r>
      <w:r>
        <w:rPr>
          <w:spacing w:val="-3"/>
        </w:rPr>
        <w:t xml:space="preserve"> </w:t>
      </w:r>
      <w:r>
        <w:t>time-shifted</w:t>
      </w:r>
      <w:r>
        <w:rPr>
          <w:spacing w:val="-3"/>
        </w:rPr>
        <w:t xml:space="preserve"> </w:t>
      </w:r>
      <w:r>
        <w:t>to</w:t>
      </w:r>
      <w:r>
        <w:rPr>
          <w:spacing w:val="-3"/>
        </w:rPr>
        <w:t xml:space="preserve"> </w:t>
      </w:r>
      <w:r>
        <w:t>an appropriate start date.</w:t>
      </w:r>
    </w:p>
    <w:p w:rsidR="00C31389" w:rsidRDefault="00C31389" w14:paraId="6F17FB87" w14:textId="77777777">
      <w:pPr>
        <w:pStyle w:val="BodyText"/>
        <w:spacing w:before="10"/>
        <w:rPr>
          <w:sz w:val="20"/>
        </w:rPr>
      </w:pPr>
    </w:p>
    <w:p w:rsidR="00C31389" w:rsidRDefault="00561FBD" w14:paraId="06194BFA" w14:textId="77777777">
      <w:pPr>
        <w:pStyle w:val="Heading2"/>
        <w:numPr>
          <w:ilvl w:val="1"/>
          <w:numId w:val="71"/>
        </w:numPr>
        <w:tabs>
          <w:tab w:val="left" w:pos="945"/>
        </w:tabs>
        <w:ind w:left="945" w:hanging="465"/>
      </w:pPr>
      <w:bookmarkStart w:name="3.8_BROs_EE" w:id="246"/>
      <w:bookmarkStart w:name="_bookmark186" w:id="247"/>
      <w:bookmarkEnd w:id="246"/>
      <w:bookmarkEnd w:id="247"/>
      <w:r>
        <w:t>BROs</w:t>
      </w:r>
      <w:r>
        <w:rPr>
          <w:spacing w:val="-10"/>
        </w:rPr>
        <w:t xml:space="preserve"> </w:t>
      </w:r>
      <w:r>
        <w:rPr>
          <w:spacing w:val="-7"/>
        </w:rPr>
        <w:t>EE</w:t>
      </w:r>
    </w:p>
    <w:p w:rsidR="00C31389" w:rsidRDefault="00561FBD" w14:paraId="138478E2" w14:textId="77777777">
      <w:pPr>
        <w:pStyle w:val="BodyText"/>
        <w:spacing w:before="240"/>
        <w:ind w:left="480"/>
      </w:pPr>
      <w:r>
        <w:t>To forecast customer BROs energy sa</w:t>
      </w:r>
      <w:r>
        <w:t>vings, the Guidehouse team considered a wide range of behavioral</w:t>
      </w:r>
      <w:r>
        <w:rPr>
          <w:spacing w:val="-4"/>
        </w:rPr>
        <w:t xml:space="preserve"> </w:t>
      </w:r>
      <w:r>
        <w:t>intervention</w:t>
      </w:r>
      <w:r>
        <w:rPr>
          <w:spacing w:val="-4"/>
        </w:rPr>
        <w:t xml:space="preserve"> </w:t>
      </w:r>
      <w:r>
        <w:t>types</w:t>
      </w:r>
      <w:r>
        <w:rPr>
          <w:spacing w:val="-4"/>
        </w:rPr>
        <w:t xml:space="preserve"> </w:t>
      </w:r>
      <w:r>
        <w:t>for</w:t>
      </w:r>
      <w:r>
        <w:rPr>
          <w:spacing w:val="-4"/>
        </w:rPr>
        <w:t xml:space="preserve"> </w:t>
      </w:r>
      <w:r>
        <w:t>residential</w:t>
      </w:r>
      <w:r>
        <w:rPr>
          <w:spacing w:val="-4"/>
        </w:rPr>
        <w:t xml:space="preserve"> </w:t>
      </w:r>
      <w:r>
        <w:t>and</w:t>
      </w:r>
      <w:r>
        <w:rPr>
          <w:spacing w:val="-5"/>
        </w:rPr>
        <w:t xml:space="preserve"> </w:t>
      </w:r>
      <w:r>
        <w:t>commercial</w:t>
      </w:r>
      <w:r>
        <w:rPr>
          <w:spacing w:val="-4"/>
        </w:rPr>
        <w:t xml:space="preserve"> </w:t>
      </w:r>
      <w:r>
        <w:t>customers.</w:t>
      </w:r>
      <w:r>
        <w:rPr>
          <w:spacing w:val="-4"/>
        </w:rPr>
        <w:t xml:space="preserve"> </w:t>
      </w:r>
      <w:hyperlink w:history="1" w:anchor="_bookmark187">
        <w:r>
          <w:t>Figure</w:t>
        </w:r>
        <w:r>
          <w:rPr>
            <w:spacing w:val="-4"/>
          </w:rPr>
          <w:t xml:space="preserve"> </w:t>
        </w:r>
        <w:r>
          <w:t>3-6</w:t>
        </w:r>
      </w:hyperlink>
      <w:r>
        <w:rPr>
          <w:spacing w:val="-4"/>
        </w:rPr>
        <w:t xml:space="preserve"> </w:t>
      </w:r>
      <w:r>
        <w:t>illustrates</w:t>
      </w:r>
      <w:r>
        <w:rPr>
          <w:spacing w:val="-4"/>
        </w:rPr>
        <w:t xml:space="preserve"> </w:t>
      </w:r>
      <w:r>
        <w:t>the process used to update BROs measures i</w:t>
      </w:r>
      <w:r>
        <w:t>n the 2023 Study.</w:t>
      </w:r>
    </w:p>
    <w:p w:rsidR="00C31389" w:rsidRDefault="00C31389" w14:paraId="5C1E3F61" w14:textId="77777777">
      <w:pPr>
        <w:pStyle w:val="BodyText"/>
        <w:spacing w:before="10"/>
        <w:rPr>
          <w:sz w:val="20"/>
        </w:rPr>
      </w:pPr>
    </w:p>
    <w:p w:rsidR="00C31389" w:rsidRDefault="00561FBD" w14:paraId="0F725ECF" w14:textId="77777777">
      <w:pPr>
        <w:pStyle w:val="Heading7"/>
        <w:ind w:left="566" w:right="566"/>
        <w:jc w:val="center"/>
      </w:pPr>
      <w:bookmarkStart w:name="_bookmark187" w:id="248"/>
      <w:bookmarkEnd w:id="248"/>
      <w:r>
        <w:t>Figure</w:t>
      </w:r>
      <w:r>
        <w:rPr>
          <w:spacing w:val="-8"/>
        </w:rPr>
        <w:t xml:space="preserve"> </w:t>
      </w:r>
      <w:r>
        <w:t>3-6.</w:t>
      </w:r>
      <w:r>
        <w:rPr>
          <w:spacing w:val="-8"/>
        </w:rPr>
        <w:t xml:space="preserve"> </w:t>
      </w:r>
      <w:r>
        <w:t>Selection</w:t>
      </w:r>
      <w:r>
        <w:rPr>
          <w:spacing w:val="-8"/>
        </w:rPr>
        <w:t xml:space="preserve"> </w:t>
      </w:r>
      <w:r>
        <w:t>Process</w:t>
      </w:r>
      <w:r>
        <w:rPr>
          <w:spacing w:val="-8"/>
        </w:rPr>
        <w:t xml:space="preserve"> </w:t>
      </w:r>
      <w:r>
        <w:t>for</w:t>
      </w:r>
      <w:r>
        <w:rPr>
          <w:spacing w:val="-8"/>
        </w:rPr>
        <w:t xml:space="preserve"> </w:t>
      </w:r>
      <w:r>
        <w:t>Residential</w:t>
      </w:r>
      <w:r>
        <w:rPr>
          <w:spacing w:val="-8"/>
        </w:rPr>
        <w:t xml:space="preserve"> </w:t>
      </w:r>
      <w:r>
        <w:t>and</w:t>
      </w:r>
      <w:r>
        <w:rPr>
          <w:spacing w:val="-8"/>
        </w:rPr>
        <w:t xml:space="preserve"> </w:t>
      </w:r>
      <w:r>
        <w:t>Commercial</w:t>
      </w:r>
      <w:r>
        <w:rPr>
          <w:spacing w:val="-8"/>
        </w:rPr>
        <w:t xml:space="preserve"> </w:t>
      </w:r>
      <w:r>
        <w:t>BROs</w:t>
      </w:r>
      <w:r>
        <w:rPr>
          <w:spacing w:val="-8"/>
        </w:rPr>
        <w:t xml:space="preserve"> </w:t>
      </w:r>
      <w:r>
        <w:t>EE</w:t>
      </w:r>
      <w:r>
        <w:rPr>
          <w:spacing w:val="-8"/>
        </w:rPr>
        <w:t xml:space="preserve"> </w:t>
      </w:r>
      <w:r>
        <w:rPr>
          <w:spacing w:val="-2"/>
        </w:rPr>
        <w:t>Programs</w:t>
      </w:r>
    </w:p>
    <w:p w:rsidR="00C31389" w:rsidRDefault="00561FBD" w14:paraId="31ABD443" w14:textId="77777777">
      <w:pPr>
        <w:pStyle w:val="BodyText"/>
        <w:spacing w:before="10"/>
        <w:rPr>
          <w:b/>
          <w:sz w:val="9"/>
        </w:rPr>
      </w:pPr>
      <w:r>
        <w:rPr>
          <w:noProof/>
        </w:rPr>
        <w:drawing>
          <wp:anchor distT="0" distB="0" distL="0" distR="0" simplePos="0" relativeHeight="487654400" behindDoc="1" locked="0" layoutInCell="1" allowOverlap="1" wp14:editId="2628D1E2" wp14:anchorId="6D45B475">
            <wp:simplePos x="0" y="0"/>
            <wp:positionH relativeFrom="page">
              <wp:posOffset>981433</wp:posOffset>
            </wp:positionH>
            <wp:positionV relativeFrom="paragraph">
              <wp:posOffset>87406</wp:posOffset>
            </wp:positionV>
            <wp:extent cx="5812189" cy="2388393"/>
            <wp:effectExtent l="0" t="0" r="0" b="0"/>
            <wp:wrapTopAndBottom/>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50" cstate="print"/>
                    <a:stretch>
                      <a:fillRect/>
                    </a:stretch>
                  </pic:blipFill>
                  <pic:spPr>
                    <a:xfrm>
                      <a:off x="0" y="0"/>
                      <a:ext cx="5812189" cy="2388393"/>
                    </a:xfrm>
                    <a:prstGeom prst="rect">
                      <a:avLst/>
                    </a:prstGeom>
                  </pic:spPr>
                </pic:pic>
              </a:graphicData>
            </a:graphic>
          </wp:anchor>
        </w:drawing>
      </w:r>
    </w:p>
    <w:p w:rsidR="00C31389" w:rsidRDefault="00C31389" w14:paraId="27FAD67F" w14:textId="77777777">
      <w:pPr>
        <w:pStyle w:val="BodyText"/>
        <w:rPr>
          <w:b/>
          <w:sz w:val="24"/>
        </w:rPr>
      </w:pPr>
    </w:p>
    <w:p w:rsidR="00C31389" w:rsidRDefault="00561FBD" w14:paraId="5D039CE7" w14:textId="77777777">
      <w:pPr>
        <w:spacing w:before="175"/>
        <w:ind w:left="480"/>
        <w:rPr>
          <w:i/>
          <w:sz w:val="18"/>
        </w:rPr>
      </w:pPr>
      <w:r>
        <w:rPr>
          <w:i/>
          <w:sz w:val="18"/>
        </w:rPr>
        <w:t>Source:</w:t>
      </w:r>
      <w:r>
        <w:rPr>
          <w:i/>
          <w:spacing w:val="-4"/>
          <w:sz w:val="18"/>
        </w:rPr>
        <w:t xml:space="preserve"> </w:t>
      </w:r>
      <w:r>
        <w:rPr>
          <w:i/>
          <w:spacing w:val="-2"/>
          <w:sz w:val="18"/>
        </w:rPr>
        <w:t>Guidehouse</w:t>
      </w:r>
    </w:p>
    <w:p w:rsidR="00C31389" w:rsidRDefault="00C31389" w14:paraId="6EA730CB" w14:textId="77777777">
      <w:pPr>
        <w:pStyle w:val="BodyText"/>
        <w:rPr>
          <w:i/>
          <w:sz w:val="20"/>
        </w:rPr>
      </w:pPr>
    </w:p>
    <w:p w:rsidR="00C31389" w:rsidRDefault="00561FBD" w14:paraId="1F07C4A6" w14:textId="77777777">
      <w:pPr>
        <w:pStyle w:val="BodyText"/>
        <w:rPr>
          <w:i/>
          <w:sz w:val="23"/>
        </w:rPr>
      </w:pPr>
      <w:r>
        <w:rPr>
          <w:noProof/>
        </w:rPr>
        <mc:AlternateContent>
          <mc:Choice Requires="wps">
            <w:drawing>
              <wp:anchor distT="0" distB="0" distL="0" distR="0" simplePos="0" relativeHeight="487654912" behindDoc="1" locked="0" layoutInCell="1" allowOverlap="1" wp14:editId="704DD2FF" wp14:anchorId="07089BCE">
                <wp:simplePos x="0" y="0"/>
                <wp:positionH relativeFrom="page">
                  <wp:posOffset>914400</wp:posOffset>
                </wp:positionH>
                <wp:positionV relativeFrom="paragraph">
                  <wp:posOffset>183412</wp:posOffset>
                </wp:positionV>
                <wp:extent cx="1828800" cy="6985"/>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14" style="position:absolute;margin-left:1in;margin-top:14.45pt;width:2in;height:.55pt;z-index:-1566156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" w14:anchorId="396CCBA5">
                <v:path arrowok="t"/>
                <w10:wrap type="topAndBottom" anchorx="page"/>
              </v:shape>
            </w:pict>
          </mc:Fallback>
        </mc:AlternateContent>
      </w:r>
    </w:p>
    <w:p w:rsidR="00C31389" w:rsidRDefault="00561FBD" w14:paraId="080FD32C" w14:textId="77777777">
      <w:pPr>
        <w:spacing w:before="88"/>
        <w:ind w:left="480" w:right="629" w:hanging="1"/>
        <w:rPr>
          <w:sz w:val="18"/>
        </w:rPr>
      </w:pPr>
      <w:bookmarkStart w:name="_bookmark188" w:id="249"/>
      <w:bookmarkEnd w:id="249"/>
      <w:r>
        <w:rPr>
          <w:position w:val="6"/>
          <w:sz w:val="12"/>
        </w:rPr>
        <w:t>65</w:t>
      </w:r>
      <w:r>
        <w:rPr>
          <w:spacing w:val="14"/>
          <w:position w:val="6"/>
          <w:sz w:val="12"/>
        </w:rPr>
        <w:t xml:space="preserve"> </w:t>
      </w:r>
      <w:r>
        <w:rPr>
          <w:sz w:val="18"/>
        </w:rPr>
        <w:t>Opinion</w:t>
      </w:r>
      <w:r>
        <w:rPr>
          <w:spacing w:val="-4"/>
          <w:sz w:val="18"/>
        </w:rPr>
        <w:t xml:space="preserve"> </w:t>
      </w:r>
      <w:r>
        <w:rPr>
          <w:sz w:val="18"/>
        </w:rPr>
        <w:t>Dynamics,</w:t>
      </w:r>
      <w:r>
        <w:rPr>
          <w:spacing w:val="-3"/>
          <w:sz w:val="18"/>
        </w:rPr>
        <w:t xml:space="preserve"> </w:t>
      </w:r>
      <w:r>
        <w:rPr>
          <w:i/>
          <w:sz w:val="18"/>
        </w:rPr>
        <w:t>Final</w:t>
      </w:r>
      <w:r>
        <w:rPr>
          <w:i/>
          <w:spacing w:val="-3"/>
          <w:sz w:val="18"/>
        </w:rPr>
        <w:t xml:space="preserve"> </w:t>
      </w:r>
      <w:r>
        <w:rPr>
          <w:i/>
          <w:sz w:val="18"/>
        </w:rPr>
        <w:t>Report:</w:t>
      </w:r>
      <w:r>
        <w:rPr>
          <w:i/>
          <w:spacing w:val="-3"/>
          <w:sz w:val="18"/>
        </w:rPr>
        <w:t xml:space="preserve"> </w:t>
      </w:r>
      <w:r>
        <w:rPr>
          <w:i/>
          <w:sz w:val="18"/>
        </w:rPr>
        <w:t>Appliance</w:t>
      </w:r>
      <w:r>
        <w:rPr>
          <w:i/>
          <w:spacing w:val="-2"/>
          <w:sz w:val="18"/>
        </w:rPr>
        <w:t xml:space="preserve"> </w:t>
      </w:r>
      <w:r>
        <w:rPr>
          <w:i/>
          <w:sz w:val="18"/>
        </w:rPr>
        <w:t>Standards</w:t>
      </w:r>
      <w:r>
        <w:rPr>
          <w:i/>
          <w:spacing w:val="-3"/>
          <w:sz w:val="18"/>
        </w:rPr>
        <w:t xml:space="preserve"> </w:t>
      </w:r>
      <w:r>
        <w:rPr>
          <w:i/>
          <w:sz w:val="18"/>
        </w:rPr>
        <w:t>Vol.</w:t>
      </w:r>
      <w:r>
        <w:rPr>
          <w:i/>
          <w:spacing w:val="-3"/>
          <w:sz w:val="18"/>
        </w:rPr>
        <w:t xml:space="preserve"> </w:t>
      </w:r>
      <w:r>
        <w:rPr>
          <w:i/>
          <w:sz w:val="18"/>
        </w:rPr>
        <w:t>1</w:t>
      </w:r>
      <w:r>
        <w:rPr>
          <w:i/>
          <w:spacing w:val="-4"/>
          <w:sz w:val="18"/>
        </w:rPr>
        <w:t xml:space="preserve"> </w:t>
      </w:r>
      <w:r>
        <w:rPr>
          <w:i/>
          <w:sz w:val="18"/>
        </w:rPr>
        <w:t>CPUC</w:t>
      </w:r>
      <w:r>
        <w:rPr>
          <w:i/>
          <w:spacing w:val="-3"/>
          <w:sz w:val="18"/>
        </w:rPr>
        <w:t xml:space="preserve"> </w:t>
      </w:r>
      <w:r>
        <w:rPr>
          <w:i/>
          <w:sz w:val="18"/>
        </w:rPr>
        <w:t>Energy</w:t>
      </w:r>
      <w:r>
        <w:rPr>
          <w:i/>
          <w:spacing w:val="-3"/>
          <w:sz w:val="18"/>
        </w:rPr>
        <w:t xml:space="preserve"> </w:t>
      </w:r>
      <w:r>
        <w:rPr>
          <w:i/>
          <w:sz w:val="18"/>
        </w:rPr>
        <w:t>Efficiency</w:t>
      </w:r>
      <w:r>
        <w:rPr>
          <w:i/>
          <w:spacing w:val="-3"/>
          <w:sz w:val="18"/>
        </w:rPr>
        <w:t xml:space="preserve"> </w:t>
      </w:r>
      <w:r>
        <w:rPr>
          <w:i/>
          <w:sz w:val="18"/>
        </w:rPr>
        <w:t>Program</w:t>
      </w:r>
      <w:r>
        <w:rPr>
          <w:i/>
          <w:spacing w:val="-3"/>
          <w:sz w:val="18"/>
        </w:rPr>
        <w:t xml:space="preserve"> </w:t>
      </w:r>
      <w:r>
        <w:rPr>
          <w:i/>
          <w:sz w:val="18"/>
        </w:rPr>
        <w:t>Evaluation</w:t>
      </w:r>
      <w:r>
        <w:rPr>
          <w:i/>
          <w:spacing w:val="-4"/>
          <w:sz w:val="18"/>
        </w:rPr>
        <w:t xml:space="preserve"> </w:t>
      </w:r>
      <w:r>
        <w:rPr>
          <w:i/>
          <w:sz w:val="18"/>
        </w:rPr>
        <w:t xml:space="preserve">of Group B Sectors, </w:t>
      </w:r>
      <w:r>
        <w:rPr>
          <w:sz w:val="18"/>
        </w:rPr>
        <w:t>May 21, 2021, Table 13.</w:t>
      </w:r>
    </w:p>
    <w:p w:rsidR="00C31389" w:rsidRDefault="00C31389" w14:paraId="622501AB" w14:textId="77777777">
      <w:pPr>
        <w:rPr>
          <w:sz w:val="18"/>
        </w:rPr>
        <w:sectPr w:rsidR="00C31389">
          <w:headerReference w:type="default" r:id="rId151"/>
          <w:footerReference w:type="default" r:id="rId152"/>
          <w:pgSz w:w="12240" w:h="15840"/>
          <w:pgMar w:top="1660" w:right="960" w:bottom="1120" w:left="960" w:header="397" w:footer="936" w:gutter="0"/>
          <w:cols w:space="720"/>
        </w:sectPr>
      </w:pPr>
    </w:p>
    <w:p w:rsidR="00C31389" w:rsidRDefault="00C31389" w14:paraId="40BDF049" w14:textId="77777777">
      <w:pPr>
        <w:pStyle w:val="BodyText"/>
        <w:spacing w:before="11"/>
        <w:rPr>
          <w:sz w:val="13"/>
        </w:rPr>
      </w:pPr>
    </w:p>
    <w:p w:rsidR="00C31389" w:rsidRDefault="00561FBD" w14:paraId="51B80153" w14:textId="77777777">
      <w:pPr>
        <w:pStyle w:val="BodyText"/>
        <w:spacing w:before="92"/>
        <w:ind w:left="479" w:right="520"/>
      </w:pPr>
      <w:r>
        <w:rPr>
          <w:b/>
        </w:rPr>
        <w:t xml:space="preserve">Step 1: Identify new sources and screen programs. </w:t>
      </w:r>
      <w:r>
        <w:t>The first step in the BROs update process was to determine which previously characterized behavioral programs had new and relevant</w:t>
      </w:r>
      <w:r>
        <w:rPr>
          <w:spacing w:val="-1"/>
        </w:rPr>
        <w:t xml:space="preserve"> </w:t>
      </w:r>
      <w:r>
        <w:t>available</w:t>
      </w:r>
      <w:r>
        <w:rPr>
          <w:spacing w:val="-1"/>
        </w:rPr>
        <w:t xml:space="preserve"> </w:t>
      </w:r>
      <w:r>
        <w:t>data.</w:t>
      </w:r>
      <w:r>
        <w:rPr>
          <w:spacing w:val="-2"/>
        </w:rPr>
        <w:t xml:space="preserve"> </w:t>
      </w:r>
      <w:r>
        <w:t>The</w:t>
      </w:r>
      <w:r>
        <w:rPr>
          <w:spacing w:val="-1"/>
        </w:rPr>
        <w:t xml:space="preserve"> </w:t>
      </w:r>
      <w:r>
        <w:t>team</w:t>
      </w:r>
      <w:r>
        <w:rPr>
          <w:spacing w:val="-2"/>
        </w:rPr>
        <w:t xml:space="preserve"> </w:t>
      </w:r>
      <w:r>
        <w:t>kept</w:t>
      </w:r>
      <w:r>
        <w:rPr>
          <w:spacing w:val="-1"/>
        </w:rPr>
        <w:t xml:space="preserve"> </w:t>
      </w:r>
      <w:r>
        <w:t>the</w:t>
      </w:r>
      <w:r>
        <w:rPr>
          <w:spacing w:val="-1"/>
        </w:rPr>
        <w:t xml:space="preserve"> </w:t>
      </w:r>
      <w:r>
        <w:t>same</w:t>
      </w:r>
      <w:r>
        <w:rPr>
          <w:spacing w:val="-1"/>
        </w:rPr>
        <w:t xml:space="preserve"> </w:t>
      </w:r>
      <w:r>
        <w:t>broad</w:t>
      </w:r>
      <w:r>
        <w:rPr>
          <w:spacing w:val="-1"/>
        </w:rPr>
        <w:t xml:space="preserve"> </w:t>
      </w:r>
      <w:r>
        <w:t>list</w:t>
      </w:r>
      <w:r>
        <w:rPr>
          <w:spacing w:val="-1"/>
        </w:rPr>
        <w:t xml:space="preserve"> </w:t>
      </w:r>
      <w:r>
        <w:t>of</w:t>
      </w:r>
      <w:r>
        <w:rPr>
          <w:spacing w:val="-2"/>
        </w:rPr>
        <w:t xml:space="preserve"> </w:t>
      </w:r>
      <w:r>
        <w:t>13</w:t>
      </w:r>
      <w:r>
        <w:rPr>
          <w:spacing w:val="-1"/>
        </w:rPr>
        <w:t xml:space="preserve"> </w:t>
      </w:r>
      <w:r>
        <w:t>BROs</w:t>
      </w:r>
      <w:r>
        <w:rPr>
          <w:spacing w:val="-1"/>
        </w:rPr>
        <w:t xml:space="preserve"> </w:t>
      </w:r>
      <w:r>
        <w:t>measures</w:t>
      </w:r>
      <w:r>
        <w:rPr>
          <w:spacing w:val="-1"/>
        </w:rPr>
        <w:t xml:space="preserve"> </w:t>
      </w:r>
      <w:r>
        <w:t>from</w:t>
      </w:r>
      <w:r>
        <w:rPr>
          <w:spacing w:val="-2"/>
        </w:rPr>
        <w:t xml:space="preserve"> </w:t>
      </w:r>
      <w:r>
        <w:t>the</w:t>
      </w:r>
      <w:r>
        <w:rPr>
          <w:spacing w:val="-1"/>
        </w:rPr>
        <w:t xml:space="preserve"> </w:t>
      </w:r>
      <w:r>
        <w:t>2021 Study</w:t>
      </w:r>
      <w:r>
        <w:rPr>
          <w:spacing w:val="-2"/>
        </w:rPr>
        <w:t xml:space="preserve"> </w:t>
      </w:r>
      <w:r>
        <w:t>and</w:t>
      </w:r>
      <w:r>
        <w:rPr>
          <w:spacing w:val="-2"/>
        </w:rPr>
        <w:t xml:space="preserve"> </w:t>
      </w:r>
      <w:r>
        <w:t>worked</w:t>
      </w:r>
      <w:r>
        <w:rPr>
          <w:spacing w:val="-2"/>
        </w:rPr>
        <w:t xml:space="preserve"> </w:t>
      </w:r>
      <w:r>
        <w:t>to</w:t>
      </w:r>
      <w:r>
        <w:rPr>
          <w:spacing w:val="-2"/>
        </w:rPr>
        <w:t xml:space="preserve"> </w:t>
      </w:r>
      <w:r>
        <w:t>identify</w:t>
      </w:r>
      <w:r>
        <w:rPr>
          <w:spacing w:val="-2"/>
        </w:rPr>
        <w:t xml:space="preserve"> </w:t>
      </w:r>
      <w:r>
        <w:t>any</w:t>
      </w:r>
      <w:r>
        <w:rPr>
          <w:spacing w:val="-1"/>
        </w:rPr>
        <w:t xml:space="preserve"> </w:t>
      </w:r>
      <w:r>
        <w:t>recently</w:t>
      </w:r>
      <w:r>
        <w:rPr>
          <w:spacing w:val="-2"/>
        </w:rPr>
        <w:t xml:space="preserve"> </w:t>
      </w:r>
      <w:r>
        <w:t>published</w:t>
      </w:r>
      <w:r>
        <w:rPr>
          <w:spacing w:val="-2"/>
        </w:rPr>
        <w:t xml:space="preserve"> </w:t>
      </w:r>
      <w:r>
        <w:t>data</w:t>
      </w:r>
      <w:r>
        <w:rPr>
          <w:spacing w:val="-2"/>
        </w:rPr>
        <w:t xml:space="preserve"> </w:t>
      </w:r>
      <w:r>
        <w:t>sources</w:t>
      </w:r>
      <w:r>
        <w:rPr>
          <w:spacing w:val="-1"/>
        </w:rPr>
        <w:t xml:space="preserve"> </w:t>
      </w:r>
      <w:r>
        <w:t>for</w:t>
      </w:r>
      <w:r>
        <w:rPr>
          <w:spacing w:val="-2"/>
        </w:rPr>
        <w:t xml:space="preserve"> </w:t>
      </w:r>
      <w:r>
        <w:t>each</w:t>
      </w:r>
      <w:r>
        <w:rPr>
          <w:spacing w:val="-3"/>
        </w:rPr>
        <w:t xml:space="preserve"> </w:t>
      </w:r>
      <w:r>
        <w:t>program.</w:t>
      </w:r>
      <w:r>
        <w:rPr>
          <w:spacing w:val="-2"/>
        </w:rPr>
        <w:t xml:space="preserve"> </w:t>
      </w:r>
      <w:r>
        <w:t>This</w:t>
      </w:r>
      <w:r>
        <w:rPr>
          <w:spacing w:val="-2"/>
        </w:rPr>
        <w:t xml:space="preserve"> </w:t>
      </w:r>
      <w:r>
        <w:t>review targeted claims or other evidence of implementation activity and sources from the broader literature. The review focused on California-spe</w:t>
      </w:r>
      <w:r>
        <w:t>cific data sources such as formal evaluations, CEDARS claims, and Annual Budget Advice Letter filings but also drew on broader sources such as the Consortium for Energy Efficiency Database, American Council for an Energy Efficient</w:t>
      </w:r>
      <w:r>
        <w:rPr>
          <w:spacing w:val="-4"/>
        </w:rPr>
        <w:t xml:space="preserve"> </w:t>
      </w:r>
      <w:r>
        <w:t>Economy</w:t>
      </w:r>
      <w:r>
        <w:rPr>
          <w:spacing w:val="-4"/>
        </w:rPr>
        <w:t xml:space="preserve"> </w:t>
      </w:r>
      <w:r>
        <w:t>proceedings,</w:t>
      </w:r>
      <w:r>
        <w:rPr>
          <w:spacing w:val="-4"/>
        </w:rPr>
        <w:t xml:space="preserve"> </w:t>
      </w:r>
      <w:r>
        <w:t>and</w:t>
      </w:r>
      <w:r>
        <w:rPr>
          <w:spacing w:val="-5"/>
        </w:rPr>
        <w:t xml:space="preserve"> </w:t>
      </w:r>
      <w:r>
        <w:t>Behavior,</w:t>
      </w:r>
      <w:r>
        <w:rPr>
          <w:spacing w:val="-4"/>
        </w:rPr>
        <w:t xml:space="preserve"> </w:t>
      </w:r>
      <w:r>
        <w:t>Energy</w:t>
      </w:r>
      <w:r>
        <w:rPr>
          <w:spacing w:val="-4"/>
        </w:rPr>
        <w:t xml:space="preserve"> </w:t>
      </w:r>
      <w:r>
        <w:t>&amp;</w:t>
      </w:r>
      <w:r>
        <w:rPr>
          <w:spacing w:val="-4"/>
        </w:rPr>
        <w:t xml:space="preserve"> </w:t>
      </w:r>
      <w:r>
        <w:t>Climate</w:t>
      </w:r>
      <w:r>
        <w:rPr>
          <w:spacing w:val="-4"/>
        </w:rPr>
        <w:t xml:space="preserve"> </w:t>
      </w:r>
      <w:r>
        <w:t>Change</w:t>
      </w:r>
      <w:r>
        <w:rPr>
          <w:spacing w:val="-4"/>
        </w:rPr>
        <w:t xml:space="preserve"> </w:t>
      </w:r>
      <w:r>
        <w:t>Conference</w:t>
      </w:r>
      <w:r>
        <w:rPr>
          <w:spacing w:val="-4"/>
        </w:rPr>
        <w:t xml:space="preserve"> </w:t>
      </w:r>
      <w:r>
        <w:t>materials. For most programs, there was little new data or evidence of implementation to warrant significant updates to the program inputs.</w:t>
      </w:r>
    </w:p>
    <w:p w:rsidR="00C31389" w:rsidRDefault="00C31389" w14:paraId="1B17C112" w14:textId="77777777">
      <w:pPr>
        <w:pStyle w:val="BodyText"/>
        <w:spacing w:before="10"/>
        <w:rPr>
          <w:sz w:val="20"/>
        </w:rPr>
      </w:pPr>
    </w:p>
    <w:p w:rsidR="00C31389" w:rsidRDefault="00561FBD" w14:paraId="795682F0" w14:textId="77777777">
      <w:pPr>
        <w:pStyle w:val="BodyText"/>
        <w:spacing w:before="1"/>
        <w:ind w:left="479" w:right="533"/>
      </w:pPr>
      <w:r>
        <w:rPr>
          <w:b/>
        </w:rPr>
        <w:t xml:space="preserve">Step 2: Update program inputs. </w:t>
      </w:r>
      <w:r>
        <w:t xml:space="preserve">For most of the BROs programs, the </w:t>
      </w:r>
      <w:r>
        <w:t>review in Step 1 indicated</w:t>
      </w:r>
      <w:r>
        <w:rPr>
          <w:spacing w:val="-3"/>
        </w:rPr>
        <w:t xml:space="preserve"> </w:t>
      </w:r>
      <w:r>
        <w:t>that</w:t>
      </w:r>
      <w:r>
        <w:rPr>
          <w:spacing w:val="-3"/>
        </w:rPr>
        <w:t xml:space="preserve"> </w:t>
      </w:r>
      <w:r>
        <w:t>thorough</w:t>
      </w:r>
      <w:r>
        <w:rPr>
          <w:spacing w:val="-4"/>
        </w:rPr>
        <w:t xml:space="preserve"> </w:t>
      </w:r>
      <w:r>
        <w:t>or</w:t>
      </w:r>
      <w:r>
        <w:rPr>
          <w:spacing w:val="-3"/>
        </w:rPr>
        <w:t xml:space="preserve"> </w:t>
      </w:r>
      <w:r>
        <w:t>significant</w:t>
      </w:r>
      <w:r>
        <w:rPr>
          <w:spacing w:val="-3"/>
        </w:rPr>
        <w:t xml:space="preserve"> </w:t>
      </w:r>
      <w:r>
        <w:t>updates</w:t>
      </w:r>
      <w:r>
        <w:rPr>
          <w:spacing w:val="-3"/>
        </w:rPr>
        <w:t xml:space="preserve"> </w:t>
      </w:r>
      <w:r>
        <w:t>were</w:t>
      </w:r>
      <w:r>
        <w:rPr>
          <w:spacing w:val="-3"/>
        </w:rPr>
        <w:t xml:space="preserve"> </w:t>
      </w:r>
      <w:r>
        <w:t>not</w:t>
      </w:r>
      <w:r>
        <w:rPr>
          <w:spacing w:val="-3"/>
        </w:rPr>
        <w:t xml:space="preserve"> </w:t>
      </w:r>
      <w:r>
        <w:t>needed.</w:t>
      </w:r>
      <w:r>
        <w:rPr>
          <w:spacing w:val="-3"/>
        </w:rPr>
        <w:t xml:space="preserve"> </w:t>
      </w:r>
      <w:r>
        <w:t>For</w:t>
      </w:r>
      <w:r>
        <w:rPr>
          <w:spacing w:val="-3"/>
        </w:rPr>
        <w:t xml:space="preserve"> </w:t>
      </w:r>
      <w:r>
        <w:t>these</w:t>
      </w:r>
      <w:r>
        <w:rPr>
          <w:spacing w:val="-3"/>
        </w:rPr>
        <w:t xml:space="preserve"> </w:t>
      </w:r>
      <w:r>
        <w:t>programs,</w:t>
      </w:r>
      <w:r>
        <w:rPr>
          <w:spacing w:val="-3"/>
        </w:rPr>
        <w:t xml:space="preserve"> </w:t>
      </w:r>
      <w:r>
        <w:t>the</w:t>
      </w:r>
      <w:r>
        <w:rPr>
          <w:spacing w:val="-3"/>
        </w:rPr>
        <w:t xml:space="preserve"> </w:t>
      </w:r>
      <w:r>
        <w:t xml:space="preserve">inputs used were largely the same as those in the 2021 Study. Prior to passing through the data and inputs from the previous study, the team performed </w:t>
      </w:r>
      <w:r>
        <w:t>a basic quality assurance/quality control (QA/QC) review of the inputs and made any minor updates as needed. The QA/QC process included extending the forecast period out to 2035 and, for programs with little evidence of implementation through 2022, updatin</w:t>
      </w:r>
      <w:r>
        <w:t>g the starting year in which non-zero penetration rate begins to 2023.</w:t>
      </w:r>
    </w:p>
    <w:p w:rsidR="00C31389" w:rsidRDefault="00C31389" w14:paraId="06EA2242" w14:textId="77777777">
      <w:pPr>
        <w:pStyle w:val="BodyText"/>
        <w:spacing w:before="9"/>
        <w:rPr>
          <w:sz w:val="20"/>
        </w:rPr>
      </w:pPr>
    </w:p>
    <w:p w:rsidR="00C31389" w:rsidRDefault="00561FBD" w14:paraId="5F30F532" w14:textId="77777777">
      <w:pPr>
        <w:pStyle w:val="BodyText"/>
        <w:ind w:left="480" w:right="533"/>
      </w:pPr>
      <w:r>
        <w:t>Based</w:t>
      </w:r>
      <w:r>
        <w:rPr>
          <w:spacing w:val="-3"/>
        </w:rPr>
        <w:t xml:space="preserve"> </w:t>
      </w:r>
      <w:r>
        <w:t>on</w:t>
      </w:r>
      <w:r>
        <w:rPr>
          <w:spacing w:val="-3"/>
        </w:rPr>
        <w:t xml:space="preserve"> </w:t>
      </w:r>
      <w:r>
        <w:t>the</w:t>
      </w:r>
      <w:r>
        <w:rPr>
          <w:spacing w:val="-3"/>
        </w:rPr>
        <w:t xml:space="preserve"> </w:t>
      </w:r>
      <w:r>
        <w:t>review</w:t>
      </w:r>
      <w:r>
        <w:rPr>
          <w:spacing w:val="-4"/>
        </w:rPr>
        <w:t xml:space="preserve"> </w:t>
      </w:r>
      <w:r>
        <w:t>in</w:t>
      </w:r>
      <w:r>
        <w:rPr>
          <w:spacing w:val="-4"/>
        </w:rPr>
        <w:t xml:space="preserve"> </w:t>
      </w:r>
      <w:r>
        <w:t>Step</w:t>
      </w:r>
      <w:r>
        <w:rPr>
          <w:spacing w:val="-3"/>
        </w:rPr>
        <w:t xml:space="preserve"> </w:t>
      </w:r>
      <w:r>
        <w:t>1,</w:t>
      </w:r>
      <w:r>
        <w:rPr>
          <w:spacing w:val="-3"/>
        </w:rPr>
        <w:t xml:space="preserve"> </w:t>
      </w:r>
      <w:r>
        <w:t>the</w:t>
      </w:r>
      <w:r>
        <w:rPr>
          <w:spacing w:val="-3"/>
        </w:rPr>
        <w:t xml:space="preserve"> </w:t>
      </w:r>
      <w:r>
        <w:t>Guidehouse</w:t>
      </w:r>
      <w:r>
        <w:rPr>
          <w:spacing w:val="-3"/>
        </w:rPr>
        <w:t xml:space="preserve"> </w:t>
      </w:r>
      <w:r>
        <w:t>team</w:t>
      </w:r>
      <w:r>
        <w:rPr>
          <w:spacing w:val="-4"/>
        </w:rPr>
        <w:t xml:space="preserve"> </w:t>
      </w:r>
      <w:r>
        <w:t>identified</w:t>
      </w:r>
      <w:r>
        <w:rPr>
          <w:spacing w:val="-3"/>
        </w:rPr>
        <w:t xml:space="preserve"> </w:t>
      </w:r>
      <w:r>
        <w:t>only</w:t>
      </w:r>
      <w:r>
        <w:rPr>
          <w:spacing w:val="-2"/>
        </w:rPr>
        <w:t xml:space="preserve"> </w:t>
      </w:r>
      <w:r>
        <w:t>the</w:t>
      </w:r>
      <w:r>
        <w:rPr>
          <w:spacing w:val="-4"/>
        </w:rPr>
        <w:t xml:space="preserve"> </w:t>
      </w:r>
      <w:r>
        <w:t>HERs</w:t>
      </w:r>
      <w:r>
        <w:rPr>
          <w:spacing w:val="-3"/>
        </w:rPr>
        <w:t xml:space="preserve"> </w:t>
      </w:r>
      <w:r>
        <w:t>program</w:t>
      </w:r>
      <w:r>
        <w:rPr>
          <w:spacing w:val="-4"/>
        </w:rPr>
        <w:t xml:space="preserve"> </w:t>
      </w:r>
      <w:r>
        <w:t>for</w:t>
      </w:r>
      <w:r>
        <w:rPr>
          <w:spacing w:val="-3"/>
        </w:rPr>
        <w:t xml:space="preserve"> </w:t>
      </w:r>
      <w:r>
        <w:t>more thorough updates in the 2023 Study.</w:t>
      </w:r>
    </w:p>
    <w:p w:rsidR="00C31389" w:rsidRDefault="00561FBD" w14:paraId="743B7A58" w14:textId="77777777">
      <w:pPr>
        <w:pStyle w:val="BodyText"/>
        <w:spacing w:before="120"/>
        <w:ind w:left="480" w:right="627"/>
      </w:pPr>
      <w:r>
        <w:t>As</w:t>
      </w:r>
      <w:r>
        <w:rPr>
          <w:spacing w:val="-3"/>
        </w:rPr>
        <w:t xml:space="preserve"> </w:t>
      </w:r>
      <w:r>
        <w:t>with</w:t>
      </w:r>
      <w:r>
        <w:rPr>
          <w:spacing w:val="-3"/>
        </w:rPr>
        <w:t xml:space="preserve"> </w:t>
      </w:r>
      <w:r>
        <w:t>the</w:t>
      </w:r>
      <w:r>
        <w:rPr>
          <w:spacing w:val="-3"/>
        </w:rPr>
        <w:t xml:space="preserve"> </w:t>
      </w:r>
      <w:r>
        <w:t>2021</w:t>
      </w:r>
      <w:r>
        <w:rPr>
          <w:spacing w:val="-3"/>
        </w:rPr>
        <w:t xml:space="preserve"> </w:t>
      </w:r>
      <w:r>
        <w:t>Study,</w:t>
      </w:r>
      <w:r>
        <w:rPr>
          <w:spacing w:val="-4"/>
        </w:rPr>
        <w:t xml:space="preserve"> </w:t>
      </w:r>
      <w:r>
        <w:t>the</w:t>
      </w:r>
      <w:r>
        <w:rPr>
          <w:spacing w:val="-3"/>
        </w:rPr>
        <w:t xml:space="preserve"> </w:t>
      </w:r>
      <w:r>
        <w:t>team</w:t>
      </w:r>
      <w:r>
        <w:rPr>
          <w:spacing w:val="-4"/>
        </w:rPr>
        <w:t xml:space="preserve"> </w:t>
      </w:r>
      <w:r>
        <w:t>calculated</w:t>
      </w:r>
      <w:r>
        <w:rPr>
          <w:spacing w:val="-4"/>
        </w:rPr>
        <w:t xml:space="preserve"> </w:t>
      </w:r>
      <w:r>
        <w:t>savings</w:t>
      </w:r>
      <w:r>
        <w:rPr>
          <w:spacing w:val="-3"/>
        </w:rPr>
        <w:t xml:space="preserve"> </w:t>
      </w:r>
      <w:r>
        <w:t>rates</w:t>
      </w:r>
      <w:r>
        <w:rPr>
          <w:spacing w:val="-3"/>
        </w:rPr>
        <w:t xml:space="preserve"> </w:t>
      </w:r>
      <w:r>
        <w:t>and</w:t>
      </w:r>
      <w:r>
        <w:rPr>
          <w:spacing w:val="-3"/>
        </w:rPr>
        <w:t xml:space="preserve"> </w:t>
      </w:r>
      <w:r>
        <w:t>penetration</w:t>
      </w:r>
      <w:r>
        <w:rPr>
          <w:spacing w:val="-3"/>
        </w:rPr>
        <w:t xml:space="preserve"> </w:t>
      </w:r>
      <w:r>
        <w:t>rates</w:t>
      </w:r>
      <w:r>
        <w:rPr>
          <w:spacing w:val="-3"/>
        </w:rPr>
        <w:t xml:space="preserve"> </w:t>
      </w:r>
      <w:r>
        <w:t>using</w:t>
      </w:r>
      <w:r>
        <w:rPr>
          <w:spacing w:val="-3"/>
        </w:rPr>
        <w:t xml:space="preserve"> </w:t>
      </w:r>
      <w:r>
        <w:t>relevant EM&amp;V-reported program participation rates for current California IOU program offerings and reported participation in programs in other states. The team modeled an EUL of 1 year for residential programs. Co</w:t>
      </w:r>
      <w:r>
        <w:t>mmercial programs used a 2- or 3-year EUL per CPUC Decision</w:t>
      </w:r>
    </w:p>
    <w:p w:rsidR="00C31389" w:rsidRDefault="00561FBD" w14:paraId="28D1737D" w14:textId="77777777">
      <w:pPr>
        <w:pStyle w:val="BodyText"/>
        <w:ind w:left="480" w:right="506" w:hanging="1"/>
      </w:pPr>
      <w:r>
        <w:t>16-08-019 unless evidence supported a longer duration. Industrial SEM programs were assigned</w:t>
      </w:r>
      <w:r>
        <w:rPr>
          <w:spacing w:val="-3"/>
        </w:rPr>
        <w:t xml:space="preserve"> </w:t>
      </w:r>
      <w:r>
        <w:t>an</w:t>
      </w:r>
      <w:r>
        <w:rPr>
          <w:spacing w:val="-4"/>
        </w:rPr>
        <w:t xml:space="preserve"> </w:t>
      </w:r>
      <w:r>
        <w:t>EUL</w:t>
      </w:r>
      <w:r>
        <w:rPr>
          <w:spacing w:val="-3"/>
        </w:rPr>
        <w:t xml:space="preserve"> </w:t>
      </w:r>
      <w:r>
        <w:t>of</w:t>
      </w:r>
      <w:r>
        <w:rPr>
          <w:spacing w:val="-3"/>
        </w:rPr>
        <w:t xml:space="preserve"> </w:t>
      </w:r>
      <w:r>
        <w:t>4.3</w:t>
      </w:r>
      <w:r>
        <w:rPr>
          <w:spacing w:val="-3"/>
        </w:rPr>
        <w:t xml:space="preserve"> </w:t>
      </w:r>
      <w:r>
        <w:t>years,</w:t>
      </w:r>
      <w:r>
        <w:rPr>
          <w:spacing w:val="-3"/>
        </w:rPr>
        <w:t xml:space="preserve"> </w:t>
      </w:r>
      <w:r>
        <w:t>while</w:t>
      </w:r>
      <w:r>
        <w:rPr>
          <w:spacing w:val="-4"/>
        </w:rPr>
        <w:t xml:space="preserve"> </w:t>
      </w:r>
      <w:r>
        <w:t>commercial</w:t>
      </w:r>
      <w:r>
        <w:rPr>
          <w:spacing w:val="-3"/>
        </w:rPr>
        <w:t xml:space="preserve"> </w:t>
      </w:r>
      <w:r>
        <w:t>SEM-like</w:t>
      </w:r>
      <w:r>
        <w:rPr>
          <w:spacing w:val="-3"/>
        </w:rPr>
        <w:t xml:space="preserve"> </w:t>
      </w:r>
      <w:r>
        <w:t>programs</w:t>
      </w:r>
      <w:r>
        <w:rPr>
          <w:spacing w:val="-3"/>
        </w:rPr>
        <w:t xml:space="preserve"> </w:t>
      </w:r>
      <w:r>
        <w:t>were</w:t>
      </w:r>
      <w:r>
        <w:rPr>
          <w:spacing w:val="-3"/>
        </w:rPr>
        <w:t xml:space="preserve"> </w:t>
      </w:r>
      <w:r>
        <w:t>assigned</w:t>
      </w:r>
      <w:r>
        <w:rPr>
          <w:spacing w:val="-4"/>
        </w:rPr>
        <w:t xml:space="preserve"> </w:t>
      </w:r>
      <w:r>
        <w:t>an</w:t>
      </w:r>
      <w:r>
        <w:rPr>
          <w:spacing w:val="-3"/>
        </w:rPr>
        <w:t xml:space="preserve"> </w:t>
      </w:r>
      <w:r>
        <w:t>EUL</w:t>
      </w:r>
      <w:r>
        <w:rPr>
          <w:spacing w:val="-3"/>
        </w:rPr>
        <w:t xml:space="preserve"> </w:t>
      </w:r>
      <w:r>
        <w:t>of</w:t>
      </w:r>
      <w:r>
        <w:rPr>
          <w:spacing w:val="-2"/>
        </w:rPr>
        <w:t xml:space="preserve"> </w:t>
      </w:r>
      <w:r>
        <w:t xml:space="preserve">5 </w:t>
      </w:r>
      <w:r>
        <w:rPr>
          <w:spacing w:val="-2"/>
        </w:rPr>
        <w:t>years.</w:t>
      </w:r>
    </w:p>
    <w:p w:rsidR="00C31389" w:rsidRDefault="00C31389" w14:paraId="06483D15" w14:textId="77777777">
      <w:pPr>
        <w:pStyle w:val="BodyText"/>
        <w:spacing w:before="11"/>
        <w:rPr>
          <w:sz w:val="20"/>
        </w:rPr>
      </w:pPr>
    </w:p>
    <w:p w:rsidR="00C31389" w:rsidRDefault="00561FBD" w14:paraId="1C5C0AB9" w14:textId="77777777">
      <w:pPr>
        <w:pStyle w:val="BodyText"/>
        <w:ind w:left="480"/>
      </w:pPr>
      <w:hyperlink w:history="1" w:anchor="_bookmark300">
        <w:r>
          <w:t>Appendix</w:t>
        </w:r>
        <w:r>
          <w:rPr>
            <w:spacing w:val="-8"/>
          </w:rPr>
          <w:t xml:space="preserve"> </w:t>
        </w:r>
        <w:r>
          <w:t>D</w:t>
        </w:r>
      </w:hyperlink>
      <w:r>
        <w:rPr>
          <w:spacing w:val="-7"/>
        </w:rPr>
        <w:t xml:space="preserve"> </w:t>
      </w:r>
      <w:r>
        <w:t>details</w:t>
      </w:r>
      <w:r>
        <w:rPr>
          <w:spacing w:val="-7"/>
        </w:rPr>
        <w:t xml:space="preserve"> </w:t>
      </w:r>
      <w:r>
        <w:t>specific</w:t>
      </w:r>
      <w:r>
        <w:rPr>
          <w:spacing w:val="-7"/>
        </w:rPr>
        <w:t xml:space="preserve"> </w:t>
      </w:r>
      <w:r>
        <w:t>modeling</w:t>
      </w:r>
      <w:r>
        <w:rPr>
          <w:spacing w:val="-8"/>
        </w:rPr>
        <w:t xml:space="preserve"> </w:t>
      </w:r>
      <w:r>
        <w:t>inputs</w:t>
      </w:r>
      <w:r>
        <w:rPr>
          <w:spacing w:val="-7"/>
        </w:rPr>
        <w:t xml:space="preserve"> </w:t>
      </w:r>
      <w:r>
        <w:t>for</w:t>
      </w:r>
      <w:r>
        <w:rPr>
          <w:spacing w:val="-7"/>
        </w:rPr>
        <w:t xml:space="preserve"> </w:t>
      </w:r>
      <w:r>
        <w:t>each</w:t>
      </w:r>
      <w:r>
        <w:rPr>
          <w:spacing w:val="-7"/>
        </w:rPr>
        <w:t xml:space="preserve"> </w:t>
      </w:r>
      <w:r>
        <w:t>intervention</w:t>
      </w:r>
      <w:r>
        <w:rPr>
          <w:spacing w:val="-7"/>
        </w:rPr>
        <w:t xml:space="preserve"> </w:t>
      </w:r>
      <w:r>
        <w:rPr>
          <w:spacing w:val="-2"/>
        </w:rPr>
        <w:t>type.</w:t>
      </w:r>
    </w:p>
    <w:p w:rsidR="00C31389" w:rsidRDefault="00C31389" w14:paraId="1214289C" w14:textId="77777777">
      <w:pPr>
        <w:pStyle w:val="BodyText"/>
        <w:spacing w:before="8"/>
        <w:rPr>
          <w:sz w:val="20"/>
        </w:rPr>
      </w:pPr>
    </w:p>
    <w:p w:rsidR="00C31389" w:rsidRDefault="00561FBD" w14:paraId="2A66B480" w14:textId="77777777">
      <w:pPr>
        <w:pStyle w:val="BodyText"/>
        <w:spacing w:before="1"/>
        <w:ind w:left="480" w:right="520"/>
      </w:pPr>
      <w:r>
        <w:rPr>
          <w:b/>
        </w:rPr>
        <w:t xml:space="preserve">Step 3. Forecast potential. </w:t>
      </w:r>
      <w:r>
        <w:t>The forecasts are the result of professional judgement based on program</w:t>
      </w:r>
      <w:r>
        <w:rPr>
          <w:spacing w:val="-5"/>
        </w:rPr>
        <w:t xml:space="preserve"> </w:t>
      </w:r>
      <w:r>
        <w:t>operations,</w:t>
      </w:r>
      <w:r>
        <w:rPr>
          <w:spacing w:val="-4"/>
        </w:rPr>
        <w:t xml:space="preserve"> </w:t>
      </w:r>
      <w:r>
        <w:t>historic</w:t>
      </w:r>
      <w:r>
        <w:t>al</w:t>
      </w:r>
      <w:r>
        <w:rPr>
          <w:spacing w:val="-4"/>
        </w:rPr>
        <w:t xml:space="preserve"> </w:t>
      </w:r>
      <w:r>
        <w:t>participation,</w:t>
      </w:r>
      <w:r>
        <w:rPr>
          <w:spacing w:val="-4"/>
        </w:rPr>
        <w:t xml:space="preserve"> </w:t>
      </w:r>
      <w:r>
        <w:t>and</w:t>
      </w:r>
      <w:r>
        <w:rPr>
          <w:spacing w:val="-5"/>
        </w:rPr>
        <w:t xml:space="preserve"> </w:t>
      </w:r>
      <w:r>
        <w:t>whether</w:t>
      </w:r>
      <w:r>
        <w:rPr>
          <w:spacing w:val="-4"/>
        </w:rPr>
        <w:t xml:space="preserve"> </w:t>
      </w:r>
      <w:r>
        <w:t>participation</w:t>
      </w:r>
      <w:r>
        <w:rPr>
          <w:spacing w:val="-5"/>
        </w:rPr>
        <w:t xml:space="preserve"> </w:t>
      </w:r>
      <w:r>
        <w:t>is</w:t>
      </w:r>
      <w:r>
        <w:rPr>
          <w:spacing w:val="-4"/>
        </w:rPr>
        <w:t xml:space="preserve"> </w:t>
      </w:r>
      <w:r>
        <w:t>utility-driven</w:t>
      </w:r>
      <w:r>
        <w:rPr>
          <w:spacing w:val="-4"/>
        </w:rPr>
        <w:t xml:space="preserve"> </w:t>
      </w:r>
      <w:r>
        <w:t>(opt</w:t>
      </w:r>
      <w:r>
        <w:rPr>
          <w:spacing w:val="-4"/>
        </w:rPr>
        <w:t xml:space="preserve"> </w:t>
      </w:r>
      <w:r>
        <w:t>out)</w:t>
      </w:r>
      <w:r>
        <w:rPr>
          <w:spacing w:val="-4"/>
        </w:rPr>
        <w:t xml:space="preserve"> </w:t>
      </w:r>
      <w:r>
        <w:t>or customer-driven (opt in). The Guidehouse team adjusted the forecast penetration rates to represent the reference scenario.</w:t>
      </w:r>
    </w:p>
    <w:p w:rsidR="00C31389" w:rsidRDefault="00C31389" w14:paraId="41276572" w14:textId="77777777">
      <w:pPr>
        <w:pStyle w:val="BodyText"/>
        <w:spacing w:before="10"/>
        <w:rPr>
          <w:sz w:val="20"/>
        </w:rPr>
      </w:pPr>
    </w:p>
    <w:p w:rsidR="00C31389" w:rsidRDefault="00561FBD" w14:paraId="1F6BA32D" w14:textId="77777777">
      <w:pPr>
        <w:pStyle w:val="BodyText"/>
        <w:spacing w:before="1"/>
        <w:ind w:left="480" w:right="569"/>
      </w:pPr>
      <w:r>
        <w:t>Many</w:t>
      </w:r>
      <w:r>
        <w:rPr>
          <w:spacing w:val="-3"/>
        </w:rPr>
        <w:t xml:space="preserve"> </w:t>
      </w:r>
      <w:r>
        <w:t>intervention</w:t>
      </w:r>
      <w:r>
        <w:rPr>
          <w:spacing w:val="-3"/>
        </w:rPr>
        <w:t xml:space="preserve"> </w:t>
      </w:r>
      <w:r>
        <w:t>types</w:t>
      </w:r>
      <w:r>
        <w:rPr>
          <w:spacing w:val="-4"/>
        </w:rPr>
        <w:t xml:space="preserve"> </w:t>
      </w:r>
      <w:r>
        <w:t>were</w:t>
      </w:r>
      <w:r>
        <w:rPr>
          <w:spacing w:val="-3"/>
        </w:rPr>
        <w:t xml:space="preserve"> </w:t>
      </w:r>
      <w:r>
        <w:t>characterized</w:t>
      </w:r>
      <w:r>
        <w:rPr>
          <w:spacing w:val="-3"/>
        </w:rPr>
        <w:t xml:space="preserve"> </w:t>
      </w:r>
      <w:r>
        <w:t>to</w:t>
      </w:r>
      <w:r>
        <w:rPr>
          <w:spacing w:val="-3"/>
        </w:rPr>
        <w:t xml:space="preserve"> </w:t>
      </w:r>
      <w:r>
        <w:t>forecast</w:t>
      </w:r>
      <w:r>
        <w:rPr>
          <w:spacing w:val="-3"/>
        </w:rPr>
        <w:t xml:space="preserve"> </w:t>
      </w:r>
      <w:r>
        <w:t>po</w:t>
      </w:r>
      <w:r>
        <w:t>tential.</w:t>
      </w:r>
      <w:r>
        <w:rPr>
          <w:spacing w:val="-3"/>
        </w:rPr>
        <w:t xml:space="preserve"> </w:t>
      </w:r>
      <w:r>
        <w:t>A</w:t>
      </w:r>
      <w:r>
        <w:rPr>
          <w:spacing w:val="-3"/>
        </w:rPr>
        <w:t xml:space="preserve"> </w:t>
      </w:r>
      <w:r>
        <w:t>more</w:t>
      </w:r>
      <w:r>
        <w:rPr>
          <w:spacing w:val="-3"/>
        </w:rPr>
        <w:t xml:space="preserve"> </w:t>
      </w:r>
      <w:r>
        <w:t>detailed</w:t>
      </w:r>
      <w:r>
        <w:rPr>
          <w:spacing w:val="-3"/>
        </w:rPr>
        <w:t xml:space="preserve"> </w:t>
      </w:r>
      <w:r>
        <w:t>description</w:t>
      </w:r>
      <w:r>
        <w:rPr>
          <w:spacing w:val="-4"/>
        </w:rPr>
        <w:t xml:space="preserve"> </w:t>
      </w:r>
      <w:r>
        <w:t xml:space="preserve">of each of the final intervention types follows in </w:t>
      </w:r>
      <w:hyperlink w:history="1" w:anchor="_bookmark189">
        <w:r>
          <w:t>Table 3-26.</w:t>
        </w:r>
      </w:hyperlink>
      <w:r>
        <w:t xml:space="preserve">; </w:t>
      </w:r>
      <w:hyperlink w:history="1" w:anchor="_bookmark300">
        <w:r>
          <w:t>Appendix D</w:t>
        </w:r>
      </w:hyperlink>
      <w:r>
        <w:t xml:space="preserve"> includes additional </w:t>
      </w:r>
      <w:r>
        <w:rPr>
          <w:spacing w:val="-2"/>
        </w:rPr>
        <w:t>details.</w:t>
      </w:r>
    </w:p>
    <w:p w:rsidR="00C31389" w:rsidRDefault="00C31389" w14:paraId="7F5FCA3D" w14:textId="77777777">
      <w:pPr>
        <w:sectPr w:rsidR="00C31389">
          <w:pgSz w:w="12240" w:h="15840"/>
          <w:pgMar w:top="1660" w:right="960" w:bottom="1120" w:left="960" w:header="397" w:footer="936" w:gutter="0"/>
          <w:cols w:space="720"/>
        </w:sectPr>
      </w:pPr>
    </w:p>
    <w:p w:rsidR="00C31389" w:rsidRDefault="00C31389" w14:paraId="18DE7EA6" w14:textId="77777777">
      <w:pPr>
        <w:pStyle w:val="BodyText"/>
        <w:spacing w:before="11"/>
        <w:rPr>
          <w:sz w:val="13"/>
        </w:rPr>
      </w:pPr>
    </w:p>
    <w:p w:rsidR="00C31389" w:rsidRDefault="00561FBD" w14:paraId="2AAD5CC7" w14:textId="77777777">
      <w:pPr>
        <w:pStyle w:val="Heading7"/>
        <w:spacing w:before="92"/>
        <w:ind w:left="566" w:right="566"/>
        <w:jc w:val="center"/>
      </w:pPr>
      <w:bookmarkStart w:name="_bookmark189" w:id="250"/>
      <w:bookmarkEnd w:id="250"/>
      <w:r>
        <w:t>Table</w:t>
      </w:r>
      <w:r>
        <w:rPr>
          <w:spacing w:val="-10"/>
        </w:rPr>
        <w:t xml:space="preserve"> </w:t>
      </w:r>
      <w:r>
        <w:t>3-26.</w:t>
      </w:r>
      <w:r>
        <w:rPr>
          <w:spacing w:val="-10"/>
        </w:rPr>
        <w:t xml:space="preserve"> </w:t>
      </w:r>
      <w:r>
        <w:t>Behavioral</w:t>
      </w:r>
      <w:r>
        <w:rPr>
          <w:spacing w:val="-9"/>
        </w:rPr>
        <w:t xml:space="preserve"> </w:t>
      </w:r>
      <w:r>
        <w:t>Intervention</w:t>
      </w:r>
      <w:r>
        <w:rPr>
          <w:spacing w:val="-9"/>
        </w:rPr>
        <w:t xml:space="preserve"> </w:t>
      </w:r>
      <w:r>
        <w:rPr>
          <w:spacing w:val="-2"/>
        </w:rPr>
        <w:t>Summary</w:t>
      </w:r>
    </w:p>
    <w:p w:rsidR="00C31389" w:rsidRDefault="00C31389" w14:paraId="57CD1A27" w14:textId="77777777">
      <w:pPr>
        <w:pStyle w:val="BodyText"/>
        <w:spacing w:before="7" w:after="1"/>
        <w:rPr>
          <w:b/>
          <w:sz w:val="9"/>
        </w:rPr>
      </w:pPr>
    </w:p>
    <w:tbl>
      <w:tblPr>
        <w:tblW w:w="0" w:type="auto"/>
        <w:tblInd w:w="473" w:type="dxa"/>
        <w:tblLayout w:type="fixed"/>
        <w:tblCellMar>
          <w:left w:w="0" w:type="dxa"/>
          <w:right w:w="0" w:type="dxa"/>
        </w:tblCellMar>
        <w:tblLook w:val="01E0" w:firstRow="1" w:lastRow="1" w:firstColumn="1" w:lastColumn="1" w:noHBand="0" w:noVBand="0"/>
      </w:tblPr>
      <w:tblGrid>
        <w:gridCol w:w="1339"/>
        <w:gridCol w:w="1781"/>
        <w:gridCol w:w="5180"/>
        <w:gridCol w:w="1076"/>
      </w:tblGrid>
      <w:tr w:rsidR="00C31389" w14:paraId="4CA595AA" w14:textId="77777777">
        <w:trPr>
          <w:trHeight w:val="863"/>
        </w:trPr>
        <w:tc>
          <w:tcPr>
            <w:tcW w:w="1339" w:type="dxa"/>
            <w:shd w:val="clear" w:color="auto" w:fill="92D400"/>
          </w:tcPr>
          <w:p w:rsidR="00C31389" w:rsidRDefault="00C31389" w14:paraId="72713E87" w14:textId="77777777">
            <w:pPr>
              <w:pStyle w:val="TableParagraph"/>
              <w:spacing w:before="2"/>
              <w:rPr>
                <w:b/>
                <w:sz w:val="27"/>
              </w:rPr>
            </w:pPr>
          </w:p>
          <w:p w:rsidR="00C31389" w:rsidRDefault="00561FBD" w14:paraId="7D78C49D" w14:textId="77777777">
            <w:pPr>
              <w:pStyle w:val="TableParagraph"/>
              <w:spacing w:before="0"/>
              <w:ind w:left="129"/>
              <w:rPr>
                <w:b/>
                <w:sz w:val="20"/>
              </w:rPr>
            </w:pPr>
            <w:r>
              <w:rPr>
                <w:b/>
                <w:spacing w:val="-2"/>
                <w:sz w:val="20"/>
              </w:rPr>
              <w:t>Sector</w:t>
            </w:r>
          </w:p>
        </w:tc>
        <w:tc>
          <w:tcPr>
            <w:tcW w:w="1781" w:type="dxa"/>
            <w:shd w:val="clear" w:color="auto" w:fill="92D400"/>
          </w:tcPr>
          <w:p w:rsidR="00C31389" w:rsidRDefault="00561FBD" w14:paraId="1D1BB9BE" w14:textId="77777777">
            <w:pPr>
              <w:pStyle w:val="TableParagraph"/>
              <w:spacing w:before="82"/>
              <w:ind w:left="140"/>
              <w:rPr>
                <w:b/>
                <w:sz w:val="20"/>
              </w:rPr>
            </w:pPr>
            <w:r>
              <w:rPr>
                <w:b/>
                <w:sz w:val="20"/>
              </w:rPr>
              <w:t xml:space="preserve">Type of </w:t>
            </w:r>
            <w:r>
              <w:rPr>
                <w:b/>
                <w:spacing w:val="-2"/>
                <w:sz w:val="20"/>
              </w:rPr>
              <w:t>Behavioral Intervention</w:t>
            </w:r>
          </w:p>
        </w:tc>
        <w:tc>
          <w:tcPr>
            <w:tcW w:w="5180" w:type="dxa"/>
            <w:shd w:val="clear" w:color="auto" w:fill="92D400"/>
          </w:tcPr>
          <w:p w:rsidR="00C31389" w:rsidRDefault="00C31389" w14:paraId="4BB1677E" w14:textId="77777777">
            <w:pPr>
              <w:pStyle w:val="TableParagraph"/>
              <w:spacing w:before="2"/>
              <w:rPr>
                <w:b/>
                <w:sz w:val="27"/>
              </w:rPr>
            </w:pPr>
          </w:p>
          <w:p w:rsidR="00C31389" w:rsidRDefault="00561FBD" w14:paraId="6FDC32D3" w14:textId="77777777">
            <w:pPr>
              <w:pStyle w:val="TableParagraph"/>
              <w:spacing w:before="0"/>
              <w:ind w:left="159"/>
              <w:rPr>
                <w:b/>
                <w:sz w:val="20"/>
              </w:rPr>
            </w:pPr>
            <w:r>
              <w:rPr>
                <w:b/>
                <w:sz w:val="20"/>
              </w:rPr>
              <w:t>Brief</w:t>
            </w:r>
            <w:r>
              <w:rPr>
                <w:b/>
                <w:spacing w:val="-3"/>
                <w:sz w:val="20"/>
              </w:rPr>
              <w:t xml:space="preserve"> </w:t>
            </w:r>
            <w:r>
              <w:rPr>
                <w:b/>
                <w:spacing w:val="-2"/>
                <w:sz w:val="20"/>
              </w:rPr>
              <w:t>Description</w:t>
            </w:r>
          </w:p>
        </w:tc>
        <w:tc>
          <w:tcPr>
            <w:tcW w:w="1076" w:type="dxa"/>
            <w:shd w:val="clear" w:color="auto" w:fill="92D400"/>
          </w:tcPr>
          <w:p w:rsidR="00C31389" w:rsidRDefault="00561FBD" w14:paraId="6D96B1A0" w14:textId="77777777">
            <w:pPr>
              <w:pStyle w:val="TableParagraph"/>
              <w:spacing w:before="197"/>
              <w:ind w:left="183" w:right="188"/>
              <w:jc w:val="center"/>
              <w:rPr>
                <w:b/>
                <w:sz w:val="20"/>
              </w:rPr>
            </w:pPr>
            <w:r>
              <w:rPr>
                <w:b/>
                <w:spacing w:val="-5"/>
                <w:sz w:val="20"/>
              </w:rPr>
              <w:t>EUL</w:t>
            </w:r>
          </w:p>
          <w:p w:rsidR="00C31389" w:rsidRDefault="00561FBD" w14:paraId="49293365" w14:textId="77777777">
            <w:pPr>
              <w:pStyle w:val="TableParagraph"/>
              <w:spacing w:before="1"/>
              <w:ind w:left="183" w:right="188"/>
              <w:jc w:val="center"/>
              <w:rPr>
                <w:b/>
                <w:sz w:val="20"/>
              </w:rPr>
            </w:pPr>
            <w:r>
              <w:rPr>
                <w:b/>
                <w:spacing w:val="-2"/>
                <w:sz w:val="20"/>
              </w:rPr>
              <w:t>(Years)</w:t>
            </w:r>
          </w:p>
        </w:tc>
      </w:tr>
      <w:tr w:rsidR="00C31389" w14:paraId="71F4E3C9" w14:textId="77777777">
        <w:trPr>
          <w:trHeight w:val="1231"/>
        </w:trPr>
        <w:tc>
          <w:tcPr>
            <w:tcW w:w="1339" w:type="dxa"/>
            <w:tcBorders>
              <w:bottom w:val="single" w:color="D9D9D9" w:sz="2" w:space="0"/>
            </w:tcBorders>
          </w:tcPr>
          <w:p w:rsidR="00C31389" w:rsidRDefault="00C31389" w14:paraId="076B6AC9" w14:textId="77777777">
            <w:pPr>
              <w:pStyle w:val="TableParagraph"/>
              <w:spacing w:before="0"/>
              <w:rPr>
                <w:b/>
              </w:rPr>
            </w:pPr>
          </w:p>
          <w:p w:rsidR="00C31389" w:rsidRDefault="00C31389" w14:paraId="3EEC5432" w14:textId="77777777">
            <w:pPr>
              <w:pStyle w:val="TableParagraph"/>
              <w:spacing w:before="6"/>
              <w:rPr>
                <w:b/>
                <w:sz w:val="21"/>
              </w:rPr>
            </w:pPr>
          </w:p>
          <w:p w:rsidR="00C31389" w:rsidRDefault="00561FBD" w14:paraId="0B66DE54" w14:textId="77777777">
            <w:pPr>
              <w:pStyle w:val="TableParagraph"/>
              <w:spacing w:before="1"/>
              <w:ind w:left="129"/>
              <w:rPr>
                <w:sz w:val="20"/>
              </w:rPr>
            </w:pPr>
            <w:r>
              <w:rPr>
                <w:spacing w:val="-2"/>
                <w:sz w:val="20"/>
              </w:rPr>
              <w:t>Residential</w:t>
            </w:r>
          </w:p>
        </w:tc>
        <w:tc>
          <w:tcPr>
            <w:tcW w:w="1781" w:type="dxa"/>
            <w:tcBorders>
              <w:bottom w:val="single" w:color="D9D9D9" w:sz="2" w:space="0"/>
            </w:tcBorders>
          </w:tcPr>
          <w:p w:rsidR="00C31389" w:rsidRDefault="00C31389" w14:paraId="046C0008" w14:textId="77777777">
            <w:pPr>
              <w:pStyle w:val="TableParagraph"/>
              <w:spacing w:before="0"/>
              <w:rPr>
                <w:b/>
              </w:rPr>
            </w:pPr>
          </w:p>
          <w:p w:rsidR="00C31389" w:rsidRDefault="00C31389" w14:paraId="3E49D945" w14:textId="77777777">
            <w:pPr>
              <w:pStyle w:val="TableParagraph"/>
              <w:spacing w:before="6"/>
              <w:rPr>
                <w:b/>
                <w:sz w:val="21"/>
              </w:rPr>
            </w:pPr>
          </w:p>
          <w:p w:rsidR="00C31389" w:rsidRDefault="00561FBD" w14:paraId="322105E8" w14:textId="77777777">
            <w:pPr>
              <w:pStyle w:val="TableParagraph"/>
              <w:spacing w:before="1"/>
              <w:ind w:left="140"/>
              <w:rPr>
                <w:sz w:val="20"/>
              </w:rPr>
            </w:pPr>
            <w:r>
              <w:rPr>
                <w:spacing w:val="-4"/>
                <w:sz w:val="20"/>
              </w:rPr>
              <w:t>HERs</w:t>
            </w:r>
          </w:p>
        </w:tc>
        <w:tc>
          <w:tcPr>
            <w:tcW w:w="5180" w:type="dxa"/>
            <w:tcBorders>
              <w:bottom w:val="single" w:color="D9D9D9" w:sz="2" w:space="0"/>
            </w:tcBorders>
          </w:tcPr>
          <w:p w:rsidR="00C31389" w:rsidRDefault="00561FBD" w14:paraId="37EC66F4" w14:textId="77777777">
            <w:pPr>
              <w:pStyle w:val="TableParagraph"/>
              <w:spacing w:before="41"/>
              <w:ind w:left="159" w:right="193"/>
              <w:rPr>
                <w:sz w:val="20"/>
              </w:rPr>
            </w:pPr>
            <w:r>
              <w:rPr>
                <w:sz w:val="20"/>
              </w:rPr>
              <w:t xml:space="preserve">Reports periodically mailed to </w:t>
            </w:r>
            <w:r>
              <w:rPr>
                <w:sz w:val="20"/>
              </w:rPr>
              <w:t>residential customers that provide feedback about their home’s energy use, including</w:t>
            </w:r>
            <w:r>
              <w:rPr>
                <w:spacing w:val="-8"/>
                <w:sz w:val="20"/>
              </w:rPr>
              <w:t xml:space="preserve"> </w:t>
            </w:r>
            <w:r>
              <w:rPr>
                <w:sz w:val="20"/>
              </w:rPr>
              <w:t>normative</w:t>
            </w:r>
            <w:r>
              <w:rPr>
                <w:spacing w:val="-9"/>
                <w:sz w:val="20"/>
              </w:rPr>
              <w:t xml:space="preserve"> </w:t>
            </w:r>
            <w:r>
              <w:rPr>
                <w:sz w:val="20"/>
              </w:rPr>
              <w:t>comparisons</w:t>
            </w:r>
            <w:r>
              <w:rPr>
                <w:spacing w:val="-7"/>
                <w:sz w:val="20"/>
              </w:rPr>
              <w:t xml:space="preserve"> </w:t>
            </w:r>
            <w:r>
              <w:rPr>
                <w:sz w:val="20"/>
              </w:rPr>
              <w:t>to</w:t>
            </w:r>
            <w:r>
              <w:rPr>
                <w:spacing w:val="-8"/>
                <w:sz w:val="20"/>
              </w:rPr>
              <w:t xml:space="preserve"> </w:t>
            </w:r>
            <w:r>
              <w:rPr>
                <w:sz w:val="20"/>
              </w:rPr>
              <w:t>similar</w:t>
            </w:r>
            <w:r>
              <w:rPr>
                <w:spacing w:val="-7"/>
                <w:sz w:val="20"/>
              </w:rPr>
              <w:t xml:space="preserve"> </w:t>
            </w:r>
            <w:r>
              <w:rPr>
                <w:sz w:val="20"/>
              </w:rPr>
              <w:t>neighbors, tips for improving EE, and occasionally messaging about rewards or incentives</w:t>
            </w:r>
          </w:p>
        </w:tc>
        <w:tc>
          <w:tcPr>
            <w:tcW w:w="1076" w:type="dxa"/>
            <w:tcBorders>
              <w:bottom w:val="single" w:color="D9D9D9" w:sz="2" w:space="0"/>
            </w:tcBorders>
          </w:tcPr>
          <w:p w:rsidR="00C31389" w:rsidRDefault="00C31389" w14:paraId="03367809" w14:textId="77777777">
            <w:pPr>
              <w:pStyle w:val="TableParagraph"/>
              <w:spacing w:before="0"/>
              <w:rPr>
                <w:b/>
              </w:rPr>
            </w:pPr>
          </w:p>
          <w:p w:rsidR="00C31389" w:rsidRDefault="00C31389" w14:paraId="5BA79921" w14:textId="77777777">
            <w:pPr>
              <w:pStyle w:val="TableParagraph"/>
              <w:spacing w:before="7"/>
              <w:rPr>
                <w:b/>
                <w:sz w:val="21"/>
              </w:rPr>
            </w:pPr>
          </w:p>
          <w:p w:rsidR="00C31389" w:rsidRDefault="00561FBD" w14:paraId="47AA791B" w14:textId="77777777">
            <w:pPr>
              <w:pStyle w:val="TableParagraph"/>
              <w:spacing w:before="0"/>
              <w:ind w:right="6"/>
              <w:jc w:val="center"/>
              <w:rPr>
                <w:sz w:val="20"/>
              </w:rPr>
            </w:pPr>
            <w:r>
              <w:rPr>
                <w:sz w:val="20"/>
              </w:rPr>
              <w:t>1</w:t>
            </w:r>
          </w:p>
        </w:tc>
      </w:tr>
      <w:tr w:rsidR="00C31389" w14:paraId="712C4245" w14:textId="77777777">
        <w:trPr>
          <w:trHeight w:val="539"/>
        </w:trPr>
        <w:tc>
          <w:tcPr>
            <w:tcW w:w="1339" w:type="dxa"/>
            <w:tcBorders>
              <w:top w:val="single" w:color="D9D9D9" w:sz="2" w:space="0"/>
              <w:bottom w:val="single" w:color="D9D9D9" w:sz="2" w:space="0"/>
            </w:tcBorders>
          </w:tcPr>
          <w:p w:rsidR="00C31389" w:rsidRDefault="00561FBD" w14:paraId="5AD39433" w14:textId="77777777">
            <w:pPr>
              <w:pStyle w:val="TableParagraph"/>
              <w:spacing w:before="155"/>
              <w:ind w:left="129"/>
              <w:rPr>
                <w:sz w:val="20"/>
              </w:rPr>
            </w:pPr>
            <w:r>
              <w:rPr>
                <w:spacing w:val="-2"/>
                <w:sz w:val="20"/>
              </w:rPr>
              <w:t>Residential</w:t>
            </w:r>
          </w:p>
        </w:tc>
        <w:tc>
          <w:tcPr>
            <w:tcW w:w="1781" w:type="dxa"/>
            <w:tcBorders>
              <w:top w:val="single" w:color="D9D9D9" w:sz="2" w:space="0"/>
              <w:bottom w:val="single" w:color="D9D9D9" w:sz="2" w:space="0"/>
            </w:tcBorders>
          </w:tcPr>
          <w:p w:rsidR="00C31389" w:rsidRDefault="00561FBD" w14:paraId="01E93DE0" w14:textId="77777777">
            <w:pPr>
              <w:pStyle w:val="TableParagraph"/>
              <w:ind w:left="140" w:right="156"/>
              <w:rPr>
                <w:sz w:val="20"/>
              </w:rPr>
            </w:pPr>
            <w:r>
              <w:rPr>
                <w:sz w:val="20"/>
              </w:rPr>
              <w:t>Web-based</w:t>
            </w:r>
            <w:r>
              <w:rPr>
                <w:spacing w:val="-14"/>
                <w:sz w:val="20"/>
              </w:rPr>
              <w:t xml:space="preserve"> </w:t>
            </w:r>
            <w:r>
              <w:rPr>
                <w:sz w:val="20"/>
              </w:rPr>
              <w:t xml:space="preserve">real- time </w:t>
            </w:r>
            <w:r>
              <w:rPr>
                <w:sz w:val="20"/>
              </w:rPr>
              <w:t>feedback</w:t>
            </w:r>
          </w:p>
        </w:tc>
        <w:tc>
          <w:tcPr>
            <w:tcW w:w="5180" w:type="dxa"/>
            <w:tcBorders>
              <w:top w:val="single" w:color="D9D9D9" w:sz="2" w:space="0"/>
              <w:bottom w:val="single" w:color="D9D9D9" w:sz="2" w:space="0"/>
            </w:tcBorders>
          </w:tcPr>
          <w:p w:rsidR="00C31389" w:rsidRDefault="00561FBD" w14:paraId="6BF76994" w14:textId="77777777">
            <w:pPr>
              <w:pStyle w:val="TableParagraph"/>
              <w:ind w:left="159"/>
              <w:rPr>
                <w:sz w:val="20"/>
              </w:rPr>
            </w:pPr>
            <w:r>
              <w:rPr>
                <w:sz w:val="20"/>
              </w:rPr>
              <w:t>Real-time</w:t>
            </w:r>
            <w:r>
              <w:rPr>
                <w:spacing w:val="-7"/>
                <w:sz w:val="20"/>
              </w:rPr>
              <w:t xml:space="preserve"> </w:t>
            </w:r>
            <w:r>
              <w:rPr>
                <w:sz w:val="20"/>
              </w:rPr>
              <w:t>information</w:t>
            </w:r>
            <w:r>
              <w:rPr>
                <w:spacing w:val="-8"/>
                <w:sz w:val="20"/>
              </w:rPr>
              <w:t xml:space="preserve"> </w:t>
            </w:r>
            <w:r>
              <w:rPr>
                <w:sz w:val="20"/>
              </w:rPr>
              <w:t>and</w:t>
            </w:r>
            <w:r>
              <w:rPr>
                <w:spacing w:val="-9"/>
                <w:sz w:val="20"/>
              </w:rPr>
              <w:t xml:space="preserve"> </w:t>
            </w:r>
            <w:r>
              <w:rPr>
                <w:sz w:val="20"/>
              </w:rPr>
              <w:t>feedback</w:t>
            </w:r>
            <w:r>
              <w:rPr>
                <w:spacing w:val="-7"/>
                <w:sz w:val="20"/>
              </w:rPr>
              <w:t xml:space="preserve"> </w:t>
            </w:r>
            <w:r>
              <w:rPr>
                <w:sz w:val="20"/>
              </w:rPr>
              <w:t>about</w:t>
            </w:r>
            <w:r>
              <w:rPr>
                <w:spacing w:val="-8"/>
                <w:sz w:val="20"/>
              </w:rPr>
              <w:t xml:space="preserve"> </w:t>
            </w:r>
            <w:r>
              <w:rPr>
                <w:sz w:val="20"/>
              </w:rPr>
              <w:t>household energy use provided via websites or mobile apps</w:t>
            </w:r>
          </w:p>
        </w:tc>
        <w:tc>
          <w:tcPr>
            <w:tcW w:w="1076" w:type="dxa"/>
            <w:tcBorders>
              <w:top w:val="single" w:color="D9D9D9" w:sz="2" w:space="0"/>
              <w:bottom w:val="single" w:color="D9D9D9" w:sz="2" w:space="0"/>
            </w:tcBorders>
          </w:tcPr>
          <w:p w:rsidR="00C31389" w:rsidRDefault="00561FBD" w14:paraId="0D9A3D3F" w14:textId="77777777">
            <w:pPr>
              <w:pStyle w:val="TableParagraph"/>
              <w:spacing w:before="155"/>
              <w:ind w:right="6"/>
              <w:jc w:val="center"/>
              <w:rPr>
                <w:sz w:val="20"/>
              </w:rPr>
            </w:pPr>
            <w:r>
              <w:rPr>
                <w:sz w:val="20"/>
              </w:rPr>
              <w:t>1</w:t>
            </w:r>
          </w:p>
        </w:tc>
      </w:tr>
      <w:tr w:rsidR="00C31389" w14:paraId="0DAEC63B" w14:textId="77777777">
        <w:trPr>
          <w:trHeight w:val="768"/>
        </w:trPr>
        <w:tc>
          <w:tcPr>
            <w:tcW w:w="1339" w:type="dxa"/>
            <w:tcBorders>
              <w:top w:val="single" w:color="D9D9D9" w:sz="2" w:space="0"/>
              <w:bottom w:val="single" w:color="D9D9D9" w:sz="2" w:space="0"/>
            </w:tcBorders>
          </w:tcPr>
          <w:p w:rsidR="00C31389" w:rsidRDefault="00C31389" w14:paraId="49F74D99" w14:textId="77777777">
            <w:pPr>
              <w:pStyle w:val="TableParagraph"/>
              <w:spacing w:before="5"/>
              <w:rPr>
                <w:b/>
                <w:sz w:val="23"/>
              </w:rPr>
            </w:pPr>
          </w:p>
          <w:p w:rsidR="00C31389" w:rsidRDefault="00561FBD" w14:paraId="2F68BC3A" w14:textId="77777777">
            <w:pPr>
              <w:pStyle w:val="TableParagraph"/>
              <w:spacing w:before="0"/>
              <w:ind w:left="129"/>
              <w:rPr>
                <w:sz w:val="20"/>
              </w:rPr>
            </w:pPr>
            <w:r>
              <w:rPr>
                <w:spacing w:val="-2"/>
                <w:sz w:val="20"/>
              </w:rPr>
              <w:t>Residential</w:t>
            </w:r>
          </w:p>
        </w:tc>
        <w:tc>
          <w:tcPr>
            <w:tcW w:w="1781" w:type="dxa"/>
            <w:tcBorders>
              <w:top w:val="single" w:color="D9D9D9" w:sz="2" w:space="0"/>
              <w:bottom w:val="single" w:color="D9D9D9" w:sz="2" w:space="0"/>
            </w:tcBorders>
          </w:tcPr>
          <w:p w:rsidR="00C31389" w:rsidRDefault="00561FBD" w14:paraId="6009C826" w14:textId="77777777">
            <w:pPr>
              <w:pStyle w:val="TableParagraph"/>
              <w:ind w:left="140" w:right="226"/>
              <w:rPr>
                <w:sz w:val="20"/>
              </w:rPr>
            </w:pPr>
            <w:r>
              <w:rPr>
                <w:sz w:val="20"/>
              </w:rPr>
              <w:t>In-home</w:t>
            </w:r>
            <w:r>
              <w:rPr>
                <w:spacing w:val="-14"/>
                <w:sz w:val="20"/>
              </w:rPr>
              <w:t xml:space="preserve"> </w:t>
            </w:r>
            <w:r>
              <w:rPr>
                <w:sz w:val="20"/>
              </w:rPr>
              <w:t xml:space="preserve">display </w:t>
            </w:r>
            <w:r>
              <w:rPr>
                <w:spacing w:val="-2"/>
                <w:sz w:val="20"/>
              </w:rPr>
              <w:t>real-time feedback</w:t>
            </w:r>
          </w:p>
        </w:tc>
        <w:tc>
          <w:tcPr>
            <w:tcW w:w="5180" w:type="dxa"/>
            <w:tcBorders>
              <w:top w:val="single" w:color="D9D9D9" w:sz="2" w:space="0"/>
              <w:bottom w:val="single" w:color="D9D9D9" w:sz="2" w:space="0"/>
            </w:tcBorders>
          </w:tcPr>
          <w:p w:rsidR="00C31389" w:rsidRDefault="00561FBD" w14:paraId="725033CA" w14:textId="77777777">
            <w:pPr>
              <w:pStyle w:val="TableParagraph"/>
              <w:ind w:left="159" w:right="193"/>
              <w:rPr>
                <w:sz w:val="20"/>
              </w:rPr>
            </w:pPr>
            <w:r>
              <w:rPr>
                <w:sz w:val="20"/>
              </w:rPr>
              <w:t>Real-time</w:t>
            </w:r>
            <w:r>
              <w:rPr>
                <w:spacing w:val="-8"/>
                <w:sz w:val="20"/>
              </w:rPr>
              <w:t xml:space="preserve"> </w:t>
            </w:r>
            <w:r>
              <w:rPr>
                <w:sz w:val="20"/>
              </w:rPr>
              <w:t>information</w:t>
            </w:r>
            <w:r>
              <w:rPr>
                <w:spacing w:val="-8"/>
                <w:sz w:val="20"/>
              </w:rPr>
              <w:t xml:space="preserve"> </w:t>
            </w:r>
            <w:r>
              <w:rPr>
                <w:sz w:val="20"/>
              </w:rPr>
              <w:t>and</w:t>
            </w:r>
            <w:r>
              <w:rPr>
                <w:spacing w:val="-9"/>
                <w:sz w:val="20"/>
              </w:rPr>
              <w:t xml:space="preserve"> </w:t>
            </w:r>
            <w:r>
              <w:rPr>
                <w:sz w:val="20"/>
              </w:rPr>
              <w:t>feedback</w:t>
            </w:r>
            <w:r>
              <w:rPr>
                <w:spacing w:val="-7"/>
                <w:sz w:val="20"/>
              </w:rPr>
              <w:t xml:space="preserve"> </w:t>
            </w:r>
            <w:r>
              <w:rPr>
                <w:sz w:val="20"/>
              </w:rPr>
              <w:t>about</w:t>
            </w:r>
            <w:r>
              <w:rPr>
                <w:spacing w:val="-8"/>
                <w:sz w:val="20"/>
              </w:rPr>
              <w:t xml:space="preserve"> </w:t>
            </w:r>
            <w:r>
              <w:rPr>
                <w:sz w:val="20"/>
              </w:rPr>
              <w:t xml:space="preserve">household energy use provided via energy </w:t>
            </w:r>
            <w:r>
              <w:rPr>
                <w:sz w:val="20"/>
              </w:rPr>
              <w:t>monitoring and feedback devices installed in customer homes</w:t>
            </w:r>
          </w:p>
        </w:tc>
        <w:tc>
          <w:tcPr>
            <w:tcW w:w="1076" w:type="dxa"/>
            <w:tcBorders>
              <w:top w:val="single" w:color="D9D9D9" w:sz="2" w:space="0"/>
              <w:bottom w:val="single" w:color="D9D9D9" w:sz="2" w:space="0"/>
            </w:tcBorders>
          </w:tcPr>
          <w:p w:rsidR="00C31389" w:rsidRDefault="00C31389" w14:paraId="09DFD25C" w14:textId="77777777">
            <w:pPr>
              <w:pStyle w:val="TableParagraph"/>
              <w:spacing w:before="5"/>
              <w:rPr>
                <w:b/>
                <w:sz w:val="23"/>
              </w:rPr>
            </w:pPr>
          </w:p>
          <w:p w:rsidR="00C31389" w:rsidRDefault="00561FBD" w14:paraId="6A95BE34" w14:textId="77777777">
            <w:pPr>
              <w:pStyle w:val="TableParagraph"/>
              <w:spacing w:before="0"/>
              <w:ind w:right="6"/>
              <w:jc w:val="center"/>
              <w:rPr>
                <w:sz w:val="20"/>
              </w:rPr>
            </w:pPr>
            <w:r>
              <w:rPr>
                <w:sz w:val="20"/>
              </w:rPr>
              <w:t>1</w:t>
            </w:r>
          </w:p>
        </w:tc>
      </w:tr>
      <w:tr w:rsidR="00C31389" w14:paraId="5F6304D0" w14:textId="77777777">
        <w:trPr>
          <w:trHeight w:val="1460"/>
        </w:trPr>
        <w:tc>
          <w:tcPr>
            <w:tcW w:w="1339" w:type="dxa"/>
            <w:tcBorders>
              <w:top w:val="single" w:color="D9D9D9" w:sz="2" w:space="0"/>
              <w:bottom w:val="single" w:color="D9D9D9" w:sz="2" w:space="0"/>
            </w:tcBorders>
          </w:tcPr>
          <w:p w:rsidR="00C31389" w:rsidRDefault="00C31389" w14:paraId="04F78A26" w14:textId="77777777">
            <w:pPr>
              <w:pStyle w:val="TableParagraph"/>
              <w:spacing w:before="0"/>
              <w:rPr>
                <w:b/>
              </w:rPr>
            </w:pPr>
          </w:p>
          <w:p w:rsidR="00C31389" w:rsidRDefault="00C31389" w14:paraId="277B7693" w14:textId="77777777">
            <w:pPr>
              <w:pStyle w:val="TableParagraph"/>
              <w:spacing w:before="6"/>
              <w:rPr>
                <w:b/>
                <w:sz w:val="31"/>
              </w:rPr>
            </w:pPr>
          </w:p>
          <w:p w:rsidR="00C31389" w:rsidRDefault="00561FBD" w14:paraId="4680A3AB" w14:textId="77777777">
            <w:pPr>
              <w:pStyle w:val="TableParagraph"/>
              <w:spacing w:before="1"/>
              <w:ind w:left="129"/>
              <w:rPr>
                <w:sz w:val="20"/>
              </w:rPr>
            </w:pPr>
            <w:r>
              <w:rPr>
                <w:spacing w:val="-2"/>
                <w:sz w:val="20"/>
              </w:rPr>
              <w:t>Residential</w:t>
            </w:r>
          </w:p>
        </w:tc>
        <w:tc>
          <w:tcPr>
            <w:tcW w:w="1781" w:type="dxa"/>
            <w:tcBorders>
              <w:top w:val="single" w:color="D9D9D9" w:sz="2" w:space="0"/>
              <w:bottom w:val="single" w:color="D9D9D9" w:sz="2" w:space="0"/>
            </w:tcBorders>
          </w:tcPr>
          <w:p w:rsidR="00C31389" w:rsidRDefault="00C31389" w14:paraId="5013AEC9" w14:textId="77777777">
            <w:pPr>
              <w:pStyle w:val="TableParagraph"/>
              <w:spacing w:before="0"/>
              <w:rPr>
                <w:b/>
              </w:rPr>
            </w:pPr>
          </w:p>
          <w:p w:rsidR="00C31389" w:rsidRDefault="00C31389" w14:paraId="1E2542CB" w14:textId="77777777">
            <w:pPr>
              <w:pStyle w:val="TableParagraph"/>
              <w:spacing w:before="6"/>
              <w:rPr>
                <w:b/>
                <w:sz w:val="21"/>
              </w:rPr>
            </w:pPr>
          </w:p>
          <w:p w:rsidR="00C31389" w:rsidRDefault="00561FBD" w14:paraId="16801D32" w14:textId="77777777">
            <w:pPr>
              <w:pStyle w:val="TableParagraph"/>
              <w:spacing w:before="0"/>
              <w:ind w:left="140" w:right="167"/>
              <w:rPr>
                <w:sz w:val="20"/>
              </w:rPr>
            </w:pPr>
            <w:r>
              <w:rPr>
                <w:sz w:val="20"/>
              </w:rPr>
              <w:t>Small</w:t>
            </w:r>
            <w:r>
              <w:rPr>
                <w:spacing w:val="-14"/>
                <w:sz w:val="20"/>
              </w:rPr>
              <w:t xml:space="preserve"> </w:t>
            </w:r>
            <w:r>
              <w:rPr>
                <w:sz w:val="20"/>
              </w:rPr>
              <w:t xml:space="preserve">residential </w:t>
            </w:r>
            <w:r>
              <w:rPr>
                <w:spacing w:val="-2"/>
                <w:sz w:val="20"/>
              </w:rPr>
              <w:t>competitions</w:t>
            </w:r>
          </w:p>
        </w:tc>
        <w:tc>
          <w:tcPr>
            <w:tcW w:w="5180" w:type="dxa"/>
            <w:tcBorders>
              <w:top w:val="single" w:color="D9D9D9" w:sz="2" w:space="0"/>
              <w:bottom w:val="single" w:color="D9D9D9" w:sz="2" w:space="0"/>
            </w:tcBorders>
          </w:tcPr>
          <w:p w:rsidR="00C31389" w:rsidRDefault="00561FBD" w14:paraId="4BECCA86" w14:textId="77777777">
            <w:pPr>
              <w:pStyle w:val="TableParagraph"/>
              <w:spacing w:before="41"/>
              <w:ind w:left="159"/>
              <w:rPr>
                <w:sz w:val="20"/>
              </w:rPr>
            </w:pPr>
            <w:r>
              <w:rPr>
                <w:sz w:val="20"/>
              </w:rPr>
              <w:t>Organized competitions with fewer than 10,000 participants</w:t>
            </w:r>
            <w:r>
              <w:rPr>
                <w:spacing w:val="-5"/>
                <w:sz w:val="20"/>
              </w:rPr>
              <w:t xml:space="preserve"> </w:t>
            </w:r>
            <w:r>
              <w:rPr>
                <w:sz w:val="20"/>
              </w:rPr>
              <w:t>per</w:t>
            </w:r>
            <w:r>
              <w:rPr>
                <w:spacing w:val="-5"/>
                <w:sz w:val="20"/>
              </w:rPr>
              <w:t xml:space="preserve"> </w:t>
            </w:r>
            <w:r>
              <w:rPr>
                <w:sz w:val="20"/>
              </w:rPr>
              <w:t>year</w:t>
            </w:r>
            <w:r>
              <w:rPr>
                <w:spacing w:val="-5"/>
                <w:sz w:val="20"/>
              </w:rPr>
              <w:t xml:space="preserve"> </w:t>
            </w:r>
            <w:r>
              <w:rPr>
                <w:sz w:val="20"/>
              </w:rPr>
              <w:t>in</w:t>
            </w:r>
            <w:r>
              <w:rPr>
                <w:spacing w:val="-7"/>
                <w:sz w:val="20"/>
              </w:rPr>
              <w:t xml:space="preserve"> </w:t>
            </w:r>
            <w:r>
              <w:rPr>
                <w:sz w:val="20"/>
              </w:rPr>
              <w:t>which</w:t>
            </w:r>
            <w:r>
              <w:rPr>
                <w:spacing w:val="-6"/>
                <w:sz w:val="20"/>
              </w:rPr>
              <w:t xml:space="preserve"> </w:t>
            </w:r>
            <w:r>
              <w:rPr>
                <w:sz w:val="20"/>
              </w:rPr>
              <w:t>participants</w:t>
            </w:r>
            <w:r>
              <w:rPr>
                <w:spacing w:val="-5"/>
                <w:sz w:val="20"/>
              </w:rPr>
              <w:t xml:space="preserve"> </w:t>
            </w:r>
            <w:r>
              <w:rPr>
                <w:sz w:val="20"/>
              </w:rPr>
              <w:t>compete</w:t>
            </w:r>
            <w:r>
              <w:rPr>
                <w:spacing w:val="-6"/>
                <w:sz w:val="20"/>
              </w:rPr>
              <w:t xml:space="preserve"> </w:t>
            </w:r>
            <w:r>
              <w:rPr>
                <w:sz w:val="20"/>
              </w:rPr>
              <w:t xml:space="preserve">in events, contests, or challenges to </w:t>
            </w:r>
            <w:r>
              <w:rPr>
                <w:sz w:val="20"/>
              </w:rPr>
              <w:t>achieve a specific objective or the highest rank compared with other individuals or groups as they try to reach goals by reducing energy consumption</w:t>
            </w:r>
          </w:p>
        </w:tc>
        <w:tc>
          <w:tcPr>
            <w:tcW w:w="1076" w:type="dxa"/>
            <w:tcBorders>
              <w:top w:val="single" w:color="D9D9D9" w:sz="2" w:space="0"/>
              <w:bottom w:val="single" w:color="D9D9D9" w:sz="2" w:space="0"/>
            </w:tcBorders>
          </w:tcPr>
          <w:p w:rsidR="00C31389" w:rsidRDefault="00C31389" w14:paraId="56225BD5" w14:textId="77777777">
            <w:pPr>
              <w:pStyle w:val="TableParagraph"/>
              <w:spacing w:before="0"/>
              <w:rPr>
                <w:b/>
              </w:rPr>
            </w:pPr>
          </w:p>
          <w:p w:rsidR="00C31389" w:rsidRDefault="00C31389" w14:paraId="7F29DC75" w14:textId="77777777">
            <w:pPr>
              <w:pStyle w:val="TableParagraph"/>
              <w:spacing w:before="6"/>
              <w:rPr>
                <w:b/>
                <w:sz w:val="31"/>
              </w:rPr>
            </w:pPr>
          </w:p>
          <w:p w:rsidR="00C31389" w:rsidRDefault="00561FBD" w14:paraId="03FB6BCB" w14:textId="77777777">
            <w:pPr>
              <w:pStyle w:val="TableParagraph"/>
              <w:spacing w:before="1"/>
              <w:ind w:right="6"/>
              <w:jc w:val="center"/>
              <w:rPr>
                <w:sz w:val="20"/>
              </w:rPr>
            </w:pPr>
            <w:r>
              <w:rPr>
                <w:sz w:val="20"/>
              </w:rPr>
              <w:t>1</w:t>
            </w:r>
          </w:p>
        </w:tc>
      </w:tr>
      <w:tr w:rsidR="00C31389" w14:paraId="10705D19" w14:textId="77777777">
        <w:trPr>
          <w:trHeight w:val="1460"/>
        </w:trPr>
        <w:tc>
          <w:tcPr>
            <w:tcW w:w="1339" w:type="dxa"/>
            <w:tcBorders>
              <w:top w:val="single" w:color="D9D9D9" w:sz="2" w:space="0"/>
              <w:bottom w:val="single" w:color="D9D9D9" w:sz="2" w:space="0"/>
            </w:tcBorders>
          </w:tcPr>
          <w:p w:rsidR="00C31389" w:rsidRDefault="00C31389" w14:paraId="74BC96FF" w14:textId="77777777">
            <w:pPr>
              <w:pStyle w:val="TableParagraph"/>
              <w:spacing w:before="0"/>
              <w:rPr>
                <w:b/>
              </w:rPr>
            </w:pPr>
          </w:p>
          <w:p w:rsidR="00C31389" w:rsidRDefault="00C31389" w14:paraId="01F9A303" w14:textId="77777777">
            <w:pPr>
              <w:pStyle w:val="TableParagraph"/>
              <w:spacing w:before="5"/>
              <w:rPr>
                <w:b/>
                <w:sz w:val="31"/>
              </w:rPr>
            </w:pPr>
          </w:p>
          <w:p w:rsidR="00C31389" w:rsidRDefault="00561FBD" w14:paraId="60EF4CA1" w14:textId="77777777">
            <w:pPr>
              <w:pStyle w:val="TableParagraph"/>
              <w:spacing w:before="0"/>
              <w:ind w:left="129"/>
              <w:rPr>
                <w:sz w:val="20"/>
              </w:rPr>
            </w:pPr>
            <w:r>
              <w:rPr>
                <w:spacing w:val="-2"/>
                <w:sz w:val="20"/>
              </w:rPr>
              <w:t>Residential</w:t>
            </w:r>
          </w:p>
        </w:tc>
        <w:tc>
          <w:tcPr>
            <w:tcW w:w="1781" w:type="dxa"/>
            <w:tcBorders>
              <w:top w:val="single" w:color="D9D9D9" w:sz="2" w:space="0"/>
              <w:bottom w:val="single" w:color="D9D9D9" w:sz="2" w:space="0"/>
            </w:tcBorders>
          </w:tcPr>
          <w:p w:rsidR="00C31389" w:rsidRDefault="00C31389" w14:paraId="575BB294" w14:textId="77777777">
            <w:pPr>
              <w:pStyle w:val="TableParagraph"/>
              <w:spacing w:before="0"/>
              <w:rPr>
                <w:b/>
              </w:rPr>
            </w:pPr>
          </w:p>
          <w:p w:rsidR="00C31389" w:rsidRDefault="00C31389" w14:paraId="73DEAC6F" w14:textId="77777777">
            <w:pPr>
              <w:pStyle w:val="TableParagraph"/>
              <w:spacing w:before="6"/>
              <w:rPr>
                <w:b/>
                <w:sz w:val="21"/>
              </w:rPr>
            </w:pPr>
          </w:p>
          <w:p w:rsidR="00C31389" w:rsidRDefault="00561FBD" w14:paraId="408A01E7" w14:textId="77777777">
            <w:pPr>
              <w:pStyle w:val="TableParagraph"/>
              <w:spacing w:before="0"/>
              <w:ind w:left="140" w:right="156"/>
              <w:rPr>
                <w:sz w:val="20"/>
              </w:rPr>
            </w:pPr>
            <w:r>
              <w:rPr>
                <w:sz w:val="20"/>
              </w:rPr>
              <w:t>Large</w:t>
            </w:r>
            <w:r>
              <w:rPr>
                <w:spacing w:val="-14"/>
                <w:sz w:val="20"/>
              </w:rPr>
              <w:t xml:space="preserve"> </w:t>
            </w:r>
            <w:r>
              <w:rPr>
                <w:sz w:val="20"/>
              </w:rPr>
              <w:t xml:space="preserve">residential </w:t>
            </w:r>
            <w:r>
              <w:rPr>
                <w:spacing w:val="-2"/>
                <w:sz w:val="20"/>
              </w:rPr>
              <w:t>competitions</w:t>
            </w:r>
          </w:p>
        </w:tc>
        <w:tc>
          <w:tcPr>
            <w:tcW w:w="5180" w:type="dxa"/>
            <w:tcBorders>
              <w:top w:val="single" w:color="D9D9D9" w:sz="2" w:space="0"/>
              <w:bottom w:val="single" w:color="D9D9D9" w:sz="2" w:space="0"/>
            </w:tcBorders>
          </w:tcPr>
          <w:p w:rsidR="00C31389" w:rsidRDefault="00561FBD" w14:paraId="0977E432" w14:textId="77777777">
            <w:pPr>
              <w:pStyle w:val="TableParagraph"/>
              <w:ind w:left="159"/>
              <w:rPr>
                <w:sz w:val="20"/>
              </w:rPr>
            </w:pPr>
            <w:r>
              <w:rPr>
                <w:sz w:val="20"/>
              </w:rPr>
              <w:t xml:space="preserve">Organized competitions with more than 10,000 </w:t>
            </w:r>
            <w:r>
              <w:rPr>
                <w:sz w:val="20"/>
              </w:rPr>
              <w:t>participants</w:t>
            </w:r>
            <w:r>
              <w:rPr>
                <w:spacing w:val="-5"/>
                <w:sz w:val="20"/>
              </w:rPr>
              <w:t xml:space="preserve"> </w:t>
            </w:r>
            <w:r>
              <w:rPr>
                <w:sz w:val="20"/>
              </w:rPr>
              <w:t>per</w:t>
            </w:r>
            <w:r>
              <w:rPr>
                <w:spacing w:val="-5"/>
                <w:sz w:val="20"/>
              </w:rPr>
              <w:t xml:space="preserve"> </w:t>
            </w:r>
            <w:r>
              <w:rPr>
                <w:sz w:val="20"/>
              </w:rPr>
              <w:t>year</w:t>
            </w:r>
            <w:r>
              <w:rPr>
                <w:spacing w:val="-5"/>
                <w:sz w:val="20"/>
              </w:rPr>
              <w:t xml:space="preserve"> </w:t>
            </w:r>
            <w:r>
              <w:rPr>
                <w:sz w:val="20"/>
              </w:rPr>
              <w:t>in</w:t>
            </w:r>
            <w:r>
              <w:rPr>
                <w:spacing w:val="-7"/>
                <w:sz w:val="20"/>
              </w:rPr>
              <w:t xml:space="preserve"> </w:t>
            </w:r>
            <w:r>
              <w:rPr>
                <w:sz w:val="20"/>
              </w:rPr>
              <w:t>which</w:t>
            </w:r>
            <w:r>
              <w:rPr>
                <w:spacing w:val="-6"/>
                <w:sz w:val="20"/>
              </w:rPr>
              <w:t xml:space="preserve"> </w:t>
            </w:r>
            <w:r>
              <w:rPr>
                <w:sz w:val="20"/>
              </w:rPr>
              <w:t>participants</w:t>
            </w:r>
            <w:r>
              <w:rPr>
                <w:spacing w:val="-5"/>
                <w:sz w:val="20"/>
              </w:rPr>
              <w:t xml:space="preserve"> </w:t>
            </w:r>
            <w:r>
              <w:rPr>
                <w:sz w:val="20"/>
              </w:rPr>
              <w:t>compete</w:t>
            </w:r>
            <w:r>
              <w:rPr>
                <w:spacing w:val="-6"/>
                <w:sz w:val="20"/>
              </w:rPr>
              <w:t xml:space="preserve"> </w:t>
            </w:r>
            <w:r>
              <w:rPr>
                <w:sz w:val="20"/>
              </w:rPr>
              <w:t>in events, contests, or challenges to achieve a specific objective or the highest rank compared with other individuals or groups as they try to reach goals by reducing energy consumption</w:t>
            </w:r>
          </w:p>
        </w:tc>
        <w:tc>
          <w:tcPr>
            <w:tcW w:w="1076" w:type="dxa"/>
            <w:tcBorders>
              <w:top w:val="single" w:color="D9D9D9" w:sz="2" w:space="0"/>
              <w:bottom w:val="single" w:color="D9D9D9" w:sz="2" w:space="0"/>
            </w:tcBorders>
          </w:tcPr>
          <w:p w:rsidR="00C31389" w:rsidRDefault="00C31389" w14:paraId="577A0D82" w14:textId="77777777">
            <w:pPr>
              <w:pStyle w:val="TableParagraph"/>
              <w:spacing w:before="0"/>
              <w:rPr>
                <w:b/>
              </w:rPr>
            </w:pPr>
          </w:p>
          <w:p w:rsidR="00C31389" w:rsidRDefault="00C31389" w14:paraId="006508AD" w14:textId="77777777">
            <w:pPr>
              <w:pStyle w:val="TableParagraph"/>
              <w:spacing w:before="6"/>
              <w:rPr>
                <w:b/>
                <w:sz w:val="31"/>
              </w:rPr>
            </w:pPr>
          </w:p>
          <w:p w:rsidR="00C31389" w:rsidRDefault="00561FBD" w14:paraId="3F0A7D29" w14:textId="77777777">
            <w:pPr>
              <w:pStyle w:val="TableParagraph"/>
              <w:spacing w:before="0"/>
              <w:ind w:right="7"/>
              <w:jc w:val="center"/>
              <w:rPr>
                <w:sz w:val="20"/>
              </w:rPr>
            </w:pPr>
            <w:r>
              <w:rPr>
                <w:sz w:val="20"/>
              </w:rPr>
              <w:t>1</w:t>
            </w:r>
          </w:p>
        </w:tc>
      </w:tr>
      <w:tr w:rsidR="00C31389" w14:paraId="6F33475A" w14:textId="77777777">
        <w:trPr>
          <w:trHeight w:val="1229"/>
        </w:trPr>
        <w:tc>
          <w:tcPr>
            <w:tcW w:w="1339" w:type="dxa"/>
            <w:tcBorders>
              <w:top w:val="single" w:color="D9D9D9" w:sz="2" w:space="0"/>
              <w:bottom w:val="single" w:color="D9D9D9" w:sz="2" w:space="0"/>
            </w:tcBorders>
          </w:tcPr>
          <w:p w:rsidR="00C31389" w:rsidRDefault="00C31389" w14:paraId="41B049B8" w14:textId="77777777">
            <w:pPr>
              <w:pStyle w:val="TableParagraph"/>
              <w:spacing w:before="0"/>
              <w:rPr>
                <w:b/>
              </w:rPr>
            </w:pPr>
          </w:p>
          <w:p w:rsidR="00C31389" w:rsidRDefault="00C31389" w14:paraId="2308F62E" w14:textId="77777777">
            <w:pPr>
              <w:pStyle w:val="TableParagraph"/>
              <w:spacing w:before="5"/>
              <w:rPr>
                <w:b/>
                <w:sz w:val="21"/>
              </w:rPr>
            </w:pPr>
          </w:p>
          <w:p w:rsidR="00C31389" w:rsidRDefault="00561FBD" w14:paraId="29D9107D" w14:textId="77777777">
            <w:pPr>
              <w:pStyle w:val="TableParagraph"/>
              <w:spacing w:before="0"/>
              <w:ind w:left="129"/>
              <w:rPr>
                <w:sz w:val="20"/>
              </w:rPr>
            </w:pPr>
            <w:r>
              <w:rPr>
                <w:spacing w:val="-2"/>
                <w:sz w:val="20"/>
              </w:rPr>
              <w:t>Residential</w:t>
            </w:r>
          </w:p>
        </w:tc>
        <w:tc>
          <w:tcPr>
            <w:tcW w:w="1781" w:type="dxa"/>
            <w:tcBorders>
              <w:top w:val="single" w:color="D9D9D9" w:sz="2" w:space="0"/>
              <w:bottom w:val="single" w:color="D9D9D9" w:sz="2" w:space="0"/>
            </w:tcBorders>
          </w:tcPr>
          <w:p w:rsidR="00C31389" w:rsidRDefault="00C31389" w14:paraId="075A53B8" w14:textId="77777777">
            <w:pPr>
              <w:pStyle w:val="TableParagraph"/>
              <w:spacing w:before="0"/>
              <w:rPr>
                <w:b/>
              </w:rPr>
            </w:pPr>
          </w:p>
          <w:p w:rsidR="00C31389" w:rsidRDefault="00561FBD" w14:paraId="2F4A782F" w14:textId="77777777">
            <w:pPr>
              <w:pStyle w:val="TableParagraph"/>
              <w:spacing w:before="133"/>
              <w:ind w:left="140" w:right="289"/>
              <w:rPr>
                <w:sz w:val="20"/>
              </w:rPr>
            </w:pPr>
            <w:r>
              <w:rPr>
                <w:sz w:val="20"/>
              </w:rPr>
              <w:t>Universal</w:t>
            </w:r>
            <w:r>
              <w:rPr>
                <w:spacing w:val="-14"/>
                <w:sz w:val="20"/>
              </w:rPr>
              <w:t xml:space="preserve"> </w:t>
            </w:r>
            <w:r>
              <w:rPr>
                <w:sz w:val="20"/>
              </w:rPr>
              <w:t>Audit Tool (UAT)</w:t>
            </w:r>
          </w:p>
        </w:tc>
        <w:tc>
          <w:tcPr>
            <w:tcW w:w="5180" w:type="dxa"/>
            <w:tcBorders>
              <w:top w:val="single" w:color="D9D9D9" w:sz="2" w:space="0"/>
              <w:bottom w:val="single" w:color="D9D9D9" w:sz="2" w:space="0"/>
            </w:tcBorders>
          </w:tcPr>
          <w:p w:rsidR="00C31389" w:rsidRDefault="00561FBD" w14:paraId="56F181B5" w14:textId="77777777">
            <w:pPr>
              <w:pStyle w:val="TableParagraph"/>
              <w:ind w:left="159" w:right="193"/>
              <w:rPr>
                <w:sz w:val="20"/>
              </w:rPr>
            </w:pPr>
            <w:r>
              <w:rPr>
                <w:sz w:val="20"/>
              </w:rPr>
              <w:t>An opt in online tool that asks residential customers questions about their homes, their use of household appliances,</w:t>
            </w:r>
            <w:r>
              <w:rPr>
                <w:spacing w:val="-6"/>
                <w:sz w:val="20"/>
              </w:rPr>
              <w:t xml:space="preserve"> </w:t>
            </w:r>
            <w:r>
              <w:rPr>
                <w:sz w:val="20"/>
              </w:rPr>
              <w:t>and</w:t>
            </w:r>
            <w:r>
              <w:rPr>
                <w:spacing w:val="-6"/>
                <w:sz w:val="20"/>
              </w:rPr>
              <w:t xml:space="preserve"> </w:t>
            </w:r>
            <w:r>
              <w:rPr>
                <w:sz w:val="20"/>
              </w:rPr>
              <w:t>occupancy</w:t>
            </w:r>
            <w:r>
              <w:rPr>
                <w:spacing w:val="-5"/>
                <w:sz w:val="20"/>
              </w:rPr>
              <w:t xml:space="preserve"> </w:t>
            </w:r>
            <w:r>
              <w:rPr>
                <w:sz w:val="20"/>
              </w:rPr>
              <w:t>patterns;</w:t>
            </w:r>
            <w:r>
              <w:rPr>
                <w:spacing w:val="-7"/>
                <w:sz w:val="20"/>
              </w:rPr>
              <w:t xml:space="preserve"> </w:t>
            </w:r>
            <w:r>
              <w:rPr>
                <w:sz w:val="20"/>
              </w:rPr>
              <w:t>it</w:t>
            </w:r>
            <w:r>
              <w:rPr>
                <w:spacing w:val="-6"/>
                <w:sz w:val="20"/>
              </w:rPr>
              <w:t xml:space="preserve"> </w:t>
            </w:r>
            <w:r>
              <w:rPr>
                <w:sz w:val="20"/>
              </w:rPr>
              <w:t>then</w:t>
            </w:r>
            <w:r>
              <w:rPr>
                <w:spacing w:val="-6"/>
                <w:sz w:val="20"/>
              </w:rPr>
              <w:t xml:space="preserve"> </w:t>
            </w:r>
            <w:r>
              <w:rPr>
                <w:sz w:val="20"/>
              </w:rPr>
              <w:t>offers</w:t>
            </w:r>
            <w:r>
              <w:rPr>
                <w:spacing w:val="-5"/>
                <w:sz w:val="20"/>
              </w:rPr>
              <w:t xml:space="preserve"> </w:t>
            </w:r>
            <w:r>
              <w:rPr>
                <w:sz w:val="20"/>
              </w:rPr>
              <w:t xml:space="preserve">EE advice regarding ways they can save money and </w:t>
            </w:r>
            <w:r>
              <w:rPr>
                <w:spacing w:val="-2"/>
                <w:sz w:val="20"/>
              </w:rPr>
              <w:t>energy</w:t>
            </w:r>
          </w:p>
        </w:tc>
        <w:tc>
          <w:tcPr>
            <w:tcW w:w="1076" w:type="dxa"/>
            <w:tcBorders>
              <w:top w:val="single" w:color="D9D9D9" w:sz="2" w:space="0"/>
              <w:bottom w:val="single" w:color="D9D9D9" w:sz="2" w:space="0"/>
            </w:tcBorders>
          </w:tcPr>
          <w:p w:rsidR="00C31389" w:rsidRDefault="00C31389" w14:paraId="0A09E668" w14:textId="77777777">
            <w:pPr>
              <w:pStyle w:val="TableParagraph"/>
              <w:spacing w:before="0"/>
              <w:rPr>
                <w:b/>
              </w:rPr>
            </w:pPr>
          </w:p>
          <w:p w:rsidR="00C31389" w:rsidRDefault="00C31389" w14:paraId="38D8DB9B" w14:textId="77777777">
            <w:pPr>
              <w:pStyle w:val="TableParagraph"/>
              <w:spacing w:before="5"/>
              <w:rPr>
                <w:b/>
                <w:sz w:val="21"/>
              </w:rPr>
            </w:pPr>
          </w:p>
          <w:p w:rsidR="00C31389" w:rsidRDefault="00561FBD" w14:paraId="726D8925" w14:textId="77777777">
            <w:pPr>
              <w:pStyle w:val="TableParagraph"/>
              <w:spacing w:before="0"/>
              <w:ind w:right="6"/>
              <w:jc w:val="center"/>
              <w:rPr>
                <w:sz w:val="20"/>
              </w:rPr>
            </w:pPr>
            <w:r>
              <w:rPr>
                <w:sz w:val="20"/>
              </w:rPr>
              <w:t>1</w:t>
            </w:r>
          </w:p>
        </w:tc>
      </w:tr>
      <w:tr w:rsidR="00C31389" w14:paraId="66309BC1" w14:textId="77777777">
        <w:trPr>
          <w:trHeight w:val="1460"/>
        </w:trPr>
        <w:tc>
          <w:tcPr>
            <w:tcW w:w="1339" w:type="dxa"/>
            <w:tcBorders>
              <w:top w:val="single" w:color="D9D9D9" w:sz="2" w:space="0"/>
              <w:bottom w:val="single" w:color="D9D9D9" w:sz="2" w:space="0"/>
            </w:tcBorders>
          </w:tcPr>
          <w:p w:rsidR="00C31389" w:rsidRDefault="00C31389" w14:paraId="1D452BBA" w14:textId="77777777">
            <w:pPr>
              <w:pStyle w:val="TableParagraph"/>
              <w:spacing w:before="0"/>
              <w:rPr>
                <w:b/>
              </w:rPr>
            </w:pPr>
          </w:p>
          <w:p w:rsidR="00C31389" w:rsidRDefault="00C31389" w14:paraId="01AB44EF" w14:textId="77777777">
            <w:pPr>
              <w:pStyle w:val="TableParagraph"/>
              <w:spacing w:before="5"/>
              <w:rPr>
                <w:b/>
                <w:sz w:val="31"/>
              </w:rPr>
            </w:pPr>
          </w:p>
          <w:p w:rsidR="00C31389" w:rsidRDefault="00561FBD" w14:paraId="22802771" w14:textId="77777777">
            <w:pPr>
              <w:pStyle w:val="TableParagraph"/>
              <w:spacing w:before="0"/>
              <w:ind w:left="129"/>
              <w:rPr>
                <w:sz w:val="20"/>
              </w:rPr>
            </w:pPr>
            <w:r>
              <w:rPr>
                <w:spacing w:val="-2"/>
                <w:sz w:val="20"/>
              </w:rPr>
              <w:t>Commercial</w:t>
            </w:r>
          </w:p>
        </w:tc>
        <w:tc>
          <w:tcPr>
            <w:tcW w:w="1781" w:type="dxa"/>
            <w:tcBorders>
              <w:top w:val="single" w:color="D9D9D9" w:sz="2" w:space="0"/>
              <w:bottom w:val="single" w:color="D9D9D9" w:sz="2" w:space="0"/>
            </w:tcBorders>
          </w:tcPr>
          <w:p w:rsidR="00C31389" w:rsidRDefault="00C31389" w14:paraId="2975F0BF" w14:textId="77777777">
            <w:pPr>
              <w:pStyle w:val="TableParagraph"/>
              <w:spacing w:before="0"/>
              <w:rPr>
                <w:b/>
              </w:rPr>
            </w:pPr>
          </w:p>
          <w:p w:rsidR="00C31389" w:rsidRDefault="00C31389" w14:paraId="2CA19FF0" w14:textId="77777777">
            <w:pPr>
              <w:pStyle w:val="TableParagraph"/>
              <w:spacing w:before="5"/>
              <w:rPr>
                <w:b/>
                <w:sz w:val="21"/>
              </w:rPr>
            </w:pPr>
          </w:p>
          <w:p w:rsidR="00C31389" w:rsidRDefault="00561FBD" w14:paraId="4F8177C7" w14:textId="77777777">
            <w:pPr>
              <w:pStyle w:val="TableParagraph"/>
              <w:spacing w:before="0"/>
              <w:ind w:left="140"/>
              <w:rPr>
                <w:sz w:val="20"/>
              </w:rPr>
            </w:pPr>
            <w:r>
              <w:rPr>
                <w:spacing w:val="-2"/>
                <w:sz w:val="20"/>
              </w:rPr>
              <w:t>Commercial competitions</w:t>
            </w:r>
          </w:p>
        </w:tc>
        <w:tc>
          <w:tcPr>
            <w:tcW w:w="5180" w:type="dxa"/>
            <w:tcBorders>
              <w:top w:val="single" w:color="D9D9D9" w:sz="2" w:space="0"/>
              <w:bottom w:val="single" w:color="D9D9D9" w:sz="2" w:space="0"/>
            </w:tcBorders>
          </w:tcPr>
          <w:p w:rsidR="00C31389" w:rsidRDefault="00561FBD" w14:paraId="34DCF2F9" w14:textId="77777777">
            <w:pPr>
              <w:pStyle w:val="TableParagraph"/>
              <w:ind w:left="159" w:right="193"/>
              <w:rPr>
                <w:sz w:val="20"/>
              </w:rPr>
            </w:pPr>
            <w:r>
              <w:rPr>
                <w:sz w:val="20"/>
              </w:rPr>
              <w:t>Organized</w:t>
            </w:r>
            <w:r>
              <w:rPr>
                <w:spacing w:val="-8"/>
                <w:sz w:val="20"/>
              </w:rPr>
              <w:t xml:space="preserve"> </w:t>
            </w:r>
            <w:r>
              <w:rPr>
                <w:sz w:val="20"/>
              </w:rPr>
              <w:t>competitions</w:t>
            </w:r>
            <w:r>
              <w:rPr>
                <w:spacing w:val="-7"/>
                <w:sz w:val="20"/>
              </w:rPr>
              <w:t xml:space="preserve"> </w:t>
            </w:r>
            <w:r>
              <w:rPr>
                <w:sz w:val="20"/>
              </w:rPr>
              <w:t>between</w:t>
            </w:r>
            <w:r>
              <w:rPr>
                <w:spacing w:val="-9"/>
                <w:sz w:val="20"/>
              </w:rPr>
              <w:t xml:space="preserve"> </w:t>
            </w:r>
            <w:r>
              <w:rPr>
                <w:sz w:val="20"/>
              </w:rPr>
              <w:t>cities,</w:t>
            </w:r>
            <w:r>
              <w:rPr>
                <w:spacing w:val="-9"/>
                <w:sz w:val="20"/>
              </w:rPr>
              <w:t xml:space="preserve"> </w:t>
            </w:r>
            <w:r>
              <w:rPr>
                <w:sz w:val="20"/>
              </w:rPr>
              <w:t>businesses,</w:t>
            </w:r>
            <w:r>
              <w:rPr>
                <w:spacing w:val="-8"/>
                <w:sz w:val="20"/>
              </w:rPr>
              <w:t xml:space="preserve"> </w:t>
            </w:r>
            <w:r>
              <w:rPr>
                <w:sz w:val="20"/>
              </w:rPr>
              <w:t xml:space="preserve">or tenants in multi-unit buildings in which participants compete in events, contests, or </w:t>
            </w:r>
            <w:r>
              <w:rPr>
                <w:sz w:val="20"/>
              </w:rPr>
              <w:t>challenges to achieve a specific objective or the highest rank compared with other groups as they try to reach goals by reducing energy consumption</w:t>
            </w:r>
          </w:p>
        </w:tc>
        <w:tc>
          <w:tcPr>
            <w:tcW w:w="1076" w:type="dxa"/>
            <w:tcBorders>
              <w:top w:val="single" w:color="D9D9D9" w:sz="2" w:space="0"/>
              <w:bottom w:val="single" w:color="D9D9D9" w:sz="2" w:space="0"/>
            </w:tcBorders>
          </w:tcPr>
          <w:p w:rsidR="00C31389" w:rsidRDefault="00C31389" w14:paraId="1B620098" w14:textId="77777777">
            <w:pPr>
              <w:pStyle w:val="TableParagraph"/>
              <w:spacing w:before="0"/>
              <w:rPr>
                <w:b/>
              </w:rPr>
            </w:pPr>
          </w:p>
          <w:p w:rsidR="00C31389" w:rsidRDefault="00C31389" w14:paraId="19BD7B4C" w14:textId="77777777">
            <w:pPr>
              <w:pStyle w:val="TableParagraph"/>
              <w:spacing w:before="6"/>
              <w:rPr>
                <w:b/>
                <w:sz w:val="31"/>
              </w:rPr>
            </w:pPr>
          </w:p>
          <w:p w:rsidR="00C31389" w:rsidRDefault="00561FBD" w14:paraId="152FCF4E" w14:textId="77777777">
            <w:pPr>
              <w:pStyle w:val="TableParagraph"/>
              <w:spacing w:before="0"/>
              <w:ind w:right="6"/>
              <w:jc w:val="center"/>
              <w:rPr>
                <w:sz w:val="20"/>
              </w:rPr>
            </w:pPr>
            <w:r>
              <w:rPr>
                <w:sz w:val="20"/>
              </w:rPr>
              <w:t>2</w:t>
            </w:r>
          </w:p>
        </w:tc>
      </w:tr>
      <w:tr w:rsidR="00C31389" w14:paraId="0299F5A3" w14:textId="77777777">
        <w:trPr>
          <w:trHeight w:val="1229"/>
        </w:trPr>
        <w:tc>
          <w:tcPr>
            <w:tcW w:w="1339" w:type="dxa"/>
            <w:tcBorders>
              <w:top w:val="single" w:color="D9D9D9" w:sz="2" w:space="0"/>
              <w:bottom w:val="single" w:color="D9D9D9" w:sz="2" w:space="0"/>
            </w:tcBorders>
          </w:tcPr>
          <w:p w:rsidR="00C31389" w:rsidRDefault="00C31389" w14:paraId="71D432B2" w14:textId="77777777">
            <w:pPr>
              <w:pStyle w:val="TableParagraph"/>
              <w:spacing w:before="0"/>
              <w:rPr>
                <w:b/>
              </w:rPr>
            </w:pPr>
          </w:p>
          <w:p w:rsidR="00C31389" w:rsidRDefault="00C31389" w14:paraId="74A9D2F8" w14:textId="77777777">
            <w:pPr>
              <w:pStyle w:val="TableParagraph"/>
              <w:spacing w:before="5"/>
              <w:rPr>
                <w:b/>
                <w:sz w:val="21"/>
              </w:rPr>
            </w:pPr>
          </w:p>
          <w:p w:rsidR="00C31389" w:rsidRDefault="00561FBD" w14:paraId="320F5B1F" w14:textId="77777777">
            <w:pPr>
              <w:pStyle w:val="TableParagraph"/>
              <w:spacing w:before="0"/>
              <w:ind w:left="129"/>
              <w:rPr>
                <w:sz w:val="20"/>
              </w:rPr>
            </w:pPr>
            <w:r>
              <w:rPr>
                <w:spacing w:val="-2"/>
                <w:sz w:val="20"/>
              </w:rPr>
              <w:t>Commercial</w:t>
            </w:r>
          </w:p>
        </w:tc>
        <w:tc>
          <w:tcPr>
            <w:tcW w:w="1781" w:type="dxa"/>
            <w:tcBorders>
              <w:top w:val="single" w:color="D9D9D9" w:sz="2" w:space="0"/>
              <w:bottom w:val="single" w:color="D9D9D9" w:sz="2" w:space="0"/>
            </w:tcBorders>
          </w:tcPr>
          <w:p w:rsidR="00C31389" w:rsidRDefault="00C31389" w14:paraId="122784D0" w14:textId="77777777">
            <w:pPr>
              <w:pStyle w:val="TableParagraph"/>
              <w:spacing w:before="0"/>
              <w:rPr>
                <w:b/>
              </w:rPr>
            </w:pPr>
          </w:p>
          <w:p w:rsidR="00C31389" w:rsidRDefault="00561FBD" w14:paraId="111EDD28" w14:textId="77777777">
            <w:pPr>
              <w:pStyle w:val="TableParagraph"/>
              <w:spacing w:before="131"/>
              <w:ind w:left="140" w:right="156"/>
              <w:rPr>
                <w:sz w:val="20"/>
              </w:rPr>
            </w:pPr>
            <w:r>
              <w:rPr>
                <w:sz w:val="20"/>
              </w:rPr>
              <w:t>Business</w:t>
            </w:r>
            <w:r>
              <w:rPr>
                <w:spacing w:val="-14"/>
                <w:sz w:val="20"/>
              </w:rPr>
              <w:t xml:space="preserve"> </w:t>
            </w:r>
            <w:r>
              <w:rPr>
                <w:sz w:val="20"/>
              </w:rPr>
              <w:t>energy reports (BERs)</w:t>
            </w:r>
          </w:p>
        </w:tc>
        <w:tc>
          <w:tcPr>
            <w:tcW w:w="5180" w:type="dxa"/>
            <w:tcBorders>
              <w:top w:val="single" w:color="D9D9D9" w:sz="2" w:space="0"/>
              <w:bottom w:val="single" w:color="D9D9D9" w:sz="2" w:space="0"/>
            </w:tcBorders>
          </w:tcPr>
          <w:p w:rsidR="00C31389" w:rsidRDefault="00561FBD" w14:paraId="681706D8" w14:textId="77777777">
            <w:pPr>
              <w:pStyle w:val="TableParagraph"/>
              <w:ind w:left="159" w:right="193"/>
              <w:rPr>
                <w:sz w:val="20"/>
              </w:rPr>
            </w:pPr>
            <w:r>
              <w:rPr>
                <w:sz w:val="20"/>
              </w:rPr>
              <w:t xml:space="preserve">Reports periodically mailed to small and midsize </w:t>
            </w:r>
            <w:r>
              <w:rPr>
                <w:sz w:val="20"/>
              </w:rPr>
              <w:t>businesses to provide feedback about their energy use, including normative comparisons to similar businesses,</w:t>
            </w:r>
            <w:r>
              <w:rPr>
                <w:spacing w:val="-7"/>
                <w:sz w:val="20"/>
              </w:rPr>
              <w:t xml:space="preserve"> </w:t>
            </w:r>
            <w:r>
              <w:rPr>
                <w:sz w:val="20"/>
              </w:rPr>
              <w:t>tips</w:t>
            </w:r>
            <w:r>
              <w:rPr>
                <w:spacing w:val="-6"/>
                <w:sz w:val="20"/>
              </w:rPr>
              <w:t xml:space="preserve"> </w:t>
            </w:r>
            <w:r>
              <w:rPr>
                <w:sz w:val="20"/>
              </w:rPr>
              <w:t>for</w:t>
            </w:r>
            <w:r>
              <w:rPr>
                <w:spacing w:val="-6"/>
                <w:sz w:val="20"/>
              </w:rPr>
              <w:t xml:space="preserve"> </w:t>
            </w:r>
            <w:r>
              <w:rPr>
                <w:sz w:val="20"/>
              </w:rPr>
              <w:t>improving</w:t>
            </w:r>
            <w:r>
              <w:rPr>
                <w:spacing w:val="-7"/>
                <w:sz w:val="20"/>
              </w:rPr>
              <w:t xml:space="preserve"> </w:t>
            </w:r>
            <w:r>
              <w:rPr>
                <w:sz w:val="20"/>
              </w:rPr>
              <w:t>EE,</w:t>
            </w:r>
            <w:r>
              <w:rPr>
                <w:spacing w:val="-7"/>
                <w:sz w:val="20"/>
              </w:rPr>
              <w:t xml:space="preserve"> </w:t>
            </w:r>
            <w:r>
              <w:rPr>
                <w:sz w:val="20"/>
              </w:rPr>
              <w:t>and</w:t>
            </w:r>
            <w:r>
              <w:rPr>
                <w:spacing w:val="-7"/>
                <w:sz w:val="20"/>
              </w:rPr>
              <w:t xml:space="preserve"> </w:t>
            </w:r>
            <w:r>
              <w:rPr>
                <w:sz w:val="20"/>
              </w:rPr>
              <w:t>occasionally messaging about rewards or incentives</w:t>
            </w:r>
          </w:p>
        </w:tc>
        <w:tc>
          <w:tcPr>
            <w:tcW w:w="1076" w:type="dxa"/>
            <w:tcBorders>
              <w:top w:val="single" w:color="D9D9D9" w:sz="2" w:space="0"/>
              <w:bottom w:val="single" w:color="D9D9D9" w:sz="2" w:space="0"/>
            </w:tcBorders>
          </w:tcPr>
          <w:p w:rsidR="00C31389" w:rsidRDefault="00C31389" w14:paraId="566E78F7" w14:textId="77777777">
            <w:pPr>
              <w:pStyle w:val="TableParagraph"/>
              <w:spacing w:before="0"/>
              <w:rPr>
                <w:b/>
              </w:rPr>
            </w:pPr>
          </w:p>
          <w:p w:rsidR="00C31389" w:rsidRDefault="00C31389" w14:paraId="6723762B" w14:textId="77777777">
            <w:pPr>
              <w:pStyle w:val="TableParagraph"/>
              <w:spacing w:before="5"/>
              <w:rPr>
                <w:b/>
                <w:sz w:val="21"/>
              </w:rPr>
            </w:pPr>
          </w:p>
          <w:p w:rsidR="00C31389" w:rsidRDefault="00561FBD" w14:paraId="567932AD" w14:textId="77777777">
            <w:pPr>
              <w:pStyle w:val="TableParagraph"/>
              <w:spacing w:before="0"/>
              <w:ind w:right="6"/>
              <w:jc w:val="center"/>
              <w:rPr>
                <w:sz w:val="20"/>
              </w:rPr>
            </w:pPr>
            <w:r>
              <w:rPr>
                <w:sz w:val="20"/>
              </w:rPr>
              <w:t>2</w:t>
            </w:r>
          </w:p>
        </w:tc>
      </w:tr>
      <w:tr w:rsidR="00C31389" w14:paraId="12560C6C" w14:textId="77777777">
        <w:trPr>
          <w:trHeight w:val="1000"/>
        </w:trPr>
        <w:tc>
          <w:tcPr>
            <w:tcW w:w="1339" w:type="dxa"/>
            <w:tcBorders>
              <w:top w:val="single" w:color="D9D9D9" w:sz="2" w:space="0"/>
              <w:bottom w:val="single" w:color="000000" w:sz="8" w:space="0"/>
            </w:tcBorders>
          </w:tcPr>
          <w:p w:rsidR="00C31389" w:rsidRDefault="00C31389" w14:paraId="67711912" w14:textId="77777777">
            <w:pPr>
              <w:pStyle w:val="TableParagraph"/>
              <w:spacing w:before="0"/>
              <w:rPr>
                <w:b/>
              </w:rPr>
            </w:pPr>
          </w:p>
          <w:p w:rsidR="00C31389" w:rsidRDefault="00561FBD" w14:paraId="78DBC3D8" w14:textId="77777777">
            <w:pPr>
              <w:pStyle w:val="TableParagraph"/>
              <w:spacing w:before="131"/>
              <w:ind w:left="129"/>
              <w:rPr>
                <w:sz w:val="20"/>
              </w:rPr>
            </w:pPr>
            <w:r>
              <w:rPr>
                <w:spacing w:val="-2"/>
                <w:sz w:val="20"/>
              </w:rPr>
              <w:t>Commercial</w:t>
            </w:r>
          </w:p>
        </w:tc>
        <w:tc>
          <w:tcPr>
            <w:tcW w:w="1781" w:type="dxa"/>
            <w:tcBorders>
              <w:top w:val="single" w:color="D9D9D9" w:sz="2" w:space="0"/>
              <w:bottom w:val="single" w:color="000000" w:sz="8" w:space="0"/>
            </w:tcBorders>
          </w:tcPr>
          <w:p w:rsidR="00C31389" w:rsidRDefault="00C31389" w14:paraId="21F5336D" w14:textId="77777777">
            <w:pPr>
              <w:pStyle w:val="TableParagraph"/>
              <w:spacing w:before="6"/>
              <w:rPr>
                <w:b/>
                <w:sz w:val="23"/>
              </w:rPr>
            </w:pPr>
          </w:p>
          <w:p w:rsidR="00C31389" w:rsidRDefault="00561FBD" w14:paraId="56C29D1C" w14:textId="77777777">
            <w:pPr>
              <w:pStyle w:val="TableParagraph"/>
              <w:spacing w:before="0"/>
              <w:ind w:left="140"/>
              <w:rPr>
                <w:sz w:val="20"/>
              </w:rPr>
            </w:pPr>
            <w:r>
              <w:rPr>
                <w:spacing w:val="-2"/>
                <w:sz w:val="20"/>
              </w:rPr>
              <w:t>Building benchmarking</w:t>
            </w:r>
          </w:p>
        </w:tc>
        <w:tc>
          <w:tcPr>
            <w:tcW w:w="5180" w:type="dxa"/>
            <w:tcBorders>
              <w:top w:val="single" w:color="D9D9D9" w:sz="2" w:space="0"/>
              <w:bottom w:val="single" w:color="000000" w:sz="8" w:space="0"/>
            </w:tcBorders>
          </w:tcPr>
          <w:p w:rsidR="00C31389" w:rsidRDefault="00561FBD" w14:paraId="03122413" w14:textId="77777777">
            <w:pPr>
              <w:pStyle w:val="TableParagraph"/>
              <w:ind w:left="159"/>
              <w:rPr>
                <w:sz w:val="20"/>
              </w:rPr>
            </w:pPr>
            <w:r>
              <w:rPr>
                <w:sz w:val="20"/>
              </w:rPr>
              <w:t xml:space="preserve">Scores a business </w:t>
            </w:r>
            <w:r>
              <w:rPr>
                <w:sz w:val="20"/>
              </w:rPr>
              <w:t>customer’s facility or plant and compares</w:t>
            </w:r>
            <w:r>
              <w:rPr>
                <w:spacing w:val="-5"/>
                <w:sz w:val="20"/>
              </w:rPr>
              <w:t xml:space="preserve"> </w:t>
            </w:r>
            <w:r>
              <w:rPr>
                <w:sz w:val="20"/>
              </w:rPr>
              <w:t>it</w:t>
            </w:r>
            <w:r>
              <w:rPr>
                <w:spacing w:val="-6"/>
                <w:sz w:val="20"/>
              </w:rPr>
              <w:t xml:space="preserve"> </w:t>
            </w:r>
            <w:r>
              <w:rPr>
                <w:sz w:val="20"/>
              </w:rPr>
              <w:t>with</w:t>
            </w:r>
            <w:r>
              <w:rPr>
                <w:spacing w:val="-5"/>
                <w:sz w:val="20"/>
              </w:rPr>
              <w:t xml:space="preserve"> </w:t>
            </w:r>
            <w:r>
              <w:rPr>
                <w:sz w:val="20"/>
              </w:rPr>
              <w:t>other</w:t>
            </w:r>
            <w:r>
              <w:rPr>
                <w:spacing w:val="-5"/>
                <w:sz w:val="20"/>
              </w:rPr>
              <w:t xml:space="preserve"> </w:t>
            </w:r>
            <w:r>
              <w:rPr>
                <w:sz w:val="20"/>
              </w:rPr>
              <w:t>peer</w:t>
            </w:r>
            <w:r>
              <w:rPr>
                <w:spacing w:val="-5"/>
                <w:sz w:val="20"/>
              </w:rPr>
              <w:t xml:space="preserve"> </w:t>
            </w:r>
            <w:r>
              <w:rPr>
                <w:sz w:val="20"/>
              </w:rPr>
              <w:t>facilities</w:t>
            </w:r>
            <w:r>
              <w:rPr>
                <w:spacing w:val="-5"/>
                <w:sz w:val="20"/>
              </w:rPr>
              <w:t xml:space="preserve"> </w:t>
            </w:r>
            <w:r>
              <w:rPr>
                <w:sz w:val="20"/>
              </w:rPr>
              <w:t>based</w:t>
            </w:r>
            <w:r>
              <w:rPr>
                <w:spacing w:val="-5"/>
                <w:sz w:val="20"/>
              </w:rPr>
              <w:t xml:space="preserve"> </w:t>
            </w:r>
            <w:r>
              <w:rPr>
                <w:sz w:val="20"/>
              </w:rPr>
              <w:t>on</w:t>
            </w:r>
            <w:r>
              <w:rPr>
                <w:spacing w:val="-5"/>
                <w:sz w:val="20"/>
              </w:rPr>
              <w:t xml:space="preserve"> </w:t>
            </w:r>
            <w:r>
              <w:rPr>
                <w:sz w:val="20"/>
              </w:rPr>
              <w:t>energy consumption; it also often includes goal setting and rewards in the form of recognition*</w:t>
            </w:r>
          </w:p>
        </w:tc>
        <w:tc>
          <w:tcPr>
            <w:tcW w:w="1076" w:type="dxa"/>
            <w:tcBorders>
              <w:top w:val="single" w:color="D9D9D9" w:sz="2" w:space="0"/>
              <w:bottom w:val="single" w:color="000000" w:sz="8" w:space="0"/>
            </w:tcBorders>
          </w:tcPr>
          <w:p w:rsidR="00C31389" w:rsidRDefault="00C31389" w14:paraId="69FEABC4" w14:textId="77777777">
            <w:pPr>
              <w:pStyle w:val="TableParagraph"/>
              <w:spacing w:before="0"/>
              <w:rPr>
                <w:b/>
              </w:rPr>
            </w:pPr>
          </w:p>
          <w:p w:rsidR="00C31389" w:rsidRDefault="00561FBD" w14:paraId="6A106741" w14:textId="77777777">
            <w:pPr>
              <w:pStyle w:val="TableParagraph"/>
              <w:spacing w:before="132"/>
              <w:ind w:right="6"/>
              <w:jc w:val="center"/>
              <w:rPr>
                <w:sz w:val="20"/>
              </w:rPr>
            </w:pPr>
            <w:r>
              <w:rPr>
                <w:sz w:val="20"/>
              </w:rPr>
              <w:t>2</w:t>
            </w:r>
          </w:p>
        </w:tc>
      </w:tr>
    </w:tbl>
    <w:p w:rsidR="00C31389" w:rsidRDefault="00C31389" w14:paraId="0A273C9E" w14:textId="77777777">
      <w:pPr>
        <w:jc w:val="center"/>
        <w:rPr>
          <w:sz w:val="20"/>
        </w:rPr>
        <w:sectPr w:rsidR="00C31389">
          <w:pgSz w:w="12240" w:h="15840"/>
          <w:pgMar w:top="1660" w:right="960" w:bottom="1120" w:left="960" w:header="397" w:footer="936" w:gutter="0"/>
          <w:cols w:space="720"/>
        </w:sectPr>
      </w:pPr>
    </w:p>
    <w:p w:rsidR="00C31389" w:rsidRDefault="00C31389" w14:paraId="1E4D216A" w14:textId="77777777">
      <w:pPr>
        <w:pStyle w:val="BodyText"/>
        <w:rPr>
          <w:b/>
        </w:rPr>
      </w:pPr>
    </w:p>
    <w:tbl>
      <w:tblPr>
        <w:tblW w:w="0" w:type="auto"/>
        <w:tblInd w:w="473" w:type="dxa"/>
        <w:tblLayout w:type="fixed"/>
        <w:tblCellMar>
          <w:left w:w="0" w:type="dxa"/>
          <w:right w:w="0" w:type="dxa"/>
        </w:tblCellMar>
        <w:tblLook w:val="01E0" w:firstRow="1" w:lastRow="1" w:firstColumn="1" w:lastColumn="1" w:noHBand="0" w:noVBand="0"/>
      </w:tblPr>
      <w:tblGrid>
        <w:gridCol w:w="1339"/>
        <w:gridCol w:w="1797"/>
        <w:gridCol w:w="5159"/>
        <w:gridCol w:w="1080"/>
      </w:tblGrid>
      <w:tr w:rsidR="00C31389" w14:paraId="32E503B2" w14:textId="77777777">
        <w:trPr>
          <w:trHeight w:val="252"/>
        </w:trPr>
        <w:tc>
          <w:tcPr>
            <w:tcW w:w="1339" w:type="dxa"/>
            <w:tcBorders>
              <w:top w:val="single" w:color="8B8B8B" w:sz="8" w:space="0"/>
            </w:tcBorders>
          </w:tcPr>
          <w:p w:rsidR="00C31389" w:rsidRDefault="00C31389" w14:paraId="100792D6" w14:textId="77777777">
            <w:pPr>
              <w:pStyle w:val="TableParagraph"/>
              <w:spacing w:before="0"/>
              <w:rPr>
                <w:rFonts w:ascii="Times New Roman"/>
                <w:sz w:val="18"/>
              </w:rPr>
            </w:pPr>
          </w:p>
        </w:tc>
        <w:tc>
          <w:tcPr>
            <w:tcW w:w="1797" w:type="dxa"/>
            <w:tcBorders>
              <w:top w:val="single" w:color="8B8B8B" w:sz="8" w:space="0"/>
            </w:tcBorders>
          </w:tcPr>
          <w:p w:rsidR="00C31389" w:rsidRDefault="00C31389" w14:paraId="0D98DF7B" w14:textId="77777777">
            <w:pPr>
              <w:pStyle w:val="TableParagraph"/>
              <w:spacing w:before="0"/>
              <w:rPr>
                <w:rFonts w:ascii="Times New Roman"/>
                <w:sz w:val="18"/>
              </w:rPr>
            </w:pPr>
          </w:p>
        </w:tc>
        <w:tc>
          <w:tcPr>
            <w:tcW w:w="5159" w:type="dxa"/>
            <w:tcBorders>
              <w:top w:val="single" w:color="8B8B8B" w:sz="8" w:space="0"/>
            </w:tcBorders>
          </w:tcPr>
          <w:p w:rsidR="00C31389" w:rsidRDefault="00C31389" w14:paraId="3CC22CF4" w14:textId="77777777">
            <w:pPr>
              <w:pStyle w:val="TableParagraph"/>
              <w:spacing w:before="0"/>
              <w:rPr>
                <w:rFonts w:ascii="Times New Roman"/>
                <w:sz w:val="18"/>
              </w:rPr>
            </w:pPr>
          </w:p>
        </w:tc>
        <w:tc>
          <w:tcPr>
            <w:tcW w:w="1080" w:type="dxa"/>
            <w:tcBorders>
              <w:top w:val="single" w:color="8B8B8B" w:sz="8" w:space="0"/>
            </w:tcBorders>
          </w:tcPr>
          <w:p w:rsidR="00C31389" w:rsidRDefault="00C31389" w14:paraId="00435A1F" w14:textId="77777777">
            <w:pPr>
              <w:pStyle w:val="TableParagraph"/>
              <w:spacing w:before="0"/>
              <w:rPr>
                <w:rFonts w:ascii="Times New Roman"/>
                <w:sz w:val="18"/>
              </w:rPr>
            </w:pPr>
          </w:p>
        </w:tc>
      </w:tr>
      <w:tr w:rsidR="00C31389" w14:paraId="2D4EB9F3" w14:textId="77777777">
        <w:trPr>
          <w:trHeight w:val="864"/>
        </w:trPr>
        <w:tc>
          <w:tcPr>
            <w:tcW w:w="1339" w:type="dxa"/>
            <w:shd w:val="clear" w:color="auto" w:fill="92D400"/>
          </w:tcPr>
          <w:p w:rsidR="00C31389" w:rsidRDefault="00C31389" w14:paraId="16CB927E" w14:textId="77777777">
            <w:pPr>
              <w:pStyle w:val="TableParagraph"/>
              <w:spacing w:before="2"/>
              <w:rPr>
                <w:b/>
                <w:sz w:val="27"/>
              </w:rPr>
            </w:pPr>
          </w:p>
          <w:p w:rsidR="00C31389" w:rsidRDefault="00561FBD" w14:paraId="1ABFB0EF" w14:textId="77777777">
            <w:pPr>
              <w:pStyle w:val="TableParagraph"/>
              <w:spacing w:before="0"/>
              <w:ind w:left="129"/>
              <w:rPr>
                <w:b/>
                <w:sz w:val="20"/>
              </w:rPr>
            </w:pPr>
            <w:r>
              <w:rPr>
                <w:b/>
                <w:spacing w:val="-2"/>
                <w:sz w:val="20"/>
              </w:rPr>
              <w:t>Sector</w:t>
            </w:r>
          </w:p>
        </w:tc>
        <w:tc>
          <w:tcPr>
            <w:tcW w:w="1797" w:type="dxa"/>
            <w:shd w:val="clear" w:color="auto" w:fill="92D400"/>
          </w:tcPr>
          <w:p w:rsidR="00C31389" w:rsidRDefault="00561FBD" w14:paraId="46F38D67" w14:textId="77777777">
            <w:pPr>
              <w:pStyle w:val="TableParagraph"/>
              <w:spacing w:before="82"/>
              <w:ind w:left="140" w:right="317"/>
              <w:rPr>
                <w:b/>
                <w:sz w:val="20"/>
              </w:rPr>
            </w:pPr>
            <w:r>
              <w:rPr>
                <w:b/>
                <w:sz w:val="20"/>
              </w:rPr>
              <w:t xml:space="preserve">Type of </w:t>
            </w:r>
            <w:r>
              <w:rPr>
                <w:b/>
                <w:spacing w:val="-2"/>
                <w:sz w:val="20"/>
              </w:rPr>
              <w:t>Behavioral Intervention</w:t>
            </w:r>
          </w:p>
        </w:tc>
        <w:tc>
          <w:tcPr>
            <w:tcW w:w="5159" w:type="dxa"/>
            <w:shd w:val="clear" w:color="auto" w:fill="92D400"/>
          </w:tcPr>
          <w:p w:rsidR="00C31389" w:rsidRDefault="00C31389" w14:paraId="08847453" w14:textId="77777777">
            <w:pPr>
              <w:pStyle w:val="TableParagraph"/>
              <w:spacing w:before="2"/>
              <w:rPr>
                <w:b/>
                <w:sz w:val="27"/>
              </w:rPr>
            </w:pPr>
          </w:p>
          <w:p w:rsidR="00C31389" w:rsidRDefault="00561FBD" w14:paraId="5C6F47B4" w14:textId="77777777">
            <w:pPr>
              <w:pStyle w:val="TableParagraph"/>
              <w:spacing w:before="0"/>
              <w:ind w:left="143"/>
              <w:rPr>
                <w:b/>
                <w:sz w:val="20"/>
              </w:rPr>
            </w:pPr>
            <w:r>
              <w:rPr>
                <w:b/>
                <w:sz w:val="20"/>
              </w:rPr>
              <w:t>Brief</w:t>
            </w:r>
            <w:r>
              <w:rPr>
                <w:b/>
                <w:spacing w:val="-3"/>
                <w:sz w:val="20"/>
              </w:rPr>
              <w:t xml:space="preserve"> </w:t>
            </w:r>
            <w:r>
              <w:rPr>
                <w:b/>
                <w:spacing w:val="-2"/>
                <w:sz w:val="20"/>
              </w:rPr>
              <w:t>Description</w:t>
            </w:r>
          </w:p>
        </w:tc>
        <w:tc>
          <w:tcPr>
            <w:tcW w:w="1080" w:type="dxa"/>
            <w:shd w:val="clear" w:color="auto" w:fill="92D400"/>
          </w:tcPr>
          <w:p w:rsidR="00C31389" w:rsidRDefault="00561FBD" w14:paraId="341E9D08" w14:textId="77777777">
            <w:pPr>
              <w:pStyle w:val="TableParagraph"/>
              <w:spacing w:before="197"/>
              <w:ind w:left="187" w:right="188"/>
              <w:jc w:val="center"/>
              <w:rPr>
                <w:b/>
                <w:sz w:val="20"/>
              </w:rPr>
            </w:pPr>
            <w:r>
              <w:rPr>
                <w:b/>
                <w:spacing w:val="-5"/>
                <w:sz w:val="20"/>
              </w:rPr>
              <w:t>EUL</w:t>
            </w:r>
          </w:p>
          <w:p w:rsidR="00C31389" w:rsidRDefault="00561FBD" w14:paraId="157B112D" w14:textId="77777777">
            <w:pPr>
              <w:pStyle w:val="TableParagraph"/>
              <w:spacing w:before="1"/>
              <w:ind w:left="187" w:right="188"/>
              <w:jc w:val="center"/>
              <w:rPr>
                <w:b/>
                <w:sz w:val="20"/>
              </w:rPr>
            </w:pPr>
            <w:r>
              <w:rPr>
                <w:b/>
                <w:spacing w:val="-2"/>
                <w:sz w:val="20"/>
              </w:rPr>
              <w:t>(Years)</w:t>
            </w:r>
          </w:p>
        </w:tc>
      </w:tr>
      <w:tr w:rsidR="00C31389" w14:paraId="3D1AE895" w14:textId="77777777">
        <w:trPr>
          <w:trHeight w:val="2835"/>
        </w:trPr>
        <w:tc>
          <w:tcPr>
            <w:tcW w:w="1339" w:type="dxa"/>
            <w:tcBorders>
              <w:bottom w:val="single" w:color="D9D9D9" w:sz="2" w:space="0"/>
            </w:tcBorders>
          </w:tcPr>
          <w:p w:rsidR="00C31389" w:rsidRDefault="00C31389" w14:paraId="40406782" w14:textId="77777777">
            <w:pPr>
              <w:pStyle w:val="TableParagraph"/>
              <w:spacing w:before="0"/>
              <w:rPr>
                <w:b/>
              </w:rPr>
            </w:pPr>
          </w:p>
          <w:p w:rsidR="00C31389" w:rsidRDefault="00C31389" w14:paraId="01CFC3F7" w14:textId="77777777">
            <w:pPr>
              <w:pStyle w:val="TableParagraph"/>
              <w:spacing w:before="0"/>
              <w:rPr>
                <w:b/>
              </w:rPr>
            </w:pPr>
          </w:p>
          <w:p w:rsidR="00C31389" w:rsidRDefault="00C31389" w14:paraId="1A9D9720" w14:textId="77777777">
            <w:pPr>
              <w:pStyle w:val="TableParagraph"/>
              <w:spacing w:before="0"/>
              <w:rPr>
                <w:b/>
              </w:rPr>
            </w:pPr>
          </w:p>
          <w:p w:rsidR="00C31389" w:rsidRDefault="00C31389" w14:paraId="2ABB698A" w14:textId="77777777">
            <w:pPr>
              <w:pStyle w:val="TableParagraph"/>
              <w:spacing w:before="0"/>
              <w:rPr>
                <w:b/>
              </w:rPr>
            </w:pPr>
          </w:p>
          <w:p w:rsidR="00C31389" w:rsidRDefault="00561FBD" w14:paraId="72CCA57A" w14:textId="77777777">
            <w:pPr>
              <w:pStyle w:val="TableParagraph"/>
              <w:spacing w:before="174"/>
              <w:ind w:left="129"/>
              <w:rPr>
                <w:sz w:val="20"/>
              </w:rPr>
            </w:pPr>
            <w:r>
              <w:rPr>
                <w:spacing w:val="-2"/>
                <w:sz w:val="20"/>
              </w:rPr>
              <w:t>Commercial</w:t>
            </w:r>
          </w:p>
          <w:p w:rsidR="00C31389" w:rsidRDefault="00561FBD" w14:paraId="2FF52B10" w14:textId="77777777">
            <w:pPr>
              <w:pStyle w:val="TableParagraph"/>
              <w:spacing w:before="1"/>
              <w:ind w:left="129"/>
              <w:rPr>
                <w:sz w:val="20"/>
              </w:rPr>
            </w:pPr>
            <w:r>
              <w:rPr>
                <w:spacing w:val="-2"/>
                <w:sz w:val="20"/>
              </w:rPr>
              <w:t>/Industrial</w:t>
            </w:r>
          </w:p>
        </w:tc>
        <w:tc>
          <w:tcPr>
            <w:tcW w:w="1797" w:type="dxa"/>
            <w:tcBorders>
              <w:bottom w:val="single" w:color="D9D9D9" w:sz="2" w:space="0"/>
            </w:tcBorders>
          </w:tcPr>
          <w:p w:rsidR="00C31389" w:rsidRDefault="00C31389" w14:paraId="6B81D475" w14:textId="77777777">
            <w:pPr>
              <w:pStyle w:val="TableParagraph"/>
              <w:spacing w:before="0"/>
              <w:rPr>
                <w:b/>
              </w:rPr>
            </w:pPr>
          </w:p>
          <w:p w:rsidR="00C31389" w:rsidRDefault="00C31389" w14:paraId="6EC08FED" w14:textId="77777777">
            <w:pPr>
              <w:pStyle w:val="TableParagraph"/>
              <w:spacing w:before="0"/>
              <w:rPr>
                <w:b/>
              </w:rPr>
            </w:pPr>
          </w:p>
          <w:p w:rsidR="00C31389" w:rsidRDefault="00C31389" w14:paraId="6C5E6803" w14:textId="77777777">
            <w:pPr>
              <w:pStyle w:val="TableParagraph"/>
              <w:spacing w:before="0"/>
              <w:rPr>
                <w:b/>
              </w:rPr>
            </w:pPr>
          </w:p>
          <w:p w:rsidR="00C31389" w:rsidRDefault="00C31389" w14:paraId="7CC93119" w14:textId="77777777">
            <w:pPr>
              <w:pStyle w:val="TableParagraph"/>
              <w:spacing w:before="0"/>
              <w:rPr>
                <w:b/>
              </w:rPr>
            </w:pPr>
          </w:p>
          <w:p w:rsidR="00C31389" w:rsidRDefault="00561FBD" w14:paraId="4D6D8F95" w14:textId="77777777">
            <w:pPr>
              <w:pStyle w:val="TableParagraph"/>
              <w:spacing w:before="174"/>
              <w:ind w:left="140" w:right="317"/>
              <w:rPr>
                <w:sz w:val="20"/>
              </w:rPr>
            </w:pPr>
            <w:r>
              <w:rPr>
                <w:sz w:val="20"/>
              </w:rPr>
              <w:t>SEM-like and SEM</w:t>
            </w:r>
            <w:r>
              <w:rPr>
                <w:spacing w:val="-14"/>
                <w:sz w:val="20"/>
              </w:rPr>
              <w:t xml:space="preserve"> </w:t>
            </w:r>
            <w:r>
              <w:rPr>
                <w:sz w:val="20"/>
              </w:rPr>
              <w:t>programs</w:t>
            </w:r>
          </w:p>
        </w:tc>
        <w:tc>
          <w:tcPr>
            <w:tcW w:w="5159" w:type="dxa"/>
            <w:tcBorders>
              <w:bottom w:val="single" w:color="D9D9D9" w:sz="2" w:space="0"/>
            </w:tcBorders>
          </w:tcPr>
          <w:p w:rsidR="00C31389" w:rsidRDefault="00561FBD" w14:paraId="7F2A1893" w14:textId="77777777">
            <w:pPr>
              <w:pStyle w:val="TableParagraph"/>
              <w:spacing w:before="37"/>
              <w:ind w:left="143" w:right="148"/>
              <w:rPr>
                <w:sz w:val="20"/>
              </w:rPr>
            </w:pPr>
            <w:r>
              <w:rPr>
                <w:sz w:val="20"/>
              </w:rPr>
              <w:t xml:space="preserve">Long-term continuous improvement process that educates and trains business energy users to develop and execute long-term energy goal setting and strategic planning and to </w:t>
            </w:r>
            <w:r>
              <w:rPr>
                <w:sz w:val="20"/>
              </w:rPr>
              <w:t>integrate energy</w:t>
            </w:r>
            <w:r>
              <w:rPr>
                <w:spacing w:val="40"/>
                <w:sz w:val="20"/>
              </w:rPr>
              <w:t xml:space="preserve"> </w:t>
            </w:r>
            <w:r>
              <w:rPr>
                <w:sz w:val="20"/>
              </w:rPr>
              <w:t>management into business practices throughout the organization—from the corporate board office to the boiler</w:t>
            </w:r>
            <w:r>
              <w:rPr>
                <w:spacing w:val="-5"/>
                <w:sz w:val="20"/>
              </w:rPr>
              <w:t xml:space="preserve"> </w:t>
            </w:r>
            <w:r>
              <w:rPr>
                <w:sz w:val="20"/>
              </w:rPr>
              <w:t>room</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floor;</w:t>
            </w:r>
            <w:r>
              <w:rPr>
                <w:spacing w:val="-5"/>
                <w:sz w:val="20"/>
              </w:rPr>
              <w:t xml:space="preserve"> </w:t>
            </w:r>
            <w:r>
              <w:rPr>
                <w:sz w:val="20"/>
              </w:rPr>
              <w:t>it</w:t>
            </w:r>
            <w:r>
              <w:rPr>
                <w:spacing w:val="-5"/>
                <w:sz w:val="20"/>
              </w:rPr>
              <w:t xml:space="preserve"> </w:t>
            </w:r>
            <w:r>
              <w:rPr>
                <w:sz w:val="20"/>
              </w:rPr>
              <w:t>can</w:t>
            </w:r>
            <w:r>
              <w:rPr>
                <w:spacing w:val="-4"/>
                <w:sz w:val="20"/>
              </w:rPr>
              <w:t xml:space="preserve"> </w:t>
            </w:r>
            <w:r>
              <w:rPr>
                <w:sz w:val="20"/>
              </w:rPr>
              <w:t>include</w:t>
            </w:r>
            <w:r>
              <w:rPr>
                <w:spacing w:val="-4"/>
                <w:sz w:val="20"/>
              </w:rPr>
              <w:t xml:space="preserve"> </w:t>
            </w:r>
            <w:r>
              <w:rPr>
                <w:sz w:val="20"/>
              </w:rPr>
              <w:t>consulting services, customized training, benchmarking and measurement, feedback, data ana</w:t>
            </w:r>
            <w:r>
              <w:rPr>
                <w:sz w:val="20"/>
              </w:rPr>
              <w:t>lysis, and performance review; a SEM-like program is assumed for the commercial sector; industrial RCx falls under this category</w:t>
            </w:r>
          </w:p>
        </w:tc>
        <w:tc>
          <w:tcPr>
            <w:tcW w:w="1080" w:type="dxa"/>
            <w:tcBorders>
              <w:bottom w:val="single" w:color="D9D9D9" w:sz="2" w:space="0"/>
            </w:tcBorders>
          </w:tcPr>
          <w:p w:rsidR="00C31389" w:rsidRDefault="00C31389" w14:paraId="0CFDAA41" w14:textId="77777777">
            <w:pPr>
              <w:pStyle w:val="TableParagraph"/>
              <w:spacing w:before="0"/>
              <w:rPr>
                <w:b/>
              </w:rPr>
            </w:pPr>
          </w:p>
          <w:p w:rsidR="00C31389" w:rsidRDefault="00C31389" w14:paraId="7A7933FC" w14:textId="77777777">
            <w:pPr>
              <w:pStyle w:val="TableParagraph"/>
              <w:spacing w:before="0"/>
              <w:rPr>
                <w:b/>
              </w:rPr>
            </w:pPr>
          </w:p>
          <w:p w:rsidR="00C31389" w:rsidRDefault="00C31389" w14:paraId="16CC497A" w14:textId="77777777">
            <w:pPr>
              <w:pStyle w:val="TableParagraph"/>
              <w:spacing w:before="0"/>
              <w:rPr>
                <w:b/>
              </w:rPr>
            </w:pPr>
          </w:p>
          <w:p w:rsidR="00C31389" w:rsidRDefault="00C31389" w14:paraId="362B9BC5" w14:textId="77777777">
            <w:pPr>
              <w:pStyle w:val="TableParagraph"/>
              <w:spacing w:before="0"/>
              <w:rPr>
                <w:b/>
              </w:rPr>
            </w:pPr>
          </w:p>
          <w:p w:rsidR="00C31389" w:rsidRDefault="00561FBD" w14:paraId="4203B539" w14:textId="77777777">
            <w:pPr>
              <w:pStyle w:val="TableParagraph"/>
              <w:spacing w:before="154"/>
              <w:ind w:left="155"/>
              <w:rPr>
                <w:sz w:val="20"/>
              </w:rPr>
            </w:pPr>
            <w:r>
              <w:rPr>
                <w:sz w:val="20"/>
              </w:rPr>
              <w:t>5</w:t>
            </w:r>
            <w:r>
              <w:rPr>
                <w:spacing w:val="-1"/>
                <w:sz w:val="20"/>
              </w:rPr>
              <w:t xml:space="preserve"> </w:t>
            </w:r>
            <w:r>
              <w:rPr>
                <w:spacing w:val="-4"/>
                <w:sz w:val="20"/>
              </w:rPr>
              <w:t>(COM)</w:t>
            </w:r>
          </w:p>
          <w:p w:rsidR="00C31389" w:rsidRDefault="00561FBD" w14:paraId="234C31B0" w14:textId="77777777">
            <w:pPr>
              <w:pStyle w:val="TableParagraph"/>
              <w:spacing w:before="41"/>
              <w:ind w:left="133"/>
              <w:rPr>
                <w:sz w:val="20"/>
              </w:rPr>
            </w:pPr>
            <w:r>
              <w:rPr>
                <w:sz w:val="20"/>
              </w:rPr>
              <w:t>4.3</w:t>
            </w:r>
            <w:r>
              <w:rPr>
                <w:spacing w:val="-2"/>
                <w:sz w:val="20"/>
              </w:rPr>
              <w:t xml:space="preserve"> (IND)</w:t>
            </w:r>
          </w:p>
        </w:tc>
      </w:tr>
      <w:tr w:rsidR="00C31389" w14:paraId="7A8F1D47" w14:textId="77777777">
        <w:trPr>
          <w:trHeight w:val="1919"/>
        </w:trPr>
        <w:tc>
          <w:tcPr>
            <w:tcW w:w="1339" w:type="dxa"/>
            <w:tcBorders>
              <w:top w:val="single" w:color="D9D9D9" w:sz="2" w:space="0"/>
              <w:bottom w:val="single" w:color="D9D9D9" w:sz="2" w:space="0"/>
            </w:tcBorders>
          </w:tcPr>
          <w:p w:rsidR="00C31389" w:rsidRDefault="00C31389" w14:paraId="4C596615" w14:textId="77777777">
            <w:pPr>
              <w:pStyle w:val="TableParagraph"/>
              <w:spacing w:before="0"/>
              <w:rPr>
                <w:b/>
              </w:rPr>
            </w:pPr>
          </w:p>
          <w:p w:rsidR="00C31389" w:rsidRDefault="00C31389" w14:paraId="1CAE182F" w14:textId="77777777">
            <w:pPr>
              <w:pStyle w:val="TableParagraph"/>
              <w:spacing w:before="0"/>
              <w:rPr>
                <w:b/>
              </w:rPr>
            </w:pPr>
          </w:p>
          <w:p w:rsidR="00C31389" w:rsidRDefault="00C31389" w14:paraId="5DE293C5" w14:textId="77777777">
            <w:pPr>
              <w:pStyle w:val="TableParagraph"/>
              <w:spacing w:before="6"/>
              <w:rPr>
                <w:b/>
                <w:sz w:val="29"/>
              </w:rPr>
            </w:pPr>
          </w:p>
          <w:p w:rsidR="00C31389" w:rsidRDefault="00561FBD" w14:paraId="584BDE75" w14:textId="77777777">
            <w:pPr>
              <w:pStyle w:val="TableParagraph"/>
              <w:spacing w:before="0"/>
              <w:ind w:left="129"/>
              <w:rPr>
                <w:sz w:val="20"/>
              </w:rPr>
            </w:pPr>
            <w:r>
              <w:rPr>
                <w:spacing w:val="-2"/>
                <w:sz w:val="20"/>
              </w:rPr>
              <w:t>Commercial</w:t>
            </w:r>
          </w:p>
        </w:tc>
        <w:tc>
          <w:tcPr>
            <w:tcW w:w="1797" w:type="dxa"/>
            <w:tcBorders>
              <w:top w:val="single" w:color="D9D9D9" w:sz="2" w:space="0"/>
              <w:bottom w:val="single" w:color="D9D9D9" w:sz="2" w:space="0"/>
            </w:tcBorders>
          </w:tcPr>
          <w:p w:rsidR="00C31389" w:rsidRDefault="00C31389" w14:paraId="71A20BF0" w14:textId="77777777">
            <w:pPr>
              <w:pStyle w:val="TableParagraph"/>
              <w:spacing w:before="0"/>
              <w:rPr>
                <w:b/>
              </w:rPr>
            </w:pPr>
          </w:p>
          <w:p w:rsidR="00C31389" w:rsidRDefault="00C31389" w14:paraId="70B0E36E" w14:textId="77777777">
            <w:pPr>
              <w:pStyle w:val="TableParagraph"/>
              <w:spacing w:before="6"/>
              <w:rPr>
                <w:b/>
                <w:sz w:val="21"/>
              </w:rPr>
            </w:pPr>
          </w:p>
          <w:p w:rsidR="00C31389" w:rsidRDefault="00561FBD" w14:paraId="4D11ECDE" w14:textId="77777777">
            <w:pPr>
              <w:pStyle w:val="TableParagraph"/>
              <w:spacing w:before="0"/>
              <w:ind w:left="140" w:right="206"/>
              <w:rPr>
                <w:sz w:val="20"/>
              </w:rPr>
            </w:pPr>
            <w:r>
              <w:rPr>
                <w:sz w:val="20"/>
              </w:rPr>
              <w:t xml:space="preserve">Building energy and information </w:t>
            </w:r>
            <w:r>
              <w:rPr>
                <w:spacing w:val="-2"/>
                <w:sz w:val="20"/>
              </w:rPr>
              <w:t xml:space="preserve">management </w:t>
            </w:r>
            <w:r>
              <w:rPr>
                <w:sz w:val="20"/>
              </w:rPr>
              <w:t>system</w:t>
            </w:r>
            <w:r>
              <w:rPr>
                <w:spacing w:val="-14"/>
                <w:sz w:val="20"/>
              </w:rPr>
              <w:t xml:space="preserve"> </w:t>
            </w:r>
            <w:r>
              <w:rPr>
                <w:sz w:val="20"/>
              </w:rPr>
              <w:t>(BEIMS)</w:t>
            </w:r>
          </w:p>
        </w:tc>
        <w:tc>
          <w:tcPr>
            <w:tcW w:w="5159" w:type="dxa"/>
            <w:tcBorders>
              <w:top w:val="single" w:color="D9D9D9" w:sz="2" w:space="0"/>
              <w:bottom w:val="single" w:color="D9D9D9" w:sz="2" w:space="0"/>
            </w:tcBorders>
          </w:tcPr>
          <w:p w:rsidR="00C31389" w:rsidRDefault="00561FBD" w14:paraId="43B8EEDE" w14:textId="77777777">
            <w:pPr>
              <w:pStyle w:val="TableParagraph"/>
              <w:ind w:left="143" w:right="144"/>
              <w:rPr>
                <w:sz w:val="20"/>
              </w:rPr>
            </w:pPr>
            <w:r>
              <w:rPr>
                <w:sz w:val="20"/>
              </w:rPr>
              <w:t xml:space="preserve">Enables building </w:t>
            </w:r>
            <w:r>
              <w:rPr>
                <w:sz w:val="20"/>
              </w:rPr>
              <w:t>operations staff to achieve significant energy savings by monitoring, analyzing, and controlling building system performance and energy use; BEIMSs can include benchmarking and utility bill tracking</w:t>
            </w:r>
            <w:r>
              <w:rPr>
                <w:spacing w:val="-8"/>
                <w:sz w:val="20"/>
              </w:rPr>
              <w:t xml:space="preserve"> </w:t>
            </w:r>
            <w:r>
              <w:rPr>
                <w:sz w:val="20"/>
              </w:rPr>
              <w:t>software,</w:t>
            </w:r>
            <w:r>
              <w:rPr>
                <w:spacing w:val="-8"/>
                <w:sz w:val="20"/>
              </w:rPr>
              <w:t xml:space="preserve"> </w:t>
            </w:r>
            <w:r>
              <w:rPr>
                <w:sz w:val="20"/>
              </w:rPr>
              <w:t>energy</w:t>
            </w:r>
            <w:r>
              <w:rPr>
                <w:spacing w:val="-7"/>
                <w:sz w:val="20"/>
              </w:rPr>
              <w:t xml:space="preserve"> </w:t>
            </w:r>
            <w:r>
              <w:rPr>
                <w:sz w:val="20"/>
              </w:rPr>
              <w:t>information</w:t>
            </w:r>
            <w:r>
              <w:rPr>
                <w:spacing w:val="-8"/>
                <w:sz w:val="20"/>
              </w:rPr>
              <w:t xml:space="preserve"> </w:t>
            </w:r>
            <w:r>
              <w:rPr>
                <w:sz w:val="20"/>
              </w:rPr>
              <w:t>systems,</w:t>
            </w:r>
            <w:r>
              <w:rPr>
                <w:spacing w:val="-8"/>
                <w:sz w:val="20"/>
              </w:rPr>
              <w:t xml:space="preserve"> </w:t>
            </w:r>
            <w:r>
              <w:rPr>
                <w:sz w:val="20"/>
              </w:rPr>
              <w:t>building automation</w:t>
            </w:r>
            <w:r>
              <w:rPr>
                <w:sz w:val="20"/>
              </w:rPr>
              <w:t xml:space="preserve"> systems, fault detection and diagnostic tools, automated system optimization software, and value-added services and contracts</w:t>
            </w:r>
          </w:p>
        </w:tc>
        <w:tc>
          <w:tcPr>
            <w:tcW w:w="1080" w:type="dxa"/>
            <w:tcBorders>
              <w:top w:val="single" w:color="D9D9D9" w:sz="2" w:space="0"/>
              <w:bottom w:val="single" w:color="D9D9D9" w:sz="2" w:space="0"/>
            </w:tcBorders>
          </w:tcPr>
          <w:p w:rsidR="00C31389" w:rsidRDefault="00C31389" w14:paraId="28B09BE8" w14:textId="77777777">
            <w:pPr>
              <w:pStyle w:val="TableParagraph"/>
              <w:spacing w:before="0"/>
              <w:rPr>
                <w:b/>
              </w:rPr>
            </w:pPr>
          </w:p>
          <w:p w:rsidR="00C31389" w:rsidRDefault="00C31389" w14:paraId="1A59E448" w14:textId="77777777">
            <w:pPr>
              <w:pStyle w:val="TableParagraph"/>
              <w:spacing w:before="0"/>
              <w:rPr>
                <w:b/>
              </w:rPr>
            </w:pPr>
          </w:p>
          <w:p w:rsidR="00C31389" w:rsidRDefault="00C31389" w14:paraId="05975F33" w14:textId="77777777">
            <w:pPr>
              <w:pStyle w:val="TableParagraph"/>
              <w:spacing w:before="6"/>
              <w:rPr>
                <w:b/>
                <w:sz w:val="29"/>
              </w:rPr>
            </w:pPr>
          </w:p>
          <w:p w:rsidR="00C31389" w:rsidRDefault="00561FBD" w14:paraId="1B2BCE1E" w14:textId="77777777">
            <w:pPr>
              <w:pStyle w:val="TableParagraph"/>
              <w:spacing w:before="0"/>
              <w:ind w:right="483"/>
              <w:jc w:val="right"/>
              <w:rPr>
                <w:sz w:val="20"/>
              </w:rPr>
            </w:pPr>
            <w:r>
              <w:rPr>
                <w:sz w:val="20"/>
              </w:rPr>
              <w:t>3</w:t>
            </w:r>
          </w:p>
        </w:tc>
      </w:tr>
      <w:tr w:rsidR="00C31389" w14:paraId="460F8AC0" w14:textId="77777777">
        <w:trPr>
          <w:trHeight w:val="1000"/>
        </w:trPr>
        <w:tc>
          <w:tcPr>
            <w:tcW w:w="1339" w:type="dxa"/>
            <w:tcBorders>
              <w:top w:val="single" w:color="D9D9D9" w:sz="2" w:space="0"/>
              <w:bottom w:val="single" w:color="D9D9D9" w:sz="2" w:space="0"/>
            </w:tcBorders>
          </w:tcPr>
          <w:p w:rsidR="00C31389" w:rsidRDefault="00C31389" w14:paraId="5F631877" w14:textId="77777777">
            <w:pPr>
              <w:pStyle w:val="TableParagraph"/>
              <w:spacing w:before="0"/>
              <w:rPr>
                <w:b/>
              </w:rPr>
            </w:pPr>
          </w:p>
          <w:p w:rsidR="00C31389" w:rsidRDefault="00561FBD" w14:paraId="77AE67D1" w14:textId="77777777">
            <w:pPr>
              <w:pStyle w:val="TableParagraph"/>
              <w:spacing w:before="133"/>
              <w:ind w:left="129"/>
              <w:rPr>
                <w:sz w:val="20"/>
              </w:rPr>
            </w:pPr>
            <w:r>
              <w:rPr>
                <w:spacing w:val="-2"/>
                <w:sz w:val="20"/>
              </w:rPr>
              <w:t>Commercial</w:t>
            </w:r>
          </w:p>
        </w:tc>
        <w:tc>
          <w:tcPr>
            <w:tcW w:w="1797" w:type="dxa"/>
            <w:tcBorders>
              <w:top w:val="single" w:color="D9D9D9" w:sz="2" w:space="0"/>
              <w:bottom w:val="single" w:color="D9D9D9" w:sz="2" w:space="0"/>
            </w:tcBorders>
          </w:tcPr>
          <w:p w:rsidR="00C31389" w:rsidRDefault="00C31389" w14:paraId="78D1ADEA" w14:textId="77777777">
            <w:pPr>
              <w:pStyle w:val="TableParagraph"/>
              <w:spacing w:before="6"/>
              <w:rPr>
                <w:b/>
                <w:sz w:val="23"/>
              </w:rPr>
            </w:pPr>
          </w:p>
          <w:p w:rsidR="00C31389" w:rsidRDefault="00561FBD" w14:paraId="1F09E6EA" w14:textId="77777777">
            <w:pPr>
              <w:pStyle w:val="TableParagraph"/>
              <w:spacing w:before="0"/>
              <w:ind w:left="140" w:right="138"/>
              <w:rPr>
                <w:sz w:val="20"/>
              </w:rPr>
            </w:pPr>
            <w:r>
              <w:rPr>
                <w:sz w:val="20"/>
              </w:rPr>
              <w:t>Building</w:t>
            </w:r>
            <w:r>
              <w:rPr>
                <w:spacing w:val="-14"/>
                <w:sz w:val="20"/>
              </w:rPr>
              <w:t xml:space="preserve"> </w:t>
            </w:r>
            <w:r>
              <w:rPr>
                <w:sz w:val="20"/>
              </w:rPr>
              <w:t xml:space="preserve">operator </w:t>
            </w:r>
            <w:r>
              <w:rPr>
                <w:spacing w:val="-2"/>
                <w:sz w:val="20"/>
              </w:rPr>
              <w:t>certification</w:t>
            </w:r>
          </w:p>
        </w:tc>
        <w:tc>
          <w:tcPr>
            <w:tcW w:w="5159" w:type="dxa"/>
            <w:tcBorders>
              <w:top w:val="single" w:color="D9D9D9" w:sz="2" w:space="0"/>
              <w:bottom w:val="single" w:color="D9D9D9" w:sz="2" w:space="0"/>
            </w:tcBorders>
          </w:tcPr>
          <w:p w:rsidR="00C31389" w:rsidRDefault="00561FBD" w14:paraId="59EC710E" w14:textId="77777777">
            <w:pPr>
              <w:pStyle w:val="TableParagraph"/>
              <w:ind w:left="143" w:right="144"/>
              <w:rPr>
                <w:sz w:val="20"/>
              </w:rPr>
            </w:pPr>
            <w:r>
              <w:rPr>
                <w:sz w:val="20"/>
              </w:rPr>
              <w:t xml:space="preserve">Trains and educates commercial building operators about how to save </w:t>
            </w:r>
            <w:r>
              <w:rPr>
                <w:sz w:val="20"/>
              </w:rPr>
              <w:t>energy by encouraging them to adopt</w:t>
            </w:r>
            <w:r>
              <w:rPr>
                <w:spacing w:val="-6"/>
                <w:sz w:val="20"/>
              </w:rPr>
              <w:t xml:space="preserve"> </w:t>
            </w:r>
            <w:r>
              <w:rPr>
                <w:sz w:val="20"/>
              </w:rPr>
              <w:t>EE</w:t>
            </w:r>
            <w:r>
              <w:rPr>
                <w:spacing w:val="-6"/>
                <w:sz w:val="20"/>
              </w:rPr>
              <w:t xml:space="preserve"> </w:t>
            </w:r>
            <w:r>
              <w:rPr>
                <w:sz w:val="20"/>
              </w:rPr>
              <w:t>behaviors</w:t>
            </w:r>
            <w:r>
              <w:rPr>
                <w:spacing w:val="-5"/>
                <w:sz w:val="20"/>
              </w:rPr>
              <w:t xml:space="preserve"> </w:t>
            </w:r>
            <w:r>
              <w:rPr>
                <w:sz w:val="20"/>
              </w:rPr>
              <w:t>and</w:t>
            </w:r>
            <w:r>
              <w:rPr>
                <w:spacing w:val="-6"/>
                <w:sz w:val="20"/>
              </w:rPr>
              <w:t xml:space="preserve"> </w:t>
            </w:r>
            <w:r>
              <w:rPr>
                <w:sz w:val="20"/>
              </w:rPr>
              <w:t>make</w:t>
            </w:r>
            <w:r>
              <w:rPr>
                <w:spacing w:val="-6"/>
                <w:sz w:val="20"/>
              </w:rPr>
              <w:t xml:space="preserve"> </w:t>
            </w:r>
            <w:r>
              <w:rPr>
                <w:sz w:val="20"/>
              </w:rPr>
              <w:t>building</w:t>
            </w:r>
            <w:r>
              <w:rPr>
                <w:spacing w:val="-6"/>
                <w:sz w:val="20"/>
              </w:rPr>
              <w:t xml:space="preserve"> </w:t>
            </w:r>
            <w:r>
              <w:rPr>
                <w:sz w:val="20"/>
              </w:rPr>
              <w:t>changes</w:t>
            </w:r>
            <w:r>
              <w:rPr>
                <w:spacing w:val="-5"/>
                <w:sz w:val="20"/>
              </w:rPr>
              <w:t xml:space="preserve"> </w:t>
            </w:r>
            <w:r>
              <w:rPr>
                <w:sz w:val="20"/>
              </w:rPr>
              <w:t>that reduce energy use</w:t>
            </w:r>
          </w:p>
        </w:tc>
        <w:tc>
          <w:tcPr>
            <w:tcW w:w="1080" w:type="dxa"/>
            <w:tcBorders>
              <w:top w:val="single" w:color="D9D9D9" w:sz="2" w:space="0"/>
              <w:bottom w:val="single" w:color="D9D9D9" w:sz="2" w:space="0"/>
            </w:tcBorders>
          </w:tcPr>
          <w:p w:rsidR="00C31389" w:rsidRDefault="00C31389" w14:paraId="5EB9FBF4" w14:textId="77777777">
            <w:pPr>
              <w:pStyle w:val="TableParagraph"/>
              <w:spacing w:before="0"/>
              <w:rPr>
                <w:b/>
              </w:rPr>
            </w:pPr>
          </w:p>
          <w:p w:rsidR="00C31389" w:rsidRDefault="00561FBD" w14:paraId="20039FA0" w14:textId="77777777">
            <w:pPr>
              <w:pStyle w:val="TableParagraph"/>
              <w:spacing w:before="133"/>
              <w:ind w:right="483"/>
              <w:jc w:val="right"/>
              <w:rPr>
                <w:sz w:val="20"/>
              </w:rPr>
            </w:pPr>
            <w:r>
              <w:rPr>
                <w:sz w:val="20"/>
              </w:rPr>
              <w:t>3</w:t>
            </w:r>
          </w:p>
        </w:tc>
      </w:tr>
      <w:tr w:rsidR="00C31389" w14:paraId="1A27F7A1" w14:textId="77777777">
        <w:trPr>
          <w:trHeight w:val="1919"/>
        </w:trPr>
        <w:tc>
          <w:tcPr>
            <w:tcW w:w="1339" w:type="dxa"/>
            <w:tcBorders>
              <w:top w:val="single" w:color="D9D9D9" w:sz="2" w:space="0"/>
              <w:bottom w:val="single" w:color="000000" w:sz="8" w:space="0"/>
            </w:tcBorders>
          </w:tcPr>
          <w:p w:rsidR="00C31389" w:rsidRDefault="00C31389" w14:paraId="5D4AC87B" w14:textId="77777777">
            <w:pPr>
              <w:pStyle w:val="TableParagraph"/>
              <w:spacing w:before="0"/>
              <w:rPr>
                <w:b/>
              </w:rPr>
            </w:pPr>
          </w:p>
          <w:p w:rsidR="00C31389" w:rsidRDefault="00C31389" w14:paraId="18FA03A2" w14:textId="77777777">
            <w:pPr>
              <w:pStyle w:val="TableParagraph"/>
              <w:spacing w:before="0"/>
              <w:rPr>
                <w:b/>
              </w:rPr>
            </w:pPr>
          </w:p>
          <w:p w:rsidR="00C31389" w:rsidRDefault="00C31389" w14:paraId="4A6A1560" w14:textId="77777777">
            <w:pPr>
              <w:pStyle w:val="TableParagraph"/>
              <w:spacing w:before="6"/>
              <w:rPr>
                <w:b/>
                <w:sz w:val="29"/>
              </w:rPr>
            </w:pPr>
          </w:p>
          <w:p w:rsidR="00C31389" w:rsidRDefault="00561FBD" w14:paraId="62C2CE34" w14:textId="77777777">
            <w:pPr>
              <w:pStyle w:val="TableParagraph"/>
              <w:spacing w:before="0"/>
              <w:ind w:left="129"/>
              <w:rPr>
                <w:sz w:val="20"/>
              </w:rPr>
            </w:pPr>
            <w:r>
              <w:rPr>
                <w:spacing w:val="-2"/>
                <w:sz w:val="20"/>
              </w:rPr>
              <w:t>Commercial</w:t>
            </w:r>
          </w:p>
        </w:tc>
        <w:tc>
          <w:tcPr>
            <w:tcW w:w="1797" w:type="dxa"/>
            <w:tcBorders>
              <w:top w:val="single" w:color="D9D9D9" w:sz="2" w:space="0"/>
              <w:bottom w:val="single" w:color="000000" w:sz="8" w:space="0"/>
            </w:tcBorders>
          </w:tcPr>
          <w:p w:rsidR="00C31389" w:rsidRDefault="00C31389" w14:paraId="666D81EC" w14:textId="77777777">
            <w:pPr>
              <w:pStyle w:val="TableParagraph"/>
              <w:spacing w:before="0"/>
              <w:rPr>
                <w:b/>
              </w:rPr>
            </w:pPr>
          </w:p>
          <w:p w:rsidR="00C31389" w:rsidRDefault="00C31389" w14:paraId="121E1D31" w14:textId="77777777">
            <w:pPr>
              <w:pStyle w:val="TableParagraph"/>
              <w:spacing w:before="0"/>
              <w:rPr>
                <w:b/>
              </w:rPr>
            </w:pPr>
          </w:p>
          <w:p w:rsidR="00C31389" w:rsidRDefault="00C31389" w14:paraId="2852AE34" w14:textId="77777777">
            <w:pPr>
              <w:pStyle w:val="TableParagraph"/>
              <w:spacing w:before="6"/>
              <w:rPr>
                <w:b/>
                <w:sz w:val="29"/>
              </w:rPr>
            </w:pPr>
          </w:p>
          <w:p w:rsidR="00C31389" w:rsidRDefault="00561FBD" w14:paraId="06F1CCB9" w14:textId="77777777">
            <w:pPr>
              <w:pStyle w:val="TableParagraph"/>
              <w:spacing w:before="0"/>
              <w:ind w:left="140"/>
              <w:rPr>
                <w:sz w:val="20"/>
              </w:rPr>
            </w:pPr>
            <w:r>
              <w:rPr>
                <w:spacing w:val="-5"/>
                <w:sz w:val="20"/>
              </w:rPr>
              <w:t>RCx</w:t>
            </w:r>
          </w:p>
        </w:tc>
        <w:tc>
          <w:tcPr>
            <w:tcW w:w="5159" w:type="dxa"/>
            <w:tcBorders>
              <w:top w:val="single" w:color="D9D9D9" w:sz="2" w:space="0"/>
              <w:bottom w:val="single" w:color="000000" w:sz="8" w:space="0"/>
            </w:tcBorders>
          </w:tcPr>
          <w:p w:rsidR="00C31389" w:rsidRDefault="00561FBD" w14:paraId="054781CB" w14:textId="77777777">
            <w:pPr>
              <w:pStyle w:val="TableParagraph"/>
              <w:ind w:left="142" w:right="178"/>
              <w:rPr>
                <w:sz w:val="20"/>
              </w:rPr>
            </w:pPr>
            <w:r>
              <w:rPr>
                <w:sz w:val="20"/>
              </w:rPr>
              <w:t xml:space="preserve">Whole building systems approach to improving an existing building’s performance by identifying and implementing </w:t>
            </w:r>
            <w:r>
              <w:rPr>
                <w:sz w:val="20"/>
              </w:rPr>
              <w:t>operational improvements to save energy and increase comfort; RCx refers to commissioning a building that has not previously been commissioned; this program also includes RCx or commissioning</w:t>
            </w:r>
            <w:r>
              <w:rPr>
                <w:spacing w:val="-7"/>
                <w:sz w:val="20"/>
              </w:rPr>
              <w:t xml:space="preserve"> </w:t>
            </w:r>
            <w:r>
              <w:rPr>
                <w:sz w:val="20"/>
              </w:rPr>
              <w:t>a</w:t>
            </w:r>
            <w:r>
              <w:rPr>
                <w:spacing w:val="-7"/>
                <w:sz w:val="20"/>
              </w:rPr>
              <w:t xml:space="preserve"> </w:t>
            </w:r>
            <w:r>
              <w:rPr>
                <w:sz w:val="20"/>
              </w:rPr>
              <w:t>building</w:t>
            </w:r>
            <w:r>
              <w:rPr>
                <w:spacing w:val="-7"/>
                <w:sz w:val="20"/>
              </w:rPr>
              <w:t xml:space="preserve"> </w:t>
            </w:r>
            <w:r>
              <w:rPr>
                <w:sz w:val="20"/>
              </w:rPr>
              <w:t>that</w:t>
            </w:r>
            <w:r>
              <w:rPr>
                <w:spacing w:val="-7"/>
                <w:sz w:val="20"/>
              </w:rPr>
              <w:t xml:space="preserve"> </w:t>
            </w:r>
            <w:r>
              <w:rPr>
                <w:sz w:val="20"/>
              </w:rPr>
              <w:t>has</w:t>
            </w:r>
            <w:r>
              <w:rPr>
                <w:spacing w:val="-7"/>
                <w:sz w:val="20"/>
              </w:rPr>
              <w:t xml:space="preserve"> </w:t>
            </w:r>
            <w:r>
              <w:rPr>
                <w:sz w:val="20"/>
              </w:rPr>
              <w:t>been</w:t>
            </w:r>
            <w:r>
              <w:rPr>
                <w:spacing w:val="-8"/>
                <w:sz w:val="20"/>
              </w:rPr>
              <w:t xml:space="preserve"> </w:t>
            </w:r>
            <w:r>
              <w:rPr>
                <w:sz w:val="20"/>
              </w:rPr>
              <w:t>commissioned at least 5 years prior</w:t>
            </w:r>
          </w:p>
        </w:tc>
        <w:tc>
          <w:tcPr>
            <w:tcW w:w="1080" w:type="dxa"/>
            <w:tcBorders>
              <w:top w:val="single" w:color="D9D9D9" w:sz="2" w:space="0"/>
              <w:bottom w:val="single" w:color="000000" w:sz="8" w:space="0"/>
            </w:tcBorders>
          </w:tcPr>
          <w:p w:rsidR="00C31389" w:rsidRDefault="00C31389" w14:paraId="234AFF25" w14:textId="77777777">
            <w:pPr>
              <w:pStyle w:val="TableParagraph"/>
              <w:spacing w:before="0"/>
              <w:rPr>
                <w:b/>
              </w:rPr>
            </w:pPr>
          </w:p>
          <w:p w:rsidR="00C31389" w:rsidRDefault="00C31389" w14:paraId="0F2B0357" w14:textId="77777777">
            <w:pPr>
              <w:pStyle w:val="TableParagraph"/>
              <w:spacing w:before="0"/>
              <w:rPr>
                <w:b/>
              </w:rPr>
            </w:pPr>
          </w:p>
          <w:p w:rsidR="00C31389" w:rsidRDefault="00C31389" w14:paraId="002BCC5E" w14:textId="77777777">
            <w:pPr>
              <w:pStyle w:val="TableParagraph"/>
              <w:spacing w:before="6"/>
              <w:rPr>
                <w:b/>
                <w:sz w:val="29"/>
              </w:rPr>
            </w:pPr>
          </w:p>
          <w:p w:rsidR="00C31389" w:rsidRDefault="00561FBD" w14:paraId="2B4BE89F" w14:textId="77777777">
            <w:pPr>
              <w:pStyle w:val="TableParagraph"/>
              <w:spacing w:before="0"/>
              <w:ind w:right="484"/>
              <w:jc w:val="right"/>
              <w:rPr>
                <w:sz w:val="20"/>
              </w:rPr>
            </w:pPr>
            <w:r>
              <w:rPr>
                <w:sz w:val="20"/>
              </w:rPr>
              <w:t>3</w:t>
            </w:r>
          </w:p>
        </w:tc>
      </w:tr>
    </w:tbl>
    <w:p w:rsidR="00C31389" w:rsidRDefault="00561FBD" w14:paraId="0A539184" w14:textId="77777777">
      <w:pPr>
        <w:spacing w:before="22"/>
        <w:ind w:left="479" w:right="533"/>
        <w:rPr>
          <w:sz w:val="18"/>
        </w:rPr>
      </w:pPr>
      <w:r>
        <w:rPr>
          <w:sz w:val="18"/>
        </w:rPr>
        <w:t>*Pursuant to Assembly Bill (AB) 802, building benchmarking is mandated for all commercial buildings greater than 50,000 sq. ft. under the CEC’s Building Energy Benchmarking Program. In the 2021 Study, the Guidehouse team limited</w:t>
      </w:r>
      <w:r>
        <w:rPr>
          <w:spacing w:val="-3"/>
          <w:sz w:val="18"/>
        </w:rPr>
        <w:t xml:space="preserve"> </w:t>
      </w:r>
      <w:r>
        <w:rPr>
          <w:sz w:val="18"/>
        </w:rPr>
        <w:t>the</w:t>
      </w:r>
      <w:r>
        <w:rPr>
          <w:spacing w:val="-3"/>
          <w:sz w:val="18"/>
        </w:rPr>
        <w:t xml:space="preserve"> </w:t>
      </w:r>
      <w:r>
        <w:rPr>
          <w:sz w:val="18"/>
        </w:rPr>
        <w:t>applicability</w:t>
      </w:r>
      <w:r>
        <w:rPr>
          <w:spacing w:val="-2"/>
          <w:sz w:val="18"/>
        </w:rPr>
        <w:t xml:space="preserve"> </w:t>
      </w:r>
      <w:r>
        <w:rPr>
          <w:sz w:val="18"/>
        </w:rPr>
        <w:t>of</w:t>
      </w:r>
      <w:r>
        <w:rPr>
          <w:spacing w:val="-2"/>
          <w:sz w:val="18"/>
        </w:rPr>
        <w:t xml:space="preserve"> </w:t>
      </w:r>
      <w:r>
        <w:rPr>
          <w:sz w:val="18"/>
        </w:rPr>
        <w:t>th</w:t>
      </w:r>
      <w:r>
        <w:rPr>
          <w:sz w:val="18"/>
        </w:rPr>
        <w:t>e</w:t>
      </w:r>
      <w:r>
        <w:rPr>
          <w:spacing w:val="-3"/>
          <w:sz w:val="18"/>
        </w:rPr>
        <w:t xml:space="preserve"> </w:t>
      </w:r>
      <w:r>
        <w:rPr>
          <w:sz w:val="18"/>
        </w:rPr>
        <w:t>benchmarking</w:t>
      </w:r>
      <w:r>
        <w:rPr>
          <w:spacing w:val="-1"/>
          <w:sz w:val="18"/>
        </w:rPr>
        <w:t xml:space="preserve"> </w:t>
      </w:r>
      <w:r>
        <w:rPr>
          <w:sz w:val="18"/>
        </w:rPr>
        <w:t>measure</w:t>
      </w:r>
      <w:r>
        <w:rPr>
          <w:spacing w:val="-3"/>
          <w:sz w:val="18"/>
        </w:rPr>
        <w:t xml:space="preserve"> </w:t>
      </w:r>
      <w:r>
        <w:rPr>
          <w:sz w:val="18"/>
        </w:rPr>
        <w:t>to</w:t>
      </w:r>
      <w:r>
        <w:rPr>
          <w:spacing w:val="-3"/>
          <w:sz w:val="18"/>
        </w:rPr>
        <w:t xml:space="preserve"> </w:t>
      </w:r>
      <w:r>
        <w:rPr>
          <w:sz w:val="18"/>
        </w:rPr>
        <w:t>buildings</w:t>
      </w:r>
      <w:r>
        <w:rPr>
          <w:spacing w:val="-1"/>
          <w:sz w:val="18"/>
        </w:rPr>
        <w:t xml:space="preserve"> </w:t>
      </w:r>
      <w:r>
        <w:rPr>
          <w:sz w:val="18"/>
        </w:rPr>
        <w:t>less</w:t>
      </w:r>
      <w:r>
        <w:rPr>
          <w:spacing w:val="-2"/>
          <w:sz w:val="18"/>
        </w:rPr>
        <w:t xml:space="preserve"> </w:t>
      </w:r>
      <w:r>
        <w:rPr>
          <w:sz w:val="18"/>
        </w:rPr>
        <w:t>than</w:t>
      </w:r>
      <w:r>
        <w:rPr>
          <w:spacing w:val="-3"/>
          <w:sz w:val="18"/>
        </w:rPr>
        <w:t xml:space="preserve"> </w:t>
      </w:r>
      <w:r>
        <w:rPr>
          <w:sz w:val="18"/>
        </w:rPr>
        <w:t>50,000</w:t>
      </w:r>
      <w:r>
        <w:rPr>
          <w:spacing w:val="-3"/>
          <w:sz w:val="18"/>
        </w:rPr>
        <w:t xml:space="preserve"> </w:t>
      </w:r>
      <w:r>
        <w:rPr>
          <w:sz w:val="18"/>
        </w:rPr>
        <w:t>sq.</w:t>
      </w:r>
      <w:r>
        <w:rPr>
          <w:spacing w:val="-2"/>
          <w:sz w:val="18"/>
        </w:rPr>
        <w:t xml:space="preserve"> </w:t>
      </w:r>
      <w:r>
        <w:rPr>
          <w:sz w:val="18"/>
        </w:rPr>
        <w:t>ft.</w:t>
      </w:r>
      <w:r>
        <w:rPr>
          <w:spacing w:val="-3"/>
          <w:sz w:val="18"/>
        </w:rPr>
        <w:t xml:space="preserve"> </w:t>
      </w:r>
      <w:r>
        <w:rPr>
          <w:sz w:val="18"/>
        </w:rPr>
        <w:t>but</w:t>
      </w:r>
      <w:r>
        <w:rPr>
          <w:spacing w:val="-2"/>
          <w:sz w:val="18"/>
        </w:rPr>
        <w:t xml:space="preserve"> </w:t>
      </w:r>
      <w:r>
        <w:rPr>
          <w:sz w:val="18"/>
        </w:rPr>
        <w:t>greater</w:t>
      </w:r>
      <w:r>
        <w:rPr>
          <w:spacing w:val="-2"/>
          <w:sz w:val="18"/>
        </w:rPr>
        <w:t xml:space="preserve"> </w:t>
      </w:r>
      <w:r>
        <w:rPr>
          <w:sz w:val="18"/>
        </w:rPr>
        <w:t>than</w:t>
      </w:r>
      <w:r>
        <w:rPr>
          <w:spacing w:val="-3"/>
          <w:sz w:val="18"/>
        </w:rPr>
        <w:t xml:space="preserve"> </w:t>
      </w:r>
      <w:r>
        <w:rPr>
          <w:sz w:val="18"/>
        </w:rPr>
        <w:t>10,000</w:t>
      </w:r>
      <w:r>
        <w:rPr>
          <w:spacing w:val="-3"/>
          <w:sz w:val="18"/>
        </w:rPr>
        <w:t xml:space="preserve"> </w:t>
      </w:r>
      <w:r>
        <w:rPr>
          <w:sz w:val="18"/>
        </w:rPr>
        <w:t>sq. ft. to reflect additionality from IOU interventions. Due to uncertainty surrounding additional benchmarking requirements from local ordinances that might further precl</w:t>
      </w:r>
      <w:r>
        <w:rPr>
          <w:sz w:val="18"/>
        </w:rPr>
        <w:t>ude IOUs from claiming savings, the team included benchmarking only in the aggressive BROs scenario.</w:t>
      </w:r>
    </w:p>
    <w:p w:rsidR="00C31389" w:rsidRDefault="00561FBD" w14:paraId="43022701" w14:textId="77777777">
      <w:pPr>
        <w:spacing w:before="61"/>
        <w:ind w:left="480"/>
        <w:rPr>
          <w:i/>
          <w:sz w:val="18"/>
        </w:rPr>
      </w:pPr>
      <w:r>
        <w:rPr>
          <w:i/>
          <w:sz w:val="18"/>
        </w:rPr>
        <w:t>Source:</w:t>
      </w:r>
      <w:r>
        <w:rPr>
          <w:i/>
          <w:spacing w:val="-4"/>
          <w:sz w:val="18"/>
        </w:rPr>
        <w:t xml:space="preserve"> </w:t>
      </w:r>
      <w:r>
        <w:rPr>
          <w:i/>
          <w:spacing w:val="-2"/>
          <w:sz w:val="18"/>
        </w:rPr>
        <w:t>Guidehouse</w:t>
      </w:r>
    </w:p>
    <w:p w:rsidR="00C31389" w:rsidRDefault="00C31389" w14:paraId="449F3817" w14:textId="77777777">
      <w:pPr>
        <w:pStyle w:val="BodyText"/>
        <w:spacing w:before="9"/>
        <w:rPr>
          <w:i/>
          <w:sz w:val="20"/>
        </w:rPr>
      </w:pPr>
    </w:p>
    <w:p w:rsidR="00C31389" w:rsidRDefault="00561FBD" w14:paraId="2B37A552" w14:textId="77777777">
      <w:pPr>
        <w:pStyle w:val="Heading4"/>
        <w:numPr>
          <w:ilvl w:val="2"/>
          <w:numId w:val="71"/>
        </w:numPr>
        <w:tabs>
          <w:tab w:val="left" w:pos="1076"/>
        </w:tabs>
        <w:spacing w:before="1"/>
        <w:ind w:left="1076" w:hanging="596"/>
      </w:pPr>
      <w:bookmarkStart w:name="3.8.1_Data_Rigor" w:id="251"/>
      <w:bookmarkStart w:name="_bookmark190" w:id="252"/>
      <w:bookmarkEnd w:id="251"/>
      <w:bookmarkEnd w:id="252"/>
      <w:r>
        <w:t>Data</w:t>
      </w:r>
      <w:r>
        <w:rPr>
          <w:spacing w:val="-4"/>
        </w:rPr>
        <w:t xml:space="preserve"> </w:t>
      </w:r>
      <w:r>
        <w:rPr>
          <w:spacing w:val="-2"/>
        </w:rPr>
        <w:t>Rigor</w:t>
      </w:r>
    </w:p>
    <w:p w:rsidR="00C31389" w:rsidRDefault="00C31389" w14:paraId="10CE01E6" w14:textId="77777777">
      <w:pPr>
        <w:pStyle w:val="BodyText"/>
        <w:spacing w:before="9"/>
        <w:rPr>
          <w:b/>
          <w:sz w:val="20"/>
        </w:rPr>
      </w:pPr>
    </w:p>
    <w:p w:rsidR="00C31389" w:rsidRDefault="00561FBD" w14:paraId="4A2B967E" w14:textId="77777777">
      <w:pPr>
        <w:pStyle w:val="BodyText"/>
        <w:ind w:left="479" w:right="505"/>
      </w:pPr>
      <w:r>
        <w:t>The Guidehouse team</w:t>
      </w:r>
      <w:r>
        <w:rPr>
          <w:spacing w:val="-1"/>
        </w:rPr>
        <w:t xml:space="preserve"> </w:t>
      </w:r>
      <w:r>
        <w:t>conducted an</w:t>
      </w:r>
      <w:r>
        <w:rPr>
          <w:spacing w:val="-1"/>
        </w:rPr>
        <w:t xml:space="preserve"> </w:t>
      </w:r>
      <w:r>
        <w:t>extensive industry scan</w:t>
      </w:r>
      <w:r>
        <w:rPr>
          <w:spacing w:val="-1"/>
        </w:rPr>
        <w:t xml:space="preserve"> </w:t>
      </w:r>
      <w:r>
        <w:t xml:space="preserve">for data on BROs initiatives for the 2019 and 2021 Studies and </w:t>
      </w:r>
      <w:r>
        <w:t>only for HERs in 2023. The team found that many of these programs are still relatively new and learning about their effectiveness is ongoing. The</w:t>
      </w:r>
      <w:r>
        <w:rPr>
          <w:spacing w:val="40"/>
        </w:rPr>
        <w:t xml:space="preserve"> </w:t>
      </w:r>
      <w:r>
        <w:t>published data has studies with different levels of statistical rigor on the data around energy savings</w:t>
      </w:r>
      <w:r>
        <w:rPr>
          <w:spacing w:val="-3"/>
        </w:rPr>
        <w:t xml:space="preserve"> </w:t>
      </w:r>
      <w:r>
        <w:t>result</w:t>
      </w:r>
      <w:r>
        <w:t>ing</w:t>
      </w:r>
      <w:r>
        <w:rPr>
          <w:spacing w:val="-3"/>
        </w:rPr>
        <w:t xml:space="preserve"> </w:t>
      </w:r>
      <w:r>
        <w:t>from</w:t>
      </w:r>
      <w:r>
        <w:rPr>
          <w:spacing w:val="-4"/>
        </w:rPr>
        <w:t xml:space="preserve"> </w:t>
      </w:r>
      <w:r>
        <w:t>these</w:t>
      </w:r>
      <w:r>
        <w:rPr>
          <w:spacing w:val="-3"/>
        </w:rPr>
        <w:t xml:space="preserve"> </w:t>
      </w:r>
      <w:r>
        <w:t>interventions.</w:t>
      </w:r>
      <w:r>
        <w:rPr>
          <w:spacing w:val="-3"/>
        </w:rPr>
        <w:t xml:space="preserve"> </w:t>
      </w:r>
      <w:hyperlink w:history="1" w:anchor="_bookmark191">
        <w:r>
          <w:t>Table</w:t>
        </w:r>
        <w:r>
          <w:rPr>
            <w:spacing w:val="-3"/>
          </w:rPr>
          <w:t xml:space="preserve"> </w:t>
        </w:r>
        <w:r>
          <w:t>3-27.</w:t>
        </w:r>
      </w:hyperlink>
      <w:r>
        <w:rPr>
          <w:spacing w:val="-3"/>
        </w:rPr>
        <w:t xml:space="preserve"> </w:t>
      </w:r>
      <w:r>
        <w:t>provides</w:t>
      </w:r>
      <w:r>
        <w:rPr>
          <w:spacing w:val="-3"/>
        </w:rPr>
        <w:t xml:space="preserve"> </w:t>
      </w:r>
      <w:r>
        <w:t>a</w:t>
      </w:r>
      <w:r>
        <w:rPr>
          <w:spacing w:val="-3"/>
        </w:rPr>
        <w:t xml:space="preserve"> </w:t>
      </w:r>
      <w:r>
        <w:t>snapshot</w:t>
      </w:r>
      <w:r>
        <w:rPr>
          <w:spacing w:val="-3"/>
        </w:rPr>
        <w:t xml:space="preserve"> </w:t>
      </w:r>
      <w:r>
        <w:t>of</w:t>
      </w:r>
      <w:r>
        <w:rPr>
          <w:spacing w:val="-3"/>
        </w:rPr>
        <w:t xml:space="preserve"> </w:t>
      </w:r>
      <w:r>
        <w:t>the</w:t>
      </w:r>
      <w:r>
        <w:rPr>
          <w:spacing w:val="-3"/>
        </w:rPr>
        <w:t xml:space="preserve"> </w:t>
      </w:r>
      <w:r>
        <w:t>quality</w:t>
      </w:r>
      <w:r>
        <w:rPr>
          <w:spacing w:val="-3"/>
        </w:rPr>
        <w:t xml:space="preserve"> </w:t>
      </w:r>
      <w:r>
        <w:t>of</w:t>
      </w:r>
      <w:r>
        <w:rPr>
          <w:spacing w:val="-3"/>
        </w:rPr>
        <w:t xml:space="preserve"> </w:t>
      </w:r>
      <w:r>
        <w:t>data</w:t>
      </w:r>
    </w:p>
    <w:p w:rsidR="00C31389" w:rsidRDefault="00C31389" w14:paraId="0539339F" w14:textId="77777777">
      <w:pPr>
        <w:sectPr w:rsidR="00C31389">
          <w:headerReference w:type="default" r:id="rId153"/>
          <w:footerReference w:type="default" r:id="rId154"/>
          <w:pgSz w:w="12240" w:h="15840"/>
          <w:pgMar w:top="1380" w:right="960" w:bottom="1120" w:left="960" w:header="397" w:footer="936" w:gutter="0"/>
          <w:cols w:space="720"/>
        </w:sectPr>
      </w:pPr>
    </w:p>
    <w:p w:rsidR="00C31389" w:rsidRDefault="00C31389" w14:paraId="7E7E180D" w14:textId="77777777">
      <w:pPr>
        <w:pStyle w:val="BodyText"/>
      </w:pPr>
    </w:p>
    <w:p w:rsidR="00C31389" w:rsidRDefault="00C31389" w14:paraId="75DBF384" w14:textId="77777777">
      <w:pPr>
        <w:pStyle w:val="BodyText"/>
        <w:spacing w:before="10"/>
        <w:rPr>
          <w:sz w:val="13"/>
        </w:rPr>
      </w:pPr>
    </w:p>
    <w:p w:rsidR="00C31389" w:rsidRDefault="00561FBD" w14:paraId="121A153A" w14:textId="77777777">
      <w:pPr>
        <w:pStyle w:val="BodyText"/>
        <w:spacing w:before="93"/>
        <w:ind w:left="480" w:right="533" w:hanging="1"/>
      </w:pPr>
      <w:r>
        <w:t>collected for these studies. Across the board, demand savings data is often limited, and cost data</w:t>
      </w:r>
      <w:r>
        <w:rPr>
          <w:spacing w:val="-3"/>
        </w:rPr>
        <w:t xml:space="preserve"> </w:t>
      </w:r>
      <w:r>
        <w:t>is</w:t>
      </w:r>
      <w:r>
        <w:rPr>
          <w:spacing w:val="-3"/>
        </w:rPr>
        <w:t xml:space="preserve"> </w:t>
      </w:r>
      <w:r>
        <w:t>hard</w:t>
      </w:r>
      <w:r>
        <w:rPr>
          <w:spacing w:val="-4"/>
        </w:rPr>
        <w:t xml:space="preserve"> </w:t>
      </w:r>
      <w:r>
        <w:t>to</w:t>
      </w:r>
      <w:r>
        <w:rPr>
          <w:spacing w:val="-3"/>
        </w:rPr>
        <w:t xml:space="preserve"> </w:t>
      </w:r>
      <w:r>
        <w:t>obtain.</w:t>
      </w:r>
      <w:r>
        <w:rPr>
          <w:spacing w:val="-3"/>
        </w:rPr>
        <w:t xml:space="preserve"> </w:t>
      </w:r>
      <w:r>
        <w:t>No</w:t>
      </w:r>
      <w:r>
        <w:rPr>
          <w:spacing w:val="-3"/>
        </w:rPr>
        <w:t xml:space="preserve"> </w:t>
      </w:r>
      <w:r>
        <w:t>new</w:t>
      </w:r>
      <w:r>
        <w:rPr>
          <w:spacing w:val="-4"/>
        </w:rPr>
        <w:t xml:space="preserve"> </w:t>
      </w:r>
      <w:r>
        <w:t>primary</w:t>
      </w:r>
      <w:r>
        <w:rPr>
          <w:spacing w:val="-3"/>
        </w:rPr>
        <w:t xml:space="preserve"> </w:t>
      </w:r>
      <w:r>
        <w:t>research</w:t>
      </w:r>
      <w:r>
        <w:rPr>
          <w:spacing w:val="-4"/>
        </w:rPr>
        <w:t xml:space="preserve"> </w:t>
      </w:r>
      <w:r>
        <w:t>on</w:t>
      </w:r>
      <w:r>
        <w:rPr>
          <w:spacing w:val="-3"/>
        </w:rPr>
        <w:t xml:space="preserve"> </w:t>
      </w:r>
      <w:r>
        <w:t>BROs</w:t>
      </w:r>
      <w:r>
        <w:rPr>
          <w:spacing w:val="-3"/>
        </w:rPr>
        <w:t xml:space="preserve"> </w:t>
      </w:r>
      <w:r>
        <w:t>was</w:t>
      </w:r>
      <w:r>
        <w:rPr>
          <w:spacing w:val="-3"/>
        </w:rPr>
        <w:t xml:space="preserve"> </w:t>
      </w:r>
      <w:r>
        <w:t>conducted</w:t>
      </w:r>
      <w:r>
        <w:rPr>
          <w:spacing w:val="-3"/>
        </w:rPr>
        <w:t xml:space="preserve"> </w:t>
      </w:r>
      <w:r>
        <w:t>for</w:t>
      </w:r>
      <w:r>
        <w:rPr>
          <w:spacing w:val="-3"/>
        </w:rPr>
        <w:t xml:space="preserve"> </w:t>
      </w:r>
      <w:r>
        <w:t>the</w:t>
      </w:r>
      <w:r>
        <w:rPr>
          <w:spacing w:val="-3"/>
        </w:rPr>
        <w:t xml:space="preserve"> </w:t>
      </w:r>
      <w:r>
        <w:t>2023</w:t>
      </w:r>
      <w:r>
        <w:rPr>
          <w:spacing w:val="-3"/>
        </w:rPr>
        <w:t xml:space="preserve"> </w:t>
      </w:r>
      <w:r>
        <w:t>Study.</w:t>
      </w:r>
    </w:p>
    <w:p w:rsidR="00C31389" w:rsidRDefault="00C31389" w14:paraId="0DAD18BB" w14:textId="77777777">
      <w:pPr>
        <w:pStyle w:val="BodyText"/>
        <w:spacing w:before="9"/>
        <w:rPr>
          <w:sz w:val="20"/>
        </w:rPr>
      </w:pPr>
    </w:p>
    <w:p w:rsidR="00C31389" w:rsidRDefault="00561FBD" w14:paraId="449A7C6D" w14:textId="77777777">
      <w:pPr>
        <w:pStyle w:val="BodyText"/>
        <w:ind w:left="480" w:right="533" w:hanging="1"/>
      </w:pPr>
      <w:r>
        <w:t>Penetration</w:t>
      </w:r>
      <w:r>
        <w:rPr>
          <w:spacing w:val="-3"/>
        </w:rPr>
        <w:t xml:space="preserve"> </w:t>
      </w:r>
      <w:r>
        <w:t>forecasts</w:t>
      </w:r>
      <w:r>
        <w:rPr>
          <w:spacing w:val="-3"/>
        </w:rPr>
        <w:t xml:space="preserve"> </w:t>
      </w:r>
      <w:r>
        <w:t>are</w:t>
      </w:r>
      <w:r>
        <w:rPr>
          <w:spacing w:val="-3"/>
        </w:rPr>
        <w:t xml:space="preserve"> </w:t>
      </w:r>
      <w:r>
        <w:t>the</w:t>
      </w:r>
      <w:r>
        <w:rPr>
          <w:spacing w:val="-3"/>
        </w:rPr>
        <w:t xml:space="preserve"> </w:t>
      </w:r>
      <w:r>
        <w:t>most</w:t>
      </w:r>
      <w:r>
        <w:rPr>
          <w:spacing w:val="-3"/>
        </w:rPr>
        <w:t xml:space="preserve"> </w:t>
      </w:r>
      <w:r>
        <w:t>uncertain</w:t>
      </w:r>
      <w:r>
        <w:rPr>
          <w:spacing w:val="-3"/>
        </w:rPr>
        <w:t xml:space="preserve"> </w:t>
      </w:r>
      <w:r>
        <w:t>because</w:t>
      </w:r>
      <w:r>
        <w:rPr>
          <w:spacing w:val="-3"/>
        </w:rPr>
        <w:t xml:space="preserve"> </w:t>
      </w:r>
      <w:r>
        <w:t>of</w:t>
      </w:r>
      <w:r>
        <w:rPr>
          <w:spacing w:val="-3"/>
        </w:rPr>
        <w:t xml:space="preserve"> </w:t>
      </w:r>
      <w:r>
        <w:t>limited</w:t>
      </w:r>
      <w:r>
        <w:rPr>
          <w:spacing w:val="-3"/>
        </w:rPr>
        <w:t xml:space="preserve"> </w:t>
      </w:r>
      <w:r>
        <w:t>historical</w:t>
      </w:r>
      <w:r>
        <w:rPr>
          <w:spacing w:val="-4"/>
        </w:rPr>
        <w:t xml:space="preserve"> </w:t>
      </w:r>
      <w:r>
        <w:t>penetration</w:t>
      </w:r>
      <w:r>
        <w:rPr>
          <w:spacing w:val="-4"/>
        </w:rPr>
        <w:t xml:space="preserve"> </w:t>
      </w:r>
      <w:r>
        <w:t>rates</w:t>
      </w:r>
      <w:r>
        <w:rPr>
          <w:spacing w:val="-3"/>
        </w:rPr>
        <w:t xml:space="preserve"> </w:t>
      </w:r>
      <w:r>
        <w:t>on which to base a forecast.</w:t>
      </w:r>
    </w:p>
    <w:p w:rsidR="00C31389" w:rsidRDefault="00C31389" w14:paraId="75A427CD" w14:textId="77777777">
      <w:pPr>
        <w:pStyle w:val="BodyText"/>
        <w:spacing w:before="10"/>
        <w:rPr>
          <w:sz w:val="20"/>
        </w:rPr>
      </w:pPr>
    </w:p>
    <w:p w:rsidR="00C31389" w:rsidRDefault="00561FBD" w14:paraId="3597EB3E" w14:textId="77777777">
      <w:pPr>
        <w:pStyle w:val="BodyText"/>
        <w:ind w:left="480" w:right="469"/>
      </w:pPr>
      <w:r>
        <w:t>The team recommends the industry consider pilot studies and measurement and verification to provide</w:t>
      </w:r>
      <w:r>
        <w:rPr>
          <w:spacing w:val="-3"/>
        </w:rPr>
        <w:t xml:space="preserve"> </w:t>
      </w:r>
      <w:r>
        <w:t>better</w:t>
      </w:r>
      <w:r>
        <w:rPr>
          <w:spacing w:val="-3"/>
        </w:rPr>
        <w:t xml:space="preserve"> </w:t>
      </w:r>
      <w:r>
        <w:t>data</w:t>
      </w:r>
      <w:r>
        <w:rPr>
          <w:spacing w:val="-3"/>
        </w:rPr>
        <w:t xml:space="preserve"> </w:t>
      </w:r>
      <w:r>
        <w:t>to</w:t>
      </w:r>
      <w:r>
        <w:rPr>
          <w:spacing w:val="-3"/>
        </w:rPr>
        <w:t xml:space="preserve"> </w:t>
      </w:r>
      <w:r>
        <w:t>future</w:t>
      </w:r>
      <w:r>
        <w:rPr>
          <w:spacing w:val="-3"/>
        </w:rPr>
        <w:t xml:space="preserve"> </w:t>
      </w:r>
      <w:r>
        <w:t>potential</w:t>
      </w:r>
      <w:r>
        <w:rPr>
          <w:spacing w:val="-3"/>
        </w:rPr>
        <w:t xml:space="preserve"> </w:t>
      </w:r>
      <w:r>
        <w:t>and</w:t>
      </w:r>
      <w:r>
        <w:rPr>
          <w:spacing w:val="-3"/>
        </w:rPr>
        <w:t xml:space="preserve"> </w:t>
      </w:r>
      <w:r>
        <w:t>goals</w:t>
      </w:r>
      <w:r>
        <w:rPr>
          <w:spacing w:val="-3"/>
        </w:rPr>
        <w:t xml:space="preserve"> </w:t>
      </w:r>
      <w:r>
        <w:t>studies.</w:t>
      </w:r>
      <w:r>
        <w:rPr>
          <w:spacing w:val="-3"/>
        </w:rPr>
        <w:t xml:space="preserve"> </w:t>
      </w:r>
      <w:r>
        <w:t>Examples</w:t>
      </w:r>
      <w:r>
        <w:rPr>
          <w:spacing w:val="-3"/>
        </w:rPr>
        <w:t xml:space="preserve"> </w:t>
      </w:r>
      <w:r>
        <w:t>of</w:t>
      </w:r>
      <w:r>
        <w:rPr>
          <w:spacing w:val="-3"/>
        </w:rPr>
        <w:t xml:space="preserve"> </w:t>
      </w:r>
      <w:r>
        <w:t>interventions</w:t>
      </w:r>
      <w:r>
        <w:rPr>
          <w:spacing w:val="-3"/>
        </w:rPr>
        <w:t xml:space="preserve"> </w:t>
      </w:r>
      <w:r>
        <w:t>that</w:t>
      </w:r>
      <w:r>
        <w:rPr>
          <w:spacing w:val="-3"/>
        </w:rPr>
        <w:t xml:space="preserve"> </w:t>
      </w:r>
      <w:r>
        <w:t>literature claims to show promise, though limited verified data exists, include prepay programs, commercial</w:t>
      </w:r>
      <w:r>
        <w:rPr>
          <w:spacing w:val="-3"/>
        </w:rPr>
        <w:t xml:space="preserve"> </w:t>
      </w:r>
      <w:r>
        <w:t>SEM,</w:t>
      </w:r>
      <w:r>
        <w:rPr>
          <w:spacing w:val="-3"/>
        </w:rPr>
        <w:t xml:space="preserve"> </w:t>
      </w:r>
      <w:r>
        <w:t>building</w:t>
      </w:r>
      <w:r>
        <w:rPr>
          <w:spacing w:val="-3"/>
        </w:rPr>
        <w:t xml:space="preserve"> </w:t>
      </w:r>
      <w:r>
        <w:t>benchmarking,</w:t>
      </w:r>
      <w:r>
        <w:rPr>
          <w:spacing w:val="-3"/>
        </w:rPr>
        <w:t xml:space="preserve"> </w:t>
      </w:r>
      <w:r>
        <w:t>competitions,</w:t>
      </w:r>
      <w:r>
        <w:rPr>
          <w:spacing w:val="-3"/>
        </w:rPr>
        <w:t xml:space="preserve"> </w:t>
      </w:r>
      <w:r>
        <w:t>web-based</w:t>
      </w:r>
      <w:r>
        <w:rPr>
          <w:spacing w:val="-3"/>
        </w:rPr>
        <w:t xml:space="preserve"> </w:t>
      </w:r>
      <w:r>
        <w:t>feedback,</w:t>
      </w:r>
      <w:r>
        <w:rPr>
          <w:spacing w:val="-3"/>
        </w:rPr>
        <w:t xml:space="preserve"> </w:t>
      </w:r>
      <w:r>
        <w:t>and</w:t>
      </w:r>
      <w:r>
        <w:rPr>
          <w:spacing w:val="-3"/>
        </w:rPr>
        <w:t xml:space="preserve"> </w:t>
      </w:r>
      <w:r>
        <w:t>in-home</w:t>
      </w:r>
      <w:r>
        <w:rPr>
          <w:spacing w:val="-3"/>
        </w:rPr>
        <w:t xml:space="preserve"> </w:t>
      </w:r>
      <w:r>
        <w:t>real- time feedback.</w:t>
      </w:r>
    </w:p>
    <w:p w:rsidR="00C31389" w:rsidRDefault="00C31389" w14:paraId="20288876" w14:textId="77777777">
      <w:pPr>
        <w:pStyle w:val="BodyText"/>
        <w:spacing w:before="10"/>
        <w:rPr>
          <w:sz w:val="20"/>
        </w:rPr>
      </w:pPr>
    </w:p>
    <w:p w:rsidR="00C31389" w:rsidRDefault="00561FBD" w14:paraId="4E07CFAA" w14:textId="77777777">
      <w:pPr>
        <w:pStyle w:val="Heading7"/>
        <w:ind w:left="566" w:right="566"/>
        <w:jc w:val="center"/>
      </w:pPr>
      <w:bookmarkStart w:name="_bookmark191" w:id="253"/>
      <w:bookmarkEnd w:id="253"/>
      <w:r>
        <w:t>Table</w:t>
      </w:r>
      <w:r>
        <w:rPr>
          <w:spacing w:val="-8"/>
        </w:rPr>
        <w:t xml:space="preserve"> </w:t>
      </w:r>
      <w:r>
        <w:t>3-27.</w:t>
      </w:r>
      <w:r>
        <w:rPr>
          <w:spacing w:val="-8"/>
        </w:rPr>
        <w:t xml:space="preserve"> </w:t>
      </w:r>
      <w:r>
        <w:t>Qualitative</w:t>
      </w:r>
      <w:r>
        <w:rPr>
          <w:spacing w:val="-7"/>
        </w:rPr>
        <w:t xml:space="preserve"> </w:t>
      </w:r>
      <w:r>
        <w:t>Assessmen</w:t>
      </w:r>
      <w:r>
        <w:t>t</w:t>
      </w:r>
      <w:r>
        <w:rPr>
          <w:spacing w:val="-8"/>
        </w:rPr>
        <w:t xml:space="preserve"> </w:t>
      </w:r>
      <w:r>
        <w:t>of</w:t>
      </w:r>
      <w:r>
        <w:rPr>
          <w:spacing w:val="-7"/>
        </w:rPr>
        <w:t xml:space="preserve"> </w:t>
      </w:r>
      <w:r>
        <w:t>Data</w:t>
      </w:r>
      <w:r>
        <w:rPr>
          <w:spacing w:val="-7"/>
        </w:rPr>
        <w:t xml:space="preserve"> </w:t>
      </w:r>
      <w:r>
        <w:rPr>
          <w:spacing w:val="-2"/>
        </w:rPr>
        <w:t>Quality</w:t>
      </w:r>
    </w:p>
    <w:p w:rsidR="00C31389" w:rsidRDefault="00561FBD" w14:paraId="1CB67A76" w14:textId="77777777">
      <w:pPr>
        <w:spacing w:before="162"/>
        <w:ind w:left="568" w:right="2455"/>
        <w:jc w:val="center"/>
        <w:rPr>
          <w:b/>
          <w:sz w:val="12"/>
        </w:rPr>
      </w:pPr>
      <w:r>
        <w:rPr>
          <w:noProof/>
        </w:rPr>
        <mc:AlternateContent>
          <mc:Choice Requires="wps">
            <w:drawing>
              <wp:anchor distT="0" distB="0" distL="0" distR="0" simplePos="0" relativeHeight="15798272" behindDoc="0" locked="0" layoutInCell="1" allowOverlap="1" wp14:editId="73D90B4A" wp14:anchorId="5EBC2B61">
                <wp:simplePos x="0" y="0"/>
                <wp:positionH relativeFrom="page">
                  <wp:posOffset>867298</wp:posOffset>
                </wp:positionH>
                <wp:positionV relativeFrom="paragraph">
                  <wp:posOffset>73754</wp:posOffset>
                </wp:positionV>
                <wp:extent cx="6029325" cy="282448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28244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05"/>
                              <w:gridCol w:w="2283"/>
                              <w:gridCol w:w="541"/>
                              <w:gridCol w:w="631"/>
                              <w:gridCol w:w="541"/>
                              <w:gridCol w:w="955"/>
                              <w:gridCol w:w="955"/>
                              <w:gridCol w:w="955"/>
                              <w:gridCol w:w="955"/>
                              <w:gridCol w:w="962"/>
                            </w:tblGrid>
                            <w:tr w:rsidR="00C31389" w14:paraId="5BA151B7" w14:textId="77777777">
                              <w:trPr>
                                <w:trHeight w:val="168"/>
                              </w:trPr>
                              <w:tc>
                                <w:tcPr>
                                  <w:tcW w:w="605" w:type="dxa"/>
                                  <w:shd w:val="clear" w:color="auto" w:fill="545658"/>
                                </w:tcPr>
                                <w:p w:rsidR="00C31389" w:rsidRDefault="00C31389" w14:paraId="4D564512" w14:textId="77777777">
                                  <w:pPr>
                                    <w:pStyle w:val="TableParagraph"/>
                                    <w:spacing w:before="0"/>
                                    <w:rPr>
                                      <w:rFonts w:ascii="Times New Roman"/>
                                      <w:sz w:val="10"/>
                                    </w:rPr>
                                  </w:pPr>
                                </w:p>
                              </w:tc>
                              <w:tc>
                                <w:tcPr>
                                  <w:tcW w:w="2283" w:type="dxa"/>
                                  <w:shd w:val="clear" w:color="auto" w:fill="545658"/>
                                </w:tcPr>
                                <w:p w:rsidR="00C31389" w:rsidRDefault="00C31389" w14:paraId="01A4ABD8" w14:textId="77777777">
                                  <w:pPr>
                                    <w:pStyle w:val="TableParagraph"/>
                                    <w:spacing w:before="0"/>
                                    <w:rPr>
                                      <w:rFonts w:ascii="Times New Roman"/>
                                      <w:sz w:val="10"/>
                                    </w:rPr>
                                  </w:pPr>
                                </w:p>
                              </w:tc>
                              <w:tc>
                                <w:tcPr>
                                  <w:tcW w:w="541" w:type="dxa"/>
                                  <w:shd w:val="clear" w:color="auto" w:fill="585858"/>
                                </w:tcPr>
                                <w:p w:rsidR="00C31389" w:rsidRDefault="00C31389" w14:paraId="25612AF4" w14:textId="77777777">
                                  <w:pPr>
                                    <w:pStyle w:val="TableParagraph"/>
                                    <w:spacing w:before="0"/>
                                    <w:rPr>
                                      <w:rFonts w:ascii="Times New Roman"/>
                                      <w:sz w:val="10"/>
                                    </w:rPr>
                                  </w:pPr>
                                </w:p>
                              </w:tc>
                              <w:tc>
                                <w:tcPr>
                                  <w:tcW w:w="2127" w:type="dxa"/>
                                  <w:gridSpan w:val="3"/>
                                  <w:shd w:val="clear" w:color="auto" w:fill="585858"/>
                                </w:tcPr>
                                <w:p w:rsidR="00C31389" w:rsidRDefault="00C31389" w14:paraId="1BB98FF0" w14:textId="77777777">
                                  <w:pPr>
                                    <w:pStyle w:val="TableParagraph"/>
                                    <w:spacing w:before="0"/>
                                    <w:rPr>
                                      <w:rFonts w:ascii="Times New Roman"/>
                                      <w:sz w:val="10"/>
                                    </w:rPr>
                                  </w:pPr>
                                </w:p>
                              </w:tc>
                              <w:tc>
                                <w:tcPr>
                                  <w:tcW w:w="955" w:type="dxa"/>
                                  <w:shd w:val="clear" w:color="auto" w:fill="545658"/>
                                </w:tcPr>
                                <w:p w:rsidR="00C31389" w:rsidRDefault="00C31389" w14:paraId="38D39921" w14:textId="77777777">
                                  <w:pPr>
                                    <w:pStyle w:val="TableParagraph"/>
                                    <w:spacing w:before="0"/>
                                    <w:rPr>
                                      <w:rFonts w:ascii="Times New Roman"/>
                                      <w:sz w:val="10"/>
                                    </w:rPr>
                                  </w:pPr>
                                </w:p>
                              </w:tc>
                              <w:tc>
                                <w:tcPr>
                                  <w:tcW w:w="955" w:type="dxa"/>
                                  <w:vMerge w:val="restart"/>
                                  <w:tcBorders>
                                    <w:bottom w:val="single" w:color="DCDDDE" w:sz="4" w:space="0"/>
                                  </w:tcBorders>
                                  <w:shd w:val="clear" w:color="auto" w:fill="545658"/>
                                </w:tcPr>
                                <w:p w:rsidR="00C31389" w:rsidRDefault="00561FBD" w14:paraId="28A66C41" w14:textId="77777777">
                                  <w:pPr>
                                    <w:pStyle w:val="TableParagraph"/>
                                    <w:spacing w:before="95"/>
                                    <w:ind w:left="347" w:hanging="234"/>
                                    <w:rPr>
                                      <w:b/>
                                      <w:sz w:val="12"/>
                                    </w:rPr>
                                  </w:pPr>
                                  <w:r>
                                    <w:rPr>
                                      <w:b/>
                                      <w:color w:val="FFFFFF"/>
                                      <w:spacing w:val="-2"/>
                                      <w:sz w:val="12"/>
                                    </w:rPr>
                                    <w:t>Participation</w:t>
                                  </w:r>
                                  <w:r>
                                    <w:rPr>
                                      <w:b/>
                                      <w:color w:val="FFFFFF"/>
                                      <w:spacing w:val="40"/>
                                      <w:sz w:val="12"/>
                                    </w:rPr>
                                    <w:t xml:space="preserve"> </w:t>
                                  </w:r>
                                  <w:r>
                                    <w:rPr>
                                      <w:b/>
                                      <w:color w:val="FFFFFF"/>
                                      <w:spacing w:val="-4"/>
                                      <w:sz w:val="12"/>
                                    </w:rPr>
                                    <w:t>Rate</w:t>
                                  </w:r>
                                </w:p>
                              </w:tc>
                              <w:tc>
                                <w:tcPr>
                                  <w:tcW w:w="955" w:type="dxa"/>
                                  <w:vMerge w:val="restart"/>
                                  <w:tcBorders>
                                    <w:bottom w:val="single" w:color="DCDDDE" w:sz="4" w:space="0"/>
                                  </w:tcBorders>
                                  <w:shd w:val="clear" w:color="auto" w:fill="545658"/>
                                </w:tcPr>
                                <w:p w:rsidR="00C31389" w:rsidRDefault="00561FBD" w14:paraId="1393D2EE" w14:textId="77777777">
                                  <w:pPr>
                                    <w:pStyle w:val="TableParagraph"/>
                                    <w:spacing w:before="95"/>
                                    <w:ind w:left="226" w:hanging="81"/>
                                    <w:rPr>
                                      <w:b/>
                                      <w:sz w:val="12"/>
                                    </w:rPr>
                                  </w:pPr>
                                  <w:r>
                                    <w:rPr>
                                      <w:b/>
                                      <w:color w:val="FFFFFF"/>
                                      <w:spacing w:val="-2"/>
                                      <w:sz w:val="12"/>
                                    </w:rPr>
                                    <w:t>Penetration</w:t>
                                  </w:r>
                                  <w:r>
                                    <w:rPr>
                                      <w:b/>
                                      <w:color w:val="FFFFFF"/>
                                      <w:spacing w:val="40"/>
                                      <w:sz w:val="12"/>
                                    </w:rPr>
                                    <w:t xml:space="preserve"> </w:t>
                                  </w:r>
                                  <w:r>
                                    <w:rPr>
                                      <w:b/>
                                      <w:color w:val="FFFFFF"/>
                                      <w:spacing w:val="-2"/>
                                      <w:sz w:val="12"/>
                                    </w:rPr>
                                    <w:t>Forecast</w:t>
                                  </w:r>
                                </w:p>
                              </w:tc>
                              <w:tc>
                                <w:tcPr>
                                  <w:tcW w:w="962" w:type="dxa"/>
                                  <w:vMerge w:val="restart"/>
                                  <w:tcBorders>
                                    <w:bottom w:val="single" w:color="DCDDDE" w:sz="4" w:space="0"/>
                                  </w:tcBorders>
                                  <w:shd w:val="clear" w:color="auto" w:fill="545658"/>
                                </w:tcPr>
                                <w:p w:rsidR="00C31389" w:rsidRDefault="00561FBD" w14:paraId="290FBBB8" w14:textId="77777777">
                                  <w:pPr>
                                    <w:pStyle w:val="TableParagraph"/>
                                    <w:spacing w:before="95"/>
                                    <w:ind w:left="239" w:right="166" w:hanging="75"/>
                                    <w:rPr>
                                      <w:b/>
                                      <w:sz w:val="12"/>
                                    </w:rPr>
                                  </w:pPr>
                                  <w:r>
                                    <w:rPr>
                                      <w:b/>
                                      <w:color w:val="FFFFFF"/>
                                      <w:sz w:val="12"/>
                                    </w:rPr>
                                    <w:t>Major</w:t>
                                  </w:r>
                                  <w:r>
                                    <w:rPr>
                                      <w:b/>
                                      <w:color w:val="FFFFFF"/>
                                      <w:spacing w:val="-9"/>
                                      <w:sz w:val="12"/>
                                    </w:rPr>
                                    <w:t xml:space="preserve"> </w:t>
                                  </w:r>
                                  <w:r>
                                    <w:rPr>
                                      <w:b/>
                                      <w:color w:val="FFFFFF"/>
                                      <w:sz w:val="12"/>
                                    </w:rPr>
                                    <w:t>2023</w:t>
                                  </w:r>
                                  <w:r>
                                    <w:rPr>
                                      <w:b/>
                                      <w:color w:val="FFFFFF"/>
                                      <w:spacing w:val="40"/>
                                      <w:sz w:val="12"/>
                                    </w:rPr>
                                    <w:t xml:space="preserve"> </w:t>
                                  </w:r>
                                  <w:r>
                                    <w:rPr>
                                      <w:b/>
                                      <w:color w:val="FFFFFF"/>
                                      <w:spacing w:val="-2"/>
                                      <w:sz w:val="12"/>
                                    </w:rPr>
                                    <w:t>Updates</w:t>
                                  </w:r>
                                </w:p>
                              </w:tc>
                            </w:tr>
                            <w:tr w:rsidR="00C31389" w14:paraId="27814E5F" w14:textId="77777777">
                              <w:trPr>
                                <w:trHeight w:val="114"/>
                              </w:trPr>
                              <w:tc>
                                <w:tcPr>
                                  <w:tcW w:w="605" w:type="dxa"/>
                                  <w:shd w:val="clear" w:color="auto" w:fill="545658"/>
                                </w:tcPr>
                                <w:p w:rsidR="00C31389" w:rsidRDefault="00561FBD" w14:paraId="56C8CB72" w14:textId="77777777">
                                  <w:pPr>
                                    <w:pStyle w:val="TableParagraph"/>
                                    <w:spacing w:before="0" w:line="94" w:lineRule="exact"/>
                                    <w:ind w:left="122"/>
                                    <w:rPr>
                                      <w:b/>
                                      <w:sz w:val="12"/>
                                    </w:rPr>
                                  </w:pPr>
                                  <w:r>
                                    <w:rPr>
                                      <w:b/>
                                      <w:color w:val="FFFFFF"/>
                                      <w:spacing w:val="-2"/>
                                      <w:sz w:val="12"/>
                                    </w:rPr>
                                    <w:t>Sector</w:t>
                                  </w:r>
                                </w:p>
                              </w:tc>
                              <w:tc>
                                <w:tcPr>
                                  <w:tcW w:w="2283" w:type="dxa"/>
                                  <w:shd w:val="clear" w:color="auto" w:fill="545658"/>
                                </w:tcPr>
                                <w:p w:rsidR="00C31389" w:rsidRDefault="00561FBD" w14:paraId="7031B8D1" w14:textId="77777777">
                                  <w:pPr>
                                    <w:pStyle w:val="TableParagraph"/>
                                    <w:spacing w:before="0" w:line="94" w:lineRule="exact"/>
                                    <w:ind w:left="884" w:right="879"/>
                                    <w:jc w:val="center"/>
                                    <w:rPr>
                                      <w:b/>
                                      <w:sz w:val="12"/>
                                    </w:rPr>
                                  </w:pPr>
                                  <w:r>
                                    <w:rPr>
                                      <w:b/>
                                      <w:color w:val="FFFFFF"/>
                                      <w:spacing w:val="-2"/>
                                      <w:sz w:val="12"/>
                                    </w:rPr>
                                    <w:t>Program</w:t>
                                  </w:r>
                                </w:p>
                              </w:tc>
                              <w:tc>
                                <w:tcPr>
                                  <w:tcW w:w="541" w:type="dxa"/>
                                  <w:shd w:val="clear" w:color="auto" w:fill="585858"/>
                                </w:tcPr>
                                <w:p w:rsidR="00C31389" w:rsidRDefault="00C31389" w14:paraId="3E8C130D" w14:textId="77777777">
                                  <w:pPr>
                                    <w:pStyle w:val="TableParagraph"/>
                                    <w:spacing w:before="0"/>
                                    <w:rPr>
                                      <w:rFonts w:ascii="Times New Roman"/>
                                      <w:sz w:val="6"/>
                                    </w:rPr>
                                  </w:pPr>
                                </w:p>
                              </w:tc>
                              <w:tc>
                                <w:tcPr>
                                  <w:tcW w:w="631" w:type="dxa"/>
                                  <w:shd w:val="clear" w:color="auto" w:fill="585858"/>
                                </w:tcPr>
                                <w:p w:rsidR="00C31389" w:rsidRDefault="00C31389" w14:paraId="1EC3AD92" w14:textId="77777777">
                                  <w:pPr>
                                    <w:pStyle w:val="TableParagraph"/>
                                    <w:spacing w:before="0"/>
                                    <w:rPr>
                                      <w:rFonts w:ascii="Times New Roman"/>
                                      <w:sz w:val="6"/>
                                    </w:rPr>
                                  </w:pPr>
                                </w:p>
                              </w:tc>
                              <w:tc>
                                <w:tcPr>
                                  <w:tcW w:w="541" w:type="dxa"/>
                                  <w:shd w:val="clear" w:color="auto" w:fill="585858"/>
                                </w:tcPr>
                                <w:p w:rsidR="00C31389" w:rsidRDefault="00C31389" w14:paraId="53E67754" w14:textId="77777777">
                                  <w:pPr>
                                    <w:pStyle w:val="TableParagraph"/>
                                    <w:spacing w:before="0"/>
                                    <w:rPr>
                                      <w:rFonts w:ascii="Times New Roman"/>
                                      <w:sz w:val="6"/>
                                    </w:rPr>
                                  </w:pPr>
                                </w:p>
                              </w:tc>
                              <w:tc>
                                <w:tcPr>
                                  <w:tcW w:w="955" w:type="dxa"/>
                                  <w:shd w:val="clear" w:color="auto" w:fill="585858"/>
                                </w:tcPr>
                                <w:p w:rsidR="00C31389" w:rsidRDefault="00561FBD" w14:paraId="4B7CC1AF" w14:textId="77777777">
                                  <w:pPr>
                                    <w:pStyle w:val="TableParagraph"/>
                                    <w:spacing w:before="0" w:line="94" w:lineRule="exact"/>
                                    <w:ind w:left="334" w:right="330"/>
                                    <w:jc w:val="center"/>
                                    <w:rPr>
                                      <w:b/>
                                      <w:sz w:val="12"/>
                                    </w:rPr>
                                  </w:pPr>
                                  <w:r>
                                    <w:rPr>
                                      <w:b/>
                                      <w:color w:val="FFFFFF"/>
                                      <w:spacing w:val="-4"/>
                                      <w:sz w:val="12"/>
                                    </w:rPr>
                                    <w:t>Cost</w:t>
                                  </w:r>
                                </w:p>
                              </w:tc>
                              <w:tc>
                                <w:tcPr>
                                  <w:tcW w:w="955" w:type="dxa"/>
                                  <w:shd w:val="clear" w:color="auto" w:fill="545658"/>
                                </w:tcPr>
                                <w:p w:rsidR="00C31389" w:rsidRDefault="00561FBD" w14:paraId="0C1F2D32" w14:textId="77777777">
                                  <w:pPr>
                                    <w:pStyle w:val="TableParagraph"/>
                                    <w:spacing w:before="0" w:line="94" w:lineRule="exact"/>
                                    <w:ind w:left="122"/>
                                    <w:rPr>
                                      <w:b/>
                                      <w:sz w:val="12"/>
                                    </w:rPr>
                                  </w:pPr>
                                  <w:r>
                                    <w:rPr>
                                      <w:b/>
                                      <w:color w:val="FFFFFF"/>
                                      <w:spacing w:val="-2"/>
                                      <w:sz w:val="12"/>
                                    </w:rPr>
                                    <w:t>Applicability</w:t>
                                  </w:r>
                                </w:p>
                              </w:tc>
                              <w:tc>
                                <w:tcPr>
                                  <w:tcW w:w="955" w:type="dxa"/>
                                  <w:vMerge/>
                                  <w:tcBorders>
                                    <w:top w:val="nil"/>
                                    <w:bottom w:val="single" w:color="DCDDDE" w:sz="4" w:space="0"/>
                                  </w:tcBorders>
                                  <w:shd w:val="clear" w:color="auto" w:fill="545658"/>
                                </w:tcPr>
                                <w:p w:rsidR="00C31389" w:rsidRDefault="00C31389" w14:paraId="231589BE" w14:textId="77777777">
                                  <w:pPr>
                                    <w:rPr>
                                      <w:sz w:val="2"/>
                                      <w:szCs w:val="2"/>
                                    </w:rPr>
                                  </w:pPr>
                                </w:p>
                              </w:tc>
                              <w:tc>
                                <w:tcPr>
                                  <w:tcW w:w="955" w:type="dxa"/>
                                  <w:vMerge/>
                                  <w:tcBorders>
                                    <w:top w:val="nil"/>
                                    <w:bottom w:val="single" w:color="DCDDDE" w:sz="4" w:space="0"/>
                                  </w:tcBorders>
                                  <w:shd w:val="clear" w:color="auto" w:fill="545658"/>
                                </w:tcPr>
                                <w:p w:rsidR="00C31389" w:rsidRDefault="00C31389" w14:paraId="0C5208CE" w14:textId="77777777">
                                  <w:pPr>
                                    <w:rPr>
                                      <w:sz w:val="2"/>
                                      <w:szCs w:val="2"/>
                                    </w:rPr>
                                  </w:pPr>
                                </w:p>
                              </w:tc>
                              <w:tc>
                                <w:tcPr>
                                  <w:tcW w:w="962" w:type="dxa"/>
                                  <w:vMerge/>
                                  <w:tcBorders>
                                    <w:top w:val="nil"/>
                                    <w:bottom w:val="single" w:color="DCDDDE" w:sz="4" w:space="0"/>
                                  </w:tcBorders>
                                  <w:shd w:val="clear" w:color="auto" w:fill="545658"/>
                                </w:tcPr>
                                <w:p w:rsidR="00C31389" w:rsidRDefault="00C31389" w14:paraId="422884F4" w14:textId="77777777">
                                  <w:pPr>
                                    <w:rPr>
                                      <w:sz w:val="2"/>
                                      <w:szCs w:val="2"/>
                                    </w:rPr>
                                  </w:pPr>
                                </w:p>
                              </w:tc>
                            </w:tr>
                            <w:tr w:rsidR="00C31389" w14:paraId="7DEAE355" w14:textId="77777777">
                              <w:trPr>
                                <w:trHeight w:val="162"/>
                              </w:trPr>
                              <w:tc>
                                <w:tcPr>
                                  <w:tcW w:w="605" w:type="dxa"/>
                                  <w:tcBorders>
                                    <w:bottom w:val="single" w:color="DCDDDE" w:sz="4" w:space="0"/>
                                  </w:tcBorders>
                                  <w:shd w:val="clear" w:color="auto" w:fill="545658"/>
                                </w:tcPr>
                                <w:p w:rsidR="00C31389" w:rsidRDefault="00C31389" w14:paraId="26A8622A" w14:textId="77777777">
                                  <w:pPr>
                                    <w:pStyle w:val="TableParagraph"/>
                                    <w:spacing w:before="0"/>
                                    <w:rPr>
                                      <w:rFonts w:ascii="Times New Roman"/>
                                      <w:sz w:val="10"/>
                                    </w:rPr>
                                  </w:pPr>
                                </w:p>
                              </w:tc>
                              <w:tc>
                                <w:tcPr>
                                  <w:tcW w:w="2283" w:type="dxa"/>
                                  <w:tcBorders>
                                    <w:bottom w:val="single" w:color="DCDDDE" w:sz="4" w:space="0"/>
                                  </w:tcBorders>
                                  <w:shd w:val="clear" w:color="auto" w:fill="545658"/>
                                </w:tcPr>
                                <w:p w:rsidR="00C31389" w:rsidRDefault="00C31389" w14:paraId="24CA9BF5" w14:textId="77777777">
                                  <w:pPr>
                                    <w:pStyle w:val="TableParagraph"/>
                                    <w:spacing w:before="0"/>
                                    <w:rPr>
                                      <w:rFonts w:ascii="Times New Roman"/>
                                      <w:sz w:val="10"/>
                                    </w:rPr>
                                  </w:pPr>
                                </w:p>
                              </w:tc>
                              <w:tc>
                                <w:tcPr>
                                  <w:tcW w:w="541" w:type="dxa"/>
                                  <w:tcBorders>
                                    <w:bottom w:val="single" w:color="DCDDDE" w:sz="4" w:space="0"/>
                                  </w:tcBorders>
                                  <w:shd w:val="clear" w:color="auto" w:fill="585858"/>
                                </w:tcPr>
                                <w:p w:rsidR="00C31389" w:rsidRDefault="00561FBD" w14:paraId="0BCDD069" w14:textId="77777777">
                                  <w:pPr>
                                    <w:pStyle w:val="TableParagraph"/>
                                    <w:spacing w:before="0" w:line="124" w:lineRule="exact"/>
                                    <w:ind w:left="148"/>
                                    <w:rPr>
                                      <w:b/>
                                      <w:sz w:val="12"/>
                                    </w:rPr>
                                  </w:pPr>
                                  <w:r>
                                    <w:rPr>
                                      <w:b/>
                                      <w:color w:val="FFFFFF"/>
                                      <w:spacing w:val="-5"/>
                                      <w:sz w:val="12"/>
                                    </w:rPr>
                                    <w:t>kWh</w:t>
                                  </w:r>
                                </w:p>
                              </w:tc>
                              <w:tc>
                                <w:tcPr>
                                  <w:tcW w:w="631" w:type="dxa"/>
                                  <w:tcBorders>
                                    <w:bottom w:val="single" w:color="DCDDDE" w:sz="4" w:space="0"/>
                                  </w:tcBorders>
                                  <w:shd w:val="clear" w:color="auto" w:fill="585858"/>
                                </w:tcPr>
                                <w:p w:rsidR="00C31389" w:rsidRDefault="00561FBD" w14:paraId="71C10DC7" w14:textId="77777777">
                                  <w:pPr>
                                    <w:pStyle w:val="TableParagraph"/>
                                    <w:spacing w:before="0" w:line="124" w:lineRule="exact"/>
                                    <w:ind w:left="120"/>
                                    <w:rPr>
                                      <w:b/>
                                      <w:sz w:val="12"/>
                                    </w:rPr>
                                  </w:pPr>
                                  <w:r>
                                    <w:rPr>
                                      <w:b/>
                                      <w:color w:val="FFFFFF"/>
                                      <w:spacing w:val="-2"/>
                                      <w:sz w:val="12"/>
                                    </w:rPr>
                                    <w:t>therms</w:t>
                                  </w:r>
                                </w:p>
                              </w:tc>
                              <w:tc>
                                <w:tcPr>
                                  <w:tcW w:w="1496" w:type="dxa"/>
                                  <w:gridSpan w:val="2"/>
                                  <w:tcBorders>
                                    <w:bottom w:val="single" w:color="DCDDDE" w:sz="4" w:space="0"/>
                                  </w:tcBorders>
                                  <w:shd w:val="clear" w:color="auto" w:fill="585858"/>
                                </w:tcPr>
                                <w:p w:rsidR="00C31389" w:rsidRDefault="00561FBD" w14:paraId="163A8FFE" w14:textId="77777777">
                                  <w:pPr>
                                    <w:pStyle w:val="TableParagraph"/>
                                    <w:spacing w:before="0" w:line="124" w:lineRule="exact"/>
                                    <w:ind w:left="184"/>
                                    <w:rPr>
                                      <w:b/>
                                      <w:sz w:val="12"/>
                                    </w:rPr>
                                  </w:pPr>
                                  <w:r>
                                    <w:rPr>
                                      <w:b/>
                                      <w:color w:val="FFFFFF"/>
                                      <w:spacing w:val="-5"/>
                                      <w:sz w:val="12"/>
                                    </w:rPr>
                                    <w:t>kW</w:t>
                                  </w:r>
                                </w:p>
                              </w:tc>
                              <w:tc>
                                <w:tcPr>
                                  <w:tcW w:w="955" w:type="dxa"/>
                                  <w:tcBorders>
                                    <w:bottom w:val="single" w:color="DCDDDE" w:sz="4" w:space="0"/>
                                  </w:tcBorders>
                                  <w:shd w:val="clear" w:color="auto" w:fill="545658"/>
                                </w:tcPr>
                                <w:p w:rsidR="00C31389" w:rsidRDefault="00C31389" w14:paraId="5FB2D11F" w14:textId="77777777">
                                  <w:pPr>
                                    <w:pStyle w:val="TableParagraph"/>
                                    <w:spacing w:before="0"/>
                                    <w:rPr>
                                      <w:rFonts w:ascii="Times New Roman"/>
                                      <w:sz w:val="10"/>
                                    </w:rPr>
                                  </w:pPr>
                                </w:p>
                              </w:tc>
                              <w:tc>
                                <w:tcPr>
                                  <w:tcW w:w="955" w:type="dxa"/>
                                  <w:vMerge/>
                                  <w:tcBorders>
                                    <w:top w:val="nil"/>
                                    <w:bottom w:val="single" w:color="DCDDDE" w:sz="4" w:space="0"/>
                                  </w:tcBorders>
                                  <w:shd w:val="clear" w:color="auto" w:fill="545658"/>
                                </w:tcPr>
                                <w:p w:rsidR="00C31389" w:rsidRDefault="00C31389" w14:paraId="6A0D87E6" w14:textId="77777777">
                                  <w:pPr>
                                    <w:rPr>
                                      <w:sz w:val="2"/>
                                      <w:szCs w:val="2"/>
                                    </w:rPr>
                                  </w:pPr>
                                </w:p>
                              </w:tc>
                              <w:tc>
                                <w:tcPr>
                                  <w:tcW w:w="955" w:type="dxa"/>
                                  <w:vMerge/>
                                  <w:tcBorders>
                                    <w:top w:val="nil"/>
                                    <w:bottom w:val="single" w:color="DCDDDE" w:sz="4" w:space="0"/>
                                  </w:tcBorders>
                                  <w:shd w:val="clear" w:color="auto" w:fill="545658"/>
                                </w:tcPr>
                                <w:p w:rsidR="00C31389" w:rsidRDefault="00C31389" w14:paraId="24236324" w14:textId="77777777">
                                  <w:pPr>
                                    <w:rPr>
                                      <w:sz w:val="2"/>
                                      <w:szCs w:val="2"/>
                                    </w:rPr>
                                  </w:pPr>
                                </w:p>
                              </w:tc>
                              <w:tc>
                                <w:tcPr>
                                  <w:tcW w:w="962" w:type="dxa"/>
                                  <w:vMerge/>
                                  <w:tcBorders>
                                    <w:top w:val="nil"/>
                                    <w:bottom w:val="single" w:color="DCDDDE" w:sz="4" w:space="0"/>
                                  </w:tcBorders>
                                  <w:shd w:val="clear" w:color="auto" w:fill="545658"/>
                                </w:tcPr>
                                <w:p w:rsidR="00C31389" w:rsidRDefault="00C31389" w14:paraId="7C9F14B8" w14:textId="77777777">
                                  <w:pPr>
                                    <w:rPr>
                                      <w:sz w:val="2"/>
                                      <w:szCs w:val="2"/>
                                    </w:rPr>
                                  </w:pPr>
                                </w:p>
                              </w:tc>
                            </w:tr>
                            <w:tr w:rsidR="00C31389" w14:paraId="3809FC06" w14:textId="77777777">
                              <w:trPr>
                                <w:trHeight w:val="229"/>
                              </w:trPr>
                              <w:tc>
                                <w:tcPr>
                                  <w:tcW w:w="605" w:type="dxa"/>
                                  <w:vMerge w:val="restart"/>
                                  <w:tcBorders>
                                    <w:top w:val="single" w:color="DCDDDE" w:sz="4" w:space="0"/>
                                    <w:bottom w:val="single" w:color="DCDDDE" w:sz="4" w:space="0"/>
                                  </w:tcBorders>
                                  <w:textDirection w:val="btLr"/>
                                </w:tcPr>
                                <w:p w:rsidR="00C31389" w:rsidRDefault="00C31389" w14:paraId="372023E6" w14:textId="77777777">
                                  <w:pPr>
                                    <w:pStyle w:val="TableParagraph"/>
                                    <w:spacing w:before="0"/>
                                    <w:rPr>
                                      <w:i/>
                                      <w:sz w:val="12"/>
                                    </w:rPr>
                                  </w:pPr>
                                </w:p>
                                <w:p w:rsidR="00C31389" w:rsidRDefault="00561FBD" w14:paraId="670DF74F" w14:textId="77777777">
                                  <w:pPr>
                                    <w:pStyle w:val="TableParagraph"/>
                                    <w:spacing w:before="102"/>
                                    <w:ind w:left="364"/>
                                    <w:rPr>
                                      <w:b/>
                                      <w:sz w:val="12"/>
                                    </w:rPr>
                                  </w:pPr>
                                  <w:r>
                                    <w:rPr>
                                      <w:b/>
                                      <w:spacing w:val="-2"/>
                                      <w:sz w:val="12"/>
                                    </w:rPr>
                                    <w:t>Residential</w:t>
                                  </w:r>
                                </w:p>
                              </w:tc>
                              <w:tc>
                                <w:tcPr>
                                  <w:tcW w:w="2283" w:type="dxa"/>
                                  <w:tcBorders>
                                    <w:top w:val="single" w:color="DCDDDE" w:sz="4" w:space="0"/>
                                    <w:bottom w:val="single" w:color="DCDDDE" w:sz="4" w:space="0"/>
                                  </w:tcBorders>
                                </w:tcPr>
                                <w:p w:rsidR="00C31389" w:rsidRDefault="00561FBD" w14:paraId="1DD579DA" w14:textId="77777777">
                                  <w:pPr>
                                    <w:pStyle w:val="TableParagraph"/>
                                    <w:spacing w:before="48"/>
                                    <w:ind w:left="107"/>
                                    <w:rPr>
                                      <w:sz w:val="12"/>
                                    </w:rPr>
                                  </w:pPr>
                                  <w:r>
                                    <w:rPr>
                                      <w:sz w:val="12"/>
                                    </w:rPr>
                                    <w:t>Home</w:t>
                                  </w:r>
                                  <w:r>
                                    <w:rPr>
                                      <w:spacing w:val="-5"/>
                                      <w:sz w:val="12"/>
                                    </w:rPr>
                                    <w:t xml:space="preserve"> </w:t>
                                  </w:r>
                                  <w:r>
                                    <w:rPr>
                                      <w:sz w:val="12"/>
                                    </w:rPr>
                                    <w:t>Energy</w:t>
                                  </w:r>
                                  <w:r>
                                    <w:rPr>
                                      <w:spacing w:val="-1"/>
                                      <w:sz w:val="12"/>
                                    </w:rPr>
                                    <w:t xml:space="preserve"> </w:t>
                                  </w:r>
                                  <w:r>
                                    <w:rPr>
                                      <w:spacing w:val="-2"/>
                                      <w:sz w:val="12"/>
                                    </w:rPr>
                                    <w:t>Reports</w:t>
                                  </w:r>
                                </w:p>
                              </w:tc>
                              <w:tc>
                                <w:tcPr>
                                  <w:tcW w:w="5533" w:type="dxa"/>
                                  <w:gridSpan w:val="7"/>
                                  <w:tcBorders>
                                    <w:top w:val="single" w:color="DCDDDE" w:sz="4" w:space="0"/>
                                    <w:bottom w:val="single" w:color="DCDDDE" w:sz="4" w:space="0"/>
                                  </w:tcBorders>
                                  <w:shd w:val="clear" w:color="auto" w:fill="68942C"/>
                                </w:tcPr>
                                <w:p w:rsidR="00C31389" w:rsidRDefault="00C31389" w14:paraId="21B0661B" w14:textId="77777777">
                                  <w:pPr>
                                    <w:pStyle w:val="TableParagraph"/>
                                    <w:spacing w:before="0"/>
                                    <w:rPr>
                                      <w:rFonts w:ascii="Times New Roman"/>
                                      <w:sz w:val="16"/>
                                    </w:rPr>
                                  </w:pPr>
                                </w:p>
                              </w:tc>
                              <w:tc>
                                <w:tcPr>
                                  <w:tcW w:w="962" w:type="dxa"/>
                                  <w:tcBorders>
                                    <w:top w:val="single" w:color="DCDDDE" w:sz="4" w:space="0"/>
                                    <w:bottom w:val="single" w:color="DCDDDE" w:sz="4" w:space="0"/>
                                  </w:tcBorders>
                                </w:tcPr>
                                <w:p w:rsidR="00C31389" w:rsidRDefault="00C31389" w14:paraId="0749DF59" w14:textId="77777777">
                                  <w:pPr>
                                    <w:pStyle w:val="TableParagraph"/>
                                    <w:spacing w:before="0"/>
                                    <w:rPr>
                                      <w:rFonts w:ascii="Times New Roman"/>
                                      <w:sz w:val="16"/>
                                    </w:rPr>
                                  </w:pPr>
                                </w:p>
                              </w:tc>
                            </w:tr>
                            <w:tr w:rsidR="00C31389" w14:paraId="39152758" w14:textId="77777777">
                              <w:trPr>
                                <w:trHeight w:val="218"/>
                              </w:trPr>
                              <w:tc>
                                <w:tcPr>
                                  <w:tcW w:w="605" w:type="dxa"/>
                                  <w:vMerge/>
                                  <w:tcBorders>
                                    <w:top w:val="nil"/>
                                    <w:bottom w:val="single" w:color="DCDDDE" w:sz="4" w:space="0"/>
                                  </w:tcBorders>
                                  <w:textDirection w:val="btLr"/>
                                </w:tcPr>
                                <w:p w:rsidR="00C31389" w:rsidRDefault="00C31389" w14:paraId="72164FD6" w14:textId="77777777">
                                  <w:pPr>
                                    <w:rPr>
                                      <w:sz w:val="2"/>
                                      <w:szCs w:val="2"/>
                                    </w:rPr>
                                  </w:pPr>
                                </w:p>
                              </w:tc>
                              <w:tc>
                                <w:tcPr>
                                  <w:tcW w:w="2283" w:type="dxa"/>
                                  <w:tcBorders>
                                    <w:top w:val="single" w:color="DCDDDE" w:sz="4" w:space="0"/>
                                    <w:bottom w:val="single" w:color="DCDDDE" w:sz="4" w:space="0"/>
                                  </w:tcBorders>
                                </w:tcPr>
                                <w:p w:rsidR="00C31389" w:rsidRDefault="00561FBD" w14:paraId="5D01C6E4" w14:textId="77777777">
                                  <w:pPr>
                                    <w:pStyle w:val="TableParagraph"/>
                                    <w:spacing w:before="42"/>
                                    <w:ind w:left="107"/>
                                    <w:rPr>
                                      <w:sz w:val="12"/>
                                    </w:rPr>
                                  </w:pPr>
                                  <w:r>
                                    <w:rPr>
                                      <w:sz w:val="12"/>
                                    </w:rPr>
                                    <w:t>In-Home</w:t>
                                  </w:r>
                                  <w:r>
                                    <w:rPr>
                                      <w:spacing w:val="-4"/>
                                      <w:sz w:val="12"/>
                                    </w:rPr>
                                    <w:t xml:space="preserve"> </w:t>
                                  </w:r>
                                  <w:r>
                                    <w:rPr>
                                      <w:sz w:val="12"/>
                                    </w:rPr>
                                    <w:t>Display</w:t>
                                  </w:r>
                                  <w:r>
                                    <w:rPr>
                                      <w:spacing w:val="-4"/>
                                      <w:sz w:val="12"/>
                                    </w:rPr>
                                    <w:t xml:space="preserve"> </w:t>
                                  </w:r>
                                  <w:r>
                                    <w:rPr>
                                      <w:sz w:val="12"/>
                                    </w:rPr>
                                    <w:t>Real-Time</w:t>
                                  </w:r>
                                  <w:r>
                                    <w:rPr>
                                      <w:spacing w:val="-4"/>
                                      <w:sz w:val="12"/>
                                    </w:rPr>
                                    <w:t xml:space="preserve"> </w:t>
                                  </w:r>
                                  <w:r>
                                    <w:rPr>
                                      <w:spacing w:val="-2"/>
                                      <w:sz w:val="12"/>
                                    </w:rPr>
                                    <w:t>Feedback</w:t>
                                  </w:r>
                                </w:p>
                              </w:tc>
                              <w:tc>
                                <w:tcPr>
                                  <w:tcW w:w="1172" w:type="dxa"/>
                                  <w:gridSpan w:val="2"/>
                                  <w:tcBorders>
                                    <w:top w:val="single" w:color="DCDDDE" w:sz="4" w:space="0"/>
                                    <w:bottom w:val="single" w:color="DCDDDE" w:sz="4" w:space="0"/>
                                  </w:tcBorders>
                                  <w:shd w:val="clear" w:color="auto" w:fill="F9DC33"/>
                                </w:tcPr>
                                <w:p w:rsidR="00C31389" w:rsidRDefault="00C31389" w14:paraId="2838064D"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085679EA"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788FB37C"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68942C"/>
                                </w:tcPr>
                                <w:p w:rsidR="00C31389" w:rsidRDefault="00C31389" w14:paraId="3BE5A611" w14:textId="77777777">
                                  <w:pPr>
                                    <w:pStyle w:val="TableParagraph"/>
                                    <w:spacing w:before="0"/>
                                    <w:rPr>
                                      <w:rFonts w:ascii="Times New Roman"/>
                                      <w:sz w:val="14"/>
                                    </w:rPr>
                                  </w:pPr>
                                </w:p>
                              </w:tc>
                              <w:tc>
                                <w:tcPr>
                                  <w:tcW w:w="1910" w:type="dxa"/>
                                  <w:gridSpan w:val="2"/>
                                  <w:tcBorders>
                                    <w:top w:val="single" w:color="DCDDDE" w:sz="4" w:space="0"/>
                                    <w:bottom w:val="single" w:color="DCDDDE" w:sz="4" w:space="0"/>
                                  </w:tcBorders>
                                  <w:shd w:val="clear" w:color="auto" w:fill="FF7713"/>
                                </w:tcPr>
                                <w:p w:rsidR="00C31389" w:rsidRDefault="00C31389" w14:paraId="7420A421"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23456A8B" w14:textId="77777777">
                                  <w:pPr>
                                    <w:pStyle w:val="TableParagraph"/>
                                    <w:spacing w:before="0"/>
                                    <w:rPr>
                                      <w:rFonts w:ascii="Times New Roman"/>
                                      <w:sz w:val="14"/>
                                    </w:rPr>
                                  </w:pPr>
                                </w:p>
                              </w:tc>
                            </w:tr>
                            <w:tr w:rsidR="00C31389" w14:paraId="5AE25700" w14:textId="77777777">
                              <w:trPr>
                                <w:trHeight w:val="218"/>
                              </w:trPr>
                              <w:tc>
                                <w:tcPr>
                                  <w:tcW w:w="605" w:type="dxa"/>
                                  <w:vMerge/>
                                  <w:tcBorders>
                                    <w:top w:val="nil"/>
                                    <w:bottom w:val="single" w:color="DCDDDE" w:sz="4" w:space="0"/>
                                  </w:tcBorders>
                                  <w:textDirection w:val="btLr"/>
                                </w:tcPr>
                                <w:p w:rsidR="00C31389" w:rsidRDefault="00C31389" w14:paraId="7B93346E" w14:textId="77777777">
                                  <w:pPr>
                                    <w:rPr>
                                      <w:sz w:val="2"/>
                                      <w:szCs w:val="2"/>
                                    </w:rPr>
                                  </w:pPr>
                                </w:p>
                              </w:tc>
                              <w:tc>
                                <w:tcPr>
                                  <w:tcW w:w="2283" w:type="dxa"/>
                                  <w:tcBorders>
                                    <w:top w:val="single" w:color="DCDDDE" w:sz="4" w:space="0"/>
                                    <w:bottom w:val="single" w:color="DCDDDE" w:sz="4" w:space="0"/>
                                  </w:tcBorders>
                                </w:tcPr>
                                <w:p w:rsidR="00C31389" w:rsidRDefault="00561FBD" w14:paraId="594F5B84" w14:textId="77777777">
                                  <w:pPr>
                                    <w:pStyle w:val="TableParagraph"/>
                                    <w:spacing w:before="42"/>
                                    <w:ind w:left="107"/>
                                    <w:rPr>
                                      <w:sz w:val="12"/>
                                    </w:rPr>
                                  </w:pPr>
                                  <w:r>
                                    <w:rPr>
                                      <w:sz w:val="12"/>
                                    </w:rPr>
                                    <w:t>Web-Based</w:t>
                                  </w:r>
                                  <w:r>
                                    <w:rPr>
                                      <w:spacing w:val="-5"/>
                                      <w:sz w:val="12"/>
                                    </w:rPr>
                                    <w:t xml:space="preserve"> </w:t>
                                  </w:r>
                                  <w:r>
                                    <w:rPr>
                                      <w:sz w:val="12"/>
                                    </w:rPr>
                                    <w:t>Real-Time</w:t>
                                  </w:r>
                                  <w:r>
                                    <w:rPr>
                                      <w:spacing w:val="-5"/>
                                      <w:sz w:val="12"/>
                                    </w:rPr>
                                    <w:t xml:space="preserve"> </w:t>
                                  </w:r>
                                  <w:r>
                                    <w:rPr>
                                      <w:spacing w:val="-2"/>
                                      <w:sz w:val="12"/>
                                    </w:rPr>
                                    <w:t>Feedback</w:t>
                                  </w:r>
                                </w:p>
                              </w:tc>
                              <w:tc>
                                <w:tcPr>
                                  <w:tcW w:w="1172" w:type="dxa"/>
                                  <w:gridSpan w:val="2"/>
                                  <w:tcBorders>
                                    <w:top w:val="single" w:color="DCDDDE" w:sz="4" w:space="0"/>
                                    <w:bottom w:val="single" w:color="DCDDDE" w:sz="4" w:space="0"/>
                                  </w:tcBorders>
                                  <w:shd w:val="clear" w:color="auto" w:fill="F9DC33"/>
                                </w:tcPr>
                                <w:p w:rsidR="00C31389" w:rsidRDefault="00C31389" w14:paraId="5476C506"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6B714A7F" w14:textId="77777777">
                                  <w:pPr>
                                    <w:pStyle w:val="TableParagraph"/>
                                    <w:spacing w:before="0"/>
                                    <w:rPr>
                                      <w:rFonts w:ascii="Times New Roman"/>
                                      <w:sz w:val="14"/>
                                    </w:rPr>
                                  </w:pPr>
                                </w:p>
                              </w:tc>
                              <w:tc>
                                <w:tcPr>
                                  <w:tcW w:w="3820" w:type="dxa"/>
                                  <w:gridSpan w:val="4"/>
                                  <w:tcBorders>
                                    <w:top w:val="single" w:color="DCDDDE" w:sz="4" w:space="0"/>
                                    <w:bottom w:val="single" w:color="DCDDDE" w:sz="4" w:space="0"/>
                                  </w:tcBorders>
                                  <w:shd w:val="clear" w:color="auto" w:fill="68942C"/>
                                </w:tcPr>
                                <w:p w:rsidR="00C31389" w:rsidRDefault="00C31389" w14:paraId="7443E9BD"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6C6ADE62" w14:textId="77777777">
                                  <w:pPr>
                                    <w:pStyle w:val="TableParagraph"/>
                                    <w:spacing w:before="0"/>
                                    <w:rPr>
                                      <w:rFonts w:ascii="Times New Roman"/>
                                      <w:sz w:val="14"/>
                                    </w:rPr>
                                  </w:pPr>
                                </w:p>
                              </w:tc>
                            </w:tr>
                            <w:tr w:rsidR="00C31389" w14:paraId="464C62E7" w14:textId="77777777">
                              <w:trPr>
                                <w:trHeight w:val="217"/>
                              </w:trPr>
                              <w:tc>
                                <w:tcPr>
                                  <w:tcW w:w="605" w:type="dxa"/>
                                  <w:vMerge/>
                                  <w:tcBorders>
                                    <w:top w:val="nil"/>
                                    <w:bottom w:val="single" w:color="DCDDDE" w:sz="4" w:space="0"/>
                                  </w:tcBorders>
                                  <w:textDirection w:val="btLr"/>
                                </w:tcPr>
                                <w:p w:rsidR="00C31389" w:rsidRDefault="00C31389" w14:paraId="38308F84" w14:textId="77777777">
                                  <w:pPr>
                                    <w:rPr>
                                      <w:sz w:val="2"/>
                                      <w:szCs w:val="2"/>
                                    </w:rPr>
                                  </w:pPr>
                                </w:p>
                              </w:tc>
                              <w:tc>
                                <w:tcPr>
                                  <w:tcW w:w="2283" w:type="dxa"/>
                                  <w:tcBorders>
                                    <w:top w:val="single" w:color="DCDDDE" w:sz="4" w:space="0"/>
                                    <w:bottom w:val="single" w:color="DCDDDE" w:sz="4" w:space="0"/>
                                  </w:tcBorders>
                                </w:tcPr>
                                <w:p w:rsidR="00C31389" w:rsidRDefault="00561FBD" w14:paraId="39FE7FBD" w14:textId="77777777">
                                  <w:pPr>
                                    <w:pStyle w:val="TableParagraph"/>
                                    <w:spacing w:before="42"/>
                                    <w:ind w:left="107"/>
                                    <w:rPr>
                                      <w:sz w:val="12"/>
                                    </w:rPr>
                                  </w:pPr>
                                  <w:r>
                                    <w:rPr>
                                      <w:sz w:val="12"/>
                                    </w:rPr>
                                    <w:t>Small</w:t>
                                  </w:r>
                                  <w:r>
                                    <w:rPr>
                                      <w:spacing w:val="-4"/>
                                      <w:sz w:val="12"/>
                                    </w:rPr>
                                    <w:t xml:space="preserve"> </w:t>
                                  </w:r>
                                  <w:r>
                                    <w:rPr>
                                      <w:sz w:val="12"/>
                                    </w:rPr>
                                    <w:t>Res</w:t>
                                  </w:r>
                                  <w:r>
                                    <w:rPr>
                                      <w:spacing w:val="-1"/>
                                      <w:sz w:val="12"/>
                                    </w:rPr>
                                    <w:t xml:space="preserve"> </w:t>
                                  </w:r>
                                  <w:r>
                                    <w:rPr>
                                      <w:spacing w:val="-2"/>
                                      <w:sz w:val="12"/>
                                    </w:rPr>
                                    <w:t>Competitions</w:t>
                                  </w:r>
                                </w:p>
                              </w:tc>
                              <w:tc>
                                <w:tcPr>
                                  <w:tcW w:w="1172" w:type="dxa"/>
                                  <w:gridSpan w:val="2"/>
                                  <w:tcBorders>
                                    <w:top w:val="single" w:color="DCDDDE" w:sz="4" w:space="0"/>
                                    <w:bottom w:val="single" w:color="DCDDDE" w:sz="4" w:space="0"/>
                                  </w:tcBorders>
                                  <w:shd w:val="clear" w:color="auto" w:fill="F9DC33"/>
                                </w:tcPr>
                                <w:p w:rsidR="00C31389" w:rsidRDefault="00C31389" w14:paraId="737745C1"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41BC03FC"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64F1B296"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68942C"/>
                                </w:tcPr>
                                <w:p w:rsidR="00C31389" w:rsidRDefault="00C31389" w14:paraId="275D0EBE"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380B583B"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F7713"/>
                                </w:tcPr>
                                <w:p w:rsidR="00C31389" w:rsidRDefault="00C31389" w14:paraId="264494AB"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300837AB" w14:textId="77777777">
                                  <w:pPr>
                                    <w:pStyle w:val="TableParagraph"/>
                                    <w:spacing w:before="0"/>
                                    <w:rPr>
                                      <w:rFonts w:ascii="Times New Roman"/>
                                      <w:sz w:val="14"/>
                                    </w:rPr>
                                  </w:pPr>
                                </w:p>
                              </w:tc>
                            </w:tr>
                            <w:tr w:rsidR="00C31389" w14:paraId="2A0C025F" w14:textId="77777777">
                              <w:trPr>
                                <w:trHeight w:val="218"/>
                              </w:trPr>
                              <w:tc>
                                <w:tcPr>
                                  <w:tcW w:w="605" w:type="dxa"/>
                                  <w:vMerge/>
                                  <w:tcBorders>
                                    <w:top w:val="nil"/>
                                    <w:bottom w:val="single" w:color="DCDDDE" w:sz="4" w:space="0"/>
                                  </w:tcBorders>
                                  <w:textDirection w:val="btLr"/>
                                </w:tcPr>
                                <w:p w:rsidR="00C31389" w:rsidRDefault="00C31389" w14:paraId="7B7B1234" w14:textId="77777777">
                                  <w:pPr>
                                    <w:rPr>
                                      <w:sz w:val="2"/>
                                      <w:szCs w:val="2"/>
                                    </w:rPr>
                                  </w:pPr>
                                </w:p>
                              </w:tc>
                              <w:tc>
                                <w:tcPr>
                                  <w:tcW w:w="2283" w:type="dxa"/>
                                  <w:tcBorders>
                                    <w:top w:val="single" w:color="DCDDDE" w:sz="4" w:space="0"/>
                                    <w:bottom w:val="single" w:color="DCDDDE" w:sz="4" w:space="0"/>
                                  </w:tcBorders>
                                </w:tcPr>
                                <w:p w:rsidR="00C31389" w:rsidRDefault="00561FBD" w14:paraId="3B765060" w14:textId="77777777">
                                  <w:pPr>
                                    <w:pStyle w:val="TableParagraph"/>
                                    <w:spacing w:before="42"/>
                                    <w:ind w:left="107"/>
                                    <w:rPr>
                                      <w:sz w:val="12"/>
                                    </w:rPr>
                                  </w:pPr>
                                  <w:r>
                                    <w:rPr>
                                      <w:sz w:val="12"/>
                                    </w:rPr>
                                    <w:t>Large</w:t>
                                  </w:r>
                                  <w:r>
                                    <w:rPr>
                                      <w:spacing w:val="-4"/>
                                      <w:sz w:val="12"/>
                                    </w:rPr>
                                    <w:t xml:space="preserve"> </w:t>
                                  </w:r>
                                  <w:r>
                                    <w:rPr>
                                      <w:sz w:val="12"/>
                                    </w:rPr>
                                    <w:t>Res</w:t>
                                  </w:r>
                                  <w:r>
                                    <w:rPr>
                                      <w:spacing w:val="-1"/>
                                      <w:sz w:val="12"/>
                                    </w:rPr>
                                    <w:t xml:space="preserve"> </w:t>
                                  </w:r>
                                  <w:r>
                                    <w:rPr>
                                      <w:spacing w:val="-2"/>
                                      <w:sz w:val="12"/>
                                    </w:rPr>
                                    <w:t>Competitions</w:t>
                                  </w:r>
                                </w:p>
                              </w:tc>
                              <w:tc>
                                <w:tcPr>
                                  <w:tcW w:w="1172" w:type="dxa"/>
                                  <w:gridSpan w:val="2"/>
                                  <w:tcBorders>
                                    <w:top w:val="single" w:color="DCDDDE" w:sz="4" w:space="0"/>
                                    <w:bottom w:val="single" w:color="DCDDDE" w:sz="4" w:space="0"/>
                                  </w:tcBorders>
                                  <w:shd w:val="clear" w:color="auto" w:fill="68942C"/>
                                </w:tcPr>
                                <w:p w:rsidR="00C31389" w:rsidRDefault="00C31389" w14:paraId="44F6338A"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3424059B"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64F7E84B" w14:textId="77777777">
                                  <w:pPr>
                                    <w:pStyle w:val="TableParagraph"/>
                                    <w:spacing w:before="0"/>
                                    <w:rPr>
                                      <w:rFonts w:ascii="Times New Roman"/>
                                      <w:sz w:val="14"/>
                                    </w:rPr>
                                  </w:pPr>
                                </w:p>
                              </w:tc>
                              <w:tc>
                                <w:tcPr>
                                  <w:tcW w:w="1910" w:type="dxa"/>
                                  <w:gridSpan w:val="2"/>
                                  <w:tcBorders>
                                    <w:top w:val="single" w:color="DCDDDE" w:sz="4" w:space="0"/>
                                    <w:bottom w:val="single" w:color="DCDDDE" w:sz="4" w:space="0"/>
                                  </w:tcBorders>
                                  <w:shd w:val="clear" w:color="auto" w:fill="68942C"/>
                                </w:tcPr>
                                <w:p w:rsidR="00C31389" w:rsidRDefault="00C31389" w14:paraId="15976F0C"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F7713"/>
                                </w:tcPr>
                                <w:p w:rsidR="00C31389" w:rsidRDefault="00C31389" w14:paraId="6D8BE51D"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2AE18DDC" w14:textId="77777777">
                                  <w:pPr>
                                    <w:pStyle w:val="TableParagraph"/>
                                    <w:spacing w:before="0"/>
                                    <w:rPr>
                                      <w:rFonts w:ascii="Times New Roman"/>
                                      <w:sz w:val="14"/>
                                    </w:rPr>
                                  </w:pPr>
                                </w:p>
                              </w:tc>
                            </w:tr>
                            <w:tr w:rsidR="00C31389" w14:paraId="4935DA03" w14:textId="77777777">
                              <w:trPr>
                                <w:trHeight w:val="217"/>
                              </w:trPr>
                              <w:tc>
                                <w:tcPr>
                                  <w:tcW w:w="605" w:type="dxa"/>
                                  <w:vMerge/>
                                  <w:tcBorders>
                                    <w:top w:val="nil"/>
                                    <w:bottom w:val="single" w:color="DCDDDE" w:sz="4" w:space="0"/>
                                  </w:tcBorders>
                                  <w:textDirection w:val="btLr"/>
                                </w:tcPr>
                                <w:p w:rsidR="00C31389" w:rsidRDefault="00C31389" w14:paraId="29C3BAFF" w14:textId="77777777">
                                  <w:pPr>
                                    <w:rPr>
                                      <w:sz w:val="2"/>
                                      <w:szCs w:val="2"/>
                                    </w:rPr>
                                  </w:pPr>
                                </w:p>
                              </w:tc>
                              <w:tc>
                                <w:tcPr>
                                  <w:tcW w:w="2283" w:type="dxa"/>
                                  <w:tcBorders>
                                    <w:top w:val="single" w:color="DCDDDE" w:sz="4" w:space="0"/>
                                    <w:bottom w:val="single" w:color="DCDDDE" w:sz="4" w:space="0"/>
                                  </w:tcBorders>
                                </w:tcPr>
                                <w:p w:rsidR="00C31389" w:rsidRDefault="00561FBD" w14:paraId="54E9A339" w14:textId="77777777">
                                  <w:pPr>
                                    <w:pStyle w:val="TableParagraph"/>
                                    <w:spacing w:before="42"/>
                                    <w:ind w:left="107"/>
                                    <w:rPr>
                                      <w:sz w:val="12"/>
                                    </w:rPr>
                                  </w:pPr>
                                  <w:r>
                                    <w:rPr>
                                      <w:sz w:val="12"/>
                                    </w:rPr>
                                    <w:t>Universal</w:t>
                                  </w:r>
                                  <w:r>
                                    <w:rPr>
                                      <w:spacing w:val="-3"/>
                                      <w:sz w:val="12"/>
                                    </w:rPr>
                                    <w:t xml:space="preserve"> </w:t>
                                  </w:r>
                                  <w:r>
                                    <w:rPr>
                                      <w:sz w:val="12"/>
                                    </w:rPr>
                                    <w:t>Audit</w:t>
                                  </w:r>
                                  <w:r>
                                    <w:rPr>
                                      <w:spacing w:val="-2"/>
                                      <w:sz w:val="12"/>
                                    </w:rPr>
                                    <w:t xml:space="preserve"> </w:t>
                                  </w:r>
                                  <w:r>
                                    <w:rPr>
                                      <w:spacing w:val="-4"/>
                                      <w:sz w:val="12"/>
                                    </w:rPr>
                                    <w:t>Tool</w:t>
                                  </w:r>
                                </w:p>
                              </w:tc>
                              <w:tc>
                                <w:tcPr>
                                  <w:tcW w:w="5533" w:type="dxa"/>
                                  <w:gridSpan w:val="7"/>
                                  <w:tcBorders>
                                    <w:top w:val="single" w:color="DCDDDE" w:sz="4" w:space="0"/>
                                    <w:bottom w:val="single" w:color="DCDDDE" w:sz="4" w:space="0"/>
                                  </w:tcBorders>
                                  <w:shd w:val="clear" w:color="auto" w:fill="68942C"/>
                                </w:tcPr>
                                <w:p w:rsidR="00C31389" w:rsidRDefault="00C31389" w14:paraId="2227B2B3"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67FF5391" w14:textId="77777777">
                                  <w:pPr>
                                    <w:pStyle w:val="TableParagraph"/>
                                    <w:spacing w:before="0"/>
                                    <w:rPr>
                                      <w:rFonts w:ascii="Times New Roman"/>
                                      <w:sz w:val="14"/>
                                    </w:rPr>
                                  </w:pPr>
                                </w:p>
                              </w:tc>
                            </w:tr>
                            <w:tr w:rsidR="00C31389" w14:paraId="6CCF599E" w14:textId="77777777">
                              <w:trPr>
                                <w:trHeight w:val="217"/>
                              </w:trPr>
                              <w:tc>
                                <w:tcPr>
                                  <w:tcW w:w="605" w:type="dxa"/>
                                  <w:vMerge w:val="restart"/>
                                  <w:tcBorders>
                                    <w:top w:val="single" w:color="DCDDDE" w:sz="4" w:space="0"/>
                                    <w:bottom w:val="single" w:color="DCDDDE" w:sz="4" w:space="0"/>
                                  </w:tcBorders>
                                  <w:textDirection w:val="btLr"/>
                                </w:tcPr>
                                <w:p w:rsidR="00C31389" w:rsidRDefault="00C31389" w14:paraId="31F973FE" w14:textId="77777777">
                                  <w:pPr>
                                    <w:pStyle w:val="TableParagraph"/>
                                    <w:spacing w:before="0"/>
                                    <w:rPr>
                                      <w:i/>
                                      <w:sz w:val="12"/>
                                    </w:rPr>
                                  </w:pPr>
                                </w:p>
                                <w:p w:rsidR="00C31389" w:rsidRDefault="00561FBD" w14:paraId="49E39504" w14:textId="77777777">
                                  <w:pPr>
                                    <w:pStyle w:val="TableParagraph"/>
                                    <w:spacing w:before="102"/>
                                    <w:ind w:left="448"/>
                                    <w:rPr>
                                      <w:b/>
                                      <w:sz w:val="12"/>
                                    </w:rPr>
                                  </w:pPr>
                                  <w:r>
                                    <w:rPr>
                                      <w:b/>
                                      <w:spacing w:val="-2"/>
                                      <w:sz w:val="12"/>
                                    </w:rPr>
                                    <w:t>Commercial</w:t>
                                  </w:r>
                                </w:p>
                              </w:tc>
                              <w:tc>
                                <w:tcPr>
                                  <w:tcW w:w="2283" w:type="dxa"/>
                                  <w:tcBorders>
                                    <w:top w:val="single" w:color="DCDDDE" w:sz="4" w:space="0"/>
                                    <w:bottom w:val="single" w:color="DCDDDE" w:sz="4" w:space="0"/>
                                  </w:tcBorders>
                                </w:tcPr>
                                <w:p w:rsidR="00C31389" w:rsidRDefault="00561FBD" w14:paraId="3AD887B4" w14:textId="77777777">
                                  <w:pPr>
                                    <w:pStyle w:val="TableParagraph"/>
                                    <w:spacing w:before="42"/>
                                    <w:ind w:left="107"/>
                                    <w:rPr>
                                      <w:sz w:val="12"/>
                                    </w:rPr>
                                  </w:pPr>
                                  <w:r>
                                    <w:rPr>
                                      <w:sz w:val="12"/>
                                    </w:rPr>
                                    <w:t>Commercial</w:t>
                                  </w:r>
                                  <w:r>
                                    <w:rPr>
                                      <w:spacing w:val="-6"/>
                                      <w:sz w:val="12"/>
                                    </w:rPr>
                                    <w:t xml:space="preserve"> </w:t>
                                  </w:r>
                                  <w:r>
                                    <w:rPr>
                                      <w:spacing w:val="-2"/>
                                      <w:sz w:val="12"/>
                                    </w:rPr>
                                    <w:t>Competitions</w:t>
                                  </w:r>
                                </w:p>
                              </w:tc>
                              <w:tc>
                                <w:tcPr>
                                  <w:tcW w:w="541" w:type="dxa"/>
                                  <w:tcBorders>
                                    <w:top w:val="single" w:color="DCDDDE" w:sz="4" w:space="0"/>
                                    <w:bottom w:val="single" w:color="DCDDDE" w:sz="4" w:space="0"/>
                                  </w:tcBorders>
                                  <w:shd w:val="clear" w:color="auto" w:fill="68942C"/>
                                </w:tcPr>
                                <w:p w:rsidR="00C31389" w:rsidRDefault="00C31389" w14:paraId="1FDAE8A6" w14:textId="77777777">
                                  <w:pPr>
                                    <w:pStyle w:val="TableParagraph"/>
                                    <w:spacing w:before="0"/>
                                    <w:rPr>
                                      <w:rFonts w:ascii="Times New Roman"/>
                                      <w:sz w:val="14"/>
                                    </w:rPr>
                                  </w:pPr>
                                </w:p>
                              </w:tc>
                              <w:tc>
                                <w:tcPr>
                                  <w:tcW w:w="1172" w:type="dxa"/>
                                  <w:gridSpan w:val="2"/>
                                  <w:tcBorders>
                                    <w:top w:val="single" w:color="DCDDDE" w:sz="4" w:space="0"/>
                                    <w:bottom w:val="single" w:color="DCDDDE" w:sz="4" w:space="0"/>
                                  </w:tcBorders>
                                  <w:shd w:val="clear" w:color="auto" w:fill="FF7713"/>
                                </w:tcPr>
                                <w:p w:rsidR="00C31389" w:rsidRDefault="00C31389" w14:paraId="2C1BDD21"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43FF1700" w14:textId="77777777">
                                  <w:pPr>
                                    <w:pStyle w:val="TableParagraph"/>
                                    <w:spacing w:before="0"/>
                                    <w:rPr>
                                      <w:rFonts w:ascii="Times New Roman"/>
                                      <w:sz w:val="14"/>
                                    </w:rPr>
                                  </w:pPr>
                                </w:p>
                              </w:tc>
                              <w:tc>
                                <w:tcPr>
                                  <w:tcW w:w="2865" w:type="dxa"/>
                                  <w:gridSpan w:val="3"/>
                                  <w:tcBorders>
                                    <w:top w:val="single" w:color="DCDDDE" w:sz="4" w:space="0"/>
                                    <w:bottom w:val="single" w:color="DCDDDE" w:sz="4" w:space="0"/>
                                  </w:tcBorders>
                                  <w:shd w:val="clear" w:color="auto" w:fill="68942C"/>
                                </w:tcPr>
                                <w:p w:rsidR="00C31389" w:rsidRDefault="00C31389" w14:paraId="2C2236F0"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37A26A28" w14:textId="77777777">
                                  <w:pPr>
                                    <w:pStyle w:val="TableParagraph"/>
                                    <w:spacing w:before="0"/>
                                    <w:rPr>
                                      <w:rFonts w:ascii="Times New Roman"/>
                                      <w:sz w:val="14"/>
                                    </w:rPr>
                                  </w:pPr>
                                </w:p>
                              </w:tc>
                            </w:tr>
                            <w:tr w:rsidR="00C31389" w14:paraId="1E0B89FB" w14:textId="77777777">
                              <w:trPr>
                                <w:trHeight w:val="218"/>
                              </w:trPr>
                              <w:tc>
                                <w:tcPr>
                                  <w:tcW w:w="605" w:type="dxa"/>
                                  <w:vMerge/>
                                  <w:tcBorders>
                                    <w:top w:val="nil"/>
                                    <w:bottom w:val="single" w:color="DCDDDE" w:sz="4" w:space="0"/>
                                  </w:tcBorders>
                                  <w:textDirection w:val="btLr"/>
                                </w:tcPr>
                                <w:p w:rsidR="00C31389" w:rsidRDefault="00C31389" w14:paraId="69AE0179" w14:textId="77777777">
                                  <w:pPr>
                                    <w:rPr>
                                      <w:sz w:val="2"/>
                                      <w:szCs w:val="2"/>
                                    </w:rPr>
                                  </w:pPr>
                                </w:p>
                              </w:tc>
                              <w:tc>
                                <w:tcPr>
                                  <w:tcW w:w="2283" w:type="dxa"/>
                                  <w:tcBorders>
                                    <w:top w:val="single" w:color="DCDDDE" w:sz="4" w:space="0"/>
                                    <w:bottom w:val="single" w:color="DCDDDE" w:sz="4" w:space="0"/>
                                  </w:tcBorders>
                                </w:tcPr>
                                <w:p w:rsidR="00C31389" w:rsidRDefault="00561FBD" w14:paraId="537B818E" w14:textId="77777777">
                                  <w:pPr>
                                    <w:pStyle w:val="TableParagraph"/>
                                    <w:spacing w:before="42"/>
                                    <w:ind w:left="107"/>
                                    <w:rPr>
                                      <w:sz w:val="12"/>
                                    </w:rPr>
                                  </w:pPr>
                                  <w:r>
                                    <w:rPr>
                                      <w:sz w:val="12"/>
                                    </w:rPr>
                                    <w:t>Business</w:t>
                                  </w:r>
                                  <w:r>
                                    <w:rPr>
                                      <w:spacing w:val="-5"/>
                                      <w:sz w:val="12"/>
                                    </w:rPr>
                                    <w:t xml:space="preserve"> </w:t>
                                  </w:r>
                                  <w:r>
                                    <w:rPr>
                                      <w:sz w:val="12"/>
                                    </w:rPr>
                                    <w:t>Energy</w:t>
                                  </w:r>
                                  <w:r>
                                    <w:rPr>
                                      <w:spacing w:val="-1"/>
                                      <w:sz w:val="12"/>
                                    </w:rPr>
                                    <w:t xml:space="preserve"> </w:t>
                                  </w:r>
                                  <w:r>
                                    <w:rPr>
                                      <w:spacing w:val="-2"/>
                                      <w:sz w:val="12"/>
                                    </w:rPr>
                                    <w:t>Reports</w:t>
                                  </w:r>
                                </w:p>
                              </w:tc>
                              <w:tc>
                                <w:tcPr>
                                  <w:tcW w:w="541" w:type="dxa"/>
                                  <w:tcBorders>
                                    <w:top w:val="single" w:color="DCDDDE" w:sz="4" w:space="0"/>
                                    <w:bottom w:val="single" w:color="DCDDDE" w:sz="4" w:space="0"/>
                                  </w:tcBorders>
                                  <w:shd w:val="clear" w:color="auto" w:fill="68942C"/>
                                </w:tcPr>
                                <w:p w:rsidR="00C31389" w:rsidRDefault="00C31389" w14:paraId="4426156E"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0410E592"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1743C5E4" w14:textId="77777777">
                                  <w:pPr>
                                    <w:pStyle w:val="TableParagraph"/>
                                    <w:spacing w:before="0"/>
                                    <w:rPr>
                                      <w:rFonts w:ascii="Times New Roman"/>
                                      <w:sz w:val="14"/>
                                    </w:rPr>
                                  </w:pPr>
                                </w:p>
                              </w:tc>
                            </w:tr>
                            <w:tr w:rsidR="00C31389" w14:paraId="09C17DDA" w14:textId="77777777">
                              <w:trPr>
                                <w:trHeight w:val="217"/>
                              </w:trPr>
                              <w:tc>
                                <w:tcPr>
                                  <w:tcW w:w="605" w:type="dxa"/>
                                  <w:vMerge/>
                                  <w:tcBorders>
                                    <w:top w:val="nil"/>
                                    <w:bottom w:val="single" w:color="DCDDDE" w:sz="4" w:space="0"/>
                                  </w:tcBorders>
                                  <w:textDirection w:val="btLr"/>
                                </w:tcPr>
                                <w:p w:rsidR="00C31389" w:rsidRDefault="00C31389" w14:paraId="3BB926F8" w14:textId="77777777">
                                  <w:pPr>
                                    <w:rPr>
                                      <w:sz w:val="2"/>
                                      <w:szCs w:val="2"/>
                                    </w:rPr>
                                  </w:pPr>
                                </w:p>
                              </w:tc>
                              <w:tc>
                                <w:tcPr>
                                  <w:tcW w:w="2283" w:type="dxa"/>
                                  <w:tcBorders>
                                    <w:top w:val="single" w:color="DCDDDE" w:sz="4" w:space="0"/>
                                    <w:bottom w:val="single" w:color="DCDDDE" w:sz="4" w:space="0"/>
                                  </w:tcBorders>
                                </w:tcPr>
                                <w:p w:rsidR="00C31389" w:rsidRDefault="00561FBD" w14:paraId="4918C831" w14:textId="77777777">
                                  <w:pPr>
                                    <w:pStyle w:val="TableParagraph"/>
                                    <w:spacing w:before="42"/>
                                    <w:ind w:left="107"/>
                                    <w:rPr>
                                      <w:sz w:val="12"/>
                                    </w:rPr>
                                  </w:pPr>
                                  <w:r>
                                    <w:rPr>
                                      <w:sz w:val="12"/>
                                    </w:rPr>
                                    <w:t>Building</w:t>
                                  </w:r>
                                  <w:r>
                                    <w:rPr>
                                      <w:spacing w:val="-4"/>
                                      <w:sz w:val="12"/>
                                    </w:rPr>
                                    <w:t xml:space="preserve"> </w:t>
                                  </w:r>
                                  <w:r>
                                    <w:rPr>
                                      <w:sz w:val="12"/>
                                    </w:rPr>
                                    <w:t>Operator</w:t>
                                  </w:r>
                                  <w:r>
                                    <w:rPr>
                                      <w:spacing w:val="-3"/>
                                      <w:sz w:val="12"/>
                                    </w:rPr>
                                    <w:t xml:space="preserve"> </w:t>
                                  </w:r>
                                  <w:r>
                                    <w:rPr>
                                      <w:spacing w:val="-2"/>
                                      <w:sz w:val="12"/>
                                    </w:rPr>
                                    <w:t>Certification</w:t>
                                  </w:r>
                                </w:p>
                              </w:tc>
                              <w:tc>
                                <w:tcPr>
                                  <w:tcW w:w="541" w:type="dxa"/>
                                  <w:tcBorders>
                                    <w:top w:val="single" w:color="DCDDDE" w:sz="4" w:space="0"/>
                                    <w:bottom w:val="single" w:color="DCDDDE" w:sz="4" w:space="0"/>
                                  </w:tcBorders>
                                  <w:shd w:val="clear" w:color="auto" w:fill="68942C"/>
                                </w:tcPr>
                                <w:p w:rsidR="00C31389" w:rsidRDefault="00C31389" w14:paraId="56C4E04F"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59DE0EBD"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36E852E9" w14:textId="77777777">
                                  <w:pPr>
                                    <w:pStyle w:val="TableParagraph"/>
                                    <w:spacing w:before="0"/>
                                    <w:rPr>
                                      <w:rFonts w:ascii="Times New Roman"/>
                                      <w:sz w:val="14"/>
                                    </w:rPr>
                                  </w:pPr>
                                </w:p>
                              </w:tc>
                            </w:tr>
                            <w:tr w:rsidR="00C31389" w14:paraId="5A78E3D8" w14:textId="77777777">
                              <w:trPr>
                                <w:trHeight w:val="217"/>
                              </w:trPr>
                              <w:tc>
                                <w:tcPr>
                                  <w:tcW w:w="605" w:type="dxa"/>
                                  <w:vMerge/>
                                  <w:tcBorders>
                                    <w:top w:val="nil"/>
                                    <w:bottom w:val="single" w:color="DCDDDE" w:sz="4" w:space="0"/>
                                  </w:tcBorders>
                                  <w:textDirection w:val="btLr"/>
                                </w:tcPr>
                                <w:p w:rsidR="00C31389" w:rsidRDefault="00C31389" w14:paraId="5F05D96D" w14:textId="77777777">
                                  <w:pPr>
                                    <w:rPr>
                                      <w:sz w:val="2"/>
                                      <w:szCs w:val="2"/>
                                    </w:rPr>
                                  </w:pPr>
                                </w:p>
                              </w:tc>
                              <w:tc>
                                <w:tcPr>
                                  <w:tcW w:w="2283" w:type="dxa"/>
                                  <w:tcBorders>
                                    <w:top w:val="single" w:color="DCDDDE" w:sz="4" w:space="0"/>
                                    <w:bottom w:val="single" w:color="DCDDDE" w:sz="4" w:space="0"/>
                                  </w:tcBorders>
                                </w:tcPr>
                                <w:p w:rsidR="00C31389" w:rsidRDefault="00561FBD" w14:paraId="7E732481" w14:textId="77777777">
                                  <w:pPr>
                                    <w:pStyle w:val="TableParagraph"/>
                                    <w:spacing w:before="42"/>
                                    <w:ind w:left="107"/>
                                    <w:rPr>
                                      <w:sz w:val="12"/>
                                    </w:rPr>
                                  </w:pPr>
                                  <w:r>
                                    <w:rPr>
                                      <w:spacing w:val="-2"/>
                                      <w:sz w:val="12"/>
                                    </w:rPr>
                                    <w:t>BEIMS</w:t>
                                  </w:r>
                                </w:p>
                              </w:tc>
                              <w:tc>
                                <w:tcPr>
                                  <w:tcW w:w="541" w:type="dxa"/>
                                  <w:tcBorders>
                                    <w:top w:val="single" w:color="DCDDDE" w:sz="4" w:space="0"/>
                                    <w:bottom w:val="single" w:color="DCDDDE" w:sz="4" w:space="0"/>
                                  </w:tcBorders>
                                  <w:shd w:val="clear" w:color="auto" w:fill="68942C"/>
                                </w:tcPr>
                                <w:p w:rsidR="00C31389" w:rsidRDefault="00C31389" w14:paraId="224C5703"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65B2C22A"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15CFA851" w14:textId="77777777">
                                  <w:pPr>
                                    <w:pStyle w:val="TableParagraph"/>
                                    <w:spacing w:before="0"/>
                                    <w:rPr>
                                      <w:rFonts w:ascii="Times New Roman"/>
                                      <w:sz w:val="14"/>
                                    </w:rPr>
                                  </w:pPr>
                                </w:p>
                              </w:tc>
                            </w:tr>
                            <w:tr w:rsidR="00C31389" w14:paraId="425BFF6E" w14:textId="77777777">
                              <w:trPr>
                                <w:trHeight w:val="218"/>
                              </w:trPr>
                              <w:tc>
                                <w:tcPr>
                                  <w:tcW w:w="605" w:type="dxa"/>
                                  <w:vMerge/>
                                  <w:tcBorders>
                                    <w:top w:val="nil"/>
                                    <w:bottom w:val="single" w:color="DCDDDE" w:sz="4" w:space="0"/>
                                  </w:tcBorders>
                                  <w:textDirection w:val="btLr"/>
                                </w:tcPr>
                                <w:p w:rsidR="00C31389" w:rsidRDefault="00C31389" w14:paraId="6AC9CD0D" w14:textId="77777777">
                                  <w:pPr>
                                    <w:rPr>
                                      <w:sz w:val="2"/>
                                      <w:szCs w:val="2"/>
                                    </w:rPr>
                                  </w:pPr>
                                </w:p>
                              </w:tc>
                              <w:tc>
                                <w:tcPr>
                                  <w:tcW w:w="2283" w:type="dxa"/>
                                  <w:tcBorders>
                                    <w:top w:val="single" w:color="DCDDDE" w:sz="4" w:space="0"/>
                                    <w:bottom w:val="single" w:color="DCDDDE" w:sz="4" w:space="0"/>
                                  </w:tcBorders>
                                </w:tcPr>
                                <w:p w:rsidR="00C31389" w:rsidRDefault="00561FBD" w14:paraId="5ACC6807" w14:textId="77777777">
                                  <w:pPr>
                                    <w:pStyle w:val="TableParagraph"/>
                                    <w:spacing w:before="42"/>
                                    <w:ind w:left="107"/>
                                    <w:rPr>
                                      <w:sz w:val="12"/>
                                    </w:rPr>
                                  </w:pPr>
                                  <w:r>
                                    <w:rPr>
                                      <w:sz w:val="12"/>
                                    </w:rPr>
                                    <w:t>Building</w:t>
                                  </w:r>
                                  <w:r>
                                    <w:rPr>
                                      <w:spacing w:val="-4"/>
                                      <w:sz w:val="12"/>
                                    </w:rPr>
                                    <w:t xml:space="preserve"> </w:t>
                                  </w:r>
                                  <w:r>
                                    <w:rPr>
                                      <w:spacing w:val="-2"/>
                                      <w:sz w:val="12"/>
                                    </w:rPr>
                                    <w:t>Benchmarking</w:t>
                                  </w:r>
                                </w:p>
                              </w:tc>
                              <w:tc>
                                <w:tcPr>
                                  <w:tcW w:w="541" w:type="dxa"/>
                                  <w:tcBorders>
                                    <w:top w:val="single" w:color="DCDDDE" w:sz="4" w:space="0"/>
                                    <w:bottom w:val="single" w:color="DCDDDE" w:sz="4" w:space="0"/>
                                  </w:tcBorders>
                                  <w:shd w:val="clear" w:color="auto" w:fill="F9DC33"/>
                                </w:tcPr>
                                <w:p w:rsidR="00C31389" w:rsidRDefault="00C31389" w14:paraId="6EBFBB91" w14:textId="77777777">
                                  <w:pPr>
                                    <w:pStyle w:val="TableParagraph"/>
                                    <w:spacing w:before="0"/>
                                    <w:rPr>
                                      <w:rFonts w:ascii="Times New Roman"/>
                                      <w:sz w:val="14"/>
                                    </w:rPr>
                                  </w:pPr>
                                </w:p>
                              </w:tc>
                              <w:tc>
                                <w:tcPr>
                                  <w:tcW w:w="631" w:type="dxa"/>
                                  <w:tcBorders>
                                    <w:top w:val="single" w:color="DCDDDE" w:sz="4" w:space="0"/>
                                    <w:bottom w:val="single" w:color="DCDDDE" w:sz="4" w:space="0"/>
                                  </w:tcBorders>
                                  <w:shd w:val="clear" w:color="auto" w:fill="F9DC33"/>
                                </w:tcPr>
                                <w:p w:rsidR="00C31389" w:rsidRDefault="00C31389" w14:paraId="4C8BA083" w14:textId="77777777">
                                  <w:pPr>
                                    <w:pStyle w:val="TableParagraph"/>
                                    <w:spacing w:before="0"/>
                                    <w:rPr>
                                      <w:rFonts w:ascii="Times New Roman"/>
                                      <w:sz w:val="14"/>
                                    </w:rPr>
                                  </w:pPr>
                                </w:p>
                              </w:tc>
                              <w:tc>
                                <w:tcPr>
                                  <w:tcW w:w="4361" w:type="dxa"/>
                                  <w:gridSpan w:val="5"/>
                                  <w:tcBorders>
                                    <w:top w:val="single" w:color="DCDDDE" w:sz="4" w:space="0"/>
                                    <w:bottom w:val="single" w:color="DCDDDE" w:sz="4" w:space="0"/>
                                  </w:tcBorders>
                                  <w:shd w:val="clear" w:color="auto" w:fill="68942C"/>
                                </w:tcPr>
                                <w:p w:rsidR="00C31389" w:rsidRDefault="00C31389" w14:paraId="23999EBA"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576B16F1" w14:textId="77777777">
                                  <w:pPr>
                                    <w:pStyle w:val="TableParagraph"/>
                                    <w:spacing w:before="0"/>
                                    <w:rPr>
                                      <w:rFonts w:ascii="Times New Roman"/>
                                      <w:sz w:val="14"/>
                                    </w:rPr>
                                  </w:pPr>
                                </w:p>
                              </w:tc>
                            </w:tr>
                            <w:tr w:rsidR="00C31389" w14:paraId="77FFD3B5" w14:textId="77777777">
                              <w:trPr>
                                <w:trHeight w:val="217"/>
                              </w:trPr>
                              <w:tc>
                                <w:tcPr>
                                  <w:tcW w:w="605" w:type="dxa"/>
                                  <w:vMerge/>
                                  <w:tcBorders>
                                    <w:top w:val="nil"/>
                                    <w:bottom w:val="single" w:color="DCDDDE" w:sz="4" w:space="0"/>
                                  </w:tcBorders>
                                  <w:textDirection w:val="btLr"/>
                                </w:tcPr>
                                <w:p w:rsidR="00C31389" w:rsidRDefault="00C31389" w14:paraId="5E62FDAB" w14:textId="77777777">
                                  <w:pPr>
                                    <w:rPr>
                                      <w:sz w:val="2"/>
                                      <w:szCs w:val="2"/>
                                    </w:rPr>
                                  </w:pPr>
                                </w:p>
                              </w:tc>
                              <w:tc>
                                <w:tcPr>
                                  <w:tcW w:w="2283" w:type="dxa"/>
                                  <w:tcBorders>
                                    <w:top w:val="single" w:color="DCDDDE" w:sz="4" w:space="0"/>
                                    <w:bottom w:val="single" w:color="DCDDDE" w:sz="4" w:space="0"/>
                                  </w:tcBorders>
                                </w:tcPr>
                                <w:p w:rsidR="00C31389" w:rsidRDefault="00561FBD" w14:paraId="16AA79BE" w14:textId="77777777">
                                  <w:pPr>
                                    <w:pStyle w:val="TableParagraph"/>
                                    <w:spacing w:before="42"/>
                                    <w:ind w:left="107"/>
                                    <w:rPr>
                                      <w:sz w:val="12"/>
                                    </w:rPr>
                                  </w:pPr>
                                  <w:r>
                                    <w:rPr>
                                      <w:sz w:val="12"/>
                                    </w:rPr>
                                    <w:t>Strategic</w:t>
                                  </w:r>
                                  <w:r>
                                    <w:rPr>
                                      <w:spacing w:val="-7"/>
                                      <w:sz w:val="12"/>
                                    </w:rPr>
                                    <w:t xml:space="preserve"> </w:t>
                                  </w:r>
                                  <w:r>
                                    <w:rPr>
                                      <w:sz w:val="12"/>
                                    </w:rPr>
                                    <w:t>Energy</w:t>
                                  </w:r>
                                  <w:r>
                                    <w:rPr>
                                      <w:spacing w:val="-5"/>
                                      <w:sz w:val="12"/>
                                    </w:rPr>
                                    <w:t xml:space="preserve"> </w:t>
                                  </w:r>
                                  <w:r>
                                    <w:rPr>
                                      <w:sz w:val="12"/>
                                    </w:rPr>
                                    <w:t>Management-</w:t>
                                  </w:r>
                                  <w:r>
                                    <w:rPr>
                                      <w:spacing w:val="-4"/>
                                      <w:sz w:val="12"/>
                                    </w:rPr>
                                    <w:t>type</w:t>
                                  </w:r>
                                </w:p>
                              </w:tc>
                              <w:tc>
                                <w:tcPr>
                                  <w:tcW w:w="541" w:type="dxa"/>
                                  <w:tcBorders>
                                    <w:top w:val="single" w:color="DCDDDE" w:sz="4" w:space="0"/>
                                    <w:bottom w:val="single" w:color="DCDDDE" w:sz="4" w:space="0"/>
                                  </w:tcBorders>
                                  <w:shd w:val="clear" w:color="auto" w:fill="F9DC33"/>
                                </w:tcPr>
                                <w:p w:rsidR="00C31389" w:rsidRDefault="00C31389" w14:paraId="250D21BA"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03D39CCA"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6832980B" w14:textId="77777777">
                                  <w:pPr>
                                    <w:pStyle w:val="TableParagraph"/>
                                    <w:spacing w:before="0"/>
                                    <w:rPr>
                                      <w:rFonts w:ascii="Times New Roman"/>
                                      <w:sz w:val="14"/>
                                    </w:rPr>
                                  </w:pPr>
                                </w:p>
                              </w:tc>
                            </w:tr>
                            <w:tr w:rsidR="00C31389" w14:paraId="774D9845" w14:textId="77777777">
                              <w:trPr>
                                <w:trHeight w:val="217"/>
                              </w:trPr>
                              <w:tc>
                                <w:tcPr>
                                  <w:tcW w:w="605" w:type="dxa"/>
                                  <w:vMerge/>
                                  <w:tcBorders>
                                    <w:top w:val="nil"/>
                                    <w:bottom w:val="single" w:color="DCDDDE" w:sz="4" w:space="0"/>
                                  </w:tcBorders>
                                  <w:textDirection w:val="btLr"/>
                                </w:tcPr>
                                <w:p w:rsidR="00C31389" w:rsidRDefault="00C31389" w14:paraId="2C69AE4E" w14:textId="77777777">
                                  <w:pPr>
                                    <w:rPr>
                                      <w:sz w:val="2"/>
                                      <w:szCs w:val="2"/>
                                    </w:rPr>
                                  </w:pPr>
                                </w:p>
                              </w:tc>
                              <w:tc>
                                <w:tcPr>
                                  <w:tcW w:w="2283" w:type="dxa"/>
                                  <w:tcBorders>
                                    <w:top w:val="single" w:color="DCDDDE" w:sz="4" w:space="0"/>
                                    <w:bottom w:val="single" w:color="DCDDDE" w:sz="4" w:space="0"/>
                                  </w:tcBorders>
                                </w:tcPr>
                                <w:p w:rsidR="00C31389" w:rsidRDefault="00561FBD" w14:paraId="6D50C15F" w14:textId="77777777">
                                  <w:pPr>
                                    <w:pStyle w:val="TableParagraph"/>
                                    <w:spacing w:before="42"/>
                                    <w:ind w:left="107"/>
                                    <w:rPr>
                                      <w:sz w:val="12"/>
                                    </w:rPr>
                                  </w:pPr>
                                  <w:r>
                                    <w:rPr>
                                      <w:spacing w:val="-2"/>
                                      <w:sz w:val="12"/>
                                    </w:rPr>
                                    <w:t>Retrocommissioning</w:t>
                                  </w:r>
                                </w:p>
                              </w:tc>
                              <w:tc>
                                <w:tcPr>
                                  <w:tcW w:w="541" w:type="dxa"/>
                                  <w:tcBorders>
                                    <w:top w:val="single" w:color="DCDDDE" w:sz="4" w:space="0"/>
                                    <w:bottom w:val="single" w:color="DCDDDE" w:sz="4" w:space="0"/>
                                  </w:tcBorders>
                                  <w:shd w:val="clear" w:color="auto" w:fill="68942C"/>
                                </w:tcPr>
                                <w:p w:rsidR="00C31389" w:rsidRDefault="00C31389" w14:paraId="4E174DF3"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6F16479B"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44C5E777" w14:textId="77777777">
                                  <w:pPr>
                                    <w:pStyle w:val="TableParagraph"/>
                                    <w:spacing w:before="0"/>
                                    <w:rPr>
                                      <w:rFonts w:ascii="Times New Roman"/>
                                      <w:sz w:val="14"/>
                                    </w:rPr>
                                  </w:pPr>
                                </w:p>
                              </w:tc>
                            </w:tr>
                            <w:tr w:rsidR="00C31389" w14:paraId="4355E1C8" w14:textId="77777777">
                              <w:trPr>
                                <w:trHeight w:val="241"/>
                              </w:trPr>
                              <w:tc>
                                <w:tcPr>
                                  <w:tcW w:w="9383" w:type="dxa"/>
                                  <w:gridSpan w:val="10"/>
                                  <w:tcBorders>
                                    <w:top w:val="single" w:color="DCDDDE" w:sz="4" w:space="0"/>
                                    <w:bottom w:val="single" w:color="DCDDDE" w:sz="4" w:space="0"/>
                                  </w:tcBorders>
                                  <w:shd w:val="clear" w:color="auto" w:fill="585858"/>
                                </w:tcPr>
                                <w:p w:rsidR="00C31389" w:rsidRDefault="00561FBD" w14:paraId="76D77950" w14:textId="77777777">
                                  <w:pPr>
                                    <w:pStyle w:val="TableParagraph"/>
                                    <w:spacing w:before="42"/>
                                    <w:ind w:left="4477" w:right="4471"/>
                                    <w:jc w:val="center"/>
                                    <w:rPr>
                                      <w:rFonts w:ascii="Palatino Linotype"/>
                                      <w:b/>
                                      <w:sz w:val="12"/>
                                    </w:rPr>
                                  </w:pPr>
                                  <w:r>
                                    <w:rPr>
                                      <w:rFonts w:ascii="Palatino Linotype"/>
                                      <w:b/>
                                      <w:color w:val="FFFFFF"/>
                                      <w:spacing w:val="-2"/>
                                      <w:sz w:val="12"/>
                                    </w:rPr>
                                    <w:t>Legend</w:t>
                                  </w:r>
                                </w:p>
                              </w:tc>
                            </w:tr>
                            <w:tr w:rsidR="00C31389" w14:paraId="42DD9436" w14:textId="77777777">
                              <w:trPr>
                                <w:trHeight w:val="242"/>
                              </w:trPr>
                              <w:tc>
                                <w:tcPr>
                                  <w:tcW w:w="605" w:type="dxa"/>
                                  <w:tcBorders>
                                    <w:top w:val="single" w:color="DCDDDE" w:sz="4" w:space="0"/>
                                    <w:bottom w:val="single" w:color="DCDDDE" w:sz="4" w:space="0"/>
                                  </w:tcBorders>
                                  <w:shd w:val="clear" w:color="auto" w:fill="68942C"/>
                                </w:tcPr>
                                <w:p w:rsidR="00C31389" w:rsidRDefault="00C31389" w14:paraId="50C388E7" w14:textId="77777777">
                                  <w:pPr>
                                    <w:pStyle w:val="TableParagraph"/>
                                    <w:spacing w:before="0"/>
                                    <w:rPr>
                                      <w:rFonts w:ascii="Times New Roman"/>
                                      <w:sz w:val="16"/>
                                    </w:rPr>
                                  </w:pPr>
                                </w:p>
                              </w:tc>
                              <w:tc>
                                <w:tcPr>
                                  <w:tcW w:w="8778" w:type="dxa"/>
                                  <w:gridSpan w:val="9"/>
                                  <w:tcBorders>
                                    <w:top w:val="single" w:color="DCDDDE" w:sz="4" w:space="0"/>
                                    <w:bottom w:val="single" w:color="DCDDDE" w:sz="4" w:space="0"/>
                                  </w:tcBorders>
                                </w:tcPr>
                                <w:p w:rsidR="00C31389" w:rsidRDefault="00561FBD" w14:paraId="7867D830" w14:textId="77777777">
                                  <w:pPr>
                                    <w:pStyle w:val="TableParagraph"/>
                                    <w:spacing w:before="54"/>
                                    <w:ind w:left="107"/>
                                    <w:rPr>
                                      <w:sz w:val="12"/>
                                    </w:rPr>
                                  </w:pPr>
                                  <w:r>
                                    <w:rPr>
                                      <w:sz w:val="12"/>
                                    </w:rPr>
                                    <w:t>California-specific</w:t>
                                  </w:r>
                                  <w:r>
                                    <w:rPr>
                                      <w:spacing w:val="-4"/>
                                      <w:sz w:val="12"/>
                                    </w:rPr>
                                    <w:t xml:space="preserve"> </w:t>
                                  </w:r>
                                  <w:r>
                                    <w:rPr>
                                      <w:sz w:val="12"/>
                                    </w:rPr>
                                    <w:t>program</w:t>
                                  </w:r>
                                  <w:r>
                                    <w:rPr>
                                      <w:spacing w:val="-2"/>
                                      <w:sz w:val="12"/>
                                    </w:rPr>
                                    <w:t xml:space="preserve"> </w:t>
                                  </w:r>
                                  <w:r>
                                    <w:rPr>
                                      <w:sz w:val="12"/>
                                    </w:rPr>
                                    <w:t>data</w:t>
                                  </w:r>
                                  <w:r>
                                    <w:rPr>
                                      <w:spacing w:val="-4"/>
                                      <w:sz w:val="12"/>
                                    </w:rPr>
                                    <w:t xml:space="preserve"> </w:t>
                                  </w:r>
                                  <w:r>
                                    <w:rPr>
                                      <w:sz w:val="12"/>
                                    </w:rPr>
                                    <w:t>or</w:t>
                                  </w:r>
                                  <w:r>
                                    <w:rPr>
                                      <w:spacing w:val="-4"/>
                                      <w:sz w:val="12"/>
                                    </w:rPr>
                                    <w:t xml:space="preserve"> </w:t>
                                  </w:r>
                                  <w:r>
                                    <w:rPr>
                                      <w:spacing w:val="-2"/>
                                      <w:sz w:val="12"/>
                                    </w:rPr>
                                    <w:t>derivatives</w:t>
                                  </w:r>
                                </w:p>
                              </w:tc>
                            </w:tr>
                            <w:tr w:rsidR="00C31389" w14:paraId="123A7BB5" w14:textId="77777777">
                              <w:trPr>
                                <w:trHeight w:val="242"/>
                              </w:trPr>
                              <w:tc>
                                <w:tcPr>
                                  <w:tcW w:w="605" w:type="dxa"/>
                                  <w:tcBorders>
                                    <w:top w:val="single" w:color="DCDDDE" w:sz="4" w:space="0"/>
                                    <w:bottom w:val="single" w:color="DCDDDE" w:sz="4" w:space="0"/>
                                  </w:tcBorders>
                                  <w:shd w:val="clear" w:color="auto" w:fill="F9DC33"/>
                                </w:tcPr>
                                <w:p w:rsidR="00C31389" w:rsidRDefault="00C31389" w14:paraId="498BAF50" w14:textId="77777777">
                                  <w:pPr>
                                    <w:pStyle w:val="TableParagraph"/>
                                    <w:spacing w:before="0"/>
                                    <w:rPr>
                                      <w:rFonts w:ascii="Times New Roman"/>
                                      <w:sz w:val="16"/>
                                    </w:rPr>
                                  </w:pPr>
                                </w:p>
                              </w:tc>
                              <w:tc>
                                <w:tcPr>
                                  <w:tcW w:w="8778" w:type="dxa"/>
                                  <w:gridSpan w:val="9"/>
                                  <w:tcBorders>
                                    <w:top w:val="single" w:color="DCDDDE" w:sz="4" w:space="0"/>
                                    <w:bottom w:val="single" w:color="DCDDDE" w:sz="4" w:space="0"/>
                                  </w:tcBorders>
                                </w:tcPr>
                                <w:p w:rsidR="00C31389" w:rsidRDefault="00561FBD" w14:paraId="0ED165C9" w14:textId="77777777">
                                  <w:pPr>
                                    <w:pStyle w:val="TableParagraph"/>
                                    <w:spacing w:before="53"/>
                                    <w:ind w:left="107"/>
                                    <w:rPr>
                                      <w:sz w:val="12"/>
                                    </w:rPr>
                                  </w:pPr>
                                  <w:r>
                                    <w:rPr>
                                      <w:sz w:val="12"/>
                                    </w:rPr>
                                    <w:t>Aggregated</w:t>
                                  </w:r>
                                  <w:r>
                                    <w:rPr>
                                      <w:spacing w:val="-3"/>
                                      <w:sz w:val="12"/>
                                    </w:rPr>
                                    <w:t xml:space="preserve"> </w:t>
                                  </w:r>
                                  <w:r>
                                    <w:rPr>
                                      <w:sz w:val="12"/>
                                    </w:rPr>
                                    <w:t>reports</w:t>
                                  </w:r>
                                  <w:r>
                                    <w:rPr>
                                      <w:spacing w:val="-3"/>
                                      <w:sz w:val="12"/>
                                    </w:rPr>
                                    <w:t xml:space="preserve"> </w:t>
                                  </w:r>
                                  <w:r>
                                    <w:rPr>
                                      <w:sz w:val="12"/>
                                    </w:rPr>
                                    <w:t>or</w:t>
                                  </w:r>
                                  <w:r>
                                    <w:rPr>
                                      <w:spacing w:val="-4"/>
                                      <w:sz w:val="12"/>
                                    </w:rPr>
                                    <w:t xml:space="preserve"> </w:t>
                                  </w:r>
                                  <w:r>
                                    <w:rPr>
                                      <w:sz w:val="12"/>
                                    </w:rPr>
                                    <w:t>non-verified</w:t>
                                  </w:r>
                                  <w:r>
                                    <w:rPr>
                                      <w:spacing w:val="-2"/>
                                      <w:sz w:val="12"/>
                                    </w:rPr>
                                    <w:t xml:space="preserve"> </w:t>
                                  </w:r>
                                  <w:r>
                                    <w:rPr>
                                      <w:sz w:val="12"/>
                                    </w:rPr>
                                    <w:t>savings</w:t>
                                  </w:r>
                                  <w:r>
                                    <w:rPr>
                                      <w:spacing w:val="-2"/>
                                      <w:sz w:val="12"/>
                                    </w:rPr>
                                    <w:t xml:space="preserve"> </w:t>
                                  </w:r>
                                  <w:r>
                                    <w:rPr>
                                      <w:sz w:val="12"/>
                                    </w:rPr>
                                    <w:t>reported</w:t>
                                  </w:r>
                                  <w:r>
                                    <w:rPr>
                                      <w:spacing w:val="-4"/>
                                      <w:sz w:val="12"/>
                                    </w:rPr>
                                    <w:t xml:space="preserve"> </w:t>
                                  </w:r>
                                  <w:r>
                                    <w:rPr>
                                      <w:sz w:val="12"/>
                                    </w:rPr>
                                    <w:t>by</w:t>
                                  </w:r>
                                  <w:r>
                                    <w:rPr>
                                      <w:spacing w:val="-3"/>
                                      <w:sz w:val="12"/>
                                    </w:rPr>
                                    <w:t xml:space="preserve"> </w:t>
                                  </w:r>
                                  <w:r>
                                    <w:rPr>
                                      <w:sz w:val="12"/>
                                    </w:rPr>
                                    <w:t>utilities</w:t>
                                  </w:r>
                                  <w:r>
                                    <w:rPr>
                                      <w:spacing w:val="-3"/>
                                      <w:sz w:val="12"/>
                                    </w:rPr>
                                    <w:t xml:space="preserve"> </w:t>
                                  </w:r>
                                  <w:r>
                                    <w:rPr>
                                      <w:sz w:val="12"/>
                                    </w:rPr>
                                    <w:t>outside</w:t>
                                  </w:r>
                                  <w:r>
                                    <w:rPr>
                                      <w:spacing w:val="-2"/>
                                      <w:sz w:val="12"/>
                                    </w:rPr>
                                    <w:t xml:space="preserve"> </w:t>
                                  </w:r>
                                  <w:r>
                                    <w:rPr>
                                      <w:sz w:val="12"/>
                                    </w:rPr>
                                    <w:t>of</w:t>
                                  </w:r>
                                  <w:r>
                                    <w:rPr>
                                      <w:spacing w:val="-2"/>
                                      <w:sz w:val="12"/>
                                    </w:rPr>
                                    <w:t xml:space="preserve"> California</w:t>
                                  </w:r>
                                </w:p>
                              </w:tc>
                            </w:tr>
                            <w:tr w:rsidR="00C31389" w14:paraId="66B96FFE" w14:textId="77777777">
                              <w:trPr>
                                <w:trHeight w:val="241"/>
                              </w:trPr>
                              <w:tc>
                                <w:tcPr>
                                  <w:tcW w:w="605" w:type="dxa"/>
                                  <w:tcBorders>
                                    <w:top w:val="single" w:color="DCDDDE" w:sz="4" w:space="0"/>
                                    <w:bottom w:val="single" w:color="DCDDDE" w:sz="4" w:space="0"/>
                                  </w:tcBorders>
                                  <w:shd w:val="clear" w:color="auto" w:fill="FF7713"/>
                                </w:tcPr>
                                <w:p w:rsidR="00C31389" w:rsidRDefault="00C31389" w14:paraId="68A87E42" w14:textId="77777777">
                                  <w:pPr>
                                    <w:pStyle w:val="TableParagraph"/>
                                    <w:spacing w:before="0"/>
                                    <w:rPr>
                                      <w:rFonts w:ascii="Times New Roman"/>
                                      <w:sz w:val="16"/>
                                    </w:rPr>
                                  </w:pPr>
                                </w:p>
                              </w:tc>
                              <w:tc>
                                <w:tcPr>
                                  <w:tcW w:w="8778" w:type="dxa"/>
                                  <w:gridSpan w:val="9"/>
                                  <w:tcBorders>
                                    <w:top w:val="single" w:color="DCDDDE" w:sz="4" w:space="0"/>
                                    <w:bottom w:val="single" w:color="DCDDDE" w:sz="4" w:space="0"/>
                                  </w:tcBorders>
                                </w:tcPr>
                                <w:p w:rsidR="00C31389" w:rsidRDefault="00561FBD" w14:paraId="230089F6" w14:textId="77777777">
                                  <w:pPr>
                                    <w:pStyle w:val="TableParagraph"/>
                                    <w:spacing w:before="53"/>
                                    <w:ind w:left="107"/>
                                    <w:rPr>
                                      <w:sz w:val="12"/>
                                    </w:rPr>
                                  </w:pPr>
                                  <w:r>
                                    <w:rPr>
                                      <w:sz w:val="12"/>
                                    </w:rPr>
                                    <w:t>Assumed</w:t>
                                  </w:r>
                                  <w:r>
                                    <w:rPr>
                                      <w:spacing w:val="-3"/>
                                      <w:sz w:val="12"/>
                                    </w:rPr>
                                    <w:t xml:space="preserve"> </w:t>
                                  </w:r>
                                  <w:r>
                                    <w:rPr>
                                      <w:sz w:val="12"/>
                                    </w:rPr>
                                    <w:t>equivalence</w:t>
                                  </w:r>
                                  <w:r>
                                    <w:rPr>
                                      <w:spacing w:val="-3"/>
                                      <w:sz w:val="12"/>
                                    </w:rPr>
                                    <w:t xml:space="preserve"> </w:t>
                                  </w:r>
                                  <w:r>
                                    <w:rPr>
                                      <w:sz w:val="12"/>
                                    </w:rPr>
                                    <w:t>to</w:t>
                                  </w:r>
                                  <w:r>
                                    <w:rPr>
                                      <w:spacing w:val="-1"/>
                                      <w:sz w:val="12"/>
                                    </w:rPr>
                                    <w:t xml:space="preserve"> </w:t>
                                  </w:r>
                                  <w:r>
                                    <w:rPr>
                                      <w:sz w:val="12"/>
                                    </w:rPr>
                                    <w:t>similar</w:t>
                                  </w:r>
                                  <w:r>
                                    <w:rPr>
                                      <w:spacing w:val="-4"/>
                                      <w:sz w:val="12"/>
                                    </w:rPr>
                                    <w:t xml:space="preserve"> </w:t>
                                  </w:r>
                                  <w:r>
                                    <w:rPr>
                                      <w:sz w:val="12"/>
                                    </w:rPr>
                                    <w:t>programs</w:t>
                                  </w:r>
                                  <w:r>
                                    <w:rPr>
                                      <w:spacing w:val="-2"/>
                                      <w:sz w:val="12"/>
                                    </w:rPr>
                                    <w:t xml:space="preserve"> </w:t>
                                  </w:r>
                                  <w:r>
                                    <w:rPr>
                                      <w:sz w:val="12"/>
                                    </w:rPr>
                                    <w:t>or</w:t>
                                  </w:r>
                                  <w:r>
                                    <w:rPr>
                                      <w:spacing w:val="-3"/>
                                      <w:sz w:val="12"/>
                                    </w:rPr>
                                    <w:t xml:space="preserve"> </w:t>
                                  </w:r>
                                  <w:r>
                                    <w:rPr>
                                      <w:sz w:val="12"/>
                                    </w:rPr>
                                    <w:t>other</w:t>
                                  </w:r>
                                  <w:r>
                                    <w:rPr>
                                      <w:spacing w:val="-4"/>
                                      <w:sz w:val="12"/>
                                    </w:rPr>
                                    <w:t xml:space="preserve"> </w:t>
                                  </w:r>
                                  <w:r>
                                    <w:rPr>
                                      <w:sz w:val="12"/>
                                    </w:rPr>
                                    <w:t>forms</w:t>
                                  </w:r>
                                  <w:r>
                                    <w:rPr>
                                      <w:spacing w:val="-2"/>
                                      <w:sz w:val="12"/>
                                    </w:rPr>
                                    <w:t xml:space="preserve"> </w:t>
                                  </w:r>
                                  <w:r>
                                    <w:rPr>
                                      <w:sz w:val="12"/>
                                    </w:rPr>
                                    <w:t>of</w:t>
                                  </w:r>
                                  <w:r>
                                    <w:rPr>
                                      <w:spacing w:val="-3"/>
                                      <w:sz w:val="12"/>
                                    </w:rPr>
                                    <w:t xml:space="preserve"> </w:t>
                                  </w:r>
                                  <w:r>
                                    <w:rPr>
                                      <w:sz w:val="12"/>
                                    </w:rPr>
                                    <w:t>professional</w:t>
                                  </w:r>
                                  <w:r>
                                    <w:rPr>
                                      <w:spacing w:val="-1"/>
                                      <w:sz w:val="12"/>
                                    </w:rPr>
                                    <w:t xml:space="preserve"> </w:t>
                                  </w:r>
                                  <w:r>
                                    <w:rPr>
                                      <w:spacing w:val="-2"/>
                                      <w:sz w:val="12"/>
                                    </w:rPr>
                                    <w:t>judgement</w:t>
                                  </w:r>
                                </w:p>
                              </w:tc>
                            </w:tr>
                          </w:tbl>
                          <w:p w:rsidR="00C31389" w:rsidRDefault="00C31389" w14:paraId="730A4401" w14:textId="77777777">
                            <w:pPr>
                              <w:pStyle w:val="BodyText"/>
                            </w:pPr>
                          </w:p>
                        </w:txbxContent>
                      </wps:txbx>
                      <wps:bodyPr wrap="square" lIns="0" tIns="0" rIns="0" bIns="0" rtlCol="0">
                        <a:noAutofit/>
                      </wps:bodyPr>
                    </wps:wsp>
                  </a:graphicData>
                </a:graphic>
              </wp:anchor>
            </w:drawing>
          </mc:Choice>
          <mc:Fallback>
            <w:pict>
              <v:shape id="Textbox 422" style="position:absolute;left:0;text-align:left;margin-left:68.3pt;margin-top:5.8pt;width:474.75pt;height:222.4pt;z-index:15798272;visibility:visible;mso-wrap-style:square;mso-wrap-distance-left:0;mso-wrap-distance-top:0;mso-wrap-distance-right:0;mso-wrap-distance-bottom:0;mso-position-horizontal:absolute;mso-position-horizontal-relative:page;mso-position-vertical:absolute;mso-position-vertical-relative:text;v-text-anchor:top" o:spid="_x0000_s11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" w14:anchorId="5EBC2B61">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05"/>
                        <w:gridCol w:w="2283"/>
                        <w:gridCol w:w="541"/>
                        <w:gridCol w:w="631"/>
                        <w:gridCol w:w="541"/>
                        <w:gridCol w:w="955"/>
                        <w:gridCol w:w="955"/>
                        <w:gridCol w:w="955"/>
                        <w:gridCol w:w="955"/>
                        <w:gridCol w:w="962"/>
                      </w:tblGrid>
                      <w:tr w:rsidR="00C31389" w14:paraId="5BA151B7" w14:textId="77777777">
                        <w:trPr>
                          <w:trHeight w:val="168"/>
                        </w:trPr>
                        <w:tc>
                          <w:tcPr>
                            <w:tcW w:w="605" w:type="dxa"/>
                            <w:shd w:val="clear" w:color="auto" w:fill="545658"/>
                          </w:tcPr>
                          <w:p w:rsidR="00C31389" w:rsidRDefault="00C31389" w14:paraId="4D564512" w14:textId="77777777">
                            <w:pPr>
                              <w:pStyle w:val="TableParagraph"/>
                              <w:spacing w:before="0"/>
                              <w:rPr>
                                <w:rFonts w:ascii="Times New Roman"/>
                                <w:sz w:val="10"/>
                              </w:rPr>
                            </w:pPr>
                          </w:p>
                        </w:tc>
                        <w:tc>
                          <w:tcPr>
                            <w:tcW w:w="2283" w:type="dxa"/>
                            <w:shd w:val="clear" w:color="auto" w:fill="545658"/>
                          </w:tcPr>
                          <w:p w:rsidR="00C31389" w:rsidRDefault="00C31389" w14:paraId="01A4ABD8" w14:textId="77777777">
                            <w:pPr>
                              <w:pStyle w:val="TableParagraph"/>
                              <w:spacing w:before="0"/>
                              <w:rPr>
                                <w:rFonts w:ascii="Times New Roman"/>
                                <w:sz w:val="10"/>
                              </w:rPr>
                            </w:pPr>
                          </w:p>
                        </w:tc>
                        <w:tc>
                          <w:tcPr>
                            <w:tcW w:w="541" w:type="dxa"/>
                            <w:shd w:val="clear" w:color="auto" w:fill="585858"/>
                          </w:tcPr>
                          <w:p w:rsidR="00C31389" w:rsidRDefault="00C31389" w14:paraId="25612AF4" w14:textId="77777777">
                            <w:pPr>
                              <w:pStyle w:val="TableParagraph"/>
                              <w:spacing w:before="0"/>
                              <w:rPr>
                                <w:rFonts w:ascii="Times New Roman"/>
                                <w:sz w:val="10"/>
                              </w:rPr>
                            </w:pPr>
                          </w:p>
                        </w:tc>
                        <w:tc>
                          <w:tcPr>
                            <w:tcW w:w="2127" w:type="dxa"/>
                            <w:gridSpan w:val="3"/>
                            <w:shd w:val="clear" w:color="auto" w:fill="585858"/>
                          </w:tcPr>
                          <w:p w:rsidR="00C31389" w:rsidRDefault="00C31389" w14:paraId="1BB98FF0" w14:textId="77777777">
                            <w:pPr>
                              <w:pStyle w:val="TableParagraph"/>
                              <w:spacing w:before="0"/>
                              <w:rPr>
                                <w:rFonts w:ascii="Times New Roman"/>
                                <w:sz w:val="10"/>
                              </w:rPr>
                            </w:pPr>
                          </w:p>
                        </w:tc>
                        <w:tc>
                          <w:tcPr>
                            <w:tcW w:w="955" w:type="dxa"/>
                            <w:shd w:val="clear" w:color="auto" w:fill="545658"/>
                          </w:tcPr>
                          <w:p w:rsidR="00C31389" w:rsidRDefault="00C31389" w14:paraId="38D39921" w14:textId="77777777">
                            <w:pPr>
                              <w:pStyle w:val="TableParagraph"/>
                              <w:spacing w:before="0"/>
                              <w:rPr>
                                <w:rFonts w:ascii="Times New Roman"/>
                                <w:sz w:val="10"/>
                              </w:rPr>
                            </w:pPr>
                          </w:p>
                        </w:tc>
                        <w:tc>
                          <w:tcPr>
                            <w:tcW w:w="955" w:type="dxa"/>
                            <w:vMerge w:val="restart"/>
                            <w:tcBorders>
                              <w:bottom w:val="single" w:color="DCDDDE" w:sz="4" w:space="0"/>
                            </w:tcBorders>
                            <w:shd w:val="clear" w:color="auto" w:fill="545658"/>
                          </w:tcPr>
                          <w:p w:rsidR="00C31389" w:rsidRDefault="00561FBD" w14:paraId="28A66C41" w14:textId="77777777">
                            <w:pPr>
                              <w:pStyle w:val="TableParagraph"/>
                              <w:spacing w:before="95"/>
                              <w:ind w:left="347" w:hanging="234"/>
                              <w:rPr>
                                <w:b/>
                                <w:sz w:val="12"/>
                              </w:rPr>
                            </w:pPr>
                            <w:r>
                              <w:rPr>
                                <w:b/>
                                <w:color w:val="FFFFFF"/>
                                <w:spacing w:val="-2"/>
                                <w:sz w:val="12"/>
                              </w:rPr>
                              <w:t>Participation</w:t>
                            </w:r>
                            <w:r>
                              <w:rPr>
                                <w:b/>
                                <w:color w:val="FFFFFF"/>
                                <w:spacing w:val="40"/>
                                <w:sz w:val="12"/>
                              </w:rPr>
                              <w:t xml:space="preserve"> </w:t>
                            </w:r>
                            <w:r>
                              <w:rPr>
                                <w:b/>
                                <w:color w:val="FFFFFF"/>
                                <w:spacing w:val="-4"/>
                                <w:sz w:val="12"/>
                              </w:rPr>
                              <w:t>Rate</w:t>
                            </w:r>
                          </w:p>
                        </w:tc>
                        <w:tc>
                          <w:tcPr>
                            <w:tcW w:w="955" w:type="dxa"/>
                            <w:vMerge w:val="restart"/>
                            <w:tcBorders>
                              <w:bottom w:val="single" w:color="DCDDDE" w:sz="4" w:space="0"/>
                            </w:tcBorders>
                            <w:shd w:val="clear" w:color="auto" w:fill="545658"/>
                          </w:tcPr>
                          <w:p w:rsidR="00C31389" w:rsidRDefault="00561FBD" w14:paraId="1393D2EE" w14:textId="77777777">
                            <w:pPr>
                              <w:pStyle w:val="TableParagraph"/>
                              <w:spacing w:before="95"/>
                              <w:ind w:left="226" w:hanging="81"/>
                              <w:rPr>
                                <w:b/>
                                <w:sz w:val="12"/>
                              </w:rPr>
                            </w:pPr>
                            <w:r>
                              <w:rPr>
                                <w:b/>
                                <w:color w:val="FFFFFF"/>
                                <w:spacing w:val="-2"/>
                                <w:sz w:val="12"/>
                              </w:rPr>
                              <w:t>Penetration</w:t>
                            </w:r>
                            <w:r>
                              <w:rPr>
                                <w:b/>
                                <w:color w:val="FFFFFF"/>
                                <w:spacing w:val="40"/>
                                <w:sz w:val="12"/>
                              </w:rPr>
                              <w:t xml:space="preserve"> </w:t>
                            </w:r>
                            <w:r>
                              <w:rPr>
                                <w:b/>
                                <w:color w:val="FFFFFF"/>
                                <w:spacing w:val="-2"/>
                                <w:sz w:val="12"/>
                              </w:rPr>
                              <w:t>Forecast</w:t>
                            </w:r>
                          </w:p>
                        </w:tc>
                        <w:tc>
                          <w:tcPr>
                            <w:tcW w:w="962" w:type="dxa"/>
                            <w:vMerge w:val="restart"/>
                            <w:tcBorders>
                              <w:bottom w:val="single" w:color="DCDDDE" w:sz="4" w:space="0"/>
                            </w:tcBorders>
                            <w:shd w:val="clear" w:color="auto" w:fill="545658"/>
                          </w:tcPr>
                          <w:p w:rsidR="00C31389" w:rsidRDefault="00561FBD" w14:paraId="290FBBB8" w14:textId="77777777">
                            <w:pPr>
                              <w:pStyle w:val="TableParagraph"/>
                              <w:spacing w:before="95"/>
                              <w:ind w:left="239" w:right="166" w:hanging="75"/>
                              <w:rPr>
                                <w:b/>
                                <w:sz w:val="12"/>
                              </w:rPr>
                            </w:pPr>
                            <w:r>
                              <w:rPr>
                                <w:b/>
                                <w:color w:val="FFFFFF"/>
                                <w:sz w:val="12"/>
                              </w:rPr>
                              <w:t>Major</w:t>
                            </w:r>
                            <w:r>
                              <w:rPr>
                                <w:b/>
                                <w:color w:val="FFFFFF"/>
                                <w:spacing w:val="-9"/>
                                <w:sz w:val="12"/>
                              </w:rPr>
                              <w:t xml:space="preserve"> </w:t>
                            </w:r>
                            <w:r>
                              <w:rPr>
                                <w:b/>
                                <w:color w:val="FFFFFF"/>
                                <w:sz w:val="12"/>
                              </w:rPr>
                              <w:t>2023</w:t>
                            </w:r>
                            <w:r>
                              <w:rPr>
                                <w:b/>
                                <w:color w:val="FFFFFF"/>
                                <w:spacing w:val="40"/>
                                <w:sz w:val="12"/>
                              </w:rPr>
                              <w:t xml:space="preserve"> </w:t>
                            </w:r>
                            <w:r>
                              <w:rPr>
                                <w:b/>
                                <w:color w:val="FFFFFF"/>
                                <w:spacing w:val="-2"/>
                                <w:sz w:val="12"/>
                              </w:rPr>
                              <w:t>Updates</w:t>
                            </w:r>
                          </w:p>
                        </w:tc>
                      </w:tr>
                      <w:tr w:rsidR="00C31389" w14:paraId="27814E5F" w14:textId="77777777">
                        <w:trPr>
                          <w:trHeight w:val="114"/>
                        </w:trPr>
                        <w:tc>
                          <w:tcPr>
                            <w:tcW w:w="605" w:type="dxa"/>
                            <w:shd w:val="clear" w:color="auto" w:fill="545658"/>
                          </w:tcPr>
                          <w:p w:rsidR="00C31389" w:rsidRDefault="00561FBD" w14:paraId="56C8CB72" w14:textId="77777777">
                            <w:pPr>
                              <w:pStyle w:val="TableParagraph"/>
                              <w:spacing w:before="0" w:line="94" w:lineRule="exact"/>
                              <w:ind w:left="122"/>
                              <w:rPr>
                                <w:b/>
                                <w:sz w:val="12"/>
                              </w:rPr>
                            </w:pPr>
                            <w:r>
                              <w:rPr>
                                <w:b/>
                                <w:color w:val="FFFFFF"/>
                                <w:spacing w:val="-2"/>
                                <w:sz w:val="12"/>
                              </w:rPr>
                              <w:t>Sector</w:t>
                            </w:r>
                          </w:p>
                        </w:tc>
                        <w:tc>
                          <w:tcPr>
                            <w:tcW w:w="2283" w:type="dxa"/>
                            <w:shd w:val="clear" w:color="auto" w:fill="545658"/>
                          </w:tcPr>
                          <w:p w:rsidR="00C31389" w:rsidRDefault="00561FBD" w14:paraId="7031B8D1" w14:textId="77777777">
                            <w:pPr>
                              <w:pStyle w:val="TableParagraph"/>
                              <w:spacing w:before="0" w:line="94" w:lineRule="exact"/>
                              <w:ind w:left="884" w:right="879"/>
                              <w:jc w:val="center"/>
                              <w:rPr>
                                <w:b/>
                                <w:sz w:val="12"/>
                              </w:rPr>
                            </w:pPr>
                            <w:r>
                              <w:rPr>
                                <w:b/>
                                <w:color w:val="FFFFFF"/>
                                <w:spacing w:val="-2"/>
                                <w:sz w:val="12"/>
                              </w:rPr>
                              <w:t>Program</w:t>
                            </w:r>
                          </w:p>
                        </w:tc>
                        <w:tc>
                          <w:tcPr>
                            <w:tcW w:w="541" w:type="dxa"/>
                            <w:shd w:val="clear" w:color="auto" w:fill="585858"/>
                          </w:tcPr>
                          <w:p w:rsidR="00C31389" w:rsidRDefault="00C31389" w14:paraId="3E8C130D" w14:textId="77777777">
                            <w:pPr>
                              <w:pStyle w:val="TableParagraph"/>
                              <w:spacing w:before="0"/>
                              <w:rPr>
                                <w:rFonts w:ascii="Times New Roman"/>
                                <w:sz w:val="6"/>
                              </w:rPr>
                            </w:pPr>
                          </w:p>
                        </w:tc>
                        <w:tc>
                          <w:tcPr>
                            <w:tcW w:w="631" w:type="dxa"/>
                            <w:shd w:val="clear" w:color="auto" w:fill="585858"/>
                          </w:tcPr>
                          <w:p w:rsidR="00C31389" w:rsidRDefault="00C31389" w14:paraId="1EC3AD92" w14:textId="77777777">
                            <w:pPr>
                              <w:pStyle w:val="TableParagraph"/>
                              <w:spacing w:before="0"/>
                              <w:rPr>
                                <w:rFonts w:ascii="Times New Roman"/>
                                <w:sz w:val="6"/>
                              </w:rPr>
                            </w:pPr>
                          </w:p>
                        </w:tc>
                        <w:tc>
                          <w:tcPr>
                            <w:tcW w:w="541" w:type="dxa"/>
                            <w:shd w:val="clear" w:color="auto" w:fill="585858"/>
                          </w:tcPr>
                          <w:p w:rsidR="00C31389" w:rsidRDefault="00C31389" w14:paraId="53E67754" w14:textId="77777777">
                            <w:pPr>
                              <w:pStyle w:val="TableParagraph"/>
                              <w:spacing w:before="0"/>
                              <w:rPr>
                                <w:rFonts w:ascii="Times New Roman"/>
                                <w:sz w:val="6"/>
                              </w:rPr>
                            </w:pPr>
                          </w:p>
                        </w:tc>
                        <w:tc>
                          <w:tcPr>
                            <w:tcW w:w="955" w:type="dxa"/>
                            <w:shd w:val="clear" w:color="auto" w:fill="585858"/>
                          </w:tcPr>
                          <w:p w:rsidR="00C31389" w:rsidRDefault="00561FBD" w14:paraId="4B7CC1AF" w14:textId="77777777">
                            <w:pPr>
                              <w:pStyle w:val="TableParagraph"/>
                              <w:spacing w:before="0" w:line="94" w:lineRule="exact"/>
                              <w:ind w:left="334" w:right="330"/>
                              <w:jc w:val="center"/>
                              <w:rPr>
                                <w:b/>
                                <w:sz w:val="12"/>
                              </w:rPr>
                            </w:pPr>
                            <w:r>
                              <w:rPr>
                                <w:b/>
                                <w:color w:val="FFFFFF"/>
                                <w:spacing w:val="-4"/>
                                <w:sz w:val="12"/>
                              </w:rPr>
                              <w:t>Cost</w:t>
                            </w:r>
                          </w:p>
                        </w:tc>
                        <w:tc>
                          <w:tcPr>
                            <w:tcW w:w="955" w:type="dxa"/>
                            <w:shd w:val="clear" w:color="auto" w:fill="545658"/>
                          </w:tcPr>
                          <w:p w:rsidR="00C31389" w:rsidRDefault="00561FBD" w14:paraId="0C1F2D32" w14:textId="77777777">
                            <w:pPr>
                              <w:pStyle w:val="TableParagraph"/>
                              <w:spacing w:before="0" w:line="94" w:lineRule="exact"/>
                              <w:ind w:left="122"/>
                              <w:rPr>
                                <w:b/>
                                <w:sz w:val="12"/>
                              </w:rPr>
                            </w:pPr>
                            <w:r>
                              <w:rPr>
                                <w:b/>
                                <w:color w:val="FFFFFF"/>
                                <w:spacing w:val="-2"/>
                                <w:sz w:val="12"/>
                              </w:rPr>
                              <w:t>Applicability</w:t>
                            </w:r>
                          </w:p>
                        </w:tc>
                        <w:tc>
                          <w:tcPr>
                            <w:tcW w:w="955" w:type="dxa"/>
                            <w:vMerge/>
                            <w:tcBorders>
                              <w:top w:val="nil"/>
                              <w:bottom w:val="single" w:color="DCDDDE" w:sz="4" w:space="0"/>
                            </w:tcBorders>
                            <w:shd w:val="clear" w:color="auto" w:fill="545658"/>
                          </w:tcPr>
                          <w:p w:rsidR="00C31389" w:rsidRDefault="00C31389" w14:paraId="231589BE" w14:textId="77777777">
                            <w:pPr>
                              <w:rPr>
                                <w:sz w:val="2"/>
                                <w:szCs w:val="2"/>
                              </w:rPr>
                            </w:pPr>
                          </w:p>
                        </w:tc>
                        <w:tc>
                          <w:tcPr>
                            <w:tcW w:w="955" w:type="dxa"/>
                            <w:vMerge/>
                            <w:tcBorders>
                              <w:top w:val="nil"/>
                              <w:bottom w:val="single" w:color="DCDDDE" w:sz="4" w:space="0"/>
                            </w:tcBorders>
                            <w:shd w:val="clear" w:color="auto" w:fill="545658"/>
                          </w:tcPr>
                          <w:p w:rsidR="00C31389" w:rsidRDefault="00C31389" w14:paraId="0C5208CE" w14:textId="77777777">
                            <w:pPr>
                              <w:rPr>
                                <w:sz w:val="2"/>
                                <w:szCs w:val="2"/>
                              </w:rPr>
                            </w:pPr>
                          </w:p>
                        </w:tc>
                        <w:tc>
                          <w:tcPr>
                            <w:tcW w:w="962" w:type="dxa"/>
                            <w:vMerge/>
                            <w:tcBorders>
                              <w:top w:val="nil"/>
                              <w:bottom w:val="single" w:color="DCDDDE" w:sz="4" w:space="0"/>
                            </w:tcBorders>
                            <w:shd w:val="clear" w:color="auto" w:fill="545658"/>
                          </w:tcPr>
                          <w:p w:rsidR="00C31389" w:rsidRDefault="00C31389" w14:paraId="422884F4" w14:textId="77777777">
                            <w:pPr>
                              <w:rPr>
                                <w:sz w:val="2"/>
                                <w:szCs w:val="2"/>
                              </w:rPr>
                            </w:pPr>
                          </w:p>
                        </w:tc>
                      </w:tr>
                      <w:tr w:rsidR="00C31389" w14:paraId="7DEAE355" w14:textId="77777777">
                        <w:trPr>
                          <w:trHeight w:val="162"/>
                        </w:trPr>
                        <w:tc>
                          <w:tcPr>
                            <w:tcW w:w="605" w:type="dxa"/>
                            <w:tcBorders>
                              <w:bottom w:val="single" w:color="DCDDDE" w:sz="4" w:space="0"/>
                            </w:tcBorders>
                            <w:shd w:val="clear" w:color="auto" w:fill="545658"/>
                          </w:tcPr>
                          <w:p w:rsidR="00C31389" w:rsidRDefault="00C31389" w14:paraId="26A8622A" w14:textId="77777777">
                            <w:pPr>
                              <w:pStyle w:val="TableParagraph"/>
                              <w:spacing w:before="0"/>
                              <w:rPr>
                                <w:rFonts w:ascii="Times New Roman"/>
                                <w:sz w:val="10"/>
                              </w:rPr>
                            </w:pPr>
                          </w:p>
                        </w:tc>
                        <w:tc>
                          <w:tcPr>
                            <w:tcW w:w="2283" w:type="dxa"/>
                            <w:tcBorders>
                              <w:bottom w:val="single" w:color="DCDDDE" w:sz="4" w:space="0"/>
                            </w:tcBorders>
                            <w:shd w:val="clear" w:color="auto" w:fill="545658"/>
                          </w:tcPr>
                          <w:p w:rsidR="00C31389" w:rsidRDefault="00C31389" w14:paraId="24CA9BF5" w14:textId="77777777">
                            <w:pPr>
                              <w:pStyle w:val="TableParagraph"/>
                              <w:spacing w:before="0"/>
                              <w:rPr>
                                <w:rFonts w:ascii="Times New Roman"/>
                                <w:sz w:val="10"/>
                              </w:rPr>
                            </w:pPr>
                          </w:p>
                        </w:tc>
                        <w:tc>
                          <w:tcPr>
                            <w:tcW w:w="541" w:type="dxa"/>
                            <w:tcBorders>
                              <w:bottom w:val="single" w:color="DCDDDE" w:sz="4" w:space="0"/>
                            </w:tcBorders>
                            <w:shd w:val="clear" w:color="auto" w:fill="585858"/>
                          </w:tcPr>
                          <w:p w:rsidR="00C31389" w:rsidRDefault="00561FBD" w14:paraId="0BCDD069" w14:textId="77777777">
                            <w:pPr>
                              <w:pStyle w:val="TableParagraph"/>
                              <w:spacing w:before="0" w:line="124" w:lineRule="exact"/>
                              <w:ind w:left="148"/>
                              <w:rPr>
                                <w:b/>
                                <w:sz w:val="12"/>
                              </w:rPr>
                            </w:pPr>
                            <w:r>
                              <w:rPr>
                                <w:b/>
                                <w:color w:val="FFFFFF"/>
                                <w:spacing w:val="-5"/>
                                <w:sz w:val="12"/>
                              </w:rPr>
                              <w:t>kWh</w:t>
                            </w:r>
                          </w:p>
                        </w:tc>
                        <w:tc>
                          <w:tcPr>
                            <w:tcW w:w="631" w:type="dxa"/>
                            <w:tcBorders>
                              <w:bottom w:val="single" w:color="DCDDDE" w:sz="4" w:space="0"/>
                            </w:tcBorders>
                            <w:shd w:val="clear" w:color="auto" w:fill="585858"/>
                          </w:tcPr>
                          <w:p w:rsidR="00C31389" w:rsidRDefault="00561FBD" w14:paraId="71C10DC7" w14:textId="77777777">
                            <w:pPr>
                              <w:pStyle w:val="TableParagraph"/>
                              <w:spacing w:before="0" w:line="124" w:lineRule="exact"/>
                              <w:ind w:left="120"/>
                              <w:rPr>
                                <w:b/>
                                <w:sz w:val="12"/>
                              </w:rPr>
                            </w:pPr>
                            <w:r>
                              <w:rPr>
                                <w:b/>
                                <w:color w:val="FFFFFF"/>
                                <w:spacing w:val="-2"/>
                                <w:sz w:val="12"/>
                              </w:rPr>
                              <w:t>therms</w:t>
                            </w:r>
                          </w:p>
                        </w:tc>
                        <w:tc>
                          <w:tcPr>
                            <w:tcW w:w="1496" w:type="dxa"/>
                            <w:gridSpan w:val="2"/>
                            <w:tcBorders>
                              <w:bottom w:val="single" w:color="DCDDDE" w:sz="4" w:space="0"/>
                            </w:tcBorders>
                            <w:shd w:val="clear" w:color="auto" w:fill="585858"/>
                          </w:tcPr>
                          <w:p w:rsidR="00C31389" w:rsidRDefault="00561FBD" w14:paraId="163A8FFE" w14:textId="77777777">
                            <w:pPr>
                              <w:pStyle w:val="TableParagraph"/>
                              <w:spacing w:before="0" w:line="124" w:lineRule="exact"/>
                              <w:ind w:left="184"/>
                              <w:rPr>
                                <w:b/>
                                <w:sz w:val="12"/>
                              </w:rPr>
                            </w:pPr>
                            <w:r>
                              <w:rPr>
                                <w:b/>
                                <w:color w:val="FFFFFF"/>
                                <w:spacing w:val="-5"/>
                                <w:sz w:val="12"/>
                              </w:rPr>
                              <w:t>kW</w:t>
                            </w:r>
                          </w:p>
                        </w:tc>
                        <w:tc>
                          <w:tcPr>
                            <w:tcW w:w="955" w:type="dxa"/>
                            <w:tcBorders>
                              <w:bottom w:val="single" w:color="DCDDDE" w:sz="4" w:space="0"/>
                            </w:tcBorders>
                            <w:shd w:val="clear" w:color="auto" w:fill="545658"/>
                          </w:tcPr>
                          <w:p w:rsidR="00C31389" w:rsidRDefault="00C31389" w14:paraId="5FB2D11F" w14:textId="77777777">
                            <w:pPr>
                              <w:pStyle w:val="TableParagraph"/>
                              <w:spacing w:before="0"/>
                              <w:rPr>
                                <w:rFonts w:ascii="Times New Roman"/>
                                <w:sz w:val="10"/>
                              </w:rPr>
                            </w:pPr>
                          </w:p>
                        </w:tc>
                        <w:tc>
                          <w:tcPr>
                            <w:tcW w:w="955" w:type="dxa"/>
                            <w:vMerge/>
                            <w:tcBorders>
                              <w:top w:val="nil"/>
                              <w:bottom w:val="single" w:color="DCDDDE" w:sz="4" w:space="0"/>
                            </w:tcBorders>
                            <w:shd w:val="clear" w:color="auto" w:fill="545658"/>
                          </w:tcPr>
                          <w:p w:rsidR="00C31389" w:rsidRDefault="00C31389" w14:paraId="6A0D87E6" w14:textId="77777777">
                            <w:pPr>
                              <w:rPr>
                                <w:sz w:val="2"/>
                                <w:szCs w:val="2"/>
                              </w:rPr>
                            </w:pPr>
                          </w:p>
                        </w:tc>
                        <w:tc>
                          <w:tcPr>
                            <w:tcW w:w="955" w:type="dxa"/>
                            <w:vMerge/>
                            <w:tcBorders>
                              <w:top w:val="nil"/>
                              <w:bottom w:val="single" w:color="DCDDDE" w:sz="4" w:space="0"/>
                            </w:tcBorders>
                            <w:shd w:val="clear" w:color="auto" w:fill="545658"/>
                          </w:tcPr>
                          <w:p w:rsidR="00C31389" w:rsidRDefault="00C31389" w14:paraId="24236324" w14:textId="77777777">
                            <w:pPr>
                              <w:rPr>
                                <w:sz w:val="2"/>
                                <w:szCs w:val="2"/>
                              </w:rPr>
                            </w:pPr>
                          </w:p>
                        </w:tc>
                        <w:tc>
                          <w:tcPr>
                            <w:tcW w:w="962" w:type="dxa"/>
                            <w:vMerge/>
                            <w:tcBorders>
                              <w:top w:val="nil"/>
                              <w:bottom w:val="single" w:color="DCDDDE" w:sz="4" w:space="0"/>
                            </w:tcBorders>
                            <w:shd w:val="clear" w:color="auto" w:fill="545658"/>
                          </w:tcPr>
                          <w:p w:rsidR="00C31389" w:rsidRDefault="00C31389" w14:paraId="7C9F14B8" w14:textId="77777777">
                            <w:pPr>
                              <w:rPr>
                                <w:sz w:val="2"/>
                                <w:szCs w:val="2"/>
                              </w:rPr>
                            </w:pPr>
                          </w:p>
                        </w:tc>
                      </w:tr>
                      <w:tr w:rsidR="00C31389" w14:paraId="3809FC06" w14:textId="77777777">
                        <w:trPr>
                          <w:trHeight w:val="229"/>
                        </w:trPr>
                        <w:tc>
                          <w:tcPr>
                            <w:tcW w:w="605" w:type="dxa"/>
                            <w:vMerge w:val="restart"/>
                            <w:tcBorders>
                              <w:top w:val="single" w:color="DCDDDE" w:sz="4" w:space="0"/>
                              <w:bottom w:val="single" w:color="DCDDDE" w:sz="4" w:space="0"/>
                            </w:tcBorders>
                            <w:textDirection w:val="btLr"/>
                          </w:tcPr>
                          <w:p w:rsidR="00C31389" w:rsidRDefault="00C31389" w14:paraId="372023E6" w14:textId="77777777">
                            <w:pPr>
                              <w:pStyle w:val="TableParagraph"/>
                              <w:spacing w:before="0"/>
                              <w:rPr>
                                <w:i/>
                                <w:sz w:val="12"/>
                              </w:rPr>
                            </w:pPr>
                          </w:p>
                          <w:p w:rsidR="00C31389" w:rsidRDefault="00561FBD" w14:paraId="670DF74F" w14:textId="77777777">
                            <w:pPr>
                              <w:pStyle w:val="TableParagraph"/>
                              <w:spacing w:before="102"/>
                              <w:ind w:left="364"/>
                              <w:rPr>
                                <w:b/>
                                <w:sz w:val="12"/>
                              </w:rPr>
                            </w:pPr>
                            <w:r>
                              <w:rPr>
                                <w:b/>
                                <w:spacing w:val="-2"/>
                                <w:sz w:val="12"/>
                              </w:rPr>
                              <w:t>Residential</w:t>
                            </w:r>
                          </w:p>
                        </w:tc>
                        <w:tc>
                          <w:tcPr>
                            <w:tcW w:w="2283" w:type="dxa"/>
                            <w:tcBorders>
                              <w:top w:val="single" w:color="DCDDDE" w:sz="4" w:space="0"/>
                              <w:bottom w:val="single" w:color="DCDDDE" w:sz="4" w:space="0"/>
                            </w:tcBorders>
                          </w:tcPr>
                          <w:p w:rsidR="00C31389" w:rsidRDefault="00561FBD" w14:paraId="1DD579DA" w14:textId="77777777">
                            <w:pPr>
                              <w:pStyle w:val="TableParagraph"/>
                              <w:spacing w:before="48"/>
                              <w:ind w:left="107"/>
                              <w:rPr>
                                <w:sz w:val="12"/>
                              </w:rPr>
                            </w:pPr>
                            <w:r>
                              <w:rPr>
                                <w:sz w:val="12"/>
                              </w:rPr>
                              <w:t>Home</w:t>
                            </w:r>
                            <w:r>
                              <w:rPr>
                                <w:spacing w:val="-5"/>
                                <w:sz w:val="12"/>
                              </w:rPr>
                              <w:t xml:space="preserve"> </w:t>
                            </w:r>
                            <w:r>
                              <w:rPr>
                                <w:sz w:val="12"/>
                              </w:rPr>
                              <w:t>Energy</w:t>
                            </w:r>
                            <w:r>
                              <w:rPr>
                                <w:spacing w:val="-1"/>
                                <w:sz w:val="12"/>
                              </w:rPr>
                              <w:t xml:space="preserve"> </w:t>
                            </w:r>
                            <w:r>
                              <w:rPr>
                                <w:spacing w:val="-2"/>
                                <w:sz w:val="12"/>
                              </w:rPr>
                              <w:t>Reports</w:t>
                            </w:r>
                          </w:p>
                        </w:tc>
                        <w:tc>
                          <w:tcPr>
                            <w:tcW w:w="5533" w:type="dxa"/>
                            <w:gridSpan w:val="7"/>
                            <w:tcBorders>
                              <w:top w:val="single" w:color="DCDDDE" w:sz="4" w:space="0"/>
                              <w:bottom w:val="single" w:color="DCDDDE" w:sz="4" w:space="0"/>
                            </w:tcBorders>
                            <w:shd w:val="clear" w:color="auto" w:fill="68942C"/>
                          </w:tcPr>
                          <w:p w:rsidR="00C31389" w:rsidRDefault="00C31389" w14:paraId="21B0661B" w14:textId="77777777">
                            <w:pPr>
                              <w:pStyle w:val="TableParagraph"/>
                              <w:spacing w:before="0"/>
                              <w:rPr>
                                <w:rFonts w:ascii="Times New Roman"/>
                                <w:sz w:val="16"/>
                              </w:rPr>
                            </w:pPr>
                          </w:p>
                        </w:tc>
                        <w:tc>
                          <w:tcPr>
                            <w:tcW w:w="962" w:type="dxa"/>
                            <w:tcBorders>
                              <w:top w:val="single" w:color="DCDDDE" w:sz="4" w:space="0"/>
                              <w:bottom w:val="single" w:color="DCDDDE" w:sz="4" w:space="0"/>
                            </w:tcBorders>
                          </w:tcPr>
                          <w:p w:rsidR="00C31389" w:rsidRDefault="00C31389" w14:paraId="0749DF59" w14:textId="77777777">
                            <w:pPr>
                              <w:pStyle w:val="TableParagraph"/>
                              <w:spacing w:before="0"/>
                              <w:rPr>
                                <w:rFonts w:ascii="Times New Roman"/>
                                <w:sz w:val="16"/>
                              </w:rPr>
                            </w:pPr>
                          </w:p>
                        </w:tc>
                      </w:tr>
                      <w:tr w:rsidR="00C31389" w14:paraId="39152758" w14:textId="77777777">
                        <w:trPr>
                          <w:trHeight w:val="218"/>
                        </w:trPr>
                        <w:tc>
                          <w:tcPr>
                            <w:tcW w:w="605" w:type="dxa"/>
                            <w:vMerge/>
                            <w:tcBorders>
                              <w:top w:val="nil"/>
                              <w:bottom w:val="single" w:color="DCDDDE" w:sz="4" w:space="0"/>
                            </w:tcBorders>
                            <w:textDirection w:val="btLr"/>
                          </w:tcPr>
                          <w:p w:rsidR="00C31389" w:rsidRDefault="00C31389" w14:paraId="72164FD6" w14:textId="77777777">
                            <w:pPr>
                              <w:rPr>
                                <w:sz w:val="2"/>
                                <w:szCs w:val="2"/>
                              </w:rPr>
                            </w:pPr>
                          </w:p>
                        </w:tc>
                        <w:tc>
                          <w:tcPr>
                            <w:tcW w:w="2283" w:type="dxa"/>
                            <w:tcBorders>
                              <w:top w:val="single" w:color="DCDDDE" w:sz="4" w:space="0"/>
                              <w:bottom w:val="single" w:color="DCDDDE" w:sz="4" w:space="0"/>
                            </w:tcBorders>
                          </w:tcPr>
                          <w:p w:rsidR="00C31389" w:rsidRDefault="00561FBD" w14:paraId="5D01C6E4" w14:textId="77777777">
                            <w:pPr>
                              <w:pStyle w:val="TableParagraph"/>
                              <w:spacing w:before="42"/>
                              <w:ind w:left="107"/>
                              <w:rPr>
                                <w:sz w:val="12"/>
                              </w:rPr>
                            </w:pPr>
                            <w:r>
                              <w:rPr>
                                <w:sz w:val="12"/>
                              </w:rPr>
                              <w:t>In-Home</w:t>
                            </w:r>
                            <w:r>
                              <w:rPr>
                                <w:spacing w:val="-4"/>
                                <w:sz w:val="12"/>
                              </w:rPr>
                              <w:t xml:space="preserve"> </w:t>
                            </w:r>
                            <w:r>
                              <w:rPr>
                                <w:sz w:val="12"/>
                              </w:rPr>
                              <w:t>Display</w:t>
                            </w:r>
                            <w:r>
                              <w:rPr>
                                <w:spacing w:val="-4"/>
                                <w:sz w:val="12"/>
                              </w:rPr>
                              <w:t xml:space="preserve"> </w:t>
                            </w:r>
                            <w:r>
                              <w:rPr>
                                <w:sz w:val="12"/>
                              </w:rPr>
                              <w:t>Real-Time</w:t>
                            </w:r>
                            <w:r>
                              <w:rPr>
                                <w:spacing w:val="-4"/>
                                <w:sz w:val="12"/>
                              </w:rPr>
                              <w:t xml:space="preserve"> </w:t>
                            </w:r>
                            <w:r>
                              <w:rPr>
                                <w:spacing w:val="-2"/>
                                <w:sz w:val="12"/>
                              </w:rPr>
                              <w:t>Feedback</w:t>
                            </w:r>
                          </w:p>
                        </w:tc>
                        <w:tc>
                          <w:tcPr>
                            <w:tcW w:w="1172" w:type="dxa"/>
                            <w:gridSpan w:val="2"/>
                            <w:tcBorders>
                              <w:top w:val="single" w:color="DCDDDE" w:sz="4" w:space="0"/>
                              <w:bottom w:val="single" w:color="DCDDDE" w:sz="4" w:space="0"/>
                            </w:tcBorders>
                            <w:shd w:val="clear" w:color="auto" w:fill="F9DC33"/>
                          </w:tcPr>
                          <w:p w:rsidR="00C31389" w:rsidRDefault="00C31389" w14:paraId="2838064D"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085679EA"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788FB37C"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68942C"/>
                          </w:tcPr>
                          <w:p w:rsidR="00C31389" w:rsidRDefault="00C31389" w14:paraId="3BE5A611" w14:textId="77777777">
                            <w:pPr>
                              <w:pStyle w:val="TableParagraph"/>
                              <w:spacing w:before="0"/>
                              <w:rPr>
                                <w:rFonts w:ascii="Times New Roman"/>
                                <w:sz w:val="14"/>
                              </w:rPr>
                            </w:pPr>
                          </w:p>
                        </w:tc>
                        <w:tc>
                          <w:tcPr>
                            <w:tcW w:w="1910" w:type="dxa"/>
                            <w:gridSpan w:val="2"/>
                            <w:tcBorders>
                              <w:top w:val="single" w:color="DCDDDE" w:sz="4" w:space="0"/>
                              <w:bottom w:val="single" w:color="DCDDDE" w:sz="4" w:space="0"/>
                            </w:tcBorders>
                            <w:shd w:val="clear" w:color="auto" w:fill="FF7713"/>
                          </w:tcPr>
                          <w:p w:rsidR="00C31389" w:rsidRDefault="00C31389" w14:paraId="7420A421"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23456A8B" w14:textId="77777777">
                            <w:pPr>
                              <w:pStyle w:val="TableParagraph"/>
                              <w:spacing w:before="0"/>
                              <w:rPr>
                                <w:rFonts w:ascii="Times New Roman"/>
                                <w:sz w:val="14"/>
                              </w:rPr>
                            </w:pPr>
                          </w:p>
                        </w:tc>
                      </w:tr>
                      <w:tr w:rsidR="00C31389" w14:paraId="5AE25700" w14:textId="77777777">
                        <w:trPr>
                          <w:trHeight w:val="218"/>
                        </w:trPr>
                        <w:tc>
                          <w:tcPr>
                            <w:tcW w:w="605" w:type="dxa"/>
                            <w:vMerge/>
                            <w:tcBorders>
                              <w:top w:val="nil"/>
                              <w:bottom w:val="single" w:color="DCDDDE" w:sz="4" w:space="0"/>
                            </w:tcBorders>
                            <w:textDirection w:val="btLr"/>
                          </w:tcPr>
                          <w:p w:rsidR="00C31389" w:rsidRDefault="00C31389" w14:paraId="7B93346E" w14:textId="77777777">
                            <w:pPr>
                              <w:rPr>
                                <w:sz w:val="2"/>
                                <w:szCs w:val="2"/>
                              </w:rPr>
                            </w:pPr>
                          </w:p>
                        </w:tc>
                        <w:tc>
                          <w:tcPr>
                            <w:tcW w:w="2283" w:type="dxa"/>
                            <w:tcBorders>
                              <w:top w:val="single" w:color="DCDDDE" w:sz="4" w:space="0"/>
                              <w:bottom w:val="single" w:color="DCDDDE" w:sz="4" w:space="0"/>
                            </w:tcBorders>
                          </w:tcPr>
                          <w:p w:rsidR="00C31389" w:rsidRDefault="00561FBD" w14:paraId="594F5B84" w14:textId="77777777">
                            <w:pPr>
                              <w:pStyle w:val="TableParagraph"/>
                              <w:spacing w:before="42"/>
                              <w:ind w:left="107"/>
                              <w:rPr>
                                <w:sz w:val="12"/>
                              </w:rPr>
                            </w:pPr>
                            <w:r>
                              <w:rPr>
                                <w:sz w:val="12"/>
                              </w:rPr>
                              <w:t>Web-Based</w:t>
                            </w:r>
                            <w:r>
                              <w:rPr>
                                <w:spacing w:val="-5"/>
                                <w:sz w:val="12"/>
                              </w:rPr>
                              <w:t xml:space="preserve"> </w:t>
                            </w:r>
                            <w:r>
                              <w:rPr>
                                <w:sz w:val="12"/>
                              </w:rPr>
                              <w:t>Real-Time</w:t>
                            </w:r>
                            <w:r>
                              <w:rPr>
                                <w:spacing w:val="-5"/>
                                <w:sz w:val="12"/>
                              </w:rPr>
                              <w:t xml:space="preserve"> </w:t>
                            </w:r>
                            <w:r>
                              <w:rPr>
                                <w:spacing w:val="-2"/>
                                <w:sz w:val="12"/>
                              </w:rPr>
                              <w:t>Feedback</w:t>
                            </w:r>
                          </w:p>
                        </w:tc>
                        <w:tc>
                          <w:tcPr>
                            <w:tcW w:w="1172" w:type="dxa"/>
                            <w:gridSpan w:val="2"/>
                            <w:tcBorders>
                              <w:top w:val="single" w:color="DCDDDE" w:sz="4" w:space="0"/>
                              <w:bottom w:val="single" w:color="DCDDDE" w:sz="4" w:space="0"/>
                            </w:tcBorders>
                            <w:shd w:val="clear" w:color="auto" w:fill="F9DC33"/>
                          </w:tcPr>
                          <w:p w:rsidR="00C31389" w:rsidRDefault="00C31389" w14:paraId="5476C506"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6B714A7F" w14:textId="77777777">
                            <w:pPr>
                              <w:pStyle w:val="TableParagraph"/>
                              <w:spacing w:before="0"/>
                              <w:rPr>
                                <w:rFonts w:ascii="Times New Roman"/>
                                <w:sz w:val="14"/>
                              </w:rPr>
                            </w:pPr>
                          </w:p>
                        </w:tc>
                        <w:tc>
                          <w:tcPr>
                            <w:tcW w:w="3820" w:type="dxa"/>
                            <w:gridSpan w:val="4"/>
                            <w:tcBorders>
                              <w:top w:val="single" w:color="DCDDDE" w:sz="4" w:space="0"/>
                              <w:bottom w:val="single" w:color="DCDDDE" w:sz="4" w:space="0"/>
                            </w:tcBorders>
                            <w:shd w:val="clear" w:color="auto" w:fill="68942C"/>
                          </w:tcPr>
                          <w:p w:rsidR="00C31389" w:rsidRDefault="00C31389" w14:paraId="7443E9BD"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6C6ADE62" w14:textId="77777777">
                            <w:pPr>
                              <w:pStyle w:val="TableParagraph"/>
                              <w:spacing w:before="0"/>
                              <w:rPr>
                                <w:rFonts w:ascii="Times New Roman"/>
                                <w:sz w:val="14"/>
                              </w:rPr>
                            </w:pPr>
                          </w:p>
                        </w:tc>
                      </w:tr>
                      <w:tr w:rsidR="00C31389" w14:paraId="464C62E7" w14:textId="77777777">
                        <w:trPr>
                          <w:trHeight w:val="217"/>
                        </w:trPr>
                        <w:tc>
                          <w:tcPr>
                            <w:tcW w:w="605" w:type="dxa"/>
                            <w:vMerge/>
                            <w:tcBorders>
                              <w:top w:val="nil"/>
                              <w:bottom w:val="single" w:color="DCDDDE" w:sz="4" w:space="0"/>
                            </w:tcBorders>
                            <w:textDirection w:val="btLr"/>
                          </w:tcPr>
                          <w:p w:rsidR="00C31389" w:rsidRDefault="00C31389" w14:paraId="38308F84" w14:textId="77777777">
                            <w:pPr>
                              <w:rPr>
                                <w:sz w:val="2"/>
                                <w:szCs w:val="2"/>
                              </w:rPr>
                            </w:pPr>
                          </w:p>
                        </w:tc>
                        <w:tc>
                          <w:tcPr>
                            <w:tcW w:w="2283" w:type="dxa"/>
                            <w:tcBorders>
                              <w:top w:val="single" w:color="DCDDDE" w:sz="4" w:space="0"/>
                              <w:bottom w:val="single" w:color="DCDDDE" w:sz="4" w:space="0"/>
                            </w:tcBorders>
                          </w:tcPr>
                          <w:p w:rsidR="00C31389" w:rsidRDefault="00561FBD" w14:paraId="39FE7FBD" w14:textId="77777777">
                            <w:pPr>
                              <w:pStyle w:val="TableParagraph"/>
                              <w:spacing w:before="42"/>
                              <w:ind w:left="107"/>
                              <w:rPr>
                                <w:sz w:val="12"/>
                              </w:rPr>
                            </w:pPr>
                            <w:r>
                              <w:rPr>
                                <w:sz w:val="12"/>
                              </w:rPr>
                              <w:t>Small</w:t>
                            </w:r>
                            <w:r>
                              <w:rPr>
                                <w:spacing w:val="-4"/>
                                <w:sz w:val="12"/>
                              </w:rPr>
                              <w:t xml:space="preserve"> </w:t>
                            </w:r>
                            <w:r>
                              <w:rPr>
                                <w:sz w:val="12"/>
                              </w:rPr>
                              <w:t>Res</w:t>
                            </w:r>
                            <w:r>
                              <w:rPr>
                                <w:spacing w:val="-1"/>
                                <w:sz w:val="12"/>
                              </w:rPr>
                              <w:t xml:space="preserve"> </w:t>
                            </w:r>
                            <w:r>
                              <w:rPr>
                                <w:spacing w:val="-2"/>
                                <w:sz w:val="12"/>
                              </w:rPr>
                              <w:t>Competitions</w:t>
                            </w:r>
                          </w:p>
                        </w:tc>
                        <w:tc>
                          <w:tcPr>
                            <w:tcW w:w="1172" w:type="dxa"/>
                            <w:gridSpan w:val="2"/>
                            <w:tcBorders>
                              <w:top w:val="single" w:color="DCDDDE" w:sz="4" w:space="0"/>
                              <w:bottom w:val="single" w:color="DCDDDE" w:sz="4" w:space="0"/>
                            </w:tcBorders>
                            <w:shd w:val="clear" w:color="auto" w:fill="F9DC33"/>
                          </w:tcPr>
                          <w:p w:rsidR="00C31389" w:rsidRDefault="00C31389" w14:paraId="737745C1"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41BC03FC"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64F1B296"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68942C"/>
                          </w:tcPr>
                          <w:p w:rsidR="00C31389" w:rsidRDefault="00C31389" w14:paraId="275D0EBE"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380B583B"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F7713"/>
                          </w:tcPr>
                          <w:p w:rsidR="00C31389" w:rsidRDefault="00C31389" w14:paraId="264494AB"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300837AB" w14:textId="77777777">
                            <w:pPr>
                              <w:pStyle w:val="TableParagraph"/>
                              <w:spacing w:before="0"/>
                              <w:rPr>
                                <w:rFonts w:ascii="Times New Roman"/>
                                <w:sz w:val="14"/>
                              </w:rPr>
                            </w:pPr>
                          </w:p>
                        </w:tc>
                      </w:tr>
                      <w:tr w:rsidR="00C31389" w14:paraId="2A0C025F" w14:textId="77777777">
                        <w:trPr>
                          <w:trHeight w:val="218"/>
                        </w:trPr>
                        <w:tc>
                          <w:tcPr>
                            <w:tcW w:w="605" w:type="dxa"/>
                            <w:vMerge/>
                            <w:tcBorders>
                              <w:top w:val="nil"/>
                              <w:bottom w:val="single" w:color="DCDDDE" w:sz="4" w:space="0"/>
                            </w:tcBorders>
                            <w:textDirection w:val="btLr"/>
                          </w:tcPr>
                          <w:p w:rsidR="00C31389" w:rsidRDefault="00C31389" w14:paraId="7B7B1234" w14:textId="77777777">
                            <w:pPr>
                              <w:rPr>
                                <w:sz w:val="2"/>
                                <w:szCs w:val="2"/>
                              </w:rPr>
                            </w:pPr>
                          </w:p>
                        </w:tc>
                        <w:tc>
                          <w:tcPr>
                            <w:tcW w:w="2283" w:type="dxa"/>
                            <w:tcBorders>
                              <w:top w:val="single" w:color="DCDDDE" w:sz="4" w:space="0"/>
                              <w:bottom w:val="single" w:color="DCDDDE" w:sz="4" w:space="0"/>
                            </w:tcBorders>
                          </w:tcPr>
                          <w:p w:rsidR="00C31389" w:rsidRDefault="00561FBD" w14:paraId="3B765060" w14:textId="77777777">
                            <w:pPr>
                              <w:pStyle w:val="TableParagraph"/>
                              <w:spacing w:before="42"/>
                              <w:ind w:left="107"/>
                              <w:rPr>
                                <w:sz w:val="12"/>
                              </w:rPr>
                            </w:pPr>
                            <w:r>
                              <w:rPr>
                                <w:sz w:val="12"/>
                              </w:rPr>
                              <w:t>Large</w:t>
                            </w:r>
                            <w:r>
                              <w:rPr>
                                <w:spacing w:val="-4"/>
                                <w:sz w:val="12"/>
                              </w:rPr>
                              <w:t xml:space="preserve"> </w:t>
                            </w:r>
                            <w:r>
                              <w:rPr>
                                <w:sz w:val="12"/>
                              </w:rPr>
                              <w:t>Res</w:t>
                            </w:r>
                            <w:r>
                              <w:rPr>
                                <w:spacing w:val="-1"/>
                                <w:sz w:val="12"/>
                              </w:rPr>
                              <w:t xml:space="preserve"> </w:t>
                            </w:r>
                            <w:r>
                              <w:rPr>
                                <w:spacing w:val="-2"/>
                                <w:sz w:val="12"/>
                              </w:rPr>
                              <w:t>Competitions</w:t>
                            </w:r>
                          </w:p>
                        </w:tc>
                        <w:tc>
                          <w:tcPr>
                            <w:tcW w:w="1172" w:type="dxa"/>
                            <w:gridSpan w:val="2"/>
                            <w:tcBorders>
                              <w:top w:val="single" w:color="DCDDDE" w:sz="4" w:space="0"/>
                              <w:bottom w:val="single" w:color="DCDDDE" w:sz="4" w:space="0"/>
                            </w:tcBorders>
                            <w:shd w:val="clear" w:color="auto" w:fill="68942C"/>
                          </w:tcPr>
                          <w:p w:rsidR="00C31389" w:rsidRDefault="00C31389" w14:paraId="44F6338A" w14:textId="77777777">
                            <w:pPr>
                              <w:pStyle w:val="TableParagraph"/>
                              <w:spacing w:before="0"/>
                              <w:rPr>
                                <w:rFonts w:ascii="Times New Roman"/>
                                <w:sz w:val="14"/>
                              </w:rPr>
                            </w:pPr>
                          </w:p>
                        </w:tc>
                        <w:tc>
                          <w:tcPr>
                            <w:tcW w:w="541" w:type="dxa"/>
                            <w:tcBorders>
                              <w:top w:val="single" w:color="DCDDDE" w:sz="4" w:space="0"/>
                              <w:bottom w:val="single" w:color="DCDDDE" w:sz="4" w:space="0"/>
                            </w:tcBorders>
                            <w:shd w:val="clear" w:color="auto" w:fill="FF7713"/>
                          </w:tcPr>
                          <w:p w:rsidR="00C31389" w:rsidRDefault="00C31389" w14:paraId="3424059B"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64F7E84B" w14:textId="77777777">
                            <w:pPr>
                              <w:pStyle w:val="TableParagraph"/>
                              <w:spacing w:before="0"/>
                              <w:rPr>
                                <w:rFonts w:ascii="Times New Roman"/>
                                <w:sz w:val="14"/>
                              </w:rPr>
                            </w:pPr>
                          </w:p>
                        </w:tc>
                        <w:tc>
                          <w:tcPr>
                            <w:tcW w:w="1910" w:type="dxa"/>
                            <w:gridSpan w:val="2"/>
                            <w:tcBorders>
                              <w:top w:val="single" w:color="DCDDDE" w:sz="4" w:space="0"/>
                              <w:bottom w:val="single" w:color="DCDDDE" w:sz="4" w:space="0"/>
                            </w:tcBorders>
                            <w:shd w:val="clear" w:color="auto" w:fill="68942C"/>
                          </w:tcPr>
                          <w:p w:rsidR="00C31389" w:rsidRDefault="00C31389" w14:paraId="15976F0C"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F7713"/>
                          </w:tcPr>
                          <w:p w:rsidR="00C31389" w:rsidRDefault="00C31389" w14:paraId="6D8BE51D"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2AE18DDC" w14:textId="77777777">
                            <w:pPr>
                              <w:pStyle w:val="TableParagraph"/>
                              <w:spacing w:before="0"/>
                              <w:rPr>
                                <w:rFonts w:ascii="Times New Roman"/>
                                <w:sz w:val="14"/>
                              </w:rPr>
                            </w:pPr>
                          </w:p>
                        </w:tc>
                      </w:tr>
                      <w:tr w:rsidR="00C31389" w14:paraId="4935DA03" w14:textId="77777777">
                        <w:trPr>
                          <w:trHeight w:val="217"/>
                        </w:trPr>
                        <w:tc>
                          <w:tcPr>
                            <w:tcW w:w="605" w:type="dxa"/>
                            <w:vMerge/>
                            <w:tcBorders>
                              <w:top w:val="nil"/>
                              <w:bottom w:val="single" w:color="DCDDDE" w:sz="4" w:space="0"/>
                            </w:tcBorders>
                            <w:textDirection w:val="btLr"/>
                          </w:tcPr>
                          <w:p w:rsidR="00C31389" w:rsidRDefault="00C31389" w14:paraId="29C3BAFF" w14:textId="77777777">
                            <w:pPr>
                              <w:rPr>
                                <w:sz w:val="2"/>
                                <w:szCs w:val="2"/>
                              </w:rPr>
                            </w:pPr>
                          </w:p>
                        </w:tc>
                        <w:tc>
                          <w:tcPr>
                            <w:tcW w:w="2283" w:type="dxa"/>
                            <w:tcBorders>
                              <w:top w:val="single" w:color="DCDDDE" w:sz="4" w:space="0"/>
                              <w:bottom w:val="single" w:color="DCDDDE" w:sz="4" w:space="0"/>
                            </w:tcBorders>
                          </w:tcPr>
                          <w:p w:rsidR="00C31389" w:rsidRDefault="00561FBD" w14:paraId="54E9A339" w14:textId="77777777">
                            <w:pPr>
                              <w:pStyle w:val="TableParagraph"/>
                              <w:spacing w:before="42"/>
                              <w:ind w:left="107"/>
                              <w:rPr>
                                <w:sz w:val="12"/>
                              </w:rPr>
                            </w:pPr>
                            <w:r>
                              <w:rPr>
                                <w:sz w:val="12"/>
                              </w:rPr>
                              <w:t>Universal</w:t>
                            </w:r>
                            <w:r>
                              <w:rPr>
                                <w:spacing w:val="-3"/>
                                <w:sz w:val="12"/>
                              </w:rPr>
                              <w:t xml:space="preserve"> </w:t>
                            </w:r>
                            <w:r>
                              <w:rPr>
                                <w:sz w:val="12"/>
                              </w:rPr>
                              <w:t>Audit</w:t>
                            </w:r>
                            <w:r>
                              <w:rPr>
                                <w:spacing w:val="-2"/>
                                <w:sz w:val="12"/>
                              </w:rPr>
                              <w:t xml:space="preserve"> </w:t>
                            </w:r>
                            <w:r>
                              <w:rPr>
                                <w:spacing w:val="-4"/>
                                <w:sz w:val="12"/>
                              </w:rPr>
                              <w:t>Tool</w:t>
                            </w:r>
                          </w:p>
                        </w:tc>
                        <w:tc>
                          <w:tcPr>
                            <w:tcW w:w="5533" w:type="dxa"/>
                            <w:gridSpan w:val="7"/>
                            <w:tcBorders>
                              <w:top w:val="single" w:color="DCDDDE" w:sz="4" w:space="0"/>
                              <w:bottom w:val="single" w:color="DCDDDE" w:sz="4" w:space="0"/>
                            </w:tcBorders>
                            <w:shd w:val="clear" w:color="auto" w:fill="68942C"/>
                          </w:tcPr>
                          <w:p w:rsidR="00C31389" w:rsidRDefault="00C31389" w14:paraId="2227B2B3"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67FF5391" w14:textId="77777777">
                            <w:pPr>
                              <w:pStyle w:val="TableParagraph"/>
                              <w:spacing w:before="0"/>
                              <w:rPr>
                                <w:rFonts w:ascii="Times New Roman"/>
                                <w:sz w:val="14"/>
                              </w:rPr>
                            </w:pPr>
                          </w:p>
                        </w:tc>
                      </w:tr>
                      <w:tr w:rsidR="00C31389" w14:paraId="6CCF599E" w14:textId="77777777">
                        <w:trPr>
                          <w:trHeight w:val="217"/>
                        </w:trPr>
                        <w:tc>
                          <w:tcPr>
                            <w:tcW w:w="605" w:type="dxa"/>
                            <w:vMerge w:val="restart"/>
                            <w:tcBorders>
                              <w:top w:val="single" w:color="DCDDDE" w:sz="4" w:space="0"/>
                              <w:bottom w:val="single" w:color="DCDDDE" w:sz="4" w:space="0"/>
                            </w:tcBorders>
                            <w:textDirection w:val="btLr"/>
                          </w:tcPr>
                          <w:p w:rsidR="00C31389" w:rsidRDefault="00C31389" w14:paraId="31F973FE" w14:textId="77777777">
                            <w:pPr>
                              <w:pStyle w:val="TableParagraph"/>
                              <w:spacing w:before="0"/>
                              <w:rPr>
                                <w:i/>
                                <w:sz w:val="12"/>
                              </w:rPr>
                            </w:pPr>
                          </w:p>
                          <w:p w:rsidR="00C31389" w:rsidRDefault="00561FBD" w14:paraId="49E39504" w14:textId="77777777">
                            <w:pPr>
                              <w:pStyle w:val="TableParagraph"/>
                              <w:spacing w:before="102"/>
                              <w:ind w:left="448"/>
                              <w:rPr>
                                <w:b/>
                                <w:sz w:val="12"/>
                              </w:rPr>
                            </w:pPr>
                            <w:r>
                              <w:rPr>
                                <w:b/>
                                <w:spacing w:val="-2"/>
                                <w:sz w:val="12"/>
                              </w:rPr>
                              <w:t>Commercial</w:t>
                            </w:r>
                          </w:p>
                        </w:tc>
                        <w:tc>
                          <w:tcPr>
                            <w:tcW w:w="2283" w:type="dxa"/>
                            <w:tcBorders>
                              <w:top w:val="single" w:color="DCDDDE" w:sz="4" w:space="0"/>
                              <w:bottom w:val="single" w:color="DCDDDE" w:sz="4" w:space="0"/>
                            </w:tcBorders>
                          </w:tcPr>
                          <w:p w:rsidR="00C31389" w:rsidRDefault="00561FBD" w14:paraId="3AD887B4" w14:textId="77777777">
                            <w:pPr>
                              <w:pStyle w:val="TableParagraph"/>
                              <w:spacing w:before="42"/>
                              <w:ind w:left="107"/>
                              <w:rPr>
                                <w:sz w:val="12"/>
                              </w:rPr>
                            </w:pPr>
                            <w:r>
                              <w:rPr>
                                <w:sz w:val="12"/>
                              </w:rPr>
                              <w:t>Commercial</w:t>
                            </w:r>
                            <w:r>
                              <w:rPr>
                                <w:spacing w:val="-6"/>
                                <w:sz w:val="12"/>
                              </w:rPr>
                              <w:t xml:space="preserve"> </w:t>
                            </w:r>
                            <w:r>
                              <w:rPr>
                                <w:spacing w:val="-2"/>
                                <w:sz w:val="12"/>
                              </w:rPr>
                              <w:t>Competitions</w:t>
                            </w:r>
                          </w:p>
                        </w:tc>
                        <w:tc>
                          <w:tcPr>
                            <w:tcW w:w="541" w:type="dxa"/>
                            <w:tcBorders>
                              <w:top w:val="single" w:color="DCDDDE" w:sz="4" w:space="0"/>
                              <w:bottom w:val="single" w:color="DCDDDE" w:sz="4" w:space="0"/>
                            </w:tcBorders>
                            <w:shd w:val="clear" w:color="auto" w:fill="68942C"/>
                          </w:tcPr>
                          <w:p w:rsidR="00C31389" w:rsidRDefault="00C31389" w14:paraId="1FDAE8A6" w14:textId="77777777">
                            <w:pPr>
                              <w:pStyle w:val="TableParagraph"/>
                              <w:spacing w:before="0"/>
                              <w:rPr>
                                <w:rFonts w:ascii="Times New Roman"/>
                                <w:sz w:val="14"/>
                              </w:rPr>
                            </w:pPr>
                          </w:p>
                        </w:tc>
                        <w:tc>
                          <w:tcPr>
                            <w:tcW w:w="1172" w:type="dxa"/>
                            <w:gridSpan w:val="2"/>
                            <w:tcBorders>
                              <w:top w:val="single" w:color="DCDDDE" w:sz="4" w:space="0"/>
                              <w:bottom w:val="single" w:color="DCDDDE" w:sz="4" w:space="0"/>
                            </w:tcBorders>
                            <w:shd w:val="clear" w:color="auto" w:fill="FF7713"/>
                          </w:tcPr>
                          <w:p w:rsidR="00C31389" w:rsidRDefault="00C31389" w14:paraId="2C1BDD21" w14:textId="77777777">
                            <w:pPr>
                              <w:pStyle w:val="TableParagraph"/>
                              <w:spacing w:before="0"/>
                              <w:rPr>
                                <w:rFonts w:ascii="Times New Roman"/>
                                <w:sz w:val="14"/>
                              </w:rPr>
                            </w:pPr>
                          </w:p>
                        </w:tc>
                        <w:tc>
                          <w:tcPr>
                            <w:tcW w:w="955" w:type="dxa"/>
                            <w:tcBorders>
                              <w:top w:val="single" w:color="DCDDDE" w:sz="4" w:space="0"/>
                              <w:bottom w:val="single" w:color="DCDDDE" w:sz="4" w:space="0"/>
                            </w:tcBorders>
                            <w:shd w:val="clear" w:color="auto" w:fill="F9DC33"/>
                          </w:tcPr>
                          <w:p w:rsidR="00C31389" w:rsidRDefault="00C31389" w14:paraId="43FF1700" w14:textId="77777777">
                            <w:pPr>
                              <w:pStyle w:val="TableParagraph"/>
                              <w:spacing w:before="0"/>
                              <w:rPr>
                                <w:rFonts w:ascii="Times New Roman"/>
                                <w:sz w:val="14"/>
                              </w:rPr>
                            </w:pPr>
                          </w:p>
                        </w:tc>
                        <w:tc>
                          <w:tcPr>
                            <w:tcW w:w="2865" w:type="dxa"/>
                            <w:gridSpan w:val="3"/>
                            <w:tcBorders>
                              <w:top w:val="single" w:color="DCDDDE" w:sz="4" w:space="0"/>
                              <w:bottom w:val="single" w:color="DCDDDE" w:sz="4" w:space="0"/>
                            </w:tcBorders>
                            <w:shd w:val="clear" w:color="auto" w:fill="68942C"/>
                          </w:tcPr>
                          <w:p w:rsidR="00C31389" w:rsidRDefault="00C31389" w14:paraId="2C2236F0"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37A26A28" w14:textId="77777777">
                            <w:pPr>
                              <w:pStyle w:val="TableParagraph"/>
                              <w:spacing w:before="0"/>
                              <w:rPr>
                                <w:rFonts w:ascii="Times New Roman"/>
                                <w:sz w:val="14"/>
                              </w:rPr>
                            </w:pPr>
                          </w:p>
                        </w:tc>
                      </w:tr>
                      <w:tr w:rsidR="00C31389" w14:paraId="1E0B89FB" w14:textId="77777777">
                        <w:trPr>
                          <w:trHeight w:val="218"/>
                        </w:trPr>
                        <w:tc>
                          <w:tcPr>
                            <w:tcW w:w="605" w:type="dxa"/>
                            <w:vMerge/>
                            <w:tcBorders>
                              <w:top w:val="nil"/>
                              <w:bottom w:val="single" w:color="DCDDDE" w:sz="4" w:space="0"/>
                            </w:tcBorders>
                            <w:textDirection w:val="btLr"/>
                          </w:tcPr>
                          <w:p w:rsidR="00C31389" w:rsidRDefault="00C31389" w14:paraId="69AE0179" w14:textId="77777777">
                            <w:pPr>
                              <w:rPr>
                                <w:sz w:val="2"/>
                                <w:szCs w:val="2"/>
                              </w:rPr>
                            </w:pPr>
                          </w:p>
                        </w:tc>
                        <w:tc>
                          <w:tcPr>
                            <w:tcW w:w="2283" w:type="dxa"/>
                            <w:tcBorders>
                              <w:top w:val="single" w:color="DCDDDE" w:sz="4" w:space="0"/>
                              <w:bottom w:val="single" w:color="DCDDDE" w:sz="4" w:space="0"/>
                            </w:tcBorders>
                          </w:tcPr>
                          <w:p w:rsidR="00C31389" w:rsidRDefault="00561FBD" w14:paraId="537B818E" w14:textId="77777777">
                            <w:pPr>
                              <w:pStyle w:val="TableParagraph"/>
                              <w:spacing w:before="42"/>
                              <w:ind w:left="107"/>
                              <w:rPr>
                                <w:sz w:val="12"/>
                              </w:rPr>
                            </w:pPr>
                            <w:r>
                              <w:rPr>
                                <w:sz w:val="12"/>
                              </w:rPr>
                              <w:t>Business</w:t>
                            </w:r>
                            <w:r>
                              <w:rPr>
                                <w:spacing w:val="-5"/>
                                <w:sz w:val="12"/>
                              </w:rPr>
                              <w:t xml:space="preserve"> </w:t>
                            </w:r>
                            <w:r>
                              <w:rPr>
                                <w:sz w:val="12"/>
                              </w:rPr>
                              <w:t>Energy</w:t>
                            </w:r>
                            <w:r>
                              <w:rPr>
                                <w:spacing w:val="-1"/>
                                <w:sz w:val="12"/>
                              </w:rPr>
                              <w:t xml:space="preserve"> </w:t>
                            </w:r>
                            <w:r>
                              <w:rPr>
                                <w:spacing w:val="-2"/>
                                <w:sz w:val="12"/>
                              </w:rPr>
                              <w:t>Reports</w:t>
                            </w:r>
                          </w:p>
                        </w:tc>
                        <w:tc>
                          <w:tcPr>
                            <w:tcW w:w="541" w:type="dxa"/>
                            <w:tcBorders>
                              <w:top w:val="single" w:color="DCDDDE" w:sz="4" w:space="0"/>
                              <w:bottom w:val="single" w:color="DCDDDE" w:sz="4" w:space="0"/>
                            </w:tcBorders>
                            <w:shd w:val="clear" w:color="auto" w:fill="68942C"/>
                          </w:tcPr>
                          <w:p w:rsidR="00C31389" w:rsidRDefault="00C31389" w14:paraId="4426156E"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0410E592"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1743C5E4" w14:textId="77777777">
                            <w:pPr>
                              <w:pStyle w:val="TableParagraph"/>
                              <w:spacing w:before="0"/>
                              <w:rPr>
                                <w:rFonts w:ascii="Times New Roman"/>
                                <w:sz w:val="14"/>
                              </w:rPr>
                            </w:pPr>
                          </w:p>
                        </w:tc>
                      </w:tr>
                      <w:tr w:rsidR="00C31389" w14:paraId="09C17DDA" w14:textId="77777777">
                        <w:trPr>
                          <w:trHeight w:val="217"/>
                        </w:trPr>
                        <w:tc>
                          <w:tcPr>
                            <w:tcW w:w="605" w:type="dxa"/>
                            <w:vMerge/>
                            <w:tcBorders>
                              <w:top w:val="nil"/>
                              <w:bottom w:val="single" w:color="DCDDDE" w:sz="4" w:space="0"/>
                            </w:tcBorders>
                            <w:textDirection w:val="btLr"/>
                          </w:tcPr>
                          <w:p w:rsidR="00C31389" w:rsidRDefault="00C31389" w14:paraId="3BB926F8" w14:textId="77777777">
                            <w:pPr>
                              <w:rPr>
                                <w:sz w:val="2"/>
                                <w:szCs w:val="2"/>
                              </w:rPr>
                            </w:pPr>
                          </w:p>
                        </w:tc>
                        <w:tc>
                          <w:tcPr>
                            <w:tcW w:w="2283" w:type="dxa"/>
                            <w:tcBorders>
                              <w:top w:val="single" w:color="DCDDDE" w:sz="4" w:space="0"/>
                              <w:bottom w:val="single" w:color="DCDDDE" w:sz="4" w:space="0"/>
                            </w:tcBorders>
                          </w:tcPr>
                          <w:p w:rsidR="00C31389" w:rsidRDefault="00561FBD" w14:paraId="4918C831" w14:textId="77777777">
                            <w:pPr>
                              <w:pStyle w:val="TableParagraph"/>
                              <w:spacing w:before="42"/>
                              <w:ind w:left="107"/>
                              <w:rPr>
                                <w:sz w:val="12"/>
                              </w:rPr>
                            </w:pPr>
                            <w:r>
                              <w:rPr>
                                <w:sz w:val="12"/>
                              </w:rPr>
                              <w:t>Building</w:t>
                            </w:r>
                            <w:r>
                              <w:rPr>
                                <w:spacing w:val="-4"/>
                                <w:sz w:val="12"/>
                              </w:rPr>
                              <w:t xml:space="preserve"> </w:t>
                            </w:r>
                            <w:r>
                              <w:rPr>
                                <w:sz w:val="12"/>
                              </w:rPr>
                              <w:t>Operator</w:t>
                            </w:r>
                            <w:r>
                              <w:rPr>
                                <w:spacing w:val="-3"/>
                                <w:sz w:val="12"/>
                              </w:rPr>
                              <w:t xml:space="preserve"> </w:t>
                            </w:r>
                            <w:r>
                              <w:rPr>
                                <w:spacing w:val="-2"/>
                                <w:sz w:val="12"/>
                              </w:rPr>
                              <w:t>Certification</w:t>
                            </w:r>
                          </w:p>
                        </w:tc>
                        <w:tc>
                          <w:tcPr>
                            <w:tcW w:w="541" w:type="dxa"/>
                            <w:tcBorders>
                              <w:top w:val="single" w:color="DCDDDE" w:sz="4" w:space="0"/>
                              <w:bottom w:val="single" w:color="DCDDDE" w:sz="4" w:space="0"/>
                            </w:tcBorders>
                            <w:shd w:val="clear" w:color="auto" w:fill="68942C"/>
                          </w:tcPr>
                          <w:p w:rsidR="00C31389" w:rsidRDefault="00C31389" w14:paraId="56C4E04F"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59DE0EBD"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36E852E9" w14:textId="77777777">
                            <w:pPr>
                              <w:pStyle w:val="TableParagraph"/>
                              <w:spacing w:before="0"/>
                              <w:rPr>
                                <w:rFonts w:ascii="Times New Roman"/>
                                <w:sz w:val="14"/>
                              </w:rPr>
                            </w:pPr>
                          </w:p>
                        </w:tc>
                      </w:tr>
                      <w:tr w:rsidR="00C31389" w14:paraId="5A78E3D8" w14:textId="77777777">
                        <w:trPr>
                          <w:trHeight w:val="217"/>
                        </w:trPr>
                        <w:tc>
                          <w:tcPr>
                            <w:tcW w:w="605" w:type="dxa"/>
                            <w:vMerge/>
                            <w:tcBorders>
                              <w:top w:val="nil"/>
                              <w:bottom w:val="single" w:color="DCDDDE" w:sz="4" w:space="0"/>
                            </w:tcBorders>
                            <w:textDirection w:val="btLr"/>
                          </w:tcPr>
                          <w:p w:rsidR="00C31389" w:rsidRDefault="00C31389" w14:paraId="5F05D96D" w14:textId="77777777">
                            <w:pPr>
                              <w:rPr>
                                <w:sz w:val="2"/>
                                <w:szCs w:val="2"/>
                              </w:rPr>
                            </w:pPr>
                          </w:p>
                        </w:tc>
                        <w:tc>
                          <w:tcPr>
                            <w:tcW w:w="2283" w:type="dxa"/>
                            <w:tcBorders>
                              <w:top w:val="single" w:color="DCDDDE" w:sz="4" w:space="0"/>
                              <w:bottom w:val="single" w:color="DCDDDE" w:sz="4" w:space="0"/>
                            </w:tcBorders>
                          </w:tcPr>
                          <w:p w:rsidR="00C31389" w:rsidRDefault="00561FBD" w14:paraId="7E732481" w14:textId="77777777">
                            <w:pPr>
                              <w:pStyle w:val="TableParagraph"/>
                              <w:spacing w:before="42"/>
                              <w:ind w:left="107"/>
                              <w:rPr>
                                <w:sz w:val="12"/>
                              </w:rPr>
                            </w:pPr>
                            <w:r>
                              <w:rPr>
                                <w:spacing w:val="-2"/>
                                <w:sz w:val="12"/>
                              </w:rPr>
                              <w:t>BEIMS</w:t>
                            </w:r>
                          </w:p>
                        </w:tc>
                        <w:tc>
                          <w:tcPr>
                            <w:tcW w:w="541" w:type="dxa"/>
                            <w:tcBorders>
                              <w:top w:val="single" w:color="DCDDDE" w:sz="4" w:space="0"/>
                              <w:bottom w:val="single" w:color="DCDDDE" w:sz="4" w:space="0"/>
                            </w:tcBorders>
                            <w:shd w:val="clear" w:color="auto" w:fill="68942C"/>
                          </w:tcPr>
                          <w:p w:rsidR="00C31389" w:rsidRDefault="00C31389" w14:paraId="224C5703"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65B2C22A"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15CFA851" w14:textId="77777777">
                            <w:pPr>
                              <w:pStyle w:val="TableParagraph"/>
                              <w:spacing w:before="0"/>
                              <w:rPr>
                                <w:rFonts w:ascii="Times New Roman"/>
                                <w:sz w:val="14"/>
                              </w:rPr>
                            </w:pPr>
                          </w:p>
                        </w:tc>
                      </w:tr>
                      <w:tr w:rsidR="00C31389" w14:paraId="425BFF6E" w14:textId="77777777">
                        <w:trPr>
                          <w:trHeight w:val="218"/>
                        </w:trPr>
                        <w:tc>
                          <w:tcPr>
                            <w:tcW w:w="605" w:type="dxa"/>
                            <w:vMerge/>
                            <w:tcBorders>
                              <w:top w:val="nil"/>
                              <w:bottom w:val="single" w:color="DCDDDE" w:sz="4" w:space="0"/>
                            </w:tcBorders>
                            <w:textDirection w:val="btLr"/>
                          </w:tcPr>
                          <w:p w:rsidR="00C31389" w:rsidRDefault="00C31389" w14:paraId="6AC9CD0D" w14:textId="77777777">
                            <w:pPr>
                              <w:rPr>
                                <w:sz w:val="2"/>
                                <w:szCs w:val="2"/>
                              </w:rPr>
                            </w:pPr>
                          </w:p>
                        </w:tc>
                        <w:tc>
                          <w:tcPr>
                            <w:tcW w:w="2283" w:type="dxa"/>
                            <w:tcBorders>
                              <w:top w:val="single" w:color="DCDDDE" w:sz="4" w:space="0"/>
                              <w:bottom w:val="single" w:color="DCDDDE" w:sz="4" w:space="0"/>
                            </w:tcBorders>
                          </w:tcPr>
                          <w:p w:rsidR="00C31389" w:rsidRDefault="00561FBD" w14:paraId="5ACC6807" w14:textId="77777777">
                            <w:pPr>
                              <w:pStyle w:val="TableParagraph"/>
                              <w:spacing w:before="42"/>
                              <w:ind w:left="107"/>
                              <w:rPr>
                                <w:sz w:val="12"/>
                              </w:rPr>
                            </w:pPr>
                            <w:r>
                              <w:rPr>
                                <w:sz w:val="12"/>
                              </w:rPr>
                              <w:t>Building</w:t>
                            </w:r>
                            <w:r>
                              <w:rPr>
                                <w:spacing w:val="-4"/>
                                <w:sz w:val="12"/>
                              </w:rPr>
                              <w:t xml:space="preserve"> </w:t>
                            </w:r>
                            <w:r>
                              <w:rPr>
                                <w:spacing w:val="-2"/>
                                <w:sz w:val="12"/>
                              </w:rPr>
                              <w:t>Benchmarking</w:t>
                            </w:r>
                          </w:p>
                        </w:tc>
                        <w:tc>
                          <w:tcPr>
                            <w:tcW w:w="541" w:type="dxa"/>
                            <w:tcBorders>
                              <w:top w:val="single" w:color="DCDDDE" w:sz="4" w:space="0"/>
                              <w:bottom w:val="single" w:color="DCDDDE" w:sz="4" w:space="0"/>
                            </w:tcBorders>
                            <w:shd w:val="clear" w:color="auto" w:fill="F9DC33"/>
                          </w:tcPr>
                          <w:p w:rsidR="00C31389" w:rsidRDefault="00C31389" w14:paraId="6EBFBB91" w14:textId="77777777">
                            <w:pPr>
                              <w:pStyle w:val="TableParagraph"/>
                              <w:spacing w:before="0"/>
                              <w:rPr>
                                <w:rFonts w:ascii="Times New Roman"/>
                                <w:sz w:val="14"/>
                              </w:rPr>
                            </w:pPr>
                          </w:p>
                        </w:tc>
                        <w:tc>
                          <w:tcPr>
                            <w:tcW w:w="631" w:type="dxa"/>
                            <w:tcBorders>
                              <w:top w:val="single" w:color="DCDDDE" w:sz="4" w:space="0"/>
                              <w:bottom w:val="single" w:color="DCDDDE" w:sz="4" w:space="0"/>
                            </w:tcBorders>
                            <w:shd w:val="clear" w:color="auto" w:fill="F9DC33"/>
                          </w:tcPr>
                          <w:p w:rsidR="00C31389" w:rsidRDefault="00C31389" w14:paraId="4C8BA083" w14:textId="77777777">
                            <w:pPr>
                              <w:pStyle w:val="TableParagraph"/>
                              <w:spacing w:before="0"/>
                              <w:rPr>
                                <w:rFonts w:ascii="Times New Roman"/>
                                <w:sz w:val="14"/>
                              </w:rPr>
                            </w:pPr>
                          </w:p>
                        </w:tc>
                        <w:tc>
                          <w:tcPr>
                            <w:tcW w:w="4361" w:type="dxa"/>
                            <w:gridSpan w:val="5"/>
                            <w:tcBorders>
                              <w:top w:val="single" w:color="DCDDDE" w:sz="4" w:space="0"/>
                              <w:bottom w:val="single" w:color="DCDDDE" w:sz="4" w:space="0"/>
                            </w:tcBorders>
                            <w:shd w:val="clear" w:color="auto" w:fill="68942C"/>
                          </w:tcPr>
                          <w:p w:rsidR="00C31389" w:rsidRDefault="00C31389" w14:paraId="23999EBA"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576B16F1" w14:textId="77777777">
                            <w:pPr>
                              <w:pStyle w:val="TableParagraph"/>
                              <w:spacing w:before="0"/>
                              <w:rPr>
                                <w:rFonts w:ascii="Times New Roman"/>
                                <w:sz w:val="14"/>
                              </w:rPr>
                            </w:pPr>
                          </w:p>
                        </w:tc>
                      </w:tr>
                      <w:tr w:rsidR="00C31389" w14:paraId="77FFD3B5" w14:textId="77777777">
                        <w:trPr>
                          <w:trHeight w:val="217"/>
                        </w:trPr>
                        <w:tc>
                          <w:tcPr>
                            <w:tcW w:w="605" w:type="dxa"/>
                            <w:vMerge/>
                            <w:tcBorders>
                              <w:top w:val="nil"/>
                              <w:bottom w:val="single" w:color="DCDDDE" w:sz="4" w:space="0"/>
                            </w:tcBorders>
                            <w:textDirection w:val="btLr"/>
                          </w:tcPr>
                          <w:p w:rsidR="00C31389" w:rsidRDefault="00C31389" w14:paraId="5E62FDAB" w14:textId="77777777">
                            <w:pPr>
                              <w:rPr>
                                <w:sz w:val="2"/>
                                <w:szCs w:val="2"/>
                              </w:rPr>
                            </w:pPr>
                          </w:p>
                        </w:tc>
                        <w:tc>
                          <w:tcPr>
                            <w:tcW w:w="2283" w:type="dxa"/>
                            <w:tcBorders>
                              <w:top w:val="single" w:color="DCDDDE" w:sz="4" w:space="0"/>
                              <w:bottom w:val="single" w:color="DCDDDE" w:sz="4" w:space="0"/>
                            </w:tcBorders>
                          </w:tcPr>
                          <w:p w:rsidR="00C31389" w:rsidRDefault="00561FBD" w14:paraId="16AA79BE" w14:textId="77777777">
                            <w:pPr>
                              <w:pStyle w:val="TableParagraph"/>
                              <w:spacing w:before="42"/>
                              <w:ind w:left="107"/>
                              <w:rPr>
                                <w:sz w:val="12"/>
                              </w:rPr>
                            </w:pPr>
                            <w:r>
                              <w:rPr>
                                <w:sz w:val="12"/>
                              </w:rPr>
                              <w:t>Strategic</w:t>
                            </w:r>
                            <w:r>
                              <w:rPr>
                                <w:spacing w:val="-7"/>
                                <w:sz w:val="12"/>
                              </w:rPr>
                              <w:t xml:space="preserve"> </w:t>
                            </w:r>
                            <w:r>
                              <w:rPr>
                                <w:sz w:val="12"/>
                              </w:rPr>
                              <w:t>Energy</w:t>
                            </w:r>
                            <w:r>
                              <w:rPr>
                                <w:spacing w:val="-5"/>
                                <w:sz w:val="12"/>
                              </w:rPr>
                              <w:t xml:space="preserve"> </w:t>
                            </w:r>
                            <w:r>
                              <w:rPr>
                                <w:sz w:val="12"/>
                              </w:rPr>
                              <w:t>Management-</w:t>
                            </w:r>
                            <w:r>
                              <w:rPr>
                                <w:spacing w:val="-4"/>
                                <w:sz w:val="12"/>
                              </w:rPr>
                              <w:t>type</w:t>
                            </w:r>
                          </w:p>
                        </w:tc>
                        <w:tc>
                          <w:tcPr>
                            <w:tcW w:w="541" w:type="dxa"/>
                            <w:tcBorders>
                              <w:top w:val="single" w:color="DCDDDE" w:sz="4" w:space="0"/>
                              <w:bottom w:val="single" w:color="DCDDDE" w:sz="4" w:space="0"/>
                            </w:tcBorders>
                            <w:shd w:val="clear" w:color="auto" w:fill="F9DC33"/>
                          </w:tcPr>
                          <w:p w:rsidR="00C31389" w:rsidRDefault="00C31389" w14:paraId="250D21BA"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03D39CCA"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6832980B" w14:textId="77777777">
                            <w:pPr>
                              <w:pStyle w:val="TableParagraph"/>
                              <w:spacing w:before="0"/>
                              <w:rPr>
                                <w:rFonts w:ascii="Times New Roman"/>
                                <w:sz w:val="14"/>
                              </w:rPr>
                            </w:pPr>
                          </w:p>
                        </w:tc>
                      </w:tr>
                      <w:tr w:rsidR="00C31389" w14:paraId="774D9845" w14:textId="77777777">
                        <w:trPr>
                          <w:trHeight w:val="217"/>
                        </w:trPr>
                        <w:tc>
                          <w:tcPr>
                            <w:tcW w:w="605" w:type="dxa"/>
                            <w:vMerge/>
                            <w:tcBorders>
                              <w:top w:val="nil"/>
                              <w:bottom w:val="single" w:color="DCDDDE" w:sz="4" w:space="0"/>
                            </w:tcBorders>
                            <w:textDirection w:val="btLr"/>
                          </w:tcPr>
                          <w:p w:rsidR="00C31389" w:rsidRDefault="00C31389" w14:paraId="2C69AE4E" w14:textId="77777777">
                            <w:pPr>
                              <w:rPr>
                                <w:sz w:val="2"/>
                                <w:szCs w:val="2"/>
                              </w:rPr>
                            </w:pPr>
                          </w:p>
                        </w:tc>
                        <w:tc>
                          <w:tcPr>
                            <w:tcW w:w="2283" w:type="dxa"/>
                            <w:tcBorders>
                              <w:top w:val="single" w:color="DCDDDE" w:sz="4" w:space="0"/>
                              <w:bottom w:val="single" w:color="DCDDDE" w:sz="4" w:space="0"/>
                            </w:tcBorders>
                          </w:tcPr>
                          <w:p w:rsidR="00C31389" w:rsidRDefault="00561FBD" w14:paraId="6D50C15F" w14:textId="77777777">
                            <w:pPr>
                              <w:pStyle w:val="TableParagraph"/>
                              <w:spacing w:before="42"/>
                              <w:ind w:left="107"/>
                              <w:rPr>
                                <w:sz w:val="12"/>
                              </w:rPr>
                            </w:pPr>
                            <w:r>
                              <w:rPr>
                                <w:spacing w:val="-2"/>
                                <w:sz w:val="12"/>
                              </w:rPr>
                              <w:t>Retrocommissioning</w:t>
                            </w:r>
                          </w:p>
                        </w:tc>
                        <w:tc>
                          <w:tcPr>
                            <w:tcW w:w="541" w:type="dxa"/>
                            <w:tcBorders>
                              <w:top w:val="single" w:color="DCDDDE" w:sz="4" w:space="0"/>
                              <w:bottom w:val="single" w:color="DCDDDE" w:sz="4" w:space="0"/>
                            </w:tcBorders>
                            <w:shd w:val="clear" w:color="auto" w:fill="68942C"/>
                          </w:tcPr>
                          <w:p w:rsidR="00C31389" w:rsidRDefault="00C31389" w14:paraId="4E174DF3" w14:textId="77777777">
                            <w:pPr>
                              <w:pStyle w:val="TableParagraph"/>
                              <w:spacing w:before="0"/>
                              <w:rPr>
                                <w:rFonts w:ascii="Times New Roman"/>
                                <w:sz w:val="14"/>
                              </w:rPr>
                            </w:pPr>
                          </w:p>
                        </w:tc>
                        <w:tc>
                          <w:tcPr>
                            <w:tcW w:w="4992" w:type="dxa"/>
                            <w:gridSpan w:val="6"/>
                            <w:tcBorders>
                              <w:top w:val="single" w:color="DCDDDE" w:sz="4" w:space="0"/>
                              <w:bottom w:val="single" w:color="DCDDDE" w:sz="4" w:space="0"/>
                            </w:tcBorders>
                            <w:shd w:val="clear" w:color="auto" w:fill="68942C"/>
                          </w:tcPr>
                          <w:p w:rsidR="00C31389" w:rsidRDefault="00C31389" w14:paraId="6F16479B" w14:textId="77777777">
                            <w:pPr>
                              <w:pStyle w:val="TableParagraph"/>
                              <w:spacing w:before="0"/>
                              <w:rPr>
                                <w:rFonts w:ascii="Times New Roman"/>
                                <w:sz w:val="14"/>
                              </w:rPr>
                            </w:pPr>
                          </w:p>
                        </w:tc>
                        <w:tc>
                          <w:tcPr>
                            <w:tcW w:w="962" w:type="dxa"/>
                            <w:tcBorders>
                              <w:top w:val="single" w:color="DCDDDE" w:sz="4" w:space="0"/>
                              <w:bottom w:val="single" w:color="DCDDDE" w:sz="4" w:space="0"/>
                            </w:tcBorders>
                          </w:tcPr>
                          <w:p w:rsidR="00C31389" w:rsidRDefault="00C31389" w14:paraId="44C5E777" w14:textId="77777777">
                            <w:pPr>
                              <w:pStyle w:val="TableParagraph"/>
                              <w:spacing w:before="0"/>
                              <w:rPr>
                                <w:rFonts w:ascii="Times New Roman"/>
                                <w:sz w:val="14"/>
                              </w:rPr>
                            </w:pPr>
                          </w:p>
                        </w:tc>
                      </w:tr>
                      <w:tr w:rsidR="00C31389" w14:paraId="4355E1C8" w14:textId="77777777">
                        <w:trPr>
                          <w:trHeight w:val="241"/>
                        </w:trPr>
                        <w:tc>
                          <w:tcPr>
                            <w:tcW w:w="9383" w:type="dxa"/>
                            <w:gridSpan w:val="10"/>
                            <w:tcBorders>
                              <w:top w:val="single" w:color="DCDDDE" w:sz="4" w:space="0"/>
                              <w:bottom w:val="single" w:color="DCDDDE" w:sz="4" w:space="0"/>
                            </w:tcBorders>
                            <w:shd w:val="clear" w:color="auto" w:fill="585858"/>
                          </w:tcPr>
                          <w:p w:rsidR="00C31389" w:rsidRDefault="00561FBD" w14:paraId="76D77950" w14:textId="77777777">
                            <w:pPr>
                              <w:pStyle w:val="TableParagraph"/>
                              <w:spacing w:before="42"/>
                              <w:ind w:left="4477" w:right="4471"/>
                              <w:jc w:val="center"/>
                              <w:rPr>
                                <w:rFonts w:ascii="Palatino Linotype"/>
                                <w:b/>
                                <w:sz w:val="12"/>
                              </w:rPr>
                            </w:pPr>
                            <w:r>
                              <w:rPr>
                                <w:rFonts w:ascii="Palatino Linotype"/>
                                <w:b/>
                                <w:color w:val="FFFFFF"/>
                                <w:spacing w:val="-2"/>
                                <w:sz w:val="12"/>
                              </w:rPr>
                              <w:t>Legend</w:t>
                            </w:r>
                          </w:p>
                        </w:tc>
                      </w:tr>
                      <w:tr w:rsidR="00C31389" w14:paraId="42DD9436" w14:textId="77777777">
                        <w:trPr>
                          <w:trHeight w:val="242"/>
                        </w:trPr>
                        <w:tc>
                          <w:tcPr>
                            <w:tcW w:w="605" w:type="dxa"/>
                            <w:tcBorders>
                              <w:top w:val="single" w:color="DCDDDE" w:sz="4" w:space="0"/>
                              <w:bottom w:val="single" w:color="DCDDDE" w:sz="4" w:space="0"/>
                            </w:tcBorders>
                            <w:shd w:val="clear" w:color="auto" w:fill="68942C"/>
                          </w:tcPr>
                          <w:p w:rsidR="00C31389" w:rsidRDefault="00C31389" w14:paraId="50C388E7" w14:textId="77777777">
                            <w:pPr>
                              <w:pStyle w:val="TableParagraph"/>
                              <w:spacing w:before="0"/>
                              <w:rPr>
                                <w:rFonts w:ascii="Times New Roman"/>
                                <w:sz w:val="16"/>
                              </w:rPr>
                            </w:pPr>
                          </w:p>
                        </w:tc>
                        <w:tc>
                          <w:tcPr>
                            <w:tcW w:w="8778" w:type="dxa"/>
                            <w:gridSpan w:val="9"/>
                            <w:tcBorders>
                              <w:top w:val="single" w:color="DCDDDE" w:sz="4" w:space="0"/>
                              <w:bottom w:val="single" w:color="DCDDDE" w:sz="4" w:space="0"/>
                            </w:tcBorders>
                          </w:tcPr>
                          <w:p w:rsidR="00C31389" w:rsidRDefault="00561FBD" w14:paraId="7867D830" w14:textId="77777777">
                            <w:pPr>
                              <w:pStyle w:val="TableParagraph"/>
                              <w:spacing w:before="54"/>
                              <w:ind w:left="107"/>
                              <w:rPr>
                                <w:sz w:val="12"/>
                              </w:rPr>
                            </w:pPr>
                            <w:r>
                              <w:rPr>
                                <w:sz w:val="12"/>
                              </w:rPr>
                              <w:t>California-specific</w:t>
                            </w:r>
                            <w:r>
                              <w:rPr>
                                <w:spacing w:val="-4"/>
                                <w:sz w:val="12"/>
                              </w:rPr>
                              <w:t xml:space="preserve"> </w:t>
                            </w:r>
                            <w:r>
                              <w:rPr>
                                <w:sz w:val="12"/>
                              </w:rPr>
                              <w:t>program</w:t>
                            </w:r>
                            <w:r>
                              <w:rPr>
                                <w:spacing w:val="-2"/>
                                <w:sz w:val="12"/>
                              </w:rPr>
                              <w:t xml:space="preserve"> </w:t>
                            </w:r>
                            <w:r>
                              <w:rPr>
                                <w:sz w:val="12"/>
                              </w:rPr>
                              <w:t>data</w:t>
                            </w:r>
                            <w:r>
                              <w:rPr>
                                <w:spacing w:val="-4"/>
                                <w:sz w:val="12"/>
                              </w:rPr>
                              <w:t xml:space="preserve"> </w:t>
                            </w:r>
                            <w:r>
                              <w:rPr>
                                <w:sz w:val="12"/>
                              </w:rPr>
                              <w:t>or</w:t>
                            </w:r>
                            <w:r>
                              <w:rPr>
                                <w:spacing w:val="-4"/>
                                <w:sz w:val="12"/>
                              </w:rPr>
                              <w:t xml:space="preserve"> </w:t>
                            </w:r>
                            <w:r>
                              <w:rPr>
                                <w:spacing w:val="-2"/>
                                <w:sz w:val="12"/>
                              </w:rPr>
                              <w:t>derivatives</w:t>
                            </w:r>
                          </w:p>
                        </w:tc>
                      </w:tr>
                      <w:tr w:rsidR="00C31389" w14:paraId="123A7BB5" w14:textId="77777777">
                        <w:trPr>
                          <w:trHeight w:val="242"/>
                        </w:trPr>
                        <w:tc>
                          <w:tcPr>
                            <w:tcW w:w="605" w:type="dxa"/>
                            <w:tcBorders>
                              <w:top w:val="single" w:color="DCDDDE" w:sz="4" w:space="0"/>
                              <w:bottom w:val="single" w:color="DCDDDE" w:sz="4" w:space="0"/>
                            </w:tcBorders>
                            <w:shd w:val="clear" w:color="auto" w:fill="F9DC33"/>
                          </w:tcPr>
                          <w:p w:rsidR="00C31389" w:rsidRDefault="00C31389" w14:paraId="498BAF50" w14:textId="77777777">
                            <w:pPr>
                              <w:pStyle w:val="TableParagraph"/>
                              <w:spacing w:before="0"/>
                              <w:rPr>
                                <w:rFonts w:ascii="Times New Roman"/>
                                <w:sz w:val="16"/>
                              </w:rPr>
                            </w:pPr>
                          </w:p>
                        </w:tc>
                        <w:tc>
                          <w:tcPr>
                            <w:tcW w:w="8778" w:type="dxa"/>
                            <w:gridSpan w:val="9"/>
                            <w:tcBorders>
                              <w:top w:val="single" w:color="DCDDDE" w:sz="4" w:space="0"/>
                              <w:bottom w:val="single" w:color="DCDDDE" w:sz="4" w:space="0"/>
                            </w:tcBorders>
                          </w:tcPr>
                          <w:p w:rsidR="00C31389" w:rsidRDefault="00561FBD" w14:paraId="0ED165C9" w14:textId="77777777">
                            <w:pPr>
                              <w:pStyle w:val="TableParagraph"/>
                              <w:spacing w:before="53"/>
                              <w:ind w:left="107"/>
                              <w:rPr>
                                <w:sz w:val="12"/>
                              </w:rPr>
                            </w:pPr>
                            <w:r>
                              <w:rPr>
                                <w:sz w:val="12"/>
                              </w:rPr>
                              <w:t>Aggregated</w:t>
                            </w:r>
                            <w:r>
                              <w:rPr>
                                <w:spacing w:val="-3"/>
                                <w:sz w:val="12"/>
                              </w:rPr>
                              <w:t xml:space="preserve"> </w:t>
                            </w:r>
                            <w:r>
                              <w:rPr>
                                <w:sz w:val="12"/>
                              </w:rPr>
                              <w:t>reports</w:t>
                            </w:r>
                            <w:r>
                              <w:rPr>
                                <w:spacing w:val="-3"/>
                                <w:sz w:val="12"/>
                              </w:rPr>
                              <w:t xml:space="preserve"> </w:t>
                            </w:r>
                            <w:r>
                              <w:rPr>
                                <w:sz w:val="12"/>
                              </w:rPr>
                              <w:t>or</w:t>
                            </w:r>
                            <w:r>
                              <w:rPr>
                                <w:spacing w:val="-4"/>
                                <w:sz w:val="12"/>
                              </w:rPr>
                              <w:t xml:space="preserve"> </w:t>
                            </w:r>
                            <w:r>
                              <w:rPr>
                                <w:sz w:val="12"/>
                              </w:rPr>
                              <w:t>non-verified</w:t>
                            </w:r>
                            <w:r>
                              <w:rPr>
                                <w:spacing w:val="-2"/>
                                <w:sz w:val="12"/>
                              </w:rPr>
                              <w:t xml:space="preserve"> </w:t>
                            </w:r>
                            <w:r>
                              <w:rPr>
                                <w:sz w:val="12"/>
                              </w:rPr>
                              <w:t>savings</w:t>
                            </w:r>
                            <w:r>
                              <w:rPr>
                                <w:spacing w:val="-2"/>
                                <w:sz w:val="12"/>
                              </w:rPr>
                              <w:t xml:space="preserve"> </w:t>
                            </w:r>
                            <w:r>
                              <w:rPr>
                                <w:sz w:val="12"/>
                              </w:rPr>
                              <w:t>reported</w:t>
                            </w:r>
                            <w:r>
                              <w:rPr>
                                <w:spacing w:val="-4"/>
                                <w:sz w:val="12"/>
                              </w:rPr>
                              <w:t xml:space="preserve"> </w:t>
                            </w:r>
                            <w:r>
                              <w:rPr>
                                <w:sz w:val="12"/>
                              </w:rPr>
                              <w:t>by</w:t>
                            </w:r>
                            <w:r>
                              <w:rPr>
                                <w:spacing w:val="-3"/>
                                <w:sz w:val="12"/>
                              </w:rPr>
                              <w:t xml:space="preserve"> </w:t>
                            </w:r>
                            <w:r>
                              <w:rPr>
                                <w:sz w:val="12"/>
                              </w:rPr>
                              <w:t>utilities</w:t>
                            </w:r>
                            <w:r>
                              <w:rPr>
                                <w:spacing w:val="-3"/>
                                <w:sz w:val="12"/>
                              </w:rPr>
                              <w:t xml:space="preserve"> </w:t>
                            </w:r>
                            <w:r>
                              <w:rPr>
                                <w:sz w:val="12"/>
                              </w:rPr>
                              <w:t>outside</w:t>
                            </w:r>
                            <w:r>
                              <w:rPr>
                                <w:spacing w:val="-2"/>
                                <w:sz w:val="12"/>
                              </w:rPr>
                              <w:t xml:space="preserve"> </w:t>
                            </w:r>
                            <w:r>
                              <w:rPr>
                                <w:sz w:val="12"/>
                              </w:rPr>
                              <w:t>of</w:t>
                            </w:r>
                            <w:r>
                              <w:rPr>
                                <w:spacing w:val="-2"/>
                                <w:sz w:val="12"/>
                              </w:rPr>
                              <w:t xml:space="preserve"> California</w:t>
                            </w:r>
                          </w:p>
                        </w:tc>
                      </w:tr>
                      <w:tr w:rsidR="00C31389" w14:paraId="66B96FFE" w14:textId="77777777">
                        <w:trPr>
                          <w:trHeight w:val="241"/>
                        </w:trPr>
                        <w:tc>
                          <w:tcPr>
                            <w:tcW w:w="605" w:type="dxa"/>
                            <w:tcBorders>
                              <w:top w:val="single" w:color="DCDDDE" w:sz="4" w:space="0"/>
                              <w:bottom w:val="single" w:color="DCDDDE" w:sz="4" w:space="0"/>
                            </w:tcBorders>
                            <w:shd w:val="clear" w:color="auto" w:fill="FF7713"/>
                          </w:tcPr>
                          <w:p w:rsidR="00C31389" w:rsidRDefault="00C31389" w14:paraId="68A87E42" w14:textId="77777777">
                            <w:pPr>
                              <w:pStyle w:val="TableParagraph"/>
                              <w:spacing w:before="0"/>
                              <w:rPr>
                                <w:rFonts w:ascii="Times New Roman"/>
                                <w:sz w:val="16"/>
                              </w:rPr>
                            </w:pPr>
                          </w:p>
                        </w:tc>
                        <w:tc>
                          <w:tcPr>
                            <w:tcW w:w="8778" w:type="dxa"/>
                            <w:gridSpan w:val="9"/>
                            <w:tcBorders>
                              <w:top w:val="single" w:color="DCDDDE" w:sz="4" w:space="0"/>
                              <w:bottom w:val="single" w:color="DCDDDE" w:sz="4" w:space="0"/>
                            </w:tcBorders>
                          </w:tcPr>
                          <w:p w:rsidR="00C31389" w:rsidRDefault="00561FBD" w14:paraId="230089F6" w14:textId="77777777">
                            <w:pPr>
                              <w:pStyle w:val="TableParagraph"/>
                              <w:spacing w:before="53"/>
                              <w:ind w:left="107"/>
                              <w:rPr>
                                <w:sz w:val="12"/>
                              </w:rPr>
                            </w:pPr>
                            <w:r>
                              <w:rPr>
                                <w:sz w:val="12"/>
                              </w:rPr>
                              <w:t>Assumed</w:t>
                            </w:r>
                            <w:r>
                              <w:rPr>
                                <w:spacing w:val="-3"/>
                                <w:sz w:val="12"/>
                              </w:rPr>
                              <w:t xml:space="preserve"> </w:t>
                            </w:r>
                            <w:r>
                              <w:rPr>
                                <w:sz w:val="12"/>
                              </w:rPr>
                              <w:t>equivalence</w:t>
                            </w:r>
                            <w:r>
                              <w:rPr>
                                <w:spacing w:val="-3"/>
                                <w:sz w:val="12"/>
                              </w:rPr>
                              <w:t xml:space="preserve"> </w:t>
                            </w:r>
                            <w:r>
                              <w:rPr>
                                <w:sz w:val="12"/>
                              </w:rPr>
                              <w:t>to</w:t>
                            </w:r>
                            <w:r>
                              <w:rPr>
                                <w:spacing w:val="-1"/>
                                <w:sz w:val="12"/>
                              </w:rPr>
                              <w:t xml:space="preserve"> </w:t>
                            </w:r>
                            <w:r>
                              <w:rPr>
                                <w:sz w:val="12"/>
                              </w:rPr>
                              <w:t>similar</w:t>
                            </w:r>
                            <w:r>
                              <w:rPr>
                                <w:spacing w:val="-4"/>
                                <w:sz w:val="12"/>
                              </w:rPr>
                              <w:t xml:space="preserve"> </w:t>
                            </w:r>
                            <w:r>
                              <w:rPr>
                                <w:sz w:val="12"/>
                              </w:rPr>
                              <w:t>programs</w:t>
                            </w:r>
                            <w:r>
                              <w:rPr>
                                <w:spacing w:val="-2"/>
                                <w:sz w:val="12"/>
                              </w:rPr>
                              <w:t xml:space="preserve"> </w:t>
                            </w:r>
                            <w:r>
                              <w:rPr>
                                <w:sz w:val="12"/>
                              </w:rPr>
                              <w:t>or</w:t>
                            </w:r>
                            <w:r>
                              <w:rPr>
                                <w:spacing w:val="-3"/>
                                <w:sz w:val="12"/>
                              </w:rPr>
                              <w:t xml:space="preserve"> </w:t>
                            </w:r>
                            <w:r>
                              <w:rPr>
                                <w:sz w:val="12"/>
                              </w:rPr>
                              <w:t>other</w:t>
                            </w:r>
                            <w:r>
                              <w:rPr>
                                <w:spacing w:val="-4"/>
                                <w:sz w:val="12"/>
                              </w:rPr>
                              <w:t xml:space="preserve"> </w:t>
                            </w:r>
                            <w:r>
                              <w:rPr>
                                <w:sz w:val="12"/>
                              </w:rPr>
                              <w:t>forms</w:t>
                            </w:r>
                            <w:r>
                              <w:rPr>
                                <w:spacing w:val="-2"/>
                                <w:sz w:val="12"/>
                              </w:rPr>
                              <w:t xml:space="preserve"> </w:t>
                            </w:r>
                            <w:r>
                              <w:rPr>
                                <w:sz w:val="12"/>
                              </w:rPr>
                              <w:t>of</w:t>
                            </w:r>
                            <w:r>
                              <w:rPr>
                                <w:spacing w:val="-3"/>
                                <w:sz w:val="12"/>
                              </w:rPr>
                              <w:t xml:space="preserve"> </w:t>
                            </w:r>
                            <w:r>
                              <w:rPr>
                                <w:sz w:val="12"/>
                              </w:rPr>
                              <w:t>professional</w:t>
                            </w:r>
                            <w:r>
                              <w:rPr>
                                <w:spacing w:val="-1"/>
                                <w:sz w:val="12"/>
                              </w:rPr>
                              <w:t xml:space="preserve"> </w:t>
                            </w:r>
                            <w:r>
                              <w:rPr>
                                <w:spacing w:val="-2"/>
                                <w:sz w:val="12"/>
                              </w:rPr>
                              <w:t>judgement</w:t>
                            </w:r>
                          </w:p>
                        </w:tc>
                      </w:tr>
                    </w:tbl>
                    <w:p w:rsidR="00C31389" w:rsidRDefault="00C31389" w14:paraId="730A4401" w14:textId="77777777">
                      <w:pPr>
                        <w:pStyle w:val="BodyText"/>
                      </w:pPr>
                    </w:p>
                  </w:txbxContent>
                </v:textbox>
                <w10:wrap anchorx="page"/>
              </v:shape>
            </w:pict>
          </mc:Fallback>
        </mc:AlternateContent>
      </w:r>
      <w:r>
        <w:rPr>
          <w:noProof/>
        </w:rPr>
        <mc:AlternateContent>
          <mc:Choice Requires="wps">
            <w:drawing>
              <wp:anchor distT="0" distB="0" distL="0" distR="0" simplePos="0" relativeHeight="15798784" behindDoc="0" locked="0" layoutInCell="1" allowOverlap="1" wp14:editId="6E80D333" wp14:anchorId="68931B07">
                <wp:simplePos x="0" y="0"/>
                <wp:positionH relativeFrom="page">
                  <wp:posOffset>2743200</wp:posOffset>
                </wp:positionH>
                <wp:positionV relativeFrom="paragraph">
                  <wp:posOffset>215492</wp:posOffset>
                </wp:positionV>
                <wp:extent cx="1085850" cy="1905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9050"/>
                        </a:xfrm>
                        <a:custGeom>
                          <a:avLst/>
                          <a:gdLst/>
                          <a:ahLst/>
                          <a:cxnLst/>
                          <a:rect l="l" t="t" r="r" b="b"/>
                          <a:pathLst>
                            <a:path w="1085850" h="19050">
                              <a:moveTo>
                                <a:pt x="1085850" y="0"/>
                              </a:moveTo>
                              <a:lnTo>
                                <a:pt x="1085850" y="0"/>
                              </a:lnTo>
                              <a:lnTo>
                                <a:pt x="0" y="0"/>
                              </a:lnTo>
                              <a:lnTo>
                                <a:pt x="0" y="19050"/>
                              </a:lnTo>
                              <a:lnTo>
                                <a:pt x="1085850" y="19050"/>
                              </a:lnTo>
                              <a:lnTo>
                                <a:pt x="1085850" y="0"/>
                              </a:lnTo>
                              <a:close/>
                            </a:path>
                          </a:pathLst>
                        </a:custGeom>
                        <a:solidFill>
                          <a:srgbClr val="94D500"/>
                        </a:solidFill>
                      </wps:spPr>
                      <wps:bodyPr wrap="square" lIns="0" tIns="0" rIns="0" bIns="0" rtlCol="0">
                        <a:prstTxWarp prst="textNoShape">
                          <a:avLst/>
                        </a:prstTxWarp>
                        <a:noAutofit/>
                      </wps:bodyPr>
                    </wps:wsp>
                  </a:graphicData>
                </a:graphic>
              </wp:anchor>
            </w:drawing>
          </mc:Choice>
          <mc:Fallback>
            <w:pict>
              <v:shape id="Graphic 423" style="position:absolute;margin-left:3in;margin-top:16.95pt;width:85.5pt;height:1.5pt;z-index:15798784;visibility:visible;mso-wrap-style:square;mso-wrap-distance-left:0;mso-wrap-distance-top:0;mso-wrap-distance-right:0;mso-wrap-distance-bottom:0;mso-position-horizontal:absolute;mso-position-horizontal-relative:page;mso-position-vertical:absolute;mso-position-vertical-relative:text;v-text-anchor:top" coordsize="1085850,19050" o:spid="_x0000_s1026" fillcolor="#94d500" stroked="f" path="m1085850,r,l,,,19050r1085850,l10858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" w14:anchorId="371215A5">
                <v:path arrowok="t"/>
                <w10:wrap anchorx="page"/>
              </v:shape>
            </w:pict>
          </mc:Fallback>
        </mc:AlternateContent>
      </w:r>
      <w:r>
        <w:rPr>
          <w:b/>
          <w:color w:val="FFFFFF"/>
          <w:spacing w:val="-2"/>
          <w:sz w:val="12"/>
        </w:rPr>
        <w:t>Savings</w:t>
      </w:r>
    </w:p>
    <w:p w:rsidR="00C31389" w:rsidRDefault="00561FBD" w14:paraId="1F84C235" w14:textId="77777777">
      <w:pPr>
        <w:pStyle w:val="BodyText"/>
        <w:spacing w:before="4"/>
        <w:rPr>
          <w:b/>
          <w:sz w:val="29"/>
        </w:rPr>
      </w:pPr>
      <w:r>
        <w:rPr>
          <w:noProof/>
        </w:rPr>
        <mc:AlternateContent>
          <mc:Choice Requires="wps">
            <w:drawing>
              <wp:anchor distT="0" distB="0" distL="0" distR="0" simplePos="0" relativeHeight="487655936" behindDoc="1" locked="0" layoutInCell="1" allowOverlap="1" wp14:editId="4E62F14D" wp14:anchorId="5F334ECD">
                <wp:simplePos x="0" y="0"/>
                <wp:positionH relativeFrom="page">
                  <wp:posOffset>6510106</wp:posOffset>
                </wp:positionH>
                <wp:positionV relativeFrom="paragraph">
                  <wp:posOffset>229775</wp:posOffset>
                </wp:positionV>
                <wp:extent cx="86995" cy="61594"/>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61594"/>
                        </a:xfrm>
                        <a:custGeom>
                          <a:avLst/>
                          <a:gdLst/>
                          <a:ahLst/>
                          <a:cxnLst/>
                          <a:rect l="l" t="t" r="r" b="b"/>
                          <a:pathLst>
                            <a:path w="86995" h="61594">
                              <a:moveTo>
                                <a:pt x="30721" y="61151"/>
                              </a:moveTo>
                              <a:lnTo>
                                <a:pt x="0" y="29491"/>
                              </a:lnTo>
                              <a:lnTo>
                                <a:pt x="7985" y="21858"/>
                              </a:lnTo>
                              <a:lnTo>
                                <a:pt x="31096" y="45605"/>
                              </a:lnTo>
                              <a:lnTo>
                                <a:pt x="79196" y="0"/>
                              </a:lnTo>
                              <a:lnTo>
                                <a:pt x="86806" y="7915"/>
                              </a:lnTo>
                              <a:lnTo>
                                <a:pt x="38801" y="53613"/>
                              </a:lnTo>
                              <a:lnTo>
                                <a:pt x="30721" y="611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24" style="position:absolute;margin-left:512.6pt;margin-top:18.1pt;width:6.85pt;height:4.85pt;z-index:-15660544;visibility:visible;mso-wrap-style:square;mso-wrap-distance-left:0;mso-wrap-distance-top:0;mso-wrap-distance-right:0;mso-wrap-distance-bottom:0;mso-position-horizontal:absolute;mso-position-horizontal-relative:page;mso-position-vertical:absolute;mso-position-vertical-relative:text;v-text-anchor:top" coordsize="86995,61594" o:spid="_x0000_s1026" fillcolor="black" stroked="f" path="m30721,61151l,29491,7985,21858,31096,45605,79196,r7610,7915l38801,53613r-8080,75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" w14:anchorId="45F4D7C2">
                <v:path arrowok="t"/>
                <w10:wrap type="topAndBottom" anchorx="page"/>
              </v:shape>
            </w:pict>
          </mc:Fallback>
        </mc:AlternateContent>
      </w:r>
    </w:p>
    <w:p w:rsidR="00C31389" w:rsidRDefault="00C31389" w14:paraId="431B2DB7" w14:textId="77777777">
      <w:pPr>
        <w:pStyle w:val="BodyText"/>
        <w:rPr>
          <w:b/>
          <w:sz w:val="12"/>
        </w:rPr>
      </w:pPr>
    </w:p>
    <w:p w:rsidR="00C31389" w:rsidRDefault="00C31389" w14:paraId="04B5A3BF" w14:textId="77777777">
      <w:pPr>
        <w:pStyle w:val="BodyText"/>
        <w:rPr>
          <w:b/>
          <w:sz w:val="12"/>
        </w:rPr>
      </w:pPr>
    </w:p>
    <w:p w:rsidR="00C31389" w:rsidRDefault="00C31389" w14:paraId="475776D5" w14:textId="77777777">
      <w:pPr>
        <w:pStyle w:val="BodyText"/>
        <w:rPr>
          <w:b/>
          <w:sz w:val="12"/>
        </w:rPr>
      </w:pPr>
    </w:p>
    <w:p w:rsidR="00C31389" w:rsidRDefault="00C31389" w14:paraId="017695CF" w14:textId="77777777">
      <w:pPr>
        <w:pStyle w:val="BodyText"/>
        <w:rPr>
          <w:b/>
          <w:sz w:val="12"/>
        </w:rPr>
      </w:pPr>
    </w:p>
    <w:p w:rsidR="00C31389" w:rsidRDefault="00C31389" w14:paraId="3D5DE42A" w14:textId="77777777">
      <w:pPr>
        <w:pStyle w:val="BodyText"/>
        <w:rPr>
          <w:b/>
          <w:sz w:val="12"/>
        </w:rPr>
      </w:pPr>
    </w:p>
    <w:p w:rsidR="00C31389" w:rsidRDefault="00C31389" w14:paraId="5607016A" w14:textId="77777777">
      <w:pPr>
        <w:pStyle w:val="BodyText"/>
        <w:rPr>
          <w:b/>
          <w:sz w:val="12"/>
        </w:rPr>
      </w:pPr>
    </w:p>
    <w:p w:rsidR="00C31389" w:rsidRDefault="00C31389" w14:paraId="65CE22DC" w14:textId="77777777">
      <w:pPr>
        <w:pStyle w:val="BodyText"/>
        <w:rPr>
          <w:b/>
          <w:sz w:val="12"/>
        </w:rPr>
      </w:pPr>
    </w:p>
    <w:p w:rsidR="00C31389" w:rsidRDefault="00C31389" w14:paraId="301C4C95" w14:textId="77777777">
      <w:pPr>
        <w:pStyle w:val="BodyText"/>
        <w:rPr>
          <w:b/>
          <w:sz w:val="12"/>
        </w:rPr>
      </w:pPr>
    </w:p>
    <w:p w:rsidR="00C31389" w:rsidRDefault="00C31389" w14:paraId="48B2B0DE" w14:textId="77777777">
      <w:pPr>
        <w:pStyle w:val="BodyText"/>
        <w:rPr>
          <w:b/>
          <w:sz w:val="12"/>
        </w:rPr>
      </w:pPr>
    </w:p>
    <w:p w:rsidR="00C31389" w:rsidRDefault="00C31389" w14:paraId="0A380C18" w14:textId="77777777">
      <w:pPr>
        <w:pStyle w:val="BodyText"/>
        <w:rPr>
          <w:b/>
          <w:sz w:val="12"/>
        </w:rPr>
      </w:pPr>
    </w:p>
    <w:p w:rsidR="00C31389" w:rsidRDefault="00C31389" w14:paraId="2334A739" w14:textId="77777777">
      <w:pPr>
        <w:pStyle w:val="BodyText"/>
        <w:rPr>
          <w:b/>
          <w:sz w:val="12"/>
        </w:rPr>
      </w:pPr>
    </w:p>
    <w:p w:rsidR="00C31389" w:rsidRDefault="00C31389" w14:paraId="35FFF985" w14:textId="77777777">
      <w:pPr>
        <w:pStyle w:val="BodyText"/>
        <w:rPr>
          <w:b/>
          <w:sz w:val="12"/>
        </w:rPr>
      </w:pPr>
    </w:p>
    <w:p w:rsidR="00C31389" w:rsidRDefault="00C31389" w14:paraId="3814258E" w14:textId="77777777">
      <w:pPr>
        <w:pStyle w:val="BodyText"/>
        <w:rPr>
          <w:b/>
          <w:sz w:val="12"/>
        </w:rPr>
      </w:pPr>
    </w:p>
    <w:p w:rsidR="00C31389" w:rsidRDefault="00C31389" w14:paraId="77F181F0" w14:textId="77777777">
      <w:pPr>
        <w:pStyle w:val="BodyText"/>
        <w:rPr>
          <w:b/>
          <w:sz w:val="12"/>
        </w:rPr>
      </w:pPr>
    </w:p>
    <w:p w:rsidR="00C31389" w:rsidRDefault="00C31389" w14:paraId="0712CDBA" w14:textId="77777777">
      <w:pPr>
        <w:pStyle w:val="BodyText"/>
        <w:rPr>
          <w:b/>
          <w:sz w:val="12"/>
        </w:rPr>
      </w:pPr>
    </w:p>
    <w:p w:rsidR="00C31389" w:rsidRDefault="00C31389" w14:paraId="776AFDA8" w14:textId="77777777">
      <w:pPr>
        <w:pStyle w:val="BodyText"/>
        <w:rPr>
          <w:b/>
          <w:sz w:val="12"/>
        </w:rPr>
      </w:pPr>
    </w:p>
    <w:p w:rsidR="00C31389" w:rsidRDefault="00C31389" w14:paraId="5E9212DC" w14:textId="77777777">
      <w:pPr>
        <w:pStyle w:val="BodyText"/>
        <w:rPr>
          <w:b/>
          <w:sz w:val="12"/>
        </w:rPr>
      </w:pPr>
    </w:p>
    <w:p w:rsidR="00C31389" w:rsidRDefault="00C31389" w14:paraId="24EA7371" w14:textId="77777777">
      <w:pPr>
        <w:pStyle w:val="BodyText"/>
        <w:rPr>
          <w:b/>
          <w:sz w:val="12"/>
        </w:rPr>
      </w:pPr>
    </w:p>
    <w:p w:rsidR="00C31389" w:rsidRDefault="00C31389" w14:paraId="515B70A5" w14:textId="77777777">
      <w:pPr>
        <w:pStyle w:val="BodyText"/>
        <w:rPr>
          <w:b/>
          <w:sz w:val="12"/>
        </w:rPr>
      </w:pPr>
    </w:p>
    <w:p w:rsidR="00C31389" w:rsidRDefault="00C31389" w14:paraId="3BFD456E" w14:textId="77777777">
      <w:pPr>
        <w:pStyle w:val="BodyText"/>
        <w:rPr>
          <w:b/>
          <w:sz w:val="12"/>
        </w:rPr>
      </w:pPr>
    </w:p>
    <w:p w:rsidR="00C31389" w:rsidRDefault="00C31389" w14:paraId="7E5D5E7B" w14:textId="77777777">
      <w:pPr>
        <w:pStyle w:val="BodyText"/>
        <w:rPr>
          <w:b/>
          <w:sz w:val="12"/>
        </w:rPr>
      </w:pPr>
    </w:p>
    <w:p w:rsidR="00C31389" w:rsidRDefault="00C31389" w14:paraId="5EFE8680" w14:textId="77777777">
      <w:pPr>
        <w:pStyle w:val="BodyText"/>
        <w:rPr>
          <w:b/>
          <w:sz w:val="12"/>
        </w:rPr>
      </w:pPr>
    </w:p>
    <w:p w:rsidR="00C31389" w:rsidRDefault="00C31389" w14:paraId="657AB30A" w14:textId="77777777">
      <w:pPr>
        <w:pStyle w:val="BodyText"/>
        <w:rPr>
          <w:b/>
          <w:sz w:val="12"/>
        </w:rPr>
      </w:pPr>
    </w:p>
    <w:p w:rsidR="00C31389" w:rsidRDefault="00C31389" w14:paraId="2F337EF8" w14:textId="77777777">
      <w:pPr>
        <w:pStyle w:val="BodyText"/>
        <w:rPr>
          <w:b/>
          <w:sz w:val="12"/>
        </w:rPr>
      </w:pPr>
    </w:p>
    <w:p w:rsidR="00C31389" w:rsidRDefault="00C31389" w14:paraId="659ABEFE" w14:textId="77777777">
      <w:pPr>
        <w:pStyle w:val="BodyText"/>
        <w:rPr>
          <w:b/>
          <w:sz w:val="12"/>
        </w:rPr>
      </w:pPr>
    </w:p>
    <w:p w:rsidR="00C31389" w:rsidRDefault="00C31389" w14:paraId="7C9DFA60" w14:textId="77777777">
      <w:pPr>
        <w:pStyle w:val="BodyText"/>
        <w:rPr>
          <w:b/>
          <w:sz w:val="12"/>
        </w:rPr>
      </w:pPr>
    </w:p>
    <w:p w:rsidR="00C31389" w:rsidRDefault="00C31389" w14:paraId="539B287D" w14:textId="77777777">
      <w:pPr>
        <w:pStyle w:val="BodyText"/>
        <w:rPr>
          <w:b/>
          <w:sz w:val="12"/>
        </w:rPr>
      </w:pPr>
    </w:p>
    <w:p w:rsidR="00C31389" w:rsidRDefault="00C31389" w14:paraId="026D27BE" w14:textId="77777777">
      <w:pPr>
        <w:pStyle w:val="BodyText"/>
        <w:spacing w:before="11"/>
        <w:rPr>
          <w:b/>
          <w:sz w:val="12"/>
        </w:rPr>
      </w:pPr>
    </w:p>
    <w:p w:rsidR="00C31389" w:rsidRDefault="00561FBD" w14:paraId="309A5FD1" w14:textId="77777777">
      <w:pPr>
        <w:ind w:left="1178"/>
        <w:rPr>
          <w:sz w:val="12"/>
        </w:rPr>
      </w:pPr>
      <w:r>
        <w:rPr>
          <w:noProof/>
        </w:rPr>
        <mc:AlternateContent>
          <mc:Choice Requires="wps">
            <w:drawing>
              <wp:anchor distT="0" distB="0" distL="0" distR="0" simplePos="0" relativeHeight="487656448" behindDoc="1" locked="0" layoutInCell="1" allowOverlap="1" wp14:editId="7BB1A690" wp14:anchorId="44D00737">
                <wp:simplePos x="0" y="0"/>
                <wp:positionH relativeFrom="page">
                  <wp:posOffset>905256</wp:posOffset>
                </wp:positionH>
                <wp:positionV relativeFrom="paragraph">
                  <wp:posOffset>121004</wp:posOffset>
                </wp:positionV>
                <wp:extent cx="5953125" cy="1270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387083" y="0"/>
                              </a:moveTo>
                              <a:lnTo>
                                <a:pt x="384048" y="0"/>
                              </a:lnTo>
                              <a:lnTo>
                                <a:pt x="374904" y="0"/>
                              </a:lnTo>
                              <a:lnTo>
                                <a:pt x="0" y="0"/>
                              </a:lnTo>
                              <a:lnTo>
                                <a:pt x="0" y="12192"/>
                              </a:lnTo>
                              <a:lnTo>
                                <a:pt x="374904" y="12192"/>
                              </a:lnTo>
                              <a:lnTo>
                                <a:pt x="384048" y="12192"/>
                              </a:lnTo>
                              <a:lnTo>
                                <a:pt x="387083" y="12192"/>
                              </a:lnTo>
                              <a:lnTo>
                                <a:pt x="387083" y="0"/>
                              </a:lnTo>
                              <a:close/>
                            </a:path>
                            <a:path w="5953125" h="12700">
                              <a:moveTo>
                                <a:pt x="5952744" y="0"/>
                              </a:moveTo>
                              <a:lnTo>
                                <a:pt x="387096" y="0"/>
                              </a:lnTo>
                              <a:lnTo>
                                <a:pt x="387096" y="12192"/>
                              </a:lnTo>
                              <a:lnTo>
                                <a:pt x="5952744" y="12192"/>
                              </a:lnTo>
                              <a:lnTo>
                                <a:pt x="5952744" y="0"/>
                              </a:lnTo>
                              <a:close/>
                            </a:path>
                          </a:pathLst>
                        </a:custGeom>
                        <a:solidFill>
                          <a:srgbClr val="545658"/>
                        </a:solidFill>
                      </wps:spPr>
                      <wps:bodyPr wrap="square" lIns="0" tIns="0" rIns="0" bIns="0" rtlCol="0">
                        <a:prstTxWarp prst="textNoShape">
                          <a:avLst/>
                        </a:prstTxWarp>
                        <a:noAutofit/>
                      </wps:bodyPr>
                    </wps:wsp>
                  </a:graphicData>
                </a:graphic>
              </wp:anchor>
            </w:drawing>
          </mc:Choice>
          <mc:Fallback>
            <w:pict>
              <v:shape id="Graphic 425" style="position:absolute;margin-left:71.3pt;margin-top:9.55pt;width:468.75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5953125,12700" o:spid="_x0000_s1026" fillcolor="#545658" stroked="f" path="m387083,r-3035,l374904,,,,,12192r374904,l384048,12192r3035,l387083,xem5952744,l387096,r,12192l5952744,12192r,-121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" w14:anchorId="262C05D4">
                <v:path arrowok="t"/>
                <w10:wrap type="topAndBottom" anchorx="page"/>
              </v:shape>
            </w:pict>
          </mc:Fallback>
        </mc:AlternateContent>
      </w:r>
      <w:r>
        <w:rPr>
          <w:noProof/>
        </w:rPr>
        <mc:AlternateContent>
          <mc:Choice Requires="wps">
            <w:drawing>
              <wp:anchor distT="0" distB="0" distL="0" distR="0" simplePos="0" relativeHeight="15797760" behindDoc="0" locked="0" layoutInCell="1" allowOverlap="1" wp14:editId="37F11C4A" wp14:anchorId="694FDD7E">
                <wp:simplePos x="0" y="0"/>
                <wp:positionH relativeFrom="page">
                  <wp:posOffset>1056726</wp:posOffset>
                </wp:positionH>
                <wp:positionV relativeFrom="paragraph">
                  <wp:posOffset>15329</wp:posOffset>
                </wp:positionV>
                <wp:extent cx="86995" cy="61594"/>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61594"/>
                        </a:xfrm>
                        <a:custGeom>
                          <a:avLst/>
                          <a:gdLst/>
                          <a:ahLst/>
                          <a:cxnLst/>
                          <a:rect l="l" t="t" r="r" b="b"/>
                          <a:pathLst>
                            <a:path w="86995" h="61594">
                              <a:moveTo>
                                <a:pt x="30721" y="61152"/>
                              </a:moveTo>
                              <a:lnTo>
                                <a:pt x="0" y="29492"/>
                              </a:lnTo>
                              <a:lnTo>
                                <a:pt x="7985" y="21861"/>
                              </a:lnTo>
                              <a:lnTo>
                                <a:pt x="31095" y="45605"/>
                              </a:lnTo>
                              <a:lnTo>
                                <a:pt x="79195" y="0"/>
                              </a:lnTo>
                              <a:lnTo>
                                <a:pt x="86805" y="7915"/>
                              </a:lnTo>
                              <a:lnTo>
                                <a:pt x="38800" y="53614"/>
                              </a:lnTo>
                              <a:lnTo>
                                <a:pt x="30721" y="611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26" style="position:absolute;margin-left:83.2pt;margin-top:1.2pt;width:6.85pt;height:4.85pt;z-index:15797760;visibility:visible;mso-wrap-style:square;mso-wrap-distance-left:0;mso-wrap-distance-top:0;mso-wrap-distance-right:0;mso-wrap-distance-bottom:0;mso-position-horizontal:absolute;mso-position-horizontal-relative:page;mso-position-vertical:absolute;mso-position-vertical-relative:text;v-text-anchor:top" coordsize="86995,61594" o:spid="_x0000_s1026" fillcolor="black" stroked="f" path="m30721,61152l,29492,7985,21861,31095,45605,79195,r7610,7915l38800,53614r-8079,75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" w14:anchorId="7F8235FB">
                <v:path arrowok="t"/>
                <w10:wrap anchorx="page"/>
              </v:shape>
            </w:pict>
          </mc:Fallback>
        </mc:AlternateContent>
      </w:r>
      <w:r>
        <w:rPr>
          <w:sz w:val="12"/>
        </w:rPr>
        <w:t>Indicates</w:t>
      </w:r>
      <w:r>
        <w:rPr>
          <w:spacing w:val="-4"/>
          <w:sz w:val="12"/>
        </w:rPr>
        <w:t xml:space="preserve"> </w:t>
      </w:r>
      <w:r>
        <w:rPr>
          <w:sz w:val="12"/>
        </w:rPr>
        <w:t>that</w:t>
      </w:r>
      <w:r>
        <w:rPr>
          <w:spacing w:val="-3"/>
          <w:sz w:val="12"/>
        </w:rPr>
        <w:t xml:space="preserve"> </w:t>
      </w:r>
      <w:r>
        <w:rPr>
          <w:sz w:val="12"/>
        </w:rPr>
        <w:t>this</w:t>
      </w:r>
      <w:r>
        <w:rPr>
          <w:spacing w:val="-1"/>
          <w:sz w:val="12"/>
        </w:rPr>
        <w:t xml:space="preserve"> </w:t>
      </w:r>
      <w:r>
        <w:rPr>
          <w:sz w:val="12"/>
        </w:rPr>
        <w:t>program</w:t>
      </w:r>
      <w:r>
        <w:rPr>
          <w:spacing w:val="-1"/>
          <w:sz w:val="12"/>
        </w:rPr>
        <w:t xml:space="preserve"> </w:t>
      </w:r>
      <w:r>
        <w:rPr>
          <w:sz w:val="12"/>
        </w:rPr>
        <w:t>had</w:t>
      </w:r>
      <w:r>
        <w:rPr>
          <w:spacing w:val="-3"/>
          <w:sz w:val="12"/>
        </w:rPr>
        <w:t xml:space="preserve"> </w:t>
      </w:r>
      <w:r>
        <w:rPr>
          <w:sz w:val="12"/>
        </w:rPr>
        <w:t>major</w:t>
      </w:r>
      <w:r>
        <w:rPr>
          <w:spacing w:val="-2"/>
          <w:sz w:val="12"/>
        </w:rPr>
        <w:t xml:space="preserve"> </w:t>
      </w:r>
      <w:r>
        <w:rPr>
          <w:sz w:val="12"/>
        </w:rPr>
        <w:t>changes</w:t>
      </w:r>
      <w:r>
        <w:rPr>
          <w:spacing w:val="-2"/>
          <w:sz w:val="12"/>
        </w:rPr>
        <w:t xml:space="preserve"> </w:t>
      </w:r>
      <w:r>
        <w:rPr>
          <w:sz w:val="12"/>
        </w:rPr>
        <w:t>to</w:t>
      </w:r>
      <w:r>
        <w:rPr>
          <w:spacing w:val="-2"/>
          <w:sz w:val="12"/>
        </w:rPr>
        <w:t xml:space="preserve"> </w:t>
      </w:r>
      <w:r>
        <w:rPr>
          <w:sz w:val="12"/>
        </w:rPr>
        <w:t>inputs</w:t>
      </w:r>
      <w:r>
        <w:rPr>
          <w:spacing w:val="-2"/>
          <w:sz w:val="12"/>
        </w:rPr>
        <w:t xml:space="preserve"> </w:t>
      </w:r>
      <w:r>
        <w:rPr>
          <w:sz w:val="12"/>
        </w:rPr>
        <w:t>since</w:t>
      </w:r>
      <w:r>
        <w:rPr>
          <w:spacing w:val="-1"/>
          <w:sz w:val="12"/>
        </w:rPr>
        <w:t xml:space="preserve"> </w:t>
      </w:r>
      <w:r>
        <w:rPr>
          <w:sz w:val="12"/>
        </w:rPr>
        <w:t>the</w:t>
      </w:r>
      <w:r>
        <w:rPr>
          <w:spacing w:val="-3"/>
          <w:sz w:val="12"/>
        </w:rPr>
        <w:t xml:space="preserve"> </w:t>
      </w:r>
      <w:r>
        <w:rPr>
          <w:sz w:val="12"/>
        </w:rPr>
        <w:t>2021</w:t>
      </w:r>
      <w:r>
        <w:rPr>
          <w:spacing w:val="-2"/>
          <w:sz w:val="12"/>
        </w:rPr>
        <w:t xml:space="preserve"> </w:t>
      </w:r>
      <w:r>
        <w:rPr>
          <w:sz w:val="12"/>
        </w:rPr>
        <w:t>Potential</w:t>
      </w:r>
      <w:r>
        <w:rPr>
          <w:spacing w:val="-1"/>
          <w:sz w:val="12"/>
        </w:rPr>
        <w:t xml:space="preserve"> </w:t>
      </w:r>
      <w:r>
        <w:rPr>
          <w:sz w:val="12"/>
        </w:rPr>
        <w:t>and</w:t>
      </w:r>
      <w:r>
        <w:rPr>
          <w:spacing w:val="-3"/>
          <w:sz w:val="12"/>
        </w:rPr>
        <w:t xml:space="preserve"> </w:t>
      </w:r>
      <w:r>
        <w:rPr>
          <w:sz w:val="12"/>
        </w:rPr>
        <w:t>Goals</w:t>
      </w:r>
      <w:r>
        <w:rPr>
          <w:spacing w:val="-2"/>
          <w:sz w:val="12"/>
        </w:rPr>
        <w:t xml:space="preserve"> </w:t>
      </w:r>
      <w:r>
        <w:rPr>
          <w:spacing w:val="-4"/>
          <w:sz w:val="12"/>
        </w:rPr>
        <w:t>Study</w:t>
      </w:r>
    </w:p>
    <w:p w:rsidR="00C31389" w:rsidRDefault="00561FBD" w14:paraId="2D5AACD2" w14:textId="77777777">
      <w:pPr>
        <w:spacing w:before="60"/>
        <w:ind w:left="480"/>
        <w:rPr>
          <w:i/>
          <w:sz w:val="18"/>
        </w:rPr>
      </w:pPr>
      <w:r>
        <w:rPr>
          <w:i/>
          <w:sz w:val="18"/>
        </w:rPr>
        <w:t>Source:</w:t>
      </w:r>
      <w:r>
        <w:rPr>
          <w:i/>
          <w:spacing w:val="-4"/>
          <w:sz w:val="18"/>
        </w:rPr>
        <w:t xml:space="preserve"> </w:t>
      </w:r>
      <w:r>
        <w:rPr>
          <w:i/>
          <w:spacing w:val="-2"/>
          <w:sz w:val="18"/>
        </w:rPr>
        <w:t>Guidehouse</w:t>
      </w:r>
    </w:p>
    <w:p w:rsidR="00C31389" w:rsidRDefault="00C31389" w14:paraId="0AA4C13E" w14:textId="77777777">
      <w:pPr>
        <w:rPr>
          <w:sz w:val="18"/>
        </w:rPr>
        <w:sectPr w:rsidR="00C31389">
          <w:pgSz w:w="12240" w:h="15840"/>
          <w:pgMar w:top="1380" w:right="960" w:bottom="1120" w:left="960" w:header="397" w:footer="936" w:gutter="0"/>
          <w:cols w:space="720"/>
        </w:sectPr>
      </w:pPr>
    </w:p>
    <w:p w:rsidR="00C31389" w:rsidRDefault="00C31389" w14:paraId="6D962FE7" w14:textId="77777777">
      <w:pPr>
        <w:pStyle w:val="BodyText"/>
        <w:rPr>
          <w:i/>
        </w:rPr>
      </w:pPr>
    </w:p>
    <w:p w:rsidR="00C31389" w:rsidRDefault="00C31389" w14:paraId="065C2773" w14:textId="77777777">
      <w:pPr>
        <w:pStyle w:val="BodyText"/>
        <w:spacing w:before="1"/>
        <w:rPr>
          <w:i/>
          <w:sz w:val="14"/>
        </w:rPr>
      </w:pPr>
    </w:p>
    <w:p w:rsidR="00C31389" w:rsidRDefault="00561FBD" w14:paraId="18620B0C" w14:textId="77777777">
      <w:pPr>
        <w:pStyle w:val="Heading1"/>
        <w:numPr>
          <w:ilvl w:val="0"/>
          <w:numId w:val="71"/>
        </w:numPr>
        <w:tabs>
          <w:tab w:val="left" w:pos="834"/>
        </w:tabs>
        <w:ind w:left="834" w:hanging="354"/>
      </w:pPr>
      <w:bookmarkStart w:name="4._2023_Study_Results" w:id="254"/>
      <w:bookmarkStart w:name="_bookmark192" w:id="255"/>
      <w:bookmarkEnd w:id="254"/>
      <w:bookmarkEnd w:id="255"/>
      <w:r>
        <w:t>2023</w:t>
      </w:r>
      <w:r>
        <w:rPr>
          <w:spacing w:val="-3"/>
        </w:rPr>
        <w:t xml:space="preserve"> </w:t>
      </w:r>
      <w:r>
        <w:t>Study</w:t>
      </w:r>
      <w:r>
        <w:rPr>
          <w:spacing w:val="-3"/>
        </w:rPr>
        <w:t xml:space="preserve"> </w:t>
      </w:r>
      <w:r>
        <w:rPr>
          <w:spacing w:val="-2"/>
        </w:rPr>
        <w:t>Results</w:t>
      </w:r>
    </w:p>
    <w:p w:rsidR="00C31389" w:rsidRDefault="00561FBD" w14:paraId="044E7B8B" w14:textId="77777777">
      <w:pPr>
        <w:pStyle w:val="BodyText"/>
        <w:spacing w:before="239"/>
        <w:ind w:left="480" w:right="418"/>
      </w:pPr>
      <w:r>
        <w:t>Policymakers have used the results of past potential studies as a technical foundation to set savings</w:t>
      </w:r>
      <w:r>
        <w:rPr>
          <w:spacing w:val="-3"/>
        </w:rPr>
        <w:t xml:space="preserve"> </w:t>
      </w:r>
      <w:r>
        <w:t>goals</w:t>
      </w:r>
      <w:r>
        <w:rPr>
          <w:spacing w:val="-2"/>
        </w:rPr>
        <w:t xml:space="preserve"> </w:t>
      </w:r>
      <w:r>
        <w:t>for</w:t>
      </w:r>
      <w:r>
        <w:rPr>
          <w:spacing w:val="-2"/>
        </w:rPr>
        <w:t xml:space="preserve"> </w:t>
      </w:r>
      <w:r>
        <w:t>the</w:t>
      </w:r>
      <w:r>
        <w:rPr>
          <w:spacing w:val="-2"/>
        </w:rPr>
        <w:t xml:space="preserve"> </w:t>
      </w:r>
      <w:r>
        <w:t>next</w:t>
      </w:r>
      <w:r>
        <w:rPr>
          <w:spacing w:val="-2"/>
        </w:rPr>
        <w:t xml:space="preserve"> </w:t>
      </w:r>
      <w:r>
        <w:t>regulatory</w:t>
      </w:r>
      <w:r>
        <w:rPr>
          <w:spacing w:val="-3"/>
        </w:rPr>
        <w:t xml:space="preserve"> </w:t>
      </w:r>
      <w:r>
        <w:t>cycle.</w:t>
      </w:r>
      <w:r>
        <w:rPr>
          <w:spacing w:val="-2"/>
        </w:rPr>
        <w:t xml:space="preserve"> </w:t>
      </w:r>
      <w:r>
        <w:t>The</w:t>
      </w:r>
      <w:r>
        <w:rPr>
          <w:spacing w:val="-2"/>
        </w:rPr>
        <w:t xml:space="preserve"> </w:t>
      </w:r>
      <w:r>
        <w:t>2023</w:t>
      </w:r>
      <w:r>
        <w:rPr>
          <w:spacing w:val="-2"/>
        </w:rPr>
        <w:t xml:space="preserve"> </w:t>
      </w:r>
      <w:r>
        <w:t>Study</w:t>
      </w:r>
      <w:r>
        <w:rPr>
          <w:spacing w:val="-2"/>
        </w:rPr>
        <w:t xml:space="preserve"> </w:t>
      </w:r>
      <w:r>
        <w:t>is</w:t>
      </w:r>
      <w:r>
        <w:rPr>
          <w:spacing w:val="-3"/>
        </w:rPr>
        <w:t xml:space="preserve"> </w:t>
      </w:r>
      <w:r>
        <w:t>the</w:t>
      </w:r>
      <w:r>
        <w:rPr>
          <w:spacing w:val="-2"/>
        </w:rPr>
        <w:t xml:space="preserve"> </w:t>
      </w:r>
      <w:r>
        <w:t>basis</w:t>
      </w:r>
      <w:r>
        <w:rPr>
          <w:spacing w:val="-2"/>
        </w:rPr>
        <w:t xml:space="preserve"> </w:t>
      </w:r>
      <w:r>
        <w:t>for</w:t>
      </w:r>
      <w:r>
        <w:rPr>
          <w:spacing w:val="-2"/>
        </w:rPr>
        <w:t xml:space="preserve"> </w:t>
      </w:r>
      <w:r>
        <w:t>the</w:t>
      </w:r>
      <w:r>
        <w:rPr>
          <w:spacing w:val="-2"/>
        </w:rPr>
        <w:t xml:space="preserve"> </w:t>
      </w:r>
      <w:r>
        <w:t>CPUC’s</w:t>
      </w:r>
      <w:r>
        <w:rPr>
          <w:spacing w:val="-2"/>
        </w:rPr>
        <w:t xml:space="preserve"> </w:t>
      </w:r>
      <w:r>
        <w:t xml:space="preserve">2024 and beyond EE goal setting process. </w:t>
      </w:r>
      <w:hyperlink w:history="1" w:anchor="_bookmark193">
        <w:r>
          <w:t>Tab</w:t>
        </w:r>
        <w:r>
          <w:t>le 4-1</w:t>
        </w:r>
      </w:hyperlink>
      <w:r>
        <w:t xml:space="preserve"> summarizes key findings from this study and the potential implications of each finding.</w:t>
      </w:r>
    </w:p>
    <w:p w:rsidR="00C31389" w:rsidRDefault="00C31389" w14:paraId="51E62F1B" w14:textId="77777777">
      <w:pPr>
        <w:pStyle w:val="BodyText"/>
        <w:rPr>
          <w:sz w:val="21"/>
        </w:rPr>
      </w:pPr>
    </w:p>
    <w:p w:rsidR="00C31389" w:rsidRDefault="00561FBD" w14:paraId="06A9EDB6" w14:textId="77777777">
      <w:pPr>
        <w:pStyle w:val="Heading7"/>
        <w:ind w:left="398" w:right="340"/>
        <w:jc w:val="center"/>
      </w:pPr>
      <w:bookmarkStart w:name="_bookmark193" w:id="256"/>
      <w:bookmarkEnd w:id="256"/>
      <w:r>
        <w:t>Table</w:t>
      </w:r>
      <w:r>
        <w:rPr>
          <w:spacing w:val="-6"/>
        </w:rPr>
        <w:t xml:space="preserve"> </w:t>
      </w:r>
      <w:r>
        <w:t>4-1.</w:t>
      </w:r>
      <w:r>
        <w:rPr>
          <w:spacing w:val="-6"/>
        </w:rPr>
        <w:t xml:space="preserve"> </w:t>
      </w:r>
      <w:r>
        <w:t>2023</w:t>
      </w:r>
      <w:r>
        <w:rPr>
          <w:spacing w:val="-6"/>
        </w:rPr>
        <w:t xml:space="preserve"> </w:t>
      </w:r>
      <w:r>
        <w:t>Study</w:t>
      </w:r>
      <w:r>
        <w:rPr>
          <w:spacing w:val="-6"/>
        </w:rPr>
        <w:t xml:space="preserve"> </w:t>
      </w:r>
      <w:r>
        <w:t>Key</w:t>
      </w:r>
      <w:r>
        <w:rPr>
          <w:spacing w:val="-6"/>
        </w:rPr>
        <w:t xml:space="preserve"> </w:t>
      </w:r>
      <w:r>
        <w:t>Findings</w:t>
      </w:r>
      <w:r>
        <w:rPr>
          <w:spacing w:val="-5"/>
        </w:rPr>
        <w:t xml:space="preserve"> </w:t>
      </w:r>
      <w:r>
        <w:t>and</w:t>
      </w:r>
      <w:r>
        <w:rPr>
          <w:spacing w:val="-6"/>
        </w:rPr>
        <w:t xml:space="preserve"> </w:t>
      </w:r>
      <w:r>
        <w:rPr>
          <w:spacing w:val="-2"/>
        </w:rPr>
        <w:t>Implications</w:t>
      </w:r>
    </w:p>
    <w:p w:rsidR="00C31389" w:rsidRDefault="00C31389" w14:paraId="40111CDC" w14:textId="77777777">
      <w:pPr>
        <w:pStyle w:val="BodyText"/>
        <w:rPr>
          <w:b/>
          <w:sz w:val="10"/>
        </w:rPr>
      </w:pPr>
    </w:p>
    <w:tbl>
      <w:tblPr>
        <w:tblW w:w="0" w:type="auto"/>
        <w:tblInd w:w="480" w:type="dxa"/>
        <w:tblLayout w:type="fixed"/>
        <w:tblCellMar>
          <w:left w:w="0" w:type="dxa"/>
          <w:right w:w="0" w:type="dxa"/>
        </w:tblCellMar>
        <w:tblLook w:val="01E0" w:firstRow="1" w:lastRow="1" w:firstColumn="1" w:lastColumn="1" w:noHBand="0" w:noVBand="0"/>
      </w:tblPr>
      <w:tblGrid>
        <w:gridCol w:w="3604"/>
        <w:gridCol w:w="5429"/>
      </w:tblGrid>
      <w:tr w:rsidR="00C31389" w14:paraId="24284480" w14:textId="77777777">
        <w:trPr>
          <w:trHeight w:val="609"/>
        </w:trPr>
        <w:tc>
          <w:tcPr>
            <w:tcW w:w="3604" w:type="dxa"/>
            <w:shd w:val="clear" w:color="auto" w:fill="92D400"/>
          </w:tcPr>
          <w:p w:rsidR="00C31389" w:rsidRDefault="00561FBD" w14:paraId="6B8CF12C" w14:textId="77777777">
            <w:pPr>
              <w:pStyle w:val="TableParagraph"/>
              <w:spacing w:before="149"/>
              <w:ind w:left="1111"/>
              <w:rPr>
                <w:b/>
                <w:sz w:val="28"/>
              </w:rPr>
            </w:pPr>
            <w:r>
              <w:rPr>
                <w:noProof/>
              </w:rPr>
              <mc:AlternateContent>
                <mc:Choice Requires="wpg">
                  <w:drawing>
                    <wp:anchor distT="0" distB="0" distL="0" distR="0" simplePos="0" relativeHeight="15800320" behindDoc="0" locked="0" layoutInCell="1" allowOverlap="1" wp14:editId="0D9E167B" wp14:anchorId="7516FABD">
                      <wp:simplePos x="0" y="0"/>
                      <wp:positionH relativeFrom="column">
                        <wp:posOffset>112308</wp:posOffset>
                      </wp:positionH>
                      <wp:positionV relativeFrom="paragraph">
                        <wp:posOffset>57021</wp:posOffset>
                      </wp:positionV>
                      <wp:extent cx="271145" cy="27178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271780"/>
                                <a:chOff x="0" y="0"/>
                                <a:chExt cx="271145" cy="271780"/>
                              </a:xfrm>
                            </wpg:grpSpPr>
                            <wps:wsp>
                              <wps:cNvPr id="435" name="Graphic 435"/>
                              <wps:cNvSpPr/>
                              <wps:spPr>
                                <a:xfrm>
                                  <a:off x="0" y="0"/>
                                  <a:ext cx="271145" cy="271780"/>
                                </a:xfrm>
                                <a:custGeom>
                                  <a:avLst/>
                                  <a:gdLst/>
                                  <a:ahLst/>
                                  <a:cxnLst/>
                                  <a:rect l="l" t="t" r="r" b="b"/>
                                  <a:pathLst>
                                    <a:path w="271145" h="271780">
                                      <a:moveTo>
                                        <a:pt x="102749" y="206102"/>
                                      </a:moveTo>
                                      <a:lnTo>
                                        <a:pt x="62660" y="197795"/>
                                      </a:lnTo>
                                      <a:lnTo>
                                        <a:pt x="29925" y="175589"/>
                                      </a:lnTo>
                                      <a:lnTo>
                                        <a:pt x="7914" y="142792"/>
                                      </a:lnTo>
                                      <a:lnTo>
                                        <a:pt x="0" y="102709"/>
                                      </a:lnTo>
                                      <a:lnTo>
                                        <a:pt x="8310" y="62636"/>
                                      </a:lnTo>
                                      <a:lnTo>
                                        <a:pt x="30525" y="29914"/>
                                      </a:lnTo>
                                      <a:lnTo>
                                        <a:pt x="63335" y="7911"/>
                                      </a:lnTo>
                                      <a:lnTo>
                                        <a:pt x="103434" y="0"/>
                                      </a:lnTo>
                                      <a:lnTo>
                                        <a:pt x="143522" y="8313"/>
                                      </a:lnTo>
                                      <a:lnTo>
                                        <a:pt x="162527" y="21226"/>
                                      </a:lnTo>
                                      <a:lnTo>
                                        <a:pt x="103434" y="21226"/>
                                      </a:lnTo>
                                      <a:lnTo>
                                        <a:pt x="71373" y="27661"/>
                                      </a:lnTo>
                                      <a:lnTo>
                                        <a:pt x="45252" y="45234"/>
                                      </a:lnTo>
                                      <a:lnTo>
                                        <a:pt x="27672" y="71345"/>
                                      </a:lnTo>
                                      <a:lnTo>
                                        <a:pt x="21234" y="103393"/>
                                      </a:lnTo>
                                      <a:lnTo>
                                        <a:pt x="27672" y="135442"/>
                                      </a:lnTo>
                                      <a:lnTo>
                                        <a:pt x="45252" y="161552"/>
                                      </a:lnTo>
                                      <a:lnTo>
                                        <a:pt x="71373" y="179125"/>
                                      </a:lnTo>
                                      <a:lnTo>
                                        <a:pt x="103434" y="185561"/>
                                      </a:lnTo>
                                      <a:lnTo>
                                        <a:pt x="164689" y="185561"/>
                                      </a:lnTo>
                                      <a:lnTo>
                                        <a:pt x="151442" y="193970"/>
                                      </a:lnTo>
                                      <a:lnTo>
                                        <a:pt x="135928" y="200625"/>
                                      </a:lnTo>
                                      <a:lnTo>
                                        <a:pt x="119579" y="204712"/>
                                      </a:lnTo>
                                      <a:lnTo>
                                        <a:pt x="102749" y="206102"/>
                                      </a:lnTo>
                                      <a:close/>
                                    </a:path>
                                    <a:path w="271145" h="271780">
                                      <a:moveTo>
                                        <a:pt x="164689" y="185561"/>
                                      </a:moveTo>
                                      <a:lnTo>
                                        <a:pt x="103434" y="185561"/>
                                      </a:lnTo>
                                      <a:lnTo>
                                        <a:pt x="135350" y="179077"/>
                                      </a:lnTo>
                                      <a:lnTo>
                                        <a:pt x="161487" y="161424"/>
                                      </a:lnTo>
                                      <a:lnTo>
                                        <a:pt x="179147" y="135297"/>
                                      </a:lnTo>
                                      <a:lnTo>
                                        <a:pt x="185633" y="103393"/>
                                      </a:lnTo>
                                      <a:lnTo>
                                        <a:pt x="179195" y="71345"/>
                                      </a:lnTo>
                                      <a:lnTo>
                                        <a:pt x="161615" y="45234"/>
                                      </a:lnTo>
                                      <a:lnTo>
                                        <a:pt x="135495" y="27661"/>
                                      </a:lnTo>
                                      <a:lnTo>
                                        <a:pt x="103434" y="21226"/>
                                      </a:lnTo>
                                      <a:lnTo>
                                        <a:pt x="162527" y="21226"/>
                                      </a:lnTo>
                                      <a:lnTo>
                                        <a:pt x="176257" y="30555"/>
                                      </a:lnTo>
                                      <a:lnTo>
                                        <a:pt x="198268" y="63454"/>
                                      </a:lnTo>
                                      <a:lnTo>
                                        <a:pt x="206183" y="103736"/>
                                      </a:lnTo>
                                      <a:lnTo>
                                        <a:pt x="204791" y="120501"/>
                                      </a:lnTo>
                                      <a:lnTo>
                                        <a:pt x="200703" y="136688"/>
                                      </a:lnTo>
                                      <a:lnTo>
                                        <a:pt x="194046" y="151977"/>
                                      </a:lnTo>
                                      <a:lnTo>
                                        <a:pt x="184948" y="166046"/>
                                      </a:lnTo>
                                      <a:lnTo>
                                        <a:pt x="200360" y="181110"/>
                                      </a:lnTo>
                                      <a:lnTo>
                                        <a:pt x="213033" y="181110"/>
                                      </a:lnTo>
                                      <a:lnTo>
                                        <a:pt x="216115" y="182137"/>
                                      </a:lnTo>
                                      <a:lnTo>
                                        <a:pt x="218855" y="184876"/>
                                      </a:lnTo>
                                      <a:lnTo>
                                        <a:pt x="165768" y="184876"/>
                                      </a:lnTo>
                                      <a:lnTo>
                                        <a:pt x="164689" y="185561"/>
                                      </a:lnTo>
                                      <a:close/>
                                    </a:path>
                                    <a:path w="271145" h="271780">
                                      <a:moveTo>
                                        <a:pt x="213033" y="181110"/>
                                      </a:moveTo>
                                      <a:lnTo>
                                        <a:pt x="200360" y="181110"/>
                                      </a:lnTo>
                                      <a:lnTo>
                                        <a:pt x="207895" y="179398"/>
                                      </a:lnTo>
                                      <a:lnTo>
                                        <a:pt x="213033" y="181110"/>
                                      </a:lnTo>
                                      <a:close/>
                                    </a:path>
                                    <a:path w="271145" h="271780">
                                      <a:moveTo>
                                        <a:pt x="247111" y="271237"/>
                                      </a:moveTo>
                                      <a:lnTo>
                                        <a:pt x="187345" y="221509"/>
                                      </a:lnTo>
                                      <a:lnTo>
                                        <a:pt x="179468" y="207814"/>
                                      </a:lnTo>
                                      <a:lnTo>
                                        <a:pt x="180838" y="199940"/>
                                      </a:lnTo>
                                      <a:lnTo>
                                        <a:pt x="165768" y="184876"/>
                                      </a:lnTo>
                                      <a:lnTo>
                                        <a:pt x="218855" y="184876"/>
                                      </a:lnTo>
                                      <a:lnTo>
                                        <a:pt x="264065" y="230410"/>
                                      </a:lnTo>
                                      <a:lnTo>
                                        <a:pt x="269266" y="238306"/>
                                      </a:lnTo>
                                      <a:lnTo>
                                        <a:pt x="271000" y="247357"/>
                                      </a:lnTo>
                                      <a:lnTo>
                                        <a:pt x="269266" y="256409"/>
                                      </a:lnTo>
                                      <a:lnTo>
                                        <a:pt x="264065" y="264304"/>
                                      </a:lnTo>
                                      <a:lnTo>
                                        <a:pt x="256166" y="269504"/>
                                      </a:lnTo>
                                      <a:lnTo>
                                        <a:pt x="247111" y="27123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155" cstate="print"/>
                                <a:stretch>
                                  <a:fillRect/>
                                </a:stretch>
                              </pic:blipFill>
                              <pic:spPr>
                                <a:xfrm>
                                  <a:off x="29797" y="50327"/>
                                  <a:ext cx="147616" cy="108871"/>
                                </a:xfrm>
                                <a:prstGeom prst="rect">
                                  <a:avLst/>
                                </a:prstGeom>
                              </pic:spPr>
                            </pic:pic>
                          </wpg:wgp>
                        </a:graphicData>
                      </a:graphic>
                    </wp:anchor>
                  </w:drawing>
                </mc:Choice>
                <mc:Fallback>
                  <w:pict>
                    <v:group id="Group 434" style="position:absolute;margin-left:8.85pt;margin-top:4.5pt;width:21.35pt;height:21.4pt;z-index:15800320;mso-wrap-distance-left:0;mso-wrap-distance-right:0" coordsize="271145,271780" o:spid="_x0000_s1026" w14:anchorId="30F276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">
                      <v:shape id="Graphic 435" style="position:absolute;width:271145;height:271780;visibility:visible;mso-wrap-style:square;v-text-anchor:top" coordsize="271145,271780" o:spid="_x0000_s1027" fillcolor="black" stroked="f" path="m102749,206102l62660,197795,29925,175589,7914,142792,,102709,8310,62636,30525,29914,63335,7911,103434,r40088,8313l162527,21226r-59093,l71373,27661,45252,45234,27672,71345r-6438,32048l27672,135442r17580,26110l71373,179125r32061,6436l164689,185561r-13247,8409l135928,200625r-16349,4087l102749,206102xem164689,185561r-61255,l135350,179077r26137,-17653l179147,135297r6486,-31904l179195,71345,161615,45234,135495,27661,103434,21226r59093,l176257,30555r22011,32899l206183,103736r-1392,16765l200703,136688r-6657,15289l184948,166046r15412,15064l213033,181110r3082,1027l218855,184876r-53087,l164689,185561xem213033,181110r-12673,l207895,179398r5138,1712xem247111,271237l187345,221509r-7877,-13695l180838,199940,165768,184876r53087,l264065,230410r5201,7896l271000,247357r-1734,9052l264065,264304r-7899,5200l247111,271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">
                        <v:path arrowok="t"/>
                      </v:shape>
                      <v:shape id="Image 436" style="position:absolute;left:29797;top:50327;width:147616;height:1088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">
                        <v:imagedata o:title="" r:id="rId156"/>
                      </v:shape>
                    </v:group>
                  </w:pict>
                </mc:Fallback>
              </mc:AlternateContent>
            </w:r>
            <w:r>
              <w:rPr>
                <w:b/>
                <w:sz w:val="28"/>
              </w:rPr>
              <w:t>Key</w:t>
            </w:r>
            <w:r>
              <w:rPr>
                <w:b/>
                <w:spacing w:val="-7"/>
                <w:sz w:val="28"/>
              </w:rPr>
              <w:t xml:space="preserve"> </w:t>
            </w:r>
            <w:r>
              <w:rPr>
                <w:b/>
                <w:spacing w:val="-2"/>
                <w:sz w:val="28"/>
              </w:rPr>
              <w:t>Finding</w:t>
            </w:r>
          </w:p>
        </w:tc>
        <w:tc>
          <w:tcPr>
            <w:tcW w:w="5429" w:type="dxa"/>
            <w:shd w:val="clear" w:color="auto" w:fill="92D400"/>
          </w:tcPr>
          <w:p w:rsidR="00C31389" w:rsidRDefault="00561FBD" w14:paraId="190D093E" w14:textId="77777777">
            <w:pPr>
              <w:pStyle w:val="TableParagraph"/>
              <w:spacing w:before="88"/>
              <w:ind w:left="190"/>
              <w:rPr>
                <w:b/>
                <w:sz w:val="28"/>
              </w:rPr>
            </w:pPr>
            <w:r>
              <w:rPr>
                <w:noProof/>
                <w:position w:val="-10"/>
              </w:rPr>
              <w:drawing>
                <wp:inline distT="0" distB="0" distL="0" distR="0" wp14:anchorId="04D11CDE" wp14:editId="654D1C41">
                  <wp:extent cx="252697" cy="277542"/>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57" cstate="print"/>
                          <a:stretch>
                            <a:fillRect/>
                          </a:stretch>
                        </pic:blipFill>
                        <pic:spPr>
                          <a:xfrm>
                            <a:off x="0" y="0"/>
                            <a:ext cx="252697" cy="277542"/>
                          </a:xfrm>
                          <a:prstGeom prst="rect">
                            <a:avLst/>
                          </a:prstGeom>
                        </pic:spPr>
                      </pic:pic>
                    </a:graphicData>
                  </a:graphic>
                </wp:inline>
              </w:drawing>
            </w:r>
            <w:r>
              <w:rPr>
                <w:rFonts w:ascii="Times New Roman"/>
                <w:spacing w:val="80"/>
                <w:w w:val="150"/>
                <w:sz w:val="20"/>
              </w:rPr>
              <w:t xml:space="preserve">  </w:t>
            </w:r>
            <w:r>
              <w:rPr>
                <w:b/>
                <w:sz w:val="28"/>
              </w:rPr>
              <w:t>Implication</w:t>
            </w:r>
          </w:p>
        </w:tc>
      </w:tr>
      <w:tr w:rsidR="00C31389" w14:paraId="19D33636" w14:textId="77777777">
        <w:trPr>
          <w:trHeight w:val="1880"/>
        </w:trPr>
        <w:tc>
          <w:tcPr>
            <w:tcW w:w="3604" w:type="dxa"/>
            <w:tcBorders>
              <w:bottom w:val="single" w:color="DCDDDE" w:sz="4" w:space="0"/>
            </w:tcBorders>
          </w:tcPr>
          <w:p w:rsidR="00C31389" w:rsidRDefault="00C31389" w14:paraId="37D8A616" w14:textId="77777777">
            <w:pPr>
              <w:pStyle w:val="TableParagraph"/>
              <w:spacing w:before="6"/>
              <w:rPr>
                <w:b/>
                <w:sz w:val="28"/>
              </w:rPr>
            </w:pPr>
          </w:p>
          <w:p w:rsidR="00C31389" w:rsidRDefault="00561FBD" w14:paraId="0D686DB1" w14:textId="77777777">
            <w:pPr>
              <w:pStyle w:val="TableParagraph"/>
              <w:spacing w:before="0" w:line="264" w:lineRule="auto"/>
              <w:ind w:left="460" w:hanging="360"/>
              <w:rPr>
                <w:b/>
                <w:sz w:val="20"/>
              </w:rPr>
            </w:pPr>
            <w:r>
              <w:rPr>
                <w:b/>
                <w:sz w:val="20"/>
              </w:rPr>
              <w:t>1.</w:t>
            </w:r>
            <w:r>
              <w:rPr>
                <w:b/>
                <w:spacing w:val="80"/>
                <w:w w:val="150"/>
                <w:sz w:val="20"/>
              </w:rPr>
              <w:t xml:space="preserve"> </w:t>
            </w:r>
            <w:r>
              <w:rPr>
                <w:b/>
                <w:sz w:val="20"/>
              </w:rPr>
              <w:t>The</w:t>
            </w:r>
            <w:r>
              <w:rPr>
                <w:b/>
                <w:spacing w:val="-6"/>
                <w:sz w:val="20"/>
              </w:rPr>
              <w:t xml:space="preserve"> </w:t>
            </w:r>
            <w:r>
              <w:rPr>
                <w:b/>
                <w:sz w:val="20"/>
              </w:rPr>
              <w:t>savings</w:t>
            </w:r>
            <w:r>
              <w:rPr>
                <w:b/>
                <w:spacing w:val="-6"/>
                <w:sz w:val="20"/>
              </w:rPr>
              <w:t xml:space="preserve"> </w:t>
            </w:r>
            <w:r>
              <w:rPr>
                <w:b/>
                <w:sz w:val="20"/>
              </w:rPr>
              <w:t>potential</w:t>
            </w:r>
            <w:r>
              <w:rPr>
                <w:b/>
                <w:spacing w:val="-6"/>
                <w:sz w:val="20"/>
              </w:rPr>
              <w:t xml:space="preserve"> </w:t>
            </w:r>
            <w:r>
              <w:rPr>
                <w:b/>
                <w:sz w:val="20"/>
              </w:rPr>
              <w:t>from</w:t>
            </w:r>
            <w:r>
              <w:rPr>
                <w:b/>
                <w:spacing w:val="-5"/>
                <w:sz w:val="20"/>
              </w:rPr>
              <w:t xml:space="preserve"> </w:t>
            </w:r>
            <w:r>
              <w:rPr>
                <w:b/>
                <w:sz w:val="20"/>
              </w:rPr>
              <w:t xml:space="preserve">C&amp;S measures represents a significant portion (46-78%) of the potential highlighted in this </w:t>
            </w:r>
            <w:r>
              <w:rPr>
                <w:b/>
                <w:spacing w:val="-2"/>
                <w:sz w:val="20"/>
              </w:rPr>
              <w:t>study.</w:t>
            </w:r>
          </w:p>
        </w:tc>
        <w:tc>
          <w:tcPr>
            <w:tcW w:w="5429" w:type="dxa"/>
            <w:tcBorders>
              <w:bottom w:val="single" w:color="DCDDDE" w:sz="4" w:space="0"/>
            </w:tcBorders>
          </w:tcPr>
          <w:p w:rsidR="00C31389" w:rsidRDefault="00561FBD" w14:paraId="7A44CEA7" w14:textId="77777777">
            <w:pPr>
              <w:pStyle w:val="TableParagraph"/>
              <w:ind w:left="118"/>
              <w:rPr>
                <w:sz w:val="20"/>
              </w:rPr>
            </w:pPr>
            <w:r>
              <w:rPr>
                <w:sz w:val="20"/>
              </w:rPr>
              <w:t>C&amp;S savings show approximately 2,340 GWh and 56 MMtherms in 2024, a 3% reduction and 43% increase respectively</w:t>
            </w:r>
            <w:r>
              <w:rPr>
                <w:spacing w:val="-4"/>
                <w:sz w:val="20"/>
              </w:rPr>
              <w:t xml:space="preserve"> </w:t>
            </w:r>
            <w:r>
              <w:rPr>
                <w:sz w:val="20"/>
              </w:rPr>
              <w:t>versus</w:t>
            </w:r>
            <w:r>
              <w:rPr>
                <w:spacing w:val="-4"/>
                <w:sz w:val="20"/>
              </w:rPr>
              <w:t xml:space="preserve"> </w:t>
            </w:r>
            <w:r>
              <w:rPr>
                <w:sz w:val="20"/>
              </w:rPr>
              <w:t>the</w:t>
            </w:r>
            <w:r>
              <w:rPr>
                <w:spacing w:val="-5"/>
                <w:sz w:val="20"/>
              </w:rPr>
              <w:t xml:space="preserve"> </w:t>
            </w:r>
            <w:r>
              <w:rPr>
                <w:sz w:val="20"/>
              </w:rPr>
              <w:t>2021</w:t>
            </w:r>
            <w:r>
              <w:rPr>
                <w:spacing w:val="-5"/>
                <w:sz w:val="20"/>
              </w:rPr>
              <w:t xml:space="preserve"> </w:t>
            </w:r>
            <w:r>
              <w:rPr>
                <w:sz w:val="20"/>
              </w:rPr>
              <w:t>Study.</w:t>
            </w:r>
            <w:r>
              <w:rPr>
                <w:spacing w:val="-5"/>
                <w:sz w:val="20"/>
              </w:rPr>
              <w:t xml:space="preserve"> </w:t>
            </w:r>
            <w:r>
              <w:rPr>
                <w:sz w:val="20"/>
              </w:rPr>
              <w:t>C&amp;S</w:t>
            </w:r>
            <w:r>
              <w:rPr>
                <w:spacing w:val="-7"/>
                <w:sz w:val="20"/>
              </w:rPr>
              <w:t xml:space="preserve"> </w:t>
            </w:r>
            <w:r>
              <w:rPr>
                <w:sz w:val="20"/>
              </w:rPr>
              <w:t>accounts</w:t>
            </w:r>
            <w:r>
              <w:rPr>
                <w:spacing w:val="-4"/>
                <w:sz w:val="20"/>
              </w:rPr>
              <w:t xml:space="preserve"> </w:t>
            </w:r>
            <w:r>
              <w:rPr>
                <w:sz w:val="20"/>
              </w:rPr>
              <w:t>for</w:t>
            </w:r>
            <w:r>
              <w:rPr>
                <w:spacing w:val="-6"/>
                <w:sz w:val="20"/>
              </w:rPr>
              <w:t xml:space="preserve"> </w:t>
            </w:r>
            <w:r>
              <w:rPr>
                <w:sz w:val="20"/>
              </w:rPr>
              <w:t>well o</w:t>
            </w:r>
            <w:r>
              <w:rPr>
                <w:sz w:val="20"/>
              </w:rPr>
              <w:t>ver half of EE that eventually feed into the CEC’s IEPR forecast. The primary challenge with C&amp;S forecasting is obtaining reliable data; the industry should seek</w:t>
            </w:r>
          </w:p>
          <w:p w:rsidR="00C31389" w:rsidRDefault="00561FBD" w14:paraId="3CB8D514" w14:textId="77777777">
            <w:pPr>
              <w:pStyle w:val="TableParagraph"/>
              <w:spacing w:before="0" w:line="230" w:lineRule="atLeast"/>
              <w:ind w:left="118" w:hanging="1"/>
              <w:rPr>
                <w:sz w:val="20"/>
              </w:rPr>
            </w:pPr>
            <w:r>
              <w:rPr>
                <w:sz w:val="20"/>
              </w:rPr>
              <w:t>continuous</w:t>
            </w:r>
            <w:r>
              <w:rPr>
                <w:spacing w:val="-6"/>
                <w:sz w:val="20"/>
              </w:rPr>
              <w:t xml:space="preserve"> </w:t>
            </w:r>
            <w:r>
              <w:rPr>
                <w:sz w:val="20"/>
              </w:rPr>
              <w:t>improvement</w:t>
            </w:r>
            <w:r>
              <w:rPr>
                <w:spacing w:val="-7"/>
                <w:sz w:val="20"/>
              </w:rPr>
              <w:t xml:space="preserve"> </w:t>
            </w:r>
            <w:r>
              <w:rPr>
                <w:sz w:val="20"/>
              </w:rPr>
              <w:t>of</w:t>
            </w:r>
            <w:r>
              <w:rPr>
                <w:spacing w:val="-7"/>
                <w:sz w:val="20"/>
              </w:rPr>
              <w:t xml:space="preserve"> </w:t>
            </w:r>
            <w:r>
              <w:rPr>
                <w:sz w:val="20"/>
              </w:rPr>
              <w:t>C&amp;S</w:t>
            </w:r>
            <w:r>
              <w:rPr>
                <w:spacing w:val="-7"/>
                <w:sz w:val="20"/>
              </w:rPr>
              <w:t xml:space="preserve"> </w:t>
            </w:r>
            <w:r>
              <w:rPr>
                <w:sz w:val="20"/>
              </w:rPr>
              <w:t>savings</w:t>
            </w:r>
            <w:r>
              <w:rPr>
                <w:spacing w:val="-6"/>
                <w:sz w:val="20"/>
              </w:rPr>
              <w:t xml:space="preserve"> </w:t>
            </w:r>
            <w:r>
              <w:rPr>
                <w:sz w:val="20"/>
              </w:rPr>
              <w:t>estimates</w:t>
            </w:r>
            <w:r>
              <w:rPr>
                <w:spacing w:val="-7"/>
                <w:sz w:val="20"/>
              </w:rPr>
              <w:t xml:space="preserve"> </w:t>
            </w:r>
            <w:r>
              <w:rPr>
                <w:sz w:val="20"/>
              </w:rPr>
              <w:t>and evaluation practices.</w:t>
            </w:r>
          </w:p>
        </w:tc>
      </w:tr>
      <w:tr w:rsidR="00C31389" w14:paraId="0928FCDF" w14:textId="77777777">
        <w:trPr>
          <w:trHeight w:val="1878"/>
        </w:trPr>
        <w:tc>
          <w:tcPr>
            <w:tcW w:w="3604" w:type="dxa"/>
            <w:tcBorders>
              <w:top w:val="single" w:color="DCDDDE" w:sz="4" w:space="0"/>
              <w:bottom w:val="single" w:color="DCDDDE" w:sz="4" w:space="0"/>
            </w:tcBorders>
          </w:tcPr>
          <w:p w:rsidR="00C31389" w:rsidRDefault="00561FBD" w14:paraId="56D37634" w14:textId="77777777">
            <w:pPr>
              <w:pStyle w:val="TableParagraph"/>
              <w:spacing w:before="75" w:line="264" w:lineRule="auto"/>
              <w:ind w:left="460" w:right="119" w:hanging="360"/>
              <w:rPr>
                <w:b/>
                <w:sz w:val="20"/>
              </w:rPr>
            </w:pPr>
            <w:r>
              <w:rPr>
                <w:b/>
                <w:sz w:val="20"/>
              </w:rPr>
              <w:t>2.</w:t>
            </w:r>
            <w:r>
              <w:rPr>
                <w:b/>
                <w:spacing w:val="80"/>
                <w:w w:val="150"/>
                <w:sz w:val="20"/>
              </w:rPr>
              <w:t xml:space="preserve"> </w:t>
            </w:r>
            <w:r>
              <w:rPr>
                <w:b/>
                <w:sz w:val="20"/>
              </w:rPr>
              <w:t>FS</w:t>
            </w:r>
            <w:r>
              <w:rPr>
                <w:b/>
                <w:spacing w:val="-5"/>
                <w:sz w:val="20"/>
              </w:rPr>
              <w:t xml:space="preserve"> </w:t>
            </w:r>
            <w:r>
              <w:rPr>
                <w:b/>
                <w:sz w:val="20"/>
              </w:rPr>
              <w:t>implementation</w:t>
            </w:r>
            <w:r>
              <w:rPr>
                <w:b/>
                <w:spacing w:val="-4"/>
                <w:sz w:val="20"/>
              </w:rPr>
              <w:t xml:space="preserve"> </w:t>
            </w:r>
            <w:r>
              <w:rPr>
                <w:b/>
                <w:sz w:val="20"/>
              </w:rPr>
              <w:t>remains</w:t>
            </w:r>
            <w:r>
              <w:rPr>
                <w:b/>
                <w:spacing w:val="-4"/>
                <w:sz w:val="20"/>
              </w:rPr>
              <w:t xml:space="preserve"> </w:t>
            </w:r>
            <w:r>
              <w:rPr>
                <w:b/>
                <w:sz w:val="20"/>
              </w:rPr>
              <w:t>in</w:t>
            </w:r>
            <w:r>
              <w:rPr>
                <w:b/>
                <w:spacing w:val="-4"/>
                <w:sz w:val="20"/>
              </w:rPr>
              <w:t xml:space="preserve"> </w:t>
            </w:r>
            <w:r>
              <w:rPr>
                <w:b/>
                <w:sz w:val="20"/>
              </w:rPr>
              <w:t>a relatively early stage; however application of actual historic and</w:t>
            </w:r>
            <w:r>
              <w:rPr>
                <w:b/>
                <w:spacing w:val="-13"/>
                <w:sz w:val="20"/>
              </w:rPr>
              <w:t xml:space="preserve"> </w:t>
            </w:r>
            <w:r>
              <w:rPr>
                <w:b/>
                <w:sz w:val="20"/>
              </w:rPr>
              <w:t>near-term</w:t>
            </w:r>
            <w:r>
              <w:rPr>
                <w:b/>
                <w:spacing w:val="-12"/>
                <w:sz w:val="20"/>
              </w:rPr>
              <w:t xml:space="preserve"> </w:t>
            </w:r>
            <w:r>
              <w:rPr>
                <w:b/>
                <w:sz w:val="20"/>
              </w:rPr>
              <w:t>planned</w:t>
            </w:r>
            <w:r>
              <w:rPr>
                <w:b/>
                <w:spacing w:val="-13"/>
                <w:sz w:val="20"/>
              </w:rPr>
              <w:t xml:space="preserve"> </w:t>
            </w:r>
            <w:r>
              <w:rPr>
                <w:b/>
                <w:sz w:val="20"/>
              </w:rPr>
              <w:t>program activity indicates a lower potential than past study results have shown.</w:t>
            </w:r>
          </w:p>
        </w:tc>
        <w:tc>
          <w:tcPr>
            <w:tcW w:w="5429" w:type="dxa"/>
            <w:tcBorders>
              <w:top w:val="single" w:color="DCDDDE" w:sz="4" w:space="0"/>
              <w:bottom w:val="single" w:color="DCDDDE" w:sz="4" w:space="0"/>
            </w:tcBorders>
          </w:tcPr>
          <w:p w:rsidR="00C31389" w:rsidRDefault="00561FBD" w14:paraId="096A98C3" w14:textId="77777777">
            <w:pPr>
              <w:pStyle w:val="TableParagraph"/>
              <w:ind w:left="118" w:right="173"/>
              <w:rPr>
                <w:sz w:val="20"/>
              </w:rPr>
            </w:pPr>
            <w:r>
              <w:rPr>
                <w:sz w:val="20"/>
              </w:rPr>
              <w:t>The</w:t>
            </w:r>
            <w:r>
              <w:rPr>
                <w:spacing w:val="-1"/>
                <w:sz w:val="20"/>
              </w:rPr>
              <w:t xml:space="preserve"> </w:t>
            </w:r>
            <w:r>
              <w:rPr>
                <w:sz w:val="20"/>
              </w:rPr>
              <w:t>2023</w:t>
            </w:r>
            <w:r>
              <w:rPr>
                <w:spacing w:val="-1"/>
                <w:sz w:val="20"/>
              </w:rPr>
              <w:t xml:space="preserve"> </w:t>
            </w:r>
            <w:r>
              <w:rPr>
                <w:sz w:val="20"/>
              </w:rPr>
              <w:t>Study’s analysis</w:t>
            </w:r>
            <w:r>
              <w:rPr>
                <w:spacing w:val="-2"/>
                <w:sz w:val="20"/>
              </w:rPr>
              <w:t xml:space="preserve"> </w:t>
            </w:r>
            <w:r>
              <w:rPr>
                <w:sz w:val="20"/>
              </w:rPr>
              <w:t>used</w:t>
            </w:r>
            <w:r>
              <w:rPr>
                <w:spacing w:val="-1"/>
                <w:sz w:val="20"/>
              </w:rPr>
              <w:t xml:space="preserve"> </w:t>
            </w:r>
            <w:r>
              <w:rPr>
                <w:sz w:val="20"/>
              </w:rPr>
              <w:t>existing</w:t>
            </w:r>
            <w:r>
              <w:rPr>
                <w:spacing w:val="-2"/>
                <w:sz w:val="20"/>
              </w:rPr>
              <w:t xml:space="preserve"> </w:t>
            </w:r>
            <w:r>
              <w:rPr>
                <w:sz w:val="20"/>
              </w:rPr>
              <w:t>program</w:t>
            </w:r>
            <w:r>
              <w:rPr>
                <w:spacing w:val="-1"/>
                <w:sz w:val="20"/>
              </w:rPr>
              <w:t xml:space="preserve"> </w:t>
            </w:r>
            <w:r>
              <w:rPr>
                <w:sz w:val="20"/>
              </w:rPr>
              <w:t>data</w:t>
            </w:r>
            <w:r>
              <w:rPr>
                <w:spacing w:val="-2"/>
                <w:sz w:val="20"/>
              </w:rPr>
              <w:t xml:space="preserve"> </w:t>
            </w:r>
            <w:r>
              <w:rPr>
                <w:sz w:val="20"/>
              </w:rPr>
              <w:t>for the f</w:t>
            </w:r>
            <w:r>
              <w:rPr>
                <w:sz w:val="20"/>
              </w:rPr>
              <w:t>irst time to quantify the adoption parameters applied FS</w:t>
            </w:r>
            <w:r>
              <w:rPr>
                <w:spacing w:val="-6"/>
                <w:sz w:val="20"/>
              </w:rPr>
              <w:t xml:space="preserve"> </w:t>
            </w:r>
            <w:r>
              <w:rPr>
                <w:sz w:val="20"/>
              </w:rPr>
              <w:t>measure</w:t>
            </w:r>
            <w:r>
              <w:rPr>
                <w:spacing w:val="-6"/>
                <w:sz w:val="20"/>
              </w:rPr>
              <w:t xml:space="preserve"> </w:t>
            </w:r>
            <w:r>
              <w:rPr>
                <w:sz w:val="20"/>
              </w:rPr>
              <w:t>&amp;</w:t>
            </w:r>
            <w:r>
              <w:rPr>
                <w:spacing w:val="-6"/>
                <w:sz w:val="20"/>
              </w:rPr>
              <w:t xml:space="preserve"> </w:t>
            </w:r>
            <w:r>
              <w:rPr>
                <w:sz w:val="20"/>
              </w:rPr>
              <w:t>end</w:t>
            </w:r>
            <w:r>
              <w:rPr>
                <w:spacing w:val="-6"/>
                <w:sz w:val="20"/>
              </w:rPr>
              <w:t xml:space="preserve"> </w:t>
            </w:r>
            <w:r>
              <w:rPr>
                <w:sz w:val="20"/>
              </w:rPr>
              <w:t>use-specific</w:t>
            </w:r>
            <w:r>
              <w:rPr>
                <w:spacing w:val="-5"/>
                <w:sz w:val="20"/>
              </w:rPr>
              <w:t xml:space="preserve"> </w:t>
            </w:r>
            <w:r>
              <w:rPr>
                <w:sz w:val="20"/>
              </w:rPr>
              <w:t>adoption</w:t>
            </w:r>
            <w:r>
              <w:rPr>
                <w:spacing w:val="-6"/>
                <w:sz w:val="20"/>
              </w:rPr>
              <w:t xml:space="preserve"> </w:t>
            </w:r>
            <w:r>
              <w:rPr>
                <w:sz w:val="20"/>
              </w:rPr>
              <w:t>parameters.</w:t>
            </w:r>
            <w:r>
              <w:rPr>
                <w:spacing w:val="-6"/>
                <w:sz w:val="20"/>
              </w:rPr>
              <w:t xml:space="preserve"> </w:t>
            </w:r>
            <w:r>
              <w:rPr>
                <w:sz w:val="20"/>
              </w:rPr>
              <w:t>The result was a significantly lower (81-90%) overall achievable potential compared to the 2021 Study.</w:t>
            </w:r>
          </w:p>
          <w:p w:rsidR="00C31389" w:rsidRDefault="00561FBD" w14:paraId="59732B95" w14:textId="77777777">
            <w:pPr>
              <w:pStyle w:val="TableParagraph"/>
              <w:spacing w:before="0" w:line="230" w:lineRule="exact"/>
              <w:ind w:left="118"/>
              <w:rPr>
                <w:sz w:val="20"/>
              </w:rPr>
            </w:pPr>
            <w:r>
              <w:rPr>
                <w:sz w:val="20"/>
              </w:rPr>
              <w:t>Scenarios</w:t>
            </w:r>
            <w:r>
              <w:rPr>
                <w:spacing w:val="-5"/>
                <w:sz w:val="20"/>
              </w:rPr>
              <w:t xml:space="preserve"> </w:t>
            </w:r>
            <w:r>
              <w:rPr>
                <w:sz w:val="20"/>
              </w:rPr>
              <w:t>accounting</w:t>
            </w:r>
            <w:r>
              <w:rPr>
                <w:spacing w:val="-4"/>
                <w:sz w:val="20"/>
              </w:rPr>
              <w:t xml:space="preserve"> </w:t>
            </w:r>
            <w:r>
              <w:rPr>
                <w:sz w:val="20"/>
              </w:rPr>
              <w:t>for</w:t>
            </w:r>
            <w:r>
              <w:rPr>
                <w:spacing w:val="-3"/>
                <w:sz w:val="20"/>
              </w:rPr>
              <w:t xml:space="preserve"> </w:t>
            </w:r>
            <w:r>
              <w:rPr>
                <w:sz w:val="20"/>
              </w:rPr>
              <w:t>IRA</w:t>
            </w:r>
            <w:r>
              <w:rPr>
                <w:spacing w:val="-4"/>
                <w:sz w:val="20"/>
              </w:rPr>
              <w:t xml:space="preserve"> </w:t>
            </w:r>
            <w:r>
              <w:rPr>
                <w:sz w:val="20"/>
              </w:rPr>
              <w:t>tax</w:t>
            </w:r>
            <w:r>
              <w:rPr>
                <w:spacing w:val="-3"/>
                <w:sz w:val="20"/>
              </w:rPr>
              <w:t xml:space="preserve"> </w:t>
            </w:r>
            <w:r>
              <w:rPr>
                <w:sz w:val="20"/>
              </w:rPr>
              <w:t>credits</w:t>
            </w:r>
            <w:r>
              <w:rPr>
                <w:spacing w:val="-3"/>
                <w:sz w:val="20"/>
              </w:rPr>
              <w:t xml:space="preserve"> </w:t>
            </w:r>
            <w:r>
              <w:rPr>
                <w:sz w:val="20"/>
              </w:rPr>
              <w:t>do</w:t>
            </w:r>
            <w:r>
              <w:rPr>
                <w:spacing w:val="-4"/>
                <w:sz w:val="20"/>
              </w:rPr>
              <w:t xml:space="preserve"> </w:t>
            </w:r>
            <w:r>
              <w:rPr>
                <w:sz w:val="20"/>
              </w:rPr>
              <w:t>show</w:t>
            </w:r>
            <w:r>
              <w:rPr>
                <w:spacing w:val="-2"/>
                <w:sz w:val="20"/>
              </w:rPr>
              <w:t xml:space="preserve"> </w:t>
            </w:r>
            <w:r>
              <w:rPr>
                <w:spacing w:val="-10"/>
                <w:sz w:val="20"/>
              </w:rPr>
              <w:t>a</w:t>
            </w:r>
          </w:p>
          <w:p w:rsidR="00C31389" w:rsidRDefault="00561FBD" w14:paraId="325BDC8E" w14:textId="77777777">
            <w:pPr>
              <w:pStyle w:val="TableParagraph"/>
              <w:spacing w:before="0" w:line="230" w:lineRule="exact"/>
              <w:ind w:left="118"/>
              <w:rPr>
                <w:sz w:val="20"/>
              </w:rPr>
            </w:pPr>
            <w:r>
              <w:rPr>
                <w:sz w:val="20"/>
              </w:rPr>
              <w:t>significant</w:t>
            </w:r>
            <w:r>
              <w:rPr>
                <w:spacing w:val="-6"/>
                <w:sz w:val="20"/>
              </w:rPr>
              <w:t xml:space="preserve"> </w:t>
            </w:r>
            <w:r>
              <w:rPr>
                <w:sz w:val="20"/>
              </w:rPr>
              <w:t>increase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FS</w:t>
            </w:r>
            <w:r>
              <w:rPr>
                <w:spacing w:val="-6"/>
                <w:sz w:val="20"/>
              </w:rPr>
              <w:t xml:space="preserve"> </w:t>
            </w:r>
            <w:r>
              <w:rPr>
                <w:sz w:val="20"/>
              </w:rPr>
              <w:t>potential</w:t>
            </w:r>
            <w:r>
              <w:rPr>
                <w:spacing w:val="-6"/>
                <w:sz w:val="20"/>
              </w:rPr>
              <w:t xml:space="preserve"> </w:t>
            </w:r>
            <w:r>
              <w:rPr>
                <w:sz w:val="20"/>
              </w:rPr>
              <w:t>for</w:t>
            </w:r>
            <w:r>
              <w:rPr>
                <w:spacing w:val="-5"/>
                <w:sz w:val="20"/>
              </w:rPr>
              <w:t xml:space="preserve"> </w:t>
            </w:r>
            <w:r>
              <w:rPr>
                <w:sz w:val="20"/>
              </w:rPr>
              <w:t>Residential measures in particular.</w:t>
            </w:r>
          </w:p>
        </w:tc>
      </w:tr>
      <w:tr w:rsidR="00C31389" w14:paraId="02853324" w14:textId="77777777">
        <w:trPr>
          <w:trHeight w:val="1189"/>
        </w:trPr>
        <w:tc>
          <w:tcPr>
            <w:tcW w:w="3604" w:type="dxa"/>
            <w:tcBorders>
              <w:top w:val="single" w:color="DCDDDE" w:sz="4" w:space="0"/>
              <w:bottom w:val="single" w:color="DCDDDE" w:sz="4" w:space="0"/>
            </w:tcBorders>
          </w:tcPr>
          <w:p w:rsidR="00C31389" w:rsidRDefault="00561FBD" w14:paraId="04799CDB" w14:textId="77777777">
            <w:pPr>
              <w:pStyle w:val="TableParagraph"/>
              <w:spacing w:before="109" w:line="264" w:lineRule="auto"/>
              <w:ind w:left="460" w:right="220" w:hanging="360"/>
              <w:rPr>
                <w:b/>
                <w:sz w:val="20"/>
              </w:rPr>
            </w:pPr>
            <w:r>
              <w:rPr>
                <w:b/>
                <w:sz w:val="20"/>
              </w:rPr>
              <w:t>3.</w:t>
            </w:r>
            <w:r>
              <w:rPr>
                <w:b/>
                <w:spacing w:val="80"/>
                <w:sz w:val="20"/>
              </w:rPr>
              <w:t xml:space="preserve"> </w:t>
            </w:r>
            <w:r>
              <w:rPr>
                <w:b/>
                <w:sz w:val="20"/>
              </w:rPr>
              <w:t>The savings potential from BROs programs represents a significant</w:t>
            </w:r>
            <w:r>
              <w:rPr>
                <w:b/>
                <w:spacing w:val="-9"/>
                <w:sz w:val="20"/>
              </w:rPr>
              <w:t xml:space="preserve"> </w:t>
            </w:r>
            <w:r>
              <w:rPr>
                <w:b/>
                <w:sz w:val="20"/>
              </w:rPr>
              <w:t>portion</w:t>
            </w:r>
            <w:r>
              <w:rPr>
                <w:b/>
                <w:spacing w:val="-10"/>
                <w:sz w:val="20"/>
              </w:rPr>
              <w:t xml:space="preserve"> </w:t>
            </w:r>
            <w:r>
              <w:rPr>
                <w:b/>
                <w:sz w:val="20"/>
              </w:rPr>
              <w:t>of</w:t>
            </w:r>
            <w:r>
              <w:rPr>
                <w:b/>
                <w:spacing w:val="-10"/>
                <w:sz w:val="20"/>
              </w:rPr>
              <w:t xml:space="preserve"> </w:t>
            </w:r>
            <w:r>
              <w:rPr>
                <w:b/>
                <w:sz w:val="20"/>
              </w:rPr>
              <w:t>the</w:t>
            </w:r>
            <w:r>
              <w:rPr>
                <w:b/>
                <w:spacing w:val="-10"/>
                <w:sz w:val="20"/>
              </w:rPr>
              <w:t xml:space="preserve"> </w:t>
            </w:r>
            <w:r>
              <w:rPr>
                <w:b/>
                <w:sz w:val="20"/>
              </w:rPr>
              <w:t>first- year savings potential.</w:t>
            </w:r>
          </w:p>
        </w:tc>
        <w:tc>
          <w:tcPr>
            <w:tcW w:w="5429" w:type="dxa"/>
            <w:tcBorders>
              <w:top w:val="single" w:color="DCDDDE" w:sz="4" w:space="0"/>
              <w:bottom w:val="single" w:color="DCDDDE" w:sz="4" w:space="0"/>
            </w:tcBorders>
          </w:tcPr>
          <w:p w:rsidR="00C31389" w:rsidRDefault="00561FBD" w14:paraId="4883269E" w14:textId="77777777">
            <w:pPr>
              <w:pStyle w:val="TableParagraph"/>
              <w:ind w:left="118" w:right="173"/>
              <w:rPr>
                <w:sz w:val="20"/>
              </w:rPr>
            </w:pPr>
            <w:r>
              <w:rPr>
                <w:sz w:val="20"/>
              </w:rPr>
              <w:t>BROs</w:t>
            </w:r>
            <w:r>
              <w:rPr>
                <w:spacing w:val="-6"/>
                <w:sz w:val="20"/>
              </w:rPr>
              <w:t xml:space="preserve"> </w:t>
            </w:r>
            <w:r>
              <w:rPr>
                <w:sz w:val="20"/>
              </w:rPr>
              <w:t>programs</w:t>
            </w:r>
            <w:r>
              <w:rPr>
                <w:spacing w:val="-6"/>
                <w:sz w:val="20"/>
              </w:rPr>
              <w:t xml:space="preserve"> </w:t>
            </w:r>
            <w:r>
              <w:rPr>
                <w:sz w:val="20"/>
              </w:rPr>
              <w:t>has</w:t>
            </w:r>
            <w:r>
              <w:rPr>
                <w:spacing w:val="-6"/>
                <w:sz w:val="20"/>
              </w:rPr>
              <w:t xml:space="preserve"> </w:t>
            </w:r>
            <w:r>
              <w:rPr>
                <w:sz w:val="20"/>
              </w:rPr>
              <w:t>higher</w:t>
            </w:r>
            <w:r>
              <w:rPr>
                <w:spacing w:val="-6"/>
                <w:sz w:val="20"/>
              </w:rPr>
              <w:t xml:space="preserve"> </w:t>
            </w:r>
            <w:r>
              <w:rPr>
                <w:sz w:val="20"/>
              </w:rPr>
              <w:t>first-year</w:t>
            </w:r>
            <w:r>
              <w:rPr>
                <w:spacing w:val="-6"/>
                <w:sz w:val="20"/>
              </w:rPr>
              <w:t xml:space="preserve"> </w:t>
            </w:r>
            <w:r>
              <w:rPr>
                <w:sz w:val="20"/>
              </w:rPr>
              <w:t>savings</w:t>
            </w:r>
            <w:r>
              <w:rPr>
                <w:spacing w:val="-6"/>
                <w:sz w:val="20"/>
              </w:rPr>
              <w:t xml:space="preserve"> </w:t>
            </w:r>
            <w:r>
              <w:rPr>
                <w:sz w:val="20"/>
              </w:rPr>
              <w:t>than</w:t>
            </w:r>
            <w:r>
              <w:rPr>
                <w:spacing w:val="-7"/>
                <w:sz w:val="20"/>
              </w:rPr>
              <w:t xml:space="preserve"> </w:t>
            </w:r>
            <w:r>
              <w:rPr>
                <w:sz w:val="20"/>
              </w:rPr>
              <w:t>rebate program measures. However, when reviewing TSB results, the scale of BROs impact is much smaller.</w:t>
            </w:r>
          </w:p>
          <w:p w:rsidR="00C31389" w:rsidRDefault="00561FBD" w14:paraId="6A6D69EA" w14:textId="77777777">
            <w:pPr>
              <w:pStyle w:val="TableParagraph"/>
              <w:spacing w:before="0" w:line="230" w:lineRule="exact"/>
              <w:ind w:left="118" w:hanging="1"/>
              <w:rPr>
                <w:sz w:val="20"/>
              </w:rPr>
            </w:pPr>
            <w:r>
              <w:rPr>
                <w:sz w:val="20"/>
              </w:rPr>
              <w:t>Additionally,</w:t>
            </w:r>
            <w:r>
              <w:rPr>
                <w:spacing w:val="-7"/>
                <w:sz w:val="20"/>
              </w:rPr>
              <w:t xml:space="preserve"> </w:t>
            </w:r>
            <w:r>
              <w:rPr>
                <w:sz w:val="20"/>
              </w:rPr>
              <w:t>this</w:t>
            </w:r>
            <w:r>
              <w:rPr>
                <w:spacing w:val="-6"/>
                <w:sz w:val="20"/>
              </w:rPr>
              <w:t xml:space="preserve"> </w:t>
            </w:r>
            <w:r>
              <w:rPr>
                <w:sz w:val="20"/>
              </w:rPr>
              <w:t>study</w:t>
            </w:r>
            <w:r>
              <w:rPr>
                <w:spacing w:val="-6"/>
                <w:sz w:val="20"/>
              </w:rPr>
              <w:t xml:space="preserve"> </w:t>
            </w:r>
            <w:r>
              <w:rPr>
                <w:sz w:val="20"/>
              </w:rPr>
              <w:t>does</w:t>
            </w:r>
            <w:r>
              <w:rPr>
                <w:spacing w:val="-6"/>
                <w:sz w:val="20"/>
              </w:rPr>
              <w:t xml:space="preserve"> </w:t>
            </w:r>
            <w:r>
              <w:rPr>
                <w:sz w:val="20"/>
              </w:rPr>
              <w:t>not</w:t>
            </w:r>
            <w:r>
              <w:rPr>
                <w:spacing w:val="-7"/>
                <w:sz w:val="20"/>
              </w:rPr>
              <w:t xml:space="preserve"> </w:t>
            </w:r>
            <w:r>
              <w:rPr>
                <w:sz w:val="20"/>
              </w:rPr>
              <w:t>screen</w:t>
            </w:r>
            <w:r>
              <w:rPr>
                <w:spacing w:val="-8"/>
                <w:sz w:val="20"/>
              </w:rPr>
              <w:t xml:space="preserve"> </w:t>
            </w:r>
            <w:r>
              <w:rPr>
                <w:sz w:val="20"/>
              </w:rPr>
              <w:t>cost-effectiveness resulting</w:t>
            </w:r>
            <w:r>
              <w:rPr>
                <w:spacing w:val="-4"/>
                <w:sz w:val="20"/>
              </w:rPr>
              <w:t xml:space="preserve"> </w:t>
            </w:r>
            <w:r>
              <w:rPr>
                <w:sz w:val="20"/>
              </w:rPr>
              <w:t>in</w:t>
            </w:r>
            <w:r>
              <w:rPr>
                <w:spacing w:val="-3"/>
                <w:sz w:val="20"/>
              </w:rPr>
              <w:t xml:space="preserve"> </w:t>
            </w:r>
            <w:r>
              <w:rPr>
                <w:sz w:val="20"/>
              </w:rPr>
              <w:t>some</w:t>
            </w:r>
            <w:r>
              <w:rPr>
                <w:spacing w:val="-3"/>
                <w:sz w:val="20"/>
              </w:rPr>
              <w:t xml:space="preserve"> </w:t>
            </w:r>
            <w:r>
              <w:rPr>
                <w:sz w:val="20"/>
              </w:rPr>
              <w:t>of</w:t>
            </w:r>
            <w:r>
              <w:rPr>
                <w:spacing w:val="-3"/>
                <w:sz w:val="20"/>
              </w:rPr>
              <w:t xml:space="preserve"> </w:t>
            </w:r>
            <w:r>
              <w:rPr>
                <w:sz w:val="20"/>
              </w:rPr>
              <w:t>BROs</w:t>
            </w:r>
            <w:r>
              <w:rPr>
                <w:spacing w:val="-4"/>
                <w:sz w:val="20"/>
              </w:rPr>
              <w:t xml:space="preserve"> </w:t>
            </w:r>
            <w:r>
              <w:rPr>
                <w:sz w:val="20"/>
              </w:rPr>
              <w:t>programs</w:t>
            </w:r>
            <w:r>
              <w:rPr>
                <w:spacing w:val="-2"/>
                <w:sz w:val="20"/>
              </w:rPr>
              <w:t xml:space="preserve"> </w:t>
            </w:r>
            <w:r>
              <w:rPr>
                <w:sz w:val="20"/>
              </w:rPr>
              <w:t>as</w:t>
            </w:r>
            <w:r>
              <w:rPr>
                <w:spacing w:val="-4"/>
                <w:sz w:val="20"/>
              </w:rPr>
              <w:t xml:space="preserve"> </w:t>
            </w:r>
            <w:r>
              <w:rPr>
                <w:sz w:val="20"/>
              </w:rPr>
              <w:t>not</w:t>
            </w:r>
            <w:r>
              <w:rPr>
                <w:spacing w:val="-3"/>
                <w:sz w:val="20"/>
              </w:rPr>
              <w:t xml:space="preserve"> </w:t>
            </w:r>
            <w:r>
              <w:rPr>
                <w:sz w:val="20"/>
              </w:rPr>
              <w:t>cost-</w:t>
            </w:r>
            <w:r>
              <w:rPr>
                <w:spacing w:val="-2"/>
                <w:sz w:val="20"/>
              </w:rPr>
              <w:t>effective.</w:t>
            </w:r>
          </w:p>
        </w:tc>
      </w:tr>
      <w:tr w:rsidR="00C31389" w14:paraId="3B431DC5" w14:textId="77777777">
        <w:trPr>
          <w:trHeight w:val="1419"/>
        </w:trPr>
        <w:tc>
          <w:tcPr>
            <w:tcW w:w="3604" w:type="dxa"/>
            <w:tcBorders>
              <w:top w:val="single" w:color="DCDDDE" w:sz="4" w:space="0"/>
              <w:bottom w:val="single" w:color="DCDDDE" w:sz="4" w:space="0"/>
            </w:tcBorders>
          </w:tcPr>
          <w:p w:rsidR="00C31389" w:rsidRDefault="00C31389" w14:paraId="4B07AC97" w14:textId="77777777">
            <w:pPr>
              <w:pStyle w:val="TableParagraph"/>
              <w:spacing w:before="5"/>
              <w:rPr>
                <w:b/>
                <w:sz w:val="30"/>
              </w:rPr>
            </w:pPr>
          </w:p>
          <w:p w:rsidR="00C31389" w:rsidRDefault="00561FBD" w14:paraId="007505C3" w14:textId="77777777">
            <w:pPr>
              <w:pStyle w:val="TableParagraph"/>
              <w:spacing w:before="0" w:line="264" w:lineRule="auto"/>
              <w:ind w:left="460" w:right="220" w:hanging="360"/>
              <w:rPr>
                <w:b/>
                <w:sz w:val="20"/>
              </w:rPr>
            </w:pPr>
            <w:r>
              <w:rPr>
                <w:b/>
                <w:sz w:val="20"/>
              </w:rPr>
              <w:t>4.</w:t>
            </w:r>
            <w:r>
              <w:rPr>
                <w:b/>
                <w:spacing w:val="80"/>
                <w:sz w:val="20"/>
              </w:rPr>
              <w:t xml:space="preserve"> </w:t>
            </w:r>
            <w:r>
              <w:rPr>
                <w:b/>
                <w:sz w:val="20"/>
              </w:rPr>
              <w:t xml:space="preserve">Industrial and </w:t>
            </w:r>
            <w:r>
              <w:rPr>
                <w:b/>
                <w:sz w:val="20"/>
              </w:rPr>
              <w:t>agriculture sector shows an increasing sector</w:t>
            </w:r>
            <w:r>
              <w:rPr>
                <w:b/>
                <w:spacing w:val="-12"/>
                <w:sz w:val="20"/>
              </w:rPr>
              <w:t xml:space="preserve"> </w:t>
            </w:r>
            <w:r>
              <w:rPr>
                <w:b/>
                <w:sz w:val="20"/>
              </w:rPr>
              <w:t>savings</w:t>
            </w:r>
            <w:r>
              <w:rPr>
                <w:b/>
                <w:spacing w:val="-12"/>
                <w:sz w:val="20"/>
              </w:rPr>
              <w:t xml:space="preserve"> </w:t>
            </w:r>
            <w:r>
              <w:rPr>
                <w:b/>
                <w:sz w:val="20"/>
              </w:rPr>
              <w:t>potential</w:t>
            </w:r>
            <w:r>
              <w:rPr>
                <w:b/>
                <w:spacing w:val="-14"/>
                <w:sz w:val="20"/>
              </w:rPr>
              <w:t xml:space="preserve"> </w:t>
            </w:r>
            <w:r>
              <w:rPr>
                <w:b/>
                <w:sz w:val="20"/>
              </w:rPr>
              <w:t>trend.</w:t>
            </w:r>
          </w:p>
        </w:tc>
        <w:tc>
          <w:tcPr>
            <w:tcW w:w="5429" w:type="dxa"/>
            <w:tcBorders>
              <w:top w:val="single" w:color="DCDDDE" w:sz="4" w:space="0"/>
              <w:bottom w:val="single" w:color="DCDDDE" w:sz="4" w:space="0"/>
            </w:tcBorders>
          </w:tcPr>
          <w:p w:rsidR="00C31389" w:rsidRDefault="00561FBD" w14:paraId="246AB959" w14:textId="77777777">
            <w:pPr>
              <w:pStyle w:val="TableParagraph"/>
              <w:ind w:left="118" w:right="5"/>
              <w:rPr>
                <w:sz w:val="20"/>
              </w:rPr>
            </w:pPr>
            <w:r>
              <w:rPr>
                <w:sz w:val="20"/>
              </w:rPr>
              <w:t>CEDARS</w:t>
            </w:r>
            <w:r>
              <w:rPr>
                <w:spacing w:val="-6"/>
                <w:sz w:val="20"/>
              </w:rPr>
              <w:t xml:space="preserve"> </w:t>
            </w:r>
            <w:r>
              <w:rPr>
                <w:sz w:val="20"/>
              </w:rPr>
              <w:t>data</w:t>
            </w:r>
            <w:r>
              <w:rPr>
                <w:spacing w:val="-6"/>
                <w:sz w:val="20"/>
              </w:rPr>
              <w:t xml:space="preserve"> </w:t>
            </w:r>
            <w:r>
              <w:rPr>
                <w:sz w:val="20"/>
              </w:rPr>
              <w:t>overall</w:t>
            </w:r>
            <w:r>
              <w:rPr>
                <w:spacing w:val="-6"/>
                <w:sz w:val="20"/>
              </w:rPr>
              <w:t xml:space="preserve"> </w:t>
            </w:r>
            <w:r>
              <w:rPr>
                <w:sz w:val="20"/>
              </w:rPr>
              <w:t>showed</w:t>
            </w:r>
            <w:r>
              <w:rPr>
                <w:spacing w:val="-6"/>
                <w:sz w:val="20"/>
              </w:rPr>
              <w:t xml:space="preserve"> </w:t>
            </w:r>
            <w:r>
              <w:rPr>
                <w:sz w:val="20"/>
              </w:rPr>
              <w:t>lower</w:t>
            </w:r>
            <w:r>
              <w:rPr>
                <w:spacing w:val="-5"/>
                <w:sz w:val="20"/>
              </w:rPr>
              <w:t xml:space="preserve"> </w:t>
            </w:r>
            <w:r>
              <w:rPr>
                <w:sz w:val="20"/>
              </w:rPr>
              <w:t>costs</w:t>
            </w:r>
            <w:r>
              <w:rPr>
                <w:spacing w:val="-5"/>
                <w:sz w:val="20"/>
              </w:rPr>
              <w:t xml:space="preserve"> </w:t>
            </w:r>
            <w:r>
              <w:rPr>
                <w:sz w:val="20"/>
              </w:rPr>
              <w:t>associated</w:t>
            </w:r>
            <w:r>
              <w:rPr>
                <w:spacing w:val="-6"/>
                <w:sz w:val="20"/>
              </w:rPr>
              <w:t xml:space="preserve"> </w:t>
            </w:r>
            <w:r>
              <w:rPr>
                <w:sz w:val="20"/>
              </w:rPr>
              <w:t>with unit energy savings, leading to a moderate increase in Industrial and Agricultural sector achievable potential overall. SEM saving</w:t>
            </w:r>
            <w:r>
              <w:rPr>
                <w:sz w:val="20"/>
              </w:rPr>
              <w:t>s were removed from the Agricultural sector potential, as recent program activity has been</w:t>
            </w:r>
          </w:p>
          <w:p w:rsidR="00C31389" w:rsidRDefault="00561FBD" w14:paraId="2D5544F4" w14:textId="77777777">
            <w:pPr>
              <w:pStyle w:val="TableParagraph"/>
              <w:spacing w:before="0" w:line="209" w:lineRule="exact"/>
              <w:ind w:left="118"/>
              <w:rPr>
                <w:sz w:val="20"/>
              </w:rPr>
            </w:pPr>
            <w:r>
              <w:rPr>
                <w:sz w:val="20"/>
              </w:rPr>
              <w:t>absent</w:t>
            </w:r>
            <w:r>
              <w:rPr>
                <w:spacing w:val="-3"/>
                <w:sz w:val="20"/>
              </w:rPr>
              <w:t xml:space="preserve"> </w:t>
            </w:r>
            <w:r>
              <w:rPr>
                <w:sz w:val="20"/>
              </w:rPr>
              <w:t>in</w:t>
            </w:r>
            <w:r>
              <w:rPr>
                <w:spacing w:val="-2"/>
                <w:sz w:val="20"/>
              </w:rPr>
              <w:t xml:space="preserve"> </w:t>
            </w:r>
            <w:r>
              <w:rPr>
                <w:sz w:val="20"/>
              </w:rPr>
              <w:t>this</w:t>
            </w:r>
            <w:r>
              <w:rPr>
                <w:spacing w:val="-3"/>
                <w:sz w:val="20"/>
              </w:rPr>
              <w:t xml:space="preserve"> </w:t>
            </w:r>
            <w:r>
              <w:rPr>
                <w:sz w:val="20"/>
              </w:rPr>
              <w:t>program</w:t>
            </w:r>
            <w:r>
              <w:rPr>
                <w:spacing w:val="-2"/>
                <w:sz w:val="20"/>
              </w:rPr>
              <w:t xml:space="preserve"> category.</w:t>
            </w:r>
          </w:p>
        </w:tc>
      </w:tr>
      <w:tr w:rsidR="00C31389" w14:paraId="106EE522" w14:textId="77777777">
        <w:trPr>
          <w:trHeight w:val="1649"/>
        </w:trPr>
        <w:tc>
          <w:tcPr>
            <w:tcW w:w="3604" w:type="dxa"/>
            <w:tcBorders>
              <w:top w:val="single" w:color="DCDDDE" w:sz="4" w:space="0"/>
              <w:bottom w:val="single" w:color="DCDDDE" w:sz="4" w:space="0"/>
            </w:tcBorders>
          </w:tcPr>
          <w:p w:rsidR="00C31389" w:rsidRDefault="00561FBD" w14:paraId="18D9D796" w14:textId="77777777">
            <w:pPr>
              <w:pStyle w:val="TableParagraph"/>
              <w:spacing w:before="87" w:line="264" w:lineRule="auto"/>
              <w:ind w:left="460" w:right="85" w:hanging="360"/>
              <w:rPr>
                <w:b/>
                <w:sz w:val="20"/>
              </w:rPr>
            </w:pPr>
            <w:r>
              <w:rPr>
                <w:b/>
                <w:sz w:val="20"/>
              </w:rPr>
              <w:t>5.</w:t>
            </w:r>
            <w:r>
              <w:rPr>
                <w:b/>
                <w:spacing w:val="80"/>
                <w:w w:val="150"/>
                <w:sz w:val="20"/>
              </w:rPr>
              <w:t xml:space="preserve"> </w:t>
            </w:r>
            <w:r>
              <w:rPr>
                <w:b/>
                <w:sz w:val="20"/>
              </w:rPr>
              <w:t>The tax credits specified by the IRA are expected to have a measurable but overall moderate</w:t>
            </w:r>
            <w:r>
              <w:rPr>
                <w:b/>
                <w:spacing w:val="-12"/>
                <w:sz w:val="20"/>
              </w:rPr>
              <w:t xml:space="preserve"> </w:t>
            </w:r>
            <w:r>
              <w:rPr>
                <w:b/>
                <w:sz w:val="20"/>
              </w:rPr>
              <w:t>impact</w:t>
            </w:r>
            <w:r>
              <w:rPr>
                <w:b/>
                <w:spacing w:val="-11"/>
                <w:sz w:val="20"/>
              </w:rPr>
              <w:t xml:space="preserve"> </w:t>
            </w:r>
            <w:r>
              <w:rPr>
                <w:b/>
                <w:sz w:val="20"/>
              </w:rPr>
              <w:t>on</w:t>
            </w:r>
            <w:r>
              <w:rPr>
                <w:b/>
                <w:spacing w:val="-13"/>
                <w:sz w:val="20"/>
              </w:rPr>
              <w:t xml:space="preserve"> </w:t>
            </w:r>
            <w:r>
              <w:rPr>
                <w:b/>
                <w:sz w:val="20"/>
              </w:rPr>
              <w:t xml:space="preserve">Residential and Commercial Sector </w:t>
            </w:r>
            <w:r>
              <w:rPr>
                <w:b/>
                <w:spacing w:val="-2"/>
                <w:sz w:val="20"/>
              </w:rPr>
              <w:t>potential.</w:t>
            </w:r>
          </w:p>
        </w:tc>
        <w:tc>
          <w:tcPr>
            <w:tcW w:w="5429" w:type="dxa"/>
            <w:tcBorders>
              <w:top w:val="single" w:color="DCDDDE" w:sz="4" w:space="0"/>
              <w:bottom w:val="single" w:color="DCDDDE" w:sz="4" w:space="0"/>
            </w:tcBorders>
          </w:tcPr>
          <w:p w:rsidR="00C31389" w:rsidRDefault="00561FBD" w14:paraId="78305C85" w14:textId="77777777">
            <w:pPr>
              <w:pStyle w:val="TableParagraph"/>
              <w:ind w:left="118" w:right="173"/>
              <w:rPr>
                <w:sz w:val="20"/>
              </w:rPr>
            </w:pPr>
            <w:r>
              <w:rPr>
                <w:sz w:val="20"/>
              </w:rPr>
              <w:t>Precise</w:t>
            </w:r>
            <w:r>
              <w:rPr>
                <w:spacing w:val="-4"/>
                <w:sz w:val="20"/>
              </w:rPr>
              <w:t xml:space="preserve"> </w:t>
            </w:r>
            <w:r>
              <w:rPr>
                <w:sz w:val="20"/>
              </w:rPr>
              <w:t>impacts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IRA</w:t>
            </w:r>
            <w:r>
              <w:rPr>
                <w:spacing w:val="-6"/>
                <w:sz w:val="20"/>
              </w:rPr>
              <w:t xml:space="preserve"> </w:t>
            </w:r>
            <w:r>
              <w:rPr>
                <w:sz w:val="20"/>
              </w:rPr>
              <w:t>are</w:t>
            </w:r>
            <w:r>
              <w:rPr>
                <w:spacing w:val="-4"/>
                <w:sz w:val="20"/>
              </w:rPr>
              <w:t xml:space="preserve"> </w:t>
            </w:r>
            <w:r>
              <w:rPr>
                <w:sz w:val="20"/>
              </w:rPr>
              <w:t>difficult</w:t>
            </w:r>
            <w:r>
              <w:rPr>
                <w:spacing w:val="-4"/>
                <w:sz w:val="20"/>
              </w:rPr>
              <w:t xml:space="preserve"> </w:t>
            </w:r>
            <w:r>
              <w:rPr>
                <w:sz w:val="20"/>
              </w:rPr>
              <w:t>to</w:t>
            </w:r>
            <w:r>
              <w:rPr>
                <w:spacing w:val="-4"/>
                <w:sz w:val="20"/>
              </w:rPr>
              <w:t xml:space="preserve"> </w:t>
            </w:r>
            <w:r>
              <w:rPr>
                <w:sz w:val="20"/>
              </w:rPr>
              <w:t>predict,</w:t>
            </w:r>
            <w:r>
              <w:rPr>
                <w:spacing w:val="-4"/>
                <w:sz w:val="20"/>
              </w:rPr>
              <w:t xml:space="preserve"> </w:t>
            </w:r>
            <w:r>
              <w:rPr>
                <w:sz w:val="20"/>
              </w:rPr>
              <w:t>however the assumptions employed in the 2023 Study do indicate they will impact the cost-effectiveness and eventual market adoption of applicable EE and FS me</w:t>
            </w:r>
            <w:r>
              <w:rPr>
                <w:sz w:val="20"/>
              </w:rPr>
              <w:t>asures. The largest</w:t>
            </w:r>
            <w:r>
              <w:rPr>
                <w:spacing w:val="-3"/>
                <w:sz w:val="20"/>
              </w:rPr>
              <w:t xml:space="preserve"> </w:t>
            </w:r>
            <w:r>
              <w:rPr>
                <w:sz w:val="20"/>
              </w:rPr>
              <w:t>impacts</w:t>
            </w:r>
            <w:r>
              <w:rPr>
                <w:spacing w:val="-2"/>
                <w:sz w:val="20"/>
              </w:rPr>
              <w:t xml:space="preserve"> </w:t>
            </w:r>
            <w:r>
              <w:rPr>
                <w:sz w:val="20"/>
              </w:rPr>
              <w:t>are</w:t>
            </w:r>
            <w:r>
              <w:rPr>
                <w:spacing w:val="-3"/>
                <w:sz w:val="20"/>
              </w:rPr>
              <w:t xml:space="preserve"> </w:t>
            </w:r>
            <w:r>
              <w:rPr>
                <w:sz w:val="20"/>
              </w:rPr>
              <w:t>likely</w:t>
            </w:r>
            <w:r>
              <w:rPr>
                <w:spacing w:val="-2"/>
                <w:sz w:val="20"/>
              </w:rPr>
              <w:t xml:space="preserve"> </w:t>
            </w:r>
            <w:r>
              <w:rPr>
                <w:sz w:val="20"/>
              </w:rPr>
              <w:t>to</w:t>
            </w:r>
            <w:r>
              <w:rPr>
                <w:spacing w:val="-4"/>
                <w:sz w:val="20"/>
              </w:rPr>
              <w:t xml:space="preserve"> </w:t>
            </w:r>
            <w:r>
              <w:rPr>
                <w:sz w:val="20"/>
              </w:rPr>
              <w:t>occur</w:t>
            </w:r>
            <w:r>
              <w:rPr>
                <w:spacing w:val="-2"/>
                <w:sz w:val="20"/>
              </w:rPr>
              <w:t xml:space="preserve"> </w:t>
            </w:r>
            <w:r>
              <w:rPr>
                <w:sz w:val="20"/>
              </w:rPr>
              <w:t>due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larger</w:t>
            </w:r>
            <w:r>
              <w:rPr>
                <w:spacing w:val="-2"/>
                <w:sz w:val="20"/>
              </w:rPr>
              <w:t xml:space="preserve"> </w:t>
            </w:r>
            <w:r>
              <w:rPr>
                <w:sz w:val="20"/>
              </w:rPr>
              <w:t>credits</w:t>
            </w:r>
          </w:p>
          <w:p w:rsidR="00C31389" w:rsidRDefault="00561FBD" w14:paraId="725A6202" w14:textId="77777777">
            <w:pPr>
              <w:pStyle w:val="TableParagraph"/>
              <w:spacing w:before="0" w:line="230" w:lineRule="atLeast"/>
              <w:ind w:left="118"/>
              <w:rPr>
                <w:sz w:val="20"/>
              </w:rPr>
            </w:pPr>
            <w:r>
              <w:rPr>
                <w:sz w:val="20"/>
              </w:rPr>
              <w:t>eligible</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claimed</w:t>
            </w:r>
            <w:r>
              <w:rPr>
                <w:spacing w:val="-5"/>
                <w:sz w:val="20"/>
              </w:rPr>
              <w:t xml:space="preserve"> </w:t>
            </w:r>
            <w:r>
              <w:rPr>
                <w:sz w:val="20"/>
              </w:rPr>
              <w:t>for</w:t>
            </w:r>
            <w:r>
              <w:rPr>
                <w:spacing w:val="-4"/>
                <w:sz w:val="20"/>
              </w:rPr>
              <w:t xml:space="preserve"> </w:t>
            </w:r>
            <w:r>
              <w:rPr>
                <w:sz w:val="20"/>
              </w:rPr>
              <w:t>heat</w:t>
            </w:r>
            <w:r>
              <w:rPr>
                <w:spacing w:val="-5"/>
                <w:sz w:val="20"/>
              </w:rPr>
              <w:t xml:space="preserve"> </w:t>
            </w:r>
            <w:r>
              <w:rPr>
                <w:sz w:val="20"/>
              </w:rPr>
              <w:t>pump</w:t>
            </w:r>
            <w:r>
              <w:rPr>
                <w:spacing w:val="-5"/>
                <w:sz w:val="20"/>
              </w:rPr>
              <w:t xml:space="preserve"> </w:t>
            </w:r>
            <w:r>
              <w:rPr>
                <w:sz w:val="20"/>
              </w:rPr>
              <w:t>(HVAC</w:t>
            </w:r>
            <w:r>
              <w:rPr>
                <w:spacing w:val="-4"/>
                <w:sz w:val="20"/>
              </w:rPr>
              <w:t xml:space="preserve"> </w:t>
            </w:r>
            <w:r>
              <w:rPr>
                <w:sz w:val="20"/>
              </w:rPr>
              <w:t>and</w:t>
            </w:r>
            <w:r>
              <w:rPr>
                <w:spacing w:val="-5"/>
                <w:sz w:val="20"/>
              </w:rPr>
              <w:t xml:space="preserve"> </w:t>
            </w:r>
            <w:r>
              <w:rPr>
                <w:sz w:val="20"/>
              </w:rPr>
              <w:t>water heating) measures, in Residential markets.</w:t>
            </w:r>
          </w:p>
        </w:tc>
      </w:tr>
    </w:tbl>
    <w:p w:rsidR="00C31389" w:rsidRDefault="00561FBD" w14:paraId="09590D51" w14:textId="77777777">
      <w:pPr>
        <w:spacing w:before="67"/>
        <w:ind w:left="480"/>
        <w:rPr>
          <w:i/>
          <w:sz w:val="18"/>
        </w:rPr>
      </w:pPr>
      <w:r>
        <w:rPr>
          <w:i/>
          <w:sz w:val="18"/>
        </w:rPr>
        <w:t>Source:</w:t>
      </w:r>
      <w:r>
        <w:rPr>
          <w:i/>
          <w:spacing w:val="-4"/>
          <w:sz w:val="18"/>
        </w:rPr>
        <w:t xml:space="preserve"> </w:t>
      </w:r>
      <w:r>
        <w:rPr>
          <w:i/>
          <w:spacing w:val="-2"/>
          <w:sz w:val="18"/>
        </w:rPr>
        <w:t>Guidehouse</w:t>
      </w:r>
    </w:p>
    <w:p w:rsidR="00C31389" w:rsidRDefault="00C31389" w14:paraId="3860863D" w14:textId="77777777">
      <w:pPr>
        <w:pStyle w:val="BodyText"/>
        <w:spacing w:before="11"/>
        <w:rPr>
          <w:i/>
          <w:sz w:val="20"/>
        </w:rPr>
      </w:pPr>
    </w:p>
    <w:p w:rsidR="00C31389" w:rsidRDefault="00561FBD" w14:paraId="6A0A9345" w14:textId="77777777">
      <w:pPr>
        <w:pStyle w:val="Heading2"/>
        <w:numPr>
          <w:ilvl w:val="1"/>
          <w:numId w:val="71"/>
        </w:numPr>
        <w:tabs>
          <w:tab w:val="left" w:pos="945"/>
        </w:tabs>
        <w:ind w:left="945" w:hanging="465"/>
      </w:pPr>
      <w:bookmarkStart w:name="4.1_Summary" w:id="257"/>
      <w:bookmarkStart w:name="_bookmark194" w:id="258"/>
      <w:bookmarkEnd w:id="257"/>
      <w:bookmarkEnd w:id="258"/>
      <w:r>
        <w:rPr>
          <w:spacing w:val="-2"/>
        </w:rPr>
        <w:t>Summary</w:t>
      </w:r>
    </w:p>
    <w:p w:rsidR="00C31389" w:rsidRDefault="00561FBD" w14:paraId="32C0B85A" w14:textId="77777777">
      <w:pPr>
        <w:pStyle w:val="BodyText"/>
        <w:spacing w:before="239"/>
        <w:ind w:left="480" w:right="418"/>
      </w:pPr>
      <w:r>
        <w:t>The</w:t>
      </w:r>
      <w:r>
        <w:rPr>
          <w:spacing w:val="-2"/>
        </w:rPr>
        <w:t xml:space="preserve"> </w:t>
      </w:r>
      <w:r>
        <w:t>2023</w:t>
      </w:r>
      <w:r>
        <w:rPr>
          <w:spacing w:val="-2"/>
        </w:rPr>
        <w:t xml:space="preserve"> </w:t>
      </w:r>
      <w:r>
        <w:t>Study</w:t>
      </w:r>
      <w:r>
        <w:rPr>
          <w:spacing w:val="-2"/>
        </w:rPr>
        <w:t xml:space="preserve"> </w:t>
      </w:r>
      <w:r>
        <w:t>provides</w:t>
      </w:r>
      <w:r>
        <w:rPr>
          <w:spacing w:val="-2"/>
        </w:rPr>
        <w:t xml:space="preserve"> </w:t>
      </w:r>
      <w:r>
        <w:t>a</w:t>
      </w:r>
      <w:r>
        <w:rPr>
          <w:spacing w:val="-2"/>
        </w:rPr>
        <w:t xml:space="preserve"> </w:t>
      </w:r>
      <w:r>
        <w:t>rich</w:t>
      </w:r>
      <w:r>
        <w:rPr>
          <w:spacing w:val="-2"/>
        </w:rPr>
        <w:t xml:space="preserve"> </w:t>
      </w:r>
      <w:r>
        <w:t>dataset</w:t>
      </w:r>
      <w:r>
        <w:rPr>
          <w:spacing w:val="-2"/>
        </w:rPr>
        <w:t xml:space="preserve"> </w:t>
      </w:r>
      <w:r>
        <w:t>of</w:t>
      </w:r>
      <w:r>
        <w:rPr>
          <w:spacing w:val="-2"/>
        </w:rPr>
        <w:t xml:space="preserve"> </w:t>
      </w:r>
      <w:r>
        <w:t>results,</w:t>
      </w:r>
      <w:r>
        <w:rPr>
          <w:spacing w:val="-2"/>
        </w:rPr>
        <w:t xml:space="preserve"> </w:t>
      </w:r>
      <w:r>
        <w:t>the</w:t>
      </w:r>
      <w:r>
        <w:rPr>
          <w:spacing w:val="-2"/>
        </w:rPr>
        <w:t xml:space="preserve"> </w:t>
      </w:r>
      <w:r>
        <w:t>details</w:t>
      </w:r>
      <w:r>
        <w:rPr>
          <w:spacing w:val="-2"/>
        </w:rPr>
        <w:t xml:space="preserve"> </w:t>
      </w:r>
      <w:r>
        <w:t>of</w:t>
      </w:r>
      <w:r>
        <w:rPr>
          <w:spacing w:val="-2"/>
        </w:rPr>
        <w:t xml:space="preserve"> </w:t>
      </w:r>
      <w:r>
        <w:t>which</w:t>
      </w:r>
      <w:r>
        <w:rPr>
          <w:spacing w:val="-2"/>
        </w:rPr>
        <w:t xml:space="preserve"> </w:t>
      </w:r>
      <w:r>
        <w:t>can</w:t>
      </w:r>
      <w:r>
        <w:rPr>
          <w:spacing w:val="-2"/>
        </w:rPr>
        <w:t xml:space="preserve"> </w:t>
      </w:r>
      <w:r>
        <w:t>be</w:t>
      </w:r>
      <w:r>
        <w:rPr>
          <w:spacing w:val="-2"/>
        </w:rPr>
        <w:t xml:space="preserve"> </w:t>
      </w:r>
      <w:r>
        <w:t>found</w:t>
      </w:r>
      <w:r>
        <w:rPr>
          <w:spacing w:val="-3"/>
        </w:rPr>
        <w:t xml:space="preserve"> </w:t>
      </w:r>
      <w:r>
        <w:t>on</w:t>
      </w:r>
      <w:r>
        <w:rPr>
          <w:spacing w:val="-2"/>
        </w:rPr>
        <w:t xml:space="preserve"> </w:t>
      </w:r>
      <w:r>
        <w:t>the CPUC’s</w:t>
      </w:r>
      <w:r>
        <w:rPr>
          <w:spacing w:val="-10"/>
        </w:rPr>
        <w:t xml:space="preserve"> </w:t>
      </w:r>
      <w:r>
        <w:t>2023</w:t>
      </w:r>
      <w:r>
        <w:rPr>
          <w:spacing w:val="-6"/>
        </w:rPr>
        <w:t xml:space="preserve"> </w:t>
      </w:r>
      <w:r>
        <w:t>Potential</w:t>
      </w:r>
      <w:r>
        <w:rPr>
          <w:spacing w:val="-7"/>
        </w:rPr>
        <w:t xml:space="preserve"> </w:t>
      </w:r>
      <w:r>
        <w:t>and</w:t>
      </w:r>
      <w:r>
        <w:rPr>
          <w:spacing w:val="-7"/>
        </w:rPr>
        <w:t xml:space="preserve"> </w:t>
      </w:r>
      <w:r>
        <w:t>Goals</w:t>
      </w:r>
      <w:r>
        <w:rPr>
          <w:spacing w:val="-7"/>
        </w:rPr>
        <w:t xml:space="preserve"> </w:t>
      </w:r>
      <w:r>
        <w:t>website.</w:t>
      </w:r>
      <w:r>
        <w:rPr>
          <w:spacing w:val="-42"/>
        </w:rPr>
        <w:t xml:space="preserve"> </w:t>
      </w:r>
      <w:hyperlink w:history="1" w:anchor="_bookmark195">
        <w:r>
          <w:rPr>
            <w:position w:val="7"/>
            <w:sz w:val="14"/>
          </w:rPr>
          <w:t>66</w:t>
        </w:r>
      </w:hyperlink>
      <w:r>
        <w:rPr>
          <w:spacing w:val="14"/>
          <w:position w:val="7"/>
          <w:sz w:val="14"/>
        </w:rPr>
        <w:t xml:space="preserve"> </w:t>
      </w:r>
      <w:r>
        <w:t>The</w:t>
      </w:r>
      <w:r>
        <w:rPr>
          <w:spacing w:val="-7"/>
        </w:rPr>
        <w:t xml:space="preserve"> </w:t>
      </w:r>
      <w:r>
        <w:t>report</w:t>
      </w:r>
      <w:r>
        <w:rPr>
          <w:spacing w:val="-7"/>
        </w:rPr>
        <w:t xml:space="preserve"> </w:t>
      </w:r>
      <w:r>
        <w:t>presents</w:t>
      </w:r>
      <w:r>
        <w:rPr>
          <w:spacing w:val="-7"/>
        </w:rPr>
        <w:t xml:space="preserve"> </w:t>
      </w:r>
      <w:r>
        <w:t>results</w:t>
      </w:r>
      <w:r>
        <w:rPr>
          <w:spacing w:val="-7"/>
        </w:rPr>
        <w:t xml:space="preserve"> </w:t>
      </w:r>
      <w:r>
        <w:t>by</w:t>
      </w:r>
      <w:r>
        <w:rPr>
          <w:spacing w:val="-6"/>
        </w:rPr>
        <w:t xml:space="preserve"> </w:t>
      </w:r>
      <w:r>
        <w:t>program</w:t>
      </w:r>
      <w:r>
        <w:rPr>
          <w:spacing w:val="-8"/>
        </w:rPr>
        <w:t xml:space="preserve"> </w:t>
      </w:r>
      <w:r>
        <w:rPr>
          <w:spacing w:val="-2"/>
        </w:rPr>
        <w:t>type:</w:t>
      </w:r>
    </w:p>
    <w:p w:rsidR="00C31389" w:rsidRDefault="00C31389" w14:paraId="266D18F5" w14:textId="77777777">
      <w:pPr>
        <w:pStyle w:val="BodyText"/>
        <w:rPr>
          <w:sz w:val="20"/>
        </w:rPr>
      </w:pPr>
    </w:p>
    <w:p w:rsidR="00C31389" w:rsidRDefault="00561FBD" w14:paraId="426334B0" w14:textId="77777777">
      <w:pPr>
        <w:pStyle w:val="BodyText"/>
        <w:spacing w:before="2"/>
        <w:rPr>
          <w:sz w:val="16"/>
        </w:rPr>
      </w:pPr>
      <w:r>
        <w:rPr>
          <w:noProof/>
        </w:rPr>
        <mc:AlternateContent>
          <mc:Choice Requires="wps">
            <w:drawing>
              <wp:anchor distT="0" distB="0" distL="0" distR="0" simplePos="0" relativeHeight="487659008" behindDoc="1" locked="0" layoutInCell="1" allowOverlap="1" wp14:editId="2C101B7B" wp14:anchorId="5A41DEE0">
                <wp:simplePos x="0" y="0"/>
                <wp:positionH relativeFrom="page">
                  <wp:posOffset>914400</wp:posOffset>
                </wp:positionH>
                <wp:positionV relativeFrom="paragraph">
                  <wp:posOffset>133436</wp:posOffset>
                </wp:positionV>
                <wp:extent cx="1828800" cy="6985"/>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38" style="position:absolute;margin-left:1in;margin-top:10.5pt;width:2in;height:.55pt;z-index:-1565747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" w14:anchorId="3D5761AA">
                <v:path arrowok="t"/>
                <w10:wrap type="topAndBottom" anchorx="page"/>
              </v:shape>
            </w:pict>
          </mc:Fallback>
        </mc:AlternateContent>
      </w:r>
    </w:p>
    <w:p w:rsidR="00C31389" w:rsidRDefault="00561FBD" w14:paraId="72E91AED" w14:textId="77777777">
      <w:pPr>
        <w:spacing w:before="88"/>
        <w:ind w:left="480" w:right="1379"/>
        <w:rPr>
          <w:sz w:val="18"/>
        </w:rPr>
      </w:pPr>
      <w:bookmarkStart w:name="_bookmark195" w:id="259"/>
      <w:bookmarkEnd w:id="259"/>
      <w:r>
        <w:rPr>
          <w:position w:val="6"/>
          <w:sz w:val="12"/>
        </w:rPr>
        <w:t>66</w:t>
      </w:r>
      <w:r>
        <w:rPr>
          <w:spacing w:val="-1"/>
          <w:position w:val="6"/>
          <w:sz w:val="12"/>
        </w:rPr>
        <w:t xml:space="preserve"> </w:t>
      </w:r>
      <w:hyperlink r:id="rId158">
        <w:r>
          <w:rPr>
            <w:color w:val="68942C"/>
            <w:sz w:val="18"/>
            <w:u w:val="single" w:color="68942C"/>
          </w:rPr>
          <w:t>https://www.cpuc.ca.gov/industries-and-topics/electrical-en</w:t>
        </w:r>
        <w:r>
          <w:rPr>
            <w:color w:val="68942C"/>
            <w:sz w:val="18"/>
            <w:u w:val="single" w:color="68942C"/>
          </w:rPr>
          <w:t>ergy/demand-side-management/energy-</w:t>
        </w:r>
      </w:hyperlink>
      <w:r>
        <w:rPr>
          <w:color w:val="68942C"/>
          <w:sz w:val="18"/>
        </w:rPr>
        <w:t xml:space="preserve"> </w:t>
      </w:r>
      <w:hyperlink r:id="rId159">
        <w:r>
          <w:rPr>
            <w:color w:val="68942C"/>
            <w:spacing w:val="-2"/>
            <w:sz w:val="18"/>
            <w:u w:val="single" w:color="68942C"/>
          </w:rPr>
          <w:t>efficiency/energy-efficiency-potential-and-goals-studies/2023-potential-and-goals-study</w:t>
        </w:r>
      </w:hyperlink>
    </w:p>
    <w:p w:rsidR="00C31389" w:rsidRDefault="00C31389" w14:paraId="73BAF1E0" w14:textId="77777777">
      <w:pPr>
        <w:rPr>
          <w:sz w:val="18"/>
        </w:rPr>
        <w:sectPr w:rsidR="00C31389">
          <w:headerReference w:type="default" r:id="rId160"/>
          <w:footerReference w:type="default" r:id="rId161"/>
          <w:pgSz w:w="11910" w:h="16840"/>
          <w:pgMar w:top="1380" w:right="1020" w:bottom="1120" w:left="960" w:header="397" w:footer="938" w:gutter="0"/>
          <w:cols w:space="720"/>
        </w:sectPr>
      </w:pPr>
    </w:p>
    <w:p w:rsidR="00C31389" w:rsidRDefault="00C31389" w14:paraId="65DE2146" w14:textId="77777777">
      <w:pPr>
        <w:pStyle w:val="BodyText"/>
      </w:pPr>
    </w:p>
    <w:p w:rsidR="00C31389" w:rsidRDefault="00C31389" w14:paraId="04239704" w14:textId="77777777">
      <w:pPr>
        <w:pStyle w:val="BodyText"/>
        <w:spacing w:before="2"/>
        <w:rPr>
          <w:sz w:val="13"/>
        </w:rPr>
      </w:pPr>
    </w:p>
    <w:p w:rsidR="00C31389" w:rsidRDefault="00561FBD" w14:paraId="646525AE" w14:textId="77777777">
      <w:pPr>
        <w:pStyle w:val="ListParagraph"/>
        <w:numPr>
          <w:ilvl w:val="0"/>
          <w:numId w:val="41"/>
        </w:numPr>
        <w:tabs>
          <w:tab w:val="left" w:pos="1199"/>
        </w:tabs>
        <w:spacing w:before="100"/>
        <w:ind w:right="826"/>
        <w:jc w:val="both"/>
      </w:pPr>
      <w:r>
        <w:rPr>
          <w:b/>
        </w:rPr>
        <w:t>EE</w:t>
      </w:r>
      <w:r>
        <w:rPr>
          <w:b/>
          <w:spacing w:val="-3"/>
        </w:rPr>
        <w:t xml:space="preserve"> </w:t>
      </w:r>
      <w:r>
        <w:rPr>
          <w:b/>
        </w:rPr>
        <w:t>equipment:</w:t>
      </w:r>
      <w:r>
        <w:rPr>
          <w:b/>
          <w:spacing w:val="-3"/>
        </w:rPr>
        <w:t xml:space="preserve"> </w:t>
      </w:r>
      <w:r>
        <w:t>EE</w:t>
      </w:r>
      <w:r>
        <w:rPr>
          <w:spacing w:val="-4"/>
        </w:rPr>
        <w:t xml:space="preserve"> </w:t>
      </w:r>
      <w:r>
        <w:t>traditionally</w:t>
      </w:r>
      <w:r>
        <w:rPr>
          <w:spacing w:val="-3"/>
        </w:rPr>
        <w:t xml:space="preserve"> </w:t>
      </w:r>
      <w:r>
        <w:t>incentivized</w:t>
      </w:r>
      <w:r>
        <w:rPr>
          <w:spacing w:val="-4"/>
        </w:rPr>
        <w:t xml:space="preserve"> </w:t>
      </w:r>
      <w:r>
        <w:t>by</w:t>
      </w:r>
      <w:r>
        <w:rPr>
          <w:spacing w:val="-3"/>
        </w:rPr>
        <w:t xml:space="preserve"> </w:t>
      </w:r>
      <w:r>
        <w:t>IOU</w:t>
      </w:r>
      <w:r>
        <w:rPr>
          <w:spacing w:val="-4"/>
        </w:rPr>
        <w:t xml:space="preserve"> </w:t>
      </w:r>
      <w:r>
        <w:t>programs</w:t>
      </w:r>
      <w:r>
        <w:rPr>
          <w:spacing w:val="-3"/>
        </w:rPr>
        <w:t xml:space="preserve"> </w:t>
      </w:r>
      <w:r>
        <w:t>are</w:t>
      </w:r>
      <w:r>
        <w:rPr>
          <w:spacing w:val="-3"/>
        </w:rPr>
        <w:t xml:space="preserve"> </w:t>
      </w:r>
      <w:r>
        <w:t>modeled</w:t>
      </w:r>
      <w:r>
        <w:rPr>
          <w:spacing w:val="-3"/>
        </w:rPr>
        <w:t xml:space="preserve"> </w:t>
      </w:r>
      <w:r>
        <w:t>in</w:t>
      </w:r>
      <w:r>
        <w:rPr>
          <w:spacing w:val="-3"/>
        </w:rPr>
        <w:t xml:space="preserve"> </w:t>
      </w:r>
      <w:r>
        <w:t>the study. This specifically excludes FS.</w:t>
      </w:r>
    </w:p>
    <w:p w:rsidR="00C31389" w:rsidRDefault="00561FBD" w14:paraId="17636B04" w14:textId="77777777">
      <w:pPr>
        <w:pStyle w:val="ListParagraph"/>
        <w:numPr>
          <w:ilvl w:val="0"/>
          <w:numId w:val="41"/>
        </w:numPr>
        <w:tabs>
          <w:tab w:val="left" w:pos="1199"/>
        </w:tabs>
        <w:spacing w:before="119"/>
        <w:ind w:right="727"/>
        <w:jc w:val="both"/>
      </w:pPr>
      <w:r>
        <w:rPr>
          <w:b/>
        </w:rPr>
        <w:t>FS:</w:t>
      </w:r>
      <w:r>
        <w:rPr>
          <w:b/>
          <w:spacing w:val="-1"/>
        </w:rPr>
        <w:t xml:space="preserve"> </w:t>
      </w:r>
      <w:r>
        <w:t>FS</w:t>
      </w:r>
      <w:r>
        <w:rPr>
          <w:spacing w:val="-2"/>
        </w:rPr>
        <w:t xml:space="preserve"> </w:t>
      </w:r>
      <w:r>
        <w:t>equipment</w:t>
      </w:r>
      <w:r>
        <w:rPr>
          <w:spacing w:val="-1"/>
        </w:rPr>
        <w:t xml:space="preserve"> </w:t>
      </w:r>
      <w:r>
        <w:t>replaced</w:t>
      </w:r>
      <w:r>
        <w:rPr>
          <w:spacing w:val="-1"/>
        </w:rPr>
        <w:t xml:space="preserve"> </w:t>
      </w:r>
      <w:r>
        <w:t>gas</w:t>
      </w:r>
      <w:r>
        <w:rPr>
          <w:spacing w:val="-1"/>
        </w:rPr>
        <w:t xml:space="preserve"> </w:t>
      </w:r>
      <w:r>
        <w:t>appliances</w:t>
      </w:r>
      <w:r>
        <w:rPr>
          <w:spacing w:val="-1"/>
        </w:rPr>
        <w:t xml:space="preserve"> </w:t>
      </w:r>
      <w:r>
        <w:t>with</w:t>
      </w:r>
      <w:r>
        <w:rPr>
          <w:spacing w:val="-2"/>
        </w:rPr>
        <w:t xml:space="preserve"> </w:t>
      </w:r>
      <w:r>
        <w:t>electric</w:t>
      </w:r>
      <w:r>
        <w:rPr>
          <w:spacing w:val="-1"/>
        </w:rPr>
        <w:t xml:space="preserve"> </w:t>
      </w:r>
      <w:r>
        <w:t>appliances.</w:t>
      </w:r>
      <w:r>
        <w:rPr>
          <w:spacing w:val="-1"/>
        </w:rPr>
        <w:t xml:space="preserve"> </w:t>
      </w:r>
      <w:r>
        <w:t>It</w:t>
      </w:r>
      <w:r>
        <w:rPr>
          <w:spacing w:val="-1"/>
        </w:rPr>
        <w:t xml:space="preserve"> </w:t>
      </w:r>
      <w:r>
        <w:t>will</w:t>
      </w:r>
      <w:r>
        <w:rPr>
          <w:spacing w:val="-2"/>
        </w:rPr>
        <w:t xml:space="preserve"> </w:t>
      </w:r>
      <w:r>
        <w:t>indicate gas</w:t>
      </w:r>
      <w:r>
        <w:rPr>
          <w:spacing w:val="-4"/>
        </w:rPr>
        <w:t xml:space="preserve"> </w:t>
      </w:r>
      <w:r>
        <w:t>savings</w:t>
      </w:r>
      <w:r>
        <w:rPr>
          <w:spacing w:val="-5"/>
        </w:rPr>
        <w:t xml:space="preserve"> </w:t>
      </w:r>
      <w:r>
        <w:t>and</w:t>
      </w:r>
      <w:r>
        <w:rPr>
          <w:spacing w:val="-4"/>
        </w:rPr>
        <w:t xml:space="preserve"> </w:t>
      </w:r>
      <w:r>
        <w:t>simultaneously</w:t>
      </w:r>
      <w:r>
        <w:rPr>
          <w:spacing w:val="-4"/>
        </w:rPr>
        <w:t xml:space="preserve"> </w:t>
      </w:r>
      <w:r>
        <w:t>an</w:t>
      </w:r>
      <w:r>
        <w:rPr>
          <w:spacing w:val="-5"/>
        </w:rPr>
        <w:t xml:space="preserve"> </w:t>
      </w:r>
      <w:r>
        <w:t>increase</w:t>
      </w:r>
      <w:r>
        <w:rPr>
          <w:spacing w:val="-4"/>
        </w:rPr>
        <w:t xml:space="preserve"> </w:t>
      </w:r>
      <w:r>
        <w:t>in</w:t>
      </w:r>
      <w:r>
        <w:rPr>
          <w:spacing w:val="-4"/>
        </w:rPr>
        <w:t xml:space="preserve"> </w:t>
      </w:r>
      <w:r>
        <w:t>electric</w:t>
      </w:r>
      <w:r>
        <w:rPr>
          <w:spacing w:val="-5"/>
        </w:rPr>
        <w:t xml:space="preserve"> </w:t>
      </w:r>
      <w:r>
        <w:t>consumption.</w:t>
      </w:r>
      <w:r>
        <w:rPr>
          <w:spacing w:val="-3"/>
        </w:rPr>
        <w:t xml:space="preserve"> </w:t>
      </w:r>
      <w:r>
        <w:t>The</w:t>
      </w:r>
      <w:r>
        <w:rPr>
          <w:spacing w:val="-4"/>
        </w:rPr>
        <w:t xml:space="preserve"> </w:t>
      </w:r>
      <w:r>
        <w:t>potential study calculates impacts on electric and gas consumption that result from FS.</w:t>
      </w:r>
    </w:p>
    <w:p w:rsidR="00C31389" w:rsidRDefault="00561FBD" w14:paraId="5C0D3405" w14:textId="77777777">
      <w:pPr>
        <w:pStyle w:val="ListParagraph"/>
        <w:numPr>
          <w:ilvl w:val="0"/>
          <w:numId w:val="41"/>
        </w:numPr>
        <w:tabs>
          <w:tab w:val="left" w:pos="1199"/>
        </w:tabs>
        <w:spacing w:before="118"/>
        <w:ind w:right="434"/>
      </w:pPr>
      <w:r>
        <w:rPr>
          <w:b/>
        </w:rPr>
        <w:t xml:space="preserve">Behavior, retrocommissioning, and operational efficiency (BROs): </w:t>
      </w:r>
      <w:r>
        <w:t>These programs are based on customer changes that may not rely on any new equipment installations.</w:t>
      </w:r>
      <w:r>
        <w:rPr>
          <w:spacing w:val="-4"/>
        </w:rPr>
        <w:t xml:space="preserve"> </w:t>
      </w:r>
      <w:r>
        <w:t>BROs</w:t>
      </w:r>
      <w:r>
        <w:rPr>
          <w:spacing w:val="-3"/>
        </w:rPr>
        <w:t xml:space="preserve"> </w:t>
      </w:r>
      <w:r>
        <w:t>programs</w:t>
      </w:r>
      <w:r>
        <w:rPr>
          <w:spacing w:val="-2"/>
        </w:rPr>
        <w:t xml:space="preserve"> </w:t>
      </w:r>
      <w:r>
        <w:t>are</w:t>
      </w:r>
      <w:r>
        <w:rPr>
          <w:spacing w:val="-3"/>
        </w:rPr>
        <w:t xml:space="preserve"> </w:t>
      </w:r>
      <w:r>
        <w:t>a</w:t>
      </w:r>
      <w:r>
        <w:rPr>
          <w:spacing w:val="-3"/>
        </w:rPr>
        <w:t xml:space="preserve"> </w:t>
      </w:r>
      <w:r>
        <w:t>key</w:t>
      </w:r>
      <w:r>
        <w:rPr>
          <w:spacing w:val="-3"/>
        </w:rPr>
        <w:t xml:space="preserve"> </w:t>
      </w:r>
      <w:r>
        <w:t>driver</w:t>
      </w:r>
      <w:r>
        <w:rPr>
          <w:spacing w:val="-3"/>
        </w:rPr>
        <w:t xml:space="preserve"> </w:t>
      </w:r>
      <w:r>
        <w:t>of</w:t>
      </w:r>
      <w:r>
        <w:rPr>
          <w:spacing w:val="-3"/>
        </w:rPr>
        <w:t xml:space="preserve"> </w:t>
      </w:r>
      <w:r>
        <w:t>the</w:t>
      </w:r>
      <w:r>
        <w:rPr>
          <w:spacing w:val="-3"/>
        </w:rPr>
        <w:t xml:space="preserve"> </w:t>
      </w:r>
      <w:r>
        <w:t>total</w:t>
      </w:r>
      <w:r>
        <w:rPr>
          <w:spacing w:val="-3"/>
        </w:rPr>
        <w:t xml:space="preserve"> </w:t>
      </w:r>
      <w:r>
        <w:t>first-year</w:t>
      </w:r>
      <w:r>
        <w:rPr>
          <w:spacing w:val="-3"/>
        </w:rPr>
        <w:t xml:space="preserve"> </w:t>
      </w:r>
      <w:r>
        <w:t>savings.</w:t>
      </w:r>
      <w:r>
        <w:rPr>
          <w:spacing w:val="-3"/>
        </w:rPr>
        <w:t xml:space="preserve"> </w:t>
      </w:r>
      <w:r>
        <w:t>However, the impact that BRO</w:t>
      </w:r>
      <w:r>
        <w:t>s have on TSB is limited due to the shorter measure life.</w:t>
      </w:r>
    </w:p>
    <w:p w:rsidR="00C31389" w:rsidRDefault="00561FBD" w14:paraId="01918D2B" w14:textId="77777777">
      <w:pPr>
        <w:pStyle w:val="BodyText"/>
        <w:spacing w:before="118"/>
        <w:ind w:left="478" w:right="418"/>
      </w:pPr>
      <w:r>
        <w:t>C&amp;S</w:t>
      </w:r>
      <w:r>
        <w:rPr>
          <w:spacing w:val="-4"/>
        </w:rPr>
        <w:t xml:space="preserve"> </w:t>
      </w:r>
      <w:r>
        <w:t>savings</w:t>
      </w:r>
      <w:r>
        <w:rPr>
          <w:spacing w:val="-3"/>
        </w:rPr>
        <w:t xml:space="preserve"> </w:t>
      </w:r>
      <w:r>
        <w:t>are</w:t>
      </w:r>
      <w:r>
        <w:rPr>
          <w:spacing w:val="-3"/>
        </w:rPr>
        <w:t xml:space="preserve"> </w:t>
      </w:r>
      <w:r>
        <w:t>provided</w:t>
      </w:r>
      <w:r>
        <w:rPr>
          <w:spacing w:val="-3"/>
        </w:rPr>
        <w:t xml:space="preserve"> </w:t>
      </w:r>
      <w:r>
        <w:t>separately.</w:t>
      </w:r>
      <w:r>
        <w:rPr>
          <w:spacing w:val="-3"/>
        </w:rPr>
        <w:t xml:space="preserve"> </w:t>
      </w:r>
      <w:r>
        <w:t>The</w:t>
      </w:r>
      <w:r>
        <w:rPr>
          <w:spacing w:val="-3"/>
        </w:rPr>
        <w:t xml:space="preserve"> </w:t>
      </w:r>
      <w:r>
        <w:t>evaluated</w:t>
      </w:r>
      <w:r>
        <w:rPr>
          <w:spacing w:val="-3"/>
        </w:rPr>
        <w:t xml:space="preserve"> </w:t>
      </w:r>
      <w:r>
        <w:t>IOU</w:t>
      </w:r>
      <w:r>
        <w:rPr>
          <w:spacing w:val="-4"/>
        </w:rPr>
        <w:t xml:space="preserve"> </w:t>
      </w:r>
      <w:r>
        <w:t>advocacy</w:t>
      </w:r>
      <w:r>
        <w:rPr>
          <w:spacing w:val="-4"/>
        </w:rPr>
        <w:t xml:space="preserve"> </w:t>
      </w:r>
      <w:r>
        <w:t>for</w:t>
      </w:r>
      <w:r>
        <w:rPr>
          <w:spacing w:val="-3"/>
        </w:rPr>
        <w:t xml:space="preserve"> </w:t>
      </w:r>
      <w:r>
        <w:t>the</w:t>
      </w:r>
      <w:r>
        <w:rPr>
          <w:spacing w:val="-3"/>
        </w:rPr>
        <w:t xml:space="preserve"> </w:t>
      </w:r>
      <w:r>
        <w:t>development</w:t>
      </w:r>
      <w:r>
        <w:rPr>
          <w:spacing w:val="-3"/>
        </w:rPr>
        <w:t xml:space="preserve"> </w:t>
      </w:r>
      <w:r>
        <w:t>of new C&amp;S and level of adoption in the marketplace are the source for the C&amp;S savings.</w:t>
      </w:r>
    </w:p>
    <w:p w:rsidR="00C31389" w:rsidRDefault="00C31389" w14:paraId="47E16CEF" w14:textId="77777777">
      <w:pPr>
        <w:pStyle w:val="BodyText"/>
        <w:spacing w:before="11"/>
        <w:rPr>
          <w:sz w:val="20"/>
        </w:rPr>
      </w:pPr>
    </w:p>
    <w:p w:rsidR="00C31389" w:rsidRDefault="00561FBD" w14:paraId="2E1CDD26" w14:textId="77777777">
      <w:pPr>
        <w:pStyle w:val="Heading4"/>
        <w:ind w:left="480" w:firstLine="0"/>
      </w:pPr>
      <w:bookmarkStart w:name="_bookmark196" w:id="260"/>
      <w:bookmarkEnd w:id="260"/>
      <w:r>
        <w:t>Total</w:t>
      </w:r>
      <w:r>
        <w:rPr>
          <w:spacing w:val="-5"/>
        </w:rPr>
        <w:t xml:space="preserve"> </w:t>
      </w:r>
      <w:r>
        <w:t>Achievable</w:t>
      </w:r>
      <w:r>
        <w:rPr>
          <w:spacing w:val="-4"/>
        </w:rPr>
        <w:t xml:space="preserve"> </w:t>
      </w:r>
      <w:r>
        <w:rPr>
          <w:spacing w:val="-2"/>
        </w:rPr>
        <w:t>Potentia</w:t>
      </w:r>
      <w:r>
        <w:rPr>
          <w:spacing w:val="-2"/>
        </w:rPr>
        <w:t>l</w:t>
      </w:r>
    </w:p>
    <w:p w:rsidR="00C31389" w:rsidRDefault="00C31389" w14:paraId="245CD552" w14:textId="77777777">
      <w:pPr>
        <w:pStyle w:val="BodyText"/>
        <w:spacing w:before="9"/>
        <w:rPr>
          <w:b/>
          <w:sz w:val="20"/>
        </w:rPr>
      </w:pPr>
    </w:p>
    <w:p w:rsidR="00C31389" w:rsidRDefault="00561FBD" w14:paraId="18706E74" w14:textId="77777777">
      <w:pPr>
        <w:pStyle w:val="BodyText"/>
        <w:spacing w:before="1"/>
        <w:ind w:left="479" w:right="615"/>
      </w:pPr>
      <w:hyperlink w:history="1" w:anchor="_bookmark197">
        <w:r>
          <w:t>Table</w:t>
        </w:r>
        <w:r>
          <w:rPr>
            <w:spacing w:val="-3"/>
          </w:rPr>
          <w:t xml:space="preserve"> </w:t>
        </w:r>
        <w:r>
          <w:t>4-2</w:t>
        </w:r>
      </w:hyperlink>
      <w:r>
        <w:rPr>
          <w:spacing w:val="-3"/>
        </w:rPr>
        <w:t xml:space="preserve"> </w:t>
      </w:r>
      <w:r>
        <w:t>shows</w:t>
      </w:r>
      <w:r>
        <w:rPr>
          <w:spacing w:val="-3"/>
        </w:rPr>
        <w:t xml:space="preserve"> </w:t>
      </w:r>
      <w:r>
        <w:t>results</w:t>
      </w:r>
      <w:r>
        <w:rPr>
          <w:spacing w:val="-3"/>
        </w:rPr>
        <w:t xml:space="preserve"> </w:t>
      </w:r>
      <w:r>
        <w:t>in</w:t>
      </w:r>
      <w:r>
        <w:rPr>
          <w:spacing w:val="-3"/>
        </w:rPr>
        <w:t xml:space="preserve"> </w:t>
      </w:r>
      <w:r>
        <w:t>the</w:t>
      </w:r>
      <w:r>
        <w:rPr>
          <w:spacing w:val="-3"/>
        </w:rPr>
        <w:t xml:space="preserve"> </w:t>
      </w:r>
      <w:r>
        <w:t>year</w:t>
      </w:r>
      <w:r>
        <w:rPr>
          <w:spacing w:val="-3"/>
        </w:rPr>
        <w:t xml:space="preserve"> </w:t>
      </w:r>
      <w:r>
        <w:t>2024.</w:t>
      </w:r>
      <w:r>
        <w:rPr>
          <w:spacing w:val="-3"/>
        </w:rPr>
        <w:t xml:space="preserve"> </w:t>
      </w:r>
      <w:r>
        <w:t>It</w:t>
      </w:r>
      <w:r>
        <w:rPr>
          <w:spacing w:val="-3"/>
        </w:rPr>
        <w:t xml:space="preserve"> </w:t>
      </w:r>
      <w:r>
        <w:t>shows</w:t>
      </w:r>
      <w:r>
        <w:rPr>
          <w:spacing w:val="-3"/>
        </w:rPr>
        <w:t xml:space="preserve"> </w:t>
      </w:r>
      <w:r>
        <w:t>the</w:t>
      </w:r>
      <w:r>
        <w:rPr>
          <w:spacing w:val="-3"/>
        </w:rPr>
        <w:t xml:space="preserve"> </w:t>
      </w:r>
      <w:r>
        <w:t>achievable</w:t>
      </w:r>
      <w:r>
        <w:rPr>
          <w:spacing w:val="-3"/>
        </w:rPr>
        <w:t xml:space="preserve"> </w:t>
      </w:r>
      <w:r>
        <w:t>potential</w:t>
      </w:r>
      <w:r>
        <w:rPr>
          <w:spacing w:val="-3"/>
        </w:rPr>
        <w:t xml:space="preserve"> </w:t>
      </w:r>
      <w:r>
        <w:t>results</w:t>
      </w:r>
      <w:r>
        <w:rPr>
          <w:spacing w:val="-3"/>
        </w:rPr>
        <w:t xml:space="preserve"> </w:t>
      </w:r>
      <w:r>
        <w:t>for</w:t>
      </w:r>
      <w:r>
        <w:rPr>
          <w:spacing w:val="-4"/>
        </w:rPr>
        <w:t xml:space="preserve"> </w:t>
      </w:r>
      <w:r>
        <w:t xml:space="preserve">each program type (EE equipment, FS, and BROs) for the scenarios listed in </w:t>
      </w:r>
      <w:hyperlink w:history="1" w:anchor="_bookmark93">
        <w:r>
          <w:t>Table 2-10</w:t>
        </w:r>
      </w:hyperlink>
      <w:r>
        <w:t xml:space="preserve">. </w:t>
      </w:r>
      <w:hyperlink w:history="1" w:anchor="_bookmark197">
        <w:r>
          <w:t>Table</w:t>
        </w:r>
      </w:hyperlink>
      <w:r>
        <w:t xml:space="preserve"> </w:t>
      </w:r>
      <w:hyperlink w:history="1" w:anchor="_bookmark197">
        <w:r>
          <w:t>4-2</w:t>
        </w:r>
      </w:hyperlink>
      <w:r>
        <w:t xml:space="preserve"> also includes the 2021 Study scenario that was used by the CPUC to inform previous goals as a comparison.</w:t>
      </w:r>
    </w:p>
    <w:p w:rsidR="00C31389" w:rsidRDefault="00C31389" w14:paraId="2C4A0C71" w14:textId="77777777">
      <w:pPr>
        <w:pStyle w:val="BodyText"/>
        <w:spacing w:before="9"/>
        <w:rPr>
          <w:sz w:val="20"/>
        </w:rPr>
      </w:pPr>
    </w:p>
    <w:p w:rsidR="00C31389" w:rsidRDefault="00561FBD" w14:paraId="2FCC1CA6" w14:textId="77777777">
      <w:pPr>
        <w:pStyle w:val="Heading7"/>
        <w:ind w:left="1087"/>
      </w:pPr>
      <w:bookmarkStart w:name="_bookmark197" w:id="261"/>
      <w:bookmarkEnd w:id="261"/>
      <w:r>
        <w:t>Table</w:t>
      </w:r>
      <w:r>
        <w:rPr>
          <w:spacing w:val="-8"/>
        </w:rPr>
        <w:t xml:space="preserve"> </w:t>
      </w:r>
      <w:r>
        <w:t>4-2.</w:t>
      </w:r>
      <w:r>
        <w:rPr>
          <w:spacing w:val="-8"/>
        </w:rPr>
        <w:t xml:space="preserve"> </w:t>
      </w:r>
      <w:r>
        <w:t>2022</w:t>
      </w:r>
      <w:r>
        <w:rPr>
          <w:spacing w:val="-7"/>
        </w:rPr>
        <w:t xml:space="preserve"> </w:t>
      </w:r>
      <w:r>
        <w:t>Net</w:t>
      </w:r>
      <w:r>
        <w:rPr>
          <w:spacing w:val="-8"/>
        </w:rPr>
        <w:t xml:space="preserve"> </w:t>
      </w:r>
      <w:r>
        <w:t>First-Year</w:t>
      </w:r>
      <w:r>
        <w:rPr>
          <w:spacing w:val="-8"/>
        </w:rPr>
        <w:t xml:space="preserve"> </w:t>
      </w:r>
      <w:r>
        <w:t>Incremental</w:t>
      </w:r>
      <w:r>
        <w:rPr>
          <w:spacing w:val="-8"/>
        </w:rPr>
        <w:t xml:space="preserve"> </w:t>
      </w:r>
      <w:r>
        <w:t>Savings</w:t>
      </w:r>
      <w:r>
        <w:rPr>
          <w:spacing w:val="-7"/>
        </w:rPr>
        <w:t xml:space="preserve"> </w:t>
      </w:r>
      <w:r>
        <w:t>by</w:t>
      </w:r>
      <w:r>
        <w:rPr>
          <w:spacing w:val="-8"/>
        </w:rPr>
        <w:t xml:space="preserve"> </w:t>
      </w:r>
      <w:r>
        <w:t>Scenario</w:t>
      </w:r>
      <w:r>
        <w:rPr>
          <w:spacing w:val="-7"/>
        </w:rPr>
        <w:t xml:space="preserve"> </w:t>
      </w:r>
      <w:r>
        <w:rPr>
          <w:spacing w:val="-2"/>
        </w:rPr>
        <w:t>(Statewide)</w:t>
      </w:r>
    </w:p>
    <w:p w:rsidR="00C31389" w:rsidRDefault="00C31389" w14:paraId="4473DEBA" w14:textId="77777777">
      <w:pPr>
        <w:pStyle w:val="BodyText"/>
        <w:spacing w:before="10"/>
        <w:rPr>
          <w:b/>
          <w:sz w:val="9"/>
        </w:rPr>
      </w:pPr>
    </w:p>
    <w:tbl>
      <w:tblPr>
        <w:tblW w:w="0" w:type="auto"/>
        <w:tblInd w:w="487" w:type="dxa"/>
        <w:tblLayout w:type="fixed"/>
        <w:tblCellMar>
          <w:left w:w="0" w:type="dxa"/>
          <w:right w:w="0" w:type="dxa"/>
        </w:tblCellMar>
        <w:tblLook w:val="01E0" w:firstRow="1" w:lastRow="1" w:firstColumn="1" w:lastColumn="1" w:noHBand="0" w:noVBand="0"/>
      </w:tblPr>
      <w:tblGrid>
        <w:gridCol w:w="1611"/>
        <w:gridCol w:w="1463"/>
        <w:gridCol w:w="1207"/>
        <w:gridCol w:w="976"/>
        <w:gridCol w:w="1174"/>
        <w:gridCol w:w="1343"/>
        <w:gridCol w:w="1254"/>
      </w:tblGrid>
      <w:tr w:rsidR="00C31389" w14:paraId="7E71E983" w14:textId="77777777">
        <w:trPr>
          <w:trHeight w:val="1149"/>
        </w:trPr>
        <w:tc>
          <w:tcPr>
            <w:tcW w:w="1611" w:type="dxa"/>
            <w:tcBorders>
              <w:bottom w:val="single" w:color="000000" w:sz="6" w:space="0"/>
            </w:tcBorders>
            <w:shd w:val="clear" w:color="auto" w:fill="92D400"/>
          </w:tcPr>
          <w:p w:rsidR="00C31389" w:rsidRDefault="00C31389" w14:paraId="2C3457EB" w14:textId="77777777">
            <w:pPr>
              <w:pStyle w:val="TableParagraph"/>
              <w:spacing w:before="0"/>
              <w:rPr>
                <w:b/>
              </w:rPr>
            </w:pPr>
          </w:p>
          <w:p w:rsidR="00C31389" w:rsidRDefault="00C31389" w14:paraId="6F1D9DBF" w14:textId="77777777">
            <w:pPr>
              <w:pStyle w:val="TableParagraph"/>
              <w:spacing w:before="0"/>
              <w:rPr>
                <w:b/>
                <w:sz w:val="18"/>
              </w:rPr>
            </w:pPr>
          </w:p>
          <w:p w:rsidR="00C31389" w:rsidRDefault="00561FBD" w14:paraId="5E399E3F" w14:textId="77777777">
            <w:pPr>
              <w:pStyle w:val="TableParagraph"/>
              <w:spacing w:before="0"/>
              <w:ind w:left="7"/>
              <w:rPr>
                <w:b/>
                <w:sz w:val="20"/>
              </w:rPr>
            </w:pPr>
            <w:r>
              <w:rPr>
                <w:b/>
                <w:sz w:val="20"/>
              </w:rPr>
              <w:t>Savings</w:t>
            </w:r>
            <w:r>
              <w:rPr>
                <w:b/>
                <w:spacing w:val="-4"/>
                <w:sz w:val="20"/>
              </w:rPr>
              <w:t xml:space="preserve"> </w:t>
            </w:r>
            <w:r>
              <w:rPr>
                <w:b/>
                <w:spacing w:val="-2"/>
                <w:sz w:val="20"/>
              </w:rPr>
              <w:t>Metric</w:t>
            </w:r>
          </w:p>
        </w:tc>
        <w:tc>
          <w:tcPr>
            <w:tcW w:w="1463" w:type="dxa"/>
            <w:tcBorders>
              <w:bottom w:val="single" w:color="000000" w:sz="6" w:space="0"/>
            </w:tcBorders>
            <w:shd w:val="clear" w:color="auto" w:fill="92D400"/>
          </w:tcPr>
          <w:p w:rsidR="00C31389" w:rsidRDefault="00C31389" w14:paraId="6378CC73" w14:textId="77777777">
            <w:pPr>
              <w:pStyle w:val="TableParagraph"/>
              <w:spacing w:before="0"/>
              <w:rPr>
                <w:b/>
              </w:rPr>
            </w:pPr>
          </w:p>
          <w:p w:rsidR="00C31389" w:rsidRDefault="00C31389" w14:paraId="2C483165" w14:textId="77777777">
            <w:pPr>
              <w:pStyle w:val="TableParagraph"/>
              <w:spacing w:before="0"/>
              <w:rPr>
                <w:b/>
                <w:sz w:val="18"/>
              </w:rPr>
            </w:pPr>
          </w:p>
          <w:p w:rsidR="00C31389" w:rsidRDefault="00561FBD" w14:paraId="689BAC75" w14:textId="77777777">
            <w:pPr>
              <w:pStyle w:val="TableParagraph"/>
              <w:spacing w:before="0"/>
              <w:ind w:left="11"/>
              <w:rPr>
                <w:b/>
                <w:sz w:val="20"/>
              </w:rPr>
            </w:pPr>
            <w:r>
              <w:rPr>
                <w:b/>
                <w:sz w:val="20"/>
              </w:rPr>
              <w:t>Program</w:t>
            </w:r>
            <w:r>
              <w:rPr>
                <w:b/>
                <w:spacing w:val="-10"/>
                <w:sz w:val="20"/>
              </w:rPr>
              <w:t xml:space="preserve"> </w:t>
            </w:r>
            <w:r>
              <w:rPr>
                <w:b/>
                <w:spacing w:val="-4"/>
                <w:sz w:val="20"/>
              </w:rPr>
              <w:t>Type</w:t>
            </w:r>
          </w:p>
        </w:tc>
        <w:tc>
          <w:tcPr>
            <w:tcW w:w="1207" w:type="dxa"/>
            <w:tcBorders>
              <w:bottom w:val="single" w:color="000000" w:sz="6" w:space="0"/>
            </w:tcBorders>
            <w:shd w:val="clear" w:color="auto" w:fill="92D400"/>
          </w:tcPr>
          <w:p w:rsidR="00C31389" w:rsidRDefault="00C31389" w14:paraId="3733EA42" w14:textId="77777777">
            <w:pPr>
              <w:pStyle w:val="TableParagraph"/>
              <w:spacing w:before="0"/>
              <w:rPr>
                <w:b/>
                <w:sz w:val="30"/>
              </w:rPr>
            </w:pPr>
          </w:p>
          <w:p w:rsidR="00C31389" w:rsidRDefault="00561FBD" w14:paraId="5DAEB314" w14:textId="77777777">
            <w:pPr>
              <w:pStyle w:val="TableParagraph"/>
              <w:spacing w:before="0"/>
              <w:ind w:left="200" w:right="22" w:hanging="78"/>
              <w:rPr>
                <w:b/>
                <w:sz w:val="20"/>
              </w:rPr>
            </w:pPr>
            <w:r>
              <w:rPr>
                <w:b/>
                <w:sz w:val="20"/>
              </w:rPr>
              <w:t>2021</w:t>
            </w:r>
            <w:r>
              <w:rPr>
                <w:b/>
                <w:spacing w:val="-14"/>
                <w:sz w:val="20"/>
              </w:rPr>
              <w:t xml:space="preserve"> </w:t>
            </w:r>
            <w:r>
              <w:rPr>
                <w:b/>
                <w:sz w:val="20"/>
              </w:rPr>
              <w:t xml:space="preserve">Goals </w:t>
            </w:r>
            <w:r>
              <w:rPr>
                <w:b/>
                <w:spacing w:val="-2"/>
                <w:sz w:val="20"/>
              </w:rPr>
              <w:t>Scenario</w:t>
            </w:r>
          </w:p>
        </w:tc>
        <w:tc>
          <w:tcPr>
            <w:tcW w:w="976" w:type="dxa"/>
            <w:tcBorders>
              <w:bottom w:val="single" w:color="000000" w:sz="6" w:space="0"/>
            </w:tcBorders>
            <w:shd w:val="clear" w:color="auto" w:fill="92D400"/>
          </w:tcPr>
          <w:p w:rsidR="00C31389" w:rsidRDefault="00C31389" w14:paraId="1218DC96" w14:textId="77777777">
            <w:pPr>
              <w:pStyle w:val="TableParagraph"/>
              <w:spacing w:before="0"/>
              <w:rPr>
                <w:b/>
              </w:rPr>
            </w:pPr>
          </w:p>
          <w:p w:rsidR="00C31389" w:rsidRDefault="00C31389" w14:paraId="5ED3238F" w14:textId="77777777">
            <w:pPr>
              <w:pStyle w:val="TableParagraph"/>
              <w:spacing w:before="0"/>
              <w:rPr>
                <w:b/>
                <w:sz w:val="18"/>
              </w:rPr>
            </w:pPr>
          </w:p>
          <w:p w:rsidR="00C31389" w:rsidRDefault="00561FBD" w14:paraId="65080036" w14:textId="77777777">
            <w:pPr>
              <w:pStyle w:val="TableParagraph"/>
              <w:spacing w:before="0"/>
              <w:ind w:left="30" w:right="21"/>
              <w:jc w:val="center"/>
              <w:rPr>
                <w:b/>
                <w:sz w:val="20"/>
              </w:rPr>
            </w:pPr>
            <w:r>
              <w:rPr>
                <w:b/>
                <w:sz w:val="20"/>
              </w:rPr>
              <w:t>1: No</w:t>
            </w:r>
            <w:r>
              <w:rPr>
                <w:b/>
                <w:spacing w:val="-1"/>
                <w:sz w:val="20"/>
              </w:rPr>
              <w:t xml:space="preserve"> </w:t>
            </w:r>
            <w:r>
              <w:rPr>
                <w:b/>
                <w:spacing w:val="-5"/>
                <w:sz w:val="20"/>
              </w:rPr>
              <w:t>IRA</w:t>
            </w:r>
          </w:p>
        </w:tc>
        <w:tc>
          <w:tcPr>
            <w:tcW w:w="1174" w:type="dxa"/>
            <w:tcBorders>
              <w:bottom w:val="single" w:color="000000" w:sz="6" w:space="0"/>
            </w:tcBorders>
            <w:shd w:val="clear" w:color="auto" w:fill="92D400"/>
          </w:tcPr>
          <w:p w:rsidR="00C31389" w:rsidRDefault="00C31389" w14:paraId="7EFCFA98" w14:textId="77777777">
            <w:pPr>
              <w:pStyle w:val="TableParagraph"/>
              <w:spacing w:before="0"/>
              <w:rPr>
                <w:b/>
                <w:sz w:val="20"/>
              </w:rPr>
            </w:pPr>
          </w:p>
          <w:p w:rsidR="00C31389" w:rsidRDefault="00561FBD" w14:paraId="4A269766" w14:textId="77777777">
            <w:pPr>
              <w:pStyle w:val="TableParagraph"/>
              <w:spacing w:before="0"/>
              <w:ind w:left="347" w:right="306"/>
              <w:jc w:val="center"/>
              <w:rPr>
                <w:b/>
                <w:sz w:val="20"/>
              </w:rPr>
            </w:pPr>
            <w:r>
              <w:rPr>
                <w:b/>
                <w:spacing w:val="-5"/>
                <w:sz w:val="20"/>
              </w:rPr>
              <w:t>2:</w:t>
            </w:r>
          </w:p>
          <w:p w:rsidR="00C31389" w:rsidRDefault="00561FBD" w14:paraId="458AF966" w14:textId="77777777">
            <w:pPr>
              <w:pStyle w:val="TableParagraph"/>
              <w:spacing w:before="0"/>
              <w:ind w:left="46" w:right="56" w:firstLine="53"/>
              <w:jc w:val="center"/>
              <w:rPr>
                <w:b/>
                <w:sz w:val="20"/>
              </w:rPr>
            </w:pPr>
            <w:r>
              <w:rPr>
                <w:b/>
                <w:spacing w:val="-2"/>
                <w:sz w:val="20"/>
              </w:rPr>
              <w:t xml:space="preserve">Reference </w:t>
            </w:r>
            <w:r>
              <w:rPr>
                <w:b/>
                <w:sz w:val="20"/>
              </w:rPr>
              <w:t>IRA</w:t>
            </w:r>
            <w:r>
              <w:rPr>
                <w:b/>
                <w:spacing w:val="-1"/>
                <w:sz w:val="20"/>
              </w:rPr>
              <w:t xml:space="preserve"> </w:t>
            </w:r>
            <w:r>
              <w:rPr>
                <w:b/>
                <w:sz w:val="20"/>
              </w:rPr>
              <w:t>and</w:t>
            </w:r>
            <w:r>
              <w:rPr>
                <w:b/>
                <w:spacing w:val="-1"/>
                <w:sz w:val="20"/>
              </w:rPr>
              <w:t xml:space="preserve"> </w:t>
            </w:r>
            <w:r>
              <w:rPr>
                <w:b/>
                <w:spacing w:val="-5"/>
                <w:sz w:val="20"/>
              </w:rPr>
              <w:t>FS</w:t>
            </w:r>
          </w:p>
        </w:tc>
        <w:tc>
          <w:tcPr>
            <w:tcW w:w="1343" w:type="dxa"/>
            <w:tcBorders>
              <w:bottom w:val="single" w:color="000000" w:sz="6" w:space="0"/>
            </w:tcBorders>
            <w:shd w:val="clear" w:color="auto" w:fill="92D400"/>
          </w:tcPr>
          <w:p w:rsidR="00C31389" w:rsidRDefault="00561FBD" w14:paraId="7F8E939F" w14:textId="77777777">
            <w:pPr>
              <w:pStyle w:val="TableParagraph"/>
              <w:spacing w:before="116"/>
              <w:ind w:left="71" w:right="69"/>
              <w:jc w:val="center"/>
              <w:rPr>
                <w:b/>
                <w:sz w:val="20"/>
              </w:rPr>
            </w:pPr>
            <w:r>
              <w:rPr>
                <w:b/>
                <w:sz w:val="20"/>
              </w:rPr>
              <w:t>3:</w:t>
            </w:r>
            <w:r>
              <w:rPr>
                <w:b/>
                <w:spacing w:val="-14"/>
                <w:sz w:val="20"/>
              </w:rPr>
              <w:t xml:space="preserve"> </w:t>
            </w:r>
            <w:r>
              <w:rPr>
                <w:b/>
                <w:sz w:val="20"/>
              </w:rPr>
              <w:t xml:space="preserve">Reference IRA and </w:t>
            </w:r>
            <w:r>
              <w:rPr>
                <w:b/>
                <w:spacing w:val="-2"/>
                <w:sz w:val="20"/>
              </w:rPr>
              <w:t xml:space="preserve">Aggressive </w:t>
            </w:r>
            <w:r>
              <w:rPr>
                <w:b/>
                <w:spacing w:val="-6"/>
                <w:sz w:val="20"/>
              </w:rPr>
              <w:t>FS</w:t>
            </w:r>
          </w:p>
        </w:tc>
        <w:tc>
          <w:tcPr>
            <w:tcW w:w="1254" w:type="dxa"/>
            <w:tcBorders>
              <w:bottom w:val="single" w:color="000000" w:sz="6" w:space="0"/>
            </w:tcBorders>
            <w:shd w:val="clear" w:color="auto" w:fill="92D400"/>
          </w:tcPr>
          <w:p w:rsidR="00C31389" w:rsidRDefault="00561FBD" w14:paraId="1BC2253D" w14:textId="77777777">
            <w:pPr>
              <w:pStyle w:val="TableParagraph"/>
              <w:spacing w:before="1" w:line="230" w:lineRule="exact"/>
              <w:ind w:left="83" w:right="87"/>
              <w:jc w:val="center"/>
              <w:rPr>
                <w:b/>
                <w:sz w:val="20"/>
              </w:rPr>
            </w:pPr>
            <w:r>
              <w:rPr>
                <w:b/>
                <w:spacing w:val="-5"/>
                <w:sz w:val="20"/>
              </w:rPr>
              <w:t>4:</w:t>
            </w:r>
          </w:p>
          <w:p w:rsidR="00C31389" w:rsidRDefault="00561FBD" w14:paraId="021B4CFC" w14:textId="77777777">
            <w:pPr>
              <w:pStyle w:val="TableParagraph"/>
              <w:spacing w:before="0"/>
              <w:ind w:left="83" w:right="88"/>
              <w:jc w:val="center"/>
              <w:rPr>
                <w:b/>
                <w:sz w:val="20"/>
              </w:rPr>
            </w:pPr>
            <w:r>
              <w:rPr>
                <w:b/>
                <w:spacing w:val="-2"/>
                <w:sz w:val="20"/>
              </w:rPr>
              <w:t xml:space="preserve">Aggressive </w:t>
            </w:r>
            <w:r>
              <w:rPr>
                <w:b/>
                <w:sz w:val="20"/>
              </w:rPr>
              <w:t>IRA and</w:t>
            </w:r>
          </w:p>
          <w:p w:rsidR="00C31389" w:rsidRDefault="00561FBD" w14:paraId="6C651F62" w14:textId="77777777">
            <w:pPr>
              <w:pStyle w:val="TableParagraph"/>
              <w:spacing w:before="0" w:line="230" w:lineRule="exact"/>
              <w:ind w:left="83" w:right="87"/>
              <w:jc w:val="center"/>
              <w:rPr>
                <w:b/>
                <w:sz w:val="20"/>
              </w:rPr>
            </w:pPr>
            <w:r>
              <w:rPr>
                <w:b/>
                <w:spacing w:val="-2"/>
                <w:sz w:val="20"/>
              </w:rPr>
              <w:t xml:space="preserve">Reference </w:t>
            </w:r>
            <w:r>
              <w:rPr>
                <w:b/>
                <w:spacing w:val="-6"/>
                <w:sz w:val="20"/>
              </w:rPr>
              <w:t>FS</w:t>
            </w:r>
          </w:p>
        </w:tc>
      </w:tr>
      <w:tr w:rsidR="00C31389" w14:paraId="5CBEC564" w14:textId="77777777">
        <w:trPr>
          <w:trHeight w:val="228"/>
        </w:trPr>
        <w:tc>
          <w:tcPr>
            <w:tcW w:w="1611" w:type="dxa"/>
            <w:vMerge w:val="restart"/>
            <w:tcBorders>
              <w:top w:val="single" w:color="000000" w:sz="6" w:space="0"/>
              <w:bottom w:val="single" w:color="000000" w:sz="4" w:space="0"/>
            </w:tcBorders>
          </w:tcPr>
          <w:p w:rsidR="00C31389" w:rsidRDefault="00561FBD" w14:paraId="7318418B" w14:textId="77777777">
            <w:pPr>
              <w:pStyle w:val="TableParagraph"/>
              <w:spacing w:before="137"/>
              <w:ind w:left="-1" w:right="335"/>
              <w:jc w:val="both"/>
              <w:rPr>
                <w:b/>
                <w:sz w:val="20"/>
              </w:rPr>
            </w:pPr>
            <w:r>
              <w:rPr>
                <w:b/>
                <w:sz w:val="20"/>
              </w:rPr>
              <w:t>Total</w:t>
            </w:r>
            <w:r>
              <w:rPr>
                <w:b/>
                <w:spacing w:val="-9"/>
                <w:sz w:val="20"/>
              </w:rPr>
              <w:t xml:space="preserve"> </w:t>
            </w:r>
            <w:r>
              <w:rPr>
                <w:b/>
                <w:sz w:val="20"/>
              </w:rPr>
              <w:t>System Benefit</w:t>
            </w:r>
            <w:r>
              <w:rPr>
                <w:b/>
                <w:spacing w:val="-14"/>
                <w:sz w:val="20"/>
              </w:rPr>
              <w:t xml:space="preserve"> </w:t>
            </w:r>
            <w:r>
              <w:rPr>
                <w:b/>
                <w:sz w:val="20"/>
              </w:rPr>
              <w:t>(TSB) ($ Millions)</w:t>
            </w:r>
          </w:p>
        </w:tc>
        <w:tc>
          <w:tcPr>
            <w:tcW w:w="1463" w:type="dxa"/>
            <w:tcBorders>
              <w:top w:val="single" w:color="000000" w:sz="6" w:space="0"/>
              <w:bottom w:val="single" w:color="D9D9D9" w:sz="6" w:space="0"/>
            </w:tcBorders>
          </w:tcPr>
          <w:p w:rsidR="00C31389" w:rsidRDefault="00561FBD" w14:paraId="0497748D" w14:textId="77777777">
            <w:pPr>
              <w:pStyle w:val="TableParagraph"/>
              <w:spacing w:before="0" w:line="209" w:lineRule="exact"/>
              <w:ind w:left="11"/>
              <w:rPr>
                <w:sz w:val="20"/>
              </w:rPr>
            </w:pPr>
            <w:r>
              <w:rPr>
                <w:spacing w:val="-5"/>
                <w:sz w:val="20"/>
              </w:rPr>
              <w:t>FS</w:t>
            </w:r>
          </w:p>
        </w:tc>
        <w:tc>
          <w:tcPr>
            <w:tcW w:w="1207" w:type="dxa"/>
            <w:tcBorders>
              <w:top w:val="single" w:color="000000" w:sz="6" w:space="0"/>
              <w:bottom w:val="single" w:color="D9D9D9" w:sz="6" w:space="0"/>
            </w:tcBorders>
          </w:tcPr>
          <w:p w:rsidR="00C31389" w:rsidRDefault="00561FBD" w14:paraId="415EECDC" w14:textId="77777777">
            <w:pPr>
              <w:pStyle w:val="TableParagraph"/>
              <w:spacing w:before="0" w:line="209" w:lineRule="exact"/>
              <w:ind w:left="362" w:right="322"/>
              <w:jc w:val="center"/>
              <w:rPr>
                <w:sz w:val="20"/>
              </w:rPr>
            </w:pPr>
            <w:r>
              <w:rPr>
                <w:spacing w:val="-5"/>
                <w:sz w:val="20"/>
              </w:rPr>
              <w:t>$98</w:t>
            </w:r>
          </w:p>
        </w:tc>
        <w:tc>
          <w:tcPr>
            <w:tcW w:w="976" w:type="dxa"/>
            <w:tcBorders>
              <w:top w:val="single" w:color="000000" w:sz="6" w:space="0"/>
              <w:bottom w:val="single" w:color="D9D9D9" w:sz="6" w:space="0"/>
            </w:tcBorders>
          </w:tcPr>
          <w:p w:rsidR="00C31389" w:rsidRDefault="00561FBD" w14:paraId="71B19121" w14:textId="77777777">
            <w:pPr>
              <w:pStyle w:val="TableParagraph"/>
              <w:spacing w:before="0" w:line="209" w:lineRule="exact"/>
              <w:ind w:left="30" w:right="20"/>
              <w:jc w:val="center"/>
              <w:rPr>
                <w:sz w:val="20"/>
              </w:rPr>
            </w:pPr>
            <w:r>
              <w:rPr>
                <w:spacing w:val="-5"/>
                <w:sz w:val="20"/>
              </w:rPr>
              <w:t>$20</w:t>
            </w:r>
          </w:p>
        </w:tc>
        <w:tc>
          <w:tcPr>
            <w:tcW w:w="1174" w:type="dxa"/>
            <w:tcBorders>
              <w:top w:val="single" w:color="000000" w:sz="6" w:space="0"/>
              <w:bottom w:val="single" w:color="D9D9D9" w:sz="6" w:space="0"/>
            </w:tcBorders>
          </w:tcPr>
          <w:p w:rsidR="00C31389" w:rsidRDefault="00561FBD" w14:paraId="44199DB1" w14:textId="77777777">
            <w:pPr>
              <w:pStyle w:val="TableParagraph"/>
              <w:spacing w:before="0" w:line="209" w:lineRule="exact"/>
              <w:ind w:left="347" w:right="355"/>
              <w:jc w:val="center"/>
              <w:rPr>
                <w:sz w:val="20"/>
              </w:rPr>
            </w:pPr>
            <w:r>
              <w:rPr>
                <w:spacing w:val="-5"/>
                <w:sz w:val="20"/>
              </w:rPr>
              <w:t>$25</w:t>
            </w:r>
          </w:p>
        </w:tc>
        <w:tc>
          <w:tcPr>
            <w:tcW w:w="1343" w:type="dxa"/>
            <w:tcBorders>
              <w:top w:val="single" w:color="000000" w:sz="6" w:space="0"/>
              <w:bottom w:val="single" w:color="D9D9D9" w:sz="6" w:space="0"/>
            </w:tcBorders>
          </w:tcPr>
          <w:p w:rsidR="00C31389" w:rsidRDefault="00561FBD" w14:paraId="25C36F23" w14:textId="77777777">
            <w:pPr>
              <w:pStyle w:val="TableParagraph"/>
              <w:spacing w:before="0" w:line="209" w:lineRule="exact"/>
              <w:ind w:left="17" w:right="69"/>
              <w:jc w:val="center"/>
              <w:rPr>
                <w:sz w:val="20"/>
              </w:rPr>
            </w:pPr>
            <w:r>
              <w:rPr>
                <w:spacing w:val="-4"/>
                <w:sz w:val="20"/>
              </w:rPr>
              <w:t>$568</w:t>
            </w:r>
          </w:p>
        </w:tc>
        <w:tc>
          <w:tcPr>
            <w:tcW w:w="1254" w:type="dxa"/>
            <w:tcBorders>
              <w:top w:val="single" w:color="000000" w:sz="6" w:space="0"/>
              <w:bottom w:val="single" w:color="D9D9D9" w:sz="6" w:space="0"/>
            </w:tcBorders>
          </w:tcPr>
          <w:p w:rsidR="00C31389" w:rsidRDefault="00561FBD" w14:paraId="558B5167" w14:textId="77777777">
            <w:pPr>
              <w:pStyle w:val="TableParagraph"/>
              <w:spacing w:before="0" w:line="209" w:lineRule="exact"/>
              <w:ind w:left="429"/>
              <w:rPr>
                <w:sz w:val="20"/>
              </w:rPr>
            </w:pPr>
            <w:r>
              <w:rPr>
                <w:spacing w:val="-5"/>
                <w:sz w:val="20"/>
              </w:rPr>
              <w:t>$26</w:t>
            </w:r>
          </w:p>
        </w:tc>
      </w:tr>
      <w:tr w:rsidR="00C31389" w14:paraId="40026718" w14:textId="77777777">
        <w:trPr>
          <w:trHeight w:val="231"/>
        </w:trPr>
        <w:tc>
          <w:tcPr>
            <w:tcW w:w="1611" w:type="dxa"/>
            <w:vMerge/>
            <w:tcBorders>
              <w:top w:val="nil"/>
              <w:bottom w:val="single" w:color="000000" w:sz="4" w:space="0"/>
            </w:tcBorders>
          </w:tcPr>
          <w:p w:rsidR="00C31389" w:rsidRDefault="00C31389" w14:paraId="1DA77987" w14:textId="77777777">
            <w:pPr>
              <w:rPr>
                <w:sz w:val="2"/>
                <w:szCs w:val="2"/>
              </w:rPr>
            </w:pPr>
          </w:p>
        </w:tc>
        <w:tc>
          <w:tcPr>
            <w:tcW w:w="1463" w:type="dxa"/>
            <w:tcBorders>
              <w:top w:val="single" w:color="D9D9D9" w:sz="6" w:space="0"/>
              <w:bottom w:val="single" w:color="D9D9D9" w:sz="6" w:space="0"/>
            </w:tcBorders>
          </w:tcPr>
          <w:p w:rsidR="00C31389" w:rsidRDefault="00561FBD" w14:paraId="3CEDEE9C" w14:textId="77777777">
            <w:pPr>
              <w:pStyle w:val="TableParagraph"/>
              <w:spacing w:before="1" w:line="209" w:lineRule="exact"/>
              <w:ind w:left="11"/>
              <w:rPr>
                <w:sz w:val="20"/>
              </w:rPr>
            </w:pPr>
            <w:r>
              <w:rPr>
                <w:spacing w:val="-4"/>
                <w:sz w:val="20"/>
              </w:rPr>
              <w:t>BROs</w:t>
            </w:r>
          </w:p>
        </w:tc>
        <w:tc>
          <w:tcPr>
            <w:tcW w:w="1207" w:type="dxa"/>
            <w:tcBorders>
              <w:top w:val="single" w:color="D9D9D9" w:sz="6" w:space="0"/>
              <w:bottom w:val="single" w:color="D9D9D9" w:sz="6" w:space="0"/>
            </w:tcBorders>
          </w:tcPr>
          <w:p w:rsidR="00C31389" w:rsidRDefault="00561FBD" w14:paraId="0EE7A3DA" w14:textId="77777777">
            <w:pPr>
              <w:pStyle w:val="TableParagraph"/>
              <w:spacing w:before="1" w:line="209" w:lineRule="exact"/>
              <w:ind w:left="362" w:right="322"/>
              <w:jc w:val="center"/>
              <w:rPr>
                <w:sz w:val="20"/>
              </w:rPr>
            </w:pPr>
            <w:r>
              <w:rPr>
                <w:spacing w:val="-5"/>
                <w:sz w:val="20"/>
              </w:rPr>
              <w:t>$89</w:t>
            </w:r>
          </w:p>
        </w:tc>
        <w:tc>
          <w:tcPr>
            <w:tcW w:w="976" w:type="dxa"/>
            <w:tcBorders>
              <w:top w:val="single" w:color="D9D9D9" w:sz="6" w:space="0"/>
              <w:bottom w:val="single" w:color="D9D9D9" w:sz="6" w:space="0"/>
            </w:tcBorders>
          </w:tcPr>
          <w:p w:rsidR="00C31389" w:rsidRDefault="00561FBD" w14:paraId="6785991E" w14:textId="77777777">
            <w:pPr>
              <w:pStyle w:val="TableParagraph"/>
              <w:spacing w:before="1" w:line="209" w:lineRule="exact"/>
              <w:ind w:left="30" w:right="21"/>
              <w:jc w:val="center"/>
              <w:rPr>
                <w:sz w:val="20"/>
              </w:rPr>
            </w:pPr>
            <w:r>
              <w:rPr>
                <w:spacing w:val="-4"/>
                <w:sz w:val="20"/>
              </w:rPr>
              <w:t>$132</w:t>
            </w:r>
          </w:p>
        </w:tc>
        <w:tc>
          <w:tcPr>
            <w:tcW w:w="1174" w:type="dxa"/>
            <w:tcBorders>
              <w:top w:val="single" w:color="D9D9D9" w:sz="6" w:space="0"/>
              <w:bottom w:val="single" w:color="D9D9D9" w:sz="6" w:space="0"/>
            </w:tcBorders>
          </w:tcPr>
          <w:p w:rsidR="00C31389" w:rsidRDefault="00561FBD" w14:paraId="0B4FF336" w14:textId="77777777">
            <w:pPr>
              <w:pStyle w:val="TableParagraph"/>
              <w:spacing w:before="1" w:line="209" w:lineRule="exact"/>
              <w:ind w:left="347" w:right="357"/>
              <w:jc w:val="center"/>
              <w:rPr>
                <w:sz w:val="20"/>
              </w:rPr>
            </w:pPr>
            <w:r>
              <w:rPr>
                <w:spacing w:val="-4"/>
                <w:sz w:val="20"/>
              </w:rPr>
              <w:t>$132</w:t>
            </w:r>
          </w:p>
        </w:tc>
        <w:tc>
          <w:tcPr>
            <w:tcW w:w="1343" w:type="dxa"/>
            <w:tcBorders>
              <w:top w:val="single" w:color="D9D9D9" w:sz="6" w:space="0"/>
              <w:bottom w:val="single" w:color="D9D9D9" w:sz="6" w:space="0"/>
            </w:tcBorders>
          </w:tcPr>
          <w:p w:rsidR="00C31389" w:rsidRDefault="00561FBD" w14:paraId="153213E5" w14:textId="77777777">
            <w:pPr>
              <w:pStyle w:val="TableParagraph"/>
              <w:spacing w:before="1" w:line="209" w:lineRule="exact"/>
              <w:ind w:left="17" w:right="69"/>
              <w:jc w:val="center"/>
              <w:rPr>
                <w:sz w:val="20"/>
              </w:rPr>
            </w:pPr>
            <w:r>
              <w:rPr>
                <w:spacing w:val="-4"/>
                <w:sz w:val="20"/>
              </w:rPr>
              <w:t>$132</w:t>
            </w:r>
          </w:p>
        </w:tc>
        <w:tc>
          <w:tcPr>
            <w:tcW w:w="1254" w:type="dxa"/>
            <w:tcBorders>
              <w:top w:val="single" w:color="D9D9D9" w:sz="6" w:space="0"/>
              <w:bottom w:val="single" w:color="D9D9D9" w:sz="6" w:space="0"/>
            </w:tcBorders>
          </w:tcPr>
          <w:p w:rsidR="00C31389" w:rsidRDefault="00561FBD" w14:paraId="3D31F14A" w14:textId="77777777">
            <w:pPr>
              <w:pStyle w:val="TableParagraph"/>
              <w:spacing w:before="1" w:line="209" w:lineRule="exact"/>
              <w:ind w:left="373"/>
              <w:rPr>
                <w:sz w:val="20"/>
              </w:rPr>
            </w:pPr>
            <w:r>
              <w:rPr>
                <w:spacing w:val="-4"/>
                <w:sz w:val="20"/>
              </w:rPr>
              <w:t>$132</w:t>
            </w:r>
          </w:p>
        </w:tc>
      </w:tr>
      <w:tr w:rsidR="00C31389" w14:paraId="19FF70DF" w14:textId="77777777">
        <w:trPr>
          <w:trHeight w:val="229"/>
        </w:trPr>
        <w:tc>
          <w:tcPr>
            <w:tcW w:w="1611" w:type="dxa"/>
            <w:vMerge/>
            <w:tcBorders>
              <w:top w:val="nil"/>
              <w:bottom w:val="single" w:color="000000" w:sz="4" w:space="0"/>
            </w:tcBorders>
          </w:tcPr>
          <w:p w:rsidR="00C31389" w:rsidRDefault="00C31389" w14:paraId="3739DAF0" w14:textId="77777777">
            <w:pPr>
              <w:rPr>
                <w:sz w:val="2"/>
                <w:szCs w:val="2"/>
              </w:rPr>
            </w:pPr>
          </w:p>
        </w:tc>
        <w:tc>
          <w:tcPr>
            <w:tcW w:w="1463" w:type="dxa"/>
            <w:tcBorders>
              <w:top w:val="single" w:color="D9D9D9" w:sz="6" w:space="0"/>
              <w:bottom w:val="single" w:color="D9D9D9" w:sz="6" w:space="0"/>
            </w:tcBorders>
          </w:tcPr>
          <w:p w:rsidR="00C31389" w:rsidRDefault="00561FBD" w14:paraId="4190ED26" w14:textId="77777777">
            <w:pPr>
              <w:pStyle w:val="TableParagraph"/>
              <w:spacing w:before="0" w:line="209" w:lineRule="exact"/>
              <w:ind w:left="11"/>
              <w:rPr>
                <w:sz w:val="20"/>
              </w:rPr>
            </w:pPr>
            <w:r>
              <w:rPr>
                <w:sz w:val="20"/>
              </w:rPr>
              <w:t>EE</w:t>
            </w:r>
            <w:r>
              <w:rPr>
                <w:spacing w:val="-2"/>
                <w:sz w:val="20"/>
              </w:rPr>
              <w:t xml:space="preserve"> Equipment</w:t>
            </w:r>
          </w:p>
        </w:tc>
        <w:tc>
          <w:tcPr>
            <w:tcW w:w="1207" w:type="dxa"/>
            <w:tcBorders>
              <w:top w:val="single" w:color="D9D9D9" w:sz="6" w:space="0"/>
              <w:bottom w:val="single" w:color="D9D9D9" w:sz="6" w:space="0"/>
            </w:tcBorders>
          </w:tcPr>
          <w:p w:rsidR="00C31389" w:rsidRDefault="00561FBD" w14:paraId="6FE69AFA" w14:textId="77777777">
            <w:pPr>
              <w:pStyle w:val="TableParagraph"/>
              <w:spacing w:before="0" w:line="209" w:lineRule="exact"/>
              <w:ind w:left="363" w:right="322"/>
              <w:jc w:val="center"/>
              <w:rPr>
                <w:sz w:val="20"/>
              </w:rPr>
            </w:pPr>
            <w:r>
              <w:rPr>
                <w:spacing w:val="-4"/>
                <w:sz w:val="20"/>
              </w:rPr>
              <w:t>$199</w:t>
            </w:r>
          </w:p>
        </w:tc>
        <w:tc>
          <w:tcPr>
            <w:tcW w:w="976" w:type="dxa"/>
            <w:tcBorders>
              <w:top w:val="single" w:color="D9D9D9" w:sz="6" w:space="0"/>
              <w:bottom w:val="single" w:color="D9D9D9" w:sz="6" w:space="0"/>
            </w:tcBorders>
          </w:tcPr>
          <w:p w:rsidR="00C31389" w:rsidRDefault="00561FBD" w14:paraId="7CD4504B" w14:textId="77777777">
            <w:pPr>
              <w:pStyle w:val="TableParagraph"/>
              <w:spacing w:before="0" w:line="209" w:lineRule="exact"/>
              <w:ind w:left="30" w:right="21"/>
              <w:jc w:val="center"/>
              <w:rPr>
                <w:sz w:val="20"/>
              </w:rPr>
            </w:pPr>
            <w:r>
              <w:rPr>
                <w:spacing w:val="-4"/>
                <w:sz w:val="20"/>
              </w:rPr>
              <w:t>$357</w:t>
            </w:r>
          </w:p>
        </w:tc>
        <w:tc>
          <w:tcPr>
            <w:tcW w:w="1174" w:type="dxa"/>
            <w:tcBorders>
              <w:top w:val="single" w:color="D9D9D9" w:sz="6" w:space="0"/>
              <w:bottom w:val="single" w:color="D9D9D9" w:sz="6" w:space="0"/>
            </w:tcBorders>
          </w:tcPr>
          <w:p w:rsidR="00C31389" w:rsidRDefault="00561FBD" w14:paraId="7819479A" w14:textId="77777777">
            <w:pPr>
              <w:pStyle w:val="TableParagraph"/>
              <w:spacing w:before="0" w:line="209" w:lineRule="exact"/>
              <w:ind w:left="347" w:right="357"/>
              <w:jc w:val="center"/>
              <w:rPr>
                <w:sz w:val="20"/>
              </w:rPr>
            </w:pPr>
            <w:r>
              <w:rPr>
                <w:spacing w:val="-4"/>
                <w:sz w:val="20"/>
              </w:rPr>
              <w:t>$377</w:t>
            </w:r>
          </w:p>
        </w:tc>
        <w:tc>
          <w:tcPr>
            <w:tcW w:w="1343" w:type="dxa"/>
            <w:tcBorders>
              <w:top w:val="single" w:color="D9D9D9" w:sz="6" w:space="0"/>
              <w:bottom w:val="single" w:color="D9D9D9" w:sz="6" w:space="0"/>
            </w:tcBorders>
          </w:tcPr>
          <w:p w:rsidR="00C31389" w:rsidRDefault="00561FBD" w14:paraId="7CDCD09C" w14:textId="77777777">
            <w:pPr>
              <w:pStyle w:val="TableParagraph"/>
              <w:spacing w:before="0" w:line="209" w:lineRule="exact"/>
              <w:ind w:left="17" w:right="69"/>
              <w:jc w:val="center"/>
              <w:rPr>
                <w:sz w:val="20"/>
              </w:rPr>
            </w:pPr>
            <w:r>
              <w:rPr>
                <w:spacing w:val="-4"/>
                <w:sz w:val="20"/>
              </w:rPr>
              <w:t>$377</w:t>
            </w:r>
          </w:p>
        </w:tc>
        <w:tc>
          <w:tcPr>
            <w:tcW w:w="1254" w:type="dxa"/>
            <w:tcBorders>
              <w:top w:val="single" w:color="D9D9D9" w:sz="6" w:space="0"/>
              <w:bottom w:val="single" w:color="D9D9D9" w:sz="6" w:space="0"/>
            </w:tcBorders>
          </w:tcPr>
          <w:p w:rsidR="00C31389" w:rsidRDefault="00561FBD" w14:paraId="3E3BDFA4" w14:textId="77777777">
            <w:pPr>
              <w:pStyle w:val="TableParagraph"/>
              <w:spacing w:before="0" w:line="209" w:lineRule="exact"/>
              <w:ind w:left="373"/>
              <w:rPr>
                <w:sz w:val="20"/>
              </w:rPr>
            </w:pPr>
            <w:r>
              <w:rPr>
                <w:spacing w:val="-4"/>
                <w:sz w:val="20"/>
              </w:rPr>
              <w:t>$379</w:t>
            </w:r>
          </w:p>
        </w:tc>
      </w:tr>
      <w:tr w:rsidR="00C31389" w14:paraId="33516569" w14:textId="77777777">
        <w:trPr>
          <w:trHeight w:val="229"/>
        </w:trPr>
        <w:tc>
          <w:tcPr>
            <w:tcW w:w="1611" w:type="dxa"/>
            <w:vMerge/>
            <w:tcBorders>
              <w:top w:val="nil"/>
              <w:bottom w:val="single" w:color="000000" w:sz="4" w:space="0"/>
            </w:tcBorders>
          </w:tcPr>
          <w:p w:rsidR="00C31389" w:rsidRDefault="00C31389" w14:paraId="7799C9C4" w14:textId="77777777">
            <w:pPr>
              <w:rPr>
                <w:sz w:val="2"/>
                <w:szCs w:val="2"/>
              </w:rPr>
            </w:pPr>
          </w:p>
        </w:tc>
        <w:tc>
          <w:tcPr>
            <w:tcW w:w="1463" w:type="dxa"/>
            <w:tcBorders>
              <w:top w:val="single" w:color="D9D9D9" w:sz="6" w:space="0"/>
              <w:bottom w:val="single" w:color="000000" w:sz="4" w:space="0"/>
            </w:tcBorders>
          </w:tcPr>
          <w:p w:rsidR="00C31389" w:rsidRDefault="00561FBD" w14:paraId="61DE4B3A" w14:textId="77777777">
            <w:pPr>
              <w:pStyle w:val="TableParagraph"/>
              <w:spacing w:before="0" w:line="209" w:lineRule="exact"/>
              <w:ind w:left="11"/>
              <w:rPr>
                <w:b/>
                <w:sz w:val="20"/>
              </w:rPr>
            </w:pPr>
            <w:r>
              <w:rPr>
                <w:b/>
                <w:spacing w:val="-2"/>
                <w:sz w:val="20"/>
              </w:rPr>
              <w:t>Total</w:t>
            </w:r>
          </w:p>
        </w:tc>
        <w:tc>
          <w:tcPr>
            <w:tcW w:w="1207" w:type="dxa"/>
            <w:tcBorders>
              <w:top w:val="single" w:color="D9D9D9" w:sz="6" w:space="0"/>
              <w:bottom w:val="single" w:color="000000" w:sz="4" w:space="0"/>
            </w:tcBorders>
          </w:tcPr>
          <w:p w:rsidR="00C31389" w:rsidRDefault="00561FBD" w14:paraId="27F8E6FC" w14:textId="77777777">
            <w:pPr>
              <w:pStyle w:val="TableParagraph"/>
              <w:spacing w:before="0" w:line="209" w:lineRule="exact"/>
              <w:ind w:left="363" w:right="322"/>
              <w:jc w:val="center"/>
              <w:rPr>
                <w:b/>
                <w:sz w:val="20"/>
              </w:rPr>
            </w:pPr>
            <w:r>
              <w:rPr>
                <w:b/>
                <w:spacing w:val="-4"/>
                <w:sz w:val="20"/>
              </w:rPr>
              <w:t>$387</w:t>
            </w:r>
          </w:p>
        </w:tc>
        <w:tc>
          <w:tcPr>
            <w:tcW w:w="976" w:type="dxa"/>
            <w:tcBorders>
              <w:top w:val="single" w:color="D9D9D9" w:sz="6" w:space="0"/>
              <w:bottom w:val="single" w:color="000000" w:sz="4" w:space="0"/>
            </w:tcBorders>
          </w:tcPr>
          <w:p w:rsidR="00C31389" w:rsidRDefault="00561FBD" w14:paraId="12C20F24" w14:textId="77777777">
            <w:pPr>
              <w:pStyle w:val="TableParagraph"/>
              <w:spacing w:before="0" w:line="209" w:lineRule="exact"/>
              <w:ind w:left="30" w:right="21"/>
              <w:jc w:val="center"/>
              <w:rPr>
                <w:b/>
                <w:sz w:val="20"/>
              </w:rPr>
            </w:pPr>
            <w:r>
              <w:rPr>
                <w:b/>
                <w:spacing w:val="-4"/>
                <w:sz w:val="20"/>
              </w:rPr>
              <w:t>$509</w:t>
            </w:r>
          </w:p>
        </w:tc>
        <w:tc>
          <w:tcPr>
            <w:tcW w:w="1174" w:type="dxa"/>
            <w:tcBorders>
              <w:top w:val="single" w:color="D9D9D9" w:sz="6" w:space="0"/>
              <w:bottom w:val="single" w:color="000000" w:sz="4" w:space="0"/>
            </w:tcBorders>
          </w:tcPr>
          <w:p w:rsidR="00C31389" w:rsidRDefault="00561FBD" w14:paraId="39CB9765" w14:textId="77777777">
            <w:pPr>
              <w:pStyle w:val="TableParagraph"/>
              <w:spacing w:before="0" w:line="209" w:lineRule="exact"/>
              <w:ind w:left="347" w:right="357"/>
              <w:jc w:val="center"/>
              <w:rPr>
                <w:b/>
                <w:sz w:val="20"/>
              </w:rPr>
            </w:pPr>
            <w:r>
              <w:rPr>
                <w:b/>
                <w:spacing w:val="-4"/>
                <w:sz w:val="20"/>
              </w:rPr>
              <w:t>$534</w:t>
            </w:r>
          </w:p>
        </w:tc>
        <w:tc>
          <w:tcPr>
            <w:tcW w:w="1343" w:type="dxa"/>
            <w:tcBorders>
              <w:top w:val="single" w:color="D9D9D9" w:sz="6" w:space="0"/>
              <w:bottom w:val="single" w:color="000000" w:sz="4" w:space="0"/>
            </w:tcBorders>
          </w:tcPr>
          <w:p w:rsidR="00C31389" w:rsidRDefault="00561FBD" w14:paraId="527BC3D3" w14:textId="77777777">
            <w:pPr>
              <w:pStyle w:val="TableParagraph"/>
              <w:spacing w:before="0" w:line="209" w:lineRule="exact"/>
              <w:ind w:left="18" w:right="69"/>
              <w:jc w:val="center"/>
              <w:rPr>
                <w:b/>
                <w:sz w:val="20"/>
              </w:rPr>
            </w:pPr>
            <w:r>
              <w:rPr>
                <w:b/>
                <w:spacing w:val="-2"/>
                <w:sz w:val="20"/>
              </w:rPr>
              <w:t>$1,077</w:t>
            </w:r>
          </w:p>
        </w:tc>
        <w:tc>
          <w:tcPr>
            <w:tcW w:w="1254" w:type="dxa"/>
            <w:tcBorders>
              <w:top w:val="single" w:color="D9D9D9" w:sz="6" w:space="0"/>
              <w:bottom w:val="single" w:color="000000" w:sz="4" w:space="0"/>
            </w:tcBorders>
          </w:tcPr>
          <w:p w:rsidR="00C31389" w:rsidRDefault="00561FBD" w14:paraId="71145017" w14:textId="77777777">
            <w:pPr>
              <w:pStyle w:val="TableParagraph"/>
              <w:spacing w:before="0" w:line="209" w:lineRule="exact"/>
              <w:ind w:left="373"/>
              <w:rPr>
                <w:b/>
                <w:sz w:val="20"/>
              </w:rPr>
            </w:pPr>
            <w:r>
              <w:rPr>
                <w:b/>
                <w:spacing w:val="-4"/>
                <w:sz w:val="20"/>
              </w:rPr>
              <w:t>$536</w:t>
            </w:r>
          </w:p>
        </w:tc>
      </w:tr>
      <w:tr w:rsidR="00C31389" w14:paraId="46C48A38" w14:textId="77777777">
        <w:trPr>
          <w:trHeight w:val="229"/>
        </w:trPr>
        <w:tc>
          <w:tcPr>
            <w:tcW w:w="1611" w:type="dxa"/>
            <w:tcBorders>
              <w:top w:val="single" w:color="000000" w:sz="4" w:space="0"/>
            </w:tcBorders>
          </w:tcPr>
          <w:p w:rsidR="00C31389" w:rsidRDefault="00C31389" w14:paraId="54AC4C14" w14:textId="77777777">
            <w:pPr>
              <w:pStyle w:val="TableParagraph"/>
              <w:spacing w:before="0"/>
              <w:rPr>
                <w:rFonts w:ascii="Times New Roman"/>
                <w:sz w:val="16"/>
              </w:rPr>
            </w:pPr>
          </w:p>
        </w:tc>
        <w:tc>
          <w:tcPr>
            <w:tcW w:w="1463" w:type="dxa"/>
            <w:tcBorders>
              <w:top w:val="single" w:color="000000" w:sz="4" w:space="0"/>
              <w:bottom w:val="single" w:color="D9D9D9" w:sz="6" w:space="0"/>
            </w:tcBorders>
          </w:tcPr>
          <w:p w:rsidR="00C31389" w:rsidRDefault="00561FBD" w14:paraId="70EF7A6C" w14:textId="77777777">
            <w:pPr>
              <w:pStyle w:val="TableParagraph"/>
              <w:spacing w:before="0" w:line="209" w:lineRule="exact"/>
              <w:ind w:left="11"/>
              <w:rPr>
                <w:sz w:val="20"/>
              </w:rPr>
            </w:pPr>
            <w:r>
              <w:rPr>
                <w:spacing w:val="-5"/>
                <w:sz w:val="20"/>
              </w:rPr>
              <w:t>FS*</w:t>
            </w:r>
          </w:p>
        </w:tc>
        <w:tc>
          <w:tcPr>
            <w:tcW w:w="1207" w:type="dxa"/>
            <w:tcBorders>
              <w:top w:val="single" w:color="000000" w:sz="4" w:space="0"/>
              <w:bottom w:val="single" w:color="D9D9D9" w:sz="6" w:space="0"/>
            </w:tcBorders>
          </w:tcPr>
          <w:p w:rsidR="00C31389" w:rsidRDefault="00561FBD" w14:paraId="2E38754D" w14:textId="77777777">
            <w:pPr>
              <w:pStyle w:val="TableParagraph"/>
              <w:spacing w:before="0" w:line="209" w:lineRule="exact"/>
              <w:ind w:left="362" w:right="322"/>
              <w:jc w:val="center"/>
              <w:rPr>
                <w:sz w:val="20"/>
              </w:rPr>
            </w:pPr>
            <w:r>
              <w:rPr>
                <w:sz w:val="20"/>
              </w:rPr>
              <w:t>-</w:t>
            </w:r>
            <w:r>
              <w:rPr>
                <w:spacing w:val="-5"/>
                <w:sz w:val="20"/>
              </w:rPr>
              <w:t>151</w:t>
            </w:r>
          </w:p>
        </w:tc>
        <w:tc>
          <w:tcPr>
            <w:tcW w:w="976" w:type="dxa"/>
            <w:tcBorders>
              <w:top w:val="single" w:color="000000" w:sz="4" w:space="0"/>
              <w:bottom w:val="single" w:color="D9D9D9" w:sz="6" w:space="0"/>
            </w:tcBorders>
          </w:tcPr>
          <w:p w:rsidR="00C31389" w:rsidRDefault="00561FBD" w14:paraId="46F8CC63" w14:textId="77777777">
            <w:pPr>
              <w:pStyle w:val="TableParagraph"/>
              <w:spacing w:before="0" w:line="209" w:lineRule="exact"/>
              <w:ind w:left="30" w:right="21"/>
              <w:jc w:val="center"/>
              <w:rPr>
                <w:sz w:val="20"/>
              </w:rPr>
            </w:pPr>
            <w:r>
              <w:rPr>
                <w:sz w:val="20"/>
              </w:rPr>
              <w:t>-</w:t>
            </w:r>
            <w:r>
              <w:rPr>
                <w:spacing w:val="-5"/>
                <w:sz w:val="20"/>
              </w:rPr>
              <w:t>16</w:t>
            </w:r>
          </w:p>
        </w:tc>
        <w:tc>
          <w:tcPr>
            <w:tcW w:w="1174" w:type="dxa"/>
            <w:tcBorders>
              <w:top w:val="single" w:color="000000" w:sz="4" w:space="0"/>
              <w:bottom w:val="single" w:color="D9D9D9" w:sz="6" w:space="0"/>
            </w:tcBorders>
          </w:tcPr>
          <w:p w:rsidR="00C31389" w:rsidRDefault="00561FBD" w14:paraId="51C5BB65" w14:textId="77777777">
            <w:pPr>
              <w:pStyle w:val="TableParagraph"/>
              <w:spacing w:before="0" w:line="209" w:lineRule="exact"/>
              <w:ind w:left="347" w:right="357"/>
              <w:jc w:val="center"/>
              <w:rPr>
                <w:sz w:val="20"/>
              </w:rPr>
            </w:pPr>
            <w:r>
              <w:rPr>
                <w:sz w:val="20"/>
              </w:rPr>
              <w:t>-</w:t>
            </w:r>
            <w:r>
              <w:rPr>
                <w:spacing w:val="-5"/>
                <w:sz w:val="20"/>
              </w:rPr>
              <w:t>21</w:t>
            </w:r>
          </w:p>
        </w:tc>
        <w:tc>
          <w:tcPr>
            <w:tcW w:w="1343" w:type="dxa"/>
            <w:tcBorders>
              <w:top w:val="single" w:color="000000" w:sz="4" w:space="0"/>
              <w:bottom w:val="single" w:color="D9D9D9" w:sz="6" w:space="0"/>
            </w:tcBorders>
          </w:tcPr>
          <w:p w:rsidR="00C31389" w:rsidRDefault="00561FBD" w14:paraId="29B2EBD5" w14:textId="77777777">
            <w:pPr>
              <w:pStyle w:val="TableParagraph"/>
              <w:spacing w:before="0" w:line="209" w:lineRule="exact"/>
              <w:ind w:left="18" w:right="69"/>
              <w:jc w:val="center"/>
              <w:rPr>
                <w:sz w:val="20"/>
              </w:rPr>
            </w:pPr>
            <w:r>
              <w:rPr>
                <w:sz w:val="20"/>
              </w:rPr>
              <w:t>-</w:t>
            </w:r>
            <w:r>
              <w:rPr>
                <w:spacing w:val="-5"/>
                <w:sz w:val="20"/>
              </w:rPr>
              <w:t>199</w:t>
            </w:r>
          </w:p>
        </w:tc>
        <w:tc>
          <w:tcPr>
            <w:tcW w:w="1254" w:type="dxa"/>
            <w:tcBorders>
              <w:top w:val="single" w:color="000000" w:sz="4" w:space="0"/>
              <w:bottom w:val="single" w:color="D9D9D9" w:sz="6" w:space="0"/>
            </w:tcBorders>
          </w:tcPr>
          <w:p w:rsidR="00C31389" w:rsidRDefault="00561FBD" w14:paraId="500E118F" w14:textId="77777777">
            <w:pPr>
              <w:pStyle w:val="TableParagraph"/>
              <w:spacing w:before="0" w:line="209" w:lineRule="exact"/>
              <w:ind w:left="451"/>
              <w:rPr>
                <w:sz w:val="20"/>
              </w:rPr>
            </w:pPr>
            <w:r>
              <w:rPr>
                <w:sz w:val="20"/>
              </w:rPr>
              <w:t>-</w:t>
            </w:r>
            <w:r>
              <w:rPr>
                <w:spacing w:val="-5"/>
                <w:sz w:val="20"/>
              </w:rPr>
              <w:t>21</w:t>
            </w:r>
          </w:p>
        </w:tc>
      </w:tr>
      <w:tr w:rsidR="00C31389" w14:paraId="428BA48D" w14:textId="77777777">
        <w:trPr>
          <w:trHeight w:val="229"/>
        </w:trPr>
        <w:tc>
          <w:tcPr>
            <w:tcW w:w="1611" w:type="dxa"/>
            <w:vMerge w:val="restart"/>
            <w:tcBorders>
              <w:left w:val="single" w:color="000000" w:sz="6" w:space="0"/>
            </w:tcBorders>
          </w:tcPr>
          <w:p w:rsidR="00C31389" w:rsidRDefault="00561FBD" w14:paraId="7CF75610" w14:textId="77777777">
            <w:pPr>
              <w:pStyle w:val="TableParagraph"/>
              <w:spacing w:before="0" w:line="230" w:lineRule="atLeast"/>
              <w:ind w:left="-1" w:right="142"/>
              <w:rPr>
                <w:b/>
                <w:sz w:val="20"/>
              </w:rPr>
            </w:pPr>
            <w:r>
              <w:rPr>
                <w:b/>
                <w:sz w:val="20"/>
              </w:rPr>
              <w:t>Electric</w:t>
            </w:r>
            <w:r>
              <w:rPr>
                <w:b/>
                <w:spacing w:val="-14"/>
                <w:sz w:val="20"/>
              </w:rPr>
              <w:t xml:space="preserve"> </w:t>
            </w:r>
            <w:r>
              <w:rPr>
                <w:b/>
                <w:sz w:val="20"/>
              </w:rPr>
              <w:t xml:space="preserve">Energy </w:t>
            </w:r>
            <w:r>
              <w:rPr>
                <w:b/>
                <w:spacing w:val="-2"/>
                <w:sz w:val="20"/>
              </w:rPr>
              <w:t>(GWh/Year)</w:t>
            </w:r>
          </w:p>
        </w:tc>
        <w:tc>
          <w:tcPr>
            <w:tcW w:w="1463" w:type="dxa"/>
            <w:tcBorders>
              <w:top w:val="single" w:color="D9D9D9" w:sz="6" w:space="0"/>
              <w:bottom w:val="single" w:color="D9D9D9" w:sz="6" w:space="0"/>
            </w:tcBorders>
          </w:tcPr>
          <w:p w:rsidR="00C31389" w:rsidRDefault="00561FBD" w14:paraId="37ADAE35" w14:textId="77777777">
            <w:pPr>
              <w:pStyle w:val="TableParagraph"/>
              <w:spacing w:before="0" w:line="209" w:lineRule="exact"/>
              <w:ind w:left="11"/>
              <w:rPr>
                <w:sz w:val="20"/>
              </w:rPr>
            </w:pPr>
            <w:r>
              <w:rPr>
                <w:spacing w:val="-4"/>
                <w:sz w:val="20"/>
              </w:rPr>
              <w:t>BROs</w:t>
            </w:r>
          </w:p>
        </w:tc>
        <w:tc>
          <w:tcPr>
            <w:tcW w:w="1207" w:type="dxa"/>
            <w:tcBorders>
              <w:top w:val="single" w:color="D9D9D9" w:sz="6" w:space="0"/>
              <w:bottom w:val="single" w:color="D9D9D9" w:sz="6" w:space="0"/>
            </w:tcBorders>
          </w:tcPr>
          <w:p w:rsidR="00C31389" w:rsidRDefault="00561FBD" w14:paraId="1D00ED9D" w14:textId="77777777">
            <w:pPr>
              <w:pStyle w:val="TableParagraph"/>
              <w:spacing w:before="0" w:line="209" w:lineRule="exact"/>
              <w:ind w:left="362" w:right="322"/>
              <w:jc w:val="center"/>
              <w:rPr>
                <w:sz w:val="20"/>
              </w:rPr>
            </w:pPr>
            <w:r>
              <w:rPr>
                <w:spacing w:val="-5"/>
                <w:sz w:val="20"/>
              </w:rPr>
              <w:t>578</w:t>
            </w:r>
          </w:p>
        </w:tc>
        <w:tc>
          <w:tcPr>
            <w:tcW w:w="976" w:type="dxa"/>
            <w:tcBorders>
              <w:top w:val="single" w:color="D9D9D9" w:sz="6" w:space="0"/>
              <w:bottom w:val="single" w:color="D9D9D9" w:sz="6" w:space="0"/>
            </w:tcBorders>
          </w:tcPr>
          <w:p w:rsidR="00C31389" w:rsidRDefault="00561FBD" w14:paraId="47A86904" w14:textId="77777777">
            <w:pPr>
              <w:pStyle w:val="TableParagraph"/>
              <w:spacing w:before="0" w:line="209" w:lineRule="exact"/>
              <w:ind w:left="30" w:right="20"/>
              <w:jc w:val="center"/>
              <w:rPr>
                <w:sz w:val="20"/>
              </w:rPr>
            </w:pPr>
            <w:r>
              <w:rPr>
                <w:spacing w:val="-5"/>
                <w:sz w:val="20"/>
              </w:rPr>
              <w:t>507</w:t>
            </w:r>
          </w:p>
        </w:tc>
        <w:tc>
          <w:tcPr>
            <w:tcW w:w="1174" w:type="dxa"/>
            <w:tcBorders>
              <w:top w:val="single" w:color="D9D9D9" w:sz="6" w:space="0"/>
              <w:bottom w:val="single" w:color="D9D9D9" w:sz="6" w:space="0"/>
            </w:tcBorders>
          </w:tcPr>
          <w:p w:rsidR="00C31389" w:rsidRDefault="00561FBD" w14:paraId="22D19526" w14:textId="77777777">
            <w:pPr>
              <w:pStyle w:val="TableParagraph"/>
              <w:spacing w:before="0" w:line="209" w:lineRule="exact"/>
              <w:ind w:left="291" w:right="357"/>
              <w:jc w:val="center"/>
              <w:rPr>
                <w:sz w:val="20"/>
              </w:rPr>
            </w:pPr>
            <w:r>
              <w:rPr>
                <w:spacing w:val="-5"/>
                <w:sz w:val="20"/>
              </w:rPr>
              <w:t>507</w:t>
            </w:r>
          </w:p>
        </w:tc>
        <w:tc>
          <w:tcPr>
            <w:tcW w:w="1343" w:type="dxa"/>
            <w:tcBorders>
              <w:top w:val="single" w:color="D9D9D9" w:sz="6" w:space="0"/>
              <w:bottom w:val="single" w:color="D9D9D9" w:sz="6" w:space="0"/>
            </w:tcBorders>
          </w:tcPr>
          <w:p w:rsidR="00C31389" w:rsidRDefault="00561FBD" w14:paraId="5D538C59" w14:textId="77777777">
            <w:pPr>
              <w:pStyle w:val="TableParagraph"/>
              <w:spacing w:before="0" w:line="209" w:lineRule="exact"/>
              <w:ind w:left="18" w:right="69"/>
              <w:jc w:val="center"/>
              <w:rPr>
                <w:sz w:val="20"/>
              </w:rPr>
            </w:pPr>
            <w:r>
              <w:rPr>
                <w:spacing w:val="-5"/>
                <w:sz w:val="20"/>
              </w:rPr>
              <w:t>507</w:t>
            </w:r>
          </w:p>
        </w:tc>
        <w:tc>
          <w:tcPr>
            <w:tcW w:w="1254" w:type="dxa"/>
            <w:tcBorders>
              <w:top w:val="single" w:color="D9D9D9" w:sz="6" w:space="0"/>
              <w:bottom w:val="single" w:color="D9D9D9" w:sz="6" w:space="0"/>
            </w:tcBorders>
          </w:tcPr>
          <w:p w:rsidR="00C31389" w:rsidRDefault="00561FBD" w14:paraId="693C1F5A" w14:textId="77777777">
            <w:pPr>
              <w:pStyle w:val="TableParagraph"/>
              <w:spacing w:before="0" w:line="209" w:lineRule="exact"/>
              <w:ind w:left="414"/>
              <w:rPr>
                <w:sz w:val="20"/>
              </w:rPr>
            </w:pPr>
            <w:r>
              <w:rPr>
                <w:spacing w:val="-5"/>
                <w:sz w:val="20"/>
              </w:rPr>
              <w:t>507</w:t>
            </w:r>
          </w:p>
        </w:tc>
      </w:tr>
      <w:tr w:rsidR="00C31389" w14:paraId="793D264B" w14:textId="77777777">
        <w:trPr>
          <w:trHeight w:val="229"/>
        </w:trPr>
        <w:tc>
          <w:tcPr>
            <w:tcW w:w="1611" w:type="dxa"/>
            <w:vMerge/>
            <w:tcBorders>
              <w:top w:val="nil"/>
              <w:left w:val="single" w:color="000000" w:sz="6" w:space="0"/>
            </w:tcBorders>
          </w:tcPr>
          <w:p w:rsidR="00C31389" w:rsidRDefault="00C31389" w14:paraId="02347B6F" w14:textId="77777777">
            <w:pPr>
              <w:rPr>
                <w:sz w:val="2"/>
                <w:szCs w:val="2"/>
              </w:rPr>
            </w:pPr>
          </w:p>
        </w:tc>
        <w:tc>
          <w:tcPr>
            <w:tcW w:w="1463" w:type="dxa"/>
            <w:tcBorders>
              <w:top w:val="single" w:color="D9D9D9" w:sz="6" w:space="0"/>
              <w:bottom w:val="single" w:color="D9D9D9" w:sz="6" w:space="0"/>
            </w:tcBorders>
          </w:tcPr>
          <w:p w:rsidR="00C31389" w:rsidRDefault="00561FBD" w14:paraId="32700C5E" w14:textId="77777777">
            <w:pPr>
              <w:pStyle w:val="TableParagraph"/>
              <w:spacing w:before="0" w:line="209" w:lineRule="exact"/>
              <w:ind w:left="11"/>
              <w:rPr>
                <w:sz w:val="20"/>
              </w:rPr>
            </w:pPr>
            <w:r>
              <w:rPr>
                <w:sz w:val="20"/>
              </w:rPr>
              <w:t>EE</w:t>
            </w:r>
            <w:r>
              <w:rPr>
                <w:spacing w:val="-2"/>
                <w:sz w:val="20"/>
              </w:rPr>
              <w:t xml:space="preserve"> Equipment</w:t>
            </w:r>
          </w:p>
        </w:tc>
        <w:tc>
          <w:tcPr>
            <w:tcW w:w="1207" w:type="dxa"/>
            <w:tcBorders>
              <w:top w:val="single" w:color="D9D9D9" w:sz="6" w:space="0"/>
              <w:bottom w:val="single" w:color="D9D9D9" w:sz="6" w:space="0"/>
            </w:tcBorders>
          </w:tcPr>
          <w:p w:rsidR="00C31389" w:rsidRDefault="00561FBD" w14:paraId="0F975117" w14:textId="77777777">
            <w:pPr>
              <w:pStyle w:val="TableParagraph"/>
              <w:spacing w:before="0" w:line="209" w:lineRule="exact"/>
              <w:ind w:left="362" w:right="322"/>
              <w:jc w:val="center"/>
              <w:rPr>
                <w:sz w:val="20"/>
              </w:rPr>
            </w:pPr>
            <w:r>
              <w:rPr>
                <w:spacing w:val="-5"/>
                <w:sz w:val="20"/>
              </w:rPr>
              <w:t>119</w:t>
            </w:r>
          </w:p>
        </w:tc>
        <w:tc>
          <w:tcPr>
            <w:tcW w:w="976" w:type="dxa"/>
            <w:tcBorders>
              <w:top w:val="single" w:color="D9D9D9" w:sz="6" w:space="0"/>
              <w:bottom w:val="single" w:color="D9D9D9" w:sz="6" w:space="0"/>
            </w:tcBorders>
          </w:tcPr>
          <w:p w:rsidR="00C31389" w:rsidRDefault="00561FBD" w14:paraId="3B0E88CB" w14:textId="77777777">
            <w:pPr>
              <w:pStyle w:val="TableParagraph"/>
              <w:spacing w:before="0" w:line="209" w:lineRule="exact"/>
              <w:ind w:left="30" w:right="20"/>
              <w:jc w:val="center"/>
              <w:rPr>
                <w:sz w:val="20"/>
              </w:rPr>
            </w:pPr>
            <w:r>
              <w:rPr>
                <w:spacing w:val="-5"/>
                <w:sz w:val="20"/>
              </w:rPr>
              <w:t>148</w:t>
            </w:r>
          </w:p>
        </w:tc>
        <w:tc>
          <w:tcPr>
            <w:tcW w:w="1174" w:type="dxa"/>
            <w:tcBorders>
              <w:top w:val="single" w:color="D9D9D9" w:sz="6" w:space="0"/>
              <w:bottom w:val="single" w:color="D9D9D9" w:sz="6" w:space="0"/>
            </w:tcBorders>
          </w:tcPr>
          <w:p w:rsidR="00C31389" w:rsidRDefault="00561FBD" w14:paraId="37A29862" w14:textId="77777777">
            <w:pPr>
              <w:pStyle w:val="TableParagraph"/>
              <w:spacing w:before="0" w:line="209" w:lineRule="exact"/>
              <w:ind w:left="347" w:right="355"/>
              <w:jc w:val="center"/>
              <w:rPr>
                <w:sz w:val="20"/>
              </w:rPr>
            </w:pPr>
            <w:r>
              <w:rPr>
                <w:spacing w:val="-5"/>
                <w:sz w:val="20"/>
              </w:rPr>
              <w:t>168</w:t>
            </w:r>
          </w:p>
        </w:tc>
        <w:tc>
          <w:tcPr>
            <w:tcW w:w="1343" w:type="dxa"/>
            <w:tcBorders>
              <w:top w:val="single" w:color="D9D9D9" w:sz="6" w:space="0"/>
              <w:bottom w:val="single" w:color="D9D9D9" w:sz="6" w:space="0"/>
            </w:tcBorders>
          </w:tcPr>
          <w:p w:rsidR="00C31389" w:rsidRDefault="00561FBD" w14:paraId="73BCA9C3" w14:textId="77777777">
            <w:pPr>
              <w:pStyle w:val="TableParagraph"/>
              <w:spacing w:before="0" w:line="209" w:lineRule="exact"/>
              <w:ind w:left="18" w:right="69"/>
              <w:jc w:val="center"/>
              <w:rPr>
                <w:sz w:val="20"/>
              </w:rPr>
            </w:pPr>
            <w:r>
              <w:rPr>
                <w:spacing w:val="-5"/>
                <w:sz w:val="20"/>
              </w:rPr>
              <w:t>167</w:t>
            </w:r>
          </w:p>
        </w:tc>
        <w:tc>
          <w:tcPr>
            <w:tcW w:w="1254" w:type="dxa"/>
            <w:tcBorders>
              <w:top w:val="single" w:color="D9D9D9" w:sz="6" w:space="0"/>
              <w:bottom w:val="single" w:color="D9D9D9" w:sz="6" w:space="0"/>
            </w:tcBorders>
          </w:tcPr>
          <w:p w:rsidR="00C31389" w:rsidRDefault="00561FBD" w14:paraId="27C98697" w14:textId="77777777">
            <w:pPr>
              <w:pStyle w:val="TableParagraph"/>
              <w:spacing w:before="0" w:line="209" w:lineRule="exact"/>
              <w:ind w:left="429"/>
              <w:rPr>
                <w:sz w:val="20"/>
              </w:rPr>
            </w:pPr>
            <w:r>
              <w:rPr>
                <w:spacing w:val="-5"/>
                <w:sz w:val="20"/>
              </w:rPr>
              <w:t>169</w:t>
            </w:r>
          </w:p>
        </w:tc>
      </w:tr>
      <w:tr w:rsidR="00C31389" w14:paraId="6992A359" w14:textId="77777777">
        <w:trPr>
          <w:trHeight w:val="229"/>
        </w:trPr>
        <w:tc>
          <w:tcPr>
            <w:tcW w:w="1611" w:type="dxa"/>
            <w:tcBorders>
              <w:bottom w:val="single" w:color="000000" w:sz="6" w:space="0"/>
            </w:tcBorders>
          </w:tcPr>
          <w:p w:rsidR="00C31389" w:rsidRDefault="00C31389" w14:paraId="39F30A7A" w14:textId="77777777">
            <w:pPr>
              <w:pStyle w:val="TableParagraph"/>
              <w:spacing w:before="0"/>
              <w:rPr>
                <w:rFonts w:ascii="Times New Roman"/>
                <w:sz w:val="16"/>
              </w:rPr>
            </w:pPr>
          </w:p>
        </w:tc>
        <w:tc>
          <w:tcPr>
            <w:tcW w:w="1463" w:type="dxa"/>
            <w:tcBorders>
              <w:top w:val="single" w:color="D9D9D9" w:sz="6" w:space="0"/>
              <w:bottom w:val="single" w:color="000000" w:sz="6" w:space="0"/>
            </w:tcBorders>
          </w:tcPr>
          <w:p w:rsidR="00C31389" w:rsidRDefault="00561FBD" w14:paraId="3BE5AE48" w14:textId="77777777">
            <w:pPr>
              <w:pStyle w:val="TableParagraph"/>
              <w:spacing w:before="0" w:line="209" w:lineRule="exact"/>
              <w:ind w:left="11"/>
              <w:rPr>
                <w:b/>
                <w:sz w:val="20"/>
              </w:rPr>
            </w:pPr>
            <w:r>
              <w:rPr>
                <w:b/>
                <w:spacing w:val="-2"/>
                <w:sz w:val="20"/>
              </w:rPr>
              <w:t>Total</w:t>
            </w:r>
          </w:p>
        </w:tc>
        <w:tc>
          <w:tcPr>
            <w:tcW w:w="1207" w:type="dxa"/>
            <w:tcBorders>
              <w:top w:val="single" w:color="D9D9D9" w:sz="6" w:space="0"/>
              <w:bottom w:val="single" w:color="000000" w:sz="6" w:space="0"/>
            </w:tcBorders>
          </w:tcPr>
          <w:p w:rsidR="00C31389" w:rsidRDefault="00561FBD" w14:paraId="755BD054" w14:textId="77777777">
            <w:pPr>
              <w:pStyle w:val="TableParagraph"/>
              <w:spacing w:before="0" w:line="209" w:lineRule="exact"/>
              <w:ind w:left="362" w:right="322"/>
              <w:jc w:val="center"/>
              <w:rPr>
                <w:b/>
                <w:sz w:val="20"/>
              </w:rPr>
            </w:pPr>
            <w:r>
              <w:rPr>
                <w:b/>
                <w:spacing w:val="-5"/>
                <w:sz w:val="20"/>
              </w:rPr>
              <w:t>546</w:t>
            </w:r>
          </w:p>
        </w:tc>
        <w:tc>
          <w:tcPr>
            <w:tcW w:w="976" w:type="dxa"/>
            <w:tcBorders>
              <w:top w:val="single" w:color="D9D9D9" w:sz="6" w:space="0"/>
              <w:bottom w:val="single" w:color="000000" w:sz="6" w:space="0"/>
            </w:tcBorders>
          </w:tcPr>
          <w:p w:rsidR="00C31389" w:rsidRDefault="00561FBD" w14:paraId="5E540DFD" w14:textId="77777777">
            <w:pPr>
              <w:pStyle w:val="TableParagraph"/>
              <w:spacing w:before="0" w:line="209" w:lineRule="exact"/>
              <w:ind w:left="30" w:right="20"/>
              <w:jc w:val="center"/>
              <w:rPr>
                <w:b/>
                <w:sz w:val="20"/>
              </w:rPr>
            </w:pPr>
            <w:r>
              <w:rPr>
                <w:b/>
                <w:spacing w:val="-5"/>
                <w:sz w:val="20"/>
              </w:rPr>
              <w:t>639</w:t>
            </w:r>
          </w:p>
        </w:tc>
        <w:tc>
          <w:tcPr>
            <w:tcW w:w="1174" w:type="dxa"/>
            <w:tcBorders>
              <w:top w:val="single" w:color="D9D9D9" w:sz="6" w:space="0"/>
              <w:bottom w:val="single" w:color="000000" w:sz="6" w:space="0"/>
            </w:tcBorders>
          </w:tcPr>
          <w:p w:rsidR="00C31389" w:rsidRDefault="00561FBD" w14:paraId="59A99D44" w14:textId="77777777">
            <w:pPr>
              <w:pStyle w:val="TableParagraph"/>
              <w:spacing w:before="0" w:line="209" w:lineRule="exact"/>
              <w:ind w:left="347" w:right="355"/>
              <w:jc w:val="center"/>
              <w:rPr>
                <w:b/>
                <w:sz w:val="20"/>
              </w:rPr>
            </w:pPr>
            <w:r>
              <w:rPr>
                <w:b/>
                <w:spacing w:val="-5"/>
                <w:sz w:val="20"/>
              </w:rPr>
              <w:t>654</w:t>
            </w:r>
          </w:p>
        </w:tc>
        <w:tc>
          <w:tcPr>
            <w:tcW w:w="1343" w:type="dxa"/>
            <w:tcBorders>
              <w:top w:val="single" w:color="D9D9D9" w:sz="6" w:space="0"/>
              <w:bottom w:val="single" w:color="000000" w:sz="6" w:space="0"/>
            </w:tcBorders>
          </w:tcPr>
          <w:p w:rsidR="00C31389" w:rsidRDefault="00561FBD" w14:paraId="5B032B4B" w14:textId="77777777">
            <w:pPr>
              <w:pStyle w:val="TableParagraph"/>
              <w:spacing w:before="0" w:line="209" w:lineRule="exact"/>
              <w:ind w:left="18" w:right="69"/>
              <w:jc w:val="center"/>
              <w:rPr>
                <w:b/>
                <w:sz w:val="20"/>
              </w:rPr>
            </w:pPr>
            <w:r>
              <w:rPr>
                <w:b/>
                <w:spacing w:val="-5"/>
                <w:sz w:val="20"/>
              </w:rPr>
              <w:t>475</w:t>
            </w:r>
          </w:p>
        </w:tc>
        <w:tc>
          <w:tcPr>
            <w:tcW w:w="1254" w:type="dxa"/>
            <w:tcBorders>
              <w:top w:val="single" w:color="D9D9D9" w:sz="6" w:space="0"/>
              <w:bottom w:val="single" w:color="000000" w:sz="6" w:space="0"/>
            </w:tcBorders>
          </w:tcPr>
          <w:p w:rsidR="00C31389" w:rsidRDefault="00561FBD" w14:paraId="23A0C42C" w14:textId="77777777">
            <w:pPr>
              <w:pStyle w:val="TableParagraph"/>
              <w:spacing w:before="0" w:line="209" w:lineRule="exact"/>
              <w:ind w:left="429"/>
              <w:rPr>
                <w:b/>
                <w:sz w:val="20"/>
              </w:rPr>
            </w:pPr>
            <w:r>
              <w:rPr>
                <w:b/>
                <w:spacing w:val="-5"/>
                <w:sz w:val="20"/>
              </w:rPr>
              <w:t>655</w:t>
            </w:r>
          </w:p>
        </w:tc>
      </w:tr>
      <w:tr w:rsidR="00C31389" w14:paraId="1E9076CC" w14:textId="77777777">
        <w:trPr>
          <w:trHeight w:val="229"/>
        </w:trPr>
        <w:tc>
          <w:tcPr>
            <w:tcW w:w="1611" w:type="dxa"/>
            <w:vMerge w:val="restart"/>
            <w:tcBorders>
              <w:top w:val="single" w:color="000000" w:sz="6" w:space="0"/>
              <w:bottom w:val="single" w:color="000000" w:sz="6" w:space="0"/>
            </w:tcBorders>
            <w:shd w:val="clear" w:color="auto" w:fill="F1F1F1"/>
          </w:tcPr>
          <w:p w:rsidR="00C31389" w:rsidRDefault="00561FBD" w14:paraId="39918598" w14:textId="77777777">
            <w:pPr>
              <w:pStyle w:val="TableParagraph"/>
              <w:spacing w:before="150"/>
              <w:ind w:left="-1"/>
              <w:rPr>
                <w:b/>
                <w:sz w:val="20"/>
              </w:rPr>
            </w:pPr>
            <w:r>
              <w:rPr>
                <w:noProof/>
              </w:rPr>
              <mc:AlternateContent>
                <mc:Choice Requires="wpg">
                  <w:drawing>
                    <wp:anchor distT="0" distB="0" distL="0" distR="0" simplePos="0" relativeHeight="15801344" behindDoc="0" locked="0" layoutInCell="1" allowOverlap="1" wp14:editId="06D2CA9F" wp14:anchorId="481C7574">
                      <wp:simplePos x="0" y="0"/>
                      <wp:positionH relativeFrom="column">
                        <wp:posOffset>-4572</wp:posOffset>
                      </wp:positionH>
                      <wp:positionV relativeFrom="paragraph">
                        <wp:posOffset>-155208</wp:posOffset>
                      </wp:positionV>
                      <wp:extent cx="9525" cy="1460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46050"/>
                                <a:chOff x="0" y="0"/>
                                <a:chExt cx="9525" cy="146050"/>
                              </a:xfrm>
                            </wpg:grpSpPr>
                            <wps:wsp>
                              <wps:cNvPr id="442" name="Graphic 442"/>
                              <wps:cNvSpPr/>
                              <wps:spPr>
                                <a:xfrm>
                                  <a:off x="0" y="0"/>
                                  <a:ext cx="9525" cy="146050"/>
                                </a:xfrm>
                                <a:custGeom>
                                  <a:avLst/>
                                  <a:gdLst/>
                                  <a:ahLst/>
                                  <a:cxnLst/>
                                  <a:rect l="l" t="t" r="r" b="b"/>
                                  <a:pathLst>
                                    <a:path w="9525" h="146050">
                                      <a:moveTo>
                                        <a:pt x="9143" y="0"/>
                                      </a:moveTo>
                                      <a:lnTo>
                                        <a:pt x="0" y="0"/>
                                      </a:lnTo>
                                      <a:lnTo>
                                        <a:pt x="0" y="145554"/>
                                      </a:lnTo>
                                      <a:lnTo>
                                        <a:pt x="9143" y="145554"/>
                                      </a:lnTo>
                                      <a:lnTo>
                                        <a:pt x="91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41" style="position:absolute;margin-left:-.35pt;margin-top:-12.2pt;width:.75pt;height:11.5pt;z-index:15801344;mso-wrap-distance-left:0;mso-wrap-distance-right:0" coordsize="9525,146050" o:spid="_x0000_s1026" w14:anchorId="202C7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">
                      <v:shape id="Graphic 442" style="position:absolute;width:9525;height:146050;visibility:visible;mso-wrap-style:square;v-text-anchor:top" coordsize="9525,146050" o:spid="_x0000_s1027" fillcolor="black" stroked="f" path="m9143,l,,,145554r9143,l9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">
                        <v:path arrowok="t"/>
                      </v:shape>
                    </v:group>
                  </w:pict>
                </mc:Fallback>
              </mc:AlternateContent>
            </w:r>
            <w:r>
              <w:rPr>
                <w:b/>
                <w:spacing w:val="-2"/>
                <w:sz w:val="20"/>
              </w:rPr>
              <w:t xml:space="preserve">Converted </w:t>
            </w:r>
            <w:r>
              <w:rPr>
                <w:b/>
                <w:sz w:val="20"/>
              </w:rPr>
              <w:t>Electric</w:t>
            </w:r>
            <w:r>
              <w:rPr>
                <w:b/>
                <w:spacing w:val="-14"/>
                <w:sz w:val="20"/>
              </w:rPr>
              <w:t xml:space="preserve"> </w:t>
            </w:r>
            <w:r>
              <w:rPr>
                <w:b/>
                <w:sz w:val="20"/>
              </w:rPr>
              <w:t xml:space="preserve">Energy </w:t>
            </w:r>
            <w:r>
              <w:rPr>
                <w:b/>
                <w:spacing w:val="-2"/>
                <w:sz w:val="20"/>
              </w:rPr>
              <w:t>(GWh/Year)**</w:t>
            </w:r>
          </w:p>
        </w:tc>
        <w:tc>
          <w:tcPr>
            <w:tcW w:w="1463" w:type="dxa"/>
            <w:tcBorders>
              <w:top w:val="single" w:color="000000" w:sz="6" w:space="0"/>
              <w:bottom w:val="single" w:color="D9D9D9" w:sz="6" w:space="0"/>
            </w:tcBorders>
            <w:shd w:val="clear" w:color="auto" w:fill="F1F1F1"/>
          </w:tcPr>
          <w:p w:rsidR="00C31389" w:rsidRDefault="00561FBD" w14:paraId="1EBEE027" w14:textId="77777777">
            <w:pPr>
              <w:pStyle w:val="TableParagraph"/>
              <w:spacing w:before="0" w:line="209" w:lineRule="exact"/>
              <w:ind w:left="11"/>
              <w:rPr>
                <w:sz w:val="20"/>
              </w:rPr>
            </w:pPr>
            <w:r>
              <w:rPr>
                <w:spacing w:val="-5"/>
                <w:sz w:val="20"/>
              </w:rPr>
              <w:t>FS</w:t>
            </w:r>
          </w:p>
        </w:tc>
        <w:tc>
          <w:tcPr>
            <w:tcW w:w="1207" w:type="dxa"/>
            <w:tcBorders>
              <w:top w:val="single" w:color="000000" w:sz="6" w:space="0"/>
              <w:bottom w:val="single" w:color="D9D9D9" w:sz="6" w:space="0"/>
            </w:tcBorders>
            <w:shd w:val="clear" w:color="auto" w:fill="F1F1F1"/>
          </w:tcPr>
          <w:p w:rsidR="00C31389" w:rsidRDefault="00561FBD" w14:paraId="1BA9FA08" w14:textId="77777777">
            <w:pPr>
              <w:pStyle w:val="TableParagraph"/>
              <w:spacing w:before="0" w:line="209" w:lineRule="exact"/>
              <w:ind w:left="362" w:right="322"/>
              <w:jc w:val="center"/>
              <w:rPr>
                <w:sz w:val="20"/>
              </w:rPr>
            </w:pPr>
            <w:r>
              <w:rPr>
                <w:spacing w:val="-5"/>
                <w:sz w:val="20"/>
              </w:rPr>
              <w:t>446</w:t>
            </w:r>
          </w:p>
        </w:tc>
        <w:tc>
          <w:tcPr>
            <w:tcW w:w="976" w:type="dxa"/>
            <w:tcBorders>
              <w:top w:val="single" w:color="000000" w:sz="6" w:space="0"/>
              <w:bottom w:val="single" w:color="D9D9D9" w:sz="6" w:space="0"/>
            </w:tcBorders>
            <w:shd w:val="clear" w:color="auto" w:fill="F1F1F1"/>
          </w:tcPr>
          <w:p w:rsidR="00C31389" w:rsidRDefault="00561FBD" w14:paraId="62E9D1C8" w14:textId="77777777">
            <w:pPr>
              <w:pStyle w:val="TableParagraph"/>
              <w:spacing w:before="0" w:line="209" w:lineRule="exact"/>
              <w:ind w:left="30" w:right="21"/>
              <w:jc w:val="center"/>
              <w:rPr>
                <w:sz w:val="20"/>
              </w:rPr>
            </w:pPr>
            <w:r>
              <w:rPr>
                <w:spacing w:val="-5"/>
                <w:sz w:val="20"/>
              </w:rPr>
              <w:t>63</w:t>
            </w:r>
          </w:p>
        </w:tc>
        <w:tc>
          <w:tcPr>
            <w:tcW w:w="1174" w:type="dxa"/>
            <w:tcBorders>
              <w:top w:val="single" w:color="000000" w:sz="6" w:space="0"/>
              <w:bottom w:val="single" w:color="D9D9D9" w:sz="6" w:space="0"/>
            </w:tcBorders>
            <w:shd w:val="clear" w:color="auto" w:fill="F1F1F1"/>
          </w:tcPr>
          <w:p w:rsidR="00C31389" w:rsidRDefault="00561FBD" w14:paraId="3F21CD6F" w14:textId="77777777">
            <w:pPr>
              <w:pStyle w:val="TableParagraph"/>
              <w:spacing w:before="0" w:line="209" w:lineRule="exact"/>
              <w:ind w:left="347" w:right="357"/>
              <w:jc w:val="center"/>
              <w:rPr>
                <w:sz w:val="20"/>
              </w:rPr>
            </w:pPr>
            <w:r>
              <w:rPr>
                <w:spacing w:val="-5"/>
                <w:sz w:val="20"/>
              </w:rPr>
              <w:t>89</w:t>
            </w:r>
          </w:p>
        </w:tc>
        <w:tc>
          <w:tcPr>
            <w:tcW w:w="1343" w:type="dxa"/>
            <w:tcBorders>
              <w:top w:val="single" w:color="000000" w:sz="6" w:space="0"/>
              <w:bottom w:val="single" w:color="D9D9D9" w:sz="6" w:space="0"/>
            </w:tcBorders>
            <w:shd w:val="clear" w:color="auto" w:fill="F1F1F1"/>
          </w:tcPr>
          <w:p w:rsidR="00C31389" w:rsidRDefault="00561FBD" w14:paraId="0ED2E4C2" w14:textId="77777777">
            <w:pPr>
              <w:pStyle w:val="TableParagraph"/>
              <w:spacing w:before="0" w:line="209" w:lineRule="exact"/>
              <w:ind w:left="17" w:right="69"/>
              <w:jc w:val="center"/>
              <w:rPr>
                <w:sz w:val="20"/>
              </w:rPr>
            </w:pPr>
            <w:r>
              <w:rPr>
                <w:spacing w:val="-4"/>
                <w:sz w:val="20"/>
              </w:rPr>
              <w:t>1,564</w:t>
            </w:r>
          </w:p>
        </w:tc>
        <w:tc>
          <w:tcPr>
            <w:tcW w:w="1254" w:type="dxa"/>
            <w:tcBorders>
              <w:top w:val="single" w:color="000000" w:sz="6" w:space="0"/>
              <w:bottom w:val="single" w:color="D9D9D9" w:sz="6" w:space="0"/>
            </w:tcBorders>
            <w:shd w:val="clear" w:color="auto" w:fill="F1F1F1"/>
          </w:tcPr>
          <w:p w:rsidR="00C31389" w:rsidRDefault="00561FBD" w14:paraId="4B9E9A40" w14:textId="77777777">
            <w:pPr>
              <w:pStyle w:val="TableParagraph"/>
              <w:spacing w:before="0" w:line="209" w:lineRule="exact"/>
              <w:ind w:left="28" w:right="88"/>
              <w:jc w:val="center"/>
              <w:rPr>
                <w:sz w:val="20"/>
              </w:rPr>
            </w:pPr>
            <w:r>
              <w:rPr>
                <w:spacing w:val="-5"/>
                <w:sz w:val="20"/>
              </w:rPr>
              <w:t>90</w:t>
            </w:r>
          </w:p>
        </w:tc>
      </w:tr>
      <w:tr w:rsidR="00C31389" w14:paraId="3DE392B8" w14:textId="77777777">
        <w:trPr>
          <w:trHeight w:val="231"/>
        </w:trPr>
        <w:tc>
          <w:tcPr>
            <w:tcW w:w="1611" w:type="dxa"/>
            <w:vMerge/>
            <w:tcBorders>
              <w:top w:val="nil"/>
              <w:bottom w:val="single" w:color="000000" w:sz="6" w:space="0"/>
            </w:tcBorders>
            <w:shd w:val="clear" w:color="auto" w:fill="F1F1F1"/>
          </w:tcPr>
          <w:p w:rsidR="00C31389" w:rsidRDefault="00C31389" w14:paraId="272A3904" w14:textId="77777777">
            <w:pPr>
              <w:rPr>
                <w:sz w:val="2"/>
                <w:szCs w:val="2"/>
              </w:rPr>
            </w:pPr>
          </w:p>
        </w:tc>
        <w:tc>
          <w:tcPr>
            <w:tcW w:w="1463" w:type="dxa"/>
            <w:tcBorders>
              <w:top w:val="single" w:color="D9D9D9" w:sz="6" w:space="0"/>
              <w:bottom w:val="single" w:color="D9D9D9" w:sz="6" w:space="0"/>
            </w:tcBorders>
            <w:shd w:val="clear" w:color="auto" w:fill="F1F1F1"/>
          </w:tcPr>
          <w:p w:rsidR="00C31389" w:rsidRDefault="00561FBD" w14:paraId="19DA1E2E" w14:textId="77777777">
            <w:pPr>
              <w:pStyle w:val="TableParagraph"/>
              <w:spacing w:before="1" w:line="209" w:lineRule="exact"/>
              <w:ind w:left="11"/>
              <w:rPr>
                <w:sz w:val="20"/>
              </w:rPr>
            </w:pPr>
            <w:r>
              <w:rPr>
                <w:spacing w:val="-4"/>
                <w:sz w:val="20"/>
              </w:rPr>
              <w:t>BROs</w:t>
            </w:r>
          </w:p>
        </w:tc>
        <w:tc>
          <w:tcPr>
            <w:tcW w:w="1207" w:type="dxa"/>
            <w:tcBorders>
              <w:top w:val="single" w:color="D9D9D9" w:sz="6" w:space="0"/>
              <w:bottom w:val="single" w:color="D9D9D9" w:sz="6" w:space="0"/>
            </w:tcBorders>
            <w:shd w:val="clear" w:color="auto" w:fill="F1F1F1"/>
          </w:tcPr>
          <w:p w:rsidR="00C31389" w:rsidRDefault="00561FBD" w14:paraId="5FC48860" w14:textId="77777777">
            <w:pPr>
              <w:pStyle w:val="TableParagraph"/>
              <w:spacing w:before="1" w:line="209" w:lineRule="exact"/>
              <w:ind w:left="362" w:right="322"/>
              <w:jc w:val="center"/>
              <w:rPr>
                <w:sz w:val="20"/>
              </w:rPr>
            </w:pPr>
            <w:r>
              <w:rPr>
                <w:spacing w:val="-5"/>
                <w:sz w:val="20"/>
              </w:rPr>
              <w:t>578</w:t>
            </w:r>
          </w:p>
        </w:tc>
        <w:tc>
          <w:tcPr>
            <w:tcW w:w="976" w:type="dxa"/>
            <w:tcBorders>
              <w:top w:val="single" w:color="D9D9D9" w:sz="6" w:space="0"/>
              <w:bottom w:val="single" w:color="D9D9D9" w:sz="6" w:space="0"/>
            </w:tcBorders>
            <w:shd w:val="clear" w:color="auto" w:fill="F1F1F1"/>
          </w:tcPr>
          <w:p w:rsidR="00C31389" w:rsidRDefault="00561FBD" w14:paraId="11B0B786" w14:textId="77777777">
            <w:pPr>
              <w:pStyle w:val="TableParagraph"/>
              <w:spacing w:before="1" w:line="209" w:lineRule="exact"/>
              <w:ind w:left="30" w:right="20"/>
              <w:jc w:val="center"/>
              <w:rPr>
                <w:sz w:val="20"/>
              </w:rPr>
            </w:pPr>
            <w:r>
              <w:rPr>
                <w:spacing w:val="-5"/>
                <w:sz w:val="20"/>
              </w:rPr>
              <w:t>507</w:t>
            </w:r>
          </w:p>
        </w:tc>
        <w:tc>
          <w:tcPr>
            <w:tcW w:w="1174" w:type="dxa"/>
            <w:tcBorders>
              <w:top w:val="single" w:color="D9D9D9" w:sz="6" w:space="0"/>
              <w:bottom w:val="single" w:color="D9D9D9" w:sz="6" w:space="0"/>
            </w:tcBorders>
            <w:shd w:val="clear" w:color="auto" w:fill="F1F1F1"/>
          </w:tcPr>
          <w:p w:rsidR="00C31389" w:rsidRDefault="00561FBD" w14:paraId="437D51B1" w14:textId="77777777">
            <w:pPr>
              <w:pStyle w:val="TableParagraph"/>
              <w:spacing w:before="1" w:line="209" w:lineRule="exact"/>
              <w:ind w:left="347" w:right="355"/>
              <w:jc w:val="center"/>
              <w:rPr>
                <w:sz w:val="20"/>
              </w:rPr>
            </w:pPr>
            <w:r>
              <w:rPr>
                <w:spacing w:val="-5"/>
                <w:sz w:val="20"/>
              </w:rPr>
              <w:t>507</w:t>
            </w:r>
          </w:p>
        </w:tc>
        <w:tc>
          <w:tcPr>
            <w:tcW w:w="1343" w:type="dxa"/>
            <w:tcBorders>
              <w:top w:val="single" w:color="D9D9D9" w:sz="6" w:space="0"/>
              <w:bottom w:val="single" w:color="D9D9D9" w:sz="6" w:space="0"/>
            </w:tcBorders>
            <w:shd w:val="clear" w:color="auto" w:fill="F1F1F1"/>
          </w:tcPr>
          <w:p w:rsidR="00C31389" w:rsidRDefault="00561FBD" w14:paraId="39B3CE1D" w14:textId="77777777">
            <w:pPr>
              <w:pStyle w:val="TableParagraph"/>
              <w:spacing w:before="1" w:line="209" w:lineRule="exact"/>
              <w:ind w:left="18" w:right="69"/>
              <w:jc w:val="center"/>
              <w:rPr>
                <w:sz w:val="20"/>
              </w:rPr>
            </w:pPr>
            <w:r>
              <w:rPr>
                <w:spacing w:val="-5"/>
                <w:sz w:val="20"/>
              </w:rPr>
              <w:t>507</w:t>
            </w:r>
          </w:p>
        </w:tc>
        <w:tc>
          <w:tcPr>
            <w:tcW w:w="1254" w:type="dxa"/>
            <w:tcBorders>
              <w:top w:val="single" w:color="D9D9D9" w:sz="6" w:space="0"/>
              <w:bottom w:val="single" w:color="D9D9D9" w:sz="6" w:space="0"/>
            </w:tcBorders>
            <w:shd w:val="clear" w:color="auto" w:fill="F1F1F1"/>
          </w:tcPr>
          <w:p w:rsidR="00C31389" w:rsidRDefault="00561FBD" w14:paraId="41F70E12" w14:textId="77777777">
            <w:pPr>
              <w:pStyle w:val="TableParagraph"/>
              <w:spacing w:before="1" w:line="209" w:lineRule="exact"/>
              <w:ind w:left="429"/>
              <w:rPr>
                <w:sz w:val="20"/>
              </w:rPr>
            </w:pPr>
            <w:r>
              <w:rPr>
                <w:spacing w:val="-5"/>
                <w:sz w:val="20"/>
              </w:rPr>
              <w:t>507</w:t>
            </w:r>
          </w:p>
        </w:tc>
      </w:tr>
      <w:tr w:rsidR="00C31389" w14:paraId="2E11CD09" w14:textId="77777777">
        <w:trPr>
          <w:trHeight w:val="255"/>
        </w:trPr>
        <w:tc>
          <w:tcPr>
            <w:tcW w:w="1611" w:type="dxa"/>
            <w:vMerge/>
            <w:tcBorders>
              <w:top w:val="nil"/>
              <w:bottom w:val="single" w:color="000000" w:sz="6" w:space="0"/>
            </w:tcBorders>
            <w:shd w:val="clear" w:color="auto" w:fill="F1F1F1"/>
          </w:tcPr>
          <w:p w:rsidR="00C31389" w:rsidRDefault="00C31389" w14:paraId="5E806FF0" w14:textId="77777777">
            <w:pPr>
              <w:rPr>
                <w:sz w:val="2"/>
                <w:szCs w:val="2"/>
              </w:rPr>
            </w:pPr>
          </w:p>
        </w:tc>
        <w:tc>
          <w:tcPr>
            <w:tcW w:w="1463" w:type="dxa"/>
            <w:tcBorders>
              <w:top w:val="single" w:color="D9D9D9" w:sz="6" w:space="0"/>
              <w:bottom w:val="single" w:color="D9D9D9" w:sz="6" w:space="0"/>
            </w:tcBorders>
            <w:shd w:val="clear" w:color="auto" w:fill="F1F1F1"/>
          </w:tcPr>
          <w:p w:rsidR="00C31389" w:rsidRDefault="00561FBD" w14:paraId="005334E4" w14:textId="77777777">
            <w:pPr>
              <w:pStyle w:val="TableParagraph"/>
              <w:spacing w:before="12" w:line="222" w:lineRule="exact"/>
              <w:ind w:left="11"/>
              <w:rPr>
                <w:sz w:val="20"/>
              </w:rPr>
            </w:pPr>
            <w:r>
              <w:rPr>
                <w:sz w:val="20"/>
              </w:rPr>
              <w:t>EE</w:t>
            </w:r>
            <w:r>
              <w:rPr>
                <w:spacing w:val="-2"/>
                <w:sz w:val="20"/>
              </w:rPr>
              <w:t xml:space="preserve"> Equipment</w:t>
            </w:r>
          </w:p>
        </w:tc>
        <w:tc>
          <w:tcPr>
            <w:tcW w:w="1207" w:type="dxa"/>
            <w:tcBorders>
              <w:top w:val="single" w:color="D9D9D9" w:sz="6" w:space="0"/>
              <w:bottom w:val="single" w:color="D9D9D9" w:sz="6" w:space="0"/>
            </w:tcBorders>
            <w:shd w:val="clear" w:color="auto" w:fill="F1F1F1"/>
          </w:tcPr>
          <w:p w:rsidR="00C31389" w:rsidRDefault="00561FBD" w14:paraId="1320B51F" w14:textId="77777777">
            <w:pPr>
              <w:pStyle w:val="TableParagraph"/>
              <w:spacing w:before="12" w:line="222" w:lineRule="exact"/>
              <w:ind w:left="362" w:right="322"/>
              <w:jc w:val="center"/>
              <w:rPr>
                <w:sz w:val="20"/>
              </w:rPr>
            </w:pPr>
            <w:r>
              <w:rPr>
                <w:spacing w:val="-5"/>
                <w:sz w:val="20"/>
              </w:rPr>
              <w:t>119</w:t>
            </w:r>
          </w:p>
        </w:tc>
        <w:tc>
          <w:tcPr>
            <w:tcW w:w="976" w:type="dxa"/>
            <w:tcBorders>
              <w:top w:val="single" w:color="D9D9D9" w:sz="6" w:space="0"/>
              <w:bottom w:val="single" w:color="D9D9D9" w:sz="6" w:space="0"/>
            </w:tcBorders>
            <w:shd w:val="clear" w:color="auto" w:fill="F1F1F1"/>
          </w:tcPr>
          <w:p w:rsidR="00C31389" w:rsidRDefault="00561FBD" w14:paraId="68D112C5" w14:textId="77777777">
            <w:pPr>
              <w:pStyle w:val="TableParagraph"/>
              <w:spacing w:before="12" w:line="222" w:lineRule="exact"/>
              <w:ind w:left="30" w:right="20"/>
              <w:jc w:val="center"/>
              <w:rPr>
                <w:sz w:val="20"/>
              </w:rPr>
            </w:pPr>
            <w:r>
              <w:rPr>
                <w:spacing w:val="-5"/>
                <w:sz w:val="20"/>
              </w:rPr>
              <w:t>148</w:t>
            </w:r>
          </w:p>
        </w:tc>
        <w:tc>
          <w:tcPr>
            <w:tcW w:w="1174" w:type="dxa"/>
            <w:tcBorders>
              <w:top w:val="single" w:color="D9D9D9" w:sz="6" w:space="0"/>
              <w:bottom w:val="single" w:color="D9D9D9" w:sz="6" w:space="0"/>
            </w:tcBorders>
            <w:shd w:val="clear" w:color="auto" w:fill="F1F1F1"/>
          </w:tcPr>
          <w:p w:rsidR="00C31389" w:rsidRDefault="00561FBD" w14:paraId="37C9F3BA" w14:textId="77777777">
            <w:pPr>
              <w:pStyle w:val="TableParagraph"/>
              <w:spacing w:before="12" w:line="222" w:lineRule="exact"/>
              <w:ind w:left="347" w:right="355"/>
              <w:jc w:val="center"/>
              <w:rPr>
                <w:sz w:val="20"/>
              </w:rPr>
            </w:pPr>
            <w:r>
              <w:rPr>
                <w:spacing w:val="-5"/>
                <w:sz w:val="20"/>
              </w:rPr>
              <w:t>168</w:t>
            </w:r>
          </w:p>
        </w:tc>
        <w:tc>
          <w:tcPr>
            <w:tcW w:w="1343" w:type="dxa"/>
            <w:tcBorders>
              <w:top w:val="single" w:color="D9D9D9" w:sz="6" w:space="0"/>
              <w:bottom w:val="single" w:color="D9D9D9" w:sz="6" w:space="0"/>
            </w:tcBorders>
            <w:shd w:val="clear" w:color="auto" w:fill="F1F1F1"/>
          </w:tcPr>
          <w:p w:rsidR="00C31389" w:rsidRDefault="00561FBD" w14:paraId="599802A8" w14:textId="77777777">
            <w:pPr>
              <w:pStyle w:val="TableParagraph"/>
              <w:spacing w:before="12" w:line="222" w:lineRule="exact"/>
              <w:ind w:left="18" w:right="69"/>
              <w:jc w:val="center"/>
              <w:rPr>
                <w:sz w:val="20"/>
              </w:rPr>
            </w:pPr>
            <w:r>
              <w:rPr>
                <w:spacing w:val="-5"/>
                <w:sz w:val="20"/>
              </w:rPr>
              <w:t>167</w:t>
            </w:r>
          </w:p>
        </w:tc>
        <w:tc>
          <w:tcPr>
            <w:tcW w:w="1254" w:type="dxa"/>
            <w:tcBorders>
              <w:top w:val="single" w:color="D9D9D9" w:sz="6" w:space="0"/>
              <w:bottom w:val="single" w:color="D9D9D9" w:sz="6" w:space="0"/>
            </w:tcBorders>
            <w:shd w:val="clear" w:color="auto" w:fill="F1F1F1"/>
          </w:tcPr>
          <w:p w:rsidR="00C31389" w:rsidRDefault="00561FBD" w14:paraId="37AAC9F0" w14:textId="77777777">
            <w:pPr>
              <w:pStyle w:val="TableParagraph"/>
              <w:spacing w:before="12" w:line="222" w:lineRule="exact"/>
              <w:ind w:left="429"/>
              <w:rPr>
                <w:sz w:val="20"/>
              </w:rPr>
            </w:pPr>
            <w:r>
              <w:rPr>
                <w:spacing w:val="-5"/>
                <w:sz w:val="20"/>
              </w:rPr>
              <w:t>169</w:t>
            </w:r>
          </w:p>
        </w:tc>
      </w:tr>
      <w:tr w:rsidR="00C31389" w14:paraId="1221D1FF" w14:textId="77777777">
        <w:trPr>
          <w:trHeight w:val="229"/>
        </w:trPr>
        <w:tc>
          <w:tcPr>
            <w:tcW w:w="1611" w:type="dxa"/>
            <w:vMerge/>
            <w:tcBorders>
              <w:top w:val="nil"/>
              <w:bottom w:val="single" w:color="000000" w:sz="6" w:space="0"/>
            </w:tcBorders>
            <w:shd w:val="clear" w:color="auto" w:fill="F1F1F1"/>
          </w:tcPr>
          <w:p w:rsidR="00C31389" w:rsidRDefault="00C31389" w14:paraId="7BF3ABBB" w14:textId="77777777">
            <w:pPr>
              <w:rPr>
                <w:sz w:val="2"/>
                <w:szCs w:val="2"/>
              </w:rPr>
            </w:pPr>
          </w:p>
        </w:tc>
        <w:tc>
          <w:tcPr>
            <w:tcW w:w="1463" w:type="dxa"/>
            <w:tcBorders>
              <w:top w:val="single" w:color="D9D9D9" w:sz="6" w:space="0"/>
              <w:bottom w:val="single" w:color="000000" w:sz="6" w:space="0"/>
            </w:tcBorders>
            <w:shd w:val="clear" w:color="auto" w:fill="F1F1F1"/>
          </w:tcPr>
          <w:p w:rsidR="00C31389" w:rsidRDefault="00561FBD" w14:paraId="4E10207D" w14:textId="77777777">
            <w:pPr>
              <w:pStyle w:val="TableParagraph"/>
              <w:spacing w:before="0" w:line="209" w:lineRule="exact"/>
              <w:ind w:left="11"/>
              <w:rPr>
                <w:b/>
                <w:sz w:val="20"/>
              </w:rPr>
            </w:pPr>
            <w:r>
              <w:rPr>
                <w:b/>
                <w:spacing w:val="-2"/>
                <w:sz w:val="20"/>
              </w:rPr>
              <w:t>Total</w:t>
            </w:r>
          </w:p>
        </w:tc>
        <w:tc>
          <w:tcPr>
            <w:tcW w:w="1207" w:type="dxa"/>
            <w:tcBorders>
              <w:top w:val="single" w:color="D9D9D9" w:sz="6" w:space="0"/>
              <w:bottom w:val="single" w:color="000000" w:sz="6" w:space="0"/>
            </w:tcBorders>
            <w:shd w:val="clear" w:color="auto" w:fill="F1F1F1"/>
          </w:tcPr>
          <w:p w:rsidR="00C31389" w:rsidRDefault="00561FBD" w14:paraId="5BBB497A" w14:textId="77777777">
            <w:pPr>
              <w:pStyle w:val="TableParagraph"/>
              <w:spacing w:before="0" w:line="209" w:lineRule="exact"/>
              <w:ind w:left="363" w:right="322"/>
              <w:jc w:val="center"/>
              <w:rPr>
                <w:b/>
                <w:sz w:val="20"/>
              </w:rPr>
            </w:pPr>
            <w:r>
              <w:rPr>
                <w:b/>
                <w:spacing w:val="-4"/>
                <w:sz w:val="20"/>
              </w:rPr>
              <w:t>1,143</w:t>
            </w:r>
          </w:p>
        </w:tc>
        <w:tc>
          <w:tcPr>
            <w:tcW w:w="976" w:type="dxa"/>
            <w:tcBorders>
              <w:top w:val="single" w:color="D9D9D9" w:sz="6" w:space="0"/>
              <w:bottom w:val="single" w:color="000000" w:sz="6" w:space="0"/>
            </w:tcBorders>
            <w:shd w:val="clear" w:color="auto" w:fill="F1F1F1"/>
          </w:tcPr>
          <w:p w:rsidR="00C31389" w:rsidRDefault="00561FBD" w14:paraId="3AFEC701" w14:textId="77777777">
            <w:pPr>
              <w:pStyle w:val="TableParagraph"/>
              <w:spacing w:before="0" w:line="209" w:lineRule="exact"/>
              <w:ind w:left="30" w:right="20"/>
              <w:jc w:val="center"/>
              <w:rPr>
                <w:b/>
                <w:sz w:val="20"/>
              </w:rPr>
            </w:pPr>
            <w:r>
              <w:rPr>
                <w:b/>
                <w:spacing w:val="-5"/>
                <w:sz w:val="20"/>
              </w:rPr>
              <w:t>717</w:t>
            </w:r>
          </w:p>
        </w:tc>
        <w:tc>
          <w:tcPr>
            <w:tcW w:w="1174" w:type="dxa"/>
            <w:tcBorders>
              <w:top w:val="single" w:color="D9D9D9" w:sz="6" w:space="0"/>
              <w:bottom w:val="single" w:color="000000" w:sz="6" w:space="0"/>
            </w:tcBorders>
            <w:shd w:val="clear" w:color="auto" w:fill="F1F1F1"/>
          </w:tcPr>
          <w:p w:rsidR="00C31389" w:rsidRDefault="00561FBD" w14:paraId="5B254A9A" w14:textId="77777777">
            <w:pPr>
              <w:pStyle w:val="TableParagraph"/>
              <w:spacing w:before="0" w:line="209" w:lineRule="exact"/>
              <w:ind w:left="347" w:right="355"/>
              <w:jc w:val="center"/>
              <w:rPr>
                <w:b/>
                <w:sz w:val="20"/>
              </w:rPr>
            </w:pPr>
            <w:r>
              <w:rPr>
                <w:b/>
                <w:spacing w:val="-5"/>
                <w:sz w:val="20"/>
              </w:rPr>
              <w:t>764</w:t>
            </w:r>
          </w:p>
        </w:tc>
        <w:tc>
          <w:tcPr>
            <w:tcW w:w="1343" w:type="dxa"/>
            <w:tcBorders>
              <w:top w:val="single" w:color="D9D9D9" w:sz="6" w:space="0"/>
              <w:bottom w:val="single" w:color="000000" w:sz="6" w:space="0"/>
            </w:tcBorders>
            <w:shd w:val="clear" w:color="auto" w:fill="F1F1F1"/>
          </w:tcPr>
          <w:p w:rsidR="00C31389" w:rsidRDefault="00561FBD" w14:paraId="40ABDC99" w14:textId="77777777">
            <w:pPr>
              <w:pStyle w:val="TableParagraph"/>
              <w:spacing w:before="0" w:line="209" w:lineRule="exact"/>
              <w:ind w:left="17" w:right="69"/>
              <w:jc w:val="center"/>
              <w:rPr>
                <w:b/>
                <w:sz w:val="20"/>
              </w:rPr>
            </w:pPr>
            <w:r>
              <w:rPr>
                <w:b/>
                <w:spacing w:val="-4"/>
                <w:sz w:val="20"/>
              </w:rPr>
              <w:t>2,238</w:t>
            </w:r>
          </w:p>
        </w:tc>
        <w:tc>
          <w:tcPr>
            <w:tcW w:w="1254" w:type="dxa"/>
            <w:tcBorders>
              <w:top w:val="single" w:color="D9D9D9" w:sz="6" w:space="0"/>
              <w:bottom w:val="single" w:color="000000" w:sz="6" w:space="0"/>
            </w:tcBorders>
            <w:shd w:val="clear" w:color="auto" w:fill="F1F1F1"/>
          </w:tcPr>
          <w:p w:rsidR="00C31389" w:rsidRDefault="00561FBD" w14:paraId="1C3AAD94" w14:textId="77777777">
            <w:pPr>
              <w:pStyle w:val="TableParagraph"/>
              <w:spacing w:before="0" w:line="209" w:lineRule="exact"/>
              <w:ind w:left="429"/>
              <w:rPr>
                <w:b/>
                <w:sz w:val="20"/>
              </w:rPr>
            </w:pPr>
            <w:r>
              <w:rPr>
                <w:b/>
                <w:spacing w:val="-5"/>
                <w:sz w:val="20"/>
              </w:rPr>
              <w:t>766</w:t>
            </w:r>
          </w:p>
        </w:tc>
      </w:tr>
      <w:tr w:rsidR="00C31389" w14:paraId="25422D5F" w14:textId="77777777">
        <w:trPr>
          <w:trHeight w:val="229"/>
        </w:trPr>
        <w:tc>
          <w:tcPr>
            <w:tcW w:w="1611" w:type="dxa"/>
            <w:tcBorders>
              <w:top w:val="single" w:color="000000" w:sz="6" w:space="0"/>
            </w:tcBorders>
          </w:tcPr>
          <w:p w:rsidR="00C31389" w:rsidRDefault="00C31389" w14:paraId="3681E533" w14:textId="77777777">
            <w:pPr>
              <w:pStyle w:val="TableParagraph"/>
              <w:spacing w:before="0"/>
              <w:rPr>
                <w:rFonts w:ascii="Times New Roman"/>
                <w:sz w:val="16"/>
              </w:rPr>
            </w:pPr>
          </w:p>
        </w:tc>
        <w:tc>
          <w:tcPr>
            <w:tcW w:w="1463" w:type="dxa"/>
            <w:tcBorders>
              <w:top w:val="single" w:color="000000" w:sz="6" w:space="0"/>
              <w:bottom w:val="single" w:color="D9D9D9" w:sz="6" w:space="0"/>
            </w:tcBorders>
          </w:tcPr>
          <w:p w:rsidR="00C31389" w:rsidRDefault="00561FBD" w14:paraId="3042ACE5" w14:textId="77777777">
            <w:pPr>
              <w:pStyle w:val="TableParagraph"/>
              <w:spacing w:before="0" w:line="209" w:lineRule="exact"/>
              <w:ind w:left="11"/>
              <w:rPr>
                <w:sz w:val="20"/>
              </w:rPr>
            </w:pPr>
            <w:r>
              <w:rPr>
                <w:spacing w:val="-5"/>
                <w:sz w:val="20"/>
              </w:rPr>
              <w:t>FS*</w:t>
            </w:r>
          </w:p>
        </w:tc>
        <w:tc>
          <w:tcPr>
            <w:tcW w:w="1207" w:type="dxa"/>
            <w:tcBorders>
              <w:top w:val="single" w:color="000000" w:sz="6" w:space="0"/>
              <w:bottom w:val="single" w:color="D9D9D9" w:sz="6" w:space="0"/>
            </w:tcBorders>
          </w:tcPr>
          <w:p w:rsidR="00C31389" w:rsidRDefault="00561FBD" w14:paraId="08EF9F17" w14:textId="77777777">
            <w:pPr>
              <w:pStyle w:val="TableParagraph"/>
              <w:spacing w:before="0" w:line="209" w:lineRule="exact"/>
              <w:ind w:left="363" w:right="322"/>
              <w:jc w:val="center"/>
              <w:rPr>
                <w:sz w:val="20"/>
              </w:rPr>
            </w:pPr>
            <w:r>
              <w:rPr>
                <w:sz w:val="20"/>
              </w:rPr>
              <w:t>-</w:t>
            </w:r>
            <w:r>
              <w:rPr>
                <w:spacing w:val="-5"/>
                <w:sz w:val="20"/>
              </w:rPr>
              <w:t>15</w:t>
            </w:r>
          </w:p>
        </w:tc>
        <w:tc>
          <w:tcPr>
            <w:tcW w:w="976" w:type="dxa"/>
            <w:tcBorders>
              <w:top w:val="single" w:color="000000" w:sz="6" w:space="0"/>
              <w:bottom w:val="single" w:color="D9D9D9" w:sz="6" w:space="0"/>
            </w:tcBorders>
          </w:tcPr>
          <w:p w:rsidR="00C31389" w:rsidRDefault="00561FBD" w14:paraId="6BB6FD49" w14:textId="77777777">
            <w:pPr>
              <w:pStyle w:val="TableParagraph"/>
              <w:spacing w:before="0" w:line="209" w:lineRule="exact"/>
              <w:ind w:left="30" w:right="20"/>
              <w:jc w:val="center"/>
              <w:rPr>
                <w:sz w:val="20"/>
              </w:rPr>
            </w:pPr>
            <w:r>
              <w:rPr>
                <w:sz w:val="20"/>
              </w:rPr>
              <w:t>-</w:t>
            </w:r>
            <w:r>
              <w:rPr>
                <w:spacing w:val="-10"/>
                <w:sz w:val="20"/>
              </w:rPr>
              <w:t>1</w:t>
            </w:r>
          </w:p>
        </w:tc>
        <w:tc>
          <w:tcPr>
            <w:tcW w:w="1174" w:type="dxa"/>
            <w:tcBorders>
              <w:top w:val="single" w:color="000000" w:sz="6" w:space="0"/>
              <w:bottom w:val="single" w:color="D9D9D9" w:sz="6" w:space="0"/>
            </w:tcBorders>
          </w:tcPr>
          <w:p w:rsidR="00C31389" w:rsidRDefault="00561FBD" w14:paraId="661FC1BE" w14:textId="77777777">
            <w:pPr>
              <w:pStyle w:val="TableParagraph"/>
              <w:spacing w:before="0" w:line="209" w:lineRule="exact"/>
              <w:ind w:left="347" w:right="356"/>
              <w:jc w:val="center"/>
              <w:rPr>
                <w:sz w:val="20"/>
              </w:rPr>
            </w:pPr>
            <w:r>
              <w:rPr>
                <w:sz w:val="20"/>
              </w:rPr>
              <w:t>-</w:t>
            </w:r>
            <w:r>
              <w:rPr>
                <w:spacing w:val="-10"/>
                <w:sz w:val="20"/>
              </w:rPr>
              <w:t>1</w:t>
            </w:r>
          </w:p>
        </w:tc>
        <w:tc>
          <w:tcPr>
            <w:tcW w:w="1343" w:type="dxa"/>
            <w:tcBorders>
              <w:top w:val="single" w:color="000000" w:sz="6" w:space="0"/>
              <w:bottom w:val="single" w:color="D9D9D9" w:sz="6" w:space="0"/>
            </w:tcBorders>
          </w:tcPr>
          <w:p w:rsidR="00C31389" w:rsidRDefault="00561FBD" w14:paraId="6B588956" w14:textId="77777777">
            <w:pPr>
              <w:pStyle w:val="TableParagraph"/>
              <w:spacing w:before="0" w:line="209" w:lineRule="exact"/>
              <w:ind w:left="18" w:right="69"/>
              <w:jc w:val="center"/>
              <w:rPr>
                <w:sz w:val="20"/>
              </w:rPr>
            </w:pPr>
            <w:r>
              <w:rPr>
                <w:sz w:val="20"/>
              </w:rPr>
              <w:t>-</w:t>
            </w:r>
            <w:r>
              <w:rPr>
                <w:spacing w:val="-10"/>
                <w:sz w:val="20"/>
              </w:rPr>
              <w:t>6</w:t>
            </w:r>
          </w:p>
        </w:tc>
        <w:tc>
          <w:tcPr>
            <w:tcW w:w="1254" w:type="dxa"/>
            <w:tcBorders>
              <w:top w:val="single" w:color="000000" w:sz="6" w:space="0"/>
              <w:bottom w:val="single" w:color="D9D9D9" w:sz="6" w:space="0"/>
            </w:tcBorders>
          </w:tcPr>
          <w:p w:rsidR="00C31389" w:rsidRDefault="00561FBD" w14:paraId="3E9996FD" w14:textId="77777777">
            <w:pPr>
              <w:pStyle w:val="TableParagraph"/>
              <w:spacing w:before="0" w:line="209" w:lineRule="exact"/>
              <w:ind w:left="29" w:right="88"/>
              <w:jc w:val="center"/>
              <w:rPr>
                <w:sz w:val="20"/>
              </w:rPr>
            </w:pPr>
            <w:r>
              <w:rPr>
                <w:sz w:val="20"/>
              </w:rPr>
              <w:t>-</w:t>
            </w:r>
            <w:r>
              <w:rPr>
                <w:spacing w:val="-10"/>
                <w:sz w:val="20"/>
              </w:rPr>
              <w:t>1</w:t>
            </w:r>
          </w:p>
        </w:tc>
      </w:tr>
      <w:tr w:rsidR="00C31389" w14:paraId="45A7F7D0" w14:textId="77777777">
        <w:trPr>
          <w:trHeight w:val="229"/>
        </w:trPr>
        <w:tc>
          <w:tcPr>
            <w:tcW w:w="1611" w:type="dxa"/>
            <w:vMerge w:val="restart"/>
            <w:tcBorders>
              <w:left w:val="single" w:color="000000" w:sz="6" w:space="0"/>
              <w:bottom w:val="single" w:color="000000" w:sz="6" w:space="0"/>
            </w:tcBorders>
          </w:tcPr>
          <w:p w:rsidR="00C31389" w:rsidRDefault="00561FBD" w14:paraId="76D35798" w14:textId="77777777">
            <w:pPr>
              <w:pStyle w:val="TableParagraph"/>
              <w:spacing w:before="7"/>
              <w:ind w:left="-1" w:right="31"/>
              <w:rPr>
                <w:b/>
                <w:sz w:val="20"/>
              </w:rPr>
            </w:pPr>
            <w:r>
              <w:rPr>
                <w:b/>
                <w:sz w:val="20"/>
              </w:rPr>
              <w:t>Electric</w:t>
            </w:r>
            <w:r>
              <w:rPr>
                <w:b/>
                <w:spacing w:val="-14"/>
                <w:sz w:val="20"/>
              </w:rPr>
              <w:t xml:space="preserve"> </w:t>
            </w:r>
            <w:r>
              <w:rPr>
                <w:b/>
                <w:sz w:val="20"/>
              </w:rPr>
              <w:t xml:space="preserve">Demand </w:t>
            </w:r>
            <w:r>
              <w:rPr>
                <w:b/>
                <w:spacing w:val="-4"/>
                <w:sz w:val="20"/>
              </w:rPr>
              <w:t>(MW)</w:t>
            </w:r>
          </w:p>
        </w:tc>
        <w:tc>
          <w:tcPr>
            <w:tcW w:w="1463" w:type="dxa"/>
            <w:tcBorders>
              <w:top w:val="single" w:color="D9D9D9" w:sz="6" w:space="0"/>
              <w:bottom w:val="single" w:color="D9D9D9" w:sz="6" w:space="0"/>
            </w:tcBorders>
          </w:tcPr>
          <w:p w:rsidR="00C31389" w:rsidRDefault="00561FBD" w14:paraId="24D46A5E" w14:textId="77777777">
            <w:pPr>
              <w:pStyle w:val="TableParagraph"/>
              <w:spacing w:before="0" w:line="209" w:lineRule="exact"/>
              <w:ind w:left="11"/>
              <w:rPr>
                <w:sz w:val="20"/>
              </w:rPr>
            </w:pPr>
            <w:r>
              <w:rPr>
                <w:spacing w:val="-4"/>
                <w:sz w:val="20"/>
              </w:rPr>
              <w:t>BROs</w:t>
            </w:r>
          </w:p>
        </w:tc>
        <w:tc>
          <w:tcPr>
            <w:tcW w:w="1207" w:type="dxa"/>
            <w:tcBorders>
              <w:top w:val="single" w:color="D9D9D9" w:sz="6" w:space="0"/>
              <w:bottom w:val="single" w:color="D9D9D9" w:sz="6" w:space="0"/>
            </w:tcBorders>
          </w:tcPr>
          <w:p w:rsidR="00C31389" w:rsidRDefault="00561FBD" w14:paraId="04014D47" w14:textId="77777777">
            <w:pPr>
              <w:pStyle w:val="TableParagraph"/>
              <w:spacing w:before="0" w:line="209" w:lineRule="exact"/>
              <w:ind w:left="362" w:right="322"/>
              <w:jc w:val="center"/>
              <w:rPr>
                <w:sz w:val="20"/>
              </w:rPr>
            </w:pPr>
            <w:r>
              <w:rPr>
                <w:spacing w:val="-5"/>
                <w:sz w:val="20"/>
              </w:rPr>
              <w:t>126</w:t>
            </w:r>
          </w:p>
        </w:tc>
        <w:tc>
          <w:tcPr>
            <w:tcW w:w="976" w:type="dxa"/>
            <w:tcBorders>
              <w:top w:val="single" w:color="D9D9D9" w:sz="6" w:space="0"/>
              <w:bottom w:val="single" w:color="D9D9D9" w:sz="6" w:space="0"/>
            </w:tcBorders>
          </w:tcPr>
          <w:p w:rsidR="00C31389" w:rsidRDefault="00561FBD" w14:paraId="40FE47F4" w14:textId="77777777">
            <w:pPr>
              <w:pStyle w:val="TableParagraph"/>
              <w:spacing w:before="0" w:line="209" w:lineRule="exact"/>
              <w:ind w:left="30" w:right="21"/>
              <w:jc w:val="center"/>
              <w:rPr>
                <w:sz w:val="20"/>
              </w:rPr>
            </w:pPr>
            <w:r>
              <w:rPr>
                <w:spacing w:val="-5"/>
                <w:sz w:val="20"/>
              </w:rPr>
              <w:t>92</w:t>
            </w:r>
          </w:p>
        </w:tc>
        <w:tc>
          <w:tcPr>
            <w:tcW w:w="1174" w:type="dxa"/>
            <w:tcBorders>
              <w:top w:val="single" w:color="D9D9D9" w:sz="6" w:space="0"/>
              <w:bottom w:val="single" w:color="D9D9D9" w:sz="6" w:space="0"/>
            </w:tcBorders>
          </w:tcPr>
          <w:p w:rsidR="00C31389" w:rsidRDefault="00561FBD" w14:paraId="761B2717" w14:textId="77777777">
            <w:pPr>
              <w:pStyle w:val="TableParagraph"/>
              <w:spacing w:before="0" w:line="209" w:lineRule="exact"/>
              <w:ind w:left="347" w:right="357"/>
              <w:jc w:val="center"/>
              <w:rPr>
                <w:sz w:val="20"/>
              </w:rPr>
            </w:pPr>
            <w:r>
              <w:rPr>
                <w:spacing w:val="-5"/>
                <w:sz w:val="20"/>
              </w:rPr>
              <w:t>92</w:t>
            </w:r>
          </w:p>
        </w:tc>
        <w:tc>
          <w:tcPr>
            <w:tcW w:w="1343" w:type="dxa"/>
            <w:tcBorders>
              <w:top w:val="single" w:color="D9D9D9" w:sz="6" w:space="0"/>
              <w:bottom w:val="single" w:color="D9D9D9" w:sz="6" w:space="0"/>
            </w:tcBorders>
          </w:tcPr>
          <w:p w:rsidR="00C31389" w:rsidRDefault="00561FBD" w14:paraId="0AB79A31" w14:textId="77777777">
            <w:pPr>
              <w:pStyle w:val="TableParagraph"/>
              <w:spacing w:before="0" w:line="209" w:lineRule="exact"/>
              <w:ind w:left="17" w:right="69"/>
              <w:jc w:val="center"/>
              <w:rPr>
                <w:sz w:val="20"/>
              </w:rPr>
            </w:pPr>
            <w:r>
              <w:rPr>
                <w:spacing w:val="-5"/>
                <w:sz w:val="20"/>
              </w:rPr>
              <w:t>92</w:t>
            </w:r>
          </w:p>
        </w:tc>
        <w:tc>
          <w:tcPr>
            <w:tcW w:w="1254" w:type="dxa"/>
            <w:tcBorders>
              <w:top w:val="single" w:color="D9D9D9" w:sz="6" w:space="0"/>
              <w:bottom w:val="single" w:color="D9D9D9" w:sz="6" w:space="0"/>
            </w:tcBorders>
          </w:tcPr>
          <w:p w:rsidR="00C31389" w:rsidRDefault="00561FBD" w14:paraId="40A2EE97" w14:textId="77777777">
            <w:pPr>
              <w:pStyle w:val="TableParagraph"/>
              <w:spacing w:before="0" w:line="209" w:lineRule="exact"/>
              <w:ind w:left="28" w:right="88"/>
              <w:jc w:val="center"/>
              <w:rPr>
                <w:sz w:val="20"/>
              </w:rPr>
            </w:pPr>
            <w:r>
              <w:rPr>
                <w:spacing w:val="-5"/>
                <w:sz w:val="20"/>
              </w:rPr>
              <w:t>92</w:t>
            </w:r>
          </w:p>
        </w:tc>
      </w:tr>
      <w:tr w:rsidR="00C31389" w14:paraId="3CBB7288" w14:textId="77777777">
        <w:trPr>
          <w:trHeight w:val="229"/>
        </w:trPr>
        <w:tc>
          <w:tcPr>
            <w:tcW w:w="1611" w:type="dxa"/>
            <w:vMerge/>
            <w:tcBorders>
              <w:top w:val="nil"/>
              <w:left w:val="single" w:color="000000" w:sz="6" w:space="0"/>
              <w:bottom w:val="single" w:color="000000" w:sz="6" w:space="0"/>
            </w:tcBorders>
          </w:tcPr>
          <w:p w:rsidR="00C31389" w:rsidRDefault="00C31389" w14:paraId="57DAC20C" w14:textId="77777777">
            <w:pPr>
              <w:rPr>
                <w:sz w:val="2"/>
                <w:szCs w:val="2"/>
              </w:rPr>
            </w:pPr>
          </w:p>
        </w:tc>
        <w:tc>
          <w:tcPr>
            <w:tcW w:w="1463" w:type="dxa"/>
            <w:tcBorders>
              <w:top w:val="single" w:color="D9D9D9" w:sz="6" w:space="0"/>
              <w:bottom w:val="single" w:color="D9D9D9" w:sz="6" w:space="0"/>
            </w:tcBorders>
          </w:tcPr>
          <w:p w:rsidR="00C31389" w:rsidRDefault="00561FBD" w14:paraId="7E533E3E" w14:textId="77777777">
            <w:pPr>
              <w:pStyle w:val="TableParagraph"/>
              <w:spacing w:before="0" w:line="209" w:lineRule="exact"/>
              <w:ind w:left="11"/>
              <w:rPr>
                <w:sz w:val="20"/>
              </w:rPr>
            </w:pPr>
            <w:r>
              <w:rPr>
                <w:sz w:val="20"/>
              </w:rPr>
              <w:t>EE</w:t>
            </w:r>
            <w:r>
              <w:rPr>
                <w:spacing w:val="-2"/>
                <w:sz w:val="20"/>
              </w:rPr>
              <w:t xml:space="preserve"> Equipment</w:t>
            </w:r>
          </w:p>
        </w:tc>
        <w:tc>
          <w:tcPr>
            <w:tcW w:w="1207" w:type="dxa"/>
            <w:tcBorders>
              <w:top w:val="single" w:color="D9D9D9" w:sz="6" w:space="0"/>
              <w:bottom w:val="single" w:color="D9D9D9" w:sz="6" w:space="0"/>
            </w:tcBorders>
          </w:tcPr>
          <w:p w:rsidR="00C31389" w:rsidRDefault="00561FBD" w14:paraId="5A87C257" w14:textId="77777777">
            <w:pPr>
              <w:pStyle w:val="TableParagraph"/>
              <w:spacing w:before="0" w:line="209" w:lineRule="exact"/>
              <w:ind w:left="361" w:right="322"/>
              <w:jc w:val="center"/>
              <w:rPr>
                <w:sz w:val="20"/>
              </w:rPr>
            </w:pPr>
            <w:r>
              <w:rPr>
                <w:spacing w:val="-5"/>
                <w:sz w:val="20"/>
              </w:rPr>
              <w:t>23</w:t>
            </w:r>
          </w:p>
        </w:tc>
        <w:tc>
          <w:tcPr>
            <w:tcW w:w="976" w:type="dxa"/>
            <w:tcBorders>
              <w:top w:val="single" w:color="D9D9D9" w:sz="6" w:space="0"/>
              <w:bottom w:val="single" w:color="D9D9D9" w:sz="6" w:space="0"/>
            </w:tcBorders>
          </w:tcPr>
          <w:p w:rsidR="00C31389" w:rsidRDefault="00561FBD" w14:paraId="25375A26" w14:textId="77777777">
            <w:pPr>
              <w:pStyle w:val="TableParagraph"/>
              <w:spacing w:before="0" w:line="209" w:lineRule="exact"/>
              <w:ind w:left="30" w:right="21"/>
              <w:jc w:val="center"/>
              <w:rPr>
                <w:sz w:val="20"/>
              </w:rPr>
            </w:pPr>
            <w:r>
              <w:rPr>
                <w:spacing w:val="-5"/>
                <w:sz w:val="20"/>
              </w:rPr>
              <w:t>48</w:t>
            </w:r>
          </w:p>
        </w:tc>
        <w:tc>
          <w:tcPr>
            <w:tcW w:w="1174" w:type="dxa"/>
            <w:tcBorders>
              <w:top w:val="single" w:color="D9D9D9" w:sz="6" w:space="0"/>
              <w:bottom w:val="single" w:color="D9D9D9" w:sz="6" w:space="0"/>
            </w:tcBorders>
          </w:tcPr>
          <w:p w:rsidR="00C31389" w:rsidRDefault="00561FBD" w14:paraId="578A35C6" w14:textId="77777777">
            <w:pPr>
              <w:pStyle w:val="TableParagraph"/>
              <w:spacing w:before="0" w:line="209" w:lineRule="exact"/>
              <w:ind w:left="347" w:right="357"/>
              <w:jc w:val="center"/>
              <w:rPr>
                <w:sz w:val="20"/>
              </w:rPr>
            </w:pPr>
            <w:r>
              <w:rPr>
                <w:spacing w:val="-5"/>
                <w:sz w:val="20"/>
              </w:rPr>
              <w:t>53</w:t>
            </w:r>
          </w:p>
        </w:tc>
        <w:tc>
          <w:tcPr>
            <w:tcW w:w="1343" w:type="dxa"/>
            <w:tcBorders>
              <w:top w:val="single" w:color="D9D9D9" w:sz="6" w:space="0"/>
              <w:bottom w:val="single" w:color="D9D9D9" w:sz="6" w:space="0"/>
            </w:tcBorders>
          </w:tcPr>
          <w:p w:rsidR="00C31389" w:rsidRDefault="00561FBD" w14:paraId="6C3DE231" w14:textId="77777777">
            <w:pPr>
              <w:pStyle w:val="TableParagraph"/>
              <w:spacing w:before="0" w:line="209" w:lineRule="exact"/>
              <w:ind w:left="17" w:right="69"/>
              <w:jc w:val="center"/>
              <w:rPr>
                <w:sz w:val="20"/>
              </w:rPr>
            </w:pPr>
            <w:r>
              <w:rPr>
                <w:spacing w:val="-5"/>
                <w:sz w:val="20"/>
              </w:rPr>
              <w:t>52</w:t>
            </w:r>
          </w:p>
        </w:tc>
        <w:tc>
          <w:tcPr>
            <w:tcW w:w="1254" w:type="dxa"/>
            <w:tcBorders>
              <w:top w:val="single" w:color="D9D9D9" w:sz="6" w:space="0"/>
              <w:bottom w:val="single" w:color="D9D9D9" w:sz="6" w:space="0"/>
            </w:tcBorders>
          </w:tcPr>
          <w:p w:rsidR="00C31389" w:rsidRDefault="00561FBD" w14:paraId="1D1B55E8" w14:textId="77777777">
            <w:pPr>
              <w:pStyle w:val="TableParagraph"/>
              <w:spacing w:before="0" w:line="209" w:lineRule="exact"/>
              <w:ind w:left="28" w:right="88"/>
              <w:jc w:val="center"/>
              <w:rPr>
                <w:sz w:val="20"/>
              </w:rPr>
            </w:pPr>
            <w:r>
              <w:rPr>
                <w:spacing w:val="-5"/>
                <w:sz w:val="20"/>
              </w:rPr>
              <w:t>53</w:t>
            </w:r>
          </w:p>
        </w:tc>
      </w:tr>
      <w:tr w:rsidR="00C31389" w14:paraId="1174139C" w14:textId="77777777">
        <w:trPr>
          <w:trHeight w:val="229"/>
        </w:trPr>
        <w:tc>
          <w:tcPr>
            <w:tcW w:w="1611" w:type="dxa"/>
            <w:vMerge/>
            <w:tcBorders>
              <w:top w:val="nil"/>
              <w:left w:val="single" w:color="000000" w:sz="6" w:space="0"/>
              <w:bottom w:val="single" w:color="000000" w:sz="6" w:space="0"/>
            </w:tcBorders>
          </w:tcPr>
          <w:p w:rsidR="00C31389" w:rsidRDefault="00C31389" w14:paraId="7E25AFA8" w14:textId="77777777">
            <w:pPr>
              <w:rPr>
                <w:sz w:val="2"/>
                <w:szCs w:val="2"/>
              </w:rPr>
            </w:pPr>
          </w:p>
        </w:tc>
        <w:tc>
          <w:tcPr>
            <w:tcW w:w="1463" w:type="dxa"/>
            <w:tcBorders>
              <w:top w:val="single" w:color="D9D9D9" w:sz="6" w:space="0"/>
              <w:bottom w:val="single" w:color="000000" w:sz="6" w:space="0"/>
            </w:tcBorders>
          </w:tcPr>
          <w:p w:rsidR="00C31389" w:rsidRDefault="00561FBD" w14:paraId="06D0C196" w14:textId="77777777">
            <w:pPr>
              <w:pStyle w:val="TableParagraph"/>
              <w:spacing w:before="0" w:line="209" w:lineRule="exact"/>
              <w:ind w:left="11"/>
              <w:rPr>
                <w:b/>
                <w:sz w:val="20"/>
              </w:rPr>
            </w:pPr>
            <w:r>
              <w:rPr>
                <w:b/>
                <w:spacing w:val="-2"/>
                <w:sz w:val="20"/>
              </w:rPr>
              <w:t>Total</w:t>
            </w:r>
          </w:p>
        </w:tc>
        <w:tc>
          <w:tcPr>
            <w:tcW w:w="1207" w:type="dxa"/>
            <w:tcBorders>
              <w:top w:val="single" w:color="D9D9D9" w:sz="6" w:space="0"/>
              <w:bottom w:val="single" w:color="000000" w:sz="6" w:space="0"/>
            </w:tcBorders>
          </w:tcPr>
          <w:p w:rsidR="00C31389" w:rsidRDefault="00561FBD" w14:paraId="119F4D38" w14:textId="77777777">
            <w:pPr>
              <w:pStyle w:val="TableParagraph"/>
              <w:spacing w:before="0" w:line="209" w:lineRule="exact"/>
              <w:ind w:left="362" w:right="322"/>
              <w:jc w:val="center"/>
              <w:rPr>
                <w:b/>
                <w:sz w:val="20"/>
              </w:rPr>
            </w:pPr>
            <w:r>
              <w:rPr>
                <w:b/>
                <w:spacing w:val="-5"/>
                <w:sz w:val="20"/>
              </w:rPr>
              <w:t>134</w:t>
            </w:r>
          </w:p>
        </w:tc>
        <w:tc>
          <w:tcPr>
            <w:tcW w:w="976" w:type="dxa"/>
            <w:tcBorders>
              <w:top w:val="single" w:color="D9D9D9" w:sz="6" w:space="0"/>
              <w:bottom w:val="single" w:color="000000" w:sz="6" w:space="0"/>
            </w:tcBorders>
          </w:tcPr>
          <w:p w:rsidR="00C31389" w:rsidRDefault="00561FBD" w14:paraId="276219E3" w14:textId="77777777">
            <w:pPr>
              <w:pStyle w:val="TableParagraph"/>
              <w:spacing w:before="0" w:line="209" w:lineRule="exact"/>
              <w:ind w:left="30" w:right="20"/>
              <w:jc w:val="center"/>
              <w:rPr>
                <w:b/>
                <w:sz w:val="20"/>
              </w:rPr>
            </w:pPr>
            <w:r>
              <w:rPr>
                <w:b/>
                <w:spacing w:val="-5"/>
                <w:sz w:val="20"/>
              </w:rPr>
              <w:t>140</w:t>
            </w:r>
          </w:p>
        </w:tc>
        <w:tc>
          <w:tcPr>
            <w:tcW w:w="1174" w:type="dxa"/>
            <w:tcBorders>
              <w:top w:val="single" w:color="D9D9D9" w:sz="6" w:space="0"/>
              <w:bottom w:val="single" w:color="000000" w:sz="6" w:space="0"/>
            </w:tcBorders>
          </w:tcPr>
          <w:p w:rsidR="00C31389" w:rsidRDefault="00561FBD" w14:paraId="7987EA4F" w14:textId="77777777">
            <w:pPr>
              <w:pStyle w:val="TableParagraph"/>
              <w:spacing w:before="0" w:line="209" w:lineRule="exact"/>
              <w:ind w:left="347" w:right="355"/>
              <w:jc w:val="center"/>
              <w:rPr>
                <w:b/>
                <w:sz w:val="20"/>
              </w:rPr>
            </w:pPr>
            <w:r>
              <w:rPr>
                <w:b/>
                <w:spacing w:val="-5"/>
                <w:sz w:val="20"/>
              </w:rPr>
              <w:t>145</w:t>
            </w:r>
          </w:p>
        </w:tc>
        <w:tc>
          <w:tcPr>
            <w:tcW w:w="1343" w:type="dxa"/>
            <w:tcBorders>
              <w:top w:val="single" w:color="D9D9D9" w:sz="6" w:space="0"/>
              <w:bottom w:val="single" w:color="000000" w:sz="6" w:space="0"/>
            </w:tcBorders>
          </w:tcPr>
          <w:p w:rsidR="00C31389" w:rsidRDefault="00561FBD" w14:paraId="6E34D886" w14:textId="77777777">
            <w:pPr>
              <w:pStyle w:val="TableParagraph"/>
              <w:spacing w:before="0" w:line="209" w:lineRule="exact"/>
              <w:ind w:left="18" w:right="69"/>
              <w:jc w:val="center"/>
              <w:rPr>
                <w:b/>
                <w:sz w:val="20"/>
              </w:rPr>
            </w:pPr>
            <w:r>
              <w:rPr>
                <w:b/>
                <w:spacing w:val="-5"/>
                <w:sz w:val="20"/>
              </w:rPr>
              <w:t>139</w:t>
            </w:r>
          </w:p>
        </w:tc>
        <w:tc>
          <w:tcPr>
            <w:tcW w:w="1254" w:type="dxa"/>
            <w:tcBorders>
              <w:top w:val="single" w:color="D9D9D9" w:sz="6" w:space="0"/>
              <w:bottom w:val="single" w:color="000000" w:sz="6" w:space="0"/>
            </w:tcBorders>
          </w:tcPr>
          <w:p w:rsidR="00C31389" w:rsidRDefault="00561FBD" w14:paraId="7C638862" w14:textId="77777777">
            <w:pPr>
              <w:pStyle w:val="TableParagraph"/>
              <w:spacing w:before="0" w:line="209" w:lineRule="exact"/>
              <w:ind w:left="429"/>
              <w:rPr>
                <w:b/>
                <w:sz w:val="20"/>
              </w:rPr>
            </w:pPr>
            <w:r>
              <w:rPr>
                <w:b/>
                <w:spacing w:val="-5"/>
                <w:sz w:val="20"/>
              </w:rPr>
              <w:t>145</w:t>
            </w:r>
          </w:p>
        </w:tc>
      </w:tr>
      <w:tr w:rsidR="00C31389" w14:paraId="0B84B4F8" w14:textId="77777777">
        <w:trPr>
          <w:trHeight w:val="231"/>
        </w:trPr>
        <w:tc>
          <w:tcPr>
            <w:tcW w:w="1611" w:type="dxa"/>
            <w:vMerge w:val="restart"/>
            <w:tcBorders>
              <w:top w:val="single" w:color="000000" w:sz="6" w:space="0"/>
              <w:bottom w:val="single" w:color="000000" w:sz="6" w:space="0"/>
            </w:tcBorders>
            <w:shd w:val="clear" w:color="auto" w:fill="F1F1F1"/>
          </w:tcPr>
          <w:p w:rsidR="00C31389" w:rsidRDefault="00561FBD" w14:paraId="2D2112D4" w14:textId="77777777">
            <w:pPr>
              <w:pStyle w:val="TableParagraph"/>
              <w:spacing w:before="138"/>
              <w:ind w:left="-1" w:right="478"/>
              <w:jc w:val="both"/>
              <w:rPr>
                <w:b/>
                <w:sz w:val="20"/>
              </w:rPr>
            </w:pPr>
            <w:r>
              <w:rPr>
                <w:b/>
                <w:sz w:val="20"/>
              </w:rPr>
              <w:t>Gas</w:t>
            </w:r>
            <w:r>
              <w:rPr>
                <w:b/>
                <w:spacing w:val="-14"/>
                <w:sz w:val="20"/>
              </w:rPr>
              <w:t xml:space="preserve"> </w:t>
            </w:r>
            <w:r>
              <w:rPr>
                <w:b/>
                <w:sz w:val="20"/>
              </w:rPr>
              <w:t xml:space="preserve">Energy </w:t>
            </w:r>
            <w:r>
              <w:rPr>
                <w:b/>
                <w:spacing w:val="-2"/>
                <w:sz w:val="20"/>
              </w:rPr>
              <w:t>(MMtherms/ Year)</w:t>
            </w:r>
          </w:p>
        </w:tc>
        <w:tc>
          <w:tcPr>
            <w:tcW w:w="1463" w:type="dxa"/>
            <w:tcBorders>
              <w:top w:val="single" w:color="000000" w:sz="6" w:space="0"/>
              <w:bottom w:val="single" w:color="D9D9D9" w:sz="6" w:space="0"/>
            </w:tcBorders>
            <w:shd w:val="clear" w:color="auto" w:fill="F1F1F1"/>
          </w:tcPr>
          <w:p w:rsidR="00C31389" w:rsidRDefault="00561FBD" w14:paraId="68DC099B" w14:textId="77777777">
            <w:pPr>
              <w:pStyle w:val="TableParagraph"/>
              <w:spacing w:before="1" w:line="209" w:lineRule="exact"/>
              <w:ind w:left="11"/>
              <w:rPr>
                <w:sz w:val="20"/>
              </w:rPr>
            </w:pPr>
            <w:r>
              <w:rPr>
                <w:spacing w:val="-5"/>
                <w:sz w:val="20"/>
              </w:rPr>
              <w:t>FS</w:t>
            </w:r>
          </w:p>
        </w:tc>
        <w:tc>
          <w:tcPr>
            <w:tcW w:w="1207" w:type="dxa"/>
            <w:tcBorders>
              <w:top w:val="single" w:color="000000" w:sz="6" w:space="0"/>
              <w:bottom w:val="single" w:color="D9D9D9" w:sz="6" w:space="0"/>
            </w:tcBorders>
            <w:shd w:val="clear" w:color="auto" w:fill="F1F1F1"/>
          </w:tcPr>
          <w:p w:rsidR="00C31389" w:rsidRDefault="00561FBD" w14:paraId="5C698128" w14:textId="77777777">
            <w:pPr>
              <w:pStyle w:val="TableParagraph"/>
              <w:spacing w:before="1" w:line="209" w:lineRule="exact"/>
              <w:ind w:left="361" w:right="322"/>
              <w:jc w:val="center"/>
              <w:rPr>
                <w:sz w:val="20"/>
              </w:rPr>
            </w:pPr>
            <w:r>
              <w:rPr>
                <w:spacing w:val="-5"/>
                <w:sz w:val="20"/>
              </w:rPr>
              <w:t>20</w:t>
            </w:r>
          </w:p>
        </w:tc>
        <w:tc>
          <w:tcPr>
            <w:tcW w:w="976" w:type="dxa"/>
            <w:tcBorders>
              <w:top w:val="single" w:color="000000" w:sz="6" w:space="0"/>
              <w:bottom w:val="single" w:color="D9D9D9" w:sz="6" w:space="0"/>
            </w:tcBorders>
            <w:shd w:val="clear" w:color="auto" w:fill="F1F1F1"/>
          </w:tcPr>
          <w:p w:rsidR="00C31389" w:rsidRDefault="00561FBD" w14:paraId="568CD36A" w14:textId="77777777">
            <w:pPr>
              <w:pStyle w:val="TableParagraph"/>
              <w:spacing w:before="1" w:line="209" w:lineRule="exact"/>
              <w:ind w:left="7"/>
              <w:jc w:val="center"/>
              <w:rPr>
                <w:sz w:val="20"/>
              </w:rPr>
            </w:pPr>
            <w:r>
              <w:rPr>
                <w:sz w:val="20"/>
              </w:rPr>
              <w:t>3</w:t>
            </w:r>
          </w:p>
        </w:tc>
        <w:tc>
          <w:tcPr>
            <w:tcW w:w="1174" w:type="dxa"/>
            <w:tcBorders>
              <w:top w:val="single" w:color="000000" w:sz="6" w:space="0"/>
              <w:bottom w:val="single" w:color="D9D9D9" w:sz="6" w:space="0"/>
            </w:tcBorders>
            <w:shd w:val="clear" w:color="auto" w:fill="F1F1F1"/>
          </w:tcPr>
          <w:p w:rsidR="00C31389" w:rsidRDefault="00561FBD" w14:paraId="73977B52" w14:textId="77777777">
            <w:pPr>
              <w:pStyle w:val="TableParagraph"/>
              <w:spacing w:before="1" w:line="209" w:lineRule="exact"/>
              <w:ind w:right="11"/>
              <w:jc w:val="center"/>
              <w:rPr>
                <w:sz w:val="20"/>
              </w:rPr>
            </w:pPr>
            <w:r>
              <w:rPr>
                <w:sz w:val="20"/>
              </w:rPr>
              <w:t>4</w:t>
            </w:r>
          </w:p>
        </w:tc>
        <w:tc>
          <w:tcPr>
            <w:tcW w:w="1343" w:type="dxa"/>
            <w:tcBorders>
              <w:top w:val="single" w:color="000000" w:sz="6" w:space="0"/>
              <w:bottom w:val="single" w:color="D9D9D9" w:sz="6" w:space="0"/>
            </w:tcBorders>
            <w:shd w:val="clear" w:color="auto" w:fill="F1F1F1"/>
          </w:tcPr>
          <w:p w:rsidR="00C31389" w:rsidRDefault="00561FBD" w14:paraId="1562F59F" w14:textId="77777777">
            <w:pPr>
              <w:pStyle w:val="TableParagraph"/>
              <w:spacing w:before="1" w:line="209" w:lineRule="exact"/>
              <w:ind w:left="17" w:right="69"/>
              <w:jc w:val="center"/>
              <w:rPr>
                <w:sz w:val="20"/>
              </w:rPr>
            </w:pPr>
            <w:r>
              <w:rPr>
                <w:spacing w:val="-5"/>
                <w:sz w:val="20"/>
              </w:rPr>
              <w:t>60</w:t>
            </w:r>
          </w:p>
        </w:tc>
        <w:tc>
          <w:tcPr>
            <w:tcW w:w="1254" w:type="dxa"/>
            <w:tcBorders>
              <w:top w:val="single" w:color="000000" w:sz="6" w:space="0"/>
              <w:bottom w:val="single" w:color="D9D9D9" w:sz="6" w:space="0"/>
            </w:tcBorders>
            <w:shd w:val="clear" w:color="auto" w:fill="F1F1F1"/>
          </w:tcPr>
          <w:p w:rsidR="00C31389" w:rsidRDefault="00561FBD" w14:paraId="10759FEB" w14:textId="77777777">
            <w:pPr>
              <w:pStyle w:val="TableParagraph"/>
              <w:spacing w:before="1" w:line="209" w:lineRule="exact"/>
              <w:ind w:right="59"/>
              <w:jc w:val="center"/>
              <w:rPr>
                <w:sz w:val="20"/>
              </w:rPr>
            </w:pPr>
            <w:r>
              <w:rPr>
                <w:sz w:val="20"/>
              </w:rPr>
              <w:t>4</w:t>
            </w:r>
          </w:p>
        </w:tc>
      </w:tr>
      <w:tr w:rsidR="00C31389" w14:paraId="611578B0" w14:textId="77777777">
        <w:trPr>
          <w:trHeight w:val="229"/>
        </w:trPr>
        <w:tc>
          <w:tcPr>
            <w:tcW w:w="1611" w:type="dxa"/>
            <w:vMerge/>
            <w:tcBorders>
              <w:top w:val="nil"/>
              <w:bottom w:val="single" w:color="000000" w:sz="6" w:space="0"/>
            </w:tcBorders>
            <w:shd w:val="clear" w:color="auto" w:fill="F1F1F1"/>
          </w:tcPr>
          <w:p w:rsidR="00C31389" w:rsidRDefault="00C31389" w14:paraId="7D1F4337" w14:textId="77777777">
            <w:pPr>
              <w:rPr>
                <w:sz w:val="2"/>
                <w:szCs w:val="2"/>
              </w:rPr>
            </w:pPr>
          </w:p>
        </w:tc>
        <w:tc>
          <w:tcPr>
            <w:tcW w:w="1463" w:type="dxa"/>
            <w:tcBorders>
              <w:top w:val="single" w:color="D9D9D9" w:sz="6" w:space="0"/>
              <w:bottom w:val="single" w:color="D9D9D9" w:sz="6" w:space="0"/>
            </w:tcBorders>
            <w:shd w:val="clear" w:color="auto" w:fill="F1F1F1"/>
          </w:tcPr>
          <w:p w:rsidR="00C31389" w:rsidRDefault="00561FBD" w14:paraId="33628CDE" w14:textId="77777777">
            <w:pPr>
              <w:pStyle w:val="TableParagraph"/>
              <w:spacing w:before="0" w:line="209" w:lineRule="exact"/>
              <w:ind w:left="11"/>
              <w:rPr>
                <w:sz w:val="20"/>
              </w:rPr>
            </w:pPr>
            <w:r>
              <w:rPr>
                <w:spacing w:val="-4"/>
                <w:sz w:val="20"/>
              </w:rPr>
              <w:t>BROs</w:t>
            </w:r>
          </w:p>
        </w:tc>
        <w:tc>
          <w:tcPr>
            <w:tcW w:w="1207" w:type="dxa"/>
            <w:tcBorders>
              <w:top w:val="single" w:color="D9D9D9" w:sz="6" w:space="0"/>
              <w:bottom w:val="single" w:color="D9D9D9" w:sz="6" w:space="0"/>
            </w:tcBorders>
            <w:shd w:val="clear" w:color="auto" w:fill="F1F1F1"/>
          </w:tcPr>
          <w:p w:rsidR="00C31389" w:rsidRDefault="00561FBD" w14:paraId="66C2EC19" w14:textId="77777777">
            <w:pPr>
              <w:pStyle w:val="TableParagraph"/>
              <w:spacing w:before="0" w:line="209" w:lineRule="exact"/>
              <w:ind w:left="361" w:right="322"/>
              <w:jc w:val="center"/>
              <w:rPr>
                <w:sz w:val="20"/>
              </w:rPr>
            </w:pPr>
            <w:r>
              <w:rPr>
                <w:spacing w:val="-5"/>
                <w:sz w:val="20"/>
              </w:rPr>
              <w:t>25</w:t>
            </w:r>
          </w:p>
        </w:tc>
        <w:tc>
          <w:tcPr>
            <w:tcW w:w="976" w:type="dxa"/>
            <w:tcBorders>
              <w:top w:val="single" w:color="D9D9D9" w:sz="6" w:space="0"/>
              <w:bottom w:val="single" w:color="D9D9D9" w:sz="6" w:space="0"/>
            </w:tcBorders>
            <w:shd w:val="clear" w:color="auto" w:fill="F1F1F1"/>
          </w:tcPr>
          <w:p w:rsidR="00C31389" w:rsidRDefault="00561FBD" w14:paraId="5EE877E9" w14:textId="77777777">
            <w:pPr>
              <w:pStyle w:val="TableParagraph"/>
              <w:spacing w:before="0" w:line="209" w:lineRule="exact"/>
              <w:ind w:left="30" w:right="21"/>
              <w:jc w:val="center"/>
              <w:rPr>
                <w:sz w:val="20"/>
              </w:rPr>
            </w:pPr>
            <w:r>
              <w:rPr>
                <w:spacing w:val="-5"/>
                <w:sz w:val="20"/>
              </w:rPr>
              <w:t>21</w:t>
            </w:r>
          </w:p>
        </w:tc>
        <w:tc>
          <w:tcPr>
            <w:tcW w:w="1174" w:type="dxa"/>
            <w:tcBorders>
              <w:top w:val="single" w:color="D9D9D9" w:sz="6" w:space="0"/>
              <w:bottom w:val="single" w:color="D9D9D9" w:sz="6" w:space="0"/>
            </w:tcBorders>
            <w:shd w:val="clear" w:color="auto" w:fill="F1F1F1"/>
          </w:tcPr>
          <w:p w:rsidR="00C31389" w:rsidRDefault="00561FBD" w14:paraId="174D1704" w14:textId="77777777">
            <w:pPr>
              <w:pStyle w:val="TableParagraph"/>
              <w:spacing w:before="0" w:line="209" w:lineRule="exact"/>
              <w:ind w:left="347" w:right="357"/>
              <w:jc w:val="center"/>
              <w:rPr>
                <w:sz w:val="20"/>
              </w:rPr>
            </w:pPr>
            <w:r>
              <w:rPr>
                <w:spacing w:val="-5"/>
                <w:sz w:val="20"/>
              </w:rPr>
              <w:t>21</w:t>
            </w:r>
          </w:p>
        </w:tc>
        <w:tc>
          <w:tcPr>
            <w:tcW w:w="1343" w:type="dxa"/>
            <w:tcBorders>
              <w:top w:val="single" w:color="D9D9D9" w:sz="6" w:space="0"/>
              <w:bottom w:val="single" w:color="D9D9D9" w:sz="6" w:space="0"/>
            </w:tcBorders>
            <w:shd w:val="clear" w:color="auto" w:fill="F1F1F1"/>
          </w:tcPr>
          <w:p w:rsidR="00C31389" w:rsidRDefault="00561FBD" w14:paraId="0378A11D" w14:textId="77777777">
            <w:pPr>
              <w:pStyle w:val="TableParagraph"/>
              <w:spacing w:before="0" w:line="209" w:lineRule="exact"/>
              <w:ind w:left="17" w:right="69"/>
              <w:jc w:val="center"/>
              <w:rPr>
                <w:sz w:val="20"/>
              </w:rPr>
            </w:pPr>
            <w:r>
              <w:rPr>
                <w:spacing w:val="-5"/>
                <w:sz w:val="20"/>
              </w:rPr>
              <w:t>21</w:t>
            </w:r>
          </w:p>
        </w:tc>
        <w:tc>
          <w:tcPr>
            <w:tcW w:w="1254" w:type="dxa"/>
            <w:tcBorders>
              <w:top w:val="single" w:color="D9D9D9" w:sz="6" w:space="0"/>
              <w:bottom w:val="single" w:color="D9D9D9" w:sz="6" w:space="0"/>
            </w:tcBorders>
            <w:shd w:val="clear" w:color="auto" w:fill="F1F1F1"/>
          </w:tcPr>
          <w:p w:rsidR="00C31389" w:rsidRDefault="00561FBD" w14:paraId="45C992E7" w14:textId="77777777">
            <w:pPr>
              <w:pStyle w:val="TableParagraph"/>
              <w:spacing w:before="0" w:line="209" w:lineRule="exact"/>
              <w:ind w:left="28" w:right="88"/>
              <w:jc w:val="center"/>
              <w:rPr>
                <w:sz w:val="20"/>
              </w:rPr>
            </w:pPr>
            <w:r>
              <w:rPr>
                <w:spacing w:val="-5"/>
                <w:sz w:val="20"/>
              </w:rPr>
              <w:t>21</w:t>
            </w:r>
          </w:p>
        </w:tc>
      </w:tr>
      <w:tr w:rsidR="00C31389" w14:paraId="3F374944" w14:textId="77777777">
        <w:trPr>
          <w:trHeight w:val="229"/>
        </w:trPr>
        <w:tc>
          <w:tcPr>
            <w:tcW w:w="1611" w:type="dxa"/>
            <w:vMerge/>
            <w:tcBorders>
              <w:top w:val="nil"/>
              <w:bottom w:val="single" w:color="000000" w:sz="6" w:space="0"/>
            </w:tcBorders>
            <w:shd w:val="clear" w:color="auto" w:fill="F1F1F1"/>
          </w:tcPr>
          <w:p w:rsidR="00C31389" w:rsidRDefault="00C31389" w14:paraId="0FC3F0CD" w14:textId="77777777">
            <w:pPr>
              <w:rPr>
                <w:sz w:val="2"/>
                <w:szCs w:val="2"/>
              </w:rPr>
            </w:pPr>
          </w:p>
        </w:tc>
        <w:tc>
          <w:tcPr>
            <w:tcW w:w="1463" w:type="dxa"/>
            <w:tcBorders>
              <w:top w:val="single" w:color="D9D9D9" w:sz="6" w:space="0"/>
              <w:bottom w:val="single" w:color="D9D9D9" w:sz="6" w:space="0"/>
            </w:tcBorders>
            <w:shd w:val="clear" w:color="auto" w:fill="F1F1F1"/>
          </w:tcPr>
          <w:p w:rsidR="00C31389" w:rsidRDefault="00561FBD" w14:paraId="6AF99B6C" w14:textId="77777777">
            <w:pPr>
              <w:pStyle w:val="TableParagraph"/>
              <w:spacing w:before="0" w:line="209" w:lineRule="exact"/>
              <w:ind w:left="11"/>
              <w:rPr>
                <w:sz w:val="20"/>
              </w:rPr>
            </w:pPr>
            <w:r>
              <w:rPr>
                <w:sz w:val="20"/>
              </w:rPr>
              <w:t>EE</w:t>
            </w:r>
            <w:r>
              <w:rPr>
                <w:spacing w:val="-2"/>
                <w:sz w:val="20"/>
              </w:rPr>
              <w:t xml:space="preserve"> Equipment</w:t>
            </w:r>
          </w:p>
        </w:tc>
        <w:tc>
          <w:tcPr>
            <w:tcW w:w="1207" w:type="dxa"/>
            <w:tcBorders>
              <w:top w:val="single" w:color="D9D9D9" w:sz="6" w:space="0"/>
              <w:bottom w:val="single" w:color="D9D9D9" w:sz="6" w:space="0"/>
            </w:tcBorders>
            <w:shd w:val="clear" w:color="auto" w:fill="F1F1F1"/>
          </w:tcPr>
          <w:p w:rsidR="00C31389" w:rsidRDefault="00561FBD" w14:paraId="04CC6BDC" w14:textId="77777777">
            <w:pPr>
              <w:pStyle w:val="TableParagraph"/>
              <w:spacing w:before="0" w:line="209" w:lineRule="exact"/>
              <w:ind w:left="361" w:right="322"/>
              <w:jc w:val="center"/>
              <w:rPr>
                <w:sz w:val="20"/>
              </w:rPr>
            </w:pPr>
            <w:r>
              <w:rPr>
                <w:spacing w:val="-5"/>
                <w:sz w:val="20"/>
              </w:rPr>
              <w:t>12</w:t>
            </w:r>
          </w:p>
        </w:tc>
        <w:tc>
          <w:tcPr>
            <w:tcW w:w="976" w:type="dxa"/>
            <w:tcBorders>
              <w:top w:val="single" w:color="D9D9D9" w:sz="6" w:space="0"/>
              <w:bottom w:val="single" w:color="D9D9D9" w:sz="6" w:space="0"/>
            </w:tcBorders>
            <w:shd w:val="clear" w:color="auto" w:fill="F1F1F1"/>
          </w:tcPr>
          <w:p w:rsidR="00C31389" w:rsidRDefault="00561FBD" w14:paraId="31528082" w14:textId="77777777">
            <w:pPr>
              <w:pStyle w:val="TableParagraph"/>
              <w:spacing w:before="0" w:line="209" w:lineRule="exact"/>
              <w:ind w:left="30" w:right="21"/>
              <w:jc w:val="center"/>
              <w:rPr>
                <w:sz w:val="20"/>
              </w:rPr>
            </w:pPr>
            <w:r>
              <w:rPr>
                <w:spacing w:val="-5"/>
                <w:sz w:val="20"/>
              </w:rPr>
              <w:t>19</w:t>
            </w:r>
          </w:p>
        </w:tc>
        <w:tc>
          <w:tcPr>
            <w:tcW w:w="1174" w:type="dxa"/>
            <w:tcBorders>
              <w:top w:val="single" w:color="D9D9D9" w:sz="6" w:space="0"/>
              <w:bottom w:val="single" w:color="D9D9D9" w:sz="6" w:space="0"/>
            </w:tcBorders>
            <w:shd w:val="clear" w:color="auto" w:fill="F1F1F1"/>
          </w:tcPr>
          <w:p w:rsidR="00C31389" w:rsidRDefault="00561FBD" w14:paraId="4518CDCC" w14:textId="77777777">
            <w:pPr>
              <w:pStyle w:val="TableParagraph"/>
              <w:spacing w:before="0" w:line="209" w:lineRule="exact"/>
              <w:ind w:left="347" w:right="357"/>
              <w:jc w:val="center"/>
              <w:rPr>
                <w:sz w:val="20"/>
              </w:rPr>
            </w:pPr>
            <w:r>
              <w:rPr>
                <w:spacing w:val="-5"/>
                <w:sz w:val="20"/>
              </w:rPr>
              <w:t>19</w:t>
            </w:r>
          </w:p>
        </w:tc>
        <w:tc>
          <w:tcPr>
            <w:tcW w:w="1343" w:type="dxa"/>
            <w:tcBorders>
              <w:top w:val="single" w:color="D9D9D9" w:sz="6" w:space="0"/>
              <w:bottom w:val="single" w:color="D9D9D9" w:sz="6" w:space="0"/>
            </w:tcBorders>
            <w:shd w:val="clear" w:color="auto" w:fill="F1F1F1"/>
          </w:tcPr>
          <w:p w:rsidR="00C31389" w:rsidRDefault="00561FBD" w14:paraId="639BEB64" w14:textId="77777777">
            <w:pPr>
              <w:pStyle w:val="TableParagraph"/>
              <w:spacing w:before="0" w:line="209" w:lineRule="exact"/>
              <w:ind w:left="17" w:right="69"/>
              <w:jc w:val="center"/>
              <w:rPr>
                <w:sz w:val="20"/>
              </w:rPr>
            </w:pPr>
            <w:r>
              <w:rPr>
                <w:spacing w:val="-5"/>
                <w:sz w:val="20"/>
              </w:rPr>
              <w:t>19</w:t>
            </w:r>
          </w:p>
        </w:tc>
        <w:tc>
          <w:tcPr>
            <w:tcW w:w="1254" w:type="dxa"/>
            <w:tcBorders>
              <w:top w:val="single" w:color="D9D9D9" w:sz="6" w:space="0"/>
              <w:bottom w:val="single" w:color="D9D9D9" w:sz="6" w:space="0"/>
            </w:tcBorders>
            <w:shd w:val="clear" w:color="auto" w:fill="F1F1F1"/>
          </w:tcPr>
          <w:p w:rsidR="00C31389" w:rsidRDefault="00561FBD" w14:paraId="6FA244D3" w14:textId="77777777">
            <w:pPr>
              <w:pStyle w:val="TableParagraph"/>
              <w:spacing w:before="0" w:line="209" w:lineRule="exact"/>
              <w:ind w:left="28" w:right="88"/>
              <w:jc w:val="center"/>
              <w:rPr>
                <w:sz w:val="20"/>
              </w:rPr>
            </w:pPr>
            <w:r>
              <w:rPr>
                <w:spacing w:val="-5"/>
                <w:sz w:val="20"/>
              </w:rPr>
              <w:t>19</w:t>
            </w:r>
          </w:p>
        </w:tc>
      </w:tr>
      <w:tr w:rsidR="00C31389" w14:paraId="50F0E741" w14:textId="77777777">
        <w:trPr>
          <w:trHeight w:val="229"/>
        </w:trPr>
        <w:tc>
          <w:tcPr>
            <w:tcW w:w="1611" w:type="dxa"/>
            <w:vMerge/>
            <w:tcBorders>
              <w:top w:val="nil"/>
              <w:bottom w:val="single" w:color="000000" w:sz="6" w:space="0"/>
            </w:tcBorders>
            <w:shd w:val="clear" w:color="auto" w:fill="F1F1F1"/>
          </w:tcPr>
          <w:p w:rsidR="00C31389" w:rsidRDefault="00C31389" w14:paraId="47027DDC" w14:textId="77777777">
            <w:pPr>
              <w:rPr>
                <w:sz w:val="2"/>
                <w:szCs w:val="2"/>
              </w:rPr>
            </w:pPr>
          </w:p>
        </w:tc>
        <w:tc>
          <w:tcPr>
            <w:tcW w:w="1463" w:type="dxa"/>
            <w:tcBorders>
              <w:top w:val="single" w:color="D9D9D9" w:sz="6" w:space="0"/>
              <w:bottom w:val="single" w:color="000000" w:sz="6" w:space="0"/>
            </w:tcBorders>
            <w:shd w:val="clear" w:color="auto" w:fill="F1F1F1"/>
          </w:tcPr>
          <w:p w:rsidR="00C31389" w:rsidRDefault="00561FBD" w14:paraId="45A337B0" w14:textId="77777777">
            <w:pPr>
              <w:pStyle w:val="TableParagraph"/>
              <w:spacing w:before="0" w:line="209" w:lineRule="exact"/>
              <w:ind w:left="11"/>
              <w:rPr>
                <w:b/>
                <w:sz w:val="20"/>
              </w:rPr>
            </w:pPr>
            <w:r>
              <w:rPr>
                <w:b/>
                <w:spacing w:val="-2"/>
                <w:sz w:val="20"/>
              </w:rPr>
              <w:t>Total</w:t>
            </w:r>
          </w:p>
        </w:tc>
        <w:tc>
          <w:tcPr>
            <w:tcW w:w="1207" w:type="dxa"/>
            <w:tcBorders>
              <w:top w:val="single" w:color="D9D9D9" w:sz="6" w:space="0"/>
              <w:bottom w:val="single" w:color="000000" w:sz="6" w:space="0"/>
            </w:tcBorders>
            <w:shd w:val="clear" w:color="auto" w:fill="F1F1F1"/>
          </w:tcPr>
          <w:p w:rsidR="00C31389" w:rsidRDefault="00561FBD" w14:paraId="219C41D1" w14:textId="77777777">
            <w:pPr>
              <w:pStyle w:val="TableParagraph"/>
              <w:spacing w:before="0" w:line="209" w:lineRule="exact"/>
              <w:ind w:left="361" w:right="322"/>
              <w:jc w:val="center"/>
              <w:rPr>
                <w:b/>
                <w:sz w:val="20"/>
              </w:rPr>
            </w:pPr>
            <w:r>
              <w:rPr>
                <w:b/>
                <w:spacing w:val="-5"/>
                <w:sz w:val="20"/>
              </w:rPr>
              <w:t>57</w:t>
            </w:r>
          </w:p>
        </w:tc>
        <w:tc>
          <w:tcPr>
            <w:tcW w:w="976" w:type="dxa"/>
            <w:tcBorders>
              <w:top w:val="single" w:color="D9D9D9" w:sz="6" w:space="0"/>
              <w:bottom w:val="single" w:color="000000" w:sz="6" w:space="0"/>
            </w:tcBorders>
            <w:shd w:val="clear" w:color="auto" w:fill="F1F1F1"/>
          </w:tcPr>
          <w:p w:rsidR="00C31389" w:rsidRDefault="00561FBD" w14:paraId="0295B177" w14:textId="77777777">
            <w:pPr>
              <w:pStyle w:val="TableParagraph"/>
              <w:spacing w:before="0" w:line="209" w:lineRule="exact"/>
              <w:ind w:left="30" w:right="21"/>
              <w:jc w:val="center"/>
              <w:rPr>
                <w:b/>
                <w:sz w:val="20"/>
              </w:rPr>
            </w:pPr>
            <w:r>
              <w:rPr>
                <w:b/>
                <w:spacing w:val="-5"/>
                <w:sz w:val="20"/>
              </w:rPr>
              <w:t>42</w:t>
            </w:r>
          </w:p>
        </w:tc>
        <w:tc>
          <w:tcPr>
            <w:tcW w:w="1174" w:type="dxa"/>
            <w:tcBorders>
              <w:top w:val="single" w:color="D9D9D9" w:sz="6" w:space="0"/>
              <w:bottom w:val="single" w:color="000000" w:sz="6" w:space="0"/>
            </w:tcBorders>
            <w:shd w:val="clear" w:color="auto" w:fill="F1F1F1"/>
          </w:tcPr>
          <w:p w:rsidR="00C31389" w:rsidRDefault="00561FBD" w14:paraId="43C5E118" w14:textId="77777777">
            <w:pPr>
              <w:pStyle w:val="TableParagraph"/>
              <w:spacing w:before="0" w:line="209" w:lineRule="exact"/>
              <w:ind w:left="347" w:right="357"/>
              <w:jc w:val="center"/>
              <w:rPr>
                <w:b/>
                <w:sz w:val="20"/>
              </w:rPr>
            </w:pPr>
            <w:r>
              <w:rPr>
                <w:b/>
                <w:spacing w:val="-5"/>
                <w:sz w:val="20"/>
              </w:rPr>
              <w:t>44</w:t>
            </w:r>
          </w:p>
        </w:tc>
        <w:tc>
          <w:tcPr>
            <w:tcW w:w="1343" w:type="dxa"/>
            <w:tcBorders>
              <w:top w:val="single" w:color="D9D9D9" w:sz="6" w:space="0"/>
              <w:bottom w:val="single" w:color="000000" w:sz="6" w:space="0"/>
            </w:tcBorders>
            <w:shd w:val="clear" w:color="auto" w:fill="F1F1F1"/>
          </w:tcPr>
          <w:p w:rsidR="00C31389" w:rsidRDefault="00561FBD" w14:paraId="19593EC6" w14:textId="77777777">
            <w:pPr>
              <w:pStyle w:val="TableParagraph"/>
              <w:spacing w:before="0" w:line="209" w:lineRule="exact"/>
              <w:ind w:left="18" w:right="69"/>
              <w:jc w:val="center"/>
              <w:rPr>
                <w:b/>
                <w:sz w:val="20"/>
              </w:rPr>
            </w:pPr>
            <w:r>
              <w:rPr>
                <w:b/>
                <w:spacing w:val="-5"/>
                <w:sz w:val="20"/>
              </w:rPr>
              <w:t>100</w:t>
            </w:r>
          </w:p>
        </w:tc>
        <w:tc>
          <w:tcPr>
            <w:tcW w:w="1254" w:type="dxa"/>
            <w:tcBorders>
              <w:top w:val="single" w:color="D9D9D9" w:sz="6" w:space="0"/>
              <w:bottom w:val="single" w:color="000000" w:sz="6" w:space="0"/>
            </w:tcBorders>
            <w:shd w:val="clear" w:color="auto" w:fill="F1F1F1"/>
          </w:tcPr>
          <w:p w:rsidR="00C31389" w:rsidRDefault="00561FBD" w14:paraId="0FC9EF60" w14:textId="77777777">
            <w:pPr>
              <w:pStyle w:val="TableParagraph"/>
              <w:spacing w:before="0" w:line="209" w:lineRule="exact"/>
              <w:ind w:left="28" w:right="88"/>
              <w:jc w:val="center"/>
              <w:rPr>
                <w:b/>
                <w:sz w:val="20"/>
              </w:rPr>
            </w:pPr>
            <w:r>
              <w:rPr>
                <w:b/>
                <w:spacing w:val="-5"/>
                <w:sz w:val="20"/>
              </w:rPr>
              <w:t>44</w:t>
            </w:r>
          </w:p>
        </w:tc>
      </w:tr>
    </w:tbl>
    <w:p w:rsidR="00C31389" w:rsidRDefault="00561FBD" w14:paraId="44E476FD" w14:textId="77777777">
      <w:pPr>
        <w:spacing w:before="19"/>
        <w:ind w:left="480"/>
        <w:rPr>
          <w:i/>
          <w:sz w:val="18"/>
        </w:rPr>
      </w:pPr>
      <w:r>
        <w:rPr>
          <w:i/>
          <w:sz w:val="18"/>
        </w:rPr>
        <w:t>Source:</w:t>
      </w:r>
      <w:r>
        <w:rPr>
          <w:i/>
          <w:spacing w:val="-4"/>
          <w:sz w:val="18"/>
        </w:rPr>
        <w:t xml:space="preserve"> </w:t>
      </w:r>
      <w:r>
        <w:rPr>
          <w:i/>
          <w:spacing w:val="-2"/>
          <w:sz w:val="18"/>
        </w:rPr>
        <w:t>Guidehouse</w:t>
      </w:r>
    </w:p>
    <w:p w:rsidR="00C31389" w:rsidRDefault="00561FBD" w14:paraId="0BB5A19A" w14:textId="77777777">
      <w:pPr>
        <w:spacing w:before="1"/>
        <w:ind w:left="479" w:right="418"/>
        <w:rPr>
          <w:sz w:val="18"/>
        </w:rPr>
      </w:pPr>
      <w:r>
        <w:rPr>
          <w:sz w:val="18"/>
        </w:rPr>
        <w:t>*</w:t>
      </w:r>
      <w:r>
        <w:rPr>
          <w:spacing w:val="-3"/>
          <w:sz w:val="18"/>
        </w:rPr>
        <w:t xml:space="preserve"> </w:t>
      </w:r>
      <w:r>
        <w:rPr>
          <w:sz w:val="18"/>
        </w:rPr>
        <w:t>FS</w:t>
      </w:r>
      <w:r>
        <w:rPr>
          <w:spacing w:val="-3"/>
          <w:sz w:val="18"/>
        </w:rPr>
        <w:t xml:space="preserve"> </w:t>
      </w:r>
      <w:r>
        <w:rPr>
          <w:sz w:val="18"/>
        </w:rPr>
        <w:t>impacts</w:t>
      </w:r>
      <w:r>
        <w:rPr>
          <w:spacing w:val="-3"/>
          <w:sz w:val="18"/>
        </w:rPr>
        <w:t xml:space="preserve"> </w:t>
      </w:r>
      <w:r>
        <w:rPr>
          <w:sz w:val="18"/>
        </w:rPr>
        <w:t>reflect</w:t>
      </w:r>
      <w:r>
        <w:rPr>
          <w:spacing w:val="-3"/>
          <w:sz w:val="18"/>
        </w:rPr>
        <w:t xml:space="preserve"> </w:t>
      </w:r>
      <w:r>
        <w:rPr>
          <w:sz w:val="18"/>
        </w:rPr>
        <w:t>additional</w:t>
      </w:r>
      <w:r>
        <w:rPr>
          <w:spacing w:val="-3"/>
          <w:sz w:val="18"/>
        </w:rPr>
        <w:t xml:space="preserve"> </w:t>
      </w:r>
      <w:r>
        <w:rPr>
          <w:sz w:val="18"/>
        </w:rPr>
        <w:t>electric</w:t>
      </w:r>
      <w:r>
        <w:rPr>
          <w:spacing w:val="-3"/>
          <w:sz w:val="18"/>
        </w:rPr>
        <w:t xml:space="preserve"> </w:t>
      </w:r>
      <w:r>
        <w:rPr>
          <w:sz w:val="18"/>
        </w:rPr>
        <w:t>energy</w:t>
      </w:r>
      <w:r>
        <w:rPr>
          <w:spacing w:val="-3"/>
          <w:sz w:val="18"/>
        </w:rPr>
        <w:t xml:space="preserve"> </w:t>
      </w:r>
      <w:r>
        <w:rPr>
          <w:sz w:val="18"/>
        </w:rPr>
        <w:t>consumption,</w:t>
      </w:r>
      <w:r>
        <w:rPr>
          <w:spacing w:val="-2"/>
          <w:sz w:val="18"/>
        </w:rPr>
        <w:t xml:space="preserve"> </w:t>
      </w:r>
      <w:r>
        <w:rPr>
          <w:sz w:val="18"/>
        </w:rPr>
        <w:t>resulting</w:t>
      </w:r>
      <w:r>
        <w:rPr>
          <w:spacing w:val="-4"/>
          <w:sz w:val="18"/>
        </w:rPr>
        <w:t xml:space="preserve"> </w:t>
      </w:r>
      <w:r>
        <w:rPr>
          <w:sz w:val="18"/>
        </w:rPr>
        <w:t>in</w:t>
      </w:r>
      <w:r>
        <w:rPr>
          <w:spacing w:val="-4"/>
          <w:sz w:val="18"/>
        </w:rPr>
        <w:t xml:space="preserve"> </w:t>
      </w:r>
      <w:r>
        <w:rPr>
          <w:sz w:val="18"/>
        </w:rPr>
        <w:t>negative</w:t>
      </w:r>
      <w:r>
        <w:rPr>
          <w:spacing w:val="-4"/>
          <w:sz w:val="18"/>
        </w:rPr>
        <w:t xml:space="preserve"> </w:t>
      </w:r>
      <w:r>
        <w:rPr>
          <w:sz w:val="18"/>
        </w:rPr>
        <w:t>savings</w:t>
      </w:r>
      <w:r>
        <w:rPr>
          <w:spacing w:val="-3"/>
          <w:sz w:val="18"/>
        </w:rPr>
        <w:t xml:space="preserve"> </w:t>
      </w:r>
      <w:r>
        <w:rPr>
          <w:sz w:val="18"/>
        </w:rPr>
        <w:t>and</w:t>
      </w:r>
      <w:r>
        <w:rPr>
          <w:spacing w:val="-4"/>
          <w:sz w:val="18"/>
        </w:rPr>
        <w:t xml:space="preserve"> </w:t>
      </w:r>
      <w:r>
        <w:rPr>
          <w:sz w:val="18"/>
        </w:rPr>
        <w:t>peak</w:t>
      </w:r>
      <w:r>
        <w:rPr>
          <w:spacing w:val="-3"/>
          <w:sz w:val="18"/>
        </w:rPr>
        <w:t xml:space="preserve"> </w:t>
      </w:r>
      <w:r>
        <w:rPr>
          <w:sz w:val="18"/>
        </w:rPr>
        <w:t xml:space="preserve">demand </w:t>
      </w:r>
      <w:r>
        <w:rPr>
          <w:spacing w:val="-2"/>
          <w:sz w:val="18"/>
        </w:rPr>
        <w:t>impacts</w:t>
      </w:r>
    </w:p>
    <w:p w:rsidR="00C31389" w:rsidRDefault="00561FBD" w14:paraId="520554AE" w14:textId="77777777">
      <w:pPr>
        <w:spacing w:before="60"/>
        <w:ind w:left="480" w:right="418"/>
        <w:rPr>
          <w:sz w:val="18"/>
        </w:rPr>
      </w:pPr>
      <w:r>
        <w:rPr>
          <w:sz w:val="18"/>
        </w:rPr>
        <w:t>**Converted</w:t>
      </w:r>
      <w:r>
        <w:rPr>
          <w:spacing w:val="-4"/>
          <w:sz w:val="18"/>
        </w:rPr>
        <w:t xml:space="preserve"> </w:t>
      </w:r>
      <w:r>
        <w:rPr>
          <w:sz w:val="18"/>
        </w:rPr>
        <w:t>Electric</w:t>
      </w:r>
      <w:r>
        <w:rPr>
          <w:spacing w:val="-3"/>
          <w:sz w:val="18"/>
        </w:rPr>
        <w:t xml:space="preserve"> </w:t>
      </w:r>
      <w:r>
        <w:rPr>
          <w:sz w:val="18"/>
        </w:rPr>
        <w:t>Energy</w:t>
      </w:r>
      <w:r>
        <w:rPr>
          <w:spacing w:val="-3"/>
          <w:sz w:val="18"/>
        </w:rPr>
        <w:t xml:space="preserve"> </w:t>
      </w:r>
      <w:r>
        <w:rPr>
          <w:sz w:val="18"/>
        </w:rPr>
        <w:t>represents</w:t>
      </w:r>
      <w:r>
        <w:rPr>
          <w:spacing w:val="-3"/>
          <w:sz w:val="18"/>
        </w:rPr>
        <w:t xml:space="preserve"> </w:t>
      </w:r>
      <w:r>
        <w:rPr>
          <w:sz w:val="18"/>
        </w:rPr>
        <w:t>the</w:t>
      </w:r>
      <w:r>
        <w:rPr>
          <w:spacing w:val="-2"/>
          <w:sz w:val="18"/>
        </w:rPr>
        <w:t xml:space="preserve"> </w:t>
      </w:r>
      <w:r>
        <w:rPr>
          <w:sz w:val="18"/>
        </w:rPr>
        <w:t>net</w:t>
      </w:r>
      <w:r>
        <w:rPr>
          <w:spacing w:val="-3"/>
          <w:sz w:val="18"/>
        </w:rPr>
        <w:t xml:space="preserve"> </w:t>
      </w:r>
      <w:r>
        <w:rPr>
          <w:sz w:val="18"/>
        </w:rPr>
        <w:t>reduction</w:t>
      </w:r>
      <w:r>
        <w:rPr>
          <w:spacing w:val="-4"/>
          <w:sz w:val="18"/>
        </w:rPr>
        <w:t xml:space="preserve"> </w:t>
      </w:r>
      <w:r>
        <w:rPr>
          <w:sz w:val="18"/>
        </w:rPr>
        <w:t>in</w:t>
      </w:r>
      <w:r>
        <w:rPr>
          <w:spacing w:val="-4"/>
          <w:sz w:val="18"/>
        </w:rPr>
        <w:t xml:space="preserve"> </w:t>
      </w:r>
      <w:r>
        <w:rPr>
          <w:sz w:val="18"/>
        </w:rPr>
        <w:t>energy</w:t>
      </w:r>
      <w:r>
        <w:rPr>
          <w:spacing w:val="-3"/>
          <w:sz w:val="18"/>
        </w:rPr>
        <w:t xml:space="preserve"> </w:t>
      </w:r>
      <w:r>
        <w:rPr>
          <w:sz w:val="18"/>
        </w:rPr>
        <w:t>consumption</w:t>
      </w:r>
      <w:r>
        <w:rPr>
          <w:spacing w:val="-4"/>
          <w:sz w:val="18"/>
        </w:rPr>
        <w:t xml:space="preserve"> </w:t>
      </w:r>
      <w:r>
        <w:rPr>
          <w:sz w:val="18"/>
        </w:rPr>
        <w:t>resulting</w:t>
      </w:r>
      <w:r>
        <w:rPr>
          <w:spacing w:val="-4"/>
          <w:sz w:val="18"/>
        </w:rPr>
        <w:t xml:space="preserve"> </w:t>
      </w:r>
      <w:r>
        <w:rPr>
          <w:sz w:val="18"/>
        </w:rPr>
        <w:t>from</w:t>
      </w:r>
      <w:r>
        <w:rPr>
          <w:spacing w:val="-3"/>
          <w:sz w:val="18"/>
        </w:rPr>
        <w:t xml:space="preserve"> </w:t>
      </w:r>
      <w:r>
        <w:rPr>
          <w:sz w:val="18"/>
        </w:rPr>
        <w:t>FS,</w:t>
      </w:r>
      <w:r>
        <w:rPr>
          <w:spacing w:val="-3"/>
          <w:sz w:val="18"/>
        </w:rPr>
        <w:t xml:space="preserve"> </w:t>
      </w:r>
      <w:r>
        <w:rPr>
          <w:sz w:val="18"/>
        </w:rPr>
        <w:t>calculated</w:t>
      </w:r>
      <w:r>
        <w:rPr>
          <w:spacing w:val="-4"/>
          <w:sz w:val="18"/>
        </w:rPr>
        <w:t xml:space="preserve"> </w:t>
      </w:r>
      <w:r>
        <w:rPr>
          <w:sz w:val="18"/>
        </w:rPr>
        <w:t xml:space="preserve">by converting gas energy units to equivalent electric energy units. These values are provided for historical comparison to the 2021 PG Study and not used for goal </w:t>
      </w:r>
      <w:r>
        <w:rPr>
          <w:sz w:val="18"/>
        </w:rPr>
        <w:t>setting.</w:t>
      </w:r>
    </w:p>
    <w:p w:rsidR="00C31389" w:rsidRDefault="00C31389" w14:paraId="318E78D8" w14:textId="77777777">
      <w:pPr>
        <w:pStyle w:val="BodyText"/>
        <w:spacing w:before="10"/>
        <w:rPr>
          <w:sz w:val="20"/>
        </w:rPr>
      </w:pPr>
    </w:p>
    <w:p w:rsidR="00C31389" w:rsidRDefault="00561FBD" w14:paraId="41BEC3F2" w14:textId="77777777">
      <w:pPr>
        <w:pStyle w:val="BodyText"/>
        <w:ind w:left="840"/>
      </w:pPr>
      <w:r>
        <w:t>The</w:t>
      </w:r>
      <w:r>
        <w:rPr>
          <w:spacing w:val="-6"/>
        </w:rPr>
        <w:t xml:space="preserve"> </w:t>
      </w:r>
      <w:r>
        <w:t>following</w:t>
      </w:r>
      <w:r>
        <w:rPr>
          <w:spacing w:val="-7"/>
        </w:rPr>
        <w:t xml:space="preserve"> </w:t>
      </w:r>
      <w:r>
        <w:t>are</w:t>
      </w:r>
      <w:r>
        <w:rPr>
          <w:spacing w:val="-6"/>
        </w:rPr>
        <w:t xml:space="preserve"> </w:t>
      </w:r>
      <w:r>
        <w:t>notable</w:t>
      </w:r>
      <w:r>
        <w:rPr>
          <w:spacing w:val="-6"/>
        </w:rPr>
        <w:t xml:space="preserve"> </w:t>
      </w:r>
      <w:r>
        <w:t>takeaways</w:t>
      </w:r>
      <w:r>
        <w:rPr>
          <w:spacing w:val="-6"/>
        </w:rPr>
        <w:t xml:space="preserve"> </w:t>
      </w:r>
      <w:r>
        <w:t>from</w:t>
      </w:r>
      <w:r>
        <w:rPr>
          <w:spacing w:val="-7"/>
        </w:rPr>
        <w:t xml:space="preserve"> </w:t>
      </w:r>
      <w:r>
        <w:t>the</w:t>
      </w:r>
      <w:r>
        <w:rPr>
          <w:spacing w:val="-6"/>
        </w:rPr>
        <w:t xml:space="preserve"> </w:t>
      </w:r>
      <w:r>
        <w:t>TSB</w:t>
      </w:r>
      <w:r>
        <w:rPr>
          <w:spacing w:val="-6"/>
        </w:rPr>
        <w:t xml:space="preserve"> </w:t>
      </w:r>
      <w:r>
        <w:rPr>
          <w:spacing w:val="-2"/>
        </w:rPr>
        <w:t>results:</w:t>
      </w:r>
    </w:p>
    <w:p w:rsidR="00C31389" w:rsidRDefault="00C31389" w14:paraId="4E6FEDB6" w14:textId="77777777">
      <w:pPr>
        <w:sectPr w:rsidR="00C31389">
          <w:pgSz w:w="11910" w:h="16840"/>
          <w:pgMar w:top="1380" w:right="1020" w:bottom="1120" w:left="960" w:header="397" w:footer="938" w:gutter="0"/>
          <w:cols w:space="720"/>
        </w:sectPr>
      </w:pPr>
    </w:p>
    <w:p w:rsidR="00C31389" w:rsidRDefault="00C31389" w14:paraId="36FF2DF1" w14:textId="77777777">
      <w:pPr>
        <w:pStyle w:val="BodyText"/>
      </w:pPr>
    </w:p>
    <w:p w:rsidR="00C31389" w:rsidRDefault="00C31389" w14:paraId="66A1584F" w14:textId="77777777">
      <w:pPr>
        <w:pStyle w:val="BodyText"/>
        <w:spacing w:before="2"/>
        <w:rPr>
          <w:sz w:val="13"/>
        </w:rPr>
      </w:pPr>
    </w:p>
    <w:p w:rsidR="00C31389" w:rsidRDefault="00561FBD" w14:paraId="56C5B2BA" w14:textId="77777777">
      <w:pPr>
        <w:pStyle w:val="ListParagraph"/>
        <w:numPr>
          <w:ilvl w:val="0"/>
          <w:numId w:val="40"/>
        </w:numPr>
        <w:tabs>
          <w:tab w:val="left" w:pos="1199"/>
        </w:tabs>
        <w:spacing w:before="100"/>
        <w:ind w:right="558"/>
        <w:rPr>
          <w:rFonts w:ascii="Symbol" w:hAnsi="Symbol"/>
        </w:rPr>
      </w:pPr>
      <w:r>
        <w:t>As</w:t>
      </w:r>
      <w:r>
        <w:rPr>
          <w:spacing w:val="-3"/>
        </w:rPr>
        <w:t xml:space="preserve"> </w:t>
      </w:r>
      <w:r>
        <w:t>opposed</w:t>
      </w:r>
      <w:r>
        <w:rPr>
          <w:spacing w:val="-4"/>
        </w:rPr>
        <w:t xml:space="preserve"> </w:t>
      </w:r>
      <w:r>
        <w:t>to</w:t>
      </w:r>
      <w:r>
        <w:rPr>
          <w:spacing w:val="-3"/>
        </w:rPr>
        <w:t xml:space="preserve"> </w:t>
      </w:r>
      <w:r>
        <w:t>electric</w:t>
      </w:r>
      <w:r>
        <w:rPr>
          <w:spacing w:val="-4"/>
        </w:rPr>
        <w:t xml:space="preserve"> </w:t>
      </w:r>
      <w:r>
        <w:t>and</w:t>
      </w:r>
      <w:r>
        <w:rPr>
          <w:spacing w:val="-3"/>
        </w:rPr>
        <w:t xml:space="preserve"> </w:t>
      </w:r>
      <w:r>
        <w:t>gas</w:t>
      </w:r>
      <w:r>
        <w:rPr>
          <w:spacing w:val="-3"/>
        </w:rPr>
        <w:t xml:space="preserve"> </w:t>
      </w:r>
      <w:r>
        <w:t>savings,</w:t>
      </w:r>
      <w:r>
        <w:rPr>
          <w:spacing w:val="-3"/>
        </w:rPr>
        <w:t xml:space="preserve"> </w:t>
      </w:r>
      <w:r>
        <w:t>BROs</w:t>
      </w:r>
      <w:r>
        <w:rPr>
          <w:spacing w:val="-3"/>
        </w:rPr>
        <w:t xml:space="preserve"> </w:t>
      </w:r>
      <w:r>
        <w:t>amount</w:t>
      </w:r>
      <w:r>
        <w:rPr>
          <w:spacing w:val="-3"/>
        </w:rPr>
        <w:t xml:space="preserve"> </w:t>
      </w:r>
      <w:r>
        <w:t>to</w:t>
      </w:r>
      <w:r>
        <w:rPr>
          <w:spacing w:val="-3"/>
        </w:rPr>
        <w:t xml:space="preserve"> </w:t>
      </w:r>
      <w:r>
        <w:t>a</w:t>
      </w:r>
      <w:r>
        <w:rPr>
          <w:spacing w:val="-3"/>
        </w:rPr>
        <w:t xml:space="preserve"> </w:t>
      </w:r>
      <w:r>
        <w:t>much</w:t>
      </w:r>
      <w:r>
        <w:rPr>
          <w:spacing w:val="-3"/>
        </w:rPr>
        <w:t xml:space="preserve"> </w:t>
      </w:r>
      <w:r>
        <w:t>smaller</w:t>
      </w:r>
      <w:r>
        <w:rPr>
          <w:spacing w:val="-3"/>
        </w:rPr>
        <w:t xml:space="preserve"> </w:t>
      </w:r>
      <w:r>
        <w:t xml:space="preserve">proportion of TSB. This is due to short EUL of BROs savings relative to EE equipment. TSB </w:t>
      </w:r>
      <w:r>
        <w:t>represents the benefits that accrue over the life of the intervention—because EE equipment tends to have a long useful life, it is the key driver for TSB. The lower proportion of overall Achievable savings represented by BROs in 2023 versus the prior study</w:t>
      </w:r>
      <w:r>
        <w:t xml:space="preserve"> cycle results in a substantially larger increase in TSB.</w:t>
      </w:r>
    </w:p>
    <w:p w:rsidR="00C31389" w:rsidRDefault="00561FBD" w14:paraId="79667637" w14:textId="77777777">
      <w:pPr>
        <w:pStyle w:val="ListParagraph"/>
        <w:numPr>
          <w:ilvl w:val="0"/>
          <w:numId w:val="40"/>
        </w:numPr>
        <w:tabs>
          <w:tab w:val="left" w:pos="1200"/>
        </w:tabs>
        <w:spacing w:before="119"/>
        <w:ind w:left="1200" w:right="505"/>
        <w:rPr>
          <w:rFonts w:ascii="Symbol" w:hAnsi="Symbol"/>
          <w:sz w:val="20"/>
        </w:rPr>
      </w:pPr>
      <w:r>
        <w:t>FS has a comparatively low overall impact on TSB in three of the four Scenarios, although the model does indicate this has the potential to grow significantly in subsequent</w:t>
      </w:r>
      <w:r>
        <w:rPr>
          <w:spacing w:val="-4"/>
        </w:rPr>
        <w:t xml:space="preserve"> </w:t>
      </w:r>
      <w:r>
        <w:t>years.</w:t>
      </w:r>
      <w:r>
        <w:rPr>
          <w:spacing w:val="-3"/>
        </w:rPr>
        <w:t xml:space="preserve"> </w:t>
      </w:r>
      <w:r>
        <w:t>TSB</w:t>
      </w:r>
      <w:r>
        <w:rPr>
          <w:spacing w:val="-3"/>
        </w:rPr>
        <w:t xml:space="preserve"> </w:t>
      </w:r>
      <w:r>
        <w:t>reflects</w:t>
      </w:r>
      <w:r>
        <w:rPr>
          <w:spacing w:val="-3"/>
        </w:rPr>
        <w:t xml:space="preserve"> </w:t>
      </w:r>
      <w:r>
        <w:t>both</w:t>
      </w:r>
      <w:r>
        <w:rPr>
          <w:spacing w:val="-4"/>
        </w:rPr>
        <w:t xml:space="preserve"> </w:t>
      </w:r>
      <w:r>
        <w:t>gas</w:t>
      </w:r>
      <w:r>
        <w:rPr>
          <w:spacing w:val="-3"/>
        </w:rPr>
        <w:t xml:space="preserve"> </w:t>
      </w:r>
      <w:r>
        <w:t>and</w:t>
      </w:r>
      <w:r>
        <w:rPr>
          <w:spacing w:val="-3"/>
        </w:rPr>
        <w:t xml:space="preserve"> </w:t>
      </w:r>
      <w:r>
        <w:t>electric</w:t>
      </w:r>
      <w:r>
        <w:rPr>
          <w:spacing w:val="-3"/>
        </w:rPr>
        <w:t xml:space="preserve"> </w:t>
      </w:r>
      <w:r>
        <w:t>fuels,</w:t>
      </w:r>
      <w:r>
        <w:rPr>
          <w:spacing w:val="-3"/>
        </w:rPr>
        <w:t xml:space="preserve"> </w:t>
      </w:r>
      <w:r>
        <w:t>and</w:t>
      </w:r>
      <w:r>
        <w:rPr>
          <w:spacing w:val="-3"/>
        </w:rPr>
        <w:t xml:space="preserve"> </w:t>
      </w:r>
      <w:r>
        <w:t>positive</w:t>
      </w:r>
      <w:r>
        <w:rPr>
          <w:spacing w:val="-4"/>
        </w:rPr>
        <w:t xml:space="preserve"> </w:t>
      </w:r>
      <w:r>
        <w:t>gas</w:t>
      </w:r>
      <w:r>
        <w:rPr>
          <w:spacing w:val="-3"/>
        </w:rPr>
        <w:t xml:space="preserve"> </w:t>
      </w:r>
      <w:r>
        <w:t>benefits (and electric benefits, if applicable) are reduced by increased electric supply cost (which negatively impacts TSB).</w:t>
      </w:r>
    </w:p>
    <w:p w:rsidR="00C31389" w:rsidRDefault="00C31389" w14:paraId="6AD2045A" w14:textId="77777777">
      <w:pPr>
        <w:pStyle w:val="BodyText"/>
        <w:spacing w:before="9"/>
        <w:rPr>
          <w:sz w:val="20"/>
        </w:rPr>
      </w:pPr>
    </w:p>
    <w:p w:rsidR="00C31389" w:rsidRDefault="00561FBD" w14:paraId="15FDF1F3" w14:textId="77777777">
      <w:pPr>
        <w:pStyle w:val="BodyText"/>
        <w:spacing w:before="1"/>
        <w:ind w:left="480"/>
      </w:pPr>
      <w:r>
        <w:t>The</w:t>
      </w:r>
      <w:r>
        <w:rPr>
          <w:spacing w:val="-7"/>
        </w:rPr>
        <w:t xml:space="preserve"> </w:t>
      </w:r>
      <w:r>
        <w:t>following</w:t>
      </w:r>
      <w:r>
        <w:rPr>
          <w:spacing w:val="-7"/>
        </w:rPr>
        <w:t xml:space="preserve"> </w:t>
      </w:r>
      <w:r>
        <w:t>are</w:t>
      </w:r>
      <w:r>
        <w:rPr>
          <w:spacing w:val="-6"/>
        </w:rPr>
        <w:t xml:space="preserve"> </w:t>
      </w:r>
      <w:r>
        <w:t>notable</w:t>
      </w:r>
      <w:r>
        <w:rPr>
          <w:spacing w:val="-7"/>
        </w:rPr>
        <w:t xml:space="preserve"> </w:t>
      </w:r>
      <w:r>
        <w:t>takeaways</w:t>
      </w:r>
      <w:r>
        <w:rPr>
          <w:spacing w:val="-7"/>
        </w:rPr>
        <w:t xml:space="preserve"> </w:t>
      </w:r>
      <w:r>
        <w:t>from</w:t>
      </w:r>
      <w:r>
        <w:rPr>
          <w:spacing w:val="-7"/>
        </w:rPr>
        <w:t xml:space="preserve"> </w:t>
      </w:r>
      <w:r>
        <w:t>the</w:t>
      </w:r>
      <w:r>
        <w:rPr>
          <w:spacing w:val="-6"/>
        </w:rPr>
        <w:t xml:space="preserve"> </w:t>
      </w:r>
      <w:r>
        <w:t>savings</w:t>
      </w:r>
      <w:r>
        <w:rPr>
          <w:spacing w:val="-7"/>
        </w:rPr>
        <w:t xml:space="preserve"> </w:t>
      </w:r>
      <w:r>
        <w:rPr>
          <w:spacing w:val="-2"/>
        </w:rPr>
        <w:t>results:</w:t>
      </w:r>
    </w:p>
    <w:p w:rsidR="00C31389" w:rsidRDefault="00561FBD" w14:paraId="4A37B77E" w14:textId="77777777">
      <w:pPr>
        <w:pStyle w:val="ListParagraph"/>
        <w:numPr>
          <w:ilvl w:val="0"/>
          <w:numId w:val="40"/>
        </w:numPr>
        <w:tabs>
          <w:tab w:val="left" w:pos="1199"/>
        </w:tabs>
        <w:spacing w:before="119"/>
        <w:ind w:right="530"/>
        <w:rPr>
          <w:rFonts w:ascii="Symbol" w:hAnsi="Symbol"/>
        </w:rPr>
      </w:pPr>
      <w:r>
        <w:t>Electric</w:t>
      </w:r>
      <w:r>
        <w:rPr>
          <w:spacing w:val="-3"/>
        </w:rPr>
        <w:t xml:space="preserve"> </w:t>
      </w:r>
      <w:r>
        <w:t>and</w:t>
      </w:r>
      <w:r>
        <w:rPr>
          <w:spacing w:val="-4"/>
        </w:rPr>
        <w:t xml:space="preserve"> </w:t>
      </w:r>
      <w:r>
        <w:t>gas</w:t>
      </w:r>
      <w:r>
        <w:rPr>
          <w:spacing w:val="-2"/>
        </w:rPr>
        <w:t xml:space="preserve"> </w:t>
      </w:r>
      <w:r>
        <w:t>savings</w:t>
      </w:r>
      <w:r>
        <w:rPr>
          <w:spacing w:val="-4"/>
        </w:rPr>
        <w:t xml:space="preserve"> </w:t>
      </w:r>
      <w:r>
        <w:t>from</w:t>
      </w:r>
      <w:r>
        <w:rPr>
          <w:spacing w:val="-4"/>
        </w:rPr>
        <w:t xml:space="preserve"> </w:t>
      </w:r>
      <w:r>
        <w:t>EE</w:t>
      </w:r>
      <w:r>
        <w:rPr>
          <w:spacing w:val="-3"/>
        </w:rPr>
        <w:t xml:space="preserve"> </w:t>
      </w:r>
      <w:r>
        <w:t>equipment</w:t>
      </w:r>
      <w:r>
        <w:rPr>
          <w:spacing w:val="-3"/>
        </w:rPr>
        <w:t xml:space="preserve"> </w:t>
      </w:r>
      <w:r>
        <w:t>overall</w:t>
      </w:r>
      <w:r>
        <w:rPr>
          <w:spacing w:val="-3"/>
        </w:rPr>
        <w:t xml:space="preserve"> </w:t>
      </w:r>
      <w:r>
        <w:t>increase</w:t>
      </w:r>
      <w:r>
        <w:rPr>
          <w:spacing w:val="-4"/>
        </w:rPr>
        <w:t xml:space="preserve"> </w:t>
      </w:r>
      <w:r>
        <w:t>relative</w:t>
      </w:r>
      <w:r>
        <w:rPr>
          <w:spacing w:val="-3"/>
        </w:rPr>
        <w:t xml:space="preserve"> </w:t>
      </w:r>
      <w:r>
        <w:t>to</w:t>
      </w:r>
      <w:r>
        <w:rPr>
          <w:spacing w:val="-3"/>
        </w:rPr>
        <w:t xml:space="preserve"> </w:t>
      </w:r>
      <w:r>
        <w:t>the</w:t>
      </w:r>
      <w:r>
        <w:rPr>
          <w:spacing w:val="-3"/>
        </w:rPr>
        <w:t xml:space="preserve"> </w:t>
      </w:r>
      <w:r>
        <w:t>previous goals. Higher statewide potential for rebated EE measures is driven primary by Residential and Industrial Sectors. Commercial sector savings decreased slightly in the</w:t>
      </w:r>
      <w:r>
        <w:rPr>
          <w:spacing w:val="-3"/>
        </w:rPr>
        <w:t xml:space="preserve"> </w:t>
      </w:r>
      <w:r>
        <w:t>Scenario</w:t>
      </w:r>
      <w:r>
        <w:rPr>
          <w:spacing w:val="-3"/>
        </w:rPr>
        <w:t xml:space="preserve"> </w:t>
      </w:r>
      <w:r>
        <w:t>1</w:t>
      </w:r>
      <w:r>
        <w:rPr>
          <w:spacing w:val="-3"/>
        </w:rPr>
        <w:t xml:space="preserve"> </w:t>
      </w:r>
      <w:r>
        <w:t>but</w:t>
      </w:r>
      <w:r>
        <w:rPr>
          <w:spacing w:val="-3"/>
        </w:rPr>
        <w:t xml:space="preserve"> </w:t>
      </w:r>
      <w:r>
        <w:t>i</w:t>
      </w:r>
      <w:r>
        <w:t>s</w:t>
      </w:r>
      <w:r>
        <w:rPr>
          <w:spacing w:val="-3"/>
        </w:rPr>
        <w:t xml:space="preserve"> </w:t>
      </w:r>
      <w:r>
        <w:t>higher</w:t>
      </w:r>
      <w:r>
        <w:rPr>
          <w:spacing w:val="-3"/>
        </w:rPr>
        <w:t xml:space="preserve"> </w:t>
      </w:r>
      <w:r>
        <w:t>in</w:t>
      </w:r>
      <w:r>
        <w:rPr>
          <w:spacing w:val="-3"/>
        </w:rPr>
        <w:t xml:space="preserve"> </w:t>
      </w:r>
      <w:r>
        <w:t>Scenarios</w:t>
      </w:r>
      <w:r>
        <w:rPr>
          <w:spacing w:val="-3"/>
        </w:rPr>
        <w:t xml:space="preserve"> </w:t>
      </w:r>
      <w:r>
        <w:t>2-4.</w:t>
      </w:r>
      <w:r>
        <w:rPr>
          <w:spacing w:val="-4"/>
        </w:rPr>
        <w:t xml:space="preserve"> </w:t>
      </w:r>
      <w:r>
        <w:t>BROs</w:t>
      </w:r>
      <w:r>
        <w:rPr>
          <w:spacing w:val="-3"/>
        </w:rPr>
        <w:t xml:space="preserve"> </w:t>
      </w:r>
      <w:r>
        <w:t>savings</w:t>
      </w:r>
      <w:r>
        <w:rPr>
          <w:spacing w:val="-3"/>
        </w:rPr>
        <w:t xml:space="preserve"> </w:t>
      </w:r>
      <w:r>
        <w:t>forecasts</w:t>
      </w:r>
      <w:r>
        <w:rPr>
          <w:spacing w:val="-4"/>
        </w:rPr>
        <w:t xml:space="preserve"> </w:t>
      </w:r>
      <w:r>
        <w:t>are</w:t>
      </w:r>
      <w:r>
        <w:rPr>
          <w:spacing w:val="-3"/>
        </w:rPr>
        <w:t xml:space="preserve"> </w:t>
      </w:r>
      <w:r>
        <w:t>lower</w:t>
      </w:r>
      <w:r>
        <w:rPr>
          <w:spacing w:val="-3"/>
        </w:rPr>
        <w:t xml:space="preserve"> </w:t>
      </w:r>
      <w:r>
        <w:t>due to the additional HER bins included in the 2023 Study.</w:t>
      </w:r>
    </w:p>
    <w:p w:rsidR="00C31389" w:rsidRDefault="00C31389" w14:paraId="568729CC" w14:textId="77777777">
      <w:pPr>
        <w:pStyle w:val="BodyText"/>
        <w:spacing w:before="9"/>
        <w:rPr>
          <w:sz w:val="20"/>
        </w:rPr>
      </w:pPr>
    </w:p>
    <w:p w:rsidR="00C31389" w:rsidRDefault="00561FBD" w14:paraId="1A5B6CD3" w14:textId="77777777">
      <w:pPr>
        <w:pStyle w:val="ListParagraph"/>
        <w:numPr>
          <w:ilvl w:val="0"/>
          <w:numId w:val="40"/>
        </w:numPr>
        <w:tabs>
          <w:tab w:val="left" w:pos="1199"/>
        </w:tabs>
        <w:ind w:right="420"/>
        <w:rPr>
          <w:rFonts w:ascii="Symbol" w:hAnsi="Symbol"/>
        </w:rPr>
      </w:pPr>
      <w:r>
        <w:t xml:space="preserve">FS’s impact on electricity and gas consumption is significantly lower than the 2021 Goals Scenario for 2023 Scenarios 1, 2, and 4. </w:t>
      </w:r>
      <w:r>
        <w:t>This result of the modeled potential outputs being calibrated using FS-specific historic and 2022 budget data, is in contrast</w:t>
      </w:r>
      <w:r>
        <w:rPr>
          <w:spacing w:val="-3"/>
        </w:rPr>
        <w:t xml:space="preserve"> </w:t>
      </w:r>
      <w:r>
        <w:t>to</w:t>
      </w:r>
      <w:r>
        <w:rPr>
          <w:spacing w:val="-3"/>
        </w:rPr>
        <w:t xml:space="preserve"> </w:t>
      </w:r>
      <w:r>
        <w:t>the</w:t>
      </w:r>
      <w:r>
        <w:rPr>
          <w:spacing w:val="-3"/>
        </w:rPr>
        <w:t xml:space="preserve"> </w:t>
      </w:r>
      <w:r>
        <w:t>2021</w:t>
      </w:r>
      <w:r>
        <w:rPr>
          <w:spacing w:val="-3"/>
        </w:rPr>
        <w:t xml:space="preserve"> </w:t>
      </w:r>
      <w:r>
        <w:t>Study</w:t>
      </w:r>
      <w:r>
        <w:rPr>
          <w:spacing w:val="-2"/>
        </w:rPr>
        <w:t xml:space="preserve"> </w:t>
      </w:r>
      <w:r>
        <w:t>where</w:t>
      </w:r>
      <w:r>
        <w:rPr>
          <w:spacing w:val="-3"/>
        </w:rPr>
        <w:t xml:space="preserve"> </w:t>
      </w:r>
      <w:r>
        <w:t>EE-specific</w:t>
      </w:r>
      <w:r>
        <w:rPr>
          <w:spacing w:val="-3"/>
        </w:rPr>
        <w:t xml:space="preserve"> </w:t>
      </w:r>
      <w:r>
        <w:t>adoption</w:t>
      </w:r>
      <w:r>
        <w:rPr>
          <w:spacing w:val="-3"/>
        </w:rPr>
        <w:t xml:space="preserve"> </w:t>
      </w:r>
      <w:r>
        <w:t>parameters</w:t>
      </w:r>
      <w:r>
        <w:rPr>
          <w:spacing w:val="-3"/>
        </w:rPr>
        <w:t xml:space="preserve"> </w:t>
      </w:r>
      <w:r>
        <w:t>were</w:t>
      </w:r>
      <w:r>
        <w:rPr>
          <w:spacing w:val="-2"/>
        </w:rPr>
        <w:t xml:space="preserve"> </w:t>
      </w:r>
      <w:r>
        <w:t>applied</w:t>
      </w:r>
      <w:r>
        <w:rPr>
          <w:spacing w:val="-3"/>
        </w:rPr>
        <w:t xml:space="preserve"> </w:t>
      </w:r>
      <w:r>
        <w:t>to</w:t>
      </w:r>
      <w:r>
        <w:rPr>
          <w:spacing w:val="-3"/>
        </w:rPr>
        <w:t xml:space="preserve"> </w:t>
      </w:r>
      <w:r>
        <w:t>all cost-effective FS measures due to a lack of data for I</w:t>
      </w:r>
      <w:r>
        <w:t>OU FS programs.</w:t>
      </w:r>
    </w:p>
    <w:p w:rsidR="00C31389" w:rsidRDefault="00C31389" w14:paraId="406A9BD7" w14:textId="77777777">
      <w:pPr>
        <w:pStyle w:val="BodyText"/>
        <w:spacing w:before="8"/>
        <w:rPr>
          <w:sz w:val="20"/>
        </w:rPr>
      </w:pPr>
    </w:p>
    <w:p w:rsidR="00C31389" w:rsidRDefault="00561FBD" w14:paraId="54E961FE" w14:textId="77777777">
      <w:pPr>
        <w:pStyle w:val="ListParagraph"/>
        <w:numPr>
          <w:ilvl w:val="0"/>
          <w:numId w:val="40"/>
        </w:numPr>
        <w:tabs>
          <w:tab w:val="left" w:pos="1199"/>
        </w:tabs>
        <w:ind w:right="788"/>
        <w:rPr>
          <w:rFonts w:ascii="Symbol" w:hAnsi="Symbol"/>
        </w:rPr>
      </w:pPr>
      <w:r>
        <w:t>Assumptions included in Scenarios 2, 3, and 4 indicate that the IRA will have a measurable</w:t>
      </w:r>
      <w:r>
        <w:rPr>
          <w:spacing w:val="-3"/>
        </w:rPr>
        <w:t xml:space="preserve"> </w:t>
      </w:r>
      <w:r>
        <w:t>impact</w:t>
      </w:r>
      <w:r>
        <w:rPr>
          <w:spacing w:val="-3"/>
        </w:rPr>
        <w:t xml:space="preserve"> </w:t>
      </w:r>
      <w:r>
        <w:t>on</w:t>
      </w:r>
      <w:r>
        <w:rPr>
          <w:spacing w:val="-3"/>
        </w:rPr>
        <w:t xml:space="preserve"> </w:t>
      </w:r>
      <w:r>
        <w:t>both</w:t>
      </w:r>
      <w:r>
        <w:rPr>
          <w:spacing w:val="-3"/>
        </w:rPr>
        <w:t xml:space="preserve"> </w:t>
      </w:r>
      <w:r>
        <w:t>EE</w:t>
      </w:r>
      <w:r>
        <w:rPr>
          <w:spacing w:val="-3"/>
        </w:rPr>
        <w:t xml:space="preserve"> </w:t>
      </w:r>
      <w:r>
        <w:t>and</w:t>
      </w:r>
      <w:r>
        <w:rPr>
          <w:spacing w:val="-3"/>
        </w:rPr>
        <w:t xml:space="preserve"> </w:t>
      </w:r>
      <w:r>
        <w:t>FS</w:t>
      </w:r>
      <w:r>
        <w:rPr>
          <w:spacing w:val="-3"/>
        </w:rPr>
        <w:t xml:space="preserve"> </w:t>
      </w:r>
      <w:r>
        <w:t>adoption.</w:t>
      </w:r>
      <w:r>
        <w:rPr>
          <w:spacing w:val="-3"/>
        </w:rPr>
        <w:t xml:space="preserve"> </w:t>
      </w:r>
      <w:r>
        <w:t>IRA</w:t>
      </w:r>
      <w:r>
        <w:rPr>
          <w:spacing w:val="-3"/>
        </w:rPr>
        <w:t xml:space="preserve"> </w:t>
      </w:r>
      <w:r>
        <w:t>tax</w:t>
      </w:r>
      <w:r>
        <w:rPr>
          <w:spacing w:val="-3"/>
        </w:rPr>
        <w:t xml:space="preserve"> </w:t>
      </w:r>
      <w:r>
        <w:t>credits</w:t>
      </w:r>
      <w:r>
        <w:rPr>
          <w:spacing w:val="-3"/>
        </w:rPr>
        <w:t xml:space="preserve"> </w:t>
      </w:r>
      <w:r>
        <w:t>have</w:t>
      </w:r>
      <w:r>
        <w:rPr>
          <w:spacing w:val="-3"/>
        </w:rPr>
        <w:t xml:space="preserve"> </w:t>
      </w:r>
      <w:r>
        <w:t>the</w:t>
      </w:r>
      <w:r>
        <w:rPr>
          <w:spacing w:val="-3"/>
        </w:rPr>
        <w:t xml:space="preserve"> </w:t>
      </w:r>
      <w:r>
        <w:t xml:space="preserve">primary impact of making more measures cost-effective, and the provision for additional </w:t>
      </w:r>
      <w:r>
        <w:t>eligible tax credits for Residential Heat Pumps and Heat Pump Water Heaters represent the primary driver of increased potential across sectors for FS between Scenario 1 and the remaining three IRA-inclusive Scenarios.</w:t>
      </w:r>
    </w:p>
    <w:p w:rsidR="00C31389" w:rsidRDefault="00C31389" w14:paraId="186133C7" w14:textId="77777777">
      <w:pPr>
        <w:pStyle w:val="BodyText"/>
        <w:spacing w:before="8"/>
        <w:rPr>
          <w:sz w:val="20"/>
        </w:rPr>
      </w:pPr>
    </w:p>
    <w:p w:rsidR="00C31389" w:rsidRDefault="00561FBD" w14:paraId="640C1F59" w14:textId="77777777">
      <w:pPr>
        <w:pStyle w:val="ListParagraph"/>
        <w:numPr>
          <w:ilvl w:val="0"/>
          <w:numId w:val="40"/>
        </w:numPr>
        <w:tabs>
          <w:tab w:val="left" w:pos="1199"/>
        </w:tabs>
        <w:ind w:right="630"/>
        <w:rPr>
          <w:rFonts w:ascii="Symbol" w:hAnsi="Symbol"/>
        </w:rPr>
      </w:pPr>
      <w:r>
        <w:t xml:space="preserve">Scenario 3 applies EE-based adoption </w:t>
      </w:r>
      <w:r>
        <w:t>parameters to FS measures, resulting in a dramatically</w:t>
      </w:r>
      <w:r>
        <w:rPr>
          <w:spacing w:val="-5"/>
        </w:rPr>
        <w:t xml:space="preserve"> </w:t>
      </w:r>
      <w:r>
        <w:t>higher</w:t>
      </w:r>
      <w:r>
        <w:rPr>
          <w:spacing w:val="-4"/>
        </w:rPr>
        <w:t xml:space="preserve"> </w:t>
      </w:r>
      <w:r>
        <w:t>calculated</w:t>
      </w:r>
      <w:r>
        <w:rPr>
          <w:spacing w:val="-4"/>
        </w:rPr>
        <w:t xml:space="preserve"> </w:t>
      </w:r>
      <w:r>
        <w:t>achievable</w:t>
      </w:r>
      <w:r>
        <w:rPr>
          <w:spacing w:val="-4"/>
        </w:rPr>
        <w:t xml:space="preserve"> </w:t>
      </w:r>
      <w:r>
        <w:t>potential</w:t>
      </w:r>
      <w:r>
        <w:rPr>
          <w:spacing w:val="-4"/>
        </w:rPr>
        <w:t xml:space="preserve"> </w:t>
      </w:r>
      <w:r>
        <w:t>and</w:t>
      </w:r>
      <w:r>
        <w:rPr>
          <w:spacing w:val="-4"/>
        </w:rPr>
        <w:t xml:space="preserve"> </w:t>
      </w:r>
      <w:r>
        <w:t>relatively</w:t>
      </w:r>
      <w:r>
        <w:rPr>
          <w:spacing w:val="-4"/>
        </w:rPr>
        <w:t xml:space="preserve"> </w:t>
      </w:r>
      <w:r>
        <w:t>lower</w:t>
      </w:r>
      <w:r>
        <w:rPr>
          <w:spacing w:val="-4"/>
        </w:rPr>
        <w:t xml:space="preserve"> </w:t>
      </w:r>
      <w:r>
        <w:t>EE</w:t>
      </w:r>
      <w:r>
        <w:rPr>
          <w:spacing w:val="-4"/>
        </w:rPr>
        <w:t xml:space="preserve"> </w:t>
      </w:r>
      <w:r>
        <w:t>potential versus Scenarios 2 and 4, both of which also included IRA tax credits, due to a comparatively greater proportion of the populati</w:t>
      </w:r>
      <w:r>
        <w:t>on adopting FS measures over EE measures. While this may indicate a potential future state of the California market where FS programs and measures are much more mature, the Guidehouse team believes it represents a much less realistic scenario for the immed</w:t>
      </w:r>
      <w:r>
        <w:t>iate IOU goal setting period.</w:t>
      </w:r>
    </w:p>
    <w:p w:rsidR="00C31389" w:rsidRDefault="00C31389" w14:paraId="401B932A" w14:textId="77777777">
      <w:pPr>
        <w:pStyle w:val="BodyText"/>
        <w:spacing w:before="9"/>
        <w:rPr>
          <w:sz w:val="20"/>
        </w:rPr>
      </w:pPr>
    </w:p>
    <w:p w:rsidR="00C31389" w:rsidRDefault="00561FBD" w14:paraId="7CE9996E" w14:textId="77777777">
      <w:pPr>
        <w:pStyle w:val="Heading2"/>
        <w:numPr>
          <w:ilvl w:val="1"/>
          <w:numId w:val="71"/>
        </w:numPr>
        <w:tabs>
          <w:tab w:val="left" w:pos="945"/>
        </w:tabs>
        <w:ind w:left="945" w:hanging="465"/>
      </w:pPr>
      <w:bookmarkStart w:name="4.2_Incentive_and_BROs_Program_Savings" w:id="262"/>
      <w:bookmarkStart w:name="_bookmark198" w:id="263"/>
      <w:bookmarkEnd w:id="262"/>
      <w:bookmarkEnd w:id="263"/>
      <w:r>
        <w:t>Incentive</w:t>
      </w:r>
      <w:r>
        <w:rPr>
          <w:spacing w:val="-12"/>
        </w:rPr>
        <w:t xml:space="preserve"> </w:t>
      </w:r>
      <w:r>
        <w:t>and</w:t>
      </w:r>
      <w:r>
        <w:rPr>
          <w:spacing w:val="-12"/>
        </w:rPr>
        <w:t xml:space="preserve"> </w:t>
      </w:r>
      <w:r>
        <w:t>BROs</w:t>
      </w:r>
      <w:r>
        <w:rPr>
          <w:spacing w:val="-11"/>
        </w:rPr>
        <w:t xml:space="preserve"> </w:t>
      </w:r>
      <w:r>
        <w:t>Program</w:t>
      </w:r>
      <w:r>
        <w:rPr>
          <w:spacing w:val="-12"/>
        </w:rPr>
        <w:t xml:space="preserve"> </w:t>
      </w:r>
      <w:r>
        <w:rPr>
          <w:spacing w:val="-2"/>
        </w:rPr>
        <w:t>Savings</w:t>
      </w:r>
    </w:p>
    <w:p w:rsidR="00C31389" w:rsidRDefault="00561FBD" w14:paraId="28B015BC" w14:textId="77777777">
      <w:pPr>
        <w:pStyle w:val="BodyText"/>
        <w:spacing w:before="240"/>
        <w:ind w:left="480" w:right="434"/>
      </w:pPr>
      <w:r>
        <w:t>This section summarizes statewide achievable potential results for each scenario. These results</w:t>
      </w:r>
      <w:r>
        <w:rPr>
          <w:spacing w:val="-3"/>
        </w:rPr>
        <w:t xml:space="preserve"> </w:t>
      </w:r>
      <w:r>
        <w:t>are</w:t>
      </w:r>
      <w:r>
        <w:rPr>
          <w:spacing w:val="-3"/>
        </w:rPr>
        <w:t xml:space="preserve"> </w:t>
      </w:r>
      <w:r>
        <w:t>for</w:t>
      </w:r>
      <w:r>
        <w:rPr>
          <w:spacing w:val="-3"/>
        </w:rPr>
        <w:t xml:space="preserve"> </w:t>
      </w:r>
      <w:r>
        <w:t>all</w:t>
      </w:r>
      <w:r>
        <w:rPr>
          <w:spacing w:val="-3"/>
        </w:rPr>
        <w:t xml:space="preserve"> </w:t>
      </w:r>
      <w:r>
        <w:t>IOUs</w:t>
      </w:r>
      <w:r>
        <w:rPr>
          <w:spacing w:val="-3"/>
        </w:rPr>
        <w:t xml:space="preserve"> </w:t>
      </w:r>
      <w:r>
        <w:t>combined.</w:t>
      </w:r>
      <w:r>
        <w:rPr>
          <w:spacing w:val="-3"/>
        </w:rPr>
        <w:t xml:space="preserve"> </w:t>
      </w:r>
      <w:r>
        <w:t>The</w:t>
      </w:r>
      <w:r>
        <w:rPr>
          <w:spacing w:val="-3"/>
        </w:rPr>
        <w:t xml:space="preserve"> </w:t>
      </w:r>
      <w:r>
        <w:t>IOU</w:t>
      </w:r>
      <w:r>
        <w:rPr>
          <w:spacing w:val="-4"/>
        </w:rPr>
        <w:t xml:space="preserve"> </w:t>
      </w:r>
      <w:r>
        <w:t>breakdown</w:t>
      </w:r>
      <w:r>
        <w:rPr>
          <w:spacing w:val="-3"/>
        </w:rPr>
        <w:t xml:space="preserve"> </w:t>
      </w:r>
      <w:r>
        <w:t>for</w:t>
      </w:r>
      <w:r>
        <w:rPr>
          <w:spacing w:val="-3"/>
        </w:rPr>
        <w:t xml:space="preserve"> </w:t>
      </w:r>
      <w:r>
        <w:t>these</w:t>
      </w:r>
      <w:r>
        <w:rPr>
          <w:spacing w:val="-3"/>
        </w:rPr>
        <w:t xml:space="preserve"> </w:t>
      </w:r>
      <w:r>
        <w:t>savings</w:t>
      </w:r>
      <w:r>
        <w:rPr>
          <w:spacing w:val="-3"/>
        </w:rPr>
        <w:t xml:space="preserve"> </w:t>
      </w:r>
      <w:r>
        <w:t>can</w:t>
      </w:r>
      <w:r>
        <w:rPr>
          <w:spacing w:val="-3"/>
        </w:rPr>
        <w:t xml:space="preserve"> </w:t>
      </w:r>
      <w:r>
        <w:t>be</w:t>
      </w:r>
      <w:r>
        <w:rPr>
          <w:spacing w:val="-3"/>
        </w:rPr>
        <w:t xml:space="preserve"> </w:t>
      </w:r>
      <w:r>
        <w:t>found</w:t>
      </w:r>
      <w:r>
        <w:rPr>
          <w:spacing w:val="-4"/>
        </w:rPr>
        <w:t xml:space="preserve"> </w:t>
      </w:r>
      <w:r>
        <w:t>in</w:t>
      </w:r>
      <w:r>
        <w:rPr>
          <w:spacing w:val="-3"/>
        </w:rPr>
        <w:t xml:space="preserve"> </w:t>
      </w:r>
      <w:r>
        <w:t xml:space="preserve">the Results Viewer that accompanies this report (see Section </w:t>
      </w:r>
      <w:hyperlink w:history="1" w:anchor="_bookmark219">
        <w:r>
          <w:t>4.5</w:t>
        </w:r>
      </w:hyperlink>
      <w:r>
        <w:t xml:space="preserve"> for details). All results are presented as net savings. All results are inclusive of interactive effects</w:t>
      </w:r>
      <w:hyperlink w:history="1" w:anchor="_bookmark199">
        <w:r>
          <w:rPr>
            <w:position w:val="7"/>
            <w:sz w:val="14"/>
          </w:rPr>
          <w:t>67</w:t>
        </w:r>
      </w:hyperlink>
      <w:r>
        <w:rPr>
          <w:spacing w:val="32"/>
          <w:position w:val="7"/>
          <w:sz w:val="14"/>
        </w:rPr>
        <w:t xml:space="preserve"> </w:t>
      </w:r>
      <w:r>
        <w:t>and include FS in the form of positive gas savings and negative electric savings. The purpose of this report is</w:t>
      </w:r>
    </w:p>
    <w:p w:rsidR="00C31389" w:rsidRDefault="00561FBD" w14:paraId="063EA20B" w14:textId="77777777">
      <w:pPr>
        <w:pStyle w:val="BodyText"/>
        <w:spacing w:before="6"/>
        <w:rPr>
          <w:sz w:val="21"/>
        </w:rPr>
      </w:pPr>
      <w:r>
        <w:rPr>
          <w:noProof/>
        </w:rPr>
        <mc:AlternateContent>
          <mc:Choice Requires="wps">
            <w:drawing>
              <wp:anchor distT="0" distB="0" distL="0" distR="0" simplePos="0" relativeHeight="487661568" behindDoc="1" locked="0" layoutInCell="1" allowOverlap="1" wp14:editId="57A2B1C6" wp14:anchorId="7B110967">
                <wp:simplePos x="0" y="0"/>
                <wp:positionH relativeFrom="page">
                  <wp:posOffset>914400</wp:posOffset>
                </wp:positionH>
                <wp:positionV relativeFrom="paragraph">
                  <wp:posOffset>172849</wp:posOffset>
                </wp:positionV>
                <wp:extent cx="1828800" cy="6985"/>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45" style="position:absolute;margin-left:1in;margin-top:13.6pt;width:2in;height:.55pt;z-index:-1565491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RZZicN4AAAAJAQAADwAAAAAAAAAAAAAAAAB3BAAAZHJzL2Rvd25yZXYueG1s&#10;UEsFBgAAAAAEAAQA8wAAAIIFAAAAAA==&#10;" w14:anchorId="0773DA8C">
                <v:path arrowok="t"/>
                <w10:wrap type="topAndBottom" anchorx="page"/>
              </v:shape>
            </w:pict>
          </mc:Fallback>
        </mc:AlternateContent>
      </w:r>
    </w:p>
    <w:p w:rsidR="00C31389" w:rsidRDefault="00561FBD" w14:paraId="2BDB442F" w14:textId="77777777">
      <w:pPr>
        <w:spacing w:before="88"/>
        <w:ind w:left="479" w:right="418"/>
        <w:rPr>
          <w:sz w:val="18"/>
        </w:rPr>
      </w:pPr>
      <w:bookmarkStart w:name="_bookmark199" w:id="264"/>
      <w:bookmarkEnd w:id="264"/>
      <w:r>
        <w:rPr>
          <w:position w:val="6"/>
          <w:sz w:val="12"/>
        </w:rPr>
        <w:t>67</w:t>
      </w:r>
      <w:r>
        <w:rPr>
          <w:spacing w:val="15"/>
          <w:position w:val="6"/>
          <w:sz w:val="12"/>
        </w:rPr>
        <w:t xml:space="preserve"> </w:t>
      </w:r>
      <w:r>
        <w:rPr>
          <w:sz w:val="18"/>
        </w:rPr>
        <w:t>Interactive</w:t>
      </w:r>
      <w:r>
        <w:rPr>
          <w:spacing w:val="-3"/>
          <w:sz w:val="18"/>
        </w:rPr>
        <w:t xml:space="preserve"> </w:t>
      </w:r>
      <w:r>
        <w:rPr>
          <w:sz w:val="18"/>
        </w:rPr>
        <w:t>effects</w:t>
      </w:r>
      <w:r>
        <w:rPr>
          <w:spacing w:val="-2"/>
          <w:sz w:val="18"/>
        </w:rPr>
        <w:t xml:space="preserve"> </w:t>
      </w:r>
      <w:r>
        <w:rPr>
          <w:sz w:val="18"/>
        </w:rPr>
        <w:t>are</w:t>
      </w:r>
      <w:r>
        <w:rPr>
          <w:spacing w:val="-3"/>
          <w:sz w:val="18"/>
        </w:rPr>
        <w:t xml:space="preserve"> </w:t>
      </w:r>
      <w:r>
        <w:rPr>
          <w:sz w:val="18"/>
        </w:rPr>
        <w:t>the</w:t>
      </w:r>
      <w:r>
        <w:rPr>
          <w:spacing w:val="-3"/>
          <w:sz w:val="18"/>
        </w:rPr>
        <w:t xml:space="preserve"> </w:t>
      </w:r>
      <w:r>
        <w:rPr>
          <w:sz w:val="18"/>
        </w:rPr>
        <w:t>unintended</w:t>
      </w:r>
      <w:r>
        <w:rPr>
          <w:spacing w:val="-3"/>
          <w:sz w:val="18"/>
        </w:rPr>
        <w:t xml:space="preserve"> </w:t>
      </w:r>
      <w:r>
        <w:rPr>
          <w:sz w:val="18"/>
        </w:rPr>
        <w:t>consequence</w:t>
      </w:r>
      <w:r>
        <w:rPr>
          <w:spacing w:val="-3"/>
          <w:sz w:val="18"/>
        </w:rPr>
        <w:t xml:space="preserve"> </w:t>
      </w:r>
      <w:r>
        <w:rPr>
          <w:sz w:val="18"/>
        </w:rPr>
        <w:t>of</w:t>
      </w:r>
      <w:r>
        <w:rPr>
          <w:spacing w:val="-2"/>
          <w:sz w:val="18"/>
        </w:rPr>
        <w:t xml:space="preserve"> </w:t>
      </w:r>
      <w:r>
        <w:rPr>
          <w:sz w:val="18"/>
        </w:rPr>
        <w:t>increasing</w:t>
      </w:r>
      <w:r>
        <w:rPr>
          <w:spacing w:val="-3"/>
          <w:sz w:val="18"/>
        </w:rPr>
        <w:t xml:space="preserve"> </w:t>
      </w:r>
      <w:r>
        <w:rPr>
          <w:sz w:val="18"/>
        </w:rPr>
        <w:t>a</w:t>
      </w:r>
      <w:r>
        <w:rPr>
          <w:spacing w:val="-3"/>
          <w:sz w:val="18"/>
        </w:rPr>
        <w:t xml:space="preserve"> </w:t>
      </w:r>
      <w:r>
        <w:rPr>
          <w:sz w:val="18"/>
        </w:rPr>
        <w:t>fuel’s</w:t>
      </w:r>
      <w:r>
        <w:rPr>
          <w:spacing w:val="-1"/>
          <w:sz w:val="18"/>
        </w:rPr>
        <w:t xml:space="preserve"> </w:t>
      </w:r>
      <w:r>
        <w:rPr>
          <w:sz w:val="18"/>
        </w:rPr>
        <w:t>consumption</w:t>
      </w:r>
      <w:r>
        <w:rPr>
          <w:spacing w:val="-1"/>
          <w:sz w:val="18"/>
        </w:rPr>
        <w:t xml:space="preserve"> </w:t>
      </w:r>
      <w:r>
        <w:rPr>
          <w:sz w:val="18"/>
        </w:rPr>
        <w:t>due</w:t>
      </w:r>
      <w:r>
        <w:rPr>
          <w:spacing w:val="-3"/>
          <w:sz w:val="18"/>
        </w:rPr>
        <w:t xml:space="preserve"> </w:t>
      </w:r>
      <w:r>
        <w:rPr>
          <w:sz w:val="18"/>
        </w:rPr>
        <w:t>to</w:t>
      </w:r>
      <w:r>
        <w:rPr>
          <w:spacing w:val="-3"/>
          <w:sz w:val="18"/>
        </w:rPr>
        <w:t xml:space="preserve"> </w:t>
      </w:r>
      <w:r>
        <w:rPr>
          <w:sz w:val="18"/>
        </w:rPr>
        <w:t>a</w:t>
      </w:r>
      <w:r>
        <w:rPr>
          <w:spacing w:val="-3"/>
          <w:sz w:val="18"/>
        </w:rPr>
        <w:t xml:space="preserve"> </w:t>
      </w:r>
      <w:r>
        <w:rPr>
          <w:sz w:val="18"/>
        </w:rPr>
        <w:t>reduction</w:t>
      </w:r>
      <w:r>
        <w:rPr>
          <w:spacing w:val="-3"/>
          <w:sz w:val="18"/>
        </w:rPr>
        <w:t xml:space="preserve"> </w:t>
      </w:r>
      <w:r>
        <w:rPr>
          <w:sz w:val="18"/>
        </w:rPr>
        <w:t>in energy use. For example, efficient lighting results in reduced internal heat gain, resulting in a higher need for space heating.</w:t>
      </w:r>
    </w:p>
    <w:p w:rsidR="00C31389" w:rsidRDefault="00C31389" w14:paraId="15D37DCB" w14:textId="77777777">
      <w:pPr>
        <w:rPr>
          <w:sz w:val="18"/>
        </w:rPr>
        <w:sectPr w:rsidR="00C31389">
          <w:pgSz w:w="11910" w:h="16840"/>
          <w:pgMar w:top="1380" w:right="1020" w:bottom="1120" w:left="960" w:header="397" w:footer="938" w:gutter="0"/>
          <w:cols w:space="720"/>
        </w:sectPr>
      </w:pPr>
    </w:p>
    <w:p w:rsidR="00C31389" w:rsidRDefault="00C31389" w14:paraId="6D8D897E" w14:textId="77777777">
      <w:pPr>
        <w:pStyle w:val="BodyText"/>
        <w:spacing w:before="11"/>
        <w:rPr>
          <w:sz w:val="13"/>
        </w:rPr>
      </w:pPr>
    </w:p>
    <w:p w:rsidR="00C31389" w:rsidRDefault="00561FBD" w14:paraId="69E0A22E" w14:textId="77777777">
      <w:pPr>
        <w:pStyle w:val="BodyText"/>
        <w:spacing w:before="92"/>
        <w:ind w:left="479" w:right="418"/>
      </w:pPr>
      <w:r>
        <w:t>to present the findings of the Guidehouse team’s 2023 Study and not to est</w:t>
      </w:r>
      <w:r>
        <w:t>ablish goals— goal</w:t>
      </w:r>
      <w:r>
        <w:rPr>
          <w:spacing w:val="-3"/>
        </w:rPr>
        <w:t xml:space="preserve"> </w:t>
      </w:r>
      <w:r>
        <w:t>setting</w:t>
      </w:r>
      <w:r>
        <w:rPr>
          <w:spacing w:val="-4"/>
        </w:rPr>
        <w:t xml:space="preserve"> </w:t>
      </w:r>
      <w:r>
        <w:t>is</w:t>
      </w:r>
      <w:r>
        <w:rPr>
          <w:spacing w:val="-3"/>
        </w:rPr>
        <w:t xml:space="preserve"> </w:t>
      </w:r>
      <w:r>
        <w:t>under</w:t>
      </w:r>
      <w:r>
        <w:rPr>
          <w:spacing w:val="-3"/>
        </w:rPr>
        <w:t xml:space="preserve"> </w:t>
      </w:r>
      <w:r>
        <w:t>the</w:t>
      </w:r>
      <w:r>
        <w:rPr>
          <w:spacing w:val="-4"/>
        </w:rPr>
        <w:t xml:space="preserve"> </w:t>
      </w:r>
      <w:r>
        <w:t>purview</w:t>
      </w:r>
      <w:r>
        <w:rPr>
          <w:spacing w:val="-4"/>
        </w:rPr>
        <w:t xml:space="preserve"> </w:t>
      </w:r>
      <w:r>
        <w:t>of</w:t>
      </w:r>
      <w:r>
        <w:rPr>
          <w:spacing w:val="-3"/>
        </w:rPr>
        <w:t xml:space="preserve"> </w:t>
      </w:r>
      <w:r>
        <w:t>the</w:t>
      </w:r>
      <w:r>
        <w:rPr>
          <w:spacing w:val="-3"/>
        </w:rPr>
        <w:t xml:space="preserve"> </w:t>
      </w:r>
      <w:r>
        <w:t>CPUC.</w:t>
      </w:r>
      <w:r>
        <w:rPr>
          <w:spacing w:val="-3"/>
        </w:rPr>
        <w:t xml:space="preserve"> </w:t>
      </w:r>
      <w:r>
        <w:t>As</w:t>
      </w:r>
      <w:r>
        <w:rPr>
          <w:spacing w:val="-3"/>
        </w:rPr>
        <w:t xml:space="preserve"> </w:t>
      </w:r>
      <w:r>
        <w:t>such,</w:t>
      </w:r>
      <w:r>
        <w:rPr>
          <w:spacing w:val="-3"/>
        </w:rPr>
        <w:t xml:space="preserve"> </w:t>
      </w:r>
      <w:r>
        <w:t>the</w:t>
      </w:r>
      <w:r>
        <w:rPr>
          <w:spacing w:val="-5"/>
        </w:rPr>
        <w:t xml:space="preserve"> </w:t>
      </w:r>
      <w:r>
        <w:t>scenario</w:t>
      </w:r>
      <w:r>
        <w:rPr>
          <w:spacing w:val="-3"/>
        </w:rPr>
        <w:t xml:space="preserve"> </w:t>
      </w:r>
      <w:r>
        <w:t>comparisons</w:t>
      </w:r>
      <w:r>
        <w:rPr>
          <w:spacing w:val="-3"/>
        </w:rPr>
        <w:t xml:space="preserve"> </w:t>
      </w:r>
      <w:r>
        <w:t>presented in the following subsections are meant to illustrate a range of potential that can be achieved based on the team’s study.</w:t>
      </w:r>
    </w:p>
    <w:p w:rsidR="00C31389" w:rsidRDefault="00C31389" w14:paraId="69BA9ED7" w14:textId="77777777">
      <w:pPr>
        <w:pStyle w:val="BodyText"/>
        <w:spacing w:before="10"/>
        <w:rPr>
          <w:sz w:val="20"/>
        </w:rPr>
      </w:pPr>
    </w:p>
    <w:p w:rsidR="00C31389" w:rsidRDefault="00561FBD" w14:paraId="376CA008" w14:textId="77777777">
      <w:pPr>
        <w:pStyle w:val="BodyText"/>
        <w:ind w:left="480" w:right="434"/>
      </w:pPr>
      <w:r>
        <w:t>Figures</w:t>
      </w:r>
      <w:r>
        <w:rPr>
          <w:spacing w:val="-3"/>
        </w:rPr>
        <w:t xml:space="preserve"> </w:t>
      </w:r>
      <w:r>
        <w:t>in</w:t>
      </w:r>
      <w:r>
        <w:rPr>
          <w:spacing w:val="-3"/>
        </w:rPr>
        <w:t xml:space="preserve"> </w:t>
      </w:r>
      <w:r>
        <w:t>this</w:t>
      </w:r>
      <w:r>
        <w:rPr>
          <w:spacing w:val="-3"/>
        </w:rPr>
        <w:t xml:space="preserve"> </w:t>
      </w:r>
      <w:r>
        <w:t>section</w:t>
      </w:r>
      <w:r>
        <w:rPr>
          <w:spacing w:val="-3"/>
        </w:rPr>
        <w:t xml:space="preserve"> </w:t>
      </w:r>
      <w:r>
        <w:t>focu</w:t>
      </w:r>
      <w:r>
        <w:t>s</w:t>
      </w:r>
      <w:r>
        <w:rPr>
          <w:spacing w:val="-3"/>
        </w:rPr>
        <w:t xml:space="preserve"> </w:t>
      </w:r>
      <w:r>
        <w:t>on</w:t>
      </w:r>
      <w:r>
        <w:rPr>
          <w:spacing w:val="-3"/>
        </w:rPr>
        <w:t xml:space="preserve"> </w:t>
      </w:r>
      <w:r>
        <w:t>TSB</w:t>
      </w:r>
      <w:r>
        <w:rPr>
          <w:spacing w:val="-3"/>
        </w:rPr>
        <w:t xml:space="preserve"> </w:t>
      </w:r>
      <w:r>
        <w:t>electric</w:t>
      </w:r>
      <w:r>
        <w:rPr>
          <w:spacing w:val="-4"/>
        </w:rPr>
        <w:t xml:space="preserve"> </w:t>
      </w:r>
      <w:r>
        <w:t>savings,</w:t>
      </w:r>
      <w:r>
        <w:rPr>
          <w:spacing w:val="-3"/>
        </w:rPr>
        <w:t xml:space="preserve"> </w:t>
      </w:r>
      <w:r>
        <w:t>peak</w:t>
      </w:r>
      <w:r>
        <w:rPr>
          <w:spacing w:val="-3"/>
        </w:rPr>
        <w:t xml:space="preserve"> </w:t>
      </w:r>
      <w:r>
        <w:t>demand</w:t>
      </w:r>
      <w:r>
        <w:rPr>
          <w:spacing w:val="-3"/>
        </w:rPr>
        <w:t xml:space="preserve"> </w:t>
      </w:r>
      <w:r>
        <w:t>impact,</w:t>
      </w:r>
      <w:r>
        <w:rPr>
          <w:spacing w:val="-3"/>
        </w:rPr>
        <w:t xml:space="preserve"> </w:t>
      </w:r>
      <w:r>
        <w:t>and</w:t>
      </w:r>
      <w:r>
        <w:rPr>
          <w:spacing w:val="-3"/>
        </w:rPr>
        <w:t xml:space="preserve"> </w:t>
      </w:r>
      <w:r>
        <w:t>gas</w:t>
      </w:r>
      <w:r>
        <w:rPr>
          <w:spacing w:val="-4"/>
        </w:rPr>
        <w:t xml:space="preserve"> </w:t>
      </w:r>
      <w:r>
        <w:t xml:space="preserve">savings. Full results for all scenarios and all utilities are available in the Results Viewer (discussed further in Section </w:t>
      </w:r>
      <w:hyperlink w:history="1" w:anchor="_bookmark219">
        <w:r>
          <w:t>4.5</w:t>
        </w:r>
      </w:hyperlink>
      <w:r>
        <w:t>).</w:t>
      </w:r>
    </w:p>
    <w:p w:rsidR="00C31389" w:rsidRDefault="00C31389" w14:paraId="5D442B65" w14:textId="77777777">
      <w:pPr>
        <w:pStyle w:val="BodyText"/>
        <w:spacing w:before="9"/>
        <w:rPr>
          <w:sz w:val="20"/>
        </w:rPr>
      </w:pPr>
    </w:p>
    <w:p w:rsidR="00C31389" w:rsidRDefault="00561FBD" w14:paraId="1B41AF64" w14:textId="77777777">
      <w:pPr>
        <w:pStyle w:val="BodyText"/>
        <w:spacing w:before="1"/>
        <w:ind w:left="480" w:right="479"/>
      </w:pPr>
      <w:r>
        <w:t>This section describes primarily the high level scenario re</w:t>
      </w:r>
      <w:r>
        <w:t>sults “top line” (the sum of EE equipment,</w:t>
      </w:r>
      <w:r>
        <w:rPr>
          <w:spacing w:val="-3"/>
        </w:rPr>
        <w:t xml:space="preserve"> </w:t>
      </w:r>
      <w:r>
        <w:t>BROs,</w:t>
      </w:r>
      <w:r>
        <w:rPr>
          <w:spacing w:val="-3"/>
        </w:rPr>
        <w:t xml:space="preserve"> </w:t>
      </w:r>
      <w:r>
        <w:t>and</w:t>
      </w:r>
      <w:r>
        <w:rPr>
          <w:spacing w:val="-2"/>
        </w:rPr>
        <w:t xml:space="preserve"> </w:t>
      </w:r>
      <w:r>
        <w:t>FS</w:t>
      </w:r>
      <w:r>
        <w:rPr>
          <w:spacing w:val="-3"/>
        </w:rPr>
        <w:t xml:space="preserve"> </w:t>
      </w:r>
      <w:r>
        <w:t>for</w:t>
      </w:r>
      <w:r>
        <w:rPr>
          <w:spacing w:val="-3"/>
        </w:rPr>
        <w:t xml:space="preserve"> </w:t>
      </w:r>
      <w:r>
        <w:t>all</w:t>
      </w:r>
      <w:r>
        <w:rPr>
          <w:spacing w:val="-3"/>
        </w:rPr>
        <w:t xml:space="preserve"> </w:t>
      </w:r>
      <w:r>
        <w:t>sectors</w:t>
      </w:r>
      <w:r>
        <w:rPr>
          <w:spacing w:val="-3"/>
        </w:rPr>
        <w:t xml:space="preserve"> </w:t>
      </w:r>
      <w:r>
        <w:t>and</w:t>
      </w:r>
      <w:r>
        <w:rPr>
          <w:spacing w:val="-3"/>
        </w:rPr>
        <w:t xml:space="preserve"> </w:t>
      </w:r>
      <w:r>
        <w:t>IOUs).</w:t>
      </w:r>
      <w:r>
        <w:rPr>
          <w:spacing w:val="-3"/>
        </w:rPr>
        <w:t xml:space="preserve"> </w:t>
      </w:r>
      <w:r>
        <w:t>The</w:t>
      </w:r>
      <w:r>
        <w:rPr>
          <w:spacing w:val="-3"/>
        </w:rPr>
        <w:t xml:space="preserve"> </w:t>
      </w:r>
      <w:r>
        <w:t>findings</w:t>
      </w:r>
      <w:r>
        <w:rPr>
          <w:spacing w:val="-3"/>
        </w:rPr>
        <w:t xml:space="preserve"> </w:t>
      </w:r>
      <w:r>
        <w:t>primarily</w:t>
      </w:r>
      <w:r>
        <w:rPr>
          <w:spacing w:val="-3"/>
        </w:rPr>
        <w:t xml:space="preserve"> </w:t>
      </w:r>
      <w:r>
        <w:t>show</w:t>
      </w:r>
      <w:r>
        <w:rPr>
          <w:spacing w:val="-4"/>
        </w:rPr>
        <w:t xml:space="preserve"> </w:t>
      </w:r>
      <w:r>
        <w:t>the</w:t>
      </w:r>
      <w:r>
        <w:rPr>
          <w:spacing w:val="-4"/>
        </w:rPr>
        <w:t xml:space="preserve"> </w:t>
      </w:r>
      <w:r>
        <w:t>impact of differences across levers for the four scenarios:</w:t>
      </w:r>
    </w:p>
    <w:p w:rsidR="00C31389" w:rsidRDefault="00561FBD" w14:paraId="41F23FCF" w14:textId="77777777">
      <w:pPr>
        <w:pStyle w:val="ListParagraph"/>
        <w:numPr>
          <w:ilvl w:val="0"/>
          <w:numId w:val="39"/>
        </w:numPr>
        <w:tabs>
          <w:tab w:val="left" w:pos="1200"/>
        </w:tabs>
        <w:spacing w:before="120"/>
        <w:ind w:right="787"/>
      </w:pPr>
      <w:r>
        <w:t>Scenario</w:t>
      </w:r>
      <w:r>
        <w:rPr>
          <w:spacing w:val="-3"/>
        </w:rPr>
        <w:t xml:space="preserve"> </w:t>
      </w:r>
      <w:r>
        <w:t>1</w:t>
      </w:r>
      <w:r>
        <w:rPr>
          <w:spacing w:val="-3"/>
        </w:rPr>
        <w:t xml:space="preserve"> </w:t>
      </w:r>
      <w:r>
        <w:t>serves</w:t>
      </w:r>
      <w:r>
        <w:rPr>
          <w:spacing w:val="-3"/>
        </w:rPr>
        <w:t xml:space="preserve"> </w:t>
      </w:r>
      <w:r>
        <w:t>as</w:t>
      </w:r>
      <w:r>
        <w:rPr>
          <w:spacing w:val="-3"/>
        </w:rPr>
        <w:t xml:space="preserve"> </w:t>
      </w:r>
      <w:r>
        <w:t>the</w:t>
      </w:r>
      <w:r>
        <w:rPr>
          <w:spacing w:val="-4"/>
        </w:rPr>
        <w:t xml:space="preserve"> </w:t>
      </w:r>
      <w:r>
        <w:t>reference</w:t>
      </w:r>
      <w:r>
        <w:rPr>
          <w:spacing w:val="-3"/>
        </w:rPr>
        <w:t xml:space="preserve"> </w:t>
      </w:r>
      <w:r>
        <w:t>or</w:t>
      </w:r>
      <w:r>
        <w:rPr>
          <w:spacing w:val="-3"/>
        </w:rPr>
        <w:t xml:space="preserve"> </w:t>
      </w:r>
      <w:r>
        <w:t>“business</w:t>
      </w:r>
      <w:r>
        <w:rPr>
          <w:spacing w:val="-4"/>
        </w:rPr>
        <w:t xml:space="preserve"> </w:t>
      </w:r>
      <w:r>
        <w:t>as</w:t>
      </w:r>
      <w:r>
        <w:rPr>
          <w:spacing w:val="-3"/>
        </w:rPr>
        <w:t xml:space="preserve"> </w:t>
      </w:r>
      <w:r>
        <w:t>usual”</w:t>
      </w:r>
      <w:r>
        <w:rPr>
          <w:spacing w:val="-5"/>
        </w:rPr>
        <w:t xml:space="preserve"> </w:t>
      </w:r>
      <w:r>
        <w:t>case,</w:t>
      </w:r>
      <w:r>
        <w:rPr>
          <w:spacing w:val="-3"/>
        </w:rPr>
        <w:t xml:space="preserve"> </w:t>
      </w:r>
      <w:r>
        <w:t>and</w:t>
      </w:r>
      <w:r>
        <w:rPr>
          <w:spacing w:val="-3"/>
        </w:rPr>
        <w:t xml:space="preserve"> </w:t>
      </w:r>
      <w:r>
        <w:t>most</w:t>
      </w:r>
      <w:r>
        <w:rPr>
          <w:spacing w:val="-3"/>
        </w:rPr>
        <w:t xml:space="preserve"> </w:t>
      </w:r>
      <w:r>
        <w:t>directly</w:t>
      </w:r>
      <w:r>
        <w:t xml:space="preserve"> compares to the 2021 Scenario used to set the EE goals.</w:t>
      </w:r>
    </w:p>
    <w:p w:rsidR="00C31389" w:rsidRDefault="00561FBD" w14:paraId="0586AFAF" w14:textId="77777777">
      <w:pPr>
        <w:pStyle w:val="ListParagraph"/>
        <w:numPr>
          <w:ilvl w:val="0"/>
          <w:numId w:val="39"/>
        </w:numPr>
        <w:tabs>
          <w:tab w:val="left" w:pos="1200"/>
        </w:tabs>
        <w:spacing w:before="118"/>
        <w:ind w:right="579"/>
      </w:pPr>
      <w:r>
        <w:t>IRA</w:t>
      </w:r>
      <w:r>
        <w:rPr>
          <w:spacing w:val="-4"/>
        </w:rPr>
        <w:t xml:space="preserve"> </w:t>
      </w:r>
      <w:r>
        <w:t>tax</w:t>
      </w:r>
      <w:r>
        <w:rPr>
          <w:spacing w:val="-3"/>
        </w:rPr>
        <w:t xml:space="preserve"> </w:t>
      </w:r>
      <w:r>
        <w:t>credits</w:t>
      </w:r>
      <w:r>
        <w:rPr>
          <w:spacing w:val="-3"/>
        </w:rPr>
        <w:t xml:space="preserve"> </w:t>
      </w:r>
      <w:r>
        <w:t>for</w:t>
      </w:r>
      <w:r>
        <w:rPr>
          <w:spacing w:val="-3"/>
        </w:rPr>
        <w:t xml:space="preserve"> </w:t>
      </w:r>
      <w:r>
        <w:t>residential</w:t>
      </w:r>
      <w:r>
        <w:rPr>
          <w:spacing w:val="-3"/>
        </w:rPr>
        <w:t xml:space="preserve"> </w:t>
      </w:r>
      <w:r>
        <w:t>and</w:t>
      </w:r>
      <w:r>
        <w:rPr>
          <w:spacing w:val="-3"/>
        </w:rPr>
        <w:t xml:space="preserve"> </w:t>
      </w:r>
      <w:r>
        <w:t>commercial</w:t>
      </w:r>
      <w:r>
        <w:rPr>
          <w:spacing w:val="-3"/>
        </w:rPr>
        <w:t xml:space="preserve"> </w:t>
      </w:r>
      <w:r>
        <w:t>EE</w:t>
      </w:r>
      <w:r>
        <w:rPr>
          <w:spacing w:val="-3"/>
        </w:rPr>
        <w:t xml:space="preserve"> </w:t>
      </w:r>
      <w:r>
        <w:t>and</w:t>
      </w:r>
      <w:r>
        <w:rPr>
          <w:spacing w:val="-3"/>
        </w:rPr>
        <w:t xml:space="preserve"> </w:t>
      </w:r>
      <w:r>
        <w:t>FS</w:t>
      </w:r>
      <w:r>
        <w:rPr>
          <w:spacing w:val="-3"/>
        </w:rPr>
        <w:t xml:space="preserve"> </w:t>
      </w:r>
      <w:r>
        <w:t>measures</w:t>
      </w:r>
      <w:r>
        <w:rPr>
          <w:spacing w:val="-3"/>
        </w:rPr>
        <w:t xml:space="preserve"> </w:t>
      </w:r>
      <w:r>
        <w:t>identified</w:t>
      </w:r>
      <w:r>
        <w:rPr>
          <w:spacing w:val="-3"/>
        </w:rPr>
        <w:t xml:space="preserve"> </w:t>
      </w:r>
      <w:r>
        <w:t>within the law as eligible:</w:t>
      </w:r>
    </w:p>
    <w:p w:rsidR="00C31389" w:rsidRDefault="00561FBD" w14:paraId="1B0E8AFE" w14:textId="77777777">
      <w:pPr>
        <w:pStyle w:val="ListParagraph"/>
        <w:numPr>
          <w:ilvl w:val="1"/>
          <w:numId w:val="39"/>
        </w:numPr>
        <w:tabs>
          <w:tab w:val="left" w:pos="1920"/>
        </w:tabs>
        <w:spacing w:before="126" w:line="230" w:lineRule="auto"/>
        <w:ind w:right="482"/>
      </w:pPr>
      <w:r>
        <w:t>Scenarios</w:t>
      </w:r>
      <w:r>
        <w:rPr>
          <w:spacing w:val="-2"/>
        </w:rPr>
        <w:t xml:space="preserve"> </w:t>
      </w:r>
      <w:r>
        <w:t>2</w:t>
      </w:r>
      <w:r>
        <w:rPr>
          <w:spacing w:val="-5"/>
        </w:rPr>
        <w:t xml:space="preserve"> </w:t>
      </w:r>
      <w:r>
        <w:t>and</w:t>
      </w:r>
      <w:r>
        <w:rPr>
          <w:spacing w:val="-3"/>
        </w:rPr>
        <w:t xml:space="preserve"> </w:t>
      </w:r>
      <w:r>
        <w:t>3</w:t>
      </w:r>
      <w:r>
        <w:rPr>
          <w:spacing w:val="-3"/>
        </w:rPr>
        <w:t xml:space="preserve"> </w:t>
      </w:r>
      <w:r>
        <w:t>represent</w:t>
      </w:r>
      <w:r>
        <w:rPr>
          <w:spacing w:val="-3"/>
        </w:rPr>
        <w:t xml:space="preserve"> </w:t>
      </w:r>
      <w:r>
        <w:t>the</w:t>
      </w:r>
      <w:r>
        <w:rPr>
          <w:spacing w:val="-3"/>
        </w:rPr>
        <w:t xml:space="preserve"> </w:t>
      </w:r>
      <w:r>
        <w:t>assumptions</w:t>
      </w:r>
      <w:r>
        <w:rPr>
          <w:spacing w:val="-3"/>
        </w:rPr>
        <w:t xml:space="preserve"> </w:t>
      </w:r>
      <w:r>
        <w:t>detailed</w:t>
      </w:r>
      <w:r>
        <w:rPr>
          <w:spacing w:val="-3"/>
        </w:rPr>
        <w:t xml:space="preserve"> </w:t>
      </w:r>
      <w:r>
        <w:t>in</w:t>
      </w:r>
      <w:r>
        <w:rPr>
          <w:spacing w:val="-3"/>
        </w:rPr>
        <w:t xml:space="preserve"> </w:t>
      </w:r>
      <w:r>
        <w:t>Section</w:t>
      </w:r>
      <w:r>
        <w:rPr>
          <w:spacing w:val="-3"/>
        </w:rPr>
        <w:t xml:space="preserve"> </w:t>
      </w:r>
      <w:r>
        <w:t>2.1.7</w:t>
      </w:r>
      <w:r>
        <w:rPr>
          <w:spacing w:val="-3"/>
        </w:rPr>
        <w:t xml:space="preserve"> </w:t>
      </w:r>
      <w:r>
        <w:t>for</w:t>
      </w:r>
      <w:r>
        <w:rPr>
          <w:spacing w:val="-4"/>
        </w:rPr>
        <w:t xml:space="preserve"> </w:t>
      </w:r>
      <w:r>
        <w:t xml:space="preserve">the Residential sector and a conservative set of assumptions for the commercial </w:t>
      </w:r>
      <w:r>
        <w:rPr>
          <w:spacing w:val="-2"/>
        </w:rPr>
        <w:t>sector.</w:t>
      </w:r>
    </w:p>
    <w:p w:rsidR="00C31389" w:rsidRDefault="00561FBD" w14:paraId="17F6F184" w14:textId="77777777">
      <w:pPr>
        <w:pStyle w:val="ListParagraph"/>
        <w:numPr>
          <w:ilvl w:val="1"/>
          <w:numId w:val="39"/>
        </w:numPr>
        <w:tabs>
          <w:tab w:val="left" w:pos="1918"/>
          <w:tab w:val="left" w:pos="1920"/>
        </w:tabs>
        <w:spacing w:before="136" w:line="223" w:lineRule="auto"/>
        <w:ind w:right="508" w:hanging="361"/>
      </w:pPr>
      <w:r>
        <w:t>Scenarios</w:t>
      </w:r>
      <w:r>
        <w:rPr>
          <w:spacing w:val="-3"/>
        </w:rPr>
        <w:t xml:space="preserve"> </w:t>
      </w:r>
      <w:r>
        <w:t>4</w:t>
      </w:r>
      <w:r>
        <w:rPr>
          <w:spacing w:val="-5"/>
        </w:rPr>
        <w:t xml:space="preserve"> </w:t>
      </w:r>
      <w:r>
        <w:t>represent</w:t>
      </w:r>
      <w:r>
        <w:rPr>
          <w:spacing w:val="-4"/>
        </w:rPr>
        <w:t xml:space="preserve"> </w:t>
      </w:r>
      <w:r>
        <w:t>the</w:t>
      </w:r>
      <w:r>
        <w:rPr>
          <w:spacing w:val="-4"/>
        </w:rPr>
        <w:t xml:space="preserve"> </w:t>
      </w:r>
      <w:r>
        <w:t>above</w:t>
      </w:r>
      <w:r>
        <w:rPr>
          <w:spacing w:val="-4"/>
        </w:rPr>
        <w:t xml:space="preserve"> </w:t>
      </w:r>
      <w:r>
        <w:t>noted</w:t>
      </w:r>
      <w:r>
        <w:rPr>
          <w:spacing w:val="-4"/>
        </w:rPr>
        <w:t xml:space="preserve"> </w:t>
      </w:r>
      <w:r>
        <w:t>assumptions</w:t>
      </w:r>
      <w:r>
        <w:rPr>
          <w:spacing w:val="-4"/>
        </w:rPr>
        <w:t xml:space="preserve"> </w:t>
      </w:r>
      <w:r>
        <w:t>for</w:t>
      </w:r>
      <w:r>
        <w:rPr>
          <w:spacing w:val="-4"/>
        </w:rPr>
        <w:t xml:space="preserve"> </w:t>
      </w:r>
      <w:r>
        <w:t>the</w:t>
      </w:r>
      <w:r>
        <w:rPr>
          <w:spacing w:val="-4"/>
        </w:rPr>
        <w:t xml:space="preserve"> </w:t>
      </w:r>
      <w:r>
        <w:t>residential</w:t>
      </w:r>
      <w:r>
        <w:rPr>
          <w:spacing w:val="-4"/>
        </w:rPr>
        <w:t xml:space="preserve"> </w:t>
      </w:r>
      <w:r>
        <w:t>sector and more aggressive set of assumptions for the commercial sector.</w:t>
      </w:r>
    </w:p>
    <w:p w:rsidR="00C31389" w:rsidRDefault="00561FBD" w14:paraId="779C141D" w14:textId="77777777">
      <w:pPr>
        <w:pStyle w:val="ListParagraph"/>
        <w:numPr>
          <w:ilvl w:val="0"/>
          <w:numId w:val="39"/>
        </w:numPr>
        <w:tabs>
          <w:tab w:val="left" w:pos="1200"/>
        </w:tabs>
        <w:spacing w:before="123"/>
      </w:pPr>
      <w:r>
        <w:t>Capped</w:t>
      </w:r>
      <w:r>
        <w:rPr>
          <w:spacing w:val="-9"/>
        </w:rPr>
        <w:t xml:space="preserve"> </w:t>
      </w:r>
      <w:r>
        <w:rPr>
          <w:spacing w:val="-2"/>
        </w:rPr>
        <w:t>incentives</w:t>
      </w:r>
    </w:p>
    <w:p w:rsidR="00C31389" w:rsidRDefault="00561FBD" w14:paraId="39BCA175" w14:textId="77777777">
      <w:pPr>
        <w:pStyle w:val="ListParagraph"/>
        <w:numPr>
          <w:ilvl w:val="1"/>
          <w:numId w:val="39"/>
        </w:numPr>
        <w:tabs>
          <w:tab w:val="left" w:pos="1920"/>
        </w:tabs>
        <w:spacing w:before="132" w:line="223" w:lineRule="auto"/>
        <w:ind w:right="496"/>
      </w:pPr>
      <w:r>
        <w:t>Scenari</w:t>
      </w:r>
      <w:r>
        <w:t>os</w:t>
      </w:r>
      <w:r>
        <w:rPr>
          <w:spacing w:val="-3"/>
        </w:rPr>
        <w:t xml:space="preserve"> </w:t>
      </w:r>
      <w:r>
        <w:t>1,</w:t>
      </w:r>
      <w:r>
        <w:rPr>
          <w:spacing w:val="-4"/>
        </w:rPr>
        <w:t xml:space="preserve"> </w:t>
      </w:r>
      <w:r>
        <w:t>2,</w:t>
      </w:r>
      <w:r>
        <w:rPr>
          <w:spacing w:val="-3"/>
        </w:rPr>
        <w:t xml:space="preserve"> </w:t>
      </w:r>
      <w:r>
        <w:t>and</w:t>
      </w:r>
      <w:r>
        <w:rPr>
          <w:spacing w:val="-3"/>
        </w:rPr>
        <w:t xml:space="preserve"> </w:t>
      </w:r>
      <w:r>
        <w:t>4</w:t>
      </w:r>
      <w:r>
        <w:rPr>
          <w:spacing w:val="-3"/>
        </w:rPr>
        <w:t xml:space="preserve"> </w:t>
      </w:r>
      <w:r>
        <w:t>include</w:t>
      </w:r>
      <w:r>
        <w:rPr>
          <w:spacing w:val="-3"/>
        </w:rPr>
        <w:t xml:space="preserve"> </w:t>
      </w:r>
      <w:r>
        <w:t>Incentives</w:t>
      </w:r>
      <w:r>
        <w:rPr>
          <w:spacing w:val="-3"/>
        </w:rPr>
        <w:t xml:space="preserve"> </w:t>
      </w:r>
      <w:r>
        <w:t>capped</w:t>
      </w:r>
      <w:r>
        <w:rPr>
          <w:spacing w:val="-4"/>
        </w:rPr>
        <w:t xml:space="preserve"> </w:t>
      </w:r>
      <w:r>
        <w:t>at</w:t>
      </w:r>
      <w:r>
        <w:rPr>
          <w:spacing w:val="-3"/>
        </w:rPr>
        <w:t xml:space="preserve"> </w:t>
      </w:r>
      <w:r>
        <w:t>50%</w:t>
      </w:r>
      <w:r>
        <w:rPr>
          <w:spacing w:val="-3"/>
        </w:rPr>
        <w:t xml:space="preserve"> </w:t>
      </w:r>
      <w:r>
        <w:t>and</w:t>
      </w:r>
      <w:r>
        <w:rPr>
          <w:spacing w:val="-4"/>
        </w:rPr>
        <w:t xml:space="preserve"> </w:t>
      </w:r>
      <w:r>
        <w:t>75%</w:t>
      </w:r>
      <w:r>
        <w:rPr>
          <w:spacing w:val="-3"/>
        </w:rPr>
        <w:t xml:space="preserve"> </w:t>
      </w:r>
      <w:r>
        <w:t>of</w:t>
      </w:r>
      <w:r>
        <w:rPr>
          <w:spacing w:val="-3"/>
        </w:rPr>
        <w:t xml:space="preserve"> </w:t>
      </w:r>
      <w:r>
        <w:t>measure incremental cost for EE and FS, respectively,</w:t>
      </w:r>
    </w:p>
    <w:p w:rsidR="00C31389" w:rsidRDefault="00561FBD" w14:paraId="148AE856" w14:textId="77777777">
      <w:pPr>
        <w:pStyle w:val="ListParagraph"/>
        <w:numPr>
          <w:ilvl w:val="1"/>
          <w:numId w:val="39"/>
        </w:numPr>
        <w:tabs>
          <w:tab w:val="left" w:pos="1920"/>
        </w:tabs>
        <w:spacing w:before="136" w:line="223" w:lineRule="auto"/>
        <w:ind w:right="1230"/>
      </w:pPr>
      <w:r>
        <w:t>Scenario</w:t>
      </w:r>
      <w:r>
        <w:rPr>
          <w:spacing w:val="-3"/>
        </w:rPr>
        <w:t xml:space="preserve"> </w:t>
      </w:r>
      <w:r>
        <w:t>3</w:t>
      </w:r>
      <w:r>
        <w:rPr>
          <w:spacing w:val="-3"/>
        </w:rPr>
        <w:t xml:space="preserve"> </w:t>
      </w:r>
      <w:r>
        <w:t>increases</w:t>
      </w:r>
      <w:r>
        <w:rPr>
          <w:spacing w:val="-3"/>
        </w:rPr>
        <w:t xml:space="preserve"> </w:t>
      </w:r>
      <w:r>
        <w:t>the</w:t>
      </w:r>
      <w:r>
        <w:rPr>
          <w:spacing w:val="-3"/>
        </w:rPr>
        <w:t xml:space="preserve"> </w:t>
      </w:r>
      <w:r>
        <w:t>incentive</w:t>
      </w:r>
      <w:r>
        <w:rPr>
          <w:spacing w:val="-3"/>
        </w:rPr>
        <w:t xml:space="preserve"> </w:t>
      </w:r>
      <w:r>
        <w:t>cap</w:t>
      </w:r>
      <w:r>
        <w:rPr>
          <w:spacing w:val="-3"/>
        </w:rPr>
        <w:t xml:space="preserve"> </w:t>
      </w:r>
      <w:r>
        <w:t>to</w:t>
      </w:r>
      <w:r>
        <w:rPr>
          <w:spacing w:val="-3"/>
        </w:rPr>
        <w:t xml:space="preserve"> </w:t>
      </w:r>
      <w:r>
        <w:t>75%</w:t>
      </w:r>
      <w:r>
        <w:rPr>
          <w:spacing w:val="-3"/>
        </w:rPr>
        <w:t xml:space="preserve"> </w:t>
      </w:r>
      <w:r>
        <w:t>for</w:t>
      </w:r>
      <w:r>
        <w:rPr>
          <w:spacing w:val="-3"/>
        </w:rPr>
        <w:t xml:space="preserve"> </w:t>
      </w:r>
      <w:r>
        <w:t>EE</w:t>
      </w:r>
      <w:r>
        <w:rPr>
          <w:spacing w:val="-3"/>
        </w:rPr>
        <w:t xml:space="preserve"> </w:t>
      </w:r>
      <w:r>
        <w:t>and</w:t>
      </w:r>
      <w:r>
        <w:rPr>
          <w:spacing w:val="-3"/>
        </w:rPr>
        <w:t xml:space="preserve"> </w:t>
      </w:r>
      <w:r>
        <w:t>90%</w:t>
      </w:r>
      <w:r>
        <w:rPr>
          <w:spacing w:val="-3"/>
        </w:rPr>
        <w:t xml:space="preserve"> </w:t>
      </w:r>
      <w:r>
        <w:t>for</w:t>
      </w:r>
      <w:r>
        <w:rPr>
          <w:spacing w:val="-3"/>
        </w:rPr>
        <w:t xml:space="preserve"> </w:t>
      </w:r>
      <w:r>
        <w:t xml:space="preserve">FS </w:t>
      </w:r>
      <w:r>
        <w:rPr>
          <w:spacing w:val="-2"/>
        </w:rPr>
        <w:t>measures.</w:t>
      </w:r>
    </w:p>
    <w:p w:rsidR="00C31389" w:rsidRDefault="00561FBD" w14:paraId="2FFFF51F" w14:textId="77777777">
      <w:pPr>
        <w:pStyle w:val="ListParagraph"/>
        <w:numPr>
          <w:ilvl w:val="0"/>
          <w:numId w:val="39"/>
        </w:numPr>
        <w:tabs>
          <w:tab w:val="left" w:pos="1200"/>
        </w:tabs>
        <w:spacing w:before="123"/>
      </w:pPr>
      <w:r>
        <w:rPr>
          <w:spacing w:val="-5"/>
        </w:rPr>
        <w:t>FS</w:t>
      </w:r>
    </w:p>
    <w:p w:rsidR="00C31389" w:rsidRDefault="00C31389" w14:paraId="096B83DA" w14:textId="77777777">
      <w:pPr>
        <w:pStyle w:val="BodyText"/>
        <w:spacing w:before="4"/>
        <w:rPr>
          <w:sz w:val="21"/>
        </w:rPr>
      </w:pPr>
    </w:p>
    <w:p w:rsidR="00C31389" w:rsidRDefault="00561FBD" w14:paraId="7CADF0A6" w14:textId="77777777">
      <w:pPr>
        <w:pStyle w:val="ListParagraph"/>
        <w:numPr>
          <w:ilvl w:val="1"/>
          <w:numId w:val="39"/>
        </w:numPr>
        <w:tabs>
          <w:tab w:val="left" w:pos="1920"/>
        </w:tabs>
        <w:spacing w:line="230" w:lineRule="auto"/>
        <w:ind w:right="459"/>
      </w:pPr>
      <w:r>
        <w:t>Scenario</w:t>
      </w:r>
      <w:r>
        <w:rPr>
          <w:spacing w:val="-4"/>
        </w:rPr>
        <w:t xml:space="preserve"> </w:t>
      </w:r>
      <w:r>
        <w:t>3</w:t>
      </w:r>
      <w:r>
        <w:rPr>
          <w:spacing w:val="-5"/>
        </w:rPr>
        <w:t xml:space="preserve"> </w:t>
      </w:r>
      <w:r>
        <w:t>applies</w:t>
      </w:r>
      <w:r>
        <w:rPr>
          <w:spacing w:val="-4"/>
        </w:rPr>
        <w:t xml:space="preserve"> </w:t>
      </w:r>
      <w:r>
        <w:t>the</w:t>
      </w:r>
      <w:r>
        <w:rPr>
          <w:spacing w:val="-5"/>
        </w:rPr>
        <w:t xml:space="preserve"> </w:t>
      </w:r>
      <w:r>
        <w:t>calibrated</w:t>
      </w:r>
      <w:r>
        <w:rPr>
          <w:spacing w:val="-4"/>
        </w:rPr>
        <w:t xml:space="preserve"> </w:t>
      </w:r>
      <w:r>
        <w:t>EE</w:t>
      </w:r>
      <w:r>
        <w:rPr>
          <w:spacing w:val="-4"/>
        </w:rPr>
        <w:t xml:space="preserve"> </w:t>
      </w:r>
      <w:r>
        <w:t>market-specified</w:t>
      </w:r>
      <w:r>
        <w:rPr>
          <w:spacing w:val="-4"/>
        </w:rPr>
        <w:t xml:space="preserve"> </w:t>
      </w:r>
      <w:r>
        <w:t>adoption</w:t>
      </w:r>
      <w:r>
        <w:rPr>
          <w:spacing w:val="-4"/>
        </w:rPr>
        <w:t xml:space="preserve"> </w:t>
      </w:r>
      <w:r>
        <w:t>parameters</w:t>
      </w:r>
      <w:r>
        <w:rPr>
          <w:spacing w:val="-4"/>
        </w:rPr>
        <w:t xml:space="preserve"> </w:t>
      </w:r>
      <w:r>
        <w:t>to all measures including FS representing a more aggressive scenario overall for this measure type.</w:t>
      </w:r>
    </w:p>
    <w:p w:rsidR="00C31389" w:rsidRDefault="00C31389" w14:paraId="37F601D2" w14:textId="77777777">
      <w:pPr>
        <w:pStyle w:val="BodyText"/>
        <w:spacing w:before="1"/>
        <w:rPr>
          <w:sz w:val="13"/>
        </w:rPr>
      </w:pPr>
    </w:p>
    <w:p w:rsidR="00C31389" w:rsidRDefault="00561FBD" w14:paraId="73B0B652" w14:textId="77777777">
      <w:pPr>
        <w:pStyle w:val="BodyText"/>
        <w:spacing w:before="93"/>
        <w:ind w:left="480" w:right="418"/>
      </w:pPr>
      <w:r>
        <w:t>Details</w:t>
      </w:r>
      <w:r>
        <w:rPr>
          <w:spacing w:val="-2"/>
        </w:rPr>
        <w:t xml:space="preserve"> </w:t>
      </w:r>
      <w:r>
        <w:t>of</w:t>
      </w:r>
      <w:r>
        <w:rPr>
          <w:spacing w:val="-2"/>
        </w:rPr>
        <w:t xml:space="preserve"> </w:t>
      </w:r>
      <w:r>
        <w:t>the</w:t>
      </w:r>
      <w:r>
        <w:rPr>
          <w:spacing w:val="-2"/>
        </w:rPr>
        <w:t xml:space="preserve"> </w:t>
      </w:r>
      <w:r>
        <w:t>findings</w:t>
      </w:r>
      <w:r>
        <w:rPr>
          <w:spacing w:val="-2"/>
        </w:rPr>
        <w:t xml:space="preserve"> </w:t>
      </w:r>
      <w:r>
        <w:t>at</w:t>
      </w:r>
      <w:r>
        <w:rPr>
          <w:spacing w:val="-3"/>
        </w:rPr>
        <w:t xml:space="preserve"> </w:t>
      </w:r>
      <w:r>
        <w:t>the</w:t>
      </w:r>
      <w:r>
        <w:rPr>
          <w:spacing w:val="-2"/>
        </w:rPr>
        <w:t xml:space="preserve"> </w:t>
      </w:r>
      <w:r>
        <w:t>measure,</w:t>
      </w:r>
      <w:r>
        <w:rPr>
          <w:spacing w:val="-2"/>
        </w:rPr>
        <w:t xml:space="preserve"> </w:t>
      </w:r>
      <w:r>
        <w:t>end</w:t>
      </w:r>
      <w:r>
        <w:rPr>
          <w:spacing w:val="-2"/>
        </w:rPr>
        <w:t xml:space="preserve"> </w:t>
      </w:r>
      <w:r>
        <w:t>use,</w:t>
      </w:r>
      <w:r>
        <w:rPr>
          <w:spacing w:val="-3"/>
        </w:rPr>
        <w:t xml:space="preserve"> </w:t>
      </w:r>
      <w:r>
        <w:t>sector,</w:t>
      </w:r>
      <w:r>
        <w:rPr>
          <w:spacing w:val="-2"/>
        </w:rPr>
        <w:t xml:space="preserve"> </w:t>
      </w:r>
      <w:r>
        <w:t>and</w:t>
      </w:r>
      <w:r>
        <w:rPr>
          <w:spacing w:val="-3"/>
        </w:rPr>
        <w:t xml:space="preserve"> </w:t>
      </w:r>
      <w:r>
        <w:t>utility</w:t>
      </w:r>
      <w:r>
        <w:rPr>
          <w:spacing w:val="-3"/>
        </w:rPr>
        <w:t xml:space="preserve"> </w:t>
      </w:r>
      <w:r>
        <w:t>level</w:t>
      </w:r>
      <w:r>
        <w:rPr>
          <w:spacing w:val="-2"/>
        </w:rPr>
        <w:t xml:space="preserve"> </w:t>
      </w:r>
      <w:r>
        <w:t>are</w:t>
      </w:r>
      <w:r>
        <w:rPr>
          <w:spacing w:val="-2"/>
        </w:rPr>
        <w:t xml:space="preserve"> </w:t>
      </w:r>
      <w:r>
        <w:t>available</w:t>
      </w:r>
      <w:r>
        <w:rPr>
          <w:spacing w:val="-3"/>
        </w:rPr>
        <w:t xml:space="preserve"> </w:t>
      </w:r>
      <w:r>
        <w:t>in</w:t>
      </w:r>
      <w:r>
        <w:rPr>
          <w:spacing w:val="-2"/>
        </w:rPr>
        <w:t xml:space="preserve"> </w:t>
      </w:r>
      <w:r>
        <w:t>the data files and viewers</w:t>
      </w:r>
      <w:r>
        <w:t>.</w:t>
      </w:r>
    </w:p>
    <w:p w:rsidR="00C31389" w:rsidRDefault="00C31389" w14:paraId="5D4F4A3E" w14:textId="77777777">
      <w:pPr>
        <w:pStyle w:val="BodyText"/>
        <w:spacing w:before="10"/>
        <w:rPr>
          <w:sz w:val="20"/>
        </w:rPr>
      </w:pPr>
    </w:p>
    <w:p w:rsidR="00C31389" w:rsidRDefault="00561FBD" w14:paraId="45E02070" w14:textId="77777777">
      <w:pPr>
        <w:pStyle w:val="BodyText"/>
        <w:ind w:left="480" w:right="434"/>
      </w:pPr>
      <w:r>
        <w:t>This</w:t>
      </w:r>
      <w:r>
        <w:rPr>
          <w:spacing w:val="-3"/>
        </w:rPr>
        <w:t xml:space="preserve"> </w:t>
      </w:r>
      <w:r>
        <w:t>section</w:t>
      </w:r>
      <w:r>
        <w:rPr>
          <w:spacing w:val="-4"/>
        </w:rPr>
        <w:t xml:space="preserve"> </w:t>
      </w:r>
      <w:r>
        <w:t>describes</w:t>
      </w:r>
      <w:r>
        <w:rPr>
          <w:spacing w:val="-4"/>
        </w:rPr>
        <w:t xml:space="preserve"> </w:t>
      </w:r>
      <w:r>
        <w:t>the</w:t>
      </w:r>
      <w:r>
        <w:rPr>
          <w:spacing w:val="-3"/>
        </w:rPr>
        <w:t xml:space="preserve"> </w:t>
      </w:r>
      <w:r>
        <w:t>total</w:t>
      </w:r>
      <w:r>
        <w:rPr>
          <w:spacing w:val="-3"/>
        </w:rPr>
        <w:t xml:space="preserve"> </w:t>
      </w:r>
      <w:r>
        <w:t>incremental</w:t>
      </w:r>
      <w:r>
        <w:rPr>
          <w:spacing w:val="-3"/>
        </w:rPr>
        <w:t xml:space="preserve"> </w:t>
      </w:r>
      <w:r>
        <w:t>achievable</w:t>
      </w:r>
      <w:r>
        <w:rPr>
          <w:spacing w:val="-2"/>
        </w:rPr>
        <w:t xml:space="preserve"> </w:t>
      </w:r>
      <w:r>
        <w:t>potential</w:t>
      </w:r>
      <w:r>
        <w:rPr>
          <w:spacing w:val="-3"/>
        </w:rPr>
        <w:t xml:space="preserve"> </w:t>
      </w:r>
      <w:r>
        <w:t>from</w:t>
      </w:r>
      <w:r>
        <w:rPr>
          <w:spacing w:val="-4"/>
        </w:rPr>
        <w:t xml:space="preserve"> </w:t>
      </w:r>
      <w:r>
        <w:t>all</w:t>
      </w:r>
      <w:r>
        <w:rPr>
          <w:spacing w:val="-4"/>
        </w:rPr>
        <w:t xml:space="preserve"> </w:t>
      </w:r>
      <w:r>
        <w:t>savings</w:t>
      </w:r>
      <w:r>
        <w:rPr>
          <w:spacing w:val="-4"/>
        </w:rPr>
        <w:t xml:space="preserve"> </w:t>
      </w:r>
      <w:r>
        <w:t>sources</w:t>
      </w:r>
      <w:r>
        <w:rPr>
          <w:spacing w:val="-3"/>
        </w:rPr>
        <w:t xml:space="preserve"> </w:t>
      </w:r>
      <w:r>
        <w:t>by scenario. A few important notes about these results:</w:t>
      </w:r>
    </w:p>
    <w:p w:rsidR="00C31389" w:rsidRDefault="00561FBD" w14:paraId="42494274" w14:textId="77777777">
      <w:pPr>
        <w:pStyle w:val="ListParagraph"/>
        <w:numPr>
          <w:ilvl w:val="0"/>
          <w:numId w:val="39"/>
        </w:numPr>
        <w:tabs>
          <w:tab w:val="left" w:pos="1200"/>
        </w:tabs>
        <w:spacing w:before="119"/>
        <w:ind w:right="630"/>
      </w:pPr>
      <w:r>
        <w:t>Equipment</w:t>
      </w:r>
      <w:r>
        <w:rPr>
          <w:spacing w:val="-4"/>
        </w:rPr>
        <w:t xml:space="preserve"> </w:t>
      </w:r>
      <w:r>
        <w:t>rebate</w:t>
      </w:r>
      <w:r>
        <w:rPr>
          <w:spacing w:val="-4"/>
        </w:rPr>
        <w:t xml:space="preserve"> </w:t>
      </w:r>
      <w:r>
        <w:t>program</w:t>
      </w:r>
      <w:r>
        <w:rPr>
          <w:spacing w:val="-5"/>
        </w:rPr>
        <w:t xml:space="preserve"> </w:t>
      </w:r>
      <w:r>
        <w:t>savings,</w:t>
      </w:r>
      <w:r>
        <w:rPr>
          <w:spacing w:val="-5"/>
        </w:rPr>
        <w:t xml:space="preserve"> </w:t>
      </w:r>
      <w:r>
        <w:t>which</w:t>
      </w:r>
      <w:r>
        <w:rPr>
          <w:spacing w:val="-4"/>
        </w:rPr>
        <w:t xml:space="preserve"> </w:t>
      </w:r>
      <w:r>
        <w:t>include</w:t>
      </w:r>
      <w:r>
        <w:rPr>
          <w:spacing w:val="-4"/>
        </w:rPr>
        <w:t xml:space="preserve"> </w:t>
      </w:r>
      <w:r>
        <w:t>savings</w:t>
      </w:r>
      <w:r>
        <w:rPr>
          <w:spacing w:val="-4"/>
        </w:rPr>
        <w:t xml:space="preserve"> </w:t>
      </w:r>
      <w:r>
        <w:t>from</w:t>
      </w:r>
      <w:r>
        <w:rPr>
          <w:spacing w:val="-5"/>
        </w:rPr>
        <w:t xml:space="preserve"> </w:t>
      </w:r>
      <w:r>
        <w:t>discrete</w:t>
      </w:r>
      <w:r>
        <w:rPr>
          <w:spacing w:val="-4"/>
        </w:rPr>
        <w:t xml:space="preserve"> </w:t>
      </w:r>
      <w:r>
        <w:t xml:space="preserve">equipment including FS, whole building, and shell measures, are different for each scenario based on parameters discussed in Section </w:t>
      </w:r>
      <w:hyperlink w:history="1" w:anchor="_bookmark89">
        <w:r>
          <w:t>2.3</w:t>
        </w:r>
      </w:hyperlink>
      <w:r>
        <w:t>.</w:t>
      </w:r>
    </w:p>
    <w:p w:rsidR="00C31389" w:rsidRDefault="00561FBD" w14:paraId="0F8726D9" w14:textId="77777777">
      <w:pPr>
        <w:pStyle w:val="ListParagraph"/>
        <w:numPr>
          <w:ilvl w:val="0"/>
          <w:numId w:val="39"/>
        </w:numPr>
        <w:tabs>
          <w:tab w:val="left" w:pos="1199"/>
        </w:tabs>
        <w:spacing w:before="119"/>
        <w:ind w:left="1199" w:right="518"/>
      </w:pPr>
      <w:r>
        <w:t xml:space="preserve">BROs savings do not vary by scenario. Section </w:t>
      </w:r>
      <w:hyperlink w:history="1" w:anchor="_bookmark208">
        <w:r>
          <w:t>4.2.4</w:t>
        </w:r>
      </w:hyperlink>
      <w:r>
        <w:t xml:space="preserve"> provides additional detail regarding</w:t>
      </w:r>
      <w:r>
        <w:rPr>
          <w:spacing w:val="-3"/>
        </w:rPr>
        <w:t xml:space="preserve"> </w:t>
      </w:r>
      <w:r>
        <w:t>BROs</w:t>
      </w:r>
      <w:r>
        <w:rPr>
          <w:spacing w:val="-3"/>
        </w:rPr>
        <w:t xml:space="preserve"> </w:t>
      </w:r>
      <w:r>
        <w:t>savings</w:t>
      </w:r>
      <w:r>
        <w:rPr>
          <w:spacing w:val="-3"/>
        </w:rPr>
        <w:t xml:space="preserve"> </w:t>
      </w:r>
      <w:r>
        <w:t>by</w:t>
      </w:r>
      <w:r>
        <w:rPr>
          <w:spacing w:val="-3"/>
        </w:rPr>
        <w:t xml:space="preserve"> </w:t>
      </w:r>
      <w:r>
        <w:t>year.</w:t>
      </w:r>
      <w:r>
        <w:rPr>
          <w:spacing w:val="-3"/>
        </w:rPr>
        <w:t xml:space="preserve"> </w:t>
      </w:r>
      <w:r>
        <w:t>BROs</w:t>
      </w:r>
      <w:r>
        <w:rPr>
          <w:spacing w:val="-3"/>
        </w:rPr>
        <w:t xml:space="preserve"> </w:t>
      </w:r>
      <w:r>
        <w:t>residential</w:t>
      </w:r>
      <w:r>
        <w:rPr>
          <w:spacing w:val="-3"/>
        </w:rPr>
        <w:t xml:space="preserve"> </w:t>
      </w:r>
      <w:r>
        <w:t>savings</w:t>
      </w:r>
      <w:r>
        <w:rPr>
          <w:spacing w:val="-3"/>
        </w:rPr>
        <w:t xml:space="preserve"> </w:t>
      </w:r>
      <w:r>
        <w:t>includes</w:t>
      </w:r>
      <w:r>
        <w:rPr>
          <w:spacing w:val="-3"/>
        </w:rPr>
        <w:t xml:space="preserve"> </w:t>
      </w:r>
      <w:r>
        <w:t>low</w:t>
      </w:r>
      <w:r>
        <w:rPr>
          <w:spacing w:val="-5"/>
        </w:rPr>
        <w:t xml:space="preserve"> </w:t>
      </w:r>
      <w:r>
        <w:t>income</w:t>
      </w:r>
      <w:r>
        <w:rPr>
          <w:spacing w:val="-3"/>
        </w:rPr>
        <w:t xml:space="preserve"> </w:t>
      </w:r>
      <w:r>
        <w:t>and non-low income customers since these programs are applicable to all customers indepe</w:t>
      </w:r>
      <w:r>
        <w:t xml:space="preserve">ndent of income. Furthermore, there are no low income specific BROs </w:t>
      </w:r>
      <w:r>
        <w:rPr>
          <w:spacing w:val="-2"/>
        </w:rPr>
        <w:t>programs.</w:t>
      </w:r>
    </w:p>
    <w:p w:rsidR="00C31389" w:rsidRDefault="00561FBD" w14:paraId="4EEA09FB" w14:textId="77777777">
      <w:pPr>
        <w:pStyle w:val="ListParagraph"/>
        <w:numPr>
          <w:ilvl w:val="0"/>
          <w:numId w:val="39"/>
        </w:numPr>
        <w:tabs>
          <w:tab w:val="left" w:pos="1200"/>
        </w:tabs>
        <w:spacing w:before="119"/>
        <w:ind w:right="737"/>
      </w:pPr>
      <w:r>
        <w:t>C&amp;S</w:t>
      </w:r>
      <w:r>
        <w:rPr>
          <w:spacing w:val="-3"/>
        </w:rPr>
        <w:t xml:space="preserve"> </w:t>
      </w:r>
      <w:r>
        <w:t>savings</w:t>
      </w:r>
      <w:r>
        <w:rPr>
          <w:spacing w:val="-3"/>
        </w:rPr>
        <w:t xml:space="preserve"> </w:t>
      </w:r>
      <w:r>
        <w:t>do</w:t>
      </w:r>
      <w:r>
        <w:rPr>
          <w:spacing w:val="-3"/>
        </w:rPr>
        <w:t xml:space="preserve"> </w:t>
      </w:r>
      <w:r>
        <w:t>not</w:t>
      </w:r>
      <w:r>
        <w:rPr>
          <w:spacing w:val="-3"/>
        </w:rPr>
        <w:t xml:space="preserve"> </w:t>
      </w:r>
      <w:r>
        <w:t>vary</w:t>
      </w:r>
      <w:r>
        <w:rPr>
          <w:spacing w:val="-3"/>
        </w:rPr>
        <w:t xml:space="preserve"> </w:t>
      </w:r>
      <w:r>
        <w:t>by</w:t>
      </w:r>
      <w:r>
        <w:rPr>
          <w:spacing w:val="-3"/>
        </w:rPr>
        <w:t xml:space="preserve"> </w:t>
      </w:r>
      <w:r>
        <w:t>scenario</w:t>
      </w:r>
      <w:r>
        <w:rPr>
          <w:spacing w:val="-3"/>
        </w:rPr>
        <w:t xml:space="preserve"> </w:t>
      </w:r>
      <w:r>
        <w:t>and</w:t>
      </w:r>
      <w:r>
        <w:rPr>
          <w:spacing w:val="-3"/>
        </w:rPr>
        <w:t xml:space="preserve"> </w:t>
      </w:r>
      <w:r>
        <w:t>are</w:t>
      </w:r>
      <w:r>
        <w:rPr>
          <w:spacing w:val="-3"/>
        </w:rPr>
        <w:t xml:space="preserve"> </w:t>
      </w:r>
      <w:r>
        <w:t>not</w:t>
      </w:r>
      <w:r>
        <w:rPr>
          <w:spacing w:val="-3"/>
        </w:rPr>
        <w:t xml:space="preserve"> </w:t>
      </w:r>
      <w:r>
        <w:t>presented</w:t>
      </w:r>
      <w:r>
        <w:rPr>
          <w:spacing w:val="-4"/>
        </w:rPr>
        <w:t xml:space="preserve"> </w:t>
      </w:r>
      <w:r>
        <w:t>in</w:t>
      </w:r>
      <w:r>
        <w:rPr>
          <w:spacing w:val="-3"/>
        </w:rPr>
        <w:t xml:space="preserve"> </w:t>
      </w:r>
      <w:r>
        <w:t>these</w:t>
      </w:r>
      <w:r>
        <w:rPr>
          <w:spacing w:val="-3"/>
        </w:rPr>
        <w:t xml:space="preserve"> </w:t>
      </w:r>
      <w:r>
        <w:t>three</w:t>
      </w:r>
      <w:r>
        <w:rPr>
          <w:spacing w:val="-3"/>
        </w:rPr>
        <w:t xml:space="preserve"> </w:t>
      </w:r>
      <w:r>
        <w:t xml:space="preserve">figures. C&amp;S savings are in Section </w:t>
      </w:r>
      <w:hyperlink w:history="1" w:anchor="_bookmark216">
        <w:r>
          <w:t>4.4</w:t>
        </w:r>
      </w:hyperlink>
      <w:r>
        <w:t>.</w:t>
      </w:r>
    </w:p>
    <w:p w:rsidR="00C31389" w:rsidRDefault="00C31389" w14:paraId="038DB00A" w14:textId="77777777">
      <w:pPr>
        <w:sectPr w:rsidR="00C31389">
          <w:headerReference w:type="default" r:id="rId162"/>
          <w:footerReference w:type="default" r:id="rId163"/>
          <w:pgSz w:w="11910" w:h="16840"/>
          <w:pgMar w:top="1660" w:right="1020" w:bottom="1120" w:left="960" w:header="397" w:footer="938" w:gutter="0"/>
          <w:cols w:space="720"/>
        </w:sectPr>
      </w:pPr>
    </w:p>
    <w:p w:rsidR="00C31389" w:rsidRDefault="00C31389" w14:paraId="6DA7188B" w14:textId="77777777">
      <w:pPr>
        <w:pStyle w:val="BodyText"/>
        <w:spacing w:before="11"/>
        <w:rPr>
          <w:sz w:val="13"/>
        </w:rPr>
      </w:pPr>
    </w:p>
    <w:p w:rsidR="00C31389" w:rsidRDefault="00561FBD" w14:paraId="3E656D14" w14:textId="77777777">
      <w:pPr>
        <w:pStyle w:val="BodyText"/>
        <w:spacing w:before="92"/>
        <w:ind w:left="480"/>
      </w:pPr>
      <w:hyperlink w:history="1" w:anchor="_bookmark525">
        <w:r>
          <w:t>Appendix</w:t>
        </w:r>
        <w:r>
          <w:rPr>
            <w:spacing w:val="-6"/>
          </w:rPr>
          <w:t xml:space="preserve"> </w:t>
        </w:r>
        <w:r>
          <w:t>J</w:t>
        </w:r>
      </w:hyperlink>
      <w:r>
        <w:rPr>
          <w:spacing w:val="-6"/>
        </w:rPr>
        <w:t xml:space="preserve"> </w:t>
      </w:r>
      <w:r>
        <w:t>contains</w:t>
      </w:r>
      <w:r>
        <w:rPr>
          <w:spacing w:val="-6"/>
        </w:rPr>
        <w:t xml:space="preserve"> </w:t>
      </w:r>
      <w:r>
        <w:t>versions</w:t>
      </w:r>
      <w:r>
        <w:rPr>
          <w:spacing w:val="-6"/>
        </w:rPr>
        <w:t xml:space="preserve"> </w:t>
      </w:r>
      <w:r>
        <w:t>of</w:t>
      </w:r>
      <w:r>
        <w:rPr>
          <w:spacing w:val="-5"/>
        </w:rPr>
        <w:t xml:space="preserve"> </w:t>
      </w:r>
      <w:r>
        <w:t>the</w:t>
      </w:r>
      <w:r>
        <w:rPr>
          <w:spacing w:val="-6"/>
        </w:rPr>
        <w:t xml:space="preserve"> </w:t>
      </w:r>
      <w:r>
        <w:t>results</w:t>
      </w:r>
      <w:r>
        <w:rPr>
          <w:spacing w:val="-6"/>
        </w:rPr>
        <w:t xml:space="preserve"> </w:t>
      </w:r>
      <w:r>
        <w:t>in</w:t>
      </w:r>
      <w:r>
        <w:rPr>
          <w:spacing w:val="-6"/>
        </w:rPr>
        <w:t xml:space="preserve"> </w:t>
      </w:r>
      <w:r>
        <w:t>tabular</w:t>
      </w:r>
      <w:r>
        <w:rPr>
          <w:spacing w:val="-5"/>
        </w:rPr>
        <w:t xml:space="preserve"> </w:t>
      </w:r>
      <w:r>
        <w:t>format</w:t>
      </w:r>
      <w:r>
        <w:rPr>
          <w:spacing w:val="-6"/>
        </w:rPr>
        <w:t xml:space="preserve"> </w:t>
      </w:r>
      <w:r>
        <w:t>for</w:t>
      </w:r>
      <w:r>
        <w:rPr>
          <w:spacing w:val="-5"/>
        </w:rPr>
        <w:t xml:space="preserve"> </w:t>
      </w:r>
      <w:r>
        <w:t>each</w:t>
      </w:r>
      <w:r>
        <w:rPr>
          <w:spacing w:val="-6"/>
        </w:rPr>
        <w:t xml:space="preserve"> </w:t>
      </w:r>
      <w:r>
        <w:rPr>
          <w:spacing w:val="-4"/>
        </w:rPr>
        <w:t>IOU.</w:t>
      </w:r>
    </w:p>
    <w:p w:rsidR="00C31389" w:rsidRDefault="00C31389" w14:paraId="54167759" w14:textId="77777777">
      <w:pPr>
        <w:pStyle w:val="BodyText"/>
        <w:spacing w:before="11"/>
        <w:rPr>
          <w:sz w:val="20"/>
        </w:rPr>
      </w:pPr>
    </w:p>
    <w:p w:rsidR="00C31389" w:rsidRDefault="00561FBD" w14:paraId="7CED7E6D" w14:textId="77777777">
      <w:pPr>
        <w:pStyle w:val="Heading4"/>
        <w:numPr>
          <w:ilvl w:val="2"/>
          <w:numId w:val="71"/>
        </w:numPr>
        <w:tabs>
          <w:tab w:val="left" w:pos="1077"/>
        </w:tabs>
        <w:ind w:left="1077" w:hanging="597"/>
      </w:pPr>
      <w:bookmarkStart w:name="4.2.1_TSB_by_Scenario" w:id="265"/>
      <w:bookmarkStart w:name="_bookmark200" w:id="266"/>
      <w:bookmarkEnd w:id="265"/>
      <w:bookmarkEnd w:id="266"/>
      <w:r>
        <w:t>TSB</w:t>
      </w:r>
      <w:r>
        <w:rPr>
          <w:spacing w:val="-3"/>
        </w:rPr>
        <w:t xml:space="preserve"> </w:t>
      </w:r>
      <w:r>
        <w:t>by</w:t>
      </w:r>
      <w:r>
        <w:rPr>
          <w:spacing w:val="-1"/>
        </w:rPr>
        <w:t xml:space="preserve"> </w:t>
      </w:r>
      <w:r>
        <w:rPr>
          <w:spacing w:val="-2"/>
        </w:rPr>
        <w:t>Scenario</w:t>
      </w:r>
    </w:p>
    <w:p w:rsidR="00C31389" w:rsidRDefault="00C31389" w14:paraId="3E18076B" w14:textId="77777777">
      <w:pPr>
        <w:pStyle w:val="BodyText"/>
        <w:spacing w:before="10"/>
        <w:rPr>
          <w:b/>
          <w:sz w:val="20"/>
        </w:rPr>
      </w:pPr>
    </w:p>
    <w:p w:rsidR="00C31389" w:rsidRDefault="00561FBD" w14:paraId="3AE17C66" w14:textId="77777777">
      <w:pPr>
        <w:pStyle w:val="BodyText"/>
        <w:ind w:left="480" w:right="418"/>
      </w:pPr>
      <w:r>
        <w:t xml:space="preserve">Achievable TSB across all sectors follow the same trend directionally as electric energy impacts, however increases are </w:t>
      </w:r>
      <w:r>
        <w:t>proportionally larger due to the relative mix of rebated measures</w:t>
      </w:r>
      <w:r>
        <w:rPr>
          <w:spacing w:val="-3"/>
        </w:rPr>
        <w:t xml:space="preserve"> </w:t>
      </w:r>
      <w:r>
        <w:t>versus</w:t>
      </w:r>
      <w:r>
        <w:rPr>
          <w:spacing w:val="-3"/>
        </w:rPr>
        <w:t xml:space="preserve"> </w:t>
      </w:r>
      <w:r>
        <w:t>BROs.</w:t>
      </w:r>
      <w:r>
        <w:rPr>
          <w:spacing w:val="-3"/>
        </w:rPr>
        <w:t xml:space="preserve"> </w:t>
      </w:r>
      <w:hyperlink w:history="1" w:anchor="_bookmark201">
        <w:r>
          <w:t>Figure</w:t>
        </w:r>
        <w:r>
          <w:rPr>
            <w:spacing w:val="-3"/>
          </w:rPr>
          <w:t xml:space="preserve"> </w:t>
        </w:r>
        <w:r>
          <w:t>4-1</w:t>
        </w:r>
      </w:hyperlink>
      <w:r>
        <w:rPr>
          <w:spacing w:val="-4"/>
        </w:rPr>
        <w:t xml:space="preserve"> </w:t>
      </w:r>
      <w:r>
        <w:t>shows</w:t>
      </w:r>
      <w:r>
        <w:rPr>
          <w:spacing w:val="-3"/>
        </w:rPr>
        <w:t xml:space="preserve"> </w:t>
      </w:r>
      <w:r>
        <w:t>the</w:t>
      </w:r>
      <w:r>
        <w:rPr>
          <w:spacing w:val="-3"/>
        </w:rPr>
        <w:t xml:space="preserve"> </w:t>
      </w:r>
      <w:r>
        <w:t>TSB</w:t>
      </w:r>
      <w:r>
        <w:rPr>
          <w:spacing w:val="-3"/>
        </w:rPr>
        <w:t xml:space="preserve"> </w:t>
      </w:r>
      <w:r>
        <w:t>by</w:t>
      </w:r>
      <w:r>
        <w:rPr>
          <w:spacing w:val="-3"/>
        </w:rPr>
        <w:t xml:space="preserve"> </w:t>
      </w:r>
      <w:r>
        <w:t>scenario</w:t>
      </w:r>
      <w:r>
        <w:rPr>
          <w:spacing w:val="-3"/>
        </w:rPr>
        <w:t xml:space="preserve"> </w:t>
      </w:r>
      <w:r>
        <w:t>including</w:t>
      </w:r>
      <w:r>
        <w:rPr>
          <w:spacing w:val="-3"/>
        </w:rPr>
        <w:t xml:space="preserve"> </w:t>
      </w:r>
      <w:r>
        <w:t>rebate</w:t>
      </w:r>
      <w:r>
        <w:rPr>
          <w:spacing w:val="-3"/>
        </w:rPr>
        <w:t xml:space="preserve"> </w:t>
      </w:r>
      <w:r>
        <w:t>(FS</w:t>
      </w:r>
      <w:r>
        <w:rPr>
          <w:spacing w:val="-3"/>
        </w:rPr>
        <w:t xml:space="preserve"> </w:t>
      </w:r>
      <w:r>
        <w:t>and</w:t>
      </w:r>
      <w:r>
        <w:rPr>
          <w:spacing w:val="-3"/>
        </w:rPr>
        <w:t xml:space="preserve"> </w:t>
      </w:r>
      <w:r>
        <w:t>EE equipment)</w:t>
      </w:r>
      <w:r>
        <w:rPr>
          <w:spacing w:val="-2"/>
        </w:rPr>
        <w:t xml:space="preserve"> </w:t>
      </w:r>
      <w:r>
        <w:t>and</w:t>
      </w:r>
      <w:r>
        <w:rPr>
          <w:spacing w:val="-2"/>
        </w:rPr>
        <w:t xml:space="preserve"> </w:t>
      </w:r>
      <w:r>
        <w:t>BROs</w:t>
      </w:r>
      <w:r>
        <w:rPr>
          <w:spacing w:val="-2"/>
        </w:rPr>
        <w:t xml:space="preserve"> </w:t>
      </w:r>
      <w:r>
        <w:t>programs.</w:t>
      </w:r>
      <w:r>
        <w:rPr>
          <w:spacing w:val="-2"/>
        </w:rPr>
        <w:t xml:space="preserve"> </w:t>
      </w:r>
      <w:r>
        <w:t>TSB</w:t>
      </w:r>
      <w:r>
        <w:rPr>
          <w:spacing w:val="-2"/>
        </w:rPr>
        <w:t xml:space="preserve"> </w:t>
      </w:r>
      <w:r>
        <w:t>output</w:t>
      </w:r>
      <w:r>
        <w:rPr>
          <w:spacing w:val="-2"/>
        </w:rPr>
        <w:t xml:space="preserve"> </w:t>
      </w:r>
      <w:r>
        <w:t>from</w:t>
      </w:r>
      <w:r>
        <w:rPr>
          <w:spacing w:val="-3"/>
        </w:rPr>
        <w:t xml:space="preserve"> </w:t>
      </w:r>
      <w:r>
        <w:t>Scenario</w:t>
      </w:r>
      <w:r>
        <w:rPr>
          <w:spacing w:val="-2"/>
        </w:rPr>
        <w:t xml:space="preserve"> </w:t>
      </w:r>
      <w:r>
        <w:t>3</w:t>
      </w:r>
      <w:r>
        <w:rPr>
          <w:spacing w:val="-2"/>
        </w:rPr>
        <w:t xml:space="preserve"> </w:t>
      </w:r>
      <w:r>
        <w:t>is</w:t>
      </w:r>
      <w:r>
        <w:rPr>
          <w:spacing w:val="-2"/>
        </w:rPr>
        <w:t xml:space="preserve"> </w:t>
      </w:r>
      <w:r>
        <w:t>not</w:t>
      </w:r>
      <w:r>
        <w:rPr>
          <w:spacing w:val="-2"/>
        </w:rPr>
        <w:t xml:space="preserve"> </w:t>
      </w:r>
      <w:r>
        <w:t>comparable</w:t>
      </w:r>
      <w:r>
        <w:rPr>
          <w:spacing w:val="-2"/>
        </w:rPr>
        <w:t xml:space="preserve"> </w:t>
      </w:r>
      <w:r>
        <w:t>to</w:t>
      </w:r>
      <w:r>
        <w:rPr>
          <w:spacing w:val="-2"/>
        </w:rPr>
        <w:t xml:space="preserve"> </w:t>
      </w:r>
      <w:r>
        <w:t>the</w:t>
      </w:r>
      <w:r>
        <w:rPr>
          <w:spacing w:val="-2"/>
        </w:rPr>
        <w:t xml:space="preserve"> </w:t>
      </w:r>
      <w:r>
        <w:t>other scenarios due to the dramatic increase in calculated FS potential.</w:t>
      </w:r>
    </w:p>
    <w:p w:rsidR="00C31389" w:rsidRDefault="00C31389" w14:paraId="776E1770" w14:textId="77777777">
      <w:pPr>
        <w:pStyle w:val="BodyText"/>
        <w:spacing w:before="10"/>
        <w:rPr>
          <w:sz w:val="20"/>
        </w:rPr>
      </w:pPr>
    </w:p>
    <w:p w:rsidR="00C31389" w:rsidRDefault="00561FBD" w14:paraId="55862157" w14:textId="77777777">
      <w:pPr>
        <w:pStyle w:val="BodyText"/>
        <w:ind w:left="480" w:right="445" w:hanging="1"/>
      </w:pPr>
      <w:r>
        <w:t>TSB generally increases over time, and the trends and shape (except for Scenario 3) do not vary significantly across scenarios. The modeled a</w:t>
      </w:r>
      <w:r>
        <w:t>chievable TSB in 2024 in Scenarios 1,2, and 4 is 32%-39% higher in this study compared to the 2021 Study, although the comparative increase declines in subsequent years.</w:t>
      </w:r>
      <w:r>
        <w:rPr>
          <w:spacing w:val="40"/>
        </w:rPr>
        <w:t xml:space="preserve"> </w:t>
      </w:r>
      <w:r>
        <w:t>A notable departure from the year- over-year</w:t>
      </w:r>
      <w:r>
        <w:rPr>
          <w:spacing w:val="-3"/>
        </w:rPr>
        <w:t xml:space="preserve"> </w:t>
      </w:r>
      <w:r>
        <w:t>trend</w:t>
      </w:r>
      <w:r>
        <w:rPr>
          <w:spacing w:val="-3"/>
        </w:rPr>
        <w:t xml:space="preserve"> </w:t>
      </w:r>
      <w:r>
        <w:t>occurs</w:t>
      </w:r>
      <w:r>
        <w:rPr>
          <w:spacing w:val="-4"/>
        </w:rPr>
        <w:t xml:space="preserve"> </w:t>
      </w:r>
      <w:r>
        <w:t>in</w:t>
      </w:r>
      <w:r>
        <w:rPr>
          <w:spacing w:val="-3"/>
        </w:rPr>
        <w:t xml:space="preserve"> </w:t>
      </w:r>
      <w:r>
        <w:t>2030</w:t>
      </w:r>
      <w:r>
        <w:rPr>
          <w:spacing w:val="-3"/>
        </w:rPr>
        <w:t xml:space="preserve"> </w:t>
      </w:r>
      <w:r>
        <w:t>when</w:t>
      </w:r>
      <w:r>
        <w:rPr>
          <w:spacing w:val="-3"/>
        </w:rPr>
        <w:t xml:space="preserve"> </w:t>
      </w:r>
      <w:r>
        <w:t>Gas</w:t>
      </w:r>
      <w:r>
        <w:rPr>
          <w:spacing w:val="-3"/>
        </w:rPr>
        <w:t xml:space="preserve"> </w:t>
      </w:r>
      <w:r>
        <w:t>EE</w:t>
      </w:r>
      <w:r>
        <w:rPr>
          <w:spacing w:val="-3"/>
        </w:rPr>
        <w:t xml:space="preserve"> </w:t>
      </w:r>
      <w:r>
        <w:t>and</w:t>
      </w:r>
      <w:r>
        <w:rPr>
          <w:spacing w:val="-3"/>
        </w:rPr>
        <w:t xml:space="preserve"> </w:t>
      </w:r>
      <w:r>
        <w:t>FS</w:t>
      </w:r>
      <w:r>
        <w:rPr>
          <w:spacing w:val="-2"/>
        </w:rPr>
        <w:t xml:space="preserve"> </w:t>
      </w:r>
      <w:r>
        <w:t>p</w:t>
      </w:r>
      <w:r>
        <w:t>otential</w:t>
      </w:r>
      <w:r>
        <w:rPr>
          <w:spacing w:val="-3"/>
        </w:rPr>
        <w:t xml:space="preserve"> </w:t>
      </w:r>
      <w:r>
        <w:t>decreases</w:t>
      </w:r>
      <w:r>
        <w:rPr>
          <w:spacing w:val="-3"/>
        </w:rPr>
        <w:t xml:space="preserve"> </w:t>
      </w:r>
      <w:r>
        <w:t>significantly</w:t>
      </w:r>
      <w:r>
        <w:rPr>
          <w:spacing w:val="-3"/>
        </w:rPr>
        <w:t xml:space="preserve"> </w:t>
      </w:r>
      <w:r>
        <w:t>due</w:t>
      </w:r>
      <w:r>
        <w:rPr>
          <w:spacing w:val="-3"/>
        </w:rPr>
        <w:t xml:space="preserve"> </w:t>
      </w:r>
      <w:r>
        <w:t xml:space="preserve">to the CARB SIP decision to propose banning many natural gas appliances. The TSB forecast appears smoother than the first-year savings forecasts because TSB is a lifecycle benefit calculation across all savings. Longer </w:t>
      </w:r>
      <w:r>
        <w:t>life measures have high lifecycle benefits resulting in high TSB.</w:t>
      </w:r>
    </w:p>
    <w:p w:rsidR="00C31389" w:rsidRDefault="00C31389" w14:paraId="15B9F7FA" w14:textId="77777777">
      <w:pPr>
        <w:pStyle w:val="BodyText"/>
        <w:spacing w:before="9"/>
        <w:rPr>
          <w:sz w:val="20"/>
        </w:rPr>
      </w:pPr>
    </w:p>
    <w:p w:rsidR="00C31389" w:rsidRDefault="00561FBD" w14:paraId="1A6ADE7B" w14:textId="77777777">
      <w:pPr>
        <w:pStyle w:val="BodyText"/>
        <w:spacing w:before="1"/>
        <w:ind w:left="480"/>
      </w:pPr>
      <w:r>
        <w:t>The</w:t>
      </w:r>
      <w:r>
        <w:rPr>
          <w:spacing w:val="-6"/>
        </w:rPr>
        <w:t xml:space="preserve"> </w:t>
      </w:r>
      <w:r>
        <w:t>following</w:t>
      </w:r>
      <w:r>
        <w:rPr>
          <w:spacing w:val="-7"/>
        </w:rPr>
        <w:t xml:space="preserve"> </w:t>
      </w:r>
      <w:r>
        <w:t>are</w:t>
      </w:r>
      <w:r>
        <w:rPr>
          <w:spacing w:val="-6"/>
        </w:rPr>
        <w:t xml:space="preserve"> </w:t>
      </w:r>
      <w:r>
        <w:t>notable</w:t>
      </w:r>
      <w:r>
        <w:rPr>
          <w:spacing w:val="-6"/>
        </w:rPr>
        <w:t xml:space="preserve"> </w:t>
      </w:r>
      <w:r>
        <w:t>takeaways</w:t>
      </w:r>
      <w:r>
        <w:rPr>
          <w:spacing w:val="-6"/>
        </w:rPr>
        <w:t xml:space="preserve"> </w:t>
      </w:r>
      <w:r>
        <w:t>from</w:t>
      </w:r>
      <w:r>
        <w:rPr>
          <w:spacing w:val="-7"/>
        </w:rPr>
        <w:t xml:space="preserve"> </w:t>
      </w:r>
      <w:r>
        <w:t>the</w:t>
      </w:r>
      <w:r>
        <w:rPr>
          <w:spacing w:val="-6"/>
        </w:rPr>
        <w:t xml:space="preserve"> </w:t>
      </w:r>
      <w:r>
        <w:t>TSB</w:t>
      </w:r>
      <w:r>
        <w:rPr>
          <w:spacing w:val="-6"/>
        </w:rPr>
        <w:t xml:space="preserve"> </w:t>
      </w:r>
      <w:r>
        <w:rPr>
          <w:spacing w:val="-2"/>
        </w:rPr>
        <w:t>results:</w:t>
      </w:r>
    </w:p>
    <w:p w:rsidR="00C31389" w:rsidRDefault="00C31389" w14:paraId="10E5D20E" w14:textId="77777777">
      <w:pPr>
        <w:pStyle w:val="BodyText"/>
        <w:spacing w:before="9"/>
        <w:rPr>
          <w:sz w:val="20"/>
        </w:rPr>
      </w:pPr>
    </w:p>
    <w:p w:rsidR="00C31389" w:rsidRDefault="00561FBD" w14:paraId="5BB80D7E" w14:textId="77777777">
      <w:pPr>
        <w:pStyle w:val="ListParagraph"/>
        <w:numPr>
          <w:ilvl w:val="0"/>
          <w:numId w:val="38"/>
        </w:numPr>
        <w:tabs>
          <w:tab w:val="left" w:pos="1200"/>
        </w:tabs>
        <w:ind w:right="470"/>
      </w:pPr>
      <w:r>
        <w:t>As opposed to first-year electric and gas savings, BROs amount to a much smaller proportion of TSB. This is due to short EUL of BR</w:t>
      </w:r>
      <w:r>
        <w:t>Os savings relative to EE equipment.</w:t>
      </w:r>
      <w:r>
        <w:rPr>
          <w:spacing w:val="-3"/>
        </w:rPr>
        <w:t xml:space="preserve"> </w:t>
      </w:r>
      <w:r>
        <w:t>TSB</w:t>
      </w:r>
      <w:r>
        <w:rPr>
          <w:spacing w:val="-3"/>
        </w:rPr>
        <w:t xml:space="preserve"> </w:t>
      </w:r>
      <w:r>
        <w:t>represents</w:t>
      </w:r>
      <w:r>
        <w:rPr>
          <w:spacing w:val="-3"/>
        </w:rPr>
        <w:t xml:space="preserve"> </w:t>
      </w:r>
      <w:r>
        <w:t>the</w:t>
      </w:r>
      <w:r>
        <w:rPr>
          <w:spacing w:val="-3"/>
        </w:rPr>
        <w:t xml:space="preserve"> </w:t>
      </w:r>
      <w:r>
        <w:t>benefits</w:t>
      </w:r>
      <w:r>
        <w:rPr>
          <w:spacing w:val="-3"/>
        </w:rPr>
        <w:t xml:space="preserve"> </w:t>
      </w:r>
      <w:r>
        <w:t>that</w:t>
      </w:r>
      <w:r>
        <w:rPr>
          <w:spacing w:val="-3"/>
        </w:rPr>
        <w:t xml:space="preserve"> </w:t>
      </w:r>
      <w:r>
        <w:t>accrue</w:t>
      </w:r>
      <w:r>
        <w:rPr>
          <w:spacing w:val="-3"/>
        </w:rPr>
        <w:t xml:space="preserve"> </w:t>
      </w:r>
      <w:r>
        <w:t>over</w:t>
      </w:r>
      <w:r>
        <w:rPr>
          <w:spacing w:val="-3"/>
        </w:rPr>
        <w:t xml:space="preserve"> </w:t>
      </w:r>
      <w:r>
        <w:t>the</w:t>
      </w:r>
      <w:r>
        <w:rPr>
          <w:spacing w:val="-3"/>
        </w:rPr>
        <w:t xml:space="preserve"> </w:t>
      </w:r>
      <w:r>
        <w:t>life</w:t>
      </w:r>
      <w:r>
        <w:rPr>
          <w:spacing w:val="-3"/>
        </w:rPr>
        <w:t xml:space="preserve"> </w:t>
      </w:r>
      <w:r>
        <w:t>of</w:t>
      </w:r>
      <w:r>
        <w:rPr>
          <w:spacing w:val="-3"/>
        </w:rPr>
        <w:t xml:space="preserve"> </w:t>
      </w:r>
      <w:r>
        <w:t>the</w:t>
      </w:r>
      <w:r>
        <w:rPr>
          <w:spacing w:val="-3"/>
        </w:rPr>
        <w:t xml:space="preserve"> </w:t>
      </w:r>
      <w:r>
        <w:t>intervention— because EE equipment tends to have a long useful life, it is the key driver for TSB.</w:t>
      </w:r>
    </w:p>
    <w:p w:rsidR="00C31389" w:rsidRDefault="00561FBD" w14:paraId="3EEA93A2" w14:textId="77777777">
      <w:pPr>
        <w:pStyle w:val="ListParagraph"/>
        <w:numPr>
          <w:ilvl w:val="0"/>
          <w:numId w:val="38"/>
        </w:numPr>
        <w:tabs>
          <w:tab w:val="left" w:pos="1200"/>
        </w:tabs>
        <w:spacing w:before="119"/>
        <w:ind w:right="665" w:hanging="361"/>
      </w:pPr>
      <w:r>
        <w:t xml:space="preserve">FS has a small overall impact on TSB except for </w:t>
      </w:r>
      <w:r>
        <w:t>Scenario 3. FS savings in all scenarios</w:t>
      </w:r>
      <w:r>
        <w:rPr>
          <w:spacing w:val="-4"/>
        </w:rPr>
        <w:t xml:space="preserve"> </w:t>
      </w:r>
      <w:r>
        <w:t>provide</w:t>
      </w:r>
      <w:r>
        <w:rPr>
          <w:spacing w:val="-2"/>
        </w:rPr>
        <w:t xml:space="preserve"> </w:t>
      </w:r>
      <w:r>
        <w:t>lower</w:t>
      </w:r>
      <w:r>
        <w:rPr>
          <w:spacing w:val="-5"/>
        </w:rPr>
        <w:t xml:space="preserve"> </w:t>
      </w:r>
      <w:r>
        <w:t>TSB</w:t>
      </w:r>
      <w:r>
        <w:rPr>
          <w:spacing w:val="-3"/>
        </w:rPr>
        <w:t xml:space="preserve"> </w:t>
      </w:r>
      <w:r>
        <w:t>impacts</w:t>
      </w:r>
      <w:r>
        <w:rPr>
          <w:spacing w:val="-3"/>
        </w:rPr>
        <w:t xml:space="preserve"> </w:t>
      </w:r>
      <w:r>
        <w:t>relative</w:t>
      </w:r>
      <w:r>
        <w:rPr>
          <w:spacing w:val="-4"/>
        </w:rPr>
        <w:t xml:space="preserve"> </w:t>
      </w:r>
      <w:r>
        <w:t>to</w:t>
      </w:r>
      <w:r>
        <w:rPr>
          <w:spacing w:val="-4"/>
        </w:rPr>
        <w:t xml:space="preserve"> </w:t>
      </w:r>
      <w:r>
        <w:t>their</w:t>
      </w:r>
      <w:r>
        <w:rPr>
          <w:spacing w:val="-3"/>
        </w:rPr>
        <w:t xml:space="preserve"> </w:t>
      </w:r>
      <w:r>
        <w:t>nominal</w:t>
      </w:r>
      <w:r>
        <w:rPr>
          <w:spacing w:val="-2"/>
        </w:rPr>
        <w:t xml:space="preserve"> </w:t>
      </w:r>
      <w:r>
        <w:t>gas</w:t>
      </w:r>
      <w:r>
        <w:rPr>
          <w:spacing w:val="-3"/>
        </w:rPr>
        <w:t xml:space="preserve"> </w:t>
      </w:r>
      <w:r>
        <w:t>savings</w:t>
      </w:r>
      <w:r>
        <w:rPr>
          <w:spacing w:val="-3"/>
        </w:rPr>
        <w:t xml:space="preserve"> </w:t>
      </w:r>
      <w:r>
        <w:t>impacts. This is because TSB reflects both gas and electric fuels, and positive gas benefits (and electric benefits, if applicable) are reduced by incre</w:t>
      </w:r>
      <w:r>
        <w:t>ased electric supply cost (which negatively impacts TSB).</w:t>
      </w:r>
    </w:p>
    <w:p w:rsidR="00C31389" w:rsidRDefault="00C31389" w14:paraId="482E872A" w14:textId="77777777">
      <w:pPr>
        <w:pStyle w:val="BodyText"/>
        <w:spacing w:before="8"/>
        <w:rPr>
          <w:sz w:val="20"/>
        </w:rPr>
      </w:pPr>
    </w:p>
    <w:p w:rsidR="00C31389" w:rsidRDefault="00561FBD" w14:paraId="3C0443E1" w14:textId="77777777">
      <w:pPr>
        <w:pStyle w:val="Heading7"/>
        <w:ind w:left="398" w:right="338"/>
        <w:jc w:val="center"/>
      </w:pPr>
      <w:bookmarkStart w:name="_bookmark201" w:id="267"/>
      <w:bookmarkEnd w:id="267"/>
      <w:r>
        <w:t>Figure</w:t>
      </w:r>
      <w:r>
        <w:rPr>
          <w:spacing w:val="-5"/>
        </w:rPr>
        <w:t xml:space="preserve"> </w:t>
      </w:r>
      <w:r>
        <w:t>4-1.</w:t>
      </w:r>
      <w:r>
        <w:rPr>
          <w:spacing w:val="-4"/>
        </w:rPr>
        <w:t xml:space="preserve"> </w:t>
      </w:r>
      <w:r>
        <w:t>TSB</w:t>
      </w:r>
      <w:r>
        <w:rPr>
          <w:spacing w:val="-6"/>
        </w:rPr>
        <w:t xml:space="preserve"> </w:t>
      </w:r>
      <w:r>
        <w:t>($)</w:t>
      </w:r>
      <w:r>
        <w:rPr>
          <w:spacing w:val="-4"/>
        </w:rPr>
        <w:t xml:space="preserve"> </w:t>
      </w:r>
      <w:r>
        <w:t>by</w:t>
      </w:r>
      <w:r>
        <w:rPr>
          <w:spacing w:val="-6"/>
        </w:rPr>
        <w:t xml:space="preserve"> </w:t>
      </w:r>
      <w:r>
        <w:rPr>
          <w:spacing w:val="-2"/>
        </w:rPr>
        <w:t>Scenario</w:t>
      </w:r>
    </w:p>
    <w:p w:rsidR="00C31389" w:rsidRDefault="00C31389" w14:paraId="0AACDE9E" w14:textId="77777777">
      <w:pPr>
        <w:pStyle w:val="BodyText"/>
        <w:rPr>
          <w:b/>
          <w:sz w:val="20"/>
        </w:rPr>
      </w:pPr>
    </w:p>
    <w:p w:rsidR="00C31389" w:rsidRDefault="00561FBD" w14:paraId="24E4F8A4" w14:textId="77777777">
      <w:pPr>
        <w:pStyle w:val="BodyText"/>
        <w:spacing w:before="2"/>
        <w:rPr>
          <w:b/>
          <w:sz w:val="21"/>
        </w:rPr>
      </w:pPr>
      <w:r>
        <w:rPr>
          <w:noProof/>
        </w:rPr>
        <w:drawing>
          <wp:anchor distT="0" distB="0" distL="0" distR="0" simplePos="0" relativeHeight="487662080" behindDoc="1" locked="0" layoutInCell="1" allowOverlap="1" wp14:editId="431DE8BD" wp14:anchorId="178ACE6D">
            <wp:simplePos x="0" y="0"/>
            <wp:positionH relativeFrom="page">
              <wp:posOffset>1079279</wp:posOffset>
            </wp:positionH>
            <wp:positionV relativeFrom="paragraph">
              <wp:posOffset>170351</wp:posOffset>
            </wp:positionV>
            <wp:extent cx="5436893" cy="2382297"/>
            <wp:effectExtent l="0" t="0" r="0" b="0"/>
            <wp:wrapTopAndBottom/>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64" cstate="print"/>
                    <a:stretch>
                      <a:fillRect/>
                    </a:stretch>
                  </pic:blipFill>
                  <pic:spPr>
                    <a:xfrm>
                      <a:off x="0" y="0"/>
                      <a:ext cx="5436893" cy="2382297"/>
                    </a:xfrm>
                    <a:prstGeom prst="rect">
                      <a:avLst/>
                    </a:prstGeom>
                  </pic:spPr>
                </pic:pic>
              </a:graphicData>
            </a:graphic>
          </wp:anchor>
        </w:drawing>
      </w:r>
    </w:p>
    <w:p w:rsidR="00C31389" w:rsidRDefault="00C31389" w14:paraId="7F23699D" w14:textId="77777777">
      <w:pPr>
        <w:pStyle w:val="BodyText"/>
        <w:spacing w:before="3"/>
        <w:rPr>
          <w:b/>
          <w:sz w:val="32"/>
        </w:rPr>
      </w:pPr>
    </w:p>
    <w:p w:rsidR="00C31389" w:rsidRDefault="00561FBD" w14:paraId="0C97BB87"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3401D787" w14:textId="77777777">
      <w:pPr>
        <w:rPr>
          <w:sz w:val="18"/>
        </w:rPr>
        <w:sectPr w:rsidR="00C31389">
          <w:pgSz w:w="11910" w:h="16840"/>
          <w:pgMar w:top="1660" w:right="1020" w:bottom="1120" w:left="960" w:header="397" w:footer="938" w:gutter="0"/>
          <w:cols w:space="720"/>
        </w:sectPr>
      </w:pPr>
    </w:p>
    <w:p w:rsidR="00C31389" w:rsidRDefault="00C31389" w14:paraId="45B61356" w14:textId="77777777">
      <w:pPr>
        <w:pStyle w:val="BodyText"/>
        <w:rPr>
          <w:i/>
        </w:rPr>
      </w:pPr>
    </w:p>
    <w:p w:rsidR="00C31389" w:rsidRDefault="00C31389" w14:paraId="180C66FB" w14:textId="77777777">
      <w:pPr>
        <w:pStyle w:val="BodyText"/>
        <w:spacing w:before="11"/>
        <w:rPr>
          <w:i/>
          <w:sz w:val="13"/>
        </w:rPr>
      </w:pPr>
    </w:p>
    <w:p w:rsidR="00C31389" w:rsidRDefault="00561FBD" w14:paraId="2ED75DC3" w14:textId="77777777">
      <w:pPr>
        <w:pStyle w:val="Heading4"/>
        <w:numPr>
          <w:ilvl w:val="2"/>
          <w:numId w:val="71"/>
        </w:numPr>
        <w:tabs>
          <w:tab w:val="left" w:pos="1076"/>
        </w:tabs>
        <w:spacing w:before="92"/>
        <w:ind w:left="1076" w:hanging="596"/>
      </w:pPr>
      <w:bookmarkStart w:name="4.2.2_Total_Savings_by_Scenario" w:id="268"/>
      <w:bookmarkStart w:name="_bookmark202" w:id="269"/>
      <w:bookmarkEnd w:id="268"/>
      <w:bookmarkEnd w:id="269"/>
      <w:r>
        <w:t>Total</w:t>
      </w:r>
      <w:r>
        <w:rPr>
          <w:spacing w:val="-4"/>
        </w:rPr>
        <w:t xml:space="preserve"> </w:t>
      </w:r>
      <w:r>
        <w:t>Savings</w:t>
      </w:r>
      <w:r>
        <w:rPr>
          <w:spacing w:val="-2"/>
        </w:rPr>
        <w:t xml:space="preserve"> </w:t>
      </w:r>
      <w:r>
        <w:t>by</w:t>
      </w:r>
      <w:r>
        <w:rPr>
          <w:spacing w:val="-2"/>
        </w:rPr>
        <w:t xml:space="preserve"> Scenario</w:t>
      </w:r>
    </w:p>
    <w:p w:rsidR="00C31389" w:rsidRDefault="00C31389" w14:paraId="1734CC9F" w14:textId="77777777">
      <w:pPr>
        <w:pStyle w:val="BodyText"/>
        <w:spacing w:before="9"/>
        <w:rPr>
          <w:b/>
          <w:sz w:val="20"/>
        </w:rPr>
      </w:pPr>
    </w:p>
    <w:p w:rsidR="00C31389" w:rsidRDefault="00561FBD" w14:paraId="5F9AADE0" w14:textId="77777777">
      <w:pPr>
        <w:pStyle w:val="BodyText"/>
        <w:spacing w:before="1"/>
        <w:ind w:left="479" w:right="418"/>
      </w:pPr>
      <w:hyperlink w:history="1" w:anchor="_bookmark203">
        <w:r>
          <w:t>Figure 4-2</w:t>
        </w:r>
      </w:hyperlink>
      <w:r>
        <w:t xml:space="preserve"> to </w:t>
      </w:r>
      <w:hyperlink w:history="1" w:anchor="_bookmark205">
        <w:r>
          <w:t>Figure 4-4</w:t>
        </w:r>
      </w:hyperlink>
      <w:r>
        <w:t xml:space="preserve"> provide the top line savings (electric energy, peak demand, and natural</w:t>
      </w:r>
      <w:r>
        <w:rPr>
          <w:spacing w:val="-3"/>
        </w:rPr>
        <w:t xml:space="preserve"> </w:t>
      </w:r>
      <w:r>
        <w:t>gas)</w:t>
      </w:r>
      <w:r>
        <w:rPr>
          <w:spacing w:val="-4"/>
        </w:rPr>
        <w:t xml:space="preserve"> </w:t>
      </w:r>
      <w:r>
        <w:t>by</w:t>
      </w:r>
      <w:r>
        <w:rPr>
          <w:spacing w:val="-3"/>
        </w:rPr>
        <w:t xml:space="preserve"> </w:t>
      </w:r>
      <w:r>
        <w:t>scenario</w:t>
      </w:r>
      <w:r>
        <w:rPr>
          <w:spacing w:val="-4"/>
        </w:rPr>
        <w:t xml:space="preserve"> </w:t>
      </w:r>
      <w:r>
        <w:t>for</w:t>
      </w:r>
      <w:r>
        <w:rPr>
          <w:spacing w:val="-3"/>
        </w:rPr>
        <w:t xml:space="preserve"> </w:t>
      </w:r>
      <w:r>
        <w:t>the</w:t>
      </w:r>
      <w:r>
        <w:rPr>
          <w:spacing w:val="-3"/>
        </w:rPr>
        <w:t xml:space="preserve"> </w:t>
      </w:r>
      <w:r>
        <w:t>2024-2035</w:t>
      </w:r>
      <w:r>
        <w:rPr>
          <w:spacing w:val="-3"/>
        </w:rPr>
        <w:t xml:space="preserve"> </w:t>
      </w:r>
      <w:r>
        <w:t>forecast</w:t>
      </w:r>
      <w:r>
        <w:rPr>
          <w:spacing w:val="-3"/>
        </w:rPr>
        <w:t xml:space="preserve"> </w:t>
      </w:r>
      <w:r>
        <w:t>period.</w:t>
      </w:r>
      <w:r>
        <w:rPr>
          <w:spacing w:val="-4"/>
        </w:rPr>
        <w:t xml:space="preserve"> </w:t>
      </w:r>
      <w:r>
        <w:t>After</w:t>
      </w:r>
      <w:r>
        <w:rPr>
          <w:spacing w:val="-3"/>
        </w:rPr>
        <w:t xml:space="preserve"> </w:t>
      </w:r>
      <w:r>
        <w:t>the</w:t>
      </w:r>
      <w:r>
        <w:rPr>
          <w:spacing w:val="-3"/>
        </w:rPr>
        <w:t xml:space="preserve"> </w:t>
      </w:r>
      <w:r>
        <w:t>first</w:t>
      </w:r>
      <w:r>
        <w:rPr>
          <w:spacing w:val="-3"/>
        </w:rPr>
        <w:t xml:space="preserve"> </w:t>
      </w:r>
      <w:r>
        <w:t>few</w:t>
      </w:r>
      <w:r>
        <w:rPr>
          <w:spacing w:val="-4"/>
        </w:rPr>
        <w:t xml:space="preserve"> </w:t>
      </w:r>
      <w:r>
        <w:t>years,</w:t>
      </w:r>
      <w:r>
        <w:rPr>
          <w:spacing w:val="-4"/>
        </w:rPr>
        <w:t xml:space="preserve"> </w:t>
      </w:r>
      <w:r>
        <w:t>savings potential from all scenarios for electric savings tend to be lower, except for the aggressiveness in Scenario 3, from the previous goals. Gas savings are higher than the previous goals due to the impacts of FS. The larger increase in Sce</w:t>
      </w:r>
      <w:r>
        <w:t>nario 3 is due to aggressive assumptions for FS adoption. Key findings include:</w:t>
      </w:r>
    </w:p>
    <w:p w:rsidR="00C31389" w:rsidRDefault="00C31389" w14:paraId="4C0D5A78" w14:textId="77777777">
      <w:pPr>
        <w:pStyle w:val="BodyText"/>
        <w:spacing w:before="9"/>
        <w:rPr>
          <w:sz w:val="20"/>
        </w:rPr>
      </w:pPr>
    </w:p>
    <w:p w:rsidR="00C31389" w:rsidRDefault="00561FBD" w14:paraId="37547D3E" w14:textId="77777777">
      <w:pPr>
        <w:pStyle w:val="ListParagraph"/>
        <w:numPr>
          <w:ilvl w:val="0"/>
          <w:numId w:val="37"/>
        </w:numPr>
        <w:tabs>
          <w:tab w:val="left" w:pos="1200"/>
        </w:tabs>
        <w:ind w:right="444"/>
      </w:pPr>
      <w:r>
        <w:t>In all scenarios, electric energy and peak demand impacts from EE equipment increase</w:t>
      </w:r>
      <w:r>
        <w:rPr>
          <w:spacing w:val="-4"/>
        </w:rPr>
        <w:t xml:space="preserve"> </w:t>
      </w:r>
      <w:r>
        <w:t>relative</w:t>
      </w:r>
      <w:r>
        <w:rPr>
          <w:spacing w:val="-4"/>
        </w:rPr>
        <w:t xml:space="preserve"> </w:t>
      </w:r>
      <w:r>
        <w:t>to</w:t>
      </w:r>
      <w:r>
        <w:rPr>
          <w:spacing w:val="-4"/>
        </w:rPr>
        <w:t xml:space="preserve"> </w:t>
      </w:r>
      <w:r>
        <w:t>the</w:t>
      </w:r>
      <w:r>
        <w:rPr>
          <w:spacing w:val="-4"/>
        </w:rPr>
        <w:t xml:space="preserve"> </w:t>
      </w:r>
      <w:r>
        <w:t>previous</w:t>
      </w:r>
      <w:r>
        <w:rPr>
          <w:spacing w:val="-4"/>
        </w:rPr>
        <w:t xml:space="preserve"> </w:t>
      </w:r>
      <w:r>
        <w:t>goals.</w:t>
      </w:r>
      <w:r>
        <w:rPr>
          <w:spacing w:val="-4"/>
        </w:rPr>
        <w:t xml:space="preserve"> </w:t>
      </w:r>
      <w:r>
        <w:t>BROs</w:t>
      </w:r>
      <w:r>
        <w:rPr>
          <w:spacing w:val="-3"/>
        </w:rPr>
        <w:t xml:space="preserve"> </w:t>
      </w:r>
      <w:r>
        <w:t>savings</w:t>
      </w:r>
      <w:r>
        <w:rPr>
          <w:spacing w:val="-4"/>
        </w:rPr>
        <w:t xml:space="preserve"> </w:t>
      </w:r>
      <w:r>
        <w:t>forecasts</w:t>
      </w:r>
      <w:r>
        <w:rPr>
          <w:spacing w:val="-4"/>
        </w:rPr>
        <w:t xml:space="preserve"> </w:t>
      </w:r>
      <w:r>
        <w:t>decreases</w:t>
      </w:r>
      <w:r>
        <w:rPr>
          <w:spacing w:val="-3"/>
        </w:rPr>
        <w:t xml:space="preserve"> </w:t>
      </w:r>
      <w:r>
        <w:t>are</w:t>
      </w:r>
      <w:r>
        <w:rPr>
          <w:spacing w:val="-4"/>
        </w:rPr>
        <w:t xml:space="preserve"> </w:t>
      </w:r>
      <w:r>
        <w:t xml:space="preserve">driven by </w:t>
      </w:r>
      <w:r>
        <w:t>modified assumptions regarding the treatment of HER delivery expansion to new residential IOU customer groups. While impacts from EE alone are lower, aggregate increases in electric energy and demand impacts for all measure types are mostly tied to the red</w:t>
      </w:r>
      <w:r>
        <w:t>uced potential for FS versus the 2021 Study. Consistently,</w:t>
      </w:r>
      <w:r>
        <w:rPr>
          <w:spacing w:val="-1"/>
        </w:rPr>
        <w:t xml:space="preserve"> </w:t>
      </w:r>
      <w:r>
        <w:t>gas impacts reflecting EE and FS combined are smaller due to lower achievable FS.</w:t>
      </w:r>
    </w:p>
    <w:p w:rsidR="00C31389" w:rsidRDefault="00561FBD" w14:paraId="3F559096" w14:textId="77777777">
      <w:pPr>
        <w:pStyle w:val="ListParagraph"/>
        <w:numPr>
          <w:ilvl w:val="0"/>
          <w:numId w:val="37"/>
        </w:numPr>
        <w:tabs>
          <w:tab w:val="left" w:pos="1200"/>
        </w:tabs>
        <w:spacing w:before="119"/>
        <w:ind w:right="518"/>
      </w:pPr>
      <w:r>
        <w:t>The incorporation of IRA tax credits was shown to impact overall statewide achievable electric energy impacts by ap</w:t>
      </w:r>
      <w:r>
        <w:t>proximately 0.5%-1% in most years, and gas impacts by 7% on average. Gas impacts tied to the IRA are primarily driven by increased Residential FS potential. Applying a more aggressive set of assumptions for Commercial IRA tax credits (Scenario 4) did not i</w:t>
      </w:r>
      <w:r>
        <w:t>mpact overall potential to a significant</w:t>
      </w:r>
      <w:r>
        <w:rPr>
          <w:spacing w:val="-4"/>
        </w:rPr>
        <w:t xml:space="preserve"> </w:t>
      </w:r>
      <w:r>
        <w:t>degree,</w:t>
      </w:r>
      <w:r>
        <w:rPr>
          <w:spacing w:val="-4"/>
        </w:rPr>
        <w:t xml:space="preserve"> </w:t>
      </w:r>
      <w:r>
        <w:t>indicating</w:t>
      </w:r>
      <w:r>
        <w:rPr>
          <w:spacing w:val="-4"/>
        </w:rPr>
        <w:t xml:space="preserve"> </w:t>
      </w:r>
      <w:r>
        <w:t>the</w:t>
      </w:r>
      <w:r>
        <w:rPr>
          <w:spacing w:val="-4"/>
        </w:rPr>
        <w:t xml:space="preserve"> </w:t>
      </w:r>
      <w:r>
        <w:t>nonresidential</w:t>
      </w:r>
      <w:r>
        <w:rPr>
          <w:spacing w:val="-4"/>
        </w:rPr>
        <w:t xml:space="preserve"> </w:t>
      </w:r>
      <w:r>
        <w:t>sector</w:t>
      </w:r>
      <w:r>
        <w:rPr>
          <w:spacing w:val="-4"/>
        </w:rPr>
        <w:t xml:space="preserve"> </w:t>
      </w:r>
      <w:r>
        <w:t>is</w:t>
      </w:r>
      <w:r>
        <w:rPr>
          <w:spacing w:val="-5"/>
        </w:rPr>
        <w:t xml:space="preserve"> </w:t>
      </w:r>
      <w:r>
        <w:t>relatively</w:t>
      </w:r>
      <w:r>
        <w:rPr>
          <w:spacing w:val="-5"/>
        </w:rPr>
        <w:t xml:space="preserve"> </w:t>
      </w:r>
      <w:r>
        <w:t>less</w:t>
      </w:r>
      <w:r>
        <w:rPr>
          <w:spacing w:val="-4"/>
        </w:rPr>
        <w:t xml:space="preserve"> </w:t>
      </w:r>
      <w:r>
        <w:t>responsive</w:t>
      </w:r>
      <w:r>
        <w:rPr>
          <w:spacing w:val="-5"/>
        </w:rPr>
        <w:t xml:space="preserve"> </w:t>
      </w:r>
      <w:r>
        <w:t>to measure cost changes of this magnitude.</w:t>
      </w:r>
    </w:p>
    <w:p w:rsidR="00C31389" w:rsidRDefault="00561FBD" w14:paraId="509894E5" w14:textId="77777777">
      <w:pPr>
        <w:pStyle w:val="ListParagraph"/>
        <w:numPr>
          <w:ilvl w:val="0"/>
          <w:numId w:val="37"/>
        </w:numPr>
        <w:tabs>
          <w:tab w:val="left" w:pos="1200"/>
        </w:tabs>
        <w:spacing w:before="118"/>
        <w:ind w:right="445" w:hanging="361"/>
      </w:pPr>
      <w:r>
        <w:t>FS impact on electricity use is lower in Scenarios 1, 2, and 4. Scenario 3’s more aggressive appl</w:t>
      </w:r>
      <w:r>
        <w:t>ication of FS market adoption characteristics yields a higher overall potential</w:t>
      </w:r>
      <w:r>
        <w:rPr>
          <w:spacing w:val="-3"/>
        </w:rPr>
        <w:t xml:space="preserve"> </w:t>
      </w:r>
      <w:r>
        <w:t>than</w:t>
      </w:r>
      <w:r>
        <w:rPr>
          <w:spacing w:val="-3"/>
        </w:rPr>
        <w:t xml:space="preserve"> </w:t>
      </w:r>
      <w:r>
        <w:t>the</w:t>
      </w:r>
      <w:r>
        <w:rPr>
          <w:spacing w:val="-3"/>
        </w:rPr>
        <w:t xml:space="preserve"> </w:t>
      </w:r>
      <w:r>
        <w:t>2021</w:t>
      </w:r>
      <w:r>
        <w:rPr>
          <w:spacing w:val="-4"/>
        </w:rPr>
        <w:t xml:space="preserve"> </w:t>
      </w:r>
      <w:r>
        <w:t>Reference</w:t>
      </w:r>
      <w:r>
        <w:rPr>
          <w:spacing w:val="-3"/>
        </w:rPr>
        <w:t xml:space="preserve"> </w:t>
      </w:r>
      <w:r>
        <w:t>Scenario,</w:t>
      </w:r>
      <w:r>
        <w:rPr>
          <w:spacing w:val="-3"/>
        </w:rPr>
        <w:t xml:space="preserve"> </w:t>
      </w:r>
      <w:r>
        <w:t>however</w:t>
      </w:r>
      <w:r>
        <w:rPr>
          <w:spacing w:val="-3"/>
        </w:rPr>
        <w:t xml:space="preserve"> </w:t>
      </w:r>
      <w:r>
        <w:t>this</w:t>
      </w:r>
      <w:r>
        <w:rPr>
          <w:spacing w:val="-3"/>
        </w:rPr>
        <w:t xml:space="preserve"> </w:t>
      </w:r>
      <w:r>
        <w:t>is</w:t>
      </w:r>
      <w:r>
        <w:rPr>
          <w:spacing w:val="-4"/>
        </w:rPr>
        <w:t xml:space="preserve"> </w:t>
      </w:r>
      <w:r>
        <w:t>not</w:t>
      </w:r>
      <w:r>
        <w:rPr>
          <w:spacing w:val="-3"/>
        </w:rPr>
        <w:t xml:space="preserve"> </w:t>
      </w:r>
      <w:r>
        <w:t>likely</w:t>
      </w:r>
      <w:r>
        <w:rPr>
          <w:spacing w:val="-3"/>
        </w:rPr>
        <w:t xml:space="preserve"> </w:t>
      </w:r>
      <w:r>
        <w:t>to</w:t>
      </w:r>
      <w:r>
        <w:rPr>
          <w:spacing w:val="-4"/>
        </w:rPr>
        <w:t xml:space="preserve"> </w:t>
      </w:r>
      <w:r>
        <w:t>be</w:t>
      </w:r>
      <w:r>
        <w:rPr>
          <w:spacing w:val="-3"/>
        </w:rPr>
        <w:t xml:space="preserve"> </w:t>
      </w:r>
      <w:r>
        <w:t>a</w:t>
      </w:r>
      <w:r>
        <w:rPr>
          <w:spacing w:val="-3"/>
        </w:rPr>
        <w:t xml:space="preserve"> </w:t>
      </w:r>
      <w:r>
        <w:t>realistic outcome of planned market interventions within the near-term planning period. FS potential in all</w:t>
      </w:r>
      <w:r>
        <w:t xml:space="preserve"> scenarios drops significantly in 2030 as a result of the CARB SIP decision to propose a rule banning the sale of new natural gas space and water heating measures in the residential and commercial sectors for which there is a viable electric alternative. T</w:t>
      </w:r>
      <w:r>
        <w:t xml:space="preserve">his has the effect of eliminating most options for gas appliances that define adoption of an electric technology over a competing gas </w:t>
      </w:r>
      <w:r>
        <w:rPr>
          <w:spacing w:val="-2"/>
        </w:rPr>
        <w:t>technology.</w:t>
      </w:r>
    </w:p>
    <w:p w:rsidR="00C31389" w:rsidRDefault="00561FBD" w14:paraId="0894FD32" w14:textId="77777777">
      <w:pPr>
        <w:pStyle w:val="Heading7"/>
        <w:spacing w:before="118"/>
        <w:ind w:left="959"/>
      </w:pPr>
      <w:bookmarkStart w:name="_bookmark203" w:id="270"/>
      <w:bookmarkEnd w:id="270"/>
      <w:r>
        <w:t>Figure</w:t>
      </w:r>
      <w:r>
        <w:rPr>
          <w:spacing w:val="-9"/>
        </w:rPr>
        <w:t xml:space="preserve"> </w:t>
      </w:r>
      <w:r>
        <w:t>4-2.</w:t>
      </w:r>
      <w:r>
        <w:rPr>
          <w:spacing w:val="-8"/>
        </w:rPr>
        <w:t xml:space="preserve"> </w:t>
      </w:r>
      <w:r>
        <w:t>Statewide</w:t>
      </w:r>
      <w:r>
        <w:rPr>
          <w:spacing w:val="-8"/>
        </w:rPr>
        <w:t xml:space="preserve"> </w:t>
      </w:r>
      <w:r>
        <w:t>Net</w:t>
      </w:r>
      <w:r>
        <w:rPr>
          <w:spacing w:val="-8"/>
        </w:rPr>
        <w:t xml:space="preserve"> </w:t>
      </w:r>
      <w:r>
        <w:t>First-Year</w:t>
      </w:r>
      <w:r>
        <w:rPr>
          <w:spacing w:val="-8"/>
        </w:rPr>
        <w:t xml:space="preserve"> </w:t>
      </w:r>
      <w:r>
        <w:t>Incremental</w:t>
      </w:r>
      <w:r>
        <w:rPr>
          <w:spacing w:val="-8"/>
        </w:rPr>
        <w:t xml:space="preserve"> </w:t>
      </w:r>
      <w:r>
        <w:t>Electric</w:t>
      </w:r>
      <w:r>
        <w:rPr>
          <w:spacing w:val="-9"/>
        </w:rPr>
        <w:t xml:space="preserve"> </w:t>
      </w:r>
      <w:r>
        <w:t>Savings</w:t>
      </w:r>
      <w:r>
        <w:rPr>
          <w:spacing w:val="-8"/>
        </w:rPr>
        <w:t xml:space="preserve"> </w:t>
      </w:r>
      <w:r>
        <w:t>by</w:t>
      </w:r>
      <w:r>
        <w:rPr>
          <w:spacing w:val="-8"/>
        </w:rPr>
        <w:t xml:space="preserve"> </w:t>
      </w:r>
      <w:r>
        <w:rPr>
          <w:spacing w:val="-2"/>
        </w:rPr>
        <w:t>Scenario</w:t>
      </w:r>
    </w:p>
    <w:p w:rsidR="00C31389" w:rsidRDefault="00C31389" w14:paraId="56C21F22" w14:textId="77777777">
      <w:pPr>
        <w:pStyle w:val="BodyText"/>
        <w:rPr>
          <w:b/>
          <w:sz w:val="20"/>
        </w:rPr>
      </w:pPr>
    </w:p>
    <w:p w:rsidR="00C31389" w:rsidRDefault="00561FBD" w14:paraId="70314F7D" w14:textId="77777777">
      <w:pPr>
        <w:pStyle w:val="BodyText"/>
        <w:spacing w:before="7"/>
        <w:rPr>
          <w:b/>
          <w:sz w:val="19"/>
        </w:rPr>
      </w:pPr>
      <w:r>
        <w:rPr>
          <w:noProof/>
        </w:rPr>
        <w:drawing>
          <wp:anchor distT="0" distB="0" distL="0" distR="0" simplePos="0" relativeHeight="487663104" behindDoc="1" locked="0" layoutInCell="1" allowOverlap="1" wp14:editId="7B6A589F" wp14:anchorId="6626D947">
            <wp:simplePos x="0" y="0"/>
            <wp:positionH relativeFrom="page">
              <wp:posOffset>1134603</wp:posOffset>
            </wp:positionH>
            <wp:positionV relativeFrom="paragraph">
              <wp:posOffset>158734</wp:posOffset>
            </wp:positionV>
            <wp:extent cx="5223034" cy="2179320"/>
            <wp:effectExtent l="0" t="0" r="0" b="0"/>
            <wp:wrapTopAndBottom/>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165" cstate="print"/>
                    <a:stretch>
                      <a:fillRect/>
                    </a:stretch>
                  </pic:blipFill>
                  <pic:spPr>
                    <a:xfrm>
                      <a:off x="0" y="0"/>
                      <a:ext cx="5223034" cy="2179320"/>
                    </a:xfrm>
                    <a:prstGeom prst="rect">
                      <a:avLst/>
                    </a:prstGeom>
                  </pic:spPr>
                </pic:pic>
              </a:graphicData>
            </a:graphic>
          </wp:anchor>
        </w:drawing>
      </w:r>
    </w:p>
    <w:p w:rsidR="00C31389" w:rsidRDefault="00C31389" w14:paraId="2EC35D15" w14:textId="77777777">
      <w:pPr>
        <w:rPr>
          <w:sz w:val="19"/>
        </w:rPr>
        <w:sectPr w:rsidR="00C31389">
          <w:headerReference w:type="default" r:id="rId166"/>
          <w:footerReference w:type="default" r:id="rId167"/>
          <w:pgSz w:w="11910" w:h="16840"/>
          <w:pgMar w:top="1380" w:right="1020" w:bottom="1120" w:left="960" w:header="397" w:footer="938" w:gutter="0"/>
          <w:cols w:space="720"/>
        </w:sectPr>
      </w:pPr>
    </w:p>
    <w:p w:rsidR="00C31389" w:rsidRDefault="00C31389" w14:paraId="17D6AD0C" w14:textId="77777777">
      <w:pPr>
        <w:pStyle w:val="BodyText"/>
        <w:spacing w:before="9"/>
        <w:rPr>
          <w:b/>
          <w:sz w:val="13"/>
        </w:rPr>
      </w:pPr>
    </w:p>
    <w:p w:rsidR="00C31389" w:rsidRDefault="00561FBD" w14:paraId="21B9649A" w14:textId="77777777">
      <w:pPr>
        <w:spacing w:before="95"/>
        <w:ind w:left="480"/>
        <w:rPr>
          <w:i/>
          <w:sz w:val="18"/>
        </w:rPr>
      </w:pPr>
      <w:r>
        <w:rPr>
          <w:i/>
          <w:sz w:val="18"/>
        </w:rPr>
        <w:t>Source:</w:t>
      </w:r>
      <w:r>
        <w:rPr>
          <w:i/>
          <w:spacing w:val="-4"/>
          <w:sz w:val="18"/>
        </w:rPr>
        <w:t xml:space="preserve"> </w:t>
      </w:r>
      <w:r>
        <w:rPr>
          <w:i/>
          <w:spacing w:val="-2"/>
          <w:sz w:val="18"/>
        </w:rPr>
        <w:t>Guidehouse</w:t>
      </w:r>
    </w:p>
    <w:p w:rsidR="00C31389" w:rsidRDefault="00C31389" w14:paraId="6055271C" w14:textId="77777777">
      <w:pPr>
        <w:pStyle w:val="BodyText"/>
        <w:spacing w:before="9"/>
        <w:rPr>
          <w:i/>
          <w:sz w:val="20"/>
        </w:rPr>
      </w:pPr>
    </w:p>
    <w:p w:rsidR="00C31389" w:rsidRDefault="00561FBD" w14:paraId="3DCA3BBB" w14:textId="77777777">
      <w:pPr>
        <w:pStyle w:val="Heading7"/>
        <w:ind w:left="398" w:right="340"/>
        <w:jc w:val="center"/>
      </w:pPr>
      <w:bookmarkStart w:name="_bookmark204" w:id="271"/>
      <w:bookmarkEnd w:id="271"/>
      <w:r>
        <w:t>Figure</w:t>
      </w:r>
      <w:r>
        <w:rPr>
          <w:spacing w:val="-9"/>
        </w:rPr>
        <w:t xml:space="preserve"> </w:t>
      </w:r>
      <w:r>
        <w:t>4-3.</w:t>
      </w:r>
      <w:r>
        <w:rPr>
          <w:spacing w:val="-8"/>
        </w:rPr>
        <w:t xml:space="preserve"> </w:t>
      </w:r>
      <w:r>
        <w:t>Statewide</w:t>
      </w:r>
      <w:r>
        <w:rPr>
          <w:spacing w:val="-7"/>
        </w:rPr>
        <w:t xml:space="preserve"> </w:t>
      </w:r>
      <w:r>
        <w:t>Net</w:t>
      </w:r>
      <w:r>
        <w:rPr>
          <w:spacing w:val="-9"/>
        </w:rPr>
        <w:t xml:space="preserve"> </w:t>
      </w:r>
      <w:r>
        <w:t>First-Year</w:t>
      </w:r>
      <w:r>
        <w:rPr>
          <w:spacing w:val="-8"/>
        </w:rPr>
        <w:t xml:space="preserve"> </w:t>
      </w:r>
      <w:r>
        <w:t>Incremental</w:t>
      </w:r>
      <w:r>
        <w:rPr>
          <w:spacing w:val="-8"/>
        </w:rPr>
        <w:t xml:space="preserve"> </w:t>
      </w:r>
      <w:r>
        <w:t>Demand</w:t>
      </w:r>
      <w:r>
        <w:rPr>
          <w:spacing w:val="-9"/>
        </w:rPr>
        <w:t xml:space="preserve"> </w:t>
      </w:r>
      <w:r>
        <w:t>Savings</w:t>
      </w:r>
      <w:r>
        <w:rPr>
          <w:spacing w:val="-8"/>
        </w:rPr>
        <w:t xml:space="preserve"> </w:t>
      </w:r>
      <w:r>
        <w:t>by</w:t>
      </w:r>
      <w:r>
        <w:rPr>
          <w:spacing w:val="-8"/>
        </w:rPr>
        <w:t xml:space="preserve"> </w:t>
      </w:r>
      <w:r>
        <w:rPr>
          <w:spacing w:val="-2"/>
        </w:rPr>
        <w:t>Scenario</w:t>
      </w:r>
    </w:p>
    <w:p w:rsidR="00C31389" w:rsidRDefault="00C31389" w14:paraId="1262579E" w14:textId="77777777">
      <w:pPr>
        <w:pStyle w:val="BodyText"/>
        <w:rPr>
          <w:b/>
          <w:sz w:val="20"/>
        </w:rPr>
      </w:pPr>
    </w:p>
    <w:p w:rsidR="00C31389" w:rsidRDefault="00561FBD" w14:paraId="61C80457" w14:textId="77777777">
      <w:pPr>
        <w:pStyle w:val="BodyText"/>
        <w:spacing w:before="10"/>
        <w:rPr>
          <w:b/>
          <w:sz w:val="18"/>
        </w:rPr>
      </w:pPr>
      <w:r>
        <w:rPr>
          <w:noProof/>
        </w:rPr>
        <w:drawing>
          <wp:anchor distT="0" distB="0" distL="0" distR="0" simplePos="0" relativeHeight="487663616" behindDoc="1" locked="0" layoutInCell="1" allowOverlap="1" wp14:editId="02301F7A" wp14:anchorId="39D6D82E">
            <wp:simplePos x="0" y="0"/>
            <wp:positionH relativeFrom="page">
              <wp:posOffset>1203162</wp:posOffset>
            </wp:positionH>
            <wp:positionV relativeFrom="paragraph">
              <wp:posOffset>153062</wp:posOffset>
            </wp:positionV>
            <wp:extent cx="5128215" cy="2139696"/>
            <wp:effectExtent l="0" t="0" r="0" b="0"/>
            <wp:wrapTopAndBottom/>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68" cstate="print"/>
                    <a:stretch>
                      <a:fillRect/>
                    </a:stretch>
                  </pic:blipFill>
                  <pic:spPr>
                    <a:xfrm>
                      <a:off x="0" y="0"/>
                      <a:ext cx="5128215" cy="2139696"/>
                    </a:xfrm>
                    <a:prstGeom prst="rect">
                      <a:avLst/>
                    </a:prstGeom>
                  </pic:spPr>
                </pic:pic>
              </a:graphicData>
            </a:graphic>
          </wp:anchor>
        </w:drawing>
      </w:r>
    </w:p>
    <w:p w:rsidR="00C31389" w:rsidRDefault="00C31389" w14:paraId="515B636F" w14:textId="77777777">
      <w:pPr>
        <w:pStyle w:val="BodyText"/>
        <w:spacing w:before="5"/>
        <w:rPr>
          <w:b/>
          <w:sz w:val="32"/>
        </w:rPr>
      </w:pPr>
    </w:p>
    <w:p w:rsidR="00C31389" w:rsidRDefault="00561FBD" w14:paraId="3A026D65"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0A2B8DE4" w14:textId="77777777">
      <w:pPr>
        <w:pStyle w:val="BodyText"/>
        <w:spacing w:before="10"/>
        <w:rPr>
          <w:i/>
          <w:sz w:val="20"/>
        </w:rPr>
      </w:pPr>
    </w:p>
    <w:p w:rsidR="00C31389" w:rsidRDefault="00561FBD" w14:paraId="43EF2145" w14:textId="77777777">
      <w:pPr>
        <w:pStyle w:val="Heading7"/>
        <w:ind w:left="398" w:right="340"/>
        <w:jc w:val="center"/>
      </w:pPr>
      <w:bookmarkStart w:name="_bookmark205" w:id="272"/>
      <w:bookmarkEnd w:id="272"/>
      <w:r>
        <w:t>Figure</w:t>
      </w:r>
      <w:r>
        <w:rPr>
          <w:spacing w:val="-8"/>
        </w:rPr>
        <w:t xml:space="preserve"> </w:t>
      </w:r>
      <w:r>
        <w:t>4-4.</w:t>
      </w:r>
      <w:r>
        <w:rPr>
          <w:spacing w:val="-8"/>
        </w:rPr>
        <w:t xml:space="preserve"> </w:t>
      </w:r>
      <w:r>
        <w:t>Statewide</w:t>
      </w:r>
      <w:r>
        <w:rPr>
          <w:spacing w:val="-6"/>
        </w:rPr>
        <w:t xml:space="preserve"> </w:t>
      </w:r>
      <w:r>
        <w:t>Net</w:t>
      </w:r>
      <w:r>
        <w:rPr>
          <w:spacing w:val="-8"/>
        </w:rPr>
        <w:t xml:space="preserve"> </w:t>
      </w:r>
      <w:r>
        <w:t>First-Year</w:t>
      </w:r>
      <w:r>
        <w:rPr>
          <w:spacing w:val="-7"/>
        </w:rPr>
        <w:t xml:space="preserve"> </w:t>
      </w:r>
      <w:r>
        <w:t>Incremental</w:t>
      </w:r>
      <w:r>
        <w:rPr>
          <w:spacing w:val="-8"/>
        </w:rPr>
        <w:t xml:space="preserve"> </w:t>
      </w:r>
      <w:r>
        <w:t>Gas</w:t>
      </w:r>
      <w:r>
        <w:rPr>
          <w:spacing w:val="-7"/>
        </w:rPr>
        <w:t xml:space="preserve"> </w:t>
      </w:r>
      <w:r>
        <w:t>Savings</w:t>
      </w:r>
      <w:r>
        <w:rPr>
          <w:spacing w:val="-8"/>
        </w:rPr>
        <w:t xml:space="preserve"> </w:t>
      </w:r>
      <w:r>
        <w:t>by</w:t>
      </w:r>
      <w:r>
        <w:rPr>
          <w:spacing w:val="-8"/>
        </w:rPr>
        <w:t xml:space="preserve"> </w:t>
      </w:r>
      <w:r>
        <w:rPr>
          <w:spacing w:val="-2"/>
        </w:rPr>
        <w:t>Scenario</w:t>
      </w:r>
    </w:p>
    <w:p w:rsidR="00C31389" w:rsidRDefault="00C31389" w14:paraId="47DC2BCF" w14:textId="77777777">
      <w:pPr>
        <w:pStyle w:val="BodyText"/>
        <w:rPr>
          <w:b/>
          <w:sz w:val="20"/>
        </w:rPr>
      </w:pPr>
    </w:p>
    <w:p w:rsidR="00C31389" w:rsidRDefault="00561FBD" w14:paraId="64897293" w14:textId="77777777">
      <w:pPr>
        <w:pStyle w:val="BodyText"/>
        <w:spacing w:before="9"/>
        <w:rPr>
          <w:b/>
          <w:sz w:val="18"/>
        </w:rPr>
      </w:pPr>
      <w:r>
        <w:rPr>
          <w:noProof/>
        </w:rPr>
        <w:drawing>
          <wp:anchor distT="0" distB="0" distL="0" distR="0" simplePos="0" relativeHeight="487664128" behindDoc="1" locked="0" layoutInCell="1" allowOverlap="1" wp14:editId="6D711442" wp14:anchorId="0B3438BB">
            <wp:simplePos x="0" y="0"/>
            <wp:positionH relativeFrom="page">
              <wp:posOffset>1204376</wp:posOffset>
            </wp:positionH>
            <wp:positionV relativeFrom="paragraph">
              <wp:posOffset>152593</wp:posOffset>
            </wp:positionV>
            <wp:extent cx="5128062" cy="2139696"/>
            <wp:effectExtent l="0" t="0" r="0" b="0"/>
            <wp:wrapTopAndBottom/>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69" cstate="print"/>
                    <a:stretch>
                      <a:fillRect/>
                    </a:stretch>
                  </pic:blipFill>
                  <pic:spPr>
                    <a:xfrm>
                      <a:off x="0" y="0"/>
                      <a:ext cx="5128062" cy="2139696"/>
                    </a:xfrm>
                    <a:prstGeom prst="rect">
                      <a:avLst/>
                    </a:prstGeom>
                  </pic:spPr>
                </pic:pic>
              </a:graphicData>
            </a:graphic>
          </wp:anchor>
        </w:drawing>
      </w:r>
    </w:p>
    <w:p w:rsidR="00C31389" w:rsidRDefault="00C31389" w14:paraId="07FD4B18" w14:textId="77777777">
      <w:pPr>
        <w:pStyle w:val="BodyText"/>
        <w:spacing w:before="4"/>
        <w:rPr>
          <w:b/>
          <w:sz w:val="32"/>
        </w:rPr>
      </w:pPr>
    </w:p>
    <w:p w:rsidR="00C31389" w:rsidRDefault="00561FBD" w14:paraId="1B369B75"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18F692C6" w14:textId="77777777">
      <w:pPr>
        <w:pStyle w:val="BodyText"/>
        <w:spacing w:before="9"/>
        <w:rPr>
          <w:i/>
          <w:sz w:val="20"/>
        </w:rPr>
      </w:pPr>
    </w:p>
    <w:p w:rsidR="00C31389" w:rsidRDefault="00561FBD" w14:paraId="46698368" w14:textId="77777777">
      <w:pPr>
        <w:pStyle w:val="Heading4"/>
        <w:numPr>
          <w:ilvl w:val="2"/>
          <w:numId w:val="71"/>
        </w:numPr>
        <w:tabs>
          <w:tab w:val="left" w:pos="1076"/>
        </w:tabs>
        <w:ind w:left="1076" w:hanging="596"/>
      </w:pPr>
      <w:bookmarkStart w:name="4.2.3_Cost-Effectiveness_by_Scenario" w:id="273"/>
      <w:bookmarkStart w:name="_bookmark206" w:id="274"/>
      <w:bookmarkEnd w:id="273"/>
      <w:bookmarkEnd w:id="274"/>
      <w:r>
        <w:t>Cost-Effectiveness</w:t>
      </w:r>
      <w:r>
        <w:rPr>
          <w:spacing w:val="-8"/>
        </w:rPr>
        <w:t xml:space="preserve"> </w:t>
      </w:r>
      <w:r>
        <w:t>by</w:t>
      </w:r>
      <w:r>
        <w:rPr>
          <w:spacing w:val="-6"/>
        </w:rPr>
        <w:t xml:space="preserve"> </w:t>
      </w:r>
      <w:r>
        <w:rPr>
          <w:spacing w:val="-2"/>
        </w:rPr>
        <w:t>Scenario</w:t>
      </w:r>
    </w:p>
    <w:p w:rsidR="00C31389" w:rsidRDefault="00C31389" w14:paraId="58E2FF93" w14:textId="77777777">
      <w:pPr>
        <w:pStyle w:val="BodyText"/>
        <w:spacing w:before="10"/>
        <w:rPr>
          <w:b/>
          <w:sz w:val="20"/>
        </w:rPr>
      </w:pPr>
    </w:p>
    <w:p w:rsidR="00C31389" w:rsidRDefault="00561FBD" w14:paraId="17739F98" w14:textId="77777777">
      <w:pPr>
        <w:pStyle w:val="BodyText"/>
        <w:ind w:left="480" w:right="418" w:hanging="1"/>
      </w:pPr>
      <w:hyperlink w:history="1" w:anchor="_bookmark207">
        <w:r>
          <w:t>Figure 4-5</w:t>
        </w:r>
      </w:hyperlink>
      <w:r>
        <w:t xml:space="preserve"> provides the statewide TRC ratio for each scenarios in each year of the study. These results account for benefits and costs from rebated measures that contribute to equipment</w:t>
      </w:r>
      <w:r>
        <w:rPr>
          <w:spacing w:val="-3"/>
        </w:rPr>
        <w:t xml:space="preserve"> </w:t>
      </w:r>
      <w:r>
        <w:t>savings</w:t>
      </w:r>
      <w:r>
        <w:rPr>
          <w:spacing w:val="-3"/>
        </w:rPr>
        <w:t xml:space="preserve"> </w:t>
      </w:r>
      <w:r>
        <w:t>but</w:t>
      </w:r>
      <w:r>
        <w:rPr>
          <w:spacing w:val="-3"/>
        </w:rPr>
        <w:t xml:space="preserve"> </w:t>
      </w:r>
      <w:r>
        <w:t>exclude</w:t>
      </w:r>
      <w:r>
        <w:rPr>
          <w:spacing w:val="-3"/>
        </w:rPr>
        <w:t xml:space="preserve"> </w:t>
      </w:r>
      <w:r>
        <w:t>low</w:t>
      </w:r>
      <w:r>
        <w:rPr>
          <w:spacing w:val="-4"/>
        </w:rPr>
        <w:t xml:space="preserve"> </w:t>
      </w:r>
      <w:r>
        <w:t>income</w:t>
      </w:r>
      <w:r>
        <w:rPr>
          <w:spacing w:val="-3"/>
        </w:rPr>
        <w:t xml:space="preserve"> </w:t>
      </w:r>
      <w:r>
        <w:t>and</w:t>
      </w:r>
      <w:r>
        <w:rPr>
          <w:spacing w:val="-3"/>
        </w:rPr>
        <w:t xml:space="preserve"> </w:t>
      </w:r>
      <w:r>
        <w:t>C&amp;S</w:t>
      </w:r>
      <w:r>
        <w:rPr>
          <w:spacing w:val="-3"/>
        </w:rPr>
        <w:t xml:space="preserve"> </w:t>
      </w:r>
      <w:r>
        <w:t>saving</w:t>
      </w:r>
      <w:r>
        <w:t>s.</w:t>
      </w:r>
      <w:r>
        <w:rPr>
          <w:spacing w:val="-2"/>
        </w:rPr>
        <w:t xml:space="preserve"> </w:t>
      </w:r>
      <w:r>
        <w:t>Results</w:t>
      </w:r>
      <w:r>
        <w:rPr>
          <w:spacing w:val="-3"/>
        </w:rPr>
        <w:t xml:space="preserve"> </w:t>
      </w:r>
      <w:r>
        <w:t>exclude</w:t>
      </w:r>
      <w:r>
        <w:rPr>
          <w:spacing w:val="-3"/>
        </w:rPr>
        <w:t xml:space="preserve"> </w:t>
      </w:r>
      <w:r>
        <w:t xml:space="preserve">non-resource program costs, which are typically accounted for in a portfolio-level cost-effectiveness </w:t>
      </w:r>
      <w:r>
        <w:rPr>
          <w:spacing w:val="-2"/>
        </w:rPr>
        <w:t>assessment.</w:t>
      </w:r>
    </w:p>
    <w:p w:rsidR="00C31389" w:rsidRDefault="00C31389" w14:paraId="49BE40FE" w14:textId="77777777">
      <w:pPr>
        <w:pStyle w:val="BodyText"/>
        <w:spacing w:before="10"/>
        <w:rPr>
          <w:sz w:val="20"/>
        </w:rPr>
      </w:pPr>
    </w:p>
    <w:p w:rsidR="00C31389" w:rsidRDefault="00561FBD" w14:paraId="22D021A6" w14:textId="77777777">
      <w:pPr>
        <w:pStyle w:val="Heading7"/>
        <w:ind w:left="398" w:right="338"/>
        <w:jc w:val="center"/>
      </w:pPr>
      <w:bookmarkStart w:name="_bookmark207" w:id="275"/>
      <w:bookmarkEnd w:id="275"/>
      <w:r>
        <w:t>Figure</w:t>
      </w:r>
      <w:r>
        <w:rPr>
          <w:spacing w:val="-6"/>
        </w:rPr>
        <w:t xml:space="preserve"> </w:t>
      </w:r>
      <w:r>
        <w:t>4-5.</w:t>
      </w:r>
      <w:r>
        <w:rPr>
          <w:spacing w:val="-5"/>
        </w:rPr>
        <w:t xml:space="preserve"> </w:t>
      </w:r>
      <w:r>
        <w:t>TRC</w:t>
      </w:r>
      <w:r>
        <w:rPr>
          <w:spacing w:val="-5"/>
        </w:rPr>
        <w:t xml:space="preserve"> </w:t>
      </w:r>
      <w:r>
        <w:t>Test</w:t>
      </w:r>
      <w:r>
        <w:rPr>
          <w:spacing w:val="-5"/>
        </w:rPr>
        <w:t xml:space="preserve"> </w:t>
      </w:r>
      <w:r>
        <w:t>Benefit</w:t>
      </w:r>
      <w:r>
        <w:rPr>
          <w:spacing w:val="-6"/>
        </w:rPr>
        <w:t xml:space="preserve"> </w:t>
      </w:r>
      <w:r>
        <w:t>to</w:t>
      </w:r>
      <w:r>
        <w:rPr>
          <w:spacing w:val="-5"/>
        </w:rPr>
        <w:t xml:space="preserve"> </w:t>
      </w:r>
      <w:r>
        <w:t>Cost</w:t>
      </w:r>
      <w:r>
        <w:rPr>
          <w:spacing w:val="-5"/>
        </w:rPr>
        <w:t xml:space="preserve"> </w:t>
      </w:r>
      <w:r>
        <w:t>Ratio</w:t>
      </w:r>
      <w:r>
        <w:rPr>
          <w:spacing w:val="-5"/>
        </w:rPr>
        <w:t xml:space="preserve"> </w:t>
      </w:r>
      <w:r>
        <w:t>by</w:t>
      </w:r>
      <w:r>
        <w:rPr>
          <w:spacing w:val="-6"/>
        </w:rPr>
        <w:t xml:space="preserve"> </w:t>
      </w:r>
      <w:r>
        <w:rPr>
          <w:spacing w:val="-2"/>
        </w:rPr>
        <w:t>Scenario</w:t>
      </w:r>
    </w:p>
    <w:p w:rsidR="00C31389" w:rsidRDefault="00C31389" w14:paraId="25A79AD3" w14:textId="77777777">
      <w:pPr>
        <w:jc w:val="center"/>
        <w:sectPr w:rsidR="00C31389">
          <w:headerReference w:type="default" r:id="rId170"/>
          <w:footerReference w:type="default" r:id="rId171"/>
          <w:pgSz w:w="11910" w:h="16840"/>
          <w:pgMar w:top="1660" w:right="1020" w:bottom="1120" w:left="960" w:header="397" w:footer="938" w:gutter="0"/>
          <w:cols w:space="720"/>
        </w:sectPr>
      </w:pPr>
    </w:p>
    <w:p w:rsidR="00C31389" w:rsidRDefault="00C31389" w14:paraId="29EB4900" w14:textId="77777777">
      <w:pPr>
        <w:pStyle w:val="BodyText"/>
        <w:rPr>
          <w:b/>
        </w:rPr>
      </w:pPr>
    </w:p>
    <w:p w:rsidR="00C31389" w:rsidRDefault="00561FBD" w14:paraId="425C4F41" w14:textId="77777777">
      <w:pPr>
        <w:pStyle w:val="BodyText"/>
        <w:ind w:left="643"/>
        <w:rPr>
          <w:sz w:val="20"/>
        </w:rPr>
      </w:pPr>
      <w:r>
        <w:rPr>
          <w:noProof/>
          <w:sz w:val="20"/>
        </w:rPr>
        <w:drawing>
          <wp:inline distT="0" distB="0" distL="0" distR="0" wp14:anchorId="26230CE6" wp14:editId="29B29186">
            <wp:extent cx="5536765" cy="2650998"/>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72" cstate="print"/>
                    <a:stretch>
                      <a:fillRect/>
                    </a:stretch>
                  </pic:blipFill>
                  <pic:spPr>
                    <a:xfrm>
                      <a:off x="0" y="0"/>
                      <a:ext cx="5536765" cy="2650998"/>
                    </a:xfrm>
                    <a:prstGeom prst="rect">
                      <a:avLst/>
                    </a:prstGeom>
                  </pic:spPr>
                </pic:pic>
              </a:graphicData>
            </a:graphic>
          </wp:inline>
        </w:drawing>
      </w:r>
    </w:p>
    <w:p w:rsidR="00C31389" w:rsidRDefault="00561FBD" w14:paraId="6A594AAD" w14:textId="77777777">
      <w:pPr>
        <w:spacing w:before="55"/>
        <w:ind w:left="480"/>
        <w:rPr>
          <w:i/>
          <w:sz w:val="18"/>
        </w:rPr>
      </w:pPr>
      <w:r>
        <w:rPr>
          <w:i/>
          <w:sz w:val="18"/>
        </w:rPr>
        <w:t>Source:</w:t>
      </w:r>
      <w:r>
        <w:rPr>
          <w:i/>
          <w:spacing w:val="-4"/>
          <w:sz w:val="18"/>
        </w:rPr>
        <w:t xml:space="preserve"> </w:t>
      </w:r>
      <w:r>
        <w:rPr>
          <w:i/>
          <w:spacing w:val="-2"/>
          <w:sz w:val="18"/>
        </w:rPr>
        <w:t>Guidehouse</w:t>
      </w:r>
    </w:p>
    <w:p w:rsidR="00C31389" w:rsidRDefault="00C31389" w14:paraId="7E92B56C" w14:textId="77777777">
      <w:pPr>
        <w:pStyle w:val="BodyText"/>
        <w:spacing w:before="9"/>
        <w:rPr>
          <w:i/>
          <w:sz w:val="20"/>
        </w:rPr>
      </w:pPr>
    </w:p>
    <w:p w:rsidR="00C31389" w:rsidRDefault="00561FBD" w14:paraId="5D46E39F" w14:textId="77777777">
      <w:pPr>
        <w:pStyle w:val="BodyText"/>
        <w:ind w:left="479" w:right="418"/>
      </w:pPr>
      <w:r>
        <w:t xml:space="preserve">The aggregate TRC ratio for Scenarios 1, 2, and 4 all start at or near 1.5 and remain relatively consistent through 2027. The Aggressive FS assumptions in </w:t>
      </w:r>
      <w:r>
        <w:t>Scenario 3 lead to much larger assumed program costs, driving cost-effectiveness down prior to the 2030 natural</w:t>
      </w:r>
      <w:r>
        <w:rPr>
          <w:spacing w:val="-3"/>
        </w:rPr>
        <w:t xml:space="preserve"> </w:t>
      </w:r>
      <w:r>
        <w:t>gas</w:t>
      </w:r>
      <w:r>
        <w:rPr>
          <w:spacing w:val="-4"/>
        </w:rPr>
        <w:t xml:space="preserve"> </w:t>
      </w:r>
      <w:r>
        <w:t>appliance</w:t>
      </w:r>
      <w:r>
        <w:rPr>
          <w:spacing w:val="-3"/>
        </w:rPr>
        <w:t xml:space="preserve"> </w:t>
      </w:r>
      <w:r>
        <w:t>ban,</w:t>
      </w:r>
      <w:r>
        <w:rPr>
          <w:spacing w:val="-3"/>
        </w:rPr>
        <w:t xml:space="preserve"> </w:t>
      </w:r>
      <w:r>
        <w:t>subsequent</w:t>
      </w:r>
      <w:r>
        <w:rPr>
          <w:spacing w:val="-3"/>
        </w:rPr>
        <w:t xml:space="preserve"> </w:t>
      </w:r>
      <w:r>
        <w:t>to</w:t>
      </w:r>
      <w:r>
        <w:rPr>
          <w:spacing w:val="-3"/>
        </w:rPr>
        <w:t xml:space="preserve"> </w:t>
      </w:r>
      <w:r>
        <w:t>which</w:t>
      </w:r>
      <w:r>
        <w:rPr>
          <w:spacing w:val="-4"/>
        </w:rPr>
        <w:t xml:space="preserve"> </w:t>
      </w:r>
      <w:r>
        <w:t>the</w:t>
      </w:r>
      <w:r>
        <w:rPr>
          <w:spacing w:val="-3"/>
        </w:rPr>
        <w:t xml:space="preserve"> </w:t>
      </w:r>
      <w:r>
        <w:t>reduction</w:t>
      </w:r>
      <w:r>
        <w:rPr>
          <w:spacing w:val="-3"/>
        </w:rPr>
        <w:t xml:space="preserve"> </w:t>
      </w:r>
      <w:r>
        <w:t>in</w:t>
      </w:r>
      <w:r>
        <w:rPr>
          <w:spacing w:val="-3"/>
        </w:rPr>
        <w:t xml:space="preserve"> </w:t>
      </w:r>
      <w:r>
        <w:t>FS</w:t>
      </w:r>
      <w:r>
        <w:rPr>
          <w:spacing w:val="-3"/>
        </w:rPr>
        <w:t xml:space="preserve"> </w:t>
      </w:r>
      <w:r>
        <w:t>potential</w:t>
      </w:r>
      <w:r>
        <w:rPr>
          <w:spacing w:val="-2"/>
        </w:rPr>
        <w:t xml:space="preserve"> </w:t>
      </w:r>
      <w:r>
        <w:t>brings</w:t>
      </w:r>
      <w:r>
        <w:rPr>
          <w:spacing w:val="-4"/>
        </w:rPr>
        <w:t xml:space="preserve"> </w:t>
      </w:r>
      <w:r>
        <w:t>the</w:t>
      </w:r>
      <w:r>
        <w:rPr>
          <w:spacing w:val="-3"/>
        </w:rPr>
        <w:t xml:space="preserve"> </w:t>
      </w:r>
      <w:r>
        <w:t xml:space="preserve">cost- effectiveness in close alignment with the other Reference </w:t>
      </w:r>
      <w:r>
        <w:t xml:space="preserve">FS Scenarios. All scenarios show statewide TRC growing significantly in the 2030-2035 period, in alignment with concurrent growth in forecasted avoided costs. The separate IOU-specific TRC ratio varies from as low as 0.80 in 2024 for SCE for Scenario 3 to </w:t>
      </w:r>
      <w:r>
        <w:t>as high as 2.4 for SCG for Scenario 2-4.</w:t>
      </w:r>
    </w:p>
    <w:p w:rsidR="00C31389" w:rsidRDefault="00C31389" w14:paraId="0397407A" w14:textId="77777777">
      <w:pPr>
        <w:pStyle w:val="BodyText"/>
        <w:spacing w:before="11"/>
        <w:rPr>
          <w:sz w:val="20"/>
        </w:rPr>
      </w:pPr>
    </w:p>
    <w:p w:rsidR="00C31389" w:rsidRDefault="00561FBD" w14:paraId="5C914982" w14:textId="77777777">
      <w:pPr>
        <w:pStyle w:val="Heading4"/>
        <w:numPr>
          <w:ilvl w:val="2"/>
          <w:numId w:val="71"/>
        </w:numPr>
        <w:tabs>
          <w:tab w:val="left" w:pos="1076"/>
        </w:tabs>
        <w:ind w:left="1076" w:hanging="596"/>
      </w:pPr>
      <w:bookmarkStart w:name="4.2.4_BROs_Program_Results" w:id="276"/>
      <w:bookmarkStart w:name="_bookmark208" w:id="277"/>
      <w:bookmarkEnd w:id="276"/>
      <w:bookmarkEnd w:id="277"/>
      <w:r>
        <w:t>BROs</w:t>
      </w:r>
      <w:r>
        <w:rPr>
          <w:spacing w:val="-4"/>
        </w:rPr>
        <w:t xml:space="preserve"> </w:t>
      </w:r>
      <w:r>
        <w:t>Program</w:t>
      </w:r>
      <w:r>
        <w:rPr>
          <w:spacing w:val="-2"/>
        </w:rPr>
        <w:t xml:space="preserve"> Results</w:t>
      </w:r>
    </w:p>
    <w:p w:rsidR="00C31389" w:rsidRDefault="00C31389" w14:paraId="4CBDDB1D" w14:textId="77777777">
      <w:pPr>
        <w:pStyle w:val="BodyText"/>
        <w:spacing w:before="10"/>
        <w:rPr>
          <w:b/>
          <w:sz w:val="20"/>
        </w:rPr>
      </w:pPr>
    </w:p>
    <w:p w:rsidR="00C31389" w:rsidRDefault="00561FBD" w14:paraId="2A8BCE0A" w14:textId="77777777">
      <w:pPr>
        <w:pStyle w:val="BodyText"/>
        <w:ind w:left="480" w:right="505"/>
      </w:pPr>
      <w:r>
        <w:t>The next set of figures are the BROs program savings. These savings are independent of the</w:t>
      </w:r>
      <w:r>
        <w:rPr>
          <w:spacing w:val="-3"/>
        </w:rPr>
        <w:t xml:space="preserve"> </w:t>
      </w:r>
      <w:r>
        <w:t>avoided</w:t>
      </w:r>
      <w:r>
        <w:rPr>
          <w:spacing w:val="-4"/>
        </w:rPr>
        <w:t xml:space="preserve"> </w:t>
      </w:r>
      <w:r>
        <w:t>costs</w:t>
      </w:r>
      <w:r>
        <w:rPr>
          <w:spacing w:val="-4"/>
        </w:rPr>
        <w:t xml:space="preserve"> </w:t>
      </w:r>
      <w:r>
        <w:t>since</w:t>
      </w:r>
      <w:r>
        <w:rPr>
          <w:spacing w:val="-3"/>
        </w:rPr>
        <w:t xml:space="preserve"> </w:t>
      </w:r>
      <w:r>
        <w:t>they</w:t>
      </w:r>
      <w:r>
        <w:rPr>
          <w:spacing w:val="-3"/>
        </w:rPr>
        <w:t xml:space="preserve"> </w:t>
      </w:r>
      <w:r>
        <w:t>are</w:t>
      </w:r>
      <w:r>
        <w:rPr>
          <w:spacing w:val="-3"/>
        </w:rPr>
        <w:t xml:space="preserve"> </w:t>
      </w:r>
      <w:r>
        <w:t>not</w:t>
      </w:r>
      <w:r>
        <w:rPr>
          <w:spacing w:val="-4"/>
        </w:rPr>
        <w:t xml:space="preserve"> </w:t>
      </w:r>
      <w:r>
        <w:t>screened</w:t>
      </w:r>
      <w:r>
        <w:rPr>
          <w:spacing w:val="-3"/>
        </w:rPr>
        <w:t xml:space="preserve"> </w:t>
      </w:r>
      <w:r>
        <w:t>by</w:t>
      </w:r>
      <w:r>
        <w:rPr>
          <w:spacing w:val="-4"/>
        </w:rPr>
        <w:t xml:space="preserve"> </w:t>
      </w:r>
      <w:r>
        <w:t>cost-effectiveness.</w:t>
      </w:r>
      <w:r>
        <w:rPr>
          <w:spacing w:val="-3"/>
        </w:rPr>
        <w:t xml:space="preserve"> </w:t>
      </w:r>
      <w:r>
        <w:t>The</w:t>
      </w:r>
      <w:r>
        <w:rPr>
          <w:spacing w:val="-4"/>
        </w:rPr>
        <w:t xml:space="preserve"> </w:t>
      </w:r>
      <w:r>
        <w:t>program</w:t>
      </w:r>
      <w:r>
        <w:rPr>
          <w:spacing w:val="-4"/>
        </w:rPr>
        <w:t xml:space="preserve"> </w:t>
      </w:r>
      <w:r>
        <w:t xml:space="preserve">adoption rates are based on the program rollout and participation assumptions outlined in </w:t>
      </w:r>
      <w:hyperlink w:history="1" w:anchor="_bookmark300">
        <w:r>
          <w:t>Appendix</w:t>
        </w:r>
      </w:hyperlink>
      <w:r>
        <w:t xml:space="preserve"> </w:t>
      </w:r>
      <w:hyperlink w:history="1" w:anchor="_bookmark300">
        <w:r>
          <w:rPr>
            <w:spacing w:val="-6"/>
          </w:rPr>
          <w:t>D</w:t>
        </w:r>
      </w:hyperlink>
      <w:r>
        <w:rPr>
          <w:spacing w:val="-6"/>
        </w:rPr>
        <w:t>.</w:t>
      </w:r>
    </w:p>
    <w:p w:rsidR="00C31389" w:rsidRDefault="00C31389" w14:paraId="506C1BB1" w14:textId="77777777">
      <w:pPr>
        <w:pStyle w:val="BodyText"/>
        <w:spacing w:before="9"/>
        <w:rPr>
          <w:sz w:val="20"/>
        </w:rPr>
      </w:pPr>
    </w:p>
    <w:p w:rsidR="00C31389" w:rsidRDefault="00561FBD" w14:paraId="5E6F28C5" w14:textId="77777777">
      <w:pPr>
        <w:pStyle w:val="BodyText"/>
        <w:spacing w:before="1"/>
        <w:ind w:left="480" w:right="418"/>
      </w:pPr>
      <w:hyperlink w:history="1" w:anchor="_bookmark209">
        <w:r>
          <w:t>Figure 4-6</w:t>
        </w:r>
      </w:hyperlink>
      <w:r>
        <w:t xml:space="preserve"> and </w:t>
      </w:r>
      <w:hyperlink w:history="1" w:anchor="_bookmark210">
        <w:r>
          <w:t>Figure 4-7</w:t>
        </w:r>
      </w:hyperlink>
      <w:r>
        <w:t xml:space="preserve"> provide BROs impacts for electric and gas fuel types across all sectors, detailed by BROs intervention</w:t>
      </w:r>
      <w:r>
        <w:t>. BROs savings grow over time as program participation</w:t>
      </w:r>
      <w:r>
        <w:rPr>
          <w:spacing w:val="-4"/>
        </w:rPr>
        <w:t xml:space="preserve"> </w:t>
      </w:r>
      <w:r>
        <w:t>rates</w:t>
      </w:r>
      <w:r>
        <w:rPr>
          <w:spacing w:val="-3"/>
        </w:rPr>
        <w:t xml:space="preserve"> </w:t>
      </w:r>
      <w:r>
        <w:t>increase.</w:t>
      </w:r>
      <w:r>
        <w:rPr>
          <w:spacing w:val="-3"/>
        </w:rPr>
        <w:t xml:space="preserve"> </w:t>
      </w:r>
      <w:r>
        <w:t>The</w:t>
      </w:r>
      <w:r>
        <w:rPr>
          <w:spacing w:val="-3"/>
        </w:rPr>
        <w:t xml:space="preserve"> </w:t>
      </w:r>
      <w:r>
        <w:t>residential</w:t>
      </w:r>
      <w:r>
        <w:rPr>
          <w:spacing w:val="-3"/>
        </w:rPr>
        <w:t xml:space="preserve"> </w:t>
      </w:r>
      <w:r>
        <w:t>HERs</w:t>
      </w:r>
      <w:r>
        <w:rPr>
          <w:spacing w:val="-3"/>
        </w:rPr>
        <w:t xml:space="preserve"> </w:t>
      </w:r>
      <w:r>
        <w:t>program</w:t>
      </w:r>
      <w:r>
        <w:rPr>
          <w:spacing w:val="-4"/>
        </w:rPr>
        <w:t xml:space="preserve"> </w:t>
      </w:r>
      <w:r>
        <w:t>dominates</w:t>
      </w:r>
      <w:r>
        <w:rPr>
          <w:spacing w:val="-3"/>
        </w:rPr>
        <w:t xml:space="preserve"> </w:t>
      </w:r>
      <w:r>
        <w:t>the</w:t>
      </w:r>
      <w:r>
        <w:rPr>
          <w:spacing w:val="-3"/>
        </w:rPr>
        <w:t xml:space="preserve"> </w:t>
      </w:r>
      <w:r>
        <w:t>BROs</w:t>
      </w:r>
      <w:r>
        <w:rPr>
          <w:spacing w:val="-3"/>
        </w:rPr>
        <w:t xml:space="preserve"> </w:t>
      </w:r>
      <w:r>
        <w:t>savings</w:t>
      </w:r>
      <w:r>
        <w:rPr>
          <w:spacing w:val="-3"/>
        </w:rPr>
        <w:t xml:space="preserve"> </w:t>
      </w:r>
      <w:r>
        <w:t xml:space="preserve">for electric and gas energy and peak demand savings. Web-based real-time feedback for residential and BIEMS for </w:t>
      </w:r>
      <w:r>
        <w:t>commercial show significant electric energy and peak demand savings. Industrial SEM shows significant gas savings.</w:t>
      </w:r>
    </w:p>
    <w:p w:rsidR="00C31389" w:rsidRDefault="00C31389" w14:paraId="697BF4BE" w14:textId="77777777">
      <w:pPr>
        <w:sectPr w:rsidR="00C31389">
          <w:pgSz w:w="11910" w:h="16840"/>
          <w:pgMar w:top="1660" w:right="1020" w:bottom="1120" w:left="960" w:header="397" w:footer="938" w:gutter="0"/>
          <w:cols w:space="720"/>
        </w:sectPr>
      </w:pPr>
    </w:p>
    <w:p w:rsidR="00C31389" w:rsidRDefault="00C31389" w14:paraId="5368FB6F" w14:textId="77777777">
      <w:pPr>
        <w:pStyle w:val="BodyText"/>
        <w:spacing w:before="11"/>
        <w:rPr>
          <w:sz w:val="13"/>
        </w:rPr>
      </w:pPr>
    </w:p>
    <w:p w:rsidR="00C31389" w:rsidRDefault="00561FBD" w14:paraId="7D82A611" w14:textId="77777777">
      <w:pPr>
        <w:pStyle w:val="Heading7"/>
        <w:spacing w:before="92"/>
        <w:ind w:left="398" w:right="340"/>
        <w:jc w:val="center"/>
      </w:pPr>
      <w:bookmarkStart w:name="_bookmark209" w:id="278"/>
      <w:bookmarkEnd w:id="278"/>
      <w:r>
        <w:t>Figure</w:t>
      </w:r>
      <w:r>
        <w:rPr>
          <w:spacing w:val="-9"/>
        </w:rPr>
        <w:t xml:space="preserve"> </w:t>
      </w:r>
      <w:r>
        <w:t>4-6.</w:t>
      </w:r>
      <w:r>
        <w:rPr>
          <w:spacing w:val="-9"/>
        </w:rPr>
        <w:t xml:space="preserve"> </w:t>
      </w:r>
      <w:r>
        <w:t>BROs</w:t>
      </w:r>
      <w:r>
        <w:rPr>
          <w:spacing w:val="-7"/>
        </w:rPr>
        <w:t xml:space="preserve"> </w:t>
      </w:r>
      <w:r>
        <w:t>Program</w:t>
      </w:r>
      <w:r>
        <w:rPr>
          <w:spacing w:val="-9"/>
        </w:rPr>
        <w:t xml:space="preserve"> </w:t>
      </w:r>
      <w:r>
        <w:t>First-Year</w:t>
      </w:r>
      <w:r>
        <w:rPr>
          <w:spacing w:val="-9"/>
        </w:rPr>
        <w:t xml:space="preserve"> </w:t>
      </w:r>
      <w:r>
        <w:t>Electric</w:t>
      </w:r>
      <w:r>
        <w:rPr>
          <w:spacing w:val="-8"/>
        </w:rPr>
        <w:t xml:space="preserve"> </w:t>
      </w:r>
      <w:r>
        <w:t>Energy</w:t>
      </w:r>
      <w:r>
        <w:rPr>
          <w:spacing w:val="-8"/>
        </w:rPr>
        <w:t xml:space="preserve"> </w:t>
      </w:r>
      <w:r>
        <w:t>Savings</w:t>
      </w:r>
      <w:r>
        <w:rPr>
          <w:spacing w:val="-9"/>
        </w:rPr>
        <w:t xml:space="preserve"> </w:t>
      </w:r>
      <w:r>
        <w:t>by</w:t>
      </w:r>
      <w:r>
        <w:rPr>
          <w:spacing w:val="-8"/>
        </w:rPr>
        <w:t xml:space="preserve"> </w:t>
      </w:r>
      <w:r>
        <w:t>Program</w:t>
      </w:r>
      <w:r>
        <w:rPr>
          <w:spacing w:val="-9"/>
        </w:rPr>
        <w:t xml:space="preserve"> </w:t>
      </w:r>
      <w:r>
        <w:rPr>
          <w:spacing w:val="-4"/>
        </w:rPr>
        <w:t>Type</w:t>
      </w:r>
    </w:p>
    <w:p w:rsidR="00C31389" w:rsidRDefault="00C31389" w14:paraId="1829C4BA" w14:textId="77777777">
      <w:pPr>
        <w:pStyle w:val="BodyText"/>
        <w:rPr>
          <w:b/>
          <w:sz w:val="20"/>
        </w:rPr>
      </w:pPr>
    </w:p>
    <w:p w:rsidR="00C31389" w:rsidRDefault="00561FBD" w14:paraId="156CD270" w14:textId="77777777">
      <w:pPr>
        <w:pStyle w:val="BodyText"/>
        <w:spacing w:before="3"/>
        <w:rPr>
          <w:b/>
          <w:sz w:val="13"/>
        </w:rPr>
      </w:pPr>
      <w:r>
        <w:rPr>
          <w:noProof/>
        </w:rPr>
        <w:drawing>
          <wp:anchor distT="0" distB="0" distL="0" distR="0" simplePos="0" relativeHeight="487664640" behindDoc="1" locked="0" layoutInCell="1" allowOverlap="1" wp14:editId="162B62DA" wp14:anchorId="42857D79">
            <wp:simplePos x="0" y="0"/>
            <wp:positionH relativeFrom="page">
              <wp:posOffset>1327665</wp:posOffset>
            </wp:positionH>
            <wp:positionV relativeFrom="paragraph">
              <wp:posOffset>112410</wp:posOffset>
            </wp:positionV>
            <wp:extent cx="5144471" cy="2307050"/>
            <wp:effectExtent l="0" t="0" r="0" b="0"/>
            <wp:wrapTopAndBottom/>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73" cstate="print"/>
                    <a:stretch>
                      <a:fillRect/>
                    </a:stretch>
                  </pic:blipFill>
                  <pic:spPr>
                    <a:xfrm>
                      <a:off x="0" y="0"/>
                      <a:ext cx="5144471" cy="2307050"/>
                    </a:xfrm>
                    <a:prstGeom prst="rect">
                      <a:avLst/>
                    </a:prstGeom>
                  </pic:spPr>
                </pic:pic>
              </a:graphicData>
            </a:graphic>
          </wp:anchor>
        </w:drawing>
      </w:r>
    </w:p>
    <w:p w:rsidR="00C31389" w:rsidRDefault="00C31389" w14:paraId="0AD1D561" w14:textId="77777777">
      <w:pPr>
        <w:pStyle w:val="BodyText"/>
        <w:spacing w:before="3"/>
        <w:rPr>
          <w:b/>
          <w:sz w:val="32"/>
        </w:rPr>
      </w:pPr>
    </w:p>
    <w:p w:rsidR="00C31389" w:rsidRDefault="00561FBD" w14:paraId="2EF390AE"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51021DA7" w14:textId="77777777">
      <w:pPr>
        <w:pStyle w:val="BodyText"/>
        <w:spacing w:before="9"/>
        <w:rPr>
          <w:i/>
          <w:sz w:val="20"/>
        </w:rPr>
      </w:pPr>
    </w:p>
    <w:p w:rsidR="00C31389" w:rsidRDefault="00561FBD" w14:paraId="59388395" w14:textId="77777777">
      <w:pPr>
        <w:pStyle w:val="Heading7"/>
        <w:ind w:left="398" w:right="341"/>
        <w:jc w:val="center"/>
      </w:pPr>
      <w:bookmarkStart w:name="_bookmark210" w:id="279"/>
      <w:bookmarkEnd w:id="279"/>
      <w:r>
        <w:t>Figure</w:t>
      </w:r>
      <w:r>
        <w:rPr>
          <w:spacing w:val="-8"/>
        </w:rPr>
        <w:t xml:space="preserve"> </w:t>
      </w:r>
      <w:r>
        <w:t>4-7.</w:t>
      </w:r>
      <w:r>
        <w:rPr>
          <w:spacing w:val="-8"/>
        </w:rPr>
        <w:t xml:space="preserve"> </w:t>
      </w:r>
      <w:r>
        <w:t>BROs</w:t>
      </w:r>
      <w:r>
        <w:rPr>
          <w:spacing w:val="-8"/>
        </w:rPr>
        <w:t xml:space="preserve"> </w:t>
      </w:r>
      <w:r>
        <w:t>Progr</w:t>
      </w:r>
      <w:r>
        <w:t>am</w:t>
      </w:r>
      <w:r>
        <w:rPr>
          <w:spacing w:val="-7"/>
        </w:rPr>
        <w:t xml:space="preserve"> </w:t>
      </w:r>
      <w:r>
        <w:t>First-Year</w:t>
      </w:r>
      <w:r>
        <w:rPr>
          <w:spacing w:val="-9"/>
        </w:rPr>
        <w:t xml:space="preserve"> </w:t>
      </w:r>
      <w:r>
        <w:t>Gas</w:t>
      </w:r>
      <w:r>
        <w:rPr>
          <w:spacing w:val="-8"/>
        </w:rPr>
        <w:t xml:space="preserve"> </w:t>
      </w:r>
      <w:r>
        <w:t>Energy</w:t>
      </w:r>
      <w:r>
        <w:rPr>
          <w:spacing w:val="-8"/>
        </w:rPr>
        <w:t xml:space="preserve"> </w:t>
      </w:r>
      <w:r>
        <w:t>Savings</w:t>
      </w:r>
      <w:r>
        <w:rPr>
          <w:spacing w:val="-8"/>
        </w:rPr>
        <w:t xml:space="preserve"> </w:t>
      </w:r>
      <w:r>
        <w:t>by</w:t>
      </w:r>
      <w:r>
        <w:rPr>
          <w:spacing w:val="-8"/>
        </w:rPr>
        <w:t xml:space="preserve"> </w:t>
      </w:r>
      <w:r>
        <w:t>Program</w:t>
      </w:r>
      <w:r>
        <w:rPr>
          <w:spacing w:val="-8"/>
        </w:rPr>
        <w:t xml:space="preserve"> </w:t>
      </w:r>
      <w:r>
        <w:rPr>
          <w:spacing w:val="-4"/>
        </w:rPr>
        <w:t>Type</w:t>
      </w:r>
    </w:p>
    <w:p w:rsidR="00C31389" w:rsidRDefault="00C31389" w14:paraId="681CC4E4" w14:textId="77777777">
      <w:pPr>
        <w:pStyle w:val="BodyText"/>
        <w:rPr>
          <w:b/>
          <w:sz w:val="20"/>
        </w:rPr>
      </w:pPr>
    </w:p>
    <w:p w:rsidR="00C31389" w:rsidRDefault="00561FBD" w14:paraId="32BA4FE5" w14:textId="77777777">
      <w:pPr>
        <w:pStyle w:val="BodyText"/>
        <w:spacing w:before="9"/>
        <w:rPr>
          <w:b/>
          <w:sz w:val="13"/>
        </w:rPr>
      </w:pPr>
      <w:r>
        <w:rPr>
          <w:noProof/>
        </w:rPr>
        <w:drawing>
          <wp:anchor distT="0" distB="0" distL="0" distR="0" simplePos="0" relativeHeight="487665152" behindDoc="1" locked="0" layoutInCell="1" allowOverlap="1" wp14:editId="445E8BE3" wp14:anchorId="197BFB25">
            <wp:simplePos x="0" y="0"/>
            <wp:positionH relativeFrom="page">
              <wp:posOffset>1286211</wp:posOffset>
            </wp:positionH>
            <wp:positionV relativeFrom="paragraph">
              <wp:posOffset>116407</wp:posOffset>
            </wp:positionV>
            <wp:extent cx="5403981" cy="2298954"/>
            <wp:effectExtent l="0" t="0" r="0" b="0"/>
            <wp:wrapTopAndBottom/>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74" cstate="print"/>
                    <a:stretch>
                      <a:fillRect/>
                    </a:stretch>
                  </pic:blipFill>
                  <pic:spPr>
                    <a:xfrm>
                      <a:off x="0" y="0"/>
                      <a:ext cx="5403981" cy="2298954"/>
                    </a:xfrm>
                    <a:prstGeom prst="rect">
                      <a:avLst/>
                    </a:prstGeom>
                  </pic:spPr>
                </pic:pic>
              </a:graphicData>
            </a:graphic>
          </wp:anchor>
        </w:drawing>
      </w:r>
    </w:p>
    <w:p w:rsidR="00C31389" w:rsidRDefault="00C31389" w14:paraId="3097E1B4" w14:textId="77777777">
      <w:pPr>
        <w:pStyle w:val="BodyText"/>
        <w:spacing w:before="10"/>
        <w:rPr>
          <w:b/>
          <w:sz w:val="27"/>
        </w:rPr>
      </w:pPr>
    </w:p>
    <w:p w:rsidR="00C31389" w:rsidRDefault="00561FBD" w14:paraId="4DBA843E"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07700DCD" w14:textId="77777777">
      <w:pPr>
        <w:pStyle w:val="BodyText"/>
        <w:spacing w:before="10"/>
        <w:rPr>
          <w:i/>
          <w:sz w:val="20"/>
        </w:rPr>
      </w:pPr>
    </w:p>
    <w:p w:rsidR="00C31389" w:rsidRDefault="00561FBD" w14:paraId="70CE2BB0" w14:textId="77777777">
      <w:pPr>
        <w:pStyle w:val="Heading2"/>
        <w:numPr>
          <w:ilvl w:val="1"/>
          <w:numId w:val="71"/>
        </w:numPr>
        <w:tabs>
          <w:tab w:val="left" w:pos="945"/>
        </w:tabs>
        <w:ind w:left="945" w:hanging="465"/>
      </w:pPr>
      <w:bookmarkStart w:name="4.3_FS" w:id="280"/>
      <w:bookmarkStart w:name="_bookmark211" w:id="281"/>
      <w:bookmarkEnd w:id="280"/>
      <w:bookmarkEnd w:id="281"/>
      <w:r>
        <w:rPr>
          <w:spacing w:val="-5"/>
        </w:rPr>
        <w:t>FS</w:t>
      </w:r>
    </w:p>
    <w:p w:rsidR="00C31389" w:rsidRDefault="00561FBD" w14:paraId="306F0450" w14:textId="77777777">
      <w:pPr>
        <w:pStyle w:val="BodyText"/>
        <w:spacing w:before="240"/>
        <w:ind w:left="479" w:right="479"/>
      </w:pPr>
      <w:r>
        <w:t xml:space="preserve">This section provides FS-specific results. Overall, the 2023 Study indicates lower statewide achievable FS potential than was presented in the 2021 analysis. The primary </w:t>
      </w:r>
      <w:r>
        <w:t>driver of this reduction is the incorporation of FS program data during the calibration process for the potential</w:t>
      </w:r>
      <w:r>
        <w:rPr>
          <w:spacing w:val="-3"/>
        </w:rPr>
        <w:t xml:space="preserve"> </w:t>
      </w:r>
      <w:r>
        <w:t>model.</w:t>
      </w:r>
      <w:r>
        <w:rPr>
          <w:spacing w:val="-3"/>
        </w:rPr>
        <w:t xml:space="preserve"> </w:t>
      </w:r>
      <w:r>
        <w:t>This</w:t>
      </w:r>
      <w:r>
        <w:rPr>
          <w:spacing w:val="-3"/>
        </w:rPr>
        <w:t xml:space="preserve"> </w:t>
      </w:r>
      <w:r>
        <w:t>represents</w:t>
      </w:r>
      <w:r>
        <w:rPr>
          <w:spacing w:val="-3"/>
        </w:rPr>
        <w:t xml:space="preserve"> </w:t>
      </w:r>
      <w:r>
        <w:t>an</w:t>
      </w:r>
      <w:r>
        <w:rPr>
          <w:spacing w:val="-3"/>
        </w:rPr>
        <w:t xml:space="preserve"> </w:t>
      </w:r>
      <w:r>
        <w:t>update</w:t>
      </w:r>
      <w:r>
        <w:rPr>
          <w:spacing w:val="-3"/>
        </w:rPr>
        <w:t xml:space="preserve"> </w:t>
      </w:r>
      <w:r>
        <w:t>to</w:t>
      </w:r>
      <w:r>
        <w:rPr>
          <w:spacing w:val="-3"/>
        </w:rPr>
        <w:t xml:space="preserve"> </w:t>
      </w:r>
      <w:r>
        <w:t>the</w:t>
      </w:r>
      <w:r>
        <w:rPr>
          <w:spacing w:val="-4"/>
        </w:rPr>
        <w:t xml:space="preserve"> </w:t>
      </w:r>
      <w:r>
        <w:t>prior</w:t>
      </w:r>
      <w:r>
        <w:rPr>
          <w:spacing w:val="-3"/>
        </w:rPr>
        <w:t xml:space="preserve"> </w:t>
      </w:r>
      <w:r>
        <w:t>study,</w:t>
      </w:r>
      <w:r>
        <w:rPr>
          <w:spacing w:val="-4"/>
        </w:rPr>
        <w:t xml:space="preserve"> </w:t>
      </w:r>
      <w:r>
        <w:t>which</w:t>
      </w:r>
      <w:r>
        <w:rPr>
          <w:spacing w:val="-3"/>
        </w:rPr>
        <w:t xml:space="preserve"> </w:t>
      </w:r>
      <w:r>
        <w:t>applied</w:t>
      </w:r>
      <w:r>
        <w:rPr>
          <w:spacing w:val="-3"/>
        </w:rPr>
        <w:t xml:space="preserve"> </w:t>
      </w:r>
      <w:r>
        <w:t>EE</w:t>
      </w:r>
      <w:r>
        <w:rPr>
          <w:spacing w:val="-3"/>
        </w:rPr>
        <w:t xml:space="preserve"> </w:t>
      </w:r>
      <w:r>
        <w:t>data-derived adoption parameters due to a lack of available FS program d</w:t>
      </w:r>
      <w:r>
        <w:t>ata. The impact of using EE data-derived parameters</w:t>
      </w:r>
      <w:r>
        <w:rPr>
          <w:spacing w:val="40"/>
        </w:rPr>
        <w:t xml:space="preserve"> </w:t>
      </w:r>
      <w:r>
        <w:t>is further illustrated through the 2023 Scenario 3 results, which applies market adoption parameters at the sector and end use level that were generated through historic EE program filings.</w:t>
      </w:r>
    </w:p>
    <w:p w:rsidR="00C31389" w:rsidRDefault="00C31389" w14:paraId="2E0530D4" w14:textId="77777777">
      <w:pPr>
        <w:sectPr w:rsidR="00C31389">
          <w:pgSz w:w="11910" w:h="16840"/>
          <w:pgMar w:top="1660" w:right="1020" w:bottom="1120" w:left="960" w:header="397" w:footer="938" w:gutter="0"/>
          <w:cols w:space="720"/>
        </w:sectPr>
      </w:pPr>
    </w:p>
    <w:p w:rsidR="00C31389" w:rsidRDefault="00C31389" w14:paraId="182EFE99" w14:textId="77777777">
      <w:pPr>
        <w:pStyle w:val="BodyText"/>
      </w:pPr>
    </w:p>
    <w:p w:rsidR="00C31389" w:rsidRDefault="00C31389" w14:paraId="7374238C" w14:textId="77777777">
      <w:pPr>
        <w:pStyle w:val="BodyText"/>
        <w:spacing w:before="11"/>
        <w:rPr>
          <w:sz w:val="13"/>
        </w:rPr>
      </w:pPr>
    </w:p>
    <w:p w:rsidR="00C31389" w:rsidRDefault="00561FBD" w14:paraId="4984A1E0" w14:textId="77777777">
      <w:pPr>
        <w:pStyle w:val="Heading4"/>
        <w:numPr>
          <w:ilvl w:val="2"/>
          <w:numId w:val="71"/>
        </w:numPr>
        <w:tabs>
          <w:tab w:val="left" w:pos="1076"/>
        </w:tabs>
        <w:spacing w:before="92"/>
        <w:ind w:left="1076" w:hanging="596"/>
      </w:pPr>
      <w:bookmarkStart w:name="4.3.1_Results" w:id="282"/>
      <w:bookmarkStart w:name="_bookmark212" w:id="283"/>
      <w:bookmarkEnd w:id="282"/>
      <w:bookmarkEnd w:id="283"/>
      <w:r>
        <w:rPr>
          <w:spacing w:val="-2"/>
        </w:rPr>
        <w:t>Results</w:t>
      </w:r>
    </w:p>
    <w:p w:rsidR="00C31389" w:rsidRDefault="00C31389" w14:paraId="0042FD7F" w14:textId="77777777">
      <w:pPr>
        <w:pStyle w:val="BodyText"/>
        <w:spacing w:before="10"/>
        <w:rPr>
          <w:b/>
          <w:sz w:val="20"/>
        </w:rPr>
      </w:pPr>
    </w:p>
    <w:p w:rsidR="00C31389" w:rsidRDefault="00561FBD" w14:paraId="2503B2ED" w14:textId="77777777">
      <w:pPr>
        <w:pStyle w:val="BodyText"/>
        <w:ind w:left="480" w:right="505" w:hanging="1"/>
      </w:pPr>
      <w:r>
        <w:t xml:space="preserve">For all scenarios that </w:t>
      </w:r>
      <w:hyperlink w:history="1" w:anchor="_bookmark213">
        <w:r>
          <w:t>Figure 4-8</w:t>
        </w:r>
      </w:hyperlink>
      <w:r>
        <w:t xml:space="preserve"> shows, the FS potential benefit growth rate is steady through</w:t>
      </w:r>
      <w:r>
        <w:rPr>
          <w:spacing w:val="-1"/>
        </w:rPr>
        <w:t xml:space="preserve"> </w:t>
      </w:r>
      <w:r>
        <w:t>2030</w:t>
      </w:r>
      <w:r>
        <w:rPr>
          <w:spacing w:val="-1"/>
        </w:rPr>
        <w:t xml:space="preserve"> </w:t>
      </w:r>
      <w:r>
        <w:t>over</w:t>
      </w:r>
      <w:r>
        <w:rPr>
          <w:spacing w:val="-1"/>
        </w:rPr>
        <w:t xml:space="preserve"> </w:t>
      </w:r>
      <w:r>
        <w:t>time</w:t>
      </w:r>
      <w:r>
        <w:rPr>
          <w:spacing w:val="-1"/>
        </w:rPr>
        <w:t xml:space="preserve"> </w:t>
      </w:r>
      <w:r>
        <w:t>but</w:t>
      </w:r>
      <w:r>
        <w:rPr>
          <w:spacing w:val="-1"/>
        </w:rPr>
        <w:t xml:space="preserve"> </w:t>
      </w:r>
      <w:r>
        <w:t>with</w:t>
      </w:r>
      <w:r>
        <w:rPr>
          <w:spacing w:val="-1"/>
        </w:rPr>
        <w:t xml:space="preserve"> </w:t>
      </w:r>
      <w:r>
        <w:t>notable</w:t>
      </w:r>
      <w:r>
        <w:rPr>
          <w:spacing w:val="-1"/>
        </w:rPr>
        <w:t xml:space="preserve"> </w:t>
      </w:r>
      <w:r>
        <w:t>drop</w:t>
      </w:r>
      <w:r>
        <w:rPr>
          <w:spacing w:val="-1"/>
        </w:rPr>
        <w:t xml:space="preserve"> </w:t>
      </w:r>
      <w:r>
        <w:t>in</w:t>
      </w:r>
      <w:r>
        <w:rPr>
          <w:spacing w:val="-2"/>
        </w:rPr>
        <w:t xml:space="preserve"> </w:t>
      </w:r>
      <w:r>
        <w:t>2030</w:t>
      </w:r>
      <w:r>
        <w:rPr>
          <w:spacing w:val="-1"/>
        </w:rPr>
        <w:t xml:space="preserve"> </w:t>
      </w:r>
      <w:r>
        <w:t>reflecting</w:t>
      </w:r>
      <w:r>
        <w:rPr>
          <w:spacing w:val="-1"/>
        </w:rPr>
        <w:t xml:space="preserve"> </w:t>
      </w:r>
      <w:r>
        <w:t>the</w:t>
      </w:r>
      <w:r>
        <w:rPr>
          <w:spacing w:val="-1"/>
        </w:rPr>
        <w:t xml:space="preserve"> </w:t>
      </w:r>
      <w:r>
        <w:t>impact</w:t>
      </w:r>
      <w:r>
        <w:rPr>
          <w:spacing w:val="-1"/>
        </w:rPr>
        <w:t xml:space="preserve"> </w:t>
      </w:r>
      <w:r>
        <w:t>of</w:t>
      </w:r>
      <w:r>
        <w:rPr>
          <w:spacing w:val="-1"/>
        </w:rPr>
        <w:t xml:space="preserve"> </w:t>
      </w:r>
      <w:r>
        <w:t>the</w:t>
      </w:r>
      <w:r>
        <w:rPr>
          <w:spacing w:val="-1"/>
        </w:rPr>
        <w:t xml:space="preserve"> </w:t>
      </w:r>
      <w:r>
        <w:t>CARB</w:t>
      </w:r>
      <w:r>
        <w:rPr>
          <w:spacing w:val="-1"/>
        </w:rPr>
        <w:t xml:space="preserve"> </w:t>
      </w:r>
      <w:r>
        <w:t>SIP appliance</w:t>
      </w:r>
      <w:r>
        <w:rPr>
          <w:spacing w:val="-3"/>
        </w:rPr>
        <w:t xml:space="preserve"> </w:t>
      </w:r>
      <w:r>
        <w:t>decision</w:t>
      </w:r>
      <w:r>
        <w:rPr>
          <w:spacing w:val="-3"/>
        </w:rPr>
        <w:t xml:space="preserve"> </w:t>
      </w:r>
      <w:r>
        <w:t>that</w:t>
      </w:r>
      <w:r>
        <w:rPr>
          <w:spacing w:val="-4"/>
        </w:rPr>
        <w:t xml:space="preserve"> </w:t>
      </w:r>
      <w:r>
        <w:t>removes</w:t>
      </w:r>
      <w:r>
        <w:rPr>
          <w:spacing w:val="-3"/>
        </w:rPr>
        <w:t xml:space="preserve"> </w:t>
      </w:r>
      <w:r>
        <w:t>much</w:t>
      </w:r>
      <w:r>
        <w:rPr>
          <w:spacing w:val="-3"/>
        </w:rPr>
        <w:t xml:space="preserve"> </w:t>
      </w:r>
      <w:r>
        <w:t>of</w:t>
      </w:r>
      <w:r>
        <w:rPr>
          <w:spacing w:val="-3"/>
        </w:rPr>
        <w:t xml:space="preserve"> </w:t>
      </w:r>
      <w:r>
        <w:t>the</w:t>
      </w:r>
      <w:r>
        <w:rPr>
          <w:spacing w:val="-3"/>
        </w:rPr>
        <w:t xml:space="preserve"> </w:t>
      </w:r>
      <w:r>
        <w:t>FS</w:t>
      </w:r>
      <w:r>
        <w:rPr>
          <w:spacing w:val="-4"/>
        </w:rPr>
        <w:t xml:space="preserve"> </w:t>
      </w:r>
      <w:r>
        <w:t>potential</w:t>
      </w:r>
      <w:r>
        <w:rPr>
          <w:spacing w:val="-3"/>
        </w:rPr>
        <w:t xml:space="preserve"> </w:t>
      </w:r>
      <w:r>
        <w:t>for</w:t>
      </w:r>
      <w:r>
        <w:rPr>
          <w:spacing w:val="-4"/>
        </w:rPr>
        <w:t xml:space="preserve"> </w:t>
      </w:r>
      <w:r>
        <w:t>Water</w:t>
      </w:r>
      <w:r>
        <w:rPr>
          <w:spacing w:val="-3"/>
        </w:rPr>
        <w:t xml:space="preserve"> </w:t>
      </w:r>
      <w:r>
        <w:t>Heating</w:t>
      </w:r>
      <w:r>
        <w:rPr>
          <w:spacing w:val="-3"/>
        </w:rPr>
        <w:t xml:space="preserve"> </w:t>
      </w:r>
      <w:r>
        <w:t>and</w:t>
      </w:r>
      <w:r>
        <w:rPr>
          <w:spacing w:val="-3"/>
        </w:rPr>
        <w:t xml:space="preserve"> </w:t>
      </w:r>
      <w:r>
        <w:t>HVAC</w:t>
      </w:r>
      <w:r>
        <w:rPr>
          <w:spacing w:val="-4"/>
        </w:rPr>
        <w:t xml:space="preserve"> </w:t>
      </w:r>
      <w:r>
        <w:t>end uses. All achievable FS potential subsequent to 2030 is generated by commercial Food Service end use measures.</w:t>
      </w:r>
    </w:p>
    <w:p w:rsidR="00C31389" w:rsidRDefault="00C31389" w14:paraId="19F3F403" w14:textId="77777777">
      <w:pPr>
        <w:pStyle w:val="BodyText"/>
        <w:spacing w:before="10"/>
        <w:rPr>
          <w:sz w:val="20"/>
        </w:rPr>
      </w:pPr>
    </w:p>
    <w:p w:rsidR="00C31389" w:rsidRDefault="00561FBD" w14:paraId="3EE4C4A6" w14:textId="77777777">
      <w:pPr>
        <w:pStyle w:val="Heading7"/>
        <w:ind w:left="398" w:right="339"/>
        <w:jc w:val="center"/>
      </w:pPr>
      <w:bookmarkStart w:name="_bookmark213" w:id="284"/>
      <w:bookmarkEnd w:id="284"/>
      <w:r>
        <w:t>Figure</w:t>
      </w:r>
      <w:r>
        <w:rPr>
          <w:spacing w:val="-5"/>
        </w:rPr>
        <w:t xml:space="preserve"> </w:t>
      </w:r>
      <w:r>
        <w:t>4-8.</w:t>
      </w:r>
      <w:r>
        <w:rPr>
          <w:spacing w:val="-4"/>
        </w:rPr>
        <w:t xml:space="preserve"> </w:t>
      </w:r>
      <w:r>
        <w:t>FS</w:t>
      </w:r>
      <w:r>
        <w:rPr>
          <w:spacing w:val="-4"/>
        </w:rPr>
        <w:t xml:space="preserve"> </w:t>
      </w:r>
      <w:r>
        <w:t>TSB</w:t>
      </w:r>
      <w:r>
        <w:rPr>
          <w:spacing w:val="-5"/>
        </w:rPr>
        <w:t xml:space="preserve"> </w:t>
      </w:r>
      <w:r>
        <w:t>($)</w:t>
      </w:r>
      <w:r>
        <w:rPr>
          <w:spacing w:val="-4"/>
        </w:rPr>
        <w:t xml:space="preserve"> </w:t>
      </w:r>
      <w:r>
        <w:t>by</w:t>
      </w:r>
      <w:r>
        <w:rPr>
          <w:spacing w:val="-4"/>
        </w:rPr>
        <w:t xml:space="preserve"> </w:t>
      </w:r>
      <w:r>
        <w:rPr>
          <w:spacing w:val="-2"/>
        </w:rPr>
        <w:t>Scenario</w:t>
      </w:r>
    </w:p>
    <w:p w:rsidR="00C31389" w:rsidRDefault="00C31389" w14:paraId="6958D890" w14:textId="77777777">
      <w:pPr>
        <w:pStyle w:val="BodyText"/>
        <w:rPr>
          <w:b/>
          <w:sz w:val="20"/>
        </w:rPr>
      </w:pPr>
    </w:p>
    <w:p w:rsidR="00C31389" w:rsidRDefault="00561FBD" w14:paraId="1078F85D" w14:textId="77777777">
      <w:pPr>
        <w:pStyle w:val="BodyText"/>
        <w:rPr>
          <w:b/>
          <w:sz w:val="19"/>
        </w:rPr>
      </w:pPr>
      <w:r>
        <w:rPr>
          <w:noProof/>
        </w:rPr>
        <w:drawing>
          <wp:anchor distT="0" distB="0" distL="0" distR="0" simplePos="0" relativeHeight="487666176" behindDoc="1" locked="0" layoutInCell="1" allowOverlap="1" wp14:editId="05D8FC07" wp14:anchorId="35D34A5F">
            <wp:simplePos x="0" y="0"/>
            <wp:positionH relativeFrom="page">
              <wp:posOffset>1254364</wp:posOffset>
            </wp:positionH>
            <wp:positionV relativeFrom="paragraph">
              <wp:posOffset>154376</wp:posOffset>
            </wp:positionV>
            <wp:extent cx="5097347" cy="2231040"/>
            <wp:effectExtent l="0" t="0" r="0" b="0"/>
            <wp:wrapTopAndBottom/>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75" cstate="print"/>
                    <a:stretch>
                      <a:fillRect/>
                    </a:stretch>
                  </pic:blipFill>
                  <pic:spPr>
                    <a:xfrm>
                      <a:off x="0" y="0"/>
                      <a:ext cx="5097347" cy="2231040"/>
                    </a:xfrm>
                    <a:prstGeom prst="rect">
                      <a:avLst/>
                    </a:prstGeom>
                  </pic:spPr>
                </pic:pic>
              </a:graphicData>
            </a:graphic>
          </wp:anchor>
        </w:drawing>
      </w:r>
    </w:p>
    <w:p w:rsidR="00C31389" w:rsidRDefault="00C31389" w14:paraId="0BDCB86B" w14:textId="77777777">
      <w:pPr>
        <w:pStyle w:val="BodyText"/>
        <w:rPr>
          <w:b/>
          <w:sz w:val="29"/>
        </w:rPr>
      </w:pPr>
    </w:p>
    <w:p w:rsidR="00C31389" w:rsidRDefault="00561FBD" w14:paraId="2D9B8FED"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43ED53A2" w14:textId="77777777">
      <w:pPr>
        <w:pStyle w:val="BodyText"/>
        <w:spacing w:before="9"/>
        <w:rPr>
          <w:i/>
          <w:sz w:val="20"/>
        </w:rPr>
      </w:pPr>
    </w:p>
    <w:p w:rsidR="00C31389" w:rsidRDefault="00561FBD" w14:paraId="02AE5435" w14:textId="77777777">
      <w:pPr>
        <w:pStyle w:val="BodyText"/>
        <w:ind w:left="480" w:right="418"/>
      </w:pPr>
      <w:hyperlink w:history="1" w:anchor="_bookmark215">
        <w:r>
          <w:t>Figure</w:t>
        </w:r>
        <w:r>
          <w:rPr>
            <w:spacing w:val="-1"/>
          </w:rPr>
          <w:t xml:space="preserve"> </w:t>
        </w:r>
        <w:r>
          <w:t>4-9</w:t>
        </w:r>
      </w:hyperlink>
      <w:r>
        <w:rPr>
          <w:spacing w:val="-1"/>
        </w:rPr>
        <w:t xml:space="preserve"> </w:t>
      </w:r>
      <w:r>
        <w:t>shows</w:t>
      </w:r>
      <w:r>
        <w:rPr>
          <w:spacing w:val="-1"/>
        </w:rPr>
        <w:t xml:space="preserve"> </w:t>
      </w:r>
      <w:r>
        <w:t>electric</w:t>
      </w:r>
      <w:r>
        <w:rPr>
          <w:spacing w:val="-1"/>
        </w:rPr>
        <w:t xml:space="preserve"> </w:t>
      </w:r>
      <w:r>
        <w:t>consumption</w:t>
      </w:r>
      <w:r>
        <w:rPr>
          <w:spacing w:val="-1"/>
        </w:rPr>
        <w:t xml:space="preserve"> </w:t>
      </w:r>
      <w:r>
        <w:t>increase</w:t>
      </w:r>
      <w:r>
        <w:rPr>
          <w:spacing w:val="-2"/>
        </w:rPr>
        <w:t xml:space="preserve"> </w:t>
      </w:r>
      <w:r>
        <w:t>and</w:t>
      </w:r>
      <w:r>
        <w:rPr>
          <w:spacing w:val="-1"/>
        </w:rPr>
        <w:t xml:space="preserve"> </w:t>
      </w:r>
      <w:r>
        <w:t>natural</w:t>
      </w:r>
      <w:r>
        <w:rPr>
          <w:spacing w:val="-2"/>
        </w:rPr>
        <w:t xml:space="preserve"> </w:t>
      </w:r>
      <w:r>
        <w:t>gas</w:t>
      </w:r>
      <w:r>
        <w:rPr>
          <w:spacing w:val="-1"/>
        </w:rPr>
        <w:t xml:space="preserve"> </w:t>
      </w:r>
      <w:r>
        <w:t>consumption</w:t>
      </w:r>
      <w:r>
        <w:rPr>
          <w:spacing w:val="-1"/>
        </w:rPr>
        <w:t xml:space="preserve"> </w:t>
      </w:r>
      <w:r>
        <w:t>decrease (savings) resulting from achievable FS impacts in 2024 for the four scenarios. All FS measures</w:t>
      </w:r>
      <w:r>
        <w:rPr>
          <w:spacing w:val="-4"/>
        </w:rPr>
        <w:t xml:space="preserve"> </w:t>
      </w:r>
      <w:r>
        <w:t>in</w:t>
      </w:r>
      <w:r>
        <w:rPr>
          <w:spacing w:val="-3"/>
        </w:rPr>
        <w:t xml:space="preserve"> </w:t>
      </w:r>
      <w:r>
        <w:t>the</w:t>
      </w:r>
      <w:r>
        <w:rPr>
          <w:spacing w:val="-3"/>
        </w:rPr>
        <w:t xml:space="preserve"> </w:t>
      </w:r>
      <w:r>
        <w:t>analysis</w:t>
      </w:r>
      <w:r>
        <w:rPr>
          <w:spacing w:val="-4"/>
        </w:rPr>
        <w:t xml:space="preserve"> </w:t>
      </w:r>
      <w:r>
        <w:t>pass</w:t>
      </w:r>
      <w:r>
        <w:rPr>
          <w:spacing w:val="-3"/>
        </w:rPr>
        <w:t xml:space="preserve"> </w:t>
      </w:r>
      <w:r>
        <w:t>the</w:t>
      </w:r>
      <w:r>
        <w:rPr>
          <w:spacing w:val="-3"/>
        </w:rPr>
        <w:t xml:space="preserve"> </w:t>
      </w:r>
      <w:r>
        <w:t>FST</w:t>
      </w:r>
      <w:r>
        <w:rPr>
          <w:spacing w:val="-40"/>
        </w:rPr>
        <w:t xml:space="preserve"> </w:t>
      </w:r>
      <w:hyperlink w:history="1" w:anchor="_bookmark214">
        <w:r>
          <w:rPr>
            <w:position w:val="7"/>
            <w:sz w:val="14"/>
          </w:rPr>
          <w:t>68</w:t>
        </w:r>
      </w:hyperlink>
      <w:r>
        <w:rPr>
          <w:spacing w:val="18"/>
          <w:position w:val="7"/>
          <w:sz w:val="14"/>
        </w:rPr>
        <w:t xml:space="preserve"> </w:t>
      </w:r>
      <w:r>
        <w:t>independent</w:t>
      </w:r>
      <w:r>
        <w:rPr>
          <w:spacing w:val="-3"/>
        </w:rPr>
        <w:t xml:space="preserve"> </w:t>
      </w:r>
      <w:r>
        <w:t>of</w:t>
      </w:r>
      <w:r>
        <w:rPr>
          <w:spacing w:val="-3"/>
        </w:rPr>
        <w:t xml:space="preserve"> </w:t>
      </w:r>
      <w:r>
        <w:t>cost-effectiveness</w:t>
      </w:r>
      <w:r>
        <w:rPr>
          <w:spacing w:val="-3"/>
        </w:rPr>
        <w:t xml:space="preserve"> </w:t>
      </w:r>
      <w:r>
        <w:t>or</w:t>
      </w:r>
      <w:r>
        <w:rPr>
          <w:spacing w:val="-3"/>
        </w:rPr>
        <w:t xml:space="preserve"> </w:t>
      </w:r>
      <w:r>
        <w:t>customer adoption metrics.</w:t>
      </w:r>
    </w:p>
    <w:p w:rsidR="00C31389" w:rsidRDefault="00C31389" w14:paraId="74E12D5F" w14:textId="77777777">
      <w:pPr>
        <w:pStyle w:val="BodyText"/>
        <w:spacing w:before="10"/>
        <w:rPr>
          <w:sz w:val="20"/>
        </w:rPr>
      </w:pPr>
    </w:p>
    <w:p w:rsidR="00C31389" w:rsidRDefault="00561FBD" w14:paraId="7D969796" w14:textId="77777777">
      <w:pPr>
        <w:pStyle w:val="BodyText"/>
        <w:ind w:left="479" w:right="455"/>
      </w:pPr>
      <w:r>
        <w:t>In scenarios 1, 2, and 4, HVAC measures are the primary driver of overall FS potential prior to 2030 ranging from 79 to 83%. The aggressive Scena</w:t>
      </w:r>
      <w:r>
        <w:t>rio parameters in Scenario 3 drive Water Heating measures to a significantly larger degree in both Residential and Commercial sectors. At the sector level, Commercial FS potential on an energy and TSB basis is higher than Residential in the No IRA referenc</w:t>
      </w:r>
      <w:r>
        <w:t>e scenario. Incorporating the impact of tax credits</w:t>
      </w:r>
      <w:r>
        <w:rPr>
          <w:spacing w:val="40"/>
        </w:rPr>
        <w:t xml:space="preserve"> </w:t>
      </w:r>
      <w:r>
        <w:t>has</w:t>
      </w:r>
      <w:r>
        <w:rPr>
          <w:spacing w:val="-3"/>
        </w:rPr>
        <w:t xml:space="preserve"> </w:t>
      </w:r>
      <w:r>
        <w:t>a</w:t>
      </w:r>
      <w:r>
        <w:rPr>
          <w:spacing w:val="-3"/>
        </w:rPr>
        <w:t xml:space="preserve"> </w:t>
      </w:r>
      <w:r>
        <w:t>proportionally</w:t>
      </w:r>
      <w:r>
        <w:rPr>
          <w:spacing w:val="-4"/>
        </w:rPr>
        <w:t xml:space="preserve"> </w:t>
      </w:r>
      <w:r>
        <w:t>larger</w:t>
      </w:r>
      <w:r>
        <w:rPr>
          <w:spacing w:val="-3"/>
        </w:rPr>
        <w:t xml:space="preserve"> </w:t>
      </w:r>
      <w:r>
        <w:t>impact</w:t>
      </w:r>
      <w:r>
        <w:rPr>
          <w:spacing w:val="-3"/>
        </w:rPr>
        <w:t xml:space="preserve"> </w:t>
      </w:r>
      <w:r>
        <w:t>on</w:t>
      </w:r>
      <w:r>
        <w:rPr>
          <w:spacing w:val="-3"/>
        </w:rPr>
        <w:t xml:space="preserve"> </w:t>
      </w:r>
      <w:r>
        <w:t>Residential</w:t>
      </w:r>
      <w:r>
        <w:rPr>
          <w:spacing w:val="-4"/>
        </w:rPr>
        <w:t xml:space="preserve"> </w:t>
      </w:r>
      <w:r>
        <w:t>measures</w:t>
      </w:r>
      <w:r>
        <w:rPr>
          <w:spacing w:val="-1"/>
        </w:rPr>
        <w:t xml:space="preserve"> </w:t>
      </w:r>
      <w:r>
        <w:t>and</w:t>
      </w:r>
      <w:r>
        <w:rPr>
          <w:spacing w:val="-3"/>
        </w:rPr>
        <w:t xml:space="preserve"> </w:t>
      </w:r>
      <w:r>
        <w:t>yields</w:t>
      </w:r>
      <w:r>
        <w:rPr>
          <w:spacing w:val="-4"/>
        </w:rPr>
        <w:t xml:space="preserve"> </w:t>
      </w:r>
      <w:r>
        <w:t>larger</w:t>
      </w:r>
      <w:r>
        <w:rPr>
          <w:spacing w:val="-3"/>
        </w:rPr>
        <w:t xml:space="preserve"> </w:t>
      </w:r>
      <w:r>
        <w:t>overall</w:t>
      </w:r>
      <w:r>
        <w:rPr>
          <w:spacing w:val="-3"/>
        </w:rPr>
        <w:t xml:space="preserve"> </w:t>
      </w:r>
      <w:r>
        <w:t xml:space="preserve">potential in Scenarios 2-4, indicating this sector has a greater sensitivity to measure cost at the levels </w:t>
      </w:r>
      <w:r>
        <w:t>specified by the IRA. Food Service end use also generated impacts within the commercial sector, however it represents a lower proportion of overall achievable potential prior to 2030.</w:t>
      </w:r>
    </w:p>
    <w:p w:rsidR="00C31389" w:rsidRDefault="00C31389" w14:paraId="15425300" w14:textId="77777777">
      <w:pPr>
        <w:pStyle w:val="BodyText"/>
        <w:rPr>
          <w:sz w:val="20"/>
        </w:rPr>
      </w:pPr>
    </w:p>
    <w:p w:rsidR="00C31389" w:rsidRDefault="00C31389" w14:paraId="2C76E411" w14:textId="77777777">
      <w:pPr>
        <w:pStyle w:val="BodyText"/>
        <w:rPr>
          <w:sz w:val="20"/>
        </w:rPr>
      </w:pPr>
    </w:p>
    <w:p w:rsidR="00C31389" w:rsidRDefault="00C31389" w14:paraId="68183B70" w14:textId="77777777">
      <w:pPr>
        <w:pStyle w:val="BodyText"/>
        <w:rPr>
          <w:sz w:val="20"/>
        </w:rPr>
      </w:pPr>
    </w:p>
    <w:p w:rsidR="00C31389" w:rsidRDefault="00C31389" w14:paraId="04AD1AAC" w14:textId="77777777">
      <w:pPr>
        <w:pStyle w:val="BodyText"/>
        <w:rPr>
          <w:sz w:val="20"/>
        </w:rPr>
      </w:pPr>
    </w:p>
    <w:p w:rsidR="00C31389" w:rsidRDefault="00C31389" w14:paraId="7FE4E9EF" w14:textId="77777777">
      <w:pPr>
        <w:pStyle w:val="BodyText"/>
        <w:rPr>
          <w:sz w:val="20"/>
        </w:rPr>
      </w:pPr>
    </w:p>
    <w:p w:rsidR="00C31389" w:rsidRDefault="00C31389" w14:paraId="0BEF7189" w14:textId="77777777">
      <w:pPr>
        <w:pStyle w:val="BodyText"/>
        <w:rPr>
          <w:sz w:val="20"/>
        </w:rPr>
      </w:pPr>
    </w:p>
    <w:p w:rsidR="00C31389" w:rsidRDefault="00C31389" w14:paraId="7BE3440C" w14:textId="77777777">
      <w:pPr>
        <w:pStyle w:val="BodyText"/>
        <w:rPr>
          <w:sz w:val="20"/>
        </w:rPr>
      </w:pPr>
    </w:p>
    <w:p w:rsidR="00C31389" w:rsidRDefault="00561FBD" w14:paraId="58B671CD" w14:textId="77777777">
      <w:pPr>
        <w:pStyle w:val="BodyText"/>
        <w:spacing w:before="10"/>
        <w:rPr>
          <w:sz w:val="26"/>
        </w:rPr>
      </w:pPr>
      <w:r>
        <w:rPr>
          <w:noProof/>
        </w:rPr>
        <mc:AlternateContent>
          <mc:Choice Requires="wps">
            <w:drawing>
              <wp:anchor distT="0" distB="0" distL="0" distR="0" simplePos="0" relativeHeight="487666688" behindDoc="1" locked="0" layoutInCell="1" allowOverlap="1" wp14:editId="452A422E" wp14:anchorId="70494007">
                <wp:simplePos x="0" y="0"/>
                <wp:positionH relativeFrom="page">
                  <wp:posOffset>914400</wp:posOffset>
                </wp:positionH>
                <wp:positionV relativeFrom="paragraph">
                  <wp:posOffset>212065</wp:posOffset>
                </wp:positionV>
                <wp:extent cx="1828800" cy="6985"/>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80" style="position:absolute;margin-left:1in;margin-top:16.7pt;width:2in;height:.55pt;z-index:-1564979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" w14:anchorId="1F25665E">
                <v:path arrowok="t"/>
                <w10:wrap type="topAndBottom" anchorx="page"/>
              </v:shape>
            </w:pict>
          </mc:Fallback>
        </mc:AlternateContent>
      </w:r>
    </w:p>
    <w:p w:rsidR="00C31389" w:rsidRDefault="00561FBD" w14:paraId="6A389F9C" w14:textId="77777777">
      <w:pPr>
        <w:spacing w:before="88"/>
        <w:ind w:left="480" w:right="418"/>
        <w:rPr>
          <w:sz w:val="18"/>
        </w:rPr>
      </w:pPr>
      <w:bookmarkStart w:name="_bookmark214" w:id="285"/>
      <w:bookmarkEnd w:id="285"/>
      <w:r>
        <w:rPr>
          <w:position w:val="6"/>
          <w:sz w:val="12"/>
        </w:rPr>
        <w:t>68</w:t>
      </w:r>
      <w:r>
        <w:rPr>
          <w:spacing w:val="19"/>
          <w:position w:val="6"/>
          <w:sz w:val="12"/>
        </w:rPr>
        <w:t xml:space="preserve"> </w:t>
      </w:r>
      <w:r>
        <w:rPr>
          <w:sz w:val="18"/>
        </w:rPr>
        <w:t xml:space="preserve">California Public Utilities Commission, </w:t>
      </w:r>
      <w:hyperlink r:id="rId176">
        <w:r>
          <w:rPr>
            <w:i/>
            <w:color w:val="68942C"/>
            <w:sz w:val="18"/>
            <w:u w:val="single" w:color="68942C"/>
          </w:rPr>
          <w:t>Decision Modifying The Energy Efficiency Three-Prong Test Related to</w:t>
        </w:r>
      </w:hyperlink>
      <w:r>
        <w:rPr>
          <w:i/>
          <w:color w:val="68942C"/>
          <w:sz w:val="18"/>
        </w:rPr>
        <w:t xml:space="preserve"> </w:t>
      </w:r>
      <w:hyperlink r:id="rId177">
        <w:r>
          <w:rPr>
            <w:i/>
            <w:color w:val="68942C"/>
            <w:sz w:val="18"/>
            <w:u w:val="single" w:color="68942C"/>
          </w:rPr>
          <w:t>Fuel Substitution</w:t>
        </w:r>
        <w:r>
          <w:rPr>
            <w:sz w:val="18"/>
          </w:rPr>
          <w:t>,</w:t>
        </w:r>
      </w:hyperlink>
      <w:r>
        <w:rPr>
          <w:sz w:val="18"/>
        </w:rPr>
        <w:t xml:space="preserve"> 2019. CPUC Decision 19-08-009 specifies that to be included in an EE portfolio, a measure must</w:t>
      </w:r>
      <w:r>
        <w:rPr>
          <w:spacing w:val="-3"/>
          <w:sz w:val="18"/>
        </w:rPr>
        <w:t xml:space="preserve"> </w:t>
      </w:r>
      <w:r>
        <w:rPr>
          <w:sz w:val="18"/>
        </w:rPr>
        <w:t>not</w:t>
      </w:r>
      <w:r>
        <w:rPr>
          <w:spacing w:val="-3"/>
          <w:sz w:val="18"/>
        </w:rPr>
        <w:t xml:space="preserve"> </w:t>
      </w:r>
      <w:r>
        <w:rPr>
          <w:sz w:val="18"/>
        </w:rPr>
        <w:t>increase</w:t>
      </w:r>
      <w:r>
        <w:rPr>
          <w:spacing w:val="-3"/>
          <w:sz w:val="18"/>
        </w:rPr>
        <w:t xml:space="preserve"> </w:t>
      </w:r>
      <w:r>
        <w:rPr>
          <w:sz w:val="18"/>
        </w:rPr>
        <w:t>source</w:t>
      </w:r>
      <w:r>
        <w:rPr>
          <w:spacing w:val="-3"/>
          <w:sz w:val="18"/>
        </w:rPr>
        <w:t xml:space="preserve"> </w:t>
      </w:r>
      <w:r>
        <w:rPr>
          <w:sz w:val="18"/>
        </w:rPr>
        <w:t>energy,</w:t>
      </w:r>
      <w:r>
        <w:rPr>
          <w:spacing w:val="-3"/>
          <w:sz w:val="18"/>
        </w:rPr>
        <w:t xml:space="preserve"> </w:t>
      </w:r>
      <w:r>
        <w:rPr>
          <w:sz w:val="18"/>
        </w:rPr>
        <w:t>and</w:t>
      </w:r>
      <w:r>
        <w:rPr>
          <w:spacing w:val="-3"/>
          <w:sz w:val="18"/>
        </w:rPr>
        <w:t xml:space="preserve"> </w:t>
      </w:r>
      <w:r>
        <w:rPr>
          <w:sz w:val="18"/>
        </w:rPr>
        <w:t>it</w:t>
      </w:r>
      <w:r>
        <w:rPr>
          <w:spacing w:val="-3"/>
          <w:sz w:val="18"/>
        </w:rPr>
        <w:t xml:space="preserve"> </w:t>
      </w:r>
      <w:r>
        <w:rPr>
          <w:sz w:val="18"/>
        </w:rPr>
        <w:t>must</w:t>
      </w:r>
      <w:r>
        <w:rPr>
          <w:spacing w:val="-3"/>
          <w:sz w:val="18"/>
        </w:rPr>
        <w:t xml:space="preserve"> </w:t>
      </w:r>
      <w:r>
        <w:rPr>
          <w:sz w:val="18"/>
        </w:rPr>
        <w:t>not</w:t>
      </w:r>
      <w:r>
        <w:rPr>
          <w:spacing w:val="-3"/>
          <w:sz w:val="18"/>
        </w:rPr>
        <w:t xml:space="preserve"> </w:t>
      </w:r>
      <w:r>
        <w:rPr>
          <w:sz w:val="18"/>
        </w:rPr>
        <w:t>harm</w:t>
      </w:r>
      <w:r>
        <w:rPr>
          <w:spacing w:val="-3"/>
          <w:sz w:val="18"/>
        </w:rPr>
        <w:t xml:space="preserve"> </w:t>
      </w:r>
      <w:r>
        <w:rPr>
          <w:sz w:val="18"/>
        </w:rPr>
        <w:t>the</w:t>
      </w:r>
      <w:r>
        <w:rPr>
          <w:spacing w:val="-3"/>
          <w:sz w:val="18"/>
        </w:rPr>
        <w:t xml:space="preserve"> </w:t>
      </w:r>
      <w:r>
        <w:rPr>
          <w:sz w:val="18"/>
        </w:rPr>
        <w:t>environment</w:t>
      </w:r>
      <w:r>
        <w:rPr>
          <w:spacing w:val="-3"/>
          <w:sz w:val="18"/>
        </w:rPr>
        <w:t xml:space="preserve"> </w:t>
      </w:r>
      <w:r>
        <w:rPr>
          <w:sz w:val="18"/>
        </w:rPr>
        <w:t>(where</w:t>
      </w:r>
      <w:r>
        <w:rPr>
          <w:spacing w:val="-3"/>
          <w:sz w:val="18"/>
        </w:rPr>
        <w:t xml:space="preserve"> </w:t>
      </w:r>
      <w:r>
        <w:rPr>
          <w:sz w:val="18"/>
        </w:rPr>
        <w:t>environmental</w:t>
      </w:r>
      <w:r>
        <w:rPr>
          <w:spacing w:val="-3"/>
          <w:sz w:val="18"/>
        </w:rPr>
        <w:t xml:space="preserve"> </w:t>
      </w:r>
      <w:r>
        <w:rPr>
          <w:sz w:val="18"/>
        </w:rPr>
        <w:t>harm</w:t>
      </w:r>
      <w:r>
        <w:rPr>
          <w:spacing w:val="-3"/>
          <w:sz w:val="18"/>
        </w:rPr>
        <w:t xml:space="preserve"> </w:t>
      </w:r>
      <w:r>
        <w:rPr>
          <w:sz w:val="18"/>
        </w:rPr>
        <w:t>is</w:t>
      </w:r>
      <w:r>
        <w:rPr>
          <w:spacing w:val="-2"/>
          <w:sz w:val="18"/>
        </w:rPr>
        <w:t xml:space="preserve"> </w:t>
      </w:r>
      <w:r>
        <w:rPr>
          <w:sz w:val="18"/>
        </w:rPr>
        <w:t xml:space="preserve">measured </w:t>
      </w:r>
      <w:r>
        <w:rPr>
          <w:position w:val="1"/>
          <w:sz w:val="18"/>
        </w:rPr>
        <w:t>by net CO</w:t>
      </w:r>
      <w:r>
        <w:rPr>
          <w:sz w:val="12"/>
        </w:rPr>
        <w:t>2</w:t>
      </w:r>
      <w:r>
        <w:rPr>
          <w:spacing w:val="40"/>
          <w:sz w:val="12"/>
        </w:rPr>
        <w:t xml:space="preserve"> </w:t>
      </w:r>
      <w:r>
        <w:rPr>
          <w:position w:val="1"/>
          <w:sz w:val="18"/>
        </w:rPr>
        <w:t>emissions).</w:t>
      </w:r>
    </w:p>
    <w:p w:rsidR="00C31389" w:rsidRDefault="00C31389" w14:paraId="19501138" w14:textId="77777777">
      <w:pPr>
        <w:rPr>
          <w:sz w:val="18"/>
        </w:rPr>
        <w:sectPr w:rsidR="00C31389">
          <w:headerReference w:type="default" r:id="rId178"/>
          <w:footerReference w:type="default" r:id="rId179"/>
          <w:pgSz w:w="11910" w:h="16840"/>
          <w:pgMar w:top="1380" w:right="1020" w:bottom="1120" w:left="960" w:header="397" w:footer="938" w:gutter="0"/>
          <w:cols w:space="720"/>
        </w:sectPr>
      </w:pPr>
    </w:p>
    <w:p w:rsidR="00C31389" w:rsidRDefault="00C31389" w14:paraId="2FB15A40" w14:textId="77777777">
      <w:pPr>
        <w:pStyle w:val="BodyText"/>
        <w:spacing w:before="11"/>
        <w:rPr>
          <w:sz w:val="13"/>
        </w:rPr>
      </w:pPr>
    </w:p>
    <w:p w:rsidR="00C31389" w:rsidRDefault="00561FBD" w14:paraId="41E018F9" w14:textId="77777777">
      <w:pPr>
        <w:pStyle w:val="Heading7"/>
        <w:spacing w:before="92"/>
        <w:ind w:left="398" w:right="339"/>
        <w:jc w:val="center"/>
      </w:pPr>
      <w:bookmarkStart w:name="_bookmark215" w:id="286"/>
      <w:bookmarkEnd w:id="286"/>
      <w:r>
        <w:t>Figure</w:t>
      </w:r>
      <w:r>
        <w:rPr>
          <w:spacing w:val="-6"/>
        </w:rPr>
        <w:t xml:space="preserve"> </w:t>
      </w:r>
      <w:r>
        <w:t>4-9.</w:t>
      </w:r>
      <w:r>
        <w:rPr>
          <w:spacing w:val="-6"/>
        </w:rPr>
        <w:t xml:space="preserve"> </w:t>
      </w:r>
      <w:r>
        <w:t>FS</w:t>
      </w:r>
      <w:r>
        <w:rPr>
          <w:spacing w:val="-6"/>
        </w:rPr>
        <w:t xml:space="preserve"> </w:t>
      </w:r>
      <w:r>
        <w:t>Electric</w:t>
      </w:r>
      <w:r>
        <w:rPr>
          <w:spacing w:val="-5"/>
        </w:rPr>
        <w:t xml:space="preserve"> </w:t>
      </w:r>
      <w:r>
        <w:t>and</w:t>
      </w:r>
      <w:r>
        <w:rPr>
          <w:spacing w:val="-6"/>
        </w:rPr>
        <w:t xml:space="preserve"> </w:t>
      </w:r>
      <w:r>
        <w:t>Gas</w:t>
      </w:r>
      <w:r>
        <w:rPr>
          <w:spacing w:val="-6"/>
        </w:rPr>
        <w:t xml:space="preserve"> </w:t>
      </w:r>
      <w:r>
        <w:t>Energy</w:t>
      </w:r>
      <w:r>
        <w:rPr>
          <w:spacing w:val="-6"/>
        </w:rPr>
        <w:t xml:space="preserve"> </w:t>
      </w:r>
      <w:r>
        <w:t>Impacts</w:t>
      </w:r>
      <w:r>
        <w:rPr>
          <w:spacing w:val="-6"/>
        </w:rPr>
        <w:t xml:space="preserve"> </w:t>
      </w:r>
      <w:r>
        <w:t>in</w:t>
      </w:r>
      <w:r>
        <w:rPr>
          <w:spacing w:val="-6"/>
        </w:rPr>
        <w:t xml:space="preserve"> </w:t>
      </w:r>
      <w:r>
        <w:rPr>
          <w:spacing w:val="-4"/>
        </w:rPr>
        <w:t>2024</w:t>
      </w:r>
    </w:p>
    <w:p w:rsidR="00C31389" w:rsidRDefault="00C31389" w14:paraId="4D2AEC7C" w14:textId="77777777">
      <w:pPr>
        <w:pStyle w:val="BodyText"/>
        <w:rPr>
          <w:b/>
          <w:sz w:val="20"/>
        </w:rPr>
      </w:pPr>
    </w:p>
    <w:p w:rsidR="00C31389" w:rsidRDefault="00561FBD" w14:paraId="02BF3DB2" w14:textId="77777777">
      <w:pPr>
        <w:pStyle w:val="BodyText"/>
        <w:spacing w:before="2"/>
        <w:rPr>
          <w:b/>
          <w:sz w:val="10"/>
        </w:rPr>
      </w:pPr>
      <w:r>
        <w:rPr>
          <w:noProof/>
        </w:rPr>
        <w:drawing>
          <wp:anchor distT="0" distB="0" distL="0" distR="0" simplePos="0" relativeHeight="487667200" behindDoc="1" locked="0" layoutInCell="1" allowOverlap="1" wp14:editId="1F723F00" wp14:anchorId="0139BF73">
            <wp:simplePos x="0" y="0"/>
            <wp:positionH relativeFrom="page">
              <wp:posOffset>718820</wp:posOffset>
            </wp:positionH>
            <wp:positionV relativeFrom="paragraph">
              <wp:posOffset>89988</wp:posOffset>
            </wp:positionV>
            <wp:extent cx="2874785" cy="1675161"/>
            <wp:effectExtent l="0" t="0" r="0" b="0"/>
            <wp:wrapTopAndBottom/>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80" cstate="print"/>
                    <a:stretch>
                      <a:fillRect/>
                    </a:stretch>
                  </pic:blipFill>
                  <pic:spPr>
                    <a:xfrm>
                      <a:off x="0" y="0"/>
                      <a:ext cx="2874785" cy="1675161"/>
                    </a:xfrm>
                    <a:prstGeom prst="rect">
                      <a:avLst/>
                    </a:prstGeom>
                  </pic:spPr>
                </pic:pic>
              </a:graphicData>
            </a:graphic>
          </wp:anchor>
        </w:drawing>
      </w:r>
      <w:r>
        <w:rPr>
          <w:noProof/>
        </w:rPr>
        <w:drawing>
          <wp:anchor distT="0" distB="0" distL="0" distR="0" simplePos="0" relativeHeight="487667712" behindDoc="1" locked="0" layoutInCell="1" allowOverlap="1" wp14:editId="5C1FDC82" wp14:anchorId="7CE79A85">
            <wp:simplePos x="0" y="0"/>
            <wp:positionH relativeFrom="page">
              <wp:posOffset>3831590</wp:posOffset>
            </wp:positionH>
            <wp:positionV relativeFrom="paragraph">
              <wp:posOffset>91894</wp:posOffset>
            </wp:positionV>
            <wp:extent cx="2942885" cy="1701546"/>
            <wp:effectExtent l="0" t="0" r="0" b="0"/>
            <wp:wrapTopAndBottom/>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181" cstate="print"/>
                    <a:stretch>
                      <a:fillRect/>
                    </a:stretch>
                  </pic:blipFill>
                  <pic:spPr>
                    <a:xfrm>
                      <a:off x="0" y="0"/>
                      <a:ext cx="2942885" cy="1701546"/>
                    </a:xfrm>
                    <a:prstGeom prst="rect">
                      <a:avLst/>
                    </a:prstGeom>
                  </pic:spPr>
                </pic:pic>
              </a:graphicData>
            </a:graphic>
          </wp:anchor>
        </w:drawing>
      </w:r>
    </w:p>
    <w:p w:rsidR="00C31389" w:rsidRDefault="00561FBD" w14:paraId="7DAE97AC" w14:textId="77777777">
      <w:pPr>
        <w:spacing w:before="48"/>
        <w:ind w:left="480"/>
        <w:rPr>
          <w:sz w:val="18"/>
        </w:rPr>
      </w:pPr>
      <w:r>
        <w:rPr>
          <w:sz w:val="18"/>
        </w:rPr>
        <w:t>Note:</w:t>
      </w:r>
      <w:r>
        <w:rPr>
          <w:spacing w:val="-5"/>
          <w:sz w:val="18"/>
        </w:rPr>
        <w:t xml:space="preserve"> </w:t>
      </w:r>
      <w:r>
        <w:rPr>
          <w:sz w:val="18"/>
        </w:rPr>
        <w:t>Negative</w:t>
      </w:r>
      <w:r>
        <w:rPr>
          <w:spacing w:val="-1"/>
          <w:sz w:val="18"/>
        </w:rPr>
        <w:t xml:space="preserve"> </w:t>
      </w:r>
      <w:r>
        <w:rPr>
          <w:sz w:val="18"/>
        </w:rPr>
        <w:t>electric</w:t>
      </w:r>
      <w:r>
        <w:rPr>
          <w:spacing w:val="-2"/>
          <w:sz w:val="18"/>
        </w:rPr>
        <w:t xml:space="preserve"> </w:t>
      </w:r>
      <w:r>
        <w:rPr>
          <w:sz w:val="18"/>
        </w:rPr>
        <w:t>savings</w:t>
      </w:r>
      <w:r>
        <w:rPr>
          <w:spacing w:val="-2"/>
          <w:sz w:val="18"/>
        </w:rPr>
        <w:t xml:space="preserve"> </w:t>
      </w:r>
      <w:r>
        <w:rPr>
          <w:sz w:val="18"/>
        </w:rPr>
        <w:t>indicated</w:t>
      </w:r>
      <w:r>
        <w:rPr>
          <w:spacing w:val="-3"/>
          <w:sz w:val="18"/>
        </w:rPr>
        <w:t xml:space="preserve"> </w:t>
      </w:r>
      <w:r>
        <w:rPr>
          <w:sz w:val="18"/>
        </w:rPr>
        <w:t>an</w:t>
      </w:r>
      <w:r>
        <w:rPr>
          <w:spacing w:val="-4"/>
          <w:sz w:val="18"/>
        </w:rPr>
        <w:t xml:space="preserve"> </w:t>
      </w:r>
      <w:r>
        <w:rPr>
          <w:sz w:val="18"/>
        </w:rPr>
        <w:t>increase</w:t>
      </w:r>
      <w:r>
        <w:rPr>
          <w:spacing w:val="-3"/>
          <w:sz w:val="18"/>
        </w:rPr>
        <w:t xml:space="preserve"> </w:t>
      </w:r>
      <w:r>
        <w:rPr>
          <w:sz w:val="18"/>
        </w:rPr>
        <w:t>in</w:t>
      </w:r>
      <w:r>
        <w:rPr>
          <w:spacing w:val="-3"/>
          <w:sz w:val="18"/>
        </w:rPr>
        <w:t xml:space="preserve"> </w:t>
      </w:r>
      <w:r>
        <w:rPr>
          <w:sz w:val="18"/>
        </w:rPr>
        <w:t>electricity</w:t>
      </w:r>
      <w:r>
        <w:rPr>
          <w:spacing w:val="-2"/>
          <w:sz w:val="18"/>
        </w:rPr>
        <w:t xml:space="preserve"> </w:t>
      </w:r>
      <w:r>
        <w:rPr>
          <w:sz w:val="18"/>
        </w:rPr>
        <w:t>use</w:t>
      </w:r>
      <w:r>
        <w:rPr>
          <w:spacing w:val="-3"/>
          <w:sz w:val="18"/>
        </w:rPr>
        <w:t xml:space="preserve"> </w:t>
      </w:r>
      <w:r>
        <w:rPr>
          <w:sz w:val="18"/>
        </w:rPr>
        <w:t>due</w:t>
      </w:r>
      <w:r>
        <w:rPr>
          <w:spacing w:val="-3"/>
          <w:sz w:val="18"/>
        </w:rPr>
        <w:t xml:space="preserve"> </w:t>
      </w:r>
      <w:r>
        <w:rPr>
          <w:sz w:val="18"/>
        </w:rPr>
        <w:t>to</w:t>
      </w:r>
      <w:r>
        <w:rPr>
          <w:spacing w:val="-3"/>
          <w:sz w:val="18"/>
        </w:rPr>
        <w:t xml:space="preserve"> </w:t>
      </w:r>
      <w:r>
        <w:rPr>
          <w:spacing w:val="-5"/>
          <w:sz w:val="18"/>
        </w:rPr>
        <w:t>FS.</w:t>
      </w:r>
    </w:p>
    <w:p w:rsidR="00C31389" w:rsidRDefault="00561FBD" w14:paraId="2DFDA2AA" w14:textId="77777777">
      <w:pPr>
        <w:spacing w:before="61"/>
        <w:ind w:left="479"/>
        <w:rPr>
          <w:i/>
          <w:sz w:val="18"/>
        </w:rPr>
      </w:pPr>
      <w:r>
        <w:rPr>
          <w:i/>
          <w:sz w:val="18"/>
        </w:rPr>
        <w:t>Source:</w:t>
      </w:r>
      <w:r>
        <w:rPr>
          <w:i/>
          <w:spacing w:val="-4"/>
          <w:sz w:val="18"/>
        </w:rPr>
        <w:t xml:space="preserve"> </w:t>
      </w:r>
      <w:r>
        <w:rPr>
          <w:i/>
          <w:spacing w:val="-2"/>
          <w:sz w:val="18"/>
        </w:rPr>
        <w:t>Guidehouse</w:t>
      </w:r>
    </w:p>
    <w:p w:rsidR="00C31389" w:rsidRDefault="00C31389" w14:paraId="76562401" w14:textId="77777777">
      <w:pPr>
        <w:pStyle w:val="BodyText"/>
        <w:spacing w:before="9"/>
        <w:rPr>
          <w:i/>
          <w:sz w:val="20"/>
        </w:rPr>
      </w:pPr>
    </w:p>
    <w:p w:rsidR="00C31389" w:rsidRDefault="00561FBD" w14:paraId="61B028CE" w14:textId="77777777">
      <w:pPr>
        <w:pStyle w:val="Heading2"/>
        <w:numPr>
          <w:ilvl w:val="1"/>
          <w:numId w:val="71"/>
        </w:numPr>
        <w:tabs>
          <w:tab w:val="left" w:pos="945"/>
        </w:tabs>
        <w:spacing w:before="1"/>
        <w:ind w:left="945" w:hanging="465"/>
      </w:pPr>
      <w:bookmarkStart w:name="4.4_C&amp;S_Savings" w:id="287"/>
      <w:bookmarkStart w:name="_bookmark216" w:id="288"/>
      <w:bookmarkEnd w:id="287"/>
      <w:bookmarkEnd w:id="288"/>
      <w:r>
        <w:t>C&amp;S</w:t>
      </w:r>
      <w:r>
        <w:rPr>
          <w:spacing w:val="-8"/>
        </w:rPr>
        <w:t xml:space="preserve"> </w:t>
      </w:r>
      <w:r>
        <w:rPr>
          <w:spacing w:val="-2"/>
        </w:rPr>
        <w:t>Savings</w:t>
      </w:r>
    </w:p>
    <w:p w:rsidR="00C31389" w:rsidRDefault="00561FBD" w14:paraId="3E1A5D26" w14:textId="77777777">
      <w:pPr>
        <w:pStyle w:val="BodyText"/>
        <w:spacing w:before="240"/>
        <w:ind w:left="479" w:right="617"/>
      </w:pPr>
      <w:r>
        <w:t xml:space="preserve">Incremental annual savings from on-the-books and expected C&amp;S are illustrated in </w:t>
      </w:r>
      <w:hyperlink w:history="1" w:anchor="_bookmark217">
        <w:r>
          <w:t>Figure</w:t>
        </w:r>
      </w:hyperlink>
      <w:r>
        <w:t xml:space="preserve"> </w:t>
      </w:r>
      <w:hyperlink w:history="1" w:anchor="_bookmark217">
        <w:r>
          <w:t>4-10</w:t>
        </w:r>
      </w:hyperlink>
      <w:r>
        <w:t xml:space="preserve"> and </w:t>
      </w:r>
      <w:hyperlink w:history="1" w:anchor="_bookmark218">
        <w:r>
          <w:t>Figure 4-11</w:t>
        </w:r>
      </w:hyperlink>
      <w:r>
        <w:t>. Unlike results displayed earlier in this section, C&amp;S savings</w:t>
      </w:r>
      <w:r>
        <w:t xml:space="preserve"> do not vary</w:t>
      </w:r>
      <w:r>
        <w:rPr>
          <w:spacing w:val="-3"/>
        </w:rPr>
        <w:t xml:space="preserve"> </w:t>
      </w:r>
      <w:r>
        <w:t>by</w:t>
      </w:r>
      <w:r>
        <w:rPr>
          <w:spacing w:val="-4"/>
        </w:rPr>
        <w:t xml:space="preserve"> </w:t>
      </w:r>
      <w:r>
        <w:t>scenarios</w:t>
      </w:r>
      <w:r>
        <w:rPr>
          <w:spacing w:val="-3"/>
        </w:rPr>
        <w:t xml:space="preserve"> </w:t>
      </w:r>
      <w:r>
        <w:t>because</w:t>
      </w:r>
      <w:r>
        <w:rPr>
          <w:spacing w:val="-3"/>
        </w:rPr>
        <w:t xml:space="preserve"> </w:t>
      </w:r>
      <w:r>
        <w:t>there</w:t>
      </w:r>
      <w:r>
        <w:rPr>
          <w:spacing w:val="-3"/>
        </w:rPr>
        <w:t xml:space="preserve"> </w:t>
      </w:r>
      <w:r>
        <w:t>are</w:t>
      </w:r>
      <w:r>
        <w:rPr>
          <w:spacing w:val="-3"/>
        </w:rPr>
        <w:t xml:space="preserve"> </w:t>
      </w:r>
      <w:r>
        <w:t>no</w:t>
      </w:r>
      <w:r>
        <w:rPr>
          <w:spacing w:val="-3"/>
        </w:rPr>
        <w:t xml:space="preserve"> </w:t>
      </w:r>
      <w:r>
        <w:t>modeled</w:t>
      </w:r>
      <w:r>
        <w:rPr>
          <w:spacing w:val="-3"/>
        </w:rPr>
        <w:t xml:space="preserve"> </w:t>
      </w:r>
      <w:r>
        <w:t>policy</w:t>
      </w:r>
      <w:r>
        <w:rPr>
          <w:spacing w:val="-4"/>
        </w:rPr>
        <w:t xml:space="preserve"> </w:t>
      </w:r>
      <w:r>
        <w:t>or</w:t>
      </w:r>
      <w:r>
        <w:rPr>
          <w:spacing w:val="-3"/>
        </w:rPr>
        <w:t xml:space="preserve"> </w:t>
      </w:r>
      <w:r>
        <w:t>program</w:t>
      </w:r>
      <w:r>
        <w:rPr>
          <w:spacing w:val="-4"/>
        </w:rPr>
        <w:t xml:space="preserve"> </w:t>
      </w:r>
      <w:r>
        <w:t>design</w:t>
      </w:r>
      <w:r>
        <w:rPr>
          <w:spacing w:val="-3"/>
        </w:rPr>
        <w:t xml:space="preserve"> </w:t>
      </w:r>
      <w:r>
        <w:t>decisions</w:t>
      </w:r>
      <w:r>
        <w:rPr>
          <w:spacing w:val="-4"/>
        </w:rPr>
        <w:t xml:space="preserve"> </w:t>
      </w:r>
      <w:r>
        <w:t>under the purview of the IOUs or CPUC that influence C&amp;S savings.</w:t>
      </w:r>
    </w:p>
    <w:p w:rsidR="00C31389" w:rsidRDefault="00C31389" w14:paraId="14744D61" w14:textId="77777777">
      <w:pPr>
        <w:pStyle w:val="BodyText"/>
        <w:spacing w:before="10"/>
        <w:rPr>
          <w:sz w:val="20"/>
        </w:rPr>
      </w:pPr>
    </w:p>
    <w:p w:rsidR="00C31389" w:rsidRDefault="00561FBD" w14:paraId="4CC93C28" w14:textId="77777777">
      <w:pPr>
        <w:pStyle w:val="BodyText"/>
        <w:ind w:left="479" w:right="418"/>
      </w:pPr>
      <w:r>
        <w:t>Electric savings from on-the-books C&amp;S have increased by 14%-25% relative to those estimated</w:t>
      </w:r>
      <w:r>
        <w:rPr>
          <w:spacing w:val="-3"/>
        </w:rPr>
        <w:t xml:space="preserve"> </w:t>
      </w:r>
      <w:r>
        <w:t>in</w:t>
      </w:r>
      <w:r>
        <w:rPr>
          <w:spacing w:val="-4"/>
        </w:rPr>
        <w:t xml:space="preserve"> </w:t>
      </w:r>
      <w:r>
        <w:t>the</w:t>
      </w:r>
      <w:r>
        <w:rPr>
          <w:spacing w:val="-3"/>
        </w:rPr>
        <w:t xml:space="preserve"> </w:t>
      </w:r>
      <w:r>
        <w:t>2021</w:t>
      </w:r>
      <w:r>
        <w:rPr>
          <w:spacing w:val="-3"/>
        </w:rPr>
        <w:t xml:space="preserve"> </w:t>
      </w:r>
      <w:r>
        <w:t>Study,</w:t>
      </w:r>
      <w:r>
        <w:rPr>
          <w:spacing w:val="-3"/>
        </w:rPr>
        <w:t xml:space="preserve"> </w:t>
      </w:r>
      <w:r>
        <w:t>with</w:t>
      </w:r>
      <w:r>
        <w:rPr>
          <w:spacing w:val="-3"/>
        </w:rPr>
        <w:t xml:space="preserve"> </w:t>
      </w:r>
      <w:r>
        <w:t>larger</w:t>
      </w:r>
      <w:r>
        <w:rPr>
          <w:spacing w:val="-3"/>
        </w:rPr>
        <w:t xml:space="preserve"> </w:t>
      </w:r>
      <w:r>
        <w:t>increases</w:t>
      </w:r>
      <w:r>
        <w:rPr>
          <w:spacing w:val="-3"/>
        </w:rPr>
        <w:t xml:space="preserve"> </w:t>
      </w:r>
      <w:r>
        <w:t>shown</w:t>
      </w:r>
      <w:r>
        <w:rPr>
          <w:spacing w:val="-3"/>
        </w:rPr>
        <w:t xml:space="preserve"> </w:t>
      </w:r>
      <w:r>
        <w:t>in</w:t>
      </w:r>
      <w:r>
        <w:rPr>
          <w:spacing w:val="-3"/>
        </w:rPr>
        <w:t xml:space="preserve"> </w:t>
      </w:r>
      <w:r>
        <w:t>the</w:t>
      </w:r>
      <w:r>
        <w:rPr>
          <w:spacing w:val="-3"/>
        </w:rPr>
        <w:t xml:space="preserve"> </w:t>
      </w:r>
      <w:r>
        <w:t>earlier</w:t>
      </w:r>
      <w:r>
        <w:rPr>
          <w:spacing w:val="-3"/>
        </w:rPr>
        <w:t xml:space="preserve"> </w:t>
      </w:r>
      <w:r>
        <w:t>years</w:t>
      </w:r>
      <w:r>
        <w:rPr>
          <w:spacing w:val="-3"/>
        </w:rPr>
        <w:t xml:space="preserve"> </w:t>
      </w:r>
      <w:r>
        <w:t>of</w:t>
      </w:r>
      <w:r>
        <w:rPr>
          <w:spacing w:val="-3"/>
        </w:rPr>
        <w:t xml:space="preserve"> </w:t>
      </w:r>
      <w:r>
        <w:t>the</w:t>
      </w:r>
      <w:r>
        <w:rPr>
          <w:spacing w:val="-3"/>
        </w:rPr>
        <w:t xml:space="preserve"> </w:t>
      </w:r>
      <w:r>
        <w:t>2023 Study. Gas savings are largely the same for the early years,</w:t>
      </w:r>
      <w:r>
        <w:rPr>
          <w:spacing w:val="-1"/>
        </w:rPr>
        <w:t xml:space="preserve"> </w:t>
      </w:r>
      <w:r>
        <w:t>though they exhibit a steep decline in 2026. Incremental savings seem to decrease in the later years as the market affect</w:t>
      </w:r>
      <w:r>
        <w:t>ed by a code or standard has completely turned over and savings from the retrofit market are no longer counted.</w:t>
      </w:r>
    </w:p>
    <w:p w:rsidR="00C31389" w:rsidRDefault="00C31389" w14:paraId="5F15B407" w14:textId="77777777">
      <w:pPr>
        <w:pStyle w:val="BodyText"/>
        <w:spacing w:before="10"/>
        <w:rPr>
          <w:sz w:val="20"/>
        </w:rPr>
      </w:pPr>
    </w:p>
    <w:p w:rsidR="00C31389" w:rsidRDefault="00561FBD" w14:paraId="5EA86727" w14:textId="77777777">
      <w:pPr>
        <w:pStyle w:val="BodyText"/>
        <w:ind w:left="479" w:right="418"/>
      </w:pPr>
      <w:r>
        <w:t>This</w:t>
      </w:r>
      <w:r>
        <w:rPr>
          <w:spacing w:val="-3"/>
        </w:rPr>
        <w:t xml:space="preserve"> </w:t>
      </w:r>
      <w:r>
        <w:t>study</w:t>
      </w:r>
      <w:r>
        <w:rPr>
          <w:spacing w:val="-3"/>
        </w:rPr>
        <w:t xml:space="preserve"> </w:t>
      </w:r>
      <w:r>
        <w:t>uses</w:t>
      </w:r>
      <w:r>
        <w:rPr>
          <w:spacing w:val="-3"/>
        </w:rPr>
        <w:t xml:space="preserve"> </w:t>
      </w:r>
      <w:r>
        <w:t>draft</w:t>
      </w:r>
      <w:r>
        <w:rPr>
          <w:spacing w:val="-3"/>
        </w:rPr>
        <w:t xml:space="preserve"> </w:t>
      </w:r>
      <w:r>
        <w:t>results</w:t>
      </w:r>
      <w:r>
        <w:rPr>
          <w:spacing w:val="-3"/>
        </w:rPr>
        <w:t xml:space="preserve"> </w:t>
      </w:r>
      <w:r>
        <w:t>from</w:t>
      </w:r>
      <w:r>
        <w:rPr>
          <w:spacing w:val="-4"/>
        </w:rPr>
        <w:t xml:space="preserve"> </w:t>
      </w:r>
      <w:r>
        <w:t>the</w:t>
      </w:r>
      <w:r>
        <w:rPr>
          <w:spacing w:val="-3"/>
        </w:rPr>
        <w:t xml:space="preserve"> </w:t>
      </w:r>
      <w:r>
        <w:t>latest</w:t>
      </w:r>
      <w:r>
        <w:rPr>
          <w:spacing w:val="-3"/>
        </w:rPr>
        <w:t xml:space="preserve"> </w:t>
      </w:r>
      <w:r>
        <w:t>CPUC</w:t>
      </w:r>
      <w:r>
        <w:rPr>
          <w:spacing w:val="-4"/>
        </w:rPr>
        <w:t xml:space="preserve"> </w:t>
      </w:r>
      <w:r>
        <w:t>impact</w:t>
      </w:r>
      <w:r>
        <w:rPr>
          <w:spacing w:val="-3"/>
        </w:rPr>
        <w:t xml:space="preserve"> </w:t>
      </w:r>
      <w:r>
        <w:t>evaluation</w:t>
      </w:r>
      <w:r>
        <w:rPr>
          <w:spacing w:val="-3"/>
        </w:rPr>
        <w:t xml:space="preserve"> </w:t>
      </w:r>
      <w:r>
        <w:t>of</w:t>
      </w:r>
      <w:r>
        <w:rPr>
          <w:spacing w:val="-3"/>
        </w:rPr>
        <w:t xml:space="preserve"> </w:t>
      </w:r>
      <w:r>
        <w:t>appliance</w:t>
      </w:r>
      <w:r>
        <w:rPr>
          <w:spacing w:val="-3"/>
        </w:rPr>
        <w:t xml:space="preserve"> </w:t>
      </w:r>
      <w:r>
        <w:t xml:space="preserve">standards. Several key notes regarding the evaluation that influence the team’s results include the </w:t>
      </w:r>
      <w:r>
        <w:rPr>
          <w:spacing w:val="-2"/>
        </w:rPr>
        <w:t>following:</w:t>
      </w:r>
    </w:p>
    <w:p w:rsidR="00C31389" w:rsidRDefault="00C31389" w14:paraId="7D8A319C" w14:textId="77777777">
      <w:pPr>
        <w:pStyle w:val="BodyText"/>
        <w:spacing w:before="9"/>
        <w:rPr>
          <w:sz w:val="20"/>
        </w:rPr>
      </w:pPr>
    </w:p>
    <w:p w:rsidR="00C31389" w:rsidRDefault="00561FBD" w14:paraId="399E23D6" w14:textId="77777777">
      <w:pPr>
        <w:pStyle w:val="ListParagraph"/>
        <w:numPr>
          <w:ilvl w:val="0"/>
          <w:numId w:val="36"/>
        </w:numPr>
        <w:tabs>
          <w:tab w:val="left" w:pos="1199"/>
        </w:tabs>
        <w:ind w:right="605"/>
      </w:pPr>
      <w:r>
        <w:t>The</w:t>
      </w:r>
      <w:r>
        <w:rPr>
          <w:spacing w:val="-4"/>
        </w:rPr>
        <w:t xml:space="preserve"> </w:t>
      </w:r>
      <w:r>
        <w:t>evaluation</w:t>
      </w:r>
      <w:r>
        <w:rPr>
          <w:spacing w:val="-4"/>
        </w:rPr>
        <w:t xml:space="preserve"> </w:t>
      </w:r>
      <w:r>
        <w:t>shows</w:t>
      </w:r>
      <w:r>
        <w:rPr>
          <w:spacing w:val="-4"/>
        </w:rPr>
        <w:t xml:space="preserve"> </w:t>
      </w:r>
      <w:r>
        <w:t>a</w:t>
      </w:r>
      <w:r>
        <w:rPr>
          <w:spacing w:val="-4"/>
        </w:rPr>
        <w:t xml:space="preserve"> </w:t>
      </w:r>
      <w:r>
        <w:t>decrease</w:t>
      </w:r>
      <w:r>
        <w:rPr>
          <w:spacing w:val="-4"/>
        </w:rPr>
        <w:t xml:space="preserve"> </w:t>
      </w:r>
      <w:r>
        <w:t>in</w:t>
      </w:r>
      <w:r>
        <w:rPr>
          <w:spacing w:val="-4"/>
        </w:rPr>
        <w:t xml:space="preserve"> </w:t>
      </w:r>
      <w:r>
        <w:t>savings</w:t>
      </w:r>
      <w:r>
        <w:rPr>
          <w:spacing w:val="-4"/>
        </w:rPr>
        <w:t xml:space="preserve"> </w:t>
      </w:r>
      <w:r>
        <w:t>from</w:t>
      </w:r>
      <w:r>
        <w:rPr>
          <w:spacing w:val="-4"/>
        </w:rPr>
        <w:t xml:space="preserve"> </w:t>
      </w:r>
      <w:r>
        <w:t>lighting-related</w:t>
      </w:r>
      <w:r>
        <w:rPr>
          <w:spacing w:val="-4"/>
        </w:rPr>
        <w:t xml:space="preserve"> </w:t>
      </w:r>
      <w:r>
        <w:t>standards</w:t>
      </w:r>
      <w:r>
        <w:rPr>
          <w:spacing w:val="-4"/>
        </w:rPr>
        <w:t xml:space="preserve"> </w:t>
      </w:r>
      <w:r>
        <w:t>relative to those estimated in the 2021 Study.</w:t>
      </w:r>
    </w:p>
    <w:p w:rsidR="00C31389" w:rsidRDefault="00561FBD" w14:paraId="02D18D75" w14:textId="77777777">
      <w:pPr>
        <w:pStyle w:val="ListParagraph"/>
        <w:numPr>
          <w:ilvl w:val="0"/>
          <w:numId w:val="36"/>
        </w:numPr>
        <w:tabs>
          <w:tab w:val="left" w:pos="1199"/>
        </w:tabs>
        <w:spacing w:before="119"/>
        <w:ind w:right="484"/>
      </w:pPr>
      <w:r>
        <w:t>The</w:t>
      </w:r>
      <w:r>
        <w:rPr>
          <w:spacing w:val="-3"/>
        </w:rPr>
        <w:t xml:space="preserve"> </w:t>
      </w:r>
      <w:r>
        <w:t>evaluation</w:t>
      </w:r>
      <w:r>
        <w:rPr>
          <w:spacing w:val="-3"/>
        </w:rPr>
        <w:t xml:space="preserve"> </w:t>
      </w:r>
      <w:r>
        <w:t>databas</w:t>
      </w:r>
      <w:r>
        <w:t>e</w:t>
      </w:r>
      <w:r>
        <w:rPr>
          <w:spacing w:val="-4"/>
        </w:rPr>
        <w:t xml:space="preserve"> </w:t>
      </w:r>
      <w:r>
        <w:t>shows</w:t>
      </w:r>
      <w:r>
        <w:rPr>
          <w:spacing w:val="-3"/>
        </w:rPr>
        <w:t xml:space="preserve"> </w:t>
      </w:r>
      <w:r>
        <w:t>a</w:t>
      </w:r>
      <w:r>
        <w:rPr>
          <w:spacing w:val="-3"/>
        </w:rPr>
        <w:t xml:space="preserve"> </w:t>
      </w:r>
      <w:r>
        <w:t>truncated</w:t>
      </w:r>
      <w:r>
        <w:rPr>
          <w:spacing w:val="-3"/>
        </w:rPr>
        <w:t xml:space="preserve"> </w:t>
      </w:r>
      <w:r>
        <w:t>stop</w:t>
      </w:r>
      <w:r>
        <w:rPr>
          <w:spacing w:val="-4"/>
        </w:rPr>
        <w:t xml:space="preserve"> </w:t>
      </w:r>
      <w:r>
        <w:t>in</w:t>
      </w:r>
      <w:r>
        <w:rPr>
          <w:spacing w:val="-3"/>
        </w:rPr>
        <w:t xml:space="preserve"> </w:t>
      </w:r>
      <w:r>
        <w:t>the</w:t>
      </w:r>
      <w:r>
        <w:rPr>
          <w:spacing w:val="-3"/>
        </w:rPr>
        <w:t xml:space="preserve"> </w:t>
      </w:r>
      <w:r>
        <w:t>claimable</w:t>
      </w:r>
      <w:r>
        <w:rPr>
          <w:spacing w:val="-3"/>
        </w:rPr>
        <w:t xml:space="preserve"> </w:t>
      </w:r>
      <w:r>
        <w:t>new</w:t>
      </w:r>
      <w:r>
        <w:rPr>
          <w:spacing w:val="-4"/>
        </w:rPr>
        <w:t xml:space="preserve"> </w:t>
      </w:r>
      <w:r>
        <w:t>installations</w:t>
      </w:r>
      <w:r>
        <w:rPr>
          <w:spacing w:val="-4"/>
        </w:rPr>
        <w:t xml:space="preserve"> </w:t>
      </w:r>
      <w:r>
        <w:t>of multiple high efficiency water fixtures that leads to the drop in gas savings in 2026. These standards went into effect in 2015 and have a 10-year measure life.</w:t>
      </w:r>
    </w:p>
    <w:p w:rsidR="00C31389" w:rsidRDefault="00561FBD" w14:paraId="3C2C6445" w14:textId="77777777">
      <w:pPr>
        <w:pStyle w:val="ListParagraph"/>
        <w:numPr>
          <w:ilvl w:val="0"/>
          <w:numId w:val="36"/>
        </w:numPr>
        <w:tabs>
          <w:tab w:val="left" w:pos="1199"/>
        </w:tabs>
        <w:spacing w:before="118"/>
      </w:pPr>
      <w:r>
        <w:t>This</w:t>
      </w:r>
      <w:r>
        <w:rPr>
          <w:spacing w:val="-6"/>
        </w:rPr>
        <w:t xml:space="preserve"> </w:t>
      </w:r>
      <w:r>
        <w:t>evaluation</w:t>
      </w:r>
      <w:r>
        <w:rPr>
          <w:spacing w:val="-6"/>
        </w:rPr>
        <w:t xml:space="preserve"> </w:t>
      </w:r>
      <w:r>
        <w:t>quantified</w:t>
      </w:r>
      <w:r>
        <w:rPr>
          <w:spacing w:val="-6"/>
        </w:rPr>
        <w:t xml:space="preserve"> </w:t>
      </w:r>
      <w:r>
        <w:t>the</w:t>
      </w:r>
      <w:r>
        <w:rPr>
          <w:spacing w:val="-5"/>
        </w:rPr>
        <w:t xml:space="preserve"> </w:t>
      </w:r>
      <w:r>
        <w:t>impact</w:t>
      </w:r>
      <w:r>
        <w:rPr>
          <w:spacing w:val="-6"/>
        </w:rPr>
        <w:t xml:space="preserve"> </w:t>
      </w:r>
      <w:r>
        <w:t>of</w:t>
      </w:r>
      <w:r>
        <w:rPr>
          <w:spacing w:val="-6"/>
        </w:rPr>
        <w:t xml:space="preserve"> </w:t>
      </w:r>
      <w:r>
        <w:t>the</w:t>
      </w:r>
      <w:r>
        <w:rPr>
          <w:spacing w:val="-5"/>
        </w:rPr>
        <w:t xml:space="preserve"> </w:t>
      </w:r>
      <w:r>
        <w:t>2016</w:t>
      </w:r>
      <w:r>
        <w:rPr>
          <w:spacing w:val="-7"/>
        </w:rPr>
        <w:t xml:space="preserve"> </w:t>
      </w:r>
      <w:r>
        <w:t>vintage</w:t>
      </w:r>
      <w:r>
        <w:rPr>
          <w:spacing w:val="-6"/>
        </w:rPr>
        <w:t xml:space="preserve"> </w:t>
      </w:r>
      <w:r>
        <w:t>of</w:t>
      </w:r>
      <w:r>
        <w:rPr>
          <w:spacing w:val="-6"/>
        </w:rPr>
        <w:t xml:space="preserve"> </w:t>
      </w:r>
      <w:r>
        <w:t>Title</w:t>
      </w:r>
      <w:r>
        <w:rPr>
          <w:spacing w:val="-5"/>
        </w:rPr>
        <w:t xml:space="preserve"> </w:t>
      </w:r>
      <w:r>
        <w:t>24</w:t>
      </w:r>
      <w:r>
        <w:rPr>
          <w:spacing w:val="-6"/>
        </w:rPr>
        <w:t xml:space="preserve"> </w:t>
      </w:r>
      <w:r>
        <w:t>building</w:t>
      </w:r>
      <w:r>
        <w:rPr>
          <w:spacing w:val="-6"/>
        </w:rPr>
        <w:t xml:space="preserve"> </w:t>
      </w:r>
      <w:r>
        <w:rPr>
          <w:spacing w:val="-2"/>
        </w:rPr>
        <w:t>codes.</w:t>
      </w:r>
    </w:p>
    <w:p w:rsidR="00C31389" w:rsidRDefault="00C31389" w14:paraId="0E0F8FB3" w14:textId="77777777">
      <w:pPr>
        <w:sectPr w:rsidR="00C31389">
          <w:headerReference w:type="default" r:id="rId182"/>
          <w:footerReference w:type="default" r:id="rId183"/>
          <w:pgSz w:w="11910" w:h="16840"/>
          <w:pgMar w:top="1660" w:right="1020" w:bottom="1120" w:left="960" w:header="397" w:footer="938" w:gutter="0"/>
          <w:cols w:space="720"/>
        </w:sectPr>
      </w:pPr>
    </w:p>
    <w:p w:rsidR="00C31389" w:rsidRDefault="00C31389" w14:paraId="06088E56" w14:textId="77777777">
      <w:pPr>
        <w:pStyle w:val="BodyText"/>
        <w:spacing w:before="11"/>
        <w:rPr>
          <w:sz w:val="13"/>
        </w:rPr>
      </w:pPr>
    </w:p>
    <w:p w:rsidR="00C31389" w:rsidRDefault="00561FBD" w14:paraId="11493796" w14:textId="77777777">
      <w:pPr>
        <w:pStyle w:val="Heading7"/>
        <w:spacing w:before="92"/>
        <w:ind w:left="398" w:right="339"/>
        <w:jc w:val="center"/>
      </w:pPr>
      <w:bookmarkStart w:name="_bookmark217" w:id="289"/>
      <w:bookmarkEnd w:id="289"/>
      <w:r>
        <w:t>Figure</w:t>
      </w:r>
      <w:r>
        <w:rPr>
          <w:spacing w:val="-9"/>
        </w:rPr>
        <w:t xml:space="preserve"> </w:t>
      </w:r>
      <w:r>
        <w:t>4-10.</w:t>
      </w:r>
      <w:r>
        <w:rPr>
          <w:spacing w:val="-9"/>
        </w:rPr>
        <w:t xml:space="preserve"> </w:t>
      </w:r>
      <w:r>
        <w:t>C&amp;S</w:t>
      </w:r>
      <w:r>
        <w:rPr>
          <w:spacing w:val="-8"/>
        </w:rPr>
        <w:t xml:space="preserve"> </w:t>
      </w:r>
      <w:r>
        <w:t>Electric</w:t>
      </w:r>
      <w:r>
        <w:rPr>
          <w:spacing w:val="-9"/>
        </w:rPr>
        <w:t xml:space="preserve"> </w:t>
      </w:r>
      <w:r>
        <w:t>Savings</w:t>
      </w:r>
      <w:r>
        <w:rPr>
          <w:spacing w:val="-9"/>
        </w:rPr>
        <w:t xml:space="preserve"> </w:t>
      </w:r>
      <w:r>
        <w:t>(Including</w:t>
      </w:r>
      <w:r>
        <w:rPr>
          <w:spacing w:val="-8"/>
        </w:rPr>
        <w:t xml:space="preserve"> </w:t>
      </w:r>
      <w:r>
        <w:t>Interactive</w:t>
      </w:r>
      <w:r>
        <w:rPr>
          <w:spacing w:val="-9"/>
        </w:rPr>
        <w:t xml:space="preserve"> </w:t>
      </w:r>
      <w:r>
        <w:rPr>
          <w:spacing w:val="-2"/>
        </w:rPr>
        <w:t>Effects)</w:t>
      </w:r>
    </w:p>
    <w:p w:rsidR="00C31389" w:rsidRDefault="00C31389" w14:paraId="40E62DC3" w14:textId="77777777">
      <w:pPr>
        <w:pStyle w:val="BodyText"/>
        <w:rPr>
          <w:b/>
          <w:sz w:val="20"/>
        </w:rPr>
      </w:pPr>
    </w:p>
    <w:p w:rsidR="00C31389" w:rsidRDefault="00561FBD" w14:paraId="59767B7D" w14:textId="77777777">
      <w:pPr>
        <w:pStyle w:val="BodyText"/>
        <w:spacing w:before="8"/>
        <w:rPr>
          <w:b/>
          <w:sz w:val="20"/>
        </w:rPr>
      </w:pPr>
      <w:r>
        <w:rPr>
          <w:noProof/>
        </w:rPr>
        <w:drawing>
          <wp:anchor distT="0" distB="0" distL="0" distR="0" simplePos="0" relativeHeight="487668224" behindDoc="1" locked="0" layoutInCell="1" allowOverlap="1" wp14:editId="44235516" wp14:anchorId="4D5B56F2">
            <wp:simplePos x="0" y="0"/>
            <wp:positionH relativeFrom="page">
              <wp:posOffset>1162873</wp:posOffset>
            </wp:positionH>
            <wp:positionV relativeFrom="paragraph">
              <wp:posOffset>166366</wp:posOffset>
            </wp:positionV>
            <wp:extent cx="5380992" cy="2537460"/>
            <wp:effectExtent l="0" t="0" r="0" b="0"/>
            <wp:wrapTopAndBottom/>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84" cstate="print"/>
                    <a:stretch>
                      <a:fillRect/>
                    </a:stretch>
                  </pic:blipFill>
                  <pic:spPr>
                    <a:xfrm>
                      <a:off x="0" y="0"/>
                      <a:ext cx="5380992" cy="2537460"/>
                    </a:xfrm>
                    <a:prstGeom prst="rect">
                      <a:avLst/>
                    </a:prstGeom>
                  </pic:spPr>
                </pic:pic>
              </a:graphicData>
            </a:graphic>
          </wp:anchor>
        </w:drawing>
      </w:r>
    </w:p>
    <w:p w:rsidR="00C31389" w:rsidRDefault="00561FBD" w14:paraId="316C4899" w14:textId="77777777">
      <w:pPr>
        <w:spacing w:before="43"/>
        <w:ind w:left="480"/>
        <w:rPr>
          <w:i/>
          <w:sz w:val="18"/>
        </w:rPr>
      </w:pPr>
      <w:r>
        <w:rPr>
          <w:i/>
          <w:sz w:val="18"/>
        </w:rPr>
        <w:t>Source:</w:t>
      </w:r>
      <w:r>
        <w:rPr>
          <w:i/>
          <w:spacing w:val="-4"/>
          <w:sz w:val="18"/>
        </w:rPr>
        <w:t xml:space="preserve"> </w:t>
      </w:r>
      <w:r>
        <w:rPr>
          <w:i/>
          <w:spacing w:val="-2"/>
          <w:sz w:val="18"/>
        </w:rPr>
        <w:t>Guidehouse</w:t>
      </w:r>
    </w:p>
    <w:p w:rsidR="00C31389" w:rsidRDefault="00C31389" w14:paraId="2229D56C" w14:textId="77777777">
      <w:pPr>
        <w:pStyle w:val="BodyText"/>
        <w:spacing w:before="9"/>
        <w:rPr>
          <w:i/>
          <w:sz w:val="20"/>
        </w:rPr>
      </w:pPr>
    </w:p>
    <w:p w:rsidR="00C31389" w:rsidRDefault="00561FBD" w14:paraId="39ED60C8" w14:textId="77777777">
      <w:pPr>
        <w:pStyle w:val="Heading7"/>
        <w:ind w:left="398" w:right="339"/>
        <w:jc w:val="center"/>
      </w:pPr>
      <w:bookmarkStart w:name="_bookmark218" w:id="290"/>
      <w:bookmarkEnd w:id="290"/>
      <w:r>
        <w:t>Figure</w:t>
      </w:r>
      <w:r>
        <w:rPr>
          <w:spacing w:val="-9"/>
        </w:rPr>
        <w:t xml:space="preserve"> </w:t>
      </w:r>
      <w:r>
        <w:t>4-11.</w:t>
      </w:r>
      <w:r>
        <w:rPr>
          <w:spacing w:val="-8"/>
        </w:rPr>
        <w:t xml:space="preserve"> </w:t>
      </w:r>
      <w:r>
        <w:t>C&amp;S</w:t>
      </w:r>
      <w:r>
        <w:rPr>
          <w:spacing w:val="-8"/>
        </w:rPr>
        <w:t xml:space="preserve"> </w:t>
      </w:r>
      <w:r>
        <w:t>Gas</w:t>
      </w:r>
      <w:r>
        <w:rPr>
          <w:spacing w:val="-7"/>
        </w:rPr>
        <w:t xml:space="preserve"> </w:t>
      </w:r>
      <w:r>
        <w:t>Savings</w:t>
      </w:r>
      <w:r>
        <w:rPr>
          <w:spacing w:val="-8"/>
        </w:rPr>
        <w:t xml:space="preserve"> </w:t>
      </w:r>
      <w:r>
        <w:t>(Including</w:t>
      </w:r>
      <w:r>
        <w:rPr>
          <w:spacing w:val="-8"/>
        </w:rPr>
        <w:t xml:space="preserve"> </w:t>
      </w:r>
      <w:r>
        <w:t>Interactive</w:t>
      </w:r>
      <w:r>
        <w:rPr>
          <w:spacing w:val="-8"/>
        </w:rPr>
        <w:t xml:space="preserve"> </w:t>
      </w:r>
      <w:r>
        <w:rPr>
          <w:spacing w:val="-2"/>
        </w:rPr>
        <w:t>Effects)</w:t>
      </w:r>
    </w:p>
    <w:p w:rsidR="00C31389" w:rsidRDefault="00C31389" w14:paraId="62A6BC9C" w14:textId="77777777">
      <w:pPr>
        <w:pStyle w:val="BodyText"/>
        <w:rPr>
          <w:b/>
          <w:sz w:val="20"/>
        </w:rPr>
      </w:pPr>
    </w:p>
    <w:p w:rsidR="00C31389" w:rsidRDefault="00561FBD" w14:paraId="319E925A" w14:textId="77777777">
      <w:pPr>
        <w:pStyle w:val="BodyText"/>
        <w:spacing w:before="2"/>
        <w:rPr>
          <w:b/>
          <w:sz w:val="20"/>
        </w:rPr>
      </w:pPr>
      <w:r>
        <w:rPr>
          <w:noProof/>
        </w:rPr>
        <w:drawing>
          <wp:anchor distT="0" distB="0" distL="0" distR="0" simplePos="0" relativeHeight="487668736" behindDoc="1" locked="0" layoutInCell="1" allowOverlap="1" wp14:editId="53D94424" wp14:anchorId="1A83F84C">
            <wp:simplePos x="0" y="0"/>
            <wp:positionH relativeFrom="page">
              <wp:posOffset>1313523</wp:posOffset>
            </wp:positionH>
            <wp:positionV relativeFrom="paragraph">
              <wp:posOffset>162605</wp:posOffset>
            </wp:positionV>
            <wp:extent cx="5112941" cy="2452878"/>
            <wp:effectExtent l="0" t="0" r="0" b="0"/>
            <wp:wrapTopAndBottom/>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85" cstate="print"/>
                    <a:stretch>
                      <a:fillRect/>
                    </a:stretch>
                  </pic:blipFill>
                  <pic:spPr>
                    <a:xfrm>
                      <a:off x="0" y="0"/>
                      <a:ext cx="5112941" cy="2452878"/>
                    </a:xfrm>
                    <a:prstGeom prst="rect">
                      <a:avLst/>
                    </a:prstGeom>
                  </pic:spPr>
                </pic:pic>
              </a:graphicData>
            </a:graphic>
          </wp:anchor>
        </w:drawing>
      </w:r>
    </w:p>
    <w:p w:rsidR="00C31389" w:rsidRDefault="00C31389" w14:paraId="2B614CD4" w14:textId="77777777">
      <w:pPr>
        <w:pStyle w:val="BodyText"/>
        <w:spacing w:before="10"/>
        <w:rPr>
          <w:b/>
          <w:sz w:val="24"/>
        </w:rPr>
      </w:pPr>
    </w:p>
    <w:p w:rsidR="00C31389" w:rsidRDefault="00561FBD" w14:paraId="4ECD3B74"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326EB432" w14:textId="77777777">
      <w:pPr>
        <w:pStyle w:val="BodyText"/>
        <w:spacing w:before="9"/>
        <w:rPr>
          <w:i/>
          <w:sz w:val="20"/>
        </w:rPr>
      </w:pPr>
    </w:p>
    <w:p w:rsidR="00C31389" w:rsidRDefault="00561FBD" w14:paraId="5C03C0F2" w14:textId="77777777">
      <w:pPr>
        <w:pStyle w:val="BodyText"/>
        <w:ind w:left="479" w:right="434"/>
      </w:pPr>
      <w:r>
        <w:t>Additional</w:t>
      </w:r>
      <w:r>
        <w:rPr>
          <w:spacing w:val="-3"/>
        </w:rPr>
        <w:t xml:space="preserve"> </w:t>
      </w:r>
      <w:r>
        <w:t>versions</w:t>
      </w:r>
      <w:r>
        <w:rPr>
          <w:spacing w:val="-3"/>
        </w:rPr>
        <w:t xml:space="preserve"> </w:t>
      </w:r>
      <w:r>
        <w:t>of</w:t>
      </w:r>
      <w:r>
        <w:rPr>
          <w:spacing w:val="-3"/>
        </w:rPr>
        <w:t xml:space="preserve"> </w:t>
      </w:r>
      <w:hyperlink w:history="1" w:anchor="_bookmark217">
        <w:r>
          <w:t>Figure</w:t>
        </w:r>
        <w:r>
          <w:rPr>
            <w:spacing w:val="-3"/>
          </w:rPr>
          <w:t xml:space="preserve"> </w:t>
        </w:r>
        <w:r>
          <w:t>4-10</w:t>
        </w:r>
      </w:hyperlink>
      <w:r>
        <w:rPr>
          <w:spacing w:val="-3"/>
        </w:rPr>
        <w:t xml:space="preserve"> </w:t>
      </w:r>
      <w:r>
        <w:t>and</w:t>
      </w:r>
      <w:r>
        <w:rPr>
          <w:spacing w:val="-3"/>
        </w:rPr>
        <w:t xml:space="preserve"> </w:t>
      </w:r>
      <w:hyperlink w:history="1" w:anchor="_bookmark218">
        <w:r>
          <w:t>Figure</w:t>
        </w:r>
        <w:r>
          <w:rPr>
            <w:spacing w:val="-3"/>
          </w:rPr>
          <w:t xml:space="preserve"> </w:t>
        </w:r>
        <w:r>
          <w:t>4-11</w:t>
        </w:r>
      </w:hyperlink>
      <w:r>
        <w:rPr>
          <w:spacing w:val="-3"/>
        </w:rPr>
        <w:t xml:space="preserve"> </w:t>
      </w:r>
      <w:r>
        <w:t>for</w:t>
      </w:r>
      <w:r>
        <w:rPr>
          <w:spacing w:val="-3"/>
        </w:rPr>
        <w:t xml:space="preserve"> </w:t>
      </w:r>
      <w:r>
        <w:t>each</w:t>
      </w:r>
      <w:r>
        <w:rPr>
          <w:spacing w:val="-3"/>
        </w:rPr>
        <w:t xml:space="preserve"> </w:t>
      </w:r>
      <w:r>
        <w:t>IOU</w:t>
      </w:r>
      <w:r>
        <w:rPr>
          <w:spacing w:val="-4"/>
        </w:rPr>
        <w:t xml:space="preserve"> </w:t>
      </w:r>
      <w:r>
        <w:t>and</w:t>
      </w:r>
      <w:r>
        <w:rPr>
          <w:spacing w:val="-3"/>
        </w:rPr>
        <w:t xml:space="preserve"> </w:t>
      </w:r>
      <w:r>
        <w:t>including</w:t>
      </w:r>
      <w:r>
        <w:rPr>
          <w:spacing w:val="-3"/>
        </w:rPr>
        <w:t xml:space="preserve"> </w:t>
      </w:r>
      <w:r>
        <w:t>peak</w:t>
      </w:r>
      <w:r>
        <w:rPr>
          <w:spacing w:val="-4"/>
        </w:rPr>
        <w:t xml:space="preserve"> </w:t>
      </w:r>
      <w:r>
        <w:t>demand savings can be found in the Results Viewer, under the Codes &amp; Standards tab.</w:t>
      </w:r>
    </w:p>
    <w:p w:rsidR="00C31389" w:rsidRDefault="00C31389" w14:paraId="170DFB81" w14:textId="77777777">
      <w:pPr>
        <w:pStyle w:val="BodyText"/>
        <w:spacing w:before="11"/>
        <w:rPr>
          <w:sz w:val="20"/>
        </w:rPr>
      </w:pPr>
    </w:p>
    <w:p w:rsidR="00C31389" w:rsidRDefault="00561FBD" w14:paraId="0E763372" w14:textId="77777777">
      <w:pPr>
        <w:pStyle w:val="Heading2"/>
        <w:numPr>
          <w:ilvl w:val="1"/>
          <w:numId w:val="71"/>
        </w:numPr>
        <w:tabs>
          <w:tab w:val="left" w:pos="945"/>
        </w:tabs>
        <w:ind w:left="945" w:hanging="465"/>
      </w:pPr>
      <w:bookmarkStart w:name="4.5_Detailed_Study_Results" w:id="291"/>
      <w:bookmarkStart w:name="_bookmark219" w:id="292"/>
      <w:bookmarkEnd w:id="291"/>
      <w:bookmarkEnd w:id="292"/>
      <w:r>
        <w:t>Detailed</w:t>
      </w:r>
      <w:r>
        <w:rPr>
          <w:spacing w:val="-14"/>
        </w:rPr>
        <w:t xml:space="preserve"> </w:t>
      </w:r>
      <w:r>
        <w:t>Study</w:t>
      </w:r>
      <w:r>
        <w:rPr>
          <w:spacing w:val="-11"/>
        </w:rPr>
        <w:t xml:space="preserve"> </w:t>
      </w:r>
      <w:r>
        <w:rPr>
          <w:spacing w:val="-2"/>
        </w:rPr>
        <w:t>Results</w:t>
      </w:r>
    </w:p>
    <w:p w:rsidR="00C31389" w:rsidRDefault="00561FBD" w14:paraId="67A05D00" w14:textId="77777777">
      <w:pPr>
        <w:pStyle w:val="BodyText"/>
        <w:spacing w:before="239"/>
        <w:ind w:left="480" w:right="615"/>
      </w:pPr>
      <w:r>
        <w:t>Along with the model file and the summary results shown in the previous sections, the Guidehouse team developed an online Tableau dashboard, the 2023 PG Results Viewer and</w:t>
      </w:r>
      <w:r>
        <w:rPr>
          <w:spacing w:val="-4"/>
        </w:rPr>
        <w:t xml:space="preserve"> </w:t>
      </w:r>
      <w:r>
        <w:t>a</w:t>
      </w:r>
      <w:r>
        <w:rPr>
          <w:spacing w:val="-4"/>
        </w:rPr>
        <w:t xml:space="preserve"> </w:t>
      </w:r>
      <w:r>
        <w:t>measure-level</w:t>
      </w:r>
      <w:r>
        <w:rPr>
          <w:spacing w:val="-3"/>
        </w:rPr>
        <w:t xml:space="preserve"> </w:t>
      </w:r>
      <w:r>
        <w:t>database.</w:t>
      </w:r>
      <w:r>
        <w:rPr>
          <w:spacing w:val="-4"/>
        </w:rPr>
        <w:t xml:space="preserve"> </w:t>
      </w:r>
      <w:r>
        <w:t>The</w:t>
      </w:r>
      <w:r>
        <w:rPr>
          <w:spacing w:val="-5"/>
        </w:rPr>
        <w:t xml:space="preserve"> </w:t>
      </w:r>
      <w:r>
        <w:t>Results</w:t>
      </w:r>
      <w:r>
        <w:rPr>
          <w:spacing w:val="-3"/>
        </w:rPr>
        <w:t xml:space="preserve"> </w:t>
      </w:r>
      <w:r>
        <w:t>Viewer</w:t>
      </w:r>
      <w:r>
        <w:rPr>
          <w:spacing w:val="-4"/>
        </w:rPr>
        <w:t xml:space="preserve"> </w:t>
      </w:r>
      <w:r>
        <w:t>allows</w:t>
      </w:r>
      <w:r>
        <w:rPr>
          <w:spacing w:val="-4"/>
        </w:rPr>
        <w:t xml:space="preserve"> </w:t>
      </w:r>
      <w:r>
        <w:t>stakeholders</w:t>
      </w:r>
      <w:r>
        <w:rPr>
          <w:spacing w:val="-4"/>
        </w:rPr>
        <w:t xml:space="preserve"> </w:t>
      </w:r>
      <w:r>
        <w:t>to</w:t>
      </w:r>
      <w:r>
        <w:rPr>
          <w:spacing w:val="-4"/>
        </w:rPr>
        <w:t xml:space="preserve"> </w:t>
      </w:r>
      <w:r>
        <w:t>manipula</w:t>
      </w:r>
      <w:r>
        <w:t>te</w:t>
      </w:r>
      <w:r>
        <w:rPr>
          <w:spacing w:val="-4"/>
        </w:rPr>
        <w:t xml:space="preserve"> </w:t>
      </w:r>
      <w:r>
        <w:t>and visualize model outputs. A separate spreadsheet database of measure-level results for rebate (EE, FS, and BROs) programs is also made available with this release.</w:t>
      </w:r>
    </w:p>
    <w:p w:rsidR="00C31389" w:rsidRDefault="00C31389" w14:paraId="0E1CB8DF" w14:textId="77777777">
      <w:pPr>
        <w:sectPr w:rsidR="00C31389">
          <w:pgSz w:w="11910" w:h="16840"/>
          <w:pgMar w:top="1660" w:right="1020" w:bottom="1120" w:left="960" w:header="397" w:footer="938" w:gutter="0"/>
          <w:cols w:space="720"/>
        </w:sectPr>
      </w:pPr>
    </w:p>
    <w:p w:rsidR="00C31389" w:rsidRDefault="00C31389" w14:paraId="7EECFDC1" w14:textId="77777777">
      <w:pPr>
        <w:pStyle w:val="BodyText"/>
        <w:spacing w:before="11"/>
        <w:rPr>
          <w:sz w:val="13"/>
        </w:rPr>
      </w:pPr>
    </w:p>
    <w:p w:rsidR="00C31389" w:rsidRDefault="00561FBD" w14:paraId="64CFBE89" w14:textId="77777777">
      <w:pPr>
        <w:pStyle w:val="BodyText"/>
        <w:spacing w:before="92"/>
        <w:ind w:left="480" w:right="418"/>
      </w:pPr>
      <w:r>
        <w:t>Users can look at energy</w:t>
      </w:r>
      <w:r>
        <w:rPr>
          <w:spacing w:val="-1"/>
        </w:rPr>
        <w:t xml:space="preserve"> </w:t>
      </w:r>
      <w:r>
        <w:t xml:space="preserve">savings, including yearly incremental and </w:t>
      </w:r>
      <w:r>
        <w:t>cumulative savings over time,</w:t>
      </w:r>
      <w:r>
        <w:rPr>
          <w:spacing w:val="-3"/>
        </w:rPr>
        <w:t xml:space="preserve"> </w:t>
      </w:r>
      <w:r>
        <w:t>as</w:t>
      </w:r>
      <w:r>
        <w:rPr>
          <w:spacing w:val="-3"/>
        </w:rPr>
        <w:t xml:space="preserve"> </w:t>
      </w:r>
      <w:r>
        <w:t>well</w:t>
      </w:r>
      <w:r>
        <w:rPr>
          <w:spacing w:val="-3"/>
        </w:rPr>
        <w:t xml:space="preserve"> </w:t>
      </w:r>
      <w:r>
        <w:t>as</w:t>
      </w:r>
      <w:r>
        <w:rPr>
          <w:spacing w:val="-3"/>
        </w:rPr>
        <w:t xml:space="preserve"> </w:t>
      </w:r>
      <w:r>
        <w:t>their</w:t>
      </w:r>
      <w:r>
        <w:rPr>
          <w:spacing w:val="-3"/>
        </w:rPr>
        <w:t xml:space="preserve"> </w:t>
      </w:r>
      <w:r>
        <w:t>equivalent</w:t>
      </w:r>
      <w:r>
        <w:rPr>
          <w:spacing w:val="-3"/>
        </w:rPr>
        <w:t xml:space="preserve"> </w:t>
      </w:r>
      <w:r>
        <w:t>TSB</w:t>
      </w:r>
      <w:r>
        <w:rPr>
          <w:spacing w:val="-4"/>
        </w:rPr>
        <w:t xml:space="preserve"> </w:t>
      </w:r>
      <w:r>
        <w:t>values.</w:t>
      </w:r>
      <w:r>
        <w:rPr>
          <w:spacing w:val="-3"/>
        </w:rPr>
        <w:t xml:space="preserve"> </w:t>
      </w:r>
      <w:r>
        <w:t>They</w:t>
      </w:r>
      <w:r>
        <w:rPr>
          <w:spacing w:val="-3"/>
        </w:rPr>
        <w:t xml:space="preserve"> </w:t>
      </w:r>
      <w:r>
        <w:t>can</w:t>
      </w:r>
      <w:r>
        <w:rPr>
          <w:spacing w:val="-3"/>
        </w:rPr>
        <w:t xml:space="preserve"> </w:t>
      </w:r>
      <w:r>
        <w:t>also</w:t>
      </w:r>
      <w:r>
        <w:rPr>
          <w:spacing w:val="-3"/>
        </w:rPr>
        <w:t xml:space="preserve"> </w:t>
      </w:r>
      <w:r>
        <w:t>explore</w:t>
      </w:r>
      <w:r>
        <w:rPr>
          <w:spacing w:val="-3"/>
        </w:rPr>
        <w:t xml:space="preserve"> </w:t>
      </w:r>
      <w:r>
        <w:t>the</w:t>
      </w:r>
      <w:r>
        <w:rPr>
          <w:spacing w:val="-3"/>
        </w:rPr>
        <w:t xml:space="preserve"> </w:t>
      </w:r>
      <w:r>
        <w:t>cost-effectiveness</w:t>
      </w:r>
      <w:r>
        <w:rPr>
          <w:spacing w:val="-3"/>
        </w:rPr>
        <w:t xml:space="preserve"> </w:t>
      </w:r>
      <w:r>
        <w:t>of program subcategories and the spending from the utility rebate and BROs programs. The results can be viewed by the following:</w:t>
      </w:r>
    </w:p>
    <w:p w:rsidR="00C31389" w:rsidRDefault="00C31389" w14:paraId="10CD7D7E" w14:textId="77777777">
      <w:pPr>
        <w:pStyle w:val="BodyText"/>
        <w:spacing w:before="10"/>
        <w:rPr>
          <w:sz w:val="20"/>
        </w:rPr>
      </w:pPr>
    </w:p>
    <w:p w:rsidR="00C31389" w:rsidRDefault="00561FBD" w14:paraId="3653F795" w14:textId="77777777">
      <w:pPr>
        <w:pStyle w:val="ListParagraph"/>
        <w:numPr>
          <w:ilvl w:val="0"/>
          <w:numId w:val="35"/>
        </w:numPr>
        <w:tabs>
          <w:tab w:val="left" w:pos="1199"/>
        </w:tabs>
        <w:ind w:hanging="359"/>
        <w:rPr>
          <w:rFonts w:ascii="Symbol" w:hAnsi="Symbol"/>
          <w:sz w:val="20"/>
        </w:rPr>
      </w:pPr>
      <w:r>
        <w:rPr>
          <w:b/>
        </w:rPr>
        <w:t>Savings</w:t>
      </w:r>
      <w:r>
        <w:rPr>
          <w:b/>
          <w:spacing w:val="-8"/>
        </w:rPr>
        <w:t xml:space="preserve"> </w:t>
      </w:r>
      <w:r>
        <w:rPr>
          <w:b/>
        </w:rPr>
        <w:t>type:</w:t>
      </w:r>
      <w:r>
        <w:rPr>
          <w:b/>
          <w:spacing w:val="-7"/>
        </w:rPr>
        <w:t xml:space="preserve"> </w:t>
      </w:r>
      <w:r>
        <w:t>Electrical</w:t>
      </w:r>
      <w:r>
        <w:rPr>
          <w:spacing w:val="-7"/>
        </w:rPr>
        <w:t xml:space="preserve"> </w:t>
      </w:r>
      <w:r>
        <w:t>energy,</w:t>
      </w:r>
      <w:r>
        <w:rPr>
          <w:spacing w:val="-8"/>
        </w:rPr>
        <w:t xml:space="preserve"> </w:t>
      </w:r>
      <w:r>
        <w:t>peak</w:t>
      </w:r>
      <w:r>
        <w:rPr>
          <w:spacing w:val="-7"/>
        </w:rPr>
        <w:t xml:space="preserve"> </w:t>
      </w:r>
      <w:r>
        <w:t>power</w:t>
      </w:r>
      <w:r>
        <w:rPr>
          <w:spacing w:val="-7"/>
        </w:rPr>
        <w:t xml:space="preserve"> </w:t>
      </w:r>
      <w:r>
        <w:t>demand,</w:t>
      </w:r>
      <w:r>
        <w:rPr>
          <w:spacing w:val="-8"/>
        </w:rPr>
        <w:t xml:space="preserve"> </w:t>
      </w:r>
      <w:r>
        <w:t>and</w:t>
      </w:r>
      <w:r>
        <w:rPr>
          <w:spacing w:val="-7"/>
        </w:rPr>
        <w:t xml:space="preserve"> </w:t>
      </w:r>
      <w:r>
        <w:t>natural</w:t>
      </w:r>
      <w:r>
        <w:rPr>
          <w:spacing w:val="-7"/>
        </w:rPr>
        <w:t xml:space="preserve"> </w:t>
      </w:r>
      <w:r>
        <w:rPr>
          <w:spacing w:val="-5"/>
        </w:rPr>
        <w:t>gas</w:t>
      </w:r>
    </w:p>
    <w:p w:rsidR="00C31389" w:rsidRDefault="00561FBD" w14:paraId="4E4DDA6E" w14:textId="77777777">
      <w:pPr>
        <w:pStyle w:val="ListParagraph"/>
        <w:numPr>
          <w:ilvl w:val="0"/>
          <w:numId w:val="35"/>
        </w:numPr>
        <w:tabs>
          <w:tab w:val="left" w:pos="1199"/>
        </w:tabs>
        <w:spacing w:before="145"/>
        <w:ind w:hanging="359"/>
        <w:rPr>
          <w:rFonts w:ascii="Symbol" w:hAnsi="Symbol"/>
        </w:rPr>
      </w:pPr>
      <w:r>
        <w:rPr>
          <w:b/>
        </w:rPr>
        <w:t>Utility:</w:t>
      </w:r>
      <w:r>
        <w:rPr>
          <w:b/>
          <w:spacing w:val="-9"/>
        </w:rPr>
        <w:t xml:space="preserve"> </w:t>
      </w:r>
      <w:r>
        <w:t>PG&amp;E,</w:t>
      </w:r>
      <w:r>
        <w:rPr>
          <w:spacing w:val="-7"/>
        </w:rPr>
        <w:t xml:space="preserve"> </w:t>
      </w:r>
      <w:r>
        <w:t>SDG&amp;E,</w:t>
      </w:r>
      <w:r>
        <w:rPr>
          <w:spacing w:val="-6"/>
        </w:rPr>
        <w:t xml:space="preserve"> </w:t>
      </w:r>
      <w:r>
        <w:t>SCE,</w:t>
      </w:r>
      <w:r>
        <w:rPr>
          <w:spacing w:val="-7"/>
        </w:rPr>
        <w:t xml:space="preserve"> </w:t>
      </w:r>
      <w:r>
        <w:t>and</w:t>
      </w:r>
      <w:r>
        <w:rPr>
          <w:spacing w:val="-7"/>
        </w:rPr>
        <w:t xml:space="preserve"> </w:t>
      </w:r>
      <w:r>
        <w:rPr>
          <w:spacing w:val="-5"/>
        </w:rPr>
        <w:t>SCG</w:t>
      </w:r>
    </w:p>
    <w:p w:rsidR="00C31389" w:rsidRDefault="00561FBD" w14:paraId="1BC19CDB" w14:textId="77777777">
      <w:pPr>
        <w:pStyle w:val="ListParagraph"/>
        <w:numPr>
          <w:ilvl w:val="0"/>
          <w:numId w:val="35"/>
        </w:numPr>
        <w:tabs>
          <w:tab w:val="left" w:pos="1199"/>
        </w:tabs>
        <w:spacing w:before="143"/>
        <w:rPr>
          <w:rFonts w:ascii="Symbol" w:hAnsi="Symbol"/>
        </w:rPr>
      </w:pPr>
      <w:r>
        <w:rPr>
          <w:b/>
        </w:rPr>
        <w:t>Scenario:</w:t>
      </w:r>
      <w:r>
        <w:rPr>
          <w:b/>
          <w:spacing w:val="-8"/>
        </w:rPr>
        <w:t xml:space="preserve"> </w:t>
      </w:r>
      <w:r>
        <w:t>Multiple</w:t>
      </w:r>
      <w:r>
        <w:rPr>
          <w:spacing w:val="-7"/>
        </w:rPr>
        <w:t xml:space="preserve"> </w:t>
      </w:r>
      <w:r>
        <w:t>scenarios</w:t>
      </w:r>
      <w:r>
        <w:rPr>
          <w:spacing w:val="-8"/>
        </w:rPr>
        <w:t xml:space="preserve"> </w:t>
      </w:r>
      <w:r>
        <w:t>as</w:t>
      </w:r>
      <w:r>
        <w:rPr>
          <w:spacing w:val="-7"/>
        </w:rPr>
        <w:t xml:space="preserve"> </w:t>
      </w:r>
      <w:r>
        <w:t>discussed</w:t>
      </w:r>
      <w:r>
        <w:rPr>
          <w:spacing w:val="-9"/>
        </w:rPr>
        <w:t xml:space="preserve"> </w:t>
      </w:r>
      <w:r>
        <w:t>earlier</w:t>
      </w:r>
      <w:r>
        <w:rPr>
          <w:spacing w:val="-7"/>
        </w:rPr>
        <w:t xml:space="preserve"> </w:t>
      </w:r>
      <w:r>
        <w:t>in</w:t>
      </w:r>
      <w:r>
        <w:rPr>
          <w:spacing w:val="-7"/>
        </w:rPr>
        <w:t xml:space="preserve"> </w:t>
      </w:r>
      <w:r>
        <w:t>this</w:t>
      </w:r>
      <w:r>
        <w:rPr>
          <w:spacing w:val="-8"/>
        </w:rPr>
        <w:t xml:space="preserve"> </w:t>
      </w:r>
      <w:r>
        <w:rPr>
          <w:spacing w:val="-2"/>
        </w:rPr>
        <w:t>report</w:t>
      </w:r>
    </w:p>
    <w:p w:rsidR="00C31389" w:rsidRDefault="00561FBD" w14:paraId="6DAB50CD" w14:textId="77777777">
      <w:pPr>
        <w:pStyle w:val="ListParagraph"/>
        <w:numPr>
          <w:ilvl w:val="0"/>
          <w:numId w:val="35"/>
        </w:numPr>
        <w:tabs>
          <w:tab w:val="left" w:pos="1199"/>
        </w:tabs>
        <w:spacing w:before="145"/>
        <w:rPr>
          <w:rFonts w:ascii="Symbol" w:hAnsi="Symbol"/>
        </w:rPr>
      </w:pPr>
      <w:r>
        <w:rPr>
          <w:b/>
        </w:rPr>
        <w:t>Sector:</w:t>
      </w:r>
      <w:r>
        <w:rPr>
          <w:b/>
          <w:spacing w:val="-10"/>
        </w:rPr>
        <w:t xml:space="preserve"> </w:t>
      </w:r>
      <w:r>
        <w:t>Covers</w:t>
      </w:r>
      <w:r>
        <w:rPr>
          <w:spacing w:val="-10"/>
        </w:rPr>
        <w:t xml:space="preserve"> </w:t>
      </w:r>
      <w:r>
        <w:t>residential,</w:t>
      </w:r>
      <w:r>
        <w:rPr>
          <w:spacing w:val="-9"/>
        </w:rPr>
        <w:t xml:space="preserve"> </w:t>
      </w:r>
      <w:r>
        <w:t>commercial,</w:t>
      </w:r>
      <w:r>
        <w:rPr>
          <w:spacing w:val="-10"/>
        </w:rPr>
        <w:t xml:space="preserve"> </w:t>
      </w:r>
      <w:r>
        <w:t>industrial,</w:t>
      </w:r>
      <w:r>
        <w:rPr>
          <w:spacing w:val="-9"/>
        </w:rPr>
        <w:t xml:space="preserve"> </w:t>
      </w:r>
      <w:r>
        <w:t>and</w:t>
      </w:r>
      <w:r>
        <w:rPr>
          <w:spacing w:val="-10"/>
        </w:rPr>
        <w:t xml:space="preserve"> </w:t>
      </w:r>
      <w:r>
        <w:rPr>
          <w:spacing w:val="-2"/>
        </w:rPr>
        <w:t>agriculture</w:t>
      </w:r>
    </w:p>
    <w:p w:rsidR="00C31389" w:rsidRDefault="00561FBD" w14:paraId="6047C11B" w14:textId="77777777">
      <w:pPr>
        <w:pStyle w:val="ListParagraph"/>
        <w:numPr>
          <w:ilvl w:val="0"/>
          <w:numId w:val="35"/>
        </w:numPr>
        <w:tabs>
          <w:tab w:val="left" w:pos="1199"/>
        </w:tabs>
        <w:spacing w:before="143" w:line="264" w:lineRule="auto"/>
        <w:ind w:right="516" w:hanging="361"/>
        <w:rPr>
          <w:rFonts w:ascii="Symbol" w:hAnsi="Symbol"/>
        </w:rPr>
      </w:pPr>
      <w:r>
        <w:rPr>
          <w:b/>
        </w:rPr>
        <w:t xml:space="preserve">End Use category: </w:t>
      </w:r>
      <w:r>
        <w:t>Includes appliances and plug loads, lighting, HVAC, data centers, building envelope, commercial refrigeration, process heat and refrigeration, water</w:t>
      </w:r>
      <w:r>
        <w:rPr>
          <w:spacing w:val="-3"/>
        </w:rPr>
        <w:t xml:space="preserve"> </w:t>
      </w:r>
      <w:r>
        <w:t>heating,</w:t>
      </w:r>
      <w:r>
        <w:rPr>
          <w:spacing w:val="-3"/>
        </w:rPr>
        <w:t xml:space="preserve"> </w:t>
      </w:r>
      <w:r>
        <w:t>and</w:t>
      </w:r>
      <w:r>
        <w:rPr>
          <w:spacing w:val="-3"/>
        </w:rPr>
        <w:t xml:space="preserve"> </w:t>
      </w:r>
      <w:r>
        <w:t>food</w:t>
      </w:r>
      <w:r>
        <w:rPr>
          <w:spacing w:val="-4"/>
        </w:rPr>
        <w:t xml:space="preserve"> </w:t>
      </w:r>
      <w:r>
        <w:t>service.</w:t>
      </w:r>
      <w:r>
        <w:rPr>
          <w:spacing w:val="-3"/>
        </w:rPr>
        <w:t xml:space="preserve"> </w:t>
      </w:r>
      <w:r>
        <w:t>Whole</w:t>
      </w:r>
      <w:r>
        <w:rPr>
          <w:spacing w:val="-3"/>
        </w:rPr>
        <w:t xml:space="preserve"> </w:t>
      </w:r>
      <w:r>
        <w:t>building</w:t>
      </w:r>
      <w:r>
        <w:rPr>
          <w:spacing w:val="-6"/>
        </w:rPr>
        <w:t xml:space="preserve"> </w:t>
      </w:r>
      <w:r>
        <w:t>and</w:t>
      </w:r>
      <w:r>
        <w:rPr>
          <w:spacing w:val="-3"/>
        </w:rPr>
        <w:t xml:space="preserve"> </w:t>
      </w:r>
      <w:r>
        <w:t>BROs</w:t>
      </w:r>
      <w:r>
        <w:rPr>
          <w:spacing w:val="-1"/>
        </w:rPr>
        <w:t xml:space="preserve"> </w:t>
      </w:r>
      <w:r>
        <w:t>are</w:t>
      </w:r>
      <w:r>
        <w:rPr>
          <w:spacing w:val="-3"/>
        </w:rPr>
        <w:t xml:space="preserve"> </w:t>
      </w:r>
      <w:r>
        <w:t>also</w:t>
      </w:r>
      <w:r>
        <w:rPr>
          <w:spacing w:val="-3"/>
        </w:rPr>
        <w:t xml:space="preserve"> </w:t>
      </w:r>
      <w:r>
        <w:t>identified</w:t>
      </w:r>
      <w:r>
        <w:rPr>
          <w:spacing w:val="-3"/>
        </w:rPr>
        <w:t xml:space="preserve"> </w:t>
      </w:r>
      <w:r>
        <w:t>as</w:t>
      </w:r>
      <w:r>
        <w:rPr>
          <w:spacing w:val="-3"/>
        </w:rPr>
        <w:t xml:space="preserve"> </w:t>
      </w:r>
      <w:r>
        <w:t xml:space="preserve">end use </w:t>
      </w:r>
      <w:r>
        <w:t>categories</w:t>
      </w:r>
    </w:p>
    <w:p w:rsidR="00C31389" w:rsidRDefault="00561FBD" w14:paraId="3BC813BB" w14:textId="77777777">
      <w:pPr>
        <w:pStyle w:val="ListParagraph"/>
        <w:numPr>
          <w:ilvl w:val="0"/>
          <w:numId w:val="35"/>
        </w:numPr>
        <w:tabs>
          <w:tab w:val="left" w:pos="1199"/>
        </w:tabs>
        <w:spacing w:before="117"/>
        <w:ind w:hanging="359"/>
        <w:rPr>
          <w:rFonts w:ascii="Symbol" w:hAnsi="Symbol"/>
        </w:rPr>
      </w:pPr>
      <w:r>
        <w:rPr>
          <w:b/>
        </w:rPr>
        <w:t>Measure</w:t>
      </w:r>
      <w:r>
        <w:rPr>
          <w:b/>
          <w:spacing w:val="-5"/>
        </w:rPr>
        <w:t xml:space="preserve"> </w:t>
      </w:r>
      <w:r>
        <w:rPr>
          <w:b/>
        </w:rPr>
        <w:t>type:</w:t>
      </w:r>
      <w:r>
        <w:rPr>
          <w:b/>
          <w:spacing w:val="-5"/>
        </w:rPr>
        <w:t xml:space="preserve"> </w:t>
      </w:r>
      <w:r>
        <w:t>EE,</w:t>
      </w:r>
      <w:r>
        <w:rPr>
          <w:spacing w:val="-5"/>
        </w:rPr>
        <w:t xml:space="preserve"> </w:t>
      </w:r>
      <w:r>
        <w:t>FS,</w:t>
      </w:r>
      <w:r>
        <w:rPr>
          <w:spacing w:val="-5"/>
        </w:rPr>
        <w:t xml:space="preserve"> </w:t>
      </w:r>
      <w:r>
        <w:t>or</w:t>
      </w:r>
      <w:r>
        <w:rPr>
          <w:spacing w:val="-5"/>
        </w:rPr>
        <w:t xml:space="preserve"> </w:t>
      </w:r>
      <w:r>
        <w:rPr>
          <w:spacing w:val="-4"/>
        </w:rPr>
        <w:t>both</w:t>
      </w:r>
    </w:p>
    <w:p w:rsidR="00C31389" w:rsidRDefault="00C31389" w14:paraId="05A9CE7E" w14:textId="77777777">
      <w:pPr>
        <w:pStyle w:val="BodyText"/>
        <w:spacing w:before="4"/>
        <w:rPr>
          <w:sz w:val="33"/>
        </w:rPr>
      </w:pPr>
    </w:p>
    <w:p w:rsidR="00C31389" w:rsidRDefault="00561FBD" w14:paraId="5E637E48" w14:textId="77777777">
      <w:pPr>
        <w:pStyle w:val="Heading4"/>
        <w:numPr>
          <w:ilvl w:val="2"/>
          <w:numId w:val="71"/>
        </w:numPr>
        <w:tabs>
          <w:tab w:val="left" w:pos="1076"/>
        </w:tabs>
        <w:spacing w:before="1"/>
        <w:ind w:left="1076" w:hanging="596"/>
      </w:pPr>
      <w:bookmarkStart w:name="4.5.1_Results_Viewer_Tabs" w:id="293"/>
      <w:bookmarkStart w:name="_bookmark220" w:id="294"/>
      <w:bookmarkEnd w:id="293"/>
      <w:bookmarkEnd w:id="294"/>
      <w:r>
        <w:t>Results</w:t>
      </w:r>
      <w:r>
        <w:rPr>
          <w:spacing w:val="-4"/>
        </w:rPr>
        <w:t xml:space="preserve"> </w:t>
      </w:r>
      <w:r>
        <w:t>Viewer</w:t>
      </w:r>
      <w:r>
        <w:rPr>
          <w:spacing w:val="-3"/>
        </w:rPr>
        <w:t xml:space="preserve"> </w:t>
      </w:r>
      <w:r>
        <w:rPr>
          <w:spacing w:val="-4"/>
        </w:rPr>
        <w:t>Tabs</w:t>
      </w:r>
    </w:p>
    <w:p w:rsidR="00C31389" w:rsidRDefault="00C31389" w14:paraId="29F06713" w14:textId="77777777">
      <w:pPr>
        <w:pStyle w:val="BodyText"/>
        <w:spacing w:before="9"/>
        <w:rPr>
          <w:b/>
          <w:sz w:val="20"/>
        </w:rPr>
      </w:pPr>
    </w:p>
    <w:p w:rsidR="00C31389" w:rsidRDefault="00561FBD" w14:paraId="06AF125B" w14:textId="77777777">
      <w:pPr>
        <w:pStyle w:val="BodyText"/>
        <w:ind w:left="479" w:right="418"/>
      </w:pPr>
      <w:r>
        <w:t xml:space="preserve">The full Results Viewer can be found at: </w:t>
      </w:r>
      <w:hyperlink r:id="rId186">
        <w:r>
          <w:rPr>
            <w:color w:val="68942C"/>
            <w:u w:val="single" w:color="68942C"/>
          </w:rPr>
          <w:t>https://bit.ly/2023PGViewer</w:t>
        </w:r>
        <w:r>
          <w:t>.</w:t>
        </w:r>
      </w:hyperlink>
      <w:r>
        <w:t xml:space="preserve"> The Results Viewer consists</w:t>
      </w:r>
      <w:r>
        <w:rPr>
          <w:spacing w:val="-2"/>
        </w:rPr>
        <w:t xml:space="preserve"> </w:t>
      </w:r>
      <w:r>
        <w:t>of</w:t>
      </w:r>
      <w:r>
        <w:rPr>
          <w:spacing w:val="-2"/>
        </w:rPr>
        <w:t xml:space="preserve"> </w:t>
      </w:r>
      <w:r>
        <w:t>11</w:t>
      </w:r>
      <w:r>
        <w:rPr>
          <w:spacing w:val="-2"/>
        </w:rPr>
        <w:t xml:space="preserve"> </w:t>
      </w:r>
      <w:r>
        <w:t>tabs.</w:t>
      </w:r>
      <w:r>
        <w:rPr>
          <w:spacing w:val="-2"/>
        </w:rPr>
        <w:t xml:space="preserve"> </w:t>
      </w:r>
      <w:r>
        <w:t>The</w:t>
      </w:r>
      <w:r>
        <w:rPr>
          <w:spacing w:val="-3"/>
        </w:rPr>
        <w:t xml:space="preserve"> </w:t>
      </w:r>
      <w:r>
        <w:t>Landing</w:t>
      </w:r>
      <w:r>
        <w:rPr>
          <w:spacing w:val="-2"/>
        </w:rPr>
        <w:t xml:space="preserve"> </w:t>
      </w:r>
      <w:r>
        <w:t>Page</w:t>
      </w:r>
      <w:r>
        <w:rPr>
          <w:spacing w:val="-2"/>
        </w:rPr>
        <w:t xml:space="preserve"> </w:t>
      </w:r>
      <w:r>
        <w:t>and</w:t>
      </w:r>
      <w:r>
        <w:rPr>
          <w:spacing w:val="-2"/>
        </w:rPr>
        <w:t xml:space="preserve"> </w:t>
      </w:r>
      <w:r>
        <w:t>Data</w:t>
      </w:r>
      <w:r>
        <w:rPr>
          <w:spacing w:val="-2"/>
        </w:rPr>
        <w:t xml:space="preserve"> </w:t>
      </w:r>
      <w:r>
        <w:t>Definitions</w:t>
      </w:r>
      <w:r>
        <w:rPr>
          <w:spacing w:val="-1"/>
        </w:rPr>
        <w:t xml:space="preserve"> </w:t>
      </w:r>
      <w:r>
        <w:t>tabs</w:t>
      </w:r>
      <w:r>
        <w:rPr>
          <w:spacing w:val="-2"/>
        </w:rPr>
        <w:t xml:space="preserve"> </w:t>
      </w:r>
      <w:r>
        <w:t>give</w:t>
      </w:r>
      <w:r>
        <w:rPr>
          <w:spacing w:val="-2"/>
        </w:rPr>
        <w:t xml:space="preserve"> </w:t>
      </w:r>
      <w:r>
        <w:t>a</w:t>
      </w:r>
      <w:r>
        <w:rPr>
          <w:spacing w:val="-3"/>
        </w:rPr>
        <w:t xml:space="preserve"> </w:t>
      </w:r>
      <w:r>
        <w:t>short</w:t>
      </w:r>
      <w:r>
        <w:rPr>
          <w:spacing w:val="-2"/>
        </w:rPr>
        <w:t xml:space="preserve"> </w:t>
      </w:r>
      <w:r>
        <w:t>overview</w:t>
      </w:r>
      <w:r>
        <w:rPr>
          <w:spacing w:val="-3"/>
        </w:rPr>
        <w:t xml:space="preserve"> </w:t>
      </w:r>
      <w:r>
        <w:t>of</w:t>
      </w:r>
      <w:r>
        <w:rPr>
          <w:spacing w:val="-2"/>
        </w:rPr>
        <w:t xml:space="preserve"> </w:t>
      </w:r>
      <w:r>
        <w:t>the project</w:t>
      </w:r>
      <w:r>
        <w:rPr>
          <w:spacing w:val="-3"/>
        </w:rPr>
        <w:t xml:space="preserve"> </w:t>
      </w:r>
      <w:r>
        <w:t>and</w:t>
      </w:r>
      <w:r>
        <w:rPr>
          <w:spacing w:val="-4"/>
        </w:rPr>
        <w:t xml:space="preserve"> </w:t>
      </w:r>
      <w:r>
        <w:t>provide</w:t>
      </w:r>
      <w:r>
        <w:rPr>
          <w:spacing w:val="-3"/>
        </w:rPr>
        <w:t xml:space="preserve"> </w:t>
      </w:r>
      <w:r>
        <w:t>key</w:t>
      </w:r>
      <w:r>
        <w:rPr>
          <w:spacing w:val="-4"/>
        </w:rPr>
        <w:t xml:space="preserve"> </w:t>
      </w:r>
      <w:r>
        <w:t>definitions</w:t>
      </w:r>
      <w:r>
        <w:rPr>
          <w:spacing w:val="-4"/>
        </w:rPr>
        <w:t xml:space="preserve"> </w:t>
      </w:r>
      <w:r>
        <w:t>used</w:t>
      </w:r>
      <w:r>
        <w:rPr>
          <w:spacing w:val="-3"/>
        </w:rPr>
        <w:t xml:space="preserve"> </w:t>
      </w:r>
      <w:r>
        <w:t>throughout</w:t>
      </w:r>
      <w:r>
        <w:rPr>
          <w:spacing w:val="-3"/>
        </w:rPr>
        <w:t xml:space="preserve"> </w:t>
      </w:r>
      <w:r>
        <w:t>the</w:t>
      </w:r>
      <w:r>
        <w:rPr>
          <w:spacing w:val="-3"/>
        </w:rPr>
        <w:t xml:space="preserve"> </w:t>
      </w:r>
      <w:r>
        <w:t>results</w:t>
      </w:r>
      <w:r>
        <w:rPr>
          <w:spacing w:val="-3"/>
        </w:rPr>
        <w:t xml:space="preserve"> </w:t>
      </w:r>
      <w:r>
        <w:t>tabs.</w:t>
      </w:r>
      <w:r>
        <w:rPr>
          <w:spacing w:val="-3"/>
        </w:rPr>
        <w:t xml:space="preserve"> </w:t>
      </w:r>
      <w:r>
        <w:t>The</w:t>
      </w:r>
      <w:r>
        <w:rPr>
          <w:spacing w:val="-4"/>
        </w:rPr>
        <w:t xml:space="preserve"> </w:t>
      </w:r>
      <w:r>
        <w:t>remaining</w:t>
      </w:r>
      <w:r>
        <w:rPr>
          <w:spacing w:val="-3"/>
        </w:rPr>
        <w:t xml:space="preserve"> </w:t>
      </w:r>
      <w:r>
        <w:t>nine</w:t>
      </w:r>
      <w:r>
        <w:rPr>
          <w:spacing w:val="-2"/>
        </w:rPr>
        <w:t xml:space="preserve"> </w:t>
      </w:r>
      <w:r>
        <w:t xml:space="preserve">tabs allow users to view and slice data in a variety of ways, from high level </w:t>
      </w:r>
      <w:r>
        <w:t>statewide to granular utility and end use-specific results. Results tabs include the following:</w:t>
      </w:r>
    </w:p>
    <w:p w:rsidR="00C31389" w:rsidRDefault="00561FBD" w14:paraId="055FE75B" w14:textId="77777777">
      <w:pPr>
        <w:pStyle w:val="ListParagraph"/>
        <w:numPr>
          <w:ilvl w:val="0"/>
          <w:numId w:val="34"/>
        </w:numPr>
        <w:tabs>
          <w:tab w:val="left" w:pos="1199"/>
        </w:tabs>
        <w:ind w:right="461"/>
      </w:pPr>
      <w:r>
        <w:rPr>
          <w:b/>
        </w:rPr>
        <w:t>Potential</w:t>
      </w:r>
      <w:r>
        <w:rPr>
          <w:b/>
          <w:spacing w:val="-4"/>
        </w:rPr>
        <w:t xml:space="preserve"> </w:t>
      </w:r>
      <w:r>
        <w:rPr>
          <w:b/>
        </w:rPr>
        <w:t>by</w:t>
      </w:r>
      <w:r>
        <w:rPr>
          <w:b/>
          <w:spacing w:val="-4"/>
        </w:rPr>
        <w:t xml:space="preserve"> </w:t>
      </w:r>
      <w:r>
        <w:rPr>
          <w:b/>
        </w:rPr>
        <w:t>Type:</w:t>
      </w:r>
      <w:r>
        <w:rPr>
          <w:b/>
          <w:spacing w:val="-4"/>
        </w:rPr>
        <w:t xml:space="preserve"> </w:t>
      </w:r>
      <w:r>
        <w:t>Detailed</w:t>
      </w:r>
      <w:r>
        <w:rPr>
          <w:spacing w:val="-4"/>
        </w:rPr>
        <w:t xml:space="preserve"> </w:t>
      </w:r>
      <w:r>
        <w:t>data</w:t>
      </w:r>
      <w:r>
        <w:rPr>
          <w:spacing w:val="-4"/>
        </w:rPr>
        <w:t xml:space="preserve"> </w:t>
      </w:r>
      <w:r>
        <w:t>on</w:t>
      </w:r>
      <w:r>
        <w:rPr>
          <w:spacing w:val="-4"/>
        </w:rPr>
        <w:t xml:space="preserve"> </w:t>
      </w:r>
      <w:r>
        <w:t>technical,</w:t>
      </w:r>
      <w:r>
        <w:rPr>
          <w:spacing w:val="-5"/>
        </w:rPr>
        <w:t xml:space="preserve"> </w:t>
      </w:r>
      <w:r>
        <w:t>economic,</w:t>
      </w:r>
      <w:r>
        <w:rPr>
          <w:spacing w:val="-4"/>
        </w:rPr>
        <w:t xml:space="preserve"> </w:t>
      </w:r>
      <w:r>
        <w:t>and</w:t>
      </w:r>
      <w:r>
        <w:rPr>
          <w:spacing w:val="-4"/>
        </w:rPr>
        <w:t xml:space="preserve"> </w:t>
      </w:r>
      <w:r>
        <w:t>cumulative</w:t>
      </w:r>
      <w:r>
        <w:rPr>
          <w:spacing w:val="-4"/>
        </w:rPr>
        <w:t xml:space="preserve"> </w:t>
      </w:r>
      <w:r>
        <w:t>achievable potential from IOU equipment rebate programs. These graphs only show IOU clai</w:t>
      </w:r>
      <w:r>
        <w:t>mable savings from behavior and C&amp;S advocacy programs. for the cumulative achievable potential result, because the technical and economic potential for these sources are undefined. Technical potential in this view is based on instantaneous potential, which</w:t>
      </w:r>
      <w:r>
        <w:t xml:space="preserve"> is defined as the amount of energy savings that would be possible if the highest level of efficiency for all technically applicable opportunities to improve EE</w:t>
      </w:r>
      <w:r>
        <w:rPr>
          <w:spacing w:val="-2"/>
        </w:rPr>
        <w:t xml:space="preserve"> </w:t>
      </w:r>
      <w:r>
        <w:t>were</w:t>
      </w:r>
      <w:r>
        <w:rPr>
          <w:spacing w:val="-2"/>
        </w:rPr>
        <w:t xml:space="preserve"> </w:t>
      </w:r>
      <w:r>
        <w:t>taken.</w:t>
      </w:r>
      <w:r>
        <w:rPr>
          <w:spacing w:val="-2"/>
        </w:rPr>
        <w:t xml:space="preserve"> </w:t>
      </w:r>
      <w:r>
        <w:t>It</w:t>
      </w:r>
      <w:r>
        <w:rPr>
          <w:spacing w:val="-2"/>
        </w:rPr>
        <w:t xml:space="preserve"> </w:t>
      </w:r>
      <w:r>
        <w:t>does</w:t>
      </w:r>
      <w:r>
        <w:rPr>
          <w:spacing w:val="-2"/>
        </w:rPr>
        <w:t xml:space="preserve"> </w:t>
      </w:r>
      <w:r>
        <w:t>not</w:t>
      </w:r>
      <w:r>
        <w:rPr>
          <w:spacing w:val="-2"/>
        </w:rPr>
        <w:t xml:space="preserve"> </w:t>
      </w:r>
      <w:r>
        <w:t>account</w:t>
      </w:r>
      <w:r>
        <w:rPr>
          <w:spacing w:val="-2"/>
        </w:rPr>
        <w:t xml:space="preserve"> </w:t>
      </w:r>
      <w:r>
        <w:t>for</w:t>
      </w:r>
      <w:r>
        <w:rPr>
          <w:spacing w:val="-2"/>
        </w:rPr>
        <w:t xml:space="preserve"> </w:t>
      </w:r>
      <w:r>
        <w:t>equipment</w:t>
      </w:r>
      <w:r>
        <w:rPr>
          <w:spacing w:val="-2"/>
        </w:rPr>
        <w:t xml:space="preserve"> </w:t>
      </w:r>
      <w:r>
        <w:t>stock</w:t>
      </w:r>
      <w:r>
        <w:rPr>
          <w:spacing w:val="-2"/>
        </w:rPr>
        <w:t xml:space="preserve"> </w:t>
      </w:r>
      <w:r>
        <w:t>turnover.</w:t>
      </w:r>
      <w:r>
        <w:rPr>
          <w:spacing w:val="-2"/>
        </w:rPr>
        <w:t xml:space="preserve"> </w:t>
      </w:r>
      <w:r>
        <w:t>Economic</w:t>
      </w:r>
      <w:r>
        <w:rPr>
          <w:spacing w:val="-2"/>
        </w:rPr>
        <w:t xml:space="preserve"> </w:t>
      </w:r>
      <w:r>
        <w:t xml:space="preserve">potential is the subset </w:t>
      </w:r>
      <w:r>
        <w:t>of technical potential that is cost-effective under the relevant screening test in each scenario.</w:t>
      </w:r>
    </w:p>
    <w:p w:rsidR="00C31389" w:rsidRDefault="00561FBD" w14:paraId="4B3B4DAC" w14:textId="77777777">
      <w:pPr>
        <w:pStyle w:val="ListParagraph"/>
        <w:numPr>
          <w:ilvl w:val="0"/>
          <w:numId w:val="34"/>
        </w:numPr>
        <w:tabs>
          <w:tab w:val="left" w:pos="1199"/>
        </w:tabs>
        <w:spacing w:before="119"/>
        <w:ind w:right="616"/>
      </w:pPr>
      <w:r>
        <w:rPr>
          <w:b/>
        </w:rPr>
        <w:t xml:space="preserve">Potential by Scenario: </w:t>
      </w:r>
      <w:r>
        <w:t>Detailed data on incremental and cumulative achievable potential across each of the modeled scenarios. Dimensions include end use, buil</w:t>
      </w:r>
      <w:r>
        <w:t>ding</w:t>
      </w:r>
      <w:r>
        <w:rPr>
          <w:spacing w:val="-4"/>
        </w:rPr>
        <w:t xml:space="preserve"> </w:t>
      </w:r>
      <w:r>
        <w:t>type,</w:t>
      </w:r>
      <w:r>
        <w:rPr>
          <w:spacing w:val="-4"/>
        </w:rPr>
        <w:t xml:space="preserve"> </w:t>
      </w:r>
      <w:r>
        <w:t>sector,</w:t>
      </w:r>
      <w:r>
        <w:rPr>
          <w:spacing w:val="-4"/>
        </w:rPr>
        <w:t xml:space="preserve"> </w:t>
      </w:r>
      <w:r>
        <w:t>utility,</w:t>
      </w:r>
      <w:r>
        <w:rPr>
          <w:spacing w:val="-4"/>
        </w:rPr>
        <w:t xml:space="preserve"> </w:t>
      </w:r>
      <w:r>
        <w:t>and</w:t>
      </w:r>
      <w:r>
        <w:rPr>
          <w:spacing w:val="-4"/>
        </w:rPr>
        <w:t xml:space="preserve"> </w:t>
      </w:r>
      <w:r>
        <w:t>measure</w:t>
      </w:r>
      <w:r>
        <w:rPr>
          <w:spacing w:val="-4"/>
        </w:rPr>
        <w:t xml:space="preserve"> </w:t>
      </w:r>
      <w:r>
        <w:t>type.</w:t>
      </w:r>
      <w:r>
        <w:rPr>
          <w:spacing w:val="-5"/>
        </w:rPr>
        <w:t xml:space="preserve"> </w:t>
      </w:r>
      <w:r>
        <w:t>Achievable</w:t>
      </w:r>
      <w:r>
        <w:rPr>
          <w:spacing w:val="-5"/>
        </w:rPr>
        <w:t xml:space="preserve"> </w:t>
      </w:r>
      <w:r>
        <w:t>potential</w:t>
      </w:r>
      <w:r>
        <w:rPr>
          <w:spacing w:val="-3"/>
        </w:rPr>
        <w:t xml:space="preserve"> </w:t>
      </w:r>
      <w:r>
        <w:t>includes</w:t>
      </w:r>
      <w:r>
        <w:rPr>
          <w:spacing w:val="-4"/>
        </w:rPr>
        <w:t xml:space="preserve"> </w:t>
      </w:r>
      <w:r>
        <w:t>rebate programs and BROs. This tab does not include C&amp;S savings.</w:t>
      </w:r>
    </w:p>
    <w:p w:rsidR="00C31389" w:rsidRDefault="00561FBD" w14:paraId="3D1FA17E" w14:textId="77777777">
      <w:pPr>
        <w:pStyle w:val="ListParagraph"/>
        <w:numPr>
          <w:ilvl w:val="0"/>
          <w:numId w:val="34"/>
        </w:numPr>
        <w:tabs>
          <w:tab w:val="left" w:pos="1200"/>
        </w:tabs>
        <w:spacing w:before="117"/>
        <w:ind w:left="1200" w:right="594"/>
      </w:pPr>
      <w:r>
        <w:rPr>
          <w:b/>
        </w:rPr>
        <w:t>Potential</w:t>
      </w:r>
      <w:r>
        <w:rPr>
          <w:b/>
          <w:spacing w:val="-4"/>
        </w:rPr>
        <w:t xml:space="preserve"> </w:t>
      </w:r>
      <w:r>
        <w:rPr>
          <w:b/>
        </w:rPr>
        <w:t>Breakdown:</w:t>
      </w:r>
      <w:r>
        <w:rPr>
          <w:b/>
          <w:spacing w:val="-4"/>
        </w:rPr>
        <w:t xml:space="preserve"> </w:t>
      </w:r>
      <w:r>
        <w:t>Detailed</w:t>
      </w:r>
      <w:r>
        <w:rPr>
          <w:spacing w:val="-4"/>
        </w:rPr>
        <w:t xml:space="preserve"> </w:t>
      </w:r>
      <w:r>
        <w:t>data</w:t>
      </w:r>
      <w:r>
        <w:rPr>
          <w:spacing w:val="-4"/>
        </w:rPr>
        <w:t xml:space="preserve"> </w:t>
      </w:r>
      <w:r>
        <w:t>showing</w:t>
      </w:r>
      <w:r>
        <w:rPr>
          <w:spacing w:val="-4"/>
        </w:rPr>
        <w:t xml:space="preserve"> </w:t>
      </w:r>
      <w:r>
        <w:t>how</w:t>
      </w:r>
      <w:r>
        <w:rPr>
          <w:spacing w:val="-5"/>
        </w:rPr>
        <w:t xml:space="preserve"> </w:t>
      </w:r>
      <w:r>
        <w:t>different</w:t>
      </w:r>
      <w:r>
        <w:rPr>
          <w:spacing w:val="-4"/>
        </w:rPr>
        <w:t xml:space="preserve"> </w:t>
      </w:r>
      <w:r>
        <w:t>subcategories</w:t>
      </w:r>
      <w:r>
        <w:rPr>
          <w:spacing w:val="-4"/>
        </w:rPr>
        <w:t xml:space="preserve"> </w:t>
      </w:r>
      <w:r>
        <w:t>make</w:t>
      </w:r>
      <w:r>
        <w:rPr>
          <w:spacing w:val="-4"/>
        </w:rPr>
        <w:t xml:space="preserve"> </w:t>
      </w:r>
      <w:r>
        <w:t>up the</w:t>
      </w:r>
      <w:r>
        <w:rPr>
          <w:spacing w:val="-2"/>
        </w:rPr>
        <w:t xml:space="preserve"> </w:t>
      </w:r>
      <w:r>
        <w:t>total</w:t>
      </w:r>
      <w:r>
        <w:rPr>
          <w:spacing w:val="-2"/>
        </w:rPr>
        <w:t xml:space="preserve"> </w:t>
      </w:r>
      <w:r>
        <w:t>potential</w:t>
      </w:r>
      <w:r>
        <w:rPr>
          <w:spacing w:val="-2"/>
        </w:rPr>
        <w:t xml:space="preserve"> </w:t>
      </w:r>
      <w:r>
        <w:t>results.</w:t>
      </w:r>
      <w:r>
        <w:rPr>
          <w:spacing w:val="-2"/>
        </w:rPr>
        <w:t xml:space="preserve"> </w:t>
      </w:r>
      <w:r>
        <w:t>All</w:t>
      </w:r>
      <w:r>
        <w:rPr>
          <w:spacing w:val="-2"/>
        </w:rPr>
        <w:t xml:space="preserve"> </w:t>
      </w:r>
      <w:r>
        <w:t>potential</w:t>
      </w:r>
      <w:r>
        <w:rPr>
          <w:spacing w:val="-2"/>
        </w:rPr>
        <w:t xml:space="preserve"> </w:t>
      </w:r>
      <w:r>
        <w:t>types</w:t>
      </w:r>
      <w:r>
        <w:rPr>
          <w:spacing w:val="-2"/>
        </w:rPr>
        <w:t xml:space="preserve"> </w:t>
      </w:r>
      <w:r>
        <w:t>for</w:t>
      </w:r>
      <w:r>
        <w:rPr>
          <w:spacing w:val="-3"/>
        </w:rPr>
        <w:t xml:space="preserve"> </w:t>
      </w:r>
      <w:r>
        <w:t>all</w:t>
      </w:r>
      <w:r>
        <w:rPr>
          <w:spacing w:val="-2"/>
        </w:rPr>
        <w:t xml:space="preserve"> </w:t>
      </w:r>
      <w:r>
        <w:t>scenarios</w:t>
      </w:r>
      <w:r>
        <w:rPr>
          <w:spacing w:val="-3"/>
        </w:rPr>
        <w:t xml:space="preserve"> </w:t>
      </w:r>
      <w:r>
        <w:t>can</w:t>
      </w:r>
      <w:r>
        <w:rPr>
          <w:spacing w:val="-2"/>
        </w:rPr>
        <w:t xml:space="preserve"> </w:t>
      </w:r>
      <w:r>
        <w:t>be</w:t>
      </w:r>
      <w:r>
        <w:rPr>
          <w:spacing w:val="-2"/>
        </w:rPr>
        <w:t xml:space="preserve"> </w:t>
      </w:r>
      <w:r>
        <w:t>broken</w:t>
      </w:r>
      <w:r>
        <w:rPr>
          <w:spacing w:val="-2"/>
        </w:rPr>
        <w:t xml:space="preserve"> </w:t>
      </w:r>
      <w:r>
        <w:t>down</w:t>
      </w:r>
      <w:r>
        <w:rPr>
          <w:spacing w:val="-2"/>
        </w:rPr>
        <w:t xml:space="preserve"> </w:t>
      </w:r>
      <w:r>
        <w:t>to show their components by end use, sector, utility, or measure type. These results can be further filtered down to provide more specific insights.</w:t>
      </w:r>
    </w:p>
    <w:p w:rsidR="00C31389" w:rsidRDefault="00561FBD" w14:paraId="018328BB" w14:textId="77777777">
      <w:pPr>
        <w:pStyle w:val="ListParagraph"/>
        <w:numPr>
          <w:ilvl w:val="0"/>
          <w:numId w:val="34"/>
        </w:numPr>
        <w:tabs>
          <w:tab w:val="left" w:pos="1200"/>
        </w:tabs>
        <w:spacing w:before="119"/>
        <w:ind w:left="1200" w:right="446"/>
      </w:pPr>
      <w:r>
        <w:rPr>
          <w:b/>
        </w:rPr>
        <w:t>Cost-Effectiveness:</w:t>
      </w:r>
      <w:r>
        <w:rPr>
          <w:b/>
          <w:spacing w:val="-3"/>
        </w:rPr>
        <w:t xml:space="preserve"> </w:t>
      </w:r>
      <w:r>
        <w:t>The</w:t>
      </w:r>
      <w:r>
        <w:rPr>
          <w:spacing w:val="-3"/>
        </w:rPr>
        <w:t xml:space="preserve"> </w:t>
      </w:r>
      <w:r>
        <w:t>cost-effectiveness</w:t>
      </w:r>
      <w:r>
        <w:rPr>
          <w:spacing w:val="-2"/>
        </w:rPr>
        <w:t xml:space="preserve"> </w:t>
      </w:r>
      <w:r>
        <w:t>ratio</w:t>
      </w:r>
      <w:r>
        <w:rPr>
          <w:spacing w:val="-3"/>
        </w:rPr>
        <w:t xml:space="preserve"> </w:t>
      </w:r>
      <w:r>
        <w:t>compares</w:t>
      </w:r>
      <w:r>
        <w:rPr>
          <w:spacing w:val="-3"/>
        </w:rPr>
        <w:t xml:space="preserve"> </w:t>
      </w:r>
      <w:r>
        <w:t>total</w:t>
      </w:r>
      <w:r>
        <w:rPr>
          <w:spacing w:val="-3"/>
        </w:rPr>
        <w:t xml:space="preserve"> </w:t>
      </w:r>
      <w:r>
        <w:t>program</w:t>
      </w:r>
      <w:r>
        <w:rPr>
          <w:spacing w:val="-4"/>
        </w:rPr>
        <w:t xml:space="preserve"> </w:t>
      </w:r>
      <w:r>
        <w:t>benefits</w:t>
      </w:r>
      <w:r>
        <w:rPr>
          <w:spacing w:val="-3"/>
        </w:rPr>
        <w:t xml:space="preserve"> </w:t>
      </w:r>
      <w:r>
        <w:t>to total</w:t>
      </w:r>
      <w:r>
        <w:rPr>
          <w:spacing w:val="-3"/>
        </w:rPr>
        <w:t xml:space="preserve"> </w:t>
      </w:r>
      <w:r>
        <w:t>program</w:t>
      </w:r>
      <w:r>
        <w:rPr>
          <w:spacing w:val="-4"/>
        </w:rPr>
        <w:t xml:space="preserve"> </w:t>
      </w:r>
      <w:r>
        <w:t>costs</w:t>
      </w:r>
      <w:r>
        <w:rPr>
          <w:spacing w:val="-3"/>
        </w:rPr>
        <w:t xml:space="preserve"> </w:t>
      </w:r>
      <w:r>
        <w:t>for</w:t>
      </w:r>
      <w:r>
        <w:rPr>
          <w:spacing w:val="-3"/>
        </w:rPr>
        <w:t xml:space="preserve"> </w:t>
      </w:r>
      <w:r>
        <w:t>the</w:t>
      </w:r>
      <w:r>
        <w:rPr>
          <w:spacing w:val="-3"/>
        </w:rPr>
        <w:t xml:space="preserve"> </w:t>
      </w:r>
      <w:r>
        <w:t>portfolio</w:t>
      </w:r>
      <w:r>
        <w:rPr>
          <w:spacing w:val="-4"/>
        </w:rPr>
        <w:t xml:space="preserve"> </w:t>
      </w:r>
      <w:r>
        <w:t>of</w:t>
      </w:r>
      <w:r>
        <w:rPr>
          <w:spacing w:val="-3"/>
        </w:rPr>
        <w:t xml:space="preserve"> </w:t>
      </w:r>
      <w:r>
        <w:t>forecast</w:t>
      </w:r>
      <w:r>
        <w:rPr>
          <w:spacing w:val="-4"/>
        </w:rPr>
        <w:t xml:space="preserve"> </w:t>
      </w:r>
      <w:r>
        <w:t>measures</w:t>
      </w:r>
      <w:r>
        <w:rPr>
          <w:spacing w:val="-3"/>
        </w:rPr>
        <w:t xml:space="preserve"> </w:t>
      </w:r>
      <w:r>
        <w:t>under</w:t>
      </w:r>
      <w:r>
        <w:rPr>
          <w:spacing w:val="-3"/>
        </w:rPr>
        <w:t xml:space="preserve"> </w:t>
      </w:r>
      <w:r>
        <w:t>the</w:t>
      </w:r>
      <w:r>
        <w:rPr>
          <w:spacing w:val="-3"/>
        </w:rPr>
        <w:t xml:space="preserve"> </w:t>
      </w:r>
      <w:r>
        <w:t>equipment</w:t>
      </w:r>
      <w:r>
        <w:rPr>
          <w:spacing w:val="-3"/>
        </w:rPr>
        <w:t xml:space="preserve"> </w:t>
      </w:r>
      <w:r>
        <w:t>rebate and BROs programs for each scenario. Tests define costs and benefits differently, and all are defined by the C</w:t>
      </w:r>
      <w:r>
        <w:t>alifornia Standard Practice Manual. The four cost tests shown are the TRC, PAC, participant cost (PCT), and ratepayer impact measure (RIM) tests.</w:t>
      </w:r>
    </w:p>
    <w:p w:rsidR="00C31389" w:rsidRDefault="00C31389" w14:paraId="1FBE4C20" w14:textId="77777777">
      <w:pPr>
        <w:sectPr w:rsidR="00C31389">
          <w:pgSz w:w="11910" w:h="16840"/>
          <w:pgMar w:top="1660" w:right="1020" w:bottom="1120" w:left="960" w:header="397" w:footer="938" w:gutter="0"/>
          <w:cols w:space="720"/>
        </w:sectPr>
      </w:pPr>
    </w:p>
    <w:p w:rsidR="00C31389" w:rsidRDefault="00C31389" w14:paraId="627B3852" w14:textId="77777777">
      <w:pPr>
        <w:pStyle w:val="BodyText"/>
      </w:pPr>
    </w:p>
    <w:p w:rsidR="00C31389" w:rsidRDefault="00C31389" w14:paraId="46E393C2" w14:textId="77777777">
      <w:pPr>
        <w:pStyle w:val="BodyText"/>
        <w:spacing w:before="2"/>
        <w:rPr>
          <w:sz w:val="13"/>
        </w:rPr>
      </w:pPr>
    </w:p>
    <w:p w:rsidR="00C31389" w:rsidRDefault="00561FBD" w14:paraId="23A85078" w14:textId="77777777">
      <w:pPr>
        <w:pStyle w:val="ListParagraph"/>
        <w:numPr>
          <w:ilvl w:val="0"/>
          <w:numId w:val="34"/>
        </w:numPr>
        <w:tabs>
          <w:tab w:val="left" w:pos="1200"/>
        </w:tabs>
        <w:spacing w:before="100"/>
        <w:ind w:left="1200" w:right="786" w:hanging="361"/>
      </w:pPr>
      <w:r>
        <w:rPr>
          <w:b/>
        </w:rPr>
        <w:t xml:space="preserve">TSB by Scenario: </w:t>
      </w:r>
      <w:r>
        <w:t xml:space="preserve">Detailed data on TSB from the equipment rebate and BROs </w:t>
      </w:r>
      <w:r>
        <w:t>programs</w:t>
      </w:r>
      <w:r>
        <w:rPr>
          <w:spacing w:val="-3"/>
        </w:rPr>
        <w:t xml:space="preserve"> </w:t>
      </w:r>
      <w:r>
        <w:t>under</w:t>
      </w:r>
      <w:r>
        <w:rPr>
          <w:spacing w:val="-3"/>
        </w:rPr>
        <w:t xml:space="preserve"> </w:t>
      </w:r>
      <w:r>
        <w:t>each</w:t>
      </w:r>
      <w:r>
        <w:rPr>
          <w:spacing w:val="-3"/>
        </w:rPr>
        <w:t xml:space="preserve"> </w:t>
      </w:r>
      <w:r>
        <w:t>scenario.</w:t>
      </w:r>
      <w:r>
        <w:rPr>
          <w:spacing w:val="-3"/>
        </w:rPr>
        <w:t xml:space="preserve"> </w:t>
      </w:r>
      <w:r>
        <w:t>The</w:t>
      </w:r>
      <w:r>
        <w:rPr>
          <w:spacing w:val="-4"/>
        </w:rPr>
        <w:t xml:space="preserve"> </w:t>
      </w:r>
      <w:r>
        <w:t>TSB</w:t>
      </w:r>
      <w:r>
        <w:rPr>
          <w:spacing w:val="-3"/>
        </w:rPr>
        <w:t xml:space="preserve"> </w:t>
      </w:r>
      <w:r>
        <w:t>is</w:t>
      </w:r>
      <w:r>
        <w:rPr>
          <w:spacing w:val="-3"/>
        </w:rPr>
        <w:t xml:space="preserve"> </w:t>
      </w:r>
      <w:r>
        <w:t>the</w:t>
      </w:r>
      <w:r>
        <w:rPr>
          <w:spacing w:val="-3"/>
        </w:rPr>
        <w:t xml:space="preserve"> </w:t>
      </w:r>
      <w:r>
        <w:t>present</w:t>
      </w:r>
      <w:r>
        <w:rPr>
          <w:spacing w:val="-3"/>
        </w:rPr>
        <w:t xml:space="preserve"> </w:t>
      </w:r>
      <w:r>
        <w:t>value</w:t>
      </w:r>
      <w:r>
        <w:rPr>
          <w:spacing w:val="-3"/>
        </w:rPr>
        <w:t xml:space="preserve"> </w:t>
      </w:r>
      <w:r>
        <w:t>of</w:t>
      </w:r>
      <w:r>
        <w:rPr>
          <w:spacing w:val="-3"/>
        </w:rPr>
        <w:t xml:space="preserve"> </w:t>
      </w:r>
      <w:r>
        <w:t>avoided</w:t>
      </w:r>
      <w:r>
        <w:rPr>
          <w:spacing w:val="-4"/>
        </w:rPr>
        <w:t xml:space="preserve"> </w:t>
      </w:r>
      <w:r>
        <w:t>cost</w:t>
      </w:r>
      <w:r>
        <w:rPr>
          <w:spacing w:val="-3"/>
        </w:rPr>
        <w:t xml:space="preserve"> </w:t>
      </w:r>
      <w:r>
        <w:t>less additional supply costs due to measure adoption.</w:t>
      </w:r>
    </w:p>
    <w:p w:rsidR="00C31389" w:rsidRDefault="00561FBD" w14:paraId="0B23E104" w14:textId="77777777">
      <w:pPr>
        <w:pStyle w:val="ListParagraph"/>
        <w:numPr>
          <w:ilvl w:val="0"/>
          <w:numId w:val="34"/>
        </w:numPr>
        <w:tabs>
          <w:tab w:val="left" w:pos="1200"/>
        </w:tabs>
        <w:spacing w:before="119"/>
        <w:ind w:left="1200" w:right="434"/>
      </w:pPr>
      <w:r>
        <w:rPr>
          <w:b/>
        </w:rPr>
        <w:t>TSB</w:t>
      </w:r>
      <w:r>
        <w:rPr>
          <w:b/>
          <w:spacing w:val="-4"/>
        </w:rPr>
        <w:t xml:space="preserve"> </w:t>
      </w:r>
      <w:r>
        <w:rPr>
          <w:b/>
        </w:rPr>
        <w:t>Breakdown:</w:t>
      </w:r>
      <w:r>
        <w:rPr>
          <w:b/>
          <w:spacing w:val="-3"/>
        </w:rPr>
        <w:t xml:space="preserve"> </w:t>
      </w:r>
      <w:r>
        <w:t>Detailed</w:t>
      </w:r>
      <w:r>
        <w:rPr>
          <w:spacing w:val="-3"/>
        </w:rPr>
        <w:t xml:space="preserve"> </w:t>
      </w:r>
      <w:r>
        <w:t>data</w:t>
      </w:r>
      <w:r>
        <w:rPr>
          <w:spacing w:val="-3"/>
        </w:rPr>
        <w:t xml:space="preserve"> </w:t>
      </w:r>
      <w:r>
        <w:t>showing</w:t>
      </w:r>
      <w:r>
        <w:rPr>
          <w:spacing w:val="-3"/>
        </w:rPr>
        <w:t xml:space="preserve"> </w:t>
      </w:r>
      <w:r>
        <w:t>the</w:t>
      </w:r>
      <w:r>
        <w:rPr>
          <w:spacing w:val="-3"/>
        </w:rPr>
        <w:t xml:space="preserve"> </w:t>
      </w:r>
      <w:r>
        <w:t>subcategories</w:t>
      </w:r>
      <w:r>
        <w:rPr>
          <w:spacing w:val="-4"/>
        </w:rPr>
        <w:t xml:space="preserve"> </w:t>
      </w:r>
      <w:r>
        <w:t>of</w:t>
      </w:r>
      <w:r>
        <w:rPr>
          <w:spacing w:val="-3"/>
        </w:rPr>
        <w:t xml:space="preserve"> </w:t>
      </w:r>
      <w:r>
        <w:t>the</w:t>
      </w:r>
      <w:r>
        <w:rPr>
          <w:spacing w:val="-3"/>
        </w:rPr>
        <w:t xml:space="preserve"> </w:t>
      </w:r>
      <w:r>
        <w:t>TSB.</w:t>
      </w:r>
      <w:r>
        <w:rPr>
          <w:spacing w:val="-2"/>
        </w:rPr>
        <w:t xml:space="preserve"> </w:t>
      </w:r>
      <w:r>
        <w:t>The</w:t>
      </w:r>
      <w:r>
        <w:rPr>
          <w:spacing w:val="-3"/>
        </w:rPr>
        <w:t xml:space="preserve"> </w:t>
      </w:r>
      <w:r>
        <w:t>TSB</w:t>
      </w:r>
      <w:r>
        <w:rPr>
          <w:spacing w:val="-4"/>
        </w:rPr>
        <w:t xml:space="preserve"> </w:t>
      </w:r>
      <w:r>
        <w:t>can be broken down to show its components by end use</w:t>
      </w:r>
      <w:r>
        <w:t>, sector, utility, or measure type.</w:t>
      </w:r>
    </w:p>
    <w:p w:rsidR="00C31389" w:rsidRDefault="00561FBD" w14:paraId="7A7C0C9F" w14:textId="77777777">
      <w:pPr>
        <w:pStyle w:val="ListParagraph"/>
        <w:numPr>
          <w:ilvl w:val="0"/>
          <w:numId w:val="34"/>
        </w:numPr>
        <w:tabs>
          <w:tab w:val="left" w:pos="1200"/>
        </w:tabs>
        <w:spacing w:before="118"/>
        <w:ind w:left="1200" w:right="590"/>
      </w:pPr>
      <w:r>
        <w:rPr>
          <w:b/>
        </w:rPr>
        <w:t xml:space="preserve">Program Costs by Scenario: </w:t>
      </w:r>
      <w:r>
        <w:t>Detailed data on utility program costs across the scenarios.</w:t>
      </w:r>
      <w:r>
        <w:rPr>
          <w:spacing w:val="-4"/>
        </w:rPr>
        <w:t xml:space="preserve"> </w:t>
      </w:r>
      <w:r>
        <w:t>Utility</w:t>
      </w:r>
      <w:r>
        <w:rPr>
          <w:spacing w:val="-3"/>
        </w:rPr>
        <w:t xml:space="preserve"> </w:t>
      </w:r>
      <w:r>
        <w:t>program</w:t>
      </w:r>
      <w:r>
        <w:rPr>
          <w:spacing w:val="-4"/>
        </w:rPr>
        <w:t xml:space="preserve"> </w:t>
      </w:r>
      <w:r>
        <w:t>costs</w:t>
      </w:r>
      <w:r>
        <w:rPr>
          <w:spacing w:val="-3"/>
        </w:rPr>
        <w:t xml:space="preserve"> </w:t>
      </w:r>
      <w:r>
        <w:t>includes</w:t>
      </w:r>
      <w:r>
        <w:rPr>
          <w:spacing w:val="-3"/>
        </w:rPr>
        <w:t xml:space="preserve"> </w:t>
      </w:r>
      <w:r>
        <w:t>incentives</w:t>
      </w:r>
      <w:r>
        <w:rPr>
          <w:spacing w:val="-3"/>
        </w:rPr>
        <w:t xml:space="preserve"> </w:t>
      </w:r>
      <w:r>
        <w:t>and</w:t>
      </w:r>
      <w:r>
        <w:rPr>
          <w:spacing w:val="-3"/>
        </w:rPr>
        <w:t xml:space="preserve"> </w:t>
      </w:r>
      <w:r>
        <w:t>non-incentive</w:t>
      </w:r>
      <w:r>
        <w:rPr>
          <w:spacing w:val="-4"/>
        </w:rPr>
        <w:t xml:space="preserve"> </w:t>
      </w:r>
      <w:r>
        <w:t>costs</w:t>
      </w:r>
      <w:r>
        <w:rPr>
          <w:spacing w:val="-3"/>
        </w:rPr>
        <w:t xml:space="preserve"> </w:t>
      </w:r>
      <w:r>
        <w:t>paid</w:t>
      </w:r>
      <w:r>
        <w:rPr>
          <w:spacing w:val="-3"/>
        </w:rPr>
        <w:t xml:space="preserve"> </w:t>
      </w:r>
      <w:r>
        <w:t>for equipment rebate programs and BROs interventions. This da</w:t>
      </w:r>
      <w:r>
        <w:t>ta does not include costs associated with non-resource programs or C&amp;S advocacy.</w:t>
      </w:r>
    </w:p>
    <w:p w:rsidR="00C31389" w:rsidRDefault="00561FBD" w14:paraId="03FD3C7B" w14:textId="77777777">
      <w:pPr>
        <w:pStyle w:val="ListParagraph"/>
        <w:numPr>
          <w:ilvl w:val="0"/>
          <w:numId w:val="34"/>
        </w:numPr>
        <w:tabs>
          <w:tab w:val="left" w:pos="1200"/>
        </w:tabs>
        <w:spacing w:before="118"/>
        <w:ind w:left="1200" w:right="530"/>
      </w:pPr>
      <w:r>
        <w:rPr>
          <w:b/>
        </w:rPr>
        <w:t xml:space="preserve">Program Costs Breakdown: </w:t>
      </w:r>
      <w:r>
        <w:t>Detailed data showing the subcategories of program costs.</w:t>
      </w:r>
      <w:r>
        <w:rPr>
          <w:spacing w:val="-3"/>
        </w:rPr>
        <w:t xml:space="preserve"> </w:t>
      </w:r>
      <w:r>
        <w:t>Utility</w:t>
      </w:r>
      <w:r>
        <w:rPr>
          <w:spacing w:val="-4"/>
        </w:rPr>
        <w:t xml:space="preserve"> </w:t>
      </w:r>
      <w:r>
        <w:t>program</w:t>
      </w:r>
      <w:r>
        <w:rPr>
          <w:spacing w:val="-4"/>
        </w:rPr>
        <w:t xml:space="preserve"> </w:t>
      </w:r>
      <w:r>
        <w:t>costs</w:t>
      </w:r>
      <w:r>
        <w:rPr>
          <w:spacing w:val="-3"/>
        </w:rPr>
        <w:t xml:space="preserve"> </w:t>
      </w:r>
      <w:r>
        <w:t>includes</w:t>
      </w:r>
      <w:r>
        <w:rPr>
          <w:spacing w:val="-4"/>
        </w:rPr>
        <w:t xml:space="preserve"> </w:t>
      </w:r>
      <w:r>
        <w:t>incentives</w:t>
      </w:r>
      <w:r>
        <w:rPr>
          <w:spacing w:val="-3"/>
        </w:rPr>
        <w:t xml:space="preserve"> </w:t>
      </w:r>
      <w:r>
        <w:t>and</w:t>
      </w:r>
      <w:r>
        <w:rPr>
          <w:spacing w:val="-3"/>
        </w:rPr>
        <w:t xml:space="preserve"> </w:t>
      </w:r>
      <w:r>
        <w:t>non-incentive</w:t>
      </w:r>
      <w:r>
        <w:rPr>
          <w:spacing w:val="-3"/>
        </w:rPr>
        <w:t xml:space="preserve"> </w:t>
      </w:r>
      <w:r>
        <w:t>(admin)</w:t>
      </w:r>
      <w:r>
        <w:rPr>
          <w:spacing w:val="-3"/>
        </w:rPr>
        <w:t xml:space="preserve"> </w:t>
      </w:r>
      <w:r>
        <w:t>costs</w:t>
      </w:r>
      <w:r>
        <w:rPr>
          <w:spacing w:val="-3"/>
        </w:rPr>
        <w:t xml:space="preserve"> </w:t>
      </w:r>
      <w:r>
        <w:t xml:space="preserve">paid for equipment rebate programs and BROs interventions. This data does not include costs associated with non-resource programs or C&amp;S advocacy. Program spending can be broken down to show its components by end use, sector, utility, or incentive </w:t>
      </w:r>
      <w:r>
        <w:rPr>
          <w:spacing w:val="-2"/>
        </w:rPr>
        <w:t>type.</w:t>
      </w:r>
    </w:p>
    <w:p w:rsidR="00C31389" w:rsidRDefault="00561FBD" w14:paraId="2505F2F5" w14:textId="77777777">
      <w:pPr>
        <w:pStyle w:val="ListParagraph"/>
        <w:numPr>
          <w:ilvl w:val="0"/>
          <w:numId w:val="34"/>
        </w:numPr>
        <w:tabs>
          <w:tab w:val="left" w:pos="1199"/>
        </w:tabs>
        <w:spacing w:before="119"/>
        <w:ind w:right="959"/>
      </w:pPr>
      <w:r>
        <w:rPr>
          <w:b/>
        </w:rPr>
        <w:t>C&amp;</w:t>
      </w:r>
      <w:r>
        <w:rPr>
          <w:b/>
        </w:rPr>
        <w:t>S</w:t>
      </w:r>
      <w:r>
        <w:rPr>
          <w:b/>
          <w:spacing w:val="-3"/>
        </w:rPr>
        <w:t xml:space="preserve"> </w:t>
      </w:r>
      <w:r>
        <w:rPr>
          <w:b/>
        </w:rPr>
        <w:t>Breakdown:</w:t>
      </w:r>
      <w:r>
        <w:rPr>
          <w:b/>
          <w:spacing w:val="-3"/>
        </w:rPr>
        <w:t xml:space="preserve"> </w:t>
      </w:r>
      <w:r>
        <w:t>Data</w:t>
      </w:r>
      <w:r>
        <w:rPr>
          <w:spacing w:val="-3"/>
        </w:rPr>
        <w:t xml:space="preserve"> </w:t>
      </w:r>
      <w:r>
        <w:t>showing</w:t>
      </w:r>
      <w:r>
        <w:rPr>
          <w:spacing w:val="-3"/>
        </w:rPr>
        <w:t xml:space="preserve"> </w:t>
      </w:r>
      <w:r>
        <w:t>savings</w:t>
      </w:r>
      <w:r>
        <w:rPr>
          <w:spacing w:val="-3"/>
        </w:rPr>
        <w:t xml:space="preserve"> </w:t>
      </w:r>
      <w:r>
        <w:t>as</w:t>
      </w:r>
      <w:r>
        <w:rPr>
          <w:spacing w:val="-4"/>
        </w:rPr>
        <w:t xml:space="preserve"> </w:t>
      </w:r>
      <w:r>
        <w:t>a</w:t>
      </w:r>
      <w:r>
        <w:rPr>
          <w:spacing w:val="-3"/>
        </w:rPr>
        <w:t xml:space="preserve"> </w:t>
      </w:r>
      <w:r>
        <w:t>result</w:t>
      </w:r>
      <w:r>
        <w:rPr>
          <w:spacing w:val="-3"/>
        </w:rPr>
        <w:t xml:space="preserve"> </w:t>
      </w:r>
      <w:r>
        <w:t>of</w:t>
      </w:r>
      <w:r>
        <w:rPr>
          <w:spacing w:val="-3"/>
        </w:rPr>
        <w:t xml:space="preserve"> </w:t>
      </w:r>
      <w:r>
        <w:t>C&amp;S</w:t>
      </w:r>
      <w:r>
        <w:rPr>
          <w:spacing w:val="-3"/>
        </w:rPr>
        <w:t xml:space="preserve"> </w:t>
      </w:r>
      <w:r>
        <w:t>implemented</w:t>
      </w:r>
      <w:r>
        <w:rPr>
          <w:spacing w:val="-3"/>
        </w:rPr>
        <w:t xml:space="preserve"> </w:t>
      </w:r>
      <w:r>
        <w:t>under three different policy scenarios (on-the-books, expected, and possible). These savings can be broken down by end use, sector, or utility.</w:t>
      </w:r>
    </w:p>
    <w:p w:rsidR="00C31389" w:rsidRDefault="00561FBD" w14:paraId="70466449" w14:textId="77777777">
      <w:pPr>
        <w:pStyle w:val="BodyText"/>
        <w:spacing w:before="118"/>
        <w:ind w:left="479"/>
      </w:pPr>
      <w:r>
        <w:t>Each</w:t>
      </w:r>
      <w:r>
        <w:rPr>
          <w:spacing w:val="-6"/>
        </w:rPr>
        <w:t xml:space="preserve"> </w:t>
      </w:r>
      <w:r>
        <w:t>results</w:t>
      </w:r>
      <w:r>
        <w:rPr>
          <w:spacing w:val="-7"/>
        </w:rPr>
        <w:t xml:space="preserve"> </w:t>
      </w:r>
      <w:r>
        <w:t>tab</w:t>
      </w:r>
      <w:r>
        <w:rPr>
          <w:spacing w:val="-6"/>
        </w:rPr>
        <w:t xml:space="preserve"> </w:t>
      </w:r>
      <w:r>
        <w:t>includes</w:t>
      </w:r>
      <w:r>
        <w:rPr>
          <w:spacing w:val="-6"/>
        </w:rPr>
        <w:t xml:space="preserve"> </w:t>
      </w:r>
      <w:r>
        <w:t>a</w:t>
      </w:r>
      <w:r>
        <w:rPr>
          <w:spacing w:val="-6"/>
        </w:rPr>
        <w:t xml:space="preserve"> </w:t>
      </w:r>
      <w:r>
        <w:t>description</w:t>
      </w:r>
      <w:r>
        <w:rPr>
          <w:spacing w:val="-5"/>
        </w:rPr>
        <w:t xml:space="preserve"> </w:t>
      </w:r>
      <w:r>
        <w:t>of</w:t>
      </w:r>
      <w:r>
        <w:rPr>
          <w:spacing w:val="-6"/>
        </w:rPr>
        <w:t xml:space="preserve"> </w:t>
      </w:r>
      <w:r>
        <w:t>the</w:t>
      </w:r>
      <w:r>
        <w:rPr>
          <w:spacing w:val="-6"/>
        </w:rPr>
        <w:t xml:space="preserve"> </w:t>
      </w:r>
      <w:r>
        <w:t>viewable</w:t>
      </w:r>
      <w:r>
        <w:rPr>
          <w:spacing w:val="-6"/>
        </w:rPr>
        <w:t xml:space="preserve"> </w:t>
      </w:r>
      <w:r>
        <w:t>data,</w:t>
      </w:r>
      <w:r>
        <w:rPr>
          <w:spacing w:val="-6"/>
        </w:rPr>
        <w:t xml:space="preserve"> </w:t>
      </w:r>
      <w:r>
        <w:t>a</w:t>
      </w:r>
      <w:r>
        <w:rPr>
          <w:spacing w:val="-5"/>
        </w:rPr>
        <w:t xml:space="preserve"> </w:t>
      </w:r>
      <w:r>
        <w:t>dynamic</w:t>
      </w:r>
      <w:r>
        <w:rPr>
          <w:spacing w:val="-5"/>
        </w:rPr>
        <w:t xml:space="preserve"> </w:t>
      </w:r>
      <w:r>
        <w:t>chart,</w:t>
      </w:r>
      <w:r>
        <w:rPr>
          <w:spacing w:val="-6"/>
        </w:rPr>
        <w:t xml:space="preserve"> </w:t>
      </w:r>
      <w:r>
        <w:rPr>
          <w:spacing w:val="-5"/>
        </w:rPr>
        <w:t>and</w:t>
      </w:r>
    </w:p>
    <w:p w:rsidR="00C31389" w:rsidRDefault="00561FBD" w14:paraId="57824911" w14:textId="77777777">
      <w:pPr>
        <w:pStyle w:val="BodyText"/>
        <w:ind w:left="479" w:right="418"/>
      </w:pPr>
      <w:r>
        <w:t>drop-down</w:t>
      </w:r>
      <w:r>
        <w:rPr>
          <w:spacing w:val="-3"/>
        </w:rPr>
        <w:t xml:space="preserve"> </w:t>
      </w:r>
      <w:r>
        <w:t>filters</w:t>
      </w:r>
      <w:r>
        <w:rPr>
          <w:spacing w:val="-3"/>
        </w:rPr>
        <w:t xml:space="preserve"> </w:t>
      </w:r>
      <w:r>
        <w:t>for</w:t>
      </w:r>
      <w:r>
        <w:rPr>
          <w:spacing w:val="-3"/>
        </w:rPr>
        <w:t xml:space="preserve"> </w:t>
      </w:r>
      <w:r>
        <w:t>available</w:t>
      </w:r>
      <w:r>
        <w:rPr>
          <w:spacing w:val="-3"/>
        </w:rPr>
        <w:t xml:space="preserve"> </w:t>
      </w:r>
      <w:r>
        <w:t>chart</w:t>
      </w:r>
      <w:r>
        <w:rPr>
          <w:spacing w:val="-4"/>
        </w:rPr>
        <w:t xml:space="preserve"> </w:t>
      </w:r>
      <w:r>
        <w:t>configuration</w:t>
      </w:r>
      <w:r>
        <w:rPr>
          <w:spacing w:val="-4"/>
        </w:rPr>
        <w:t xml:space="preserve"> </w:t>
      </w:r>
      <w:r>
        <w:t>dimensions.</w:t>
      </w:r>
      <w:r>
        <w:rPr>
          <w:spacing w:val="-4"/>
        </w:rPr>
        <w:t xml:space="preserve"> </w:t>
      </w:r>
      <w:r>
        <w:t>The</w:t>
      </w:r>
      <w:r>
        <w:rPr>
          <w:spacing w:val="-3"/>
        </w:rPr>
        <w:t xml:space="preserve"> </w:t>
      </w:r>
      <w:r>
        <w:t>viewer</w:t>
      </w:r>
      <w:r>
        <w:rPr>
          <w:spacing w:val="-5"/>
        </w:rPr>
        <w:t xml:space="preserve"> </w:t>
      </w:r>
      <w:r>
        <w:t>is</w:t>
      </w:r>
      <w:r>
        <w:rPr>
          <w:spacing w:val="-3"/>
        </w:rPr>
        <w:t xml:space="preserve"> </w:t>
      </w:r>
      <w:r>
        <w:t>illustrated</w:t>
      </w:r>
      <w:r>
        <w:rPr>
          <w:spacing w:val="-4"/>
        </w:rPr>
        <w:t xml:space="preserve"> </w:t>
      </w:r>
      <w:r>
        <w:t xml:space="preserve">in </w:t>
      </w:r>
      <w:hyperlink w:history="1" w:anchor="_bookmark221">
        <w:r>
          <w:t>Figure 4-12</w:t>
        </w:r>
      </w:hyperlink>
      <w:r>
        <w:t xml:space="preserve"> and </w:t>
      </w:r>
      <w:hyperlink w:history="1" w:anchor="_bookmark222">
        <w:r>
          <w:t>Figure 4-13.</w:t>
        </w:r>
      </w:hyperlink>
    </w:p>
    <w:p w:rsidR="00C31389" w:rsidRDefault="00C31389" w14:paraId="3C39F774" w14:textId="77777777">
      <w:pPr>
        <w:pStyle w:val="BodyText"/>
        <w:spacing w:before="10"/>
        <w:rPr>
          <w:sz w:val="20"/>
        </w:rPr>
      </w:pPr>
    </w:p>
    <w:p w:rsidR="00C31389" w:rsidRDefault="00561FBD" w14:paraId="16D6F4A9" w14:textId="77777777">
      <w:pPr>
        <w:pStyle w:val="Heading7"/>
        <w:ind w:left="398" w:right="340"/>
        <w:jc w:val="center"/>
      </w:pPr>
      <w:bookmarkStart w:name="_bookmark221" w:id="295"/>
      <w:bookmarkEnd w:id="295"/>
      <w:r>
        <w:t>Figure</w:t>
      </w:r>
      <w:r>
        <w:rPr>
          <w:spacing w:val="-8"/>
        </w:rPr>
        <w:t xml:space="preserve"> </w:t>
      </w:r>
      <w:r>
        <w:t>4-12.</w:t>
      </w:r>
      <w:r>
        <w:rPr>
          <w:spacing w:val="-7"/>
        </w:rPr>
        <w:t xml:space="preserve"> </w:t>
      </w:r>
      <w:r>
        <w:t>Results</w:t>
      </w:r>
      <w:r>
        <w:rPr>
          <w:spacing w:val="-7"/>
        </w:rPr>
        <w:t xml:space="preserve"> </w:t>
      </w:r>
      <w:r>
        <w:t>Viewer</w:t>
      </w:r>
      <w:r>
        <w:rPr>
          <w:spacing w:val="-8"/>
        </w:rPr>
        <w:t xml:space="preserve"> </w:t>
      </w:r>
      <w:r>
        <w:t>TSB</w:t>
      </w:r>
      <w:r>
        <w:rPr>
          <w:spacing w:val="-7"/>
        </w:rPr>
        <w:t xml:space="preserve"> </w:t>
      </w:r>
      <w:r>
        <w:t>by</w:t>
      </w:r>
      <w:r>
        <w:rPr>
          <w:spacing w:val="-7"/>
        </w:rPr>
        <w:t xml:space="preserve"> </w:t>
      </w:r>
      <w:r>
        <w:t>Scenario</w:t>
      </w:r>
      <w:r>
        <w:rPr>
          <w:spacing w:val="-8"/>
        </w:rPr>
        <w:t xml:space="preserve"> </w:t>
      </w:r>
      <w:r>
        <w:rPr>
          <w:spacing w:val="-2"/>
        </w:rPr>
        <w:t>(Illustrative)</w:t>
      </w:r>
    </w:p>
    <w:p w:rsidR="00C31389" w:rsidRDefault="00561FBD" w14:paraId="4F74B0DD" w14:textId="77777777">
      <w:pPr>
        <w:pStyle w:val="BodyText"/>
        <w:spacing w:before="4"/>
        <w:rPr>
          <w:b/>
          <w:sz w:val="8"/>
        </w:rPr>
      </w:pPr>
      <w:r>
        <w:rPr>
          <w:noProof/>
        </w:rPr>
        <w:drawing>
          <wp:anchor distT="0" distB="0" distL="0" distR="0" simplePos="0" relativeHeight="487669760" behindDoc="1" locked="0" layoutInCell="1" allowOverlap="1" wp14:editId="3AE20059" wp14:anchorId="1C1A6002">
            <wp:simplePos x="0" y="0"/>
            <wp:positionH relativeFrom="page">
              <wp:posOffset>1063625</wp:posOffset>
            </wp:positionH>
            <wp:positionV relativeFrom="paragraph">
              <wp:posOffset>76638</wp:posOffset>
            </wp:positionV>
            <wp:extent cx="5417223" cy="3043237"/>
            <wp:effectExtent l="0" t="0" r="0" b="0"/>
            <wp:wrapTopAndBottom/>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187" cstate="print"/>
                    <a:stretch>
                      <a:fillRect/>
                    </a:stretch>
                  </pic:blipFill>
                  <pic:spPr>
                    <a:xfrm>
                      <a:off x="0" y="0"/>
                      <a:ext cx="5417223" cy="3043237"/>
                    </a:xfrm>
                    <a:prstGeom prst="rect">
                      <a:avLst/>
                    </a:prstGeom>
                  </pic:spPr>
                </pic:pic>
              </a:graphicData>
            </a:graphic>
          </wp:anchor>
        </w:drawing>
      </w:r>
    </w:p>
    <w:p w:rsidR="00C31389" w:rsidRDefault="00C31389" w14:paraId="4AB1F456" w14:textId="77777777">
      <w:pPr>
        <w:pStyle w:val="BodyText"/>
        <w:spacing w:before="2"/>
        <w:rPr>
          <w:b/>
        </w:rPr>
      </w:pPr>
    </w:p>
    <w:p w:rsidR="00C31389" w:rsidRDefault="00561FBD" w14:paraId="27F77038" w14:textId="77777777">
      <w:pPr>
        <w:ind w:left="480"/>
        <w:rPr>
          <w:i/>
          <w:sz w:val="18"/>
        </w:rPr>
      </w:pPr>
      <w:r>
        <w:rPr>
          <w:i/>
          <w:sz w:val="18"/>
        </w:rPr>
        <w:t>Source:</w:t>
      </w:r>
      <w:r>
        <w:rPr>
          <w:i/>
          <w:spacing w:val="-4"/>
          <w:sz w:val="18"/>
        </w:rPr>
        <w:t xml:space="preserve"> </w:t>
      </w:r>
      <w:r>
        <w:rPr>
          <w:i/>
          <w:spacing w:val="-2"/>
          <w:sz w:val="18"/>
        </w:rPr>
        <w:t>Guidehouse</w:t>
      </w:r>
    </w:p>
    <w:p w:rsidR="00C31389" w:rsidRDefault="00C31389" w14:paraId="5A98DA2D" w14:textId="77777777">
      <w:pPr>
        <w:rPr>
          <w:sz w:val="18"/>
        </w:rPr>
        <w:sectPr w:rsidR="00C31389">
          <w:headerReference w:type="default" r:id="rId188"/>
          <w:footerReference w:type="default" r:id="rId189"/>
          <w:pgSz w:w="11910" w:h="16840"/>
          <w:pgMar w:top="1380" w:right="1020" w:bottom="1120" w:left="960" w:header="397" w:footer="938" w:gutter="0"/>
          <w:cols w:space="720"/>
        </w:sectPr>
      </w:pPr>
    </w:p>
    <w:p w:rsidR="00C31389" w:rsidRDefault="00C31389" w14:paraId="34F6D547" w14:textId="77777777">
      <w:pPr>
        <w:pStyle w:val="BodyText"/>
        <w:rPr>
          <w:i/>
        </w:rPr>
      </w:pPr>
    </w:p>
    <w:p w:rsidR="00C31389" w:rsidRDefault="00C31389" w14:paraId="2963F462" w14:textId="77777777">
      <w:pPr>
        <w:pStyle w:val="BodyText"/>
        <w:spacing w:before="10"/>
        <w:rPr>
          <w:i/>
          <w:sz w:val="13"/>
        </w:rPr>
      </w:pPr>
    </w:p>
    <w:p w:rsidR="00C31389" w:rsidRDefault="00561FBD" w14:paraId="7AA30C9E" w14:textId="77777777">
      <w:pPr>
        <w:pStyle w:val="Heading7"/>
        <w:spacing w:before="93"/>
        <w:ind w:left="398" w:right="338"/>
        <w:jc w:val="center"/>
      </w:pPr>
      <w:bookmarkStart w:name="_bookmark222" w:id="296"/>
      <w:bookmarkEnd w:id="296"/>
      <w:r>
        <w:t>Figure</w:t>
      </w:r>
      <w:r>
        <w:rPr>
          <w:spacing w:val="-9"/>
        </w:rPr>
        <w:t xml:space="preserve"> </w:t>
      </w:r>
      <w:r>
        <w:t>4-13.</w:t>
      </w:r>
      <w:r>
        <w:rPr>
          <w:spacing w:val="-8"/>
        </w:rPr>
        <w:t xml:space="preserve"> </w:t>
      </w:r>
      <w:r>
        <w:t>Results</w:t>
      </w:r>
      <w:r>
        <w:rPr>
          <w:spacing w:val="-8"/>
        </w:rPr>
        <w:t xml:space="preserve"> </w:t>
      </w:r>
      <w:r>
        <w:t>Viewer</w:t>
      </w:r>
      <w:r>
        <w:rPr>
          <w:spacing w:val="-8"/>
        </w:rPr>
        <w:t xml:space="preserve"> </w:t>
      </w:r>
      <w:r>
        <w:t>Potential</w:t>
      </w:r>
      <w:r>
        <w:rPr>
          <w:spacing w:val="-8"/>
        </w:rPr>
        <w:t xml:space="preserve"> </w:t>
      </w:r>
      <w:r>
        <w:t>Breakdown</w:t>
      </w:r>
      <w:r>
        <w:rPr>
          <w:spacing w:val="-8"/>
        </w:rPr>
        <w:t xml:space="preserve"> </w:t>
      </w:r>
      <w:r>
        <w:t>by</w:t>
      </w:r>
      <w:r>
        <w:rPr>
          <w:spacing w:val="-8"/>
        </w:rPr>
        <w:t xml:space="preserve"> </w:t>
      </w:r>
      <w:r>
        <w:t>Sector</w:t>
      </w:r>
      <w:r>
        <w:rPr>
          <w:spacing w:val="-9"/>
        </w:rPr>
        <w:t xml:space="preserve"> </w:t>
      </w:r>
      <w:r>
        <w:rPr>
          <w:spacing w:val="-2"/>
        </w:rPr>
        <w:t>(Illustrative)</w:t>
      </w:r>
    </w:p>
    <w:p w:rsidR="00C31389" w:rsidRDefault="00561FBD" w14:paraId="5C28125E" w14:textId="77777777">
      <w:pPr>
        <w:pStyle w:val="BodyText"/>
        <w:spacing w:before="4"/>
        <w:rPr>
          <w:b/>
          <w:sz w:val="8"/>
        </w:rPr>
      </w:pPr>
      <w:r>
        <w:rPr>
          <w:noProof/>
        </w:rPr>
        <w:drawing>
          <wp:anchor distT="0" distB="0" distL="0" distR="0" simplePos="0" relativeHeight="487670784" behindDoc="1" locked="0" layoutInCell="1" allowOverlap="1" wp14:editId="2FFA2E74" wp14:anchorId="357DA39B">
            <wp:simplePos x="0" y="0"/>
            <wp:positionH relativeFrom="page">
              <wp:posOffset>1275080</wp:posOffset>
            </wp:positionH>
            <wp:positionV relativeFrom="paragraph">
              <wp:posOffset>76285</wp:posOffset>
            </wp:positionV>
            <wp:extent cx="4975942" cy="2799778"/>
            <wp:effectExtent l="0" t="0" r="0" b="0"/>
            <wp:wrapTopAndBottom/>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190" cstate="print"/>
                    <a:stretch>
                      <a:fillRect/>
                    </a:stretch>
                  </pic:blipFill>
                  <pic:spPr>
                    <a:xfrm>
                      <a:off x="0" y="0"/>
                      <a:ext cx="4975942" cy="2799778"/>
                    </a:xfrm>
                    <a:prstGeom prst="rect">
                      <a:avLst/>
                    </a:prstGeom>
                  </pic:spPr>
                </pic:pic>
              </a:graphicData>
            </a:graphic>
          </wp:anchor>
        </w:drawing>
      </w:r>
    </w:p>
    <w:p w:rsidR="00C31389" w:rsidRDefault="00561FBD" w14:paraId="08557B7D" w14:textId="77777777">
      <w:pPr>
        <w:spacing w:before="151"/>
        <w:ind w:left="480"/>
        <w:rPr>
          <w:i/>
          <w:sz w:val="18"/>
        </w:rPr>
      </w:pPr>
      <w:r>
        <w:rPr>
          <w:i/>
          <w:sz w:val="18"/>
        </w:rPr>
        <w:t>Source:</w:t>
      </w:r>
      <w:r>
        <w:rPr>
          <w:i/>
          <w:spacing w:val="-4"/>
          <w:sz w:val="18"/>
        </w:rPr>
        <w:t xml:space="preserve"> </w:t>
      </w:r>
      <w:r>
        <w:rPr>
          <w:i/>
          <w:spacing w:val="-2"/>
          <w:sz w:val="18"/>
        </w:rPr>
        <w:t>Guidehouse</w:t>
      </w:r>
    </w:p>
    <w:p w:rsidR="00C31389" w:rsidRDefault="00C31389" w14:paraId="526F2DFF" w14:textId="77777777">
      <w:pPr>
        <w:rPr>
          <w:sz w:val="18"/>
        </w:rPr>
        <w:sectPr w:rsidR="00C31389">
          <w:pgSz w:w="11910" w:h="16840"/>
          <w:pgMar w:top="1380" w:right="1020" w:bottom="1120" w:left="960" w:header="397" w:footer="938" w:gutter="0"/>
          <w:cols w:space="720"/>
        </w:sectPr>
      </w:pPr>
    </w:p>
    <w:p w:rsidR="00C31389" w:rsidRDefault="00C31389" w14:paraId="0E446356" w14:textId="77777777">
      <w:pPr>
        <w:pStyle w:val="BodyText"/>
        <w:rPr>
          <w:i/>
        </w:rPr>
      </w:pPr>
    </w:p>
    <w:p w:rsidR="00C31389" w:rsidRDefault="00C31389" w14:paraId="4CE284A1" w14:textId="77777777">
      <w:pPr>
        <w:pStyle w:val="BodyText"/>
        <w:spacing w:before="1"/>
        <w:rPr>
          <w:i/>
          <w:sz w:val="14"/>
        </w:rPr>
      </w:pPr>
    </w:p>
    <w:p w:rsidR="00C31389" w:rsidRDefault="00561FBD" w14:paraId="2906EA6F" w14:textId="77777777">
      <w:pPr>
        <w:pStyle w:val="Heading1"/>
        <w:numPr>
          <w:ilvl w:val="0"/>
          <w:numId w:val="71"/>
        </w:numPr>
        <w:tabs>
          <w:tab w:val="left" w:pos="834"/>
        </w:tabs>
        <w:ind w:left="834" w:hanging="354"/>
      </w:pPr>
      <w:bookmarkStart w:name="5._Impacts_of_Future_Policy_on_Potential" w:id="297"/>
      <w:bookmarkStart w:name="_bookmark223" w:id="298"/>
      <w:bookmarkEnd w:id="297"/>
      <w:bookmarkEnd w:id="298"/>
      <w:r>
        <w:t>Impacts</w:t>
      </w:r>
      <w:r>
        <w:rPr>
          <w:spacing w:val="-6"/>
        </w:rPr>
        <w:t xml:space="preserve"> </w:t>
      </w:r>
      <w:r>
        <w:t>of</w:t>
      </w:r>
      <w:r>
        <w:rPr>
          <w:spacing w:val="-4"/>
        </w:rPr>
        <w:t xml:space="preserve"> </w:t>
      </w:r>
      <w:r>
        <w:t>Future</w:t>
      </w:r>
      <w:r>
        <w:rPr>
          <w:spacing w:val="-5"/>
        </w:rPr>
        <w:t xml:space="preserve"> </w:t>
      </w:r>
      <w:r>
        <w:t>Policy</w:t>
      </w:r>
      <w:r>
        <w:rPr>
          <w:spacing w:val="-4"/>
        </w:rPr>
        <w:t xml:space="preserve"> </w:t>
      </w:r>
      <w:r>
        <w:t>on</w:t>
      </w:r>
      <w:r>
        <w:rPr>
          <w:spacing w:val="-4"/>
        </w:rPr>
        <w:t xml:space="preserve"> </w:t>
      </w:r>
      <w:r>
        <w:rPr>
          <w:spacing w:val="-2"/>
        </w:rPr>
        <w:t>Potential</w:t>
      </w:r>
    </w:p>
    <w:p w:rsidR="00C31389" w:rsidRDefault="00561FBD" w14:paraId="095C64EB" w14:textId="77777777">
      <w:pPr>
        <w:pStyle w:val="BodyText"/>
        <w:spacing w:before="239"/>
        <w:ind w:left="479" w:right="462"/>
      </w:pPr>
      <w:r>
        <w:t xml:space="preserve">The 2023 PG </w:t>
      </w:r>
      <w:r>
        <w:t>Study results detailed in Section 4 reflect the impact of several statewide and Federal policies designed to address broad decarbonization goals. Notably, the planned 2030</w:t>
      </w:r>
      <w:r>
        <w:rPr>
          <w:spacing w:val="-3"/>
        </w:rPr>
        <w:t xml:space="preserve"> </w:t>
      </w:r>
      <w:r>
        <w:t>CARB</w:t>
      </w:r>
      <w:r>
        <w:rPr>
          <w:spacing w:val="-2"/>
        </w:rPr>
        <w:t xml:space="preserve"> </w:t>
      </w:r>
      <w:r>
        <w:t>decision</w:t>
      </w:r>
      <w:r>
        <w:rPr>
          <w:spacing w:val="-3"/>
        </w:rPr>
        <w:t xml:space="preserve"> </w:t>
      </w:r>
      <w:r>
        <w:t>prohibiting</w:t>
      </w:r>
      <w:r>
        <w:rPr>
          <w:spacing w:val="-3"/>
        </w:rPr>
        <w:t xml:space="preserve"> </w:t>
      </w:r>
      <w:r>
        <w:t>the</w:t>
      </w:r>
      <w:r>
        <w:rPr>
          <w:spacing w:val="-4"/>
        </w:rPr>
        <w:t xml:space="preserve"> </w:t>
      </w:r>
      <w:r>
        <w:t>sale</w:t>
      </w:r>
      <w:r>
        <w:rPr>
          <w:spacing w:val="-3"/>
        </w:rPr>
        <w:t xml:space="preserve"> </w:t>
      </w:r>
      <w:r>
        <w:t>of</w:t>
      </w:r>
      <w:r>
        <w:rPr>
          <w:spacing w:val="-3"/>
        </w:rPr>
        <w:t xml:space="preserve"> </w:t>
      </w:r>
      <w:r>
        <w:t>new</w:t>
      </w:r>
      <w:r>
        <w:rPr>
          <w:spacing w:val="-5"/>
        </w:rPr>
        <w:t xml:space="preserve"> </w:t>
      </w:r>
      <w:r>
        <w:t>natural</w:t>
      </w:r>
      <w:r>
        <w:rPr>
          <w:spacing w:val="-3"/>
        </w:rPr>
        <w:t xml:space="preserve"> </w:t>
      </w:r>
      <w:r>
        <w:t>gas</w:t>
      </w:r>
      <w:r>
        <w:rPr>
          <w:spacing w:val="-4"/>
        </w:rPr>
        <w:t xml:space="preserve"> </w:t>
      </w:r>
      <w:r>
        <w:t>appliances</w:t>
      </w:r>
      <w:r>
        <w:rPr>
          <w:spacing w:val="-4"/>
        </w:rPr>
        <w:t xml:space="preserve"> </w:t>
      </w:r>
      <w:r>
        <w:t>in</w:t>
      </w:r>
      <w:r>
        <w:rPr>
          <w:spacing w:val="-3"/>
        </w:rPr>
        <w:t xml:space="preserve"> </w:t>
      </w:r>
      <w:r>
        <w:t>California</w:t>
      </w:r>
      <w:r>
        <w:rPr>
          <w:spacing w:val="-3"/>
        </w:rPr>
        <w:t xml:space="preserve"> </w:t>
      </w:r>
      <w:r>
        <w:t>and</w:t>
      </w:r>
      <w:r>
        <w:rPr>
          <w:spacing w:val="-3"/>
        </w:rPr>
        <w:t xml:space="preserve"> </w:t>
      </w:r>
      <w:r>
        <w:t>I</w:t>
      </w:r>
      <w:r>
        <w:t>RA tax credits both were identified as having a significant expected impact on achievable EE and FS potential. Two additional future policies were considered during this Study cycle but ultimately were not included in the 2023 PG Model and results describe</w:t>
      </w:r>
      <w:r>
        <w:t>d in the above sections – the proposed partial EE Natural Gas Incentive Phase Out and the EE rebate programs introduced through the IRA. Further detail on each, as well as discussion regarding their consideration in the context of the 2023 PG Study analysi</w:t>
      </w:r>
      <w:r>
        <w:t>s, are in the following sections.</w:t>
      </w:r>
    </w:p>
    <w:p w:rsidR="00C31389" w:rsidRDefault="00C31389" w14:paraId="38982E83" w14:textId="77777777">
      <w:pPr>
        <w:pStyle w:val="BodyText"/>
        <w:rPr>
          <w:sz w:val="21"/>
        </w:rPr>
      </w:pPr>
    </w:p>
    <w:p w:rsidR="00C31389" w:rsidRDefault="00561FBD" w14:paraId="413D38B2" w14:textId="77777777">
      <w:pPr>
        <w:pStyle w:val="Heading2"/>
        <w:numPr>
          <w:ilvl w:val="1"/>
          <w:numId w:val="71"/>
        </w:numPr>
        <w:tabs>
          <w:tab w:val="left" w:pos="945"/>
        </w:tabs>
        <w:ind w:left="945" w:hanging="465"/>
      </w:pPr>
      <w:bookmarkStart w:name="5.1_Partial_EE_Natural_Gas_Incentive_Pha" w:id="299"/>
      <w:bookmarkStart w:name="_bookmark224" w:id="300"/>
      <w:bookmarkEnd w:id="299"/>
      <w:bookmarkEnd w:id="300"/>
      <w:r>
        <w:t>Partial</w:t>
      </w:r>
      <w:r>
        <w:rPr>
          <w:spacing w:val="-10"/>
        </w:rPr>
        <w:t xml:space="preserve"> </w:t>
      </w:r>
      <w:r>
        <w:t>EE</w:t>
      </w:r>
      <w:r>
        <w:rPr>
          <w:spacing w:val="-10"/>
        </w:rPr>
        <w:t xml:space="preserve"> </w:t>
      </w:r>
      <w:r>
        <w:t>Natural</w:t>
      </w:r>
      <w:r>
        <w:rPr>
          <w:spacing w:val="-9"/>
        </w:rPr>
        <w:t xml:space="preserve"> </w:t>
      </w:r>
      <w:r>
        <w:t>Gas</w:t>
      </w:r>
      <w:r>
        <w:rPr>
          <w:spacing w:val="-10"/>
        </w:rPr>
        <w:t xml:space="preserve"> </w:t>
      </w:r>
      <w:r>
        <w:t>Incentive</w:t>
      </w:r>
      <w:r>
        <w:rPr>
          <w:spacing w:val="-9"/>
        </w:rPr>
        <w:t xml:space="preserve"> </w:t>
      </w:r>
      <w:r>
        <w:t>Phase</w:t>
      </w:r>
      <w:r>
        <w:rPr>
          <w:spacing w:val="-9"/>
        </w:rPr>
        <w:t xml:space="preserve"> </w:t>
      </w:r>
      <w:r>
        <w:rPr>
          <w:spacing w:val="-5"/>
        </w:rPr>
        <w:t>Out</w:t>
      </w:r>
    </w:p>
    <w:p w:rsidR="00C31389" w:rsidRDefault="00561FBD" w14:paraId="64B4EE16" w14:textId="77777777">
      <w:pPr>
        <w:pStyle w:val="BodyText"/>
        <w:spacing w:before="240"/>
        <w:ind w:left="479" w:right="494"/>
      </w:pPr>
      <w:r>
        <w:t>In July 2022, the CPUC released a proposal outlining “an orderly and gradual transition away from using IOU ratepayer funds to incentivize natural gas EE measures.”</w:t>
      </w:r>
      <w:r>
        <w:rPr>
          <w:spacing w:val="-38"/>
        </w:rPr>
        <w:t xml:space="preserve"> </w:t>
      </w:r>
      <w:hyperlink w:history="1" w:anchor="_bookmark225">
        <w:r>
          <w:rPr>
            <w:position w:val="7"/>
            <w:sz w:val="14"/>
          </w:rPr>
          <w:t>69</w:t>
        </w:r>
      </w:hyperlink>
      <w:r>
        <w:rPr>
          <w:spacing w:val="32"/>
          <w:position w:val="7"/>
          <w:sz w:val="14"/>
        </w:rPr>
        <w:t xml:space="preserve"> </w:t>
      </w:r>
      <w:r>
        <w:t>The proposal was developed in response to a motion filed by Sierra Club in early 2022, as well as a recognition of the general trends in statewide and national EE C&amp;S. The proposal sought to phase out many IOU-administer</w:t>
      </w:r>
      <w:r>
        <w:t>ed incentives for natural gas efficiency measures for which there is a viable electric alternative. At the April 6</w:t>
      </w:r>
      <w:r>
        <w:rPr>
          <w:position w:val="7"/>
          <w:sz w:val="14"/>
        </w:rPr>
        <w:t>th</w:t>
      </w:r>
      <w:r>
        <w:t>, 2023 voting meeting the Commission unanimously approved a decision that included a pared down version of the policy</w:t>
      </w:r>
      <w:r>
        <w:rPr>
          <w:spacing w:val="-4"/>
        </w:rPr>
        <w:t xml:space="preserve"> </w:t>
      </w:r>
      <w:r>
        <w:t>in</w:t>
      </w:r>
      <w:r>
        <w:rPr>
          <w:spacing w:val="-3"/>
        </w:rPr>
        <w:t xml:space="preserve"> </w:t>
      </w:r>
      <w:r>
        <w:t>the</w:t>
      </w:r>
      <w:r>
        <w:rPr>
          <w:spacing w:val="-4"/>
        </w:rPr>
        <w:t xml:space="preserve"> </w:t>
      </w:r>
      <w:r>
        <w:t>staff</w:t>
      </w:r>
      <w:r>
        <w:rPr>
          <w:spacing w:val="-3"/>
        </w:rPr>
        <w:t xml:space="preserve"> </w:t>
      </w:r>
      <w:r>
        <w:t>proposal.</w:t>
      </w:r>
      <w:r>
        <w:rPr>
          <w:spacing w:val="40"/>
        </w:rPr>
        <w:t xml:space="preserve"> </w:t>
      </w:r>
      <w:r>
        <w:t>The</w:t>
      </w:r>
      <w:r>
        <w:rPr>
          <w:spacing w:val="-3"/>
        </w:rPr>
        <w:t xml:space="preserve"> </w:t>
      </w:r>
      <w:r>
        <w:t>April</w:t>
      </w:r>
      <w:r>
        <w:rPr>
          <w:spacing w:val="-3"/>
        </w:rPr>
        <w:t xml:space="preserve"> </w:t>
      </w:r>
      <w:r>
        <w:t>6th</w:t>
      </w:r>
      <w:r>
        <w:rPr>
          <w:spacing w:val="-3"/>
        </w:rPr>
        <w:t xml:space="preserve"> </w:t>
      </w:r>
      <w:r>
        <w:t>decision</w:t>
      </w:r>
      <w:r>
        <w:rPr>
          <w:spacing w:val="-3"/>
        </w:rPr>
        <w:t xml:space="preserve"> </w:t>
      </w:r>
      <w:r>
        <w:t>defines</w:t>
      </w:r>
      <w:r>
        <w:rPr>
          <w:spacing w:val="-3"/>
        </w:rPr>
        <w:t xml:space="preserve"> </w:t>
      </w:r>
      <w:r>
        <w:t>the</w:t>
      </w:r>
      <w:r>
        <w:rPr>
          <w:spacing w:val="-3"/>
        </w:rPr>
        <w:t xml:space="preserve"> </w:t>
      </w:r>
      <w:r>
        <w:t>elimination</w:t>
      </w:r>
      <w:r>
        <w:rPr>
          <w:spacing w:val="-3"/>
        </w:rPr>
        <w:t xml:space="preserve"> </w:t>
      </w:r>
      <w:r>
        <w:t>of</w:t>
      </w:r>
      <w:r>
        <w:rPr>
          <w:spacing w:val="-3"/>
        </w:rPr>
        <w:t xml:space="preserve"> </w:t>
      </w:r>
      <w:r>
        <w:t>rebates</w:t>
      </w:r>
      <w:r>
        <w:rPr>
          <w:spacing w:val="-4"/>
        </w:rPr>
        <w:t xml:space="preserve"> </w:t>
      </w:r>
      <w:r>
        <w:t>for</w:t>
      </w:r>
      <w:r>
        <w:rPr>
          <w:spacing w:val="-3"/>
        </w:rPr>
        <w:t xml:space="preserve"> </w:t>
      </w:r>
      <w:r>
        <w:t>non- exempt, non-cost-effective measures installed within newly constructed homes and facilities serving Residential and Commercial sectors. Exempted measures are defined as those for which nat</w:t>
      </w:r>
      <w:r>
        <w:t xml:space="preserve">ural gas is not directly consumed, for example building envelope, weatherization, and thermostat measures. The decision also directed Commission staff to create a Viable Electric Alternative (VEA) Technical Guidance Document (TGD) that would allow the new </w:t>
      </w:r>
      <w:r>
        <w:t>construction policy to be expanded to other gas measures by defining VEA.</w:t>
      </w:r>
    </w:p>
    <w:p w:rsidR="00C31389" w:rsidRDefault="00C31389" w14:paraId="0C1EB1A4" w14:textId="77777777">
      <w:pPr>
        <w:pStyle w:val="BodyText"/>
        <w:spacing w:before="9"/>
        <w:rPr>
          <w:sz w:val="20"/>
        </w:rPr>
      </w:pPr>
    </w:p>
    <w:p w:rsidR="00C31389" w:rsidRDefault="00561FBD" w14:paraId="1091866C" w14:textId="77777777">
      <w:pPr>
        <w:pStyle w:val="BodyText"/>
        <w:ind w:left="480" w:right="1379"/>
      </w:pPr>
      <w:r>
        <w:t>As of the drafting of this PG Study the decision had not been approved, however Guidehouse</w:t>
      </w:r>
      <w:r>
        <w:rPr>
          <w:spacing w:val="-3"/>
        </w:rPr>
        <w:t xml:space="preserve"> </w:t>
      </w:r>
      <w:r>
        <w:t>worked</w:t>
      </w:r>
      <w:r>
        <w:rPr>
          <w:spacing w:val="-3"/>
        </w:rPr>
        <w:t xml:space="preserve"> </w:t>
      </w:r>
      <w:r>
        <w:t>with</w:t>
      </w:r>
      <w:r>
        <w:rPr>
          <w:spacing w:val="-3"/>
        </w:rPr>
        <w:t xml:space="preserve"> </w:t>
      </w:r>
      <w:r>
        <w:t>CPUC</w:t>
      </w:r>
      <w:r>
        <w:rPr>
          <w:spacing w:val="-4"/>
        </w:rPr>
        <w:t xml:space="preserve"> </w:t>
      </w:r>
      <w:r>
        <w:t>to</w:t>
      </w:r>
      <w:r>
        <w:rPr>
          <w:spacing w:val="-3"/>
        </w:rPr>
        <w:t xml:space="preserve"> </w:t>
      </w:r>
      <w:r>
        <w:t>assess</w:t>
      </w:r>
      <w:r>
        <w:rPr>
          <w:spacing w:val="-3"/>
        </w:rPr>
        <w:t xml:space="preserve"> </w:t>
      </w:r>
      <w:r>
        <w:t>the</w:t>
      </w:r>
      <w:r>
        <w:rPr>
          <w:spacing w:val="-3"/>
        </w:rPr>
        <w:t xml:space="preserve"> </w:t>
      </w:r>
      <w:r>
        <w:t>potential</w:t>
      </w:r>
      <w:r>
        <w:rPr>
          <w:spacing w:val="-3"/>
        </w:rPr>
        <w:t xml:space="preserve"> </w:t>
      </w:r>
      <w:r>
        <w:t>for</w:t>
      </w:r>
      <w:r>
        <w:rPr>
          <w:spacing w:val="-3"/>
        </w:rPr>
        <w:t xml:space="preserve"> </w:t>
      </w:r>
      <w:r>
        <w:t>this</w:t>
      </w:r>
      <w:r>
        <w:rPr>
          <w:spacing w:val="-3"/>
        </w:rPr>
        <w:t xml:space="preserve"> </w:t>
      </w:r>
      <w:r>
        <w:t>policy</w:t>
      </w:r>
      <w:r>
        <w:rPr>
          <w:spacing w:val="-2"/>
        </w:rPr>
        <w:t xml:space="preserve"> </w:t>
      </w:r>
      <w:r>
        <w:t>to</w:t>
      </w:r>
      <w:r>
        <w:rPr>
          <w:spacing w:val="-3"/>
        </w:rPr>
        <w:t xml:space="preserve"> </w:t>
      </w:r>
      <w:r>
        <w:t>impact</w:t>
      </w:r>
      <w:r>
        <w:rPr>
          <w:spacing w:val="-3"/>
        </w:rPr>
        <w:t xml:space="preserve"> </w:t>
      </w:r>
      <w:r>
        <w:t>the achievable potentia</w:t>
      </w:r>
      <w:r>
        <w:t>l detailed within the results.</w:t>
      </w:r>
    </w:p>
    <w:p w:rsidR="00C31389" w:rsidRDefault="00C31389" w14:paraId="39DE864C" w14:textId="77777777">
      <w:pPr>
        <w:pStyle w:val="BodyText"/>
        <w:spacing w:before="11"/>
        <w:rPr>
          <w:sz w:val="20"/>
        </w:rPr>
      </w:pPr>
    </w:p>
    <w:p w:rsidR="00C31389" w:rsidRDefault="00561FBD" w14:paraId="28D2D9C4" w14:textId="77777777">
      <w:pPr>
        <w:pStyle w:val="BodyText"/>
        <w:ind w:left="480" w:right="418"/>
      </w:pPr>
      <w:r>
        <w:t>To assess the degree to which this expected initial track will impact the goals set by the</w:t>
      </w:r>
      <w:r>
        <w:rPr>
          <w:spacing w:val="40"/>
        </w:rPr>
        <w:t xml:space="preserve"> </w:t>
      </w:r>
      <w:r>
        <w:t xml:space="preserve">2023 PG Study Guidehouse examined both the savings claimed during the study’s calibration period (2018 – 2022) and the first four </w:t>
      </w:r>
      <w:r>
        <w:t>years of the 2023 Study (2024-2027) for Southern California Gas (SCG) and identified the total proportion of these past and forecasted</w:t>
      </w:r>
      <w:r>
        <w:rPr>
          <w:spacing w:val="-4"/>
        </w:rPr>
        <w:t xml:space="preserve"> </w:t>
      </w:r>
      <w:r>
        <w:t>savings</w:t>
      </w:r>
      <w:r>
        <w:rPr>
          <w:spacing w:val="-4"/>
        </w:rPr>
        <w:t xml:space="preserve"> </w:t>
      </w:r>
      <w:r>
        <w:t>that</w:t>
      </w:r>
      <w:r>
        <w:rPr>
          <w:spacing w:val="-5"/>
        </w:rPr>
        <w:t xml:space="preserve"> </w:t>
      </w:r>
      <w:r>
        <w:t>would</w:t>
      </w:r>
      <w:r>
        <w:rPr>
          <w:spacing w:val="-4"/>
        </w:rPr>
        <w:t xml:space="preserve"> </w:t>
      </w:r>
      <w:r>
        <w:t>be</w:t>
      </w:r>
      <w:r>
        <w:rPr>
          <w:spacing w:val="-4"/>
        </w:rPr>
        <w:t xml:space="preserve"> </w:t>
      </w:r>
      <w:r>
        <w:t>impacted</w:t>
      </w:r>
      <w:r>
        <w:rPr>
          <w:spacing w:val="-4"/>
        </w:rPr>
        <w:t xml:space="preserve"> </w:t>
      </w:r>
      <w:r>
        <w:t>as</w:t>
      </w:r>
      <w:r>
        <w:rPr>
          <w:spacing w:val="-4"/>
        </w:rPr>
        <w:t xml:space="preserve"> </w:t>
      </w:r>
      <w:r>
        <w:t>non-exempt,</w:t>
      </w:r>
      <w:r>
        <w:rPr>
          <w:spacing w:val="-3"/>
        </w:rPr>
        <w:t xml:space="preserve"> </w:t>
      </w:r>
      <w:r>
        <w:t>non-cost-effective,</w:t>
      </w:r>
      <w:r>
        <w:rPr>
          <w:spacing w:val="-4"/>
        </w:rPr>
        <w:t xml:space="preserve"> </w:t>
      </w:r>
      <w:r>
        <w:t>and</w:t>
      </w:r>
      <w:r>
        <w:rPr>
          <w:spacing w:val="-5"/>
        </w:rPr>
        <w:t xml:space="preserve"> </w:t>
      </w:r>
      <w:r>
        <w:t xml:space="preserve">impacting only new construction. For all </w:t>
      </w:r>
      <w:r>
        <w:t>historic measure-level SCG EE claims data available from CEDARS for the period identified above, the Guidehouse team found a total of 1.8% of savings on a first-year net MMtherm basis would meet the criteria identified above.</w:t>
      </w:r>
    </w:p>
    <w:p w:rsidR="00C31389" w:rsidRDefault="00C31389" w14:paraId="3BF90AF8" w14:textId="77777777">
      <w:pPr>
        <w:pStyle w:val="BodyText"/>
        <w:spacing w:before="9"/>
        <w:rPr>
          <w:sz w:val="20"/>
        </w:rPr>
      </w:pPr>
    </w:p>
    <w:p w:rsidR="00C31389" w:rsidRDefault="00561FBD" w14:paraId="5C26B2F8" w14:textId="77777777">
      <w:pPr>
        <w:pStyle w:val="BodyText"/>
        <w:ind w:left="480" w:right="418" w:hanging="1"/>
      </w:pPr>
      <w:r>
        <w:t>Examining</w:t>
      </w:r>
      <w:r>
        <w:rPr>
          <w:spacing w:val="-3"/>
        </w:rPr>
        <w:t xml:space="preserve"> </w:t>
      </w:r>
      <w:r>
        <w:t>the</w:t>
      </w:r>
      <w:r>
        <w:rPr>
          <w:spacing w:val="-3"/>
        </w:rPr>
        <w:t xml:space="preserve"> </w:t>
      </w:r>
      <w:r>
        <w:t>2023</w:t>
      </w:r>
      <w:r>
        <w:rPr>
          <w:spacing w:val="-3"/>
        </w:rPr>
        <w:t xml:space="preserve"> </w:t>
      </w:r>
      <w:r>
        <w:t>PG</w:t>
      </w:r>
      <w:r>
        <w:rPr>
          <w:spacing w:val="-4"/>
        </w:rPr>
        <w:t xml:space="preserve"> </w:t>
      </w:r>
      <w:r>
        <w:t>Study’s</w:t>
      </w:r>
      <w:r>
        <w:rPr>
          <w:spacing w:val="-3"/>
        </w:rPr>
        <w:t xml:space="preserve"> </w:t>
      </w:r>
      <w:r>
        <w:t>Scenario</w:t>
      </w:r>
      <w:r>
        <w:rPr>
          <w:spacing w:val="-3"/>
        </w:rPr>
        <w:t xml:space="preserve"> </w:t>
      </w:r>
      <w:r>
        <w:t>1,</w:t>
      </w:r>
      <w:r>
        <w:rPr>
          <w:spacing w:val="-3"/>
        </w:rPr>
        <w:t xml:space="preserve"> </w:t>
      </w:r>
      <w:r>
        <w:t>the</w:t>
      </w:r>
      <w:r>
        <w:rPr>
          <w:spacing w:val="-4"/>
        </w:rPr>
        <w:t xml:space="preserve"> </w:t>
      </w:r>
      <w:r>
        <w:t>Guidehouse</w:t>
      </w:r>
      <w:r>
        <w:rPr>
          <w:spacing w:val="-3"/>
        </w:rPr>
        <w:t xml:space="preserve"> </w:t>
      </w:r>
      <w:r>
        <w:t>team</w:t>
      </w:r>
      <w:r>
        <w:rPr>
          <w:spacing w:val="-4"/>
        </w:rPr>
        <w:t xml:space="preserve"> </w:t>
      </w:r>
      <w:r>
        <w:t>found</w:t>
      </w:r>
      <w:r>
        <w:rPr>
          <w:spacing w:val="-3"/>
        </w:rPr>
        <w:t xml:space="preserve"> </w:t>
      </w:r>
      <w:r>
        <w:t>negligible</w:t>
      </w:r>
      <w:r>
        <w:rPr>
          <w:spacing w:val="-3"/>
        </w:rPr>
        <w:t xml:space="preserve"> </w:t>
      </w:r>
      <w:r>
        <w:t>non-cost- effective gas savings potential for SCG in 2024-2027 outside of the Residential whole building new construction (ZNE measure). This ZNE measure, accounting for a total of just under 2% of achievab</w:t>
      </w:r>
      <w:r>
        <w:t>le potential, is defined as technology agnostic, meaning conceptually it could account for any building equipment or system, including non-exempt measures. Given the low overall calculated proportion of both historic and forecasted savings that would be im</w:t>
      </w:r>
      <w:r>
        <w:t>pacted by the expected initial phase of the decision, Guidehouse did not adjust the total</w:t>
      </w:r>
    </w:p>
    <w:p w:rsidR="00C31389" w:rsidRDefault="00561FBD" w14:paraId="53ACBCFE" w14:textId="77777777">
      <w:pPr>
        <w:pStyle w:val="BodyText"/>
        <w:spacing w:before="10"/>
        <w:rPr>
          <w:sz w:val="12"/>
        </w:rPr>
      </w:pPr>
      <w:r>
        <w:rPr>
          <w:noProof/>
        </w:rPr>
        <mc:AlternateContent>
          <mc:Choice Requires="wps">
            <w:drawing>
              <wp:anchor distT="0" distB="0" distL="0" distR="0" simplePos="0" relativeHeight="487671808" behindDoc="1" locked="0" layoutInCell="1" allowOverlap="1" wp14:editId="1D05BC66" wp14:anchorId="19EC65AF">
                <wp:simplePos x="0" y="0"/>
                <wp:positionH relativeFrom="page">
                  <wp:posOffset>914400</wp:posOffset>
                </wp:positionH>
                <wp:positionV relativeFrom="paragraph">
                  <wp:posOffset>109444</wp:posOffset>
                </wp:positionV>
                <wp:extent cx="1828800" cy="6985"/>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04" style="position:absolute;margin-left:1in;margin-top:8.6pt;width:2in;height:.55pt;z-index:-1564467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" w14:anchorId="14462483">
                <v:path arrowok="t"/>
                <w10:wrap type="topAndBottom" anchorx="page"/>
              </v:shape>
            </w:pict>
          </mc:Fallback>
        </mc:AlternateContent>
      </w:r>
    </w:p>
    <w:p w:rsidR="00C31389" w:rsidRDefault="00561FBD" w14:paraId="24DB4181" w14:textId="77777777">
      <w:pPr>
        <w:spacing w:before="88"/>
        <w:ind w:left="480" w:right="637" w:hanging="1"/>
        <w:rPr>
          <w:sz w:val="18"/>
        </w:rPr>
      </w:pPr>
      <w:bookmarkStart w:name="_bookmark225" w:id="301"/>
      <w:bookmarkEnd w:id="301"/>
      <w:r>
        <w:rPr>
          <w:position w:val="6"/>
          <w:sz w:val="12"/>
        </w:rPr>
        <w:t>69</w:t>
      </w:r>
      <w:r>
        <w:rPr>
          <w:spacing w:val="-1"/>
          <w:position w:val="6"/>
          <w:sz w:val="12"/>
        </w:rPr>
        <w:t xml:space="preserve"> </w:t>
      </w:r>
      <w:r>
        <w:rPr>
          <w:sz w:val="18"/>
        </w:rPr>
        <w:t>https</w:t>
      </w:r>
      <w:hyperlink r:id="rId191">
        <w:r>
          <w:rPr>
            <w:sz w:val="18"/>
          </w:rPr>
          <w:t>://w</w:t>
        </w:r>
      </w:hyperlink>
      <w:r>
        <w:rPr>
          <w:sz w:val="18"/>
        </w:rPr>
        <w:t>ww</w:t>
      </w:r>
      <w:hyperlink r:id="rId192">
        <w:r>
          <w:rPr>
            <w:sz w:val="18"/>
          </w:rPr>
          <w:t>.c</w:t>
        </w:r>
      </w:hyperlink>
      <w:r>
        <w:rPr>
          <w:sz w:val="18"/>
        </w:rPr>
        <w:t>p</w:t>
      </w:r>
      <w:hyperlink r:id="rId193">
        <w:r>
          <w:rPr>
            <w:sz w:val="18"/>
          </w:rPr>
          <w:t>uc.ca.gov/-/media/cpuc-website/divisions/energy-division/documents/energy-efficiency/rolling-</w:t>
        </w:r>
      </w:hyperlink>
      <w:r>
        <w:rPr>
          <w:sz w:val="18"/>
        </w:rPr>
        <w:t xml:space="preserve"> </w:t>
      </w:r>
      <w:r>
        <w:rPr>
          <w:spacing w:val="-2"/>
          <w:sz w:val="18"/>
        </w:rPr>
        <w:t>portfolio-program-guidance/ng-staff-prop-81622.pdf</w:t>
      </w:r>
    </w:p>
    <w:p w:rsidR="00C31389" w:rsidRDefault="00C31389" w14:paraId="0A6CB48E" w14:textId="77777777">
      <w:pPr>
        <w:rPr>
          <w:sz w:val="18"/>
        </w:rPr>
        <w:sectPr w:rsidR="00C31389">
          <w:pgSz w:w="11910" w:h="16840"/>
          <w:pgMar w:top="1380" w:right="1020" w:bottom="1120" w:left="960" w:header="397" w:footer="938" w:gutter="0"/>
          <w:cols w:space="720"/>
        </w:sectPr>
      </w:pPr>
    </w:p>
    <w:p w:rsidR="00C31389" w:rsidRDefault="00C31389" w14:paraId="07575207" w14:textId="77777777">
      <w:pPr>
        <w:pStyle w:val="BodyText"/>
      </w:pPr>
    </w:p>
    <w:p w:rsidR="00C31389" w:rsidRDefault="00C31389" w14:paraId="63B10776" w14:textId="77777777">
      <w:pPr>
        <w:pStyle w:val="BodyText"/>
        <w:spacing w:before="10"/>
        <w:rPr>
          <w:sz w:val="13"/>
        </w:rPr>
      </w:pPr>
    </w:p>
    <w:p w:rsidR="00C31389" w:rsidRDefault="00561FBD" w14:paraId="197813A2" w14:textId="77777777">
      <w:pPr>
        <w:pStyle w:val="BodyText"/>
        <w:spacing w:before="93"/>
        <w:ind w:left="480" w:right="418"/>
      </w:pPr>
      <w:r>
        <w:t>achievable</w:t>
      </w:r>
      <w:r>
        <w:rPr>
          <w:spacing w:val="-6"/>
        </w:rPr>
        <w:t xml:space="preserve"> </w:t>
      </w:r>
      <w:r>
        <w:t>potential</w:t>
      </w:r>
      <w:r>
        <w:rPr>
          <w:spacing w:val="-2"/>
        </w:rPr>
        <w:t xml:space="preserve"> </w:t>
      </w:r>
      <w:r>
        <w:t>for</w:t>
      </w:r>
      <w:r>
        <w:rPr>
          <w:spacing w:val="-5"/>
        </w:rPr>
        <w:t xml:space="preserve"> </w:t>
      </w:r>
      <w:r>
        <w:t>any</w:t>
      </w:r>
      <w:r>
        <w:rPr>
          <w:spacing w:val="-3"/>
        </w:rPr>
        <w:t xml:space="preserve"> </w:t>
      </w:r>
      <w:r>
        <w:t>of</w:t>
      </w:r>
      <w:r>
        <w:rPr>
          <w:spacing w:val="-3"/>
        </w:rPr>
        <w:t xml:space="preserve"> </w:t>
      </w:r>
      <w:r>
        <w:t>the</w:t>
      </w:r>
      <w:r>
        <w:rPr>
          <w:spacing w:val="-3"/>
        </w:rPr>
        <w:t xml:space="preserve"> </w:t>
      </w:r>
      <w:r>
        <w:t>2023</w:t>
      </w:r>
      <w:r>
        <w:rPr>
          <w:spacing w:val="-3"/>
        </w:rPr>
        <w:t xml:space="preserve"> </w:t>
      </w:r>
      <w:r>
        <w:t>PG</w:t>
      </w:r>
      <w:r>
        <w:rPr>
          <w:spacing w:val="-4"/>
        </w:rPr>
        <w:t xml:space="preserve"> </w:t>
      </w:r>
      <w:r>
        <w:t>Study</w:t>
      </w:r>
      <w:r>
        <w:rPr>
          <w:spacing w:val="-3"/>
        </w:rPr>
        <w:t xml:space="preserve"> </w:t>
      </w:r>
      <w:r>
        <w:t>Scenarios</w:t>
      </w:r>
      <w:r>
        <w:rPr>
          <w:spacing w:val="-2"/>
        </w:rPr>
        <w:t xml:space="preserve"> </w:t>
      </w:r>
      <w:r>
        <w:t>based</w:t>
      </w:r>
      <w:r>
        <w:rPr>
          <w:spacing w:val="-3"/>
        </w:rPr>
        <w:t xml:space="preserve"> </w:t>
      </w:r>
      <w:r>
        <w:t>on</w:t>
      </w:r>
      <w:r>
        <w:rPr>
          <w:spacing w:val="-3"/>
        </w:rPr>
        <w:t xml:space="preserve"> </w:t>
      </w:r>
      <w:r>
        <w:t>this</w:t>
      </w:r>
      <w:r>
        <w:rPr>
          <w:spacing w:val="-3"/>
        </w:rPr>
        <w:t xml:space="preserve"> </w:t>
      </w:r>
      <w:r>
        <w:t>policy.</w:t>
      </w:r>
      <w:r>
        <w:rPr>
          <w:spacing w:val="-3"/>
        </w:rPr>
        <w:t xml:space="preserve"> </w:t>
      </w:r>
      <w:r>
        <w:t>However, the April 6</w:t>
      </w:r>
      <w:r>
        <w:rPr>
          <w:position w:val="7"/>
          <w:sz w:val="14"/>
        </w:rPr>
        <w:t>th</w:t>
      </w:r>
      <w:r>
        <w:rPr>
          <w:spacing w:val="22"/>
          <w:position w:val="7"/>
          <w:sz w:val="14"/>
        </w:rPr>
        <w:t xml:space="preserve"> </w:t>
      </w:r>
      <w:r>
        <w:t>decision directs the Commission staff to include the new construction policy, as well as the VEA TGD, in the 2025 Potential and Goals Study.</w:t>
      </w:r>
    </w:p>
    <w:p w:rsidR="00C31389" w:rsidRDefault="00C31389" w14:paraId="2E95F88E" w14:textId="77777777">
      <w:pPr>
        <w:pStyle w:val="BodyText"/>
        <w:spacing w:before="9"/>
        <w:rPr>
          <w:sz w:val="20"/>
        </w:rPr>
      </w:pPr>
    </w:p>
    <w:p w:rsidR="00C31389" w:rsidRDefault="00561FBD" w14:paraId="4A6D3D19" w14:textId="77777777">
      <w:pPr>
        <w:pStyle w:val="Heading2"/>
        <w:numPr>
          <w:ilvl w:val="1"/>
          <w:numId w:val="71"/>
        </w:numPr>
        <w:tabs>
          <w:tab w:val="left" w:pos="945"/>
        </w:tabs>
        <w:ind w:left="945" w:hanging="465"/>
      </w:pPr>
      <w:bookmarkStart w:name="5.2_IRA_EE_Rebate_Programs" w:id="302"/>
      <w:bookmarkStart w:name="_bookmark226" w:id="303"/>
      <w:bookmarkEnd w:id="302"/>
      <w:bookmarkEnd w:id="303"/>
      <w:r>
        <w:t>IRA</w:t>
      </w:r>
      <w:r>
        <w:rPr>
          <w:spacing w:val="-8"/>
        </w:rPr>
        <w:t xml:space="preserve"> </w:t>
      </w:r>
      <w:r>
        <w:t>EE</w:t>
      </w:r>
      <w:r>
        <w:rPr>
          <w:spacing w:val="-8"/>
        </w:rPr>
        <w:t xml:space="preserve"> </w:t>
      </w:r>
      <w:r>
        <w:t>Re</w:t>
      </w:r>
      <w:r>
        <w:t>bate</w:t>
      </w:r>
      <w:r>
        <w:rPr>
          <w:spacing w:val="-6"/>
        </w:rPr>
        <w:t xml:space="preserve"> </w:t>
      </w:r>
      <w:r>
        <w:rPr>
          <w:spacing w:val="-2"/>
        </w:rPr>
        <w:t>Programs</w:t>
      </w:r>
    </w:p>
    <w:p w:rsidR="00C31389" w:rsidRDefault="00561FBD" w14:paraId="5BCDB5EE" w14:textId="77777777">
      <w:pPr>
        <w:pStyle w:val="BodyText"/>
        <w:spacing w:before="241"/>
        <w:ind w:left="480" w:right="615"/>
      </w:pPr>
      <w:r>
        <w:t>The Inflation Reduction Act of 2022 defined specific tax credits which are available to individuals</w:t>
      </w:r>
      <w:r>
        <w:rPr>
          <w:spacing w:val="-4"/>
        </w:rPr>
        <w:t xml:space="preserve"> </w:t>
      </w:r>
      <w:r>
        <w:t>and</w:t>
      </w:r>
      <w:r>
        <w:rPr>
          <w:spacing w:val="-4"/>
        </w:rPr>
        <w:t xml:space="preserve"> </w:t>
      </w:r>
      <w:r>
        <w:t>businesses</w:t>
      </w:r>
      <w:r>
        <w:rPr>
          <w:spacing w:val="-4"/>
        </w:rPr>
        <w:t xml:space="preserve"> </w:t>
      </w:r>
      <w:r>
        <w:t>who</w:t>
      </w:r>
      <w:r>
        <w:rPr>
          <w:spacing w:val="-3"/>
        </w:rPr>
        <w:t xml:space="preserve"> </w:t>
      </w:r>
      <w:r>
        <w:t>adopt</w:t>
      </w:r>
      <w:r>
        <w:rPr>
          <w:spacing w:val="-4"/>
        </w:rPr>
        <w:t xml:space="preserve"> </w:t>
      </w:r>
      <w:r>
        <w:t>defined</w:t>
      </w:r>
      <w:r>
        <w:rPr>
          <w:spacing w:val="-4"/>
        </w:rPr>
        <w:t xml:space="preserve"> </w:t>
      </w:r>
      <w:r>
        <w:t>EE</w:t>
      </w:r>
      <w:r>
        <w:rPr>
          <w:spacing w:val="-4"/>
        </w:rPr>
        <w:t xml:space="preserve"> </w:t>
      </w:r>
      <w:r>
        <w:t>and</w:t>
      </w:r>
      <w:r>
        <w:rPr>
          <w:spacing w:val="-4"/>
        </w:rPr>
        <w:t xml:space="preserve"> </w:t>
      </w:r>
      <w:r>
        <w:t>FS</w:t>
      </w:r>
      <w:r>
        <w:rPr>
          <w:spacing w:val="-4"/>
        </w:rPr>
        <w:t xml:space="preserve"> </w:t>
      </w:r>
      <w:r>
        <w:t>measures</w:t>
      </w:r>
      <w:r>
        <w:rPr>
          <w:spacing w:val="-4"/>
        </w:rPr>
        <w:t xml:space="preserve"> </w:t>
      </w:r>
      <w:r>
        <w:t>between</w:t>
      </w:r>
      <w:r>
        <w:rPr>
          <w:spacing w:val="-4"/>
        </w:rPr>
        <w:t xml:space="preserve"> </w:t>
      </w:r>
      <w:r>
        <w:t>2023</w:t>
      </w:r>
      <w:r>
        <w:rPr>
          <w:spacing w:val="-4"/>
        </w:rPr>
        <w:t xml:space="preserve"> </w:t>
      </w:r>
      <w:r>
        <w:t>and 2032, and these are accounted for within the 2023 PG Study as discussed i</w:t>
      </w:r>
      <w:r>
        <w:t>n previous sections and Appendix J. In addition to tax credits, the IRA includes:</w:t>
      </w:r>
    </w:p>
    <w:p w:rsidR="00C31389" w:rsidRDefault="00C31389" w14:paraId="7DC96118" w14:textId="77777777">
      <w:pPr>
        <w:pStyle w:val="BodyText"/>
        <w:spacing w:before="9"/>
        <w:rPr>
          <w:sz w:val="20"/>
        </w:rPr>
      </w:pPr>
    </w:p>
    <w:p w:rsidR="00C31389" w:rsidRDefault="00561FBD" w14:paraId="319EDCAA" w14:textId="77777777">
      <w:pPr>
        <w:pStyle w:val="ListParagraph"/>
        <w:numPr>
          <w:ilvl w:val="0"/>
          <w:numId w:val="33"/>
        </w:numPr>
        <w:tabs>
          <w:tab w:val="left" w:pos="1200"/>
        </w:tabs>
        <w:ind w:right="519"/>
        <w:jc w:val="both"/>
      </w:pPr>
      <w:r>
        <w:t>$4.3</w:t>
      </w:r>
      <w:r>
        <w:rPr>
          <w:spacing w:val="-3"/>
        </w:rPr>
        <w:t xml:space="preserve"> </w:t>
      </w:r>
      <w:r>
        <w:t>billion</w:t>
      </w:r>
      <w:r>
        <w:rPr>
          <w:spacing w:val="-4"/>
        </w:rPr>
        <w:t xml:space="preserve"> </w:t>
      </w:r>
      <w:r>
        <w:t>to</w:t>
      </w:r>
      <w:r>
        <w:rPr>
          <w:spacing w:val="-3"/>
        </w:rPr>
        <w:t xml:space="preserve"> </w:t>
      </w:r>
      <w:r>
        <w:t>award</w:t>
      </w:r>
      <w:r>
        <w:rPr>
          <w:spacing w:val="-3"/>
        </w:rPr>
        <w:t xml:space="preserve"> </w:t>
      </w:r>
      <w:r>
        <w:t>grants</w:t>
      </w:r>
      <w:r>
        <w:rPr>
          <w:spacing w:val="-3"/>
        </w:rPr>
        <w:t xml:space="preserve"> </w:t>
      </w:r>
      <w:r>
        <w:t>to</w:t>
      </w:r>
      <w:r>
        <w:rPr>
          <w:spacing w:val="-3"/>
        </w:rPr>
        <w:t xml:space="preserve"> </w:t>
      </w:r>
      <w:r>
        <w:t>state</w:t>
      </w:r>
      <w:r>
        <w:rPr>
          <w:spacing w:val="-4"/>
        </w:rPr>
        <w:t xml:space="preserve"> </w:t>
      </w:r>
      <w:r>
        <w:t>energy</w:t>
      </w:r>
      <w:r>
        <w:rPr>
          <w:spacing w:val="-3"/>
        </w:rPr>
        <w:t xml:space="preserve"> </w:t>
      </w:r>
      <w:r>
        <w:t>offices</w:t>
      </w:r>
      <w:r>
        <w:rPr>
          <w:spacing w:val="-3"/>
        </w:rPr>
        <w:t xml:space="preserve"> </w:t>
      </w:r>
      <w:r>
        <w:t>(SEOs)</w:t>
      </w:r>
      <w:r>
        <w:rPr>
          <w:spacing w:val="-3"/>
        </w:rPr>
        <w:t xml:space="preserve"> </w:t>
      </w:r>
      <w:r>
        <w:t>to</w:t>
      </w:r>
      <w:r>
        <w:rPr>
          <w:spacing w:val="-3"/>
        </w:rPr>
        <w:t xml:space="preserve"> </w:t>
      </w:r>
      <w:r>
        <w:t>develop</w:t>
      </w:r>
      <w:r>
        <w:rPr>
          <w:spacing w:val="-3"/>
        </w:rPr>
        <w:t xml:space="preserve"> </w:t>
      </w:r>
      <w:r>
        <w:t>and</w:t>
      </w:r>
      <w:r>
        <w:rPr>
          <w:spacing w:val="-3"/>
        </w:rPr>
        <w:t xml:space="preserve"> </w:t>
      </w:r>
      <w:r>
        <w:t>implement Home</w:t>
      </w:r>
      <w:r>
        <w:rPr>
          <w:spacing w:val="-3"/>
        </w:rPr>
        <w:t xml:space="preserve"> </w:t>
      </w:r>
      <w:r>
        <w:t>Energy</w:t>
      </w:r>
      <w:r>
        <w:rPr>
          <w:spacing w:val="-3"/>
        </w:rPr>
        <w:t xml:space="preserve"> </w:t>
      </w:r>
      <w:r>
        <w:t>Performance-Based</w:t>
      </w:r>
      <w:r>
        <w:rPr>
          <w:spacing w:val="-4"/>
        </w:rPr>
        <w:t xml:space="preserve"> </w:t>
      </w:r>
      <w:r>
        <w:t>Whole</w:t>
      </w:r>
      <w:r>
        <w:rPr>
          <w:spacing w:val="-2"/>
        </w:rPr>
        <w:t xml:space="preserve"> </w:t>
      </w:r>
      <w:r>
        <w:t>House</w:t>
      </w:r>
      <w:r>
        <w:rPr>
          <w:spacing w:val="-3"/>
        </w:rPr>
        <w:t xml:space="preserve"> </w:t>
      </w:r>
      <w:r>
        <w:t>Rebates,</w:t>
      </w:r>
      <w:r>
        <w:rPr>
          <w:spacing w:val="-3"/>
        </w:rPr>
        <w:t xml:space="preserve"> </w:t>
      </w:r>
      <w:r>
        <w:t>also</w:t>
      </w:r>
      <w:r>
        <w:rPr>
          <w:spacing w:val="-3"/>
        </w:rPr>
        <w:t xml:space="preserve"> </w:t>
      </w:r>
      <w:r>
        <w:t>known</w:t>
      </w:r>
      <w:r>
        <w:rPr>
          <w:spacing w:val="-4"/>
        </w:rPr>
        <w:t xml:space="preserve"> </w:t>
      </w:r>
      <w:r>
        <w:t>as</w:t>
      </w:r>
      <w:r>
        <w:rPr>
          <w:spacing w:val="-3"/>
        </w:rPr>
        <w:t xml:space="preserve"> </w:t>
      </w:r>
      <w:r>
        <w:t>a</w:t>
      </w:r>
      <w:r>
        <w:rPr>
          <w:spacing w:val="-3"/>
        </w:rPr>
        <w:t xml:space="preserve"> </w:t>
      </w:r>
      <w:r>
        <w:rPr>
          <w:b/>
        </w:rPr>
        <w:t xml:space="preserve">HOMES (Home </w:t>
      </w:r>
      <w:r>
        <w:rPr>
          <w:b/>
        </w:rPr>
        <w:t>Owner Managing Energy Savings) rebate program</w:t>
      </w:r>
      <w:r>
        <w:t>, and</w:t>
      </w:r>
    </w:p>
    <w:p w:rsidR="00C31389" w:rsidRDefault="00C31389" w14:paraId="368444D8" w14:textId="77777777">
      <w:pPr>
        <w:pStyle w:val="BodyText"/>
        <w:spacing w:before="8"/>
        <w:rPr>
          <w:sz w:val="20"/>
        </w:rPr>
      </w:pPr>
    </w:p>
    <w:p w:rsidR="00C31389" w:rsidRDefault="00561FBD" w14:paraId="0B51D934" w14:textId="77777777">
      <w:pPr>
        <w:pStyle w:val="ListParagraph"/>
        <w:numPr>
          <w:ilvl w:val="0"/>
          <w:numId w:val="33"/>
        </w:numPr>
        <w:tabs>
          <w:tab w:val="left" w:pos="1200"/>
        </w:tabs>
        <w:spacing w:before="1"/>
        <w:ind w:right="459"/>
        <w:rPr>
          <w:sz w:val="14"/>
        </w:rPr>
      </w:pPr>
      <w:r>
        <w:t xml:space="preserve">$4.5 billion available to SEOs and Indian tribes to implement </w:t>
      </w:r>
      <w:r>
        <w:rPr>
          <w:b/>
        </w:rPr>
        <w:t>High-Efficiency Electric</w:t>
      </w:r>
      <w:r>
        <w:rPr>
          <w:b/>
          <w:spacing w:val="-4"/>
        </w:rPr>
        <w:t xml:space="preserve"> </w:t>
      </w:r>
      <w:r>
        <w:rPr>
          <w:b/>
        </w:rPr>
        <w:t>Home</w:t>
      </w:r>
      <w:r>
        <w:rPr>
          <w:b/>
          <w:spacing w:val="-4"/>
        </w:rPr>
        <w:t xml:space="preserve"> </w:t>
      </w:r>
      <w:r>
        <w:rPr>
          <w:b/>
        </w:rPr>
        <w:t>Rebate</w:t>
      </w:r>
      <w:r>
        <w:rPr>
          <w:b/>
          <w:spacing w:val="-4"/>
        </w:rPr>
        <w:t xml:space="preserve"> </w:t>
      </w:r>
      <w:r>
        <w:rPr>
          <w:b/>
        </w:rPr>
        <w:t>(HEEHR)</w:t>
      </w:r>
      <w:r>
        <w:rPr>
          <w:b/>
          <w:spacing w:val="-4"/>
        </w:rPr>
        <w:t xml:space="preserve"> </w:t>
      </w:r>
      <w:r>
        <w:t>programs.</w:t>
      </w:r>
      <w:r>
        <w:rPr>
          <w:spacing w:val="-4"/>
        </w:rPr>
        <w:t xml:space="preserve"> </w:t>
      </w:r>
      <w:r>
        <w:t>A</w:t>
      </w:r>
      <w:r>
        <w:rPr>
          <w:spacing w:val="-4"/>
        </w:rPr>
        <w:t xml:space="preserve"> </w:t>
      </w:r>
      <w:r>
        <w:t>further</w:t>
      </w:r>
      <w:r>
        <w:rPr>
          <w:spacing w:val="-4"/>
        </w:rPr>
        <w:t xml:space="preserve"> </w:t>
      </w:r>
      <w:r>
        <w:t>$200</w:t>
      </w:r>
      <w:r>
        <w:rPr>
          <w:spacing w:val="-4"/>
        </w:rPr>
        <w:t xml:space="preserve"> </w:t>
      </w:r>
      <w:r>
        <w:t>million</w:t>
      </w:r>
      <w:r>
        <w:rPr>
          <w:spacing w:val="-4"/>
        </w:rPr>
        <w:t xml:space="preserve"> </w:t>
      </w:r>
      <w:r>
        <w:t>is</w:t>
      </w:r>
      <w:r>
        <w:rPr>
          <w:spacing w:val="-4"/>
        </w:rPr>
        <w:t xml:space="preserve"> </w:t>
      </w:r>
      <w:r>
        <w:t>appropriated</w:t>
      </w:r>
      <w:r>
        <w:rPr>
          <w:spacing w:val="-4"/>
        </w:rPr>
        <w:t xml:space="preserve"> </w:t>
      </w:r>
      <w:r>
        <w:t xml:space="preserve">for SEOs to provide training and </w:t>
      </w:r>
      <w:r>
        <w:t>education to contractors involved in these rebate programs.</w:t>
      </w:r>
      <w:r>
        <w:rPr>
          <w:spacing w:val="-41"/>
        </w:rPr>
        <w:t xml:space="preserve"> </w:t>
      </w:r>
      <w:hyperlink w:history="1" w:anchor="_bookmark227">
        <w:r>
          <w:rPr>
            <w:position w:val="7"/>
            <w:sz w:val="14"/>
          </w:rPr>
          <w:t>70</w:t>
        </w:r>
      </w:hyperlink>
    </w:p>
    <w:p w:rsidR="00C31389" w:rsidRDefault="00C31389" w14:paraId="5E066559" w14:textId="77777777">
      <w:pPr>
        <w:pStyle w:val="BodyText"/>
        <w:spacing w:before="7"/>
        <w:rPr>
          <w:sz w:val="20"/>
        </w:rPr>
      </w:pPr>
    </w:p>
    <w:p w:rsidR="00C31389" w:rsidRDefault="00561FBD" w14:paraId="366AEFC8" w14:textId="77777777">
      <w:pPr>
        <w:pStyle w:val="BodyText"/>
        <w:spacing w:before="1"/>
        <w:ind w:left="480" w:right="434"/>
      </w:pPr>
      <w:r>
        <w:t>While these programs are anticipated to significantly influence the adoption of EE and efficient</w:t>
      </w:r>
      <w:r>
        <w:rPr>
          <w:spacing w:val="-3"/>
        </w:rPr>
        <w:t xml:space="preserve"> </w:t>
      </w:r>
      <w:r>
        <w:t>electrification</w:t>
      </w:r>
      <w:r>
        <w:rPr>
          <w:spacing w:val="-3"/>
        </w:rPr>
        <w:t xml:space="preserve"> </w:t>
      </w:r>
      <w:r>
        <w:t>measures,</w:t>
      </w:r>
      <w:r>
        <w:rPr>
          <w:spacing w:val="-3"/>
        </w:rPr>
        <w:t xml:space="preserve"> </w:t>
      </w:r>
      <w:r>
        <w:t>the</w:t>
      </w:r>
      <w:r>
        <w:rPr>
          <w:spacing w:val="-4"/>
        </w:rPr>
        <w:t xml:space="preserve"> </w:t>
      </w:r>
      <w:r>
        <w:t>programs</w:t>
      </w:r>
      <w:r>
        <w:rPr>
          <w:spacing w:val="-3"/>
        </w:rPr>
        <w:t xml:space="preserve"> </w:t>
      </w:r>
      <w:r>
        <w:t>themselves</w:t>
      </w:r>
      <w:r>
        <w:rPr>
          <w:spacing w:val="-4"/>
        </w:rPr>
        <w:t xml:space="preserve"> </w:t>
      </w:r>
      <w:r>
        <w:t>have</w:t>
      </w:r>
      <w:r>
        <w:rPr>
          <w:spacing w:val="-3"/>
        </w:rPr>
        <w:t xml:space="preserve"> </w:t>
      </w:r>
      <w:r>
        <w:t>not</w:t>
      </w:r>
      <w:r>
        <w:rPr>
          <w:spacing w:val="-3"/>
        </w:rPr>
        <w:t xml:space="preserve"> </w:t>
      </w:r>
      <w:r>
        <w:t>been</w:t>
      </w:r>
      <w:r>
        <w:rPr>
          <w:spacing w:val="-3"/>
        </w:rPr>
        <w:t xml:space="preserve"> </w:t>
      </w:r>
      <w:r>
        <w:t>defined</w:t>
      </w:r>
      <w:r>
        <w:rPr>
          <w:spacing w:val="-3"/>
        </w:rPr>
        <w:t xml:space="preserve"> </w:t>
      </w:r>
      <w:r>
        <w:t>as</w:t>
      </w:r>
      <w:r>
        <w:rPr>
          <w:spacing w:val="-3"/>
        </w:rPr>
        <w:t xml:space="preserve"> </w:t>
      </w:r>
      <w:r>
        <w:t>of</w:t>
      </w:r>
      <w:r>
        <w:rPr>
          <w:spacing w:val="-3"/>
        </w:rPr>
        <w:t xml:space="preserve"> </w:t>
      </w:r>
      <w:r>
        <w:t>the completion of this study in terms of allocation of the specified funding to California, specific eligible measures, eligible customers, incentive amounts, or time frame. Due to these uncerta</w:t>
      </w:r>
      <w:r>
        <w:t>inties, incentives from future IRA-funded rebate programs were not included in the 2023 PG Study. Guidehouse will work with the CPUC and CEC as well as other California stakeholders to develop a comprehensive understanding of how the HOMES and HEEHR progra</w:t>
      </w:r>
      <w:r>
        <w:t>ms ultimately influence statewide EE goals and accomplishments. The Guidehouse team</w:t>
      </w:r>
      <w:r>
        <w:rPr>
          <w:spacing w:val="-1"/>
        </w:rPr>
        <w:t xml:space="preserve"> </w:t>
      </w:r>
      <w:r>
        <w:t>recommends considering further the inclusion of these</w:t>
      </w:r>
      <w:r>
        <w:rPr>
          <w:spacing w:val="-1"/>
        </w:rPr>
        <w:t xml:space="preserve"> </w:t>
      </w:r>
      <w:r>
        <w:t>IRA measure rebates in</w:t>
      </w:r>
      <w:r>
        <w:rPr>
          <w:spacing w:val="-1"/>
        </w:rPr>
        <w:t xml:space="preserve"> </w:t>
      </w:r>
      <w:r>
        <w:t>future PG Study cycles.</w:t>
      </w:r>
    </w:p>
    <w:p w:rsidR="00C31389" w:rsidRDefault="00C31389" w14:paraId="3F7DAD70" w14:textId="77777777">
      <w:pPr>
        <w:pStyle w:val="BodyText"/>
        <w:rPr>
          <w:sz w:val="20"/>
        </w:rPr>
      </w:pPr>
    </w:p>
    <w:p w:rsidR="00C31389" w:rsidRDefault="00C31389" w14:paraId="53737D19" w14:textId="77777777">
      <w:pPr>
        <w:pStyle w:val="BodyText"/>
        <w:rPr>
          <w:sz w:val="20"/>
        </w:rPr>
      </w:pPr>
    </w:p>
    <w:p w:rsidR="00C31389" w:rsidRDefault="00C31389" w14:paraId="10931901" w14:textId="77777777">
      <w:pPr>
        <w:pStyle w:val="BodyText"/>
        <w:rPr>
          <w:sz w:val="20"/>
        </w:rPr>
      </w:pPr>
    </w:p>
    <w:p w:rsidR="00C31389" w:rsidRDefault="00C31389" w14:paraId="7632E492" w14:textId="77777777">
      <w:pPr>
        <w:pStyle w:val="BodyText"/>
        <w:rPr>
          <w:sz w:val="20"/>
        </w:rPr>
      </w:pPr>
    </w:p>
    <w:p w:rsidR="00C31389" w:rsidRDefault="00C31389" w14:paraId="1977B17F" w14:textId="77777777">
      <w:pPr>
        <w:pStyle w:val="BodyText"/>
        <w:rPr>
          <w:sz w:val="20"/>
        </w:rPr>
      </w:pPr>
    </w:p>
    <w:p w:rsidR="00C31389" w:rsidRDefault="00C31389" w14:paraId="1FE123BD" w14:textId="77777777">
      <w:pPr>
        <w:pStyle w:val="BodyText"/>
        <w:rPr>
          <w:sz w:val="20"/>
        </w:rPr>
      </w:pPr>
    </w:p>
    <w:p w:rsidR="00C31389" w:rsidRDefault="00C31389" w14:paraId="1B24D1E5" w14:textId="77777777">
      <w:pPr>
        <w:pStyle w:val="BodyText"/>
        <w:rPr>
          <w:sz w:val="20"/>
        </w:rPr>
      </w:pPr>
    </w:p>
    <w:p w:rsidR="00C31389" w:rsidRDefault="00C31389" w14:paraId="6E94F590" w14:textId="77777777">
      <w:pPr>
        <w:pStyle w:val="BodyText"/>
        <w:rPr>
          <w:sz w:val="20"/>
        </w:rPr>
      </w:pPr>
    </w:p>
    <w:p w:rsidR="00C31389" w:rsidRDefault="00C31389" w14:paraId="639D7811" w14:textId="77777777">
      <w:pPr>
        <w:pStyle w:val="BodyText"/>
        <w:rPr>
          <w:sz w:val="20"/>
        </w:rPr>
      </w:pPr>
    </w:p>
    <w:p w:rsidR="00C31389" w:rsidRDefault="00C31389" w14:paraId="2B140D9A" w14:textId="77777777">
      <w:pPr>
        <w:pStyle w:val="BodyText"/>
        <w:rPr>
          <w:sz w:val="20"/>
        </w:rPr>
      </w:pPr>
    </w:p>
    <w:p w:rsidR="00C31389" w:rsidRDefault="00C31389" w14:paraId="3B5A963A" w14:textId="77777777">
      <w:pPr>
        <w:pStyle w:val="BodyText"/>
        <w:rPr>
          <w:sz w:val="20"/>
        </w:rPr>
      </w:pPr>
    </w:p>
    <w:p w:rsidR="00C31389" w:rsidRDefault="00C31389" w14:paraId="1D41FB46" w14:textId="77777777">
      <w:pPr>
        <w:pStyle w:val="BodyText"/>
        <w:rPr>
          <w:sz w:val="20"/>
        </w:rPr>
      </w:pPr>
    </w:p>
    <w:p w:rsidR="00C31389" w:rsidRDefault="00C31389" w14:paraId="07517BDC" w14:textId="77777777">
      <w:pPr>
        <w:pStyle w:val="BodyText"/>
        <w:rPr>
          <w:sz w:val="20"/>
        </w:rPr>
      </w:pPr>
    </w:p>
    <w:p w:rsidR="00C31389" w:rsidRDefault="00C31389" w14:paraId="5C0948B7" w14:textId="77777777">
      <w:pPr>
        <w:pStyle w:val="BodyText"/>
        <w:rPr>
          <w:sz w:val="20"/>
        </w:rPr>
      </w:pPr>
    </w:p>
    <w:p w:rsidR="00C31389" w:rsidRDefault="00C31389" w14:paraId="6B376B3F" w14:textId="77777777">
      <w:pPr>
        <w:pStyle w:val="BodyText"/>
        <w:rPr>
          <w:sz w:val="20"/>
        </w:rPr>
      </w:pPr>
    </w:p>
    <w:p w:rsidR="00C31389" w:rsidRDefault="00C31389" w14:paraId="481A36C3" w14:textId="77777777">
      <w:pPr>
        <w:pStyle w:val="BodyText"/>
        <w:rPr>
          <w:sz w:val="20"/>
        </w:rPr>
      </w:pPr>
    </w:p>
    <w:p w:rsidR="00C31389" w:rsidRDefault="00C31389" w14:paraId="30B3BFD1" w14:textId="77777777">
      <w:pPr>
        <w:pStyle w:val="BodyText"/>
        <w:rPr>
          <w:sz w:val="20"/>
        </w:rPr>
      </w:pPr>
    </w:p>
    <w:p w:rsidR="00C31389" w:rsidRDefault="00C31389" w14:paraId="7AD27AC1" w14:textId="77777777">
      <w:pPr>
        <w:pStyle w:val="BodyText"/>
        <w:rPr>
          <w:sz w:val="20"/>
        </w:rPr>
      </w:pPr>
    </w:p>
    <w:p w:rsidR="00C31389" w:rsidRDefault="00C31389" w14:paraId="77BC4967" w14:textId="77777777">
      <w:pPr>
        <w:pStyle w:val="BodyText"/>
        <w:rPr>
          <w:sz w:val="20"/>
        </w:rPr>
      </w:pPr>
    </w:p>
    <w:p w:rsidR="00C31389" w:rsidRDefault="00C31389" w14:paraId="0D58E809" w14:textId="77777777">
      <w:pPr>
        <w:pStyle w:val="BodyText"/>
        <w:rPr>
          <w:sz w:val="20"/>
        </w:rPr>
      </w:pPr>
    </w:p>
    <w:p w:rsidR="00C31389" w:rsidRDefault="00C31389" w14:paraId="26CA5F3D" w14:textId="77777777">
      <w:pPr>
        <w:pStyle w:val="BodyText"/>
        <w:rPr>
          <w:sz w:val="20"/>
        </w:rPr>
      </w:pPr>
    </w:p>
    <w:p w:rsidR="00C31389" w:rsidRDefault="00561FBD" w14:paraId="3CB462F4" w14:textId="77777777">
      <w:pPr>
        <w:pStyle w:val="BodyText"/>
        <w:spacing w:before="2"/>
        <w:rPr>
          <w:sz w:val="21"/>
        </w:rPr>
      </w:pPr>
      <w:r>
        <w:rPr>
          <w:noProof/>
        </w:rPr>
        <mc:AlternateContent>
          <mc:Choice Requires="wps">
            <w:drawing>
              <wp:anchor distT="0" distB="0" distL="0" distR="0" simplePos="0" relativeHeight="487672832" behindDoc="1" locked="0" layoutInCell="1" allowOverlap="1" wp14:editId="11165865" wp14:anchorId="63355BF9">
                <wp:simplePos x="0" y="0"/>
                <wp:positionH relativeFrom="page">
                  <wp:posOffset>914400</wp:posOffset>
                </wp:positionH>
                <wp:positionV relativeFrom="paragraph">
                  <wp:posOffset>170089</wp:posOffset>
                </wp:positionV>
                <wp:extent cx="1828800" cy="6985"/>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07" style="position:absolute;margin-left:1in;margin-top:13.4pt;width:2in;height:.55pt;z-index:-1564364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" w14:anchorId="6A4F9609">
                <v:path arrowok="t"/>
                <w10:wrap type="topAndBottom" anchorx="page"/>
              </v:shape>
            </w:pict>
          </mc:Fallback>
        </mc:AlternateContent>
      </w:r>
    </w:p>
    <w:p w:rsidR="00C31389" w:rsidRDefault="00561FBD" w14:paraId="6F450287" w14:textId="77777777">
      <w:pPr>
        <w:spacing w:before="88"/>
        <w:ind w:left="480" w:right="418"/>
        <w:rPr>
          <w:sz w:val="18"/>
        </w:rPr>
      </w:pPr>
      <w:bookmarkStart w:name="_bookmark227" w:id="304"/>
      <w:bookmarkEnd w:id="304"/>
      <w:r>
        <w:rPr>
          <w:position w:val="6"/>
          <w:sz w:val="12"/>
        </w:rPr>
        <w:t xml:space="preserve">70 </w:t>
      </w:r>
      <w:hyperlink r:id="rId194">
        <w:r>
          <w:rPr>
            <w:color w:val="68942C"/>
            <w:sz w:val="18"/>
            <w:u w:val="single" w:color="68942C"/>
          </w:rPr>
          <w:t>ht</w:t>
        </w:r>
        <w:r>
          <w:rPr>
            <w:color w:val="68942C"/>
            <w:sz w:val="18"/>
            <w:u w:val="single" w:color="68942C"/>
          </w:rPr>
          <w:t>tps://crsreports.congress.gov/product/pdf/IF/IF12258/2?itid=lk_inline_enhanced-</w:t>
        </w:r>
      </w:hyperlink>
      <w:r>
        <w:rPr>
          <w:color w:val="68942C"/>
          <w:sz w:val="18"/>
        </w:rPr>
        <w:t xml:space="preserve"> </w:t>
      </w:r>
      <w:hyperlink r:id="rId195">
        <w:r>
          <w:rPr>
            <w:color w:val="68942C"/>
            <w:spacing w:val="-2"/>
            <w:sz w:val="18"/>
            <w:u w:val="single" w:color="68942C"/>
          </w:rPr>
          <w:t>template#:~:text=High%2DEfficiency%20Electric%20Home%20Rebates&amp;text=The%20IRA%20also%20funds%2</w:t>
        </w:r>
      </w:hyperlink>
      <w:r>
        <w:rPr>
          <w:color w:val="68942C"/>
          <w:spacing w:val="-2"/>
          <w:sz w:val="18"/>
        </w:rPr>
        <w:t xml:space="preserve"> </w:t>
      </w:r>
      <w:hyperlink r:id="rId196">
        <w:r>
          <w:rPr>
            <w:color w:val="68942C"/>
            <w:spacing w:val="-2"/>
            <w:sz w:val="18"/>
            <w:u w:val="single" w:color="68942C"/>
          </w:rPr>
          <w:t>0rebates,%</w:t>
        </w:r>
        <w:r>
          <w:rPr>
            <w:color w:val="68942C"/>
            <w:spacing w:val="-2"/>
            <w:sz w:val="18"/>
            <w:u w:val="single" w:color="68942C"/>
          </w:rPr>
          <w:t>2C%20air%20sealing%2C%20and%20ventilation</w:t>
        </w:r>
        <w:r>
          <w:rPr>
            <w:spacing w:val="-2"/>
            <w:sz w:val="18"/>
          </w:rPr>
          <w:t>.</w:t>
        </w:r>
      </w:hyperlink>
    </w:p>
    <w:p w:rsidR="00C31389" w:rsidRDefault="00C31389" w14:paraId="457EF7B8" w14:textId="77777777">
      <w:pPr>
        <w:rPr>
          <w:sz w:val="18"/>
        </w:rPr>
        <w:sectPr w:rsidR="00C31389">
          <w:pgSz w:w="11910" w:h="16840"/>
          <w:pgMar w:top="1380" w:right="1020" w:bottom="1120" w:left="960" w:header="397" w:footer="938" w:gutter="0"/>
          <w:cols w:space="720"/>
        </w:sectPr>
      </w:pPr>
    </w:p>
    <w:p w:rsidR="00C31389" w:rsidRDefault="00C31389" w14:paraId="32F21F4B" w14:textId="77777777">
      <w:pPr>
        <w:pStyle w:val="BodyText"/>
      </w:pPr>
    </w:p>
    <w:p w:rsidR="00C31389" w:rsidRDefault="00C31389" w14:paraId="65049485" w14:textId="77777777">
      <w:pPr>
        <w:pStyle w:val="BodyText"/>
        <w:spacing w:before="1"/>
        <w:rPr>
          <w:sz w:val="14"/>
        </w:rPr>
      </w:pPr>
    </w:p>
    <w:p w:rsidR="00C31389" w:rsidRDefault="00561FBD" w14:paraId="7BC2A34E" w14:textId="77777777">
      <w:pPr>
        <w:pStyle w:val="Heading1"/>
      </w:pPr>
      <w:bookmarkStart w:name="Appendix_A._Calibration" w:id="305"/>
      <w:bookmarkStart w:name="_bookmark228" w:id="306"/>
      <w:bookmarkEnd w:id="305"/>
      <w:bookmarkEnd w:id="306"/>
      <w:r>
        <w:t>Appendix</w:t>
      </w:r>
      <w:r>
        <w:rPr>
          <w:spacing w:val="-4"/>
        </w:rPr>
        <w:t xml:space="preserve"> </w:t>
      </w:r>
      <w:r>
        <w:t>A.</w:t>
      </w:r>
      <w:r>
        <w:rPr>
          <w:spacing w:val="-4"/>
        </w:rPr>
        <w:t xml:space="preserve"> </w:t>
      </w:r>
      <w:r>
        <w:rPr>
          <w:spacing w:val="-2"/>
        </w:rPr>
        <w:t>Calibration</w:t>
      </w:r>
    </w:p>
    <w:p w:rsidR="00C31389" w:rsidRDefault="00561FBD" w14:paraId="74FFE43D" w14:textId="77777777">
      <w:pPr>
        <w:pStyle w:val="ListParagraph"/>
        <w:numPr>
          <w:ilvl w:val="1"/>
          <w:numId w:val="32"/>
        </w:numPr>
        <w:tabs>
          <w:tab w:val="left" w:pos="991"/>
        </w:tabs>
        <w:spacing w:before="241"/>
        <w:ind w:left="991" w:hanging="511"/>
        <w:rPr>
          <w:b/>
          <w:sz w:val="28"/>
        </w:rPr>
      </w:pPr>
      <w:bookmarkStart w:name="A.1_Overview" w:id="307"/>
      <w:bookmarkStart w:name="_bookmark229" w:id="308"/>
      <w:bookmarkEnd w:id="307"/>
      <w:bookmarkEnd w:id="308"/>
      <w:r>
        <w:rPr>
          <w:b/>
          <w:spacing w:val="-2"/>
          <w:sz w:val="28"/>
        </w:rPr>
        <w:t>Overview</w:t>
      </w:r>
    </w:p>
    <w:p w:rsidR="00C31389" w:rsidRDefault="00561FBD" w14:paraId="17E3F093" w14:textId="77777777">
      <w:pPr>
        <w:pStyle w:val="BodyText"/>
        <w:spacing w:before="239"/>
        <w:ind w:left="480" w:right="445"/>
      </w:pPr>
      <w:r>
        <w:t xml:space="preserve">Forecasting is the inherently uncertain process of estimating future outcomes by applying a model to historical and </w:t>
      </w:r>
      <w:r>
        <w:t>current observations. As with all forecasts, the Potential and Goals Model</w:t>
      </w:r>
      <w:r>
        <w:rPr>
          <w:spacing w:val="-1"/>
        </w:rPr>
        <w:t xml:space="preserve"> </w:t>
      </w:r>
      <w:r>
        <w:t>(PG</w:t>
      </w:r>
      <w:r>
        <w:rPr>
          <w:spacing w:val="-1"/>
        </w:rPr>
        <w:t xml:space="preserve"> </w:t>
      </w:r>
      <w:r>
        <w:t>Model)</w:t>
      </w:r>
      <w:r>
        <w:rPr>
          <w:spacing w:val="-1"/>
        </w:rPr>
        <w:t xml:space="preserve"> </w:t>
      </w:r>
      <w:r>
        <w:t>results</w:t>
      </w:r>
      <w:r>
        <w:rPr>
          <w:spacing w:val="-1"/>
        </w:rPr>
        <w:t xml:space="preserve"> </w:t>
      </w:r>
      <w:r>
        <w:t>cannot</w:t>
      </w:r>
      <w:r>
        <w:rPr>
          <w:spacing w:val="-1"/>
        </w:rPr>
        <w:t xml:space="preserve"> </w:t>
      </w:r>
      <w:r>
        <w:t>be</w:t>
      </w:r>
      <w:r>
        <w:rPr>
          <w:spacing w:val="-2"/>
        </w:rPr>
        <w:t xml:space="preserve"> </w:t>
      </w:r>
      <w:r>
        <w:t>empirically</w:t>
      </w:r>
      <w:r>
        <w:rPr>
          <w:spacing w:val="-2"/>
        </w:rPr>
        <w:t xml:space="preserve"> </w:t>
      </w:r>
      <w:r>
        <w:t>validated</w:t>
      </w:r>
      <w:r>
        <w:rPr>
          <w:spacing w:val="-1"/>
        </w:rPr>
        <w:t xml:space="preserve"> </w:t>
      </w:r>
      <w:r>
        <w:t>a</w:t>
      </w:r>
      <w:r>
        <w:rPr>
          <w:spacing w:val="-2"/>
        </w:rPr>
        <w:t xml:space="preserve"> </w:t>
      </w:r>
      <w:r>
        <w:t>priori because</w:t>
      </w:r>
      <w:r>
        <w:rPr>
          <w:spacing w:val="-1"/>
        </w:rPr>
        <w:t xml:space="preserve"> </w:t>
      </w:r>
      <w:r>
        <w:t>there</w:t>
      </w:r>
      <w:r>
        <w:rPr>
          <w:spacing w:val="-1"/>
        </w:rPr>
        <w:t xml:space="preserve"> </w:t>
      </w:r>
      <w:r>
        <w:t>is</w:t>
      </w:r>
      <w:r>
        <w:rPr>
          <w:spacing w:val="-1"/>
        </w:rPr>
        <w:t xml:space="preserve"> </w:t>
      </w:r>
      <w:r>
        <w:t>no</w:t>
      </w:r>
      <w:r>
        <w:rPr>
          <w:spacing w:val="-1"/>
        </w:rPr>
        <w:t xml:space="preserve"> </w:t>
      </w:r>
      <w:r>
        <w:t>future basis against which one can compare simulated versus actual results. Despite the fact that all</w:t>
      </w:r>
      <w:r>
        <w:rPr>
          <w:spacing w:val="-3"/>
        </w:rPr>
        <w:t xml:space="preserve"> </w:t>
      </w:r>
      <w:r>
        <w:t>future</w:t>
      </w:r>
      <w:r>
        <w:rPr>
          <w:spacing w:val="-3"/>
        </w:rPr>
        <w:t xml:space="preserve"> </w:t>
      </w:r>
      <w:r>
        <w:t>estimates</w:t>
      </w:r>
      <w:r>
        <w:rPr>
          <w:spacing w:val="-3"/>
        </w:rPr>
        <w:t xml:space="preserve"> </w:t>
      </w:r>
      <w:r>
        <w:t>are</w:t>
      </w:r>
      <w:r>
        <w:rPr>
          <w:spacing w:val="-3"/>
        </w:rPr>
        <w:t xml:space="preserve"> </w:t>
      </w:r>
      <w:r>
        <w:t>untestable</w:t>
      </w:r>
      <w:r>
        <w:rPr>
          <w:spacing w:val="-3"/>
        </w:rPr>
        <w:t xml:space="preserve"> </w:t>
      </w:r>
      <w:r>
        <w:t>at</w:t>
      </w:r>
      <w:r>
        <w:rPr>
          <w:spacing w:val="-4"/>
        </w:rPr>
        <w:t xml:space="preserve"> </w:t>
      </w:r>
      <w:r>
        <w:t>the</w:t>
      </w:r>
      <w:r>
        <w:rPr>
          <w:spacing w:val="-3"/>
        </w:rPr>
        <w:t xml:space="preserve"> </w:t>
      </w:r>
      <w:r>
        <w:t>time</w:t>
      </w:r>
      <w:r>
        <w:rPr>
          <w:spacing w:val="-3"/>
        </w:rPr>
        <w:t xml:space="preserve"> </w:t>
      </w:r>
      <w:r>
        <w:t>they</w:t>
      </w:r>
      <w:r>
        <w:rPr>
          <w:spacing w:val="-3"/>
        </w:rPr>
        <w:t xml:space="preserve"> </w:t>
      </w:r>
      <w:r>
        <w:t>are</w:t>
      </w:r>
      <w:r>
        <w:rPr>
          <w:spacing w:val="-3"/>
        </w:rPr>
        <w:t xml:space="preserve"> </w:t>
      </w:r>
      <w:r>
        <w:t>developed,</w:t>
      </w:r>
      <w:r>
        <w:rPr>
          <w:spacing w:val="-2"/>
        </w:rPr>
        <w:t xml:space="preserve"> </w:t>
      </w:r>
      <w:r>
        <w:t>forecasts</w:t>
      </w:r>
      <w:r>
        <w:rPr>
          <w:spacing w:val="-3"/>
        </w:rPr>
        <w:t xml:space="preserve"> </w:t>
      </w:r>
      <w:r>
        <w:t>can</w:t>
      </w:r>
      <w:r>
        <w:rPr>
          <w:spacing w:val="-3"/>
        </w:rPr>
        <w:t xml:space="preserve"> </w:t>
      </w:r>
      <w:r>
        <w:t>still</w:t>
      </w:r>
      <w:r>
        <w:rPr>
          <w:spacing w:val="-3"/>
        </w:rPr>
        <w:t xml:space="preserve"> </w:t>
      </w:r>
      <w:r>
        <w:t>warrant confidence when historical observations can be shown to reliably correspond with generally accepted theory and models.</w:t>
      </w:r>
    </w:p>
    <w:p w:rsidR="00C31389" w:rsidRDefault="00C31389" w14:paraId="1E90E6FC" w14:textId="77777777">
      <w:pPr>
        <w:pStyle w:val="BodyText"/>
        <w:spacing w:before="11"/>
        <w:rPr>
          <w:sz w:val="20"/>
        </w:rPr>
      </w:pPr>
    </w:p>
    <w:p w:rsidR="00C31389" w:rsidRDefault="00561FBD" w14:paraId="37FA1223" w14:textId="77777777">
      <w:pPr>
        <w:pStyle w:val="BodyText"/>
        <w:ind w:left="480" w:right="418"/>
      </w:pPr>
      <w:r>
        <w:t xml:space="preserve">Calibration refers to the standard process </w:t>
      </w:r>
      <w:r>
        <w:t>of adjusting model parameters such that model results</w:t>
      </w:r>
      <w:r>
        <w:rPr>
          <w:spacing w:val="-3"/>
        </w:rPr>
        <w:t xml:space="preserve"> </w:t>
      </w:r>
      <w:r>
        <w:t>align</w:t>
      </w:r>
      <w:r>
        <w:rPr>
          <w:spacing w:val="-4"/>
        </w:rPr>
        <w:t xml:space="preserve"> </w:t>
      </w:r>
      <w:r>
        <w:t>with</w:t>
      </w:r>
      <w:r>
        <w:rPr>
          <w:spacing w:val="-3"/>
        </w:rPr>
        <w:t xml:space="preserve"> </w:t>
      </w:r>
      <w:r>
        <w:t>observed</w:t>
      </w:r>
      <w:r>
        <w:rPr>
          <w:spacing w:val="-3"/>
        </w:rPr>
        <w:t xml:space="preserve"> </w:t>
      </w:r>
      <w:r>
        <w:t>data.</w:t>
      </w:r>
      <w:r>
        <w:rPr>
          <w:spacing w:val="-3"/>
        </w:rPr>
        <w:t xml:space="preserve"> </w:t>
      </w:r>
      <w:r>
        <w:t>Calibration</w:t>
      </w:r>
      <w:r>
        <w:rPr>
          <w:spacing w:val="-3"/>
        </w:rPr>
        <w:t xml:space="preserve"> </w:t>
      </w:r>
      <w:r>
        <w:t>provides</w:t>
      </w:r>
      <w:r>
        <w:rPr>
          <w:spacing w:val="-2"/>
        </w:rPr>
        <w:t xml:space="preserve"> </w:t>
      </w:r>
      <w:r>
        <w:t>the</w:t>
      </w:r>
      <w:r>
        <w:rPr>
          <w:spacing w:val="-3"/>
        </w:rPr>
        <w:t xml:space="preserve"> </w:t>
      </w:r>
      <w:r>
        <w:t>forecaster</w:t>
      </w:r>
      <w:r>
        <w:rPr>
          <w:spacing w:val="-3"/>
        </w:rPr>
        <w:t xml:space="preserve"> </w:t>
      </w:r>
      <w:r>
        <w:t>and</w:t>
      </w:r>
      <w:r>
        <w:rPr>
          <w:spacing w:val="-3"/>
        </w:rPr>
        <w:t xml:space="preserve"> </w:t>
      </w:r>
      <w:r>
        <w:t>stakeholders</w:t>
      </w:r>
      <w:r>
        <w:rPr>
          <w:spacing w:val="-4"/>
        </w:rPr>
        <w:t xml:space="preserve"> </w:t>
      </w:r>
      <w:r>
        <w:t>with</w:t>
      </w:r>
      <w:r>
        <w:rPr>
          <w:spacing w:val="-3"/>
        </w:rPr>
        <w:t xml:space="preserve"> </w:t>
      </w:r>
      <w:r>
        <w:t xml:space="preserve">a degree of confidence that simulated results are reasonable and reliable. Calibration is intended to achieve </w:t>
      </w:r>
      <w:r>
        <w:t>three main purposes:</w:t>
      </w:r>
    </w:p>
    <w:p w:rsidR="00C31389" w:rsidRDefault="00561FBD" w14:paraId="0F969239" w14:textId="77777777">
      <w:pPr>
        <w:pStyle w:val="ListParagraph"/>
        <w:numPr>
          <w:ilvl w:val="2"/>
          <w:numId w:val="32"/>
        </w:numPr>
        <w:tabs>
          <w:tab w:val="left" w:pos="1200"/>
        </w:tabs>
        <w:spacing w:before="119"/>
        <w:ind w:right="530"/>
      </w:pPr>
      <w:r>
        <w:t>Anchor</w:t>
      </w:r>
      <w:r>
        <w:rPr>
          <w:spacing w:val="-3"/>
        </w:rPr>
        <w:t xml:space="preserve"> </w:t>
      </w:r>
      <w:r>
        <w:t>the</w:t>
      </w:r>
      <w:r>
        <w:rPr>
          <w:spacing w:val="-3"/>
        </w:rPr>
        <w:t xml:space="preserve"> </w:t>
      </w:r>
      <w:r>
        <w:t>model</w:t>
      </w:r>
      <w:r>
        <w:rPr>
          <w:spacing w:val="-3"/>
        </w:rPr>
        <w:t xml:space="preserve"> </w:t>
      </w:r>
      <w:r>
        <w:t>in</w:t>
      </w:r>
      <w:r>
        <w:rPr>
          <w:spacing w:val="-3"/>
        </w:rPr>
        <w:t xml:space="preserve"> </w:t>
      </w:r>
      <w:r>
        <w:t>actual</w:t>
      </w:r>
      <w:r>
        <w:rPr>
          <w:spacing w:val="-3"/>
        </w:rPr>
        <w:t xml:space="preserve"> </w:t>
      </w:r>
      <w:r>
        <w:t>market</w:t>
      </w:r>
      <w:r>
        <w:rPr>
          <w:spacing w:val="-3"/>
        </w:rPr>
        <w:t xml:space="preserve"> </w:t>
      </w:r>
      <w:r>
        <w:t>conditions</w:t>
      </w:r>
      <w:r>
        <w:rPr>
          <w:spacing w:val="-3"/>
        </w:rPr>
        <w:t xml:space="preserve"> </w:t>
      </w:r>
      <w:r>
        <w:t>and</w:t>
      </w:r>
      <w:r>
        <w:rPr>
          <w:spacing w:val="-3"/>
        </w:rPr>
        <w:t xml:space="preserve"> </w:t>
      </w:r>
      <w:r>
        <w:t>ensure</w:t>
      </w:r>
      <w:r>
        <w:rPr>
          <w:spacing w:val="-2"/>
        </w:rPr>
        <w:t xml:space="preserve"> </w:t>
      </w:r>
      <w:r>
        <w:t>the</w:t>
      </w:r>
      <w:r>
        <w:rPr>
          <w:spacing w:val="-4"/>
        </w:rPr>
        <w:t xml:space="preserve"> </w:t>
      </w:r>
      <w:r>
        <w:t>bottom-up</w:t>
      </w:r>
      <w:r>
        <w:rPr>
          <w:spacing w:val="-3"/>
        </w:rPr>
        <w:t xml:space="preserve"> </w:t>
      </w:r>
      <w:r>
        <w:t>approach</w:t>
      </w:r>
      <w:r>
        <w:rPr>
          <w:spacing w:val="-3"/>
        </w:rPr>
        <w:t xml:space="preserve"> </w:t>
      </w:r>
      <w:r>
        <w:t>to calculating potential can replicate previous market conditions.</w:t>
      </w:r>
    </w:p>
    <w:p w:rsidR="00C31389" w:rsidRDefault="00561FBD" w14:paraId="1E744F74" w14:textId="77777777">
      <w:pPr>
        <w:pStyle w:val="ListParagraph"/>
        <w:numPr>
          <w:ilvl w:val="2"/>
          <w:numId w:val="32"/>
        </w:numPr>
        <w:tabs>
          <w:tab w:val="left" w:pos="1200"/>
        </w:tabs>
        <w:spacing w:before="118"/>
      </w:pPr>
      <w:r>
        <w:t>Establish</w:t>
      </w:r>
      <w:r>
        <w:rPr>
          <w:spacing w:val="-7"/>
        </w:rPr>
        <w:t xml:space="preserve"> </w:t>
      </w:r>
      <w:r>
        <w:t>a</w:t>
      </w:r>
      <w:r>
        <w:rPr>
          <w:spacing w:val="-7"/>
        </w:rPr>
        <w:t xml:space="preserve"> </w:t>
      </w:r>
      <w:r>
        <w:t>realistic</w:t>
      </w:r>
      <w:r>
        <w:rPr>
          <w:spacing w:val="-7"/>
        </w:rPr>
        <w:t xml:space="preserve"> </w:t>
      </w:r>
      <w:r>
        <w:t>starting</w:t>
      </w:r>
      <w:r>
        <w:rPr>
          <w:spacing w:val="-6"/>
        </w:rPr>
        <w:t xml:space="preserve"> </w:t>
      </w:r>
      <w:r>
        <w:t>point</w:t>
      </w:r>
      <w:r>
        <w:rPr>
          <w:spacing w:val="-7"/>
        </w:rPr>
        <w:t xml:space="preserve"> </w:t>
      </w:r>
      <w:r>
        <w:t>from</w:t>
      </w:r>
      <w:r>
        <w:rPr>
          <w:spacing w:val="-8"/>
        </w:rPr>
        <w:t xml:space="preserve"> </w:t>
      </w:r>
      <w:r>
        <w:t>which</w:t>
      </w:r>
      <w:r>
        <w:rPr>
          <w:spacing w:val="-6"/>
        </w:rPr>
        <w:t xml:space="preserve"> </w:t>
      </w:r>
      <w:r>
        <w:t>future</w:t>
      </w:r>
      <w:r>
        <w:rPr>
          <w:spacing w:val="-7"/>
        </w:rPr>
        <w:t xml:space="preserve"> </w:t>
      </w:r>
      <w:r>
        <w:t>projections</w:t>
      </w:r>
      <w:r>
        <w:rPr>
          <w:spacing w:val="-6"/>
        </w:rPr>
        <w:t xml:space="preserve"> </w:t>
      </w:r>
      <w:r>
        <w:t>are</w:t>
      </w:r>
      <w:r>
        <w:rPr>
          <w:spacing w:val="-7"/>
        </w:rPr>
        <w:t xml:space="preserve"> </w:t>
      </w:r>
      <w:r>
        <w:rPr>
          <w:spacing w:val="-2"/>
        </w:rPr>
        <w:t>made.</w:t>
      </w:r>
    </w:p>
    <w:p w:rsidR="00C31389" w:rsidRDefault="00561FBD" w14:paraId="6F18D833" w14:textId="77777777">
      <w:pPr>
        <w:pStyle w:val="ListParagraph"/>
        <w:numPr>
          <w:ilvl w:val="2"/>
          <w:numId w:val="32"/>
        </w:numPr>
        <w:tabs>
          <w:tab w:val="left" w:pos="1200"/>
        </w:tabs>
        <w:spacing w:before="120"/>
        <w:ind w:right="556"/>
      </w:pPr>
      <w:r>
        <w:t>Account</w:t>
      </w:r>
      <w:r>
        <w:rPr>
          <w:spacing w:val="-3"/>
        </w:rPr>
        <w:t xml:space="preserve"> </w:t>
      </w:r>
      <w:r>
        <w:t>for</w:t>
      </w:r>
      <w:r>
        <w:rPr>
          <w:spacing w:val="-5"/>
        </w:rPr>
        <w:t xml:space="preserve"> </w:t>
      </w:r>
      <w:r>
        <w:t>varying</w:t>
      </w:r>
      <w:r>
        <w:rPr>
          <w:spacing w:val="-3"/>
        </w:rPr>
        <w:t xml:space="preserve"> </w:t>
      </w:r>
      <w:r>
        <w:t>levels</w:t>
      </w:r>
      <w:r>
        <w:rPr>
          <w:spacing w:val="-3"/>
        </w:rPr>
        <w:t xml:space="preserve"> </w:t>
      </w:r>
      <w:r>
        <w:t>of</w:t>
      </w:r>
      <w:r>
        <w:rPr>
          <w:spacing w:val="-3"/>
        </w:rPr>
        <w:t xml:space="preserve"> </w:t>
      </w:r>
      <w:r>
        <w:t>market</w:t>
      </w:r>
      <w:r>
        <w:rPr>
          <w:spacing w:val="-3"/>
        </w:rPr>
        <w:t xml:space="preserve"> </w:t>
      </w:r>
      <w:r>
        <w:t>barriers</w:t>
      </w:r>
      <w:r>
        <w:rPr>
          <w:spacing w:val="-3"/>
        </w:rPr>
        <w:t xml:space="preserve"> </w:t>
      </w:r>
      <w:r>
        <w:t>and</w:t>
      </w:r>
      <w:r>
        <w:rPr>
          <w:spacing w:val="-4"/>
        </w:rPr>
        <w:t xml:space="preserve"> </w:t>
      </w:r>
      <w:r>
        <w:t>influences</w:t>
      </w:r>
      <w:r>
        <w:rPr>
          <w:spacing w:val="-4"/>
        </w:rPr>
        <w:t xml:space="preserve"> </w:t>
      </w:r>
      <w:r>
        <w:t>across</w:t>
      </w:r>
      <w:r>
        <w:rPr>
          <w:spacing w:val="-3"/>
        </w:rPr>
        <w:t xml:space="preserve"> </w:t>
      </w:r>
      <w:r>
        <w:t>different</w:t>
      </w:r>
      <w:r>
        <w:rPr>
          <w:spacing w:val="-3"/>
        </w:rPr>
        <w:t xml:space="preserve"> </w:t>
      </w:r>
      <w:r>
        <w:t>types</w:t>
      </w:r>
      <w:r>
        <w:rPr>
          <w:spacing w:val="-3"/>
        </w:rPr>
        <w:t xml:space="preserve"> </w:t>
      </w:r>
      <w:r>
        <w:t xml:space="preserve">of </w:t>
      </w:r>
      <w:r>
        <w:rPr>
          <w:spacing w:val="-2"/>
        </w:rPr>
        <w:t>technologies.</w:t>
      </w:r>
    </w:p>
    <w:p w:rsidR="00C31389" w:rsidRDefault="00C31389" w14:paraId="272B0C2C" w14:textId="77777777">
      <w:pPr>
        <w:pStyle w:val="BodyText"/>
        <w:spacing w:before="7"/>
        <w:rPr>
          <w:sz w:val="20"/>
        </w:rPr>
      </w:pPr>
    </w:p>
    <w:p w:rsidR="00C31389" w:rsidRDefault="00561FBD" w14:paraId="397EC056" w14:textId="77777777">
      <w:pPr>
        <w:pStyle w:val="BodyText"/>
        <w:ind w:left="480" w:right="418" w:hanging="1"/>
      </w:pPr>
      <w:r>
        <w:t>The PG Model applies general market and consumer parameters to forecast technology adoption.</w:t>
      </w:r>
      <w:r>
        <w:rPr>
          <w:spacing w:val="-3"/>
        </w:rPr>
        <w:t xml:space="preserve"> </w:t>
      </w:r>
      <w:r>
        <w:t>There</w:t>
      </w:r>
      <w:r>
        <w:rPr>
          <w:spacing w:val="-3"/>
        </w:rPr>
        <w:t xml:space="preserve"> </w:t>
      </w:r>
      <w:r>
        <w:t>are</w:t>
      </w:r>
      <w:r>
        <w:rPr>
          <w:spacing w:val="-3"/>
        </w:rPr>
        <w:t xml:space="preserve"> </w:t>
      </w:r>
      <w:r>
        <w:t>often</w:t>
      </w:r>
      <w:r>
        <w:rPr>
          <w:spacing w:val="-3"/>
        </w:rPr>
        <w:t xml:space="preserve"> </w:t>
      </w:r>
      <w:r>
        <w:t>reasons</w:t>
      </w:r>
      <w:r>
        <w:rPr>
          <w:spacing w:val="-3"/>
        </w:rPr>
        <w:t xml:space="preserve"> </w:t>
      </w:r>
      <w:r>
        <w:t>why</w:t>
      </w:r>
      <w:r>
        <w:rPr>
          <w:spacing w:val="-3"/>
        </w:rPr>
        <w:t xml:space="preserve"> </w:t>
      </w:r>
      <w:r>
        <w:t>markets</w:t>
      </w:r>
      <w:r>
        <w:rPr>
          <w:spacing w:val="-3"/>
        </w:rPr>
        <w:t xml:space="preserve"> </w:t>
      </w:r>
      <w:r>
        <w:t>for</w:t>
      </w:r>
      <w:r>
        <w:rPr>
          <w:spacing w:val="-3"/>
        </w:rPr>
        <w:t xml:space="preserve"> </w:t>
      </w:r>
      <w:r>
        <w:t>certain</w:t>
      </w:r>
      <w:r>
        <w:rPr>
          <w:spacing w:val="-3"/>
        </w:rPr>
        <w:t xml:space="preserve"> </w:t>
      </w:r>
      <w:r>
        <w:t>end</w:t>
      </w:r>
      <w:r>
        <w:rPr>
          <w:spacing w:val="-3"/>
        </w:rPr>
        <w:t xml:space="preserve"> </w:t>
      </w:r>
      <w:r>
        <w:t>uses</w:t>
      </w:r>
      <w:r>
        <w:rPr>
          <w:spacing w:val="-3"/>
        </w:rPr>
        <w:t xml:space="preserve"> </w:t>
      </w:r>
      <w:r>
        <w:t>or</w:t>
      </w:r>
      <w:r>
        <w:rPr>
          <w:spacing w:val="-3"/>
        </w:rPr>
        <w:t xml:space="preserve"> </w:t>
      </w:r>
      <w:r>
        <w:t>technologies</w:t>
      </w:r>
      <w:r>
        <w:rPr>
          <w:spacing w:val="-5"/>
        </w:rPr>
        <w:t xml:space="preserve"> </w:t>
      </w:r>
      <w:r>
        <w:t>behave differently than the norm—both higher and lower. Calibration offers a mechanism for using historical observations to account for these differences.</w:t>
      </w:r>
    </w:p>
    <w:p w:rsidR="00C31389" w:rsidRDefault="00C31389" w14:paraId="4EA5809A" w14:textId="77777777">
      <w:pPr>
        <w:pStyle w:val="BodyText"/>
        <w:spacing w:before="11"/>
        <w:rPr>
          <w:sz w:val="20"/>
        </w:rPr>
      </w:pPr>
    </w:p>
    <w:p w:rsidR="00C31389" w:rsidRDefault="00561FBD" w14:paraId="3E437A39" w14:textId="77777777">
      <w:pPr>
        <w:pStyle w:val="BodyText"/>
        <w:ind w:left="480" w:right="481"/>
      </w:pPr>
      <w:r>
        <w:t>The calibration process is not a regression of savings or spending (not drawing a futur</w:t>
      </w:r>
      <w:r>
        <w:t>e trend</w:t>
      </w:r>
      <w:r>
        <w:rPr>
          <w:spacing w:val="-3"/>
        </w:rPr>
        <w:t xml:space="preserve"> </w:t>
      </w:r>
      <w:r>
        <w:t>line</w:t>
      </w:r>
      <w:r>
        <w:rPr>
          <w:spacing w:val="-3"/>
        </w:rPr>
        <w:t xml:space="preserve"> </w:t>
      </w:r>
      <w:r>
        <w:t>of</w:t>
      </w:r>
      <w:r>
        <w:rPr>
          <w:spacing w:val="-4"/>
        </w:rPr>
        <w:t xml:space="preserve"> </w:t>
      </w:r>
      <w:r>
        <w:t>savings</w:t>
      </w:r>
      <w:r>
        <w:rPr>
          <w:spacing w:val="-4"/>
        </w:rPr>
        <w:t xml:space="preserve"> </w:t>
      </w:r>
      <w:r>
        <w:t>based</w:t>
      </w:r>
      <w:r>
        <w:rPr>
          <w:spacing w:val="-3"/>
        </w:rPr>
        <w:t xml:space="preserve"> </w:t>
      </w:r>
      <w:r>
        <w:t>on</w:t>
      </w:r>
      <w:r>
        <w:rPr>
          <w:spacing w:val="-3"/>
        </w:rPr>
        <w:t xml:space="preserve"> </w:t>
      </w:r>
      <w:r>
        <w:t>past</w:t>
      </w:r>
      <w:r>
        <w:rPr>
          <w:spacing w:val="-3"/>
        </w:rPr>
        <w:t xml:space="preserve"> </w:t>
      </w:r>
      <w:r>
        <w:t>program</w:t>
      </w:r>
      <w:r>
        <w:rPr>
          <w:spacing w:val="-4"/>
        </w:rPr>
        <w:t xml:space="preserve"> </w:t>
      </w:r>
      <w:r>
        <w:t>accomplishments).</w:t>
      </w:r>
      <w:r>
        <w:rPr>
          <w:spacing w:val="-3"/>
        </w:rPr>
        <w:t xml:space="preserve"> </w:t>
      </w:r>
      <w:r>
        <w:t>Rather,</w:t>
      </w:r>
      <w:r>
        <w:rPr>
          <w:spacing w:val="-3"/>
        </w:rPr>
        <w:t xml:space="preserve"> </w:t>
      </w:r>
      <w:r>
        <w:t>calibration</w:t>
      </w:r>
      <w:r>
        <w:rPr>
          <w:spacing w:val="-3"/>
        </w:rPr>
        <w:t xml:space="preserve"> </w:t>
      </w:r>
      <w:r>
        <w:t>develops parameters that describe the customer decision-making process and the velocity of the market based on recent history. Once these parameters are set, the model uses</w:t>
      </w:r>
      <w:r>
        <w:t xml:space="preserve"> them as a starting point for the forecast period.</w:t>
      </w:r>
    </w:p>
    <w:p w:rsidR="00C31389" w:rsidRDefault="00C31389" w14:paraId="3DB4B439" w14:textId="77777777">
      <w:pPr>
        <w:pStyle w:val="BodyText"/>
        <w:spacing w:before="10"/>
        <w:rPr>
          <w:sz w:val="20"/>
        </w:rPr>
      </w:pPr>
    </w:p>
    <w:p w:rsidR="00C31389" w:rsidRDefault="00561FBD" w14:paraId="5872CE8A" w14:textId="77777777">
      <w:pPr>
        <w:pStyle w:val="BodyText"/>
        <w:ind w:left="480" w:right="178"/>
      </w:pPr>
      <w:r>
        <w:t>The</w:t>
      </w:r>
      <w:r>
        <w:rPr>
          <w:spacing w:val="-3"/>
        </w:rPr>
        <w:t xml:space="preserve"> </w:t>
      </w:r>
      <w:r>
        <w:t>Guidehouse</w:t>
      </w:r>
      <w:r>
        <w:rPr>
          <w:spacing w:val="-3"/>
        </w:rPr>
        <w:t xml:space="preserve"> </w:t>
      </w:r>
      <w:r>
        <w:t>team</w:t>
      </w:r>
      <w:r>
        <w:rPr>
          <w:spacing w:val="-4"/>
        </w:rPr>
        <w:t xml:space="preserve"> </w:t>
      </w:r>
      <w:r>
        <w:t>calibrated</w:t>
      </w:r>
      <w:r>
        <w:rPr>
          <w:spacing w:val="-3"/>
        </w:rPr>
        <w:t xml:space="preserve"> </w:t>
      </w:r>
      <w:r>
        <w:t>the</w:t>
      </w:r>
      <w:r>
        <w:rPr>
          <w:spacing w:val="-4"/>
        </w:rPr>
        <w:t xml:space="preserve"> </w:t>
      </w:r>
      <w:r>
        <w:t>PG</w:t>
      </w:r>
      <w:r>
        <w:rPr>
          <w:spacing w:val="-4"/>
        </w:rPr>
        <w:t xml:space="preserve"> </w:t>
      </w:r>
      <w:r>
        <w:t>Model</w:t>
      </w:r>
      <w:r>
        <w:rPr>
          <w:spacing w:val="-3"/>
        </w:rPr>
        <w:t xml:space="preserve"> </w:t>
      </w:r>
      <w:r>
        <w:t>based</w:t>
      </w:r>
      <w:r>
        <w:rPr>
          <w:spacing w:val="-3"/>
        </w:rPr>
        <w:t xml:space="preserve"> </w:t>
      </w:r>
      <w:r>
        <w:t>on</w:t>
      </w:r>
      <w:r>
        <w:rPr>
          <w:spacing w:val="-3"/>
        </w:rPr>
        <w:t xml:space="preserve"> </w:t>
      </w:r>
      <w:r>
        <w:t>historical</w:t>
      </w:r>
      <w:r>
        <w:rPr>
          <w:spacing w:val="-3"/>
        </w:rPr>
        <w:t xml:space="preserve"> </w:t>
      </w:r>
      <w:r>
        <w:t>program</w:t>
      </w:r>
      <w:r>
        <w:rPr>
          <w:spacing w:val="-4"/>
        </w:rPr>
        <w:t xml:space="preserve"> </w:t>
      </w:r>
      <w:r>
        <w:t>and</w:t>
      </w:r>
      <w:r>
        <w:rPr>
          <w:spacing w:val="-3"/>
        </w:rPr>
        <w:t xml:space="preserve"> </w:t>
      </w:r>
      <w:r>
        <w:t>market</w:t>
      </w:r>
      <w:r>
        <w:rPr>
          <w:spacing w:val="-3"/>
        </w:rPr>
        <w:t xml:space="preserve"> </w:t>
      </w:r>
      <w:r>
        <w:t>data from 2018 through 2021 for EE measures, and Q1 – Q2 2022 data for fuel substitution (FS) measures.</w:t>
      </w:r>
      <w:r>
        <w:rPr>
          <w:spacing w:val="-1"/>
        </w:rPr>
        <w:t xml:space="preserve"> </w:t>
      </w:r>
      <w:r>
        <w:t>Program</w:t>
      </w:r>
      <w:r>
        <w:rPr>
          <w:spacing w:val="-2"/>
        </w:rPr>
        <w:t xml:space="preserve"> </w:t>
      </w:r>
      <w:r>
        <w:t>accomplis</w:t>
      </w:r>
      <w:r>
        <w:t>hments</w:t>
      </w:r>
      <w:r>
        <w:rPr>
          <w:spacing w:val="-1"/>
        </w:rPr>
        <w:t xml:space="preserve"> </w:t>
      </w:r>
      <w:r>
        <w:t>prior</w:t>
      </w:r>
      <w:r>
        <w:rPr>
          <w:spacing w:val="-1"/>
        </w:rPr>
        <w:t xml:space="preserve"> </w:t>
      </w:r>
      <w:r>
        <w:t>to</w:t>
      </w:r>
      <w:r>
        <w:rPr>
          <w:spacing w:val="-1"/>
        </w:rPr>
        <w:t xml:space="preserve"> </w:t>
      </w:r>
      <w:r>
        <w:t>2018</w:t>
      </w:r>
      <w:r>
        <w:rPr>
          <w:spacing w:val="-1"/>
        </w:rPr>
        <w:t xml:space="preserve"> </w:t>
      </w:r>
      <w:r>
        <w:t>were</w:t>
      </w:r>
      <w:r>
        <w:rPr>
          <w:spacing w:val="-1"/>
        </w:rPr>
        <w:t xml:space="preserve"> </w:t>
      </w:r>
      <w:r>
        <w:t>judged</w:t>
      </w:r>
      <w:r>
        <w:rPr>
          <w:spacing w:val="-1"/>
        </w:rPr>
        <w:t xml:space="preserve"> </w:t>
      </w:r>
      <w:r>
        <w:t>by</w:t>
      </w:r>
      <w:r>
        <w:rPr>
          <w:spacing w:val="-1"/>
        </w:rPr>
        <w:t xml:space="preserve"> </w:t>
      </w:r>
      <w:r>
        <w:t>the</w:t>
      </w:r>
      <w:r>
        <w:rPr>
          <w:spacing w:val="-2"/>
        </w:rPr>
        <w:t xml:space="preserve"> </w:t>
      </w:r>
      <w:r>
        <w:t>Guidehouse</w:t>
      </w:r>
      <w:r>
        <w:rPr>
          <w:spacing w:val="-1"/>
        </w:rPr>
        <w:t xml:space="preserve"> </w:t>
      </w:r>
      <w:r>
        <w:t>team</w:t>
      </w:r>
      <w:r>
        <w:rPr>
          <w:spacing w:val="-2"/>
        </w:rPr>
        <w:t xml:space="preserve"> </w:t>
      </w:r>
      <w:r>
        <w:t>as too different in terms of the measures offered by programs and the baselines set by code or policy.</w:t>
      </w:r>
      <w:r>
        <w:rPr>
          <w:spacing w:val="-2"/>
        </w:rPr>
        <w:t xml:space="preserve"> </w:t>
      </w:r>
      <w:r>
        <w:t>Due</w:t>
      </w:r>
      <w:r>
        <w:rPr>
          <w:spacing w:val="-2"/>
        </w:rPr>
        <w:t xml:space="preserve"> </w:t>
      </w:r>
      <w:r>
        <w:t>to</w:t>
      </w:r>
      <w:r>
        <w:rPr>
          <w:spacing w:val="-2"/>
        </w:rPr>
        <w:t xml:space="preserve"> </w:t>
      </w:r>
      <w:r>
        <w:t>the</w:t>
      </w:r>
      <w:r>
        <w:rPr>
          <w:spacing w:val="-2"/>
        </w:rPr>
        <w:t xml:space="preserve"> </w:t>
      </w:r>
      <w:r>
        <w:t>recency</w:t>
      </w:r>
      <w:r>
        <w:rPr>
          <w:spacing w:val="-1"/>
        </w:rPr>
        <w:t xml:space="preserve"> </w:t>
      </w:r>
      <w:r>
        <w:t>of</w:t>
      </w:r>
      <w:r>
        <w:rPr>
          <w:spacing w:val="-2"/>
        </w:rPr>
        <w:t xml:space="preserve"> </w:t>
      </w:r>
      <w:r>
        <w:t>rebated</w:t>
      </w:r>
      <w:r>
        <w:rPr>
          <w:spacing w:val="-3"/>
        </w:rPr>
        <w:t xml:space="preserve"> </w:t>
      </w:r>
      <w:r>
        <w:t>FS</w:t>
      </w:r>
      <w:r>
        <w:rPr>
          <w:spacing w:val="-2"/>
        </w:rPr>
        <w:t xml:space="preserve"> </w:t>
      </w:r>
      <w:r>
        <w:t>parameters,</w:t>
      </w:r>
      <w:r>
        <w:rPr>
          <w:spacing w:val="-2"/>
        </w:rPr>
        <w:t xml:space="preserve"> </w:t>
      </w:r>
      <w:r>
        <w:t>no</w:t>
      </w:r>
      <w:r>
        <w:rPr>
          <w:spacing w:val="-2"/>
        </w:rPr>
        <w:t xml:space="preserve"> </w:t>
      </w:r>
      <w:r>
        <w:t>reliable</w:t>
      </w:r>
      <w:r>
        <w:rPr>
          <w:spacing w:val="-2"/>
        </w:rPr>
        <w:t xml:space="preserve"> </w:t>
      </w:r>
      <w:r>
        <w:t>data</w:t>
      </w:r>
      <w:r>
        <w:rPr>
          <w:spacing w:val="-2"/>
        </w:rPr>
        <w:t xml:space="preserve"> </w:t>
      </w:r>
      <w:r>
        <w:t>on</w:t>
      </w:r>
      <w:r>
        <w:rPr>
          <w:spacing w:val="-3"/>
        </w:rPr>
        <w:t xml:space="preserve"> </w:t>
      </w:r>
      <w:r>
        <w:t>FS</w:t>
      </w:r>
      <w:r>
        <w:rPr>
          <w:spacing w:val="-2"/>
        </w:rPr>
        <w:t xml:space="preserve"> </w:t>
      </w:r>
      <w:r>
        <w:t>adoption</w:t>
      </w:r>
      <w:r>
        <w:rPr>
          <w:spacing w:val="-2"/>
        </w:rPr>
        <w:t xml:space="preserve"> </w:t>
      </w:r>
      <w:r>
        <w:t>prior</w:t>
      </w:r>
      <w:r>
        <w:rPr>
          <w:spacing w:val="-2"/>
        </w:rPr>
        <w:t xml:space="preserve"> </w:t>
      </w:r>
      <w:r>
        <w:t xml:space="preserve">to 2022 was </w:t>
      </w:r>
      <w:r>
        <w:t>available. For the calibration, any new measures or programmatic aspects not applicable in the historical years were removed from the analysis to optimize the PG Model compatibility to the historical period.</w:t>
      </w:r>
    </w:p>
    <w:p w:rsidR="00C31389" w:rsidRDefault="00C31389" w14:paraId="476A6A2F" w14:textId="77777777">
      <w:pPr>
        <w:pStyle w:val="BodyText"/>
        <w:spacing w:before="9"/>
        <w:rPr>
          <w:sz w:val="20"/>
        </w:rPr>
      </w:pPr>
    </w:p>
    <w:p w:rsidR="00C31389" w:rsidRDefault="00561FBD" w14:paraId="5878760C" w14:textId="77777777">
      <w:pPr>
        <w:pStyle w:val="ListParagraph"/>
        <w:numPr>
          <w:ilvl w:val="1"/>
          <w:numId w:val="32"/>
        </w:numPr>
        <w:tabs>
          <w:tab w:val="left" w:pos="991"/>
        </w:tabs>
        <w:ind w:left="991" w:hanging="511"/>
        <w:rPr>
          <w:b/>
          <w:sz w:val="28"/>
        </w:rPr>
      </w:pPr>
      <w:bookmarkStart w:name="A.2_Necessity_of_Calibration" w:id="309"/>
      <w:bookmarkStart w:name="_bookmark230" w:id="310"/>
      <w:bookmarkEnd w:id="309"/>
      <w:bookmarkEnd w:id="310"/>
      <w:r>
        <w:rPr>
          <w:b/>
          <w:sz w:val="28"/>
        </w:rPr>
        <w:t>Necessity</w:t>
      </w:r>
      <w:r>
        <w:rPr>
          <w:b/>
          <w:spacing w:val="-10"/>
          <w:sz w:val="28"/>
        </w:rPr>
        <w:t xml:space="preserve"> </w:t>
      </w:r>
      <w:r>
        <w:rPr>
          <w:b/>
          <w:sz w:val="28"/>
        </w:rPr>
        <w:t>of</w:t>
      </w:r>
      <w:r>
        <w:rPr>
          <w:b/>
          <w:spacing w:val="-9"/>
          <w:sz w:val="28"/>
        </w:rPr>
        <w:t xml:space="preserve"> </w:t>
      </w:r>
      <w:r>
        <w:rPr>
          <w:b/>
          <w:spacing w:val="-2"/>
          <w:sz w:val="28"/>
        </w:rPr>
        <w:t>Calibration</w:t>
      </w:r>
    </w:p>
    <w:p w:rsidR="00C31389" w:rsidRDefault="00561FBD" w14:paraId="2055968F" w14:textId="77777777">
      <w:pPr>
        <w:pStyle w:val="BodyText"/>
        <w:spacing w:before="241"/>
        <w:ind w:left="480" w:right="418"/>
      </w:pPr>
      <w:r>
        <w:t>SB 350 directs the fol</w:t>
      </w:r>
      <w:r>
        <w:t>lowing: “In assessing the feasibility and cost-effectiveness of EE savings</w:t>
      </w:r>
      <w:r>
        <w:rPr>
          <w:spacing w:val="-3"/>
        </w:rPr>
        <w:t xml:space="preserve"> </w:t>
      </w:r>
      <w:r>
        <w:t>…</w:t>
      </w:r>
      <w:r>
        <w:rPr>
          <w:spacing w:val="-3"/>
        </w:rPr>
        <w:t xml:space="preserve"> </w:t>
      </w:r>
      <w:r>
        <w:t>the</w:t>
      </w:r>
      <w:r>
        <w:rPr>
          <w:spacing w:val="-3"/>
        </w:rPr>
        <w:t xml:space="preserve"> </w:t>
      </w:r>
      <w:r>
        <w:t>Public</w:t>
      </w:r>
      <w:r>
        <w:rPr>
          <w:spacing w:val="-3"/>
        </w:rPr>
        <w:t xml:space="preserve"> </w:t>
      </w:r>
      <w:r>
        <w:t>Utilities</w:t>
      </w:r>
      <w:r>
        <w:rPr>
          <w:spacing w:val="-3"/>
        </w:rPr>
        <w:t xml:space="preserve"> </w:t>
      </w:r>
      <w:r>
        <w:t>Commission</w:t>
      </w:r>
      <w:r>
        <w:rPr>
          <w:spacing w:val="-4"/>
        </w:rPr>
        <w:t xml:space="preserve"> </w:t>
      </w:r>
      <w:r>
        <w:t>shall</w:t>
      </w:r>
      <w:r>
        <w:rPr>
          <w:spacing w:val="-4"/>
        </w:rPr>
        <w:t xml:space="preserve"> </w:t>
      </w:r>
      <w:r>
        <w:t>consider</w:t>
      </w:r>
      <w:r>
        <w:rPr>
          <w:spacing w:val="-3"/>
        </w:rPr>
        <w:t xml:space="preserve"> </w:t>
      </w:r>
      <w:r>
        <w:t>the</w:t>
      </w:r>
      <w:r>
        <w:rPr>
          <w:spacing w:val="-4"/>
        </w:rPr>
        <w:t xml:space="preserve"> </w:t>
      </w:r>
      <w:r>
        <w:t>results</w:t>
      </w:r>
      <w:r>
        <w:rPr>
          <w:spacing w:val="-3"/>
        </w:rPr>
        <w:t xml:space="preserve"> </w:t>
      </w:r>
      <w:r>
        <w:t>of</w:t>
      </w:r>
      <w:r>
        <w:rPr>
          <w:spacing w:val="-3"/>
        </w:rPr>
        <w:t xml:space="preserve"> </w:t>
      </w:r>
      <w:r>
        <w:t>EE</w:t>
      </w:r>
      <w:r>
        <w:rPr>
          <w:spacing w:val="-3"/>
        </w:rPr>
        <w:t xml:space="preserve"> </w:t>
      </w:r>
      <w:r>
        <w:t>potential</w:t>
      </w:r>
      <w:r>
        <w:rPr>
          <w:spacing w:val="-3"/>
        </w:rPr>
        <w:t xml:space="preserve"> </w:t>
      </w:r>
      <w:r>
        <w:t xml:space="preserve">studies that are not restricted by previous levels of utility EE savings.” This does not imply that a </w:t>
      </w:r>
      <w:r>
        <w:t>potential study should not be calibrated.</w:t>
      </w:r>
    </w:p>
    <w:p w:rsidR="00C31389" w:rsidRDefault="00C31389" w14:paraId="0E7DAA85" w14:textId="77777777">
      <w:pPr>
        <w:pStyle w:val="BodyText"/>
        <w:spacing w:before="9"/>
        <w:rPr>
          <w:sz w:val="20"/>
        </w:rPr>
      </w:pPr>
    </w:p>
    <w:p w:rsidR="00C31389" w:rsidRDefault="00561FBD" w14:paraId="06035722" w14:textId="77777777">
      <w:pPr>
        <w:pStyle w:val="BodyText"/>
        <w:spacing w:before="1"/>
        <w:ind w:left="480" w:right="615"/>
      </w:pPr>
      <w:r>
        <w:t>In evaluative statistical models, calibration is called regression, and goodness of fit is typically</w:t>
      </w:r>
      <w:r>
        <w:rPr>
          <w:spacing w:val="-3"/>
        </w:rPr>
        <w:t xml:space="preserve"> </w:t>
      </w:r>
      <w:r>
        <w:t>the</w:t>
      </w:r>
      <w:r>
        <w:rPr>
          <w:spacing w:val="-4"/>
        </w:rPr>
        <w:t xml:space="preserve"> </w:t>
      </w:r>
      <w:r>
        <w:t>main</w:t>
      </w:r>
      <w:r>
        <w:rPr>
          <w:spacing w:val="-3"/>
        </w:rPr>
        <w:t xml:space="preserve"> </w:t>
      </w:r>
      <w:r>
        <w:t>focus</w:t>
      </w:r>
      <w:r>
        <w:rPr>
          <w:spacing w:val="-4"/>
        </w:rPr>
        <w:t xml:space="preserve"> </w:t>
      </w:r>
      <w:r>
        <w:t>because</w:t>
      </w:r>
      <w:r>
        <w:rPr>
          <w:spacing w:val="-3"/>
        </w:rPr>
        <w:t xml:space="preserve"> </w:t>
      </w:r>
      <w:r>
        <w:t>the</w:t>
      </w:r>
      <w:r>
        <w:rPr>
          <w:spacing w:val="-4"/>
        </w:rPr>
        <w:t xml:space="preserve"> </w:t>
      </w:r>
      <w:r>
        <w:t>models</w:t>
      </w:r>
      <w:r>
        <w:rPr>
          <w:spacing w:val="-3"/>
        </w:rPr>
        <w:t xml:space="preserve"> </w:t>
      </w:r>
      <w:r>
        <w:t>are</w:t>
      </w:r>
      <w:r>
        <w:rPr>
          <w:spacing w:val="-3"/>
        </w:rPr>
        <w:t xml:space="preserve"> </w:t>
      </w:r>
      <w:r>
        <w:t>usually</w:t>
      </w:r>
      <w:r>
        <w:rPr>
          <w:spacing w:val="-4"/>
        </w:rPr>
        <w:t xml:space="preserve"> </w:t>
      </w:r>
      <w:r>
        <w:t>simple.</w:t>
      </w:r>
      <w:r>
        <w:rPr>
          <w:spacing w:val="-3"/>
        </w:rPr>
        <w:t xml:space="preserve"> </w:t>
      </w:r>
      <w:r>
        <w:t>In</w:t>
      </w:r>
      <w:r>
        <w:rPr>
          <w:spacing w:val="-3"/>
        </w:rPr>
        <w:t xml:space="preserve"> </w:t>
      </w:r>
      <w:r>
        <w:t>situations</w:t>
      </w:r>
      <w:r>
        <w:rPr>
          <w:spacing w:val="-3"/>
        </w:rPr>
        <w:t xml:space="preserve"> </w:t>
      </w:r>
      <w:r>
        <w:t>of</w:t>
      </w:r>
      <w:r>
        <w:rPr>
          <w:spacing w:val="-3"/>
        </w:rPr>
        <w:t xml:space="preserve"> </w:t>
      </w:r>
      <w:r>
        <w:t>complex</w:t>
      </w:r>
    </w:p>
    <w:p w:rsidR="00C31389" w:rsidRDefault="00C31389" w14:paraId="49326A46" w14:textId="77777777">
      <w:pPr>
        <w:sectPr w:rsidR="00C31389">
          <w:headerReference w:type="default" r:id="rId197"/>
          <w:footerReference w:type="default" r:id="rId198"/>
          <w:pgSz w:w="11910" w:h="16840"/>
          <w:pgMar w:top="1380" w:right="1020" w:bottom="1120" w:left="960" w:header="397" w:footer="938" w:gutter="0"/>
          <w:pgNumType w:start="1"/>
          <w:cols w:space="720"/>
        </w:sectPr>
      </w:pPr>
    </w:p>
    <w:p w:rsidR="00C31389" w:rsidRDefault="00C31389" w14:paraId="2E23DEBD" w14:textId="77777777">
      <w:pPr>
        <w:pStyle w:val="BodyText"/>
        <w:spacing w:before="11"/>
        <w:rPr>
          <w:sz w:val="13"/>
        </w:rPr>
      </w:pPr>
    </w:p>
    <w:p w:rsidR="00C31389" w:rsidRDefault="00561FBD" w14:paraId="3124D44C" w14:textId="77777777">
      <w:pPr>
        <w:pStyle w:val="BodyText"/>
        <w:spacing w:before="92"/>
        <w:ind w:left="480" w:right="615"/>
      </w:pPr>
      <w:r>
        <w:t xml:space="preserve">dynamics and non-linearity (as in this study), model sophistication and adequacy can become the main focus. However, grounding the model in </w:t>
      </w:r>
      <w:r>
        <w:t>observation remains equally necessary.</w:t>
      </w:r>
      <w:r>
        <w:rPr>
          <w:spacing w:val="-4"/>
        </w:rPr>
        <w:t xml:space="preserve"> </w:t>
      </w:r>
      <w:r>
        <w:t>The</w:t>
      </w:r>
      <w:r>
        <w:rPr>
          <w:spacing w:val="-3"/>
        </w:rPr>
        <w:t xml:space="preserve"> </w:t>
      </w:r>
      <w:r>
        <w:t>ability</w:t>
      </w:r>
      <w:r>
        <w:rPr>
          <w:spacing w:val="-4"/>
        </w:rPr>
        <w:t xml:space="preserve"> </w:t>
      </w:r>
      <w:r>
        <w:t>of</w:t>
      </w:r>
      <w:r>
        <w:rPr>
          <w:spacing w:val="-3"/>
        </w:rPr>
        <w:t xml:space="preserve"> </w:t>
      </w:r>
      <w:r>
        <w:t>a</w:t>
      </w:r>
      <w:r>
        <w:rPr>
          <w:spacing w:val="-3"/>
        </w:rPr>
        <w:t xml:space="preserve"> </w:t>
      </w:r>
      <w:r>
        <w:t>forecast</w:t>
      </w:r>
      <w:r>
        <w:rPr>
          <w:spacing w:val="-3"/>
        </w:rPr>
        <w:t xml:space="preserve"> </w:t>
      </w:r>
      <w:r>
        <w:t>to</w:t>
      </w:r>
      <w:r>
        <w:rPr>
          <w:spacing w:val="-3"/>
        </w:rPr>
        <w:t xml:space="preserve"> </w:t>
      </w:r>
      <w:r>
        <w:t>reasonably</w:t>
      </w:r>
      <w:r>
        <w:rPr>
          <w:spacing w:val="-3"/>
        </w:rPr>
        <w:t xml:space="preserve"> </w:t>
      </w:r>
      <w:r>
        <w:t>simulate</w:t>
      </w:r>
      <w:r>
        <w:rPr>
          <w:spacing w:val="-3"/>
        </w:rPr>
        <w:t xml:space="preserve"> </w:t>
      </w:r>
      <w:r>
        <w:t>observed</w:t>
      </w:r>
      <w:r>
        <w:rPr>
          <w:spacing w:val="-3"/>
        </w:rPr>
        <w:t xml:space="preserve"> </w:t>
      </w:r>
      <w:r>
        <w:t>data</w:t>
      </w:r>
      <w:r>
        <w:rPr>
          <w:spacing w:val="-3"/>
        </w:rPr>
        <w:t xml:space="preserve"> </w:t>
      </w:r>
      <w:r>
        <w:t>affords</w:t>
      </w:r>
      <w:r>
        <w:rPr>
          <w:spacing w:val="-3"/>
        </w:rPr>
        <w:t xml:space="preserve"> </w:t>
      </w:r>
      <w:r>
        <w:t>credibility and confidence to forecast estimates.</w:t>
      </w:r>
    </w:p>
    <w:p w:rsidR="00C31389" w:rsidRDefault="00C31389" w14:paraId="6CF14711" w14:textId="77777777">
      <w:pPr>
        <w:pStyle w:val="BodyText"/>
        <w:spacing w:before="10"/>
        <w:rPr>
          <w:sz w:val="20"/>
        </w:rPr>
      </w:pPr>
    </w:p>
    <w:p w:rsidR="00C31389" w:rsidRDefault="00561FBD" w14:paraId="7F4040BF" w14:textId="77777777">
      <w:pPr>
        <w:pStyle w:val="BodyText"/>
        <w:ind w:left="480" w:right="479"/>
      </w:pPr>
      <w:r>
        <w:t>Although</w:t>
      </w:r>
      <w:r>
        <w:rPr>
          <w:spacing w:val="-2"/>
        </w:rPr>
        <w:t xml:space="preserve"> </w:t>
      </w:r>
      <w:r>
        <w:t>data</w:t>
      </w:r>
      <w:r>
        <w:rPr>
          <w:spacing w:val="-2"/>
        </w:rPr>
        <w:t xml:space="preserve"> </w:t>
      </w:r>
      <w:r>
        <w:t>supports</w:t>
      </w:r>
      <w:r>
        <w:rPr>
          <w:spacing w:val="-3"/>
        </w:rPr>
        <w:t xml:space="preserve"> </w:t>
      </w:r>
      <w:r>
        <w:t>all</w:t>
      </w:r>
      <w:r>
        <w:rPr>
          <w:spacing w:val="-2"/>
        </w:rPr>
        <w:t xml:space="preserve"> </w:t>
      </w:r>
      <w:r>
        <w:t>underlying</w:t>
      </w:r>
      <w:r>
        <w:rPr>
          <w:spacing w:val="-2"/>
        </w:rPr>
        <w:t xml:space="preserve"> </w:t>
      </w:r>
      <w:r>
        <w:t>parameters</w:t>
      </w:r>
      <w:r>
        <w:rPr>
          <w:spacing w:val="-2"/>
        </w:rPr>
        <w:t xml:space="preserve"> </w:t>
      </w:r>
      <w:r>
        <w:t>in</w:t>
      </w:r>
      <w:r>
        <w:rPr>
          <w:spacing w:val="-2"/>
        </w:rPr>
        <w:t xml:space="preserve"> </w:t>
      </w:r>
      <w:r>
        <w:t>the</w:t>
      </w:r>
      <w:r>
        <w:rPr>
          <w:spacing w:val="-2"/>
        </w:rPr>
        <w:t xml:space="preserve"> </w:t>
      </w:r>
      <w:r>
        <w:t>PG</w:t>
      </w:r>
      <w:r>
        <w:rPr>
          <w:spacing w:val="-3"/>
        </w:rPr>
        <w:t xml:space="preserve"> </w:t>
      </w:r>
      <w:r>
        <w:t>Model,</w:t>
      </w:r>
      <w:r>
        <w:rPr>
          <w:spacing w:val="-2"/>
        </w:rPr>
        <w:t xml:space="preserve"> </w:t>
      </w:r>
      <w:r>
        <w:t>much</w:t>
      </w:r>
      <w:r>
        <w:rPr>
          <w:spacing w:val="-2"/>
        </w:rPr>
        <w:t xml:space="preserve"> </w:t>
      </w:r>
      <w:r>
        <w:t>of</w:t>
      </w:r>
      <w:r>
        <w:rPr>
          <w:spacing w:val="-2"/>
        </w:rPr>
        <w:t xml:space="preserve"> </w:t>
      </w:r>
      <w:r>
        <w:t>the</w:t>
      </w:r>
      <w:r>
        <w:rPr>
          <w:spacing w:val="-2"/>
        </w:rPr>
        <w:t xml:space="preserve"> </w:t>
      </w:r>
      <w:r>
        <w:t>data</w:t>
      </w:r>
      <w:r>
        <w:rPr>
          <w:spacing w:val="-3"/>
        </w:rPr>
        <w:t xml:space="preserve"> </w:t>
      </w:r>
      <w:r>
        <w:t>is</w:t>
      </w:r>
      <w:r>
        <w:rPr>
          <w:spacing w:val="-1"/>
        </w:rPr>
        <w:t xml:space="preserve"> </w:t>
      </w:r>
      <w:r>
        <w:t>at</w:t>
      </w:r>
      <w:r>
        <w:rPr>
          <w:spacing w:val="-2"/>
        </w:rPr>
        <w:t xml:space="preserve"> </w:t>
      </w:r>
      <w:r>
        <w:t>an agg</w:t>
      </w:r>
      <w:r>
        <w:t>regate level that can be inadequate to forecast differences across the various classes of technologies and end uses. The incentive costs are a good example of this effect. The model uses incentives to forecast customer purchase tendencies (thus their adopt</w:t>
      </w:r>
      <w:r>
        <w:t>ion of technologies) based on the upfront and lifetime cost factors for which customers have</w:t>
      </w:r>
    </w:p>
    <w:p w:rsidR="00C31389" w:rsidRDefault="00561FBD" w14:paraId="5F00DD0A" w14:textId="77777777">
      <w:pPr>
        <w:pStyle w:val="BodyText"/>
        <w:ind w:left="480" w:right="603"/>
        <w:jc w:val="both"/>
      </w:pPr>
      <w:r>
        <w:t>self-reported their importance. The incentive inputs read into the model are provided at the sector</w:t>
      </w:r>
      <w:r>
        <w:rPr>
          <w:spacing w:val="-3"/>
        </w:rPr>
        <w:t xml:space="preserve"> </w:t>
      </w:r>
      <w:r>
        <w:t>and</w:t>
      </w:r>
      <w:r>
        <w:rPr>
          <w:spacing w:val="-3"/>
        </w:rPr>
        <w:t xml:space="preserve"> </w:t>
      </w:r>
      <w:r>
        <w:t>end</w:t>
      </w:r>
      <w:r>
        <w:rPr>
          <w:spacing w:val="-3"/>
        </w:rPr>
        <w:t xml:space="preserve"> </w:t>
      </w:r>
      <w:r>
        <w:t>use</w:t>
      </w:r>
      <w:r>
        <w:rPr>
          <w:spacing w:val="-3"/>
        </w:rPr>
        <w:t xml:space="preserve"> </w:t>
      </w:r>
      <w:r>
        <w:t>level,</w:t>
      </w:r>
      <w:r>
        <w:rPr>
          <w:spacing w:val="-3"/>
        </w:rPr>
        <w:t xml:space="preserve"> </w:t>
      </w:r>
      <w:r>
        <w:t>yet</w:t>
      </w:r>
      <w:r>
        <w:rPr>
          <w:spacing w:val="-3"/>
        </w:rPr>
        <w:t xml:space="preserve"> </w:t>
      </w:r>
      <w:r>
        <w:t>calibration</w:t>
      </w:r>
      <w:r>
        <w:rPr>
          <w:spacing w:val="-3"/>
        </w:rPr>
        <w:t xml:space="preserve"> </w:t>
      </w:r>
      <w:r>
        <w:t>allows</w:t>
      </w:r>
      <w:r>
        <w:rPr>
          <w:spacing w:val="-2"/>
        </w:rPr>
        <w:t xml:space="preserve"> </w:t>
      </w:r>
      <w:r>
        <w:t>the</w:t>
      </w:r>
      <w:r>
        <w:rPr>
          <w:spacing w:val="-3"/>
        </w:rPr>
        <w:t xml:space="preserve"> </w:t>
      </w:r>
      <w:r>
        <w:t>Guidehouse</w:t>
      </w:r>
      <w:r>
        <w:rPr>
          <w:spacing w:val="-3"/>
        </w:rPr>
        <w:t xml:space="preserve"> </w:t>
      </w:r>
      <w:r>
        <w:t>team</w:t>
      </w:r>
      <w:r>
        <w:rPr>
          <w:spacing w:val="-4"/>
        </w:rPr>
        <w:t xml:space="preserve"> </w:t>
      </w:r>
      <w:r>
        <w:t>to</w:t>
      </w:r>
      <w:r>
        <w:rPr>
          <w:spacing w:val="-3"/>
        </w:rPr>
        <w:t xml:space="preserve"> </w:t>
      </w:r>
      <w:r>
        <w:t>scale</w:t>
      </w:r>
      <w:r>
        <w:rPr>
          <w:spacing w:val="-3"/>
        </w:rPr>
        <w:t xml:space="preserve"> </w:t>
      </w:r>
      <w:r>
        <w:t>up</w:t>
      </w:r>
      <w:r>
        <w:rPr>
          <w:spacing w:val="-3"/>
        </w:rPr>
        <w:t xml:space="preserve"> </w:t>
      </w:r>
      <w:r>
        <w:t>and</w:t>
      </w:r>
      <w:r>
        <w:rPr>
          <w:spacing w:val="-4"/>
        </w:rPr>
        <w:t xml:space="preserve"> </w:t>
      </w:r>
      <w:r>
        <w:t>down these inputs by utility to better match historical market activity.</w:t>
      </w:r>
    </w:p>
    <w:p w:rsidR="00C31389" w:rsidRDefault="00C31389" w14:paraId="3F2CBA00" w14:textId="77777777">
      <w:pPr>
        <w:pStyle w:val="BodyText"/>
        <w:spacing w:before="11"/>
        <w:rPr>
          <w:sz w:val="20"/>
        </w:rPr>
      </w:pPr>
    </w:p>
    <w:p w:rsidR="00C31389" w:rsidRDefault="00561FBD" w14:paraId="31E86506" w14:textId="77777777">
      <w:pPr>
        <w:pStyle w:val="BodyText"/>
        <w:ind w:left="480" w:right="418"/>
      </w:pPr>
      <w:r>
        <w:t>Calibration is not an optional exercise in modeling. One might suggest that the average customer</w:t>
      </w:r>
      <w:r>
        <w:rPr>
          <w:spacing w:val="-3"/>
        </w:rPr>
        <w:t xml:space="preserve"> </w:t>
      </w:r>
      <w:r>
        <w:t>data</w:t>
      </w:r>
      <w:r>
        <w:rPr>
          <w:spacing w:val="-3"/>
        </w:rPr>
        <w:t xml:space="preserve"> </w:t>
      </w:r>
      <w:r>
        <w:t>should</w:t>
      </w:r>
      <w:r>
        <w:rPr>
          <w:spacing w:val="-3"/>
        </w:rPr>
        <w:t xml:space="preserve"> </w:t>
      </w:r>
      <w:r>
        <w:t>be</w:t>
      </w:r>
      <w:r>
        <w:rPr>
          <w:spacing w:val="-4"/>
        </w:rPr>
        <w:t xml:space="preserve"> </w:t>
      </w:r>
      <w:r>
        <w:t>sufficient</w:t>
      </w:r>
      <w:r>
        <w:rPr>
          <w:spacing w:val="-3"/>
        </w:rPr>
        <w:t xml:space="preserve"> </w:t>
      </w:r>
      <w:r>
        <w:t>to</w:t>
      </w:r>
      <w:r>
        <w:rPr>
          <w:spacing w:val="-4"/>
        </w:rPr>
        <w:t xml:space="preserve"> </w:t>
      </w:r>
      <w:r>
        <w:t>make</w:t>
      </w:r>
      <w:r>
        <w:rPr>
          <w:spacing w:val="-3"/>
        </w:rPr>
        <w:t xml:space="preserve"> </w:t>
      </w:r>
      <w:r>
        <w:t>a</w:t>
      </w:r>
      <w:r>
        <w:rPr>
          <w:spacing w:val="-3"/>
        </w:rPr>
        <w:t xml:space="preserve"> </w:t>
      </w:r>
      <w:r>
        <w:t>reliable</w:t>
      </w:r>
      <w:r>
        <w:rPr>
          <w:spacing w:val="-3"/>
        </w:rPr>
        <w:t xml:space="preserve"> </w:t>
      </w:r>
      <w:r>
        <w:t>aggregat</w:t>
      </w:r>
      <w:r>
        <w:t>ed</w:t>
      </w:r>
      <w:r>
        <w:rPr>
          <w:spacing w:val="-3"/>
        </w:rPr>
        <w:t xml:space="preserve"> </w:t>
      </w:r>
      <w:r>
        <w:t>forecast.</w:t>
      </w:r>
      <w:r>
        <w:rPr>
          <w:spacing w:val="-3"/>
        </w:rPr>
        <w:t xml:space="preserve"> </w:t>
      </w:r>
      <w:r>
        <w:t>Nevertheless,</w:t>
      </w:r>
      <w:r>
        <w:rPr>
          <w:spacing w:val="-2"/>
        </w:rPr>
        <w:t xml:space="preserve"> </w:t>
      </w:r>
      <w:r>
        <w:t>two important non-linearities compel a more granular parameterization:</w:t>
      </w:r>
    </w:p>
    <w:p w:rsidR="00C31389" w:rsidRDefault="00561FBD" w14:paraId="3B78548C" w14:textId="77777777">
      <w:pPr>
        <w:pStyle w:val="ListParagraph"/>
        <w:numPr>
          <w:ilvl w:val="0"/>
          <w:numId w:val="31"/>
        </w:numPr>
        <w:tabs>
          <w:tab w:val="left" w:pos="1200"/>
        </w:tabs>
        <w:spacing w:before="119"/>
        <w:ind w:right="590" w:hanging="361"/>
      </w:pPr>
      <w:r>
        <w:t>Program</w:t>
      </w:r>
      <w:r>
        <w:rPr>
          <w:spacing w:val="-4"/>
        </w:rPr>
        <w:t xml:space="preserve"> </w:t>
      </w:r>
      <w:r>
        <w:t>portfolios</w:t>
      </w:r>
      <w:r>
        <w:rPr>
          <w:spacing w:val="-3"/>
        </w:rPr>
        <w:t xml:space="preserve"> </w:t>
      </w:r>
      <w:r>
        <w:t>are</w:t>
      </w:r>
      <w:r>
        <w:rPr>
          <w:spacing w:val="-3"/>
        </w:rPr>
        <w:t xml:space="preserve"> </w:t>
      </w:r>
      <w:r>
        <w:t>not</w:t>
      </w:r>
      <w:r>
        <w:rPr>
          <w:spacing w:val="-3"/>
        </w:rPr>
        <w:t xml:space="preserve"> </w:t>
      </w:r>
      <w:r>
        <w:t>evenly</w:t>
      </w:r>
      <w:r>
        <w:rPr>
          <w:spacing w:val="-4"/>
        </w:rPr>
        <w:t xml:space="preserve"> </w:t>
      </w:r>
      <w:r>
        <w:t>composed</w:t>
      </w:r>
      <w:r>
        <w:rPr>
          <w:spacing w:val="-3"/>
        </w:rPr>
        <w:t xml:space="preserve"> </w:t>
      </w:r>
      <w:r>
        <w:t>across</w:t>
      </w:r>
      <w:r>
        <w:rPr>
          <w:spacing w:val="-3"/>
        </w:rPr>
        <w:t xml:space="preserve"> </w:t>
      </w:r>
      <w:r>
        <w:t>end</w:t>
      </w:r>
      <w:r>
        <w:rPr>
          <w:spacing w:val="-2"/>
        </w:rPr>
        <w:t xml:space="preserve"> </w:t>
      </w:r>
      <w:r>
        <w:t>uses.</w:t>
      </w:r>
      <w:r>
        <w:rPr>
          <w:spacing w:val="-3"/>
        </w:rPr>
        <w:t xml:space="preserve"> </w:t>
      </w:r>
      <w:r>
        <w:t>Straight</w:t>
      </w:r>
      <w:r>
        <w:rPr>
          <w:spacing w:val="-3"/>
        </w:rPr>
        <w:t xml:space="preserve"> </w:t>
      </w:r>
      <w:r>
        <w:t>averaging</w:t>
      </w:r>
      <w:r>
        <w:rPr>
          <w:spacing w:val="-3"/>
        </w:rPr>
        <w:t xml:space="preserve"> </w:t>
      </w:r>
      <w:r>
        <w:t>of customer willingness and awareness may not lead to the correct total savings</w:t>
      </w:r>
      <w:r>
        <w:t xml:space="preserve"> and costs calculations due to unevenness of adoption of technologies.</w:t>
      </w:r>
    </w:p>
    <w:p w:rsidR="00C31389" w:rsidRDefault="00561FBD" w14:paraId="12504FA3" w14:textId="77777777">
      <w:pPr>
        <w:pStyle w:val="ListParagraph"/>
        <w:numPr>
          <w:ilvl w:val="0"/>
          <w:numId w:val="31"/>
        </w:numPr>
        <w:tabs>
          <w:tab w:val="left" w:pos="1200"/>
        </w:tabs>
        <w:spacing w:before="119"/>
        <w:ind w:right="519"/>
      </w:pPr>
      <w:r>
        <w:t>The dynamics in the model regarding the timing of adoption can become incompatible with the remaining potential indicated by program achievements. For example, if the forecast results w</w:t>
      </w:r>
      <w:r>
        <w:t>ere not calibrated for LED lighting in the residential sector, the saturation may remain inaccurately low in early years and indicate a larger remaining potential in future years. Calibrating upward may increase potential in the early years but decrease po</w:t>
      </w:r>
      <w:r>
        <w:t>tential in later years. Without the calibration, the model adoption would imply that in the absence of IOU program intervention, residential</w:t>
      </w:r>
      <w:r>
        <w:rPr>
          <w:spacing w:val="-4"/>
        </w:rPr>
        <w:t xml:space="preserve"> </w:t>
      </w:r>
      <w:r>
        <w:t>LED</w:t>
      </w:r>
      <w:r>
        <w:rPr>
          <w:spacing w:val="-5"/>
        </w:rPr>
        <w:t xml:space="preserve"> </w:t>
      </w:r>
      <w:r>
        <w:t>lighting</w:t>
      </w:r>
      <w:r>
        <w:rPr>
          <w:spacing w:val="-5"/>
        </w:rPr>
        <w:t xml:space="preserve"> </w:t>
      </w:r>
      <w:r>
        <w:t>would</w:t>
      </w:r>
      <w:r>
        <w:rPr>
          <w:spacing w:val="-4"/>
        </w:rPr>
        <w:t xml:space="preserve"> </w:t>
      </w:r>
      <w:r>
        <w:t>have</w:t>
      </w:r>
      <w:r>
        <w:rPr>
          <w:spacing w:val="-5"/>
        </w:rPr>
        <w:t xml:space="preserve"> </w:t>
      </w:r>
      <w:r>
        <w:t>historically</w:t>
      </w:r>
      <w:r>
        <w:rPr>
          <w:spacing w:val="-4"/>
        </w:rPr>
        <w:t xml:space="preserve"> </w:t>
      </w:r>
      <w:r>
        <w:t>had</w:t>
      </w:r>
      <w:r>
        <w:rPr>
          <w:spacing w:val="-4"/>
        </w:rPr>
        <w:t xml:space="preserve"> </w:t>
      </w:r>
      <w:r>
        <w:t>much</w:t>
      </w:r>
      <w:r>
        <w:rPr>
          <w:spacing w:val="-4"/>
        </w:rPr>
        <w:t xml:space="preserve"> </w:t>
      </w:r>
      <w:r>
        <w:t>lower</w:t>
      </w:r>
      <w:r>
        <w:rPr>
          <w:spacing w:val="-4"/>
        </w:rPr>
        <w:t xml:space="preserve"> </w:t>
      </w:r>
      <w:r>
        <w:t>adoption.</w:t>
      </w:r>
      <w:r>
        <w:rPr>
          <w:spacing w:val="-4"/>
        </w:rPr>
        <w:t xml:space="preserve"> </w:t>
      </w:r>
      <w:r>
        <w:t>Calibration allows us to capture these program influe</w:t>
      </w:r>
      <w:r>
        <w:t xml:space="preserve">nces to reflect more accurately remaining </w:t>
      </w:r>
      <w:r>
        <w:rPr>
          <w:spacing w:val="-2"/>
        </w:rPr>
        <w:t>potential.</w:t>
      </w:r>
    </w:p>
    <w:p w:rsidR="00C31389" w:rsidRDefault="00C31389" w14:paraId="2E0BCC59" w14:textId="77777777">
      <w:pPr>
        <w:pStyle w:val="BodyText"/>
        <w:spacing w:before="7"/>
        <w:rPr>
          <w:sz w:val="20"/>
        </w:rPr>
      </w:pPr>
    </w:p>
    <w:p w:rsidR="00C31389" w:rsidRDefault="00561FBD" w14:paraId="15AB4BA6" w14:textId="77777777">
      <w:pPr>
        <w:pStyle w:val="BodyText"/>
        <w:spacing w:before="1"/>
        <w:ind w:left="480" w:right="615"/>
      </w:pPr>
      <w:r>
        <w:t>The</w:t>
      </w:r>
      <w:r>
        <w:rPr>
          <w:spacing w:val="-3"/>
        </w:rPr>
        <w:t xml:space="preserve"> </w:t>
      </w:r>
      <w:r>
        <w:t>team</w:t>
      </w:r>
      <w:r>
        <w:rPr>
          <w:spacing w:val="-4"/>
        </w:rPr>
        <w:t xml:space="preserve"> </w:t>
      </w:r>
      <w:r>
        <w:t>treats</w:t>
      </w:r>
      <w:r>
        <w:rPr>
          <w:spacing w:val="-3"/>
        </w:rPr>
        <w:t xml:space="preserve"> </w:t>
      </w:r>
      <w:r>
        <w:t>the</w:t>
      </w:r>
      <w:r>
        <w:rPr>
          <w:spacing w:val="-3"/>
        </w:rPr>
        <w:t xml:space="preserve"> </w:t>
      </w:r>
      <w:r>
        <w:t>calibrated</w:t>
      </w:r>
      <w:r>
        <w:rPr>
          <w:spacing w:val="-3"/>
        </w:rPr>
        <w:t xml:space="preserve"> </w:t>
      </w:r>
      <w:r>
        <w:t>results</w:t>
      </w:r>
      <w:r>
        <w:rPr>
          <w:spacing w:val="-3"/>
        </w:rPr>
        <w:t xml:space="preserve"> </w:t>
      </w:r>
      <w:r>
        <w:t>as</w:t>
      </w:r>
      <w:r>
        <w:rPr>
          <w:spacing w:val="-3"/>
        </w:rPr>
        <w:t xml:space="preserve"> </w:t>
      </w:r>
      <w:r>
        <w:t>the</w:t>
      </w:r>
      <w:r>
        <w:rPr>
          <w:spacing w:val="-3"/>
        </w:rPr>
        <w:t xml:space="preserve"> </w:t>
      </w:r>
      <w:r>
        <w:t>most</w:t>
      </w:r>
      <w:r>
        <w:rPr>
          <w:spacing w:val="-3"/>
        </w:rPr>
        <w:t xml:space="preserve"> </w:t>
      </w:r>
      <w:r>
        <w:t>basic</w:t>
      </w:r>
      <w:r>
        <w:rPr>
          <w:spacing w:val="-4"/>
        </w:rPr>
        <w:t xml:space="preserve"> </w:t>
      </w:r>
      <w:r>
        <w:t>set</w:t>
      </w:r>
      <w:r>
        <w:rPr>
          <w:spacing w:val="-4"/>
        </w:rPr>
        <w:t xml:space="preserve"> </w:t>
      </w:r>
      <w:r>
        <w:t>of</w:t>
      </w:r>
      <w:r>
        <w:rPr>
          <w:spacing w:val="-3"/>
        </w:rPr>
        <w:t xml:space="preserve"> </w:t>
      </w:r>
      <w:r>
        <w:t>interpretable</w:t>
      </w:r>
      <w:r>
        <w:rPr>
          <w:spacing w:val="-3"/>
        </w:rPr>
        <w:t xml:space="preserve"> </w:t>
      </w:r>
      <w:r>
        <w:t>results</w:t>
      </w:r>
      <w:r>
        <w:rPr>
          <w:spacing w:val="-4"/>
        </w:rPr>
        <w:t xml:space="preserve"> </w:t>
      </w:r>
      <w:r>
        <w:t>from which to develop alternate scenarios.</w:t>
      </w:r>
    </w:p>
    <w:p w:rsidR="00C31389" w:rsidRDefault="00C31389" w14:paraId="6781E68F" w14:textId="77777777">
      <w:pPr>
        <w:pStyle w:val="BodyText"/>
        <w:spacing w:before="10"/>
        <w:rPr>
          <w:sz w:val="20"/>
        </w:rPr>
      </w:pPr>
    </w:p>
    <w:p w:rsidR="00C31389" w:rsidRDefault="00561FBD" w14:paraId="7D76F22F" w14:textId="77777777">
      <w:pPr>
        <w:pStyle w:val="ListParagraph"/>
        <w:numPr>
          <w:ilvl w:val="1"/>
          <w:numId w:val="32"/>
        </w:numPr>
        <w:tabs>
          <w:tab w:val="left" w:pos="991"/>
        </w:tabs>
        <w:ind w:left="991" w:hanging="511"/>
        <w:rPr>
          <w:b/>
          <w:sz w:val="28"/>
        </w:rPr>
      </w:pPr>
      <w:bookmarkStart w:name="A.3_Interpreting_Calibration" w:id="311"/>
      <w:bookmarkStart w:name="_bookmark231" w:id="312"/>
      <w:bookmarkEnd w:id="311"/>
      <w:bookmarkEnd w:id="312"/>
      <w:r>
        <w:rPr>
          <w:b/>
          <w:spacing w:val="-2"/>
          <w:sz w:val="28"/>
        </w:rPr>
        <w:t>Interpreting</w:t>
      </w:r>
      <w:r>
        <w:rPr>
          <w:b/>
          <w:spacing w:val="3"/>
          <w:sz w:val="28"/>
        </w:rPr>
        <w:t xml:space="preserve"> </w:t>
      </w:r>
      <w:r>
        <w:rPr>
          <w:b/>
          <w:spacing w:val="-2"/>
          <w:sz w:val="28"/>
        </w:rPr>
        <w:t>Calibration</w:t>
      </w:r>
    </w:p>
    <w:p w:rsidR="00C31389" w:rsidRDefault="00561FBD" w14:paraId="5735E70A" w14:textId="77777777">
      <w:pPr>
        <w:pStyle w:val="BodyText"/>
        <w:spacing w:before="241"/>
        <w:ind w:left="480" w:right="615"/>
      </w:pPr>
      <w:r>
        <w:t xml:space="preserve">Calibration can constrain achievable </w:t>
      </w:r>
      <w:r>
        <w:t>potential for certain end uses when aligning model results with past IOU EE portfolio accomplishments. Although calibration provides a reasonable historical basis for estimating future achievable potential, past program achievements may not capture the pot</w:t>
      </w:r>
      <w:r>
        <w:t>ential because of structural changes in future programs</w:t>
      </w:r>
      <w:r>
        <w:rPr>
          <w:spacing w:val="-3"/>
        </w:rPr>
        <w:t xml:space="preserve"> </w:t>
      </w:r>
      <w:r>
        <w:t>or</w:t>
      </w:r>
      <w:r>
        <w:rPr>
          <w:spacing w:val="-3"/>
        </w:rPr>
        <w:t xml:space="preserve"> </w:t>
      </w:r>
      <w:r>
        <w:t>changes</w:t>
      </w:r>
      <w:r>
        <w:rPr>
          <w:spacing w:val="-3"/>
        </w:rPr>
        <w:t xml:space="preserve"> </w:t>
      </w:r>
      <w:r>
        <w:t>in</w:t>
      </w:r>
      <w:r>
        <w:rPr>
          <w:spacing w:val="-4"/>
        </w:rPr>
        <w:t xml:space="preserve"> </w:t>
      </w:r>
      <w:r>
        <w:t>consumer</w:t>
      </w:r>
      <w:r>
        <w:rPr>
          <w:spacing w:val="-3"/>
        </w:rPr>
        <w:t xml:space="preserve"> </w:t>
      </w:r>
      <w:r>
        <w:t>values.</w:t>
      </w:r>
      <w:r>
        <w:rPr>
          <w:spacing w:val="-3"/>
        </w:rPr>
        <w:t xml:space="preserve"> </w:t>
      </w:r>
      <w:r>
        <w:t>Calibration</w:t>
      </w:r>
      <w:r>
        <w:rPr>
          <w:spacing w:val="-3"/>
        </w:rPr>
        <w:t xml:space="preserve"> </w:t>
      </w:r>
      <w:r>
        <w:t>can</w:t>
      </w:r>
      <w:r>
        <w:rPr>
          <w:spacing w:val="-3"/>
        </w:rPr>
        <w:t xml:space="preserve"> </w:t>
      </w:r>
      <w:r>
        <w:t>be</w:t>
      </w:r>
      <w:r>
        <w:rPr>
          <w:spacing w:val="-4"/>
        </w:rPr>
        <w:t xml:space="preserve"> </w:t>
      </w:r>
      <w:r>
        <w:t>viewed</w:t>
      </w:r>
      <w:r>
        <w:rPr>
          <w:spacing w:val="-3"/>
        </w:rPr>
        <w:t xml:space="preserve"> </w:t>
      </w:r>
      <w:r>
        <w:t>as</w:t>
      </w:r>
      <w:r>
        <w:rPr>
          <w:spacing w:val="-3"/>
        </w:rPr>
        <w:t xml:space="preserve"> </w:t>
      </w:r>
      <w:r>
        <w:t>holding</w:t>
      </w:r>
      <w:r>
        <w:rPr>
          <w:spacing w:val="-3"/>
        </w:rPr>
        <w:t xml:space="preserve"> </w:t>
      </w:r>
      <w:r>
        <w:t>constant certain factors that might otherwise change future program potential, such as:</w:t>
      </w:r>
    </w:p>
    <w:p w:rsidR="00C31389" w:rsidRDefault="00561FBD" w14:paraId="49ED4F1D" w14:textId="77777777">
      <w:pPr>
        <w:pStyle w:val="ListParagraph"/>
        <w:numPr>
          <w:ilvl w:val="2"/>
          <w:numId w:val="32"/>
        </w:numPr>
        <w:tabs>
          <w:tab w:val="left" w:pos="1200"/>
        </w:tabs>
        <w:spacing w:before="120"/>
        <w:ind w:right="1216" w:hanging="361"/>
      </w:pPr>
      <w:r>
        <w:t>Consumer</w:t>
      </w:r>
      <w:r>
        <w:rPr>
          <w:spacing w:val="-4"/>
        </w:rPr>
        <w:t xml:space="preserve"> </w:t>
      </w:r>
      <w:r>
        <w:t>values</w:t>
      </w:r>
      <w:r>
        <w:rPr>
          <w:spacing w:val="-4"/>
        </w:rPr>
        <w:t xml:space="preserve"> </w:t>
      </w:r>
      <w:r>
        <w:t>and</w:t>
      </w:r>
      <w:r>
        <w:rPr>
          <w:spacing w:val="-4"/>
        </w:rPr>
        <w:t xml:space="preserve"> </w:t>
      </w:r>
      <w:r>
        <w:t>attitudes</w:t>
      </w:r>
      <w:r>
        <w:rPr>
          <w:spacing w:val="-4"/>
        </w:rPr>
        <w:t xml:space="preserve"> </w:t>
      </w:r>
      <w:r>
        <w:t>toward</w:t>
      </w:r>
      <w:r>
        <w:rPr>
          <w:spacing w:val="-4"/>
        </w:rPr>
        <w:t xml:space="preserve"> </w:t>
      </w:r>
      <w:r>
        <w:t>energy</w:t>
      </w:r>
      <w:r>
        <w:rPr>
          <w:spacing w:val="-4"/>
        </w:rPr>
        <w:t xml:space="preserve"> </w:t>
      </w:r>
      <w:r>
        <w:t>efficient</w:t>
      </w:r>
      <w:r>
        <w:rPr>
          <w:spacing w:val="-4"/>
        </w:rPr>
        <w:t xml:space="preserve"> </w:t>
      </w:r>
      <w:r>
        <w:t>measures</w:t>
      </w:r>
      <w:r>
        <w:rPr>
          <w:spacing w:val="-3"/>
        </w:rPr>
        <w:t xml:space="preserve"> </w:t>
      </w:r>
      <w:r>
        <w:t>(the</w:t>
      </w:r>
      <w:r>
        <w:rPr>
          <w:spacing w:val="-4"/>
        </w:rPr>
        <w:t xml:space="preserve"> </w:t>
      </w:r>
      <w:r>
        <w:t>Market Adoption Study created the value factors to address this item in the forecast)</w:t>
      </w:r>
    </w:p>
    <w:p w:rsidR="00C31389" w:rsidRDefault="00561FBD" w14:paraId="3000D544" w14:textId="77777777">
      <w:pPr>
        <w:pStyle w:val="ListParagraph"/>
        <w:numPr>
          <w:ilvl w:val="2"/>
          <w:numId w:val="32"/>
        </w:numPr>
        <w:tabs>
          <w:tab w:val="left" w:pos="1200"/>
        </w:tabs>
        <w:spacing w:before="118"/>
        <w:ind w:right="1142"/>
      </w:pPr>
      <w:r>
        <w:t>Market</w:t>
      </w:r>
      <w:r>
        <w:rPr>
          <w:spacing w:val="-4"/>
        </w:rPr>
        <w:t xml:space="preserve"> </w:t>
      </w:r>
      <w:r>
        <w:t>barriers</w:t>
      </w:r>
      <w:r>
        <w:rPr>
          <w:spacing w:val="-4"/>
        </w:rPr>
        <w:t xml:space="preserve"> </w:t>
      </w:r>
      <w:r>
        <w:t>associated</w:t>
      </w:r>
      <w:r>
        <w:rPr>
          <w:spacing w:val="-4"/>
        </w:rPr>
        <w:t xml:space="preserve"> </w:t>
      </w:r>
      <w:r>
        <w:t>with</w:t>
      </w:r>
      <w:r>
        <w:rPr>
          <w:spacing w:val="-4"/>
        </w:rPr>
        <w:t xml:space="preserve"> </w:t>
      </w:r>
      <w:r>
        <w:t>different</w:t>
      </w:r>
      <w:r>
        <w:rPr>
          <w:spacing w:val="-4"/>
        </w:rPr>
        <w:t xml:space="preserve"> </w:t>
      </w:r>
      <w:r>
        <w:t>end</w:t>
      </w:r>
      <w:r>
        <w:rPr>
          <w:spacing w:val="-4"/>
        </w:rPr>
        <w:t xml:space="preserve"> </w:t>
      </w:r>
      <w:r>
        <w:t>uses</w:t>
      </w:r>
      <w:r>
        <w:rPr>
          <w:spacing w:val="-3"/>
        </w:rPr>
        <w:t xml:space="preserve"> </w:t>
      </w:r>
      <w:r>
        <w:t>(the</w:t>
      </w:r>
      <w:r>
        <w:rPr>
          <w:spacing w:val="-4"/>
        </w:rPr>
        <w:t xml:space="preserve"> </w:t>
      </w:r>
      <w:r>
        <w:t>Market</w:t>
      </w:r>
      <w:r>
        <w:rPr>
          <w:spacing w:val="-4"/>
        </w:rPr>
        <w:t xml:space="preserve"> </w:t>
      </w:r>
      <w:r>
        <w:t>Adoption</w:t>
      </w:r>
      <w:r>
        <w:rPr>
          <w:spacing w:val="-4"/>
        </w:rPr>
        <w:t xml:space="preserve"> </w:t>
      </w:r>
      <w:r>
        <w:t xml:space="preserve">Study created the value factors to address this item in the </w:t>
      </w:r>
      <w:r>
        <w:t>forecast)</w:t>
      </w:r>
    </w:p>
    <w:p w:rsidR="00C31389" w:rsidRDefault="00561FBD" w14:paraId="2B02615A" w14:textId="77777777">
      <w:pPr>
        <w:pStyle w:val="ListParagraph"/>
        <w:numPr>
          <w:ilvl w:val="2"/>
          <w:numId w:val="32"/>
        </w:numPr>
        <w:tabs>
          <w:tab w:val="left" w:pos="1200"/>
        </w:tabs>
        <w:spacing w:before="118"/>
      </w:pPr>
      <w:r>
        <w:t>Program</w:t>
      </w:r>
      <w:r>
        <w:rPr>
          <w:spacing w:val="-9"/>
        </w:rPr>
        <w:t xml:space="preserve"> </w:t>
      </w:r>
      <w:r>
        <w:t>efficacy</w:t>
      </w:r>
      <w:r>
        <w:rPr>
          <w:spacing w:val="-7"/>
        </w:rPr>
        <w:t xml:space="preserve"> </w:t>
      </w:r>
      <w:r>
        <w:t>in</w:t>
      </w:r>
      <w:r>
        <w:rPr>
          <w:spacing w:val="-8"/>
        </w:rPr>
        <w:t xml:space="preserve"> </w:t>
      </w:r>
      <w:r>
        <w:t>delivering</w:t>
      </w:r>
      <w:r>
        <w:rPr>
          <w:spacing w:val="-8"/>
        </w:rPr>
        <w:t xml:space="preserve"> </w:t>
      </w:r>
      <w:r>
        <w:rPr>
          <w:spacing w:val="-2"/>
        </w:rPr>
        <w:t>measures</w:t>
      </w:r>
    </w:p>
    <w:p w:rsidR="00C31389" w:rsidRDefault="00561FBD" w14:paraId="155D96C2" w14:textId="77777777">
      <w:pPr>
        <w:pStyle w:val="ListParagraph"/>
        <w:numPr>
          <w:ilvl w:val="2"/>
          <w:numId w:val="32"/>
        </w:numPr>
        <w:tabs>
          <w:tab w:val="left" w:pos="1200"/>
        </w:tabs>
        <w:spacing w:before="118"/>
      </w:pPr>
      <w:r>
        <w:t>Program</w:t>
      </w:r>
      <w:r>
        <w:rPr>
          <w:spacing w:val="-10"/>
        </w:rPr>
        <w:t xml:space="preserve"> </w:t>
      </w:r>
      <w:r>
        <w:t>spending</w:t>
      </w:r>
      <w:r>
        <w:rPr>
          <w:spacing w:val="-8"/>
        </w:rPr>
        <w:t xml:space="preserve"> </w:t>
      </w:r>
      <w:r>
        <w:t>constraints</w:t>
      </w:r>
      <w:r>
        <w:rPr>
          <w:spacing w:val="-8"/>
        </w:rPr>
        <w:t xml:space="preserve"> </w:t>
      </w:r>
      <w:r>
        <w:t>and</w:t>
      </w:r>
      <w:r>
        <w:rPr>
          <w:spacing w:val="-8"/>
        </w:rPr>
        <w:t xml:space="preserve"> </w:t>
      </w:r>
      <w:r>
        <w:rPr>
          <w:spacing w:val="-2"/>
        </w:rPr>
        <w:t>priorities</w:t>
      </w:r>
    </w:p>
    <w:p w:rsidR="00C31389" w:rsidRDefault="00C31389" w14:paraId="426D5AE1" w14:textId="77777777">
      <w:pPr>
        <w:sectPr w:rsidR="00C31389">
          <w:headerReference w:type="default" r:id="rId199"/>
          <w:footerReference w:type="default" r:id="rId200"/>
          <w:pgSz w:w="11910" w:h="16840"/>
          <w:pgMar w:top="1660" w:right="1020" w:bottom="1120" w:left="960" w:header="397" w:footer="938" w:gutter="0"/>
          <w:cols w:space="720"/>
        </w:sectPr>
      </w:pPr>
    </w:p>
    <w:p w:rsidR="00C31389" w:rsidRDefault="00C31389" w14:paraId="784451BC" w14:textId="77777777">
      <w:pPr>
        <w:pStyle w:val="BodyText"/>
        <w:spacing w:before="11"/>
        <w:rPr>
          <w:sz w:val="13"/>
        </w:rPr>
      </w:pPr>
    </w:p>
    <w:p w:rsidR="00C31389" w:rsidRDefault="00561FBD" w14:paraId="70009DFE" w14:textId="77777777">
      <w:pPr>
        <w:pStyle w:val="BodyText"/>
        <w:spacing w:before="92"/>
        <w:ind w:left="480" w:right="418"/>
      </w:pPr>
      <w:r>
        <w:t>Changing</w:t>
      </w:r>
      <w:r>
        <w:rPr>
          <w:spacing w:val="-4"/>
        </w:rPr>
        <w:t xml:space="preserve"> </w:t>
      </w:r>
      <w:r>
        <w:t>values</w:t>
      </w:r>
      <w:r>
        <w:rPr>
          <w:spacing w:val="-4"/>
        </w:rPr>
        <w:t xml:space="preserve"> </w:t>
      </w:r>
      <w:r>
        <w:t>and</w:t>
      </w:r>
      <w:r>
        <w:rPr>
          <w:spacing w:val="-4"/>
        </w:rPr>
        <w:t xml:space="preserve"> </w:t>
      </w:r>
      <w:r>
        <w:t>shifting</w:t>
      </w:r>
      <w:r>
        <w:rPr>
          <w:spacing w:val="-4"/>
        </w:rPr>
        <w:t xml:space="preserve"> </w:t>
      </w:r>
      <w:r>
        <w:t>program</w:t>
      </w:r>
      <w:r>
        <w:rPr>
          <w:spacing w:val="-5"/>
        </w:rPr>
        <w:t xml:space="preserve"> </w:t>
      </w:r>
      <w:r>
        <w:t>characteristics</w:t>
      </w:r>
      <w:r>
        <w:rPr>
          <w:spacing w:val="-4"/>
        </w:rPr>
        <w:t xml:space="preserve"> </w:t>
      </w:r>
      <w:r>
        <w:t>would</w:t>
      </w:r>
      <w:r>
        <w:rPr>
          <w:spacing w:val="-5"/>
        </w:rPr>
        <w:t xml:space="preserve"> </w:t>
      </w:r>
      <w:r>
        <w:t>likely</w:t>
      </w:r>
      <w:r>
        <w:rPr>
          <w:spacing w:val="-4"/>
        </w:rPr>
        <w:t xml:space="preserve"> </w:t>
      </w:r>
      <w:r>
        <w:t>cause</w:t>
      </w:r>
      <w:r>
        <w:rPr>
          <w:spacing w:val="-5"/>
        </w:rPr>
        <w:t xml:space="preserve"> </w:t>
      </w:r>
      <w:r>
        <w:t>deviations</w:t>
      </w:r>
      <w:r>
        <w:rPr>
          <w:spacing w:val="-4"/>
        </w:rPr>
        <w:t xml:space="preserve"> </w:t>
      </w:r>
      <w:r>
        <w:t>from achievable potential estimates calibrated to past program achievements.</w:t>
      </w:r>
    </w:p>
    <w:p w:rsidR="00C31389" w:rsidRDefault="00C31389" w14:paraId="62BA0D7C" w14:textId="77777777">
      <w:pPr>
        <w:pStyle w:val="BodyText"/>
        <w:spacing w:before="9"/>
        <w:rPr>
          <w:sz w:val="20"/>
        </w:rPr>
      </w:pPr>
    </w:p>
    <w:p w:rsidR="00C31389" w:rsidRDefault="00561FBD" w14:paraId="16A443C3" w14:textId="77777777">
      <w:pPr>
        <w:pStyle w:val="BodyText"/>
        <w:spacing w:before="1"/>
        <w:ind w:left="479" w:right="615"/>
      </w:pPr>
      <w:r>
        <w:t>Does</w:t>
      </w:r>
      <w:r>
        <w:rPr>
          <w:spacing w:val="-3"/>
        </w:rPr>
        <w:t xml:space="preserve"> </w:t>
      </w:r>
      <w:r>
        <w:t>calibrating</w:t>
      </w:r>
      <w:r>
        <w:rPr>
          <w:spacing w:val="-3"/>
        </w:rPr>
        <w:t xml:space="preserve"> </w:t>
      </w:r>
      <w:r>
        <w:t>to</w:t>
      </w:r>
      <w:r>
        <w:rPr>
          <w:spacing w:val="-3"/>
        </w:rPr>
        <w:t xml:space="preserve"> </w:t>
      </w:r>
      <w:r>
        <w:t>historical</w:t>
      </w:r>
      <w:r>
        <w:rPr>
          <w:spacing w:val="-3"/>
        </w:rPr>
        <w:t xml:space="preserve"> </w:t>
      </w:r>
      <w:r>
        <w:t>data</w:t>
      </w:r>
      <w:r>
        <w:rPr>
          <w:spacing w:val="-4"/>
        </w:rPr>
        <w:t xml:space="preserve"> </w:t>
      </w:r>
      <w:r>
        <w:t>constrain</w:t>
      </w:r>
      <w:r>
        <w:rPr>
          <w:spacing w:val="-3"/>
        </w:rPr>
        <w:t xml:space="preserve"> </w:t>
      </w:r>
      <w:r>
        <w:t>the</w:t>
      </w:r>
      <w:r>
        <w:rPr>
          <w:spacing w:val="-3"/>
        </w:rPr>
        <w:t xml:space="preserve"> </w:t>
      </w:r>
      <w:r>
        <w:t>future</w:t>
      </w:r>
      <w:r>
        <w:rPr>
          <w:spacing w:val="-3"/>
        </w:rPr>
        <w:t xml:space="preserve"> </w:t>
      </w:r>
      <w:r>
        <w:t>forecast?</w:t>
      </w:r>
      <w:r>
        <w:rPr>
          <w:spacing w:val="-3"/>
        </w:rPr>
        <w:t xml:space="preserve"> </w:t>
      </w:r>
      <w:r>
        <w:t>In</w:t>
      </w:r>
      <w:r>
        <w:rPr>
          <w:spacing w:val="-3"/>
        </w:rPr>
        <w:t xml:space="preserve"> </w:t>
      </w:r>
      <w:r>
        <w:t>a</w:t>
      </w:r>
      <w:r>
        <w:rPr>
          <w:spacing w:val="-3"/>
        </w:rPr>
        <w:t xml:space="preserve"> </w:t>
      </w:r>
      <w:r>
        <w:t>strictly</w:t>
      </w:r>
      <w:r>
        <w:rPr>
          <w:spacing w:val="-3"/>
        </w:rPr>
        <w:t xml:space="preserve"> </w:t>
      </w:r>
      <w:r>
        <w:t>numeric</w:t>
      </w:r>
      <w:r>
        <w:rPr>
          <w:spacing w:val="-4"/>
        </w:rPr>
        <w:t xml:space="preserve"> </w:t>
      </w:r>
      <w:r>
        <w:t>sense, yes. If a certain end use is</w:t>
      </w:r>
      <w:r>
        <w:t xml:space="preserve"> calibrated downward or upward, then future adoption and its timing are affected. Nevertheless, this should not be interpreted as “calibration constrains the level of adoption thought possible.” Rather, calibration provides a more accurate estimate of the </w:t>
      </w:r>
      <w:r>
        <w:t>rate of technology turnover in the market, current state of customer willingness, market barriers, program characteristics, and remaining adoption potential.</w:t>
      </w:r>
    </w:p>
    <w:p w:rsidR="00C31389" w:rsidRDefault="00C31389" w14:paraId="36C85107" w14:textId="77777777">
      <w:pPr>
        <w:pStyle w:val="BodyText"/>
        <w:spacing w:before="9"/>
        <w:rPr>
          <w:sz w:val="20"/>
        </w:rPr>
      </w:pPr>
    </w:p>
    <w:p w:rsidR="00C31389" w:rsidRDefault="00561FBD" w14:paraId="3DD9546E" w14:textId="77777777">
      <w:pPr>
        <w:pStyle w:val="BodyText"/>
        <w:spacing w:before="1"/>
        <w:ind w:left="480" w:right="418"/>
      </w:pPr>
      <w:r>
        <w:t>One interpretation is that the calibration process creates a floor for the remaining potential. M</w:t>
      </w:r>
      <w:r>
        <w:t>arket</w:t>
      </w:r>
      <w:r>
        <w:rPr>
          <w:spacing w:val="-3"/>
        </w:rPr>
        <w:t xml:space="preserve"> </w:t>
      </w:r>
      <w:r>
        <w:t>barriers,</w:t>
      </w:r>
      <w:r>
        <w:rPr>
          <w:spacing w:val="-3"/>
        </w:rPr>
        <w:t xml:space="preserve"> </w:t>
      </w:r>
      <w:r>
        <w:t>customer</w:t>
      </w:r>
      <w:r>
        <w:rPr>
          <w:spacing w:val="-3"/>
        </w:rPr>
        <w:t xml:space="preserve"> </w:t>
      </w:r>
      <w:r>
        <w:t>attitudes,</w:t>
      </w:r>
      <w:r>
        <w:rPr>
          <w:spacing w:val="-4"/>
        </w:rPr>
        <w:t xml:space="preserve"> </w:t>
      </w:r>
      <w:r>
        <w:t>and</w:t>
      </w:r>
      <w:r>
        <w:rPr>
          <w:spacing w:val="-3"/>
        </w:rPr>
        <w:t xml:space="preserve"> </w:t>
      </w:r>
      <w:r>
        <w:t>program</w:t>
      </w:r>
      <w:r>
        <w:rPr>
          <w:spacing w:val="-4"/>
        </w:rPr>
        <w:t xml:space="preserve"> </w:t>
      </w:r>
      <w:r>
        <w:t>efficacy</w:t>
      </w:r>
      <w:r>
        <w:rPr>
          <w:spacing w:val="-3"/>
        </w:rPr>
        <w:t xml:space="preserve"> </w:t>
      </w:r>
      <w:r>
        <w:t>generally</w:t>
      </w:r>
      <w:r>
        <w:rPr>
          <w:spacing w:val="-3"/>
        </w:rPr>
        <w:t xml:space="preserve"> </w:t>
      </w:r>
      <w:r>
        <w:t>move</w:t>
      </w:r>
      <w:r>
        <w:rPr>
          <w:spacing w:val="-3"/>
        </w:rPr>
        <w:t xml:space="preserve"> </w:t>
      </w:r>
      <w:r>
        <w:t>in</w:t>
      </w:r>
      <w:r>
        <w:rPr>
          <w:spacing w:val="-3"/>
        </w:rPr>
        <w:t xml:space="preserve"> </w:t>
      </w:r>
      <w:r>
        <w:t>the</w:t>
      </w:r>
      <w:r>
        <w:rPr>
          <w:spacing w:val="-3"/>
        </w:rPr>
        <w:t xml:space="preserve"> </w:t>
      </w:r>
      <w:r>
        <w:t>direction</w:t>
      </w:r>
      <w:r>
        <w:rPr>
          <w:spacing w:val="-3"/>
        </w:rPr>
        <w:t xml:space="preserve"> </w:t>
      </w:r>
      <w:r>
        <w:t xml:space="preserve">of </w:t>
      </w:r>
      <w:r>
        <w:rPr>
          <w:spacing w:val="-2"/>
        </w:rPr>
        <w:t>improvement.</w:t>
      </w:r>
    </w:p>
    <w:p w:rsidR="00C31389" w:rsidRDefault="00C31389" w14:paraId="5588E676" w14:textId="77777777">
      <w:pPr>
        <w:pStyle w:val="BodyText"/>
        <w:spacing w:before="10"/>
        <w:rPr>
          <w:sz w:val="20"/>
        </w:rPr>
      </w:pPr>
    </w:p>
    <w:p w:rsidR="00C31389" w:rsidRDefault="00561FBD" w14:paraId="7FFE2949" w14:textId="77777777">
      <w:pPr>
        <w:pStyle w:val="ListParagraph"/>
        <w:numPr>
          <w:ilvl w:val="1"/>
          <w:numId w:val="32"/>
        </w:numPr>
        <w:tabs>
          <w:tab w:val="left" w:pos="991"/>
        </w:tabs>
        <w:spacing w:before="1"/>
        <w:ind w:left="991" w:hanging="511"/>
        <w:rPr>
          <w:b/>
          <w:sz w:val="28"/>
        </w:rPr>
      </w:pPr>
      <w:bookmarkStart w:name="A.4_Implementing_Calibration" w:id="313"/>
      <w:bookmarkStart w:name="_bookmark232" w:id="314"/>
      <w:bookmarkEnd w:id="313"/>
      <w:bookmarkEnd w:id="314"/>
      <w:r>
        <w:rPr>
          <w:b/>
          <w:spacing w:val="-2"/>
          <w:sz w:val="28"/>
        </w:rPr>
        <w:t>Implementing</w:t>
      </w:r>
      <w:r>
        <w:rPr>
          <w:b/>
          <w:sz w:val="28"/>
        </w:rPr>
        <w:t xml:space="preserve"> </w:t>
      </w:r>
      <w:r>
        <w:rPr>
          <w:b/>
          <w:spacing w:val="-2"/>
          <w:sz w:val="28"/>
        </w:rPr>
        <w:t>Calibration</w:t>
      </w:r>
    </w:p>
    <w:p w:rsidR="00C31389" w:rsidRDefault="00561FBD" w14:paraId="5482CF5A" w14:textId="77777777">
      <w:pPr>
        <w:pStyle w:val="BodyText"/>
        <w:spacing w:before="240"/>
        <w:ind w:left="479" w:right="418"/>
      </w:pPr>
      <w:r>
        <w:t xml:space="preserve">The potential and goals study calibration process primarily seeks to develop a set of consumer decision and market </w:t>
      </w:r>
      <w:r>
        <w:t>parameters that represent recent history. Once developed, these</w:t>
      </w:r>
      <w:r>
        <w:rPr>
          <w:spacing w:val="-3"/>
        </w:rPr>
        <w:t xml:space="preserve"> </w:t>
      </w:r>
      <w:r>
        <w:t>parameters</w:t>
      </w:r>
      <w:r>
        <w:rPr>
          <w:spacing w:val="-2"/>
        </w:rPr>
        <w:t xml:space="preserve"> </w:t>
      </w:r>
      <w:r>
        <w:t>are</w:t>
      </w:r>
      <w:r>
        <w:rPr>
          <w:spacing w:val="-3"/>
        </w:rPr>
        <w:t xml:space="preserve"> </w:t>
      </w:r>
      <w:r>
        <w:t>used</w:t>
      </w:r>
      <w:r>
        <w:rPr>
          <w:spacing w:val="-3"/>
        </w:rPr>
        <w:t xml:space="preserve"> </w:t>
      </w:r>
      <w:r>
        <w:t>as</w:t>
      </w:r>
      <w:r>
        <w:rPr>
          <w:spacing w:val="-3"/>
        </w:rPr>
        <w:t xml:space="preserve"> </w:t>
      </w:r>
      <w:r>
        <w:t>the</w:t>
      </w:r>
      <w:r>
        <w:rPr>
          <w:spacing w:val="-3"/>
        </w:rPr>
        <w:t xml:space="preserve"> </w:t>
      </w:r>
      <w:r>
        <w:t>starting</w:t>
      </w:r>
      <w:r>
        <w:rPr>
          <w:spacing w:val="-3"/>
        </w:rPr>
        <w:t xml:space="preserve"> </w:t>
      </w:r>
      <w:r>
        <w:t>point</w:t>
      </w:r>
      <w:r>
        <w:rPr>
          <w:spacing w:val="-3"/>
        </w:rPr>
        <w:t xml:space="preserve"> </w:t>
      </w:r>
      <w:r>
        <w:t>for</w:t>
      </w:r>
      <w:r>
        <w:rPr>
          <w:spacing w:val="-3"/>
        </w:rPr>
        <w:t xml:space="preserve"> </w:t>
      </w:r>
      <w:r>
        <w:t>the</w:t>
      </w:r>
      <w:r>
        <w:rPr>
          <w:spacing w:val="-3"/>
        </w:rPr>
        <w:t xml:space="preserve"> </w:t>
      </w:r>
      <w:r>
        <w:t>PG</w:t>
      </w:r>
      <w:r>
        <w:rPr>
          <w:spacing w:val="-4"/>
        </w:rPr>
        <w:t xml:space="preserve"> </w:t>
      </w:r>
      <w:r>
        <w:t>Model’s</w:t>
      </w:r>
      <w:r>
        <w:rPr>
          <w:spacing w:val="-3"/>
        </w:rPr>
        <w:t xml:space="preserve"> </w:t>
      </w:r>
      <w:r>
        <w:t>stock</w:t>
      </w:r>
      <w:r>
        <w:rPr>
          <w:spacing w:val="-4"/>
        </w:rPr>
        <w:t xml:space="preserve"> </w:t>
      </w:r>
      <w:r>
        <w:t>turnover</w:t>
      </w:r>
      <w:r>
        <w:rPr>
          <w:spacing w:val="-3"/>
        </w:rPr>
        <w:t xml:space="preserve"> </w:t>
      </w:r>
      <w:r>
        <w:t>algorithms and consumer decision algorithms.</w:t>
      </w:r>
    </w:p>
    <w:p w:rsidR="00C31389" w:rsidRDefault="00C31389" w14:paraId="39599706" w14:textId="77777777">
      <w:pPr>
        <w:pStyle w:val="BodyText"/>
        <w:spacing w:before="10"/>
        <w:rPr>
          <w:sz w:val="20"/>
        </w:rPr>
      </w:pPr>
    </w:p>
    <w:p w:rsidR="00C31389" w:rsidRDefault="00561FBD" w14:paraId="3D03872A" w14:textId="77777777">
      <w:pPr>
        <w:pStyle w:val="BodyText"/>
        <w:ind w:left="480"/>
      </w:pPr>
      <w:r>
        <w:t>Developing</w:t>
      </w:r>
      <w:r>
        <w:rPr>
          <w:spacing w:val="-8"/>
        </w:rPr>
        <w:t xml:space="preserve"> </w:t>
      </w:r>
      <w:r>
        <w:t>these</w:t>
      </w:r>
      <w:r>
        <w:rPr>
          <w:spacing w:val="-8"/>
        </w:rPr>
        <w:t xml:space="preserve"> </w:t>
      </w:r>
      <w:r>
        <w:t>parameters</w:t>
      </w:r>
      <w:r>
        <w:rPr>
          <w:spacing w:val="-8"/>
        </w:rPr>
        <w:t xml:space="preserve"> </w:t>
      </w:r>
      <w:r>
        <w:t>requires</w:t>
      </w:r>
      <w:r>
        <w:rPr>
          <w:spacing w:val="-7"/>
        </w:rPr>
        <w:t xml:space="preserve"> </w:t>
      </w:r>
      <w:r>
        <w:t>historical</w:t>
      </w:r>
      <w:r>
        <w:rPr>
          <w:spacing w:val="-9"/>
        </w:rPr>
        <w:t xml:space="preserve"> </w:t>
      </w:r>
      <w:r>
        <w:t>market</w:t>
      </w:r>
      <w:r>
        <w:rPr>
          <w:spacing w:val="-8"/>
        </w:rPr>
        <w:t xml:space="preserve"> </w:t>
      </w:r>
      <w:r>
        <w:t>data.</w:t>
      </w:r>
      <w:r>
        <w:rPr>
          <w:spacing w:val="-7"/>
        </w:rPr>
        <w:t xml:space="preserve"> </w:t>
      </w:r>
      <w:r>
        <w:t>The</w:t>
      </w:r>
      <w:r>
        <w:rPr>
          <w:spacing w:val="-8"/>
        </w:rPr>
        <w:t xml:space="preserve"> </w:t>
      </w:r>
      <w:r>
        <w:t>PG</w:t>
      </w:r>
      <w:r>
        <w:rPr>
          <w:spacing w:val="-9"/>
        </w:rPr>
        <w:t xml:space="preserve"> </w:t>
      </w:r>
      <w:r>
        <w:t>Model</w:t>
      </w:r>
      <w:r>
        <w:rPr>
          <w:spacing w:val="-7"/>
        </w:rPr>
        <w:t xml:space="preserve"> </w:t>
      </w:r>
      <w:r>
        <w:rPr>
          <w:spacing w:val="-4"/>
        </w:rPr>
        <w:t>uses</w:t>
      </w:r>
    </w:p>
    <w:p w:rsidR="00C31389" w:rsidRDefault="00561FBD" w14:paraId="4B6522C2" w14:textId="77777777">
      <w:pPr>
        <w:pStyle w:val="BodyText"/>
        <w:ind w:left="480" w:right="494" w:hanging="1"/>
      </w:pPr>
      <w:r>
        <w:t>2018-2021</w:t>
      </w:r>
      <w:r>
        <w:rPr>
          <w:spacing w:val="-3"/>
        </w:rPr>
        <w:t xml:space="preserve"> </w:t>
      </w:r>
      <w:r>
        <w:t>program</w:t>
      </w:r>
      <w:r>
        <w:rPr>
          <w:spacing w:val="-4"/>
        </w:rPr>
        <w:t xml:space="preserve"> </w:t>
      </w:r>
      <w:r>
        <w:t>data</w:t>
      </w:r>
      <w:r>
        <w:rPr>
          <w:spacing w:val="-3"/>
        </w:rPr>
        <w:t xml:space="preserve"> </w:t>
      </w:r>
      <w:r>
        <w:t>(gross</w:t>
      </w:r>
      <w:r>
        <w:rPr>
          <w:spacing w:val="-3"/>
        </w:rPr>
        <w:t xml:space="preserve"> </w:t>
      </w:r>
      <w:r>
        <w:t>savings,</w:t>
      </w:r>
      <w:r>
        <w:rPr>
          <w:spacing w:val="-3"/>
        </w:rPr>
        <w:t xml:space="preserve"> </w:t>
      </w:r>
      <w:r>
        <w:t>program</w:t>
      </w:r>
      <w:r>
        <w:rPr>
          <w:spacing w:val="-4"/>
        </w:rPr>
        <w:t xml:space="preserve"> </w:t>
      </w:r>
      <w:r>
        <w:t>spending</w:t>
      </w:r>
      <w:r>
        <w:rPr>
          <w:spacing w:val="-3"/>
        </w:rPr>
        <w:t xml:space="preserve"> </w:t>
      </w:r>
      <w:r>
        <w:t>data)</w:t>
      </w:r>
      <w:r>
        <w:rPr>
          <w:spacing w:val="-3"/>
        </w:rPr>
        <w:t xml:space="preserve"> </w:t>
      </w:r>
      <w:r>
        <w:t>and</w:t>
      </w:r>
      <w:r>
        <w:rPr>
          <w:spacing w:val="-3"/>
        </w:rPr>
        <w:t xml:space="preserve"> </w:t>
      </w:r>
      <w:r>
        <w:t>performs</w:t>
      </w:r>
      <w:r>
        <w:rPr>
          <w:spacing w:val="-3"/>
        </w:rPr>
        <w:t xml:space="preserve"> </w:t>
      </w:r>
      <w:r>
        <w:t>a</w:t>
      </w:r>
      <w:r>
        <w:rPr>
          <w:spacing w:val="-3"/>
        </w:rPr>
        <w:t xml:space="preserve"> </w:t>
      </w:r>
      <w:r>
        <w:t xml:space="preserve">backcast to fit model parameters such that historical achievements are generally matched. Q1 – Q2 2022 program data was used to calibrate FS measures, as it was the </w:t>
      </w:r>
      <w:r>
        <w:t>only year for which historical achievement data was available.</w:t>
      </w:r>
    </w:p>
    <w:p w:rsidR="00C31389" w:rsidRDefault="00C31389" w14:paraId="01F357C7" w14:textId="77777777">
      <w:pPr>
        <w:pStyle w:val="BodyText"/>
        <w:spacing w:before="10"/>
        <w:rPr>
          <w:sz w:val="20"/>
        </w:rPr>
      </w:pPr>
    </w:p>
    <w:p w:rsidR="00C31389" w:rsidRDefault="00561FBD" w14:paraId="6F7B24F6" w14:textId="77777777">
      <w:pPr>
        <w:pStyle w:val="BodyText"/>
        <w:ind w:left="480" w:right="418"/>
      </w:pPr>
      <w:r>
        <w:t>The</w:t>
      </w:r>
      <w:r>
        <w:rPr>
          <w:spacing w:val="-3"/>
        </w:rPr>
        <w:t xml:space="preserve"> </w:t>
      </w:r>
      <w:r>
        <w:t>Guidehouse</w:t>
      </w:r>
      <w:r>
        <w:rPr>
          <w:spacing w:val="-3"/>
        </w:rPr>
        <w:t xml:space="preserve"> </w:t>
      </w:r>
      <w:r>
        <w:t>team</w:t>
      </w:r>
      <w:r>
        <w:rPr>
          <w:spacing w:val="-4"/>
        </w:rPr>
        <w:t xml:space="preserve"> </w:t>
      </w:r>
      <w:r>
        <w:t>calibrated</w:t>
      </w:r>
      <w:r>
        <w:rPr>
          <w:spacing w:val="-3"/>
        </w:rPr>
        <w:t xml:space="preserve"> </w:t>
      </w:r>
      <w:r>
        <w:t>by</w:t>
      </w:r>
      <w:r>
        <w:rPr>
          <w:spacing w:val="-4"/>
        </w:rPr>
        <w:t xml:space="preserve"> </w:t>
      </w:r>
      <w:r>
        <w:t>reviewing</w:t>
      </w:r>
      <w:r>
        <w:rPr>
          <w:spacing w:val="-3"/>
        </w:rPr>
        <w:t xml:space="preserve"> </w:t>
      </w:r>
      <w:r>
        <w:t>the</w:t>
      </w:r>
      <w:r>
        <w:rPr>
          <w:spacing w:val="-3"/>
        </w:rPr>
        <w:t xml:space="preserve"> </w:t>
      </w:r>
      <w:r>
        <w:t>EE</w:t>
      </w:r>
      <w:r>
        <w:rPr>
          <w:spacing w:val="-4"/>
        </w:rPr>
        <w:t xml:space="preserve"> </w:t>
      </w:r>
      <w:r>
        <w:t>portfolio</w:t>
      </w:r>
      <w:r>
        <w:rPr>
          <w:spacing w:val="-3"/>
        </w:rPr>
        <w:t xml:space="preserve"> </w:t>
      </w:r>
      <w:r>
        <w:t>data</w:t>
      </w:r>
      <w:r>
        <w:rPr>
          <w:spacing w:val="-3"/>
        </w:rPr>
        <w:t xml:space="preserve"> </w:t>
      </w:r>
      <w:r>
        <w:t>from</w:t>
      </w:r>
      <w:r>
        <w:rPr>
          <w:spacing w:val="-4"/>
        </w:rPr>
        <w:t xml:space="preserve"> </w:t>
      </w:r>
      <w:r>
        <w:t>2018</w:t>
      </w:r>
      <w:r>
        <w:rPr>
          <w:spacing w:val="-3"/>
        </w:rPr>
        <w:t xml:space="preserve"> </w:t>
      </w:r>
      <w:r>
        <w:t>through</w:t>
      </w:r>
      <w:r>
        <w:rPr>
          <w:spacing w:val="-3"/>
        </w:rPr>
        <w:t xml:space="preserve"> </w:t>
      </w:r>
      <w:r>
        <w:t>2021 to assess how the market has reacted to program offerings in the past. This method calibrated gross pro</w:t>
      </w:r>
      <w:r>
        <w:t>gram savings in the PG Model to gross program savings in the</w:t>
      </w:r>
    </w:p>
    <w:p w:rsidR="00C31389" w:rsidRDefault="00561FBD" w14:paraId="6245EFFF" w14:textId="77777777">
      <w:pPr>
        <w:pStyle w:val="BodyText"/>
        <w:ind w:left="480" w:right="418" w:hanging="1"/>
      </w:pPr>
      <w:r>
        <w:t>2018-2021 period. After reviewing the gross savings calibration, the Guidehouse team additionally calibrated on the resulting program cost to further tune the incentive levels offered to each end</w:t>
      </w:r>
      <w:r>
        <w:t xml:space="preserve"> use. In some cases, the first calibration step of gross savings matched the historical gross savings, but the resulting program costs may have been significantly different. This result implies the model overpredicts or underpredicts the sensitivity of cus</w:t>
      </w:r>
      <w:r>
        <w:t>tomers to rebates. The Guidehouse team further tuned the incentive levels (within their specified</w:t>
      </w:r>
      <w:r>
        <w:rPr>
          <w:spacing w:val="-4"/>
        </w:rPr>
        <w:t xml:space="preserve"> </w:t>
      </w:r>
      <w:r>
        <w:t>scenario</w:t>
      </w:r>
      <w:r>
        <w:rPr>
          <w:spacing w:val="-3"/>
        </w:rPr>
        <w:t xml:space="preserve"> </w:t>
      </w:r>
      <w:r>
        <w:t>caps).</w:t>
      </w:r>
      <w:r>
        <w:rPr>
          <w:spacing w:val="-3"/>
        </w:rPr>
        <w:t xml:space="preserve"> </w:t>
      </w:r>
      <w:r>
        <w:t>Changing</w:t>
      </w:r>
      <w:r>
        <w:rPr>
          <w:spacing w:val="-3"/>
        </w:rPr>
        <w:t xml:space="preserve"> </w:t>
      </w:r>
      <w:r>
        <w:t>incentives</w:t>
      </w:r>
      <w:r>
        <w:rPr>
          <w:spacing w:val="-3"/>
        </w:rPr>
        <w:t xml:space="preserve"> </w:t>
      </w:r>
      <w:r>
        <w:t>would</w:t>
      </w:r>
      <w:r>
        <w:rPr>
          <w:spacing w:val="-3"/>
        </w:rPr>
        <w:t xml:space="preserve"> </w:t>
      </w:r>
      <w:r>
        <w:t>result</w:t>
      </w:r>
      <w:r>
        <w:rPr>
          <w:spacing w:val="-4"/>
        </w:rPr>
        <w:t xml:space="preserve"> </w:t>
      </w:r>
      <w:r>
        <w:t>in</w:t>
      </w:r>
      <w:r>
        <w:rPr>
          <w:spacing w:val="-3"/>
        </w:rPr>
        <w:t xml:space="preserve"> </w:t>
      </w:r>
      <w:r>
        <w:t>a</w:t>
      </w:r>
      <w:r>
        <w:rPr>
          <w:spacing w:val="-3"/>
        </w:rPr>
        <w:t xml:space="preserve"> </w:t>
      </w:r>
      <w:r>
        <w:t>change</w:t>
      </w:r>
      <w:r>
        <w:rPr>
          <w:spacing w:val="-3"/>
        </w:rPr>
        <w:t xml:space="preserve"> </w:t>
      </w:r>
      <w:r>
        <w:t>in</w:t>
      </w:r>
      <w:r>
        <w:rPr>
          <w:spacing w:val="-3"/>
        </w:rPr>
        <w:t xml:space="preserve"> </w:t>
      </w:r>
      <w:r>
        <w:t>gross</w:t>
      </w:r>
      <w:r>
        <w:rPr>
          <w:spacing w:val="-3"/>
        </w:rPr>
        <w:t xml:space="preserve"> </w:t>
      </w:r>
      <w:r>
        <w:t>savings,</w:t>
      </w:r>
      <w:r>
        <w:rPr>
          <w:spacing w:val="-3"/>
        </w:rPr>
        <w:t xml:space="preserve"> </w:t>
      </w:r>
      <w:r>
        <w:t>so an iterative</w:t>
      </w:r>
      <w:r>
        <w:rPr>
          <w:spacing w:val="-1"/>
        </w:rPr>
        <w:t xml:space="preserve"> </w:t>
      </w:r>
      <w:r>
        <w:t>process of adjusting factors to calibrate gross savings and pro</w:t>
      </w:r>
      <w:r>
        <w:t>gram</w:t>
      </w:r>
      <w:r>
        <w:rPr>
          <w:spacing w:val="-1"/>
        </w:rPr>
        <w:t xml:space="preserve"> </w:t>
      </w:r>
      <w:r>
        <w:t>budget was needed in some cases.</w:t>
      </w:r>
    </w:p>
    <w:p w:rsidR="00C31389" w:rsidRDefault="00C31389" w14:paraId="3014F982" w14:textId="77777777">
      <w:pPr>
        <w:pStyle w:val="BodyText"/>
        <w:spacing w:before="11"/>
        <w:rPr>
          <w:sz w:val="20"/>
        </w:rPr>
      </w:pPr>
    </w:p>
    <w:p w:rsidR="00C31389" w:rsidRDefault="00561FBD" w14:paraId="2FB4AAF9" w14:textId="77777777">
      <w:pPr>
        <w:pStyle w:val="BodyText"/>
        <w:ind w:left="480" w:right="505"/>
      </w:pPr>
      <w:r>
        <w:t>For some sectors and end uses, this primary calibration method was not possible because program offerings and the market have significantly changed since 2018 and the PG Model no</w:t>
      </w:r>
      <w:r>
        <w:rPr>
          <w:spacing w:val="-3"/>
        </w:rPr>
        <w:t xml:space="preserve"> </w:t>
      </w:r>
      <w:r>
        <w:t>longer</w:t>
      </w:r>
      <w:r>
        <w:rPr>
          <w:spacing w:val="-3"/>
        </w:rPr>
        <w:t xml:space="preserve"> </w:t>
      </w:r>
      <w:r>
        <w:t>tracked</w:t>
      </w:r>
      <w:r>
        <w:rPr>
          <w:spacing w:val="-3"/>
        </w:rPr>
        <w:t xml:space="preserve"> </w:t>
      </w:r>
      <w:r>
        <w:t>below</w:t>
      </w:r>
      <w:r>
        <w:rPr>
          <w:spacing w:val="-5"/>
        </w:rPr>
        <w:t xml:space="preserve"> </w:t>
      </w:r>
      <w:r>
        <w:t>code</w:t>
      </w:r>
      <w:r>
        <w:rPr>
          <w:spacing w:val="-3"/>
        </w:rPr>
        <w:t xml:space="preserve"> </w:t>
      </w:r>
      <w:r>
        <w:t>technologies</w:t>
      </w:r>
      <w:r>
        <w:rPr>
          <w:spacing w:val="-3"/>
        </w:rPr>
        <w:t xml:space="preserve"> </w:t>
      </w:r>
      <w:r>
        <w:t>(e.g.,</w:t>
      </w:r>
      <w:r>
        <w:rPr>
          <w:spacing w:val="-3"/>
        </w:rPr>
        <w:t xml:space="preserve"> </w:t>
      </w:r>
      <w:r>
        <w:t>lighting</w:t>
      </w:r>
      <w:r>
        <w:rPr>
          <w:spacing w:val="-3"/>
        </w:rPr>
        <w:t xml:space="preserve"> </w:t>
      </w:r>
      <w:r>
        <w:t>programs</w:t>
      </w:r>
      <w:r>
        <w:rPr>
          <w:spacing w:val="-3"/>
        </w:rPr>
        <w:t xml:space="preserve"> </w:t>
      </w:r>
      <w:r>
        <w:t>and</w:t>
      </w:r>
      <w:r>
        <w:rPr>
          <w:spacing w:val="-3"/>
        </w:rPr>
        <w:t xml:space="preserve"> </w:t>
      </w:r>
      <w:r>
        <w:t>the</w:t>
      </w:r>
      <w:r>
        <w:rPr>
          <w:spacing w:val="-3"/>
        </w:rPr>
        <w:t xml:space="preserve"> </w:t>
      </w:r>
      <w:r>
        <w:t>baseline</w:t>
      </w:r>
      <w:r>
        <w:rPr>
          <w:spacing w:val="-4"/>
        </w:rPr>
        <w:t xml:space="preserve"> </w:t>
      </w:r>
      <w:r>
        <w:t xml:space="preserve">change from CFLs to LEDs). When the primary calibration method was not possible, a secondary method was used that focused on tuning saturation and penetration rates of the end use as a whole to market data. For </w:t>
      </w:r>
      <w:r>
        <w:t>example, the 2019 Residential Appliance Saturation Study (RASS) provides data on the saturation of residential LEDs in 2019. This saturation is a more</w:t>
      </w:r>
      <w:r>
        <w:rPr>
          <w:spacing w:val="-2"/>
        </w:rPr>
        <w:t xml:space="preserve"> </w:t>
      </w:r>
      <w:r>
        <w:t>reliable</w:t>
      </w:r>
      <w:r>
        <w:rPr>
          <w:spacing w:val="-2"/>
        </w:rPr>
        <w:t xml:space="preserve"> </w:t>
      </w:r>
      <w:r>
        <w:t>calibration</w:t>
      </w:r>
      <w:r>
        <w:rPr>
          <w:spacing w:val="-3"/>
        </w:rPr>
        <w:t xml:space="preserve"> </w:t>
      </w:r>
      <w:r>
        <w:t>target</w:t>
      </w:r>
      <w:r>
        <w:rPr>
          <w:spacing w:val="-2"/>
        </w:rPr>
        <w:t xml:space="preserve"> </w:t>
      </w:r>
      <w:r>
        <w:t>because</w:t>
      </w:r>
      <w:r>
        <w:rPr>
          <w:spacing w:val="-2"/>
        </w:rPr>
        <w:t xml:space="preserve"> </w:t>
      </w:r>
      <w:r>
        <w:t>it</w:t>
      </w:r>
      <w:r>
        <w:rPr>
          <w:spacing w:val="-2"/>
        </w:rPr>
        <w:t xml:space="preserve"> </w:t>
      </w:r>
      <w:r>
        <w:t>seeds</w:t>
      </w:r>
      <w:r>
        <w:rPr>
          <w:spacing w:val="-3"/>
        </w:rPr>
        <w:t xml:space="preserve"> </w:t>
      </w:r>
      <w:r>
        <w:t>the</w:t>
      </w:r>
      <w:r>
        <w:rPr>
          <w:spacing w:val="-2"/>
        </w:rPr>
        <w:t xml:space="preserve"> </w:t>
      </w:r>
      <w:r>
        <w:t>model</w:t>
      </w:r>
      <w:r>
        <w:rPr>
          <w:spacing w:val="-2"/>
        </w:rPr>
        <w:t xml:space="preserve"> </w:t>
      </w:r>
      <w:r>
        <w:t>with</w:t>
      </w:r>
      <w:r>
        <w:rPr>
          <w:spacing w:val="-2"/>
        </w:rPr>
        <w:t xml:space="preserve"> </w:t>
      </w:r>
      <w:r>
        <w:t>an</w:t>
      </w:r>
      <w:r>
        <w:rPr>
          <w:spacing w:val="-2"/>
        </w:rPr>
        <w:t xml:space="preserve"> </w:t>
      </w:r>
      <w:r>
        <w:t>accurate</w:t>
      </w:r>
      <w:r>
        <w:rPr>
          <w:spacing w:val="-2"/>
        </w:rPr>
        <w:t xml:space="preserve"> </w:t>
      </w:r>
      <w:r>
        <w:t>starting</w:t>
      </w:r>
      <w:r>
        <w:rPr>
          <w:spacing w:val="-3"/>
        </w:rPr>
        <w:t xml:space="preserve"> </w:t>
      </w:r>
      <w:r>
        <w:t>point</w:t>
      </w:r>
      <w:r>
        <w:rPr>
          <w:spacing w:val="-2"/>
        </w:rPr>
        <w:t xml:space="preserve"> </w:t>
      </w:r>
      <w:r>
        <w:t>to assess the pote</w:t>
      </w:r>
      <w:r>
        <w:t>ntial for future high efficiency LED savings.</w:t>
      </w:r>
    </w:p>
    <w:p w:rsidR="00C31389" w:rsidRDefault="00C31389" w14:paraId="410FD585" w14:textId="77777777">
      <w:pPr>
        <w:pStyle w:val="BodyText"/>
        <w:spacing w:before="9"/>
        <w:rPr>
          <w:sz w:val="20"/>
        </w:rPr>
      </w:pPr>
    </w:p>
    <w:p w:rsidR="00C31389" w:rsidRDefault="00561FBD" w14:paraId="177F1899" w14:textId="77777777">
      <w:pPr>
        <w:pStyle w:val="BodyText"/>
        <w:ind w:left="479" w:right="418"/>
      </w:pPr>
      <w:r>
        <w:t>To</w:t>
      </w:r>
      <w:r>
        <w:rPr>
          <w:spacing w:val="-3"/>
        </w:rPr>
        <w:t xml:space="preserve"> </w:t>
      </w:r>
      <w:r>
        <w:t>execute</w:t>
      </w:r>
      <w:r>
        <w:rPr>
          <w:spacing w:val="-4"/>
        </w:rPr>
        <w:t xml:space="preserve"> </w:t>
      </w:r>
      <w:r>
        <w:t>calibration,</w:t>
      </w:r>
      <w:r>
        <w:rPr>
          <w:spacing w:val="-4"/>
        </w:rPr>
        <w:t xml:space="preserve"> </w:t>
      </w:r>
      <w:r>
        <w:t>the</w:t>
      </w:r>
      <w:r>
        <w:rPr>
          <w:spacing w:val="-3"/>
        </w:rPr>
        <w:t xml:space="preserve"> </w:t>
      </w:r>
      <w:r>
        <w:t>Guidehouse</w:t>
      </w:r>
      <w:r>
        <w:rPr>
          <w:spacing w:val="-3"/>
        </w:rPr>
        <w:t xml:space="preserve"> </w:t>
      </w:r>
      <w:r>
        <w:t>team</w:t>
      </w:r>
      <w:r>
        <w:rPr>
          <w:spacing w:val="-4"/>
        </w:rPr>
        <w:t xml:space="preserve"> </w:t>
      </w:r>
      <w:r>
        <w:t>adjusted</w:t>
      </w:r>
      <w:r>
        <w:rPr>
          <w:spacing w:val="-3"/>
        </w:rPr>
        <w:t xml:space="preserve"> </w:t>
      </w:r>
      <w:r>
        <w:t>model</w:t>
      </w:r>
      <w:r>
        <w:rPr>
          <w:spacing w:val="-3"/>
        </w:rPr>
        <w:t xml:space="preserve"> </w:t>
      </w:r>
      <w:r>
        <w:t>parameters</w:t>
      </w:r>
      <w:r>
        <w:rPr>
          <w:spacing w:val="-3"/>
        </w:rPr>
        <w:t xml:space="preserve"> </w:t>
      </w:r>
      <w:r>
        <w:t>and</w:t>
      </w:r>
      <w:r>
        <w:rPr>
          <w:spacing w:val="-3"/>
        </w:rPr>
        <w:t xml:space="preserve"> </w:t>
      </w:r>
      <w:r>
        <w:t>compared</w:t>
      </w:r>
      <w:r>
        <w:rPr>
          <w:spacing w:val="-3"/>
        </w:rPr>
        <w:t xml:space="preserve"> </w:t>
      </w:r>
      <w:r>
        <w:t>the backcast of the model against historical program data for 2018-2021. Guidehouse made individual adjustments to four key le</w:t>
      </w:r>
      <w:r>
        <w:t xml:space="preserve">vers (listed in </w:t>
      </w:r>
      <w:hyperlink w:history="1" w:anchor="_bookmark233">
        <w:r>
          <w:t>Table A-1</w:t>
        </w:r>
      </w:hyperlink>
      <w:r>
        <w:t>) primarily at the IOU, sector,</w:t>
      </w:r>
    </w:p>
    <w:p w:rsidR="00C31389" w:rsidRDefault="00C31389" w14:paraId="01DF71CA" w14:textId="77777777">
      <w:pPr>
        <w:sectPr w:rsidR="00C31389">
          <w:pgSz w:w="11910" w:h="16840"/>
          <w:pgMar w:top="1660" w:right="1020" w:bottom="1120" w:left="960" w:header="397" w:footer="938" w:gutter="0"/>
          <w:cols w:space="720"/>
        </w:sectPr>
      </w:pPr>
    </w:p>
    <w:p w:rsidR="00C31389" w:rsidRDefault="00C31389" w14:paraId="741CFB71" w14:textId="77777777">
      <w:pPr>
        <w:pStyle w:val="BodyText"/>
        <w:spacing w:before="11"/>
        <w:rPr>
          <w:sz w:val="13"/>
        </w:rPr>
      </w:pPr>
    </w:p>
    <w:p w:rsidR="00C31389" w:rsidRDefault="00561FBD" w14:paraId="16E70C93" w14:textId="77777777">
      <w:pPr>
        <w:pStyle w:val="BodyText"/>
        <w:spacing w:before="92"/>
        <w:ind w:left="480" w:right="418"/>
      </w:pPr>
      <w:r>
        <w:t>and end use levels until achieving a reasonable match with historical data. In some cases where</w:t>
      </w:r>
      <w:r>
        <w:rPr>
          <w:spacing w:val="-3"/>
        </w:rPr>
        <w:t xml:space="preserve"> </w:t>
      </w:r>
      <w:r>
        <w:t>a</w:t>
      </w:r>
      <w:r>
        <w:rPr>
          <w:spacing w:val="-3"/>
        </w:rPr>
        <w:t xml:space="preserve"> </w:t>
      </w:r>
      <w:r>
        <w:t>specific</w:t>
      </w:r>
      <w:r>
        <w:rPr>
          <w:spacing w:val="-3"/>
        </w:rPr>
        <w:t xml:space="preserve"> </w:t>
      </w:r>
      <w:r>
        <w:t>technol</w:t>
      </w:r>
      <w:r>
        <w:t>ogy</w:t>
      </w:r>
      <w:r>
        <w:rPr>
          <w:spacing w:val="-3"/>
        </w:rPr>
        <w:t xml:space="preserve"> </w:t>
      </w:r>
      <w:r>
        <w:t>witnessed</w:t>
      </w:r>
      <w:r>
        <w:rPr>
          <w:spacing w:val="-3"/>
        </w:rPr>
        <w:t xml:space="preserve"> </w:t>
      </w:r>
      <w:r>
        <w:t>adoption</w:t>
      </w:r>
      <w:r>
        <w:rPr>
          <w:spacing w:val="-4"/>
        </w:rPr>
        <w:t xml:space="preserve"> </w:t>
      </w:r>
      <w:r>
        <w:t>at</w:t>
      </w:r>
      <w:r>
        <w:rPr>
          <w:spacing w:val="-2"/>
        </w:rPr>
        <w:t xml:space="preserve"> </w:t>
      </w:r>
      <w:r>
        <w:t>unexpectedly</w:t>
      </w:r>
      <w:r>
        <w:rPr>
          <w:spacing w:val="-3"/>
        </w:rPr>
        <w:t xml:space="preserve"> </w:t>
      </w:r>
      <w:r>
        <w:t>high</w:t>
      </w:r>
      <w:r>
        <w:rPr>
          <w:spacing w:val="-3"/>
        </w:rPr>
        <w:t xml:space="preserve"> </w:t>
      </w:r>
      <w:r>
        <w:t>or</w:t>
      </w:r>
      <w:r>
        <w:rPr>
          <w:spacing w:val="-4"/>
        </w:rPr>
        <w:t xml:space="preserve"> </w:t>
      </w:r>
      <w:r>
        <w:t>low</w:t>
      </w:r>
      <w:r>
        <w:rPr>
          <w:spacing w:val="-4"/>
        </w:rPr>
        <w:t xml:space="preserve"> </w:t>
      </w:r>
      <w:r>
        <w:t>levels,</w:t>
      </w:r>
      <w:r>
        <w:rPr>
          <w:spacing w:val="-3"/>
        </w:rPr>
        <w:t xml:space="preserve"> </w:t>
      </w:r>
      <w:r>
        <w:t>the</w:t>
      </w:r>
      <w:r>
        <w:rPr>
          <w:spacing w:val="-3"/>
        </w:rPr>
        <w:t xml:space="preserve"> </w:t>
      </w:r>
      <w:r>
        <w:t xml:space="preserve">team adjusted these levers at the technology level; adjusting at the end use level in these cases would cause the entire end use to undershoot or overshoot the historical program </w:t>
      </w:r>
      <w:r>
        <w:t>targets.</w:t>
      </w:r>
    </w:p>
    <w:p w:rsidR="00C31389" w:rsidRDefault="00C31389" w14:paraId="38DA2ACF" w14:textId="77777777">
      <w:pPr>
        <w:pStyle w:val="BodyText"/>
        <w:spacing w:before="10"/>
        <w:rPr>
          <w:sz w:val="20"/>
        </w:rPr>
      </w:pPr>
    </w:p>
    <w:p w:rsidR="00C31389" w:rsidRDefault="00561FBD" w14:paraId="24A92503" w14:textId="77777777">
      <w:pPr>
        <w:pStyle w:val="Heading7"/>
        <w:ind w:left="398" w:right="339"/>
        <w:jc w:val="center"/>
      </w:pPr>
      <w:bookmarkStart w:name="_bookmark233" w:id="315"/>
      <w:bookmarkEnd w:id="315"/>
      <w:r>
        <w:t>Table</w:t>
      </w:r>
      <w:r>
        <w:rPr>
          <w:spacing w:val="-9"/>
        </w:rPr>
        <w:t xml:space="preserve"> </w:t>
      </w:r>
      <w:r>
        <w:t>A-1.</w:t>
      </w:r>
      <w:r>
        <w:rPr>
          <w:spacing w:val="-9"/>
        </w:rPr>
        <w:t xml:space="preserve"> </w:t>
      </w:r>
      <w:r>
        <w:t>Calibration</w:t>
      </w:r>
      <w:r>
        <w:rPr>
          <w:spacing w:val="-8"/>
        </w:rPr>
        <w:t xml:space="preserve"> </w:t>
      </w:r>
      <w:r>
        <w:rPr>
          <w:spacing w:val="-2"/>
        </w:rPr>
        <w:t>Levers</w:t>
      </w:r>
    </w:p>
    <w:p w:rsidR="00C31389" w:rsidRDefault="00C31389" w14:paraId="07FDA774" w14:textId="77777777">
      <w:pPr>
        <w:pStyle w:val="BodyText"/>
        <w:spacing w:before="7"/>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1779"/>
        <w:gridCol w:w="7595"/>
      </w:tblGrid>
      <w:tr w:rsidR="00C31389" w14:paraId="103FE46C" w14:textId="77777777">
        <w:trPr>
          <w:trHeight w:val="307"/>
        </w:trPr>
        <w:tc>
          <w:tcPr>
            <w:tcW w:w="1779" w:type="dxa"/>
            <w:shd w:val="clear" w:color="auto" w:fill="92D400"/>
          </w:tcPr>
          <w:p w:rsidR="00C31389" w:rsidRDefault="00561FBD" w14:paraId="290DCBEF" w14:textId="77777777">
            <w:pPr>
              <w:pStyle w:val="TableParagraph"/>
              <w:spacing w:before="53"/>
              <w:ind w:left="129"/>
              <w:rPr>
                <w:b/>
                <w:sz w:val="20"/>
              </w:rPr>
            </w:pPr>
            <w:r>
              <w:rPr>
                <w:b/>
                <w:spacing w:val="-2"/>
                <w:sz w:val="20"/>
              </w:rPr>
              <w:t>Lever</w:t>
            </w:r>
          </w:p>
        </w:tc>
        <w:tc>
          <w:tcPr>
            <w:tcW w:w="7595" w:type="dxa"/>
            <w:shd w:val="clear" w:color="auto" w:fill="92D400"/>
          </w:tcPr>
          <w:p w:rsidR="00C31389" w:rsidRDefault="00561FBD" w14:paraId="11554B8C" w14:textId="77777777">
            <w:pPr>
              <w:pStyle w:val="TableParagraph"/>
              <w:spacing w:before="53"/>
              <w:ind w:left="181"/>
              <w:rPr>
                <w:b/>
                <w:sz w:val="20"/>
              </w:rPr>
            </w:pPr>
            <w:r>
              <w:rPr>
                <w:b/>
                <w:sz w:val="20"/>
              </w:rPr>
              <w:t>Drivers</w:t>
            </w:r>
            <w:r>
              <w:rPr>
                <w:b/>
                <w:spacing w:val="-4"/>
                <w:sz w:val="20"/>
              </w:rPr>
              <w:t xml:space="preserve"> </w:t>
            </w:r>
            <w:r>
              <w:rPr>
                <w:b/>
                <w:sz w:val="20"/>
              </w:rPr>
              <w:t>and</w:t>
            </w:r>
            <w:r>
              <w:rPr>
                <w:b/>
                <w:spacing w:val="-3"/>
                <w:sz w:val="20"/>
              </w:rPr>
              <w:t xml:space="preserve"> </w:t>
            </w:r>
            <w:r>
              <w:rPr>
                <w:b/>
                <w:sz w:val="20"/>
              </w:rPr>
              <w:t>Impact</w:t>
            </w:r>
            <w:r>
              <w:rPr>
                <w:b/>
                <w:spacing w:val="-2"/>
                <w:sz w:val="20"/>
              </w:rPr>
              <w:t xml:space="preserve"> </w:t>
            </w:r>
            <w:r>
              <w:rPr>
                <w:b/>
                <w:sz w:val="20"/>
              </w:rPr>
              <w:t>on</w:t>
            </w:r>
            <w:r>
              <w:rPr>
                <w:b/>
                <w:spacing w:val="-3"/>
                <w:sz w:val="20"/>
              </w:rPr>
              <w:t xml:space="preserve"> </w:t>
            </w:r>
            <w:r>
              <w:rPr>
                <w:b/>
                <w:sz w:val="20"/>
              </w:rPr>
              <w:t>Model</w:t>
            </w:r>
            <w:r>
              <w:rPr>
                <w:b/>
                <w:spacing w:val="-3"/>
                <w:sz w:val="20"/>
              </w:rPr>
              <w:t xml:space="preserve"> </w:t>
            </w:r>
            <w:r>
              <w:rPr>
                <w:b/>
                <w:spacing w:val="-2"/>
                <w:sz w:val="20"/>
              </w:rPr>
              <w:t>Results</w:t>
            </w:r>
          </w:p>
        </w:tc>
      </w:tr>
      <w:tr w:rsidR="00C31389" w14:paraId="2F49B546" w14:textId="77777777">
        <w:trPr>
          <w:trHeight w:val="1850"/>
        </w:trPr>
        <w:tc>
          <w:tcPr>
            <w:tcW w:w="1779" w:type="dxa"/>
            <w:tcBorders>
              <w:bottom w:val="single" w:color="D9D9D9" w:sz="2" w:space="0"/>
            </w:tcBorders>
          </w:tcPr>
          <w:p w:rsidR="00C31389" w:rsidRDefault="00C31389" w14:paraId="7E2ABD4D" w14:textId="77777777">
            <w:pPr>
              <w:pStyle w:val="TableParagraph"/>
              <w:spacing w:before="0"/>
              <w:rPr>
                <w:b/>
              </w:rPr>
            </w:pPr>
          </w:p>
          <w:p w:rsidR="00C31389" w:rsidRDefault="00C31389" w14:paraId="48AD2A68" w14:textId="77777777">
            <w:pPr>
              <w:pStyle w:val="TableParagraph"/>
              <w:spacing w:before="0"/>
              <w:rPr>
                <w:b/>
              </w:rPr>
            </w:pPr>
          </w:p>
          <w:p w:rsidR="00C31389" w:rsidRDefault="00C31389" w14:paraId="3640C64D" w14:textId="77777777">
            <w:pPr>
              <w:pStyle w:val="TableParagraph"/>
              <w:spacing w:before="5"/>
              <w:rPr>
                <w:b/>
                <w:sz w:val="26"/>
              </w:rPr>
            </w:pPr>
          </w:p>
          <w:p w:rsidR="00C31389" w:rsidRDefault="00561FBD" w14:paraId="6E044EBD" w14:textId="77777777">
            <w:pPr>
              <w:pStyle w:val="TableParagraph"/>
              <w:spacing w:before="1"/>
              <w:ind w:left="129"/>
              <w:rPr>
                <w:b/>
                <w:sz w:val="20"/>
              </w:rPr>
            </w:pPr>
            <w:r>
              <w:rPr>
                <w:b/>
                <w:spacing w:val="-2"/>
                <w:sz w:val="20"/>
              </w:rPr>
              <w:t>Awareness</w:t>
            </w:r>
          </w:p>
        </w:tc>
        <w:tc>
          <w:tcPr>
            <w:tcW w:w="7595" w:type="dxa"/>
            <w:tcBorders>
              <w:bottom w:val="single" w:color="D9D9D9" w:sz="2" w:space="0"/>
            </w:tcBorders>
          </w:tcPr>
          <w:p w:rsidR="00C31389" w:rsidRDefault="00561FBD" w14:paraId="364D8F8A" w14:textId="77777777">
            <w:pPr>
              <w:pStyle w:val="TableParagraph"/>
              <w:numPr>
                <w:ilvl w:val="0"/>
                <w:numId w:val="30"/>
              </w:numPr>
              <w:tabs>
                <w:tab w:val="left" w:pos="440"/>
              </w:tabs>
              <w:spacing w:line="247" w:lineRule="auto"/>
              <w:ind w:right="246"/>
              <w:rPr>
                <w:sz w:val="20"/>
              </w:rPr>
            </w:pPr>
            <w:r>
              <w:rPr>
                <w:sz w:val="20"/>
              </w:rPr>
              <w:t>Increasing</w:t>
            </w:r>
            <w:r>
              <w:rPr>
                <w:spacing w:val="-4"/>
                <w:sz w:val="20"/>
              </w:rPr>
              <w:t xml:space="preserve"> </w:t>
            </w:r>
            <w:r>
              <w:rPr>
                <w:sz w:val="20"/>
              </w:rPr>
              <w:t>initial</w:t>
            </w:r>
            <w:r>
              <w:rPr>
                <w:spacing w:val="-4"/>
                <w:sz w:val="20"/>
              </w:rPr>
              <w:t xml:space="preserve"> </w:t>
            </w:r>
            <w:r>
              <w:rPr>
                <w:sz w:val="20"/>
              </w:rPr>
              <w:t>awareness</w:t>
            </w:r>
            <w:r>
              <w:rPr>
                <w:spacing w:val="-3"/>
                <w:sz w:val="20"/>
              </w:rPr>
              <w:t xml:space="preserve"> </w:t>
            </w:r>
            <w:r>
              <w:rPr>
                <w:sz w:val="20"/>
              </w:rPr>
              <w:t>shortens</w:t>
            </w:r>
            <w:r>
              <w:rPr>
                <w:spacing w:val="-3"/>
                <w:sz w:val="20"/>
              </w:rPr>
              <w:t xml:space="preserve"> </w:t>
            </w:r>
            <w:r>
              <w:rPr>
                <w:sz w:val="20"/>
              </w:rPr>
              <w:t>the</w:t>
            </w:r>
            <w:r>
              <w:rPr>
                <w:spacing w:val="-4"/>
                <w:sz w:val="20"/>
              </w:rPr>
              <w:t xml:space="preserve"> </w:t>
            </w:r>
            <w:r>
              <w:rPr>
                <w:sz w:val="20"/>
              </w:rPr>
              <w:t>time</w:t>
            </w:r>
            <w:r>
              <w:rPr>
                <w:spacing w:val="-4"/>
                <w:sz w:val="20"/>
              </w:rPr>
              <w:t xml:space="preserve"> </w:t>
            </w:r>
            <w:r>
              <w:rPr>
                <w:sz w:val="20"/>
              </w:rPr>
              <w:t>required</w:t>
            </w:r>
            <w:r>
              <w:rPr>
                <w:spacing w:val="-4"/>
                <w:sz w:val="20"/>
              </w:rPr>
              <w:t xml:space="preserve"> </w:t>
            </w:r>
            <w:r>
              <w:rPr>
                <w:sz w:val="20"/>
              </w:rPr>
              <w:t>for</w:t>
            </w:r>
            <w:r>
              <w:rPr>
                <w:spacing w:val="-3"/>
                <w:sz w:val="20"/>
              </w:rPr>
              <w:t xml:space="preserve"> </w:t>
            </w:r>
            <w:r>
              <w:rPr>
                <w:sz w:val="20"/>
              </w:rPr>
              <w:t>a</w:t>
            </w:r>
            <w:r>
              <w:rPr>
                <w:spacing w:val="-4"/>
                <w:sz w:val="20"/>
              </w:rPr>
              <w:t xml:space="preserve"> </w:t>
            </w:r>
            <w:r>
              <w:rPr>
                <w:sz w:val="20"/>
              </w:rPr>
              <w:t>measure</w:t>
            </w:r>
            <w:r>
              <w:rPr>
                <w:spacing w:val="-4"/>
                <w:sz w:val="20"/>
              </w:rPr>
              <w:t xml:space="preserve"> </w:t>
            </w:r>
            <w:r>
              <w:rPr>
                <w:sz w:val="20"/>
              </w:rPr>
              <w:t>to</w:t>
            </w:r>
            <w:r>
              <w:rPr>
                <w:spacing w:val="-4"/>
                <w:sz w:val="20"/>
              </w:rPr>
              <w:t xml:space="preserve"> </w:t>
            </w:r>
            <w:r>
              <w:rPr>
                <w:sz w:val="20"/>
              </w:rPr>
              <w:t>reach 100% consumer awareness and accelerates adoption.</w:t>
            </w:r>
          </w:p>
          <w:p w:rsidR="00C31389" w:rsidRDefault="00561FBD" w14:paraId="588863BE" w14:textId="77777777">
            <w:pPr>
              <w:pStyle w:val="TableParagraph"/>
              <w:numPr>
                <w:ilvl w:val="0"/>
                <w:numId w:val="30"/>
              </w:numPr>
              <w:tabs>
                <w:tab w:val="left" w:pos="440"/>
              </w:tabs>
              <w:spacing w:before="34" w:line="247" w:lineRule="auto"/>
              <w:ind w:right="436"/>
              <w:rPr>
                <w:sz w:val="20"/>
              </w:rPr>
            </w:pPr>
            <w:r>
              <w:rPr>
                <w:sz w:val="20"/>
              </w:rPr>
              <w:t>Increasing</w:t>
            </w:r>
            <w:r>
              <w:rPr>
                <w:spacing w:val="-4"/>
                <w:sz w:val="20"/>
              </w:rPr>
              <w:t xml:space="preserve"> </w:t>
            </w:r>
            <w:r>
              <w:rPr>
                <w:sz w:val="20"/>
              </w:rPr>
              <w:t>marketing</w:t>
            </w:r>
            <w:r>
              <w:rPr>
                <w:spacing w:val="-4"/>
                <w:sz w:val="20"/>
              </w:rPr>
              <w:t xml:space="preserve"> </w:t>
            </w:r>
            <w:r>
              <w:rPr>
                <w:sz w:val="20"/>
              </w:rPr>
              <w:t>strength</w:t>
            </w:r>
            <w:r>
              <w:rPr>
                <w:spacing w:val="-4"/>
                <w:sz w:val="20"/>
              </w:rPr>
              <w:t xml:space="preserve"> </w:t>
            </w:r>
            <w:r>
              <w:rPr>
                <w:sz w:val="20"/>
              </w:rPr>
              <w:t>increases</w:t>
            </w:r>
            <w:r>
              <w:rPr>
                <w:spacing w:val="-5"/>
                <w:sz w:val="20"/>
              </w:rPr>
              <w:t xml:space="preserve"> </w:t>
            </w:r>
            <w:r>
              <w:rPr>
                <w:sz w:val="20"/>
              </w:rPr>
              <w:t>the</w:t>
            </w:r>
            <w:r>
              <w:rPr>
                <w:spacing w:val="-4"/>
                <w:sz w:val="20"/>
              </w:rPr>
              <w:t xml:space="preserve"> </w:t>
            </w:r>
            <w:r>
              <w:rPr>
                <w:sz w:val="20"/>
              </w:rPr>
              <w:t>adoption</w:t>
            </w:r>
            <w:r>
              <w:rPr>
                <w:spacing w:val="-5"/>
                <w:sz w:val="20"/>
              </w:rPr>
              <w:t xml:space="preserve"> </w:t>
            </w:r>
            <w:r>
              <w:rPr>
                <w:sz w:val="20"/>
              </w:rPr>
              <w:t>rate</w:t>
            </w:r>
            <w:r>
              <w:rPr>
                <w:spacing w:val="-4"/>
                <w:sz w:val="20"/>
              </w:rPr>
              <w:t xml:space="preserve"> </w:t>
            </w:r>
            <w:r>
              <w:rPr>
                <w:sz w:val="20"/>
              </w:rPr>
              <w:t>of</w:t>
            </w:r>
            <w:r>
              <w:rPr>
                <w:spacing w:val="-4"/>
                <w:sz w:val="20"/>
              </w:rPr>
              <w:t xml:space="preserve"> </w:t>
            </w:r>
            <w:r>
              <w:rPr>
                <w:sz w:val="20"/>
              </w:rPr>
              <w:t>technologies</w:t>
            </w:r>
            <w:r>
              <w:rPr>
                <w:spacing w:val="-3"/>
                <w:sz w:val="20"/>
              </w:rPr>
              <w:t xml:space="preserve"> </w:t>
            </w:r>
            <w:r>
              <w:rPr>
                <w:sz w:val="20"/>
              </w:rPr>
              <w:t>in the nascent stage (i.e., having low initial consumer awareness).</w:t>
            </w:r>
          </w:p>
          <w:p w:rsidR="00C31389" w:rsidRDefault="00561FBD" w14:paraId="03675C39" w14:textId="77777777">
            <w:pPr>
              <w:pStyle w:val="TableParagraph"/>
              <w:numPr>
                <w:ilvl w:val="0"/>
                <w:numId w:val="30"/>
              </w:numPr>
              <w:tabs>
                <w:tab w:val="left" w:pos="440"/>
              </w:tabs>
              <w:spacing w:before="35" w:line="249" w:lineRule="auto"/>
              <w:ind w:right="256"/>
              <w:rPr>
                <w:sz w:val="20"/>
              </w:rPr>
            </w:pPr>
            <w:r>
              <w:rPr>
                <w:sz w:val="20"/>
              </w:rPr>
              <w:t>Increasing</w:t>
            </w:r>
            <w:r>
              <w:rPr>
                <w:spacing w:val="-4"/>
                <w:sz w:val="20"/>
              </w:rPr>
              <w:t xml:space="preserve"> </w:t>
            </w:r>
            <w:r>
              <w:rPr>
                <w:sz w:val="20"/>
              </w:rPr>
              <w:t>word</w:t>
            </w:r>
            <w:r>
              <w:rPr>
                <w:spacing w:val="-4"/>
                <w:sz w:val="20"/>
              </w:rPr>
              <w:t xml:space="preserve"> </w:t>
            </w:r>
            <w:r>
              <w:rPr>
                <w:sz w:val="20"/>
              </w:rPr>
              <w:t>of</w:t>
            </w:r>
            <w:r>
              <w:rPr>
                <w:spacing w:val="-4"/>
                <w:sz w:val="20"/>
              </w:rPr>
              <w:t xml:space="preserve"> </w:t>
            </w:r>
            <w:r>
              <w:rPr>
                <w:sz w:val="20"/>
              </w:rPr>
              <w:t>mouth</w:t>
            </w:r>
            <w:r>
              <w:rPr>
                <w:spacing w:val="-5"/>
                <w:sz w:val="20"/>
              </w:rPr>
              <w:t xml:space="preserve"> </w:t>
            </w:r>
            <w:r>
              <w:rPr>
                <w:sz w:val="20"/>
              </w:rPr>
              <w:t>strength</w:t>
            </w:r>
            <w:r>
              <w:rPr>
                <w:spacing w:val="-4"/>
                <w:sz w:val="20"/>
              </w:rPr>
              <w:t xml:space="preserve"> </w:t>
            </w:r>
            <w:r>
              <w:rPr>
                <w:sz w:val="20"/>
              </w:rPr>
              <w:t>increases</w:t>
            </w:r>
            <w:r>
              <w:rPr>
                <w:spacing w:val="-3"/>
                <w:sz w:val="20"/>
              </w:rPr>
              <w:t xml:space="preserve"> </w:t>
            </w:r>
            <w:r>
              <w:rPr>
                <w:sz w:val="20"/>
              </w:rPr>
              <w:t>the</w:t>
            </w:r>
            <w:r>
              <w:rPr>
                <w:spacing w:val="-4"/>
                <w:sz w:val="20"/>
              </w:rPr>
              <w:t xml:space="preserve"> </w:t>
            </w:r>
            <w:r>
              <w:rPr>
                <w:sz w:val="20"/>
              </w:rPr>
              <w:t>adoption</w:t>
            </w:r>
            <w:r>
              <w:rPr>
                <w:spacing w:val="-4"/>
                <w:sz w:val="20"/>
              </w:rPr>
              <w:t xml:space="preserve"> </w:t>
            </w:r>
            <w:r>
              <w:rPr>
                <w:sz w:val="20"/>
              </w:rPr>
              <w:t>rate</w:t>
            </w:r>
            <w:r>
              <w:rPr>
                <w:spacing w:val="-4"/>
                <w:sz w:val="20"/>
              </w:rPr>
              <w:t xml:space="preserve"> </w:t>
            </w:r>
            <w:r>
              <w:rPr>
                <w:sz w:val="20"/>
              </w:rPr>
              <w:t>of</w:t>
            </w:r>
            <w:r>
              <w:rPr>
                <w:spacing w:val="-4"/>
                <w:sz w:val="20"/>
              </w:rPr>
              <w:t xml:space="preserve"> </w:t>
            </w:r>
            <w:r>
              <w:rPr>
                <w:sz w:val="20"/>
              </w:rPr>
              <w:t xml:space="preserve">technologies in the mid to later stages of adoption (i.e., having medium to high consumer </w:t>
            </w:r>
            <w:r>
              <w:rPr>
                <w:spacing w:val="-2"/>
                <w:sz w:val="20"/>
              </w:rPr>
              <w:t>awareness).</w:t>
            </w:r>
          </w:p>
        </w:tc>
      </w:tr>
      <w:tr w:rsidR="00C31389" w14:paraId="0A40B8A3" w14:textId="77777777">
        <w:trPr>
          <w:trHeight w:val="2373"/>
        </w:trPr>
        <w:tc>
          <w:tcPr>
            <w:tcW w:w="1779" w:type="dxa"/>
            <w:tcBorders>
              <w:top w:val="single" w:color="D9D9D9" w:sz="2" w:space="0"/>
              <w:bottom w:val="single" w:color="D9D9D9" w:sz="2" w:space="0"/>
            </w:tcBorders>
          </w:tcPr>
          <w:p w:rsidR="00C31389" w:rsidRDefault="00C31389" w14:paraId="39BC0B9B" w14:textId="77777777">
            <w:pPr>
              <w:pStyle w:val="TableParagraph"/>
              <w:spacing w:before="0"/>
              <w:rPr>
                <w:b/>
              </w:rPr>
            </w:pPr>
          </w:p>
          <w:p w:rsidR="00C31389" w:rsidRDefault="00C31389" w14:paraId="7E161697" w14:textId="77777777">
            <w:pPr>
              <w:pStyle w:val="TableParagraph"/>
              <w:spacing w:before="0"/>
              <w:rPr>
                <w:b/>
              </w:rPr>
            </w:pPr>
          </w:p>
          <w:p w:rsidR="00C31389" w:rsidRDefault="00C31389" w14:paraId="306DA487" w14:textId="77777777">
            <w:pPr>
              <w:pStyle w:val="TableParagraph"/>
              <w:spacing w:before="0"/>
              <w:rPr>
                <w:b/>
              </w:rPr>
            </w:pPr>
          </w:p>
          <w:p w:rsidR="00C31389" w:rsidRDefault="00C31389" w14:paraId="794DAAAD" w14:textId="77777777">
            <w:pPr>
              <w:pStyle w:val="TableParagraph"/>
              <w:spacing w:before="2"/>
              <w:rPr>
                <w:b/>
                <w:sz w:val="27"/>
              </w:rPr>
            </w:pPr>
          </w:p>
          <w:p w:rsidR="00C31389" w:rsidRDefault="00561FBD" w14:paraId="3399B4AC" w14:textId="77777777">
            <w:pPr>
              <w:pStyle w:val="TableParagraph"/>
              <w:spacing w:before="1"/>
              <w:ind w:left="129"/>
              <w:rPr>
                <w:b/>
                <w:sz w:val="20"/>
              </w:rPr>
            </w:pPr>
            <w:r>
              <w:rPr>
                <w:b/>
                <w:spacing w:val="-2"/>
                <w:sz w:val="20"/>
              </w:rPr>
              <w:t>Willingness</w:t>
            </w:r>
          </w:p>
        </w:tc>
        <w:tc>
          <w:tcPr>
            <w:tcW w:w="7595" w:type="dxa"/>
            <w:tcBorders>
              <w:top w:val="single" w:color="D9D9D9" w:sz="2" w:space="0"/>
              <w:bottom w:val="single" w:color="D9D9D9" w:sz="2" w:space="0"/>
            </w:tcBorders>
          </w:tcPr>
          <w:p w:rsidR="00C31389" w:rsidRDefault="00561FBD" w14:paraId="2AB4EDD9" w14:textId="77777777">
            <w:pPr>
              <w:pStyle w:val="TableParagraph"/>
              <w:numPr>
                <w:ilvl w:val="0"/>
                <w:numId w:val="29"/>
              </w:numPr>
              <w:tabs>
                <w:tab w:val="left" w:pos="440"/>
              </w:tabs>
              <w:spacing w:before="41"/>
              <w:ind w:left="440" w:hanging="187"/>
              <w:rPr>
                <w:sz w:val="20"/>
              </w:rPr>
            </w:pPr>
            <w:r>
              <w:rPr>
                <w:sz w:val="20"/>
              </w:rPr>
              <w:t>Increasing</w:t>
            </w:r>
            <w:r>
              <w:rPr>
                <w:spacing w:val="-8"/>
                <w:sz w:val="20"/>
              </w:rPr>
              <w:t xml:space="preserve"> </w:t>
            </w:r>
            <w:r>
              <w:rPr>
                <w:sz w:val="20"/>
              </w:rPr>
              <w:t>incentive</w:t>
            </w:r>
            <w:r>
              <w:rPr>
                <w:spacing w:val="-5"/>
                <w:sz w:val="20"/>
              </w:rPr>
              <w:t xml:space="preserve"> </w:t>
            </w:r>
            <w:r>
              <w:rPr>
                <w:sz w:val="20"/>
              </w:rPr>
              <w:t>levels</w:t>
            </w:r>
            <w:r>
              <w:rPr>
                <w:spacing w:val="-6"/>
                <w:sz w:val="20"/>
              </w:rPr>
              <w:t xml:space="preserve"> </w:t>
            </w:r>
            <w:r>
              <w:rPr>
                <w:sz w:val="20"/>
              </w:rPr>
              <w:t>increases</w:t>
            </w:r>
            <w:r>
              <w:rPr>
                <w:spacing w:val="-5"/>
                <w:sz w:val="20"/>
              </w:rPr>
              <w:t xml:space="preserve"> </w:t>
            </w:r>
            <w:r>
              <w:rPr>
                <w:sz w:val="20"/>
              </w:rPr>
              <w:t>adoption,</w:t>
            </w:r>
            <w:r>
              <w:rPr>
                <w:spacing w:val="-7"/>
                <w:sz w:val="20"/>
              </w:rPr>
              <w:t xml:space="preserve"> </w:t>
            </w:r>
            <w:r>
              <w:rPr>
                <w:sz w:val="20"/>
              </w:rPr>
              <w:t>budget,</w:t>
            </w:r>
            <w:r>
              <w:rPr>
                <w:spacing w:val="-5"/>
                <w:sz w:val="20"/>
              </w:rPr>
              <w:t xml:space="preserve"> </w:t>
            </w:r>
            <w:r>
              <w:rPr>
                <w:sz w:val="20"/>
              </w:rPr>
              <w:t>and</w:t>
            </w:r>
            <w:r>
              <w:rPr>
                <w:spacing w:val="-5"/>
                <w:sz w:val="20"/>
              </w:rPr>
              <w:t xml:space="preserve"> </w:t>
            </w:r>
            <w:r>
              <w:rPr>
                <w:spacing w:val="-2"/>
                <w:sz w:val="20"/>
              </w:rPr>
              <w:t>savings.</w:t>
            </w:r>
          </w:p>
          <w:p w:rsidR="00C31389" w:rsidRDefault="00561FBD" w14:paraId="7A155C9E" w14:textId="77777777">
            <w:pPr>
              <w:pStyle w:val="TableParagraph"/>
              <w:numPr>
                <w:ilvl w:val="0"/>
                <w:numId w:val="29"/>
              </w:numPr>
              <w:tabs>
                <w:tab w:val="left" w:pos="441"/>
              </w:tabs>
              <w:spacing w:before="37" w:line="249" w:lineRule="auto"/>
              <w:ind w:right="648"/>
              <w:rPr>
                <w:sz w:val="20"/>
              </w:rPr>
            </w:pPr>
            <w:r>
              <w:rPr>
                <w:sz w:val="20"/>
              </w:rPr>
              <w:t>Overriding</w:t>
            </w:r>
            <w:r>
              <w:rPr>
                <w:spacing w:val="-5"/>
                <w:sz w:val="20"/>
              </w:rPr>
              <w:t xml:space="preserve"> </w:t>
            </w:r>
            <w:r>
              <w:rPr>
                <w:sz w:val="20"/>
              </w:rPr>
              <w:t>a</w:t>
            </w:r>
            <w:r>
              <w:rPr>
                <w:spacing w:val="-5"/>
                <w:sz w:val="20"/>
              </w:rPr>
              <w:t xml:space="preserve"> </w:t>
            </w:r>
            <w:r>
              <w:rPr>
                <w:sz w:val="20"/>
              </w:rPr>
              <w:t>technology’s</w:t>
            </w:r>
            <w:r>
              <w:rPr>
                <w:spacing w:val="-4"/>
                <w:sz w:val="20"/>
              </w:rPr>
              <w:t xml:space="preserve"> </w:t>
            </w:r>
            <w:r>
              <w:rPr>
                <w:sz w:val="20"/>
              </w:rPr>
              <w:t>cost-effectiveness</w:t>
            </w:r>
            <w:r>
              <w:rPr>
                <w:spacing w:val="-4"/>
                <w:sz w:val="20"/>
              </w:rPr>
              <w:t xml:space="preserve"> </w:t>
            </w:r>
            <w:r>
              <w:rPr>
                <w:sz w:val="20"/>
              </w:rPr>
              <w:t>allows</w:t>
            </w:r>
            <w:r>
              <w:rPr>
                <w:spacing w:val="-4"/>
                <w:sz w:val="20"/>
              </w:rPr>
              <w:t xml:space="preserve"> </w:t>
            </w:r>
            <w:r>
              <w:rPr>
                <w:sz w:val="20"/>
              </w:rPr>
              <w:t>it</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considered</w:t>
            </w:r>
            <w:r>
              <w:rPr>
                <w:spacing w:val="-5"/>
                <w:sz w:val="20"/>
              </w:rPr>
              <w:t xml:space="preserve"> </w:t>
            </w:r>
            <w:r>
              <w:rPr>
                <w:sz w:val="20"/>
              </w:rPr>
              <w:t>for adoption (otherwise, non-cost-effective measures are not considered in achievable potential).</w:t>
            </w:r>
          </w:p>
          <w:p w:rsidR="00C31389" w:rsidRDefault="00561FBD" w14:paraId="208F21D8" w14:textId="77777777">
            <w:pPr>
              <w:pStyle w:val="TableParagraph"/>
              <w:numPr>
                <w:ilvl w:val="0"/>
                <w:numId w:val="29"/>
              </w:numPr>
              <w:tabs>
                <w:tab w:val="left" w:pos="441"/>
              </w:tabs>
              <w:spacing w:before="31" w:line="247" w:lineRule="auto"/>
              <w:ind w:right="202"/>
              <w:rPr>
                <w:sz w:val="20"/>
              </w:rPr>
            </w:pPr>
            <w:r>
              <w:rPr>
                <w:sz w:val="20"/>
              </w:rPr>
              <w:t>Adjusting</w:t>
            </w:r>
            <w:r>
              <w:rPr>
                <w:spacing w:val="-4"/>
                <w:sz w:val="20"/>
              </w:rPr>
              <w:t xml:space="preserve"> </w:t>
            </w:r>
            <w:r>
              <w:rPr>
                <w:sz w:val="20"/>
              </w:rPr>
              <w:t>the</w:t>
            </w:r>
            <w:r>
              <w:rPr>
                <w:spacing w:val="-5"/>
                <w:sz w:val="20"/>
              </w:rPr>
              <w:t xml:space="preserve"> </w:t>
            </w:r>
            <w:r>
              <w:rPr>
                <w:sz w:val="20"/>
              </w:rPr>
              <w:t>weighted</w:t>
            </w:r>
            <w:r>
              <w:rPr>
                <w:spacing w:val="-4"/>
                <w:sz w:val="20"/>
              </w:rPr>
              <w:t xml:space="preserve"> </w:t>
            </w:r>
            <w:r>
              <w:rPr>
                <w:sz w:val="20"/>
              </w:rPr>
              <w:t>utility</w:t>
            </w:r>
            <w:r>
              <w:rPr>
                <w:spacing w:val="-4"/>
                <w:sz w:val="20"/>
              </w:rPr>
              <w:t xml:space="preserve"> </w:t>
            </w:r>
            <w:r>
              <w:rPr>
                <w:sz w:val="20"/>
              </w:rPr>
              <w:t>adjusts</w:t>
            </w:r>
            <w:r>
              <w:rPr>
                <w:spacing w:val="-3"/>
                <w:sz w:val="20"/>
              </w:rPr>
              <w:t xml:space="preserve"> </w:t>
            </w:r>
            <w:r>
              <w:rPr>
                <w:sz w:val="20"/>
              </w:rPr>
              <w:t>the</w:t>
            </w:r>
            <w:r>
              <w:rPr>
                <w:spacing w:val="-5"/>
                <w:sz w:val="20"/>
              </w:rPr>
              <w:t xml:space="preserve"> </w:t>
            </w:r>
            <w:r>
              <w:rPr>
                <w:sz w:val="20"/>
              </w:rPr>
              <w:t>attractiveness</w:t>
            </w:r>
            <w:r>
              <w:rPr>
                <w:spacing w:val="-3"/>
                <w:sz w:val="20"/>
              </w:rPr>
              <w:t xml:space="preserve"> </w:t>
            </w:r>
            <w:r>
              <w:rPr>
                <w:sz w:val="20"/>
              </w:rPr>
              <w:t>of</w:t>
            </w:r>
            <w:r>
              <w:rPr>
                <w:spacing w:val="-4"/>
                <w:sz w:val="20"/>
              </w:rPr>
              <w:t xml:space="preserve"> </w:t>
            </w:r>
            <w:r>
              <w:rPr>
                <w:sz w:val="20"/>
              </w:rPr>
              <w:t>a</w:t>
            </w:r>
            <w:r>
              <w:rPr>
                <w:spacing w:val="-4"/>
                <w:sz w:val="20"/>
              </w:rPr>
              <w:t xml:space="preserve"> </w:t>
            </w:r>
            <w:r>
              <w:rPr>
                <w:sz w:val="20"/>
              </w:rPr>
              <w:t>technology</w:t>
            </w:r>
            <w:r>
              <w:rPr>
                <w:spacing w:val="-3"/>
                <w:sz w:val="20"/>
              </w:rPr>
              <w:t xml:space="preserve"> </w:t>
            </w:r>
            <w:r>
              <w:rPr>
                <w:sz w:val="20"/>
              </w:rPr>
              <w:t>relative to the others in its CG.</w:t>
            </w:r>
          </w:p>
          <w:p w:rsidR="00C31389" w:rsidRDefault="00561FBD" w14:paraId="2E122C78" w14:textId="77777777">
            <w:pPr>
              <w:pStyle w:val="TableParagraph"/>
              <w:numPr>
                <w:ilvl w:val="0"/>
                <w:numId w:val="29"/>
              </w:numPr>
              <w:tabs>
                <w:tab w:val="left" w:pos="441"/>
              </w:tabs>
              <w:spacing w:before="34" w:line="249" w:lineRule="auto"/>
              <w:ind w:right="236"/>
              <w:rPr>
                <w:sz w:val="20"/>
              </w:rPr>
            </w:pPr>
            <w:r>
              <w:rPr>
                <w:sz w:val="20"/>
              </w:rPr>
              <w:t>Adjusting</w:t>
            </w:r>
            <w:r>
              <w:rPr>
                <w:spacing w:val="-5"/>
                <w:sz w:val="20"/>
              </w:rPr>
              <w:t xml:space="preserve"> </w:t>
            </w:r>
            <w:r>
              <w:rPr>
                <w:sz w:val="20"/>
              </w:rPr>
              <w:t>the</w:t>
            </w:r>
            <w:r>
              <w:rPr>
                <w:spacing w:val="-6"/>
                <w:sz w:val="20"/>
              </w:rPr>
              <w:t xml:space="preserve"> </w:t>
            </w:r>
            <w:r>
              <w:rPr>
                <w:sz w:val="20"/>
              </w:rPr>
              <w:t>consumer-implied</w:t>
            </w:r>
            <w:r>
              <w:rPr>
                <w:spacing w:val="-5"/>
                <w:sz w:val="20"/>
              </w:rPr>
              <w:t xml:space="preserve"> </w:t>
            </w:r>
            <w:r>
              <w:rPr>
                <w:sz w:val="20"/>
              </w:rPr>
              <w:t>discount</w:t>
            </w:r>
            <w:r>
              <w:rPr>
                <w:spacing w:val="-7"/>
                <w:sz w:val="20"/>
              </w:rPr>
              <w:t xml:space="preserve"> </w:t>
            </w:r>
            <w:r>
              <w:rPr>
                <w:sz w:val="20"/>
              </w:rPr>
              <w:t>rate</w:t>
            </w:r>
            <w:r>
              <w:rPr>
                <w:spacing w:val="-5"/>
                <w:sz w:val="20"/>
              </w:rPr>
              <w:t xml:space="preserve"> </w:t>
            </w:r>
            <w:r>
              <w:rPr>
                <w:sz w:val="20"/>
              </w:rPr>
              <w:t>can</w:t>
            </w:r>
            <w:r>
              <w:rPr>
                <w:spacing w:val="-5"/>
                <w:sz w:val="20"/>
              </w:rPr>
              <w:t xml:space="preserve"> </w:t>
            </w:r>
            <w:r>
              <w:rPr>
                <w:sz w:val="20"/>
              </w:rPr>
              <w:t>account</w:t>
            </w:r>
            <w:r>
              <w:rPr>
                <w:spacing w:val="-5"/>
                <w:sz w:val="20"/>
              </w:rPr>
              <w:t xml:space="preserve"> </w:t>
            </w:r>
            <w:r>
              <w:rPr>
                <w:sz w:val="20"/>
              </w:rPr>
              <w:t>for</w:t>
            </w:r>
            <w:r>
              <w:rPr>
                <w:spacing w:val="-4"/>
                <w:sz w:val="20"/>
              </w:rPr>
              <w:t xml:space="preserve"> </w:t>
            </w:r>
            <w:r>
              <w:rPr>
                <w:sz w:val="20"/>
              </w:rPr>
              <w:t>non-cost-related market barriers that may be higher or lower than normal (only applicable for agriculture, industrial, and mining [AIM] sectors).</w:t>
            </w:r>
          </w:p>
        </w:tc>
      </w:tr>
      <w:tr w:rsidR="00C31389" w14:paraId="3DF1AE84" w14:textId="77777777">
        <w:trPr>
          <w:trHeight w:val="1223"/>
        </w:trPr>
        <w:tc>
          <w:tcPr>
            <w:tcW w:w="1779" w:type="dxa"/>
            <w:tcBorders>
              <w:top w:val="single" w:color="D9D9D9" w:sz="2" w:space="0"/>
              <w:bottom w:val="single" w:color="D9D9D9" w:sz="2" w:space="0"/>
            </w:tcBorders>
          </w:tcPr>
          <w:p w:rsidR="00C31389" w:rsidRDefault="00C31389" w14:paraId="6FF7EBCD" w14:textId="77777777">
            <w:pPr>
              <w:pStyle w:val="TableParagraph"/>
              <w:spacing w:before="0"/>
              <w:rPr>
                <w:b/>
              </w:rPr>
            </w:pPr>
          </w:p>
          <w:p w:rsidR="00C31389" w:rsidRDefault="00C31389" w14:paraId="151E0638" w14:textId="77777777">
            <w:pPr>
              <w:pStyle w:val="TableParagraph"/>
              <w:spacing w:before="3"/>
              <w:rPr>
                <w:b/>
                <w:sz w:val="21"/>
              </w:rPr>
            </w:pPr>
          </w:p>
          <w:p w:rsidR="00C31389" w:rsidRDefault="00561FBD" w14:paraId="3BE157CE" w14:textId="77777777">
            <w:pPr>
              <w:pStyle w:val="TableParagraph"/>
              <w:spacing w:before="0"/>
              <w:ind w:left="129"/>
              <w:rPr>
                <w:b/>
                <w:sz w:val="20"/>
              </w:rPr>
            </w:pPr>
            <w:r>
              <w:rPr>
                <w:b/>
                <w:sz w:val="20"/>
              </w:rPr>
              <w:t>Stock</w:t>
            </w:r>
            <w:r>
              <w:rPr>
                <w:b/>
                <w:spacing w:val="-5"/>
                <w:sz w:val="20"/>
              </w:rPr>
              <w:t xml:space="preserve"> </w:t>
            </w:r>
            <w:r>
              <w:rPr>
                <w:b/>
                <w:spacing w:val="-2"/>
                <w:sz w:val="20"/>
              </w:rPr>
              <w:t>Turnover</w:t>
            </w:r>
          </w:p>
        </w:tc>
        <w:tc>
          <w:tcPr>
            <w:tcW w:w="7595" w:type="dxa"/>
            <w:tcBorders>
              <w:top w:val="single" w:color="D9D9D9" w:sz="2" w:space="0"/>
              <w:bottom w:val="single" w:color="D9D9D9" w:sz="2" w:space="0"/>
            </w:tcBorders>
          </w:tcPr>
          <w:p w:rsidR="00C31389" w:rsidRDefault="00561FBD" w14:paraId="4EF23BEC" w14:textId="77777777">
            <w:pPr>
              <w:pStyle w:val="TableParagraph"/>
              <w:numPr>
                <w:ilvl w:val="0"/>
                <w:numId w:val="28"/>
              </w:numPr>
              <w:tabs>
                <w:tab w:val="left" w:pos="440"/>
              </w:tabs>
              <w:spacing w:before="130" w:line="249" w:lineRule="auto"/>
              <w:ind w:right="503" w:hanging="187"/>
              <w:rPr>
                <w:sz w:val="20"/>
              </w:rPr>
            </w:pPr>
            <w:r>
              <w:rPr>
                <w:sz w:val="20"/>
              </w:rPr>
              <w:t>Adjusting</w:t>
            </w:r>
            <w:r>
              <w:rPr>
                <w:spacing w:val="-4"/>
                <w:sz w:val="20"/>
              </w:rPr>
              <w:t xml:space="preserve"> </w:t>
            </w:r>
            <w:r>
              <w:rPr>
                <w:sz w:val="20"/>
              </w:rPr>
              <w:t>turnover</w:t>
            </w:r>
            <w:r>
              <w:rPr>
                <w:spacing w:val="-3"/>
                <w:sz w:val="20"/>
              </w:rPr>
              <w:t xml:space="preserve"> </w:t>
            </w:r>
            <w:r>
              <w:rPr>
                <w:sz w:val="20"/>
              </w:rPr>
              <w:t>rates</w:t>
            </w:r>
            <w:r>
              <w:rPr>
                <w:spacing w:val="-3"/>
                <w:sz w:val="20"/>
              </w:rPr>
              <w:t xml:space="preserve"> </w:t>
            </w:r>
            <w:r>
              <w:rPr>
                <w:sz w:val="20"/>
              </w:rPr>
              <w:t>allows</w:t>
            </w:r>
            <w:r>
              <w:rPr>
                <w:spacing w:val="-3"/>
                <w:sz w:val="20"/>
              </w:rPr>
              <w:t xml:space="preserve"> </w:t>
            </w:r>
            <w:r>
              <w:rPr>
                <w:sz w:val="20"/>
              </w:rPr>
              <w:t>the</w:t>
            </w:r>
            <w:r>
              <w:rPr>
                <w:spacing w:val="-4"/>
                <w:sz w:val="20"/>
              </w:rPr>
              <w:t xml:space="preserve"> </w:t>
            </w:r>
            <w:r>
              <w:rPr>
                <w:sz w:val="20"/>
              </w:rPr>
              <w:t>model</w:t>
            </w:r>
            <w:r>
              <w:rPr>
                <w:spacing w:val="-4"/>
                <w:sz w:val="20"/>
              </w:rPr>
              <w:t xml:space="preserve"> </w:t>
            </w:r>
            <w:r>
              <w:rPr>
                <w:sz w:val="20"/>
              </w:rPr>
              <w:t>to</w:t>
            </w:r>
            <w:r>
              <w:rPr>
                <w:spacing w:val="-4"/>
                <w:sz w:val="20"/>
              </w:rPr>
              <w:t xml:space="preserve"> </w:t>
            </w:r>
            <w:r>
              <w:rPr>
                <w:sz w:val="20"/>
              </w:rPr>
              <w:t>better</w:t>
            </w:r>
            <w:r>
              <w:rPr>
                <w:spacing w:val="-3"/>
                <w:sz w:val="20"/>
              </w:rPr>
              <w:t xml:space="preserve"> </w:t>
            </w:r>
            <w:r>
              <w:rPr>
                <w:sz w:val="20"/>
              </w:rPr>
              <w:t>reflect</w:t>
            </w:r>
            <w:r>
              <w:rPr>
                <w:spacing w:val="-4"/>
                <w:sz w:val="20"/>
              </w:rPr>
              <w:t xml:space="preserve"> </w:t>
            </w:r>
            <w:r>
              <w:rPr>
                <w:sz w:val="20"/>
              </w:rPr>
              <w:t>real-world</w:t>
            </w:r>
            <w:r>
              <w:rPr>
                <w:spacing w:val="-4"/>
                <w:sz w:val="20"/>
              </w:rPr>
              <w:t xml:space="preserve"> </w:t>
            </w:r>
            <w:r>
              <w:rPr>
                <w:sz w:val="20"/>
              </w:rPr>
              <w:t>market dynamics. The model assumes technologies turn over based on effective useful life (EUL). However, the real velocity of the market and turnover dynamics are not this perfect or exact.</w:t>
            </w:r>
          </w:p>
        </w:tc>
      </w:tr>
      <w:tr w:rsidR="00C31389" w14:paraId="38069D2D" w14:textId="77777777">
        <w:trPr>
          <w:trHeight w:val="1223"/>
        </w:trPr>
        <w:tc>
          <w:tcPr>
            <w:tcW w:w="1779" w:type="dxa"/>
            <w:tcBorders>
              <w:top w:val="single" w:color="D9D9D9" w:sz="2" w:space="0"/>
              <w:bottom w:val="single" w:color="000000" w:sz="8" w:space="0"/>
            </w:tcBorders>
          </w:tcPr>
          <w:p w:rsidR="00C31389" w:rsidRDefault="00C31389" w14:paraId="7BC0D95D" w14:textId="77777777">
            <w:pPr>
              <w:pStyle w:val="TableParagraph"/>
              <w:spacing w:before="0"/>
              <w:rPr>
                <w:b/>
              </w:rPr>
            </w:pPr>
          </w:p>
          <w:p w:rsidR="00C31389" w:rsidRDefault="00C31389" w14:paraId="305FB5B4" w14:textId="77777777">
            <w:pPr>
              <w:pStyle w:val="TableParagraph"/>
              <w:spacing w:before="10"/>
              <w:rPr>
                <w:b/>
              </w:rPr>
            </w:pPr>
          </w:p>
          <w:p w:rsidR="00C31389" w:rsidRDefault="00561FBD" w14:paraId="62CA8A0A" w14:textId="77777777">
            <w:pPr>
              <w:pStyle w:val="TableParagraph"/>
              <w:spacing w:before="0"/>
              <w:ind w:left="129"/>
              <w:rPr>
                <w:b/>
                <w:sz w:val="20"/>
              </w:rPr>
            </w:pPr>
            <w:r>
              <w:rPr>
                <w:b/>
                <w:spacing w:val="-2"/>
                <w:sz w:val="20"/>
              </w:rPr>
              <w:t>Adoption</w:t>
            </w:r>
          </w:p>
        </w:tc>
        <w:tc>
          <w:tcPr>
            <w:tcW w:w="7595" w:type="dxa"/>
            <w:tcBorders>
              <w:top w:val="single" w:color="D9D9D9" w:sz="2" w:space="0"/>
              <w:bottom w:val="single" w:color="000000" w:sz="8" w:space="0"/>
            </w:tcBorders>
          </w:tcPr>
          <w:p w:rsidR="00C31389" w:rsidRDefault="00C31389" w14:paraId="0F1E7EB2" w14:textId="77777777">
            <w:pPr>
              <w:pStyle w:val="TableParagraph"/>
              <w:spacing w:before="2"/>
              <w:rPr>
                <w:b/>
                <w:sz w:val="32"/>
              </w:rPr>
            </w:pPr>
          </w:p>
          <w:p w:rsidR="00C31389" w:rsidRDefault="00561FBD" w14:paraId="1FEF3D12" w14:textId="77777777">
            <w:pPr>
              <w:pStyle w:val="TableParagraph"/>
              <w:numPr>
                <w:ilvl w:val="0"/>
                <w:numId w:val="27"/>
              </w:numPr>
              <w:tabs>
                <w:tab w:val="left" w:pos="441"/>
              </w:tabs>
              <w:spacing w:before="0" w:line="247" w:lineRule="auto"/>
              <w:ind w:right="493"/>
              <w:rPr>
                <w:sz w:val="20"/>
              </w:rPr>
            </w:pPr>
            <w:r>
              <w:rPr>
                <w:sz w:val="20"/>
              </w:rPr>
              <w:t>Adjusting</w:t>
            </w:r>
            <w:r>
              <w:rPr>
                <w:spacing w:val="-4"/>
                <w:sz w:val="20"/>
              </w:rPr>
              <w:t xml:space="preserve"> </w:t>
            </w:r>
            <w:r>
              <w:rPr>
                <w:sz w:val="20"/>
              </w:rPr>
              <w:t>adoption</w:t>
            </w:r>
            <w:r>
              <w:rPr>
                <w:spacing w:val="-4"/>
                <w:sz w:val="20"/>
              </w:rPr>
              <w:t xml:space="preserve"> </w:t>
            </w:r>
            <w:r>
              <w:rPr>
                <w:sz w:val="20"/>
              </w:rPr>
              <w:t>of</w:t>
            </w:r>
            <w:r>
              <w:rPr>
                <w:spacing w:val="-5"/>
                <w:sz w:val="20"/>
              </w:rPr>
              <w:t xml:space="preserve"> </w:t>
            </w:r>
            <w:r>
              <w:rPr>
                <w:sz w:val="20"/>
              </w:rPr>
              <w:t>FS</w:t>
            </w:r>
            <w:r>
              <w:rPr>
                <w:spacing w:val="-5"/>
                <w:sz w:val="20"/>
              </w:rPr>
              <w:t xml:space="preserve"> </w:t>
            </w:r>
            <w:r>
              <w:rPr>
                <w:sz w:val="20"/>
              </w:rPr>
              <w:t>measures</w:t>
            </w:r>
            <w:r>
              <w:rPr>
                <w:spacing w:val="-3"/>
                <w:sz w:val="20"/>
              </w:rPr>
              <w:t xml:space="preserve"> </w:t>
            </w:r>
            <w:r>
              <w:rPr>
                <w:sz w:val="20"/>
              </w:rPr>
              <w:t>enables</w:t>
            </w:r>
            <w:r>
              <w:rPr>
                <w:spacing w:val="-3"/>
                <w:sz w:val="20"/>
              </w:rPr>
              <w:t xml:space="preserve"> </w:t>
            </w:r>
            <w:r>
              <w:rPr>
                <w:sz w:val="20"/>
              </w:rPr>
              <w:t>better</w:t>
            </w:r>
            <w:r>
              <w:rPr>
                <w:spacing w:val="-3"/>
                <w:sz w:val="20"/>
              </w:rPr>
              <w:t xml:space="preserve"> </w:t>
            </w:r>
            <w:r>
              <w:rPr>
                <w:sz w:val="20"/>
              </w:rPr>
              <w:t>alignment</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model’s backcast with limited historic program data.</w:t>
            </w:r>
          </w:p>
        </w:tc>
      </w:tr>
    </w:tbl>
    <w:p w:rsidR="00C31389" w:rsidRDefault="00561FBD" w14:paraId="70C8A5AE"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5C88F859" w14:textId="77777777">
      <w:pPr>
        <w:pStyle w:val="BodyText"/>
        <w:spacing w:before="9"/>
        <w:rPr>
          <w:i/>
          <w:sz w:val="20"/>
        </w:rPr>
      </w:pPr>
    </w:p>
    <w:p w:rsidR="00C31389" w:rsidRDefault="00561FBD" w14:paraId="0DAC5D28" w14:textId="77777777">
      <w:pPr>
        <w:pStyle w:val="BodyText"/>
        <w:spacing w:before="1"/>
        <w:ind w:left="480" w:right="418" w:hanging="1"/>
      </w:pPr>
      <w:r>
        <w:t xml:space="preserve">The 2023 PG Model is informed by the 2021 Market Adoption Study, which provided data to better model the dynamics of customer willingness. Use of </w:t>
      </w:r>
      <w:r>
        <w:t>the Market Adoption Study data alone does not itself address calibration. The Market Adoption Study data provided a more accurate starting point for the 2023 PG Model calibration. However, the true value of the Market</w:t>
      </w:r>
      <w:r>
        <w:rPr>
          <w:spacing w:val="-1"/>
        </w:rPr>
        <w:t xml:space="preserve"> </w:t>
      </w:r>
      <w:r>
        <w:t>Adoption</w:t>
      </w:r>
      <w:r>
        <w:rPr>
          <w:spacing w:val="-1"/>
        </w:rPr>
        <w:t xml:space="preserve"> </w:t>
      </w:r>
      <w:r>
        <w:t>Study</w:t>
      </w:r>
      <w:r>
        <w:rPr>
          <w:spacing w:val="-1"/>
        </w:rPr>
        <w:t xml:space="preserve"> </w:t>
      </w:r>
      <w:r>
        <w:t>is</w:t>
      </w:r>
      <w:r>
        <w:rPr>
          <w:spacing w:val="-1"/>
        </w:rPr>
        <w:t xml:space="preserve"> </w:t>
      </w:r>
      <w:r>
        <w:t>in</w:t>
      </w:r>
      <w:r>
        <w:rPr>
          <w:spacing w:val="-1"/>
        </w:rPr>
        <w:t xml:space="preserve"> </w:t>
      </w:r>
      <w:r>
        <w:t>governing</w:t>
      </w:r>
      <w:r>
        <w:rPr>
          <w:spacing w:val="-1"/>
        </w:rPr>
        <w:t xml:space="preserve"> </w:t>
      </w:r>
      <w:r>
        <w:t>the</w:t>
      </w:r>
      <w:r>
        <w:rPr>
          <w:spacing w:val="-1"/>
        </w:rPr>
        <w:t xml:space="preserve"> </w:t>
      </w:r>
      <w:r>
        <w:t>dyn</w:t>
      </w:r>
      <w:r>
        <w:t>amics</w:t>
      </w:r>
      <w:r>
        <w:rPr>
          <w:spacing w:val="-1"/>
        </w:rPr>
        <w:t xml:space="preserve"> </w:t>
      </w:r>
      <w:r>
        <w:t>of</w:t>
      </w:r>
      <w:r>
        <w:rPr>
          <w:spacing w:val="-1"/>
        </w:rPr>
        <w:t xml:space="preserve"> </w:t>
      </w:r>
      <w:r>
        <w:t>customer</w:t>
      </w:r>
      <w:r>
        <w:rPr>
          <w:spacing w:val="-1"/>
        </w:rPr>
        <w:t xml:space="preserve"> </w:t>
      </w:r>
      <w:r>
        <w:t>choice</w:t>
      </w:r>
      <w:r>
        <w:rPr>
          <w:spacing w:val="-1"/>
        </w:rPr>
        <w:t xml:space="preserve"> </w:t>
      </w:r>
      <w:r>
        <w:t>that</w:t>
      </w:r>
      <w:r>
        <w:rPr>
          <w:spacing w:val="-1"/>
        </w:rPr>
        <w:t xml:space="preserve"> </w:t>
      </w:r>
      <w:r>
        <w:t>influence</w:t>
      </w:r>
      <w:r>
        <w:rPr>
          <w:spacing w:val="-1"/>
        </w:rPr>
        <w:t xml:space="preserve"> </w:t>
      </w:r>
      <w:r>
        <w:t>which measures</w:t>
      </w:r>
      <w:r>
        <w:rPr>
          <w:spacing w:val="-3"/>
        </w:rPr>
        <w:t xml:space="preserve"> </w:t>
      </w:r>
      <w:r>
        <w:t>they</w:t>
      </w:r>
      <w:r>
        <w:rPr>
          <w:spacing w:val="-4"/>
        </w:rPr>
        <w:t xml:space="preserve"> </w:t>
      </w:r>
      <w:r>
        <w:t>prefer</w:t>
      </w:r>
      <w:r>
        <w:rPr>
          <w:spacing w:val="-3"/>
        </w:rPr>
        <w:t xml:space="preserve"> </w:t>
      </w:r>
      <w:r>
        <w:t>when</w:t>
      </w:r>
      <w:r>
        <w:rPr>
          <w:spacing w:val="-4"/>
        </w:rPr>
        <w:t xml:space="preserve"> </w:t>
      </w:r>
      <w:r>
        <w:t>presented</w:t>
      </w:r>
      <w:r>
        <w:rPr>
          <w:spacing w:val="-3"/>
        </w:rPr>
        <w:t xml:space="preserve"> </w:t>
      </w:r>
      <w:r>
        <w:t>with</w:t>
      </w:r>
      <w:r>
        <w:rPr>
          <w:spacing w:val="-4"/>
        </w:rPr>
        <w:t xml:space="preserve"> </w:t>
      </w:r>
      <w:r>
        <w:t>multiple</w:t>
      </w:r>
      <w:r>
        <w:rPr>
          <w:spacing w:val="-3"/>
        </w:rPr>
        <w:t xml:space="preserve"> </w:t>
      </w:r>
      <w:r>
        <w:t>competing</w:t>
      </w:r>
      <w:r>
        <w:rPr>
          <w:spacing w:val="-4"/>
        </w:rPr>
        <w:t xml:space="preserve"> </w:t>
      </w:r>
      <w:r>
        <w:t>measures,</w:t>
      </w:r>
      <w:r>
        <w:rPr>
          <w:spacing w:val="-3"/>
        </w:rPr>
        <w:t xml:space="preserve"> </w:t>
      </w:r>
      <w:r>
        <w:t>each</w:t>
      </w:r>
      <w:r>
        <w:rPr>
          <w:spacing w:val="-4"/>
        </w:rPr>
        <w:t xml:space="preserve"> </w:t>
      </w:r>
      <w:r>
        <w:t>with</w:t>
      </w:r>
      <w:r>
        <w:rPr>
          <w:spacing w:val="-3"/>
        </w:rPr>
        <w:t xml:space="preserve"> </w:t>
      </w:r>
      <w:r>
        <w:t xml:space="preserve">different characteristics. Calibration happens at the IOU, sector, and end use levels, whereas the Market Adoption Study data </w:t>
      </w:r>
      <w:r>
        <w:t>influences adoption at a much more granular (measure) level.</w:t>
      </w:r>
    </w:p>
    <w:p w:rsidR="00C31389" w:rsidRDefault="00C31389" w14:paraId="287E6D72" w14:textId="77777777">
      <w:pPr>
        <w:sectPr w:rsidR="00C31389">
          <w:pgSz w:w="11910" w:h="16840"/>
          <w:pgMar w:top="1660" w:right="1020" w:bottom="1120" w:left="960" w:header="397" w:footer="938" w:gutter="0"/>
          <w:cols w:space="720"/>
        </w:sectPr>
      </w:pPr>
    </w:p>
    <w:p w:rsidR="00C31389" w:rsidRDefault="00C31389" w14:paraId="153984CF" w14:textId="77777777">
      <w:pPr>
        <w:pStyle w:val="BodyText"/>
      </w:pPr>
    </w:p>
    <w:p w:rsidR="00C31389" w:rsidRDefault="00C31389" w14:paraId="16707DF1" w14:textId="77777777">
      <w:pPr>
        <w:pStyle w:val="BodyText"/>
        <w:spacing w:before="1"/>
        <w:rPr>
          <w:sz w:val="14"/>
        </w:rPr>
      </w:pPr>
    </w:p>
    <w:p w:rsidR="00C31389" w:rsidRDefault="00561FBD" w14:paraId="749C438A" w14:textId="77777777">
      <w:pPr>
        <w:spacing w:before="90"/>
        <w:ind w:left="480"/>
        <w:rPr>
          <w:b/>
          <w:sz w:val="32"/>
        </w:rPr>
      </w:pPr>
      <w:bookmarkStart w:name="Appendix_B._FS_Methodology_Details" w:id="316"/>
      <w:bookmarkStart w:name="_bookmark234" w:id="317"/>
      <w:bookmarkEnd w:id="316"/>
      <w:bookmarkEnd w:id="317"/>
      <w:r>
        <w:rPr>
          <w:b/>
          <w:sz w:val="32"/>
        </w:rPr>
        <w:t>Appendix</w:t>
      </w:r>
      <w:r>
        <w:rPr>
          <w:b/>
          <w:spacing w:val="-5"/>
          <w:sz w:val="32"/>
        </w:rPr>
        <w:t xml:space="preserve"> </w:t>
      </w:r>
      <w:r>
        <w:rPr>
          <w:b/>
          <w:sz w:val="32"/>
        </w:rPr>
        <w:t>B.</w:t>
      </w:r>
      <w:r>
        <w:rPr>
          <w:b/>
          <w:spacing w:val="-5"/>
          <w:sz w:val="32"/>
        </w:rPr>
        <w:t xml:space="preserve"> </w:t>
      </w:r>
      <w:r>
        <w:rPr>
          <w:b/>
          <w:sz w:val="32"/>
        </w:rPr>
        <w:t>FS</w:t>
      </w:r>
      <w:r>
        <w:rPr>
          <w:b/>
          <w:spacing w:val="-5"/>
          <w:sz w:val="32"/>
        </w:rPr>
        <w:t xml:space="preserve"> </w:t>
      </w:r>
      <w:r>
        <w:rPr>
          <w:b/>
          <w:sz w:val="32"/>
        </w:rPr>
        <w:t>Methodology</w:t>
      </w:r>
      <w:r>
        <w:rPr>
          <w:b/>
          <w:spacing w:val="-5"/>
          <w:sz w:val="32"/>
        </w:rPr>
        <w:t xml:space="preserve"> </w:t>
      </w:r>
      <w:r>
        <w:rPr>
          <w:b/>
          <w:spacing w:val="-2"/>
          <w:sz w:val="32"/>
        </w:rPr>
        <w:t>Details</w:t>
      </w:r>
    </w:p>
    <w:p w:rsidR="00C31389" w:rsidRDefault="00561FBD" w14:paraId="29D7FFCB" w14:textId="77777777">
      <w:pPr>
        <w:pStyle w:val="BodyText"/>
        <w:spacing w:before="239"/>
        <w:ind w:left="480" w:right="418"/>
      </w:pPr>
      <w:r>
        <w:t>The potential and goals study characterized FS measures—that is, replacing equipment utilizing one regulated fuel with equipment utilizing</w:t>
      </w:r>
      <w:r>
        <w:t xml:space="preserve"> another regulated fuel, for example, substituting</w:t>
      </w:r>
      <w:r>
        <w:rPr>
          <w:spacing w:val="-5"/>
        </w:rPr>
        <w:t xml:space="preserve"> </w:t>
      </w:r>
      <w:r>
        <w:t>gas</w:t>
      </w:r>
      <w:r>
        <w:rPr>
          <w:spacing w:val="-4"/>
        </w:rPr>
        <w:t xml:space="preserve"> </w:t>
      </w:r>
      <w:r>
        <w:t>equipment</w:t>
      </w:r>
      <w:r>
        <w:rPr>
          <w:spacing w:val="-4"/>
        </w:rPr>
        <w:t xml:space="preserve"> </w:t>
      </w:r>
      <w:r>
        <w:t>for</w:t>
      </w:r>
      <w:r>
        <w:rPr>
          <w:spacing w:val="-4"/>
        </w:rPr>
        <w:t xml:space="preserve"> </w:t>
      </w:r>
      <w:r>
        <w:t>electric</w:t>
      </w:r>
      <w:r>
        <w:rPr>
          <w:spacing w:val="-4"/>
        </w:rPr>
        <w:t xml:space="preserve"> </w:t>
      </w:r>
      <w:r>
        <w:t>equipment.</w:t>
      </w:r>
      <w:r>
        <w:rPr>
          <w:spacing w:val="-4"/>
        </w:rPr>
        <w:t xml:space="preserve"> </w:t>
      </w:r>
      <w:r>
        <w:t>The</w:t>
      </w:r>
      <w:r>
        <w:rPr>
          <w:spacing w:val="-4"/>
        </w:rPr>
        <w:t xml:space="preserve"> </w:t>
      </w:r>
      <w:r>
        <w:t>characterization</w:t>
      </w:r>
      <w:r>
        <w:rPr>
          <w:spacing w:val="-5"/>
        </w:rPr>
        <w:t xml:space="preserve"> </w:t>
      </w:r>
      <w:r>
        <w:t>process</w:t>
      </w:r>
      <w:r>
        <w:rPr>
          <w:spacing w:val="-4"/>
        </w:rPr>
        <w:t xml:space="preserve"> </w:t>
      </w:r>
      <w:r>
        <w:t>involved</w:t>
      </w:r>
      <w:r>
        <w:rPr>
          <w:spacing w:val="-4"/>
        </w:rPr>
        <w:t xml:space="preserve"> </w:t>
      </w:r>
      <w:r>
        <w:t>the following steps:</w:t>
      </w:r>
    </w:p>
    <w:p w:rsidR="00C31389" w:rsidRDefault="00C31389" w14:paraId="5E7CCF8F" w14:textId="77777777">
      <w:pPr>
        <w:pStyle w:val="BodyText"/>
        <w:rPr>
          <w:sz w:val="21"/>
        </w:rPr>
      </w:pPr>
    </w:p>
    <w:p w:rsidR="00C31389" w:rsidRDefault="00561FBD" w14:paraId="75337F5B" w14:textId="77777777">
      <w:pPr>
        <w:pStyle w:val="Heading7"/>
        <w:numPr>
          <w:ilvl w:val="0"/>
          <w:numId w:val="26"/>
        </w:numPr>
        <w:tabs>
          <w:tab w:val="left" w:pos="724"/>
        </w:tabs>
        <w:ind w:hanging="244"/>
        <w:jc w:val="both"/>
      </w:pPr>
      <w:r>
        <w:t>Select</w:t>
      </w:r>
      <w:r>
        <w:rPr>
          <w:spacing w:val="-9"/>
        </w:rPr>
        <w:t xml:space="preserve"> </w:t>
      </w:r>
      <w:r>
        <w:t>FS</w:t>
      </w:r>
      <w:r>
        <w:rPr>
          <w:spacing w:val="-8"/>
        </w:rPr>
        <w:t xml:space="preserve"> </w:t>
      </w:r>
      <w:r>
        <w:t>technologies</w:t>
      </w:r>
      <w:r>
        <w:rPr>
          <w:spacing w:val="-9"/>
        </w:rPr>
        <w:t xml:space="preserve"> </w:t>
      </w:r>
      <w:r>
        <w:t>and</w:t>
      </w:r>
      <w:r>
        <w:rPr>
          <w:spacing w:val="-8"/>
        </w:rPr>
        <w:t xml:space="preserve"> </w:t>
      </w:r>
      <w:r>
        <w:t>formulate</w:t>
      </w:r>
      <w:r>
        <w:rPr>
          <w:spacing w:val="-9"/>
        </w:rPr>
        <w:t xml:space="preserve"> </w:t>
      </w:r>
      <w:r>
        <w:t>technology</w:t>
      </w:r>
      <w:r>
        <w:rPr>
          <w:spacing w:val="-8"/>
        </w:rPr>
        <w:t xml:space="preserve"> </w:t>
      </w:r>
      <w:r>
        <w:rPr>
          <w:spacing w:val="-2"/>
        </w:rPr>
        <w:t>groups.</w:t>
      </w:r>
    </w:p>
    <w:p w:rsidR="00C31389" w:rsidRDefault="00561FBD" w14:paraId="53A9C12A" w14:textId="77777777">
      <w:pPr>
        <w:pStyle w:val="ListParagraph"/>
        <w:numPr>
          <w:ilvl w:val="1"/>
          <w:numId w:val="26"/>
        </w:numPr>
        <w:tabs>
          <w:tab w:val="left" w:pos="1200"/>
        </w:tabs>
        <w:spacing w:before="120"/>
        <w:ind w:right="764"/>
        <w:jc w:val="both"/>
      </w:pPr>
      <w:r>
        <w:t>The</w:t>
      </w:r>
      <w:r>
        <w:rPr>
          <w:spacing w:val="-4"/>
        </w:rPr>
        <w:t xml:space="preserve"> </w:t>
      </w:r>
      <w:r>
        <w:t>Guidehouse</w:t>
      </w:r>
      <w:r>
        <w:rPr>
          <w:spacing w:val="-4"/>
        </w:rPr>
        <w:t xml:space="preserve"> </w:t>
      </w:r>
      <w:r>
        <w:t>team</w:t>
      </w:r>
      <w:r>
        <w:rPr>
          <w:spacing w:val="-5"/>
        </w:rPr>
        <w:t xml:space="preserve"> </w:t>
      </w:r>
      <w:r>
        <w:t>considered</w:t>
      </w:r>
      <w:r>
        <w:rPr>
          <w:spacing w:val="-4"/>
        </w:rPr>
        <w:t xml:space="preserve"> </w:t>
      </w:r>
      <w:r>
        <w:t>FS</w:t>
      </w:r>
      <w:r>
        <w:rPr>
          <w:spacing w:val="-4"/>
        </w:rPr>
        <w:t xml:space="preserve"> </w:t>
      </w:r>
      <w:r>
        <w:t>measures</w:t>
      </w:r>
      <w:r>
        <w:rPr>
          <w:spacing w:val="-4"/>
        </w:rPr>
        <w:t xml:space="preserve"> </w:t>
      </w:r>
      <w:r>
        <w:t>in</w:t>
      </w:r>
      <w:r>
        <w:rPr>
          <w:spacing w:val="-4"/>
        </w:rPr>
        <w:t xml:space="preserve"> </w:t>
      </w:r>
      <w:r>
        <w:t>the</w:t>
      </w:r>
      <w:r>
        <w:rPr>
          <w:spacing w:val="-4"/>
        </w:rPr>
        <w:t xml:space="preserve"> </w:t>
      </w:r>
      <w:r>
        <w:t>residential</w:t>
      </w:r>
      <w:r>
        <w:rPr>
          <w:spacing w:val="-4"/>
        </w:rPr>
        <w:t xml:space="preserve"> </w:t>
      </w:r>
      <w:r>
        <w:t>and</w:t>
      </w:r>
      <w:r>
        <w:rPr>
          <w:spacing w:val="-4"/>
        </w:rPr>
        <w:t xml:space="preserve"> </w:t>
      </w:r>
      <w:r>
        <w:t>commercial space heating, water heating, appliance, and cooking end uses.</w:t>
      </w:r>
    </w:p>
    <w:p w:rsidR="00C31389" w:rsidRDefault="00561FBD" w14:paraId="326452E2" w14:textId="77777777">
      <w:pPr>
        <w:pStyle w:val="ListParagraph"/>
        <w:numPr>
          <w:ilvl w:val="1"/>
          <w:numId w:val="26"/>
        </w:numPr>
        <w:tabs>
          <w:tab w:val="left" w:pos="1200"/>
        </w:tabs>
        <w:spacing w:before="118"/>
        <w:ind w:right="822"/>
        <w:jc w:val="both"/>
      </w:pPr>
      <w:r>
        <w:t>The</w:t>
      </w:r>
      <w:r>
        <w:rPr>
          <w:spacing w:val="-3"/>
        </w:rPr>
        <w:t xml:space="preserve"> </w:t>
      </w:r>
      <w:r>
        <w:t>team</w:t>
      </w:r>
      <w:r>
        <w:rPr>
          <w:spacing w:val="-4"/>
        </w:rPr>
        <w:t xml:space="preserve"> </w:t>
      </w:r>
      <w:r>
        <w:t>excluded</w:t>
      </w:r>
      <w:r>
        <w:rPr>
          <w:spacing w:val="-3"/>
        </w:rPr>
        <w:t xml:space="preserve"> </w:t>
      </w:r>
      <w:r>
        <w:t>technologies</w:t>
      </w:r>
      <w:r>
        <w:rPr>
          <w:spacing w:val="-3"/>
        </w:rPr>
        <w:t xml:space="preserve"> </w:t>
      </w:r>
      <w:r>
        <w:t>that</w:t>
      </w:r>
      <w:r>
        <w:rPr>
          <w:spacing w:val="-3"/>
        </w:rPr>
        <w:t xml:space="preserve"> </w:t>
      </w:r>
      <w:r>
        <w:t>did</w:t>
      </w:r>
      <w:r>
        <w:rPr>
          <w:spacing w:val="-3"/>
        </w:rPr>
        <w:t xml:space="preserve"> </w:t>
      </w:r>
      <w:r>
        <w:t>not</w:t>
      </w:r>
      <w:r>
        <w:rPr>
          <w:spacing w:val="-3"/>
        </w:rPr>
        <w:t xml:space="preserve"> </w:t>
      </w:r>
      <w:r>
        <w:t>pass</w:t>
      </w:r>
      <w:r>
        <w:rPr>
          <w:spacing w:val="-3"/>
        </w:rPr>
        <w:t xml:space="preserve"> </w:t>
      </w:r>
      <w:r>
        <w:t>the</w:t>
      </w:r>
      <w:r>
        <w:rPr>
          <w:spacing w:val="-3"/>
        </w:rPr>
        <w:t xml:space="preserve"> </w:t>
      </w:r>
      <w:r>
        <w:t>CPUC</w:t>
      </w:r>
      <w:r>
        <w:rPr>
          <w:spacing w:val="-2"/>
        </w:rPr>
        <w:t xml:space="preserve"> </w:t>
      </w:r>
      <w:r>
        <w:t>fuel</w:t>
      </w:r>
      <w:r>
        <w:rPr>
          <w:spacing w:val="-3"/>
        </w:rPr>
        <w:t xml:space="preserve"> </w:t>
      </w:r>
      <w:r>
        <w:t>substitution</w:t>
      </w:r>
      <w:r>
        <w:rPr>
          <w:spacing w:val="-3"/>
        </w:rPr>
        <w:t xml:space="preserve"> </w:t>
      </w:r>
      <w:r>
        <w:t>test (FST)</w:t>
      </w:r>
      <w:r>
        <w:rPr>
          <w:spacing w:val="-16"/>
        </w:rPr>
        <w:t xml:space="preserve"> </w:t>
      </w:r>
      <w:hyperlink w:history="1" w:anchor="_bookmark235">
        <w:r>
          <w:rPr>
            <w:position w:val="7"/>
            <w:sz w:val="14"/>
          </w:rPr>
          <w:t>71</w:t>
        </w:r>
      </w:hyperlink>
      <w:r>
        <w:rPr>
          <w:spacing w:val="-5"/>
          <w:position w:val="7"/>
          <w:sz w:val="14"/>
        </w:rPr>
        <w:t xml:space="preserve"> </w:t>
      </w:r>
      <w:r>
        <w:t>or tha</w:t>
      </w:r>
      <w:r>
        <w:t>t did not have a technically suitable,</w:t>
      </w:r>
      <w:r>
        <w:rPr>
          <w:spacing w:val="-1"/>
        </w:rPr>
        <w:t xml:space="preserve"> </w:t>
      </w:r>
      <w:r>
        <w:t>commercially available electric equivalent to the gas technology being replaced.</w:t>
      </w:r>
    </w:p>
    <w:p w:rsidR="00C31389" w:rsidRDefault="00561FBD" w14:paraId="4DCC6DC9" w14:textId="77777777">
      <w:pPr>
        <w:pStyle w:val="ListParagraph"/>
        <w:numPr>
          <w:ilvl w:val="1"/>
          <w:numId w:val="26"/>
        </w:numPr>
        <w:tabs>
          <w:tab w:val="left" w:pos="1200"/>
        </w:tabs>
        <w:spacing w:before="117"/>
        <w:ind w:right="701"/>
      </w:pPr>
      <w:r>
        <w:t>The team analyzed FS technologies in the same technology group as the gas technology</w:t>
      </w:r>
      <w:r>
        <w:rPr>
          <w:spacing w:val="-4"/>
        </w:rPr>
        <w:t xml:space="preserve"> </w:t>
      </w:r>
      <w:r>
        <w:t>being</w:t>
      </w:r>
      <w:r>
        <w:rPr>
          <w:spacing w:val="-3"/>
        </w:rPr>
        <w:t xml:space="preserve"> </w:t>
      </w:r>
      <w:r>
        <w:t>replaced.</w:t>
      </w:r>
      <w:r>
        <w:rPr>
          <w:spacing w:val="-3"/>
        </w:rPr>
        <w:t xml:space="preserve"> </w:t>
      </w:r>
      <w:r>
        <w:t>In</w:t>
      </w:r>
      <w:r>
        <w:rPr>
          <w:spacing w:val="-3"/>
        </w:rPr>
        <w:t xml:space="preserve"> </w:t>
      </w:r>
      <w:r>
        <w:t>other</w:t>
      </w:r>
      <w:r>
        <w:rPr>
          <w:spacing w:val="-5"/>
        </w:rPr>
        <w:t xml:space="preserve"> </w:t>
      </w:r>
      <w:r>
        <w:t>words,</w:t>
      </w:r>
      <w:r>
        <w:rPr>
          <w:spacing w:val="-3"/>
        </w:rPr>
        <w:t xml:space="preserve"> </w:t>
      </w:r>
      <w:r>
        <w:t>a</w:t>
      </w:r>
      <w:r>
        <w:rPr>
          <w:spacing w:val="-3"/>
        </w:rPr>
        <w:t xml:space="preserve"> </w:t>
      </w:r>
      <w:r>
        <w:t>FS</w:t>
      </w:r>
      <w:r>
        <w:rPr>
          <w:spacing w:val="-2"/>
        </w:rPr>
        <w:t xml:space="preserve"> </w:t>
      </w:r>
      <w:r>
        <w:t>measure</w:t>
      </w:r>
      <w:r>
        <w:rPr>
          <w:spacing w:val="-3"/>
        </w:rPr>
        <w:t xml:space="preserve"> </w:t>
      </w:r>
      <w:r>
        <w:t>replac</w:t>
      </w:r>
      <w:r>
        <w:t>ing</w:t>
      </w:r>
      <w:r>
        <w:rPr>
          <w:spacing w:val="-3"/>
        </w:rPr>
        <w:t xml:space="preserve"> </w:t>
      </w:r>
      <w:r>
        <w:t>a</w:t>
      </w:r>
      <w:r>
        <w:rPr>
          <w:spacing w:val="-3"/>
        </w:rPr>
        <w:t xml:space="preserve"> </w:t>
      </w:r>
      <w:r>
        <w:t>baseline</w:t>
      </w:r>
      <w:r>
        <w:rPr>
          <w:spacing w:val="-3"/>
        </w:rPr>
        <w:t xml:space="preserve"> </w:t>
      </w:r>
      <w:r>
        <w:t>gas technology would compete with the efficient gas technology(ies) that would be a candidate to replace the baseline gas technology.</w:t>
      </w:r>
    </w:p>
    <w:p w:rsidR="00C31389" w:rsidRDefault="00C31389" w14:paraId="369C8F03" w14:textId="77777777">
      <w:pPr>
        <w:pStyle w:val="BodyText"/>
        <w:spacing w:before="9"/>
        <w:rPr>
          <w:sz w:val="20"/>
        </w:rPr>
      </w:pPr>
    </w:p>
    <w:p w:rsidR="00C31389" w:rsidRDefault="00561FBD" w14:paraId="2F273B82" w14:textId="77777777">
      <w:pPr>
        <w:pStyle w:val="Heading7"/>
        <w:numPr>
          <w:ilvl w:val="0"/>
          <w:numId w:val="26"/>
        </w:numPr>
        <w:tabs>
          <w:tab w:val="left" w:pos="724"/>
        </w:tabs>
        <w:spacing w:before="1"/>
        <w:ind w:hanging="244"/>
      </w:pPr>
      <w:r>
        <w:t>Characterize</w:t>
      </w:r>
      <w:r>
        <w:rPr>
          <w:spacing w:val="-10"/>
        </w:rPr>
        <w:t xml:space="preserve"> </w:t>
      </w:r>
      <w:r>
        <w:t>FS</w:t>
      </w:r>
      <w:r>
        <w:rPr>
          <w:spacing w:val="-10"/>
        </w:rPr>
        <w:t xml:space="preserve"> </w:t>
      </w:r>
      <w:r>
        <w:rPr>
          <w:spacing w:val="-2"/>
        </w:rPr>
        <w:t>technologies.</w:t>
      </w:r>
    </w:p>
    <w:p w:rsidR="00C31389" w:rsidRDefault="00561FBD" w14:paraId="0F22C6C4" w14:textId="77777777">
      <w:pPr>
        <w:pStyle w:val="ListParagraph"/>
        <w:numPr>
          <w:ilvl w:val="1"/>
          <w:numId w:val="26"/>
        </w:numPr>
        <w:tabs>
          <w:tab w:val="left" w:pos="1200"/>
        </w:tabs>
        <w:spacing w:before="119"/>
        <w:ind w:right="446"/>
      </w:pPr>
      <w:r>
        <w:t>In</w:t>
      </w:r>
      <w:r>
        <w:rPr>
          <w:spacing w:val="-4"/>
        </w:rPr>
        <w:t xml:space="preserve"> </w:t>
      </w:r>
      <w:r>
        <w:t>most</w:t>
      </w:r>
      <w:r>
        <w:rPr>
          <w:spacing w:val="-4"/>
        </w:rPr>
        <w:t xml:space="preserve"> </w:t>
      </w:r>
      <w:r>
        <w:t>cases,</w:t>
      </w:r>
      <w:r>
        <w:rPr>
          <w:spacing w:val="-4"/>
        </w:rPr>
        <w:t xml:space="preserve"> </w:t>
      </w:r>
      <w:r>
        <w:t>the</w:t>
      </w:r>
      <w:r>
        <w:rPr>
          <w:spacing w:val="-4"/>
        </w:rPr>
        <w:t xml:space="preserve"> </w:t>
      </w:r>
      <w:r>
        <w:t>Guidehouse</w:t>
      </w:r>
      <w:r>
        <w:rPr>
          <w:spacing w:val="-4"/>
        </w:rPr>
        <w:t xml:space="preserve"> </w:t>
      </w:r>
      <w:r>
        <w:t>team</w:t>
      </w:r>
      <w:r>
        <w:rPr>
          <w:spacing w:val="-5"/>
        </w:rPr>
        <w:t xml:space="preserve"> </w:t>
      </w:r>
      <w:r>
        <w:t>characterized</w:t>
      </w:r>
      <w:r>
        <w:rPr>
          <w:spacing w:val="-4"/>
        </w:rPr>
        <w:t xml:space="preserve"> </w:t>
      </w:r>
      <w:r>
        <w:t>the</w:t>
      </w:r>
      <w:r>
        <w:rPr>
          <w:spacing w:val="-4"/>
        </w:rPr>
        <w:t xml:space="preserve"> </w:t>
      </w:r>
      <w:r>
        <w:t>electric</w:t>
      </w:r>
      <w:r>
        <w:rPr>
          <w:spacing w:val="-4"/>
        </w:rPr>
        <w:t xml:space="preserve"> </w:t>
      </w:r>
      <w:r>
        <w:t>technology</w:t>
      </w:r>
      <w:r>
        <w:rPr>
          <w:spacing w:val="-4"/>
        </w:rPr>
        <w:t xml:space="preserve"> </w:t>
      </w:r>
      <w:r>
        <w:t>that</w:t>
      </w:r>
      <w:r>
        <w:rPr>
          <w:spacing w:val="-4"/>
        </w:rPr>
        <w:t xml:space="preserve"> </w:t>
      </w:r>
      <w:r>
        <w:t>would directly replace the gas technology in a one-for-one replacement. Inputs for each technology included energy use, costs, market information, and other relevant fields.</w:t>
      </w:r>
    </w:p>
    <w:p w:rsidR="00C31389" w:rsidRDefault="00561FBD" w14:paraId="44300D31" w14:textId="77777777">
      <w:pPr>
        <w:pStyle w:val="ListParagraph"/>
        <w:numPr>
          <w:ilvl w:val="1"/>
          <w:numId w:val="26"/>
        </w:numPr>
        <w:tabs>
          <w:tab w:val="left" w:pos="1200"/>
        </w:tabs>
        <w:spacing w:before="119"/>
        <w:ind w:right="604"/>
      </w:pPr>
      <w:r>
        <w:t>For FS measures competing with gas measures in Southern California</w:t>
      </w:r>
      <w:r>
        <w:t xml:space="preserve"> Edison (SCE)/Southern California Gas (SCG) territory, the team characterized the entire technology</w:t>
      </w:r>
      <w:r>
        <w:rPr>
          <w:spacing w:val="-4"/>
        </w:rPr>
        <w:t xml:space="preserve"> </w:t>
      </w:r>
      <w:r>
        <w:t>group</w:t>
      </w:r>
      <w:r>
        <w:rPr>
          <w:spacing w:val="-3"/>
        </w:rPr>
        <w:t xml:space="preserve"> </w:t>
      </w:r>
      <w:r>
        <w:t>in</w:t>
      </w:r>
      <w:r>
        <w:rPr>
          <w:spacing w:val="-3"/>
        </w:rPr>
        <w:t xml:space="preserve"> </w:t>
      </w:r>
      <w:r>
        <w:t>SCG</w:t>
      </w:r>
      <w:r>
        <w:rPr>
          <w:spacing w:val="-4"/>
        </w:rPr>
        <w:t xml:space="preserve"> </w:t>
      </w:r>
      <w:r>
        <w:t>territory</w:t>
      </w:r>
      <w:r>
        <w:rPr>
          <w:spacing w:val="-3"/>
        </w:rPr>
        <w:t xml:space="preserve"> </w:t>
      </w:r>
      <w:r>
        <w:t>and</w:t>
      </w:r>
      <w:r>
        <w:rPr>
          <w:spacing w:val="-3"/>
        </w:rPr>
        <w:t xml:space="preserve"> </w:t>
      </w:r>
      <w:r>
        <w:t>then</w:t>
      </w:r>
      <w:r>
        <w:rPr>
          <w:spacing w:val="-3"/>
        </w:rPr>
        <w:t xml:space="preserve"> </w:t>
      </w:r>
      <w:r>
        <w:t>assigned</w:t>
      </w:r>
      <w:r>
        <w:rPr>
          <w:spacing w:val="-3"/>
        </w:rPr>
        <w:t xml:space="preserve"> </w:t>
      </w:r>
      <w:r>
        <w:t>gas</w:t>
      </w:r>
      <w:r>
        <w:rPr>
          <w:spacing w:val="-3"/>
        </w:rPr>
        <w:t xml:space="preserve"> </w:t>
      </w:r>
      <w:r>
        <w:t>savings</w:t>
      </w:r>
      <w:r>
        <w:rPr>
          <w:spacing w:val="-3"/>
        </w:rPr>
        <w:t xml:space="preserve"> </w:t>
      </w:r>
      <w:r>
        <w:t>from</w:t>
      </w:r>
      <w:r>
        <w:rPr>
          <w:spacing w:val="-4"/>
        </w:rPr>
        <w:t xml:space="preserve"> </w:t>
      </w:r>
      <w:r>
        <w:t>the</w:t>
      </w:r>
      <w:r>
        <w:rPr>
          <w:spacing w:val="-3"/>
        </w:rPr>
        <w:t xml:space="preserve"> </w:t>
      </w:r>
      <w:r>
        <w:t>fuel</w:t>
      </w:r>
      <w:r>
        <w:rPr>
          <w:spacing w:val="-3"/>
        </w:rPr>
        <w:t xml:space="preserve"> </w:t>
      </w:r>
      <w:r>
        <w:t>sub- measure to SCE.</w:t>
      </w:r>
    </w:p>
    <w:p w:rsidR="00C31389" w:rsidRDefault="00561FBD" w14:paraId="0276EF4A" w14:textId="77777777">
      <w:pPr>
        <w:pStyle w:val="ListParagraph"/>
        <w:numPr>
          <w:ilvl w:val="1"/>
          <w:numId w:val="26"/>
        </w:numPr>
        <w:tabs>
          <w:tab w:val="left" w:pos="1199"/>
        </w:tabs>
        <w:spacing w:before="117"/>
        <w:ind w:left="1199" w:right="531"/>
      </w:pPr>
      <w:r>
        <w:t>For</w:t>
      </w:r>
      <w:r>
        <w:rPr>
          <w:spacing w:val="-3"/>
        </w:rPr>
        <w:t xml:space="preserve"> </w:t>
      </w:r>
      <w:r>
        <w:t>residential</w:t>
      </w:r>
      <w:r>
        <w:rPr>
          <w:spacing w:val="-3"/>
        </w:rPr>
        <w:t xml:space="preserve"> </w:t>
      </w:r>
      <w:r>
        <w:t>HVAC</w:t>
      </w:r>
      <w:r>
        <w:rPr>
          <w:spacing w:val="-4"/>
        </w:rPr>
        <w:t xml:space="preserve"> </w:t>
      </w:r>
      <w:r>
        <w:t>situations</w:t>
      </w:r>
      <w:r>
        <w:rPr>
          <w:spacing w:val="-3"/>
        </w:rPr>
        <w:t xml:space="preserve"> </w:t>
      </w:r>
      <w:r>
        <w:t>where</w:t>
      </w:r>
      <w:r>
        <w:rPr>
          <w:spacing w:val="-3"/>
        </w:rPr>
        <w:t xml:space="preserve"> </w:t>
      </w:r>
      <w:r>
        <w:t>the</w:t>
      </w:r>
      <w:r>
        <w:rPr>
          <w:spacing w:val="-3"/>
        </w:rPr>
        <w:t xml:space="preserve"> </w:t>
      </w:r>
      <w:r>
        <w:t>FS</w:t>
      </w:r>
      <w:r>
        <w:rPr>
          <w:spacing w:val="-3"/>
        </w:rPr>
        <w:t xml:space="preserve"> </w:t>
      </w:r>
      <w:r>
        <w:t>measure</w:t>
      </w:r>
      <w:r>
        <w:rPr>
          <w:spacing w:val="-3"/>
        </w:rPr>
        <w:t xml:space="preserve"> </w:t>
      </w:r>
      <w:r>
        <w:t>(a</w:t>
      </w:r>
      <w:r>
        <w:rPr>
          <w:spacing w:val="-3"/>
        </w:rPr>
        <w:t xml:space="preserve"> </w:t>
      </w:r>
      <w:r>
        <w:t>heat</w:t>
      </w:r>
      <w:r>
        <w:rPr>
          <w:spacing w:val="-3"/>
        </w:rPr>
        <w:t xml:space="preserve"> </w:t>
      </w:r>
      <w:r>
        <w:t>pump)</w:t>
      </w:r>
      <w:r>
        <w:rPr>
          <w:spacing w:val="-3"/>
        </w:rPr>
        <w:t xml:space="preserve"> </w:t>
      </w:r>
      <w:r>
        <w:t>w</w:t>
      </w:r>
      <w:r>
        <w:t>ould</w:t>
      </w:r>
      <w:r>
        <w:rPr>
          <w:spacing w:val="-3"/>
        </w:rPr>
        <w:t xml:space="preserve"> </w:t>
      </w:r>
      <w:r>
        <w:t>replace both</w:t>
      </w:r>
      <w:r>
        <w:rPr>
          <w:spacing w:val="-1"/>
        </w:rPr>
        <w:t xml:space="preserve"> </w:t>
      </w:r>
      <w:r>
        <w:t>a</w:t>
      </w:r>
      <w:r>
        <w:rPr>
          <w:spacing w:val="-1"/>
        </w:rPr>
        <w:t xml:space="preserve"> </w:t>
      </w:r>
      <w:r>
        <w:t>gas</w:t>
      </w:r>
      <w:r>
        <w:rPr>
          <w:spacing w:val="-1"/>
        </w:rPr>
        <w:t xml:space="preserve"> </w:t>
      </w:r>
      <w:r>
        <w:t>appliance</w:t>
      </w:r>
      <w:r>
        <w:rPr>
          <w:spacing w:val="-1"/>
        </w:rPr>
        <w:t xml:space="preserve"> </w:t>
      </w:r>
      <w:r>
        <w:t>(furnace)</w:t>
      </w:r>
      <w:r>
        <w:rPr>
          <w:spacing w:val="-1"/>
        </w:rPr>
        <w:t xml:space="preserve"> </w:t>
      </w:r>
      <w:r>
        <w:t>and</w:t>
      </w:r>
      <w:r>
        <w:rPr>
          <w:spacing w:val="-1"/>
        </w:rPr>
        <w:t xml:space="preserve"> </w:t>
      </w:r>
      <w:r>
        <w:t>an electric</w:t>
      </w:r>
      <w:r>
        <w:rPr>
          <w:spacing w:val="-2"/>
        </w:rPr>
        <w:t xml:space="preserve"> </w:t>
      </w:r>
      <w:r>
        <w:t>appliance</w:t>
      </w:r>
      <w:r>
        <w:rPr>
          <w:spacing w:val="-1"/>
        </w:rPr>
        <w:t xml:space="preserve"> </w:t>
      </w:r>
      <w:r>
        <w:t>(air</w:t>
      </w:r>
      <w:r>
        <w:rPr>
          <w:spacing w:val="-3"/>
        </w:rPr>
        <w:t xml:space="preserve"> </w:t>
      </w:r>
      <w:r>
        <w:t>conditioner,</w:t>
      </w:r>
      <w:r>
        <w:rPr>
          <w:spacing w:val="-2"/>
        </w:rPr>
        <w:t xml:space="preserve"> </w:t>
      </w:r>
      <w:r>
        <w:t>or</w:t>
      </w:r>
      <w:r>
        <w:rPr>
          <w:spacing w:val="-1"/>
        </w:rPr>
        <w:t xml:space="preserve"> </w:t>
      </w:r>
      <w:r>
        <w:t>AC),</w:t>
      </w:r>
      <w:r>
        <w:rPr>
          <w:spacing w:val="-1"/>
        </w:rPr>
        <w:t xml:space="preserve"> </w:t>
      </w:r>
      <w:r>
        <w:t xml:space="preserve">the team conducted a literature review to estimate what proportion of households would likely replace both appliances with the FS measure and adjusted the </w:t>
      </w:r>
      <w:r>
        <w:t>technology group density accordingly.</w:t>
      </w:r>
    </w:p>
    <w:p w:rsidR="00C31389" w:rsidRDefault="00561FBD" w14:paraId="27C69F3C" w14:textId="77777777">
      <w:pPr>
        <w:pStyle w:val="ListParagraph"/>
        <w:numPr>
          <w:ilvl w:val="1"/>
          <w:numId w:val="26"/>
        </w:numPr>
        <w:tabs>
          <w:tab w:val="left" w:pos="1199"/>
        </w:tabs>
        <w:spacing w:before="119"/>
        <w:ind w:left="1199" w:right="824"/>
      </w:pPr>
      <w:r>
        <w:t>For commercial water heaters, the Guidehouse team found no one-to-one replacement of gas to electric equipment covering the same building area, so the team</w:t>
      </w:r>
      <w:r>
        <w:rPr>
          <w:spacing w:val="-4"/>
        </w:rPr>
        <w:t xml:space="preserve"> </w:t>
      </w:r>
      <w:r>
        <w:t>normalized</w:t>
      </w:r>
      <w:r>
        <w:rPr>
          <w:spacing w:val="-3"/>
        </w:rPr>
        <w:t xml:space="preserve"> </w:t>
      </w:r>
      <w:r>
        <w:t>the</w:t>
      </w:r>
      <w:r>
        <w:rPr>
          <w:spacing w:val="-3"/>
        </w:rPr>
        <w:t xml:space="preserve"> </w:t>
      </w:r>
      <w:r>
        <w:t>cost</w:t>
      </w:r>
      <w:r>
        <w:rPr>
          <w:spacing w:val="-3"/>
        </w:rPr>
        <w:t xml:space="preserve"> </w:t>
      </w:r>
      <w:r>
        <w:t>and</w:t>
      </w:r>
      <w:r>
        <w:rPr>
          <w:spacing w:val="-3"/>
        </w:rPr>
        <w:t xml:space="preserve"> </w:t>
      </w:r>
      <w:r>
        <w:t>energy</w:t>
      </w:r>
      <w:r>
        <w:rPr>
          <w:spacing w:val="-4"/>
        </w:rPr>
        <w:t xml:space="preserve"> </w:t>
      </w:r>
      <w:r>
        <w:t>savings</w:t>
      </w:r>
      <w:r>
        <w:rPr>
          <w:spacing w:val="-4"/>
        </w:rPr>
        <w:t xml:space="preserve"> </w:t>
      </w:r>
      <w:r>
        <w:t>on</w:t>
      </w:r>
      <w:r>
        <w:rPr>
          <w:spacing w:val="-4"/>
        </w:rPr>
        <w:t xml:space="preserve"> </w:t>
      </w:r>
      <w:r>
        <w:t>a</w:t>
      </w:r>
      <w:r>
        <w:rPr>
          <w:spacing w:val="-3"/>
        </w:rPr>
        <w:t xml:space="preserve"> </w:t>
      </w:r>
      <w:r>
        <w:t>per-1,000</w:t>
      </w:r>
      <w:r>
        <w:rPr>
          <w:spacing w:val="-3"/>
        </w:rPr>
        <w:t xml:space="preserve"> </w:t>
      </w:r>
      <w:r>
        <w:t>square</w:t>
      </w:r>
      <w:r>
        <w:rPr>
          <w:spacing w:val="-3"/>
        </w:rPr>
        <w:t xml:space="preserve"> </w:t>
      </w:r>
      <w:r>
        <w:t>f</w:t>
      </w:r>
      <w:r>
        <w:t>oot</w:t>
      </w:r>
      <w:r>
        <w:rPr>
          <w:spacing w:val="-4"/>
        </w:rPr>
        <w:t xml:space="preserve"> </w:t>
      </w:r>
      <w:r>
        <w:t>basis</w:t>
      </w:r>
      <w:r>
        <w:rPr>
          <w:spacing w:val="-3"/>
        </w:rPr>
        <w:t xml:space="preserve"> </w:t>
      </w:r>
      <w:r>
        <w:t>to obtain an equivalent comparison.</w:t>
      </w:r>
    </w:p>
    <w:p w:rsidR="00C31389" w:rsidRDefault="00561FBD" w14:paraId="09D780DE" w14:textId="77777777">
      <w:pPr>
        <w:pStyle w:val="ListParagraph"/>
        <w:numPr>
          <w:ilvl w:val="1"/>
          <w:numId w:val="26"/>
        </w:numPr>
        <w:tabs>
          <w:tab w:val="left" w:pos="1199"/>
        </w:tabs>
        <w:spacing w:before="118"/>
        <w:ind w:left="1199" w:right="421"/>
      </w:pPr>
      <w:r>
        <w:t>Heat pump water heaters are beginning to increase in prevalence and could undergo market transformation as they are more widely adopted. The team used data from a National Renewable Energy Laboratory (NREL) stu</w:t>
      </w:r>
      <w:r>
        <w:t>dy to develop cost reduction factors</w:t>
      </w:r>
      <w:r>
        <w:rPr>
          <w:spacing w:val="-3"/>
        </w:rPr>
        <w:t xml:space="preserve"> </w:t>
      </w:r>
      <w:r>
        <w:t>to</w:t>
      </w:r>
      <w:r>
        <w:rPr>
          <w:spacing w:val="-3"/>
        </w:rPr>
        <w:t xml:space="preserve"> </w:t>
      </w:r>
      <w:r>
        <w:t>adjust</w:t>
      </w:r>
      <w:r>
        <w:rPr>
          <w:spacing w:val="-3"/>
        </w:rPr>
        <w:t xml:space="preserve"> </w:t>
      </w:r>
      <w:r>
        <w:t>the</w:t>
      </w:r>
      <w:r>
        <w:rPr>
          <w:spacing w:val="-3"/>
        </w:rPr>
        <w:t xml:space="preserve"> </w:t>
      </w:r>
      <w:r>
        <w:t>cost</w:t>
      </w:r>
      <w:r>
        <w:rPr>
          <w:spacing w:val="-4"/>
        </w:rPr>
        <w:t xml:space="preserve"> </w:t>
      </w:r>
      <w:r>
        <w:t>of</w:t>
      </w:r>
      <w:r>
        <w:rPr>
          <w:spacing w:val="-3"/>
        </w:rPr>
        <w:t xml:space="preserve"> </w:t>
      </w:r>
      <w:r>
        <w:t>heat</w:t>
      </w:r>
      <w:r>
        <w:rPr>
          <w:spacing w:val="-3"/>
        </w:rPr>
        <w:t xml:space="preserve"> </w:t>
      </w:r>
      <w:r>
        <w:t>pump</w:t>
      </w:r>
      <w:r>
        <w:rPr>
          <w:spacing w:val="-3"/>
        </w:rPr>
        <w:t xml:space="preserve"> </w:t>
      </w:r>
      <w:r>
        <w:t>water</w:t>
      </w:r>
      <w:r>
        <w:rPr>
          <w:spacing w:val="-3"/>
        </w:rPr>
        <w:t xml:space="preserve"> </w:t>
      </w:r>
      <w:r>
        <w:t>heaters</w:t>
      </w:r>
      <w:r>
        <w:rPr>
          <w:spacing w:val="-3"/>
        </w:rPr>
        <w:t xml:space="preserve"> </w:t>
      </w:r>
      <w:r>
        <w:t>over</w:t>
      </w:r>
      <w:r>
        <w:rPr>
          <w:spacing w:val="-3"/>
        </w:rPr>
        <w:t xml:space="preserve"> </w:t>
      </w:r>
      <w:r>
        <w:t>the</w:t>
      </w:r>
      <w:r>
        <w:rPr>
          <w:spacing w:val="-4"/>
        </w:rPr>
        <w:t xml:space="preserve"> </w:t>
      </w:r>
      <w:r>
        <w:t>study</w:t>
      </w:r>
      <w:r>
        <w:rPr>
          <w:spacing w:val="-3"/>
        </w:rPr>
        <w:t xml:space="preserve"> </w:t>
      </w:r>
      <w:r>
        <w:t>period,</w:t>
      </w:r>
      <w:r>
        <w:rPr>
          <w:spacing w:val="-3"/>
        </w:rPr>
        <w:t xml:space="preserve"> </w:t>
      </w:r>
      <w:r>
        <w:t>assuming their cost decreases as they become more commercialized.</w:t>
      </w:r>
    </w:p>
    <w:p w:rsidR="00C31389" w:rsidRDefault="00C31389" w14:paraId="2B777461" w14:textId="77777777">
      <w:pPr>
        <w:pStyle w:val="BodyText"/>
        <w:spacing w:before="9"/>
        <w:rPr>
          <w:sz w:val="20"/>
        </w:rPr>
      </w:pPr>
    </w:p>
    <w:p w:rsidR="00C31389" w:rsidRDefault="00561FBD" w14:paraId="20B87BC4" w14:textId="77777777">
      <w:pPr>
        <w:pStyle w:val="Heading7"/>
        <w:numPr>
          <w:ilvl w:val="0"/>
          <w:numId w:val="26"/>
        </w:numPr>
        <w:tabs>
          <w:tab w:val="left" w:pos="723"/>
        </w:tabs>
        <w:ind w:left="723" w:hanging="244"/>
      </w:pPr>
      <w:r>
        <w:t>Account</w:t>
      </w:r>
      <w:r>
        <w:rPr>
          <w:spacing w:val="-6"/>
        </w:rPr>
        <w:t xml:space="preserve"> </w:t>
      </w:r>
      <w:r>
        <w:t>for</w:t>
      </w:r>
      <w:r>
        <w:rPr>
          <w:spacing w:val="-7"/>
        </w:rPr>
        <w:t xml:space="preserve"> </w:t>
      </w:r>
      <w:r>
        <w:t>2030</w:t>
      </w:r>
      <w:r>
        <w:rPr>
          <w:spacing w:val="-5"/>
        </w:rPr>
        <w:t xml:space="preserve"> </w:t>
      </w:r>
      <w:r>
        <w:t>phaseout</w:t>
      </w:r>
      <w:r>
        <w:rPr>
          <w:spacing w:val="-6"/>
        </w:rPr>
        <w:t xml:space="preserve"> </w:t>
      </w:r>
      <w:r>
        <w:t>of</w:t>
      </w:r>
      <w:r>
        <w:rPr>
          <w:spacing w:val="-5"/>
        </w:rPr>
        <w:t xml:space="preserve"> </w:t>
      </w:r>
      <w:r>
        <w:t>gas</w:t>
      </w:r>
      <w:r>
        <w:rPr>
          <w:spacing w:val="-6"/>
        </w:rPr>
        <w:t xml:space="preserve"> </w:t>
      </w:r>
      <w:r>
        <w:rPr>
          <w:spacing w:val="-2"/>
        </w:rPr>
        <w:t>technologies.</w:t>
      </w:r>
    </w:p>
    <w:p w:rsidR="00C31389" w:rsidRDefault="00C31389" w14:paraId="6070CF77" w14:textId="77777777">
      <w:pPr>
        <w:pStyle w:val="BodyText"/>
        <w:rPr>
          <w:b/>
          <w:sz w:val="20"/>
        </w:rPr>
      </w:pPr>
    </w:p>
    <w:p w:rsidR="00C31389" w:rsidRDefault="00C31389" w14:paraId="62D3EA16" w14:textId="77777777">
      <w:pPr>
        <w:pStyle w:val="BodyText"/>
        <w:rPr>
          <w:b/>
          <w:sz w:val="20"/>
        </w:rPr>
      </w:pPr>
    </w:p>
    <w:p w:rsidR="00C31389" w:rsidRDefault="00561FBD" w14:paraId="76C8305F" w14:textId="77777777">
      <w:pPr>
        <w:pStyle w:val="BodyText"/>
        <w:spacing w:before="8"/>
        <w:rPr>
          <w:b/>
        </w:rPr>
      </w:pPr>
      <w:r>
        <w:rPr>
          <w:noProof/>
        </w:rPr>
        <mc:AlternateContent>
          <mc:Choice Requires="wps">
            <w:drawing>
              <wp:anchor distT="0" distB="0" distL="0" distR="0" simplePos="0" relativeHeight="487674368" behindDoc="1" locked="0" layoutInCell="1" allowOverlap="1" wp14:editId="40ABE0C4" wp14:anchorId="1C71468A">
                <wp:simplePos x="0" y="0"/>
                <wp:positionH relativeFrom="page">
                  <wp:posOffset>914400</wp:posOffset>
                </wp:positionH>
                <wp:positionV relativeFrom="paragraph">
                  <wp:posOffset>181543</wp:posOffset>
                </wp:positionV>
                <wp:extent cx="1828800" cy="6985"/>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28" style="position:absolute;margin-left:1in;margin-top:14.3pt;width:2in;height:.55pt;z-index:-1564211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" w14:anchorId="4CCBCEE0">
                <v:path arrowok="t"/>
                <w10:wrap type="topAndBottom" anchorx="page"/>
              </v:shape>
            </w:pict>
          </mc:Fallback>
        </mc:AlternateContent>
      </w:r>
    </w:p>
    <w:p w:rsidR="00C31389" w:rsidRDefault="00561FBD" w14:paraId="78F4994E" w14:textId="77777777">
      <w:pPr>
        <w:spacing w:before="88"/>
        <w:ind w:left="480" w:right="582"/>
        <w:rPr>
          <w:sz w:val="18"/>
        </w:rPr>
      </w:pPr>
      <w:bookmarkStart w:name="_bookmark235" w:id="318"/>
      <w:bookmarkEnd w:id="318"/>
      <w:r>
        <w:rPr>
          <w:position w:val="6"/>
          <w:sz w:val="12"/>
        </w:rPr>
        <w:t>71</w:t>
      </w:r>
      <w:r>
        <w:rPr>
          <w:spacing w:val="24"/>
          <w:position w:val="6"/>
          <w:sz w:val="12"/>
        </w:rPr>
        <w:t xml:space="preserve"> </w:t>
      </w:r>
      <w:r>
        <w:rPr>
          <w:sz w:val="18"/>
        </w:rPr>
        <w:t xml:space="preserve">As implemented by CPUC </w:t>
      </w:r>
      <w:r>
        <w:rPr>
          <w:sz w:val="18"/>
        </w:rPr>
        <w:t>Decision 19-08-009, the FST specifies that to be included in an EE portfolio, a measure</w:t>
      </w:r>
      <w:r>
        <w:rPr>
          <w:spacing w:val="-4"/>
          <w:sz w:val="18"/>
        </w:rPr>
        <w:t xml:space="preserve"> </w:t>
      </w:r>
      <w:r>
        <w:rPr>
          <w:sz w:val="18"/>
        </w:rPr>
        <w:t>must</w:t>
      </w:r>
      <w:r>
        <w:rPr>
          <w:spacing w:val="-3"/>
          <w:sz w:val="18"/>
        </w:rPr>
        <w:t xml:space="preserve"> </w:t>
      </w:r>
      <w:r>
        <w:rPr>
          <w:sz w:val="18"/>
        </w:rPr>
        <w:t>not</w:t>
      </w:r>
      <w:r>
        <w:rPr>
          <w:spacing w:val="-3"/>
          <w:sz w:val="18"/>
        </w:rPr>
        <w:t xml:space="preserve"> </w:t>
      </w:r>
      <w:r>
        <w:rPr>
          <w:sz w:val="18"/>
        </w:rPr>
        <w:t>increase</w:t>
      </w:r>
      <w:r>
        <w:rPr>
          <w:spacing w:val="-4"/>
          <w:sz w:val="18"/>
        </w:rPr>
        <w:t xml:space="preserve"> </w:t>
      </w:r>
      <w:r>
        <w:rPr>
          <w:sz w:val="18"/>
        </w:rPr>
        <w:t>source</w:t>
      </w:r>
      <w:r>
        <w:rPr>
          <w:spacing w:val="-4"/>
          <w:sz w:val="18"/>
        </w:rPr>
        <w:t xml:space="preserve"> </w:t>
      </w:r>
      <w:r>
        <w:rPr>
          <w:sz w:val="18"/>
        </w:rPr>
        <w:t>energy,</w:t>
      </w:r>
      <w:r>
        <w:rPr>
          <w:spacing w:val="-3"/>
          <w:sz w:val="18"/>
        </w:rPr>
        <w:t xml:space="preserve"> </w:t>
      </w:r>
      <w:r>
        <w:rPr>
          <w:sz w:val="18"/>
        </w:rPr>
        <w:t>and</w:t>
      </w:r>
      <w:r>
        <w:rPr>
          <w:spacing w:val="-4"/>
          <w:sz w:val="18"/>
        </w:rPr>
        <w:t xml:space="preserve"> </w:t>
      </w:r>
      <w:r>
        <w:rPr>
          <w:sz w:val="18"/>
        </w:rPr>
        <w:t>it</w:t>
      </w:r>
      <w:r>
        <w:rPr>
          <w:spacing w:val="-3"/>
          <w:sz w:val="18"/>
        </w:rPr>
        <w:t xml:space="preserve"> </w:t>
      </w:r>
      <w:r>
        <w:rPr>
          <w:sz w:val="18"/>
        </w:rPr>
        <w:t>must</w:t>
      </w:r>
      <w:r>
        <w:rPr>
          <w:spacing w:val="-3"/>
          <w:sz w:val="18"/>
        </w:rPr>
        <w:t xml:space="preserve"> </w:t>
      </w:r>
      <w:r>
        <w:rPr>
          <w:sz w:val="18"/>
        </w:rPr>
        <w:t>not</w:t>
      </w:r>
      <w:r>
        <w:rPr>
          <w:spacing w:val="-3"/>
          <w:sz w:val="18"/>
        </w:rPr>
        <w:t xml:space="preserve"> </w:t>
      </w:r>
      <w:r>
        <w:rPr>
          <w:sz w:val="18"/>
        </w:rPr>
        <w:t>harm</w:t>
      </w:r>
      <w:r>
        <w:rPr>
          <w:spacing w:val="-3"/>
          <w:sz w:val="18"/>
        </w:rPr>
        <w:t xml:space="preserve"> </w:t>
      </w:r>
      <w:r>
        <w:rPr>
          <w:sz w:val="18"/>
        </w:rPr>
        <w:t>the</w:t>
      </w:r>
      <w:r>
        <w:rPr>
          <w:spacing w:val="-4"/>
          <w:sz w:val="18"/>
        </w:rPr>
        <w:t xml:space="preserve"> </w:t>
      </w:r>
      <w:r>
        <w:rPr>
          <w:sz w:val="18"/>
        </w:rPr>
        <w:t>environment</w:t>
      </w:r>
      <w:r>
        <w:rPr>
          <w:spacing w:val="-3"/>
          <w:sz w:val="18"/>
        </w:rPr>
        <w:t xml:space="preserve"> </w:t>
      </w:r>
      <w:r>
        <w:rPr>
          <w:sz w:val="18"/>
        </w:rPr>
        <w:t>(where</w:t>
      </w:r>
      <w:r>
        <w:rPr>
          <w:spacing w:val="-2"/>
          <w:sz w:val="18"/>
        </w:rPr>
        <w:t xml:space="preserve"> </w:t>
      </w:r>
      <w:r>
        <w:rPr>
          <w:sz w:val="18"/>
        </w:rPr>
        <w:t>environmental</w:t>
      </w:r>
      <w:r>
        <w:rPr>
          <w:spacing w:val="-2"/>
          <w:sz w:val="18"/>
        </w:rPr>
        <w:t xml:space="preserve"> </w:t>
      </w:r>
      <w:r>
        <w:rPr>
          <w:sz w:val="18"/>
        </w:rPr>
        <w:t>harm</w:t>
      </w:r>
      <w:r>
        <w:rPr>
          <w:spacing w:val="-3"/>
          <w:sz w:val="18"/>
        </w:rPr>
        <w:t xml:space="preserve"> </w:t>
      </w:r>
      <w:r>
        <w:rPr>
          <w:sz w:val="18"/>
        </w:rPr>
        <w:t xml:space="preserve">is </w:t>
      </w:r>
      <w:r>
        <w:rPr>
          <w:position w:val="1"/>
          <w:sz w:val="18"/>
        </w:rPr>
        <w:t>measured by net CO</w:t>
      </w:r>
      <w:r>
        <w:rPr>
          <w:sz w:val="12"/>
        </w:rPr>
        <w:t>2</w:t>
      </w:r>
      <w:r>
        <w:rPr>
          <w:spacing w:val="36"/>
          <w:sz w:val="12"/>
        </w:rPr>
        <w:t xml:space="preserve"> </w:t>
      </w:r>
      <w:r>
        <w:rPr>
          <w:position w:val="1"/>
          <w:sz w:val="18"/>
        </w:rPr>
        <w:t>emissions).</w:t>
      </w:r>
      <w:r>
        <w:rPr>
          <w:spacing w:val="40"/>
          <w:position w:val="1"/>
          <w:sz w:val="18"/>
        </w:rPr>
        <w:t xml:space="preserve"> </w:t>
      </w:r>
      <w:r>
        <w:rPr>
          <w:position w:val="1"/>
          <w:sz w:val="18"/>
        </w:rPr>
        <w:t>https</w:t>
      </w:r>
      <w:hyperlink r:id="rId201">
        <w:r>
          <w:rPr>
            <w:position w:val="1"/>
            <w:sz w:val="18"/>
          </w:rPr>
          <w:t>://w</w:t>
        </w:r>
      </w:hyperlink>
      <w:r>
        <w:rPr>
          <w:position w:val="1"/>
          <w:sz w:val="18"/>
        </w:rPr>
        <w:t>ww</w:t>
      </w:r>
      <w:hyperlink r:id="rId202">
        <w:r>
          <w:rPr>
            <w:position w:val="1"/>
            <w:sz w:val="18"/>
          </w:rPr>
          <w:t>.cpuc</w:t>
        </w:r>
      </w:hyperlink>
      <w:r>
        <w:rPr>
          <w:position w:val="1"/>
          <w:sz w:val="18"/>
        </w:rPr>
        <w:t>.</w:t>
      </w:r>
      <w:hyperlink r:id="rId203">
        <w:r>
          <w:rPr>
            <w:position w:val="1"/>
            <w:sz w:val="18"/>
          </w:rPr>
          <w:t>ca.gov/about-cpuc/divisions/energy-division/building-</w:t>
        </w:r>
      </w:hyperlink>
      <w:r>
        <w:rPr>
          <w:position w:val="1"/>
          <w:sz w:val="18"/>
        </w:rPr>
        <w:t xml:space="preserve"> </w:t>
      </w:r>
      <w:r>
        <w:rPr>
          <w:spacing w:val="-2"/>
          <w:sz w:val="18"/>
        </w:rPr>
        <w:t>decarbonization/fuel-substitution-in-energy-efficiency</w:t>
      </w:r>
    </w:p>
    <w:p w:rsidR="00C31389" w:rsidRDefault="00C31389" w14:paraId="5AAA3BA5" w14:textId="77777777">
      <w:pPr>
        <w:rPr>
          <w:sz w:val="18"/>
        </w:rPr>
        <w:sectPr w:rsidR="00C31389">
          <w:headerReference w:type="default" r:id="rId204"/>
          <w:footerReference w:type="default" r:id="rId205"/>
          <w:pgSz w:w="11910" w:h="16840"/>
          <w:pgMar w:top="1380" w:right="1020" w:bottom="1120" w:left="960" w:header="397" w:footer="938" w:gutter="0"/>
          <w:pgNumType w:start="1"/>
          <w:cols w:space="720"/>
        </w:sectPr>
      </w:pPr>
    </w:p>
    <w:p w:rsidR="00C31389" w:rsidRDefault="00C31389" w14:paraId="4FBF21F3" w14:textId="77777777">
      <w:pPr>
        <w:pStyle w:val="BodyText"/>
      </w:pPr>
    </w:p>
    <w:p w:rsidR="00C31389" w:rsidRDefault="00C31389" w14:paraId="257F766C" w14:textId="77777777">
      <w:pPr>
        <w:pStyle w:val="BodyText"/>
        <w:spacing w:before="2"/>
        <w:rPr>
          <w:sz w:val="13"/>
        </w:rPr>
      </w:pPr>
    </w:p>
    <w:p w:rsidR="00C31389" w:rsidRDefault="00561FBD" w14:paraId="25EEDDEF" w14:textId="77777777">
      <w:pPr>
        <w:pStyle w:val="ListParagraph"/>
        <w:numPr>
          <w:ilvl w:val="1"/>
          <w:numId w:val="26"/>
        </w:numPr>
        <w:tabs>
          <w:tab w:val="left" w:pos="1199"/>
        </w:tabs>
        <w:spacing w:before="100"/>
        <w:ind w:left="1199" w:right="500"/>
      </w:pPr>
      <w:r>
        <w:t>In September 2022, the California Air Resources Board published a memo to propose</w:t>
      </w:r>
      <w:r>
        <w:rPr>
          <w:spacing w:val="-4"/>
        </w:rPr>
        <w:t xml:space="preserve"> </w:t>
      </w:r>
      <w:r>
        <w:t>a</w:t>
      </w:r>
      <w:r>
        <w:rPr>
          <w:spacing w:val="-4"/>
        </w:rPr>
        <w:t xml:space="preserve"> </w:t>
      </w:r>
      <w:r>
        <w:t>“zero-emission</w:t>
      </w:r>
      <w:r>
        <w:rPr>
          <w:spacing w:val="-4"/>
        </w:rPr>
        <w:t xml:space="preserve"> </w:t>
      </w:r>
      <w:r>
        <w:t>standard</w:t>
      </w:r>
      <w:r>
        <w:rPr>
          <w:spacing w:val="-4"/>
        </w:rPr>
        <w:t xml:space="preserve"> </w:t>
      </w:r>
      <w:r>
        <w:t>for</w:t>
      </w:r>
      <w:r>
        <w:rPr>
          <w:spacing w:val="-4"/>
        </w:rPr>
        <w:t xml:space="preserve"> </w:t>
      </w:r>
      <w:r>
        <w:t>space</w:t>
      </w:r>
      <w:r>
        <w:rPr>
          <w:spacing w:val="-4"/>
        </w:rPr>
        <w:t xml:space="preserve"> </w:t>
      </w:r>
      <w:r>
        <w:t>and</w:t>
      </w:r>
      <w:r>
        <w:rPr>
          <w:spacing w:val="-4"/>
        </w:rPr>
        <w:t xml:space="preserve"> </w:t>
      </w:r>
      <w:r>
        <w:t>water</w:t>
      </w:r>
      <w:r>
        <w:rPr>
          <w:spacing w:val="-4"/>
        </w:rPr>
        <w:t xml:space="preserve"> </w:t>
      </w:r>
      <w:r>
        <w:t>heaters.”</w:t>
      </w:r>
      <w:r>
        <w:rPr>
          <w:spacing w:val="-5"/>
        </w:rPr>
        <w:t xml:space="preserve"> </w:t>
      </w:r>
      <w:hyperlink w:history="1" w:anchor="_bookmark236">
        <w:r>
          <w:rPr>
            <w:position w:val="7"/>
            <w:sz w:val="14"/>
          </w:rPr>
          <w:t>72</w:t>
        </w:r>
      </w:hyperlink>
      <w:r>
        <w:rPr>
          <w:spacing w:val="17"/>
          <w:position w:val="7"/>
          <w:sz w:val="14"/>
        </w:rPr>
        <w:t xml:space="preserve"> </w:t>
      </w:r>
      <w:r>
        <w:t>The</w:t>
      </w:r>
      <w:r>
        <w:rPr>
          <w:spacing w:val="-4"/>
        </w:rPr>
        <w:t xml:space="preserve"> </w:t>
      </w:r>
      <w:r>
        <w:t>Guidehouse team anticipates that this will effectively eliminate natural gas savings from FS measures from 2030 onward, because customers would not be able to install a new gas appliance</w:t>
      </w:r>
      <w:r>
        <w:t xml:space="preserve"> in a new building or as a replacement for an existing gas appliance at the end of its life.</w:t>
      </w:r>
    </w:p>
    <w:p w:rsidR="00C31389" w:rsidRDefault="00C31389" w14:paraId="57C4E55A" w14:textId="77777777">
      <w:pPr>
        <w:pStyle w:val="BodyText"/>
        <w:spacing w:before="8"/>
        <w:rPr>
          <w:sz w:val="20"/>
        </w:rPr>
      </w:pPr>
    </w:p>
    <w:p w:rsidR="00C31389" w:rsidRDefault="00561FBD" w14:paraId="379F8B22" w14:textId="77777777">
      <w:pPr>
        <w:pStyle w:val="ListParagraph"/>
        <w:numPr>
          <w:ilvl w:val="1"/>
          <w:numId w:val="26"/>
        </w:numPr>
        <w:tabs>
          <w:tab w:val="left" w:pos="1200"/>
        </w:tabs>
        <w:ind w:right="506"/>
      </w:pPr>
      <w:r>
        <w:t>The Guidehouse team accounted for this by removing the natural gas baseline and any competing natural gas efficiency levels from FS technology groups from 2030 on</w:t>
      </w:r>
      <w:r>
        <w:t xml:space="preserve">wards. From 2030 onwards, the “baseline” for that technology group is a low- efficiency </w:t>
      </w:r>
      <w:r>
        <w:rPr>
          <w:u w:val="single"/>
        </w:rPr>
        <w:t>electric</w:t>
      </w:r>
      <w:r>
        <w:t xml:space="preserve"> appliance—in other words, the minimum cost and minimum efficiency</w:t>
      </w:r>
      <w:r>
        <w:rPr>
          <w:spacing w:val="-3"/>
        </w:rPr>
        <w:t xml:space="preserve"> </w:t>
      </w:r>
      <w:r>
        <w:t>product</w:t>
      </w:r>
      <w:r>
        <w:rPr>
          <w:spacing w:val="-3"/>
        </w:rPr>
        <w:t xml:space="preserve"> </w:t>
      </w:r>
      <w:r>
        <w:t>that</w:t>
      </w:r>
      <w:r>
        <w:rPr>
          <w:spacing w:val="-3"/>
        </w:rPr>
        <w:t xml:space="preserve"> </w:t>
      </w:r>
      <w:r>
        <w:t>the</w:t>
      </w:r>
      <w:r>
        <w:rPr>
          <w:spacing w:val="-3"/>
        </w:rPr>
        <w:t xml:space="preserve"> </w:t>
      </w:r>
      <w:r>
        <w:t>customer</w:t>
      </w:r>
      <w:r>
        <w:rPr>
          <w:spacing w:val="-3"/>
        </w:rPr>
        <w:t xml:space="preserve"> </w:t>
      </w:r>
      <w:r>
        <w:t>would</w:t>
      </w:r>
      <w:r>
        <w:rPr>
          <w:spacing w:val="-3"/>
        </w:rPr>
        <w:t xml:space="preserve"> </w:t>
      </w:r>
      <w:r>
        <w:t>be</w:t>
      </w:r>
      <w:r>
        <w:rPr>
          <w:spacing w:val="-3"/>
        </w:rPr>
        <w:t xml:space="preserve"> </w:t>
      </w:r>
      <w:r>
        <w:t>able</w:t>
      </w:r>
      <w:r>
        <w:rPr>
          <w:spacing w:val="-3"/>
        </w:rPr>
        <w:t xml:space="preserve"> </w:t>
      </w:r>
      <w:r>
        <w:t>to</w:t>
      </w:r>
      <w:r>
        <w:rPr>
          <w:spacing w:val="-3"/>
        </w:rPr>
        <w:t xml:space="preserve"> </w:t>
      </w:r>
      <w:r>
        <w:t>install</w:t>
      </w:r>
      <w:r>
        <w:rPr>
          <w:spacing w:val="-3"/>
        </w:rPr>
        <w:t xml:space="preserve"> </w:t>
      </w:r>
      <w:r>
        <w:t>at</w:t>
      </w:r>
      <w:r>
        <w:rPr>
          <w:spacing w:val="-3"/>
        </w:rPr>
        <w:t xml:space="preserve"> </w:t>
      </w:r>
      <w:r>
        <w:t>that</w:t>
      </w:r>
      <w:r>
        <w:rPr>
          <w:spacing w:val="-3"/>
        </w:rPr>
        <w:t xml:space="preserve"> </w:t>
      </w:r>
      <w:r>
        <w:t>point</w:t>
      </w:r>
      <w:r>
        <w:rPr>
          <w:spacing w:val="-3"/>
        </w:rPr>
        <w:t xml:space="preserve"> </w:t>
      </w:r>
      <w:r>
        <w:t>in</w:t>
      </w:r>
      <w:r>
        <w:rPr>
          <w:spacing w:val="-3"/>
        </w:rPr>
        <w:t xml:space="preserve"> </w:t>
      </w:r>
      <w:r>
        <w:t>time.</w:t>
      </w:r>
      <w:r>
        <w:rPr>
          <w:spacing w:val="-3"/>
        </w:rPr>
        <w:t xml:space="preserve"> </w:t>
      </w:r>
      <w:r>
        <w:t>This is a similar e</w:t>
      </w:r>
      <w:r>
        <w:t>ffect as other measures when a code or standard takes effect and removes non-code-compliant baseline products from the market.</w:t>
      </w:r>
    </w:p>
    <w:p w:rsidR="00C31389" w:rsidRDefault="00C31389" w14:paraId="7EA95E3B" w14:textId="77777777">
      <w:pPr>
        <w:pStyle w:val="BodyText"/>
        <w:spacing w:before="8"/>
        <w:rPr>
          <w:sz w:val="20"/>
        </w:rPr>
      </w:pPr>
    </w:p>
    <w:p w:rsidR="00C31389" w:rsidRDefault="00561FBD" w14:paraId="4290F731" w14:textId="77777777">
      <w:pPr>
        <w:pStyle w:val="ListParagraph"/>
        <w:numPr>
          <w:ilvl w:val="1"/>
          <w:numId w:val="26"/>
        </w:numPr>
        <w:tabs>
          <w:tab w:val="left" w:pos="1200"/>
        </w:tabs>
        <w:ind w:right="493"/>
      </w:pPr>
      <w:r>
        <w:t>In August 2022, the CPUC released a staff proposal detailing a proposed policy to phase out many natural gas EE incentives.</w:t>
      </w:r>
      <w:r>
        <w:rPr>
          <w:spacing w:val="-39"/>
        </w:rPr>
        <w:t xml:space="preserve"> </w:t>
      </w:r>
      <w:hyperlink w:history="1" w:anchor="_bookmark237">
        <w:r>
          <w:rPr>
            <w:position w:val="7"/>
            <w:sz w:val="14"/>
          </w:rPr>
          <w:t>73</w:t>
        </w:r>
      </w:hyperlink>
      <w:r>
        <w:rPr>
          <w:spacing w:val="32"/>
          <w:position w:val="7"/>
          <w:sz w:val="14"/>
        </w:rPr>
        <w:t xml:space="preserve"> </w:t>
      </w:r>
      <w:r>
        <w:t>In March 2023, a proposed decision based</w:t>
      </w:r>
      <w:r>
        <w:rPr>
          <w:spacing w:val="-3"/>
        </w:rPr>
        <w:t xml:space="preserve"> </w:t>
      </w:r>
      <w:r>
        <w:t>on</w:t>
      </w:r>
      <w:r>
        <w:rPr>
          <w:spacing w:val="-3"/>
        </w:rPr>
        <w:t xml:space="preserve"> </w:t>
      </w:r>
      <w:r>
        <w:t>the</w:t>
      </w:r>
      <w:r>
        <w:rPr>
          <w:spacing w:val="-3"/>
        </w:rPr>
        <w:t xml:space="preserve"> </w:t>
      </w:r>
      <w:r>
        <w:t>staff</w:t>
      </w:r>
      <w:r>
        <w:rPr>
          <w:spacing w:val="-3"/>
        </w:rPr>
        <w:t xml:space="preserve"> </w:t>
      </w:r>
      <w:r>
        <w:t>proposal</w:t>
      </w:r>
      <w:r>
        <w:rPr>
          <w:spacing w:val="-3"/>
        </w:rPr>
        <w:t xml:space="preserve"> </w:t>
      </w:r>
      <w:r>
        <w:t>was</w:t>
      </w:r>
      <w:r>
        <w:rPr>
          <w:spacing w:val="-3"/>
        </w:rPr>
        <w:t xml:space="preserve"> </w:t>
      </w:r>
      <w:r>
        <w:t>released</w:t>
      </w:r>
      <w:r>
        <w:rPr>
          <w:spacing w:val="-3"/>
        </w:rPr>
        <w:t xml:space="preserve"> </w:t>
      </w:r>
      <w:r>
        <w:t>that</w:t>
      </w:r>
      <w:r>
        <w:rPr>
          <w:spacing w:val="-3"/>
        </w:rPr>
        <w:t xml:space="preserve"> </w:t>
      </w:r>
      <w:r>
        <w:t>would</w:t>
      </w:r>
      <w:r>
        <w:rPr>
          <w:spacing w:val="-3"/>
        </w:rPr>
        <w:t xml:space="preserve"> </w:t>
      </w:r>
      <w:r>
        <w:t>eliminate</w:t>
      </w:r>
      <w:r>
        <w:rPr>
          <w:spacing w:val="-3"/>
        </w:rPr>
        <w:t xml:space="preserve"> </w:t>
      </w:r>
      <w:r>
        <w:t>EE</w:t>
      </w:r>
      <w:r>
        <w:rPr>
          <w:spacing w:val="-3"/>
        </w:rPr>
        <w:t xml:space="preserve"> </w:t>
      </w:r>
      <w:r>
        <w:t>incentives</w:t>
      </w:r>
      <w:r>
        <w:rPr>
          <w:spacing w:val="-3"/>
        </w:rPr>
        <w:t xml:space="preserve"> </w:t>
      </w:r>
      <w:r>
        <w:t>for</w:t>
      </w:r>
      <w:r>
        <w:rPr>
          <w:spacing w:val="-3"/>
        </w:rPr>
        <w:t xml:space="preserve"> </w:t>
      </w:r>
      <w:r>
        <w:t>non- cost-effective natural gas new construction measures.</w:t>
      </w:r>
      <w:r>
        <w:rPr>
          <w:spacing w:val="-37"/>
        </w:rPr>
        <w:t xml:space="preserve"> </w:t>
      </w:r>
      <w:hyperlink w:history="1" w:anchor="_bookmark238">
        <w:r>
          <w:rPr>
            <w:position w:val="7"/>
            <w:sz w:val="14"/>
          </w:rPr>
          <w:t>74</w:t>
        </w:r>
      </w:hyperlink>
      <w:r>
        <w:rPr>
          <w:spacing w:val="37"/>
          <w:position w:val="7"/>
          <w:sz w:val="14"/>
        </w:rPr>
        <w:t xml:space="preserve"> </w:t>
      </w:r>
      <w:r>
        <w:t>Because this proposed policy had not been adopted by the CPUC when the 2023 Study’s model was being created and run, the Guidehouse team did not include this it in the results. Further discu</w:t>
      </w:r>
      <w:r>
        <w:t>ssion regarding this proposed ruling and its consideration within the 2023 PG Study can be found in Section 5.2.</w:t>
      </w:r>
    </w:p>
    <w:p w:rsidR="00C31389" w:rsidRDefault="00C31389" w14:paraId="4E67F315" w14:textId="77777777">
      <w:pPr>
        <w:pStyle w:val="BodyText"/>
        <w:spacing w:before="9"/>
        <w:rPr>
          <w:sz w:val="20"/>
        </w:rPr>
      </w:pPr>
    </w:p>
    <w:p w:rsidR="00C31389" w:rsidRDefault="00561FBD" w14:paraId="04E55622" w14:textId="77777777">
      <w:pPr>
        <w:pStyle w:val="Heading7"/>
        <w:numPr>
          <w:ilvl w:val="0"/>
          <w:numId w:val="26"/>
        </w:numPr>
        <w:tabs>
          <w:tab w:val="left" w:pos="724"/>
        </w:tabs>
        <w:ind w:hanging="244"/>
      </w:pPr>
      <w:r>
        <w:t>Calculate</w:t>
      </w:r>
      <w:r>
        <w:rPr>
          <w:spacing w:val="-9"/>
        </w:rPr>
        <w:t xml:space="preserve"> </w:t>
      </w:r>
      <w:r>
        <w:t>panel</w:t>
      </w:r>
      <w:r>
        <w:rPr>
          <w:spacing w:val="-9"/>
        </w:rPr>
        <w:t xml:space="preserve"> </w:t>
      </w:r>
      <w:r>
        <w:t>upgrade</w:t>
      </w:r>
      <w:r>
        <w:rPr>
          <w:spacing w:val="-9"/>
        </w:rPr>
        <w:t xml:space="preserve"> </w:t>
      </w:r>
      <w:r>
        <w:rPr>
          <w:spacing w:val="-2"/>
        </w:rPr>
        <w:t>costs.</w:t>
      </w:r>
    </w:p>
    <w:p w:rsidR="00C31389" w:rsidRDefault="00C31389" w14:paraId="6D26003C" w14:textId="77777777">
      <w:pPr>
        <w:pStyle w:val="BodyText"/>
        <w:spacing w:before="10"/>
        <w:rPr>
          <w:b/>
          <w:sz w:val="20"/>
        </w:rPr>
      </w:pPr>
    </w:p>
    <w:p w:rsidR="00C31389" w:rsidRDefault="00561FBD" w14:paraId="65E3EC3D" w14:textId="77777777">
      <w:pPr>
        <w:pStyle w:val="ListParagraph"/>
        <w:numPr>
          <w:ilvl w:val="1"/>
          <w:numId w:val="26"/>
        </w:numPr>
        <w:tabs>
          <w:tab w:val="left" w:pos="1200"/>
        </w:tabs>
        <w:ind w:right="446"/>
      </w:pPr>
      <w:r>
        <w:t>Substituting</w:t>
      </w:r>
      <w:r>
        <w:rPr>
          <w:spacing w:val="-4"/>
        </w:rPr>
        <w:t xml:space="preserve"> </w:t>
      </w:r>
      <w:r>
        <w:t>gas</w:t>
      </w:r>
      <w:r>
        <w:rPr>
          <w:spacing w:val="-4"/>
        </w:rPr>
        <w:t xml:space="preserve"> </w:t>
      </w:r>
      <w:r>
        <w:t>technologies</w:t>
      </w:r>
      <w:r>
        <w:rPr>
          <w:spacing w:val="-4"/>
        </w:rPr>
        <w:t xml:space="preserve"> </w:t>
      </w:r>
      <w:r>
        <w:t>for</w:t>
      </w:r>
      <w:r>
        <w:rPr>
          <w:spacing w:val="-4"/>
        </w:rPr>
        <w:t xml:space="preserve"> </w:t>
      </w:r>
      <w:r>
        <w:t>electric</w:t>
      </w:r>
      <w:r>
        <w:rPr>
          <w:spacing w:val="-4"/>
        </w:rPr>
        <w:t xml:space="preserve"> </w:t>
      </w:r>
      <w:r>
        <w:t>technologies</w:t>
      </w:r>
      <w:r>
        <w:rPr>
          <w:spacing w:val="-4"/>
        </w:rPr>
        <w:t xml:space="preserve"> </w:t>
      </w:r>
      <w:r>
        <w:t>can</w:t>
      </w:r>
      <w:r>
        <w:rPr>
          <w:spacing w:val="-4"/>
        </w:rPr>
        <w:t xml:space="preserve"> </w:t>
      </w:r>
      <w:r>
        <w:t>increase</w:t>
      </w:r>
      <w:r>
        <w:rPr>
          <w:spacing w:val="-4"/>
        </w:rPr>
        <w:t xml:space="preserve"> </w:t>
      </w:r>
      <w:r>
        <w:t>electric</w:t>
      </w:r>
      <w:r>
        <w:rPr>
          <w:spacing w:val="-4"/>
        </w:rPr>
        <w:t xml:space="preserve"> </w:t>
      </w:r>
      <w:r>
        <w:t>load</w:t>
      </w:r>
      <w:r>
        <w:rPr>
          <w:spacing w:val="-4"/>
        </w:rPr>
        <w:t xml:space="preserve"> </w:t>
      </w:r>
      <w:r>
        <w:t>for</w:t>
      </w:r>
      <w:r>
        <w:rPr>
          <w:spacing w:val="-4"/>
        </w:rPr>
        <w:t xml:space="preserve"> </w:t>
      </w:r>
      <w:r>
        <w:t>a building or house. Th</w:t>
      </w:r>
      <w:r>
        <w:t>is can sometimes require upgrades within the building, for example, increasing the size of the electrical panel to accommodate the added load.</w:t>
      </w:r>
    </w:p>
    <w:p w:rsidR="00C31389" w:rsidRDefault="00C31389" w14:paraId="73EAD678" w14:textId="77777777">
      <w:pPr>
        <w:pStyle w:val="BodyText"/>
        <w:spacing w:before="8"/>
        <w:rPr>
          <w:sz w:val="20"/>
        </w:rPr>
      </w:pPr>
    </w:p>
    <w:p w:rsidR="00C31389" w:rsidRDefault="00561FBD" w14:paraId="1332B288" w14:textId="77777777">
      <w:pPr>
        <w:pStyle w:val="ListParagraph"/>
        <w:numPr>
          <w:ilvl w:val="1"/>
          <w:numId w:val="26"/>
        </w:numPr>
        <w:tabs>
          <w:tab w:val="left" w:pos="1200"/>
        </w:tabs>
        <w:spacing w:before="1"/>
        <w:ind w:right="432"/>
      </w:pPr>
      <w:r>
        <w:t>The Guidehouse team, led by Opinion Dynamics, conducted a literature review to estimate</w:t>
      </w:r>
      <w:r>
        <w:rPr>
          <w:spacing w:val="-3"/>
        </w:rPr>
        <w:t xml:space="preserve"> </w:t>
      </w:r>
      <w:r>
        <w:t>the</w:t>
      </w:r>
      <w:r>
        <w:rPr>
          <w:spacing w:val="-3"/>
        </w:rPr>
        <w:t xml:space="preserve"> </w:t>
      </w:r>
      <w:r>
        <w:t>cost</w:t>
      </w:r>
      <w:r>
        <w:rPr>
          <w:spacing w:val="-3"/>
        </w:rPr>
        <w:t xml:space="preserve"> </w:t>
      </w:r>
      <w:r>
        <w:t>of</w:t>
      </w:r>
      <w:r>
        <w:rPr>
          <w:spacing w:val="-3"/>
        </w:rPr>
        <w:t xml:space="preserve"> </w:t>
      </w:r>
      <w:r>
        <w:t>a</w:t>
      </w:r>
      <w:r>
        <w:rPr>
          <w:spacing w:val="-3"/>
        </w:rPr>
        <w:t xml:space="preserve"> </w:t>
      </w:r>
      <w:r>
        <w:t>panel</w:t>
      </w:r>
      <w:r>
        <w:rPr>
          <w:spacing w:val="-3"/>
        </w:rPr>
        <w:t xml:space="preserve"> </w:t>
      </w:r>
      <w:r>
        <w:t>upgrade,</w:t>
      </w:r>
      <w:r>
        <w:rPr>
          <w:spacing w:val="-4"/>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likelihood</w:t>
      </w:r>
      <w:r>
        <w:rPr>
          <w:spacing w:val="-4"/>
        </w:rPr>
        <w:t xml:space="preserve"> </w:t>
      </w:r>
      <w:r>
        <w:t>that</w:t>
      </w:r>
      <w:r>
        <w:rPr>
          <w:spacing w:val="-3"/>
        </w:rPr>
        <w:t xml:space="preserve"> </w:t>
      </w:r>
      <w:r>
        <w:t>a</w:t>
      </w:r>
      <w:r>
        <w:rPr>
          <w:spacing w:val="-3"/>
        </w:rPr>
        <w:t xml:space="preserve"> </w:t>
      </w:r>
      <w:r>
        <w:t>given</w:t>
      </w:r>
      <w:r>
        <w:rPr>
          <w:spacing w:val="-4"/>
        </w:rPr>
        <w:t xml:space="preserve"> </w:t>
      </w:r>
      <w:r>
        <w:t>installation of FS technology would necessitate a panel upgrade.</w:t>
      </w:r>
    </w:p>
    <w:p w:rsidR="00C31389" w:rsidRDefault="00C31389" w14:paraId="1AF7C57A" w14:textId="77777777">
      <w:pPr>
        <w:pStyle w:val="BodyText"/>
        <w:spacing w:before="8"/>
        <w:rPr>
          <w:sz w:val="20"/>
        </w:rPr>
      </w:pPr>
    </w:p>
    <w:p w:rsidR="00C31389" w:rsidRDefault="00561FBD" w14:paraId="2E5FAA65" w14:textId="77777777">
      <w:pPr>
        <w:pStyle w:val="ListParagraph"/>
        <w:numPr>
          <w:ilvl w:val="1"/>
          <w:numId w:val="26"/>
        </w:numPr>
        <w:tabs>
          <w:tab w:val="left" w:pos="1200"/>
        </w:tabs>
        <w:ind w:right="629"/>
      </w:pPr>
      <w:r>
        <w:t>The team then incorporated these costs into the measure characterization by determining</w:t>
      </w:r>
      <w:r>
        <w:rPr>
          <w:spacing w:val="-3"/>
        </w:rPr>
        <w:t xml:space="preserve"> </w:t>
      </w:r>
      <w:r>
        <w:t>the</w:t>
      </w:r>
      <w:r>
        <w:rPr>
          <w:spacing w:val="-3"/>
        </w:rPr>
        <w:t xml:space="preserve"> </w:t>
      </w:r>
      <w:r>
        <w:t>proportion</w:t>
      </w:r>
      <w:r>
        <w:rPr>
          <w:spacing w:val="-3"/>
        </w:rPr>
        <w:t xml:space="preserve"> </w:t>
      </w:r>
      <w:r>
        <w:t>of</w:t>
      </w:r>
      <w:r>
        <w:rPr>
          <w:spacing w:val="-3"/>
        </w:rPr>
        <w:t xml:space="preserve"> </w:t>
      </w:r>
      <w:r>
        <w:t>installations</w:t>
      </w:r>
      <w:r>
        <w:rPr>
          <w:spacing w:val="-3"/>
        </w:rPr>
        <w:t xml:space="preserve"> </w:t>
      </w:r>
      <w:r>
        <w:t>of</w:t>
      </w:r>
      <w:r>
        <w:rPr>
          <w:spacing w:val="-3"/>
        </w:rPr>
        <w:t xml:space="preserve"> </w:t>
      </w:r>
      <w:r>
        <w:t>each</w:t>
      </w:r>
      <w:r>
        <w:rPr>
          <w:spacing w:val="-3"/>
        </w:rPr>
        <w:t xml:space="preserve"> </w:t>
      </w:r>
      <w:r>
        <w:t>technology</w:t>
      </w:r>
      <w:r>
        <w:rPr>
          <w:spacing w:val="-3"/>
        </w:rPr>
        <w:t xml:space="preserve"> </w:t>
      </w:r>
      <w:r>
        <w:t>tha</w:t>
      </w:r>
      <w:r>
        <w:t>t</w:t>
      </w:r>
      <w:r>
        <w:rPr>
          <w:spacing w:val="-3"/>
        </w:rPr>
        <w:t xml:space="preserve"> </w:t>
      </w:r>
      <w:r>
        <w:t>would</w:t>
      </w:r>
      <w:r>
        <w:rPr>
          <w:spacing w:val="-3"/>
        </w:rPr>
        <w:t xml:space="preserve"> </w:t>
      </w:r>
      <w:r>
        <w:t>be</w:t>
      </w:r>
      <w:r>
        <w:rPr>
          <w:spacing w:val="-3"/>
        </w:rPr>
        <w:t xml:space="preserve"> </w:t>
      </w:r>
      <w:r>
        <w:t>likely</w:t>
      </w:r>
      <w:r>
        <w:rPr>
          <w:spacing w:val="-3"/>
        </w:rPr>
        <w:t xml:space="preserve"> </w:t>
      </w:r>
      <w:r>
        <w:t>to require a panel upgrade and including the cost of the panel upgrade for that proportion of installations.</w:t>
      </w:r>
    </w:p>
    <w:p w:rsidR="00C31389" w:rsidRDefault="00C31389" w14:paraId="2718ACB3" w14:textId="77777777">
      <w:pPr>
        <w:pStyle w:val="BodyText"/>
        <w:spacing w:before="7"/>
        <w:rPr>
          <w:sz w:val="20"/>
        </w:rPr>
      </w:pPr>
    </w:p>
    <w:p w:rsidR="00C31389" w:rsidRDefault="00561FBD" w14:paraId="78A617DB" w14:textId="77777777">
      <w:pPr>
        <w:pStyle w:val="ListParagraph"/>
        <w:numPr>
          <w:ilvl w:val="1"/>
          <w:numId w:val="26"/>
        </w:numPr>
        <w:tabs>
          <w:tab w:val="left" w:pos="1200"/>
        </w:tabs>
        <w:spacing w:before="1"/>
        <w:ind w:right="445"/>
      </w:pPr>
      <w:hyperlink w:history="1" w:anchor="_bookmark276">
        <w:r>
          <w:t>Appendix</w:t>
        </w:r>
        <w:r>
          <w:rPr>
            <w:spacing w:val="-3"/>
          </w:rPr>
          <w:t xml:space="preserve"> </w:t>
        </w:r>
        <w:r>
          <w:t>C</w:t>
        </w:r>
      </w:hyperlink>
      <w:r>
        <w:rPr>
          <w:spacing w:val="-3"/>
        </w:rPr>
        <w:t xml:space="preserve"> </w:t>
      </w:r>
      <w:r>
        <w:t>contains</w:t>
      </w:r>
      <w:r>
        <w:rPr>
          <w:spacing w:val="-3"/>
        </w:rPr>
        <w:t xml:space="preserve"> </w:t>
      </w:r>
      <w:r>
        <w:t>the</w:t>
      </w:r>
      <w:r>
        <w:rPr>
          <w:spacing w:val="-4"/>
        </w:rPr>
        <w:t xml:space="preserve"> </w:t>
      </w:r>
      <w:r>
        <w:t>full</w:t>
      </w:r>
      <w:r>
        <w:rPr>
          <w:spacing w:val="-3"/>
        </w:rPr>
        <w:t xml:space="preserve"> </w:t>
      </w:r>
      <w:r>
        <w:t>literature</w:t>
      </w:r>
      <w:r>
        <w:rPr>
          <w:spacing w:val="-3"/>
        </w:rPr>
        <w:t xml:space="preserve"> </w:t>
      </w:r>
      <w:r>
        <w:t>review,</w:t>
      </w:r>
      <w:r>
        <w:rPr>
          <w:spacing w:val="-3"/>
        </w:rPr>
        <w:t xml:space="preserve"> </w:t>
      </w:r>
      <w:r>
        <w:t>including</w:t>
      </w:r>
      <w:r>
        <w:rPr>
          <w:spacing w:val="-3"/>
        </w:rPr>
        <w:t xml:space="preserve"> </w:t>
      </w:r>
      <w:r>
        <w:t>tables</w:t>
      </w:r>
      <w:r>
        <w:rPr>
          <w:spacing w:val="-3"/>
        </w:rPr>
        <w:t xml:space="preserve"> </w:t>
      </w:r>
      <w:r>
        <w:t>of</w:t>
      </w:r>
      <w:r>
        <w:rPr>
          <w:spacing w:val="-3"/>
        </w:rPr>
        <w:t xml:space="preserve"> </w:t>
      </w:r>
      <w:r>
        <w:t>costs</w:t>
      </w:r>
      <w:r>
        <w:rPr>
          <w:spacing w:val="-3"/>
        </w:rPr>
        <w:t xml:space="preserve"> </w:t>
      </w:r>
      <w:r>
        <w:t>and</w:t>
      </w:r>
      <w:r>
        <w:rPr>
          <w:spacing w:val="-3"/>
        </w:rPr>
        <w:t xml:space="preserve"> </w:t>
      </w:r>
      <w:r>
        <w:t>proportion of installations requiring a panel upgrade.</w:t>
      </w:r>
    </w:p>
    <w:p w:rsidR="00C31389" w:rsidRDefault="00C31389" w14:paraId="16EE1BAE" w14:textId="77777777">
      <w:pPr>
        <w:pStyle w:val="BodyText"/>
        <w:spacing w:before="8"/>
        <w:rPr>
          <w:sz w:val="20"/>
        </w:rPr>
      </w:pPr>
    </w:p>
    <w:p w:rsidR="00C31389" w:rsidRDefault="00561FBD" w14:paraId="47A8A413" w14:textId="77777777">
      <w:pPr>
        <w:pStyle w:val="BodyText"/>
        <w:ind w:left="480" w:right="418"/>
      </w:pPr>
      <w:r>
        <w:t>The</w:t>
      </w:r>
      <w:r>
        <w:rPr>
          <w:spacing w:val="-4"/>
        </w:rPr>
        <w:t xml:space="preserve"> </w:t>
      </w:r>
      <w:r>
        <w:t>following</w:t>
      </w:r>
      <w:r>
        <w:rPr>
          <w:spacing w:val="-4"/>
        </w:rPr>
        <w:t xml:space="preserve"> </w:t>
      </w:r>
      <w:r>
        <w:t>sections</w:t>
      </w:r>
      <w:r>
        <w:rPr>
          <w:spacing w:val="-4"/>
        </w:rPr>
        <w:t xml:space="preserve"> </w:t>
      </w:r>
      <w:r>
        <w:t>discuss</w:t>
      </w:r>
      <w:r>
        <w:rPr>
          <w:spacing w:val="-5"/>
        </w:rPr>
        <w:t xml:space="preserve"> </w:t>
      </w:r>
      <w:r>
        <w:t>the</w:t>
      </w:r>
      <w:r>
        <w:rPr>
          <w:spacing w:val="-4"/>
        </w:rPr>
        <w:t xml:space="preserve"> </w:t>
      </w:r>
      <w:r>
        <w:t>technology</w:t>
      </w:r>
      <w:r>
        <w:rPr>
          <w:spacing w:val="-5"/>
        </w:rPr>
        <w:t xml:space="preserve"> </w:t>
      </w:r>
      <w:r>
        <w:t>selection</w:t>
      </w:r>
      <w:r>
        <w:rPr>
          <w:spacing w:val="-4"/>
        </w:rPr>
        <w:t xml:space="preserve"> </w:t>
      </w:r>
      <w:r>
        <w:t>process</w:t>
      </w:r>
      <w:r>
        <w:rPr>
          <w:spacing w:val="-4"/>
        </w:rPr>
        <w:t xml:space="preserve"> </w:t>
      </w:r>
      <w:r>
        <w:t>and</w:t>
      </w:r>
      <w:r>
        <w:rPr>
          <w:spacing w:val="-4"/>
        </w:rPr>
        <w:t xml:space="preserve"> </w:t>
      </w:r>
      <w:r>
        <w:t>the</w:t>
      </w:r>
      <w:r>
        <w:rPr>
          <w:spacing w:val="-4"/>
        </w:rPr>
        <w:t xml:space="preserve"> </w:t>
      </w:r>
      <w:r>
        <w:t xml:space="preserve">technology </w:t>
      </w:r>
      <w:r>
        <w:t>characterization method in further detail.</w:t>
      </w:r>
    </w:p>
    <w:p w:rsidR="00C31389" w:rsidRDefault="00C31389" w14:paraId="2BAB39C8" w14:textId="77777777">
      <w:pPr>
        <w:pStyle w:val="BodyText"/>
        <w:rPr>
          <w:sz w:val="20"/>
        </w:rPr>
      </w:pPr>
    </w:p>
    <w:p w:rsidR="00C31389" w:rsidRDefault="00C31389" w14:paraId="62D46F11" w14:textId="77777777">
      <w:pPr>
        <w:pStyle w:val="BodyText"/>
        <w:rPr>
          <w:sz w:val="20"/>
        </w:rPr>
      </w:pPr>
    </w:p>
    <w:p w:rsidR="00C31389" w:rsidRDefault="00C31389" w14:paraId="0AB5CEF9" w14:textId="77777777">
      <w:pPr>
        <w:pStyle w:val="BodyText"/>
        <w:rPr>
          <w:sz w:val="20"/>
        </w:rPr>
      </w:pPr>
    </w:p>
    <w:p w:rsidR="00C31389" w:rsidRDefault="00C31389" w14:paraId="7BD1DA3B" w14:textId="77777777">
      <w:pPr>
        <w:pStyle w:val="BodyText"/>
        <w:rPr>
          <w:sz w:val="20"/>
        </w:rPr>
      </w:pPr>
    </w:p>
    <w:p w:rsidR="00C31389" w:rsidRDefault="00C31389" w14:paraId="3CADF6FB" w14:textId="77777777">
      <w:pPr>
        <w:pStyle w:val="BodyText"/>
        <w:rPr>
          <w:sz w:val="20"/>
        </w:rPr>
      </w:pPr>
    </w:p>
    <w:p w:rsidR="00C31389" w:rsidRDefault="00561FBD" w14:paraId="78E8C43C" w14:textId="77777777">
      <w:pPr>
        <w:pStyle w:val="BodyText"/>
        <w:spacing w:before="2"/>
        <w:rPr>
          <w:sz w:val="11"/>
        </w:rPr>
      </w:pPr>
      <w:r>
        <w:rPr>
          <w:noProof/>
        </w:rPr>
        <mc:AlternateContent>
          <mc:Choice Requires="wps">
            <w:drawing>
              <wp:anchor distT="0" distB="0" distL="0" distR="0" simplePos="0" relativeHeight="487675392" behindDoc="1" locked="0" layoutInCell="1" allowOverlap="1" wp14:editId="5C81388E" wp14:anchorId="3491E815">
                <wp:simplePos x="0" y="0"/>
                <wp:positionH relativeFrom="page">
                  <wp:posOffset>914400</wp:posOffset>
                </wp:positionH>
                <wp:positionV relativeFrom="paragraph">
                  <wp:posOffset>97370</wp:posOffset>
                </wp:positionV>
                <wp:extent cx="1828800" cy="6985"/>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31" style="position:absolute;margin-left:1in;margin-top:7.65pt;width:2in;height:.55pt;z-index:-1564108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" w14:anchorId="3C6AC17B">
                <v:path arrowok="t"/>
                <w10:wrap type="topAndBottom" anchorx="page"/>
              </v:shape>
            </w:pict>
          </mc:Fallback>
        </mc:AlternateContent>
      </w:r>
    </w:p>
    <w:p w:rsidR="00C31389" w:rsidRDefault="00561FBD" w14:paraId="14BD35D3" w14:textId="77777777">
      <w:pPr>
        <w:spacing w:before="88"/>
        <w:ind w:left="479" w:right="418"/>
        <w:rPr>
          <w:sz w:val="18"/>
        </w:rPr>
      </w:pPr>
      <w:bookmarkStart w:name="_bookmark236" w:id="319"/>
      <w:bookmarkEnd w:id="319"/>
      <w:r>
        <w:rPr>
          <w:position w:val="6"/>
          <w:sz w:val="12"/>
        </w:rPr>
        <w:t>72</w:t>
      </w:r>
      <w:r>
        <w:rPr>
          <w:spacing w:val="14"/>
          <w:position w:val="6"/>
          <w:sz w:val="12"/>
        </w:rPr>
        <w:t xml:space="preserve"> </w:t>
      </w:r>
      <w:r>
        <w:rPr>
          <w:sz w:val="18"/>
        </w:rPr>
        <w:t>California</w:t>
      </w:r>
      <w:r>
        <w:rPr>
          <w:spacing w:val="-4"/>
          <w:sz w:val="18"/>
        </w:rPr>
        <w:t xml:space="preserve"> </w:t>
      </w:r>
      <w:r>
        <w:rPr>
          <w:sz w:val="18"/>
        </w:rPr>
        <w:t>Air</w:t>
      </w:r>
      <w:r>
        <w:rPr>
          <w:spacing w:val="-2"/>
          <w:sz w:val="18"/>
        </w:rPr>
        <w:t xml:space="preserve"> </w:t>
      </w:r>
      <w:r>
        <w:rPr>
          <w:sz w:val="18"/>
        </w:rPr>
        <w:t>Resources</w:t>
      </w:r>
      <w:r>
        <w:rPr>
          <w:spacing w:val="-3"/>
          <w:sz w:val="18"/>
        </w:rPr>
        <w:t xml:space="preserve"> </w:t>
      </w:r>
      <w:r>
        <w:rPr>
          <w:sz w:val="18"/>
        </w:rPr>
        <w:t>Board,</w:t>
      </w:r>
      <w:r>
        <w:rPr>
          <w:spacing w:val="-3"/>
          <w:sz w:val="18"/>
        </w:rPr>
        <w:t xml:space="preserve"> </w:t>
      </w:r>
      <w:r>
        <w:rPr>
          <w:sz w:val="18"/>
        </w:rPr>
        <w:t>“2022</w:t>
      </w:r>
      <w:r>
        <w:rPr>
          <w:spacing w:val="-4"/>
          <w:sz w:val="18"/>
        </w:rPr>
        <w:t xml:space="preserve"> </w:t>
      </w:r>
      <w:r>
        <w:rPr>
          <w:sz w:val="18"/>
        </w:rPr>
        <w:t>State</w:t>
      </w:r>
      <w:r>
        <w:rPr>
          <w:spacing w:val="-4"/>
          <w:sz w:val="18"/>
        </w:rPr>
        <w:t xml:space="preserve"> </w:t>
      </w:r>
      <w:r>
        <w:rPr>
          <w:sz w:val="18"/>
        </w:rPr>
        <w:t>Strategy</w:t>
      </w:r>
      <w:r>
        <w:rPr>
          <w:spacing w:val="-3"/>
          <w:sz w:val="18"/>
        </w:rPr>
        <w:t xml:space="preserve"> </w:t>
      </w:r>
      <w:r>
        <w:rPr>
          <w:sz w:val="18"/>
        </w:rPr>
        <w:t>for</w:t>
      </w:r>
      <w:r>
        <w:rPr>
          <w:spacing w:val="-3"/>
          <w:sz w:val="18"/>
        </w:rPr>
        <w:t xml:space="preserve"> </w:t>
      </w:r>
      <w:r>
        <w:rPr>
          <w:sz w:val="18"/>
        </w:rPr>
        <w:t>the</w:t>
      </w:r>
      <w:r>
        <w:rPr>
          <w:spacing w:val="-4"/>
          <w:sz w:val="18"/>
        </w:rPr>
        <w:t xml:space="preserve"> </w:t>
      </w:r>
      <w:r>
        <w:rPr>
          <w:sz w:val="18"/>
        </w:rPr>
        <w:t>State</w:t>
      </w:r>
      <w:r>
        <w:rPr>
          <w:spacing w:val="-4"/>
          <w:sz w:val="18"/>
        </w:rPr>
        <w:t xml:space="preserve"> </w:t>
      </w:r>
      <w:r>
        <w:rPr>
          <w:sz w:val="18"/>
        </w:rPr>
        <w:t>Implementation</w:t>
      </w:r>
      <w:r>
        <w:rPr>
          <w:spacing w:val="-4"/>
          <w:sz w:val="18"/>
        </w:rPr>
        <w:t xml:space="preserve"> </w:t>
      </w:r>
      <w:r>
        <w:rPr>
          <w:sz w:val="18"/>
        </w:rPr>
        <w:t>Plan,”</w:t>
      </w:r>
      <w:r>
        <w:rPr>
          <w:spacing w:val="-3"/>
          <w:sz w:val="18"/>
        </w:rPr>
        <w:t xml:space="preserve"> </w:t>
      </w:r>
      <w:r>
        <w:rPr>
          <w:sz w:val="18"/>
        </w:rPr>
        <w:t>Adopted</w:t>
      </w:r>
      <w:r>
        <w:rPr>
          <w:spacing w:val="-4"/>
          <w:sz w:val="18"/>
        </w:rPr>
        <w:t xml:space="preserve"> </w:t>
      </w:r>
      <w:r>
        <w:rPr>
          <w:sz w:val="18"/>
        </w:rPr>
        <w:t xml:space="preserve">September 22, 2022. </w:t>
      </w:r>
      <w:hyperlink r:id="rId206">
        <w:r>
          <w:rPr>
            <w:color w:val="68942C"/>
            <w:sz w:val="18"/>
            <w:u w:val="single" w:color="68942C"/>
          </w:rPr>
          <w:t>https://ww2.arb.ca.gov/sites/default/files/2022-08/2022_State_SIP_Strategy.pdf</w:t>
        </w:r>
        <w:r>
          <w:rPr>
            <w:sz w:val="18"/>
          </w:rPr>
          <w:t>.</w:t>
        </w:r>
      </w:hyperlink>
    </w:p>
    <w:p w:rsidR="00C31389" w:rsidRDefault="00561FBD" w14:paraId="39C6953A" w14:textId="77777777">
      <w:pPr>
        <w:spacing w:before="37"/>
        <w:ind w:left="480"/>
        <w:rPr>
          <w:sz w:val="18"/>
        </w:rPr>
      </w:pPr>
      <w:bookmarkStart w:name="_bookmark237" w:id="320"/>
      <w:bookmarkEnd w:id="320"/>
      <w:r>
        <w:rPr>
          <w:position w:val="6"/>
          <w:sz w:val="12"/>
        </w:rPr>
        <w:t>73</w:t>
      </w:r>
      <w:r>
        <w:rPr>
          <w:spacing w:val="17"/>
          <w:position w:val="6"/>
          <w:sz w:val="12"/>
        </w:rPr>
        <w:t xml:space="preserve"> </w:t>
      </w:r>
      <w:hyperlink r:id="rId207">
        <w:r>
          <w:rPr>
            <w:color w:val="68942C"/>
            <w:spacing w:val="-2"/>
            <w:sz w:val="18"/>
            <w:u w:val="single" w:color="68942C"/>
          </w:rPr>
          <w:t>https://docs.cpuc.ca.gov/PublishedDocs/Efile/G000/M496/K397/496397066.PDF</w:t>
        </w:r>
      </w:hyperlink>
    </w:p>
    <w:p w:rsidR="00C31389" w:rsidRDefault="00561FBD" w14:paraId="1257A70B" w14:textId="77777777">
      <w:pPr>
        <w:spacing w:before="36"/>
        <w:ind w:left="480"/>
        <w:rPr>
          <w:sz w:val="18"/>
        </w:rPr>
      </w:pPr>
      <w:bookmarkStart w:name="_bookmark238" w:id="321"/>
      <w:bookmarkEnd w:id="321"/>
      <w:r>
        <w:rPr>
          <w:position w:val="6"/>
          <w:sz w:val="12"/>
        </w:rPr>
        <w:t>74</w:t>
      </w:r>
      <w:r>
        <w:rPr>
          <w:spacing w:val="15"/>
          <w:position w:val="6"/>
          <w:sz w:val="12"/>
        </w:rPr>
        <w:t xml:space="preserve"> </w:t>
      </w:r>
      <w:hyperlink r:id="rId208">
        <w:r>
          <w:rPr>
            <w:color w:val="68942C"/>
            <w:spacing w:val="-2"/>
            <w:sz w:val="18"/>
            <w:u w:val="single" w:color="68942C"/>
          </w:rPr>
          <w:t>https://docs.cpuc.ca.gov/SearchRes.aspx?docformat=ALL&amp;docid=502981822</w:t>
        </w:r>
      </w:hyperlink>
    </w:p>
    <w:p w:rsidR="00C31389" w:rsidRDefault="00C31389" w14:paraId="47B003B9" w14:textId="77777777">
      <w:pPr>
        <w:rPr>
          <w:sz w:val="18"/>
        </w:rPr>
        <w:sectPr w:rsidR="00C31389">
          <w:pgSz w:w="11910" w:h="16840"/>
          <w:pgMar w:top="1380" w:right="1020" w:bottom="1120" w:left="960" w:header="397" w:footer="938" w:gutter="0"/>
          <w:cols w:space="720"/>
        </w:sectPr>
      </w:pPr>
    </w:p>
    <w:p w:rsidR="00C31389" w:rsidRDefault="00C31389" w14:paraId="468BA8EC" w14:textId="77777777">
      <w:pPr>
        <w:pStyle w:val="BodyText"/>
      </w:pPr>
    </w:p>
    <w:p w:rsidR="00C31389" w:rsidRDefault="00C31389" w14:paraId="7ADBB7EF" w14:textId="77777777">
      <w:pPr>
        <w:pStyle w:val="BodyText"/>
        <w:spacing w:before="1"/>
        <w:rPr>
          <w:sz w:val="14"/>
        </w:rPr>
      </w:pPr>
    </w:p>
    <w:p w:rsidR="00C31389" w:rsidRDefault="00561FBD" w14:paraId="5A2C3AF1" w14:textId="77777777">
      <w:pPr>
        <w:pStyle w:val="ListParagraph"/>
        <w:numPr>
          <w:ilvl w:val="1"/>
          <w:numId w:val="25"/>
        </w:numPr>
        <w:tabs>
          <w:tab w:val="left" w:pos="991"/>
        </w:tabs>
        <w:spacing w:before="90"/>
        <w:ind w:left="991" w:hanging="511"/>
        <w:rPr>
          <w:b/>
          <w:sz w:val="28"/>
        </w:rPr>
      </w:pPr>
      <w:bookmarkStart w:name="B.1_Technology_Selection_Process" w:id="322"/>
      <w:bookmarkStart w:name="_bookmark239" w:id="323"/>
      <w:bookmarkEnd w:id="322"/>
      <w:bookmarkEnd w:id="323"/>
      <w:r>
        <w:rPr>
          <w:b/>
          <w:spacing w:val="-2"/>
          <w:sz w:val="28"/>
        </w:rPr>
        <w:t>Technology</w:t>
      </w:r>
      <w:r>
        <w:rPr>
          <w:b/>
          <w:spacing w:val="-9"/>
          <w:sz w:val="28"/>
        </w:rPr>
        <w:t xml:space="preserve"> </w:t>
      </w:r>
      <w:r>
        <w:rPr>
          <w:b/>
          <w:spacing w:val="-2"/>
          <w:sz w:val="28"/>
        </w:rPr>
        <w:t>Selection</w:t>
      </w:r>
      <w:r>
        <w:rPr>
          <w:b/>
          <w:spacing w:val="-9"/>
          <w:sz w:val="28"/>
        </w:rPr>
        <w:t xml:space="preserve"> </w:t>
      </w:r>
      <w:r>
        <w:rPr>
          <w:b/>
          <w:spacing w:val="-2"/>
          <w:sz w:val="28"/>
        </w:rPr>
        <w:t>Process</w:t>
      </w:r>
    </w:p>
    <w:p w:rsidR="00C31389" w:rsidRDefault="00561FBD" w14:paraId="6DDE17C6" w14:textId="77777777">
      <w:pPr>
        <w:pStyle w:val="BodyText"/>
        <w:spacing w:before="241"/>
        <w:ind w:left="479" w:right="481"/>
      </w:pPr>
      <w:r>
        <w:t xml:space="preserve">The Guidehouse team followed a similar approach to the </w:t>
      </w:r>
      <w:r>
        <w:t>technology selection process as the other, non-FS measures, excluding any measures that did not pass the FST. As implemented by CPUC Decision 19-08-009, the FST specifies that to be included in an EE portfolio,</w:t>
      </w:r>
      <w:r>
        <w:rPr>
          <w:spacing w:val="-3"/>
        </w:rPr>
        <w:t xml:space="preserve"> </w:t>
      </w:r>
      <w:r>
        <w:t>a</w:t>
      </w:r>
      <w:r>
        <w:rPr>
          <w:spacing w:val="-4"/>
        </w:rPr>
        <w:t xml:space="preserve"> </w:t>
      </w:r>
      <w:r>
        <w:t>measure</w:t>
      </w:r>
      <w:r>
        <w:rPr>
          <w:spacing w:val="-3"/>
        </w:rPr>
        <w:t xml:space="preserve"> </w:t>
      </w:r>
      <w:r>
        <w:t>must</w:t>
      </w:r>
      <w:r>
        <w:rPr>
          <w:spacing w:val="-3"/>
        </w:rPr>
        <w:t xml:space="preserve"> </w:t>
      </w:r>
      <w:r>
        <w:t>not</w:t>
      </w:r>
      <w:r>
        <w:rPr>
          <w:spacing w:val="-3"/>
        </w:rPr>
        <w:t xml:space="preserve"> </w:t>
      </w:r>
      <w:r>
        <w:t>increase</w:t>
      </w:r>
      <w:r>
        <w:rPr>
          <w:spacing w:val="-3"/>
        </w:rPr>
        <w:t xml:space="preserve"> </w:t>
      </w:r>
      <w:r>
        <w:t>source</w:t>
      </w:r>
      <w:r>
        <w:rPr>
          <w:spacing w:val="-3"/>
        </w:rPr>
        <w:t xml:space="preserve"> </w:t>
      </w:r>
      <w:r>
        <w:t>energy,</w:t>
      </w:r>
      <w:r>
        <w:rPr>
          <w:spacing w:val="-3"/>
        </w:rPr>
        <w:t xml:space="preserve"> </w:t>
      </w:r>
      <w:r>
        <w:t>an</w:t>
      </w:r>
      <w:r>
        <w:t>d</w:t>
      </w:r>
      <w:r>
        <w:rPr>
          <w:spacing w:val="-3"/>
        </w:rPr>
        <w:t xml:space="preserve"> </w:t>
      </w:r>
      <w:r>
        <w:t>it</w:t>
      </w:r>
      <w:r>
        <w:rPr>
          <w:spacing w:val="-4"/>
        </w:rPr>
        <w:t xml:space="preserve"> </w:t>
      </w:r>
      <w:r>
        <w:t>must</w:t>
      </w:r>
      <w:r>
        <w:rPr>
          <w:spacing w:val="-3"/>
        </w:rPr>
        <w:t xml:space="preserve"> </w:t>
      </w:r>
      <w:r>
        <w:t>not</w:t>
      </w:r>
      <w:r>
        <w:rPr>
          <w:spacing w:val="-3"/>
        </w:rPr>
        <w:t xml:space="preserve"> </w:t>
      </w:r>
      <w:r>
        <w:t>harm</w:t>
      </w:r>
      <w:r>
        <w:rPr>
          <w:spacing w:val="-4"/>
        </w:rPr>
        <w:t xml:space="preserve"> </w:t>
      </w:r>
      <w:r>
        <w:t>the</w:t>
      </w:r>
      <w:r>
        <w:rPr>
          <w:spacing w:val="-3"/>
        </w:rPr>
        <w:t xml:space="preserve"> </w:t>
      </w:r>
      <w:r>
        <w:t>environment (where environmental harm is measured by net CO</w:t>
      </w:r>
      <w:r>
        <w:rPr>
          <w:vertAlign w:val="subscript"/>
        </w:rPr>
        <w:t>2</w:t>
      </w:r>
      <w:r>
        <w:t xml:space="preserve"> emissions).</w:t>
      </w:r>
      <w:r>
        <w:rPr>
          <w:spacing w:val="-38"/>
        </w:rPr>
        <w:t xml:space="preserve"> </w:t>
      </w:r>
      <w:hyperlink w:history="1" w:anchor="_bookmark241">
        <w:r>
          <w:rPr>
            <w:position w:val="7"/>
            <w:sz w:val="14"/>
          </w:rPr>
          <w:t>75</w:t>
        </w:r>
      </w:hyperlink>
      <w:r>
        <w:rPr>
          <w:spacing w:val="32"/>
          <w:position w:val="7"/>
          <w:sz w:val="14"/>
        </w:rPr>
        <w:t xml:space="preserve"> </w:t>
      </w:r>
      <w:r>
        <w:t xml:space="preserve">The team assumed that measures with active workpapers had already been determined by the CPUC to pass the </w:t>
      </w:r>
      <w:r>
        <w:rPr>
          <w:spacing w:val="-4"/>
        </w:rPr>
        <w:t>FST.</w:t>
      </w:r>
    </w:p>
    <w:p w:rsidR="00C31389" w:rsidRDefault="00C31389" w14:paraId="7C42FA2B" w14:textId="77777777">
      <w:pPr>
        <w:pStyle w:val="BodyText"/>
        <w:spacing w:before="9"/>
        <w:rPr>
          <w:sz w:val="20"/>
        </w:rPr>
      </w:pPr>
    </w:p>
    <w:p w:rsidR="00C31389" w:rsidRDefault="00561FBD" w14:paraId="30842B8C" w14:textId="77777777">
      <w:pPr>
        <w:pStyle w:val="BodyText"/>
        <w:ind w:left="480" w:right="445"/>
      </w:pPr>
      <w:r>
        <w:t>Technology groups that did not have a technically suitable, commercially available electric equivalent</w:t>
      </w:r>
      <w:r>
        <w:rPr>
          <w:spacing w:val="-3"/>
        </w:rPr>
        <w:t xml:space="preserve"> </w:t>
      </w:r>
      <w:r>
        <w:t>that</w:t>
      </w:r>
      <w:r>
        <w:rPr>
          <w:spacing w:val="-3"/>
        </w:rPr>
        <w:t xml:space="preserve"> </w:t>
      </w:r>
      <w:r>
        <w:t>could</w:t>
      </w:r>
      <w:r>
        <w:rPr>
          <w:spacing w:val="-3"/>
        </w:rPr>
        <w:t xml:space="preserve"> </w:t>
      </w:r>
      <w:r>
        <w:t>directly</w:t>
      </w:r>
      <w:r>
        <w:rPr>
          <w:spacing w:val="-3"/>
        </w:rPr>
        <w:t xml:space="preserve"> </w:t>
      </w:r>
      <w:r>
        <w:t>replace</w:t>
      </w:r>
      <w:r>
        <w:rPr>
          <w:spacing w:val="-3"/>
        </w:rPr>
        <w:t xml:space="preserve"> </w:t>
      </w:r>
      <w:r>
        <w:t>the</w:t>
      </w:r>
      <w:r>
        <w:rPr>
          <w:spacing w:val="-3"/>
        </w:rPr>
        <w:t xml:space="preserve"> </w:t>
      </w:r>
      <w:r>
        <w:t>gas</w:t>
      </w:r>
      <w:r>
        <w:rPr>
          <w:spacing w:val="-3"/>
        </w:rPr>
        <w:t xml:space="preserve"> </w:t>
      </w:r>
      <w:r>
        <w:t>technology</w:t>
      </w:r>
      <w:r>
        <w:rPr>
          <w:spacing w:val="-3"/>
        </w:rPr>
        <w:t xml:space="preserve"> </w:t>
      </w:r>
      <w:r>
        <w:t>were</w:t>
      </w:r>
      <w:r>
        <w:rPr>
          <w:spacing w:val="-3"/>
        </w:rPr>
        <w:t xml:space="preserve"> </w:t>
      </w:r>
      <w:r>
        <w:t>excluded</w:t>
      </w:r>
      <w:r>
        <w:rPr>
          <w:spacing w:val="-4"/>
        </w:rPr>
        <w:t xml:space="preserve"> </w:t>
      </w:r>
      <w:r>
        <w:t>from</w:t>
      </w:r>
      <w:r>
        <w:rPr>
          <w:spacing w:val="-4"/>
        </w:rPr>
        <w:t xml:space="preserve"> </w:t>
      </w:r>
      <w:r>
        <w:t>consideration. An example is commercial gas boilers. Each electric option for commercial space heating that could replace an existing gas boiler has physical or operational considerations that wo</w:t>
      </w:r>
      <w:r>
        <w:t>uld discourage a direct replacement:</w:t>
      </w:r>
    </w:p>
    <w:p w:rsidR="00C31389" w:rsidRDefault="00C31389" w14:paraId="5987714D" w14:textId="77777777">
      <w:pPr>
        <w:pStyle w:val="BodyText"/>
        <w:spacing w:before="10"/>
        <w:rPr>
          <w:sz w:val="20"/>
        </w:rPr>
      </w:pPr>
    </w:p>
    <w:p w:rsidR="00C31389" w:rsidRDefault="00561FBD" w14:paraId="3C126FD7" w14:textId="77777777">
      <w:pPr>
        <w:pStyle w:val="ListParagraph"/>
        <w:numPr>
          <w:ilvl w:val="0"/>
          <w:numId w:val="23"/>
        </w:numPr>
        <w:tabs>
          <w:tab w:val="left" w:pos="1200"/>
        </w:tabs>
        <w:spacing w:before="1"/>
        <w:ind w:right="482"/>
      </w:pPr>
      <w:r>
        <w:t>Commercial</w:t>
      </w:r>
      <w:r>
        <w:rPr>
          <w:spacing w:val="-4"/>
        </w:rPr>
        <w:t xml:space="preserve"> </w:t>
      </w:r>
      <w:r>
        <w:rPr>
          <w:b/>
        </w:rPr>
        <w:t>electric</w:t>
      </w:r>
      <w:r>
        <w:rPr>
          <w:b/>
          <w:spacing w:val="-4"/>
        </w:rPr>
        <w:t xml:space="preserve"> </w:t>
      </w:r>
      <w:r>
        <w:rPr>
          <w:b/>
        </w:rPr>
        <w:t>resistance</w:t>
      </w:r>
      <w:r>
        <w:rPr>
          <w:b/>
          <w:spacing w:val="-4"/>
        </w:rPr>
        <w:t xml:space="preserve"> </w:t>
      </w:r>
      <w:r>
        <w:rPr>
          <w:b/>
        </w:rPr>
        <w:t>boilers</w:t>
      </w:r>
      <w:r>
        <w:rPr>
          <w:b/>
          <w:spacing w:val="-3"/>
        </w:rPr>
        <w:t xml:space="preserve"> </w:t>
      </w:r>
      <w:r>
        <w:t>carry</w:t>
      </w:r>
      <w:r>
        <w:rPr>
          <w:spacing w:val="-4"/>
        </w:rPr>
        <w:t xml:space="preserve"> </w:t>
      </w:r>
      <w:r>
        <w:t>large</w:t>
      </w:r>
      <w:r>
        <w:rPr>
          <w:spacing w:val="-4"/>
        </w:rPr>
        <w:t xml:space="preserve"> </w:t>
      </w:r>
      <w:r>
        <w:t>electrical</w:t>
      </w:r>
      <w:r>
        <w:rPr>
          <w:spacing w:val="-5"/>
        </w:rPr>
        <w:t xml:space="preserve"> </w:t>
      </w:r>
      <w:r>
        <w:t>demands</w:t>
      </w:r>
      <w:r>
        <w:rPr>
          <w:spacing w:val="-4"/>
        </w:rPr>
        <w:t xml:space="preserve"> </w:t>
      </w:r>
      <w:r>
        <w:t>in</w:t>
      </w:r>
      <w:r>
        <w:rPr>
          <w:spacing w:val="-4"/>
        </w:rPr>
        <w:t xml:space="preserve"> </w:t>
      </w:r>
      <w:r>
        <w:t>addition</w:t>
      </w:r>
      <w:r>
        <w:rPr>
          <w:spacing w:val="-4"/>
        </w:rPr>
        <w:t xml:space="preserve"> </w:t>
      </w:r>
      <w:r>
        <w:t>to likely higher operating costs.</w:t>
      </w:r>
    </w:p>
    <w:p w:rsidR="00C31389" w:rsidRDefault="00561FBD" w14:paraId="2A594EEB" w14:textId="77777777">
      <w:pPr>
        <w:pStyle w:val="ListParagraph"/>
        <w:numPr>
          <w:ilvl w:val="0"/>
          <w:numId w:val="23"/>
        </w:numPr>
        <w:tabs>
          <w:tab w:val="left" w:pos="1200"/>
        </w:tabs>
        <w:spacing w:before="118"/>
        <w:ind w:right="434" w:hanging="361"/>
      </w:pPr>
      <w:r>
        <w:rPr>
          <w:b/>
        </w:rPr>
        <w:t xml:space="preserve">Hydronic heat pumps, including air-to-water systems and heat recovery chillers, </w:t>
      </w:r>
      <w:r>
        <w:t>have supply temperatur</w:t>
      </w:r>
      <w:r>
        <w:t>e limitations (140°F-160°F max) that are lower than the</w:t>
      </w:r>
      <w:r>
        <w:rPr>
          <w:spacing w:val="-3"/>
        </w:rPr>
        <w:t xml:space="preserve"> </w:t>
      </w:r>
      <w:r>
        <w:t>design</w:t>
      </w:r>
      <w:r>
        <w:rPr>
          <w:spacing w:val="-3"/>
        </w:rPr>
        <w:t xml:space="preserve"> </w:t>
      </w:r>
      <w:r>
        <w:t>temperatures</w:t>
      </w:r>
      <w:r>
        <w:rPr>
          <w:spacing w:val="-3"/>
        </w:rPr>
        <w:t xml:space="preserve"> </w:t>
      </w:r>
      <w:r>
        <w:t>for</w:t>
      </w:r>
      <w:r>
        <w:rPr>
          <w:spacing w:val="-3"/>
        </w:rPr>
        <w:t xml:space="preserve"> </w:t>
      </w:r>
      <w:r>
        <w:t>many</w:t>
      </w:r>
      <w:r>
        <w:rPr>
          <w:spacing w:val="-3"/>
        </w:rPr>
        <w:t xml:space="preserve"> </w:t>
      </w:r>
      <w:r>
        <w:t>existing</w:t>
      </w:r>
      <w:r>
        <w:rPr>
          <w:spacing w:val="-4"/>
        </w:rPr>
        <w:t xml:space="preserve"> </w:t>
      </w:r>
      <w:r>
        <w:t>steam</w:t>
      </w:r>
      <w:r>
        <w:rPr>
          <w:spacing w:val="-4"/>
        </w:rPr>
        <w:t xml:space="preserve"> </w:t>
      </w:r>
      <w:r>
        <w:t>or</w:t>
      </w:r>
      <w:r>
        <w:rPr>
          <w:spacing w:val="-3"/>
        </w:rPr>
        <w:t xml:space="preserve"> </w:t>
      </w:r>
      <w:r>
        <w:t>hot</w:t>
      </w:r>
      <w:r>
        <w:rPr>
          <w:spacing w:val="-3"/>
        </w:rPr>
        <w:t xml:space="preserve"> </w:t>
      </w:r>
      <w:r>
        <w:t>water</w:t>
      </w:r>
      <w:r>
        <w:rPr>
          <w:spacing w:val="-3"/>
        </w:rPr>
        <w:t xml:space="preserve"> </w:t>
      </w:r>
      <w:r>
        <w:t>boiler</w:t>
      </w:r>
      <w:r>
        <w:rPr>
          <w:spacing w:val="-3"/>
        </w:rPr>
        <w:t xml:space="preserve"> </w:t>
      </w:r>
      <w:r>
        <w:t>heating</w:t>
      </w:r>
      <w:r>
        <w:rPr>
          <w:spacing w:val="-3"/>
        </w:rPr>
        <w:t xml:space="preserve"> </w:t>
      </w:r>
      <w:r>
        <w:t xml:space="preserve">systems. For FS of steam or hot water boilers would require a system redesign, which would likely be prohibitive in a </w:t>
      </w:r>
      <w:r>
        <w:t>normal replacement or accelerated replacement scenario.</w:t>
      </w:r>
    </w:p>
    <w:p w:rsidR="00C31389" w:rsidRDefault="00561FBD" w14:paraId="3F354F9C" w14:textId="77777777">
      <w:pPr>
        <w:pStyle w:val="ListParagraph"/>
        <w:numPr>
          <w:ilvl w:val="0"/>
          <w:numId w:val="23"/>
        </w:numPr>
        <w:tabs>
          <w:tab w:val="left" w:pos="1200"/>
        </w:tabs>
        <w:spacing w:before="118"/>
        <w:ind w:right="680"/>
      </w:pPr>
      <w:r>
        <w:rPr>
          <w:b/>
        </w:rPr>
        <w:t>Central</w:t>
      </w:r>
      <w:r>
        <w:rPr>
          <w:b/>
          <w:spacing w:val="-4"/>
        </w:rPr>
        <w:t xml:space="preserve"> </w:t>
      </w:r>
      <w:r>
        <w:rPr>
          <w:b/>
        </w:rPr>
        <w:t>air-to-air</w:t>
      </w:r>
      <w:r>
        <w:rPr>
          <w:b/>
          <w:spacing w:val="-5"/>
        </w:rPr>
        <w:t xml:space="preserve"> </w:t>
      </w:r>
      <w:r>
        <w:rPr>
          <w:b/>
        </w:rPr>
        <w:t>heat</w:t>
      </w:r>
      <w:r>
        <w:rPr>
          <w:b/>
          <w:spacing w:val="-4"/>
        </w:rPr>
        <w:t xml:space="preserve"> </w:t>
      </w:r>
      <w:r>
        <w:rPr>
          <w:b/>
        </w:rPr>
        <w:t>pumps,</w:t>
      </w:r>
      <w:r>
        <w:rPr>
          <w:b/>
          <w:spacing w:val="-4"/>
        </w:rPr>
        <w:t xml:space="preserve"> </w:t>
      </w:r>
      <w:r>
        <w:rPr>
          <w:b/>
        </w:rPr>
        <w:t>variable</w:t>
      </w:r>
      <w:r>
        <w:rPr>
          <w:b/>
          <w:spacing w:val="-4"/>
        </w:rPr>
        <w:t xml:space="preserve"> </w:t>
      </w:r>
      <w:r>
        <w:rPr>
          <w:b/>
        </w:rPr>
        <w:t>refrigerant</w:t>
      </w:r>
      <w:r>
        <w:rPr>
          <w:b/>
          <w:spacing w:val="-4"/>
        </w:rPr>
        <w:t xml:space="preserve"> </w:t>
      </w:r>
      <w:r>
        <w:rPr>
          <w:b/>
        </w:rPr>
        <w:t>flow</w:t>
      </w:r>
      <w:r>
        <w:rPr>
          <w:b/>
          <w:spacing w:val="-4"/>
        </w:rPr>
        <w:t xml:space="preserve"> </w:t>
      </w:r>
      <w:r>
        <w:rPr>
          <w:b/>
        </w:rPr>
        <w:t>systems,</w:t>
      </w:r>
      <w:r>
        <w:rPr>
          <w:b/>
          <w:spacing w:val="-4"/>
        </w:rPr>
        <w:t xml:space="preserve"> </w:t>
      </w:r>
      <w:r>
        <w:rPr>
          <w:b/>
        </w:rPr>
        <w:t>water</w:t>
      </w:r>
      <w:r>
        <w:rPr>
          <w:b/>
          <w:spacing w:val="-4"/>
        </w:rPr>
        <w:t xml:space="preserve"> </w:t>
      </w:r>
      <w:r>
        <w:rPr>
          <w:b/>
        </w:rPr>
        <w:t xml:space="preserve">source heat pumps, and ground source heat pumps </w:t>
      </w:r>
      <w:r>
        <w:t>would also require an alternative design configuration than the hot water/chille</w:t>
      </w:r>
      <w:r>
        <w:t>d water distribution systems.</w:t>
      </w:r>
    </w:p>
    <w:p w:rsidR="00C31389" w:rsidRDefault="00C31389" w14:paraId="7B3BDD06" w14:textId="77777777">
      <w:pPr>
        <w:pStyle w:val="BodyText"/>
        <w:spacing w:before="9"/>
        <w:rPr>
          <w:sz w:val="20"/>
        </w:rPr>
      </w:pPr>
    </w:p>
    <w:p w:rsidR="00C31389" w:rsidRDefault="00561FBD" w14:paraId="429B28B7" w14:textId="77777777">
      <w:pPr>
        <w:pStyle w:val="BodyText"/>
        <w:ind w:left="480" w:right="418"/>
      </w:pPr>
      <w:hyperlink w:history="1" w:anchor="_bookmark240">
        <w:r>
          <w:t>Table</w:t>
        </w:r>
        <w:r>
          <w:rPr>
            <w:spacing w:val="-2"/>
          </w:rPr>
          <w:t xml:space="preserve"> </w:t>
        </w:r>
        <w:r>
          <w:t>B-1.</w:t>
        </w:r>
      </w:hyperlink>
      <w:r>
        <w:rPr>
          <w:spacing w:val="-2"/>
        </w:rPr>
        <w:t xml:space="preserve"> </w:t>
      </w:r>
      <w:r>
        <w:t>shows</w:t>
      </w:r>
      <w:r>
        <w:rPr>
          <w:spacing w:val="-2"/>
        </w:rPr>
        <w:t xml:space="preserve"> </w:t>
      </w:r>
      <w:r>
        <w:t>the</w:t>
      </w:r>
      <w:r>
        <w:rPr>
          <w:spacing w:val="-2"/>
        </w:rPr>
        <w:t xml:space="preserve"> </w:t>
      </w:r>
      <w:r>
        <w:t>list</w:t>
      </w:r>
      <w:r>
        <w:rPr>
          <w:spacing w:val="-3"/>
        </w:rPr>
        <w:t xml:space="preserve"> </w:t>
      </w:r>
      <w:r>
        <w:t>of</w:t>
      </w:r>
      <w:r>
        <w:rPr>
          <w:spacing w:val="-2"/>
        </w:rPr>
        <w:t xml:space="preserve"> </w:t>
      </w:r>
      <w:r>
        <w:t>FS</w:t>
      </w:r>
      <w:r>
        <w:rPr>
          <w:spacing w:val="-2"/>
        </w:rPr>
        <w:t xml:space="preserve"> </w:t>
      </w:r>
      <w:r>
        <w:t>technologies</w:t>
      </w:r>
      <w:r>
        <w:rPr>
          <w:spacing w:val="-1"/>
        </w:rPr>
        <w:t xml:space="preserve"> </w:t>
      </w:r>
      <w:r>
        <w:t>characterized</w:t>
      </w:r>
      <w:r>
        <w:rPr>
          <w:spacing w:val="-2"/>
        </w:rPr>
        <w:t xml:space="preserve"> </w:t>
      </w:r>
      <w:r>
        <w:t>in</w:t>
      </w:r>
      <w:r>
        <w:rPr>
          <w:spacing w:val="-3"/>
        </w:rPr>
        <w:t xml:space="preserve"> </w:t>
      </w:r>
      <w:r>
        <w:t>this</w:t>
      </w:r>
      <w:r>
        <w:rPr>
          <w:spacing w:val="-2"/>
        </w:rPr>
        <w:t xml:space="preserve"> </w:t>
      </w:r>
      <w:r>
        <w:t>study,</w:t>
      </w:r>
      <w:r>
        <w:rPr>
          <w:spacing w:val="-2"/>
        </w:rPr>
        <w:t xml:space="preserve"> </w:t>
      </w:r>
      <w:r>
        <w:t>along</w:t>
      </w:r>
      <w:r>
        <w:rPr>
          <w:spacing w:val="-2"/>
        </w:rPr>
        <w:t xml:space="preserve"> </w:t>
      </w:r>
      <w:r>
        <w:t>with</w:t>
      </w:r>
      <w:r>
        <w:rPr>
          <w:spacing w:val="-2"/>
        </w:rPr>
        <w:t xml:space="preserve"> </w:t>
      </w:r>
      <w:r>
        <w:t>the technology</w:t>
      </w:r>
      <w:r>
        <w:rPr>
          <w:spacing w:val="-4"/>
        </w:rPr>
        <w:t xml:space="preserve"> </w:t>
      </w:r>
      <w:r>
        <w:t>group</w:t>
      </w:r>
      <w:r>
        <w:rPr>
          <w:spacing w:val="-3"/>
        </w:rPr>
        <w:t xml:space="preserve"> </w:t>
      </w:r>
      <w:r>
        <w:t>to</w:t>
      </w:r>
      <w:r>
        <w:rPr>
          <w:spacing w:val="-3"/>
        </w:rPr>
        <w:t xml:space="preserve"> </w:t>
      </w:r>
      <w:r>
        <w:t>which</w:t>
      </w:r>
      <w:r>
        <w:rPr>
          <w:spacing w:val="-3"/>
        </w:rPr>
        <w:t xml:space="preserve"> </w:t>
      </w:r>
      <w:r>
        <w:t>each</w:t>
      </w:r>
      <w:r>
        <w:rPr>
          <w:spacing w:val="-3"/>
        </w:rPr>
        <w:t xml:space="preserve"> </w:t>
      </w:r>
      <w:r>
        <w:t>belongs.</w:t>
      </w:r>
      <w:r>
        <w:rPr>
          <w:spacing w:val="-3"/>
        </w:rPr>
        <w:t xml:space="preserve"> </w:t>
      </w:r>
      <w:r>
        <w:t>The</w:t>
      </w:r>
      <w:r>
        <w:rPr>
          <w:spacing w:val="-3"/>
        </w:rPr>
        <w:t xml:space="preserve"> </w:t>
      </w:r>
      <w:r>
        <w:t>technology</w:t>
      </w:r>
      <w:r>
        <w:rPr>
          <w:spacing w:val="-3"/>
        </w:rPr>
        <w:t xml:space="preserve"> </w:t>
      </w:r>
      <w:r>
        <w:t>group</w:t>
      </w:r>
      <w:r>
        <w:rPr>
          <w:spacing w:val="-3"/>
        </w:rPr>
        <w:t xml:space="preserve"> </w:t>
      </w:r>
      <w:r>
        <w:t>often</w:t>
      </w:r>
      <w:r>
        <w:rPr>
          <w:spacing w:val="-3"/>
        </w:rPr>
        <w:t xml:space="preserve"> </w:t>
      </w:r>
      <w:r>
        <w:t>includes</w:t>
      </w:r>
      <w:r>
        <w:rPr>
          <w:spacing w:val="-3"/>
        </w:rPr>
        <w:t xml:space="preserve"> </w:t>
      </w:r>
      <w:r>
        <w:t>the</w:t>
      </w:r>
      <w:r>
        <w:rPr>
          <w:spacing w:val="-3"/>
        </w:rPr>
        <w:t xml:space="preserve"> </w:t>
      </w:r>
      <w:r>
        <w:t>gas designation because the baseline technology is a gas technology. The designation distinguishes these technology groups from those where electric technologies replace baseline electric technologies.</w:t>
      </w:r>
    </w:p>
    <w:p w:rsidR="00C31389" w:rsidRDefault="00C31389" w14:paraId="5575BFEF" w14:textId="77777777">
      <w:pPr>
        <w:pStyle w:val="BodyText"/>
        <w:spacing w:before="10"/>
        <w:rPr>
          <w:sz w:val="20"/>
        </w:rPr>
      </w:pPr>
    </w:p>
    <w:p w:rsidR="00C31389" w:rsidRDefault="00561FBD" w14:paraId="21510A4B" w14:textId="77777777">
      <w:pPr>
        <w:pStyle w:val="Heading7"/>
        <w:ind w:left="398" w:right="339"/>
        <w:jc w:val="center"/>
      </w:pPr>
      <w:bookmarkStart w:name="_bookmark240" w:id="324"/>
      <w:bookmarkEnd w:id="324"/>
      <w:r>
        <w:t>Table</w:t>
      </w:r>
      <w:r>
        <w:rPr>
          <w:spacing w:val="-8"/>
        </w:rPr>
        <w:t xml:space="preserve"> </w:t>
      </w:r>
      <w:r>
        <w:t>B-1.</w:t>
      </w:r>
      <w:r>
        <w:rPr>
          <w:spacing w:val="-8"/>
        </w:rPr>
        <w:t xml:space="preserve"> </w:t>
      </w:r>
      <w:r>
        <w:t>FS</w:t>
      </w:r>
      <w:r>
        <w:rPr>
          <w:spacing w:val="-7"/>
        </w:rPr>
        <w:t xml:space="preserve"> </w:t>
      </w:r>
      <w:r>
        <w:t>Technologies</w:t>
      </w:r>
      <w:r>
        <w:rPr>
          <w:spacing w:val="-7"/>
        </w:rPr>
        <w:t xml:space="preserve"> </w:t>
      </w:r>
      <w:r>
        <w:rPr>
          <w:spacing w:val="-2"/>
        </w:rPr>
        <w:t>Characterized</w:t>
      </w:r>
    </w:p>
    <w:p w:rsidR="00C31389" w:rsidRDefault="00C31389" w14:paraId="3D04AA40" w14:textId="77777777">
      <w:pPr>
        <w:pStyle w:val="BodyText"/>
        <w:spacing w:before="7"/>
        <w:rPr>
          <w:b/>
          <w:sz w:val="9"/>
        </w:rPr>
      </w:pPr>
    </w:p>
    <w:tbl>
      <w:tblPr>
        <w:tblW w:w="0" w:type="auto"/>
        <w:tblInd w:w="480" w:type="dxa"/>
        <w:tblLayout w:type="fixed"/>
        <w:tblCellMar>
          <w:left w:w="0" w:type="dxa"/>
          <w:right w:w="0" w:type="dxa"/>
        </w:tblCellMar>
        <w:tblLook w:val="01E0" w:firstRow="1" w:lastRow="1" w:firstColumn="1" w:lastColumn="1" w:noHBand="0" w:noVBand="0"/>
      </w:tblPr>
      <w:tblGrid>
        <w:gridCol w:w="1293"/>
        <w:gridCol w:w="1301"/>
        <w:gridCol w:w="3941"/>
        <w:gridCol w:w="2500"/>
      </w:tblGrid>
      <w:tr w:rsidR="00C31389" w14:paraId="24CD00A9" w14:textId="77777777">
        <w:trPr>
          <w:trHeight w:val="319"/>
        </w:trPr>
        <w:tc>
          <w:tcPr>
            <w:tcW w:w="1293" w:type="dxa"/>
            <w:shd w:val="clear" w:color="auto" w:fill="92D400"/>
          </w:tcPr>
          <w:p w:rsidR="00C31389" w:rsidRDefault="00561FBD" w14:paraId="77042C44" w14:textId="77777777">
            <w:pPr>
              <w:pStyle w:val="TableParagraph"/>
              <w:ind w:left="122"/>
              <w:rPr>
                <w:b/>
                <w:sz w:val="20"/>
              </w:rPr>
            </w:pPr>
            <w:r>
              <w:rPr>
                <w:b/>
                <w:spacing w:val="-2"/>
                <w:sz w:val="20"/>
              </w:rPr>
              <w:t>Sector</w:t>
            </w:r>
          </w:p>
        </w:tc>
        <w:tc>
          <w:tcPr>
            <w:tcW w:w="1301" w:type="dxa"/>
            <w:shd w:val="clear" w:color="auto" w:fill="92D400"/>
          </w:tcPr>
          <w:p w:rsidR="00C31389" w:rsidRDefault="00561FBD" w14:paraId="762336CB" w14:textId="77777777">
            <w:pPr>
              <w:pStyle w:val="TableParagraph"/>
              <w:ind w:left="179"/>
              <w:rPr>
                <w:b/>
                <w:sz w:val="20"/>
              </w:rPr>
            </w:pPr>
            <w:r>
              <w:rPr>
                <w:b/>
                <w:sz w:val="20"/>
              </w:rPr>
              <w:t>End</w:t>
            </w:r>
            <w:r>
              <w:rPr>
                <w:b/>
                <w:spacing w:val="-2"/>
                <w:sz w:val="20"/>
              </w:rPr>
              <w:t xml:space="preserve"> </w:t>
            </w:r>
            <w:r>
              <w:rPr>
                <w:b/>
                <w:spacing w:val="-5"/>
                <w:sz w:val="20"/>
              </w:rPr>
              <w:t>Use</w:t>
            </w:r>
          </w:p>
        </w:tc>
        <w:tc>
          <w:tcPr>
            <w:tcW w:w="3941" w:type="dxa"/>
            <w:shd w:val="clear" w:color="auto" w:fill="92D400"/>
          </w:tcPr>
          <w:p w:rsidR="00C31389" w:rsidRDefault="00561FBD" w14:paraId="3FFA00F5" w14:textId="77777777">
            <w:pPr>
              <w:pStyle w:val="TableParagraph"/>
              <w:ind w:left="318"/>
              <w:rPr>
                <w:b/>
                <w:sz w:val="20"/>
              </w:rPr>
            </w:pPr>
            <w:r>
              <w:rPr>
                <w:b/>
                <w:sz w:val="20"/>
              </w:rPr>
              <w:t>FS</w:t>
            </w:r>
            <w:r>
              <w:rPr>
                <w:b/>
                <w:spacing w:val="-1"/>
                <w:sz w:val="20"/>
              </w:rPr>
              <w:t xml:space="preserve"> </w:t>
            </w:r>
            <w:r>
              <w:rPr>
                <w:b/>
                <w:spacing w:val="-2"/>
                <w:sz w:val="20"/>
              </w:rPr>
              <w:t>Technology</w:t>
            </w:r>
          </w:p>
        </w:tc>
        <w:tc>
          <w:tcPr>
            <w:tcW w:w="2500" w:type="dxa"/>
            <w:shd w:val="clear" w:color="auto" w:fill="92D400"/>
          </w:tcPr>
          <w:p w:rsidR="00C31389" w:rsidRDefault="00561FBD" w14:paraId="7503908A" w14:textId="77777777">
            <w:pPr>
              <w:pStyle w:val="TableParagraph"/>
              <w:ind w:left="173"/>
              <w:rPr>
                <w:b/>
                <w:sz w:val="20"/>
              </w:rPr>
            </w:pPr>
            <w:r>
              <w:rPr>
                <w:b/>
                <w:sz w:val="20"/>
              </w:rPr>
              <w:t>Technology</w:t>
            </w:r>
            <w:r>
              <w:rPr>
                <w:b/>
                <w:spacing w:val="-7"/>
                <w:sz w:val="20"/>
              </w:rPr>
              <w:t xml:space="preserve"> </w:t>
            </w:r>
            <w:r>
              <w:rPr>
                <w:b/>
                <w:spacing w:val="-2"/>
                <w:sz w:val="20"/>
              </w:rPr>
              <w:t>Group</w:t>
            </w:r>
          </w:p>
        </w:tc>
      </w:tr>
      <w:tr w:rsidR="00C31389" w14:paraId="00025B77" w14:textId="77777777">
        <w:trPr>
          <w:trHeight w:val="310"/>
        </w:trPr>
        <w:tc>
          <w:tcPr>
            <w:tcW w:w="1293" w:type="dxa"/>
            <w:tcBorders>
              <w:bottom w:val="single" w:color="D9D9D9" w:sz="2" w:space="0"/>
            </w:tcBorders>
          </w:tcPr>
          <w:p w:rsidR="00C31389" w:rsidRDefault="00561FBD" w14:paraId="679F170D" w14:textId="77777777">
            <w:pPr>
              <w:pStyle w:val="TableParagraph"/>
              <w:ind w:left="122"/>
              <w:rPr>
                <w:sz w:val="20"/>
              </w:rPr>
            </w:pPr>
            <w:r>
              <w:rPr>
                <w:spacing w:val="-2"/>
                <w:sz w:val="20"/>
              </w:rPr>
              <w:t>Residential</w:t>
            </w:r>
          </w:p>
        </w:tc>
        <w:tc>
          <w:tcPr>
            <w:tcW w:w="1301" w:type="dxa"/>
            <w:tcBorders>
              <w:bottom w:val="single" w:color="D9D9D9" w:sz="2" w:space="0"/>
            </w:tcBorders>
          </w:tcPr>
          <w:p w:rsidR="00C31389" w:rsidRDefault="00561FBD" w14:paraId="5D444EBF" w14:textId="77777777">
            <w:pPr>
              <w:pStyle w:val="TableParagraph"/>
              <w:ind w:left="179"/>
              <w:rPr>
                <w:sz w:val="20"/>
              </w:rPr>
            </w:pPr>
            <w:r>
              <w:rPr>
                <w:spacing w:val="-2"/>
                <w:sz w:val="20"/>
              </w:rPr>
              <w:t>AppPlug</w:t>
            </w:r>
          </w:p>
        </w:tc>
        <w:tc>
          <w:tcPr>
            <w:tcW w:w="3941" w:type="dxa"/>
            <w:tcBorders>
              <w:bottom w:val="single" w:color="D9D9D9" w:sz="2" w:space="0"/>
            </w:tcBorders>
          </w:tcPr>
          <w:p w:rsidR="00C31389" w:rsidRDefault="00561FBD" w14:paraId="208DED59" w14:textId="77777777">
            <w:pPr>
              <w:pStyle w:val="TableParagraph"/>
              <w:ind w:left="318"/>
              <w:rPr>
                <w:sz w:val="20"/>
              </w:rPr>
            </w:pPr>
            <w:r>
              <w:rPr>
                <w:sz w:val="20"/>
              </w:rPr>
              <w:t>Heat</w:t>
            </w:r>
            <w:r>
              <w:rPr>
                <w:spacing w:val="-5"/>
                <w:sz w:val="20"/>
              </w:rPr>
              <w:t xml:space="preserve"> </w:t>
            </w:r>
            <w:r>
              <w:rPr>
                <w:sz w:val="20"/>
              </w:rPr>
              <w:t>Pump</w:t>
            </w:r>
            <w:r>
              <w:rPr>
                <w:spacing w:val="-4"/>
                <w:sz w:val="20"/>
              </w:rPr>
              <w:t xml:space="preserve"> </w:t>
            </w:r>
            <w:r>
              <w:rPr>
                <w:sz w:val="20"/>
              </w:rPr>
              <w:t>Clothes</w:t>
            </w:r>
            <w:r>
              <w:rPr>
                <w:spacing w:val="-3"/>
                <w:sz w:val="20"/>
              </w:rPr>
              <w:t xml:space="preserve"> </w:t>
            </w:r>
            <w:r>
              <w:rPr>
                <w:spacing w:val="-4"/>
                <w:sz w:val="20"/>
              </w:rPr>
              <w:t>Dryer</w:t>
            </w:r>
          </w:p>
        </w:tc>
        <w:tc>
          <w:tcPr>
            <w:tcW w:w="2500" w:type="dxa"/>
            <w:tcBorders>
              <w:bottom w:val="single" w:color="D9D9D9" w:sz="2" w:space="0"/>
            </w:tcBorders>
          </w:tcPr>
          <w:p w:rsidR="00C31389" w:rsidRDefault="00561FBD" w14:paraId="7FD741C0" w14:textId="77777777">
            <w:pPr>
              <w:pStyle w:val="TableParagraph"/>
              <w:ind w:left="172"/>
              <w:rPr>
                <w:sz w:val="20"/>
              </w:rPr>
            </w:pPr>
            <w:r>
              <w:rPr>
                <w:sz w:val="20"/>
              </w:rPr>
              <w:t>Clothes</w:t>
            </w:r>
            <w:r>
              <w:rPr>
                <w:spacing w:val="-4"/>
                <w:sz w:val="20"/>
              </w:rPr>
              <w:t xml:space="preserve"> </w:t>
            </w:r>
            <w:r>
              <w:rPr>
                <w:sz w:val="20"/>
              </w:rPr>
              <w:t>Dryers</w:t>
            </w:r>
            <w:r>
              <w:rPr>
                <w:spacing w:val="-3"/>
                <w:sz w:val="20"/>
              </w:rPr>
              <w:t xml:space="preserve"> </w:t>
            </w:r>
            <w:r>
              <w:rPr>
                <w:spacing w:val="-4"/>
                <w:sz w:val="20"/>
              </w:rPr>
              <w:t>(Gas)</w:t>
            </w:r>
          </w:p>
        </w:tc>
      </w:tr>
      <w:tr w:rsidR="00C31389" w14:paraId="33EC6549" w14:textId="77777777">
        <w:trPr>
          <w:trHeight w:val="309"/>
        </w:trPr>
        <w:tc>
          <w:tcPr>
            <w:tcW w:w="1293" w:type="dxa"/>
            <w:tcBorders>
              <w:top w:val="single" w:color="D9D9D9" w:sz="2" w:space="0"/>
              <w:bottom w:val="single" w:color="D9D9D9" w:sz="2" w:space="0"/>
            </w:tcBorders>
          </w:tcPr>
          <w:p w:rsidR="00C31389" w:rsidRDefault="00561FBD" w14:paraId="757B8951" w14:textId="77777777">
            <w:pPr>
              <w:pStyle w:val="TableParagraph"/>
              <w:ind w:left="122"/>
              <w:rPr>
                <w:sz w:val="20"/>
              </w:rPr>
            </w:pPr>
            <w:r>
              <w:rPr>
                <w:spacing w:val="-2"/>
                <w:sz w:val="20"/>
              </w:rPr>
              <w:t>Residential</w:t>
            </w:r>
          </w:p>
        </w:tc>
        <w:tc>
          <w:tcPr>
            <w:tcW w:w="1301" w:type="dxa"/>
            <w:tcBorders>
              <w:top w:val="single" w:color="D9D9D9" w:sz="2" w:space="0"/>
              <w:bottom w:val="single" w:color="D9D9D9" w:sz="2" w:space="0"/>
            </w:tcBorders>
          </w:tcPr>
          <w:p w:rsidR="00C31389" w:rsidRDefault="00561FBD" w14:paraId="1F4FE543" w14:textId="77777777">
            <w:pPr>
              <w:pStyle w:val="TableParagraph"/>
              <w:ind w:left="179"/>
              <w:rPr>
                <w:sz w:val="20"/>
              </w:rPr>
            </w:pPr>
            <w:r>
              <w:rPr>
                <w:spacing w:val="-2"/>
                <w:sz w:val="20"/>
              </w:rPr>
              <w:t>AppPlug</w:t>
            </w:r>
          </w:p>
        </w:tc>
        <w:tc>
          <w:tcPr>
            <w:tcW w:w="3941" w:type="dxa"/>
            <w:tcBorders>
              <w:top w:val="single" w:color="D9D9D9" w:sz="2" w:space="0"/>
              <w:bottom w:val="single" w:color="D9D9D9" w:sz="2" w:space="0"/>
            </w:tcBorders>
          </w:tcPr>
          <w:p w:rsidR="00C31389" w:rsidRDefault="00561FBD" w14:paraId="571AEDEA" w14:textId="77777777">
            <w:pPr>
              <w:pStyle w:val="TableParagraph"/>
              <w:ind w:left="318"/>
              <w:rPr>
                <w:sz w:val="20"/>
              </w:rPr>
            </w:pPr>
            <w:r>
              <w:rPr>
                <w:sz w:val="20"/>
              </w:rPr>
              <w:t>Heat</w:t>
            </w:r>
            <w:r>
              <w:rPr>
                <w:spacing w:val="-3"/>
                <w:sz w:val="20"/>
              </w:rPr>
              <w:t xml:space="preserve"> </w:t>
            </w:r>
            <w:r>
              <w:rPr>
                <w:sz w:val="20"/>
              </w:rPr>
              <w:t>Pump</w:t>
            </w:r>
            <w:r>
              <w:rPr>
                <w:spacing w:val="-2"/>
                <w:sz w:val="20"/>
              </w:rPr>
              <w:t xml:space="preserve"> </w:t>
            </w:r>
            <w:r>
              <w:rPr>
                <w:sz w:val="20"/>
              </w:rPr>
              <w:t>Pool</w:t>
            </w:r>
            <w:r>
              <w:rPr>
                <w:spacing w:val="-2"/>
                <w:sz w:val="20"/>
              </w:rPr>
              <w:t xml:space="preserve"> Heater</w:t>
            </w:r>
          </w:p>
        </w:tc>
        <w:tc>
          <w:tcPr>
            <w:tcW w:w="2500" w:type="dxa"/>
            <w:tcBorders>
              <w:top w:val="single" w:color="D9D9D9" w:sz="2" w:space="0"/>
              <w:bottom w:val="single" w:color="D9D9D9" w:sz="2" w:space="0"/>
            </w:tcBorders>
          </w:tcPr>
          <w:p w:rsidR="00C31389" w:rsidRDefault="00561FBD" w14:paraId="3F261B26" w14:textId="77777777">
            <w:pPr>
              <w:pStyle w:val="TableParagraph"/>
              <w:ind w:left="173"/>
              <w:rPr>
                <w:sz w:val="20"/>
              </w:rPr>
            </w:pPr>
            <w:r>
              <w:rPr>
                <w:sz w:val="20"/>
              </w:rPr>
              <w:t>Res</w:t>
            </w:r>
            <w:r>
              <w:rPr>
                <w:spacing w:val="-2"/>
                <w:sz w:val="20"/>
              </w:rPr>
              <w:t xml:space="preserve"> </w:t>
            </w:r>
            <w:r>
              <w:rPr>
                <w:sz w:val="20"/>
              </w:rPr>
              <w:t>Pool</w:t>
            </w:r>
            <w:r>
              <w:rPr>
                <w:spacing w:val="-2"/>
                <w:sz w:val="20"/>
              </w:rPr>
              <w:t xml:space="preserve"> Heaters</w:t>
            </w:r>
          </w:p>
        </w:tc>
      </w:tr>
      <w:tr w:rsidR="00C31389" w14:paraId="2B9C287A" w14:textId="77777777">
        <w:trPr>
          <w:trHeight w:val="310"/>
        </w:trPr>
        <w:tc>
          <w:tcPr>
            <w:tcW w:w="1293" w:type="dxa"/>
            <w:tcBorders>
              <w:top w:val="single" w:color="D9D9D9" w:sz="2" w:space="0"/>
              <w:bottom w:val="single" w:color="D9D9D9" w:sz="2" w:space="0"/>
            </w:tcBorders>
          </w:tcPr>
          <w:p w:rsidR="00C31389" w:rsidRDefault="00561FBD" w14:paraId="0EF66B41" w14:textId="77777777">
            <w:pPr>
              <w:pStyle w:val="TableParagraph"/>
              <w:ind w:left="122"/>
              <w:rPr>
                <w:sz w:val="20"/>
              </w:rPr>
            </w:pPr>
            <w:r>
              <w:rPr>
                <w:spacing w:val="-2"/>
                <w:sz w:val="20"/>
              </w:rPr>
              <w:t>Residential</w:t>
            </w:r>
          </w:p>
        </w:tc>
        <w:tc>
          <w:tcPr>
            <w:tcW w:w="1301" w:type="dxa"/>
            <w:tcBorders>
              <w:top w:val="single" w:color="D9D9D9" w:sz="2" w:space="0"/>
              <w:bottom w:val="single" w:color="D9D9D9" w:sz="2" w:space="0"/>
            </w:tcBorders>
          </w:tcPr>
          <w:p w:rsidR="00C31389" w:rsidRDefault="00561FBD" w14:paraId="1E7D45E7" w14:textId="77777777">
            <w:pPr>
              <w:pStyle w:val="TableParagraph"/>
              <w:ind w:left="179"/>
              <w:rPr>
                <w:sz w:val="20"/>
              </w:rPr>
            </w:pPr>
            <w:r>
              <w:rPr>
                <w:spacing w:val="-2"/>
                <w:sz w:val="20"/>
              </w:rPr>
              <w:t>AppPlug</w:t>
            </w:r>
          </w:p>
        </w:tc>
        <w:tc>
          <w:tcPr>
            <w:tcW w:w="3941" w:type="dxa"/>
            <w:tcBorders>
              <w:top w:val="single" w:color="D9D9D9" w:sz="2" w:space="0"/>
              <w:bottom w:val="single" w:color="D9D9D9" w:sz="2" w:space="0"/>
            </w:tcBorders>
          </w:tcPr>
          <w:p w:rsidR="00C31389" w:rsidRDefault="00561FBD" w14:paraId="46EF659E" w14:textId="77777777">
            <w:pPr>
              <w:pStyle w:val="TableParagraph"/>
              <w:ind w:left="318"/>
              <w:rPr>
                <w:sz w:val="20"/>
              </w:rPr>
            </w:pPr>
            <w:r>
              <w:rPr>
                <w:sz w:val="20"/>
              </w:rPr>
              <w:t>Induction</w:t>
            </w:r>
            <w:r>
              <w:rPr>
                <w:spacing w:val="-6"/>
                <w:sz w:val="20"/>
              </w:rPr>
              <w:t xml:space="preserve"> </w:t>
            </w:r>
            <w:r>
              <w:rPr>
                <w:spacing w:val="-2"/>
                <w:sz w:val="20"/>
              </w:rPr>
              <w:t>Cooking</w:t>
            </w:r>
          </w:p>
        </w:tc>
        <w:tc>
          <w:tcPr>
            <w:tcW w:w="2500" w:type="dxa"/>
            <w:tcBorders>
              <w:top w:val="single" w:color="D9D9D9" w:sz="2" w:space="0"/>
              <w:bottom w:val="single" w:color="D9D9D9" w:sz="2" w:space="0"/>
            </w:tcBorders>
          </w:tcPr>
          <w:p w:rsidR="00C31389" w:rsidRDefault="00561FBD" w14:paraId="691A28CD" w14:textId="77777777">
            <w:pPr>
              <w:pStyle w:val="TableParagraph"/>
              <w:ind w:left="172"/>
              <w:rPr>
                <w:sz w:val="20"/>
              </w:rPr>
            </w:pPr>
            <w:r>
              <w:rPr>
                <w:sz w:val="20"/>
              </w:rPr>
              <w:t>Res</w:t>
            </w:r>
            <w:r>
              <w:rPr>
                <w:spacing w:val="-4"/>
                <w:sz w:val="20"/>
              </w:rPr>
              <w:t xml:space="preserve"> </w:t>
            </w:r>
            <w:r>
              <w:rPr>
                <w:sz w:val="20"/>
              </w:rPr>
              <w:t>Cooking</w:t>
            </w:r>
            <w:r>
              <w:rPr>
                <w:spacing w:val="-4"/>
                <w:sz w:val="20"/>
              </w:rPr>
              <w:t xml:space="preserve"> </w:t>
            </w:r>
            <w:r>
              <w:rPr>
                <w:spacing w:val="-2"/>
                <w:sz w:val="20"/>
              </w:rPr>
              <w:t>Appliances</w:t>
            </w:r>
          </w:p>
        </w:tc>
      </w:tr>
      <w:tr w:rsidR="00C31389" w14:paraId="06155642" w14:textId="77777777">
        <w:trPr>
          <w:trHeight w:val="539"/>
        </w:trPr>
        <w:tc>
          <w:tcPr>
            <w:tcW w:w="1293" w:type="dxa"/>
            <w:tcBorders>
              <w:top w:val="single" w:color="D9D9D9" w:sz="2" w:space="0"/>
              <w:bottom w:val="single" w:color="D9D9D9" w:sz="2" w:space="0"/>
            </w:tcBorders>
          </w:tcPr>
          <w:p w:rsidR="00C31389" w:rsidRDefault="00561FBD" w14:paraId="20C9884B" w14:textId="77777777">
            <w:pPr>
              <w:pStyle w:val="TableParagraph"/>
              <w:spacing w:before="155"/>
              <w:ind w:left="122"/>
              <w:rPr>
                <w:sz w:val="20"/>
              </w:rPr>
            </w:pPr>
            <w:r>
              <w:rPr>
                <w:spacing w:val="-2"/>
                <w:sz w:val="20"/>
              </w:rPr>
              <w:t>Residential</w:t>
            </w:r>
          </w:p>
        </w:tc>
        <w:tc>
          <w:tcPr>
            <w:tcW w:w="1301" w:type="dxa"/>
            <w:tcBorders>
              <w:top w:val="single" w:color="D9D9D9" w:sz="2" w:space="0"/>
              <w:bottom w:val="single" w:color="D9D9D9" w:sz="2" w:space="0"/>
            </w:tcBorders>
          </w:tcPr>
          <w:p w:rsidR="00C31389" w:rsidRDefault="00561FBD" w14:paraId="6E7E7305" w14:textId="77777777">
            <w:pPr>
              <w:pStyle w:val="TableParagraph"/>
              <w:spacing w:before="155"/>
              <w:ind w:left="179"/>
              <w:rPr>
                <w:sz w:val="20"/>
              </w:rPr>
            </w:pPr>
            <w:r>
              <w:rPr>
                <w:spacing w:val="-4"/>
                <w:sz w:val="20"/>
              </w:rPr>
              <w:t>HVAC</w:t>
            </w:r>
          </w:p>
        </w:tc>
        <w:tc>
          <w:tcPr>
            <w:tcW w:w="3941" w:type="dxa"/>
            <w:tcBorders>
              <w:top w:val="single" w:color="D9D9D9" w:sz="2" w:space="0"/>
              <w:bottom w:val="single" w:color="D9D9D9" w:sz="2" w:space="0"/>
            </w:tcBorders>
          </w:tcPr>
          <w:p w:rsidR="00C31389" w:rsidRDefault="00561FBD" w14:paraId="040F757D" w14:textId="77777777">
            <w:pPr>
              <w:pStyle w:val="TableParagraph"/>
              <w:ind w:left="318"/>
              <w:rPr>
                <w:sz w:val="20"/>
              </w:rPr>
            </w:pPr>
            <w:r>
              <w:rPr>
                <w:sz w:val="20"/>
              </w:rPr>
              <w:t>Ductless</w:t>
            </w:r>
            <w:r>
              <w:rPr>
                <w:spacing w:val="-9"/>
                <w:sz w:val="20"/>
              </w:rPr>
              <w:t xml:space="preserve"> </w:t>
            </w:r>
            <w:r>
              <w:rPr>
                <w:sz w:val="20"/>
              </w:rPr>
              <w:t>Mini-Split</w:t>
            </w:r>
            <w:r>
              <w:rPr>
                <w:spacing w:val="-9"/>
                <w:sz w:val="20"/>
              </w:rPr>
              <w:t xml:space="preserve"> </w:t>
            </w:r>
            <w:r>
              <w:rPr>
                <w:sz w:val="20"/>
              </w:rPr>
              <w:t>Heat</w:t>
            </w:r>
            <w:r>
              <w:rPr>
                <w:spacing w:val="-9"/>
                <w:sz w:val="20"/>
              </w:rPr>
              <w:t xml:space="preserve"> </w:t>
            </w:r>
            <w:r>
              <w:rPr>
                <w:sz w:val="20"/>
              </w:rPr>
              <w:t>Pump</w:t>
            </w:r>
            <w:r>
              <w:rPr>
                <w:spacing w:val="-9"/>
                <w:sz w:val="20"/>
              </w:rPr>
              <w:t xml:space="preserve"> </w:t>
            </w:r>
            <w:r>
              <w:rPr>
                <w:sz w:val="20"/>
              </w:rPr>
              <w:t xml:space="preserve">(SEER* </w:t>
            </w:r>
            <w:r>
              <w:rPr>
                <w:spacing w:val="-4"/>
                <w:sz w:val="20"/>
              </w:rPr>
              <w:t>15)</w:t>
            </w:r>
          </w:p>
        </w:tc>
        <w:tc>
          <w:tcPr>
            <w:tcW w:w="2500" w:type="dxa"/>
            <w:tcBorders>
              <w:top w:val="single" w:color="D9D9D9" w:sz="2" w:space="0"/>
              <w:bottom w:val="single" w:color="D9D9D9" w:sz="2" w:space="0"/>
            </w:tcBorders>
          </w:tcPr>
          <w:p w:rsidR="00C31389" w:rsidRDefault="00561FBD" w14:paraId="601AFAD3" w14:textId="77777777">
            <w:pPr>
              <w:pStyle w:val="TableParagraph"/>
              <w:ind w:left="173"/>
              <w:rPr>
                <w:sz w:val="20"/>
              </w:rPr>
            </w:pPr>
            <w:r>
              <w:rPr>
                <w:sz w:val="20"/>
              </w:rPr>
              <w:t>Res</w:t>
            </w:r>
            <w:r>
              <w:rPr>
                <w:spacing w:val="-14"/>
                <w:sz w:val="20"/>
              </w:rPr>
              <w:t xml:space="preserve"> </w:t>
            </w:r>
            <w:r>
              <w:rPr>
                <w:sz w:val="20"/>
              </w:rPr>
              <w:t>Ductless</w:t>
            </w:r>
            <w:r>
              <w:rPr>
                <w:spacing w:val="-14"/>
                <w:sz w:val="20"/>
              </w:rPr>
              <w:t xml:space="preserve"> </w:t>
            </w:r>
            <w:r>
              <w:rPr>
                <w:sz w:val="20"/>
              </w:rPr>
              <w:t>HVAC System – Fuel Sub</w:t>
            </w:r>
          </w:p>
        </w:tc>
      </w:tr>
      <w:tr w:rsidR="00C31389" w14:paraId="04B12F9F" w14:textId="77777777">
        <w:trPr>
          <w:trHeight w:val="539"/>
        </w:trPr>
        <w:tc>
          <w:tcPr>
            <w:tcW w:w="1293" w:type="dxa"/>
            <w:tcBorders>
              <w:top w:val="single" w:color="D9D9D9" w:sz="2" w:space="0"/>
              <w:bottom w:val="single" w:color="D9D9D9" w:sz="2" w:space="0"/>
            </w:tcBorders>
          </w:tcPr>
          <w:p w:rsidR="00C31389" w:rsidRDefault="00561FBD" w14:paraId="7B9AE123" w14:textId="77777777">
            <w:pPr>
              <w:pStyle w:val="TableParagraph"/>
              <w:spacing w:before="155"/>
              <w:ind w:left="122"/>
              <w:rPr>
                <w:sz w:val="20"/>
              </w:rPr>
            </w:pPr>
            <w:r>
              <w:rPr>
                <w:spacing w:val="-2"/>
                <w:sz w:val="20"/>
              </w:rPr>
              <w:t>Residential</w:t>
            </w:r>
          </w:p>
        </w:tc>
        <w:tc>
          <w:tcPr>
            <w:tcW w:w="1301" w:type="dxa"/>
            <w:tcBorders>
              <w:top w:val="single" w:color="D9D9D9" w:sz="2" w:space="0"/>
              <w:bottom w:val="single" w:color="D9D9D9" w:sz="2" w:space="0"/>
            </w:tcBorders>
          </w:tcPr>
          <w:p w:rsidR="00C31389" w:rsidRDefault="00561FBD" w14:paraId="7FBC00A2" w14:textId="77777777">
            <w:pPr>
              <w:pStyle w:val="TableParagraph"/>
              <w:spacing w:before="155"/>
              <w:ind w:left="179"/>
              <w:rPr>
                <w:sz w:val="20"/>
              </w:rPr>
            </w:pPr>
            <w:r>
              <w:rPr>
                <w:spacing w:val="-4"/>
                <w:sz w:val="20"/>
              </w:rPr>
              <w:t>HVAC</w:t>
            </w:r>
          </w:p>
        </w:tc>
        <w:tc>
          <w:tcPr>
            <w:tcW w:w="3941" w:type="dxa"/>
            <w:tcBorders>
              <w:top w:val="single" w:color="D9D9D9" w:sz="2" w:space="0"/>
              <w:bottom w:val="single" w:color="D9D9D9" w:sz="2" w:space="0"/>
            </w:tcBorders>
          </w:tcPr>
          <w:p w:rsidR="00C31389" w:rsidRDefault="00561FBD" w14:paraId="6A71500B" w14:textId="77777777">
            <w:pPr>
              <w:pStyle w:val="TableParagraph"/>
              <w:ind w:left="318" w:right="37"/>
              <w:rPr>
                <w:sz w:val="20"/>
              </w:rPr>
            </w:pPr>
            <w:r>
              <w:rPr>
                <w:sz w:val="20"/>
              </w:rPr>
              <w:t>Ductless</w:t>
            </w:r>
            <w:r>
              <w:rPr>
                <w:spacing w:val="-9"/>
                <w:sz w:val="20"/>
              </w:rPr>
              <w:t xml:space="preserve"> </w:t>
            </w:r>
            <w:r>
              <w:rPr>
                <w:sz w:val="20"/>
              </w:rPr>
              <w:t>Mini-Split</w:t>
            </w:r>
            <w:r>
              <w:rPr>
                <w:spacing w:val="-10"/>
                <w:sz w:val="20"/>
              </w:rPr>
              <w:t xml:space="preserve"> </w:t>
            </w:r>
            <w:r>
              <w:rPr>
                <w:sz w:val="20"/>
              </w:rPr>
              <w:t>Heat</w:t>
            </w:r>
            <w:r>
              <w:rPr>
                <w:spacing w:val="-10"/>
                <w:sz w:val="20"/>
              </w:rPr>
              <w:t xml:space="preserve"> </w:t>
            </w:r>
            <w:r>
              <w:rPr>
                <w:sz w:val="20"/>
              </w:rPr>
              <w:t>Pump</w:t>
            </w:r>
            <w:r>
              <w:rPr>
                <w:spacing w:val="-10"/>
                <w:sz w:val="20"/>
              </w:rPr>
              <w:t xml:space="preserve"> </w:t>
            </w:r>
            <w:r>
              <w:rPr>
                <w:sz w:val="20"/>
              </w:rPr>
              <w:t xml:space="preserve">(SEER </w:t>
            </w:r>
            <w:r>
              <w:rPr>
                <w:spacing w:val="-4"/>
                <w:sz w:val="20"/>
              </w:rPr>
              <w:t>16)</w:t>
            </w:r>
          </w:p>
        </w:tc>
        <w:tc>
          <w:tcPr>
            <w:tcW w:w="2500" w:type="dxa"/>
            <w:tcBorders>
              <w:top w:val="single" w:color="D9D9D9" w:sz="2" w:space="0"/>
              <w:bottom w:val="single" w:color="D9D9D9" w:sz="2" w:space="0"/>
            </w:tcBorders>
          </w:tcPr>
          <w:p w:rsidR="00C31389" w:rsidRDefault="00561FBD" w14:paraId="1818A651" w14:textId="77777777">
            <w:pPr>
              <w:pStyle w:val="TableParagraph"/>
              <w:ind w:left="172"/>
              <w:rPr>
                <w:sz w:val="20"/>
              </w:rPr>
            </w:pPr>
            <w:r>
              <w:rPr>
                <w:sz w:val="20"/>
              </w:rPr>
              <w:t>Res</w:t>
            </w:r>
            <w:r>
              <w:rPr>
                <w:spacing w:val="-14"/>
                <w:sz w:val="20"/>
              </w:rPr>
              <w:t xml:space="preserve"> </w:t>
            </w:r>
            <w:r>
              <w:rPr>
                <w:sz w:val="20"/>
              </w:rPr>
              <w:t>Ductless</w:t>
            </w:r>
            <w:r>
              <w:rPr>
                <w:spacing w:val="-14"/>
                <w:sz w:val="20"/>
              </w:rPr>
              <w:t xml:space="preserve"> </w:t>
            </w:r>
            <w:r>
              <w:rPr>
                <w:sz w:val="20"/>
              </w:rPr>
              <w:t>HVAC System – Fuel Sub</w:t>
            </w:r>
          </w:p>
        </w:tc>
      </w:tr>
      <w:tr w:rsidR="00C31389" w14:paraId="79990259" w14:textId="77777777">
        <w:trPr>
          <w:trHeight w:val="539"/>
        </w:trPr>
        <w:tc>
          <w:tcPr>
            <w:tcW w:w="1293" w:type="dxa"/>
            <w:tcBorders>
              <w:top w:val="single" w:color="D9D9D9" w:sz="2" w:space="0"/>
              <w:bottom w:val="single" w:color="D9D9D9" w:sz="2" w:space="0"/>
            </w:tcBorders>
          </w:tcPr>
          <w:p w:rsidR="00C31389" w:rsidRDefault="00561FBD" w14:paraId="1C7C9119" w14:textId="77777777">
            <w:pPr>
              <w:pStyle w:val="TableParagraph"/>
              <w:spacing w:before="155"/>
              <w:ind w:left="122"/>
              <w:rPr>
                <w:sz w:val="20"/>
              </w:rPr>
            </w:pPr>
            <w:r>
              <w:rPr>
                <w:spacing w:val="-2"/>
                <w:sz w:val="20"/>
              </w:rPr>
              <w:t>Residential</w:t>
            </w:r>
          </w:p>
        </w:tc>
        <w:tc>
          <w:tcPr>
            <w:tcW w:w="1301" w:type="dxa"/>
            <w:tcBorders>
              <w:top w:val="single" w:color="D9D9D9" w:sz="2" w:space="0"/>
              <w:bottom w:val="single" w:color="D9D9D9" w:sz="2" w:space="0"/>
            </w:tcBorders>
          </w:tcPr>
          <w:p w:rsidR="00C31389" w:rsidRDefault="00561FBD" w14:paraId="71D7379B" w14:textId="77777777">
            <w:pPr>
              <w:pStyle w:val="TableParagraph"/>
              <w:spacing w:before="155"/>
              <w:ind w:left="179"/>
              <w:rPr>
                <w:sz w:val="20"/>
              </w:rPr>
            </w:pPr>
            <w:r>
              <w:rPr>
                <w:spacing w:val="-4"/>
                <w:sz w:val="20"/>
              </w:rPr>
              <w:t>HVAC</w:t>
            </w:r>
          </w:p>
        </w:tc>
        <w:tc>
          <w:tcPr>
            <w:tcW w:w="3941" w:type="dxa"/>
            <w:tcBorders>
              <w:top w:val="single" w:color="D9D9D9" w:sz="2" w:space="0"/>
              <w:bottom w:val="single" w:color="D9D9D9" w:sz="2" w:space="0"/>
            </w:tcBorders>
          </w:tcPr>
          <w:p w:rsidR="00C31389" w:rsidRDefault="00561FBD" w14:paraId="687D391B" w14:textId="77777777">
            <w:pPr>
              <w:pStyle w:val="TableParagraph"/>
              <w:ind w:left="318" w:right="37"/>
              <w:rPr>
                <w:sz w:val="20"/>
              </w:rPr>
            </w:pPr>
            <w:r>
              <w:rPr>
                <w:sz w:val="20"/>
              </w:rPr>
              <w:t>Ductless</w:t>
            </w:r>
            <w:r>
              <w:rPr>
                <w:spacing w:val="-9"/>
                <w:sz w:val="20"/>
              </w:rPr>
              <w:t xml:space="preserve"> </w:t>
            </w:r>
            <w:r>
              <w:rPr>
                <w:sz w:val="20"/>
              </w:rPr>
              <w:t>Mini-Split</w:t>
            </w:r>
            <w:r>
              <w:rPr>
                <w:spacing w:val="-10"/>
                <w:sz w:val="20"/>
              </w:rPr>
              <w:t xml:space="preserve"> </w:t>
            </w:r>
            <w:r>
              <w:rPr>
                <w:sz w:val="20"/>
              </w:rPr>
              <w:t>Heat</w:t>
            </w:r>
            <w:r>
              <w:rPr>
                <w:spacing w:val="-10"/>
                <w:sz w:val="20"/>
              </w:rPr>
              <w:t xml:space="preserve"> </w:t>
            </w:r>
            <w:r>
              <w:rPr>
                <w:sz w:val="20"/>
              </w:rPr>
              <w:t>Pump</w:t>
            </w:r>
            <w:r>
              <w:rPr>
                <w:spacing w:val="-10"/>
                <w:sz w:val="20"/>
              </w:rPr>
              <w:t xml:space="preserve"> </w:t>
            </w:r>
            <w:r>
              <w:rPr>
                <w:sz w:val="20"/>
              </w:rPr>
              <w:t xml:space="preserve">(SEER </w:t>
            </w:r>
            <w:r>
              <w:rPr>
                <w:spacing w:val="-4"/>
                <w:sz w:val="20"/>
              </w:rPr>
              <w:t>17)</w:t>
            </w:r>
          </w:p>
        </w:tc>
        <w:tc>
          <w:tcPr>
            <w:tcW w:w="2500" w:type="dxa"/>
            <w:tcBorders>
              <w:top w:val="single" w:color="D9D9D9" w:sz="2" w:space="0"/>
              <w:bottom w:val="single" w:color="D9D9D9" w:sz="2" w:space="0"/>
            </w:tcBorders>
          </w:tcPr>
          <w:p w:rsidR="00C31389" w:rsidRDefault="00561FBD" w14:paraId="2704AE21" w14:textId="77777777">
            <w:pPr>
              <w:pStyle w:val="TableParagraph"/>
              <w:ind w:left="173"/>
              <w:rPr>
                <w:sz w:val="20"/>
              </w:rPr>
            </w:pPr>
            <w:r>
              <w:rPr>
                <w:sz w:val="20"/>
              </w:rPr>
              <w:t>Res</w:t>
            </w:r>
            <w:r>
              <w:rPr>
                <w:spacing w:val="-14"/>
                <w:sz w:val="20"/>
              </w:rPr>
              <w:t xml:space="preserve"> </w:t>
            </w:r>
            <w:r>
              <w:rPr>
                <w:sz w:val="20"/>
              </w:rPr>
              <w:t>Ductless</w:t>
            </w:r>
            <w:r>
              <w:rPr>
                <w:spacing w:val="-14"/>
                <w:sz w:val="20"/>
              </w:rPr>
              <w:t xml:space="preserve"> </w:t>
            </w:r>
            <w:r>
              <w:rPr>
                <w:sz w:val="20"/>
              </w:rPr>
              <w:t>HVAC System – Fuel Sub</w:t>
            </w:r>
          </w:p>
        </w:tc>
      </w:tr>
      <w:tr w:rsidR="00C31389" w14:paraId="4BD0E4B5" w14:textId="77777777">
        <w:trPr>
          <w:trHeight w:val="540"/>
        </w:trPr>
        <w:tc>
          <w:tcPr>
            <w:tcW w:w="1293" w:type="dxa"/>
            <w:tcBorders>
              <w:top w:val="single" w:color="D9D9D9" w:sz="2" w:space="0"/>
              <w:bottom w:val="single" w:color="000000" w:sz="8" w:space="0"/>
            </w:tcBorders>
          </w:tcPr>
          <w:p w:rsidR="00C31389" w:rsidRDefault="00561FBD" w14:paraId="7DFC12C7" w14:textId="77777777">
            <w:pPr>
              <w:pStyle w:val="TableParagraph"/>
              <w:spacing w:before="155"/>
              <w:ind w:left="122"/>
              <w:rPr>
                <w:sz w:val="20"/>
              </w:rPr>
            </w:pPr>
            <w:r>
              <w:rPr>
                <w:spacing w:val="-2"/>
                <w:sz w:val="20"/>
              </w:rPr>
              <w:t>Residential</w:t>
            </w:r>
          </w:p>
        </w:tc>
        <w:tc>
          <w:tcPr>
            <w:tcW w:w="1301" w:type="dxa"/>
            <w:tcBorders>
              <w:top w:val="single" w:color="D9D9D9" w:sz="2" w:space="0"/>
              <w:bottom w:val="single" w:color="000000" w:sz="8" w:space="0"/>
            </w:tcBorders>
          </w:tcPr>
          <w:p w:rsidR="00C31389" w:rsidRDefault="00561FBD" w14:paraId="4A6965A3" w14:textId="77777777">
            <w:pPr>
              <w:pStyle w:val="TableParagraph"/>
              <w:spacing w:before="155"/>
              <w:ind w:left="179"/>
              <w:rPr>
                <w:sz w:val="20"/>
              </w:rPr>
            </w:pPr>
            <w:r>
              <w:rPr>
                <w:spacing w:val="-4"/>
                <w:sz w:val="20"/>
              </w:rPr>
              <w:t>HVAC</w:t>
            </w:r>
          </w:p>
        </w:tc>
        <w:tc>
          <w:tcPr>
            <w:tcW w:w="3941" w:type="dxa"/>
            <w:tcBorders>
              <w:top w:val="single" w:color="D9D9D9" w:sz="2" w:space="0"/>
              <w:bottom w:val="single" w:color="000000" w:sz="8" w:space="0"/>
            </w:tcBorders>
          </w:tcPr>
          <w:p w:rsidR="00C31389" w:rsidRDefault="00561FBD" w14:paraId="486CF61B" w14:textId="77777777">
            <w:pPr>
              <w:pStyle w:val="TableParagraph"/>
              <w:ind w:left="318" w:right="37"/>
              <w:rPr>
                <w:sz w:val="20"/>
              </w:rPr>
            </w:pPr>
            <w:r>
              <w:rPr>
                <w:sz w:val="20"/>
              </w:rPr>
              <w:t>Ductless</w:t>
            </w:r>
            <w:r>
              <w:rPr>
                <w:spacing w:val="-9"/>
                <w:sz w:val="20"/>
              </w:rPr>
              <w:t xml:space="preserve"> </w:t>
            </w:r>
            <w:r>
              <w:rPr>
                <w:sz w:val="20"/>
              </w:rPr>
              <w:t>Mini-Split</w:t>
            </w:r>
            <w:r>
              <w:rPr>
                <w:spacing w:val="-10"/>
                <w:sz w:val="20"/>
              </w:rPr>
              <w:t xml:space="preserve"> </w:t>
            </w:r>
            <w:r>
              <w:rPr>
                <w:sz w:val="20"/>
              </w:rPr>
              <w:t>Heat</w:t>
            </w:r>
            <w:r>
              <w:rPr>
                <w:spacing w:val="-10"/>
                <w:sz w:val="20"/>
              </w:rPr>
              <w:t xml:space="preserve"> </w:t>
            </w:r>
            <w:r>
              <w:rPr>
                <w:sz w:val="20"/>
              </w:rPr>
              <w:t>Pump</w:t>
            </w:r>
            <w:r>
              <w:rPr>
                <w:spacing w:val="-10"/>
                <w:sz w:val="20"/>
              </w:rPr>
              <w:t xml:space="preserve"> </w:t>
            </w:r>
            <w:r>
              <w:rPr>
                <w:sz w:val="20"/>
              </w:rPr>
              <w:t xml:space="preserve">(SEER </w:t>
            </w:r>
            <w:r>
              <w:rPr>
                <w:spacing w:val="-4"/>
                <w:sz w:val="20"/>
              </w:rPr>
              <w:t>18)</w:t>
            </w:r>
          </w:p>
        </w:tc>
        <w:tc>
          <w:tcPr>
            <w:tcW w:w="2500" w:type="dxa"/>
            <w:tcBorders>
              <w:top w:val="single" w:color="D9D9D9" w:sz="2" w:space="0"/>
              <w:bottom w:val="single" w:color="000000" w:sz="8" w:space="0"/>
            </w:tcBorders>
          </w:tcPr>
          <w:p w:rsidR="00C31389" w:rsidRDefault="00561FBD" w14:paraId="172A4620" w14:textId="77777777">
            <w:pPr>
              <w:pStyle w:val="TableParagraph"/>
              <w:ind w:left="172"/>
              <w:rPr>
                <w:sz w:val="20"/>
              </w:rPr>
            </w:pPr>
            <w:r>
              <w:rPr>
                <w:sz w:val="20"/>
              </w:rPr>
              <w:t>Res</w:t>
            </w:r>
            <w:r>
              <w:rPr>
                <w:spacing w:val="-14"/>
                <w:sz w:val="20"/>
              </w:rPr>
              <w:t xml:space="preserve"> </w:t>
            </w:r>
            <w:r>
              <w:rPr>
                <w:sz w:val="20"/>
              </w:rPr>
              <w:t>Ductless</w:t>
            </w:r>
            <w:r>
              <w:rPr>
                <w:spacing w:val="-14"/>
                <w:sz w:val="20"/>
              </w:rPr>
              <w:t xml:space="preserve"> </w:t>
            </w:r>
            <w:r>
              <w:rPr>
                <w:sz w:val="20"/>
              </w:rPr>
              <w:t>HVAC System – Fuel Sub</w:t>
            </w:r>
          </w:p>
        </w:tc>
      </w:tr>
    </w:tbl>
    <w:p w:rsidR="00C31389" w:rsidRDefault="00C31389" w14:paraId="27E2DE9A" w14:textId="77777777">
      <w:pPr>
        <w:pStyle w:val="BodyText"/>
        <w:rPr>
          <w:b/>
          <w:sz w:val="20"/>
        </w:rPr>
      </w:pPr>
    </w:p>
    <w:p w:rsidR="00C31389" w:rsidRDefault="00561FBD" w14:paraId="45829489" w14:textId="77777777">
      <w:pPr>
        <w:pStyle w:val="BodyText"/>
        <w:spacing w:before="9"/>
        <w:rPr>
          <w:b/>
          <w:sz w:val="18"/>
        </w:rPr>
      </w:pPr>
      <w:r>
        <w:rPr>
          <w:noProof/>
        </w:rPr>
        <mc:AlternateContent>
          <mc:Choice Requires="wps">
            <w:drawing>
              <wp:anchor distT="0" distB="0" distL="0" distR="0" simplePos="0" relativeHeight="487676416" behindDoc="1" locked="0" layoutInCell="1" allowOverlap="1" wp14:editId="6D99853C" wp14:anchorId="1C1F0899">
                <wp:simplePos x="0" y="0"/>
                <wp:positionH relativeFrom="page">
                  <wp:posOffset>914400</wp:posOffset>
                </wp:positionH>
                <wp:positionV relativeFrom="paragraph">
                  <wp:posOffset>152539</wp:posOffset>
                </wp:positionV>
                <wp:extent cx="1828800" cy="6985"/>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34" style="position:absolute;margin-left:1in;margin-top:12pt;width:2in;height:.55pt;z-index:-1564006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" w14:anchorId="15620581">
                <v:path arrowok="t"/>
                <w10:wrap type="topAndBottom" anchorx="page"/>
              </v:shape>
            </w:pict>
          </mc:Fallback>
        </mc:AlternateContent>
      </w:r>
    </w:p>
    <w:p w:rsidR="00C31389" w:rsidRDefault="00561FBD" w14:paraId="3D891666" w14:textId="77777777">
      <w:pPr>
        <w:spacing w:before="88"/>
        <w:ind w:left="480" w:right="806" w:hanging="1"/>
        <w:rPr>
          <w:sz w:val="18"/>
        </w:rPr>
      </w:pPr>
      <w:bookmarkStart w:name="_bookmark241" w:id="325"/>
      <w:bookmarkEnd w:id="325"/>
      <w:r>
        <w:rPr>
          <w:position w:val="6"/>
          <w:sz w:val="12"/>
        </w:rPr>
        <w:t>75</w:t>
      </w:r>
      <w:r>
        <w:rPr>
          <w:spacing w:val="-1"/>
          <w:position w:val="6"/>
          <w:sz w:val="12"/>
        </w:rPr>
        <w:t xml:space="preserve"> </w:t>
      </w:r>
      <w:r>
        <w:rPr>
          <w:sz w:val="18"/>
        </w:rPr>
        <w:t>https://</w:t>
      </w:r>
      <w:hyperlink r:id="rId209">
        <w:r>
          <w:rPr>
            <w:sz w:val="18"/>
          </w:rPr>
          <w:t>www.cpuc.ca.gov/about-cpuc/divisions/energy-division/building-decarbonization/fuel-substitution-in-</w:t>
        </w:r>
      </w:hyperlink>
      <w:r>
        <w:rPr>
          <w:sz w:val="18"/>
        </w:rPr>
        <w:t xml:space="preserve"> </w:t>
      </w:r>
      <w:r>
        <w:rPr>
          <w:spacing w:val="-2"/>
          <w:sz w:val="18"/>
        </w:rPr>
        <w:t>energy-efficiency</w:t>
      </w:r>
    </w:p>
    <w:p w:rsidR="00C31389" w:rsidRDefault="00C31389" w14:paraId="4F2D1D99" w14:textId="77777777">
      <w:pPr>
        <w:rPr>
          <w:sz w:val="18"/>
        </w:rPr>
        <w:sectPr w:rsidR="00C31389">
          <w:pgSz w:w="11910" w:h="16840"/>
          <w:pgMar w:top="1380" w:right="1020" w:bottom="1120" w:left="960" w:header="397" w:footer="938" w:gutter="0"/>
          <w:cols w:space="720"/>
        </w:sectPr>
      </w:pPr>
    </w:p>
    <w:p w:rsidR="00C31389" w:rsidRDefault="00C31389" w14:paraId="10D5488F" w14:textId="77777777">
      <w:pPr>
        <w:pStyle w:val="BodyText"/>
        <w:spacing w:before="2"/>
        <w:rPr>
          <w:sz w:val="21"/>
        </w:rPr>
      </w:pPr>
    </w:p>
    <w:tbl>
      <w:tblPr>
        <w:tblW w:w="0" w:type="auto"/>
        <w:tblInd w:w="480" w:type="dxa"/>
        <w:tblLayout w:type="fixed"/>
        <w:tblCellMar>
          <w:left w:w="0" w:type="dxa"/>
          <w:right w:w="0" w:type="dxa"/>
        </w:tblCellMar>
        <w:tblLook w:val="01E0" w:firstRow="1" w:lastRow="1" w:firstColumn="1" w:lastColumn="1" w:noHBand="0" w:noVBand="0"/>
      </w:tblPr>
      <w:tblGrid>
        <w:gridCol w:w="1332"/>
        <w:gridCol w:w="1451"/>
        <w:gridCol w:w="3785"/>
        <w:gridCol w:w="2467"/>
      </w:tblGrid>
      <w:tr w:rsidR="00C31389" w14:paraId="7D6027AE" w14:textId="77777777">
        <w:trPr>
          <w:trHeight w:val="319"/>
        </w:trPr>
        <w:tc>
          <w:tcPr>
            <w:tcW w:w="1332" w:type="dxa"/>
            <w:shd w:val="clear" w:color="auto" w:fill="92D400"/>
          </w:tcPr>
          <w:p w:rsidR="00C31389" w:rsidRDefault="00561FBD" w14:paraId="614D3E7C" w14:textId="77777777">
            <w:pPr>
              <w:pStyle w:val="TableParagraph"/>
              <w:ind w:left="122"/>
              <w:rPr>
                <w:b/>
                <w:sz w:val="20"/>
              </w:rPr>
            </w:pPr>
            <w:r>
              <w:rPr>
                <w:b/>
                <w:spacing w:val="-2"/>
                <w:sz w:val="20"/>
              </w:rPr>
              <w:t>Sector</w:t>
            </w:r>
          </w:p>
        </w:tc>
        <w:tc>
          <w:tcPr>
            <w:tcW w:w="1451" w:type="dxa"/>
            <w:shd w:val="clear" w:color="auto" w:fill="92D400"/>
          </w:tcPr>
          <w:p w:rsidR="00C31389" w:rsidRDefault="00561FBD" w14:paraId="6B62FF26" w14:textId="77777777">
            <w:pPr>
              <w:pStyle w:val="TableParagraph"/>
              <w:ind w:left="140"/>
              <w:rPr>
                <w:b/>
                <w:sz w:val="20"/>
              </w:rPr>
            </w:pPr>
            <w:r>
              <w:rPr>
                <w:b/>
                <w:sz w:val="20"/>
              </w:rPr>
              <w:t>End</w:t>
            </w:r>
            <w:r>
              <w:rPr>
                <w:b/>
                <w:spacing w:val="-2"/>
                <w:sz w:val="20"/>
              </w:rPr>
              <w:t xml:space="preserve"> </w:t>
            </w:r>
            <w:r>
              <w:rPr>
                <w:b/>
                <w:spacing w:val="-5"/>
                <w:sz w:val="20"/>
              </w:rPr>
              <w:t>Use</w:t>
            </w:r>
          </w:p>
        </w:tc>
        <w:tc>
          <w:tcPr>
            <w:tcW w:w="3785" w:type="dxa"/>
            <w:shd w:val="clear" w:color="auto" w:fill="92D400"/>
          </w:tcPr>
          <w:p w:rsidR="00C31389" w:rsidRDefault="00561FBD" w14:paraId="4FE3486B" w14:textId="77777777">
            <w:pPr>
              <w:pStyle w:val="TableParagraph"/>
              <w:ind w:left="129"/>
              <w:rPr>
                <w:b/>
                <w:sz w:val="20"/>
              </w:rPr>
            </w:pPr>
            <w:r>
              <w:rPr>
                <w:b/>
                <w:sz w:val="20"/>
              </w:rPr>
              <w:t>FS</w:t>
            </w:r>
            <w:r>
              <w:rPr>
                <w:b/>
                <w:spacing w:val="-2"/>
                <w:sz w:val="20"/>
              </w:rPr>
              <w:t xml:space="preserve"> Technology</w:t>
            </w:r>
          </w:p>
        </w:tc>
        <w:tc>
          <w:tcPr>
            <w:tcW w:w="2467" w:type="dxa"/>
            <w:shd w:val="clear" w:color="auto" w:fill="92D400"/>
          </w:tcPr>
          <w:p w:rsidR="00C31389" w:rsidRDefault="00561FBD" w14:paraId="5D5E1533" w14:textId="77777777">
            <w:pPr>
              <w:pStyle w:val="TableParagraph"/>
              <w:ind w:left="140"/>
              <w:rPr>
                <w:b/>
                <w:sz w:val="20"/>
              </w:rPr>
            </w:pPr>
            <w:r>
              <w:rPr>
                <w:b/>
                <w:sz w:val="20"/>
              </w:rPr>
              <w:t>Technology</w:t>
            </w:r>
            <w:r>
              <w:rPr>
                <w:b/>
                <w:spacing w:val="-7"/>
                <w:sz w:val="20"/>
              </w:rPr>
              <w:t xml:space="preserve"> </w:t>
            </w:r>
            <w:r>
              <w:rPr>
                <w:b/>
                <w:spacing w:val="-2"/>
                <w:sz w:val="20"/>
              </w:rPr>
              <w:t>Group</w:t>
            </w:r>
          </w:p>
        </w:tc>
      </w:tr>
      <w:tr w:rsidR="00C31389" w14:paraId="0C2FC3BD" w14:textId="77777777">
        <w:trPr>
          <w:trHeight w:val="535"/>
        </w:trPr>
        <w:tc>
          <w:tcPr>
            <w:tcW w:w="1332" w:type="dxa"/>
            <w:tcBorders>
              <w:bottom w:val="single" w:color="D9D9D9" w:sz="2" w:space="0"/>
            </w:tcBorders>
          </w:tcPr>
          <w:p w:rsidR="00C31389" w:rsidRDefault="00561FBD" w14:paraId="6CDF3C76" w14:textId="77777777">
            <w:pPr>
              <w:pStyle w:val="TableParagraph"/>
              <w:spacing w:before="151"/>
              <w:ind w:left="122"/>
              <w:rPr>
                <w:sz w:val="20"/>
              </w:rPr>
            </w:pPr>
            <w:r>
              <w:rPr>
                <w:spacing w:val="-2"/>
                <w:sz w:val="20"/>
              </w:rPr>
              <w:t>Residential</w:t>
            </w:r>
          </w:p>
        </w:tc>
        <w:tc>
          <w:tcPr>
            <w:tcW w:w="1451" w:type="dxa"/>
            <w:tcBorders>
              <w:bottom w:val="single" w:color="D9D9D9" w:sz="2" w:space="0"/>
            </w:tcBorders>
          </w:tcPr>
          <w:p w:rsidR="00C31389" w:rsidRDefault="00561FBD" w14:paraId="4B1F7D9E" w14:textId="77777777">
            <w:pPr>
              <w:pStyle w:val="TableParagraph"/>
              <w:spacing w:before="151"/>
              <w:ind w:left="140"/>
              <w:rPr>
                <w:sz w:val="20"/>
              </w:rPr>
            </w:pPr>
            <w:r>
              <w:rPr>
                <w:spacing w:val="-4"/>
                <w:sz w:val="20"/>
              </w:rPr>
              <w:t>HVAC</w:t>
            </w:r>
          </w:p>
        </w:tc>
        <w:tc>
          <w:tcPr>
            <w:tcW w:w="3785" w:type="dxa"/>
            <w:tcBorders>
              <w:bottom w:val="single" w:color="D9D9D9" w:sz="2" w:space="0"/>
            </w:tcBorders>
          </w:tcPr>
          <w:p w:rsidR="00C31389" w:rsidRDefault="00561FBD" w14:paraId="1222EEE4" w14:textId="77777777">
            <w:pPr>
              <w:pStyle w:val="TableParagraph"/>
              <w:spacing w:before="151"/>
              <w:ind w:left="129"/>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15)</w:t>
            </w:r>
          </w:p>
        </w:tc>
        <w:tc>
          <w:tcPr>
            <w:tcW w:w="2467" w:type="dxa"/>
            <w:tcBorders>
              <w:bottom w:val="single" w:color="D9D9D9" w:sz="2" w:space="0"/>
            </w:tcBorders>
          </w:tcPr>
          <w:p w:rsidR="00C31389" w:rsidRDefault="00561FBD" w14:paraId="61336828" w14:textId="77777777">
            <w:pPr>
              <w:pStyle w:val="TableParagraph"/>
              <w:spacing w:before="35"/>
              <w:ind w:left="140" w:right="119"/>
              <w:rPr>
                <w:sz w:val="20"/>
              </w:rPr>
            </w:pPr>
            <w:r>
              <w:rPr>
                <w:sz w:val="20"/>
              </w:rPr>
              <w:t>Res</w:t>
            </w:r>
            <w:r>
              <w:rPr>
                <w:spacing w:val="-7"/>
                <w:sz w:val="20"/>
              </w:rPr>
              <w:t xml:space="preserve"> </w:t>
            </w:r>
            <w:r>
              <w:rPr>
                <w:sz w:val="20"/>
              </w:rPr>
              <w:t>Central</w:t>
            </w:r>
            <w:r>
              <w:rPr>
                <w:spacing w:val="-9"/>
                <w:sz w:val="20"/>
              </w:rPr>
              <w:t xml:space="preserve"> </w:t>
            </w:r>
            <w:r>
              <w:rPr>
                <w:sz w:val="20"/>
              </w:rPr>
              <w:t>HVAC System</w:t>
            </w:r>
            <w:r>
              <w:rPr>
                <w:spacing w:val="-3"/>
                <w:sz w:val="20"/>
              </w:rPr>
              <w:t xml:space="preserve"> </w:t>
            </w:r>
            <w:r>
              <w:rPr>
                <w:sz w:val="20"/>
              </w:rPr>
              <w:t>–</w:t>
            </w:r>
            <w:r>
              <w:rPr>
                <w:spacing w:val="-3"/>
                <w:sz w:val="20"/>
              </w:rPr>
              <w:t xml:space="preserve"> </w:t>
            </w:r>
            <w:r>
              <w:rPr>
                <w:sz w:val="20"/>
              </w:rPr>
              <w:t>Fuel</w:t>
            </w:r>
            <w:r>
              <w:rPr>
                <w:spacing w:val="-3"/>
                <w:sz w:val="20"/>
              </w:rPr>
              <w:t xml:space="preserve"> </w:t>
            </w:r>
            <w:r>
              <w:rPr>
                <w:spacing w:val="-5"/>
                <w:sz w:val="20"/>
              </w:rPr>
              <w:t>Sub</w:t>
            </w:r>
          </w:p>
        </w:tc>
      </w:tr>
      <w:tr w:rsidR="00C31389" w14:paraId="3B568CDF" w14:textId="77777777">
        <w:trPr>
          <w:trHeight w:val="541"/>
        </w:trPr>
        <w:tc>
          <w:tcPr>
            <w:tcW w:w="1332" w:type="dxa"/>
            <w:tcBorders>
              <w:top w:val="single" w:color="D9D9D9" w:sz="2" w:space="0"/>
              <w:bottom w:val="single" w:color="D9D9D9" w:sz="2" w:space="0"/>
            </w:tcBorders>
          </w:tcPr>
          <w:p w:rsidR="00C31389" w:rsidRDefault="00561FBD" w14:paraId="1F74F125"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6453D6DB"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7F667528" w14:textId="77777777">
            <w:pPr>
              <w:pStyle w:val="TableParagraph"/>
              <w:spacing w:before="155"/>
              <w:ind w:left="129"/>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16)</w:t>
            </w:r>
          </w:p>
        </w:tc>
        <w:tc>
          <w:tcPr>
            <w:tcW w:w="2467" w:type="dxa"/>
            <w:tcBorders>
              <w:top w:val="single" w:color="D9D9D9" w:sz="2" w:space="0"/>
              <w:bottom w:val="single" w:color="D9D9D9" w:sz="2" w:space="0"/>
            </w:tcBorders>
          </w:tcPr>
          <w:p w:rsidR="00C31389" w:rsidRDefault="00561FBD" w14:paraId="18A98B6D" w14:textId="77777777">
            <w:pPr>
              <w:pStyle w:val="TableParagraph"/>
              <w:spacing w:before="41"/>
              <w:ind w:left="139" w:right="119"/>
              <w:rPr>
                <w:sz w:val="20"/>
              </w:rPr>
            </w:pPr>
            <w:r>
              <w:rPr>
                <w:sz w:val="20"/>
              </w:rPr>
              <w:t>Res</w:t>
            </w:r>
            <w:r>
              <w:rPr>
                <w:spacing w:val="-7"/>
                <w:sz w:val="20"/>
              </w:rPr>
              <w:t xml:space="preserve"> </w:t>
            </w:r>
            <w:r>
              <w:rPr>
                <w:sz w:val="20"/>
              </w:rPr>
              <w:t>Central</w:t>
            </w:r>
            <w:r>
              <w:rPr>
                <w:spacing w:val="-9"/>
                <w:sz w:val="20"/>
              </w:rPr>
              <w:t xml:space="preserve"> </w:t>
            </w:r>
            <w:r>
              <w:rPr>
                <w:sz w:val="20"/>
              </w:rPr>
              <w:t>HVAC System</w:t>
            </w:r>
            <w:r>
              <w:rPr>
                <w:spacing w:val="-3"/>
                <w:sz w:val="20"/>
              </w:rPr>
              <w:t xml:space="preserve"> </w:t>
            </w:r>
            <w:r>
              <w:rPr>
                <w:sz w:val="20"/>
              </w:rPr>
              <w:t>–</w:t>
            </w:r>
            <w:r>
              <w:rPr>
                <w:spacing w:val="-3"/>
                <w:sz w:val="20"/>
              </w:rPr>
              <w:t xml:space="preserve"> </w:t>
            </w:r>
            <w:r>
              <w:rPr>
                <w:sz w:val="20"/>
              </w:rPr>
              <w:t>Fuel</w:t>
            </w:r>
            <w:r>
              <w:rPr>
                <w:spacing w:val="-3"/>
                <w:sz w:val="20"/>
              </w:rPr>
              <w:t xml:space="preserve"> </w:t>
            </w:r>
            <w:r>
              <w:rPr>
                <w:spacing w:val="-5"/>
                <w:sz w:val="20"/>
              </w:rPr>
              <w:t>Sub</w:t>
            </w:r>
          </w:p>
        </w:tc>
      </w:tr>
      <w:tr w:rsidR="00C31389" w14:paraId="4553150E" w14:textId="77777777">
        <w:trPr>
          <w:trHeight w:val="539"/>
        </w:trPr>
        <w:tc>
          <w:tcPr>
            <w:tcW w:w="1332" w:type="dxa"/>
            <w:tcBorders>
              <w:top w:val="single" w:color="D9D9D9" w:sz="2" w:space="0"/>
              <w:bottom w:val="single" w:color="D9D9D9" w:sz="2" w:space="0"/>
            </w:tcBorders>
          </w:tcPr>
          <w:p w:rsidR="00C31389" w:rsidRDefault="00561FBD" w14:paraId="02670A4D"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4602E3CB"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77E9C8F3" w14:textId="77777777">
            <w:pPr>
              <w:pStyle w:val="TableParagraph"/>
              <w:spacing w:before="155"/>
              <w:ind w:left="129"/>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17)</w:t>
            </w:r>
          </w:p>
        </w:tc>
        <w:tc>
          <w:tcPr>
            <w:tcW w:w="2467" w:type="dxa"/>
            <w:tcBorders>
              <w:top w:val="single" w:color="D9D9D9" w:sz="2" w:space="0"/>
              <w:bottom w:val="single" w:color="D9D9D9" w:sz="2" w:space="0"/>
            </w:tcBorders>
          </w:tcPr>
          <w:p w:rsidR="00C31389" w:rsidRDefault="00561FBD" w14:paraId="5ECEF9D4" w14:textId="77777777">
            <w:pPr>
              <w:pStyle w:val="TableParagraph"/>
              <w:ind w:left="140" w:right="119"/>
              <w:rPr>
                <w:sz w:val="20"/>
              </w:rPr>
            </w:pPr>
            <w:r>
              <w:rPr>
                <w:sz w:val="20"/>
              </w:rPr>
              <w:t>Res</w:t>
            </w:r>
            <w:r>
              <w:rPr>
                <w:spacing w:val="-7"/>
                <w:sz w:val="20"/>
              </w:rPr>
              <w:t xml:space="preserve"> </w:t>
            </w:r>
            <w:r>
              <w:rPr>
                <w:sz w:val="20"/>
              </w:rPr>
              <w:t>Central</w:t>
            </w:r>
            <w:r>
              <w:rPr>
                <w:spacing w:val="-9"/>
                <w:sz w:val="20"/>
              </w:rPr>
              <w:t xml:space="preserve"> </w:t>
            </w:r>
            <w:r>
              <w:rPr>
                <w:sz w:val="20"/>
              </w:rPr>
              <w:t>HVAC System</w:t>
            </w:r>
            <w:r>
              <w:rPr>
                <w:spacing w:val="-3"/>
                <w:sz w:val="20"/>
              </w:rPr>
              <w:t xml:space="preserve"> </w:t>
            </w:r>
            <w:r>
              <w:rPr>
                <w:sz w:val="20"/>
              </w:rPr>
              <w:t>–</w:t>
            </w:r>
            <w:r>
              <w:rPr>
                <w:spacing w:val="-3"/>
                <w:sz w:val="20"/>
              </w:rPr>
              <w:t xml:space="preserve"> </w:t>
            </w:r>
            <w:r>
              <w:rPr>
                <w:sz w:val="20"/>
              </w:rPr>
              <w:t>Fuel</w:t>
            </w:r>
            <w:r>
              <w:rPr>
                <w:spacing w:val="-3"/>
                <w:sz w:val="20"/>
              </w:rPr>
              <w:t xml:space="preserve"> </w:t>
            </w:r>
            <w:r>
              <w:rPr>
                <w:spacing w:val="-5"/>
                <w:sz w:val="20"/>
              </w:rPr>
              <w:t>Sub</w:t>
            </w:r>
          </w:p>
        </w:tc>
      </w:tr>
      <w:tr w:rsidR="00C31389" w14:paraId="2E185955" w14:textId="77777777">
        <w:trPr>
          <w:trHeight w:val="539"/>
        </w:trPr>
        <w:tc>
          <w:tcPr>
            <w:tcW w:w="1332" w:type="dxa"/>
            <w:tcBorders>
              <w:top w:val="single" w:color="D9D9D9" w:sz="2" w:space="0"/>
              <w:bottom w:val="single" w:color="D9D9D9" w:sz="2" w:space="0"/>
            </w:tcBorders>
          </w:tcPr>
          <w:p w:rsidR="00C31389" w:rsidRDefault="00561FBD" w14:paraId="1F5B882A"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15837114"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6E95BA1F" w14:textId="77777777">
            <w:pPr>
              <w:pStyle w:val="TableParagraph"/>
              <w:spacing w:before="155"/>
              <w:ind w:left="129"/>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18)</w:t>
            </w:r>
          </w:p>
        </w:tc>
        <w:tc>
          <w:tcPr>
            <w:tcW w:w="2467" w:type="dxa"/>
            <w:tcBorders>
              <w:top w:val="single" w:color="D9D9D9" w:sz="2" w:space="0"/>
              <w:bottom w:val="single" w:color="D9D9D9" w:sz="2" w:space="0"/>
            </w:tcBorders>
          </w:tcPr>
          <w:p w:rsidR="00C31389" w:rsidRDefault="00561FBD" w14:paraId="01121766" w14:textId="77777777">
            <w:pPr>
              <w:pStyle w:val="TableParagraph"/>
              <w:ind w:left="139" w:right="119"/>
              <w:rPr>
                <w:sz w:val="20"/>
              </w:rPr>
            </w:pPr>
            <w:r>
              <w:rPr>
                <w:sz w:val="20"/>
              </w:rPr>
              <w:t>Res</w:t>
            </w:r>
            <w:r>
              <w:rPr>
                <w:spacing w:val="-7"/>
                <w:sz w:val="20"/>
              </w:rPr>
              <w:t xml:space="preserve"> </w:t>
            </w:r>
            <w:r>
              <w:rPr>
                <w:sz w:val="20"/>
              </w:rPr>
              <w:t>Central</w:t>
            </w:r>
            <w:r>
              <w:rPr>
                <w:spacing w:val="-9"/>
                <w:sz w:val="20"/>
              </w:rPr>
              <w:t xml:space="preserve"> </w:t>
            </w:r>
            <w:r>
              <w:rPr>
                <w:sz w:val="20"/>
              </w:rPr>
              <w:t>HVAC System</w:t>
            </w:r>
            <w:r>
              <w:rPr>
                <w:spacing w:val="-3"/>
                <w:sz w:val="20"/>
              </w:rPr>
              <w:t xml:space="preserve"> </w:t>
            </w:r>
            <w:r>
              <w:rPr>
                <w:sz w:val="20"/>
              </w:rPr>
              <w:t>–</w:t>
            </w:r>
            <w:r>
              <w:rPr>
                <w:spacing w:val="-3"/>
                <w:sz w:val="20"/>
              </w:rPr>
              <w:t xml:space="preserve"> </w:t>
            </w:r>
            <w:r>
              <w:rPr>
                <w:sz w:val="20"/>
              </w:rPr>
              <w:t>Fuel</w:t>
            </w:r>
            <w:r>
              <w:rPr>
                <w:spacing w:val="-3"/>
                <w:sz w:val="20"/>
              </w:rPr>
              <w:t xml:space="preserve"> </w:t>
            </w:r>
            <w:r>
              <w:rPr>
                <w:spacing w:val="-5"/>
                <w:sz w:val="20"/>
              </w:rPr>
              <w:t>Sub</w:t>
            </w:r>
          </w:p>
        </w:tc>
      </w:tr>
      <w:tr w:rsidR="00C31389" w14:paraId="19DED9A1" w14:textId="77777777">
        <w:trPr>
          <w:trHeight w:val="539"/>
        </w:trPr>
        <w:tc>
          <w:tcPr>
            <w:tcW w:w="1332" w:type="dxa"/>
            <w:tcBorders>
              <w:top w:val="single" w:color="D9D9D9" w:sz="2" w:space="0"/>
              <w:bottom w:val="single" w:color="D9D9D9" w:sz="2" w:space="0"/>
            </w:tcBorders>
          </w:tcPr>
          <w:p w:rsidR="00C31389" w:rsidRDefault="00561FBD" w14:paraId="7727CAF9"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4CA2A788"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1701F263" w14:textId="77777777">
            <w:pPr>
              <w:pStyle w:val="TableParagraph"/>
              <w:ind w:left="129"/>
              <w:rPr>
                <w:sz w:val="20"/>
              </w:rPr>
            </w:pPr>
            <w:r>
              <w:rPr>
                <w:sz w:val="20"/>
              </w:rPr>
              <w:t>Res</w:t>
            </w:r>
            <w:r>
              <w:rPr>
                <w:spacing w:val="-7"/>
                <w:sz w:val="20"/>
              </w:rPr>
              <w:t xml:space="preserve"> </w:t>
            </w:r>
            <w:r>
              <w:rPr>
                <w:sz w:val="20"/>
              </w:rPr>
              <w:t>Furnace</w:t>
            </w:r>
            <w:r>
              <w:rPr>
                <w:spacing w:val="-9"/>
                <w:sz w:val="20"/>
              </w:rPr>
              <w:t xml:space="preserve"> </w:t>
            </w:r>
            <w:r>
              <w:rPr>
                <w:sz w:val="20"/>
              </w:rPr>
              <w:t>Heat</w:t>
            </w:r>
            <w:r>
              <w:rPr>
                <w:spacing w:val="-8"/>
                <w:sz w:val="20"/>
              </w:rPr>
              <w:t xml:space="preserve"> </w:t>
            </w:r>
            <w:r>
              <w:rPr>
                <w:sz w:val="20"/>
              </w:rPr>
              <w:t>Pump</w:t>
            </w:r>
            <w:r>
              <w:rPr>
                <w:spacing w:val="-9"/>
                <w:sz w:val="20"/>
              </w:rPr>
              <w:t xml:space="preserve"> </w:t>
            </w:r>
            <w:r>
              <w:rPr>
                <w:sz w:val="20"/>
              </w:rPr>
              <w:t>Heating</w:t>
            </w:r>
            <w:r>
              <w:rPr>
                <w:spacing w:val="-8"/>
                <w:sz w:val="20"/>
              </w:rPr>
              <w:t xml:space="preserve"> </w:t>
            </w:r>
            <w:r>
              <w:rPr>
                <w:sz w:val="20"/>
              </w:rPr>
              <w:t>Only (SEER 15)</w:t>
            </w:r>
          </w:p>
        </w:tc>
        <w:tc>
          <w:tcPr>
            <w:tcW w:w="2467" w:type="dxa"/>
            <w:tcBorders>
              <w:top w:val="single" w:color="D9D9D9" w:sz="2" w:space="0"/>
              <w:bottom w:val="single" w:color="D9D9D9" w:sz="2" w:space="0"/>
            </w:tcBorders>
          </w:tcPr>
          <w:p w:rsidR="00C31389" w:rsidRDefault="00561FBD" w14:paraId="40BC7B9C" w14:textId="77777777">
            <w:pPr>
              <w:pStyle w:val="TableParagraph"/>
              <w:ind w:left="140" w:right="119"/>
              <w:rPr>
                <w:sz w:val="20"/>
              </w:rPr>
            </w:pPr>
            <w:r>
              <w:rPr>
                <w:sz w:val="20"/>
              </w:rPr>
              <w:t>Res</w:t>
            </w:r>
            <w:r>
              <w:rPr>
                <w:spacing w:val="-14"/>
                <w:sz w:val="20"/>
              </w:rPr>
              <w:t xml:space="preserve"> </w:t>
            </w:r>
            <w:r>
              <w:rPr>
                <w:sz w:val="20"/>
              </w:rPr>
              <w:t>Central</w:t>
            </w:r>
            <w:r>
              <w:rPr>
                <w:spacing w:val="-14"/>
                <w:sz w:val="20"/>
              </w:rPr>
              <w:t xml:space="preserve"> </w:t>
            </w:r>
            <w:r>
              <w:rPr>
                <w:sz w:val="20"/>
              </w:rPr>
              <w:t>Furnace Only – Fuel Sub</w:t>
            </w:r>
          </w:p>
        </w:tc>
      </w:tr>
      <w:tr w:rsidR="00C31389" w14:paraId="0990EF1F" w14:textId="77777777">
        <w:trPr>
          <w:trHeight w:val="539"/>
        </w:trPr>
        <w:tc>
          <w:tcPr>
            <w:tcW w:w="1332" w:type="dxa"/>
            <w:tcBorders>
              <w:top w:val="single" w:color="D9D9D9" w:sz="2" w:space="0"/>
              <w:bottom w:val="single" w:color="D9D9D9" w:sz="2" w:space="0"/>
            </w:tcBorders>
          </w:tcPr>
          <w:p w:rsidR="00C31389" w:rsidRDefault="00561FBD" w14:paraId="154FB3AF"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2DACEAE9"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5DBCB82C" w14:textId="77777777">
            <w:pPr>
              <w:pStyle w:val="TableParagraph"/>
              <w:ind w:left="129"/>
              <w:rPr>
                <w:sz w:val="20"/>
              </w:rPr>
            </w:pPr>
            <w:r>
              <w:rPr>
                <w:sz w:val="20"/>
              </w:rPr>
              <w:t>Res</w:t>
            </w:r>
            <w:r>
              <w:rPr>
                <w:spacing w:val="-7"/>
                <w:sz w:val="20"/>
              </w:rPr>
              <w:t xml:space="preserve"> </w:t>
            </w:r>
            <w:r>
              <w:rPr>
                <w:sz w:val="20"/>
              </w:rPr>
              <w:t>Furnace</w:t>
            </w:r>
            <w:r>
              <w:rPr>
                <w:spacing w:val="-9"/>
                <w:sz w:val="20"/>
              </w:rPr>
              <w:t xml:space="preserve"> </w:t>
            </w:r>
            <w:r>
              <w:rPr>
                <w:sz w:val="20"/>
              </w:rPr>
              <w:t>Heat</w:t>
            </w:r>
            <w:r>
              <w:rPr>
                <w:spacing w:val="-8"/>
                <w:sz w:val="20"/>
              </w:rPr>
              <w:t xml:space="preserve"> </w:t>
            </w:r>
            <w:r>
              <w:rPr>
                <w:sz w:val="20"/>
              </w:rPr>
              <w:t>Pump</w:t>
            </w:r>
            <w:r>
              <w:rPr>
                <w:spacing w:val="-9"/>
                <w:sz w:val="20"/>
              </w:rPr>
              <w:t xml:space="preserve"> </w:t>
            </w:r>
            <w:r>
              <w:rPr>
                <w:sz w:val="20"/>
              </w:rPr>
              <w:t>Heating</w:t>
            </w:r>
            <w:r>
              <w:rPr>
                <w:spacing w:val="-8"/>
                <w:sz w:val="20"/>
              </w:rPr>
              <w:t xml:space="preserve"> </w:t>
            </w:r>
            <w:r>
              <w:rPr>
                <w:sz w:val="20"/>
              </w:rPr>
              <w:t>Only (SEER 16)</w:t>
            </w:r>
          </w:p>
        </w:tc>
        <w:tc>
          <w:tcPr>
            <w:tcW w:w="2467" w:type="dxa"/>
            <w:tcBorders>
              <w:top w:val="single" w:color="D9D9D9" w:sz="2" w:space="0"/>
              <w:bottom w:val="single" w:color="D9D9D9" w:sz="2" w:space="0"/>
            </w:tcBorders>
          </w:tcPr>
          <w:p w:rsidR="00C31389" w:rsidRDefault="00561FBD" w14:paraId="2BF24D6C" w14:textId="77777777">
            <w:pPr>
              <w:pStyle w:val="TableParagraph"/>
              <w:ind w:left="139" w:right="119"/>
              <w:rPr>
                <w:sz w:val="20"/>
              </w:rPr>
            </w:pPr>
            <w:r>
              <w:rPr>
                <w:sz w:val="20"/>
              </w:rPr>
              <w:t>Res</w:t>
            </w:r>
            <w:r>
              <w:rPr>
                <w:spacing w:val="-14"/>
                <w:sz w:val="20"/>
              </w:rPr>
              <w:t xml:space="preserve"> </w:t>
            </w:r>
            <w:r>
              <w:rPr>
                <w:sz w:val="20"/>
              </w:rPr>
              <w:t>Central</w:t>
            </w:r>
            <w:r>
              <w:rPr>
                <w:spacing w:val="-14"/>
                <w:sz w:val="20"/>
              </w:rPr>
              <w:t xml:space="preserve"> </w:t>
            </w:r>
            <w:r>
              <w:rPr>
                <w:sz w:val="20"/>
              </w:rPr>
              <w:t>Furnace Only – Fuel Sub</w:t>
            </w:r>
          </w:p>
        </w:tc>
      </w:tr>
      <w:tr w:rsidR="00C31389" w14:paraId="64FAB543" w14:textId="77777777">
        <w:trPr>
          <w:trHeight w:val="539"/>
        </w:trPr>
        <w:tc>
          <w:tcPr>
            <w:tcW w:w="1332" w:type="dxa"/>
            <w:tcBorders>
              <w:top w:val="single" w:color="D9D9D9" w:sz="2" w:space="0"/>
              <w:bottom w:val="single" w:color="D9D9D9" w:sz="2" w:space="0"/>
            </w:tcBorders>
          </w:tcPr>
          <w:p w:rsidR="00C31389" w:rsidRDefault="00561FBD" w14:paraId="1832254C"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56CD8E74"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26DEDAAC" w14:textId="77777777">
            <w:pPr>
              <w:pStyle w:val="TableParagraph"/>
              <w:ind w:left="129"/>
              <w:rPr>
                <w:sz w:val="20"/>
              </w:rPr>
            </w:pPr>
            <w:r>
              <w:rPr>
                <w:sz w:val="20"/>
              </w:rPr>
              <w:t>Res</w:t>
            </w:r>
            <w:r>
              <w:rPr>
                <w:spacing w:val="-7"/>
                <w:sz w:val="20"/>
              </w:rPr>
              <w:t xml:space="preserve"> </w:t>
            </w:r>
            <w:r>
              <w:rPr>
                <w:sz w:val="20"/>
              </w:rPr>
              <w:t>Furnace</w:t>
            </w:r>
            <w:r>
              <w:rPr>
                <w:spacing w:val="-9"/>
                <w:sz w:val="20"/>
              </w:rPr>
              <w:t xml:space="preserve"> </w:t>
            </w:r>
            <w:r>
              <w:rPr>
                <w:sz w:val="20"/>
              </w:rPr>
              <w:t>Heat</w:t>
            </w:r>
            <w:r>
              <w:rPr>
                <w:spacing w:val="-8"/>
                <w:sz w:val="20"/>
              </w:rPr>
              <w:t xml:space="preserve"> </w:t>
            </w:r>
            <w:r>
              <w:rPr>
                <w:sz w:val="20"/>
              </w:rPr>
              <w:t>Pump</w:t>
            </w:r>
            <w:r>
              <w:rPr>
                <w:spacing w:val="-9"/>
                <w:sz w:val="20"/>
              </w:rPr>
              <w:t xml:space="preserve"> </w:t>
            </w:r>
            <w:r>
              <w:rPr>
                <w:sz w:val="20"/>
              </w:rPr>
              <w:t>Heating</w:t>
            </w:r>
            <w:r>
              <w:rPr>
                <w:spacing w:val="-8"/>
                <w:sz w:val="20"/>
              </w:rPr>
              <w:t xml:space="preserve"> </w:t>
            </w:r>
            <w:r>
              <w:rPr>
                <w:sz w:val="20"/>
              </w:rPr>
              <w:t>Only (SEER 17)</w:t>
            </w:r>
          </w:p>
        </w:tc>
        <w:tc>
          <w:tcPr>
            <w:tcW w:w="2467" w:type="dxa"/>
            <w:tcBorders>
              <w:top w:val="single" w:color="D9D9D9" w:sz="2" w:space="0"/>
              <w:bottom w:val="single" w:color="D9D9D9" w:sz="2" w:space="0"/>
            </w:tcBorders>
          </w:tcPr>
          <w:p w:rsidR="00C31389" w:rsidRDefault="00561FBD" w14:paraId="4E77CCDA" w14:textId="77777777">
            <w:pPr>
              <w:pStyle w:val="TableParagraph"/>
              <w:ind w:left="140" w:right="119"/>
              <w:rPr>
                <w:sz w:val="20"/>
              </w:rPr>
            </w:pPr>
            <w:r>
              <w:rPr>
                <w:sz w:val="20"/>
              </w:rPr>
              <w:t>Res</w:t>
            </w:r>
            <w:r>
              <w:rPr>
                <w:spacing w:val="-14"/>
                <w:sz w:val="20"/>
              </w:rPr>
              <w:t xml:space="preserve"> </w:t>
            </w:r>
            <w:r>
              <w:rPr>
                <w:sz w:val="20"/>
              </w:rPr>
              <w:t>Central</w:t>
            </w:r>
            <w:r>
              <w:rPr>
                <w:spacing w:val="-14"/>
                <w:sz w:val="20"/>
              </w:rPr>
              <w:t xml:space="preserve"> </w:t>
            </w:r>
            <w:r>
              <w:rPr>
                <w:sz w:val="20"/>
              </w:rPr>
              <w:t>Furnace Only – Fuel Sub</w:t>
            </w:r>
          </w:p>
        </w:tc>
      </w:tr>
      <w:tr w:rsidR="00C31389" w14:paraId="0256034B" w14:textId="77777777">
        <w:trPr>
          <w:trHeight w:val="539"/>
        </w:trPr>
        <w:tc>
          <w:tcPr>
            <w:tcW w:w="1332" w:type="dxa"/>
            <w:tcBorders>
              <w:top w:val="single" w:color="D9D9D9" w:sz="2" w:space="0"/>
              <w:bottom w:val="single" w:color="D9D9D9" w:sz="2" w:space="0"/>
            </w:tcBorders>
          </w:tcPr>
          <w:p w:rsidR="00C31389" w:rsidRDefault="00561FBD" w14:paraId="0108C507"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487B506B"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3DC8FF86" w14:textId="77777777">
            <w:pPr>
              <w:pStyle w:val="TableParagraph"/>
              <w:ind w:left="129"/>
              <w:rPr>
                <w:sz w:val="20"/>
              </w:rPr>
            </w:pPr>
            <w:r>
              <w:rPr>
                <w:sz w:val="20"/>
              </w:rPr>
              <w:t>Res</w:t>
            </w:r>
            <w:r>
              <w:rPr>
                <w:spacing w:val="-7"/>
                <w:sz w:val="20"/>
              </w:rPr>
              <w:t xml:space="preserve"> </w:t>
            </w:r>
            <w:r>
              <w:rPr>
                <w:sz w:val="20"/>
              </w:rPr>
              <w:t>Furnace</w:t>
            </w:r>
            <w:r>
              <w:rPr>
                <w:spacing w:val="-9"/>
                <w:sz w:val="20"/>
              </w:rPr>
              <w:t xml:space="preserve"> </w:t>
            </w:r>
            <w:r>
              <w:rPr>
                <w:sz w:val="20"/>
              </w:rPr>
              <w:t>Heat</w:t>
            </w:r>
            <w:r>
              <w:rPr>
                <w:spacing w:val="-8"/>
                <w:sz w:val="20"/>
              </w:rPr>
              <w:t xml:space="preserve"> </w:t>
            </w:r>
            <w:r>
              <w:rPr>
                <w:sz w:val="20"/>
              </w:rPr>
              <w:t>Pump</w:t>
            </w:r>
            <w:r>
              <w:rPr>
                <w:spacing w:val="-9"/>
                <w:sz w:val="20"/>
              </w:rPr>
              <w:t xml:space="preserve"> </w:t>
            </w:r>
            <w:r>
              <w:rPr>
                <w:sz w:val="20"/>
              </w:rPr>
              <w:t>Heating</w:t>
            </w:r>
            <w:r>
              <w:rPr>
                <w:spacing w:val="-8"/>
                <w:sz w:val="20"/>
              </w:rPr>
              <w:t xml:space="preserve"> </w:t>
            </w:r>
            <w:r>
              <w:rPr>
                <w:sz w:val="20"/>
              </w:rPr>
              <w:t>Only (SEER 18)</w:t>
            </w:r>
          </w:p>
        </w:tc>
        <w:tc>
          <w:tcPr>
            <w:tcW w:w="2467" w:type="dxa"/>
            <w:tcBorders>
              <w:top w:val="single" w:color="D9D9D9" w:sz="2" w:space="0"/>
              <w:bottom w:val="single" w:color="D9D9D9" w:sz="2" w:space="0"/>
            </w:tcBorders>
          </w:tcPr>
          <w:p w:rsidR="00C31389" w:rsidRDefault="00561FBD" w14:paraId="62FF9723" w14:textId="77777777">
            <w:pPr>
              <w:pStyle w:val="TableParagraph"/>
              <w:ind w:left="139" w:right="119"/>
              <w:rPr>
                <w:sz w:val="20"/>
              </w:rPr>
            </w:pPr>
            <w:r>
              <w:rPr>
                <w:sz w:val="20"/>
              </w:rPr>
              <w:t>Res</w:t>
            </w:r>
            <w:r>
              <w:rPr>
                <w:spacing w:val="-14"/>
                <w:sz w:val="20"/>
              </w:rPr>
              <w:t xml:space="preserve"> </w:t>
            </w:r>
            <w:r>
              <w:rPr>
                <w:sz w:val="20"/>
              </w:rPr>
              <w:t>Central</w:t>
            </w:r>
            <w:r>
              <w:rPr>
                <w:spacing w:val="-14"/>
                <w:sz w:val="20"/>
              </w:rPr>
              <w:t xml:space="preserve"> </w:t>
            </w:r>
            <w:r>
              <w:rPr>
                <w:sz w:val="20"/>
              </w:rPr>
              <w:t>Furnace Only – Fuel Sub</w:t>
            </w:r>
          </w:p>
        </w:tc>
      </w:tr>
      <w:tr w:rsidR="00C31389" w14:paraId="60A29640" w14:textId="77777777">
        <w:trPr>
          <w:trHeight w:val="539"/>
        </w:trPr>
        <w:tc>
          <w:tcPr>
            <w:tcW w:w="1332" w:type="dxa"/>
            <w:tcBorders>
              <w:top w:val="single" w:color="D9D9D9" w:sz="2" w:space="0"/>
              <w:bottom w:val="single" w:color="D9D9D9" w:sz="2" w:space="0"/>
            </w:tcBorders>
          </w:tcPr>
          <w:p w:rsidR="00C31389" w:rsidRDefault="00561FBD" w14:paraId="38C9051A"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12D57A69" w14:textId="77777777">
            <w:pPr>
              <w:pStyle w:val="TableParagraph"/>
              <w:spacing w:before="155"/>
              <w:ind w:left="140"/>
              <w:rPr>
                <w:sz w:val="20"/>
              </w:rPr>
            </w:pPr>
            <w:r>
              <w:rPr>
                <w:sz w:val="20"/>
              </w:rPr>
              <w:t>Water</w:t>
            </w:r>
            <w:r>
              <w:rPr>
                <w:spacing w:val="-3"/>
                <w:sz w:val="20"/>
              </w:rPr>
              <w:t xml:space="preserve"> </w:t>
            </w:r>
            <w:r>
              <w:rPr>
                <w:spacing w:val="-4"/>
                <w:sz w:val="20"/>
              </w:rPr>
              <w:t>Heat</w:t>
            </w:r>
          </w:p>
        </w:tc>
        <w:tc>
          <w:tcPr>
            <w:tcW w:w="3785" w:type="dxa"/>
            <w:tcBorders>
              <w:top w:val="single" w:color="D9D9D9" w:sz="2" w:space="0"/>
              <w:bottom w:val="single" w:color="D9D9D9" w:sz="2" w:space="0"/>
            </w:tcBorders>
          </w:tcPr>
          <w:p w:rsidR="00C31389" w:rsidRDefault="00561FBD" w14:paraId="22C5CEF6" w14:textId="77777777">
            <w:pPr>
              <w:pStyle w:val="TableParagraph"/>
              <w:spacing w:before="41"/>
              <w:ind w:left="129" w:right="164"/>
              <w:rPr>
                <w:sz w:val="20"/>
              </w:rPr>
            </w:pPr>
            <w:r>
              <w:rPr>
                <w:sz w:val="20"/>
              </w:rPr>
              <w:t>Res</w:t>
            </w:r>
            <w:r>
              <w:rPr>
                <w:spacing w:val="-8"/>
                <w:sz w:val="20"/>
              </w:rPr>
              <w:t xml:space="preserve"> </w:t>
            </w:r>
            <w:r>
              <w:rPr>
                <w:sz w:val="20"/>
              </w:rPr>
              <w:t>Heat</w:t>
            </w:r>
            <w:r>
              <w:rPr>
                <w:spacing w:val="-8"/>
                <w:sz w:val="20"/>
              </w:rPr>
              <w:t xml:space="preserve"> </w:t>
            </w:r>
            <w:r>
              <w:rPr>
                <w:sz w:val="20"/>
              </w:rPr>
              <w:t>Pump</w:t>
            </w:r>
            <w:r>
              <w:rPr>
                <w:spacing w:val="-8"/>
                <w:sz w:val="20"/>
              </w:rPr>
              <w:t xml:space="preserve"> </w:t>
            </w:r>
            <w:r>
              <w:rPr>
                <w:sz w:val="20"/>
              </w:rPr>
              <w:t>Water</w:t>
            </w:r>
            <w:r>
              <w:rPr>
                <w:spacing w:val="-8"/>
                <w:sz w:val="20"/>
              </w:rPr>
              <w:t xml:space="preserve"> </w:t>
            </w:r>
            <w:r>
              <w:rPr>
                <w:sz w:val="20"/>
              </w:rPr>
              <w:t>Heater</w:t>
            </w:r>
            <w:r>
              <w:rPr>
                <w:spacing w:val="-8"/>
                <w:sz w:val="20"/>
              </w:rPr>
              <w:t xml:space="preserve"> </w:t>
            </w:r>
            <w:r>
              <w:rPr>
                <w:sz w:val="20"/>
              </w:rPr>
              <w:t>(3.30 UEF - 50 Gal)</w:t>
            </w:r>
          </w:p>
        </w:tc>
        <w:tc>
          <w:tcPr>
            <w:tcW w:w="2467" w:type="dxa"/>
            <w:tcBorders>
              <w:top w:val="single" w:color="D9D9D9" w:sz="2" w:space="0"/>
              <w:bottom w:val="single" w:color="D9D9D9" w:sz="2" w:space="0"/>
            </w:tcBorders>
          </w:tcPr>
          <w:p w:rsidR="00C31389" w:rsidRDefault="00561FBD" w14:paraId="19A16B6B" w14:textId="77777777">
            <w:pPr>
              <w:pStyle w:val="TableParagraph"/>
              <w:spacing w:before="155"/>
              <w:ind w:left="140"/>
              <w:rPr>
                <w:sz w:val="20"/>
              </w:rPr>
            </w:pPr>
            <w:r>
              <w:rPr>
                <w:sz w:val="20"/>
              </w:rPr>
              <w:t>Res</w:t>
            </w:r>
            <w:r>
              <w:rPr>
                <w:spacing w:val="-2"/>
                <w:sz w:val="20"/>
              </w:rPr>
              <w:t xml:space="preserve"> </w:t>
            </w:r>
            <w:r>
              <w:rPr>
                <w:sz w:val="20"/>
              </w:rPr>
              <w:t>Gas</w:t>
            </w:r>
            <w:r>
              <w:rPr>
                <w:spacing w:val="-2"/>
                <w:sz w:val="20"/>
              </w:rPr>
              <w:t xml:space="preserve"> </w:t>
            </w:r>
            <w:r>
              <w:rPr>
                <w:sz w:val="20"/>
              </w:rPr>
              <w:t>Water</w:t>
            </w:r>
            <w:r>
              <w:rPr>
                <w:spacing w:val="-2"/>
                <w:sz w:val="20"/>
              </w:rPr>
              <w:t xml:space="preserve"> Heaters</w:t>
            </w:r>
          </w:p>
        </w:tc>
      </w:tr>
      <w:tr w:rsidR="00C31389" w14:paraId="324F5CC3" w14:textId="77777777">
        <w:trPr>
          <w:trHeight w:val="541"/>
        </w:trPr>
        <w:tc>
          <w:tcPr>
            <w:tcW w:w="1332" w:type="dxa"/>
            <w:tcBorders>
              <w:top w:val="single" w:color="D9D9D9" w:sz="2" w:space="0"/>
              <w:bottom w:val="single" w:color="D9D9D9" w:sz="2" w:space="0"/>
            </w:tcBorders>
          </w:tcPr>
          <w:p w:rsidR="00C31389" w:rsidRDefault="00561FBD" w14:paraId="586AFFCC" w14:textId="77777777">
            <w:pPr>
              <w:pStyle w:val="TableParagraph"/>
              <w:spacing w:before="155"/>
              <w:ind w:left="122"/>
              <w:rPr>
                <w:sz w:val="20"/>
              </w:rPr>
            </w:pPr>
            <w:r>
              <w:rPr>
                <w:spacing w:val="-2"/>
                <w:sz w:val="20"/>
              </w:rPr>
              <w:t>Residential</w:t>
            </w:r>
          </w:p>
        </w:tc>
        <w:tc>
          <w:tcPr>
            <w:tcW w:w="1451" w:type="dxa"/>
            <w:tcBorders>
              <w:top w:val="single" w:color="D9D9D9" w:sz="2" w:space="0"/>
              <w:bottom w:val="single" w:color="D9D9D9" w:sz="2" w:space="0"/>
            </w:tcBorders>
          </w:tcPr>
          <w:p w:rsidR="00C31389" w:rsidRDefault="00561FBD" w14:paraId="1BE41A31" w14:textId="77777777">
            <w:pPr>
              <w:pStyle w:val="TableParagraph"/>
              <w:spacing w:before="155"/>
              <w:ind w:left="140"/>
              <w:rPr>
                <w:sz w:val="20"/>
              </w:rPr>
            </w:pPr>
            <w:r>
              <w:rPr>
                <w:sz w:val="20"/>
              </w:rPr>
              <w:t>Water</w:t>
            </w:r>
            <w:r>
              <w:rPr>
                <w:spacing w:val="-3"/>
                <w:sz w:val="20"/>
              </w:rPr>
              <w:t xml:space="preserve"> </w:t>
            </w:r>
            <w:r>
              <w:rPr>
                <w:spacing w:val="-4"/>
                <w:sz w:val="20"/>
              </w:rPr>
              <w:t>Heat</w:t>
            </w:r>
          </w:p>
        </w:tc>
        <w:tc>
          <w:tcPr>
            <w:tcW w:w="3785" w:type="dxa"/>
            <w:tcBorders>
              <w:top w:val="single" w:color="D9D9D9" w:sz="2" w:space="0"/>
              <w:bottom w:val="single" w:color="D9D9D9" w:sz="2" w:space="0"/>
            </w:tcBorders>
          </w:tcPr>
          <w:p w:rsidR="00C31389" w:rsidRDefault="00561FBD" w14:paraId="18CD7E8E" w14:textId="77777777">
            <w:pPr>
              <w:pStyle w:val="TableParagraph"/>
              <w:spacing w:before="41"/>
              <w:ind w:left="129"/>
              <w:rPr>
                <w:sz w:val="20"/>
              </w:rPr>
            </w:pPr>
            <w:r>
              <w:rPr>
                <w:sz w:val="20"/>
              </w:rPr>
              <w:t>Res</w:t>
            </w:r>
            <w:r>
              <w:rPr>
                <w:spacing w:val="-7"/>
                <w:sz w:val="20"/>
              </w:rPr>
              <w:t xml:space="preserve"> </w:t>
            </w:r>
            <w:r>
              <w:rPr>
                <w:sz w:val="20"/>
              </w:rPr>
              <w:t>Central</w:t>
            </w:r>
            <w:r>
              <w:rPr>
                <w:spacing w:val="-9"/>
                <w:sz w:val="20"/>
              </w:rPr>
              <w:t xml:space="preserve"> </w:t>
            </w:r>
            <w:r>
              <w:rPr>
                <w:sz w:val="20"/>
              </w:rPr>
              <w:t>Heat</w:t>
            </w:r>
            <w:r>
              <w:rPr>
                <w:spacing w:val="-8"/>
                <w:sz w:val="20"/>
              </w:rPr>
              <w:t xml:space="preserve"> </w:t>
            </w:r>
            <w:r>
              <w:rPr>
                <w:sz w:val="20"/>
              </w:rPr>
              <w:t>Pump</w:t>
            </w:r>
            <w:r>
              <w:rPr>
                <w:spacing w:val="-9"/>
                <w:sz w:val="20"/>
              </w:rPr>
              <w:t xml:space="preserve"> </w:t>
            </w:r>
            <w:r>
              <w:rPr>
                <w:sz w:val="20"/>
              </w:rPr>
              <w:t>Water</w:t>
            </w:r>
            <w:r>
              <w:rPr>
                <w:spacing w:val="-7"/>
                <w:sz w:val="20"/>
              </w:rPr>
              <w:t xml:space="preserve"> </w:t>
            </w:r>
            <w:r>
              <w:rPr>
                <w:sz w:val="20"/>
              </w:rPr>
              <w:t xml:space="preserve">Heater (3.00 COP, 150+ </w:t>
            </w:r>
            <w:r>
              <w:rPr>
                <w:sz w:val="20"/>
              </w:rPr>
              <w:t>kBtuh)</w:t>
            </w:r>
          </w:p>
        </w:tc>
        <w:tc>
          <w:tcPr>
            <w:tcW w:w="2467" w:type="dxa"/>
            <w:tcBorders>
              <w:top w:val="single" w:color="D9D9D9" w:sz="2" w:space="0"/>
              <w:bottom w:val="single" w:color="D9D9D9" w:sz="2" w:space="0"/>
            </w:tcBorders>
          </w:tcPr>
          <w:p w:rsidR="00C31389" w:rsidRDefault="00561FBD" w14:paraId="1E7CBC45" w14:textId="77777777">
            <w:pPr>
              <w:pStyle w:val="TableParagraph"/>
              <w:spacing w:before="41"/>
              <w:ind w:left="139"/>
              <w:rPr>
                <w:sz w:val="20"/>
              </w:rPr>
            </w:pPr>
            <w:r>
              <w:rPr>
                <w:sz w:val="20"/>
              </w:rPr>
              <w:t>Res</w:t>
            </w:r>
            <w:r>
              <w:rPr>
                <w:spacing w:val="-14"/>
                <w:sz w:val="20"/>
              </w:rPr>
              <w:t xml:space="preserve"> </w:t>
            </w:r>
            <w:r>
              <w:rPr>
                <w:sz w:val="20"/>
              </w:rPr>
              <w:t>Multifamily</w:t>
            </w:r>
            <w:r>
              <w:rPr>
                <w:spacing w:val="-14"/>
                <w:sz w:val="20"/>
              </w:rPr>
              <w:t xml:space="preserve"> </w:t>
            </w:r>
            <w:r>
              <w:rPr>
                <w:sz w:val="20"/>
              </w:rPr>
              <w:t>Central Gas Water Heaters</w:t>
            </w:r>
          </w:p>
        </w:tc>
      </w:tr>
      <w:tr w:rsidR="00C31389" w14:paraId="4B01B8CB" w14:textId="77777777">
        <w:trPr>
          <w:trHeight w:val="309"/>
        </w:trPr>
        <w:tc>
          <w:tcPr>
            <w:tcW w:w="1332" w:type="dxa"/>
            <w:tcBorders>
              <w:top w:val="single" w:color="D9D9D9" w:sz="2" w:space="0"/>
              <w:bottom w:val="single" w:color="D9D9D9" w:sz="2" w:space="0"/>
            </w:tcBorders>
          </w:tcPr>
          <w:p w:rsidR="00C31389" w:rsidRDefault="00561FBD" w14:paraId="29A67970" w14:textId="77777777">
            <w:pPr>
              <w:pStyle w:val="TableParagraph"/>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728D73EF" w14:textId="77777777">
            <w:pPr>
              <w:pStyle w:val="TableParagraph"/>
              <w:ind w:left="140"/>
              <w:rPr>
                <w:sz w:val="20"/>
              </w:rPr>
            </w:pPr>
            <w:r>
              <w:rPr>
                <w:sz w:val="20"/>
              </w:rPr>
              <w:t>Food</w:t>
            </w:r>
            <w:r>
              <w:rPr>
                <w:spacing w:val="-1"/>
                <w:sz w:val="20"/>
              </w:rPr>
              <w:t xml:space="preserve"> </w:t>
            </w:r>
            <w:r>
              <w:rPr>
                <w:spacing w:val="-2"/>
                <w:sz w:val="20"/>
              </w:rPr>
              <w:t>Service</w:t>
            </w:r>
          </w:p>
        </w:tc>
        <w:tc>
          <w:tcPr>
            <w:tcW w:w="3785" w:type="dxa"/>
            <w:tcBorders>
              <w:top w:val="single" w:color="D9D9D9" w:sz="2" w:space="0"/>
              <w:bottom w:val="single" w:color="D9D9D9" w:sz="2" w:space="0"/>
            </w:tcBorders>
          </w:tcPr>
          <w:p w:rsidR="00C31389" w:rsidRDefault="00561FBD" w14:paraId="37A58525" w14:textId="77777777">
            <w:pPr>
              <w:pStyle w:val="TableParagraph"/>
              <w:ind w:left="129"/>
              <w:rPr>
                <w:sz w:val="20"/>
              </w:rPr>
            </w:pPr>
            <w:r>
              <w:rPr>
                <w:sz w:val="20"/>
              </w:rPr>
              <w:t>ENERGY</w:t>
            </w:r>
            <w:r>
              <w:rPr>
                <w:spacing w:val="-5"/>
                <w:sz w:val="20"/>
              </w:rPr>
              <w:t xml:space="preserve"> </w:t>
            </w:r>
            <w:r>
              <w:rPr>
                <w:sz w:val="20"/>
              </w:rPr>
              <w:t>STAR</w:t>
            </w:r>
            <w:r>
              <w:rPr>
                <w:spacing w:val="-5"/>
                <w:sz w:val="20"/>
              </w:rPr>
              <w:t xml:space="preserve"> </w:t>
            </w:r>
            <w:r>
              <w:rPr>
                <w:sz w:val="20"/>
              </w:rPr>
              <w:t>Combination</w:t>
            </w:r>
            <w:r>
              <w:rPr>
                <w:spacing w:val="-4"/>
                <w:sz w:val="20"/>
              </w:rPr>
              <w:t xml:space="preserve"> Oven</w:t>
            </w:r>
          </w:p>
        </w:tc>
        <w:tc>
          <w:tcPr>
            <w:tcW w:w="2467" w:type="dxa"/>
            <w:tcBorders>
              <w:top w:val="single" w:color="D9D9D9" w:sz="2" w:space="0"/>
              <w:bottom w:val="single" w:color="D9D9D9" w:sz="2" w:space="0"/>
            </w:tcBorders>
          </w:tcPr>
          <w:p w:rsidR="00C31389" w:rsidRDefault="00561FBD" w14:paraId="63F1B6E1" w14:textId="77777777">
            <w:pPr>
              <w:pStyle w:val="TableParagraph"/>
              <w:ind w:left="140"/>
              <w:rPr>
                <w:sz w:val="20"/>
              </w:rPr>
            </w:pPr>
            <w:r>
              <w:rPr>
                <w:sz w:val="20"/>
              </w:rPr>
              <w:t>Gas</w:t>
            </w:r>
            <w:r>
              <w:rPr>
                <w:spacing w:val="-5"/>
                <w:sz w:val="20"/>
              </w:rPr>
              <w:t xml:space="preserve"> </w:t>
            </w:r>
            <w:r>
              <w:rPr>
                <w:sz w:val="20"/>
              </w:rPr>
              <w:t>Combination</w:t>
            </w:r>
            <w:r>
              <w:rPr>
                <w:spacing w:val="-4"/>
                <w:sz w:val="20"/>
              </w:rPr>
              <w:t xml:space="preserve"> </w:t>
            </w:r>
            <w:r>
              <w:rPr>
                <w:spacing w:val="-2"/>
                <w:sz w:val="20"/>
              </w:rPr>
              <w:t>Ovens</w:t>
            </w:r>
          </w:p>
        </w:tc>
      </w:tr>
      <w:tr w:rsidR="00C31389" w14:paraId="3E965683" w14:textId="77777777">
        <w:trPr>
          <w:trHeight w:val="310"/>
        </w:trPr>
        <w:tc>
          <w:tcPr>
            <w:tcW w:w="1332" w:type="dxa"/>
            <w:tcBorders>
              <w:top w:val="single" w:color="D9D9D9" w:sz="2" w:space="0"/>
              <w:bottom w:val="single" w:color="D9D9D9" w:sz="2" w:space="0"/>
            </w:tcBorders>
          </w:tcPr>
          <w:p w:rsidR="00C31389" w:rsidRDefault="00561FBD" w14:paraId="1C1B2288" w14:textId="77777777">
            <w:pPr>
              <w:pStyle w:val="TableParagraph"/>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58088CA1" w14:textId="77777777">
            <w:pPr>
              <w:pStyle w:val="TableParagraph"/>
              <w:ind w:left="140"/>
              <w:rPr>
                <w:sz w:val="20"/>
              </w:rPr>
            </w:pPr>
            <w:r>
              <w:rPr>
                <w:sz w:val="20"/>
              </w:rPr>
              <w:t>Food</w:t>
            </w:r>
            <w:r>
              <w:rPr>
                <w:spacing w:val="-1"/>
                <w:sz w:val="20"/>
              </w:rPr>
              <w:t xml:space="preserve"> </w:t>
            </w:r>
            <w:r>
              <w:rPr>
                <w:spacing w:val="-2"/>
                <w:sz w:val="20"/>
              </w:rPr>
              <w:t>Service</w:t>
            </w:r>
          </w:p>
        </w:tc>
        <w:tc>
          <w:tcPr>
            <w:tcW w:w="3785" w:type="dxa"/>
            <w:tcBorders>
              <w:top w:val="single" w:color="D9D9D9" w:sz="2" w:space="0"/>
              <w:bottom w:val="single" w:color="D9D9D9" w:sz="2" w:space="0"/>
            </w:tcBorders>
          </w:tcPr>
          <w:p w:rsidR="00C31389" w:rsidRDefault="00561FBD" w14:paraId="5B07D26E" w14:textId="77777777">
            <w:pPr>
              <w:pStyle w:val="TableParagraph"/>
              <w:ind w:left="129"/>
              <w:rPr>
                <w:sz w:val="20"/>
              </w:rPr>
            </w:pPr>
            <w:r>
              <w:rPr>
                <w:sz w:val="20"/>
              </w:rPr>
              <w:t>ENERGY</w:t>
            </w:r>
            <w:r>
              <w:rPr>
                <w:spacing w:val="-6"/>
                <w:sz w:val="20"/>
              </w:rPr>
              <w:t xml:space="preserve"> </w:t>
            </w:r>
            <w:r>
              <w:rPr>
                <w:sz w:val="20"/>
              </w:rPr>
              <w:t>STAR</w:t>
            </w:r>
            <w:r>
              <w:rPr>
                <w:spacing w:val="-5"/>
                <w:sz w:val="20"/>
              </w:rPr>
              <w:t xml:space="preserve"> </w:t>
            </w:r>
            <w:r>
              <w:rPr>
                <w:sz w:val="20"/>
              </w:rPr>
              <w:t>Convection</w:t>
            </w:r>
            <w:r>
              <w:rPr>
                <w:spacing w:val="-5"/>
                <w:sz w:val="20"/>
              </w:rPr>
              <w:t xml:space="preserve"> </w:t>
            </w:r>
            <w:r>
              <w:rPr>
                <w:spacing w:val="-4"/>
                <w:sz w:val="20"/>
              </w:rPr>
              <w:t>Oven</w:t>
            </w:r>
          </w:p>
        </w:tc>
        <w:tc>
          <w:tcPr>
            <w:tcW w:w="2467" w:type="dxa"/>
            <w:tcBorders>
              <w:top w:val="single" w:color="D9D9D9" w:sz="2" w:space="0"/>
              <w:bottom w:val="single" w:color="D9D9D9" w:sz="2" w:space="0"/>
            </w:tcBorders>
          </w:tcPr>
          <w:p w:rsidR="00C31389" w:rsidRDefault="00561FBD" w14:paraId="5620ACE9" w14:textId="77777777">
            <w:pPr>
              <w:pStyle w:val="TableParagraph"/>
              <w:ind w:left="139"/>
              <w:rPr>
                <w:sz w:val="20"/>
              </w:rPr>
            </w:pPr>
            <w:r>
              <w:rPr>
                <w:sz w:val="20"/>
              </w:rPr>
              <w:t>Gas</w:t>
            </w:r>
            <w:r>
              <w:rPr>
                <w:spacing w:val="-7"/>
                <w:sz w:val="20"/>
              </w:rPr>
              <w:t xml:space="preserve"> </w:t>
            </w:r>
            <w:r>
              <w:rPr>
                <w:sz w:val="20"/>
              </w:rPr>
              <w:t>Convection</w:t>
            </w:r>
            <w:r>
              <w:rPr>
                <w:spacing w:val="-4"/>
                <w:sz w:val="20"/>
              </w:rPr>
              <w:t xml:space="preserve"> Ovens</w:t>
            </w:r>
          </w:p>
        </w:tc>
      </w:tr>
      <w:tr w:rsidR="00C31389" w14:paraId="1B898E4C" w14:textId="77777777">
        <w:trPr>
          <w:trHeight w:val="309"/>
        </w:trPr>
        <w:tc>
          <w:tcPr>
            <w:tcW w:w="1332" w:type="dxa"/>
            <w:tcBorders>
              <w:top w:val="single" w:color="D9D9D9" w:sz="2" w:space="0"/>
              <w:bottom w:val="single" w:color="D9D9D9" w:sz="2" w:space="0"/>
            </w:tcBorders>
          </w:tcPr>
          <w:p w:rsidR="00C31389" w:rsidRDefault="00561FBD" w14:paraId="2881C0B3" w14:textId="77777777">
            <w:pPr>
              <w:pStyle w:val="TableParagraph"/>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14CA5617" w14:textId="77777777">
            <w:pPr>
              <w:pStyle w:val="TableParagraph"/>
              <w:ind w:left="140"/>
              <w:rPr>
                <w:sz w:val="20"/>
              </w:rPr>
            </w:pPr>
            <w:r>
              <w:rPr>
                <w:sz w:val="20"/>
              </w:rPr>
              <w:t>Food</w:t>
            </w:r>
            <w:r>
              <w:rPr>
                <w:spacing w:val="-1"/>
                <w:sz w:val="20"/>
              </w:rPr>
              <w:t xml:space="preserve"> </w:t>
            </w:r>
            <w:r>
              <w:rPr>
                <w:spacing w:val="-2"/>
                <w:sz w:val="20"/>
              </w:rPr>
              <w:t>Service</w:t>
            </w:r>
          </w:p>
        </w:tc>
        <w:tc>
          <w:tcPr>
            <w:tcW w:w="3785" w:type="dxa"/>
            <w:tcBorders>
              <w:top w:val="single" w:color="D9D9D9" w:sz="2" w:space="0"/>
              <w:bottom w:val="single" w:color="D9D9D9" w:sz="2" w:space="0"/>
            </w:tcBorders>
          </w:tcPr>
          <w:p w:rsidR="00C31389" w:rsidRDefault="00561FBD" w14:paraId="315579A3" w14:textId="77777777">
            <w:pPr>
              <w:pStyle w:val="TableParagraph"/>
              <w:ind w:left="129"/>
              <w:rPr>
                <w:sz w:val="20"/>
              </w:rPr>
            </w:pPr>
            <w:r>
              <w:rPr>
                <w:sz w:val="20"/>
              </w:rPr>
              <w:t>ENERGY</w:t>
            </w:r>
            <w:r>
              <w:rPr>
                <w:spacing w:val="-4"/>
                <w:sz w:val="20"/>
              </w:rPr>
              <w:t xml:space="preserve"> </w:t>
            </w:r>
            <w:r>
              <w:rPr>
                <w:sz w:val="20"/>
              </w:rPr>
              <w:t>STAR</w:t>
            </w:r>
            <w:r>
              <w:rPr>
                <w:spacing w:val="-3"/>
                <w:sz w:val="20"/>
              </w:rPr>
              <w:t xml:space="preserve"> </w:t>
            </w:r>
            <w:r>
              <w:rPr>
                <w:spacing w:val="-4"/>
                <w:sz w:val="20"/>
              </w:rPr>
              <w:t>Fryer</w:t>
            </w:r>
          </w:p>
        </w:tc>
        <w:tc>
          <w:tcPr>
            <w:tcW w:w="2467" w:type="dxa"/>
            <w:tcBorders>
              <w:top w:val="single" w:color="D9D9D9" w:sz="2" w:space="0"/>
              <w:bottom w:val="single" w:color="D9D9D9" w:sz="2" w:space="0"/>
            </w:tcBorders>
          </w:tcPr>
          <w:p w:rsidR="00C31389" w:rsidRDefault="00561FBD" w14:paraId="37282E6B" w14:textId="77777777">
            <w:pPr>
              <w:pStyle w:val="TableParagraph"/>
              <w:ind w:left="140"/>
              <w:rPr>
                <w:sz w:val="20"/>
              </w:rPr>
            </w:pPr>
            <w:r>
              <w:rPr>
                <w:sz w:val="20"/>
              </w:rPr>
              <w:t>Gas</w:t>
            </w:r>
            <w:r>
              <w:rPr>
                <w:spacing w:val="-2"/>
                <w:sz w:val="20"/>
              </w:rPr>
              <w:t xml:space="preserve"> Fryers</w:t>
            </w:r>
          </w:p>
        </w:tc>
      </w:tr>
      <w:tr w:rsidR="00C31389" w14:paraId="1A11A981" w14:textId="77777777">
        <w:trPr>
          <w:trHeight w:val="310"/>
        </w:trPr>
        <w:tc>
          <w:tcPr>
            <w:tcW w:w="1332" w:type="dxa"/>
            <w:tcBorders>
              <w:top w:val="single" w:color="D9D9D9" w:sz="2" w:space="0"/>
              <w:bottom w:val="single" w:color="D9D9D9" w:sz="2" w:space="0"/>
            </w:tcBorders>
          </w:tcPr>
          <w:p w:rsidR="00C31389" w:rsidRDefault="00561FBD" w14:paraId="0724C1C5" w14:textId="77777777">
            <w:pPr>
              <w:pStyle w:val="TableParagraph"/>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282A52F9" w14:textId="77777777">
            <w:pPr>
              <w:pStyle w:val="TableParagraph"/>
              <w:ind w:left="140"/>
              <w:rPr>
                <w:sz w:val="20"/>
              </w:rPr>
            </w:pPr>
            <w:r>
              <w:rPr>
                <w:sz w:val="20"/>
              </w:rPr>
              <w:t>Food</w:t>
            </w:r>
            <w:r>
              <w:rPr>
                <w:spacing w:val="-1"/>
                <w:sz w:val="20"/>
              </w:rPr>
              <w:t xml:space="preserve"> </w:t>
            </w:r>
            <w:r>
              <w:rPr>
                <w:spacing w:val="-2"/>
                <w:sz w:val="20"/>
              </w:rPr>
              <w:t>Service</w:t>
            </w:r>
          </w:p>
        </w:tc>
        <w:tc>
          <w:tcPr>
            <w:tcW w:w="3785" w:type="dxa"/>
            <w:tcBorders>
              <w:top w:val="single" w:color="D9D9D9" w:sz="2" w:space="0"/>
              <w:bottom w:val="single" w:color="D9D9D9" w:sz="2" w:space="0"/>
            </w:tcBorders>
          </w:tcPr>
          <w:p w:rsidR="00C31389" w:rsidRDefault="00561FBD" w14:paraId="7ABDDAF8" w14:textId="77777777">
            <w:pPr>
              <w:pStyle w:val="TableParagraph"/>
              <w:ind w:left="129"/>
              <w:rPr>
                <w:sz w:val="20"/>
              </w:rPr>
            </w:pPr>
            <w:r>
              <w:rPr>
                <w:sz w:val="20"/>
              </w:rPr>
              <w:t>ENERGY</w:t>
            </w:r>
            <w:r>
              <w:rPr>
                <w:spacing w:val="-4"/>
                <w:sz w:val="20"/>
              </w:rPr>
              <w:t xml:space="preserve"> </w:t>
            </w:r>
            <w:r>
              <w:rPr>
                <w:sz w:val="20"/>
              </w:rPr>
              <w:t>STAR</w:t>
            </w:r>
            <w:r>
              <w:rPr>
                <w:spacing w:val="-3"/>
                <w:sz w:val="20"/>
              </w:rPr>
              <w:t xml:space="preserve"> </w:t>
            </w:r>
            <w:r>
              <w:rPr>
                <w:spacing w:val="-2"/>
                <w:sz w:val="20"/>
              </w:rPr>
              <w:t>Griddle</w:t>
            </w:r>
          </w:p>
        </w:tc>
        <w:tc>
          <w:tcPr>
            <w:tcW w:w="2467" w:type="dxa"/>
            <w:tcBorders>
              <w:top w:val="single" w:color="D9D9D9" w:sz="2" w:space="0"/>
              <w:bottom w:val="single" w:color="D9D9D9" w:sz="2" w:space="0"/>
            </w:tcBorders>
          </w:tcPr>
          <w:p w:rsidR="00C31389" w:rsidRDefault="00561FBD" w14:paraId="608644FE" w14:textId="77777777">
            <w:pPr>
              <w:pStyle w:val="TableParagraph"/>
              <w:ind w:left="139"/>
              <w:rPr>
                <w:sz w:val="20"/>
              </w:rPr>
            </w:pPr>
            <w:r>
              <w:rPr>
                <w:sz w:val="20"/>
              </w:rPr>
              <w:t>Gas</w:t>
            </w:r>
            <w:r>
              <w:rPr>
                <w:spacing w:val="-2"/>
                <w:sz w:val="20"/>
              </w:rPr>
              <w:t xml:space="preserve"> Griddles</w:t>
            </w:r>
          </w:p>
        </w:tc>
      </w:tr>
      <w:tr w:rsidR="00C31389" w14:paraId="41365BA2" w14:textId="77777777">
        <w:trPr>
          <w:trHeight w:val="309"/>
        </w:trPr>
        <w:tc>
          <w:tcPr>
            <w:tcW w:w="1332" w:type="dxa"/>
            <w:tcBorders>
              <w:top w:val="single" w:color="D9D9D9" w:sz="2" w:space="0"/>
              <w:bottom w:val="single" w:color="D9D9D9" w:sz="2" w:space="0"/>
            </w:tcBorders>
          </w:tcPr>
          <w:p w:rsidR="00C31389" w:rsidRDefault="00561FBD" w14:paraId="32A07C8D" w14:textId="77777777">
            <w:pPr>
              <w:pStyle w:val="TableParagraph"/>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51D6FA06" w14:textId="77777777">
            <w:pPr>
              <w:pStyle w:val="TableParagraph"/>
              <w:ind w:left="140"/>
              <w:rPr>
                <w:sz w:val="20"/>
              </w:rPr>
            </w:pPr>
            <w:r>
              <w:rPr>
                <w:sz w:val="20"/>
              </w:rPr>
              <w:t>Food</w:t>
            </w:r>
            <w:r>
              <w:rPr>
                <w:spacing w:val="-1"/>
                <w:sz w:val="20"/>
              </w:rPr>
              <w:t xml:space="preserve"> </w:t>
            </w:r>
            <w:r>
              <w:rPr>
                <w:spacing w:val="-2"/>
                <w:sz w:val="20"/>
              </w:rPr>
              <w:t>Service</w:t>
            </w:r>
          </w:p>
        </w:tc>
        <w:tc>
          <w:tcPr>
            <w:tcW w:w="3785" w:type="dxa"/>
            <w:tcBorders>
              <w:top w:val="single" w:color="D9D9D9" w:sz="2" w:space="0"/>
              <w:bottom w:val="single" w:color="D9D9D9" w:sz="2" w:space="0"/>
            </w:tcBorders>
          </w:tcPr>
          <w:p w:rsidR="00C31389" w:rsidRDefault="00561FBD" w14:paraId="3F4298FD" w14:textId="77777777">
            <w:pPr>
              <w:pStyle w:val="TableParagraph"/>
              <w:ind w:left="129"/>
              <w:rPr>
                <w:sz w:val="20"/>
              </w:rPr>
            </w:pPr>
            <w:r>
              <w:rPr>
                <w:sz w:val="20"/>
              </w:rPr>
              <w:t>ENERGY</w:t>
            </w:r>
            <w:r>
              <w:rPr>
                <w:spacing w:val="-4"/>
                <w:sz w:val="20"/>
              </w:rPr>
              <w:t xml:space="preserve"> </w:t>
            </w:r>
            <w:r>
              <w:rPr>
                <w:sz w:val="20"/>
              </w:rPr>
              <w:t>STAR</w:t>
            </w:r>
            <w:r>
              <w:rPr>
                <w:spacing w:val="-3"/>
                <w:sz w:val="20"/>
              </w:rPr>
              <w:t xml:space="preserve"> </w:t>
            </w:r>
            <w:r>
              <w:rPr>
                <w:spacing w:val="-2"/>
                <w:sz w:val="20"/>
              </w:rPr>
              <w:t>Steamer</w:t>
            </w:r>
          </w:p>
        </w:tc>
        <w:tc>
          <w:tcPr>
            <w:tcW w:w="2467" w:type="dxa"/>
            <w:tcBorders>
              <w:top w:val="single" w:color="D9D9D9" w:sz="2" w:space="0"/>
              <w:bottom w:val="single" w:color="D9D9D9" w:sz="2" w:space="0"/>
            </w:tcBorders>
          </w:tcPr>
          <w:p w:rsidR="00C31389" w:rsidRDefault="00561FBD" w14:paraId="78F3EF75" w14:textId="77777777">
            <w:pPr>
              <w:pStyle w:val="TableParagraph"/>
              <w:ind w:left="140"/>
              <w:rPr>
                <w:sz w:val="20"/>
              </w:rPr>
            </w:pPr>
            <w:r>
              <w:rPr>
                <w:sz w:val="20"/>
              </w:rPr>
              <w:t xml:space="preserve">Gas </w:t>
            </w:r>
            <w:r>
              <w:rPr>
                <w:spacing w:val="-2"/>
                <w:sz w:val="20"/>
              </w:rPr>
              <w:t>Steamers</w:t>
            </w:r>
          </w:p>
        </w:tc>
      </w:tr>
      <w:tr w:rsidR="00C31389" w14:paraId="36E93367" w14:textId="77777777">
        <w:trPr>
          <w:trHeight w:val="539"/>
        </w:trPr>
        <w:tc>
          <w:tcPr>
            <w:tcW w:w="1332" w:type="dxa"/>
            <w:tcBorders>
              <w:top w:val="single" w:color="D9D9D9" w:sz="2" w:space="0"/>
              <w:bottom w:val="single" w:color="D9D9D9" w:sz="2" w:space="0"/>
            </w:tcBorders>
          </w:tcPr>
          <w:p w:rsidR="00C31389" w:rsidRDefault="00561FBD" w14:paraId="5D6620B4" w14:textId="77777777">
            <w:pPr>
              <w:pStyle w:val="TableParagraph"/>
              <w:spacing w:before="155"/>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320184D7"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7F51F1B6" w14:textId="77777777">
            <w:pPr>
              <w:pStyle w:val="TableParagraph"/>
              <w:spacing w:before="155"/>
              <w:ind w:left="129"/>
              <w:rPr>
                <w:sz w:val="20"/>
              </w:rPr>
            </w:pPr>
            <w:r>
              <w:rPr>
                <w:sz w:val="20"/>
              </w:rPr>
              <w:t>Small</w:t>
            </w:r>
            <w:r>
              <w:rPr>
                <w:spacing w:val="-4"/>
                <w:sz w:val="20"/>
              </w:rPr>
              <w:t xml:space="preserve"> </w:t>
            </w:r>
            <w:r>
              <w:rPr>
                <w:sz w:val="20"/>
              </w:rPr>
              <w:t>Packaged</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(SEER</w:t>
            </w:r>
            <w:r>
              <w:rPr>
                <w:spacing w:val="-2"/>
                <w:sz w:val="20"/>
              </w:rPr>
              <w:t xml:space="preserve"> </w:t>
            </w:r>
            <w:r>
              <w:rPr>
                <w:spacing w:val="-5"/>
                <w:sz w:val="20"/>
              </w:rPr>
              <w:t>15)</w:t>
            </w:r>
          </w:p>
        </w:tc>
        <w:tc>
          <w:tcPr>
            <w:tcW w:w="2467" w:type="dxa"/>
            <w:tcBorders>
              <w:top w:val="single" w:color="D9D9D9" w:sz="2" w:space="0"/>
              <w:bottom w:val="single" w:color="D9D9D9" w:sz="2" w:space="0"/>
            </w:tcBorders>
          </w:tcPr>
          <w:p w:rsidR="00C31389" w:rsidRDefault="00561FBD" w14:paraId="05B2C982" w14:textId="77777777">
            <w:pPr>
              <w:pStyle w:val="TableParagraph"/>
              <w:ind w:left="139" w:right="119"/>
              <w:rPr>
                <w:sz w:val="20"/>
              </w:rPr>
            </w:pPr>
            <w:r>
              <w:rPr>
                <w:sz w:val="20"/>
              </w:rPr>
              <w:t>Com</w:t>
            </w:r>
            <w:r>
              <w:rPr>
                <w:spacing w:val="-14"/>
                <w:sz w:val="20"/>
              </w:rPr>
              <w:t xml:space="preserve"> </w:t>
            </w:r>
            <w:r>
              <w:rPr>
                <w:sz w:val="20"/>
              </w:rPr>
              <w:t>Central</w:t>
            </w:r>
            <w:r>
              <w:rPr>
                <w:spacing w:val="-14"/>
                <w:sz w:val="20"/>
              </w:rPr>
              <w:t xml:space="preserve"> </w:t>
            </w:r>
            <w:r>
              <w:rPr>
                <w:sz w:val="20"/>
              </w:rPr>
              <w:t>HVAC (Small) – Fuel Sub</w:t>
            </w:r>
          </w:p>
        </w:tc>
      </w:tr>
      <w:tr w:rsidR="00C31389" w14:paraId="2BF7F705" w14:textId="77777777">
        <w:trPr>
          <w:trHeight w:val="539"/>
        </w:trPr>
        <w:tc>
          <w:tcPr>
            <w:tcW w:w="1332" w:type="dxa"/>
            <w:tcBorders>
              <w:top w:val="single" w:color="D9D9D9" w:sz="2" w:space="0"/>
              <w:bottom w:val="single" w:color="D9D9D9" w:sz="2" w:space="0"/>
            </w:tcBorders>
          </w:tcPr>
          <w:p w:rsidR="00C31389" w:rsidRDefault="00561FBD" w14:paraId="2B65D295" w14:textId="77777777">
            <w:pPr>
              <w:pStyle w:val="TableParagraph"/>
              <w:spacing w:before="155"/>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7C4C61A3"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194A9D4F" w14:textId="77777777">
            <w:pPr>
              <w:pStyle w:val="TableParagraph"/>
              <w:spacing w:before="155"/>
              <w:ind w:left="129"/>
              <w:rPr>
                <w:sz w:val="20"/>
              </w:rPr>
            </w:pPr>
            <w:r>
              <w:rPr>
                <w:sz w:val="20"/>
              </w:rPr>
              <w:t>Small</w:t>
            </w:r>
            <w:r>
              <w:rPr>
                <w:spacing w:val="-4"/>
                <w:sz w:val="20"/>
              </w:rPr>
              <w:t xml:space="preserve"> </w:t>
            </w:r>
            <w:r>
              <w:rPr>
                <w:sz w:val="20"/>
              </w:rPr>
              <w:t>Packaged</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(SEER</w:t>
            </w:r>
            <w:r>
              <w:rPr>
                <w:spacing w:val="-2"/>
                <w:sz w:val="20"/>
              </w:rPr>
              <w:t xml:space="preserve"> </w:t>
            </w:r>
            <w:r>
              <w:rPr>
                <w:spacing w:val="-5"/>
                <w:sz w:val="20"/>
              </w:rPr>
              <w:t>16)</w:t>
            </w:r>
          </w:p>
        </w:tc>
        <w:tc>
          <w:tcPr>
            <w:tcW w:w="2467" w:type="dxa"/>
            <w:tcBorders>
              <w:top w:val="single" w:color="D9D9D9" w:sz="2" w:space="0"/>
              <w:bottom w:val="single" w:color="D9D9D9" w:sz="2" w:space="0"/>
            </w:tcBorders>
          </w:tcPr>
          <w:p w:rsidR="00C31389" w:rsidRDefault="00561FBD" w14:paraId="5E81932C" w14:textId="77777777">
            <w:pPr>
              <w:pStyle w:val="TableParagraph"/>
              <w:ind w:left="140" w:right="119"/>
              <w:rPr>
                <w:sz w:val="20"/>
              </w:rPr>
            </w:pPr>
            <w:r>
              <w:rPr>
                <w:sz w:val="20"/>
              </w:rPr>
              <w:t>Com</w:t>
            </w:r>
            <w:r>
              <w:rPr>
                <w:spacing w:val="-14"/>
                <w:sz w:val="20"/>
              </w:rPr>
              <w:t xml:space="preserve"> </w:t>
            </w:r>
            <w:r>
              <w:rPr>
                <w:sz w:val="20"/>
              </w:rPr>
              <w:t>Central</w:t>
            </w:r>
            <w:r>
              <w:rPr>
                <w:spacing w:val="-14"/>
                <w:sz w:val="20"/>
              </w:rPr>
              <w:t xml:space="preserve"> </w:t>
            </w:r>
            <w:r>
              <w:rPr>
                <w:sz w:val="20"/>
              </w:rPr>
              <w:t>HVAC (Small) – Fuel Sub</w:t>
            </w:r>
          </w:p>
        </w:tc>
      </w:tr>
      <w:tr w:rsidR="00C31389" w14:paraId="006FF7A5" w14:textId="77777777">
        <w:trPr>
          <w:trHeight w:val="539"/>
        </w:trPr>
        <w:tc>
          <w:tcPr>
            <w:tcW w:w="1332" w:type="dxa"/>
            <w:tcBorders>
              <w:top w:val="single" w:color="D9D9D9" w:sz="2" w:space="0"/>
              <w:bottom w:val="single" w:color="D9D9D9" w:sz="2" w:space="0"/>
            </w:tcBorders>
          </w:tcPr>
          <w:p w:rsidR="00C31389" w:rsidRDefault="00561FBD" w14:paraId="62CC5434" w14:textId="77777777">
            <w:pPr>
              <w:pStyle w:val="TableParagraph"/>
              <w:spacing w:before="155"/>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53C7437A"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1E749170" w14:textId="77777777">
            <w:pPr>
              <w:pStyle w:val="TableParagraph"/>
              <w:spacing w:before="155"/>
              <w:ind w:left="129"/>
              <w:rPr>
                <w:sz w:val="20"/>
              </w:rPr>
            </w:pPr>
            <w:r>
              <w:rPr>
                <w:sz w:val="20"/>
              </w:rPr>
              <w:t>Small</w:t>
            </w:r>
            <w:r>
              <w:rPr>
                <w:spacing w:val="-4"/>
                <w:sz w:val="20"/>
              </w:rPr>
              <w:t xml:space="preserve"> </w:t>
            </w:r>
            <w:r>
              <w:rPr>
                <w:sz w:val="20"/>
              </w:rPr>
              <w:t>Packaged</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(SEER</w:t>
            </w:r>
            <w:r>
              <w:rPr>
                <w:spacing w:val="-2"/>
                <w:sz w:val="20"/>
              </w:rPr>
              <w:t xml:space="preserve"> </w:t>
            </w:r>
            <w:r>
              <w:rPr>
                <w:spacing w:val="-5"/>
                <w:sz w:val="20"/>
              </w:rPr>
              <w:t>17)</w:t>
            </w:r>
          </w:p>
        </w:tc>
        <w:tc>
          <w:tcPr>
            <w:tcW w:w="2467" w:type="dxa"/>
            <w:tcBorders>
              <w:top w:val="single" w:color="D9D9D9" w:sz="2" w:space="0"/>
              <w:bottom w:val="single" w:color="D9D9D9" w:sz="2" w:space="0"/>
            </w:tcBorders>
          </w:tcPr>
          <w:p w:rsidR="00C31389" w:rsidRDefault="00561FBD" w14:paraId="78FC41A9" w14:textId="77777777">
            <w:pPr>
              <w:pStyle w:val="TableParagraph"/>
              <w:ind w:left="139" w:right="119"/>
              <w:rPr>
                <w:sz w:val="20"/>
              </w:rPr>
            </w:pPr>
            <w:r>
              <w:rPr>
                <w:sz w:val="20"/>
              </w:rPr>
              <w:t>Com</w:t>
            </w:r>
            <w:r>
              <w:rPr>
                <w:spacing w:val="-14"/>
                <w:sz w:val="20"/>
              </w:rPr>
              <w:t xml:space="preserve"> </w:t>
            </w:r>
            <w:r>
              <w:rPr>
                <w:sz w:val="20"/>
              </w:rPr>
              <w:t>Central</w:t>
            </w:r>
            <w:r>
              <w:rPr>
                <w:spacing w:val="-14"/>
                <w:sz w:val="20"/>
              </w:rPr>
              <w:t xml:space="preserve"> </w:t>
            </w:r>
            <w:r>
              <w:rPr>
                <w:sz w:val="20"/>
              </w:rPr>
              <w:t>HVAC (Small) – Fuel Sub</w:t>
            </w:r>
          </w:p>
        </w:tc>
      </w:tr>
      <w:tr w:rsidR="00C31389" w14:paraId="5EEEC07E" w14:textId="77777777">
        <w:trPr>
          <w:trHeight w:val="541"/>
        </w:trPr>
        <w:tc>
          <w:tcPr>
            <w:tcW w:w="1332" w:type="dxa"/>
            <w:tcBorders>
              <w:top w:val="single" w:color="D9D9D9" w:sz="2" w:space="0"/>
              <w:bottom w:val="single" w:color="D9D9D9" w:sz="2" w:space="0"/>
            </w:tcBorders>
          </w:tcPr>
          <w:p w:rsidR="00C31389" w:rsidRDefault="00561FBD" w14:paraId="627C232C" w14:textId="77777777">
            <w:pPr>
              <w:pStyle w:val="TableParagraph"/>
              <w:spacing w:before="155"/>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4F5E2B99"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6ABB5F00" w14:textId="77777777">
            <w:pPr>
              <w:pStyle w:val="TableParagraph"/>
              <w:spacing w:before="155"/>
              <w:ind w:left="129"/>
              <w:rPr>
                <w:sz w:val="20"/>
              </w:rPr>
            </w:pPr>
            <w:r>
              <w:rPr>
                <w:sz w:val="20"/>
              </w:rPr>
              <w:t>Small</w:t>
            </w:r>
            <w:r>
              <w:rPr>
                <w:spacing w:val="-4"/>
                <w:sz w:val="20"/>
              </w:rPr>
              <w:t xml:space="preserve"> </w:t>
            </w:r>
            <w:r>
              <w:rPr>
                <w:sz w:val="20"/>
              </w:rPr>
              <w:t>Packaged</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(SEER</w:t>
            </w:r>
            <w:r>
              <w:rPr>
                <w:spacing w:val="-2"/>
                <w:sz w:val="20"/>
              </w:rPr>
              <w:t xml:space="preserve"> </w:t>
            </w:r>
            <w:r>
              <w:rPr>
                <w:spacing w:val="-5"/>
                <w:sz w:val="20"/>
              </w:rPr>
              <w:t>18)</w:t>
            </w:r>
          </w:p>
        </w:tc>
        <w:tc>
          <w:tcPr>
            <w:tcW w:w="2467" w:type="dxa"/>
            <w:tcBorders>
              <w:top w:val="single" w:color="D9D9D9" w:sz="2" w:space="0"/>
              <w:bottom w:val="single" w:color="D9D9D9" w:sz="2" w:space="0"/>
            </w:tcBorders>
          </w:tcPr>
          <w:p w:rsidR="00C31389" w:rsidRDefault="00561FBD" w14:paraId="31387BB6" w14:textId="77777777">
            <w:pPr>
              <w:pStyle w:val="TableParagraph"/>
              <w:spacing w:before="41"/>
              <w:ind w:left="140" w:right="119"/>
              <w:rPr>
                <w:sz w:val="20"/>
              </w:rPr>
            </w:pPr>
            <w:r>
              <w:rPr>
                <w:sz w:val="20"/>
              </w:rPr>
              <w:t>Com</w:t>
            </w:r>
            <w:r>
              <w:rPr>
                <w:spacing w:val="-14"/>
                <w:sz w:val="20"/>
              </w:rPr>
              <w:t xml:space="preserve"> </w:t>
            </w:r>
            <w:r>
              <w:rPr>
                <w:sz w:val="20"/>
              </w:rPr>
              <w:t>Central</w:t>
            </w:r>
            <w:r>
              <w:rPr>
                <w:spacing w:val="-14"/>
                <w:sz w:val="20"/>
              </w:rPr>
              <w:t xml:space="preserve"> </w:t>
            </w:r>
            <w:r>
              <w:rPr>
                <w:sz w:val="20"/>
              </w:rPr>
              <w:t>HVAC (Small) – Fuel Sub</w:t>
            </w:r>
          </w:p>
        </w:tc>
      </w:tr>
      <w:tr w:rsidR="00C31389" w14:paraId="6ADB08E0" w14:textId="77777777">
        <w:trPr>
          <w:trHeight w:val="539"/>
        </w:trPr>
        <w:tc>
          <w:tcPr>
            <w:tcW w:w="1332" w:type="dxa"/>
            <w:tcBorders>
              <w:top w:val="single" w:color="D9D9D9" w:sz="2" w:space="0"/>
              <w:bottom w:val="single" w:color="D9D9D9" w:sz="2" w:space="0"/>
            </w:tcBorders>
          </w:tcPr>
          <w:p w:rsidR="00C31389" w:rsidRDefault="00561FBD" w14:paraId="085B97A4" w14:textId="77777777">
            <w:pPr>
              <w:pStyle w:val="TableParagraph"/>
              <w:spacing w:before="155"/>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3CD51757" w14:textId="77777777">
            <w:pPr>
              <w:pStyle w:val="TableParagraph"/>
              <w:spacing w:before="155"/>
              <w:ind w:left="140"/>
              <w:rPr>
                <w:sz w:val="20"/>
              </w:rPr>
            </w:pPr>
            <w:r>
              <w:rPr>
                <w:spacing w:val="-4"/>
                <w:sz w:val="20"/>
              </w:rPr>
              <w:t>HVAC</w:t>
            </w:r>
          </w:p>
        </w:tc>
        <w:tc>
          <w:tcPr>
            <w:tcW w:w="3785" w:type="dxa"/>
            <w:tcBorders>
              <w:top w:val="single" w:color="D9D9D9" w:sz="2" w:space="0"/>
              <w:bottom w:val="single" w:color="D9D9D9" w:sz="2" w:space="0"/>
            </w:tcBorders>
          </w:tcPr>
          <w:p w:rsidR="00C31389" w:rsidRDefault="00561FBD" w14:paraId="55ED3740" w14:textId="77777777">
            <w:pPr>
              <w:pStyle w:val="TableParagraph"/>
              <w:ind w:left="129" w:right="164"/>
              <w:rPr>
                <w:sz w:val="20"/>
              </w:rPr>
            </w:pPr>
            <w:r>
              <w:rPr>
                <w:sz w:val="20"/>
              </w:rPr>
              <w:t>Large</w:t>
            </w:r>
            <w:r>
              <w:rPr>
                <w:spacing w:val="-9"/>
                <w:sz w:val="20"/>
              </w:rPr>
              <w:t xml:space="preserve"> </w:t>
            </w:r>
            <w:r>
              <w:rPr>
                <w:sz w:val="20"/>
              </w:rPr>
              <w:t>Packaged</w:t>
            </w:r>
            <w:r>
              <w:rPr>
                <w:spacing w:val="-9"/>
                <w:sz w:val="20"/>
              </w:rPr>
              <w:t xml:space="preserve"> </w:t>
            </w:r>
            <w:r>
              <w:rPr>
                <w:sz w:val="20"/>
              </w:rPr>
              <w:t>Heat</w:t>
            </w:r>
            <w:r>
              <w:rPr>
                <w:spacing w:val="-9"/>
                <w:sz w:val="20"/>
              </w:rPr>
              <w:t xml:space="preserve"> </w:t>
            </w:r>
            <w:r>
              <w:rPr>
                <w:sz w:val="20"/>
              </w:rPr>
              <w:t>Pump</w:t>
            </w:r>
            <w:r>
              <w:rPr>
                <w:spacing w:val="-9"/>
                <w:sz w:val="20"/>
              </w:rPr>
              <w:t xml:space="preserve"> </w:t>
            </w:r>
            <w:r>
              <w:rPr>
                <w:sz w:val="20"/>
              </w:rPr>
              <w:t xml:space="preserve">(IEER </w:t>
            </w:r>
            <w:r>
              <w:rPr>
                <w:spacing w:val="-2"/>
                <w:sz w:val="20"/>
              </w:rPr>
              <w:t>14.0)</w:t>
            </w:r>
          </w:p>
        </w:tc>
        <w:tc>
          <w:tcPr>
            <w:tcW w:w="2467" w:type="dxa"/>
            <w:tcBorders>
              <w:top w:val="single" w:color="D9D9D9" w:sz="2" w:space="0"/>
              <w:bottom w:val="single" w:color="D9D9D9" w:sz="2" w:space="0"/>
            </w:tcBorders>
          </w:tcPr>
          <w:p w:rsidR="00C31389" w:rsidRDefault="00561FBD" w14:paraId="086D7981" w14:textId="77777777">
            <w:pPr>
              <w:pStyle w:val="TableParagraph"/>
              <w:ind w:left="139"/>
              <w:rPr>
                <w:sz w:val="20"/>
              </w:rPr>
            </w:pPr>
            <w:r>
              <w:rPr>
                <w:sz w:val="20"/>
              </w:rPr>
              <w:t>Com</w:t>
            </w:r>
            <w:r>
              <w:rPr>
                <w:spacing w:val="-14"/>
                <w:sz w:val="20"/>
              </w:rPr>
              <w:t xml:space="preserve"> </w:t>
            </w:r>
            <w:r>
              <w:rPr>
                <w:sz w:val="20"/>
              </w:rPr>
              <w:t>Central</w:t>
            </w:r>
            <w:r>
              <w:rPr>
                <w:spacing w:val="-14"/>
                <w:sz w:val="20"/>
              </w:rPr>
              <w:t xml:space="preserve"> </w:t>
            </w:r>
            <w:r>
              <w:rPr>
                <w:sz w:val="20"/>
              </w:rPr>
              <w:t>HVAC (Large) - Fuel Sub</w:t>
            </w:r>
          </w:p>
        </w:tc>
      </w:tr>
      <w:tr w:rsidR="00C31389" w14:paraId="6013EBE6" w14:textId="77777777">
        <w:trPr>
          <w:trHeight w:val="539"/>
        </w:trPr>
        <w:tc>
          <w:tcPr>
            <w:tcW w:w="1332" w:type="dxa"/>
            <w:tcBorders>
              <w:top w:val="single" w:color="D9D9D9" w:sz="2" w:space="0"/>
              <w:bottom w:val="single" w:color="D9D9D9" w:sz="2" w:space="0"/>
            </w:tcBorders>
          </w:tcPr>
          <w:p w:rsidR="00C31389" w:rsidRDefault="00561FBD" w14:paraId="6FF0705C" w14:textId="77777777">
            <w:pPr>
              <w:pStyle w:val="TableParagraph"/>
              <w:spacing w:before="155"/>
              <w:ind w:left="122"/>
              <w:rPr>
                <w:sz w:val="20"/>
              </w:rPr>
            </w:pPr>
            <w:r>
              <w:rPr>
                <w:spacing w:val="-2"/>
                <w:sz w:val="20"/>
              </w:rPr>
              <w:t>Commercial</w:t>
            </w:r>
          </w:p>
        </w:tc>
        <w:tc>
          <w:tcPr>
            <w:tcW w:w="1451" w:type="dxa"/>
            <w:tcBorders>
              <w:top w:val="single" w:color="D9D9D9" w:sz="2" w:space="0"/>
              <w:bottom w:val="single" w:color="D9D9D9" w:sz="2" w:space="0"/>
            </w:tcBorders>
          </w:tcPr>
          <w:p w:rsidR="00C31389" w:rsidRDefault="00561FBD" w14:paraId="76136457" w14:textId="77777777">
            <w:pPr>
              <w:pStyle w:val="TableParagraph"/>
              <w:spacing w:before="155"/>
              <w:ind w:left="140"/>
              <w:rPr>
                <w:sz w:val="20"/>
              </w:rPr>
            </w:pPr>
            <w:r>
              <w:rPr>
                <w:sz w:val="20"/>
              </w:rPr>
              <w:t>Water</w:t>
            </w:r>
            <w:r>
              <w:rPr>
                <w:spacing w:val="-3"/>
                <w:sz w:val="20"/>
              </w:rPr>
              <w:t xml:space="preserve"> </w:t>
            </w:r>
            <w:r>
              <w:rPr>
                <w:spacing w:val="-4"/>
                <w:sz w:val="20"/>
              </w:rPr>
              <w:t>Heat</w:t>
            </w:r>
          </w:p>
        </w:tc>
        <w:tc>
          <w:tcPr>
            <w:tcW w:w="3785" w:type="dxa"/>
            <w:tcBorders>
              <w:top w:val="single" w:color="D9D9D9" w:sz="2" w:space="0"/>
              <w:bottom w:val="single" w:color="D9D9D9" w:sz="2" w:space="0"/>
            </w:tcBorders>
          </w:tcPr>
          <w:p w:rsidR="00C31389" w:rsidRDefault="00561FBD" w14:paraId="60FD6599" w14:textId="77777777">
            <w:pPr>
              <w:pStyle w:val="TableParagraph"/>
              <w:ind w:left="129" w:right="164"/>
              <w:rPr>
                <w:sz w:val="20"/>
              </w:rPr>
            </w:pPr>
            <w:r>
              <w:rPr>
                <w:sz w:val="20"/>
              </w:rPr>
              <w:t>Com</w:t>
            </w:r>
            <w:r>
              <w:rPr>
                <w:spacing w:val="-8"/>
                <w:sz w:val="20"/>
              </w:rPr>
              <w:t xml:space="preserve"> </w:t>
            </w:r>
            <w:r>
              <w:rPr>
                <w:sz w:val="20"/>
              </w:rPr>
              <w:t>Heat</w:t>
            </w:r>
            <w:r>
              <w:rPr>
                <w:spacing w:val="-8"/>
                <w:sz w:val="20"/>
              </w:rPr>
              <w:t xml:space="preserve"> </w:t>
            </w:r>
            <w:r>
              <w:rPr>
                <w:sz w:val="20"/>
              </w:rPr>
              <w:t>Pump</w:t>
            </w:r>
            <w:r>
              <w:rPr>
                <w:spacing w:val="-8"/>
                <w:sz w:val="20"/>
              </w:rPr>
              <w:t xml:space="preserve"> </w:t>
            </w:r>
            <w:r>
              <w:rPr>
                <w:sz w:val="20"/>
              </w:rPr>
              <w:t>Water</w:t>
            </w:r>
            <w:r>
              <w:rPr>
                <w:spacing w:val="-8"/>
                <w:sz w:val="20"/>
              </w:rPr>
              <w:t xml:space="preserve"> </w:t>
            </w:r>
            <w:r>
              <w:rPr>
                <w:sz w:val="20"/>
              </w:rPr>
              <w:t>Heater</w:t>
            </w:r>
            <w:r>
              <w:rPr>
                <w:spacing w:val="-8"/>
                <w:sz w:val="20"/>
              </w:rPr>
              <w:t xml:space="preserve"> </w:t>
            </w:r>
            <w:r>
              <w:rPr>
                <w:sz w:val="20"/>
              </w:rPr>
              <w:t>(3.30 UEF - 50 Gal)</w:t>
            </w:r>
          </w:p>
        </w:tc>
        <w:tc>
          <w:tcPr>
            <w:tcW w:w="2467" w:type="dxa"/>
            <w:tcBorders>
              <w:top w:val="single" w:color="D9D9D9" w:sz="2" w:space="0"/>
              <w:bottom w:val="single" w:color="D9D9D9" w:sz="2" w:space="0"/>
            </w:tcBorders>
          </w:tcPr>
          <w:p w:rsidR="00C31389" w:rsidRDefault="00561FBD" w14:paraId="742F927E" w14:textId="77777777">
            <w:pPr>
              <w:pStyle w:val="TableParagraph"/>
              <w:ind w:left="140"/>
              <w:rPr>
                <w:sz w:val="20"/>
              </w:rPr>
            </w:pPr>
            <w:r>
              <w:rPr>
                <w:sz w:val="20"/>
              </w:rPr>
              <w:t>Com</w:t>
            </w:r>
            <w:r>
              <w:rPr>
                <w:spacing w:val="-13"/>
                <w:sz w:val="20"/>
              </w:rPr>
              <w:t xml:space="preserve"> </w:t>
            </w:r>
            <w:r>
              <w:rPr>
                <w:sz w:val="20"/>
              </w:rPr>
              <w:t>Small</w:t>
            </w:r>
            <w:r>
              <w:rPr>
                <w:spacing w:val="-13"/>
                <w:sz w:val="20"/>
              </w:rPr>
              <w:t xml:space="preserve"> </w:t>
            </w:r>
            <w:r>
              <w:rPr>
                <w:sz w:val="20"/>
              </w:rPr>
              <w:t>Gas</w:t>
            </w:r>
            <w:r>
              <w:rPr>
                <w:spacing w:val="-12"/>
                <w:sz w:val="20"/>
              </w:rPr>
              <w:t xml:space="preserve"> </w:t>
            </w:r>
            <w:r>
              <w:rPr>
                <w:sz w:val="20"/>
              </w:rPr>
              <w:t xml:space="preserve">Water </w:t>
            </w:r>
            <w:r>
              <w:rPr>
                <w:spacing w:val="-2"/>
                <w:sz w:val="20"/>
              </w:rPr>
              <w:t>Heaters</w:t>
            </w:r>
          </w:p>
        </w:tc>
      </w:tr>
      <w:tr w:rsidR="00C31389" w14:paraId="707022EE" w14:textId="77777777">
        <w:trPr>
          <w:trHeight w:val="540"/>
        </w:trPr>
        <w:tc>
          <w:tcPr>
            <w:tcW w:w="1332" w:type="dxa"/>
            <w:tcBorders>
              <w:top w:val="single" w:color="D9D9D9" w:sz="2" w:space="0"/>
              <w:bottom w:val="single" w:color="000000" w:sz="8" w:space="0"/>
            </w:tcBorders>
          </w:tcPr>
          <w:p w:rsidR="00C31389" w:rsidRDefault="00561FBD" w14:paraId="774DC7C5" w14:textId="77777777">
            <w:pPr>
              <w:pStyle w:val="TableParagraph"/>
              <w:spacing w:before="155"/>
              <w:ind w:left="122"/>
              <w:rPr>
                <w:sz w:val="20"/>
              </w:rPr>
            </w:pPr>
            <w:r>
              <w:rPr>
                <w:spacing w:val="-2"/>
                <w:sz w:val="20"/>
              </w:rPr>
              <w:t>Commercial</w:t>
            </w:r>
          </w:p>
        </w:tc>
        <w:tc>
          <w:tcPr>
            <w:tcW w:w="1451" w:type="dxa"/>
            <w:tcBorders>
              <w:top w:val="single" w:color="D9D9D9" w:sz="2" w:space="0"/>
              <w:bottom w:val="single" w:color="000000" w:sz="8" w:space="0"/>
            </w:tcBorders>
          </w:tcPr>
          <w:p w:rsidR="00C31389" w:rsidRDefault="00561FBD" w14:paraId="7DF5BC03" w14:textId="77777777">
            <w:pPr>
              <w:pStyle w:val="TableParagraph"/>
              <w:spacing w:before="155"/>
              <w:ind w:left="140"/>
              <w:rPr>
                <w:sz w:val="20"/>
              </w:rPr>
            </w:pPr>
            <w:r>
              <w:rPr>
                <w:sz w:val="20"/>
              </w:rPr>
              <w:t>Water</w:t>
            </w:r>
            <w:r>
              <w:rPr>
                <w:spacing w:val="-3"/>
                <w:sz w:val="20"/>
              </w:rPr>
              <w:t xml:space="preserve"> </w:t>
            </w:r>
            <w:r>
              <w:rPr>
                <w:spacing w:val="-4"/>
                <w:sz w:val="20"/>
              </w:rPr>
              <w:t>Heat</w:t>
            </w:r>
          </w:p>
        </w:tc>
        <w:tc>
          <w:tcPr>
            <w:tcW w:w="3785" w:type="dxa"/>
            <w:tcBorders>
              <w:top w:val="single" w:color="D9D9D9" w:sz="2" w:space="0"/>
              <w:bottom w:val="single" w:color="000000" w:sz="8" w:space="0"/>
            </w:tcBorders>
          </w:tcPr>
          <w:p w:rsidR="00C31389" w:rsidRDefault="00561FBD" w14:paraId="573AAB36" w14:textId="77777777">
            <w:pPr>
              <w:pStyle w:val="TableParagraph"/>
              <w:ind w:left="129" w:right="164"/>
              <w:rPr>
                <w:sz w:val="20"/>
              </w:rPr>
            </w:pPr>
            <w:r>
              <w:rPr>
                <w:sz w:val="20"/>
              </w:rPr>
              <w:t>Com</w:t>
            </w:r>
            <w:r>
              <w:rPr>
                <w:spacing w:val="-8"/>
                <w:sz w:val="20"/>
              </w:rPr>
              <w:t xml:space="preserve"> </w:t>
            </w:r>
            <w:r>
              <w:rPr>
                <w:sz w:val="20"/>
              </w:rPr>
              <w:t>Heat</w:t>
            </w:r>
            <w:r>
              <w:rPr>
                <w:spacing w:val="-8"/>
                <w:sz w:val="20"/>
              </w:rPr>
              <w:t xml:space="preserve"> </w:t>
            </w:r>
            <w:r>
              <w:rPr>
                <w:sz w:val="20"/>
              </w:rPr>
              <w:t>Pump</w:t>
            </w:r>
            <w:r>
              <w:rPr>
                <w:spacing w:val="-8"/>
                <w:sz w:val="20"/>
              </w:rPr>
              <w:t xml:space="preserve"> </w:t>
            </w:r>
            <w:r>
              <w:rPr>
                <w:sz w:val="20"/>
              </w:rPr>
              <w:t>Water</w:t>
            </w:r>
            <w:r>
              <w:rPr>
                <w:spacing w:val="-7"/>
                <w:sz w:val="20"/>
              </w:rPr>
              <w:t xml:space="preserve"> </w:t>
            </w:r>
            <w:r>
              <w:rPr>
                <w:sz w:val="20"/>
              </w:rPr>
              <w:t>Heater</w:t>
            </w:r>
            <w:r>
              <w:rPr>
                <w:spacing w:val="-7"/>
                <w:sz w:val="20"/>
              </w:rPr>
              <w:t xml:space="preserve"> </w:t>
            </w:r>
            <w:r>
              <w:rPr>
                <w:sz w:val="20"/>
              </w:rPr>
              <w:t>(4.3 COP - 100+ Gal, 200+ kBtuh)</w:t>
            </w:r>
          </w:p>
        </w:tc>
        <w:tc>
          <w:tcPr>
            <w:tcW w:w="2467" w:type="dxa"/>
            <w:tcBorders>
              <w:top w:val="single" w:color="D9D9D9" w:sz="2" w:space="0"/>
              <w:bottom w:val="single" w:color="000000" w:sz="8" w:space="0"/>
            </w:tcBorders>
          </w:tcPr>
          <w:p w:rsidR="00C31389" w:rsidRDefault="00561FBD" w14:paraId="00C714A8" w14:textId="77777777">
            <w:pPr>
              <w:pStyle w:val="TableParagraph"/>
              <w:ind w:left="139"/>
              <w:rPr>
                <w:sz w:val="20"/>
              </w:rPr>
            </w:pPr>
            <w:r>
              <w:rPr>
                <w:sz w:val="20"/>
              </w:rPr>
              <w:t>Com</w:t>
            </w:r>
            <w:r>
              <w:rPr>
                <w:spacing w:val="-13"/>
                <w:sz w:val="20"/>
              </w:rPr>
              <w:t xml:space="preserve"> </w:t>
            </w:r>
            <w:r>
              <w:rPr>
                <w:sz w:val="20"/>
              </w:rPr>
              <w:t>Large</w:t>
            </w:r>
            <w:r>
              <w:rPr>
                <w:spacing w:val="-13"/>
                <w:sz w:val="20"/>
              </w:rPr>
              <w:t xml:space="preserve"> </w:t>
            </w:r>
            <w:r>
              <w:rPr>
                <w:sz w:val="20"/>
              </w:rPr>
              <w:t>Gas</w:t>
            </w:r>
            <w:r>
              <w:rPr>
                <w:spacing w:val="-12"/>
                <w:sz w:val="20"/>
              </w:rPr>
              <w:t xml:space="preserve"> </w:t>
            </w:r>
            <w:r>
              <w:rPr>
                <w:sz w:val="20"/>
              </w:rPr>
              <w:t xml:space="preserve">Water </w:t>
            </w:r>
            <w:r>
              <w:rPr>
                <w:spacing w:val="-2"/>
                <w:sz w:val="20"/>
              </w:rPr>
              <w:t>Heaters</w:t>
            </w:r>
          </w:p>
        </w:tc>
      </w:tr>
    </w:tbl>
    <w:p w:rsidR="00C31389" w:rsidRDefault="00561FBD" w14:paraId="18F9039E" w14:textId="77777777">
      <w:pPr>
        <w:spacing w:before="43"/>
        <w:ind w:left="480"/>
        <w:rPr>
          <w:sz w:val="18"/>
        </w:rPr>
      </w:pPr>
      <w:r>
        <w:rPr>
          <w:sz w:val="18"/>
        </w:rPr>
        <w:t>*SEER</w:t>
      </w:r>
      <w:r>
        <w:rPr>
          <w:spacing w:val="-3"/>
          <w:sz w:val="18"/>
        </w:rPr>
        <w:t xml:space="preserve"> </w:t>
      </w:r>
      <w:r>
        <w:rPr>
          <w:sz w:val="18"/>
        </w:rPr>
        <w:t>=</w:t>
      </w:r>
      <w:r>
        <w:rPr>
          <w:spacing w:val="-2"/>
          <w:sz w:val="18"/>
        </w:rPr>
        <w:t xml:space="preserve"> </w:t>
      </w:r>
      <w:r>
        <w:rPr>
          <w:sz w:val="18"/>
        </w:rPr>
        <w:t>seasonal</w:t>
      </w:r>
      <w:r>
        <w:rPr>
          <w:spacing w:val="-3"/>
          <w:sz w:val="18"/>
        </w:rPr>
        <w:t xml:space="preserve"> </w:t>
      </w:r>
      <w:r>
        <w:rPr>
          <w:sz w:val="18"/>
        </w:rPr>
        <w:t>energy</w:t>
      </w:r>
      <w:r>
        <w:rPr>
          <w:spacing w:val="-2"/>
          <w:sz w:val="18"/>
        </w:rPr>
        <w:t xml:space="preserve"> </w:t>
      </w:r>
      <w:r>
        <w:rPr>
          <w:sz w:val="18"/>
        </w:rPr>
        <w:t>efficiency</w:t>
      </w:r>
      <w:r>
        <w:rPr>
          <w:spacing w:val="-3"/>
          <w:sz w:val="18"/>
        </w:rPr>
        <w:t xml:space="preserve"> </w:t>
      </w:r>
      <w:r>
        <w:rPr>
          <w:sz w:val="18"/>
        </w:rPr>
        <w:t>ratio;</w:t>
      </w:r>
      <w:r>
        <w:rPr>
          <w:spacing w:val="-2"/>
          <w:sz w:val="18"/>
        </w:rPr>
        <w:t xml:space="preserve"> </w:t>
      </w:r>
      <w:r>
        <w:rPr>
          <w:sz w:val="18"/>
        </w:rPr>
        <w:t>UEF</w:t>
      </w:r>
      <w:r>
        <w:rPr>
          <w:spacing w:val="-3"/>
          <w:sz w:val="18"/>
        </w:rPr>
        <w:t xml:space="preserve"> </w:t>
      </w:r>
      <w:r>
        <w:rPr>
          <w:sz w:val="18"/>
        </w:rPr>
        <w:t>=</w:t>
      </w:r>
      <w:r>
        <w:rPr>
          <w:spacing w:val="-2"/>
          <w:sz w:val="18"/>
        </w:rPr>
        <w:t xml:space="preserve"> </w:t>
      </w:r>
      <w:r>
        <w:rPr>
          <w:sz w:val="18"/>
        </w:rPr>
        <w:t>unit</w:t>
      </w:r>
      <w:r>
        <w:rPr>
          <w:spacing w:val="-3"/>
          <w:sz w:val="18"/>
        </w:rPr>
        <w:t xml:space="preserve"> </w:t>
      </w:r>
      <w:r>
        <w:rPr>
          <w:sz w:val="18"/>
        </w:rPr>
        <w:t>energy</w:t>
      </w:r>
      <w:r>
        <w:rPr>
          <w:spacing w:val="-2"/>
          <w:sz w:val="18"/>
        </w:rPr>
        <w:t xml:space="preserve"> factor</w:t>
      </w:r>
    </w:p>
    <w:p w:rsidR="00C31389" w:rsidRDefault="00561FBD" w14:paraId="240C8CDB" w14:textId="77777777">
      <w:pPr>
        <w:spacing w:before="58"/>
        <w:ind w:left="480"/>
        <w:rPr>
          <w:i/>
          <w:sz w:val="18"/>
        </w:rPr>
      </w:pPr>
      <w:r>
        <w:rPr>
          <w:i/>
          <w:sz w:val="18"/>
        </w:rPr>
        <w:t>Source:</w:t>
      </w:r>
      <w:r>
        <w:rPr>
          <w:i/>
          <w:spacing w:val="-4"/>
          <w:sz w:val="18"/>
        </w:rPr>
        <w:t xml:space="preserve"> </w:t>
      </w:r>
      <w:r>
        <w:rPr>
          <w:i/>
          <w:spacing w:val="-2"/>
          <w:sz w:val="18"/>
        </w:rPr>
        <w:t>Guidehouse</w:t>
      </w:r>
    </w:p>
    <w:p w:rsidR="00C31389" w:rsidRDefault="00C31389" w14:paraId="108479D7" w14:textId="77777777">
      <w:pPr>
        <w:pStyle w:val="BodyText"/>
        <w:spacing w:before="10"/>
        <w:rPr>
          <w:i/>
          <w:sz w:val="20"/>
        </w:rPr>
      </w:pPr>
    </w:p>
    <w:p w:rsidR="00C31389" w:rsidRDefault="00561FBD" w14:paraId="4542DD22" w14:textId="77777777">
      <w:pPr>
        <w:pStyle w:val="ListParagraph"/>
        <w:numPr>
          <w:ilvl w:val="1"/>
          <w:numId w:val="25"/>
        </w:numPr>
        <w:tabs>
          <w:tab w:val="left" w:pos="991"/>
        </w:tabs>
        <w:ind w:left="991" w:hanging="511"/>
        <w:rPr>
          <w:b/>
          <w:sz w:val="28"/>
        </w:rPr>
      </w:pPr>
      <w:bookmarkStart w:name="B.2_Technology_Characterization" w:id="326"/>
      <w:bookmarkStart w:name="_bookmark242" w:id="327"/>
      <w:bookmarkEnd w:id="326"/>
      <w:bookmarkEnd w:id="327"/>
      <w:r>
        <w:rPr>
          <w:b/>
          <w:spacing w:val="-4"/>
          <w:sz w:val="28"/>
        </w:rPr>
        <w:t>Technology</w:t>
      </w:r>
      <w:r>
        <w:rPr>
          <w:b/>
          <w:sz w:val="28"/>
        </w:rPr>
        <w:t xml:space="preserve"> </w:t>
      </w:r>
      <w:r>
        <w:rPr>
          <w:b/>
          <w:spacing w:val="-2"/>
          <w:sz w:val="28"/>
        </w:rPr>
        <w:t>Characterization</w:t>
      </w:r>
    </w:p>
    <w:p w:rsidR="00C31389" w:rsidRDefault="00561FBD" w14:paraId="312A4BC0" w14:textId="77777777">
      <w:pPr>
        <w:pStyle w:val="BodyText"/>
        <w:spacing w:before="241"/>
        <w:ind w:left="480" w:right="640"/>
      </w:pPr>
      <w:r>
        <w:t>The</w:t>
      </w:r>
      <w:r>
        <w:rPr>
          <w:spacing w:val="-4"/>
        </w:rPr>
        <w:t xml:space="preserve"> </w:t>
      </w:r>
      <w:r>
        <w:t>Guidehouse</w:t>
      </w:r>
      <w:r>
        <w:rPr>
          <w:spacing w:val="-4"/>
        </w:rPr>
        <w:t xml:space="preserve"> </w:t>
      </w:r>
      <w:r>
        <w:t>team</w:t>
      </w:r>
      <w:r>
        <w:rPr>
          <w:spacing w:val="-5"/>
        </w:rPr>
        <w:t xml:space="preserve"> </w:t>
      </w:r>
      <w:r>
        <w:t>characterized</w:t>
      </w:r>
      <w:r>
        <w:rPr>
          <w:spacing w:val="-5"/>
        </w:rPr>
        <w:t xml:space="preserve"> </w:t>
      </w:r>
      <w:r>
        <w:t>FS</w:t>
      </w:r>
      <w:r>
        <w:rPr>
          <w:spacing w:val="-4"/>
        </w:rPr>
        <w:t xml:space="preserve"> </w:t>
      </w:r>
      <w:r>
        <w:t>technologies</w:t>
      </w:r>
      <w:r>
        <w:rPr>
          <w:spacing w:val="-4"/>
        </w:rPr>
        <w:t xml:space="preserve"> </w:t>
      </w:r>
      <w:r>
        <w:t>and</w:t>
      </w:r>
      <w:r>
        <w:rPr>
          <w:spacing w:val="-4"/>
        </w:rPr>
        <w:t xml:space="preserve"> </w:t>
      </w:r>
      <w:r>
        <w:t>competing</w:t>
      </w:r>
      <w:r>
        <w:rPr>
          <w:spacing w:val="-4"/>
        </w:rPr>
        <w:t xml:space="preserve"> </w:t>
      </w:r>
      <w:r>
        <w:t>technologies</w:t>
      </w:r>
      <w:r>
        <w:rPr>
          <w:spacing w:val="-6"/>
        </w:rPr>
        <w:t xml:space="preserve"> </w:t>
      </w:r>
      <w:r>
        <w:t>within</w:t>
      </w:r>
      <w:r>
        <w:rPr>
          <w:spacing w:val="-4"/>
        </w:rPr>
        <w:t xml:space="preserve"> </w:t>
      </w:r>
      <w:r>
        <w:t xml:space="preserve">a technology group in the same way. The team developed inputs for each technology; these inputs include energy use, costs, market information, and other relevant fields (see </w:t>
      </w:r>
      <w:hyperlink w:history="1" w:anchor="_bookmark125">
        <w:r>
          <w:t>Table</w:t>
        </w:r>
      </w:hyperlink>
      <w:r>
        <w:t xml:space="preserve"> </w:t>
      </w:r>
      <w:hyperlink w:history="1" w:anchor="_bookmark125">
        <w:r>
          <w:t>3-10</w:t>
        </w:r>
      </w:hyperlink>
      <w:r>
        <w:t xml:space="preserve"> for a full list of technology characterization inputs). As with non-FS technologies, the</w:t>
      </w:r>
    </w:p>
    <w:p w:rsidR="00C31389" w:rsidRDefault="00C31389" w14:paraId="3EA8DBE4" w14:textId="77777777">
      <w:pPr>
        <w:sectPr w:rsidR="00C31389">
          <w:headerReference w:type="default" r:id="rId210"/>
          <w:footerReference w:type="default" r:id="rId211"/>
          <w:pgSz w:w="11910" w:h="16840"/>
          <w:pgMar w:top="1660" w:right="1020" w:bottom="1120" w:left="960" w:header="397" w:footer="938" w:gutter="0"/>
          <w:cols w:space="720"/>
        </w:sectPr>
      </w:pPr>
    </w:p>
    <w:p w:rsidR="00C31389" w:rsidRDefault="00C31389" w14:paraId="6F089D2E" w14:textId="77777777">
      <w:pPr>
        <w:pStyle w:val="BodyText"/>
        <w:spacing w:before="11"/>
        <w:rPr>
          <w:sz w:val="13"/>
        </w:rPr>
      </w:pPr>
    </w:p>
    <w:p w:rsidR="00C31389" w:rsidRDefault="00561FBD" w14:paraId="3882E85F" w14:textId="77777777">
      <w:pPr>
        <w:pStyle w:val="BodyText"/>
        <w:spacing w:before="92"/>
        <w:ind w:left="479" w:right="445"/>
        <w:rPr>
          <w:sz w:val="14"/>
        </w:rPr>
      </w:pPr>
      <w:r>
        <w:t>absolute energy use associated with the technology level is specified. Because the FS technology</w:t>
      </w:r>
      <w:r>
        <w:rPr>
          <w:spacing w:val="-4"/>
        </w:rPr>
        <w:t xml:space="preserve"> </w:t>
      </w:r>
      <w:r>
        <w:t>is</w:t>
      </w:r>
      <w:r>
        <w:rPr>
          <w:spacing w:val="-3"/>
        </w:rPr>
        <w:t xml:space="preserve"> </w:t>
      </w:r>
      <w:r>
        <w:t>specifically</w:t>
      </w:r>
      <w:r>
        <w:rPr>
          <w:spacing w:val="-3"/>
        </w:rPr>
        <w:t xml:space="preserve"> </w:t>
      </w:r>
      <w:r>
        <w:t>substituting</w:t>
      </w:r>
      <w:r>
        <w:rPr>
          <w:spacing w:val="-3"/>
        </w:rPr>
        <w:t xml:space="preserve"> </w:t>
      </w:r>
      <w:r>
        <w:t>gas</w:t>
      </w:r>
      <w:r>
        <w:rPr>
          <w:spacing w:val="-3"/>
        </w:rPr>
        <w:t xml:space="preserve"> </w:t>
      </w:r>
      <w:r>
        <w:t>use</w:t>
      </w:r>
      <w:r>
        <w:rPr>
          <w:spacing w:val="-3"/>
        </w:rPr>
        <w:t xml:space="preserve"> </w:t>
      </w:r>
      <w:r>
        <w:t>with</w:t>
      </w:r>
      <w:r>
        <w:rPr>
          <w:spacing w:val="-3"/>
        </w:rPr>
        <w:t xml:space="preserve"> </w:t>
      </w:r>
      <w:r>
        <w:t>electricity</w:t>
      </w:r>
      <w:r>
        <w:rPr>
          <w:spacing w:val="-4"/>
        </w:rPr>
        <w:t xml:space="preserve"> </w:t>
      </w:r>
      <w:r>
        <w:t>use,</w:t>
      </w:r>
      <w:r>
        <w:rPr>
          <w:spacing w:val="-3"/>
        </w:rPr>
        <w:t xml:space="preserve"> </w:t>
      </w:r>
      <w:r>
        <w:t>the</w:t>
      </w:r>
      <w:r>
        <w:rPr>
          <w:spacing w:val="-3"/>
        </w:rPr>
        <w:t xml:space="preserve"> </w:t>
      </w:r>
      <w:r>
        <w:t>energy</w:t>
      </w:r>
      <w:r>
        <w:rPr>
          <w:spacing w:val="-3"/>
        </w:rPr>
        <w:t xml:space="preserve"> </w:t>
      </w:r>
      <w:r>
        <w:t>use</w:t>
      </w:r>
      <w:r>
        <w:rPr>
          <w:spacing w:val="-3"/>
        </w:rPr>
        <w:t xml:space="preserve"> </w:t>
      </w:r>
      <w:r>
        <w:t>for</w:t>
      </w:r>
      <w:r>
        <w:rPr>
          <w:spacing w:val="-3"/>
        </w:rPr>
        <w:t xml:space="preserve"> </w:t>
      </w:r>
      <w:r>
        <w:t>the</w:t>
      </w:r>
      <w:r>
        <w:rPr>
          <w:spacing w:val="-3"/>
        </w:rPr>
        <w:t xml:space="preserve"> </w:t>
      </w:r>
      <w:r>
        <w:t xml:space="preserve">FS level is specified in kilowatt-hours (kWh), while the </w:t>
      </w:r>
      <w:r>
        <w:t>energy use for the baseline and competing</w:t>
      </w:r>
      <w:r>
        <w:rPr>
          <w:spacing w:val="-2"/>
        </w:rPr>
        <w:t xml:space="preserve"> </w:t>
      </w:r>
      <w:r>
        <w:t>gas</w:t>
      </w:r>
      <w:r>
        <w:rPr>
          <w:spacing w:val="-2"/>
        </w:rPr>
        <w:t xml:space="preserve"> </w:t>
      </w:r>
      <w:r>
        <w:t>efficient</w:t>
      </w:r>
      <w:r>
        <w:rPr>
          <w:spacing w:val="-2"/>
        </w:rPr>
        <w:t xml:space="preserve"> </w:t>
      </w:r>
      <w:r>
        <w:t>technology</w:t>
      </w:r>
      <w:r>
        <w:rPr>
          <w:spacing w:val="-3"/>
        </w:rPr>
        <w:t xml:space="preserve"> </w:t>
      </w:r>
      <w:r>
        <w:t>levels</w:t>
      </w:r>
      <w:r>
        <w:rPr>
          <w:spacing w:val="-1"/>
        </w:rPr>
        <w:t xml:space="preserve"> </w:t>
      </w:r>
      <w:r>
        <w:t>are</w:t>
      </w:r>
      <w:r>
        <w:rPr>
          <w:spacing w:val="-3"/>
        </w:rPr>
        <w:t xml:space="preserve"> </w:t>
      </w:r>
      <w:r>
        <w:t>specified</w:t>
      </w:r>
      <w:r>
        <w:rPr>
          <w:spacing w:val="-2"/>
        </w:rPr>
        <w:t xml:space="preserve"> </w:t>
      </w:r>
      <w:r>
        <w:t>in</w:t>
      </w:r>
      <w:r>
        <w:rPr>
          <w:spacing w:val="-3"/>
        </w:rPr>
        <w:t xml:space="preserve"> </w:t>
      </w:r>
      <w:r>
        <w:t>therms.</w:t>
      </w:r>
      <w:r>
        <w:rPr>
          <w:spacing w:val="-2"/>
        </w:rPr>
        <w:t xml:space="preserve"> </w:t>
      </w:r>
      <w:r>
        <w:t>The</w:t>
      </w:r>
      <w:r>
        <w:rPr>
          <w:spacing w:val="-2"/>
        </w:rPr>
        <w:t xml:space="preserve"> </w:t>
      </w:r>
      <w:r>
        <w:t>model</w:t>
      </w:r>
      <w:r>
        <w:rPr>
          <w:spacing w:val="-2"/>
        </w:rPr>
        <w:t xml:space="preserve"> </w:t>
      </w:r>
      <w:r>
        <w:t>converts</w:t>
      </w:r>
      <w:r>
        <w:rPr>
          <w:spacing w:val="-2"/>
        </w:rPr>
        <w:t xml:space="preserve"> </w:t>
      </w:r>
      <w:r>
        <w:t>all</w:t>
      </w:r>
      <w:r>
        <w:rPr>
          <w:spacing w:val="-2"/>
        </w:rPr>
        <w:t xml:space="preserve"> </w:t>
      </w:r>
      <w:r>
        <w:t>of these energy use values into a common energy metric—Btu—so the technologies can compete on a neutral unit basis.</w:t>
      </w:r>
      <w:hyperlink w:history="1" w:anchor="_bookmark243">
        <w:r>
          <w:rPr>
            <w:position w:val="7"/>
            <w:sz w:val="14"/>
          </w:rPr>
          <w:t>76</w:t>
        </w:r>
      </w:hyperlink>
    </w:p>
    <w:p w:rsidR="00C31389" w:rsidRDefault="00C31389" w14:paraId="11194554" w14:textId="77777777">
      <w:pPr>
        <w:pStyle w:val="BodyText"/>
        <w:spacing w:before="10"/>
        <w:rPr>
          <w:sz w:val="20"/>
        </w:rPr>
      </w:pPr>
    </w:p>
    <w:p w:rsidR="00C31389" w:rsidRDefault="00561FBD" w14:paraId="11855F91" w14:textId="77777777">
      <w:pPr>
        <w:pStyle w:val="BodyText"/>
        <w:spacing w:before="1"/>
        <w:ind w:left="479" w:right="434"/>
      </w:pPr>
      <w:r>
        <w:t>For</w:t>
      </w:r>
      <w:r>
        <w:rPr>
          <w:spacing w:val="-3"/>
        </w:rPr>
        <w:t xml:space="preserve"> </w:t>
      </w:r>
      <w:r>
        <w:t>customers</w:t>
      </w:r>
      <w:r>
        <w:rPr>
          <w:spacing w:val="-3"/>
        </w:rPr>
        <w:t xml:space="preserve"> </w:t>
      </w:r>
      <w:r>
        <w:t>whose</w:t>
      </w:r>
      <w:r>
        <w:rPr>
          <w:spacing w:val="-3"/>
        </w:rPr>
        <w:t xml:space="preserve"> </w:t>
      </w:r>
      <w:r>
        <w:t>electricity</w:t>
      </w:r>
      <w:r>
        <w:rPr>
          <w:spacing w:val="-3"/>
        </w:rPr>
        <w:t xml:space="preserve"> </w:t>
      </w:r>
      <w:r>
        <w:t>and</w:t>
      </w:r>
      <w:r>
        <w:rPr>
          <w:spacing w:val="-4"/>
        </w:rPr>
        <w:t xml:space="preserve"> </w:t>
      </w:r>
      <w:r>
        <w:t>gas</w:t>
      </w:r>
      <w:r>
        <w:rPr>
          <w:spacing w:val="-3"/>
        </w:rPr>
        <w:t xml:space="preserve"> </w:t>
      </w:r>
      <w:r>
        <w:t>are</w:t>
      </w:r>
      <w:r>
        <w:rPr>
          <w:spacing w:val="-3"/>
        </w:rPr>
        <w:t xml:space="preserve"> </w:t>
      </w:r>
      <w:r>
        <w:t>provided</w:t>
      </w:r>
      <w:r>
        <w:rPr>
          <w:spacing w:val="-2"/>
        </w:rPr>
        <w:t xml:space="preserve"> </w:t>
      </w:r>
      <w:r>
        <w:t>by</w:t>
      </w:r>
      <w:r>
        <w:rPr>
          <w:spacing w:val="-3"/>
        </w:rPr>
        <w:t xml:space="preserve"> </w:t>
      </w:r>
      <w:r>
        <w:t>different</w:t>
      </w:r>
      <w:r>
        <w:rPr>
          <w:spacing w:val="-3"/>
        </w:rPr>
        <w:t xml:space="preserve"> </w:t>
      </w:r>
      <w:r>
        <w:t>utilities</w:t>
      </w:r>
      <w:r>
        <w:rPr>
          <w:spacing w:val="-3"/>
        </w:rPr>
        <w:t xml:space="preserve"> </w:t>
      </w:r>
      <w:r>
        <w:t>(i.e.,</w:t>
      </w:r>
      <w:r>
        <w:rPr>
          <w:spacing w:val="-3"/>
        </w:rPr>
        <w:t xml:space="preserve"> </w:t>
      </w:r>
      <w:r>
        <w:t>where</w:t>
      </w:r>
      <w:r>
        <w:rPr>
          <w:spacing w:val="-3"/>
        </w:rPr>
        <w:t xml:space="preserve"> </w:t>
      </w:r>
      <w:r>
        <w:t>SCG</w:t>
      </w:r>
      <w:r>
        <w:rPr>
          <w:spacing w:val="-4"/>
        </w:rPr>
        <w:t xml:space="preserve"> </w:t>
      </w:r>
      <w:r>
        <w:t>is the gas utility and SCE is the electric utility), the Guidehouse team modified the usual appr</w:t>
      </w:r>
      <w:r>
        <w:t>oach to allow the gas and electric technologies to compete in the same technology group. Under California policy, when SCE implements FS programs in areas where the gas service is provided by SCG, SCE is assigned savings by converting the gas savings to el</w:t>
      </w:r>
      <w:r>
        <w:t>ectricity</w:t>
      </w:r>
      <w:r>
        <w:rPr>
          <w:spacing w:val="-3"/>
        </w:rPr>
        <w:t xml:space="preserve"> </w:t>
      </w:r>
      <w:r>
        <w:t>savings</w:t>
      </w:r>
      <w:r>
        <w:rPr>
          <w:spacing w:val="-3"/>
        </w:rPr>
        <w:t xml:space="preserve"> </w:t>
      </w:r>
      <w:r>
        <w:t>using</w:t>
      </w:r>
      <w:r>
        <w:rPr>
          <w:spacing w:val="-4"/>
        </w:rPr>
        <w:t xml:space="preserve"> </w:t>
      </w:r>
      <w:r>
        <w:t>a</w:t>
      </w:r>
      <w:r>
        <w:rPr>
          <w:spacing w:val="-3"/>
        </w:rPr>
        <w:t xml:space="preserve"> </w:t>
      </w:r>
      <w:r>
        <w:t>predetermined</w:t>
      </w:r>
      <w:r>
        <w:rPr>
          <w:spacing w:val="-3"/>
        </w:rPr>
        <w:t xml:space="preserve"> </w:t>
      </w:r>
      <w:r>
        <w:t>conversion</w:t>
      </w:r>
      <w:r>
        <w:rPr>
          <w:spacing w:val="-3"/>
        </w:rPr>
        <w:t xml:space="preserve"> </w:t>
      </w:r>
      <w:r>
        <w:t>factor.</w:t>
      </w:r>
      <w:r>
        <w:rPr>
          <w:spacing w:val="-4"/>
        </w:rPr>
        <w:t xml:space="preserve"> </w:t>
      </w:r>
      <w:r>
        <w:t>Within</w:t>
      </w:r>
      <w:r>
        <w:rPr>
          <w:spacing w:val="-3"/>
        </w:rPr>
        <w:t xml:space="preserve"> </w:t>
      </w:r>
      <w:r>
        <w:t>the</w:t>
      </w:r>
      <w:r>
        <w:rPr>
          <w:spacing w:val="-2"/>
        </w:rPr>
        <w:t xml:space="preserve"> </w:t>
      </w:r>
      <w:r>
        <w:t>2023</w:t>
      </w:r>
      <w:r>
        <w:rPr>
          <w:spacing w:val="-3"/>
        </w:rPr>
        <w:t xml:space="preserve"> </w:t>
      </w:r>
      <w:r>
        <w:t>Study,</w:t>
      </w:r>
      <w:r>
        <w:rPr>
          <w:spacing w:val="-4"/>
        </w:rPr>
        <w:t xml:space="preserve"> </w:t>
      </w:r>
      <w:r>
        <w:t>however, the model needs to account for the competing gas efficient technology, whose gas savings would normally be assigned to SCG. The team implemented the following analys</w:t>
      </w:r>
      <w:r>
        <w:t>is steps to allow the electric FS measure to compete with the efficient gas measure.</w:t>
      </w:r>
    </w:p>
    <w:p w:rsidR="00C31389" w:rsidRDefault="00561FBD" w14:paraId="44AFEC0E" w14:textId="77777777">
      <w:pPr>
        <w:pStyle w:val="ListParagraph"/>
        <w:numPr>
          <w:ilvl w:val="0"/>
          <w:numId w:val="24"/>
        </w:numPr>
        <w:tabs>
          <w:tab w:val="left" w:pos="1200"/>
        </w:tabs>
        <w:spacing w:before="119"/>
        <w:ind w:right="543"/>
      </w:pPr>
      <w:r>
        <w:rPr>
          <w:b/>
        </w:rPr>
        <w:t>Step</w:t>
      </w:r>
      <w:r>
        <w:rPr>
          <w:b/>
          <w:spacing w:val="-4"/>
        </w:rPr>
        <w:t xml:space="preserve"> </w:t>
      </w:r>
      <w:r>
        <w:rPr>
          <w:b/>
        </w:rPr>
        <w:t>1.</w:t>
      </w:r>
      <w:r>
        <w:rPr>
          <w:b/>
          <w:spacing w:val="-4"/>
        </w:rPr>
        <w:t xml:space="preserve"> </w:t>
      </w:r>
      <w:r>
        <w:rPr>
          <w:b/>
        </w:rPr>
        <w:t>Characterization:</w:t>
      </w:r>
      <w:r>
        <w:rPr>
          <w:b/>
          <w:spacing w:val="-4"/>
        </w:rPr>
        <w:t xml:space="preserve"> </w:t>
      </w:r>
      <w:r>
        <w:t>The</w:t>
      </w:r>
      <w:r>
        <w:rPr>
          <w:spacing w:val="-4"/>
        </w:rPr>
        <w:t xml:space="preserve"> </w:t>
      </w:r>
      <w:r>
        <w:t>team</w:t>
      </w:r>
      <w:r>
        <w:rPr>
          <w:spacing w:val="-5"/>
        </w:rPr>
        <w:t xml:space="preserve"> </w:t>
      </w:r>
      <w:r>
        <w:t>characterized</w:t>
      </w:r>
      <w:r>
        <w:rPr>
          <w:spacing w:val="-4"/>
        </w:rPr>
        <w:t xml:space="preserve"> </w:t>
      </w:r>
      <w:r>
        <w:t>FS</w:t>
      </w:r>
      <w:r>
        <w:rPr>
          <w:spacing w:val="-4"/>
        </w:rPr>
        <w:t xml:space="preserve"> </w:t>
      </w:r>
      <w:r>
        <w:t>technology</w:t>
      </w:r>
      <w:r>
        <w:rPr>
          <w:spacing w:val="-4"/>
        </w:rPr>
        <w:t xml:space="preserve"> </w:t>
      </w:r>
      <w:r>
        <w:t>groups</w:t>
      </w:r>
      <w:r>
        <w:rPr>
          <w:spacing w:val="-4"/>
        </w:rPr>
        <w:t xml:space="preserve"> </w:t>
      </w:r>
      <w:r>
        <w:t>as</w:t>
      </w:r>
      <w:r>
        <w:rPr>
          <w:spacing w:val="-4"/>
        </w:rPr>
        <w:t xml:space="preserve"> </w:t>
      </w:r>
      <w:r>
        <w:t>though they were in SCG territory only (not in SCE territory). This was done so the FS measures co</w:t>
      </w:r>
      <w:r>
        <w:t>uld compete with the gas measures.</w:t>
      </w:r>
    </w:p>
    <w:p w:rsidR="00C31389" w:rsidRDefault="00561FBD" w14:paraId="2BFFBFA3" w14:textId="77777777">
      <w:pPr>
        <w:pStyle w:val="ListParagraph"/>
        <w:numPr>
          <w:ilvl w:val="0"/>
          <w:numId w:val="24"/>
        </w:numPr>
        <w:tabs>
          <w:tab w:val="left" w:pos="1200"/>
        </w:tabs>
        <w:spacing w:before="118"/>
        <w:ind w:right="802" w:hanging="361"/>
      </w:pPr>
      <w:r>
        <w:rPr>
          <w:b/>
        </w:rPr>
        <w:t>Step</w:t>
      </w:r>
      <w:r>
        <w:rPr>
          <w:b/>
          <w:spacing w:val="-4"/>
        </w:rPr>
        <w:t xml:space="preserve"> </w:t>
      </w:r>
      <w:r>
        <w:rPr>
          <w:b/>
        </w:rPr>
        <w:t>2.</w:t>
      </w:r>
      <w:r>
        <w:rPr>
          <w:b/>
          <w:spacing w:val="-4"/>
        </w:rPr>
        <w:t xml:space="preserve"> </w:t>
      </w:r>
      <w:r>
        <w:rPr>
          <w:b/>
        </w:rPr>
        <w:t>Cost-effectiveness</w:t>
      </w:r>
      <w:r>
        <w:rPr>
          <w:b/>
          <w:spacing w:val="-4"/>
        </w:rPr>
        <w:t xml:space="preserve"> </w:t>
      </w:r>
      <w:r>
        <w:rPr>
          <w:b/>
        </w:rPr>
        <w:t>analysis:</w:t>
      </w:r>
      <w:r>
        <w:rPr>
          <w:b/>
          <w:spacing w:val="-3"/>
        </w:rPr>
        <w:t xml:space="preserve"> </w:t>
      </w:r>
      <w:r>
        <w:t>The</w:t>
      </w:r>
      <w:r>
        <w:rPr>
          <w:spacing w:val="-4"/>
        </w:rPr>
        <w:t xml:space="preserve"> </w:t>
      </w:r>
      <w:r>
        <w:t>team</w:t>
      </w:r>
      <w:r>
        <w:rPr>
          <w:spacing w:val="-5"/>
        </w:rPr>
        <w:t xml:space="preserve"> </w:t>
      </w:r>
      <w:r>
        <w:t>used</w:t>
      </w:r>
      <w:r>
        <w:rPr>
          <w:spacing w:val="-4"/>
        </w:rPr>
        <w:t xml:space="preserve"> </w:t>
      </w:r>
      <w:r>
        <w:t>SCE</w:t>
      </w:r>
      <w:r>
        <w:rPr>
          <w:spacing w:val="-4"/>
        </w:rPr>
        <w:t xml:space="preserve"> </w:t>
      </w:r>
      <w:r>
        <w:t>avoided</w:t>
      </w:r>
      <w:r>
        <w:rPr>
          <w:spacing w:val="-4"/>
        </w:rPr>
        <w:t xml:space="preserve"> </w:t>
      </w:r>
      <w:r>
        <w:t>costs</w:t>
      </w:r>
      <w:r>
        <w:rPr>
          <w:spacing w:val="-4"/>
        </w:rPr>
        <w:t xml:space="preserve"> </w:t>
      </w:r>
      <w:r>
        <w:t>for</w:t>
      </w:r>
      <w:r>
        <w:rPr>
          <w:spacing w:val="-4"/>
        </w:rPr>
        <w:t xml:space="preserve"> </w:t>
      </w:r>
      <w:r>
        <w:t>fuel sub measures competing with gas measures for the cost-effectiveness analysis.</w:t>
      </w:r>
    </w:p>
    <w:p w:rsidR="00C31389" w:rsidRDefault="00561FBD" w14:paraId="0D678EEF" w14:textId="77777777">
      <w:pPr>
        <w:pStyle w:val="ListParagraph"/>
        <w:numPr>
          <w:ilvl w:val="0"/>
          <w:numId w:val="24"/>
        </w:numPr>
        <w:tabs>
          <w:tab w:val="left" w:pos="1200"/>
        </w:tabs>
        <w:spacing w:before="119"/>
        <w:ind w:right="459"/>
      </w:pPr>
      <w:r>
        <w:rPr>
          <w:b/>
        </w:rPr>
        <w:t xml:space="preserve">Step 3. Potential modeling: </w:t>
      </w:r>
      <w:r>
        <w:t xml:space="preserve">The model logic reassigns any gas </w:t>
      </w:r>
      <w:r>
        <w:t>savings from FS technologies</w:t>
      </w:r>
      <w:r>
        <w:rPr>
          <w:spacing w:val="-3"/>
        </w:rPr>
        <w:t xml:space="preserve"> </w:t>
      </w:r>
      <w:r>
        <w:t>from</w:t>
      </w:r>
      <w:r>
        <w:rPr>
          <w:spacing w:val="-4"/>
        </w:rPr>
        <w:t xml:space="preserve"> </w:t>
      </w:r>
      <w:r>
        <w:t>SCG</w:t>
      </w:r>
      <w:r>
        <w:rPr>
          <w:spacing w:val="-3"/>
        </w:rPr>
        <w:t xml:space="preserve"> </w:t>
      </w:r>
      <w:r>
        <w:t>to</w:t>
      </w:r>
      <w:r>
        <w:rPr>
          <w:spacing w:val="-3"/>
        </w:rPr>
        <w:t xml:space="preserve"> </w:t>
      </w:r>
      <w:r>
        <w:t>SCE</w:t>
      </w:r>
      <w:r>
        <w:rPr>
          <w:spacing w:val="-3"/>
        </w:rPr>
        <w:t xml:space="preserve"> </w:t>
      </w:r>
      <w:r>
        <w:t>with</w:t>
      </w:r>
      <w:r>
        <w:rPr>
          <w:spacing w:val="-2"/>
        </w:rPr>
        <w:t xml:space="preserve"> </w:t>
      </w:r>
      <w:r>
        <w:t>a</w:t>
      </w:r>
      <w:r>
        <w:rPr>
          <w:spacing w:val="-3"/>
        </w:rPr>
        <w:t xml:space="preserve"> </w:t>
      </w:r>
      <w:r>
        <w:t>de-rating</w:t>
      </w:r>
      <w:r>
        <w:rPr>
          <w:spacing w:val="-3"/>
        </w:rPr>
        <w:t xml:space="preserve"> </w:t>
      </w:r>
      <w:r>
        <w:t>factor</w:t>
      </w:r>
      <w:r>
        <w:rPr>
          <w:spacing w:val="-3"/>
        </w:rPr>
        <w:t xml:space="preserve"> </w:t>
      </w:r>
      <w:r>
        <w:t>to</w:t>
      </w:r>
      <w:r>
        <w:rPr>
          <w:spacing w:val="-3"/>
        </w:rPr>
        <w:t xml:space="preserve"> </w:t>
      </w:r>
      <w:r>
        <w:t>account</w:t>
      </w:r>
      <w:r>
        <w:rPr>
          <w:spacing w:val="-3"/>
        </w:rPr>
        <w:t xml:space="preserve"> </w:t>
      </w:r>
      <w:r>
        <w:t>for</w:t>
      </w:r>
      <w:r>
        <w:rPr>
          <w:spacing w:val="-3"/>
        </w:rPr>
        <w:t xml:space="preserve"> </w:t>
      </w:r>
      <w:r>
        <w:t>the</w:t>
      </w:r>
      <w:r>
        <w:rPr>
          <w:spacing w:val="-4"/>
        </w:rPr>
        <w:t xml:space="preserve"> </w:t>
      </w:r>
      <w:r>
        <w:t>proportion</w:t>
      </w:r>
      <w:r>
        <w:rPr>
          <w:spacing w:val="-3"/>
        </w:rPr>
        <w:t xml:space="preserve"> </w:t>
      </w:r>
      <w:r>
        <w:t>of SCG customers whose electricity is provided by utilities other than SCE (primarily Los Angeles Department of Water and Power, or LADWP). The energy saving</w:t>
      </w:r>
      <w:r>
        <w:t>s potential for the study would include a certain amount of gas savings being assigned to SCE.</w:t>
      </w:r>
    </w:p>
    <w:p w:rsidR="00C31389" w:rsidRDefault="00561FBD" w14:paraId="58E31B93" w14:textId="77777777">
      <w:pPr>
        <w:pStyle w:val="ListParagraph"/>
        <w:numPr>
          <w:ilvl w:val="0"/>
          <w:numId w:val="24"/>
        </w:numPr>
        <w:tabs>
          <w:tab w:val="left" w:pos="1200"/>
        </w:tabs>
        <w:spacing w:before="118"/>
        <w:ind w:right="444" w:hanging="361"/>
      </w:pPr>
      <w:r>
        <w:rPr>
          <w:b/>
        </w:rPr>
        <w:t>Step</w:t>
      </w:r>
      <w:r>
        <w:rPr>
          <w:b/>
          <w:spacing w:val="-3"/>
        </w:rPr>
        <w:t xml:space="preserve"> </w:t>
      </w:r>
      <w:r>
        <w:rPr>
          <w:b/>
        </w:rPr>
        <w:t>4.</w:t>
      </w:r>
      <w:r>
        <w:rPr>
          <w:b/>
          <w:spacing w:val="-3"/>
        </w:rPr>
        <w:t xml:space="preserve"> </w:t>
      </w:r>
      <w:r>
        <w:rPr>
          <w:b/>
        </w:rPr>
        <w:t>Goal</w:t>
      </w:r>
      <w:r>
        <w:rPr>
          <w:b/>
          <w:spacing w:val="-3"/>
        </w:rPr>
        <w:t xml:space="preserve"> </w:t>
      </w:r>
      <w:r>
        <w:rPr>
          <w:b/>
        </w:rPr>
        <w:t>setting:</w:t>
      </w:r>
      <w:r>
        <w:rPr>
          <w:b/>
          <w:spacing w:val="-3"/>
        </w:rPr>
        <w:t xml:space="preserve"> </w:t>
      </w:r>
      <w:r>
        <w:t>Guidehouse</w:t>
      </w:r>
      <w:r>
        <w:rPr>
          <w:spacing w:val="-3"/>
        </w:rPr>
        <w:t xml:space="preserve"> </w:t>
      </w:r>
      <w:r>
        <w:t>calculated</w:t>
      </w:r>
      <w:r>
        <w:rPr>
          <w:spacing w:val="-3"/>
        </w:rPr>
        <w:t xml:space="preserve"> </w:t>
      </w:r>
      <w:r>
        <w:t>a</w:t>
      </w:r>
      <w:r>
        <w:rPr>
          <w:spacing w:val="-4"/>
        </w:rPr>
        <w:t xml:space="preserve"> </w:t>
      </w:r>
      <w:r>
        <w:t>converted</w:t>
      </w:r>
      <w:r>
        <w:rPr>
          <w:spacing w:val="-3"/>
        </w:rPr>
        <w:t xml:space="preserve"> </w:t>
      </w:r>
      <w:r>
        <w:t>FS</w:t>
      </w:r>
      <w:r>
        <w:rPr>
          <w:spacing w:val="-3"/>
        </w:rPr>
        <w:t xml:space="preserve"> </w:t>
      </w:r>
      <w:r>
        <w:t>savings</w:t>
      </w:r>
      <w:r>
        <w:rPr>
          <w:spacing w:val="-3"/>
        </w:rPr>
        <w:t xml:space="preserve"> </w:t>
      </w:r>
      <w:r>
        <w:t>to</w:t>
      </w:r>
      <w:r>
        <w:rPr>
          <w:spacing w:val="-4"/>
        </w:rPr>
        <w:t xml:space="preserve"> </w:t>
      </w:r>
      <w:r>
        <w:t>the</w:t>
      </w:r>
      <w:r>
        <w:rPr>
          <w:spacing w:val="-3"/>
        </w:rPr>
        <w:t xml:space="preserve"> </w:t>
      </w:r>
      <w:r>
        <w:t>new</w:t>
      </w:r>
      <w:r>
        <w:rPr>
          <w:spacing w:val="-4"/>
        </w:rPr>
        <w:t xml:space="preserve"> </w:t>
      </w:r>
      <w:r>
        <w:t xml:space="preserve">fuel </w:t>
      </w:r>
      <w:r>
        <w:rPr>
          <w:spacing w:val="-2"/>
        </w:rPr>
        <w:t>units.</w:t>
      </w:r>
    </w:p>
    <w:p w:rsidR="00C31389" w:rsidRDefault="00C31389" w14:paraId="1BA5AB73" w14:textId="77777777">
      <w:pPr>
        <w:pStyle w:val="BodyText"/>
        <w:spacing w:before="8"/>
        <w:rPr>
          <w:sz w:val="20"/>
        </w:rPr>
      </w:pPr>
    </w:p>
    <w:p w:rsidR="00C31389" w:rsidRDefault="00561FBD" w14:paraId="3DAF1479" w14:textId="77777777">
      <w:pPr>
        <w:pStyle w:val="BodyText"/>
        <w:spacing w:before="1"/>
        <w:ind w:left="480" w:right="1379" w:hanging="1"/>
        <w:rPr>
          <w:sz w:val="14"/>
        </w:rPr>
      </w:pPr>
      <w:hyperlink w:history="1" w:anchor="_bookmark245">
        <w:r>
          <w:t>Figure</w:t>
        </w:r>
        <w:r>
          <w:rPr>
            <w:spacing w:val="-4"/>
          </w:rPr>
          <w:t xml:space="preserve"> </w:t>
        </w:r>
        <w:r>
          <w:t>B-1.</w:t>
        </w:r>
      </w:hyperlink>
      <w:r>
        <w:rPr>
          <w:spacing w:val="-4"/>
        </w:rPr>
        <w:t xml:space="preserve"> </w:t>
      </w:r>
      <w:r>
        <w:t>illustrates</w:t>
      </w:r>
      <w:r>
        <w:rPr>
          <w:spacing w:val="-5"/>
        </w:rPr>
        <w:t xml:space="preserve"> </w:t>
      </w:r>
      <w:r>
        <w:t>this</w:t>
      </w:r>
      <w:r>
        <w:rPr>
          <w:spacing w:val="-4"/>
        </w:rPr>
        <w:t xml:space="preserve"> </w:t>
      </w:r>
      <w:r>
        <w:t>step-by-step</w:t>
      </w:r>
      <w:r>
        <w:rPr>
          <w:spacing w:val="-4"/>
        </w:rPr>
        <w:t xml:space="preserve"> </w:t>
      </w:r>
      <w:r>
        <w:t>process</w:t>
      </w:r>
      <w:r>
        <w:rPr>
          <w:spacing w:val="-4"/>
        </w:rPr>
        <w:t xml:space="preserve"> </w:t>
      </w:r>
      <w:r>
        <w:t>for</w:t>
      </w:r>
      <w:r>
        <w:rPr>
          <w:spacing w:val="-4"/>
        </w:rPr>
        <w:t xml:space="preserve"> </w:t>
      </w:r>
      <w:r>
        <w:t>characterizing</w:t>
      </w:r>
      <w:r>
        <w:rPr>
          <w:spacing w:val="-4"/>
        </w:rPr>
        <w:t xml:space="preserve"> </w:t>
      </w:r>
      <w:r>
        <w:t>FS</w:t>
      </w:r>
      <w:r>
        <w:rPr>
          <w:spacing w:val="-4"/>
        </w:rPr>
        <w:t xml:space="preserve"> </w:t>
      </w:r>
      <w:r>
        <w:t>measures</w:t>
      </w:r>
      <w:r>
        <w:rPr>
          <w:spacing w:val="-4"/>
        </w:rPr>
        <w:t xml:space="preserve"> </w:t>
      </w:r>
      <w:r>
        <w:t>in overlapping SCE/SCG territory</w:t>
      </w:r>
      <w:bookmarkStart w:name="_bookmark243" w:id="328"/>
      <w:bookmarkEnd w:id="328"/>
      <w:r>
        <w:t>.</w:t>
      </w:r>
      <w:r>
        <w:rPr>
          <w:spacing w:val="-29"/>
        </w:rPr>
        <w:t xml:space="preserve"> </w:t>
      </w:r>
      <w:hyperlink w:history="1" w:anchor="_bookmark244">
        <w:r>
          <w:rPr>
            <w:position w:val="7"/>
            <w:sz w:val="14"/>
          </w:rPr>
          <w:t>76</w:t>
        </w:r>
      </w:hyperlink>
    </w:p>
    <w:p w:rsidR="00C31389" w:rsidRDefault="00C31389" w14:paraId="00B13A8E" w14:textId="77777777">
      <w:pPr>
        <w:pStyle w:val="BodyText"/>
        <w:rPr>
          <w:sz w:val="20"/>
        </w:rPr>
      </w:pPr>
    </w:p>
    <w:p w:rsidR="00C31389" w:rsidRDefault="00C31389" w14:paraId="2A200FD6" w14:textId="77777777">
      <w:pPr>
        <w:pStyle w:val="BodyText"/>
        <w:rPr>
          <w:sz w:val="20"/>
        </w:rPr>
      </w:pPr>
    </w:p>
    <w:p w:rsidR="00C31389" w:rsidRDefault="00C31389" w14:paraId="2B0C4BB4" w14:textId="77777777">
      <w:pPr>
        <w:pStyle w:val="BodyText"/>
        <w:rPr>
          <w:sz w:val="20"/>
        </w:rPr>
      </w:pPr>
    </w:p>
    <w:p w:rsidR="00C31389" w:rsidRDefault="00C31389" w14:paraId="11C0F7E5" w14:textId="77777777">
      <w:pPr>
        <w:pStyle w:val="BodyText"/>
        <w:rPr>
          <w:sz w:val="20"/>
        </w:rPr>
      </w:pPr>
    </w:p>
    <w:p w:rsidR="00C31389" w:rsidRDefault="00C31389" w14:paraId="32F2D091" w14:textId="77777777">
      <w:pPr>
        <w:pStyle w:val="BodyText"/>
        <w:rPr>
          <w:sz w:val="20"/>
        </w:rPr>
      </w:pPr>
    </w:p>
    <w:p w:rsidR="00C31389" w:rsidRDefault="00C31389" w14:paraId="283807A2" w14:textId="77777777">
      <w:pPr>
        <w:pStyle w:val="BodyText"/>
        <w:rPr>
          <w:sz w:val="20"/>
        </w:rPr>
      </w:pPr>
    </w:p>
    <w:p w:rsidR="00C31389" w:rsidRDefault="00C31389" w14:paraId="08898F7C" w14:textId="77777777">
      <w:pPr>
        <w:pStyle w:val="BodyText"/>
        <w:rPr>
          <w:sz w:val="20"/>
        </w:rPr>
      </w:pPr>
    </w:p>
    <w:p w:rsidR="00C31389" w:rsidRDefault="00C31389" w14:paraId="205237AB" w14:textId="77777777">
      <w:pPr>
        <w:pStyle w:val="BodyText"/>
        <w:rPr>
          <w:sz w:val="20"/>
        </w:rPr>
      </w:pPr>
    </w:p>
    <w:p w:rsidR="00C31389" w:rsidRDefault="00C31389" w14:paraId="0D2E4C04" w14:textId="77777777">
      <w:pPr>
        <w:pStyle w:val="BodyText"/>
        <w:rPr>
          <w:sz w:val="20"/>
        </w:rPr>
      </w:pPr>
    </w:p>
    <w:p w:rsidR="00C31389" w:rsidRDefault="00C31389" w14:paraId="4426E9B7" w14:textId="77777777">
      <w:pPr>
        <w:pStyle w:val="BodyText"/>
        <w:rPr>
          <w:sz w:val="20"/>
        </w:rPr>
      </w:pPr>
    </w:p>
    <w:p w:rsidR="00C31389" w:rsidRDefault="00C31389" w14:paraId="23E0F2C7" w14:textId="77777777">
      <w:pPr>
        <w:pStyle w:val="BodyText"/>
        <w:rPr>
          <w:sz w:val="20"/>
        </w:rPr>
      </w:pPr>
    </w:p>
    <w:p w:rsidR="00C31389" w:rsidRDefault="00C31389" w14:paraId="07CE7DA2" w14:textId="77777777">
      <w:pPr>
        <w:pStyle w:val="BodyText"/>
        <w:rPr>
          <w:sz w:val="20"/>
        </w:rPr>
      </w:pPr>
    </w:p>
    <w:p w:rsidR="00C31389" w:rsidRDefault="00C31389" w14:paraId="17B67251" w14:textId="77777777">
      <w:pPr>
        <w:pStyle w:val="BodyText"/>
        <w:rPr>
          <w:sz w:val="20"/>
        </w:rPr>
      </w:pPr>
    </w:p>
    <w:p w:rsidR="00C31389" w:rsidRDefault="00C31389" w14:paraId="4D4C4552" w14:textId="77777777">
      <w:pPr>
        <w:pStyle w:val="BodyText"/>
        <w:rPr>
          <w:sz w:val="20"/>
        </w:rPr>
      </w:pPr>
    </w:p>
    <w:p w:rsidR="00C31389" w:rsidRDefault="00C31389" w14:paraId="020C47F7" w14:textId="77777777">
      <w:pPr>
        <w:pStyle w:val="BodyText"/>
        <w:rPr>
          <w:sz w:val="20"/>
        </w:rPr>
      </w:pPr>
    </w:p>
    <w:p w:rsidR="00C31389" w:rsidRDefault="00C31389" w14:paraId="2C3174CC" w14:textId="77777777">
      <w:pPr>
        <w:pStyle w:val="BodyText"/>
        <w:rPr>
          <w:sz w:val="20"/>
        </w:rPr>
      </w:pPr>
    </w:p>
    <w:p w:rsidR="00C31389" w:rsidRDefault="00561FBD" w14:paraId="005A7415" w14:textId="77777777">
      <w:pPr>
        <w:pStyle w:val="BodyText"/>
        <w:spacing w:before="10"/>
        <w:rPr>
          <w:sz w:val="13"/>
        </w:rPr>
      </w:pPr>
      <w:r>
        <w:rPr>
          <w:noProof/>
        </w:rPr>
        <mc:AlternateContent>
          <mc:Choice Requires="wps">
            <w:drawing>
              <wp:anchor distT="0" distB="0" distL="0" distR="0" simplePos="0" relativeHeight="487676928" behindDoc="1" locked="0" layoutInCell="1" allowOverlap="1" wp14:editId="52BB244D" wp14:anchorId="35993CB8">
                <wp:simplePos x="0" y="0"/>
                <wp:positionH relativeFrom="page">
                  <wp:posOffset>914400</wp:posOffset>
                </wp:positionH>
                <wp:positionV relativeFrom="paragraph">
                  <wp:posOffset>117053</wp:posOffset>
                </wp:positionV>
                <wp:extent cx="1828800" cy="6985"/>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41" style="position:absolute;margin-left:1in;margin-top:9.2pt;width:2in;height:.55pt;z-index:-1563955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" w14:anchorId="287E749C">
                <v:path arrowok="t"/>
                <w10:wrap type="topAndBottom" anchorx="page"/>
              </v:shape>
            </w:pict>
          </mc:Fallback>
        </mc:AlternateContent>
      </w:r>
    </w:p>
    <w:p w:rsidR="00C31389" w:rsidRDefault="00561FBD" w14:paraId="2923F610" w14:textId="77777777">
      <w:pPr>
        <w:spacing w:before="89" w:line="259" w:lineRule="auto"/>
        <w:ind w:left="479" w:right="505"/>
        <w:rPr>
          <w:sz w:val="18"/>
        </w:rPr>
      </w:pPr>
      <w:bookmarkStart w:name="_bookmark244" w:id="329"/>
      <w:bookmarkEnd w:id="329"/>
      <w:r>
        <w:rPr>
          <w:position w:val="6"/>
          <w:sz w:val="12"/>
        </w:rPr>
        <w:t>76</w:t>
      </w:r>
      <w:r>
        <w:rPr>
          <w:sz w:val="18"/>
        </w:rPr>
        <w:t>Neutral</w:t>
      </w:r>
      <w:r>
        <w:rPr>
          <w:spacing w:val="-3"/>
          <w:sz w:val="18"/>
        </w:rPr>
        <w:t xml:space="preserve"> </w:t>
      </w:r>
      <w:r>
        <w:rPr>
          <w:sz w:val="18"/>
        </w:rPr>
        <w:t>Unit</w:t>
      </w:r>
      <w:r>
        <w:rPr>
          <w:spacing w:val="-3"/>
          <w:sz w:val="18"/>
        </w:rPr>
        <w:t xml:space="preserve"> </w:t>
      </w:r>
      <w:r>
        <w:rPr>
          <w:sz w:val="18"/>
        </w:rPr>
        <w:t>Conversion</w:t>
      </w:r>
      <w:r>
        <w:rPr>
          <w:spacing w:val="-4"/>
          <w:sz w:val="18"/>
        </w:rPr>
        <w:t xml:space="preserve"> </w:t>
      </w:r>
      <w:r>
        <w:rPr>
          <w:sz w:val="18"/>
        </w:rPr>
        <w:t>(Btu</w:t>
      </w:r>
      <w:r>
        <w:rPr>
          <w:sz w:val="18"/>
        </w:rPr>
        <w:t>)</w:t>
      </w:r>
      <w:r>
        <w:rPr>
          <w:spacing w:val="-2"/>
          <w:sz w:val="18"/>
        </w:rPr>
        <w:t xml:space="preserve"> </w:t>
      </w:r>
      <w:r>
        <w:rPr>
          <w:sz w:val="18"/>
        </w:rPr>
        <w:t>=</w:t>
      </w:r>
      <w:r>
        <w:rPr>
          <w:spacing w:val="-3"/>
          <w:sz w:val="18"/>
        </w:rPr>
        <w:t xml:space="preserve"> </w:t>
      </w:r>
      <w:r>
        <w:rPr>
          <w:sz w:val="18"/>
        </w:rPr>
        <w:t>Electric</w:t>
      </w:r>
      <w:r>
        <w:rPr>
          <w:spacing w:val="-3"/>
          <w:sz w:val="18"/>
        </w:rPr>
        <w:t xml:space="preserve"> </w:t>
      </w:r>
      <w:r>
        <w:rPr>
          <w:sz w:val="18"/>
        </w:rPr>
        <w:t>Energy</w:t>
      </w:r>
      <w:r>
        <w:rPr>
          <w:spacing w:val="-3"/>
          <w:sz w:val="18"/>
        </w:rPr>
        <w:t xml:space="preserve"> </w:t>
      </w:r>
      <w:r>
        <w:rPr>
          <w:sz w:val="18"/>
        </w:rPr>
        <w:t>(kWh/year)</w:t>
      </w:r>
      <w:r>
        <w:rPr>
          <w:spacing w:val="-3"/>
          <w:sz w:val="18"/>
        </w:rPr>
        <w:t xml:space="preserve"> </w:t>
      </w:r>
      <w:r>
        <w:rPr>
          <w:sz w:val="18"/>
        </w:rPr>
        <w:t>*</w:t>
      </w:r>
      <w:r>
        <w:rPr>
          <w:spacing w:val="-4"/>
          <w:sz w:val="18"/>
        </w:rPr>
        <w:t xml:space="preserve"> </w:t>
      </w:r>
      <w:r>
        <w:rPr>
          <w:sz w:val="18"/>
        </w:rPr>
        <w:t>3,412.14</w:t>
      </w:r>
      <w:r>
        <w:rPr>
          <w:spacing w:val="-4"/>
          <w:sz w:val="18"/>
        </w:rPr>
        <w:t xml:space="preserve"> </w:t>
      </w:r>
      <w:r>
        <w:rPr>
          <w:sz w:val="18"/>
        </w:rPr>
        <w:t>+</w:t>
      </w:r>
      <w:r>
        <w:rPr>
          <w:spacing w:val="-3"/>
          <w:sz w:val="18"/>
        </w:rPr>
        <w:t xml:space="preserve"> </w:t>
      </w:r>
      <w:r>
        <w:rPr>
          <w:sz w:val="18"/>
        </w:rPr>
        <w:t>Gas</w:t>
      </w:r>
      <w:r>
        <w:rPr>
          <w:spacing w:val="-3"/>
          <w:sz w:val="18"/>
        </w:rPr>
        <w:t xml:space="preserve"> </w:t>
      </w:r>
      <w:r>
        <w:rPr>
          <w:sz w:val="18"/>
        </w:rPr>
        <w:t>Energy</w:t>
      </w:r>
      <w:r>
        <w:rPr>
          <w:spacing w:val="-3"/>
          <w:sz w:val="18"/>
        </w:rPr>
        <w:t xml:space="preserve"> </w:t>
      </w:r>
      <w:r>
        <w:rPr>
          <w:sz w:val="18"/>
        </w:rPr>
        <w:t>(Therms/year)</w:t>
      </w:r>
      <w:r>
        <w:rPr>
          <w:spacing w:val="-3"/>
          <w:sz w:val="18"/>
        </w:rPr>
        <w:t xml:space="preserve"> </w:t>
      </w:r>
      <w:r>
        <w:rPr>
          <w:sz w:val="18"/>
        </w:rPr>
        <w:t>*</w:t>
      </w:r>
      <w:r>
        <w:rPr>
          <w:spacing w:val="-4"/>
          <w:sz w:val="18"/>
        </w:rPr>
        <w:t xml:space="preserve"> </w:t>
      </w:r>
      <w:r>
        <w:rPr>
          <w:sz w:val="18"/>
        </w:rPr>
        <w:t xml:space="preserve">99,976.1 </w:t>
      </w:r>
      <w:r>
        <w:rPr>
          <w:position w:val="6"/>
          <w:sz w:val="12"/>
        </w:rPr>
        <w:t>76</w:t>
      </w:r>
      <w:r>
        <w:rPr>
          <w:spacing w:val="20"/>
          <w:position w:val="6"/>
          <w:sz w:val="12"/>
        </w:rPr>
        <w:t xml:space="preserve"> </w:t>
      </w:r>
      <w:r>
        <w:rPr>
          <w:sz w:val="18"/>
        </w:rPr>
        <w:t>This study does not incorporate incentive and savings alignment to the different incentive offerings that exist. Some</w:t>
      </w:r>
      <w:r>
        <w:rPr>
          <w:spacing w:val="-1"/>
          <w:sz w:val="18"/>
        </w:rPr>
        <w:t xml:space="preserve"> </w:t>
      </w:r>
      <w:r>
        <w:rPr>
          <w:sz w:val="18"/>
        </w:rPr>
        <w:t>FS programs incur incentive</w:t>
      </w:r>
      <w:r>
        <w:rPr>
          <w:spacing w:val="-1"/>
          <w:sz w:val="18"/>
        </w:rPr>
        <w:t xml:space="preserve"> </w:t>
      </w:r>
      <w:r>
        <w:rPr>
          <w:sz w:val="18"/>
        </w:rPr>
        <w:t>layering. The</w:t>
      </w:r>
      <w:r>
        <w:rPr>
          <w:spacing w:val="-1"/>
          <w:sz w:val="18"/>
        </w:rPr>
        <w:t xml:space="preserve"> </w:t>
      </w:r>
      <w:r>
        <w:rPr>
          <w:sz w:val="18"/>
        </w:rPr>
        <w:t>assessment of allocating savings and</w:t>
      </w:r>
      <w:r>
        <w:rPr>
          <w:spacing w:val="-1"/>
          <w:sz w:val="18"/>
        </w:rPr>
        <w:t xml:space="preserve"> </w:t>
      </w:r>
      <w:r>
        <w:rPr>
          <w:sz w:val="18"/>
        </w:rPr>
        <w:t>incentives to</w:t>
      </w:r>
      <w:r>
        <w:rPr>
          <w:spacing w:val="-1"/>
          <w:sz w:val="18"/>
        </w:rPr>
        <w:t xml:space="preserve"> </w:t>
      </w:r>
      <w:r>
        <w:rPr>
          <w:sz w:val="18"/>
        </w:rPr>
        <w:t>the various</w:t>
      </w:r>
    </w:p>
    <w:p w:rsidR="00C31389" w:rsidRDefault="00561FBD" w14:paraId="63A392A3" w14:textId="77777777">
      <w:pPr>
        <w:spacing w:line="194" w:lineRule="exact"/>
        <w:ind w:left="479"/>
        <w:rPr>
          <w:sz w:val="18"/>
        </w:rPr>
      </w:pPr>
      <w:r>
        <w:rPr>
          <w:sz w:val="18"/>
        </w:rPr>
        <w:t>FS</w:t>
      </w:r>
      <w:r>
        <w:rPr>
          <w:spacing w:val="-2"/>
          <w:sz w:val="18"/>
        </w:rPr>
        <w:t xml:space="preserve"> </w:t>
      </w:r>
      <w:r>
        <w:rPr>
          <w:sz w:val="18"/>
        </w:rPr>
        <w:t>programs</w:t>
      </w:r>
      <w:r>
        <w:rPr>
          <w:spacing w:val="-2"/>
          <w:sz w:val="18"/>
        </w:rPr>
        <w:t xml:space="preserve"> </w:t>
      </w:r>
      <w:r>
        <w:rPr>
          <w:sz w:val="18"/>
        </w:rPr>
        <w:t>is</w:t>
      </w:r>
      <w:r>
        <w:rPr>
          <w:spacing w:val="-1"/>
          <w:sz w:val="18"/>
        </w:rPr>
        <w:t xml:space="preserve"> </w:t>
      </w:r>
      <w:r>
        <w:rPr>
          <w:sz w:val="18"/>
        </w:rPr>
        <w:t>outside</w:t>
      </w:r>
      <w:r>
        <w:rPr>
          <w:spacing w:val="-3"/>
          <w:sz w:val="18"/>
        </w:rPr>
        <w:t xml:space="preserve"> </w:t>
      </w:r>
      <w:r>
        <w:rPr>
          <w:sz w:val="18"/>
        </w:rPr>
        <w:t>the</w:t>
      </w:r>
      <w:r>
        <w:rPr>
          <w:spacing w:val="-2"/>
          <w:sz w:val="18"/>
        </w:rPr>
        <w:t xml:space="preserve"> </w:t>
      </w:r>
      <w:r>
        <w:rPr>
          <w:sz w:val="18"/>
        </w:rPr>
        <w:t>scope</w:t>
      </w:r>
      <w:r>
        <w:rPr>
          <w:spacing w:val="-3"/>
          <w:sz w:val="18"/>
        </w:rPr>
        <w:t xml:space="preserve"> </w:t>
      </w:r>
      <w:r>
        <w:rPr>
          <w:sz w:val="18"/>
        </w:rPr>
        <w:t>of</w:t>
      </w:r>
      <w:r>
        <w:rPr>
          <w:spacing w:val="-2"/>
          <w:sz w:val="18"/>
        </w:rPr>
        <w:t xml:space="preserve"> </w:t>
      </w:r>
      <w:r>
        <w:rPr>
          <w:sz w:val="18"/>
        </w:rPr>
        <w:t>this</w:t>
      </w:r>
      <w:r>
        <w:rPr>
          <w:spacing w:val="-1"/>
          <w:sz w:val="18"/>
        </w:rPr>
        <w:t xml:space="preserve"> </w:t>
      </w:r>
      <w:r>
        <w:rPr>
          <w:spacing w:val="-2"/>
          <w:sz w:val="18"/>
        </w:rPr>
        <w:t>study.</w:t>
      </w:r>
    </w:p>
    <w:p w:rsidR="00C31389" w:rsidRDefault="00C31389" w14:paraId="153D62BD" w14:textId="77777777">
      <w:pPr>
        <w:spacing w:line="194" w:lineRule="exact"/>
        <w:rPr>
          <w:sz w:val="18"/>
        </w:rPr>
        <w:sectPr w:rsidR="00C31389">
          <w:pgSz w:w="11910" w:h="16840"/>
          <w:pgMar w:top="1660" w:right="1020" w:bottom="1120" w:left="960" w:header="397" w:footer="938" w:gutter="0"/>
          <w:cols w:space="720"/>
        </w:sectPr>
      </w:pPr>
    </w:p>
    <w:p w:rsidR="00C31389" w:rsidRDefault="00C31389" w14:paraId="6F01B93C" w14:textId="77777777">
      <w:pPr>
        <w:pStyle w:val="BodyText"/>
        <w:spacing w:before="11"/>
        <w:rPr>
          <w:sz w:val="13"/>
        </w:rPr>
      </w:pPr>
    </w:p>
    <w:p w:rsidR="00C31389" w:rsidRDefault="00561FBD" w14:paraId="302C2510" w14:textId="77777777">
      <w:pPr>
        <w:pStyle w:val="Heading7"/>
        <w:spacing w:before="92"/>
        <w:ind w:left="398" w:right="341"/>
        <w:jc w:val="center"/>
      </w:pPr>
      <w:r>
        <w:rPr>
          <w:noProof/>
        </w:rPr>
        <mc:AlternateContent>
          <mc:Choice Requires="wpg">
            <w:drawing>
              <wp:anchor distT="0" distB="0" distL="0" distR="0" simplePos="0" relativeHeight="15818752" behindDoc="0" locked="0" layoutInCell="1" allowOverlap="1" wp14:editId="0E6DBF05" wp14:anchorId="706C866C">
                <wp:simplePos x="0" y="0"/>
                <wp:positionH relativeFrom="page">
                  <wp:posOffset>5419655</wp:posOffset>
                </wp:positionH>
                <wp:positionV relativeFrom="paragraph">
                  <wp:posOffset>633406</wp:posOffset>
                </wp:positionV>
                <wp:extent cx="1022985" cy="1195070"/>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985" cy="1195070"/>
                          <a:chOff x="0" y="0"/>
                          <a:chExt cx="1022985" cy="1195070"/>
                        </a:xfrm>
                      </wpg:grpSpPr>
                      <wps:wsp>
                        <wps:cNvPr id="543" name="Graphic 543"/>
                        <wps:cNvSpPr/>
                        <wps:spPr>
                          <a:xfrm>
                            <a:off x="6350" y="6350"/>
                            <a:ext cx="1010285" cy="1182370"/>
                          </a:xfrm>
                          <a:custGeom>
                            <a:avLst/>
                            <a:gdLst/>
                            <a:ahLst/>
                            <a:cxnLst/>
                            <a:rect l="l" t="t" r="r" b="b"/>
                            <a:pathLst>
                              <a:path w="1010285" h="1182370">
                                <a:moveTo>
                                  <a:pt x="0" y="101015"/>
                                </a:moveTo>
                                <a:lnTo>
                                  <a:pt x="7938" y="61695"/>
                                </a:lnTo>
                                <a:lnTo>
                                  <a:pt x="29586" y="29586"/>
                                </a:lnTo>
                                <a:lnTo>
                                  <a:pt x="61695" y="7938"/>
                                </a:lnTo>
                                <a:lnTo>
                                  <a:pt x="101015" y="0"/>
                                </a:lnTo>
                                <a:lnTo>
                                  <a:pt x="909129" y="0"/>
                                </a:lnTo>
                                <a:lnTo>
                                  <a:pt x="948450" y="7938"/>
                                </a:lnTo>
                                <a:lnTo>
                                  <a:pt x="980559" y="29586"/>
                                </a:lnTo>
                                <a:lnTo>
                                  <a:pt x="1002207" y="61695"/>
                                </a:lnTo>
                                <a:lnTo>
                                  <a:pt x="1010145" y="101015"/>
                                </a:lnTo>
                                <a:lnTo>
                                  <a:pt x="1010145" y="1081277"/>
                                </a:lnTo>
                                <a:lnTo>
                                  <a:pt x="1002207" y="1120591"/>
                                </a:lnTo>
                                <a:lnTo>
                                  <a:pt x="980559" y="1152696"/>
                                </a:lnTo>
                                <a:lnTo>
                                  <a:pt x="948450" y="1174343"/>
                                </a:lnTo>
                                <a:lnTo>
                                  <a:pt x="909129" y="1182281"/>
                                </a:lnTo>
                                <a:lnTo>
                                  <a:pt x="101015" y="1182281"/>
                                </a:lnTo>
                                <a:lnTo>
                                  <a:pt x="61695" y="1174343"/>
                                </a:lnTo>
                                <a:lnTo>
                                  <a:pt x="29586" y="1152696"/>
                                </a:lnTo>
                                <a:lnTo>
                                  <a:pt x="7938" y="1120591"/>
                                </a:lnTo>
                                <a:lnTo>
                                  <a:pt x="0" y="1081277"/>
                                </a:lnTo>
                                <a:lnTo>
                                  <a:pt x="0" y="101015"/>
                                </a:lnTo>
                                <a:close/>
                              </a:path>
                            </a:pathLst>
                          </a:custGeom>
                          <a:ln w="12700">
                            <a:solidFill>
                              <a:srgbClr val="3C67B0"/>
                            </a:solidFill>
                            <a:prstDash val="solid"/>
                          </a:ln>
                        </wps:spPr>
                        <wps:bodyPr wrap="square" lIns="0" tIns="0" rIns="0" bIns="0" rtlCol="0">
                          <a:prstTxWarp prst="textNoShape">
                            <a:avLst/>
                          </a:prstTxWarp>
                          <a:noAutofit/>
                        </wps:bodyPr>
                      </wps:wsp>
                      <wps:wsp>
                        <wps:cNvPr id="544" name="Textbox 544"/>
                        <wps:cNvSpPr txBox="1"/>
                        <wps:spPr>
                          <a:xfrm>
                            <a:off x="0" y="0"/>
                            <a:ext cx="1022985" cy="1195070"/>
                          </a:xfrm>
                          <a:prstGeom prst="rect">
                            <a:avLst/>
                          </a:prstGeom>
                        </wps:spPr>
                        <wps:txbx>
                          <w:txbxContent>
                            <w:p w:rsidR="00C31389" w:rsidRDefault="00C31389" w14:paraId="02EDFFBD" w14:textId="77777777">
                              <w:pPr>
                                <w:rPr>
                                  <w:sz w:val="18"/>
                                </w:rPr>
                              </w:pPr>
                            </w:p>
                            <w:p w:rsidR="00C31389" w:rsidRDefault="00C31389" w14:paraId="7F78A7A2" w14:textId="77777777">
                              <w:pPr>
                                <w:spacing w:before="4"/>
                                <w:rPr>
                                  <w:sz w:val="20"/>
                                </w:rPr>
                              </w:pPr>
                            </w:p>
                            <w:p w:rsidR="00C31389" w:rsidRDefault="00561FBD" w14:paraId="52C3F7FA" w14:textId="77777777">
                              <w:pPr>
                                <w:spacing w:line="216" w:lineRule="auto"/>
                                <w:ind w:left="164" w:right="163" w:hanging="1"/>
                                <w:jc w:val="center"/>
                                <w:rPr>
                                  <w:sz w:val="16"/>
                                </w:rPr>
                              </w:pPr>
                              <w:r>
                                <w:rPr>
                                  <w:sz w:val="16"/>
                                </w:rPr>
                                <w:t>CPUC converts gas savings from fuel</w:t>
                              </w:r>
                              <w:r>
                                <w:rPr>
                                  <w:spacing w:val="-12"/>
                                  <w:sz w:val="16"/>
                                </w:rPr>
                                <w:t xml:space="preserve"> </w:t>
                              </w:r>
                              <w:r>
                                <w:rPr>
                                  <w:sz w:val="16"/>
                                </w:rPr>
                                <w:t>substitution</w:t>
                              </w:r>
                              <w:r>
                                <w:rPr>
                                  <w:spacing w:val="-11"/>
                                  <w:sz w:val="16"/>
                                </w:rPr>
                                <w:t xml:space="preserve"> </w:t>
                              </w:r>
                              <w:r>
                                <w:rPr>
                                  <w:sz w:val="16"/>
                                </w:rPr>
                                <w:t>in SCE territory to electricity</w:t>
                              </w:r>
                              <w:r>
                                <w:rPr>
                                  <w:spacing w:val="-2"/>
                                  <w:sz w:val="16"/>
                                </w:rPr>
                                <w:t xml:space="preserve"> </w:t>
                              </w:r>
                              <w:r>
                                <w:rPr>
                                  <w:sz w:val="16"/>
                                </w:rPr>
                                <w:t>for</w:t>
                              </w:r>
                              <w:r>
                                <w:rPr>
                                  <w:spacing w:val="-1"/>
                                  <w:sz w:val="16"/>
                                </w:rPr>
                                <w:t xml:space="preserve"> </w:t>
                              </w:r>
                              <w:r>
                                <w:rPr>
                                  <w:sz w:val="16"/>
                                </w:rPr>
                                <w:t>goal setting purposes.</w:t>
                              </w:r>
                            </w:p>
                          </w:txbxContent>
                        </wps:txbx>
                        <wps:bodyPr wrap="square" lIns="0" tIns="0" rIns="0" bIns="0" rtlCol="0">
                          <a:noAutofit/>
                        </wps:bodyPr>
                      </wps:wsp>
                    </wpg:wgp>
                  </a:graphicData>
                </a:graphic>
              </wp:anchor>
            </w:drawing>
          </mc:Choice>
          <mc:Fallback>
            <w:pict>
              <v:group id="Group 542" style="position:absolute;left:0;text-align:left;margin-left:426.75pt;margin-top:49.85pt;width:80.55pt;height:94.1pt;z-index:15818752;mso-wrap-distance-left:0;mso-wrap-distance-right:0;mso-position-horizontal-relative:page;mso-position-vertical-relative:text" coordsize="10229,11950" o:spid="_x0000_s1126" w14:anchorId="706C8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">
                <v:shape id="Graphic 543" style="position:absolute;left:63;top:63;width:10103;height:11824;visibility:visible;mso-wrap-style:square;v-text-anchor:top" coordsize="1010285,1182370" o:spid="_x0000_s1127" filled="f" strokecolor="#3c67b0" strokeweight="1pt" path="m,101015l7938,61695,29586,29586,61695,7938,101015,,909129,r39321,7938l980559,29586r21648,32109l1010145,101015r,980262l1002207,1120591r-21648,32105l948450,1174343r-39321,7938l101015,1182281r-39320,-7938l29586,1152696,7938,1120591,,1081277,,101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">
                  <v:path arrowok="t"/>
                </v:shape>
                <v:shape id="Textbox 544" style="position:absolute;width:10229;height:11950;visibility:visible;mso-wrap-style:square;v-text-anchor:top" o:spid="_x0000_s11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v:textbox inset="0,0,0,0">
                    <w:txbxContent>
                      <w:p w:rsidR="00C31389" w:rsidRDefault="00C31389" w14:paraId="02EDFFBD" w14:textId="77777777">
                        <w:pPr>
                          <w:rPr>
                            <w:sz w:val="18"/>
                          </w:rPr>
                        </w:pPr>
                      </w:p>
                      <w:p w:rsidR="00C31389" w:rsidRDefault="00C31389" w14:paraId="7F78A7A2" w14:textId="77777777">
                        <w:pPr>
                          <w:spacing w:before="4"/>
                          <w:rPr>
                            <w:sz w:val="20"/>
                          </w:rPr>
                        </w:pPr>
                      </w:p>
                      <w:p w:rsidR="00C31389" w:rsidRDefault="00561FBD" w14:paraId="52C3F7FA" w14:textId="77777777">
                        <w:pPr>
                          <w:spacing w:line="216" w:lineRule="auto"/>
                          <w:ind w:left="164" w:right="163" w:hanging="1"/>
                          <w:jc w:val="center"/>
                          <w:rPr>
                            <w:sz w:val="16"/>
                          </w:rPr>
                        </w:pPr>
                        <w:r>
                          <w:rPr>
                            <w:sz w:val="16"/>
                          </w:rPr>
                          <w:t>CPUC converts gas savings from fuel</w:t>
                        </w:r>
                        <w:r>
                          <w:rPr>
                            <w:spacing w:val="-12"/>
                            <w:sz w:val="16"/>
                          </w:rPr>
                          <w:t xml:space="preserve"> </w:t>
                        </w:r>
                        <w:r>
                          <w:rPr>
                            <w:sz w:val="16"/>
                          </w:rPr>
                          <w:t>substitution</w:t>
                        </w:r>
                        <w:r>
                          <w:rPr>
                            <w:spacing w:val="-11"/>
                            <w:sz w:val="16"/>
                          </w:rPr>
                          <w:t xml:space="preserve"> </w:t>
                        </w:r>
                        <w:r>
                          <w:rPr>
                            <w:sz w:val="16"/>
                          </w:rPr>
                          <w:t>in SCE territory to electricity</w:t>
                        </w:r>
                        <w:r>
                          <w:rPr>
                            <w:spacing w:val="-2"/>
                            <w:sz w:val="16"/>
                          </w:rPr>
                          <w:t xml:space="preserve"> </w:t>
                        </w:r>
                        <w:r>
                          <w:rPr>
                            <w:sz w:val="16"/>
                          </w:rPr>
                          <w:t>for</w:t>
                        </w:r>
                        <w:r>
                          <w:rPr>
                            <w:spacing w:val="-1"/>
                            <w:sz w:val="16"/>
                          </w:rPr>
                          <w:t xml:space="preserve"> </w:t>
                        </w:r>
                        <w:r>
                          <w:rPr>
                            <w:sz w:val="16"/>
                          </w:rPr>
                          <w:t>goal setting purposes.</w:t>
                        </w:r>
                      </w:p>
                    </w:txbxContent>
                  </v:textbox>
                </v:shape>
                <w10:wrap anchorx="page"/>
              </v:group>
            </w:pict>
          </mc:Fallback>
        </mc:AlternateContent>
      </w:r>
      <w:bookmarkStart w:name="_bookmark245" w:id="330"/>
      <w:bookmarkEnd w:id="330"/>
      <w:r>
        <w:t>Figure</w:t>
      </w:r>
      <w:r>
        <w:rPr>
          <w:spacing w:val="-8"/>
        </w:rPr>
        <w:t xml:space="preserve"> </w:t>
      </w:r>
      <w:r>
        <w:t>B-1.</w:t>
      </w:r>
      <w:r>
        <w:rPr>
          <w:spacing w:val="-7"/>
        </w:rPr>
        <w:t xml:space="preserve"> </w:t>
      </w:r>
      <w:r>
        <w:t>Steps</w:t>
      </w:r>
      <w:r>
        <w:rPr>
          <w:spacing w:val="-8"/>
        </w:rPr>
        <w:t xml:space="preserve"> </w:t>
      </w:r>
      <w:r>
        <w:t>in</w:t>
      </w:r>
      <w:r>
        <w:rPr>
          <w:spacing w:val="-7"/>
        </w:rPr>
        <w:t xml:space="preserve"> </w:t>
      </w:r>
      <w:r>
        <w:t>FS</w:t>
      </w:r>
      <w:r>
        <w:rPr>
          <w:spacing w:val="-8"/>
        </w:rPr>
        <w:t xml:space="preserve"> </w:t>
      </w:r>
      <w:r>
        <w:t>Characterization</w:t>
      </w:r>
      <w:r>
        <w:rPr>
          <w:spacing w:val="-7"/>
        </w:rPr>
        <w:t xml:space="preserve"> </w:t>
      </w:r>
      <w:r>
        <w:t>in</w:t>
      </w:r>
      <w:r>
        <w:rPr>
          <w:spacing w:val="-8"/>
        </w:rPr>
        <w:t xml:space="preserve"> </w:t>
      </w:r>
      <w:r>
        <w:t>SCE/SCG</w:t>
      </w:r>
      <w:r>
        <w:rPr>
          <w:spacing w:val="-8"/>
        </w:rPr>
        <w:t xml:space="preserve"> </w:t>
      </w:r>
      <w:r>
        <w:rPr>
          <w:spacing w:val="-2"/>
        </w:rPr>
        <w:t>Territory</w:t>
      </w:r>
    </w:p>
    <w:p w:rsidR="00C31389" w:rsidRDefault="00C31389" w14:paraId="2896B0CE" w14:textId="77777777">
      <w:pPr>
        <w:pStyle w:val="BodyText"/>
        <w:spacing w:before="4"/>
        <w:rPr>
          <w:b/>
          <w:sz w:val="25"/>
        </w:rPr>
      </w:pPr>
    </w:p>
    <w:p w:rsidR="00C31389" w:rsidRDefault="00C31389" w14:paraId="38098815" w14:textId="77777777">
      <w:pPr>
        <w:rPr>
          <w:sz w:val="25"/>
        </w:rPr>
        <w:sectPr w:rsidR="00C31389">
          <w:pgSz w:w="11910" w:h="16840"/>
          <w:pgMar w:top="1660" w:right="1020" w:bottom="1120" w:left="960" w:header="397" w:footer="938" w:gutter="0"/>
          <w:cols w:space="720"/>
        </w:sectPr>
      </w:pPr>
    </w:p>
    <w:p w:rsidR="00C31389" w:rsidRDefault="00C31389" w14:paraId="60B65EC6" w14:textId="77777777">
      <w:pPr>
        <w:pStyle w:val="BodyText"/>
        <w:rPr>
          <w:b/>
          <w:sz w:val="18"/>
        </w:rPr>
      </w:pPr>
    </w:p>
    <w:p w:rsidR="00C31389" w:rsidRDefault="00C31389" w14:paraId="4F5EC744" w14:textId="77777777">
      <w:pPr>
        <w:pStyle w:val="BodyText"/>
        <w:rPr>
          <w:b/>
          <w:sz w:val="18"/>
        </w:rPr>
      </w:pPr>
    </w:p>
    <w:p w:rsidR="00C31389" w:rsidRDefault="00561FBD" w14:paraId="020F66C8" w14:textId="77777777">
      <w:pPr>
        <w:spacing w:before="141" w:line="216" w:lineRule="auto"/>
        <w:ind w:left="1000" w:hanging="2"/>
        <w:jc w:val="center"/>
        <w:rPr>
          <w:sz w:val="16"/>
        </w:rPr>
      </w:pPr>
      <w:r>
        <w:rPr>
          <w:sz w:val="16"/>
        </w:rPr>
        <w:t xml:space="preserve">Fuel substitution technologies in </w:t>
      </w:r>
      <w:r>
        <w:rPr>
          <w:spacing w:val="-2"/>
          <w:sz w:val="16"/>
        </w:rPr>
        <w:t xml:space="preserve">overlapping </w:t>
      </w:r>
      <w:r>
        <w:rPr>
          <w:sz w:val="16"/>
        </w:rPr>
        <w:t>SCE/SCG territory are characterized for</w:t>
      </w:r>
      <w:r>
        <w:rPr>
          <w:spacing w:val="-12"/>
          <w:sz w:val="16"/>
        </w:rPr>
        <w:t xml:space="preserve"> </w:t>
      </w:r>
      <w:r>
        <w:rPr>
          <w:sz w:val="16"/>
        </w:rPr>
        <w:t>SCG</w:t>
      </w:r>
      <w:r>
        <w:rPr>
          <w:spacing w:val="-11"/>
          <w:sz w:val="16"/>
        </w:rPr>
        <w:t xml:space="preserve"> </w:t>
      </w:r>
      <w:r>
        <w:rPr>
          <w:sz w:val="16"/>
        </w:rPr>
        <w:t>only,</w:t>
      </w:r>
      <w:r>
        <w:rPr>
          <w:spacing w:val="-11"/>
          <w:sz w:val="16"/>
        </w:rPr>
        <w:t xml:space="preserve"> </w:t>
      </w:r>
      <w:r>
        <w:rPr>
          <w:sz w:val="16"/>
        </w:rPr>
        <w:t>along with the gas technologies in the technology group.</w:t>
      </w:r>
    </w:p>
    <w:p w:rsidR="00C31389" w:rsidRDefault="00561FBD" w14:paraId="23E6A96D" w14:textId="77777777">
      <w:pPr>
        <w:spacing w:before="95"/>
        <w:ind w:left="-21"/>
        <w:rPr>
          <w:sz w:val="18"/>
        </w:rPr>
      </w:pPr>
      <w:r>
        <w:br w:type="column"/>
      </w:r>
      <w:r>
        <w:rPr>
          <w:color w:val="FF7713"/>
          <w:sz w:val="18"/>
        </w:rPr>
        <w:t>Scope</w:t>
      </w:r>
      <w:r>
        <w:rPr>
          <w:color w:val="FF7713"/>
          <w:spacing w:val="-4"/>
          <w:sz w:val="18"/>
        </w:rPr>
        <w:t xml:space="preserve"> </w:t>
      </w:r>
      <w:r>
        <w:rPr>
          <w:color w:val="FF7713"/>
          <w:sz w:val="18"/>
        </w:rPr>
        <w:t>of</w:t>
      </w:r>
      <w:r>
        <w:rPr>
          <w:color w:val="FF7713"/>
          <w:spacing w:val="-3"/>
          <w:sz w:val="18"/>
        </w:rPr>
        <w:t xml:space="preserve"> </w:t>
      </w:r>
      <w:r>
        <w:rPr>
          <w:color w:val="FF7713"/>
          <w:sz w:val="18"/>
        </w:rPr>
        <w:t>Potential</w:t>
      </w:r>
      <w:r>
        <w:rPr>
          <w:color w:val="FF7713"/>
          <w:spacing w:val="-4"/>
          <w:sz w:val="18"/>
        </w:rPr>
        <w:t xml:space="preserve"> </w:t>
      </w:r>
      <w:r>
        <w:rPr>
          <w:color w:val="FF7713"/>
          <w:sz w:val="18"/>
        </w:rPr>
        <w:t>Modeling</w:t>
      </w:r>
      <w:r>
        <w:rPr>
          <w:color w:val="FF7713"/>
          <w:spacing w:val="-3"/>
          <w:sz w:val="18"/>
        </w:rPr>
        <w:t xml:space="preserve"> </w:t>
      </w:r>
      <w:r>
        <w:rPr>
          <w:color w:val="FF7713"/>
          <w:spacing w:val="-2"/>
          <w:sz w:val="18"/>
        </w:rPr>
        <w:t>Effort</w:t>
      </w:r>
    </w:p>
    <w:p w:rsidR="00C31389" w:rsidRDefault="00C31389" w14:paraId="62FE78DD" w14:textId="77777777">
      <w:pPr>
        <w:pStyle w:val="BodyText"/>
        <w:spacing w:before="11"/>
        <w:rPr>
          <w:sz w:val="21"/>
        </w:rPr>
      </w:pPr>
    </w:p>
    <w:p w:rsidR="00C31389" w:rsidRDefault="00561FBD" w14:paraId="576FA4F4" w14:textId="77777777">
      <w:pPr>
        <w:spacing w:line="216" w:lineRule="auto"/>
        <w:ind w:left="812" w:right="534" w:firstLine="1"/>
        <w:jc w:val="center"/>
        <w:rPr>
          <w:sz w:val="16"/>
        </w:rPr>
      </w:pPr>
      <w:r>
        <w:rPr>
          <w:noProof/>
        </w:rPr>
        <mc:AlternateContent>
          <mc:Choice Requires="wpg">
            <w:drawing>
              <wp:anchor distT="0" distB="0" distL="0" distR="0" simplePos="0" relativeHeight="465507328" behindDoc="1" locked="0" layoutInCell="1" allowOverlap="1" wp14:editId="497A0A13" wp14:anchorId="2345D7F1">
                <wp:simplePos x="0" y="0"/>
                <wp:positionH relativeFrom="page">
                  <wp:posOffset>919162</wp:posOffset>
                </wp:positionH>
                <wp:positionV relativeFrom="paragraph">
                  <wp:posOffset>-456059</wp:posOffset>
                </wp:positionV>
                <wp:extent cx="4418330" cy="1851025"/>
                <wp:effectExtent l="0" t="0" r="0" b="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8330" cy="1851025"/>
                          <a:chOff x="0" y="0"/>
                          <a:chExt cx="4418330" cy="1851025"/>
                        </a:xfrm>
                      </wpg:grpSpPr>
                      <wps:wsp>
                        <wps:cNvPr id="546" name="Graphic 546"/>
                        <wps:cNvSpPr/>
                        <wps:spPr>
                          <a:xfrm>
                            <a:off x="14287" y="14287"/>
                            <a:ext cx="4149090" cy="1822450"/>
                          </a:xfrm>
                          <a:custGeom>
                            <a:avLst/>
                            <a:gdLst/>
                            <a:ahLst/>
                            <a:cxnLst/>
                            <a:rect l="l" t="t" r="r" b="b"/>
                            <a:pathLst>
                              <a:path w="4149090" h="1822450">
                                <a:moveTo>
                                  <a:pt x="0" y="303745"/>
                                </a:moveTo>
                                <a:lnTo>
                                  <a:pt x="3975" y="254476"/>
                                </a:lnTo>
                                <a:lnTo>
                                  <a:pt x="15485" y="207738"/>
                                </a:lnTo>
                                <a:lnTo>
                                  <a:pt x="33903" y="164157"/>
                                </a:lnTo>
                                <a:lnTo>
                                  <a:pt x="58605" y="124357"/>
                                </a:lnTo>
                                <a:lnTo>
                                  <a:pt x="88965" y="88965"/>
                                </a:lnTo>
                                <a:lnTo>
                                  <a:pt x="124357" y="58605"/>
                                </a:lnTo>
                                <a:lnTo>
                                  <a:pt x="164157" y="33903"/>
                                </a:lnTo>
                                <a:lnTo>
                                  <a:pt x="207738" y="15485"/>
                                </a:lnTo>
                                <a:lnTo>
                                  <a:pt x="254476" y="3975"/>
                                </a:lnTo>
                                <a:lnTo>
                                  <a:pt x="303745" y="0"/>
                                </a:lnTo>
                                <a:lnTo>
                                  <a:pt x="3845115" y="0"/>
                                </a:lnTo>
                                <a:lnTo>
                                  <a:pt x="3894384" y="3975"/>
                                </a:lnTo>
                                <a:lnTo>
                                  <a:pt x="3941122" y="15485"/>
                                </a:lnTo>
                                <a:lnTo>
                                  <a:pt x="3984704" y="33903"/>
                                </a:lnTo>
                                <a:lnTo>
                                  <a:pt x="4024503" y="58605"/>
                                </a:lnTo>
                                <a:lnTo>
                                  <a:pt x="4059896" y="88965"/>
                                </a:lnTo>
                                <a:lnTo>
                                  <a:pt x="4090256" y="124357"/>
                                </a:lnTo>
                                <a:lnTo>
                                  <a:pt x="4114957" y="164157"/>
                                </a:lnTo>
                                <a:lnTo>
                                  <a:pt x="4133376" y="207738"/>
                                </a:lnTo>
                                <a:lnTo>
                                  <a:pt x="4144885" y="254476"/>
                                </a:lnTo>
                                <a:lnTo>
                                  <a:pt x="4148861" y="303745"/>
                                </a:lnTo>
                                <a:lnTo>
                                  <a:pt x="4148861" y="1518704"/>
                                </a:lnTo>
                                <a:lnTo>
                                  <a:pt x="4144885" y="1567973"/>
                                </a:lnTo>
                                <a:lnTo>
                                  <a:pt x="4133376" y="1614711"/>
                                </a:lnTo>
                                <a:lnTo>
                                  <a:pt x="4114957" y="1658292"/>
                                </a:lnTo>
                                <a:lnTo>
                                  <a:pt x="4090256" y="1698092"/>
                                </a:lnTo>
                                <a:lnTo>
                                  <a:pt x="4059896" y="1733484"/>
                                </a:lnTo>
                                <a:lnTo>
                                  <a:pt x="4024503" y="1763844"/>
                                </a:lnTo>
                                <a:lnTo>
                                  <a:pt x="3984704" y="1788546"/>
                                </a:lnTo>
                                <a:lnTo>
                                  <a:pt x="3941122" y="1806964"/>
                                </a:lnTo>
                                <a:lnTo>
                                  <a:pt x="3894384" y="1818474"/>
                                </a:lnTo>
                                <a:lnTo>
                                  <a:pt x="3845115" y="1822450"/>
                                </a:lnTo>
                                <a:lnTo>
                                  <a:pt x="303745" y="1822450"/>
                                </a:lnTo>
                                <a:lnTo>
                                  <a:pt x="254476" y="1818474"/>
                                </a:lnTo>
                                <a:lnTo>
                                  <a:pt x="207738" y="1806964"/>
                                </a:lnTo>
                                <a:lnTo>
                                  <a:pt x="164157" y="1788546"/>
                                </a:lnTo>
                                <a:lnTo>
                                  <a:pt x="124357" y="1763844"/>
                                </a:lnTo>
                                <a:lnTo>
                                  <a:pt x="88965" y="1733484"/>
                                </a:lnTo>
                                <a:lnTo>
                                  <a:pt x="58605" y="1698092"/>
                                </a:lnTo>
                                <a:lnTo>
                                  <a:pt x="33903" y="1658292"/>
                                </a:lnTo>
                                <a:lnTo>
                                  <a:pt x="15485" y="1614711"/>
                                </a:lnTo>
                                <a:lnTo>
                                  <a:pt x="3975" y="1567973"/>
                                </a:lnTo>
                                <a:lnTo>
                                  <a:pt x="0" y="1518704"/>
                                </a:lnTo>
                                <a:lnTo>
                                  <a:pt x="0" y="303745"/>
                                </a:lnTo>
                                <a:close/>
                              </a:path>
                            </a:pathLst>
                          </a:custGeom>
                          <a:ln w="28575">
                            <a:solidFill>
                              <a:srgbClr val="F16930"/>
                            </a:solidFill>
                            <a:prstDash val="sysDash"/>
                          </a:ln>
                        </wps:spPr>
                        <wps:bodyPr wrap="square" lIns="0" tIns="0" rIns="0" bIns="0" rtlCol="0">
                          <a:prstTxWarp prst="textNoShape">
                            <a:avLst/>
                          </a:prstTxWarp>
                          <a:noAutofit/>
                        </wps:bodyPr>
                      </wps:wsp>
                      <wps:wsp>
                        <wps:cNvPr id="547" name="Graphic 547"/>
                        <wps:cNvSpPr/>
                        <wps:spPr>
                          <a:xfrm>
                            <a:off x="264231" y="339782"/>
                            <a:ext cx="1010285" cy="1182370"/>
                          </a:xfrm>
                          <a:custGeom>
                            <a:avLst/>
                            <a:gdLst/>
                            <a:ahLst/>
                            <a:cxnLst/>
                            <a:rect l="l" t="t" r="r" b="b"/>
                            <a:pathLst>
                              <a:path w="1010285" h="1182370">
                                <a:moveTo>
                                  <a:pt x="909129" y="0"/>
                                </a:moveTo>
                                <a:lnTo>
                                  <a:pt x="101015" y="0"/>
                                </a:lnTo>
                                <a:lnTo>
                                  <a:pt x="61695" y="7938"/>
                                </a:lnTo>
                                <a:lnTo>
                                  <a:pt x="29586" y="29586"/>
                                </a:lnTo>
                                <a:lnTo>
                                  <a:pt x="7938" y="61695"/>
                                </a:lnTo>
                                <a:lnTo>
                                  <a:pt x="0" y="101015"/>
                                </a:lnTo>
                                <a:lnTo>
                                  <a:pt x="0" y="1081277"/>
                                </a:lnTo>
                                <a:lnTo>
                                  <a:pt x="7938" y="1120591"/>
                                </a:lnTo>
                                <a:lnTo>
                                  <a:pt x="29586" y="1152696"/>
                                </a:lnTo>
                                <a:lnTo>
                                  <a:pt x="61695" y="1174343"/>
                                </a:lnTo>
                                <a:lnTo>
                                  <a:pt x="101015" y="1182281"/>
                                </a:lnTo>
                                <a:lnTo>
                                  <a:pt x="909129" y="1182281"/>
                                </a:lnTo>
                                <a:lnTo>
                                  <a:pt x="948450" y="1174343"/>
                                </a:lnTo>
                                <a:lnTo>
                                  <a:pt x="980559" y="1152696"/>
                                </a:lnTo>
                                <a:lnTo>
                                  <a:pt x="1002207" y="1120591"/>
                                </a:lnTo>
                                <a:lnTo>
                                  <a:pt x="1010145" y="1081277"/>
                                </a:lnTo>
                                <a:lnTo>
                                  <a:pt x="1010145" y="101015"/>
                                </a:lnTo>
                                <a:lnTo>
                                  <a:pt x="1002207" y="61695"/>
                                </a:lnTo>
                                <a:lnTo>
                                  <a:pt x="980559" y="29586"/>
                                </a:lnTo>
                                <a:lnTo>
                                  <a:pt x="948450" y="7938"/>
                                </a:lnTo>
                                <a:lnTo>
                                  <a:pt x="909129"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264231" y="339783"/>
                            <a:ext cx="1010285" cy="1182370"/>
                          </a:xfrm>
                          <a:custGeom>
                            <a:avLst/>
                            <a:gdLst/>
                            <a:ahLst/>
                            <a:cxnLst/>
                            <a:rect l="l" t="t" r="r" b="b"/>
                            <a:pathLst>
                              <a:path w="1010285" h="1182370">
                                <a:moveTo>
                                  <a:pt x="0" y="101015"/>
                                </a:moveTo>
                                <a:lnTo>
                                  <a:pt x="7938" y="61695"/>
                                </a:lnTo>
                                <a:lnTo>
                                  <a:pt x="29586" y="29586"/>
                                </a:lnTo>
                                <a:lnTo>
                                  <a:pt x="61695" y="7938"/>
                                </a:lnTo>
                                <a:lnTo>
                                  <a:pt x="101015" y="0"/>
                                </a:lnTo>
                                <a:lnTo>
                                  <a:pt x="909129" y="0"/>
                                </a:lnTo>
                                <a:lnTo>
                                  <a:pt x="948450" y="7938"/>
                                </a:lnTo>
                                <a:lnTo>
                                  <a:pt x="980559" y="29586"/>
                                </a:lnTo>
                                <a:lnTo>
                                  <a:pt x="1002207" y="61695"/>
                                </a:lnTo>
                                <a:lnTo>
                                  <a:pt x="1010145" y="101015"/>
                                </a:lnTo>
                                <a:lnTo>
                                  <a:pt x="1010145" y="1081277"/>
                                </a:lnTo>
                                <a:lnTo>
                                  <a:pt x="1002207" y="1120591"/>
                                </a:lnTo>
                                <a:lnTo>
                                  <a:pt x="980559" y="1152696"/>
                                </a:lnTo>
                                <a:lnTo>
                                  <a:pt x="948450" y="1174343"/>
                                </a:lnTo>
                                <a:lnTo>
                                  <a:pt x="909129" y="1182281"/>
                                </a:lnTo>
                                <a:lnTo>
                                  <a:pt x="101015" y="1182281"/>
                                </a:lnTo>
                                <a:lnTo>
                                  <a:pt x="61695" y="1174343"/>
                                </a:lnTo>
                                <a:lnTo>
                                  <a:pt x="29586" y="1152696"/>
                                </a:lnTo>
                                <a:lnTo>
                                  <a:pt x="7938" y="1120591"/>
                                </a:lnTo>
                                <a:lnTo>
                                  <a:pt x="0" y="1081277"/>
                                </a:lnTo>
                                <a:lnTo>
                                  <a:pt x="0" y="101015"/>
                                </a:lnTo>
                                <a:close/>
                              </a:path>
                            </a:pathLst>
                          </a:custGeom>
                          <a:ln w="12700">
                            <a:solidFill>
                              <a:srgbClr val="3C67B0"/>
                            </a:solidFill>
                            <a:prstDash val="solid"/>
                          </a:ln>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212" cstate="print"/>
                          <a:stretch>
                            <a:fillRect/>
                          </a:stretch>
                        </pic:blipFill>
                        <pic:spPr>
                          <a:xfrm>
                            <a:off x="1375390" y="805668"/>
                            <a:ext cx="214147" cy="250520"/>
                          </a:xfrm>
                          <a:prstGeom prst="rect">
                            <a:avLst/>
                          </a:prstGeom>
                        </pic:spPr>
                      </pic:pic>
                      <wps:wsp>
                        <wps:cNvPr id="550" name="Graphic 550"/>
                        <wps:cNvSpPr/>
                        <wps:spPr>
                          <a:xfrm>
                            <a:off x="1678435" y="339782"/>
                            <a:ext cx="1010285" cy="1182370"/>
                          </a:xfrm>
                          <a:custGeom>
                            <a:avLst/>
                            <a:gdLst/>
                            <a:ahLst/>
                            <a:cxnLst/>
                            <a:rect l="l" t="t" r="r" b="b"/>
                            <a:pathLst>
                              <a:path w="1010285" h="1182370">
                                <a:moveTo>
                                  <a:pt x="909129" y="0"/>
                                </a:moveTo>
                                <a:lnTo>
                                  <a:pt x="101015" y="0"/>
                                </a:lnTo>
                                <a:lnTo>
                                  <a:pt x="61695" y="7938"/>
                                </a:lnTo>
                                <a:lnTo>
                                  <a:pt x="29586" y="29586"/>
                                </a:lnTo>
                                <a:lnTo>
                                  <a:pt x="7938" y="61695"/>
                                </a:lnTo>
                                <a:lnTo>
                                  <a:pt x="0" y="101015"/>
                                </a:lnTo>
                                <a:lnTo>
                                  <a:pt x="0" y="1081277"/>
                                </a:lnTo>
                                <a:lnTo>
                                  <a:pt x="7938" y="1120591"/>
                                </a:lnTo>
                                <a:lnTo>
                                  <a:pt x="29586" y="1152696"/>
                                </a:lnTo>
                                <a:lnTo>
                                  <a:pt x="61695" y="1174343"/>
                                </a:lnTo>
                                <a:lnTo>
                                  <a:pt x="101015" y="1182281"/>
                                </a:lnTo>
                                <a:lnTo>
                                  <a:pt x="909129" y="1182281"/>
                                </a:lnTo>
                                <a:lnTo>
                                  <a:pt x="948450" y="1174343"/>
                                </a:lnTo>
                                <a:lnTo>
                                  <a:pt x="980559" y="1152696"/>
                                </a:lnTo>
                                <a:lnTo>
                                  <a:pt x="1002207" y="1120591"/>
                                </a:lnTo>
                                <a:lnTo>
                                  <a:pt x="1010145" y="1081277"/>
                                </a:lnTo>
                                <a:lnTo>
                                  <a:pt x="1010145" y="101015"/>
                                </a:lnTo>
                                <a:lnTo>
                                  <a:pt x="1002207" y="61695"/>
                                </a:lnTo>
                                <a:lnTo>
                                  <a:pt x="980559" y="29586"/>
                                </a:lnTo>
                                <a:lnTo>
                                  <a:pt x="948450" y="7938"/>
                                </a:lnTo>
                                <a:lnTo>
                                  <a:pt x="909129" y="0"/>
                                </a:lnTo>
                                <a:close/>
                              </a:path>
                            </a:pathLst>
                          </a:custGeom>
                          <a:solidFill>
                            <a:srgbClr val="FFFFFF"/>
                          </a:solidFill>
                        </wps:spPr>
                        <wps:bodyPr wrap="square" lIns="0" tIns="0" rIns="0" bIns="0" rtlCol="0">
                          <a:prstTxWarp prst="textNoShape">
                            <a:avLst/>
                          </a:prstTxWarp>
                          <a:noAutofit/>
                        </wps:bodyPr>
                      </wps:wsp>
                      <wps:wsp>
                        <wps:cNvPr id="551" name="Graphic 551"/>
                        <wps:cNvSpPr/>
                        <wps:spPr>
                          <a:xfrm>
                            <a:off x="1678435" y="339783"/>
                            <a:ext cx="1010285" cy="1182370"/>
                          </a:xfrm>
                          <a:custGeom>
                            <a:avLst/>
                            <a:gdLst/>
                            <a:ahLst/>
                            <a:cxnLst/>
                            <a:rect l="l" t="t" r="r" b="b"/>
                            <a:pathLst>
                              <a:path w="1010285" h="1182370">
                                <a:moveTo>
                                  <a:pt x="0" y="101015"/>
                                </a:moveTo>
                                <a:lnTo>
                                  <a:pt x="7938" y="61695"/>
                                </a:lnTo>
                                <a:lnTo>
                                  <a:pt x="29586" y="29586"/>
                                </a:lnTo>
                                <a:lnTo>
                                  <a:pt x="61695" y="7938"/>
                                </a:lnTo>
                                <a:lnTo>
                                  <a:pt x="101015" y="0"/>
                                </a:lnTo>
                                <a:lnTo>
                                  <a:pt x="909129" y="0"/>
                                </a:lnTo>
                                <a:lnTo>
                                  <a:pt x="948450" y="7938"/>
                                </a:lnTo>
                                <a:lnTo>
                                  <a:pt x="980559" y="29586"/>
                                </a:lnTo>
                                <a:lnTo>
                                  <a:pt x="1002207" y="61695"/>
                                </a:lnTo>
                                <a:lnTo>
                                  <a:pt x="1010145" y="101015"/>
                                </a:lnTo>
                                <a:lnTo>
                                  <a:pt x="1010145" y="1081277"/>
                                </a:lnTo>
                                <a:lnTo>
                                  <a:pt x="1002207" y="1120591"/>
                                </a:lnTo>
                                <a:lnTo>
                                  <a:pt x="980559" y="1152696"/>
                                </a:lnTo>
                                <a:lnTo>
                                  <a:pt x="948450" y="1174343"/>
                                </a:lnTo>
                                <a:lnTo>
                                  <a:pt x="909129" y="1182281"/>
                                </a:lnTo>
                                <a:lnTo>
                                  <a:pt x="101015" y="1182281"/>
                                </a:lnTo>
                                <a:lnTo>
                                  <a:pt x="61695" y="1174343"/>
                                </a:lnTo>
                                <a:lnTo>
                                  <a:pt x="29586" y="1152696"/>
                                </a:lnTo>
                                <a:lnTo>
                                  <a:pt x="7938" y="1120591"/>
                                </a:lnTo>
                                <a:lnTo>
                                  <a:pt x="0" y="1081277"/>
                                </a:lnTo>
                                <a:lnTo>
                                  <a:pt x="0" y="101015"/>
                                </a:lnTo>
                                <a:close/>
                              </a:path>
                            </a:pathLst>
                          </a:custGeom>
                          <a:ln w="12700">
                            <a:solidFill>
                              <a:srgbClr val="3C67B0"/>
                            </a:solidFill>
                            <a:prstDash val="solid"/>
                          </a:ln>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212" cstate="print"/>
                          <a:stretch>
                            <a:fillRect/>
                          </a:stretch>
                        </pic:blipFill>
                        <pic:spPr>
                          <a:xfrm>
                            <a:off x="2789595" y="805668"/>
                            <a:ext cx="214147" cy="250520"/>
                          </a:xfrm>
                          <a:prstGeom prst="rect">
                            <a:avLst/>
                          </a:prstGeom>
                        </pic:spPr>
                      </pic:pic>
                      <wps:wsp>
                        <wps:cNvPr id="553" name="Graphic 553"/>
                        <wps:cNvSpPr/>
                        <wps:spPr>
                          <a:xfrm>
                            <a:off x="3092639" y="339782"/>
                            <a:ext cx="1010285" cy="1182370"/>
                          </a:xfrm>
                          <a:custGeom>
                            <a:avLst/>
                            <a:gdLst/>
                            <a:ahLst/>
                            <a:cxnLst/>
                            <a:rect l="l" t="t" r="r" b="b"/>
                            <a:pathLst>
                              <a:path w="1010285" h="1182370">
                                <a:moveTo>
                                  <a:pt x="909129" y="0"/>
                                </a:moveTo>
                                <a:lnTo>
                                  <a:pt x="101015" y="0"/>
                                </a:lnTo>
                                <a:lnTo>
                                  <a:pt x="61695" y="7938"/>
                                </a:lnTo>
                                <a:lnTo>
                                  <a:pt x="29586" y="29586"/>
                                </a:lnTo>
                                <a:lnTo>
                                  <a:pt x="7938" y="61695"/>
                                </a:lnTo>
                                <a:lnTo>
                                  <a:pt x="0" y="101015"/>
                                </a:lnTo>
                                <a:lnTo>
                                  <a:pt x="0" y="1081277"/>
                                </a:lnTo>
                                <a:lnTo>
                                  <a:pt x="7938" y="1120591"/>
                                </a:lnTo>
                                <a:lnTo>
                                  <a:pt x="29586" y="1152696"/>
                                </a:lnTo>
                                <a:lnTo>
                                  <a:pt x="61695" y="1174343"/>
                                </a:lnTo>
                                <a:lnTo>
                                  <a:pt x="101015" y="1182281"/>
                                </a:lnTo>
                                <a:lnTo>
                                  <a:pt x="909129" y="1182281"/>
                                </a:lnTo>
                                <a:lnTo>
                                  <a:pt x="948450" y="1174343"/>
                                </a:lnTo>
                                <a:lnTo>
                                  <a:pt x="980559" y="1152696"/>
                                </a:lnTo>
                                <a:lnTo>
                                  <a:pt x="1002207" y="1120591"/>
                                </a:lnTo>
                                <a:lnTo>
                                  <a:pt x="1010145" y="1081277"/>
                                </a:lnTo>
                                <a:lnTo>
                                  <a:pt x="1010145" y="101015"/>
                                </a:lnTo>
                                <a:lnTo>
                                  <a:pt x="1002207" y="61695"/>
                                </a:lnTo>
                                <a:lnTo>
                                  <a:pt x="980559" y="29586"/>
                                </a:lnTo>
                                <a:lnTo>
                                  <a:pt x="948450" y="7938"/>
                                </a:lnTo>
                                <a:lnTo>
                                  <a:pt x="909129" y="0"/>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3092639" y="339783"/>
                            <a:ext cx="1010285" cy="1182370"/>
                          </a:xfrm>
                          <a:custGeom>
                            <a:avLst/>
                            <a:gdLst/>
                            <a:ahLst/>
                            <a:cxnLst/>
                            <a:rect l="l" t="t" r="r" b="b"/>
                            <a:pathLst>
                              <a:path w="1010285" h="1182370">
                                <a:moveTo>
                                  <a:pt x="0" y="101015"/>
                                </a:moveTo>
                                <a:lnTo>
                                  <a:pt x="7938" y="61695"/>
                                </a:lnTo>
                                <a:lnTo>
                                  <a:pt x="29586" y="29586"/>
                                </a:lnTo>
                                <a:lnTo>
                                  <a:pt x="61695" y="7938"/>
                                </a:lnTo>
                                <a:lnTo>
                                  <a:pt x="101015" y="0"/>
                                </a:lnTo>
                                <a:lnTo>
                                  <a:pt x="909129" y="0"/>
                                </a:lnTo>
                                <a:lnTo>
                                  <a:pt x="948450" y="7938"/>
                                </a:lnTo>
                                <a:lnTo>
                                  <a:pt x="980559" y="29586"/>
                                </a:lnTo>
                                <a:lnTo>
                                  <a:pt x="1002207" y="61695"/>
                                </a:lnTo>
                                <a:lnTo>
                                  <a:pt x="1010145" y="101015"/>
                                </a:lnTo>
                                <a:lnTo>
                                  <a:pt x="1010145" y="1081277"/>
                                </a:lnTo>
                                <a:lnTo>
                                  <a:pt x="1002207" y="1120591"/>
                                </a:lnTo>
                                <a:lnTo>
                                  <a:pt x="980559" y="1152696"/>
                                </a:lnTo>
                                <a:lnTo>
                                  <a:pt x="948450" y="1174343"/>
                                </a:lnTo>
                                <a:lnTo>
                                  <a:pt x="909129" y="1182281"/>
                                </a:lnTo>
                                <a:lnTo>
                                  <a:pt x="101015" y="1182281"/>
                                </a:lnTo>
                                <a:lnTo>
                                  <a:pt x="61695" y="1174343"/>
                                </a:lnTo>
                                <a:lnTo>
                                  <a:pt x="29586" y="1152696"/>
                                </a:lnTo>
                                <a:lnTo>
                                  <a:pt x="7938" y="1120591"/>
                                </a:lnTo>
                                <a:lnTo>
                                  <a:pt x="0" y="1081277"/>
                                </a:lnTo>
                                <a:lnTo>
                                  <a:pt x="0" y="101015"/>
                                </a:lnTo>
                                <a:close/>
                              </a:path>
                            </a:pathLst>
                          </a:custGeom>
                          <a:ln w="12700">
                            <a:solidFill>
                              <a:srgbClr val="3C67B0"/>
                            </a:solidFill>
                            <a:prstDash val="solid"/>
                          </a:ln>
                        </wps:spPr>
                        <wps:bodyPr wrap="square" lIns="0" tIns="0" rIns="0" bIns="0" rtlCol="0">
                          <a:prstTxWarp prst="textNoShape">
                            <a:avLst/>
                          </a:prstTxWarp>
                          <a:noAutofit/>
                        </wps:bodyPr>
                      </wps:wsp>
                      <pic:pic xmlns:pic="http://schemas.openxmlformats.org/drawingml/2006/picture">
                        <pic:nvPicPr>
                          <pic:cNvPr id="555" name="Image 555"/>
                          <pic:cNvPicPr/>
                        </pic:nvPicPr>
                        <pic:blipFill>
                          <a:blip r:embed="rId212" cstate="print"/>
                          <a:stretch>
                            <a:fillRect/>
                          </a:stretch>
                        </pic:blipFill>
                        <pic:spPr>
                          <a:xfrm>
                            <a:off x="4203800" y="805668"/>
                            <a:ext cx="214147" cy="250520"/>
                          </a:xfrm>
                          <a:prstGeom prst="rect">
                            <a:avLst/>
                          </a:prstGeom>
                        </pic:spPr>
                      </pic:pic>
                    </wpg:wgp>
                  </a:graphicData>
                </a:graphic>
              </wp:anchor>
            </w:drawing>
          </mc:Choice>
          <mc:Fallback>
            <w:pict>
              <v:group id="Group 545" style="position:absolute;margin-left:72.35pt;margin-top:-35.9pt;width:347.9pt;height:145.75pt;z-index:-37809152;mso-wrap-distance-left:0;mso-wrap-distance-right:0;mso-position-horizontal-relative:page" coordsize="44183,18510" o:spid="_x0000_s1026" w14:anchorId="34EFD3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">
                <v:shape id="Graphic 546" style="position:absolute;left:142;top:142;width:41491;height:18225;visibility:visible;mso-wrap-style:square;v-text-anchor:top" coordsize="4149090,1822450" o:spid="_x0000_s1027" filled="f" strokecolor="#f16930" strokeweight="2.25pt" path="m,303745l3975,254476,15485,207738,33903,164157,58605,124357,88965,88965,124357,58605,164157,33903,207738,15485,254476,3975,303745,,3845115,r49269,3975l3941122,15485r43582,18418l4024503,58605r35393,30360l4090256,124357r24701,39800l4133376,207738r11509,46738l4148861,303745r,1214959l4144885,1567973r-11509,46738l4114957,1658292r-24701,39800l4059896,1733484r-35393,30360l3984704,1788546r-43582,18418l3894384,1818474r-49269,3976l303745,1822450r-49269,-3976l207738,1806964r-43581,-18418l124357,1763844,88965,1733484,58605,1698092,33903,1658292,15485,1614711,3975,1567973,,1518704,,303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">
                  <v:stroke dashstyle="3 1"/>
                  <v:path arrowok="t"/>
                </v:shape>
                <v:shape id="Graphic 547" style="position:absolute;left:2642;top:3397;width:10103;height:11824;visibility:visible;mso-wrap-style:square;v-text-anchor:top" coordsize="1010285,1182370" o:spid="_x0000_s1028" stroked="f" path="m909129,l101015,,61695,7938,29586,29586,7938,61695,,101015r,980262l7938,1120591r21648,32105l61695,1174343r39320,7938l909129,1182281r39321,-7938l980559,1152696r21648,-32105l1010145,1081277r,-980262l1002207,61695,980559,29586,948450,7938,909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">
                  <v:path arrowok="t"/>
                </v:shape>
                <v:shape id="Graphic 548" style="position:absolute;left:2642;top:3397;width:10103;height:11824;visibility:visible;mso-wrap-style:square;v-text-anchor:top" coordsize="1010285,1182370" o:spid="_x0000_s1029" filled="f" strokecolor="#3c67b0" strokeweight="1pt" path="m,101015l7938,61695,29586,29586,61695,7938,101015,,909129,r39321,7938l980559,29586r21648,32109l1010145,101015r,980262l1002207,1120591r-21648,32105l948450,1174343r-39321,7938l101015,1182281r-39320,-7938l29586,1152696,7938,1120591,,1081277,,101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">
                  <v:path arrowok="t"/>
                </v:shape>
                <v:shape id="Image 549" style="position:absolute;left:13753;top:8056;width:2142;height:250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">
                  <v:imagedata o:title="" r:id="rId213"/>
                </v:shape>
                <v:shape id="Graphic 550" style="position:absolute;left:16784;top:3397;width:10103;height:11824;visibility:visible;mso-wrap-style:square;v-text-anchor:top" coordsize="1010285,1182370" o:spid="_x0000_s1031" stroked="f" path="m909129,l101015,,61695,7938,29586,29586,7938,61695,,101015r,980262l7938,1120591r21648,32105l61695,1174343r39320,7938l909129,1182281r39321,-7938l980559,1152696r21648,-32105l1010145,1081277r,-980262l1002207,61695,980559,29586,948450,7938,909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">
                  <v:path arrowok="t"/>
                </v:shape>
                <v:shape id="Graphic 551" style="position:absolute;left:16784;top:3397;width:10103;height:11824;visibility:visible;mso-wrap-style:square;v-text-anchor:top" coordsize="1010285,1182370" o:spid="_x0000_s1032" filled="f" strokecolor="#3c67b0" strokeweight="1pt" path="m,101015l7938,61695,29586,29586,61695,7938,101015,,909129,r39321,7938l980559,29586r21648,32109l1010145,101015r,980262l1002207,1120591r-21648,32105l948450,1174343r-39321,7938l101015,1182281r-39320,-7938l29586,1152696,7938,1120591,,1081277,,101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">
                  <v:path arrowok="t"/>
                </v:shape>
                <v:shape id="Image 552" style="position:absolute;left:27895;top:8056;width:2142;height:250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">
                  <v:imagedata o:title="" r:id="rId213"/>
                </v:shape>
                <v:shape id="Graphic 553" style="position:absolute;left:30926;top:3397;width:10103;height:11824;visibility:visible;mso-wrap-style:square;v-text-anchor:top" coordsize="1010285,1182370" o:spid="_x0000_s1034" stroked="f" path="m909129,l101015,,61695,7938,29586,29586,7938,61695,,101015r,980262l7938,1120591r21648,32105l61695,1174343r39320,7938l909129,1182281r39321,-7938l980559,1152696r21648,-32105l1010145,1081277r,-980262l1002207,61695,980559,29586,948450,7938,909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">
                  <v:path arrowok="t"/>
                </v:shape>
                <v:shape id="Graphic 554" style="position:absolute;left:30926;top:3397;width:10103;height:11824;visibility:visible;mso-wrap-style:square;v-text-anchor:top" coordsize="1010285,1182370" o:spid="_x0000_s1035" filled="f" strokecolor="#3c67b0" strokeweight="1pt" path="m,101015l7938,61695,29586,29586,61695,7938,101015,,909129,r39321,7938l980559,29586r21648,32109l1010145,101015r,980262l1002207,1120591r-21648,32105l948450,1174343r-39321,7938l101015,1182281r-39320,-7938l29586,1152696,7938,1120591,,1081277,,101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">
                  <v:path arrowok="t"/>
                </v:shape>
                <v:shape id="Image 555" style="position:absolute;left:42038;top:8056;width:2141;height:250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">
                  <v:imagedata o:title="" r:id="rId213"/>
                </v:shape>
                <w10:wrap anchorx="page"/>
              </v:group>
            </w:pict>
          </mc:Fallback>
        </mc:AlternateContent>
      </w:r>
      <w:r>
        <w:rPr>
          <w:sz w:val="16"/>
        </w:rPr>
        <w:t>When competing with gas technologies in SCE/SCG</w:t>
      </w:r>
      <w:r>
        <w:rPr>
          <w:spacing w:val="-12"/>
          <w:sz w:val="16"/>
        </w:rPr>
        <w:t xml:space="preserve"> </w:t>
      </w:r>
      <w:r>
        <w:rPr>
          <w:sz w:val="16"/>
        </w:rPr>
        <w:t>territory, fuel substitution technologies use SCE</w:t>
      </w:r>
      <w:r>
        <w:rPr>
          <w:spacing w:val="-12"/>
          <w:sz w:val="16"/>
        </w:rPr>
        <w:t xml:space="preserve"> </w:t>
      </w:r>
      <w:r>
        <w:rPr>
          <w:sz w:val="16"/>
        </w:rPr>
        <w:t>avoided</w:t>
      </w:r>
      <w:r>
        <w:rPr>
          <w:spacing w:val="-11"/>
          <w:sz w:val="16"/>
        </w:rPr>
        <w:t xml:space="preserve"> </w:t>
      </w:r>
      <w:r>
        <w:rPr>
          <w:sz w:val="16"/>
        </w:rPr>
        <w:t xml:space="preserve">costs to establish cost- </w:t>
      </w:r>
      <w:r>
        <w:rPr>
          <w:spacing w:val="-2"/>
          <w:sz w:val="16"/>
        </w:rPr>
        <w:t>effectiveness.</w:t>
      </w:r>
    </w:p>
    <w:p w:rsidR="00C31389" w:rsidRDefault="00561FBD" w14:paraId="71180957" w14:textId="77777777">
      <w:pPr>
        <w:rPr>
          <w:sz w:val="18"/>
        </w:rPr>
      </w:pPr>
      <w:r>
        <w:br w:type="column"/>
      </w:r>
    </w:p>
    <w:p w:rsidR="00C31389" w:rsidRDefault="00C31389" w14:paraId="422B539A" w14:textId="77777777">
      <w:pPr>
        <w:pStyle w:val="BodyText"/>
        <w:rPr>
          <w:sz w:val="23"/>
        </w:rPr>
      </w:pPr>
    </w:p>
    <w:p w:rsidR="00C31389" w:rsidRDefault="00561FBD" w14:paraId="133324AC" w14:textId="77777777">
      <w:pPr>
        <w:spacing w:line="216" w:lineRule="auto"/>
        <w:ind w:left="329" w:right="3127" w:firstLine="1"/>
        <w:jc w:val="center"/>
        <w:rPr>
          <w:sz w:val="16"/>
        </w:rPr>
      </w:pPr>
      <w:r>
        <w:rPr>
          <w:sz w:val="16"/>
        </w:rPr>
        <w:t>The model reassigns</w:t>
      </w:r>
      <w:r>
        <w:rPr>
          <w:spacing w:val="-12"/>
          <w:sz w:val="16"/>
        </w:rPr>
        <w:t xml:space="preserve"> </w:t>
      </w:r>
      <w:r>
        <w:rPr>
          <w:sz w:val="16"/>
        </w:rPr>
        <w:t>any</w:t>
      </w:r>
      <w:r>
        <w:rPr>
          <w:spacing w:val="-11"/>
          <w:sz w:val="16"/>
        </w:rPr>
        <w:t xml:space="preserve"> </w:t>
      </w:r>
      <w:r>
        <w:rPr>
          <w:sz w:val="16"/>
        </w:rPr>
        <w:t xml:space="preserve">gas savings from fuel </w:t>
      </w:r>
      <w:r>
        <w:rPr>
          <w:spacing w:val="-2"/>
          <w:sz w:val="16"/>
        </w:rPr>
        <w:t xml:space="preserve">substitution </w:t>
      </w:r>
      <w:r>
        <w:rPr>
          <w:sz w:val="16"/>
        </w:rPr>
        <w:t>technologies in SCG territory to SCE (along with the</w:t>
      </w:r>
      <w:r>
        <w:rPr>
          <w:spacing w:val="-12"/>
          <w:sz w:val="16"/>
        </w:rPr>
        <w:t xml:space="preserve"> </w:t>
      </w:r>
      <w:r>
        <w:rPr>
          <w:sz w:val="16"/>
        </w:rPr>
        <w:t xml:space="preserve">corresponding </w:t>
      </w:r>
      <w:r>
        <w:rPr>
          <w:spacing w:val="-2"/>
          <w:sz w:val="16"/>
        </w:rPr>
        <w:t>electricity increase).</w:t>
      </w:r>
    </w:p>
    <w:p w:rsidR="00C31389" w:rsidRDefault="00C31389" w14:paraId="2C129947" w14:textId="77777777">
      <w:pPr>
        <w:spacing w:line="216" w:lineRule="auto"/>
        <w:jc w:val="center"/>
        <w:rPr>
          <w:sz w:val="16"/>
        </w:rPr>
        <w:sectPr w:rsidR="00C31389">
          <w:type w:val="continuous"/>
          <w:pgSz w:w="11910" w:h="16840"/>
          <w:pgMar w:top="0" w:right="1020" w:bottom="280" w:left="960" w:header="397" w:footer="938" w:gutter="0"/>
          <w:cols w:equalWidth="0" w:space="720" w:num="3">
            <w:col w:w="2398" w:space="40"/>
            <w:col w:w="2701" w:space="39"/>
            <w:col w:w="4752"/>
          </w:cols>
        </w:sectPr>
      </w:pPr>
    </w:p>
    <w:p w:rsidR="00C31389" w:rsidRDefault="00C31389" w14:paraId="608EF482" w14:textId="77777777">
      <w:pPr>
        <w:pStyle w:val="BodyText"/>
        <w:rPr>
          <w:sz w:val="20"/>
        </w:rPr>
      </w:pPr>
    </w:p>
    <w:p w:rsidR="00C31389" w:rsidRDefault="00C31389" w14:paraId="67471683" w14:textId="77777777">
      <w:pPr>
        <w:pStyle w:val="BodyText"/>
        <w:rPr>
          <w:sz w:val="20"/>
        </w:rPr>
      </w:pPr>
    </w:p>
    <w:p w:rsidR="00C31389" w:rsidRDefault="00C31389" w14:paraId="2D378006" w14:textId="77777777">
      <w:pPr>
        <w:pStyle w:val="BodyText"/>
        <w:spacing w:before="6"/>
        <w:rPr>
          <w:sz w:val="28"/>
        </w:rPr>
      </w:pPr>
    </w:p>
    <w:p w:rsidR="00C31389" w:rsidRDefault="00561FBD" w14:paraId="45373741" w14:textId="77777777">
      <w:pPr>
        <w:spacing w:before="94"/>
        <w:ind w:left="480"/>
        <w:rPr>
          <w:i/>
          <w:sz w:val="18"/>
        </w:rPr>
      </w:pPr>
      <w:r>
        <w:rPr>
          <w:i/>
          <w:sz w:val="18"/>
        </w:rPr>
        <w:t>Source:</w:t>
      </w:r>
      <w:r>
        <w:rPr>
          <w:i/>
          <w:spacing w:val="-4"/>
          <w:sz w:val="18"/>
        </w:rPr>
        <w:t xml:space="preserve"> </w:t>
      </w:r>
      <w:r>
        <w:rPr>
          <w:i/>
          <w:spacing w:val="-2"/>
          <w:sz w:val="18"/>
        </w:rPr>
        <w:t>Guidehouse</w:t>
      </w:r>
    </w:p>
    <w:p w:rsidR="00C31389" w:rsidRDefault="00C31389" w14:paraId="724F809E" w14:textId="77777777">
      <w:pPr>
        <w:pStyle w:val="BodyText"/>
        <w:spacing w:before="9"/>
        <w:rPr>
          <w:i/>
          <w:sz w:val="20"/>
        </w:rPr>
      </w:pPr>
    </w:p>
    <w:p w:rsidR="00C31389" w:rsidRDefault="00561FBD" w14:paraId="6F061C97" w14:textId="77777777">
      <w:pPr>
        <w:pStyle w:val="BodyText"/>
        <w:ind w:left="480" w:right="430"/>
      </w:pPr>
      <w:r>
        <w:t>For most FS measures, electric technologies replace gas technologies on a one-to-one basis.</w:t>
      </w:r>
      <w:r>
        <w:rPr>
          <w:spacing w:val="-3"/>
        </w:rPr>
        <w:t xml:space="preserve"> </w:t>
      </w:r>
      <w:r>
        <w:t>For</w:t>
      </w:r>
      <w:r>
        <w:rPr>
          <w:spacing w:val="-3"/>
        </w:rPr>
        <w:t xml:space="preserve"> </w:t>
      </w:r>
      <w:r>
        <w:t>example,</w:t>
      </w:r>
      <w:r>
        <w:rPr>
          <w:spacing w:val="-3"/>
        </w:rPr>
        <w:t xml:space="preserve"> </w:t>
      </w:r>
      <w:r>
        <w:t>a</w:t>
      </w:r>
      <w:r>
        <w:rPr>
          <w:spacing w:val="-3"/>
        </w:rPr>
        <w:t xml:space="preserve"> </w:t>
      </w:r>
      <w:r>
        <w:t>commercial</w:t>
      </w:r>
      <w:r>
        <w:rPr>
          <w:spacing w:val="-3"/>
        </w:rPr>
        <w:t xml:space="preserve"> </w:t>
      </w:r>
      <w:r>
        <w:t>gas</w:t>
      </w:r>
      <w:r>
        <w:rPr>
          <w:spacing w:val="-3"/>
        </w:rPr>
        <w:t xml:space="preserve"> </w:t>
      </w:r>
      <w:r>
        <w:t>fryer</w:t>
      </w:r>
      <w:r>
        <w:rPr>
          <w:spacing w:val="-3"/>
        </w:rPr>
        <w:t xml:space="preserve"> </w:t>
      </w:r>
      <w:r>
        <w:t>is</w:t>
      </w:r>
      <w:r>
        <w:rPr>
          <w:spacing w:val="-4"/>
        </w:rPr>
        <w:t xml:space="preserve"> </w:t>
      </w:r>
      <w:r>
        <w:t>replaced</w:t>
      </w:r>
      <w:r>
        <w:rPr>
          <w:spacing w:val="-3"/>
        </w:rPr>
        <w:t xml:space="preserve"> </w:t>
      </w:r>
      <w:r>
        <w:t>by</w:t>
      </w:r>
      <w:r>
        <w:rPr>
          <w:spacing w:val="-3"/>
        </w:rPr>
        <w:t xml:space="preserve"> </w:t>
      </w:r>
      <w:r>
        <w:t>an</w:t>
      </w:r>
      <w:r>
        <w:rPr>
          <w:spacing w:val="-3"/>
        </w:rPr>
        <w:t xml:space="preserve"> </w:t>
      </w:r>
      <w:r>
        <w:t>electric</w:t>
      </w:r>
      <w:r>
        <w:rPr>
          <w:spacing w:val="-4"/>
        </w:rPr>
        <w:t xml:space="preserve"> </w:t>
      </w:r>
      <w:r>
        <w:t>fryer.</w:t>
      </w:r>
      <w:r>
        <w:rPr>
          <w:spacing w:val="-3"/>
        </w:rPr>
        <w:t xml:space="preserve"> </w:t>
      </w:r>
      <w:r>
        <w:t>Two</w:t>
      </w:r>
      <w:r>
        <w:rPr>
          <w:spacing w:val="-3"/>
        </w:rPr>
        <w:t xml:space="preserve"> </w:t>
      </w:r>
      <w:r>
        <w:t>technologies need an alternative approach:</w:t>
      </w:r>
    </w:p>
    <w:p w:rsidR="00C31389" w:rsidRDefault="00561FBD" w14:paraId="5883BBF9" w14:textId="77777777">
      <w:pPr>
        <w:pStyle w:val="ListParagraph"/>
        <w:numPr>
          <w:ilvl w:val="0"/>
          <w:numId w:val="24"/>
        </w:numPr>
        <w:tabs>
          <w:tab w:val="left" w:pos="1199"/>
        </w:tabs>
        <w:spacing w:before="121"/>
        <w:ind w:left="1199"/>
      </w:pPr>
      <w:r>
        <w:rPr>
          <w:b/>
        </w:rPr>
        <w:t>Residential</w:t>
      </w:r>
      <w:r>
        <w:rPr>
          <w:b/>
          <w:spacing w:val="-8"/>
        </w:rPr>
        <w:t xml:space="preserve"> </w:t>
      </w:r>
      <w:r>
        <w:rPr>
          <w:b/>
        </w:rPr>
        <w:t>furnace</w:t>
      </w:r>
      <w:r>
        <w:rPr>
          <w:b/>
          <w:spacing w:val="-7"/>
        </w:rPr>
        <w:t xml:space="preserve"> </w:t>
      </w:r>
      <w:r>
        <w:rPr>
          <w:b/>
        </w:rPr>
        <w:t>replacements:</w:t>
      </w:r>
      <w:r>
        <w:rPr>
          <w:b/>
          <w:spacing w:val="-7"/>
        </w:rPr>
        <w:t xml:space="preserve"> </w:t>
      </w:r>
      <w:r>
        <w:t>The</w:t>
      </w:r>
      <w:r>
        <w:rPr>
          <w:spacing w:val="-7"/>
        </w:rPr>
        <w:t xml:space="preserve"> </w:t>
      </w:r>
      <w:r>
        <w:t>heat</w:t>
      </w:r>
      <w:r>
        <w:rPr>
          <w:spacing w:val="-7"/>
        </w:rPr>
        <w:t xml:space="preserve"> </w:t>
      </w:r>
      <w:r>
        <w:t>pump</w:t>
      </w:r>
      <w:r>
        <w:rPr>
          <w:spacing w:val="-7"/>
        </w:rPr>
        <w:t xml:space="preserve"> </w:t>
      </w:r>
      <w:r>
        <w:t>would</w:t>
      </w:r>
      <w:r>
        <w:rPr>
          <w:spacing w:val="-7"/>
        </w:rPr>
        <w:t xml:space="preserve"> </w:t>
      </w:r>
      <w:r>
        <w:t>also</w:t>
      </w:r>
      <w:r>
        <w:rPr>
          <w:spacing w:val="-8"/>
        </w:rPr>
        <w:t xml:space="preserve"> </w:t>
      </w:r>
      <w:r>
        <w:t>be</w:t>
      </w:r>
      <w:r>
        <w:rPr>
          <w:spacing w:val="-7"/>
        </w:rPr>
        <w:t xml:space="preserve"> </w:t>
      </w:r>
      <w:r>
        <w:t>replacing</w:t>
      </w:r>
      <w:r>
        <w:rPr>
          <w:spacing w:val="-7"/>
        </w:rPr>
        <w:t xml:space="preserve"> </w:t>
      </w:r>
      <w:r>
        <w:t>the</w:t>
      </w:r>
      <w:r>
        <w:rPr>
          <w:spacing w:val="-7"/>
        </w:rPr>
        <w:t xml:space="preserve"> </w:t>
      </w:r>
      <w:r>
        <w:rPr>
          <w:spacing w:val="-5"/>
        </w:rPr>
        <w:t>AC.</w:t>
      </w:r>
    </w:p>
    <w:p w:rsidR="00C31389" w:rsidRDefault="00561FBD" w14:paraId="50CF27AE" w14:textId="77777777">
      <w:pPr>
        <w:pStyle w:val="ListParagraph"/>
        <w:numPr>
          <w:ilvl w:val="0"/>
          <w:numId w:val="24"/>
        </w:numPr>
        <w:tabs>
          <w:tab w:val="left" w:pos="1199"/>
        </w:tabs>
        <w:spacing w:before="118"/>
        <w:ind w:left="1199" w:right="421"/>
      </w:pPr>
      <w:r>
        <w:rPr>
          <w:b/>
        </w:rPr>
        <w:t xml:space="preserve">Commercial water heaters: </w:t>
      </w:r>
      <w:r>
        <w:t xml:space="preserve">In many cases, buildings are </w:t>
      </w:r>
      <w:r>
        <w:t>served by multiple water heating units. Because of differences in capacity between gas and electric water heaters, there is not necessarily a unit-for-unit replacement, so the team characterized</w:t>
      </w:r>
      <w:r>
        <w:rPr>
          <w:spacing w:val="-3"/>
        </w:rPr>
        <w:t xml:space="preserve"> </w:t>
      </w:r>
      <w:r>
        <w:t>this</w:t>
      </w:r>
      <w:r>
        <w:rPr>
          <w:spacing w:val="-3"/>
        </w:rPr>
        <w:t xml:space="preserve"> </w:t>
      </w:r>
      <w:r>
        <w:t>measure</w:t>
      </w:r>
      <w:r>
        <w:rPr>
          <w:spacing w:val="-3"/>
        </w:rPr>
        <w:t xml:space="preserve"> </w:t>
      </w:r>
      <w:r>
        <w:t>by</w:t>
      </w:r>
      <w:r>
        <w:rPr>
          <w:spacing w:val="-3"/>
        </w:rPr>
        <w:t xml:space="preserve"> </w:t>
      </w:r>
      <w:r>
        <w:t>normalizing</w:t>
      </w:r>
      <w:r>
        <w:rPr>
          <w:spacing w:val="-3"/>
        </w:rPr>
        <w:t xml:space="preserve"> </w:t>
      </w:r>
      <w:r>
        <w:t>the</w:t>
      </w:r>
      <w:r>
        <w:rPr>
          <w:spacing w:val="-4"/>
        </w:rPr>
        <w:t xml:space="preserve"> </w:t>
      </w:r>
      <w:r>
        <w:t>water</w:t>
      </w:r>
      <w:r>
        <w:rPr>
          <w:spacing w:val="-3"/>
        </w:rPr>
        <w:t xml:space="preserve"> </w:t>
      </w:r>
      <w:r>
        <w:t>heater</w:t>
      </w:r>
      <w:r>
        <w:rPr>
          <w:spacing w:val="-3"/>
        </w:rPr>
        <w:t xml:space="preserve"> </w:t>
      </w:r>
      <w:r>
        <w:t>energy</w:t>
      </w:r>
      <w:r>
        <w:rPr>
          <w:spacing w:val="-3"/>
        </w:rPr>
        <w:t xml:space="preserve"> </w:t>
      </w:r>
      <w:r>
        <w:t>to</w:t>
      </w:r>
      <w:r>
        <w:rPr>
          <w:spacing w:val="-3"/>
        </w:rPr>
        <w:t xml:space="preserve"> </w:t>
      </w:r>
      <w:r>
        <w:t>buildi</w:t>
      </w:r>
      <w:r>
        <w:t>ng</w:t>
      </w:r>
      <w:r>
        <w:rPr>
          <w:spacing w:val="-3"/>
        </w:rPr>
        <w:t xml:space="preserve"> </w:t>
      </w:r>
      <w:r>
        <w:t>square footage. For heat pump water heaters, the team developed cost reduction vectors for residential</w:t>
      </w:r>
      <w:r>
        <w:rPr>
          <w:spacing w:val="-4"/>
        </w:rPr>
        <w:t xml:space="preserve"> </w:t>
      </w:r>
      <w:r>
        <w:t>and</w:t>
      </w:r>
      <w:r>
        <w:rPr>
          <w:spacing w:val="-4"/>
        </w:rPr>
        <w:t xml:space="preserve"> </w:t>
      </w:r>
      <w:r>
        <w:t>commercial</w:t>
      </w:r>
      <w:r>
        <w:rPr>
          <w:spacing w:val="-4"/>
        </w:rPr>
        <w:t xml:space="preserve"> </w:t>
      </w:r>
      <w:r>
        <w:t>products</w:t>
      </w:r>
      <w:r>
        <w:rPr>
          <w:spacing w:val="-4"/>
        </w:rPr>
        <w:t xml:space="preserve"> </w:t>
      </w:r>
      <w:r>
        <w:t>because</w:t>
      </w:r>
      <w:r>
        <w:rPr>
          <w:spacing w:val="-4"/>
        </w:rPr>
        <w:t xml:space="preserve"> </w:t>
      </w:r>
      <w:r>
        <w:t>this</w:t>
      </w:r>
      <w:r>
        <w:rPr>
          <w:spacing w:val="-4"/>
        </w:rPr>
        <w:t xml:space="preserve"> </w:t>
      </w:r>
      <w:r>
        <w:t>is</w:t>
      </w:r>
      <w:r>
        <w:rPr>
          <w:spacing w:val="-3"/>
        </w:rPr>
        <w:t xml:space="preserve"> </w:t>
      </w:r>
      <w:r>
        <w:t>an</w:t>
      </w:r>
      <w:r>
        <w:rPr>
          <w:spacing w:val="-4"/>
        </w:rPr>
        <w:t xml:space="preserve"> </w:t>
      </w:r>
      <w:r>
        <w:t>emerging</w:t>
      </w:r>
      <w:r>
        <w:rPr>
          <w:spacing w:val="-4"/>
        </w:rPr>
        <w:t xml:space="preserve"> </w:t>
      </w:r>
      <w:r>
        <w:t>technology</w:t>
      </w:r>
      <w:r>
        <w:rPr>
          <w:spacing w:val="-4"/>
        </w:rPr>
        <w:t xml:space="preserve"> </w:t>
      </w:r>
      <w:r>
        <w:t>with</w:t>
      </w:r>
      <w:r>
        <w:rPr>
          <w:spacing w:val="-4"/>
        </w:rPr>
        <w:t xml:space="preserve"> </w:t>
      </w:r>
      <w:r>
        <w:t>few products currently on the market.</w:t>
      </w:r>
    </w:p>
    <w:p w:rsidR="00C31389" w:rsidRDefault="00C31389" w14:paraId="36323174" w14:textId="77777777">
      <w:pPr>
        <w:pStyle w:val="BodyText"/>
        <w:spacing w:before="8"/>
        <w:rPr>
          <w:sz w:val="20"/>
        </w:rPr>
      </w:pPr>
    </w:p>
    <w:p w:rsidR="00C31389" w:rsidRDefault="00561FBD" w14:paraId="3E9FF08E" w14:textId="77777777">
      <w:pPr>
        <w:pStyle w:val="BodyText"/>
        <w:ind w:left="479"/>
      </w:pPr>
      <w:r>
        <w:t>The</w:t>
      </w:r>
      <w:r>
        <w:rPr>
          <w:spacing w:val="-11"/>
        </w:rPr>
        <w:t xml:space="preserve"> </w:t>
      </w:r>
      <w:r>
        <w:t>following</w:t>
      </w:r>
      <w:r>
        <w:rPr>
          <w:spacing w:val="-10"/>
        </w:rPr>
        <w:t xml:space="preserve"> </w:t>
      </w:r>
      <w:r>
        <w:t>subsections</w:t>
      </w:r>
      <w:r>
        <w:rPr>
          <w:spacing w:val="-10"/>
        </w:rPr>
        <w:t xml:space="preserve"> </w:t>
      </w:r>
      <w:r>
        <w:t>detail</w:t>
      </w:r>
      <w:r>
        <w:rPr>
          <w:spacing w:val="-10"/>
        </w:rPr>
        <w:t xml:space="preserve"> </w:t>
      </w:r>
      <w:r>
        <w:t>these</w:t>
      </w:r>
      <w:r>
        <w:rPr>
          <w:spacing w:val="-11"/>
        </w:rPr>
        <w:t xml:space="preserve"> </w:t>
      </w:r>
      <w:r>
        <w:t>tech</w:t>
      </w:r>
      <w:r>
        <w:t>nology-specific</w:t>
      </w:r>
      <w:r>
        <w:rPr>
          <w:spacing w:val="-11"/>
        </w:rPr>
        <w:t xml:space="preserve"> </w:t>
      </w:r>
      <w:r>
        <w:rPr>
          <w:spacing w:val="-2"/>
        </w:rPr>
        <w:t>modifications.</w:t>
      </w:r>
    </w:p>
    <w:p w:rsidR="00C31389" w:rsidRDefault="00C31389" w14:paraId="18DC4105" w14:textId="77777777">
      <w:pPr>
        <w:pStyle w:val="BodyText"/>
        <w:spacing w:before="11"/>
        <w:rPr>
          <w:sz w:val="20"/>
        </w:rPr>
      </w:pPr>
    </w:p>
    <w:p w:rsidR="00C31389" w:rsidRDefault="00561FBD" w14:paraId="54B71097" w14:textId="77777777">
      <w:pPr>
        <w:pStyle w:val="ListParagraph"/>
        <w:numPr>
          <w:ilvl w:val="2"/>
          <w:numId w:val="25"/>
        </w:numPr>
        <w:tabs>
          <w:tab w:val="left" w:pos="1197"/>
        </w:tabs>
        <w:ind w:right="1656" w:firstLine="0"/>
        <w:rPr>
          <w:b/>
          <w:sz w:val="24"/>
        </w:rPr>
      </w:pPr>
      <w:bookmarkStart w:name="B.2.1_Residential_Heat_Pump_Replacing_Re" w:id="331"/>
      <w:bookmarkStart w:name="_bookmark246" w:id="332"/>
      <w:bookmarkEnd w:id="331"/>
      <w:bookmarkEnd w:id="332"/>
      <w:r>
        <w:rPr>
          <w:b/>
          <w:sz w:val="24"/>
        </w:rPr>
        <w:t>Residential</w:t>
      </w:r>
      <w:r>
        <w:rPr>
          <w:b/>
          <w:spacing w:val="-4"/>
          <w:sz w:val="24"/>
        </w:rPr>
        <w:t xml:space="preserve"> </w:t>
      </w:r>
      <w:r>
        <w:rPr>
          <w:b/>
          <w:sz w:val="24"/>
        </w:rPr>
        <w:t>Heat</w:t>
      </w:r>
      <w:r>
        <w:rPr>
          <w:b/>
          <w:spacing w:val="-4"/>
          <w:sz w:val="24"/>
        </w:rPr>
        <w:t xml:space="preserve"> </w:t>
      </w:r>
      <w:r>
        <w:rPr>
          <w:b/>
          <w:sz w:val="24"/>
        </w:rPr>
        <w:t>Pump</w:t>
      </w:r>
      <w:r>
        <w:rPr>
          <w:b/>
          <w:spacing w:val="-5"/>
          <w:sz w:val="24"/>
        </w:rPr>
        <w:t xml:space="preserve"> </w:t>
      </w:r>
      <w:r>
        <w:rPr>
          <w:b/>
          <w:sz w:val="24"/>
        </w:rPr>
        <w:t>Replacing</w:t>
      </w:r>
      <w:r>
        <w:rPr>
          <w:b/>
          <w:spacing w:val="-5"/>
          <w:sz w:val="24"/>
        </w:rPr>
        <w:t xml:space="preserve"> </w:t>
      </w:r>
      <w:r>
        <w:rPr>
          <w:b/>
          <w:sz w:val="24"/>
        </w:rPr>
        <w:t>Residential</w:t>
      </w:r>
      <w:r>
        <w:rPr>
          <w:b/>
          <w:spacing w:val="-4"/>
          <w:sz w:val="24"/>
        </w:rPr>
        <w:t xml:space="preserve"> </w:t>
      </w:r>
      <w:r>
        <w:rPr>
          <w:b/>
          <w:sz w:val="24"/>
        </w:rPr>
        <w:t>Furnace</w:t>
      </w:r>
      <w:r>
        <w:rPr>
          <w:b/>
          <w:spacing w:val="-5"/>
          <w:sz w:val="24"/>
        </w:rPr>
        <w:t xml:space="preserve"> </w:t>
      </w:r>
      <w:r>
        <w:rPr>
          <w:b/>
          <w:sz w:val="24"/>
        </w:rPr>
        <w:t>and</w:t>
      </w:r>
      <w:r>
        <w:rPr>
          <w:b/>
          <w:spacing w:val="-5"/>
          <w:sz w:val="24"/>
        </w:rPr>
        <w:t xml:space="preserve"> </w:t>
      </w:r>
      <w:r>
        <w:rPr>
          <w:b/>
          <w:sz w:val="24"/>
        </w:rPr>
        <w:t xml:space="preserve">AC </w:t>
      </w:r>
      <w:r>
        <w:rPr>
          <w:b/>
          <w:spacing w:val="-2"/>
          <w:sz w:val="24"/>
        </w:rPr>
        <w:t>Combination</w:t>
      </w:r>
    </w:p>
    <w:p w:rsidR="00C31389" w:rsidRDefault="00C31389" w14:paraId="0E045E67" w14:textId="77777777">
      <w:pPr>
        <w:pStyle w:val="BodyText"/>
        <w:spacing w:before="9"/>
        <w:rPr>
          <w:b/>
          <w:sz w:val="20"/>
        </w:rPr>
      </w:pPr>
    </w:p>
    <w:p w:rsidR="00C31389" w:rsidRDefault="00561FBD" w14:paraId="58A65E52" w14:textId="77777777">
      <w:pPr>
        <w:pStyle w:val="BodyText"/>
        <w:spacing w:before="1"/>
        <w:ind w:left="480" w:right="445" w:hanging="1"/>
      </w:pPr>
      <w:r>
        <w:t>The electric FS level for residential HVAC—a heat pump—provides heating and cooling, while</w:t>
      </w:r>
      <w:r>
        <w:rPr>
          <w:spacing w:val="-1"/>
        </w:rPr>
        <w:t xml:space="preserve"> </w:t>
      </w:r>
      <w:r>
        <w:t>the</w:t>
      </w:r>
      <w:r>
        <w:rPr>
          <w:spacing w:val="-1"/>
        </w:rPr>
        <w:t xml:space="preserve"> </w:t>
      </w:r>
      <w:r>
        <w:t>gas</w:t>
      </w:r>
      <w:r>
        <w:rPr>
          <w:spacing w:val="-1"/>
        </w:rPr>
        <w:t xml:space="preserve"> </w:t>
      </w:r>
      <w:r>
        <w:t>appliance</w:t>
      </w:r>
      <w:r>
        <w:rPr>
          <w:spacing w:val="-2"/>
        </w:rPr>
        <w:t xml:space="preserve"> </w:t>
      </w:r>
      <w:r>
        <w:t>being</w:t>
      </w:r>
      <w:r>
        <w:rPr>
          <w:spacing w:val="-1"/>
        </w:rPr>
        <w:t xml:space="preserve"> </w:t>
      </w:r>
      <w:r>
        <w:t>replaced</w:t>
      </w:r>
      <w:r>
        <w:rPr>
          <w:spacing w:val="-1"/>
        </w:rPr>
        <w:t xml:space="preserve"> </w:t>
      </w:r>
      <w:r>
        <w:t>provides</w:t>
      </w:r>
      <w:r>
        <w:rPr>
          <w:spacing w:val="-2"/>
        </w:rPr>
        <w:t xml:space="preserve"> </w:t>
      </w:r>
      <w:r>
        <w:t>heating only.</w:t>
      </w:r>
      <w:r>
        <w:rPr>
          <w:spacing w:val="-1"/>
        </w:rPr>
        <w:t xml:space="preserve"> </w:t>
      </w:r>
      <w:r>
        <w:t>For</w:t>
      </w:r>
      <w:r>
        <w:rPr>
          <w:spacing w:val="-1"/>
        </w:rPr>
        <w:t xml:space="preserve"> </w:t>
      </w:r>
      <w:r>
        <w:t>homes</w:t>
      </w:r>
      <w:r>
        <w:rPr>
          <w:spacing w:val="-1"/>
        </w:rPr>
        <w:t xml:space="preserve"> </w:t>
      </w:r>
      <w:r>
        <w:t>with</w:t>
      </w:r>
      <w:r>
        <w:rPr>
          <w:spacing w:val="-1"/>
        </w:rPr>
        <w:t xml:space="preserve"> </w:t>
      </w:r>
      <w:r>
        <w:t>a</w:t>
      </w:r>
      <w:r>
        <w:rPr>
          <w:spacing w:val="-1"/>
        </w:rPr>
        <w:t xml:space="preserve"> </w:t>
      </w:r>
      <w:r>
        <w:t>gas</w:t>
      </w:r>
      <w:r>
        <w:rPr>
          <w:spacing w:val="-1"/>
        </w:rPr>
        <w:t xml:space="preserve"> </w:t>
      </w:r>
      <w:r>
        <w:t>furnace and an electric AC, FS would involve replacing both the furnace and the AC with a heat pump that provides heating and cooling. This technology group consists of a heat pump competing</w:t>
      </w:r>
      <w:r>
        <w:rPr>
          <w:spacing w:val="-3"/>
        </w:rPr>
        <w:t xml:space="preserve"> </w:t>
      </w:r>
      <w:r>
        <w:t>with</w:t>
      </w:r>
      <w:r>
        <w:rPr>
          <w:spacing w:val="-3"/>
        </w:rPr>
        <w:t xml:space="preserve"> </w:t>
      </w:r>
      <w:r>
        <w:t>an</w:t>
      </w:r>
      <w:r>
        <w:rPr>
          <w:spacing w:val="-3"/>
        </w:rPr>
        <w:t xml:space="preserve"> </w:t>
      </w:r>
      <w:r>
        <w:t>efficient</w:t>
      </w:r>
      <w:r>
        <w:rPr>
          <w:spacing w:val="-3"/>
        </w:rPr>
        <w:t xml:space="preserve"> </w:t>
      </w:r>
      <w:r>
        <w:t>furnace</w:t>
      </w:r>
      <w:r>
        <w:rPr>
          <w:spacing w:val="-4"/>
        </w:rPr>
        <w:t xml:space="preserve"> </w:t>
      </w:r>
      <w:r>
        <w:t>and</w:t>
      </w:r>
      <w:r>
        <w:rPr>
          <w:spacing w:val="-3"/>
        </w:rPr>
        <w:t xml:space="preserve"> </w:t>
      </w:r>
      <w:r>
        <w:t>AC</w:t>
      </w:r>
      <w:r>
        <w:rPr>
          <w:spacing w:val="-3"/>
        </w:rPr>
        <w:t xml:space="preserve"> </w:t>
      </w:r>
      <w:r>
        <w:t>combination</w:t>
      </w:r>
      <w:r>
        <w:t>.</w:t>
      </w:r>
      <w:r>
        <w:rPr>
          <w:spacing w:val="-3"/>
        </w:rPr>
        <w:t xml:space="preserve"> </w:t>
      </w:r>
      <w:r>
        <w:t>For</w:t>
      </w:r>
      <w:r>
        <w:rPr>
          <w:spacing w:val="-4"/>
        </w:rPr>
        <w:t xml:space="preserve"> </w:t>
      </w:r>
      <w:r>
        <w:t>homes</w:t>
      </w:r>
      <w:r>
        <w:rPr>
          <w:spacing w:val="-3"/>
        </w:rPr>
        <w:t xml:space="preserve"> </w:t>
      </w:r>
      <w:r>
        <w:t>with</w:t>
      </w:r>
      <w:r>
        <w:rPr>
          <w:spacing w:val="-3"/>
        </w:rPr>
        <w:t xml:space="preserve"> </w:t>
      </w:r>
      <w:r>
        <w:t>a</w:t>
      </w:r>
      <w:r>
        <w:rPr>
          <w:spacing w:val="-3"/>
        </w:rPr>
        <w:t xml:space="preserve"> </w:t>
      </w:r>
      <w:r>
        <w:t>gas</w:t>
      </w:r>
      <w:r>
        <w:rPr>
          <w:spacing w:val="-3"/>
        </w:rPr>
        <w:t xml:space="preserve"> </w:t>
      </w:r>
      <w:r>
        <w:t>furnace</w:t>
      </w:r>
      <w:r>
        <w:rPr>
          <w:spacing w:val="-3"/>
        </w:rPr>
        <w:t xml:space="preserve"> </w:t>
      </w:r>
      <w:r>
        <w:t>only, FS would involve replacing the furnace with a heat pump that provides heating and cooling. This</w:t>
      </w:r>
      <w:r>
        <w:rPr>
          <w:spacing w:val="-2"/>
        </w:rPr>
        <w:t xml:space="preserve"> </w:t>
      </w:r>
      <w:r>
        <w:t>technology</w:t>
      </w:r>
      <w:r>
        <w:rPr>
          <w:spacing w:val="-2"/>
        </w:rPr>
        <w:t xml:space="preserve"> </w:t>
      </w:r>
      <w:r>
        <w:t>group</w:t>
      </w:r>
      <w:r>
        <w:rPr>
          <w:spacing w:val="-2"/>
        </w:rPr>
        <w:t xml:space="preserve"> </w:t>
      </w:r>
      <w:r>
        <w:t>consists</w:t>
      </w:r>
      <w:r>
        <w:rPr>
          <w:spacing w:val="-3"/>
        </w:rPr>
        <w:t xml:space="preserve"> </w:t>
      </w:r>
      <w:r>
        <w:t>of</w:t>
      </w:r>
      <w:r>
        <w:rPr>
          <w:spacing w:val="-2"/>
        </w:rPr>
        <w:t xml:space="preserve"> </w:t>
      </w:r>
      <w:r>
        <w:t>a</w:t>
      </w:r>
      <w:r>
        <w:rPr>
          <w:spacing w:val="-3"/>
        </w:rPr>
        <w:t xml:space="preserve"> </w:t>
      </w:r>
      <w:r>
        <w:t>heat</w:t>
      </w:r>
      <w:r>
        <w:rPr>
          <w:spacing w:val="-2"/>
        </w:rPr>
        <w:t xml:space="preserve"> </w:t>
      </w:r>
      <w:r>
        <w:t>pump</w:t>
      </w:r>
      <w:r>
        <w:rPr>
          <w:spacing w:val="-2"/>
        </w:rPr>
        <w:t xml:space="preserve"> </w:t>
      </w:r>
      <w:r>
        <w:t>competing</w:t>
      </w:r>
      <w:r>
        <w:rPr>
          <w:spacing w:val="-2"/>
        </w:rPr>
        <w:t xml:space="preserve"> </w:t>
      </w:r>
      <w:r>
        <w:t>with</w:t>
      </w:r>
      <w:r>
        <w:rPr>
          <w:spacing w:val="-2"/>
        </w:rPr>
        <w:t xml:space="preserve"> </w:t>
      </w:r>
      <w:r>
        <w:t>an</w:t>
      </w:r>
      <w:r>
        <w:rPr>
          <w:spacing w:val="-2"/>
        </w:rPr>
        <w:t xml:space="preserve"> </w:t>
      </w:r>
      <w:r>
        <w:t>efficient</w:t>
      </w:r>
      <w:r>
        <w:rPr>
          <w:spacing w:val="-2"/>
        </w:rPr>
        <w:t xml:space="preserve"> </w:t>
      </w:r>
      <w:r>
        <w:t>furnace</w:t>
      </w:r>
      <w:r>
        <w:rPr>
          <w:spacing w:val="-2"/>
        </w:rPr>
        <w:t xml:space="preserve"> </w:t>
      </w:r>
      <w:r>
        <w:t>only.</w:t>
      </w:r>
      <w:r>
        <w:rPr>
          <w:spacing w:val="-2"/>
        </w:rPr>
        <w:t xml:space="preserve"> </w:t>
      </w:r>
      <w:r>
        <w:t xml:space="preserve">The two technology groups are shown in </w:t>
      </w:r>
      <w:hyperlink w:history="1" w:anchor="_bookmark247">
        <w:r>
          <w:t>Table B-2.</w:t>
        </w:r>
      </w:hyperlink>
    </w:p>
    <w:p w:rsidR="00C31389" w:rsidRDefault="00C31389" w14:paraId="017D65E1" w14:textId="77777777">
      <w:pPr>
        <w:sectPr w:rsidR="00C31389">
          <w:type w:val="continuous"/>
          <w:pgSz w:w="11910" w:h="16840"/>
          <w:pgMar w:top="0" w:right="1020" w:bottom="280" w:left="960" w:header="397" w:footer="938" w:gutter="0"/>
          <w:cols w:space="720"/>
        </w:sectPr>
      </w:pPr>
    </w:p>
    <w:p w:rsidR="00C31389" w:rsidRDefault="00C31389" w14:paraId="42BA2668" w14:textId="77777777">
      <w:pPr>
        <w:pStyle w:val="BodyText"/>
        <w:spacing w:before="11"/>
        <w:rPr>
          <w:sz w:val="13"/>
        </w:rPr>
      </w:pPr>
    </w:p>
    <w:p w:rsidR="00C31389" w:rsidRDefault="00561FBD" w14:paraId="7A602A10" w14:textId="77777777">
      <w:pPr>
        <w:pStyle w:val="Heading7"/>
        <w:spacing w:before="92"/>
        <w:ind w:left="398" w:right="340"/>
        <w:jc w:val="center"/>
      </w:pPr>
      <w:bookmarkStart w:name="_bookmark247" w:id="333"/>
      <w:bookmarkEnd w:id="333"/>
      <w:r>
        <w:t>Table</w:t>
      </w:r>
      <w:r>
        <w:rPr>
          <w:spacing w:val="-8"/>
        </w:rPr>
        <w:t xml:space="preserve"> </w:t>
      </w:r>
      <w:r>
        <w:t>B-2.</w:t>
      </w:r>
      <w:r>
        <w:rPr>
          <w:spacing w:val="-8"/>
        </w:rPr>
        <w:t xml:space="preserve"> </w:t>
      </w:r>
      <w:r>
        <w:t>Residential</w:t>
      </w:r>
      <w:r>
        <w:rPr>
          <w:spacing w:val="-8"/>
        </w:rPr>
        <w:t xml:space="preserve"> </w:t>
      </w:r>
      <w:r>
        <w:t>Heat</w:t>
      </w:r>
      <w:r>
        <w:rPr>
          <w:spacing w:val="-7"/>
        </w:rPr>
        <w:t xml:space="preserve"> </w:t>
      </w:r>
      <w:r>
        <w:t>Pump</w:t>
      </w:r>
      <w:r>
        <w:rPr>
          <w:spacing w:val="-7"/>
        </w:rPr>
        <w:t xml:space="preserve"> </w:t>
      </w:r>
      <w:r>
        <w:t>FS</w:t>
      </w:r>
      <w:r>
        <w:rPr>
          <w:spacing w:val="-8"/>
        </w:rPr>
        <w:t xml:space="preserve"> </w:t>
      </w:r>
      <w:r>
        <w:t>Technology</w:t>
      </w:r>
      <w:r>
        <w:rPr>
          <w:spacing w:val="-7"/>
        </w:rPr>
        <w:t xml:space="preserve"> </w:t>
      </w:r>
      <w:r>
        <w:rPr>
          <w:spacing w:val="-2"/>
        </w:rPr>
        <w:t>Groups</w:t>
      </w:r>
    </w:p>
    <w:p w:rsidR="00C31389" w:rsidRDefault="00C31389" w14:paraId="563A9BA7" w14:textId="77777777">
      <w:pPr>
        <w:pStyle w:val="BodyText"/>
        <w:spacing w:before="7" w:after="1"/>
        <w:rPr>
          <w:b/>
          <w:sz w:val="9"/>
        </w:rPr>
      </w:pPr>
    </w:p>
    <w:tbl>
      <w:tblPr>
        <w:tblW w:w="0" w:type="auto"/>
        <w:tblInd w:w="487" w:type="dxa"/>
        <w:tblLayout w:type="fixed"/>
        <w:tblCellMar>
          <w:left w:w="0" w:type="dxa"/>
          <w:right w:w="0" w:type="dxa"/>
        </w:tblCellMar>
        <w:tblLook w:val="01E0" w:firstRow="1" w:lastRow="1" w:firstColumn="1" w:lastColumn="1" w:noHBand="0" w:noVBand="0"/>
      </w:tblPr>
      <w:tblGrid>
        <w:gridCol w:w="1980"/>
        <w:gridCol w:w="4850"/>
        <w:gridCol w:w="1991"/>
      </w:tblGrid>
      <w:tr w:rsidR="00C31389" w14:paraId="433EE67C" w14:textId="77777777">
        <w:trPr>
          <w:trHeight w:val="549"/>
        </w:trPr>
        <w:tc>
          <w:tcPr>
            <w:tcW w:w="1980" w:type="dxa"/>
            <w:shd w:val="clear" w:color="auto" w:fill="92D400"/>
          </w:tcPr>
          <w:p w:rsidR="00C31389" w:rsidRDefault="00561FBD" w14:paraId="2172289E" w14:textId="77777777">
            <w:pPr>
              <w:pStyle w:val="TableParagraph"/>
              <w:ind w:left="115" w:right="192"/>
              <w:rPr>
                <w:b/>
                <w:sz w:val="20"/>
              </w:rPr>
            </w:pPr>
            <w:r>
              <w:rPr>
                <w:b/>
                <w:spacing w:val="-2"/>
                <w:sz w:val="20"/>
              </w:rPr>
              <w:t>Technology Group</w:t>
            </w:r>
          </w:p>
        </w:tc>
        <w:tc>
          <w:tcPr>
            <w:tcW w:w="4850" w:type="dxa"/>
            <w:shd w:val="clear" w:color="auto" w:fill="92D400"/>
          </w:tcPr>
          <w:p w:rsidR="00C31389" w:rsidRDefault="00561FBD" w14:paraId="338CEBCC" w14:textId="77777777">
            <w:pPr>
              <w:pStyle w:val="TableParagraph"/>
              <w:spacing w:before="155"/>
              <w:ind w:left="115"/>
              <w:rPr>
                <w:b/>
                <w:sz w:val="20"/>
              </w:rPr>
            </w:pPr>
            <w:r>
              <w:rPr>
                <w:b/>
                <w:sz w:val="20"/>
              </w:rPr>
              <w:t>Technology</w:t>
            </w:r>
            <w:r>
              <w:rPr>
                <w:b/>
                <w:spacing w:val="-7"/>
                <w:sz w:val="20"/>
              </w:rPr>
              <w:t xml:space="preserve"> </w:t>
            </w:r>
            <w:r>
              <w:rPr>
                <w:b/>
                <w:spacing w:val="-4"/>
                <w:sz w:val="20"/>
              </w:rPr>
              <w:t>Name</w:t>
            </w:r>
          </w:p>
        </w:tc>
        <w:tc>
          <w:tcPr>
            <w:tcW w:w="1991" w:type="dxa"/>
            <w:shd w:val="clear" w:color="auto" w:fill="92D400"/>
          </w:tcPr>
          <w:p w:rsidR="00C31389" w:rsidRDefault="00561FBD" w14:paraId="403EC601" w14:textId="77777777">
            <w:pPr>
              <w:pStyle w:val="TableParagraph"/>
              <w:ind w:left="215" w:right="258"/>
              <w:rPr>
                <w:b/>
                <w:sz w:val="20"/>
              </w:rPr>
            </w:pPr>
            <w:r>
              <w:rPr>
                <w:b/>
                <w:sz w:val="20"/>
              </w:rPr>
              <w:t>Base Year Efficiency</w:t>
            </w:r>
            <w:r>
              <w:rPr>
                <w:b/>
                <w:spacing w:val="-14"/>
                <w:sz w:val="20"/>
              </w:rPr>
              <w:t xml:space="preserve"> </w:t>
            </w:r>
            <w:r>
              <w:rPr>
                <w:b/>
                <w:sz w:val="20"/>
              </w:rPr>
              <w:t>Level</w:t>
            </w:r>
          </w:p>
        </w:tc>
      </w:tr>
      <w:tr w:rsidR="00C31389" w14:paraId="6E550C38" w14:textId="77777777">
        <w:trPr>
          <w:trHeight w:val="309"/>
        </w:trPr>
        <w:tc>
          <w:tcPr>
            <w:tcW w:w="1980" w:type="dxa"/>
            <w:vMerge w:val="restart"/>
            <w:tcBorders>
              <w:bottom w:val="single" w:color="D9D9D9" w:sz="2" w:space="0"/>
            </w:tcBorders>
          </w:tcPr>
          <w:p w:rsidR="00C31389" w:rsidRDefault="00561FBD" w14:paraId="5F1CFFE2" w14:textId="77777777">
            <w:pPr>
              <w:pStyle w:val="TableParagraph"/>
              <w:spacing w:before="82"/>
              <w:ind w:left="115"/>
              <w:rPr>
                <w:sz w:val="20"/>
              </w:rPr>
            </w:pPr>
            <w:r>
              <w:rPr>
                <w:sz w:val="20"/>
              </w:rPr>
              <w:t>Res</w:t>
            </w:r>
            <w:r>
              <w:rPr>
                <w:spacing w:val="-7"/>
                <w:sz w:val="20"/>
              </w:rPr>
              <w:t xml:space="preserve"> </w:t>
            </w:r>
            <w:r>
              <w:rPr>
                <w:sz w:val="20"/>
              </w:rPr>
              <w:t>Central</w:t>
            </w:r>
            <w:r>
              <w:rPr>
                <w:spacing w:val="-9"/>
                <w:sz w:val="20"/>
              </w:rPr>
              <w:t xml:space="preserve"> </w:t>
            </w:r>
            <w:r>
              <w:rPr>
                <w:sz w:val="20"/>
              </w:rPr>
              <w:t>HVAC System</w:t>
            </w:r>
            <w:r>
              <w:rPr>
                <w:spacing w:val="-3"/>
                <w:sz w:val="20"/>
              </w:rPr>
              <w:t xml:space="preserve"> </w:t>
            </w:r>
            <w:r>
              <w:rPr>
                <w:sz w:val="20"/>
              </w:rPr>
              <w:t>–</w:t>
            </w:r>
            <w:r>
              <w:rPr>
                <w:spacing w:val="-3"/>
                <w:sz w:val="20"/>
              </w:rPr>
              <w:t xml:space="preserve"> </w:t>
            </w:r>
            <w:r>
              <w:rPr>
                <w:sz w:val="20"/>
              </w:rPr>
              <w:t>Fuel</w:t>
            </w:r>
            <w:r>
              <w:rPr>
                <w:spacing w:val="-3"/>
                <w:sz w:val="20"/>
              </w:rPr>
              <w:t xml:space="preserve"> </w:t>
            </w:r>
            <w:r>
              <w:rPr>
                <w:spacing w:val="-5"/>
                <w:sz w:val="20"/>
              </w:rPr>
              <w:t>Sub</w:t>
            </w:r>
          </w:p>
        </w:tc>
        <w:tc>
          <w:tcPr>
            <w:tcW w:w="4850" w:type="dxa"/>
            <w:tcBorders>
              <w:bottom w:val="single" w:color="D9D9D9" w:sz="2" w:space="0"/>
            </w:tcBorders>
          </w:tcPr>
          <w:p w:rsidR="00C31389" w:rsidRDefault="00561FBD" w14:paraId="76915CF6" w14:textId="77777777">
            <w:pPr>
              <w:pStyle w:val="TableParagraph"/>
              <w:ind w:left="114"/>
              <w:rPr>
                <w:sz w:val="20"/>
              </w:rPr>
            </w:pPr>
            <w:r>
              <w:rPr>
                <w:sz w:val="20"/>
              </w:rPr>
              <w:t>Code</w:t>
            </w:r>
            <w:r>
              <w:rPr>
                <w:spacing w:val="-3"/>
                <w:sz w:val="20"/>
              </w:rPr>
              <w:t xml:space="preserve"> </w:t>
            </w:r>
            <w:r>
              <w:rPr>
                <w:sz w:val="20"/>
              </w:rPr>
              <w:t>Furnace</w:t>
            </w:r>
            <w:r>
              <w:rPr>
                <w:spacing w:val="-3"/>
                <w:sz w:val="20"/>
              </w:rPr>
              <w:t xml:space="preserve"> </w:t>
            </w:r>
            <w:r>
              <w:rPr>
                <w:sz w:val="20"/>
              </w:rPr>
              <w:t>and</w:t>
            </w:r>
            <w:r>
              <w:rPr>
                <w:spacing w:val="-3"/>
                <w:sz w:val="20"/>
              </w:rPr>
              <w:t xml:space="preserve"> </w:t>
            </w:r>
            <w:r>
              <w:rPr>
                <w:sz w:val="20"/>
              </w:rPr>
              <w:t>SEER</w:t>
            </w:r>
            <w:r>
              <w:rPr>
                <w:spacing w:val="-2"/>
                <w:sz w:val="20"/>
              </w:rPr>
              <w:t xml:space="preserve"> </w:t>
            </w:r>
            <w:r>
              <w:rPr>
                <w:sz w:val="20"/>
              </w:rPr>
              <w:t>14</w:t>
            </w:r>
            <w:r>
              <w:rPr>
                <w:spacing w:val="-2"/>
                <w:sz w:val="20"/>
              </w:rPr>
              <w:t xml:space="preserve"> </w:t>
            </w:r>
            <w:r>
              <w:rPr>
                <w:spacing w:val="-5"/>
                <w:sz w:val="20"/>
              </w:rPr>
              <w:t>AC</w:t>
            </w:r>
          </w:p>
        </w:tc>
        <w:tc>
          <w:tcPr>
            <w:tcW w:w="1991" w:type="dxa"/>
            <w:tcBorders>
              <w:bottom w:val="single" w:color="D9D9D9" w:sz="2" w:space="0"/>
            </w:tcBorders>
          </w:tcPr>
          <w:p w:rsidR="00C31389" w:rsidRDefault="00561FBD" w14:paraId="41A83DBB" w14:textId="77777777">
            <w:pPr>
              <w:pStyle w:val="TableParagraph"/>
              <w:ind w:left="214"/>
              <w:rPr>
                <w:sz w:val="20"/>
              </w:rPr>
            </w:pPr>
            <w:r>
              <w:rPr>
                <w:spacing w:val="-4"/>
                <w:sz w:val="20"/>
              </w:rPr>
              <w:t>Code</w:t>
            </w:r>
          </w:p>
        </w:tc>
      </w:tr>
      <w:tr w:rsidR="00C31389" w14:paraId="26EED579" w14:textId="77777777">
        <w:trPr>
          <w:trHeight w:val="310"/>
        </w:trPr>
        <w:tc>
          <w:tcPr>
            <w:tcW w:w="1980" w:type="dxa"/>
            <w:vMerge/>
            <w:tcBorders>
              <w:top w:val="nil"/>
              <w:bottom w:val="single" w:color="D9D9D9" w:sz="2" w:space="0"/>
            </w:tcBorders>
          </w:tcPr>
          <w:p w:rsidR="00C31389" w:rsidRDefault="00C31389" w14:paraId="4FC29FA7" w14:textId="77777777">
            <w:pPr>
              <w:rPr>
                <w:sz w:val="2"/>
                <w:szCs w:val="2"/>
              </w:rPr>
            </w:pPr>
          </w:p>
        </w:tc>
        <w:tc>
          <w:tcPr>
            <w:tcW w:w="4850" w:type="dxa"/>
            <w:tcBorders>
              <w:top w:val="single" w:color="D9D9D9" w:sz="2" w:space="0"/>
              <w:bottom w:val="single" w:color="D9D9D9" w:sz="2" w:space="0"/>
            </w:tcBorders>
          </w:tcPr>
          <w:p w:rsidR="00C31389" w:rsidRDefault="00561FBD" w14:paraId="7873A54D" w14:textId="77777777">
            <w:pPr>
              <w:pStyle w:val="TableParagraph"/>
              <w:spacing w:before="41"/>
              <w:ind w:left="115"/>
              <w:rPr>
                <w:sz w:val="20"/>
              </w:rPr>
            </w:pPr>
            <w:r>
              <w:rPr>
                <w:sz w:val="20"/>
              </w:rPr>
              <w:t>Condensing</w:t>
            </w:r>
            <w:r>
              <w:rPr>
                <w:spacing w:val="-5"/>
                <w:sz w:val="20"/>
              </w:rPr>
              <w:t xml:space="preserve"> </w:t>
            </w:r>
            <w:r>
              <w:rPr>
                <w:sz w:val="20"/>
              </w:rPr>
              <w:t>Furnace</w:t>
            </w:r>
            <w:r>
              <w:rPr>
                <w:spacing w:val="-3"/>
                <w:sz w:val="20"/>
              </w:rPr>
              <w:t xml:space="preserve"> </w:t>
            </w:r>
            <w:r>
              <w:rPr>
                <w:sz w:val="20"/>
              </w:rPr>
              <w:t>and</w:t>
            </w:r>
            <w:r>
              <w:rPr>
                <w:spacing w:val="-4"/>
                <w:sz w:val="20"/>
              </w:rPr>
              <w:t xml:space="preserve"> </w:t>
            </w:r>
            <w:r>
              <w:rPr>
                <w:sz w:val="20"/>
              </w:rPr>
              <w:t>SEER</w:t>
            </w:r>
            <w:r>
              <w:rPr>
                <w:spacing w:val="-2"/>
                <w:sz w:val="20"/>
              </w:rPr>
              <w:t xml:space="preserve"> </w:t>
            </w:r>
            <w:r>
              <w:rPr>
                <w:sz w:val="20"/>
              </w:rPr>
              <w:t>15</w:t>
            </w:r>
            <w:r>
              <w:rPr>
                <w:spacing w:val="-3"/>
                <w:sz w:val="20"/>
              </w:rPr>
              <w:t xml:space="preserve"> </w:t>
            </w:r>
            <w:r>
              <w:rPr>
                <w:spacing w:val="-5"/>
                <w:sz w:val="20"/>
              </w:rPr>
              <w:t>AC</w:t>
            </w:r>
          </w:p>
        </w:tc>
        <w:tc>
          <w:tcPr>
            <w:tcW w:w="1991" w:type="dxa"/>
            <w:tcBorders>
              <w:top w:val="single" w:color="D9D9D9" w:sz="2" w:space="0"/>
              <w:bottom w:val="single" w:color="D9D9D9" w:sz="2" w:space="0"/>
            </w:tcBorders>
          </w:tcPr>
          <w:p w:rsidR="00C31389" w:rsidRDefault="00561FBD" w14:paraId="079980CC" w14:textId="77777777">
            <w:pPr>
              <w:pStyle w:val="TableParagraph"/>
              <w:spacing w:before="41"/>
              <w:ind w:left="215"/>
              <w:rPr>
                <w:sz w:val="20"/>
              </w:rPr>
            </w:pPr>
            <w:r>
              <w:rPr>
                <w:spacing w:val="-2"/>
                <w:sz w:val="20"/>
              </w:rPr>
              <w:t>Efficient</w:t>
            </w:r>
          </w:p>
        </w:tc>
      </w:tr>
      <w:tr w:rsidR="00C31389" w14:paraId="05B55264" w14:textId="77777777">
        <w:trPr>
          <w:trHeight w:val="309"/>
        </w:trPr>
        <w:tc>
          <w:tcPr>
            <w:tcW w:w="1980" w:type="dxa"/>
            <w:tcBorders>
              <w:top w:val="single" w:color="D9D9D9" w:sz="2" w:space="0"/>
              <w:bottom w:val="single" w:color="D9D9D9" w:sz="2" w:space="0"/>
            </w:tcBorders>
          </w:tcPr>
          <w:p w:rsidR="00C31389" w:rsidRDefault="00C31389" w14:paraId="338041BF" w14:textId="77777777">
            <w:pPr>
              <w:pStyle w:val="TableParagraph"/>
              <w:spacing w:before="0"/>
              <w:rPr>
                <w:rFonts w:ascii="Times New Roman"/>
                <w:sz w:val="20"/>
              </w:rPr>
            </w:pPr>
          </w:p>
        </w:tc>
        <w:tc>
          <w:tcPr>
            <w:tcW w:w="4850" w:type="dxa"/>
            <w:tcBorders>
              <w:top w:val="single" w:color="D9D9D9" w:sz="2" w:space="0"/>
              <w:bottom w:val="single" w:color="D9D9D9" w:sz="2" w:space="0"/>
            </w:tcBorders>
          </w:tcPr>
          <w:p w:rsidR="00C31389" w:rsidRDefault="00561FBD" w14:paraId="5A671E77" w14:textId="77777777">
            <w:pPr>
              <w:pStyle w:val="TableParagraph"/>
              <w:ind w:left="115"/>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15)</w:t>
            </w:r>
          </w:p>
        </w:tc>
        <w:tc>
          <w:tcPr>
            <w:tcW w:w="1991" w:type="dxa"/>
            <w:tcBorders>
              <w:top w:val="single" w:color="D9D9D9" w:sz="2" w:space="0"/>
              <w:bottom w:val="single" w:color="D9D9D9" w:sz="2" w:space="0"/>
            </w:tcBorders>
          </w:tcPr>
          <w:p w:rsidR="00C31389" w:rsidRDefault="00561FBD" w14:paraId="4108B284" w14:textId="77777777">
            <w:pPr>
              <w:pStyle w:val="TableParagraph"/>
              <w:ind w:left="215"/>
              <w:rPr>
                <w:sz w:val="20"/>
              </w:rPr>
            </w:pPr>
            <w:r>
              <w:rPr>
                <w:spacing w:val="-2"/>
                <w:sz w:val="20"/>
              </w:rPr>
              <w:t>Efficient</w:t>
            </w:r>
          </w:p>
        </w:tc>
      </w:tr>
      <w:tr w:rsidR="00C31389" w14:paraId="68FFE4E6" w14:textId="77777777">
        <w:trPr>
          <w:trHeight w:val="310"/>
        </w:trPr>
        <w:tc>
          <w:tcPr>
            <w:tcW w:w="1980" w:type="dxa"/>
            <w:tcBorders>
              <w:top w:val="single" w:color="D9D9D9" w:sz="2" w:space="0"/>
              <w:bottom w:val="single" w:color="D9D9D9" w:sz="2" w:space="0"/>
            </w:tcBorders>
          </w:tcPr>
          <w:p w:rsidR="00C31389" w:rsidRDefault="00C31389" w14:paraId="1826710A" w14:textId="77777777">
            <w:pPr>
              <w:pStyle w:val="TableParagraph"/>
              <w:spacing w:before="0"/>
              <w:rPr>
                <w:rFonts w:ascii="Times New Roman"/>
                <w:sz w:val="20"/>
              </w:rPr>
            </w:pPr>
          </w:p>
        </w:tc>
        <w:tc>
          <w:tcPr>
            <w:tcW w:w="4850" w:type="dxa"/>
            <w:tcBorders>
              <w:top w:val="single" w:color="D9D9D9" w:sz="2" w:space="0"/>
              <w:bottom w:val="single" w:color="D9D9D9" w:sz="2" w:space="0"/>
            </w:tcBorders>
          </w:tcPr>
          <w:p w:rsidR="00C31389" w:rsidRDefault="00561FBD" w14:paraId="15CB54A4" w14:textId="77777777">
            <w:pPr>
              <w:pStyle w:val="TableParagraph"/>
              <w:spacing w:before="41"/>
              <w:ind w:left="115"/>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16)</w:t>
            </w:r>
          </w:p>
        </w:tc>
        <w:tc>
          <w:tcPr>
            <w:tcW w:w="1991" w:type="dxa"/>
            <w:tcBorders>
              <w:top w:val="single" w:color="D9D9D9" w:sz="2" w:space="0"/>
              <w:bottom w:val="single" w:color="D9D9D9" w:sz="2" w:space="0"/>
            </w:tcBorders>
          </w:tcPr>
          <w:p w:rsidR="00C31389" w:rsidRDefault="00561FBD" w14:paraId="347AE069" w14:textId="77777777">
            <w:pPr>
              <w:pStyle w:val="TableParagraph"/>
              <w:spacing w:before="41"/>
              <w:ind w:left="215"/>
              <w:rPr>
                <w:sz w:val="20"/>
              </w:rPr>
            </w:pPr>
            <w:r>
              <w:rPr>
                <w:spacing w:val="-2"/>
                <w:sz w:val="20"/>
              </w:rPr>
              <w:t>Efficient</w:t>
            </w:r>
          </w:p>
        </w:tc>
      </w:tr>
      <w:tr w:rsidR="00C31389" w14:paraId="4B84B54D" w14:textId="77777777">
        <w:trPr>
          <w:trHeight w:val="309"/>
        </w:trPr>
        <w:tc>
          <w:tcPr>
            <w:tcW w:w="1980" w:type="dxa"/>
            <w:tcBorders>
              <w:top w:val="single" w:color="D9D9D9" w:sz="2" w:space="0"/>
              <w:bottom w:val="single" w:color="D9D9D9" w:sz="2" w:space="0"/>
            </w:tcBorders>
          </w:tcPr>
          <w:p w:rsidR="00C31389" w:rsidRDefault="00C31389" w14:paraId="3BFD33B5" w14:textId="77777777">
            <w:pPr>
              <w:pStyle w:val="TableParagraph"/>
              <w:spacing w:before="0"/>
              <w:rPr>
                <w:rFonts w:ascii="Times New Roman"/>
                <w:sz w:val="20"/>
              </w:rPr>
            </w:pPr>
          </w:p>
        </w:tc>
        <w:tc>
          <w:tcPr>
            <w:tcW w:w="4850" w:type="dxa"/>
            <w:tcBorders>
              <w:top w:val="single" w:color="D9D9D9" w:sz="2" w:space="0"/>
              <w:bottom w:val="single" w:color="D9D9D9" w:sz="2" w:space="0"/>
            </w:tcBorders>
          </w:tcPr>
          <w:p w:rsidR="00C31389" w:rsidRDefault="00561FBD" w14:paraId="7BB56CA9" w14:textId="77777777">
            <w:pPr>
              <w:pStyle w:val="TableParagraph"/>
              <w:ind w:left="115"/>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17)</w:t>
            </w:r>
          </w:p>
        </w:tc>
        <w:tc>
          <w:tcPr>
            <w:tcW w:w="1991" w:type="dxa"/>
            <w:tcBorders>
              <w:top w:val="single" w:color="D9D9D9" w:sz="2" w:space="0"/>
              <w:bottom w:val="single" w:color="D9D9D9" w:sz="2" w:space="0"/>
            </w:tcBorders>
          </w:tcPr>
          <w:p w:rsidR="00C31389" w:rsidRDefault="00561FBD" w14:paraId="7A167B4A" w14:textId="77777777">
            <w:pPr>
              <w:pStyle w:val="TableParagraph"/>
              <w:ind w:left="215"/>
              <w:rPr>
                <w:sz w:val="20"/>
              </w:rPr>
            </w:pPr>
            <w:r>
              <w:rPr>
                <w:spacing w:val="-2"/>
                <w:sz w:val="20"/>
              </w:rPr>
              <w:t>Efficient</w:t>
            </w:r>
          </w:p>
        </w:tc>
      </w:tr>
      <w:tr w:rsidR="00C31389" w14:paraId="47BCBE35" w14:textId="77777777">
        <w:trPr>
          <w:trHeight w:val="310"/>
        </w:trPr>
        <w:tc>
          <w:tcPr>
            <w:tcW w:w="1980" w:type="dxa"/>
            <w:tcBorders>
              <w:top w:val="single" w:color="D9D9D9" w:sz="2" w:space="0"/>
              <w:bottom w:val="single" w:color="D9D9D9" w:sz="2" w:space="0"/>
            </w:tcBorders>
          </w:tcPr>
          <w:p w:rsidR="00C31389" w:rsidRDefault="00C31389" w14:paraId="3D2C28B5" w14:textId="77777777">
            <w:pPr>
              <w:pStyle w:val="TableParagraph"/>
              <w:spacing w:before="0"/>
              <w:rPr>
                <w:rFonts w:ascii="Times New Roman"/>
                <w:sz w:val="20"/>
              </w:rPr>
            </w:pPr>
          </w:p>
        </w:tc>
        <w:tc>
          <w:tcPr>
            <w:tcW w:w="4850" w:type="dxa"/>
            <w:tcBorders>
              <w:top w:val="single" w:color="D9D9D9" w:sz="2" w:space="0"/>
              <w:bottom w:val="single" w:color="D9D9D9" w:sz="2" w:space="0"/>
            </w:tcBorders>
          </w:tcPr>
          <w:p w:rsidR="00C31389" w:rsidRDefault="00561FBD" w14:paraId="62228A82" w14:textId="77777777">
            <w:pPr>
              <w:pStyle w:val="TableParagraph"/>
              <w:spacing w:before="41"/>
              <w:ind w:left="115"/>
              <w:rPr>
                <w:sz w:val="20"/>
              </w:rPr>
            </w:pPr>
            <w:r>
              <w:rPr>
                <w:sz w:val="20"/>
              </w:rPr>
              <w:t>Packaged/Split</w:t>
            </w:r>
            <w:r>
              <w:rPr>
                <w:spacing w:val="-5"/>
                <w:sz w:val="20"/>
              </w:rPr>
              <w:t xml:space="preserve"> </w:t>
            </w:r>
            <w:r>
              <w:rPr>
                <w:sz w:val="20"/>
              </w:rPr>
              <w:t>Heat</w:t>
            </w:r>
            <w:r>
              <w:rPr>
                <w:spacing w:val="-5"/>
                <w:sz w:val="20"/>
              </w:rPr>
              <w:t xml:space="preserve"> </w:t>
            </w:r>
            <w:r>
              <w:rPr>
                <w:sz w:val="20"/>
              </w:rPr>
              <w:t>Pump</w:t>
            </w:r>
            <w:r>
              <w:rPr>
                <w:spacing w:val="-6"/>
                <w:sz w:val="20"/>
              </w:rPr>
              <w:t xml:space="preserve"> </w:t>
            </w:r>
            <w:r>
              <w:rPr>
                <w:sz w:val="20"/>
              </w:rPr>
              <w:t>(SEER</w:t>
            </w:r>
            <w:r>
              <w:rPr>
                <w:spacing w:val="-3"/>
                <w:sz w:val="20"/>
              </w:rPr>
              <w:t xml:space="preserve"> </w:t>
            </w:r>
            <w:r>
              <w:rPr>
                <w:spacing w:val="-5"/>
                <w:sz w:val="20"/>
              </w:rPr>
              <w:t>18)</w:t>
            </w:r>
          </w:p>
        </w:tc>
        <w:tc>
          <w:tcPr>
            <w:tcW w:w="1991" w:type="dxa"/>
            <w:tcBorders>
              <w:top w:val="single" w:color="D9D9D9" w:sz="2" w:space="0"/>
              <w:bottom w:val="single" w:color="D9D9D9" w:sz="2" w:space="0"/>
            </w:tcBorders>
          </w:tcPr>
          <w:p w:rsidR="00C31389" w:rsidRDefault="00561FBD" w14:paraId="62288680" w14:textId="77777777">
            <w:pPr>
              <w:pStyle w:val="TableParagraph"/>
              <w:spacing w:before="41"/>
              <w:ind w:left="215"/>
              <w:rPr>
                <w:sz w:val="20"/>
              </w:rPr>
            </w:pPr>
            <w:r>
              <w:rPr>
                <w:spacing w:val="-2"/>
                <w:sz w:val="20"/>
              </w:rPr>
              <w:t>Efficient</w:t>
            </w:r>
          </w:p>
        </w:tc>
      </w:tr>
      <w:tr w:rsidR="00C31389" w14:paraId="751A828B" w14:textId="77777777">
        <w:trPr>
          <w:trHeight w:val="309"/>
        </w:trPr>
        <w:tc>
          <w:tcPr>
            <w:tcW w:w="1980" w:type="dxa"/>
            <w:tcBorders>
              <w:top w:val="single" w:color="D9D9D9" w:sz="2" w:space="0"/>
            </w:tcBorders>
          </w:tcPr>
          <w:p w:rsidR="00C31389" w:rsidRDefault="00C31389" w14:paraId="2ED9CBB3" w14:textId="77777777">
            <w:pPr>
              <w:pStyle w:val="TableParagraph"/>
              <w:spacing w:before="0"/>
              <w:rPr>
                <w:rFonts w:ascii="Times New Roman"/>
                <w:sz w:val="20"/>
              </w:rPr>
            </w:pPr>
          </w:p>
        </w:tc>
        <w:tc>
          <w:tcPr>
            <w:tcW w:w="4850" w:type="dxa"/>
            <w:tcBorders>
              <w:top w:val="single" w:color="D9D9D9" w:sz="2" w:space="0"/>
              <w:bottom w:val="single" w:color="D9D9D9" w:sz="2" w:space="0"/>
            </w:tcBorders>
          </w:tcPr>
          <w:p w:rsidR="00C31389" w:rsidRDefault="00561FBD" w14:paraId="746860B3" w14:textId="77777777">
            <w:pPr>
              <w:pStyle w:val="TableParagraph"/>
              <w:ind w:left="115"/>
              <w:rPr>
                <w:sz w:val="20"/>
              </w:rPr>
            </w:pPr>
            <w:r>
              <w:rPr>
                <w:sz w:val="20"/>
              </w:rPr>
              <w:t>Res</w:t>
            </w:r>
            <w:r>
              <w:rPr>
                <w:spacing w:val="-2"/>
                <w:sz w:val="20"/>
              </w:rPr>
              <w:t xml:space="preserve"> </w:t>
            </w:r>
            <w:r>
              <w:rPr>
                <w:sz w:val="20"/>
              </w:rPr>
              <w:t>Furnace</w:t>
            </w:r>
            <w:r>
              <w:rPr>
                <w:spacing w:val="-4"/>
                <w:sz w:val="20"/>
              </w:rPr>
              <w:t xml:space="preserve"> </w:t>
            </w:r>
            <w:r>
              <w:rPr>
                <w:sz w:val="20"/>
              </w:rPr>
              <w:t>FS</w:t>
            </w:r>
            <w:r>
              <w:rPr>
                <w:spacing w:val="-3"/>
                <w:sz w:val="20"/>
              </w:rPr>
              <w:t xml:space="preserve"> </w:t>
            </w:r>
            <w:r>
              <w:rPr>
                <w:sz w:val="20"/>
              </w:rPr>
              <w:t>(AFUE</w:t>
            </w:r>
            <w:r>
              <w:rPr>
                <w:spacing w:val="-2"/>
                <w:sz w:val="20"/>
              </w:rPr>
              <w:t xml:space="preserve"> </w:t>
            </w:r>
            <w:r>
              <w:rPr>
                <w:sz w:val="20"/>
              </w:rPr>
              <w:t>and</w:t>
            </w:r>
            <w:r>
              <w:rPr>
                <w:spacing w:val="-3"/>
                <w:sz w:val="20"/>
              </w:rPr>
              <w:t xml:space="preserve"> </w:t>
            </w:r>
            <w:r>
              <w:rPr>
                <w:sz w:val="20"/>
              </w:rPr>
              <w:t>HIR</w:t>
            </w:r>
            <w:r>
              <w:rPr>
                <w:spacing w:val="-2"/>
                <w:sz w:val="20"/>
              </w:rPr>
              <w:t xml:space="preserve"> </w:t>
            </w:r>
            <w:r>
              <w:rPr>
                <w:sz w:val="20"/>
              </w:rPr>
              <w:t>at</w:t>
            </w:r>
            <w:r>
              <w:rPr>
                <w:spacing w:val="-3"/>
                <w:sz w:val="20"/>
              </w:rPr>
              <w:t xml:space="preserve"> </w:t>
            </w:r>
            <w:r>
              <w:rPr>
                <w:sz w:val="20"/>
              </w:rPr>
              <w:t>Code</w:t>
            </w:r>
            <w:r>
              <w:rPr>
                <w:spacing w:val="-2"/>
                <w:sz w:val="20"/>
              </w:rPr>
              <w:t xml:space="preserve"> Level)</w:t>
            </w:r>
          </w:p>
        </w:tc>
        <w:tc>
          <w:tcPr>
            <w:tcW w:w="1991" w:type="dxa"/>
            <w:tcBorders>
              <w:top w:val="single" w:color="D9D9D9" w:sz="2" w:space="0"/>
              <w:bottom w:val="single" w:color="D9D9D9" w:sz="2" w:space="0"/>
            </w:tcBorders>
          </w:tcPr>
          <w:p w:rsidR="00C31389" w:rsidRDefault="00561FBD" w14:paraId="6352A897" w14:textId="77777777">
            <w:pPr>
              <w:pStyle w:val="TableParagraph"/>
              <w:ind w:left="215"/>
              <w:rPr>
                <w:sz w:val="20"/>
              </w:rPr>
            </w:pPr>
            <w:r>
              <w:rPr>
                <w:spacing w:val="-4"/>
                <w:sz w:val="20"/>
              </w:rPr>
              <w:t>Code</w:t>
            </w:r>
          </w:p>
        </w:tc>
      </w:tr>
      <w:tr w:rsidR="00C31389" w14:paraId="378CF16E" w14:textId="77777777">
        <w:trPr>
          <w:trHeight w:val="287"/>
        </w:trPr>
        <w:tc>
          <w:tcPr>
            <w:tcW w:w="1980" w:type="dxa"/>
          </w:tcPr>
          <w:p w:rsidR="00C31389" w:rsidRDefault="00C31389" w14:paraId="150EF899" w14:textId="77777777">
            <w:pPr>
              <w:pStyle w:val="TableParagraph"/>
              <w:spacing w:before="0"/>
              <w:rPr>
                <w:rFonts w:ascii="Times New Roman"/>
                <w:sz w:val="20"/>
              </w:rPr>
            </w:pPr>
          </w:p>
        </w:tc>
        <w:tc>
          <w:tcPr>
            <w:tcW w:w="4850" w:type="dxa"/>
            <w:tcBorders>
              <w:top w:val="single" w:color="D9D9D9" w:sz="2" w:space="0"/>
              <w:bottom w:val="single" w:color="D9D9D9" w:sz="2" w:space="0"/>
            </w:tcBorders>
          </w:tcPr>
          <w:p w:rsidR="00C31389" w:rsidRDefault="00561FBD" w14:paraId="7A63C0D9" w14:textId="77777777">
            <w:pPr>
              <w:pStyle w:val="TableParagraph"/>
              <w:ind w:left="115"/>
              <w:rPr>
                <w:sz w:val="20"/>
              </w:rPr>
            </w:pPr>
            <w:r>
              <w:rPr>
                <w:sz w:val="20"/>
              </w:rPr>
              <w:t>Res</w:t>
            </w:r>
            <w:r>
              <w:rPr>
                <w:spacing w:val="-3"/>
                <w:sz w:val="20"/>
              </w:rPr>
              <w:t xml:space="preserve"> </w:t>
            </w:r>
            <w:r>
              <w:rPr>
                <w:sz w:val="20"/>
              </w:rPr>
              <w:t>Efficient</w:t>
            </w:r>
            <w:r>
              <w:rPr>
                <w:spacing w:val="-4"/>
                <w:sz w:val="20"/>
              </w:rPr>
              <w:t xml:space="preserve"> </w:t>
            </w:r>
            <w:r>
              <w:rPr>
                <w:sz w:val="20"/>
              </w:rPr>
              <w:t>Condensing</w:t>
            </w:r>
            <w:r>
              <w:rPr>
                <w:spacing w:val="-4"/>
                <w:sz w:val="20"/>
              </w:rPr>
              <w:t xml:space="preserve"> </w:t>
            </w:r>
            <w:r>
              <w:rPr>
                <w:sz w:val="20"/>
              </w:rPr>
              <w:t>Furnace</w:t>
            </w:r>
            <w:r>
              <w:rPr>
                <w:spacing w:val="-4"/>
                <w:sz w:val="20"/>
              </w:rPr>
              <w:t xml:space="preserve"> </w:t>
            </w:r>
            <w:r>
              <w:rPr>
                <w:sz w:val="20"/>
              </w:rPr>
              <w:t>FS</w:t>
            </w:r>
            <w:r>
              <w:rPr>
                <w:spacing w:val="-3"/>
                <w:sz w:val="20"/>
              </w:rPr>
              <w:t xml:space="preserve"> </w:t>
            </w:r>
            <w:r>
              <w:rPr>
                <w:sz w:val="20"/>
              </w:rPr>
              <w:t>(AFUE</w:t>
            </w:r>
            <w:r>
              <w:rPr>
                <w:spacing w:val="-4"/>
                <w:sz w:val="20"/>
              </w:rPr>
              <w:t xml:space="preserve"> </w:t>
            </w:r>
            <w:r>
              <w:rPr>
                <w:sz w:val="20"/>
              </w:rPr>
              <w:t>=</w:t>
            </w:r>
            <w:r>
              <w:rPr>
                <w:spacing w:val="-2"/>
                <w:sz w:val="20"/>
              </w:rPr>
              <w:t xml:space="preserve"> </w:t>
            </w:r>
            <w:r>
              <w:rPr>
                <w:spacing w:val="-5"/>
                <w:sz w:val="20"/>
              </w:rPr>
              <w:t>97)</w:t>
            </w:r>
          </w:p>
        </w:tc>
        <w:tc>
          <w:tcPr>
            <w:tcW w:w="1991" w:type="dxa"/>
            <w:tcBorders>
              <w:top w:val="single" w:color="D9D9D9" w:sz="2" w:space="0"/>
              <w:bottom w:val="single" w:color="D9D9D9" w:sz="2" w:space="0"/>
            </w:tcBorders>
          </w:tcPr>
          <w:p w:rsidR="00C31389" w:rsidRDefault="00561FBD" w14:paraId="5FEA38AB" w14:textId="77777777">
            <w:pPr>
              <w:pStyle w:val="TableParagraph"/>
              <w:ind w:left="215"/>
              <w:rPr>
                <w:sz w:val="20"/>
              </w:rPr>
            </w:pPr>
            <w:r>
              <w:rPr>
                <w:spacing w:val="-2"/>
                <w:sz w:val="20"/>
              </w:rPr>
              <w:t>Efficient</w:t>
            </w:r>
          </w:p>
        </w:tc>
      </w:tr>
      <w:tr w:rsidR="00C31389" w14:paraId="27E4C287" w14:textId="77777777">
        <w:trPr>
          <w:trHeight w:val="332"/>
        </w:trPr>
        <w:tc>
          <w:tcPr>
            <w:tcW w:w="1980" w:type="dxa"/>
            <w:vMerge w:val="restart"/>
          </w:tcPr>
          <w:p w:rsidR="00C31389" w:rsidRDefault="00561FBD" w14:paraId="3516E5B9" w14:textId="77777777">
            <w:pPr>
              <w:pStyle w:val="TableParagraph"/>
              <w:spacing w:before="0"/>
              <w:ind w:left="115" w:right="192"/>
              <w:rPr>
                <w:sz w:val="20"/>
              </w:rPr>
            </w:pPr>
            <w:r>
              <w:rPr>
                <w:sz w:val="20"/>
              </w:rPr>
              <w:t>Res Central Furnace</w:t>
            </w:r>
            <w:r>
              <w:rPr>
                <w:spacing w:val="-14"/>
                <w:sz w:val="20"/>
              </w:rPr>
              <w:t xml:space="preserve"> </w:t>
            </w:r>
            <w:r>
              <w:rPr>
                <w:sz w:val="20"/>
              </w:rPr>
              <w:t>Only</w:t>
            </w:r>
            <w:r>
              <w:rPr>
                <w:spacing w:val="-14"/>
                <w:sz w:val="20"/>
              </w:rPr>
              <w:t xml:space="preserve"> </w:t>
            </w:r>
            <w:r>
              <w:rPr>
                <w:sz w:val="20"/>
              </w:rPr>
              <w:t>–</w:t>
            </w:r>
          </w:p>
          <w:p w:rsidR="00C31389" w:rsidRDefault="00561FBD" w14:paraId="4A77BF1A" w14:textId="77777777">
            <w:pPr>
              <w:pStyle w:val="TableParagraph"/>
              <w:spacing w:before="0" w:line="207" w:lineRule="exact"/>
              <w:ind w:left="115"/>
              <w:rPr>
                <w:sz w:val="20"/>
              </w:rPr>
            </w:pPr>
            <w:r>
              <w:rPr>
                <w:sz w:val="20"/>
              </w:rPr>
              <w:t>Fuel</w:t>
            </w:r>
            <w:r>
              <w:rPr>
                <w:spacing w:val="-1"/>
                <w:sz w:val="20"/>
              </w:rPr>
              <w:t xml:space="preserve"> </w:t>
            </w:r>
            <w:r>
              <w:rPr>
                <w:spacing w:val="-5"/>
                <w:sz w:val="20"/>
              </w:rPr>
              <w:t>Sub</w:t>
            </w:r>
          </w:p>
        </w:tc>
        <w:tc>
          <w:tcPr>
            <w:tcW w:w="4850" w:type="dxa"/>
            <w:tcBorders>
              <w:top w:val="single" w:color="D9D9D9" w:sz="2" w:space="0"/>
              <w:bottom w:val="single" w:color="D9D9D9" w:sz="2" w:space="0"/>
            </w:tcBorders>
          </w:tcPr>
          <w:p w:rsidR="00C31389" w:rsidRDefault="00561FBD" w14:paraId="6EEB1A90" w14:textId="77777777">
            <w:pPr>
              <w:pStyle w:val="TableParagraph"/>
              <w:ind w:left="115"/>
              <w:rPr>
                <w:sz w:val="20"/>
              </w:rPr>
            </w:pPr>
            <w:r>
              <w:rPr>
                <w:sz w:val="20"/>
              </w:rPr>
              <w:t>Res</w:t>
            </w:r>
            <w:r>
              <w:rPr>
                <w:spacing w:val="-3"/>
                <w:sz w:val="20"/>
              </w:rPr>
              <w:t xml:space="preserve"> </w:t>
            </w:r>
            <w:r>
              <w:rPr>
                <w:sz w:val="20"/>
              </w:rPr>
              <w:t>Furnace</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Heating</w:t>
            </w:r>
            <w:r>
              <w:rPr>
                <w:spacing w:val="-4"/>
                <w:sz w:val="20"/>
              </w:rPr>
              <w:t xml:space="preserve"> </w:t>
            </w:r>
            <w:r>
              <w:rPr>
                <w:sz w:val="20"/>
              </w:rPr>
              <w:t>Only</w:t>
            </w:r>
            <w:r>
              <w:rPr>
                <w:spacing w:val="-2"/>
                <w:sz w:val="20"/>
              </w:rPr>
              <w:t xml:space="preserve"> </w:t>
            </w:r>
            <w:r>
              <w:rPr>
                <w:sz w:val="20"/>
              </w:rPr>
              <w:t>(SEER</w:t>
            </w:r>
            <w:r>
              <w:rPr>
                <w:spacing w:val="-2"/>
                <w:sz w:val="20"/>
              </w:rPr>
              <w:t xml:space="preserve"> </w:t>
            </w:r>
            <w:r>
              <w:rPr>
                <w:spacing w:val="-5"/>
                <w:sz w:val="20"/>
              </w:rPr>
              <w:t>15)</w:t>
            </w:r>
          </w:p>
        </w:tc>
        <w:tc>
          <w:tcPr>
            <w:tcW w:w="1991" w:type="dxa"/>
            <w:tcBorders>
              <w:top w:val="single" w:color="D9D9D9" w:sz="2" w:space="0"/>
              <w:bottom w:val="single" w:color="D9D9D9" w:sz="2" w:space="0"/>
            </w:tcBorders>
          </w:tcPr>
          <w:p w:rsidR="00C31389" w:rsidRDefault="00561FBD" w14:paraId="4C670983" w14:textId="77777777">
            <w:pPr>
              <w:pStyle w:val="TableParagraph"/>
              <w:ind w:left="215"/>
              <w:rPr>
                <w:sz w:val="20"/>
              </w:rPr>
            </w:pPr>
            <w:r>
              <w:rPr>
                <w:spacing w:val="-2"/>
                <w:sz w:val="20"/>
              </w:rPr>
              <w:t>Efficient</w:t>
            </w:r>
          </w:p>
        </w:tc>
      </w:tr>
      <w:tr w:rsidR="00C31389" w14:paraId="09D938D7" w14:textId="77777777">
        <w:trPr>
          <w:trHeight w:val="341"/>
        </w:trPr>
        <w:tc>
          <w:tcPr>
            <w:tcW w:w="1980" w:type="dxa"/>
            <w:vMerge/>
            <w:tcBorders>
              <w:top w:val="nil"/>
            </w:tcBorders>
          </w:tcPr>
          <w:p w:rsidR="00C31389" w:rsidRDefault="00C31389" w14:paraId="0E078A04" w14:textId="77777777">
            <w:pPr>
              <w:rPr>
                <w:sz w:val="2"/>
                <w:szCs w:val="2"/>
              </w:rPr>
            </w:pPr>
          </w:p>
        </w:tc>
        <w:tc>
          <w:tcPr>
            <w:tcW w:w="4850" w:type="dxa"/>
            <w:tcBorders>
              <w:top w:val="single" w:color="D9D9D9" w:sz="2" w:space="0"/>
              <w:bottom w:val="single" w:color="D9D9D9" w:sz="2" w:space="0"/>
            </w:tcBorders>
          </w:tcPr>
          <w:p w:rsidR="00C31389" w:rsidRDefault="00561FBD" w14:paraId="52466E2E" w14:textId="77777777">
            <w:pPr>
              <w:pStyle w:val="TableParagraph"/>
              <w:ind w:left="115"/>
              <w:rPr>
                <w:sz w:val="20"/>
              </w:rPr>
            </w:pPr>
            <w:r>
              <w:rPr>
                <w:sz w:val="20"/>
              </w:rPr>
              <w:t>Res</w:t>
            </w:r>
            <w:r>
              <w:rPr>
                <w:spacing w:val="-3"/>
                <w:sz w:val="20"/>
              </w:rPr>
              <w:t xml:space="preserve"> </w:t>
            </w:r>
            <w:r>
              <w:rPr>
                <w:sz w:val="20"/>
              </w:rPr>
              <w:t>Furnace</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Heating</w:t>
            </w:r>
            <w:r>
              <w:rPr>
                <w:spacing w:val="-4"/>
                <w:sz w:val="20"/>
              </w:rPr>
              <w:t xml:space="preserve"> </w:t>
            </w:r>
            <w:r>
              <w:rPr>
                <w:sz w:val="20"/>
              </w:rPr>
              <w:t>Only</w:t>
            </w:r>
            <w:r>
              <w:rPr>
                <w:spacing w:val="-2"/>
                <w:sz w:val="20"/>
              </w:rPr>
              <w:t xml:space="preserve"> </w:t>
            </w:r>
            <w:r>
              <w:rPr>
                <w:sz w:val="20"/>
              </w:rPr>
              <w:t>(SEER</w:t>
            </w:r>
            <w:r>
              <w:rPr>
                <w:spacing w:val="-2"/>
                <w:sz w:val="20"/>
              </w:rPr>
              <w:t xml:space="preserve"> </w:t>
            </w:r>
            <w:r>
              <w:rPr>
                <w:spacing w:val="-5"/>
                <w:sz w:val="20"/>
              </w:rPr>
              <w:t>16)</w:t>
            </w:r>
          </w:p>
        </w:tc>
        <w:tc>
          <w:tcPr>
            <w:tcW w:w="1991" w:type="dxa"/>
            <w:tcBorders>
              <w:top w:val="single" w:color="D9D9D9" w:sz="2" w:space="0"/>
              <w:bottom w:val="single" w:color="D9D9D9" w:sz="2" w:space="0"/>
            </w:tcBorders>
          </w:tcPr>
          <w:p w:rsidR="00C31389" w:rsidRDefault="00561FBD" w14:paraId="72FDB36C" w14:textId="77777777">
            <w:pPr>
              <w:pStyle w:val="TableParagraph"/>
              <w:ind w:left="215"/>
              <w:rPr>
                <w:sz w:val="20"/>
              </w:rPr>
            </w:pPr>
            <w:r>
              <w:rPr>
                <w:spacing w:val="-2"/>
                <w:sz w:val="20"/>
              </w:rPr>
              <w:t>Efficient</w:t>
            </w:r>
          </w:p>
        </w:tc>
      </w:tr>
      <w:tr w:rsidR="00C31389" w14:paraId="6CFDCBE3" w14:textId="77777777">
        <w:trPr>
          <w:trHeight w:val="278"/>
        </w:trPr>
        <w:tc>
          <w:tcPr>
            <w:tcW w:w="1980" w:type="dxa"/>
          </w:tcPr>
          <w:p w:rsidR="00C31389" w:rsidRDefault="00C31389" w14:paraId="6D66344B" w14:textId="77777777">
            <w:pPr>
              <w:pStyle w:val="TableParagraph"/>
              <w:spacing w:before="0"/>
              <w:rPr>
                <w:rFonts w:ascii="Times New Roman"/>
                <w:sz w:val="20"/>
              </w:rPr>
            </w:pPr>
          </w:p>
        </w:tc>
        <w:tc>
          <w:tcPr>
            <w:tcW w:w="4850" w:type="dxa"/>
            <w:tcBorders>
              <w:top w:val="single" w:color="D9D9D9" w:sz="2" w:space="0"/>
              <w:bottom w:val="single" w:color="D9D9D9" w:sz="2" w:space="0"/>
            </w:tcBorders>
          </w:tcPr>
          <w:p w:rsidR="00C31389" w:rsidRDefault="00561FBD" w14:paraId="04F11730" w14:textId="77777777">
            <w:pPr>
              <w:pStyle w:val="TableParagraph"/>
              <w:ind w:left="115"/>
              <w:rPr>
                <w:sz w:val="20"/>
              </w:rPr>
            </w:pPr>
            <w:r>
              <w:rPr>
                <w:sz w:val="20"/>
              </w:rPr>
              <w:t>Res</w:t>
            </w:r>
            <w:r>
              <w:rPr>
                <w:spacing w:val="-3"/>
                <w:sz w:val="20"/>
              </w:rPr>
              <w:t xml:space="preserve"> </w:t>
            </w:r>
            <w:r>
              <w:rPr>
                <w:sz w:val="20"/>
              </w:rPr>
              <w:t>Furnace</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Heating</w:t>
            </w:r>
            <w:r>
              <w:rPr>
                <w:spacing w:val="-4"/>
                <w:sz w:val="20"/>
              </w:rPr>
              <w:t xml:space="preserve"> </w:t>
            </w:r>
            <w:r>
              <w:rPr>
                <w:sz w:val="20"/>
              </w:rPr>
              <w:t>Only</w:t>
            </w:r>
            <w:r>
              <w:rPr>
                <w:spacing w:val="-2"/>
                <w:sz w:val="20"/>
              </w:rPr>
              <w:t xml:space="preserve"> </w:t>
            </w:r>
            <w:r>
              <w:rPr>
                <w:sz w:val="20"/>
              </w:rPr>
              <w:t>(SEER</w:t>
            </w:r>
            <w:r>
              <w:rPr>
                <w:spacing w:val="-2"/>
                <w:sz w:val="20"/>
              </w:rPr>
              <w:t xml:space="preserve"> </w:t>
            </w:r>
            <w:r>
              <w:rPr>
                <w:spacing w:val="-5"/>
                <w:sz w:val="20"/>
              </w:rPr>
              <w:t>17)</w:t>
            </w:r>
          </w:p>
        </w:tc>
        <w:tc>
          <w:tcPr>
            <w:tcW w:w="1991" w:type="dxa"/>
            <w:tcBorders>
              <w:top w:val="single" w:color="D9D9D9" w:sz="2" w:space="0"/>
              <w:bottom w:val="single" w:color="D9D9D9" w:sz="2" w:space="0"/>
            </w:tcBorders>
          </w:tcPr>
          <w:p w:rsidR="00C31389" w:rsidRDefault="00561FBD" w14:paraId="30133C51" w14:textId="77777777">
            <w:pPr>
              <w:pStyle w:val="TableParagraph"/>
              <w:ind w:left="215"/>
              <w:rPr>
                <w:sz w:val="20"/>
              </w:rPr>
            </w:pPr>
            <w:r>
              <w:rPr>
                <w:spacing w:val="-2"/>
                <w:sz w:val="20"/>
              </w:rPr>
              <w:t>Efficient</w:t>
            </w:r>
          </w:p>
        </w:tc>
      </w:tr>
      <w:tr w:rsidR="00C31389" w14:paraId="3843D705" w14:textId="77777777">
        <w:trPr>
          <w:trHeight w:val="310"/>
        </w:trPr>
        <w:tc>
          <w:tcPr>
            <w:tcW w:w="1980" w:type="dxa"/>
            <w:tcBorders>
              <w:bottom w:val="single" w:color="000000" w:sz="8" w:space="0"/>
            </w:tcBorders>
          </w:tcPr>
          <w:p w:rsidR="00C31389" w:rsidRDefault="00C31389" w14:paraId="5F83A2D9" w14:textId="77777777">
            <w:pPr>
              <w:pStyle w:val="TableParagraph"/>
              <w:spacing w:before="0"/>
              <w:rPr>
                <w:rFonts w:ascii="Times New Roman"/>
                <w:sz w:val="20"/>
              </w:rPr>
            </w:pPr>
          </w:p>
        </w:tc>
        <w:tc>
          <w:tcPr>
            <w:tcW w:w="4850" w:type="dxa"/>
            <w:tcBorders>
              <w:top w:val="single" w:color="D9D9D9" w:sz="2" w:space="0"/>
              <w:bottom w:val="single" w:color="000000" w:sz="8" w:space="0"/>
            </w:tcBorders>
          </w:tcPr>
          <w:p w:rsidR="00C31389" w:rsidRDefault="00561FBD" w14:paraId="580B4183" w14:textId="77777777">
            <w:pPr>
              <w:pStyle w:val="TableParagraph"/>
              <w:ind w:left="115"/>
              <w:rPr>
                <w:sz w:val="20"/>
              </w:rPr>
            </w:pPr>
            <w:r>
              <w:rPr>
                <w:sz w:val="20"/>
              </w:rPr>
              <w:t>Res</w:t>
            </w:r>
            <w:r>
              <w:rPr>
                <w:spacing w:val="-3"/>
                <w:sz w:val="20"/>
              </w:rPr>
              <w:t xml:space="preserve"> </w:t>
            </w:r>
            <w:r>
              <w:rPr>
                <w:sz w:val="20"/>
              </w:rPr>
              <w:t>Furnace</w:t>
            </w:r>
            <w:r>
              <w:rPr>
                <w:spacing w:val="-4"/>
                <w:sz w:val="20"/>
              </w:rPr>
              <w:t xml:space="preserve"> </w:t>
            </w:r>
            <w:r>
              <w:rPr>
                <w:sz w:val="20"/>
              </w:rPr>
              <w:t>Heat</w:t>
            </w:r>
            <w:r>
              <w:rPr>
                <w:spacing w:val="-4"/>
                <w:sz w:val="20"/>
              </w:rPr>
              <w:t xml:space="preserve"> </w:t>
            </w:r>
            <w:r>
              <w:rPr>
                <w:sz w:val="20"/>
              </w:rPr>
              <w:t>Pump</w:t>
            </w:r>
            <w:r>
              <w:rPr>
                <w:spacing w:val="-4"/>
                <w:sz w:val="20"/>
              </w:rPr>
              <w:t xml:space="preserve"> </w:t>
            </w:r>
            <w:r>
              <w:rPr>
                <w:sz w:val="20"/>
              </w:rPr>
              <w:t>Heating</w:t>
            </w:r>
            <w:r>
              <w:rPr>
                <w:spacing w:val="-4"/>
                <w:sz w:val="20"/>
              </w:rPr>
              <w:t xml:space="preserve"> </w:t>
            </w:r>
            <w:r>
              <w:rPr>
                <w:sz w:val="20"/>
              </w:rPr>
              <w:t>Only</w:t>
            </w:r>
            <w:r>
              <w:rPr>
                <w:spacing w:val="-2"/>
                <w:sz w:val="20"/>
              </w:rPr>
              <w:t xml:space="preserve"> </w:t>
            </w:r>
            <w:r>
              <w:rPr>
                <w:sz w:val="20"/>
              </w:rPr>
              <w:t>(SEER</w:t>
            </w:r>
            <w:r>
              <w:rPr>
                <w:spacing w:val="-2"/>
                <w:sz w:val="20"/>
              </w:rPr>
              <w:t xml:space="preserve"> </w:t>
            </w:r>
            <w:r>
              <w:rPr>
                <w:spacing w:val="-5"/>
                <w:sz w:val="20"/>
              </w:rPr>
              <w:t>18)</w:t>
            </w:r>
          </w:p>
        </w:tc>
        <w:tc>
          <w:tcPr>
            <w:tcW w:w="1991" w:type="dxa"/>
            <w:tcBorders>
              <w:top w:val="single" w:color="D9D9D9" w:sz="2" w:space="0"/>
              <w:bottom w:val="single" w:color="000000" w:sz="8" w:space="0"/>
            </w:tcBorders>
          </w:tcPr>
          <w:p w:rsidR="00C31389" w:rsidRDefault="00561FBD" w14:paraId="42DD20E5" w14:textId="77777777">
            <w:pPr>
              <w:pStyle w:val="TableParagraph"/>
              <w:ind w:left="215"/>
              <w:rPr>
                <w:sz w:val="20"/>
              </w:rPr>
            </w:pPr>
            <w:r>
              <w:rPr>
                <w:spacing w:val="-2"/>
                <w:sz w:val="20"/>
              </w:rPr>
              <w:t>Efficient</w:t>
            </w:r>
          </w:p>
        </w:tc>
      </w:tr>
    </w:tbl>
    <w:p w:rsidR="00C31389" w:rsidRDefault="00561FBD" w14:paraId="1D9CAEE3" w14:textId="77777777">
      <w:pPr>
        <w:spacing w:before="76"/>
        <w:ind w:left="480"/>
        <w:rPr>
          <w:i/>
          <w:sz w:val="18"/>
        </w:rPr>
      </w:pPr>
      <w:r>
        <w:rPr>
          <w:i/>
          <w:sz w:val="18"/>
        </w:rPr>
        <w:t>Source:</w:t>
      </w:r>
      <w:r>
        <w:rPr>
          <w:i/>
          <w:spacing w:val="-4"/>
          <w:sz w:val="18"/>
        </w:rPr>
        <w:t xml:space="preserve"> </w:t>
      </w:r>
      <w:r>
        <w:rPr>
          <w:i/>
          <w:spacing w:val="-2"/>
          <w:sz w:val="18"/>
        </w:rPr>
        <w:t>Guidehouse</w:t>
      </w:r>
    </w:p>
    <w:p w:rsidR="00C31389" w:rsidRDefault="00C31389" w14:paraId="1EEE0CAA" w14:textId="77777777">
      <w:pPr>
        <w:pStyle w:val="BodyText"/>
        <w:spacing w:before="10"/>
        <w:rPr>
          <w:i/>
          <w:sz w:val="20"/>
        </w:rPr>
      </w:pPr>
    </w:p>
    <w:p w:rsidR="00C31389" w:rsidRDefault="00561FBD" w14:paraId="2D689333" w14:textId="77777777">
      <w:pPr>
        <w:pStyle w:val="BodyText"/>
        <w:ind w:left="479" w:right="418"/>
      </w:pPr>
      <w:r>
        <w:t>The Guidehouse team</w:t>
      </w:r>
      <w:r>
        <w:rPr>
          <w:spacing w:val="-1"/>
        </w:rPr>
        <w:t xml:space="preserve"> </w:t>
      </w:r>
      <w:r>
        <w:t>used the 2019 RASS to determine the proportion</w:t>
      </w:r>
      <w:r>
        <w:rPr>
          <w:spacing w:val="-1"/>
        </w:rPr>
        <w:t xml:space="preserve"> </w:t>
      </w:r>
      <w:r>
        <w:t>of households with both</w:t>
      </w:r>
      <w:r>
        <w:rPr>
          <w:spacing w:val="-2"/>
        </w:rPr>
        <w:t xml:space="preserve"> </w:t>
      </w:r>
      <w:r>
        <w:t>a</w:t>
      </w:r>
      <w:r>
        <w:rPr>
          <w:spacing w:val="-2"/>
        </w:rPr>
        <w:t xml:space="preserve"> </w:t>
      </w:r>
      <w:r>
        <w:t>furnace</w:t>
      </w:r>
      <w:r>
        <w:rPr>
          <w:spacing w:val="-2"/>
        </w:rPr>
        <w:t xml:space="preserve"> </w:t>
      </w:r>
      <w:r>
        <w:t>and</w:t>
      </w:r>
      <w:r>
        <w:rPr>
          <w:spacing w:val="-2"/>
        </w:rPr>
        <w:t xml:space="preserve"> </w:t>
      </w:r>
      <w:r>
        <w:t>an</w:t>
      </w:r>
      <w:r>
        <w:rPr>
          <w:spacing w:val="-2"/>
        </w:rPr>
        <w:t xml:space="preserve"> </w:t>
      </w:r>
      <w:r>
        <w:t>AC</w:t>
      </w:r>
      <w:r>
        <w:rPr>
          <w:spacing w:val="-2"/>
        </w:rPr>
        <w:t xml:space="preserve"> </w:t>
      </w:r>
      <w:r>
        <w:t>that</w:t>
      </w:r>
      <w:r>
        <w:rPr>
          <w:spacing w:val="-2"/>
        </w:rPr>
        <w:t xml:space="preserve"> </w:t>
      </w:r>
      <w:r>
        <w:t>would</w:t>
      </w:r>
      <w:r>
        <w:rPr>
          <w:spacing w:val="-2"/>
        </w:rPr>
        <w:t xml:space="preserve"> </w:t>
      </w:r>
      <w:r>
        <w:t>be</w:t>
      </w:r>
      <w:r>
        <w:rPr>
          <w:spacing w:val="-2"/>
        </w:rPr>
        <w:t xml:space="preserve"> </w:t>
      </w:r>
      <w:r>
        <w:t>eligible</w:t>
      </w:r>
      <w:r>
        <w:rPr>
          <w:spacing w:val="-3"/>
        </w:rPr>
        <w:t xml:space="preserve"> </w:t>
      </w:r>
      <w:r>
        <w:t>to</w:t>
      </w:r>
      <w:r>
        <w:rPr>
          <w:spacing w:val="-2"/>
        </w:rPr>
        <w:t xml:space="preserve"> </w:t>
      </w:r>
      <w:r>
        <w:t>replace</w:t>
      </w:r>
      <w:r>
        <w:rPr>
          <w:spacing w:val="-2"/>
        </w:rPr>
        <w:t xml:space="preserve"> </w:t>
      </w:r>
      <w:r>
        <w:t>the</w:t>
      </w:r>
      <w:r>
        <w:rPr>
          <w:spacing w:val="-2"/>
        </w:rPr>
        <w:t xml:space="preserve"> </w:t>
      </w:r>
      <w:r>
        <w:t>equipment</w:t>
      </w:r>
      <w:r>
        <w:rPr>
          <w:spacing w:val="-2"/>
        </w:rPr>
        <w:t xml:space="preserve"> </w:t>
      </w:r>
      <w:r>
        <w:t>with</w:t>
      </w:r>
      <w:r>
        <w:rPr>
          <w:spacing w:val="-2"/>
        </w:rPr>
        <w:t xml:space="preserve"> </w:t>
      </w:r>
      <w:r>
        <w:t>a</w:t>
      </w:r>
      <w:r>
        <w:rPr>
          <w:spacing w:val="-2"/>
        </w:rPr>
        <w:t xml:space="preserve"> </w:t>
      </w:r>
      <w:r>
        <w:t>heat</w:t>
      </w:r>
      <w:r>
        <w:rPr>
          <w:spacing w:val="-2"/>
        </w:rPr>
        <w:t xml:space="preserve"> </w:t>
      </w:r>
      <w:r>
        <w:t>pump. The team also assumed that not all households would be willing to replace the whole system—i.e., the gas appliance and electric appliance—at the same time. The team researched</w:t>
      </w:r>
      <w:r>
        <w:rPr>
          <w:spacing w:val="-3"/>
        </w:rPr>
        <w:t xml:space="preserve"> </w:t>
      </w:r>
      <w:r>
        <w:t>information</w:t>
      </w:r>
      <w:r>
        <w:rPr>
          <w:spacing w:val="-3"/>
        </w:rPr>
        <w:t xml:space="preserve"> </w:t>
      </w:r>
      <w:r>
        <w:t>to</w:t>
      </w:r>
      <w:r>
        <w:rPr>
          <w:spacing w:val="-3"/>
        </w:rPr>
        <w:t xml:space="preserve"> </w:t>
      </w:r>
      <w:r>
        <w:t>estimate</w:t>
      </w:r>
      <w:r>
        <w:rPr>
          <w:spacing w:val="-3"/>
        </w:rPr>
        <w:t xml:space="preserve"> </w:t>
      </w:r>
      <w:r>
        <w:t>what</w:t>
      </w:r>
      <w:r>
        <w:rPr>
          <w:spacing w:val="-3"/>
        </w:rPr>
        <w:t xml:space="preserve"> </w:t>
      </w:r>
      <w:r>
        <w:t>proportion</w:t>
      </w:r>
      <w:r>
        <w:rPr>
          <w:spacing w:val="-3"/>
        </w:rPr>
        <w:t xml:space="preserve"> </w:t>
      </w:r>
      <w:r>
        <w:t>of</w:t>
      </w:r>
      <w:r>
        <w:rPr>
          <w:spacing w:val="-3"/>
        </w:rPr>
        <w:t xml:space="preserve"> </w:t>
      </w:r>
      <w:r>
        <w:t>households</w:t>
      </w:r>
      <w:r>
        <w:rPr>
          <w:spacing w:val="-3"/>
        </w:rPr>
        <w:t xml:space="preserve"> </w:t>
      </w:r>
      <w:r>
        <w:t>would</w:t>
      </w:r>
      <w:r>
        <w:rPr>
          <w:spacing w:val="-4"/>
        </w:rPr>
        <w:t xml:space="preserve"> </w:t>
      </w:r>
      <w:r>
        <w:t>be</w:t>
      </w:r>
      <w:r>
        <w:rPr>
          <w:spacing w:val="-3"/>
        </w:rPr>
        <w:t xml:space="preserve"> </w:t>
      </w:r>
      <w:r>
        <w:t>likely</w:t>
      </w:r>
      <w:r>
        <w:rPr>
          <w:spacing w:val="-2"/>
        </w:rPr>
        <w:t xml:space="preserve"> </w:t>
      </w:r>
      <w:r>
        <w:t>to</w:t>
      </w:r>
      <w:r>
        <w:rPr>
          <w:spacing w:val="-3"/>
        </w:rPr>
        <w:t xml:space="preserve"> </w:t>
      </w:r>
      <w:r>
        <w:t>replace the whole space conditioning system with a heat pump.</w:t>
      </w:r>
    </w:p>
    <w:p w:rsidR="00C31389" w:rsidRDefault="00C31389" w14:paraId="1FE3E345" w14:textId="77777777">
      <w:pPr>
        <w:pStyle w:val="BodyText"/>
        <w:spacing w:before="10"/>
        <w:rPr>
          <w:sz w:val="20"/>
        </w:rPr>
      </w:pPr>
    </w:p>
    <w:p w:rsidR="00C31389" w:rsidRDefault="00561FBD" w14:paraId="04929C72" w14:textId="77777777">
      <w:pPr>
        <w:pStyle w:val="BodyText"/>
        <w:ind w:left="480" w:right="418"/>
      </w:pPr>
      <w:r>
        <w:t>Whole system replacements are the most likely consumer choice when the furnace and AC are at or near the end of their useful life. These projects ar</w:t>
      </w:r>
      <w:r>
        <w:t>e generally initiated when either the heating or AC unit fail and it is most practical to replace a component, such as the furnace, indoor coil, and outdoor condenser. Rarely will both the heating and AC units fail at the same time; however, in climate zon</w:t>
      </w:r>
      <w:r>
        <w:t>es where heating and AC systems are each used for long</w:t>
      </w:r>
      <w:r>
        <w:rPr>
          <w:spacing w:val="-2"/>
        </w:rPr>
        <w:t xml:space="preserve"> </w:t>
      </w:r>
      <w:r>
        <w:t>periods</w:t>
      </w:r>
      <w:r>
        <w:rPr>
          <w:spacing w:val="-3"/>
        </w:rPr>
        <w:t xml:space="preserve"> </w:t>
      </w:r>
      <w:r>
        <w:t>every</w:t>
      </w:r>
      <w:r>
        <w:rPr>
          <w:spacing w:val="-2"/>
        </w:rPr>
        <w:t xml:space="preserve"> </w:t>
      </w:r>
      <w:r>
        <w:t>year,</w:t>
      </w:r>
      <w:r>
        <w:rPr>
          <w:spacing w:val="-3"/>
        </w:rPr>
        <w:t xml:space="preserve"> </w:t>
      </w:r>
      <w:r>
        <w:t>they</w:t>
      </w:r>
      <w:r>
        <w:rPr>
          <w:spacing w:val="-2"/>
        </w:rPr>
        <w:t xml:space="preserve"> </w:t>
      </w:r>
      <w:r>
        <w:t>will</w:t>
      </w:r>
      <w:r>
        <w:rPr>
          <w:spacing w:val="-2"/>
        </w:rPr>
        <w:t xml:space="preserve"> </w:t>
      </w:r>
      <w:r>
        <w:t>often</w:t>
      </w:r>
      <w:r>
        <w:rPr>
          <w:spacing w:val="-2"/>
        </w:rPr>
        <w:t xml:space="preserve"> </w:t>
      </w:r>
      <w:r>
        <w:t>fail</w:t>
      </w:r>
      <w:r>
        <w:rPr>
          <w:spacing w:val="-2"/>
        </w:rPr>
        <w:t xml:space="preserve"> </w:t>
      </w:r>
      <w:r>
        <w:t>within</w:t>
      </w:r>
      <w:r>
        <w:rPr>
          <w:spacing w:val="-3"/>
        </w:rPr>
        <w:t xml:space="preserve"> </w:t>
      </w:r>
      <w:r>
        <w:t>a</w:t>
      </w:r>
      <w:r>
        <w:rPr>
          <w:spacing w:val="-2"/>
        </w:rPr>
        <w:t xml:space="preserve"> </w:t>
      </w:r>
      <w:r>
        <w:t>few</w:t>
      </w:r>
      <w:r>
        <w:rPr>
          <w:spacing w:val="-3"/>
        </w:rPr>
        <w:t xml:space="preserve"> </w:t>
      </w:r>
      <w:r>
        <w:t>years</w:t>
      </w:r>
      <w:r>
        <w:rPr>
          <w:spacing w:val="-3"/>
        </w:rPr>
        <w:t xml:space="preserve"> </w:t>
      </w:r>
      <w:r>
        <w:t>of</w:t>
      </w:r>
      <w:r>
        <w:rPr>
          <w:spacing w:val="-2"/>
        </w:rPr>
        <w:t xml:space="preserve"> </w:t>
      </w:r>
      <w:r>
        <w:t>one</w:t>
      </w:r>
      <w:r>
        <w:rPr>
          <w:spacing w:val="-2"/>
        </w:rPr>
        <w:t xml:space="preserve"> </w:t>
      </w:r>
      <w:r>
        <w:t>another.</w:t>
      </w:r>
      <w:r>
        <w:rPr>
          <w:spacing w:val="-2"/>
        </w:rPr>
        <w:t xml:space="preserve"> </w:t>
      </w:r>
      <w:r>
        <w:t>In</w:t>
      </w:r>
      <w:r>
        <w:rPr>
          <w:spacing w:val="-2"/>
        </w:rPr>
        <w:t xml:space="preserve"> </w:t>
      </w:r>
      <w:r>
        <w:t>those</w:t>
      </w:r>
      <w:r>
        <w:rPr>
          <w:spacing w:val="-3"/>
        </w:rPr>
        <w:t xml:space="preserve"> </w:t>
      </w:r>
      <w:r>
        <w:t>cases, a whole system replacement makes sense.</w:t>
      </w:r>
    </w:p>
    <w:p w:rsidR="00C31389" w:rsidRDefault="00C31389" w14:paraId="078874BE" w14:textId="77777777">
      <w:pPr>
        <w:pStyle w:val="BodyText"/>
        <w:spacing w:before="9"/>
        <w:rPr>
          <w:sz w:val="20"/>
        </w:rPr>
      </w:pPr>
    </w:p>
    <w:p w:rsidR="00C31389" w:rsidRDefault="00561FBD" w14:paraId="18F360C3" w14:textId="77777777">
      <w:pPr>
        <w:pStyle w:val="BodyText"/>
        <w:ind w:left="479" w:right="418"/>
      </w:pPr>
      <w:r>
        <w:t>The</w:t>
      </w:r>
      <w:r>
        <w:rPr>
          <w:spacing w:val="-3"/>
        </w:rPr>
        <w:t xml:space="preserve"> </w:t>
      </w:r>
      <w:r>
        <w:t>team</w:t>
      </w:r>
      <w:r>
        <w:rPr>
          <w:spacing w:val="-4"/>
        </w:rPr>
        <w:t xml:space="preserve"> </w:t>
      </w:r>
      <w:r>
        <w:t>completed</w:t>
      </w:r>
      <w:r>
        <w:rPr>
          <w:spacing w:val="-3"/>
        </w:rPr>
        <w:t xml:space="preserve"> </w:t>
      </w:r>
      <w:r>
        <w:t>a</w:t>
      </w:r>
      <w:r>
        <w:rPr>
          <w:spacing w:val="-3"/>
        </w:rPr>
        <w:t xml:space="preserve"> </w:t>
      </w:r>
      <w:r>
        <w:t>literature</w:t>
      </w:r>
      <w:r>
        <w:rPr>
          <w:spacing w:val="-3"/>
        </w:rPr>
        <w:t xml:space="preserve"> </w:t>
      </w:r>
      <w:r>
        <w:t>review</w:t>
      </w:r>
      <w:r>
        <w:rPr>
          <w:spacing w:val="-4"/>
        </w:rPr>
        <w:t xml:space="preserve"> </w:t>
      </w:r>
      <w:r>
        <w:t>to</w:t>
      </w:r>
      <w:r>
        <w:rPr>
          <w:spacing w:val="-3"/>
        </w:rPr>
        <w:t xml:space="preserve"> </w:t>
      </w:r>
      <w:r>
        <w:t>assess</w:t>
      </w:r>
      <w:r>
        <w:rPr>
          <w:spacing w:val="-3"/>
        </w:rPr>
        <w:t xml:space="preserve"> </w:t>
      </w:r>
      <w:r>
        <w:t>what</w:t>
      </w:r>
      <w:r>
        <w:rPr>
          <w:spacing w:val="-3"/>
        </w:rPr>
        <w:t xml:space="preserve"> </w:t>
      </w:r>
      <w:r>
        <w:t>percentage</w:t>
      </w:r>
      <w:r>
        <w:rPr>
          <w:spacing w:val="-3"/>
        </w:rPr>
        <w:t xml:space="preserve"> </w:t>
      </w:r>
      <w:r>
        <w:t>of</w:t>
      </w:r>
      <w:r>
        <w:rPr>
          <w:spacing w:val="-3"/>
        </w:rPr>
        <w:t xml:space="preserve"> </w:t>
      </w:r>
      <w:r>
        <w:t>HVAC</w:t>
      </w:r>
      <w:r>
        <w:rPr>
          <w:spacing w:val="-4"/>
        </w:rPr>
        <w:t xml:space="preserve"> </w:t>
      </w:r>
      <w:r>
        <w:t>projects</w:t>
      </w:r>
      <w:r>
        <w:rPr>
          <w:spacing w:val="-3"/>
        </w:rPr>
        <w:t xml:space="preserve"> </w:t>
      </w:r>
      <w:r>
        <w:t>involve component replacements versus whole system replacements.</w:t>
      </w:r>
    </w:p>
    <w:p w:rsidR="00C31389" w:rsidRDefault="00C31389" w14:paraId="4BD3D41C" w14:textId="77777777">
      <w:pPr>
        <w:pStyle w:val="BodyText"/>
        <w:spacing w:before="11"/>
        <w:rPr>
          <w:sz w:val="20"/>
        </w:rPr>
      </w:pPr>
    </w:p>
    <w:p w:rsidR="00C31389" w:rsidRDefault="00561FBD" w14:paraId="187D03A7" w14:textId="77777777">
      <w:pPr>
        <w:pStyle w:val="ListParagraph"/>
        <w:numPr>
          <w:ilvl w:val="0"/>
          <w:numId w:val="22"/>
        </w:numPr>
        <w:tabs>
          <w:tab w:val="left" w:pos="839"/>
        </w:tabs>
        <w:ind w:right="1317"/>
      </w:pPr>
      <w:r>
        <w:t>A 2020 survey by PickHVAC</w:t>
      </w:r>
      <w:r>
        <w:rPr>
          <w:spacing w:val="-38"/>
        </w:rPr>
        <w:t xml:space="preserve"> </w:t>
      </w:r>
      <w:hyperlink w:history="1" w:anchor="_bookmark248">
        <w:r>
          <w:rPr>
            <w:position w:val="7"/>
            <w:sz w:val="14"/>
          </w:rPr>
          <w:t>77</w:t>
        </w:r>
      </w:hyperlink>
      <w:r>
        <w:rPr>
          <w:spacing w:val="27"/>
          <w:position w:val="7"/>
          <w:sz w:val="14"/>
        </w:rPr>
        <w:t xml:space="preserve"> </w:t>
      </w:r>
      <w:r>
        <w:t>surveyed the typical project cost and included a breakdown</w:t>
      </w:r>
      <w:r>
        <w:rPr>
          <w:spacing w:val="-4"/>
        </w:rPr>
        <w:t xml:space="preserve"> </w:t>
      </w:r>
      <w:r>
        <w:t>of</w:t>
      </w:r>
      <w:r>
        <w:rPr>
          <w:spacing w:val="-4"/>
        </w:rPr>
        <w:t xml:space="preserve"> </w:t>
      </w:r>
      <w:r>
        <w:t>what</w:t>
      </w:r>
      <w:r>
        <w:rPr>
          <w:spacing w:val="-4"/>
        </w:rPr>
        <w:t xml:space="preserve"> </w:t>
      </w:r>
      <w:r>
        <w:t>p</w:t>
      </w:r>
      <w:r>
        <w:t>roject</w:t>
      </w:r>
      <w:r>
        <w:rPr>
          <w:spacing w:val="-4"/>
        </w:rPr>
        <w:t xml:space="preserve"> </w:t>
      </w:r>
      <w:r>
        <w:t>types</w:t>
      </w:r>
      <w:r>
        <w:rPr>
          <w:spacing w:val="-4"/>
        </w:rPr>
        <w:t xml:space="preserve"> </w:t>
      </w:r>
      <w:r>
        <w:t>are</w:t>
      </w:r>
      <w:r>
        <w:rPr>
          <w:spacing w:val="-4"/>
        </w:rPr>
        <w:t xml:space="preserve"> </w:t>
      </w:r>
      <w:r>
        <w:t>being</w:t>
      </w:r>
      <w:r>
        <w:rPr>
          <w:spacing w:val="-4"/>
        </w:rPr>
        <w:t xml:space="preserve"> </w:t>
      </w:r>
      <w:r>
        <w:t>completed,</w:t>
      </w:r>
      <w:r>
        <w:rPr>
          <w:spacing w:val="-4"/>
        </w:rPr>
        <w:t xml:space="preserve"> </w:t>
      </w:r>
      <w:r>
        <w:t>component</w:t>
      </w:r>
      <w:r>
        <w:rPr>
          <w:spacing w:val="-4"/>
        </w:rPr>
        <w:t xml:space="preserve"> </w:t>
      </w:r>
      <w:r>
        <w:t>versus</w:t>
      </w:r>
      <w:r>
        <w:rPr>
          <w:spacing w:val="-4"/>
        </w:rPr>
        <w:t xml:space="preserve"> </w:t>
      </w:r>
      <w:r>
        <w:t>whole systems, within various project cost categories:</w:t>
      </w:r>
    </w:p>
    <w:p w:rsidR="00C31389" w:rsidRDefault="00561FBD" w14:paraId="0F01CA1B" w14:textId="77777777">
      <w:pPr>
        <w:pStyle w:val="ListParagraph"/>
        <w:numPr>
          <w:ilvl w:val="1"/>
          <w:numId w:val="22"/>
        </w:numPr>
        <w:tabs>
          <w:tab w:val="left" w:pos="1199"/>
        </w:tabs>
        <w:spacing w:before="120"/>
      </w:pPr>
      <w:r>
        <w:t>Under</w:t>
      </w:r>
      <w:r>
        <w:rPr>
          <w:spacing w:val="-7"/>
        </w:rPr>
        <w:t xml:space="preserve"> </w:t>
      </w:r>
      <w:r>
        <w:t>$3,000:</w:t>
      </w:r>
      <w:r>
        <w:rPr>
          <w:spacing w:val="-6"/>
        </w:rPr>
        <w:t xml:space="preserve"> </w:t>
      </w:r>
      <w:r>
        <w:t>One</w:t>
      </w:r>
      <w:r>
        <w:rPr>
          <w:spacing w:val="-7"/>
        </w:rPr>
        <w:t xml:space="preserve"> </w:t>
      </w:r>
      <w:r>
        <w:t>component</w:t>
      </w:r>
      <w:r>
        <w:rPr>
          <w:spacing w:val="-6"/>
        </w:rPr>
        <w:t xml:space="preserve"> </w:t>
      </w:r>
      <w:r>
        <w:t>was</w:t>
      </w:r>
      <w:r>
        <w:rPr>
          <w:spacing w:val="-7"/>
        </w:rPr>
        <w:t xml:space="preserve"> </w:t>
      </w:r>
      <w:r>
        <w:t>installed</w:t>
      </w:r>
      <w:r>
        <w:rPr>
          <w:spacing w:val="-6"/>
        </w:rPr>
        <w:t xml:space="preserve"> </w:t>
      </w:r>
      <w:r>
        <w:t>or</w:t>
      </w:r>
      <w:r>
        <w:rPr>
          <w:spacing w:val="-8"/>
        </w:rPr>
        <w:t xml:space="preserve"> </w:t>
      </w:r>
      <w:r>
        <w:rPr>
          <w:spacing w:val="-2"/>
        </w:rPr>
        <w:t>replaced.</w:t>
      </w:r>
    </w:p>
    <w:p w:rsidR="00C31389" w:rsidRDefault="00561FBD" w14:paraId="52B31645" w14:textId="77777777">
      <w:pPr>
        <w:pStyle w:val="ListParagraph"/>
        <w:numPr>
          <w:ilvl w:val="1"/>
          <w:numId w:val="22"/>
        </w:numPr>
        <w:tabs>
          <w:tab w:val="left" w:pos="1199"/>
        </w:tabs>
        <w:spacing w:before="118"/>
        <w:ind w:right="1166"/>
      </w:pPr>
      <w:r>
        <w:t>$3,000-$5,000:</w:t>
      </w:r>
      <w:r>
        <w:rPr>
          <w:spacing w:val="-4"/>
        </w:rPr>
        <w:t xml:space="preserve"> </w:t>
      </w:r>
      <w:r>
        <w:t>One</w:t>
      </w:r>
      <w:r>
        <w:rPr>
          <w:spacing w:val="-4"/>
        </w:rPr>
        <w:t xml:space="preserve"> </w:t>
      </w:r>
      <w:r>
        <w:t>midrange</w:t>
      </w:r>
      <w:r>
        <w:rPr>
          <w:spacing w:val="-4"/>
        </w:rPr>
        <w:t xml:space="preserve"> </w:t>
      </w:r>
      <w:r>
        <w:t>component,</w:t>
      </w:r>
      <w:r>
        <w:rPr>
          <w:spacing w:val="-4"/>
        </w:rPr>
        <w:t xml:space="preserve"> </w:t>
      </w:r>
      <w:r>
        <w:t>perhaps</w:t>
      </w:r>
      <w:r>
        <w:rPr>
          <w:spacing w:val="-4"/>
        </w:rPr>
        <w:t xml:space="preserve"> </w:t>
      </w:r>
      <w:r>
        <w:t>with</w:t>
      </w:r>
      <w:r>
        <w:rPr>
          <w:spacing w:val="-4"/>
        </w:rPr>
        <w:t xml:space="preserve"> </w:t>
      </w:r>
      <w:r>
        <w:t>a</w:t>
      </w:r>
      <w:r>
        <w:rPr>
          <w:spacing w:val="-4"/>
        </w:rPr>
        <w:t xml:space="preserve"> </w:t>
      </w:r>
      <w:r>
        <w:t>thermostat</w:t>
      </w:r>
      <w:r>
        <w:rPr>
          <w:spacing w:val="-4"/>
        </w:rPr>
        <w:t xml:space="preserve"> </w:t>
      </w:r>
      <w:r>
        <w:t>or</w:t>
      </w:r>
      <w:r>
        <w:rPr>
          <w:spacing w:val="-4"/>
        </w:rPr>
        <w:t xml:space="preserve"> </w:t>
      </w:r>
      <w:r>
        <w:t xml:space="preserve">other accessory, or two </w:t>
      </w:r>
      <w:r>
        <w:t>entry-level components were installed or replaced.</w:t>
      </w:r>
    </w:p>
    <w:p w:rsidR="00C31389" w:rsidRDefault="00561FBD" w14:paraId="3B6A3234" w14:textId="77777777">
      <w:pPr>
        <w:pStyle w:val="ListParagraph"/>
        <w:numPr>
          <w:ilvl w:val="1"/>
          <w:numId w:val="22"/>
        </w:numPr>
        <w:tabs>
          <w:tab w:val="left" w:pos="1199"/>
        </w:tabs>
        <w:spacing w:before="118"/>
        <w:ind w:right="861"/>
        <w:jc w:val="both"/>
      </w:pPr>
      <w:r>
        <w:t>$5,000-$7,000:</w:t>
      </w:r>
      <w:r>
        <w:rPr>
          <w:spacing w:val="-2"/>
        </w:rPr>
        <w:t xml:space="preserve"> </w:t>
      </w:r>
      <w:r>
        <w:t>The</w:t>
      </w:r>
      <w:r>
        <w:rPr>
          <w:spacing w:val="-2"/>
        </w:rPr>
        <w:t xml:space="preserve"> </w:t>
      </w:r>
      <w:r>
        <w:t>homeowner</w:t>
      </w:r>
      <w:r>
        <w:rPr>
          <w:spacing w:val="-2"/>
        </w:rPr>
        <w:t xml:space="preserve"> </w:t>
      </w:r>
      <w:r>
        <w:t>bought</w:t>
      </w:r>
      <w:r>
        <w:rPr>
          <w:spacing w:val="-2"/>
        </w:rPr>
        <w:t xml:space="preserve"> </w:t>
      </w:r>
      <w:r>
        <w:t>one</w:t>
      </w:r>
      <w:r>
        <w:rPr>
          <w:spacing w:val="-2"/>
        </w:rPr>
        <w:t xml:space="preserve"> </w:t>
      </w:r>
      <w:r>
        <w:t>midrange</w:t>
      </w:r>
      <w:r>
        <w:rPr>
          <w:spacing w:val="-2"/>
        </w:rPr>
        <w:t xml:space="preserve"> </w:t>
      </w:r>
      <w:r>
        <w:t>or</w:t>
      </w:r>
      <w:r>
        <w:rPr>
          <w:spacing w:val="-2"/>
        </w:rPr>
        <w:t xml:space="preserve"> </w:t>
      </w:r>
      <w:r>
        <w:t>top</w:t>
      </w:r>
      <w:r>
        <w:rPr>
          <w:spacing w:val="-1"/>
        </w:rPr>
        <w:t xml:space="preserve"> </w:t>
      </w:r>
      <w:r>
        <w:t>tier</w:t>
      </w:r>
      <w:r>
        <w:rPr>
          <w:spacing w:val="-2"/>
        </w:rPr>
        <w:t xml:space="preserve"> </w:t>
      </w:r>
      <w:r>
        <w:t>component</w:t>
      </w:r>
      <w:r>
        <w:rPr>
          <w:spacing w:val="-2"/>
        </w:rPr>
        <w:t xml:space="preserve"> </w:t>
      </w:r>
      <w:r>
        <w:t>and thermostat,</w:t>
      </w:r>
      <w:r>
        <w:rPr>
          <w:spacing w:val="-4"/>
        </w:rPr>
        <w:t xml:space="preserve"> </w:t>
      </w:r>
      <w:r>
        <w:t>two</w:t>
      </w:r>
      <w:r>
        <w:rPr>
          <w:spacing w:val="-4"/>
        </w:rPr>
        <w:t xml:space="preserve"> </w:t>
      </w:r>
      <w:r>
        <w:t>entry-level</w:t>
      </w:r>
      <w:r>
        <w:rPr>
          <w:spacing w:val="-4"/>
        </w:rPr>
        <w:t xml:space="preserve"> </w:t>
      </w:r>
      <w:r>
        <w:t>or</w:t>
      </w:r>
      <w:r>
        <w:rPr>
          <w:spacing w:val="-4"/>
        </w:rPr>
        <w:t xml:space="preserve"> </w:t>
      </w:r>
      <w:r>
        <w:t>small</w:t>
      </w:r>
      <w:r>
        <w:rPr>
          <w:spacing w:val="-5"/>
        </w:rPr>
        <w:t xml:space="preserve"> </w:t>
      </w:r>
      <w:r>
        <w:t>midrange</w:t>
      </w:r>
      <w:r>
        <w:rPr>
          <w:spacing w:val="-4"/>
        </w:rPr>
        <w:t xml:space="preserve"> </w:t>
      </w:r>
      <w:r>
        <w:t>components,</w:t>
      </w:r>
      <w:r>
        <w:rPr>
          <w:spacing w:val="-4"/>
        </w:rPr>
        <w:t xml:space="preserve"> </w:t>
      </w:r>
      <w:r>
        <w:t>or</w:t>
      </w:r>
      <w:r>
        <w:rPr>
          <w:spacing w:val="-4"/>
        </w:rPr>
        <w:t xml:space="preserve"> </w:t>
      </w:r>
      <w:r>
        <w:t>a</w:t>
      </w:r>
      <w:r>
        <w:rPr>
          <w:spacing w:val="-4"/>
        </w:rPr>
        <w:t xml:space="preserve"> </w:t>
      </w:r>
      <w:r>
        <w:t>complete</w:t>
      </w:r>
      <w:r>
        <w:rPr>
          <w:spacing w:val="-4"/>
        </w:rPr>
        <w:t xml:space="preserve"> </w:t>
      </w:r>
      <w:r>
        <w:t>system with a thermostat.</w:t>
      </w:r>
    </w:p>
    <w:p w:rsidR="00C31389" w:rsidRDefault="00561FBD" w14:paraId="7414C643" w14:textId="77777777">
      <w:pPr>
        <w:pStyle w:val="BodyText"/>
        <w:spacing w:before="9"/>
        <w:rPr>
          <w:sz w:val="23"/>
        </w:rPr>
      </w:pPr>
      <w:r>
        <w:rPr>
          <w:noProof/>
        </w:rPr>
        <mc:AlternateContent>
          <mc:Choice Requires="wps">
            <w:drawing>
              <wp:anchor distT="0" distB="0" distL="0" distR="0" simplePos="0" relativeHeight="487678464" behindDoc="1" locked="0" layoutInCell="1" allowOverlap="1" wp14:editId="0254E788" wp14:anchorId="69E1465A">
                <wp:simplePos x="0" y="0"/>
                <wp:positionH relativeFrom="page">
                  <wp:posOffset>914400</wp:posOffset>
                </wp:positionH>
                <wp:positionV relativeFrom="paragraph">
                  <wp:posOffset>189466</wp:posOffset>
                </wp:positionV>
                <wp:extent cx="1828800" cy="6985"/>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56" style="position:absolute;margin-left:1in;margin-top:14.9pt;width:2in;height:.55pt;z-index:-1563801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" w14:anchorId="3BE1E454">
                <v:path arrowok="t"/>
                <w10:wrap type="topAndBottom" anchorx="page"/>
              </v:shape>
            </w:pict>
          </mc:Fallback>
        </mc:AlternateContent>
      </w:r>
    </w:p>
    <w:p w:rsidR="00C31389" w:rsidRDefault="00561FBD" w14:paraId="5C06DC38" w14:textId="77777777">
      <w:pPr>
        <w:spacing w:before="88"/>
        <w:ind w:left="479" w:right="418"/>
        <w:rPr>
          <w:sz w:val="18"/>
        </w:rPr>
      </w:pPr>
      <w:bookmarkStart w:name="_bookmark248" w:id="334"/>
      <w:bookmarkEnd w:id="334"/>
      <w:r>
        <w:rPr>
          <w:position w:val="6"/>
          <w:sz w:val="12"/>
        </w:rPr>
        <w:t>77</w:t>
      </w:r>
      <w:r>
        <w:rPr>
          <w:spacing w:val="15"/>
          <w:position w:val="6"/>
          <w:sz w:val="12"/>
        </w:rPr>
        <w:t xml:space="preserve"> </w:t>
      </w:r>
      <w:r>
        <w:rPr>
          <w:sz w:val="18"/>
        </w:rPr>
        <w:t>PickHVAC</w:t>
      </w:r>
      <w:r>
        <w:rPr>
          <w:spacing w:val="-3"/>
          <w:sz w:val="18"/>
        </w:rPr>
        <w:t xml:space="preserve"> </w:t>
      </w:r>
      <w:r>
        <w:rPr>
          <w:sz w:val="18"/>
        </w:rPr>
        <w:t>is</w:t>
      </w:r>
      <w:r>
        <w:rPr>
          <w:spacing w:val="-2"/>
          <w:sz w:val="18"/>
        </w:rPr>
        <w:t xml:space="preserve"> </w:t>
      </w:r>
      <w:r>
        <w:rPr>
          <w:sz w:val="18"/>
        </w:rPr>
        <w:t>a</w:t>
      </w:r>
      <w:r>
        <w:rPr>
          <w:spacing w:val="-1"/>
          <w:sz w:val="18"/>
        </w:rPr>
        <w:t xml:space="preserve"> </w:t>
      </w:r>
      <w:r>
        <w:rPr>
          <w:sz w:val="18"/>
        </w:rPr>
        <w:t>for-profit</w:t>
      </w:r>
      <w:r>
        <w:rPr>
          <w:spacing w:val="-2"/>
          <w:sz w:val="18"/>
        </w:rPr>
        <w:t xml:space="preserve"> </w:t>
      </w:r>
      <w:r>
        <w:rPr>
          <w:sz w:val="18"/>
        </w:rPr>
        <w:t>HVAC</w:t>
      </w:r>
      <w:r>
        <w:rPr>
          <w:spacing w:val="-2"/>
          <w:sz w:val="18"/>
        </w:rPr>
        <w:t xml:space="preserve"> </w:t>
      </w:r>
      <w:r>
        <w:rPr>
          <w:sz w:val="18"/>
        </w:rPr>
        <w:t>advisory</w:t>
      </w:r>
      <w:r>
        <w:rPr>
          <w:spacing w:val="-2"/>
          <w:sz w:val="18"/>
        </w:rPr>
        <w:t xml:space="preserve"> </w:t>
      </w:r>
      <w:r>
        <w:rPr>
          <w:sz w:val="18"/>
        </w:rPr>
        <w:t>service</w:t>
      </w:r>
      <w:r>
        <w:rPr>
          <w:spacing w:val="-3"/>
          <w:sz w:val="18"/>
        </w:rPr>
        <w:t xml:space="preserve"> </w:t>
      </w:r>
      <w:r>
        <w:rPr>
          <w:sz w:val="18"/>
        </w:rPr>
        <w:t>and</w:t>
      </w:r>
      <w:r>
        <w:rPr>
          <w:spacing w:val="-3"/>
          <w:sz w:val="18"/>
        </w:rPr>
        <w:t xml:space="preserve"> </w:t>
      </w:r>
      <w:r>
        <w:rPr>
          <w:sz w:val="18"/>
        </w:rPr>
        <w:t>is</w:t>
      </w:r>
      <w:r>
        <w:rPr>
          <w:spacing w:val="-2"/>
          <w:sz w:val="18"/>
        </w:rPr>
        <w:t xml:space="preserve"> </w:t>
      </w:r>
      <w:r>
        <w:rPr>
          <w:sz w:val="18"/>
        </w:rPr>
        <w:t>a</w:t>
      </w:r>
      <w:r>
        <w:rPr>
          <w:spacing w:val="-3"/>
          <w:sz w:val="18"/>
        </w:rPr>
        <w:t xml:space="preserve"> </w:t>
      </w:r>
      <w:r>
        <w:rPr>
          <w:sz w:val="18"/>
        </w:rPr>
        <w:t>participant</w:t>
      </w:r>
      <w:r>
        <w:rPr>
          <w:spacing w:val="-2"/>
          <w:sz w:val="18"/>
        </w:rPr>
        <w:t xml:space="preserve"> </w:t>
      </w:r>
      <w:r>
        <w:rPr>
          <w:sz w:val="18"/>
        </w:rPr>
        <w:t>in</w:t>
      </w:r>
      <w:r>
        <w:rPr>
          <w:spacing w:val="-3"/>
          <w:sz w:val="18"/>
        </w:rPr>
        <w:t xml:space="preserve"> </w:t>
      </w:r>
      <w:r>
        <w:rPr>
          <w:sz w:val="18"/>
        </w:rPr>
        <w:t>the</w:t>
      </w:r>
      <w:r>
        <w:rPr>
          <w:spacing w:val="-1"/>
          <w:sz w:val="18"/>
        </w:rPr>
        <w:t xml:space="preserve"> </w:t>
      </w:r>
      <w:r>
        <w:rPr>
          <w:sz w:val="18"/>
        </w:rPr>
        <w:t>Amazon</w:t>
      </w:r>
      <w:r>
        <w:rPr>
          <w:spacing w:val="-3"/>
          <w:sz w:val="18"/>
        </w:rPr>
        <w:t xml:space="preserve"> </w:t>
      </w:r>
      <w:r>
        <w:rPr>
          <w:sz w:val="18"/>
        </w:rPr>
        <w:t>Services</w:t>
      </w:r>
      <w:r>
        <w:rPr>
          <w:spacing w:val="-2"/>
          <w:sz w:val="18"/>
        </w:rPr>
        <w:t xml:space="preserve"> </w:t>
      </w:r>
      <w:r>
        <w:rPr>
          <w:sz w:val="18"/>
        </w:rPr>
        <w:t>LLC</w:t>
      </w:r>
      <w:r>
        <w:rPr>
          <w:spacing w:val="-2"/>
          <w:sz w:val="18"/>
        </w:rPr>
        <w:t xml:space="preserve"> </w:t>
      </w:r>
      <w:r>
        <w:rPr>
          <w:sz w:val="18"/>
        </w:rPr>
        <w:t xml:space="preserve">Associates Program, an affiliate advertising program designed to provide a means for sites to earn advertising fees by advertising and linking to amazon.com. Survey accessed in August 2020 at </w:t>
      </w:r>
      <w:hyperlink r:id="rId214">
        <w:r>
          <w:rPr>
            <w:color w:val="68942C"/>
            <w:sz w:val="18"/>
            <w:u w:val="single" w:color="68942C"/>
          </w:rPr>
          <w:t>https://www.pickhvac.</w:t>
        </w:r>
        <w:r>
          <w:rPr>
            <w:color w:val="68942C"/>
            <w:sz w:val="18"/>
            <w:u w:val="single" w:color="68942C"/>
          </w:rPr>
          <w:t>com/</w:t>
        </w:r>
        <w:r>
          <w:rPr>
            <w:sz w:val="18"/>
          </w:rPr>
          <w:t>.</w:t>
        </w:r>
      </w:hyperlink>
    </w:p>
    <w:p w:rsidR="00C31389" w:rsidRDefault="00C31389" w14:paraId="0E3B2F22" w14:textId="77777777">
      <w:pPr>
        <w:rPr>
          <w:sz w:val="18"/>
        </w:rPr>
        <w:sectPr w:rsidR="00C31389">
          <w:pgSz w:w="11910" w:h="16840"/>
          <w:pgMar w:top="1660" w:right="1020" w:bottom="1120" w:left="960" w:header="397" w:footer="938" w:gutter="0"/>
          <w:cols w:space="720"/>
        </w:sectPr>
      </w:pPr>
    </w:p>
    <w:p w:rsidR="00C31389" w:rsidRDefault="00C31389" w14:paraId="0F8BD637" w14:textId="77777777">
      <w:pPr>
        <w:pStyle w:val="BodyText"/>
      </w:pPr>
    </w:p>
    <w:p w:rsidR="00C31389" w:rsidRDefault="00C31389" w14:paraId="28B373E7" w14:textId="77777777">
      <w:pPr>
        <w:pStyle w:val="BodyText"/>
        <w:spacing w:before="2"/>
        <w:rPr>
          <w:sz w:val="13"/>
        </w:rPr>
      </w:pPr>
    </w:p>
    <w:p w:rsidR="00C31389" w:rsidRDefault="00561FBD" w14:paraId="07722E6E" w14:textId="77777777">
      <w:pPr>
        <w:pStyle w:val="ListParagraph"/>
        <w:numPr>
          <w:ilvl w:val="1"/>
          <w:numId w:val="22"/>
        </w:numPr>
        <w:tabs>
          <w:tab w:val="left" w:pos="1200"/>
        </w:tabs>
        <w:spacing w:before="100"/>
        <w:ind w:left="1200" w:right="924" w:hanging="361"/>
      </w:pPr>
      <w:r>
        <w:t>$7,000-$9,000: One top tier component, perhaps with an accessory such as a thermostat</w:t>
      </w:r>
      <w:r>
        <w:rPr>
          <w:spacing w:val="-4"/>
        </w:rPr>
        <w:t xml:space="preserve"> </w:t>
      </w:r>
      <w:r>
        <w:t>or</w:t>
      </w:r>
      <w:r>
        <w:rPr>
          <w:spacing w:val="-4"/>
        </w:rPr>
        <w:t xml:space="preserve"> </w:t>
      </w:r>
      <w:r>
        <w:t>media</w:t>
      </w:r>
      <w:r>
        <w:rPr>
          <w:spacing w:val="-4"/>
        </w:rPr>
        <w:t xml:space="preserve"> </w:t>
      </w:r>
      <w:r>
        <w:t>filter,</w:t>
      </w:r>
      <w:r>
        <w:rPr>
          <w:spacing w:val="-4"/>
        </w:rPr>
        <w:t xml:space="preserve"> </w:t>
      </w:r>
      <w:r>
        <w:t>two</w:t>
      </w:r>
      <w:r>
        <w:rPr>
          <w:spacing w:val="-4"/>
        </w:rPr>
        <w:t xml:space="preserve"> </w:t>
      </w:r>
      <w:r>
        <w:t>midrange</w:t>
      </w:r>
      <w:r>
        <w:rPr>
          <w:spacing w:val="-4"/>
        </w:rPr>
        <w:t xml:space="preserve"> </w:t>
      </w:r>
      <w:r>
        <w:t>components,</w:t>
      </w:r>
      <w:r>
        <w:rPr>
          <w:spacing w:val="-4"/>
        </w:rPr>
        <w:t xml:space="preserve"> </w:t>
      </w:r>
      <w:r>
        <w:t>or</w:t>
      </w:r>
      <w:r>
        <w:rPr>
          <w:spacing w:val="-4"/>
        </w:rPr>
        <w:t xml:space="preserve"> </w:t>
      </w:r>
      <w:r>
        <w:t>a</w:t>
      </w:r>
      <w:r>
        <w:rPr>
          <w:spacing w:val="-4"/>
        </w:rPr>
        <w:t xml:space="preserve"> </w:t>
      </w:r>
      <w:r>
        <w:t>complete</w:t>
      </w:r>
      <w:r>
        <w:rPr>
          <w:spacing w:val="-4"/>
        </w:rPr>
        <w:t xml:space="preserve"> </w:t>
      </w:r>
      <w:r>
        <w:t>system</w:t>
      </w:r>
      <w:r>
        <w:rPr>
          <w:spacing w:val="-5"/>
        </w:rPr>
        <w:t xml:space="preserve"> </w:t>
      </w:r>
      <w:r>
        <w:t>was installed or replaced.</w:t>
      </w:r>
    </w:p>
    <w:p w:rsidR="00C31389" w:rsidRDefault="00561FBD" w14:paraId="426BDD58" w14:textId="77777777">
      <w:pPr>
        <w:pStyle w:val="ListParagraph"/>
        <w:numPr>
          <w:ilvl w:val="1"/>
          <w:numId w:val="22"/>
        </w:numPr>
        <w:tabs>
          <w:tab w:val="left" w:pos="1200"/>
        </w:tabs>
        <w:spacing w:before="119"/>
        <w:ind w:left="1200" w:right="548"/>
      </w:pPr>
      <w:r>
        <w:t>$9,000+:</w:t>
      </w:r>
      <w:r>
        <w:rPr>
          <w:spacing w:val="-3"/>
        </w:rPr>
        <w:t xml:space="preserve"> </w:t>
      </w:r>
      <w:r>
        <w:t>These</w:t>
      </w:r>
      <w:r>
        <w:rPr>
          <w:spacing w:val="-3"/>
        </w:rPr>
        <w:t xml:space="preserve"> </w:t>
      </w:r>
      <w:r>
        <w:t>s</w:t>
      </w:r>
      <w:r>
        <w:t>ales</w:t>
      </w:r>
      <w:r>
        <w:rPr>
          <w:spacing w:val="-3"/>
        </w:rPr>
        <w:t xml:space="preserve"> </w:t>
      </w:r>
      <w:r>
        <w:t>were</w:t>
      </w:r>
      <w:r>
        <w:rPr>
          <w:spacing w:val="-3"/>
        </w:rPr>
        <w:t xml:space="preserve"> </w:t>
      </w:r>
      <w:r>
        <w:t>either</w:t>
      </w:r>
      <w:r>
        <w:rPr>
          <w:spacing w:val="-3"/>
        </w:rPr>
        <w:t xml:space="preserve"> </w:t>
      </w:r>
      <w:r>
        <w:t>one</w:t>
      </w:r>
      <w:r>
        <w:rPr>
          <w:spacing w:val="-3"/>
        </w:rPr>
        <w:t xml:space="preserve"> </w:t>
      </w:r>
      <w:r>
        <w:t>large,</w:t>
      </w:r>
      <w:r>
        <w:rPr>
          <w:spacing w:val="-3"/>
        </w:rPr>
        <w:t xml:space="preserve"> </w:t>
      </w:r>
      <w:r>
        <w:t>efficient,</w:t>
      </w:r>
      <w:r>
        <w:rPr>
          <w:spacing w:val="-3"/>
        </w:rPr>
        <w:t xml:space="preserve"> </w:t>
      </w:r>
      <w:r>
        <w:t>top</w:t>
      </w:r>
      <w:r>
        <w:rPr>
          <w:spacing w:val="-3"/>
        </w:rPr>
        <w:t xml:space="preserve"> </w:t>
      </w:r>
      <w:r>
        <w:t>tier</w:t>
      </w:r>
      <w:r>
        <w:rPr>
          <w:spacing w:val="-3"/>
        </w:rPr>
        <w:t xml:space="preserve"> </w:t>
      </w:r>
      <w:r>
        <w:t>component</w:t>
      </w:r>
      <w:r>
        <w:rPr>
          <w:spacing w:val="-3"/>
        </w:rPr>
        <w:t xml:space="preserve"> </w:t>
      </w:r>
      <w:r>
        <w:t>or,</w:t>
      </w:r>
      <w:r>
        <w:rPr>
          <w:spacing w:val="-3"/>
        </w:rPr>
        <w:t xml:space="preserve"> </w:t>
      </w:r>
      <w:r>
        <w:t>in</w:t>
      </w:r>
      <w:r>
        <w:rPr>
          <w:spacing w:val="-3"/>
        </w:rPr>
        <w:t xml:space="preserve"> </w:t>
      </w:r>
      <w:r>
        <w:t>more cases, a complete midrange HVAC system.</w:t>
      </w:r>
    </w:p>
    <w:p w:rsidR="00C31389" w:rsidRDefault="00C31389" w14:paraId="3F175954" w14:textId="77777777">
      <w:pPr>
        <w:pStyle w:val="BodyText"/>
        <w:spacing w:before="8"/>
        <w:rPr>
          <w:sz w:val="20"/>
        </w:rPr>
      </w:pPr>
    </w:p>
    <w:p w:rsidR="00C31389" w:rsidRDefault="00561FBD" w14:paraId="7DCAB59E" w14:textId="77777777">
      <w:pPr>
        <w:pStyle w:val="Heading7"/>
        <w:spacing w:before="1"/>
        <w:ind w:left="398" w:right="339"/>
        <w:jc w:val="center"/>
      </w:pPr>
      <w:bookmarkStart w:name="_bookmark249" w:id="335"/>
      <w:bookmarkEnd w:id="335"/>
      <w:r>
        <w:t>Figure</w:t>
      </w:r>
      <w:r>
        <w:rPr>
          <w:spacing w:val="-8"/>
        </w:rPr>
        <w:t xml:space="preserve"> </w:t>
      </w:r>
      <w:r>
        <w:t>B-2.</w:t>
      </w:r>
      <w:r>
        <w:rPr>
          <w:spacing w:val="-7"/>
        </w:rPr>
        <w:t xml:space="preserve"> </w:t>
      </w:r>
      <w:r>
        <w:t>Distribution</w:t>
      </w:r>
      <w:r>
        <w:rPr>
          <w:spacing w:val="-8"/>
        </w:rPr>
        <w:t xml:space="preserve"> </w:t>
      </w:r>
      <w:r>
        <w:t>of</w:t>
      </w:r>
      <w:r>
        <w:rPr>
          <w:spacing w:val="-7"/>
        </w:rPr>
        <w:t xml:space="preserve"> </w:t>
      </w:r>
      <w:r>
        <w:t>HVAC</w:t>
      </w:r>
      <w:r>
        <w:rPr>
          <w:spacing w:val="-6"/>
        </w:rPr>
        <w:t xml:space="preserve"> </w:t>
      </w:r>
      <w:r>
        <w:t>Projects</w:t>
      </w:r>
      <w:r>
        <w:rPr>
          <w:spacing w:val="-8"/>
        </w:rPr>
        <w:t xml:space="preserve"> </w:t>
      </w:r>
      <w:r>
        <w:t>by</w:t>
      </w:r>
      <w:r>
        <w:rPr>
          <w:spacing w:val="-7"/>
        </w:rPr>
        <w:t xml:space="preserve"> </w:t>
      </w:r>
      <w:r>
        <w:t>Total</w:t>
      </w:r>
      <w:r>
        <w:rPr>
          <w:spacing w:val="-8"/>
        </w:rPr>
        <w:t xml:space="preserve"> </w:t>
      </w:r>
      <w:r>
        <w:t>Project</w:t>
      </w:r>
      <w:r>
        <w:rPr>
          <w:spacing w:val="-7"/>
        </w:rPr>
        <w:t xml:space="preserve"> </w:t>
      </w:r>
      <w:r>
        <w:rPr>
          <w:spacing w:val="-4"/>
        </w:rPr>
        <w:t>Cost</w:t>
      </w:r>
    </w:p>
    <w:p w:rsidR="00C31389" w:rsidRDefault="00561FBD" w14:paraId="64A660E3" w14:textId="77777777">
      <w:pPr>
        <w:pStyle w:val="BodyText"/>
        <w:spacing w:before="3"/>
        <w:rPr>
          <w:b/>
          <w:sz w:val="8"/>
        </w:rPr>
      </w:pPr>
      <w:r>
        <w:rPr>
          <w:noProof/>
        </w:rPr>
        <w:drawing>
          <wp:anchor distT="0" distB="0" distL="0" distR="0" simplePos="0" relativeHeight="487679488" behindDoc="1" locked="0" layoutInCell="1" allowOverlap="1" wp14:editId="6B173B29" wp14:anchorId="08817FF9">
            <wp:simplePos x="0" y="0"/>
            <wp:positionH relativeFrom="page">
              <wp:posOffset>1189673</wp:posOffset>
            </wp:positionH>
            <wp:positionV relativeFrom="paragraph">
              <wp:posOffset>76184</wp:posOffset>
            </wp:positionV>
            <wp:extent cx="5072158" cy="3011424"/>
            <wp:effectExtent l="0" t="0" r="0" b="0"/>
            <wp:wrapTopAndBottom/>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215" cstate="print"/>
                    <a:stretch>
                      <a:fillRect/>
                    </a:stretch>
                  </pic:blipFill>
                  <pic:spPr>
                    <a:xfrm>
                      <a:off x="0" y="0"/>
                      <a:ext cx="5072158" cy="3011424"/>
                    </a:xfrm>
                    <a:prstGeom prst="rect">
                      <a:avLst/>
                    </a:prstGeom>
                  </pic:spPr>
                </pic:pic>
              </a:graphicData>
            </a:graphic>
          </wp:anchor>
        </w:drawing>
      </w:r>
    </w:p>
    <w:p w:rsidR="00C31389" w:rsidRDefault="00561FBD" w14:paraId="5DDFD348" w14:textId="77777777">
      <w:pPr>
        <w:spacing w:before="94"/>
        <w:ind w:left="480"/>
        <w:rPr>
          <w:i/>
          <w:sz w:val="18"/>
        </w:rPr>
      </w:pPr>
      <w:r>
        <w:rPr>
          <w:i/>
          <w:sz w:val="18"/>
        </w:rPr>
        <w:t>Source:</w:t>
      </w:r>
      <w:r>
        <w:rPr>
          <w:i/>
          <w:spacing w:val="-9"/>
          <w:sz w:val="18"/>
        </w:rPr>
        <w:t xml:space="preserve"> </w:t>
      </w:r>
      <w:r>
        <w:rPr>
          <w:i/>
          <w:sz w:val="18"/>
        </w:rPr>
        <w:t>PickHVAC,</w:t>
      </w:r>
      <w:r>
        <w:rPr>
          <w:i/>
          <w:spacing w:val="-6"/>
          <w:sz w:val="18"/>
        </w:rPr>
        <w:t xml:space="preserve"> </w:t>
      </w:r>
      <w:r>
        <w:rPr>
          <w:i/>
          <w:spacing w:val="-4"/>
          <w:sz w:val="18"/>
        </w:rPr>
        <w:t>2020</w:t>
      </w:r>
    </w:p>
    <w:p w:rsidR="00C31389" w:rsidRDefault="00C31389" w14:paraId="6EB963CB" w14:textId="77777777">
      <w:pPr>
        <w:pStyle w:val="BodyText"/>
        <w:spacing w:before="9"/>
        <w:rPr>
          <w:i/>
          <w:sz w:val="20"/>
        </w:rPr>
      </w:pPr>
    </w:p>
    <w:p w:rsidR="00C31389" w:rsidRDefault="00561FBD" w14:paraId="59365F80" w14:textId="77777777">
      <w:pPr>
        <w:pStyle w:val="BodyText"/>
        <w:ind w:left="839" w:right="434"/>
      </w:pPr>
      <w:hyperlink w:history="1" w:anchor="_bookmark250">
        <w:r>
          <w:t>Table B-3</w:t>
        </w:r>
      </w:hyperlink>
      <w:r>
        <w:t xml:space="preserve"> shows two items: (1) the percentage of HVAC projects across the cost bins provided in </w:t>
      </w:r>
      <w:hyperlink w:history="1" w:anchor="_bookmark249">
        <w:r>
          <w:t>Figure B-2</w:t>
        </w:r>
      </w:hyperlink>
      <w:r>
        <w:t>; and (2) what percen</w:t>
      </w:r>
      <w:r>
        <w:t>tage of each cost bin and the total sales are for</w:t>
      </w:r>
      <w:r>
        <w:rPr>
          <w:spacing w:val="-4"/>
        </w:rPr>
        <w:t xml:space="preserve"> </w:t>
      </w:r>
      <w:r>
        <w:t>whole</w:t>
      </w:r>
      <w:r>
        <w:rPr>
          <w:spacing w:val="-4"/>
        </w:rPr>
        <w:t xml:space="preserve"> </w:t>
      </w:r>
      <w:r>
        <w:t>systems.</w:t>
      </w:r>
      <w:r>
        <w:rPr>
          <w:spacing w:val="-4"/>
        </w:rPr>
        <w:t xml:space="preserve"> </w:t>
      </w:r>
      <w:r>
        <w:t>The</w:t>
      </w:r>
      <w:r>
        <w:rPr>
          <w:spacing w:val="-4"/>
        </w:rPr>
        <w:t xml:space="preserve"> </w:t>
      </w:r>
      <w:r>
        <w:t>estimates</w:t>
      </w:r>
      <w:r>
        <w:rPr>
          <w:spacing w:val="-4"/>
        </w:rPr>
        <w:t xml:space="preserve"> </w:t>
      </w:r>
      <w:r>
        <w:t>for</w:t>
      </w:r>
      <w:r>
        <w:rPr>
          <w:spacing w:val="-4"/>
        </w:rPr>
        <w:t xml:space="preserve"> </w:t>
      </w:r>
      <w:r>
        <w:t>whole</w:t>
      </w:r>
      <w:r>
        <w:rPr>
          <w:spacing w:val="-4"/>
        </w:rPr>
        <w:t xml:space="preserve"> </w:t>
      </w:r>
      <w:r>
        <w:t>systems</w:t>
      </w:r>
      <w:r>
        <w:rPr>
          <w:spacing w:val="-3"/>
        </w:rPr>
        <w:t xml:space="preserve"> </w:t>
      </w:r>
      <w:r>
        <w:t>replacement</w:t>
      </w:r>
      <w:r>
        <w:rPr>
          <w:spacing w:val="-4"/>
        </w:rPr>
        <w:t xml:space="preserve"> </w:t>
      </w:r>
      <w:r>
        <w:t>percentage</w:t>
      </w:r>
      <w:r>
        <w:rPr>
          <w:spacing w:val="-4"/>
        </w:rPr>
        <w:t xml:space="preserve"> </w:t>
      </w:r>
      <w:r>
        <w:t>are</w:t>
      </w:r>
      <w:r>
        <w:rPr>
          <w:spacing w:val="-4"/>
        </w:rPr>
        <w:t xml:space="preserve"> </w:t>
      </w:r>
      <w:r>
        <w:t>based on</w:t>
      </w:r>
      <w:r>
        <w:rPr>
          <w:spacing w:val="-3"/>
        </w:rPr>
        <w:t xml:space="preserve"> </w:t>
      </w:r>
      <w:r>
        <w:t>professional</w:t>
      </w:r>
      <w:r>
        <w:rPr>
          <w:spacing w:val="-3"/>
        </w:rPr>
        <w:t xml:space="preserve"> </w:t>
      </w:r>
      <w:r>
        <w:t>judgement</w:t>
      </w:r>
      <w:r>
        <w:rPr>
          <w:spacing w:val="-3"/>
        </w:rPr>
        <w:t xml:space="preserve"> </w:t>
      </w:r>
      <w:r>
        <w:t>and</w:t>
      </w:r>
      <w:r>
        <w:rPr>
          <w:spacing w:val="-3"/>
        </w:rPr>
        <w:t xml:space="preserve"> </w:t>
      </w:r>
      <w:r>
        <w:t>an</w:t>
      </w:r>
      <w:r>
        <w:rPr>
          <w:spacing w:val="-3"/>
        </w:rPr>
        <w:t xml:space="preserve"> </w:t>
      </w:r>
      <w:r>
        <w:t>estimate</w:t>
      </w:r>
      <w:r>
        <w:rPr>
          <w:spacing w:val="-3"/>
        </w:rPr>
        <w:t xml:space="preserve"> </w:t>
      </w:r>
      <w:r>
        <w:t>of</w:t>
      </w:r>
      <w:r>
        <w:rPr>
          <w:spacing w:val="-3"/>
        </w:rPr>
        <w:t xml:space="preserve"> </w:t>
      </w:r>
      <w:r>
        <w:t>whole</w:t>
      </w:r>
      <w:r>
        <w:rPr>
          <w:spacing w:val="-3"/>
        </w:rPr>
        <w:t xml:space="preserve"> </w:t>
      </w:r>
      <w:r>
        <w:t>system</w:t>
      </w:r>
      <w:r>
        <w:rPr>
          <w:spacing w:val="-4"/>
        </w:rPr>
        <w:t xml:space="preserve"> </w:t>
      </w:r>
      <w:r>
        <w:t>projects</w:t>
      </w:r>
      <w:r>
        <w:rPr>
          <w:spacing w:val="-3"/>
        </w:rPr>
        <w:t xml:space="preserve"> </w:t>
      </w:r>
      <w:r>
        <w:t>as</w:t>
      </w:r>
      <w:r>
        <w:rPr>
          <w:spacing w:val="-3"/>
        </w:rPr>
        <w:t xml:space="preserve"> </w:t>
      </w:r>
      <w:r>
        <w:t>a</w:t>
      </w:r>
      <w:r>
        <w:rPr>
          <w:spacing w:val="-3"/>
        </w:rPr>
        <w:t xml:space="preserve"> </w:t>
      </w:r>
      <w:r>
        <w:t>percentage</w:t>
      </w:r>
      <w:r>
        <w:rPr>
          <w:spacing w:val="-3"/>
        </w:rPr>
        <w:t xml:space="preserve"> </w:t>
      </w:r>
      <w:r>
        <w:t>of all sales.</w:t>
      </w:r>
    </w:p>
    <w:p w:rsidR="00C31389" w:rsidRDefault="00C31389" w14:paraId="15FA9BFA" w14:textId="77777777">
      <w:pPr>
        <w:pStyle w:val="BodyText"/>
        <w:spacing w:before="10"/>
        <w:rPr>
          <w:sz w:val="20"/>
        </w:rPr>
      </w:pPr>
    </w:p>
    <w:p w:rsidR="00C31389" w:rsidRDefault="00561FBD" w14:paraId="4A3E7D91" w14:textId="77777777">
      <w:pPr>
        <w:pStyle w:val="Heading7"/>
        <w:ind w:left="398" w:right="338"/>
        <w:jc w:val="center"/>
      </w:pPr>
      <w:bookmarkStart w:name="_bookmark250" w:id="336"/>
      <w:bookmarkEnd w:id="336"/>
      <w:r>
        <w:t>Table</w:t>
      </w:r>
      <w:r>
        <w:rPr>
          <w:spacing w:val="-6"/>
        </w:rPr>
        <w:t xml:space="preserve"> </w:t>
      </w:r>
      <w:r>
        <w:t>B-3.</w:t>
      </w:r>
      <w:r>
        <w:rPr>
          <w:spacing w:val="-7"/>
        </w:rPr>
        <w:t xml:space="preserve"> </w:t>
      </w:r>
      <w:r>
        <w:t>Whole</w:t>
      </w:r>
      <w:r>
        <w:rPr>
          <w:spacing w:val="-5"/>
        </w:rPr>
        <w:t xml:space="preserve"> </w:t>
      </w:r>
      <w:r>
        <w:t>Systems</w:t>
      </w:r>
      <w:r>
        <w:rPr>
          <w:spacing w:val="-6"/>
        </w:rPr>
        <w:t xml:space="preserve"> </w:t>
      </w:r>
      <w:r>
        <w:t>as</w:t>
      </w:r>
      <w:r>
        <w:rPr>
          <w:spacing w:val="-5"/>
        </w:rPr>
        <w:t xml:space="preserve"> </w:t>
      </w:r>
      <w:r>
        <w:t>a</w:t>
      </w:r>
      <w:r>
        <w:rPr>
          <w:spacing w:val="-6"/>
        </w:rPr>
        <w:t xml:space="preserve"> </w:t>
      </w:r>
      <w:r>
        <w:t>Percentage</w:t>
      </w:r>
      <w:r>
        <w:rPr>
          <w:spacing w:val="-5"/>
        </w:rPr>
        <w:t xml:space="preserve"> </w:t>
      </w:r>
      <w:r>
        <w:t>of</w:t>
      </w:r>
      <w:r>
        <w:rPr>
          <w:spacing w:val="-6"/>
        </w:rPr>
        <w:t xml:space="preserve"> </w:t>
      </w:r>
      <w:r>
        <w:t>All</w:t>
      </w:r>
      <w:r>
        <w:rPr>
          <w:spacing w:val="-5"/>
        </w:rPr>
        <w:t xml:space="preserve"> </w:t>
      </w:r>
      <w:r>
        <w:rPr>
          <w:spacing w:val="-2"/>
        </w:rPr>
        <w:t>Sales</w:t>
      </w:r>
    </w:p>
    <w:p w:rsidR="00C31389" w:rsidRDefault="00C31389" w14:paraId="5A6402E9" w14:textId="77777777">
      <w:pPr>
        <w:pStyle w:val="BodyText"/>
        <w:spacing w:before="7"/>
        <w:rPr>
          <w:b/>
          <w:sz w:val="9"/>
        </w:rPr>
      </w:pPr>
    </w:p>
    <w:tbl>
      <w:tblPr>
        <w:tblW w:w="0" w:type="auto"/>
        <w:tblInd w:w="1675" w:type="dxa"/>
        <w:tblLayout w:type="fixed"/>
        <w:tblCellMar>
          <w:left w:w="0" w:type="dxa"/>
          <w:right w:w="0" w:type="dxa"/>
        </w:tblCellMar>
        <w:tblLook w:val="01E0" w:firstRow="1" w:lastRow="1" w:firstColumn="1" w:lastColumn="1" w:noHBand="0" w:noVBand="0"/>
      </w:tblPr>
      <w:tblGrid>
        <w:gridCol w:w="1625"/>
        <w:gridCol w:w="1693"/>
        <w:gridCol w:w="1665"/>
        <w:gridCol w:w="1659"/>
      </w:tblGrid>
      <w:tr w:rsidR="00C31389" w14:paraId="21C857B3" w14:textId="77777777">
        <w:trPr>
          <w:trHeight w:val="780"/>
        </w:trPr>
        <w:tc>
          <w:tcPr>
            <w:tcW w:w="1625" w:type="dxa"/>
            <w:shd w:val="clear" w:color="auto" w:fill="92D400"/>
          </w:tcPr>
          <w:p w:rsidR="00C31389" w:rsidRDefault="00C31389" w14:paraId="49D07950" w14:textId="77777777">
            <w:pPr>
              <w:pStyle w:val="TableParagraph"/>
              <w:spacing w:before="6"/>
              <w:rPr>
                <w:b/>
                <w:sz w:val="23"/>
              </w:rPr>
            </w:pPr>
          </w:p>
          <w:p w:rsidR="00C31389" w:rsidRDefault="00561FBD" w14:paraId="5DCAD5A4" w14:textId="77777777">
            <w:pPr>
              <w:pStyle w:val="TableParagraph"/>
              <w:spacing w:before="0"/>
              <w:ind w:left="122"/>
              <w:rPr>
                <w:b/>
                <w:sz w:val="20"/>
              </w:rPr>
            </w:pPr>
            <w:r>
              <w:rPr>
                <w:b/>
                <w:sz w:val="20"/>
              </w:rPr>
              <w:t>Cost</w:t>
            </w:r>
            <w:r>
              <w:rPr>
                <w:b/>
                <w:spacing w:val="-3"/>
                <w:sz w:val="20"/>
              </w:rPr>
              <w:t xml:space="preserve"> </w:t>
            </w:r>
            <w:r>
              <w:rPr>
                <w:b/>
                <w:spacing w:val="-5"/>
                <w:sz w:val="20"/>
              </w:rPr>
              <w:t>Bin</w:t>
            </w:r>
          </w:p>
        </w:tc>
        <w:tc>
          <w:tcPr>
            <w:tcW w:w="1693" w:type="dxa"/>
            <w:shd w:val="clear" w:color="auto" w:fill="92D400"/>
          </w:tcPr>
          <w:p w:rsidR="00C31389" w:rsidRDefault="00C31389" w14:paraId="4972DDC7" w14:textId="77777777">
            <w:pPr>
              <w:pStyle w:val="TableParagraph"/>
              <w:spacing w:before="6"/>
              <w:rPr>
                <w:b/>
                <w:sz w:val="23"/>
              </w:rPr>
            </w:pPr>
          </w:p>
          <w:p w:rsidR="00C31389" w:rsidRDefault="00561FBD" w14:paraId="56B2F608" w14:textId="77777777">
            <w:pPr>
              <w:pStyle w:val="TableParagraph"/>
              <w:spacing w:before="0"/>
              <w:ind w:left="200" w:right="153"/>
              <w:jc w:val="center"/>
              <w:rPr>
                <w:b/>
                <w:sz w:val="20"/>
              </w:rPr>
            </w:pPr>
            <w:r>
              <w:rPr>
                <w:b/>
                <w:sz w:val="20"/>
              </w:rPr>
              <w:t>%</w:t>
            </w:r>
            <w:r>
              <w:rPr>
                <w:b/>
                <w:spacing w:val="-2"/>
                <w:sz w:val="20"/>
              </w:rPr>
              <w:t xml:space="preserve"> </w:t>
            </w:r>
            <w:r>
              <w:rPr>
                <w:b/>
                <w:sz w:val="20"/>
              </w:rPr>
              <w:t>of All</w:t>
            </w:r>
            <w:r>
              <w:rPr>
                <w:b/>
                <w:spacing w:val="-1"/>
                <w:sz w:val="20"/>
              </w:rPr>
              <w:t xml:space="preserve"> </w:t>
            </w:r>
            <w:r>
              <w:rPr>
                <w:b/>
                <w:spacing w:val="-2"/>
                <w:sz w:val="20"/>
              </w:rPr>
              <w:t>Sales</w:t>
            </w:r>
          </w:p>
        </w:tc>
        <w:tc>
          <w:tcPr>
            <w:tcW w:w="1665" w:type="dxa"/>
            <w:shd w:val="clear" w:color="auto" w:fill="92D400"/>
          </w:tcPr>
          <w:p w:rsidR="00C31389" w:rsidRDefault="00561FBD" w14:paraId="2A956979" w14:textId="77777777">
            <w:pPr>
              <w:pStyle w:val="TableParagraph"/>
              <w:ind w:left="168" w:right="159"/>
              <w:jc w:val="center"/>
              <w:rPr>
                <w:b/>
                <w:sz w:val="20"/>
              </w:rPr>
            </w:pPr>
            <w:r>
              <w:rPr>
                <w:b/>
                <w:spacing w:val="-2"/>
                <w:sz w:val="20"/>
              </w:rPr>
              <w:t xml:space="preserve">Whole </w:t>
            </w:r>
            <w:r>
              <w:rPr>
                <w:b/>
                <w:sz w:val="20"/>
              </w:rPr>
              <w:t>Systems</w:t>
            </w:r>
            <w:r>
              <w:rPr>
                <w:b/>
                <w:spacing w:val="-14"/>
                <w:sz w:val="20"/>
              </w:rPr>
              <w:t xml:space="preserve"> </w:t>
            </w:r>
            <w:r>
              <w:rPr>
                <w:b/>
                <w:sz w:val="20"/>
              </w:rPr>
              <w:t>as</w:t>
            </w:r>
            <w:r>
              <w:rPr>
                <w:b/>
                <w:spacing w:val="-14"/>
                <w:sz w:val="20"/>
              </w:rPr>
              <w:t xml:space="preserve"> </w:t>
            </w:r>
            <w:r>
              <w:rPr>
                <w:b/>
                <w:sz w:val="20"/>
              </w:rPr>
              <w:t>% of Cost Bin</w:t>
            </w:r>
          </w:p>
        </w:tc>
        <w:tc>
          <w:tcPr>
            <w:tcW w:w="1659" w:type="dxa"/>
            <w:shd w:val="clear" w:color="auto" w:fill="92D400"/>
          </w:tcPr>
          <w:p w:rsidR="00C31389" w:rsidRDefault="00561FBD" w14:paraId="40FC1542" w14:textId="77777777">
            <w:pPr>
              <w:pStyle w:val="TableParagraph"/>
              <w:ind w:left="162" w:right="159"/>
              <w:jc w:val="center"/>
              <w:rPr>
                <w:b/>
                <w:sz w:val="20"/>
              </w:rPr>
            </w:pPr>
            <w:r>
              <w:rPr>
                <w:b/>
                <w:spacing w:val="-2"/>
                <w:sz w:val="20"/>
              </w:rPr>
              <w:t xml:space="preserve">Whole </w:t>
            </w:r>
            <w:r>
              <w:rPr>
                <w:b/>
                <w:sz w:val="20"/>
              </w:rPr>
              <w:t>Systems</w:t>
            </w:r>
            <w:r>
              <w:rPr>
                <w:b/>
                <w:spacing w:val="-14"/>
                <w:sz w:val="20"/>
              </w:rPr>
              <w:t xml:space="preserve"> </w:t>
            </w:r>
            <w:r>
              <w:rPr>
                <w:b/>
                <w:sz w:val="20"/>
              </w:rPr>
              <w:t>as</w:t>
            </w:r>
            <w:r>
              <w:rPr>
                <w:b/>
                <w:spacing w:val="-14"/>
                <w:sz w:val="20"/>
              </w:rPr>
              <w:t xml:space="preserve"> </w:t>
            </w:r>
            <w:r>
              <w:rPr>
                <w:b/>
                <w:sz w:val="20"/>
              </w:rPr>
              <w:t>% of All Sales</w:t>
            </w:r>
          </w:p>
        </w:tc>
      </w:tr>
      <w:tr w:rsidR="00C31389" w14:paraId="6E986461" w14:textId="77777777">
        <w:trPr>
          <w:trHeight w:val="329"/>
        </w:trPr>
        <w:tc>
          <w:tcPr>
            <w:tcW w:w="1625" w:type="dxa"/>
            <w:tcBorders>
              <w:bottom w:val="single" w:color="D9D9D9" w:sz="2" w:space="0"/>
            </w:tcBorders>
          </w:tcPr>
          <w:p w:rsidR="00C31389" w:rsidRDefault="00561FBD" w14:paraId="1DD935E3" w14:textId="77777777">
            <w:pPr>
              <w:pStyle w:val="TableParagraph"/>
              <w:spacing w:before="50"/>
              <w:ind w:left="122"/>
              <w:rPr>
                <w:sz w:val="20"/>
              </w:rPr>
            </w:pPr>
            <w:r>
              <w:rPr>
                <w:sz w:val="20"/>
              </w:rPr>
              <w:t>Under</w:t>
            </w:r>
            <w:r>
              <w:rPr>
                <w:spacing w:val="-4"/>
                <w:sz w:val="20"/>
              </w:rPr>
              <w:t xml:space="preserve"> </w:t>
            </w:r>
            <w:r>
              <w:rPr>
                <w:spacing w:val="-2"/>
                <w:sz w:val="20"/>
              </w:rPr>
              <w:t>$3,000</w:t>
            </w:r>
          </w:p>
        </w:tc>
        <w:tc>
          <w:tcPr>
            <w:tcW w:w="1693" w:type="dxa"/>
            <w:tcBorders>
              <w:bottom w:val="single" w:color="D9D9D9" w:sz="2" w:space="0"/>
            </w:tcBorders>
          </w:tcPr>
          <w:p w:rsidR="00C31389" w:rsidRDefault="00561FBD" w14:paraId="30F5005C" w14:textId="77777777">
            <w:pPr>
              <w:pStyle w:val="TableParagraph"/>
              <w:spacing w:before="50"/>
              <w:ind w:left="200" w:right="152"/>
              <w:jc w:val="center"/>
              <w:rPr>
                <w:sz w:val="20"/>
              </w:rPr>
            </w:pPr>
            <w:r>
              <w:rPr>
                <w:spacing w:val="-2"/>
                <w:sz w:val="20"/>
              </w:rPr>
              <w:t>12.4%</w:t>
            </w:r>
          </w:p>
        </w:tc>
        <w:tc>
          <w:tcPr>
            <w:tcW w:w="1665" w:type="dxa"/>
            <w:tcBorders>
              <w:bottom w:val="single" w:color="D9D9D9" w:sz="2" w:space="0"/>
            </w:tcBorders>
          </w:tcPr>
          <w:p w:rsidR="00C31389" w:rsidRDefault="00561FBD" w14:paraId="421B9A6B" w14:textId="77777777">
            <w:pPr>
              <w:pStyle w:val="TableParagraph"/>
              <w:spacing w:before="50"/>
              <w:ind w:left="165" w:right="159"/>
              <w:jc w:val="center"/>
              <w:rPr>
                <w:sz w:val="20"/>
              </w:rPr>
            </w:pPr>
            <w:r>
              <w:rPr>
                <w:spacing w:val="-4"/>
                <w:sz w:val="20"/>
              </w:rPr>
              <w:t>0.0%</w:t>
            </w:r>
          </w:p>
        </w:tc>
        <w:tc>
          <w:tcPr>
            <w:tcW w:w="1659" w:type="dxa"/>
            <w:tcBorders>
              <w:bottom w:val="single" w:color="D9D9D9" w:sz="2" w:space="0"/>
            </w:tcBorders>
          </w:tcPr>
          <w:p w:rsidR="00C31389" w:rsidRDefault="00561FBD" w14:paraId="37FFE246" w14:textId="77777777">
            <w:pPr>
              <w:pStyle w:val="TableParagraph"/>
              <w:spacing w:before="50"/>
              <w:ind w:left="160" w:right="159"/>
              <w:jc w:val="center"/>
              <w:rPr>
                <w:sz w:val="20"/>
              </w:rPr>
            </w:pPr>
            <w:r>
              <w:rPr>
                <w:spacing w:val="-4"/>
                <w:sz w:val="20"/>
              </w:rPr>
              <w:t>0.0%</w:t>
            </w:r>
          </w:p>
        </w:tc>
      </w:tr>
      <w:tr w:rsidR="00C31389" w14:paraId="177AEA33" w14:textId="77777777">
        <w:trPr>
          <w:trHeight w:val="329"/>
        </w:trPr>
        <w:tc>
          <w:tcPr>
            <w:tcW w:w="1625" w:type="dxa"/>
            <w:tcBorders>
              <w:top w:val="single" w:color="D9D9D9" w:sz="2" w:space="0"/>
              <w:bottom w:val="single" w:color="D9D9D9" w:sz="2" w:space="0"/>
            </w:tcBorders>
          </w:tcPr>
          <w:p w:rsidR="00C31389" w:rsidRDefault="00561FBD" w14:paraId="674FCBFB" w14:textId="77777777">
            <w:pPr>
              <w:pStyle w:val="TableParagraph"/>
              <w:spacing w:before="50"/>
              <w:ind w:left="122"/>
              <w:rPr>
                <w:sz w:val="20"/>
              </w:rPr>
            </w:pPr>
            <w:r>
              <w:rPr>
                <w:spacing w:val="-2"/>
                <w:sz w:val="20"/>
              </w:rPr>
              <w:t>$3,000-$5,000</w:t>
            </w:r>
          </w:p>
        </w:tc>
        <w:tc>
          <w:tcPr>
            <w:tcW w:w="1693" w:type="dxa"/>
            <w:tcBorders>
              <w:top w:val="single" w:color="D9D9D9" w:sz="2" w:space="0"/>
              <w:bottom w:val="single" w:color="D9D9D9" w:sz="2" w:space="0"/>
            </w:tcBorders>
          </w:tcPr>
          <w:p w:rsidR="00C31389" w:rsidRDefault="00561FBD" w14:paraId="7B514801" w14:textId="77777777">
            <w:pPr>
              <w:pStyle w:val="TableParagraph"/>
              <w:spacing w:before="50"/>
              <w:ind w:left="200" w:right="152"/>
              <w:jc w:val="center"/>
              <w:rPr>
                <w:sz w:val="20"/>
              </w:rPr>
            </w:pPr>
            <w:r>
              <w:rPr>
                <w:spacing w:val="-2"/>
                <w:sz w:val="20"/>
              </w:rPr>
              <w:t>27.0%</w:t>
            </w:r>
          </w:p>
        </w:tc>
        <w:tc>
          <w:tcPr>
            <w:tcW w:w="1665" w:type="dxa"/>
            <w:tcBorders>
              <w:top w:val="single" w:color="D9D9D9" w:sz="2" w:space="0"/>
              <w:bottom w:val="single" w:color="D9D9D9" w:sz="2" w:space="0"/>
            </w:tcBorders>
          </w:tcPr>
          <w:p w:rsidR="00C31389" w:rsidRDefault="00561FBD" w14:paraId="784436CF" w14:textId="77777777">
            <w:pPr>
              <w:pStyle w:val="TableParagraph"/>
              <w:spacing w:before="50"/>
              <w:ind w:left="166" w:right="159"/>
              <w:jc w:val="center"/>
              <w:rPr>
                <w:sz w:val="20"/>
              </w:rPr>
            </w:pPr>
            <w:r>
              <w:rPr>
                <w:spacing w:val="-2"/>
                <w:sz w:val="20"/>
              </w:rPr>
              <w:t>10.0%</w:t>
            </w:r>
          </w:p>
        </w:tc>
        <w:tc>
          <w:tcPr>
            <w:tcW w:w="1659" w:type="dxa"/>
            <w:tcBorders>
              <w:top w:val="single" w:color="D9D9D9" w:sz="2" w:space="0"/>
              <w:bottom w:val="single" w:color="D9D9D9" w:sz="2" w:space="0"/>
            </w:tcBorders>
          </w:tcPr>
          <w:p w:rsidR="00C31389" w:rsidRDefault="00561FBD" w14:paraId="6BF7AB7E" w14:textId="77777777">
            <w:pPr>
              <w:pStyle w:val="TableParagraph"/>
              <w:spacing w:before="50"/>
              <w:ind w:left="160" w:right="159"/>
              <w:jc w:val="center"/>
              <w:rPr>
                <w:sz w:val="20"/>
              </w:rPr>
            </w:pPr>
            <w:r>
              <w:rPr>
                <w:spacing w:val="-4"/>
                <w:sz w:val="20"/>
              </w:rPr>
              <w:t>2.7%</w:t>
            </w:r>
          </w:p>
        </w:tc>
      </w:tr>
      <w:tr w:rsidR="00C31389" w14:paraId="2010D843" w14:textId="77777777">
        <w:trPr>
          <w:trHeight w:val="329"/>
        </w:trPr>
        <w:tc>
          <w:tcPr>
            <w:tcW w:w="1625" w:type="dxa"/>
            <w:tcBorders>
              <w:top w:val="single" w:color="D9D9D9" w:sz="2" w:space="0"/>
              <w:bottom w:val="single" w:color="D9D9D9" w:sz="2" w:space="0"/>
            </w:tcBorders>
          </w:tcPr>
          <w:p w:rsidR="00C31389" w:rsidRDefault="00561FBD" w14:paraId="61776FE1" w14:textId="77777777">
            <w:pPr>
              <w:pStyle w:val="TableParagraph"/>
              <w:spacing w:before="51"/>
              <w:ind w:left="122"/>
              <w:rPr>
                <w:sz w:val="20"/>
              </w:rPr>
            </w:pPr>
            <w:r>
              <w:rPr>
                <w:spacing w:val="-2"/>
                <w:sz w:val="20"/>
              </w:rPr>
              <w:t>$5,000-$7,000</w:t>
            </w:r>
          </w:p>
        </w:tc>
        <w:tc>
          <w:tcPr>
            <w:tcW w:w="1693" w:type="dxa"/>
            <w:tcBorders>
              <w:top w:val="single" w:color="D9D9D9" w:sz="2" w:space="0"/>
              <w:bottom w:val="single" w:color="D9D9D9" w:sz="2" w:space="0"/>
            </w:tcBorders>
          </w:tcPr>
          <w:p w:rsidR="00C31389" w:rsidRDefault="00561FBD" w14:paraId="3E0C0446" w14:textId="77777777">
            <w:pPr>
              <w:pStyle w:val="TableParagraph"/>
              <w:spacing w:before="51"/>
              <w:ind w:left="200" w:right="152"/>
              <w:jc w:val="center"/>
              <w:rPr>
                <w:sz w:val="20"/>
              </w:rPr>
            </w:pPr>
            <w:r>
              <w:rPr>
                <w:spacing w:val="-2"/>
                <w:sz w:val="20"/>
              </w:rPr>
              <w:t>26.3%</w:t>
            </w:r>
          </w:p>
        </w:tc>
        <w:tc>
          <w:tcPr>
            <w:tcW w:w="1665" w:type="dxa"/>
            <w:tcBorders>
              <w:top w:val="single" w:color="D9D9D9" w:sz="2" w:space="0"/>
              <w:bottom w:val="single" w:color="D9D9D9" w:sz="2" w:space="0"/>
            </w:tcBorders>
          </w:tcPr>
          <w:p w:rsidR="00C31389" w:rsidRDefault="00561FBD" w14:paraId="6E0CBCBB" w14:textId="77777777">
            <w:pPr>
              <w:pStyle w:val="TableParagraph"/>
              <w:spacing w:before="51"/>
              <w:ind w:left="166" w:right="159"/>
              <w:jc w:val="center"/>
              <w:rPr>
                <w:sz w:val="20"/>
              </w:rPr>
            </w:pPr>
            <w:r>
              <w:rPr>
                <w:spacing w:val="-2"/>
                <w:sz w:val="20"/>
              </w:rPr>
              <w:t>33.0%</w:t>
            </w:r>
          </w:p>
        </w:tc>
        <w:tc>
          <w:tcPr>
            <w:tcW w:w="1659" w:type="dxa"/>
            <w:tcBorders>
              <w:top w:val="single" w:color="D9D9D9" w:sz="2" w:space="0"/>
              <w:bottom w:val="single" w:color="D9D9D9" w:sz="2" w:space="0"/>
            </w:tcBorders>
          </w:tcPr>
          <w:p w:rsidR="00C31389" w:rsidRDefault="00561FBD" w14:paraId="79B140D3" w14:textId="77777777">
            <w:pPr>
              <w:pStyle w:val="TableParagraph"/>
              <w:spacing w:before="51"/>
              <w:ind w:left="160" w:right="159"/>
              <w:jc w:val="center"/>
              <w:rPr>
                <w:sz w:val="20"/>
              </w:rPr>
            </w:pPr>
            <w:r>
              <w:rPr>
                <w:spacing w:val="-4"/>
                <w:sz w:val="20"/>
              </w:rPr>
              <w:t>8.6%</w:t>
            </w:r>
          </w:p>
        </w:tc>
      </w:tr>
      <w:tr w:rsidR="00C31389" w14:paraId="27F6F15B" w14:textId="77777777">
        <w:trPr>
          <w:trHeight w:val="329"/>
        </w:trPr>
        <w:tc>
          <w:tcPr>
            <w:tcW w:w="1625" w:type="dxa"/>
            <w:tcBorders>
              <w:top w:val="single" w:color="D9D9D9" w:sz="2" w:space="0"/>
              <w:bottom w:val="single" w:color="D9D9D9" w:sz="2" w:space="0"/>
            </w:tcBorders>
          </w:tcPr>
          <w:p w:rsidR="00C31389" w:rsidRDefault="00561FBD" w14:paraId="414554B0" w14:textId="77777777">
            <w:pPr>
              <w:pStyle w:val="TableParagraph"/>
              <w:spacing w:before="51"/>
              <w:ind w:left="122"/>
              <w:rPr>
                <w:sz w:val="20"/>
              </w:rPr>
            </w:pPr>
            <w:r>
              <w:rPr>
                <w:spacing w:val="-2"/>
                <w:sz w:val="20"/>
              </w:rPr>
              <w:t>$7,000-$9,000</w:t>
            </w:r>
          </w:p>
        </w:tc>
        <w:tc>
          <w:tcPr>
            <w:tcW w:w="1693" w:type="dxa"/>
            <w:tcBorders>
              <w:top w:val="single" w:color="D9D9D9" w:sz="2" w:space="0"/>
              <w:bottom w:val="single" w:color="D9D9D9" w:sz="2" w:space="0"/>
            </w:tcBorders>
          </w:tcPr>
          <w:p w:rsidR="00C31389" w:rsidRDefault="00561FBD" w14:paraId="1BCEAF51" w14:textId="77777777">
            <w:pPr>
              <w:pStyle w:val="TableParagraph"/>
              <w:spacing w:before="51"/>
              <w:ind w:left="200" w:right="152"/>
              <w:jc w:val="center"/>
              <w:rPr>
                <w:sz w:val="20"/>
              </w:rPr>
            </w:pPr>
            <w:r>
              <w:rPr>
                <w:spacing w:val="-2"/>
                <w:sz w:val="20"/>
              </w:rPr>
              <w:t>21.8%</w:t>
            </w:r>
          </w:p>
        </w:tc>
        <w:tc>
          <w:tcPr>
            <w:tcW w:w="1665" w:type="dxa"/>
            <w:tcBorders>
              <w:top w:val="single" w:color="D9D9D9" w:sz="2" w:space="0"/>
              <w:bottom w:val="single" w:color="D9D9D9" w:sz="2" w:space="0"/>
            </w:tcBorders>
          </w:tcPr>
          <w:p w:rsidR="00C31389" w:rsidRDefault="00561FBD" w14:paraId="632885EC" w14:textId="77777777">
            <w:pPr>
              <w:pStyle w:val="TableParagraph"/>
              <w:spacing w:before="51"/>
              <w:ind w:left="166" w:right="159"/>
              <w:jc w:val="center"/>
              <w:rPr>
                <w:sz w:val="20"/>
              </w:rPr>
            </w:pPr>
            <w:r>
              <w:rPr>
                <w:spacing w:val="-2"/>
                <w:sz w:val="20"/>
              </w:rPr>
              <w:t>66.0%</w:t>
            </w:r>
          </w:p>
        </w:tc>
        <w:tc>
          <w:tcPr>
            <w:tcW w:w="1659" w:type="dxa"/>
            <w:tcBorders>
              <w:top w:val="single" w:color="D9D9D9" w:sz="2" w:space="0"/>
              <w:bottom w:val="single" w:color="D9D9D9" w:sz="2" w:space="0"/>
            </w:tcBorders>
          </w:tcPr>
          <w:p w:rsidR="00C31389" w:rsidRDefault="00561FBD" w14:paraId="24A6A439" w14:textId="77777777">
            <w:pPr>
              <w:pStyle w:val="TableParagraph"/>
              <w:spacing w:before="51"/>
              <w:ind w:left="161" w:right="159"/>
              <w:jc w:val="center"/>
              <w:rPr>
                <w:sz w:val="20"/>
              </w:rPr>
            </w:pPr>
            <w:r>
              <w:rPr>
                <w:spacing w:val="-2"/>
                <w:sz w:val="20"/>
              </w:rPr>
              <w:t>14.5%</w:t>
            </w:r>
          </w:p>
        </w:tc>
      </w:tr>
      <w:tr w:rsidR="00C31389" w14:paraId="1055C799" w14:textId="77777777">
        <w:trPr>
          <w:trHeight w:val="330"/>
        </w:trPr>
        <w:tc>
          <w:tcPr>
            <w:tcW w:w="1625" w:type="dxa"/>
            <w:tcBorders>
              <w:top w:val="single" w:color="D9D9D9" w:sz="2" w:space="0"/>
              <w:bottom w:val="double" w:color="000000" w:sz="4" w:space="0"/>
            </w:tcBorders>
          </w:tcPr>
          <w:p w:rsidR="00C31389" w:rsidRDefault="00561FBD" w14:paraId="4795F0F2" w14:textId="77777777">
            <w:pPr>
              <w:pStyle w:val="TableParagraph"/>
              <w:spacing w:before="51"/>
              <w:ind w:left="122"/>
              <w:rPr>
                <w:sz w:val="20"/>
              </w:rPr>
            </w:pPr>
            <w:r>
              <w:rPr>
                <w:spacing w:val="-2"/>
                <w:sz w:val="20"/>
              </w:rPr>
              <w:t>$9,000+</w:t>
            </w:r>
          </w:p>
        </w:tc>
        <w:tc>
          <w:tcPr>
            <w:tcW w:w="1693" w:type="dxa"/>
            <w:tcBorders>
              <w:top w:val="single" w:color="D9D9D9" w:sz="2" w:space="0"/>
              <w:bottom w:val="double" w:color="000000" w:sz="4" w:space="0"/>
            </w:tcBorders>
          </w:tcPr>
          <w:p w:rsidR="00C31389" w:rsidRDefault="00561FBD" w14:paraId="5E49594A" w14:textId="77777777">
            <w:pPr>
              <w:pStyle w:val="TableParagraph"/>
              <w:spacing w:before="51"/>
              <w:ind w:left="200" w:right="152"/>
              <w:jc w:val="center"/>
              <w:rPr>
                <w:sz w:val="20"/>
              </w:rPr>
            </w:pPr>
            <w:r>
              <w:rPr>
                <w:spacing w:val="-2"/>
                <w:sz w:val="20"/>
              </w:rPr>
              <w:t>13.5%</w:t>
            </w:r>
          </w:p>
        </w:tc>
        <w:tc>
          <w:tcPr>
            <w:tcW w:w="1665" w:type="dxa"/>
            <w:tcBorders>
              <w:top w:val="single" w:color="D9D9D9" w:sz="2" w:space="0"/>
              <w:bottom w:val="double" w:color="000000" w:sz="4" w:space="0"/>
            </w:tcBorders>
          </w:tcPr>
          <w:p w:rsidR="00C31389" w:rsidRDefault="00561FBD" w14:paraId="3EF362DF" w14:textId="77777777">
            <w:pPr>
              <w:pStyle w:val="TableParagraph"/>
              <w:spacing w:before="51"/>
              <w:ind w:left="166" w:right="159"/>
              <w:jc w:val="center"/>
              <w:rPr>
                <w:sz w:val="20"/>
              </w:rPr>
            </w:pPr>
            <w:r>
              <w:rPr>
                <w:spacing w:val="-2"/>
                <w:sz w:val="20"/>
              </w:rPr>
              <w:t>90.0%</w:t>
            </w:r>
          </w:p>
        </w:tc>
        <w:tc>
          <w:tcPr>
            <w:tcW w:w="1659" w:type="dxa"/>
            <w:tcBorders>
              <w:top w:val="single" w:color="D9D9D9" w:sz="2" w:space="0"/>
              <w:bottom w:val="double" w:color="000000" w:sz="4" w:space="0"/>
            </w:tcBorders>
          </w:tcPr>
          <w:p w:rsidR="00C31389" w:rsidRDefault="00561FBD" w14:paraId="1A24C993" w14:textId="77777777">
            <w:pPr>
              <w:pStyle w:val="TableParagraph"/>
              <w:spacing w:before="51"/>
              <w:ind w:left="161" w:right="159"/>
              <w:jc w:val="center"/>
              <w:rPr>
                <w:sz w:val="20"/>
              </w:rPr>
            </w:pPr>
            <w:r>
              <w:rPr>
                <w:spacing w:val="-2"/>
                <w:sz w:val="20"/>
              </w:rPr>
              <w:t>11.7%</w:t>
            </w:r>
          </w:p>
        </w:tc>
      </w:tr>
      <w:tr w:rsidR="00C31389" w14:paraId="22BABFAC" w14:textId="77777777">
        <w:trPr>
          <w:trHeight w:val="311"/>
        </w:trPr>
        <w:tc>
          <w:tcPr>
            <w:tcW w:w="1625" w:type="dxa"/>
            <w:tcBorders>
              <w:top w:val="double" w:color="000000" w:sz="4" w:space="0"/>
              <w:bottom w:val="single" w:color="000000" w:sz="8" w:space="0"/>
            </w:tcBorders>
          </w:tcPr>
          <w:p w:rsidR="00C31389" w:rsidRDefault="00561FBD" w14:paraId="45D6FF17" w14:textId="77777777">
            <w:pPr>
              <w:pStyle w:val="TableParagraph"/>
              <w:spacing w:before="41"/>
              <w:ind w:left="122"/>
              <w:rPr>
                <w:b/>
                <w:sz w:val="20"/>
              </w:rPr>
            </w:pPr>
            <w:r>
              <w:rPr>
                <w:b/>
                <w:spacing w:val="-2"/>
                <w:sz w:val="20"/>
              </w:rPr>
              <w:t>Total</w:t>
            </w:r>
          </w:p>
        </w:tc>
        <w:tc>
          <w:tcPr>
            <w:tcW w:w="1693" w:type="dxa"/>
            <w:tcBorders>
              <w:top w:val="double" w:color="000000" w:sz="4" w:space="0"/>
              <w:bottom w:val="single" w:color="000000" w:sz="8" w:space="0"/>
            </w:tcBorders>
          </w:tcPr>
          <w:p w:rsidR="00C31389" w:rsidRDefault="00561FBD" w14:paraId="6404EC45" w14:textId="77777777">
            <w:pPr>
              <w:pStyle w:val="TableParagraph"/>
              <w:spacing w:before="41"/>
              <w:ind w:left="200" w:right="152"/>
              <w:jc w:val="center"/>
              <w:rPr>
                <w:b/>
                <w:sz w:val="20"/>
              </w:rPr>
            </w:pPr>
            <w:r>
              <w:rPr>
                <w:b/>
                <w:spacing w:val="-4"/>
                <w:sz w:val="20"/>
              </w:rPr>
              <w:t>100%</w:t>
            </w:r>
          </w:p>
        </w:tc>
        <w:tc>
          <w:tcPr>
            <w:tcW w:w="1665" w:type="dxa"/>
            <w:tcBorders>
              <w:top w:val="double" w:color="000000" w:sz="4" w:space="0"/>
              <w:bottom w:val="single" w:color="000000" w:sz="8" w:space="0"/>
            </w:tcBorders>
          </w:tcPr>
          <w:p w:rsidR="00C31389" w:rsidRDefault="00561FBD" w14:paraId="2BE907E2" w14:textId="77777777">
            <w:pPr>
              <w:pStyle w:val="TableParagraph"/>
              <w:spacing w:before="41"/>
              <w:ind w:left="166" w:right="159"/>
              <w:jc w:val="center"/>
              <w:rPr>
                <w:b/>
                <w:sz w:val="20"/>
              </w:rPr>
            </w:pPr>
            <w:r>
              <w:rPr>
                <w:b/>
                <w:spacing w:val="-2"/>
                <w:sz w:val="20"/>
              </w:rPr>
              <w:t>37.5%</w:t>
            </w:r>
          </w:p>
        </w:tc>
        <w:tc>
          <w:tcPr>
            <w:tcW w:w="1659" w:type="dxa"/>
            <w:tcBorders>
              <w:top w:val="double" w:color="000000" w:sz="4" w:space="0"/>
              <w:bottom w:val="single" w:color="000000" w:sz="8" w:space="0"/>
            </w:tcBorders>
          </w:tcPr>
          <w:p w:rsidR="00C31389" w:rsidRDefault="00561FBD" w14:paraId="25E02366" w14:textId="77777777">
            <w:pPr>
              <w:pStyle w:val="TableParagraph"/>
              <w:spacing w:before="41"/>
              <w:ind w:left="161" w:right="159"/>
              <w:jc w:val="center"/>
              <w:rPr>
                <w:b/>
                <w:sz w:val="20"/>
              </w:rPr>
            </w:pPr>
            <w:r>
              <w:rPr>
                <w:b/>
                <w:spacing w:val="-2"/>
                <w:sz w:val="20"/>
              </w:rPr>
              <w:t>37.5%</w:t>
            </w:r>
          </w:p>
        </w:tc>
      </w:tr>
    </w:tbl>
    <w:p w:rsidR="00C31389" w:rsidRDefault="00561FBD" w14:paraId="7157E520" w14:textId="77777777">
      <w:pPr>
        <w:spacing w:before="73"/>
        <w:ind w:left="480"/>
        <w:rPr>
          <w:i/>
          <w:sz w:val="18"/>
        </w:rPr>
      </w:pPr>
      <w:r>
        <w:rPr>
          <w:i/>
          <w:sz w:val="18"/>
        </w:rPr>
        <w:t>Source:</w:t>
      </w:r>
      <w:r>
        <w:rPr>
          <w:i/>
          <w:spacing w:val="-3"/>
          <w:sz w:val="18"/>
        </w:rPr>
        <w:t xml:space="preserve"> </w:t>
      </w:r>
      <w:r>
        <w:rPr>
          <w:i/>
          <w:sz w:val="18"/>
        </w:rPr>
        <w:t>Tierra</w:t>
      </w:r>
      <w:r>
        <w:rPr>
          <w:i/>
          <w:spacing w:val="-3"/>
          <w:sz w:val="18"/>
        </w:rPr>
        <w:t xml:space="preserve"> </w:t>
      </w:r>
      <w:r>
        <w:rPr>
          <w:i/>
          <w:sz w:val="18"/>
        </w:rPr>
        <w:t>Resource</w:t>
      </w:r>
      <w:r>
        <w:rPr>
          <w:i/>
          <w:spacing w:val="-3"/>
          <w:sz w:val="18"/>
        </w:rPr>
        <w:t xml:space="preserve"> </w:t>
      </w:r>
      <w:r>
        <w:rPr>
          <w:i/>
          <w:spacing w:val="-2"/>
          <w:sz w:val="18"/>
        </w:rPr>
        <w:t>Consultants</w:t>
      </w:r>
    </w:p>
    <w:p w:rsidR="00C31389" w:rsidRDefault="00C31389" w14:paraId="53FDECF1" w14:textId="77777777">
      <w:pPr>
        <w:rPr>
          <w:sz w:val="18"/>
        </w:rPr>
        <w:sectPr w:rsidR="00C31389">
          <w:headerReference w:type="default" r:id="rId216"/>
          <w:footerReference w:type="default" r:id="rId217"/>
          <w:pgSz w:w="11910" w:h="16840"/>
          <w:pgMar w:top="1380" w:right="1020" w:bottom="1120" w:left="960" w:header="397" w:footer="938" w:gutter="0"/>
          <w:cols w:space="720"/>
        </w:sectPr>
      </w:pPr>
    </w:p>
    <w:p w:rsidR="00C31389" w:rsidRDefault="00C31389" w14:paraId="4F77BE2E" w14:textId="77777777">
      <w:pPr>
        <w:pStyle w:val="BodyText"/>
        <w:spacing w:before="11"/>
        <w:rPr>
          <w:i/>
          <w:sz w:val="13"/>
        </w:rPr>
      </w:pPr>
    </w:p>
    <w:p w:rsidR="00C31389" w:rsidRDefault="00561FBD" w14:paraId="3FC7C261" w14:textId="77777777">
      <w:pPr>
        <w:pStyle w:val="ListParagraph"/>
        <w:numPr>
          <w:ilvl w:val="0"/>
          <w:numId w:val="22"/>
        </w:numPr>
        <w:tabs>
          <w:tab w:val="left" w:pos="838"/>
          <w:tab w:val="left" w:pos="840"/>
        </w:tabs>
        <w:spacing w:before="92"/>
        <w:ind w:left="840" w:right="538" w:hanging="361"/>
      </w:pPr>
      <w:r>
        <w:t xml:space="preserve">The </w:t>
      </w:r>
      <w:r>
        <w:rPr>
          <w:i/>
        </w:rPr>
        <w:t xml:space="preserve">2014-16 HVAC Permit and Code </w:t>
      </w:r>
      <w:r>
        <w:rPr>
          <w:i/>
        </w:rPr>
        <w:t>Compliance Market Assessment</w:t>
      </w:r>
      <w:r>
        <w:rPr>
          <w:i/>
          <w:spacing w:val="-38"/>
        </w:rPr>
        <w:t xml:space="preserve"> </w:t>
      </w:r>
      <w:hyperlink w:history="1" w:anchor="_bookmark252">
        <w:r>
          <w:rPr>
            <w:position w:val="7"/>
            <w:sz w:val="14"/>
          </w:rPr>
          <w:t>78</w:t>
        </w:r>
      </w:hyperlink>
      <w:r>
        <w:rPr>
          <w:spacing w:val="26"/>
          <w:position w:val="7"/>
          <w:sz w:val="14"/>
        </w:rPr>
        <w:t xml:space="preserve"> </w:t>
      </w:r>
      <w:r>
        <w:t xml:space="preserve">reviewed EUL values by climate region and equipment type, as </w:t>
      </w:r>
      <w:hyperlink w:history="1" w:anchor="_bookmark251">
        <w:r>
          <w:t>Table B-4.</w:t>
        </w:r>
      </w:hyperlink>
      <w:r>
        <w:t xml:space="preserve"> summarizes; </w:t>
      </w:r>
      <w:hyperlink w:history="1" w:anchor="_bookmark253">
        <w:r>
          <w:t>Figure B-3.</w:t>
        </w:r>
      </w:hyperlink>
      <w:r>
        <w:t xml:space="preserve"> shows the geographic regions defined in the study. </w:t>
      </w:r>
      <w:hyperlink w:history="1" w:anchor="_bookmark251">
        <w:r>
          <w:t>Table B-4.</w:t>
        </w:r>
      </w:hyperlink>
      <w:r>
        <w:t xml:space="preserve"> in</w:t>
      </w:r>
      <w:r>
        <w:t>dicates that the EUL of AC</w:t>
      </w:r>
      <w:r>
        <w:rPr>
          <w:spacing w:val="-4"/>
        </w:rPr>
        <w:t xml:space="preserve"> </w:t>
      </w:r>
      <w:r>
        <w:t>systems</w:t>
      </w:r>
      <w:r>
        <w:rPr>
          <w:spacing w:val="-3"/>
        </w:rPr>
        <w:t xml:space="preserve"> </w:t>
      </w:r>
      <w:r>
        <w:t>and</w:t>
      </w:r>
      <w:r>
        <w:rPr>
          <w:spacing w:val="-3"/>
        </w:rPr>
        <w:t xml:space="preserve"> </w:t>
      </w:r>
      <w:r>
        <w:t>furnaces</w:t>
      </w:r>
      <w:r>
        <w:rPr>
          <w:spacing w:val="-3"/>
        </w:rPr>
        <w:t xml:space="preserve"> </w:t>
      </w:r>
      <w:r>
        <w:t>is</w:t>
      </w:r>
      <w:r>
        <w:rPr>
          <w:spacing w:val="-3"/>
        </w:rPr>
        <w:t xml:space="preserve"> </w:t>
      </w:r>
      <w:r>
        <w:t>roughly</w:t>
      </w:r>
      <w:r>
        <w:rPr>
          <w:spacing w:val="-4"/>
        </w:rPr>
        <w:t xml:space="preserve"> </w:t>
      </w:r>
      <w:r>
        <w:t>the</w:t>
      </w:r>
      <w:r>
        <w:rPr>
          <w:spacing w:val="-3"/>
        </w:rPr>
        <w:t xml:space="preserve"> </w:t>
      </w:r>
      <w:r>
        <w:t>same</w:t>
      </w:r>
      <w:r>
        <w:rPr>
          <w:spacing w:val="-3"/>
        </w:rPr>
        <w:t xml:space="preserve"> </w:t>
      </w:r>
      <w:r>
        <w:t>in</w:t>
      </w:r>
      <w:r>
        <w:rPr>
          <w:spacing w:val="-3"/>
        </w:rPr>
        <w:t xml:space="preserve"> </w:t>
      </w:r>
      <w:r>
        <w:t>the</w:t>
      </w:r>
      <w:r>
        <w:rPr>
          <w:spacing w:val="-3"/>
        </w:rPr>
        <w:t xml:space="preserve"> </w:t>
      </w:r>
      <w:r>
        <w:t>South</w:t>
      </w:r>
      <w:r>
        <w:rPr>
          <w:spacing w:val="-3"/>
        </w:rPr>
        <w:t xml:space="preserve"> </w:t>
      </w:r>
      <w:r>
        <w:t>Coast</w:t>
      </w:r>
      <w:r>
        <w:rPr>
          <w:spacing w:val="-3"/>
        </w:rPr>
        <w:t xml:space="preserve"> </w:t>
      </w:r>
      <w:r>
        <w:t>region,</w:t>
      </w:r>
      <w:r>
        <w:rPr>
          <w:spacing w:val="-4"/>
        </w:rPr>
        <w:t xml:space="preserve"> </w:t>
      </w:r>
      <w:r>
        <w:t>while</w:t>
      </w:r>
      <w:r>
        <w:rPr>
          <w:spacing w:val="-3"/>
        </w:rPr>
        <w:t xml:space="preserve"> </w:t>
      </w:r>
      <w:r>
        <w:t>furnaces in the North Coast have EULs that are 57% of the AC EULs, likely the result of longer annual run hours due to the colder climate. In contrast, all</w:t>
      </w:r>
      <w:r>
        <w:t xml:space="preserve"> inland regions have furnace EULs that exceed the AC EUL, but the extent varies by location. The average inland EUL is 14 years for AC systems and 22 years for furnaces. </w:t>
      </w:r>
      <w:hyperlink w:history="1" w:anchor="_bookmark254">
        <w:r>
          <w:t>Figure B-4.</w:t>
        </w:r>
      </w:hyperlink>
      <w:r>
        <w:t xml:space="preserve"> illustra</w:t>
      </w:r>
      <w:r>
        <w:t xml:space="preserve">tes the differences in AC and gas furnace EULs by the study climate regions defined in </w:t>
      </w:r>
      <w:hyperlink w:history="1" w:anchor="_bookmark251">
        <w:r>
          <w:t>Table</w:t>
        </w:r>
      </w:hyperlink>
    </w:p>
    <w:p w:rsidR="00C31389" w:rsidRDefault="00561FBD" w14:paraId="6D78CAA4" w14:textId="77777777">
      <w:pPr>
        <w:pStyle w:val="BodyText"/>
        <w:spacing w:line="253" w:lineRule="exact"/>
        <w:ind w:left="840"/>
      </w:pPr>
      <w:hyperlink w:history="1" w:anchor="_bookmark251">
        <w:r>
          <w:rPr>
            <w:spacing w:val="-4"/>
          </w:rPr>
          <w:t>B-</w:t>
        </w:r>
        <w:r>
          <w:rPr>
            <w:spacing w:val="-5"/>
          </w:rPr>
          <w:t>4.</w:t>
        </w:r>
      </w:hyperlink>
      <w:r>
        <w:rPr>
          <w:spacing w:val="-5"/>
        </w:rPr>
        <w:t>.</w:t>
      </w:r>
    </w:p>
    <w:p w:rsidR="00C31389" w:rsidRDefault="00C31389" w14:paraId="4E02F9C0" w14:textId="77777777">
      <w:pPr>
        <w:pStyle w:val="BodyText"/>
        <w:spacing w:before="11"/>
        <w:rPr>
          <w:sz w:val="20"/>
        </w:rPr>
      </w:pPr>
    </w:p>
    <w:p w:rsidR="00C31389" w:rsidRDefault="00561FBD" w14:paraId="63342479" w14:textId="77777777">
      <w:pPr>
        <w:pStyle w:val="Heading7"/>
        <w:ind w:left="398" w:right="337"/>
        <w:jc w:val="center"/>
      </w:pPr>
      <w:bookmarkStart w:name="_bookmark251" w:id="337"/>
      <w:bookmarkEnd w:id="337"/>
      <w:r>
        <w:t>Table</w:t>
      </w:r>
      <w:r>
        <w:rPr>
          <w:spacing w:val="-7"/>
        </w:rPr>
        <w:t xml:space="preserve"> </w:t>
      </w:r>
      <w:r>
        <w:t>B-4.</w:t>
      </w:r>
      <w:r>
        <w:rPr>
          <w:spacing w:val="-8"/>
        </w:rPr>
        <w:t xml:space="preserve"> </w:t>
      </w:r>
      <w:r>
        <w:t>EULs</w:t>
      </w:r>
      <w:r>
        <w:rPr>
          <w:spacing w:val="-7"/>
        </w:rPr>
        <w:t xml:space="preserve"> </w:t>
      </w:r>
      <w:r>
        <w:t>by</w:t>
      </w:r>
      <w:r>
        <w:rPr>
          <w:spacing w:val="-6"/>
        </w:rPr>
        <w:t xml:space="preserve"> </w:t>
      </w:r>
      <w:r>
        <w:t>Climate</w:t>
      </w:r>
      <w:r>
        <w:rPr>
          <w:spacing w:val="-7"/>
        </w:rPr>
        <w:t xml:space="preserve"> </w:t>
      </w:r>
      <w:r>
        <w:t>Region</w:t>
      </w:r>
      <w:r>
        <w:rPr>
          <w:spacing w:val="-7"/>
        </w:rPr>
        <w:t xml:space="preserve"> </w:t>
      </w:r>
      <w:r>
        <w:t>and</w:t>
      </w:r>
      <w:r>
        <w:rPr>
          <w:spacing w:val="-7"/>
        </w:rPr>
        <w:t xml:space="preserve"> </w:t>
      </w:r>
      <w:r>
        <w:t>Equipment</w:t>
      </w:r>
      <w:r>
        <w:rPr>
          <w:spacing w:val="-6"/>
        </w:rPr>
        <w:t xml:space="preserve"> </w:t>
      </w:r>
      <w:r>
        <w:rPr>
          <w:spacing w:val="-4"/>
        </w:rPr>
        <w:t>Type</w:t>
      </w:r>
    </w:p>
    <w:p w:rsidR="00C31389" w:rsidRDefault="00C31389" w14:paraId="62681B1C" w14:textId="77777777">
      <w:pPr>
        <w:pStyle w:val="BodyText"/>
        <w:spacing w:before="6" w:after="1"/>
        <w:rPr>
          <w:b/>
          <w:sz w:val="9"/>
        </w:rPr>
      </w:pPr>
    </w:p>
    <w:tbl>
      <w:tblPr>
        <w:tblW w:w="0" w:type="auto"/>
        <w:tblInd w:w="625" w:type="dxa"/>
        <w:tblLayout w:type="fixed"/>
        <w:tblCellMar>
          <w:left w:w="0" w:type="dxa"/>
          <w:right w:w="0" w:type="dxa"/>
        </w:tblCellMar>
        <w:tblLook w:val="01E0" w:firstRow="1" w:lastRow="1" w:firstColumn="1" w:lastColumn="1" w:noHBand="0" w:noVBand="0"/>
      </w:tblPr>
      <w:tblGrid>
        <w:gridCol w:w="3254"/>
        <w:gridCol w:w="1517"/>
        <w:gridCol w:w="1798"/>
        <w:gridCol w:w="2173"/>
      </w:tblGrid>
      <w:tr w:rsidR="00C31389" w14:paraId="2F885F32" w14:textId="77777777">
        <w:trPr>
          <w:trHeight w:val="746"/>
        </w:trPr>
        <w:tc>
          <w:tcPr>
            <w:tcW w:w="3254" w:type="dxa"/>
            <w:shd w:val="clear" w:color="auto" w:fill="92D400"/>
          </w:tcPr>
          <w:p w:rsidR="00C31389" w:rsidRDefault="00C31389" w14:paraId="4EE4E341" w14:textId="77777777">
            <w:pPr>
              <w:pStyle w:val="TableParagraph"/>
              <w:spacing w:before="9"/>
              <w:rPr>
                <w:b/>
                <w:sz w:val="23"/>
              </w:rPr>
            </w:pPr>
          </w:p>
          <w:p w:rsidR="00C31389" w:rsidRDefault="00561FBD" w14:paraId="3DEF0589" w14:textId="77777777">
            <w:pPr>
              <w:pStyle w:val="TableParagraph"/>
              <w:spacing w:before="1"/>
              <w:ind w:left="122"/>
              <w:rPr>
                <w:b/>
                <w:sz w:val="20"/>
              </w:rPr>
            </w:pPr>
            <w:r>
              <w:rPr>
                <w:b/>
                <w:spacing w:val="-2"/>
                <w:sz w:val="20"/>
              </w:rPr>
              <w:t>Region</w:t>
            </w:r>
          </w:p>
        </w:tc>
        <w:tc>
          <w:tcPr>
            <w:tcW w:w="1517" w:type="dxa"/>
            <w:shd w:val="clear" w:color="auto" w:fill="92D400"/>
          </w:tcPr>
          <w:p w:rsidR="00C31389" w:rsidRDefault="00561FBD" w14:paraId="15B43935" w14:textId="77777777">
            <w:pPr>
              <w:pStyle w:val="TableParagraph"/>
              <w:spacing w:before="159"/>
              <w:ind w:left="558" w:right="237" w:hanging="318"/>
              <w:rPr>
                <w:b/>
                <w:sz w:val="20"/>
              </w:rPr>
            </w:pPr>
            <w:r>
              <w:rPr>
                <w:b/>
                <w:sz w:val="20"/>
              </w:rPr>
              <w:t>Central</w:t>
            </w:r>
            <w:r>
              <w:rPr>
                <w:b/>
                <w:spacing w:val="-14"/>
                <w:sz w:val="20"/>
              </w:rPr>
              <w:t xml:space="preserve"> </w:t>
            </w:r>
            <w:r>
              <w:rPr>
                <w:b/>
                <w:sz w:val="20"/>
              </w:rPr>
              <w:t xml:space="preserve">AC </w:t>
            </w:r>
            <w:r>
              <w:rPr>
                <w:b/>
                <w:spacing w:val="-4"/>
                <w:sz w:val="20"/>
              </w:rPr>
              <w:t>EUL</w:t>
            </w:r>
          </w:p>
        </w:tc>
        <w:tc>
          <w:tcPr>
            <w:tcW w:w="1798" w:type="dxa"/>
            <w:shd w:val="clear" w:color="auto" w:fill="92D400"/>
          </w:tcPr>
          <w:p w:rsidR="00C31389" w:rsidRDefault="00561FBD" w14:paraId="3E0350F7" w14:textId="77777777">
            <w:pPr>
              <w:pStyle w:val="TableParagraph"/>
              <w:spacing w:before="44"/>
              <w:ind w:left="299" w:firstLine="217"/>
              <w:rPr>
                <w:b/>
                <w:sz w:val="20"/>
              </w:rPr>
            </w:pPr>
            <w:r>
              <w:rPr>
                <w:b/>
                <w:spacing w:val="-2"/>
                <w:sz w:val="20"/>
              </w:rPr>
              <w:t>Central</w:t>
            </w:r>
          </w:p>
          <w:p w:rsidR="00C31389" w:rsidRDefault="00561FBD" w14:paraId="2045DBBD" w14:textId="77777777">
            <w:pPr>
              <w:pStyle w:val="TableParagraph"/>
              <w:spacing w:before="0" w:line="230" w:lineRule="exact"/>
              <w:ind w:left="243" w:right="315" w:firstLine="55"/>
              <w:rPr>
                <w:b/>
                <w:sz w:val="20"/>
              </w:rPr>
            </w:pPr>
            <w:r>
              <w:rPr>
                <w:b/>
                <w:sz w:val="20"/>
              </w:rPr>
              <w:t>Natural Gas Furnace</w:t>
            </w:r>
            <w:r>
              <w:rPr>
                <w:b/>
                <w:spacing w:val="-14"/>
                <w:sz w:val="20"/>
              </w:rPr>
              <w:t xml:space="preserve"> </w:t>
            </w:r>
            <w:r>
              <w:rPr>
                <w:b/>
                <w:sz w:val="20"/>
              </w:rPr>
              <w:t>EUL</w:t>
            </w:r>
          </w:p>
        </w:tc>
        <w:tc>
          <w:tcPr>
            <w:tcW w:w="2173" w:type="dxa"/>
            <w:shd w:val="clear" w:color="auto" w:fill="92D400"/>
          </w:tcPr>
          <w:p w:rsidR="00C31389" w:rsidRDefault="00561FBD" w14:paraId="330BAA7E" w14:textId="77777777">
            <w:pPr>
              <w:pStyle w:val="TableParagraph"/>
              <w:spacing w:before="44"/>
              <w:ind w:left="737" w:right="906"/>
              <w:jc w:val="center"/>
              <w:rPr>
                <w:b/>
                <w:sz w:val="20"/>
              </w:rPr>
            </w:pPr>
            <w:r>
              <w:rPr>
                <w:b/>
                <w:spacing w:val="-2"/>
                <w:sz w:val="20"/>
              </w:rPr>
              <w:t>Ratio</w:t>
            </w:r>
          </w:p>
          <w:p w:rsidR="00C31389" w:rsidRDefault="00561FBD" w14:paraId="61986C87" w14:textId="77777777">
            <w:pPr>
              <w:pStyle w:val="TableParagraph"/>
              <w:spacing w:before="0" w:line="230" w:lineRule="exact"/>
              <w:ind w:left="322" w:right="491"/>
              <w:jc w:val="center"/>
              <w:rPr>
                <w:b/>
                <w:sz w:val="20"/>
              </w:rPr>
            </w:pPr>
            <w:r>
              <w:rPr>
                <w:b/>
                <w:sz w:val="20"/>
              </w:rPr>
              <w:t>(Furnace</w:t>
            </w:r>
            <w:r>
              <w:rPr>
                <w:b/>
                <w:spacing w:val="-14"/>
                <w:sz w:val="20"/>
              </w:rPr>
              <w:t xml:space="preserve"> </w:t>
            </w:r>
            <w:r>
              <w:rPr>
                <w:b/>
                <w:sz w:val="20"/>
              </w:rPr>
              <w:t>EUL/ AC EUL)</w:t>
            </w:r>
          </w:p>
        </w:tc>
      </w:tr>
      <w:tr w:rsidR="00C31389" w14:paraId="59DCB983" w14:textId="77777777">
        <w:trPr>
          <w:trHeight w:val="299"/>
        </w:trPr>
        <w:tc>
          <w:tcPr>
            <w:tcW w:w="3254" w:type="dxa"/>
            <w:tcBorders>
              <w:bottom w:val="single" w:color="D9D9D9" w:sz="2" w:space="0"/>
            </w:tcBorders>
          </w:tcPr>
          <w:p w:rsidR="00C31389" w:rsidRDefault="00561FBD" w14:paraId="1DB8C713" w14:textId="77777777">
            <w:pPr>
              <w:pStyle w:val="TableParagraph"/>
              <w:spacing w:before="56" w:line="224" w:lineRule="exact"/>
              <w:ind w:left="122"/>
              <w:rPr>
                <w:sz w:val="20"/>
              </w:rPr>
            </w:pPr>
            <w:r>
              <w:rPr>
                <w:sz w:val="20"/>
              </w:rPr>
              <w:t>North</w:t>
            </w:r>
            <w:r>
              <w:rPr>
                <w:spacing w:val="-3"/>
                <w:sz w:val="20"/>
              </w:rPr>
              <w:t xml:space="preserve"> </w:t>
            </w:r>
            <w:r>
              <w:rPr>
                <w:sz w:val="20"/>
              </w:rPr>
              <w:t>Coast:</w:t>
            </w:r>
            <w:r>
              <w:rPr>
                <w:spacing w:val="-2"/>
                <w:sz w:val="20"/>
              </w:rPr>
              <w:t xml:space="preserve"> </w:t>
            </w:r>
            <w:r>
              <w:rPr>
                <w:sz w:val="20"/>
              </w:rPr>
              <w:t>CZ</w:t>
            </w:r>
            <w:r>
              <w:rPr>
                <w:spacing w:val="-2"/>
                <w:sz w:val="20"/>
              </w:rPr>
              <w:t xml:space="preserve"> </w:t>
            </w:r>
            <w:r>
              <w:rPr>
                <w:sz w:val="20"/>
              </w:rPr>
              <w:t>1,</w:t>
            </w:r>
            <w:r>
              <w:rPr>
                <w:spacing w:val="-2"/>
                <w:sz w:val="20"/>
              </w:rPr>
              <w:t xml:space="preserve"> </w:t>
            </w:r>
            <w:r>
              <w:rPr>
                <w:sz w:val="20"/>
              </w:rPr>
              <w:t>3,</w:t>
            </w:r>
            <w:r>
              <w:rPr>
                <w:spacing w:val="-1"/>
                <w:sz w:val="20"/>
              </w:rPr>
              <w:t xml:space="preserve"> </w:t>
            </w:r>
            <w:r>
              <w:rPr>
                <w:spacing w:val="-10"/>
                <w:sz w:val="20"/>
              </w:rPr>
              <w:t>5</w:t>
            </w:r>
          </w:p>
        </w:tc>
        <w:tc>
          <w:tcPr>
            <w:tcW w:w="1517" w:type="dxa"/>
            <w:tcBorders>
              <w:bottom w:val="single" w:color="D9D9D9" w:sz="2" w:space="0"/>
            </w:tcBorders>
          </w:tcPr>
          <w:p w:rsidR="00C31389" w:rsidRDefault="00561FBD" w14:paraId="54B9E96F" w14:textId="77777777">
            <w:pPr>
              <w:pStyle w:val="TableParagraph"/>
              <w:spacing w:before="56" w:line="224" w:lineRule="exact"/>
              <w:ind w:left="632" w:right="632"/>
              <w:jc w:val="center"/>
              <w:rPr>
                <w:sz w:val="20"/>
              </w:rPr>
            </w:pPr>
            <w:r>
              <w:rPr>
                <w:spacing w:val="-5"/>
                <w:sz w:val="20"/>
              </w:rPr>
              <w:t>30</w:t>
            </w:r>
          </w:p>
        </w:tc>
        <w:tc>
          <w:tcPr>
            <w:tcW w:w="1798" w:type="dxa"/>
            <w:tcBorders>
              <w:bottom w:val="single" w:color="D9D9D9" w:sz="2" w:space="0"/>
            </w:tcBorders>
          </w:tcPr>
          <w:p w:rsidR="00C31389" w:rsidRDefault="00561FBD" w14:paraId="7B3D36BD" w14:textId="77777777">
            <w:pPr>
              <w:pStyle w:val="TableParagraph"/>
              <w:spacing w:before="56" w:line="224" w:lineRule="exact"/>
              <w:ind w:left="736" w:right="808"/>
              <w:jc w:val="center"/>
              <w:rPr>
                <w:sz w:val="20"/>
              </w:rPr>
            </w:pPr>
            <w:r>
              <w:rPr>
                <w:spacing w:val="-5"/>
                <w:sz w:val="20"/>
              </w:rPr>
              <w:t>17</w:t>
            </w:r>
          </w:p>
        </w:tc>
        <w:tc>
          <w:tcPr>
            <w:tcW w:w="2173" w:type="dxa"/>
            <w:tcBorders>
              <w:bottom w:val="single" w:color="D9D9D9" w:sz="2" w:space="0"/>
            </w:tcBorders>
          </w:tcPr>
          <w:p w:rsidR="00C31389" w:rsidRDefault="00561FBD" w14:paraId="7669F4AE" w14:textId="77777777">
            <w:pPr>
              <w:pStyle w:val="TableParagraph"/>
              <w:spacing w:before="56" w:line="224" w:lineRule="exact"/>
              <w:ind w:left="806"/>
              <w:rPr>
                <w:sz w:val="20"/>
              </w:rPr>
            </w:pPr>
            <w:r>
              <w:rPr>
                <w:spacing w:val="-4"/>
                <w:sz w:val="20"/>
              </w:rPr>
              <w:t>0.57</w:t>
            </w:r>
          </w:p>
        </w:tc>
      </w:tr>
      <w:tr w:rsidR="00C31389" w14:paraId="2B3FC2E3" w14:textId="77777777">
        <w:trPr>
          <w:trHeight w:val="300"/>
        </w:trPr>
        <w:tc>
          <w:tcPr>
            <w:tcW w:w="3254" w:type="dxa"/>
            <w:tcBorders>
              <w:top w:val="single" w:color="D9D9D9" w:sz="2" w:space="0"/>
              <w:bottom w:val="single" w:color="D9D9D9" w:sz="2" w:space="0"/>
            </w:tcBorders>
          </w:tcPr>
          <w:p w:rsidR="00C31389" w:rsidRDefault="00561FBD" w14:paraId="03C5ABA3" w14:textId="77777777">
            <w:pPr>
              <w:pStyle w:val="TableParagraph"/>
              <w:spacing w:before="56" w:line="225" w:lineRule="exact"/>
              <w:ind w:left="122"/>
              <w:rPr>
                <w:sz w:val="20"/>
              </w:rPr>
            </w:pPr>
            <w:r>
              <w:rPr>
                <w:sz w:val="20"/>
              </w:rPr>
              <w:t>North</w:t>
            </w:r>
            <w:r>
              <w:rPr>
                <w:spacing w:val="-2"/>
                <w:sz w:val="20"/>
              </w:rPr>
              <w:t xml:space="preserve"> </w:t>
            </w:r>
            <w:r>
              <w:rPr>
                <w:sz w:val="20"/>
              </w:rPr>
              <w:t>Inland:</w:t>
            </w:r>
            <w:r>
              <w:rPr>
                <w:spacing w:val="-2"/>
                <w:sz w:val="20"/>
              </w:rPr>
              <w:t xml:space="preserve"> </w:t>
            </w:r>
            <w:r>
              <w:rPr>
                <w:sz w:val="20"/>
              </w:rPr>
              <w:t>CZ</w:t>
            </w:r>
            <w:r>
              <w:rPr>
                <w:spacing w:val="-2"/>
                <w:sz w:val="20"/>
              </w:rPr>
              <w:t xml:space="preserve"> </w:t>
            </w:r>
            <w:r>
              <w:rPr>
                <w:sz w:val="20"/>
              </w:rPr>
              <w:t>2,</w:t>
            </w:r>
            <w:r>
              <w:rPr>
                <w:spacing w:val="-2"/>
                <w:sz w:val="20"/>
              </w:rPr>
              <w:t xml:space="preserve"> </w:t>
            </w:r>
            <w:r>
              <w:rPr>
                <w:sz w:val="20"/>
              </w:rPr>
              <w:t>11,</w:t>
            </w:r>
            <w:r>
              <w:rPr>
                <w:spacing w:val="-2"/>
                <w:sz w:val="20"/>
              </w:rPr>
              <w:t xml:space="preserve"> </w:t>
            </w:r>
            <w:r>
              <w:rPr>
                <w:spacing w:val="-7"/>
                <w:sz w:val="20"/>
              </w:rPr>
              <w:t>16</w:t>
            </w:r>
          </w:p>
        </w:tc>
        <w:tc>
          <w:tcPr>
            <w:tcW w:w="1517" w:type="dxa"/>
            <w:tcBorders>
              <w:top w:val="single" w:color="D9D9D9" w:sz="2" w:space="0"/>
              <w:bottom w:val="single" w:color="D9D9D9" w:sz="2" w:space="0"/>
            </w:tcBorders>
          </w:tcPr>
          <w:p w:rsidR="00C31389" w:rsidRDefault="00561FBD" w14:paraId="515645E9" w14:textId="77777777">
            <w:pPr>
              <w:pStyle w:val="TableParagraph"/>
              <w:spacing w:before="56" w:line="225" w:lineRule="exact"/>
              <w:ind w:left="632" w:right="632"/>
              <w:jc w:val="center"/>
              <w:rPr>
                <w:sz w:val="20"/>
              </w:rPr>
            </w:pPr>
            <w:r>
              <w:rPr>
                <w:spacing w:val="-5"/>
                <w:sz w:val="20"/>
              </w:rPr>
              <w:t>16</w:t>
            </w:r>
          </w:p>
        </w:tc>
        <w:tc>
          <w:tcPr>
            <w:tcW w:w="1798" w:type="dxa"/>
            <w:tcBorders>
              <w:top w:val="single" w:color="D9D9D9" w:sz="2" w:space="0"/>
              <w:bottom w:val="single" w:color="D9D9D9" w:sz="2" w:space="0"/>
            </w:tcBorders>
          </w:tcPr>
          <w:p w:rsidR="00C31389" w:rsidRDefault="00561FBD" w14:paraId="75C4D03C" w14:textId="77777777">
            <w:pPr>
              <w:pStyle w:val="TableParagraph"/>
              <w:spacing w:before="56" w:line="225" w:lineRule="exact"/>
              <w:ind w:left="736" w:right="808"/>
              <w:jc w:val="center"/>
              <w:rPr>
                <w:sz w:val="20"/>
              </w:rPr>
            </w:pPr>
            <w:r>
              <w:rPr>
                <w:spacing w:val="-5"/>
                <w:sz w:val="20"/>
              </w:rPr>
              <w:t>17</w:t>
            </w:r>
          </w:p>
        </w:tc>
        <w:tc>
          <w:tcPr>
            <w:tcW w:w="2173" w:type="dxa"/>
            <w:tcBorders>
              <w:top w:val="single" w:color="D9D9D9" w:sz="2" w:space="0"/>
              <w:bottom w:val="single" w:color="D9D9D9" w:sz="2" w:space="0"/>
            </w:tcBorders>
          </w:tcPr>
          <w:p w:rsidR="00C31389" w:rsidRDefault="00561FBD" w14:paraId="1A7590C6" w14:textId="77777777">
            <w:pPr>
              <w:pStyle w:val="TableParagraph"/>
              <w:spacing w:before="56" w:line="225" w:lineRule="exact"/>
              <w:ind w:left="806"/>
              <w:rPr>
                <w:sz w:val="20"/>
              </w:rPr>
            </w:pPr>
            <w:r>
              <w:rPr>
                <w:spacing w:val="-4"/>
                <w:sz w:val="20"/>
              </w:rPr>
              <w:t>1.06</w:t>
            </w:r>
          </w:p>
        </w:tc>
      </w:tr>
      <w:tr w:rsidR="00C31389" w14:paraId="54ADABF6" w14:textId="77777777">
        <w:trPr>
          <w:trHeight w:val="299"/>
        </w:trPr>
        <w:tc>
          <w:tcPr>
            <w:tcW w:w="3254" w:type="dxa"/>
            <w:tcBorders>
              <w:top w:val="single" w:color="D9D9D9" w:sz="2" w:space="0"/>
              <w:bottom w:val="single" w:color="D9D9D9" w:sz="2" w:space="0"/>
            </w:tcBorders>
          </w:tcPr>
          <w:p w:rsidR="00C31389" w:rsidRDefault="00561FBD" w14:paraId="482458D4" w14:textId="77777777">
            <w:pPr>
              <w:pStyle w:val="TableParagraph"/>
              <w:spacing w:before="54" w:line="225" w:lineRule="exact"/>
              <w:ind w:left="122"/>
              <w:rPr>
                <w:sz w:val="20"/>
              </w:rPr>
            </w:pPr>
            <w:r>
              <w:rPr>
                <w:sz w:val="20"/>
              </w:rPr>
              <w:t>Central</w:t>
            </w:r>
            <w:r>
              <w:rPr>
                <w:spacing w:val="-3"/>
                <w:sz w:val="20"/>
              </w:rPr>
              <w:t xml:space="preserve"> </w:t>
            </w:r>
            <w:r>
              <w:rPr>
                <w:sz w:val="20"/>
              </w:rPr>
              <w:t>Inland:</w:t>
            </w:r>
            <w:r>
              <w:rPr>
                <w:spacing w:val="-2"/>
                <w:sz w:val="20"/>
              </w:rPr>
              <w:t xml:space="preserve"> </w:t>
            </w:r>
            <w:r>
              <w:rPr>
                <w:sz w:val="20"/>
              </w:rPr>
              <w:t>CZ</w:t>
            </w:r>
            <w:r>
              <w:rPr>
                <w:spacing w:val="-2"/>
                <w:sz w:val="20"/>
              </w:rPr>
              <w:t xml:space="preserve"> </w:t>
            </w:r>
            <w:r>
              <w:rPr>
                <w:sz w:val="20"/>
              </w:rPr>
              <w:t>4,</w:t>
            </w:r>
            <w:r>
              <w:rPr>
                <w:spacing w:val="-2"/>
                <w:sz w:val="20"/>
              </w:rPr>
              <w:t xml:space="preserve"> </w:t>
            </w:r>
            <w:r>
              <w:rPr>
                <w:sz w:val="20"/>
              </w:rPr>
              <w:t>12,</w:t>
            </w:r>
            <w:r>
              <w:rPr>
                <w:spacing w:val="-2"/>
                <w:sz w:val="20"/>
              </w:rPr>
              <w:t xml:space="preserve"> </w:t>
            </w:r>
            <w:r>
              <w:rPr>
                <w:spacing w:val="-5"/>
                <w:sz w:val="20"/>
              </w:rPr>
              <w:t>13</w:t>
            </w:r>
          </w:p>
        </w:tc>
        <w:tc>
          <w:tcPr>
            <w:tcW w:w="1517" w:type="dxa"/>
            <w:tcBorders>
              <w:top w:val="single" w:color="D9D9D9" w:sz="2" w:space="0"/>
              <w:bottom w:val="single" w:color="D9D9D9" w:sz="2" w:space="0"/>
            </w:tcBorders>
          </w:tcPr>
          <w:p w:rsidR="00C31389" w:rsidRDefault="00561FBD" w14:paraId="3570991A" w14:textId="77777777">
            <w:pPr>
              <w:pStyle w:val="TableParagraph"/>
              <w:spacing w:before="54" w:line="225" w:lineRule="exact"/>
              <w:ind w:left="632" w:right="632"/>
              <w:jc w:val="center"/>
              <w:rPr>
                <w:sz w:val="20"/>
              </w:rPr>
            </w:pPr>
            <w:r>
              <w:rPr>
                <w:spacing w:val="-5"/>
                <w:sz w:val="20"/>
              </w:rPr>
              <w:t>14</w:t>
            </w:r>
          </w:p>
        </w:tc>
        <w:tc>
          <w:tcPr>
            <w:tcW w:w="1798" w:type="dxa"/>
            <w:tcBorders>
              <w:top w:val="single" w:color="D9D9D9" w:sz="2" w:space="0"/>
              <w:bottom w:val="single" w:color="D9D9D9" w:sz="2" w:space="0"/>
            </w:tcBorders>
          </w:tcPr>
          <w:p w:rsidR="00C31389" w:rsidRDefault="00561FBD" w14:paraId="3BAE5D5A" w14:textId="77777777">
            <w:pPr>
              <w:pStyle w:val="TableParagraph"/>
              <w:spacing w:before="54" w:line="225" w:lineRule="exact"/>
              <w:ind w:left="736" w:right="808"/>
              <w:jc w:val="center"/>
              <w:rPr>
                <w:sz w:val="20"/>
              </w:rPr>
            </w:pPr>
            <w:r>
              <w:rPr>
                <w:spacing w:val="-5"/>
                <w:sz w:val="20"/>
              </w:rPr>
              <w:t>23</w:t>
            </w:r>
          </w:p>
        </w:tc>
        <w:tc>
          <w:tcPr>
            <w:tcW w:w="2173" w:type="dxa"/>
            <w:tcBorders>
              <w:top w:val="single" w:color="D9D9D9" w:sz="2" w:space="0"/>
              <w:bottom w:val="single" w:color="D9D9D9" w:sz="2" w:space="0"/>
            </w:tcBorders>
          </w:tcPr>
          <w:p w:rsidR="00C31389" w:rsidRDefault="00561FBD" w14:paraId="2B40168B" w14:textId="77777777">
            <w:pPr>
              <w:pStyle w:val="TableParagraph"/>
              <w:spacing w:before="54" w:line="225" w:lineRule="exact"/>
              <w:ind w:left="806"/>
              <w:rPr>
                <w:sz w:val="20"/>
              </w:rPr>
            </w:pPr>
            <w:r>
              <w:rPr>
                <w:spacing w:val="-4"/>
                <w:sz w:val="20"/>
              </w:rPr>
              <w:t>1.64</w:t>
            </w:r>
          </w:p>
        </w:tc>
      </w:tr>
      <w:tr w:rsidR="00C31389" w14:paraId="5B285A17" w14:textId="77777777">
        <w:trPr>
          <w:trHeight w:val="299"/>
        </w:trPr>
        <w:tc>
          <w:tcPr>
            <w:tcW w:w="3254" w:type="dxa"/>
            <w:tcBorders>
              <w:top w:val="single" w:color="D9D9D9" w:sz="2" w:space="0"/>
              <w:bottom w:val="single" w:color="D9D9D9" w:sz="2" w:space="0"/>
            </w:tcBorders>
          </w:tcPr>
          <w:p w:rsidR="00C31389" w:rsidRDefault="00561FBD" w14:paraId="25AAD190" w14:textId="77777777">
            <w:pPr>
              <w:pStyle w:val="TableParagraph"/>
              <w:spacing w:before="54" w:line="225" w:lineRule="exact"/>
              <w:ind w:left="122"/>
              <w:rPr>
                <w:sz w:val="20"/>
              </w:rPr>
            </w:pPr>
            <w:r>
              <w:rPr>
                <w:sz w:val="20"/>
              </w:rPr>
              <w:t>South</w:t>
            </w:r>
            <w:r>
              <w:rPr>
                <w:spacing w:val="-3"/>
                <w:sz w:val="20"/>
              </w:rPr>
              <w:t xml:space="preserve"> </w:t>
            </w:r>
            <w:r>
              <w:rPr>
                <w:sz w:val="20"/>
              </w:rPr>
              <w:t>Coast:</w:t>
            </w:r>
            <w:r>
              <w:rPr>
                <w:spacing w:val="-2"/>
                <w:sz w:val="20"/>
              </w:rPr>
              <w:t xml:space="preserve"> </w:t>
            </w:r>
            <w:r>
              <w:rPr>
                <w:sz w:val="20"/>
              </w:rPr>
              <w:t>CZ</w:t>
            </w:r>
            <w:r>
              <w:rPr>
                <w:spacing w:val="-2"/>
                <w:sz w:val="20"/>
              </w:rPr>
              <w:t xml:space="preserve"> </w:t>
            </w:r>
            <w:r>
              <w:rPr>
                <w:sz w:val="20"/>
              </w:rPr>
              <w:t>6,</w:t>
            </w:r>
            <w:r>
              <w:rPr>
                <w:spacing w:val="-2"/>
                <w:sz w:val="20"/>
              </w:rPr>
              <w:t xml:space="preserve"> </w:t>
            </w:r>
            <w:r>
              <w:rPr>
                <w:spacing w:val="-10"/>
                <w:sz w:val="20"/>
              </w:rPr>
              <w:t>7</w:t>
            </w:r>
          </w:p>
        </w:tc>
        <w:tc>
          <w:tcPr>
            <w:tcW w:w="1517" w:type="dxa"/>
            <w:tcBorders>
              <w:top w:val="single" w:color="D9D9D9" w:sz="2" w:space="0"/>
              <w:bottom w:val="single" w:color="D9D9D9" w:sz="2" w:space="0"/>
            </w:tcBorders>
          </w:tcPr>
          <w:p w:rsidR="00C31389" w:rsidRDefault="00561FBD" w14:paraId="253648F2" w14:textId="77777777">
            <w:pPr>
              <w:pStyle w:val="TableParagraph"/>
              <w:spacing w:before="54" w:line="225" w:lineRule="exact"/>
              <w:ind w:left="632" w:right="632"/>
              <w:jc w:val="center"/>
              <w:rPr>
                <w:sz w:val="20"/>
              </w:rPr>
            </w:pPr>
            <w:r>
              <w:rPr>
                <w:spacing w:val="-5"/>
                <w:sz w:val="20"/>
              </w:rPr>
              <w:t>21</w:t>
            </w:r>
          </w:p>
        </w:tc>
        <w:tc>
          <w:tcPr>
            <w:tcW w:w="1798" w:type="dxa"/>
            <w:tcBorders>
              <w:top w:val="single" w:color="D9D9D9" w:sz="2" w:space="0"/>
              <w:bottom w:val="single" w:color="D9D9D9" w:sz="2" w:space="0"/>
            </w:tcBorders>
          </w:tcPr>
          <w:p w:rsidR="00C31389" w:rsidRDefault="00561FBD" w14:paraId="2E993844" w14:textId="77777777">
            <w:pPr>
              <w:pStyle w:val="TableParagraph"/>
              <w:spacing w:before="54" w:line="225" w:lineRule="exact"/>
              <w:ind w:left="736" w:right="808"/>
              <w:jc w:val="center"/>
              <w:rPr>
                <w:sz w:val="20"/>
              </w:rPr>
            </w:pPr>
            <w:r>
              <w:rPr>
                <w:spacing w:val="-5"/>
                <w:sz w:val="20"/>
              </w:rPr>
              <w:t>19</w:t>
            </w:r>
          </w:p>
        </w:tc>
        <w:tc>
          <w:tcPr>
            <w:tcW w:w="2173" w:type="dxa"/>
            <w:tcBorders>
              <w:top w:val="single" w:color="D9D9D9" w:sz="2" w:space="0"/>
              <w:bottom w:val="single" w:color="D9D9D9" w:sz="2" w:space="0"/>
            </w:tcBorders>
          </w:tcPr>
          <w:p w:rsidR="00C31389" w:rsidRDefault="00561FBD" w14:paraId="47106610" w14:textId="77777777">
            <w:pPr>
              <w:pStyle w:val="TableParagraph"/>
              <w:spacing w:before="54" w:line="225" w:lineRule="exact"/>
              <w:ind w:left="806"/>
              <w:rPr>
                <w:sz w:val="20"/>
              </w:rPr>
            </w:pPr>
            <w:r>
              <w:rPr>
                <w:spacing w:val="-4"/>
                <w:sz w:val="20"/>
              </w:rPr>
              <w:t>0.90</w:t>
            </w:r>
          </w:p>
        </w:tc>
      </w:tr>
      <w:tr w:rsidR="00C31389" w14:paraId="7B83DF13" w14:textId="77777777">
        <w:trPr>
          <w:trHeight w:val="300"/>
        </w:trPr>
        <w:tc>
          <w:tcPr>
            <w:tcW w:w="3254" w:type="dxa"/>
            <w:tcBorders>
              <w:top w:val="single" w:color="D9D9D9" w:sz="2" w:space="0"/>
              <w:bottom w:val="single" w:color="000000" w:sz="8" w:space="0"/>
            </w:tcBorders>
          </w:tcPr>
          <w:p w:rsidR="00C31389" w:rsidRDefault="00561FBD" w14:paraId="3614FBDF" w14:textId="77777777">
            <w:pPr>
              <w:pStyle w:val="TableParagraph"/>
              <w:spacing w:before="56" w:line="225" w:lineRule="exact"/>
              <w:ind w:left="122"/>
              <w:rPr>
                <w:sz w:val="20"/>
              </w:rPr>
            </w:pPr>
            <w:r>
              <w:rPr>
                <w:sz w:val="20"/>
              </w:rPr>
              <w:t>South</w:t>
            </w:r>
            <w:r>
              <w:rPr>
                <w:spacing w:val="-2"/>
                <w:sz w:val="20"/>
              </w:rPr>
              <w:t xml:space="preserve"> </w:t>
            </w:r>
            <w:r>
              <w:rPr>
                <w:sz w:val="20"/>
              </w:rPr>
              <w:t>Inland:</w:t>
            </w:r>
            <w:r>
              <w:rPr>
                <w:spacing w:val="-4"/>
                <w:sz w:val="20"/>
              </w:rPr>
              <w:t xml:space="preserve"> </w:t>
            </w:r>
            <w:r>
              <w:rPr>
                <w:sz w:val="20"/>
              </w:rPr>
              <w:t>CZ</w:t>
            </w:r>
            <w:r>
              <w:rPr>
                <w:spacing w:val="-1"/>
                <w:sz w:val="20"/>
              </w:rPr>
              <w:t xml:space="preserve"> </w:t>
            </w:r>
            <w:r>
              <w:rPr>
                <w:sz w:val="20"/>
              </w:rPr>
              <w:t>8,</w:t>
            </w:r>
            <w:r>
              <w:rPr>
                <w:spacing w:val="-2"/>
                <w:sz w:val="20"/>
              </w:rPr>
              <w:t xml:space="preserve"> </w:t>
            </w:r>
            <w:r>
              <w:rPr>
                <w:sz w:val="20"/>
              </w:rPr>
              <w:t>9,</w:t>
            </w:r>
            <w:r>
              <w:rPr>
                <w:spacing w:val="-1"/>
                <w:sz w:val="20"/>
              </w:rPr>
              <w:t xml:space="preserve"> </w:t>
            </w:r>
            <w:r>
              <w:rPr>
                <w:sz w:val="20"/>
              </w:rPr>
              <w:t>10,</w:t>
            </w:r>
            <w:r>
              <w:rPr>
                <w:spacing w:val="-2"/>
                <w:sz w:val="20"/>
              </w:rPr>
              <w:t xml:space="preserve"> </w:t>
            </w:r>
            <w:r>
              <w:rPr>
                <w:sz w:val="20"/>
              </w:rPr>
              <w:t>14,</w:t>
            </w:r>
            <w:r>
              <w:rPr>
                <w:spacing w:val="-1"/>
                <w:sz w:val="20"/>
              </w:rPr>
              <w:t xml:space="preserve"> </w:t>
            </w:r>
            <w:r>
              <w:rPr>
                <w:spacing w:val="-5"/>
                <w:sz w:val="20"/>
              </w:rPr>
              <w:t>15</w:t>
            </w:r>
          </w:p>
        </w:tc>
        <w:tc>
          <w:tcPr>
            <w:tcW w:w="1517" w:type="dxa"/>
            <w:tcBorders>
              <w:top w:val="single" w:color="D9D9D9" w:sz="2" w:space="0"/>
              <w:bottom w:val="single" w:color="000000" w:sz="8" w:space="0"/>
            </w:tcBorders>
          </w:tcPr>
          <w:p w:rsidR="00C31389" w:rsidRDefault="00561FBD" w14:paraId="5E0F79D8" w14:textId="77777777">
            <w:pPr>
              <w:pStyle w:val="TableParagraph"/>
              <w:spacing w:before="56" w:line="225" w:lineRule="exact"/>
              <w:ind w:left="632" w:right="632"/>
              <w:jc w:val="center"/>
              <w:rPr>
                <w:sz w:val="20"/>
              </w:rPr>
            </w:pPr>
            <w:r>
              <w:rPr>
                <w:spacing w:val="-5"/>
                <w:sz w:val="20"/>
              </w:rPr>
              <w:t>11</w:t>
            </w:r>
          </w:p>
        </w:tc>
        <w:tc>
          <w:tcPr>
            <w:tcW w:w="1798" w:type="dxa"/>
            <w:tcBorders>
              <w:top w:val="single" w:color="D9D9D9" w:sz="2" w:space="0"/>
              <w:bottom w:val="single" w:color="000000" w:sz="8" w:space="0"/>
            </w:tcBorders>
          </w:tcPr>
          <w:p w:rsidR="00C31389" w:rsidRDefault="00561FBD" w14:paraId="12C23986" w14:textId="77777777">
            <w:pPr>
              <w:pStyle w:val="TableParagraph"/>
              <w:spacing w:before="56" w:line="225" w:lineRule="exact"/>
              <w:ind w:left="736" w:right="808"/>
              <w:jc w:val="center"/>
              <w:rPr>
                <w:sz w:val="20"/>
              </w:rPr>
            </w:pPr>
            <w:r>
              <w:rPr>
                <w:spacing w:val="-5"/>
                <w:sz w:val="20"/>
              </w:rPr>
              <w:t>27</w:t>
            </w:r>
          </w:p>
        </w:tc>
        <w:tc>
          <w:tcPr>
            <w:tcW w:w="2173" w:type="dxa"/>
            <w:tcBorders>
              <w:top w:val="single" w:color="D9D9D9" w:sz="2" w:space="0"/>
              <w:bottom w:val="single" w:color="000000" w:sz="8" w:space="0"/>
            </w:tcBorders>
          </w:tcPr>
          <w:p w:rsidR="00C31389" w:rsidRDefault="00561FBD" w14:paraId="40258C4B" w14:textId="77777777">
            <w:pPr>
              <w:pStyle w:val="TableParagraph"/>
              <w:spacing w:before="56" w:line="225" w:lineRule="exact"/>
              <w:ind w:left="806"/>
              <w:rPr>
                <w:sz w:val="20"/>
              </w:rPr>
            </w:pPr>
            <w:r>
              <w:rPr>
                <w:spacing w:val="-4"/>
                <w:sz w:val="20"/>
              </w:rPr>
              <w:t>2.45</w:t>
            </w:r>
          </w:p>
        </w:tc>
      </w:tr>
    </w:tbl>
    <w:p w:rsidR="00C31389" w:rsidRDefault="00561FBD" w14:paraId="0D11E733" w14:textId="77777777">
      <w:pPr>
        <w:spacing w:before="34"/>
        <w:ind w:left="480"/>
        <w:rPr>
          <w:sz w:val="18"/>
        </w:rPr>
      </w:pPr>
      <w:r>
        <w:rPr>
          <w:sz w:val="18"/>
        </w:rPr>
        <w:t>CZ</w:t>
      </w:r>
      <w:r>
        <w:rPr>
          <w:spacing w:val="-2"/>
          <w:sz w:val="18"/>
        </w:rPr>
        <w:t xml:space="preserve"> </w:t>
      </w:r>
      <w:r>
        <w:rPr>
          <w:sz w:val="18"/>
        </w:rPr>
        <w:t>=</w:t>
      </w:r>
      <w:r>
        <w:rPr>
          <w:spacing w:val="-1"/>
          <w:sz w:val="18"/>
        </w:rPr>
        <w:t xml:space="preserve"> </w:t>
      </w:r>
      <w:r>
        <w:rPr>
          <w:sz w:val="18"/>
        </w:rPr>
        <w:t>climate</w:t>
      </w:r>
      <w:r>
        <w:rPr>
          <w:spacing w:val="-2"/>
          <w:sz w:val="18"/>
        </w:rPr>
        <w:t xml:space="preserve"> </w:t>
      </w:r>
      <w:r>
        <w:rPr>
          <w:spacing w:val="-4"/>
          <w:sz w:val="18"/>
        </w:rPr>
        <w:t>zone</w:t>
      </w:r>
    </w:p>
    <w:p w:rsidR="00C31389" w:rsidRDefault="00561FBD" w14:paraId="02DF366B" w14:textId="77777777">
      <w:pPr>
        <w:spacing w:before="60"/>
        <w:ind w:left="480"/>
        <w:rPr>
          <w:i/>
          <w:sz w:val="18"/>
        </w:rPr>
      </w:pPr>
      <w:r>
        <w:rPr>
          <w:i/>
          <w:sz w:val="18"/>
        </w:rPr>
        <w:t>Source:</w:t>
      </w:r>
      <w:r>
        <w:rPr>
          <w:i/>
          <w:spacing w:val="-5"/>
          <w:sz w:val="18"/>
        </w:rPr>
        <w:t xml:space="preserve"> </w:t>
      </w:r>
      <w:r>
        <w:rPr>
          <w:i/>
          <w:sz w:val="18"/>
        </w:rPr>
        <w:t>DNV</w:t>
      </w:r>
      <w:r>
        <w:rPr>
          <w:i/>
          <w:spacing w:val="-3"/>
          <w:sz w:val="18"/>
        </w:rPr>
        <w:t xml:space="preserve"> </w:t>
      </w:r>
      <w:r>
        <w:rPr>
          <w:i/>
          <w:sz w:val="18"/>
        </w:rPr>
        <w:t>GL,</w:t>
      </w:r>
      <w:r>
        <w:rPr>
          <w:i/>
          <w:spacing w:val="-2"/>
          <w:sz w:val="18"/>
        </w:rPr>
        <w:t xml:space="preserve"> </w:t>
      </w:r>
      <w:r>
        <w:rPr>
          <w:i/>
          <w:spacing w:val="-4"/>
          <w:sz w:val="18"/>
        </w:rPr>
        <w:t>2017</w:t>
      </w:r>
    </w:p>
    <w:p w:rsidR="00C31389" w:rsidRDefault="00C31389" w14:paraId="483764C3" w14:textId="77777777">
      <w:pPr>
        <w:pStyle w:val="BodyText"/>
        <w:rPr>
          <w:i/>
          <w:sz w:val="20"/>
        </w:rPr>
      </w:pPr>
    </w:p>
    <w:p w:rsidR="00C31389" w:rsidRDefault="00C31389" w14:paraId="10216808" w14:textId="77777777">
      <w:pPr>
        <w:pStyle w:val="BodyText"/>
        <w:rPr>
          <w:i/>
          <w:sz w:val="20"/>
        </w:rPr>
      </w:pPr>
    </w:p>
    <w:p w:rsidR="00C31389" w:rsidRDefault="00C31389" w14:paraId="6CA0C78E" w14:textId="77777777">
      <w:pPr>
        <w:pStyle w:val="BodyText"/>
        <w:rPr>
          <w:i/>
          <w:sz w:val="20"/>
        </w:rPr>
      </w:pPr>
    </w:p>
    <w:p w:rsidR="00C31389" w:rsidRDefault="00C31389" w14:paraId="6F148BD1" w14:textId="77777777">
      <w:pPr>
        <w:pStyle w:val="BodyText"/>
        <w:rPr>
          <w:i/>
          <w:sz w:val="20"/>
        </w:rPr>
      </w:pPr>
    </w:p>
    <w:p w:rsidR="00C31389" w:rsidRDefault="00C31389" w14:paraId="0244CD3C" w14:textId="77777777">
      <w:pPr>
        <w:pStyle w:val="BodyText"/>
        <w:rPr>
          <w:i/>
          <w:sz w:val="20"/>
        </w:rPr>
      </w:pPr>
    </w:p>
    <w:p w:rsidR="00C31389" w:rsidRDefault="00C31389" w14:paraId="24823776" w14:textId="77777777">
      <w:pPr>
        <w:pStyle w:val="BodyText"/>
        <w:rPr>
          <w:i/>
          <w:sz w:val="20"/>
        </w:rPr>
      </w:pPr>
    </w:p>
    <w:p w:rsidR="00C31389" w:rsidRDefault="00C31389" w14:paraId="32967A58" w14:textId="77777777">
      <w:pPr>
        <w:pStyle w:val="BodyText"/>
        <w:rPr>
          <w:i/>
          <w:sz w:val="20"/>
        </w:rPr>
      </w:pPr>
    </w:p>
    <w:p w:rsidR="00C31389" w:rsidRDefault="00C31389" w14:paraId="51E04F98" w14:textId="77777777">
      <w:pPr>
        <w:pStyle w:val="BodyText"/>
        <w:rPr>
          <w:i/>
          <w:sz w:val="20"/>
        </w:rPr>
      </w:pPr>
    </w:p>
    <w:p w:rsidR="00C31389" w:rsidRDefault="00C31389" w14:paraId="255A5AF4" w14:textId="77777777">
      <w:pPr>
        <w:pStyle w:val="BodyText"/>
        <w:rPr>
          <w:i/>
          <w:sz w:val="20"/>
        </w:rPr>
      </w:pPr>
    </w:p>
    <w:p w:rsidR="00C31389" w:rsidRDefault="00C31389" w14:paraId="1660093A" w14:textId="77777777">
      <w:pPr>
        <w:pStyle w:val="BodyText"/>
        <w:rPr>
          <w:i/>
          <w:sz w:val="20"/>
        </w:rPr>
      </w:pPr>
    </w:p>
    <w:p w:rsidR="00C31389" w:rsidRDefault="00C31389" w14:paraId="7D4EAD97" w14:textId="77777777">
      <w:pPr>
        <w:pStyle w:val="BodyText"/>
        <w:rPr>
          <w:i/>
          <w:sz w:val="20"/>
        </w:rPr>
      </w:pPr>
    </w:p>
    <w:p w:rsidR="00C31389" w:rsidRDefault="00C31389" w14:paraId="4E666A8C" w14:textId="77777777">
      <w:pPr>
        <w:pStyle w:val="BodyText"/>
        <w:rPr>
          <w:i/>
          <w:sz w:val="20"/>
        </w:rPr>
      </w:pPr>
    </w:p>
    <w:p w:rsidR="00C31389" w:rsidRDefault="00C31389" w14:paraId="4A125DE4" w14:textId="77777777">
      <w:pPr>
        <w:pStyle w:val="BodyText"/>
        <w:rPr>
          <w:i/>
          <w:sz w:val="20"/>
        </w:rPr>
      </w:pPr>
    </w:p>
    <w:p w:rsidR="00C31389" w:rsidRDefault="00C31389" w14:paraId="3DA8D649" w14:textId="77777777">
      <w:pPr>
        <w:pStyle w:val="BodyText"/>
        <w:rPr>
          <w:i/>
          <w:sz w:val="20"/>
        </w:rPr>
      </w:pPr>
    </w:p>
    <w:p w:rsidR="00C31389" w:rsidRDefault="00C31389" w14:paraId="11317BEC" w14:textId="77777777">
      <w:pPr>
        <w:pStyle w:val="BodyText"/>
        <w:rPr>
          <w:i/>
          <w:sz w:val="20"/>
        </w:rPr>
      </w:pPr>
    </w:p>
    <w:p w:rsidR="00C31389" w:rsidRDefault="00C31389" w14:paraId="326BD890" w14:textId="77777777">
      <w:pPr>
        <w:pStyle w:val="BodyText"/>
        <w:rPr>
          <w:i/>
          <w:sz w:val="20"/>
        </w:rPr>
      </w:pPr>
    </w:p>
    <w:p w:rsidR="00C31389" w:rsidRDefault="00C31389" w14:paraId="6E5FDF41" w14:textId="77777777">
      <w:pPr>
        <w:pStyle w:val="BodyText"/>
        <w:rPr>
          <w:i/>
          <w:sz w:val="20"/>
        </w:rPr>
      </w:pPr>
    </w:p>
    <w:p w:rsidR="00C31389" w:rsidRDefault="00C31389" w14:paraId="6F04C3BC" w14:textId="77777777">
      <w:pPr>
        <w:pStyle w:val="BodyText"/>
        <w:rPr>
          <w:i/>
          <w:sz w:val="20"/>
        </w:rPr>
      </w:pPr>
    </w:p>
    <w:p w:rsidR="00C31389" w:rsidRDefault="00C31389" w14:paraId="24D5FEB5" w14:textId="77777777">
      <w:pPr>
        <w:pStyle w:val="BodyText"/>
        <w:rPr>
          <w:i/>
          <w:sz w:val="20"/>
        </w:rPr>
      </w:pPr>
    </w:p>
    <w:p w:rsidR="00C31389" w:rsidRDefault="00C31389" w14:paraId="40991F86" w14:textId="77777777">
      <w:pPr>
        <w:pStyle w:val="BodyText"/>
        <w:rPr>
          <w:i/>
          <w:sz w:val="20"/>
        </w:rPr>
      </w:pPr>
    </w:p>
    <w:p w:rsidR="00C31389" w:rsidRDefault="00C31389" w14:paraId="4D5B333E" w14:textId="77777777">
      <w:pPr>
        <w:pStyle w:val="BodyText"/>
        <w:rPr>
          <w:i/>
          <w:sz w:val="20"/>
        </w:rPr>
      </w:pPr>
    </w:p>
    <w:p w:rsidR="00C31389" w:rsidRDefault="00C31389" w14:paraId="3EC9AA04" w14:textId="77777777">
      <w:pPr>
        <w:pStyle w:val="BodyText"/>
        <w:rPr>
          <w:i/>
          <w:sz w:val="20"/>
        </w:rPr>
      </w:pPr>
    </w:p>
    <w:p w:rsidR="00C31389" w:rsidRDefault="00C31389" w14:paraId="598C22C9" w14:textId="77777777">
      <w:pPr>
        <w:pStyle w:val="BodyText"/>
        <w:rPr>
          <w:i/>
          <w:sz w:val="20"/>
        </w:rPr>
      </w:pPr>
    </w:p>
    <w:p w:rsidR="00C31389" w:rsidRDefault="00C31389" w14:paraId="701F4FDC" w14:textId="77777777">
      <w:pPr>
        <w:pStyle w:val="BodyText"/>
        <w:rPr>
          <w:i/>
          <w:sz w:val="20"/>
        </w:rPr>
      </w:pPr>
    </w:p>
    <w:p w:rsidR="00C31389" w:rsidRDefault="00C31389" w14:paraId="7C4798C3" w14:textId="77777777">
      <w:pPr>
        <w:pStyle w:val="BodyText"/>
        <w:rPr>
          <w:i/>
          <w:sz w:val="20"/>
        </w:rPr>
      </w:pPr>
    </w:p>
    <w:p w:rsidR="00C31389" w:rsidRDefault="00C31389" w14:paraId="61BC7C21" w14:textId="77777777">
      <w:pPr>
        <w:pStyle w:val="BodyText"/>
        <w:rPr>
          <w:i/>
          <w:sz w:val="20"/>
        </w:rPr>
      </w:pPr>
    </w:p>
    <w:p w:rsidR="00C31389" w:rsidRDefault="00C31389" w14:paraId="16F2F19B" w14:textId="77777777">
      <w:pPr>
        <w:pStyle w:val="BodyText"/>
        <w:rPr>
          <w:i/>
          <w:sz w:val="20"/>
        </w:rPr>
      </w:pPr>
    </w:p>
    <w:p w:rsidR="00C31389" w:rsidRDefault="00561FBD" w14:paraId="012B8534" w14:textId="77777777">
      <w:pPr>
        <w:pStyle w:val="BodyText"/>
        <w:spacing w:before="4"/>
        <w:rPr>
          <w:i/>
          <w:sz w:val="27"/>
        </w:rPr>
      </w:pPr>
      <w:r>
        <w:rPr>
          <w:noProof/>
        </w:rPr>
        <mc:AlternateContent>
          <mc:Choice Requires="wps">
            <w:drawing>
              <wp:anchor distT="0" distB="0" distL="0" distR="0" simplePos="0" relativeHeight="487680000" behindDoc="1" locked="0" layoutInCell="1" allowOverlap="1" wp14:editId="08554002" wp14:anchorId="75458D93">
                <wp:simplePos x="0" y="0"/>
                <wp:positionH relativeFrom="page">
                  <wp:posOffset>914400</wp:posOffset>
                </wp:positionH>
                <wp:positionV relativeFrom="paragraph">
                  <wp:posOffset>215361</wp:posOffset>
                </wp:positionV>
                <wp:extent cx="1828800" cy="6985"/>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71" style="position:absolute;margin-left:1in;margin-top:16.95pt;width:2in;height:.55pt;z-index:-1563648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" w14:anchorId="724D1D97">
                <v:path arrowok="t"/>
                <w10:wrap type="topAndBottom" anchorx="page"/>
              </v:shape>
            </w:pict>
          </mc:Fallback>
        </mc:AlternateContent>
      </w:r>
    </w:p>
    <w:p w:rsidR="00C31389" w:rsidRDefault="00561FBD" w14:paraId="7DA1D0B6" w14:textId="77777777">
      <w:pPr>
        <w:spacing w:before="88"/>
        <w:ind w:left="480" w:right="418" w:hanging="1"/>
        <w:rPr>
          <w:sz w:val="18"/>
        </w:rPr>
      </w:pPr>
      <w:bookmarkStart w:name="_bookmark252" w:id="338"/>
      <w:bookmarkEnd w:id="338"/>
      <w:r>
        <w:rPr>
          <w:position w:val="6"/>
          <w:sz w:val="12"/>
        </w:rPr>
        <w:t>78</w:t>
      </w:r>
      <w:r>
        <w:rPr>
          <w:spacing w:val="14"/>
          <w:position w:val="6"/>
          <w:sz w:val="12"/>
        </w:rPr>
        <w:t xml:space="preserve"> </w:t>
      </w:r>
      <w:r>
        <w:rPr>
          <w:sz w:val="18"/>
        </w:rPr>
        <w:t>Final</w:t>
      </w:r>
      <w:r>
        <w:rPr>
          <w:spacing w:val="-3"/>
          <w:sz w:val="18"/>
        </w:rPr>
        <w:t xml:space="preserve"> </w:t>
      </w:r>
      <w:r>
        <w:rPr>
          <w:sz w:val="18"/>
        </w:rPr>
        <w:t>Report:</w:t>
      </w:r>
      <w:r>
        <w:rPr>
          <w:spacing w:val="-3"/>
          <w:sz w:val="18"/>
        </w:rPr>
        <w:t xml:space="preserve"> </w:t>
      </w:r>
      <w:r>
        <w:rPr>
          <w:sz w:val="18"/>
        </w:rPr>
        <w:t>2014-16</w:t>
      </w:r>
      <w:r>
        <w:rPr>
          <w:spacing w:val="-4"/>
          <w:sz w:val="18"/>
        </w:rPr>
        <w:t xml:space="preserve"> </w:t>
      </w:r>
      <w:r>
        <w:rPr>
          <w:sz w:val="18"/>
        </w:rPr>
        <w:t>HVAC</w:t>
      </w:r>
      <w:r>
        <w:rPr>
          <w:spacing w:val="-2"/>
          <w:sz w:val="18"/>
        </w:rPr>
        <w:t xml:space="preserve"> </w:t>
      </w:r>
      <w:r>
        <w:rPr>
          <w:sz w:val="18"/>
        </w:rPr>
        <w:t>Permit</w:t>
      </w:r>
      <w:r>
        <w:rPr>
          <w:spacing w:val="-3"/>
          <w:sz w:val="18"/>
        </w:rPr>
        <w:t xml:space="preserve"> </w:t>
      </w:r>
      <w:r>
        <w:rPr>
          <w:sz w:val="18"/>
        </w:rPr>
        <w:t>and</w:t>
      </w:r>
      <w:r>
        <w:rPr>
          <w:spacing w:val="-4"/>
          <w:sz w:val="18"/>
        </w:rPr>
        <w:t xml:space="preserve"> </w:t>
      </w:r>
      <w:r>
        <w:rPr>
          <w:sz w:val="18"/>
        </w:rPr>
        <w:t>Code</w:t>
      </w:r>
      <w:r>
        <w:rPr>
          <w:spacing w:val="-4"/>
          <w:sz w:val="18"/>
        </w:rPr>
        <w:t xml:space="preserve"> </w:t>
      </w:r>
      <w:r>
        <w:rPr>
          <w:sz w:val="18"/>
        </w:rPr>
        <w:t>Compliance</w:t>
      </w:r>
      <w:r>
        <w:rPr>
          <w:spacing w:val="-2"/>
          <w:sz w:val="18"/>
        </w:rPr>
        <w:t xml:space="preserve"> </w:t>
      </w:r>
      <w:r>
        <w:rPr>
          <w:sz w:val="18"/>
        </w:rPr>
        <w:t>Market</w:t>
      </w:r>
      <w:r>
        <w:rPr>
          <w:spacing w:val="-3"/>
          <w:sz w:val="18"/>
        </w:rPr>
        <w:t xml:space="preserve"> </w:t>
      </w:r>
      <w:r>
        <w:rPr>
          <w:sz w:val="18"/>
        </w:rPr>
        <w:t>Assessment</w:t>
      </w:r>
      <w:r>
        <w:rPr>
          <w:spacing w:val="-3"/>
          <w:sz w:val="18"/>
        </w:rPr>
        <w:t xml:space="preserve"> </w:t>
      </w:r>
      <w:r>
        <w:rPr>
          <w:sz w:val="18"/>
        </w:rPr>
        <w:t>(Work</w:t>
      </w:r>
      <w:r>
        <w:rPr>
          <w:spacing w:val="-3"/>
          <w:sz w:val="18"/>
        </w:rPr>
        <w:t xml:space="preserve"> </w:t>
      </w:r>
      <w:r>
        <w:rPr>
          <w:sz w:val="18"/>
        </w:rPr>
        <w:t>Order</w:t>
      </w:r>
      <w:r>
        <w:rPr>
          <w:spacing w:val="-3"/>
          <w:sz w:val="18"/>
        </w:rPr>
        <w:t xml:space="preserve"> </w:t>
      </w:r>
      <w:r>
        <w:rPr>
          <w:sz w:val="18"/>
        </w:rPr>
        <w:t>6)</w:t>
      </w:r>
      <w:r>
        <w:rPr>
          <w:spacing w:val="-3"/>
          <w:sz w:val="18"/>
        </w:rPr>
        <w:t xml:space="preserve"> </w:t>
      </w:r>
      <w:r>
        <w:rPr>
          <w:sz w:val="18"/>
        </w:rPr>
        <w:t>Volume</w:t>
      </w:r>
      <w:r>
        <w:rPr>
          <w:spacing w:val="-2"/>
          <w:sz w:val="18"/>
        </w:rPr>
        <w:t xml:space="preserve"> </w:t>
      </w:r>
      <w:r>
        <w:rPr>
          <w:sz w:val="18"/>
        </w:rPr>
        <w:t>I</w:t>
      </w:r>
      <w:r>
        <w:rPr>
          <w:spacing w:val="-3"/>
          <w:sz w:val="18"/>
        </w:rPr>
        <w:t xml:space="preserve"> </w:t>
      </w:r>
      <w:r>
        <w:rPr>
          <w:sz w:val="18"/>
        </w:rPr>
        <w:t xml:space="preserve">– </w:t>
      </w:r>
      <w:r>
        <w:rPr>
          <w:spacing w:val="-2"/>
          <w:sz w:val="18"/>
        </w:rPr>
        <w:t>Report.</w:t>
      </w:r>
    </w:p>
    <w:p w:rsidR="00C31389" w:rsidRDefault="00561FBD" w14:paraId="43D0D87E" w14:textId="77777777">
      <w:pPr>
        <w:spacing w:before="39"/>
        <w:ind w:left="480" w:right="418"/>
        <w:rPr>
          <w:sz w:val="18"/>
        </w:rPr>
      </w:pPr>
      <w:r>
        <w:rPr>
          <w:sz w:val="18"/>
        </w:rPr>
        <w:t>California</w:t>
      </w:r>
      <w:r>
        <w:rPr>
          <w:spacing w:val="-4"/>
          <w:sz w:val="18"/>
        </w:rPr>
        <w:t xml:space="preserve"> </w:t>
      </w:r>
      <w:r>
        <w:rPr>
          <w:sz w:val="18"/>
        </w:rPr>
        <w:t>Public</w:t>
      </w:r>
      <w:r>
        <w:rPr>
          <w:spacing w:val="-4"/>
          <w:sz w:val="18"/>
        </w:rPr>
        <w:t xml:space="preserve"> </w:t>
      </w:r>
      <w:r>
        <w:rPr>
          <w:sz w:val="18"/>
        </w:rPr>
        <w:t>Utilities</w:t>
      </w:r>
      <w:r>
        <w:rPr>
          <w:spacing w:val="-4"/>
          <w:sz w:val="18"/>
        </w:rPr>
        <w:t xml:space="preserve"> </w:t>
      </w:r>
      <w:r>
        <w:rPr>
          <w:sz w:val="18"/>
        </w:rPr>
        <w:t>Commission.</w:t>
      </w:r>
      <w:r>
        <w:rPr>
          <w:spacing w:val="-4"/>
          <w:sz w:val="18"/>
        </w:rPr>
        <w:t xml:space="preserve"> </w:t>
      </w:r>
      <w:r>
        <w:rPr>
          <w:sz w:val="18"/>
        </w:rPr>
        <w:t>DNV-GL,</w:t>
      </w:r>
      <w:r>
        <w:rPr>
          <w:spacing w:val="-4"/>
          <w:sz w:val="18"/>
        </w:rPr>
        <w:t xml:space="preserve"> </w:t>
      </w:r>
      <w:r>
        <w:rPr>
          <w:sz w:val="18"/>
        </w:rPr>
        <w:t>September</w:t>
      </w:r>
      <w:r>
        <w:rPr>
          <w:spacing w:val="-3"/>
          <w:sz w:val="18"/>
        </w:rPr>
        <w:t xml:space="preserve"> </w:t>
      </w:r>
      <w:r>
        <w:rPr>
          <w:sz w:val="18"/>
        </w:rPr>
        <w:t>22,</w:t>
      </w:r>
      <w:r>
        <w:rPr>
          <w:spacing w:val="-4"/>
          <w:sz w:val="18"/>
        </w:rPr>
        <w:t xml:space="preserve"> </w:t>
      </w:r>
      <w:r>
        <w:rPr>
          <w:sz w:val="18"/>
        </w:rPr>
        <w:t>2017.</w:t>
      </w:r>
      <w:r>
        <w:rPr>
          <w:spacing w:val="-4"/>
          <w:sz w:val="18"/>
        </w:rPr>
        <w:t xml:space="preserve"> </w:t>
      </w:r>
      <w:r>
        <w:rPr>
          <w:sz w:val="18"/>
        </w:rPr>
        <w:t>CALMAC</w:t>
      </w:r>
      <w:r>
        <w:rPr>
          <w:spacing w:val="-4"/>
          <w:sz w:val="18"/>
        </w:rPr>
        <w:t xml:space="preserve"> </w:t>
      </w:r>
      <w:r>
        <w:rPr>
          <w:sz w:val="18"/>
        </w:rPr>
        <w:t>Study</w:t>
      </w:r>
      <w:r>
        <w:rPr>
          <w:spacing w:val="-4"/>
          <w:sz w:val="18"/>
        </w:rPr>
        <w:t xml:space="preserve"> </w:t>
      </w:r>
      <w:r>
        <w:rPr>
          <w:sz w:val="18"/>
        </w:rPr>
        <w:t>ID:</w:t>
      </w:r>
      <w:r>
        <w:rPr>
          <w:spacing w:val="-4"/>
          <w:sz w:val="18"/>
        </w:rPr>
        <w:t xml:space="preserve"> </w:t>
      </w:r>
      <w:r>
        <w:rPr>
          <w:sz w:val="18"/>
        </w:rPr>
        <w:t>CPU0172.01.</w:t>
      </w:r>
      <w:r>
        <w:rPr>
          <w:spacing w:val="-4"/>
          <w:sz w:val="18"/>
        </w:rPr>
        <w:t xml:space="preserve"> </w:t>
      </w:r>
      <w:r>
        <w:rPr>
          <w:sz w:val="18"/>
        </w:rPr>
        <w:t>Contract #12PS5119 (HVAC WO6).</w:t>
      </w:r>
    </w:p>
    <w:p w:rsidR="00C31389" w:rsidRDefault="00C31389" w14:paraId="3E0E4140" w14:textId="77777777">
      <w:pPr>
        <w:rPr>
          <w:sz w:val="18"/>
        </w:rPr>
        <w:sectPr w:rsidR="00C31389">
          <w:headerReference w:type="default" r:id="rId218"/>
          <w:footerReference w:type="default" r:id="rId219"/>
          <w:pgSz w:w="11910" w:h="16840"/>
          <w:pgMar w:top="1660" w:right="1020" w:bottom="1120" w:left="960" w:header="397" w:footer="938" w:gutter="0"/>
          <w:cols w:space="720"/>
        </w:sectPr>
      </w:pPr>
    </w:p>
    <w:p w:rsidR="00C31389" w:rsidRDefault="00C31389" w14:paraId="43EA082B" w14:textId="77777777">
      <w:pPr>
        <w:pStyle w:val="BodyText"/>
        <w:spacing w:before="11"/>
        <w:rPr>
          <w:sz w:val="13"/>
        </w:rPr>
      </w:pPr>
    </w:p>
    <w:p w:rsidR="00C31389" w:rsidRDefault="00561FBD" w14:paraId="0448443F" w14:textId="77777777">
      <w:pPr>
        <w:pStyle w:val="Heading7"/>
        <w:spacing w:before="92"/>
        <w:ind w:left="480"/>
      </w:pPr>
      <w:bookmarkStart w:name="_bookmark253" w:id="339"/>
      <w:bookmarkEnd w:id="339"/>
      <w:r>
        <w:t>Figure</w:t>
      </w:r>
      <w:r>
        <w:rPr>
          <w:spacing w:val="-9"/>
        </w:rPr>
        <w:t xml:space="preserve"> </w:t>
      </w:r>
      <w:r>
        <w:t>B-3.</w:t>
      </w:r>
      <w:r>
        <w:rPr>
          <w:spacing w:val="-9"/>
        </w:rPr>
        <w:t xml:space="preserve"> </w:t>
      </w:r>
      <w:r>
        <w:t>HVAC</w:t>
      </w:r>
      <w:r>
        <w:rPr>
          <w:spacing w:val="-7"/>
        </w:rPr>
        <w:t xml:space="preserve"> </w:t>
      </w:r>
      <w:r>
        <w:t>Permit</w:t>
      </w:r>
      <w:r>
        <w:rPr>
          <w:spacing w:val="-9"/>
        </w:rPr>
        <w:t xml:space="preserve"> </w:t>
      </w:r>
      <w:r>
        <w:t>and</w:t>
      </w:r>
      <w:r>
        <w:rPr>
          <w:spacing w:val="-8"/>
        </w:rPr>
        <w:t xml:space="preserve"> </w:t>
      </w:r>
      <w:r>
        <w:t>Code</w:t>
      </w:r>
      <w:r>
        <w:rPr>
          <w:spacing w:val="-9"/>
        </w:rPr>
        <w:t xml:space="preserve"> </w:t>
      </w:r>
      <w:r>
        <w:t>Compliance</w:t>
      </w:r>
      <w:r>
        <w:rPr>
          <w:spacing w:val="-9"/>
        </w:rPr>
        <w:t xml:space="preserve"> </w:t>
      </w:r>
      <w:r>
        <w:t>Market</w:t>
      </w:r>
      <w:r>
        <w:rPr>
          <w:spacing w:val="-8"/>
        </w:rPr>
        <w:t xml:space="preserve"> </w:t>
      </w:r>
      <w:r>
        <w:t>Assessment</w:t>
      </w:r>
      <w:r>
        <w:rPr>
          <w:spacing w:val="-9"/>
        </w:rPr>
        <w:t xml:space="preserve"> </w:t>
      </w:r>
      <w:r>
        <w:t>Climate</w:t>
      </w:r>
      <w:r>
        <w:rPr>
          <w:spacing w:val="-8"/>
        </w:rPr>
        <w:t xml:space="preserve"> </w:t>
      </w:r>
      <w:r>
        <w:rPr>
          <w:spacing w:val="-2"/>
        </w:rPr>
        <w:t>Regions</w:t>
      </w:r>
    </w:p>
    <w:p w:rsidR="00C31389" w:rsidRDefault="00C31389" w14:paraId="636EEA91" w14:textId="77777777">
      <w:pPr>
        <w:pStyle w:val="BodyText"/>
        <w:rPr>
          <w:b/>
          <w:sz w:val="20"/>
        </w:rPr>
      </w:pPr>
    </w:p>
    <w:p w:rsidR="00C31389" w:rsidRDefault="00561FBD" w14:paraId="3129BA08" w14:textId="77777777">
      <w:pPr>
        <w:pStyle w:val="BodyText"/>
        <w:spacing w:before="1"/>
        <w:rPr>
          <w:b/>
          <w:sz w:val="11"/>
        </w:rPr>
      </w:pPr>
      <w:r>
        <w:rPr>
          <w:noProof/>
        </w:rPr>
        <w:drawing>
          <wp:anchor distT="0" distB="0" distL="0" distR="0" simplePos="0" relativeHeight="487680512" behindDoc="1" locked="0" layoutInCell="1" allowOverlap="1" wp14:editId="19EB4652" wp14:anchorId="49854D17">
            <wp:simplePos x="0" y="0"/>
            <wp:positionH relativeFrom="page">
              <wp:posOffset>2198430</wp:posOffset>
            </wp:positionH>
            <wp:positionV relativeFrom="paragraph">
              <wp:posOffset>96401</wp:posOffset>
            </wp:positionV>
            <wp:extent cx="3242862" cy="4030217"/>
            <wp:effectExtent l="0" t="0" r="0" b="0"/>
            <wp:wrapTopAndBottom/>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220" cstate="print"/>
                    <a:stretch>
                      <a:fillRect/>
                    </a:stretch>
                  </pic:blipFill>
                  <pic:spPr>
                    <a:xfrm>
                      <a:off x="0" y="0"/>
                      <a:ext cx="3242862" cy="4030217"/>
                    </a:xfrm>
                    <a:prstGeom prst="rect">
                      <a:avLst/>
                    </a:prstGeom>
                  </pic:spPr>
                </pic:pic>
              </a:graphicData>
            </a:graphic>
          </wp:anchor>
        </w:drawing>
      </w:r>
    </w:p>
    <w:p w:rsidR="00C31389" w:rsidRDefault="00C31389" w14:paraId="28D29A54" w14:textId="77777777">
      <w:pPr>
        <w:pStyle w:val="BodyText"/>
        <w:spacing w:before="7"/>
        <w:rPr>
          <w:b/>
          <w:sz w:val="30"/>
        </w:rPr>
      </w:pPr>
    </w:p>
    <w:p w:rsidR="00C31389" w:rsidRDefault="00561FBD" w14:paraId="32773EB1" w14:textId="77777777">
      <w:pPr>
        <w:ind w:left="480"/>
        <w:rPr>
          <w:i/>
          <w:sz w:val="18"/>
        </w:rPr>
      </w:pPr>
      <w:r>
        <w:rPr>
          <w:i/>
          <w:sz w:val="18"/>
        </w:rPr>
        <w:t>Source:</w:t>
      </w:r>
      <w:r>
        <w:rPr>
          <w:i/>
          <w:spacing w:val="-5"/>
          <w:sz w:val="18"/>
        </w:rPr>
        <w:t xml:space="preserve"> </w:t>
      </w:r>
      <w:r>
        <w:rPr>
          <w:i/>
          <w:sz w:val="18"/>
        </w:rPr>
        <w:t>DNV</w:t>
      </w:r>
      <w:r>
        <w:rPr>
          <w:i/>
          <w:spacing w:val="-1"/>
          <w:sz w:val="18"/>
        </w:rPr>
        <w:t xml:space="preserve"> </w:t>
      </w:r>
      <w:r>
        <w:rPr>
          <w:i/>
          <w:sz w:val="18"/>
        </w:rPr>
        <w:t>GL,</w:t>
      </w:r>
      <w:r>
        <w:rPr>
          <w:i/>
          <w:spacing w:val="-2"/>
          <w:sz w:val="18"/>
        </w:rPr>
        <w:t xml:space="preserve"> </w:t>
      </w:r>
      <w:r>
        <w:rPr>
          <w:i/>
          <w:spacing w:val="-4"/>
          <w:sz w:val="18"/>
        </w:rPr>
        <w:t>2017</w:t>
      </w:r>
    </w:p>
    <w:p w:rsidR="00C31389" w:rsidRDefault="00C31389" w14:paraId="23ACCC4B" w14:textId="77777777">
      <w:pPr>
        <w:pStyle w:val="BodyText"/>
        <w:spacing w:before="9"/>
        <w:rPr>
          <w:i/>
          <w:sz w:val="20"/>
        </w:rPr>
      </w:pPr>
    </w:p>
    <w:p w:rsidR="00C31389" w:rsidRDefault="00561FBD" w14:paraId="3726115E" w14:textId="77777777">
      <w:pPr>
        <w:pStyle w:val="Heading7"/>
        <w:spacing w:before="1"/>
        <w:ind w:left="480"/>
      </w:pPr>
      <w:bookmarkStart w:name="_bookmark254" w:id="340"/>
      <w:bookmarkEnd w:id="340"/>
      <w:r>
        <w:t>Figure</w:t>
      </w:r>
      <w:r>
        <w:rPr>
          <w:spacing w:val="-8"/>
        </w:rPr>
        <w:t xml:space="preserve"> </w:t>
      </w:r>
      <w:r>
        <w:t>B-4.</w:t>
      </w:r>
      <w:r>
        <w:rPr>
          <w:spacing w:val="-8"/>
        </w:rPr>
        <w:t xml:space="preserve"> </w:t>
      </w:r>
      <w:r>
        <w:t>Probability</w:t>
      </w:r>
      <w:r>
        <w:rPr>
          <w:spacing w:val="-8"/>
        </w:rPr>
        <w:t xml:space="preserve"> </w:t>
      </w:r>
      <w:r>
        <w:t>Distribution</w:t>
      </w:r>
      <w:r>
        <w:rPr>
          <w:spacing w:val="-8"/>
        </w:rPr>
        <w:t xml:space="preserve"> </w:t>
      </w:r>
      <w:r>
        <w:t>of</w:t>
      </w:r>
      <w:r>
        <w:rPr>
          <w:spacing w:val="-8"/>
        </w:rPr>
        <w:t xml:space="preserve"> </w:t>
      </w:r>
      <w:r>
        <w:t>Lifetimes</w:t>
      </w:r>
      <w:r>
        <w:rPr>
          <w:spacing w:val="-8"/>
        </w:rPr>
        <w:t xml:space="preserve"> </w:t>
      </w:r>
      <w:r>
        <w:t>for</w:t>
      </w:r>
      <w:r>
        <w:rPr>
          <w:spacing w:val="-9"/>
        </w:rPr>
        <w:t xml:space="preserve"> </w:t>
      </w:r>
      <w:r>
        <w:t>Central</w:t>
      </w:r>
      <w:r>
        <w:rPr>
          <w:spacing w:val="-8"/>
        </w:rPr>
        <w:t xml:space="preserve"> </w:t>
      </w:r>
      <w:r>
        <w:rPr>
          <w:spacing w:val="-5"/>
        </w:rPr>
        <w:t>ACs</w:t>
      </w:r>
    </w:p>
    <w:p w:rsidR="00C31389" w:rsidRDefault="00561FBD" w14:paraId="4A751EDC" w14:textId="77777777">
      <w:pPr>
        <w:pStyle w:val="BodyText"/>
        <w:spacing w:before="7"/>
        <w:rPr>
          <w:b/>
          <w:sz w:val="14"/>
        </w:rPr>
      </w:pPr>
      <w:r>
        <w:rPr>
          <w:noProof/>
        </w:rPr>
        <w:drawing>
          <wp:anchor distT="0" distB="0" distL="0" distR="0" simplePos="0" relativeHeight="487681024" behindDoc="1" locked="0" layoutInCell="1" allowOverlap="1" wp14:editId="7211FF7D" wp14:anchorId="71F57EE5">
            <wp:simplePos x="0" y="0"/>
            <wp:positionH relativeFrom="page">
              <wp:posOffset>1265555</wp:posOffset>
            </wp:positionH>
            <wp:positionV relativeFrom="paragraph">
              <wp:posOffset>122048</wp:posOffset>
            </wp:positionV>
            <wp:extent cx="5023467" cy="3017520"/>
            <wp:effectExtent l="0" t="0" r="0" b="0"/>
            <wp:wrapTopAndBottom/>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221" cstate="print"/>
                    <a:stretch>
                      <a:fillRect/>
                    </a:stretch>
                  </pic:blipFill>
                  <pic:spPr>
                    <a:xfrm>
                      <a:off x="0" y="0"/>
                      <a:ext cx="5023467" cy="3017520"/>
                    </a:xfrm>
                    <a:prstGeom prst="rect">
                      <a:avLst/>
                    </a:prstGeom>
                  </pic:spPr>
                </pic:pic>
              </a:graphicData>
            </a:graphic>
          </wp:anchor>
        </w:drawing>
      </w:r>
    </w:p>
    <w:p w:rsidR="00C31389" w:rsidRDefault="00561FBD" w14:paraId="0A2DC45A" w14:textId="77777777">
      <w:pPr>
        <w:spacing w:before="66"/>
        <w:ind w:left="480"/>
        <w:rPr>
          <w:i/>
          <w:sz w:val="18"/>
        </w:rPr>
      </w:pPr>
      <w:r>
        <w:rPr>
          <w:i/>
          <w:sz w:val="18"/>
        </w:rPr>
        <w:t>Source:</w:t>
      </w:r>
      <w:r>
        <w:rPr>
          <w:i/>
          <w:spacing w:val="-5"/>
          <w:sz w:val="18"/>
        </w:rPr>
        <w:t xml:space="preserve"> </w:t>
      </w:r>
      <w:r>
        <w:rPr>
          <w:i/>
          <w:sz w:val="18"/>
        </w:rPr>
        <w:t>DNV</w:t>
      </w:r>
      <w:r>
        <w:rPr>
          <w:i/>
          <w:spacing w:val="-1"/>
          <w:sz w:val="18"/>
        </w:rPr>
        <w:t xml:space="preserve"> </w:t>
      </w:r>
      <w:r>
        <w:rPr>
          <w:i/>
          <w:sz w:val="18"/>
        </w:rPr>
        <w:t>GL,</w:t>
      </w:r>
      <w:r>
        <w:rPr>
          <w:i/>
          <w:spacing w:val="-2"/>
          <w:sz w:val="18"/>
        </w:rPr>
        <w:t xml:space="preserve"> </w:t>
      </w:r>
      <w:r>
        <w:rPr>
          <w:i/>
          <w:spacing w:val="-4"/>
          <w:sz w:val="18"/>
        </w:rPr>
        <w:t>2017</w:t>
      </w:r>
    </w:p>
    <w:p w:rsidR="00C31389" w:rsidRDefault="00C31389" w14:paraId="18D26FCA" w14:textId="77777777">
      <w:pPr>
        <w:rPr>
          <w:sz w:val="18"/>
        </w:rPr>
        <w:sectPr w:rsidR="00C31389">
          <w:pgSz w:w="11910" w:h="16840"/>
          <w:pgMar w:top="1660" w:right="1020" w:bottom="1120" w:left="960" w:header="397" w:footer="938" w:gutter="0"/>
          <w:cols w:space="720"/>
        </w:sectPr>
      </w:pPr>
    </w:p>
    <w:p w:rsidR="00C31389" w:rsidRDefault="00C31389" w14:paraId="5C17499C" w14:textId="77777777">
      <w:pPr>
        <w:pStyle w:val="BodyText"/>
        <w:spacing w:before="11"/>
        <w:rPr>
          <w:i/>
          <w:sz w:val="13"/>
        </w:rPr>
      </w:pPr>
    </w:p>
    <w:p w:rsidR="00C31389" w:rsidRDefault="00561FBD" w14:paraId="046FCC7A" w14:textId="77777777">
      <w:pPr>
        <w:pStyle w:val="BodyText"/>
        <w:spacing w:before="92"/>
        <w:ind w:left="1200" w:right="418"/>
      </w:pPr>
      <w:r>
        <w:t xml:space="preserve">The 2014-16 HVAC Permit and Code </w:t>
      </w:r>
      <w:r>
        <w:t>Compliance Market Assessment study also reviewed the permitting records on 196 HVAC changeout projects for the 2008 and 2013</w:t>
      </w:r>
      <w:r>
        <w:rPr>
          <w:spacing w:val="-3"/>
        </w:rPr>
        <w:t xml:space="preserve"> </w:t>
      </w:r>
      <w:r>
        <w:t>code</w:t>
      </w:r>
      <w:r>
        <w:rPr>
          <w:spacing w:val="-3"/>
        </w:rPr>
        <w:t xml:space="preserve"> </w:t>
      </w:r>
      <w:r>
        <w:t>cycles.</w:t>
      </w:r>
      <w:r>
        <w:rPr>
          <w:spacing w:val="-3"/>
        </w:rPr>
        <w:t xml:space="preserve"> </w:t>
      </w:r>
      <w:r>
        <w:t>The</w:t>
      </w:r>
      <w:r>
        <w:rPr>
          <w:spacing w:val="-3"/>
        </w:rPr>
        <w:t xml:space="preserve"> </w:t>
      </w:r>
      <w:r>
        <w:t>study</w:t>
      </w:r>
      <w:r>
        <w:rPr>
          <w:spacing w:val="-3"/>
        </w:rPr>
        <w:t xml:space="preserve"> </w:t>
      </w:r>
      <w:r>
        <w:t>completed</w:t>
      </w:r>
      <w:r>
        <w:rPr>
          <w:spacing w:val="-3"/>
        </w:rPr>
        <w:t xml:space="preserve"> </w:t>
      </w:r>
      <w:r>
        <w:t>onsite</w:t>
      </w:r>
      <w:r>
        <w:rPr>
          <w:spacing w:val="-3"/>
        </w:rPr>
        <w:t xml:space="preserve"> </w:t>
      </w:r>
      <w:r>
        <w:t>inspections</w:t>
      </w:r>
      <w:r>
        <w:rPr>
          <w:spacing w:val="-3"/>
        </w:rPr>
        <w:t xml:space="preserve"> </w:t>
      </w:r>
      <w:r>
        <w:t>for</w:t>
      </w:r>
      <w:r>
        <w:rPr>
          <w:spacing w:val="-3"/>
        </w:rPr>
        <w:t xml:space="preserve"> </w:t>
      </w:r>
      <w:r>
        <w:t>two</w:t>
      </w:r>
      <w:r>
        <w:rPr>
          <w:spacing w:val="-3"/>
        </w:rPr>
        <w:t xml:space="preserve"> </w:t>
      </w:r>
      <w:r>
        <w:t>climate</w:t>
      </w:r>
      <w:r>
        <w:rPr>
          <w:spacing w:val="-3"/>
        </w:rPr>
        <w:t xml:space="preserve"> </w:t>
      </w:r>
      <w:r>
        <w:t>regions:</w:t>
      </w:r>
      <w:r>
        <w:rPr>
          <w:spacing w:val="-3"/>
        </w:rPr>
        <w:t xml:space="preserve"> </w:t>
      </w:r>
      <w:r>
        <w:t xml:space="preserve">a coastal region comprising climate zones 1, 3, 5, 6, </w:t>
      </w:r>
      <w:r>
        <w:t>and 7, and an inland region</w:t>
      </w:r>
    </w:p>
    <w:p w:rsidR="00C31389" w:rsidRDefault="00561FBD" w14:paraId="50041FE3" w14:textId="77777777">
      <w:pPr>
        <w:pStyle w:val="BodyText"/>
        <w:ind w:left="1199" w:right="434"/>
      </w:pPr>
      <w:r>
        <w:t>comprising climate zones 2, 4, and 8-16. The final sample of 196 inspections contained</w:t>
      </w:r>
      <w:r>
        <w:rPr>
          <w:spacing w:val="-3"/>
        </w:rPr>
        <w:t xml:space="preserve"> </w:t>
      </w:r>
      <w:r>
        <w:t>143</w:t>
      </w:r>
      <w:r>
        <w:rPr>
          <w:spacing w:val="-3"/>
        </w:rPr>
        <w:t xml:space="preserve"> </w:t>
      </w:r>
      <w:r>
        <w:t>installations</w:t>
      </w:r>
      <w:r>
        <w:rPr>
          <w:spacing w:val="-3"/>
        </w:rPr>
        <w:t xml:space="preserve"> </w:t>
      </w:r>
      <w:r>
        <w:t>in</w:t>
      </w:r>
      <w:r>
        <w:rPr>
          <w:spacing w:val="-3"/>
        </w:rPr>
        <w:t xml:space="preserve"> </w:t>
      </w:r>
      <w:r>
        <w:t>the</w:t>
      </w:r>
      <w:r>
        <w:rPr>
          <w:spacing w:val="-3"/>
        </w:rPr>
        <w:t xml:space="preserve"> </w:t>
      </w:r>
      <w:r>
        <w:t>inland</w:t>
      </w:r>
      <w:r>
        <w:rPr>
          <w:spacing w:val="-3"/>
        </w:rPr>
        <w:t xml:space="preserve"> </w:t>
      </w:r>
      <w:r>
        <w:t>region</w:t>
      </w:r>
      <w:r>
        <w:rPr>
          <w:spacing w:val="-3"/>
        </w:rPr>
        <w:t xml:space="preserve"> </w:t>
      </w:r>
      <w:r>
        <w:t>and</w:t>
      </w:r>
      <w:r>
        <w:rPr>
          <w:spacing w:val="-3"/>
        </w:rPr>
        <w:t xml:space="preserve"> </w:t>
      </w:r>
      <w:r>
        <w:t>53</w:t>
      </w:r>
      <w:r>
        <w:rPr>
          <w:spacing w:val="-3"/>
        </w:rPr>
        <w:t xml:space="preserve"> </w:t>
      </w:r>
      <w:r>
        <w:t>in</w:t>
      </w:r>
      <w:r>
        <w:rPr>
          <w:spacing w:val="-3"/>
        </w:rPr>
        <w:t xml:space="preserve"> </w:t>
      </w:r>
      <w:r>
        <w:t>the</w:t>
      </w:r>
      <w:r>
        <w:rPr>
          <w:spacing w:val="-4"/>
        </w:rPr>
        <w:t xml:space="preserve"> </w:t>
      </w:r>
      <w:r>
        <w:t>coastal</w:t>
      </w:r>
      <w:r>
        <w:rPr>
          <w:spacing w:val="-3"/>
        </w:rPr>
        <w:t xml:space="preserve"> </w:t>
      </w:r>
      <w:r>
        <w:t>region.</w:t>
      </w:r>
      <w:r>
        <w:rPr>
          <w:spacing w:val="-3"/>
        </w:rPr>
        <w:t xml:space="preserve"> </w:t>
      </w:r>
      <w:r>
        <w:t>Because this was a random sample of actual permitted projects, this anal</w:t>
      </w:r>
      <w:r>
        <w:t xml:space="preserve">ysis is considered representative of broader market characteristics for HVAC replacements. </w:t>
      </w:r>
      <w:hyperlink w:history="1" w:anchor="_bookmark255">
        <w:r>
          <w:t>Table B-5.</w:t>
        </w:r>
      </w:hyperlink>
      <w:r>
        <w:t xml:space="preserve"> contains analysis of data provided in the </w:t>
      </w:r>
      <w:r>
        <w:rPr>
          <w:i/>
        </w:rPr>
        <w:t>2014-16 HVAC Permit and Code Compliance Market</w:t>
      </w:r>
      <w:r>
        <w:rPr>
          <w:i/>
        </w:rPr>
        <w:t xml:space="preserve"> Assessment </w:t>
      </w:r>
      <w:r>
        <w:t>on the distribution of HVAC system type by climate region</w:t>
      </w:r>
      <w:r>
        <w:rPr>
          <w:spacing w:val="-37"/>
        </w:rPr>
        <w:t xml:space="preserve"> </w:t>
      </w:r>
      <w:hyperlink w:history="1" w:anchor="_bookmark256">
        <w:r>
          <w:rPr>
            <w:position w:val="7"/>
            <w:sz w:val="14"/>
          </w:rPr>
          <w:t>79</w:t>
        </w:r>
      </w:hyperlink>
      <w:r>
        <w:rPr>
          <w:spacing w:val="33"/>
          <w:position w:val="7"/>
          <w:sz w:val="14"/>
        </w:rPr>
        <w:t xml:space="preserve"> </w:t>
      </w:r>
      <w:r>
        <w:t>and compares the sample HVAC system distribution by the coastal and inland climate regions. Overall, 65% of replacemen</w:t>
      </w:r>
      <w:r>
        <w:t>ts projects included heating and AC components. This result varies by area, with 36% of coastal projects being full system replacements versus 76% of inland projects.</w:t>
      </w:r>
    </w:p>
    <w:p w:rsidR="00C31389" w:rsidRDefault="00C31389" w14:paraId="494830D0" w14:textId="77777777">
      <w:pPr>
        <w:pStyle w:val="BodyText"/>
        <w:spacing w:before="10"/>
        <w:rPr>
          <w:sz w:val="20"/>
        </w:rPr>
      </w:pPr>
    </w:p>
    <w:p w:rsidR="00C31389" w:rsidRDefault="00561FBD" w14:paraId="7185843C" w14:textId="77777777">
      <w:pPr>
        <w:pStyle w:val="Heading7"/>
        <w:ind w:left="4620" w:right="434" w:hanging="3931"/>
      </w:pPr>
      <w:bookmarkStart w:name="_bookmark255" w:id="341"/>
      <w:bookmarkEnd w:id="341"/>
      <w:r>
        <w:t>Table</w:t>
      </w:r>
      <w:r>
        <w:rPr>
          <w:spacing w:val="-4"/>
        </w:rPr>
        <w:t xml:space="preserve"> </w:t>
      </w:r>
      <w:r>
        <w:t>B-5.</w:t>
      </w:r>
      <w:r>
        <w:rPr>
          <w:spacing w:val="-5"/>
        </w:rPr>
        <w:t xml:space="preserve"> </w:t>
      </w:r>
      <w:r>
        <w:t>Distribution</w:t>
      </w:r>
      <w:r>
        <w:rPr>
          <w:spacing w:val="-4"/>
        </w:rPr>
        <w:t xml:space="preserve"> </w:t>
      </w:r>
      <w:r>
        <w:t>of</w:t>
      </w:r>
      <w:r>
        <w:rPr>
          <w:spacing w:val="-4"/>
        </w:rPr>
        <w:t xml:space="preserve"> </w:t>
      </w:r>
      <w:r>
        <w:t>HVAC</w:t>
      </w:r>
      <w:r>
        <w:rPr>
          <w:spacing w:val="-3"/>
        </w:rPr>
        <w:t xml:space="preserve"> </w:t>
      </w:r>
      <w:r>
        <w:t>Replacements</w:t>
      </w:r>
      <w:r>
        <w:rPr>
          <w:spacing w:val="-4"/>
        </w:rPr>
        <w:t xml:space="preserve"> </w:t>
      </w:r>
      <w:r>
        <w:t>by</w:t>
      </w:r>
      <w:r>
        <w:rPr>
          <w:spacing w:val="-4"/>
        </w:rPr>
        <w:t xml:space="preserve"> </w:t>
      </w:r>
      <w:r>
        <w:t>System</w:t>
      </w:r>
      <w:r>
        <w:rPr>
          <w:spacing w:val="-4"/>
        </w:rPr>
        <w:t xml:space="preserve"> </w:t>
      </w:r>
      <w:r>
        <w:t>Component</w:t>
      </w:r>
      <w:r>
        <w:rPr>
          <w:spacing w:val="-4"/>
        </w:rPr>
        <w:t xml:space="preserve"> </w:t>
      </w:r>
      <w:r>
        <w:t>and</w:t>
      </w:r>
      <w:r>
        <w:rPr>
          <w:spacing w:val="-4"/>
        </w:rPr>
        <w:t xml:space="preserve"> </w:t>
      </w:r>
      <w:r>
        <w:t xml:space="preserve">Climate </w:t>
      </w:r>
      <w:r>
        <w:rPr>
          <w:spacing w:val="-2"/>
        </w:rPr>
        <w:t>Region</w:t>
      </w:r>
    </w:p>
    <w:p w:rsidR="00C31389" w:rsidRDefault="00C31389" w14:paraId="2A2EE87C" w14:textId="77777777">
      <w:pPr>
        <w:pStyle w:val="BodyText"/>
        <w:spacing w:before="7"/>
        <w:rPr>
          <w:b/>
          <w:sz w:val="9"/>
        </w:rPr>
      </w:pPr>
    </w:p>
    <w:tbl>
      <w:tblPr>
        <w:tblW w:w="0" w:type="auto"/>
        <w:tblInd w:w="883" w:type="dxa"/>
        <w:tblLayout w:type="fixed"/>
        <w:tblCellMar>
          <w:left w:w="0" w:type="dxa"/>
          <w:right w:w="0" w:type="dxa"/>
        </w:tblCellMar>
        <w:tblLook w:val="01E0" w:firstRow="1" w:lastRow="1" w:firstColumn="1" w:lastColumn="1" w:noHBand="0" w:noVBand="0"/>
      </w:tblPr>
      <w:tblGrid>
        <w:gridCol w:w="4340"/>
        <w:gridCol w:w="1614"/>
        <w:gridCol w:w="1153"/>
        <w:gridCol w:w="1122"/>
      </w:tblGrid>
      <w:tr w:rsidR="00C31389" w14:paraId="75D1ADC1" w14:textId="77777777">
        <w:trPr>
          <w:trHeight w:val="441"/>
        </w:trPr>
        <w:tc>
          <w:tcPr>
            <w:tcW w:w="4340" w:type="dxa"/>
            <w:shd w:val="clear" w:color="auto" w:fill="92D400"/>
          </w:tcPr>
          <w:p w:rsidR="00C31389" w:rsidRDefault="00561FBD" w14:paraId="6499AC18" w14:textId="77777777">
            <w:pPr>
              <w:pStyle w:val="TableParagraph"/>
              <w:spacing w:before="122"/>
              <w:ind w:left="122"/>
              <w:rPr>
                <w:b/>
                <w:sz w:val="20"/>
              </w:rPr>
            </w:pPr>
            <w:r>
              <w:rPr>
                <w:b/>
                <w:sz w:val="20"/>
              </w:rPr>
              <w:t>System</w:t>
            </w:r>
            <w:r>
              <w:rPr>
                <w:b/>
                <w:spacing w:val="-6"/>
                <w:sz w:val="20"/>
              </w:rPr>
              <w:t xml:space="preserve"> </w:t>
            </w:r>
            <w:r>
              <w:rPr>
                <w:b/>
                <w:spacing w:val="-4"/>
                <w:sz w:val="20"/>
              </w:rPr>
              <w:t>Type</w:t>
            </w:r>
          </w:p>
        </w:tc>
        <w:tc>
          <w:tcPr>
            <w:tcW w:w="1614" w:type="dxa"/>
            <w:shd w:val="clear" w:color="auto" w:fill="92D400"/>
          </w:tcPr>
          <w:p w:rsidR="00C31389" w:rsidRDefault="00561FBD" w14:paraId="766C06C2" w14:textId="77777777">
            <w:pPr>
              <w:pStyle w:val="TableParagraph"/>
              <w:spacing w:before="122"/>
              <w:ind w:left="624" w:right="241"/>
              <w:jc w:val="center"/>
              <w:rPr>
                <w:b/>
                <w:sz w:val="20"/>
              </w:rPr>
            </w:pPr>
            <w:r>
              <w:rPr>
                <w:b/>
                <w:spacing w:val="-2"/>
                <w:sz w:val="20"/>
              </w:rPr>
              <w:t>Coastal</w:t>
            </w:r>
          </w:p>
        </w:tc>
        <w:tc>
          <w:tcPr>
            <w:tcW w:w="1153" w:type="dxa"/>
            <w:shd w:val="clear" w:color="auto" w:fill="92D400"/>
          </w:tcPr>
          <w:p w:rsidR="00C31389" w:rsidRDefault="00561FBD" w14:paraId="294C2BDA" w14:textId="77777777">
            <w:pPr>
              <w:pStyle w:val="TableParagraph"/>
              <w:spacing w:before="122"/>
              <w:ind w:left="238" w:right="297"/>
              <w:jc w:val="center"/>
              <w:rPr>
                <w:b/>
                <w:sz w:val="20"/>
              </w:rPr>
            </w:pPr>
            <w:r>
              <w:rPr>
                <w:b/>
                <w:spacing w:val="-2"/>
                <w:sz w:val="20"/>
              </w:rPr>
              <w:t>Inland</w:t>
            </w:r>
          </w:p>
        </w:tc>
        <w:tc>
          <w:tcPr>
            <w:tcW w:w="1122" w:type="dxa"/>
            <w:shd w:val="clear" w:color="auto" w:fill="92D400"/>
          </w:tcPr>
          <w:p w:rsidR="00C31389" w:rsidRDefault="00561FBD" w14:paraId="6A3B08E8" w14:textId="77777777">
            <w:pPr>
              <w:pStyle w:val="TableParagraph"/>
              <w:spacing w:before="122"/>
              <w:ind w:left="296" w:right="288"/>
              <w:jc w:val="center"/>
              <w:rPr>
                <w:b/>
                <w:sz w:val="20"/>
              </w:rPr>
            </w:pPr>
            <w:r>
              <w:rPr>
                <w:b/>
                <w:spacing w:val="-2"/>
                <w:sz w:val="20"/>
              </w:rPr>
              <w:t>Total</w:t>
            </w:r>
          </w:p>
        </w:tc>
      </w:tr>
      <w:tr w:rsidR="00C31389" w14:paraId="75827569" w14:textId="77777777">
        <w:trPr>
          <w:trHeight w:val="310"/>
        </w:trPr>
        <w:tc>
          <w:tcPr>
            <w:tcW w:w="4340" w:type="dxa"/>
            <w:tcBorders>
              <w:bottom w:val="single" w:color="D9D9D9" w:sz="2" w:space="0"/>
            </w:tcBorders>
          </w:tcPr>
          <w:p w:rsidR="00C31389" w:rsidRDefault="00561FBD" w14:paraId="0803C086" w14:textId="77777777">
            <w:pPr>
              <w:pStyle w:val="TableParagraph"/>
              <w:ind w:left="122"/>
              <w:rPr>
                <w:sz w:val="20"/>
              </w:rPr>
            </w:pPr>
            <w:r>
              <w:rPr>
                <w:sz w:val="20"/>
              </w:rPr>
              <w:t>Both</w:t>
            </w:r>
            <w:r>
              <w:rPr>
                <w:spacing w:val="-3"/>
                <w:sz w:val="20"/>
              </w:rPr>
              <w:t xml:space="preserve"> </w:t>
            </w:r>
            <w:r>
              <w:rPr>
                <w:sz w:val="20"/>
              </w:rPr>
              <w:t>heating</w:t>
            </w:r>
            <w:r>
              <w:rPr>
                <w:spacing w:val="-4"/>
                <w:sz w:val="20"/>
              </w:rPr>
              <w:t xml:space="preserve"> </w:t>
            </w:r>
            <w:r>
              <w:rPr>
                <w:sz w:val="20"/>
              </w:rPr>
              <w:t>and</w:t>
            </w:r>
            <w:r>
              <w:rPr>
                <w:spacing w:val="-3"/>
                <w:sz w:val="20"/>
              </w:rPr>
              <w:t xml:space="preserve"> </w:t>
            </w:r>
            <w:r>
              <w:rPr>
                <w:sz w:val="20"/>
              </w:rPr>
              <w:t>cooling</w:t>
            </w:r>
            <w:r>
              <w:rPr>
                <w:spacing w:val="-3"/>
                <w:sz w:val="20"/>
              </w:rPr>
              <w:t xml:space="preserve"> </w:t>
            </w:r>
            <w:r>
              <w:rPr>
                <w:spacing w:val="-2"/>
                <w:sz w:val="20"/>
              </w:rPr>
              <w:t>components</w:t>
            </w:r>
          </w:p>
        </w:tc>
        <w:tc>
          <w:tcPr>
            <w:tcW w:w="1614" w:type="dxa"/>
            <w:tcBorders>
              <w:bottom w:val="single" w:color="D9D9D9" w:sz="2" w:space="0"/>
            </w:tcBorders>
          </w:tcPr>
          <w:p w:rsidR="00C31389" w:rsidRDefault="00561FBD" w14:paraId="12FD8E74" w14:textId="77777777">
            <w:pPr>
              <w:pStyle w:val="TableParagraph"/>
              <w:ind w:left="622" w:right="241"/>
              <w:jc w:val="center"/>
              <w:rPr>
                <w:sz w:val="20"/>
              </w:rPr>
            </w:pPr>
            <w:r>
              <w:rPr>
                <w:spacing w:val="-5"/>
                <w:sz w:val="20"/>
              </w:rPr>
              <w:t>19</w:t>
            </w:r>
          </w:p>
        </w:tc>
        <w:tc>
          <w:tcPr>
            <w:tcW w:w="1153" w:type="dxa"/>
            <w:tcBorders>
              <w:bottom w:val="single" w:color="D9D9D9" w:sz="2" w:space="0"/>
            </w:tcBorders>
          </w:tcPr>
          <w:p w:rsidR="00C31389" w:rsidRDefault="00561FBD" w14:paraId="244EAD57" w14:textId="77777777">
            <w:pPr>
              <w:pStyle w:val="TableParagraph"/>
              <w:ind w:left="238" w:right="294"/>
              <w:jc w:val="center"/>
              <w:rPr>
                <w:sz w:val="20"/>
              </w:rPr>
            </w:pPr>
            <w:r>
              <w:rPr>
                <w:spacing w:val="-5"/>
                <w:sz w:val="20"/>
              </w:rPr>
              <w:t>109</w:t>
            </w:r>
          </w:p>
        </w:tc>
        <w:tc>
          <w:tcPr>
            <w:tcW w:w="1122" w:type="dxa"/>
            <w:tcBorders>
              <w:bottom w:val="single" w:color="D9D9D9" w:sz="2" w:space="0"/>
            </w:tcBorders>
          </w:tcPr>
          <w:p w:rsidR="00C31389" w:rsidRDefault="00561FBD" w14:paraId="795CBB18" w14:textId="77777777">
            <w:pPr>
              <w:pStyle w:val="TableParagraph"/>
              <w:ind w:left="296" w:right="288"/>
              <w:jc w:val="center"/>
              <w:rPr>
                <w:sz w:val="20"/>
              </w:rPr>
            </w:pPr>
            <w:r>
              <w:rPr>
                <w:spacing w:val="-5"/>
                <w:sz w:val="20"/>
              </w:rPr>
              <w:t>128</w:t>
            </w:r>
          </w:p>
        </w:tc>
      </w:tr>
      <w:tr w:rsidR="00C31389" w14:paraId="7A0EDCCC" w14:textId="77777777">
        <w:trPr>
          <w:trHeight w:val="309"/>
        </w:trPr>
        <w:tc>
          <w:tcPr>
            <w:tcW w:w="4340" w:type="dxa"/>
            <w:tcBorders>
              <w:top w:val="single" w:color="D9D9D9" w:sz="2" w:space="0"/>
              <w:bottom w:val="single" w:color="D9D9D9" w:sz="2" w:space="0"/>
            </w:tcBorders>
          </w:tcPr>
          <w:p w:rsidR="00C31389" w:rsidRDefault="00561FBD" w14:paraId="28DF3A5A" w14:textId="77777777">
            <w:pPr>
              <w:pStyle w:val="TableParagraph"/>
              <w:ind w:left="122"/>
              <w:rPr>
                <w:sz w:val="20"/>
              </w:rPr>
            </w:pPr>
            <w:r>
              <w:rPr>
                <w:sz w:val="20"/>
              </w:rPr>
              <w:t>Cooling</w:t>
            </w:r>
            <w:r>
              <w:rPr>
                <w:spacing w:val="-7"/>
                <w:sz w:val="20"/>
              </w:rPr>
              <w:t xml:space="preserve"> </w:t>
            </w:r>
            <w:r>
              <w:rPr>
                <w:sz w:val="20"/>
              </w:rPr>
              <w:t>component</w:t>
            </w:r>
            <w:r>
              <w:rPr>
                <w:spacing w:val="-4"/>
                <w:sz w:val="20"/>
              </w:rPr>
              <w:t xml:space="preserve"> only</w:t>
            </w:r>
          </w:p>
        </w:tc>
        <w:tc>
          <w:tcPr>
            <w:tcW w:w="1614" w:type="dxa"/>
            <w:tcBorders>
              <w:top w:val="single" w:color="D9D9D9" w:sz="2" w:space="0"/>
              <w:bottom w:val="single" w:color="D9D9D9" w:sz="2" w:space="0"/>
            </w:tcBorders>
          </w:tcPr>
          <w:p w:rsidR="00C31389" w:rsidRDefault="00561FBD" w14:paraId="16CE5641" w14:textId="77777777">
            <w:pPr>
              <w:pStyle w:val="TableParagraph"/>
              <w:ind w:left="379"/>
              <w:jc w:val="center"/>
              <w:rPr>
                <w:sz w:val="20"/>
              </w:rPr>
            </w:pPr>
            <w:r>
              <w:rPr>
                <w:sz w:val="20"/>
              </w:rPr>
              <w:t>3</w:t>
            </w:r>
          </w:p>
        </w:tc>
        <w:tc>
          <w:tcPr>
            <w:tcW w:w="1153" w:type="dxa"/>
            <w:tcBorders>
              <w:top w:val="single" w:color="D9D9D9" w:sz="2" w:space="0"/>
              <w:bottom w:val="single" w:color="D9D9D9" w:sz="2" w:space="0"/>
            </w:tcBorders>
          </w:tcPr>
          <w:p w:rsidR="00C31389" w:rsidRDefault="00561FBD" w14:paraId="04CFC100" w14:textId="77777777">
            <w:pPr>
              <w:pStyle w:val="TableParagraph"/>
              <w:ind w:right="59"/>
              <w:jc w:val="center"/>
              <w:rPr>
                <w:sz w:val="20"/>
              </w:rPr>
            </w:pPr>
            <w:r>
              <w:rPr>
                <w:sz w:val="20"/>
              </w:rPr>
              <w:t>8</w:t>
            </w:r>
          </w:p>
        </w:tc>
        <w:tc>
          <w:tcPr>
            <w:tcW w:w="1122" w:type="dxa"/>
            <w:tcBorders>
              <w:top w:val="single" w:color="D9D9D9" w:sz="2" w:space="0"/>
              <w:bottom w:val="single" w:color="D9D9D9" w:sz="2" w:space="0"/>
            </w:tcBorders>
          </w:tcPr>
          <w:p w:rsidR="00C31389" w:rsidRDefault="00561FBD" w14:paraId="312BD81F" w14:textId="77777777">
            <w:pPr>
              <w:pStyle w:val="TableParagraph"/>
              <w:ind w:left="295" w:right="288"/>
              <w:jc w:val="center"/>
              <w:rPr>
                <w:sz w:val="20"/>
              </w:rPr>
            </w:pPr>
            <w:r>
              <w:rPr>
                <w:spacing w:val="-5"/>
                <w:sz w:val="20"/>
              </w:rPr>
              <w:t>11</w:t>
            </w:r>
          </w:p>
        </w:tc>
      </w:tr>
      <w:tr w:rsidR="00C31389" w14:paraId="2770641E" w14:textId="77777777">
        <w:trPr>
          <w:trHeight w:val="310"/>
        </w:trPr>
        <w:tc>
          <w:tcPr>
            <w:tcW w:w="4340" w:type="dxa"/>
            <w:tcBorders>
              <w:top w:val="single" w:color="D9D9D9" w:sz="2" w:space="0"/>
              <w:bottom w:val="single" w:color="000000" w:sz="4" w:space="0"/>
            </w:tcBorders>
          </w:tcPr>
          <w:p w:rsidR="00C31389" w:rsidRDefault="00561FBD" w14:paraId="27397F83" w14:textId="77777777">
            <w:pPr>
              <w:pStyle w:val="TableParagraph"/>
              <w:ind w:left="122"/>
              <w:rPr>
                <w:sz w:val="20"/>
              </w:rPr>
            </w:pPr>
            <w:r>
              <w:rPr>
                <w:sz w:val="20"/>
              </w:rPr>
              <w:t>Heating</w:t>
            </w:r>
            <w:r>
              <w:rPr>
                <w:spacing w:val="-5"/>
                <w:sz w:val="20"/>
              </w:rPr>
              <w:t xml:space="preserve"> </w:t>
            </w:r>
            <w:r>
              <w:rPr>
                <w:sz w:val="20"/>
              </w:rPr>
              <w:t>component</w:t>
            </w:r>
            <w:r>
              <w:rPr>
                <w:spacing w:val="-5"/>
                <w:sz w:val="20"/>
              </w:rPr>
              <w:t xml:space="preserve"> </w:t>
            </w:r>
            <w:r>
              <w:rPr>
                <w:spacing w:val="-4"/>
                <w:sz w:val="20"/>
              </w:rPr>
              <w:t>only</w:t>
            </w:r>
          </w:p>
        </w:tc>
        <w:tc>
          <w:tcPr>
            <w:tcW w:w="1614" w:type="dxa"/>
            <w:tcBorders>
              <w:top w:val="single" w:color="D9D9D9" w:sz="2" w:space="0"/>
              <w:bottom w:val="single" w:color="000000" w:sz="4" w:space="0"/>
            </w:tcBorders>
          </w:tcPr>
          <w:p w:rsidR="00C31389" w:rsidRDefault="00561FBD" w14:paraId="63DD92BD" w14:textId="77777777">
            <w:pPr>
              <w:pStyle w:val="TableParagraph"/>
              <w:ind w:left="622" w:right="241"/>
              <w:jc w:val="center"/>
              <w:rPr>
                <w:sz w:val="20"/>
              </w:rPr>
            </w:pPr>
            <w:r>
              <w:rPr>
                <w:spacing w:val="-5"/>
                <w:sz w:val="20"/>
              </w:rPr>
              <w:t>31</w:t>
            </w:r>
          </w:p>
        </w:tc>
        <w:tc>
          <w:tcPr>
            <w:tcW w:w="1153" w:type="dxa"/>
            <w:tcBorders>
              <w:top w:val="single" w:color="D9D9D9" w:sz="2" w:space="0"/>
              <w:bottom w:val="single" w:color="000000" w:sz="4" w:space="0"/>
            </w:tcBorders>
          </w:tcPr>
          <w:p w:rsidR="00C31389" w:rsidRDefault="00561FBD" w14:paraId="465347CF" w14:textId="77777777">
            <w:pPr>
              <w:pStyle w:val="TableParagraph"/>
              <w:ind w:left="238" w:right="295"/>
              <w:jc w:val="center"/>
              <w:rPr>
                <w:sz w:val="20"/>
              </w:rPr>
            </w:pPr>
            <w:r>
              <w:rPr>
                <w:spacing w:val="-5"/>
                <w:sz w:val="20"/>
              </w:rPr>
              <w:t>26</w:t>
            </w:r>
          </w:p>
        </w:tc>
        <w:tc>
          <w:tcPr>
            <w:tcW w:w="1122" w:type="dxa"/>
            <w:tcBorders>
              <w:top w:val="single" w:color="D9D9D9" w:sz="2" w:space="0"/>
              <w:bottom w:val="single" w:color="000000" w:sz="4" w:space="0"/>
            </w:tcBorders>
          </w:tcPr>
          <w:p w:rsidR="00C31389" w:rsidRDefault="00561FBD" w14:paraId="03F6A04D" w14:textId="77777777">
            <w:pPr>
              <w:pStyle w:val="TableParagraph"/>
              <w:ind w:left="295" w:right="288"/>
              <w:jc w:val="center"/>
              <w:rPr>
                <w:sz w:val="20"/>
              </w:rPr>
            </w:pPr>
            <w:r>
              <w:rPr>
                <w:spacing w:val="-5"/>
                <w:sz w:val="20"/>
              </w:rPr>
              <w:t>57</w:t>
            </w:r>
          </w:p>
        </w:tc>
      </w:tr>
      <w:tr w:rsidR="00C31389" w14:paraId="47BA2F24" w14:textId="77777777">
        <w:trPr>
          <w:trHeight w:val="309"/>
        </w:trPr>
        <w:tc>
          <w:tcPr>
            <w:tcW w:w="4340" w:type="dxa"/>
            <w:tcBorders>
              <w:top w:val="single" w:color="000000" w:sz="4" w:space="0"/>
              <w:bottom w:val="single" w:color="000000" w:sz="4" w:space="0"/>
            </w:tcBorders>
          </w:tcPr>
          <w:p w:rsidR="00C31389" w:rsidRDefault="00561FBD" w14:paraId="1DBDAAF1" w14:textId="77777777">
            <w:pPr>
              <w:pStyle w:val="TableParagraph"/>
              <w:ind w:left="122"/>
              <w:rPr>
                <w:b/>
                <w:sz w:val="20"/>
              </w:rPr>
            </w:pPr>
            <w:r>
              <w:rPr>
                <w:b/>
                <w:sz w:val="20"/>
              </w:rPr>
              <w:t>Total</w:t>
            </w:r>
            <w:r>
              <w:rPr>
                <w:b/>
                <w:spacing w:val="-4"/>
                <w:sz w:val="20"/>
              </w:rPr>
              <w:t xml:space="preserve"> </w:t>
            </w:r>
            <w:r>
              <w:rPr>
                <w:b/>
                <w:spacing w:val="-2"/>
                <w:sz w:val="20"/>
              </w:rPr>
              <w:t>Onsite</w:t>
            </w:r>
          </w:p>
        </w:tc>
        <w:tc>
          <w:tcPr>
            <w:tcW w:w="1614" w:type="dxa"/>
            <w:tcBorders>
              <w:top w:val="single" w:color="000000" w:sz="4" w:space="0"/>
              <w:bottom w:val="single" w:color="000000" w:sz="4" w:space="0"/>
            </w:tcBorders>
          </w:tcPr>
          <w:p w:rsidR="00C31389" w:rsidRDefault="00561FBD" w14:paraId="1053A370" w14:textId="77777777">
            <w:pPr>
              <w:pStyle w:val="TableParagraph"/>
              <w:ind w:left="622" w:right="241"/>
              <w:jc w:val="center"/>
              <w:rPr>
                <w:b/>
                <w:sz w:val="20"/>
              </w:rPr>
            </w:pPr>
            <w:r>
              <w:rPr>
                <w:b/>
                <w:spacing w:val="-5"/>
                <w:sz w:val="20"/>
              </w:rPr>
              <w:t>53</w:t>
            </w:r>
          </w:p>
        </w:tc>
        <w:tc>
          <w:tcPr>
            <w:tcW w:w="1153" w:type="dxa"/>
            <w:tcBorders>
              <w:top w:val="single" w:color="000000" w:sz="4" w:space="0"/>
              <w:bottom w:val="single" w:color="000000" w:sz="4" w:space="0"/>
            </w:tcBorders>
          </w:tcPr>
          <w:p w:rsidR="00C31389" w:rsidRDefault="00561FBD" w14:paraId="73B1C8E4" w14:textId="77777777">
            <w:pPr>
              <w:pStyle w:val="TableParagraph"/>
              <w:ind w:left="238" w:right="294"/>
              <w:jc w:val="center"/>
              <w:rPr>
                <w:b/>
                <w:sz w:val="20"/>
              </w:rPr>
            </w:pPr>
            <w:r>
              <w:rPr>
                <w:b/>
                <w:spacing w:val="-5"/>
                <w:sz w:val="20"/>
              </w:rPr>
              <w:t>143</w:t>
            </w:r>
          </w:p>
        </w:tc>
        <w:tc>
          <w:tcPr>
            <w:tcW w:w="1122" w:type="dxa"/>
            <w:tcBorders>
              <w:top w:val="single" w:color="000000" w:sz="4" w:space="0"/>
              <w:bottom w:val="single" w:color="000000" w:sz="4" w:space="0"/>
            </w:tcBorders>
          </w:tcPr>
          <w:p w:rsidR="00C31389" w:rsidRDefault="00561FBD" w14:paraId="0674BE6E" w14:textId="77777777">
            <w:pPr>
              <w:pStyle w:val="TableParagraph"/>
              <w:ind w:left="296" w:right="288"/>
              <w:jc w:val="center"/>
              <w:rPr>
                <w:b/>
                <w:sz w:val="20"/>
              </w:rPr>
            </w:pPr>
            <w:r>
              <w:rPr>
                <w:b/>
                <w:spacing w:val="-5"/>
                <w:sz w:val="20"/>
              </w:rPr>
              <w:t>196</w:t>
            </w:r>
          </w:p>
        </w:tc>
      </w:tr>
      <w:tr w:rsidR="00C31389" w14:paraId="048FB9A1" w14:textId="77777777">
        <w:trPr>
          <w:trHeight w:val="310"/>
        </w:trPr>
        <w:tc>
          <w:tcPr>
            <w:tcW w:w="4340" w:type="dxa"/>
            <w:tcBorders>
              <w:top w:val="single" w:color="000000" w:sz="4" w:space="0"/>
              <w:bottom w:val="single" w:color="D9D9D9" w:sz="2" w:space="0"/>
            </w:tcBorders>
          </w:tcPr>
          <w:p w:rsidR="00C31389" w:rsidRDefault="00561FBD" w14:paraId="4CAF6639" w14:textId="77777777">
            <w:pPr>
              <w:pStyle w:val="TableParagraph"/>
              <w:spacing w:before="41"/>
              <w:ind w:left="122"/>
              <w:rPr>
                <w:sz w:val="20"/>
              </w:rPr>
            </w:pPr>
            <w:r>
              <w:rPr>
                <w:sz w:val="20"/>
              </w:rPr>
              <w:t>%</w:t>
            </w:r>
            <w:r>
              <w:rPr>
                <w:spacing w:val="-3"/>
                <w:sz w:val="20"/>
              </w:rPr>
              <w:t xml:space="preserve"> </w:t>
            </w:r>
            <w:r>
              <w:rPr>
                <w:sz w:val="20"/>
              </w:rPr>
              <w:t>Both</w:t>
            </w:r>
            <w:r>
              <w:rPr>
                <w:spacing w:val="-3"/>
                <w:sz w:val="20"/>
              </w:rPr>
              <w:t xml:space="preserve"> </w:t>
            </w:r>
            <w:r>
              <w:rPr>
                <w:sz w:val="20"/>
              </w:rPr>
              <w:t>heating</w:t>
            </w:r>
            <w:r>
              <w:rPr>
                <w:spacing w:val="-3"/>
                <w:sz w:val="20"/>
              </w:rPr>
              <w:t xml:space="preserve"> </w:t>
            </w:r>
            <w:r>
              <w:rPr>
                <w:sz w:val="20"/>
              </w:rPr>
              <w:t>and</w:t>
            </w:r>
            <w:r>
              <w:rPr>
                <w:spacing w:val="-3"/>
                <w:sz w:val="20"/>
              </w:rPr>
              <w:t xml:space="preserve"> </w:t>
            </w:r>
            <w:r>
              <w:rPr>
                <w:sz w:val="20"/>
              </w:rPr>
              <w:t>cooling</w:t>
            </w:r>
            <w:r>
              <w:rPr>
                <w:spacing w:val="-3"/>
                <w:sz w:val="20"/>
              </w:rPr>
              <w:t xml:space="preserve"> </w:t>
            </w:r>
            <w:r>
              <w:rPr>
                <w:spacing w:val="-2"/>
                <w:sz w:val="20"/>
              </w:rPr>
              <w:t>components</w:t>
            </w:r>
          </w:p>
        </w:tc>
        <w:tc>
          <w:tcPr>
            <w:tcW w:w="1614" w:type="dxa"/>
            <w:tcBorders>
              <w:top w:val="single" w:color="000000" w:sz="4" w:space="0"/>
              <w:bottom w:val="single" w:color="D9D9D9" w:sz="2" w:space="0"/>
            </w:tcBorders>
          </w:tcPr>
          <w:p w:rsidR="00C31389" w:rsidRDefault="00561FBD" w14:paraId="7FF172FE" w14:textId="77777777">
            <w:pPr>
              <w:pStyle w:val="TableParagraph"/>
              <w:spacing w:before="41"/>
              <w:ind w:left="623" w:right="241"/>
              <w:jc w:val="center"/>
              <w:rPr>
                <w:sz w:val="20"/>
              </w:rPr>
            </w:pPr>
            <w:r>
              <w:rPr>
                <w:spacing w:val="-5"/>
                <w:sz w:val="20"/>
              </w:rPr>
              <w:t>36%</w:t>
            </w:r>
          </w:p>
        </w:tc>
        <w:tc>
          <w:tcPr>
            <w:tcW w:w="1153" w:type="dxa"/>
            <w:tcBorders>
              <w:top w:val="single" w:color="000000" w:sz="4" w:space="0"/>
              <w:bottom w:val="single" w:color="D9D9D9" w:sz="2" w:space="0"/>
            </w:tcBorders>
          </w:tcPr>
          <w:p w:rsidR="00C31389" w:rsidRDefault="00561FBD" w14:paraId="6CD575C1" w14:textId="77777777">
            <w:pPr>
              <w:pStyle w:val="TableParagraph"/>
              <w:spacing w:before="41"/>
              <w:ind w:left="238" w:right="295"/>
              <w:jc w:val="center"/>
              <w:rPr>
                <w:sz w:val="20"/>
              </w:rPr>
            </w:pPr>
            <w:r>
              <w:rPr>
                <w:spacing w:val="-5"/>
                <w:sz w:val="20"/>
              </w:rPr>
              <w:t>76%</w:t>
            </w:r>
          </w:p>
        </w:tc>
        <w:tc>
          <w:tcPr>
            <w:tcW w:w="1122" w:type="dxa"/>
            <w:tcBorders>
              <w:top w:val="single" w:color="000000" w:sz="4" w:space="0"/>
              <w:bottom w:val="single" w:color="D9D9D9" w:sz="2" w:space="0"/>
            </w:tcBorders>
          </w:tcPr>
          <w:p w:rsidR="00C31389" w:rsidRDefault="00561FBD" w14:paraId="54135424" w14:textId="77777777">
            <w:pPr>
              <w:pStyle w:val="TableParagraph"/>
              <w:spacing w:before="41"/>
              <w:ind w:left="295" w:right="288"/>
              <w:jc w:val="center"/>
              <w:rPr>
                <w:sz w:val="20"/>
              </w:rPr>
            </w:pPr>
            <w:r>
              <w:rPr>
                <w:spacing w:val="-5"/>
                <w:sz w:val="20"/>
              </w:rPr>
              <w:t>65%</w:t>
            </w:r>
          </w:p>
        </w:tc>
      </w:tr>
      <w:tr w:rsidR="00C31389" w14:paraId="3EC9942A" w14:textId="77777777">
        <w:trPr>
          <w:trHeight w:val="309"/>
        </w:trPr>
        <w:tc>
          <w:tcPr>
            <w:tcW w:w="4340" w:type="dxa"/>
            <w:tcBorders>
              <w:top w:val="single" w:color="D9D9D9" w:sz="2" w:space="0"/>
              <w:bottom w:val="single" w:color="D9D9D9" w:sz="2" w:space="0"/>
            </w:tcBorders>
          </w:tcPr>
          <w:p w:rsidR="00C31389" w:rsidRDefault="00561FBD" w14:paraId="18D11315" w14:textId="77777777">
            <w:pPr>
              <w:pStyle w:val="TableParagraph"/>
              <w:ind w:left="122"/>
              <w:rPr>
                <w:sz w:val="20"/>
              </w:rPr>
            </w:pPr>
            <w:r>
              <w:rPr>
                <w:sz w:val="20"/>
              </w:rPr>
              <w:t>%</w:t>
            </w:r>
            <w:r>
              <w:rPr>
                <w:spacing w:val="-4"/>
                <w:sz w:val="20"/>
              </w:rPr>
              <w:t xml:space="preserve"> </w:t>
            </w:r>
            <w:r>
              <w:rPr>
                <w:sz w:val="20"/>
              </w:rPr>
              <w:t>Cooling</w:t>
            </w:r>
            <w:r>
              <w:rPr>
                <w:spacing w:val="-4"/>
                <w:sz w:val="20"/>
              </w:rPr>
              <w:t xml:space="preserve"> </w:t>
            </w:r>
            <w:r>
              <w:rPr>
                <w:sz w:val="20"/>
              </w:rPr>
              <w:t>component</w:t>
            </w:r>
            <w:r>
              <w:rPr>
                <w:spacing w:val="-4"/>
                <w:sz w:val="20"/>
              </w:rPr>
              <w:t xml:space="preserve"> only</w:t>
            </w:r>
          </w:p>
        </w:tc>
        <w:tc>
          <w:tcPr>
            <w:tcW w:w="1614" w:type="dxa"/>
            <w:tcBorders>
              <w:top w:val="single" w:color="D9D9D9" w:sz="2" w:space="0"/>
              <w:bottom w:val="single" w:color="D9D9D9" w:sz="2" w:space="0"/>
            </w:tcBorders>
          </w:tcPr>
          <w:p w:rsidR="00C31389" w:rsidRDefault="00561FBD" w14:paraId="27D5CBF2" w14:textId="77777777">
            <w:pPr>
              <w:pStyle w:val="TableParagraph"/>
              <w:ind w:left="621" w:right="241"/>
              <w:jc w:val="center"/>
              <w:rPr>
                <w:sz w:val="20"/>
              </w:rPr>
            </w:pPr>
            <w:r>
              <w:rPr>
                <w:spacing w:val="-5"/>
                <w:sz w:val="20"/>
              </w:rPr>
              <w:t>6%</w:t>
            </w:r>
          </w:p>
        </w:tc>
        <w:tc>
          <w:tcPr>
            <w:tcW w:w="1153" w:type="dxa"/>
            <w:tcBorders>
              <w:top w:val="single" w:color="D9D9D9" w:sz="2" w:space="0"/>
              <w:bottom w:val="single" w:color="D9D9D9" w:sz="2" w:space="0"/>
            </w:tcBorders>
          </w:tcPr>
          <w:p w:rsidR="00C31389" w:rsidRDefault="00561FBD" w14:paraId="4FFDC90C" w14:textId="77777777">
            <w:pPr>
              <w:pStyle w:val="TableParagraph"/>
              <w:ind w:left="238" w:right="296"/>
              <w:jc w:val="center"/>
              <w:rPr>
                <w:sz w:val="20"/>
              </w:rPr>
            </w:pPr>
            <w:r>
              <w:rPr>
                <w:spacing w:val="-5"/>
                <w:sz w:val="20"/>
              </w:rPr>
              <w:t>6%</w:t>
            </w:r>
          </w:p>
        </w:tc>
        <w:tc>
          <w:tcPr>
            <w:tcW w:w="1122" w:type="dxa"/>
            <w:tcBorders>
              <w:top w:val="single" w:color="D9D9D9" w:sz="2" w:space="0"/>
              <w:bottom w:val="single" w:color="D9D9D9" w:sz="2" w:space="0"/>
            </w:tcBorders>
          </w:tcPr>
          <w:p w:rsidR="00C31389" w:rsidRDefault="00561FBD" w14:paraId="5616ABCC" w14:textId="77777777">
            <w:pPr>
              <w:pStyle w:val="TableParagraph"/>
              <w:ind w:left="294" w:right="288"/>
              <w:jc w:val="center"/>
              <w:rPr>
                <w:sz w:val="20"/>
              </w:rPr>
            </w:pPr>
            <w:r>
              <w:rPr>
                <w:spacing w:val="-5"/>
                <w:sz w:val="20"/>
              </w:rPr>
              <w:t>6%</w:t>
            </w:r>
          </w:p>
        </w:tc>
      </w:tr>
      <w:tr w:rsidR="00C31389" w14:paraId="6D483176" w14:textId="77777777">
        <w:trPr>
          <w:trHeight w:val="310"/>
        </w:trPr>
        <w:tc>
          <w:tcPr>
            <w:tcW w:w="4340" w:type="dxa"/>
            <w:tcBorders>
              <w:top w:val="single" w:color="D9D9D9" w:sz="2" w:space="0"/>
              <w:bottom w:val="single" w:color="000000" w:sz="4" w:space="0"/>
            </w:tcBorders>
          </w:tcPr>
          <w:p w:rsidR="00C31389" w:rsidRDefault="00561FBD" w14:paraId="5645EE0B" w14:textId="77777777">
            <w:pPr>
              <w:pStyle w:val="TableParagraph"/>
              <w:spacing w:before="41"/>
              <w:ind w:left="122"/>
              <w:rPr>
                <w:sz w:val="20"/>
              </w:rPr>
            </w:pPr>
            <w:r>
              <w:rPr>
                <w:sz w:val="20"/>
              </w:rPr>
              <w:t>%</w:t>
            </w:r>
            <w:r>
              <w:rPr>
                <w:spacing w:val="-4"/>
                <w:sz w:val="20"/>
              </w:rPr>
              <w:t xml:space="preserve"> </w:t>
            </w:r>
            <w:r>
              <w:rPr>
                <w:sz w:val="20"/>
              </w:rPr>
              <w:t>Heating</w:t>
            </w:r>
            <w:r>
              <w:rPr>
                <w:spacing w:val="-4"/>
                <w:sz w:val="20"/>
              </w:rPr>
              <w:t xml:space="preserve"> </w:t>
            </w:r>
            <w:r>
              <w:rPr>
                <w:sz w:val="20"/>
              </w:rPr>
              <w:t>component</w:t>
            </w:r>
            <w:r>
              <w:rPr>
                <w:spacing w:val="-4"/>
                <w:sz w:val="20"/>
              </w:rPr>
              <w:t xml:space="preserve"> only</w:t>
            </w:r>
          </w:p>
        </w:tc>
        <w:tc>
          <w:tcPr>
            <w:tcW w:w="1614" w:type="dxa"/>
            <w:tcBorders>
              <w:top w:val="single" w:color="D9D9D9" w:sz="2" w:space="0"/>
              <w:bottom w:val="single" w:color="000000" w:sz="4" w:space="0"/>
            </w:tcBorders>
          </w:tcPr>
          <w:p w:rsidR="00C31389" w:rsidRDefault="00561FBD" w14:paraId="53C9ED38" w14:textId="77777777">
            <w:pPr>
              <w:pStyle w:val="TableParagraph"/>
              <w:spacing w:before="41"/>
              <w:ind w:left="623" w:right="241"/>
              <w:jc w:val="center"/>
              <w:rPr>
                <w:sz w:val="20"/>
              </w:rPr>
            </w:pPr>
            <w:r>
              <w:rPr>
                <w:spacing w:val="-5"/>
                <w:sz w:val="20"/>
              </w:rPr>
              <w:t>58%</w:t>
            </w:r>
          </w:p>
        </w:tc>
        <w:tc>
          <w:tcPr>
            <w:tcW w:w="1153" w:type="dxa"/>
            <w:tcBorders>
              <w:top w:val="single" w:color="D9D9D9" w:sz="2" w:space="0"/>
              <w:bottom w:val="single" w:color="000000" w:sz="4" w:space="0"/>
            </w:tcBorders>
          </w:tcPr>
          <w:p w:rsidR="00C31389" w:rsidRDefault="00561FBD" w14:paraId="049E534A" w14:textId="77777777">
            <w:pPr>
              <w:pStyle w:val="TableParagraph"/>
              <w:spacing w:before="41"/>
              <w:ind w:left="238" w:right="295"/>
              <w:jc w:val="center"/>
              <w:rPr>
                <w:sz w:val="20"/>
              </w:rPr>
            </w:pPr>
            <w:r>
              <w:rPr>
                <w:spacing w:val="-5"/>
                <w:sz w:val="20"/>
              </w:rPr>
              <w:t>18%</w:t>
            </w:r>
          </w:p>
        </w:tc>
        <w:tc>
          <w:tcPr>
            <w:tcW w:w="1122" w:type="dxa"/>
            <w:tcBorders>
              <w:top w:val="single" w:color="D9D9D9" w:sz="2" w:space="0"/>
              <w:bottom w:val="single" w:color="000000" w:sz="4" w:space="0"/>
            </w:tcBorders>
          </w:tcPr>
          <w:p w:rsidR="00C31389" w:rsidRDefault="00561FBD" w14:paraId="48EDFE79" w14:textId="77777777">
            <w:pPr>
              <w:pStyle w:val="TableParagraph"/>
              <w:spacing w:before="41"/>
              <w:ind w:left="295" w:right="288"/>
              <w:jc w:val="center"/>
              <w:rPr>
                <w:sz w:val="20"/>
              </w:rPr>
            </w:pPr>
            <w:r>
              <w:rPr>
                <w:spacing w:val="-5"/>
                <w:sz w:val="20"/>
              </w:rPr>
              <w:t>29%</w:t>
            </w:r>
          </w:p>
        </w:tc>
      </w:tr>
      <w:tr w:rsidR="00C31389" w14:paraId="7725B542" w14:textId="77777777">
        <w:trPr>
          <w:trHeight w:val="310"/>
        </w:trPr>
        <w:tc>
          <w:tcPr>
            <w:tcW w:w="4340" w:type="dxa"/>
            <w:tcBorders>
              <w:top w:val="single" w:color="000000" w:sz="4" w:space="0"/>
              <w:bottom w:val="single" w:color="000000" w:sz="8" w:space="0"/>
            </w:tcBorders>
          </w:tcPr>
          <w:p w:rsidR="00C31389" w:rsidRDefault="00561FBD" w14:paraId="059E5CFA" w14:textId="77777777">
            <w:pPr>
              <w:pStyle w:val="TableParagraph"/>
              <w:ind w:left="122"/>
              <w:rPr>
                <w:b/>
                <w:sz w:val="20"/>
              </w:rPr>
            </w:pPr>
            <w:r>
              <w:rPr>
                <w:b/>
                <w:sz w:val="20"/>
              </w:rPr>
              <w:t>Total</w:t>
            </w:r>
            <w:r>
              <w:rPr>
                <w:b/>
                <w:spacing w:val="-2"/>
                <w:sz w:val="20"/>
              </w:rPr>
              <w:t xml:space="preserve"> </w:t>
            </w:r>
            <w:r>
              <w:rPr>
                <w:b/>
                <w:spacing w:val="-10"/>
                <w:sz w:val="20"/>
              </w:rPr>
              <w:t>%</w:t>
            </w:r>
          </w:p>
        </w:tc>
        <w:tc>
          <w:tcPr>
            <w:tcW w:w="1614" w:type="dxa"/>
            <w:tcBorders>
              <w:top w:val="single" w:color="000000" w:sz="4" w:space="0"/>
              <w:bottom w:val="single" w:color="000000" w:sz="8" w:space="0"/>
            </w:tcBorders>
          </w:tcPr>
          <w:p w:rsidR="00C31389" w:rsidRDefault="00561FBD" w14:paraId="2761A5E2" w14:textId="77777777">
            <w:pPr>
              <w:pStyle w:val="TableParagraph"/>
              <w:ind w:left="624" w:right="241"/>
              <w:jc w:val="center"/>
              <w:rPr>
                <w:b/>
                <w:sz w:val="20"/>
              </w:rPr>
            </w:pPr>
            <w:r>
              <w:rPr>
                <w:b/>
                <w:spacing w:val="-4"/>
                <w:sz w:val="20"/>
              </w:rPr>
              <w:t>100%</w:t>
            </w:r>
          </w:p>
        </w:tc>
        <w:tc>
          <w:tcPr>
            <w:tcW w:w="1153" w:type="dxa"/>
            <w:tcBorders>
              <w:top w:val="single" w:color="000000" w:sz="4" w:space="0"/>
              <w:bottom w:val="single" w:color="000000" w:sz="8" w:space="0"/>
            </w:tcBorders>
          </w:tcPr>
          <w:p w:rsidR="00C31389" w:rsidRDefault="00561FBD" w14:paraId="68259861" w14:textId="77777777">
            <w:pPr>
              <w:pStyle w:val="TableParagraph"/>
              <w:ind w:left="238" w:right="294"/>
              <w:jc w:val="center"/>
              <w:rPr>
                <w:b/>
                <w:sz w:val="20"/>
              </w:rPr>
            </w:pPr>
            <w:r>
              <w:rPr>
                <w:b/>
                <w:spacing w:val="-4"/>
                <w:sz w:val="20"/>
              </w:rPr>
              <w:t>100%</w:t>
            </w:r>
          </w:p>
        </w:tc>
        <w:tc>
          <w:tcPr>
            <w:tcW w:w="1122" w:type="dxa"/>
            <w:tcBorders>
              <w:top w:val="single" w:color="000000" w:sz="4" w:space="0"/>
              <w:bottom w:val="single" w:color="000000" w:sz="8" w:space="0"/>
            </w:tcBorders>
          </w:tcPr>
          <w:p w:rsidR="00C31389" w:rsidRDefault="00561FBD" w14:paraId="0553B3CF" w14:textId="77777777">
            <w:pPr>
              <w:pStyle w:val="TableParagraph"/>
              <w:ind w:left="297" w:right="288"/>
              <w:jc w:val="center"/>
              <w:rPr>
                <w:b/>
                <w:sz w:val="20"/>
              </w:rPr>
            </w:pPr>
            <w:r>
              <w:rPr>
                <w:b/>
                <w:spacing w:val="-4"/>
                <w:sz w:val="20"/>
              </w:rPr>
              <w:t>100%</w:t>
            </w:r>
          </w:p>
        </w:tc>
      </w:tr>
    </w:tbl>
    <w:p w:rsidR="00C31389" w:rsidRDefault="00561FBD" w14:paraId="7CA7937E" w14:textId="77777777">
      <w:pPr>
        <w:spacing w:before="73"/>
        <w:ind w:left="530"/>
        <w:rPr>
          <w:i/>
          <w:sz w:val="18"/>
        </w:rPr>
      </w:pPr>
      <w:r>
        <w:rPr>
          <w:i/>
          <w:sz w:val="18"/>
        </w:rPr>
        <w:t>Source:</w:t>
      </w:r>
      <w:r>
        <w:rPr>
          <w:i/>
          <w:spacing w:val="-3"/>
          <w:sz w:val="18"/>
        </w:rPr>
        <w:t xml:space="preserve"> </w:t>
      </w:r>
      <w:r>
        <w:rPr>
          <w:i/>
          <w:sz w:val="18"/>
        </w:rPr>
        <w:t>Tierra</w:t>
      </w:r>
      <w:r>
        <w:rPr>
          <w:i/>
          <w:spacing w:val="-3"/>
          <w:sz w:val="18"/>
        </w:rPr>
        <w:t xml:space="preserve"> </w:t>
      </w:r>
      <w:r>
        <w:rPr>
          <w:i/>
          <w:sz w:val="18"/>
        </w:rPr>
        <w:t>Resource</w:t>
      </w:r>
      <w:r>
        <w:rPr>
          <w:i/>
          <w:spacing w:val="-3"/>
          <w:sz w:val="18"/>
        </w:rPr>
        <w:t xml:space="preserve"> </w:t>
      </w:r>
      <w:r>
        <w:rPr>
          <w:i/>
          <w:spacing w:val="-2"/>
          <w:sz w:val="18"/>
        </w:rPr>
        <w:t>Consultants</w:t>
      </w:r>
    </w:p>
    <w:p w:rsidR="00C31389" w:rsidRDefault="00C31389" w14:paraId="43D245FB" w14:textId="77777777">
      <w:pPr>
        <w:pStyle w:val="BodyText"/>
        <w:spacing w:before="10"/>
        <w:rPr>
          <w:i/>
          <w:sz w:val="20"/>
        </w:rPr>
      </w:pPr>
    </w:p>
    <w:p w:rsidR="00C31389" w:rsidRDefault="00561FBD" w14:paraId="74D375BD" w14:textId="77777777">
      <w:pPr>
        <w:pStyle w:val="BodyText"/>
        <w:spacing w:before="1"/>
        <w:ind w:left="479" w:right="442"/>
      </w:pPr>
      <w:r>
        <w:t xml:space="preserve">Based on component EUL discussed in </w:t>
      </w:r>
      <w:hyperlink w:history="1" w:anchor="_bookmark251">
        <w:r>
          <w:t>Table B-4.,</w:t>
        </w:r>
      </w:hyperlink>
      <w:r>
        <w:t xml:space="preserve"> </w:t>
      </w:r>
      <w:hyperlink w:history="1" w:anchor="_bookmark257">
        <w:r>
          <w:t>Table B-6</w:t>
        </w:r>
      </w:hyperlink>
      <w:r>
        <w:t xml:space="preserve"> illustrates the relationship between</w:t>
      </w:r>
      <w:r>
        <w:rPr>
          <w:spacing w:val="-3"/>
        </w:rPr>
        <w:t xml:space="preserve"> </w:t>
      </w:r>
      <w:r>
        <w:t>system</w:t>
      </w:r>
      <w:r>
        <w:rPr>
          <w:spacing w:val="-4"/>
        </w:rPr>
        <w:t xml:space="preserve"> </w:t>
      </w:r>
      <w:r>
        <w:t>EUL</w:t>
      </w:r>
      <w:r>
        <w:rPr>
          <w:spacing w:val="-3"/>
        </w:rPr>
        <w:t xml:space="preserve"> </w:t>
      </w:r>
      <w:r>
        <w:t>and</w:t>
      </w:r>
      <w:r>
        <w:rPr>
          <w:spacing w:val="-3"/>
        </w:rPr>
        <w:t xml:space="preserve"> </w:t>
      </w:r>
      <w:r>
        <w:t>the</w:t>
      </w:r>
      <w:r>
        <w:rPr>
          <w:spacing w:val="-3"/>
        </w:rPr>
        <w:t xml:space="preserve"> </w:t>
      </w:r>
      <w:r>
        <w:t>probability</w:t>
      </w:r>
      <w:r>
        <w:rPr>
          <w:spacing w:val="-3"/>
        </w:rPr>
        <w:t xml:space="preserve"> </w:t>
      </w:r>
      <w:r>
        <w:t>that</w:t>
      </w:r>
      <w:r>
        <w:rPr>
          <w:spacing w:val="-3"/>
        </w:rPr>
        <w:t xml:space="preserve"> </w:t>
      </w:r>
      <w:r>
        <w:t>heating</w:t>
      </w:r>
      <w:r>
        <w:rPr>
          <w:spacing w:val="-3"/>
        </w:rPr>
        <w:t xml:space="preserve"> </w:t>
      </w:r>
      <w:r>
        <w:t>or</w:t>
      </w:r>
      <w:r>
        <w:rPr>
          <w:spacing w:val="-3"/>
        </w:rPr>
        <w:t xml:space="preserve"> </w:t>
      </w:r>
      <w:r>
        <w:t>AC</w:t>
      </w:r>
      <w:r>
        <w:rPr>
          <w:spacing w:val="-4"/>
        </w:rPr>
        <w:t xml:space="preserve"> </w:t>
      </w:r>
      <w:r>
        <w:t>component</w:t>
      </w:r>
      <w:r>
        <w:rPr>
          <w:spacing w:val="-3"/>
        </w:rPr>
        <w:t xml:space="preserve"> </w:t>
      </w:r>
      <w:r>
        <w:t>replacement</w:t>
      </w:r>
      <w:r>
        <w:rPr>
          <w:spacing w:val="-3"/>
        </w:rPr>
        <w:t xml:space="preserve"> </w:t>
      </w:r>
      <w:r>
        <w:t>align</w:t>
      </w:r>
      <w:r>
        <w:rPr>
          <w:spacing w:val="-3"/>
        </w:rPr>
        <w:t xml:space="preserve"> </w:t>
      </w:r>
      <w:r>
        <w:t>by study region and correspon</w:t>
      </w:r>
      <w:r>
        <w:t>ding climate zone. Where a heating or AC EUL do not align,</w:t>
      </w:r>
      <w:r>
        <w:rPr>
          <w:spacing w:val="40"/>
        </w:rPr>
        <w:t xml:space="preserve"> </w:t>
      </w:r>
      <w:r>
        <w:t xml:space="preserve">there is a low probability that a full system replacement will occur. Conversely, when the component EULs align, there is a high probability that a full system replacement will occur, offering the </w:t>
      </w:r>
      <w:r>
        <w:t>best opportunity to convert a gas furnace to a heat pump.</w:t>
      </w:r>
    </w:p>
    <w:p w:rsidR="00C31389" w:rsidRDefault="00C31389" w14:paraId="6F58BF68" w14:textId="77777777">
      <w:pPr>
        <w:pStyle w:val="BodyText"/>
        <w:rPr>
          <w:sz w:val="20"/>
        </w:rPr>
      </w:pPr>
    </w:p>
    <w:p w:rsidR="00C31389" w:rsidRDefault="00C31389" w14:paraId="3AB3DA6A" w14:textId="77777777">
      <w:pPr>
        <w:pStyle w:val="BodyText"/>
        <w:rPr>
          <w:sz w:val="20"/>
        </w:rPr>
      </w:pPr>
    </w:p>
    <w:p w:rsidR="00C31389" w:rsidRDefault="00C31389" w14:paraId="20CEE210" w14:textId="77777777">
      <w:pPr>
        <w:pStyle w:val="BodyText"/>
        <w:rPr>
          <w:sz w:val="20"/>
        </w:rPr>
      </w:pPr>
    </w:p>
    <w:p w:rsidR="00C31389" w:rsidRDefault="00C31389" w14:paraId="3BC33337" w14:textId="77777777">
      <w:pPr>
        <w:pStyle w:val="BodyText"/>
        <w:rPr>
          <w:sz w:val="20"/>
        </w:rPr>
      </w:pPr>
    </w:p>
    <w:p w:rsidR="00C31389" w:rsidRDefault="00C31389" w14:paraId="4A908FAF" w14:textId="77777777">
      <w:pPr>
        <w:pStyle w:val="BodyText"/>
        <w:rPr>
          <w:sz w:val="20"/>
        </w:rPr>
      </w:pPr>
    </w:p>
    <w:p w:rsidR="00C31389" w:rsidRDefault="00C31389" w14:paraId="26E50A16" w14:textId="77777777">
      <w:pPr>
        <w:pStyle w:val="BodyText"/>
        <w:rPr>
          <w:sz w:val="20"/>
        </w:rPr>
      </w:pPr>
    </w:p>
    <w:p w:rsidR="00C31389" w:rsidRDefault="00C31389" w14:paraId="3BC0BBD8" w14:textId="77777777">
      <w:pPr>
        <w:pStyle w:val="BodyText"/>
        <w:rPr>
          <w:sz w:val="20"/>
        </w:rPr>
      </w:pPr>
    </w:p>
    <w:p w:rsidR="00C31389" w:rsidRDefault="00C31389" w14:paraId="6BF31CBE" w14:textId="77777777">
      <w:pPr>
        <w:pStyle w:val="BodyText"/>
        <w:rPr>
          <w:sz w:val="20"/>
        </w:rPr>
      </w:pPr>
    </w:p>
    <w:p w:rsidR="00C31389" w:rsidRDefault="00C31389" w14:paraId="68A2859B" w14:textId="77777777">
      <w:pPr>
        <w:pStyle w:val="BodyText"/>
        <w:rPr>
          <w:sz w:val="20"/>
        </w:rPr>
      </w:pPr>
    </w:p>
    <w:p w:rsidR="00C31389" w:rsidRDefault="00C31389" w14:paraId="3DEC6A65" w14:textId="77777777">
      <w:pPr>
        <w:pStyle w:val="BodyText"/>
        <w:rPr>
          <w:sz w:val="20"/>
        </w:rPr>
      </w:pPr>
    </w:p>
    <w:p w:rsidR="00C31389" w:rsidRDefault="00C31389" w14:paraId="31BA6B6D" w14:textId="77777777">
      <w:pPr>
        <w:pStyle w:val="BodyText"/>
        <w:rPr>
          <w:sz w:val="20"/>
        </w:rPr>
      </w:pPr>
    </w:p>
    <w:p w:rsidR="00C31389" w:rsidRDefault="00C31389" w14:paraId="57B7FA0E" w14:textId="77777777">
      <w:pPr>
        <w:pStyle w:val="BodyText"/>
        <w:rPr>
          <w:sz w:val="20"/>
        </w:rPr>
      </w:pPr>
    </w:p>
    <w:p w:rsidR="00C31389" w:rsidRDefault="00C31389" w14:paraId="4800D389" w14:textId="77777777">
      <w:pPr>
        <w:pStyle w:val="BodyText"/>
        <w:rPr>
          <w:sz w:val="20"/>
        </w:rPr>
      </w:pPr>
    </w:p>
    <w:p w:rsidR="00C31389" w:rsidRDefault="00561FBD" w14:paraId="62C0108D" w14:textId="77777777">
      <w:pPr>
        <w:pStyle w:val="BodyText"/>
        <w:rPr>
          <w:sz w:val="21"/>
        </w:rPr>
      </w:pPr>
      <w:r>
        <w:rPr>
          <w:noProof/>
        </w:rPr>
        <mc:AlternateContent>
          <mc:Choice Requires="wps">
            <w:drawing>
              <wp:anchor distT="0" distB="0" distL="0" distR="0" simplePos="0" relativeHeight="487681536" behindDoc="1" locked="0" layoutInCell="1" allowOverlap="1" wp14:editId="44EB8921" wp14:anchorId="3783589E">
                <wp:simplePos x="0" y="0"/>
                <wp:positionH relativeFrom="page">
                  <wp:posOffset>914400</wp:posOffset>
                </wp:positionH>
                <wp:positionV relativeFrom="paragraph">
                  <wp:posOffset>168789</wp:posOffset>
                </wp:positionV>
                <wp:extent cx="1828800" cy="6985"/>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74" style="position:absolute;margin-left:1in;margin-top:13.3pt;width:2in;height:.55pt;z-index:-1563494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" w14:anchorId="35DC8772">
                <v:path arrowok="t"/>
                <w10:wrap type="topAndBottom" anchorx="page"/>
              </v:shape>
            </w:pict>
          </mc:Fallback>
        </mc:AlternateContent>
      </w:r>
    </w:p>
    <w:p w:rsidR="00C31389" w:rsidRDefault="00561FBD" w14:paraId="7D47CCA2" w14:textId="77777777">
      <w:pPr>
        <w:spacing w:before="88"/>
        <w:ind w:left="480" w:right="418" w:hanging="1"/>
        <w:rPr>
          <w:sz w:val="18"/>
        </w:rPr>
      </w:pPr>
      <w:bookmarkStart w:name="_bookmark256" w:id="342"/>
      <w:bookmarkEnd w:id="342"/>
      <w:r>
        <w:rPr>
          <w:position w:val="6"/>
          <w:sz w:val="12"/>
        </w:rPr>
        <w:t>79</w:t>
      </w:r>
      <w:r>
        <w:rPr>
          <w:spacing w:val="14"/>
          <w:position w:val="6"/>
          <w:sz w:val="12"/>
        </w:rPr>
        <w:t xml:space="preserve"> </w:t>
      </w:r>
      <w:r>
        <w:rPr>
          <w:sz w:val="18"/>
        </w:rPr>
        <w:t>Final</w:t>
      </w:r>
      <w:r>
        <w:rPr>
          <w:spacing w:val="-3"/>
          <w:sz w:val="18"/>
        </w:rPr>
        <w:t xml:space="preserve"> </w:t>
      </w:r>
      <w:r>
        <w:rPr>
          <w:sz w:val="18"/>
        </w:rPr>
        <w:t>Report:</w:t>
      </w:r>
      <w:r>
        <w:rPr>
          <w:spacing w:val="-3"/>
          <w:sz w:val="18"/>
        </w:rPr>
        <w:t xml:space="preserve"> </w:t>
      </w:r>
      <w:r>
        <w:rPr>
          <w:sz w:val="18"/>
        </w:rPr>
        <w:t>2014-16</w:t>
      </w:r>
      <w:r>
        <w:rPr>
          <w:spacing w:val="-4"/>
          <w:sz w:val="18"/>
        </w:rPr>
        <w:t xml:space="preserve"> </w:t>
      </w:r>
      <w:r>
        <w:rPr>
          <w:sz w:val="18"/>
        </w:rPr>
        <w:t>HVAC</w:t>
      </w:r>
      <w:r>
        <w:rPr>
          <w:spacing w:val="-2"/>
          <w:sz w:val="18"/>
        </w:rPr>
        <w:t xml:space="preserve"> </w:t>
      </w:r>
      <w:r>
        <w:rPr>
          <w:sz w:val="18"/>
        </w:rPr>
        <w:t>Permit</w:t>
      </w:r>
      <w:r>
        <w:rPr>
          <w:spacing w:val="-3"/>
          <w:sz w:val="18"/>
        </w:rPr>
        <w:t xml:space="preserve"> </w:t>
      </w:r>
      <w:r>
        <w:rPr>
          <w:sz w:val="18"/>
        </w:rPr>
        <w:t>and</w:t>
      </w:r>
      <w:r>
        <w:rPr>
          <w:spacing w:val="-4"/>
          <w:sz w:val="18"/>
        </w:rPr>
        <w:t xml:space="preserve"> </w:t>
      </w:r>
      <w:r>
        <w:rPr>
          <w:sz w:val="18"/>
        </w:rPr>
        <w:t>Code</w:t>
      </w:r>
      <w:r>
        <w:rPr>
          <w:spacing w:val="-4"/>
          <w:sz w:val="18"/>
        </w:rPr>
        <w:t xml:space="preserve"> </w:t>
      </w:r>
      <w:r>
        <w:rPr>
          <w:sz w:val="18"/>
        </w:rPr>
        <w:t>Compliance</w:t>
      </w:r>
      <w:r>
        <w:rPr>
          <w:spacing w:val="-2"/>
          <w:sz w:val="18"/>
        </w:rPr>
        <w:t xml:space="preserve"> </w:t>
      </w:r>
      <w:r>
        <w:rPr>
          <w:sz w:val="18"/>
        </w:rPr>
        <w:t>Market</w:t>
      </w:r>
      <w:r>
        <w:rPr>
          <w:spacing w:val="-3"/>
          <w:sz w:val="18"/>
        </w:rPr>
        <w:t xml:space="preserve"> </w:t>
      </w:r>
      <w:r>
        <w:rPr>
          <w:sz w:val="18"/>
        </w:rPr>
        <w:t>Assessment</w:t>
      </w:r>
      <w:r>
        <w:rPr>
          <w:spacing w:val="-3"/>
          <w:sz w:val="18"/>
        </w:rPr>
        <w:t xml:space="preserve"> </w:t>
      </w:r>
      <w:r>
        <w:rPr>
          <w:sz w:val="18"/>
        </w:rPr>
        <w:t>(Work</w:t>
      </w:r>
      <w:r>
        <w:rPr>
          <w:spacing w:val="-3"/>
          <w:sz w:val="18"/>
        </w:rPr>
        <w:t xml:space="preserve"> </w:t>
      </w:r>
      <w:r>
        <w:rPr>
          <w:sz w:val="18"/>
        </w:rPr>
        <w:t>Order</w:t>
      </w:r>
      <w:r>
        <w:rPr>
          <w:spacing w:val="-3"/>
          <w:sz w:val="18"/>
        </w:rPr>
        <w:t xml:space="preserve"> </w:t>
      </w:r>
      <w:r>
        <w:rPr>
          <w:sz w:val="18"/>
        </w:rPr>
        <w:t>6)</w:t>
      </w:r>
      <w:r>
        <w:rPr>
          <w:spacing w:val="-3"/>
          <w:sz w:val="18"/>
        </w:rPr>
        <w:t xml:space="preserve"> </w:t>
      </w:r>
      <w:r>
        <w:rPr>
          <w:sz w:val="18"/>
        </w:rPr>
        <w:t>Volume</w:t>
      </w:r>
      <w:r>
        <w:rPr>
          <w:spacing w:val="-2"/>
          <w:sz w:val="18"/>
        </w:rPr>
        <w:t xml:space="preserve"> </w:t>
      </w:r>
      <w:r>
        <w:rPr>
          <w:sz w:val="18"/>
        </w:rPr>
        <w:t>I</w:t>
      </w:r>
      <w:r>
        <w:rPr>
          <w:spacing w:val="-3"/>
          <w:sz w:val="18"/>
        </w:rPr>
        <w:t xml:space="preserve"> </w:t>
      </w:r>
      <w:r>
        <w:rPr>
          <w:sz w:val="18"/>
        </w:rPr>
        <w:t xml:space="preserve">– </w:t>
      </w:r>
      <w:r>
        <w:rPr>
          <w:spacing w:val="-2"/>
          <w:sz w:val="18"/>
        </w:rPr>
        <w:t>Report.</w:t>
      </w:r>
    </w:p>
    <w:p w:rsidR="00C31389" w:rsidRDefault="00561FBD" w14:paraId="468253C5" w14:textId="77777777">
      <w:pPr>
        <w:spacing w:before="40"/>
        <w:ind w:left="480"/>
        <w:rPr>
          <w:sz w:val="18"/>
        </w:rPr>
      </w:pPr>
      <w:r>
        <w:rPr>
          <w:sz w:val="18"/>
        </w:rPr>
        <w:t>California</w:t>
      </w:r>
      <w:r>
        <w:rPr>
          <w:spacing w:val="-6"/>
          <w:sz w:val="18"/>
        </w:rPr>
        <w:t xml:space="preserve"> </w:t>
      </w:r>
      <w:r>
        <w:rPr>
          <w:sz w:val="18"/>
        </w:rPr>
        <w:t>Public</w:t>
      </w:r>
      <w:r>
        <w:rPr>
          <w:spacing w:val="-3"/>
          <w:sz w:val="18"/>
        </w:rPr>
        <w:t xml:space="preserve"> </w:t>
      </w:r>
      <w:r>
        <w:rPr>
          <w:sz w:val="18"/>
        </w:rPr>
        <w:t>Utilities</w:t>
      </w:r>
      <w:r>
        <w:rPr>
          <w:spacing w:val="-3"/>
          <w:sz w:val="18"/>
        </w:rPr>
        <w:t xml:space="preserve"> </w:t>
      </w:r>
      <w:r>
        <w:rPr>
          <w:sz w:val="18"/>
        </w:rPr>
        <w:t>Commission,</w:t>
      </w:r>
      <w:r>
        <w:rPr>
          <w:spacing w:val="-3"/>
          <w:sz w:val="18"/>
        </w:rPr>
        <w:t xml:space="preserve"> </w:t>
      </w:r>
      <w:r>
        <w:rPr>
          <w:sz w:val="18"/>
        </w:rPr>
        <w:t>Table</w:t>
      </w:r>
      <w:r>
        <w:rPr>
          <w:spacing w:val="-3"/>
          <w:sz w:val="18"/>
        </w:rPr>
        <w:t xml:space="preserve"> </w:t>
      </w:r>
      <w:r>
        <w:rPr>
          <w:sz w:val="18"/>
        </w:rPr>
        <w:t>14.</w:t>
      </w:r>
      <w:r>
        <w:rPr>
          <w:spacing w:val="-3"/>
          <w:sz w:val="18"/>
        </w:rPr>
        <w:t xml:space="preserve"> </w:t>
      </w:r>
      <w:r>
        <w:rPr>
          <w:sz w:val="18"/>
        </w:rPr>
        <w:t>Distribution</w:t>
      </w:r>
      <w:r>
        <w:rPr>
          <w:spacing w:val="-2"/>
          <w:sz w:val="18"/>
        </w:rPr>
        <w:t xml:space="preserve"> </w:t>
      </w:r>
      <w:r>
        <w:rPr>
          <w:sz w:val="18"/>
        </w:rPr>
        <w:t>of</w:t>
      </w:r>
      <w:r>
        <w:rPr>
          <w:spacing w:val="-3"/>
          <w:sz w:val="18"/>
        </w:rPr>
        <w:t xml:space="preserve"> </w:t>
      </w:r>
      <w:r>
        <w:rPr>
          <w:sz w:val="18"/>
        </w:rPr>
        <w:t>HVAC</w:t>
      </w:r>
      <w:r>
        <w:rPr>
          <w:spacing w:val="-3"/>
          <w:sz w:val="18"/>
        </w:rPr>
        <w:t xml:space="preserve"> </w:t>
      </w:r>
      <w:r>
        <w:rPr>
          <w:sz w:val="18"/>
        </w:rPr>
        <w:t>system</w:t>
      </w:r>
      <w:r>
        <w:rPr>
          <w:spacing w:val="-3"/>
          <w:sz w:val="18"/>
        </w:rPr>
        <w:t xml:space="preserve"> </w:t>
      </w:r>
      <w:r>
        <w:rPr>
          <w:sz w:val="18"/>
        </w:rPr>
        <w:t>type</w:t>
      </w:r>
      <w:r>
        <w:rPr>
          <w:spacing w:val="-4"/>
          <w:sz w:val="18"/>
        </w:rPr>
        <w:t xml:space="preserve"> </w:t>
      </w:r>
      <w:r>
        <w:rPr>
          <w:sz w:val="18"/>
        </w:rPr>
        <w:t>by</w:t>
      </w:r>
      <w:r>
        <w:rPr>
          <w:spacing w:val="-3"/>
          <w:sz w:val="18"/>
        </w:rPr>
        <w:t xml:space="preserve"> </w:t>
      </w:r>
      <w:r>
        <w:rPr>
          <w:sz w:val="18"/>
        </w:rPr>
        <w:t>climate</w:t>
      </w:r>
      <w:r>
        <w:rPr>
          <w:spacing w:val="-3"/>
          <w:sz w:val="18"/>
        </w:rPr>
        <w:t xml:space="preserve"> </w:t>
      </w:r>
      <w:r>
        <w:rPr>
          <w:spacing w:val="-2"/>
          <w:sz w:val="18"/>
        </w:rPr>
        <w:t>region.</w:t>
      </w:r>
    </w:p>
    <w:p w:rsidR="00C31389" w:rsidRDefault="00C31389" w14:paraId="10D47C38" w14:textId="77777777">
      <w:pPr>
        <w:rPr>
          <w:sz w:val="18"/>
        </w:rPr>
        <w:sectPr w:rsidR="00C31389">
          <w:pgSz w:w="11910" w:h="16840"/>
          <w:pgMar w:top="1660" w:right="1020" w:bottom="1120" w:left="960" w:header="397" w:footer="938" w:gutter="0"/>
          <w:cols w:space="720"/>
        </w:sectPr>
      </w:pPr>
    </w:p>
    <w:p w:rsidR="00C31389" w:rsidRDefault="00C31389" w14:paraId="42AE270B" w14:textId="77777777">
      <w:pPr>
        <w:pStyle w:val="BodyText"/>
        <w:spacing w:before="11"/>
        <w:rPr>
          <w:sz w:val="13"/>
        </w:rPr>
      </w:pPr>
    </w:p>
    <w:p w:rsidR="00C31389" w:rsidRDefault="00561FBD" w14:paraId="2E1C9B67" w14:textId="77777777">
      <w:pPr>
        <w:pStyle w:val="Heading7"/>
        <w:spacing w:before="92"/>
        <w:ind w:left="398" w:right="338"/>
        <w:jc w:val="center"/>
      </w:pPr>
      <w:bookmarkStart w:name="_bookmark257" w:id="343"/>
      <w:bookmarkEnd w:id="343"/>
      <w:r>
        <w:t>Table</w:t>
      </w:r>
      <w:r>
        <w:rPr>
          <w:spacing w:val="-4"/>
        </w:rPr>
        <w:t xml:space="preserve"> </w:t>
      </w:r>
      <w:r>
        <w:t>B-6.</w:t>
      </w:r>
      <w:r>
        <w:rPr>
          <w:spacing w:val="-5"/>
        </w:rPr>
        <w:t xml:space="preserve"> </w:t>
      </w:r>
      <w:r>
        <w:t>Component</w:t>
      </w:r>
      <w:r>
        <w:rPr>
          <w:spacing w:val="-4"/>
        </w:rPr>
        <w:t xml:space="preserve"> </w:t>
      </w:r>
      <w:r>
        <w:t>EUL</w:t>
      </w:r>
      <w:r>
        <w:rPr>
          <w:spacing w:val="-4"/>
        </w:rPr>
        <w:t xml:space="preserve"> </w:t>
      </w:r>
      <w:r>
        <w:t>Comparison</w:t>
      </w:r>
      <w:r>
        <w:rPr>
          <w:spacing w:val="-4"/>
        </w:rPr>
        <w:t xml:space="preserve"> </w:t>
      </w:r>
      <w:r>
        <w:t>and</w:t>
      </w:r>
      <w:r>
        <w:rPr>
          <w:spacing w:val="-4"/>
        </w:rPr>
        <w:t xml:space="preserve"> </w:t>
      </w:r>
      <w:r>
        <w:t>Probability</w:t>
      </w:r>
      <w:r>
        <w:rPr>
          <w:spacing w:val="-4"/>
        </w:rPr>
        <w:t xml:space="preserve"> </w:t>
      </w:r>
      <w:r>
        <w:t>of</w:t>
      </w:r>
      <w:r>
        <w:rPr>
          <w:spacing w:val="-4"/>
        </w:rPr>
        <w:t xml:space="preserve"> </w:t>
      </w:r>
      <w:r>
        <w:t>System</w:t>
      </w:r>
      <w:r>
        <w:rPr>
          <w:spacing w:val="-4"/>
        </w:rPr>
        <w:t xml:space="preserve"> </w:t>
      </w:r>
      <w:r>
        <w:t xml:space="preserve">Replacement </w:t>
      </w:r>
      <w:r>
        <w:rPr>
          <w:spacing w:val="-2"/>
        </w:rPr>
        <w:t>Alignment</w:t>
      </w:r>
    </w:p>
    <w:p w:rsidR="00C31389" w:rsidRDefault="00C31389" w14:paraId="1A82800F" w14:textId="77777777">
      <w:pPr>
        <w:pStyle w:val="BodyText"/>
        <w:spacing w:before="8"/>
        <w:rPr>
          <w:b/>
          <w:sz w:val="9"/>
        </w:rPr>
      </w:pPr>
    </w:p>
    <w:tbl>
      <w:tblPr>
        <w:tblW w:w="0" w:type="auto"/>
        <w:tblInd w:w="310" w:type="dxa"/>
        <w:tblLayout w:type="fixed"/>
        <w:tblCellMar>
          <w:left w:w="0" w:type="dxa"/>
          <w:right w:w="0" w:type="dxa"/>
        </w:tblCellMar>
        <w:tblLook w:val="01E0" w:firstRow="1" w:lastRow="1" w:firstColumn="1" w:lastColumn="1" w:noHBand="0" w:noVBand="0"/>
      </w:tblPr>
      <w:tblGrid>
        <w:gridCol w:w="2071"/>
        <w:gridCol w:w="1684"/>
        <w:gridCol w:w="1835"/>
        <w:gridCol w:w="1884"/>
        <w:gridCol w:w="1900"/>
      </w:tblGrid>
      <w:tr w:rsidR="00C31389" w14:paraId="5A4CDF58" w14:textId="77777777">
        <w:trPr>
          <w:trHeight w:val="778"/>
        </w:trPr>
        <w:tc>
          <w:tcPr>
            <w:tcW w:w="2071" w:type="dxa"/>
            <w:shd w:val="clear" w:color="auto" w:fill="92D400"/>
          </w:tcPr>
          <w:p w:rsidR="00C31389" w:rsidRDefault="00C31389" w14:paraId="1B77776C" w14:textId="77777777">
            <w:pPr>
              <w:pStyle w:val="TableParagraph"/>
              <w:spacing w:before="5"/>
              <w:rPr>
                <w:b/>
                <w:sz w:val="23"/>
              </w:rPr>
            </w:pPr>
          </w:p>
          <w:p w:rsidR="00C31389" w:rsidRDefault="00561FBD" w14:paraId="512D3802" w14:textId="77777777">
            <w:pPr>
              <w:pStyle w:val="TableParagraph"/>
              <w:spacing w:before="0"/>
              <w:ind w:left="117"/>
              <w:rPr>
                <w:b/>
                <w:sz w:val="20"/>
              </w:rPr>
            </w:pPr>
            <w:r>
              <w:rPr>
                <w:b/>
                <w:spacing w:val="-2"/>
                <w:sz w:val="20"/>
              </w:rPr>
              <w:t>Region</w:t>
            </w:r>
          </w:p>
        </w:tc>
        <w:tc>
          <w:tcPr>
            <w:tcW w:w="1684" w:type="dxa"/>
            <w:shd w:val="clear" w:color="auto" w:fill="92D400"/>
          </w:tcPr>
          <w:p w:rsidR="00C31389" w:rsidRDefault="00561FBD" w14:paraId="4ECA9365" w14:textId="77777777">
            <w:pPr>
              <w:pStyle w:val="TableParagraph"/>
              <w:ind w:left="68" w:right="256" w:hanging="1"/>
              <w:jc w:val="center"/>
              <w:rPr>
                <w:b/>
                <w:sz w:val="20"/>
              </w:rPr>
            </w:pPr>
            <w:r>
              <w:rPr>
                <w:b/>
                <w:spacing w:val="-2"/>
                <w:sz w:val="20"/>
              </w:rPr>
              <w:t>Ratio</w:t>
            </w:r>
            <w:r>
              <w:rPr>
                <w:b/>
                <w:spacing w:val="40"/>
                <w:sz w:val="20"/>
              </w:rPr>
              <w:t xml:space="preserve"> </w:t>
            </w:r>
            <w:r>
              <w:rPr>
                <w:b/>
                <w:sz w:val="20"/>
              </w:rPr>
              <w:t>(Furnace</w:t>
            </w:r>
            <w:r>
              <w:rPr>
                <w:b/>
                <w:spacing w:val="-14"/>
                <w:sz w:val="20"/>
              </w:rPr>
              <w:t xml:space="preserve"> </w:t>
            </w:r>
            <w:r>
              <w:rPr>
                <w:b/>
                <w:sz w:val="20"/>
              </w:rPr>
              <w:t>EUL/ AC EUL)</w:t>
            </w:r>
          </w:p>
        </w:tc>
        <w:tc>
          <w:tcPr>
            <w:tcW w:w="1835" w:type="dxa"/>
            <w:shd w:val="clear" w:color="auto" w:fill="92D400"/>
          </w:tcPr>
          <w:p w:rsidR="00C31389" w:rsidRDefault="00C31389" w14:paraId="4C856E65" w14:textId="77777777">
            <w:pPr>
              <w:pStyle w:val="TableParagraph"/>
              <w:spacing w:before="5"/>
              <w:rPr>
                <w:b/>
                <w:sz w:val="23"/>
              </w:rPr>
            </w:pPr>
          </w:p>
          <w:p w:rsidR="00C31389" w:rsidRDefault="00561FBD" w14:paraId="35E8F754" w14:textId="77777777">
            <w:pPr>
              <w:pStyle w:val="TableParagraph"/>
              <w:spacing w:before="0"/>
              <w:ind w:left="106"/>
              <w:rPr>
                <w:b/>
                <w:sz w:val="20"/>
              </w:rPr>
            </w:pPr>
            <w:r>
              <w:rPr>
                <w:b/>
                <w:spacing w:val="-2"/>
                <w:sz w:val="20"/>
              </w:rPr>
              <w:t>Observation</w:t>
            </w:r>
          </w:p>
        </w:tc>
        <w:tc>
          <w:tcPr>
            <w:tcW w:w="1884" w:type="dxa"/>
            <w:shd w:val="clear" w:color="auto" w:fill="92D400"/>
          </w:tcPr>
          <w:p w:rsidR="00C31389" w:rsidRDefault="00C31389" w14:paraId="456514CD" w14:textId="77777777">
            <w:pPr>
              <w:pStyle w:val="TableParagraph"/>
              <w:spacing w:before="5"/>
              <w:rPr>
                <w:b/>
                <w:sz w:val="23"/>
              </w:rPr>
            </w:pPr>
          </w:p>
          <w:p w:rsidR="00C31389" w:rsidRDefault="00561FBD" w14:paraId="51DBDAA8" w14:textId="77777777">
            <w:pPr>
              <w:pStyle w:val="TableParagraph"/>
              <w:spacing w:before="0"/>
              <w:ind w:left="143"/>
              <w:rPr>
                <w:b/>
                <w:sz w:val="20"/>
              </w:rPr>
            </w:pPr>
            <w:r>
              <w:rPr>
                <w:b/>
                <w:sz w:val="20"/>
              </w:rPr>
              <w:t>EUL</w:t>
            </w:r>
            <w:r>
              <w:rPr>
                <w:b/>
                <w:spacing w:val="-2"/>
                <w:sz w:val="20"/>
              </w:rPr>
              <w:t xml:space="preserve"> Alignment</w:t>
            </w:r>
          </w:p>
        </w:tc>
        <w:tc>
          <w:tcPr>
            <w:tcW w:w="1900" w:type="dxa"/>
            <w:shd w:val="clear" w:color="auto" w:fill="92D400"/>
          </w:tcPr>
          <w:p w:rsidR="00C31389" w:rsidRDefault="00561FBD" w14:paraId="7A60453B" w14:textId="77777777">
            <w:pPr>
              <w:pStyle w:val="TableParagraph"/>
              <w:spacing w:before="154"/>
              <w:ind w:left="131" w:right="462"/>
              <w:rPr>
                <w:b/>
                <w:sz w:val="20"/>
              </w:rPr>
            </w:pPr>
            <w:r>
              <w:rPr>
                <w:b/>
                <w:sz w:val="20"/>
              </w:rPr>
              <w:t>Likely</w:t>
            </w:r>
            <w:r>
              <w:rPr>
                <w:b/>
                <w:spacing w:val="-14"/>
                <w:sz w:val="20"/>
              </w:rPr>
              <w:t xml:space="preserve"> </w:t>
            </w:r>
            <w:r>
              <w:rPr>
                <w:b/>
                <w:sz w:val="20"/>
              </w:rPr>
              <w:t xml:space="preserve">Project </w:t>
            </w:r>
            <w:r>
              <w:rPr>
                <w:b/>
                <w:spacing w:val="-4"/>
                <w:sz w:val="20"/>
              </w:rPr>
              <w:t>Type</w:t>
            </w:r>
          </w:p>
        </w:tc>
      </w:tr>
      <w:tr w:rsidR="00C31389" w14:paraId="33C61E68" w14:textId="77777777">
        <w:trPr>
          <w:trHeight w:val="1229"/>
        </w:trPr>
        <w:tc>
          <w:tcPr>
            <w:tcW w:w="2071" w:type="dxa"/>
            <w:tcBorders>
              <w:bottom w:val="single" w:color="D9D9D9" w:sz="2" w:space="0"/>
            </w:tcBorders>
          </w:tcPr>
          <w:p w:rsidR="00C31389" w:rsidRDefault="00C31389" w14:paraId="522116FF" w14:textId="77777777">
            <w:pPr>
              <w:pStyle w:val="TableParagraph"/>
              <w:spacing w:before="9"/>
              <w:rPr>
                <w:b/>
                <w:sz w:val="31"/>
              </w:rPr>
            </w:pPr>
          </w:p>
          <w:p w:rsidR="00C31389" w:rsidRDefault="00561FBD" w14:paraId="5A7C2148" w14:textId="77777777">
            <w:pPr>
              <w:pStyle w:val="TableParagraph"/>
              <w:spacing w:before="0" w:line="283" w:lineRule="auto"/>
              <w:ind w:left="117" w:right="736"/>
              <w:rPr>
                <w:b/>
                <w:sz w:val="20"/>
              </w:rPr>
            </w:pPr>
            <w:r>
              <w:rPr>
                <w:b/>
                <w:sz w:val="20"/>
              </w:rPr>
              <w:t>North</w:t>
            </w:r>
            <w:r>
              <w:rPr>
                <w:b/>
                <w:spacing w:val="-14"/>
                <w:sz w:val="20"/>
              </w:rPr>
              <w:t xml:space="preserve"> </w:t>
            </w:r>
            <w:r>
              <w:rPr>
                <w:b/>
                <w:sz w:val="20"/>
              </w:rPr>
              <w:t>Coast: CZ 1, 3, 5</w:t>
            </w:r>
          </w:p>
        </w:tc>
        <w:tc>
          <w:tcPr>
            <w:tcW w:w="1684" w:type="dxa"/>
            <w:tcBorders>
              <w:bottom w:val="single" w:color="D9D9D9" w:sz="2" w:space="0"/>
            </w:tcBorders>
          </w:tcPr>
          <w:p w:rsidR="00C31389" w:rsidRDefault="00C31389" w14:paraId="6715AF88" w14:textId="77777777">
            <w:pPr>
              <w:pStyle w:val="TableParagraph"/>
              <w:spacing w:before="0"/>
              <w:rPr>
                <w:b/>
              </w:rPr>
            </w:pPr>
          </w:p>
          <w:p w:rsidR="00C31389" w:rsidRDefault="00C31389" w14:paraId="45FBCF38" w14:textId="77777777">
            <w:pPr>
              <w:pStyle w:val="TableParagraph"/>
              <w:spacing w:before="6"/>
              <w:rPr>
                <w:b/>
                <w:sz w:val="21"/>
              </w:rPr>
            </w:pPr>
          </w:p>
          <w:p w:rsidR="00C31389" w:rsidRDefault="00561FBD" w14:paraId="684976E0" w14:textId="77777777">
            <w:pPr>
              <w:pStyle w:val="TableParagraph"/>
              <w:spacing w:before="0"/>
              <w:ind w:left="552"/>
              <w:rPr>
                <w:sz w:val="20"/>
              </w:rPr>
            </w:pPr>
            <w:r>
              <w:rPr>
                <w:spacing w:val="-4"/>
                <w:sz w:val="20"/>
              </w:rPr>
              <w:t>0.57</w:t>
            </w:r>
          </w:p>
        </w:tc>
        <w:tc>
          <w:tcPr>
            <w:tcW w:w="1835" w:type="dxa"/>
            <w:tcBorders>
              <w:bottom w:val="single" w:color="D9D9D9" w:sz="2" w:space="0"/>
            </w:tcBorders>
          </w:tcPr>
          <w:p w:rsidR="00C31389" w:rsidRDefault="00561FBD" w14:paraId="65625FEA" w14:textId="77777777">
            <w:pPr>
              <w:pStyle w:val="TableParagraph"/>
              <w:spacing w:before="41"/>
              <w:ind w:left="107"/>
              <w:rPr>
                <w:sz w:val="20"/>
              </w:rPr>
            </w:pPr>
            <w:r>
              <w:rPr>
                <w:sz w:val="20"/>
              </w:rPr>
              <w:t>Furnace has a shorter</w:t>
            </w:r>
            <w:r>
              <w:rPr>
                <w:spacing w:val="-14"/>
                <w:sz w:val="20"/>
              </w:rPr>
              <w:t xml:space="preserve"> </w:t>
            </w:r>
            <w:r>
              <w:rPr>
                <w:sz w:val="20"/>
              </w:rPr>
              <w:t>EUL</w:t>
            </w:r>
            <w:r>
              <w:rPr>
                <w:spacing w:val="-14"/>
                <w:sz w:val="20"/>
              </w:rPr>
              <w:t xml:space="preserve"> </w:t>
            </w:r>
            <w:r>
              <w:rPr>
                <w:sz w:val="20"/>
              </w:rPr>
              <w:t xml:space="preserve">than the AC and is replaced more </w:t>
            </w:r>
            <w:r>
              <w:rPr>
                <w:spacing w:val="-2"/>
                <w:sz w:val="20"/>
              </w:rPr>
              <w:t>frequently</w:t>
            </w:r>
          </w:p>
        </w:tc>
        <w:tc>
          <w:tcPr>
            <w:tcW w:w="1884" w:type="dxa"/>
            <w:tcBorders>
              <w:bottom w:val="single" w:color="D9D9D9" w:sz="2" w:space="0"/>
            </w:tcBorders>
          </w:tcPr>
          <w:p w:rsidR="00C31389" w:rsidRDefault="00561FBD" w14:paraId="0A068D78" w14:textId="77777777">
            <w:pPr>
              <w:pStyle w:val="TableParagraph"/>
              <w:spacing w:before="155"/>
              <w:ind w:left="144" w:right="154"/>
              <w:rPr>
                <w:sz w:val="20"/>
              </w:rPr>
            </w:pPr>
            <w:r>
              <w:rPr>
                <w:sz w:val="20"/>
              </w:rPr>
              <w:t>Low</w:t>
            </w:r>
            <w:r>
              <w:rPr>
                <w:spacing w:val="-14"/>
                <w:sz w:val="20"/>
              </w:rPr>
              <w:t xml:space="preserve"> </w:t>
            </w:r>
            <w:r>
              <w:rPr>
                <w:sz w:val="20"/>
              </w:rPr>
              <w:t>probability</w:t>
            </w:r>
            <w:r>
              <w:rPr>
                <w:spacing w:val="-14"/>
                <w:sz w:val="20"/>
              </w:rPr>
              <w:t xml:space="preserve"> </w:t>
            </w:r>
            <w:r>
              <w:rPr>
                <w:sz w:val="20"/>
              </w:rPr>
              <w:t xml:space="preserve">of </w:t>
            </w:r>
            <w:r>
              <w:rPr>
                <w:spacing w:val="-2"/>
                <w:sz w:val="20"/>
              </w:rPr>
              <w:t xml:space="preserve">alignment </w:t>
            </w:r>
            <w:r>
              <w:rPr>
                <w:sz w:val="20"/>
              </w:rPr>
              <w:t>between furnace and AC EULs</w:t>
            </w:r>
          </w:p>
        </w:tc>
        <w:tc>
          <w:tcPr>
            <w:tcW w:w="1900" w:type="dxa"/>
            <w:tcBorders>
              <w:bottom w:val="single" w:color="D9D9D9" w:sz="2" w:space="0"/>
            </w:tcBorders>
          </w:tcPr>
          <w:p w:rsidR="00C31389" w:rsidRDefault="00C31389" w14:paraId="386DF8EE" w14:textId="77777777">
            <w:pPr>
              <w:pStyle w:val="TableParagraph"/>
              <w:spacing w:before="6"/>
              <w:rPr>
                <w:b/>
                <w:sz w:val="23"/>
              </w:rPr>
            </w:pPr>
          </w:p>
          <w:p w:rsidR="00C31389" w:rsidRDefault="00561FBD" w14:paraId="6DF38F1C" w14:textId="77777777">
            <w:pPr>
              <w:pStyle w:val="TableParagraph"/>
              <w:spacing w:before="0"/>
              <w:ind w:left="132" w:right="205"/>
              <w:rPr>
                <w:sz w:val="20"/>
              </w:rPr>
            </w:pPr>
            <w:r>
              <w:rPr>
                <w:sz w:val="20"/>
              </w:rPr>
              <w:t>Higher</w:t>
            </w:r>
            <w:r>
              <w:rPr>
                <w:spacing w:val="-14"/>
                <w:sz w:val="20"/>
              </w:rPr>
              <w:t xml:space="preserve"> </w:t>
            </w:r>
            <w:r>
              <w:rPr>
                <w:sz w:val="20"/>
              </w:rPr>
              <w:t xml:space="preserve">probability of a furnace only </w:t>
            </w:r>
            <w:r>
              <w:rPr>
                <w:spacing w:val="-2"/>
                <w:sz w:val="20"/>
              </w:rPr>
              <w:t>project</w:t>
            </w:r>
          </w:p>
        </w:tc>
      </w:tr>
      <w:tr w:rsidR="00C31389" w14:paraId="037DDCF3" w14:textId="77777777">
        <w:trPr>
          <w:trHeight w:val="396"/>
        </w:trPr>
        <w:tc>
          <w:tcPr>
            <w:tcW w:w="2071" w:type="dxa"/>
            <w:vMerge w:val="restart"/>
            <w:tcBorders>
              <w:top w:val="single" w:color="D9D9D9" w:sz="2" w:space="0"/>
              <w:bottom w:val="single" w:color="D9D9D9" w:sz="2" w:space="0"/>
            </w:tcBorders>
          </w:tcPr>
          <w:p w:rsidR="00C31389" w:rsidRDefault="00561FBD" w14:paraId="528951B9" w14:textId="77777777">
            <w:pPr>
              <w:pStyle w:val="TableParagraph"/>
              <w:spacing w:before="1" w:line="270" w:lineRule="atLeast"/>
              <w:ind w:left="117" w:right="703"/>
              <w:rPr>
                <w:b/>
                <w:sz w:val="20"/>
              </w:rPr>
            </w:pPr>
            <w:r>
              <w:rPr>
                <w:b/>
                <w:sz w:val="20"/>
              </w:rPr>
              <w:t>North</w:t>
            </w:r>
            <w:r>
              <w:rPr>
                <w:b/>
                <w:spacing w:val="-14"/>
                <w:sz w:val="20"/>
              </w:rPr>
              <w:t xml:space="preserve"> </w:t>
            </w:r>
            <w:r>
              <w:rPr>
                <w:b/>
                <w:sz w:val="20"/>
              </w:rPr>
              <w:t>Inland: CZ 2, 11, 16</w:t>
            </w:r>
          </w:p>
        </w:tc>
        <w:tc>
          <w:tcPr>
            <w:tcW w:w="1684" w:type="dxa"/>
            <w:tcBorders>
              <w:top w:val="single" w:color="D9D9D9" w:sz="2" w:space="0"/>
            </w:tcBorders>
          </w:tcPr>
          <w:p w:rsidR="00C31389" w:rsidRDefault="00561FBD" w14:paraId="79110D28" w14:textId="77777777">
            <w:pPr>
              <w:pStyle w:val="TableParagraph"/>
              <w:spacing w:before="176" w:line="201" w:lineRule="exact"/>
              <w:ind w:left="552"/>
              <w:rPr>
                <w:sz w:val="20"/>
              </w:rPr>
            </w:pPr>
            <w:r>
              <w:rPr>
                <w:spacing w:val="-4"/>
                <w:sz w:val="20"/>
              </w:rPr>
              <w:t>1.06</w:t>
            </w:r>
          </w:p>
        </w:tc>
        <w:tc>
          <w:tcPr>
            <w:tcW w:w="1835" w:type="dxa"/>
            <w:vMerge w:val="restart"/>
            <w:tcBorders>
              <w:top w:val="single" w:color="D9D9D9" w:sz="2" w:space="0"/>
              <w:bottom w:val="single" w:color="D9D9D9" w:sz="2" w:space="0"/>
            </w:tcBorders>
          </w:tcPr>
          <w:p w:rsidR="00C31389" w:rsidRDefault="00561FBD" w14:paraId="1E32A767" w14:textId="77777777">
            <w:pPr>
              <w:pStyle w:val="TableParagraph"/>
              <w:spacing w:before="41"/>
              <w:ind w:left="106" w:right="144"/>
              <w:rPr>
                <w:sz w:val="20"/>
              </w:rPr>
            </w:pPr>
            <w:r>
              <w:rPr>
                <w:sz w:val="20"/>
              </w:rPr>
              <w:t>Furnace has approximately</w:t>
            </w:r>
            <w:r>
              <w:rPr>
                <w:spacing w:val="-14"/>
                <w:sz w:val="20"/>
              </w:rPr>
              <w:t xml:space="preserve"> </w:t>
            </w:r>
            <w:r>
              <w:rPr>
                <w:sz w:val="20"/>
              </w:rPr>
              <w:t xml:space="preserve">the same EUL as the AC </w:t>
            </w:r>
            <w:r>
              <w:rPr>
                <w:sz w:val="20"/>
              </w:rPr>
              <w:t>and is replaced with the same frequency</w:t>
            </w:r>
          </w:p>
        </w:tc>
        <w:tc>
          <w:tcPr>
            <w:tcW w:w="1884" w:type="dxa"/>
            <w:vMerge w:val="restart"/>
            <w:tcBorders>
              <w:top w:val="single" w:color="D9D9D9" w:sz="2" w:space="0"/>
              <w:bottom w:val="single" w:color="D9D9D9" w:sz="2" w:space="0"/>
            </w:tcBorders>
          </w:tcPr>
          <w:p w:rsidR="00C31389" w:rsidRDefault="00C31389" w14:paraId="184CD53D" w14:textId="77777777">
            <w:pPr>
              <w:pStyle w:val="TableParagraph"/>
              <w:spacing w:before="6"/>
              <w:rPr>
                <w:b/>
                <w:sz w:val="23"/>
              </w:rPr>
            </w:pPr>
          </w:p>
          <w:p w:rsidR="00C31389" w:rsidRDefault="00561FBD" w14:paraId="569D4F30" w14:textId="77777777">
            <w:pPr>
              <w:pStyle w:val="TableParagraph"/>
              <w:spacing w:before="0"/>
              <w:ind w:left="143" w:right="136"/>
              <w:rPr>
                <w:sz w:val="20"/>
              </w:rPr>
            </w:pPr>
            <w:r>
              <w:rPr>
                <w:sz w:val="20"/>
              </w:rPr>
              <w:t>High</w:t>
            </w:r>
            <w:r>
              <w:rPr>
                <w:spacing w:val="-14"/>
                <w:sz w:val="20"/>
              </w:rPr>
              <w:t xml:space="preserve"> </w:t>
            </w:r>
            <w:r>
              <w:rPr>
                <w:sz w:val="20"/>
              </w:rPr>
              <w:t>probability</w:t>
            </w:r>
            <w:r>
              <w:rPr>
                <w:spacing w:val="-14"/>
                <w:sz w:val="20"/>
              </w:rPr>
              <w:t xml:space="preserve"> </w:t>
            </w:r>
            <w:r>
              <w:rPr>
                <w:sz w:val="20"/>
              </w:rPr>
              <w:t xml:space="preserve">of </w:t>
            </w:r>
            <w:r>
              <w:rPr>
                <w:spacing w:val="-2"/>
                <w:sz w:val="20"/>
              </w:rPr>
              <w:t xml:space="preserve">alignment </w:t>
            </w:r>
            <w:r>
              <w:rPr>
                <w:sz w:val="20"/>
              </w:rPr>
              <w:t>between furnace and AC EULs</w:t>
            </w:r>
          </w:p>
        </w:tc>
        <w:tc>
          <w:tcPr>
            <w:tcW w:w="1900" w:type="dxa"/>
            <w:tcBorders>
              <w:top w:val="single" w:color="D9D9D9" w:sz="2" w:space="0"/>
            </w:tcBorders>
          </w:tcPr>
          <w:p w:rsidR="00C31389" w:rsidRDefault="00C31389" w14:paraId="6BF3CFF5" w14:textId="77777777">
            <w:pPr>
              <w:pStyle w:val="TableParagraph"/>
              <w:spacing w:before="0"/>
              <w:rPr>
                <w:rFonts w:ascii="Times New Roman"/>
                <w:sz w:val="20"/>
              </w:rPr>
            </w:pPr>
          </w:p>
        </w:tc>
      </w:tr>
      <w:tr w:rsidR="00C31389" w14:paraId="26608F8C" w14:textId="77777777">
        <w:trPr>
          <w:trHeight w:val="179"/>
        </w:trPr>
        <w:tc>
          <w:tcPr>
            <w:tcW w:w="2071" w:type="dxa"/>
            <w:vMerge/>
            <w:tcBorders>
              <w:top w:val="nil"/>
              <w:bottom w:val="single" w:color="D9D9D9" w:sz="2" w:space="0"/>
            </w:tcBorders>
          </w:tcPr>
          <w:p w:rsidR="00C31389" w:rsidRDefault="00C31389" w14:paraId="0E91FBF8" w14:textId="77777777">
            <w:pPr>
              <w:rPr>
                <w:sz w:val="2"/>
                <w:szCs w:val="2"/>
              </w:rPr>
            </w:pPr>
          </w:p>
        </w:tc>
        <w:tc>
          <w:tcPr>
            <w:tcW w:w="1684" w:type="dxa"/>
            <w:tcBorders>
              <w:bottom w:val="single" w:color="D9D9D9" w:sz="2" w:space="0"/>
            </w:tcBorders>
          </w:tcPr>
          <w:p w:rsidR="00C31389" w:rsidRDefault="00C31389" w14:paraId="117C1A96" w14:textId="77777777">
            <w:pPr>
              <w:pStyle w:val="TableParagraph"/>
              <w:spacing w:before="0"/>
              <w:rPr>
                <w:rFonts w:ascii="Times New Roman"/>
                <w:sz w:val="12"/>
              </w:rPr>
            </w:pPr>
          </w:p>
        </w:tc>
        <w:tc>
          <w:tcPr>
            <w:tcW w:w="1835" w:type="dxa"/>
            <w:vMerge/>
            <w:tcBorders>
              <w:top w:val="nil"/>
              <w:bottom w:val="single" w:color="D9D9D9" w:sz="2" w:space="0"/>
            </w:tcBorders>
          </w:tcPr>
          <w:p w:rsidR="00C31389" w:rsidRDefault="00C31389" w14:paraId="61149686" w14:textId="77777777">
            <w:pPr>
              <w:rPr>
                <w:sz w:val="2"/>
                <w:szCs w:val="2"/>
              </w:rPr>
            </w:pPr>
          </w:p>
        </w:tc>
        <w:tc>
          <w:tcPr>
            <w:tcW w:w="1884" w:type="dxa"/>
            <w:vMerge/>
            <w:tcBorders>
              <w:top w:val="nil"/>
              <w:bottom w:val="single" w:color="D9D9D9" w:sz="2" w:space="0"/>
            </w:tcBorders>
          </w:tcPr>
          <w:p w:rsidR="00C31389" w:rsidRDefault="00C31389" w14:paraId="6DDF8F0F" w14:textId="77777777">
            <w:pPr>
              <w:rPr>
                <w:sz w:val="2"/>
                <w:szCs w:val="2"/>
              </w:rPr>
            </w:pPr>
          </w:p>
        </w:tc>
        <w:tc>
          <w:tcPr>
            <w:tcW w:w="1900" w:type="dxa"/>
            <w:vMerge w:val="restart"/>
            <w:tcBorders>
              <w:bottom w:val="single" w:color="D9D9D9" w:sz="2" w:space="0"/>
            </w:tcBorders>
          </w:tcPr>
          <w:p w:rsidR="00C31389" w:rsidRDefault="00561FBD" w14:paraId="3480205F" w14:textId="77777777">
            <w:pPr>
              <w:pStyle w:val="TableParagraph"/>
              <w:spacing w:before="0" w:line="214" w:lineRule="exact"/>
              <w:ind w:left="131"/>
              <w:rPr>
                <w:sz w:val="20"/>
              </w:rPr>
            </w:pPr>
            <w:r>
              <w:rPr>
                <w:sz w:val="20"/>
              </w:rPr>
              <w:t>Higher</w:t>
            </w:r>
            <w:r>
              <w:rPr>
                <w:spacing w:val="-3"/>
                <w:sz w:val="20"/>
              </w:rPr>
              <w:t xml:space="preserve"> </w:t>
            </w:r>
            <w:r>
              <w:rPr>
                <w:spacing w:val="-2"/>
                <w:sz w:val="20"/>
              </w:rPr>
              <w:t>probability</w:t>
            </w:r>
          </w:p>
          <w:p w:rsidR="00C31389" w:rsidRDefault="00561FBD" w14:paraId="3266A1F9" w14:textId="77777777">
            <w:pPr>
              <w:pStyle w:val="TableParagraph"/>
              <w:spacing w:before="0"/>
              <w:ind w:left="131" w:right="205"/>
              <w:rPr>
                <w:sz w:val="20"/>
              </w:rPr>
            </w:pPr>
            <w:r>
              <w:rPr>
                <w:sz w:val="20"/>
              </w:rPr>
              <w:t>of</w:t>
            </w:r>
            <w:r>
              <w:rPr>
                <w:spacing w:val="-14"/>
                <w:sz w:val="20"/>
              </w:rPr>
              <w:t xml:space="preserve"> </w:t>
            </w:r>
            <w:r>
              <w:rPr>
                <w:sz w:val="20"/>
              </w:rPr>
              <w:t>whole</w:t>
            </w:r>
            <w:r>
              <w:rPr>
                <w:spacing w:val="-14"/>
                <w:sz w:val="20"/>
              </w:rPr>
              <w:t xml:space="preserve"> </w:t>
            </w:r>
            <w:r>
              <w:rPr>
                <w:sz w:val="20"/>
              </w:rPr>
              <w:t xml:space="preserve">system </w:t>
            </w:r>
            <w:r>
              <w:rPr>
                <w:spacing w:val="-2"/>
                <w:sz w:val="20"/>
              </w:rPr>
              <w:t>project</w:t>
            </w:r>
          </w:p>
        </w:tc>
      </w:tr>
      <w:tr w:rsidR="00C31389" w14:paraId="0FA20DCD" w14:textId="77777777">
        <w:trPr>
          <w:trHeight w:val="874"/>
        </w:trPr>
        <w:tc>
          <w:tcPr>
            <w:tcW w:w="2071" w:type="dxa"/>
            <w:tcBorders>
              <w:top w:val="single" w:color="D9D9D9" w:sz="2" w:space="0"/>
              <w:bottom w:val="single" w:color="D9D9D9" w:sz="2" w:space="0"/>
            </w:tcBorders>
          </w:tcPr>
          <w:p w:rsidR="00C31389" w:rsidRDefault="00561FBD" w14:paraId="616FA947" w14:textId="77777777">
            <w:pPr>
              <w:pStyle w:val="TableParagraph"/>
              <w:spacing w:before="188" w:line="280" w:lineRule="auto"/>
              <w:ind w:left="117" w:right="703"/>
              <w:rPr>
                <w:b/>
                <w:sz w:val="20"/>
              </w:rPr>
            </w:pPr>
            <w:r>
              <w:rPr>
                <w:b/>
                <w:sz w:val="20"/>
              </w:rPr>
              <w:t>South</w:t>
            </w:r>
            <w:r>
              <w:rPr>
                <w:b/>
                <w:spacing w:val="-14"/>
                <w:sz w:val="20"/>
              </w:rPr>
              <w:t xml:space="preserve"> </w:t>
            </w:r>
            <w:r>
              <w:rPr>
                <w:b/>
                <w:sz w:val="20"/>
              </w:rPr>
              <w:t>Coast: CZ 6, 7</w:t>
            </w:r>
          </w:p>
        </w:tc>
        <w:tc>
          <w:tcPr>
            <w:tcW w:w="1684" w:type="dxa"/>
            <w:tcBorders>
              <w:top w:val="single" w:color="D9D9D9" w:sz="2" w:space="0"/>
              <w:bottom w:val="single" w:color="D9D9D9" w:sz="2" w:space="0"/>
            </w:tcBorders>
          </w:tcPr>
          <w:p w:rsidR="00C31389" w:rsidRDefault="00C31389" w14:paraId="13BDE435" w14:textId="77777777">
            <w:pPr>
              <w:pStyle w:val="TableParagraph"/>
              <w:spacing w:before="0"/>
              <w:rPr>
                <w:b/>
                <w:sz w:val="28"/>
              </w:rPr>
            </w:pPr>
          </w:p>
          <w:p w:rsidR="00C31389" w:rsidRDefault="00561FBD" w14:paraId="76E88FCE" w14:textId="77777777">
            <w:pPr>
              <w:pStyle w:val="TableParagraph"/>
              <w:spacing w:before="0"/>
              <w:ind w:left="552"/>
              <w:rPr>
                <w:sz w:val="20"/>
              </w:rPr>
            </w:pPr>
            <w:r>
              <w:rPr>
                <w:spacing w:val="-4"/>
                <w:sz w:val="20"/>
              </w:rPr>
              <w:t>0.90</w:t>
            </w:r>
          </w:p>
        </w:tc>
        <w:tc>
          <w:tcPr>
            <w:tcW w:w="1835" w:type="dxa"/>
            <w:vMerge/>
            <w:tcBorders>
              <w:top w:val="nil"/>
              <w:bottom w:val="single" w:color="D9D9D9" w:sz="2" w:space="0"/>
            </w:tcBorders>
          </w:tcPr>
          <w:p w:rsidR="00C31389" w:rsidRDefault="00C31389" w14:paraId="52E1C7C6" w14:textId="77777777">
            <w:pPr>
              <w:rPr>
                <w:sz w:val="2"/>
                <w:szCs w:val="2"/>
              </w:rPr>
            </w:pPr>
          </w:p>
        </w:tc>
        <w:tc>
          <w:tcPr>
            <w:tcW w:w="1884" w:type="dxa"/>
            <w:vMerge/>
            <w:tcBorders>
              <w:top w:val="nil"/>
              <w:bottom w:val="single" w:color="D9D9D9" w:sz="2" w:space="0"/>
            </w:tcBorders>
          </w:tcPr>
          <w:p w:rsidR="00C31389" w:rsidRDefault="00C31389" w14:paraId="3AB9CD2C" w14:textId="77777777">
            <w:pPr>
              <w:rPr>
                <w:sz w:val="2"/>
                <w:szCs w:val="2"/>
              </w:rPr>
            </w:pPr>
          </w:p>
        </w:tc>
        <w:tc>
          <w:tcPr>
            <w:tcW w:w="1900" w:type="dxa"/>
            <w:vMerge/>
            <w:tcBorders>
              <w:top w:val="nil"/>
              <w:bottom w:val="single" w:color="D9D9D9" w:sz="2" w:space="0"/>
            </w:tcBorders>
          </w:tcPr>
          <w:p w:rsidR="00C31389" w:rsidRDefault="00C31389" w14:paraId="0500ED73" w14:textId="77777777">
            <w:pPr>
              <w:rPr>
                <w:sz w:val="2"/>
                <w:szCs w:val="2"/>
              </w:rPr>
            </w:pPr>
          </w:p>
        </w:tc>
      </w:tr>
      <w:tr w:rsidR="00C31389" w14:paraId="5ECEE60C" w14:textId="77777777">
        <w:trPr>
          <w:trHeight w:val="372"/>
        </w:trPr>
        <w:tc>
          <w:tcPr>
            <w:tcW w:w="2071" w:type="dxa"/>
            <w:vMerge w:val="restart"/>
            <w:tcBorders>
              <w:top w:val="single" w:color="D9D9D9" w:sz="2" w:space="0"/>
              <w:bottom w:val="single" w:color="D9D9D9" w:sz="2" w:space="0"/>
            </w:tcBorders>
          </w:tcPr>
          <w:p w:rsidR="00C31389" w:rsidRDefault="00561FBD" w14:paraId="56F82DB7" w14:textId="77777777">
            <w:pPr>
              <w:pStyle w:val="TableParagraph"/>
              <w:spacing w:before="9" w:line="272" w:lineRule="exact"/>
              <w:ind w:left="117" w:right="547"/>
              <w:rPr>
                <w:b/>
                <w:sz w:val="20"/>
              </w:rPr>
            </w:pPr>
            <w:r>
              <w:rPr>
                <w:b/>
                <w:sz w:val="20"/>
              </w:rPr>
              <w:t>Central</w:t>
            </w:r>
            <w:r>
              <w:rPr>
                <w:b/>
                <w:spacing w:val="-14"/>
                <w:sz w:val="20"/>
              </w:rPr>
              <w:t xml:space="preserve"> </w:t>
            </w:r>
            <w:r>
              <w:rPr>
                <w:b/>
                <w:sz w:val="20"/>
              </w:rPr>
              <w:t>Inland: CZ 4, 12, 13</w:t>
            </w:r>
          </w:p>
        </w:tc>
        <w:tc>
          <w:tcPr>
            <w:tcW w:w="1684" w:type="dxa"/>
            <w:tcBorders>
              <w:top w:val="single" w:color="D9D9D9" w:sz="2" w:space="0"/>
            </w:tcBorders>
          </w:tcPr>
          <w:p w:rsidR="00C31389" w:rsidRDefault="00561FBD" w14:paraId="09FEA0D2" w14:textId="77777777">
            <w:pPr>
              <w:pStyle w:val="TableParagraph"/>
              <w:spacing w:before="176" w:line="177" w:lineRule="exact"/>
              <w:ind w:left="552"/>
              <w:rPr>
                <w:sz w:val="20"/>
              </w:rPr>
            </w:pPr>
            <w:r>
              <w:rPr>
                <w:spacing w:val="-4"/>
                <w:sz w:val="20"/>
              </w:rPr>
              <w:t>1.64</w:t>
            </w:r>
          </w:p>
        </w:tc>
        <w:tc>
          <w:tcPr>
            <w:tcW w:w="1835" w:type="dxa"/>
            <w:vMerge w:val="restart"/>
            <w:tcBorders>
              <w:top w:val="single" w:color="D9D9D9" w:sz="2" w:space="0"/>
              <w:bottom w:val="single" w:color="000000" w:sz="8" w:space="0"/>
            </w:tcBorders>
          </w:tcPr>
          <w:p w:rsidR="00C31389" w:rsidRDefault="00561FBD" w14:paraId="086C5BE1" w14:textId="77777777">
            <w:pPr>
              <w:pStyle w:val="TableParagraph"/>
              <w:spacing w:before="123"/>
              <w:ind w:left="106" w:right="144"/>
              <w:rPr>
                <w:sz w:val="20"/>
              </w:rPr>
            </w:pPr>
            <w:r>
              <w:rPr>
                <w:sz w:val="20"/>
              </w:rPr>
              <w:t>Furnace has a longer</w:t>
            </w:r>
            <w:r>
              <w:rPr>
                <w:spacing w:val="-14"/>
                <w:sz w:val="20"/>
              </w:rPr>
              <w:t xml:space="preserve"> </w:t>
            </w:r>
            <w:r>
              <w:rPr>
                <w:sz w:val="20"/>
              </w:rPr>
              <w:t>EUL</w:t>
            </w:r>
            <w:r>
              <w:rPr>
                <w:spacing w:val="-14"/>
                <w:sz w:val="20"/>
              </w:rPr>
              <w:t xml:space="preserve"> </w:t>
            </w:r>
            <w:r>
              <w:rPr>
                <w:sz w:val="20"/>
              </w:rPr>
              <w:t xml:space="preserve">than the AC and is replaced less </w:t>
            </w:r>
            <w:r>
              <w:rPr>
                <w:spacing w:val="-2"/>
                <w:sz w:val="20"/>
              </w:rPr>
              <w:t>frequently</w:t>
            </w:r>
          </w:p>
        </w:tc>
        <w:tc>
          <w:tcPr>
            <w:tcW w:w="1884" w:type="dxa"/>
            <w:vMerge w:val="restart"/>
            <w:tcBorders>
              <w:top w:val="single" w:color="D9D9D9" w:sz="2" w:space="0"/>
              <w:bottom w:val="single" w:color="000000" w:sz="8" w:space="0"/>
            </w:tcBorders>
          </w:tcPr>
          <w:p w:rsidR="00C31389" w:rsidRDefault="00C31389" w14:paraId="400D7412" w14:textId="77777777">
            <w:pPr>
              <w:pStyle w:val="TableParagraph"/>
              <w:spacing w:before="8"/>
              <w:rPr>
                <w:b/>
                <w:sz w:val="20"/>
              </w:rPr>
            </w:pPr>
          </w:p>
          <w:p w:rsidR="00C31389" w:rsidRDefault="00561FBD" w14:paraId="5F2AAC41" w14:textId="77777777">
            <w:pPr>
              <w:pStyle w:val="TableParagraph"/>
              <w:spacing w:before="0"/>
              <w:ind w:left="143" w:right="155"/>
              <w:rPr>
                <w:sz w:val="20"/>
              </w:rPr>
            </w:pPr>
            <w:r>
              <w:rPr>
                <w:sz w:val="20"/>
              </w:rPr>
              <w:t>Low</w:t>
            </w:r>
            <w:r>
              <w:rPr>
                <w:spacing w:val="-14"/>
                <w:sz w:val="20"/>
              </w:rPr>
              <w:t xml:space="preserve"> </w:t>
            </w:r>
            <w:r>
              <w:rPr>
                <w:sz w:val="20"/>
              </w:rPr>
              <w:t>probability</w:t>
            </w:r>
            <w:r>
              <w:rPr>
                <w:spacing w:val="-14"/>
                <w:sz w:val="20"/>
              </w:rPr>
              <w:t xml:space="preserve"> </w:t>
            </w:r>
            <w:r>
              <w:rPr>
                <w:sz w:val="20"/>
              </w:rPr>
              <w:t xml:space="preserve">of </w:t>
            </w:r>
            <w:r>
              <w:rPr>
                <w:spacing w:val="-2"/>
                <w:sz w:val="20"/>
              </w:rPr>
              <w:t xml:space="preserve">alignment </w:t>
            </w:r>
            <w:r>
              <w:rPr>
                <w:sz w:val="20"/>
              </w:rPr>
              <w:t>between furnace and AC EULs</w:t>
            </w:r>
          </w:p>
        </w:tc>
        <w:tc>
          <w:tcPr>
            <w:tcW w:w="1900" w:type="dxa"/>
            <w:tcBorders>
              <w:top w:val="single" w:color="D9D9D9" w:sz="2" w:space="0"/>
            </w:tcBorders>
          </w:tcPr>
          <w:p w:rsidR="00C31389" w:rsidRDefault="00C31389" w14:paraId="031F3207" w14:textId="77777777">
            <w:pPr>
              <w:pStyle w:val="TableParagraph"/>
              <w:spacing w:before="0"/>
              <w:rPr>
                <w:rFonts w:ascii="Times New Roman"/>
                <w:sz w:val="20"/>
              </w:rPr>
            </w:pPr>
          </w:p>
        </w:tc>
      </w:tr>
      <w:tr w:rsidR="00C31389" w14:paraId="13045A2C" w14:textId="77777777">
        <w:trPr>
          <w:trHeight w:val="180"/>
        </w:trPr>
        <w:tc>
          <w:tcPr>
            <w:tcW w:w="2071" w:type="dxa"/>
            <w:vMerge/>
            <w:tcBorders>
              <w:top w:val="nil"/>
              <w:bottom w:val="single" w:color="D9D9D9" w:sz="2" w:space="0"/>
            </w:tcBorders>
          </w:tcPr>
          <w:p w:rsidR="00C31389" w:rsidRDefault="00C31389" w14:paraId="425C3A58" w14:textId="77777777">
            <w:pPr>
              <w:rPr>
                <w:sz w:val="2"/>
                <w:szCs w:val="2"/>
              </w:rPr>
            </w:pPr>
          </w:p>
        </w:tc>
        <w:tc>
          <w:tcPr>
            <w:tcW w:w="1684" w:type="dxa"/>
            <w:tcBorders>
              <w:bottom w:val="single" w:color="D9D9D9" w:sz="2" w:space="0"/>
            </w:tcBorders>
          </w:tcPr>
          <w:p w:rsidR="00C31389" w:rsidRDefault="00C31389" w14:paraId="67372698" w14:textId="77777777">
            <w:pPr>
              <w:pStyle w:val="TableParagraph"/>
              <w:spacing w:before="0"/>
              <w:rPr>
                <w:rFonts w:ascii="Times New Roman"/>
                <w:sz w:val="12"/>
              </w:rPr>
            </w:pPr>
          </w:p>
        </w:tc>
        <w:tc>
          <w:tcPr>
            <w:tcW w:w="1835" w:type="dxa"/>
            <w:vMerge/>
            <w:tcBorders>
              <w:top w:val="nil"/>
              <w:bottom w:val="single" w:color="000000" w:sz="8" w:space="0"/>
            </w:tcBorders>
          </w:tcPr>
          <w:p w:rsidR="00C31389" w:rsidRDefault="00C31389" w14:paraId="49D0933F" w14:textId="77777777">
            <w:pPr>
              <w:rPr>
                <w:sz w:val="2"/>
                <w:szCs w:val="2"/>
              </w:rPr>
            </w:pPr>
          </w:p>
        </w:tc>
        <w:tc>
          <w:tcPr>
            <w:tcW w:w="1884" w:type="dxa"/>
            <w:vMerge/>
            <w:tcBorders>
              <w:top w:val="nil"/>
              <w:bottom w:val="single" w:color="000000" w:sz="8" w:space="0"/>
            </w:tcBorders>
          </w:tcPr>
          <w:p w:rsidR="00C31389" w:rsidRDefault="00C31389" w14:paraId="61ADC5A8" w14:textId="77777777">
            <w:pPr>
              <w:rPr>
                <w:sz w:val="2"/>
                <w:szCs w:val="2"/>
              </w:rPr>
            </w:pPr>
          </w:p>
        </w:tc>
        <w:tc>
          <w:tcPr>
            <w:tcW w:w="1900" w:type="dxa"/>
            <w:vMerge w:val="restart"/>
            <w:tcBorders>
              <w:bottom w:val="single" w:color="000000" w:sz="8" w:space="0"/>
            </w:tcBorders>
          </w:tcPr>
          <w:p w:rsidR="00C31389" w:rsidRDefault="00561FBD" w14:paraId="62849BD7" w14:textId="77777777">
            <w:pPr>
              <w:pStyle w:val="TableParagraph"/>
              <w:spacing w:before="0" w:line="190" w:lineRule="exact"/>
              <w:ind w:left="131"/>
              <w:rPr>
                <w:sz w:val="20"/>
              </w:rPr>
            </w:pPr>
            <w:r>
              <w:rPr>
                <w:sz w:val="20"/>
              </w:rPr>
              <w:t>Higher</w:t>
            </w:r>
            <w:r>
              <w:rPr>
                <w:spacing w:val="-3"/>
                <w:sz w:val="20"/>
              </w:rPr>
              <w:t xml:space="preserve"> </w:t>
            </w:r>
            <w:r>
              <w:rPr>
                <w:spacing w:val="-2"/>
                <w:sz w:val="20"/>
              </w:rPr>
              <w:t>probability</w:t>
            </w:r>
          </w:p>
          <w:p w:rsidR="00C31389" w:rsidRDefault="00561FBD" w14:paraId="145B70D5" w14:textId="77777777">
            <w:pPr>
              <w:pStyle w:val="TableParagraph"/>
              <w:spacing w:before="0"/>
              <w:ind w:left="131" w:right="462"/>
              <w:rPr>
                <w:sz w:val="20"/>
              </w:rPr>
            </w:pPr>
            <w:r>
              <w:rPr>
                <w:sz w:val="20"/>
              </w:rPr>
              <w:t>of</w:t>
            </w:r>
            <w:r>
              <w:rPr>
                <w:spacing w:val="-14"/>
                <w:sz w:val="20"/>
              </w:rPr>
              <w:t xml:space="preserve"> </w:t>
            </w:r>
            <w:r>
              <w:rPr>
                <w:sz w:val="20"/>
              </w:rPr>
              <w:t>an</w:t>
            </w:r>
            <w:r>
              <w:rPr>
                <w:spacing w:val="-14"/>
                <w:sz w:val="20"/>
              </w:rPr>
              <w:t xml:space="preserve"> </w:t>
            </w:r>
            <w:r>
              <w:rPr>
                <w:sz w:val="20"/>
              </w:rPr>
              <w:t xml:space="preserve">AC-only </w:t>
            </w:r>
            <w:r>
              <w:rPr>
                <w:spacing w:val="-2"/>
                <w:sz w:val="20"/>
              </w:rPr>
              <w:t>project</w:t>
            </w:r>
          </w:p>
        </w:tc>
      </w:tr>
      <w:tr w:rsidR="00C31389" w14:paraId="5437AFA0" w14:textId="77777777">
        <w:trPr>
          <w:trHeight w:val="802"/>
        </w:trPr>
        <w:tc>
          <w:tcPr>
            <w:tcW w:w="2071" w:type="dxa"/>
            <w:tcBorders>
              <w:top w:val="single" w:color="D9D9D9" w:sz="2" w:space="0"/>
              <w:bottom w:val="single" w:color="000000" w:sz="8" w:space="0"/>
            </w:tcBorders>
          </w:tcPr>
          <w:p w:rsidR="00C31389" w:rsidRDefault="00561FBD" w14:paraId="290405B4" w14:textId="77777777">
            <w:pPr>
              <w:pStyle w:val="TableParagraph"/>
              <w:spacing w:before="33" w:line="280" w:lineRule="auto"/>
              <w:ind w:left="117" w:right="547"/>
              <w:rPr>
                <w:b/>
                <w:sz w:val="20"/>
              </w:rPr>
            </w:pPr>
            <w:r>
              <w:rPr>
                <w:b/>
                <w:sz w:val="20"/>
              </w:rPr>
              <w:t>South Inland: CZ</w:t>
            </w:r>
            <w:r>
              <w:rPr>
                <w:b/>
                <w:spacing w:val="-1"/>
                <w:sz w:val="20"/>
              </w:rPr>
              <w:t xml:space="preserve"> </w:t>
            </w:r>
            <w:r>
              <w:rPr>
                <w:b/>
                <w:sz w:val="20"/>
              </w:rPr>
              <w:t>8,</w:t>
            </w:r>
            <w:r>
              <w:rPr>
                <w:b/>
                <w:spacing w:val="-1"/>
                <w:sz w:val="20"/>
              </w:rPr>
              <w:t xml:space="preserve"> </w:t>
            </w:r>
            <w:r>
              <w:rPr>
                <w:b/>
                <w:sz w:val="20"/>
              </w:rPr>
              <w:t>9,</w:t>
            </w:r>
            <w:r>
              <w:rPr>
                <w:b/>
                <w:spacing w:val="-1"/>
                <w:sz w:val="20"/>
              </w:rPr>
              <w:t xml:space="preserve"> </w:t>
            </w:r>
            <w:r>
              <w:rPr>
                <w:b/>
                <w:sz w:val="20"/>
              </w:rPr>
              <w:t>10,</w:t>
            </w:r>
            <w:r>
              <w:rPr>
                <w:b/>
                <w:spacing w:val="-1"/>
                <w:sz w:val="20"/>
              </w:rPr>
              <w:t xml:space="preserve"> </w:t>
            </w:r>
            <w:r>
              <w:rPr>
                <w:b/>
                <w:spacing w:val="-5"/>
                <w:sz w:val="20"/>
              </w:rPr>
              <w:t>14,</w:t>
            </w:r>
          </w:p>
          <w:p w:rsidR="00C31389" w:rsidRDefault="00561FBD" w14:paraId="1A5B9B51" w14:textId="77777777">
            <w:pPr>
              <w:pStyle w:val="TableParagraph"/>
              <w:spacing w:before="0" w:line="192" w:lineRule="exact"/>
              <w:ind w:left="117"/>
              <w:rPr>
                <w:b/>
                <w:sz w:val="20"/>
              </w:rPr>
            </w:pPr>
            <w:r>
              <w:rPr>
                <w:b/>
                <w:spacing w:val="-5"/>
                <w:sz w:val="20"/>
              </w:rPr>
              <w:t>15</w:t>
            </w:r>
          </w:p>
        </w:tc>
        <w:tc>
          <w:tcPr>
            <w:tcW w:w="1684" w:type="dxa"/>
            <w:tcBorders>
              <w:top w:val="single" w:color="D9D9D9" w:sz="2" w:space="0"/>
              <w:bottom w:val="single" w:color="000000" w:sz="8" w:space="0"/>
            </w:tcBorders>
          </w:tcPr>
          <w:p w:rsidR="00C31389" w:rsidRDefault="00C31389" w14:paraId="47622C7F" w14:textId="77777777">
            <w:pPr>
              <w:pStyle w:val="TableParagraph"/>
              <w:spacing w:before="6"/>
              <w:rPr>
                <w:b/>
                <w:sz w:val="24"/>
              </w:rPr>
            </w:pPr>
          </w:p>
          <w:p w:rsidR="00C31389" w:rsidRDefault="00561FBD" w14:paraId="1C51D536" w14:textId="77777777">
            <w:pPr>
              <w:pStyle w:val="TableParagraph"/>
              <w:spacing w:before="0"/>
              <w:ind w:left="552"/>
              <w:rPr>
                <w:sz w:val="20"/>
              </w:rPr>
            </w:pPr>
            <w:r>
              <w:rPr>
                <w:spacing w:val="-4"/>
                <w:sz w:val="20"/>
              </w:rPr>
              <w:t>2.45</w:t>
            </w:r>
          </w:p>
        </w:tc>
        <w:tc>
          <w:tcPr>
            <w:tcW w:w="1835" w:type="dxa"/>
            <w:vMerge/>
            <w:tcBorders>
              <w:top w:val="nil"/>
              <w:bottom w:val="single" w:color="000000" w:sz="8" w:space="0"/>
            </w:tcBorders>
          </w:tcPr>
          <w:p w:rsidR="00C31389" w:rsidRDefault="00C31389" w14:paraId="0A6D40A0" w14:textId="77777777">
            <w:pPr>
              <w:rPr>
                <w:sz w:val="2"/>
                <w:szCs w:val="2"/>
              </w:rPr>
            </w:pPr>
          </w:p>
        </w:tc>
        <w:tc>
          <w:tcPr>
            <w:tcW w:w="1884" w:type="dxa"/>
            <w:vMerge/>
            <w:tcBorders>
              <w:top w:val="nil"/>
              <w:bottom w:val="single" w:color="000000" w:sz="8" w:space="0"/>
            </w:tcBorders>
          </w:tcPr>
          <w:p w:rsidR="00C31389" w:rsidRDefault="00C31389" w14:paraId="1C5502F5" w14:textId="77777777">
            <w:pPr>
              <w:rPr>
                <w:sz w:val="2"/>
                <w:szCs w:val="2"/>
              </w:rPr>
            </w:pPr>
          </w:p>
        </w:tc>
        <w:tc>
          <w:tcPr>
            <w:tcW w:w="1900" w:type="dxa"/>
            <w:vMerge/>
            <w:tcBorders>
              <w:top w:val="nil"/>
              <w:bottom w:val="single" w:color="000000" w:sz="8" w:space="0"/>
            </w:tcBorders>
          </w:tcPr>
          <w:p w:rsidR="00C31389" w:rsidRDefault="00C31389" w14:paraId="045F39C3" w14:textId="77777777">
            <w:pPr>
              <w:rPr>
                <w:sz w:val="2"/>
                <w:szCs w:val="2"/>
              </w:rPr>
            </w:pPr>
          </w:p>
        </w:tc>
      </w:tr>
    </w:tbl>
    <w:p w:rsidR="00C31389" w:rsidRDefault="00561FBD" w14:paraId="77597965" w14:textId="77777777">
      <w:pPr>
        <w:spacing w:before="34"/>
        <w:ind w:left="480"/>
        <w:rPr>
          <w:sz w:val="18"/>
        </w:rPr>
      </w:pPr>
      <w:r>
        <w:rPr>
          <w:sz w:val="18"/>
        </w:rPr>
        <w:t>CZ</w:t>
      </w:r>
      <w:r>
        <w:rPr>
          <w:spacing w:val="-2"/>
          <w:sz w:val="18"/>
        </w:rPr>
        <w:t xml:space="preserve"> </w:t>
      </w:r>
      <w:r>
        <w:rPr>
          <w:sz w:val="18"/>
        </w:rPr>
        <w:t>=</w:t>
      </w:r>
      <w:r>
        <w:rPr>
          <w:spacing w:val="-1"/>
          <w:sz w:val="18"/>
        </w:rPr>
        <w:t xml:space="preserve"> </w:t>
      </w:r>
      <w:r>
        <w:rPr>
          <w:sz w:val="18"/>
        </w:rPr>
        <w:t>climate</w:t>
      </w:r>
      <w:r>
        <w:rPr>
          <w:spacing w:val="-2"/>
          <w:sz w:val="18"/>
        </w:rPr>
        <w:t xml:space="preserve"> </w:t>
      </w:r>
      <w:r>
        <w:rPr>
          <w:spacing w:val="-4"/>
          <w:sz w:val="18"/>
        </w:rPr>
        <w:t>zone</w:t>
      </w:r>
    </w:p>
    <w:p w:rsidR="00C31389" w:rsidRDefault="00561FBD" w14:paraId="3E930397" w14:textId="77777777">
      <w:pPr>
        <w:spacing w:before="59"/>
        <w:ind w:left="480"/>
        <w:rPr>
          <w:i/>
          <w:sz w:val="18"/>
        </w:rPr>
      </w:pPr>
      <w:r>
        <w:rPr>
          <w:i/>
          <w:sz w:val="18"/>
        </w:rPr>
        <w:t>Source:</w:t>
      </w:r>
      <w:r>
        <w:rPr>
          <w:i/>
          <w:spacing w:val="-3"/>
          <w:sz w:val="18"/>
        </w:rPr>
        <w:t xml:space="preserve"> </w:t>
      </w:r>
      <w:r>
        <w:rPr>
          <w:i/>
          <w:sz w:val="18"/>
        </w:rPr>
        <w:t>Tierra</w:t>
      </w:r>
      <w:r>
        <w:rPr>
          <w:i/>
          <w:spacing w:val="-3"/>
          <w:sz w:val="18"/>
        </w:rPr>
        <w:t xml:space="preserve"> </w:t>
      </w:r>
      <w:r>
        <w:rPr>
          <w:i/>
          <w:sz w:val="18"/>
        </w:rPr>
        <w:t>Resource</w:t>
      </w:r>
      <w:r>
        <w:rPr>
          <w:i/>
          <w:spacing w:val="-3"/>
          <w:sz w:val="18"/>
        </w:rPr>
        <w:t xml:space="preserve"> </w:t>
      </w:r>
      <w:r>
        <w:rPr>
          <w:i/>
          <w:spacing w:val="-2"/>
          <w:sz w:val="18"/>
        </w:rPr>
        <w:t>Consultants</w:t>
      </w:r>
    </w:p>
    <w:p w:rsidR="00C31389" w:rsidRDefault="00C31389" w14:paraId="28FD80EA" w14:textId="77777777">
      <w:pPr>
        <w:pStyle w:val="BodyText"/>
        <w:spacing w:before="10"/>
        <w:rPr>
          <w:i/>
          <w:sz w:val="20"/>
        </w:rPr>
      </w:pPr>
    </w:p>
    <w:p w:rsidR="00C31389" w:rsidRDefault="00561FBD" w14:paraId="2047484F" w14:textId="77777777">
      <w:pPr>
        <w:pStyle w:val="BodyText"/>
        <w:ind w:left="480" w:right="462"/>
      </w:pPr>
      <w:r>
        <w:t xml:space="preserve">Using the component EUL comparison and probability of system replacement alignment discussed in </w:t>
      </w:r>
      <w:hyperlink w:history="1" w:anchor="_bookmark257">
        <w:r>
          <w:t>Table B-6</w:t>
        </w:r>
      </w:hyperlink>
      <w:r>
        <w:t xml:space="preserve"> and the distribution of HVAC replacements by system component and climate region discussed in </w:t>
      </w:r>
      <w:hyperlink w:history="1" w:anchor="_bookmark255">
        <w:r>
          <w:t>Table B-5.</w:t>
        </w:r>
      </w:hyperlink>
      <w:r>
        <w:t xml:space="preserve">, </w:t>
      </w:r>
      <w:hyperlink w:history="1" w:anchor="_bookmark258">
        <w:r>
          <w:t>Table B-7</w:t>
        </w:r>
      </w:hyperlink>
      <w:r>
        <w:t xml:space="preserve"> provides the Guidehouse team’s recommended</w:t>
      </w:r>
      <w:r>
        <w:rPr>
          <w:spacing w:val="-4"/>
        </w:rPr>
        <w:t xml:space="preserve"> </w:t>
      </w:r>
      <w:r>
        <w:t>distribution</w:t>
      </w:r>
      <w:r>
        <w:rPr>
          <w:spacing w:val="-4"/>
        </w:rPr>
        <w:t xml:space="preserve"> </w:t>
      </w:r>
      <w:r>
        <w:t>of</w:t>
      </w:r>
      <w:r>
        <w:rPr>
          <w:spacing w:val="-4"/>
        </w:rPr>
        <w:t xml:space="preserve"> </w:t>
      </w:r>
      <w:r>
        <w:t>projects</w:t>
      </w:r>
      <w:r>
        <w:rPr>
          <w:spacing w:val="-4"/>
        </w:rPr>
        <w:t xml:space="preserve"> </w:t>
      </w:r>
      <w:r>
        <w:t>types</w:t>
      </w:r>
      <w:r>
        <w:rPr>
          <w:spacing w:val="-4"/>
        </w:rPr>
        <w:t xml:space="preserve"> </w:t>
      </w:r>
      <w:r>
        <w:t>by</w:t>
      </w:r>
      <w:r>
        <w:rPr>
          <w:spacing w:val="-4"/>
        </w:rPr>
        <w:t xml:space="preserve"> </w:t>
      </w:r>
      <w:r>
        <w:t>region.</w:t>
      </w:r>
      <w:r>
        <w:rPr>
          <w:spacing w:val="-3"/>
        </w:rPr>
        <w:t xml:space="preserve"> </w:t>
      </w:r>
      <w:hyperlink w:history="1" w:anchor="_bookmark259">
        <w:r>
          <w:t>Figure</w:t>
        </w:r>
        <w:r>
          <w:rPr>
            <w:spacing w:val="-4"/>
          </w:rPr>
          <w:t xml:space="preserve"> </w:t>
        </w:r>
        <w:r>
          <w:t>B-5.</w:t>
        </w:r>
      </w:hyperlink>
      <w:r>
        <w:rPr>
          <w:spacing w:val="-4"/>
        </w:rPr>
        <w:t xml:space="preserve"> </w:t>
      </w:r>
      <w:r>
        <w:t>graphically</w:t>
      </w:r>
      <w:r>
        <w:rPr>
          <w:spacing w:val="-4"/>
        </w:rPr>
        <w:t xml:space="preserve"> </w:t>
      </w:r>
      <w:r>
        <w:t>represents</w:t>
      </w:r>
      <w:r>
        <w:rPr>
          <w:spacing w:val="-4"/>
        </w:rPr>
        <w:t xml:space="preserve"> </w:t>
      </w:r>
      <w:r>
        <w:t>the percentage of projects that are system re</w:t>
      </w:r>
      <w:r>
        <w:t xml:space="preserve">placements as listed in </w:t>
      </w:r>
      <w:hyperlink w:history="1" w:anchor="_bookmark258">
        <w:r>
          <w:t>Table B-7</w:t>
        </w:r>
      </w:hyperlink>
      <w:r>
        <w:t>.</w:t>
      </w:r>
    </w:p>
    <w:p w:rsidR="00C31389" w:rsidRDefault="00C31389" w14:paraId="69ADB41F" w14:textId="77777777">
      <w:pPr>
        <w:pStyle w:val="BodyText"/>
        <w:spacing w:before="10"/>
        <w:rPr>
          <w:sz w:val="20"/>
        </w:rPr>
      </w:pPr>
    </w:p>
    <w:p w:rsidR="00C31389" w:rsidRDefault="00561FBD" w14:paraId="47E3F6A8" w14:textId="77777777">
      <w:pPr>
        <w:pStyle w:val="Heading7"/>
        <w:ind w:left="398" w:right="338"/>
        <w:jc w:val="center"/>
      </w:pPr>
      <w:bookmarkStart w:name="_bookmark258" w:id="344"/>
      <w:bookmarkEnd w:id="344"/>
      <w:r>
        <w:t>Table</w:t>
      </w:r>
      <w:r>
        <w:rPr>
          <w:spacing w:val="-7"/>
        </w:rPr>
        <w:t xml:space="preserve"> </w:t>
      </w:r>
      <w:r>
        <w:t>B-7.</w:t>
      </w:r>
      <w:r>
        <w:rPr>
          <w:spacing w:val="-7"/>
        </w:rPr>
        <w:t xml:space="preserve"> </w:t>
      </w:r>
      <w:r>
        <w:t>Probable</w:t>
      </w:r>
      <w:r>
        <w:rPr>
          <w:spacing w:val="-6"/>
        </w:rPr>
        <w:t xml:space="preserve"> </w:t>
      </w:r>
      <w:r>
        <w:t>Project</w:t>
      </w:r>
      <w:r>
        <w:rPr>
          <w:spacing w:val="-6"/>
        </w:rPr>
        <w:t xml:space="preserve"> </w:t>
      </w:r>
      <w:r>
        <w:t>Type</w:t>
      </w:r>
      <w:r>
        <w:rPr>
          <w:spacing w:val="-7"/>
        </w:rPr>
        <w:t xml:space="preserve"> </w:t>
      </w:r>
      <w:r>
        <w:t>by</w:t>
      </w:r>
      <w:r>
        <w:rPr>
          <w:spacing w:val="-6"/>
        </w:rPr>
        <w:t xml:space="preserve"> </w:t>
      </w:r>
      <w:r>
        <w:rPr>
          <w:spacing w:val="-2"/>
        </w:rPr>
        <w:t>Region</w:t>
      </w:r>
    </w:p>
    <w:p w:rsidR="00C31389" w:rsidRDefault="00C31389" w14:paraId="0F7A6C5E" w14:textId="77777777">
      <w:pPr>
        <w:pStyle w:val="BodyText"/>
        <w:spacing w:before="7"/>
        <w:rPr>
          <w:b/>
          <w:sz w:val="9"/>
        </w:rPr>
      </w:pPr>
    </w:p>
    <w:tbl>
      <w:tblPr>
        <w:tblW w:w="0" w:type="auto"/>
        <w:tblInd w:w="1753" w:type="dxa"/>
        <w:tblLayout w:type="fixed"/>
        <w:tblCellMar>
          <w:left w:w="0" w:type="dxa"/>
          <w:right w:w="0" w:type="dxa"/>
        </w:tblCellMar>
        <w:tblLook w:val="01E0" w:firstRow="1" w:lastRow="1" w:firstColumn="1" w:lastColumn="1" w:noHBand="0" w:noVBand="0"/>
      </w:tblPr>
      <w:tblGrid>
        <w:gridCol w:w="4052"/>
        <w:gridCol w:w="982"/>
        <w:gridCol w:w="1461"/>
      </w:tblGrid>
      <w:tr w:rsidR="00C31389" w14:paraId="0C0A82A9" w14:textId="77777777">
        <w:trPr>
          <w:trHeight w:val="288"/>
        </w:trPr>
        <w:tc>
          <w:tcPr>
            <w:tcW w:w="4052" w:type="dxa"/>
            <w:shd w:val="clear" w:color="auto" w:fill="92D400"/>
          </w:tcPr>
          <w:p w:rsidR="00C31389" w:rsidRDefault="00561FBD" w14:paraId="669C03C0" w14:textId="77777777">
            <w:pPr>
              <w:pStyle w:val="TableParagraph"/>
              <w:spacing w:before="45" w:line="223" w:lineRule="exact"/>
              <w:ind w:left="115"/>
              <w:rPr>
                <w:b/>
                <w:sz w:val="20"/>
              </w:rPr>
            </w:pPr>
            <w:r>
              <w:rPr>
                <w:b/>
                <w:spacing w:val="-2"/>
                <w:sz w:val="20"/>
              </w:rPr>
              <w:t>Region</w:t>
            </w:r>
          </w:p>
        </w:tc>
        <w:tc>
          <w:tcPr>
            <w:tcW w:w="982" w:type="dxa"/>
            <w:shd w:val="clear" w:color="auto" w:fill="92D400"/>
          </w:tcPr>
          <w:p w:rsidR="00C31389" w:rsidRDefault="00561FBD" w14:paraId="0A48C009" w14:textId="77777777">
            <w:pPr>
              <w:pStyle w:val="TableParagraph"/>
              <w:spacing w:before="45" w:line="223" w:lineRule="exact"/>
              <w:ind w:left="79" w:right="163"/>
              <w:jc w:val="center"/>
              <w:rPr>
                <w:b/>
                <w:sz w:val="20"/>
              </w:rPr>
            </w:pPr>
            <w:r>
              <w:rPr>
                <w:b/>
                <w:spacing w:val="-2"/>
                <w:sz w:val="20"/>
              </w:rPr>
              <w:t>System</w:t>
            </w:r>
          </w:p>
        </w:tc>
        <w:tc>
          <w:tcPr>
            <w:tcW w:w="1461" w:type="dxa"/>
            <w:shd w:val="clear" w:color="auto" w:fill="92D400"/>
          </w:tcPr>
          <w:p w:rsidR="00C31389" w:rsidRDefault="00561FBD" w14:paraId="23FBC03C" w14:textId="77777777">
            <w:pPr>
              <w:pStyle w:val="TableParagraph"/>
              <w:spacing w:before="45" w:line="223" w:lineRule="exact"/>
              <w:ind w:left="165" w:right="162"/>
              <w:jc w:val="center"/>
              <w:rPr>
                <w:b/>
                <w:sz w:val="20"/>
              </w:rPr>
            </w:pPr>
            <w:r>
              <w:rPr>
                <w:b/>
                <w:spacing w:val="-2"/>
                <w:sz w:val="20"/>
              </w:rPr>
              <w:t>Component</w:t>
            </w:r>
          </w:p>
        </w:tc>
      </w:tr>
      <w:tr w:rsidR="00C31389" w14:paraId="05F12075" w14:textId="77777777">
        <w:trPr>
          <w:trHeight w:val="301"/>
        </w:trPr>
        <w:tc>
          <w:tcPr>
            <w:tcW w:w="4052" w:type="dxa"/>
            <w:tcBorders>
              <w:bottom w:val="single" w:color="D9D9D9" w:sz="2" w:space="0"/>
            </w:tcBorders>
          </w:tcPr>
          <w:p w:rsidR="00C31389" w:rsidRDefault="00561FBD" w14:paraId="0A433E1A" w14:textId="77777777">
            <w:pPr>
              <w:pStyle w:val="TableParagraph"/>
              <w:spacing w:before="56" w:line="225" w:lineRule="exact"/>
              <w:ind w:left="115"/>
              <w:rPr>
                <w:sz w:val="20"/>
              </w:rPr>
            </w:pPr>
            <w:r>
              <w:rPr>
                <w:sz w:val="20"/>
              </w:rPr>
              <w:t>North</w:t>
            </w:r>
            <w:r>
              <w:rPr>
                <w:spacing w:val="-3"/>
                <w:sz w:val="20"/>
              </w:rPr>
              <w:t xml:space="preserve"> </w:t>
            </w:r>
            <w:r>
              <w:rPr>
                <w:sz w:val="20"/>
              </w:rPr>
              <w:t>Coast:</w:t>
            </w:r>
            <w:r>
              <w:rPr>
                <w:spacing w:val="-2"/>
                <w:sz w:val="20"/>
              </w:rPr>
              <w:t xml:space="preserve"> </w:t>
            </w:r>
            <w:r>
              <w:rPr>
                <w:sz w:val="20"/>
              </w:rPr>
              <w:t>CZ</w:t>
            </w:r>
            <w:r>
              <w:rPr>
                <w:spacing w:val="-2"/>
                <w:sz w:val="20"/>
              </w:rPr>
              <w:t xml:space="preserve"> </w:t>
            </w:r>
            <w:r>
              <w:rPr>
                <w:sz w:val="20"/>
              </w:rPr>
              <w:t>1,</w:t>
            </w:r>
            <w:r>
              <w:rPr>
                <w:spacing w:val="-2"/>
                <w:sz w:val="20"/>
              </w:rPr>
              <w:t xml:space="preserve"> </w:t>
            </w:r>
            <w:r>
              <w:rPr>
                <w:sz w:val="20"/>
              </w:rPr>
              <w:t>3,</w:t>
            </w:r>
            <w:r>
              <w:rPr>
                <w:spacing w:val="-1"/>
                <w:sz w:val="20"/>
              </w:rPr>
              <w:t xml:space="preserve"> </w:t>
            </w:r>
            <w:r>
              <w:rPr>
                <w:spacing w:val="-10"/>
                <w:sz w:val="20"/>
              </w:rPr>
              <w:t>5</w:t>
            </w:r>
          </w:p>
        </w:tc>
        <w:tc>
          <w:tcPr>
            <w:tcW w:w="982" w:type="dxa"/>
            <w:tcBorders>
              <w:bottom w:val="single" w:color="D9D9D9" w:sz="2" w:space="0"/>
            </w:tcBorders>
          </w:tcPr>
          <w:p w:rsidR="00C31389" w:rsidRDefault="00561FBD" w14:paraId="50B22178" w14:textId="77777777">
            <w:pPr>
              <w:pStyle w:val="TableParagraph"/>
              <w:spacing w:before="56" w:line="225" w:lineRule="exact"/>
              <w:ind w:left="79" w:right="162"/>
              <w:jc w:val="center"/>
              <w:rPr>
                <w:sz w:val="20"/>
              </w:rPr>
            </w:pPr>
            <w:r>
              <w:rPr>
                <w:spacing w:val="-5"/>
                <w:sz w:val="20"/>
              </w:rPr>
              <w:t>36%</w:t>
            </w:r>
          </w:p>
        </w:tc>
        <w:tc>
          <w:tcPr>
            <w:tcW w:w="1461" w:type="dxa"/>
            <w:tcBorders>
              <w:bottom w:val="single" w:color="D9D9D9" w:sz="2" w:space="0"/>
            </w:tcBorders>
          </w:tcPr>
          <w:p w:rsidR="00C31389" w:rsidRDefault="00561FBD" w14:paraId="5CBAD102" w14:textId="77777777">
            <w:pPr>
              <w:pStyle w:val="TableParagraph"/>
              <w:spacing w:before="56" w:line="225" w:lineRule="exact"/>
              <w:ind w:left="165" w:right="162"/>
              <w:jc w:val="center"/>
              <w:rPr>
                <w:sz w:val="20"/>
              </w:rPr>
            </w:pPr>
            <w:r>
              <w:rPr>
                <w:spacing w:val="-5"/>
                <w:sz w:val="20"/>
              </w:rPr>
              <w:t>64%</w:t>
            </w:r>
          </w:p>
        </w:tc>
      </w:tr>
      <w:tr w:rsidR="00C31389" w14:paraId="0A4767EE" w14:textId="77777777">
        <w:trPr>
          <w:trHeight w:val="333"/>
        </w:trPr>
        <w:tc>
          <w:tcPr>
            <w:tcW w:w="4052" w:type="dxa"/>
            <w:tcBorders>
              <w:top w:val="single" w:color="D9D9D9" w:sz="2" w:space="0"/>
            </w:tcBorders>
          </w:tcPr>
          <w:p w:rsidR="00C31389" w:rsidRDefault="00561FBD" w14:paraId="0E76DD1B" w14:textId="77777777">
            <w:pPr>
              <w:pStyle w:val="TableParagraph"/>
              <w:tabs>
                <w:tab w:val="left" w:pos="3959"/>
              </w:tabs>
              <w:spacing w:before="54"/>
              <w:rPr>
                <w:sz w:val="20"/>
              </w:rPr>
            </w:pPr>
            <w:r>
              <w:rPr>
                <w:spacing w:val="54"/>
                <w:sz w:val="20"/>
                <w:u w:val="single" w:color="D9D9D9"/>
              </w:rPr>
              <w:t xml:space="preserve"> </w:t>
            </w:r>
            <w:r>
              <w:rPr>
                <w:sz w:val="20"/>
                <w:u w:val="single" w:color="D9D9D9"/>
              </w:rPr>
              <w:t>North</w:t>
            </w:r>
            <w:r>
              <w:rPr>
                <w:spacing w:val="-2"/>
                <w:sz w:val="20"/>
                <w:u w:val="single" w:color="D9D9D9"/>
              </w:rPr>
              <w:t xml:space="preserve"> </w:t>
            </w:r>
            <w:r>
              <w:rPr>
                <w:sz w:val="20"/>
                <w:u w:val="single" w:color="D9D9D9"/>
              </w:rPr>
              <w:t>Inland:</w:t>
            </w:r>
            <w:r>
              <w:rPr>
                <w:spacing w:val="-1"/>
                <w:sz w:val="20"/>
                <w:u w:val="single" w:color="D9D9D9"/>
              </w:rPr>
              <w:t xml:space="preserve"> </w:t>
            </w:r>
            <w:r>
              <w:rPr>
                <w:sz w:val="20"/>
                <w:u w:val="single" w:color="D9D9D9"/>
              </w:rPr>
              <w:t>CZ</w:t>
            </w:r>
            <w:r>
              <w:rPr>
                <w:spacing w:val="-2"/>
                <w:sz w:val="20"/>
                <w:u w:val="single" w:color="D9D9D9"/>
              </w:rPr>
              <w:t xml:space="preserve"> </w:t>
            </w:r>
            <w:r>
              <w:rPr>
                <w:sz w:val="20"/>
                <w:u w:val="single" w:color="D9D9D9"/>
              </w:rPr>
              <w:t>2,</w:t>
            </w:r>
            <w:r>
              <w:rPr>
                <w:spacing w:val="-2"/>
                <w:sz w:val="20"/>
                <w:u w:val="single" w:color="D9D9D9"/>
              </w:rPr>
              <w:t xml:space="preserve"> </w:t>
            </w:r>
            <w:r>
              <w:rPr>
                <w:sz w:val="20"/>
                <w:u w:val="single" w:color="D9D9D9"/>
              </w:rPr>
              <w:t>11,</w:t>
            </w:r>
            <w:r>
              <w:rPr>
                <w:spacing w:val="-1"/>
                <w:sz w:val="20"/>
                <w:u w:val="single" w:color="D9D9D9"/>
              </w:rPr>
              <w:t xml:space="preserve"> </w:t>
            </w:r>
            <w:r>
              <w:rPr>
                <w:spacing w:val="-5"/>
                <w:sz w:val="20"/>
                <w:u w:val="single" w:color="D9D9D9"/>
              </w:rPr>
              <w:t>16</w:t>
            </w:r>
            <w:r>
              <w:rPr>
                <w:sz w:val="20"/>
                <w:u w:val="single" w:color="D9D9D9"/>
              </w:rPr>
              <w:tab/>
            </w:r>
          </w:p>
        </w:tc>
        <w:tc>
          <w:tcPr>
            <w:tcW w:w="982" w:type="dxa"/>
            <w:vMerge w:val="restart"/>
            <w:tcBorders>
              <w:top w:val="single" w:color="D9D9D9" w:sz="2" w:space="0"/>
              <w:bottom w:val="single" w:color="D9D9D9" w:sz="2" w:space="0"/>
            </w:tcBorders>
          </w:tcPr>
          <w:p w:rsidR="00C31389" w:rsidRDefault="00C31389" w14:paraId="010D1BEB" w14:textId="77777777">
            <w:pPr>
              <w:pStyle w:val="TableParagraph"/>
              <w:spacing w:before="1"/>
              <w:rPr>
                <w:b/>
                <w:sz w:val="18"/>
              </w:rPr>
            </w:pPr>
          </w:p>
          <w:p w:rsidR="00C31389" w:rsidRDefault="00561FBD" w14:paraId="6EF4C84E" w14:textId="77777777">
            <w:pPr>
              <w:pStyle w:val="TableParagraph"/>
              <w:spacing w:before="0"/>
              <w:ind w:left="247"/>
              <w:rPr>
                <w:sz w:val="20"/>
              </w:rPr>
            </w:pPr>
            <w:r>
              <w:rPr>
                <w:spacing w:val="-5"/>
                <w:sz w:val="20"/>
              </w:rPr>
              <w:t>76%</w:t>
            </w:r>
          </w:p>
        </w:tc>
        <w:tc>
          <w:tcPr>
            <w:tcW w:w="1461" w:type="dxa"/>
            <w:vMerge w:val="restart"/>
            <w:tcBorders>
              <w:top w:val="single" w:color="D9D9D9" w:sz="2" w:space="0"/>
              <w:bottom w:val="single" w:color="D9D9D9" w:sz="2" w:space="0"/>
            </w:tcBorders>
          </w:tcPr>
          <w:p w:rsidR="00C31389" w:rsidRDefault="00C31389" w14:paraId="3FB5528C" w14:textId="77777777">
            <w:pPr>
              <w:pStyle w:val="TableParagraph"/>
              <w:spacing w:before="1"/>
              <w:rPr>
                <w:b/>
                <w:sz w:val="18"/>
              </w:rPr>
            </w:pPr>
          </w:p>
          <w:p w:rsidR="00C31389" w:rsidRDefault="00561FBD" w14:paraId="2A2C8DC4" w14:textId="77777777">
            <w:pPr>
              <w:pStyle w:val="TableParagraph"/>
              <w:spacing w:before="0"/>
              <w:ind w:left="165" w:right="162"/>
              <w:jc w:val="center"/>
              <w:rPr>
                <w:sz w:val="20"/>
              </w:rPr>
            </w:pPr>
            <w:r>
              <w:rPr>
                <w:spacing w:val="-5"/>
                <w:sz w:val="20"/>
              </w:rPr>
              <w:t>24%</w:t>
            </w:r>
          </w:p>
        </w:tc>
      </w:tr>
      <w:tr w:rsidR="00C31389" w14:paraId="139F039C" w14:textId="77777777">
        <w:trPr>
          <w:trHeight w:val="266"/>
        </w:trPr>
        <w:tc>
          <w:tcPr>
            <w:tcW w:w="4052" w:type="dxa"/>
            <w:tcBorders>
              <w:bottom w:val="single" w:color="D9D9D9" w:sz="2" w:space="0"/>
            </w:tcBorders>
          </w:tcPr>
          <w:p w:rsidR="00C31389" w:rsidRDefault="00561FBD" w14:paraId="706AD320" w14:textId="77777777">
            <w:pPr>
              <w:pStyle w:val="TableParagraph"/>
              <w:spacing w:before="22" w:line="224" w:lineRule="exact"/>
              <w:ind w:left="115"/>
              <w:rPr>
                <w:sz w:val="20"/>
              </w:rPr>
            </w:pPr>
            <w:r>
              <w:rPr>
                <w:sz w:val="20"/>
              </w:rPr>
              <w:t>South</w:t>
            </w:r>
            <w:r>
              <w:rPr>
                <w:spacing w:val="-3"/>
                <w:sz w:val="20"/>
              </w:rPr>
              <w:t xml:space="preserve"> </w:t>
            </w:r>
            <w:r>
              <w:rPr>
                <w:sz w:val="20"/>
              </w:rPr>
              <w:t>Coast:</w:t>
            </w:r>
            <w:r>
              <w:rPr>
                <w:spacing w:val="-2"/>
                <w:sz w:val="20"/>
              </w:rPr>
              <w:t xml:space="preserve"> </w:t>
            </w:r>
            <w:r>
              <w:rPr>
                <w:sz w:val="20"/>
              </w:rPr>
              <w:t>CZ</w:t>
            </w:r>
            <w:r>
              <w:rPr>
                <w:spacing w:val="-2"/>
                <w:sz w:val="20"/>
              </w:rPr>
              <w:t xml:space="preserve"> </w:t>
            </w:r>
            <w:r>
              <w:rPr>
                <w:sz w:val="20"/>
              </w:rPr>
              <w:t>6,</w:t>
            </w:r>
            <w:r>
              <w:rPr>
                <w:spacing w:val="-2"/>
                <w:sz w:val="20"/>
              </w:rPr>
              <w:t xml:space="preserve"> </w:t>
            </w:r>
            <w:r>
              <w:rPr>
                <w:spacing w:val="-10"/>
                <w:sz w:val="20"/>
              </w:rPr>
              <w:t>7</w:t>
            </w:r>
          </w:p>
        </w:tc>
        <w:tc>
          <w:tcPr>
            <w:tcW w:w="982" w:type="dxa"/>
            <w:vMerge/>
            <w:tcBorders>
              <w:top w:val="nil"/>
              <w:bottom w:val="single" w:color="D9D9D9" w:sz="2" w:space="0"/>
            </w:tcBorders>
          </w:tcPr>
          <w:p w:rsidR="00C31389" w:rsidRDefault="00C31389" w14:paraId="4D325F45" w14:textId="77777777">
            <w:pPr>
              <w:rPr>
                <w:sz w:val="2"/>
                <w:szCs w:val="2"/>
              </w:rPr>
            </w:pPr>
          </w:p>
        </w:tc>
        <w:tc>
          <w:tcPr>
            <w:tcW w:w="1461" w:type="dxa"/>
            <w:vMerge/>
            <w:tcBorders>
              <w:top w:val="nil"/>
              <w:bottom w:val="single" w:color="D9D9D9" w:sz="2" w:space="0"/>
            </w:tcBorders>
          </w:tcPr>
          <w:p w:rsidR="00C31389" w:rsidRDefault="00C31389" w14:paraId="207DC298" w14:textId="77777777">
            <w:pPr>
              <w:rPr>
                <w:sz w:val="2"/>
                <w:szCs w:val="2"/>
              </w:rPr>
            </w:pPr>
          </w:p>
        </w:tc>
      </w:tr>
      <w:tr w:rsidR="00C31389" w14:paraId="62CAAC1B" w14:textId="77777777">
        <w:trPr>
          <w:trHeight w:val="325"/>
        </w:trPr>
        <w:tc>
          <w:tcPr>
            <w:tcW w:w="4052" w:type="dxa"/>
            <w:tcBorders>
              <w:top w:val="single" w:color="D9D9D9" w:sz="2" w:space="0"/>
            </w:tcBorders>
          </w:tcPr>
          <w:p w:rsidR="00C31389" w:rsidRDefault="00561FBD" w14:paraId="565A2899" w14:textId="77777777">
            <w:pPr>
              <w:pStyle w:val="TableParagraph"/>
              <w:tabs>
                <w:tab w:val="left" w:pos="3959"/>
              </w:tabs>
              <w:spacing w:before="56"/>
              <w:rPr>
                <w:sz w:val="20"/>
              </w:rPr>
            </w:pPr>
            <w:r>
              <w:rPr>
                <w:spacing w:val="56"/>
                <w:sz w:val="20"/>
                <w:u w:val="single" w:color="D9D9D9"/>
              </w:rPr>
              <w:t xml:space="preserve"> </w:t>
            </w:r>
            <w:r>
              <w:rPr>
                <w:sz w:val="20"/>
                <w:u w:val="single" w:color="D9D9D9"/>
              </w:rPr>
              <w:t>Central</w:t>
            </w:r>
            <w:r>
              <w:rPr>
                <w:spacing w:val="-2"/>
                <w:sz w:val="20"/>
                <w:u w:val="single" w:color="D9D9D9"/>
              </w:rPr>
              <w:t xml:space="preserve"> </w:t>
            </w:r>
            <w:r>
              <w:rPr>
                <w:sz w:val="20"/>
                <w:u w:val="single" w:color="D9D9D9"/>
              </w:rPr>
              <w:t>Inland:</w:t>
            </w:r>
            <w:r>
              <w:rPr>
                <w:spacing w:val="-2"/>
                <w:sz w:val="20"/>
                <w:u w:val="single" w:color="D9D9D9"/>
              </w:rPr>
              <w:t xml:space="preserve"> </w:t>
            </w:r>
            <w:r>
              <w:rPr>
                <w:sz w:val="20"/>
                <w:u w:val="single" w:color="D9D9D9"/>
              </w:rPr>
              <w:t>CZ</w:t>
            </w:r>
            <w:r>
              <w:rPr>
                <w:spacing w:val="-2"/>
                <w:sz w:val="20"/>
                <w:u w:val="single" w:color="D9D9D9"/>
              </w:rPr>
              <w:t xml:space="preserve"> </w:t>
            </w:r>
            <w:r>
              <w:rPr>
                <w:sz w:val="20"/>
                <w:u w:val="single" w:color="D9D9D9"/>
              </w:rPr>
              <w:t>4,</w:t>
            </w:r>
            <w:r>
              <w:rPr>
                <w:spacing w:val="-2"/>
                <w:sz w:val="20"/>
                <w:u w:val="single" w:color="D9D9D9"/>
              </w:rPr>
              <w:t xml:space="preserve"> </w:t>
            </w:r>
            <w:r>
              <w:rPr>
                <w:sz w:val="20"/>
                <w:u w:val="single" w:color="D9D9D9"/>
              </w:rPr>
              <w:t>12,</w:t>
            </w:r>
            <w:r>
              <w:rPr>
                <w:spacing w:val="-1"/>
                <w:sz w:val="20"/>
                <w:u w:val="single" w:color="D9D9D9"/>
              </w:rPr>
              <w:t xml:space="preserve"> </w:t>
            </w:r>
            <w:r>
              <w:rPr>
                <w:spacing w:val="-5"/>
                <w:sz w:val="20"/>
                <w:u w:val="single" w:color="D9D9D9"/>
              </w:rPr>
              <w:t>13</w:t>
            </w:r>
            <w:r>
              <w:rPr>
                <w:sz w:val="20"/>
                <w:u w:val="single" w:color="D9D9D9"/>
              </w:rPr>
              <w:tab/>
            </w:r>
          </w:p>
        </w:tc>
        <w:tc>
          <w:tcPr>
            <w:tcW w:w="982" w:type="dxa"/>
            <w:vMerge w:val="restart"/>
            <w:tcBorders>
              <w:top w:val="single" w:color="D9D9D9" w:sz="2" w:space="0"/>
              <w:bottom w:val="single" w:color="000000" w:sz="8" w:space="0"/>
            </w:tcBorders>
          </w:tcPr>
          <w:p w:rsidR="00C31389" w:rsidRDefault="00C31389" w14:paraId="5BD466DF" w14:textId="77777777">
            <w:pPr>
              <w:pStyle w:val="TableParagraph"/>
              <w:spacing w:before="1"/>
              <w:rPr>
                <w:b/>
                <w:sz w:val="18"/>
              </w:rPr>
            </w:pPr>
          </w:p>
          <w:p w:rsidR="00C31389" w:rsidRDefault="00561FBD" w14:paraId="7E7B6B6C" w14:textId="77777777">
            <w:pPr>
              <w:pStyle w:val="TableParagraph"/>
              <w:spacing w:before="0"/>
              <w:ind w:left="247"/>
              <w:rPr>
                <w:sz w:val="20"/>
              </w:rPr>
            </w:pPr>
            <w:r>
              <w:rPr>
                <w:spacing w:val="-5"/>
                <w:sz w:val="20"/>
              </w:rPr>
              <w:t>36%</w:t>
            </w:r>
          </w:p>
        </w:tc>
        <w:tc>
          <w:tcPr>
            <w:tcW w:w="1461" w:type="dxa"/>
            <w:vMerge w:val="restart"/>
            <w:tcBorders>
              <w:top w:val="single" w:color="D9D9D9" w:sz="2" w:space="0"/>
              <w:bottom w:val="single" w:color="000000" w:sz="8" w:space="0"/>
            </w:tcBorders>
          </w:tcPr>
          <w:p w:rsidR="00C31389" w:rsidRDefault="00C31389" w14:paraId="5FD51C72" w14:textId="77777777">
            <w:pPr>
              <w:pStyle w:val="TableParagraph"/>
              <w:spacing w:before="1"/>
              <w:rPr>
                <w:b/>
                <w:sz w:val="18"/>
              </w:rPr>
            </w:pPr>
          </w:p>
          <w:p w:rsidR="00C31389" w:rsidRDefault="00561FBD" w14:paraId="0DB13854" w14:textId="77777777">
            <w:pPr>
              <w:pStyle w:val="TableParagraph"/>
              <w:spacing w:before="0"/>
              <w:ind w:left="165" w:right="162"/>
              <w:jc w:val="center"/>
              <w:rPr>
                <w:sz w:val="20"/>
              </w:rPr>
            </w:pPr>
            <w:r>
              <w:rPr>
                <w:spacing w:val="-5"/>
                <w:sz w:val="20"/>
              </w:rPr>
              <w:t>64%</w:t>
            </w:r>
          </w:p>
        </w:tc>
      </w:tr>
      <w:tr w:rsidR="00C31389" w14:paraId="5C8153F4" w14:textId="77777777">
        <w:trPr>
          <w:trHeight w:val="259"/>
        </w:trPr>
        <w:tc>
          <w:tcPr>
            <w:tcW w:w="4052" w:type="dxa"/>
            <w:tcBorders>
              <w:bottom w:val="single" w:color="000000" w:sz="8" w:space="0"/>
            </w:tcBorders>
          </w:tcPr>
          <w:p w:rsidR="00C31389" w:rsidRDefault="00561FBD" w14:paraId="14396D7D" w14:textId="77777777">
            <w:pPr>
              <w:pStyle w:val="TableParagraph"/>
              <w:spacing w:before="15" w:line="225" w:lineRule="exact"/>
              <w:ind w:left="115"/>
              <w:rPr>
                <w:sz w:val="20"/>
              </w:rPr>
            </w:pPr>
            <w:r>
              <w:rPr>
                <w:sz w:val="20"/>
              </w:rPr>
              <w:t>South</w:t>
            </w:r>
            <w:r>
              <w:rPr>
                <w:spacing w:val="-2"/>
                <w:sz w:val="20"/>
              </w:rPr>
              <w:t xml:space="preserve"> </w:t>
            </w:r>
            <w:r>
              <w:rPr>
                <w:sz w:val="20"/>
              </w:rPr>
              <w:t>Inland:</w:t>
            </w:r>
            <w:r>
              <w:rPr>
                <w:spacing w:val="-4"/>
                <w:sz w:val="20"/>
              </w:rPr>
              <w:t xml:space="preserve"> </w:t>
            </w:r>
            <w:r>
              <w:rPr>
                <w:sz w:val="20"/>
              </w:rPr>
              <w:t>CZ</w:t>
            </w:r>
            <w:r>
              <w:rPr>
                <w:spacing w:val="-1"/>
                <w:sz w:val="20"/>
              </w:rPr>
              <w:t xml:space="preserve"> </w:t>
            </w:r>
            <w:r>
              <w:rPr>
                <w:sz w:val="20"/>
              </w:rPr>
              <w:t>8,</w:t>
            </w:r>
            <w:r>
              <w:rPr>
                <w:spacing w:val="-2"/>
                <w:sz w:val="20"/>
              </w:rPr>
              <w:t xml:space="preserve"> </w:t>
            </w:r>
            <w:r>
              <w:rPr>
                <w:sz w:val="20"/>
              </w:rPr>
              <w:t>9,</w:t>
            </w:r>
            <w:r>
              <w:rPr>
                <w:spacing w:val="-1"/>
                <w:sz w:val="20"/>
              </w:rPr>
              <w:t xml:space="preserve"> </w:t>
            </w:r>
            <w:r>
              <w:rPr>
                <w:sz w:val="20"/>
              </w:rPr>
              <w:t>10,</w:t>
            </w:r>
            <w:r>
              <w:rPr>
                <w:spacing w:val="-2"/>
                <w:sz w:val="20"/>
              </w:rPr>
              <w:t xml:space="preserve"> </w:t>
            </w:r>
            <w:r>
              <w:rPr>
                <w:sz w:val="20"/>
              </w:rPr>
              <w:t>14,</w:t>
            </w:r>
            <w:r>
              <w:rPr>
                <w:spacing w:val="-1"/>
                <w:sz w:val="20"/>
              </w:rPr>
              <w:t xml:space="preserve"> </w:t>
            </w:r>
            <w:r>
              <w:rPr>
                <w:spacing w:val="-5"/>
                <w:sz w:val="20"/>
              </w:rPr>
              <w:t>15</w:t>
            </w:r>
          </w:p>
        </w:tc>
        <w:tc>
          <w:tcPr>
            <w:tcW w:w="982" w:type="dxa"/>
            <w:vMerge/>
            <w:tcBorders>
              <w:top w:val="nil"/>
              <w:bottom w:val="single" w:color="000000" w:sz="8" w:space="0"/>
            </w:tcBorders>
          </w:tcPr>
          <w:p w:rsidR="00C31389" w:rsidRDefault="00C31389" w14:paraId="7A2A1A8A" w14:textId="77777777">
            <w:pPr>
              <w:rPr>
                <w:sz w:val="2"/>
                <w:szCs w:val="2"/>
              </w:rPr>
            </w:pPr>
          </w:p>
        </w:tc>
        <w:tc>
          <w:tcPr>
            <w:tcW w:w="1461" w:type="dxa"/>
            <w:vMerge/>
            <w:tcBorders>
              <w:top w:val="nil"/>
              <w:bottom w:val="single" w:color="000000" w:sz="8" w:space="0"/>
            </w:tcBorders>
          </w:tcPr>
          <w:p w:rsidR="00C31389" w:rsidRDefault="00C31389" w14:paraId="3C4920EF" w14:textId="77777777">
            <w:pPr>
              <w:rPr>
                <w:sz w:val="2"/>
                <w:szCs w:val="2"/>
              </w:rPr>
            </w:pPr>
          </w:p>
        </w:tc>
      </w:tr>
    </w:tbl>
    <w:p w:rsidR="00C31389" w:rsidRDefault="00561FBD" w14:paraId="687E9D64" w14:textId="77777777">
      <w:pPr>
        <w:spacing w:before="32"/>
        <w:ind w:left="480"/>
        <w:rPr>
          <w:sz w:val="18"/>
        </w:rPr>
      </w:pPr>
      <w:r>
        <w:rPr>
          <w:sz w:val="18"/>
        </w:rPr>
        <w:t>CZ</w:t>
      </w:r>
      <w:r>
        <w:rPr>
          <w:spacing w:val="-2"/>
          <w:sz w:val="18"/>
        </w:rPr>
        <w:t xml:space="preserve"> </w:t>
      </w:r>
      <w:r>
        <w:rPr>
          <w:sz w:val="18"/>
        </w:rPr>
        <w:t>=</w:t>
      </w:r>
      <w:r>
        <w:rPr>
          <w:spacing w:val="-1"/>
          <w:sz w:val="18"/>
        </w:rPr>
        <w:t xml:space="preserve"> </w:t>
      </w:r>
      <w:r>
        <w:rPr>
          <w:sz w:val="18"/>
        </w:rPr>
        <w:t>climate</w:t>
      </w:r>
      <w:r>
        <w:rPr>
          <w:spacing w:val="-2"/>
          <w:sz w:val="18"/>
        </w:rPr>
        <w:t xml:space="preserve"> </w:t>
      </w:r>
      <w:r>
        <w:rPr>
          <w:spacing w:val="-4"/>
          <w:sz w:val="18"/>
        </w:rPr>
        <w:t>zone</w:t>
      </w:r>
    </w:p>
    <w:p w:rsidR="00C31389" w:rsidRDefault="00561FBD" w14:paraId="5C68F8CB" w14:textId="77777777">
      <w:pPr>
        <w:spacing w:before="59"/>
        <w:ind w:left="480"/>
        <w:rPr>
          <w:i/>
          <w:sz w:val="18"/>
        </w:rPr>
      </w:pPr>
      <w:r>
        <w:rPr>
          <w:i/>
          <w:sz w:val="18"/>
        </w:rPr>
        <w:t>Source:</w:t>
      </w:r>
      <w:r>
        <w:rPr>
          <w:i/>
          <w:spacing w:val="-3"/>
          <w:sz w:val="18"/>
        </w:rPr>
        <w:t xml:space="preserve"> </w:t>
      </w:r>
      <w:r>
        <w:rPr>
          <w:i/>
          <w:sz w:val="18"/>
        </w:rPr>
        <w:t>Tierra</w:t>
      </w:r>
      <w:r>
        <w:rPr>
          <w:i/>
          <w:spacing w:val="-3"/>
          <w:sz w:val="18"/>
        </w:rPr>
        <w:t xml:space="preserve"> </w:t>
      </w:r>
      <w:r>
        <w:rPr>
          <w:i/>
          <w:sz w:val="18"/>
        </w:rPr>
        <w:t>Resource</w:t>
      </w:r>
      <w:r>
        <w:rPr>
          <w:i/>
          <w:spacing w:val="-3"/>
          <w:sz w:val="18"/>
        </w:rPr>
        <w:t xml:space="preserve"> </w:t>
      </w:r>
      <w:r>
        <w:rPr>
          <w:i/>
          <w:spacing w:val="-2"/>
          <w:sz w:val="18"/>
        </w:rPr>
        <w:t>Consultants</w:t>
      </w:r>
    </w:p>
    <w:p w:rsidR="00C31389" w:rsidRDefault="00C31389" w14:paraId="421D5A10" w14:textId="77777777">
      <w:pPr>
        <w:rPr>
          <w:sz w:val="18"/>
        </w:rPr>
        <w:sectPr w:rsidR="00C31389">
          <w:pgSz w:w="11910" w:h="16840"/>
          <w:pgMar w:top="1660" w:right="1020" w:bottom="1120" w:left="960" w:header="397" w:footer="938" w:gutter="0"/>
          <w:cols w:space="720"/>
        </w:sectPr>
      </w:pPr>
    </w:p>
    <w:p w:rsidR="00C31389" w:rsidRDefault="00C31389" w14:paraId="7B14FB3D" w14:textId="77777777">
      <w:pPr>
        <w:pStyle w:val="BodyText"/>
        <w:spacing w:before="11"/>
        <w:rPr>
          <w:i/>
          <w:sz w:val="13"/>
        </w:rPr>
      </w:pPr>
    </w:p>
    <w:p w:rsidR="00C31389" w:rsidRDefault="00561FBD" w14:paraId="6EF754C9" w14:textId="77777777">
      <w:pPr>
        <w:pStyle w:val="Heading7"/>
        <w:spacing w:before="92"/>
        <w:ind w:left="922"/>
      </w:pPr>
      <w:bookmarkStart w:name="_bookmark259" w:id="345"/>
      <w:bookmarkEnd w:id="345"/>
      <w:r>
        <w:t>Figure</w:t>
      </w:r>
      <w:r>
        <w:rPr>
          <w:spacing w:val="-8"/>
        </w:rPr>
        <w:t xml:space="preserve"> </w:t>
      </w:r>
      <w:r>
        <w:t>B-5.</w:t>
      </w:r>
      <w:r>
        <w:rPr>
          <w:spacing w:val="-8"/>
        </w:rPr>
        <w:t xml:space="preserve"> </w:t>
      </w:r>
      <w:r>
        <w:t>Percentage</w:t>
      </w:r>
      <w:r>
        <w:rPr>
          <w:spacing w:val="-8"/>
        </w:rPr>
        <w:t xml:space="preserve"> </w:t>
      </w:r>
      <w:r>
        <w:t>of</w:t>
      </w:r>
      <w:r>
        <w:rPr>
          <w:spacing w:val="-7"/>
        </w:rPr>
        <w:t xml:space="preserve"> </w:t>
      </w:r>
      <w:r>
        <w:t>Projects</w:t>
      </w:r>
      <w:r>
        <w:rPr>
          <w:spacing w:val="-8"/>
        </w:rPr>
        <w:t xml:space="preserve"> </w:t>
      </w:r>
      <w:r>
        <w:t>as</w:t>
      </w:r>
      <w:r>
        <w:rPr>
          <w:spacing w:val="-8"/>
        </w:rPr>
        <w:t xml:space="preserve"> </w:t>
      </w:r>
      <w:r>
        <w:t>Whole</w:t>
      </w:r>
      <w:r>
        <w:rPr>
          <w:spacing w:val="-7"/>
        </w:rPr>
        <w:t xml:space="preserve"> </w:t>
      </w:r>
      <w:r>
        <w:t>System</w:t>
      </w:r>
      <w:r>
        <w:rPr>
          <w:spacing w:val="-8"/>
        </w:rPr>
        <w:t xml:space="preserve"> </w:t>
      </w:r>
      <w:r>
        <w:t>Replacements</w:t>
      </w:r>
      <w:r>
        <w:rPr>
          <w:spacing w:val="-8"/>
        </w:rPr>
        <w:t xml:space="preserve"> </w:t>
      </w:r>
      <w:r>
        <w:t>by</w:t>
      </w:r>
      <w:r>
        <w:rPr>
          <w:spacing w:val="-7"/>
        </w:rPr>
        <w:t xml:space="preserve"> </w:t>
      </w:r>
      <w:r>
        <w:rPr>
          <w:spacing w:val="-2"/>
        </w:rPr>
        <w:t>Region</w:t>
      </w:r>
    </w:p>
    <w:p w:rsidR="00C31389" w:rsidRDefault="00C31389" w14:paraId="217C8627" w14:textId="77777777">
      <w:pPr>
        <w:pStyle w:val="BodyText"/>
        <w:rPr>
          <w:b/>
          <w:sz w:val="13"/>
        </w:rPr>
      </w:pPr>
    </w:p>
    <w:p w:rsidR="00C31389" w:rsidRDefault="00C31389" w14:paraId="413345A2" w14:textId="77777777">
      <w:pPr>
        <w:rPr>
          <w:sz w:val="13"/>
        </w:rPr>
        <w:sectPr w:rsidR="00C31389">
          <w:pgSz w:w="11910" w:h="16840"/>
          <w:pgMar w:top="1660" w:right="1020" w:bottom="1120" w:left="960" w:header="397" w:footer="938" w:gutter="0"/>
          <w:cols w:space="720"/>
        </w:sectPr>
      </w:pPr>
    </w:p>
    <w:p w:rsidR="00C31389" w:rsidRDefault="00561FBD" w14:paraId="67032BEB" w14:textId="77777777">
      <w:pPr>
        <w:spacing w:before="95"/>
        <w:ind w:right="38"/>
        <w:jc w:val="right"/>
        <w:rPr>
          <w:sz w:val="18"/>
        </w:rPr>
      </w:pPr>
      <w:r>
        <w:rPr>
          <w:noProof/>
        </w:rPr>
        <mc:AlternateContent>
          <mc:Choice Requires="wps">
            <w:drawing>
              <wp:anchor distT="0" distB="0" distL="0" distR="0" simplePos="0" relativeHeight="15823872" behindDoc="0" locked="0" layoutInCell="1" allowOverlap="1" wp14:editId="4B7D1656" wp14:anchorId="1AF887C3">
                <wp:simplePos x="0" y="0"/>
                <wp:positionH relativeFrom="page">
                  <wp:posOffset>2089711</wp:posOffset>
                </wp:positionH>
                <wp:positionV relativeFrom="paragraph">
                  <wp:posOffset>130661</wp:posOffset>
                </wp:positionV>
                <wp:extent cx="3895090" cy="1270"/>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090" cy="1270"/>
                        </a:xfrm>
                        <a:custGeom>
                          <a:avLst/>
                          <a:gdLst/>
                          <a:ahLst/>
                          <a:cxnLst/>
                          <a:rect l="l" t="t" r="r" b="b"/>
                          <a:pathLst>
                            <a:path w="3895090">
                              <a:moveTo>
                                <a:pt x="0" y="0"/>
                              </a:moveTo>
                              <a:lnTo>
                                <a:pt x="389487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id="Graphic 575" style="position:absolute;margin-left:164.55pt;margin-top:10.3pt;width:306.7pt;height:.1pt;z-index:15823872;visibility:visible;mso-wrap-style:square;mso-wrap-distance-left:0;mso-wrap-distance-top:0;mso-wrap-distance-right:0;mso-wrap-distance-bottom:0;mso-position-horizontal:absolute;mso-position-horizontal-relative:page;mso-position-vertical:absolute;mso-position-vertical-relative:text;v-text-anchor:top" coordsize="3895090,1270" o:spid="_x0000_s1026" filled="f" strokecolor="#d9d9d9" path="m,l38948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" w14:anchorId="45CC273A">
                <v:path arrowok="t"/>
                <w10:wrap anchorx="page"/>
              </v:shape>
            </w:pict>
          </mc:Fallback>
        </mc:AlternateContent>
      </w:r>
      <w:r>
        <w:rPr>
          <w:noProof/>
        </w:rPr>
        <mc:AlternateContent>
          <mc:Choice Requires="wps">
            <w:drawing>
              <wp:anchor distT="0" distB="0" distL="0" distR="0" simplePos="0" relativeHeight="15824384" behindDoc="0" locked="0" layoutInCell="1" allowOverlap="1" wp14:editId="4DD7C735" wp14:anchorId="18CEBA8F">
                <wp:simplePos x="0" y="0"/>
                <wp:positionH relativeFrom="page">
                  <wp:posOffset>1467907</wp:posOffset>
                </wp:positionH>
                <wp:positionV relativeFrom="paragraph">
                  <wp:posOffset>103967</wp:posOffset>
                </wp:positionV>
                <wp:extent cx="167640" cy="211074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2110740"/>
                        </a:xfrm>
                        <a:prstGeom prst="rect">
                          <a:avLst/>
                        </a:prstGeom>
                      </wps:spPr>
                      <wps:txbx>
                        <w:txbxContent>
                          <w:p w:rsidR="00C31389" w:rsidRDefault="00561FBD" w14:paraId="6503F565" w14:textId="77777777">
                            <w:pPr>
                              <w:spacing w:before="14"/>
                              <w:ind w:left="20"/>
                              <w:rPr>
                                <w:sz w:val="20"/>
                              </w:rPr>
                            </w:pPr>
                            <w:r>
                              <w:rPr>
                                <w:sz w:val="20"/>
                              </w:rPr>
                              <w:t>%</w:t>
                            </w:r>
                            <w:r>
                              <w:rPr>
                                <w:spacing w:val="-2"/>
                                <w:sz w:val="20"/>
                              </w:rPr>
                              <w:t xml:space="preserve"> </w:t>
                            </w:r>
                            <w:r>
                              <w:rPr>
                                <w:sz w:val="20"/>
                              </w:rPr>
                              <w:t>Projects</w:t>
                            </w:r>
                            <w:r>
                              <w:rPr>
                                <w:spacing w:val="-4"/>
                                <w:sz w:val="20"/>
                              </w:rPr>
                              <w:t xml:space="preserve"> </w:t>
                            </w:r>
                            <w:r>
                              <w:rPr>
                                <w:sz w:val="20"/>
                              </w:rPr>
                              <w:t>as</w:t>
                            </w:r>
                            <w:r>
                              <w:rPr>
                                <w:spacing w:val="-3"/>
                                <w:sz w:val="20"/>
                              </w:rPr>
                              <w:t xml:space="preserve"> </w:t>
                            </w:r>
                            <w:r>
                              <w:rPr>
                                <w:sz w:val="20"/>
                              </w:rPr>
                              <w:t>System</w:t>
                            </w:r>
                            <w:r>
                              <w:rPr>
                                <w:spacing w:val="-2"/>
                                <w:sz w:val="20"/>
                              </w:rPr>
                              <w:t xml:space="preserve"> Replacements</w:t>
                            </w:r>
                          </w:p>
                        </w:txbxContent>
                      </wps:txbx>
                      <wps:bodyPr vert="vert270" wrap="square" lIns="0" tIns="0" rIns="0" bIns="0" rtlCol="0">
                        <a:noAutofit/>
                      </wps:bodyPr>
                    </wps:wsp>
                  </a:graphicData>
                </a:graphic>
              </wp:anchor>
            </w:drawing>
          </mc:Choice>
          <mc:Fallback>
            <w:pict>
              <v:shape id="Textbox 576" style="position:absolute;left:0;text-align:left;margin-left:115.6pt;margin-top:8.2pt;width:13.2pt;height:166.2pt;z-index:15824384;visibility:visible;mso-wrap-style:square;mso-wrap-distance-left:0;mso-wrap-distance-top:0;mso-wrap-distance-right:0;mso-wrap-distance-bottom:0;mso-position-horizontal:absolute;mso-position-horizontal-relative:page;mso-position-vertical:absolute;mso-position-vertical-relative:text;v-text-anchor:top" o:spid="_x0000_s11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" w14:anchorId="18CEBA8F">
                <v:textbox style="layout-flow:vertical;mso-layout-flow-alt:bottom-to-top" inset="0,0,0,0">
                  <w:txbxContent>
                    <w:p w:rsidR="00C31389" w:rsidRDefault="00561FBD" w14:paraId="6503F565" w14:textId="77777777">
                      <w:pPr>
                        <w:spacing w:before="14"/>
                        <w:ind w:left="20"/>
                        <w:rPr>
                          <w:sz w:val="20"/>
                        </w:rPr>
                      </w:pPr>
                      <w:r>
                        <w:rPr>
                          <w:sz w:val="20"/>
                        </w:rPr>
                        <w:t>%</w:t>
                      </w:r>
                      <w:r>
                        <w:rPr>
                          <w:spacing w:val="-2"/>
                          <w:sz w:val="20"/>
                        </w:rPr>
                        <w:t xml:space="preserve"> </w:t>
                      </w:r>
                      <w:r>
                        <w:rPr>
                          <w:sz w:val="20"/>
                        </w:rPr>
                        <w:t>Projects</w:t>
                      </w:r>
                      <w:r>
                        <w:rPr>
                          <w:spacing w:val="-4"/>
                          <w:sz w:val="20"/>
                        </w:rPr>
                        <w:t xml:space="preserve"> </w:t>
                      </w:r>
                      <w:r>
                        <w:rPr>
                          <w:sz w:val="20"/>
                        </w:rPr>
                        <w:t>as</w:t>
                      </w:r>
                      <w:r>
                        <w:rPr>
                          <w:spacing w:val="-3"/>
                          <w:sz w:val="20"/>
                        </w:rPr>
                        <w:t xml:space="preserve"> </w:t>
                      </w:r>
                      <w:r>
                        <w:rPr>
                          <w:sz w:val="20"/>
                        </w:rPr>
                        <w:t>System</w:t>
                      </w:r>
                      <w:r>
                        <w:rPr>
                          <w:spacing w:val="-2"/>
                          <w:sz w:val="20"/>
                        </w:rPr>
                        <w:t xml:space="preserve"> Replacements</w:t>
                      </w:r>
                    </w:p>
                  </w:txbxContent>
                </v:textbox>
                <w10:wrap anchorx="page"/>
              </v:shape>
            </w:pict>
          </mc:Fallback>
        </mc:AlternateContent>
      </w:r>
      <w:r>
        <w:rPr>
          <w:spacing w:val="-5"/>
          <w:sz w:val="18"/>
        </w:rPr>
        <w:t>90%</w:t>
      </w:r>
    </w:p>
    <w:p w:rsidR="00C31389" w:rsidRDefault="00561FBD" w14:paraId="7FB8CEED" w14:textId="77777777">
      <w:pPr>
        <w:spacing w:before="163"/>
        <w:ind w:right="38"/>
        <w:jc w:val="right"/>
        <w:rPr>
          <w:sz w:val="18"/>
        </w:rPr>
      </w:pPr>
      <w:r>
        <w:rPr>
          <w:noProof/>
        </w:rPr>
        <mc:AlternateContent>
          <mc:Choice Requires="wps">
            <w:drawing>
              <wp:anchor distT="0" distB="0" distL="0" distR="0" simplePos="0" relativeHeight="15823360" behindDoc="0" locked="0" layoutInCell="1" allowOverlap="1" wp14:editId="6B981997" wp14:anchorId="6A020C20">
                <wp:simplePos x="0" y="0"/>
                <wp:positionH relativeFrom="page">
                  <wp:posOffset>2089711</wp:posOffset>
                </wp:positionH>
                <wp:positionV relativeFrom="paragraph">
                  <wp:posOffset>174158</wp:posOffset>
                </wp:positionV>
                <wp:extent cx="3895090" cy="127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090" cy="1270"/>
                        </a:xfrm>
                        <a:custGeom>
                          <a:avLst/>
                          <a:gdLst/>
                          <a:ahLst/>
                          <a:cxnLst/>
                          <a:rect l="l" t="t" r="r" b="b"/>
                          <a:pathLst>
                            <a:path w="3895090">
                              <a:moveTo>
                                <a:pt x="0" y="0"/>
                              </a:moveTo>
                              <a:lnTo>
                                <a:pt x="389487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id="Graphic 577" style="position:absolute;margin-left:164.55pt;margin-top:13.7pt;width:306.7pt;height:.1pt;z-index:15823360;visibility:visible;mso-wrap-style:square;mso-wrap-distance-left:0;mso-wrap-distance-top:0;mso-wrap-distance-right:0;mso-wrap-distance-bottom:0;mso-position-horizontal:absolute;mso-position-horizontal-relative:page;mso-position-vertical:absolute;mso-position-vertical-relative:text;v-text-anchor:top" coordsize="3895090,1270" o:spid="_x0000_s1026" filled="f" strokecolor="#d9d9d9" path="m,l38948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" w14:anchorId="1605BB4E">
                <v:path arrowok="t"/>
                <w10:wrap anchorx="page"/>
              </v:shape>
            </w:pict>
          </mc:Fallback>
        </mc:AlternateContent>
      </w:r>
      <w:r>
        <w:rPr>
          <w:spacing w:val="-5"/>
          <w:sz w:val="18"/>
        </w:rPr>
        <w:t>80%</w:t>
      </w:r>
    </w:p>
    <w:p w:rsidR="00C31389" w:rsidRDefault="00561FBD" w14:paraId="6FE76443" w14:textId="77777777">
      <w:pPr>
        <w:spacing w:before="163"/>
        <w:ind w:right="38"/>
        <w:jc w:val="right"/>
        <w:rPr>
          <w:sz w:val="18"/>
        </w:rPr>
      </w:pPr>
      <w:r>
        <w:rPr>
          <w:spacing w:val="-5"/>
          <w:sz w:val="18"/>
        </w:rPr>
        <w:t>70%</w:t>
      </w:r>
    </w:p>
    <w:p w:rsidR="00C31389" w:rsidRDefault="00561FBD" w14:paraId="1AFE5C72" w14:textId="77777777">
      <w:pPr>
        <w:spacing w:before="163"/>
        <w:ind w:right="38"/>
        <w:jc w:val="right"/>
        <w:rPr>
          <w:sz w:val="18"/>
        </w:rPr>
      </w:pPr>
      <w:r>
        <w:rPr>
          <w:spacing w:val="-5"/>
          <w:sz w:val="18"/>
        </w:rPr>
        <w:t>60%</w:t>
      </w:r>
    </w:p>
    <w:p w:rsidR="00C31389" w:rsidRDefault="00561FBD" w14:paraId="2B2D4FDE" w14:textId="77777777">
      <w:pPr>
        <w:spacing w:before="162"/>
        <w:ind w:right="38"/>
        <w:jc w:val="right"/>
        <w:rPr>
          <w:sz w:val="18"/>
        </w:rPr>
      </w:pPr>
      <w:r>
        <w:rPr>
          <w:spacing w:val="-5"/>
          <w:sz w:val="18"/>
        </w:rPr>
        <w:t>50%</w:t>
      </w:r>
    </w:p>
    <w:p w:rsidR="00C31389" w:rsidRDefault="00561FBD" w14:paraId="045DB1F2" w14:textId="77777777">
      <w:pPr>
        <w:spacing w:before="163"/>
        <w:ind w:right="38"/>
        <w:jc w:val="right"/>
        <w:rPr>
          <w:sz w:val="18"/>
        </w:rPr>
      </w:pPr>
      <w:r>
        <w:rPr>
          <w:spacing w:val="-5"/>
          <w:sz w:val="18"/>
        </w:rPr>
        <w:t>40%</w:t>
      </w:r>
    </w:p>
    <w:p w:rsidR="00C31389" w:rsidRDefault="00561FBD" w14:paraId="19805088" w14:textId="77777777">
      <w:pPr>
        <w:spacing w:before="163"/>
        <w:ind w:right="38"/>
        <w:jc w:val="right"/>
        <w:rPr>
          <w:sz w:val="18"/>
        </w:rPr>
      </w:pPr>
      <w:r>
        <w:rPr>
          <w:spacing w:val="-5"/>
          <w:sz w:val="18"/>
        </w:rPr>
        <w:t>30%</w:t>
      </w:r>
    </w:p>
    <w:p w:rsidR="00C31389" w:rsidRDefault="00561FBD" w14:paraId="6A9E2D0C" w14:textId="77777777">
      <w:pPr>
        <w:spacing w:before="163"/>
        <w:ind w:right="38"/>
        <w:jc w:val="right"/>
        <w:rPr>
          <w:sz w:val="18"/>
        </w:rPr>
      </w:pPr>
      <w:r>
        <w:rPr>
          <w:spacing w:val="-5"/>
          <w:sz w:val="18"/>
        </w:rPr>
        <w:t>20%</w:t>
      </w:r>
    </w:p>
    <w:p w:rsidR="00C31389" w:rsidRDefault="00561FBD" w14:paraId="513315AD" w14:textId="77777777">
      <w:pPr>
        <w:spacing w:before="163"/>
        <w:ind w:right="38"/>
        <w:jc w:val="right"/>
        <w:rPr>
          <w:sz w:val="18"/>
        </w:rPr>
      </w:pPr>
      <w:r>
        <w:rPr>
          <w:spacing w:val="-5"/>
          <w:sz w:val="18"/>
        </w:rPr>
        <w:t>10%</w:t>
      </w:r>
    </w:p>
    <w:p w:rsidR="00C31389" w:rsidRDefault="00561FBD" w14:paraId="2FD37267" w14:textId="77777777">
      <w:pPr>
        <w:spacing w:before="163"/>
        <w:ind w:right="39"/>
        <w:jc w:val="right"/>
        <w:rPr>
          <w:sz w:val="18"/>
        </w:rPr>
      </w:pPr>
      <w:r>
        <w:rPr>
          <w:spacing w:val="-5"/>
          <w:sz w:val="18"/>
        </w:rPr>
        <w:t>0%</w:t>
      </w:r>
    </w:p>
    <w:p w:rsidR="00C31389" w:rsidRDefault="00C31389" w14:paraId="5DD8AA1D" w14:textId="77777777">
      <w:pPr>
        <w:pStyle w:val="BodyText"/>
        <w:rPr>
          <w:sz w:val="20"/>
        </w:rPr>
      </w:pPr>
    </w:p>
    <w:p w:rsidR="00C31389" w:rsidRDefault="00C31389" w14:paraId="5C030C6D" w14:textId="77777777">
      <w:pPr>
        <w:pStyle w:val="BodyText"/>
        <w:rPr>
          <w:sz w:val="20"/>
        </w:rPr>
      </w:pPr>
    </w:p>
    <w:p w:rsidR="00C31389" w:rsidRDefault="00C31389" w14:paraId="7C008F08" w14:textId="77777777">
      <w:pPr>
        <w:pStyle w:val="BodyText"/>
        <w:rPr>
          <w:sz w:val="20"/>
        </w:rPr>
      </w:pPr>
    </w:p>
    <w:p w:rsidR="00C31389" w:rsidRDefault="00C31389" w14:paraId="3C7C1327" w14:textId="77777777">
      <w:pPr>
        <w:pStyle w:val="BodyText"/>
        <w:spacing w:before="3"/>
        <w:rPr>
          <w:sz w:val="25"/>
        </w:rPr>
      </w:pPr>
    </w:p>
    <w:p w:rsidR="00C31389" w:rsidRDefault="00561FBD" w14:paraId="7EF792B6" w14:textId="77777777">
      <w:pPr>
        <w:spacing w:before="1"/>
        <w:ind w:left="480"/>
        <w:rPr>
          <w:sz w:val="18"/>
        </w:rPr>
      </w:pPr>
      <w:r>
        <w:rPr>
          <w:sz w:val="18"/>
        </w:rPr>
        <w:t>CZ</w:t>
      </w:r>
      <w:r>
        <w:rPr>
          <w:spacing w:val="-2"/>
          <w:sz w:val="18"/>
        </w:rPr>
        <w:t xml:space="preserve"> </w:t>
      </w:r>
      <w:r>
        <w:rPr>
          <w:sz w:val="18"/>
        </w:rPr>
        <w:t>=</w:t>
      </w:r>
      <w:r>
        <w:rPr>
          <w:spacing w:val="-1"/>
          <w:sz w:val="18"/>
        </w:rPr>
        <w:t xml:space="preserve"> </w:t>
      </w:r>
      <w:r>
        <w:rPr>
          <w:sz w:val="18"/>
        </w:rPr>
        <w:t>climate</w:t>
      </w:r>
      <w:r>
        <w:rPr>
          <w:spacing w:val="-2"/>
          <w:sz w:val="18"/>
        </w:rPr>
        <w:t xml:space="preserve"> </w:t>
      </w:r>
      <w:r>
        <w:rPr>
          <w:spacing w:val="-4"/>
          <w:sz w:val="18"/>
        </w:rPr>
        <w:t>zone</w:t>
      </w:r>
    </w:p>
    <w:p w:rsidR="00C31389" w:rsidRDefault="00561FBD" w14:paraId="7AC43E42" w14:textId="77777777">
      <w:pPr>
        <w:rPr>
          <w:sz w:val="20"/>
        </w:rPr>
      </w:pPr>
      <w:r>
        <w:br w:type="column"/>
      </w:r>
    </w:p>
    <w:p w:rsidR="00C31389" w:rsidRDefault="00C31389" w14:paraId="55956AC7" w14:textId="77777777">
      <w:pPr>
        <w:pStyle w:val="BodyText"/>
        <w:rPr>
          <w:sz w:val="20"/>
        </w:rPr>
      </w:pPr>
    </w:p>
    <w:p w:rsidR="00C31389" w:rsidRDefault="00C31389" w14:paraId="602E376C" w14:textId="77777777">
      <w:pPr>
        <w:pStyle w:val="BodyText"/>
        <w:rPr>
          <w:sz w:val="20"/>
        </w:rPr>
      </w:pPr>
    </w:p>
    <w:p w:rsidR="00C31389" w:rsidRDefault="00C31389" w14:paraId="68110FFC" w14:textId="77777777">
      <w:pPr>
        <w:pStyle w:val="BodyText"/>
        <w:rPr>
          <w:sz w:val="20"/>
        </w:rPr>
      </w:pPr>
    </w:p>
    <w:p w:rsidR="00C31389" w:rsidRDefault="00C31389" w14:paraId="719F2A02" w14:textId="77777777">
      <w:pPr>
        <w:pStyle w:val="BodyText"/>
        <w:rPr>
          <w:sz w:val="20"/>
        </w:rPr>
      </w:pPr>
    </w:p>
    <w:p w:rsidR="00C31389" w:rsidRDefault="00C31389" w14:paraId="021B8B69" w14:textId="77777777">
      <w:pPr>
        <w:pStyle w:val="BodyText"/>
        <w:rPr>
          <w:sz w:val="20"/>
        </w:rPr>
      </w:pPr>
    </w:p>
    <w:p w:rsidR="00C31389" w:rsidRDefault="00C31389" w14:paraId="75BFF835" w14:textId="77777777">
      <w:pPr>
        <w:pStyle w:val="BodyText"/>
        <w:rPr>
          <w:sz w:val="20"/>
        </w:rPr>
      </w:pPr>
    </w:p>
    <w:p w:rsidR="00C31389" w:rsidRDefault="00C31389" w14:paraId="60A20AE1" w14:textId="77777777">
      <w:pPr>
        <w:pStyle w:val="BodyText"/>
        <w:rPr>
          <w:sz w:val="20"/>
        </w:rPr>
      </w:pPr>
    </w:p>
    <w:p w:rsidR="00C31389" w:rsidRDefault="00C31389" w14:paraId="438853CC" w14:textId="77777777">
      <w:pPr>
        <w:pStyle w:val="BodyText"/>
        <w:rPr>
          <w:sz w:val="20"/>
        </w:rPr>
      </w:pPr>
    </w:p>
    <w:p w:rsidR="00C31389" w:rsidRDefault="00C31389" w14:paraId="60038ED3" w14:textId="77777777">
      <w:pPr>
        <w:pStyle w:val="BodyText"/>
        <w:rPr>
          <w:sz w:val="20"/>
        </w:rPr>
      </w:pPr>
    </w:p>
    <w:p w:rsidR="00C31389" w:rsidRDefault="00C31389" w14:paraId="038B2D11" w14:textId="77777777">
      <w:pPr>
        <w:pStyle w:val="BodyText"/>
        <w:rPr>
          <w:sz w:val="20"/>
        </w:rPr>
      </w:pPr>
    </w:p>
    <w:p w:rsidR="00C31389" w:rsidRDefault="00C31389" w14:paraId="0D4C94AF" w14:textId="77777777">
      <w:pPr>
        <w:pStyle w:val="BodyText"/>
        <w:rPr>
          <w:sz w:val="20"/>
        </w:rPr>
      </w:pPr>
    </w:p>
    <w:p w:rsidR="00C31389" w:rsidRDefault="00C31389" w14:paraId="4DF0B732" w14:textId="77777777">
      <w:pPr>
        <w:pStyle w:val="BodyText"/>
        <w:rPr>
          <w:sz w:val="20"/>
        </w:rPr>
      </w:pPr>
    </w:p>
    <w:p w:rsidR="00C31389" w:rsidRDefault="00C31389" w14:paraId="26B0C6CB" w14:textId="77777777">
      <w:pPr>
        <w:pStyle w:val="BodyText"/>
        <w:rPr>
          <w:sz w:val="20"/>
        </w:rPr>
      </w:pPr>
    </w:p>
    <w:p w:rsidR="00C31389" w:rsidRDefault="00C31389" w14:paraId="66C7141D" w14:textId="77777777">
      <w:pPr>
        <w:pStyle w:val="BodyText"/>
        <w:rPr>
          <w:sz w:val="20"/>
        </w:rPr>
      </w:pPr>
    </w:p>
    <w:p w:rsidR="00C31389" w:rsidRDefault="00C31389" w14:paraId="7E5B897A" w14:textId="77777777">
      <w:pPr>
        <w:pStyle w:val="BodyText"/>
        <w:spacing w:before="5"/>
        <w:rPr>
          <w:sz w:val="16"/>
        </w:rPr>
      </w:pPr>
    </w:p>
    <w:p w:rsidR="00C31389" w:rsidRDefault="00561FBD" w14:paraId="18B61192" w14:textId="77777777">
      <w:pPr>
        <w:tabs>
          <w:tab w:val="left" w:pos="1874"/>
        </w:tabs>
        <w:ind w:left="480"/>
        <w:rPr>
          <w:sz w:val="18"/>
        </w:rPr>
      </w:pPr>
      <w:r>
        <w:rPr>
          <w:noProof/>
        </w:rPr>
        <mc:AlternateContent>
          <mc:Choice Requires="wpg">
            <w:drawing>
              <wp:anchor distT="0" distB="0" distL="0" distR="0" simplePos="0" relativeHeight="15822848" behindDoc="0" locked="0" layoutInCell="1" allowOverlap="1" wp14:editId="289CBF1A" wp14:anchorId="451A9A42">
                <wp:simplePos x="0" y="0"/>
                <wp:positionH relativeFrom="page">
                  <wp:posOffset>2089711</wp:posOffset>
                </wp:positionH>
                <wp:positionV relativeFrom="paragraph">
                  <wp:posOffset>-1856634</wp:posOffset>
                </wp:positionV>
                <wp:extent cx="3895090" cy="179578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090" cy="1795780"/>
                          <a:chOff x="0" y="0"/>
                          <a:chExt cx="3895090" cy="1795780"/>
                        </a:xfrm>
                      </wpg:grpSpPr>
                      <wps:wsp>
                        <wps:cNvPr id="579" name="Graphic 579"/>
                        <wps:cNvSpPr/>
                        <wps:spPr>
                          <a:xfrm>
                            <a:off x="0" y="1085849"/>
                            <a:ext cx="1744345" cy="470534"/>
                          </a:xfrm>
                          <a:custGeom>
                            <a:avLst/>
                            <a:gdLst/>
                            <a:ahLst/>
                            <a:cxnLst/>
                            <a:rect l="l" t="t" r="r" b="b"/>
                            <a:pathLst>
                              <a:path w="1744345" h="470534">
                                <a:moveTo>
                                  <a:pt x="0" y="470153"/>
                                </a:moveTo>
                                <a:lnTo>
                                  <a:pt x="445462" y="470153"/>
                                </a:lnTo>
                              </a:path>
                              <a:path w="1744345" h="470534">
                                <a:moveTo>
                                  <a:pt x="852370" y="470153"/>
                                </a:moveTo>
                                <a:lnTo>
                                  <a:pt x="1743910" y="470153"/>
                                </a:lnTo>
                              </a:path>
                              <a:path w="1744345" h="470534">
                                <a:moveTo>
                                  <a:pt x="0" y="235457"/>
                                </a:moveTo>
                                <a:lnTo>
                                  <a:pt x="445462" y="235457"/>
                                </a:lnTo>
                              </a:path>
                              <a:path w="1744345" h="470534">
                                <a:moveTo>
                                  <a:pt x="852370" y="235457"/>
                                </a:moveTo>
                                <a:lnTo>
                                  <a:pt x="1743910" y="235457"/>
                                </a:lnTo>
                              </a:path>
                              <a:path w="1744345" h="470534">
                                <a:moveTo>
                                  <a:pt x="0" y="0"/>
                                </a:moveTo>
                                <a:lnTo>
                                  <a:pt x="445462" y="0"/>
                                </a:lnTo>
                              </a:path>
                              <a:path w="1744345" h="470534">
                                <a:moveTo>
                                  <a:pt x="852370" y="0"/>
                                </a:moveTo>
                                <a:lnTo>
                                  <a:pt x="1743910" y="0"/>
                                </a:lnTo>
                              </a:path>
                            </a:pathLst>
                          </a:custGeom>
                          <a:ln w="9525">
                            <a:solidFill>
                              <a:srgbClr val="D9D9D9"/>
                            </a:solidFill>
                            <a:prstDash val="solid"/>
                          </a:ln>
                        </wps:spPr>
                        <wps:bodyPr wrap="square" lIns="0" tIns="0" rIns="0" bIns="0" rtlCol="0">
                          <a:prstTxWarp prst="textNoShape">
                            <a:avLst/>
                          </a:prstTxWarp>
                          <a:noAutofit/>
                        </wps:bodyPr>
                      </wps:wsp>
                      <wps:wsp>
                        <wps:cNvPr id="580" name="Graphic 580"/>
                        <wps:cNvSpPr/>
                        <wps:spPr>
                          <a:xfrm>
                            <a:off x="445462" y="948689"/>
                            <a:ext cx="407034" cy="842644"/>
                          </a:xfrm>
                          <a:custGeom>
                            <a:avLst/>
                            <a:gdLst/>
                            <a:ahLst/>
                            <a:cxnLst/>
                            <a:rect l="l" t="t" r="r" b="b"/>
                            <a:pathLst>
                              <a:path w="407034" h="842644">
                                <a:moveTo>
                                  <a:pt x="406907" y="0"/>
                                </a:moveTo>
                                <a:lnTo>
                                  <a:pt x="0" y="0"/>
                                </a:lnTo>
                                <a:lnTo>
                                  <a:pt x="0" y="842098"/>
                                </a:lnTo>
                                <a:lnTo>
                                  <a:pt x="406907" y="842098"/>
                                </a:lnTo>
                                <a:lnTo>
                                  <a:pt x="406907" y="0"/>
                                </a:lnTo>
                                <a:close/>
                              </a:path>
                            </a:pathLst>
                          </a:custGeom>
                          <a:solidFill>
                            <a:srgbClr val="4471C4"/>
                          </a:solidFill>
                        </wps:spPr>
                        <wps:bodyPr wrap="square" lIns="0" tIns="0" rIns="0" bIns="0" rtlCol="0">
                          <a:prstTxWarp prst="textNoShape">
                            <a:avLst/>
                          </a:prstTxWarp>
                          <a:noAutofit/>
                        </wps:bodyPr>
                      </wps:wsp>
                      <wps:wsp>
                        <wps:cNvPr id="581" name="Graphic 581"/>
                        <wps:cNvSpPr/>
                        <wps:spPr>
                          <a:xfrm>
                            <a:off x="2150818" y="1085849"/>
                            <a:ext cx="891540" cy="470534"/>
                          </a:xfrm>
                          <a:custGeom>
                            <a:avLst/>
                            <a:gdLst/>
                            <a:ahLst/>
                            <a:cxnLst/>
                            <a:rect l="l" t="t" r="r" b="b"/>
                            <a:pathLst>
                              <a:path w="891540" h="470534">
                                <a:moveTo>
                                  <a:pt x="0" y="470153"/>
                                </a:moveTo>
                                <a:lnTo>
                                  <a:pt x="891539" y="470153"/>
                                </a:lnTo>
                              </a:path>
                              <a:path w="891540" h="470534">
                                <a:moveTo>
                                  <a:pt x="0" y="235457"/>
                                </a:moveTo>
                                <a:lnTo>
                                  <a:pt x="891539" y="235457"/>
                                </a:lnTo>
                              </a:path>
                              <a:path w="891540" h="470534">
                                <a:moveTo>
                                  <a:pt x="0" y="0"/>
                                </a:moveTo>
                                <a:lnTo>
                                  <a:pt x="891539" y="0"/>
                                </a:lnTo>
                              </a:path>
                            </a:pathLst>
                          </a:custGeom>
                          <a:ln w="9525">
                            <a:solidFill>
                              <a:srgbClr val="D9D9D9"/>
                            </a:solidFill>
                            <a:prstDash val="solid"/>
                          </a:ln>
                        </wps:spPr>
                        <wps:bodyPr wrap="square" lIns="0" tIns="0" rIns="0" bIns="0" rtlCol="0">
                          <a:prstTxWarp prst="textNoShape">
                            <a:avLst/>
                          </a:prstTxWarp>
                          <a:noAutofit/>
                        </wps:bodyPr>
                      </wps:wsp>
                      <wps:wsp>
                        <wps:cNvPr id="582" name="Graphic 582"/>
                        <wps:cNvSpPr/>
                        <wps:spPr>
                          <a:xfrm>
                            <a:off x="1743910" y="948689"/>
                            <a:ext cx="407034" cy="842644"/>
                          </a:xfrm>
                          <a:custGeom>
                            <a:avLst/>
                            <a:gdLst/>
                            <a:ahLst/>
                            <a:cxnLst/>
                            <a:rect l="l" t="t" r="r" b="b"/>
                            <a:pathLst>
                              <a:path w="407034" h="842644">
                                <a:moveTo>
                                  <a:pt x="406908" y="0"/>
                                </a:moveTo>
                                <a:lnTo>
                                  <a:pt x="0" y="0"/>
                                </a:lnTo>
                                <a:lnTo>
                                  <a:pt x="0" y="842098"/>
                                </a:lnTo>
                                <a:lnTo>
                                  <a:pt x="406908" y="842098"/>
                                </a:lnTo>
                                <a:lnTo>
                                  <a:pt x="406908" y="0"/>
                                </a:lnTo>
                                <a:close/>
                              </a:path>
                            </a:pathLst>
                          </a:custGeom>
                          <a:solidFill>
                            <a:srgbClr val="4471C4"/>
                          </a:solidFill>
                        </wps:spPr>
                        <wps:bodyPr wrap="square" lIns="0" tIns="0" rIns="0" bIns="0" rtlCol="0">
                          <a:prstTxWarp prst="textNoShape">
                            <a:avLst/>
                          </a:prstTxWarp>
                          <a:noAutofit/>
                        </wps:bodyPr>
                      </wps:wsp>
                      <wps:wsp>
                        <wps:cNvPr id="583" name="Graphic 583"/>
                        <wps:cNvSpPr/>
                        <wps:spPr>
                          <a:xfrm>
                            <a:off x="0" y="146303"/>
                            <a:ext cx="3895090" cy="1409700"/>
                          </a:xfrm>
                          <a:custGeom>
                            <a:avLst/>
                            <a:gdLst/>
                            <a:ahLst/>
                            <a:cxnLst/>
                            <a:rect l="l" t="t" r="r" b="b"/>
                            <a:pathLst>
                              <a:path w="3895090" h="1409700">
                                <a:moveTo>
                                  <a:pt x="3449266" y="1409700"/>
                                </a:moveTo>
                                <a:lnTo>
                                  <a:pt x="3894874" y="1409700"/>
                                </a:lnTo>
                              </a:path>
                              <a:path w="3895090" h="1409700">
                                <a:moveTo>
                                  <a:pt x="3449266" y="1175003"/>
                                </a:moveTo>
                                <a:lnTo>
                                  <a:pt x="3894874" y="1175003"/>
                                </a:lnTo>
                              </a:path>
                              <a:path w="3895090" h="1409700">
                                <a:moveTo>
                                  <a:pt x="3449266" y="939546"/>
                                </a:moveTo>
                                <a:lnTo>
                                  <a:pt x="3894874" y="939546"/>
                                </a:lnTo>
                              </a:path>
                              <a:path w="3895090" h="1409700">
                                <a:moveTo>
                                  <a:pt x="0" y="704850"/>
                                </a:moveTo>
                                <a:lnTo>
                                  <a:pt x="3042358" y="704850"/>
                                </a:lnTo>
                              </a:path>
                              <a:path w="3895090" h="1409700">
                                <a:moveTo>
                                  <a:pt x="3449266" y="704850"/>
                                </a:moveTo>
                                <a:lnTo>
                                  <a:pt x="3894874" y="704850"/>
                                </a:lnTo>
                              </a:path>
                              <a:path w="3895090" h="1409700">
                                <a:moveTo>
                                  <a:pt x="0" y="470153"/>
                                </a:moveTo>
                                <a:lnTo>
                                  <a:pt x="3042358" y="470153"/>
                                </a:lnTo>
                              </a:path>
                              <a:path w="3895090" h="1409700">
                                <a:moveTo>
                                  <a:pt x="3449266" y="470153"/>
                                </a:moveTo>
                                <a:lnTo>
                                  <a:pt x="3894874" y="470153"/>
                                </a:lnTo>
                              </a:path>
                              <a:path w="3895090" h="1409700">
                                <a:moveTo>
                                  <a:pt x="0" y="234696"/>
                                </a:moveTo>
                                <a:lnTo>
                                  <a:pt x="3042358" y="234696"/>
                                </a:lnTo>
                              </a:path>
                              <a:path w="3895090" h="1409700">
                                <a:moveTo>
                                  <a:pt x="3449266" y="234696"/>
                                </a:moveTo>
                                <a:lnTo>
                                  <a:pt x="3894874" y="234696"/>
                                </a:lnTo>
                              </a:path>
                              <a:path w="3895090" h="1409700">
                                <a:moveTo>
                                  <a:pt x="0" y="0"/>
                                </a:moveTo>
                                <a:lnTo>
                                  <a:pt x="3042358" y="0"/>
                                </a:lnTo>
                              </a:path>
                              <a:path w="3895090" h="1409700">
                                <a:moveTo>
                                  <a:pt x="3449266" y="0"/>
                                </a:moveTo>
                                <a:lnTo>
                                  <a:pt x="3894874" y="0"/>
                                </a:lnTo>
                              </a:path>
                            </a:pathLst>
                          </a:custGeom>
                          <a:ln w="9525">
                            <a:solidFill>
                              <a:srgbClr val="D9D9D9"/>
                            </a:solidFill>
                            <a:prstDash val="solid"/>
                          </a:ln>
                        </wps:spPr>
                        <wps:bodyPr wrap="square" lIns="0" tIns="0" rIns="0" bIns="0" rtlCol="0">
                          <a:prstTxWarp prst="textNoShape">
                            <a:avLst/>
                          </a:prstTxWarp>
                          <a:noAutofit/>
                        </wps:bodyPr>
                      </wps:wsp>
                      <wps:wsp>
                        <wps:cNvPr id="584" name="Graphic 584"/>
                        <wps:cNvSpPr/>
                        <wps:spPr>
                          <a:xfrm>
                            <a:off x="3042358" y="0"/>
                            <a:ext cx="407034" cy="1791335"/>
                          </a:xfrm>
                          <a:custGeom>
                            <a:avLst/>
                            <a:gdLst/>
                            <a:ahLst/>
                            <a:cxnLst/>
                            <a:rect l="l" t="t" r="r" b="b"/>
                            <a:pathLst>
                              <a:path w="407034" h="1791335">
                                <a:moveTo>
                                  <a:pt x="406908" y="0"/>
                                </a:moveTo>
                                <a:lnTo>
                                  <a:pt x="0" y="0"/>
                                </a:lnTo>
                                <a:lnTo>
                                  <a:pt x="0" y="1790788"/>
                                </a:lnTo>
                                <a:lnTo>
                                  <a:pt x="406908" y="1790788"/>
                                </a:lnTo>
                                <a:lnTo>
                                  <a:pt x="406908" y="0"/>
                                </a:lnTo>
                                <a:close/>
                              </a:path>
                            </a:pathLst>
                          </a:custGeom>
                          <a:solidFill>
                            <a:srgbClr val="4471C4"/>
                          </a:solidFill>
                        </wps:spPr>
                        <wps:bodyPr wrap="square" lIns="0" tIns="0" rIns="0" bIns="0" rtlCol="0">
                          <a:prstTxWarp prst="textNoShape">
                            <a:avLst/>
                          </a:prstTxWarp>
                          <a:noAutofit/>
                        </wps:bodyPr>
                      </wps:wsp>
                      <wps:wsp>
                        <wps:cNvPr id="585" name="Graphic 585"/>
                        <wps:cNvSpPr/>
                        <wps:spPr>
                          <a:xfrm>
                            <a:off x="0" y="1790792"/>
                            <a:ext cx="3895090" cy="1270"/>
                          </a:xfrm>
                          <a:custGeom>
                            <a:avLst/>
                            <a:gdLst/>
                            <a:ahLst/>
                            <a:cxnLst/>
                            <a:rect l="l" t="t" r="r" b="b"/>
                            <a:pathLst>
                              <a:path w="3895090">
                                <a:moveTo>
                                  <a:pt x="0" y="0"/>
                                </a:moveTo>
                                <a:lnTo>
                                  <a:pt x="3894874"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id="Group 578" style="position:absolute;margin-left:164.55pt;margin-top:-146.2pt;width:306.7pt;height:141.4pt;z-index:15822848;mso-wrap-distance-left:0;mso-wrap-distance-right:0;mso-position-horizontal-relative:page" coordsize="38950,17957" o:spid="_x0000_s1026" w14:anchorId="4D23F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">
                <v:shape id="Graphic 579" style="position:absolute;top:10858;width:17443;height:4705;visibility:visible;mso-wrap-style:square;v-text-anchor:top" coordsize="1744345,470534" o:spid="_x0000_s1027" filled="f" strokecolor="#d9d9d9" path="m,470153r445462,em852370,470153r891540,em,235457r445462,em852370,235457r891540,em,l445462,em852370,r891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">
                  <v:path arrowok="t"/>
                </v:shape>
                <v:shape id="Graphic 580" style="position:absolute;left:4454;top:9486;width:4070;height:8427;visibility:visible;mso-wrap-style:square;v-text-anchor:top" coordsize="407034,842644" o:spid="_x0000_s1028" fillcolor="#4471c4" stroked="f" path="m406907,l,,,842098r406907,l4069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">
                  <v:path arrowok="t"/>
                </v:shape>
                <v:shape id="Graphic 581" style="position:absolute;left:21508;top:10858;width:8915;height:4705;visibility:visible;mso-wrap-style:square;v-text-anchor:top" coordsize="891540,470534" o:spid="_x0000_s1029" filled="f" strokecolor="#d9d9d9" path="m,470153r891539,em,235457r891539,em,l8915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">
                  <v:path arrowok="t"/>
                </v:shape>
                <v:shape id="Graphic 582" style="position:absolute;left:17439;top:9486;width:4070;height:8427;visibility:visible;mso-wrap-style:square;v-text-anchor:top" coordsize="407034,842644" o:spid="_x0000_s1030" fillcolor="#4471c4" stroked="f" path="m406908,l,,,842098r406908,l4069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">
                  <v:path arrowok="t"/>
                </v:shape>
                <v:shape id="Graphic 583" style="position:absolute;top:1463;width:38950;height:14097;visibility:visible;mso-wrap-style:square;v-text-anchor:top" coordsize="3895090,1409700" o:spid="_x0000_s1031" filled="f" strokecolor="#d9d9d9" path="m3449266,1409700r445608,em3449266,1175003r445608,em3449266,939546r445608,em,704850r3042358,em3449266,704850r445608,em,470153r3042358,em3449266,470153r445608,em,234696r3042358,em3449266,234696r445608,em,l3042358,em3449266,r4456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">
                  <v:path arrowok="t"/>
                </v:shape>
                <v:shape id="Graphic 584" style="position:absolute;left:30423;width:4070;height:17913;visibility:visible;mso-wrap-style:square;v-text-anchor:top" coordsize="407034,1791335" o:spid="_x0000_s1032" fillcolor="#4471c4" stroked="f" path="m406908,l,,,1790788r406908,l4069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">
                  <v:path arrowok="t"/>
                </v:shape>
                <v:shape id="Graphic 585" style="position:absolute;top:17907;width:38950;height:13;visibility:visible;mso-wrap-style:square;v-text-anchor:top" coordsize="3895090,1270" o:spid="_x0000_s1033" filled="f" strokecolor="#d9d9d9" path="m,l38948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">
                  <v:path arrowok="t"/>
                </v:shape>
                <w10:wrap anchorx="page"/>
              </v:group>
            </w:pict>
          </mc:Fallback>
        </mc:AlternateContent>
      </w:r>
      <w:r>
        <w:rPr>
          <w:sz w:val="18"/>
        </w:rPr>
        <w:t>CZ</w:t>
      </w:r>
      <w:r>
        <w:rPr>
          <w:spacing w:val="-2"/>
          <w:sz w:val="18"/>
        </w:rPr>
        <w:t xml:space="preserve"> </w:t>
      </w:r>
      <w:r>
        <w:rPr>
          <w:sz w:val="18"/>
        </w:rPr>
        <w:t>1,3,</w:t>
      </w:r>
      <w:r>
        <w:rPr>
          <w:spacing w:val="-1"/>
          <w:sz w:val="18"/>
        </w:rPr>
        <w:t xml:space="preserve"> </w:t>
      </w:r>
      <w:r>
        <w:rPr>
          <w:spacing w:val="-10"/>
          <w:sz w:val="18"/>
        </w:rPr>
        <w:t>5</w:t>
      </w:r>
      <w:r>
        <w:rPr>
          <w:sz w:val="18"/>
        </w:rPr>
        <w:tab/>
        <w:t>CZ</w:t>
      </w:r>
      <w:r>
        <w:rPr>
          <w:spacing w:val="-3"/>
          <w:sz w:val="18"/>
        </w:rPr>
        <w:t xml:space="preserve"> </w:t>
      </w:r>
      <w:r>
        <w:rPr>
          <w:sz w:val="18"/>
        </w:rPr>
        <w:t>4,</w:t>
      </w:r>
      <w:r>
        <w:rPr>
          <w:spacing w:val="-2"/>
          <w:sz w:val="18"/>
        </w:rPr>
        <w:t xml:space="preserve"> </w:t>
      </w:r>
      <w:r>
        <w:rPr>
          <w:sz w:val="18"/>
        </w:rPr>
        <w:t>8,</w:t>
      </w:r>
      <w:r>
        <w:rPr>
          <w:spacing w:val="-2"/>
          <w:sz w:val="18"/>
        </w:rPr>
        <w:t xml:space="preserve"> </w:t>
      </w:r>
      <w:r>
        <w:rPr>
          <w:sz w:val="18"/>
        </w:rPr>
        <w:t>9,</w:t>
      </w:r>
      <w:r>
        <w:rPr>
          <w:spacing w:val="-1"/>
          <w:sz w:val="18"/>
        </w:rPr>
        <w:t xml:space="preserve"> </w:t>
      </w:r>
      <w:r>
        <w:rPr>
          <w:sz w:val="18"/>
        </w:rPr>
        <w:t>10,</w:t>
      </w:r>
      <w:r>
        <w:rPr>
          <w:spacing w:val="-2"/>
          <w:sz w:val="18"/>
        </w:rPr>
        <w:t xml:space="preserve"> </w:t>
      </w:r>
      <w:r>
        <w:rPr>
          <w:sz w:val="18"/>
        </w:rPr>
        <w:t>12,</w:t>
      </w:r>
      <w:r>
        <w:rPr>
          <w:spacing w:val="-2"/>
          <w:sz w:val="18"/>
        </w:rPr>
        <w:t xml:space="preserve"> </w:t>
      </w:r>
      <w:r>
        <w:rPr>
          <w:sz w:val="18"/>
        </w:rPr>
        <w:t>13,</w:t>
      </w:r>
      <w:r>
        <w:rPr>
          <w:spacing w:val="-1"/>
          <w:sz w:val="18"/>
        </w:rPr>
        <w:t xml:space="preserve"> </w:t>
      </w:r>
      <w:r>
        <w:rPr>
          <w:spacing w:val="-5"/>
          <w:sz w:val="18"/>
        </w:rPr>
        <w:t>14,</w:t>
      </w:r>
    </w:p>
    <w:p w:rsidR="00C31389" w:rsidRDefault="00561FBD" w14:paraId="1BCCD872" w14:textId="77777777">
      <w:pPr>
        <w:ind w:left="2794"/>
        <w:rPr>
          <w:sz w:val="18"/>
        </w:rPr>
      </w:pPr>
      <w:r>
        <w:rPr>
          <w:spacing w:val="-5"/>
          <w:sz w:val="18"/>
        </w:rPr>
        <w:t>15</w:t>
      </w:r>
    </w:p>
    <w:p w:rsidR="00C31389" w:rsidRDefault="00561FBD" w14:paraId="1C984F0E" w14:textId="77777777">
      <w:pPr>
        <w:spacing w:before="156"/>
        <w:ind w:left="2437"/>
        <w:rPr>
          <w:sz w:val="20"/>
        </w:rPr>
      </w:pPr>
      <w:r>
        <w:rPr>
          <w:spacing w:val="-2"/>
          <w:sz w:val="20"/>
        </w:rPr>
        <w:t>Region</w:t>
      </w:r>
    </w:p>
    <w:p w:rsidR="00C31389" w:rsidRDefault="00561FBD" w14:paraId="1A1D840F" w14:textId="77777777">
      <w:pPr>
        <w:rPr>
          <w:sz w:val="20"/>
        </w:rPr>
      </w:pPr>
      <w:r>
        <w:br w:type="column"/>
      </w:r>
    </w:p>
    <w:p w:rsidR="00C31389" w:rsidRDefault="00C31389" w14:paraId="79600139" w14:textId="77777777">
      <w:pPr>
        <w:pStyle w:val="BodyText"/>
        <w:rPr>
          <w:sz w:val="20"/>
        </w:rPr>
      </w:pPr>
    </w:p>
    <w:p w:rsidR="00C31389" w:rsidRDefault="00C31389" w14:paraId="731BD660" w14:textId="77777777">
      <w:pPr>
        <w:pStyle w:val="BodyText"/>
        <w:rPr>
          <w:sz w:val="20"/>
        </w:rPr>
      </w:pPr>
    </w:p>
    <w:p w:rsidR="00C31389" w:rsidRDefault="00C31389" w14:paraId="0DFC05A8" w14:textId="77777777">
      <w:pPr>
        <w:pStyle w:val="BodyText"/>
        <w:rPr>
          <w:sz w:val="20"/>
        </w:rPr>
      </w:pPr>
    </w:p>
    <w:p w:rsidR="00C31389" w:rsidRDefault="00C31389" w14:paraId="1871BD59" w14:textId="77777777">
      <w:pPr>
        <w:pStyle w:val="BodyText"/>
        <w:rPr>
          <w:sz w:val="20"/>
        </w:rPr>
      </w:pPr>
    </w:p>
    <w:p w:rsidR="00C31389" w:rsidRDefault="00C31389" w14:paraId="5E79C577" w14:textId="77777777">
      <w:pPr>
        <w:pStyle w:val="BodyText"/>
        <w:rPr>
          <w:sz w:val="20"/>
        </w:rPr>
      </w:pPr>
    </w:p>
    <w:p w:rsidR="00C31389" w:rsidRDefault="00C31389" w14:paraId="009940AC" w14:textId="77777777">
      <w:pPr>
        <w:pStyle w:val="BodyText"/>
        <w:rPr>
          <w:sz w:val="20"/>
        </w:rPr>
      </w:pPr>
    </w:p>
    <w:p w:rsidR="00C31389" w:rsidRDefault="00C31389" w14:paraId="1252C32E" w14:textId="77777777">
      <w:pPr>
        <w:pStyle w:val="BodyText"/>
        <w:rPr>
          <w:sz w:val="20"/>
        </w:rPr>
      </w:pPr>
    </w:p>
    <w:p w:rsidR="00C31389" w:rsidRDefault="00C31389" w14:paraId="0C167423" w14:textId="77777777">
      <w:pPr>
        <w:pStyle w:val="BodyText"/>
        <w:rPr>
          <w:sz w:val="20"/>
        </w:rPr>
      </w:pPr>
    </w:p>
    <w:p w:rsidR="00C31389" w:rsidRDefault="00C31389" w14:paraId="54721913" w14:textId="77777777">
      <w:pPr>
        <w:pStyle w:val="BodyText"/>
        <w:rPr>
          <w:sz w:val="20"/>
        </w:rPr>
      </w:pPr>
    </w:p>
    <w:p w:rsidR="00C31389" w:rsidRDefault="00C31389" w14:paraId="3838D27F" w14:textId="77777777">
      <w:pPr>
        <w:pStyle w:val="BodyText"/>
        <w:rPr>
          <w:sz w:val="20"/>
        </w:rPr>
      </w:pPr>
    </w:p>
    <w:p w:rsidR="00C31389" w:rsidRDefault="00C31389" w14:paraId="76F0132C" w14:textId="77777777">
      <w:pPr>
        <w:pStyle w:val="BodyText"/>
        <w:rPr>
          <w:sz w:val="20"/>
        </w:rPr>
      </w:pPr>
    </w:p>
    <w:p w:rsidR="00C31389" w:rsidRDefault="00C31389" w14:paraId="731C724C" w14:textId="77777777">
      <w:pPr>
        <w:pStyle w:val="BodyText"/>
        <w:rPr>
          <w:sz w:val="20"/>
        </w:rPr>
      </w:pPr>
    </w:p>
    <w:p w:rsidR="00C31389" w:rsidRDefault="00C31389" w14:paraId="2559BC6E" w14:textId="77777777">
      <w:pPr>
        <w:pStyle w:val="BodyText"/>
        <w:rPr>
          <w:sz w:val="20"/>
        </w:rPr>
      </w:pPr>
    </w:p>
    <w:p w:rsidR="00C31389" w:rsidRDefault="00C31389" w14:paraId="7E9E944F" w14:textId="77777777">
      <w:pPr>
        <w:pStyle w:val="BodyText"/>
        <w:rPr>
          <w:sz w:val="20"/>
        </w:rPr>
      </w:pPr>
    </w:p>
    <w:p w:rsidR="00C31389" w:rsidRDefault="00C31389" w14:paraId="24AC9E6D" w14:textId="77777777">
      <w:pPr>
        <w:pStyle w:val="BodyText"/>
        <w:spacing w:before="5"/>
        <w:rPr>
          <w:sz w:val="16"/>
        </w:rPr>
      </w:pPr>
    </w:p>
    <w:p w:rsidR="00C31389" w:rsidRDefault="00561FBD" w14:paraId="0D467BAA" w14:textId="77777777">
      <w:pPr>
        <w:ind w:left="288"/>
        <w:rPr>
          <w:sz w:val="18"/>
        </w:rPr>
      </w:pPr>
      <w:r>
        <w:rPr>
          <w:sz w:val="18"/>
        </w:rPr>
        <w:t>CZ</w:t>
      </w:r>
      <w:r>
        <w:rPr>
          <w:spacing w:val="-1"/>
          <w:sz w:val="18"/>
        </w:rPr>
        <w:t xml:space="preserve"> </w:t>
      </w:r>
      <w:r>
        <w:rPr>
          <w:sz w:val="18"/>
        </w:rPr>
        <w:t>2,</w:t>
      </w:r>
      <w:r>
        <w:rPr>
          <w:spacing w:val="-2"/>
          <w:sz w:val="18"/>
        </w:rPr>
        <w:t xml:space="preserve"> </w:t>
      </w:r>
      <w:r>
        <w:rPr>
          <w:sz w:val="18"/>
        </w:rPr>
        <w:t>6,</w:t>
      </w:r>
      <w:r>
        <w:rPr>
          <w:spacing w:val="-1"/>
          <w:sz w:val="18"/>
        </w:rPr>
        <w:t xml:space="preserve"> </w:t>
      </w:r>
      <w:r>
        <w:rPr>
          <w:sz w:val="18"/>
        </w:rPr>
        <w:t>7,</w:t>
      </w:r>
      <w:r>
        <w:rPr>
          <w:spacing w:val="-2"/>
          <w:sz w:val="18"/>
        </w:rPr>
        <w:t xml:space="preserve"> </w:t>
      </w:r>
      <w:r>
        <w:rPr>
          <w:sz w:val="18"/>
        </w:rPr>
        <w:t>11,</w:t>
      </w:r>
      <w:r>
        <w:rPr>
          <w:spacing w:val="-1"/>
          <w:sz w:val="18"/>
        </w:rPr>
        <w:t xml:space="preserve"> </w:t>
      </w:r>
      <w:r>
        <w:rPr>
          <w:spacing w:val="-5"/>
          <w:sz w:val="18"/>
        </w:rPr>
        <w:t>16</w:t>
      </w:r>
    </w:p>
    <w:p w:rsidR="00C31389" w:rsidRDefault="00C31389" w14:paraId="6402E7D8" w14:textId="77777777">
      <w:pPr>
        <w:rPr>
          <w:sz w:val="18"/>
        </w:rPr>
        <w:sectPr w:rsidR="00C31389">
          <w:type w:val="continuous"/>
          <w:pgSz w:w="11910" w:h="16840"/>
          <w:pgMar w:top="0" w:right="1020" w:bottom="280" w:left="960" w:header="397" w:footer="938" w:gutter="0"/>
          <w:cols w:equalWidth="0" w:space="720" w:num="3">
            <w:col w:w="2217" w:space="286"/>
            <w:col w:w="3916" w:space="40"/>
            <w:col w:w="3471"/>
          </w:cols>
        </w:sectPr>
      </w:pPr>
    </w:p>
    <w:p w:rsidR="00C31389" w:rsidRDefault="00561FBD" w14:paraId="5E85476C" w14:textId="77777777">
      <w:pPr>
        <w:spacing w:before="59"/>
        <w:ind w:left="480"/>
        <w:rPr>
          <w:i/>
          <w:sz w:val="18"/>
        </w:rPr>
      </w:pPr>
      <w:r>
        <w:rPr>
          <w:i/>
          <w:sz w:val="18"/>
        </w:rPr>
        <w:t>Source:</w:t>
      </w:r>
      <w:r>
        <w:rPr>
          <w:i/>
          <w:spacing w:val="-3"/>
          <w:sz w:val="18"/>
        </w:rPr>
        <w:t xml:space="preserve"> </w:t>
      </w:r>
      <w:r>
        <w:rPr>
          <w:i/>
          <w:sz w:val="18"/>
        </w:rPr>
        <w:t>Tierra</w:t>
      </w:r>
      <w:r>
        <w:rPr>
          <w:i/>
          <w:spacing w:val="-3"/>
          <w:sz w:val="18"/>
        </w:rPr>
        <w:t xml:space="preserve"> </w:t>
      </w:r>
      <w:r>
        <w:rPr>
          <w:i/>
          <w:sz w:val="18"/>
        </w:rPr>
        <w:t>Resource</w:t>
      </w:r>
      <w:r>
        <w:rPr>
          <w:i/>
          <w:spacing w:val="-3"/>
          <w:sz w:val="18"/>
        </w:rPr>
        <w:t xml:space="preserve"> </w:t>
      </w:r>
      <w:r>
        <w:rPr>
          <w:i/>
          <w:spacing w:val="-2"/>
          <w:sz w:val="18"/>
        </w:rPr>
        <w:t>Consultants</w:t>
      </w:r>
    </w:p>
    <w:p w:rsidR="00C31389" w:rsidRDefault="00C31389" w14:paraId="3A11E109" w14:textId="77777777">
      <w:pPr>
        <w:pStyle w:val="BodyText"/>
        <w:spacing w:before="9"/>
        <w:rPr>
          <w:i/>
          <w:sz w:val="20"/>
        </w:rPr>
      </w:pPr>
    </w:p>
    <w:p w:rsidR="00C31389" w:rsidRDefault="00561FBD" w14:paraId="5AF2F833" w14:textId="77777777">
      <w:pPr>
        <w:pStyle w:val="BodyText"/>
        <w:ind w:left="480" w:right="418"/>
      </w:pPr>
      <w:hyperlink w:history="1" w:anchor="_bookmark260">
        <w:r>
          <w:t>Table</w:t>
        </w:r>
        <w:r>
          <w:rPr>
            <w:spacing w:val="-3"/>
          </w:rPr>
          <w:t xml:space="preserve"> </w:t>
        </w:r>
        <w:r>
          <w:t>B-8.</w:t>
        </w:r>
      </w:hyperlink>
      <w:r>
        <w:rPr>
          <w:spacing w:val="-3"/>
        </w:rPr>
        <w:t xml:space="preserve"> </w:t>
      </w:r>
      <w:r>
        <w:t>maps</w:t>
      </w:r>
      <w:r>
        <w:rPr>
          <w:spacing w:val="-3"/>
        </w:rPr>
        <w:t xml:space="preserve"> </w:t>
      </w:r>
      <w:r>
        <w:t>the</w:t>
      </w:r>
      <w:r>
        <w:rPr>
          <w:spacing w:val="-3"/>
        </w:rPr>
        <w:t xml:space="preserve"> </w:t>
      </w:r>
      <w:r>
        <w:t>percentage</w:t>
      </w:r>
      <w:r>
        <w:rPr>
          <w:spacing w:val="-3"/>
        </w:rPr>
        <w:t xml:space="preserve"> </w:t>
      </w:r>
      <w:r>
        <w:t>of</w:t>
      </w:r>
      <w:r>
        <w:rPr>
          <w:spacing w:val="-4"/>
        </w:rPr>
        <w:t xml:space="preserve"> </w:t>
      </w:r>
      <w:r>
        <w:t>system</w:t>
      </w:r>
      <w:r>
        <w:rPr>
          <w:spacing w:val="-4"/>
        </w:rPr>
        <w:t xml:space="preserve"> </w:t>
      </w:r>
      <w:r>
        <w:t>versus</w:t>
      </w:r>
      <w:r>
        <w:rPr>
          <w:spacing w:val="-3"/>
        </w:rPr>
        <w:t xml:space="preserve"> </w:t>
      </w:r>
      <w:r>
        <w:t>component</w:t>
      </w:r>
      <w:r>
        <w:rPr>
          <w:spacing w:val="-3"/>
        </w:rPr>
        <w:t xml:space="preserve"> </w:t>
      </w:r>
      <w:r>
        <w:t>replacements</w:t>
      </w:r>
      <w:r>
        <w:rPr>
          <w:spacing w:val="-3"/>
        </w:rPr>
        <w:t xml:space="preserve"> </w:t>
      </w:r>
      <w:r>
        <w:t>discussed</w:t>
      </w:r>
      <w:r>
        <w:rPr>
          <w:spacing w:val="-3"/>
        </w:rPr>
        <w:t xml:space="preserve"> </w:t>
      </w:r>
      <w:r>
        <w:t>in</w:t>
      </w:r>
      <w:r>
        <w:rPr>
          <w:spacing w:val="-3"/>
        </w:rPr>
        <w:t xml:space="preserve"> </w:t>
      </w:r>
      <w:r>
        <w:t>the previous tables and figures to the climate regions analyzed in the 2021 Study.</w:t>
      </w:r>
    </w:p>
    <w:p w:rsidR="00C31389" w:rsidRDefault="00C31389" w14:paraId="3628A5E1" w14:textId="77777777">
      <w:pPr>
        <w:pStyle w:val="BodyText"/>
        <w:spacing w:before="10"/>
        <w:rPr>
          <w:sz w:val="20"/>
        </w:rPr>
      </w:pPr>
    </w:p>
    <w:p w:rsidR="00C31389" w:rsidRDefault="00561FBD" w14:paraId="50706B0D" w14:textId="77777777">
      <w:pPr>
        <w:pStyle w:val="Heading7"/>
        <w:spacing w:before="1"/>
        <w:ind w:left="4620" w:right="418" w:hanging="4071"/>
      </w:pPr>
      <w:bookmarkStart w:name="_bookmark260" w:id="346"/>
      <w:bookmarkEnd w:id="346"/>
      <w:r>
        <w:t>Table</w:t>
      </w:r>
      <w:r>
        <w:rPr>
          <w:spacing w:val="-3"/>
        </w:rPr>
        <w:t xml:space="preserve"> </w:t>
      </w:r>
      <w:r>
        <w:t>B-8.</w:t>
      </w:r>
      <w:r>
        <w:rPr>
          <w:spacing w:val="-4"/>
        </w:rPr>
        <w:t xml:space="preserve"> </w:t>
      </w:r>
      <w:r>
        <w:t>System</w:t>
      </w:r>
      <w:r>
        <w:rPr>
          <w:spacing w:val="-3"/>
        </w:rPr>
        <w:t xml:space="preserve"> </w:t>
      </w:r>
      <w:r>
        <w:t>vs.</w:t>
      </w:r>
      <w:r>
        <w:rPr>
          <w:spacing w:val="-3"/>
        </w:rPr>
        <w:t xml:space="preserve"> </w:t>
      </w:r>
      <w:r>
        <w:t>Component</w:t>
      </w:r>
      <w:r>
        <w:rPr>
          <w:spacing w:val="-3"/>
        </w:rPr>
        <w:t xml:space="preserve"> </w:t>
      </w:r>
      <w:r>
        <w:t>Replacements</w:t>
      </w:r>
      <w:r>
        <w:rPr>
          <w:spacing w:val="-3"/>
        </w:rPr>
        <w:t xml:space="preserve"> </w:t>
      </w:r>
      <w:r>
        <w:t>for</w:t>
      </w:r>
      <w:r>
        <w:rPr>
          <w:spacing w:val="-4"/>
        </w:rPr>
        <w:t xml:space="preserve"> </w:t>
      </w:r>
      <w:r>
        <w:t>Residential</w:t>
      </w:r>
      <w:r>
        <w:rPr>
          <w:spacing w:val="-3"/>
        </w:rPr>
        <w:t xml:space="preserve"> </w:t>
      </w:r>
      <w:r>
        <w:t>HV</w:t>
      </w:r>
      <w:r>
        <w:t>AC</w:t>
      </w:r>
      <w:r>
        <w:rPr>
          <w:spacing w:val="-4"/>
        </w:rPr>
        <w:t xml:space="preserve"> </w:t>
      </w:r>
      <w:r>
        <w:t>FS</w:t>
      </w:r>
      <w:r>
        <w:rPr>
          <w:spacing w:val="-3"/>
        </w:rPr>
        <w:t xml:space="preserve"> </w:t>
      </w:r>
      <w:r>
        <w:t>by</w:t>
      </w:r>
      <w:r>
        <w:rPr>
          <w:spacing w:val="-3"/>
        </w:rPr>
        <w:t xml:space="preserve"> </w:t>
      </w:r>
      <w:r>
        <w:t xml:space="preserve">Climate </w:t>
      </w:r>
      <w:r>
        <w:rPr>
          <w:spacing w:val="-2"/>
        </w:rPr>
        <w:t>Region</w:t>
      </w:r>
    </w:p>
    <w:p w:rsidR="00C31389" w:rsidRDefault="00C31389" w14:paraId="03C7A20D" w14:textId="77777777">
      <w:pPr>
        <w:pStyle w:val="BodyText"/>
        <w:spacing w:before="7"/>
        <w:rPr>
          <w:b/>
          <w:sz w:val="9"/>
        </w:rPr>
      </w:pPr>
    </w:p>
    <w:tbl>
      <w:tblPr>
        <w:tblW w:w="0" w:type="auto"/>
        <w:tblInd w:w="479" w:type="dxa"/>
        <w:tblLayout w:type="fixed"/>
        <w:tblCellMar>
          <w:left w:w="0" w:type="dxa"/>
          <w:right w:w="0" w:type="dxa"/>
        </w:tblCellMar>
        <w:tblLook w:val="01E0" w:firstRow="1" w:lastRow="1" w:firstColumn="1" w:lastColumn="1" w:noHBand="0" w:noVBand="0"/>
      </w:tblPr>
      <w:tblGrid>
        <w:gridCol w:w="2519"/>
        <w:gridCol w:w="3407"/>
        <w:gridCol w:w="3109"/>
      </w:tblGrid>
      <w:tr w:rsidR="00C31389" w14:paraId="7C937765" w14:textId="77777777">
        <w:trPr>
          <w:trHeight w:val="333"/>
        </w:trPr>
        <w:tc>
          <w:tcPr>
            <w:tcW w:w="2519" w:type="dxa"/>
            <w:shd w:val="clear" w:color="auto" w:fill="92D400"/>
          </w:tcPr>
          <w:p w:rsidR="00C31389" w:rsidRDefault="00561FBD" w14:paraId="1CA07569" w14:textId="77777777">
            <w:pPr>
              <w:pStyle w:val="TableParagraph"/>
              <w:spacing w:before="47"/>
              <w:ind w:left="123"/>
              <w:rPr>
                <w:b/>
                <w:sz w:val="20"/>
              </w:rPr>
            </w:pPr>
            <w:r>
              <w:rPr>
                <w:b/>
                <w:sz w:val="20"/>
              </w:rPr>
              <w:t>Climate</w:t>
            </w:r>
            <w:r>
              <w:rPr>
                <w:b/>
                <w:spacing w:val="-7"/>
                <w:sz w:val="20"/>
              </w:rPr>
              <w:t xml:space="preserve"> </w:t>
            </w:r>
            <w:r>
              <w:rPr>
                <w:b/>
                <w:spacing w:val="-2"/>
                <w:sz w:val="20"/>
              </w:rPr>
              <w:t>Region</w:t>
            </w:r>
          </w:p>
        </w:tc>
        <w:tc>
          <w:tcPr>
            <w:tcW w:w="3407" w:type="dxa"/>
            <w:shd w:val="clear" w:color="auto" w:fill="92D400"/>
          </w:tcPr>
          <w:p w:rsidR="00C31389" w:rsidRDefault="00561FBD" w14:paraId="52C508D2" w14:textId="77777777">
            <w:pPr>
              <w:pStyle w:val="TableParagraph"/>
              <w:spacing w:before="47"/>
              <w:ind w:left="932" w:right="337"/>
              <w:jc w:val="center"/>
              <w:rPr>
                <w:b/>
                <w:sz w:val="20"/>
              </w:rPr>
            </w:pPr>
            <w:r>
              <w:rPr>
                <w:b/>
                <w:sz w:val="20"/>
              </w:rPr>
              <w:t>System</w:t>
            </w:r>
            <w:r>
              <w:rPr>
                <w:b/>
                <w:spacing w:val="-3"/>
                <w:sz w:val="20"/>
              </w:rPr>
              <w:t xml:space="preserve"> </w:t>
            </w:r>
            <w:r>
              <w:rPr>
                <w:b/>
                <w:spacing w:val="-2"/>
                <w:sz w:val="20"/>
              </w:rPr>
              <w:t>Replacements</w:t>
            </w:r>
          </w:p>
        </w:tc>
        <w:tc>
          <w:tcPr>
            <w:tcW w:w="3109" w:type="dxa"/>
            <w:shd w:val="clear" w:color="auto" w:fill="92D400"/>
          </w:tcPr>
          <w:p w:rsidR="00C31389" w:rsidRDefault="00561FBD" w14:paraId="6BF04BA9" w14:textId="77777777">
            <w:pPr>
              <w:pStyle w:val="TableParagraph"/>
              <w:spacing w:before="47"/>
              <w:ind w:left="337" w:right="238"/>
              <w:jc w:val="center"/>
              <w:rPr>
                <w:b/>
                <w:sz w:val="20"/>
              </w:rPr>
            </w:pPr>
            <w:r>
              <w:rPr>
                <w:b/>
                <w:sz w:val="20"/>
              </w:rPr>
              <w:t>Component</w:t>
            </w:r>
            <w:r>
              <w:rPr>
                <w:b/>
                <w:spacing w:val="-6"/>
                <w:sz w:val="20"/>
              </w:rPr>
              <w:t xml:space="preserve"> </w:t>
            </w:r>
            <w:r>
              <w:rPr>
                <w:b/>
                <w:spacing w:val="-2"/>
                <w:sz w:val="20"/>
              </w:rPr>
              <w:t>Replacements</w:t>
            </w:r>
          </w:p>
        </w:tc>
      </w:tr>
      <w:tr w:rsidR="00C31389" w14:paraId="530A087D" w14:textId="77777777">
        <w:trPr>
          <w:trHeight w:val="1119"/>
        </w:trPr>
        <w:tc>
          <w:tcPr>
            <w:tcW w:w="2519" w:type="dxa"/>
            <w:tcBorders>
              <w:bottom w:val="single" w:color="D9D9D9" w:sz="2" w:space="0"/>
            </w:tcBorders>
          </w:tcPr>
          <w:p w:rsidR="00C31389" w:rsidRDefault="00561FBD" w14:paraId="40585833" w14:textId="77777777">
            <w:pPr>
              <w:pStyle w:val="TableParagraph"/>
              <w:spacing w:before="0" w:line="270" w:lineRule="atLeast"/>
              <w:ind w:left="123" w:right="938"/>
              <w:rPr>
                <w:sz w:val="20"/>
              </w:rPr>
            </w:pPr>
            <w:r>
              <w:rPr>
                <w:spacing w:val="-2"/>
                <w:sz w:val="20"/>
              </w:rPr>
              <w:t>SCE-Marine SCG-Marine SDG&amp;E-Marine SDG&amp;E-Hot-Dry</w:t>
            </w:r>
          </w:p>
        </w:tc>
        <w:tc>
          <w:tcPr>
            <w:tcW w:w="3407" w:type="dxa"/>
            <w:tcBorders>
              <w:bottom w:val="single" w:color="D9D9D9" w:sz="2" w:space="0"/>
            </w:tcBorders>
          </w:tcPr>
          <w:p w:rsidR="00C31389" w:rsidRDefault="00C31389" w14:paraId="183C75C5" w14:textId="77777777">
            <w:pPr>
              <w:pStyle w:val="TableParagraph"/>
              <w:spacing w:before="0"/>
              <w:rPr>
                <w:b/>
              </w:rPr>
            </w:pPr>
          </w:p>
          <w:p w:rsidR="00C31389" w:rsidRDefault="00561FBD" w14:paraId="627EC6DA" w14:textId="77777777">
            <w:pPr>
              <w:pStyle w:val="TableParagraph"/>
              <w:spacing w:before="191"/>
              <w:ind w:left="932" w:right="337"/>
              <w:jc w:val="center"/>
              <w:rPr>
                <w:sz w:val="20"/>
              </w:rPr>
            </w:pPr>
            <w:r>
              <w:rPr>
                <w:spacing w:val="-5"/>
                <w:sz w:val="20"/>
              </w:rPr>
              <w:t>76%</w:t>
            </w:r>
          </w:p>
        </w:tc>
        <w:tc>
          <w:tcPr>
            <w:tcW w:w="3109" w:type="dxa"/>
            <w:tcBorders>
              <w:bottom w:val="single" w:color="D9D9D9" w:sz="2" w:space="0"/>
            </w:tcBorders>
          </w:tcPr>
          <w:p w:rsidR="00C31389" w:rsidRDefault="00C31389" w14:paraId="349F938E" w14:textId="77777777">
            <w:pPr>
              <w:pStyle w:val="TableParagraph"/>
              <w:spacing w:before="0"/>
              <w:rPr>
                <w:b/>
              </w:rPr>
            </w:pPr>
          </w:p>
          <w:p w:rsidR="00C31389" w:rsidRDefault="00561FBD" w14:paraId="68EC79D0" w14:textId="77777777">
            <w:pPr>
              <w:pStyle w:val="TableParagraph"/>
              <w:spacing w:before="191"/>
              <w:ind w:left="337" w:right="238"/>
              <w:jc w:val="center"/>
              <w:rPr>
                <w:sz w:val="20"/>
              </w:rPr>
            </w:pPr>
            <w:r>
              <w:rPr>
                <w:spacing w:val="-5"/>
                <w:sz w:val="20"/>
              </w:rPr>
              <w:t>24%</w:t>
            </w:r>
          </w:p>
        </w:tc>
      </w:tr>
      <w:tr w:rsidR="00C31389" w14:paraId="75B75728" w14:textId="77777777">
        <w:trPr>
          <w:trHeight w:val="310"/>
        </w:trPr>
        <w:tc>
          <w:tcPr>
            <w:tcW w:w="2519" w:type="dxa"/>
            <w:tcBorders>
              <w:top w:val="single" w:color="D9D9D9" w:sz="2" w:space="0"/>
              <w:bottom w:val="single" w:color="000000" w:sz="8" w:space="0"/>
            </w:tcBorders>
          </w:tcPr>
          <w:p w:rsidR="00C31389" w:rsidRDefault="00561FBD" w14:paraId="42F47AC7" w14:textId="77777777">
            <w:pPr>
              <w:pStyle w:val="TableParagraph"/>
              <w:ind w:left="123"/>
              <w:rPr>
                <w:sz w:val="20"/>
              </w:rPr>
            </w:pPr>
            <w:r>
              <w:rPr>
                <w:sz w:val="20"/>
              </w:rPr>
              <w:t>All</w:t>
            </w:r>
            <w:r>
              <w:rPr>
                <w:spacing w:val="-3"/>
                <w:sz w:val="20"/>
              </w:rPr>
              <w:t xml:space="preserve"> </w:t>
            </w:r>
            <w:r>
              <w:rPr>
                <w:spacing w:val="-2"/>
                <w:sz w:val="20"/>
              </w:rPr>
              <w:t>others</w:t>
            </w:r>
          </w:p>
        </w:tc>
        <w:tc>
          <w:tcPr>
            <w:tcW w:w="3407" w:type="dxa"/>
            <w:tcBorders>
              <w:top w:val="single" w:color="D9D9D9" w:sz="2" w:space="0"/>
              <w:bottom w:val="single" w:color="000000" w:sz="8" w:space="0"/>
            </w:tcBorders>
          </w:tcPr>
          <w:p w:rsidR="00C31389" w:rsidRDefault="00561FBD" w14:paraId="3816F631" w14:textId="77777777">
            <w:pPr>
              <w:pStyle w:val="TableParagraph"/>
              <w:ind w:left="932" w:right="337"/>
              <w:jc w:val="center"/>
              <w:rPr>
                <w:sz w:val="20"/>
              </w:rPr>
            </w:pPr>
            <w:r>
              <w:rPr>
                <w:spacing w:val="-5"/>
                <w:sz w:val="20"/>
              </w:rPr>
              <w:t>36%</w:t>
            </w:r>
          </w:p>
        </w:tc>
        <w:tc>
          <w:tcPr>
            <w:tcW w:w="3109" w:type="dxa"/>
            <w:tcBorders>
              <w:top w:val="single" w:color="D9D9D9" w:sz="2" w:space="0"/>
              <w:bottom w:val="single" w:color="000000" w:sz="8" w:space="0"/>
            </w:tcBorders>
          </w:tcPr>
          <w:p w:rsidR="00C31389" w:rsidRDefault="00561FBD" w14:paraId="63EF7DBB" w14:textId="77777777">
            <w:pPr>
              <w:pStyle w:val="TableParagraph"/>
              <w:ind w:left="337" w:right="238"/>
              <w:jc w:val="center"/>
              <w:rPr>
                <w:sz w:val="20"/>
              </w:rPr>
            </w:pPr>
            <w:r>
              <w:rPr>
                <w:spacing w:val="-5"/>
                <w:sz w:val="20"/>
              </w:rPr>
              <w:t>64%</w:t>
            </w:r>
          </w:p>
        </w:tc>
      </w:tr>
    </w:tbl>
    <w:p w:rsidR="00C31389" w:rsidRDefault="00561FBD" w14:paraId="15978CC6" w14:textId="77777777">
      <w:pPr>
        <w:spacing w:before="71"/>
        <w:ind w:left="530"/>
        <w:rPr>
          <w:i/>
          <w:sz w:val="18"/>
        </w:rPr>
      </w:pPr>
      <w:r>
        <w:rPr>
          <w:i/>
          <w:sz w:val="18"/>
        </w:rPr>
        <w:t>Source:</w:t>
      </w:r>
      <w:r>
        <w:rPr>
          <w:i/>
          <w:spacing w:val="-4"/>
          <w:sz w:val="18"/>
        </w:rPr>
        <w:t xml:space="preserve"> </w:t>
      </w:r>
      <w:r>
        <w:rPr>
          <w:i/>
          <w:spacing w:val="-2"/>
          <w:sz w:val="18"/>
        </w:rPr>
        <w:t>Guidehouse</w:t>
      </w:r>
    </w:p>
    <w:p w:rsidR="00C31389" w:rsidRDefault="00C31389" w14:paraId="7200497D" w14:textId="77777777">
      <w:pPr>
        <w:pStyle w:val="BodyText"/>
        <w:spacing w:before="10"/>
        <w:rPr>
          <w:i/>
          <w:sz w:val="20"/>
        </w:rPr>
      </w:pPr>
    </w:p>
    <w:p w:rsidR="00C31389" w:rsidRDefault="00561FBD" w14:paraId="10103E25" w14:textId="77777777">
      <w:pPr>
        <w:pStyle w:val="BodyText"/>
        <w:ind w:left="480" w:right="430"/>
      </w:pPr>
      <w:r>
        <w:t xml:space="preserve">These percentages influenced the density of the residential HVAC technology groups. The technology group that consists of a heat pump replacing the furnace and AC combination (shown in </w:t>
      </w:r>
      <w:hyperlink w:history="1" w:anchor="_bookmark247">
        <w:r>
          <w:t>Table B-2.</w:t>
        </w:r>
      </w:hyperlink>
      <w:r>
        <w:t>) would apply to all households with both a furnace and an AC</w:t>
      </w:r>
      <w:r>
        <w:rPr>
          <w:spacing w:val="40"/>
        </w:rPr>
        <w:t xml:space="preserve"> </w:t>
      </w:r>
      <w:r>
        <w:t>multiplied by the percentage of households undergoing whole system replacements (shown in</w:t>
      </w:r>
      <w:r>
        <w:rPr>
          <w:spacing w:val="-3"/>
        </w:rPr>
        <w:t xml:space="preserve"> </w:t>
      </w:r>
      <w:hyperlink w:history="1" w:anchor="_bookmark260">
        <w:r>
          <w:t>Table</w:t>
        </w:r>
        <w:r>
          <w:rPr>
            <w:spacing w:val="-3"/>
          </w:rPr>
          <w:t xml:space="preserve"> </w:t>
        </w:r>
        <w:r>
          <w:t>B-8.</w:t>
        </w:r>
      </w:hyperlink>
      <w:r>
        <w:t>—e.g.,</w:t>
      </w:r>
      <w:r>
        <w:rPr>
          <w:spacing w:val="-3"/>
        </w:rPr>
        <w:t xml:space="preserve"> </w:t>
      </w:r>
      <w:r>
        <w:t>76%</w:t>
      </w:r>
      <w:r>
        <w:rPr>
          <w:spacing w:val="-3"/>
        </w:rPr>
        <w:t xml:space="preserve"> </w:t>
      </w:r>
      <w:r>
        <w:t>in</w:t>
      </w:r>
      <w:r>
        <w:rPr>
          <w:spacing w:val="-3"/>
        </w:rPr>
        <w:t xml:space="preserve"> </w:t>
      </w:r>
      <w:r>
        <w:t>the</w:t>
      </w:r>
      <w:r>
        <w:rPr>
          <w:spacing w:val="-3"/>
        </w:rPr>
        <w:t xml:space="preserve"> </w:t>
      </w:r>
      <w:r>
        <w:t>SDG&amp;E-Marine</w:t>
      </w:r>
      <w:r>
        <w:rPr>
          <w:spacing w:val="-3"/>
        </w:rPr>
        <w:t xml:space="preserve"> </w:t>
      </w:r>
      <w:r>
        <w:t>climate</w:t>
      </w:r>
      <w:r>
        <w:rPr>
          <w:spacing w:val="-3"/>
        </w:rPr>
        <w:t xml:space="preserve"> </w:t>
      </w:r>
      <w:r>
        <w:t>region).</w:t>
      </w:r>
      <w:r>
        <w:rPr>
          <w:spacing w:val="-3"/>
        </w:rPr>
        <w:t xml:space="preserve"> </w:t>
      </w:r>
      <w:r>
        <w:t>The</w:t>
      </w:r>
      <w:r>
        <w:rPr>
          <w:spacing w:val="-3"/>
        </w:rPr>
        <w:t xml:space="preserve"> </w:t>
      </w:r>
      <w:r>
        <w:t>remaining</w:t>
      </w:r>
      <w:r>
        <w:rPr>
          <w:spacing w:val="-3"/>
        </w:rPr>
        <w:t xml:space="preserve"> </w:t>
      </w:r>
      <w:r>
        <w:t>percentage</w:t>
      </w:r>
      <w:r>
        <w:rPr>
          <w:spacing w:val="-2"/>
        </w:rPr>
        <w:t xml:space="preserve"> </w:t>
      </w:r>
      <w:r>
        <w:t>of households would undergo component replacements; the components are characterized separately in furnace only or AC-only technology groups.</w:t>
      </w:r>
    </w:p>
    <w:p w:rsidR="00C31389" w:rsidRDefault="00C31389" w14:paraId="5A2CBD20" w14:textId="77777777">
      <w:pPr>
        <w:pStyle w:val="BodyText"/>
        <w:spacing w:before="9"/>
        <w:rPr>
          <w:sz w:val="20"/>
        </w:rPr>
      </w:pPr>
    </w:p>
    <w:p w:rsidR="00C31389" w:rsidRDefault="00561FBD" w14:paraId="01604A7F" w14:textId="77777777">
      <w:pPr>
        <w:pStyle w:val="BodyText"/>
        <w:ind w:left="480" w:right="438"/>
      </w:pPr>
      <w:r>
        <w:t>In this approach, the furnace only technology group is sep</w:t>
      </w:r>
      <w:r>
        <w:t>arate from the furnace only fuel sub technology group. The latter applies in cases where homes have a gas furnace but no AC. For homes with a gas furnace only, the electric heat pump competes with the efficient gas</w:t>
      </w:r>
      <w:r>
        <w:rPr>
          <w:spacing w:val="-3"/>
        </w:rPr>
        <w:t xml:space="preserve"> </w:t>
      </w:r>
      <w:r>
        <w:t>appliance.</w:t>
      </w:r>
      <w:r>
        <w:rPr>
          <w:spacing w:val="-3"/>
        </w:rPr>
        <w:t xml:space="preserve"> </w:t>
      </w:r>
      <w:r>
        <w:t>Although</w:t>
      </w:r>
      <w:r>
        <w:rPr>
          <w:spacing w:val="-4"/>
        </w:rPr>
        <w:t xml:space="preserve"> </w:t>
      </w:r>
      <w:r>
        <w:t>a</w:t>
      </w:r>
      <w:r>
        <w:rPr>
          <w:spacing w:val="-3"/>
        </w:rPr>
        <w:t xml:space="preserve"> </w:t>
      </w:r>
      <w:r>
        <w:t>heat</w:t>
      </w:r>
      <w:r>
        <w:rPr>
          <w:spacing w:val="-3"/>
        </w:rPr>
        <w:t xml:space="preserve"> </w:t>
      </w:r>
      <w:r>
        <w:t>pump</w:t>
      </w:r>
      <w:r>
        <w:rPr>
          <w:spacing w:val="-3"/>
        </w:rPr>
        <w:t xml:space="preserve"> </w:t>
      </w:r>
      <w:r>
        <w:t>provides</w:t>
      </w:r>
      <w:r>
        <w:rPr>
          <w:spacing w:val="-3"/>
        </w:rPr>
        <w:t xml:space="preserve"> </w:t>
      </w:r>
      <w:r>
        <w:t>heating</w:t>
      </w:r>
      <w:r>
        <w:rPr>
          <w:spacing w:val="-3"/>
        </w:rPr>
        <w:t xml:space="preserve"> </w:t>
      </w:r>
      <w:r>
        <w:t>and</w:t>
      </w:r>
      <w:r>
        <w:rPr>
          <w:spacing w:val="-3"/>
        </w:rPr>
        <w:t xml:space="preserve"> </w:t>
      </w:r>
      <w:r>
        <w:t>cooling,</w:t>
      </w:r>
      <w:r>
        <w:rPr>
          <w:spacing w:val="-2"/>
        </w:rPr>
        <w:t xml:space="preserve"> </w:t>
      </w:r>
      <w:r>
        <w:t>introducing</w:t>
      </w:r>
      <w:r>
        <w:rPr>
          <w:spacing w:val="-3"/>
        </w:rPr>
        <w:t xml:space="preserve"> </w:t>
      </w:r>
      <w:r>
        <w:t>an</w:t>
      </w:r>
      <w:r>
        <w:rPr>
          <w:spacing w:val="-3"/>
        </w:rPr>
        <w:t xml:space="preserve"> </w:t>
      </w:r>
      <w:r>
        <w:t>additional cooling load where there was none before, per guidance from the CPUC, the team only considered the heating energy from the heat pump when comparing energy use across the</w:t>
      </w:r>
    </w:p>
    <w:p w:rsidR="00C31389" w:rsidRDefault="00C31389" w14:paraId="6616A3C1" w14:textId="77777777">
      <w:pPr>
        <w:sectPr w:rsidR="00C31389">
          <w:type w:val="continuous"/>
          <w:pgSz w:w="11910" w:h="16840"/>
          <w:pgMar w:top="0" w:right="1020" w:bottom="280" w:left="960" w:header="397" w:footer="938" w:gutter="0"/>
          <w:cols w:space="720"/>
        </w:sectPr>
      </w:pPr>
    </w:p>
    <w:p w:rsidR="00C31389" w:rsidRDefault="00C31389" w14:paraId="0D95171B" w14:textId="77777777">
      <w:pPr>
        <w:pStyle w:val="BodyText"/>
        <w:spacing w:before="11"/>
        <w:rPr>
          <w:sz w:val="13"/>
        </w:rPr>
      </w:pPr>
    </w:p>
    <w:p w:rsidR="00C31389" w:rsidRDefault="00561FBD" w14:paraId="2BA42CA5" w14:textId="77777777">
      <w:pPr>
        <w:pStyle w:val="BodyText"/>
        <w:spacing w:before="92"/>
        <w:ind w:left="480" w:right="418"/>
        <w:rPr>
          <w:sz w:val="14"/>
        </w:rPr>
      </w:pPr>
      <w:r>
        <w:t>technology</w:t>
      </w:r>
      <w:r>
        <w:rPr>
          <w:spacing w:val="-3"/>
        </w:rPr>
        <w:t xml:space="preserve"> </w:t>
      </w:r>
      <w:r>
        <w:t>group.</w:t>
      </w:r>
      <w:r>
        <w:rPr>
          <w:spacing w:val="-2"/>
        </w:rPr>
        <w:t xml:space="preserve"> </w:t>
      </w:r>
      <w:r>
        <w:t>However,</w:t>
      </w:r>
      <w:r>
        <w:rPr>
          <w:spacing w:val="-2"/>
        </w:rPr>
        <w:t xml:space="preserve"> </w:t>
      </w:r>
      <w:r>
        <w:t>the</w:t>
      </w:r>
      <w:r>
        <w:rPr>
          <w:spacing w:val="-2"/>
        </w:rPr>
        <w:t xml:space="preserve"> </w:t>
      </w:r>
      <w:r>
        <w:t>full</w:t>
      </w:r>
      <w:r>
        <w:rPr>
          <w:spacing w:val="-3"/>
        </w:rPr>
        <w:t xml:space="preserve"> </w:t>
      </w:r>
      <w:r>
        <w:t>cost</w:t>
      </w:r>
      <w:r>
        <w:rPr>
          <w:spacing w:val="-2"/>
        </w:rPr>
        <w:t xml:space="preserve"> </w:t>
      </w:r>
      <w:r>
        <w:t>of</w:t>
      </w:r>
      <w:r>
        <w:rPr>
          <w:spacing w:val="-2"/>
        </w:rPr>
        <w:t xml:space="preserve"> </w:t>
      </w:r>
      <w:r>
        <w:t>the</w:t>
      </w:r>
      <w:r>
        <w:rPr>
          <w:spacing w:val="-3"/>
        </w:rPr>
        <w:t xml:space="preserve"> </w:t>
      </w:r>
      <w:r>
        <w:t>heat</w:t>
      </w:r>
      <w:r>
        <w:rPr>
          <w:spacing w:val="-2"/>
        </w:rPr>
        <w:t xml:space="preserve"> </w:t>
      </w:r>
      <w:r>
        <w:t>pump</w:t>
      </w:r>
      <w:r>
        <w:rPr>
          <w:spacing w:val="-2"/>
        </w:rPr>
        <w:t xml:space="preserve"> </w:t>
      </w:r>
      <w:r>
        <w:t>compared</w:t>
      </w:r>
      <w:r>
        <w:rPr>
          <w:spacing w:val="-2"/>
        </w:rPr>
        <w:t xml:space="preserve"> </w:t>
      </w:r>
      <w:r>
        <w:t>to</w:t>
      </w:r>
      <w:r>
        <w:rPr>
          <w:spacing w:val="-2"/>
        </w:rPr>
        <w:t xml:space="preserve"> </w:t>
      </w:r>
      <w:r>
        <w:t>the</w:t>
      </w:r>
      <w:r>
        <w:rPr>
          <w:spacing w:val="-2"/>
        </w:rPr>
        <w:t xml:space="preserve"> </w:t>
      </w:r>
      <w:r>
        <w:t>full</w:t>
      </w:r>
      <w:r>
        <w:rPr>
          <w:spacing w:val="-2"/>
        </w:rPr>
        <w:t xml:space="preserve"> </w:t>
      </w:r>
      <w:r>
        <w:t>cost</w:t>
      </w:r>
      <w:r>
        <w:rPr>
          <w:spacing w:val="-3"/>
        </w:rPr>
        <w:t xml:space="preserve"> </w:t>
      </w:r>
      <w:r>
        <w:t>of</w:t>
      </w:r>
      <w:r>
        <w:rPr>
          <w:spacing w:val="-2"/>
        </w:rPr>
        <w:t xml:space="preserve"> </w:t>
      </w:r>
      <w:r>
        <w:t>the baseline technology is included in the characterization.</w:t>
      </w:r>
      <w:r>
        <w:rPr>
          <w:spacing w:val="-34"/>
        </w:rPr>
        <w:t xml:space="preserve"> </w:t>
      </w:r>
      <w:hyperlink w:history="1" w:anchor="_bookmark263">
        <w:r>
          <w:rPr>
            <w:position w:val="7"/>
            <w:sz w:val="14"/>
          </w:rPr>
          <w:t>80</w:t>
        </w:r>
      </w:hyperlink>
    </w:p>
    <w:p w:rsidR="00C31389" w:rsidRDefault="00C31389" w14:paraId="54517481" w14:textId="77777777">
      <w:pPr>
        <w:pStyle w:val="BodyText"/>
        <w:spacing w:before="9"/>
        <w:rPr>
          <w:sz w:val="20"/>
        </w:rPr>
      </w:pPr>
    </w:p>
    <w:p w:rsidR="00C31389" w:rsidRDefault="00561FBD" w14:paraId="53EF6C67" w14:textId="77777777">
      <w:pPr>
        <w:pStyle w:val="BodyText"/>
        <w:spacing w:before="1"/>
        <w:ind w:left="480" w:right="615"/>
      </w:pPr>
      <w:hyperlink w:history="1" w:anchor="_bookmark261">
        <w:r>
          <w:t>Figure</w:t>
        </w:r>
        <w:r>
          <w:rPr>
            <w:spacing w:val="-4"/>
          </w:rPr>
          <w:t xml:space="preserve"> </w:t>
        </w:r>
        <w:r>
          <w:t>B-6.</w:t>
        </w:r>
      </w:hyperlink>
      <w:r>
        <w:rPr>
          <w:spacing w:val="-4"/>
        </w:rPr>
        <w:t xml:space="preserve"> </w:t>
      </w:r>
      <w:r>
        <w:t>illustrates</w:t>
      </w:r>
      <w:r>
        <w:rPr>
          <w:spacing w:val="-4"/>
        </w:rPr>
        <w:t xml:space="preserve"> </w:t>
      </w:r>
      <w:r>
        <w:t>how</w:t>
      </w:r>
      <w:r>
        <w:rPr>
          <w:spacing w:val="-4"/>
        </w:rPr>
        <w:t xml:space="preserve"> </w:t>
      </w:r>
      <w:r>
        <w:t>the</w:t>
      </w:r>
      <w:r>
        <w:rPr>
          <w:spacing w:val="-4"/>
        </w:rPr>
        <w:t xml:space="preserve"> </w:t>
      </w:r>
      <w:r>
        <w:t>various</w:t>
      </w:r>
      <w:r>
        <w:rPr>
          <w:spacing w:val="-4"/>
        </w:rPr>
        <w:t xml:space="preserve"> </w:t>
      </w:r>
      <w:r>
        <w:t>scenarios</w:t>
      </w:r>
      <w:r>
        <w:rPr>
          <w:spacing w:val="-4"/>
        </w:rPr>
        <w:t xml:space="preserve"> </w:t>
      </w:r>
      <w:r>
        <w:t>are</w:t>
      </w:r>
      <w:r>
        <w:rPr>
          <w:spacing w:val="-4"/>
        </w:rPr>
        <w:t xml:space="preserve"> </w:t>
      </w:r>
      <w:r>
        <w:t>distributed</w:t>
      </w:r>
      <w:r>
        <w:rPr>
          <w:spacing w:val="-4"/>
        </w:rPr>
        <w:t xml:space="preserve"> </w:t>
      </w:r>
      <w:r>
        <w:t>among</w:t>
      </w:r>
      <w:r>
        <w:rPr>
          <w:spacing w:val="-4"/>
        </w:rPr>
        <w:t xml:space="preserve"> </w:t>
      </w:r>
      <w:r>
        <w:t>the</w:t>
      </w:r>
      <w:r>
        <w:rPr>
          <w:spacing w:val="-3"/>
        </w:rPr>
        <w:t xml:space="preserve"> </w:t>
      </w:r>
      <w:r>
        <w:t>relevant residential HVAC technology groups.</w:t>
      </w:r>
    </w:p>
    <w:p w:rsidR="00C31389" w:rsidRDefault="00C31389" w14:paraId="231E88B5" w14:textId="77777777">
      <w:pPr>
        <w:pStyle w:val="BodyText"/>
        <w:spacing w:before="10"/>
        <w:rPr>
          <w:sz w:val="20"/>
        </w:rPr>
      </w:pPr>
    </w:p>
    <w:p w:rsidR="00C31389" w:rsidRDefault="00561FBD" w14:paraId="656F40B3" w14:textId="77777777">
      <w:pPr>
        <w:pStyle w:val="Heading7"/>
        <w:ind w:left="660"/>
      </w:pPr>
      <w:bookmarkStart w:name="_bookmark261" w:id="347"/>
      <w:bookmarkEnd w:id="347"/>
      <w:r>
        <w:t>Figure</w:t>
      </w:r>
      <w:r>
        <w:rPr>
          <w:spacing w:val="-10"/>
        </w:rPr>
        <w:t xml:space="preserve"> </w:t>
      </w:r>
      <w:r>
        <w:t>B-6.</w:t>
      </w:r>
      <w:r>
        <w:rPr>
          <w:spacing w:val="-9"/>
        </w:rPr>
        <w:t xml:space="preserve"> </w:t>
      </w:r>
      <w:r>
        <w:t>Distribution</w:t>
      </w:r>
      <w:r>
        <w:rPr>
          <w:spacing w:val="-9"/>
        </w:rPr>
        <w:t xml:space="preserve"> </w:t>
      </w:r>
      <w:r>
        <w:t>of</w:t>
      </w:r>
      <w:r>
        <w:rPr>
          <w:spacing w:val="-9"/>
        </w:rPr>
        <w:t xml:space="preserve"> </w:t>
      </w:r>
      <w:r>
        <w:t>Residential</w:t>
      </w:r>
      <w:r>
        <w:rPr>
          <w:spacing w:val="-10"/>
        </w:rPr>
        <w:t xml:space="preserve"> </w:t>
      </w:r>
      <w:r>
        <w:t>HVAC</w:t>
      </w:r>
      <w:r>
        <w:rPr>
          <w:spacing w:val="-8"/>
        </w:rPr>
        <w:t xml:space="preserve"> </w:t>
      </w:r>
      <w:r>
        <w:t>Scenarios</w:t>
      </w:r>
      <w:r>
        <w:rPr>
          <w:spacing w:val="-9"/>
        </w:rPr>
        <w:t xml:space="preserve"> </w:t>
      </w:r>
      <w:r>
        <w:t>among</w:t>
      </w:r>
      <w:r>
        <w:rPr>
          <w:spacing w:val="-10"/>
        </w:rPr>
        <w:t xml:space="preserve"> </w:t>
      </w:r>
      <w:r>
        <w:t>Technology</w:t>
      </w:r>
      <w:r>
        <w:rPr>
          <w:spacing w:val="-9"/>
        </w:rPr>
        <w:t xml:space="preserve"> </w:t>
      </w:r>
      <w:r>
        <w:rPr>
          <w:spacing w:val="-2"/>
        </w:rPr>
        <w:t>Groups</w:t>
      </w:r>
    </w:p>
    <w:p w:rsidR="00C31389" w:rsidRDefault="00561FBD" w14:paraId="7811EEA9" w14:textId="77777777">
      <w:pPr>
        <w:tabs>
          <w:tab w:val="left" w:pos="5492"/>
        </w:tabs>
        <w:spacing w:before="193"/>
        <w:ind w:left="1593"/>
        <w:rPr>
          <w:b/>
          <w:sz w:val="20"/>
        </w:rPr>
      </w:pPr>
      <w:r>
        <w:rPr>
          <w:b/>
          <w:sz w:val="20"/>
        </w:rPr>
        <w:t>Baseline</w:t>
      </w:r>
      <w:r>
        <w:rPr>
          <w:b/>
          <w:spacing w:val="-5"/>
          <w:sz w:val="20"/>
        </w:rPr>
        <w:t xml:space="preserve"> </w:t>
      </w:r>
      <w:r>
        <w:rPr>
          <w:b/>
          <w:spacing w:val="-2"/>
          <w:sz w:val="20"/>
        </w:rPr>
        <w:t>Condition</w:t>
      </w:r>
      <w:r>
        <w:rPr>
          <w:b/>
          <w:sz w:val="20"/>
        </w:rPr>
        <w:tab/>
        <w:t>Technology</w:t>
      </w:r>
      <w:r>
        <w:rPr>
          <w:b/>
          <w:spacing w:val="-9"/>
          <w:sz w:val="20"/>
        </w:rPr>
        <w:t xml:space="preserve"> </w:t>
      </w:r>
      <w:r>
        <w:rPr>
          <w:b/>
          <w:spacing w:val="-2"/>
          <w:sz w:val="20"/>
        </w:rPr>
        <w:t>G</w:t>
      </w:r>
      <w:r>
        <w:rPr>
          <w:b/>
          <w:spacing w:val="-2"/>
          <w:sz w:val="20"/>
        </w:rPr>
        <w:t>roups</w:t>
      </w:r>
    </w:p>
    <w:p w:rsidR="00C31389" w:rsidRDefault="00561FBD" w14:paraId="62FDCF37" w14:textId="77777777">
      <w:pPr>
        <w:pStyle w:val="BodyText"/>
        <w:spacing w:before="6"/>
        <w:rPr>
          <w:b/>
          <w:sz w:val="26"/>
        </w:rPr>
      </w:pPr>
      <w:r>
        <w:rPr>
          <w:noProof/>
        </w:rPr>
        <mc:AlternateContent>
          <mc:Choice Requires="wpg">
            <w:drawing>
              <wp:anchor distT="0" distB="0" distL="0" distR="0" simplePos="0" relativeHeight="487684096" behindDoc="1" locked="0" layoutInCell="1" allowOverlap="1" wp14:editId="08B346AC" wp14:anchorId="205C1C38">
                <wp:simplePos x="0" y="0"/>
                <wp:positionH relativeFrom="page">
                  <wp:posOffset>1521673</wp:posOffset>
                </wp:positionH>
                <wp:positionV relativeFrom="paragraph">
                  <wp:posOffset>209196</wp:posOffset>
                </wp:positionV>
                <wp:extent cx="3998595" cy="2557780"/>
                <wp:effectExtent l="0" t="0" r="0" b="0"/>
                <wp:wrapTopAndBottom/>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2557780"/>
                          <a:chOff x="0" y="0"/>
                          <a:chExt cx="3998595" cy="2557780"/>
                        </a:xfrm>
                      </wpg:grpSpPr>
                      <wps:wsp>
                        <wps:cNvPr id="587" name="Graphic 587"/>
                        <wps:cNvSpPr/>
                        <wps:spPr>
                          <a:xfrm>
                            <a:off x="58808" y="1858987"/>
                            <a:ext cx="1143000" cy="685800"/>
                          </a:xfrm>
                          <a:custGeom>
                            <a:avLst/>
                            <a:gdLst/>
                            <a:ahLst/>
                            <a:cxnLst/>
                            <a:rect l="l" t="t" r="r" b="b"/>
                            <a:pathLst>
                              <a:path w="1143000" h="685800">
                                <a:moveTo>
                                  <a:pt x="0" y="114300"/>
                                </a:moveTo>
                                <a:lnTo>
                                  <a:pt x="8981" y="69806"/>
                                </a:lnTo>
                                <a:lnTo>
                                  <a:pt x="33475" y="33475"/>
                                </a:lnTo>
                                <a:lnTo>
                                  <a:pt x="69806" y="8981"/>
                                </a:lnTo>
                                <a:lnTo>
                                  <a:pt x="114300" y="0"/>
                                </a:lnTo>
                                <a:lnTo>
                                  <a:pt x="1028623" y="0"/>
                                </a:lnTo>
                                <a:lnTo>
                                  <a:pt x="1073116" y="8981"/>
                                </a:lnTo>
                                <a:lnTo>
                                  <a:pt x="1109448" y="33475"/>
                                </a:lnTo>
                                <a:lnTo>
                                  <a:pt x="1133942" y="69806"/>
                                </a:lnTo>
                                <a:lnTo>
                                  <a:pt x="1142923" y="114300"/>
                                </a:lnTo>
                                <a:lnTo>
                                  <a:pt x="1142923" y="571487"/>
                                </a:lnTo>
                                <a:lnTo>
                                  <a:pt x="1133942" y="615980"/>
                                </a:lnTo>
                                <a:lnTo>
                                  <a:pt x="1109448" y="652311"/>
                                </a:lnTo>
                                <a:lnTo>
                                  <a:pt x="1073116" y="676805"/>
                                </a:lnTo>
                                <a:lnTo>
                                  <a:pt x="1028623" y="685787"/>
                                </a:lnTo>
                                <a:lnTo>
                                  <a:pt x="114300" y="685787"/>
                                </a:lnTo>
                                <a:lnTo>
                                  <a:pt x="69806" y="676805"/>
                                </a:lnTo>
                                <a:lnTo>
                                  <a:pt x="33475" y="652311"/>
                                </a:lnTo>
                                <a:lnTo>
                                  <a:pt x="8981" y="615980"/>
                                </a:lnTo>
                                <a:lnTo>
                                  <a:pt x="0" y="571487"/>
                                </a:lnTo>
                                <a:lnTo>
                                  <a:pt x="0" y="114300"/>
                                </a:lnTo>
                                <a:close/>
                              </a:path>
                            </a:pathLst>
                          </a:custGeom>
                          <a:ln w="25400">
                            <a:solidFill>
                              <a:srgbClr val="92D400"/>
                            </a:solidFill>
                            <a:prstDash val="solid"/>
                          </a:ln>
                        </wps:spPr>
                        <wps:bodyPr wrap="square" lIns="0" tIns="0" rIns="0" bIns="0" rtlCol="0">
                          <a:prstTxWarp prst="textNoShape">
                            <a:avLst/>
                          </a:prstTxWarp>
                          <a:noAutofit/>
                        </wps:bodyPr>
                      </wps:wsp>
                      <wps:wsp>
                        <wps:cNvPr id="588" name="Graphic 588"/>
                        <wps:cNvSpPr/>
                        <wps:spPr>
                          <a:xfrm>
                            <a:off x="12700" y="355593"/>
                            <a:ext cx="1139190" cy="685800"/>
                          </a:xfrm>
                          <a:custGeom>
                            <a:avLst/>
                            <a:gdLst/>
                            <a:ahLst/>
                            <a:cxnLst/>
                            <a:rect l="l" t="t" r="r" b="b"/>
                            <a:pathLst>
                              <a:path w="1139190" h="685800">
                                <a:moveTo>
                                  <a:pt x="0" y="114300"/>
                                </a:moveTo>
                                <a:lnTo>
                                  <a:pt x="8981" y="69806"/>
                                </a:lnTo>
                                <a:lnTo>
                                  <a:pt x="33475" y="33475"/>
                                </a:lnTo>
                                <a:lnTo>
                                  <a:pt x="69806" y="8981"/>
                                </a:lnTo>
                                <a:lnTo>
                                  <a:pt x="114300" y="0"/>
                                </a:lnTo>
                                <a:lnTo>
                                  <a:pt x="1024293" y="0"/>
                                </a:lnTo>
                                <a:lnTo>
                                  <a:pt x="1068780" y="8981"/>
                                </a:lnTo>
                                <a:lnTo>
                                  <a:pt x="1105112" y="33475"/>
                                </a:lnTo>
                                <a:lnTo>
                                  <a:pt x="1129609" y="69806"/>
                                </a:lnTo>
                                <a:lnTo>
                                  <a:pt x="1138593" y="114300"/>
                                </a:lnTo>
                                <a:lnTo>
                                  <a:pt x="1138593" y="571487"/>
                                </a:lnTo>
                                <a:lnTo>
                                  <a:pt x="1129609" y="615980"/>
                                </a:lnTo>
                                <a:lnTo>
                                  <a:pt x="1105112" y="652311"/>
                                </a:lnTo>
                                <a:lnTo>
                                  <a:pt x="1068780" y="676805"/>
                                </a:lnTo>
                                <a:lnTo>
                                  <a:pt x="1024293" y="685787"/>
                                </a:lnTo>
                                <a:lnTo>
                                  <a:pt x="114300" y="685787"/>
                                </a:lnTo>
                                <a:lnTo>
                                  <a:pt x="69806" y="676805"/>
                                </a:lnTo>
                                <a:lnTo>
                                  <a:pt x="33475" y="652311"/>
                                </a:lnTo>
                                <a:lnTo>
                                  <a:pt x="8981" y="615980"/>
                                </a:lnTo>
                                <a:lnTo>
                                  <a:pt x="0" y="571487"/>
                                </a:lnTo>
                                <a:lnTo>
                                  <a:pt x="0" y="114300"/>
                                </a:lnTo>
                                <a:close/>
                              </a:path>
                            </a:pathLst>
                          </a:custGeom>
                          <a:ln w="25400">
                            <a:solidFill>
                              <a:srgbClr val="92D400"/>
                            </a:solidFill>
                            <a:prstDash val="solid"/>
                          </a:ln>
                        </wps:spPr>
                        <wps:bodyPr wrap="square" lIns="0" tIns="0" rIns="0" bIns="0" rtlCol="0">
                          <a:prstTxWarp prst="textNoShape">
                            <a:avLst/>
                          </a:prstTxWarp>
                          <a:noAutofit/>
                        </wps:bodyPr>
                      </wps:wsp>
                      <wps:wsp>
                        <wps:cNvPr id="589" name="Graphic 589"/>
                        <wps:cNvSpPr/>
                        <wps:spPr>
                          <a:xfrm>
                            <a:off x="2494036" y="12700"/>
                            <a:ext cx="1491615" cy="685800"/>
                          </a:xfrm>
                          <a:custGeom>
                            <a:avLst/>
                            <a:gdLst/>
                            <a:ahLst/>
                            <a:cxnLst/>
                            <a:rect l="l" t="t" r="r" b="b"/>
                            <a:pathLst>
                              <a:path w="1491615" h="685800">
                                <a:moveTo>
                                  <a:pt x="0" y="114300"/>
                                </a:moveTo>
                                <a:lnTo>
                                  <a:pt x="8981" y="69806"/>
                                </a:lnTo>
                                <a:lnTo>
                                  <a:pt x="33475" y="33475"/>
                                </a:lnTo>
                                <a:lnTo>
                                  <a:pt x="69806" y="8981"/>
                                </a:lnTo>
                                <a:lnTo>
                                  <a:pt x="114300" y="0"/>
                                </a:lnTo>
                                <a:lnTo>
                                  <a:pt x="1377035" y="0"/>
                                </a:lnTo>
                                <a:lnTo>
                                  <a:pt x="1421523" y="8981"/>
                                </a:lnTo>
                                <a:lnTo>
                                  <a:pt x="1457855" y="33475"/>
                                </a:lnTo>
                                <a:lnTo>
                                  <a:pt x="1482352" y="69806"/>
                                </a:lnTo>
                                <a:lnTo>
                                  <a:pt x="1491335" y="114300"/>
                                </a:lnTo>
                                <a:lnTo>
                                  <a:pt x="1491335" y="571487"/>
                                </a:lnTo>
                                <a:lnTo>
                                  <a:pt x="1482352" y="615980"/>
                                </a:lnTo>
                                <a:lnTo>
                                  <a:pt x="1457855" y="652311"/>
                                </a:lnTo>
                                <a:lnTo>
                                  <a:pt x="1421523" y="676805"/>
                                </a:lnTo>
                                <a:lnTo>
                                  <a:pt x="1377035" y="685787"/>
                                </a:lnTo>
                                <a:lnTo>
                                  <a:pt x="114300" y="685787"/>
                                </a:lnTo>
                                <a:lnTo>
                                  <a:pt x="69806" y="676805"/>
                                </a:lnTo>
                                <a:lnTo>
                                  <a:pt x="33475" y="652311"/>
                                </a:lnTo>
                                <a:lnTo>
                                  <a:pt x="8981" y="615980"/>
                                </a:lnTo>
                                <a:lnTo>
                                  <a:pt x="0" y="571487"/>
                                </a:lnTo>
                                <a:lnTo>
                                  <a:pt x="0" y="114300"/>
                                </a:lnTo>
                                <a:close/>
                              </a:path>
                            </a:pathLst>
                          </a:custGeom>
                          <a:ln w="25400">
                            <a:solidFill>
                              <a:srgbClr val="1F54C8"/>
                            </a:solidFill>
                            <a:prstDash val="solid"/>
                          </a:ln>
                        </wps:spPr>
                        <wps:bodyPr wrap="square" lIns="0" tIns="0" rIns="0" bIns="0" rtlCol="0">
                          <a:prstTxWarp prst="textNoShape">
                            <a:avLst/>
                          </a:prstTxWarp>
                          <a:noAutofit/>
                        </wps:bodyPr>
                      </wps:wsp>
                      <wps:wsp>
                        <wps:cNvPr id="590" name="Graphic 590"/>
                        <wps:cNvSpPr/>
                        <wps:spPr>
                          <a:xfrm>
                            <a:off x="1151291" y="371309"/>
                            <a:ext cx="1281430" cy="327660"/>
                          </a:xfrm>
                          <a:custGeom>
                            <a:avLst/>
                            <a:gdLst/>
                            <a:ahLst/>
                            <a:cxnLst/>
                            <a:rect l="l" t="t" r="r" b="b"/>
                            <a:pathLst>
                              <a:path w="1281430" h="327660">
                                <a:moveTo>
                                  <a:pt x="0" y="327177"/>
                                </a:moveTo>
                                <a:lnTo>
                                  <a:pt x="1281214" y="0"/>
                                </a:lnTo>
                              </a:path>
                            </a:pathLst>
                          </a:custGeom>
                          <a:ln w="9525">
                            <a:solidFill>
                              <a:srgbClr val="000000"/>
                            </a:solidFill>
                            <a:prstDash val="solid"/>
                          </a:ln>
                        </wps:spPr>
                        <wps:bodyPr wrap="square" lIns="0" tIns="0" rIns="0" bIns="0" rtlCol="0">
                          <a:prstTxWarp prst="textNoShape">
                            <a:avLst/>
                          </a:prstTxWarp>
                          <a:noAutofit/>
                        </wps:bodyPr>
                      </wps:wsp>
                      <wps:wsp>
                        <wps:cNvPr id="591" name="Graphic 591"/>
                        <wps:cNvSpPr/>
                        <wps:spPr>
                          <a:xfrm>
                            <a:off x="2410776" y="337540"/>
                            <a:ext cx="83820" cy="74295"/>
                          </a:xfrm>
                          <a:custGeom>
                            <a:avLst/>
                            <a:gdLst/>
                            <a:ahLst/>
                            <a:cxnLst/>
                            <a:rect l="l" t="t" r="r" b="b"/>
                            <a:pathLst>
                              <a:path w="83820" h="74295">
                                <a:moveTo>
                                  <a:pt x="0" y="0"/>
                                </a:moveTo>
                                <a:lnTo>
                                  <a:pt x="18859" y="73825"/>
                                </a:lnTo>
                                <a:lnTo>
                                  <a:pt x="83261" y="18059"/>
                                </a:lnTo>
                                <a:lnTo>
                                  <a:pt x="0"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1151291" y="698488"/>
                            <a:ext cx="687705" cy="536575"/>
                          </a:xfrm>
                          <a:custGeom>
                            <a:avLst/>
                            <a:gdLst/>
                            <a:ahLst/>
                            <a:cxnLst/>
                            <a:rect l="l" t="t" r="r" b="b"/>
                            <a:pathLst>
                              <a:path w="687705" h="536575">
                                <a:moveTo>
                                  <a:pt x="0" y="0"/>
                                </a:moveTo>
                                <a:lnTo>
                                  <a:pt x="687146" y="536498"/>
                                </a:lnTo>
                              </a:path>
                            </a:pathLst>
                          </a:custGeom>
                          <a:ln w="9525">
                            <a:solidFill>
                              <a:srgbClr val="000000"/>
                            </a:solidFill>
                            <a:prstDash val="solid"/>
                          </a:ln>
                        </wps:spPr>
                        <wps:bodyPr wrap="square" lIns="0" tIns="0" rIns="0" bIns="0" rtlCol="0">
                          <a:prstTxWarp prst="textNoShape">
                            <a:avLst/>
                          </a:prstTxWarp>
                          <a:noAutofit/>
                        </wps:bodyPr>
                      </wps:wsp>
                      <wps:wsp>
                        <wps:cNvPr id="593" name="Graphic 593"/>
                        <wps:cNvSpPr/>
                        <wps:spPr>
                          <a:xfrm>
                            <a:off x="1847889" y="1234988"/>
                            <a:ext cx="573405" cy="40005"/>
                          </a:xfrm>
                          <a:custGeom>
                            <a:avLst/>
                            <a:gdLst/>
                            <a:ahLst/>
                            <a:cxnLst/>
                            <a:rect l="l" t="t" r="r" b="b"/>
                            <a:pathLst>
                              <a:path w="573405" h="40005">
                                <a:moveTo>
                                  <a:pt x="0" y="0"/>
                                </a:moveTo>
                                <a:lnTo>
                                  <a:pt x="573341" y="39395"/>
                                </a:lnTo>
                              </a:path>
                            </a:pathLst>
                          </a:custGeom>
                          <a:ln w="9525">
                            <a:solidFill>
                              <a:srgbClr val="000000"/>
                            </a:solidFill>
                            <a:prstDash val="solid"/>
                          </a:ln>
                        </wps:spPr>
                        <wps:bodyPr wrap="square" lIns="0" tIns="0" rIns="0" bIns="0" rtlCol="0">
                          <a:prstTxWarp prst="textNoShape">
                            <a:avLst/>
                          </a:prstTxWarp>
                          <a:noAutofit/>
                        </wps:bodyPr>
                      </wps:wsp>
                      <wps:wsp>
                        <wps:cNvPr id="594" name="Graphic 594"/>
                        <wps:cNvSpPr/>
                        <wps:spPr>
                          <a:xfrm>
                            <a:off x="2494036" y="935843"/>
                            <a:ext cx="1491615" cy="685800"/>
                          </a:xfrm>
                          <a:custGeom>
                            <a:avLst/>
                            <a:gdLst/>
                            <a:ahLst/>
                            <a:cxnLst/>
                            <a:rect l="l" t="t" r="r" b="b"/>
                            <a:pathLst>
                              <a:path w="1491615" h="685800">
                                <a:moveTo>
                                  <a:pt x="0" y="114300"/>
                                </a:moveTo>
                                <a:lnTo>
                                  <a:pt x="8981" y="69806"/>
                                </a:lnTo>
                                <a:lnTo>
                                  <a:pt x="33475" y="33475"/>
                                </a:lnTo>
                                <a:lnTo>
                                  <a:pt x="69806" y="8981"/>
                                </a:lnTo>
                                <a:lnTo>
                                  <a:pt x="114300" y="0"/>
                                </a:lnTo>
                                <a:lnTo>
                                  <a:pt x="1377035" y="0"/>
                                </a:lnTo>
                                <a:lnTo>
                                  <a:pt x="1421523" y="8981"/>
                                </a:lnTo>
                                <a:lnTo>
                                  <a:pt x="1457855" y="33475"/>
                                </a:lnTo>
                                <a:lnTo>
                                  <a:pt x="1482352" y="69806"/>
                                </a:lnTo>
                                <a:lnTo>
                                  <a:pt x="1491335" y="114300"/>
                                </a:lnTo>
                                <a:lnTo>
                                  <a:pt x="1491335" y="571487"/>
                                </a:lnTo>
                                <a:lnTo>
                                  <a:pt x="1482352" y="615980"/>
                                </a:lnTo>
                                <a:lnTo>
                                  <a:pt x="1457855" y="652311"/>
                                </a:lnTo>
                                <a:lnTo>
                                  <a:pt x="1421523" y="676805"/>
                                </a:lnTo>
                                <a:lnTo>
                                  <a:pt x="1377035" y="685787"/>
                                </a:lnTo>
                                <a:lnTo>
                                  <a:pt x="114300" y="685787"/>
                                </a:lnTo>
                                <a:lnTo>
                                  <a:pt x="69806" y="676805"/>
                                </a:lnTo>
                                <a:lnTo>
                                  <a:pt x="33475" y="652311"/>
                                </a:lnTo>
                                <a:lnTo>
                                  <a:pt x="8981" y="615980"/>
                                </a:lnTo>
                                <a:lnTo>
                                  <a:pt x="0" y="571487"/>
                                </a:lnTo>
                                <a:lnTo>
                                  <a:pt x="0" y="114300"/>
                                </a:lnTo>
                                <a:close/>
                              </a:path>
                            </a:pathLst>
                          </a:custGeom>
                          <a:ln w="25400">
                            <a:solidFill>
                              <a:srgbClr val="1F54C8"/>
                            </a:solidFill>
                            <a:prstDash val="solid"/>
                          </a:ln>
                        </wps:spPr>
                        <wps:bodyPr wrap="square" lIns="0" tIns="0" rIns="0" bIns="0" rtlCol="0">
                          <a:prstTxWarp prst="textNoShape">
                            <a:avLst/>
                          </a:prstTxWarp>
                          <a:noAutofit/>
                        </wps:bodyPr>
                      </wps:wsp>
                      <wps:wsp>
                        <wps:cNvPr id="595" name="Graphic 595"/>
                        <wps:cNvSpPr/>
                        <wps:spPr>
                          <a:xfrm>
                            <a:off x="2405941" y="1235501"/>
                            <a:ext cx="78740" cy="76200"/>
                          </a:xfrm>
                          <a:custGeom>
                            <a:avLst/>
                            <a:gdLst/>
                            <a:ahLst/>
                            <a:cxnLst/>
                            <a:rect l="l" t="t" r="r" b="b"/>
                            <a:pathLst>
                              <a:path w="78740" h="76200">
                                <a:moveTo>
                                  <a:pt x="5232" y="0"/>
                                </a:moveTo>
                                <a:lnTo>
                                  <a:pt x="0" y="76022"/>
                                </a:lnTo>
                                <a:lnTo>
                                  <a:pt x="78638" y="43243"/>
                                </a:lnTo>
                                <a:lnTo>
                                  <a:pt x="5232" y="0"/>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2494036" y="1858986"/>
                            <a:ext cx="1491615" cy="685800"/>
                          </a:xfrm>
                          <a:custGeom>
                            <a:avLst/>
                            <a:gdLst/>
                            <a:ahLst/>
                            <a:cxnLst/>
                            <a:rect l="l" t="t" r="r" b="b"/>
                            <a:pathLst>
                              <a:path w="1491615" h="685800">
                                <a:moveTo>
                                  <a:pt x="0" y="114300"/>
                                </a:moveTo>
                                <a:lnTo>
                                  <a:pt x="8981" y="69806"/>
                                </a:lnTo>
                                <a:lnTo>
                                  <a:pt x="33475" y="33475"/>
                                </a:lnTo>
                                <a:lnTo>
                                  <a:pt x="69806" y="8981"/>
                                </a:lnTo>
                                <a:lnTo>
                                  <a:pt x="114300" y="0"/>
                                </a:lnTo>
                                <a:lnTo>
                                  <a:pt x="1377035" y="0"/>
                                </a:lnTo>
                                <a:lnTo>
                                  <a:pt x="1421523" y="8981"/>
                                </a:lnTo>
                                <a:lnTo>
                                  <a:pt x="1457855" y="33475"/>
                                </a:lnTo>
                                <a:lnTo>
                                  <a:pt x="1482352" y="69806"/>
                                </a:lnTo>
                                <a:lnTo>
                                  <a:pt x="1491335" y="114300"/>
                                </a:lnTo>
                                <a:lnTo>
                                  <a:pt x="1491335" y="571487"/>
                                </a:lnTo>
                                <a:lnTo>
                                  <a:pt x="1482352" y="615980"/>
                                </a:lnTo>
                                <a:lnTo>
                                  <a:pt x="1457855" y="652311"/>
                                </a:lnTo>
                                <a:lnTo>
                                  <a:pt x="1421523" y="676805"/>
                                </a:lnTo>
                                <a:lnTo>
                                  <a:pt x="1377035" y="685787"/>
                                </a:lnTo>
                                <a:lnTo>
                                  <a:pt x="114300" y="685787"/>
                                </a:lnTo>
                                <a:lnTo>
                                  <a:pt x="69806" y="676805"/>
                                </a:lnTo>
                                <a:lnTo>
                                  <a:pt x="33475" y="652311"/>
                                </a:lnTo>
                                <a:lnTo>
                                  <a:pt x="8981" y="615980"/>
                                </a:lnTo>
                                <a:lnTo>
                                  <a:pt x="0" y="571487"/>
                                </a:lnTo>
                                <a:lnTo>
                                  <a:pt x="0" y="114300"/>
                                </a:lnTo>
                                <a:close/>
                              </a:path>
                            </a:pathLst>
                          </a:custGeom>
                          <a:ln w="25400">
                            <a:solidFill>
                              <a:srgbClr val="1F54C8"/>
                            </a:solidFill>
                            <a:prstDash val="solid"/>
                          </a:ln>
                        </wps:spPr>
                        <wps:bodyPr wrap="square" lIns="0" tIns="0" rIns="0" bIns="0" rtlCol="0">
                          <a:prstTxWarp prst="textNoShape">
                            <a:avLst/>
                          </a:prstTxWarp>
                          <a:noAutofit/>
                        </wps:bodyPr>
                      </wps:wsp>
                      <wps:wsp>
                        <wps:cNvPr id="597" name="Graphic 597"/>
                        <wps:cNvSpPr/>
                        <wps:spPr>
                          <a:xfrm>
                            <a:off x="1847889" y="1234988"/>
                            <a:ext cx="610870" cy="914400"/>
                          </a:xfrm>
                          <a:custGeom>
                            <a:avLst/>
                            <a:gdLst/>
                            <a:ahLst/>
                            <a:cxnLst/>
                            <a:rect l="l" t="t" r="r" b="b"/>
                            <a:pathLst>
                              <a:path w="610870" h="914400">
                                <a:moveTo>
                                  <a:pt x="0" y="0"/>
                                </a:moveTo>
                                <a:lnTo>
                                  <a:pt x="610870" y="914095"/>
                                </a:lnTo>
                              </a:path>
                            </a:pathLst>
                          </a:custGeom>
                          <a:ln w="9525">
                            <a:solidFill>
                              <a:srgbClr val="000000"/>
                            </a:solidFill>
                            <a:prstDash val="solid"/>
                          </a:ln>
                        </wps:spPr>
                        <wps:bodyPr wrap="square" lIns="0" tIns="0" rIns="0" bIns="0" rtlCol="0">
                          <a:prstTxWarp prst="textNoShape">
                            <a:avLst/>
                          </a:prstTxWarp>
                          <a:noAutofit/>
                        </wps:bodyPr>
                      </wps:wsp>
                      <wps:wsp>
                        <wps:cNvPr id="598" name="Graphic 598"/>
                        <wps:cNvSpPr/>
                        <wps:spPr>
                          <a:xfrm>
                            <a:off x="2420020" y="2117356"/>
                            <a:ext cx="74295" cy="85090"/>
                          </a:xfrm>
                          <a:custGeom>
                            <a:avLst/>
                            <a:gdLst/>
                            <a:ahLst/>
                            <a:cxnLst/>
                            <a:rect l="l" t="t" r="r" b="b"/>
                            <a:pathLst>
                              <a:path w="74295" h="85090">
                                <a:moveTo>
                                  <a:pt x="63360" y="0"/>
                                </a:moveTo>
                                <a:lnTo>
                                  <a:pt x="0" y="42341"/>
                                </a:lnTo>
                                <a:lnTo>
                                  <a:pt x="74015" y="84531"/>
                                </a:lnTo>
                                <a:lnTo>
                                  <a:pt x="63360" y="0"/>
                                </a:lnTo>
                                <a:close/>
                              </a:path>
                            </a:pathLst>
                          </a:custGeom>
                          <a:solidFill>
                            <a:srgbClr val="000000"/>
                          </a:solidFill>
                        </wps:spPr>
                        <wps:bodyPr wrap="square" lIns="0" tIns="0" rIns="0" bIns="0" rtlCol="0">
                          <a:prstTxWarp prst="textNoShape">
                            <a:avLst/>
                          </a:prstTxWarp>
                          <a:noAutofit/>
                        </wps:bodyPr>
                      </wps:wsp>
                      <wps:wsp>
                        <wps:cNvPr id="599" name="Graphic 599"/>
                        <wps:cNvSpPr/>
                        <wps:spPr>
                          <a:xfrm>
                            <a:off x="1201738" y="2201881"/>
                            <a:ext cx="1229360" cy="1270"/>
                          </a:xfrm>
                          <a:custGeom>
                            <a:avLst/>
                            <a:gdLst/>
                            <a:ahLst/>
                            <a:cxnLst/>
                            <a:rect l="l" t="t" r="r" b="b"/>
                            <a:pathLst>
                              <a:path w="1229360">
                                <a:moveTo>
                                  <a:pt x="0" y="0"/>
                                </a:moveTo>
                                <a:lnTo>
                                  <a:pt x="1228801" y="0"/>
                                </a:lnTo>
                              </a:path>
                            </a:pathLst>
                          </a:custGeom>
                          <a:ln w="9525">
                            <a:solidFill>
                              <a:srgbClr val="000000"/>
                            </a:solidFill>
                            <a:prstDash val="solid"/>
                          </a:ln>
                        </wps:spPr>
                        <wps:bodyPr wrap="square" lIns="0" tIns="0" rIns="0" bIns="0" rtlCol="0">
                          <a:prstTxWarp prst="textNoShape">
                            <a:avLst/>
                          </a:prstTxWarp>
                          <a:noAutofit/>
                        </wps:bodyPr>
                      </wps:wsp>
                      <wps:wsp>
                        <wps:cNvPr id="600" name="Graphic 600"/>
                        <wps:cNvSpPr/>
                        <wps:spPr>
                          <a:xfrm>
                            <a:off x="2417838" y="2163778"/>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601" name="Textbox 601"/>
                        <wps:cNvSpPr txBox="1"/>
                        <wps:spPr>
                          <a:xfrm>
                            <a:off x="1267246" y="67618"/>
                            <a:ext cx="742950" cy="391160"/>
                          </a:xfrm>
                          <a:prstGeom prst="rect">
                            <a:avLst/>
                          </a:prstGeom>
                        </wps:spPr>
                        <wps:txbx>
                          <w:txbxContent>
                            <w:p w:rsidR="00C31389" w:rsidRDefault="00561FBD" w14:paraId="24E382BB" w14:textId="77777777">
                              <w:pPr>
                                <w:rPr>
                                  <w:sz w:val="18"/>
                                </w:rPr>
                              </w:pPr>
                              <w:r>
                                <w:rPr>
                                  <w:spacing w:val="-2"/>
                                  <w:sz w:val="18"/>
                                </w:rPr>
                                <w:t>Percentage System Replacements</w:t>
                              </w:r>
                            </w:p>
                          </w:txbxContent>
                        </wps:txbx>
                        <wps:bodyPr wrap="square" lIns="0" tIns="0" rIns="0" bIns="0" rtlCol="0">
                          <a:noAutofit/>
                        </wps:bodyPr>
                      </wps:wsp>
                      <wps:wsp>
                        <wps:cNvPr id="602" name="Textbox 602"/>
                        <wps:cNvSpPr txBox="1"/>
                        <wps:spPr>
                          <a:xfrm>
                            <a:off x="163108" y="504244"/>
                            <a:ext cx="850900" cy="391795"/>
                          </a:xfrm>
                          <a:prstGeom prst="rect">
                            <a:avLst/>
                          </a:prstGeom>
                        </wps:spPr>
                        <wps:txbx>
                          <w:txbxContent>
                            <w:p w:rsidR="00C31389" w:rsidRDefault="00561FBD" w14:paraId="7556D6FF" w14:textId="77777777">
                              <w:pPr>
                                <w:ind w:left="-1" w:right="18"/>
                                <w:jc w:val="center"/>
                                <w:rPr>
                                  <w:sz w:val="18"/>
                                </w:rPr>
                              </w:pPr>
                              <w:r>
                                <w:rPr>
                                  <w:sz w:val="18"/>
                                </w:rPr>
                                <w:t>Homes</w:t>
                              </w:r>
                              <w:r>
                                <w:rPr>
                                  <w:spacing w:val="-15"/>
                                  <w:sz w:val="18"/>
                                </w:rPr>
                                <w:t xml:space="preserve"> </w:t>
                              </w:r>
                              <w:r>
                                <w:rPr>
                                  <w:sz w:val="18"/>
                                </w:rPr>
                                <w:t>with</w:t>
                              </w:r>
                              <w:r>
                                <w:rPr>
                                  <w:spacing w:val="-12"/>
                                  <w:sz w:val="18"/>
                                </w:rPr>
                                <w:t xml:space="preserve"> </w:t>
                              </w:r>
                              <w:r>
                                <w:rPr>
                                  <w:sz w:val="18"/>
                                </w:rPr>
                                <w:t>Gas Furnace and Electric AC</w:t>
                              </w:r>
                            </w:p>
                          </w:txbxContent>
                        </wps:txbx>
                        <wps:bodyPr wrap="square" lIns="0" tIns="0" rIns="0" bIns="0" rtlCol="0">
                          <a:noAutofit/>
                        </wps:bodyPr>
                      </wps:wsp>
                      <wps:wsp>
                        <wps:cNvPr id="603" name="Textbox 603"/>
                        <wps:cNvSpPr txBox="1"/>
                        <wps:spPr>
                          <a:xfrm>
                            <a:off x="2643418" y="161344"/>
                            <a:ext cx="1205865" cy="391795"/>
                          </a:xfrm>
                          <a:prstGeom prst="rect">
                            <a:avLst/>
                          </a:prstGeom>
                        </wps:spPr>
                        <wps:txbx>
                          <w:txbxContent>
                            <w:p w:rsidR="00C31389" w:rsidRDefault="00561FBD" w14:paraId="7BE6C5A5" w14:textId="77777777">
                              <w:pPr>
                                <w:ind w:right="18"/>
                                <w:jc w:val="center"/>
                                <w:rPr>
                                  <w:sz w:val="18"/>
                                </w:rPr>
                              </w:pPr>
                              <w:r>
                                <w:rPr>
                                  <w:sz w:val="18"/>
                                </w:rPr>
                                <w:t>Combined</w:t>
                              </w:r>
                              <w:r>
                                <w:rPr>
                                  <w:spacing w:val="-15"/>
                                  <w:sz w:val="18"/>
                                </w:rPr>
                                <w:t xml:space="preserve"> </w:t>
                              </w:r>
                              <w:r>
                                <w:rPr>
                                  <w:sz w:val="18"/>
                                </w:rPr>
                                <w:t>Furnace</w:t>
                              </w:r>
                              <w:r>
                                <w:rPr>
                                  <w:spacing w:val="-12"/>
                                  <w:sz w:val="18"/>
                                </w:rPr>
                                <w:t xml:space="preserve"> </w:t>
                              </w:r>
                              <w:r>
                                <w:rPr>
                                  <w:sz w:val="18"/>
                                </w:rPr>
                                <w:t xml:space="preserve">and AC to Heat Pump Fuel </w:t>
                              </w:r>
                              <w:r>
                                <w:rPr>
                                  <w:spacing w:val="-4"/>
                                  <w:sz w:val="18"/>
                                </w:rPr>
                                <w:t>Sub</w:t>
                              </w:r>
                            </w:p>
                          </w:txbxContent>
                        </wps:txbx>
                        <wps:bodyPr wrap="square" lIns="0" tIns="0" rIns="0" bIns="0" rtlCol="0">
                          <a:noAutofit/>
                        </wps:bodyPr>
                      </wps:wsp>
                      <wps:wsp>
                        <wps:cNvPr id="604" name="Textbox 604"/>
                        <wps:cNvSpPr txBox="1"/>
                        <wps:spPr>
                          <a:xfrm>
                            <a:off x="1080556" y="1184710"/>
                            <a:ext cx="742950" cy="391160"/>
                          </a:xfrm>
                          <a:prstGeom prst="rect">
                            <a:avLst/>
                          </a:prstGeom>
                        </wps:spPr>
                        <wps:txbx>
                          <w:txbxContent>
                            <w:p w:rsidR="00C31389" w:rsidRDefault="00561FBD" w14:paraId="33A5C088" w14:textId="77777777">
                              <w:pPr>
                                <w:rPr>
                                  <w:sz w:val="18"/>
                                </w:rPr>
                              </w:pPr>
                              <w:r>
                                <w:rPr>
                                  <w:spacing w:val="-2"/>
                                  <w:sz w:val="18"/>
                                </w:rPr>
                                <w:t>Percentage Component Replacements</w:t>
                              </w:r>
                            </w:p>
                          </w:txbxContent>
                        </wps:txbx>
                        <wps:bodyPr wrap="square" lIns="0" tIns="0" rIns="0" bIns="0" rtlCol="0">
                          <a:noAutofit/>
                        </wps:bodyPr>
                      </wps:wsp>
                      <wps:wsp>
                        <wps:cNvPr id="605" name="Textbox 605"/>
                        <wps:cNvSpPr txBox="1"/>
                        <wps:spPr>
                          <a:xfrm>
                            <a:off x="2661630" y="1084890"/>
                            <a:ext cx="1169035" cy="391795"/>
                          </a:xfrm>
                          <a:prstGeom prst="rect">
                            <a:avLst/>
                          </a:prstGeom>
                        </wps:spPr>
                        <wps:txbx>
                          <w:txbxContent>
                            <w:p w:rsidR="00C31389" w:rsidRDefault="00561FBD" w14:paraId="1036186B" w14:textId="77777777">
                              <w:pPr>
                                <w:ind w:right="18"/>
                                <w:jc w:val="center"/>
                                <w:rPr>
                                  <w:sz w:val="18"/>
                                </w:rPr>
                              </w:pPr>
                              <w:r>
                                <w:rPr>
                                  <w:sz w:val="18"/>
                                </w:rPr>
                                <w:t>Gas Furnace-Only Technology</w:t>
                              </w:r>
                              <w:r>
                                <w:rPr>
                                  <w:spacing w:val="-15"/>
                                  <w:sz w:val="18"/>
                                </w:rPr>
                                <w:t xml:space="preserve"> </w:t>
                              </w:r>
                              <w:r>
                                <w:rPr>
                                  <w:sz w:val="18"/>
                                </w:rPr>
                                <w:t>Group</w:t>
                              </w:r>
                              <w:r>
                                <w:rPr>
                                  <w:spacing w:val="-12"/>
                                  <w:sz w:val="18"/>
                                </w:rPr>
                                <w:t xml:space="preserve"> </w:t>
                              </w:r>
                              <w:r>
                                <w:rPr>
                                  <w:sz w:val="18"/>
                                </w:rPr>
                                <w:t>(No Fuel Sub)</w:t>
                              </w:r>
                            </w:p>
                          </w:txbxContent>
                        </wps:txbx>
                        <wps:bodyPr wrap="square" lIns="0" tIns="0" rIns="0" bIns="0" rtlCol="0">
                          <a:noAutofit/>
                        </wps:bodyPr>
                      </wps:wsp>
                      <wps:wsp>
                        <wps:cNvPr id="606" name="Textbox 606"/>
                        <wps:cNvSpPr txBox="1"/>
                        <wps:spPr>
                          <a:xfrm>
                            <a:off x="237060" y="2008432"/>
                            <a:ext cx="800735" cy="391795"/>
                          </a:xfrm>
                          <a:prstGeom prst="rect">
                            <a:avLst/>
                          </a:prstGeom>
                        </wps:spPr>
                        <wps:txbx>
                          <w:txbxContent>
                            <w:p w:rsidR="00C31389" w:rsidRDefault="00561FBD" w14:paraId="48D1A0F4" w14:textId="77777777">
                              <w:pPr>
                                <w:ind w:right="18" w:hanging="1"/>
                                <w:jc w:val="center"/>
                                <w:rPr>
                                  <w:sz w:val="18"/>
                                </w:rPr>
                              </w:pPr>
                              <w:r>
                                <w:rPr>
                                  <w:sz w:val="18"/>
                                </w:rPr>
                                <w:t>Homes with Electric</w:t>
                              </w:r>
                              <w:r>
                                <w:rPr>
                                  <w:spacing w:val="-15"/>
                                  <w:sz w:val="18"/>
                                </w:rPr>
                                <w:t xml:space="preserve"> </w:t>
                              </w:r>
                              <w:r>
                                <w:rPr>
                                  <w:sz w:val="18"/>
                                </w:rPr>
                                <w:t>AC</w:t>
                              </w:r>
                              <w:r>
                                <w:rPr>
                                  <w:spacing w:val="-12"/>
                                  <w:sz w:val="18"/>
                                </w:rPr>
                                <w:t xml:space="preserve"> </w:t>
                              </w:r>
                              <w:r>
                                <w:rPr>
                                  <w:sz w:val="18"/>
                                </w:rPr>
                                <w:t xml:space="preserve">and No </w:t>
                              </w:r>
                              <w:r>
                                <w:rPr>
                                  <w:sz w:val="18"/>
                                </w:rPr>
                                <w:t>Furnace</w:t>
                              </w:r>
                            </w:p>
                          </w:txbxContent>
                        </wps:txbx>
                        <wps:bodyPr wrap="square" lIns="0" tIns="0" rIns="0" bIns="0" rtlCol="0">
                          <a:noAutofit/>
                        </wps:bodyPr>
                      </wps:wsp>
                      <wps:wsp>
                        <wps:cNvPr id="607" name="Textbox 607"/>
                        <wps:cNvSpPr txBox="1"/>
                        <wps:spPr>
                          <a:xfrm>
                            <a:off x="2649514" y="2073964"/>
                            <a:ext cx="1193165" cy="259715"/>
                          </a:xfrm>
                          <a:prstGeom prst="rect">
                            <a:avLst/>
                          </a:prstGeom>
                        </wps:spPr>
                        <wps:txbx>
                          <w:txbxContent>
                            <w:p w:rsidR="00C31389" w:rsidRDefault="00561FBD" w14:paraId="23C4487E" w14:textId="77777777">
                              <w:pPr>
                                <w:ind w:left="94" w:hanging="95"/>
                                <w:rPr>
                                  <w:sz w:val="18"/>
                                </w:rPr>
                              </w:pPr>
                              <w:r>
                                <w:rPr>
                                  <w:sz w:val="18"/>
                                </w:rPr>
                                <w:t>Central</w:t>
                              </w:r>
                              <w:r>
                                <w:rPr>
                                  <w:spacing w:val="-15"/>
                                  <w:sz w:val="18"/>
                                </w:rPr>
                                <w:t xml:space="preserve"> </w:t>
                              </w:r>
                              <w:r>
                                <w:rPr>
                                  <w:sz w:val="18"/>
                                </w:rPr>
                                <w:t>AC</w:t>
                              </w:r>
                              <w:r>
                                <w:rPr>
                                  <w:spacing w:val="-12"/>
                                  <w:sz w:val="18"/>
                                </w:rPr>
                                <w:t xml:space="preserve"> </w:t>
                              </w:r>
                              <w:r>
                                <w:rPr>
                                  <w:sz w:val="18"/>
                                </w:rPr>
                                <w:t>Technology Group (No Fuel Sub)</w:t>
                              </w:r>
                            </w:p>
                          </w:txbxContent>
                        </wps:txbx>
                        <wps:bodyPr wrap="square" lIns="0" tIns="0" rIns="0" bIns="0" rtlCol="0">
                          <a:noAutofit/>
                        </wps:bodyPr>
                      </wps:wsp>
                    </wpg:wgp>
                  </a:graphicData>
                </a:graphic>
              </wp:anchor>
            </w:drawing>
          </mc:Choice>
          <mc:Fallback>
            <w:pict>
              <v:group id="Group 586" style="position:absolute;margin-left:119.8pt;margin-top:16.45pt;width:314.85pt;height:201.4pt;z-index:-15632384;mso-wrap-distance-left:0;mso-wrap-distance-right:0;mso-position-horizontal-relative:page;mso-position-vertical-relative:text" coordsize="39985,25577" o:spid="_x0000_s1130" w14:anchorId="205C1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">
                <v:shape id="Graphic 587" style="position:absolute;left:588;top:18589;width:11430;height:6858;visibility:visible;mso-wrap-style:square;v-text-anchor:top" coordsize="1143000,685800" o:spid="_x0000_s1131" filled="f" strokecolor="#92d400" strokeweight="2pt" path="m,114300l8981,69806,33475,33475,69806,8981,114300,r914323,l1073116,8981r36332,24494l1133942,69806r8981,44494l1142923,571487r-8981,44493l1109448,652311r-36332,24494l1028623,685787r-914323,l69806,676805,33475,652311,8981,615980,,571487,,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">
                  <v:path arrowok="t"/>
                </v:shape>
                <v:shape id="Graphic 588" style="position:absolute;left:127;top:3555;width:11391;height:6858;visibility:visible;mso-wrap-style:square;v-text-anchor:top" coordsize="1139190,685800" o:spid="_x0000_s1132" filled="f" strokecolor="#92d400" strokeweight="2pt" path="m,114300l8981,69806,33475,33475,69806,8981,114300,r909993,l1068780,8981r36332,24494l1129609,69806r8984,44494l1138593,571487r-8984,44493l1105112,652311r-36332,24494l1024293,685787r-909993,l69806,676805,33475,652311,8981,615980,,571487,,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">
                  <v:path arrowok="t"/>
                </v:shape>
                <v:shape id="Graphic 589" style="position:absolute;left:24940;top:127;width:14916;height:6858;visibility:visible;mso-wrap-style:square;v-text-anchor:top" coordsize="1491615,685800" o:spid="_x0000_s1133" filled="f" strokecolor="#1f54c8" strokeweight="2pt" path="m,114300l8981,69806,33475,33475,69806,8981,114300,,1377035,r44488,8981l1457855,33475r24497,36331l1491335,114300r,457187l1482352,615980r-24497,36331l1421523,676805r-44488,8982l114300,685787,69806,676805,33475,652311,8981,615980,,571487,,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">
                  <v:path arrowok="t"/>
                </v:shape>
                <v:shape id="Graphic 590" style="position:absolute;left:11512;top:3713;width:12815;height:3276;visibility:visible;mso-wrap-style:square;v-text-anchor:top" coordsize="1281430,327660" o:spid="_x0000_s1134" filled="f" path="m,327177l12812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">
                  <v:path arrowok="t"/>
                </v:shape>
                <v:shape id="Graphic 591" style="position:absolute;left:24107;top:3375;width:838;height:743;visibility:visible;mso-wrap-style:square;v-text-anchor:top" coordsize="83820,74295" o:spid="_x0000_s1135" fillcolor="black" stroked="f" path="m,l18859,73825,83261,180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">
                  <v:path arrowok="t"/>
                </v:shape>
                <v:shape id="Graphic 592" style="position:absolute;left:11512;top:6984;width:6877;height:5366;visibility:visible;mso-wrap-style:square;v-text-anchor:top" coordsize="687705,536575" o:spid="_x0000_s1136" filled="f" path="m,l687146,5364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">
                  <v:path arrowok="t"/>
                </v:shape>
                <v:shape id="Graphic 593" style="position:absolute;left:18478;top:12349;width:5734;height:400;visibility:visible;mso-wrap-style:square;v-text-anchor:top" coordsize="573405,40005" o:spid="_x0000_s1137" filled="f" path="m,l573341,39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">
                  <v:path arrowok="t"/>
                </v:shape>
                <v:shape id="Graphic 594" style="position:absolute;left:24940;top:9358;width:14916;height:6858;visibility:visible;mso-wrap-style:square;v-text-anchor:top" coordsize="1491615,685800" o:spid="_x0000_s1138" filled="f" strokecolor="#1f54c8" strokeweight="2pt" path="m,114300l8981,69806,33475,33475,69806,8981,114300,,1377035,r44488,8981l1457855,33475r24497,36331l1491335,114300r,457187l1482352,615980r-24497,36331l1421523,676805r-44488,8982l114300,685787,69806,676805,33475,652311,8981,615980,,571487,,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">
                  <v:path arrowok="t"/>
                </v:shape>
                <v:shape id="Graphic 595" style="position:absolute;left:24059;top:12355;width:787;height:762;visibility:visible;mso-wrap-style:square;v-text-anchor:top" coordsize="78740,76200" o:spid="_x0000_s1139" fillcolor="black" stroked="f" path="m5232,l,76022,78638,43243,5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">
                  <v:path arrowok="t"/>
                </v:shape>
                <v:shape id="Graphic 596" style="position:absolute;left:24940;top:18589;width:14916;height:6858;visibility:visible;mso-wrap-style:square;v-text-anchor:top" coordsize="1491615,685800" o:spid="_x0000_s1140" filled="f" strokecolor="#1f54c8" strokeweight="2pt" path="m,114300l8981,69806,33475,33475,69806,8981,114300,,1377035,r44488,8981l1457855,33475r24497,36331l1491335,114300r,457187l1482352,615980r-24497,36331l1421523,676805r-44488,8982l114300,685787,69806,676805,33475,652311,8981,615980,,571487,,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">
                  <v:path arrowok="t"/>
                </v:shape>
                <v:shape id="Graphic 597" style="position:absolute;left:18478;top:12349;width:6109;height:9144;visibility:visible;mso-wrap-style:square;v-text-anchor:top" coordsize="610870,914400" o:spid="_x0000_s1141" filled="f" path="m,l610870,9140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">
                  <v:path arrowok="t"/>
                </v:shape>
                <v:shape id="Graphic 598" style="position:absolute;left:24200;top:21173;width:743;height:851;visibility:visible;mso-wrap-style:square;v-text-anchor:top" coordsize="74295,85090" o:spid="_x0000_s1142" fillcolor="black" stroked="f" path="m63360,l,42341,74015,84531,63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">
                  <v:path arrowok="t"/>
                </v:shape>
                <v:shape id="Graphic 599" style="position:absolute;left:12017;top:22018;width:12293;height:13;visibility:visible;mso-wrap-style:square;v-text-anchor:top" coordsize="1229360,1270" o:spid="_x0000_s1143" filled="f" path="m,l1228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">
                  <v:path arrowok="t"/>
                </v:shape>
                <v:shape id="Graphic 600" style="position:absolute;left:24178;top:21637;width:762;height:762;visibility:visible;mso-wrap-style:square;v-text-anchor:top" coordsize="76200,76200" o:spid="_x0000_s1144" fillcolor="black" stroked="f" path="m,l,76200,76200,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">
                  <v:path arrowok="t"/>
                </v:shape>
                <v:shape id="Textbox 601" style="position:absolute;left:12672;top:676;width:7429;height:3911;visibility:visible;mso-wrap-style:square;v-text-anchor:top" o:spid="_x0000_s11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v:textbox inset="0,0,0,0">
                    <w:txbxContent>
                      <w:p w:rsidR="00C31389" w:rsidRDefault="00561FBD" w14:paraId="24E382BB" w14:textId="77777777">
                        <w:pPr>
                          <w:rPr>
                            <w:sz w:val="18"/>
                          </w:rPr>
                        </w:pPr>
                        <w:r>
                          <w:rPr>
                            <w:spacing w:val="-2"/>
                            <w:sz w:val="18"/>
                          </w:rPr>
                          <w:t>Percentage System Replacements</w:t>
                        </w:r>
                      </w:p>
                    </w:txbxContent>
                  </v:textbox>
                </v:shape>
                <v:shape id="Textbox 602" style="position:absolute;left:1631;top:5042;width:8509;height:3918;visibility:visible;mso-wrap-style:square;v-text-anchor:top" o:spid="_x0000_s11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v:textbox inset="0,0,0,0">
                    <w:txbxContent>
                      <w:p w:rsidR="00C31389" w:rsidRDefault="00561FBD" w14:paraId="7556D6FF" w14:textId="77777777">
                        <w:pPr>
                          <w:ind w:left="-1" w:right="18"/>
                          <w:jc w:val="center"/>
                          <w:rPr>
                            <w:sz w:val="18"/>
                          </w:rPr>
                        </w:pPr>
                        <w:r>
                          <w:rPr>
                            <w:sz w:val="18"/>
                          </w:rPr>
                          <w:t>Homes</w:t>
                        </w:r>
                        <w:r>
                          <w:rPr>
                            <w:spacing w:val="-15"/>
                            <w:sz w:val="18"/>
                          </w:rPr>
                          <w:t xml:space="preserve"> </w:t>
                        </w:r>
                        <w:r>
                          <w:rPr>
                            <w:sz w:val="18"/>
                          </w:rPr>
                          <w:t>with</w:t>
                        </w:r>
                        <w:r>
                          <w:rPr>
                            <w:spacing w:val="-12"/>
                            <w:sz w:val="18"/>
                          </w:rPr>
                          <w:t xml:space="preserve"> </w:t>
                        </w:r>
                        <w:r>
                          <w:rPr>
                            <w:sz w:val="18"/>
                          </w:rPr>
                          <w:t>Gas Furnace and Electric AC</w:t>
                        </w:r>
                      </w:p>
                    </w:txbxContent>
                  </v:textbox>
                </v:shape>
                <v:shape id="Textbox 603" style="position:absolute;left:26434;top:1613;width:12058;height:3918;visibility:visible;mso-wrap-style:square;v-text-anchor:top" o:spid="_x0000_s11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v:textbox inset="0,0,0,0">
                    <w:txbxContent>
                      <w:p w:rsidR="00C31389" w:rsidRDefault="00561FBD" w14:paraId="7BE6C5A5" w14:textId="77777777">
                        <w:pPr>
                          <w:ind w:right="18"/>
                          <w:jc w:val="center"/>
                          <w:rPr>
                            <w:sz w:val="18"/>
                          </w:rPr>
                        </w:pPr>
                        <w:r>
                          <w:rPr>
                            <w:sz w:val="18"/>
                          </w:rPr>
                          <w:t>Combined</w:t>
                        </w:r>
                        <w:r>
                          <w:rPr>
                            <w:spacing w:val="-15"/>
                            <w:sz w:val="18"/>
                          </w:rPr>
                          <w:t xml:space="preserve"> </w:t>
                        </w:r>
                        <w:r>
                          <w:rPr>
                            <w:sz w:val="18"/>
                          </w:rPr>
                          <w:t>Furnace</w:t>
                        </w:r>
                        <w:r>
                          <w:rPr>
                            <w:spacing w:val="-12"/>
                            <w:sz w:val="18"/>
                          </w:rPr>
                          <w:t xml:space="preserve"> </w:t>
                        </w:r>
                        <w:r>
                          <w:rPr>
                            <w:sz w:val="18"/>
                          </w:rPr>
                          <w:t xml:space="preserve">and AC to Heat Pump Fuel </w:t>
                        </w:r>
                        <w:r>
                          <w:rPr>
                            <w:spacing w:val="-4"/>
                            <w:sz w:val="18"/>
                          </w:rPr>
                          <w:t>Sub</w:t>
                        </w:r>
                      </w:p>
                    </w:txbxContent>
                  </v:textbox>
                </v:shape>
                <v:shape id="Textbox 604" style="position:absolute;left:10805;top:11847;width:7430;height:3911;visibility:visible;mso-wrap-style:square;v-text-anchor:top" o:spid="_x0000_s11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v:textbox inset="0,0,0,0">
                    <w:txbxContent>
                      <w:p w:rsidR="00C31389" w:rsidRDefault="00561FBD" w14:paraId="33A5C088" w14:textId="77777777">
                        <w:pPr>
                          <w:rPr>
                            <w:sz w:val="18"/>
                          </w:rPr>
                        </w:pPr>
                        <w:r>
                          <w:rPr>
                            <w:spacing w:val="-2"/>
                            <w:sz w:val="18"/>
                          </w:rPr>
                          <w:t>Percentage Component Replacements</w:t>
                        </w:r>
                      </w:p>
                    </w:txbxContent>
                  </v:textbox>
                </v:shape>
                <v:shape id="Textbox 605" style="position:absolute;left:26616;top:10848;width:11690;height:3918;visibility:visible;mso-wrap-style:square;v-text-anchor:top" o:spid="_x0000_s11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v:textbox inset="0,0,0,0">
                    <w:txbxContent>
                      <w:p w:rsidR="00C31389" w:rsidRDefault="00561FBD" w14:paraId="1036186B" w14:textId="77777777">
                        <w:pPr>
                          <w:ind w:right="18"/>
                          <w:jc w:val="center"/>
                          <w:rPr>
                            <w:sz w:val="18"/>
                          </w:rPr>
                        </w:pPr>
                        <w:r>
                          <w:rPr>
                            <w:sz w:val="18"/>
                          </w:rPr>
                          <w:t>Gas Furnace-Only Technology</w:t>
                        </w:r>
                        <w:r>
                          <w:rPr>
                            <w:spacing w:val="-15"/>
                            <w:sz w:val="18"/>
                          </w:rPr>
                          <w:t xml:space="preserve"> </w:t>
                        </w:r>
                        <w:r>
                          <w:rPr>
                            <w:sz w:val="18"/>
                          </w:rPr>
                          <w:t>Group</w:t>
                        </w:r>
                        <w:r>
                          <w:rPr>
                            <w:spacing w:val="-12"/>
                            <w:sz w:val="18"/>
                          </w:rPr>
                          <w:t xml:space="preserve"> </w:t>
                        </w:r>
                        <w:r>
                          <w:rPr>
                            <w:sz w:val="18"/>
                          </w:rPr>
                          <w:t>(No Fuel Sub)</w:t>
                        </w:r>
                      </w:p>
                    </w:txbxContent>
                  </v:textbox>
                </v:shape>
                <v:shape id="Textbox 606" style="position:absolute;left:2370;top:20084;width:8007;height:3918;visibility:visible;mso-wrap-style:square;v-text-anchor:top" o:spid="_x0000_s11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v:textbox inset="0,0,0,0">
                    <w:txbxContent>
                      <w:p w:rsidR="00C31389" w:rsidRDefault="00561FBD" w14:paraId="48D1A0F4" w14:textId="77777777">
                        <w:pPr>
                          <w:ind w:right="18" w:hanging="1"/>
                          <w:jc w:val="center"/>
                          <w:rPr>
                            <w:sz w:val="18"/>
                          </w:rPr>
                        </w:pPr>
                        <w:r>
                          <w:rPr>
                            <w:sz w:val="18"/>
                          </w:rPr>
                          <w:t>Homes with Electric</w:t>
                        </w:r>
                        <w:r>
                          <w:rPr>
                            <w:spacing w:val="-15"/>
                            <w:sz w:val="18"/>
                          </w:rPr>
                          <w:t xml:space="preserve"> </w:t>
                        </w:r>
                        <w:r>
                          <w:rPr>
                            <w:sz w:val="18"/>
                          </w:rPr>
                          <w:t>AC</w:t>
                        </w:r>
                        <w:r>
                          <w:rPr>
                            <w:spacing w:val="-12"/>
                            <w:sz w:val="18"/>
                          </w:rPr>
                          <w:t xml:space="preserve"> </w:t>
                        </w:r>
                        <w:r>
                          <w:rPr>
                            <w:sz w:val="18"/>
                          </w:rPr>
                          <w:t xml:space="preserve">and No </w:t>
                        </w:r>
                        <w:r>
                          <w:rPr>
                            <w:sz w:val="18"/>
                          </w:rPr>
                          <w:t>Furnace</w:t>
                        </w:r>
                      </w:p>
                    </w:txbxContent>
                  </v:textbox>
                </v:shape>
                <v:shape id="Textbox 607" style="position:absolute;left:26495;top:20739;width:11931;height:2597;visibility:visible;mso-wrap-style:square;v-text-anchor:top" o:spid="_x0000_s11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v:textbox inset="0,0,0,0">
                    <w:txbxContent>
                      <w:p w:rsidR="00C31389" w:rsidRDefault="00561FBD" w14:paraId="23C4487E" w14:textId="77777777">
                        <w:pPr>
                          <w:ind w:left="94" w:hanging="95"/>
                          <w:rPr>
                            <w:sz w:val="18"/>
                          </w:rPr>
                        </w:pPr>
                        <w:r>
                          <w:rPr>
                            <w:sz w:val="18"/>
                          </w:rPr>
                          <w:t>Central</w:t>
                        </w:r>
                        <w:r>
                          <w:rPr>
                            <w:spacing w:val="-15"/>
                            <w:sz w:val="18"/>
                          </w:rPr>
                          <w:t xml:space="preserve"> </w:t>
                        </w:r>
                        <w:r>
                          <w:rPr>
                            <w:sz w:val="18"/>
                          </w:rPr>
                          <w:t>AC</w:t>
                        </w:r>
                        <w:r>
                          <w:rPr>
                            <w:spacing w:val="-12"/>
                            <w:sz w:val="18"/>
                          </w:rPr>
                          <w:t xml:space="preserve"> </w:t>
                        </w:r>
                        <w:r>
                          <w:rPr>
                            <w:sz w:val="18"/>
                          </w:rPr>
                          <w:t>Technology Group (No Fuel Sub)</w:t>
                        </w:r>
                      </w:p>
                    </w:txbxContent>
                  </v:textbox>
                </v:shape>
                <w10:wrap type="topAndBottom" anchorx="page"/>
              </v:group>
            </w:pict>
          </mc:Fallback>
        </mc:AlternateContent>
      </w:r>
      <w:r>
        <w:rPr>
          <w:noProof/>
        </w:rPr>
        <mc:AlternateContent>
          <mc:Choice Requires="wpg">
            <w:drawing>
              <wp:anchor distT="0" distB="0" distL="0" distR="0" simplePos="0" relativeHeight="487684608" behindDoc="1" locked="0" layoutInCell="1" allowOverlap="1" wp14:editId="15C88E9B" wp14:anchorId="60AADC0B">
                <wp:simplePos x="0" y="0"/>
                <wp:positionH relativeFrom="page">
                  <wp:posOffset>1517334</wp:posOffset>
                </wp:positionH>
                <wp:positionV relativeFrom="paragraph">
                  <wp:posOffset>2978626</wp:posOffset>
                </wp:positionV>
                <wp:extent cx="4002404" cy="711200"/>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2404" cy="711200"/>
                          <a:chOff x="0" y="0"/>
                          <a:chExt cx="4002404" cy="711200"/>
                        </a:xfrm>
                      </wpg:grpSpPr>
                      <wps:wsp>
                        <wps:cNvPr id="609" name="Graphic 609"/>
                        <wps:cNvSpPr/>
                        <wps:spPr>
                          <a:xfrm>
                            <a:off x="12700" y="12700"/>
                            <a:ext cx="1143000" cy="685800"/>
                          </a:xfrm>
                          <a:custGeom>
                            <a:avLst/>
                            <a:gdLst/>
                            <a:ahLst/>
                            <a:cxnLst/>
                            <a:rect l="l" t="t" r="r" b="b"/>
                            <a:pathLst>
                              <a:path w="1143000" h="685800">
                                <a:moveTo>
                                  <a:pt x="0" y="114300"/>
                                </a:moveTo>
                                <a:lnTo>
                                  <a:pt x="8981" y="69806"/>
                                </a:lnTo>
                                <a:lnTo>
                                  <a:pt x="33475" y="33475"/>
                                </a:lnTo>
                                <a:lnTo>
                                  <a:pt x="69806" y="8981"/>
                                </a:lnTo>
                                <a:lnTo>
                                  <a:pt x="114300" y="0"/>
                                </a:lnTo>
                                <a:lnTo>
                                  <a:pt x="1028623" y="0"/>
                                </a:lnTo>
                                <a:lnTo>
                                  <a:pt x="1073116" y="8981"/>
                                </a:lnTo>
                                <a:lnTo>
                                  <a:pt x="1109448" y="33475"/>
                                </a:lnTo>
                                <a:lnTo>
                                  <a:pt x="1133942" y="69806"/>
                                </a:lnTo>
                                <a:lnTo>
                                  <a:pt x="1142923" y="114300"/>
                                </a:lnTo>
                                <a:lnTo>
                                  <a:pt x="1142923" y="571487"/>
                                </a:lnTo>
                                <a:lnTo>
                                  <a:pt x="1133942" y="615980"/>
                                </a:lnTo>
                                <a:lnTo>
                                  <a:pt x="1109448" y="652311"/>
                                </a:lnTo>
                                <a:lnTo>
                                  <a:pt x="1073116" y="676805"/>
                                </a:lnTo>
                                <a:lnTo>
                                  <a:pt x="1028623" y="685787"/>
                                </a:lnTo>
                                <a:lnTo>
                                  <a:pt x="114300" y="685787"/>
                                </a:lnTo>
                                <a:lnTo>
                                  <a:pt x="69806" y="676805"/>
                                </a:lnTo>
                                <a:lnTo>
                                  <a:pt x="33475" y="652311"/>
                                </a:lnTo>
                                <a:lnTo>
                                  <a:pt x="8981" y="615980"/>
                                </a:lnTo>
                                <a:lnTo>
                                  <a:pt x="0" y="571487"/>
                                </a:lnTo>
                                <a:lnTo>
                                  <a:pt x="0" y="114300"/>
                                </a:lnTo>
                                <a:close/>
                              </a:path>
                            </a:pathLst>
                          </a:custGeom>
                          <a:ln w="25400">
                            <a:solidFill>
                              <a:srgbClr val="92D400"/>
                            </a:solidFill>
                            <a:prstDash val="solid"/>
                          </a:ln>
                        </wps:spPr>
                        <wps:bodyPr wrap="square" lIns="0" tIns="0" rIns="0" bIns="0" rtlCol="0">
                          <a:prstTxWarp prst="textNoShape">
                            <a:avLst/>
                          </a:prstTxWarp>
                          <a:noAutofit/>
                        </wps:bodyPr>
                      </wps:wsp>
                      <wps:wsp>
                        <wps:cNvPr id="610" name="Graphic 610"/>
                        <wps:cNvSpPr/>
                        <wps:spPr>
                          <a:xfrm>
                            <a:off x="1155630" y="355593"/>
                            <a:ext cx="1279525" cy="1270"/>
                          </a:xfrm>
                          <a:custGeom>
                            <a:avLst/>
                            <a:gdLst/>
                            <a:ahLst/>
                            <a:cxnLst/>
                            <a:rect l="l" t="t" r="r" b="b"/>
                            <a:pathLst>
                              <a:path w="1279525">
                                <a:moveTo>
                                  <a:pt x="0" y="0"/>
                                </a:moveTo>
                                <a:lnTo>
                                  <a:pt x="1279245" y="0"/>
                                </a:lnTo>
                              </a:path>
                            </a:pathLst>
                          </a:custGeom>
                          <a:ln w="9525">
                            <a:solidFill>
                              <a:srgbClr val="000000"/>
                            </a:solidFill>
                            <a:prstDash val="solid"/>
                          </a:ln>
                        </wps:spPr>
                        <wps:bodyPr wrap="square" lIns="0" tIns="0" rIns="0" bIns="0" rtlCol="0">
                          <a:prstTxWarp prst="textNoShape">
                            <a:avLst/>
                          </a:prstTxWarp>
                          <a:noAutofit/>
                        </wps:bodyPr>
                      </wps:wsp>
                      <wps:wsp>
                        <wps:cNvPr id="611" name="Graphic 611"/>
                        <wps:cNvSpPr/>
                        <wps:spPr>
                          <a:xfrm>
                            <a:off x="2498374" y="12700"/>
                            <a:ext cx="1491615" cy="685800"/>
                          </a:xfrm>
                          <a:custGeom>
                            <a:avLst/>
                            <a:gdLst/>
                            <a:ahLst/>
                            <a:cxnLst/>
                            <a:rect l="l" t="t" r="r" b="b"/>
                            <a:pathLst>
                              <a:path w="1491615" h="685800">
                                <a:moveTo>
                                  <a:pt x="0" y="114300"/>
                                </a:moveTo>
                                <a:lnTo>
                                  <a:pt x="8981" y="69806"/>
                                </a:lnTo>
                                <a:lnTo>
                                  <a:pt x="33475" y="33475"/>
                                </a:lnTo>
                                <a:lnTo>
                                  <a:pt x="69806" y="8981"/>
                                </a:lnTo>
                                <a:lnTo>
                                  <a:pt x="114300" y="0"/>
                                </a:lnTo>
                                <a:lnTo>
                                  <a:pt x="1377035" y="0"/>
                                </a:lnTo>
                                <a:lnTo>
                                  <a:pt x="1421523" y="8981"/>
                                </a:lnTo>
                                <a:lnTo>
                                  <a:pt x="1457855" y="33475"/>
                                </a:lnTo>
                                <a:lnTo>
                                  <a:pt x="1482352" y="69806"/>
                                </a:lnTo>
                                <a:lnTo>
                                  <a:pt x="1491335" y="114300"/>
                                </a:lnTo>
                                <a:lnTo>
                                  <a:pt x="1491335" y="571487"/>
                                </a:lnTo>
                                <a:lnTo>
                                  <a:pt x="1482352" y="615980"/>
                                </a:lnTo>
                                <a:lnTo>
                                  <a:pt x="1457855" y="652311"/>
                                </a:lnTo>
                                <a:lnTo>
                                  <a:pt x="1421523" y="676805"/>
                                </a:lnTo>
                                <a:lnTo>
                                  <a:pt x="1377035" y="685787"/>
                                </a:lnTo>
                                <a:lnTo>
                                  <a:pt x="114300" y="685787"/>
                                </a:lnTo>
                                <a:lnTo>
                                  <a:pt x="69806" y="676805"/>
                                </a:lnTo>
                                <a:lnTo>
                                  <a:pt x="33475" y="652311"/>
                                </a:lnTo>
                                <a:lnTo>
                                  <a:pt x="8981" y="615980"/>
                                </a:lnTo>
                                <a:lnTo>
                                  <a:pt x="0" y="571487"/>
                                </a:lnTo>
                                <a:lnTo>
                                  <a:pt x="0" y="114300"/>
                                </a:lnTo>
                                <a:close/>
                              </a:path>
                            </a:pathLst>
                          </a:custGeom>
                          <a:ln w="25400">
                            <a:solidFill>
                              <a:srgbClr val="1F54C8"/>
                            </a:solidFill>
                            <a:prstDash val="solid"/>
                          </a:ln>
                        </wps:spPr>
                        <wps:bodyPr wrap="square" lIns="0" tIns="0" rIns="0" bIns="0" rtlCol="0">
                          <a:prstTxWarp prst="textNoShape">
                            <a:avLst/>
                          </a:prstTxWarp>
                          <a:noAutofit/>
                        </wps:bodyPr>
                      </wps:wsp>
                      <wps:wsp>
                        <wps:cNvPr id="612" name="Graphic 612"/>
                        <wps:cNvSpPr/>
                        <wps:spPr>
                          <a:xfrm>
                            <a:off x="2422177" y="31749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613" name="Textbox 613"/>
                        <wps:cNvSpPr txBox="1"/>
                        <wps:spPr>
                          <a:xfrm>
                            <a:off x="165161" y="161784"/>
                            <a:ext cx="850900" cy="391795"/>
                          </a:xfrm>
                          <a:prstGeom prst="rect">
                            <a:avLst/>
                          </a:prstGeom>
                        </wps:spPr>
                        <wps:txbx>
                          <w:txbxContent>
                            <w:p w:rsidR="00C31389" w:rsidRDefault="00561FBD" w14:paraId="5ED7B08E" w14:textId="77777777">
                              <w:pPr>
                                <w:ind w:left="-1" w:right="18"/>
                                <w:jc w:val="center"/>
                                <w:rPr>
                                  <w:sz w:val="18"/>
                                </w:rPr>
                              </w:pPr>
                              <w:r>
                                <w:rPr>
                                  <w:sz w:val="18"/>
                                </w:rPr>
                                <w:t>Homes</w:t>
                              </w:r>
                              <w:r>
                                <w:rPr>
                                  <w:spacing w:val="-15"/>
                                  <w:sz w:val="18"/>
                                </w:rPr>
                                <w:t xml:space="preserve"> </w:t>
                              </w:r>
                              <w:r>
                                <w:rPr>
                                  <w:sz w:val="18"/>
                                </w:rPr>
                                <w:t>with</w:t>
                              </w:r>
                              <w:r>
                                <w:rPr>
                                  <w:spacing w:val="-12"/>
                                  <w:sz w:val="18"/>
                                </w:rPr>
                                <w:t xml:space="preserve"> </w:t>
                              </w:r>
                              <w:r>
                                <w:rPr>
                                  <w:sz w:val="18"/>
                                </w:rPr>
                                <w:t>Gas Furnace</w:t>
                              </w:r>
                              <w:r>
                                <w:rPr>
                                  <w:spacing w:val="-4"/>
                                  <w:sz w:val="18"/>
                                </w:rPr>
                                <w:t xml:space="preserve"> </w:t>
                              </w:r>
                              <w:r>
                                <w:rPr>
                                  <w:sz w:val="18"/>
                                </w:rPr>
                                <w:t>and</w:t>
                              </w:r>
                              <w:r>
                                <w:rPr>
                                  <w:spacing w:val="-4"/>
                                  <w:sz w:val="18"/>
                                </w:rPr>
                                <w:t xml:space="preserve"> </w:t>
                              </w:r>
                              <w:r>
                                <w:rPr>
                                  <w:sz w:val="18"/>
                                </w:rPr>
                                <w:t xml:space="preserve">No </w:t>
                              </w:r>
                              <w:r>
                                <w:rPr>
                                  <w:spacing w:val="-6"/>
                                  <w:sz w:val="18"/>
                                </w:rPr>
                                <w:t>AC</w:t>
                              </w:r>
                            </w:p>
                          </w:txbxContent>
                        </wps:txbx>
                        <wps:bodyPr wrap="square" lIns="0" tIns="0" rIns="0" bIns="0" rtlCol="0">
                          <a:noAutofit/>
                        </wps:bodyPr>
                      </wps:wsp>
                      <wps:wsp>
                        <wps:cNvPr id="614" name="Textbox 614"/>
                        <wps:cNvSpPr txBox="1"/>
                        <wps:spPr>
                          <a:xfrm>
                            <a:off x="2669855" y="161784"/>
                            <a:ext cx="1162050" cy="391795"/>
                          </a:xfrm>
                          <a:prstGeom prst="rect">
                            <a:avLst/>
                          </a:prstGeom>
                        </wps:spPr>
                        <wps:txbx>
                          <w:txbxContent>
                            <w:p w:rsidR="00C31389" w:rsidRDefault="00561FBD" w14:paraId="0D44C22B" w14:textId="77777777">
                              <w:pPr>
                                <w:ind w:right="18"/>
                                <w:jc w:val="center"/>
                                <w:rPr>
                                  <w:sz w:val="18"/>
                                </w:rPr>
                              </w:pPr>
                              <w:r>
                                <w:rPr>
                                  <w:sz w:val="18"/>
                                </w:rPr>
                                <w:t>Furnace</w:t>
                              </w:r>
                              <w:r>
                                <w:rPr>
                                  <w:spacing w:val="-13"/>
                                  <w:sz w:val="18"/>
                                </w:rPr>
                                <w:t xml:space="preserve"> </w:t>
                              </w:r>
                              <w:r>
                                <w:rPr>
                                  <w:sz w:val="18"/>
                                </w:rPr>
                                <w:t>to</w:t>
                              </w:r>
                              <w:r>
                                <w:rPr>
                                  <w:spacing w:val="-12"/>
                                  <w:sz w:val="18"/>
                                </w:rPr>
                                <w:t xml:space="preserve"> </w:t>
                              </w:r>
                              <w:r>
                                <w:rPr>
                                  <w:sz w:val="18"/>
                                </w:rPr>
                                <w:t>Heat</w:t>
                              </w:r>
                              <w:r>
                                <w:rPr>
                                  <w:spacing w:val="-13"/>
                                  <w:sz w:val="18"/>
                                </w:rPr>
                                <w:t xml:space="preserve"> </w:t>
                              </w:r>
                              <w:r>
                                <w:rPr>
                                  <w:sz w:val="18"/>
                                </w:rPr>
                                <w:t>Pump Fuel Sub (Heating Energy Only)</w:t>
                              </w:r>
                            </w:p>
                          </w:txbxContent>
                        </wps:txbx>
                        <wps:bodyPr wrap="square" lIns="0" tIns="0" rIns="0" bIns="0" rtlCol="0">
                          <a:noAutofit/>
                        </wps:bodyPr>
                      </wps:wsp>
                    </wpg:wgp>
                  </a:graphicData>
                </a:graphic>
              </wp:anchor>
            </w:drawing>
          </mc:Choice>
          <mc:Fallback>
            <w:pict>
              <v:group id="Group 608" style="position:absolute;margin-left:119.5pt;margin-top:234.55pt;width:315.15pt;height:56pt;z-index:-15631872;mso-wrap-distance-left:0;mso-wrap-distance-right:0;mso-position-horizontal-relative:page;mso-position-vertical-relative:text" coordsize="40024,7112" o:spid="_x0000_s1152" w14:anchorId="60AAD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">
                <v:shape id="Graphic 609" style="position:absolute;left:127;top:127;width:11430;height:6858;visibility:visible;mso-wrap-style:square;v-text-anchor:top" coordsize="1143000,685800" o:spid="_x0000_s1153" filled="f" strokecolor="#92d400" strokeweight="2pt" path="m,114300l8981,69806,33475,33475,69806,8981,114300,r914323,l1073116,8981r36332,24494l1133942,69806r8981,44494l1142923,571487r-8981,44493l1109448,652311r-36332,24494l1028623,685787r-914323,l69806,676805,33475,652311,8981,615980,,571487,,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">
                  <v:path arrowok="t"/>
                </v:shape>
                <v:shape id="Graphic 610" style="position:absolute;left:11556;top:3555;width:12795;height:13;visibility:visible;mso-wrap-style:square;v-text-anchor:top" coordsize="1279525,1270" o:spid="_x0000_s1154" filled="f" path="m,l1279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">
                  <v:path arrowok="t"/>
                </v:shape>
                <v:shape id="Graphic 611" style="position:absolute;left:24983;top:127;width:14916;height:6858;visibility:visible;mso-wrap-style:square;v-text-anchor:top" coordsize="1491615,685800" o:spid="_x0000_s1155" filled="f" strokecolor="#1f54c8" strokeweight="2pt" path="m,114300l8981,69806,33475,33475,69806,8981,114300,,1377035,r44488,8981l1457855,33475r24497,36331l1491335,114300r,457187l1482352,615980r-24497,36331l1421523,676805r-44488,8982l114300,685787,69806,676805,33475,652311,8981,615980,,571487,,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">
                  <v:path arrowok="t"/>
                </v:shape>
                <v:shape id="Graphic 612" style="position:absolute;left:24221;top:3174;width:762;height:762;visibility:visible;mso-wrap-style:square;v-text-anchor:top" coordsize="76200,76200" o:spid="_x0000_s1156" fillcolor="black" stroked="f" path="m,l,76200,76200,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">
                  <v:path arrowok="t"/>
                </v:shape>
                <v:shape id="Textbox 613" style="position:absolute;left:1651;top:1617;width:8509;height:3918;visibility:visible;mso-wrap-style:square;v-text-anchor:top" o:spid="_x0000_s11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v:textbox inset="0,0,0,0">
                    <w:txbxContent>
                      <w:p w:rsidR="00C31389" w:rsidRDefault="00561FBD" w14:paraId="5ED7B08E" w14:textId="77777777">
                        <w:pPr>
                          <w:ind w:left="-1" w:right="18"/>
                          <w:jc w:val="center"/>
                          <w:rPr>
                            <w:sz w:val="18"/>
                          </w:rPr>
                        </w:pPr>
                        <w:r>
                          <w:rPr>
                            <w:sz w:val="18"/>
                          </w:rPr>
                          <w:t>Homes</w:t>
                        </w:r>
                        <w:r>
                          <w:rPr>
                            <w:spacing w:val="-15"/>
                            <w:sz w:val="18"/>
                          </w:rPr>
                          <w:t xml:space="preserve"> </w:t>
                        </w:r>
                        <w:r>
                          <w:rPr>
                            <w:sz w:val="18"/>
                          </w:rPr>
                          <w:t>with</w:t>
                        </w:r>
                        <w:r>
                          <w:rPr>
                            <w:spacing w:val="-12"/>
                            <w:sz w:val="18"/>
                          </w:rPr>
                          <w:t xml:space="preserve"> </w:t>
                        </w:r>
                        <w:r>
                          <w:rPr>
                            <w:sz w:val="18"/>
                          </w:rPr>
                          <w:t>Gas Furnace</w:t>
                        </w:r>
                        <w:r>
                          <w:rPr>
                            <w:spacing w:val="-4"/>
                            <w:sz w:val="18"/>
                          </w:rPr>
                          <w:t xml:space="preserve"> </w:t>
                        </w:r>
                        <w:r>
                          <w:rPr>
                            <w:sz w:val="18"/>
                          </w:rPr>
                          <w:t>and</w:t>
                        </w:r>
                        <w:r>
                          <w:rPr>
                            <w:spacing w:val="-4"/>
                            <w:sz w:val="18"/>
                          </w:rPr>
                          <w:t xml:space="preserve"> </w:t>
                        </w:r>
                        <w:r>
                          <w:rPr>
                            <w:sz w:val="18"/>
                          </w:rPr>
                          <w:t xml:space="preserve">No </w:t>
                        </w:r>
                        <w:r>
                          <w:rPr>
                            <w:spacing w:val="-6"/>
                            <w:sz w:val="18"/>
                          </w:rPr>
                          <w:t>AC</w:t>
                        </w:r>
                      </w:p>
                    </w:txbxContent>
                  </v:textbox>
                </v:shape>
                <v:shape id="Textbox 614" style="position:absolute;left:26698;top:1617;width:11621;height:3918;visibility:visible;mso-wrap-style:square;v-text-anchor:top" o:spid="_x0000_s11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v:textbox inset="0,0,0,0">
                    <w:txbxContent>
                      <w:p w:rsidR="00C31389" w:rsidRDefault="00561FBD" w14:paraId="0D44C22B" w14:textId="77777777">
                        <w:pPr>
                          <w:ind w:right="18"/>
                          <w:jc w:val="center"/>
                          <w:rPr>
                            <w:sz w:val="18"/>
                          </w:rPr>
                        </w:pPr>
                        <w:r>
                          <w:rPr>
                            <w:sz w:val="18"/>
                          </w:rPr>
                          <w:t>Furnace</w:t>
                        </w:r>
                        <w:r>
                          <w:rPr>
                            <w:spacing w:val="-13"/>
                            <w:sz w:val="18"/>
                          </w:rPr>
                          <w:t xml:space="preserve"> </w:t>
                        </w:r>
                        <w:r>
                          <w:rPr>
                            <w:sz w:val="18"/>
                          </w:rPr>
                          <w:t>to</w:t>
                        </w:r>
                        <w:r>
                          <w:rPr>
                            <w:spacing w:val="-12"/>
                            <w:sz w:val="18"/>
                          </w:rPr>
                          <w:t xml:space="preserve"> </w:t>
                        </w:r>
                        <w:r>
                          <w:rPr>
                            <w:sz w:val="18"/>
                          </w:rPr>
                          <w:t>Heat</w:t>
                        </w:r>
                        <w:r>
                          <w:rPr>
                            <w:spacing w:val="-13"/>
                            <w:sz w:val="18"/>
                          </w:rPr>
                          <w:t xml:space="preserve"> </w:t>
                        </w:r>
                        <w:r>
                          <w:rPr>
                            <w:sz w:val="18"/>
                          </w:rPr>
                          <w:t>Pump Fuel Sub (Heating Energy Only)</w:t>
                        </w:r>
                      </w:p>
                    </w:txbxContent>
                  </v:textbox>
                </v:shape>
                <w10:wrap type="topAndBottom" anchorx="page"/>
              </v:group>
            </w:pict>
          </mc:Fallback>
        </mc:AlternateContent>
      </w:r>
    </w:p>
    <w:p w:rsidR="00C31389" w:rsidRDefault="00C31389" w14:paraId="3E035AB4" w14:textId="77777777">
      <w:pPr>
        <w:pStyle w:val="BodyText"/>
        <w:spacing w:before="10"/>
        <w:rPr>
          <w:b/>
          <w:sz w:val="26"/>
        </w:rPr>
      </w:pPr>
    </w:p>
    <w:p w:rsidR="00C31389" w:rsidRDefault="00561FBD" w14:paraId="21BB908C" w14:textId="77777777">
      <w:pPr>
        <w:spacing w:before="67"/>
        <w:ind w:left="480"/>
        <w:rPr>
          <w:i/>
          <w:sz w:val="18"/>
        </w:rPr>
      </w:pPr>
      <w:r>
        <w:rPr>
          <w:i/>
          <w:sz w:val="18"/>
        </w:rPr>
        <w:t>Source:</w:t>
      </w:r>
      <w:r>
        <w:rPr>
          <w:i/>
          <w:spacing w:val="-4"/>
          <w:sz w:val="18"/>
        </w:rPr>
        <w:t xml:space="preserve"> </w:t>
      </w:r>
      <w:r>
        <w:rPr>
          <w:i/>
          <w:spacing w:val="-2"/>
          <w:sz w:val="18"/>
        </w:rPr>
        <w:t>Guidehouse</w:t>
      </w:r>
    </w:p>
    <w:p w:rsidR="00C31389" w:rsidRDefault="00C31389" w14:paraId="33A50694" w14:textId="77777777">
      <w:pPr>
        <w:pStyle w:val="BodyText"/>
        <w:spacing w:before="11"/>
        <w:rPr>
          <w:i/>
          <w:sz w:val="20"/>
        </w:rPr>
      </w:pPr>
    </w:p>
    <w:p w:rsidR="00C31389" w:rsidRDefault="00561FBD" w14:paraId="5CFA2CB0" w14:textId="77777777">
      <w:pPr>
        <w:pStyle w:val="ListParagraph"/>
        <w:numPr>
          <w:ilvl w:val="2"/>
          <w:numId w:val="25"/>
        </w:numPr>
        <w:tabs>
          <w:tab w:val="left" w:pos="1197"/>
        </w:tabs>
        <w:ind w:left="1197" w:hanging="717"/>
        <w:rPr>
          <w:b/>
          <w:sz w:val="24"/>
        </w:rPr>
      </w:pPr>
      <w:bookmarkStart w:name="B.2.2_Commercial_Water_Heating" w:id="348"/>
      <w:bookmarkStart w:name="_bookmark262" w:id="349"/>
      <w:bookmarkEnd w:id="348"/>
      <w:bookmarkEnd w:id="349"/>
      <w:r>
        <w:rPr>
          <w:b/>
          <w:sz w:val="24"/>
        </w:rPr>
        <w:t>Commercial</w:t>
      </w:r>
      <w:r>
        <w:rPr>
          <w:b/>
          <w:spacing w:val="-3"/>
          <w:sz w:val="24"/>
        </w:rPr>
        <w:t xml:space="preserve"> </w:t>
      </w:r>
      <w:r>
        <w:rPr>
          <w:b/>
          <w:sz w:val="24"/>
        </w:rPr>
        <w:t>Water</w:t>
      </w:r>
      <w:r>
        <w:rPr>
          <w:b/>
          <w:spacing w:val="-3"/>
          <w:sz w:val="24"/>
        </w:rPr>
        <w:t xml:space="preserve"> </w:t>
      </w:r>
      <w:r>
        <w:rPr>
          <w:b/>
          <w:spacing w:val="-2"/>
          <w:sz w:val="24"/>
        </w:rPr>
        <w:t>Heating</w:t>
      </w:r>
    </w:p>
    <w:p w:rsidR="00C31389" w:rsidRDefault="00C31389" w14:paraId="04913C60" w14:textId="77777777">
      <w:pPr>
        <w:pStyle w:val="BodyText"/>
        <w:spacing w:before="8"/>
        <w:rPr>
          <w:b/>
          <w:sz w:val="20"/>
        </w:rPr>
      </w:pPr>
    </w:p>
    <w:p w:rsidR="00C31389" w:rsidRDefault="00561FBD" w14:paraId="52C5D995" w14:textId="77777777">
      <w:pPr>
        <w:pStyle w:val="BodyText"/>
        <w:ind w:left="479" w:right="418"/>
      </w:pPr>
      <w:r>
        <w:t xml:space="preserve">Electric appliances typically replace gas appliances on a </w:t>
      </w:r>
      <w:r>
        <w:t>one-for-one basis. Commercial water heaters, however, do not necessarily follow a unit-for-unit replacement, so the team characterized this measure by normalizing the water heater energy to building square footage. The team characterized commercial water h</w:t>
      </w:r>
      <w:r>
        <w:t>eaters using the 2020 Database for Energy Efficient Resources (DEER) Water Heater Calculator.</w:t>
      </w:r>
      <w:r>
        <w:rPr>
          <w:spacing w:val="-40"/>
        </w:rPr>
        <w:t xml:space="preserve"> </w:t>
      </w:r>
      <w:hyperlink w:history="1" w:anchor="_bookmark264">
        <w:r>
          <w:rPr>
            <w:position w:val="7"/>
            <w:sz w:val="14"/>
          </w:rPr>
          <w:t>81</w:t>
        </w:r>
      </w:hyperlink>
      <w:r>
        <w:rPr>
          <w:spacing w:val="25"/>
          <w:position w:val="7"/>
          <w:sz w:val="14"/>
        </w:rPr>
        <w:t xml:space="preserve"> </w:t>
      </w:r>
      <w:r>
        <w:t>The water heater calculator determines the water heating energy used in the DEER building type</w:t>
      </w:r>
      <w:r>
        <w:t>s for various types of water heaters, including gas water heaters and electric heat pump water heaters. The calculator first calculates the required water heating load for an example building and then determines the number of water heaters necessary to ser</w:t>
      </w:r>
      <w:r>
        <w:t xml:space="preserve">ve the load. This number varies depending on the type of water heater being installed, meaning that FS for water heaters is not a simple one-for-one unit replacement. </w:t>
      </w:r>
      <w:hyperlink w:history="1" w:anchor="_bookmark265">
        <w:r>
          <w:t>Figure B-7</w:t>
        </w:r>
      </w:hyperlink>
      <w:r>
        <w:t xml:space="preserve"> illustrates </w:t>
      </w:r>
      <w:r>
        <w:t>the water heater replacement</w:t>
      </w:r>
      <w:r>
        <w:rPr>
          <w:spacing w:val="-3"/>
        </w:rPr>
        <w:t xml:space="preserve"> </w:t>
      </w:r>
      <w:r>
        <w:t>for</w:t>
      </w:r>
      <w:r>
        <w:rPr>
          <w:spacing w:val="-3"/>
        </w:rPr>
        <w:t xml:space="preserve"> </w:t>
      </w:r>
      <w:r>
        <w:t>an</w:t>
      </w:r>
      <w:r>
        <w:rPr>
          <w:spacing w:val="-3"/>
        </w:rPr>
        <w:t xml:space="preserve"> </w:t>
      </w:r>
      <w:r>
        <w:t>example</w:t>
      </w:r>
      <w:r>
        <w:rPr>
          <w:spacing w:val="-3"/>
        </w:rPr>
        <w:t xml:space="preserve"> </w:t>
      </w:r>
      <w:r>
        <w:t>building.</w:t>
      </w:r>
      <w:r>
        <w:rPr>
          <w:spacing w:val="-4"/>
        </w:rPr>
        <w:t xml:space="preserve"> </w:t>
      </w:r>
      <w:r>
        <w:t>In</w:t>
      </w:r>
      <w:r>
        <w:rPr>
          <w:spacing w:val="-3"/>
        </w:rPr>
        <w:t xml:space="preserve"> </w:t>
      </w:r>
      <w:r>
        <w:t>this</w:t>
      </w:r>
      <w:r>
        <w:rPr>
          <w:spacing w:val="-3"/>
        </w:rPr>
        <w:t xml:space="preserve"> </w:t>
      </w:r>
      <w:r>
        <w:t>example,</w:t>
      </w:r>
      <w:r>
        <w:rPr>
          <w:spacing w:val="-3"/>
        </w:rPr>
        <w:t xml:space="preserve"> </w:t>
      </w:r>
      <w:r>
        <w:t>six</w:t>
      </w:r>
      <w:r>
        <w:rPr>
          <w:spacing w:val="-3"/>
        </w:rPr>
        <w:t xml:space="preserve"> </w:t>
      </w:r>
      <w:r>
        <w:t>heat</w:t>
      </w:r>
      <w:r>
        <w:rPr>
          <w:spacing w:val="-3"/>
        </w:rPr>
        <w:t xml:space="preserve"> </w:t>
      </w:r>
      <w:r>
        <w:t>pump</w:t>
      </w:r>
      <w:r>
        <w:rPr>
          <w:spacing w:val="-3"/>
        </w:rPr>
        <w:t xml:space="preserve"> </w:t>
      </w:r>
      <w:r>
        <w:t>water</w:t>
      </w:r>
      <w:r>
        <w:rPr>
          <w:spacing w:val="-3"/>
        </w:rPr>
        <w:t xml:space="preserve"> </w:t>
      </w:r>
      <w:r>
        <w:t>heaters</w:t>
      </w:r>
      <w:r>
        <w:rPr>
          <w:spacing w:val="-3"/>
        </w:rPr>
        <w:t xml:space="preserve"> </w:t>
      </w:r>
      <w:r>
        <w:t>compete</w:t>
      </w:r>
    </w:p>
    <w:p w:rsidR="00C31389" w:rsidRDefault="00C31389" w14:paraId="0B391780" w14:textId="77777777">
      <w:pPr>
        <w:pStyle w:val="BodyText"/>
        <w:rPr>
          <w:sz w:val="20"/>
        </w:rPr>
      </w:pPr>
    </w:p>
    <w:p w:rsidR="00C31389" w:rsidRDefault="00C31389" w14:paraId="28475255" w14:textId="77777777">
      <w:pPr>
        <w:pStyle w:val="BodyText"/>
        <w:rPr>
          <w:sz w:val="20"/>
        </w:rPr>
      </w:pPr>
    </w:p>
    <w:p w:rsidR="00C31389" w:rsidRDefault="00C31389" w14:paraId="532E4FA2" w14:textId="77777777">
      <w:pPr>
        <w:pStyle w:val="BodyText"/>
        <w:rPr>
          <w:sz w:val="20"/>
        </w:rPr>
      </w:pPr>
    </w:p>
    <w:p w:rsidR="00C31389" w:rsidRDefault="00561FBD" w14:paraId="32B1E201" w14:textId="77777777">
      <w:pPr>
        <w:pStyle w:val="BodyText"/>
        <w:spacing w:before="3"/>
        <w:rPr>
          <w:sz w:val="11"/>
        </w:rPr>
      </w:pPr>
      <w:r>
        <w:rPr>
          <w:noProof/>
        </w:rPr>
        <mc:AlternateContent>
          <mc:Choice Requires="wps">
            <w:drawing>
              <wp:anchor distT="0" distB="0" distL="0" distR="0" simplePos="0" relativeHeight="487685120" behindDoc="1" locked="0" layoutInCell="1" allowOverlap="1" wp14:editId="6A18232A" wp14:anchorId="4A138668">
                <wp:simplePos x="0" y="0"/>
                <wp:positionH relativeFrom="page">
                  <wp:posOffset>914400</wp:posOffset>
                </wp:positionH>
                <wp:positionV relativeFrom="paragraph">
                  <wp:posOffset>98008</wp:posOffset>
                </wp:positionV>
                <wp:extent cx="1828800" cy="6985"/>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15" style="position:absolute;margin-left:1in;margin-top:7.7pt;width:2in;height:.55pt;z-index:-1563136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" w14:anchorId="3D944AD8">
                <v:path arrowok="t"/>
                <w10:wrap type="topAndBottom" anchorx="page"/>
              </v:shape>
            </w:pict>
          </mc:Fallback>
        </mc:AlternateContent>
      </w:r>
    </w:p>
    <w:p w:rsidR="00C31389" w:rsidRDefault="00561FBD" w14:paraId="6D380645" w14:textId="77777777">
      <w:pPr>
        <w:spacing w:before="89"/>
        <w:ind w:left="480"/>
        <w:rPr>
          <w:sz w:val="18"/>
        </w:rPr>
      </w:pPr>
      <w:bookmarkStart w:name="_bookmark263" w:id="350"/>
      <w:bookmarkEnd w:id="350"/>
      <w:r>
        <w:rPr>
          <w:position w:val="6"/>
          <w:sz w:val="12"/>
        </w:rPr>
        <w:t>80</w:t>
      </w:r>
      <w:r>
        <w:rPr>
          <w:spacing w:val="14"/>
          <w:position w:val="6"/>
          <w:sz w:val="12"/>
        </w:rPr>
        <w:t xml:space="preserve"> </w:t>
      </w:r>
      <w:r>
        <w:rPr>
          <w:sz w:val="18"/>
        </w:rPr>
        <w:t>Conversation</w:t>
      </w:r>
      <w:r>
        <w:rPr>
          <w:spacing w:val="-1"/>
          <w:sz w:val="18"/>
        </w:rPr>
        <w:t xml:space="preserve"> </w:t>
      </w:r>
      <w:r>
        <w:rPr>
          <w:sz w:val="18"/>
        </w:rPr>
        <w:t>with</w:t>
      </w:r>
      <w:r>
        <w:rPr>
          <w:spacing w:val="-4"/>
          <w:sz w:val="18"/>
        </w:rPr>
        <w:t xml:space="preserve"> </w:t>
      </w:r>
      <w:r>
        <w:rPr>
          <w:sz w:val="18"/>
        </w:rPr>
        <w:t>CPUC</w:t>
      </w:r>
      <w:r>
        <w:rPr>
          <w:spacing w:val="-1"/>
          <w:sz w:val="18"/>
        </w:rPr>
        <w:t xml:space="preserve"> </w:t>
      </w:r>
      <w:r>
        <w:rPr>
          <w:sz w:val="18"/>
        </w:rPr>
        <w:t>on</w:t>
      </w:r>
      <w:r>
        <w:rPr>
          <w:spacing w:val="-2"/>
          <w:sz w:val="18"/>
        </w:rPr>
        <w:t xml:space="preserve"> </w:t>
      </w:r>
      <w:r>
        <w:rPr>
          <w:sz w:val="18"/>
        </w:rPr>
        <w:t>October</w:t>
      </w:r>
      <w:r>
        <w:rPr>
          <w:spacing w:val="-2"/>
          <w:sz w:val="18"/>
        </w:rPr>
        <w:t xml:space="preserve"> </w:t>
      </w:r>
      <w:r>
        <w:rPr>
          <w:sz w:val="18"/>
        </w:rPr>
        <w:t>21,</w:t>
      </w:r>
      <w:r>
        <w:rPr>
          <w:spacing w:val="-2"/>
          <w:sz w:val="18"/>
        </w:rPr>
        <w:t xml:space="preserve"> 2020.</w:t>
      </w:r>
    </w:p>
    <w:p w:rsidR="00C31389" w:rsidRDefault="00561FBD" w14:paraId="195570F7" w14:textId="77777777">
      <w:pPr>
        <w:spacing w:before="36"/>
        <w:ind w:left="480"/>
        <w:rPr>
          <w:sz w:val="18"/>
        </w:rPr>
      </w:pPr>
      <w:bookmarkStart w:name="_bookmark264" w:id="351"/>
      <w:bookmarkEnd w:id="351"/>
      <w:r>
        <w:rPr>
          <w:position w:val="6"/>
          <w:sz w:val="12"/>
        </w:rPr>
        <w:t>81</w:t>
      </w:r>
      <w:r>
        <w:rPr>
          <w:spacing w:val="6"/>
          <w:position w:val="6"/>
          <w:sz w:val="12"/>
        </w:rPr>
        <w:t xml:space="preserve"> </w:t>
      </w:r>
      <w:r>
        <w:rPr>
          <w:sz w:val="18"/>
        </w:rPr>
        <w:t>Available</w:t>
      </w:r>
      <w:r>
        <w:rPr>
          <w:spacing w:val="-10"/>
          <w:sz w:val="18"/>
        </w:rPr>
        <w:t xml:space="preserve"> </w:t>
      </w:r>
      <w:r>
        <w:rPr>
          <w:sz w:val="18"/>
        </w:rPr>
        <w:t>at</w:t>
      </w:r>
      <w:r>
        <w:rPr>
          <w:spacing w:val="-8"/>
          <w:sz w:val="18"/>
        </w:rPr>
        <w:t xml:space="preserve"> </w:t>
      </w:r>
      <w:hyperlink r:id="rId222">
        <w:r>
          <w:rPr>
            <w:color w:val="68942C"/>
            <w:sz w:val="18"/>
            <w:u w:val="single" w:color="68942C"/>
          </w:rPr>
          <w:t>http://www.deeresources.com/index.php/23-deer-</w:t>
        </w:r>
        <w:r>
          <w:rPr>
            <w:color w:val="68942C"/>
            <w:spacing w:val="-2"/>
            <w:sz w:val="18"/>
            <w:u w:val="single" w:color="68942C"/>
          </w:rPr>
          <w:t>versions</w:t>
        </w:r>
        <w:r>
          <w:rPr>
            <w:color w:val="68942C"/>
            <w:spacing w:val="-2"/>
            <w:sz w:val="18"/>
          </w:rPr>
          <w:t>.</w:t>
        </w:r>
      </w:hyperlink>
    </w:p>
    <w:p w:rsidR="00C31389" w:rsidRDefault="00C31389" w14:paraId="7DDB7CC8" w14:textId="77777777">
      <w:pPr>
        <w:rPr>
          <w:sz w:val="18"/>
        </w:rPr>
        <w:sectPr w:rsidR="00C31389">
          <w:pgSz w:w="11910" w:h="16840"/>
          <w:pgMar w:top="1660" w:right="1020" w:bottom="1120" w:left="960" w:header="397" w:footer="938" w:gutter="0"/>
          <w:cols w:space="720"/>
        </w:sectPr>
      </w:pPr>
    </w:p>
    <w:p w:rsidR="00C31389" w:rsidRDefault="00C31389" w14:paraId="684F08AE" w14:textId="77777777">
      <w:pPr>
        <w:pStyle w:val="BodyText"/>
        <w:spacing w:before="11"/>
        <w:rPr>
          <w:sz w:val="13"/>
        </w:rPr>
      </w:pPr>
    </w:p>
    <w:p w:rsidR="00C31389" w:rsidRDefault="00561FBD" w14:paraId="3B0CD726" w14:textId="77777777">
      <w:pPr>
        <w:pStyle w:val="BodyText"/>
        <w:spacing w:before="92"/>
        <w:ind w:left="480" w:right="739"/>
      </w:pPr>
      <w:r>
        <w:t>against</w:t>
      </w:r>
      <w:r>
        <w:rPr>
          <w:spacing w:val="-3"/>
        </w:rPr>
        <w:t xml:space="preserve"> </w:t>
      </w:r>
      <w:r>
        <w:t>the</w:t>
      </w:r>
      <w:r>
        <w:rPr>
          <w:spacing w:val="-3"/>
        </w:rPr>
        <w:t xml:space="preserve"> </w:t>
      </w:r>
      <w:r>
        <w:t>three</w:t>
      </w:r>
      <w:r>
        <w:rPr>
          <w:spacing w:val="-3"/>
        </w:rPr>
        <w:t xml:space="preserve"> </w:t>
      </w:r>
      <w:r>
        <w:t>condensing</w:t>
      </w:r>
      <w:r>
        <w:rPr>
          <w:spacing w:val="-3"/>
        </w:rPr>
        <w:t xml:space="preserve"> </w:t>
      </w:r>
      <w:r>
        <w:t>gas</w:t>
      </w:r>
      <w:r>
        <w:rPr>
          <w:spacing w:val="-3"/>
        </w:rPr>
        <w:t xml:space="preserve"> </w:t>
      </w:r>
      <w:r>
        <w:t>water</w:t>
      </w:r>
      <w:r>
        <w:rPr>
          <w:spacing w:val="-3"/>
        </w:rPr>
        <w:t xml:space="preserve"> </w:t>
      </w:r>
      <w:r>
        <w:t>heaters</w:t>
      </w:r>
      <w:r>
        <w:rPr>
          <w:spacing w:val="-3"/>
        </w:rPr>
        <w:t xml:space="preserve"> </w:t>
      </w:r>
      <w:r>
        <w:t>needed</w:t>
      </w:r>
      <w:r>
        <w:rPr>
          <w:spacing w:val="-3"/>
        </w:rPr>
        <w:t xml:space="preserve"> </w:t>
      </w:r>
      <w:r>
        <w:t>to</w:t>
      </w:r>
      <w:r>
        <w:rPr>
          <w:spacing w:val="-3"/>
        </w:rPr>
        <w:t xml:space="preserve"> </w:t>
      </w:r>
      <w:r>
        <w:t>provide</w:t>
      </w:r>
      <w:r>
        <w:rPr>
          <w:spacing w:val="-3"/>
        </w:rPr>
        <w:t xml:space="preserve"> </w:t>
      </w:r>
      <w:r>
        <w:t>hot</w:t>
      </w:r>
      <w:r>
        <w:rPr>
          <w:spacing w:val="-3"/>
        </w:rPr>
        <w:t xml:space="preserve"> </w:t>
      </w:r>
      <w:r>
        <w:t>water</w:t>
      </w:r>
      <w:r>
        <w:rPr>
          <w:spacing w:val="-3"/>
        </w:rPr>
        <w:t xml:space="preserve"> </w:t>
      </w:r>
      <w:r>
        <w:t>for</w:t>
      </w:r>
      <w:r>
        <w:rPr>
          <w:spacing w:val="-3"/>
        </w:rPr>
        <w:t xml:space="preserve"> </w:t>
      </w:r>
      <w:r>
        <w:t>the</w:t>
      </w:r>
      <w:r>
        <w:rPr>
          <w:spacing w:val="-4"/>
        </w:rPr>
        <w:t xml:space="preserve"> </w:t>
      </w:r>
      <w:r>
        <w:t>same 34,000-square foot building.</w:t>
      </w:r>
    </w:p>
    <w:p w:rsidR="00C31389" w:rsidRDefault="00C31389" w14:paraId="76A6A1C5" w14:textId="77777777">
      <w:pPr>
        <w:pStyle w:val="BodyText"/>
        <w:spacing w:before="11"/>
        <w:rPr>
          <w:sz w:val="20"/>
        </w:rPr>
      </w:pPr>
    </w:p>
    <w:p w:rsidR="00C31389" w:rsidRDefault="00561FBD" w14:paraId="71990204" w14:textId="77777777">
      <w:pPr>
        <w:pStyle w:val="Heading7"/>
        <w:ind w:left="480"/>
      </w:pPr>
      <w:bookmarkStart w:name="_bookmark265" w:id="352"/>
      <w:bookmarkEnd w:id="352"/>
      <w:r>
        <w:t>Figure</w:t>
      </w:r>
      <w:r>
        <w:rPr>
          <w:spacing w:val="-9"/>
        </w:rPr>
        <w:t xml:space="preserve"> </w:t>
      </w:r>
      <w:r>
        <w:t>B-7.</w:t>
      </w:r>
      <w:r>
        <w:rPr>
          <w:spacing w:val="-8"/>
        </w:rPr>
        <w:t xml:space="preserve"> </w:t>
      </w:r>
      <w:r>
        <w:t>Commercial</w:t>
      </w:r>
      <w:r>
        <w:rPr>
          <w:spacing w:val="-8"/>
        </w:rPr>
        <w:t xml:space="preserve"> </w:t>
      </w:r>
      <w:r>
        <w:t>Water</w:t>
      </w:r>
      <w:r>
        <w:rPr>
          <w:spacing w:val="-9"/>
        </w:rPr>
        <w:t xml:space="preserve"> </w:t>
      </w:r>
      <w:r>
        <w:t>Heater</w:t>
      </w:r>
      <w:r>
        <w:rPr>
          <w:spacing w:val="-9"/>
        </w:rPr>
        <w:t xml:space="preserve"> </w:t>
      </w:r>
      <w:r>
        <w:t>Technology</w:t>
      </w:r>
      <w:r>
        <w:rPr>
          <w:spacing w:val="-9"/>
        </w:rPr>
        <w:t xml:space="preserve"> </w:t>
      </w:r>
      <w:r>
        <w:t>Levels</w:t>
      </w:r>
      <w:r>
        <w:rPr>
          <w:spacing w:val="-8"/>
        </w:rPr>
        <w:t xml:space="preserve"> </w:t>
      </w:r>
      <w:r>
        <w:t>–</w:t>
      </w:r>
      <w:r>
        <w:rPr>
          <w:spacing w:val="-8"/>
        </w:rPr>
        <w:t xml:space="preserve"> </w:t>
      </w:r>
      <w:r>
        <w:t>Illustrative</w:t>
      </w:r>
      <w:r>
        <w:rPr>
          <w:spacing w:val="-8"/>
        </w:rPr>
        <w:t xml:space="preserve"> </w:t>
      </w:r>
      <w:r>
        <w:rPr>
          <w:spacing w:val="-2"/>
        </w:rPr>
        <w:t>Example</w:t>
      </w:r>
    </w:p>
    <w:p w:rsidR="00C31389" w:rsidRDefault="00C31389" w14:paraId="15EF529C" w14:textId="77777777">
      <w:pPr>
        <w:pStyle w:val="BodyText"/>
        <w:rPr>
          <w:b/>
          <w:sz w:val="23"/>
        </w:rPr>
      </w:pPr>
    </w:p>
    <w:p w:rsidR="00C31389" w:rsidRDefault="00561FBD" w14:paraId="1940E797" w14:textId="77777777">
      <w:pPr>
        <w:spacing w:before="94"/>
        <w:ind w:left="6162"/>
        <w:rPr>
          <w:b/>
          <w:sz w:val="20"/>
        </w:rPr>
      </w:pPr>
      <w:r>
        <w:rPr>
          <w:b/>
          <w:color w:val="F16930"/>
          <w:sz w:val="20"/>
        </w:rPr>
        <w:t>Competing</w:t>
      </w:r>
      <w:r>
        <w:rPr>
          <w:b/>
          <w:color w:val="F16930"/>
          <w:spacing w:val="-7"/>
          <w:sz w:val="20"/>
        </w:rPr>
        <w:t xml:space="preserve"> </w:t>
      </w:r>
      <w:r>
        <w:rPr>
          <w:b/>
          <w:color w:val="F16930"/>
          <w:sz w:val="20"/>
        </w:rPr>
        <w:t>Technology</w:t>
      </w:r>
      <w:r>
        <w:rPr>
          <w:b/>
          <w:color w:val="F16930"/>
          <w:spacing w:val="-6"/>
          <w:sz w:val="20"/>
        </w:rPr>
        <w:t xml:space="preserve"> </w:t>
      </w:r>
      <w:r>
        <w:rPr>
          <w:b/>
          <w:color w:val="F16930"/>
          <w:spacing w:val="-2"/>
          <w:sz w:val="20"/>
        </w:rPr>
        <w:t>Levels</w:t>
      </w:r>
    </w:p>
    <w:p w:rsidR="00C31389" w:rsidRDefault="00561FBD" w14:paraId="6A01592E" w14:textId="77777777">
      <w:pPr>
        <w:pStyle w:val="BodyText"/>
        <w:spacing w:before="3"/>
        <w:rPr>
          <w:b/>
          <w:sz w:val="18"/>
        </w:rPr>
      </w:pPr>
      <w:r>
        <w:rPr>
          <w:noProof/>
        </w:rPr>
        <mc:AlternateContent>
          <mc:Choice Requires="wpg">
            <w:drawing>
              <wp:anchor distT="0" distB="0" distL="0" distR="0" simplePos="0" relativeHeight="487685632" behindDoc="1" locked="0" layoutInCell="1" allowOverlap="1" wp14:editId="059DCDA0" wp14:anchorId="3B09E4DD">
                <wp:simplePos x="0" y="0"/>
                <wp:positionH relativeFrom="page">
                  <wp:posOffset>901703</wp:posOffset>
                </wp:positionH>
                <wp:positionV relativeFrom="paragraph">
                  <wp:posOffset>149089</wp:posOffset>
                </wp:positionV>
                <wp:extent cx="5845810" cy="3521075"/>
                <wp:effectExtent l="0" t="0" r="0" b="0"/>
                <wp:wrapTopAndBottom/>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810" cy="3521075"/>
                          <a:chOff x="0" y="0"/>
                          <a:chExt cx="5845810" cy="3521075"/>
                        </a:xfrm>
                      </wpg:grpSpPr>
                      <pic:pic xmlns:pic="http://schemas.openxmlformats.org/drawingml/2006/picture">
                        <pic:nvPicPr>
                          <pic:cNvPr id="617" name="Image 617"/>
                          <pic:cNvPicPr/>
                        </pic:nvPicPr>
                        <pic:blipFill>
                          <a:blip r:embed="rId223" cstate="print"/>
                          <a:stretch>
                            <a:fillRect/>
                          </a:stretch>
                        </pic:blipFill>
                        <pic:spPr>
                          <a:xfrm>
                            <a:off x="96906" y="0"/>
                            <a:ext cx="5748587" cy="3520694"/>
                          </a:xfrm>
                          <a:prstGeom prst="rect">
                            <a:avLst/>
                          </a:prstGeom>
                        </pic:spPr>
                      </pic:pic>
                      <wps:wsp>
                        <wps:cNvPr id="618" name="Graphic 618"/>
                        <wps:cNvSpPr/>
                        <wps:spPr>
                          <a:xfrm>
                            <a:off x="12696" y="2588448"/>
                            <a:ext cx="240029" cy="399415"/>
                          </a:xfrm>
                          <a:custGeom>
                            <a:avLst/>
                            <a:gdLst/>
                            <a:ahLst/>
                            <a:cxnLst/>
                            <a:rect l="l" t="t" r="r" b="b"/>
                            <a:pathLst>
                              <a:path w="240029" h="399415">
                                <a:moveTo>
                                  <a:pt x="239610" y="0"/>
                                </a:moveTo>
                                <a:lnTo>
                                  <a:pt x="230197" y="11660"/>
                                </a:lnTo>
                                <a:lnTo>
                                  <a:pt x="204523" y="21178"/>
                                </a:lnTo>
                                <a:lnTo>
                                  <a:pt x="166444" y="27594"/>
                                </a:lnTo>
                                <a:lnTo>
                                  <a:pt x="119811" y="29946"/>
                                </a:lnTo>
                                <a:lnTo>
                                  <a:pt x="73177" y="27594"/>
                                </a:lnTo>
                                <a:lnTo>
                                  <a:pt x="35093" y="21178"/>
                                </a:lnTo>
                                <a:lnTo>
                                  <a:pt x="9415" y="11660"/>
                                </a:lnTo>
                                <a:lnTo>
                                  <a:pt x="0" y="0"/>
                                </a:lnTo>
                                <a:lnTo>
                                  <a:pt x="0" y="368858"/>
                                </a:lnTo>
                                <a:lnTo>
                                  <a:pt x="9415" y="380521"/>
                                </a:lnTo>
                                <a:lnTo>
                                  <a:pt x="35093" y="390043"/>
                                </a:lnTo>
                                <a:lnTo>
                                  <a:pt x="73177" y="396464"/>
                                </a:lnTo>
                                <a:lnTo>
                                  <a:pt x="119811" y="398818"/>
                                </a:lnTo>
                                <a:lnTo>
                                  <a:pt x="166444" y="396464"/>
                                </a:lnTo>
                                <a:lnTo>
                                  <a:pt x="204523" y="390043"/>
                                </a:lnTo>
                                <a:lnTo>
                                  <a:pt x="230197" y="380521"/>
                                </a:lnTo>
                                <a:lnTo>
                                  <a:pt x="239610" y="368858"/>
                                </a:lnTo>
                                <a:lnTo>
                                  <a:pt x="239610" y="0"/>
                                </a:lnTo>
                                <a:close/>
                              </a:path>
                            </a:pathLst>
                          </a:custGeom>
                          <a:solidFill>
                            <a:srgbClr val="68942C"/>
                          </a:solidFill>
                        </wps:spPr>
                        <wps:bodyPr wrap="square" lIns="0" tIns="0" rIns="0" bIns="0" rtlCol="0">
                          <a:prstTxWarp prst="textNoShape">
                            <a:avLst/>
                          </a:prstTxWarp>
                          <a:noAutofit/>
                        </wps:bodyPr>
                      </wps:wsp>
                      <wps:wsp>
                        <wps:cNvPr id="619" name="Graphic 619"/>
                        <wps:cNvSpPr/>
                        <wps:spPr>
                          <a:xfrm>
                            <a:off x="12696" y="2558501"/>
                            <a:ext cx="240029" cy="60325"/>
                          </a:xfrm>
                          <a:custGeom>
                            <a:avLst/>
                            <a:gdLst/>
                            <a:ahLst/>
                            <a:cxnLst/>
                            <a:rect l="l" t="t" r="r" b="b"/>
                            <a:pathLst>
                              <a:path w="240029" h="60325">
                                <a:moveTo>
                                  <a:pt x="119811" y="0"/>
                                </a:moveTo>
                                <a:lnTo>
                                  <a:pt x="73177" y="2353"/>
                                </a:lnTo>
                                <a:lnTo>
                                  <a:pt x="35093" y="8772"/>
                                </a:lnTo>
                                <a:lnTo>
                                  <a:pt x="9415" y="18291"/>
                                </a:lnTo>
                                <a:lnTo>
                                  <a:pt x="0" y="29946"/>
                                </a:lnTo>
                                <a:lnTo>
                                  <a:pt x="9415" y="41606"/>
                                </a:lnTo>
                                <a:lnTo>
                                  <a:pt x="35093" y="51125"/>
                                </a:lnTo>
                                <a:lnTo>
                                  <a:pt x="73177" y="57541"/>
                                </a:lnTo>
                                <a:lnTo>
                                  <a:pt x="119811" y="59893"/>
                                </a:lnTo>
                                <a:lnTo>
                                  <a:pt x="166444" y="57541"/>
                                </a:lnTo>
                                <a:lnTo>
                                  <a:pt x="204523" y="51125"/>
                                </a:lnTo>
                                <a:lnTo>
                                  <a:pt x="230197" y="41606"/>
                                </a:lnTo>
                                <a:lnTo>
                                  <a:pt x="239610" y="29946"/>
                                </a:lnTo>
                                <a:lnTo>
                                  <a:pt x="230197" y="18291"/>
                                </a:lnTo>
                                <a:lnTo>
                                  <a:pt x="204523" y="8772"/>
                                </a:lnTo>
                                <a:lnTo>
                                  <a:pt x="166444" y="2353"/>
                                </a:lnTo>
                                <a:lnTo>
                                  <a:pt x="119811" y="0"/>
                                </a:lnTo>
                                <a:close/>
                              </a:path>
                            </a:pathLst>
                          </a:custGeom>
                          <a:solidFill>
                            <a:srgbClr val="A3BE81"/>
                          </a:solidFill>
                        </wps:spPr>
                        <wps:bodyPr wrap="square" lIns="0" tIns="0" rIns="0" bIns="0" rtlCol="0">
                          <a:prstTxWarp prst="textNoShape">
                            <a:avLst/>
                          </a:prstTxWarp>
                          <a:noAutofit/>
                        </wps:bodyPr>
                      </wps:wsp>
                      <wps:wsp>
                        <wps:cNvPr id="620" name="Graphic 620"/>
                        <wps:cNvSpPr/>
                        <wps:spPr>
                          <a:xfrm>
                            <a:off x="12700" y="2558501"/>
                            <a:ext cx="240029" cy="429259"/>
                          </a:xfrm>
                          <a:custGeom>
                            <a:avLst/>
                            <a:gdLst/>
                            <a:ahLst/>
                            <a:cxnLst/>
                            <a:rect l="l" t="t" r="r" b="b"/>
                            <a:pathLst>
                              <a:path w="240029" h="429259">
                                <a:moveTo>
                                  <a:pt x="239610" y="29946"/>
                                </a:moveTo>
                                <a:lnTo>
                                  <a:pt x="204517" y="51125"/>
                                </a:lnTo>
                                <a:lnTo>
                                  <a:pt x="166433" y="57541"/>
                                </a:lnTo>
                                <a:lnTo>
                                  <a:pt x="119799" y="59893"/>
                                </a:lnTo>
                                <a:lnTo>
                                  <a:pt x="73166" y="57541"/>
                                </a:lnTo>
                                <a:lnTo>
                                  <a:pt x="35086" y="51125"/>
                                </a:lnTo>
                                <a:lnTo>
                                  <a:pt x="0" y="29946"/>
                                </a:lnTo>
                                <a:lnTo>
                                  <a:pt x="9413" y="18291"/>
                                </a:lnTo>
                                <a:lnTo>
                                  <a:pt x="35086" y="8772"/>
                                </a:lnTo>
                                <a:lnTo>
                                  <a:pt x="73166" y="2353"/>
                                </a:lnTo>
                                <a:lnTo>
                                  <a:pt x="119799" y="0"/>
                                </a:lnTo>
                                <a:lnTo>
                                  <a:pt x="166433" y="2353"/>
                                </a:lnTo>
                                <a:lnTo>
                                  <a:pt x="204517" y="8772"/>
                                </a:lnTo>
                                <a:lnTo>
                                  <a:pt x="230195" y="18291"/>
                                </a:lnTo>
                                <a:lnTo>
                                  <a:pt x="239610" y="29946"/>
                                </a:lnTo>
                                <a:lnTo>
                                  <a:pt x="239610" y="398805"/>
                                </a:lnTo>
                                <a:lnTo>
                                  <a:pt x="230195" y="410467"/>
                                </a:lnTo>
                                <a:lnTo>
                                  <a:pt x="204517" y="419990"/>
                                </a:lnTo>
                                <a:lnTo>
                                  <a:pt x="166433" y="426410"/>
                                </a:lnTo>
                                <a:lnTo>
                                  <a:pt x="119799" y="428764"/>
                                </a:lnTo>
                                <a:lnTo>
                                  <a:pt x="73166" y="426410"/>
                                </a:lnTo>
                                <a:lnTo>
                                  <a:pt x="35086" y="419990"/>
                                </a:lnTo>
                                <a:lnTo>
                                  <a:pt x="9413" y="410467"/>
                                </a:lnTo>
                                <a:lnTo>
                                  <a:pt x="0" y="398805"/>
                                </a:lnTo>
                                <a:lnTo>
                                  <a:pt x="0" y="29946"/>
                                </a:lnTo>
                              </a:path>
                            </a:pathLst>
                          </a:custGeom>
                          <a:ln w="25400">
                            <a:solidFill>
                              <a:srgbClr val="496C1E"/>
                            </a:solidFill>
                            <a:prstDash val="solid"/>
                          </a:ln>
                        </wps:spPr>
                        <wps:bodyPr wrap="square" lIns="0" tIns="0" rIns="0" bIns="0" rtlCol="0">
                          <a:prstTxWarp prst="textNoShape">
                            <a:avLst/>
                          </a:prstTxWarp>
                          <a:noAutofit/>
                        </wps:bodyPr>
                      </wps:wsp>
                      <wps:wsp>
                        <wps:cNvPr id="621" name="Graphic 621"/>
                        <wps:cNvSpPr/>
                        <wps:spPr>
                          <a:xfrm>
                            <a:off x="17969" y="3107591"/>
                            <a:ext cx="240029" cy="399415"/>
                          </a:xfrm>
                          <a:custGeom>
                            <a:avLst/>
                            <a:gdLst/>
                            <a:ahLst/>
                            <a:cxnLst/>
                            <a:rect l="l" t="t" r="r" b="b"/>
                            <a:pathLst>
                              <a:path w="240029" h="399415">
                                <a:moveTo>
                                  <a:pt x="239610" y="0"/>
                                </a:moveTo>
                                <a:lnTo>
                                  <a:pt x="230197" y="11660"/>
                                </a:lnTo>
                                <a:lnTo>
                                  <a:pt x="204523" y="21178"/>
                                </a:lnTo>
                                <a:lnTo>
                                  <a:pt x="166444" y="27594"/>
                                </a:lnTo>
                                <a:lnTo>
                                  <a:pt x="119811" y="29946"/>
                                </a:lnTo>
                                <a:lnTo>
                                  <a:pt x="73177" y="27594"/>
                                </a:lnTo>
                                <a:lnTo>
                                  <a:pt x="35093" y="21178"/>
                                </a:lnTo>
                                <a:lnTo>
                                  <a:pt x="9415" y="11660"/>
                                </a:lnTo>
                                <a:lnTo>
                                  <a:pt x="0" y="0"/>
                                </a:lnTo>
                                <a:lnTo>
                                  <a:pt x="0" y="368858"/>
                                </a:lnTo>
                                <a:lnTo>
                                  <a:pt x="9415" y="380521"/>
                                </a:lnTo>
                                <a:lnTo>
                                  <a:pt x="35093" y="390043"/>
                                </a:lnTo>
                                <a:lnTo>
                                  <a:pt x="73177" y="396464"/>
                                </a:lnTo>
                                <a:lnTo>
                                  <a:pt x="119811" y="398818"/>
                                </a:lnTo>
                                <a:lnTo>
                                  <a:pt x="166444" y="396464"/>
                                </a:lnTo>
                                <a:lnTo>
                                  <a:pt x="204523" y="390043"/>
                                </a:lnTo>
                                <a:lnTo>
                                  <a:pt x="230197" y="380521"/>
                                </a:lnTo>
                                <a:lnTo>
                                  <a:pt x="239610" y="368858"/>
                                </a:lnTo>
                                <a:lnTo>
                                  <a:pt x="239610" y="0"/>
                                </a:lnTo>
                                <a:close/>
                              </a:path>
                            </a:pathLst>
                          </a:custGeom>
                          <a:solidFill>
                            <a:srgbClr val="FF7713"/>
                          </a:solidFill>
                        </wps:spPr>
                        <wps:bodyPr wrap="square" lIns="0" tIns="0" rIns="0" bIns="0" rtlCol="0">
                          <a:prstTxWarp prst="textNoShape">
                            <a:avLst/>
                          </a:prstTxWarp>
                          <a:noAutofit/>
                        </wps:bodyPr>
                      </wps:wsp>
                      <wps:wsp>
                        <wps:cNvPr id="622" name="Graphic 622"/>
                        <wps:cNvSpPr/>
                        <wps:spPr>
                          <a:xfrm>
                            <a:off x="17969" y="3077644"/>
                            <a:ext cx="240029" cy="60325"/>
                          </a:xfrm>
                          <a:custGeom>
                            <a:avLst/>
                            <a:gdLst/>
                            <a:ahLst/>
                            <a:cxnLst/>
                            <a:rect l="l" t="t" r="r" b="b"/>
                            <a:pathLst>
                              <a:path w="240029" h="60325">
                                <a:moveTo>
                                  <a:pt x="119811" y="0"/>
                                </a:moveTo>
                                <a:lnTo>
                                  <a:pt x="73177" y="2353"/>
                                </a:lnTo>
                                <a:lnTo>
                                  <a:pt x="35093" y="8772"/>
                                </a:lnTo>
                                <a:lnTo>
                                  <a:pt x="9415" y="18291"/>
                                </a:lnTo>
                                <a:lnTo>
                                  <a:pt x="0" y="29946"/>
                                </a:lnTo>
                                <a:lnTo>
                                  <a:pt x="9415" y="41606"/>
                                </a:lnTo>
                                <a:lnTo>
                                  <a:pt x="35093" y="51125"/>
                                </a:lnTo>
                                <a:lnTo>
                                  <a:pt x="73177" y="57541"/>
                                </a:lnTo>
                                <a:lnTo>
                                  <a:pt x="119811" y="59893"/>
                                </a:lnTo>
                                <a:lnTo>
                                  <a:pt x="166444" y="57541"/>
                                </a:lnTo>
                                <a:lnTo>
                                  <a:pt x="204523" y="51125"/>
                                </a:lnTo>
                                <a:lnTo>
                                  <a:pt x="230197" y="41606"/>
                                </a:lnTo>
                                <a:lnTo>
                                  <a:pt x="239610" y="29946"/>
                                </a:lnTo>
                                <a:lnTo>
                                  <a:pt x="230197" y="18291"/>
                                </a:lnTo>
                                <a:lnTo>
                                  <a:pt x="204523" y="8772"/>
                                </a:lnTo>
                                <a:lnTo>
                                  <a:pt x="166444" y="2353"/>
                                </a:lnTo>
                                <a:lnTo>
                                  <a:pt x="119811" y="0"/>
                                </a:lnTo>
                                <a:close/>
                              </a:path>
                            </a:pathLst>
                          </a:custGeom>
                          <a:solidFill>
                            <a:srgbClr val="FFAC71"/>
                          </a:solidFill>
                        </wps:spPr>
                        <wps:bodyPr wrap="square" lIns="0" tIns="0" rIns="0" bIns="0" rtlCol="0">
                          <a:prstTxWarp prst="textNoShape">
                            <a:avLst/>
                          </a:prstTxWarp>
                          <a:noAutofit/>
                        </wps:bodyPr>
                      </wps:wsp>
                      <wps:wsp>
                        <wps:cNvPr id="623" name="Graphic 623"/>
                        <wps:cNvSpPr/>
                        <wps:spPr>
                          <a:xfrm>
                            <a:off x="17973" y="3077644"/>
                            <a:ext cx="240029" cy="429259"/>
                          </a:xfrm>
                          <a:custGeom>
                            <a:avLst/>
                            <a:gdLst/>
                            <a:ahLst/>
                            <a:cxnLst/>
                            <a:rect l="l" t="t" r="r" b="b"/>
                            <a:pathLst>
                              <a:path w="240029" h="429259">
                                <a:moveTo>
                                  <a:pt x="239610" y="29946"/>
                                </a:moveTo>
                                <a:lnTo>
                                  <a:pt x="204517" y="51125"/>
                                </a:lnTo>
                                <a:lnTo>
                                  <a:pt x="166433" y="57541"/>
                                </a:lnTo>
                                <a:lnTo>
                                  <a:pt x="119799" y="59893"/>
                                </a:lnTo>
                                <a:lnTo>
                                  <a:pt x="73166" y="57541"/>
                                </a:lnTo>
                                <a:lnTo>
                                  <a:pt x="35086" y="51125"/>
                                </a:lnTo>
                                <a:lnTo>
                                  <a:pt x="0" y="29946"/>
                                </a:lnTo>
                                <a:lnTo>
                                  <a:pt x="9413" y="18291"/>
                                </a:lnTo>
                                <a:lnTo>
                                  <a:pt x="35086" y="8772"/>
                                </a:lnTo>
                                <a:lnTo>
                                  <a:pt x="73166" y="2353"/>
                                </a:lnTo>
                                <a:lnTo>
                                  <a:pt x="119799" y="0"/>
                                </a:lnTo>
                                <a:lnTo>
                                  <a:pt x="166433" y="2353"/>
                                </a:lnTo>
                                <a:lnTo>
                                  <a:pt x="204517" y="8772"/>
                                </a:lnTo>
                                <a:lnTo>
                                  <a:pt x="230195" y="18291"/>
                                </a:lnTo>
                                <a:lnTo>
                                  <a:pt x="239610" y="29946"/>
                                </a:lnTo>
                                <a:lnTo>
                                  <a:pt x="239610" y="398805"/>
                                </a:lnTo>
                                <a:lnTo>
                                  <a:pt x="230195" y="410467"/>
                                </a:lnTo>
                                <a:lnTo>
                                  <a:pt x="204517" y="419990"/>
                                </a:lnTo>
                                <a:lnTo>
                                  <a:pt x="166433" y="426410"/>
                                </a:lnTo>
                                <a:lnTo>
                                  <a:pt x="119799" y="428764"/>
                                </a:lnTo>
                                <a:lnTo>
                                  <a:pt x="73166" y="426410"/>
                                </a:lnTo>
                                <a:lnTo>
                                  <a:pt x="35086" y="419990"/>
                                </a:lnTo>
                                <a:lnTo>
                                  <a:pt x="9413" y="410467"/>
                                </a:lnTo>
                                <a:lnTo>
                                  <a:pt x="0" y="398805"/>
                                </a:lnTo>
                                <a:lnTo>
                                  <a:pt x="0" y="29946"/>
                                </a:lnTo>
                              </a:path>
                            </a:pathLst>
                          </a:custGeom>
                          <a:ln w="25400">
                            <a:solidFill>
                              <a:srgbClr val="BB550A"/>
                            </a:solidFill>
                            <a:prstDash val="solid"/>
                          </a:ln>
                        </wps:spPr>
                        <wps:bodyPr wrap="square" lIns="0" tIns="0" rIns="0" bIns="0" rtlCol="0">
                          <a:prstTxWarp prst="textNoShape">
                            <a:avLst/>
                          </a:prstTxWarp>
                          <a:noAutofit/>
                        </wps:bodyPr>
                      </wps:wsp>
                      <wps:wsp>
                        <wps:cNvPr id="624" name="Textbox 624"/>
                        <wps:cNvSpPr txBox="1"/>
                        <wps:spPr>
                          <a:xfrm>
                            <a:off x="3978906" y="341461"/>
                            <a:ext cx="1073150" cy="142240"/>
                          </a:xfrm>
                          <a:prstGeom prst="rect">
                            <a:avLst/>
                          </a:prstGeom>
                        </wps:spPr>
                        <wps:txbx>
                          <w:txbxContent>
                            <w:p w:rsidR="00C31389" w:rsidRDefault="00561FBD" w14:paraId="346E971E" w14:textId="77777777">
                              <w:pPr>
                                <w:spacing w:line="224" w:lineRule="exact"/>
                                <w:rPr>
                                  <w:sz w:val="20"/>
                                </w:rPr>
                              </w:pPr>
                              <w:r>
                                <w:rPr>
                                  <w:sz w:val="20"/>
                                </w:rPr>
                                <w:t>34,000</w:t>
                              </w:r>
                              <w:r>
                                <w:rPr>
                                  <w:spacing w:val="-4"/>
                                  <w:sz w:val="20"/>
                                </w:rPr>
                                <w:t xml:space="preserve"> </w:t>
                              </w:r>
                              <w:r>
                                <w:rPr>
                                  <w:sz w:val="20"/>
                                </w:rPr>
                                <w:t>square</w:t>
                              </w:r>
                              <w:r>
                                <w:rPr>
                                  <w:spacing w:val="-3"/>
                                  <w:sz w:val="20"/>
                                </w:rPr>
                                <w:t xml:space="preserve"> </w:t>
                              </w:r>
                              <w:r>
                                <w:rPr>
                                  <w:spacing w:val="-4"/>
                                  <w:sz w:val="20"/>
                                </w:rPr>
                                <w:t>feet</w:t>
                              </w:r>
                            </w:p>
                          </w:txbxContent>
                        </wps:txbx>
                        <wps:bodyPr wrap="square" lIns="0" tIns="0" rIns="0" bIns="0" rtlCol="0">
                          <a:noAutofit/>
                        </wps:bodyPr>
                      </wps:wsp>
                      <wps:wsp>
                        <wps:cNvPr id="625" name="Textbox 625"/>
                        <wps:cNvSpPr txBox="1"/>
                        <wps:spPr>
                          <a:xfrm>
                            <a:off x="582672" y="588349"/>
                            <a:ext cx="1163320" cy="142240"/>
                          </a:xfrm>
                          <a:prstGeom prst="rect">
                            <a:avLst/>
                          </a:prstGeom>
                        </wps:spPr>
                        <wps:txbx>
                          <w:txbxContent>
                            <w:p w:rsidR="00C31389" w:rsidRDefault="00561FBD" w14:paraId="7B93B9D0" w14:textId="77777777">
                              <w:pPr>
                                <w:spacing w:line="224" w:lineRule="exact"/>
                                <w:rPr>
                                  <w:b/>
                                  <w:sz w:val="20"/>
                                </w:rPr>
                              </w:pPr>
                              <w:r>
                                <w:rPr>
                                  <w:b/>
                                  <w:sz w:val="20"/>
                                </w:rPr>
                                <w:t>Baseline</w:t>
                              </w:r>
                              <w:r>
                                <w:rPr>
                                  <w:b/>
                                  <w:spacing w:val="-5"/>
                                  <w:sz w:val="20"/>
                                </w:rPr>
                                <w:t xml:space="preserve"> </w:t>
                              </w:r>
                              <w:r>
                                <w:rPr>
                                  <w:b/>
                                  <w:spacing w:val="-2"/>
                                  <w:sz w:val="20"/>
                                </w:rPr>
                                <w:t>Condition</w:t>
                              </w:r>
                            </w:p>
                          </w:txbxContent>
                        </wps:txbx>
                        <wps:bodyPr wrap="square" lIns="0" tIns="0" rIns="0" bIns="0" rtlCol="0">
                          <a:noAutofit/>
                        </wps:bodyPr>
                      </wps:wsp>
                      <wps:wsp>
                        <wps:cNvPr id="626" name="Textbox 626"/>
                        <wps:cNvSpPr txBox="1"/>
                        <wps:spPr>
                          <a:xfrm>
                            <a:off x="661158" y="1047073"/>
                            <a:ext cx="1073150" cy="142240"/>
                          </a:xfrm>
                          <a:prstGeom prst="rect">
                            <a:avLst/>
                          </a:prstGeom>
                        </wps:spPr>
                        <wps:txbx>
                          <w:txbxContent>
                            <w:p w:rsidR="00C31389" w:rsidRDefault="00561FBD" w14:paraId="2645CFA9" w14:textId="77777777">
                              <w:pPr>
                                <w:spacing w:line="224" w:lineRule="exact"/>
                                <w:rPr>
                                  <w:sz w:val="20"/>
                                </w:rPr>
                              </w:pPr>
                              <w:r>
                                <w:rPr>
                                  <w:sz w:val="20"/>
                                </w:rPr>
                                <w:t>34,000</w:t>
                              </w:r>
                              <w:r>
                                <w:rPr>
                                  <w:spacing w:val="-4"/>
                                  <w:sz w:val="20"/>
                                </w:rPr>
                                <w:t xml:space="preserve"> </w:t>
                              </w:r>
                              <w:r>
                                <w:rPr>
                                  <w:sz w:val="20"/>
                                </w:rPr>
                                <w:t>square</w:t>
                              </w:r>
                              <w:r>
                                <w:rPr>
                                  <w:spacing w:val="-3"/>
                                  <w:sz w:val="20"/>
                                </w:rPr>
                                <w:t xml:space="preserve"> </w:t>
                              </w:r>
                              <w:r>
                                <w:rPr>
                                  <w:spacing w:val="-4"/>
                                  <w:sz w:val="20"/>
                                </w:rPr>
                                <w:t>feet</w:t>
                              </w:r>
                            </w:p>
                          </w:txbxContent>
                        </wps:txbx>
                        <wps:bodyPr wrap="square" lIns="0" tIns="0" rIns="0" bIns="0" rtlCol="0">
                          <a:noAutofit/>
                        </wps:bodyPr>
                      </wps:wsp>
                      <wps:wsp>
                        <wps:cNvPr id="627" name="Textbox 627"/>
                        <wps:cNvSpPr txBox="1"/>
                        <wps:spPr>
                          <a:xfrm>
                            <a:off x="3719826" y="1117939"/>
                            <a:ext cx="1814195" cy="288290"/>
                          </a:xfrm>
                          <a:prstGeom prst="rect">
                            <a:avLst/>
                          </a:prstGeom>
                        </wps:spPr>
                        <wps:txbx>
                          <w:txbxContent>
                            <w:p w:rsidR="00C31389" w:rsidRDefault="00561FBD" w14:paraId="2514AB38" w14:textId="77777777">
                              <w:pPr>
                                <w:spacing w:line="223" w:lineRule="exact"/>
                                <w:ind w:right="18"/>
                                <w:jc w:val="center"/>
                                <w:rPr>
                                  <w:sz w:val="20"/>
                                </w:rPr>
                              </w:pPr>
                              <w:r>
                                <w:rPr>
                                  <w:sz w:val="20"/>
                                </w:rPr>
                                <w:t>3</w:t>
                              </w:r>
                              <w:r>
                                <w:rPr>
                                  <w:spacing w:val="-4"/>
                                  <w:sz w:val="20"/>
                                </w:rPr>
                                <w:t xml:space="preserve"> </w:t>
                              </w:r>
                              <w:r>
                                <w:rPr>
                                  <w:sz w:val="20"/>
                                </w:rPr>
                                <w:t>condensing</w:t>
                              </w:r>
                              <w:r>
                                <w:rPr>
                                  <w:spacing w:val="-4"/>
                                  <w:sz w:val="20"/>
                                </w:rPr>
                                <w:t xml:space="preserve"> </w:t>
                              </w:r>
                              <w:r>
                                <w:rPr>
                                  <w:sz w:val="20"/>
                                </w:rPr>
                                <w:t>gas</w:t>
                              </w:r>
                              <w:r>
                                <w:rPr>
                                  <w:spacing w:val="-2"/>
                                  <w:sz w:val="20"/>
                                </w:rPr>
                                <w:t xml:space="preserve"> </w:t>
                              </w:r>
                              <w:r>
                                <w:rPr>
                                  <w:sz w:val="20"/>
                                </w:rPr>
                                <w:t>water</w:t>
                              </w:r>
                              <w:r>
                                <w:rPr>
                                  <w:spacing w:val="-2"/>
                                  <w:sz w:val="20"/>
                                </w:rPr>
                                <w:t xml:space="preserve"> heaters</w:t>
                              </w:r>
                            </w:p>
                            <w:p w:rsidR="00C31389" w:rsidRDefault="00561FBD" w14:paraId="24F94E80" w14:textId="77777777">
                              <w:pPr>
                                <w:spacing w:line="230" w:lineRule="exact"/>
                                <w:ind w:right="18"/>
                                <w:jc w:val="center"/>
                                <w:rPr>
                                  <w:sz w:val="20"/>
                                </w:rPr>
                              </w:pPr>
                              <w:r>
                                <w:rPr>
                                  <w:sz w:val="20"/>
                                </w:rPr>
                                <w:t>~6,000</w:t>
                              </w:r>
                              <w:r>
                                <w:rPr>
                                  <w:spacing w:val="-4"/>
                                  <w:sz w:val="20"/>
                                </w:rPr>
                                <w:t xml:space="preserve"> </w:t>
                              </w:r>
                              <w:r>
                                <w:rPr>
                                  <w:sz w:val="20"/>
                                </w:rPr>
                                <w:t>total</w:t>
                              </w:r>
                              <w:r>
                                <w:rPr>
                                  <w:spacing w:val="-3"/>
                                  <w:sz w:val="20"/>
                                </w:rPr>
                                <w:t xml:space="preserve"> </w:t>
                              </w:r>
                              <w:r>
                                <w:rPr>
                                  <w:spacing w:val="-2"/>
                                  <w:sz w:val="20"/>
                                </w:rPr>
                                <w:t>therms</w:t>
                              </w:r>
                            </w:p>
                          </w:txbxContent>
                        </wps:txbx>
                        <wps:bodyPr wrap="square" lIns="0" tIns="0" rIns="0" bIns="0" rtlCol="0">
                          <a:noAutofit/>
                        </wps:bodyPr>
                      </wps:wsp>
                      <wps:wsp>
                        <wps:cNvPr id="628" name="Textbox 628"/>
                        <wps:cNvSpPr txBox="1"/>
                        <wps:spPr>
                          <a:xfrm>
                            <a:off x="3979668" y="1738207"/>
                            <a:ext cx="1073150" cy="142240"/>
                          </a:xfrm>
                          <a:prstGeom prst="rect">
                            <a:avLst/>
                          </a:prstGeom>
                        </wps:spPr>
                        <wps:txbx>
                          <w:txbxContent>
                            <w:p w:rsidR="00C31389" w:rsidRDefault="00561FBD" w14:paraId="7A925734" w14:textId="77777777">
                              <w:pPr>
                                <w:spacing w:line="224" w:lineRule="exact"/>
                                <w:rPr>
                                  <w:sz w:val="20"/>
                                </w:rPr>
                              </w:pPr>
                              <w:r>
                                <w:rPr>
                                  <w:sz w:val="20"/>
                                </w:rPr>
                                <w:t>34,000</w:t>
                              </w:r>
                              <w:r>
                                <w:rPr>
                                  <w:spacing w:val="-4"/>
                                  <w:sz w:val="20"/>
                                </w:rPr>
                                <w:t xml:space="preserve"> </w:t>
                              </w:r>
                              <w:r>
                                <w:rPr>
                                  <w:sz w:val="20"/>
                                </w:rPr>
                                <w:t>square</w:t>
                              </w:r>
                              <w:r>
                                <w:rPr>
                                  <w:spacing w:val="-3"/>
                                  <w:sz w:val="20"/>
                                </w:rPr>
                                <w:t xml:space="preserve"> </w:t>
                              </w:r>
                              <w:r>
                                <w:rPr>
                                  <w:spacing w:val="-4"/>
                                  <w:sz w:val="20"/>
                                </w:rPr>
                                <w:t>feet</w:t>
                              </w:r>
                            </w:p>
                          </w:txbxContent>
                        </wps:txbx>
                        <wps:bodyPr wrap="square" lIns="0" tIns="0" rIns="0" bIns="0" rtlCol="0">
                          <a:noAutofit/>
                        </wps:bodyPr>
                      </wps:wsp>
                      <wps:wsp>
                        <wps:cNvPr id="629" name="Textbox 629"/>
                        <wps:cNvSpPr txBox="1"/>
                        <wps:spPr>
                          <a:xfrm>
                            <a:off x="272538" y="1908133"/>
                            <a:ext cx="1637664" cy="288925"/>
                          </a:xfrm>
                          <a:prstGeom prst="rect">
                            <a:avLst/>
                          </a:prstGeom>
                        </wps:spPr>
                        <wps:txbx>
                          <w:txbxContent>
                            <w:p w:rsidR="00C31389" w:rsidRDefault="00561FBD" w14:paraId="36A266BF" w14:textId="77777777">
                              <w:pPr>
                                <w:spacing w:line="224" w:lineRule="exact"/>
                                <w:ind w:right="18"/>
                                <w:jc w:val="center"/>
                                <w:rPr>
                                  <w:sz w:val="20"/>
                                </w:rPr>
                              </w:pPr>
                              <w:r>
                                <w:rPr>
                                  <w:sz w:val="20"/>
                                </w:rPr>
                                <w:t>5</w:t>
                              </w:r>
                              <w:r>
                                <w:rPr>
                                  <w:spacing w:val="-4"/>
                                  <w:sz w:val="20"/>
                                </w:rPr>
                                <w:t xml:space="preserve"> </w:t>
                              </w:r>
                              <w:r>
                                <w:rPr>
                                  <w:sz w:val="20"/>
                                </w:rPr>
                                <w:t>baseline</w:t>
                              </w:r>
                              <w:r>
                                <w:rPr>
                                  <w:spacing w:val="-3"/>
                                  <w:sz w:val="20"/>
                                </w:rPr>
                                <w:t xml:space="preserve"> </w:t>
                              </w:r>
                              <w:r>
                                <w:rPr>
                                  <w:sz w:val="20"/>
                                </w:rPr>
                                <w:t>gas</w:t>
                              </w:r>
                              <w:r>
                                <w:rPr>
                                  <w:spacing w:val="-3"/>
                                  <w:sz w:val="20"/>
                                </w:rPr>
                                <w:t xml:space="preserve"> </w:t>
                              </w:r>
                              <w:r>
                                <w:rPr>
                                  <w:sz w:val="20"/>
                                </w:rPr>
                                <w:t>water</w:t>
                              </w:r>
                              <w:r>
                                <w:rPr>
                                  <w:spacing w:val="-2"/>
                                  <w:sz w:val="20"/>
                                </w:rPr>
                                <w:t xml:space="preserve"> heaters</w:t>
                              </w:r>
                            </w:p>
                            <w:p w:rsidR="00C31389" w:rsidRDefault="00561FBD" w14:paraId="0F4C83DB" w14:textId="77777777">
                              <w:pPr>
                                <w:ind w:right="18"/>
                                <w:jc w:val="center"/>
                                <w:rPr>
                                  <w:sz w:val="20"/>
                                </w:rPr>
                              </w:pPr>
                              <w:r>
                                <w:rPr>
                                  <w:sz w:val="20"/>
                                </w:rPr>
                                <w:t>~7,500</w:t>
                              </w:r>
                              <w:r>
                                <w:rPr>
                                  <w:spacing w:val="-4"/>
                                  <w:sz w:val="20"/>
                                </w:rPr>
                                <w:t xml:space="preserve"> </w:t>
                              </w:r>
                              <w:r>
                                <w:rPr>
                                  <w:sz w:val="20"/>
                                </w:rPr>
                                <w:t>total</w:t>
                              </w:r>
                              <w:r>
                                <w:rPr>
                                  <w:spacing w:val="-3"/>
                                  <w:sz w:val="20"/>
                                </w:rPr>
                                <w:t xml:space="preserve"> </w:t>
                              </w:r>
                              <w:r>
                                <w:rPr>
                                  <w:spacing w:val="-2"/>
                                  <w:sz w:val="20"/>
                                </w:rPr>
                                <w:t>therms</w:t>
                              </w:r>
                            </w:p>
                          </w:txbxContent>
                        </wps:txbx>
                        <wps:bodyPr wrap="square" lIns="0" tIns="0" rIns="0" bIns="0" rtlCol="0">
                          <a:noAutofit/>
                        </wps:bodyPr>
                      </wps:wsp>
                      <wps:wsp>
                        <wps:cNvPr id="630" name="Textbox 630"/>
                        <wps:cNvSpPr txBox="1"/>
                        <wps:spPr>
                          <a:xfrm>
                            <a:off x="395220" y="2605363"/>
                            <a:ext cx="2724785" cy="777875"/>
                          </a:xfrm>
                          <a:prstGeom prst="rect">
                            <a:avLst/>
                          </a:prstGeom>
                        </wps:spPr>
                        <wps:txbx>
                          <w:txbxContent>
                            <w:p w:rsidR="00C31389" w:rsidRDefault="00561FBD" w14:paraId="7CA5EE54" w14:textId="77777777">
                              <w:pPr>
                                <w:ind w:left="14" w:right="588"/>
                                <w:rPr>
                                  <w:sz w:val="20"/>
                                </w:rPr>
                              </w:pPr>
                              <w:r>
                                <w:rPr>
                                  <w:sz w:val="20"/>
                                </w:rPr>
                                <w:t>Baseline</w:t>
                              </w:r>
                              <w:r>
                                <w:rPr>
                                  <w:spacing w:val="-10"/>
                                  <w:sz w:val="20"/>
                                </w:rPr>
                                <w:t xml:space="preserve"> </w:t>
                              </w:r>
                              <w:r>
                                <w:rPr>
                                  <w:sz w:val="20"/>
                                </w:rPr>
                                <w:t>50-gallon</w:t>
                              </w:r>
                              <w:r>
                                <w:rPr>
                                  <w:spacing w:val="-10"/>
                                  <w:sz w:val="20"/>
                                </w:rPr>
                                <w:t xml:space="preserve"> </w:t>
                              </w:r>
                              <w:r>
                                <w:rPr>
                                  <w:sz w:val="20"/>
                                </w:rPr>
                                <w:t>gas</w:t>
                              </w:r>
                              <w:r>
                                <w:rPr>
                                  <w:spacing w:val="-9"/>
                                  <w:sz w:val="20"/>
                                </w:rPr>
                                <w:t xml:space="preserve"> </w:t>
                              </w:r>
                              <w:r>
                                <w:rPr>
                                  <w:sz w:val="20"/>
                                </w:rPr>
                                <w:t>water</w:t>
                              </w:r>
                              <w:r>
                                <w:rPr>
                                  <w:spacing w:val="-9"/>
                                  <w:sz w:val="20"/>
                                </w:rPr>
                                <w:t xml:space="preserve"> </w:t>
                              </w:r>
                              <w:r>
                                <w:rPr>
                                  <w:sz w:val="20"/>
                                </w:rPr>
                                <w:t>heater: 1,500 therms per water heater</w:t>
                              </w:r>
                            </w:p>
                            <w:p w:rsidR="00C31389" w:rsidRDefault="00C31389" w14:paraId="04B5169D" w14:textId="77777777">
                              <w:pPr>
                                <w:spacing w:before="5"/>
                                <w:rPr>
                                  <w:sz w:val="26"/>
                                </w:rPr>
                              </w:pPr>
                            </w:p>
                            <w:p w:rsidR="00C31389" w:rsidRDefault="00561FBD" w14:paraId="32312F85" w14:textId="77777777">
                              <w:pPr>
                                <w:rPr>
                                  <w:sz w:val="20"/>
                                </w:rPr>
                              </w:pPr>
                              <w:r>
                                <w:rPr>
                                  <w:sz w:val="20"/>
                                </w:rPr>
                                <w:t>Efficient</w:t>
                              </w:r>
                              <w:r>
                                <w:rPr>
                                  <w:spacing w:val="-8"/>
                                  <w:sz w:val="20"/>
                                </w:rPr>
                                <w:t xml:space="preserve"> </w:t>
                              </w:r>
                              <w:r>
                                <w:rPr>
                                  <w:sz w:val="20"/>
                                </w:rPr>
                                <w:t>50-gallon</w:t>
                              </w:r>
                              <w:r>
                                <w:rPr>
                                  <w:spacing w:val="-8"/>
                                  <w:sz w:val="20"/>
                                </w:rPr>
                                <w:t xml:space="preserve"> </w:t>
                              </w:r>
                              <w:r>
                                <w:rPr>
                                  <w:sz w:val="20"/>
                                </w:rPr>
                                <w:t>gas</w:t>
                              </w:r>
                              <w:r>
                                <w:rPr>
                                  <w:spacing w:val="-7"/>
                                  <w:sz w:val="20"/>
                                </w:rPr>
                                <w:t xml:space="preserve"> </w:t>
                              </w:r>
                              <w:r>
                                <w:rPr>
                                  <w:sz w:val="20"/>
                                </w:rPr>
                                <w:t>condensing</w:t>
                              </w:r>
                              <w:r>
                                <w:rPr>
                                  <w:spacing w:val="-9"/>
                                  <w:sz w:val="20"/>
                                </w:rPr>
                                <w:t xml:space="preserve"> </w:t>
                              </w:r>
                              <w:r>
                                <w:rPr>
                                  <w:sz w:val="20"/>
                                </w:rPr>
                                <w:t>water</w:t>
                              </w:r>
                              <w:r>
                                <w:rPr>
                                  <w:spacing w:val="-7"/>
                                  <w:sz w:val="20"/>
                                </w:rPr>
                                <w:t xml:space="preserve"> </w:t>
                              </w:r>
                              <w:r>
                                <w:rPr>
                                  <w:sz w:val="20"/>
                                </w:rPr>
                                <w:t>heater: 2,000 therms per water heater</w:t>
                              </w:r>
                            </w:p>
                          </w:txbxContent>
                        </wps:txbx>
                        <wps:bodyPr wrap="square" lIns="0" tIns="0" rIns="0" bIns="0" rtlCol="0">
                          <a:noAutofit/>
                        </wps:bodyPr>
                      </wps:wsp>
                      <wps:wsp>
                        <wps:cNvPr id="631" name="Textbox 631"/>
                        <wps:cNvSpPr txBox="1"/>
                        <wps:spPr>
                          <a:xfrm>
                            <a:off x="3746496" y="2871301"/>
                            <a:ext cx="1524635" cy="288925"/>
                          </a:xfrm>
                          <a:prstGeom prst="rect">
                            <a:avLst/>
                          </a:prstGeom>
                        </wps:spPr>
                        <wps:txbx>
                          <w:txbxContent>
                            <w:p w:rsidR="00C31389" w:rsidRDefault="00561FBD" w14:paraId="1CEDFFDA" w14:textId="77777777">
                              <w:pPr>
                                <w:spacing w:line="224" w:lineRule="exact"/>
                                <w:ind w:right="18"/>
                                <w:jc w:val="center"/>
                                <w:rPr>
                                  <w:sz w:val="20"/>
                                </w:rPr>
                              </w:pPr>
                              <w:r>
                                <w:rPr>
                                  <w:sz w:val="20"/>
                                </w:rPr>
                                <w:t>6</w:t>
                              </w:r>
                              <w:r>
                                <w:rPr>
                                  <w:spacing w:val="-2"/>
                                  <w:sz w:val="20"/>
                                </w:rPr>
                                <w:t xml:space="preserve"> </w:t>
                              </w:r>
                              <w:r>
                                <w:rPr>
                                  <w:sz w:val="20"/>
                                </w:rPr>
                                <w:t>heat</w:t>
                              </w:r>
                              <w:r>
                                <w:rPr>
                                  <w:spacing w:val="-1"/>
                                  <w:sz w:val="20"/>
                                </w:rPr>
                                <w:t xml:space="preserve"> </w:t>
                              </w:r>
                              <w:r>
                                <w:rPr>
                                  <w:sz w:val="20"/>
                                </w:rPr>
                                <w:t>pump</w:t>
                              </w:r>
                              <w:r>
                                <w:rPr>
                                  <w:spacing w:val="-3"/>
                                  <w:sz w:val="20"/>
                                </w:rPr>
                                <w:t xml:space="preserve"> </w:t>
                              </w:r>
                              <w:r>
                                <w:rPr>
                                  <w:sz w:val="20"/>
                                </w:rPr>
                                <w:t xml:space="preserve">water </w:t>
                              </w:r>
                              <w:r>
                                <w:rPr>
                                  <w:spacing w:val="-2"/>
                                  <w:sz w:val="20"/>
                                </w:rPr>
                                <w:t>heaters</w:t>
                              </w:r>
                            </w:p>
                            <w:p w:rsidR="00C31389" w:rsidRDefault="00561FBD" w14:paraId="717D15D3" w14:textId="77777777">
                              <w:pPr>
                                <w:ind w:right="19"/>
                                <w:jc w:val="center"/>
                                <w:rPr>
                                  <w:sz w:val="20"/>
                                </w:rPr>
                              </w:pPr>
                              <w:r>
                                <w:rPr>
                                  <w:sz w:val="20"/>
                                </w:rPr>
                                <w:t>~69,000</w:t>
                              </w:r>
                              <w:r>
                                <w:rPr>
                                  <w:spacing w:val="-4"/>
                                  <w:sz w:val="20"/>
                                </w:rPr>
                                <w:t xml:space="preserve"> </w:t>
                              </w:r>
                              <w:r>
                                <w:rPr>
                                  <w:sz w:val="20"/>
                                </w:rPr>
                                <w:t>total</w:t>
                              </w:r>
                              <w:r>
                                <w:rPr>
                                  <w:spacing w:val="-3"/>
                                  <w:sz w:val="20"/>
                                </w:rPr>
                                <w:t xml:space="preserve"> </w:t>
                              </w:r>
                              <w:r>
                                <w:rPr>
                                  <w:spacing w:val="-5"/>
                                  <w:sz w:val="20"/>
                                </w:rPr>
                                <w:t>kWh</w:t>
                              </w:r>
                            </w:p>
                          </w:txbxContent>
                        </wps:txbx>
                        <wps:bodyPr wrap="square" lIns="0" tIns="0" rIns="0" bIns="0" rtlCol="0">
                          <a:noAutofit/>
                        </wps:bodyPr>
                      </wps:wsp>
                    </wpg:wgp>
                  </a:graphicData>
                </a:graphic>
              </wp:anchor>
            </w:drawing>
          </mc:Choice>
          <mc:Fallback>
            <w:pict>
              <v:group id="Group 616" style="position:absolute;margin-left:71pt;margin-top:11.75pt;width:460.3pt;height:277.25pt;z-index:-15630848;mso-wrap-distance-left:0;mso-wrap-distance-right:0;mso-position-horizontal-relative:page;mso-position-vertical-relative:text" coordsize="58458,35210" o:spid="_x0000_s1159" w14:anchorId="3B09E4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">
                <v:shape id="Image 617" style="position:absolute;left:969;width:57485;height:35206;visibility:visible;mso-wrap-style:square" o:spid="_x0000_s11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">
                  <v:imagedata o:title="" r:id="rId224"/>
                </v:shape>
                <v:shape id="Graphic 618" style="position:absolute;left:126;top:25884;width:2401;height:3994;visibility:visible;mso-wrap-style:square;v-text-anchor:top" coordsize="240029,399415" o:spid="_x0000_s1161" fillcolor="#68942c" stroked="f" path="m239610,r-9413,11660l204523,21178r-38079,6416l119811,29946,73177,27594,35093,21178,9415,11660,,,,368858r9415,11663l35093,390043r38084,6421l119811,398818r46633,-2354l204523,390043r25674,-9522l239610,368858,239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">
                  <v:path arrowok="t"/>
                </v:shape>
                <v:shape id="Graphic 619" style="position:absolute;left:126;top:25585;width:2401;height:603;visibility:visible;mso-wrap-style:square;v-text-anchor:top" coordsize="240029,60325" o:spid="_x0000_s1162" fillcolor="#a3be81" stroked="f" path="m119811,l73177,2353,35093,8772,9415,18291,,29946,9415,41606r25678,9519l73177,57541r46634,2352l166444,57541r38079,-6416l230197,41606r9413,-11660l230197,18291,204523,8772,166444,2353,119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">
                  <v:path arrowok="t"/>
                </v:shape>
                <v:shape id="Graphic 620" style="position:absolute;left:127;top:25585;width:2400;height:4292;visibility:visible;mso-wrap-style:square;v-text-anchor:top" coordsize="240029,429259" o:spid="_x0000_s1163" filled="f" strokecolor="#496c1e" strokeweight="2pt" path="m239610,29946l204517,51125r-38084,6416l119799,59893,73166,57541,35086,51125,,29946,9413,18291,35086,8772,73166,2353,119799,r46634,2353l204517,8772r25678,9519l239610,29946r,368859l230195,410467r-25678,9523l166433,426410r-46634,2354l73166,426410,35086,419990,9413,410467,,398805,,299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">
                  <v:path arrowok="t"/>
                </v:shape>
                <v:shape id="Graphic 621" style="position:absolute;left:179;top:31075;width:2400;height:3995;visibility:visible;mso-wrap-style:square;v-text-anchor:top" coordsize="240029,399415" o:spid="_x0000_s1164" fillcolor="#ff7713" stroked="f" path="m239610,r-9413,11660l204523,21178r-38079,6416l119811,29946,73177,27594,35093,21178,9415,11660,,,,368858r9415,11663l35093,390043r38084,6421l119811,398818r46633,-2354l204523,390043r25674,-9522l239610,368858,239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">
                  <v:path arrowok="t"/>
                </v:shape>
                <v:shape id="Graphic 622" style="position:absolute;left:179;top:30776;width:2400;height:603;visibility:visible;mso-wrap-style:square;v-text-anchor:top" coordsize="240029,60325" o:spid="_x0000_s1165" fillcolor="#ffac71" stroked="f" path="m119811,l73177,2353,35093,8772,9415,18291,,29946,9415,41606r25678,9519l73177,57541r46634,2352l166444,57541r38079,-6416l230197,41606r9413,-11660l230197,18291,204523,8772,166444,2353,119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">
                  <v:path arrowok="t"/>
                </v:shape>
                <v:shape id="Graphic 623" style="position:absolute;left:179;top:30776;width:2401;height:4293;visibility:visible;mso-wrap-style:square;v-text-anchor:top" coordsize="240029,429259" o:spid="_x0000_s1166" filled="f" strokecolor="#bb550a" strokeweight="2pt" path="m239610,29946l204517,51125r-38084,6416l119799,59893,73166,57541,35086,51125,,29946,9413,18291,35086,8772,73166,2353,119799,r46634,2353l204517,8772r25678,9519l239610,29946r,368859l230195,410467r-25678,9523l166433,426410r-46634,2354l73166,426410,35086,419990,9413,410467,,398805,,299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">
                  <v:path arrowok="t"/>
                </v:shape>
                <v:shape id="Textbox 624" style="position:absolute;left:39789;top:3414;width:10731;height:1423;visibility:visible;mso-wrap-style:square;v-text-anchor:top" o:spid="_x0000_s116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v:textbox inset="0,0,0,0">
                    <w:txbxContent>
                      <w:p w:rsidR="00C31389" w:rsidRDefault="00561FBD" w14:paraId="346E971E" w14:textId="77777777">
                        <w:pPr>
                          <w:spacing w:line="224" w:lineRule="exact"/>
                          <w:rPr>
                            <w:sz w:val="20"/>
                          </w:rPr>
                        </w:pPr>
                        <w:r>
                          <w:rPr>
                            <w:sz w:val="20"/>
                          </w:rPr>
                          <w:t>34,000</w:t>
                        </w:r>
                        <w:r>
                          <w:rPr>
                            <w:spacing w:val="-4"/>
                            <w:sz w:val="20"/>
                          </w:rPr>
                          <w:t xml:space="preserve"> </w:t>
                        </w:r>
                        <w:r>
                          <w:rPr>
                            <w:sz w:val="20"/>
                          </w:rPr>
                          <w:t>square</w:t>
                        </w:r>
                        <w:r>
                          <w:rPr>
                            <w:spacing w:val="-3"/>
                            <w:sz w:val="20"/>
                          </w:rPr>
                          <w:t xml:space="preserve"> </w:t>
                        </w:r>
                        <w:r>
                          <w:rPr>
                            <w:spacing w:val="-4"/>
                            <w:sz w:val="20"/>
                          </w:rPr>
                          <w:t>feet</w:t>
                        </w:r>
                      </w:p>
                    </w:txbxContent>
                  </v:textbox>
                </v:shape>
                <v:shape id="Textbox 625" style="position:absolute;left:5826;top:5883;width:11633;height:1422;visibility:visible;mso-wrap-style:square;v-text-anchor:top" o:spid="_x0000_s116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v:textbox inset="0,0,0,0">
                    <w:txbxContent>
                      <w:p w:rsidR="00C31389" w:rsidRDefault="00561FBD" w14:paraId="7B93B9D0" w14:textId="77777777">
                        <w:pPr>
                          <w:spacing w:line="224" w:lineRule="exact"/>
                          <w:rPr>
                            <w:b/>
                            <w:sz w:val="20"/>
                          </w:rPr>
                        </w:pPr>
                        <w:r>
                          <w:rPr>
                            <w:b/>
                            <w:sz w:val="20"/>
                          </w:rPr>
                          <w:t>Baseline</w:t>
                        </w:r>
                        <w:r>
                          <w:rPr>
                            <w:b/>
                            <w:spacing w:val="-5"/>
                            <w:sz w:val="20"/>
                          </w:rPr>
                          <w:t xml:space="preserve"> </w:t>
                        </w:r>
                        <w:r>
                          <w:rPr>
                            <w:b/>
                            <w:spacing w:val="-2"/>
                            <w:sz w:val="20"/>
                          </w:rPr>
                          <w:t>Condition</w:t>
                        </w:r>
                      </w:p>
                    </w:txbxContent>
                  </v:textbox>
                </v:shape>
                <v:shape id="Textbox 626" style="position:absolute;left:6611;top:10470;width:10732;height:1423;visibility:visible;mso-wrap-style:square;v-text-anchor:top" o:spid="_x0000_s11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v:textbox inset="0,0,0,0">
                    <w:txbxContent>
                      <w:p w:rsidR="00C31389" w:rsidRDefault="00561FBD" w14:paraId="2645CFA9" w14:textId="77777777">
                        <w:pPr>
                          <w:spacing w:line="224" w:lineRule="exact"/>
                          <w:rPr>
                            <w:sz w:val="20"/>
                          </w:rPr>
                        </w:pPr>
                        <w:r>
                          <w:rPr>
                            <w:sz w:val="20"/>
                          </w:rPr>
                          <w:t>34,000</w:t>
                        </w:r>
                        <w:r>
                          <w:rPr>
                            <w:spacing w:val="-4"/>
                            <w:sz w:val="20"/>
                          </w:rPr>
                          <w:t xml:space="preserve"> </w:t>
                        </w:r>
                        <w:r>
                          <w:rPr>
                            <w:sz w:val="20"/>
                          </w:rPr>
                          <w:t>square</w:t>
                        </w:r>
                        <w:r>
                          <w:rPr>
                            <w:spacing w:val="-3"/>
                            <w:sz w:val="20"/>
                          </w:rPr>
                          <w:t xml:space="preserve"> </w:t>
                        </w:r>
                        <w:r>
                          <w:rPr>
                            <w:spacing w:val="-4"/>
                            <w:sz w:val="20"/>
                          </w:rPr>
                          <w:t>feet</w:t>
                        </w:r>
                      </w:p>
                    </w:txbxContent>
                  </v:textbox>
                </v:shape>
                <v:shape id="Textbox 627" style="position:absolute;left:37198;top:11179;width:18142;height:2883;visibility:visible;mso-wrap-style:square;v-text-anchor:top" o:spid="_x0000_s11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v:textbox inset="0,0,0,0">
                    <w:txbxContent>
                      <w:p w:rsidR="00C31389" w:rsidRDefault="00561FBD" w14:paraId="2514AB38" w14:textId="77777777">
                        <w:pPr>
                          <w:spacing w:line="223" w:lineRule="exact"/>
                          <w:ind w:right="18"/>
                          <w:jc w:val="center"/>
                          <w:rPr>
                            <w:sz w:val="20"/>
                          </w:rPr>
                        </w:pPr>
                        <w:r>
                          <w:rPr>
                            <w:sz w:val="20"/>
                          </w:rPr>
                          <w:t>3</w:t>
                        </w:r>
                        <w:r>
                          <w:rPr>
                            <w:spacing w:val="-4"/>
                            <w:sz w:val="20"/>
                          </w:rPr>
                          <w:t xml:space="preserve"> </w:t>
                        </w:r>
                        <w:r>
                          <w:rPr>
                            <w:sz w:val="20"/>
                          </w:rPr>
                          <w:t>condensing</w:t>
                        </w:r>
                        <w:r>
                          <w:rPr>
                            <w:spacing w:val="-4"/>
                            <w:sz w:val="20"/>
                          </w:rPr>
                          <w:t xml:space="preserve"> </w:t>
                        </w:r>
                        <w:r>
                          <w:rPr>
                            <w:sz w:val="20"/>
                          </w:rPr>
                          <w:t>gas</w:t>
                        </w:r>
                        <w:r>
                          <w:rPr>
                            <w:spacing w:val="-2"/>
                            <w:sz w:val="20"/>
                          </w:rPr>
                          <w:t xml:space="preserve"> </w:t>
                        </w:r>
                        <w:r>
                          <w:rPr>
                            <w:sz w:val="20"/>
                          </w:rPr>
                          <w:t>water</w:t>
                        </w:r>
                        <w:r>
                          <w:rPr>
                            <w:spacing w:val="-2"/>
                            <w:sz w:val="20"/>
                          </w:rPr>
                          <w:t xml:space="preserve"> heaters</w:t>
                        </w:r>
                      </w:p>
                      <w:p w:rsidR="00C31389" w:rsidRDefault="00561FBD" w14:paraId="24F94E80" w14:textId="77777777">
                        <w:pPr>
                          <w:spacing w:line="230" w:lineRule="exact"/>
                          <w:ind w:right="18"/>
                          <w:jc w:val="center"/>
                          <w:rPr>
                            <w:sz w:val="20"/>
                          </w:rPr>
                        </w:pPr>
                        <w:r>
                          <w:rPr>
                            <w:sz w:val="20"/>
                          </w:rPr>
                          <w:t>~6,000</w:t>
                        </w:r>
                        <w:r>
                          <w:rPr>
                            <w:spacing w:val="-4"/>
                            <w:sz w:val="20"/>
                          </w:rPr>
                          <w:t xml:space="preserve"> </w:t>
                        </w:r>
                        <w:r>
                          <w:rPr>
                            <w:sz w:val="20"/>
                          </w:rPr>
                          <w:t>total</w:t>
                        </w:r>
                        <w:r>
                          <w:rPr>
                            <w:spacing w:val="-3"/>
                            <w:sz w:val="20"/>
                          </w:rPr>
                          <w:t xml:space="preserve"> </w:t>
                        </w:r>
                        <w:r>
                          <w:rPr>
                            <w:spacing w:val="-2"/>
                            <w:sz w:val="20"/>
                          </w:rPr>
                          <w:t>therms</w:t>
                        </w:r>
                      </w:p>
                    </w:txbxContent>
                  </v:textbox>
                </v:shape>
                <v:shape id="Textbox 628" style="position:absolute;left:39796;top:17382;width:10732;height:1422;visibility:visible;mso-wrap-style:square;v-text-anchor:top" o:spid="_x0000_s117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v:textbox inset="0,0,0,0">
                    <w:txbxContent>
                      <w:p w:rsidR="00C31389" w:rsidRDefault="00561FBD" w14:paraId="7A925734" w14:textId="77777777">
                        <w:pPr>
                          <w:spacing w:line="224" w:lineRule="exact"/>
                          <w:rPr>
                            <w:sz w:val="20"/>
                          </w:rPr>
                        </w:pPr>
                        <w:r>
                          <w:rPr>
                            <w:sz w:val="20"/>
                          </w:rPr>
                          <w:t>34,000</w:t>
                        </w:r>
                        <w:r>
                          <w:rPr>
                            <w:spacing w:val="-4"/>
                            <w:sz w:val="20"/>
                          </w:rPr>
                          <w:t xml:space="preserve"> </w:t>
                        </w:r>
                        <w:r>
                          <w:rPr>
                            <w:sz w:val="20"/>
                          </w:rPr>
                          <w:t>square</w:t>
                        </w:r>
                        <w:r>
                          <w:rPr>
                            <w:spacing w:val="-3"/>
                            <w:sz w:val="20"/>
                          </w:rPr>
                          <w:t xml:space="preserve"> </w:t>
                        </w:r>
                        <w:r>
                          <w:rPr>
                            <w:spacing w:val="-4"/>
                            <w:sz w:val="20"/>
                          </w:rPr>
                          <w:t>feet</w:t>
                        </w:r>
                      </w:p>
                    </w:txbxContent>
                  </v:textbox>
                </v:shape>
                <v:shape id="Textbox 629" style="position:absolute;left:2725;top:19081;width:16377;height:2889;visibility:visible;mso-wrap-style:square;v-text-anchor:top" o:spid="_x0000_s11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v:textbox inset="0,0,0,0">
                    <w:txbxContent>
                      <w:p w:rsidR="00C31389" w:rsidRDefault="00561FBD" w14:paraId="36A266BF" w14:textId="77777777">
                        <w:pPr>
                          <w:spacing w:line="224" w:lineRule="exact"/>
                          <w:ind w:right="18"/>
                          <w:jc w:val="center"/>
                          <w:rPr>
                            <w:sz w:val="20"/>
                          </w:rPr>
                        </w:pPr>
                        <w:r>
                          <w:rPr>
                            <w:sz w:val="20"/>
                          </w:rPr>
                          <w:t>5</w:t>
                        </w:r>
                        <w:r>
                          <w:rPr>
                            <w:spacing w:val="-4"/>
                            <w:sz w:val="20"/>
                          </w:rPr>
                          <w:t xml:space="preserve"> </w:t>
                        </w:r>
                        <w:r>
                          <w:rPr>
                            <w:sz w:val="20"/>
                          </w:rPr>
                          <w:t>baseline</w:t>
                        </w:r>
                        <w:r>
                          <w:rPr>
                            <w:spacing w:val="-3"/>
                            <w:sz w:val="20"/>
                          </w:rPr>
                          <w:t xml:space="preserve"> </w:t>
                        </w:r>
                        <w:r>
                          <w:rPr>
                            <w:sz w:val="20"/>
                          </w:rPr>
                          <w:t>gas</w:t>
                        </w:r>
                        <w:r>
                          <w:rPr>
                            <w:spacing w:val="-3"/>
                            <w:sz w:val="20"/>
                          </w:rPr>
                          <w:t xml:space="preserve"> </w:t>
                        </w:r>
                        <w:r>
                          <w:rPr>
                            <w:sz w:val="20"/>
                          </w:rPr>
                          <w:t>water</w:t>
                        </w:r>
                        <w:r>
                          <w:rPr>
                            <w:spacing w:val="-2"/>
                            <w:sz w:val="20"/>
                          </w:rPr>
                          <w:t xml:space="preserve"> heaters</w:t>
                        </w:r>
                      </w:p>
                      <w:p w:rsidR="00C31389" w:rsidRDefault="00561FBD" w14:paraId="0F4C83DB" w14:textId="77777777">
                        <w:pPr>
                          <w:ind w:right="18"/>
                          <w:jc w:val="center"/>
                          <w:rPr>
                            <w:sz w:val="20"/>
                          </w:rPr>
                        </w:pPr>
                        <w:r>
                          <w:rPr>
                            <w:sz w:val="20"/>
                          </w:rPr>
                          <w:t>~7,500</w:t>
                        </w:r>
                        <w:r>
                          <w:rPr>
                            <w:spacing w:val="-4"/>
                            <w:sz w:val="20"/>
                          </w:rPr>
                          <w:t xml:space="preserve"> </w:t>
                        </w:r>
                        <w:r>
                          <w:rPr>
                            <w:sz w:val="20"/>
                          </w:rPr>
                          <w:t>total</w:t>
                        </w:r>
                        <w:r>
                          <w:rPr>
                            <w:spacing w:val="-3"/>
                            <w:sz w:val="20"/>
                          </w:rPr>
                          <w:t xml:space="preserve"> </w:t>
                        </w:r>
                        <w:r>
                          <w:rPr>
                            <w:spacing w:val="-2"/>
                            <w:sz w:val="20"/>
                          </w:rPr>
                          <w:t>therms</w:t>
                        </w:r>
                      </w:p>
                    </w:txbxContent>
                  </v:textbox>
                </v:shape>
                <v:shape id="Textbox 630" style="position:absolute;left:3952;top:26053;width:27248;height:7779;visibility:visible;mso-wrap-style:square;v-text-anchor:top" o:spid="_x0000_s11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v:textbox inset="0,0,0,0">
                    <w:txbxContent>
                      <w:p w:rsidR="00C31389" w:rsidRDefault="00561FBD" w14:paraId="7CA5EE54" w14:textId="77777777">
                        <w:pPr>
                          <w:ind w:left="14" w:right="588"/>
                          <w:rPr>
                            <w:sz w:val="20"/>
                          </w:rPr>
                        </w:pPr>
                        <w:r>
                          <w:rPr>
                            <w:sz w:val="20"/>
                          </w:rPr>
                          <w:t>Baseline</w:t>
                        </w:r>
                        <w:r>
                          <w:rPr>
                            <w:spacing w:val="-10"/>
                            <w:sz w:val="20"/>
                          </w:rPr>
                          <w:t xml:space="preserve"> </w:t>
                        </w:r>
                        <w:r>
                          <w:rPr>
                            <w:sz w:val="20"/>
                          </w:rPr>
                          <w:t>50-gallon</w:t>
                        </w:r>
                        <w:r>
                          <w:rPr>
                            <w:spacing w:val="-10"/>
                            <w:sz w:val="20"/>
                          </w:rPr>
                          <w:t xml:space="preserve"> </w:t>
                        </w:r>
                        <w:r>
                          <w:rPr>
                            <w:sz w:val="20"/>
                          </w:rPr>
                          <w:t>gas</w:t>
                        </w:r>
                        <w:r>
                          <w:rPr>
                            <w:spacing w:val="-9"/>
                            <w:sz w:val="20"/>
                          </w:rPr>
                          <w:t xml:space="preserve"> </w:t>
                        </w:r>
                        <w:r>
                          <w:rPr>
                            <w:sz w:val="20"/>
                          </w:rPr>
                          <w:t>water</w:t>
                        </w:r>
                        <w:r>
                          <w:rPr>
                            <w:spacing w:val="-9"/>
                            <w:sz w:val="20"/>
                          </w:rPr>
                          <w:t xml:space="preserve"> </w:t>
                        </w:r>
                        <w:r>
                          <w:rPr>
                            <w:sz w:val="20"/>
                          </w:rPr>
                          <w:t>heater: 1,500 therms per water heater</w:t>
                        </w:r>
                      </w:p>
                      <w:p w:rsidR="00C31389" w:rsidRDefault="00C31389" w14:paraId="04B5169D" w14:textId="77777777">
                        <w:pPr>
                          <w:spacing w:before="5"/>
                          <w:rPr>
                            <w:sz w:val="26"/>
                          </w:rPr>
                        </w:pPr>
                      </w:p>
                      <w:p w:rsidR="00C31389" w:rsidRDefault="00561FBD" w14:paraId="32312F85" w14:textId="77777777">
                        <w:pPr>
                          <w:rPr>
                            <w:sz w:val="20"/>
                          </w:rPr>
                        </w:pPr>
                        <w:r>
                          <w:rPr>
                            <w:sz w:val="20"/>
                          </w:rPr>
                          <w:t>Efficient</w:t>
                        </w:r>
                        <w:r>
                          <w:rPr>
                            <w:spacing w:val="-8"/>
                            <w:sz w:val="20"/>
                          </w:rPr>
                          <w:t xml:space="preserve"> </w:t>
                        </w:r>
                        <w:r>
                          <w:rPr>
                            <w:sz w:val="20"/>
                          </w:rPr>
                          <w:t>50-gallon</w:t>
                        </w:r>
                        <w:r>
                          <w:rPr>
                            <w:spacing w:val="-8"/>
                            <w:sz w:val="20"/>
                          </w:rPr>
                          <w:t xml:space="preserve"> </w:t>
                        </w:r>
                        <w:r>
                          <w:rPr>
                            <w:sz w:val="20"/>
                          </w:rPr>
                          <w:t>gas</w:t>
                        </w:r>
                        <w:r>
                          <w:rPr>
                            <w:spacing w:val="-7"/>
                            <w:sz w:val="20"/>
                          </w:rPr>
                          <w:t xml:space="preserve"> </w:t>
                        </w:r>
                        <w:r>
                          <w:rPr>
                            <w:sz w:val="20"/>
                          </w:rPr>
                          <w:t>condensing</w:t>
                        </w:r>
                        <w:r>
                          <w:rPr>
                            <w:spacing w:val="-9"/>
                            <w:sz w:val="20"/>
                          </w:rPr>
                          <w:t xml:space="preserve"> </w:t>
                        </w:r>
                        <w:r>
                          <w:rPr>
                            <w:sz w:val="20"/>
                          </w:rPr>
                          <w:t>water</w:t>
                        </w:r>
                        <w:r>
                          <w:rPr>
                            <w:spacing w:val="-7"/>
                            <w:sz w:val="20"/>
                          </w:rPr>
                          <w:t xml:space="preserve"> </w:t>
                        </w:r>
                        <w:r>
                          <w:rPr>
                            <w:sz w:val="20"/>
                          </w:rPr>
                          <w:t>heater: 2,000 therms per water heater</w:t>
                        </w:r>
                      </w:p>
                    </w:txbxContent>
                  </v:textbox>
                </v:shape>
                <v:shape id="Textbox 631" style="position:absolute;left:37464;top:28713;width:15247;height:2889;visibility:visible;mso-wrap-style:square;v-text-anchor:top" o:spid="_x0000_s11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v:textbox inset="0,0,0,0">
                    <w:txbxContent>
                      <w:p w:rsidR="00C31389" w:rsidRDefault="00561FBD" w14:paraId="1CEDFFDA" w14:textId="77777777">
                        <w:pPr>
                          <w:spacing w:line="224" w:lineRule="exact"/>
                          <w:ind w:right="18"/>
                          <w:jc w:val="center"/>
                          <w:rPr>
                            <w:sz w:val="20"/>
                          </w:rPr>
                        </w:pPr>
                        <w:r>
                          <w:rPr>
                            <w:sz w:val="20"/>
                          </w:rPr>
                          <w:t>6</w:t>
                        </w:r>
                        <w:r>
                          <w:rPr>
                            <w:spacing w:val="-2"/>
                            <w:sz w:val="20"/>
                          </w:rPr>
                          <w:t xml:space="preserve"> </w:t>
                        </w:r>
                        <w:r>
                          <w:rPr>
                            <w:sz w:val="20"/>
                          </w:rPr>
                          <w:t>heat</w:t>
                        </w:r>
                        <w:r>
                          <w:rPr>
                            <w:spacing w:val="-1"/>
                            <w:sz w:val="20"/>
                          </w:rPr>
                          <w:t xml:space="preserve"> </w:t>
                        </w:r>
                        <w:r>
                          <w:rPr>
                            <w:sz w:val="20"/>
                          </w:rPr>
                          <w:t>pump</w:t>
                        </w:r>
                        <w:r>
                          <w:rPr>
                            <w:spacing w:val="-3"/>
                            <w:sz w:val="20"/>
                          </w:rPr>
                          <w:t xml:space="preserve"> </w:t>
                        </w:r>
                        <w:r>
                          <w:rPr>
                            <w:sz w:val="20"/>
                          </w:rPr>
                          <w:t xml:space="preserve">water </w:t>
                        </w:r>
                        <w:r>
                          <w:rPr>
                            <w:spacing w:val="-2"/>
                            <w:sz w:val="20"/>
                          </w:rPr>
                          <w:t>heaters</w:t>
                        </w:r>
                      </w:p>
                      <w:p w:rsidR="00C31389" w:rsidRDefault="00561FBD" w14:paraId="717D15D3" w14:textId="77777777">
                        <w:pPr>
                          <w:ind w:right="19"/>
                          <w:jc w:val="center"/>
                          <w:rPr>
                            <w:sz w:val="20"/>
                          </w:rPr>
                        </w:pPr>
                        <w:r>
                          <w:rPr>
                            <w:sz w:val="20"/>
                          </w:rPr>
                          <w:t>~69,000</w:t>
                        </w:r>
                        <w:r>
                          <w:rPr>
                            <w:spacing w:val="-4"/>
                            <w:sz w:val="20"/>
                          </w:rPr>
                          <w:t xml:space="preserve"> </w:t>
                        </w:r>
                        <w:r>
                          <w:rPr>
                            <w:sz w:val="20"/>
                          </w:rPr>
                          <w:t>total</w:t>
                        </w:r>
                        <w:r>
                          <w:rPr>
                            <w:spacing w:val="-3"/>
                            <w:sz w:val="20"/>
                          </w:rPr>
                          <w:t xml:space="preserve"> </w:t>
                        </w:r>
                        <w:r>
                          <w:rPr>
                            <w:spacing w:val="-5"/>
                            <w:sz w:val="20"/>
                          </w:rPr>
                          <w:t>kWh</w:t>
                        </w:r>
                      </w:p>
                    </w:txbxContent>
                  </v:textbox>
                </v:shape>
                <w10:wrap type="topAndBottom" anchorx="page"/>
              </v:group>
            </w:pict>
          </mc:Fallback>
        </mc:AlternateContent>
      </w:r>
    </w:p>
    <w:p w:rsidR="00C31389" w:rsidRDefault="00C31389" w14:paraId="50C724EF" w14:textId="77777777">
      <w:pPr>
        <w:pStyle w:val="BodyText"/>
        <w:spacing w:before="5"/>
        <w:rPr>
          <w:b/>
          <w:sz w:val="8"/>
        </w:rPr>
      </w:pPr>
    </w:p>
    <w:p w:rsidR="00C31389" w:rsidRDefault="00561FBD" w14:paraId="02E0BBE5" w14:textId="77777777">
      <w:pPr>
        <w:spacing w:before="94"/>
        <w:ind w:left="1117" w:right="5374"/>
        <w:rPr>
          <w:sz w:val="20"/>
        </w:rPr>
      </w:pPr>
      <w:r>
        <w:rPr>
          <w:noProof/>
        </w:rPr>
        <mc:AlternateContent>
          <mc:Choice Requires="wpg">
            <w:drawing>
              <wp:anchor distT="0" distB="0" distL="0" distR="0" simplePos="0" relativeHeight="15826944" behindDoc="0" locked="0" layoutInCell="1" allowOverlap="1" wp14:editId="47CDB7D0" wp14:anchorId="11E636B7">
                <wp:simplePos x="0" y="0"/>
                <wp:positionH relativeFrom="page">
                  <wp:posOffset>906976</wp:posOffset>
                </wp:positionH>
                <wp:positionV relativeFrom="paragraph">
                  <wp:posOffset>1446</wp:posOffset>
                </wp:positionV>
                <wp:extent cx="265430" cy="454659"/>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454659"/>
                          <a:chOff x="0" y="0"/>
                          <a:chExt cx="265430" cy="454659"/>
                        </a:xfrm>
                      </wpg:grpSpPr>
                      <wps:wsp>
                        <wps:cNvPr id="633" name="Graphic 633"/>
                        <wps:cNvSpPr/>
                        <wps:spPr>
                          <a:xfrm>
                            <a:off x="12696" y="42646"/>
                            <a:ext cx="240029" cy="399415"/>
                          </a:xfrm>
                          <a:custGeom>
                            <a:avLst/>
                            <a:gdLst/>
                            <a:ahLst/>
                            <a:cxnLst/>
                            <a:rect l="l" t="t" r="r" b="b"/>
                            <a:pathLst>
                              <a:path w="240029" h="399415">
                                <a:moveTo>
                                  <a:pt x="239610" y="0"/>
                                </a:moveTo>
                                <a:lnTo>
                                  <a:pt x="230197" y="11660"/>
                                </a:lnTo>
                                <a:lnTo>
                                  <a:pt x="204523" y="21178"/>
                                </a:lnTo>
                                <a:lnTo>
                                  <a:pt x="166444" y="27594"/>
                                </a:lnTo>
                                <a:lnTo>
                                  <a:pt x="119811" y="29946"/>
                                </a:lnTo>
                                <a:lnTo>
                                  <a:pt x="73177" y="27594"/>
                                </a:lnTo>
                                <a:lnTo>
                                  <a:pt x="35093" y="21178"/>
                                </a:lnTo>
                                <a:lnTo>
                                  <a:pt x="9415" y="11660"/>
                                </a:lnTo>
                                <a:lnTo>
                                  <a:pt x="0" y="0"/>
                                </a:lnTo>
                                <a:lnTo>
                                  <a:pt x="0" y="368858"/>
                                </a:lnTo>
                                <a:lnTo>
                                  <a:pt x="9415" y="380521"/>
                                </a:lnTo>
                                <a:lnTo>
                                  <a:pt x="35093" y="390043"/>
                                </a:lnTo>
                                <a:lnTo>
                                  <a:pt x="73177" y="396464"/>
                                </a:lnTo>
                                <a:lnTo>
                                  <a:pt x="119811" y="398818"/>
                                </a:lnTo>
                                <a:lnTo>
                                  <a:pt x="166444" y="396464"/>
                                </a:lnTo>
                                <a:lnTo>
                                  <a:pt x="204523" y="390043"/>
                                </a:lnTo>
                                <a:lnTo>
                                  <a:pt x="230197" y="380521"/>
                                </a:lnTo>
                                <a:lnTo>
                                  <a:pt x="239610" y="368858"/>
                                </a:lnTo>
                                <a:lnTo>
                                  <a:pt x="239610" y="0"/>
                                </a:lnTo>
                                <a:close/>
                              </a:path>
                            </a:pathLst>
                          </a:custGeom>
                          <a:solidFill>
                            <a:srgbClr val="1F54C8"/>
                          </a:solidFill>
                        </wps:spPr>
                        <wps:bodyPr wrap="square" lIns="0" tIns="0" rIns="0" bIns="0" rtlCol="0">
                          <a:prstTxWarp prst="textNoShape">
                            <a:avLst/>
                          </a:prstTxWarp>
                          <a:noAutofit/>
                        </wps:bodyPr>
                      </wps:wsp>
                      <wps:wsp>
                        <wps:cNvPr id="634" name="Graphic 634"/>
                        <wps:cNvSpPr/>
                        <wps:spPr>
                          <a:xfrm>
                            <a:off x="12696" y="12700"/>
                            <a:ext cx="240029" cy="60325"/>
                          </a:xfrm>
                          <a:custGeom>
                            <a:avLst/>
                            <a:gdLst/>
                            <a:ahLst/>
                            <a:cxnLst/>
                            <a:rect l="l" t="t" r="r" b="b"/>
                            <a:pathLst>
                              <a:path w="240029" h="60325">
                                <a:moveTo>
                                  <a:pt x="119811" y="0"/>
                                </a:moveTo>
                                <a:lnTo>
                                  <a:pt x="73177" y="2353"/>
                                </a:lnTo>
                                <a:lnTo>
                                  <a:pt x="35093" y="8772"/>
                                </a:lnTo>
                                <a:lnTo>
                                  <a:pt x="9415" y="18291"/>
                                </a:lnTo>
                                <a:lnTo>
                                  <a:pt x="0" y="29946"/>
                                </a:lnTo>
                                <a:lnTo>
                                  <a:pt x="9415" y="41606"/>
                                </a:lnTo>
                                <a:lnTo>
                                  <a:pt x="35093" y="51125"/>
                                </a:lnTo>
                                <a:lnTo>
                                  <a:pt x="73177" y="57541"/>
                                </a:lnTo>
                                <a:lnTo>
                                  <a:pt x="119811" y="59893"/>
                                </a:lnTo>
                                <a:lnTo>
                                  <a:pt x="166444" y="57541"/>
                                </a:lnTo>
                                <a:lnTo>
                                  <a:pt x="204523" y="51125"/>
                                </a:lnTo>
                                <a:lnTo>
                                  <a:pt x="230197" y="41606"/>
                                </a:lnTo>
                                <a:lnTo>
                                  <a:pt x="239610" y="29946"/>
                                </a:lnTo>
                                <a:lnTo>
                                  <a:pt x="230197" y="18291"/>
                                </a:lnTo>
                                <a:lnTo>
                                  <a:pt x="204523" y="8772"/>
                                </a:lnTo>
                                <a:lnTo>
                                  <a:pt x="166444" y="2353"/>
                                </a:lnTo>
                                <a:lnTo>
                                  <a:pt x="119811" y="0"/>
                                </a:lnTo>
                                <a:close/>
                              </a:path>
                            </a:pathLst>
                          </a:custGeom>
                          <a:solidFill>
                            <a:srgbClr val="7999DF"/>
                          </a:solidFill>
                        </wps:spPr>
                        <wps:bodyPr wrap="square" lIns="0" tIns="0" rIns="0" bIns="0" rtlCol="0">
                          <a:prstTxWarp prst="textNoShape">
                            <a:avLst/>
                          </a:prstTxWarp>
                          <a:noAutofit/>
                        </wps:bodyPr>
                      </wps:wsp>
                      <wps:wsp>
                        <wps:cNvPr id="635" name="Graphic 635"/>
                        <wps:cNvSpPr/>
                        <wps:spPr>
                          <a:xfrm>
                            <a:off x="12700" y="12700"/>
                            <a:ext cx="240029" cy="429259"/>
                          </a:xfrm>
                          <a:custGeom>
                            <a:avLst/>
                            <a:gdLst/>
                            <a:ahLst/>
                            <a:cxnLst/>
                            <a:rect l="l" t="t" r="r" b="b"/>
                            <a:pathLst>
                              <a:path w="240029" h="429259">
                                <a:moveTo>
                                  <a:pt x="239610" y="29946"/>
                                </a:moveTo>
                                <a:lnTo>
                                  <a:pt x="204517" y="51125"/>
                                </a:lnTo>
                                <a:lnTo>
                                  <a:pt x="166433" y="57541"/>
                                </a:lnTo>
                                <a:lnTo>
                                  <a:pt x="119799" y="59893"/>
                                </a:lnTo>
                                <a:lnTo>
                                  <a:pt x="73166" y="57541"/>
                                </a:lnTo>
                                <a:lnTo>
                                  <a:pt x="35086" y="51125"/>
                                </a:lnTo>
                                <a:lnTo>
                                  <a:pt x="0" y="29946"/>
                                </a:lnTo>
                                <a:lnTo>
                                  <a:pt x="9413" y="18291"/>
                                </a:lnTo>
                                <a:lnTo>
                                  <a:pt x="35086" y="8772"/>
                                </a:lnTo>
                                <a:lnTo>
                                  <a:pt x="73166" y="2353"/>
                                </a:lnTo>
                                <a:lnTo>
                                  <a:pt x="119799" y="0"/>
                                </a:lnTo>
                                <a:lnTo>
                                  <a:pt x="166433" y="2353"/>
                                </a:lnTo>
                                <a:lnTo>
                                  <a:pt x="204517" y="8772"/>
                                </a:lnTo>
                                <a:lnTo>
                                  <a:pt x="230195" y="18291"/>
                                </a:lnTo>
                                <a:lnTo>
                                  <a:pt x="239610" y="29946"/>
                                </a:lnTo>
                                <a:lnTo>
                                  <a:pt x="239610" y="398805"/>
                                </a:lnTo>
                                <a:lnTo>
                                  <a:pt x="230195" y="410467"/>
                                </a:lnTo>
                                <a:lnTo>
                                  <a:pt x="204517" y="419990"/>
                                </a:lnTo>
                                <a:lnTo>
                                  <a:pt x="166433" y="426410"/>
                                </a:lnTo>
                                <a:lnTo>
                                  <a:pt x="119799" y="428764"/>
                                </a:lnTo>
                                <a:lnTo>
                                  <a:pt x="73166" y="426410"/>
                                </a:lnTo>
                                <a:lnTo>
                                  <a:pt x="35086" y="419990"/>
                                </a:lnTo>
                                <a:lnTo>
                                  <a:pt x="9413" y="410467"/>
                                </a:lnTo>
                                <a:lnTo>
                                  <a:pt x="0" y="398805"/>
                                </a:lnTo>
                                <a:lnTo>
                                  <a:pt x="0" y="29946"/>
                                </a:lnTo>
                              </a:path>
                            </a:pathLst>
                          </a:custGeom>
                          <a:ln w="25400">
                            <a:solidFill>
                              <a:srgbClr val="133B92"/>
                            </a:solidFill>
                            <a:prstDash val="solid"/>
                          </a:ln>
                        </wps:spPr>
                        <wps:bodyPr wrap="square" lIns="0" tIns="0" rIns="0" bIns="0" rtlCol="0">
                          <a:prstTxWarp prst="textNoShape">
                            <a:avLst/>
                          </a:prstTxWarp>
                          <a:noAutofit/>
                        </wps:bodyPr>
                      </wps:wsp>
                    </wpg:wgp>
                  </a:graphicData>
                </a:graphic>
              </wp:anchor>
            </w:drawing>
          </mc:Choice>
          <mc:Fallback>
            <w:pict>
              <v:group id="Group 632" style="position:absolute;margin-left:71.4pt;margin-top:.1pt;width:20.9pt;height:35.8pt;z-index:15826944;mso-wrap-distance-left:0;mso-wrap-distance-right:0;mso-position-horizontal-relative:page" coordsize="265430,454659" o:spid="_x0000_s1026" w14:anchorId="2114C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">
                <v:shape id="Graphic 633" style="position:absolute;left:12696;top:42646;width:240029;height:399415;visibility:visible;mso-wrap-style:square;v-text-anchor:top" coordsize="240029,399415" o:spid="_x0000_s1027" fillcolor="#1f54c8" stroked="f" path="m239610,r-9413,11660l204523,21178r-38079,6416l119811,29946,73177,27594,35093,21178,9415,11660,,,,368858r9415,11663l35093,390043r38084,6421l119811,398818r46633,-2354l204523,390043r25674,-9522l239610,368858,239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">
                  <v:path arrowok="t"/>
                </v:shape>
                <v:shape id="Graphic 634" style="position:absolute;left:12696;top:12700;width:240029;height:60325;visibility:visible;mso-wrap-style:square;v-text-anchor:top" coordsize="240029,60325" o:spid="_x0000_s1028" fillcolor="#7999df" stroked="f" path="m119811,l73177,2353,35093,8772,9415,18291,,29946,9415,41606r25678,9519l73177,57541r46634,2352l166444,57541r38079,-6416l230197,41606r9413,-11660l230197,18291,204523,8772,166444,2353,119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">
                  <v:path arrowok="t"/>
                </v:shape>
                <v:shape id="Graphic 635" style="position:absolute;left:12700;top:12700;width:240029;height:429259;visibility:visible;mso-wrap-style:square;v-text-anchor:top" coordsize="240029,429259" o:spid="_x0000_s1029" filled="f" strokecolor="#133b92" strokeweight="2pt" path="m239610,29946l204517,51125r-38084,6416l119799,59893,73166,57541,35086,51125,,29946,9413,18291,35086,8772,73166,2353,119799,r46634,2353l204517,8772r25678,9519l239610,29946r,368859l230195,410467r-25678,9523l166433,426410r-46634,2354l73166,426410,35086,419990,9413,410467,,398805,,299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">
                  <v:path arrowok="t"/>
                </v:shape>
                <w10:wrap anchorx="page"/>
              </v:group>
            </w:pict>
          </mc:Fallback>
        </mc:AlternateContent>
      </w:r>
      <w:r>
        <w:rPr>
          <w:sz w:val="20"/>
        </w:rPr>
        <w:t>Electric</w:t>
      </w:r>
      <w:r>
        <w:rPr>
          <w:spacing w:val="-7"/>
          <w:sz w:val="20"/>
        </w:rPr>
        <w:t xml:space="preserve"> </w:t>
      </w:r>
      <w:r>
        <w:rPr>
          <w:sz w:val="20"/>
        </w:rPr>
        <w:t>heat</w:t>
      </w:r>
      <w:r>
        <w:rPr>
          <w:spacing w:val="-10"/>
          <w:sz w:val="20"/>
        </w:rPr>
        <w:t xml:space="preserve"> </w:t>
      </w:r>
      <w:r>
        <w:rPr>
          <w:sz w:val="20"/>
        </w:rPr>
        <w:t>pump</w:t>
      </w:r>
      <w:r>
        <w:rPr>
          <w:spacing w:val="-8"/>
          <w:sz w:val="20"/>
        </w:rPr>
        <w:t xml:space="preserve"> </w:t>
      </w:r>
      <w:r>
        <w:rPr>
          <w:sz w:val="20"/>
        </w:rPr>
        <w:t>water</w:t>
      </w:r>
      <w:r>
        <w:rPr>
          <w:spacing w:val="-7"/>
          <w:sz w:val="20"/>
        </w:rPr>
        <w:t xml:space="preserve"> </w:t>
      </w:r>
      <w:r>
        <w:rPr>
          <w:sz w:val="20"/>
        </w:rPr>
        <w:t>heater: 11,500 kWh per water heater</w:t>
      </w:r>
    </w:p>
    <w:p w:rsidR="00C31389" w:rsidRDefault="00C31389" w14:paraId="0294F638" w14:textId="77777777">
      <w:pPr>
        <w:pStyle w:val="BodyText"/>
        <w:spacing w:before="4"/>
        <w:rPr>
          <w:sz w:val="28"/>
        </w:rPr>
      </w:pPr>
    </w:p>
    <w:p w:rsidR="00C31389" w:rsidRDefault="00561FBD" w14:paraId="27B67466" w14:textId="77777777">
      <w:pPr>
        <w:spacing w:before="95"/>
        <w:ind w:left="480"/>
        <w:rPr>
          <w:i/>
          <w:sz w:val="18"/>
        </w:rPr>
      </w:pPr>
      <w:r>
        <w:rPr>
          <w:i/>
          <w:sz w:val="18"/>
        </w:rPr>
        <w:t>Source:</w:t>
      </w:r>
      <w:r>
        <w:rPr>
          <w:i/>
          <w:spacing w:val="-4"/>
          <w:sz w:val="18"/>
        </w:rPr>
        <w:t xml:space="preserve"> </w:t>
      </w:r>
      <w:r>
        <w:rPr>
          <w:i/>
          <w:spacing w:val="-2"/>
          <w:sz w:val="18"/>
        </w:rPr>
        <w:t>Guidehouse</w:t>
      </w:r>
    </w:p>
    <w:p w:rsidR="00C31389" w:rsidRDefault="00C31389" w14:paraId="1D9C446B" w14:textId="77777777">
      <w:pPr>
        <w:pStyle w:val="BodyText"/>
        <w:spacing w:before="10"/>
        <w:rPr>
          <w:i/>
          <w:sz w:val="20"/>
        </w:rPr>
      </w:pPr>
    </w:p>
    <w:p w:rsidR="00C31389" w:rsidRDefault="00561FBD" w14:paraId="0EF98721" w14:textId="77777777">
      <w:pPr>
        <w:pStyle w:val="BodyText"/>
        <w:ind w:left="480" w:right="434"/>
      </w:pPr>
      <w:r>
        <w:t>To fairly compare the competing technologies, the team normalized the water heating consumption</w:t>
      </w:r>
      <w:r>
        <w:rPr>
          <w:spacing w:val="-3"/>
        </w:rPr>
        <w:t xml:space="preserve"> </w:t>
      </w:r>
      <w:r>
        <w:t>to</w:t>
      </w:r>
      <w:r>
        <w:rPr>
          <w:spacing w:val="-3"/>
        </w:rPr>
        <w:t xml:space="preserve"> </w:t>
      </w:r>
      <w:r>
        <w:t>the</w:t>
      </w:r>
      <w:r>
        <w:rPr>
          <w:spacing w:val="-3"/>
        </w:rPr>
        <w:t xml:space="preserve"> </w:t>
      </w:r>
      <w:r>
        <w:t>building</w:t>
      </w:r>
      <w:r>
        <w:rPr>
          <w:spacing w:val="-3"/>
        </w:rPr>
        <w:t xml:space="preserve"> </w:t>
      </w:r>
      <w:r>
        <w:t>area</w:t>
      </w:r>
      <w:r>
        <w:rPr>
          <w:spacing w:val="-3"/>
        </w:rPr>
        <w:t xml:space="preserve"> </w:t>
      </w:r>
      <w:r>
        <w:t>on</w:t>
      </w:r>
      <w:r>
        <w:rPr>
          <w:spacing w:val="-4"/>
        </w:rPr>
        <w:t xml:space="preserve"> </w:t>
      </w:r>
      <w:r>
        <w:t>a</w:t>
      </w:r>
      <w:r>
        <w:rPr>
          <w:spacing w:val="-3"/>
        </w:rPr>
        <w:t xml:space="preserve"> </w:t>
      </w:r>
      <w:r>
        <w:t>per-1,000</w:t>
      </w:r>
      <w:r>
        <w:rPr>
          <w:spacing w:val="-3"/>
        </w:rPr>
        <w:t xml:space="preserve"> </w:t>
      </w:r>
      <w:r>
        <w:t>square</w:t>
      </w:r>
      <w:r>
        <w:rPr>
          <w:spacing w:val="-3"/>
        </w:rPr>
        <w:t xml:space="preserve"> </w:t>
      </w:r>
      <w:r>
        <w:t>foot</w:t>
      </w:r>
      <w:r>
        <w:rPr>
          <w:spacing w:val="-4"/>
        </w:rPr>
        <w:t xml:space="preserve"> </w:t>
      </w:r>
      <w:r>
        <w:t>basis.</w:t>
      </w:r>
      <w:r>
        <w:rPr>
          <w:spacing w:val="-3"/>
        </w:rPr>
        <w:t xml:space="preserve"> </w:t>
      </w:r>
      <w:hyperlink w:history="1" w:anchor="_bookmark266">
        <w:r>
          <w:t>Table</w:t>
        </w:r>
        <w:r>
          <w:rPr>
            <w:spacing w:val="-4"/>
          </w:rPr>
          <w:t xml:space="preserve"> </w:t>
        </w:r>
        <w:r>
          <w:t>B-9.</w:t>
        </w:r>
      </w:hyperlink>
      <w:r>
        <w:rPr>
          <w:spacing w:val="-3"/>
        </w:rPr>
        <w:t xml:space="preserve"> </w:t>
      </w:r>
      <w:r>
        <w:t>illustrates</w:t>
      </w:r>
      <w:r>
        <w:rPr>
          <w:spacing w:val="-3"/>
        </w:rPr>
        <w:t xml:space="preserve"> </w:t>
      </w:r>
      <w:r>
        <w:t xml:space="preserve">this process for the example outlined in </w:t>
      </w:r>
      <w:hyperlink w:history="1" w:anchor="_bookmark265">
        <w:r>
          <w:t>Figure B-7.</w:t>
        </w:r>
      </w:hyperlink>
    </w:p>
    <w:p w:rsidR="00C31389" w:rsidRDefault="00C31389" w14:paraId="15C1B0B1" w14:textId="77777777">
      <w:pPr>
        <w:pStyle w:val="BodyText"/>
        <w:spacing w:before="9"/>
        <w:rPr>
          <w:sz w:val="20"/>
        </w:rPr>
      </w:pPr>
    </w:p>
    <w:p w:rsidR="00C31389" w:rsidRDefault="00561FBD" w14:paraId="42A43684" w14:textId="77777777">
      <w:pPr>
        <w:pStyle w:val="Heading7"/>
        <w:ind w:left="3960" w:right="434" w:hanging="3227"/>
      </w:pPr>
      <w:bookmarkStart w:name="_bookmark266" w:id="353"/>
      <w:bookmarkEnd w:id="353"/>
      <w:r>
        <w:t>Table</w:t>
      </w:r>
      <w:r>
        <w:rPr>
          <w:spacing w:val="-4"/>
        </w:rPr>
        <w:t xml:space="preserve"> </w:t>
      </w:r>
      <w:r>
        <w:t>B-9.</w:t>
      </w:r>
      <w:r>
        <w:rPr>
          <w:spacing w:val="-5"/>
        </w:rPr>
        <w:t xml:space="preserve"> </w:t>
      </w:r>
      <w:r>
        <w:t>Normalization</w:t>
      </w:r>
      <w:r>
        <w:rPr>
          <w:spacing w:val="-4"/>
        </w:rPr>
        <w:t xml:space="preserve"> </w:t>
      </w:r>
      <w:r>
        <w:t>of</w:t>
      </w:r>
      <w:r>
        <w:rPr>
          <w:spacing w:val="-4"/>
        </w:rPr>
        <w:t xml:space="preserve"> </w:t>
      </w:r>
      <w:r>
        <w:t>Energy</w:t>
      </w:r>
      <w:r>
        <w:rPr>
          <w:spacing w:val="-4"/>
        </w:rPr>
        <w:t xml:space="preserve"> </w:t>
      </w:r>
      <w:r>
        <w:t>Consumption</w:t>
      </w:r>
      <w:r>
        <w:rPr>
          <w:spacing w:val="-4"/>
        </w:rPr>
        <w:t xml:space="preserve"> </w:t>
      </w:r>
      <w:r>
        <w:t>for</w:t>
      </w:r>
      <w:r>
        <w:rPr>
          <w:spacing w:val="-5"/>
        </w:rPr>
        <w:t xml:space="preserve"> </w:t>
      </w:r>
      <w:r>
        <w:t>Commercial</w:t>
      </w:r>
      <w:r>
        <w:rPr>
          <w:spacing w:val="-4"/>
        </w:rPr>
        <w:t xml:space="preserve"> </w:t>
      </w:r>
      <w:r>
        <w:t>Water</w:t>
      </w:r>
      <w:r>
        <w:rPr>
          <w:spacing w:val="-5"/>
        </w:rPr>
        <w:t xml:space="preserve"> </w:t>
      </w:r>
      <w:r>
        <w:t>Heaters</w:t>
      </w:r>
      <w:r>
        <w:rPr>
          <w:spacing w:val="-4"/>
        </w:rPr>
        <w:t xml:space="preserve"> </w:t>
      </w:r>
      <w:r>
        <w:t>– Illustrative Example</w:t>
      </w:r>
    </w:p>
    <w:p w:rsidR="00C31389" w:rsidRDefault="00C31389" w14:paraId="30CC32FB" w14:textId="77777777">
      <w:pPr>
        <w:pStyle w:val="BodyText"/>
        <w:spacing w:before="8"/>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2025"/>
        <w:gridCol w:w="1547"/>
        <w:gridCol w:w="1803"/>
        <w:gridCol w:w="1183"/>
        <w:gridCol w:w="1248"/>
        <w:gridCol w:w="1569"/>
      </w:tblGrid>
      <w:tr w:rsidR="00C31389" w14:paraId="27688C36" w14:textId="77777777">
        <w:trPr>
          <w:trHeight w:val="594"/>
        </w:trPr>
        <w:tc>
          <w:tcPr>
            <w:tcW w:w="2025" w:type="dxa"/>
            <w:shd w:val="clear" w:color="auto" w:fill="92D400"/>
          </w:tcPr>
          <w:p w:rsidR="00C31389" w:rsidRDefault="00561FBD" w14:paraId="24CC9689" w14:textId="77777777">
            <w:pPr>
              <w:pStyle w:val="TableParagraph"/>
              <w:spacing w:before="177"/>
              <w:ind w:left="122"/>
              <w:rPr>
                <w:b/>
                <w:sz w:val="20"/>
              </w:rPr>
            </w:pPr>
            <w:r>
              <w:rPr>
                <w:b/>
                <w:sz w:val="20"/>
              </w:rPr>
              <w:t>Efficiency</w:t>
            </w:r>
            <w:r>
              <w:rPr>
                <w:b/>
                <w:spacing w:val="-8"/>
                <w:sz w:val="20"/>
              </w:rPr>
              <w:t xml:space="preserve"> </w:t>
            </w:r>
            <w:r>
              <w:rPr>
                <w:b/>
                <w:spacing w:val="-2"/>
                <w:sz w:val="20"/>
              </w:rPr>
              <w:t>Level</w:t>
            </w:r>
          </w:p>
        </w:tc>
        <w:tc>
          <w:tcPr>
            <w:tcW w:w="1547" w:type="dxa"/>
            <w:shd w:val="clear" w:color="auto" w:fill="92D400"/>
          </w:tcPr>
          <w:p w:rsidR="00C31389" w:rsidRDefault="00561FBD" w14:paraId="57B7C6F5" w14:textId="77777777">
            <w:pPr>
              <w:pStyle w:val="TableParagraph"/>
              <w:spacing w:before="62"/>
              <w:ind w:left="351" w:right="284" w:hanging="106"/>
              <w:rPr>
                <w:b/>
                <w:sz w:val="20"/>
              </w:rPr>
            </w:pPr>
            <w:r>
              <w:rPr>
                <w:b/>
                <w:sz w:val="20"/>
              </w:rPr>
              <w:t>Total</w:t>
            </w:r>
            <w:r>
              <w:rPr>
                <w:b/>
                <w:spacing w:val="-14"/>
                <w:sz w:val="20"/>
              </w:rPr>
              <w:t xml:space="preserve"> </w:t>
            </w:r>
            <w:r>
              <w:rPr>
                <w:b/>
                <w:sz w:val="20"/>
              </w:rPr>
              <w:t xml:space="preserve">kWh/ </w:t>
            </w:r>
            <w:r>
              <w:rPr>
                <w:b/>
                <w:spacing w:val="-2"/>
                <w:sz w:val="20"/>
              </w:rPr>
              <w:t>Building</w:t>
            </w:r>
          </w:p>
        </w:tc>
        <w:tc>
          <w:tcPr>
            <w:tcW w:w="1803" w:type="dxa"/>
            <w:shd w:val="clear" w:color="auto" w:fill="92D400"/>
          </w:tcPr>
          <w:p w:rsidR="00C31389" w:rsidRDefault="00561FBD" w14:paraId="40587FE4" w14:textId="77777777">
            <w:pPr>
              <w:pStyle w:val="TableParagraph"/>
              <w:spacing w:before="62"/>
              <w:ind w:left="546" w:right="196" w:hanging="257"/>
              <w:rPr>
                <w:b/>
                <w:sz w:val="20"/>
              </w:rPr>
            </w:pPr>
            <w:r>
              <w:rPr>
                <w:b/>
                <w:sz w:val="20"/>
              </w:rPr>
              <w:t>Total</w:t>
            </w:r>
            <w:r>
              <w:rPr>
                <w:b/>
                <w:spacing w:val="-14"/>
                <w:sz w:val="20"/>
              </w:rPr>
              <w:t xml:space="preserve"> </w:t>
            </w:r>
            <w:r>
              <w:rPr>
                <w:b/>
                <w:sz w:val="20"/>
              </w:rPr>
              <w:t xml:space="preserve">Therms/ </w:t>
            </w:r>
            <w:r>
              <w:rPr>
                <w:b/>
                <w:spacing w:val="-2"/>
                <w:sz w:val="20"/>
              </w:rPr>
              <w:t>Building</w:t>
            </w:r>
          </w:p>
        </w:tc>
        <w:tc>
          <w:tcPr>
            <w:tcW w:w="1183" w:type="dxa"/>
            <w:shd w:val="clear" w:color="auto" w:fill="92D400"/>
          </w:tcPr>
          <w:p w:rsidR="00C31389" w:rsidRDefault="00561FBD" w14:paraId="1E2F3455" w14:textId="77777777">
            <w:pPr>
              <w:pStyle w:val="TableParagraph"/>
              <w:spacing w:before="62"/>
              <w:ind w:left="227" w:hanging="28"/>
              <w:rPr>
                <w:b/>
                <w:sz w:val="20"/>
              </w:rPr>
            </w:pPr>
            <w:r>
              <w:rPr>
                <w:b/>
                <w:sz w:val="20"/>
              </w:rPr>
              <w:t>Sq.</w:t>
            </w:r>
            <w:r>
              <w:rPr>
                <w:b/>
                <w:spacing w:val="-14"/>
                <w:sz w:val="20"/>
              </w:rPr>
              <w:t xml:space="preserve"> </w:t>
            </w:r>
            <w:r>
              <w:rPr>
                <w:b/>
                <w:sz w:val="20"/>
              </w:rPr>
              <w:t>Ft.</w:t>
            </w:r>
            <w:r>
              <w:rPr>
                <w:b/>
                <w:spacing w:val="-14"/>
                <w:sz w:val="20"/>
              </w:rPr>
              <w:t xml:space="preserve"> </w:t>
            </w:r>
            <w:r>
              <w:rPr>
                <w:b/>
                <w:sz w:val="20"/>
              </w:rPr>
              <w:t xml:space="preserve">of </w:t>
            </w:r>
            <w:r>
              <w:rPr>
                <w:b/>
                <w:spacing w:val="-2"/>
                <w:sz w:val="20"/>
              </w:rPr>
              <w:t>Building</w:t>
            </w:r>
          </w:p>
        </w:tc>
        <w:tc>
          <w:tcPr>
            <w:tcW w:w="1248" w:type="dxa"/>
            <w:shd w:val="clear" w:color="auto" w:fill="92D400"/>
          </w:tcPr>
          <w:p w:rsidR="00C31389" w:rsidRDefault="00561FBD" w14:paraId="13F766F1" w14:textId="77777777">
            <w:pPr>
              <w:pStyle w:val="TableParagraph"/>
              <w:spacing w:before="62"/>
              <w:ind w:left="310" w:hanging="184"/>
              <w:rPr>
                <w:b/>
                <w:sz w:val="20"/>
              </w:rPr>
            </w:pPr>
            <w:r>
              <w:rPr>
                <w:b/>
                <w:spacing w:val="-2"/>
                <w:sz w:val="20"/>
              </w:rPr>
              <w:t xml:space="preserve">kWh/1,000 </w:t>
            </w:r>
            <w:r>
              <w:rPr>
                <w:b/>
                <w:sz w:val="20"/>
              </w:rPr>
              <w:t>Sq. Ft.</w:t>
            </w:r>
          </w:p>
        </w:tc>
        <w:tc>
          <w:tcPr>
            <w:tcW w:w="1569" w:type="dxa"/>
            <w:shd w:val="clear" w:color="auto" w:fill="92D400"/>
          </w:tcPr>
          <w:p w:rsidR="00C31389" w:rsidRDefault="00561FBD" w14:paraId="1534D8A9" w14:textId="77777777">
            <w:pPr>
              <w:pStyle w:val="TableParagraph"/>
              <w:spacing w:before="62"/>
              <w:ind w:left="474" w:hanging="334"/>
              <w:rPr>
                <w:b/>
                <w:sz w:val="20"/>
              </w:rPr>
            </w:pPr>
            <w:r>
              <w:rPr>
                <w:b/>
                <w:spacing w:val="-2"/>
                <w:sz w:val="20"/>
              </w:rPr>
              <w:t xml:space="preserve">Therms/1,000 </w:t>
            </w:r>
            <w:r>
              <w:rPr>
                <w:b/>
                <w:sz w:val="20"/>
              </w:rPr>
              <w:t>Sq. Ft.</w:t>
            </w:r>
          </w:p>
        </w:tc>
      </w:tr>
      <w:tr w:rsidR="00C31389" w14:paraId="32B07A62" w14:textId="77777777">
        <w:trPr>
          <w:trHeight w:val="368"/>
        </w:trPr>
        <w:tc>
          <w:tcPr>
            <w:tcW w:w="2025" w:type="dxa"/>
            <w:tcBorders>
              <w:bottom w:val="single" w:color="D9D9D9" w:sz="2" w:space="0"/>
            </w:tcBorders>
          </w:tcPr>
          <w:p w:rsidR="00C31389" w:rsidRDefault="00561FBD" w14:paraId="70D7ABA9" w14:textId="77777777">
            <w:pPr>
              <w:pStyle w:val="TableParagraph"/>
              <w:spacing w:before="69"/>
              <w:ind w:left="122"/>
              <w:rPr>
                <w:sz w:val="20"/>
              </w:rPr>
            </w:pPr>
            <w:r>
              <w:rPr>
                <w:sz w:val="20"/>
              </w:rPr>
              <w:t>Baseline</w:t>
            </w:r>
            <w:r>
              <w:rPr>
                <w:spacing w:val="-6"/>
                <w:sz w:val="20"/>
              </w:rPr>
              <w:t xml:space="preserve"> </w:t>
            </w:r>
            <w:r>
              <w:rPr>
                <w:spacing w:val="-5"/>
                <w:sz w:val="20"/>
              </w:rPr>
              <w:t>gas</w:t>
            </w:r>
          </w:p>
        </w:tc>
        <w:tc>
          <w:tcPr>
            <w:tcW w:w="1547" w:type="dxa"/>
            <w:tcBorders>
              <w:bottom w:val="single" w:color="D9D9D9" w:sz="2" w:space="0"/>
            </w:tcBorders>
          </w:tcPr>
          <w:p w:rsidR="00C31389" w:rsidRDefault="00561FBD" w14:paraId="1CE16D81" w14:textId="77777777">
            <w:pPr>
              <w:pStyle w:val="TableParagraph"/>
              <w:spacing w:before="69"/>
              <w:ind w:right="42"/>
              <w:jc w:val="center"/>
              <w:rPr>
                <w:sz w:val="20"/>
              </w:rPr>
            </w:pPr>
            <w:r>
              <w:rPr>
                <w:sz w:val="20"/>
              </w:rPr>
              <w:t>0</w:t>
            </w:r>
          </w:p>
        </w:tc>
        <w:tc>
          <w:tcPr>
            <w:tcW w:w="1803" w:type="dxa"/>
            <w:tcBorders>
              <w:bottom w:val="single" w:color="D9D9D9" w:sz="2" w:space="0"/>
            </w:tcBorders>
          </w:tcPr>
          <w:p w:rsidR="00C31389" w:rsidRDefault="00561FBD" w14:paraId="0F32B220" w14:textId="77777777">
            <w:pPr>
              <w:pStyle w:val="TableParagraph"/>
              <w:spacing w:before="69"/>
              <w:ind w:left="685" w:right="596"/>
              <w:jc w:val="center"/>
              <w:rPr>
                <w:sz w:val="20"/>
              </w:rPr>
            </w:pPr>
            <w:r>
              <w:rPr>
                <w:spacing w:val="-4"/>
                <w:sz w:val="20"/>
              </w:rPr>
              <w:t>7,500</w:t>
            </w:r>
          </w:p>
        </w:tc>
        <w:tc>
          <w:tcPr>
            <w:tcW w:w="1183" w:type="dxa"/>
            <w:tcBorders>
              <w:bottom w:val="single" w:color="D9D9D9" w:sz="2" w:space="0"/>
            </w:tcBorders>
          </w:tcPr>
          <w:p w:rsidR="00C31389" w:rsidRDefault="00561FBD" w14:paraId="26E83B4F" w14:textId="77777777">
            <w:pPr>
              <w:pStyle w:val="TableParagraph"/>
              <w:spacing w:before="69"/>
              <w:ind w:right="246"/>
              <w:jc w:val="right"/>
              <w:rPr>
                <w:sz w:val="20"/>
              </w:rPr>
            </w:pPr>
            <w:r>
              <w:rPr>
                <w:spacing w:val="-2"/>
                <w:sz w:val="20"/>
              </w:rPr>
              <w:t>34,000</w:t>
            </w:r>
          </w:p>
        </w:tc>
        <w:tc>
          <w:tcPr>
            <w:tcW w:w="1248" w:type="dxa"/>
            <w:tcBorders>
              <w:bottom w:val="single" w:color="D9D9D9" w:sz="2" w:space="0"/>
            </w:tcBorders>
          </w:tcPr>
          <w:p w:rsidR="00C31389" w:rsidRDefault="00561FBD" w14:paraId="36381CB1" w14:textId="77777777">
            <w:pPr>
              <w:pStyle w:val="TableParagraph"/>
              <w:spacing w:before="69"/>
              <w:ind w:right="13"/>
              <w:jc w:val="center"/>
              <w:rPr>
                <w:sz w:val="20"/>
              </w:rPr>
            </w:pPr>
            <w:r>
              <w:rPr>
                <w:sz w:val="20"/>
              </w:rPr>
              <w:t>0</w:t>
            </w:r>
          </w:p>
        </w:tc>
        <w:tc>
          <w:tcPr>
            <w:tcW w:w="1569" w:type="dxa"/>
            <w:tcBorders>
              <w:bottom w:val="single" w:color="D9D9D9" w:sz="2" w:space="0"/>
            </w:tcBorders>
          </w:tcPr>
          <w:p w:rsidR="00C31389" w:rsidRDefault="00561FBD" w14:paraId="21B187B9" w14:textId="77777777">
            <w:pPr>
              <w:pStyle w:val="TableParagraph"/>
              <w:spacing w:before="69"/>
              <w:ind w:left="602" w:right="607"/>
              <w:jc w:val="center"/>
              <w:rPr>
                <w:sz w:val="20"/>
              </w:rPr>
            </w:pPr>
            <w:r>
              <w:rPr>
                <w:spacing w:val="-5"/>
                <w:sz w:val="20"/>
              </w:rPr>
              <w:t>220</w:t>
            </w:r>
          </w:p>
        </w:tc>
      </w:tr>
      <w:tr w:rsidR="00C31389" w14:paraId="65C68D2D" w14:textId="77777777">
        <w:trPr>
          <w:trHeight w:val="337"/>
        </w:trPr>
        <w:tc>
          <w:tcPr>
            <w:tcW w:w="2025" w:type="dxa"/>
            <w:tcBorders>
              <w:top w:val="single" w:color="D9D9D9" w:sz="2" w:space="0"/>
              <w:bottom w:val="single" w:color="D9D9D9" w:sz="2" w:space="0"/>
            </w:tcBorders>
          </w:tcPr>
          <w:p w:rsidR="00C31389" w:rsidRDefault="00561FBD" w14:paraId="3753C197" w14:textId="77777777">
            <w:pPr>
              <w:pStyle w:val="TableParagraph"/>
              <w:spacing w:before="53"/>
              <w:ind w:left="122"/>
              <w:rPr>
                <w:sz w:val="20"/>
              </w:rPr>
            </w:pPr>
            <w:r>
              <w:rPr>
                <w:sz w:val="20"/>
              </w:rPr>
              <w:t>Efficient</w:t>
            </w:r>
            <w:r>
              <w:rPr>
                <w:spacing w:val="-6"/>
                <w:sz w:val="20"/>
              </w:rPr>
              <w:t xml:space="preserve"> </w:t>
            </w:r>
            <w:r>
              <w:rPr>
                <w:spacing w:val="-5"/>
                <w:sz w:val="20"/>
              </w:rPr>
              <w:t>gas</w:t>
            </w:r>
          </w:p>
        </w:tc>
        <w:tc>
          <w:tcPr>
            <w:tcW w:w="1547" w:type="dxa"/>
            <w:tcBorders>
              <w:top w:val="single" w:color="D9D9D9" w:sz="2" w:space="0"/>
              <w:bottom w:val="single" w:color="D9D9D9" w:sz="2" w:space="0"/>
            </w:tcBorders>
          </w:tcPr>
          <w:p w:rsidR="00C31389" w:rsidRDefault="00561FBD" w14:paraId="23369C58" w14:textId="77777777">
            <w:pPr>
              <w:pStyle w:val="TableParagraph"/>
              <w:spacing w:before="53"/>
              <w:ind w:right="42"/>
              <w:jc w:val="center"/>
              <w:rPr>
                <w:sz w:val="20"/>
              </w:rPr>
            </w:pPr>
            <w:r>
              <w:rPr>
                <w:sz w:val="20"/>
              </w:rPr>
              <w:t>0</w:t>
            </w:r>
          </w:p>
        </w:tc>
        <w:tc>
          <w:tcPr>
            <w:tcW w:w="1803" w:type="dxa"/>
            <w:tcBorders>
              <w:top w:val="single" w:color="D9D9D9" w:sz="2" w:space="0"/>
              <w:bottom w:val="single" w:color="D9D9D9" w:sz="2" w:space="0"/>
            </w:tcBorders>
          </w:tcPr>
          <w:p w:rsidR="00C31389" w:rsidRDefault="00561FBD" w14:paraId="01189152" w14:textId="77777777">
            <w:pPr>
              <w:pStyle w:val="TableParagraph"/>
              <w:spacing w:before="53"/>
              <w:ind w:left="685" w:right="596"/>
              <w:jc w:val="center"/>
              <w:rPr>
                <w:sz w:val="20"/>
              </w:rPr>
            </w:pPr>
            <w:r>
              <w:rPr>
                <w:spacing w:val="-4"/>
                <w:sz w:val="20"/>
              </w:rPr>
              <w:t>6,000</w:t>
            </w:r>
          </w:p>
        </w:tc>
        <w:tc>
          <w:tcPr>
            <w:tcW w:w="1183" w:type="dxa"/>
            <w:tcBorders>
              <w:top w:val="single" w:color="D9D9D9" w:sz="2" w:space="0"/>
              <w:bottom w:val="single" w:color="D9D9D9" w:sz="2" w:space="0"/>
            </w:tcBorders>
          </w:tcPr>
          <w:p w:rsidR="00C31389" w:rsidRDefault="00561FBD" w14:paraId="268BB6DB" w14:textId="77777777">
            <w:pPr>
              <w:pStyle w:val="TableParagraph"/>
              <w:spacing w:before="53"/>
              <w:ind w:right="246"/>
              <w:jc w:val="right"/>
              <w:rPr>
                <w:sz w:val="20"/>
              </w:rPr>
            </w:pPr>
            <w:r>
              <w:rPr>
                <w:spacing w:val="-2"/>
                <w:sz w:val="20"/>
              </w:rPr>
              <w:t>34,000</w:t>
            </w:r>
          </w:p>
        </w:tc>
        <w:tc>
          <w:tcPr>
            <w:tcW w:w="1248" w:type="dxa"/>
            <w:tcBorders>
              <w:top w:val="single" w:color="D9D9D9" w:sz="2" w:space="0"/>
              <w:bottom w:val="single" w:color="D9D9D9" w:sz="2" w:space="0"/>
            </w:tcBorders>
          </w:tcPr>
          <w:p w:rsidR="00C31389" w:rsidRDefault="00561FBD" w14:paraId="58F2AEA6" w14:textId="77777777">
            <w:pPr>
              <w:pStyle w:val="TableParagraph"/>
              <w:spacing w:before="53"/>
              <w:ind w:right="13"/>
              <w:jc w:val="center"/>
              <w:rPr>
                <w:sz w:val="20"/>
              </w:rPr>
            </w:pPr>
            <w:r>
              <w:rPr>
                <w:sz w:val="20"/>
              </w:rPr>
              <w:t>0</w:t>
            </w:r>
          </w:p>
        </w:tc>
        <w:tc>
          <w:tcPr>
            <w:tcW w:w="1569" w:type="dxa"/>
            <w:tcBorders>
              <w:top w:val="single" w:color="D9D9D9" w:sz="2" w:space="0"/>
              <w:bottom w:val="single" w:color="D9D9D9" w:sz="2" w:space="0"/>
            </w:tcBorders>
          </w:tcPr>
          <w:p w:rsidR="00C31389" w:rsidRDefault="00561FBD" w14:paraId="7122F965" w14:textId="77777777">
            <w:pPr>
              <w:pStyle w:val="TableParagraph"/>
              <w:spacing w:before="53"/>
              <w:ind w:left="602" w:right="607"/>
              <w:jc w:val="center"/>
              <w:rPr>
                <w:sz w:val="20"/>
              </w:rPr>
            </w:pPr>
            <w:r>
              <w:rPr>
                <w:spacing w:val="-5"/>
                <w:sz w:val="20"/>
              </w:rPr>
              <w:t>176</w:t>
            </w:r>
          </w:p>
        </w:tc>
      </w:tr>
      <w:tr w:rsidR="00C31389" w14:paraId="2DD8B630" w14:textId="77777777">
        <w:trPr>
          <w:trHeight w:val="583"/>
        </w:trPr>
        <w:tc>
          <w:tcPr>
            <w:tcW w:w="2025" w:type="dxa"/>
            <w:tcBorders>
              <w:top w:val="single" w:color="D9D9D9" w:sz="2" w:space="0"/>
              <w:bottom w:val="single" w:color="000000" w:sz="8" w:space="0"/>
            </w:tcBorders>
          </w:tcPr>
          <w:p w:rsidR="00C31389" w:rsidRDefault="00561FBD" w14:paraId="0D22F05C" w14:textId="77777777">
            <w:pPr>
              <w:pStyle w:val="TableParagraph"/>
              <w:spacing w:before="62"/>
              <w:ind w:left="122"/>
              <w:rPr>
                <w:sz w:val="20"/>
              </w:rPr>
            </w:pPr>
            <w:r>
              <w:rPr>
                <w:sz w:val="20"/>
              </w:rPr>
              <w:t>Electric</w:t>
            </w:r>
            <w:r>
              <w:rPr>
                <w:spacing w:val="-14"/>
                <w:sz w:val="20"/>
              </w:rPr>
              <w:t xml:space="preserve"> </w:t>
            </w:r>
            <w:r>
              <w:rPr>
                <w:sz w:val="20"/>
              </w:rPr>
              <w:t>heat</w:t>
            </w:r>
            <w:r>
              <w:rPr>
                <w:spacing w:val="-14"/>
                <w:sz w:val="20"/>
              </w:rPr>
              <w:t xml:space="preserve"> </w:t>
            </w:r>
            <w:r>
              <w:rPr>
                <w:sz w:val="20"/>
              </w:rPr>
              <w:t>pump water heater</w:t>
            </w:r>
          </w:p>
        </w:tc>
        <w:tc>
          <w:tcPr>
            <w:tcW w:w="1547" w:type="dxa"/>
            <w:tcBorders>
              <w:top w:val="single" w:color="D9D9D9" w:sz="2" w:space="0"/>
              <w:bottom w:val="single" w:color="000000" w:sz="8" w:space="0"/>
            </w:tcBorders>
          </w:tcPr>
          <w:p w:rsidR="00C31389" w:rsidRDefault="00561FBD" w14:paraId="106BBA50" w14:textId="77777777">
            <w:pPr>
              <w:pStyle w:val="TableParagraph"/>
              <w:spacing w:before="177"/>
              <w:ind w:left="432" w:right="474"/>
              <w:jc w:val="center"/>
              <w:rPr>
                <w:sz w:val="20"/>
              </w:rPr>
            </w:pPr>
            <w:r>
              <w:rPr>
                <w:spacing w:val="-2"/>
                <w:sz w:val="20"/>
              </w:rPr>
              <w:t>69,000</w:t>
            </w:r>
          </w:p>
        </w:tc>
        <w:tc>
          <w:tcPr>
            <w:tcW w:w="1803" w:type="dxa"/>
            <w:tcBorders>
              <w:top w:val="single" w:color="D9D9D9" w:sz="2" w:space="0"/>
              <w:bottom w:val="single" w:color="000000" w:sz="8" w:space="0"/>
            </w:tcBorders>
          </w:tcPr>
          <w:p w:rsidR="00C31389" w:rsidRDefault="00561FBD" w14:paraId="0FD74E15" w14:textId="77777777">
            <w:pPr>
              <w:pStyle w:val="TableParagraph"/>
              <w:spacing w:before="177"/>
              <w:ind w:left="87"/>
              <w:jc w:val="center"/>
              <w:rPr>
                <w:sz w:val="20"/>
              </w:rPr>
            </w:pPr>
            <w:r>
              <w:rPr>
                <w:sz w:val="20"/>
              </w:rPr>
              <w:t>0</w:t>
            </w:r>
          </w:p>
        </w:tc>
        <w:tc>
          <w:tcPr>
            <w:tcW w:w="1183" w:type="dxa"/>
            <w:tcBorders>
              <w:top w:val="single" w:color="D9D9D9" w:sz="2" w:space="0"/>
              <w:bottom w:val="single" w:color="000000" w:sz="8" w:space="0"/>
            </w:tcBorders>
          </w:tcPr>
          <w:p w:rsidR="00C31389" w:rsidRDefault="00561FBD" w14:paraId="51DB25E3" w14:textId="77777777">
            <w:pPr>
              <w:pStyle w:val="TableParagraph"/>
              <w:spacing w:before="177"/>
              <w:ind w:right="246"/>
              <w:jc w:val="right"/>
              <w:rPr>
                <w:sz w:val="20"/>
              </w:rPr>
            </w:pPr>
            <w:r>
              <w:rPr>
                <w:spacing w:val="-2"/>
                <w:sz w:val="20"/>
              </w:rPr>
              <w:t>34,000</w:t>
            </w:r>
          </w:p>
        </w:tc>
        <w:tc>
          <w:tcPr>
            <w:tcW w:w="1248" w:type="dxa"/>
            <w:tcBorders>
              <w:top w:val="single" w:color="D9D9D9" w:sz="2" w:space="0"/>
              <w:bottom w:val="single" w:color="000000" w:sz="8" w:space="0"/>
            </w:tcBorders>
          </w:tcPr>
          <w:p w:rsidR="00C31389" w:rsidRDefault="00561FBD" w14:paraId="5F496063" w14:textId="77777777">
            <w:pPr>
              <w:pStyle w:val="TableParagraph"/>
              <w:spacing w:before="177"/>
              <w:ind w:left="358" w:right="369"/>
              <w:jc w:val="center"/>
              <w:rPr>
                <w:sz w:val="20"/>
              </w:rPr>
            </w:pPr>
            <w:r>
              <w:rPr>
                <w:spacing w:val="-4"/>
                <w:sz w:val="20"/>
              </w:rPr>
              <w:t>2,029</w:t>
            </w:r>
          </w:p>
        </w:tc>
        <w:tc>
          <w:tcPr>
            <w:tcW w:w="1569" w:type="dxa"/>
            <w:tcBorders>
              <w:top w:val="single" w:color="D9D9D9" w:sz="2" w:space="0"/>
              <w:bottom w:val="single" w:color="000000" w:sz="8" w:space="0"/>
            </w:tcBorders>
          </w:tcPr>
          <w:p w:rsidR="00C31389" w:rsidRDefault="00561FBD" w14:paraId="1D039786" w14:textId="77777777">
            <w:pPr>
              <w:pStyle w:val="TableParagraph"/>
              <w:spacing w:before="177"/>
              <w:ind w:right="7"/>
              <w:jc w:val="center"/>
              <w:rPr>
                <w:sz w:val="20"/>
              </w:rPr>
            </w:pPr>
            <w:r>
              <w:rPr>
                <w:sz w:val="20"/>
              </w:rPr>
              <w:t>0</w:t>
            </w:r>
          </w:p>
        </w:tc>
      </w:tr>
    </w:tbl>
    <w:p w:rsidR="00C31389" w:rsidRDefault="00561FBD" w14:paraId="6DD2265A" w14:textId="77777777">
      <w:pPr>
        <w:spacing w:before="70"/>
        <w:ind w:left="480"/>
        <w:rPr>
          <w:i/>
          <w:sz w:val="18"/>
        </w:rPr>
      </w:pPr>
      <w:r>
        <w:rPr>
          <w:i/>
          <w:sz w:val="18"/>
        </w:rPr>
        <w:t>Source:</w:t>
      </w:r>
      <w:r>
        <w:rPr>
          <w:i/>
          <w:spacing w:val="-4"/>
          <w:sz w:val="18"/>
        </w:rPr>
        <w:t xml:space="preserve"> </w:t>
      </w:r>
      <w:r>
        <w:rPr>
          <w:i/>
          <w:spacing w:val="-2"/>
          <w:sz w:val="18"/>
        </w:rPr>
        <w:t>Guidehouse</w:t>
      </w:r>
    </w:p>
    <w:p w:rsidR="00C31389" w:rsidRDefault="00C31389" w14:paraId="32163F82" w14:textId="77777777">
      <w:pPr>
        <w:rPr>
          <w:sz w:val="18"/>
        </w:rPr>
        <w:sectPr w:rsidR="00C31389">
          <w:pgSz w:w="11910" w:h="16840"/>
          <w:pgMar w:top="1660" w:right="1020" w:bottom="1120" w:left="960" w:header="397" w:footer="938" w:gutter="0"/>
          <w:cols w:space="720"/>
        </w:sectPr>
      </w:pPr>
    </w:p>
    <w:p w:rsidR="00C31389" w:rsidRDefault="00C31389" w14:paraId="1A8F3EF6" w14:textId="77777777">
      <w:pPr>
        <w:pStyle w:val="BodyText"/>
        <w:rPr>
          <w:i/>
        </w:rPr>
      </w:pPr>
    </w:p>
    <w:p w:rsidR="00C31389" w:rsidRDefault="00C31389" w14:paraId="37A92D2A" w14:textId="77777777">
      <w:pPr>
        <w:pStyle w:val="BodyText"/>
        <w:spacing w:before="11"/>
        <w:rPr>
          <w:i/>
          <w:sz w:val="13"/>
        </w:rPr>
      </w:pPr>
    </w:p>
    <w:p w:rsidR="00C31389" w:rsidRDefault="00561FBD" w14:paraId="70366E96" w14:textId="77777777">
      <w:pPr>
        <w:pStyle w:val="ListParagraph"/>
        <w:numPr>
          <w:ilvl w:val="2"/>
          <w:numId w:val="25"/>
        </w:numPr>
        <w:tabs>
          <w:tab w:val="left" w:pos="1197"/>
        </w:tabs>
        <w:spacing w:before="92"/>
        <w:ind w:left="1197" w:hanging="717"/>
        <w:rPr>
          <w:b/>
          <w:sz w:val="24"/>
        </w:rPr>
      </w:pPr>
      <w:bookmarkStart w:name="B.2.3_Heat_Pump_Water_Heater_Costs" w:id="354"/>
      <w:bookmarkStart w:name="_bookmark267" w:id="355"/>
      <w:bookmarkEnd w:id="354"/>
      <w:bookmarkEnd w:id="355"/>
      <w:r>
        <w:rPr>
          <w:b/>
          <w:sz w:val="24"/>
        </w:rPr>
        <w:t>Heat</w:t>
      </w:r>
      <w:r>
        <w:rPr>
          <w:b/>
          <w:spacing w:val="-5"/>
          <w:sz w:val="24"/>
        </w:rPr>
        <w:t xml:space="preserve"> </w:t>
      </w:r>
      <w:r>
        <w:rPr>
          <w:b/>
          <w:sz w:val="24"/>
        </w:rPr>
        <w:t>Pump</w:t>
      </w:r>
      <w:r>
        <w:rPr>
          <w:b/>
          <w:spacing w:val="-3"/>
          <w:sz w:val="24"/>
        </w:rPr>
        <w:t xml:space="preserve"> </w:t>
      </w:r>
      <w:r>
        <w:rPr>
          <w:b/>
          <w:sz w:val="24"/>
        </w:rPr>
        <w:t>Water</w:t>
      </w:r>
      <w:r>
        <w:rPr>
          <w:b/>
          <w:spacing w:val="-3"/>
          <w:sz w:val="24"/>
        </w:rPr>
        <w:t xml:space="preserve"> </w:t>
      </w:r>
      <w:r>
        <w:rPr>
          <w:b/>
          <w:sz w:val="24"/>
        </w:rPr>
        <w:t>Heater</w:t>
      </w:r>
      <w:r>
        <w:rPr>
          <w:b/>
          <w:spacing w:val="-2"/>
          <w:sz w:val="24"/>
        </w:rPr>
        <w:t xml:space="preserve"> Costs</w:t>
      </w:r>
    </w:p>
    <w:p w:rsidR="00C31389" w:rsidRDefault="00C31389" w14:paraId="733D5186" w14:textId="77777777">
      <w:pPr>
        <w:pStyle w:val="BodyText"/>
        <w:spacing w:before="10"/>
        <w:rPr>
          <w:b/>
          <w:sz w:val="20"/>
        </w:rPr>
      </w:pPr>
    </w:p>
    <w:p w:rsidR="00C31389" w:rsidRDefault="00561FBD" w14:paraId="126D6437" w14:textId="77777777">
      <w:pPr>
        <w:pStyle w:val="BodyText"/>
        <w:ind w:left="479" w:right="418"/>
      </w:pPr>
      <w:r>
        <w:t xml:space="preserve">The Guidehouse team assumed a constant technology cost through the study period </w:t>
      </w:r>
      <w:r>
        <w:t>(adjusted</w:t>
      </w:r>
      <w:r>
        <w:rPr>
          <w:spacing w:val="-3"/>
        </w:rPr>
        <w:t xml:space="preserve"> </w:t>
      </w:r>
      <w:r>
        <w:t>for</w:t>
      </w:r>
      <w:r>
        <w:rPr>
          <w:spacing w:val="-4"/>
        </w:rPr>
        <w:t xml:space="preserve"> </w:t>
      </w:r>
      <w:r>
        <w:t>inflation)</w:t>
      </w:r>
      <w:r>
        <w:rPr>
          <w:spacing w:val="-3"/>
        </w:rPr>
        <w:t xml:space="preserve"> </w:t>
      </w:r>
      <w:r>
        <w:t>for</w:t>
      </w:r>
      <w:r>
        <w:rPr>
          <w:spacing w:val="-4"/>
        </w:rPr>
        <w:t xml:space="preserve"> </w:t>
      </w:r>
      <w:r>
        <w:t>most</w:t>
      </w:r>
      <w:r>
        <w:rPr>
          <w:spacing w:val="-3"/>
        </w:rPr>
        <w:t xml:space="preserve"> </w:t>
      </w:r>
      <w:r>
        <w:t>measures.</w:t>
      </w:r>
      <w:r>
        <w:rPr>
          <w:spacing w:val="-3"/>
        </w:rPr>
        <w:t xml:space="preserve"> </w:t>
      </w:r>
      <w:r>
        <w:t>For</w:t>
      </w:r>
      <w:r>
        <w:rPr>
          <w:spacing w:val="-3"/>
        </w:rPr>
        <w:t xml:space="preserve"> </w:t>
      </w:r>
      <w:r>
        <w:t>heat</w:t>
      </w:r>
      <w:r>
        <w:rPr>
          <w:spacing w:val="-3"/>
        </w:rPr>
        <w:t xml:space="preserve"> </w:t>
      </w:r>
      <w:r>
        <w:t>pump</w:t>
      </w:r>
      <w:r>
        <w:rPr>
          <w:spacing w:val="-3"/>
        </w:rPr>
        <w:t xml:space="preserve"> </w:t>
      </w:r>
      <w:r>
        <w:t>water</w:t>
      </w:r>
      <w:r>
        <w:rPr>
          <w:spacing w:val="-3"/>
        </w:rPr>
        <w:t xml:space="preserve"> </w:t>
      </w:r>
      <w:r>
        <w:t>heaters,</w:t>
      </w:r>
      <w:r>
        <w:rPr>
          <w:spacing w:val="-3"/>
        </w:rPr>
        <w:t xml:space="preserve"> </w:t>
      </w:r>
      <w:r>
        <w:t>the</w:t>
      </w:r>
      <w:r>
        <w:rPr>
          <w:spacing w:val="-3"/>
        </w:rPr>
        <w:t xml:space="preserve"> </w:t>
      </w:r>
      <w:r>
        <w:t>team</w:t>
      </w:r>
      <w:r>
        <w:rPr>
          <w:spacing w:val="-4"/>
        </w:rPr>
        <w:t xml:space="preserve"> </w:t>
      </w:r>
      <w:r>
        <w:t xml:space="preserve">developed cost reduction vectors for residential and commercial products because this is an emerging technology with few products currently on the market. However, the </w:t>
      </w:r>
      <w:r>
        <w:t>technology has the potential to undergo market transformation as it is more widely adopted.</w:t>
      </w:r>
    </w:p>
    <w:p w:rsidR="00C31389" w:rsidRDefault="00C31389" w14:paraId="09AA4011" w14:textId="77777777">
      <w:pPr>
        <w:pStyle w:val="BodyText"/>
        <w:spacing w:before="10"/>
        <w:rPr>
          <w:sz w:val="20"/>
        </w:rPr>
      </w:pPr>
    </w:p>
    <w:p w:rsidR="00C31389" w:rsidRDefault="00561FBD" w14:paraId="6368747C" w14:textId="77777777">
      <w:pPr>
        <w:pStyle w:val="BodyText"/>
        <w:ind w:left="479" w:right="418" w:hanging="1"/>
      </w:pPr>
      <w:r>
        <w:t>The team adapted cost reduction factors from a 2019 NREL Study.</w:t>
      </w:r>
      <w:r>
        <w:rPr>
          <w:spacing w:val="-35"/>
        </w:rPr>
        <w:t xml:space="preserve"> </w:t>
      </w:r>
      <w:hyperlink w:history="1" w:anchor="_bookmark269">
        <w:r>
          <w:rPr>
            <w:position w:val="7"/>
            <w:sz w:val="14"/>
          </w:rPr>
          <w:t>82</w:t>
        </w:r>
      </w:hyperlink>
      <w:r>
        <w:rPr>
          <w:spacing w:val="32"/>
          <w:position w:val="7"/>
          <w:sz w:val="14"/>
        </w:rPr>
        <w:t xml:space="preserve"> </w:t>
      </w:r>
      <w:r>
        <w:t>NREL estimated residential and</w:t>
      </w:r>
      <w:r>
        <w:t xml:space="preserve"> commercial heat pump water heater costs in 2016 and 2050 for three scenarios: slow advancement, moderate advancement, and rapid advancement. For this analysis, the team used the moderate advancement scenario and linearly interpolated the costs to find the</w:t>
      </w:r>
      <w:r>
        <w:t xml:space="preserve"> NREL estimated cost in 2019-2032 (the 2021 Study’s analysis period). By calculating the ratio of the NREL equipment costs from 2020 to 2032 versus the 2019 cost, the team produced cost multiplier ratios. These ratios produced a set of percentages from 201</w:t>
      </w:r>
      <w:r>
        <w:t>9 to 2032, which the PG Model then applied to the 2019 measure cost in the technology characterization to obtain the equipment cost in a particular year. The team used the ratio methodology rather than the costs directly from the NREL paper because of diff</w:t>
      </w:r>
      <w:r>
        <w:t>erences in source</w:t>
      </w:r>
      <w:r>
        <w:rPr>
          <w:spacing w:val="-3"/>
        </w:rPr>
        <w:t xml:space="preserve"> </w:t>
      </w:r>
      <w:r>
        <w:t>data</w:t>
      </w:r>
      <w:r>
        <w:rPr>
          <w:spacing w:val="-4"/>
        </w:rPr>
        <w:t xml:space="preserve"> </w:t>
      </w:r>
      <w:r>
        <w:t>(the</w:t>
      </w:r>
      <w:r>
        <w:rPr>
          <w:spacing w:val="-3"/>
        </w:rPr>
        <w:t xml:space="preserve"> </w:t>
      </w:r>
      <w:r>
        <w:t>measure</w:t>
      </w:r>
      <w:r>
        <w:rPr>
          <w:spacing w:val="-3"/>
        </w:rPr>
        <w:t xml:space="preserve"> </w:t>
      </w:r>
      <w:r>
        <w:t>cost</w:t>
      </w:r>
      <w:r>
        <w:rPr>
          <w:spacing w:val="-3"/>
        </w:rPr>
        <w:t xml:space="preserve"> </w:t>
      </w:r>
      <w:r>
        <w:t>in</w:t>
      </w:r>
      <w:r>
        <w:rPr>
          <w:spacing w:val="-3"/>
        </w:rPr>
        <w:t xml:space="preserve"> </w:t>
      </w:r>
      <w:r>
        <w:t>2019</w:t>
      </w:r>
      <w:r>
        <w:rPr>
          <w:spacing w:val="-3"/>
        </w:rPr>
        <w:t xml:space="preserve"> </w:t>
      </w:r>
      <w:r>
        <w:t>was</w:t>
      </w:r>
      <w:r>
        <w:rPr>
          <w:spacing w:val="-3"/>
        </w:rPr>
        <w:t xml:space="preserve"> </w:t>
      </w:r>
      <w:r>
        <w:t>based</w:t>
      </w:r>
      <w:r>
        <w:rPr>
          <w:spacing w:val="-3"/>
        </w:rPr>
        <w:t xml:space="preserve"> </w:t>
      </w:r>
      <w:r>
        <w:t>on</w:t>
      </w:r>
      <w:r>
        <w:rPr>
          <w:spacing w:val="-3"/>
        </w:rPr>
        <w:t xml:space="preserve"> </w:t>
      </w:r>
      <w:r>
        <w:t>workpapers</w:t>
      </w:r>
      <w:r>
        <w:rPr>
          <w:spacing w:val="-3"/>
        </w:rPr>
        <w:t xml:space="preserve"> </w:t>
      </w:r>
      <w:r>
        <w:t>and</w:t>
      </w:r>
      <w:r>
        <w:rPr>
          <w:spacing w:val="-3"/>
        </w:rPr>
        <w:t xml:space="preserve"> </w:t>
      </w:r>
      <w:r>
        <w:t>was</w:t>
      </w:r>
      <w:r>
        <w:rPr>
          <w:spacing w:val="-3"/>
        </w:rPr>
        <w:t xml:space="preserve"> </w:t>
      </w:r>
      <w:r>
        <w:t>more</w:t>
      </w:r>
      <w:r>
        <w:rPr>
          <w:spacing w:val="-3"/>
        </w:rPr>
        <w:t xml:space="preserve"> </w:t>
      </w:r>
      <w:r>
        <w:t>recent</w:t>
      </w:r>
      <w:r>
        <w:rPr>
          <w:spacing w:val="-3"/>
        </w:rPr>
        <w:t xml:space="preserve"> </w:t>
      </w:r>
      <w:r>
        <w:t xml:space="preserve">than the NREL numbers). </w:t>
      </w:r>
      <w:hyperlink w:history="1" w:anchor="_bookmark268">
        <w:r>
          <w:t>Figure B-8</w:t>
        </w:r>
      </w:hyperlink>
      <w:r>
        <w:t xml:space="preserve"> , </w:t>
      </w:r>
      <w:hyperlink w:history="1" w:anchor="_bookmark270">
        <w:r>
          <w:t>Figure B-9</w:t>
        </w:r>
      </w:hyperlink>
      <w:r>
        <w:t xml:space="preserve">, and </w:t>
      </w:r>
      <w:hyperlink w:history="1" w:anchor="_bookmark271">
        <w:r>
          <w:t>Table B-10</w:t>
        </w:r>
      </w:hyperlink>
      <w:r>
        <w:t xml:space="preserve"> illustrate how the team calculated the cost multiplier ratios from interpolating between the NREL costs in 2016 and </w:t>
      </w:r>
      <w:r>
        <w:rPr>
          <w:spacing w:val="-2"/>
        </w:rPr>
        <w:t>2050.</w:t>
      </w:r>
    </w:p>
    <w:p w:rsidR="00C31389" w:rsidRDefault="00C31389" w14:paraId="3949AE9C" w14:textId="77777777">
      <w:pPr>
        <w:pStyle w:val="BodyText"/>
        <w:spacing w:before="9"/>
        <w:rPr>
          <w:sz w:val="20"/>
        </w:rPr>
      </w:pPr>
    </w:p>
    <w:p w:rsidR="00C31389" w:rsidRDefault="00561FBD" w14:paraId="5ABC7049" w14:textId="77777777">
      <w:pPr>
        <w:pStyle w:val="Heading7"/>
        <w:ind w:left="479"/>
      </w:pPr>
      <w:bookmarkStart w:name="_bookmark268" w:id="356"/>
      <w:bookmarkEnd w:id="356"/>
      <w:r>
        <w:t>Figure</w:t>
      </w:r>
      <w:r>
        <w:rPr>
          <w:spacing w:val="-10"/>
        </w:rPr>
        <w:t xml:space="preserve"> </w:t>
      </w:r>
      <w:r>
        <w:t>B-8.</w:t>
      </w:r>
      <w:r>
        <w:rPr>
          <w:spacing w:val="-7"/>
        </w:rPr>
        <w:t xml:space="preserve"> </w:t>
      </w:r>
      <w:r>
        <w:t>Calculation</w:t>
      </w:r>
      <w:r>
        <w:rPr>
          <w:spacing w:val="-8"/>
        </w:rPr>
        <w:t xml:space="preserve"> </w:t>
      </w:r>
      <w:r>
        <w:t>of</w:t>
      </w:r>
      <w:r>
        <w:rPr>
          <w:spacing w:val="-7"/>
        </w:rPr>
        <w:t xml:space="preserve"> </w:t>
      </w:r>
      <w:r>
        <w:t>Cost</w:t>
      </w:r>
      <w:r>
        <w:rPr>
          <w:spacing w:val="-8"/>
        </w:rPr>
        <w:t xml:space="preserve"> </w:t>
      </w:r>
      <w:r>
        <w:t>Trajectory</w:t>
      </w:r>
      <w:r>
        <w:rPr>
          <w:spacing w:val="-7"/>
        </w:rPr>
        <w:t xml:space="preserve"> </w:t>
      </w:r>
      <w:r>
        <w:t>for</w:t>
      </w:r>
      <w:r>
        <w:rPr>
          <w:spacing w:val="-9"/>
        </w:rPr>
        <w:t xml:space="preserve"> </w:t>
      </w:r>
      <w:r>
        <w:t>Residential</w:t>
      </w:r>
      <w:r>
        <w:rPr>
          <w:spacing w:val="-7"/>
        </w:rPr>
        <w:t xml:space="preserve"> </w:t>
      </w:r>
      <w:r>
        <w:t>Heat</w:t>
      </w:r>
      <w:r>
        <w:rPr>
          <w:spacing w:val="-8"/>
        </w:rPr>
        <w:t xml:space="preserve"> </w:t>
      </w:r>
      <w:r>
        <w:t>Pump</w:t>
      </w:r>
      <w:r>
        <w:rPr>
          <w:spacing w:val="-7"/>
        </w:rPr>
        <w:t xml:space="preserve"> </w:t>
      </w:r>
      <w:r>
        <w:t>Water</w:t>
      </w:r>
      <w:r>
        <w:rPr>
          <w:spacing w:val="-8"/>
        </w:rPr>
        <w:t xml:space="preserve"> </w:t>
      </w:r>
      <w:r>
        <w:rPr>
          <w:spacing w:val="-2"/>
        </w:rPr>
        <w:t>Heaters</w:t>
      </w:r>
    </w:p>
    <w:p w:rsidR="00C31389" w:rsidRDefault="00C31389" w14:paraId="0A2C83A7" w14:textId="77777777">
      <w:pPr>
        <w:pStyle w:val="BodyText"/>
        <w:spacing w:before="8"/>
        <w:rPr>
          <w:b/>
          <w:sz w:val="13"/>
        </w:rPr>
      </w:pPr>
    </w:p>
    <w:p w:rsidR="00C31389" w:rsidRDefault="00561FBD" w14:paraId="68C35D0E" w14:textId="77777777">
      <w:pPr>
        <w:spacing w:before="63"/>
        <w:ind w:left="1565"/>
        <w:rPr>
          <w:rFonts w:ascii="Calibri"/>
          <w:sz w:val="18"/>
        </w:rPr>
      </w:pPr>
      <w:r>
        <w:rPr>
          <w:noProof/>
        </w:rPr>
        <mc:AlternateContent>
          <mc:Choice Requires="wps">
            <w:drawing>
              <wp:anchor distT="0" distB="0" distL="0" distR="0" simplePos="0" relativeHeight="15829504" behindDoc="0" locked="0" layoutInCell="1" allowOverlap="1" wp14:editId="1854FA76" wp14:anchorId="7816A8C1">
                <wp:simplePos x="0" y="0"/>
                <wp:positionH relativeFrom="page">
                  <wp:posOffset>2010844</wp:posOffset>
                </wp:positionH>
                <wp:positionV relativeFrom="paragraph">
                  <wp:posOffset>111214</wp:posOffset>
                </wp:positionV>
                <wp:extent cx="4084954" cy="259588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954" cy="2595880"/>
                        </a:xfrm>
                        <a:prstGeom prst="rect">
                          <a:avLst/>
                        </a:prstGeom>
                      </wps:spPr>
                      <wps:txbx>
                        <w:txbxContent>
                          <w:tbl>
                            <w:tblPr>
                              <w:tblW w:w="0" w:type="auto"/>
                              <w:tblInd w:w="67"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left w:w="0" w:type="dxa"/>
                                <w:right w:w="0" w:type="dxa"/>
                              </w:tblCellMar>
                              <w:tblLook w:val="01E0" w:firstRow="1" w:lastRow="1" w:firstColumn="1" w:lastColumn="1" w:noHBand="0" w:noVBand="0"/>
                            </w:tblPr>
                            <w:tblGrid>
                              <w:gridCol w:w="280"/>
                              <w:gridCol w:w="420"/>
                              <w:gridCol w:w="700"/>
                              <w:gridCol w:w="701"/>
                              <w:gridCol w:w="700"/>
                              <w:gridCol w:w="700"/>
                              <w:gridCol w:w="700"/>
                              <w:gridCol w:w="700"/>
                              <w:gridCol w:w="700"/>
                              <w:gridCol w:w="700"/>
                            </w:tblGrid>
                            <w:tr w:rsidR="00C31389" w14:paraId="29BC0EDA" w14:textId="77777777">
                              <w:trPr>
                                <w:trHeight w:val="800"/>
                              </w:trPr>
                              <w:tc>
                                <w:tcPr>
                                  <w:tcW w:w="700" w:type="dxa"/>
                                  <w:gridSpan w:val="2"/>
                                  <w:tcBorders>
                                    <w:left w:val="single" w:color="BEBEBE" w:sz="6" w:space="0"/>
                                  </w:tcBorders>
                                </w:tcPr>
                                <w:p w:rsidR="00C31389" w:rsidRDefault="00C31389" w14:paraId="36881D96" w14:textId="77777777">
                                  <w:pPr>
                                    <w:pStyle w:val="TableParagraph"/>
                                    <w:spacing w:before="0"/>
                                    <w:rPr>
                                      <w:sz w:val="18"/>
                                    </w:rPr>
                                  </w:pPr>
                                </w:p>
                                <w:p w:rsidR="00C31389" w:rsidRDefault="00C31389" w14:paraId="1EE3CA60" w14:textId="77777777">
                                  <w:pPr>
                                    <w:pStyle w:val="TableParagraph"/>
                                    <w:spacing w:before="10"/>
                                    <w:rPr>
                                      <w:sz w:val="14"/>
                                    </w:rPr>
                                  </w:pPr>
                                </w:p>
                                <w:p w:rsidR="00C31389" w:rsidRDefault="00561FBD" w14:paraId="23D79846" w14:textId="77777777">
                                  <w:pPr>
                                    <w:pStyle w:val="TableParagraph"/>
                                    <w:spacing w:before="0"/>
                                    <w:ind w:left="13" w:right="-15"/>
                                    <w:rPr>
                                      <w:rFonts w:ascii="Calibri"/>
                                      <w:sz w:val="18"/>
                                    </w:rPr>
                                  </w:pPr>
                                  <w:r>
                                    <w:rPr>
                                      <w:rFonts w:ascii="Calibri"/>
                                      <w:color w:val="68942C"/>
                                      <w:sz w:val="18"/>
                                    </w:rPr>
                                    <w:t>NREL</w:t>
                                  </w:r>
                                  <w:r>
                                    <w:rPr>
                                      <w:rFonts w:ascii="Calibri"/>
                                      <w:color w:val="68942C"/>
                                      <w:spacing w:val="-1"/>
                                      <w:sz w:val="18"/>
                                    </w:rPr>
                                    <w:t xml:space="preserve"> </w:t>
                                  </w:r>
                                  <w:r>
                                    <w:rPr>
                                      <w:rFonts w:ascii="Calibri"/>
                                      <w:color w:val="68942C"/>
                                      <w:spacing w:val="-5"/>
                                      <w:sz w:val="18"/>
                                    </w:rPr>
                                    <w:t>Cos</w:t>
                                  </w:r>
                                </w:p>
                              </w:tc>
                              <w:tc>
                                <w:tcPr>
                                  <w:tcW w:w="700" w:type="dxa"/>
                                </w:tcPr>
                                <w:p w:rsidR="00C31389" w:rsidRDefault="00C31389" w14:paraId="20F96F47" w14:textId="77777777">
                                  <w:pPr>
                                    <w:pStyle w:val="TableParagraph"/>
                                    <w:spacing w:before="0"/>
                                    <w:rPr>
                                      <w:sz w:val="18"/>
                                    </w:rPr>
                                  </w:pPr>
                                </w:p>
                                <w:p w:rsidR="00C31389" w:rsidRDefault="00C31389" w14:paraId="1C2EB2F7" w14:textId="77777777">
                                  <w:pPr>
                                    <w:pStyle w:val="TableParagraph"/>
                                    <w:spacing w:before="10"/>
                                    <w:rPr>
                                      <w:sz w:val="14"/>
                                    </w:rPr>
                                  </w:pPr>
                                </w:p>
                                <w:p w:rsidR="00C31389" w:rsidRDefault="00561FBD" w14:paraId="46945BBD" w14:textId="77777777">
                                  <w:pPr>
                                    <w:pStyle w:val="TableParagraph"/>
                                    <w:spacing w:before="0"/>
                                    <w:ind w:left="-7"/>
                                    <w:rPr>
                                      <w:rFonts w:ascii="Calibri"/>
                                      <w:sz w:val="18"/>
                                    </w:rPr>
                                  </w:pPr>
                                  <w:r>
                                    <w:rPr>
                                      <w:rFonts w:ascii="Calibri"/>
                                      <w:color w:val="68942C"/>
                                      <w:sz w:val="18"/>
                                    </w:rPr>
                                    <w:t>t</w:t>
                                  </w:r>
                                  <w:r>
                                    <w:rPr>
                                      <w:rFonts w:ascii="Calibri"/>
                                      <w:color w:val="68942C"/>
                                      <w:spacing w:val="-3"/>
                                      <w:sz w:val="18"/>
                                    </w:rPr>
                                    <w:t xml:space="preserve"> </w:t>
                                  </w:r>
                                  <w:r>
                                    <w:rPr>
                                      <w:rFonts w:ascii="Calibri"/>
                                      <w:color w:val="68942C"/>
                                      <w:sz w:val="18"/>
                                    </w:rPr>
                                    <w:t>in</w:t>
                                  </w:r>
                                  <w:r>
                                    <w:rPr>
                                      <w:rFonts w:ascii="Calibri"/>
                                      <w:color w:val="68942C"/>
                                      <w:spacing w:val="1"/>
                                      <w:sz w:val="18"/>
                                    </w:rPr>
                                    <w:t xml:space="preserve"> </w:t>
                                  </w:r>
                                  <w:r>
                                    <w:rPr>
                                      <w:rFonts w:ascii="Calibri"/>
                                      <w:color w:val="68942C"/>
                                      <w:spacing w:val="-4"/>
                                      <w:sz w:val="18"/>
                                    </w:rPr>
                                    <w:t>2016</w:t>
                                  </w:r>
                                </w:p>
                              </w:tc>
                              <w:tc>
                                <w:tcPr>
                                  <w:tcW w:w="701" w:type="dxa"/>
                                </w:tcPr>
                                <w:p w:rsidR="00C31389" w:rsidRDefault="00C31389" w14:paraId="4490295E" w14:textId="77777777">
                                  <w:pPr>
                                    <w:pStyle w:val="TableParagraph"/>
                                    <w:spacing w:before="2"/>
                                    <w:rPr>
                                      <w:sz w:val="18"/>
                                    </w:rPr>
                                  </w:pPr>
                                </w:p>
                                <w:p w:rsidR="00C31389" w:rsidRDefault="00561FBD" w14:paraId="698FCE77" w14:textId="77777777">
                                  <w:pPr>
                                    <w:pStyle w:val="TableParagraph"/>
                                    <w:spacing w:before="1"/>
                                    <w:ind w:left="-38"/>
                                    <w:rPr>
                                      <w:rFonts w:ascii="Calibri"/>
                                      <w:sz w:val="18"/>
                                    </w:rPr>
                                  </w:pPr>
                                  <w:r>
                                    <w:rPr>
                                      <w:rFonts w:ascii="Calibri"/>
                                      <w:color w:val="68942C"/>
                                      <w:spacing w:val="-2"/>
                                      <w:sz w:val="18"/>
                                    </w:rPr>
                                    <w:t>Projected</w:t>
                                  </w:r>
                                </w:p>
                                <w:p w:rsidR="00C31389" w:rsidRDefault="00561FBD" w14:paraId="4CF0AAD5" w14:textId="77777777">
                                  <w:pPr>
                                    <w:pStyle w:val="TableParagraph"/>
                                    <w:spacing w:before="0"/>
                                    <w:ind w:left="401" w:right="-87"/>
                                    <w:rPr>
                                      <w:rFonts w:ascii="Calibri"/>
                                      <w:sz w:val="18"/>
                                    </w:rPr>
                                  </w:pPr>
                                  <w:r>
                                    <w:rPr>
                                      <w:rFonts w:ascii="Calibri"/>
                                      <w:color w:val="68942C"/>
                                      <w:spacing w:val="-4"/>
                                      <w:sz w:val="18"/>
                                    </w:rPr>
                                    <w:t>2019</w:t>
                                  </w:r>
                                </w:p>
                              </w:tc>
                              <w:tc>
                                <w:tcPr>
                                  <w:tcW w:w="700" w:type="dxa"/>
                                </w:tcPr>
                                <w:p w:rsidR="00C31389" w:rsidRDefault="00C31389" w14:paraId="47D69408" w14:textId="77777777">
                                  <w:pPr>
                                    <w:pStyle w:val="TableParagraph"/>
                                    <w:spacing w:before="2"/>
                                    <w:rPr>
                                      <w:sz w:val="18"/>
                                    </w:rPr>
                                  </w:pPr>
                                </w:p>
                                <w:p w:rsidR="00C31389" w:rsidRDefault="00561FBD" w14:paraId="0DF9CAE7" w14:textId="77777777">
                                  <w:pPr>
                                    <w:pStyle w:val="TableParagraph"/>
                                    <w:spacing w:before="1"/>
                                    <w:ind w:left="6"/>
                                    <w:rPr>
                                      <w:rFonts w:ascii="Calibri"/>
                                      <w:sz w:val="18"/>
                                    </w:rPr>
                                  </w:pPr>
                                  <w:r>
                                    <w:rPr>
                                      <w:rFonts w:ascii="Calibri"/>
                                      <w:color w:val="68942C"/>
                                      <w:sz w:val="18"/>
                                    </w:rPr>
                                    <w:t>Cost</w:t>
                                  </w:r>
                                  <w:r>
                                    <w:rPr>
                                      <w:rFonts w:ascii="Calibri"/>
                                      <w:color w:val="68942C"/>
                                      <w:spacing w:val="-2"/>
                                      <w:sz w:val="18"/>
                                    </w:rPr>
                                    <w:t xml:space="preserve"> </w:t>
                                  </w:r>
                                  <w:r>
                                    <w:rPr>
                                      <w:rFonts w:ascii="Calibri"/>
                                      <w:color w:val="68942C"/>
                                      <w:spacing w:val="-5"/>
                                      <w:sz w:val="18"/>
                                    </w:rPr>
                                    <w:t>in</w:t>
                                  </w:r>
                                </w:p>
                              </w:tc>
                              <w:tc>
                                <w:tcPr>
                                  <w:tcW w:w="700" w:type="dxa"/>
                                </w:tcPr>
                                <w:p w:rsidR="00C31389" w:rsidRDefault="00C31389" w14:paraId="42E9CB25" w14:textId="77777777">
                                  <w:pPr>
                                    <w:pStyle w:val="TableParagraph"/>
                                    <w:spacing w:before="0"/>
                                    <w:rPr>
                                      <w:rFonts w:ascii="Times New Roman"/>
                                      <w:sz w:val="20"/>
                                    </w:rPr>
                                  </w:pPr>
                                </w:p>
                              </w:tc>
                              <w:tc>
                                <w:tcPr>
                                  <w:tcW w:w="700" w:type="dxa"/>
                                </w:tcPr>
                                <w:p w:rsidR="00C31389" w:rsidRDefault="00C31389" w14:paraId="1E23325F" w14:textId="77777777">
                                  <w:pPr>
                                    <w:pStyle w:val="TableParagraph"/>
                                    <w:spacing w:before="0"/>
                                    <w:rPr>
                                      <w:rFonts w:ascii="Times New Roman"/>
                                      <w:sz w:val="20"/>
                                    </w:rPr>
                                  </w:pPr>
                                </w:p>
                              </w:tc>
                              <w:tc>
                                <w:tcPr>
                                  <w:tcW w:w="700" w:type="dxa"/>
                                </w:tcPr>
                                <w:p w:rsidR="00C31389" w:rsidRDefault="00C31389" w14:paraId="47501784" w14:textId="77777777">
                                  <w:pPr>
                                    <w:pStyle w:val="TableParagraph"/>
                                    <w:spacing w:before="0"/>
                                    <w:rPr>
                                      <w:rFonts w:ascii="Times New Roman"/>
                                      <w:sz w:val="20"/>
                                    </w:rPr>
                                  </w:pPr>
                                </w:p>
                              </w:tc>
                              <w:tc>
                                <w:tcPr>
                                  <w:tcW w:w="700" w:type="dxa"/>
                                </w:tcPr>
                                <w:p w:rsidR="00C31389" w:rsidRDefault="00C31389" w14:paraId="66A2F4D9" w14:textId="77777777">
                                  <w:pPr>
                                    <w:pStyle w:val="TableParagraph"/>
                                    <w:spacing w:before="0"/>
                                    <w:rPr>
                                      <w:rFonts w:ascii="Times New Roman"/>
                                      <w:sz w:val="20"/>
                                    </w:rPr>
                                  </w:pPr>
                                </w:p>
                              </w:tc>
                              <w:tc>
                                <w:tcPr>
                                  <w:tcW w:w="700" w:type="dxa"/>
                                </w:tcPr>
                                <w:p w:rsidR="00C31389" w:rsidRDefault="00C31389" w14:paraId="14981721" w14:textId="77777777">
                                  <w:pPr>
                                    <w:pStyle w:val="TableParagraph"/>
                                    <w:spacing w:before="0"/>
                                    <w:rPr>
                                      <w:rFonts w:ascii="Times New Roman"/>
                                      <w:sz w:val="20"/>
                                    </w:rPr>
                                  </w:pPr>
                                </w:p>
                              </w:tc>
                            </w:tr>
                            <w:tr w:rsidR="00C31389" w14:paraId="19A806C6" w14:textId="77777777">
                              <w:trPr>
                                <w:trHeight w:val="180"/>
                              </w:trPr>
                              <w:tc>
                                <w:tcPr>
                                  <w:tcW w:w="280" w:type="dxa"/>
                                  <w:vMerge w:val="restart"/>
                                  <w:tcBorders>
                                    <w:left w:val="single" w:color="BEBEBE" w:sz="6" w:space="0"/>
                                    <w:right w:val="nil"/>
                                  </w:tcBorders>
                                </w:tcPr>
                                <w:p w:rsidR="00C31389" w:rsidRDefault="00C31389" w14:paraId="2E928E13" w14:textId="77777777">
                                  <w:pPr>
                                    <w:pStyle w:val="TableParagraph"/>
                                    <w:spacing w:before="0"/>
                                    <w:rPr>
                                      <w:rFonts w:ascii="Times New Roman"/>
                                      <w:sz w:val="20"/>
                                    </w:rPr>
                                  </w:pPr>
                                </w:p>
                              </w:tc>
                              <w:tc>
                                <w:tcPr>
                                  <w:tcW w:w="420" w:type="dxa"/>
                                  <w:tcBorders>
                                    <w:left w:val="nil"/>
                                    <w:bottom w:val="dotted" w:color="000000" w:sz="8" w:space="0"/>
                                  </w:tcBorders>
                                </w:tcPr>
                                <w:p w:rsidR="00C31389" w:rsidRDefault="00C31389" w14:paraId="47613051"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76875CDA" w14:textId="77777777">
                                  <w:pPr>
                                    <w:pStyle w:val="TableParagraph"/>
                                    <w:spacing w:before="0"/>
                                    <w:rPr>
                                      <w:rFonts w:ascii="Times New Roman"/>
                                      <w:sz w:val="12"/>
                                    </w:rPr>
                                  </w:pPr>
                                </w:p>
                              </w:tc>
                              <w:tc>
                                <w:tcPr>
                                  <w:tcW w:w="701" w:type="dxa"/>
                                  <w:tcBorders>
                                    <w:bottom w:val="dotted" w:color="000000" w:sz="8" w:space="0"/>
                                  </w:tcBorders>
                                </w:tcPr>
                                <w:p w:rsidR="00C31389" w:rsidRDefault="00C31389" w14:paraId="420217B3"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6553F548"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60F5C164"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4F090B4B"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290320A7" w14:textId="77777777">
                                  <w:pPr>
                                    <w:pStyle w:val="TableParagraph"/>
                                    <w:spacing w:before="0"/>
                                    <w:rPr>
                                      <w:rFonts w:ascii="Times New Roman"/>
                                      <w:sz w:val="12"/>
                                    </w:rPr>
                                  </w:pPr>
                                </w:p>
                              </w:tc>
                              <w:tc>
                                <w:tcPr>
                                  <w:tcW w:w="700" w:type="dxa"/>
                                  <w:vMerge w:val="restart"/>
                                </w:tcPr>
                                <w:p w:rsidR="00C31389" w:rsidRDefault="00561FBD" w14:paraId="7808696D" w14:textId="77777777">
                                  <w:pPr>
                                    <w:pStyle w:val="TableParagraph"/>
                                    <w:spacing w:before="32"/>
                                    <w:ind w:left="52"/>
                                    <w:rPr>
                                      <w:rFonts w:ascii="Calibri"/>
                                      <w:sz w:val="18"/>
                                    </w:rPr>
                                  </w:pPr>
                                  <w:r>
                                    <w:rPr>
                                      <w:rFonts w:ascii="Calibri"/>
                                      <w:color w:val="404040"/>
                                      <w:sz w:val="18"/>
                                    </w:rPr>
                                    <w:t>100%</w:t>
                                  </w:r>
                                  <w:r>
                                    <w:rPr>
                                      <w:rFonts w:ascii="Calibri"/>
                                      <w:color w:val="404040"/>
                                      <w:spacing w:val="-1"/>
                                      <w:sz w:val="18"/>
                                    </w:rPr>
                                    <w:t xml:space="preserve"> </w:t>
                                  </w:r>
                                  <w:r>
                                    <w:rPr>
                                      <w:rFonts w:ascii="Calibri"/>
                                      <w:color w:val="404040"/>
                                      <w:spacing w:val="-5"/>
                                      <w:sz w:val="18"/>
                                    </w:rPr>
                                    <w:t>of</w:t>
                                  </w:r>
                                </w:p>
                              </w:tc>
                              <w:tc>
                                <w:tcPr>
                                  <w:tcW w:w="700" w:type="dxa"/>
                                  <w:vMerge w:val="restart"/>
                                </w:tcPr>
                                <w:p w:rsidR="00C31389" w:rsidRDefault="00561FBD" w14:paraId="75C174BA" w14:textId="77777777">
                                  <w:pPr>
                                    <w:pStyle w:val="TableParagraph"/>
                                    <w:spacing w:before="32"/>
                                    <w:ind w:left="-14" w:right="-44"/>
                                    <w:rPr>
                                      <w:rFonts w:ascii="Calibri"/>
                                      <w:sz w:val="18"/>
                                    </w:rPr>
                                  </w:pPr>
                                  <w:r>
                                    <w:rPr>
                                      <w:rFonts w:ascii="Calibri"/>
                                      <w:color w:val="404040"/>
                                      <w:sz w:val="18"/>
                                    </w:rPr>
                                    <w:t xml:space="preserve">2019 </w:t>
                                  </w:r>
                                  <w:r>
                                    <w:rPr>
                                      <w:rFonts w:ascii="Calibri"/>
                                      <w:color w:val="404040"/>
                                      <w:spacing w:val="-4"/>
                                      <w:sz w:val="18"/>
                                    </w:rPr>
                                    <w:t>Cost</w:t>
                                  </w:r>
                                </w:p>
                              </w:tc>
                            </w:tr>
                            <w:tr w:rsidR="00C31389" w14:paraId="20712BBF" w14:textId="77777777">
                              <w:trPr>
                                <w:trHeight w:val="599"/>
                              </w:trPr>
                              <w:tc>
                                <w:tcPr>
                                  <w:tcW w:w="280" w:type="dxa"/>
                                  <w:vMerge/>
                                  <w:tcBorders>
                                    <w:top w:val="nil"/>
                                    <w:left w:val="single" w:color="BEBEBE" w:sz="6" w:space="0"/>
                                    <w:right w:val="nil"/>
                                  </w:tcBorders>
                                </w:tcPr>
                                <w:p w:rsidR="00C31389" w:rsidRDefault="00C31389" w14:paraId="5E188F80" w14:textId="77777777">
                                  <w:pPr>
                                    <w:rPr>
                                      <w:sz w:val="2"/>
                                      <w:szCs w:val="2"/>
                                    </w:rPr>
                                  </w:pPr>
                                </w:p>
                              </w:tc>
                              <w:tc>
                                <w:tcPr>
                                  <w:tcW w:w="420" w:type="dxa"/>
                                  <w:tcBorders>
                                    <w:top w:val="dotted" w:color="000000" w:sz="8" w:space="0"/>
                                    <w:left w:val="nil"/>
                                  </w:tcBorders>
                                </w:tcPr>
                                <w:p w:rsidR="00C31389" w:rsidRDefault="00C31389" w14:paraId="6F461CD4"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6FCCF077" w14:textId="77777777">
                                  <w:pPr>
                                    <w:pStyle w:val="TableParagraph"/>
                                    <w:spacing w:before="0"/>
                                    <w:rPr>
                                      <w:rFonts w:ascii="Times New Roman"/>
                                      <w:sz w:val="20"/>
                                    </w:rPr>
                                  </w:pPr>
                                </w:p>
                              </w:tc>
                              <w:tc>
                                <w:tcPr>
                                  <w:tcW w:w="701" w:type="dxa"/>
                                  <w:tcBorders>
                                    <w:top w:val="dotted" w:color="000000" w:sz="8" w:space="0"/>
                                  </w:tcBorders>
                                </w:tcPr>
                                <w:p w:rsidR="00C31389" w:rsidRDefault="00C31389" w14:paraId="24320463"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2DDF06E2"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6017D96D"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0DFD15D3"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413AF05B" w14:textId="77777777">
                                  <w:pPr>
                                    <w:pStyle w:val="TableParagraph"/>
                                    <w:spacing w:before="0"/>
                                    <w:rPr>
                                      <w:rFonts w:ascii="Times New Roman"/>
                                      <w:sz w:val="20"/>
                                    </w:rPr>
                                  </w:pPr>
                                </w:p>
                              </w:tc>
                              <w:tc>
                                <w:tcPr>
                                  <w:tcW w:w="700" w:type="dxa"/>
                                  <w:vMerge/>
                                  <w:tcBorders>
                                    <w:top w:val="nil"/>
                                  </w:tcBorders>
                                </w:tcPr>
                                <w:p w:rsidR="00C31389" w:rsidRDefault="00C31389" w14:paraId="0D23AF73" w14:textId="77777777">
                                  <w:pPr>
                                    <w:rPr>
                                      <w:sz w:val="2"/>
                                      <w:szCs w:val="2"/>
                                    </w:rPr>
                                  </w:pPr>
                                </w:p>
                              </w:tc>
                              <w:tc>
                                <w:tcPr>
                                  <w:tcW w:w="700" w:type="dxa"/>
                                  <w:vMerge/>
                                  <w:tcBorders>
                                    <w:top w:val="nil"/>
                                  </w:tcBorders>
                                </w:tcPr>
                                <w:p w:rsidR="00C31389" w:rsidRDefault="00C31389" w14:paraId="2D0E80D5" w14:textId="77777777">
                                  <w:pPr>
                                    <w:rPr>
                                      <w:sz w:val="2"/>
                                      <w:szCs w:val="2"/>
                                    </w:rPr>
                                  </w:pPr>
                                </w:p>
                              </w:tc>
                            </w:tr>
                            <w:tr w:rsidR="00C31389" w14:paraId="1E547C94" w14:textId="77777777">
                              <w:trPr>
                                <w:trHeight w:val="151"/>
                              </w:trPr>
                              <w:tc>
                                <w:tcPr>
                                  <w:tcW w:w="280" w:type="dxa"/>
                                  <w:vMerge w:val="restart"/>
                                  <w:tcBorders>
                                    <w:left w:val="single" w:color="BEBEBE" w:sz="6" w:space="0"/>
                                    <w:right w:val="nil"/>
                                  </w:tcBorders>
                                </w:tcPr>
                                <w:p w:rsidR="00C31389" w:rsidRDefault="00C31389" w14:paraId="30A7F2FD" w14:textId="77777777">
                                  <w:pPr>
                                    <w:pStyle w:val="TableParagraph"/>
                                    <w:spacing w:before="0"/>
                                    <w:rPr>
                                      <w:rFonts w:ascii="Times New Roman"/>
                                      <w:sz w:val="20"/>
                                    </w:rPr>
                                  </w:pPr>
                                </w:p>
                              </w:tc>
                              <w:tc>
                                <w:tcPr>
                                  <w:tcW w:w="420" w:type="dxa"/>
                                  <w:tcBorders>
                                    <w:left w:val="nil"/>
                                    <w:bottom w:val="dotted" w:color="000000" w:sz="8" w:space="0"/>
                                  </w:tcBorders>
                                </w:tcPr>
                                <w:p w:rsidR="00C31389" w:rsidRDefault="00C31389" w14:paraId="36219B05"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4244D0C1" w14:textId="77777777">
                                  <w:pPr>
                                    <w:pStyle w:val="TableParagraph"/>
                                    <w:spacing w:before="0"/>
                                    <w:rPr>
                                      <w:rFonts w:ascii="Times New Roman"/>
                                      <w:sz w:val="8"/>
                                    </w:rPr>
                                  </w:pPr>
                                </w:p>
                              </w:tc>
                              <w:tc>
                                <w:tcPr>
                                  <w:tcW w:w="701" w:type="dxa"/>
                                  <w:tcBorders>
                                    <w:bottom w:val="dotted" w:color="000000" w:sz="8" w:space="0"/>
                                  </w:tcBorders>
                                </w:tcPr>
                                <w:p w:rsidR="00C31389" w:rsidRDefault="00C31389" w14:paraId="65094FF5"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314D4DA9"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7DA91632"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5AC57925"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64C55961" w14:textId="77777777">
                                  <w:pPr>
                                    <w:pStyle w:val="TableParagraph"/>
                                    <w:spacing w:before="0"/>
                                    <w:rPr>
                                      <w:rFonts w:ascii="Times New Roman"/>
                                      <w:sz w:val="8"/>
                                    </w:rPr>
                                  </w:pPr>
                                </w:p>
                              </w:tc>
                              <w:tc>
                                <w:tcPr>
                                  <w:tcW w:w="700" w:type="dxa"/>
                                  <w:vMerge w:val="restart"/>
                                </w:tcPr>
                                <w:p w:rsidR="00C31389" w:rsidRDefault="00561FBD" w14:paraId="0202CF62" w14:textId="77777777">
                                  <w:pPr>
                                    <w:pStyle w:val="TableParagraph"/>
                                    <w:spacing w:before="0" w:line="140" w:lineRule="exact"/>
                                    <w:ind w:left="28" w:right="-72"/>
                                    <w:rPr>
                                      <w:rFonts w:ascii="Calibri"/>
                                      <w:sz w:val="18"/>
                                    </w:rPr>
                                  </w:pPr>
                                  <w:r>
                                    <w:rPr>
                                      <w:rFonts w:ascii="Calibri"/>
                                      <w:color w:val="404040"/>
                                      <w:sz w:val="18"/>
                                    </w:rPr>
                                    <w:t>74%</w:t>
                                  </w:r>
                                  <w:r>
                                    <w:rPr>
                                      <w:rFonts w:ascii="Calibri"/>
                                      <w:color w:val="404040"/>
                                      <w:spacing w:val="-2"/>
                                      <w:sz w:val="18"/>
                                    </w:rPr>
                                    <w:t xml:space="preserve"> </w:t>
                                  </w:r>
                                  <w:r>
                                    <w:rPr>
                                      <w:rFonts w:ascii="Calibri"/>
                                      <w:color w:val="404040"/>
                                      <w:sz w:val="18"/>
                                    </w:rPr>
                                    <w:t xml:space="preserve">of </w:t>
                                  </w:r>
                                  <w:r>
                                    <w:rPr>
                                      <w:rFonts w:ascii="Calibri"/>
                                      <w:color w:val="404040"/>
                                      <w:spacing w:val="-5"/>
                                      <w:sz w:val="18"/>
                                    </w:rPr>
                                    <w:t>20</w:t>
                                  </w:r>
                                </w:p>
                              </w:tc>
                              <w:tc>
                                <w:tcPr>
                                  <w:tcW w:w="700" w:type="dxa"/>
                                  <w:vMerge w:val="restart"/>
                                </w:tcPr>
                                <w:p w:rsidR="00C31389" w:rsidRDefault="00561FBD" w14:paraId="40DAA0B8" w14:textId="77777777">
                                  <w:pPr>
                                    <w:pStyle w:val="TableParagraph"/>
                                    <w:spacing w:before="0" w:line="140" w:lineRule="exact"/>
                                    <w:ind w:left="53"/>
                                    <w:rPr>
                                      <w:rFonts w:ascii="Calibri"/>
                                      <w:sz w:val="18"/>
                                    </w:rPr>
                                  </w:pPr>
                                  <w:r>
                                    <w:rPr>
                                      <w:rFonts w:ascii="Calibri"/>
                                      <w:color w:val="404040"/>
                                      <w:sz w:val="18"/>
                                    </w:rPr>
                                    <w:t xml:space="preserve">19 </w:t>
                                  </w:r>
                                  <w:r>
                                    <w:rPr>
                                      <w:rFonts w:ascii="Calibri"/>
                                      <w:color w:val="404040"/>
                                      <w:spacing w:val="-4"/>
                                      <w:sz w:val="18"/>
                                    </w:rPr>
                                    <w:t>Cost</w:t>
                                  </w:r>
                                </w:p>
                              </w:tc>
                            </w:tr>
                            <w:tr w:rsidR="00C31389" w14:paraId="2B1A1572" w14:textId="77777777">
                              <w:trPr>
                                <w:trHeight w:val="629"/>
                              </w:trPr>
                              <w:tc>
                                <w:tcPr>
                                  <w:tcW w:w="280" w:type="dxa"/>
                                  <w:vMerge/>
                                  <w:tcBorders>
                                    <w:top w:val="nil"/>
                                    <w:left w:val="single" w:color="BEBEBE" w:sz="6" w:space="0"/>
                                    <w:right w:val="nil"/>
                                  </w:tcBorders>
                                </w:tcPr>
                                <w:p w:rsidR="00C31389" w:rsidRDefault="00C31389" w14:paraId="2A3BFA0E" w14:textId="77777777">
                                  <w:pPr>
                                    <w:rPr>
                                      <w:sz w:val="2"/>
                                      <w:szCs w:val="2"/>
                                    </w:rPr>
                                  </w:pPr>
                                </w:p>
                              </w:tc>
                              <w:tc>
                                <w:tcPr>
                                  <w:tcW w:w="420" w:type="dxa"/>
                                  <w:tcBorders>
                                    <w:top w:val="dotted" w:color="000000" w:sz="8" w:space="0"/>
                                    <w:left w:val="nil"/>
                                  </w:tcBorders>
                                </w:tcPr>
                                <w:p w:rsidR="00C31389" w:rsidRDefault="00C31389" w14:paraId="59F4BF14"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1D5353DC" w14:textId="77777777">
                                  <w:pPr>
                                    <w:pStyle w:val="TableParagraph"/>
                                    <w:spacing w:before="0"/>
                                    <w:rPr>
                                      <w:rFonts w:ascii="Times New Roman"/>
                                      <w:sz w:val="20"/>
                                    </w:rPr>
                                  </w:pPr>
                                </w:p>
                              </w:tc>
                              <w:tc>
                                <w:tcPr>
                                  <w:tcW w:w="701" w:type="dxa"/>
                                  <w:tcBorders>
                                    <w:top w:val="dotted" w:color="000000" w:sz="8" w:space="0"/>
                                  </w:tcBorders>
                                </w:tcPr>
                                <w:p w:rsidR="00C31389" w:rsidRDefault="00C31389" w14:paraId="20C4E07D" w14:textId="77777777">
                                  <w:pPr>
                                    <w:pStyle w:val="TableParagraph"/>
                                    <w:spacing w:before="0"/>
                                    <w:rPr>
                                      <w:sz w:val="18"/>
                                    </w:rPr>
                                  </w:pPr>
                                </w:p>
                                <w:p w:rsidR="00C31389" w:rsidRDefault="00C31389" w14:paraId="3BE4CC6A" w14:textId="77777777">
                                  <w:pPr>
                                    <w:pStyle w:val="TableParagraph"/>
                                    <w:spacing w:before="5"/>
                                    <w:rPr>
                                      <w:sz w:val="20"/>
                                    </w:rPr>
                                  </w:pPr>
                                </w:p>
                                <w:p w:rsidR="00C31389" w:rsidRDefault="00561FBD" w14:paraId="5382D067" w14:textId="77777777">
                                  <w:pPr>
                                    <w:pStyle w:val="TableParagraph"/>
                                    <w:spacing w:before="0" w:line="167" w:lineRule="exact"/>
                                    <w:ind w:left="56"/>
                                    <w:rPr>
                                      <w:rFonts w:ascii="Calibri"/>
                                      <w:sz w:val="18"/>
                                    </w:rPr>
                                  </w:pPr>
                                  <w:r>
                                    <w:rPr>
                                      <w:rFonts w:ascii="Calibri"/>
                                      <w:color w:val="68942C"/>
                                      <w:spacing w:val="-2"/>
                                      <w:sz w:val="18"/>
                                    </w:rPr>
                                    <w:t>Projecte</w:t>
                                  </w:r>
                                </w:p>
                              </w:tc>
                              <w:tc>
                                <w:tcPr>
                                  <w:tcW w:w="700" w:type="dxa"/>
                                  <w:tcBorders>
                                    <w:top w:val="dotted" w:color="000000" w:sz="8" w:space="0"/>
                                  </w:tcBorders>
                                </w:tcPr>
                                <w:p w:rsidR="00C31389" w:rsidRDefault="00C31389" w14:paraId="5C81EDB6" w14:textId="77777777">
                                  <w:pPr>
                                    <w:pStyle w:val="TableParagraph"/>
                                    <w:spacing w:before="0"/>
                                    <w:rPr>
                                      <w:sz w:val="18"/>
                                    </w:rPr>
                                  </w:pPr>
                                </w:p>
                                <w:p w:rsidR="00C31389" w:rsidRDefault="00C31389" w14:paraId="7F894757" w14:textId="77777777">
                                  <w:pPr>
                                    <w:pStyle w:val="TableParagraph"/>
                                    <w:spacing w:before="5"/>
                                    <w:rPr>
                                      <w:sz w:val="20"/>
                                    </w:rPr>
                                  </w:pPr>
                                </w:p>
                                <w:p w:rsidR="00C31389" w:rsidRDefault="00561FBD" w14:paraId="5082C7D8" w14:textId="77777777">
                                  <w:pPr>
                                    <w:pStyle w:val="TableParagraph"/>
                                    <w:spacing w:before="0" w:line="167" w:lineRule="exact"/>
                                    <w:ind w:left="-36"/>
                                    <w:rPr>
                                      <w:rFonts w:ascii="Calibri"/>
                                      <w:sz w:val="18"/>
                                    </w:rPr>
                                  </w:pPr>
                                  <w:r>
                                    <w:rPr>
                                      <w:rFonts w:ascii="Calibri"/>
                                      <w:color w:val="68942C"/>
                                      <w:sz w:val="18"/>
                                    </w:rPr>
                                    <w:t>d Cost</w:t>
                                  </w:r>
                                  <w:r>
                                    <w:rPr>
                                      <w:rFonts w:ascii="Calibri"/>
                                      <w:color w:val="68942C"/>
                                      <w:spacing w:val="-1"/>
                                      <w:sz w:val="18"/>
                                    </w:rPr>
                                    <w:t xml:space="preserve"> </w:t>
                                  </w:r>
                                  <w:r>
                                    <w:rPr>
                                      <w:rFonts w:ascii="Calibri"/>
                                      <w:color w:val="68942C"/>
                                      <w:spacing w:val="-5"/>
                                      <w:sz w:val="18"/>
                                    </w:rPr>
                                    <w:t>in</w:t>
                                  </w:r>
                                </w:p>
                              </w:tc>
                              <w:tc>
                                <w:tcPr>
                                  <w:tcW w:w="700" w:type="dxa"/>
                                  <w:tcBorders>
                                    <w:top w:val="dotted" w:color="000000" w:sz="8" w:space="0"/>
                                  </w:tcBorders>
                                </w:tcPr>
                                <w:p w:rsidR="00C31389" w:rsidRDefault="00C31389" w14:paraId="44399165"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6F8BA70E"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5B94BC58" w14:textId="77777777">
                                  <w:pPr>
                                    <w:pStyle w:val="TableParagraph"/>
                                    <w:spacing w:before="0"/>
                                    <w:rPr>
                                      <w:rFonts w:ascii="Times New Roman"/>
                                      <w:sz w:val="20"/>
                                    </w:rPr>
                                  </w:pPr>
                                </w:p>
                              </w:tc>
                              <w:tc>
                                <w:tcPr>
                                  <w:tcW w:w="700" w:type="dxa"/>
                                  <w:vMerge/>
                                  <w:tcBorders>
                                    <w:top w:val="nil"/>
                                  </w:tcBorders>
                                </w:tcPr>
                                <w:p w:rsidR="00C31389" w:rsidRDefault="00C31389" w14:paraId="740A6A56" w14:textId="77777777">
                                  <w:pPr>
                                    <w:rPr>
                                      <w:sz w:val="2"/>
                                      <w:szCs w:val="2"/>
                                    </w:rPr>
                                  </w:pPr>
                                </w:p>
                              </w:tc>
                              <w:tc>
                                <w:tcPr>
                                  <w:tcW w:w="700" w:type="dxa"/>
                                  <w:vMerge/>
                                  <w:tcBorders>
                                    <w:top w:val="nil"/>
                                  </w:tcBorders>
                                </w:tcPr>
                                <w:p w:rsidR="00C31389" w:rsidRDefault="00C31389" w14:paraId="4E9E546F" w14:textId="77777777">
                                  <w:pPr>
                                    <w:rPr>
                                      <w:sz w:val="2"/>
                                      <w:szCs w:val="2"/>
                                    </w:rPr>
                                  </w:pPr>
                                </w:p>
                              </w:tc>
                            </w:tr>
                            <w:tr w:rsidR="00C31389" w14:paraId="11620F5E" w14:textId="77777777">
                              <w:trPr>
                                <w:trHeight w:val="799"/>
                              </w:trPr>
                              <w:tc>
                                <w:tcPr>
                                  <w:tcW w:w="700" w:type="dxa"/>
                                  <w:gridSpan w:val="2"/>
                                  <w:tcBorders>
                                    <w:left w:val="single" w:color="BEBEBE" w:sz="6" w:space="0"/>
                                  </w:tcBorders>
                                </w:tcPr>
                                <w:p w:rsidR="00C31389" w:rsidRDefault="00C31389" w14:paraId="22B57834" w14:textId="77777777">
                                  <w:pPr>
                                    <w:pStyle w:val="TableParagraph"/>
                                    <w:spacing w:before="0"/>
                                    <w:rPr>
                                      <w:rFonts w:ascii="Times New Roman"/>
                                      <w:sz w:val="20"/>
                                    </w:rPr>
                                  </w:pPr>
                                </w:p>
                              </w:tc>
                              <w:tc>
                                <w:tcPr>
                                  <w:tcW w:w="700" w:type="dxa"/>
                                </w:tcPr>
                                <w:p w:rsidR="00C31389" w:rsidRDefault="00C31389" w14:paraId="26D128CD" w14:textId="77777777">
                                  <w:pPr>
                                    <w:pStyle w:val="TableParagraph"/>
                                    <w:spacing w:before="0"/>
                                    <w:rPr>
                                      <w:rFonts w:ascii="Times New Roman"/>
                                      <w:sz w:val="20"/>
                                    </w:rPr>
                                  </w:pPr>
                                </w:p>
                              </w:tc>
                              <w:tc>
                                <w:tcPr>
                                  <w:tcW w:w="701" w:type="dxa"/>
                                </w:tcPr>
                                <w:p w:rsidR="00C31389" w:rsidRDefault="00561FBD" w14:paraId="41170602" w14:textId="77777777">
                                  <w:pPr>
                                    <w:pStyle w:val="TableParagraph"/>
                                    <w:spacing w:before="17"/>
                                    <w:ind w:right="-87"/>
                                    <w:jc w:val="right"/>
                                    <w:rPr>
                                      <w:rFonts w:ascii="Calibri"/>
                                      <w:sz w:val="18"/>
                                    </w:rPr>
                                  </w:pPr>
                                  <w:r>
                                    <w:rPr>
                                      <w:rFonts w:ascii="Calibri"/>
                                      <w:color w:val="68942C"/>
                                      <w:spacing w:val="-5"/>
                                      <w:sz w:val="18"/>
                                    </w:rPr>
                                    <w:t>203</w:t>
                                  </w:r>
                                </w:p>
                              </w:tc>
                              <w:tc>
                                <w:tcPr>
                                  <w:tcW w:w="700" w:type="dxa"/>
                                </w:tcPr>
                                <w:p w:rsidR="00C31389" w:rsidRDefault="00561FBD" w14:paraId="2B4E43C9" w14:textId="77777777">
                                  <w:pPr>
                                    <w:pStyle w:val="TableParagraph"/>
                                    <w:spacing w:before="17"/>
                                    <w:ind w:left="68"/>
                                    <w:rPr>
                                      <w:rFonts w:ascii="Calibri"/>
                                      <w:sz w:val="18"/>
                                    </w:rPr>
                                  </w:pPr>
                                  <w:r>
                                    <w:rPr>
                                      <w:rFonts w:ascii="Calibri"/>
                                      <w:color w:val="68942C"/>
                                      <w:sz w:val="18"/>
                                    </w:rPr>
                                    <w:t>2</w:t>
                                  </w:r>
                                </w:p>
                              </w:tc>
                              <w:tc>
                                <w:tcPr>
                                  <w:tcW w:w="700" w:type="dxa"/>
                                </w:tcPr>
                                <w:p w:rsidR="00C31389" w:rsidRDefault="00C31389" w14:paraId="748B2D50" w14:textId="77777777">
                                  <w:pPr>
                                    <w:pStyle w:val="TableParagraph"/>
                                    <w:spacing w:before="0"/>
                                    <w:rPr>
                                      <w:rFonts w:ascii="Times New Roman"/>
                                      <w:sz w:val="20"/>
                                    </w:rPr>
                                  </w:pPr>
                                </w:p>
                              </w:tc>
                              <w:tc>
                                <w:tcPr>
                                  <w:tcW w:w="700" w:type="dxa"/>
                                </w:tcPr>
                                <w:p w:rsidR="00C31389" w:rsidRDefault="00C31389" w14:paraId="1A565837" w14:textId="77777777">
                                  <w:pPr>
                                    <w:pStyle w:val="TableParagraph"/>
                                    <w:spacing w:before="0"/>
                                    <w:rPr>
                                      <w:rFonts w:ascii="Times New Roman"/>
                                      <w:sz w:val="20"/>
                                    </w:rPr>
                                  </w:pPr>
                                </w:p>
                              </w:tc>
                              <w:tc>
                                <w:tcPr>
                                  <w:tcW w:w="700" w:type="dxa"/>
                                </w:tcPr>
                                <w:p w:rsidR="00C31389" w:rsidRDefault="00C31389" w14:paraId="7D82FD16" w14:textId="77777777">
                                  <w:pPr>
                                    <w:pStyle w:val="TableParagraph"/>
                                    <w:spacing w:before="0"/>
                                    <w:rPr>
                                      <w:rFonts w:ascii="Times New Roman"/>
                                      <w:sz w:val="20"/>
                                    </w:rPr>
                                  </w:pPr>
                                </w:p>
                              </w:tc>
                              <w:tc>
                                <w:tcPr>
                                  <w:tcW w:w="700" w:type="dxa"/>
                                </w:tcPr>
                                <w:p w:rsidR="00C31389" w:rsidRDefault="00C31389" w14:paraId="25341D4B" w14:textId="77777777">
                                  <w:pPr>
                                    <w:pStyle w:val="TableParagraph"/>
                                    <w:spacing w:before="0"/>
                                    <w:rPr>
                                      <w:sz w:val="18"/>
                                    </w:rPr>
                                  </w:pPr>
                                </w:p>
                                <w:p w:rsidR="00C31389" w:rsidRDefault="00C31389" w14:paraId="5B549A17" w14:textId="77777777">
                                  <w:pPr>
                                    <w:pStyle w:val="TableParagraph"/>
                                    <w:spacing w:before="0"/>
                                    <w:rPr>
                                      <w:sz w:val="18"/>
                                    </w:rPr>
                                  </w:pPr>
                                </w:p>
                                <w:p w:rsidR="00C31389" w:rsidRDefault="00C31389" w14:paraId="57A84802" w14:textId="77777777">
                                  <w:pPr>
                                    <w:pStyle w:val="TableParagraph"/>
                                    <w:spacing w:before="8"/>
                                    <w:rPr>
                                      <w:sz w:val="21"/>
                                    </w:rPr>
                                  </w:pPr>
                                </w:p>
                                <w:p w:rsidR="00C31389" w:rsidRDefault="00561FBD" w14:paraId="6DDF64E4" w14:textId="77777777">
                                  <w:pPr>
                                    <w:pStyle w:val="TableParagraph"/>
                                    <w:spacing w:before="0" w:line="116" w:lineRule="exact"/>
                                    <w:ind w:left="338" w:right="-44"/>
                                    <w:rPr>
                                      <w:rFonts w:ascii="Calibri"/>
                                      <w:sz w:val="18"/>
                                    </w:rPr>
                                  </w:pPr>
                                  <w:r>
                                    <w:rPr>
                                      <w:rFonts w:ascii="Calibri"/>
                                      <w:color w:val="68942C"/>
                                      <w:spacing w:val="-4"/>
                                      <w:sz w:val="18"/>
                                    </w:rPr>
                                    <w:t>NREL</w:t>
                                  </w:r>
                                </w:p>
                              </w:tc>
                              <w:tc>
                                <w:tcPr>
                                  <w:tcW w:w="700" w:type="dxa"/>
                                </w:tcPr>
                                <w:p w:rsidR="00C31389" w:rsidRDefault="00C31389" w14:paraId="2E2E7BCF" w14:textId="77777777">
                                  <w:pPr>
                                    <w:pStyle w:val="TableParagraph"/>
                                    <w:spacing w:before="0"/>
                                    <w:rPr>
                                      <w:sz w:val="18"/>
                                    </w:rPr>
                                  </w:pPr>
                                </w:p>
                                <w:p w:rsidR="00C31389" w:rsidRDefault="00C31389" w14:paraId="48508D24" w14:textId="77777777">
                                  <w:pPr>
                                    <w:pStyle w:val="TableParagraph"/>
                                    <w:spacing w:before="0"/>
                                    <w:rPr>
                                      <w:sz w:val="18"/>
                                    </w:rPr>
                                  </w:pPr>
                                </w:p>
                                <w:p w:rsidR="00C31389" w:rsidRDefault="00C31389" w14:paraId="554368DB" w14:textId="77777777">
                                  <w:pPr>
                                    <w:pStyle w:val="TableParagraph"/>
                                    <w:spacing w:before="8"/>
                                    <w:rPr>
                                      <w:sz w:val="21"/>
                                    </w:rPr>
                                  </w:pPr>
                                </w:p>
                                <w:p w:rsidR="00C31389" w:rsidRDefault="00561FBD" w14:paraId="161A7E0A" w14:textId="77777777">
                                  <w:pPr>
                                    <w:pStyle w:val="TableParagraph"/>
                                    <w:spacing w:before="0" w:line="116" w:lineRule="exact"/>
                                    <w:ind w:left="56" w:right="-101"/>
                                    <w:rPr>
                                      <w:rFonts w:ascii="Calibri"/>
                                      <w:sz w:val="18"/>
                                    </w:rPr>
                                  </w:pPr>
                                  <w:r>
                                    <w:rPr>
                                      <w:rFonts w:ascii="Calibri"/>
                                      <w:color w:val="68942C"/>
                                      <w:sz w:val="18"/>
                                    </w:rPr>
                                    <w:t>Cost</w:t>
                                  </w:r>
                                  <w:r>
                                    <w:rPr>
                                      <w:rFonts w:ascii="Calibri"/>
                                      <w:color w:val="68942C"/>
                                      <w:spacing w:val="-4"/>
                                      <w:sz w:val="18"/>
                                    </w:rPr>
                                    <w:t xml:space="preserve"> </w:t>
                                  </w:r>
                                  <w:r>
                                    <w:rPr>
                                      <w:rFonts w:ascii="Calibri"/>
                                      <w:color w:val="68942C"/>
                                      <w:sz w:val="18"/>
                                    </w:rPr>
                                    <w:t xml:space="preserve">in </w:t>
                                  </w:r>
                                  <w:r>
                                    <w:rPr>
                                      <w:rFonts w:ascii="Calibri"/>
                                      <w:color w:val="68942C"/>
                                      <w:spacing w:val="-5"/>
                                      <w:sz w:val="18"/>
                                    </w:rPr>
                                    <w:t>20</w:t>
                                  </w:r>
                                </w:p>
                              </w:tc>
                            </w:tr>
                            <w:tr w:rsidR="00C31389" w14:paraId="7A99A7FD" w14:textId="77777777">
                              <w:trPr>
                                <w:trHeight w:val="800"/>
                              </w:trPr>
                              <w:tc>
                                <w:tcPr>
                                  <w:tcW w:w="700" w:type="dxa"/>
                                  <w:gridSpan w:val="2"/>
                                  <w:tcBorders>
                                    <w:left w:val="single" w:color="BEBEBE" w:sz="6" w:space="0"/>
                                    <w:bottom w:val="single" w:color="BEBEBE" w:sz="6" w:space="0"/>
                                  </w:tcBorders>
                                </w:tcPr>
                                <w:p w:rsidR="00C31389" w:rsidRDefault="00C31389" w14:paraId="79F4326E"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283FA963" w14:textId="77777777">
                                  <w:pPr>
                                    <w:pStyle w:val="TableParagraph"/>
                                    <w:spacing w:before="0"/>
                                    <w:rPr>
                                      <w:rFonts w:ascii="Times New Roman"/>
                                      <w:sz w:val="20"/>
                                    </w:rPr>
                                  </w:pPr>
                                </w:p>
                              </w:tc>
                              <w:tc>
                                <w:tcPr>
                                  <w:tcW w:w="701" w:type="dxa"/>
                                  <w:tcBorders>
                                    <w:bottom w:val="single" w:color="BEBEBE" w:sz="6" w:space="0"/>
                                  </w:tcBorders>
                                </w:tcPr>
                                <w:p w:rsidR="00C31389" w:rsidRDefault="00C31389" w14:paraId="2D520585"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3EAA8EE4"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303896EC"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0602AA43"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2F4A8D9B"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5A272ECD"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2C3B50DB" w14:textId="77777777">
                                  <w:pPr>
                                    <w:pStyle w:val="TableParagraph"/>
                                    <w:spacing w:before="0"/>
                                    <w:rPr>
                                      <w:rFonts w:ascii="Times New Roman"/>
                                      <w:sz w:val="20"/>
                                    </w:rPr>
                                  </w:pPr>
                                </w:p>
                              </w:tc>
                            </w:tr>
                          </w:tbl>
                          <w:p w:rsidR="00C31389" w:rsidRDefault="00C31389" w14:paraId="73CE8B38" w14:textId="77777777">
                            <w:pPr>
                              <w:pStyle w:val="BodyText"/>
                            </w:pPr>
                          </w:p>
                        </w:txbxContent>
                      </wps:txbx>
                      <wps:bodyPr wrap="square" lIns="0" tIns="0" rIns="0" bIns="0" rtlCol="0">
                        <a:noAutofit/>
                      </wps:bodyPr>
                    </wps:wsp>
                  </a:graphicData>
                </a:graphic>
              </wp:anchor>
            </w:drawing>
          </mc:Choice>
          <mc:Fallback>
            <w:pict>
              <v:shape id="Textbox 643" style="position:absolute;left:0;text-align:left;margin-left:158.35pt;margin-top:8.75pt;width:321.65pt;height:204.4pt;z-index:15829504;visibility:visible;mso-wrap-style:square;mso-wrap-distance-left:0;mso-wrap-distance-top:0;mso-wrap-distance-right:0;mso-wrap-distance-bottom:0;mso-position-horizontal:absolute;mso-position-horizontal-relative:page;mso-position-vertical:absolute;mso-position-vertical-relative:text;v-text-anchor:top" o:spid="_x0000_s11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" w14:anchorId="7816A8C1">
                <v:textbox inset="0,0,0,0">
                  <w:txbxContent>
                    <w:tbl>
                      <w:tblPr>
                        <w:tblW w:w="0" w:type="auto"/>
                        <w:tblInd w:w="67"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left w:w="0" w:type="dxa"/>
                          <w:right w:w="0" w:type="dxa"/>
                        </w:tblCellMar>
                        <w:tblLook w:val="01E0" w:firstRow="1" w:lastRow="1" w:firstColumn="1" w:lastColumn="1" w:noHBand="0" w:noVBand="0"/>
                      </w:tblPr>
                      <w:tblGrid>
                        <w:gridCol w:w="280"/>
                        <w:gridCol w:w="420"/>
                        <w:gridCol w:w="700"/>
                        <w:gridCol w:w="701"/>
                        <w:gridCol w:w="700"/>
                        <w:gridCol w:w="700"/>
                        <w:gridCol w:w="700"/>
                        <w:gridCol w:w="700"/>
                        <w:gridCol w:w="700"/>
                        <w:gridCol w:w="700"/>
                      </w:tblGrid>
                      <w:tr w:rsidR="00C31389" w14:paraId="29BC0EDA" w14:textId="77777777">
                        <w:trPr>
                          <w:trHeight w:val="800"/>
                        </w:trPr>
                        <w:tc>
                          <w:tcPr>
                            <w:tcW w:w="700" w:type="dxa"/>
                            <w:gridSpan w:val="2"/>
                            <w:tcBorders>
                              <w:left w:val="single" w:color="BEBEBE" w:sz="6" w:space="0"/>
                            </w:tcBorders>
                          </w:tcPr>
                          <w:p w:rsidR="00C31389" w:rsidRDefault="00C31389" w14:paraId="36881D96" w14:textId="77777777">
                            <w:pPr>
                              <w:pStyle w:val="TableParagraph"/>
                              <w:spacing w:before="0"/>
                              <w:rPr>
                                <w:sz w:val="18"/>
                              </w:rPr>
                            </w:pPr>
                          </w:p>
                          <w:p w:rsidR="00C31389" w:rsidRDefault="00C31389" w14:paraId="1EE3CA60" w14:textId="77777777">
                            <w:pPr>
                              <w:pStyle w:val="TableParagraph"/>
                              <w:spacing w:before="10"/>
                              <w:rPr>
                                <w:sz w:val="14"/>
                              </w:rPr>
                            </w:pPr>
                          </w:p>
                          <w:p w:rsidR="00C31389" w:rsidRDefault="00561FBD" w14:paraId="23D79846" w14:textId="77777777">
                            <w:pPr>
                              <w:pStyle w:val="TableParagraph"/>
                              <w:spacing w:before="0"/>
                              <w:ind w:left="13" w:right="-15"/>
                              <w:rPr>
                                <w:rFonts w:ascii="Calibri"/>
                                <w:sz w:val="18"/>
                              </w:rPr>
                            </w:pPr>
                            <w:r>
                              <w:rPr>
                                <w:rFonts w:ascii="Calibri"/>
                                <w:color w:val="68942C"/>
                                <w:sz w:val="18"/>
                              </w:rPr>
                              <w:t>NREL</w:t>
                            </w:r>
                            <w:r>
                              <w:rPr>
                                <w:rFonts w:ascii="Calibri"/>
                                <w:color w:val="68942C"/>
                                <w:spacing w:val="-1"/>
                                <w:sz w:val="18"/>
                              </w:rPr>
                              <w:t xml:space="preserve"> </w:t>
                            </w:r>
                            <w:r>
                              <w:rPr>
                                <w:rFonts w:ascii="Calibri"/>
                                <w:color w:val="68942C"/>
                                <w:spacing w:val="-5"/>
                                <w:sz w:val="18"/>
                              </w:rPr>
                              <w:t>Cos</w:t>
                            </w:r>
                          </w:p>
                        </w:tc>
                        <w:tc>
                          <w:tcPr>
                            <w:tcW w:w="700" w:type="dxa"/>
                          </w:tcPr>
                          <w:p w:rsidR="00C31389" w:rsidRDefault="00C31389" w14:paraId="20F96F47" w14:textId="77777777">
                            <w:pPr>
                              <w:pStyle w:val="TableParagraph"/>
                              <w:spacing w:before="0"/>
                              <w:rPr>
                                <w:sz w:val="18"/>
                              </w:rPr>
                            </w:pPr>
                          </w:p>
                          <w:p w:rsidR="00C31389" w:rsidRDefault="00C31389" w14:paraId="1C2EB2F7" w14:textId="77777777">
                            <w:pPr>
                              <w:pStyle w:val="TableParagraph"/>
                              <w:spacing w:before="10"/>
                              <w:rPr>
                                <w:sz w:val="14"/>
                              </w:rPr>
                            </w:pPr>
                          </w:p>
                          <w:p w:rsidR="00C31389" w:rsidRDefault="00561FBD" w14:paraId="46945BBD" w14:textId="77777777">
                            <w:pPr>
                              <w:pStyle w:val="TableParagraph"/>
                              <w:spacing w:before="0"/>
                              <w:ind w:left="-7"/>
                              <w:rPr>
                                <w:rFonts w:ascii="Calibri"/>
                                <w:sz w:val="18"/>
                              </w:rPr>
                            </w:pPr>
                            <w:r>
                              <w:rPr>
                                <w:rFonts w:ascii="Calibri"/>
                                <w:color w:val="68942C"/>
                                <w:sz w:val="18"/>
                              </w:rPr>
                              <w:t>t</w:t>
                            </w:r>
                            <w:r>
                              <w:rPr>
                                <w:rFonts w:ascii="Calibri"/>
                                <w:color w:val="68942C"/>
                                <w:spacing w:val="-3"/>
                                <w:sz w:val="18"/>
                              </w:rPr>
                              <w:t xml:space="preserve"> </w:t>
                            </w:r>
                            <w:r>
                              <w:rPr>
                                <w:rFonts w:ascii="Calibri"/>
                                <w:color w:val="68942C"/>
                                <w:sz w:val="18"/>
                              </w:rPr>
                              <w:t>in</w:t>
                            </w:r>
                            <w:r>
                              <w:rPr>
                                <w:rFonts w:ascii="Calibri"/>
                                <w:color w:val="68942C"/>
                                <w:spacing w:val="1"/>
                                <w:sz w:val="18"/>
                              </w:rPr>
                              <w:t xml:space="preserve"> </w:t>
                            </w:r>
                            <w:r>
                              <w:rPr>
                                <w:rFonts w:ascii="Calibri"/>
                                <w:color w:val="68942C"/>
                                <w:spacing w:val="-4"/>
                                <w:sz w:val="18"/>
                              </w:rPr>
                              <w:t>2016</w:t>
                            </w:r>
                          </w:p>
                        </w:tc>
                        <w:tc>
                          <w:tcPr>
                            <w:tcW w:w="701" w:type="dxa"/>
                          </w:tcPr>
                          <w:p w:rsidR="00C31389" w:rsidRDefault="00C31389" w14:paraId="4490295E" w14:textId="77777777">
                            <w:pPr>
                              <w:pStyle w:val="TableParagraph"/>
                              <w:spacing w:before="2"/>
                              <w:rPr>
                                <w:sz w:val="18"/>
                              </w:rPr>
                            </w:pPr>
                          </w:p>
                          <w:p w:rsidR="00C31389" w:rsidRDefault="00561FBD" w14:paraId="698FCE77" w14:textId="77777777">
                            <w:pPr>
                              <w:pStyle w:val="TableParagraph"/>
                              <w:spacing w:before="1"/>
                              <w:ind w:left="-38"/>
                              <w:rPr>
                                <w:rFonts w:ascii="Calibri"/>
                                <w:sz w:val="18"/>
                              </w:rPr>
                            </w:pPr>
                            <w:r>
                              <w:rPr>
                                <w:rFonts w:ascii="Calibri"/>
                                <w:color w:val="68942C"/>
                                <w:spacing w:val="-2"/>
                                <w:sz w:val="18"/>
                              </w:rPr>
                              <w:t>Projected</w:t>
                            </w:r>
                          </w:p>
                          <w:p w:rsidR="00C31389" w:rsidRDefault="00561FBD" w14:paraId="4CF0AAD5" w14:textId="77777777">
                            <w:pPr>
                              <w:pStyle w:val="TableParagraph"/>
                              <w:spacing w:before="0"/>
                              <w:ind w:left="401" w:right="-87"/>
                              <w:rPr>
                                <w:rFonts w:ascii="Calibri"/>
                                <w:sz w:val="18"/>
                              </w:rPr>
                            </w:pPr>
                            <w:r>
                              <w:rPr>
                                <w:rFonts w:ascii="Calibri"/>
                                <w:color w:val="68942C"/>
                                <w:spacing w:val="-4"/>
                                <w:sz w:val="18"/>
                              </w:rPr>
                              <w:t>2019</w:t>
                            </w:r>
                          </w:p>
                        </w:tc>
                        <w:tc>
                          <w:tcPr>
                            <w:tcW w:w="700" w:type="dxa"/>
                          </w:tcPr>
                          <w:p w:rsidR="00C31389" w:rsidRDefault="00C31389" w14:paraId="47D69408" w14:textId="77777777">
                            <w:pPr>
                              <w:pStyle w:val="TableParagraph"/>
                              <w:spacing w:before="2"/>
                              <w:rPr>
                                <w:sz w:val="18"/>
                              </w:rPr>
                            </w:pPr>
                          </w:p>
                          <w:p w:rsidR="00C31389" w:rsidRDefault="00561FBD" w14:paraId="0DF9CAE7" w14:textId="77777777">
                            <w:pPr>
                              <w:pStyle w:val="TableParagraph"/>
                              <w:spacing w:before="1"/>
                              <w:ind w:left="6"/>
                              <w:rPr>
                                <w:rFonts w:ascii="Calibri"/>
                                <w:sz w:val="18"/>
                              </w:rPr>
                            </w:pPr>
                            <w:r>
                              <w:rPr>
                                <w:rFonts w:ascii="Calibri"/>
                                <w:color w:val="68942C"/>
                                <w:sz w:val="18"/>
                              </w:rPr>
                              <w:t>Cost</w:t>
                            </w:r>
                            <w:r>
                              <w:rPr>
                                <w:rFonts w:ascii="Calibri"/>
                                <w:color w:val="68942C"/>
                                <w:spacing w:val="-2"/>
                                <w:sz w:val="18"/>
                              </w:rPr>
                              <w:t xml:space="preserve"> </w:t>
                            </w:r>
                            <w:r>
                              <w:rPr>
                                <w:rFonts w:ascii="Calibri"/>
                                <w:color w:val="68942C"/>
                                <w:spacing w:val="-5"/>
                                <w:sz w:val="18"/>
                              </w:rPr>
                              <w:t>in</w:t>
                            </w:r>
                          </w:p>
                        </w:tc>
                        <w:tc>
                          <w:tcPr>
                            <w:tcW w:w="700" w:type="dxa"/>
                          </w:tcPr>
                          <w:p w:rsidR="00C31389" w:rsidRDefault="00C31389" w14:paraId="42E9CB25" w14:textId="77777777">
                            <w:pPr>
                              <w:pStyle w:val="TableParagraph"/>
                              <w:spacing w:before="0"/>
                              <w:rPr>
                                <w:rFonts w:ascii="Times New Roman"/>
                                <w:sz w:val="20"/>
                              </w:rPr>
                            </w:pPr>
                          </w:p>
                        </w:tc>
                        <w:tc>
                          <w:tcPr>
                            <w:tcW w:w="700" w:type="dxa"/>
                          </w:tcPr>
                          <w:p w:rsidR="00C31389" w:rsidRDefault="00C31389" w14:paraId="1E23325F" w14:textId="77777777">
                            <w:pPr>
                              <w:pStyle w:val="TableParagraph"/>
                              <w:spacing w:before="0"/>
                              <w:rPr>
                                <w:rFonts w:ascii="Times New Roman"/>
                                <w:sz w:val="20"/>
                              </w:rPr>
                            </w:pPr>
                          </w:p>
                        </w:tc>
                        <w:tc>
                          <w:tcPr>
                            <w:tcW w:w="700" w:type="dxa"/>
                          </w:tcPr>
                          <w:p w:rsidR="00C31389" w:rsidRDefault="00C31389" w14:paraId="47501784" w14:textId="77777777">
                            <w:pPr>
                              <w:pStyle w:val="TableParagraph"/>
                              <w:spacing w:before="0"/>
                              <w:rPr>
                                <w:rFonts w:ascii="Times New Roman"/>
                                <w:sz w:val="20"/>
                              </w:rPr>
                            </w:pPr>
                          </w:p>
                        </w:tc>
                        <w:tc>
                          <w:tcPr>
                            <w:tcW w:w="700" w:type="dxa"/>
                          </w:tcPr>
                          <w:p w:rsidR="00C31389" w:rsidRDefault="00C31389" w14:paraId="66A2F4D9" w14:textId="77777777">
                            <w:pPr>
                              <w:pStyle w:val="TableParagraph"/>
                              <w:spacing w:before="0"/>
                              <w:rPr>
                                <w:rFonts w:ascii="Times New Roman"/>
                                <w:sz w:val="20"/>
                              </w:rPr>
                            </w:pPr>
                          </w:p>
                        </w:tc>
                        <w:tc>
                          <w:tcPr>
                            <w:tcW w:w="700" w:type="dxa"/>
                          </w:tcPr>
                          <w:p w:rsidR="00C31389" w:rsidRDefault="00C31389" w14:paraId="14981721" w14:textId="77777777">
                            <w:pPr>
                              <w:pStyle w:val="TableParagraph"/>
                              <w:spacing w:before="0"/>
                              <w:rPr>
                                <w:rFonts w:ascii="Times New Roman"/>
                                <w:sz w:val="20"/>
                              </w:rPr>
                            </w:pPr>
                          </w:p>
                        </w:tc>
                      </w:tr>
                      <w:tr w:rsidR="00C31389" w14:paraId="19A806C6" w14:textId="77777777">
                        <w:trPr>
                          <w:trHeight w:val="180"/>
                        </w:trPr>
                        <w:tc>
                          <w:tcPr>
                            <w:tcW w:w="280" w:type="dxa"/>
                            <w:vMerge w:val="restart"/>
                            <w:tcBorders>
                              <w:left w:val="single" w:color="BEBEBE" w:sz="6" w:space="0"/>
                              <w:right w:val="nil"/>
                            </w:tcBorders>
                          </w:tcPr>
                          <w:p w:rsidR="00C31389" w:rsidRDefault="00C31389" w14:paraId="2E928E13" w14:textId="77777777">
                            <w:pPr>
                              <w:pStyle w:val="TableParagraph"/>
                              <w:spacing w:before="0"/>
                              <w:rPr>
                                <w:rFonts w:ascii="Times New Roman"/>
                                <w:sz w:val="20"/>
                              </w:rPr>
                            </w:pPr>
                          </w:p>
                        </w:tc>
                        <w:tc>
                          <w:tcPr>
                            <w:tcW w:w="420" w:type="dxa"/>
                            <w:tcBorders>
                              <w:left w:val="nil"/>
                              <w:bottom w:val="dotted" w:color="000000" w:sz="8" w:space="0"/>
                            </w:tcBorders>
                          </w:tcPr>
                          <w:p w:rsidR="00C31389" w:rsidRDefault="00C31389" w14:paraId="47613051"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76875CDA" w14:textId="77777777">
                            <w:pPr>
                              <w:pStyle w:val="TableParagraph"/>
                              <w:spacing w:before="0"/>
                              <w:rPr>
                                <w:rFonts w:ascii="Times New Roman"/>
                                <w:sz w:val="12"/>
                              </w:rPr>
                            </w:pPr>
                          </w:p>
                        </w:tc>
                        <w:tc>
                          <w:tcPr>
                            <w:tcW w:w="701" w:type="dxa"/>
                            <w:tcBorders>
                              <w:bottom w:val="dotted" w:color="000000" w:sz="8" w:space="0"/>
                            </w:tcBorders>
                          </w:tcPr>
                          <w:p w:rsidR="00C31389" w:rsidRDefault="00C31389" w14:paraId="420217B3"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6553F548"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60F5C164"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4F090B4B" w14:textId="77777777">
                            <w:pPr>
                              <w:pStyle w:val="TableParagraph"/>
                              <w:spacing w:before="0"/>
                              <w:rPr>
                                <w:rFonts w:ascii="Times New Roman"/>
                                <w:sz w:val="12"/>
                              </w:rPr>
                            </w:pPr>
                          </w:p>
                        </w:tc>
                        <w:tc>
                          <w:tcPr>
                            <w:tcW w:w="700" w:type="dxa"/>
                            <w:tcBorders>
                              <w:bottom w:val="dotted" w:color="000000" w:sz="8" w:space="0"/>
                            </w:tcBorders>
                          </w:tcPr>
                          <w:p w:rsidR="00C31389" w:rsidRDefault="00C31389" w14:paraId="290320A7" w14:textId="77777777">
                            <w:pPr>
                              <w:pStyle w:val="TableParagraph"/>
                              <w:spacing w:before="0"/>
                              <w:rPr>
                                <w:rFonts w:ascii="Times New Roman"/>
                                <w:sz w:val="12"/>
                              </w:rPr>
                            </w:pPr>
                          </w:p>
                        </w:tc>
                        <w:tc>
                          <w:tcPr>
                            <w:tcW w:w="700" w:type="dxa"/>
                            <w:vMerge w:val="restart"/>
                          </w:tcPr>
                          <w:p w:rsidR="00C31389" w:rsidRDefault="00561FBD" w14:paraId="7808696D" w14:textId="77777777">
                            <w:pPr>
                              <w:pStyle w:val="TableParagraph"/>
                              <w:spacing w:before="32"/>
                              <w:ind w:left="52"/>
                              <w:rPr>
                                <w:rFonts w:ascii="Calibri"/>
                                <w:sz w:val="18"/>
                              </w:rPr>
                            </w:pPr>
                            <w:r>
                              <w:rPr>
                                <w:rFonts w:ascii="Calibri"/>
                                <w:color w:val="404040"/>
                                <w:sz w:val="18"/>
                              </w:rPr>
                              <w:t>100%</w:t>
                            </w:r>
                            <w:r>
                              <w:rPr>
                                <w:rFonts w:ascii="Calibri"/>
                                <w:color w:val="404040"/>
                                <w:spacing w:val="-1"/>
                                <w:sz w:val="18"/>
                              </w:rPr>
                              <w:t xml:space="preserve"> </w:t>
                            </w:r>
                            <w:r>
                              <w:rPr>
                                <w:rFonts w:ascii="Calibri"/>
                                <w:color w:val="404040"/>
                                <w:spacing w:val="-5"/>
                                <w:sz w:val="18"/>
                              </w:rPr>
                              <w:t>of</w:t>
                            </w:r>
                          </w:p>
                        </w:tc>
                        <w:tc>
                          <w:tcPr>
                            <w:tcW w:w="700" w:type="dxa"/>
                            <w:vMerge w:val="restart"/>
                          </w:tcPr>
                          <w:p w:rsidR="00C31389" w:rsidRDefault="00561FBD" w14:paraId="75C174BA" w14:textId="77777777">
                            <w:pPr>
                              <w:pStyle w:val="TableParagraph"/>
                              <w:spacing w:before="32"/>
                              <w:ind w:left="-14" w:right="-44"/>
                              <w:rPr>
                                <w:rFonts w:ascii="Calibri"/>
                                <w:sz w:val="18"/>
                              </w:rPr>
                            </w:pPr>
                            <w:r>
                              <w:rPr>
                                <w:rFonts w:ascii="Calibri"/>
                                <w:color w:val="404040"/>
                                <w:sz w:val="18"/>
                              </w:rPr>
                              <w:t xml:space="preserve">2019 </w:t>
                            </w:r>
                            <w:r>
                              <w:rPr>
                                <w:rFonts w:ascii="Calibri"/>
                                <w:color w:val="404040"/>
                                <w:spacing w:val="-4"/>
                                <w:sz w:val="18"/>
                              </w:rPr>
                              <w:t>Cost</w:t>
                            </w:r>
                          </w:p>
                        </w:tc>
                      </w:tr>
                      <w:tr w:rsidR="00C31389" w14:paraId="20712BBF" w14:textId="77777777">
                        <w:trPr>
                          <w:trHeight w:val="599"/>
                        </w:trPr>
                        <w:tc>
                          <w:tcPr>
                            <w:tcW w:w="280" w:type="dxa"/>
                            <w:vMerge/>
                            <w:tcBorders>
                              <w:top w:val="nil"/>
                              <w:left w:val="single" w:color="BEBEBE" w:sz="6" w:space="0"/>
                              <w:right w:val="nil"/>
                            </w:tcBorders>
                          </w:tcPr>
                          <w:p w:rsidR="00C31389" w:rsidRDefault="00C31389" w14:paraId="5E188F80" w14:textId="77777777">
                            <w:pPr>
                              <w:rPr>
                                <w:sz w:val="2"/>
                                <w:szCs w:val="2"/>
                              </w:rPr>
                            </w:pPr>
                          </w:p>
                        </w:tc>
                        <w:tc>
                          <w:tcPr>
                            <w:tcW w:w="420" w:type="dxa"/>
                            <w:tcBorders>
                              <w:top w:val="dotted" w:color="000000" w:sz="8" w:space="0"/>
                              <w:left w:val="nil"/>
                            </w:tcBorders>
                          </w:tcPr>
                          <w:p w:rsidR="00C31389" w:rsidRDefault="00C31389" w14:paraId="6F461CD4"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6FCCF077" w14:textId="77777777">
                            <w:pPr>
                              <w:pStyle w:val="TableParagraph"/>
                              <w:spacing w:before="0"/>
                              <w:rPr>
                                <w:rFonts w:ascii="Times New Roman"/>
                                <w:sz w:val="20"/>
                              </w:rPr>
                            </w:pPr>
                          </w:p>
                        </w:tc>
                        <w:tc>
                          <w:tcPr>
                            <w:tcW w:w="701" w:type="dxa"/>
                            <w:tcBorders>
                              <w:top w:val="dotted" w:color="000000" w:sz="8" w:space="0"/>
                            </w:tcBorders>
                          </w:tcPr>
                          <w:p w:rsidR="00C31389" w:rsidRDefault="00C31389" w14:paraId="24320463"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2DDF06E2"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6017D96D"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0DFD15D3"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413AF05B" w14:textId="77777777">
                            <w:pPr>
                              <w:pStyle w:val="TableParagraph"/>
                              <w:spacing w:before="0"/>
                              <w:rPr>
                                <w:rFonts w:ascii="Times New Roman"/>
                                <w:sz w:val="20"/>
                              </w:rPr>
                            </w:pPr>
                          </w:p>
                        </w:tc>
                        <w:tc>
                          <w:tcPr>
                            <w:tcW w:w="700" w:type="dxa"/>
                            <w:vMerge/>
                            <w:tcBorders>
                              <w:top w:val="nil"/>
                            </w:tcBorders>
                          </w:tcPr>
                          <w:p w:rsidR="00C31389" w:rsidRDefault="00C31389" w14:paraId="0D23AF73" w14:textId="77777777">
                            <w:pPr>
                              <w:rPr>
                                <w:sz w:val="2"/>
                                <w:szCs w:val="2"/>
                              </w:rPr>
                            </w:pPr>
                          </w:p>
                        </w:tc>
                        <w:tc>
                          <w:tcPr>
                            <w:tcW w:w="700" w:type="dxa"/>
                            <w:vMerge/>
                            <w:tcBorders>
                              <w:top w:val="nil"/>
                            </w:tcBorders>
                          </w:tcPr>
                          <w:p w:rsidR="00C31389" w:rsidRDefault="00C31389" w14:paraId="2D0E80D5" w14:textId="77777777">
                            <w:pPr>
                              <w:rPr>
                                <w:sz w:val="2"/>
                                <w:szCs w:val="2"/>
                              </w:rPr>
                            </w:pPr>
                          </w:p>
                        </w:tc>
                      </w:tr>
                      <w:tr w:rsidR="00C31389" w14:paraId="1E547C94" w14:textId="77777777">
                        <w:trPr>
                          <w:trHeight w:val="151"/>
                        </w:trPr>
                        <w:tc>
                          <w:tcPr>
                            <w:tcW w:w="280" w:type="dxa"/>
                            <w:vMerge w:val="restart"/>
                            <w:tcBorders>
                              <w:left w:val="single" w:color="BEBEBE" w:sz="6" w:space="0"/>
                              <w:right w:val="nil"/>
                            </w:tcBorders>
                          </w:tcPr>
                          <w:p w:rsidR="00C31389" w:rsidRDefault="00C31389" w14:paraId="30A7F2FD" w14:textId="77777777">
                            <w:pPr>
                              <w:pStyle w:val="TableParagraph"/>
                              <w:spacing w:before="0"/>
                              <w:rPr>
                                <w:rFonts w:ascii="Times New Roman"/>
                                <w:sz w:val="20"/>
                              </w:rPr>
                            </w:pPr>
                          </w:p>
                        </w:tc>
                        <w:tc>
                          <w:tcPr>
                            <w:tcW w:w="420" w:type="dxa"/>
                            <w:tcBorders>
                              <w:left w:val="nil"/>
                              <w:bottom w:val="dotted" w:color="000000" w:sz="8" w:space="0"/>
                            </w:tcBorders>
                          </w:tcPr>
                          <w:p w:rsidR="00C31389" w:rsidRDefault="00C31389" w14:paraId="36219B05"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4244D0C1" w14:textId="77777777">
                            <w:pPr>
                              <w:pStyle w:val="TableParagraph"/>
                              <w:spacing w:before="0"/>
                              <w:rPr>
                                <w:rFonts w:ascii="Times New Roman"/>
                                <w:sz w:val="8"/>
                              </w:rPr>
                            </w:pPr>
                          </w:p>
                        </w:tc>
                        <w:tc>
                          <w:tcPr>
                            <w:tcW w:w="701" w:type="dxa"/>
                            <w:tcBorders>
                              <w:bottom w:val="dotted" w:color="000000" w:sz="8" w:space="0"/>
                            </w:tcBorders>
                          </w:tcPr>
                          <w:p w:rsidR="00C31389" w:rsidRDefault="00C31389" w14:paraId="65094FF5"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314D4DA9"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7DA91632"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5AC57925" w14:textId="77777777">
                            <w:pPr>
                              <w:pStyle w:val="TableParagraph"/>
                              <w:spacing w:before="0"/>
                              <w:rPr>
                                <w:rFonts w:ascii="Times New Roman"/>
                                <w:sz w:val="8"/>
                              </w:rPr>
                            </w:pPr>
                          </w:p>
                        </w:tc>
                        <w:tc>
                          <w:tcPr>
                            <w:tcW w:w="700" w:type="dxa"/>
                            <w:tcBorders>
                              <w:bottom w:val="dotted" w:color="000000" w:sz="8" w:space="0"/>
                            </w:tcBorders>
                          </w:tcPr>
                          <w:p w:rsidR="00C31389" w:rsidRDefault="00C31389" w14:paraId="64C55961" w14:textId="77777777">
                            <w:pPr>
                              <w:pStyle w:val="TableParagraph"/>
                              <w:spacing w:before="0"/>
                              <w:rPr>
                                <w:rFonts w:ascii="Times New Roman"/>
                                <w:sz w:val="8"/>
                              </w:rPr>
                            </w:pPr>
                          </w:p>
                        </w:tc>
                        <w:tc>
                          <w:tcPr>
                            <w:tcW w:w="700" w:type="dxa"/>
                            <w:vMerge w:val="restart"/>
                          </w:tcPr>
                          <w:p w:rsidR="00C31389" w:rsidRDefault="00561FBD" w14:paraId="0202CF62" w14:textId="77777777">
                            <w:pPr>
                              <w:pStyle w:val="TableParagraph"/>
                              <w:spacing w:before="0" w:line="140" w:lineRule="exact"/>
                              <w:ind w:left="28" w:right="-72"/>
                              <w:rPr>
                                <w:rFonts w:ascii="Calibri"/>
                                <w:sz w:val="18"/>
                              </w:rPr>
                            </w:pPr>
                            <w:r>
                              <w:rPr>
                                <w:rFonts w:ascii="Calibri"/>
                                <w:color w:val="404040"/>
                                <w:sz w:val="18"/>
                              </w:rPr>
                              <w:t>74%</w:t>
                            </w:r>
                            <w:r>
                              <w:rPr>
                                <w:rFonts w:ascii="Calibri"/>
                                <w:color w:val="404040"/>
                                <w:spacing w:val="-2"/>
                                <w:sz w:val="18"/>
                              </w:rPr>
                              <w:t xml:space="preserve"> </w:t>
                            </w:r>
                            <w:r>
                              <w:rPr>
                                <w:rFonts w:ascii="Calibri"/>
                                <w:color w:val="404040"/>
                                <w:sz w:val="18"/>
                              </w:rPr>
                              <w:t xml:space="preserve">of </w:t>
                            </w:r>
                            <w:r>
                              <w:rPr>
                                <w:rFonts w:ascii="Calibri"/>
                                <w:color w:val="404040"/>
                                <w:spacing w:val="-5"/>
                                <w:sz w:val="18"/>
                              </w:rPr>
                              <w:t>20</w:t>
                            </w:r>
                          </w:p>
                        </w:tc>
                        <w:tc>
                          <w:tcPr>
                            <w:tcW w:w="700" w:type="dxa"/>
                            <w:vMerge w:val="restart"/>
                          </w:tcPr>
                          <w:p w:rsidR="00C31389" w:rsidRDefault="00561FBD" w14:paraId="40DAA0B8" w14:textId="77777777">
                            <w:pPr>
                              <w:pStyle w:val="TableParagraph"/>
                              <w:spacing w:before="0" w:line="140" w:lineRule="exact"/>
                              <w:ind w:left="53"/>
                              <w:rPr>
                                <w:rFonts w:ascii="Calibri"/>
                                <w:sz w:val="18"/>
                              </w:rPr>
                            </w:pPr>
                            <w:r>
                              <w:rPr>
                                <w:rFonts w:ascii="Calibri"/>
                                <w:color w:val="404040"/>
                                <w:sz w:val="18"/>
                              </w:rPr>
                              <w:t xml:space="preserve">19 </w:t>
                            </w:r>
                            <w:r>
                              <w:rPr>
                                <w:rFonts w:ascii="Calibri"/>
                                <w:color w:val="404040"/>
                                <w:spacing w:val="-4"/>
                                <w:sz w:val="18"/>
                              </w:rPr>
                              <w:t>Cost</w:t>
                            </w:r>
                          </w:p>
                        </w:tc>
                      </w:tr>
                      <w:tr w:rsidR="00C31389" w14:paraId="2B1A1572" w14:textId="77777777">
                        <w:trPr>
                          <w:trHeight w:val="629"/>
                        </w:trPr>
                        <w:tc>
                          <w:tcPr>
                            <w:tcW w:w="280" w:type="dxa"/>
                            <w:vMerge/>
                            <w:tcBorders>
                              <w:top w:val="nil"/>
                              <w:left w:val="single" w:color="BEBEBE" w:sz="6" w:space="0"/>
                              <w:right w:val="nil"/>
                            </w:tcBorders>
                          </w:tcPr>
                          <w:p w:rsidR="00C31389" w:rsidRDefault="00C31389" w14:paraId="2A3BFA0E" w14:textId="77777777">
                            <w:pPr>
                              <w:rPr>
                                <w:sz w:val="2"/>
                                <w:szCs w:val="2"/>
                              </w:rPr>
                            </w:pPr>
                          </w:p>
                        </w:tc>
                        <w:tc>
                          <w:tcPr>
                            <w:tcW w:w="420" w:type="dxa"/>
                            <w:tcBorders>
                              <w:top w:val="dotted" w:color="000000" w:sz="8" w:space="0"/>
                              <w:left w:val="nil"/>
                            </w:tcBorders>
                          </w:tcPr>
                          <w:p w:rsidR="00C31389" w:rsidRDefault="00C31389" w14:paraId="59F4BF14"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1D5353DC" w14:textId="77777777">
                            <w:pPr>
                              <w:pStyle w:val="TableParagraph"/>
                              <w:spacing w:before="0"/>
                              <w:rPr>
                                <w:rFonts w:ascii="Times New Roman"/>
                                <w:sz w:val="20"/>
                              </w:rPr>
                            </w:pPr>
                          </w:p>
                        </w:tc>
                        <w:tc>
                          <w:tcPr>
                            <w:tcW w:w="701" w:type="dxa"/>
                            <w:tcBorders>
                              <w:top w:val="dotted" w:color="000000" w:sz="8" w:space="0"/>
                            </w:tcBorders>
                          </w:tcPr>
                          <w:p w:rsidR="00C31389" w:rsidRDefault="00C31389" w14:paraId="20C4E07D" w14:textId="77777777">
                            <w:pPr>
                              <w:pStyle w:val="TableParagraph"/>
                              <w:spacing w:before="0"/>
                              <w:rPr>
                                <w:sz w:val="18"/>
                              </w:rPr>
                            </w:pPr>
                          </w:p>
                          <w:p w:rsidR="00C31389" w:rsidRDefault="00C31389" w14:paraId="3BE4CC6A" w14:textId="77777777">
                            <w:pPr>
                              <w:pStyle w:val="TableParagraph"/>
                              <w:spacing w:before="5"/>
                              <w:rPr>
                                <w:sz w:val="20"/>
                              </w:rPr>
                            </w:pPr>
                          </w:p>
                          <w:p w:rsidR="00C31389" w:rsidRDefault="00561FBD" w14:paraId="5382D067" w14:textId="77777777">
                            <w:pPr>
                              <w:pStyle w:val="TableParagraph"/>
                              <w:spacing w:before="0" w:line="167" w:lineRule="exact"/>
                              <w:ind w:left="56"/>
                              <w:rPr>
                                <w:rFonts w:ascii="Calibri"/>
                                <w:sz w:val="18"/>
                              </w:rPr>
                            </w:pPr>
                            <w:r>
                              <w:rPr>
                                <w:rFonts w:ascii="Calibri"/>
                                <w:color w:val="68942C"/>
                                <w:spacing w:val="-2"/>
                                <w:sz w:val="18"/>
                              </w:rPr>
                              <w:t>Projecte</w:t>
                            </w:r>
                          </w:p>
                        </w:tc>
                        <w:tc>
                          <w:tcPr>
                            <w:tcW w:w="700" w:type="dxa"/>
                            <w:tcBorders>
                              <w:top w:val="dotted" w:color="000000" w:sz="8" w:space="0"/>
                            </w:tcBorders>
                          </w:tcPr>
                          <w:p w:rsidR="00C31389" w:rsidRDefault="00C31389" w14:paraId="5C81EDB6" w14:textId="77777777">
                            <w:pPr>
                              <w:pStyle w:val="TableParagraph"/>
                              <w:spacing w:before="0"/>
                              <w:rPr>
                                <w:sz w:val="18"/>
                              </w:rPr>
                            </w:pPr>
                          </w:p>
                          <w:p w:rsidR="00C31389" w:rsidRDefault="00C31389" w14:paraId="7F894757" w14:textId="77777777">
                            <w:pPr>
                              <w:pStyle w:val="TableParagraph"/>
                              <w:spacing w:before="5"/>
                              <w:rPr>
                                <w:sz w:val="20"/>
                              </w:rPr>
                            </w:pPr>
                          </w:p>
                          <w:p w:rsidR="00C31389" w:rsidRDefault="00561FBD" w14:paraId="5082C7D8" w14:textId="77777777">
                            <w:pPr>
                              <w:pStyle w:val="TableParagraph"/>
                              <w:spacing w:before="0" w:line="167" w:lineRule="exact"/>
                              <w:ind w:left="-36"/>
                              <w:rPr>
                                <w:rFonts w:ascii="Calibri"/>
                                <w:sz w:val="18"/>
                              </w:rPr>
                            </w:pPr>
                            <w:r>
                              <w:rPr>
                                <w:rFonts w:ascii="Calibri"/>
                                <w:color w:val="68942C"/>
                                <w:sz w:val="18"/>
                              </w:rPr>
                              <w:t>d Cost</w:t>
                            </w:r>
                            <w:r>
                              <w:rPr>
                                <w:rFonts w:ascii="Calibri"/>
                                <w:color w:val="68942C"/>
                                <w:spacing w:val="-1"/>
                                <w:sz w:val="18"/>
                              </w:rPr>
                              <w:t xml:space="preserve"> </w:t>
                            </w:r>
                            <w:r>
                              <w:rPr>
                                <w:rFonts w:ascii="Calibri"/>
                                <w:color w:val="68942C"/>
                                <w:spacing w:val="-5"/>
                                <w:sz w:val="18"/>
                              </w:rPr>
                              <w:t>in</w:t>
                            </w:r>
                          </w:p>
                        </w:tc>
                        <w:tc>
                          <w:tcPr>
                            <w:tcW w:w="700" w:type="dxa"/>
                            <w:tcBorders>
                              <w:top w:val="dotted" w:color="000000" w:sz="8" w:space="0"/>
                            </w:tcBorders>
                          </w:tcPr>
                          <w:p w:rsidR="00C31389" w:rsidRDefault="00C31389" w14:paraId="44399165"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6F8BA70E" w14:textId="77777777">
                            <w:pPr>
                              <w:pStyle w:val="TableParagraph"/>
                              <w:spacing w:before="0"/>
                              <w:rPr>
                                <w:rFonts w:ascii="Times New Roman"/>
                                <w:sz w:val="20"/>
                              </w:rPr>
                            </w:pPr>
                          </w:p>
                        </w:tc>
                        <w:tc>
                          <w:tcPr>
                            <w:tcW w:w="700" w:type="dxa"/>
                            <w:tcBorders>
                              <w:top w:val="dotted" w:color="000000" w:sz="8" w:space="0"/>
                            </w:tcBorders>
                          </w:tcPr>
                          <w:p w:rsidR="00C31389" w:rsidRDefault="00C31389" w14:paraId="5B94BC58" w14:textId="77777777">
                            <w:pPr>
                              <w:pStyle w:val="TableParagraph"/>
                              <w:spacing w:before="0"/>
                              <w:rPr>
                                <w:rFonts w:ascii="Times New Roman"/>
                                <w:sz w:val="20"/>
                              </w:rPr>
                            </w:pPr>
                          </w:p>
                        </w:tc>
                        <w:tc>
                          <w:tcPr>
                            <w:tcW w:w="700" w:type="dxa"/>
                            <w:vMerge/>
                            <w:tcBorders>
                              <w:top w:val="nil"/>
                            </w:tcBorders>
                          </w:tcPr>
                          <w:p w:rsidR="00C31389" w:rsidRDefault="00C31389" w14:paraId="740A6A56" w14:textId="77777777">
                            <w:pPr>
                              <w:rPr>
                                <w:sz w:val="2"/>
                                <w:szCs w:val="2"/>
                              </w:rPr>
                            </w:pPr>
                          </w:p>
                        </w:tc>
                        <w:tc>
                          <w:tcPr>
                            <w:tcW w:w="700" w:type="dxa"/>
                            <w:vMerge/>
                            <w:tcBorders>
                              <w:top w:val="nil"/>
                            </w:tcBorders>
                          </w:tcPr>
                          <w:p w:rsidR="00C31389" w:rsidRDefault="00C31389" w14:paraId="4E9E546F" w14:textId="77777777">
                            <w:pPr>
                              <w:rPr>
                                <w:sz w:val="2"/>
                                <w:szCs w:val="2"/>
                              </w:rPr>
                            </w:pPr>
                          </w:p>
                        </w:tc>
                      </w:tr>
                      <w:tr w:rsidR="00C31389" w14:paraId="11620F5E" w14:textId="77777777">
                        <w:trPr>
                          <w:trHeight w:val="799"/>
                        </w:trPr>
                        <w:tc>
                          <w:tcPr>
                            <w:tcW w:w="700" w:type="dxa"/>
                            <w:gridSpan w:val="2"/>
                            <w:tcBorders>
                              <w:left w:val="single" w:color="BEBEBE" w:sz="6" w:space="0"/>
                            </w:tcBorders>
                          </w:tcPr>
                          <w:p w:rsidR="00C31389" w:rsidRDefault="00C31389" w14:paraId="22B57834" w14:textId="77777777">
                            <w:pPr>
                              <w:pStyle w:val="TableParagraph"/>
                              <w:spacing w:before="0"/>
                              <w:rPr>
                                <w:rFonts w:ascii="Times New Roman"/>
                                <w:sz w:val="20"/>
                              </w:rPr>
                            </w:pPr>
                          </w:p>
                        </w:tc>
                        <w:tc>
                          <w:tcPr>
                            <w:tcW w:w="700" w:type="dxa"/>
                          </w:tcPr>
                          <w:p w:rsidR="00C31389" w:rsidRDefault="00C31389" w14:paraId="26D128CD" w14:textId="77777777">
                            <w:pPr>
                              <w:pStyle w:val="TableParagraph"/>
                              <w:spacing w:before="0"/>
                              <w:rPr>
                                <w:rFonts w:ascii="Times New Roman"/>
                                <w:sz w:val="20"/>
                              </w:rPr>
                            </w:pPr>
                          </w:p>
                        </w:tc>
                        <w:tc>
                          <w:tcPr>
                            <w:tcW w:w="701" w:type="dxa"/>
                          </w:tcPr>
                          <w:p w:rsidR="00C31389" w:rsidRDefault="00561FBD" w14:paraId="41170602" w14:textId="77777777">
                            <w:pPr>
                              <w:pStyle w:val="TableParagraph"/>
                              <w:spacing w:before="17"/>
                              <w:ind w:right="-87"/>
                              <w:jc w:val="right"/>
                              <w:rPr>
                                <w:rFonts w:ascii="Calibri"/>
                                <w:sz w:val="18"/>
                              </w:rPr>
                            </w:pPr>
                            <w:r>
                              <w:rPr>
                                <w:rFonts w:ascii="Calibri"/>
                                <w:color w:val="68942C"/>
                                <w:spacing w:val="-5"/>
                                <w:sz w:val="18"/>
                              </w:rPr>
                              <w:t>203</w:t>
                            </w:r>
                          </w:p>
                        </w:tc>
                        <w:tc>
                          <w:tcPr>
                            <w:tcW w:w="700" w:type="dxa"/>
                          </w:tcPr>
                          <w:p w:rsidR="00C31389" w:rsidRDefault="00561FBD" w14:paraId="2B4E43C9" w14:textId="77777777">
                            <w:pPr>
                              <w:pStyle w:val="TableParagraph"/>
                              <w:spacing w:before="17"/>
                              <w:ind w:left="68"/>
                              <w:rPr>
                                <w:rFonts w:ascii="Calibri"/>
                                <w:sz w:val="18"/>
                              </w:rPr>
                            </w:pPr>
                            <w:r>
                              <w:rPr>
                                <w:rFonts w:ascii="Calibri"/>
                                <w:color w:val="68942C"/>
                                <w:sz w:val="18"/>
                              </w:rPr>
                              <w:t>2</w:t>
                            </w:r>
                          </w:p>
                        </w:tc>
                        <w:tc>
                          <w:tcPr>
                            <w:tcW w:w="700" w:type="dxa"/>
                          </w:tcPr>
                          <w:p w:rsidR="00C31389" w:rsidRDefault="00C31389" w14:paraId="748B2D50" w14:textId="77777777">
                            <w:pPr>
                              <w:pStyle w:val="TableParagraph"/>
                              <w:spacing w:before="0"/>
                              <w:rPr>
                                <w:rFonts w:ascii="Times New Roman"/>
                                <w:sz w:val="20"/>
                              </w:rPr>
                            </w:pPr>
                          </w:p>
                        </w:tc>
                        <w:tc>
                          <w:tcPr>
                            <w:tcW w:w="700" w:type="dxa"/>
                          </w:tcPr>
                          <w:p w:rsidR="00C31389" w:rsidRDefault="00C31389" w14:paraId="1A565837" w14:textId="77777777">
                            <w:pPr>
                              <w:pStyle w:val="TableParagraph"/>
                              <w:spacing w:before="0"/>
                              <w:rPr>
                                <w:rFonts w:ascii="Times New Roman"/>
                                <w:sz w:val="20"/>
                              </w:rPr>
                            </w:pPr>
                          </w:p>
                        </w:tc>
                        <w:tc>
                          <w:tcPr>
                            <w:tcW w:w="700" w:type="dxa"/>
                          </w:tcPr>
                          <w:p w:rsidR="00C31389" w:rsidRDefault="00C31389" w14:paraId="7D82FD16" w14:textId="77777777">
                            <w:pPr>
                              <w:pStyle w:val="TableParagraph"/>
                              <w:spacing w:before="0"/>
                              <w:rPr>
                                <w:rFonts w:ascii="Times New Roman"/>
                                <w:sz w:val="20"/>
                              </w:rPr>
                            </w:pPr>
                          </w:p>
                        </w:tc>
                        <w:tc>
                          <w:tcPr>
                            <w:tcW w:w="700" w:type="dxa"/>
                          </w:tcPr>
                          <w:p w:rsidR="00C31389" w:rsidRDefault="00C31389" w14:paraId="25341D4B" w14:textId="77777777">
                            <w:pPr>
                              <w:pStyle w:val="TableParagraph"/>
                              <w:spacing w:before="0"/>
                              <w:rPr>
                                <w:sz w:val="18"/>
                              </w:rPr>
                            </w:pPr>
                          </w:p>
                          <w:p w:rsidR="00C31389" w:rsidRDefault="00C31389" w14:paraId="5B549A17" w14:textId="77777777">
                            <w:pPr>
                              <w:pStyle w:val="TableParagraph"/>
                              <w:spacing w:before="0"/>
                              <w:rPr>
                                <w:sz w:val="18"/>
                              </w:rPr>
                            </w:pPr>
                          </w:p>
                          <w:p w:rsidR="00C31389" w:rsidRDefault="00C31389" w14:paraId="57A84802" w14:textId="77777777">
                            <w:pPr>
                              <w:pStyle w:val="TableParagraph"/>
                              <w:spacing w:before="8"/>
                              <w:rPr>
                                <w:sz w:val="21"/>
                              </w:rPr>
                            </w:pPr>
                          </w:p>
                          <w:p w:rsidR="00C31389" w:rsidRDefault="00561FBD" w14:paraId="6DDF64E4" w14:textId="77777777">
                            <w:pPr>
                              <w:pStyle w:val="TableParagraph"/>
                              <w:spacing w:before="0" w:line="116" w:lineRule="exact"/>
                              <w:ind w:left="338" w:right="-44"/>
                              <w:rPr>
                                <w:rFonts w:ascii="Calibri"/>
                                <w:sz w:val="18"/>
                              </w:rPr>
                            </w:pPr>
                            <w:r>
                              <w:rPr>
                                <w:rFonts w:ascii="Calibri"/>
                                <w:color w:val="68942C"/>
                                <w:spacing w:val="-4"/>
                                <w:sz w:val="18"/>
                              </w:rPr>
                              <w:t>NREL</w:t>
                            </w:r>
                          </w:p>
                        </w:tc>
                        <w:tc>
                          <w:tcPr>
                            <w:tcW w:w="700" w:type="dxa"/>
                          </w:tcPr>
                          <w:p w:rsidR="00C31389" w:rsidRDefault="00C31389" w14:paraId="2E2E7BCF" w14:textId="77777777">
                            <w:pPr>
                              <w:pStyle w:val="TableParagraph"/>
                              <w:spacing w:before="0"/>
                              <w:rPr>
                                <w:sz w:val="18"/>
                              </w:rPr>
                            </w:pPr>
                          </w:p>
                          <w:p w:rsidR="00C31389" w:rsidRDefault="00C31389" w14:paraId="48508D24" w14:textId="77777777">
                            <w:pPr>
                              <w:pStyle w:val="TableParagraph"/>
                              <w:spacing w:before="0"/>
                              <w:rPr>
                                <w:sz w:val="18"/>
                              </w:rPr>
                            </w:pPr>
                          </w:p>
                          <w:p w:rsidR="00C31389" w:rsidRDefault="00C31389" w14:paraId="554368DB" w14:textId="77777777">
                            <w:pPr>
                              <w:pStyle w:val="TableParagraph"/>
                              <w:spacing w:before="8"/>
                              <w:rPr>
                                <w:sz w:val="21"/>
                              </w:rPr>
                            </w:pPr>
                          </w:p>
                          <w:p w:rsidR="00C31389" w:rsidRDefault="00561FBD" w14:paraId="161A7E0A" w14:textId="77777777">
                            <w:pPr>
                              <w:pStyle w:val="TableParagraph"/>
                              <w:spacing w:before="0" w:line="116" w:lineRule="exact"/>
                              <w:ind w:left="56" w:right="-101"/>
                              <w:rPr>
                                <w:rFonts w:ascii="Calibri"/>
                                <w:sz w:val="18"/>
                              </w:rPr>
                            </w:pPr>
                            <w:r>
                              <w:rPr>
                                <w:rFonts w:ascii="Calibri"/>
                                <w:color w:val="68942C"/>
                                <w:sz w:val="18"/>
                              </w:rPr>
                              <w:t>Cost</w:t>
                            </w:r>
                            <w:r>
                              <w:rPr>
                                <w:rFonts w:ascii="Calibri"/>
                                <w:color w:val="68942C"/>
                                <w:spacing w:val="-4"/>
                                <w:sz w:val="18"/>
                              </w:rPr>
                              <w:t xml:space="preserve"> </w:t>
                            </w:r>
                            <w:r>
                              <w:rPr>
                                <w:rFonts w:ascii="Calibri"/>
                                <w:color w:val="68942C"/>
                                <w:sz w:val="18"/>
                              </w:rPr>
                              <w:t xml:space="preserve">in </w:t>
                            </w:r>
                            <w:r>
                              <w:rPr>
                                <w:rFonts w:ascii="Calibri"/>
                                <w:color w:val="68942C"/>
                                <w:spacing w:val="-5"/>
                                <w:sz w:val="18"/>
                              </w:rPr>
                              <w:t>20</w:t>
                            </w:r>
                          </w:p>
                        </w:tc>
                      </w:tr>
                      <w:tr w:rsidR="00C31389" w14:paraId="7A99A7FD" w14:textId="77777777">
                        <w:trPr>
                          <w:trHeight w:val="800"/>
                        </w:trPr>
                        <w:tc>
                          <w:tcPr>
                            <w:tcW w:w="700" w:type="dxa"/>
                            <w:gridSpan w:val="2"/>
                            <w:tcBorders>
                              <w:left w:val="single" w:color="BEBEBE" w:sz="6" w:space="0"/>
                              <w:bottom w:val="single" w:color="BEBEBE" w:sz="6" w:space="0"/>
                            </w:tcBorders>
                          </w:tcPr>
                          <w:p w:rsidR="00C31389" w:rsidRDefault="00C31389" w14:paraId="79F4326E"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283FA963" w14:textId="77777777">
                            <w:pPr>
                              <w:pStyle w:val="TableParagraph"/>
                              <w:spacing w:before="0"/>
                              <w:rPr>
                                <w:rFonts w:ascii="Times New Roman"/>
                                <w:sz w:val="20"/>
                              </w:rPr>
                            </w:pPr>
                          </w:p>
                        </w:tc>
                        <w:tc>
                          <w:tcPr>
                            <w:tcW w:w="701" w:type="dxa"/>
                            <w:tcBorders>
                              <w:bottom w:val="single" w:color="BEBEBE" w:sz="6" w:space="0"/>
                            </w:tcBorders>
                          </w:tcPr>
                          <w:p w:rsidR="00C31389" w:rsidRDefault="00C31389" w14:paraId="2D520585"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3EAA8EE4"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303896EC"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0602AA43"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2F4A8D9B"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5A272ECD" w14:textId="77777777">
                            <w:pPr>
                              <w:pStyle w:val="TableParagraph"/>
                              <w:spacing w:before="0"/>
                              <w:rPr>
                                <w:rFonts w:ascii="Times New Roman"/>
                                <w:sz w:val="20"/>
                              </w:rPr>
                            </w:pPr>
                          </w:p>
                        </w:tc>
                        <w:tc>
                          <w:tcPr>
                            <w:tcW w:w="700" w:type="dxa"/>
                            <w:tcBorders>
                              <w:bottom w:val="single" w:color="BEBEBE" w:sz="6" w:space="0"/>
                            </w:tcBorders>
                          </w:tcPr>
                          <w:p w:rsidR="00C31389" w:rsidRDefault="00C31389" w14:paraId="2C3B50DB" w14:textId="77777777">
                            <w:pPr>
                              <w:pStyle w:val="TableParagraph"/>
                              <w:spacing w:before="0"/>
                              <w:rPr>
                                <w:rFonts w:ascii="Times New Roman"/>
                                <w:sz w:val="20"/>
                              </w:rPr>
                            </w:pPr>
                          </w:p>
                        </w:tc>
                      </w:tr>
                    </w:tbl>
                    <w:p w:rsidR="00C31389" w:rsidRDefault="00C31389" w14:paraId="73CE8B38" w14:textId="77777777">
                      <w:pPr>
                        <w:pStyle w:val="BodyText"/>
                      </w:pPr>
                    </w:p>
                  </w:txbxContent>
                </v:textbox>
                <w10:wrap anchorx="page"/>
              </v:shape>
            </w:pict>
          </mc:Fallback>
        </mc:AlternateContent>
      </w:r>
      <w:r>
        <w:rPr>
          <w:rFonts w:ascii="Calibri"/>
          <w:spacing w:val="-2"/>
          <w:sz w:val="18"/>
        </w:rPr>
        <w:t>$2,500</w:t>
      </w:r>
    </w:p>
    <w:p w:rsidR="00C31389" w:rsidRDefault="00C31389" w14:paraId="29D5D58D" w14:textId="77777777">
      <w:pPr>
        <w:pStyle w:val="BodyText"/>
        <w:rPr>
          <w:rFonts w:ascii="Calibri"/>
          <w:sz w:val="18"/>
        </w:rPr>
      </w:pPr>
    </w:p>
    <w:p w:rsidR="00C31389" w:rsidRDefault="00C31389" w14:paraId="0B6E588B" w14:textId="77777777">
      <w:pPr>
        <w:pStyle w:val="BodyText"/>
        <w:rPr>
          <w:rFonts w:ascii="Calibri"/>
          <w:sz w:val="18"/>
        </w:rPr>
      </w:pPr>
    </w:p>
    <w:p w:rsidR="00C31389" w:rsidRDefault="00561FBD" w14:paraId="23478991" w14:textId="77777777">
      <w:pPr>
        <w:spacing w:before="157"/>
        <w:ind w:left="1565"/>
        <w:rPr>
          <w:rFonts w:ascii="Calibri"/>
          <w:sz w:val="18"/>
        </w:rPr>
      </w:pPr>
      <w:r>
        <w:rPr>
          <w:noProof/>
        </w:rPr>
        <mc:AlternateContent>
          <mc:Choice Requires="wpg">
            <w:drawing>
              <wp:anchor distT="0" distB="0" distL="0" distR="0" simplePos="0" relativeHeight="15828480" behindDoc="0" locked="0" layoutInCell="1" allowOverlap="1" wp14:editId="58E7F860" wp14:anchorId="0F194E92">
                <wp:simplePos x="0" y="0"/>
                <wp:positionH relativeFrom="page">
                  <wp:posOffset>2477761</wp:posOffset>
                </wp:positionH>
                <wp:positionV relativeFrom="paragraph">
                  <wp:posOffset>56692</wp:posOffset>
                </wp:positionV>
                <wp:extent cx="3328035" cy="1566545"/>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8035" cy="1566545"/>
                          <a:chOff x="0" y="0"/>
                          <a:chExt cx="3328035" cy="1566545"/>
                        </a:xfrm>
                      </wpg:grpSpPr>
                      <wps:wsp>
                        <wps:cNvPr id="645" name="Graphic 645"/>
                        <wps:cNvSpPr/>
                        <wps:spPr>
                          <a:xfrm>
                            <a:off x="76780" y="97503"/>
                            <a:ext cx="62865" cy="62865"/>
                          </a:xfrm>
                          <a:custGeom>
                            <a:avLst/>
                            <a:gdLst/>
                            <a:ahLst/>
                            <a:cxnLst/>
                            <a:rect l="l" t="t" r="r" b="b"/>
                            <a:pathLst>
                              <a:path w="62865" h="62865">
                                <a:moveTo>
                                  <a:pt x="31241" y="0"/>
                                </a:moveTo>
                                <a:lnTo>
                                  <a:pt x="19079" y="2454"/>
                                </a:lnTo>
                                <a:lnTo>
                                  <a:pt x="9148" y="9148"/>
                                </a:lnTo>
                                <a:lnTo>
                                  <a:pt x="2454" y="19079"/>
                                </a:lnTo>
                                <a:lnTo>
                                  <a:pt x="0" y="31241"/>
                                </a:lnTo>
                                <a:lnTo>
                                  <a:pt x="2454" y="43404"/>
                                </a:lnTo>
                                <a:lnTo>
                                  <a:pt x="9148" y="53335"/>
                                </a:lnTo>
                                <a:lnTo>
                                  <a:pt x="19079" y="60029"/>
                                </a:lnTo>
                                <a:lnTo>
                                  <a:pt x="31241" y="62483"/>
                                </a:lnTo>
                                <a:lnTo>
                                  <a:pt x="43404" y="60029"/>
                                </a:lnTo>
                                <a:lnTo>
                                  <a:pt x="53335" y="53335"/>
                                </a:lnTo>
                                <a:lnTo>
                                  <a:pt x="60029" y="43404"/>
                                </a:lnTo>
                                <a:lnTo>
                                  <a:pt x="62483" y="31241"/>
                                </a:lnTo>
                                <a:lnTo>
                                  <a:pt x="60029" y="19079"/>
                                </a:lnTo>
                                <a:lnTo>
                                  <a:pt x="53335" y="9148"/>
                                </a:lnTo>
                                <a:lnTo>
                                  <a:pt x="43404" y="2454"/>
                                </a:lnTo>
                                <a:lnTo>
                                  <a:pt x="31241" y="0"/>
                                </a:lnTo>
                                <a:close/>
                              </a:path>
                            </a:pathLst>
                          </a:custGeom>
                          <a:solidFill>
                            <a:srgbClr val="92D400"/>
                          </a:solidFill>
                        </wps:spPr>
                        <wps:bodyPr wrap="square" lIns="0" tIns="0" rIns="0" bIns="0" rtlCol="0">
                          <a:prstTxWarp prst="textNoShape">
                            <a:avLst/>
                          </a:prstTxWarp>
                          <a:noAutofit/>
                        </wps:bodyPr>
                      </wps:wsp>
                      <wps:wsp>
                        <wps:cNvPr id="646" name="Graphic 646"/>
                        <wps:cNvSpPr/>
                        <wps:spPr>
                          <a:xfrm>
                            <a:off x="76780" y="97503"/>
                            <a:ext cx="62865" cy="62865"/>
                          </a:xfrm>
                          <a:custGeom>
                            <a:avLst/>
                            <a:gdLst/>
                            <a:ahLst/>
                            <a:cxnLst/>
                            <a:rect l="l" t="t" r="r" b="b"/>
                            <a:pathLst>
                              <a:path w="62865" h="62865">
                                <a:moveTo>
                                  <a:pt x="62483" y="31241"/>
                                </a:moveTo>
                                <a:lnTo>
                                  <a:pt x="60029" y="43404"/>
                                </a:lnTo>
                                <a:lnTo>
                                  <a:pt x="53335" y="53335"/>
                                </a:lnTo>
                                <a:lnTo>
                                  <a:pt x="43404" y="60029"/>
                                </a:lnTo>
                                <a:lnTo>
                                  <a:pt x="31241" y="62483"/>
                                </a:lnTo>
                                <a:lnTo>
                                  <a:pt x="19079" y="60029"/>
                                </a:lnTo>
                                <a:lnTo>
                                  <a:pt x="9148" y="53335"/>
                                </a:lnTo>
                                <a:lnTo>
                                  <a:pt x="2454" y="43404"/>
                                </a:lnTo>
                                <a:lnTo>
                                  <a:pt x="0" y="31241"/>
                                </a:lnTo>
                                <a:lnTo>
                                  <a:pt x="2454" y="19079"/>
                                </a:lnTo>
                                <a:lnTo>
                                  <a:pt x="9148" y="9148"/>
                                </a:lnTo>
                                <a:lnTo>
                                  <a:pt x="19079" y="2454"/>
                                </a:lnTo>
                                <a:lnTo>
                                  <a:pt x="31241" y="0"/>
                                </a:lnTo>
                                <a:lnTo>
                                  <a:pt x="43404" y="2454"/>
                                </a:lnTo>
                                <a:lnTo>
                                  <a:pt x="53335" y="9148"/>
                                </a:lnTo>
                                <a:lnTo>
                                  <a:pt x="60029" y="19079"/>
                                </a:lnTo>
                                <a:lnTo>
                                  <a:pt x="62483" y="31241"/>
                                </a:lnTo>
                                <a:close/>
                              </a:path>
                            </a:pathLst>
                          </a:custGeom>
                          <a:ln w="9525">
                            <a:solidFill>
                              <a:srgbClr val="92D400"/>
                            </a:solidFill>
                            <a:prstDash val="solid"/>
                          </a:ln>
                        </wps:spPr>
                        <wps:bodyPr wrap="square" lIns="0" tIns="0" rIns="0" bIns="0" rtlCol="0">
                          <a:prstTxWarp prst="textNoShape">
                            <a:avLst/>
                          </a:prstTxWarp>
                          <a:noAutofit/>
                        </wps:bodyPr>
                      </wps:wsp>
                      <wps:wsp>
                        <wps:cNvPr id="647" name="Graphic 647"/>
                        <wps:cNvSpPr/>
                        <wps:spPr>
                          <a:xfrm>
                            <a:off x="4762" y="4762"/>
                            <a:ext cx="104775" cy="125095"/>
                          </a:xfrm>
                          <a:custGeom>
                            <a:avLst/>
                            <a:gdLst/>
                            <a:ahLst/>
                            <a:cxnLst/>
                            <a:rect l="l" t="t" r="r" b="b"/>
                            <a:pathLst>
                              <a:path w="104775" h="125095">
                                <a:moveTo>
                                  <a:pt x="104406" y="124548"/>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648" name="Graphic 648"/>
                        <wps:cNvSpPr/>
                        <wps:spPr>
                          <a:xfrm>
                            <a:off x="3098872" y="1402809"/>
                            <a:ext cx="62865" cy="62865"/>
                          </a:xfrm>
                          <a:custGeom>
                            <a:avLst/>
                            <a:gdLst/>
                            <a:ahLst/>
                            <a:cxnLst/>
                            <a:rect l="l" t="t" r="r" b="b"/>
                            <a:pathLst>
                              <a:path w="62865" h="62865">
                                <a:moveTo>
                                  <a:pt x="31242" y="0"/>
                                </a:moveTo>
                                <a:lnTo>
                                  <a:pt x="19079" y="2454"/>
                                </a:lnTo>
                                <a:lnTo>
                                  <a:pt x="9148" y="9148"/>
                                </a:lnTo>
                                <a:lnTo>
                                  <a:pt x="2454" y="19079"/>
                                </a:lnTo>
                                <a:lnTo>
                                  <a:pt x="0" y="31241"/>
                                </a:lnTo>
                                <a:lnTo>
                                  <a:pt x="2454" y="43404"/>
                                </a:lnTo>
                                <a:lnTo>
                                  <a:pt x="9148" y="53335"/>
                                </a:lnTo>
                                <a:lnTo>
                                  <a:pt x="19079" y="60029"/>
                                </a:lnTo>
                                <a:lnTo>
                                  <a:pt x="31242" y="62483"/>
                                </a:lnTo>
                                <a:lnTo>
                                  <a:pt x="43404" y="60029"/>
                                </a:lnTo>
                                <a:lnTo>
                                  <a:pt x="53335" y="53335"/>
                                </a:lnTo>
                                <a:lnTo>
                                  <a:pt x="60029" y="43404"/>
                                </a:lnTo>
                                <a:lnTo>
                                  <a:pt x="62484" y="31241"/>
                                </a:lnTo>
                                <a:lnTo>
                                  <a:pt x="60029" y="19079"/>
                                </a:lnTo>
                                <a:lnTo>
                                  <a:pt x="53335" y="9148"/>
                                </a:lnTo>
                                <a:lnTo>
                                  <a:pt x="43404" y="2454"/>
                                </a:lnTo>
                                <a:lnTo>
                                  <a:pt x="31242" y="0"/>
                                </a:lnTo>
                                <a:close/>
                              </a:path>
                            </a:pathLst>
                          </a:custGeom>
                          <a:solidFill>
                            <a:srgbClr val="92D400"/>
                          </a:solidFill>
                        </wps:spPr>
                        <wps:bodyPr wrap="square" lIns="0" tIns="0" rIns="0" bIns="0" rtlCol="0">
                          <a:prstTxWarp prst="textNoShape">
                            <a:avLst/>
                          </a:prstTxWarp>
                          <a:noAutofit/>
                        </wps:bodyPr>
                      </wps:wsp>
                      <wps:wsp>
                        <wps:cNvPr id="649" name="Graphic 649"/>
                        <wps:cNvSpPr/>
                        <wps:spPr>
                          <a:xfrm>
                            <a:off x="3098871" y="1402809"/>
                            <a:ext cx="62865" cy="62865"/>
                          </a:xfrm>
                          <a:custGeom>
                            <a:avLst/>
                            <a:gdLst/>
                            <a:ahLst/>
                            <a:cxnLst/>
                            <a:rect l="l" t="t" r="r" b="b"/>
                            <a:pathLst>
                              <a:path w="62865" h="62865">
                                <a:moveTo>
                                  <a:pt x="62484" y="31241"/>
                                </a:moveTo>
                                <a:lnTo>
                                  <a:pt x="60029" y="43404"/>
                                </a:lnTo>
                                <a:lnTo>
                                  <a:pt x="53335" y="53335"/>
                                </a:lnTo>
                                <a:lnTo>
                                  <a:pt x="43404" y="60029"/>
                                </a:lnTo>
                                <a:lnTo>
                                  <a:pt x="31242" y="62483"/>
                                </a:lnTo>
                                <a:lnTo>
                                  <a:pt x="19079" y="60029"/>
                                </a:lnTo>
                                <a:lnTo>
                                  <a:pt x="9148" y="53335"/>
                                </a:lnTo>
                                <a:lnTo>
                                  <a:pt x="2454" y="43404"/>
                                </a:lnTo>
                                <a:lnTo>
                                  <a:pt x="0" y="31241"/>
                                </a:lnTo>
                                <a:lnTo>
                                  <a:pt x="2454" y="19079"/>
                                </a:lnTo>
                                <a:lnTo>
                                  <a:pt x="9148" y="9148"/>
                                </a:lnTo>
                                <a:lnTo>
                                  <a:pt x="19079" y="2454"/>
                                </a:lnTo>
                                <a:lnTo>
                                  <a:pt x="31242" y="0"/>
                                </a:lnTo>
                                <a:lnTo>
                                  <a:pt x="43404" y="2454"/>
                                </a:lnTo>
                                <a:lnTo>
                                  <a:pt x="53335" y="9148"/>
                                </a:lnTo>
                                <a:lnTo>
                                  <a:pt x="60029" y="19079"/>
                                </a:lnTo>
                                <a:lnTo>
                                  <a:pt x="62484" y="31241"/>
                                </a:lnTo>
                                <a:close/>
                              </a:path>
                            </a:pathLst>
                          </a:custGeom>
                          <a:ln w="9525">
                            <a:solidFill>
                              <a:srgbClr val="92D400"/>
                            </a:solidFill>
                            <a:prstDash val="solid"/>
                          </a:ln>
                        </wps:spPr>
                        <wps:bodyPr wrap="square" lIns="0" tIns="0" rIns="0" bIns="0" rtlCol="0">
                          <a:prstTxWarp prst="textNoShape">
                            <a:avLst/>
                          </a:prstTxWarp>
                          <a:noAutofit/>
                        </wps:bodyPr>
                      </wps:wsp>
                      <wps:wsp>
                        <wps:cNvPr id="650" name="Graphic 650"/>
                        <wps:cNvSpPr/>
                        <wps:spPr>
                          <a:xfrm>
                            <a:off x="3130768" y="1434636"/>
                            <a:ext cx="192405" cy="127635"/>
                          </a:xfrm>
                          <a:custGeom>
                            <a:avLst/>
                            <a:gdLst/>
                            <a:ahLst/>
                            <a:cxnLst/>
                            <a:rect l="l" t="t" r="r" b="b"/>
                            <a:pathLst>
                              <a:path w="192405" h="127635">
                                <a:moveTo>
                                  <a:pt x="0" y="0"/>
                                </a:moveTo>
                                <a:lnTo>
                                  <a:pt x="192201" y="127088"/>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51" name="Image 651"/>
                          <pic:cNvPicPr/>
                        </pic:nvPicPr>
                        <pic:blipFill>
                          <a:blip r:embed="rId225" cstate="print"/>
                          <a:stretch>
                            <a:fillRect/>
                          </a:stretch>
                        </pic:blipFill>
                        <pic:spPr>
                          <a:xfrm>
                            <a:off x="338716" y="207803"/>
                            <a:ext cx="72008" cy="72008"/>
                          </a:xfrm>
                          <a:prstGeom prst="rect">
                            <a:avLst/>
                          </a:prstGeom>
                        </pic:spPr>
                      </pic:pic>
                      <wps:wsp>
                        <wps:cNvPr id="652" name="Graphic 652"/>
                        <wps:cNvSpPr/>
                        <wps:spPr>
                          <a:xfrm>
                            <a:off x="375780" y="37285"/>
                            <a:ext cx="461009" cy="207645"/>
                          </a:xfrm>
                          <a:custGeom>
                            <a:avLst/>
                            <a:gdLst/>
                            <a:ahLst/>
                            <a:cxnLst/>
                            <a:rect l="l" t="t" r="r" b="b"/>
                            <a:pathLst>
                              <a:path w="461009" h="207645">
                                <a:moveTo>
                                  <a:pt x="0" y="207200"/>
                                </a:moveTo>
                                <a:lnTo>
                                  <a:pt x="460438"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53" name="Image 653"/>
                          <pic:cNvPicPr/>
                        </pic:nvPicPr>
                        <pic:blipFill>
                          <a:blip r:embed="rId226" cstate="print"/>
                          <a:stretch>
                            <a:fillRect/>
                          </a:stretch>
                        </pic:blipFill>
                        <pic:spPr>
                          <a:xfrm>
                            <a:off x="1493908" y="706914"/>
                            <a:ext cx="72009" cy="72008"/>
                          </a:xfrm>
                          <a:prstGeom prst="rect">
                            <a:avLst/>
                          </a:prstGeom>
                        </pic:spPr>
                      </pic:pic>
                      <wps:wsp>
                        <wps:cNvPr id="654" name="Graphic 654"/>
                        <wps:cNvSpPr/>
                        <wps:spPr>
                          <a:xfrm>
                            <a:off x="1328673" y="743580"/>
                            <a:ext cx="202565" cy="426720"/>
                          </a:xfrm>
                          <a:custGeom>
                            <a:avLst/>
                            <a:gdLst/>
                            <a:ahLst/>
                            <a:cxnLst/>
                            <a:rect l="l" t="t" r="r" b="b"/>
                            <a:pathLst>
                              <a:path w="202565" h="426720">
                                <a:moveTo>
                                  <a:pt x="202425" y="0"/>
                                </a:moveTo>
                                <a:lnTo>
                                  <a:pt x="56908" y="426720"/>
                                </a:lnTo>
                                <a:lnTo>
                                  <a:pt x="0" y="426720"/>
                                </a:lnTo>
                              </a:path>
                            </a:pathLst>
                          </a:custGeom>
                          <a:ln w="9525">
                            <a:solidFill>
                              <a:srgbClr val="A6A6A6"/>
                            </a:solidFill>
                            <a:prstDash val="solid"/>
                          </a:ln>
                        </wps:spPr>
                        <wps:bodyPr wrap="square" lIns="0" tIns="0" rIns="0" bIns="0" rtlCol="0">
                          <a:prstTxWarp prst="textNoShape">
                            <a:avLst/>
                          </a:prstTxWarp>
                          <a:noAutofit/>
                        </wps:bodyPr>
                      </wps:wsp>
                      <wps:wsp>
                        <wps:cNvPr id="655" name="Graphic 655"/>
                        <wps:cNvSpPr/>
                        <wps:spPr>
                          <a:xfrm>
                            <a:off x="109169" y="129311"/>
                            <a:ext cx="3021965" cy="1305560"/>
                          </a:xfrm>
                          <a:custGeom>
                            <a:avLst/>
                            <a:gdLst/>
                            <a:ahLst/>
                            <a:cxnLst/>
                            <a:rect l="l" t="t" r="r" b="b"/>
                            <a:pathLst>
                              <a:path w="3021965" h="1305560">
                                <a:moveTo>
                                  <a:pt x="0" y="0"/>
                                </a:moveTo>
                                <a:lnTo>
                                  <a:pt x="3021596" y="1305318"/>
                                </a:lnTo>
                              </a:path>
                            </a:pathLst>
                          </a:custGeom>
                          <a:ln w="9525">
                            <a:solidFill>
                              <a:srgbClr val="669329"/>
                            </a:solidFill>
                            <a:prstDash val="sysDot"/>
                          </a:ln>
                        </wps:spPr>
                        <wps:bodyPr wrap="square" lIns="0" tIns="0" rIns="0" bIns="0" rtlCol="0">
                          <a:prstTxWarp prst="textNoShape">
                            <a:avLst/>
                          </a:prstTxWarp>
                          <a:noAutofit/>
                        </wps:bodyPr>
                      </wps:wsp>
                    </wpg:wgp>
                  </a:graphicData>
                </a:graphic>
              </wp:anchor>
            </w:drawing>
          </mc:Choice>
          <mc:Fallback>
            <w:pict>
              <v:group id="Group 644" style="position:absolute;margin-left:195.1pt;margin-top:4.45pt;width:262.05pt;height:123.35pt;z-index:15828480;mso-wrap-distance-left:0;mso-wrap-distance-right:0;mso-position-horizontal-relative:page" coordsize="33280,15665" o:spid="_x0000_s1026" w14:anchorId="7809B2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">
                <v:shape id="Graphic 645" style="position:absolute;left:767;top:975;width:629;height:628;visibility:visible;mso-wrap-style:square;v-text-anchor:top" coordsize="62865,62865" o:spid="_x0000_s1027" fillcolor="#92d400" stroked="f" path="m31241,l19079,2454,9148,9148,2454,19079,,31241,2454,43404r6694,9931l19079,60029r12162,2454l43404,60029r9931,-6694l60029,43404,62483,31241,60029,19079,53335,9148,43404,2454,31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">
                  <v:path arrowok="t"/>
                </v:shape>
                <v:shape id="Graphic 646" style="position:absolute;left:767;top:975;width:629;height:628;visibility:visible;mso-wrap-style:square;v-text-anchor:top" coordsize="62865,62865" o:spid="_x0000_s1028" filled="f" strokecolor="#92d400" path="m62483,31241l60029,43404r-6694,9931l43404,60029,31241,62483,19079,60029,9148,53335,2454,43404,,31241,2454,19079,9148,9148,19079,2454,31241,,43404,2454r9931,6694l60029,19079r2454,12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">
                  <v:path arrowok="t"/>
                </v:shape>
                <v:shape id="Graphic 647" style="position:absolute;left:47;top:47;width:1048;height:1251;visibility:visible;mso-wrap-style:square;v-text-anchor:top" coordsize="104775,125095" o:spid="_x0000_s1029" filled="f" strokecolor="#a6a6a6" path="m104406,1245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">
                  <v:path arrowok="t"/>
                </v:shape>
                <v:shape id="Graphic 648" style="position:absolute;left:30988;top:14028;width:629;height:628;visibility:visible;mso-wrap-style:square;v-text-anchor:top" coordsize="62865,62865" o:spid="_x0000_s1030" fillcolor="#92d400" stroked="f" path="m31242,l19079,2454,9148,9148,2454,19079,,31241,2454,43404r6694,9931l19079,60029r12163,2454l43404,60029r9931,-6694l60029,43404,62484,31241,60029,19079,53335,9148,43404,2454,31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">
                  <v:path arrowok="t"/>
                </v:shape>
                <v:shape id="Graphic 649" style="position:absolute;left:30988;top:14028;width:629;height:628;visibility:visible;mso-wrap-style:square;v-text-anchor:top" coordsize="62865,62865" o:spid="_x0000_s1031" filled="f" strokecolor="#92d400" path="m62484,31241l60029,43404r-6694,9931l43404,60029,31242,62483,19079,60029,9148,53335,2454,43404,,31241,2454,19079,9148,9148,19079,2454,31242,,43404,2454r9931,6694l60029,19079r2455,12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">
                  <v:path arrowok="t"/>
                </v:shape>
                <v:shape id="Graphic 650" style="position:absolute;left:31307;top:14346;width:1924;height:1276;visibility:visible;mso-wrap-style:square;v-text-anchor:top" coordsize="192405,127635" o:spid="_x0000_s1032" filled="f" strokecolor="#a6a6a6" path="m,l192201,1270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">
                  <v:path arrowok="t"/>
                </v:shape>
                <v:shape id="Image 651" style="position:absolute;left:3387;top:2078;width:720;height:72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">
                  <v:imagedata o:title="" r:id="rId227"/>
                </v:shape>
                <v:shape id="Graphic 652" style="position:absolute;left:3757;top:372;width:4610;height:2077;visibility:visible;mso-wrap-style:square;v-text-anchor:top" coordsize="461009,207645" o:spid="_x0000_s1034" filled="f" strokecolor="#a6a6a6" path="m,207200l4604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">
                  <v:path arrowok="t"/>
                </v:shape>
                <v:shape id="Image 653" style="position:absolute;left:14939;top:7069;width:720;height:72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">
                  <v:imagedata o:title="" r:id="rId228"/>
                </v:shape>
                <v:shape id="Graphic 654" style="position:absolute;left:13286;top:7435;width:2026;height:4268;visibility:visible;mso-wrap-style:square;v-text-anchor:top" coordsize="202565,426720" o:spid="_x0000_s1036" filled="f" strokecolor="#a6a6a6" path="m202425,l56908,426720,,426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">
                  <v:path arrowok="t"/>
                </v:shape>
                <v:shape id="Graphic 655" style="position:absolute;left:1091;top:1293;width:30220;height:13055;visibility:visible;mso-wrap-style:square;v-text-anchor:top" coordsize="3021965,1305560" o:spid="_x0000_s1037" filled="f" strokecolor="#669329" path="m,l3021596,13053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">
                  <v:stroke dashstyle="1 1"/>
                  <v:path arrowok="t"/>
                </v:shape>
                <w10:wrap anchorx="page"/>
              </v:group>
            </w:pict>
          </mc:Fallback>
        </mc:AlternateContent>
      </w:r>
      <w:r>
        <w:rPr>
          <w:rFonts w:ascii="Calibri"/>
          <w:spacing w:val="-2"/>
          <w:sz w:val="18"/>
        </w:rPr>
        <w:t>$2,000</w:t>
      </w:r>
    </w:p>
    <w:p w:rsidR="00C31389" w:rsidRDefault="00C31389" w14:paraId="0A753494" w14:textId="77777777">
      <w:pPr>
        <w:pStyle w:val="BodyText"/>
        <w:rPr>
          <w:rFonts w:ascii="Calibri"/>
          <w:sz w:val="18"/>
        </w:rPr>
      </w:pPr>
    </w:p>
    <w:p w:rsidR="00C31389" w:rsidRDefault="00C31389" w14:paraId="4D6ECE62" w14:textId="77777777">
      <w:pPr>
        <w:pStyle w:val="BodyText"/>
        <w:rPr>
          <w:rFonts w:ascii="Calibri"/>
          <w:sz w:val="18"/>
        </w:rPr>
      </w:pPr>
    </w:p>
    <w:p w:rsidR="00C31389" w:rsidRDefault="00561FBD" w14:paraId="2EF05D6B" w14:textId="77777777">
      <w:pPr>
        <w:spacing w:before="156"/>
        <w:ind w:left="1565"/>
        <w:rPr>
          <w:rFonts w:ascii="Calibri"/>
          <w:sz w:val="18"/>
        </w:rPr>
      </w:pPr>
      <w:r>
        <w:rPr>
          <w:noProof/>
        </w:rPr>
        <mc:AlternateContent>
          <mc:Choice Requires="wps">
            <w:drawing>
              <wp:anchor distT="0" distB="0" distL="0" distR="0" simplePos="0" relativeHeight="15828992" behindDoc="0" locked="0" layoutInCell="1" allowOverlap="1" wp14:editId="196DA84A" wp14:anchorId="563063B3">
                <wp:simplePos x="0" y="0"/>
                <wp:positionH relativeFrom="page">
                  <wp:posOffset>1296669</wp:posOffset>
                </wp:positionH>
                <wp:positionV relativeFrom="paragraph">
                  <wp:posOffset>190817</wp:posOffset>
                </wp:positionV>
                <wp:extent cx="153035" cy="36004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360045"/>
                        </a:xfrm>
                        <a:prstGeom prst="rect">
                          <a:avLst/>
                        </a:prstGeom>
                      </wps:spPr>
                      <wps:txbx>
                        <w:txbxContent>
                          <w:p w:rsidR="00C31389" w:rsidRDefault="00561FBD" w14:paraId="3C755006" w14:textId="77777777">
                            <w:pPr>
                              <w:spacing w:line="224" w:lineRule="exact"/>
                              <w:ind w:left="20"/>
                              <w:rPr>
                                <w:rFonts w:ascii="Calibri"/>
                                <w:sz w:val="20"/>
                              </w:rPr>
                            </w:pPr>
                            <w:r>
                              <w:rPr>
                                <w:rFonts w:ascii="Calibri"/>
                                <w:spacing w:val="-2"/>
                                <w:sz w:val="20"/>
                              </w:rPr>
                              <w:t>$/Unit</w:t>
                            </w:r>
                          </w:p>
                        </w:txbxContent>
                      </wps:txbx>
                      <wps:bodyPr vert="vert270" wrap="square" lIns="0" tIns="0" rIns="0" bIns="0" rtlCol="0">
                        <a:noAutofit/>
                      </wps:bodyPr>
                    </wps:wsp>
                  </a:graphicData>
                </a:graphic>
              </wp:anchor>
            </w:drawing>
          </mc:Choice>
          <mc:Fallback>
            <w:pict>
              <v:shape id="Textbox 656" style="position:absolute;left:0;text-align:left;margin-left:102.1pt;margin-top:15pt;width:12.05pt;height:28.35pt;z-index:15828992;visibility:visible;mso-wrap-style:square;mso-wrap-distance-left:0;mso-wrap-distance-top:0;mso-wrap-distance-right:0;mso-wrap-distance-bottom:0;mso-position-horizontal:absolute;mso-position-horizontal-relative:page;mso-position-vertical:absolute;mso-position-vertical-relative:text;v-text-anchor:top" o:spid="_x0000_s11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" w14:anchorId="563063B3">
                <v:textbox style="layout-flow:vertical;mso-layout-flow-alt:bottom-to-top" inset="0,0,0,0">
                  <w:txbxContent>
                    <w:p w:rsidR="00C31389" w:rsidRDefault="00561FBD" w14:paraId="3C755006" w14:textId="77777777">
                      <w:pPr>
                        <w:spacing w:line="224" w:lineRule="exact"/>
                        <w:ind w:left="20"/>
                        <w:rPr>
                          <w:rFonts w:ascii="Calibri"/>
                          <w:sz w:val="20"/>
                        </w:rPr>
                      </w:pPr>
                      <w:r>
                        <w:rPr>
                          <w:rFonts w:ascii="Calibri"/>
                          <w:spacing w:val="-2"/>
                          <w:sz w:val="20"/>
                        </w:rPr>
                        <w:t>$/Unit</w:t>
                      </w:r>
                    </w:p>
                  </w:txbxContent>
                </v:textbox>
                <w10:wrap anchorx="page"/>
              </v:shape>
            </w:pict>
          </mc:Fallback>
        </mc:AlternateContent>
      </w:r>
      <w:r>
        <w:rPr>
          <w:rFonts w:ascii="Calibri"/>
          <w:spacing w:val="-2"/>
          <w:sz w:val="18"/>
        </w:rPr>
        <w:t>$1,500</w:t>
      </w:r>
    </w:p>
    <w:p w:rsidR="00C31389" w:rsidRDefault="00C31389" w14:paraId="563CA737" w14:textId="77777777">
      <w:pPr>
        <w:pStyle w:val="BodyText"/>
        <w:rPr>
          <w:rFonts w:ascii="Calibri"/>
          <w:sz w:val="18"/>
        </w:rPr>
      </w:pPr>
    </w:p>
    <w:p w:rsidR="00C31389" w:rsidRDefault="00C31389" w14:paraId="6FE7BE8C" w14:textId="77777777">
      <w:pPr>
        <w:pStyle w:val="BodyText"/>
        <w:rPr>
          <w:rFonts w:ascii="Calibri"/>
          <w:sz w:val="18"/>
        </w:rPr>
      </w:pPr>
    </w:p>
    <w:p w:rsidR="00C31389" w:rsidRDefault="00561FBD" w14:paraId="2885EB56" w14:textId="77777777">
      <w:pPr>
        <w:spacing w:before="156"/>
        <w:ind w:left="1565"/>
        <w:rPr>
          <w:rFonts w:ascii="Calibri"/>
          <w:sz w:val="18"/>
        </w:rPr>
      </w:pPr>
      <w:r>
        <w:rPr>
          <w:rFonts w:ascii="Calibri"/>
          <w:spacing w:val="-2"/>
          <w:sz w:val="18"/>
        </w:rPr>
        <w:t>$1,000</w:t>
      </w:r>
    </w:p>
    <w:p w:rsidR="00C31389" w:rsidRDefault="00C31389" w14:paraId="34A1FA11" w14:textId="77777777">
      <w:pPr>
        <w:pStyle w:val="BodyText"/>
        <w:rPr>
          <w:rFonts w:ascii="Calibri"/>
          <w:sz w:val="20"/>
        </w:rPr>
      </w:pPr>
    </w:p>
    <w:p w:rsidR="00C31389" w:rsidRDefault="00C31389" w14:paraId="45031E04" w14:textId="77777777">
      <w:pPr>
        <w:pStyle w:val="BodyText"/>
        <w:spacing w:before="7"/>
        <w:rPr>
          <w:rFonts w:ascii="Calibri"/>
          <w:sz w:val="21"/>
        </w:rPr>
      </w:pPr>
    </w:p>
    <w:p w:rsidR="00C31389" w:rsidRDefault="00C31389" w14:paraId="23A35001" w14:textId="77777777">
      <w:pPr>
        <w:rPr>
          <w:rFonts w:ascii="Calibri"/>
          <w:sz w:val="21"/>
        </w:rPr>
        <w:sectPr w:rsidR="00C31389">
          <w:headerReference w:type="default" r:id="rId229"/>
          <w:footerReference w:type="default" r:id="rId230"/>
          <w:pgSz w:w="11910" w:h="16840"/>
          <w:pgMar w:top="1380" w:right="1020" w:bottom="1120" w:left="960" w:header="397" w:footer="938" w:gutter="0"/>
          <w:cols w:space="720"/>
        </w:sectPr>
      </w:pPr>
    </w:p>
    <w:p w:rsidR="00C31389" w:rsidRDefault="00561FBD" w14:paraId="4B40F3F4" w14:textId="77777777">
      <w:pPr>
        <w:spacing w:before="88"/>
        <w:jc w:val="right"/>
        <w:rPr>
          <w:rFonts w:ascii="Calibri"/>
          <w:sz w:val="18"/>
        </w:rPr>
      </w:pPr>
      <w:r>
        <w:rPr>
          <w:rFonts w:ascii="Calibri"/>
          <w:spacing w:val="-4"/>
          <w:sz w:val="18"/>
        </w:rPr>
        <w:t>$500</w:t>
      </w:r>
    </w:p>
    <w:p w:rsidR="00C31389" w:rsidRDefault="00C31389" w14:paraId="15DBBD52" w14:textId="77777777">
      <w:pPr>
        <w:pStyle w:val="BodyText"/>
        <w:rPr>
          <w:rFonts w:ascii="Calibri"/>
          <w:sz w:val="18"/>
        </w:rPr>
      </w:pPr>
    </w:p>
    <w:p w:rsidR="00C31389" w:rsidRDefault="00C31389" w14:paraId="29FAB8EC" w14:textId="77777777">
      <w:pPr>
        <w:pStyle w:val="BodyText"/>
        <w:rPr>
          <w:rFonts w:ascii="Calibri"/>
          <w:sz w:val="18"/>
        </w:rPr>
      </w:pPr>
    </w:p>
    <w:p w:rsidR="00C31389" w:rsidRDefault="00561FBD" w14:paraId="1295102D" w14:textId="77777777">
      <w:pPr>
        <w:spacing w:before="156"/>
        <w:jc w:val="right"/>
        <w:rPr>
          <w:rFonts w:ascii="Calibri"/>
          <w:sz w:val="18"/>
        </w:rPr>
      </w:pPr>
      <w:r>
        <w:rPr>
          <w:rFonts w:ascii="Calibri"/>
          <w:spacing w:val="-5"/>
          <w:sz w:val="18"/>
        </w:rPr>
        <w:t>$0</w:t>
      </w:r>
    </w:p>
    <w:p w:rsidR="00C31389" w:rsidRDefault="00561FBD" w14:paraId="7B9A4B09" w14:textId="77777777">
      <w:pPr>
        <w:spacing w:before="64"/>
        <w:ind w:right="1088"/>
        <w:jc w:val="right"/>
        <w:rPr>
          <w:rFonts w:ascii="Calibri"/>
          <w:sz w:val="18"/>
        </w:rPr>
      </w:pPr>
      <w:r>
        <w:br w:type="column"/>
      </w:r>
      <w:r>
        <w:rPr>
          <w:rFonts w:ascii="Calibri"/>
          <w:color w:val="68942C"/>
          <w:spacing w:val="-5"/>
          <w:sz w:val="18"/>
        </w:rPr>
        <w:t>50</w:t>
      </w:r>
    </w:p>
    <w:p w:rsidR="00C31389" w:rsidRDefault="00C31389" w14:paraId="693D9D6A" w14:textId="77777777">
      <w:pPr>
        <w:pStyle w:val="BodyText"/>
        <w:rPr>
          <w:rFonts w:ascii="Calibri"/>
          <w:sz w:val="18"/>
        </w:rPr>
      </w:pPr>
    </w:p>
    <w:p w:rsidR="00C31389" w:rsidRDefault="00C31389" w14:paraId="7BCCE32A" w14:textId="77777777">
      <w:pPr>
        <w:pStyle w:val="BodyText"/>
        <w:rPr>
          <w:rFonts w:ascii="Calibri"/>
          <w:sz w:val="18"/>
        </w:rPr>
      </w:pPr>
    </w:p>
    <w:p w:rsidR="00C31389" w:rsidRDefault="00C31389" w14:paraId="7E33C587" w14:textId="77777777">
      <w:pPr>
        <w:pStyle w:val="BodyText"/>
        <w:rPr>
          <w:rFonts w:ascii="Calibri"/>
          <w:sz w:val="18"/>
        </w:rPr>
      </w:pPr>
    </w:p>
    <w:p w:rsidR="00C31389" w:rsidRDefault="00C31389" w14:paraId="232DD53D" w14:textId="77777777">
      <w:pPr>
        <w:pStyle w:val="BodyText"/>
        <w:spacing w:before="10"/>
        <w:rPr>
          <w:rFonts w:ascii="Calibri"/>
          <w:sz w:val="15"/>
        </w:rPr>
      </w:pPr>
    </w:p>
    <w:p w:rsidR="00C31389" w:rsidRDefault="00561FBD" w14:paraId="305A4F1E" w14:textId="77777777">
      <w:pPr>
        <w:tabs>
          <w:tab w:val="left" w:pos="684"/>
          <w:tab w:val="left" w:pos="1384"/>
          <w:tab w:val="left" w:pos="2084"/>
          <w:tab w:val="left" w:pos="2784"/>
          <w:tab w:val="left" w:pos="3484"/>
          <w:tab w:val="left" w:pos="4183"/>
          <w:tab w:val="left" w:pos="4883"/>
          <w:tab w:val="left" w:pos="5583"/>
          <w:tab w:val="left" w:pos="6283"/>
        </w:tabs>
        <w:spacing w:before="1"/>
        <w:ind w:left="-15" w:right="1168"/>
        <w:jc w:val="center"/>
        <w:rPr>
          <w:rFonts w:ascii="Calibri"/>
          <w:sz w:val="18"/>
        </w:rPr>
      </w:pPr>
      <w:r>
        <w:rPr>
          <w:rFonts w:ascii="Calibri"/>
          <w:spacing w:val="-4"/>
          <w:sz w:val="18"/>
        </w:rPr>
        <w:t>2010</w:t>
      </w:r>
      <w:r>
        <w:rPr>
          <w:rFonts w:ascii="Calibri"/>
          <w:sz w:val="18"/>
        </w:rPr>
        <w:tab/>
      </w:r>
      <w:r>
        <w:rPr>
          <w:rFonts w:ascii="Calibri"/>
          <w:spacing w:val="-4"/>
          <w:sz w:val="18"/>
        </w:rPr>
        <w:t>2015</w:t>
      </w:r>
      <w:r>
        <w:rPr>
          <w:rFonts w:ascii="Calibri"/>
          <w:sz w:val="18"/>
        </w:rPr>
        <w:tab/>
      </w:r>
      <w:r>
        <w:rPr>
          <w:rFonts w:ascii="Calibri"/>
          <w:spacing w:val="-4"/>
          <w:sz w:val="18"/>
        </w:rPr>
        <w:t>2020</w:t>
      </w:r>
      <w:r>
        <w:rPr>
          <w:rFonts w:ascii="Calibri"/>
          <w:sz w:val="18"/>
        </w:rPr>
        <w:tab/>
      </w:r>
      <w:r>
        <w:rPr>
          <w:rFonts w:ascii="Calibri"/>
          <w:spacing w:val="-4"/>
          <w:sz w:val="18"/>
        </w:rPr>
        <w:t>2025</w:t>
      </w:r>
      <w:r>
        <w:rPr>
          <w:rFonts w:ascii="Calibri"/>
          <w:sz w:val="18"/>
        </w:rPr>
        <w:tab/>
      </w:r>
      <w:r>
        <w:rPr>
          <w:rFonts w:ascii="Calibri"/>
          <w:spacing w:val="-4"/>
          <w:sz w:val="18"/>
        </w:rPr>
        <w:t>2030</w:t>
      </w:r>
      <w:r>
        <w:rPr>
          <w:rFonts w:ascii="Calibri"/>
          <w:sz w:val="18"/>
        </w:rPr>
        <w:tab/>
      </w:r>
      <w:r>
        <w:rPr>
          <w:rFonts w:ascii="Calibri"/>
          <w:spacing w:val="-4"/>
          <w:sz w:val="18"/>
        </w:rPr>
        <w:t>2035</w:t>
      </w:r>
      <w:r>
        <w:rPr>
          <w:rFonts w:ascii="Calibri"/>
          <w:sz w:val="18"/>
        </w:rPr>
        <w:tab/>
      </w:r>
      <w:r>
        <w:rPr>
          <w:rFonts w:ascii="Calibri"/>
          <w:spacing w:val="-4"/>
          <w:sz w:val="18"/>
        </w:rPr>
        <w:t>2040</w:t>
      </w:r>
      <w:r>
        <w:rPr>
          <w:rFonts w:ascii="Calibri"/>
          <w:sz w:val="18"/>
        </w:rPr>
        <w:tab/>
      </w:r>
      <w:r>
        <w:rPr>
          <w:rFonts w:ascii="Calibri"/>
          <w:spacing w:val="-4"/>
          <w:sz w:val="18"/>
        </w:rPr>
        <w:t>2045</w:t>
      </w:r>
      <w:r>
        <w:rPr>
          <w:rFonts w:ascii="Calibri"/>
          <w:sz w:val="18"/>
        </w:rPr>
        <w:tab/>
      </w:r>
      <w:r>
        <w:rPr>
          <w:rFonts w:ascii="Calibri"/>
          <w:spacing w:val="-4"/>
          <w:sz w:val="18"/>
        </w:rPr>
        <w:t>2050</w:t>
      </w:r>
      <w:r>
        <w:rPr>
          <w:rFonts w:ascii="Calibri"/>
          <w:sz w:val="18"/>
        </w:rPr>
        <w:tab/>
      </w:r>
      <w:r>
        <w:rPr>
          <w:rFonts w:ascii="Calibri"/>
          <w:spacing w:val="-4"/>
          <w:sz w:val="18"/>
        </w:rPr>
        <w:t>2055</w:t>
      </w:r>
    </w:p>
    <w:p w:rsidR="00C31389" w:rsidRDefault="00561FBD" w14:paraId="1399F018" w14:textId="77777777">
      <w:pPr>
        <w:spacing w:before="60"/>
        <w:ind w:left="3125" w:right="4310"/>
        <w:jc w:val="center"/>
        <w:rPr>
          <w:rFonts w:ascii="Calibri"/>
          <w:sz w:val="20"/>
        </w:rPr>
      </w:pPr>
      <w:r>
        <w:rPr>
          <w:rFonts w:ascii="Calibri"/>
          <w:spacing w:val="-4"/>
          <w:sz w:val="20"/>
        </w:rPr>
        <w:t>Year</w:t>
      </w:r>
    </w:p>
    <w:p w:rsidR="00C31389" w:rsidRDefault="00C31389" w14:paraId="139C730E" w14:textId="77777777">
      <w:pPr>
        <w:jc w:val="center"/>
        <w:rPr>
          <w:rFonts w:ascii="Calibri"/>
          <w:sz w:val="20"/>
        </w:rPr>
        <w:sectPr w:rsidR="00C31389">
          <w:type w:val="continuous"/>
          <w:pgSz w:w="11910" w:h="16840"/>
          <w:pgMar w:top="0" w:right="1020" w:bottom="280" w:left="960" w:header="397" w:footer="938" w:gutter="0"/>
          <w:cols w:equalWidth="0" w:space="720" w:num="2">
            <w:col w:w="2067" w:space="40"/>
            <w:col w:w="7823"/>
          </w:cols>
        </w:sectPr>
      </w:pPr>
    </w:p>
    <w:p w:rsidR="00C31389" w:rsidRDefault="00C31389" w14:paraId="73F6AB9C" w14:textId="77777777">
      <w:pPr>
        <w:pStyle w:val="BodyText"/>
        <w:spacing w:before="2"/>
        <w:rPr>
          <w:rFonts w:ascii="Calibri"/>
          <w:sz w:val="18"/>
        </w:rPr>
      </w:pPr>
    </w:p>
    <w:p w:rsidR="00C31389" w:rsidRDefault="00561FBD" w14:paraId="59228378" w14:textId="77777777">
      <w:pPr>
        <w:spacing w:before="94"/>
        <w:ind w:left="480"/>
        <w:rPr>
          <w:i/>
          <w:sz w:val="18"/>
        </w:rPr>
      </w:pPr>
      <w:r>
        <w:rPr>
          <w:i/>
          <w:sz w:val="18"/>
        </w:rPr>
        <w:t>Source:</w:t>
      </w:r>
      <w:r>
        <w:rPr>
          <w:i/>
          <w:spacing w:val="-4"/>
          <w:sz w:val="18"/>
        </w:rPr>
        <w:t xml:space="preserve"> </w:t>
      </w:r>
      <w:r>
        <w:rPr>
          <w:i/>
          <w:sz w:val="18"/>
        </w:rPr>
        <w:t>Guidehouse</w:t>
      </w:r>
      <w:r>
        <w:rPr>
          <w:i/>
          <w:spacing w:val="-4"/>
          <w:sz w:val="18"/>
        </w:rPr>
        <w:t xml:space="preserve"> </w:t>
      </w:r>
      <w:r>
        <w:rPr>
          <w:i/>
          <w:sz w:val="18"/>
        </w:rPr>
        <w:t>analysis</w:t>
      </w:r>
      <w:r>
        <w:rPr>
          <w:i/>
          <w:spacing w:val="-2"/>
          <w:sz w:val="18"/>
        </w:rPr>
        <w:t xml:space="preserve"> </w:t>
      </w:r>
      <w:r>
        <w:rPr>
          <w:i/>
          <w:sz w:val="18"/>
        </w:rPr>
        <w:t>of</w:t>
      </w:r>
      <w:r>
        <w:rPr>
          <w:i/>
          <w:spacing w:val="-3"/>
          <w:sz w:val="18"/>
        </w:rPr>
        <w:t xml:space="preserve"> </w:t>
      </w:r>
      <w:r>
        <w:rPr>
          <w:i/>
          <w:sz w:val="18"/>
        </w:rPr>
        <w:t>NREL</w:t>
      </w:r>
      <w:r>
        <w:rPr>
          <w:i/>
          <w:spacing w:val="-4"/>
          <w:sz w:val="18"/>
        </w:rPr>
        <w:t xml:space="preserve"> </w:t>
      </w:r>
      <w:r>
        <w:rPr>
          <w:i/>
          <w:spacing w:val="-2"/>
          <w:sz w:val="18"/>
        </w:rPr>
        <w:t>study</w:t>
      </w:r>
    </w:p>
    <w:p w:rsidR="00C31389" w:rsidRDefault="00C31389" w14:paraId="1C1A7FEB" w14:textId="77777777">
      <w:pPr>
        <w:pStyle w:val="BodyText"/>
        <w:rPr>
          <w:i/>
          <w:sz w:val="20"/>
        </w:rPr>
      </w:pPr>
    </w:p>
    <w:p w:rsidR="00C31389" w:rsidRDefault="00C31389" w14:paraId="3FAA0E5F" w14:textId="77777777">
      <w:pPr>
        <w:pStyle w:val="BodyText"/>
        <w:rPr>
          <w:i/>
          <w:sz w:val="20"/>
        </w:rPr>
      </w:pPr>
    </w:p>
    <w:p w:rsidR="00C31389" w:rsidRDefault="00C31389" w14:paraId="79F62E98" w14:textId="77777777">
      <w:pPr>
        <w:pStyle w:val="BodyText"/>
        <w:rPr>
          <w:i/>
          <w:sz w:val="20"/>
        </w:rPr>
      </w:pPr>
    </w:p>
    <w:p w:rsidR="00C31389" w:rsidRDefault="00C31389" w14:paraId="7466867C" w14:textId="77777777">
      <w:pPr>
        <w:pStyle w:val="BodyText"/>
        <w:rPr>
          <w:i/>
          <w:sz w:val="20"/>
        </w:rPr>
      </w:pPr>
    </w:p>
    <w:p w:rsidR="00C31389" w:rsidRDefault="00C31389" w14:paraId="1C423A43" w14:textId="77777777">
      <w:pPr>
        <w:pStyle w:val="BodyText"/>
        <w:rPr>
          <w:i/>
          <w:sz w:val="20"/>
        </w:rPr>
      </w:pPr>
    </w:p>
    <w:p w:rsidR="00C31389" w:rsidRDefault="00561FBD" w14:paraId="33C1CF84" w14:textId="77777777">
      <w:pPr>
        <w:pStyle w:val="BodyText"/>
        <w:spacing w:before="5"/>
        <w:rPr>
          <w:i/>
          <w:sz w:val="10"/>
        </w:rPr>
      </w:pPr>
      <w:r>
        <w:rPr>
          <w:noProof/>
        </w:rPr>
        <mc:AlternateContent>
          <mc:Choice Requires="wps">
            <w:drawing>
              <wp:anchor distT="0" distB="0" distL="0" distR="0" simplePos="0" relativeHeight="487687168" behindDoc="1" locked="0" layoutInCell="1" allowOverlap="1" wp14:editId="41C183BA" wp14:anchorId="1EDDE5B1">
                <wp:simplePos x="0" y="0"/>
                <wp:positionH relativeFrom="page">
                  <wp:posOffset>914400</wp:posOffset>
                </wp:positionH>
                <wp:positionV relativeFrom="paragraph">
                  <wp:posOffset>91499</wp:posOffset>
                </wp:positionV>
                <wp:extent cx="1828800" cy="6985"/>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57" style="position:absolute;margin-left:1in;margin-top:7.2pt;width:2in;height:.55pt;z-index:-1562931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" w14:anchorId="58113A51">
                <v:path arrowok="t"/>
                <w10:wrap type="topAndBottom" anchorx="page"/>
              </v:shape>
            </w:pict>
          </mc:Fallback>
        </mc:AlternateContent>
      </w:r>
    </w:p>
    <w:p w:rsidR="00C31389" w:rsidRDefault="00561FBD" w14:paraId="2D42D71E" w14:textId="77777777">
      <w:pPr>
        <w:spacing w:before="88"/>
        <w:ind w:left="479" w:right="418"/>
        <w:rPr>
          <w:sz w:val="18"/>
        </w:rPr>
      </w:pPr>
      <w:bookmarkStart w:name="_bookmark269" w:id="357"/>
      <w:bookmarkEnd w:id="357"/>
      <w:r>
        <w:rPr>
          <w:position w:val="6"/>
          <w:sz w:val="12"/>
        </w:rPr>
        <w:t>82</w:t>
      </w:r>
      <w:r>
        <w:rPr>
          <w:spacing w:val="14"/>
          <w:position w:val="6"/>
          <w:sz w:val="12"/>
        </w:rPr>
        <w:t xml:space="preserve"> </w:t>
      </w:r>
      <w:r>
        <w:rPr>
          <w:sz w:val="18"/>
        </w:rPr>
        <w:t>NREL</w:t>
      </w:r>
      <w:r>
        <w:rPr>
          <w:spacing w:val="-4"/>
          <w:sz w:val="18"/>
        </w:rPr>
        <w:t xml:space="preserve"> </w:t>
      </w:r>
      <w:r>
        <w:rPr>
          <w:sz w:val="18"/>
        </w:rPr>
        <w:t>Electrification</w:t>
      </w:r>
      <w:r>
        <w:rPr>
          <w:spacing w:val="-4"/>
          <w:sz w:val="18"/>
        </w:rPr>
        <w:t xml:space="preserve"> </w:t>
      </w:r>
      <w:r>
        <w:rPr>
          <w:sz w:val="18"/>
        </w:rPr>
        <w:t>Futures</w:t>
      </w:r>
      <w:r>
        <w:rPr>
          <w:spacing w:val="-2"/>
          <w:sz w:val="18"/>
        </w:rPr>
        <w:t xml:space="preserve"> </w:t>
      </w:r>
      <w:r>
        <w:rPr>
          <w:sz w:val="18"/>
        </w:rPr>
        <w:t>Study:</w:t>
      </w:r>
      <w:r>
        <w:rPr>
          <w:spacing w:val="-3"/>
          <w:sz w:val="18"/>
        </w:rPr>
        <w:t xml:space="preserve"> </w:t>
      </w:r>
      <w:r>
        <w:rPr>
          <w:sz w:val="18"/>
        </w:rPr>
        <w:t>End-Use</w:t>
      </w:r>
      <w:r>
        <w:rPr>
          <w:spacing w:val="-4"/>
          <w:sz w:val="18"/>
        </w:rPr>
        <w:t xml:space="preserve"> </w:t>
      </w:r>
      <w:r>
        <w:rPr>
          <w:sz w:val="18"/>
        </w:rPr>
        <w:t>Electric</w:t>
      </w:r>
      <w:r>
        <w:rPr>
          <w:spacing w:val="-3"/>
          <w:sz w:val="18"/>
        </w:rPr>
        <w:t xml:space="preserve"> </w:t>
      </w:r>
      <w:r>
        <w:rPr>
          <w:sz w:val="18"/>
        </w:rPr>
        <w:t>Technology</w:t>
      </w:r>
      <w:r>
        <w:rPr>
          <w:spacing w:val="-3"/>
          <w:sz w:val="18"/>
        </w:rPr>
        <w:t xml:space="preserve"> </w:t>
      </w:r>
      <w:r>
        <w:rPr>
          <w:sz w:val="18"/>
        </w:rPr>
        <w:t>Cost</w:t>
      </w:r>
      <w:r>
        <w:rPr>
          <w:spacing w:val="-3"/>
          <w:sz w:val="18"/>
        </w:rPr>
        <w:t xml:space="preserve"> </w:t>
      </w:r>
      <w:r>
        <w:rPr>
          <w:sz w:val="18"/>
        </w:rPr>
        <w:t>and</w:t>
      </w:r>
      <w:r>
        <w:rPr>
          <w:spacing w:val="-4"/>
          <w:sz w:val="18"/>
        </w:rPr>
        <w:t xml:space="preserve"> </w:t>
      </w:r>
      <w:r>
        <w:rPr>
          <w:sz w:val="18"/>
        </w:rPr>
        <w:t>Performance</w:t>
      </w:r>
      <w:r>
        <w:rPr>
          <w:spacing w:val="-2"/>
          <w:sz w:val="18"/>
        </w:rPr>
        <w:t xml:space="preserve"> </w:t>
      </w:r>
      <w:r>
        <w:rPr>
          <w:sz w:val="18"/>
        </w:rPr>
        <w:t>Projections</w:t>
      </w:r>
      <w:r>
        <w:rPr>
          <w:spacing w:val="-3"/>
          <w:sz w:val="18"/>
        </w:rPr>
        <w:t xml:space="preserve"> </w:t>
      </w:r>
      <w:r>
        <w:rPr>
          <w:sz w:val="18"/>
        </w:rPr>
        <w:t xml:space="preserve">through 2050, </w:t>
      </w:r>
      <w:hyperlink r:id="rId231">
        <w:r>
          <w:rPr>
            <w:color w:val="68942C"/>
            <w:sz w:val="18"/>
            <w:u w:val="single" w:color="68942C"/>
          </w:rPr>
          <w:t>https://www.nrel.gov/docs/fy18osti/70485.pdf.</w:t>
        </w:r>
      </w:hyperlink>
    </w:p>
    <w:p w:rsidR="00C31389" w:rsidRDefault="00C31389" w14:paraId="78435D68" w14:textId="77777777">
      <w:pPr>
        <w:rPr>
          <w:sz w:val="18"/>
        </w:rPr>
        <w:sectPr w:rsidR="00C31389">
          <w:type w:val="continuous"/>
          <w:pgSz w:w="11910" w:h="16840"/>
          <w:pgMar w:top="0" w:right="1020" w:bottom="280" w:left="960" w:header="397" w:footer="938" w:gutter="0"/>
          <w:cols w:space="720"/>
        </w:sectPr>
      </w:pPr>
    </w:p>
    <w:p w:rsidR="00C31389" w:rsidRDefault="00C31389" w14:paraId="4B6351DF" w14:textId="77777777">
      <w:pPr>
        <w:pStyle w:val="BodyText"/>
        <w:spacing w:before="11"/>
        <w:rPr>
          <w:sz w:val="13"/>
        </w:rPr>
      </w:pPr>
    </w:p>
    <w:p w:rsidR="00C31389" w:rsidRDefault="00561FBD" w14:paraId="3C48B1DA" w14:textId="77777777">
      <w:pPr>
        <w:pStyle w:val="Heading7"/>
        <w:spacing w:before="92"/>
        <w:ind w:left="480"/>
      </w:pPr>
      <w:bookmarkStart w:name="_bookmark270" w:id="358"/>
      <w:bookmarkEnd w:id="358"/>
      <w:r>
        <w:t>Figure</w:t>
      </w:r>
      <w:r>
        <w:rPr>
          <w:spacing w:val="-8"/>
        </w:rPr>
        <w:t xml:space="preserve"> </w:t>
      </w:r>
      <w:r>
        <w:t>B-9.</w:t>
      </w:r>
      <w:r>
        <w:rPr>
          <w:spacing w:val="-8"/>
        </w:rPr>
        <w:t xml:space="preserve"> </w:t>
      </w:r>
      <w:r>
        <w:t>Calculation</w:t>
      </w:r>
      <w:r>
        <w:rPr>
          <w:spacing w:val="-7"/>
        </w:rPr>
        <w:t xml:space="preserve"> </w:t>
      </w:r>
      <w:r>
        <w:t>of</w:t>
      </w:r>
      <w:r>
        <w:rPr>
          <w:spacing w:val="-8"/>
        </w:rPr>
        <w:t xml:space="preserve"> </w:t>
      </w:r>
      <w:r>
        <w:t>Cost</w:t>
      </w:r>
      <w:r>
        <w:rPr>
          <w:spacing w:val="-7"/>
        </w:rPr>
        <w:t xml:space="preserve"> </w:t>
      </w:r>
      <w:r>
        <w:t>Trajectory</w:t>
      </w:r>
      <w:r>
        <w:rPr>
          <w:spacing w:val="-8"/>
        </w:rPr>
        <w:t xml:space="preserve"> </w:t>
      </w:r>
      <w:r>
        <w:t>for</w:t>
      </w:r>
      <w:r>
        <w:rPr>
          <w:spacing w:val="-8"/>
        </w:rPr>
        <w:t xml:space="preserve"> </w:t>
      </w:r>
      <w:r>
        <w:t>Commercial</w:t>
      </w:r>
      <w:r>
        <w:rPr>
          <w:spacing w:val="-8"/>
        </w:rPr>
        <w:t xml:space="preserve"> </w:t>
      </w:r>
      <w:r>
        <w:t>Heat</w:t>
      </w:r>
      <w:r>
        <w:rPr>
          <w:spacing w:val="-7"/>
        </w:rPr>
        <w:t xml:space="preserve"> </w:t>
      </w:r>
      <w:r>
        <w:t>Pump</w:t>
      </w:r>
      <w:r>
        <w:rPr>
          <w:spacing w:val="-8"/>
        </w:rPr>
        <w:t xml:space="preserve"> </w:t>
      </w:r>
      <w:r>
        <w:t>Water</w:t>
      </w:r>
      <w:r>
        <w:rPr>
          <w:spacing w:val="-8"/>
        </w:rPr>
        <w:t xml:space="preserve"> </w:t>
      </w:r>
      <w:r>
        <w:rPr>
          <w:spacing w:val="-2"/>
        </w:rPr>
        <w:t>Heaters</w:t>
      </w:r>
    </w:p>
    <w:p w:rsidR="00C31389" w:rsidRDefault="00C31389" w14:paraId="4BDBC9DE" w14:textId="77777777">
      <w:pPr>
        <w:pStyle w:val="BodyText"/>
        <w:spacing w:before="7"/>
        <w:rPr>
          <w:b/>
          <w:sz w:val="13"/>
        </w:rPr>
      </w:pPr>
    </w:p>
    <w:p w:rsidR="00C31389" w:rsidRDefault="00561FBD" w14:paraId="49DC230A" w14:textId="77777777">
      <w:pPr>
        <w:spacing w:before="64"/>
        <w:ind w:left="1034"/>
        <w:rPr>
          <w:rFonts w:ascii="Calibri"/>
          <w:sz w:val="18"/>
        </w:rPr>
      </w:pPr>
      <w:r>
        <w:rPr>
          <w:noProof/>
        </w:rPr>
        <mc:AlternateContent>
          <mc:Choice Requires="wpg">
            <w:drawing>
              <wp:anchor distT="0" distB="0" distL="0" distR="0" simplePos="0" relativeHeight="15830016" behindDoc="0" locked="0" layoutInCell="1" allowOverlap="1" wp14:editId="41970BB6" wp14:anchorId="37E75AE6">
                <wp:simplePos x="0" y="0"/>
                <wp:positionH relativeFrom="page">
                  <wp:posOffset>1625018</wp:posOffset>
                </wp:positionH>
                <wp:positionV relativeFrom="paragraph">
                  <wp:posOffset>63097</wp:posOffset>
                </wp:positionV>
                <wp:extent cx="4697095" cy="2646680"/>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7095" cy="2646680"/>
                          <a:chOff x="0" y="0"/>
                          <a:chExt cx="4697095" cy="2646680"/>
                        </a:xfrm>
                      </wpg:grpSpPr>
                      <wps:wsp>
                        <wps:cNvPr id="665" name="Graphic 665"/>
                        <wps:cNvSpPr/>
                        <wps:spPr>
                          <a:xfrm>
                            <a:off x="4762" y="53578"/>
                            <a:ext cx="4516120" cy="2218690"/>
                          </a:xfrm>
                          <a:custGeom>
                            <a:avLst/>
                            <a:gdLst/>
                            <a:ahLst/>
                            <a:cxnLst/>
                            <a:rect l="l" t="t" r="r" b="b"/>
                            <a:pathLst>
                              <a:path w="4516120" h="2218690">
                                <a:moveTo>
                                  <a:pt x="0" y="2218093"/>
                                </a:moveTo>
                                <a:lnTo>
                                  <a:pt x="4515497" y="2218093"/>
                                </a:lnTo>
                              </a:path>
                              <a:path w="4516120" h="2218690">
                                <a:moveTo>
                                  <a:pt x="0" y="1848523"/>
                                </a:moveTo>
                                <a:lnTo>
                                  <a:pt x="4515497" y="1848523"/>
                                </a:lnTo>
                              </a:path>
                              <a:path w="4516120" h="2218690">
                                <a:moveTo>
                                  <a:pt x="0" y="1478953"/>
                                </a:moveTo>
                                <a:lnTo>
                                  <a:pt x="4515497" y="1478953"/>
                                </a:lnTo>
                              </a:path>
                              <a:path w="4516120" h="2218690">
                                <a:moveTo>
                                  <a:pt x="0" y="1109383"/>
                                </a:moveTo>
                                <a:lnTo>
                                  <a:pt x="4515497" y="1109383"/>
                                </a:lnTo>
                              </a:path>
                              <a:path w="4516120" h="2218690">
                                <a:moveTo>
                                  <a:pt x="0" y="739813"/>
                                </a:moveTo>
                                <a:lnTo>
                                  <a:pt x="4515497" y="739813"/>
                                </a:lnTo>
                              </a:path>
                              <a:path w="4516120" h="2218690">
                                <a:moveTo>
                                  <a:pt x="0" y="369481"/>
                                </a:moveTo>
                                <a:lnTo>
                                  <a:pt x="4515497" y="369481"/>
                                </a:lnTo>
                              </a:path>
                              <a:path w="4516120" h="2218690">
                                <a:moveTo>
                                  <a:pt x="0" y="0"/>
                                </a:moveTo>
                                <a:lnTo>
                                  <a:pt x="4515497" y="0"/>
                                </a:lnTo>
                              </a:path>
                            </a:pathLst>
                          </a:custGeom>
                          <a:ln w="9525">
                            <a:solidFill>
                              <a:srgbClr val="D9D9D9"/>
                            </a:solidFill>
                            <a:prstDash val="solid"/>
                          </a:ln>
                        </wps:spPr>
                        <wps:bodyPr wrap="square" lIns="0" tIns="0" rIns="0" bIns="0" rtlCol="0">
                          <a:prstTxWarp prst="textNoShape">
                            <a:avLst/>
                          </a:prstTxWarp>
                          <a:noAutofit/>
                        </wps:bodyPr>
                      </wps:wsp>
                      <wps:wsp>
                        <wps:cNvPr id="666" name="Graphic 666"/>
                        <wps:cNvSpPr/>
                        <wps:spPr>
                          <a:xfrm>
                            <a:off x="506295" y="53577"/>
                            <a:ext cx="4014470" cy="2588260"/>
                          </a:xfrm>
                          <a:custGeom>
                            <a:avLst/>
                            <a:gdLst/>
                            <a:ahLst/>
                            <a:cxnLst/>
                            <a:rect l="l" t="t" r="r" b="b"/>
                            <a:pathLst>
                              <a:path w="4014470" h="2588260">
                                <a:moveTo>
                                  <a:pt x="0" y="0"/>
                                </a:moveTo>
                                <a:lnTo>
                                  <a:pt x="0" y="2588221"/>
                                </a:lnTo>
                              </a:path>
                              <a:path w="4014470" h="2588260">
                                <a:moveTo>
                                  <a:pt x="502158" y="0"/>
                                </a:moveTo>
                                <a:lnTo>
                                  <a:pt x="502158" y="2588221"/>
                                </a:lnTo>
                              </a:path>
                              <a:path w="4014470" h="2588260">
                                <a:moveTo>
                                  <a:pt x="1003554" y="0"/>
                                </a:moveTo>
                                <a:lnTo>
                                  <a:pt x="1003554" y="2588221"/>
                                </a:lnTo>
                              </a:path>
                              <a:path w="4014470" h="2588260">
                                <a:moveTo>
                                  <a:pt x="1505712" y="0"/>
                                </a:moveTo>
                                <a:lnTo>
                                  <a:pt x="1505712" y="2588221"/>
                                </a:lnTo>
                              </a:path>
                              <a:path w="4014470" h="2588260">
                                <a:moveTo>
                                  <a:pt x="2007108" y="0"/>
                                </a:moveTo>
                                <a:lnTo>
                                  <a:pt x="2007108" y="2588221"/>
                                </a:lnTo>
                              </a:path>
                              <a:path w="4014470" h="2588260">
                                <a:moveTo>
                                  <a:pt x="2508504" y="0"/>
                                </a:moveTo>
                                <a:lnTo>
                                  <a:pt x="2508504" y="2588221"/>
                                </a:lnTo>
                              </a:path>
                              <a:path w="4014470" h="2588260">
                                <a:moveTo>
                                  <a:pt x="3010662" y="0"/>
                                </a:moveTo>
                                <a:lnTo>
                                  <a:pt x="3010662" y="2588221"/>
                                </a:lnTo>
                              </a:path>
                              <a:path w="4014470" h="2588260">
                                <a:moveTo>
                                  <a:pt x="3512058" y="0"/>
                                </a:moveTo>
                                <a:lnTo>
                                  <a:pt x="3512058" y="2588221"/>
                                </a:lnTo>
                              </a:path>
                              <a:path w="4014470" h="2588260">
                                <a:moveTo>
                                  <a:pt x="4013962" y="0"/>
                                </a:moveTo>
                                <a:lnTo>
                                  <a:pt x="4013962" y="2588221"/>
                                </a:lnTo>
                              </a:path>
                            </a:pathLst>
                          </a:custGeom>
                          <a:ln w="9525">
                            <a:solidFill>
                              <a:srgbClr val="D9D9D9"/>
                            </a:solidFill>
                            <a:prstDash val="solid"/>
                          </a:ln>
                        </wps:spPr>
                        <wps:bodyPr wrap="square" lIns="0" tIns="0" rIns="0" bIns="0" rtlCol="0">
                          <a:prstTxWarp prst="textNoShape">
                            <a:avLst/>
                          </a:prstTxWarp>
                          <a:noAutofit/>
                        </wps:bodyPr>
                      </wps:wsp>
                      <wps:wsp>
                        <wps:cNvPr id="667" name="Graphic 667"/>
                        <wps:cNvSpPr/>
                        <wps:spPr>
                          <a:xfrm>
                            <a:off x="4762" y="53573"/>
                            <a:ext cx="4516120" cy="2588260"/>
                          </a:xfrm>
                          <a:custGeom>
                            <a:avLst/>
                            <a:gdLst/>
                            <a:ahLst/>
                            <a:cxnLst/>
                            <a:rect l="l" t="t" r="r" b="b"/>
                            <a:pathLst>
                              <a:path w="4516120" h="2588260">
                                <a:moveTo>
                                  <a:pt x="0" y="2588221"/>
                                </a:moveTo>
                                <a:lnTo>
                                  <a:pt x="0" y="0"/>
                                </a:lnTo>
                              </a:path>
                              <a:path w="4516120" h="2588260">
                                <a:moveTo>
                                  <a:pt x="0" y="2588221"/>
                                </a:moveTo>
                                <a:lnTo>
                                  <a:pt x="4515497" y="2588221"/>
                                </a:lnTo>
                              </a:path>
                            </a:pathLst>
                          </a:custGeom>
                          <a:ln w="9525">
                            <a:solidFill>
                              <a:srgbClr val="BEBEBE"/>
                            </a:solidFill>
                            <a:prstDash val="solid"/>
                          </a:ln>
                        </wps:spPr>
                        <wps:bodyPr wrap="square" lIns="0" tIns="0" rIns="0" bIns="0" rtlCol="0">
                          <a:prstTxWarp prst="textNoShape">
                            <a:avLst/>
                          </a:prstTxWarp>
                          <a:noAutofit/>
                        </wps:bodyPr>
                      </wps:wsp>
                      <wps:wsp>
                        <wps:cNvPr id="668" name="Graphic 668"/>
                        <wps:cNvSpPr/>
                        <wps:spPr>
                          <a:xfrm>
                            <a:off x="205451" y="482047"/>
                            <a:ext cx="3311525" cy="1270"/>
                          </a:xfrm>
                          <a:custGeom>
                            <a:avLst/>
                            <a:gdLst/>
                            <a:ahLst/>
                            <a:cxnLst/>
                            <a:rect l="l" t="t" r="r" b="b"/>
                            <a:pathLst>
                              <a:path w="3311525">
                                <a:moveTo>
                                  <a:pt x="0" y="0"/>
                                </a:moveTo>
                                <a:lnTo>
                                  <a:pt x="3311359" y="0"/>
                                </a:lnTo>
                              </a:path>
                            </a:pathLst>
                          </a:custGeom>
                          <a:ln w="12700">
                            <a:solidFill>
                              <a:srgbClr val="000000"/>
                            </a:solidFill>
                            <a:prstDash val="dot"/>
                          </a:ln>
                        </wps:spPr>
                        <wps:bodyPr wrap="square" lIns="0" tIns="0" rIns="0" bIns="0" rtlCol="0">
                          <a:prstTxWarp prst="textNoShape">
                            <a:avLst/>
                          </a:prstTxWarp>
                          <a:noAutofit/>
                        </wps:bodyPr>
                      </wps:wsp>
                      <wps:wsp>
                        <wps:cNvPr id="669" name="Graphic 669"/>
                        <wps:cNvSpPr/>
                        <wps:spPr>
                          <a:xfrm>
                            <a:off x="205451" y="736520"/>
                            <a:ext cx="3311525" cy="1270"/>
                          </a:xfrm>
                          <a:custGeom>
                            <a:avLst/>
                            <a:gdLst/>
                            <a:ahLst/>
                            <a:cxnLst/>
                            <a:rect l="l" t="t" r="r" b="b"/>
                            <a:pathLst>
                              <a:path w="3311525">
                                <a:moveTo>
                                  <a:pt x="0" y="0"/>
                                </a:moveTo>
                                <a:lnTo>
                                  <a:pt x="3311359" y="0"/>
                                </a:lnTo>
                              </a:path>
                            </a:pathLst>
                          </a:custGeom>
                          <a:ln w="12700">
                            <a:solidFill>
                              <a:srgbClr val="000000"/>
                            </a:solidFill>
                            <a:prstDash val="dot"/>
                          </a:ln>
                        </wps:spPr>
                        <wps:bodyPr wrap="square" lIns="0" tIns="0" rIns="0" bIns="0" rtlCol="0">
                          <a:prstTxWarp prst="textNoShape">
                            <a:avLst/>
                          </a:prstTxWarp>
                          <a:noAutofit/>
                        </wps:bodyPr>
                      </wps:wsp>
                      <wps:wsp>
                        <wps:cNvPr id="670" name="Graphic 670"/>
                        <wps:cNvSpPr/>
                        <wps:spPr>
                          <a:xfrm>
                            <a:off x="574494" y="391270"/>
                            <a:ext cx="62865" cy="62865"/>
                          </a:xfrm>
                          <a:custGeom>
                            <a:avLst/>
                            <a:gdLst/>
                            <a:ahLst/>
                            <a:cxnLst/>
                            <a:rect l="l" t="t" r="r" b="b"/>
                            <a:pathLst>
                              <a:path w="62865" h="62865">
                                <a:moveTo>
                                  <a:pt x="31241" y="0"/>
                                </a:moveTo>
                                <a:lnTo>
                                  <a:pt x="19079" y="2454"/>
                                </a:lnTo>
                                <a:lnTo>
                                  <a:pt x="9148" y="9148"/>
                                </a:lnTo>
                                <a:lnTo>
                                  <a:pt x="2454" y="19079"/>
                                </a:lnTo>
                                <a:lnTo>
                                  <a:pt x="0" y="31242"/>
                                </a:lnTo>
                                <a:lnTo>
                                  <a:pt x="2454" y="43404"/>
                                </a:lnTo>
                                <a:lnTo>
                                  <a:pt x="9148" y="53335"/>
                                </a:lnTo>
                                <a:lnTo>
                                  <a:pt x="19079" y="60029"/>
                                </a:lnTo>
                                <a:lnTo>
                                  <a:pt x="31241" y="62484"/>
                                </a:lnTo>
                                <a:lnTo>
                                  <a:pt x="43404" y="60029"/>
                                </a:lnTo>
                                <a:lnTo>
                                  <a:pt x="53335" y="53335"/>
                                </a:lnTo>
                                <a:lnTo>
                                  <a:pt x="60029" y="43404"/>
                                </a:lnTo>
                                <a:lnTo>
                                  <a:pt x="62483" y="31242"/>
                                </a:lnTo>
                                <a:lnTo>
                                  <a:pt x="60029" y="19079"/>
                                </a:lnTo>
                                <a:lnTo>
                                  <a:pt x="53335" y="9148"/>
                                </a:lnTo>
                                <a:lnTo>
                                  <a:pt x="43404" y="2454"/>
                                </a:lnTo>
                                <a:lnTo>
                                  <a:pt x="31241" y="0"/>
                                </a:lnTo>
                                <a:close/>
                              </a:path>
                            </a:pathLst>
                          </a:custGeom>
                          <a:solidFill>
                            <a:srgbClr val="92D400"/>
                          </a:solidFill>
                        </wps:spPr>
                        <wps:bodyPr wrap="square" lIns="0" tIns="0" rIns="0" bIns="0" rtlCol="0">
                          <a:prstTxWarp prst="textNoShape">
                            <a:avLst/>
                          </a:prstTxWarp>
                          <a:noAutofit/>
                        </wps:bodyPr>
                      </wps:wsp>
                      <wps:wsp>
                        <wps:cNvPr id="671" name="Graphic 671"/>
                        <wps:cNvSpPr/>
                        <wps:spPr>
                          <a:xfrm>
                            <a:off x="574494" y="391270"/>
                            <a:ext cx="62865" cy="62865"/>
                          </a:xfrm>
                          <a:custGeom>
                            <a:avLst/>
                            <a:gdLst/>
                            <a:ahLst/>
                            <a:cxnLst/>
                            <a:rect l="l" t="t" r="r" b="b"/>
                            <a:pathLst>
                              <a:path w="62865" h="62865">
                                <a:moveTo>
                                  <a:pt x="62483" y="31242"/>
                                </a:moveTo>
                                <a:lnTo>
                                  <a:pt x="60029" y="43404"/>
                                </a:lnTo>
                                <a:lnTo>
                                  <a:pt x="53335" y="53335"/>
                                </a:lnTo>
                                <a:lnTo>
                                  <a:pt x="43404" y="60029"/>
                                </a:lnTo>
                                <a:lnTo>
                                  <a:pt x="31241" y="62484"/>
                                </a:lnTo>
                                <a:lnTo>
                                  <a:pt x="19079" y="60029"/>
                                </a:lnTo>
                                <a:lnTo>
                                  <a:pt x="9148" y="53335"/>
                                </a:lnTo>
                                <a:lnTo>
                                  <a:pt x="2454" y="43404"/>
                                </a:lnTo>
                                <a:lnTo>
                                  <a:pt x="0" y="31242"/>
                                </a:lnTo>
                                <a:lnTo>
                                  <a:pt x="2454" y="19079"/>
                                </a:lnTo>
                                <a:lnTo>
                                  <a:pt x="9148" y="9148"/>
                                </a:lnTo>
                                <a:lnTo>
                                  <a:pt x="19079" y="2454"/>
                                </a:lnTo>
                                <a:lnTo>
                                  <a:pt x="31241" y="0"/>
                                </a:lnTo>
                                <a:lnTo>
                                  <a:pt x="43404" y="2454"/>
                                </a:lnTo>
                                <a:lnTo>
                                  <a:pt x="53335" y="9148"/>
                                </a:lnTo>
                                <a:lnTo>
                                  <a:pt x="60029" y="19079"/>
                                </a:lnTo>
                                <a:lnTo>
                                  <a:pt x="62483" y="31242"/>
                                </a:lnTo>
                                <a:close/>
                              </a:path>
                            </a:pathLst>
                          </a:custGeom>
                          <a:ln w="9525">
                            <a:solidFill>
                              <a:srgbClr val="92D400"/>
                            </a:solidFill>
                            <a:prstDash val="solid"/>
                          </a:ln>
                        </wps:spPr>
                        <wps:bodyPr wrap="square" lIns="0" tIns="0" rIns="0" bIns="0" rtlCol="0">
                          <a:prstTxWarp prst="textNoShape">
                            <a:avLst/>
                          </a:prstTxWarp>
                          <a:noAutofit/>
                        </wps:bodyPr>
                      </wps:wsp>
                      <pic:pic xmlns:pic="http://schemas.openxmlformats.org/drawingml/2006/picture">
                        <pic:nvPicPr>
                          <pic:cNvPr id="672" name="Image 672"/>
                          <pic:cNvPicPr/>
                        </pic:nvPicPr>
                        <pic:blipFill>
                          <a:blip r:embed="rId226" cstate="print"/>
                          <a:stretch>
                            <a:fillRect/>
                          </a:stretch>
                        </pic:blipFill>
                        <pic:spPr>
                          <a:xfrm>
                            <a:off x="3981968" y="1051733"/>
                            <a:ext cx="72009" cy="72009"/>
                          </a:xfrm>
                          <a:prstGeom prst="rect">
                            <a:avLst/>
                          </a:prstGeom>
                        </pic:spPr>
                      </pic:pic>
                      <pic:pic xmlns:pic="http://schemas.openxmlformats.org/drawingml/2006/picture">
                        <pic:nvPicPr>
                          <pic:cNvPr id="673" name="Image 673"/>
                          <pic:cNvPicPr/>
                        </pic:nvPicPr>
                        <pic:blipFill>
                          <a:blip r:embed="rId226" cstate="print"/>
                          <a:stretch>
                            <a:fillRect/>
                          </a:stretch>
                        </pic:blipFill>
                        <pic:spPr>
                          <a:xfrm>
                            <a:off x="870722" y="445182"/>
                            <a:ext cx="72008" cy="72009"/>
                          </a:xfrm>
                          <a:prstGeom prst="rect">
                            <a:avLst/>
                          </a:prstGeom>
                        </pic:spPr>
                      </pic:pic>
                      <pic:pic xmlns:pic="http://schemas.openxmlformats.org/drawingml/2006/picture">
                        <pic:nvPicPr>
                          <pic:cNvPr id="674" name="Image 674"/>
                          <pic:cNvPicPr/>
                        </pic:nvPicPr>
                        <pic:blipFill>
                          <a:blip r:embed="rId226" cstate="print"/>
                          <a:stretch>
                            <a:fillRect/>
                          </a:stretch>
                        </pic:blipFill>
                        <pic:spPr>
                          <a:xfrm>
                            <a:off x="2175266" y="699691"/>
                            <a:ext cx="72009" cy="72009"/>
                          </a:xfrm>
                          <a:prstGeom prst="rect">
                            <a:avLst/>
                          </a:prstGeom>
                        </pic:spPr>
                      </pic:pic>
                      <wps:wsp>
                        <wps:cNvPr id="675" name="Graphic 675"/>
                        <wps:cNvSpPr/>
                        <wps:spPr>
                          <a:xfrm>
                            <a:off x="448675" y="298774"/>
                            <a:ext cx="158750" cy="125095"/>
                          </a:xfrm>
                          <a:custGeom>
                            <a:avLst/>
                            <a:gdLst/>
                            <a:ahLst/>
                            <a:cxnLst/>
                            <a:rect l="l" t="t" r="r" b="b"/>
                            <a:pathLst>
                              <a:path w="158750" h="125095">
                                <a:moveTo>
                                  <a:pt x="158153" y="124548"/>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676" name="Graphic 676"/>
                        <wps:cNvSpPr/>
                        <wps:spPr>
                          <a:xfrm>
                            <a:off x="4018535" y="1088865"/>
                            <a:ext cx="245745" cy="127635"/>
                          </a:xfrm>
                          <a:custGeom>
                            <a:avLst/>
                            <a:gdLst/>
                            <a:ahLst/>
                            <a:cxnLst/>
                            <a:rect l="l" t="t" r="r" b="b"/>
                            <a:pathLst>
                              <a:path w="245745" h="127635">
                                <a:moveTo>
                                  <a:pt x="0" y="0"/>
                                </a:moveTo>
                                <a:lnTo>
                                  <a:pt x="245338" y="127101"/>
                                </a:lnTo>
                              </a:path>
                            </a:pathLst>
                          </a:custGeom>
                          <a:ln w="9525">
                            <a:solidFill>
                              <a:srgbClr val="A6A6A6"/>
                            </a:solidFill>
                            <a:prstDash val="solid"/>
                          </a:ln>
                        </wps:spPr>
                        <wps:bodyPr wrap="square" lIns="0" tIns="0" rIns="0" bIns="0" rtlCol="0">
                          <a:prstTxWarp prst="textNoShape">
                            <a:avLst/>
                          </a:prstTxWarp>
                          <a:noAutofit/>
                        </wps:bodyPr>
                      </wps:wsp>
                      <wps:wsp>
                        <wps:cNvPr id="677" name="Graphic 677"/>
                        <wps:cNvSpPr/>
                        <wps:spPr>
                          <a:xfrm>
                            <a:off x="907862" y="274846"/>
                            <a:ext cx="457200" cy="207645"/>
                          </a:xfrm>
                          <a:custGeom>
                            <a:avLst/>
                            <a:gdLst/>
                            <a:ahLst/>
                            <a:cxnLst/>
                            <a:rect l="l" t="t" r="r" b="b"/>
                            <a:pathLst>
                              <a:path w="457200" h="207645">
                                <a:moveTo>
                                  <a:pt x="0" y="207200"/>
                                </a:moveTo>
                                <a:lnTo>
                                  <a:pt x="456844" y="0"/>
                                </a:lnTo>
                              </a:path>
                            </a:pathLst>
                          </a:custGeom>
                          <a:ln w="9525">
                            <a:solidFill>
                              <a:srgbClr val="A6A6A6"/>
                            </a:solidFill>
                            <a:prstDash val="solid"/>
                          </a:ln>
                        </wps:spPr>
                        <wps:bodyPr wrap="square" lIns="0" tIns="0" rIns="0" bIns="0" rtlCol="0">
                          <a:prstTxWarp prst="textNoShape">
                            <a:avLst/>
                          </a:prstTxWarp>
                          <a:noAutofit/>
                        </wps:bodyPr>
                      </wps:wsp>
                      <wps:wsp>
                        <wps:cNvPr id="678" name="Graphic 678"/>
                        <wps:cNvSpPr/>
                        <wps:spPr>
                          <a:xfrm>
                            <a:off x="1913189" y="736520"/>
                            <a:ext cx="299720" cy="426720"/>
                          </a:xfrm>
                          <a:custGeom>
                            <a:avLst/>
                            <a:gdLst/>
                            <a:ahLst/>
                            <a:cxnLst/>
                            <a:rect l="l" t="t" r="r" b="b"/>
                            <a:pathLst>
                              <a:path w="299720" h="426720">
                                <a:moveTo>
                                  <a:pt x="299148" y="0"/>
                                </a:moveTo>
                                <a:lnTo>
                                  <a:pt x="56908" y="426720"/>
                                </a:lnTo>
                                <a:lnTo>
                                  <a:pt x="0" y="426720"/>
                                </a:lnTo>
                              </a:path>
                            </a:pathLst>
                          </a:custGeom>
                          <a:ln w="9525">
                            <a:solidFill>
                              <a:srgbClr val="A6A6A6"/>
                            </a:solidFill>
                            <a:prstDash val="solid"/>
                          </a:ln>
                        </wps:spPr>
                        <wps:bodyPr wrap="square" lIns="0" tIns="0" rIns="0" bIns="0" rtlCol="0">
                          <a:prstTxWarp prst="textNoShape">
                            <a:avLst/>
                          </a:prstTxWarp>
                          <a:noAutofit/>
                        </wps:bodyPr>
                      </wps:wsp>
                      <wps:wsp>
                        <wps:cNvPr id="679" name="Graphic 679"/>
                        <wps:cNvSpPr/>
                        <wps:spPr>
                          <a:xfrm>
                            <a:off x="606828" y="423322"/>
                            <a:ext cx="3411854" cy="666115"/>
                          </a:xfrm>
                          <a:custGeom>
                            <a:avLst/>
                            <a:gdLst/>
                            <a:ahLst/>
                            <a:cxnLst/>
                            <a:rect l="l" t="t" r="r" b="b"/>
                            <a:pathLst>
                              <a:path w="3411854" h="666115">
                                <a:moveTo>
                                  <a:pt x="0" y="0"/>
                                </a:moveTo>
                                <a:lnTo>
                                  <a:pt x="3411702" y="665543"/>
                                </a:lnTo>
                              </a:path>
                            </a:pathLst>
                          </a:custGeom>
                          <a:ln w="9525">
                            <a:solidFill>
                              <a:srgbClr val="669329"/>
                            </a:solidFill>
                            <a:prstDash val="sysDot"/>
                          </a:ln>
                        </wps:spPr>
                        <wps:bodyPr wrap="square" lIns="0" tIns="0" rIns="0" bIns="0" rtlCol="0">
                          <a:prstTxWarp prst="textNoShape">
                            <a:avLst/>
                          </a:prstTxWarp>
                          <a:noAutofit/>
                        </wps:bodyPr>
                      </wps:wsp>
                      <wps:wsp>
                        <wps:cNvPr id="680" name="Textbox 680"/>
                        <wps:cNvSpPr txBox="1"/>
                        <wps:spPr>
                          <a:xfrm>
                            <a:off x="524139" y="163448"/>
                            <a:ext cx="357505" cy="114300"/>
                          </a:xfrm>
                          <a:prstGeom prst="rect">
                            <a:avLst/>
                          </a:prstGeom>
                        </wps:spPr>
                        <wps:txbx>
                          <w:txbxContent>
                            <w:p w:rsidR="00C31389" w:rsidRDefault="00561FBD" w14:paraId="3ABE63C3" w14:textId="77777777">
                              <w:pPr>
                                <w:spacing w:line="180" w:lineRule="exact"/>
                                <w:rPr>
                                  <w:rFonts w:ascii="Calibri"/>
                                  <w:sz w:val="18"/>
                                </w:rPr>
                              </w:pPr>
                              <w:r>
                                <w:rPr>
                                  <w:rFonts w:ascii="Calibri"/>
                                  <w:color w:val="68942C"/>
                                  <w:sz w:val="18"/>
                                </w:rPr>
                                <w:t xml:space="preserve">in </w:t>
                              </w:r>
                              <w:r>
                                <w:rPr>
                                  <w:rFonts w:ascii="Calibri"/>
                                  <w:color w:val="68942C"/>
                                  <w:spacing w:val="-4"/>
                                  <w:sz w:val="18"/>
                                </w:rPr>
                                <w:t>2016</w:t>
                              </w:r>
                            </w:p>
                          </w:txbxContent>
                        </wps:txbx>
                        <wps:bodyPr wrap="square" lIns="0" tIns="0" rIns="0" bIns="0" rtlCol="0">
                          <a:noAutofit/>
                        </wps:bodyPr>
                      </wps:wsp>
                      <wps:wsp>
                        <wps:cNvPr id="681" name="Textbox 681"/>
                        <wps:cNvSpPr txBox="1"/>
                        <wps:spPr>
                          <a:xfrm>
                            <a:off x="970112" y="0"/>
                            <a:ext cx="802640" cy="254000"/>
                          </a:xfrm>
                          <a:prstGeom prst="rect">
                            <a:avLst/>
                          </a:prstGeom>
                        </wps:spPr>
                        <wps:txbx>
                          <w:txbxContent>
                            <w:p w:rsidR="00C31389" w:rsidRDefault="00561FBD" w14:paraId="408F0DD6" w14:textId="77777777">
                              <w:pPr>
                                <w:spacing w:line="183" w:lineRule="exact"/>
                                <w:ind w:right="18"/>
                                <w:jc w:val="center"/>
                                <w:rPr>
                                  <w:rFonts w:ascii="Calibri"/>
                                  <w:sz w:val="18"/>
                                </w:rPr>
                              </w:pPr>
                              <w:r>
                                <w:rPr>
                                  <w:rFonts w:ascii="Calibri"/>
                                  <w:color w:val="68942C"/>
                                  <w:sz w:val="18"/>
                                </w:rPr>
                                <w:t>Projected</w:t>
                              </w:r>
                              <w:r>
                                <w:rPr>
                                  <w:rFonts w:ascii="Calibri"/>
                                  <w:color w:val="68942C"/>
                                  <w:spacing w:val="-3"/>
                                  <w:sz w:val="18"/>
                                </w:rPr>
                                <w:t xml:space="preserve"> </w:t>
                              </w:r>
                              <w:r>
                                <w:rPr>
                                  <w:rFonts w:ascii="Calibri"/>
                                  <w:color w:val="68942C"/>
                                  <w:sz w:val="18"/>
                                </w:rPr>
                                <w:t>Cost</w:t>
                              </w:r>
                              <w:r>
                                <w:rPr>
                                  <w:rFonts w:ascii="Calibri"/>
                                  <w:color w:val="68942C"/>
                                  <w:spacing w:val="-3"/>
                                  <w:sz w:val="18"/>
                                </w:rPr>
                                <w:t xml:space="preserve"> </w:t>
                              </w:r>
                              <w:r>
                                <w:rPr>
                                  <w:rFonts w:ascii="Calibri"/>
                                  <w:color w:val="68942C"/>
                                  <w:spacing w:val="-5"/>
                                  <w:sz w:val="18"/>
                                </w:rPr>
                                <w:t>in</w:t>
                              </w:r>
                            </w:p>
                            <w:p w:rsidR="00C31389" w:rsidRDefault="00561FBD" w14:paraId="4B129EE3" w14:textId="77777777">
                              <w:pPr>
                                <w:spacing w:line="216" w:lineRule="exact"/>
                                <w:ind w:right="17"/>
                                <w:jc w:val="center"/>
                                <w:rPr>
                                  <w:rFonts w:ascii="Calibri"/>
                                  <w:sz w:val="18"/>
                                </w:rPr>
                              </w:pPr>
                              <w:r>
                                <w:rPr>
                                  <w:rFonts w:ascii="Calibri"/>
                                  <w:color w:val="68942C"/>
                                  <w:spacing w:val="-4"/>
                                  <w:sz w:val="18"/>
                                </w:rPr>
                                <w:t>2019</w:t>
                              </w:r>
                            </w:p>
                          </w:txbxContent>
                        </wps:txbx>
                        <wps:bodyPr wrap="square" lIns="0" tIns="0" rIns="0" bIns="0" rtlCol="0">
                          <a:noAutofit/>
                        </wps:bodyPr>
                      </wps:wsp>
                      <wps:wsp>
                        <wps:cNvPr id="682" name="Textbox 682"/>
                        <wps:cNvSpPr txBox="1"/>
                        <wps:spPr>
                          <a:xfrm>
                            <a:off x="1085898" y="1046988"/>
                            <a:ext cx="802640" cy="254000"/>
                          </a:xfrm>
                          <a:prstGeom prst="rect">
                            <a:avLst/>
                          </a:prstGeom>
                        </wps:spPr>
                        <wps:txbx>
                          <w:txbxContent>
                            <w:p w:rsidR="00C31389" w:rsidRDefault="00561FBD" w14:paraId="023D572D" w14:textId="77777777">
                              <w:pPr>
                                <w:spacing w:line="183" w:lineRule="exact"/>
                                <w:ind w:right="18"/>
                                <w:jc w:val="center"/>
                                <w:rPr>
                                  <w:rFonts w:ascii="Calibri"/>
                                  <w:sz w:val="18"/>
                                </w:rPr>
                              </w:pPr>
                              <w:r>
                                <w:rPr>
                                  <w:rFonts w:ascii="Calibri"/>
                                  <w:color w:val="68942C"/>
                                  <w:sz w:val="18"/>
                                </w:rPr>
                                <w:t>Projected</w:t>
                              </w:r>
                              <w:r>
                                <w:rPr>
                                  <w:rFonts w:ascii="Calibri"/>
                                  <w:color w:val="68942C"/>
                                  <w:spacing w:val="-3"/>
                                  <w:sz w:val="18"/>
                                </w:rPr>
                                <w:t xml:space="preserve"> </w:t>
                              </w:r>
                              <w:r>
                                <w:rPr>
                                  <w:rFonts w:ascii="Calibri"/>
                                  <w:color w:val="68942C"/>
                                  <w:sz w:val="18"/>
                                </w:rPr>
                                <w:t>Cost</w:t>
                              </w:r>
                              <w:r>
                                <w:rPr>
                                  <w:rFonts w:ascii="Calibri"/>
                                  <w:color w:val="68942C"/>
                                  <w:spacing w:val="-3"/>
                                  <w:sz w:val="18"/>
                                </w:rPr>
                                <w:t xml:space="preserve"> </w:t>
                              </w:r>
                              <w:r>
                                <w:rPr>
                                  <w:rFonts w:ascii="Calibri"/>
                                  <w:color w:val="68942C"/>
                                  <w:spacing w:val="-5"/>
                                  <w:sz w:val="18"/>
                                </w:rPr>
                                <w:t>in</w:t>
                              </w:r>
                            </w:p>
                            <w:p w:rsidR="00C31389" w:rsidRDefault="00561FBD" w14:paraId="06460B1B" w14:textId="77777777">
                              <w:pPr>
                                <w:spacing w:line="216" w:lineRule="exact"/>
                                <w:ind w:right="17"/>
                                <w:jc w:val="center"/>
                                <w:rPr>
                                  <w:rFonts w:ascii="Calibri"/>
                                  <w:sz w:val="18"/>
                                </w:rPr>
                              </w:pPr>
                              <w:r>
                                <w:rPr>
                                  <w:rFonts w:ascii="Calibri"/>
                                  <w:color w:val="68942C"/>
                                  <w:spacing w:val="-4"/>
                                  <w:sz w:val="18"/>
                                </w:rPr>
                                <w:t>2032</w:t>
                              </w:r>
                            </w:p>
                          </w:txbxContent>
                        </wps:txbx>
                        <wps:bodyPr wrap="square" lIns="0" tIns="0" rIns="0" bIns="0" rtlCol="0">
                          <a:noAutofit/>
                        </wps:bodyPr>
                      </wps:wsp>
                      <wps:wsp>
                        <wps:cNvPr id="683" name="Textbox 683"/>
                        <wps:cNvSpPr txBox="1"/>
                        <wps:spPr>
                          <a:xfrm>
                            <a:off x="4035329" y="1258214"/>
                            <a:ext cx="661670" cy="114300"/>
                          </a:xfrm>
                          <a:prstGeom prst="rect">
                            <a:avLst/>
                          </a:prstGeom>
                        </wps:spPr>
                        <wps:txbx>
                          <w:txbxContent>
                            <w:p w:rsidR="00C31389" w:rsidRDefault="00561FBD" w14:paraId="4265F90D" w14:textId="77777777">
                              <w:pPr>
                                <w:spacing w:line="180" w:lineRule="exact"/>
                                <w:rPr>
                                  <w:rFonts w:ascii="Calibri"/>
                                  <w:sz w:val="18"/>
                                </w:rPr>
                              </w:pPr>
                              <w:r>
                                <w:rPr>
                                  <w:rFonts w:ascii="Calibri"/>
                                  <w:color w:val="68942C"/>
                                  <w:sz w:val="18"/>
                                </w:rPr>
                                <w:t>L</w:t>
                              </w:r>
                              <w:r>
                                <w:rPr>
                                  <w:rFonts w:ascii="Calibri"/>
                                  <w:color w:val="68942C"/>
                                  <w:spacing w:val="-1"/>
                                  <w:sz w:val="18"/>
                                </w:rPr>
                                <w:t xml:space="preserve"> </w:t>
                              </w:r>
                              <w:r>
                                <w:rPr>
                                  <w:rFonts w:ascii="Calibri"/>
                                  <w:color w:val="68942C"/>
                                  <w:sz w:val="18"/>
                                </w:rPr>
                                <w:t>Cost</w:t>
                              </w:r>
                              <w:r>
                                <w:rPr>
                                  <w:rFonts w:ascii="Calibri"/>
                                  <w:color w:val="68942C"/>
                                  <w:spacing w:val="-2"/>
                                  <w:sz w:val="18"/>
                                </w:rPr>
                                <w:t xml:space="preserve"> </w:t>
                              </w:r>
                              <w:r>
                                <w:rPr>
                                  <w:rFonts w:ascii="Calibri"/>
                                  <w:color w:val="68942C"/>
                                  <w:sz w:val="18"/>
                                </w:rPr>
                                <w:t xml:space="preserve">in </w:t>
                              </w:r>
                              <w:r>
                                <w:rPr>
                                  <w:rFonts w:ascii="Calibri"/>
                                  <w:color w:val="68942C"/>
                                  <w:spacing w:val="-4"/>
                                  <w:sz w:val="18"/>
                                </w:rPr>
                                <w:t>2050</w:t>
                              </w:r>
                            </w:p>
                          </w:txbxContent>
                        </wps:txbx>
                        <wps:bodyPr wrap="square" lIns="0" tIns="0" rIns="0" bIns="0" rtlCol="0">
                          <a:noAutofit/>
                        </wps:bodyPr>
                      </wps:wsp>
                      <wps:wsp>
                        <wps:cNvPr id="684" name="Textbox 684"/>
                        <wps:cNvSpPr txBox="1"/>
                        <wps:spPr>
                          <a:xfrm>
                            <a:off x="3516957" y="1162962"/>
                            <a:ext cx="501650" cy="369570"/>
                          </a:xfrm>
                          <a:prstGeom prst="rect">
                            <a:avLst/>
                          </a:prstGeom>
                          <a:ln w="9525">
                            <a:solidFill>
                              <a:srgbClr val="D9D9D9"/>
                            </a:solidFill>
                            <a:prstDash val="solid"/>
                          </a:ln>
                        </wps:spPr>
                        <wps:txbx>
                          <w:txbxContent>
                            <w:p w:rsidR="00C31389" w:rsidRDefault="00561FBD" w14:paraId="52C16DB8" w14:textId="77777777">
                              <w:pPr>
                                <w:spacing w:before="106"/>
                                <w:ind w:left="507" w:right="-44"/>
                                <w:rPr>
                                  <w:rFonts w:ascii="Calibri"/>
                                  <w:sz w:val="18"/>
                                </w:rPr>
                              </w:pPr>
                              <w:r>
                                <w:rPr>
                                  <w:rFonts w:ascii="Calibri"/>
                                  <w:color w:val="68942C"/>
                                  <w:spacing w:val="-5"/>
                                  <w:sz w:val="18"/>
                                </w:rPr>
                                <w:t>NRE</w:t>
                              </w:r>
                            </w:p>
                          </w:txbxContent>
                        </wps:txbx>
                        <wps:bodyPr wrap="square" lIns="0" tIns="0" rIns="0" bIns="0" rtlCol="0">
                          <a:noAutofit/>
                        </wps:bodyPr>
                      </wps:wsp>
                      <wps:wsp>
                        <wps:cNvPr id="685" name="Textbox 685"/>
                        <wps:cNvSpPr txBox="1"/>
                        <wps:spPr>
                          <a:xfrm>
                            <a:off x="4018353" y="423060"/>
                            <a:ext cx="502284" cy="370840"/>
                          </a:xfrm>
                          <a:prstGeom prst="rect">
                            <a:avLst/>
                          </a:prstGeom>
                          <a:ln w="9525">
                            <a:solidFill>
                              <a:srgbClr val="D9D9D9"/>
                            </a:solidFill>
                            <a:prstDash val="solid"/>
                          </a:ln>
                        </wps:spPr>
                        <wps:txbx>
                          <w:txbxContent>
                            <w:p w:rsidR="00C31389" w:rsidRDefault="00561FBD" w14:paraId="12A90296" w14:textId="77777777">
                              <w:pPr>
                                <w:spacing w:line="128" w:lineRule="exact"/>
                                <w:ind w:left="103"/>
                                <w:rPr>
                                  <w:rFonts w:ascii="Calibri"/>
                                  <w:sz w:val="18"/>
                                </w:rPr>
                              </w:pPr>
                              <w:r>
                                <w:rPr>
                                  <w:rFonts w:ascii="Calibri"/>
                                  <w:color w:val="404040"/>
                                  <w:sz w:val="18"/>
                                </w:rPr>
                                <w:t xml:space="preserve">19 </w:t>
                              </w:r>
                              <w:r>
                                <w:rPr>
                                  <w:rFonts w:ascii="Calibri"/>
                                  <w:color w:val="404040"/>
                                  <w:spacing w:val="-4"/>
                                  <w:sz w:val="18"/>
                                </w:rPr>
                                <w:t>Cost</w:t>
                              </w:r>
                            </w:p>
                            <w:p w:rsidR="00C31389" w:rsidRDefault="00C31389" w14:paraId="78D4F1A1" w14:textId="77777777">
                              <w:pPr>
                                <w:spacing w:before="4"/>
                                <w:rPr>
                                  <w:rFonts w:ascii="Calibri"/>
                                  <w:sz w:val="19"/>
                                </w:rPr>
                              </w:pPr>
                            </w:p>
                            <w:p w:rsidR="00C31389" w:rsidRDefault="00561FBD" w14:paraId="1C46B616" w14:textId="77777777">
                              <w:pPr>
                                <w:spacing w:before="1" w:line="204" w:lineRule="exact"/>
                                <w:ind w:left="99"/>
                                <w:rPr>
                                  <w:rFonts w:ascii="Calibri"/>
                                  <w:sz w:val="18"/>
                                </w:rPr>
                              </w:pPr>
                              <w:r>
                                <w:rPr>
                                  <w:rFonts w:ascii="Calibri"/>
                                  <w:color w:val="404040"/>
                                  <w:sz w:val="18"/>
                                </w:rPr>
                                <w:t xml:space="preserve">9 </w:t>
                              </w:r>
                              <w:r>
                                <w:rPr>
                                  <w:rFonts w:ascii="Calibri"/>
                                  <w:color w:val="404040"/>
                                  <w:spacing w:val="-4"/>
                                  <w:sz w:val="18"/>
                                </w:rPr>
                                <w:t>Cost</w:t>
                              </w:r>
                            </w:p>
                          </w:txbxContent>
                        </wps:txbx>
                        <wps:bodyPr wrap="square" lIns="0" tIns="0" rIns="0" bIns="0" rtlCol="0">
                          <a:noAutofit/>
                        </wps:bodyPr>
                      </wps:wsp>
                      <wps:wsp>
                        <wps:cNvPr id="686" name="Textbox 686"/>
                        <wps:cNvSpPr txBox="1"/>
                        <wps:spPr>
                          <a:xfrm>
                            <a:off x="3516957" y="423060"/>
                            <a:ext cx="501650" cy="370840"/>
                          </a:xfrm>
                          <a:prstGeom prst="rect">
                            <a:avLst/>
                          </a:prstGeom>
                          <a:ln w="9525">
                            <a:solidFill>
                              <a:srgbClr val="D9D9D9"/>
                            </a:solidFill>
                            <a:prstDash val="solid"/>
                          </a:ln>
                        </wps:spPr>
                        <wps:txbx>
                          <w:txbxContent>
                            <w:p w:rsidR="00C31389" w:rsidRDefault="00561FBD" w14:paraId="026ECD7A" w14:textId="77777777">
                              <w:pPr>
                                <w:spacing w:line="128" w:lineRule="exact"/>
                                <w:ind w:left="76" w:right="-130"/>
                                <w:rPr>
                                  <w:rFonts w:ascii="Calibri"/>
                                  <w:sz w:val="18"/>
                                </w:rPr>
                              </w:pPr>
                              <w:r>
                                <w:rPr>
                                  <w:rFonts w:ascii="Calibri"/>
                                  <w:color w:val="404040"/>
                                  <w:sz w:val="18"/>
                                </w:rPr>
                                <w:t>100%</w:t>
                              </w:r>
                              <w:r>
                                <w:rPr>
                                  <w:rFonts w:ascii="Calibri"/>
                                  <w:color w:val="404040"/>
                                  <w:spacing w:val="-2"/>
                                  <w:sz w:val="18"/>
                                </w:rPr>
                                <w:t xml:space="preserve"> </w:t>
                              </w:r>
                              <w:r>
                                <w:rPr>
                                  <w:rFonts w:ascii="Calibri"/>
                                  <w:color w:val="404040"/>
                                  <w:sz w:val="18"/>
                                </w:rPr>
                                <w:t xml:space="preserve">of </w:t>
                              </w:r>
                              <w:r>
                                <w:rPr>
                                  <w:rFonts w:ascii="Calibri"/>
                                  <w:color w:val="404040"/>
                                  <w:spacing w:val="-5"/>
                                  <w:sz w:val="18"/>
                                </w:rPr>
                                <w:t>20</w:t>
                              </w:r>
                            </w:p>
                            <w:p w:rsidR="00C31389" w:rsidRDefault="00C31389" w14:paraId="6FCD68A8" w14:textId="77777777">
                              <w:pPr>
                                <w:spacing w:before="4"/>
                                <w:rPr>
                                  <w:rFonts w:ascii="Calibri"/>
                                  <w:sz w:val="19"/>
                                </w:rPr>
                              </w:pPr>
                            </w:p>
                            <w:p w:rsidR="00C31389" w:rsidRDefault="00561FBD" w14:paraId="3634DCBC" w14:textId="77777777">
                              <w:pPr>
                                <w:spacing w:before="1" w:line="204" w:lineRule="exact"/>
                                <w:ind w:left="72" w:right="-116"/>
                                <w:rPr>
                                  <w:rFonts w:ascii="Calibri"/>
                                  <w:sz w:val="18"/>
                                </w:rPr>
                              </w:pPr>
                              <w:r>
                                <w:rPr>
                                  <w:rFonts w:ascii="Calibri"/>
                                  <w:color w:val="404040"/>
                                  <w:sz w:val="18"/>
                                </w:rPr>
                                <w:t>88%</w:t>
                              </w:r>
                              <w:r>
                                <w:rPr>
                                  <w:rFonts w:ascii="Calibri"/>
                                  <w:color w:val="404040"/>
                                  <w:spacing w:val="-2"/>
                                  <w:sz w:val="18"/>
                                </w:rPr>
                                <w:t xml:space="preserve"> </w:t>
                              </w:r>
                              <w:r>
                                <w:rPr>
                                  <w:rFonts w:ascii="Calibri"/>
                                  <w:color w:val="404040"/>
                                  <w:sz w:val="18"/>
                                </w:rPr>
                                <w:t xml:space="preserve">of </w:t>
                              </w:r>
                              <w:r>
                                <w:rPr>
                                  <w:rFonts w:ascii="Calibri"/>
                                  <w:color w:val="404040"/>
                                  <w:spacing w:val="-5"/>
                                  <w:sz w:val="18"/>
                                </w:rPr>
                                <w:t>201</w:t>
                              </w:r>
                            </w:p>
                          </w:txbxContent>
                        </wps:txbx>
                        <wps:bodyPr wrap="square" lIns="0" tIns="0" rIns="0" bIns="0" rtlCol="0">
                          <a:noAutofit/>
                        </wps:bodyPr>
                      </wps:wsp>
                      <wps:wsp>
                        <wps:cNvPr id="687" name="Textbox 687"/>
                        <wps:cNvSpPr txBox="1"/>
                        <wps:spPr>
                          <a:xfrm>
                            <a:off x="9525" y="58341"/>
                            <a:ext cx="492125" cy="360045"/>
                          </a:xfrm>
                          <a:prstGeom prst="rect">
                            <a:avLst/>
                          </a:prstGeom>
                        </wps:spPr>
                        <wps:txbx>
                          <w:txbxContent>
                            <w:p w:rsidR="00C31389" w:rsidRDefault="00561FBD" w14:paraId="49BE7AE7" w14:textId="77777777">
                              <w:pPr>
                                <w:spacing w:before="129"/>
                                <w:ind w:left="30"/>
                                <w:rPr>
                                  <w:rFonts w:ascii="Calibri"/>
                                  <w:sz w:val="18"/>
                                </w:rPr>
                              </w:pPr>
                              <w:r>
                                <w:rPr>
                                  <w:rFonts w:ascii="Calibri"/>
                                  <w:color w:val="68942C"/>
                                  <w:sz w:val="18"/>
                                </w:rPr>
                                <w:t>NREL</w:t>
                              </w:r>
                              <w:r>
                                <w:rPr>
                                  <w:rFonts w:ascii="Calibri"/>
                                  <w:color w:val="68942C"/>
                                  <w:spacing w:val="-3"/>
                                  <w:sz w:val="18"/>
                                </w:rPr>
                                <w:t xml:space="preserve"> </w:t>
                              </w:r>
                              <w:r>
                                <w:rPr>
                                  <w:rFonts w:ascii="Calibri"/>
                                  <w:color w:val="68942C"/>
                                  <w:spacing w:val="-4"/>
                                  <w:sz w:val="18"/>
                                </w:rPr>
                                <w:t>Cost</w:t>
                              </w:r>
                            </w:p>
                          </w:txbxContent>
                        </wps:txbx>
                        <wps:bodyPr wrap="square" lIns="0" tIns="0" rIns="0" bIns="0" rtlCol="0">
                          <a:noAutofit/>
                        </wps:bodyPr>
                      </wps:wsp>
                    </wpg:wgp>
                  </a:graphicData>
                </a:graphic>
              </wp:anchor>
            </w:drawing>
          </mc:Choice>
          <mc:Fallback>
            <w:pict>
              <v:group id="Group 664" style="position:absolute;left:0;text-align:left;margin-left:127.95pt;margin-top:4.95pt;width:369.85pt;height:208.4pt;z-index:15830016;mso-wrap-distance-left:0;mso-wrap-distance-right:0;mso-position-horizontal-relative:page;mso-position-vertical-relative:text" coordsize="46970,26466" o:spid="_x0000_s1177" w14:anchorId="37E75A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">
                <v:shape id="Graphic 665" style="position:absolute;left:47;top:535;width:45161;height:22187;visibility:visible;mso-wrap-style:square;v-text-anchor:top" coordsize="4516120,2218690" o:spid="_x0000_s1178" filled="f" strokecolor="#d9d9d9" path="m,2218093r4515497,em,1848523r4515497,em,1478953r4515497,em,1109383r4515497,em,739813r4515497,em,369481r4515497,em,l45154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">
                  <v:path arrowok="t"/>
                </v:shape>
                <v:shape id="Graphic 666" style="position:absolute;left:5062;top:535;width:40145;height:25883;visibility:visible;mso-wrap-style:square;v-text-anchor:top" coordsize="4014470,2588260" o:spid="_x0000_s1179" filled="f" strokecolor="#d9d9d9" path="m,l,2588221em502158,r,2588221em1003554,r,2588221em1505712,r,2588221em2007108,r,2588221em2508504,r,2588221em3010662,r,2588221em3512058,r,2588221em4013962,r,2588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">
                  <v:path arrowok="t"/>
                </v:shape>
                <v:shape id="Graphic 667" style="position:absolute;left:47;top:535;width:45161;height:25883;visibility:visible;mso-wrap-style:square;v-text-anchor:top" coordsize="4516120,2588260" o:spid="_x0000_s1180" filled="f" strokecolor="#bebebe" path="m,2588221l,em,2588221r45154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">
                  <v:path arrowok="t"/>
                </v:shape>
                <v:shape id="Graphic 668" style="position:absolute;left:2054;top:4820;width:33115;height:13;visibility:visible;mso-wrap-style:square;v-text-anchor:top" coordsize="3311525,1270" o:spid="_x0000_s1181" filled="f" strokeweight="1pt" path="m,l3311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">
                  <v:stroke dashstyle="dot"/>
                  <v:path arrowok="t"/>
                </v:shape>
                <v:shape id="Graphic 669" style="position:absolute;left:2054;top:7365;width:33115;height:12;visibility:visible;mso-wrap-style:square;v-text-anchor:top" coordsize="3311525,1270" o:spid="_x0000_s1182" filled="f" strokeweight="1pt" path="m,l3311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">
                  <v:stroke dashstyle="dot"/>
                  <v:path arrowok="t"/>
                </v:shape>
                <v:shape id="Graphic 670" style="position:absolute;left:5744;top:3912;width:629;height:629;visibility:visible;mso-wrap-style:square;v-text-anchor:top" coordsize="62865,62865" o:spid="_x0000_s1183" fillcolor="#92d400" stroked="f" path="m31241,l19079,2454,9148,9148,2454,19079,,31242,2454,43404r6694,9931l19079,60029r12162,2455l43404,60029r9931,-6694l60029,43404,62483,31242,60029,19079,53335,9148,43404,2454,31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">
                  <v:path arrowok="t"/>
                </v:shape>
                <v:shape id="Graphic 671" style="position:absolute;left:5744;top:3912;width:629;height:629;visibility:visible;mso-wrap-style:square;v-text-anchor:top" coordsize="62865,62865" o:spid="_x0000_s1184" filled="f" strokecolor="#92d400" path="m62483,31242l60029,43404r-6694,9931l43404,60029,31241,62484,19079,60029,9148,53335,2454,43404,,31242,2454,19079,9148,9148,19079,2454,31241,,43404,2454r9931,6694l60029,19079r2454,12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">
                  <v:path arrowok="t"/>
                </v:shape>
                <v:shape id="Image 672" style="position:absolute;left:39819;top:10517;width:720;height:720;visibility:visible;mso-wrap-style:square" o:spid="_x0000_s11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">
                  <v:imagedata o:title="" r:id="rId232"/>
                </v:shape>
                <v:shape id="Image 673" style="position:absolute;left:8707;top:4451;width:720;height:720;visibility:visible;mso-wrap-style:square" o:spid="_x0000_s11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">
                  <v:imagedata o:title="" r:id="rId232"/>
                </v:shape>
                <v:shape id="Image 674" style="position:absolute;left:21752;top:6996;width:720;height:721;visibility:visible;mso-wrap-style:square" o:spid="_x0000_s11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">
                  <v:imagedata o:title="" r:id="rId232"/>
                </v:shape>
                <v:shape id="Graphic 675" style="position:absolute;left:4486;top:2987;width:1588;height:1251;visibility:visible;mso-wrap-style:square;v-text-anchor:top" coordsize="158750,125095" o:spid="_x0000_s1188" filled="f" strokecolor="#a6a6a6" path="m158153,1245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">
                  <v:path arrowok="t"/>
                </v:shape>
                <v:shape id="Graphic 676" style="position:absolute;left:40185;top:10888;width:2457;height:1277;visibility:visible;mso-wrap-style:square;v-text-anchor:top" coordsize="245745,127635" o:spid="_x0000_s1189" filled="f" strokecolor="#a6a6a6" path="m,l245338,1271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">
                  <v:path arrowok="t"/>
                </v:shape>
                <v:shape id="Graphic 677" style="position:absolute;left:9078;top:2748;width:4572;height:2076;visibility:visible;mso-wrap-style:square;v-text-anchor:top" coordsize="457200,207645" o:spid="_x0000_s1190" filled="f" strokecolor="#a6a6a6" path="m,207200l4568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">
                  <v:path arrowok="t"/>
                </v:shape>
                <v:shape id="Graphic 678" style="position:absolute;left:19131;top:7365;width:2998;height:4267;visibility:visible;mso-wrap-style:square;v-text-anchor:top" coordsize="299720,426720" o:spid="_x0000_s1191" filled="f" strokecolor="#a6a6a6" path="m299148,l56908,426720,,426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">
                  <v:path arrowok="t"/>
                </v:shape>
                <v:shape id="Graphic 679" style="position:absolute;left:6068;top:4233;width:34118;height:6661;visibility:visible;mso-wrap-style:square;v-text-anchor:top" coordsize="3411854,666115" o:spid="_x0000_s1192" filled="f" strokecolor="#669329" path="m,l3411702,6655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">
                  <v:stroke dashstyle="1 1"/>
                  <v:path arrowok="t"/>
                </v:shape>
                <v:shape id="Textbox 680" style="position:absolute;left:5241;top:1634;width:3575;height:1143;visibility:visible;mso-wrap-style:square;v-text-anchor:top" o:spid="_x0000_s11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v:textbox inset="0,0,0,0">
                    <w:txbxContent>
                      <w:p w:rsidR="00C31389" w:rsidRDefault="00561FBD" w14:paraId="3ABE63C3" w14:textId="77777777">
                        <w:pPr>
                          <w:spacing w:line="180" w:lineRule="exact"/>
                          <w:rPr>
                            <w:rFonts w:ascii="Calibri"/>
                            <w:sz w:val="18"/>
                          </w:rPr>
                        </w:pPr>
                        <w:r>
                          <w:rPr>
                            <w:rFonts w:ascii="Calibri"/>
                            <w:color w:val="68942C"/>
                            <w:sz w:val="18"/>
                          </w:rPr>
                          <w:t xml:space="preserve">in </w:t>
                        </w:r>
                        <w:r>
                          <w:rPr>
                            <w:rFonts w:ascii="Calibri"/>
                            <w:color w:val="68942C"/>
                            <w:spacing w:val="-4"/>
                            <w:sz w:val="18"/>
                          </w:rPr>
                          <w:t>2016</w:t>
                        </w:r>
                      </w:p>
                    </w:txbxContent>
                  </v:textbox>
                </v:shape>
                <v:shape id="Textbox 681" style="position:absolute;left:9701;width:8026;height:2540;visibility:visible;mso-wrap-style:square;v-text-anchor:top" o:spid="_x0000_s119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v:textbox inset="0,0,0,0">
                    <w:txbxContent>
                      <w:p w:rsidR="00C31389" w:rsidRDefault="00561FBD" w14:paraId="408F0DD6" w14:textId="77777777">
                        <w:pPr>
                          <w:spacing w:line="183" w:lineRule="exact"/>
                          <w:ind w:right="18"/>
                          <w:jc w:val="center"/>
                          <w:rPr>
                            <w:rFonts w:ascii="Calibri"/>
                            <w:sz w:val="18"/>
                          </w:rPr>
                        </w:pPr>
                        <w:r>
                          <w:rPr>
                            <w:rFonts w:ascii="Calibri"/>
                            <w:color w:val="68942C"/>
                            <w:sz w:val="18"/>
                          </w:rPr>
                          <w:t>Projected</w:t>
                        </w:r>
                        <w:r>
                          <w:rPr>
                            <w:rFonts w:ascii="Calibri"/>
                            <w:color w:val="68942C"/>
                            <w:spacing w:val="-3"/>
                            <w:sz w:val="18"/>
                          </w:rPr>
                          <w:t xml:space="preserve"> </w:t>
                        </w:r>
                        <w:r>
                          <w:rPr>
                            <w:rFonts w:ascii="Calibri"/>
                            <w:color w:val="68942C"/>
                            <w:sz w:val="18"/>
                          </w:rPr>
                          <w:t>Cost</w:t>
                        </w:r>
                        <w:r>
                          <w:rPr>
                            <w:rFonts w:ascii="Calibri"/>
                            <w:color w:val="68942C"/>
                            <w:spacing w:val="-3"/>
                            <w:sz w:val="18"/>
                          </w:rPr>
                          <w:t xml:space="preserve"> </w:t>
                        </w:r>
                        <w:r>
                          <w:rPr>
                            <w:rFonts w:ascii="Calibri"/>
                            <w:color w:val="68942C"/>
                            <w:spacing w:val="-5"/>
                            <w:sz w:val="18"/>
                          </w:rPr>
                          <w:t>in</w:t>
                        </w:r>
                      </w:p>
                      <w:p w:rsidR="00C31389" w:rsidRDefault="00561FBD" w14:paraId="4B129EE3" w14:textId="77777777">
                        <w:pPr>
                          <w:spacing w:line="216" w:lineRule="exact"/>
                          <w:ind w:right="17"/>
                          <w:jc w:val="center"/>
                          <w:rPr>
                            <w:rFonts w:ascii="Calibri"/>
                            <w:sz w:val="18"/>
                          </w:rPr>
                        </w:pPr>
                        <w:r>
                          <w:rPr>
                            <w:rFonts w:ascii="Calibri"/>
                            <w:color w:val="68942C"/>
                            <w:spacing w:val="-4"/>
                            <w:sz w:val="18"/>
                          </w:rPr>
                          <w:t>2019</w:t>
                        </w:r>
                      </w:p>
                    </w:txbxContent>
                  </v:textbox>
                </v:shape>
                <v:shape id="Textbox 682" style="position:absolute;left:10858;top:10469;width:8027;height:2540;visibility:visible;mso-wrap-style:square;v-text-anchor:top" o:spid="_x0000_s11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v:textbox inset="0,0,0,0">
                    <w:txbxContent>
                      <w:p w:rsidR="00C31389" w:rsidRDefault="00561FBD" w14:paraId="023D572D" w14:textId="77777777">
                        <w:pPr>
                          <w:spacing w:line="183" w:lineRule="exact"/>
                          <w:ind w:right="18"/>
                          <w:jc w:val="center"/>
                          <w:rPr>
                            <w:rFonts w:ascii="Calibri"/>
                            <w:sz w:val="18"/>
                          </w:rPr>
                        </w:pPr>
                        <w:r>
                          <w:rPr>
                            <w:rFonts w:ascii="Calibri"/>
                            <w:color w:val="68942C"/>
                            <w:sz w:val="18"/>
                          </w:rPr>
                          <w:t>Projected</w:t>
                        </w:r>
                        <w:r>
                          <w:rPr>
                            <w:rFonts w:ascii="Calibri"/>
                            <w:color w:val="68942C"/>
                            <w:spacing w:val="-3"/>
                            <w:sz w:val="18"/>
                          </w:rPr>
                          <w:t xml:space="preserve"> </w:t>
                        </w:r>
                        <w:r>
                          <w:rPr>
                            <w:rFonts w:ascii="Calibri"/>
                            <w:color w:val="68942C"/>
                            <w:sz w:val="18"/>
                          </w:rPr>
                          <w:t>Cost</w:t>
                        </w:r>
                        <w:r>
                          <w:rPr>
                            <w:rFonts w:ascii="Calibri"/>
                            <w:color w:val="68942C"/>
                            <w:spacing w:val="-3"/>
                            <w:sz w:val="18"/>
                          </w:rPr>
                          <w:t xml:space="preserve"> </w:t>
                        </w:r>
                        <w:r>
                          <w:rPr>
                            <w:rFonts w:ascii="Calibri"/>
                            <w:color w:val="68942C"/>
                            <w:spacing w:val="-5"/>
                            <w:sz w:val="18"/>
                          </w:rPr>
                          <w:t>in</w:t>
                        </w:r>
                      </w:p>
                      <w:p w:rsidR="00C31389" w:rsidRDefault="00561FBD" w14:paraId="06460B1B" w14:textId="77777777">
                        <w:pPr>
                          <w:spacing w:line="216" w:lineRule="exact"/>
                          <w:ind w:right="17"/>
                          <w:jc w:val="center"/>
                          <w:rPr>
                            <w:rFonts w:ascii="Calibri"/>
                            <w:sz w:val="18"/>
                          </w:rPr>
                        </w:pPr>
                        <w:r>
                          <w:rPr>
                            <w:rFonts w:ascii="Calibri"/>
                            <w:color w:val="68942C"/>
                            <w:spacing w:val="-4"/>
                            <w:sz w:val="18"/>
                          </w:rPr>
                          <w:t>2032</w:t>
                        </w:r>
                      </w:p>
                    </w:txbxContent>
                  </v:textbox>
                </v:shape>
                <v:shape id="Textbox 683" style="position:absolute;left:40353;top:12582;width:6616;height:1143;visibility:visible;mso-wrap-style:square;v-text-anchor:top" o:spid="_x0000_s11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v:textbox inset="0,0,0,0">
                    <w:txbxContent>
                      <w:p w:rsidR="00C31389" w:rsidRDefault="00561FBD" w14:paraId="4265F90D" w14:textId="77777777">
                        <w:pPr>
                          <w:spacing w:line="180" w:lineRule="exact"/>
                          <w:rPr>
                            <w:rFonts w:ascii="Calibri"/>
                            <w:sz w:val="18"/>
                          </w:rPr>
                        </w:pPr>
                        <w:r>
                          <w:rPr>
                            <w:rFonts w:ascii="Calibri"/>
                            <w:color w:val="68942C"/>
                            <w:sz w:val="18"/>
                          </w:rPr>
                          <w:t>L</w:t>
                        </w:r>
                        <w:r>
                          <w:rPr>
                            <w:rFonts w:ascii="Calibri"/>
                            <w:color w:val="68942C"/>
                            <w:spacing w:val="-1"/>
                            <w:sz w:val="18"/>
                          </w:rPr>
                          <w:t xml:space="preserve"> </w:t>
                        </w:r>
                        <w:r>
                          <w:rPr>
                            <w:rFonts w:ascii="Calibri"/>
                            <w:color w:val="68942C"/>
                            <w:sz w:val="18"/>
                          </w:rPr>
                          <w:t>Cost</w:t>
                        </w:r>
                        <w:r>
                          <w:rPr>
                            <w:rFonts w:ascii="Calibri"/>
                            <w:color w:val="68942C"/>
                            <w:spacing w:val="-2"/>
                            <w:sz w:val="18"/>
                          </w:rPr>
                          <w:t xml:space="preserve"> </w:t>
                        </w:r>
                        <w:r>
                          <w:rPr>
                            <w:rFonts w:ascii="Calibri"/>
                            <w:color w:val="68942C"/>
                            <w:sz w:val="18"/>
                          </w:rPr>
                          <w:t xml:space="preserve">in </w:t>
                        </w:r>
                        <w:r>
                          <w:rPr>
                            <w:rFonts w:ascii="Calibri"/>
                            <w:color w:val="68942C"/>
                            <w:spacing w:val="-4"/>
                            <w:sz w:val="18"/>
                          </w:rPr>
                          <w:t>2050</w:t>
                        </w:r>
                      </w:p>
                    </w:txbxContent>
                  </v:textbox>
                </v:shape>
                <v:shape id="Textbox 684" style="position:absolute;left:35169;top:11629;width:5017;height:3696;visibility:visible;mso-wrap-style:square;v-text-anchor:top" o:spid="_x0000_s1197" filled="f" strokecolor="#d9d9d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">
                  <v:textbox inset="0,0,0,0">
                    <w:txbxContent>
                      <w:p w:rsidR="00C31389" w:rsidRDefault="00561FBD" w14:paraId="52C16DB8" w14:textId="77777777">
                        <w:pPr>
                          <w:spacing w:before="106"/>
                          <w:ind w:left="507" w:right="-44"/>
                          <w:rPr>
                            <w:rFonts w:ascii="Calibri"/>
                            <w:sz w:val="18"/>
                          </w:rPr>
                        </w:pPr>
                        <w:r>
                          <w:rPr>
                            <w:rFonts w:ascii="Calibri"/>
                            <w:color w:val="68942C"/>
                            <w:spacing w:val="-5"/>
                            <w:sz w:val="18"/>
                          </w:rPr>
                          <w:t>NRE</w:t>
                        </w:r>
                      </w:p>
                    </w:txbxContent>
                  </v:textbox>
                </v:shape>
                <v:shape id="Textbox 685" style="position:absolute;left:40183;top:4230;width:5023;height:3709;visibility:visible;mso-wrap-style:square;v-text-anchor:top" o:spid="_x0000_s1198" filled="f" strokecolor="#d9d9d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">
                  <v:textbox inset="0,0,0,0">
                    <w:txbxContent>
                      <w:p w:rsidR="00C31389" w:rsidRDefault="00561FBD" w14:paraId="12A90296" w14:textId="77777777">
                        <w:pPr>
                          <w:spacing w:line="128" w:lineRule="exact"/>
                          <w:ind w:left="103"/>
                          <w:rPr>
                            <w:rFonts w:ascii="Calibri"/>
                            <w:sz w:val="18"/>
                          </w:rPr>
                        </w:pPr>
                        <w:r>
                          <w:rPr>
                            <w:rFonts w:ascii="Calibri"/>
                            <w:color w:val="404040"/>
                            <w:sz w:val="18"/>
                          </w:rPr>
                          <w:t xml:space="preserve">19 </w:t>
                        </w:r>
                        <w:r>
                          <w:rPr>
                            <w:rFonts w:ascii="Calibri"/>
                            <w:color w:val="404040"/>
                            <w:spacing w:val="-4"/>
                            <w:sz w:val="18"/>
                          </w:rPr>
                          <w:t>Cost</w:t>
                        </w:r>
                      </w:p>
                      <w:p w:rsidR="00C31389" w:rsidRDefault="00C31389" w14:paraId="78D4F1A1" w14:textId="77777777">
                        <w:pPr>
                          <w:spacing w:before="4"/>
                          <w:rPr>
                            <w:rFonts w:ascii="Calibri"/>
                            <w:sz w:val="19"/>
                          </w:rPr>
                        </w:pPr>
                      </w:p>
                      <w:p w:rsidR="00C31389" w:rsidRDefault="00561FBD" w14:paraId="1C46B616" w14:textId="77777777">
                        <w:pPr>
                          <w:spacing w:before="1" w:line="204" w:lineRule="exact"/>
                          <w:ind w:left="99"/>
                          <w:rPr>
                            <w:rFonts w:ascii="Calibri"/>
                            <w:sz w:val="18"/>
                          </w:rPr>
                        </w:pPr>
                        <w:r>
                          <w:rPr>
                            <w:rFonts w:ascii="Calibri"/>
                            <w:color w:val="404040"/>
                            <w:sz w:val="18"/>
                          </w:rPr>
                          <w:t xml:space="preserve">9 </w:t>
                        </w:r>
                        <w:r>
                          <w:rPr>
                            <w:rFonts w:ascii="Calibri"/>
                            <w:color w:val="404040"/>
                            <w:spacing w:val="-4"/>
                            <w:sz w:val="18"/>
                          </w:rPr>
                          <w:t>Cost</w:t>
                        </w:r>
                      </w:p>
                    </w:txbxContent>
                  </v:textbox>
                </v:shape>
                <v:shape id="Textbox 686" style="position:absolute;left:35169;top:4230;width:5017;height:3709;visibility:visible;mso-wrap-style:square;v-text-anchor:top" o:spid="_x0000_s1199" filled="f" strokecolor="#d9d9d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">
                  <v:textbox inset="0,0,0,0">
                    <w:txbxContent>
                      <w:p w:rsidR="00C31389" w:rsidRDefault="00561FBD" w14:paraId="026ECD7A" w14:textId="77777777">
                        <w:pPr>
                          <w:spacing w:line="128" w:lineRule="exact"/>
                          <w:ind w:left="76" w:right="-130"/>
                          <w:rPr>
                            <w:rFonts w:ascii="Calibri"/>
                            <w:sz w:val="18"/>
                          </w:rPr>
                        </w:pPr>
                        <w:r>
                          <w:rPr>
                            <w:rFonts w:ascii="Calibri"/>
                            <w:color w:val="404040"/>
                            <w:sz w:val="18"/>
                          </w:rPr>
                          <w:t>100%</w:t>
                        </w:r>
                        <w:r>
                          <w:rPr>
                            <w:rFonts w:ascii="Calibri"/>
                            <w:color w:val="404040"/>
                            <w:spacing w:val="-2"/>
                            <w:sz w:val="18"/>
                          </w:rPr>
                          <w:t xml:space="preserve"> </w:t>
                        </w:r>
                        <w:r>
                          <w:rPr>
                            <w:rFonts w:ascii="Calibri"/>
                            <w:color w:val="404040"/>
                            <w:sz w:val="18"/>
                          </w:rPr>
                          <w:t xml:space="preserve">of </w:t>
                        </w:r>
                        <w:r>
                          <w:rPr>
                            <w:rFonts w:ascii="Calibri"/>
                            <w:color w:val="404040"/>
                            <w:spacing w:val="-5"/>
                            <w:sz w:val="18"/>
                          </w:rPr>
                          <w:t>20</w:t>
                        </w:r>
                      </w:p>
                      <w:p w:rsidR="00C31389" w:rsidRDefault="00C31389" w14:paraId="6FCD68A8" w14:textId="77777777">
                        <w:pPr>
                          <w:spacing w:before="4"/>
                          <w:rPr>
                            <w:rFonts w:ascii="Calibri"/>
                            <w:sz w:val="19"/>
                          </w:rPr>
                        </w:pPr>
                      </w:p>
                      <w:p w:rsidR="00C31389" w:rsidRDefault="00561FBD" w14:paraId="3634DCBC" w14:textId="77777777">
                        <w:pPr>
                          <w:spacing w:before="1" w:line="204" w:lineRule="exact"/>
                          <w:ind w:left="72" w:right="-116"/>
                          <w:rPr>
                            <w:rFonts w:ascii="Calibri"/>
                            <w:sz w:val="18"/>
                          </w:rPr>
                        </w:pPr>
                        <w:r>
                          <w:rPr>
                            <w:rFonts w:ascii="Calibri"/>
                            <w:color w:val="404040"/>
                            <w:sz w:val="18"/>
                          </w:rPr>
                          <w:t>88%</w:t>
                        </w:r>
                        <w:r>
                          <w:rPr>
                            <w:rFonts w:ascii="Calibri"/>
                            <w:color w:val="404040"/>
                            <w:spacing w:val="-2"/>
                            <w:sz w:val="18"/>
                          </w:rPr>
                          <w:t xml:space="preserve"> </w:t>
                        </w:r>
                        <w:r>
                          <w:rPr>
                            <w:rFonts w:ascii="Calibri"/>
                            <w:color w:val="404040"/>
                            <w:sz w:val="18"/>
                          </w:rPr>
                          <w:t xml:space="preserve">of </w:t>
                        </w:r>
                        <w:r>
                          <w:rPr>
                            <w:rFonts w:ascii="Calibri"/>
                            <w:color w:val="404040"/>
                            <w:spacing w:val="-5"/>
                            <w:sz w:val="18"/>
                          </w:rPr>
                          <w:t>201</w:t>
                        </w:r>
                      </w:p>
                    </w:txbxContent>
                  </v:textbox>
                </v:shape>
                <v:shape id="Textbox 687" style="position:absolute;left:95;top:583;width:4921;height:3600;visibility:visible;mso-wrap-style:square;v-text-anchor:top" o:spid="_x0000_s12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v:textbox inset="0,0,0,0">
                    <w:txbxContent>
                      <w:p w:rsidR="00C31389" w:rsidRDefault="00561FBD" w14:paraId="49BE7AE7" w14:textId="77777777">
                        <w:pPr>
                          <w:spacing w:before="129"/>
                          <w:ind w:left="30"/>
                          <w:rPr>
                            <w:rFonts w:ascii="Calibri"/>
                            <w:sz w:val="18"/>
                          </w:rPr>
                        </w:pPr>
                        <w:r>
                          <w:rPr>
                            <w:rFonts w:ascii="Calibri"/>
                            <w:color w:val="68942C"/>
                            <w:sz w:val="18"/>
                          </w:rPr>
                          <w:t>NREL</w:t>
                        </w:r>
                        <w:r>
                          <w:rPr>
                            <w:rFonts w:ascii="Calibri"/>
                            <w:color w:val="68942C"/>
                            <w:spacing w:val="-3"/>
                            <w:sz w:val="18"/>
                          </w:rPr>
                          <w:t xml:space="preserve"> </w:t>
                        </w:r>
                        <w:r>
                          <w:rPr>
                            <w:rFonts w:ascii="Calibri"/>
                            <w:color w:val="68942C"/>
                            <w:spacing w:val="-4"/>
                            <w:sz w:val="18"/>
                          </w:rPr>
                          <w:t>Cost</w:t>
                        </w:r>
                      </w:p>
                    </w:txbxContent>
                  </v:textbox>
                </v:shape>
                <w10:wrap anchorx="page"/>
              </v:group>
            </w:pict>
          </mc:Fallback>
        </mc:AlternateContent>
      </w:r>
      <w:r>
        <w:rPr>
          <w:rFonts w:ascii="Calibri"/>
          <w:color w:val="585858"/>
          <w:spacing w:val="-4"/>
          <w:sz w:val="18"/>
        </w:rPr>
        <w:t>$350</w:t>
      </w:r>
    </w:p>
    <w:p w:rsidR="00C31389" w:rsidRDefault="00C31389" w14:paraId="1D3904DC" w14:textId="77777777">
      <w:pPr>
        <w:pStyle w:val="BodyText"/>
        <w:spacing w:before="6"/>
        <w:rPr>
          <w:rFonts w:ascii="Calibri"/>
          <w:sz w:val="24"/>
        </w:rPr>
      </w:pPr>
    </w:p>
    <w:p w:rsidR="00C31389" w:rsidRDefault="00561FBD" w14:paraId="2F7C37AD" w14:textId="77777777">
      <w:pPr>
        <w:spacing w:before="64"/>
        <w:ind w:left="1034"/>
        <w:rPr>
          <w:rFonts w:ascii="Calibri"/>
          <w:sz w:val="18"/>
        </w:rPr>
      </w:pPr>
      <w:r>
        <w:rPr>
          <w:rFonts w:ascii="Calibri"/>
          <w:color w:val="585858"/>
          <w:spacing w:val="-4"/>
          <w:sz w:val="18"/>
        </w:rPr>
        <w:t>$300</w:t>
      </w:r>
    </w:p>
    <w:p w:rsidR="00C31389" w:rsidRDefault="00C31389" w14:paraId="4B70B3D3" w14:textId="77777777">
      <w:pPr>
        <w:pStyle w:val="BodyText"/>
        <w:spacing w:before="6"/>
        <w:rPr>
          <w:rFonts w:ascii="Calibri"/>
          <w:sz w:val="24"/>
        </w:rPr>
      </w:pPr>
    </w:p>
    <w:p w:rsidR="00C31389" w:rsidRDefault="00561FBD" w14:paraId="3DAF8689" w14:textId="77777777">
      <w:pPr>
        <w:spacing w:before="63"/>
        <w:ind w:left="1034"/>
        <w:rPr>
          <w:rFonts w:ascii="Calibri"/>
          <w:sz w:val="18"/>
        </w:rPr>
      </w:pPr>
      <w:r>
        <w:rPr>
          <w:rFonts w:ascii="Calibri"/>
          <w:color w:val="585858"/>
          <w:spacing w:val="-4"/>
          <w:sz w:val="18"/>
        </w:rPr>
        <w:t>$250</w:t>
      </w:r>
    </w:p>
    <w:p w:rsidR="00C31389" w:rsidRDefault="00C31389" w14:paraId="11C90A4B" w14:textId="77777777">
      <w:pPr>
        <w:pStyle w:val="BodyText"/>
        <w:spacing w:before="6"/>
        <w:rPr>
          <w:rFonts w:ascii="Calibri"/>
          <w:sz w:val="24"/>
        </w:rPr>
      </w:pPr>
    </w:p>
    <w:p w:rsidR="00C31389" w:rsidRDefault="00561FBD" w14:paraId="689C8E86" w14:textId="77777777">
      <w:pPr>
        <w:spacing w:before="64"/>
        <w:ind w:left="1034"/>
        <w:rPr>
          <w:rFonts w:ascii="Calibri"/>
          <w:sz w:val="18"/>
        </w:rPr>
      </w:pPr>
      <w:r>
        <w:rPr>
          <w:noProof/>
        </w:rPr>
        <mc:AlternateContent>
          <mc:Choice Requires="wps">
            <w:drawing>
              <wp:anchor distT="0" distB="0" distL="0" distR="0" simplePos="0" relativeHeight="15830528" behindDoc="0" locked="0" layoutInCell="1" allowOverlap="1" wp14:editId="24CAB20A" wp14:anchorId="5AA91D02">
                <wp:simplePos x="0" y="0"/>
                <wp:positionH relativeFrom="page">
                  <wp:posOffset>1009967</wp:posOffset>
                </wp:positionH>
                <wp:positionV relativeFrom="paragraph">
                  <wp:posOffset>32228</wp:posOffset>
                </wp:positionV>
                <wp:extent cx="153035" cy="53848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538480"/>
                        </a:xfrm>
                        <a:prstGeom prst="rect">
                          <a:avLst/>
                        </a:prstGeom>
                      </wps:spPr>
                      <wps:txbx>
                        <w:txbxContent>
                          <w:p w:rsidR="00C31389" w:rsidRDefault="00561FBD" w14:paraId="16190D7A" w14:textId="77777777">
                            <w:pPr>
                              <w:spacing w:line="224" w:lineRule="exact"/>
                              <w:ind w:left="20"/>
                              <w:rPr>
                                <w:rFonts w:ascii="Calibri"/>
                                <w:sz w:val="20"/>
                              </w:rPr>
                            </w:pPr>
                            <w:r>
                              <w:rPr>
                                <w:rFonts w:ascii="Calibri"/>
                                <w:color w:val="585858"/>
                                <w:spacing w:val="-2"/>
                                <w:sz w:val="20"/>
                              </w:rPr>
                              <w:t>$/kBtu/hr</w:t>
                            </w:r>
                          </w:p>
                        </w:txbxContent>
                      </wps:txbx>
                      <wps:bodyPr vert="vert270" wrap="square" lIns="0" tIns="0" rIns="0" bIns="0" rtlCol="0">
                        <a:noAutofit/>
                      </wps:bodyPr>
                    </wps:wsp>
                  </a:graphicData>
                </a:graphic>
              </wp:anchor>
            </w:drawing>
          </mc:Choice>
          <mc:Fallback>
            <w:pict>
              <v:shape id="Textbox 688" style="position:absolute;left:0;text-align:left;margin-left:79.5pt;margin-top:2.55pt;width:12.05pt;height:42.4pt;z-index:15830528;visibility:visible;mso-wrap-style:square;mso-wrap-distance-left:0;mso-wrap-distance-top:0;mso-wrap-distance-right:0;mso-wrap-distance-bottom:0;mso-position-horizontal:absolute;mso-position-horizontal-relative:page;mso-position-vertical:absolute;mso-position-vertical-relative:text;v-text-anchor:top" o:spid="_x0000_s12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" w14:anchorId="5AA91D02">
                <v:textbox style="layout-flow:vertical;mso-layout-flow-alt:bottom-to-top" inset="0,0,0,0">
                  <w:txbxContent>
                    <w:p w:rsidR="00C31389" w:rsidRDefault="00561FBD" w14:paraId="16190D7A" w14:textId="77777777">
                      <w:pPr>
                        <w:spacing w:line="224" w:lineRule="exact"/>
                        <w:ind w:left="20"/>
                        <w:rPr>
                          <w:rFonts w:ascii="Calibri"/>
                          <w:sz w:val="20"/>
                        </w:rPr>
                      </w:pPr>
                      <w:r>
                        <w:rPr>
                          <w:rFonts w:ascii="Calibri"/>
                          <w:color w:val="585858"/>
                          <w:spacing w:val="-2"/>
                          <w:sz w:val="20"/>
                        </w:rPr>
                        <w:t>$/kBtu/hr</w:t>
                      </w:r>
                    </w:p>
                  </w:txbxContent>
                </v:textbox>
                <w10:wrap anchorx="page"/>
              </v:shape>
            </w:pict>
          </mc:Fallback>
        </mc:AlternateContent>
      </w:r>
      <w:r>
        <w:rPr>
          <w:rFonts w:ascii="Calibri"/>
          <w:color w:val="585858"/>
          <w:spacing w:val="-4"/>
          <w:sz w:val="18"/>
        </w:rPr>
        <w:t>$200</w:t>
      </w:r>
    </w:p>
    <w:p w:rsidR="00C31389" w:rsidRDefault="00C31389" w14:paraId="59149C1F" w14:textId="77777777">
      <w:pPr>
        <w:pStyle w:val="BodyText"/>
        <w:spacing w:before="6"/>
        <w:rPr>
          <w:rFonts w:ascii="Calibri"/>
          <w:sz w:val="24"/>
        </w:rPr>
      </w:pPr>
    </w:p>
    <w:p w:rsidR="00C31389" w:rsidRDefault="00561FBD" w14:paraId="06B62B41" w14:textId="77777777">
      <w:pPr>
        <w:spacing w:before="64"/>
        <w:ind w:left="1034"/>
        <w:rPr>
          <w:rFonts w:ascii="Calibri"/>
          <w:sz w:val="18"/>
        </w:rPr>
      </w:pPr>
      <w:r>
        <w:rPr>
          <w:rFonts w:ascii="Calibri"/>
          <w:color w:val="585858"/>
          <w:spacing w:val="-4"/>
          <w:sz w:val="18"/>
        </w:rPr>
        <w:t>$150</w:t>
      </w:r>
    </w:p>
    <w:p w:rsidR="00C31389" w:rsidRDefault="00C31389" w14:paraId="15A615DD" w14:textId="77777777">
      <w:pPr>
        <w:pStyle w:val="BodyText"/>
        <w:spacing w:before="5"/>
        <w:rPr>
          <w:rFonts w:ascii="Calibri"/>
          <w:sz w:val="24"/>
        </w:rPr>
      </w:pPr>
    </w:p>
    <w:p w:rsidR="00C31389" w:rsidRDefault="00561FBD" w14:paraId="1FA16A12" w14:textId="77777777">
      <w:pPr>
        <w:spacing w:before="64"/>
        <w:ind w:left="1034"/>
        <w:rPr>
          <w:rFonts w:ascii="Calibri"/>
          <w:sz w:val="18"/>
        </w:rPr>
      </w:pPr>
      <w:r>
        <w:rPr>
          <w:rFonts w:ascii="Calibri"/>
          <w:color w:val="585858"/>
          <w:spacing w:val="-4"/>
          <w:sz w:val="18"/>
        </w:rPr>
        <w:t>$100</w:t>
      </w:r>
    </w:p>
    <w:p w:rsidR="00C31389" w:rsidRDefault="00C31389" w14:paraId="0E6F0384" w14:textId="77777777">
      <w:pPr>
        <w:pStyle w:val="BodyText"/>
        <w:spacing w:before="6"/>
        <w:rPr>
          <w:rFonts w:ascii="Calibri"/>
          <w:sz w:val="24"/>
        </w:rPr>
      </w:pPr>
    </w:p>
    <w:p w:rsidR="00C31389" w:rsidRDefault="00561FBD" w14:paraId="53E6A3A9" w14:textId="77777777">
      <w:pPr>
        <w:spacing w:before="64"/>
        <w:ind w:left="1125"/>
        <w:rPr>
          <w:rFonts w:ascii="Calibri"/>
          <w:sz w:val="18"/>
        </w:rPr>
      </w:pPr>
      <w:r>
        <w:rPr>
          <w:rFonts w:ascii="Calibri"/>
          <w:color w:val="585858"/>
          <w:spacing w:val="-5"/>
          <w:sz w:val="18"/>
        </w:rPr>
        <w:t>$50</w:t>
      </w:r>
    </w:p>
    <w:p w:rsidR="00C31389" w:rsidRDefault="00C31389" w14:paraId="522179E3" w14:textId="77777777">
      <w:pPr>
        <w:pStyle w:val="BodyText"/>
        <w:spacing w:before="6"/>
        <w:rPr>
          <w:rFonts w:ascii="Calibri"/>
          <w:sz w:val="24"/>
        </w:rPr>
      </w:pPr>
    </w:p>
    <w:p w:rsidR="00C31389" w:rsidRDefault="00561FBD" w14:paraId="694DDE17" w14:textId="77777777">
      <w:pPr>
        <w:spacing w:before="63"/>
        <w:ind w:left="398" w:right="7706"/>
        <w:jc w:val="center"/>
        <w:rPr>
          <w:rFonts w:ascii="Calibri"/>
          <w:sz w:val="18"/>
        </w:rPr>
      </w:pPr>
      <w:r>
        <w:rPr>
          <w:rFonts w:ascii="Calibri"/>
          <w:color w:val="585858"/>
          <w:spacing w:val="-5"/>
          <w:sz w:val="18"/>
        </w:rPr>
        <w:t>$0</w:t>
      </w:r>
    </w:p>
    <w:p w:rsidR="00C31389" w:rsidRDefault="00561FBD" w14:paraId="6B4E1662" w14:textId="77777777">
      <w:pPr>
        <w:tabs>
          <w:tab w:val="left" w:pos="1188"/>
          <w:tab w:val="left" w:pos="1978"/>
          <w:tab w:val="left" w:pos="2768"/>
          <w:tab w:val="left" w:pos="3559"/>
          <w:tab w:val="left" w:pos="4349"/>
          <w:tab w:val="left" w:pos="5139"/>
          <w:tab w:val="left" w:pos="5929"/>
          <w:tab w:val="left" w:pos="6719"/>
          <w:tab w:val="left" w:pos="7509"/>
        </w:tabs>
        <w:spacing w:before="14"/>
        <w:ind w:left="398"/>
        <w:jc w:val="center"/>
        <w:rPr>
          <w:rFonts w:ascii="Calibri"/>
          <w:sz w:val="18"/>
        </w:rPr>
      </w:pPr>
      <w:r>
        <w:rPr>
          <w:rFonts w:ascii="Calibri"/>
          <w:color w:val="585858"/>
          <w:spacing w:val="-4"/>
          <w:sz w:val="18"/>
        </w:rPr>
        <w:t>2010</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2025</w:t>
      </w:r>
      <w:r>
        <w:rPr>
          <w:rFonts w:ascii="Calibri"/>
          <w:color w:val="585858"/>
          <w:sz w:val="18"/>
        </w:rPr>
        <w:tab/>
      </w:r>
      <w:r>
        <w:rPr>
          <w:rFonts w:ascii="Calibri"/>
          <w:color w:val="585858"/>
          <w:spacing w:val="-4"/>
          <w:sz w:val="18"/>
        </w:rPr>
        <w:t>2030</w:t>
      </w:r>
      <w:r>
        <w:rPr>
          <w:rFonts w:ascii="Calibri"/>
          <w:color w:val="585858"/>
          <w:sz w:val="18"/>
        </w:rPr>
        <w:tab/>
      </w:r>
      <w:r>
        <w:rPr>
          <w:rFonts w:ascii="Calibri"/>
          <w:color w:val="585858"/>
          <w:spacing w:val="-4"/>
          <w:sz w:val="18"/>
        </w:rPr>
        <w:t>2035</w:t>
      </w:r>
      <w:r>
        <w:rPr>
          <w:rFonts w:ascii="Calibri"/>
          <w:color w:val="585858"/>
          <w:sz w:val="18"/>
        </w:rPr>
        <w:tab/>
      </w:r>
      <w:r>
        <w:rPr>
          <w:rFonts w:ascii="Calibri"/>
          <w:color w:val="585858"/>
          <w:spacing w:val="-4"/>
          <w:sz w:val="18"/>
        </w:rPr>
        <w:t>2040</w:t>
      </w:r>
      <w:r>
        <w:rPr>
          <w:rFonts w:ascii="Calibri"/>
          <w:color w:val="585858"/>
          <w:sz w:val="18"/>
        </w:rPr>
        <w:tab/>
      </w:r>
      <w:r>
        <w:rPr>
          <w:rFonts w:ascii="Calibri"/>
          <w:color w:val="585858"/>
          <w:spacing w:val="-4"/>
          <w:sz w:val="18"/>
        </w:rPr>
        <w:t>2045</w:t>
      </w:r>
      <w:r>
        <w:rPr>
          <w:rFonts w:ascii="Calibri"/>
          <w:color w:val="585858"/>
          <w:sz w:val="18"/>
        </w:rPr>
        <w:tab/>
      </w:r>
      <w:r>
        <w:rPr>
          <w:rFonts w:ascii="Calibri"/>
          <w:color w:val="585858"/>
          <w:spacing w:val="-4"/>
          <w:sz w:val="18"/>
        </w:rPr>
        <w:t>2050</w:t>
      </w:r>
      <w:r>
        <w:rPr>
          <w:rFonts w:ascii="Calibri"/>
          <w:color w:val="585858"/>
          <w:sz w:val="18"/>
        </w:rPr>
        <w:tab/>
      </w:r>
      <w:r>
        <w:rPr>
          <w:rFonts w:ascii="Calibri"/>
          <w:color w:val="585858"/>
          <w:spacing w:val="-4"/>
          <w:sz w:val="18"/>
        </w:rPr>
        <w:t>2055</w:t>
      </w:r>
    </w:p>
    <w:p w:rsidR="00C31389" w:rsidRDefault="00561FBD" w14:paraId="2DBD9B5F" w14:textId="77777777">
      <w:pPr>
        <w:spacing w:before="61"/>
        <w:ind w:left="1141" w:right="743"/>
        <w:jc w:val="center"/>
        <w:rPr>
          <w:rFonts w:ascii="Calibri"/>
          <w:sz w:val="20"/>
        </w:rPr>
      </w:pPr>
      <w:r>
        <w:rPr>
          <w:rFonts w:ascii="Calibri"/>
          <w:color w:val="585858"/>
          <w:spacing w:val="-4"/>
          <w:sz w:val="20"/>
        </w:rPr>
        <w:t>Year</w:t>
      </w:r>
    </w:p>
    <w:p w:rsidR="00C31389" w:rsidRDefault="00C31389" w14:paraId="5DFE6965" w14:textId="77777777">
      <w:pPr>
        <w:pStyle w:val="BodyText"/>
        <w:spacing w:before="2"/>
        <w:rPr>
          <w:rFonts w:ascii="Calibri"/>
          <w:sz w:val="18"/>
        </w:rPr>
      </w:pPr>
    </w:p>
    <w:p w:rsidR="00C31389" w:rsidRDefault="00561FBD" w14:paraId="041E3863" w14:textId="77777777">
      <w:pPr>
        <w:spacing w:before="94"/>
        <w:ind w:left="480"/>
        <w:rPr>
          <w:i/>
          <w:sz w:val="18"/>
        </w:rPr>
      </w:pPr>
      <w:r>
        <w:rPr>
          <w:i/>
          <w:sz w:val="18"/>
        </w:rPr>
        <w:t>Source:</w:t>
      </w:r>
      <w:r>
        <w:rPr>
          <w:i/>
          <w:spacing w:val="-4"/>
          <w:sz w:val="18"/>
        </w:rPr>
        <w:t xml:space="preserve"> </w:t>
      </w:r>
      <w:r>
        <w:rPr>
          <w:i/>
          <w:sz w:val="18"/>
        </w:rPr>
        <w:t>Guidehouse</w:t>
      </w:r>
      <w:r>
        <w:rPr>
          <w:i/>
          <w:spacing w:val="-4"/>
          <w:sz w:val="18"/>
        </w:rPr>
        <w:t xml:space="preserve"> </w:t>
      </w:r>
      <w:r>
        <w:rPr>
          <w:i/>
          <w:sz w:val="18"/>
        </w:rPr>
        <w:t>analysis</w:t>
      </w:r>
      <w:r>
        <w:rPr>
          <w:i/>
          <w:spacing w:val="-2"/>
          <w:sz w:val="18"/>
        </w:rPr>
        <w:t xml:space="preserve"> </w:t>
      </w:r>
      <w:r>
        <w:rPr>
          <w:i/>
          <w:sz w:val="18"/>
        </w:rPr>
        <w:t>of</w:t>
      </w:r>
      <w:r>
        <w:rPr>
          <w:i/>
          <w:spacing w:val="-3"/>
          <w:sz w:val="18"/>
        </w:rPr>
        <w:t xml:space="preserve"> </w:t>
      </w:r>
      <w:r>
        <w:rPr>
          <w:i/>
          <w:sz w:val="18"/>
        </w:rPr>
        <w:t>NREL</w:t>
      </w:r>
      <w:r>
        <w:rPr>
          <w:i/>
          <w:spacing w:val="-4"/>
          <w:sz w:val="18"/>
        </w:rPr>
        <w:t xml:space="preserve"> </w:t>
      </w:r>
      <w:r>
        <w:rPr>
          <w:i/>
          <w:spacing w:val="-2"/>
          <w:sz w:val="18"/>
        </w:rPr>
        <w:t>study</w:t>
      </w:r>
    </w:p>
    <w:p w:rsidR="00C31389" w:rsidRDefault="00C31389" w14:paraId="1665E8A3" w14:textId="77777777">
      <w:pPr>
        <w:pStyle w:val="BodyText"/>
        <w:spacing w:before="9"/>
        <w:rPr>
          <w:i/>
          <w:sz w:val="20"/>
        </w:rPr>
      </w:pPr>
    </w:p>
    <w:p w:rsidR="00C31389" w:rsidRDefault="00561FBD" w14:paraId="5E9A714E" w14:textId="77777777">
      <w:pPr>
        <w:pStyle w:val="Heading7"/>
        <w:ind w:left="398" w:right="339"/>
        <w:jc w:val="center"/>
      </w:pPr>
      <w:bookmarkStart w:name="_bookmark271" w:id="359"/>
      <w:bookmarkEnd w:id="359"/>
      <w:r>
        <w:t>Table</w:t>
      </w:r>
      <w:r>
        <w:rPr>
          <w:spacing w:val="-7"/>
        </w:rPr>
        <w:t xml:space="preserve"> </w:t>
      </w:r>
      <w:r>
        <w:t>B-10.</w:t>
      </w:r>
      <w:r>
        <w:rPr>
          <w:spacing w:val="-7"/>
        </w:rPr>
        <w:t xml:space="preserve"> </w:t>
      </w:r>
      <w:r>
        <w:t>Cost</w:t>
      </w:r>
      <w:r>
        <w:rPr>
          <w:spacing w:val="-6"/>
        </w:rPr>
        <w:t xml:space="preserve"> </w:t>
      </w:r>
      <w:r>
        <w:t>Multipliers</w:t>
      </w:r>
      <w:r>
        <w:rPr>
          <w:spacing w:val="-6"/>
        </w:rPr>
        <w:t xml:space="preserve"> </w:t>
      </w:r>
      <w:r>
        <w:t>for</w:t>
      </w:r>
      <w:r>
        <w:rPr>
          <w:spacing w:val="-7"/>
        </w:rPr>
        <w:t xml:space="preserve"> </w:t>
      </w:r>
      <w:r>
        <w:t>Heat</w:t>
      </w:r>
      <w:r>
        <w:rPr>
          <w:spacing w:val="-6"/>
        </w:rPr>
        <w:t xml:space="preserve"> </w:t>
      </w:r>
      <w:r>
        <w:t>Pump</w:t>
      </w:r>
      <w:r>
        <w:rPr>
          <w:spacing w:val="-6"/>
        </w:rPr>
        <w:t xml:space="preserve"> </w:t>
      </w:r>
      <w:r>
        <w:t>Water</w:t>
      </w:r>
      <w:r>
        <w:rPr>
          <w:spacing w:val="-7"/>
        </w:rPr>
        <w:t xml:space="preserve"> </w:t>
      </w:r>
      <w:r>
        <w:rPr>
          <w:spacing w:val="-2"/>
        </w:rPr>
        <w:t>Heaters</w:t>
      </w:r>
    </w:p>
    <w:p w:rsidR="00C31389" w:rsidRDefault="00C31389" w14:paraId="65F9B119" w14:textId="77777777">
      <w:pPr>
        <w:pStyle w:val="BodyText"/>
        <w:spacing w:before="7" w:after="1"/>
        <w:rPr>
          <w:b/>
          <w:sz w:val="9"/>
        </w:rPr>
      </w:pPr>
    </w:p>
    <w:tbl>
      <w:tblPr>
        <w:tblW w:w="0" w:type="auto"/>
        <w:tblInd w:w="1887" w:type="dxa"/>
        <w:tblLayout w:type="fixed"/>
        <w:tblCellMar>
          <w:left w:w="0" w:type="dxa"/>
          <w:right w:w="0" w:type="dxa"/>
        </w:tblCellMar>
        <w:tblLook w:val="01E0" w:firstRow="1" w:lastRow="1" w:firstColumn="1" w:lastColumn="1" w:noHBand="0" w:noVBand="0"/>
      </w:tblPr>
      <w:tblGrid>
        <w:gridCol w:w="1220"/>
        <w:gridCol w:w="2693"/>
        <w:gridCol w:w="2305"/>
      </w:tblGrid>
      <w:tr w:rsidR="00C31389" w14:paraId="766EEB1B" w14:textId="77777777">
        <w:trPr>
          <w:trHeight w:val="549"/>
        </w:trPr>
        <w:tc>
          <w:tcPr>
            <w:tcW w:w="1220" w:type="dxa"/>
            <w:shd w:val="clear" w:color="auto" w:fill="92D400"/>
          </w:tcPr>
          <w:p w:rsidR="00C31389" w:rsidRDefault="00561FBD" w14:paraId="370BFE46" w14:textId="77777777">
            <w:pPr>
              <w:pStyle w:val="TableParagraph"/>
              <w:spacing w:before="155"/>
              <w:ind w:left="465"/>
              <w:rPr>
                <w:b/>
                <w:sz w:val="20"/>
              </w:rPr>
            </w:pPr>
            <w:r>
              <w:rPr>
                <w:b/>
                <w:spacing w:val="-4"/>
                <w:sz w:val="20"/>
              </w:rPr>
              <w:t>Year</w:t>
            </w:r>
          </w:p>
        </w:tc>
        <w:tc>
          <w:tcPr>
            <w:tcW w:w="2693" w:type="dxa"/>
            <w:shd w:val="clear" w:color="auto" w:fill="92D400"/>
          </w:tcPr>
          <w:p w:rsidR="00C31389" w:rsidRDefault="00561FBD" w14:paraId="62269660" w14:textId="77777777">
            <w:pPr>
              <w:pStyle w:val="TableParagraph"/>
              <w:ind w:left="780" w:hanging="467"/>
              <w:rPr>
                <w:b/>
                <w:sz w:val="20"/>
              </w:rPr>
            </w:pPr>
            <w:r>
              <w:rPr>
                <w:b/>
                <w:sz w:val="20"/>
              </w:rPr>
              <w:t>Residential</w:t>
            </w:r>
            <w:r>
              <w:rPr>
                <w:b/>
                <w:spacing w:val="-14"/>
                <w:sz w:val="20"/>
              </w:rPr>
              <w:t xml:space="preserve"> </w:t>
            </w:r>
            <w:r>
              <w:rPr>
                <w:b/>
                <w:sz w:val="20"/>
              </w:rPr>
              <w:t>Heat</w:t>
            </w:r>
            <w:r>
              <w:rPr>
                <w:b/>
                <w:spacing w:val="-14"/>
                <w:sz w:val="20"/>
              </w:rPr>
              <w:t xml:space="preserve"> </w:t>
            </w:r>
            <w:r>
              <w:rPr>
                <w:b/>
                <w:sz w:val="20"/>
              </w:rPr>
              <w:t>Pump Water Heater</w:t>
            </w:r>
          </w:p>
        </w:tc>
        <w:tc>
          <w:tcPr>
            <w:tcW w:w="2305" w:type="dxa"/>
            <w:shd w:val="clear" w:color="auto" w:fill="92D400"/>
          </w:tcPr>
          <w:p w:rsidR="00C31389" w:rsidRDefault="00561FBD" w14:paraId="7D63BDA2" w14:textId="77777777">
            <w:pPr>
              <w:pStyle w:val="TableParagraph"/>
              <w:ind w:left="211" w:firstLine="105"/>
              <w:rPr>
                <w:b/>
                <w:sz w:val="20"/>
              </w:rPr>
            </w:pPr>
            <w:r>
              <w:rPr>
                <w:b/>
                <w:sz w:val="20"/>
              </w:rPr>
              <w:t>Commercial Heat Pump</w:t>
            </w:r>
            <w:r>
              <w:rPr>
                <w:b/>
                <w:spacing w:val="-3"/>
                <w:sz w:val="20"/>
              </w:rPr>
              <w:t xml:space="preserve"> </w:t>
            </w:r>
            <w:r>
              <w:rPr>
                <w:b/>
                <w:sz w:val="20"/>
              </w:rPr>
              <w:t>Water</w:t>
            </w:r>
            <w:r>
              <w:rPr>
                <w:b/>
                <w:spacing w:val="-3"/>
                <w:sz w:val="20"/>
              </w:rPr>
              <w:t xml:space="preserve"> </w:t>
            </w:r>
            <w:r>
              <w:rPr>
                <w:b/>
                <w:spacing w:val="-2"/>
                <w:sz w:val="20"/>
              </w:rPr>
              <w:t>Heater</w:t>
            </w:r>
          </w:p>
        </w:tc>
      </w:tr>
      <w:tr w:rsidR="00C31389" w14:paraId="08571FDF" w14:textId="77777777">
        <w:trPr>
          <w:trHeight w:val="310"/>
        </w:trPr>
        <w:tc>
          <w:tcPr>
            <w:tcW w:w="1220" w:type="dxa"/>
            <w:tcBorders>
              <w:bottom w:val="single" w:color="D9D9D9" w:sz="2" w:space="0"/>
            </w:tcBorders>
          </w:tcPr>
          <w:p w:rsidR="00C31389" w:rsidRDefault="00561FBD" w14:paraId="183E635F" w14:textId="77777777">
            <w:pPr>
              <w:pStyle w:val="TableParagraph"/>
              <w:ind w:right="311"/>
              <w:jc w:val="right"/>
              <w:rPr>
                <w:sz w:val="20"/>
              </w:rPr>
            </w:pPr>
            <w:r>
              <w:rPr>
                <w:spacing w:val="-4"/>
                <w:sz w:val="20"/>
              </w:rPr>
              <w:t>2019</w:t>
            </w:r>
          </w:p>
        </w:tc>
        <w:tc>
          <w:tcPr>
            <w:tcW w:w="2693" w:type="dxa"/>
            <w:tcBorders>
              <w:bottom w:val="single" w:color="D9D9D9" w:sz="2" w:space="0"/>
            </w:tcBorders>
          </w:tcPr>
          <w:p w:rsidR="00C31389" w:rsidRDefault="00561FBD" w14:paraId="2C76F108" w14:textId="77777777">
            <w:pPr>
              <w:pStyle w:val="TableParagraph"/>
              <w:ind w:right="1098"/>
              <w:jc w:val="right"/>
              <w:rPr>
                <w:sz w:val="20"/>
              </w:rPr>
            </w:pPr>
            <w:r>
              <w:rPr>
                <w:spacing w:val="-4"/>
                <w:sz w:val="20"/>
              </w:rPr>
              <w:t>1.00</w:t>
            </w:r>
          </w:p>
        </w:tc>
        <w:tc>
          <w:tcPr>
            <w:tcW w:w="2305" w:type="dxa"/>
            <w:tcBorders>
              <w:bottom w:val="single" w:color="D9D9D9" w:sz="2" w:space="0"/>
            </w:tcBorders>
          </w:tcPr>
          <w:p w:rsidR="00C31389" w:rsidRDefault="00561FBD" w14:paraId="6A097840" w14:textId="77777777">
            <w:pPr>
              <w:pStyle w:val="TableParagraph"/>
              <w:ind w:left="928" w:right="961"/>
              <w:jc w:val="center"/>
              <w:rPr>
                <w:sz w:val="20"/>
              </w:rPr>
            </w:pPr>
            <w:r>
              <w:rPr>
                <w:spacing w:val="-4"/>
                <w:sz w:val="20"/>
              </w:rPr>
              <w:t>1.00</w:t>
            </w:r>
          </w:p>
        </w:tc>
      </w:tr>
      <w:tr w:rsidR="00C31389" w14:paraId="296ABBA7" w14:textId="77777777">
        <w:trPr>
          <w:trHeight w:val="309"/>
        </w:trPr>
        <w:tc>
          <w:tcPr>
            <w:tcW w:w="1220" w:type="dxa"/>
            <w:tcBorders>
              <w:top w:val="single" w:color="D9D9D9" w:sz="2" w:space="0"/>
              <w:bottom w:val="single" w:color="D9D9D9" w:sz="2" w:space="0"/>
            </w:tcBorders>
          </w:tcPr>
          <w:p w:rsidR="00C31389" w:rsidRDefault="00561FBD" w14:paraId="116E61B7" w14:textId="77777777">
            <w:pPr>
              <w:pStyle w:val="TableParagraph"/>
              <w:ind w:right="311"/>
              <w:jc w:val="right"/>
              <w:rPr>
                <w:sz w:val="20"/>
              </w:rPr>
            </w:pPr>
            <w:r>
              <w:rPr>
                <w:spacing w:val="-4"/>
                <w:sz w:val="20"/>
              </w:rPr>
              <w:t>2020</w:t>
            </w:r>
          </w:p>
        </w:tc>
        <w:tc>
          <w:tcPr>
            <w:tcW w:w="2693" w:type="dxa"/>
            <w:tcBorders>
              <w:top w:val="single" w:color="D9D9D9" w:sz="2" w:space="0"/>
              <w:bottom w:val="single" w:color="D9D9D9" w:sz="2" w:space="0"/>
            </w:tcBorders>
          </w:tcPr>
          <w:p w:rsidR="00C31389" w:rsidRDefault="00561FBD" w14:paraId="52A769B1" w14:textId="77777777">
            <w:pPr>
              <w:pStyle w:val="TableParagraph"/>
              <w:ind w:right="1098"/>
              <w:jc w:val="right"/>
              <w:rPr>
                <w:sz w:val="20"/>
              </w:rPr>
            </w:pPr>
            <w:r>
              <w:rPr>
                <w:spacing w:val="-4"/>
                <w:sz w:val="20"/>
              </w:rPr>
              <w:t>0.98</w:t>
            </w:r>
          </w:p>
        </w:tc>
        <w:tc>
          <w:tcPr>
            <w:tcW w:w="2305" w:type="dxa"/>
            <w:tcBorders>
              <w:top w:val="single" w:color="D9D9D9" w:sz="2" w:space="0"/>
              <w:bottom w:val="single" w:color="D9D9D9" w:sz="2" w:space="0"/>
            </w:tcBorders>
          </w:tcPr>
          <w:p w:rsidR="00C31389" w:rsidRDefault="00561FBD" w14:paraId="7B8E9EB0" w14:textId="77777777">
            <w:pPr>
              <w:pStyle w:val="TableParagraph"/>
              <w:ind w:left="928" w:right="961"/>
              <w:jc w:val="center"/>
              <w:rPr>
                <w:sz w:val="20"/>
              </w:rPr>
            </w:pPr>
            <w:r>
              <w:rPr>
                <w:spacing w:val="-4"/>
                <w:sz w:val="20"/>
              </w:rPr>
              <w:t>0.99</w:t>
            </w:r>
          </w:p>
        </w:tc>
      </w:tr>
      <w:tr w:rsidR="00C31389" w14:paraId="0014D661" w14:textId="77777777">
        <w:trPr>
          <w:trHeight w:val="310"/>
        </w:trPr>
        <w:tc>
          <w:tcPr>
            <w:tcW w:w="1220" w:type="dxa"/>
            <w:tcBorders>
              <w:top w:val="single" w:color="D9D9D9" w:sz="2" w:space="0"/>
              <w:bottom w:val="single" w:color="D9D9D9" w:sz="2" w:space="0"/>
            </w:tcBorders>
          </w:tcPr>
          <w:p w:rsidR="00C31389" w:rsidRDefault="00561FBD" w14:paraId="7EADB6ED" w14:textId="77777777">
            <w:pPr>
              <w:pStyle w:val="TableParagraph"/>
              <w:ind w:right="311"/>
              <w:jc w:val="right"/>
              <w:rPr>
                <w:sz w:val="20"/>
              </w:rPr>
            </w:pPr>
            <w:r>
              <w:rPr>
                <w:spacing w:val="-4"/>
                <w:sz w:val="20"/>
              </w:rPr>
              <w:t>2021</w:t>
            </w:r>
          </w:p>
        </w:tc>
        <w:tc>
          <w:tcPr>
            <w:tcW w:w="2693" w:type="dxa"/>
            <w:tcBorders>
              <w:top w:val="single" w:color="D9D9D9" w:sz="2" w:space="0"/>
              <w:bottom w:val="single" w:color="D9D9D9" w:sz="2" w:space="0"/>
            </w:tcBorders>
          </w:tcPr>
          <w:p w:rsidR="00C31389" w:rsidRDefault="00561FBD" w14:paraId="694FAA51" w14:textId="77777777">
            <w:pPr>
              <w:pStyle w:val="TableParagraph"/>
              <w:ind w:right="1097"/>
              <w:jc w:val="right"/>
              <w:rPr>
                <w:sz w:val="20"/>
              </w:rPr>
            </w:pPr>
            <w:r>
              <w:rPr>
                <w:spacing w:val="-4"/>
                <w:sz w:val="20"/>
              </w:rPr>
              <w:t>0.96</w:t>
            </w:r>
          </w:p>
        </w:tc>
        <w:tc>
          <w:tcPr>
            <w:tcW w:w="2305" w:type="dxa"/>
            <w:tcBorders>
              <w:top w:val="single" w:color="D9D9D9" w:sz="2" w:space="0"/>
              <w:bottom w:val="single" w:color="D9D9D9" w:sz="2" w:space="0"/>
            </w:tcBorders>
          </w:tcPr>
          <w:p w:rsidR="00C31389" w:rsidRDefault="00561FBD" w14:paraId="3045C7F5" w14:textId="77777777">
            <w:pPr>
              <w:pStyle w:val="TableParagraph"/>
              <w:ind w:left="929" w:right="961"/>
              <w:jc w:val="center"/>
              <w:rPr>
                <w:sz w:val="20"/>
              </w:rPr>
            </w:pPr>
            <w:r>
              <w:rPr>
                <w:spacing w:val="-4"/>
                <w:sz w:val="20"/>
              </w:rPr>
              <w:t>0.98</w:t>
            </w:r>
          </w:p>
        </w:tc>
      </w:tr>
      <w:tr w:rsidR="00C31389" w14:paraId="5AFD7091" w14:textId="77777777">
        <w:trPr>
          <w:trHeight w:val="309"/>
        </w:trPr>
        <w:tc>
          <w:tcPr>
            <w:tcW w:w="1220" w:type="dxa"/>
            <w:tcBorders>
              <w:top w:val="single" w:color="D9D9D9" w:sz="2" w:space="0"/>
              <w:bottom w:val="single" w:color="D9D9D9" w:sz="2" w:space="0"/>
            </w:tcBorders>
          </w:tcPr>
          <w:p w:rsidR="00C31389" w:rsidRDefault="00561FBD" w14:paraId="3A70E895" w14:textId="77777777">
            <w:pPr>
              <w:pStyle w:val="TableParagraph"/>
              <w:ind w:right="311"/>
              <w:jc w:val="right"/>
              <w:rPr>
                <w:sz w:val="20"/>
              </w:rPr>
            </w:pPr>
            <w:r>
              <w:rPr>
                <w:spacing w:val="-4"/>
                <w:sz w:val="20"/>
              </w:rPr>
              <w:t>2022</w:t>
            </w:r>
          </w:p>
        </w:tc>
        <w:tc>
          <w:tcPr>
            <w:tcW w:w="2693" w:type="dxa"/>
            <w:tcBorders>
              <w:top w:val="single" w:color="D9D9D9" w:sz="2" w:space="0"/>
              <w:bottom w:val="single" w:color="D9D9D9" w:sz="2" w:space="0"/>
            </w:tcBorders>
          </w:tcPr>
          <w:p w:rsidR="00C31389" w:rsidRDefault="00561FBD" w14:paraId="18976F74" w14:textId="77777777">
            <w:pPr>
              <w:pStyle w:val="TableParagraph"/>
              <w:ind w:right="1098"/>
              <w:jc w:val="right"/>
              <w:rPr>
                <w:sz w:val="20"/>
              </w:rPr>
            </w:pPr>
            <w:r>
              <w:rPr>
                <w:spacing w:val="-4"/>
                <w:sz w:val="20"/>
              </w:rPr>
              <w:t>0.94</w:t>
            </w:r>
          </w:p>
        </w:tc>
        <w:tc>
          <w:tcPr>
            <w:tcW w:w="2305" w:type="dxa"/>
            <w:tcBorders>
              <w:top w:val="single" w:color="D9D9D9" w:sz="2" w:space="0"/>
              <w:bottom w:val="single" w:color="D9D9D9" w:sz="2" w:space="0"/>
            </w:tcBorders>
          </w:tcPr>
          <w:p w:rsidR="00C31389" w:rsidRDefault="00561FBD" w14:paraId="049B75A8" w14:textId="77777777">
            <w:pPr>
              <w:pStyle w:val="TableParagraph"/>
              <w:ind w:left="928" w:right="961"/>
              <w:jc w:val="center"/>
              <w:rPr>
                <w:sz w:val="20"/>
              </w:rPr>
            </w:pPr>
            <w:r>
              <w:rPr>
                <w:spacing w:val="-4"/>
                <w:sz w:val="20"/>
              </w:rPr>
              <w:t>0.97</w:t>
            </w:r>
          </w:p>
        </w:tc>
      </w:tr>
      <w:tr w:rsidR="00C31389" w14:paraId="30F55100" w14:textId="77777777">
        <w:trPr>
          <w:trHeight w:val="310"/>
        </w:trPr>
        <w:tc>
          <w:tcPr>
            <w:tcW w:w="1220" w:type="dxa"/>
            <w:tcBorders>
              <w:top w:val="single" w:color="D9D9D9" w:sz="2" w:space="0"/>
              <w:bottom w:val="single" w:color="D9D9D9" w:sz="2" w:space="0"/>
            </w:tcBorders>
          </w:tcPr>
          <w:p w:rsidR="00C31389" w:rsidRDefault="00561FBD" w14:paraId="47D44FE7" w14:textId="77777777">
            <w:pPr>
              <w:pStyle w:val="TableParagraph"/>
              <w:ind w:right="311"/>
              <w:jc w:val="right"/>
              <w:rPr>
                <w:sz w:val="20"/>
              </w:rPr>
            </w:pPr>
            <w:r>
              <w:rPr>
                <w:spacing w:val="-4"/>
                <w:sz w:val="20"/>
              </w:rPr>
              <w:t>2023</w:t>
            </w:r>
          </w:p>
        </w:tc>
        <w:tc>
          <w:tcPr>
            <w:tcW w:w="2693" w:type="dxa"/>
            <w:tcBorders>
              <w:top w:val="single" w:color="D9D9D9" w:sz="2" w:space="0"/>
              <w:bottom w:val="single" w:color="D9D9D9" w:sz="2" w:space="0"/>
            </w:tcBorders>
          </w:tcPr>
          <w:p w:rsidR="00C31389" w:rsidRDefault="00561FBD" w14:paraId="370A39F8" w14:textId="77777777">
            <w:pPr>
              <w:pStyle w:val="TableParagraph"/>
              <w:ind w:right="1098"/>
              <w:jc w:val="right"/>
              <w:rPr>
                <w:sz w:val="20"/>
              </w:rPr>
            </w:pPr>
            <w:r>
              <w:rPr>
                <w:spacing w:val="-4"/>
                <w:sz w:val="20"/>
              </w:rPr>
              <w:t>0.92</w:t>
            </w:r>
          </w:p>
        </w:tc>
        <w:tc>
          <w:tcPr>
            <w:tcW w:w="2305" w:type="dxa"/>
            <w:tcBorders>
              <w:top w:val="single" w:color="D9D9D9" w:sz="2" w:space="0"/>
              <w:bottom w:val="single" w:color="D9D9D9" w:sz="2" w:space="0"/>
            </w:tcBorders>
          </w:tcPr>
          <w:p w:rsidR="00C31389" w:rsidRDefault="00561FBD" w14:paraId="1E5EABE6" w14:textId="77777777">
            <w:pPr>
              <w:pStyle w:val="TableParagraph"/>
              <w:ind w:left="928" w:right="961"/>
              <w:jc w:val="center"/>
              <w:rPr>
                <w:sz w:val="20"/>
              </w:rPr>
            </w:pPr>
            <w:r>
              <w:rPr>
                <w:spacing w:val="-4"/>
                <w:sz w:val="20"/>
              </w:rPr>
              <w:t>0.96</w:t>
            </w:r>
          </w:p>
        </w:tc>
      </w:tr>
      <w:tr w:rsidR="00C31389" w14:paraId="36CD348C" w14:textId="77777777">
        <w:trPr>
          <w:trHeight w:val="309"/>
        </w:trPr>
        <w:tc>
          <w:tcPr>
            <w:tcW w:w="1220" w:type="dxa"/>
            <w:tcBorders>
              <w:top w:val="single" w:color="D9D9D9" w:sz="2" w:space="0"/>
              <w:bottom w:val="single" w:color="D9D9D9" w:sz="2" w:space="0"/>
            </w:tcBorders>
          </w:tcPr>
          <w:p w:rsidR="00C31389" w:rsidRDefault="00561FBD" w14:paraId="4E313A8D" w14:textId="77777777">
            <w:pPr>
              <w:pStyle w:val="TableParagraph"/>
              <w:ind w:right="311"/>
              <w:jc w:val="right"/>
              <w:rPr>
                <w:sz w:val="20"/>
              </w:rPr>
            </w:pPr>
            <w:r>
              <w:rPr>
                <w:spacing w:val="-4"/>
                <w:sz w:val="20"/>
              </w:rPr>
              <w:t>2024</w:t>
            </w:r>
          </w:p>
        </w:tc>
        <w:tc>
          <w:tcPr>
            <w:tcW w:w="2693" w:type="dxa"/>
            <w:tcBorders>
              <w:top w:val="single" w:color="D9D9D9" w:sz="2" w:space="0"/>
              <w:bottom w:val="single" w:color="D9D9D9" w:sz="2" w:space="0"/>
            </w:tcBorders>
          </w:tcPr>
          <w:p w:rsidR="00C31389" w:rsidRDefault="00561FBD" w14:paraId="51A00CFC" w14:textId="77777777">
            <w:pPr>
              <w:pStyle w:val="TableParagraph"/>
              <w:ind w:right="1098"/>
              <w:jc w:val="right"/>
              <w:rPr>
                <w:sz w:val="20"/>
              </w:rPr>
            </w:pPr>
            <w:r>
              <w:rPr>
                <w:spacing w:val="-4"/>
                <w:sz w:val="20"/>
              </w:rPr>
              <w:t>0.90</w:t>
            </w:r>
          </w:p>
        </w:tc>
        <w:tc>
          <w:tcPr>
            <w:tcW w:w="2305" w:type="dxa"/>
            <w:tcBorders>
              <w:top w:val="single" w:color="D9D9D9" w:sz="2" w:space="0"/>
              <w:bottom w:val="single" w:color="D9D9D9" w:sz="2" w:space="0"/>
            </w:tcBorders>
          </w:tcPr>
          <w:p w:rsidR="00C31389" w:rsidRDefault="00561FBD" w14:paraId="041F109E" w14:textId="77777777">
            <w:pPr>
              <w:pStyle w:val="TableParagraph"/>
              <w:ind w:left="928" w:right="961"/>
              <w:jc w:val="center"/>
              <w:rPr>
                <w:sz w:val="20"/>
              </w:rPr>
            </w:pPr>
            <w:r>
              <w:rPr>
                <w:spacing w:val="-4"/>
                <w:sz w:val="20"/>
              </w:rPr>
              <w:t>0.95</w:t>
            </w:r>
          </w:p>
        </w:tc>
      </w:tr>
      <w:tr w:rsidR="00C31389" w14:paraId="3D524E65" w14:textId="77777777">
        <w:trPr>
          <w:trHeight w:val="310"/>
        </w:trPr>
        <w:tc>
          <w:tcPr>
            <w:tcW w:w="1220" w:type="dxa"/>
            <w:tcBorders>
              <w:top w:val="single" w:color="D9D9D9" w:sz="2" w:space="0"/>
              <w:bottom w:val="single" w:color="D9D9D9" w:sz="2" w:space="0"/>
            </w:tcBorders>
          </w:tcPr>
          <w:p w:rsidR="00C31389" w:rsidRDefault="00561FBD" w14:paraId="7965ACB5" w14:textId="77777777">
            <w:pPr>
              <w:pStyle w:val="TableParagraph"/>
              <w:ind w:right="311"/>
              <w:jc w:val="right"/>
              <w:rPr>
                <w:sz w:val="20"/>
              </w:rPr>
            </w:pPr>
            <w:r>
              <w:rPr>
                <w:spacing w:val="-4"/>
                <w:sz w:val="20"/>
              </w:rPr>
              <w:t>2025</w:t>
            </w:r>
          </w:p>
        </w:tc>
        <w:tc>
          <w:tcPr>
            <w:tcW w:w="2693" w:type="dxa"/>
            <w:tcBorders>
              <w:top w:val="single" w:color="D9D9D9" w:sz="2" w:space="0"/>
              <w:bottom w:val="single" w:color="D9D9D9" w:sz="2" w:space="0"/>
            </w:tcBorders>
          </w:tcPr>
          <w:p w:rsidR="00C31389" w:rsidRDefault="00561FBD" w14:paraId="4C9F9164" w14:textId="77777777">
            <w:pPr>
              <w:pStyle w:val="TableParagraph"/>
              <w:ind w:right="1097"/>
              <w:jc w:val="right"/>
              <w:rPr>
                <w:sz w:val="20"/>
              </w:rPr>
            </w:pPr>
            <w:r>
              <w:rPr>
                <w:spacing w:val="-4"/>
                <w:sz w:val="20"/>
              </w:rPr>
              <w:t>0.88</w:t>
            </w:r>
          </w:p>
        </w:tc>
        <w:tc>
          <w:tcPr>
            <w:tcW w:w="2305" w:type="dxa"/>
            <w:tcBorders>
              <w:top w:val="single" w:color="D9D9D9" w:sz="2" w:space="0"/>
              <w:bottom w:val="single" w:color="D9D9D9" w:sz="2" w:space="0"/>
            </w:tcBorders>
          </w:tcPr>
          <w:p w:rsidR="00C31389" w:rsidRDefault="00561FBD" w14:paraId="20998A10" w14:textId="77777777">
            <w:pPr>
              <w:pStyle w:val="TableParagraph"/>
              <w:ind w:left="929" w:right="961"/>
              <w:jc w:val="center"/>
              <w:rPr>
                <w:sz w:val="20"/>
              </w:rPr>
            </w:pPr>
            <w:r>
              <w:rPr>
                <w:spacing w:val="-4"/>
                <w:sz w:val="20"/>
              </w:rPr>
              <w:t>0.95</w:t>
            </w:r>
          </w:p>
        </w:tc>
      </w:tr>
      <w:tr w:rsidR="00C31389" w14:paraId="5EC80334" w14:textId="77777777">
        <w:trPr>
          <w:trHeight w:val="309"/>
        </w:trPr>
        <w:tc>
          <w:tcPr>
            <w:tcW w:w="1220" w:type="dxa"/>
            <w:tcBorders>
              <w:top w:val="single" w:color="D9D9D9" w:sz="2" w:space="0"/>
              <w:bottom w:val="single" w:color="D9D9D9" w:sz="2" w:space="0"/>
            </w:tcBorders>
          </w:tcPr>
          <w:p w:rsidR="00C31389" w:rsidRDefault="00561FBD" w14:paraId="19965694" w14:textId="77777777">
            <w:pPr>
              <w:pStyle w:val="TableParagraph"/>
              <w:ind w:right="311"/>
              <w:jc w:val="right"/>
              <w:rPr>
                <w:sz w:val="20"/>
              </w:rPr>
            </w:pPr>
            <w:r>
              <w:rPr>
                <w:spacing w:val="-4"/>
                <w:sz w:val="20"/>
              </w:rPr>
              <w:t>2026</w:t>
            </w:r>
          </w:p>
        </w:tc>
        <w:tc>
          <w:tcPr>
            <w:tcW w:w="2693" w:type="dxa"/>
            <w:tcBorders>
              <w:top w:val="single" w:color="D9D9D9" w:sz="2" w:space="0"/>
              <w:bottom w:val="single" w:color="D9D9D9" w:sz="2" w:space="0"/>
            </w:tcBorders>
          </w:tcPr>
          <w:p w:rsidR="00C31389" w:rsidRDefault="00561FBD" w14:paraId="37843618" w14:textId="77777777">
            <w:pPr>
              <w:pStyle w:val="TableParagraph"/>
              <w:ind w:right="1098"/>
              <w:jc w:val="right"/>
              <w:rPr>
                <w:sz w:val="20"/>
              </w:rPr>
            </w:pPr>
            <w:r>
              <w:rPr>
                <w:spacing w:val="-4"/>
                <w:sz w:val="20"/>
              </w:rPr>
              <w:t>0.86</w:t>
            </w:r>
          </w:p>
        </w:tc>
        <w:tc>
          <w:tcPr>
            <w:tcW w:w="2305" w:type="dxa"/>
            <w:tcBorders>
              <w:top w:val="single" w:color="D9D9D9" w:sz="2" w:space="0"/>
              <w:bottom w:val="single" w:color="D9D9D9" w:sz="2" w:space="0"/>
            </w:tcBorders>
          </w:tcPr>
          <w:p w:rsidR="00C31389" w:rsidRDefault="00561FBD" w14:paraId="661C17C0" w14:textId="77777777">
            <w:pPr>
              <w:pStyle w:val="TableParagraph"/>
              <w:ind w:left="928" w:right="961"/>
              <w:jc w:val="center"/>
              <w:rPr>
                <w:sz w:val="20"/>
              </w:rPr>
            </w:pPr>
            <w:r>
              <w:rPr>
                <w:spacing w:val="-4"/>
                <w:sz w:val="20"/>
              </w:rPr>
              <w:t>0.94</w:t>
            </w:r>
          </w:p>
        </w:tc>
      </w:tr>
      <w:tr w:rsidR="00C31389" w14:paraId="380B6469" w14:textId="77777777">
        <w:trPr>
          <w:trHeight w:val="310"/>
        </w:trPr>
        <w:tc>
          <w:tcPr>
            <w:tcW w:w="1220" w:type="dxa"/>
            <w:tcBorders>
              <w:top w:val="single" w:color="D9D9D9" w:sz="2" w:space="0"/>
              <w:bottom w:val="single" w:color="D9D9D9" w:sz="2" w:space="0"/>
            </w:tcBorders>
          </w:tcPr>
          <w:p w:rsidR="00C31389" w:rsidRDefault="00561FBD" w14:paraId="3A2FD5A8" w14:textId="77777777">
            <w:pPr>
              <w:pStyle w:val="TableParagraph"/>
              <w:ind w:right="311"/>
              <w:jc w:val="right"/>
              <w:rPr>
                <w:sz w:val="20"/>
              </w:rPr>
            </w:pPr>
            <w:r>
              <w:rPr>
                <w:spacing w:val="-4"/>
                <w:sz w:val="20"/>
              </w:rPr>
              <w:t>2027</w:t>
            </w:r>
          </w:p>
        </w:tc>
        <w:tc>
          <w:tcPr>
            <w:tcW w:w="2693" w:type="dxa"/>
            <w:tcBorders>
              <w:top w:val="single" w:color="D9D9D9" w:sz="2" w:space="0"/>
              <w:bottom w:val="single" w:color="D9D9D9" w:sz="2" w:space="0"/>
            </w:tcBorders>
          </w:tcPr>
          <w:p w:rsidR="00C31389" w:rsidRDefault="00561FBD" w14:paraId="582459DC" w14:textId="77777777">
            <w:pPr>
              <w:pStyle w:val="TableParagraph"/>
              <w:ind w:right="1098"/>
              <w:jc w:val="right"/>
              <w:rPr>
                <w:sz w:val="20"/>
              </w:rPr>
            </w:pPr>
            <w:r>
              <w:rPr>
                <w:spacing w:val="-4"/>
                <w:sz w:val="20"/>
              </w:rPr>
              <w:t>0.84</w:t>
            </w:r>
          </w:p>
        </w:tc>
        <w:tc>
          <w:tcPr>
            <w:tcW w:w="2305" w:type="dxa"/>
            <w:tcBorders>
              <w:top w:val="single" w:color="D9D9D9" w:sz="2" w:space="0"/>
              <w:bottom w:val="single" w:color="D9D9D9" w:sz="2" w:space="0"/>
            </w:tcBorders>
          </w:tcPr>
          <w:p w:rsidR="00C31389" w:rsidRDefault="00561FBD" w14:paraId="05981FDF" w14:textId="77777777">
            <w:pPr>
              <w:pStyle w:val="TableParagraph"/>
              <w:ind w:left="928" w:right="961"/>
              <w:jc w:val="center"/>
              <w:rPr>
                <w:sz w:val="20"/>
              </w:rPr>
            </w:pPr>
            <w:r>
              <w:rPr>
                <w:spacing w:val="-4"/>
                <w:sz w:val="20"/>
              </w:rPr>
              <w:t>0.93</w:t>
            </w:r>
          </w:p>
        </w:tc>
      </w:tr>
      <w:tr w:rsidR="00C31389" w14:paraId="1E790024" w14:textId="77777777">
        <w:trPr>
          <w:trHeight w:val="309"/>
        </w:trPr>
        <w:tc>
          <w:tcPr>
            <w:tcW w:w="1220" w:type="dxa"/>
            <w:tcBorders>
              <w:top w:val="single" w:color="D9D9D9" w:sz="2" w:space="0"/>
              <w:bottom w:val="single" w:color="D9D9D9" w:sz="2" w:space="0"/>
            </w:tcBorders>
          </w:tcPr>
          <w:p w:rsidR="00C31389" w:rsidRDefault="00561FBD" w14:paraId="2817E50A" w14:textId="77777777">
            <w:pPr>
              <w:pStyle w:val="TableParagraph"/>
              <w:ind w:right="311"/>
              <w:jc w:val="right"/>
              <w:rPr>
                <w:sz w:val="20"/>
              </w:rPr>
            </w:pPr>
            <w:r>
              <w:rPr>
                <w:spacing w:val="-4"/>
                <w:sz w:val="20"/>
              </w:rPr>
              <w:t>2028</w:t>
            </w:r>
          </w:p>
        </w:tc>
        <w:tc>
          <w:tcPr>
            <w:tcW w:w="2693" w:type="dxa"/>
            <w:tcBorders>
              <w:top w:val="single" w:color="D9D9D9" w:sz="2" w:space="0"/>
              <w:bottom w:val="single" w:color="D9D9D9" w:sz="2" w:space="0"/>
            </w:tcBorders>
          </w:tcPr>
          <w:p w:rsidR="00C31389" w:rsidRDefault="00561FBD" w14:paraId="37BA82C1" w14:textId="77777777">
            <w:pPr>
              <w:pStyle w:val="TableParagraph"/>
              <w:ind w:right="1098"/>
              <w:jc w:val="right"/>
              <w:rPr>
                <w:sz w:val="20"/>
              </w:rPr>
            </w:pPr>
            <w:r>
              <w:rPr>
                <w:spacing w:val="-4"/>
                <w:sz w:val="20"/>
              </w:rPr>
              <w:t>0.82</w:t>
            </w:r>
          </w:p>
        </w:tc>
        <w:tc>
          <w:tcPr>
            <w:tcW w:w="2305" w:type="dxa"/>
            <w:tcBorders>
              <w:top w:val="single" w:color="D9D9D9" w:sz="2" w:space="0"/>
              <w:bottom w:val="single" w:color="D9D9D9" w:sz="2" w:space="0"/>
            </w:tcBorders>
          </w:tcPr>
          <w:p w:rsidR="00C31389" w:rsidRDefault="00561FBD" w14:paraId="093702F4" w14:textId="77777777">
            <w:pPr>
              <w:pStyle w:val="TableParagraph"/>
              <w:ind w:left="928" w:right="961"/>
              <w:jc w:val="center"/>
              <w:rPr>
                <w:sz w:val="20"/>
              </w:rPr>
            </w:pPr>
            <w:r>
              <w:rPr>
                <w:spacing w:val="-4"/>
                <w:sz w:val="20"/>
              </w:rPr>
              <w:t>0.92</w:t>
            </w:r>
          </w:p>
        </w:tc>
      </w:tr>
      <w:tr w:rsidR="00C31389" w14:paraId="05108E28" w14:textId="77777777">
        <w:trPr>
          <w:trHeight w:val="310"/>
        </w:trPr>
        <w:tc>
          <w:tcPr>
            <w:tcW w:w="1220" w:type="dxa"/>
            <w:tcBorders>
              <w:top w:val="single" w:color="D9D9D9" w:sz="2" w:space="0"/>
              <w:bottom w:val="single" w:color="D9D9D9" w:sz="2" w:space="0"/>
            </w:tcBorders>
          </w:tcPr>
          <w:p w:rsidR="00C31389" w:rsidRDefault="00561FBD" w14:paraId="23073315" w14:textId="77777777">
            <w:pPr>
              <w:pStyle w:val="TableParagraph"/>
              <w:ind w:right="311"/>
              <w:jc w:val="right"/>
              <w:rPr>
                <w:sz w:val="20"/>
              </w:rPr>
            </w:pPr>
            <w:r>
              <w:rPr>
                <w:spacing w:val="-4"/>
                <w:sz w:val="20"/>
              </w:rPr>
              <w:t>2029</w:t>
            </w:r>
          </w:p>
        </w:tc>
        <w:tc>
          <w:tcPr>
            <w:tcW w:w="2693" w:type="dxa"/>
            <w:tcBorders>
              <w:top w:val="single" w:color="D9D9D9" w:sz="2" w:space="0"/>
              <w:bottom w:val="single" w:color="D9D9D9" w:sz="2" w:space="0"/>
            </w:tcBorders>
          </w:tcPr>
          <w:p w:rsidR="00C31389" w:rsidRDefault="00561FBD" w14:paraId="663F6379" w14:textId="77777777">
            <w:pPr>
              <w:pStyle w:val="TableParagraph"/>
              <w:ind w:right="1097"/>
              <w:jc w:val="right"/>
              <w:rPr>
                <w:sz w:val="20"/>
              </w:rPr>
            </w:pPr>
            <w:r>
              <w:rPr>
                <w:spacing w:val="-4"/>
                <w:sz w:val="20"/>
              </w:rPr>
              <w:t>0.80</w:t>
            </w:r>
          </w:p>
        </w:tc>
        <w:tc>
          <w:tcPr>
            <w:tcW w:w="2305" w:type="dxa"/>
            <w:tcBorders>
              <w:top w:val="single" w:color="D9D9D9" w:sz="2" w:space="0"/>
              <w:bottom w:val="single" w:color="D9D9D9" w:sz="2" w:space="0"/>
            </w:tcBorders>
          </w:tcPr>
          <w:p w:rsidR="00C31389" w:rsidRDefault="00561FBD" w14:paraId="28D817AA" w14:textId="77777777">
            <w:pPr>
              <w:pStyle w:val="TableParagraph"/>
              <w:ind w:left="929" w:right="961"/>
              <w:jc w:val="center"/>
              <w:rPr>
                <w:sz w:val="20"/>
              </w:rPr>
            </w:pPr>
            <w:r>
              <w:rPr>
                <w:spacing w:val="-4"/>
                <w:sz w:val="20"/>
              </w:rPr>
              <w:t>0.91</w:t>
            </w:r>
          </w:p>
        </w:tc>
      </w:tr>
      <w:tr w:rsidR="00C31389" w14:paraId="3AC621D5" w14:textId="77777777">
        <w:trPr>
          <w:trHeight w:val="309"/>
        </w:trPr>
        <w:tc>
          <w:tcPr>
            <w:tcW w:w="1220" w:type="dxa"/>
            <w:tcBorders>
              <w:top w:val="single" w:color="D9D9D9" w:sz="2" w:space="0"/>
              <w:bottom w:val="single" w:color="D9D9D9" w:sz="2" w:space="0"/>
            </w:tcBorders>
          </w:tcPr>
          <w:p w:rsidR="00C31389" w:rsidRDefault="00561FBD" w14:paraId="672A4D40" w14:textId="77777777">
            <w:pPr>
              <w:pStyle w:val="TableParagraph"/>
              <w:ind w:right="311"/>
              <w:jc w:val="right"/>
              <w:rPr>
                <w:sz w:val="20"/>
              </w:rPr>
            </w:pPr>
            <w:r>
              <w:rPr>
                <w:spacing w:val="-4"/>
                <w:sz w:val="20"/>
              </w:rPr>
              <w:t>2030</w:t>
            </w:r>
          </w:p>
        </w:tc>
        <w:tc>
          <w:tcPr>
            <w:tcW w:w="2693" w:type="dxa"/>
            <w:tcBorders>
              <w:top w:val="single" w:color="D9D9D9" w:sz="2" w:space="0"/>
              <w:bottom w:val="single" w:color="D9D9D9" w:sz="2" w:space="0"/>
            </w:tcBorders>
          </w:tcPr>
          <w:p w:rsidR="00C31389" w:rsidRDefault="00561FBD" w14:paraId="5CE27D58" w14:textId="77777777">
            <w:pPr>
              <w:pStyle w:val="TableParagraph"/>
              <w:ind w:right="1098"/>
              <w:jc w:val="right"/>
              <w:rPr>
                <w:sz w:val="20"/>
              </w:rPr>
            </w:pPr>
            <w:r>
              <w:rPr>
                <w:spacing w:val="-4"/>
                <w:sz w:val="20"/>
              </w:rPr>
              <w:t>0.78</w:t>
            </w:r>
          </w:p>
        </w:tc>
        <w:tc>
          <w:tcPr>
            <w:tcW w:w="2305" w:type="dxa"/>
            <w:tcBorders>
              <w:top w:val="single" w:color="D9D9D9" w:sz="2" w:space="0"/>
              <w:bottom w:val="single" w:color="D9D9D9" w:sz="2" w:space="0"/>
            </w:tcBorders>
          </w:tcPr>
          <w:p w:rsidR="00C31389" w:rsidRDefault="00561FBD" w14:paraId="77EF84CA" w14:textId="77777777">
            <w:pPr>
              <w:pStyle w:val="TableParagraph"/>
              <w:ind w:left="928" w:right="961"/>
              <w:jc w:val="center"/>
              <w:rPr>
                <w:sz w:val="20"/>
              </w:rPr>
            </w:pPr>
            <w:r>
              <w:rPr>
                <w:spacing w:val="-4"/>
                <w:sz w:val="20"/>
              </w:rPr>
              <w:t>0.90</w:t>
            </w:r>
          </w:p>
        </w:tc>
      </w:tr>
      <w:tr w:rsidR="00C31389" w14:paraId="3C829C98" w14:textId="77777777">
        <w:trPr>
          <w:trHeight w:val="310"/>
        </w:trPr>
        <w:tc>
          <w:tcPr>
            <w:tcW w:w="1220" w:type="dxa"/>
            <w:tcBorders>
              <w:top w:val="single" w:color="D9D9D9" w:sz="2" w:space="0"/>
              <w:bottom w:val="single" w:color="D9D9D9" w:sz="2" w:space="0"/>
            </w:tcBorders>
          </w:tcPr>
          <w:p w:rsidR="00C31389" w:rsidRDefault="00561FBD" w14:paraId="5E0CCA4F" w14:textId="77777777">
            <w:pPr>
              <w:pStyle w:val="TableParagraph"/>
              <w:ind w:right="311"/>
              <w:jc w:val="right"/>
              <w:rPr>
                <w:sz w:val="20"/>
              </w:rPr>
            </w:pPr>
            <w:r>
              <w:rPr>
                <w:spacing w:val="-4"/>
                <w:sz w:val="20"/>
              </w:rPr>
              <w:t>2031</w:t>
            </w:r>
          </w:p>
        </w:tc>
        <w:tc>
          <w:tcPr>
            <w:tcW w:w="2693" w:type="dxa"/>
            <w:tcBorders>
              <w:top w:val="single" w:color="D9D9D9" w:sz="2" w:space="0"/>
              <w:bottom w:val="single" w:color="D9D9D9" w:sz="2" w:space="0"/>
            </w:tcBorders>
          </w:tcPr>
          <w:p w:rsidR="00C31389" w:rsidRDefault="00561FBD" w14:paraId="2BBA220D" w14:textId="77777777">
            <w:pPr>
              <w:pStyle w:val="TableParagraph"/>
              <w:ind w:right="1098"/>
              <w:jc w:val="right"/>
              <w:rPr>
                <w:sz w:val="20"/>
              </w:rPr>
            </w:pPr>
            <w:r>
              <w:rPr>
                <w:spacing w:val="-4"/>
                <w:sz w:val="20"/>
              </w:rPr>
              <w:t>0.76</w:t>
            </w:r>
          </w:p>
        </w:tc>
        <w:tc>
          <w:tcPr>
            <w:tcW w:w="2305" w:type="dxa"/>
            <w:tcBorders>
              <w:top w:val="single" w:color="D9D9D9" w:sz="2" w:space="0"/>
              <w:bottom w:val="single" w:color="D9D9D9" w:sz="2" w:space="0"/>
            </w:tcBorders>
          </w:tcPr>
          <w:p w:rsidR="00C31389" w:rsidRDefault="00561FBD" w14:paraId="1EB90F09" w14:textId="77777777">
            <w:pPr>
              <w:pStyle w:val="TableParagraph"/>
              <w:ind w:left="928" w:right="961"/>
              <w:jc w:val="center"/>
              <w:rPr>
                <w:sz w:val="20"/>
              </w:rPr>
            </w:pPr>
            <w:r>
              <w:rPr>
                <w:spacing w:val="-4"/>
                <w:sz w:val="20"/>
              </w:rPr>
              <w:t>0.89</w:t>
            </w:r>
          </w:p>
        </w:tc>
      </w:tr>
      <w:tr w:rsidR="00C31389" w14:paraId="3F8E1770" w14:textId="77777777">
        <w:trPr>
          <w:trHeight w:val="310"/>
        </w:trPr>
        <w:tc>
          <w:tcPr>
            <w:tcW w:w="1220" w:type="dxa"/>
            <w:tcBorders>
              <w:top w:val="single" w:color="D9D9D9" w:sz="2" w:space="0"/>
              <w:bottom w:val="single" w:color="000000" w:sz="8" w:space="0"/>
            </w:tcBorders>
          </w:tcPr>
          <w:p w:rsidR="00C31389" w:rsidRDefault="00561FBD" w14:paraId="79BE4244" w14:textId="77777777">
            <w:pPr>
              <w:pStyle w:val="TableParagraph"/>
              <w:ind w:right="311"/>
              <w:jc w:val="right"/>
              <w:rPr>
                <w:sz w:val="20"/>
              </w:rPr>
            </w:pPr>
            <w:r>
              <w:rPr>
                <w:spacing w:val="-4"/>
                <w:sz w:val="20"/>
              </w:rPr>
              <w:t>2032</w:t>
            </w:r>
          </w:p>
        </w:tc>
        <w:tc>
          <w:tcPr>
            <w:tcW w:w="2693" w:type="dxa"/>
            <w:tcBorders>
              <w:top w:val="single" w:color="D9D9D9" w:sz="2" w:space="0"/>
              <w:bottom w:val="single" w:color="000000" w:sz="8" w:space="0"/>
            </w:tcBorders>
          </w:tcPr>
          <w:p w:rsidR="00C31389" w:rsidRDefault="00561FBD" w14:paraId="13011CBF" w14:textId="77777777">
            <w:pPr>
              <w:pStyle w:val="TableParagraph"/>
              <w:ind w:right="1098"/>
              <w:jc w:val="right"/>
              <w:rPr>
                <w:sz w:val="20"/>
              </w:rPr>
            </w:pPr>
            <w:r>
              <w:rPr>
                <w:spacing w:val="-4"/>
                <w:sz w:val="20"/>
              </w:rPr>
              <w:t>0.74</w:t>
            </w:r>
          </w:p>
        </w:tc>
        <w:tc>
          <w:tcPr>
            <w:tcW w:w="2305" w:type="dxa"/>
            <w:tcBorders>
              <w:top w:val="single" w:color="D9D9D9" w:sz="2" w:space="0"/>
              <w:bottom w:val="single" w:color="000000" w:sz="8" w:space="0"/>
            </w:tcBorders>
          </w:tcPr>
          <w:p w:rsidR="00C31389" w:rsidRDefault="00561FBD" w14:paraId="2CB8908C" w14:textId="77777777">
            <w:pPr>
              <w:pStyle w:val="TableParagraph"/>
              <w:ind w:left="928" w:right="961"/>
              <w:jc w:val="center"/>
              <w:rPr>
                <w:sz w:val="20"/>
              </w:rPr>
            </w:pPr>
            <w:r>
              <w:rPr>
                <w:spacing w:val="-4"/>
                <w:sz w:val="20"/>
              </w:rPr>
              <w:t>0.88</w:t>
            </w:r>
          </w:p>
        </w:tc>
      </w:tr>
    </w:tbl>
    <w:p w:rsidR="00C31389" w:rsidRDefault="00561FBD" w14:paraId="4925EF97" w14:textId="77777777">
      <w:pPr>
        <w:spacing w:before="77"/>
        <w:ind w:left="480"/>
        <w:rPr>
          <w:i/>
          <w:sz w:val="18"/>
        </w:rPr>
      </w:pPr>
      <w:r>
        <w:rPr>
          <w:i/>
          <w:sz w:val="18"/>
        </w:rPr>
        <w:t>Source:</w:t>
      </w:r>
      <w:r>
        <w:rPr>
          <w:i/>
          <w:spacing w:val="-4"/>
          <w:sz w:val="18"/>
        </w:rPr>
        <w:t xml:space="preserve"> </w:t>
      </w:r>
      <w:r>
        <w:rPr>
          <w:i/>
          <w:sz w:val="18"/>
        </w:rPr>
        <w:t>Guidehouse</w:t>
      </w:r>
      <w:r>
        <w:rPr>
          <w:i/>
          <w:spacing w:val="-4"/>
          <w:sz w:val="18"/>
        </w:rPr>
        <w:t xml:space="preserve"> </w:t>
      </w:r>
      <w:r>
        <w:rPr>
          <w:i/>
          <w:sz w:val="18"/>
        </w:rPr>
        <w:t>analysis</w:t>
      </w:r>
      <w:r>
        <w:rPr>
          <w:i/>
          <w:spacing w:val="-2"/>
          <w:sz w:val="18"/>
        </w:rPr>
        <w:t xml:space="preserve"> </w:t>
      </w:r>
      <w:r>
        <w:rPr>
          <w:i/>
          <w:sz w:val="18"/>
        </w:rPr>
        <w:t>of</w:t>
      </w:r>
      <w:r>
        <w:rPr>
          <w:i/>
          <w:spacing w:val="-3"/>
          <w:sz w:val="18"/>
        </w:rPr>
        <w:t xml:space="preserve"> </w:t>
      </w:r>
      <w:r>
        <w:rPr>
          <w:i/>
          <w:sz w:val="18"/>
        </w:rPr>
        <w:t>NREL</w:t>
      </w:r>
      <w:r>
        <w:rPr>
          <w:i/>
          <w:spacing w:val="-4"/>
          <w:sz w:val="18"/>
        </w:rPr>
        <w:t xml:space="preserve"> </w:t>
      </w:r>
      <w:r>
        <w:rPr>
          <w:i/>
          <w:spacing w:val="-2"/>
          <w:sz w:val="18"/>
        </w:rPr>
        <w:t>study</w:t>
      </w:r>
    </w:p>
    <w:p w:rsidR="00C31389" w:rsidRDefault="00C31389" w14:paraId="4F654DC5" w14:textId="77777777">
      <w:pPr>
        <w:pStyle w:val="BodyText"/>
        <w:spacing w:before="9"/>
        <w:rPr>
          <w:i/>
          <w:sz w:val="20"/>
        </w:rPr>
      </w:pPr>
    </w:p>
    <w:p w:rsidR="00C31389" w:rsidRDefault="00561FBD" w14:paraId="7C655734" w14:textId="77777777">
      <w:pPr>
        <w:pStyle w:val="ListParagraph"/>
        <w:numPr>
          <w:ilvl w:val="1"/>
          <w:numId w:val="25"/>
        </w:numPr>
        <w:tabs>
          <w:tab w:val="left" w:pos="991"/>
        </w:tabs>
        <w:ind w:left="991" w:hanging="511"/>
        <w:rPr>
          <w:b/>
          <w:sz w:val="28"/>
        </w:rPr>
      </w:pPr>
      <w:bookmarkStart w:name="B.3_Approach_for_FS_Cost-Effectiveness_A" w:id="360"/>
      <w:bookmarkStart w:name="_bookmark272" w:id="361"/>
      <w:bookmarkEnd w:id="360"/>
      <w:bookmarkEnd w:id="361"/>
      <w:r>
        <w:rPr>
          <w:b/>
          <w:sz w:val="28"/>
        </w:rPr>
        <w:t>Approach</w:t>
      </w:r>
      <w:r>
        <w:rPr>
          <w:b/>
          <w:spacing w:val="-20"/>
          <w:sz w:val="28"/>
        </w:rPr>
        <w:t xml:space="preserve"> </w:t>
      </w:r>
      <w:r>
        <w:rPr>
          <w:b/>
          <w:sz w:val="28"/>
        </w:rPr>
        <w:t>for</w:t>
      </w:r>
      <w:r>
        <w:rPr>
          <w:b/>
          <w:spacing w:val="-14"/>
          <w:sz w:val="28"/>
        </w:rPr>
        <w:t xml:space="preserve"> </w:t>
      </w:r>
      <w:r>
        <w:rPr>
          <w:b/>
          <w:sz w:val="28"/>
        </w:rPr>
        <w:t>FS</w:t>
      </w:r>
      <w:r>
        <w:rPr>
          <w:b/>
          <w:spacing w:val="-15"/>
          <w:sz w:val="28"/>
        </w:rPr>
        <w:t xml:space="preserve"> </w:t>
      </w:r>
      <w:r>
        <w:rPr>
          <w:b/>
          <w:sz w:val="28"/>
        </w:rPr>
        <w:t>Cost-Effectiveness</w:t>
      </w:r>
      <w:r>
        <w:rPr>
          <w:b/>
          <w:spacing w:val="-19"/>
          <w:sz w:val="28"/>
        </w:rPr>
        <w:t xml:space="preserve"> </w:t>
      </w:r>
      <w:r>
        <w:rPr>
          <w:b/>
          <w:spacing w:val="-2"/>
          <w:sz w:val="28"/>
        </w:rPr>
        <w:t>Analysis</w:t>
      </w:r>
    </w:p>
    <w:p w:rsidR="00C31389" w:rsidRDefault="00561FBD" w14:paraId="56CF6185" w14:textId="77777777">
      <w:pPr>
        <w:pStyle w:val="BodyText"/>
        <w:spacing w:before="241"/>
        <w:ind w:left="480" w:right="615"/>
      </w:pPr>
      <w:r>
        <w:t xml:space="preserve">The FS analysis follows the </w:t>
      </w:r>
      <w:r>
        <w:t>cost-effectiveness calculations that require addressing the increase in</w:t>
      </w:r>
      <w:r>
        <w:rPr>
          <w:spacing w:val="-2"/>
        </w:rPr>
        <w:t xml:space="preserve"> </w:t>
      </w:r>
      <w:r>
        <w:t>supply costs. FS measures value both the gas savings (a positive benefit) and the</w:t>
      </w:r>
      <w:r>
        <w:rPr>
          <w:spacing w:val="-3"/>
        </w:rPr>
        <w:t xml:space="preserve"> </w:t>
      </w:r>
      <w:r>
        <w:t>increased</w:t>
      </w:r>
      <w:r>
        <w:rPr>
          <w:spacing w:val="-3"/>
        </w:rPr>
        <w:t xml:space="preserve"> </w:t>
      </w:r>
      <w:r>
        <w:t>electricity</w:t>
      </w:r>
      <w:r>
        <w:rPr>
          <w:spacing w:val="-4"/>
        </w:rPr>
        <w:t xml:space="preserve"> </w:t>
      </w:r>
      <w:r>
        <w:t>supply</w:t>
      </w:r>
      <w:r>
        <w:rPr>
          <w:spacing w:val="-3"/>
        </w:rPr>
        <w:t xml:space="preserve"> </w:t>
      </w:r>
      <w:r>
        <w:t>cost</w:t>
      </w:r>
      <w:r>
        <w:rPr>
          <w:spacing w:val="-4"/>
        </w:rPr>
        <w:t xml:space="preserve"> </w:t>
      </w:r>
      <w:r>
        <w:t>(a</w:t>
      </w:r>
      <w:r>
        <w:rPr>
          <w:spacing w:val="-3"/>
        </w:rPr>
        <w:t xml:space="preserve"> </w:t>
      </w:r>
      <w:r>
        <w:t>negative</w:t>
      </w:r>
      <w:r>
        <w:rPr>
          <w:spacing w:val="-4"/>
        </w:rPr>
        <w:t xml:space="preserve"> </w:t>
      </w:r>
      <w:r>
        <w:t>benefit).</w:t>
      </w:r>
      <w:r>
        <w:rPr>
          <w:spacing w:val="-2"/>
        </w:rPr>
        <w:t xml:space="preserve"> </w:t>
      </w:r>
      <w:r>
        <w:t>FS</w:t>
      </w:r>
      <w:r>
        <w:rPr>
          <w:spacing w:val="-3"/>
        </w:rPr>
        <w:t xml:space="preserve"> </w:t>
      </w:r>
      <w:r>
        <w:t>measures</w:t>
      </w:r>
      <w:r>
        <w:rPr>
          <w:spacing w:val="-3"/>
        </w:rPr>
        <w:t xml:space="preserve"> </w:t>
      </w:r>
      <w:r>
        <w:t>are</w:t>
      </w:r>
      <w:r>
        <w:rPr>
          <w:spacing w:val="-3"/>
        </w:rPr>
        <w:t xml:space="preserve"> </w:t>
      </w:r>
      <w:r>
        <w:t>assigned</w:t>
      </w:r>
      <w:r>
        <w:rPr>
          <w:spacing w:val="-3"/>
        </w:rPr>
        <w:t xml:space="preserve"> </w:t>
      </w:r>
      <w:r>
        <w:t>to</w:t>
      </w:r>
      <w:r>
        <w:rPr>
          <w:spacing w:val="-3"/>
        </w:rPr>
        <w:t xml:space="preserve"> </w:t>
      </w:r>
      <w:r>
        <w:t>the</w:t>
      </w:r>
    </w:p>
    <w:p w:rsidR="00C31389" w:rsidRDefault="00C31389" w14:paraId="6CDD206D" w14:textId="77777777">
      <w:pPr>
        <w:sectPr w:rsidR="00C31389">
          <w:headerReference w:type="default" r:id="rId233"/>
          <w:footerReference w:type="default" r:id="rId234"/>
          <w:pgSz w:w="11910" w:h="16840"/>
          <w:pgMar w:top="1660" w:right="1020" w:bottom="1120" w:left="960" w:header="397" w:footer="938" w:gutter="0"/>
          <w:cols w:space="720"/>
        </w:sectPr>
      </w:pPr>
    </w:p>
    <w:p w:rsidR="00C31389" w:rsidRDefault="00C31389" w14:paraId="7A31F220" w14:textId="77777777">
      <w:pPr>
        <w:pStyle w:val="BodyText"/>
        <w:spacing w:before="11"/>
        <w:rPr>
          <w:sz w:val="13"/>
        </w:rPr>
      </w:pPr>
    </w:p>
    <w:p w:rsidR="00C31389" w:rsidRDefault="00561FBD" w14:paraId="6922B1A1" w14:textId="77777777">
      <w:pPr>
        <w:pStyle w:val="BodyText"/>
        <w:spacing w:before="92"/>
        <w:ind w:left="480" w:right="459"/>
      </w:pPr>
      <w:r>
        <w:t>IOU</w:t>
      </w:r>
      <w:r>
        <w:rPr>
          <w:spacing w:val="-4"/>
        </w:rPr>
        <w:t xml:space="preserve"> </w:t>
      </w:r>
      <w:r>
        <w:t>that</w:t>
      </w:r>
      <w:r>
        <w:rPr>
          <w:spacing w:val="-3"/>
        </w:rPr>
        <w:t xml:space="preserve"> </w:t>
      </w:r>
      <w:r>
        <w:t>serves</w:t>
      </w:r>
      <w:r>
        <w:rPr>
          <w:spacing w:val="-3"/>
        </w:rPr>
        <w:t xml:space="preserve"> </w:t>
      </w:r>
      <w:r>
        <w:t>the</w:t>
      </w:r>
      <w:r>
        <w:rPr>
          <w:spacing w:val="-3"/>
        </w:rPr>
        <w:t xml:space="preserve"> </w:t>
      </w:r>
      <w:r>
        <w:t>new</w:t>
      </w:r>
      <w:r>
        <w:rPr>
          <w:spacing w:val="-5"/>
        </w:rPr>
        <w:t xml:space="preserve"> </w:t>
      </w:r>
      <w:r>
        <w:t>load.</w:t>
      </w:r>
      <w:r>
        <w:rPr>
          <w:spacing w:val="-3"/>
        </w:rPr>
        <w:t xml:space="preserve"> </w:t>
      </w:r>
      <w:r>
        <w:t>FS</w:t>
      </w:r>
      <w:r>
        <w:rPr>
          <w:spacing w:val="-4"/>
        </w:rPr>
        <w:t xml:space="preserve"> </w:t>
      </w:r>
      <w:r>
        <w:t>for</w:t>
      </w:r>
      <w:r>
        <w:rPr>
          <w:spacing w:val="-3"/>
        </w:rPr>
        <w:t xml:space="preserve"> </w:t>
      </w:r>
      <w:r>
        <w:t>dual</w:t>
      </w:r>
      <w:r>
        <w:rPr>
          <w:spacing w:val="-3"/>
        </w:rPr>
        <w:t xml:space="preserve"> </w:t>
      </w:r>
      <w:r>
        <w:t>fuel</w:t>
      </w:r>
      <w:r>
        <w:rPr>
          <w:spacing w:val="-3"/>
        </w:rPr>
        <w:t xml:space="preserve"> </w:t>
      </w:r>
      <w:r>
        <w:t>utilities</w:t>
      </w:r>
      <w:r>
        <w:rPr>
          <w:spacing w:val="-3"/>
        </w:rPr>
        <w:t xml:space="preserve"> </w:t>
      </w:r>
      <w:r>
        <w:t>(PG&amp;E</w:t>
      </w:r>
      <w:r>
        <w:rPr>
          <w:spacing w:val="-3"/>
        </w:rPr>
        <w:t xml:space="preserve"> </w:t>
      </w:r>
      <w:r>
        <w:t>and</w:t>
      </w:r>
      <w:r>
        <w:rPr>
          <w:spacing w:val="-3"/>
        </w:rPr>
        <w:t xml:space="preserve"> </w:t>
      </w:r>
      <w:r>
        <w:t>SDG&amp;E)</w:t>
      </w:r>
      <w:r>
        <w:rPr>
          <w:spacing w:val="-3"/>
        </w:rPr>
        <w:t xml:space="preserve"> </w:t>
      </w:r>
      <w:r>
        <w:t>is</w:t>
      </w:r>
      <w:r>
        <w:rPr>
          <w:spacing w:val="-3"/>
        </w:rPr>
        <w:t xml:space="preserve"> </w:t>
      </w:r>
      <w:r>
        <w:t xml:space="preserve">straightforward in the 2023 Study because the model assumes the </w:t>
      </w:r>
      <w:r>
        <w:t>customer is not shifting revenue from</w:t>
      </w:r>
      <w:r>
        <w:rPr>
          <w:spacing w:val="40"/>
        </w:rPr>
        <w:t xml:space="preserve"> </w:t>
      </w:r>
      <w:r>
        <w:t>one utility to another when making the switch.</w:t>
      </w:r>
    </w:p>
    <w:p w:rsidR="00C31389" w:rsidRDefault="00C31389" w14:paraId="73055F00" w14:textId="77777777">
      <w:pPr>
        <w:pStyle w:val="BodyText"/>
        <w:spacing w:before="10"/>
        <w:rPr>
          <w:sz w:val="20"/>
        </w:rPr>
      </w:pPr>
    </w:p>
    <w:p w:rsidR="00C31389" w:rsidRDefault="00561FBD" w14:paraId="301A8A52" w14:textId="77777777">
      <w:pPr>
        <w:pStyle w:val="BodyText"/>
        <w:ind w:left="480" w:right="418"/>
      </w:pPr>
      <w:r>
        <w:t>This matter is far more complicated when dealing with gas technologies in SCG territory being replaced by electric technologies. SCG territory overlaps mostly with SCE te</w:t>
      </w:r>
      <w:r>
        <w:t>rritory. However, there is overlap with publicly owned utilities (e.g., LADWP), PG&amp;E, and even San Diego Gas &amp; Electric (SDG&amp;E). The Guidehouse team developed a simplifying assumption as part of the 2021 PG Study that for each SCG FS replacement 64% of tha</w:t>
      </w:r>
      <w:r>
        <w:t>t occurs in the territory</w:t>
      </w:r>
      <w:r>
        <w:rPr>
          <w:spacing w:val="-3"/>
        </w:rPr>
        <w:t xml:space="preserve"> </w:t>
      </w:r>
      <w:r>
        <w:t>overlapping</w:t>
      </w:r>
      <w:r>
        <w:rPr>
          <w:spacing w:val="-3"/>
        </w:rPr>
        <w:t xml:space="preserve"> </w:t>
      </w:r>
      <w:r>
        <w:t>with</w:t>
      </w:r>
      <w:r>
        <w:rPr>
          <w:spacing w:val="-3"/>
        </w:rPr>
        <w:t xml:space="preserve"> </w:t>
      </w:r>
      <w:r>
        <w:t>SCE</w:t>
      </w:r>
      <w:r>
        <w:rPr>
          <w:spacing w:val="-3"/>
        </w:rPr>
        <w:t xml:space="preserve"> </w:t>
      </w:r>
      <w:r>
        <w:t>and</w:t>
      </w:r>
      <w:r>
        <w:rPr>
          <w:spacing w:val="-3"/>
        </w:rPr>
        <w:t xml:space="preserve"> </w:t>
      </w:r>
      <w:r>
        <w:t>is</w:t>
      </w:r>
      <w:r>
        <w:rPr>
          <w:spacing w:val="-3"/>
        </w:rPr>
        <w:t xml:space="preserve"> </w:t>
      </w:r>
      <w:r>
        <w:t>subsequently</w:t>
      </w:r>
      <w:r>
        <w:rPr>
          <w:spacing w:val="-3"/>
        </w:rPr>
        <w:t xml:space="preserve"> </w:t>
      </w:r>
      <w:r>
        <w:t>tracked</w:t>
      </w:r>
      <w:r>
        <w:rPr>
          <w:spacing w:val="-4"/>
        </w:rPr>
        <w:t xml:space="preserve"> </w:t>
      </w:r>
      <w:r>
        <w:t>in</w:t>
      </w:r>
      <w:r>
        <w:rPr>
          <w:spacing w:val="-3"/>
        </w:rPr>
        <w:t xml:space="preserve"> </w:t>
      </w:r>
      <w:r>
        <w:t>the</w:t>
      </w:r>
      <w:r>
        <w:rPr>
          <w:spacing w:val="-3"/>
        </w:rPr>
        <w:t xml:space="preserve"> </w:t>
      </w:r>
      <w:r>
        <w:t>model.</w:t>
      </w:r>
      <w:r>
        <w:rPr>
          <w:spacing w:val="-3"/>
        </w:rPr>
        <w:t xml:space="preserve"> </w:t>
      </w:r>
      <w:r>
        <w:t>Consistent</w:t>
      </w:r>
      <w:r>
        <w:rPr>
          <w:spacing w:val="-4"/>
        </w:rPr>
        <w:t xml:space="preserve"> </w:t>
      </w:r>
      <w:r>
        <w:t>with</w:t>
      </w:r>
      <w:r>
        <w:rPr>
          <w:spacing w:val="-3"/>
        </w:rPr>
        <w:t xml:space="preserve"> </w:t>
      </w:r>
      <w:r>
        <w:t>the prior Study, the remaining 36% is not tracked further. The reason the team only tracks SCG to SCE substitution is because valuing cost-effectiveness and increased supply cost is far simpler when dealing with just two utilities and two sets of avoided c</w:t>
      </w:r>
      <w:r>
        <w:t xml:space="preserve">osts (one gas and one </w:t>
      </w:r>
      <w:r>
        <w:rPr>
          <w:spacing w:val="-2"/>
        </w:rPr>
        <w:t>electric).</w:t>
      </w:r>
    </w:p>
    <w:p w:rsidR="00C31389" w:rsidRDefault="00C31389" w14:paraId="0539476E" w14:textId="77777777">
      <w:pPr>
        <w:pStyle w:val="BodyText"/>
        <w:spacing w:before="11"/>
        <w:rPr>
          <w:sz w:val="20"/>
        </w:rPr>
      </w:pPr>
    </w:p>
    <w:p w:rsidR="00C31389" w:rsidRDefault="00561FBD" w14:paraId="0176000F" w14:textId="77777777">
      <w:pPr>
        <w:pStyle w:val="ListParagraph"/>
        <w:numPr>
          <w:ilvl w:val="1"/>
          <w:numId w:val="25"/>
        </w:numPr>
        <w:tabs>
          <w:tab w:val="left" w:pos="991"/>
        </w:tabs>
        <w:ind w:left="991" w:hanging="511"/>
        <w:rPr>
          <w:b/>
          <w:sz w:val="28"/>
        </w:rPr>
      </w:pPr>
      <w:bookmarkStart w:name="B.4_Accounting_for_2030_Natural_Gas_Appl" w:id="362"/>
      <w:bookmarkStart w:name="_bookmark273" w:id="363"/>
      <w:bookmarkEnd w:id="362"/>
      <w:bookmarkEnd w:id="363"/>
      <w:r>
        <w:rPr>
          <w:b/>
          <w:sz w:val="28"/>
        </w:rPr>
        <w:t>Accounting</w:t>
      </w:r>
      <w:r>
        <w:rPr>
          <w:b/>
          <w:spacing w:val="-14"/>
          <w:sz w:val="28"/>
        </w:rPr>
        <w:t xml:space="preserve"> </w:t>
      </w:r>
      <w:r>
        <w:rPr>
          <w:b/>
          <w:sz w:val="28"/>
        </w:rPr>
        <w:t>for</w:t>
      </w:r>
      <w:r>
        <w:rPr>
          <w:b/>
          <w:spacing w:val="-11"/>
          <w:sz w:val="28"/>
        </w:rPr>
        <w:t xml:space="preserve"> </w:t>
      </w:r>
      <w:r>
        <w:rPr>
          <w:b/>
          <w:sz w:val="28"/>
        </w:rPr>
        <w:t>2030</w:t>
      </w:r>
      <w:r>
        <w:rPr>
          <w:b/>
          <w:spacing w:val="-11"/>
          <w:sz w:val="28"/>
        </w:rPr>
        <w:t xml:space="preserve"> </w:t>
      </w:r>
      <w:r>
        <w:rPr>
          <w:b/>
          <w:sz w:val="28"/>
        </w:rPr>
        <w:t>Natural</w:t>
      </w:r>
      <w:r>
        <w:rPr>
          <w:b/>
          <w:spacing w:val="-11"/>
          <w:sz w:val="28"/>
        </w:rPr>
        <w:t xml:space="preserve"> </w:t>
      </w:r>
      <w:r>
        <w:rPr>
          <w:b/>
          <w:sz w:val="28"/>
        </w:rPr>
        <w:t>Gas</w:t>
      </w:r>
      <w:r>
        <w:rPr>
          <w:b/>
          <w:spacing w:val="-20"/>
          <w:sz w:val="28"/>
        </w:rPr>
        <w:t xml:space="preserve"> </w:t>
      </w:r>
      <w:r>
        <w:rPr>
          <w:b/>
          <w:sz w:val="28"/>
        </w:rPr>
        <w:t>Appliance</w:t>
      </w:r>
      <w:r>
        <w:rPr>
          <w:b/>
          <w:spacing w:val="-11"/>
          <w:sz w:val="28"/>
        </w:rPr>
        <w:t xml:space="preserve"> </w:t>
      </w:r>
      <w:r>
        <w:rPr>
          <w:b/>
          <w:spacing w:val="-5"/>
          <w:sz w:val="28"/>
        </w:rPr>
        <w:t>Ban</w:t>
      </w:r>
    </w:p>
    <w:p w:rsidR="00C31389" w:rsidRDefault="00561FBD" w14:paraId="26ED02A9" w14:textId="77777777">
      <w:pPr>
        <w:pStyle w:val="BodyText"/>
        <w:spacing w:before="240"/>
        <w:ind w:left="480" w:right="543"/>
      </w:pPr>
      <w:r>
        <w:t>In September 2022, the California Air Resources Board published a memo to propose a “zero-emission standard for space and water heaters,” which would ban the sale of natural ga</w:t>
      </w:r>
      <w:r>
        <w:t>s-burning HVAC and water heating appliances starting in 2030.</w:t>
      </w:r>
      <w:r>
        <w:rPr>
          <w:spacing w:val="-37"/>
        </w:rPr>
        <w:t xml:space="preserve"> </w:t>
      </w:r>
      <w:hyperlink w:history="1" w:anchor="_bookmark274">
        <w:r>
          <w:rPr>
            <w:position w:val="7"/>
            <w:sz w:val="14"/>
          </w:rPr>
          <w:t>83</w:t>
        </w:r>
      </w:hyperlink>
      <w:r>
        <w:rPr>
          <w:spacing w:val="27"/>
          <w:position w:val="7"/>
          <w:sz w:val="14"/>
        </w:rPr>
        <w:t xml:space="preserve"> </w:t>
      </w:r>
      <w:r>
        <w:t>The Guidehouse team anticipates that this will effectively eliminate natural gas savings from FS measures from 2030</w:t>
      </w:r>
      <w:r>
        <w:rPr>
          <w:spacing w:val="-3"/>
        </w:rPr>
        <w:t xml:space="preserve"> </w:t>
      </w:r>
      <w:r>
        <w:t>onward,</w:t>
      </w:r>
      <w:r>
        <w:rPr>
          <w:spacing w:val="-3"/>
        </w:rPr>
        <w:t xml:space="preserve"> </w:t>
      </w:r>
      <w:r>
        <w:t>be</w:t>
      </w:r>
      <w:r>
        <w:t>cause</w:t>
      </w:r>
      <w:r>
        <w:rPr>
          <w:spacing w:val="-4"/>
        </w:rPr>
        <w:t xml:space="preserve"> </w:t>
      </w:r>
      <w:r>
        <w:t>customers</w:t>
      </w:r>
      <w:r>
        <w:rPr>
          <w:spacing w:val="-4"/>
        </w:rPr>
        <w:t xml:space="preserve"> </w:t>
      </w:r>
      <w:r>
        <w:t>would</w:t>
      </w:r>
      <w:r>
        <w:rPr>
          <w:spacing w:val="-3"/>
        </w:rPr>
        <w:t xml:space="preserve"> </w:t>
      </w:r>
      <w:r>
        <w:t>not</w:t>
      </w:r>
      <w:r>
        <w:rPr>
          <w:spacing w:val="-3"/>
        </w:rPr>
        <w:t xml:space="preserve"> </w:t>
      </w:r>
      <w:r>
        <w:t>be</w:t>
      </w:r>
      <w:r>
        <w:rPr>
          <w:spacing w:val="-3"/>
        </w:rPr>
        <w:t xml:space="preserve"> </w:t>
      </w:r>
      <w:r>
        <w:t>able</w:t>
      </w:r>
      <w:r>
        <w:rPr>
          <w:spacing w:val="-3"/>
        </w:rPr>
        <w:t xml:space="preserve"> </w:t>
      </w:r>
      <w:r>
        <w:t>to</w:t>
      </w:r>
      <w:r>
        <w:rPr>
          <w:spacing w:val="-3"/>
        </w:rPr>
        <w:t xml:space="preserve"> </w:t>
      </w:r>
      <w:r>
        <w:t>install</w:t>
      </w:r>
      <w:r>
        <w:rPr>
          <w:spacing w:val="-3"/>
        </w:rPr>
        <w:t xml:space="preserve"> </w:t>
      </w:r>
      <w:r>
        <w:t>a</w:t>
      </w:r>
      <w:r>
        <w:rPr>
          <w:spacing w:val="-3"/>
        </w:rPr>
        <w:t xml:space="preserve"> </w:t>
      </w:r>
      <w:r>
        <w:t>new</w:t>
      </w:r>
      <w:r>
        <w:rPr>
          <w:spacing w:val="-4"/>
        </w:rPr>
        <w:t xml:space="preserve"> </w:t>
      </w:r>
      <w:r>
        <w:t>gas</w:t>
      </w:r>
      <w:r>
        <w:rPr>
          <w:spacing w:val="-3"/>
        </w:rPr>
        <w:t xml:space="preserve"> </w:t>
      </w:r>
      <w:r>
        <w:t>appliance</w:t>
      </w:r>
      <w:r>
        <w:rPr>
          <w:spacing w:val="-3"/>
        </w:rPr>
        <w:t xml:space="preserve"> </w:t>
      </w:r>
      <w:r>
        <w:t>in</w:t>
      </w:r>
      <w:r>
        <w:rPr>
          <w:spacing w:val="-3"/>
        </w:rPr>
        <w:t xml:space="preserve"> </w:t>
      </w:r>
      <w:r>
        <w:t>a</w:t>
      </w:r>
      <w:r>
        <w:rPr>
          <w:spacing w:val="-3"/>
        </w:rPr>
        <w:t xml:space="preserve"> </w:t>
      </w:r>
      <w:r>
        <w:t>new building or as a replacement for an existing gas appliance at the end of its life. This is a similar effect as other measures when a code or standard takes effect and increases the efficiency of the baseline product. In this case, the study considers t</w:t>
      </w:r>
      <w:r>
        <w:t xml:space="preserve">he “baseline” for this product group to be a low-efficiency </w:t>
      </w:r>
      <w:r>
        <w:rPr>
          <w:u w:val="single"/>
        </w:rPr>
        <w:t>electric</w:t>
      </w:r>
      <w:r>
        <w:t xml:space="preserve"> appliance—in other words, the minimum cost and minimum efficiency product that the customer would be able to install at that point in </w:t>
      </w:r>
      <w:r>
        <w:rPr>
          <w:spacing w:val="-2"/>
        </w:rPr>
        <w:t>time.</w:t>
      </w:r>
    </w:p>
    <w:p w:rsidR="00C31389" w:rsidRDefault="00C31389" w14:paraId="6D8BE49C" w14:textId="77777777">
      <w:pPr>
        <w:pStyle w:val="BodyText"/>
        <w:spacing w:before="9"/>
        <w:rPr>
          <w:sz w:val="20"/>
        </w:rPr>
      </w:pPr>
    </w:p>
    <w:p w:rsidR="00C31389" w:rsidRDefault="00561FBD" w14:paraId="2ACE2A80" w14:textId="77777777">
      <w:pPr>
        <w:pStyle w:val="BodyText"/>
        <w:spacing w:before="1"/>
        <w:ind w:left="480" w:right="430"/>
      </w:pPr>
      <w:r>
        <w:t>This is implemented in the measure characteriz</w:t>
      </w:r>
      <w:r>
        <w:t>ation as a “future baseline” level that becomes the baseline starting in 2030. The natural gas baseline and any competing natural gas</w:t>
      </w:r>
      <w:r>
        <w:rPr>
          <w:spacing w:val="-3"/>
        </w:rPr>
        <w:t xml:space="preserve"> </w:t>
      </w:r>
      <w:r>
        <w:t>efficiency</w:t>
      </w:r>
      <w:r>
        <w:rPr>
          <w:spacing w:val="-3"/>
        </w:rPr>
        <w:t xml:space="preserve"> </w:t>
      </w:r>
      <w:r>
        <w:t>levels</w:t>
      </w:r>
      <w:r>
        <w:rPr>
          <w:spacing w:val="-3"/>
        </w:rPr>
        <w:t xml:space="preserve"> </w:t>
      </w:r>
      <w:r>
        <w:t>are</w:t>
      </w:r>
      <w:r>
        <w:rPr>
          <w:spacing w:val="-4"/>
        </w:rPr>
        <w:t xml:space="preserve"> </w:t>
      </w:r>
      <w:r>
        <w:t>removed</w:t>
      </w:r>
      <w:r>
        <w:rPr>
          <w:spacing w:val="-3"/>
        </w:rPr>
        <w:t xml:space="preserve"> </w:t>
      </w:r>
      <w:r>
        <w:t>from</w:t>
      </w:r>
      <w:r>
        <w:rPr>
          <w:spacing w:val="-4"/>
        </w:rPr>
        <w:t xml:space="preserve"> </w:t>
      </w:r>
      <w:r>
        <w:t>the</w:t>
      </w:r>
      <w:r>
        <w:rPr>
          <w:spacing w:val="-3"/>
        </w:rPr>
        <w:t xml:space="preserve"> </w:t>
      </w:r>
      <w:r>
        <w:t>analysis</w:t>
      </w:r>
      <w:r>
        <w:rPr>
          <w:spacing w:val="-3"/>
        </w:rPr>
        <w:t xml:space="preserve"> </w:t>
      </w:r>
      <w:r>
        <w:t>from</w:t>
      </w:r>
      <w:r>
        <w:rPr>
          <w:spacing w:val="-4"/>
        </w:rPr>
        <w:t xml:space="preserve"> </w:t>
      </w:r>
      <w:r>
        <w:t>2030</w:t>
      </w:r>
      <w:r>
        <w:rPr>
          <w:spacing w:val="-3"/>
        </w:rPr>
        <w:t xml:space="preserve"> </w:t>
      </w:r>
      <w:r>
        <w:t>onwards.</w:t>
      </w:r>
      <w:r>
        <w:rPr>
          <w:spacing w:val="-3"/>
        </w:rPr>
        <w:t xml:space="preserve"> </w:t>
      </w:r>
      <w:r>
        <w:t>In</w:t>
      </w:r>
      <w:r>
        <w:rPr>
          <w:spacing w:val="-3"/>
        </w:rPr>
        <w:t xml:space="preserve"> </w:t>
      </w:r>
      <w:r>
        <w:t>effect,</w:t>
      </w:r>
      <w:r>
        <w:rPr>
          <w:spacing w:val="-3"/>
        </w:rPr>
        <w:t xml:space="preserve"> </w:t>
      </w:r>
      <w:r>
        <w:t>this</w:t>
      </w:r>
      <w:r>
        <w:rPr>
          <w:spacing w:val="-4"/>
        </w:rPr>
        <w:t xml:space="preserve"> </w:t>
      </w:r>
      <w:r>
        <w:t xml:space="preserve">means that technologies categorized as </w:t>
      </w:r>
      <w:r>
        <w:t>FS technologies will appear to have electric EE savings beginning in 2030.</w:t>
      </w:r>
    </w:p>
    <w:p w:rsidR="00C31389" w:rsidRDefault="00C31389" w14:paraId="42412912" w14:textId="77777777">
      <w:pPr>
        <w:pStyle w:val="BodyText"/>
        <w:spacing w:before="9"/>
        <w:rPr>
          <w:sz w:val="20"/>
        </w:rPr>
      </w:pPr>
    </w:p>
    <w:p w:rsidR="00C31389" w:rsidRDefault="00561FBD" w14:paraId="58D176B2" w14:textId="77777777">
      <w:pPr>
        <w:pStyle w:val="BodyText"/>
        <w:ind w:left="480" w:right="418" w:hanging="1"/>
      </w:pPr>
      <w:hyperlink w:history="1" w:anchor="_bookmark275">
        <w:r>
          <w:t>Figure</w:t>
        </w:r>
        <w:r>
          <w:rPr>
            <w:spacing w:val="-3"/>
          </w:rPr>
          <w:t xml:space="preserve"> </w:t>
        </w:r>
        <w:r>
          <w:t>B-10</w:t>
        </w:r>
      </w:hyperlink>
      <w:r>
        <w:rPr>
          <w:spacing w:val="-3"/>
        </w:rPr>
        <w:t xml:space="preserve"> </w:t>
      </w:r>
      <w:r>
        <w:t>below</w:t>
      </w:r>
      <w:r>
        <w:rPr>
          <w:spacing w:val="-4"/>
        </w:rPr>
        <w:t xml:space="preserve"> </w:t>
      </w:r>
      <w:r>
        <w:t>illustrates</w:t>
      </w:r>
      <w:r>
        <w:rPr>
          <w:spacing w:val="-3"/>
        </w:rPr>
        <w:t xml:space="preserve"> </w:t>
      </w:r>
      <w:r>
        <w:t>the</w:t>
      </w:r>
      <w:r>
        <w:rPr>
          <w:spacing w:val="-3"/>
        </w:rPr>
        <w:t xml:space="preserve"> </w:t>
      </w:r>
      <w:r>
        <w:t>change</w:t>
      </w:r>
      <w:r>
        <w:rPr>
          <w:spacing w:val="-3"/>
        </w:rPr>
        <w:t xml:space="preserve"> </w:t>
      </w:r>
      <w:r>
        <w:t>in</w:t>
      </w:r>
      <w:r>
        <w:rPr>
          <w:spacing w:val="-3"/>
        </w:rPr>
        <w:t xml:space="preserve"> </w:t>
      </w:r>
      <w:r>
        <w:t>technology</w:t>
      </w:r>
      <w:r>
        <w:rPr>
          <w:spacing w:val="-3"/>
        </w:rPr>
        <w:t xml:space="preserve"> </w:t>
      </w:r>
      <w:r>
        <w:t>levels</w:t>
      </w:r>
      <w:r>
        <w:rPr>
          <w:spacing w:val="-3"/>
        </w:rPr>
        <w:t xml:space="preserve"> </w:t>
      </w:r>
      <w:r>
        <w:t>for</w:t>
      </w:r>
      <w:r>
        <w:rPr>
          <w:spacing w:val="-3"/>
        </w:rPr>
        <w:t xml:space="preserve"> </w:t>
      </w:r>
      <w:r>
        <w:t>an</w:t>
      </w:r>
      <w:r>
        <w:rPr>
          <w:spacing w:val="-3"/>
        </w:rPr>
        <w:t xml:space="preserve"> </w:t>
      </w:r>
      <w:r>
        <w:t>example</w:t>
      </w:r>
      <w:r>
        <w:rPr>
          <w:spacing w:val="-3"/>
        </w:rPr>
        <w:t xml:space="preserve"> </w:t>
      </w:r>
      <w:r>
        <w:t xml:space="preserve">technology </w:t>
      </w:r>
      <w:r>
        <w:rPr>
          <w:spacing w:val="-2"/>
        </w:rPr>
        <w:t>group.</w:t>
      </w:r>
    </w:p>
    <w:p w:rsidR="00C31389" w:rsidRDefault="00C31389" w14:paraId="76C37EBA" w14:textId="77777777">
      <w:pPr>
        <w:pStyle w:val="BodyText"/>
        <w:rPr>
          <w:sz w:val="20"/>
        </w:rPr>
      </w:pPr>
    </w:p>
    <w:p w:rsidR="00C31389" w:rsidRDefault="00C31389" w14:paraId="44E18D45" w14:textId="77777777">
      <w:pPr>
        <w:pStyle w:val="BodyText"/>
        <w:rPr>
          <w:sz w:val="20"/>
        </w:rPr>
      </w:pPr>
    </w:p>
    <w:p w:rsidR="00C31389" w:rsidRDefault="00C31389" w14:paraId="1BF578E5" w14:textId="77777777">
      <w:pPr>
        <w:pStyle w:val="BodyText"/>
        <w:rPr>
          <w:sz w:val="20"/>
        </w:rPr>
      </w:pPr>
    </w:p>
    <w:p w:rsidR="00C31389" w:rsidRDefault="00C31389" w14:paraId="332BA117" w14:textId="77777777">
      <w:pPr>
        <w:pStyle w:val="BodyText"/>
        <w:rPr>
          <w:sz w:val="20"/>
        </w:rPr>
      </w:pPr>
    </w:p>
    <w:p w:rsidR="00C31389" w:rsidRDefault="00C31389" w14:paraId="2BCFB62A" w14:textId="77777777">
      <w:pPr>
        <w:pStyle w:val="BodyText"/>
        <w:rPr>
          <w:sz w:val="20"/>
        </w:rPr>
      </w:pPr>
    </w:p>
    <w:p w:rsidR="00C31389" w:rsidRDefault="00C31389" w14:paraId="5A8C35AF" w14:textId="77777777">
      <w:pPr>
        <w:pStyle w:val="BodyText"/>
        <w:rPr>
          <w:sz w:val="20"/>
        </w:rPr>
      </w:pPr>
    </w:p>
    <w:p w:rsidR="00C31389" w:rsidRDefault="00C31389" w14:paraId="4FF45EE7" w14:textId="77777777">
      <w:pPr>
        <w:pStyle w:val="BodyText"/>
        <w:rPr>
          <w:sz w:val="20"/>
        </w:rPr>
      </w:pPr>
    </w:p>
    <w:p w:rsidR="00C31389" w:rsidRDefault="00C31389" w14:paraId="6CE9A612" w14:textId="77777777">
      <w:pPr>
        <w:pStyle w:val="BodyText"/>
        <w:rPr>
          <w:sz w:val="20"/>
        </w:rPr>
      </w:pPr>
    </w:p>
    <w:p w:rsidR="00C31389" w:rsidRDefault="00C31389" w14:paraId="5A94FECB" w14:textId="77777777">
      <w:pPr>
        <w:pStyle w:val="BodyText"/>
        <w:rPr>
          <w:sz w:val="20"/>
        </w:rPr>
      </w:pPr>
    </w:p>
    <w:p w:rsidR="00C31389" w:rsidRDefault="00C31389" w14:paraId="20FF8E23" w14:textId="77777777">
      <w:pPr>
        <w:pStyle w:val="BodyText"/>
        <w:rPr>
          <w:sz w:val="20"/>
        </w:rPr>
      </w:pPr>
    </w:p>
    <w:p w:rsidR="00C31389" w:rsidRDefault="00C31389" w14:paraId="06FC86C5" w14:textId="77777777">
      <w:pPr>
        <w:pStyle w:val="BodyText"/>
        <w:rPr>
          <w:sz w:val="20"/>
        </w:rPr>
      </w:pPr>
    </w:p>
    <w:p w:rsidR="00C31389" w:rsidRDefault="00C31389" w14:paraId="20CAF3EF" w14:textId="77777777">
      <w:pPr>
        <w:pStyle w:val="BodyText"/>
        <w:rPr>
          <w:sz w:val="20"/>
        </w:rPr>
      </w:pPr>
    </w:p>
    <w:p w:rsidR="00C31389" w:rsidRDefault="00C31389" w14:paraId="24FCCC6D" w14:textId="77777777">
      <w:pPr>
        <w:pStyle w:val="BodyText"/>
        <w:rPr>
          <w:sz w:val="20"/>
        </w:rPr>
      </w:pPr>
    </w:p>
    <w:p w:rsidR="00C31389" w:rsidRDefault="00C31389" w14:paraId="113B38B5" w14:textId="77777777">
      <w:pPr>
        <w:pStyle w:val="BodyText"/>
        <w:rPr>
          <w:sz w:val="20"/>
        </w:rPr>
      </w:pPr>
    </w:p>
    <w:p w:rsidR="00C31389" w:rsidRDefault="00561FBD" w14:paraId="27FB39B1" w14:textId="77777777">
      <w:pPr>
        <w:pStyle w:val="BodyText"/>
        <w:spacing w:before="8"/>
        <w:rPr>
          <w:sz w:val="27"/>
        </w:rPr>
      </w:pPr>
      <w:r>
        <w:rPr>
          <w:noProof/>
        </w:rPr>
        <mc:AlternateContent>
          <mc:Choice Requires="wps">
            <w:drawing>
              <wp:anchor distT="0" distB="0" distL="0" distR="0" simplePos="0" relativeHeight="487690240" behindDoc="1" locked="0" layoutInCell="1" allowOverlap="1" wp14:editId="65D9191D" wp14:anchorId="0F1CFB15">
                <wp:simplePos x="0" y="0"/>
                <wp:positionH relativeFrom="page">
                  <wp:posOffset>914400</wp:posOffset>
                </wp:positionH>
                <wp:positionV relativeFrom="paragraph">
                  <wp:posOffset>217905</wp:posOffset>
                </wp:positionV>
                <wp:extent cx="1828800" cy="6985"/>
                <wp:effectExtent l="0" t="0" r="0" b="0"/>
                <wp:wrapTopAndBottom/>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89" style="position:absolute;margin-left:1in;margin-top:17.15pt;width:2in;height:.55pt;z-index:-1562624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" w14:anchorId="292F1FD0">
                <v:path arrowok="t"/>
                <w10:wrap type="topAndBottom" anchorx="page"/>
              </v:shape>
            </w:pict>
          </mc:Fallback>
        </mc:AlternateContent>
      </w:r>
    </w:p>
    <w:p w:rsidR="00C31389" w:rsidRDefault="00561FBD" w14:paraId="6BE10F25" w14:textId="77777777">
      <w:pPr>
        <w:spacing w:before="88"/>
        <w:ind w:left="479" w:right="418"/>
        <w:rPr>
          <w:sz w:val="18"/>
        </w:rPr>
      </w:pPr>
      <w:bookmarkStart w:name="_bookmark274" w:id="364"/>
      <w:bookmarkEnd w:id="364"/>
      <w:r>
        <w:rPr>
          <w:position w:val="6"/>
          <w:sz w:val="12"/>
        </w:rPr>
        <w:t>83</w:t>
      </w:r>
      <w:r>
        <w:rPr>
          <w:spacing w:val="14"/>
          <w:position w:val="6"/>
          <w:sz w:val="12"/>
        </w:rPr>
        <w:t xml:space="preserve"> </w:t>
      </w:r>
      <w:r>
        <w:rPr>
          <w:sz w:val="18"/>
        </w:rPr>
        <w:t>California</w:t>
      </w:r>
      <w:r>
        <w:rPr>
          <w:spacing w:val="-4"/>
          <w:sz w:val="18"/>
        </w:rPr>
        <w:t xml:space="preserve"> </w:t>
      </w:r>
      <w:r>
        <w:rPr>
          <w:sz w:val="18"/>
        </w:rPr>
        <w:t>Air</w:t>
      </w:r>
      <w:r>
        <w:rPr>
          <w:spacing w:val="-2"/>
          <w:sz w:val="18"/>
        </w:rPr>
        <w:t xml:space="preserve"> </w:t>
      </w:r>
      <w:r>
        <w:rPr>
          <w:sz w:val="18"/>
        </w:rPr>
        <w:t>Resources</w:t>
      </w:r>
      <w:r>
        <w:rPr>
          <w:spacing w:val="-3"/>
          <w:sz w:val="18"/>
        </w:rPr>
        <w:t xml:space="preserve"> </w:t>
      </w:r>
      <w:r>
        <w:rPr>
          <w:sz w:val="18"/>
        </w:rPr>
        <w:t>Board,</w:t>
      </w:r>
      <w:r>
        <w:rPr>
          <w:spacing w:val="-3"/>
          <w:sz w:val="18"/>
        </w:rPr>
        <w:t xml:space="preserve"> </w:t>
      </w:r>
      <w:r>
        <w:rPr>
          <w:sz w:val="18"/>
        </w:rPr>
        <w:t>“2022</w:t>
      </w:r>
      <w:r>
        <w:rPr>
          <w:spacing w:val="-4"/>
          <w:sz w:val="18"/>
        </w:rPr>
        <w:t xml:space="preserve"> </w:t>
      </w:r>
      <w:r>
        <w:rPr>
          <w:sz w:val="18"/>
        </w:rPr>
        <w:t>State</w:t>
      </w:r>
      <w:r>
        <w:rPr>
          <w:spacing w:val="-4"/>
          <w:sz w:val="18"/>
        </w:rPr>
        <w:t xml:space="preserve"> </w:t>
      </w:r>
      <w:r>
        <w:rPr>
          <w:sz w:val="18"/>
        </w:rPr>
        <w:t>Strategy</w:t>
      </w:r>
      <w:r>
        <w:rPr>
          <w:spacing w:val="-3"/>
          <w:sz w:val="18"/>
        </w:rPr>
        <w:t xml:space="preserve"> </w:t>
      </w:r>
      <w:r>
        <w:rPr>
          <w:sz w:val="18"/>
        </w:rPr>
        <w:t>for</w:t>
      </w:r>
      <w:r>
        <w:rPr>
          <w:spacing w:val="-3"/>
          <w:sz w:val="18"/>
        </w:rPr>
        <w:t xml:space="preserve"> </w:t>
      </w:r>
      <w:r>
        <w:rPr>
          <w:sz w:val="18"/>
        </w:rPr>
        <w:t>the</w:t>
      </w:r>
      <w:r>
        <w:rPr>
          <w:spacing w:val="-4"/>
          <w:sz w:val="18"/>
        </w:rPr>
        <w:t xml:space="preserve"> </w:t>
      </w:r>
      <w:r>
        <w:rPr>
          <w:sz w:val="18"/>
        </w:rPr>
        <w:t>State</w:t>
      </w:r>
      <w:r>
        <w:rPr>
          <w:spacing w:val="-4"/>
          <w:sz w:val="18"/>
        </w:rPr>
        <w:t xml:space="preserve"> </w:t>
      </w:r>
      <w:r>
        <w:rPr>
          <w:sz w:val="18"/>
        </w:rPr>
        <w:t>Implementation</w:t>
      </w:r>
      <w:r>
        <w:rPr>
          <w:spacing w:val="-4"/>
          <w:sz w:val="18"/>
        </w:rPr>
        <w:t xml:space="preserve"> </w:t>
      </w:r>
      <w:r>
        <w:rPr>
          <w:sz w:val="18"/>
        </w:rPr>
        <w:t>Plan,”</w:t>
      </w:r>
      <w:r>
        <w:rPr>
          <w:spacing w:val="-3"/>
          <w:sz w:val="18"/>
        </w:rPr>
        <w:t xml:space="preserve"> </w:t>
      </w:r>
      <w:r>
        <w:rPr>
          <w:sz w:val="18"/>
        </w:rPr>
        <w:t>Adopted</w:t>
      </w:r>
      <w:r>
        <w:rPr>
          <w:spacing w:val="-4"/>
          <w:sz w:val="18"/>
        </w:rPr>
        <w:t xml:space="preserve"> </w:t>
      </w:r>
      <w:r>
        <w:rPr>
          <w:sz w:val="18"/>
        </w:rPr>
        <w:t xml:space="preserve">September 22, 2022. </w:t>
      </w:r>
      <w:hyperlink r:id="rId235">
        <w:r>
          <w:rPr>
            <w:color w:val="68942C"/>
            <w:sz w:val="18"/>
            <w:u w:val="single" w:color="68942C"/>
          </w:rPr>
          <w:t>https://ww2.arb.ca.gov/sites/default/fil</w:t>
        </w:r>
        <w:r>
          <w:rPr>
            <w:color w:val="68942C"/>
            <w:sz w:val="18"/>
            <w:u w:val="single" w:color="68942C"/>
          </w:rPr>
          <w:t>es/2022-08/2022_State_SIP_Strategy.pdf</w:t>
        </w:r>
      </w:hyperlink>
    </w:p>
    <w:p w:rsidR="00C31389" w:rsidRDefault="00C31389" w14:paraId="340EE219" w14:textId="77777777">
      <w:pPr>
        <w:rPr>
          <w:sz w:val="18"/>
        </w:rPr>
        <w:sectPr w:rsidR="00C31389">
          <w:pgSz w:w="11910" w:h="16840"/>
          <w:pgMar w:top="1660" w:right="1020" w:bottom="1120" w:left="960" w:header="397" w:footer="938" w:gutter="0"/>
          <w:cols w:space="720"/>
        </w:sectPr>
      </w:pPr>
    </w:p>
    <w:p w:rsidR="00C31389" w:rsidRDefault="00C31389" w14:paraId="3A04A309" w14:textId="77777777">
      <w:pPr>
        <w:pStyle w:val="BodyText"/>
        <w:spacing w:before="11"/>
        <w:rPr>
          <w:sz w:val="13"/>
        </w:rPr>
      </w:pPr>
    </w:p>
    <w:p w:rsidR="00C31389" w:rsidRDefault="00561FBD" w14:paraId="5EEF74D2" w14:textId="77777777">
      <w:pPr>
        <w:pStyle w:val="Heading7"/>
        <w:spacing w:before="92"/>
        <w:ind w:left="701"/>
      </w:pPr>
      <w:bookmarkStart w:name="_bookmark275" w:id="365"/>
      <w:bookmarkEnd w:id="365"/>
      <w:r>
        <w:t>Figure</w:t>
      </w:r>
      <w:r>
        <w:rPr>
          <w:spacing w:val="-9"/>
        </w:rPr>
        <w:t xml:space="preserve"> </w:t>
      </w:r>
      <w:r>
        <w:t>B-10.</w:t>
      </w:r>
      <w:r>
        <w:rPr>
          <w:spacing w:val="-8"/>
        </w:rPr>
        <w:t xml:space="preserve"> </w:t>
      </w:r>
      <w:r>
        <w:t>Example</w:t>
      </w:r>
      <w:r>
        <w:rPr>
          <w:spacing w:val="-9"/>
        </w:rPr>
        <w:t xml:space="preserve"> </w:t>
      </w:r>
      <w:r>
        <w:t>Technology</w:t>
      </w:r>
      <w:r>
        <w:rPr>
          <w:spacing w:val="-8"/>
        </w:rPr>
        <w:t xml:space="preserve"> </w:t>
      </w:r>
      <w:r>
        <w:t>Group</w:t>
      </w:r>
      <w:r>
        <w:rPr>
          <w:spacing w:val="-8"/>
        </w:rPr>
        <w:t xml:space="preserve"> </w:t>
      </w:r>
      <w:r>
        <w:t>Change</w:t>
      </w:r>
      <w:r>
        <w:rPr>
          <w:spacing w:val="-8"/>
        </w:rPr>
        <w:t xml:space="preserve"> </w:t>
      </w:r>
      <w:r>
        <w:t>After</w:t>
      </w:r>
      <w:r>
        <w:rPr>
          <w:spacing w:val="-9"/>
        </w:rPr>
        <w:t xml:space="preserve"> </w:t>
      </w:r>
      <w:r>
        <w:t>Natural</w:t>
      </w:r>
      <w:r>
        <w:rPr>
          <w:spacing w:val="-8"/>
        </w:rPr>
        <w:t xml:space="preserve"> </w:t>
      </w:r>
      <w:r>
        <w:t>Gas</w:t>
      </w:r>
      <w:r>
        <w:rPr>
          <w:spacing w:val="-8"/>
        </w:rPr>
        <w:t xml:space="preserve"> </w:t>
      </w:r>
      <w:r>
        <w:t>Appliance</w:t>
      </w:r>
      <w:r>
        <w:rPr>
          <w:spacing w:val="-8"/>
        </w:rPr>
        <w:t xml:space="preserve"> </w:t>
      </w:r>
      <w:r>
        <w:rPr>
          <w:spacing w:val="-5"/>
        </w:rPr>
        <w:t>Ban</w:t>
      </w:r>
    </w:p>
    <w:p w:rsidR="00C31389" w:rsidRDefault="00C31389" w14:paraId="2361935A" w14:textId="77777777">
      <w:pPr>
        <w:pStyle w:val="BodyText"/>
        <w:spacing w:before="7" w:after="1"/>
        <w:rPr>
          <w:b/>
          <w:sz w:val="9"/>
        </w:rPr>
      </w:pPr>
    </w:p>
    <w:tbl>
      <w:tblPr>
        <w:tblW w:w="0" w:type="auto"/>
        <w:tblInd w:w="487" w:type="dxa"/>
        <w:tblLayout w:type="fixed"/>
        <w:tblCellMar>
          <w:left w:w="0" w:type="dxa"/>
          <w:right w:w="0" w:type="dxa"/>
        </w:tblCellMar>
        <w:tblLook w:val="01E0" w:firstRow="1" w:lastRow="1" w:firstColumn="1" w:lastColumn="1" w:noHBand="0" w:noVBand="0"/>
      </w:tblPr>
      <w:tblGrid>
        <w:gridCol w:w="1990"/>
        <w:gridCol w:w="2150"/>
        <w:gridCol w:w="630"/>
        <w:gridCol w:w="2030"/>
        <w:gridCol w:w="2227"/>
      </w:tblGrid>
      <w:tr w:rsidR="00C31389" w14:paraId="5874FB24" w14:textId="77777777">
        <w:trPr>
          <w:trHeight w:val="318"/>
        </w:trPr>
        <w:tc>
          <w:tcPr>
            <w:tcW w:w="9027" w:type="dxa"/>
            <w:gridSpan w:val="5"/>
          </w:tcPr>
          <w:p w:rsidR="00C31389" w:rsidRDefault="00561FBD" w14:paraId="715EAF38" w14:textId="77777777">
            <w:pPr>
              <w:pStyle w:val="TableParagraph"/>
              <w:tabs>
                <w:tab w:val="left" w:pos="4768"/>
              </w:tabs>
              <w:ind w:left="145"/>
              <w:jc w:val="center"/>
              <w:rPr>
                <w:b/>
                <w:sz w:val="20"/>
              </w:rPr>
            </w:pPr>
            <w:r>
              <w:rPr>
                <w:b/>
                <w:spacing w:val="-2"/>
                <w:sz w:val="20"/>
              </w:rPr>
              <w:t>Pre-</w:t>
            </w:r>
            <w:r>
              <w:rPr>
                <w:b/>
                <w:spacing w:val="-4"/>
                <w:sz w:val="20"/>
              </w:rPr>
              <w:t>2030</w:t>
            </w:r>
            <w:r>
              <w:rPr>
                <w:b/>
                <w:sz w:val="20"/>
              </w:rPr>
              <w:tab/>
              <w:t>2030</w:t>
            </w:r>
            <w:r>
              <w:rPr>
                <w:b/>
                <w:spacing w:val="-1"/>
                <w:sz w:val="20"/>
              </w:rPr>
              <w:t xml:space="preserve"> </w:t>
            </w:r>
            <w:r>
              <w:rPr>
                <w:b/>
                <w:spacing w:val="-2"/>
                <w:sz w:val="20"/>
              </w:rPr>
              <w:t>Onward</w:t>
            </w:r>
          </w:p>
        </w:tc>
      </w:tr>
      <w:tr w:rsidR="00C31389" w14:paraId="60673F3D" w14:textId="77777777">
        <w:trPr>
          <w:trHeight w:val="311"/>
        </w:trPr>
        <w:tc>
          <w:tcPr>
            <w:tcW w:w="1990" w:type="dxa"/>
            <w:tcBorders>
              <w:bottom w:val="single" w:color="D9D9D9" w:sz="2" w:space="0"/>
            </w:tcBorders>
            <w:shd w:val="clear" w:color="auto" w:fill="92D400"/>
          </w:tcPr>
          <w:p w:rsidR="00C31389" w:rsidRDefault="00561FBD" w14:paraId="1AD38167" w14:textId="77777777">
            <w:pPr>
              <w:pStyle w:val="TableParagraph"/>
              <w:spacing w:before="41"/>
              <w:ind w:left="115"/>
              <w:rPr>
                <w:b/>
                <w:sz w:val="20"/>
              </w:rPr>
            </w:pPr>
            <w:r>
              <w:rPr>
                <w:b/>
                <w:spacing w:val="-2"/>
                <w:sz w:val="20"/>
              </w:rPr>
              <w:t>Technology</w:t>
            </w:r>
          </w:p>
        </w:tc>
        <w:tc>
          <w:tcPr>
            <w:tcW w:w="2150" w:type="dxa"/>
            <w:tcBorders>
              <w:bottom w:val="single" w:color="D9D9D9" w:sz="2" w:space="0"/>
            </w:tcBorders>
            <w:shd w:val="clear" w:color="auto" w:fill="92D400"/>
          </w:tcPr>
          <w:p w:rsidR="00C31389" w:rsidRDefault="00561FBD" w14:paraId="3F18006B" w14:textId="77777777">
            <w:pPr>
              <w:pStyle w:val="TableParagraph"/>
              <w:spacing w:before="41"/>
              <w:ind w:left="195"/>
              <w:rPr>
                <w:b/>
                <w:sz w:val="20"/>
              </w:rPr>
            </w:pPr>
            <w:r>
              <w:rPr>
                <w:b/>
                <w:spacing w:val="-2"/>
                <w:sz w:val="20"/>
              </w:rPr>
              <w:t>Description</w:t>
            </w:r>
          </w:p>
        </w:tc>
        <w:tc>
          <w:tcPr>
            <w:tcW w:w="630" w:type="dxa"/>
          </w:tcPr>
          <w:p w:rsidR="00C31389" w:rsidRDefault="00C31389" w14:paraId="16D4E4F6" w14:textId="77777777">
            <w:pPr>
              <w:pStyle w:val="TableParagraph"/>
              <w:spacing w:before="0"/>
              <w:rPr>
                <w:rFonts w:ascii="Times New Roman"/>
                <w:sz w:val="20"/>
              </w:rPr>
            </w:pPr>
          </w:p>
        </w:tc>
        <w:tc>
          <w:tcPr>
            <w:tcW w:w="2030" w:type="dxa"/>
            <w:tcBorders>
              <w:bottom w:val="single" w:color="D9D9D9" w:sz="2" w:space="0"/>
            </w:tcBorders>
            <w:shd w:val="clear" w:color="auto" w:fill="92D400"/>
          </w:tcPr>
          <w:p w:rsidR="00C31389" w:rsidRDefault="00561FBD" w14:paraId="00606DEA" w14:textId="77777777">
            <w:pPr>
              <w:pStyle w:val="TableParagraph"/>
              <w:spacing w:before="41"/>
              <w:ind w:left="115"/>
              <w:rPr>
                <w:b/>
                <w:sz w:val="20"/>
              </w:rPr>
            </w:pPr>
            <w:r>
              <w:rPr>
                <w:b/>
                <w:spacing w:val="-2"/>
                <w:sz w:val="20"/>
              </w:rPr>
              <w:t>Technology</w:t>
            </w:r>
          </w:p>
        </w:tc>
        <w:tc>
          <w:tcPr>
            <w:tcW w:w="2227" w:type="dxa"/>
            <w:tcBorders>
              <w:bottom w:val="single" w:color="D9D9D9" w:sz="2" w:space="0"/>
            </w:tcBorders>
            <w:shd w:val="clear" w:color="auto" w:fill="92D400"/>
          </w:tcPr>
          <w:p w:rsidR="00C31389" w:rsidRDefault="00561FBD" w14:paraId="0E65547F" w14:textId="77777777">
            <w:pPr>
              <w:pStyle w:val="TableParagraph"/>
              <w:spacing w:before="41"/>
              <w:ind w:left="212"/>
              <w:rPr>
                <w:b/>
                <w:sz w:val="20"/>
              </w:rPr>
            </w:pPr>
            <w:r>
              <w:rPr>
                <w:b/>
                <w:spacing w:val="-2"/>
                <w:sz w:val="20"/>
              </w:rPr>
              <w:t>Description</w:t>
            </w:r>
          </w:p>
        </w:tc>
      </w:tr>
      <w:tr w:rsidR="00C31389" w14:paraId="1393FA34" w14:textId="77777777">
        <w:trPr>
          <w:trHeight w:val="539"/>
        </w:trPr>
        <w:tc>
          <w:tcPr>
            <w:tcW w:w="1990" w:type="dxa"/>
            <w:tcBorders>
              <w:top w:val="single" w:color="D9D9D9" w:sz="2" w:space="0"/>
              <w:bottom w:val="single" w:color="D9D9D9" w:sz="2" w:space="0"/>
            </w:tcBorders>
          </w:tcPr>
          <w:p w:rsidR="00C31389" w:rsidRDefault="00561FBD" w14:paraId="73F1EAB8" w14:textId="77777777">
            <w:pPr>
              <w:pStyle w:val="TableParagraph"/>
              <w:ind w:left="115"/>
              <w:rPr>
                <w:sz w:val="20"/>
              </w:rPr>
            </w:pPr>
            <w:r>
              <w:rPr>
                <w:sz w:val="20"/>
              </w:rPr>
              <w:t>Small</w:t>
            </w:r>
            <w:r>
              <w:rPr>
                <w:spacing w:val="-14"/>
                <w:sz w:val="20"/>
              </w:rPr>
              <w:t xml:space="preserve"> </w:t>
            </w:r>
            <w:r>
              <w:rPr>
                <w:sz w:val="20"/>
              </w:rPr>
              <w:t>Gas</w:t>
            </w:r>
            <w:r>
              <w:rPr>
                <w:spacing w:val="-14"/>
                <w:sz w:val="20"/>
              </w:rPr>
              <w:t xml:space="preserve"> </w:t>
            </w:r>
            <w:r>
              <w:rPr>
                <w:sz w:val="20"/>
              </w:rPr>
              <w:t>Storage Water Heater</w:t>
            </w:r>
          </w:p>
        </w:tc>
        <w:tc>
          <w:tcPr>
            <w:tcW w:w="2150" w:type="dxa"/>
            <w:tcBorders>
              <w:top w:val="single" w:color="D9D9D9" w:sz="2" w:space="0"/>
              <w:bottom w:val="single" w:color="D9D9D9" w:sz="2" w:space="0"/>
            </w:tcBorders>
          </w:tcPr>
          <w:p w:rsidR="00C31389" w:rsidRDefault="00561FBD" w14:paraId="22C685EA" w14:textId="77777777">
            <w:pPr>
              <w:pStyle w:val="TableParagraph"/>
              <w:ind w:left="195" w:right="559"/>
              <w:rPr>
                <w:sz w:val="20"/>
              </w:rPr>
            </w:pPr>
            <w:r>
              <w:rPr>
                <w:sz w:val="20"/>
              </w:rPr>
              <w:t>Code</w:t>
            </w:r>
            <w:r>
              <w:rPr>
                <w:spacing w:val="-14"/>
                <w:sz w:val="20"/>
              </w:rPr>
              <w:t xml:space="preserve"> </w:t>
            </w:r>
            <w:r>
              <w:rPr>
                <w:sz w:val="20"/>
              </w:rPr>
              <w:t xml:space="preserve">Efficiency </w:t>
            </w:r>
            <w:r>
              <w:rPr>
                <w:spacing w:val="-2"/>
                <w:sz w:val="20"/>
              </w:rPr>
              <w:t>Level</w:t>
            </w:r>
          </w:p>
        </w:tc>
        <w:tc>
          <w:tcPr>
            <w:tcW w:w="630" w:type="dxa"/>
          </w:tcPr>
          <w:p w:rsidR="00C31389" w:rsidRDefault="00C31389" w14:paraId="350C193B" w14:textId="77777777">
            <w:pPr>
              <w:pStyle w:val="TableParagraph"/>
              <w:spacing w:before="0"/>
              <w:rPr>
                <w:rFonts w:ascii="Times New Roman"/>
                <w:sz w:val="20"/>
              </w:rPr>
            </w:pPr>
          </w:p>
        </w:tc>
        <w:tc>
          <w:tcPr>
            <w:tcW w:w="2030" w:type="dxa"/>
            <w:vMerge w:val="restart"/>
            <w:tcBorders>
              <w:top w:val="single" w:color="D9D9D9" w:sz="2" w:space="0"/>
              <w:bottom w:val="single" w:color="D9D9D9" w:sz="2" w:space="0"/>
            </w:tcBorders>
          </w:tcPr>
          <w:p w:rsidR="00C31389" w:rsidRDefault="00C31389" w14:paraId="2C30C141" w14:textId="77777777">
            <w:pPr>
              <w:pStyle w:val="TableParagraph"/>
              <w:spacing w:before="0"/>
              <w:rPr>
                <w:b/>
              </w:rPr>
            </w:pPr>
          </w:p>
          <w:p w:rsidR="00C31389" w:rsidRDefault="00561FBD" w14:paraId="6572A5C4" w14:textId="77777777">
            <w:pPr>
              <w:pStyle w:val="TableParagraph"/>
              <w:spacing w:before="175"/>
              <w:ind w:left="115" w:right="208"/>
              <w:rPr>
                <w:sz w:val="20"/>
              </w:rPr>
            </w:pPr>
            <w:r>
              <w:rPr>
                <w:sz w:val="20"/>
              </w:rPr>
              <w:t>Electric</w:t>
            </w:r>
            <w:r>
              <w:rPr>
                <w:spacing w:val="-14"/>
                <w:sz w:val="20"/>
              </w:rPr>
              <w:t xml:space="preserve"> </w:t>
            </w:r>
            <w:r>
              <w:rPr>
                <w:sz w:val="20"/>
              </w:rPr>
              <w:t>Resistance Water Heater</w:t>
            </w:r>
          </w:p>
        </w:tc>
        <w:tc>
          <w:tcPr>
            <w:tcW w:w="2227" w:type="dxa"/>
            <w:vMerge w:val="restart"/>
            <w:tcBorders>
              <w:top w:val="single" w:color="D9D9D9" w:sz="2" w:space="0"/>
              <w:bottom w:val="single" w:color="D9D9D9" w:sz="2" w:space="0"/>
            </w:tcBorders>
          </w:tcPr>
          <w:p w:rsidR="00C31389" w:rsidRDefault="00C31389" w14:paraId="7A4E3128" w14:textId="77777777">
            <w:pPr>
              <w:pStyle w:val="TableParagraph"/>
              <w:spacing w:before="0"/>
              <w:rPr>
                <w:b/>
              </w:rPr>
            </w:pPr>
          </w:p>
          <w:p w:rsidR="00C31389" w:rsidRDefault="00561FBD" w14:paraId="24C0CD62" w14:textId="77777777">
            <w:pPr>
              <w:pStyle w:val="TableParagraph"/>
              <w:spacing w:before="175"/>
              <w:ind w:left="212" w:right="530"/>
              <w:rPr>
                <w:sz w:val="20"/>
              </w:rPr>
            </w:pPr>
            <w:r>
              <w:rPr>
                <w:sz w:val="20"/>
              </w:rPr>
              <w:t>Baseline</w:t>
            </w:r>
            <w:r>
              <w:rPr>
                <w:spacing w:val="-14"/>
                <w:sz w:val="20"/>
              </w:rPr>
              <w:t xml:space="preserve"> </w:t>
            </w:r>
            <w:r>
              <w:rPr>
                <w:sz w:val="20"/>
              </w:rPr>
              <w:t xml:space="preserve">Electric </w:t>
            </w:r>
            <w:r>
              <w:rPr>
                <w:spacing w:val="-2"/>
                <w:sz w:val="20"/>
              </w:rPr>
              <w:t>Level</w:t>
            </w:r>
          </w:p>
        </w:tc>
      </w:tr>
      <w:tr w:rsidR="00C31389" w14:paraId="3298F236" w14:textId="77777777">
        <w:trPr>
          <w:trHeight w:val="770"/>
        </w:trPr>
        <w:tc>
          <w:tcPr>
            <w:tcW w:w="1990" w:type="dxa"/>
            <w:tcBorders>
              <w:top w:val="single" w:color="D9D9D9" w:sz="2" w:space="0"/>
              <w:bottom w:val="single" w:color="D9D9D9" w:sz="2" w:space="0"/>
            </w:tcBorders>
          </w:tcPr>
          <w:p w:rsidR="00C31389" w:rsidRDefault="00561FBD" w14:paraId="2EF248F3" w14:textId="77777777">
            <w:pPr>
              <w:pStyle w:val="TableParagraph"/>
              <w:ind w:left="115" w:right="379"/>
              <w:rPr>
                <w:sz w:val="20"/>
              </w:rPr>
            </w:pPr>
            <w:r>
              <w:rPr>
                <w:sz w:val="20"/>
              </w:rPr>
              <w:t>Condensing</w:t>
            </w:r>
            <w:r>
              <w:rPr>
                <w:spacing w:val="-14"/>
                <w:sz w:val="20"/>
              </w:rPr>
              <w:t xml:space="preserve"> </w:t>
            </w:r>
            <w:r>
              <w:rPr>
                <w:sz w:val="20"/>
              </w:rPr>
              <w:t xml:space="preserve">Gas Storage Water </w:t>
            </w:r>
            <w:r>
              <w:rPr>
                <w:spacing w:val="-2"/>
                <w:sz w:val="20"/>
              </w:rPr>
              <w:t>Heater</w:t>
            </w:r>
          </w:p>
        </w:tc>
        <w:tc>
          <w:tcPr>
            <w:tcW w:w="2150" w:type="dxa"/>
            <w:tcBorders>
              <w:top w:val="single" w:color="D9D9D9" w:sz="2" w:space="0"/>
              <w:bottom w:val="single" w:color="D9D9D9" w:sz="2" w:space="0"/>
            </w:tcBorders>
          </w:tcPr>
          <w:p w:rsidR="00C31389" w:rsidRDefault="00561FBD" w14:paraId="1FE564A0" w14:textId="77777777">
            <w:pPr>
              <w:pStyle w:val="TableParagraph"/>
              <w:spacing w:before="155"/>
              <w:ind w:left="195"/>
              <w:rPr>
                <w:sz w:val="20"/>
              </w:rPr>
            </w:pPr>
            <w:r>
              <w:rPr>
                <w:sz w:val="20"/>
              </w:rPr>
              <w:t>High</w:t>
            </w:r>
            <w:r>
              <w:rPr>
                <w:spacing w:val="-14"/>
                <w:sz w:val="20"/>
              </w:rPr>
              <w:t xml:space="preserve"> </w:t>
            </w:r>
            <w:r>
              <w:rPr>
                <w:sz w:val="20"/>
              </w:rPr>
              <w:t>Efficiency</w:t>
            </w:r>
            <w:r>
              <w:rPr>
                <w:spacing w:val="-14"/>
                <w:sz w:val="20"/>
              </w:rPr>
              <w:t xml:space="preserve"> </w:t>
            </w:r>
            <w:r>
              <w:rPr>
                <w:sz w:val="20"/>
              </w:rPr>
              <w:t xml:space="preserve">Gas </w:t>
            </w:r>
            <w:r>
              <w:rPr>
                <w:spacing w:val="-2"/>
                <w:sz w:val="20"/>
              </w:rPr>
              <w:t>Level</w:t>
            </w:r>
          </w:p>
        </w:tc>
        <w:tc>
          <w:tcPr>
            <w:tcW w:w="630" w:type="dxa"/>
          </w:tcPr>
          <w:p w:rsidR="00C31389" w:rsidRDefault="00C31389" w14:paraId="3E521981" w14:textId="77777777">
            <w:pPr>
              <w:pStyle w:val="TableParagraph"/>
              <w:spacing w:before="0"/>
              <w:rPr>
                <w:b/>
              </w:rPr>
            </w:pPr>
          </w:p>
          <w:p w:rsidR="00C31389" w:rsidRDefault="00561FBD" w14:paraId="6EA9395C" w14:textId="77777777">
            <w:pPr>
              <w:pStyle w:val="TableParagraph"/>
              <w:spacing w:before="0"/>
              <w:ind w:left="196"/>
              <w:rPr>
                <w:rFonts w:ascii="Wingdings" w:hAnsi="Wingdings"/>
                <w:sz w:val="24"/>
              </w:rPr>
            </w:pPr>
            <w:r>
              <w:rPr>
                <w:rFonts w:ascii="Wingdings" w:hAnsi="Wingdings"/>
                <w:sz w:val="24"/>
              </w:rPr>
              <w:t></w:t>
            </w:r>
          </w:p>
        </w:tc>
        <w:tc>
          <w:tcPr>
            <w:tcW w:w="2030" w:type="dxa"/>
            <w:vMerge/>
            <w:tcBorders>
              <w:top w:val="nil"/>
              <w:bottom w:val="single" w:color="D9D9D9" w:sz="2" w:space="0"/>
            </w:tcBorders>
          </w:tcPr>
          <w:p w:rsidR="00C31389" w:rsidRDefault="00C31389" w14:paraId="6D0A73E8" w14:textId="77777777">
            <w:pPr>
              <w:rPr>
                <w:sz w:val="2"/>
                <w:szCs w:val="2"/>
              </w:rPr>
            </w:pPr>
          </w:p>
        </w:tc>
        <w:tc>
          <w:tcPr>
            <w:tcW w:w="2227" w:type="dxa"/>
            <w:vMerge/>
            <w:tcBorders>
              <w:top w:val="nil"/>
              <w:bottom w:val="single" w:color="D9D9D9" w:sz="2" w:space="0"/>
            </w:tcBorders>
          </w:tcPr>
          <w:p w:rsidR="00C31389" w:rsidRDefault="00C31389" w14:paraId="450D844A" w14:textId="77777777">
            <w:pPr>
              <w:rPr>
                <w:sz w:val="2"/>
                <w:szCs w:val="2"/>
              </w:rPr>
            </w:pPr>
          </w:p>
        </w:tc>
      </w:tr>
      <w:tr w:rsidR="00C31389" w14:paraId="4DD14861" w14:textId="77777777">
        <w:trPr>
          <w:trHeight w:val="532"/>
        </w:trPr>
        <w:tc>
          <w:tcPr>
            <w:tcW w:w="1990" w:type="dxa"/>
            <w:tcBorders>
              <w:top w:val="single" w:color="D9D9D9" w:sz="2" w:space="0"/>
              <w:bottom w:val="single" w:color="D9D9D9" w:sz="2" w:space="0"/>
            </w:tcBorders>
          </w:tcPr>
          <w:p w:rsidR="00C31389" w:rsidRDefault="00561FBD" w14:paraId="3090C79A" w14:textId="77777777">
            <w:pPr>
              <w:pStyle w:val="TableParagraph"/>
              <w:ind w:left="115" w:right="190"/>
              <w:rPr>
                <w:sz w:val="20"/>
              </w:rPr>
            </w:pPr>
            <w:r>
              <w:rPr>
                <w:sz w:val="20"/>
              </w:rPr>
              <w:t>Instantaneous</w:t>
            </w:r>
            <w:r>
              <w:rPr>
                <w:spacing w:val="-14"/>
                <w:sz w:val="20"/>
              </w:rPr>
              <w:t xml:space="preserve"> </w:t>
            </w:r>
            <w:r>
              <w:rPr>
                <w:sz w:val="20"/>
              </w:rPr>
              <w:t>Gas Water Heater</w:t>
            </w:r>
          </w:p>
        </w:tc>
        <w:tc>
          <w:tcPr>
            <w:tcW w:w="2150" w:type="dxa"/>
            <w:tcBorders>
              <w:top w:val="single" w:color="D9D9D9" w:sz="2" w:space="0"/>
              <w:bottom w:val="single" w:color="D9D9D9" w:sz="2" w:space="0"/>
            </w:tcBorders>
          </w:tcPr>
          <w:p w:rsidR="00C31389" w:rsidRDefault="00561FBD" w14:paraId="3D462B73" w14:textId="77777777">
            <w:pPr>
              <w:pStyle w:val="TableParagraph"/>
              <w:ind w:left="195"/>
              <w:rPr>
                <w:sz w:val="20"/>
              </w:rPr>
            </w:pPr>
            <w:r>
              <w:rPr>
                <w:sz w:val="20"/>
              </w:rPr>
              <w:t>High</w:t>
            </w:r>
            <w:r>
              <w:rPr>
                <w:spacing w:val="-14"/>
                <w:sz w:val="20"/>
              </w:rPr>
              <w:t xml:space="preserve"> </w:t>
            </w:r>
            <w:r>
              <w:rPr>
                <w:sz w:val="20"/>
              </w:rPr>
              <w:t>Efficiency</w:t>
            </w:r>
            <w:r>
              <w:rPr>
                <w:spacing w:val="-14"/>
                <w:sz w:val="20"/>
              </w:rPr>
              <w:t xml:space="preserve"> </w:t>
            </w:r>
            <w:r>
              <w:rPr>
                <w:sz w:val="20"/>
              </w:rPr>
              <w:t xml:space="preserve">Gas </w:t>
            </w:r>
            <w:r>
              <w:rPr>
                <w:spacing w:val="-2"/>
                <w:sz w:val="20"/>
              </w:rPr>
              <w:t>Level</w:t>
            </w:r>
          </w:p>
        </w:tc>
        <w:tc>
          <w:tcPr>
            <w:tcW w:w="630" w:type="dxa"/>
          </w:tcPr>
          <w:p w:rsidR="00C31389" w:rsidRDefault="00C31389" w14:paraId="47FD9FB6" w14:textId="77777777">
            <w:pPr>
              <w:pStyle w:val="TableParagraph"/>
              <w:spacing w:before="0"/>
              <w:rPr>
                <w:rFonts w:ascii="Times New Roman"/>
                <w:sz w:val="20"/>
              </w:rPr>
            </w:pPr>
          </w:p>
        </w:tc>
        <w:tc>
          <w:tcPr>
            <w:tcW w:w="2030" w:type="dxa"/>
            <w:vMerge w:val="restart"/>
            <w:tcBorders>
              <w:top w:val="single" w:color="D9D9D9" w:sz="2" w:space="0"/>
              <w:bottom w:val="single" w:color="000000" w:sz="8" w:space="0"/>
            </w:tcBorders>
          </w:tcPr>
          <w:p w:rsidR="00C31389" w:rsidRDefault="00C31389" w14:paraId="67E4E726" w14:textId="77777777">
            <w:pPr>
              <w:pStyle w:val="TableParagraph"/>
              <w:spacing w:before="2"/>
              <w:rPr>
                <w:b/>
                <w:sz w:val="27"/>
              </w:rPr>
            </w:pPr>
          </w:p>
          <w:p w:rsidR="00C31389" w:rsidRDefault="00561FBD" w14:paraId="53849B6F" w14:textId="77777777">
            <w:pPr>
              <w:pStyle w:val="TableParagraph"/>
              <w:spacing w:before="0"/>
              <w:ind w:left="115"/>
              <w:rPr>
                <w:sz w:val="20"/>
              </w:rPr>
            </w:pPr>
            <w:r>
              <w:rPr>
                <w:sz w:val="20"/>
              </w:rPr>
              <w:t>Heat</w:t>
            </w:r>
            <w:r>
              <w:rPr>
                <w:spacing w:val="-14"/>
                <w:sz w:val="20"/>
              </w:rPr>
              <w:t xml:space="preserve"> </w:t>
            </w:r>
            <w:r>
              <w:rPr>
                <w:sz w:val="20"/>
              </w:rPr>
              <w:t>Pump</w:t>
            </w:r>
            <w:r>
              <w:rPr>
                <w:spacing w:val="-14"/>
                <w:sz w:val="20"/>
              </w:rPr>
              <w:t xml:space="preserve"> </w:t>
            </w:r>
            <w:r>
              <w:rPr>
                <w:sz w:val="20"/>
              </w:rPr>
              <w:t xml:space="preserve">Water </w:t>
            </w:r>
            <w:r>
              <w:rPr>
                <w:spacing w:val="-2"/>
                <w:sz w:val="20"/>
              </w:rPr>
              <w:t>Heater</w:t>
            </w:r>
          </w:p>
        </w:tc>
        <w:tc>
          <w:tcPr>
            <w:tcW w:w="2227" w:type="dxa"/>
            <w:vMerge w:val="restart"/>
            <w:tcBorders>
              <w:top w:val="single" w:color="D9D9D9" w:sz="2" w:space="0"/>
              <w:bottom w:val="single" w:color="000000" w:sz="8" w:space="0"/>
            </w:tcBorders>
          </w:tcPr>
          <w:p w:rsidR="00C31389" w:rsidRDefault="00C31389" w14:paraId="214BCA1E" w14:textId="77777777">
            <w:pPr>
              <w:pStyle w:val="TableParagraph"/>
              <w:spacing w:before="2"/>
              <w:rPr>
                <w:b/>
                <w:sz w:val="27"/>
              </w:rPr>
            </w:pPr>
          </w:p>
          <w:p w:rsidR="00C31389" w:rsidRDefault="00561FBD" w14:paraId="73959DBD" w14:textId="77777777">
            <w:pPr>
              <w:pStyle w:val="TableParagraph"/>
              <w:spacing w:before="0"/>
              <w:ind w:left="212" w:right="686"/>
              <w:rPr>
                <w:sz w:val="20"/>
              </w:rPr>
            </w:pPr>
            <w:r>
              <w:rPr>
                <w:sz w:val="20"/>
              </w:rPr>
              <w:t>High</w:t>
            </w:r>
            <w:r>
              <w:rPr>
                <w:spacing w:val="-14"/>
                <w:sz w:val="20"/>
              </w:rPr>
              <w:t xml:space="preserve"> </w:t>
            </w:r>
            <w:r>
              <w:rPr>
                <w:sz w:val="20"/>
              </w:rPr>
              <w:t>Efficiency Electric Level</w:t>
            </w:r>
          </w:p>
        </w:tc>
      </w:tr>
      <w:tr w:rsidR="00C31389" w14:paraId="03A54BFC" w14:textId="77777777">
        <w:trPr>
          <w:trHeight w:val="533"/>
        </w:trPr>
        <w:tc>
          <w:tcPr>
            <w:tcW w:w="1990" w:type="dxa"/>
            <w:tcBorders>
              <w:top w:val="single" w:color="D9D9D9" w:sz="2" w:space="0"/>
              <w:bottom w:val="single" w:color="000000" w:sz="8" w:space="0"/>
            </w:tcBorders>
          </w:tcPr>
          <w:p w:rsidR="00C31389" w:rsidRDefault="00561FBD" w14:paraId="70D2A0A7" w14:textId="77777777">
            <w:pPr>
              <w:pStyle w:val="TableParagraph"/>
              <w:spacing w:before="33"/>
              <w:ind w:left="115"/>
              <w:rPr>
                <w:sz w:val="20"/>
              </w:rPr>
            </w:pPr>
            <w:r>
              <w:rPr>
                <w:sz w:val="20"/>
              </w:rPr>
              <w:t>Heat</w:t>
            </w:r>
            <w:r>
              <w:rPr>
                <w:spacing w:val="-14"/>
                <w:sz w:val="20"/>
              </w:rPr>
              <w:t xml:space="preserve"> </w:t>
            </w:r>
            <w:r>
              <w:rPr>
                <w:sz w:val="20"/>
              </w:rPr>
              <w:t>Pump</w:t>
            </w:r>
            <w:r>
              <w:rPr>
                <w:spacing w:val="-14"/>
                <w:sz w:val="20"/>
              </w:rPr>
              <w:t xml:space="preserve"> </w:t>
            </w:r>
            <w:r>
              <w:rPr>
                <w:sz w:val="20"/>
              </w:rPr>
              <w:t xml:space="preserve">Water </w:t>
            </w:r>
            <w:r>
              <w:rPr>
                <w:spacing w:val="-2"/>
                <w:sz w:val="20"/>
              </w:rPr>
              <w:t>Heater</w:t>
            </w:r>
          </w:p>
        </w:tc>
        <w:tc>
          <w:tcPr>
            <w:tcW w:w="2150" w:type="dxa"/>
            <w:tcBorders>
              <w:top w:val="single" w:color="D9D9D9" w:sz="2" w:space="0"/>
              <w:bottom w:val="single" w:color="000000" w:sz="8" w:space="0"/>
            </w:tcBorders>
          </w:tcPr>
          <w:p w:rsidR="00C31389" w:rsidRDefault="00561FBD" w14:paraId="5B6A2AB1" w14:textId="77777777">
            <w:pPr>
              <w:pStyle w:val="TableParagraph"/>
              <w:spacing w:before="33"/>
              <w:ind w:left="195" w:right="626"/>
              <w:rPr>
                <w:sz w:val="20"/>
              </w:rPr>
            </w:pPr>
            <w:r>
              <w:rPr>
                <w:sz w:val="20"/>
              </w:rPr>
              <w:t>High</w:t>
            </w:r>
            <w:r>
              <w:rPr>
                <w:spacing w:val="-14"/>
                <w:sz w:val="20"/>
              </w:rPr>
              <w:t xml:space="preserve"> </w:t>
            </w:r>
            <w:r>
              <w:rPr>
                <w:sz w:val="20"/>
              </w:rPr>
              <w:t>Efficiency Electric Level</w:t>
            </w:r>
          </w:p>
        </w:tc>
        <w:tc>
          <w:tcPr>
            <w:tcW w:w="630" w:type="dxa"/>
          </w:tcPr>
          <w:p w:rsidR="00C31389" w:rsidRDefault="00C31389" w14:paraId="12F4A43E" w14:textId="77777777">
            <w:pPr>
              <w:pStyle w:val="TableParagraph"/>
              <w:spacing w:before="0"/>
              <w:rPr>
                <w:rFonts w:ascii="Times New Roman"/>
                <w:sz w:val="20"/>
              </w:rPr>
            </w:pPr>
          </w:p>
        </w:tc>
        <w:tc>
          <w:tcPr>
            <w:tcW w:w="2030" w:type="dxa"/>
            <w:vMerge/>
            <w:tcBorders>
              <w:top w:val="nil"/>
              <w:bottom w:val="single" w:color="000000" w:sz="8" w:space="0"/>
            </w:tcBorders>
          </w:tcPr>
          <w:p w:rsidR="00C31389" w:rsidRDefault="00C31389" w14:paraId="4E4D8D21" w14:textId="77777777">
            <w:pPr>
              <w:rPr>
                <w:sz w:val="2"/>
                <w:szCs w:val="2"/>
              </w:rPr>
            </w:pPr>
          </w:p>
        </w:tc>
        <w:tc>
          <w:tcPr>
            <w:tcW w:w="2227" w:type="dxa"/>
            <w:vMerge/>
            <w:tcBorders>
              <w:top w:val="nil"/>
              <w:bottom w:val="single" w:color="000000" w:sz="8" w:space="0"/>
            </w:tcBorders>
          </w:tcPr>
          <w:p w:rsidR="00C31389" w:rsidRDefault="00C31389" w14:paraId="102C0415" w14:textId="77777777">
            <w:pPr>
              <w:rPr>
                <w:sz w:val="2"/>
                <w:szCs w:val="2"/>
              </w:rPr>
            </w:pPr>
          </w:p>
        </w:tc>
      </w:tr>
    </w:tbl>
    <w:p w:rsidR="00C31389" w:rsidRDefault="00561FBD" w14:paraId="7760B86B" w14:textId="77777777">
      <w:pPr>
        <w:pStyle w:val="BodyText"/>
        <w:spacing w:before="11"/>
        <w:ind w:left="480"/>
      </w:pPr>
      <w:r>
        <w:t>Source:</w:t>
      </w:r>
      <w:r>
        <w:rPr>
          <w:spacing w:val="-9"/>
        </w:rPr>
        <w:t xml:space="preserve"> </w:t>
      </w:r>
      <w:r>
        <w:rPr>
          <w:spacing w:val="-2"/>
        </w:rPr>
        <w:t>Guidehouse</w:t>
      </w:r>
    </w:p>
    <w:p w:rsidR="00C31389" w:rsidRDefault="00C31389" w14:paraId="548FD1B6" w14:textId="77777777">
      <w:pPr>
        <w:sectPr w:rsidR="00C31389">
          <w:pgSz w:w="11910" w:h="16840"/>
          <w:pgMar w:top="1660" w:right="1020" w:bottom="1120" w:left="960" w:header="397" w:footer="938" w:gutter="0"/>
          <w:cols w:space="720"/>
        </w:sectPr>
      </w:pPr>
    </w:p>
    <w:p w:rsidR="00C31389" w:rsidRDefault="00C31389" w14:paraId="2C6D223D" w14:textId="77777777">
      <w:pPr>
        <w:pStyle w:val="BodyText"/>
      </w:pPr>
    </w:p>
    <w:p w:rsidR="00C31389" w:rsidRDefault="00C31389" w14:paraId="03ED1330" w14:textId="77777777">
      <w:pPr>
        <w:pStyle w:val="BodyText"/>
        <w:spacing w:before="1"/>
        <w:rPr>
          <w:sz w:val="14"/>
        </w:rPr>
      </w:pPr>
    </w:p>
    <w:p w:rsidR="00C31389" w:rsidRDefault="00561FBD" w14:paraId="3905DE0C" w14:textId="77777777">
      <w:pPr>
        <w:spacing w:before="90"/>
        <w:ind w:left="480"/>
        <w:rPr>
          <w:b/>
          <w:sz w:val="32"/>
        </w:rPr>
      </w:pPr>
      <w:bookmarkStart w:name="Appendix_C._Panel_Upgrade_Literature_Rev" w:id="366"/>
      <w:bookmarkStart w:name="_bookmark276" w:id="367"/>
      <w:bookmarkEnd w:id="366"/>
      <w:bookmarkEnd w:id="367"/>
      <w:r>
        <w:rPr>
          <w:b/>
          <w:sz w:val="32"/>
        </w:rPr>
        <w:t>Appendix</w:t>
      </w:r>
      <w:r>
        <w:rPr>
          <w:b/>
          <w:spacing w:val="-5"/>
          <w:sz w:val="32"/>
        </w:rPr>
        <w:t xml:space="preserve"> </w:t>
      </w:r>
      <w:r>
        <w:rPr>
          <w:b/>
          <w:sz w:val="32"/>
        </w:rPr>
        <w:t>C.</w:t>
      </w:r>
      <w:r>
        <w:rPr>
          <w:b/>
          <w:spacing w:val="-6"/>
          <w:sz w:val="32"/>
        </w:rPr>
        <w:t xml:space="preserve"> </w:t>
      </w:r>
      <w:r>
        <w:rPr>
          <w:b/>
          <w:sz w:val="32"/>
        </w:rPr>
        <w:t>Panel</w:t>
      </w:r>
      <w:r>
        <w:rPr>
          <w:b/>
          <w:spacing w:val="-6"/>
          <w:sz w:val="32"/>
        </w:rPr>
        <w:t xml:space="preserve"> </w:t>
      </w:r>
      <w:r>
        <w:rPr>
          <w:b/>
          <w:sz w:val="32"/>
        </w:rPr>
        <w:t>Upgrade</w:t>
      </w:r>
      <w:r>
        <w:rPr>
          <w:b/>
          <w:spacing w:val="-6"/>
          <w:sz w:val="32"/>
        </w:rPr>
        <w:t xml:space="preserve"> </w:t>
      </w:r>
      <w:r>
        <w:rPr>
          <w:b/>
          <w:sz w:val="32"/>
        </w:rPr>
        <w:t>Literature</w:t>
      </w:r>
      <w:r>
        <w:rPr>
          <w:b/>
          <w:spacing w:val="-5"/>
          <w:sz w:val="32"/>
        </w:rPr>
        <w:t xml:space="preserve"> </w:t>
      </w:r>
      <w:r>
        <w:rPr>
          <w:b/>
          <w:spacing w:val="-2"/>
          <w:sz w:val="32"/>
        </w:rPr>
        <w:t>Review</w:t>
      </w:r>
    </w:p>
    <w:p w:rsidR="00C31389" w:rsidRDefault="00561FBD" w14:paraId="31244262" w14:textId="77777777">
      <w:pPr>
        <w:pStyle w:val="Heading7"/>
        <w:spacing w:before="239"/>
        <w:ind w:left="480" w:right="418"/>
      </w:pPr>
      <w:r>
        <w:t>Research</w:t>
      </w:r>
      <w:r>
        <w:rPr>
          <w:spacing w:val="-4"/>
        </w:rPr>
        <w:t xml:space="preserve"> </w:t>
      </w:r>
      <w:r>
        <w:t>and</w:t>
      </w:r>
      <w:r>
        <w:rPr>
          <w:spacing w:val="-4"/>
        </w:rPr>
        <w:t xml:space="preserve"> </w:t>
      </w:r>
      <w:r>
        <w:t>Summary</w:t>
      </w:r>
      <w:r>
        <w:rPr>
          <w:spacing w:val="-4"/>
        </w:rPr>
        <w:t xml:space="preserve"> </w:t>
      </w:r>
      <w:r>
        <w:t>of</w:t>
      </w:r>
      <w:r>
        <w:rPr>
          <w:spacing w:val="-4"/>
        </w:rPr>
        <w:t xml:space="preserve"> </w:t>
      </w:r>
      <w:r>
        <w:t>Panel</w:t>
      </w:r>
      <w:r>
        <w:rPr>
          <w:spacing w:val="-4"/>
        </w:rPr>
        <w:t xml:space="preserve"> </w:t>
      </w:r>
      <w:r>
        <w:t>Upgrade</w:t>
      </w:r>
      <w:r>
        <w:rPr>
          <w:spacing w:val="-4"/>
        </w:rPr>
        <w:t xml:space="preserve"> </w:t>
      </w:r>
      <w:r>
        <w:t>Costs</w:t>
      </w:r>
      <w:r>
        <w:rPr>
          <w:spacing w:val="-4"/>
        </w:rPr>
        <w:t xml:space="preserve"> </w:t>
      </w:r>
      <w:r>
        <w:t>to</w:t>
      </w:r>
      <w:r>
        <w:rPr>
          <w:spacing w:val="-4"/>
        </w:rPr>
        <w:t xml:space="preserve"> </w:t>
      </w:r>
      <w:r>
        <w:t>Support</w:t>
      </w:r>
      <w:r>
        <w:rPr>
          <w:spacing w:val="-4"/>
        </w:rPr>
        <w:t xml:space="preserve"> </w:t>
      </w:r>
      <w:r>
        <w:t>FS</w:t>
      </w:r>
      <w:r>
        <w:rPr>
          <w:spacing w:val="-4"/>
        </w:rPr>
        <w:t xml:space="preserve"> </w:t>
      </w:r>
      <w:r>
        <w:t>Measure</w:t>
      </w:r>
      <w:r>
        <w:rPr>
          <w:spacing w:val="-4"/>
        </w:rPr>
        <w:t xml:space="preserve"> </w:t>
      </w:r>
      <w:r>
        <w:t xml:space="preserve">Potential </w:t>
      </w:r>
      <w:r>
        <w:rPr>
          <w:spacing w:val="-2"/>
        </w:rPr>
        <w:t>Study</w:t>
      </w:r>
    </w:p>
    <w:p w:rsidR="00C31389" w:rsidRDefault="00C31389" w14:paraId="57138324" w14:textId="77777777">
      <w:pPr>
        <w:pStyle w:val="BodyText"/>
        <w:spacing w:before="11"/>
        <w:rPr>
          <w:b/>
          <w:sz w:val="20"/>
        </w:rPr>
      </w:pPr>
    </w:p>
    <w:p w:rsidR="00C31389" w:rsidRDefault="00561FBD" w14:paraId="229AD83E" w14:textId="77777777">
      <w:pPr>
        <w:pStyle w:val="BodyText"/>
        <w:ind w:left="480" w:right="445"/>
      </w:pPr>
      <w:r>
        <w:t>Substituting gas technologies for electric technologies can increase electric load for a building or house. This can sometimes require upgrades within the building, for example, increasing</w:t>
      </w:r>
      <w:r>
        <w:rPr>
          <w:spacing w:val="-4"/>
        </w:rPr>
        <w:t xml:space="preserve"> </w:t>
      </w:r>
      <w:r>
        <w:t>the</w:t>
      </w:r>
      <w:r>
        <w:rPr>
          <w:spacing w:val="-3"/>
        </w:rPr>
        <w:t xml:space="preserve"> </w:t>
      </w:r>
      <w:r>
        <w:t>size</w:t>
      </w:r>
      <w:r>
        <w:rPr>
          <w:spacing w:val="-3"/>
        </w:rPr>
        <w:t xml:space="preserve"> </w:t>
      </w:r>
      <w:r>
        <w:t>of</w:t>
      </w:r>
      <w:r>
        <w:rPr>
          <w:spacing w:val="-3"/>
        </w:rPr>
        <w:t xml:space="preserve"> </w:t>
      </w:r>
      <w:r>
        <w:t>the</w:t>
      </w:r>
      <w:r>
        <w:rPr>
          <w:spacing w:val="-3"/>
        </w:rPr>
        <w:t xml:space="preserve"> </w:t>
      </w:r>
      <w:r>
        <w:t>electrical</w:t>
      </w:r>
      <w:r>
        <w:rPr>
          <w:spacing w:val="-4"/>
        </w:rPr>
        <w:t xml:space="preserve"> </w:t>
      </w:r>
      <w:r>
        <w:t>panel</w:t>
      </w:r>
      <w:r>
        <w:rPr>
          <w:spacing w:val="-3"/>
        </w:rPr>
        <w:t xml:space="preserve"> </w:t>
      </w:r>
      <w:r>
        <w:t>to</w:t>
      </w:r>
      <w:r>
        <w:rPr>
          <w:spacing w:val="-3"/>
        </w:rPr>
        <w:t xml:space="preserve"> </w:t>
      </w:r>
      <w:r>
        <w:t>accommodate</w:t>
      </w:r>
      <w:r>
        <w:rPr>
          <w:spacing w:val="-3"/>
        </w:rPr>
        <w:t xml:space="preserve"> </w:t>
      </w:r>
      <w:r>
        <w:t>th</w:t>
      </w:r>
      <w:r>
        <w:t>e</w:t>
      </w:r>
      <w:r>
        <w:rPr>
          <w:spacing w:val="-3"/>
        </w:rPr>
        <w:t xml:space="preserve"> </w:t>
      </w:r>
      <w:r>
        <w:t>added</w:t>
      </w:r>
      <w:r>
        <w:rPr>
          <w:spacing w:val="-3"/>
        </w:rPr>
        <w:t xml:space="preserve"> </w:t>
      </w:r>
      <w:r>
        <w:t>load.</w:t>
      </w:r>
      <w:r>
        <w:rPr>
          <w:spacing w:val="-3"/>
        </w:rPr>
        <w:t xml:space="preserve"> </w:t>
      </w:r>
      <w:r>
        <w:t>Deemed</w:t>
      </w:r>
      <w:r>
        <w:rPr>
          <w:spacing w:val="-2"/>
        </w:rPr>
        <w:t xml:space="preserve"> </w:t>
      </w:r>
      <w:r>
        <w:t>per-unit costs of FS technologies typically do not consider such costs, and the previous 2021 Study did not account for these costs. For the 2023 Study, the Guidehouse team, led by Opinion Dynamics, conducted a literature review to est</w:t>
      </w:r>
      <w:r>
        <w:t>imate the cost of a panel upgrade, as well as the likelihood that a given installation of FS technology would necessitate a panel upgrade. The scope of this research was to review existing literature and publicly available data sources to provide an overvi</w:t>
      </w:r>
      <w:r>
        <w:t>ew of the costs associated with panel upgrades (and other electrical upgrades not included in the measure cost) in existing residential building stock in California as part of FS retrofits. The team then incorporated these costs into the measure characteri</w:t>
      </w:r>
      <w:r>
        <w:t>zation. The following subsections detail the findings of the literature review and describe how the results were used in the 2023 Study.</w:t>
      </w:r>
    </w:p>
    <w:p w:rsidR="00C31389" w:rsidRDefault="00C31389" w14:paraId="29668609" w14:textId="77777777">
      <w:pPr>
        <w:pStyle w:val="BodyText"/>
        <w:spacing w:before="10"/>
        <w:rPr>
          <w:sz w:val="20"/>
        </w:rPr>
      </w:pPr>
    </w:p>
    <w:p w:rsidR="00C31389" w:rsidRDefault="00561FBD" w14:paraId="5D30D3FF" w14:textId="77777777">
      <w:pPr>
        <w:pStyle w:val="ListParagraph"/>
        <w:numPr>
          <w:ilvl w:val="1"/>
          <w:numId w:val="21"/>
        </w:numPr>
        <w:tabs>
          <w:tab w:val="left" w:pos="991"/>
        </w:tabs>
        <w:ind w:left="991" w:hanging="511"/>
        <w:rPr>
          <w:b/>
          <w:sz w:val="28"/>
        </w:rPr>
      </w:pPr>
      <w:bookmarkStart w:name="C.1_Method" w:id="368"/>
      <w:bookmarkStart w:name="_bookmark277" w:id="369"/>
      <w:bookmarkEnd w:id="368"/>
      <w:bookmarkEnd w:id="369"/>
      <w:r>
        <w:rPr>
          <w:b/>
          <w:spacing w:val="-2"/>
          <w:sz w:val="28"/>
        </w:rPr>
        <w:t>Method</w:t>
      </w:r>
    </w:p>
    <w:p w:rsidR="00C31389" w:rsidRDefault="00561FBD" w14:paraId="3541B77A" w14:textId="77777777">
      <w:pPr>
        <w:pStyle w:val="BodyText"/>
        <w:spacing w:before="241"/>
        <w:ind w:left="480" w:right="445" w:hanging="1"/>
      </w:pPr>
      <w:r>
        <w:t>For</w:t>
      </w:r>
      <w:r>
        <w:rPr>
          <w:spacing w:val="-3"/>
        </w:rPr>
        <w:t xml:space="preserve"> </w:t>
      </w:r>
      <w:r>
        <w:t>the</w:t>
      </w:r>
      <w:r>
        <w:rPr>
          <w:spacing w:val="-3"/>
        </w:rPr>
        <w:t xml:space="preserve"> </w:t>
      </w:r>
      <w:r>
        <w:t>2023</w:t>
      </w:r>
      <w:r>
        <w:rPr>
          <w:spacing w:val="-3"/>
        </w:rPr>
        <w:t xml:space="preserve"> </w:t>
      </w:r>
      <w:r>
        <w:t>Study,</w:t>
      </w:r>
      <w:r>
        <w:rPr>
          <w:spacing w:val="-3"/>
        </w:rPr>
        <w:t xml:space="preserve"> </w:t>
      </w:r>
      <w:r>
        <w:t>the</w:t>
      </w:r>
      <w:r>
        <w:rPr>
          <w:spacing w:val="-4"/>
        </w:rPr>
        <w:t xml:space="preserve"> </w:t>
      </w:r>
      <w:r>
        <w:t>Guidehouse</w:t>
      </w:r>
      <w:r>
        <w:rPr>
          <w:spacing w:val="-3"/>
        </w:rPr>
        <w:t xml:space="preserve"> </w:t>
      </w:r>
      <w:r>
        <w:t>team</w:t>
      </w:r>
      <w:r>
        <w:rPr>
          <w:spacing w:val="-3"/>
        </w:rPr>
        <w:t xml:space="preserve"> </w:t>
      </w:r>
      <w:r>
        <w:t>reviewed</w:t>
      </w:r>
      <w:r>
        <w:rPr>
          <w:spacing w:val="-3"/>
        </w:rPr>
        <w:t xml:space="preserve"> </w:t>
      </w:r>
      <w:r>
        <w:t>16</w:t>
      </w:r>
      <w:r>
        <w:rPr>
          <w:spacing w:val="-3"/>
        </w:rPr>
        <w:t xml:space="preserve"> </w:t>
      </w:r>
      <w:r>
        <w:t>reports</w:t>
      </w:r>
      <w:r>
        <w:rPr>
          <w:spacing w:val="-3"/>
        </w:rPr>
        <w:t xml:space="preserve"> </w:t>
      </w:r>
      <w:r>
        <w:t>published</w:t>
      </w:r>
      <w:r>
        <w:rPr>
          <w:spacing w:val="-3"/>
        </w:rPr>
        <w:t xml:space="preserve"> </w:t>
      </w:r>
      <w:r>
        <w:t>between</w:t>
      </w:r>
      <w:r>
        <w:rPr>
          <w:spacing w:val="-3"/>
        </w:rPr>
        <w:t xml:space="preserve"> </w:t>
      </w:r>
      <w:r>
        <w:t>2016</w:t>
      </w:r>
      <w:r>
        <w:rPr>
          <w:spacing w:val="-3"/>
        </w:rPr>
        <w:t xml:space="preserve"> </w:t>
      </w:r>
      <w:r>
        <w:t>and 2022 that included cost data on electrical panel upgrades for residential buildings in California. The review also included a panel upgrade quote for a California homeowner who works at Opinion Dynamics to serve as a recent real-world panel upgrade exa</w:t>
      </w:r>
      <w:r>
        <w:t>mple. The team also became aware of the CARB’s equitable electrification of existing buildings study. This is a collaboration between CARB and the University of California, Los Angeles. This project will look at challenges associated with electrical servic</w:t>
      </w:r>
      <w:r>
        <w:t xml:space="preserve">e panel upgrades and the results for the tasks related to panel upgrades are scheduled for approximately June/July 2023. A summary of the key data sources the team identified is provided in </w:t>
      </w:r>
      <w:hyperlink w:history="1" w:anchor="_bookmark278">
        <w:r>
          <w:t>Table C-1</w:t>
        </w:r>
      </w:hyperlink>
      <w:r>
        <w:t>.</w:t>
      </w:r>
    </w:p>
    <w:p w:rsidR="00C31389" w:rsidRDefault="00561FBD" w14:paraId="352894FE" w14:textId="77777777">
      <w:pPr>
        <w:pStyle w:val="BodyText"/>
        <w:ind w:left="480" w:right="418"/>
      </w:pPr>
      <w:r>
        <w:t>Throughout</w:t>
      </w:r>
      <w:r>
        <w:rPr>
          <w:spacing w:val="-3"/>
        </w:rPr>
        <w:t xml:space="preserve"> </w:t>
      </w:r>
      <w:r>
        <w:t>this</w:t>
      </w:r>
      <w:r>
        <w:rPr>
          <w:spacing w:val="-3"/>
        </w:rPr>
        <w:t xml:space="preserve"> </w:t>
      </w:r>
      <w:r>
        <w:t>section,</w:t>
      </w:r>
      <w:r>
        <w:rPr>
          <w:spacing w:val="-4"/>
        </w:rPr>
        <w:t xml:space="preserve"> </w:t>
      </w:r>
      <w:r>
        <w:t>the</w:t>
      </w:r>
      <w:r>
        <w:rPr>
          <w:spacing w:val="-3"/>
        </w:rPr>
        <w:t xml:space="preserve"> </w:t>
      </w:r>
      <w:r>
        <w:t>Study</w:t>
      </w:r>
      <w:r>
        <w:rPr>
          <w:spacing w:val="-3"/>
        </w:rPr>
        <w:t xml:space="preserve"> </w:t>
      </w:r>
      <w:r>
        <w:t>Numbers</w:t>
      </w:r>
      <w:r>
        <w:rPr>
          <w:spacing w:val="-3"/>
        </w:rPr>
        <w:t xml:space="preserve"> </w:t>
      </w:r>
      <w:r>
        <w:t>relevant</w:t>
      </w:r>
      <w:r>
        <w:rPr>
          <w:spacing w:val="-3"/>
        </w:rPr>
        <w:t xml:space="preserve"> </w:t>
      </w:r>
      <w:r>
        <w:t>to</w:t>
      </w:r>
      <w:r>
        <w:rPr>
          <w:spacing w:val="-3"/>
        </w:rPr>
        <w:t xml:space="preserve"> </w:t>
      </w:r>
      <w:r>
        <w:t>a</w:t>
      </w:r>
      <w:r>
        <w:rPr>
          <w:spacing w:val="-3"/>
        </w:rPr>
        <w:t xml:space="preserve"> </w:t>
      </w:r>
      <w:r>
        <w:t>discussion</w:t>
      </w:r>
      <w:r>
        <w:rPr>
          <w:spacing w:val="-3"/>
        </w:rPr>
        <w:t xml:space="preserve"> </w:t>
      </w:r>
      <w:r>
        <w:t>will</w:t>
      </w:r>
      <w:r>
        <w:rPr>
          <w:spacing w:val="-4"/>
        </w:rPr>
        <w:t xml:space="preserve"> </w:t>
      </w:r>
      <w:r>
        <w:t>be</w:t>
      </w:r>
      <w:r>
        <w:rPr>
          <w:spacing w:val="-3"/>
        </w:rPr>
        <w:t xml:space="preserve"> </w:t>
      </w:r>
      <w:r>
        <w:t>referenced</w:t>
      </w:r>
      <w:r>
        <w:rPr>
          <w:spacing w:val="-3"/>
        </w:rPr>
        <w:t xml:space="preserve"> </w:t>
      </w:r>
      <w:r>
        <w:t>in brackets [ ].</w:t>
      </w:r>
    </w:p>
    <w:p w:rsidR="00C31389" w:rsidRDefault="00C31389" w14:paraId="70E8ADA9" w14:textId="77777777">
      <w:pPr>
        <w:pStyle w:val="BodyText"/>
        <w:spacing w:before="10"/>
        <w:rPr>
          <w:sz w:val="20"/>
        </w:rPr>
      </w:pPr>
    </w:p>
    <w:p w:rsidR="00C31389" w:rsidRDefault="00561FBD" w14:paraId="295B20FC" w14:textId="77777777">
      <w:pPr>
        <w:pStyle w:val="Heading7"/>
        <w:ind w:left="398" w:right="339"/>
        <w:jc w:val="center"/>
      </w:pPr>
      <w:bookmarkStart w:name="_bookmark278" w:id="370"/>
      <w:bookmarkEnd w:id="370"/>
      <w:r>
        <w:t>Table</w:t>
      </w:r>
      <w:r>
        <w:rPr>
          <w:spacing w:val="-6"/>
        </w:rPr>
        <w:t xml:space="preserve"> </w:t>
      </w:r>
      <w:r>
        <w:t>C-1.</w:t>
      </w:r>
      <w:r>
        <w:rPr>
          <w:spacing w:val="-7"/>
        </w:rPr>
        <w:t xml:space="preserve"> </w:t>
      </w:r>
      <w:r>
        <w:t>Key</w:t>
      </w:r>
      <w:r>
        <w:rPr>
          <w:spacing w:val="-5"/>
        </w:rPr>
        <w:t xml:space="preserve"> </w:t>
      </w:r>
      <w:r>
        <w:t>Data</w:t>
      </w:r>
      <w:r>
        <w:rPr>
          <w:spacing w:val="-6"/>
        </w:rPr>
        <w:t xml:space="preserve"> </w:t>
      </w:r>
      <w:r>
        <w:t>Sources</w:t>
      </w:r>
      <w:r>
        <w:rPr>
          <w:spacing w:val="-6"/>
        </w:rPr>
        <w:t xml:space="preserve"> </w:t>
      </w:r>
      <w:r>
        <w:t>Included</w:t>
      </w:r>
      <w:r>
        <w:rPr>
          <w:spacing w:val="-5"/>
        </w:rPr>
        <w:t xml:space="preserve"> </w:t>
      </w:r>
      <w:r>
        <w:t>in</w:t>
      </w:r>
      <w:r>
        <w:rPr>
          <w:spacing w:val="-6"/>
        </w:rPr>
        <w:t xml:space="preserve"> </w:t>
      </w:r>
      <w:r>
        <w:t>this</w:t>
      </w:r>
      <w:r>
        <w:rPr>
          <w:spacing w:val="-6"/>
        </w:rPr>
        <w:t xml:space="preserve"> </w:t>
      </w:r>
      <w:r>
        <w:rPr>
          <w:spacing w:val="-2"/>
        </w:rPr>
        <w:t>Review</w:t>
      </w:r>
    </w:p>
    <w:p w:rsidR="00C31389" w:rsidRDefault="00C31389" w14:paraId="280D2F4D" w14:textId="77777777">
      <w:pPr>
        <w:pStyle w:val="BodyText"/>
        <w:spacing w:before="11"/>
        <w:rPr>
          <w:b/>
          <w:sz w:val="9"/>
        </w:rPr>
      </w:pPr>
    </w:p>
    <w:tbl>
      <w:tblPr>
        <w:tblW w:w="0" w:type="auto"/>
        <w:tblInd w:w="480" w:type="dxa"/>
        <w:tblLayout w:type="fixed"/>
        <w:tblCellMar>
          <w:left w:w="0" w:type="dxa"/>
          <w:right w:w="0" w:type="dxa"/>
        </w:tblCellMar>
        <w:tblLook w:val="01E0" w:firstRow="1" w:lastRow="1" w:firstColumn="1" w:lastColumn="1" w:noHBand="0" w:noVBand="0"/>
      </w:tblPr>
      <w:tblGrid>
        <w:gridCol w:w="779"/>
        <w:gridCol w:w="3353"/>
        <w:gridCol w:w="2137"/>
        <w:gridCol w:w="1419"/>
        <w:gridCol w:w="1343"/>
      </w:tblGrid>
      <w:tr w:rsidR="00C31389" w14:paraId="3C305A07" w14:textId="77777777">
        <w:trPr>
          <w:trHeight w:val="500"/>
        </w:trPr>
        <w:tc>
          <w:tcPr>
            <w:tcW w:w="779" w:type="dxa"/>
            <w:tcBorders>
              <w:bottom w:val="single" w:color="B6B6B6" w:sz="4" w:space="0"/>
            </w:tcBorders>
            <w:shd w:val="clear" w:color="auto" w:fill="92D400"/>
          </w:tcPr>
          <w:p w:rsidR="00C31389" w:rsidRDefault="00561FBD" w14:paraId="1CDC68F4" w14:textId="77777777">
            <w:pPr>
              <w:pStyle w:val="TableParagraph"/>
              <w:spacing w:before="20" w:line="230" w:lineRule="atLeast"/>
              <w:ind w:left="115"/>
              <w:rPr>
                <w:b/>
                <w:sz w:val="20"/>
              </w:rPr>
            </w:pPr>
            <w:r>
              <w:rPr>
                <w:b/>
                <w:spacing w:val="-4"/>
                <w:sz w:val="20"/>
              </w:rPr>
              <w:t>Study No.</w:t>
            </w:r>
          </w:p>
        </w:tc>
        <w:tc>
          <w:tcPr>
            <w:tcW w:w="3353" w:type="dxa"/>
            <w:tcBorders>
              <w:bottom w:val="single" w:color="B6B6B6" w:sz="4" w:space="0"/>
            </w:tcBorders>
            <w:shd w:val="clear" w:color="auto" w:fill="92D400"/>
          </w:tcPr>
          <w:p w:rsidR="00C31389" w:rsidRDefault="00561FBD" w14:paraId="4EB31329" w14:textId="77777777">
            <w:pPr>
              <w:pStyle w:val="TableParagraph"/>
              <w:spacing w:before="136"/>
              <w:ind w:left="1462" w:right="1449"/>
              <w:jc w:val="center"/>
              <w:rPr>
                <w:b/>
                <w:sz w:val="20"/>
              </w:rPr>
            </w:pPr>
            <w:r>
              <w:rPr>
                <w:b/>
                <w:spacing w:val="-2"/>
                <w:sz w:val="20"/>
              </w:rPr>
              <w:t>Title</w:t>
            </w:r>
          </w:p>
        </w:tc>
        <w:tc>
          <w:tcPr>
            <w:tcW w:w="2137" w:type="dxa"/>
            <w:tcBorders>
              <w:bottom w:val="single" w:color="B6B6B6" w:sz="4" w:space="0"/>
            </w:tcBorders>
            <w:shd w:val="clear" w:color="auto" w:fill="92D400"/>
          </w:tcPr>
          <w:p w:rsidR="00C31389" w:rsidRDefault="00561FBD" w14:paraId="46F2E06A" w14:textId="77777777">
            <w:pPr>
              <w:pStyle w:val="TableParagraph"/>
              <w:spacing w:before="20" w:line="230" w:lineRule="exact"/>
              <w:ind w:left="717" w:hanging="261"/>
              <w:rPr>
                <w:b/>
                <w:sz w:val="20"/>
              </w:rPr>
            </w:pPr>
            <w:r>
              <w:rPr>
                <w:b/>
                <w:sz w:val="20"/>
              </w:rPr>
              <w:t>Prepared</w:t>
            </w:r>
            <w:r>
              <w:rPr>
                <w:b/>
                <w:spacing w:val="-14"/>
                <w:sz w:val="20"/>
              </w:rPr>
              <w:t xml:space="preserve"> </w:t>
            </w:r>
            <w:r>
              <w:rPr>
                <w:b/>
                <w:sz w:val="20"/>
              </w:rPr>
              <w:t>By</w:t>
            </w:r>
            <w:r>
              <w:rPr>
                <w:b/>
                <w:spacing w:val="-14"/>
                <w:sz w:val="20"/>
              </w:rPr>
              <w:t xml:space="preserve"> </w:t>
            </w:r>
            <w:r>
              <w:rPr>
                <w:b/>
                <w:sz w:val="20"/>
              </w:rPr>
              <w:t xml:space="preserve">/ </w:t>
            </w:r>
            <w:r>
              <w:rPr>
                <w:b/>
                <w:spacing w:val="-2"/>
                <w:sz w:val="20"/>
              </w:rPr>
              <w:t>Authors</w:t>
            </w:r>
          </w:p>
        </w:tc>
        <w:tc>
          <w:tcPr>
            <w:tcW w:w="1419" w:type="dxa"/>
            <w:tcBorders>
              <w:bottom w:val="single" w:color="B6B6B6" w:sz="4" w:space="0"/>
            </w:tcBorders>
            <w:shd w:val="clear" w:color="auto" w:fill="92D400"/>
          </w:tcPr>
          <w:p w:rsidR="00C31389" w:rsidRDefault="00561FBD" w14:paraId="6E981826" w14:textId="77777777">
            <w:pPr>
              <w:pStyle w:val="TableParagraph"/>
              <w:spacing w:before="136"/>
              <w:ind w:left="305"/>
              <w:rPr>
                <w:b/>
                <w:sz w:val="20"/>
              </w:rPr>
            </w:pPr>
            <w:r>
              <w:rPr>
                <w:b/>
                <w:spacing w:val="-2"/>
                <w:sz w:val="20"/>
              </w:rPr>
              <w:t>Publisher</w:t>
            </w:r>
          </w:p>
        </w:tc>
        <w:tc>
          <w:tcPr>
            <w:tcW w:w="1343" w:type="dxa"/>
            <w:tcBorders>
              <w:bottom w:val="single" w:color="B6B6B6" w:sz="4" w:space="0"/>
            </w:tcBorders>
            <w:shd w:val="clear" w:color="auto" w:fill="92D400"/>
          </w:tcPr>
          <w:p w:rsidR="00C31389" w:rsidRDefault="00561FBD" w14:paraId="5BE35B3F" w14:textId="77777777">
            <w:pPr>
              <w:pStyle w:val="TableParagraph"/>
              <w:spacing w:before="20" w:line="230" w:lineRule="exact"/>
              <w:ind w:left="480" w:hanging="322"/>
              <w:rPr>
                <w:b/>
                <w:sz w:val="20"/>
              </w:rPr>
            </w:pPr>
            <w:r>
              <w:rPr>
                <w:b/>
                <w:spacing w:val="-2"/>
                <w:sz w:val="20"/>
              </w:rPr>
              <w:t xml:space="preserve">Publication </w:t>
            </w:r>
            <w:r>
              <w:rPr>
                <w:b/>
                <w:spacing w:val="-4"/>
                <w:sz w:val="20"/>
              </w:rPr>
              <w:t>Date</w:t>
            </w:r>
          </w:p>
        </w:tc>
      </w:tr>
      <w:tr w:rsidR="00C31389" w14:paraId="214680D3" w14:textId="77777777">
        <w:trPr>
          <w:trHeight w:val="1229"/>
        </w:trPr>
        <w:tc>
          <w:tcPr>
            <w:tcW w:w="779" w:type="dxa"/>
            <w:tcBorders>
              <w:top w:val="single" w:color="B6B6B6" w:sz="4" w:space="0"/>
              <w:bottom w:val="single" w:color="B6B6B6" w:sz="4" w:space="0"/>
            </w:tcBorders>
          </w:tcPr>
          <w:p w:rsidR="00C31389" w:rsidRDefault="00C31389" w14:paraId="25FA85BA" w14:textId="77777777">
            <w:pPr>
              <w:pStyle w:val="TableParagraph"/>
              <w:spacing w:before="0"/>
              <w:rPr>
                <w:b/>
              </w:rPr>
            </w:pPr>
          </w:p>
          <w:p w:rsidR="00C31389" w:rsidRDefault="00C31389" w14:paraId="16E8F97A" w14:textId="77777777">
            <w:pPr>
              <w:pStyle w:val="TableParagraph"/>
              <w:spacing w:before="6"/>
              <w:rPr>
                <w:b/>
                <w:sz w:val="21"/>
              </w:rPr>
            </w:pPr>
          </w:p>
          <w:p w:rsidR="00C31389" w:rsidRDefault="00561FBD" w14:paraId="02B78D0C" w14:textId="77777777">
            <w:pPr>
              <w:pStyle w:val="TableParagraph"/>
              <w:spacing w:before="0"/>
              <w:ind w:left="115"/>
              <w:rPr>
                <w:sz w:val="20"/>
              </w:rPr>
            </w:pPr>
            <w:r>
              <w:rPr>
                <w:sz w:val="20"/>
              </w:rPr>
              <w:t>1</w:t>
            </w:r>
          </w:p>
        </w:tc>
        <w:tc>
          <w:tcPr>
            <w:tcW w:w="3353" w:type="dxa"/>
            <w:tcBorders>
              <w:top w:val="single" w:color="B6B6B6" w:sz="4" w:space="0"/>
              <w:bottom w:val="single" w:color="B6B6B6" w:sz="4" w:space="0"/>
            </w:tcBorders>
          </w:tcPr>
          <w:p w:rsidR="00C31389" w:rsidRDefault="00561FBD" w14:paraId="56AAC306" w14:textId="77777777">
            <w:pPr>
              <w:pStyle w:val="TableParagraph"/>
              <w:ind w:left="107" w:right="142"/>
              <w:rPr>
                <w:sz w:val="20"/>
              </w:rPr>
            </w:pPr>
            <w:r>
              <w:rPr>
                <w:sz w:val="20"/>
              </w:rPr>
              <w:t xml:space="preserve">What is the </w:t>
            </w:r>
            <w:r>
              <w:rPr>
                <w:sz w:val="20"/>
              </w:rPr>
              <w:t>final bill for a heat pump residential retrofit installation? A Delphi approach to uncovering the costs of electrification’s</w:t>
            </w:r>
            <w:r>
              <w:rPr>
                <w:spacing w:val="-14"/>
                <w:sz w:val="20"/>
              </w:rPr>
              <w:t xml:space="preserve"> </w:t>
            </w:r>
            <w:r>
              <w:rPr>
                <w:sz w:val="20"/>
              </w:rPr>
              <w:t>favorite</w:t>
            </w:r>
            <w:r>
              <w:rPr>
                <w:spacing w:val="-14"/>
                <w:sz w:val="20"/>
              </w:rPr>
              <w:t xml:space="preserve"> </w:t>
            </w:r>
            <w:r>
              <w:rPr>
                <w:sz w:val="20"/>
              </w:rPr>
              <w:t>technology</w:t>
            </w:r>
          </w:p>
        </w:tc>
        <w:tc>
          <w:tcPr>
            <w:tcW w:w="2137" w:type="dxa"/>
            <w:tcBorders>
              <w:top w:val="single" w:color="B6B6B6" w:sz="4" w:space="0"/>
              <w:bottom w:val="single" w:color="B6B6B6" w:sz="4" w:space="0"/>
            </w:tcBorders>
          </w:tcPr>
          <w:p w:rsidR="00C31389" w:rsidRDefault="00C31389" w14:paraId="7008A9D3" w14:textId="77777777">
            <w:pPr>
              <w:pStyle w:val="TableParagraph"/>
              <w:spacing w:before="0"/>
              <w:rPr>
                <w:b/>
              </w:rPr>
            </w:pPr>
          </w:p>
          <w:p w:rsidR="00C31389" w:rsidRDefault="00C31389" w14:paraId="17680309" w14:textId="77777777">
            <w:pPr>
              <w:pStyle w:val="TableParagraph"/>
              <w:spacing w:before="6"/>
              <w:rPr>
                <w:b/>
                <w:sz w:val="21"/>
              </w:rPr>
            </w:pPr>
          </w:p>
          <w:p w:rsidR="00C31389" w:rsidRDefault="00561FBD" w14:paraId="0C491BA8" w14:textId="77777777">
            <w:pPr>
              <w:pStyle w:val="TableParagraph"/>
              <w:spacing w:before="1"/>
              <w:ind w:left="120"/>
              <w:rPr>
                <w:sz w:val="20"/>
              </w:rPr>
            </w:pPr>
            <w:r>
              <w:rPr>
                <w:sz w:val="20"/>
              </w:rPr>
              <w:t>Ellen</w:t>
            </w:r>
            <w:r>
              <w:rPr>
                <w:spacing w:val="-6"/>
                <w:sz w:val="20"/>
              </w:rPr>
              <w:t xml:space="preserve"> </w:t>
            </w:r>
            <w:r>
              <w:rPr>
                <w:spacing w:val="-2"/>
                <w:sz w:val="20"/>
              </w:rPr>
              <w:t>Steiner</w:t>
            </w:r>
          </w:p>
        </w:tc>
        <w:tc>
          <w:tcPr>
            <w:tcW w:w="1419" w:type="dxa"/>
            <w:tcBorders>
              <w:top w:val="single" w:color="B6B6B6" w:sz="4" w:space="0"/>
              <w:bottom w:val="single" w:color="B6B6B6" w:sz="4" w:space="0"/>
            </w:tcBorders>
          </w:tcPr>
          <w:p w:rsidR="00C31389" w:rsidRDefault="00561FBD" w14:paraId="6BB6B606" w14:textId="77777777">
            <w:pPr>
              <w:pStyle w:val="TableParagraph"/>
              <w:ind w:left="160"/>
              <w:rPr>
                <w:sz w:val="20"/>
              </w:rPr>
            </w:pPr>
            <w:r>
              <w:rPr>
                <w:spacing w:val="-2"/>
                <w:sz w:val="20"/>
              </w:rPr>
              <w:t>International Energy Program Evaluation Conference</w:t>
            </w:r>
          </w:p>
        </w:tc>
        <w:tc>
          <w:tcPr>
            <w:tcW w:w="1343" w:type="dxa"/>
            <w:tcBorders>
              <w:top w:val="single" w:color="B6B6B6" w:sz="4" w:space="0"/>
              <w:bottom w:val="single" w:color="B6B6B6" w:sz="4" w:space="0"/>
            </w:tcBorders>
          </w:tcPr>
          <w:p w:rsidR="00C31389" w:rsidRDefault="00C31389" w14:paraId="5B71F4A5" w14:textId="77777777">
            <w:pPr>
              <w:pStyle w:val="TableParagraph"/>
              <w:spacing w:before="0"/>
              <w:rPr>
                <w:b/>
              </w:rPr>
            </w:pPr>
          </w:p>
          <w:p w:rsidR="00C31389" w:rsidRDefault="00C31389" w14:paraId="3DC35082" w14:textId="77777777">
            <w:pPr>
              <w:pStyle w:val="TableParagraph"/>
              <w:spacing w:before="7"/>
              <w:rPr>
                <w:b/>
                <w:sz w:val="21"/>
              </w:rPr>
            </w:pPr>
          </w:p>
          <w:p w:rsidR="00C31389" w:rsidRDefault="00561FBD" w14:paraId="08F45AA7" w14:textId="77777777">
            <w:pPr>
              <w:pStyle w:val="TableParagraph"/>
              <w:spacing w:before="0"/>
              <w:ind w:right="419"/>
              <w:jc w:val="right"/>
              <w:rPr>
                <w:sz w:val="20"/>
              </w:rPr>
            </w:pPr>
            <w:r>
              <w:rPr>
                <w:spacing w:val="-4"/>
                <w:sz w:val="20"/>
              </w:rPr>
              <w:t>2022</w:t>
            </w:r>
          </w:p>
        </w:tc>
      </w:tr>
      <w:tr w:rsidR="00C31389" w14:paraId="6BA770D3" w14:textId="77777777">
        <w:trPr>
          <w:trHeight w:val="770"/>
        </w:trPr>
        <w:tc>
          <w:tcPr>
            <w:tcW w:w="779" w:type="dxa"/>
            <w:tcBorders>
              <w:top w:val="single" w:color="B6B6B6" w:sz="4" w:space="0"/>
              <w:bottom w:val="single" w:color="B6B6B6" w:sz="4" w:space="0"/>
            </w:tcBorders>
          </w:tcPr>
          <w:p w:rsidR="00C31389" w:rsidRDefault="00C31389" w14:paraId="28C8F56C" w14:textId="77777777">
            <w:pPr>
              <w:pStyle w:val="TableParagraph"/>
              <w:spacing w:before="6"/>
              <w:rPr>
                <w:b/>
                <w:sz w:val="23"/>
              </w:rPr>
            </w:pPr>
          </w:p>
          <w:p w:rsidR="00C31389" w:rsidRDefault="00561FBD" w14:paraId="407BF0BF" w14:textId="77777777">
            <w:pPr>
              <w:pStyle w:val="TableParagraph"/>
              <w:spacing w:before="0"/>
              <w:ind w:left="115"/>
              <w:rPr>
                <w:sz w:val="20"/>
              </w:rPr>
            </w:pPr>
            <w:r>
              <w:rPr>
                <w:sz w:val="20"/>
              </w:rPr>
              <w:t>2</w:t>
            </w:r>
          </w:p>
        </w:tc>
        <w:tc>
          <w:tcPr>
            <w:tcW w:w="3353" w:type="dxa"/>
            <w:tcBorders>
              <w:top w:val="single" w:color="B6B6B6" w:sz="4" w:space="0"/>
              <w:bottom w:val="single" w:color="B6B6B6" w:sz="4" w:space="0"/>
            </w:tcBorders>
          </w:tcPr>
          <w:p w:rsidR="00C31389" w:rsidRDefault="00561FBD" w14:paraId="6DCFB849" w14:textId="77777777">
            <w:pPr>
              <w:pStyle w:val="TableParagraph"/>
              <w:spacing w:before="156"/>
              <w:ind w:left="107"/>
              <w:rPr>
                <w:sz w:val="20"/>
              </w:rPr>
            </w:pPr>
            <w:r>
              <w:rPr>
                <w:sz w:val="20"/>
              </w:rPr>
              <w:t>Service</w:t>
            </w:r>
            <w:r>
              <w:rPr>
                <w:spacing w:val="-13"/>
                <w:sz w:val="20"/>
              </w:rPr>
              <w:t xml:space="preserve"> </w:t>
            </w:r>
            <w:r>
              <w:rPr>
                <w:sz w:val="20"/>
              </w:rPr>
              <w:t>Upgrades</w:t>
            </w:r>
            <w:r>
              <w:rPr>
                <w:spacing w:val="-12"/>
                <w:sz w:val="20"/>
              </w:rPr>
              <w:t xml:space="preserve"> </w:t>
            </w:r>
            <w:r>
              <w:rPr>
                <w:sz w:val="20"/>
              </w:rPr>
              <w:t>for</w:t>
            </w:r>
            <w:r>
              <w:rPr>
                <w:spacing w:val="-12"/>
                <w:sz w:val="20"/>
              </w:rPr>
              <w:t xml:space="preserve"> </w:t>
            </w:r>
            <w:r>
              <w:rPr>
                <w:sz w:val="20"/>
              </w:rPr>
              <w:t>Electrification Retrofits Study Final Report</w:t>
            </w:r>
          </w:p>
        </w:tc>
        <w:tc>
          <w:tcPr>
            <w:tcW w:w="2137" w:type="dxa"/>
            <w:tcBorders>
              <w:top w:val="single" w:color="B6B6B6" w:sz="4" w:space="0"/>
              <w:bottom w:val="single" w:color="B6B6B6" w:sz="4" w:space="0"/>
            </w:tcBorders>
          </w:tcPr>
          <w:p w:rsidR="00C31389" w:rsidRDefault="00561FBD" w14:paraId="54DDADBF" w14:textId="77777777">
            <w:pPr>
              <w:pStyle w:val="TableParagraph"/>
              <w:spacing w:before="41"/>
              <w:ind w:left="120" w:right="151"/>
              <w:rPr>
                <w:sz w:val="20"/>
              </w:rPr>
            </w:pPr>
            <w:r>
              <w:rPr>
                <w:sz w:val="20"/>
              </w:rPr>
              <w:t>NV5</w:t>
            </w:r>
            <w:r>
              <w:rPr>
                <w:spacing w:val="-14"/>
                <w:sz w:val="20"/>
              </w:rPr>
              <w:t xml:space="preserve"> </w:t>
            </w:r>
            <w:r>
              <w:rPr>
                <w:sz w:val="20"/>
              </w:rPr>
              <w:t>INC</w:t>
            </w:r>
            <w:r>
              <w:rPr>
                <w:spacing w:val="-14"/>
                <w:sz w:val="20"/>
              </w:rPr>
              <w:t xml:space="preserve"> </w:t>
            </w:r>
            <w:r>
              <w:rPr>
                <w:sz w:val="20"/>
              </w:rPr>
              <w:t xml:space="preserve">and </w:t>
            </w:r>
            <w:r>
              <w:rPr>
                <w:spacing w:val="-2"/>
                <w:sz w:val="20"/>
              </w:rPr>
              <w:t>REDWOOD ENERGY</w:t>
            </w:r>
          </w:p>
        </w:tc>
        <w:tc>
          <w:tcPr>
            <w:tcW w:w="1419" w:type="dxa"/>
            <w:tcBorders>
              <w:top w:val="single" w:color="B6B6B6" w:sz="4" w:space="0"/>
              <w:bottom w:val="single" w:color="B6B6B6" w:sz="4" w:space="0"/>
            </w:tcBorders>
          </w:tcPr>
          <w:p w:rsidR="00C31389" w:rsidRDefault="00C31389" w14:paraId="575F6183" w14:textId="77777777">
            <w:pPr>
              <w:pStyle w:val="TableParagraph"/>
              <w:spacing w:before="6"/>
              <w:rPr>
                <w:b/>
                <w:sz w:val="23"/>
              </w:rPr>
            </w:pPr>
          </w:p>
          <w:p w:rsidR="00C31389" w:rsidRDefault="00561FBD" w14:paraId="012CB25D" w14:textId="77777777">
            <w:pPr>
              <w:pStyle w:val="TableParagraph"/>
              <w:spacing w:before="0"/>
              <w:ind w:left="160"/>
              <w:rPr>
                <w:sz w:val="20"/>
              </w:rPr>
            </w:pPr>
            <w:r>
              <w:rPr>
                <w:spacing w:val="-2"/>
                <w:sz w:val="20"/>
              </w:rPr>
              <w:t>NV5.COM</w:t>
            </w:r>
          </w:p>
        </w:tc>
        <w:tc>
          <w:tcPr>
            <w:tcW w:w="1343" w:type="dxa"/>
            <w:tcBorders>
              <w:top w:val="single" w:color="B6B6B6" w:sz="4" w:space="0"/>
              <w:bottom w:val="single" w:color="B6B6B6" w:sz="4" w:space="0"/>
            </w:tcBorders>
          </w:tcPr>
          <w:p w:rsidR="00C31389" w:rsidRDefault="00C31389" w14:paraId="2AC3501C" w14:textId="77777777">
            <w:pPr>
              <w:pStyle w:val="TableParagraph"/>
              <w:spacing w:before="6"/>
              <w:rPr>
                <w:b/>
                <w:sz w:val="23"/>
              </w:rPr>
            </w:pPr>
          </w:p>
          <w:p w:rsidR="00C31389" w:rsidRDefault="00561FBD" w14:paraId="21E5101A" w14:textId="77777777">
            <w:pPr>
              <w:pStyle w:val="TableParagraph"/>
              <w:spacing w:before="0"/>
              <w:ind w:right="419"/>
              <w:jc w:val="right"/>
              <w:rPr>
                <w:sz w:val="20"/>
              </w:rPr>
            </w:pPr>
            <w:r>
              <w:rPr>
                <w:spacing w:val="-4"/>
                <w:sz w:val="20"/>
              </w:rPr>
              <w:t>2022</w:t>
            </w:r>
          </w:p>
        </w:tc>
      </w:tr>
      <w:tr w:rsidR="00C31389" w14:paraId="0365A347" w14:textId="77777777">
        <w:trPr>
          <w:trHeight w:val="540"/>
        </w:trPr>
        <w:tc>
          <w:tcPr>
            <w:tcW w:w="779" w:type="dxa"/>
            <w:tcBorders>
              <w:top w:val="single" w:color="B6B6B6" w:sz="4" w:space="0"/>
              <w:bottom w:val="single" w:color="B6B6B6" w:sz="4" w:space="0"/>
            </w:tcBorders>
          </w:tcPr>
          <w:p w:rsidR="00C31389" w:rsidRDefault="00561FBD" w14:paraId="11A039C4" w14:textId="77777777">
            <w:pPr>
              <w:pStyle w:val="TableParagraph"/>
              <w:spacing w:before="155"/>
              <w:ind w:left="115"/>
              <w:rPr>
                <w:sz w:val="20"/>
              </w:rPr>
            </w:pPr>
            <w:r>
              <w:rPr>
                <w:sz w:val="20"/>
              </w:rPr>
              <w:t>3</w:t>
            </w:r>
          </w:p>
        </w:tc>
        <w:tc>
          <w:tcPr>
            <w:tcW w:w="3353" w:type="dxa"/>
            <w:tcBorders>
              <w:top w:val="single" w:color="B6B6B6" w:sz="4" w:space="0"/>
              <w:bottom w:val="single" w:color="B6B6B6" w:sz="4" w:space="0"/>
            </w:tcBorders>
          </w:tcPr>
          <w:p w:rsidR="00C31389" w:rsidRDefault="00561FBD" w14:paraId="4AD4CDAC" w14:textId="77777777">
            <w:pPr>
              <w:pStyle w:val="TableParagraph"/>
              <w:spacing w:before="41"/>
              <w:ind w:left="107" w:right="815"/>
              <w:rPr>
                <w:sz w:val="20"/>
              </w:rPr>
            </w:pPr>
            <w:r>
              <w:rPr>
                <w:sz w:val="20"/>
              </w:rPr>
              <w:t>Palo</w:t>
            </w:r>
            <w:r>
              <w:rPr>
                <w:spacing w:val="-14"/>
                <w:sz w:val="20"/>
              </w:rPr>
              <w:t xml:space="preserve"> </w:t>
            </w:r>
            <w:r>
              <w:rPr>
                <w:sz w:val="20"/>
              </w:rPr>
              <w:t>Alto</w:t>
            </w:r>
            <w:r>
              <w:rPr>
                <w:spacing w:val="-14"/>
                <w:sz w:val="20"/>
              </w:rPr>
              <w:t xml:space="preserve"> </w:t>
            </w:r>
            <w:r>
              <w:rPr>
                <w:sz w:val="20"/>
              </w:rPr>
              <w:t>Electrification Final Report</w:t>
            </w:r>
          </w:p>
        </w:tc>
        <w:tc>
          <w:tcPr>
            <w:tcW w:w="2137" w:type="dxa"/>
            <w:tcBorders>
              <w:top w:val="single" w:color="B6B6B6" w:sz="4" w:space="0"/>
              <w:bottom w:val="single" w:color="B6B6B6" w:sz="4" w:space="0"/>
            </w:tcBorders>
          </w:tcPr>
          <w:p w:rsidR="00C31389" w:rsidRDefault="00561FBD" w14:paraId="60E32589" w14:textId="77777777">
            <w:pPr>
              <w:pStyle w:val="TableParagraph"/>
              <w:spacing w:before="155"/>
              <w:ind w:left="120"/>
              <w:rPr>
                <w:sz w:val="20"/>
              </w:rPr>
            </w:pPr>
            <w:r>
              <w:rPr>
                <w:spacing w:val="-5"/>
                <w:sz w:val="20"/>
              </w:rPr>
              <w:t>TRC</w:t>
            </w:r>
          </w:p>
        </w:tc>
        <w:tc>
          <w:tcPr>
            <w:tcW w:w="1419" w:type="dxa"/>
            <w:tcBorders>
              <w:top w:val="single" w:color="B6B6B6" w:sz="4" w:space="0"/>
              <w:bottom w:val="single" w:color="B6B6B6" w:sz="4" w:space="0"/>
            </w:tcBorders>
          </w:tcPr>
          <w:p w:rsidR="00C31389" w:rsidRDefault="00561FBD" w14:paraId="0523E1BF" w14:textId="77777777">
            <w:pPr>
              <w:pStyle w:val="TableParagraph"/>
              <w:spacing w:before="41"/>
              <w:ind w:left="160"/>
              <w:rPr>
                <w:sz w:val="20"/>
              </w:rPr>
            </w:pPr>
            <w:r>
              <w:rPr>
                <w:sz w:val="20"/>
              </w:rPr>
              <w:t>City</w:t>
            </w:r>
            <w:r>
              <w:rPr>
                <w:spacing w:val="-14"/>
                <w:sz w:val="20"/>
              </w:rPr>
              <w:t xml:space="preserve"> </w:t>
            </w:r>
            <w:r>
              <w:rPr>
                <w:sz w:val="20"/>
              </w:rPr>
              <w:t>of</w:t>
            </w:r>
            <w:r>
              <w:rPr>
                <w:spacing w:val="-14"/>
                <w:sz w:val="20"/>
              </w:rPr>
              <w:t xml:space="preserve"> </w:t>
            </w:r>
            <w:r>
              <w:rPr>
                <w:sz w:val="20"/>
              </w:rPr>
              <w:t xml:space="preserve">Palo </w:t>
            </w:r>
            <w:r>
              <w:rPr>
                <w:spacing w:val="-4"/>
                <w:sz w:val="20"/>
              </w:rPr>
              <w:t>Alto</w:t>
            </w:r>
          </w:p>
        </w:tc>
        <w:tc>
          <w:tcPr>
            <w:tcW w:w="1343" w:type="dxa"/>
            <w:tcBorders>
              <w:top w:val="single" w:color="B6B6B6" w:sz="4" w:space="0"/>
              <w:bottom w:val="single" w:color="B6B6B6" w:sz="4" w:space="0"/>
            </w:tcBorders>
          </w:tcPr>
          <w:p w:rsidR="00C31389" w:rsidRDefault="00561FBD" w14:paraId="4C982238" w14:textId="77777777">
            <w:pPr>
              <w:pStyle w:val="TableParagraph"/>
              <w:spacing w:before="155"/>
              <w:ind w:right="420"/>
              <w:jc w:val="right"/>
              <w:rPr>
                <w:sz w:val="20"/>
              </w:rPr>
            </w:pPr>
            <w:r>
              <w:rPr>
                <w:spacing w:val="-4"/>
                <w:sz w:val="20"/>
              </w:rPr>
              <w:t>2016</w:t>
            </w:r>
          </w:p>
        </w:tc>
      </w:tr>
      <w:tr w:rsidR="00C31389" w14:paraId="03818225" w14:textId="77777777">
        <w:trPr>
          <w:trHeight w:val="999"/>
        </w:trPr>
        <w:tc>
          <w:tcPr>
            <w:tcW w:w="779" w:type="dxa"/>
            <w:tcBorders>
              <w:top w:val="single" w:color="B6B6B6" w:sz="4" w:space="0"/>
              <w:bottom w:val="single" w:color="B6B6B6" w:sz="4" w:space="0"/>
            </w:tcBorders>
          </w:tcPr>
          <w:p w:rsidR="00C31389" w:rsidRDefault="00C31389" w14:paraId="6D35819A" w14:textId="77777777">
            <w:pPr>
              <w:pStyle w:val="TableParagraph"/>
              <w:spacing w:before="0"/>
              <w:rPr>
                <w:b/>
              </w:rPr>
            </w:pPr>
          </w:p>
          <w:p w:rsidR="00C31389" w:rsidRDefault="00561FBD" w14:paraId="38B9F498" w14:textId="77777777">
            <w:pPr>
              <w:pStyle w:val="TableParagraph"/>
              <w:spacing w:before="131"/>
              <w:ind w:left="115"/>
              <w:rPr>
                <w:sz w:val="20"/>
              </w:rPr>
            </w:pPr>
            <w:r>
              <w:rPr>
                <w:sz w:val="20"/>
              </w:rPr>
              <w:t>4</w:t>
            </w:r>
          </w:p>
        </w:tc>
        <w:tc>
          <w:tcPr>
            <w:tcW w:w="3353" w:type="dxa"/>
            <w:tcBorders>
              <w:top w:val="single" w:color="B6B6B6" w:sz="4" w:space="0"/>
              <w:bottom w:val="single" w:color="B6B6B6" w:sz="4" w:space="0"/>
            </w:tcBorders>
          </w:tcPr>
          <w:p w:rsidR="00C31389" w:rsidRDefault="00561FBD" w14:paraId="50E94A9A" w14:textId="77777777">
            <w:pPr>
              <w:pStyle w:val="TableParagraph"/>
              <w:spacing w:before="155"/>
              <w:ind w:left="107" w:right="142"/>
              <w:rPr>
                <w:sz w:val="20"/>
              </w:rPr>
            </w:pPr>
            <w:r>
              <w:rPr>
                <w:sz w:val="20"/>
              </w:rPr>
              <w:t>Home Energy Upgrades as a Pathway</w:t>
            </w:r>
            <w:r>
              <w:rPr>
                <w:spacing w:val="-12"/>
                <w:sz w:val="20"/>
              </w:rPr>
              <w:t xml:space="preserve"> </w:t>
            </w:r>
            <w:r>
              <w:rPr>
                <w:sz w:val="20"/>
              </w:rPr>
              <w:t>to</w:t>
            </w:r>
            <w:r>
              <w:rPr>
                <w:spacing w:val="-13"/>
                <w:sz w:val="20"/>
              </w:rPr>
              <w:t xml:space="preserve"> </w:t>
            </w:r>
            <w:r>
              <w:rPr>
                <w:sz w:val="20"/>
              </w:rPr>
              <w:t>Home</w:t>
            </w:r>
            <w:r>
              <w:rPr>
                <w:spacing w:val="-13"/>
                <w:sz w:val="20"/>
              </w:rPr>
              <w:t xml:space="preserve"> </w:t>
            </w:r>
            <w:r>
              <w:rPr>
                <w:sz w:val="20"/>
              </w:rPr>
              <w:t>Decarbonization in the US: A Literature Review</w:t>
            </w:r>
          </w:p>
        </w:tc>
        <w:tc>
          <w:tcPr>
            <w:tcW w:w="2137" w:type="dxa"/>
            <w:tcBorders>
              <w:top w:val="single" w:color="B6B6B6" w:sz="4" w:space="0"/>
              <w:bottom w:val="single" w:color="B6B6B6" w:sz="4" w:space="0"/>
            </w:tcBorders>
          </w:tcPr>
          <w:p w:rsidR="00C31389" w:rsidRDefault="00561FBD" w14:paraId="20DFD88E" w14:textId="77777777">
            <w:pPr>
              <w:pStyle w:val="TableParagraph"/>
              <w:ind w:left="120" w:right="151"/>
              <w:rPr>
                <w:sz w:val="20"/>
              </w:rPr>
            </w:pPr>
            <w:r>
              <w:rPr>
                <w:sz w:val="20"/>
              </w:rPr>
              <w:t>Brennan D. Less, Núria Casquero- Modrego,</w:t>
            </w:r>
            <w:r>
              <w:rPr>
                <w:spacing w:val="-12"/>
                <w:sz w:val="20"/>
              </w:rPr>
              <w:t xml:space="preserve"> </w:t>
            </w:r>
            <w:r>
              <w:rPr>
                <w:sz w:val="20"/>
              </w:rPr>
              <w:t>and</w:t>
            </w:r>
            <w:r>
              <w:rPr>
                <w:spacing w:val="-12"/>
                <w:sz w:val="20"/>
              </w:rPr>
              <w:t xml:space="preserve"> </w:t>
            </w:r>
            <w:r>
              <w:rPr>
                <w:sz w:val="20"/>
              </w:rPr>
              <w:t>Iain</w:t>
            </w:r>
            <w:r>
              <w:rPr>
                <w:spacing w:val="-12"/>
                <w:sz w:val="20"/>
              </w:rPr>
              <w:t xml:space="preserve"> </w:t>
            </w:r>
            <w:r>
              <w:rPr>
                <w:sz w:val="20"/>
              </w:rPr>
              <w:t xml:space="preserve">S. </w:t>
            </w:r>
            <w:r>
              <w:rPr>
                <w:spacing w:val="-2"/>
                <w:sz w:val="20"/>
              </w:rPr>
              <w:t>Walker</w:t>
            </w:r>
          </w:p>
        </w:tc>
        <w:tc>
          <w:tcPr>
            <w:tcW w:w="1419" w:type="dxa"/>
            <w:tcBorders>
              <w:top w:val="single" w:color="B6B6B6" w:sz="4" w:space="0"/>
              <w:bottom w:val="single" w:color="B6B6B6" w:sz="4" w:space="0"/>
            </w:tcBorders>
          </w:tcPr>
          <w:p w:rsidR="00C31389" w:rsidRDefault="00C31389" w14:paraId="4683748F" w14:textId="77777777">
            <w:pPr>
              <w:pStyle w:val="TableParagraph"/>
              <w:spacing w:before="0"/>
              <w:rPr>
                <w:b/>
              </w:rPr>
            </w:pPr>
          </w:p>
          <w:p w:rsidR="00C31389" w:rsidRDefault="00561FBD" w14:paraId="3C1B7BE6" w14:textId="77777777">
            <w:pPr>
              <w:pStyle w:val="TableParagraph"/>
              <w:spacing w:before="132"/>
              <w:ind w:left="160"/>
              <w:rPr>
                <w:sz w:val="20"/>
              </w:rPr>
            </w:pPr>
            <w:r>
              <w:rPr>
                <w:spacing w:val="-2"/>
                <w:sz w:val="20"/>
              </w:rPr>
              <w:t>Energies</w:t>
            </w:r>
          </w:p>
        </w:tc>
        <w:tc>
          <w:tcPr>
            <w:tcW w:w="1343" w:type="dxa"/>
            <w:tcBorders>
              <w:top w:val="single" w:color="B6B6B6" w:sz="4" w:space="0"/>
              <w:bottom w:val="single" w:color="B6B6B6" w:sz="4" w:space="0"/>
            </w:tcBorders>
          </w:tcPr>
          <w:p w:rsidR="00C31389" w:rsidRDefault="00C31389" w14:paraId="056CFA41" w14:textId="77777777">
            <w:pPr>
              <w:pStyle w:val="TableParagraph"/>
              <w:spacing w:before="0"/>
              <w:rPr>
                <w:b/>
              </w:rPr>
            </w:pPr>
          </w:p>
          <w:p w:rsidR="00C31389" w:rsidRDefault="00561FBD" w14:paraId="40C93EF8" w14:textId="77777777">
            <w:pPr>
              <w:pStyle w:val="TableParagraph"/>
              <w:spacing w:before="132"/>
              <w:ind w:right="420"/>
              <w:jc w:val="right"/>
              <w:rPr>
                <w:sz w:val="20"/>
              </w:rPr>
            </w:pPr>
            <w:r>
              <w:rPr>
                <w:spacing w:val="-4"/>
                <w:sz w:val="20"/>
              </w:rPr>
              <w:t>2022</w:t>
            </w:r>
          </w:p>
        </w:tc>
      </w:tr>
      <w:tr w:rsidR="00C31389" w14:paraId="6201DCAB" w14:textId="77777777">
        <w:trPr>
          <w:trHeight w:val="540"/>
        </w:trPr>
        <w:tc>
          <w:tcPr>
            <w:tcW w:w="779" w:type="dxa"/>
            <w:tcBorders>
              <w:top w:val="single" w:color="B6B6B6" w:sz="4" w:space="0"/>
              <w:bottom w:val="single" w:color="B6B6B6" w:sz="4" w:space="0"/>
            </w:tcBorders>
          </w:tcPr>
          <w:p w:rsidR="00C31389" w:rsidRDefault="00561FBD" w14:paraId="1A6A74F3" w14:textId="77777777">
            <w:pPr>
              <w:pStyle w:val="TableParagraph"/>
              <w:spacing w:before="155"/>
              <w:ind w:left="115"/>
              <w:rPr>
                <w:sz w:val="20"/>
              </w:rPr>
            </w:pPr>
            <w:r>
              <w:rPr>
                <w:sz w:val="20"/>
              </w:rPr>
              <w:t>5</w:t>
            </w:r>
          </w:p>
        </w:tc>
        <w:tc>
          <w:tcPr>
            <w:tcW w:w="3353" w:type="dxa"/>
            <w:tcBorders>
              <w:top w:val="single" w:color="B6B6B6" w:sz="4" w:space="0"/>
              <w:bottom w:val="single" w:color="B6B6B6" w:sz="4" w:space="0"/>
            </w:tcBorders>
          </w:tcPr>
          <w:p w:rsidR="00C31389" w:rsidRDefault="00561FBD" w14:paraId="011547E7" w14:textId="77777777">
            <w:pPr>
              <w:pStyle w:val="TableParagraph"/>
              <w:spacing w:before="60"/>
              <w:ind w:left="107" w:right="142"/>
              <w:rPr>
                <w:sz w:val="20"/>
              </w:rPr>
            </w:pPr>
            <w:r>
              <w:rPr>
                <w:sz w:val="20"/>
              </w:rPr>
              <w:t>Costs</w:t>
            </w:r>
            <w:r>
              <w:rPr>
                <w:spacing w:val="-6"/>
                <w:sz w:val="20"/>
              </w:rPr>
              <w:t xml:space="preserve"> </w:t>
            </w:r>
            <w:r>
              <w:rPr>
                <w:sz w:val="20"/>
              </w:rPr>
              <w:t>and</w:t>
            </w:r>
            <w:r>
              <w:rPr>
                <w:spacing w:val="-7"/>
                <w:sz w:val="20"/>
              </w:rPr>
              <w:t xml:space="preserve"> </w:t>
            </w:r>
            <w:r>
              <w:rPr>
                <w:sz w:val="20"/>
              </w:rPr>
              <w:t>Benefits</w:t>
            </w:r>
            <w:r>
              <w:rPr>
                <w:spacing w:val="-6"/>
                <w:sz w:val="20"/>
              </w:rPr>
              <w:t xml:space="preserve"> </w:t>
            </w:r>
            <w:r>
              <w:rPr>
                <w:sz w:val="20"/>
              </w:rPr>
              <w:t>of</w:t>
            </w:r>
            <w:r>
              <w:rPr>
                <w:spacing w:val="-7"/>
                <w:sz w:val="20"/>
              </w:rPr>
              <w:t xml:space="preserve"> </w:t>
            </w:r>
            <w:r>
              <w:rPr>
                <w:sz w:val="20"/>
              </w:rPr>
              <w:t>a</w:t>
            </w:r>
            <w:r>
              <w:rPr>
                <w:spacing w:val="-7"/>
                <w:sz w:val="20"/>
              </w:rPr>
              <w:t xml:space="preserve"> </w:t>
            </w:r>
            <w:r>
              <w:rPr>
                <w:sz w:val="20"/>
              </w:rPr>
              <w:t>2022</w:t>
            </w:r>
            <w:r>
              <w:rPr>
                <w:spacing w:val="-7"/>
                <w:sz w:val="20"/>
              </w:rPr>
              <w:t xml:space="preserve"> </w:t>
            </w:r>
            <w:r>
              <w:rPr>
                <w:sz w:val="20"/>
              </w:rPr>
              <w:t>Zero Emissions Cooking Technology</w:t>
            </w:r>
          </w:p>
        </w:tc>
        <w:tc>
          <w:tcPr>
            <w:tcW w:w="2137" w:type="dxa"/>
            <w:tcBorders>
              <w:top w:val="single" w:color="B6B6B6" w:sz="4" w:space="0"/>
              <w:bottom w:val="single" w:color="B6B6B6" w:sz="4" w:space="0"/>
            </w:tcBorders>
          </w:tcPr>
          <w:p w:rsidR="00C31389" w:rsidRDefault="00561FBD" w14:paraId="2874102F" w14:textId="77777777">
            <w:pPr>
              <w:pStyle w:val="TableParagraph"/>
              <w:spacing w:before="41"/>
              <w:ind w:left="120" w:right="151"/>
              <w:rPr>
                <w:sz w:val="20"/>
              </w:rPr>
            </w:pPr>
            <w:r>
              <w:rPr>
                <w:sz w:val="20"/>
              </w:rPr>
              <w:t>Evergreen Energy and</w:t>
            </w:r>
            <w:r>
              <w:rPr>
                <w:spacing w:val="-14"/>
                <w:sz w:val="20"/>
              </w:rPr>
              <w:t xml:space="preserve"> </w:t>
            </w:r>
            <w:r>
              <w:rPr>
                <w:sz w:val="20"/>
              </w:rPr>
              <w:t>Synergy</w:t>
            </w:r>
            <w:r>
              <w:rPr>
                <w:spacing w:val="-14"/>
                <w:sz w:val="20"/>
              </w:rPr>
              <w:t xml:space="preserve"> </w:t>
            </w:r>
            <w:r>
              <w:rPr>
                <w:sz w:val="20"/>
              </w:rPr>
              <w:t>Energy</w:t>
            </w:r>
          </w:p>
        </w:tc>
        <w:tc>
          <w:tcPr>
            <w:tcW w:w="1419" w:type="dxa"/>
            <w:tcBorders>
              <w:top w:val="single" w:color="B6B6B6" w:sz="4" w:space="0"/>
              <w:bottom w:val="single" w:color="B6B6B6" w:sz="4" w:space="0"/>
            </w:tcBorders>
          </w:tcPr>
          <w:p w:rsidR="00C31389" w:rsidRDefault="00561FBD" w14:paraId="079D9573" w14:textId="77777777">
            <w:pPr>
              <w:pStyle w:val="TableParagraph"/>
              <w:spacing w:before="155"/>
              <w:ind w:left="160"/>
              <w:rPr>
                <w:sz w:val="20"/>
              </w:rPr>
            </w:pPr>
            <w:r>
              <w:rPr>
                <w:spacing w:val="-4"/>
                <w:sz w:val="20"/>
              </w:rPr>
              <w:t>PG&amp;E</w:t>
            </w:r>
          </w:p>
        </w:tc>
        <w:tc>
          <w:tcPr>
            <w:tcW w:w="1343" w:type="dxa"/>
            <w:tcBorders>
              <w:top w:val="single" w:color="B6B6B6" w:sz="4" w:space="0"/>
              <w:bottom w:val="single" w:color="B6B6B6" w:sz="4" w:space="0"/>
            </w:tcBorders>
          </w:tcPr>
          <w:p w:rsidR="00C31389" w:rsidRDefault="00561FBD" w14:paraId="437B0880" w14:textId="77777777">
            <w:pPr>
              <w:pStyle w:val="TableParagraph"/>
              <w:spacing w:before="155"/>
              <w:ind w:right="421"/>
              <w:jc w:val="right"/>
              <w:rPr>
                <w:sz w:val="20"/>
              </w:rPr>
            </w:pPr>
            <w:r>
              <w:rPr>
                <w:spacing w:val="-4"/>
                <w:sz w:val="20"/>
              </w:rPr>
              <w:t>2022</w:t>
            </w:r>
          </w:p>
        </w:tc>
      </w:tr>
    </w:tbl>
    <w:p w:rsidR="00C31389" w:rsidRDefault="00C31389" w14:paraId="7C7B7D42" w14:textId="77777777">
      <w:pPr>
        <w:jc w:val="right"/>
        <w:rPr>
          <w:sz w:val="20"/>
        </w:rPr>
        <w:sectPr w:rsidR="00C31389">
          <w:headerReference w:type="default" r:id="rId236"/>
          <w:footerReference w:type="default" r:id="rId237"/>
          <w:pgSz w:w="11910" w:h="16840"/>
          <w:pgMar w:top="1380" w:right="1020" w:bottom="1120" w:left="960" w:header="397" w:footer="938" w:gutter="0"/>
          <w:cols w:space="720"/>
        </w:sectPr>
      </w:pPr>
    </w:p>
    <w:p w:rsidR="00C31389" w:rsidRDefault="00C31389" w14:paraId="288157D2" w14:textId="77777777">
      <w:pPr>
        <w:pStyle w:val="BodyText"/>
        <w:spacing w:before="6" w:after="1"/>
        <w:rPr>
          <w:b/>
          <w:sz w:val="21"/>
        </w:rPr>
      </w:pPr>
    </w:p>
    <w:tbl>
      <w:tblPr>
        <w:tblW w:w="0" w:type="auto"/>
        <w:tblInd w:w="480" w:type="dxa"/>
        <w:tblLayout w:type="fixed"/>
        <w:tblCellMar>
          <w:left w:w="0" w:type="dxa"/>
          <w:right w:w="0" w:type="dxa"/>
        </w:tblCellMar>
        <w:tblLook w:val="01E0" w:firstRow="1" w:lastRow="1" w:firstColumn="1" w:lastColumn="1" w:noHBand="0" w:noVBand="0"/>
      </w:tblPr>
      <w:tblGrid>
        <w:gridCol w:w="779"/>
        <w:gridCol w:w="3364"/>
        <w:gridCol w:w="2165"/>
        <w:gridCol w:w="1408"/>
        <w:gridCol w:w="1316"/>
      </w:tblGrid>
      <w:tr w:rsidR="00C31389" w14:paraId="7DF7CAA6" w14:textId="77777777">
        <w:trPr>
          <w:trHeight w:val="500"/>
        </w:trPr>
        <w:tc>
          <w:tcPr>
            <w:tcW w:w="779" w:type="dxa"/>
            <w:tcBorders>
              <w:bottom w:val="single" w:color="B6B6B6" w:sz="4" w:space="0"/>
            </w:tcBorders>
            <w:shd w:val="clear" w:color="auto" w:fill="92D400"/>
          </w:tcPr>
          <w:p w:rsidR="00C31389" w:rsidRDefault="00561FBD" w14:paraId="0512DD19" w14:textId="77777777">
            <w:pPr>
              <w:pStyle w:val="TableParagraph"/>
              <w:spacing w:before="20" w:line="230" w:lineRule="atLeast"/>
              <w:ind w:left="115"/>
              <w:rPr>
                <w:b/>
                <w:sz w:val="20"/>
              </w:rPr>
            </w:pPr>
            <w:r>
              <w:rPr>
                <w:b/>
                <w:spacing w:val="-4"/>
                <w:sz w:val="20"/>
              </w:rPr>
              <w:t>Study No.</w:t>
            </w:r>
          </w:p>
        </w:tc>
        <w:tc>
          <w:tcPr>
            <w:tcW w:w="3364" w:type="dxa"/>
            <w:tcBorders>
              <w:bottom w:val="single" w:color="B6B6B6" w:sz="4" w:space="0"/>
            </w:tcBorders>
            <w:shd w:val="clear" w:color="auto" w:fill="92D400"/>
          </w:tcPr>
          <w:p w:rsidR="00C31389" w:rsidRDefault="00561FBD" w14:paraId="3FB8B856" w14:textId="77777777">
            <w:pPr>
              <w:pStyle w:val="TableParagraph"/>
              <w:spacing w:before="135"/>
              <w:ind w:left="1462" w:right="1460"/>
              <w:jc w:val="center"/>
              <w:rPr>
                <w:b/>
                <w:sz w:val="20"/>
              </w:rPr>
            </w:pPr>
            <w:r>
              <w:rPr>
                <w:b/>
                <w:spacing w:val="-2"/>
                <w:sz w:val="20"/>
              </w:rPr>
              <w:t>Title</w:t>
            </w:r>
          </w:p>
        </w:tc>
        <w:tc>
          <w:tcPr>
            <w:tcW w:w="2165" w:type="dxa"/>
            <w:tcBorders>
              <w:bottom w:val="single" w:color="B6B6B6" w:sz="4" w:space="0"/>
            </w:tcBorders>
            <w:shd w:val="clear" w:color="auto" w:fill="92D400"/>
          </w:tcPr>
          <w:p w:rsidR="00C31389" w:rsidRDefault="00561FBD" w14:paraId="2C84942F" w14:textId="77777777">
            <w:pPr>
              <w:pStyle w:val="TableParagraph"/>
              <w:spacing w:before="20"/>
              <w:ind w:left="706" w:right="137" w:hanging="261"/>
              <w:rPr>
                <w:b/>
                <w:sz w:val="20"/>
              </w:rPr>
            </w:pPr>
            <w:r>
              <w:rPr>
                <w:b/>
                <w:sz w:val="20"/>
              </w:rPr>
              <w:t>Prepared</w:t>
            </w:r>
            <w:r>
              <w:rPr>
                <w:b/>
                <w:spacing w:val="-14"/>
                <w:sz w:val="20"/>
              </w:rPr>
              <w:t xml:space="preserve"> </w:t>
            </w:r>
            <w:r>
              <w:rPr>
                <w:b/>
                <w:sz w:val="20"/>
              </w:rPr>
              <w:t>By</w:t>
            </w:r>
            <w:r>
              <w:rPr>
                <w:b/>
                <w:spacing w:val="-14"/>
                <w:sz w:val="20"/>
              </w:rPr>
              <w:t xml:space="preserve"> </w:t>
            </w:r>
            <w:r>
              <w:rPr>
                <w:b/>
                <w:sz w:val="20"/>
              </w:rPr>
              <w:t xml:space="preserve">/ </w:t>
            </w:r>
            <w:r>
              <w:rPr>
                <w:b/>
                <w:spacing w:val="-2"/>
                <w:sz w:val="20"/>
              </w:rPr>
              <w:t>Authors</w:t>
            </w:r>
          </w:p>
        </w:tc>
        <w:tc>
          <w:tcPr>
            <w:tcW w:w="1408" w:type="dxa"/>
            <w:tcBorders>
              <w:bottom w:val="single" w:color="B6B6B6" w:sz="4" w:space="0"/>
            </w:tcBorders>
            <w:shd w:val="clear" w:color="auto" w:fill="92D400"/>
          </w:tcPr>
          <w:p w:rsidR="00C31389" w:rsidRDefault="00561FBD" w14:paraId="753599DA" w14:textId="77777777">
            <w:pPr>
              <w:pStyle w:val="TableParagraph"/>
              <w:spacing w:before="135"/>
              <w:ind w:left="266"/>
              <w:rPr>
                <w:b/>
                <w:sz w:val="20"/>
              </w:rPr>
            </w:pPr>
            <w:r>
              <w:rPr>
                <w:b/>
                <w:spacing w:val="-2"/>
                <w:sz w:val="20"/>
              </w:rPr>
              <w:t>Publisher</w:t>
            </w:r>
          </w:p>
        </w:tc>
        <w:tc>
          <w:tcPr>
            <w:tcW w:w="1316" w:type="dxa"/>
            <w:tcBorders>
              <w:bottom w:val="single" w:color="B6B6B6" w:sz="4" w:space="0"/>
            </w:tcBorders>
            <w:shd w:val="clear" w:color="auto" w:fill="92D400"/>
          </w:tcPr>
          <w:p w:rsidR="00C31389" w:rsidRDefault="00561FBD" w14:paraId="245C24AD" w14:textId="77777777">
            <w:pPr>
              <w:pStyle w:val="TableParagraph"/>
              <w:spacing w:before="20"/>
              <w:ind w:left="452" w:hanging="322"/>
              <w:rPr>
                <w:b/>
                <w:sz w:val="20"/>
              </w:rPr>
            </w:pPr>
            <w:r>
              <w:rPr>
                <w:b/>
                <w:spacing w:val="-2"/>
                <w:sz w:val="20"/>
              </w:rPr>
              <w:t xml:space="preserve">Publication </w:t>
            </w:r>
            <w:r>
              <w:rPr>
                <w:b/>
                <w:spacing w:val="-4"/>
                <w:sz w:val="20"/>
              </w:rPr>
              <w:t>Date</w:t>
            </w:r>
          </w:p>
        </w:tc>
      </w:tr>
      <w:tr w:rsidR="00C31389" w14:paraId="54CDC261" w14:textId="77777777">
        <w:trPr>
          <w:trHeight w:val="500"/>
        </w:trPr>
        <w:tc>
          <w:tcPr>
            <w:tcW w:w="779" w:type="dxa"/>
            <w:tcBorders>
              <w:top w:val="single" w:color="B6B6B6" w:sz="4" w:space="0"/>
              <w:bottom w:val="single" w:color="B6B6B6" w:sz="4" w:space="0"/>
            </w:tcBorders>
          </w:tcPr>
          <w:p w:rsidR="00C31389" w:rsidRDefault="00C31389" w14:paraId="26263F49" w14:textId="77777777">
            <w:pPr>
              <w:pStyle w:val="TableParagraph"/>
              <w:spacing w:before="0"/>
              <w:rPr>
                <w:rFonts w:ascii="Times New Roman"/>
                <w:sz w:val="20"/>
              </w:rPr>
            </w:pPr>
          </w:p>
        </w:tc>
        <w:tc>
          <w:tcPr>
            <w:tcW w:w="3364" w:type="dxa"/>
            <w:tcBorders>
              <w:top w:val="single" w:color="B6B6B6" w:sz="4" w:space="0"/>
              <w:bottom w:val="single" w:color="B6B6B6" w:sz="4" w:space="0"/>
            </w:tcBorders>
          </w:tcPr>
          <w:p w:rsidR="00C31389" w:rsidRDefault="00561FBD" w14:paraId="2456AC76" w14:textId="77777777">
            <w:pPr>
              <w:pStyle w:val="TableParagraph"/>
              <w:spacing w:before="0"/>
              <w:ind w:left="107" w:right="119"/>
              <w:rPr>
                <w:sz w:val="20"/>
              </w:rPr>
            </w:pPr>
            <w:r>
              <w:rPr>
                <w:sz w:val="20"/>
              </w:rPr>
              <w:t>Code</w:t>
            </w:r>
            <w:r>
              <w:rPr>
                <w:spacing w:val="-10"/>
                <w:sz w:val="20"/>
              </w:rPr>
              <w:t xml:space="preserve"> </w:t>
            </w:r>
            <w:r>
              <w:rPr>
                <w:sz w:val="20"/>
              </w:rPr>
              <w:t>Requirement</w:t>
            </w:r>
            <w:r>
              <w:rPr>
                <w:spacing w:val="-10"/>
                <w:sz w:val="20"/>
              </w:rPr>
              <w:t xml:space="preserve"> </w:t>
            </w:r>
            <w:r>
              <w:rPr>
                <w:sz w:val="20"/>
              </w:rPr>
              <w:t>for</w:t>
            </w:r>
            <w:r>
              <w:rPr>
                <w:spacing w:val="-9"/>
                <w:sz w:val="20"/>
              </w:rPr>
              <w:t xml:space="preserve"> </w:t>
            </w:r>
            <w:r>
              <w:rPr>
                <w:sz w:val="20"/>
              </w:rPr>
              <w:t>New</w:t>
            </w:r>
            <w:r>
              <w:rPr>
                <w:spacing w:val="-9"/>
                <w:sz w:val="20"/>
              </w:rPr>
              <w:t xml:space="preserve"> </w:t>
            </w:r>
            <w:r>
              <w:rPr>
                <w:sz w:val="20"/>
              </w:rPr>
              <w:t>Food Service Kitchens in California</w:t>
            </w:r>
          </w:p>
        </w:tc>
        <w:tc>
          <w:tcPr>
            <w:tcW w:w="2165" w:type="dxa"/>
            <w:tcBorders>
              <w:top w:val="single" w:color="B6B6B6" w:sz="4" w:space="0"/>
              <w:bottom w:val="single" w:color="B6B6B6" w:sz="4" w:space="0"/>
            </w:tcBorders>
          </w:tcPr>
          <w:p w:rsidR="00C31389" w:rsidRDefault="00C31389" w14:paraId="2C22F5A6" w14:textId="77777777">
            <w:pPr>
              <w:pStyle w:val="TableParagraph"/>
              <w:spacing w:before="0"/>
              <w:rPr>
                <w:rFonts w:ascii="Times New Roman"/>
                <w:sz w:val="20"/>
              </w:rPr>
            </w:pPr>
          </w:p>
        </w:tc>
        <w:tc>
          <w:tcPr>
            <w:tcW w:w="1408" w:type="dxa"/>
            <w:tcBorders>
              <w:top w:val="single" w:color="B6B6B6" w:sz="4" w:space="0"/>
              <w:bottom w:val="single" w:color="B6B6B6" w:sz="4" w:space="0"/>
            </w:tcBorders>
          </w:tcPr>
          <w:p w:rsidR="00C31389" w:rsidRDefault="00C31389" w14:paraId="54369F6B" w14:textId="77777777">
            <w:pPr>
              <w:pStyle w:val="TableParagraph"/>
              <w:spacing w:before="0"/>
              <w:rPr>
                <w:rFonts w:ascii="Times New Roman"/>
                <w:sz w:val="20"/>
              </w:rPr>
            </w:pPr>
          </w:p>
        </w:tc>
        <w:tc>
          <w:tcPr>
            <w:tcW w:w="1316" w:type="dxa"/>
            <w:tcBorders>
              <w:top w:val="single" w:color="B6B6B6" w:sz="4" w:space="0"/>
              <w:bottom w:val="single" w:color="B6B6B6" w:sz="4" w:space="0"/>
            </w:tcBorders>
          </w:tcPr>
          <w:p w:rsidR="00C31389" w:rsidRDefault="00C31389" w14:paraId="4E8EBBF7" w14:textId="77777777">
            <w:pPr>
              <w:pStyle w:val="TableParagraph"/>
              <w:spacing w:before="0"/>
              <w:rPr>
                <w:rFonts w:ascii="Times New Roman"/>
                <w:sz w:val="20"/>
              </w:rPr>
            </w:pPr>
          </w:p>
        </w:tc>
      </w:tr>
      <w:tr w:rsidR="00C31389" w14:paraId="4AB32CCF" w14:textId="77777777">
        <w:trPr>
          <w:trHeight w:val="999"/>
        </w:trPr>
        <w:tc>
          <w:tcPr>
            <w:tcW w:w="779" w:type="dxa"/>
            <w:tcBorders>
              <w:top w:val="single" w:color="B6B6B6" w:sz="4" w:space="0"/>
              <w:bottom w:val="single" w:color="B6B6B6" w:sz="4" w:space="0"/>
            </w:tcBorders>
          </w:tcPr>
          <w:p w:rsidR="00C31389" w:rsidRDefault="00C31389" w14:paraId="74A6E04C" w14:textId="77777777">
            <w:pPr>
              <w:pStyle w:val="TableParagraph"/>
              <w:spacing w:before="0"/>
              <w:rPr>
                <w:b/>
              </w:rPr>
            </w:pPr>
          </w:p>
          <w:p w:rsidR="00C31389" w:rsidRDefault="00561FBD" w14:paraId="40F7B460" w14:textId="77777777">
            <w:pPr>
              <w:pStyle w:val="TableParagraph"/>
              <w:spacing w:before="131"/>
              <w:ind w:left="115"/>
              <w:rPr>
                <w:sz w:val="20"/>
              </w:rPr>
            </w:pPr>
            <w:r>
              <w:rPr>
                <w:sz w:val="20"/>
              </w:rPr>
              <w:t>6</w:t>
            </w:r>
          </w:p>
        </w:tc>
        <w:tc>
          <w:tcPr>
            <w:tcW w:w="3364" w:type="dxa"/>
            <w:tcBorders>
              <w:top w:val="single" w:color="B6B6B6" w:sz="4" w:space="0"/>
              <w:bottom w:val="single" w:color="B6B6B6" w:sz="4" w:space="0"/>
            </w:tcBorders>
          </w:tcPr>
          <w:p w:rsidR="00C31389" w:rsidRDefault="00561FBD" w14:paraId="79CFAEF2" w14:textId="77777777">
            <w:pPr>
              <w:pStyle w:val="TableParagraph"/>
              <w:ind w:left="107" w:right="119"/>
              <w:rPr>
                <w:sz w:val="20"/>
              </w:rPr>
            </w:pPr>
            <w:r>
              <w:rPr>
                <w:sz w:val="20"/>
              </w:rPr>
              <w:t>Costs</w:t>
            </w:r>
            <w:r>
              <w:rPr>
                <w:spacing w:val="-6"/>
                <w:sz w:val="20"/>
              </w:rPr>
              <w:t xml:space="preserve"> </w:t>
            </w:r>
            <w:r>
              <w:rPr>
                <w:sz w:val="20"/>
              </w:rPr>
              <w:t>and</w:t>
            </w:r>
            <w:r>
              <w:rPr>
                <w:spacing w:val="-7"/>
                <w:sz w:val="20"/>
              </w:rPr>
              <w:t xml:space="preserve"> </w:t>
            </w:r>
            <w:r>
              <w:rPr>
                <w:sz w:val="20"/>
              </w:rPr>
              <w:t>Benefits</w:t>
            </w:r>
            <w:r>
              <w:rPr>
                <w:spacing w:val="-6"/>
                <w:sz w:val="20"/>
              </w:rPr>
              <w:t xml:space="preserve"> </w:t>
            </w:r>
            <w:r>
              <w:rPr>
                <w:sz w:val="20"/>
              </w:rPr>
              <w:t>of</w:t>
            </w:r>
            <w:r>
              <w:rPr>
                <w:spacing w:val="-7"/>
                <w:sz w:val="20"/>
              </w:rPr>
              <w:t xml:space="preserve"> </w:t>
            </w:r>
            <w:r>
              <w:rPr>
                <w:sz w:val="20"/>
              </w:rPr>
              <w:t>a</w:t>
            </w:r>
            <w:r>
              <w:rPr>
                <w:spacing w:val="-7"/>
                <w:sz w:val="20"/>
              </w:rPr>
              <w:t xml:space="preserve"> </w:t>
            </w:r>
            <w:r>
              <w:rPr>
                <w:sz w:val="20"/>
              </w:rPr>
              <w:t>2022</w:t>
            </w:r>
            <w:r>
              <w:rPr>
                <w:spacing w:val="-7"/>
                <w:sz w:val="20"/>
              </w:rPr>
              <w:t xml:space="preserve"> </w:t>
            </w:r>
            <w:r>
              <w:rPr>
                <w:sz w:val="20"/>
              </w:rPr>
              <w:t xml:space="preserve">Zero </w:t>
            </w:r>
            <w:r>
              <w:rPr>
                <w:sz w:val="20"/>
              </w:rPr>
              <w:t>Emissions Cooking Technology Code Requirement for New Housing in California</w:t>
            </w:r>
          </w:p>
        </w:tc>
        <w:tc>
          <w:tcPr>
            <w:tcW w:w="2165" w:type="dxa"/>
            <w:tcBorders>
              <w:top w:val="single" w:color="B6B6B6" w:sz="4" w:space="0"/>
              <w:bottom w:val="single" w:color="B6B6B6" w:sz="4" w:space="0"/>
            </w:tcBorders>
          </w:tcPr>
          <w:p w:rsidR="00C31389" w:rsidRDefault="00C31389" w14:paraId="2F778595" w14:textId="77777777">
            <w:pPr>
              <w:pStyle w:val="TableParagraph"/>
              <w:spacing w:before="6"/>
              <w:rPr>
                <w:b/>
                <w:sz w:val="23"/>
              </w:rPr>
            </w:pPr>
          </w:p>
          <w:p w:rsidR="00C31389" w:rsidRDefault="00561FBD" w14:paraId="174C6EC9" w14:textId="77777777">
            <w:pPr>
              <w:pStyle w:val="TableParagraph"/>
              <w:spacing w:before="0"/>
              <w:ind w:left="109" w:right="137"/>
              <w:rPr>
                <w:sz w:val="20"/>
              </w:rPr>
            </w:pPr>
            <w:r>
              <w:rPr>
                <w:sz w:val="20"/>
              </w:rPr>
              <w:t>Evergreen Energy and</w:t>
            </w:r>
            <w:r>
              <w:rPr>
                <w:spacing w:val="-14"/>
                <w:sz w:val="20"/>
              </w:rPr>
              <w:t xml:space="preserve"> </w:t>
            </w:r>
            <w:r>
              <w:rPr>
                <w:sz w:val="20"/>
              </w:rPr>
              <w:t>Synergy</w:t>
            </w:r>
            <w:r>
              <w:rPr>
                <w:spacing w:val="-14"/>
                <w:sz w:val="20"/>
              </w:rPr>
              <w:t xml:space="preserve"> </w:t>
            </w:r>
            <w:r>
              <w:rPr>
                <w:sz w:val="20"/>
              </w:rPr>
              <w:t>Energy</w:t>
            </w:r>
          </w:p>
        </w:tc>
        <w:tc>
          <w:tcPr>
            <w:tcW w:w="1408" w:type="dxa"/>
            <w:tcBorders>
              <w:top w:val="single" w:color="B6B6B6" w:sz="4" w:space="0"/>
              <w:bottom w:val="single" w:color="B6B6B6" w:sz="4" w:space="0"/>
            </w:tcBorders>
          </w:tcPr>
          <w:p w:rsidR="00C31389" w:rsidRDefault="00C31389" w14:paraId="6A42DDB3" w14:textId="77777777">
            <w:pPr>
              <w:pStyle w:val="TableParagraph"/>
              <w:spacing w:before="0"/>
              <w:rPr>
                <w:b/>
              </w:rPr>
            </w:pPr>
          </w:p>
          <w:p w:rsidR="00C31389" w:rsidRDefault="00561FBD" w14:paraId="223FFD36" w14:textId="77777777">
            <w:pPr>
              <w:pStyle w:val="TableParagraph"/>
              <w:spacing w:before="132"/>
              <w:ind w:left="121"/>
              <w:rPr>
                <w:sz w:val="20"/>
              </w:rPr>
            </w:pPr>
            <w:r>
              <w:rPr>
                <w:spacing w:val="-4"/>
                <w:sz w:val="20"/>
              </w:rPr>
              <w:t>PG&amp;E</w:t>
            </w:r>
          </w:p>
        </w:tc>
        <w:tc>
          <w:tcPr>
            <w:tcW w:w="1316" w:type="dxa"/>
            <w:tcBorders>
              <w:top w:val="single" w:color="B6B6B6" w:sz="4" w:space="0"/>
              <w:bottom w:val="single" w:color="B6B6B6" w:sz="4" w:space="0"/>
            </w:tcBorders>
          </w:tcPr>
          <w:p w:rsidR="00C31389" w:rsidRDefault="00C31389" w14:paraId="0BE1CAA6" w14:textId="77777777">
            <w:pPr>
              <w:pStyle w:val="TableParagraph"/>
              <w:spacing w:before="0"/>
              <w:rPr>
                <w:b/>
              </w:rPr>
            </w:pPr>
          </w:p>
          <w:p w:rsidR="00C31389" w:rsidRDefault="00561FBD" w14:paraId="70280776" w14:textId="77777777">
            <w:pPr>
              <w:pStyle w:val="TableParagraph"/>
              <w:spacing w:before="132"/>
              <w:ind w:right="421"/>
              <w:jc w:val="right"/>
              <w:rPr>
                <w:sz w:val="20"/>
              </w:rPr>
            </w:pPr>
            <w:r>
              <w:rPr>
                <w:spacing w:val="-4"/>
                <w:sz w:val="20"/>
              </w:rPr>
              <w:t>2022</w:t>
            </w:r>
          </w:p>
        </w:tc>
      </w:tr>
      <w:tr w:rsidR="00C31389" w14:paraId="262C4116" w14:textId="77777777">
        <w:trPr>
          <w:trHeight w:val="770"/>
        </w:trPr>
        <w:tc>
          <w:tcPr>
            <w:tcW w:w="779" w:type="dxa"/>
            <w:tcBorders>
              <w:top w:val="single" w:color="B6B6B6" w:sz="4" w:space="0"/>
              <w:bottom w:val="single" w:color="B6B6B6" w:sz="4" w:space="0"/>
            </w:tcBorders>
          </w:tcPr>
          <w:p w:rsidR="00C31389" w:rsidRDefault="00C31389" w14:paraId="56CACD40" w14:textId="77777777">
            <w:pPr>
              <w:pStyle w:val="TableParagraph"/>
              <w:spacing w:before="6"/>
              <w:rPr>
                <w:b/>
                <w:sz w:val="23"/>
              </w:rPr>
            </w:pPr>
          </w:p>
          <w:p w:rsidR="00C31389" w:rsidRDefault="00561FBD" w14:paraId="3D30F81A" w14:textId="77777777">
            <w:pPr>
              <w:pStyle w:val="TableParagraph"/>
              <w:spacing w:before="0"/>
              <w:ind w:left="115"/>
              <w:rPr>
                <w:sz w:val="20"/>
              </w:rPr>
            </w:pPr>
            <w:r>
              <w:rPr>
                <w:sz w:val="20"/>
              </w:rPr>
              <w:t>7</w:t>
            </w:r>
          </w:p>
        </w:tc>
        <w:tc>
          <w:tcPr>
            <w:tcW w:w="3364" w:type="dxa"/>
            <w:tcBorders>
              <w:top w:val="single" w:color="B6B6B6" w:sz="4" w:space="0"/>
              <w:bottom w:val="single" w:color="B6B6B6" w:sz="4" w:space="0"/>
            </w:tcBorders>
          </w:tcPr>
          <w:p w:rsidR="00C31389" w:rsidRDefault="00561FBD" w14:paraId="1AAACDD9" w14:textId="77777777">
            <w:pPr>
              <w:pStyle w:val="TableParagraph"/>
              <w:ind w:left="107"/>
              <w:rPr>
                <w:sz w:val="20"/>
              </w:rPr>
            </w:pPr>
            <w:r>
              <w:rPr>
                <w:sz w:val="20"/>
              </w:rPr>
              <w:t>Cost</w:t>
            </w:r>
            <w:r>
              <w:rPr>
                <w:spacing w:val="-2"/>
                <w:sz w:val="20"/>
              </w:rPr>
              <w:t xml:space="preserve"> </w:t>
            </w:r>
            <w:r>
              <w:rPr>
                <w:sz w:val="20"/>
              </w:rPr>
              <w:t>of</w:t>
            </w:r>
            <w:r>
              <w:rPr>
                <w:spacing w:val="-2"/>
                <w:sz w:val="20"/>
              </w:rPr>
              <w:t xml:space="preserve"> Conversion</w:t>
            </w:r>
          </w:p>
          <w:p w:rsidR="00C31389" w:rsidRDefault="00561FBD" w14:paraId="25A7AD7D" w14:textId="77777777">
            <w:pPr>
              <w:pStyle w:val="TableParagraph"/>
              <w:spacing w:before="0"/>
              <w:ind w:left="107" w:right="119"/>
              <w:rPr>
                <w:sz w:val="20"/>
              </w:rPr>
            </w:pPr>
            <w:r>
              <w:rPr>
                <w:sz w:val="20"/>
              </w:rPr>
              <w:t>Case Study of Electric Home Energy</w:t>
            </w:r>
            <w:r>
              <w:rPr>
                <w:spacing w:val="-12"/>
                <w:sz w:val="20"/>
              </w:rPr>
              <w:t xml:space="preserve"> </w:t>
            </w:r>
            <w:r>
              <w:rPr>
                <w:sz w:val="20"/>
              </w:rPr>
              <w:t>Retrofits</w:t>
            </w:r>
            <w:r>
              <w:rPr>
                <w:spacing w:val="-12"/>
                <w:sz w:val="20"/>
              </w:rPr>
              <w:t xml:space="preserve"> </w:t>
            </w:r>
            <w:r>
              <w:rPr>
                <w:sz w:val="20"/>
              </w:rPr>
              <w:t>in</w:t>
            </w:r>
            <w:r>
              <w:rPr>
                <w:spacing w:val="-13"/>
                <w:sz w:val="20"/>
              </w:rPr>
              <w:t xml:space="preserve"> </w:t>
            </w:r>
            <w:r>
              <w:rPr>
                <w:sz w:val="20"/>
              </w:rPr>
              <w:t>Sacramento</w:t>
            </w:r>
          </w:p>
        </w:tc>
        <w:tc>
          <w:tcPr>
            <w:tcW w:w="2165" w:type="dxa"/>
            <w:tcBorders>
              <w:top w:val="single" w:color="B6B6B6" w:sz="4" w:space="0"/>
              <w:bottom w:val="single" w:color="B6B6B6" w:sz="4" w:space="0"/>
            </w:tcBorders>
          </w:tcPr>
          <w:p w:rsidR="00C31389" w:rsidRDefault="00561FBD" w14:paraId="2CB75BF8" w14:textId="77777777">
            <w:pPr>
              <w:pStyle w:val="TableParagraph"/>
              <w:ind w:left="109" w:right="137"/>
              <w:rPr>
                <w:sz w:val="20"/>
              </w:rPr>
            </w:pPr>
            <w:r>
              <w:rPr>
                <w:spacing w:val="-2"/>
                <w:sz w:val="20"/>
              </w:rPr>
              <w:t xml:space="preserve">Integrated Communications </w:t>
            </w:r>
            <w:r>
              <w:rPr>
                <w:sz w:val="20"/>
              </w:rPr>
              <w:t>Strategies, LLC</w:t>
            </w:r>
          </w:p>
        </w:tc>
        <w:tc>
          <w:tcPr>
            <w:tcW w:w="1408" w:type="dxa"/>
            <w:tcBorders>
              <w:top w:val="single" w:color="B6B6B6" w:sz="4" w:space="0"/>
              <w:bottom w:val="single" w:color="B6B6B6" w:sz="4" w:space="0"/>
            </w:tcBorders>
          </w:tcPr>
          <w:p w:rsidR="00C31389" w:rsidRDefault="00C31389" w14:paraId="114FFE7B" w14:textId="77777777">
            <w:pPr>
              <w:pStyle w:val="TableParagraph"/>
              <w:spacing w:before="6"/>
              <w:rPr>
                <w:b/>
                <w:sz w:val="23"/>
              </w:rPr>
            </w:pPr>
          </w:p>
          <w:p w:rsidR="00C31389" w:rsidRDefault="00561FBD" w14:paraId="44E26FCD" w14:textId="77777777">
            <w:pPr>
              <w:pStyle w:val="TableParagraph"/>
              <w:spacing w:before="0"/>
              <w:ind w:left="121"/>
              <w:rPr>
                <w:sz w:val="20"/>
              </w:rPr>
            </w:pPr>
            <w:r>
              <w:rPr>
                <w:spacing w:val="-5"/>
                <w:sz w:val="20"/>
              </w:rPr>
              <w:t>N/A</w:t>
            </w:r>
          </w:p>
        </w:tc>
        <w:tc>
          <w:tcPr>
            <w:tcW w:w="1316" w:type="dxa"/>
            <w:tcBorders>
              <w:top w:val="single" w:color="B6B6B6" w:sz="4" w:space="0"/>
              <w:bottom w:val="single" w:color="B6B6B6" w:sz="4" w:space="0"/>
            </w:tcBorders>
          </w:tcPr>
          <w:p w:rsidR="00C31389" w:rsidRDefault="00C31389" w14:paraId="3DE7F160" w14:textId="77777777">
            <w:pPr>
              <w:pStyle w:val="TableParagraph"/>
              <w:spacing w:before="6"/>
              <w:rPr>
                <w:b/>
                <w:sz w:val="23"/>
              </w:rPr>
            </w:pPr>
          </w:p>
          <w:p w:rsidR="00C31389" w:rsidRDefault="00561FBD" w14:paraId="0623CAEB" w14:textId="77777777">
            <w:pPr>
              <w:pStyle w:val="TableParagraph"/>
              <w:spacing w:before="0"/>
              <w:ind w:right="421"/>
              <w:jc w:val="right"/>
              <w:rPr>
                <w:sz w:val="20"/>
              </w:rPr>
            </w:pPr>
            <w:r>
              <w:rPr>
                <w:spacing w:val="-4"/>
                <w:sz w:val="20"/>
              </w:rPr>
              <w:t>2022</w:t>
            </w:r>
          </w:p>
        </w:tc>
      </w:tr>
      <w:tr w:rsidR="00C31389" w14:paraId="19DAB3FD" w14:textId="77777777">
        <w:trPr>
          <w:trHeight w:val="2380"/>
        </w:trPr>
        <w:tc>
          <w:tcPr>
            <w:tcW w:w="779" w:type="dxa"/>
            <w:tcBorders>
              <w:top w:val="single" w:color="B6B6B6" w:sz="4" w:space="0"/>
              <w:bottom w:val="single" w:color="B6B6B6" w:sz="4" w:space="0"/>
            </w:tcBorders>
          </w:tcPr>
          <w:p w:rsidR="00C31389" w:rsidRDefault="00C31389" w14:paraId="0AC9A6D0" w14:textId="77777777">
            <w:pPr>
              <w:pStyle w:val="TableParagraph"/>
              <w:spacing w:before="0"/>
              <w:rPr>
                <w:b/>
              </w:rPr>
            </w:pPr>
          </w:p>
          <w:p w:rsidR="00C31389" w:rsidRDefault="00C31389" w14:paraId="7511276A" w14:textId="77777777">
            <w:pPr>
              <w:pStyle w:val="TableParagraph"/>
              <w:spacing w:before="0"/>
              <w:rPr>
                <w:b/>
              </w:rPr>
            </w:pPr>
          </w:p>
          <w:p w:rsidR="00C31389" w:rsidRDefault="00C31389" w14:paraId="2E221401" w14:textId="77777777">
            <w:pPr>
              <w:pStyle w:val="TableParagraph"/>
              <w:spacing w:before="0"/>
              <w:rPr>
                <w:b/>
              </w:rPr>
            </w:pPr>
          </w:p>
          <w:p w:rsidR="00C31389" w:rsidRDefault="00C31389" w14:paraId="6C664600" w14:textId="77777777">
            <w:pPr>
              <w:pStyle w:val="TableParagraph"/>
              <w:spacing w:before="6"/>
              <w:rPr>
                <w:b/>
                <w:sz w:val="27"/>
              </w:rPr>
            </w:pPr>
          </w:p>
          <w:p w:rsidR="00C31389" w:rsidRDefault="00561FBD" w14:paraId="2A984D76" w14:textId="77777777">
            <w:pPr>
              <w:pStyle w:val="TableParagraph"/>
              <w:spacing w:before="0"/>
              <w:ind w:left="115"/>
              <w:rPr>
                <w:sz w:val="20"/>
              </w:rPr>
            </w:pPr>
            <w:r>
              <w:rPr>
                <w:sz w:val="20"/>
              </w:rPr>
              <w:t>8</w:t>
            </w:r>
          </w:p>
        </w:tc>
        <w:tc>
          <w:tcPr>
            <w:tcW w:w="3364" w:type="dxa"/>
            <w:tcBorders>
              <w:top w:val="single" w:color="B6B6B6" w:sz="4" w:space="0"/>
              <w:bottom w:val="single" w:color="B6B6B6" w:sz="4" w:space="0"/>
            </w:tcBorders>
          </w:tcPr>
          <w:p w:rsidR="00C31389" w:rsidRDefault="00C31389" w14:paraId="2FE06B3B" w14:textId="77777777">
            <w:pPr>
              <w:pStyle w:val="TableParagraph"/>
              <w:spacing w:before="0"/>
              <w:rPr>
                <w:b/>
              </w:rPr>
            </w:pPr>
          </w:p>
          <w:p w:rsidR="00C31389" w:rsidRDefault="00C31389" w14:paraId="4F7E7539" w14:textId="77777777">
            <w:pPr>
              <w:pStyle w:val="TableParagraph"/>
              <w:spacing w:before="0"/>
              <w:rPr>
                <w:b/>
              </w:rPr>
            </w:pPr>
          </w:p>
          <w:p w:rsidR="00C31389" w:rsidRDefault="00C31389" w14:paraId="4163EDCA" w14:textId="77777777">
            <w:pPr>
              <w:pStyle w:val="TableParagraph"/>
              <w:spacing w:before="5"/>
              <w:rPr>
                <w:b/>
                <w:sz w:val="19"/>
              </w:rPr>
            </w:pPr>
          </w:p>
          <w:p w:rsidR="00C31389" w:rsidRDefault="00561FBD" w14:paraId="31A62F4E" w14:textId="77777777">
            <w:pPr>
              <w:pStyle w:val="TableParagraph"/>
              <w:spacing w:before="0"/>
              <w:ind w:left="107" w:right="119"/>
              <w:rPr>
                <w:sz w:val="20"/>
              </w:rPr>
            </w:pPr>
            <w:r>
              <w:rPr>
                <w:sz w:val="20"/>
              </w:rPr>
              <w:t>Accelerating Electrification of California’s</w:t>
            </w:r>
            <w:r>
              <w:rPr>
                <w:spacing w:val="-14"/>
                <w:sz w:val="20"/>
              </w:rPr>
              <w:t xml:space="preserve"> </w:t>
            </w:r>
            <w:r>
              <w:rPr>
                <w:sz w:val="20"/>
              </w:rPr>
              <w:t>Multifamily</w:t>
            </w:r>
            <w:r>
              <w:rPr>
                <w:spacing w:val="-14"/>
                <w:sz w:val="20"/>
              </w:rPr>
              <w:t xml:space="preserve"> </w:t>
            </w:r>
            <w:r>
              <w:rPr>
                <w:sz w:val="20"/>
              </w:rPr>
              <w:t>Buildings Policy Considerations and Technical Guidelines</w:t>
            </w:r>
          </w:p>
        </w:tc>
        <w:tc>
          <w:tcPr>
            <w:tcW w:w="2165" w:type="dxa"/>
            <w:tcBorders>
              <w:top w:val="single" w:color="B6B6B6" w:sz="4" w:space="0"/>
              <w:bottom w:val="single" w:color="B6B6B6" w:sz="4" w:space="0"/>
            </w:tcBorders>
          </w:tcPr>
          <w:p w:rsidR="00C31389" w:rsidRDefault="00561FBD" w14:paraId="4F71A3C5" w14:textId="77777777">
            <w:pPr>
              <w:pStyle w:val="TableParagraph"/>
              <w:ind w:left="109" w:right="117"/>
              <w:rPr>
                <w:sz w:val="20"/>
              </w:rPr>
            </w:pPr>
            <w:r>
              <w:rPr>
                <w:sz w:val="20"/>
              </w:rPr>
              <w:t>The report was</w:t>
            </w:r>
            <w:r>
              <w:rPr>
                <w:spacing w:val="40"/>
                <w:sz w:val="20"/>
              </w:rPr>
              <w:t xml:space="preserve"> </w:t>
            </w:r>
            <w:r>
              <w:rPr>
                <w:sz w:val="20"/>
              </w:rPr>
              <w:t xml:space="preserve">written by Jack Aitchison, Nick Dirr and Aubrey Dority </w:t>
            </w:r>
            <w:r>
              <w:rPr>
                <w:sz w:val="20"/>
              </w:rPr>
              <w:t>(Association for Energy Affordability) and Ben Cooper (StopWaste).</w:t>
            </w:r>
            <w:r>
              <w:rPr>
                <w:spacing w:val="-14"/>
                <w:sz w:val="20"/>
              </w:rPr>
              <w:t xml:space="preserve"> </w:t>
            </w:r>
            <w:r>
              <w:rPr>
                <w:sz w:val="20"/>
              </w:rPr>
              <w:t>Heather Larson provided policy context.</w:t>
            </w:r>
          </w:p>
        </w:tc>
        <w:tc>
          <w:tcPr>
            <w:tcW w:w="1408" w:type="dxa"/>
            <w:tcBorders>
              <w:top w:val="single" w:color="B6B6B6" w:sz="4" w:space="0"/>
              <w:bottom w:val="single" w:color="B6B6B6" w:sz="4" w:space="0"/>
            </w:tcBorders>
          </w:tcPr>
          <w:p w:rsidR="00C31389" w:rsidRDefault="00C31389" w14:paraId="55A48DA3" w14:textId="77777777">
            <w:pPr>
              <w:pStyle w:val="TableParagraph"/>
              <w:spacing w:before="0"/>
              <w:rPr>
                <w:b/>
              </w:rPr>
            </w:pPr>
          </w:p>
          <w:p w:rsidR="00C31389" w:rsidRDefault="00C31389" w14:paraId="24DA9496" w14:textId="77777777">
            <w:pPr>
              <w:pStyle w:val="TableParagraph"/>
              <w:spacing w:before="0"/>
              <w:rPr>
                <w:b/>
              </w:rPr>
            </w:pPr>
          </w:p>
          <w:p w:rsidR="00C31389" w:rsidRDefault="00C31389" w14:paraId="70830752" w14:textId="77777777">
            <w:pPr>
              <w:pStyle w:val="TableParagraph"/>
              <w:spacing w:before="0"/>
              <w:rPr>
                <w:b/>
              </w:rPr>
            </w:pPr>
          </w:p>
          <w:p w:rsidR="00C31389" w:rsidRDefault="00C31389" w14:paraId="6DBCC3E8" w14:textId="77777777">
            <w:pPr>
              <w:pStyle w:val="TableParagraph"/>
              <w:spacing w:before="7"/>
              <w:rPr>
                <w:b/>
                <w:sz w:val="27"/>
              </w:rPr>
            </w:pPr>
          </w:p>
          <w:p w:rsidR="00C31389" w:rsidRDefault="00561FBD" w14:paraId="7DB48381" w14:textId="77777777">
            <w:pPr>
              <w:pStyle w:val="TableParagraph"/>
              <w:spacing w:before="0"/>
              <w:ind w:left="121"/>
              <w:rPr>
                <w:sz w:val="20"/>
              </w:rPr>
            </w:pPr>
            <w:r>
              <w:rPr>
                <w:spacing w:val="-2"/>
                <w:sz w:val="20"/>
              </w:rPr>
              <w:t>Stopwaste</w:t>
            </w:r>
          </w:p>
        </w:tc>
        <w:tc>
          <w:tcPr>
            <w:tcW w:w="1316" w:type="dxa"/>
            <w:tcBorders>
              <w:top w:val="single" w:color="B6B6B6" w:sz="4" w:space="0"/>
              <w:bottom w:val="single" w:color="B6B6B6" w:sz="4" w:space="0"/>
            </w:tcBorders>
          </w:tcPr>
          <w:p w:rsidR="00C31389" w:rsidRDefault="00C31389" w14:paraId="1125DF2E" w14:textId="77777777">
            <w:pPr>
              <w:pStyle w:val="TableParagraph"/>
              <w:spacing w:before="0"/>
              <w:rPr>
                <w:b/>
              </w:rPr>
            </w:pPr>
          </w:p>
          <w:p w:rsidR="00C31389" w:rsidRDefault="00C31389" w14:paraId="74EFB02A" w14:textId="77777777">
            <w:pPr>
              <w:pStyle w:val="TableParagraph"/>
              <w:spacing w:before="0"/>
              <w:rPr>
                <w:b/>
              </w:rPr>
            </w:pPr>
          </w:p>
          <w:p w:rsidR="00C31389" w:rsidRDefault="00C31389" w14:paraId="2A462DE6" w14:textId="77777777">
            <w:pPr>
              <w:pStyle w:val="TableParagraph"/>
              <w:spacing w:before="0"/>
              <w:rPr>
                <w:b/>
              </w:rPr>
            </w:pPr>
          </w:p>
          <w:p w:rsidR="00C31389" w:rsidRDefault="00C31389" w14:paraId="615BA718" w14:textId="77777777">
            <w:pPr>
              <w:pStyle w:val="TableParagraph"/>
              <w:spacing w:before="7"/>
              <w:rPr>
                <w:b/>
                <w:sz w:val="27"/>
              </w:rPr>
            </w:pPr>
          </w:p>
          <w:p w:rsidR="00C31389" w:rsidRDefault="00561FBD" w14:paraId="14263C0E" w14:textId="77777777">
            <w:pPr>
              <w:pStyle w:val="TableParagraph"/>
              <w:spacing w:before="0"/>
              <w:ind w:right="421"/>
              <w:jc w:val="right"/>
              <w:rPr>
                <w:sz w:val="20"/>
              </w:rPr>
            </w:pPr>
            <w:r>
              <w:rPr>
                <w:spacing w:val="-4"/>
                <w:sz w:val="20"/>
              </w:rPr>
              <w:t>2021</w:t>
            </w:r>
          </w:p>
        </w:tc>
      </w:tr>
      <w:tr w:rsidR="00C31389" w14:paraId="4BE7F70B" w14:textId="77777777">
        <w:trPr>
          <w:trHeight w:val="539"/>
        </w:trPr>
        <w:tc>
          <w:tcPr>
            <w:tcW w:w="779" w:type="dxa"/>
            <w:tcBorders>
              <w:top w:val="single" w:color="B6B6B6" w:sz="4" w:space="0"/>
              <w:bottom w:val="single" w:color="B6B6B6" w:sz="4" w:space="0"/>
            </w:tcBorders>
          </w:tcPr>
          <w:p w:rsidR="00C31389" w:rsidRDefault="00561FBD" w14:paraId="7637AEA6" w14:textId="77777777">
            <w:pPr>
              <w:pStyle w:val="TableParagraph"/>
              <w:spacing w:before="155"/>
              <w:ind w:left="115"/>
              <w:rPr>
                <w:sz w:val="20"/>
              </w:rPr>
            </w:pPr>
            <w:r>
              <w:rPr>
                <w:sz w:val="20"/>
              </w:rPr>
              <w:t>9</w:t>
            </w:r>
          </w:p>
        </w:tc>
        <w:tc>
          <w:tcPr>
            <w:tcW w:w="3364" w:type="dxa"/>
            <w:tcBorders>
              <w:top w:val="single" w:color="B6B6B6" w:sz="4" w:space="0"/>
              <w:bottom w:val="single" w:color="B6B6B6" w:sz="4" w:space="0"/>
            </w:tcBorders>
          </w:tcPr>
          <w:p w:rsidR="00C31389" w:rsidRDefault="00561FBD" w14:paraId="513409EB" w14:textId="77777777">
            <w:pPr>
              <w:pStyle w:val="TableParagraph"/>
              <w:ind w:left="107" w:right="119"/>
              <w:rPr>
                <w:sz w:val="20"/>
              </w:rPr>
            </w:pPr>
            <w:r>
              <w:rPr>
                <w:sz w:val="20"/>
              </w:rPr>
              <w:t>How</w:t>
            </w:r>
            <w:r>
              <w:rPr>
                <w:spacing w:val="-6"/>
                <w:sz w:val="20"/>
              </w:rPr>
              <w:t xml:space="preserve"> </w:t>
            </w:r>
            <w:r>
              <w:rPr>
                <w:sz w:val="20"/>
              </w:rPr>
              <w:t>Much</w:t>
            </w:r>
            <w:r>
              <w:rPr>
                <w:spacing w:val="-7"/>
                <w:sz w:val="20"/>
              </w:rPr>
              <w:t xml:space="preserve"> </w:t>
            </w:r>
            <w:r>
              <w:rPr>
                <w:sz w:val="20"/>
              </w:rPr>
              <w:t>Does</w:t>
            </w:r>
            <w:r>
              <w:rPr>
                <w:spacing w:val="-6"/>
                <w:sz w:val="20"/>
              </w:rPr>
              <w:t xml:space="preserve"> </w:t>
            </w:r>
            <w:r>
              <w:rPr>
                <w:sz w:val="20"/>
              </w:rPr>
              <w:t>It</w:t>
            </w:r>
            <w:r>
              <w:rPr>
                <w:spacing w:val="-7"/>
                <w:sz w:val="20"/>
              </w:rPr>
              <w:t xml:space="preserve"> </w:t>
            </w:r>
            <w:r>
              <w:rPr>
                <w:sz w:val="20"/>
              </w:rPr>
              <w:t>Cost</w:t>
            </w:r>
            <w:r>
              <w:rPr>
                <w:spacing w:val="-7"/>
                <w:sz w:val="20"/>
              </w:rPr>
              <w:t xml:space="preserve"> </w:t>
            </w:r>
            <w:r>
              <w:rPr>
                <w:sz w:val="20"/>
              </w:rPr>
              <w:t>to</w:t>
            </w:r>
            <w:r>
              <w:rPr>
                <w:spacing w:val="-7"/>
                <w:sz w:val="20"/>
              </w:rPr>
              <w:t xml:space="preserve"> </w:t>
            </w:r>
            <w:r>
              <w:rPr>
                <w:sz w:val="20"/>
              </w:rPr>
              <w:t>Replace or Upgrade an Electrical Panel?</w:t>
            </w:r>
          </w:p>
        </w:tc>
        <w:tc>
          <w:tcPr>
            <w:tcW w:w="2165" w:type="dxa"/>
            <w:tcBorders>
              <w:top w:val="single" w:color="B6B6B6" w:sz="4" w:space="0"/>
              <w:bottom w:val="single" w:color="B6B6B6" w:sz="4" w:space="0"/>
            </w:tcBorders>
          </w:tcPr>
          <w:p w:rsidR="00C31389" w:rsidRDefault="00561FBD" w14:paraId="546D60B3" w14:textId="77777777">
            <w:pPr>
              <w:pStyle w:val="TableParagraph"/>
              <w:spacing w:before="155"/>
              <w:ind w:left="109"/>
              <w:rPr>
                <w:sz w:val="20"/>
              </w:rPr>
            </w:pPr>
            <w:r>
              <w:rPr>
                <w:spacing w:val="-2"/>
                <w:sz w:val="20"/>
              </w:rPr>
              <w:t>Fixr.com</w:t>
            </w:r>
          </w:p>
        </w:tc>
        <w:tc>
          <w:tcPr>
            <w:tcW w:w="1408" w:type="dxa"/>
            <w:tcBorders>
              <w:top w:val="single" w:color="B6B6B6" w:sz="4" w:space="0"/>
              <w:bottom w:val="single" w:color="B6B6B6" w:sz="4" w:space="0"/>
            </w:tcBorders>
          </w:tcPr>
          <w:p w:rsidR="00C31389" w:rsidRDefault="00561FBD" w14:paraId="03239530" w14:textId="77777777">
            <w:pPr>
              <w:pStyle w:val="TableParagraph"/>
              <w:spacing w:before="155"/>
              <w:ind w:left="121"/>
              <w:rPr>
                <w:sz w:val="20"/>
              </w:rPr>
            </w:pPr>
            <w:r>
              <w:rPr>
                <w:spacing w:val="-2"/>
                <w:sz w:val="20"/>
              </w:rPr>
              <w:t>Fixr.com</w:t>
            </w:r>
          </w:p>
        </w:tc>
        <w:tc>
          <w:tcPr>
            <w:tcW w:w="1316" w:type="dxa"/>
            <w:tcBorders>
              <w:top w:val="single" w:color="B6B6B6" w:sz="4" w:space="0"/>
              <w:bottom w:val="single" w:color="B6B6B6" w:sz="4" w:space="0"/>
            </w:tcBorders>
          </w:tcPr>
          <w:p w:rsidR="00C31389" w:rsidRDefault="00561FBD" w14:paraId="071F03F8" w14:textId="77777777">
            <w:pPr>
              <w:pStyle w:val="TableParagraph"/>
              <w:spacing w:before="155"/>
              <w:ind w:right="421"/>
              <w:jc w:val="right"/>
              <w:rPr>
                <w:sz w:val="20"/>
              </w:rPr>
            </w:pPr>
            <w:r>
              <w:rPr>
                <w:spacing w:val="-4"/>
                <w:sz w:val="20"/>
              </w:rPr>
              <w:t>2022</w:t>
            </w:r>
          </w:p>
        </w:tc>
      </w:tr>
      <w:tr w:rsidR="00C31389" w14:paraId="58D072C0" w14:textId="77777777">
        <w:trPr>
          <w:trHeight w:val="539"/>
        </w:trPr>
        <w:tc>
          <w:tcPr>
            <w:tcW w:w="779" w:type="dxa"/>
            <w:tcBorders>
              <w:top w:val="single" w:color="B6B6B6" w:sz="4" w:space="0"/>
              <w:bottom w:val="single" w:color="B6B6B6" w:sz="4" w:space="0"/>
            </w:tcBorders>
          </w:tcPr>
          <w:p w:rsidR="00C31389" w:rsidRDefault="00561FBD" w14:paraId="1CFD4970" w14:textId="77777777">
            <w:pPr>
              <w:pStyle w:val="TableParagraph"/>
              <w:spacing w:before="155"/>
              <w:ind w:left="115"/>
              <w:rPr>
                <w:sz w:val="20"/>
              </w:rPr>
            </w:pPr>
            <w:r>
              <w:rPr>
                <w:spacing w:val="-5"/>
                <w:sz w:val="20"/>
              </w:rPr>
              <w:t>10</w:t>
            </w:r>
          </w:p>
        </w:tc>
        <w:tc>
          <w:tcPr>
            <w:tcW w:w="3364" w:type="dxa"/>
            <w:tcBorders>
              <w:top w:val="single" w:color="B6B6B6" w:sz="4" w:space="0"/>
              <w:bottom w:val="single" w:color="B6B6B6" w:sz="4" w:space="0"/>
            </w:tcBorders>
          </w:tcPr>
          <w:p w:rsidR="00C31389" w:rsidRDefault="00561FBD" w14:paraId="3BF7202F" w14:textId="77777777">
            <w:pPr>
              <w:pStyle w:val="TableParagraph"/>
              <w:ind w:left="107" w:right="119"/>
              <w:rPr>
                <w:sz w:val="20"/>
              </w:rPr>
            </w:pPr>
            <w:r>
              <w:rPr>
                <w:sz w:val="20"/>
              </w:rPr>
              <w:t xml:space="preserve">A Pocket Guide to </w:t>
            </w:r>
            <w:r>
              <w:rPr>
                <w:sz w:val="20"/>
              </w:rPr>
              <w:t>All-Electric Retrofits</w:t>
            </w:r>
            <w:r>
              <w:rPr>
                <w:spacing w:val="-12"/>
                <w:sz w:val="20"/>
              </w:rPr>
              <w:t xml:space="preserve"> </w:t>
            </w:r>
            <w:r>
              <w:rPr>
                <w:sz w:val="20"/>
              </w:rPr>
              <w:t>of</w:t>
            </w:r>
            <w:r>
              <w:rPr>
                <w:spacing w:val="-13"/>
                <w:sz w:val="20"/>
              </w:rPr>
              <w:t xml:space="preserve"> </w:t>
            </w:r>
            <w:r>
              <w:rPr>
                <w:sz w:val="20"/>
              </w:rPr>
              <w:t>Single-Family</w:t>
            </w:r>
            <w:r>
              <w:rPr>
                <w:spacing w:val="-12"/>
                <w:sz w:val="20"/>
              </w:rPr>
              <w:t xml:space="preserve"> </w:t>
            </w:r>
            <w:r>
              <w:rPr>
                <w:sz w:val="20"/>
              </w:rPr>
              <w:t>Homes</w:t>
            </w:r>
          </w:p>
        </w:tc>
        <w:tc>
          <w:tcPr>
            <w:tcW w:w="2165" w:type="dxa"/>
            <w:tcBorders>
              <w:top w:val="single" w:color="B6B6B6" w:sz="4" w:space="0"/>
              <w:bottom w:val="single" w:color="B6B6B6" w:sz="4" w:space="0"/>
            </w:tcBorders>
          </w:tcPr>
          <w:p w:rsidR="00C31389" w:rsidRDefault="00561FBD" w14:paraId="129A8464" w14:textId="77777777">
            <w:pPr>
              <w:pStyle w:val="TableParagraph"/>
              <w:ind w:left="110" w:right="459"/>
              <w:rPr>
                <w:sz w:val="20"/>
              </w:rPr>
            </w:pPr>
            <w:r>
              <w:rPr>
                <w:sz w:val="20"/>
              </w:rPr>
              <w:t>Redwood</w:t>
            </w:r>
            <w:r>
              <w:rPr>
                <w:spacing w:val="-14"/>
                <w:sz w:val="20"/>
              </w:rPr>
              <w:t xml:space="preserve"> </w:t>
            </w:r>
            <w:r>
              <w:rPr>
                <w:sz w:val="20"/>
              </w:rPr>
              <w:t>Energy, Menlo Spark</w:t>
            </w:r>
          </w:p>
        </w:tc>
        <w:tc>
          <w:tcPr>
            <w:tcW w:w="1408" w:type="dxa"/>
            <w:tcBorders>
              <w:top w:val="single" w:color="B6B6B6" w:sz="4" w:space="0"/>
              <w:bottom w:val="single" w:color="B6B6B6" w:sz="4" w:space="0"/>
            </w:tcBorders>
          </w:tcPr>
          <w:p w:rsidR="00C31389" w:rsidRDefault="00561FBD" w14:paraId="4CD5B796" w14:textId="77777777">
            <w:pPr>
              <w:pStyle w:val="TableParagraph"/>
              <w:ind w:left="121" w:right="435"/>
              <w:rPr>
                <w:sz w:val="20"/>
              </w:rPr>
            </w:pPr>
            <w:r>
              <w:rPr>
                <w:spacing w:val="-2"/>
                <w:sz w:val="20"/>
              </w:rPr>
              <w:t>Redwood Energy</w:t>
            </w:r>
          </w:p>
        </w:tc>
        <w:tc>
          <w:tcPr>
            <w:tcW w:w="1316" w:type="dxa"/>
            <w:tcBorders>
              <w:top w:val="single" w:color="B6B6B6" w:sz="4" w:space="0"/>
              <w:bottom w:val="single" w:color="B6B6B6" w:sz="4" w:space="0"/>
            </w:tcBorders>
          </w:tcPr>
          <w:p w:rsidR="00C31389" w:rsidRDefault="00561FBD" w14:paraId="3DF0C55E" w14:textId="77777777">
            <w:pPr>
              <w:pStyle w:val="TableParagraph"/>
              <w:spacing w:before="155"/>
              <w:ind w:right="420"/>
              <w:jc w:val="right"/>
              <w:rPr>
                <w:sz w:val="20"/>
              </w:rPr>
            </w:pPr>
            <w:r>
              <w:rPr>
                <w:spacing w:val="-4"/>
                <w:sz w:val="20"/>
              </w:rPr>
              <w:t>2021</w:t>
            </w:r>
          </w:p>
        </w:tc>
      </w:tr>
      <w:tr w:rsidR="00C31389" w14:paraId="0707939C" w14:textId="77777777">
        <w:trPr>
          <w:trHeight w:val="540"/>
        </w:trPr>
        <w:tc>
          <w:tcPr>
            <w:tcW w:w="779" w:type="dxa"/>
            <w:tcBorders>
              <w:top w:val="single" w:color="B6B6B6" w:sz="4" w:space="0"/>
              <w:bottom w:val="single" w:color="B6B6B6" w:sz="4" w:space="0"/>
            </w:tcBorders>
          </w:tcPr>
          <w:p w:rsidR="00C31389" w:rsidRDefault="00561FBD" w14:paraId="4FCF1427" w14:textId="77777777">
            <w:pPr>
              <w:pStyle w:val="TableParagraph"/>
              <w:spacing w:before="155"/>
              <w:ind w:left="115"/>
              <w:rPr>
                <w:sz w:val="20"/>
              </w:rPr>
            </w:pPr>
            <w:r>
              <w:rPr>
                <w:spacing w:val="-5"/>
                <w:sz w:val="20"/>
              </w:rPr>
              <w:t>11</w:t>
            </w:r>
          </w:p>
        </w:tc>
        <w:tc>
          <w:tcPr>
            <w:tcW w:w="3364" w:type="dxa"/>
            <w:tcBorders>
              <w:top w:val="single" w:color="B6B6B6" w:sz="4" w:space="0"/>
              <w:bottom w:val="single" w:color="B6B6B6" w:sz="4" w:space="0"/>
            </w:tcBorders>
          </w:tcPr>
          <w:p w:rsidR="00C31389" w:rsidRDefault="00561FBD" w14:paraId="5645054B" w14:textId="77777777">
            <w:pPr>
              <w:pStyle w:val="TableParagraph"/>
              <w:spacing w:before="41"/>
              <w:ind w:left="107" w:right="119"/>
              <w:rPr>
                <w:sz w:val="20"/>
              </w:rPr>
            </w:pPr>
            <w:r>
              <w:rPr>
                <w:sz w:val="20"/>
              </w:rPr>
              <w:t>Example</w:t>
            </w:r>
            <w:r>
              <w:rPr>
                <w:spacing w:val="-9"/>
                <w:sz w:val="20"/>
              </w:rPr>
              <w:t xml:space="preserve"> </w:t>
            </w:r>
            <w:r>
              <w:rPr>
                <w:sz w:val="20"/>
              </w:rPr>
              <w:t>Quote</w:t>
            </w:r>
            <w:r>
              <w:rPr>
                <w:spacing w:val="-9"/>
                <w:sz w:val="20"/>
              </w:rPr>
              <w:t xml:space="preserve"> </w:t>
            </w:r>
            <w:r>
              <w:rPr>
                <w:sz w:val="20"/>
              </w:rPr>
              <w:t>for</w:t>
            </w:r>
            <w:r>
              <w:rPr>
                <w:spacing w:val="-9"/>
                <w:sz w:val="20"/>
              </w:rPr>
              <w:t xml:space="preserve"> </w:t>
            </w:r>
            <w:r>
              <w:rPr>
                <w:sz w:val="20"/>
              </w:rPr>
              <w:t>a</w:t>
            </w:r>
            <w:r>
              <w:rPr>
                <w:spacing w:val="-9"/>
                <w:sz w:val="20"/>
              </w:rPr>
              <w:t xml:space="preserve"> </w:t>
            </w:r>
            <w:r>
              <w:rPr>
                <w:sz w:val="20"/>
              </w:rPr>
              <w:t xml:space="preserve">California </w:t>
            </w:r>
            <w:r>
              <w:rPr>
                <w:spacing w:val="-2"/>
                <w:sz w:val="20"/>
              </w:rPr>
              <w:t>homeowner</w:t>
            </w:r>
          </w:p>
        </w:tc>
        <w:tc>
          <w:tcPr>
            <w:tcW w:w="2165" w:type="dxa"/>
            <w:tcBorders>
              <w:top w:val="single" w:color="B6B6B6" w:sz="4" w:space="0"/>
              <w:bottom w:val="single" w:color="B6B6B6" w:sz="4" w:space="0"/>
            </w:tcBorders>
          </w:tcPr>
          <w:p w:rsidR="00C31389" w:rsidRDefault="00561FBD" w14:paraId="30E8E204" w14:textId="77777777">
            <w:pPr>
              <w:pStyle w:val="TableParagraph"/>
              <w:spacing w:before="155"/>
              <w:ind w:left="110"/>
              <w:rPr>
                <w:sz w:val="20"/>
              </w:rPr>
            </w:pPr>
            <w:r>
              <w:rPr>
                <w:sz w:val="20"/>
              </w:rPr>
              <w:t>Old</w:t>
            </w:r>
            <w:r>
              <w:rPr>
                <w:spacing w:val="-3"/>
                <w:sz w:val="20"/>
              </w:rPr>
              <w:t xml:space="preserve"> </w:t>
            </w:r>
            <w:r>
              <w:rPr>
                <w:sz w:val="20"/>
              </w:rPr>
              <w:t>Town</w:t>
            </w:r>
            <w:r>
              <w:rPr>
                <w:spacing w:val="-2"/>
                <w:sz w:val="20"/>
              </w:rPr>
              <w:t xml:space="preserve"> Electrical</w:t>
            </w:r>
          </w:p>
        </w:tc>
        <w:tc>
          <w:tcPr>
            <w:tcW w:w="1408" w:type="dxa"/>
            <w:tcBorders>
              <w:top w:val="single" w:color="B6B6B6" w:sz="4" w:space="0"/>
              <w:bottom w:val="single" w:color="B6B6B6" w:sz="4" w:space="0"/>
            </w:tcBorders>
          </w:tcPr>
          <w:p w:rsidR="00C31389" w:rsidRDefault="00561FBD" w14:paraId="71339023" w14:textId="77777777">
            <w:pPr>
              <w:pStyle w:val="TableParagraph"/>
              <w:spacing w:before="155"/>
              <w:ind w:left="121"/>
              <w:rPr>
                <w:sz w:val="20"/>
              </w:rPr>
            </w:pPr>
            <w:r>
              <w:rPr>
                <w:spacing w:val="-5"/>
                <w:sz w:val="20"/>
              </w:rPr>
              <w:t>N/A</w:t>
            </w:r>
          </w:p>
        </w:tc>
        <w:tc>
          <w:tcPr>
            <w:tcW w:w="1316" w:type="dxa"/>
            <w:tcBorders>
              <w:top w:val="single" w:color="B6B6B6" w:sz="4" w:space="0"/>
              <w:bottom w:val="single" w:color="B6B6B6" w:sz="4" w:space="0"/>
            </w:tcBorders>
          </w:tcPr>
          <w:p w:rsidR="00C31389" w:rsidRDefault="00561FBD" w14:paraId="622D8300" w14:textId="77777777">
            <w:pPr>
              <w:pStyle w:val="TableParagraph"/>
              <w:spacing w:before="155"/>
              <w:ind w:right="420"/>
              <w:jc w:val="right"/>
              <w:rPr>
                <w:sz w:val="20"/>
              </w:rPr>
            </w:pPr>
            <w:r>
              <w:rPr>
                <w:spacing w:val="-4"/>
                <w:sz w:val="20"/>
              </w:rPr>
              <w:t>2021</w:t>
            </w:r>
          </w:p>
        </w:tc>
      </w:tr>
      <w:tr w:rsidR="00C31389" w14:paraId="708B04E8" w14:textId="77777777">
        <w:trPr>
          <w:trHeight w:val="539"/>
        </w:trPr>
        <w:tc>
          <w:tcPr>
            <w:tcW w:w="779" w:type="dxa"/>
            <w:tcBorders>
              <w:top w:val="single" w:color="B6B6B6" w:sz="4" w:space="0"/>
              <w:bottom w:val="single" w:color="B6B6B6" w:sz="4" w:space="0"/>
            </w:tcBorders>
          </w:tcPr>
          <w:p w:rsidR="00C31389" w:rsidRDefault="00561FBD" w14:paraId="48B67DC5" w14:textId="77777777">
            <w:pPr>
              <w:pStyle w:val="TableParagraph"/>
              <w:spacing w:before="155"/>
              <w:ind w:left="115"/>
              <w:rPr>
                <w:sz w:val="20"/>
              </w:rPr>
            </w:pPr>
            <w:r>
              <w:rPr>
                <w:spacing w:val="-5"/>
                <w:sz w:val="20"/>
              </w:rPr>
              <w:t>12</w:t>
            </w:r>
          </w:p>
        </w:tc>
        <w:tc>
          <w:tcPr>
            <w:tcW w:w="3364" w:type="dxa"/>
            <w:tcBorders>
              <w:top w:val="single" w:color="B6B6B6" w:sz="4" w:space="0"/>
              <w:bottom w:val="single" w:color="B6B6B6" w:sz="4" w:space="0"/>
            </w:tcBorders>
          </w:tcPr>
          <w:p w:rsidR="00C31389" w:rsidRDefault="00561FBD" w14:paraId="1C03CDF4" w14:textId="77777777">
            <w:pPr>
              <w:pStyle w:val="TableParagraph"/>
              <w:ind w:left="107" w:right="119"/>
              <w:rPr>
                <w:sz w:val="20"/>
              </w:rPr>
            </w:pPr>
            <w:r>
              <w:rPr>
                <w:sz w:val="20"/>
              </w:rPr>
              <w:t>PG&amp;E</w:t>
            </w:r>
            <w:r>
              <w:rPr>
                <w:spacing w:val="-14"/>
                <w:sz w:val="20"/>
              </w:rPr>
              <w:t xml:space="preserve"> </w:t>
            </w:r>
            <w:r>
              <w:rPr>
                <w:sz w:val="20"/>
              </w:rPr>
              <w:t>Furnace</w:t>
            </w:r>
            <w:r>
              <w:rPr>
                <w:spacing w:val="-14"/>
                <w:sz w:val="20"/>
              </w:rPr>
              <w:t xml:space="preserve"> </w:t>
            </w:r>
            <w:r>
              <w:rPr>
                <w:sz w:val="20"/>
              </w:rPr>
              <w:t>Replacement Initiative Case Study</w:t>
            </w:r>
          </w:p>
        </w:tc>
        <w:tc>
          <w:tcPr>
            <w:tcW w:w="2165" w:type="dxa"/>
            <w:tcBorders>
              <w:top w:val="single" w:color="B6B6B6" w:sz="4" w:space="0"/>
              <w:bottom w:val="single" w:color="B6B6B6" w:sz="4" w:space="0"/>
            </w:tcBorders>
          </w:tcPr>
          <w:p w:rsidR="00C31389" w:rsidRDefault="00561FBD" w14:paraId="5900C5E2" w14:textId="77777777">
            <w:pPr>
              <w:pStyle w:val="TableParagraph"/>
              <w:spacing w:before="155"/>
              <w:ind w:left="110"/>
              <w:rPr>
                <w:sz w:val="20"/>
              </w:rPr>
            </w:pPr>
            <w:r>
              <w:rPr>
                <w:spacing w:val="-5"/>
                <w:sz w:val="20"/>
              </w:rPr>
              <w:t>TRC</w:t>
            </w:r>
          </w:p>
        </w:tc>
        <w:tc>
          <w:tcPr>
            <w:tcW w:w="1408" w:type="dxa"/>
            <w:tcBorders>
              <w:top w:val="single" w:color="B6B6B6" w:sz="4" w:space="0"/>
              <w:bottom w:val="single" w:color="B6B6B6" w:sz="4" w:space="0"/>
            </w:tcBorders>
          </w:tcPr>
          <w:p w:rsidR="00C31389" w:rsidRDefault="00561FBD" w14:paraId="0DB44A71" w14:textId="77777777">
            <w:pPr>
              <w:pStyle w:val="TableParagraph"/>
              <w:spacing w:before="155"/>
              <w:ind w:left="121"/>
              <w:rPr>
                <w:sz w:val="20"/>
              </w:rPr>
            </w:pPr>
            <w:r>
              <w:rPr>
                <w:spacing w:val="-4"/>
                <w:sz w:val="20"/>
              </w:rPr>
              <w:t>PG&amp;E</w:t>
            </w:r>
          </w:p>
        </w:tc>
        <w:tc>
          <w:tcPr>
            <w:tcW w:w="1316" w:type="dxa"/>
            <w:tcBorders>
              <w:top w:val="single" w:color="B6B6B6" w:sz="4" w:space="0"/>
              <w:bottom w:val="single" w:color="B6B6B6" w:sz="4" w:space="0"/>
            </w:tcBorders>
          </w:tcPr>
          <w:p w:rsidR="00C31389" w:rsidRDefault="00561FBD" w14:paraId="589894A3" w14:textId="77777777">
            <w:pPr>
              <w:pStyle w:val="TableParagraph"/>
              <w:spacing w:before="155"/>
              <w:ind w:right="420"/>
              <w:jc w:val="right"/>
              <w:rPr>
                <w:sz w:val="20"/>
              </w:rPr>
            </w:pPr>
            <w:r>
              <w:rPr>
                <w:spacing w:val="-4"/>
                <w:sz w:val="20"/>
              </w:rPr>
              <w:t>2022</w:t>
            </w:r>
          </w:p>
        </w:tc>
      </w:tr>
      <w:tr w:rsidR="00C31389" w14:paraId="6501EC3F" w14:textId="77777777">
        <w:trPr>
          <w:trHeight w:val="1229"/>
        </w:trPr>
        <w:tc>
          <w:tcPr>
            <w:tcW w:w="779" w:type="dxa"/>
            <w:tcBorders>
              <w:top w:val="single" w:color="B6B6B6" w:sz="4" w:space="0"/>
              <w:bottom w:val="single" w:color="B6B6B6" w:sz="4" w:space="0"/>
            </w:tcBorders>
          </w:tcPr>
          <w:p w:rsidR="00C31389" w:rsidRDefault="00C31389" w14:paraId="2048345D" w14:textId="77777777">
            <w:pPr>
              <w:pStyle w:val="TableParagraph"/>
              <w:spacing w:before="0"/>
              <w:rPr>
                <w:b/>
              </w:rPr>
            </w:pPr>
          </w:p>
          <w:p w:rsidR="00C31389" w:rsidRDefault="00C31389" w14:paraId="0D0DA5D6" w14:textId="77777777">
            <w:pPr>
              <w:pStyle w:val="TableParagraph"/>
              <w:spacing w:before="5"/>
              <w:rPr>
                <w:b/>
                <w:sz w:val="21"/>
              </w:rPr>
            </w:pPr>
          </w:p>
          <w:p w:rsidR="00C31389" w:rsidRDefault="00561FBD" w14:paraId="5F9FB23F" w14:textId="77777777">
            <w:pPr>
              <w:pStyle w:val="TableParagraph"/>
              <w:spacing w:before="0"/>
              <w:ind w:left="115"/>
              <w:rPr>
                <w:sz w:val="20"/>
              </w:rPr>
            </w:pPr>
            <w:r>
              <w:rPr>
                <w:spacing w:val="-5"/>
                <w:sz w:val="20"/>
              </w:rPr>
              <w:t>13</w:t>
            </w:r>
          </w:p>
        </w:tc>
        <w:tc>
          <w:tcPr>
            <w:tcW w:w="3364" w:type="dxa"/>
            <w:tcBorders>
              <w:top w:val="single" w:color="B6B6B6" w:sz="4" w:space="0"/>
              <w:bottom w:val="single" w:color="B6B6B6" w:sz="4" w:space="0"/>
            </w:tcBorders>
          </w:tcPr>
          <w:p w:rsidR="00C31389" w:rsidRDefault="00561FBD" w14:paraId="0C85FAE0" w14:textId="77777777">
            <w:pPr>
              <w:pStyle w:val="TableParagraph"/>
              <w:ind w:left="107" w:right="211"/>
              <w:rPr>
                <w:sz w:val="20"/>
              </w:rPr>
            </w:pPr>
            <w:r>
              <w:rPr>
                <w:sz w:val="20"/>
              </w:rPr>
              <w:t>Residential</w:t>
            </w:r>
            <w:r>
              <w:rPr>
                <w:spacing w:val="-14"/>
                <w:sz w:val="20"/>
              </w:rPr>
              <w:t xml:space="preserve"> </w:t>
            </w:r>
            <w:r>
              <w:rPr>
                <w:sz w:val="20"/>
              </w:rPr>
              <w:t>Building</w:t>
            </w:r>
            <w:r>
              <w:rPr>
                <w:spacing w:val="-14"/>
                <w:sz w:val="20"/>
              </w:rPr>
              <w:t xml:space="preserve"> </w:t>
            </w:r>
            <w:r>
              <w:rPr>
                <w:sz w:val="20"/>
              </w:rPr>
              <w:t>Electrification in California</w:t>
            </w:r>
          </w:p>
          <w:p w:rsidR="00C31389" w:rsidRDefault="00561FBD" w14:paraId="0AF60AA4" w14:textId="77777777">
            <w:pPr>
              <w:pStyle w:val="TableParagraph"/>
              <w:spacing w:before="0"/>
              <w:ind w:left="107" w:right="211"/>
              <w:rPr>
                <w:sz w:val="20"/>
              </w:rPr>
            </w:pPr>
            <w:r>
              <w:rPr>
                <w:sz w:val="20"/>
              </w:rPr>
              <w:t>Consumer Economics, Greenhouse</w:t>
            </w:r>
            <w:r>
              <w:rPr>
                <w:spacing w:val="-12"/>
                <w:sz w:val="20"/>
              </w:rPr>
              <w:t xml:space="preserve"> </w:t>
            </w:r>
            <w:r>
              <w:rPr>
                <w:sz w:val="20"/>
              </w:rPr>
              <w:t>Gases</w:t>
            </w:r>
            <w:r>
              <w:rPr>
                <w:spacing w:val="-12"/>
                <w:sz w:val="20"/>
              </w:rPr>
              <w:t xml:space="preserve"> </w:t>
            </w:r>
            <w:r>
              <w:rPr>
                <w:sz w:val="20"/>
              </w:rPr>
              <w:t>and</w:t>
            </w:r>
            <w:r>
              <w:rPr>
                <w:spacing w:val="-12"/>
                <w:sz w:val="20"/>
              </w:rPr>
              <w:t xml:space="preserve"> </w:t>
            </w:r>
            <w:r>
              <w:rPr>
                <w:sz w:val="20"/>
              </w:rPr>
              <w:t xml:space="preserve">Grid </w:t>
            </w:r>
            <w:r>
              <w:rPr>
                <w:spacing w:val="-2"/>
                <w:sz w:val="20"/>
              </w:rPr>
              <w:t>Impacts</w:t>
            </w:r>
          </w:p>
        </w:tc>
        <w:tc>
          <w:tcPr>
            <w:tcW w:w="2165" w:type="dxa"/>
            <w:tcBorders>
              <w:top w:val="single" w:color="B6B6B6" w:sz="4" w:space="0"/>
              <w:bottom w:val="single" w:color="B6B6B6" w:sz="4" w:space="0"/>
            </w:tcBorders>
          </w:tcPr>
          <w:p w:rsidR="00C31389" w:rsidRDefault="00C31389" w14:paraId="1C02EFF3" w14:textId="77777777">
            <w:pPr>
              <w:pStyle w:val="TableParagraph"/>
              <w:spacing w:before="6"/>
              <w:rPr>
                <w:b/>
                <w:sz w:val="23"/>
              </w:rPr>
            </w:pPr>
          </w:p>
          <w:p w:rsidR="00C31389" w:rsidRDefault="00561FBD" w14:paraId="37BC03DC" w14:textId="77777777">
            <w:pPr>
              <w:pStyle w:val="TableParagraph"/>
              <w:spacing w:before="0" w:line="230" w:lineRule="exact"/>
              <w:ind w:left="109"/>
              <w:rPr>
                <w:sz w:val="20"/>
              </w:rPr>
            </w:pPr>
            <w:r>
              <w:rPr>
                <w:sz w:val="20"/>
              </w:rPr>
              <w:t>E3</w:t>
            </w:r>
            <w:r>
              <w:rPr>
                <w:spacing w:val="-2"/>
                <w:sz w:val="20"/>
              </w:rPr>
              <w:t xml:space="preserve"> (Energy</w:t>
            </w:r>
          </w:p>
          <w:p w:rsidR="00C31389" w:rsidRDefault="00561FBD" w14:paraId="42ECECCF" w14:textId="77777777">
            <w:pPr>
              <w:pStyle w:val="TableParagraph"/>
              <w:spacing w:before="0"/>
              <w:ind w:left="109" w:right="137"/>
              <w:rPr>
                <w:sz w:val="20"/>
              </w:rPr>
            </w:pPr>
            <w:r>
              <w:rPr>
                <w:spacing w:val="-2"/>
                <w:sz w:val="20"/>
              </w:rPr>
              <w:t>+Environmental Economics)</w:t>
            </w:r>
          </w:p>
        </w:tc>
        <w:tc>
          <w:tcPr>
            <w:tcW w:w="1408" w:type="dxa"/>
            <w:tcBorders>
              <w:top w:val="single" w:color="B6B6B6" w:sz="4" w:space="0"/>
              <w:bottom w:val="single" w:color="B6B6B6" w:sz="4" w:space="0"/>
            </w:tcBorders>
          </w:tcPr>
          <w:p w:rsidR="00C31389" w:rsidRDefault="00C31389" w14:paraId="16458B88" w14:textId="77777777">
            <w:pPr>
              <w:pStyle w:val="TableParagraph"/>
              <w:spacing w:before="0"/>
              <w:rPr>
                <w:b/>
              </w:rPr>
            </w:pPr>
          </w:p>
          <w:p w:rsidR="00C31389" w:rsidRDefault="00C31389" w14:paraId="05069B14" w14:textId="77777777">
            <w:pPr>
              <w:pStyle w:val="TableParagraph"/>
              <w:spacing w:before="5"/>
              <w:rPr>
                <w:b/>
                <w:sz w:val="21"/>
              </w:rPr>
            </w:pPr>
          </w:p>
          <w:p w:rsidR="00C31389" w:rsidRDefault="00561FBD" w14:paraId="69780A5B" w14:textId="77777777">
            <w:pPr>
              <w:pStyle w:val="TableParagraph"/>
              <w:spacing w:before="0"/>
              <w:ind w:left="121"/>
              <w:rPr>
                <w:sz w:val="20"/>
              </w:rPr>
            </w:pPr>
            <w:r>
              <w:rPr>
                <w:spacing w:val="-2"/>
                <w:sz w:val="20"/>
              </w:rPr>
              <w:t>ethree.com</w:t>
            </w:r>
          </w:p>
        </w:tc>
        <w:tc>
          <w:tcPr>
            <w:tcW w:w="1316" w:type="dxa"/>
            <w:tcBorders>
              <w:top w:val="single" w:color="B6B6B6" w:sz="4" w:space="0"/>
              <w:bottom w:val="single" w:color="B6B6B6" w:sz="4" w:space="0"/>
            </w:tcBorders>
          </w:tcPr>
          <w:p w:rsidR="00C31389" w:rsidRDefault="00C31389" w14:paraId="3D3238D3" w14:textId="77777777">
            <w:pPr>
              <w:pStyle w:val="TableParagraph"/>
              <w:spacing w:before="0"/>
              <w:rPr>
                <w:b/>
              </w:rPr>
            </w:pPr>
          </w:p>
          <w:p w:rsidR="00C31389" w:rsidRDefault="00C31389" w14:paraId="4ABAC27B" w14:textId="77777777">
            <w:pPr>
              <w:pStyle w:val="TableParagraph"/>
              <w:spacing w:before="5"/>
              <w:rPr>
                <w:b/>
                <w:sz w:val="21"/>
              </w:rPr>
            </w:pPr>
          </w:p>
          <w:p w:rsidR="00C31389" w:rsidRDefault="00561FBD" w14:paraId="79C3BBA0" w14:textId="77777777">
            <w:pPr>
              <w:pStyle w:val="TableParagraph"/>
              <w:spacing w:before="0"/>
              <w:ind w:right="420"/>
              <w:jc w:val="right"/>
              <w:rPr>
                <w:sz w:val="20"/>
              </w:rPr>
            </w:pPr>
            <w:r>
              <w:rPr>
                <w:spacing w:val="-4"/>
                <w:sz w:val="20"/>
              </w:rPr>
              <w:t>2019</w:t>
            </w:r>
          </w:p>
        </w:tc>
      </w:tr>
      <w:tr w:rsidR="00C31389" w14:paraId="7150E27A" w14:textId="77777777">
        <w:trPr>
          <w:trHeight w:val="1079"/>
        </w:trPr>
        <w:tc>
          <w:tcPr>
            <w:tcW w:w="779" w:type="dxa"/>
            <w:tcBorders>
              <w:top w:val="single" w:color="B6B6B6" w:sz="4" w:space="0"/>
              <w:bottom w:val="single" w:color="B6B6B6" w:sz="4" w:space="0"/>
            </w:tcBorders>
          </w:tcPr>
          <w:p w:rsidR="00C31389" w:rsidRDefault="00C31389" w14:paraId="15D1284C" w14:textId="77777777">
            <w:pPr>
              <w:pStyle w:val="TableParagraph"/>
              <w:spacing w:before="0"/>
              <w:rPr>
                <w:b/>
              </w:rPr>
            </w:pPr>
          </w:p>
          <w:p w:rsidR="00C31389" w:rsidRDefault="00561FBD" w14:paraId="1403A54F" w14:textId="77777777">
            <w:pPr>
              <w:pStyle w:val="TableParagraph"/>
              <w:spacing w:before="172"/>
              <w:ind w:left="115"/>
              <w:rPr>
                <w:sz w:val="20"/>
              </w:rPr>
            </w:pPr>
            <w:r>
              <w:rPr>
                <w:spacing w:val="-5"/>
                <w:sz w:val="20"/>
              </w:rPr>
              <w:t>14</w:t>
            </w:r>
          </w:p>
        </w:tc>
        <w:tc>
          <w:tcPr>
            <w:tcW w:w="3364" w:type="dxa"/>
            <w:tcBorders>
              <w:top w:val="single" w:color="B6B6B6" w:sz="4" w:space="0"/>
              <w:bottom w:val="single" w:color="B6B6B6" w:sz="4" w:space="0"/>
            </w:tcBorders>
          </w:tcPr>
          <w:p w:rsidR="00C31389" w:rsidRDefault="00561FBD" w14:paraId="6AE975ED" w14:textId="77777777">
            <w:pPr>
              <w:pStyle w:val="TableParagraph"/>
              <w:spacing w:before="196"/>
              <w:ind w:left="107" w:right="211"/>
              <w:rPr>
                <w:sz w:val="20"/>
              </w:rPr>
            </w:pPr>
            <w:r>
              <w:rPr>
                <w:sz w:val="20"/>
              </w:rPr>
              <w:t>Dig</w:t>
            </w:r>
            <w:r>
              <w:rPr>
                <w:spacing w:val="-9"/>
                <w:sz w:val="20"/>
              </w:rPr>
              <w:t xml:space="preserve"> </w:t>
            </w:r>
            <w:r>
              <w:rPr>
                <w:sz w:val="20"/>
              </w:rPr>
              <w:t>here:</w:t>
            </w:r>
            <w:r>
              <w:rPr>
                <w:spacing w:val="-9"/>
                <w:sz w:val="20"/>
              </w:rPr>
              <w:t xml:space="preserve"> </w:t>
            </w:r>
            <w:r>
              <w:rPr>
                <w:sz w:val="20"/>
              </w:rPr>
              <w:t>Insights</w:t>
            </w:r>
            <w:r>
              <w:rPr>
                <w:spacing w:val="-8"/>
                <w:sz w:val="20"/>
              </w:rPr>
              <w:t xml:space="preserve"> </w:t>
            </w:r>
            <w:r>
              <w:rPr>
                <w:sz w:val="20"/>
              </w:rPr>
              <w:t>from</w:t>
            </w:r>
            <w:r>
              <w:rPr>
                <w:spacing w:val="-10"/>
                <w:sz w:val="20"/>
              </w:rPr>
              <w:t xml:space="preserve"> </w:t>
            </w:r>
            <w:r>
              <w:rPr>
                <w:sz w:val="20"/>
              </w:rPr>
              <w:t>Direct Burial Cable Study and Implications</w:t>
            </w:r>
            <w:r>
              <w:rPr>
                <w:spacing w:val="-14"/>
                <w:sz w:val="20"/>
              </w:rPr>
              <w:t xml:space="preserve"> </w:t>
            </w:r>
            <w:r>
              <w:rPr>
                <w:sz w:val="20"/>
              </w:rPr>
              <w:t>for</w:t>
            </w:r>
            <w:r>
              <w:rPr>
                <w:spacing w:val="-14"/>
                <w:sz w:val="20"/>
              </w:rPr>
              <w:t xml:space="preserve"> </w:t>
            </w:r>
            <w:r>
              <w:rPr>
                <w:sz w:val="20"/>
              </w:rPr>
              <w:t>Electrification</w:t>
            </w:r>
          </w:p>
        </w:tc>
        <w:tc>
          <w:tcPr>
            <w:tcW w:w="2165" w:type="dxa"/>
            <w:tcBorders>
              <w:top w:val="single" w:color="B6B6B6" w:sz="4" w:space="0"/>
              <w:bottom w:val="single" w:color="B6B6B6" w:sz="4" w:space="0"/>
            </w:tcBorders>
          </w:tcPr>
          <w:p w:rsidR="00C31389" w:rsidRDefault="00561FBD" w14:paraId="195E0813" w14:textId="77777777">
            <w:pPr>
              <w:pStyle w:val="TableParagraph"/>
              <w:ind w:left="109" w:right="137"/>
              <w:rPr>
                <w:sz w:val="20"/>
              </w:rPr>
            </w:pPr>
            <w:r>
              <w:rPr>
                <w:sz w:val="20"/>
              </w:rPr>
              <w:t>Gomathi</w:t>
            </w:r>
            <w:r>
              <w:rPr>
                <w:spacing w:val="-14"/>
                <w:sz w:val="20"/>
              </w:rPr>
              <w:t xml:space="preserve"> </w:t>
            </w:r>
            <w:r>
              <w:rPr>
                <w:sz w:val="20"/>
              </w:rPr>
              <w:t xml:space="preserve">Sadhasivan, </w:t>
            </w:r>
            <w:r>
              <w:rPr>
                <w:spacing w:val="-4"/>
                <w:sz w:val="20"/>
              </w:rPr>
              <w:t>DNV</w:t>
            </w:r>
          </w:p>
          <w:p w:rsidR="00C31389" w:rsidRDefault="00561FBD" w14:paraId="476887DC" w14:textId="77777777">
            <w:pPr>
              <w:pStyle w:val="TableParagraph"/>
              <w:spacing w:before="0" w:line="270" w:lineRule="atLeast"/>
              <w:ind w:left="109" w:right="137"/>
              <w:rPr>
                <w:sz w:val="20"/>
              </w:rPr>
            </w:pPr>
            <w:r>
              <w:rPr>
                <w:sz w:val="20"/>
              </w:rPr>
              <w:t>Lullit</w:t>
            </w:r>
            <w:r>
              <w:rPr>
                <w:spacing w:val="-14"/>
                <w:sz w:val="20"/>
              </w:rPr>
              <w:t xml:space="preserve"> </w:t>
            </w:r>
            <w:r>
              <w:rPr>
                <w:sz w:val="20"/>
              </w:rPr>
              <w:t>Getachew,</w:t>
            </w:r>
            <w:r>
              <w:rPr>
                <w:spacing w:val="-14"/>
                <w:sz w:val="20"/>
              </w:rPr>
              <w:t xml:space="preserve"> </w:t>
            </w:r>
            <w:r>
              <w:rPr>
                <w:sz w:val="20"/>
              </w:rPr>
              <w:t>DNV Amber</w:t>
            </w:r>
            <w:r>
              <w:rPr>
                <w:spacing w:val="-5"/>
                <w:sz w:val="20"/>
              </w:rPr>
              <w:t xml:space="preserve"> </w:t>
            </w:r>
            <w:r>
              <w:rPr>
                <w:sz w:val="20"/>
              </w:rPr>
              <w:t>Watkins,</w:t>
            </w:r>
            <w:r>
              <w:rPr>
                <w:spacing w:val="-3"/>
                <w:sz w:val="20"/>
              </w:rPr>
              <w:t xml:space="preserve"> </w:t>
            </w:r>
            <w:r>
              <w:rPr>
                <w:spacing w:val="-5"/>
                <w:sz w:val="20"/>
              </w:rPr>
              <w:t>DNV</w:t>
            </w:r>
          </w:p>
        </w:tc>
        <w:tc>
          <w:tcPr>
            <w:tcW w:w="1408" w:type="dxa"/>
            <w:tcBorders>
              <w:top w:val="single" w:color="B6B6B6" w:sz="4" w:space="0"/>
              <w:bottom w:val="single" w:color="B6B6B6" w:sz="4" w:space="0"/>
            </w:tcBorders>
          </w:tcPr>
          <w:p w:rsidR="00C31389" w:rsidRDefault="00C31389" w14:paraId="1030DD4A" w14:textId="77777777">
            <w:pPr>
              <w:pStyle w:val="TableParagraph"/>
              <w:spacing w:before="0"/>
              <w:rPr>
                <w:b/>
              </w:rPr>
            </w:pPr>
          </w:p>
          <w:p w:rsidR="00C31389" w:rsidRDefault="00561FBD" w14:paraId="3DA6159B" w14:textId="77777777">
            <w:pPr>
              <w:pStyle w:val="TableParagraph"/>
              <w:spacing w:before="172"/>
              <w:ind w:left="121"/>
              <w:rPr>
                <w:sz w:val="20"/>
              </w:rPr>
            </w:pPr>
            <w:r>
              <w:rPr>
                <w:spacing w:val="-5"/>
                <w:sz w:val="20"/>
              </w:rPr>
              <w:t>N/A</w:t>
            </w:r>
          </w:p>
        </w:tc>
        <w:tc>
          <w:tcPr>
            <w:tcW w:w="1316" w:type="dxa"/>
            <w:tcBorders>
              <w:top w:val="single" w:color="B6B6B6" w:sz="4" w:space="0"/>
              <w:bottom w:val="single" w:color="B6B6B6" w:sz="4" w:space="0"/>
            </w:tcBorders>
          </w:tcPr>
          <w:p w:rsidR="00C31389" w:rsidRDefault="00C31389" w14:paraId="2797BE37" w14:textId="77777777">
            <w:pPr>
              <w:pStyle w:val="TableParagraph"/>
              <w:spacing w:before="0"/>
              <w:rPr>
                <w:b/>
              </w:rPr>
            </w:pPr>
          </w:p>
          <w:p w:rsidR="00C31389" w:rsidRDefault="00561FBD" w14:paraId="036914D5" w14:textId="77777777">
            <w:pPr>
              <w:pStyle w:val="TableParagraph"/>
              <w:spacing w:before="172"/>
              <w:ind w:right="421"/>
              <w:jc w:val="right"/>
              <w:rPr>
                <w:sz w:val="20"/>
              </w:rPr>
            </w:pPr>
            <w:r>
              <w:rPr>
                <w:spacing w:val="-4"/>
                <w:sz w:val="20"/>
              </w:rPr>
              <w:t>2022</w:t>
            </w:r>
          </w:p>
        </w:tc>
      </w:tr>
      <w:tr w:rsidR="00C31389" w14:paraId="23033440" w14:textId="77777777">
        <w:trPr>
          <w:trHeight w:val="1000"/>
        </w:trPr>
        <w:tc>
          <w:tcPr>
            <w:tcW w:w="779" w:type="dxa"/>
            <w:tcBorders>
              <w:top w:val="single" w:color="B6B6B6" w:sz="4" w:space="0"/>
              <w:bottom w:val="single" w:color="B6B6B6" w:sz="4" w:space="0"/>
            </w:tcBorders>
          </w:tcPr>
          <w:p w:rsidR="00C31389" w:rsidRDefault="00C31389" w14:paraId="470D5DE1" w14:textId="77777777">
            <w:pPr>
              <w:pStyle w:val="TableParagraph"/>
              <w:spacing w:before="0"/>
              <w:rPr>
                <w:b/>
              </w:rPr>
            </w:pPr>
          </w:p>
          <w:p w:rsidR="00C31389" w:rsidRDefault="00561FBD" w14:paraId="66D74871" w14:textId="77777777">
            <w:pPr>
              <w:pStyle w:val="TableParagraph"/>
              <w:spacing w:before="133"/>
              <w:ind w:left="115"/>
              <w:rPr>
                <w:sz w:val="20"/>
              </w:rPr>
            </w:pPr>
            <w:r>
              <w:rPr>
                <w:spacing w:val="-5"/>
                <w:sz w:val="20"/>
              </w:rPr>
              <w:t>15</w:t>
            </w:r>
          </w:p>
        </w:tc>
        <w:tc>
          <w:tcPr>
            <w:tcW w:w="3364" w:type="dxa"/>
            <w:tcBorders>
              <w:top w:val="single" w:color="B6B6B6" w:sz="4" w:space="0"/>
              <w:bottom w:val="single" w:color="B6B6B6" w:sz="4" w:space="0"/>
            </w:tcBorders>
          </w:tcPr>
          <w:p w:rsidR="00C31389" w:rsidRDefault="00561FBD" w14:paraId="6C0310BB" w14:textId="77777777">
            <w:pPr>
              <w:pStyle w:val="TableParagraph"/>
              <w:spacing w:before="41"/>
              <w:ind w:left="107" w:right="127"/>
              <w:rPr>
                <w:sz w:val="20"/>
              </w:rPr>
            </w:pPr>
            <w:r>
              <w:rPr>
                <w:sz w:val="20"/>
              </w:rPr>
              <w:t>Bay</w:t>
            </w:r>
            <w:r>
              <w:rPr>
                <w:spacing w:val="-8"/>
                <w:sz w:val="20"/>
              </w:rPr>
              <w:t xml:space="preserve"> </w:t>
            </w:r>
            <w:r>
              <w:rPr>
                <w:sz w:val="20"/>
              </w:rPr>
              <w:t>Area</w:t>
            </w:r>
            <w:r>
              <w:rPr>
                <w:spacing w:val="-10"/>
                <w:sz w:val="20"/>
              </w:rPr>
              <w:t xml:space="preserve"> </w:t>
            </w:r>
            <w:r>
              <w:rPr>
                <w:sz w:val="20"/>
              </w:rPr>
              <w:t>Regional</w:t>
            </w:r>
            <w:r>
              <w:rPr>
                <w:spacing w:val="-9"/>
                <w:sz w:val="20"/>
              </w:rPr>
              <w:t xml:space="preserve"> </w:t>
            </w:r>
            <w:r>
              <w:rPr>
                <w:sz w:val="20"/>
              </w:rPr>
              <w:t>Energy</w:t>
            </w:r>
            <w:r>
              <w:rPr>
                <w:spacing w:val="-9"/>
                <w:sz w:val="20"/>
              </w:rPr>
              <w:t xml:space="preserve"> </w:t>
            </w:r>
            <w:r>
              <w:rPr>
                <w:sz w:val="20"/>
              </w:rPr>
              <w:t>Network (BayREN) Home Energy Score: Electrification Checklist Pilot</w:t>
            </w:r>
            <w:r>
              <w:rPr>
                <w:spacing w:val="80"/>
                <w:sz w:val="20"/>
              </w:rPr>
              <w:t xml:space="preserve"> </w:t>
            </w:r>
            <w:r>
              <w:rPr>
                <w:spacing w:val="-2"/>
                <w:sz w:val="20"/>
              </w:rPr>
              <w:t>Report</w:t>
            </w:r>
          </w:p>
        </w:tc>
        <w:tc>
          <w:tcPr>
            <w:tcW w:w="2165" w:type="dxa"/>
            <w:tcBorders>
              <w:top w:val="single" w:color="B6B6B6" w:sz="4" w:space="0"/>
              <w:bottom w:val="single" w:color="B6B6B6" w:sz="4" w:space="0"/>
            </w:tcBorders>
          </w:tcPr>
          <w:p w:rsidR="00C31389" w:rsidRDefault="00C31389" w14:paraId="4CA5D589" w14:textId="77777777">
            <w:pPr>
              <w:pStyle w:val="TableParagraph"/>
              <w:spacing w:before="6"/>
              <w:rPr>
                <w:b/>
                <w:sz w:val="23"/>
              </w:rPr>
            </w:pPr>
          </w:p>
          <w:p w:rsidR="00C31389" w:rsidRDefault="00561FBD" w14:paraId="10FDCF80" w14:textId="77777777">
            <w:pPr>
              <w:pStyle w:val="TableParagraph"/>
              <w:spacing w:before="0"/>
              <w:ind w:left="109"/>
              <w:rPr>
                <w:sz w:val="20"/>
              </w:rPr>
            </w:pPr>
            <w:r>
              <w:rPr>
                <w:spacing w:val="-2"/>
                <w:sz w:val="20"/>
              </w:rPr>
              <w:t>StopWaste</w:t>
            </w:r>
          </w:p>
          <w:p w:rsidR="00C31389" w:rsidRDefault="00561FBD" w14:paraId="740E1619" w14:textId="77777777">
            <w:pPr>
              <w:pStyle w:val="TableParagraph"/>
              <w:ind w:left="109"/>
              <w:rPr>
                <w:sz w:val="20"/>
              </w:rPr>
            </w:pPr>
            <w:r>
              <w:rPr>
                <w:sz w:val="20"/>
              </w:rPr>
              <w:t>Frontier</w:t>
            </w:r>
            <w:r>
              <w:rPr>
                <w:spacing w:val="-4"/>
                <w:sz w:val="20"/>
              </w:rPr>
              <w:t xml:space="preserve"> </w:t>
            </w:r>
            <w:r>
              <w:rPr>
                <w:sz w:val="20"/>
              </w:rPr>
              <w:t>Energy,</w:t>
            </w:r>
            <w:r>
              <w:rPr>
                <w:spacing w:val="-3"/>
                <w:sz w:val="20"/>
              </w:rPr>
              <w:t xml:space="preserve"> </w:t>
            </w:r>
            <w:r>
              <w:rPr>
                <w:spacing w:val="-4"/>
                <w:sz w:val="20"/>
              </w:rPr>
              <w:t>Inc.</w:t>
            </w:r>
          </w:p>
        </w:tc>
        <w:tc>
          <w:tcPr>
            <w:tcW w:w="1408" w:type="dxa"/>
            <w:tcBorders>
              <w:top w:val="single" w:color="B6B6B6" w:sz="4" w:space="0"/>
              <w:bottom w:val="single" w:color="B6B6B6" w:sz="4" w:space="0"/>
            </w:tcBorders>
          </w:tcPr>
          <w:p w:rsidR="00C31389" w:rsidRDefault="00C31389" w14:paraId="5B72AA8D" w14:textId="77777777">
            <w:pPr>
              <w:pStyle w:val="TableParagraph"/>
              <w:spacing w:before="0"/>
              <w:rPr>
                <w:b/>
              </w:rPr>
            </w:pPr>
          </w:p>
          <w:p w:rsidR="00C31389" w:rsidRDefault="00561FBD" w14:paraId="5905CB99" w14:textId="77777777">
            <w:pPr>
              <w:pStyle w:val="TableParagraph"/>
              <w:spacing w:before="133"/>
              <w:ind w:left="121"/>
              <w:rPr>
                <w:sz w:val="20"/>
              </w:rPr>
            </w:pPr>
            <w:r>
              <w:rPr>
                <w:spacing w:val="-2"/>
                <w:sz w:val="20"/>
              </w:rPr>
              <w:t>BayREN</w:t>
            </w:r>
          </w:p>
        </w:tc>
        <w:tc>
          <w:tcPr>
            <w:tcW w:w="1316" w:type="dxa"/>
            <w:tcBorders>
              <w:top w:val="single" w:color="B6B6B6" w:sz="4" w:space="0"/>
              <w:bottom w:val="single" w:color="B6B6B6" w:sz="4" w:space="0"/>
            </w:tcBorders>
          </w:tcPr>
          <w:p w:rsidR="00C31389" w:rsidRDefault="00C31389" w14:paraId="4E608765" w14:textId="77777777">
            <w:pPr>
              <w:pStyle w:val="TableParagraph"/>
              <w:spacing w:before="0"/>
              <w:rPr>
                <w:b/>
              </w:rPr>
            </w:pPr>
          </w:p>
          <w:p w:rsidR="00C31389" w:rsidRDefault="00561FBD" w14:paraId="68370D39" w14:textId="77777777">
            <w:pPr>
              <w:pStyle w:val="TableParagraph"/>
              <w:spacing w:before="133"/>
              <w:ind w:right="421"/>
              <w:jc w:val="right"/>
              <w:rPr>
                <w:sz w:val="20"/>
              </w:rPr>
            </w:pPr>
            <w:r>
              <w:rPr>
                <w:spacing w:val="-4"/>
                <w:sz w:val="20"/>
              </w:rPr>
              <w:t>2022</w:t>
            </w:r>
          </w:p>
        </w:tc>
      </w:tr>
      <w:tr w:rsidR="00C31389" w14:paraId="3D838747" w14:textId="77777777">
        <w:trPr>
          <w:trHeight w:val="1230"/>
        </w:trPr>
        <w:tc>
          <w:tcPr>
            <w:tcW w:w="779" w:type="dxa"/>
            <w:tcBorders>
              <w:top w:val="single" w:color="B6B6B6" w:sz="4" w:space="0"/>
              <w:bottom w:val="single" w:color="B6B6B6" w:sz="4" w:space="0"/>
            </w:tcBorders>
          </w:tcPr>
          <w:p w:rsidR="00C31389" w:rsidRDefault="00C31389" w14:paraId="4CF84E58" w14:textId="77777777">
            <w:pPr>
              <w:pStyle w:val="TableParagraph"/>
              <w:spacing w:before="0"/>
              <w:rPr>
                <w:b/>
              </w:rPr>
            </w:pPr>
          </w:p>
          <w:p w:rsidR="00C31389" w:rsidRDefault="00C31389" w14:paraId="6CE270AA" w14:textId="77777777">
            <w:pPr>
              <w:pStyle w:val="TableParagraph"/>
              <w:spacing w:before="6"/>
              <w:rPr>
                <w:b/>
                <w:sz w:val="21"/>
              </w:rPr>
            </w:pPr>
          </w:p>
          <w:p w:rsidR="00C31389" w:rsidRDefault="00561FBD" w14:paraId="46091CC6" w14:textId="77777777">
            <w:pPr>
              <w:pStyle w:val="TableParagraph"/>
              <w:spacing w:before="0"/>
              <w:ind w:left="115"/>
              <w:rPr>
                <w:sz w:val="20"/>
              </w:rPr>
            </w:pPr>
            <w:r>
              <w:rPr>
                <w:spacing w:val="-5"/>
                <w:sz w:val="20"/>
              </w:rPr>
              <w:t>16</w:t>
            </w:r>
          </w:p>
        </w:tc>
        <w:tc>
          <w:tcPr>
            <w:tcW w:w="3364" w:type="dxa"/>
            <w:tcBorders>
              <w:top w:val="single" w:color="B6B6B6" w:sz="4" w:space="0"/>
              <w:bottom w:val="single" w:color="B6B6B6" w:sz="4" w:space="0"/>
            </w:tcBorders>
          </w:tcPr>
          <w:p w:rsidR="00C31389" w:rsidRDefault="00561FBD" w14:paraId="66A1AAE0" w14:textId="77777777">
            <w:pPr>
              <w:pStyle w:val="TableParagraph"/>
              <w:ind w:left="107" w:right="211"/>
              <w:rPr>
                <w:sz w:val="20"/>
              </w:rPr>
            </w:pPr>
            <w:r>
              <w:rPr>
                <w:sz w:val="20"/>
              </w:rPr>
              <w:t>Addressing an Electrification Roadblock:</w:t>
            </w:r>
            <w:r>
              <w:rPr>
                <w:spacing w:val="-14"/>
                <w:sz w:val="20"/>
              </w:rPr>
              <w:t xml:space="preserve"> </w:t>
            </w:r>
            <w:r>
              <w:rPr>
                <w:sz w:val="20"/>
              </w:rPr>
              <w:t>Residential</w:t>
            </w:r>
            <w:r>
              <w:rPr>
                <w:spacing w:val="-14"/>
                <w:sz w:val="20"/>
              </w:rPr>
              <w:t xml:space="preserve"> </w:t>
            </w:r>
            <w:r>
              <w:rPr>
                <w:sz w:val="20"/>
              </w:rPr>
              <w:t>Electric Panel Capacity: Analysis and Policy Recommendations on Electric Panel Sizing</w:t>
            </w:r>
          </w:p>
        </w:tc>
        <w:tc>
          <w:tcPr>
            <w:tcW w:w="2165" w:type="dxa"/>
            <w:tcBorders>
              <w:top w:val="single" w:color="B6B6B6" w:sz="4" w:space="0"/>
              <w:bottom w:val="single" w:color="B6B6B6" w:sz="4" w:space="0"/>
            </w:tcBorders>
          </w:tcPr>
          <w:p w:rsidR="00C31389" w:rsidRDefault="00C31389" w14:paraId="63253022" w14:textId="77777777">
            <w:pPr>
              <w:pStyle w:val="TableParagraph"/>
              <w:spacing w:before="0"/>
              <w:rPr>
                <w:b/>
              </w:rPr>
            </w:pPr>
          </w:p>
          <w:p w:rsidR="00C31389" w:rsidRDefault="00C31389" w14:paraId="24B4839C" w14:textId="77777777">
            <w:pPr>
              <w:pStyle w:val="TableParagraph"/>
              <w:spacing w:before="6"/>
              <w:rPr>
                <w:b/>
                <w:sz w:val="21"/>
              </w:rPr>
            </w:pPr>
          </w:p>
          <w:p w:rsidR="00C31389" w:rsidRDefault="00561FBD" w14:paraId="3C29C9CB" w14:textId="77777777">
            <w:pPr>
              <w:pStyle w:val="TableParagraph"/>
              <w:spacing w:before="1"/>
              <w:ind w:left="110"/>
              <w:rPr>
                <w:sz w:val="20"/>
              </w:rPr>
            </w:pPr>
            <w:r>
              <w:rPr>
                <w:sz w:val="20"/>
              </w:rPr>
              <w:t>Pecan</w:t>
            </w:r>
            <w:r>
              <w:rPr>
                <w:spacing w:val="-4"/>
                <w:sz w:val="20"/>
              </w:rPr>
              <w:t xml:space="preserve"> </w:t>
            </w:r>
            <w:r>
              <w:rPr>
                <w:spacing w:val="-2"/>
                <w:sz w:val="20"/>
              </w:rPr>
              <w:t>Street</w:t>
            </w:r>
          </w:p>
        </w:tc>
        <w:tc>
          <w:tcPr>
            <w:tcW w:w="1408" w:type="dxa"/>
            <w:tcBorders>
              <w:top w:val="single" w:color="B6B6B6" w:sz="4" w:space="0"/>
              <w:bottom w:val="single" w:color="B6B6B6" w:sz="4" w:space="0"/>
            </w:tcBorders>
          </w:tcPr>
          <w:p w:rsidR="00C31389" w:rsidRDefault="00C31389" w14:paraId="2A2F4D95" w14:textId="77777777">
            <w:pPr>
              <w:pStyle w:val="TableParagraph"/>
              <w:spacing w:before="0"/>
              <w:rPr>
                <w:b/>
              </w:rPr>
            </w:pPr>
          </w:p>
          <w:p w:rsidR="00C31389" w:rsidRDefault="00C31389" w14:paraId="73C028FD" w14:textId="77777777">
            <w:pPr>
              <w:pStyle w:val="TableParagraph"/>
              <w:spacing w:before="6"/>
              <w:rPr>
                <w:b/>
                <w:sz w:val="21"/>
              </w:rPr>
            </w:pPr>
          </w:p>
          <w:p w:rsidR="00C31389" w:rsidRDefault="00561FBD" w14:paraId="2DF16646" w14:textId="77777777">
            <w:pPr>
              <w:pStyle w:val="TableParagraph"/>
              <w:spacing w:before="1"/>
              <w:ind w:left="121"/>
              <w:rPr>
                <w:sz w:val="20"/>
              </w:rPr>
            </w:pPr>
            <w:r>
              <w:rPr>
                <w:sz w:val="20"/>
              </w:rPr>
              <w:t>Pecan</w:t>
            </w:r>
            <w:r>
              <w:rPr>
                <w:spacing w:val="-4"/>
                <w:sz w:val="20"/>
              </w:rPr>
              <w:t xml:space="preserve"> </w:t>
            </w:r>
            <w:r>
              <w:rPr>
                <w:spacing w:val="-2"/>
                <w:sz w:val="20"/>
              </w:rPr>
              <w:t>Street</w:t>
            </w:r>
          </w:p>
        </w:tc>
        <w:tc>
          <w:tcPr>
            <w:tcW w:w="1316" w:type="dxa"/>
            <w:tcBorders>
              <w:top w:val="single" w:color="B6B6B6" w:sz="4" w:space="0"/>
              <w:bottom w:val="single" w:color="B6B6B6" w:sz="4" w:space="0"/>
            </w:tcBorders>
          </w:tcPr>
          <w:p w:rsidR="00C31389" w:rsidRDefault="00C31389" w14:paraId="20ED68B8" w14:textId="77777777">
            <w:pPr>
              <w:pStyle w:val="TableParagraph"/>
              <w:spacing w:before="0"/>
              <w:rPr>
                <w:b/>
              </w:rPr>
            </w:pPr>
          </w:p>
          <w:p w:rsidR="00C31389" w:rsidRDefault="00C31389" w14:paraId="4ED713CA" w14:textId="77777777">
            <w:pPr>
              <w:pStyle w:val="TableParagraph"/>
              <w:spacing w:before="6"/>
              <w:rPr>
                <w:b/>
                <w:sz w:val="21"/>
              </w:rPr>
            </w:pPr>
          </w:p>
          <w:p w:rsidR="00C31389" w:rsidRDefault="00561FBD" w14:paraId="2C1F0806" w14:textId="77777777">
            <w:pPr>
              <w:pStyle w:val="TableParagraph"/>
              <w:spacing w:before="1"/>
              <w:ind w:right="421"/>
              <w:jc w:val="right"/>
              <w:rPr>
                <w:sz w:val="20"/>
              </w:rPr>
            </w:pPr>
            <w:r>
              <w:rPr>
                <w:spacing w:val="-4"/>
                <w:sz w:val="20"/>
              </w:rPr>
              <w:t>2021</w:t>
            </w:r>
          </w:p>
        </w:tc>
      </w:tr>
    </w:tbl>
    <w:p w:rsidR="00C31389" w:rsidRDefault="00561FBD" w14:paraId="79E97200" w14:textId="77777777">
      <w:pPr>
        <w:spacing w:before="70"/>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0BC76795" w14:textId="77777777">
      <w:pPr>
        <w:pStyle w:val="BodyText"/>
        <w:spacing w:before="10"/>
        <w:rPr>
          <w:i/>
          <w:sz w:val="20"/>
        </w:rPr>
      </w:pPr>
    </w:p>
    <w:p w:rsidR="00C31389" w:rsidRDefault="00561FBD" w14:paraId="7BDD8316" w14:textId="77777777">
      <w:pPr>
        <w:pStyle w:val="ListParagraph"/>
        <w:numPr>
          <w:ilvl w:val="1"/>
          <w:numId w:val="21"/>
        </w:numPr>
        <w:tabs>
          <w:tab w:val="left" w:pos="991"/>
        </w:tabs>
        <w:ind w:left="991" w:hanging="511"/>
        <w:rPr>
          <w:b/>
          <w:sz w:val="28"/>
        </w:rPr>
      </w:pPr>
      <w:bookmarkStart w:name="C.2_Findings" w:id="371"/>
      <w:bookmarkStart w:name="_bookmark279" w:id="372"/>
      <w:bookmarkEnd w:id="371"/>
      <w:bookmarkEnd w:id="372"/>
      <w:r>
        <w:rPr>
          <w:b/>
          <w:spacing w:val="-2"/>
          <w:sz w:val="28"/>
        </w:rPr>
        <w:t>Findings</w:t>
      </w:r>
    </w:p>
    <w:p w:rsidR="00C31389" w:rsidRDefault="00561FBD" w14:paraId="7BFAD987" w14:textId="77777777">
      <w:pPr>
        <w:pStyle w:val="ListParagraph"/>
        <w:numPr>
          <w:ilvl w:val="2"/>
          <w:numId w:val="21"/>
        </w:numPr>
        <w:tabs>
          <w:tab w:val="left" w:pos="1197"/>
        </w:tabs>
        <w:spacing w:before="241"/>
        <w:ind w:left="1197" w:hanging="717"/>
        <w:rPr>
          <w:b/>
          <w:sz w:val="24"/>
        </w:rPr>
      </w:pPr>
      <w:bookmarkStart w:name="C.2.1_Panel_Upgrade_Costs" w:id="373"/>
      <w:bookmarkStart w:name="_bookmark280" w:id="374"/>
      <w:bookmarkEnd w:id="373"/>
      <w:bookmarkEnd w:id="374"/>
      <w:r>
        <w:rPr>
          <w:b/>
          <w:sz w:val="24"/>
        </w:rPr>
        <w:t>Panel</w:t>
      </w:r>
      <w:r>
        <w:rPr>
          <w:b/>
          <w:spacing w:val="-3"/>
          <w:sz w:val="24"/>
        </w:rPr>
        <w:t xml:space="preserve"> </w:t>
      </w:r>
      <w:r>
        <w:rPr>
          <w:b/>
          <w:sz w:val="24"/>
        </w:rPr>
        <w:t>Upgrade</w:t>
      </w:r>
      <w:r>
        <w:rPr>
          <w:b/>
          <w:spacing w:val="-3"/>
          <w:sz w:val="24"/>
        </w:rPr>
        <w:t xml:space="preserve"> </w:t>
      </w:r>
      <w:r>
        <w:rPr>
          <w:b/>
          <w:spacing w:val="-2"/>
          <w:sz w:val="24"/>
        </w:rPr>
        <w:t>Costs</w:t>
      </w:r>
    </w:p>
    <w:p w:rsidR="00C31389" w:rsidRDefault="00C31389" w14:paraId="6177F7AB" w14:textId="77777777">
      <w:pPr>
        <w:rPr>
          <w:sz w:val="24"/>
        </w:rPr>
        <w:sectPr w:rsidR="00C31389">
          <w:headerReference w:type="default" r:id="rId238"/>
          <w:footerReference w:type="default" r:id="rId239"/>
          <w:pgSz w:w="11910" w:h="16840"/>
          <w:pgMar w:top="1660" w:right="1020" w:bottom="1120" w:left="960" w:header="397" w:footer="938" w:gutter="0"/>
          <w:cols w:space="720"/>
        </w:sectPr>
      </w:pPr>
    </w:p>
    <w:p w:rsidR="00C31389" w:rsidRDefault="00C31389" w14:paraId="52653D0D" w14:textId="77777777">
      <w:pPr>
        <w:pStyle w:val="BodyText"/>
        <w:spacing w:before="11"/>
        <w:rPr>
          <w:b/>
          <w:sz w:val="13"/>
        </w:rPr>
      </w:pPr>
    </w:p>
    <w:p w:rsidR="00C31389" w:rsidRDefault="00561FBD" w14:paraId="10E40513" w14:textId="77777777">
      <w:pPr>
        <w:pStyle w:val="BodyText"/>
        <w:spacing w:before="92"/>
        <w:ind w:left="480"/>
      </w:pPr>
      <w:r>
        <w:t>The</w:t>
      </w:r>
      <w:r>
        <w:rPr>
          <w:spacing w:val="-8"/>
        </w:rPr>
        <w:t xml:space="preserve"> </w:t>
      </w:r>
      <w:r>
        <w:t>electric</w:t>
      </w:r>
      <w:r>
        <w:rPr>
          <w:spacing w:val="-9"/>
        </w:rPr>
        <w:t xml:space="preserve"> </w:t>
      </w:r>
      <w:r>
        <w:t>panel</w:t>
      </w:r>
      <w:r>
        <w:rPr>
          <w:spacing w:val="-7"/>
        </w:rPr>
        <w:t xml:space="preserve"> </w:t>
      </w:r>
      <w:r>
        <w:t>upgrade</w:t>
      </w:r>
      <w:r>
        <w:rPr>
          <w:spacing w:val="-7"/>
        </w:rPr>
        <w:t xml:space="preserve"> </w:t>
      </w:r>
      <w:r>
        <w:t>costs</w:t>
      </w:r>
      <w:r>
        <w:rPr>
          <w:spacing w:val="-8"/>
        </w:rPr>
        <w:t xml:space="preserve"> </w:t>
      </w:r>
      <w:r>
        <w:t>for</w:t>
      </w:r>
      <w:r>
        <w:rPr>
          <w:spacing w:val="-9"/>
        </w:rPr>
        <w:t xml:space="preserve"> </w:t>
      </w:r>
      <w:r>
        <w:t>single-family</w:t>
      </w:r>
      <w:r>
        <w:rPr>
          <w:spacing w:val="-8"/>
        </w:rPr>
        <w:t xml:space="preserve"> </w:t>
      </w:r>
      <w:r>
        <w:t>homes</w:t>
      </w:r>
      <w:r>
        <w:rPr>
          <w:spacing w:val="-7"/>
        </w:rPr>
        <w:t xml:space="preserve"> </w:t>
      </w:r>
      <w:r>
        <w:t>vary</w:t>
      </w:r>
      <w:r>
        <w:rPr>
          <w:spacing w:val="-8"/>
        </w:rPr>
        <w:t xml:space="preserve"> </w:t>
      </w:r>
      <w:r>
        <w:t>considerably,</w:t>
      </w:r>
      <w:r>
        <w:rPr>
          <w:spacing w:val="-7"/>
        </w:rPr>
        <w:t xml:space="preserve"> </w:t>
      </w:r>
      <w:r>
        <w:t>ranging</w:t>
      </w:r>
      <w:r>
        <w:rPr>
          <w:spacing w:val="-8"/>
        </w:rPr>
        <w:t xml:space="preserve"> </w:t>
      </w:r>
      <w:r>
        <w:rPr>
          <w:spacing w:val="-4"/>
        </w:rPr>
        <w:t>from</w:t>
      </w:r>
    </w:p>
    <w:p w:rsidR="00C31389" w:rsidRDefault="00561FBD" w14:paraId="16A36C37" w14:textId="77777777">
      <w:pPr>
        <w:pStyle w:val="BodyText"/>
        <w:spacing w:before="1"/>
        <w:ind w:left="479" w:right="418"/>
      </w:pPr>
      <w:r>
        <w:t xml:space="preserve">$1,900 to $8,188, with a rough average </w:t>
      </w:r>
      <w:r>
        <w:t>cost of about $4,600. For multifamily buildings, the cost</w:t>
      </w:r>
      <w:r>
        <w:rPr>
          <w:spacing w:val="-3"/>
        </w:rPr>
        <w:t xml:space="preserve"> </w:t>
      </w:r>
      <w:r>
        <w:t>ranges</w:t>
      </w:r>
      <w:r>
        <w:rPr>
          <w:spacing w:val="-4"/>
        </w:rPr>
        <w:t xml:space="preserve"> </w:t>
      </w:r>
      <w:r>
        <w:t>from</w:t>
      </w:r>
      <w:r>
        <w:rPr>
          <w:spacing w:val="-4"/>
        </w:rPr>
        <w:t xml:space="preserve"> </w:t>
      </w:r>
      <w:r>
        <w:t>$11,500–$122,000</w:t>
      </w:r>
      <w:r>
        <w:rPr>
          <w:spacing w:val="-4"/>
        </w:rPr>
        <w:t xml:space="preserve"> </w:t>
      </w:r>
      <w:r>
        <w:t>depending</w:t>
      </w:r>
      <w:r>
        <w:rPr>
          <w:spacing w:val="-3"/>
        </w:rPr>
        <w:t xml:space="preserve"> </w:t>
      </w:r>
      <w:r>
        <w:t>on</w:t>
      </w:r>
      <w:r>
        <w:rPr>
          <w:spacing w:val="-3"/>
        </w:rPr>
        <w:t xml:space="preserve"> </w:t>
      </w:r>
      <w:r>
        <w:t>the</w:t>
      </w:r>
      <w:r>
        <w:rPr>
          <w:spacing w:val="-3"/>
        </w:rPr>
        <w:t xml:space="preserve"> </w:t>
      </w:r>
      <w:r>
        <w:t>number</w:t>
      </w:r>
      <w:r>
        <w:rPr>
          <w:spacing w:val="-3"/>
        </w:rPr>
        <w:t xml:space="preserve"> </w:t>
      </w:r>
      <w:r>
        <w:t>of</w:t>
      </w:r>
      <w:r>
        <w:rPr>
          <w:spacing w:val="-3"/>
        </w:rPr>
        <w:t xml:space="preserve"> </w:t>
      </w:r>
      <w:r>
        <w:t>units</w:t>
      </w:r>
      <w:r>
        <w:rPr>
          <w:spacing w:val="-3"/>
        </w:rPr>
        <w:t xml:space="preserve"> </w:t>
      </w:r>
      <w:r>
        <w:t>and</w:t>
      </w:r>
      <w:r>
        <w:rPr>
          <w:spacing w:val="-3"/>
        </w:rPr>
        <w:t xml:space="preserve"> </w:t>
      </w:r>
      <w:r>
        <w:t>the</w:t>
      </w:r>
      <w:r>
        <w:rPr>
          <w:spacing w:val="-3"/>
        </w:rPr>
        <w:t xml:space="preserve"> </w:t>
      </w:r>
      <w:r>
        <w:t>complexity</w:t>
      </w:r>
      <w:r>
        <w:rPr>
          <w:spacing w:val="-3"/>
        </w:rPr>
        <w:t xml:space="preserve"> </w:t>
      </w:r>
      <w:r>
        <w:t xml:space="preserve">of the upgrade. </w:t>
      </w:r>
      <w:hyperlink w:history="1" w:anchor="_bookmark281">
        <w:r>
          <w:t>Table C-2</w:t>
        </w:r>
      </w:hyperlink>
      <w:r>
        <w:t xml:space="preserve"> provides a detailed summary as presented in the reports, including the cost breakdown for both multifamily and single-family homes.</w:t>
      </w:r>
    </w:p>
    <w:p w:rsidR="00C31389" w:rsidRDefault="00561FBD" w14:paraId="167B4A4E" w14:textId="77777777">
      <w:pPr>
        <w:pStyle w:val="BodyText"/>
        <w:spacing w:before="199"/>
        <w:ind w:left="479" w:right="417"/>
        <w:jc w:val="both"/>
      </w:pPr>
      <w:r>
        <w:t>These</w:t>
      </w:r>
      <w:r>
        <w:rPr>
          <w:spacing w:val="-3"/>
        </w:rPr>
        <w:t xml:space="preserve"> </w:t>
      </w:r>
      <w:r>
        <w:t>costs</w:t>
      </w:r>
      <w:r>
        <w:rPr>
          <w:spacing w:val="-4"/>
        </w:rPr>
        <w:t xml:space="preserve"> </w:t>
      </w:r>
      <w:r>
        <w:t>represent</w:t>
      </w:r>
      <w:r>
        <w:rPr>
          <w:spacing w:val="-3"/>
        </w:rPr>
        <w:t xml:space="preserve"> </w:t>
      </w:r>
      <w:r>
        <w:t>a</w:t>
      </w:r>
      <w:r>
        <w:rPr>
          <w:spacing w:val="-3"/>
        </w:rPr>
        <w:t xml:space="preserve"> </w:t>
      </w:r>
      <w:r>
        <w:t>variety</w:t>
      </w:r>
      <w:r>
        <w:rPr>
          <w:spacing w:val="-3"/>
        </w:rPr>
        <w:t xml:space="preserve"> </w:t>
      </w:r>
      <w:r>
        <w:t>of</w:t>
      </w:r>
      <w:r>
        <w:rPr>
          <w:spacing w:val="-3"/>
        </w:rPr>
        <w:t xml:space="preserve"> </w:t>
      </w:r>
      <w:r>
        <w:t>scenarios</w:t>
      </w:r>
      <w:r>
        <w:rPr>
          <w:spacing w:val="-3"/>
        </w:rPr>
        <w:t xml:space="preserve"> </w:t>
      </w:r>
      <w:r>
        <w:t>and</w:t>
      </w:r>
      <w:r>
        <w:rPr>
          <w:spacing w:val="-3"/>
        </w:rPr>
        <w:t xml:space="preserve"> </w:t>
      </w:r>
      <w:r>
        <w:t>also</w:t>
      </w:r>
      <w:r>
        <w:rPr>
          <w:spacing w:val="-3"/>
        </w:rPr>
        <w:t xml:space="preserve"> </w:t>
      </w:r>
      <w:r>
        <w:t>show</w:t>
      </w:r>
      <w:r>
        <w:rPr>
          <w:spacing w:val="-4"/>
        </w:rPr>
        <w:t xml:space="preserve"> </w:t>
      </w:r>
      <w:r>
        <w:t>significant</w:t>
      </w:r>
      <w:r>
        <w:rPr>
          <w:spacing w:val="-3"/>
        </w:rPr>
        <w:t xml:space="preserve"> </w:t>
      </w:r>
      <w:r>
        <w:t>variation</w:t>
      </w:r>
      <w:r>
        <w:rPr>
          <w:spacing w:val="-3"/>
        </w:rPr>
        <w:t xml:space="preserve"> </w:t>
      </w:r>
      <w:r>
        <w:t>in</w:t>
      </w:r>
      <w:r>
        <w:rPr>
          <w:spacing w:val="-3"/>
        </w:rPr>
        <w:t xml:space="preserve"> </w:t>
      </w:r>
      <w:r>
        <w:t>the</w:t>
      </w:r>
      <w:r>
        <w:rPr>
          <w:spacing w:val="-3"/>
        </w:rPr>
        <w:t xml:space="preserve"> </w:t>
      </w:r>
      <w:r>
        <w:t>type</w:t>
      </w:r>
      <w:r>
        <w:rPr>
          <w:spacing w:val="-3"/>
        </w:rPr>
        <w:t xml:space="preserve"> </w:t>
      </w:r>
      <w:r>
        <w:t>of costs reported. The majority of studies report only total average cost ranges, do not provide the underlying data on which the study is based, and do not include the individual cost elements.</w:t>
      </w:r>
      <w:r>
        <w:rPr>
          <w:spacing w:val="-8"/>
        </w:rPr>
        <w:t xml:space="preserve"> </w:t>
      </w:r>
      <w:r>
        <w:t>Others</w:t>
      </w:r>
      <w:r>
        <w:rPr>
          <w:spacing w:val="-8"/>
        </w:rPr>
        <w:t xml:space="preserve"> </w:t>
      </w:r>
      <w:r>
        <w:t>provide</w:t>
      </w:r>
      <w:r>
        <w:rPr>
          <w:spacing w:val="-8"/>
        </w:rPr>
        <w:t xml:space="preserve"> </w:t>
      </w:r>
      <w:r>
        <w:t>details</w:t>
      </w:r>
      <w:r>
        <w:rPr>
          <w:spacing w:val="-8"/>
        </w:rPr>
        <w:t xml:space="preserve"> </w:t>
      </w:r>
      <w:r>
        <w:t>including</w:t>
      </w:r>
      <w:r>
        <w:rPr>
          <w:spacing w:val="-8"/>
        </w:rPr>
        <w:t xml:space="preserve"> </w:t>
      </w:r>
      <w:r>
        <w:t>labor,</w:t>
      </w:r>
      <w:r>
        <w:rPr>
          <w:spacing w:val="-8"/>
        </w:rPr>
        <w:t xml:space="preserve"> </w:t>
      </w:r>
      <w:r>
        <w:t>permits,</w:t>
      </w:r>
      <w:r>
        <w:rPr>
          <w:spacing w:val="-8"/>
        </w:rPr>
        <w:t xml:space="preserve"> </w:t>
      </w:r>
      <w:r>
        <w:t>new</w:t>
      </w:r>
      <w:r>
        <w:rPr>
          <w:spacing w:val="-8"/>
        </w:rPr>
        <w:t xml:space="preserve"> </w:t>
      </w:r>
      <w:r>
        <w:t>sub</w:t>
      </w:r>
      <w:r>
        <w:t>panels,</w:t>
      </w:r>
      <w:r>
        <w:rPr>
          <w:spacing w:val="-8"/>
        </w:rPr>
        <w:t xml:space="preserve"> </w:t>
      </w:r>
      <w:r>
        <w:t>new</w:t>
      </w:r>
      <w:r>
        <w:rPr>
          <w:spacing w:val="-8"/>
        </w:rPr>
        <w:t xml:space="preserve"> </w:t>
      </w:r>
      <w:r>
        <w:t>branch</w:t>
      </w:r>
      <w:r>
        <w:rPr>
          <w:spacing w:val="-8"/>
        </w:rPr>
        <w:t xml:space="preserve"> </w:t>
      </w:r>
      <w:r>
        <w:t>circuits and</w:t>
      </w:r>
      <w:r>
        <w:rPr>
          <w:spacing w:val="-4"/>
        </w:rPr>
        <w:t xml:space="preserve"> </w:t>
      </w:r>
      <w:r>
        <w:t>outlets,</w:t>
      </w:r>
      <w:r>
        <w:rPr>
          <w:spacing w:val="-6"/>
        </w:rPr>
        <w:t xml:space="preserve"> </w:t>
      </w:r>
      <w:r>
        <w:t>upsizing,</w:t>
      </w:r>
      <w:r>
        <w:rPr>
          <w:spacing w:val="-6"/>
        </w:rPr>
        <w:t xml:space="preserve"> </w:t>
      </w:r>
      <w:r>
        <w:t>service</w:t>
      </w:r>
      <w:r>
        <w:rPr>
          <w:spacing w:val="-4"/>
        </w:rPr>
        <w:t xml:space="preserve"> </w:t>
      </w:r>
      <w:r>
        <w:t>connection</w:t>
      </w:r>
      <w:r>
        <w:rPr>
          <w:spacing w:val="-4"/>
        </w:rPr>
        <w:t xml:space="preserve"> </w:t>
      </w:r>
      <w:r>
        <w:t>fees,</w:t>
      </w:r>
      <w:r>
        <w:rPr>
          <w:spacing w:val="-4"/>
        </w:rPr>
        <w:t xml:space="preserve"> </w:t>
      </w:r>
      <w:r>
        <w:t>and</w:t>
      </w:r>
      <w:r>
        <w:rPr>
          <w:spacing w:val="-4"/>
        </w:rPr>
        <w:t xml:space="preserve"> </w:t>
      </w:r>
      <w:r>
        <w:t>other</w:t>
      </w:r>
      <w:r>
        <w:rPr>
          <w:spacing w:val="-5"/>
        </w:rPr>
        <w:t xml:space="preserve"> </w:t>
      </w:r>
      <w:r>
        <w:t>miscellaneous</w:t>
      </w:r>
      <w:r>
        <w:rPr>
          <w:spacing w:val="-5"/>
        </w:rPr>
        <w:t xml:space="preserve"> </w:t>
      </w:r>
      <w:r>
        <w:t>services.</w:t>
      </w:r>
      <w:r>
        <w:rPr>
          <w:spacing w:val="-4"/>
        </w:rPr>
        <w:t xml:space="preserve"> </w:t>
      </w:r>
      <w:r>
        <w:t>Without</w:t>
      </w:r>
      <w:r>
        <w:rPr>
          <w:spacing w:val="-4"/>
        </w:rPr>
        <w:t xml:space="preserve"> </w:t>
      </w:r>
      <w:r>
        <w:t>the site-level</w:t>
      </w:r>
      <w:r>
        <w:rPr>
          <w:spacing w:val="-10"/>
        </w:rPr>
        <w:t xml:space="preserve"> </w:t>
      </w:r>
      <w:r>
        <w:t>source</w:t>
      </w:r>
      <w:r>
        <w:rPr>
          <w:spacing w:val="-11"/>
        </w:rPr>
        <w:t xml:space="preserve"> </w:t>
      </w:r>
      <w:r>
        <w:t>data</w:t>
      </w:r>
      <w:r>
        <w:rPr>
          <w:spacing w:val="-11"/>
        </w:rPr>
        <w:t xml:space="preserve"> </w:t>
      </w:r>
      <w:r>
        <w:t>used</w:t>
      </w:r>
      <w:r>
        <w:rPr>
          <w:spacing w:val="-11"/>
        </w:rPr>
        <w:t xml:space="preserve"> </w:t>
      </w:r>
      <w:r>
        <w:t>to</w:t>
      </w:r>
      <w:r>
        <w:rPr>
          <w:spacing w:val="-11"/>
        </w:rPr>
        <w:t xml:space="preserve"> </w:t>
      </w:r>
      <w:r>
        <w:t>develop</w:t>
      </w:r>
      <w:r>
        <w:rPr>
          <w:spacing w:val="-11"/>
        </w:rPr>
        <w:t xml:space="preserve"> </w:t>
      </w:r>
      <w:r>
        <w:t>the</w:t>
      </w:r>
      <w:r>
        <w:rPr>
          <w:spacing w:val="-11"/>
        </w:rPr>
        <w:t xml:space="preserve"> </w:t>
      </w:r>
      <w:r>
        <w:t>costs</w:t>
      </w:r>
      <w:r>
        <w:rPr>
          <w:spacing w:val="-10"/>
        </w:rPr>
        <w:t xml:space="preserve"> </w:t>
      </w:r>
      <w:r>
        <w:t>for</w:t>
      </w:r>
      <w:r>
        <w:rPr>
          <w:spacing w:val="-11"/>
        </w:rPr>
        <w:t xml:space="preserve"> </w:t>
      </w:r>
      <w:r>
        <w:t>these</w:t>
      </w:r>
      <w:r>
        <w:rPr>
          <w:spacing w:val="-11"/>
        </w:rPr>
        <w:t xml:space="preserve"> </w:t>
      </w:r>
      <w:r>
        <w:t>studies,</w:t>
      </w:r>
      <w:r>
        <w:rPr>
          <w:spacing w:val="-11"/>
        </w:rPr>
        <w:t xml:space="preserve"> </w:t>
      </w:r>
      <w:r>
        <w:t>it</w:t>
      </w:r>
      <w:r>
        <w:rPr>
          <w:spacing w:val="-11"/>
        </w:rPr>
        <w:t xml:space="preserve"> </w:t>
      </w:r>
      <w:r>
        <w:t>is</w:t>
      </w:r>
      <w:r>
        <w:rPr>
          <w:spacing w:val="-10"/>
        </w:rPr>
        <w:t xml:space="preserve"> </w:t>
      </w:r>
      <w:r>
        <w:t>difficult</w:t>
      </w:r>
      <w:r>
        <w:rPr>
          <w:spacing w:val="-11"/>
        </w:rPr>
        <w:t xml:space="preserve"> </w:t>
      </w:r>
      <w:r>
        <w:t>to</w:t>
      </w:r>
      <w:r>
        <w:rPr>
          <w:spacing w:val="-9"/>
        </w:rPr>
        <w:t xml:space="preserve"> </w:t>
      </w:r>
      <w:r>
        <w:t>develop</w:t>
      </w:r>
      <w:r>
        <w:rPr>
          <w:spacing w:val="-11"/>
        </w:rPr>
        <w:t xml:space="preserve"> </w:t>
      </w:r>
      <w:r>
        <w:t xml:space="preserve">costs </w:t>
      </w:r>
      <w:r>
        <w:rPr>
          <w:spacing w:val="-2"/>
        </w:rPr>
        <w:t>consistently.</w:t>
      </w:r>
    </w:p>
    <w:p w:rsidR="00C31389" w:rsidRDefault="00C31389" w14:paraId="12DE6163" w14:textId="77777777">
      <w:pPr>
        <w:pStyle w:val="BodyText"/>
        <w:spacing w:before="4"/>
        <w:rPr>
          <w:sz w:val="9"/>
        </w:rPr>
      </w:pPr>
    </w:p>
    <w:p w:rsidR="00C31389" w:rsidRDefault="00561FBD" w14:paraId="784ADEA4" w14:textId="77777777">
      <w:pPr>
        <w:pStyle w:val="Heading7"/>
        <w:spacing w:before="93"/>
        <w:ind w:left="398" w:right="340"/>
        <w:jc w:val="center"/>
      </w:pPr>
      <w:r>
        <w:rPr>
          <w:noProof/>
        </w:rPr>
        <mc:AlternateContent>
          <mc:Choice Requires="wpg">
            <w:drawing>
              <wp:anchor distT="0" distB="0" distL="0" distR="0" simplePos="0" relativeHeight="15836160" behindDoc="0" locked="0" layoutInCell="1" allowOverlap="1" wp14:editId="1245C282" wp14:anchorId="40AB9A28">
                <wp:simplePos x="0" y="0"/>
                <wp:positionH relativeFrom="page">
                  <wp:posOffset>608076</wp:posOffset>
                </wp:positionH>
                <wp:positionV relativeFrom="paragraph">
                  <wp:posOffset>295983</wp:posOffset>
                </wp:positionV>
                <wp:extent cx="6344920" cy="298450"/>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298450"/>
                          <a:chOff x="0" y="0"/>
                          <a:chExt cx="6344920" cy="298450"/>
                        </a:xfrm>
                      </wpg:grpSpPr>
                      <wps:wsp>
                        <wps:cNvPr id="704" name="Graphic 704"/>
                        <wps:cNvSpPr/>
                        <wps:spPr>
                          <a:xfrm>
                            <a:off x="0" y="0"/>
                            <a:ext cx="6344920" cy="292100"/>
                          </a:xfrm>
                          <a:custGeom>
                            <a:avLst/>
                            <a:gdLst/>
                            <a:ahLst/>
                            <a:cxnLst/>
                            <a:rect l="l" t="t" r="r" b="b"/>
                            <a:pathLst>
                              <a:path w="6344920" h="292100">
                                <a:moveTo>
                                  <a:pt x="6344399" y="0"/>
                                </a:moveTo>
                                <a:lnTo>
                                  <a:pt x="4760214" y="0"/>
                                </a:lnTo>
                                <a:lnTo>
                                  <a:pt x="4114800" y="0"/>
                                </a:lnTo>
                                <a:lnTo>
                                  <a:pt x="1018019" y="0"/>
                                </a:lnTo>
                                <a:lnTo>
                                  <a:pt x="0" y="0"/>
                                </a:lnTo>
                                <a:lnTo>
                                  <a:pt x="0" y="291846"/>
                                </a:lnTo>
                                <a:lnTo>
                                  <a:pt x="1018019" y="291846"/>
                                </a:lnTo>
                                <a:lnTo>
                                  <a:pt x="4114800" y="291846"/>
                                </a:lnTo>
                                <a:lnTo>
                                  <a:pt x="4760214" y="291846"/>
                                </a:lnTo>
                                <a:lnTo>
                                  <a:pt x="6344399" y="291846"/>
                                </a:lnTo>
                                <a:lnTo>
                                  <a:pt x="6344399" y="0"/>
                                </a:lnTo>
                                <a:close/>
                              </a:path>
                            </a:pathLst>
                          </a:custGeom>
                          <a:solidFill>
                            <a:srgbClr val="92D400"/>
                          </a:solidFill>
                        </wps:spPr>
                        <wps:bodyPr wrap="square" lIns="0" tIns="0" rIns="0" bIns="0" rtlCol="0">
                          <a:prstTxWarp prst="textNoShape">
                            <a:avLst/>
                          </a:prstTxWarp>
                          <a:noAutofit/>
                        </wps:bodyPr>
                      </wps:wsp>
                      <wps:wsp>
                        <wps:cNvPr id="705" name="Graphic 705"/>
                        <wps:cNvSpPr/>
                        <wps:spPr>
                          <a:xfrm>
                            <a:off x="0" y="291845"/>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wps:wsp>
                        <wps:cNvPr id="706" name="Textbox 706"/>
                        <wps:cNvSpPr txBox="1"/>
                        <wps:spPr>
                          <a:xfrm>
                            <a:off x="68580" y="89778"/>
                            <a:ext cx="852805" cy="142240"/>
                          </a:xfrm>
                          <a:prstGeom prst="rect">
                            <a:avLst/>
                          </a:prstGeom>
                        </wps:spPr>
                        <wps:txbx>
                          <w:txbxContent>
                            <w:p w:rsidR="00C31389" w:rsidRDefault="00561FBD" w14:paraId="19F2C7C9" w14:textId="77777777">
                              <w:pPr>
                                <w:spacing w:line="224" w:lineRule="exact"/>
                                <w:rPr>
                                  <w:b/>
                                  <w:sz w:val="20"/>
                                </w:rPr>
                              </w:pPr>
                              <w:r>
                                <w:rPr>
                                  <w:b/>
                                  <w:sz w:val="20"/>
                                </w:rPr>
                                <w:t>Building</w:t>
                              </w:r>
                              <w:r>
                                <w:rPr>
                                  <w:b/>
                                  <w:spacing w:val="-6"/>
                                  <w:sz w:val="20"/>
                                </w:rPr>
                                <w:t xml:space="preserve"> </w:t>
                              </w:r>
                              <w:r>
                                <w:rPr>
                                  <w:b/>
                                  <w:spacing w:val="-4"/>
                                  <w:sz w:val="20"/>
                                </w:rPr>
                                <w:t>Type</w:t>
                              </w:r>
                            </w:p>
                          </w:txbxContent>
                        </wps:txbx>
                        <wps:bodyPr wrap="square" lIns="0" tIns="0" rIns="0" bIns="0" rtlCol="0">
                          <a:noAutofit/>
                        </wps:bodyPr>
                      </wps:wsp>
                      <wps:wsp>
                        <wps:cNvPr id="707" name="Textbox 707"/>
                        <wps:cNvSpPr txBox="1"/>
                        <wps:spPr>
                          <a:xfrm>
                            <a:off x="2424683" y="76824"/>
                            <a:ext cx="294640" cy="142240"/>
                          </a:xfrm>
                          <a:prstGeom prst="rect">
                            <a:avLst/>
                          </a:prstGeom>
                        </wps:spPr>
                        <wps:txbx>
                          <w:txbxContent>
                            <w:p w:rsidR="00C31389" w:rsidRDefault="00561FBD" w14:paraId="6A522395" w14:textId="77777777">
                              <w:pPr>
                                <w:spacing w:line="224" w:lineRule="exact"/>
                                <w:rPr>
                                  <w:b/>
                                  <w:sz w:val="20"/>
                                </w:rPr>
                              </w:pPr>
                              <w:r>
                                <w:rPr>
                                  <w:b/>
                                  <w:spacing w:val="-4"/>
                                  <w:sz w:val="20"/>
                                </w:rPr>
                                <w:t>Cost</w:t>
                              </w:r>
                            </w:p>
                          </w:txbxContent>
                        </wps:txbx>
                        <wps:bodyPr wrap="square" lIns="0" tIns="0" rIns="0" bIns="0" rtlCol="0">
                          <a:noAutofit/>
                        </wps:bodyPr>
                      </wps:wsp>
                      <wps:wsp>
                        <wps:cNvPr id="708" name="Textbox 708"/>
                        <wps:cNvSpPr txBox="1"/>
                        <wps:spPr>
                          <a:xfrm>
                            <a:off x="4216146" y="4434"/>
                            <a:ext cx="443865" cy="234315"/>
                          </a:xfrm>
                          <a:prstGeom prst="rect">
                            <a:avLst/>
                          </a:prstGeom>
                        </wps:spPr>
                        <wps:txbx>
                          <w:txbxContent>
                            <w:p w:rsidR="00C31389" w:rsidRDefault="00561FBD" w14:paraId="6E9F25DD" w14:textId="77777777">
                              <w:pPr>
                                <w:spacing w:line="221" w:lineRule="exact"/>
                                <w:ind w:right="18"/>
                                <w:jc w:val="center"/>
                                <w:rPr>
                                  <w:b/>
                                  <w:sz w:val="20"/>
                                </w:rPr>
                              </w:pPr>
                              <w:r>
                                <w:rPr>
                                  <w:b/>
                                  <w:spacing w:val="-2"/>
                                  <w:sz w:val="20"/>
                                </w:rPr>
                                <w:t>Source</w:t>
                              </w:r>
                            </w:p>
                            <w:p w:rsidR="00C31389" w:rsidRDefault="00561FBD" w14:paraId="6A7C7051" w14:textId="77777777">
                              <w:pPr>
                                <w:spacing w:line="147" w:lineRule="exact"/>
                                <w:jc w:val="center"/>
                                <w:rPr>
                                  <w:b/>
                                  <w:sz w:val="13"/>
                                </w:rPr>
                              </w:pPr>
                              <w:hyperlink w:history="1" w:anchor="_bookmark282">
                                <w:r>
                                  <w:rPr>
                                    <w:b/>
                                    <w:spacing w:val="-5"/>
                                    <w:sz w:val="13"/>
                                  </w:rPr>
                                  <w:t>84</w:t>
                                </w:r>
                              </w:hyperlink>
                            </w:p>
                          </w:txbxContent>
                        </wps:txbx>
                        <wps:bodyPr wrap="square" lIns="0" tIns="0" rIns="0" bIns="0" rtlCol="0">
                          <a:noAutofit/>
                        </wps:bodyPr>
                      </wps:wsp>
                      <wps:wsp>
                        <wps:cNvPr id="709" name="Textbox 709"/>
                        <wps:cNvSpPr txBox="1"/>
                        <wps:spPr>
                          <a:xfrm>
                            <a:off x="4828794" y="4434"/>
                            <a:ext cx="1347470" cy="288290"/>
                          </a:xfrm>
                          <a:prstGeom prst="rect">
                            <a:avLst/>
                          </a:prstGeom>
                        </wps:spPr>
                        <wps:txbx>
                          <w:txbxContent>
                            <w:p w:rsidR="00C31389" w:rsidRDefault="00561FBD" w14:paraId="346A4C60" w14:textId="77777777">
                              <w:pPr>
                                <w:ind w:right="15"/>
                                <w:rPr>
                                  <w:b/>
                                  <w:sz w:val="20"/>
                                </w:rPr>
                              </w:pPr>
                              <w:r>
                                <w:rPr>
                                  <w:b/>
                                  <w:sz w:val="20"/>
                                </w:rPr>
                                <w:t>Comments</w:t>
                              </w:r>
                              <w:r>
                                <w:rPr>
                                  <w:b/>
                                  <w:spacing w:val="-14"/>
                                  <w:sz w:val="20"/>
                                </w:rPr>
                                <w:t xml:space="preserve"> </w:t>
                              </w:r>
                              <w:r>
                                <w:rPr>
                                  <w:b/>
                                  <w:sz w:val="20"/>
                                </w:rPr>
                                <w:t>(Reliability of the Source)</w:t>
                              </w:r>
                            </w:p>
                          </w:txbxContent>
                        </wps:txbx>
                        <wps:bodyPr wrap="square" lIns="0" tIns="0" rIns="0" bIns="0" rtlCol="0">
                          <a:noAutofit/>
                        </wps:bodyPr>
                      </wps:wsp>
                    </wpg:wgp>
                  </a:graphicData>
                </a:graphic>
              </wp:anchor>
            </w:drawing>
          </mc:Choice>
          <mc:Fallback>
            <w:pict>
              <v:group id="Group 703" style="position:absolute;left:0;text-align:left;margin-left:47.9pt;margin-top:23.3pt;width:499.6pt;height:23.5pt;z-index:15836160;mso-wrap-distance-left:0;mso-wrap-distance-right:0;mso-position-horizontal-relative:page;mso-position-vertical-relative:text" coordsize="63449,2984" o:spid="_x0000_s1202" w14:anchorId="40AB9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">
                <v:shape id="Graphic 704" style="position:absolute;width:63449;height:2921;visibility:visible;mso-wrap-style:square;v-text-anchor:top" coordsize="6344920,292100" o:spid="_x0000_s1203" fillcolor="#92d400" stroked="f" path="m6344399,l4760214,,4114800,,1018019,,,,,291846r1018019,l4114800,291846r645414,l6344399,291846,6344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">
                  <v:path arrowok="t"/>
                </v:shape>
                <v:shape id="Graphic 705" style="position:absolute;top:2918;width:62960;height:63;visibility:visible;mso-wrap-style:square;v-text-anchor:top" coordsize="6296025,6350" o:spid="_x0000_s1204" fillcolor="#b6b6b6" stroked="f" path="m6295644,r,l,,,6096r6295644,l6295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">
                  <v:path arrowok="t"/>
                </v:shape>
                <v:shape id="Textbox 706" style="position:absolute;left:685;top:897;width:8528;height:1423;visibility:visible;mso-wrap-style:square;v-text-anchor:top" o:spid="_x0000_s120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v:textbox inset="0,0,0,0">
                    <w:txbxContent>
                      <w:p w:rsidR="00C31389" w:rsidRDefault="00561FBD" w14:paraId="19F2C7C9" w14:textId="77777777">
                        <w:pPr>
                          <w:spacing w:line="224" w:lineRule="exact"/>
                          <w:rPr>
                            <w:b/>
                            <w:sz w:val="20"/>
                          </w:rPr>
                        </w:pPr>
                        <w:r>
                          <w:rPr>
                            <w:b/>
                            <w:sz w:val="20"/>
                          </w:rPr>
                          <w:t>Building</w:t>
                        </w:r>
                        <w:r>
                          <w:rPr>
                            <w:b/>
                            <w:spacing w:val="-6"/>
                            <w:sz w:val="20"/>
                          </w:rPr>
                          <w:t xml:space="preserve"> </w:t>
                        </w:r>
                        <w:r>
                          <w:rPr>
                            <w:b/>
                            <w:spacing w:val="-4"/>
                            <w:sz w:val="20"/>
                          </w:rPr>
                          <w:t>Type</w:t>
                        </w:r>
                      </w:p>
                    </w:txbxContent>
                  </v:textbox>
                </v:shape>
                <v:shape id="Textbox 707" style="position:absolute;left:24246;top:768;width:2947;height:1422;visibility:visible;mso-wrap-style:square;v-text-anchor:top" o:spid="_x0000_s120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v:textbox inset="0,0,0,0">
                    <w:txbxContent>
                      <w:p w:rsidR="00C31389" w:rsidRDefault="00561FBD" w14:paraId="6A522395" w14:textId="77777777">
                        <w:pPr>
                          <w:spacing w:line="224" w:lineRule="exact"/>
                          <w:rPr>
                            <w:b/>
                            <w:sz w:val="20"/>
                          </w:rPr>
                        </w:pPr>
                        <w:r>
                          <w:rPr>
                            <w:b/>
                            <w:spacing w:val="-4"/>
                            <w:sz w:val="20"/>
                          </w:rPr>
                          <w:t>Cost</w:t>
                        </w:r>
                      </w:p>
                    </w:txbxContent>
                  </v:textbox>
                </v:shape>
                <v:shape id="Textbox 708" style="position:absolute;left:42161;top:44;width:4439;height:2343;visibility:visible;mso-wrap-style:square;v-text-anchor:top" o:spid="_x0000_s12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v:textbox inset="0,0,0,0">
                    <w:txbxContent>
                      <w:p w:rsidR="00C31389" w:rsidRDefault="00561FBD" w14:paraId="6E9F25DD" w14:textId="77777777">
                        <w:pPr>
                          <w:spacing w:line="221" w:lineRule="exact"/>
                          <w:ind w:right="18"/>
                          <w:jc w:val="center"/>
                          <w:rPr>
                            <w:b/>
                            <w:sz w:val="20"/>
                          </w:rPr>
                        </w:pPr>
                        <w:r>
                          <w:rPr>
                            <w:b/>
                            <w:spacing w:val="-2"/>
                            <w:sz w:val="20"/>
                          </w:rPr>
                          <w:t>Source</w:t>
                        </w:r>
                      </w:p>
                      <w:p w:rsidR="00C31389" w:rsidRDefault="00561FBD" w14:paraId="6A7C7051" w14:textId="77777777">
                        <w:pPr>
                          <w:spacing w:line="147" w:lineRule="exact"/>
                          <w:jc w:val="center"/>
                          <w:rPr>
                            <w:b/>
                            <w:sz w:val="13"/>
                          </w:rPr>
                        </w:pPr>
                        <w:hyperlink w:history="1" w:anchor="_bookmark282">
                          <w:r>
                            <w:rPr>
                              <w:b/>
                              <w:spacing w:val="-5"/>
                              <w:sz w:val="13"/>
                            </w:rPr>
                            <w:t>84</w:t>
                          </w:r>
                        </w:hyperlink>
                      </w:p>
                    </w:txbxContent>
                  </v:textbox>
                </v:shape>
                <v:shape id="Textbox 709" style="position:absolute;left:48287;top:44;width:13475;height:2883;visibility:visible;mso-wrap-style:square;v-text-anchor:top" o:spid="_x0000_s12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v:textbox inset="0,0,0,0">
                    <w:txbxContent>
                      <w:p w:rsidR="00C31389" w:rsidRDefault="00561FBD" w14:paraId="346A4C60" w14:textId="77777777">
                        <w:pPr>
                          <w:ind w:right="15"/>
                          <w:rPr>
                            <w:b/>
                            <w:sz w:val="20"/>
                          </w:rPr>
                        </w:pPr>
                        <w:r>
                          <w:rPr>
                            <w:b/>
                            <w:sz w:val="20"/>
                          </w:rPr>
                          <w:t>Comments</w:t>
                        </w:r>
                        <w:r>
                          <w:rPr>
                            <w:b/>
                            <w:spacing w:val="-14"/>
                            <w:sz w:val="20"/>
                          </w:rPr>
                          <w:t xml:space="preserve"> </w:t>
                        </w:r>
                        <w:r>
                          <w:rPr>
                            <w:b/>
                            <w:sz w:val="20"/>
                          </w:rPr>
                          <w:t>(Reliability of the Source)</w:t>
                        </w:r>
                      </w:p>
                    </w:txbxContent>
                  </v:textbox>
                </v:shape>
                <w10:wrap anchorx="page"/>
              </v:group>
            </w:pict>
          </mc:Fallback>
        </mc:AlternateContent>
      </w:r>
      <w:bookmarkStart w:name="_bookmark281" w:id="375"/>
      <w:bookmarkEnd w:id="375"/>
      <w:r>
        <w:t>Table</w:t>
      </w:r>
      <w:r>
        <w:rPr>
          <w:spacing w:val="-8"/>
        </w:rPr>
        <w:t xml:space="preserve"> </w:t>
      </w:r>
      <w:r>
        <w:t>C-2.</w:t>
      </w:r>
      <w:r>
        <w:rPr>
          <w:spacing w:val="-8"/>
        </w:rPr>
        <w:t xml:space="preserve"> </w:t>
      </w:r>
      <w:r>
        <w:t>Summary</w:t>
      </w:r>
      <w:r>
        <w:rPr>
          <w:spacing w:val="-7"/>
        </w:rPr>
        <w:t xml:space="preserve"> </w:t>
      </w:r>
      <w:r>
        <w:t>of</w:t>
      </w:r>
      <w:r>
        <w:rPr>
          <w:spacing w:val="-7"/>
        </w:rPr>
        <w:t xml:space="preserve"> </w:t>
      </w:r>
      <w:r>
        <w:t>Upgrade</w:t>
      </w:r>
      <w:r>
        <w:rPr>
          <w:spacing w:val="-6"/>
        </w:rPr>
        <w:t xml:space="preserve"> </w:t>
      </w:r>
      <w:r>
        <w:rPr>
          <w:spacing w:val="-2"/>
        </w:rPr>
        <w:t>Costs</w:t>
      </w:r>
    </w:p>
    <w:p w:rsidR="00C31389" w:rsidRDefault="00C31389" w14:paraId="6B4C24F3" w14:textId="77777777">
      <w:pPr>
        <w:pStyle w:val="BodyText"/>
        <w:rPr>
          <w:b/>
          <w:sz w:val="20"/>
        </w:rPr>
      </w:pPr>
    </w:p>
    <w:p w:rsidR="00C31389" w:rsidRDefault="00C31389" w14:paraId="6332635B" w14:textId="77777777">
      <w:pPr>
        <w:pStyle w:val="BodyText"/>
        <w:spacing w:before="2"/>
        <w:rPr>
          <w:b/>
          <w:sz w:val="23"/>
        </w:rPr>
      </w:pPr>
    </w:p>
    <w:p w:rsidR="00C31389" w:rsidRDefault="00C31389" w14:paraId="1F1A7540" w14:textId="77777777">
      <w:pPr>
        <w:rPr>
          <w:sz w:val="23"/>
        </w:rPr>
        <w:sectPr w:rsidR="00C31389">
          <w:pgSz w:w="11910" w:h="16840"/>
          <w:pgMar w:top="1660" w:right="1020" w:bottom="1120" w:left="960" w:header="397" w:footer="938" w:gutter="0"/>
          <w:cols w:space="720"/>
        </w:sectPr>
      </w:pPr>
    </w:p>
    <w:p w:rsidR="00C31389" w:rsidRDefault="00561FBD" w14:paraId="5510CDE6" w14:textId="77777777">
      <w:pPr>
        <w:tabs>
          <w:tab w:val="left" w:pos="1708"/>
          <w:tab w:val="left" w:pos="4922"/>
          <w:tab w:val="right" w:pos="7041"/>
        </w:tabs>
        <w:spacing w:before="439"/>
        <w:ind w:left="105"/>
        <w:rPr>
          <w:sz w:val="20"/>
        </w:rPr>
      </w:pPr>
      <w:r>
        <w:rPr>
          <w:sz w:val="20"/>
        </w:rPr>
        <w:t>Single</w:t>
      </w:r>
      <w:r>
        <w:rPr>
          <w:spacing w:val="-6"/>
          <w:sz w:val="20"/>
        </w:rPr>
        <w:t xml:space="preserve"> </w:t>
      </w:r>
      <w:r>
        <w:rPr>
          <w:spacing w:val="-2"/>
          <w:sz w:val="20"/>
        </w:rPr>
        <w:t>Family</w:t>
      </w:r>
      <w:r>
        <w:rPr>
          <w:sz w:val="20"/>
        </w:rPr>
        <w:tab/>
      </w:r>
      <w:r>
        <w:rPr>
          <w:b/>
          <w:spacing w:val="-2"/>
          <w:sz w:val="20"/>
        </w:rPr>
        <w:t>Total:</w:t>
      </w:r>
      <w:r>
        <w:rPr>
          <w:b/>
          <w:sz w:val="20"/>
        </w:rPr>
        <w:tab/>
      </w:r>
      <w:r>
        <w:rPr>
          <w:b/>
          <w:spacing w:val="-2"/>
          <w:sz w:val="20"/>
        </w:rPr>
        <w:t>$1,900–$4,000</w:t>
      </w:r>
      <w:r>
        <w:rPr>
          <w:b/>
          <w:sz w:val="20"/>
        </w:rPr>
        <w:tab/>
      </w:r>
      <w:r>
        <w:rPr>
          <w:spacing w:val="-10"/>
          <w:sz w:val="20"/>
        </w:rPr>
        <w:t>1</w:t>
      </w:r>
    </w:p>
    <w:p w:rsidR="00C31389" w:rsidRDefault="00561FBD" w14:paraId="00B7CC7F" w14:textId="77777777">
      <w:pPr>
        <w:tabs>
          <w:tab w:val="left" w:pos="4922"/>
        </w:tabs>
        <w:spacing w:before="355"/>
        <w:ind w:left="1708"/>
        <w:rPr>
          <w:b/>
          <w:sz w:val="20"/>
        </w:rPr>
      </w:pPr>
      <w:r>
        <w:rPr>
          <w:noProof/>
        </w:rPr>
        <mc:AlternateContent>
          <mc:Choice Requires="wps">
            <w:drawing>
              <wp:anchor distT="0" distB="0" distL="0" distR="0" simplePos="0" relativeHeight="15837184" behindDoc="0" locked="0" layoutInCell="1" allowOverlap="1" wp14:editId="520825F1" wp14:anchorId="19439DC4">
                <wp:simplePos x="0" y="0"/>
                <wp:positionH relativeFrom="page">
                  <wp:posOffset>1626870</wp:posOffset>
                </wp:positionH>
                <wp:positionV relativeFrom="paragraph">
                  <wp:posOffset>371219</wp:posOffset>
                </wp:positionV>
                <wp:extent cx="3096260" cy="6350"/>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096"/>
                              </a:lnTo>
                              <a:lnTo>
                                <a:pt x="2039874" y="6096"/>
                              </a:lnTo>
                              <a:lnTo>
                                <a:pt x="2045970" y="6096"/>
                              </a:lnTo>
                              <a:lnTo>
                                <a:pt x="3096006" y="6096"/>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10" style="position:absolute;margin-left:128.1pt;margin-top:29.25pt;width:243.8pt;height:.5pt;z-index:15837184;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096r2039874,l2045970,6096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" w14:anchorId="3CDFCFD9">
                <v:path arrowok="t"/>
                <w10:wrap anchorx="page"/>
              </v:shape>
            </w:pict>
          </mc:Fallback>
        </mc:AlternateContent>
      </w:r>
      <w:r>
        <w:rPr>
          <w:b/>
          <w:spacing w:val="-2"/>
          <w:sz w:val="20"/>
        </w:rPr>
        <w:t>Total:</w:t>
      </w:r>
      <w:r>
        <w:rPr>
          <w:b/>
          <w:sz w:val="20"/>
        </w:rPr>
        <w:tab/>
      </w:r>
      <w:r>
        <w:rPr>
          <w:b/>
          <w:spacing w:val="-2"/>
          <w:sz w:val="20"/>
        </w:rPr>
        <w:t>$2,000–$4,500</w:t>
      </w:r>
    </w:p>
    <w:p w:rsidR="00C31389" w:rsidRDefault="00561FBD" w14:paraId="262CD2BE" w14:textId="77777777">
      <w:pPr>
        <w:spacing w:before="10"/>
        <w:ind w:left="1708"/>
        <w:rPr>
          <w:b/>
          <w:sz w:val="20"/>
        </w:rPr>
      </w:pPr>
      <w:r>
        <w:rPr>
          <w:b/>
          <w:sz w:val="20"/>
        </w:rPr>
        <w:t>Total</w:t>
      </w:r>
      <w:r>
        <w:rPr>
          <w:b/>
          <w:spacing w:val="-5"/>
          <w:sz w:val="20"/>
        </w:rPr>
        <w:t xml:space="preserve"> </w:t>
      </w:r>
      <w:r>
        <w:rPr>
          <w:b/>
          <w:sz w:val="20"/>
        </w:rPr>
        <w:t>(With</w:t>
      </w:r>
      <w:r>
        <w:rPr>
          <w:b/>
          <w:spacing w:val="-4"/>
          <w:sz w:val="20"/>
        </w:rPr>
        <w:t xml:space="preserve"> </w:t>
      </w:r>
      <w:r>
        <w:rPr>
          <w:b/>
          <w:sz w:val="20"/>
        </w:rPr>
        <w:t>Overhead</w:t>
      </w:r>
      <w:r>
        <w:rPr>
          <w:b/>
          <w:spacing w:val="-2"/>
          <w:sz w:val="20"/>
        </w:rPr>
        <w:t xml:space="preserve"> </w:t>
      </w:r>
      <w:r>
        <w:rPr>
          <w:b/>
          <w:spacing w:val="-5"/>
          <w:sz w:val="20"/>
        </w:rPr>
        <w:t>to</w:t>
      </w:r>
    </w:p>
    <w:p w:rsidR="00C31389" w:rsidRDefault="00561FBD" w14:paraId="209D9C1E" w14:textId="77777777">
      <w:pPr>
        <w:spacing w:before="94"/>
        <w:ind w:left="105" w:right="104"/>
        <w:rPr>
          <w:sz w:val="20"/>
        </w:rPr>
      </w:pPr>
      <w:r>
        <w:br w:type="column"/>
      </w:r>
      <w:r>
        <w:rPr>
          <w:sz w:val="20"/>
        </w:rPr>
        <w:t xml:space="preserve">Based on interview with seven water </w:t>
      </w:r>
      <w:r>
        <w:rPr>
          <w:sz w:val="20"/>
        </w:rPr>
        <w:t>heater and 15</w:t>
      </w:r>
      <w:r>
        <w:rPr>
          <w:spacing w:val="-11"/>
          <w:sz w:val="20"/>
        </w:rPr>
        <w:t xml:space="preserve"> </w:t>
      </w:r>
      <w:r>
        <w:rPr>
          <w:sz w:val="20"/>
        </w:rPr>
        <w:t>HVAC</w:t>
      </w:r>
      <w:r>
        <w:rPr>
          <w:spacing w:val="-12"/>
          <w:sz w:val="20"/>
        </w:rPr>
        <w:t xml:space="preserve"> </w:t>
      </w:r>
      <w:r>
        <w:rPr>
          <w:sz w:val="20"/>
        </w:rPr>
        <w:t>contractors</w:t>
      </w:r>
      <w:r>
        <w:rPr>
          <w:spacing w:val="-11"/>
          <w:sz w:val="20"/>
        </w:rPr>
        <w:t xml:space="preserve"> </w:t>
      </w:r>
      <w:r>
        <w:rPr>
          <w:sz w:val="20"/>
        </w:rPr>
        <w:t>for a specific home</w:t>
      </w:r>
    </w:p>
    <w:p w:rsidR="00C31389" w:rsidRDefault="00561FBD" w14:paraId="597AE8C0" w14:textId="77777777">
      <w:pPr>
        <w:spacing w:before="250"/>
        <w:ind w:left="105"/>
        <w:rPr>
          <w:sz w:val="20"/>
        </w:rPr>
      </w:pPr>
      <w:r>
        <w:rPr>
          <w:noProof/>
        </w:rPr>
        <mc:AlternateContent>
          <mc:Choice Requires="wps">
            <w:drawing>
              <wp:anchor distT="0" distB="0" distL="0" distR="0" simplePos="0" relativeHeight="15836672" behindDoc="0" locked="0" layoutInCell="1" allowOverlap="1" wp14:editId="4B226983" wp14:anchorId="1DA4822B">
                <wp:simplePos x="0" y="0"/>
                <wp:positionH relativeFrom="page">
                  <wp:posOffset>608076</wp:posOffset>
                </wp:positionH>
                <wp:positionV relativeFrom="paragraph">
                  <wp:posOffset>-217</wp:posOffset>
                </wp:positionV>
                <wp:extent cx="6296025" cy="6350"/>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11" style="position:absolute;margin-left:47.9pt;margin-top:0;width:495.75pt;height:.5pt;z-index:15836672;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" w14:anchorId="78161425">
                <v:path arrowok="t"/>
                <w10:wrap anchorx="page"/>
              </v:shape>
            </w:pict>
          </mc:Fallback>
        </mc:AlternateContent>
      </w:r>
      <w:r>
        <w:rPr>
          <w:sz w:val="20"/>
        </w:rPr>
        <w:t>It</w:t>
      </w:r>
      <w:r>
        <w:rPr>
          <w:spacing w:val="-3"/>
          <w:sz w:val="20"/>
        </w:rPr>
        <w:t xml:space="preserve"> </w:t>
      </w:r>
      <w:r>
        <w:rPr>
          <w:sz w:val="20"/>
        </w:rPr>
        <w:t>appears</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pacing w:val="-4"/>
          <w:sz w:val="20"/>
        </w:rPr>
        <w:t>cost</w:t>
      </w:r>
    </w:p>
    <w:p w:rsidR="00C31389" w:rsidRDefault="00C31389" w14:paraId="5B3FF8A2" w14:textId="77777777">
      <w:pPr>
        <w:rPr>
          <w:sz w:val="20"/>
        </w:rPr>
        <w:sectPr w:rsidR="00C31389">
          <w:type w:val="continuous"/>
          <w:pgSz w:w="11910" w:h="16840"/>
          <w:pgMar w:top="0" w:right="1020" w:bottom="280" w:left="960" w:header="397" w:footer="938" w:gutter="0"/>
          <w:cols w:equalWidth="0" w:space="720" w:num="2">
            <w:col w:w="7082" w:space="414"/>
            <w:col w:w="2434"/>
          </w:cols>
        </w:sectPr>
      </w:pPr>
    </w:p>
    <w:p w:rsidR="00C31389" w:rsidRDefault="00561FBD" w14:paraId="40325025" w14:textId="77777777">
      <w:pPr>
        <w:ind w:left="105"/>
        <w:rPr>
          <w:sz w:val="20"/>
        </w:rPr>
      </w:pPr>
      <w:r>
        <w:rPr>
          <w:sz w:val="20"/>
        </w:rPr>
        <w:t>Single</w:t>
      </w:r>
      <w:r>
        <w:rPr>
          <w:spacing w:val="-6"/>
          <w:sz w:val="20"/>
        </w:rPr>
        <w:t xml:space="preserve"> </w:t>
      </w:r>
      <w:r>
        <w:rPr>
          <w:spacing w:val="-2"/>
          <w:sz w:val="20"/>
        </w:rPr>
        <w:t>Family</w:t>
      </w:r>
    </w:p>
    <w:p w:rsidR="00C31389" w:rsidRDefault="00561FBD" w14:paraId="6539677E" w14:textId="77777777">
      <w:pPr>
        <w:ind w:left="105"/>
        <w:rPr>
          <w:b/>
          <w:sz w:val="20"/>
        </w:rPr>
      </w:pPr>
      <w:r>
        <w:br w:type="column"/>
      </w:r>
      <w:r>
        <w:rPr>
          <w:b/>
          <w:sz w:val="20"/>
        </w:rPr>
        <w:t>underground</w:t>
      </w:r>
      <w:r>
        <w:rPr>
          <w:b/>
          <w:spacing w:val="-10"/>
          <w:sz w:val="20"/>
        </w:rPr>
        <w:t xml:space="preserve"> </w:t>
      </w:r>
      <w:r>
        <w:rPr>
          <w:b/>
          <w:sz w:val="20"/>
        </w:rPr>
        <w:t>conversions</w:t>
      </w:r>
      <w:r>
        <w:rPr>
          <w:b/>
          <w:spacing w:val="-9"/>
          <w:sz w:val="20"/>
        </w:rPr>
        <w:t xml:space="preserve"> </w:t>
      </w:r>
      <w:r>
        <w:rPr>
          <w:b/>
          <w:spacing w:val="-5"/>
          <w:sz w:val="20"/>
        </w:rPr>
        <w:t>or</w:t>
      </w:r>
    </w:p>
    <w:p w:rsidR="00C31389" w:rsidRDefault="00561FBD" w14:paraId="6644349F" w14:textId="77777777">
      <w:pPr>
        <w:ind w:left="105"/>
        <w:rPr>
          <w:b/>
          <w:sz w:val="20"/>
        </w:rPr>
      </w:pPr>
      <w:r>
        <w:br w:type="column"/>
      </w:r>
      <w:r>
        <w:rPr>
          <w:b/>
          <w:spacing w:val="-2"/>
          <w:sz w:val="20"/>
        </w:rPr>
        <w:t>$3,000-$10,000</w:t>
      </w:r>
    </w:p>
    <w:p w:rsidR="00C31389" w:rsidRDefault="00561FBD" w14:paraId="61A3AE85" w14:textId="77777777">
      <w:pPr>
        <w:tabs>
          <w:tab w:val="left" w:pos="777"/>
        </w:tabs>
        <w:ind w:left="105"/>
        <w:rPr>
          <w:sz w:val="20"/>
        </w:rPr>
      </w:pPr>
      <w:r>
        <w:br w:type="column"/>
      </w:r>
      <w:r>
        <w:rPr>
          <w:spacing w:val="-10"/>
          <w:sz w:val="20"/>
        </w:rPr>
        <w:t>2</w:t>
      </w:r>
      <w:r>
        <w:rPr>
          <w:sz w:val="20"/>
        </w:rPr>
        <w:tab/>
        <w:t>does</w:t>
      </w:r>
      <w:r>
        <w:rPr>
          <w:spacing w:val="-1"/>
          <w:sz w:val="20"/>
        </w:rPr>
        <w:t xml:space="preserve"> </w:t>
      </w:r>
      <w:r>
        <w:rPr>
          <w:sz w:val="20"/>
        </w:rPr>
        <w:t>not</w:t>
      </w:r>
      <w:r>
        <w:rPr>
          <w:spacing w:val="-2"/>
          <w:sz w:val="20"/>
        </w:rPr>
        <w:t xml:space="preserve"> include</w:t>
      </w:r>
    </w:p>
    <w:p w:rsidR="00C31389" w:rsidRDefault="00C31389" w14:paraId="5F6B20B2" w14:textId="77777777">
      <w:pPr>
        <w:rPr>
          <w:sz w:val="20"/>
        </w:rPr>
        <w:sectPr w:rsidR="00C31389">
          <w:type w:val="continuous"/>
          <w:pgSz w:w="11910" w:h="16840"/>
          <w:pgMar w:top="0" w:right="1020" w:bottom="280" w:left="960" w:header="397" w:footer="938" w:gutter="0"/>
          <w:cols w:equalWidth="0" w:space="720" w:num="4">
            <w:col w:w="1346" w:space="257"/>
            <w:col w:w="2880" w:space="334"/>
            <w:col w:w="1548" w:space="460"/>
            <w:col w:w="3105"/>
          </w:cols>
        </w:sectPr>
      </w:pPr>
    </w:p>
    <w:p w:rsidR="00C31389" w:rsidRDefault="00561FBD" w14:paraId="2BD23A96" w14:textId="77777777">
      <w:pPr>
        <w:tabs>
          <w:tab w:val="left" w:pos="6477"/>
        </w:tabs>
        <w:spacing w:line="230" w:lineRule="exact"/>
        <w:ind w:left="1602"/>
        <w:rPr>
          <w:b/>
          <w:sz w:val="20"/>
        </w:rPr>
      </w:pPr>
      <w:r>
        <w:rPr>
          <w:b/>
          <w:spacing w:val="48"/>
          <w:sz w:val="20"/>
          <w:u w:val="single" w:color="B6B6B6"/>
        </w:rPr>
        <w:t xml:space="preserve"> </w:t>
      </w:r>
      <w:r>
        <w:rPr>
          <w:b/>
          <w:sz w:val="20"/>
          <w:u w:val="single" w:color="B6B6B6"/>
        </w:rPr>
        <w:t>panel</w:t>
      </w:r>
      <w:r>
        <w:rPr>
          <w:b/>
          <w:spacing w:val="-1"/>
          <w:sz w:val="20"/>
          <w:u w:val="single" w:color="B6B6B6"/>
        </w:rPr>
        <w:t xml:space="preserve"> </w:t>
      </w:r>
      <w:r>
        <w:rPr>
          <w:b/>
          <w:spacing w:val="-2"/>
          <w:sz w:val="20"/>
          <w:u w:val="single" w:color="B6B6B6"/>
        </w:rPr>
        <w:t>relocations):</w:t>
      </w:r>
      <w:r>
        <w:rPr>
          <w:b/>
          <w:sz w:val="20"/>
          <w:u w:val="single" w:color="B6B6B6"/>
        </w:rPr>
        <w:tab/>
      </w:r>
    </w:p>
    <w:p w:rsidR="00C31389" w:rsidRDefault="00561FBD" w14:paraId="3B1E51E0" w14:textId="77777777">
      <w:pPr>
        <w:tabs>
          <w:tab w:val="left" w:pos="5032"/>
        </w:tabs>
        <w:spacing w:before="10"/>
        <w:ind w:left="1819"/>
        <w:rPr>
          <w:sz w:val="20"/>
        </w:rPr>
      </w:pPr>
      <w:r>
        <w:rPr>
          <w:noProof/>
        </w:rPr>
        <mc:AlternateContent>
          <mc:Choice Requires="wps">
            <w:drawing>
              <wp:anchor distT="0" distB="0" distL="0" distR="0" simplePos="0" relativeHeight="15837696" behindDoc="0" locked="0" layoutInCell="1" allowOverlap="1" wp14:editId="04E92B4F" wp14:anchorId="0236A1C8">
                <wp:simplePos x="0" y="0"/>
                <wp:positionH relativeFrom="page">
                  <wp:posOffset>608076</wp:posOffset>
                </wp:positionH>
                <wp:positionV relativeFrom="paragraph">
                  <wp:posOffset>152144</wp:posOffset>
                </wp:positionV>
                <wp:extent cx="6296025" cy="635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12" style="position:absolute;margin-left:47.9pt;margin-top:12pt;width:495.75pt;height:.5pt;z-index:15837696;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" w14:anchorId="0915B065">
                <v:path arrowok="t"/>
                <w10:wrap anchorx="page"/>
              </v:shape>
            </w:pict>
          </mc:Fallback>
        </mc:AlternateContent>
      </w:r>
      <w:r>
        <w:rPr>
          <w:spacing w:val="-2"/>
          <w:sz w:val="20"/>
        </w:rPr>
        <w:t>Average:</w:t>
      </w:r>
      <w:r>
        <w:rPr>
          <w:sz w:val="20"/>
        </w:rPr>
        <w:tab/>
      </w:r>
      <w:r>
        <w:rPr>
          <w:spacing w:val="-2"/>
          <w:sz w:val="20"/>
        </w:rPr>
        <w:t>$2,780</w:t>
      </w:r>
    </w:p>
    <w:p w:rsidR="00C31389" w:rsidRDefault="00561FBD" w14:paraId="1537DFDC" w14:textId="77777777">
      <w:pPr>
        <w:tabs>
          <w:tab w:val="left" w:pos="4922"/>
        </w:tabs>
        <w:spacing w:before="10"/>
        <w:ind w:left="1708"/>
        <w:rPr>
          <w:b/>
          <w:sz w:val="20"/>
        </w:rPr>
      </w:pPr>
      <w:r>
        <w:rPr>
          <w:noProof/>
        </w:rPr>
        <mc:AlternateContent>
          <mc:Choice Requires="wps">
            <w:drawing>
              <wp:anchor distT="0" distB="0" distL="0" distR="0" simplePos="0" relativeHeight="15838208" behindDoc="0" locked="0" layoutInCell="1" allowOverlap="1" wp14:editId="2C9C0865" wp14:anchorId="002F2B48">
                <wp:simplePos x="0" y="0"/>
                <wp:positionH relativeFrom="page">
                  <wp:posOffset>1626870</wp:posOffset>
                </wp:positionH>
                <wp:positionV relativeFrom="paragraph">
                  <wp:posOffset>152144</wp:posOffset>
                </wp:positionV>
                <wp:extent cx="3096260" cy="635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096"/>
                              </a:lnTo>
                              <a:lnTo>
                                <a:pt x="2039874" y="6096"/>
                              </a:lnTo>
                              <a:lnTo>
                                <a:pt x="2045970" y="6096"/>
                              </a:lnTo>
                              <a:lnTo>
                                <a:pt x="3096006" y="6096"/>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13" style="position:absolute;margin-left:128.1pt;margin-top:12pt;width:243.8pt;height:.5pt;z-index:15838208;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096r2039874,l2045970,6096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" w14:anchorId="31406C22">
                <v:path arrowok="t"/>
                <w10:wrap anchorx="page"/>
              </v:shape>
            </w:pict>
          </mc:Fallback>
        </mc:AlternateContent>
      </w:r>
      <w:r>
        <w:rPr>
          <w:b/>
          <w:spacing w:val="-2"/>
          <w:sz w:val="20"/>
        </w:rPr>
        <w:t>Total:</w:t>
      </w:r>
      <w:r>
        <w:rPr>
          <w:b/>
          <w:sz w:val="20"/>
        </w:rPr>
        <w:tab/>
      </w:r>
      <w:r>
        <w:rPr>
          <w:b/>
          <w:spacing w:val="-2"/>
          <w:sz w:val="20"/>
        </w:rPr>
        <w:t>$4,671</w:t>
      </w:r>
    </w:p>
    <w:p w:rsidR="00C31389" w:rsidRDefault="00561FBD" w14:paraId="1B93BA77" w14:textId="77777777">
      <w:pPr>
        <w:spacing w:line="230" w:lineRule="exact"/>
        <w:ind w:left="1084"/>
        <w:rPr>
          <w:sz w:val="20"/>
        </w:rPr>
      </w:pPr>
      <w:r>
        <w:br w:type="column"/>
      </w:r>
      <w:r>
        <w:rPr>
          <w:spacing w:val="-2"/>
          <w:sz w:val="20"/>
        </w:rPr>
        <w:t>overhead</w:t>
      </w:r>
    </w:p>
    <w:p w:rsidR="00C31389" w:rsidRDefault="00C31389" w14:paraId="0D651BE9" w14:textId="77777777">
      <w:pPr>
        <w:pStyle w:val="BodyText"/>
        <w:spacing w:before="8"/>
        <w:rPr>
          <w:sz w:val="21"/>
        </w:rPr>
      </w:pPr>
    </w:p>
    <w:p w:rsidR="00C31389" w:rsidRDefault="00561FBD" w14:paraId="7AEC615A" w14:textId="77777777">
      <w:pPr>
        <w:ind w:left="1084"/>
        <w:rPr>
          <w:sz w:val="20"/>
        </w:rPr>
      </w:pPr>
      <w:r>
        <w:rPr>
          <w:sz w:val="20"/>
        </w:rPr>
        <w:t>The</w:t>
      </w:r>
      <w:r>
        <w:rPr>
          <w:spacing w:val="-2"/>
          <w:sz w:val="20"/>
        </w:rPr>
        <w:t xml:space="preserve"> </w:t>
      </w:r>
      <w:r>
        <w:rPr>
          <w:sz w:val="20"/>
        </w:rPr>
        <w:t>report</w:t>
      </w:r>
      <w:r>
        <w:rPr>
          <w:spacing w:val="-2"/>
          <w:sz w:val="20"/>
        </w:rPr>
        <w:t xml:space="preserve"> </w:t>
      </w:r>
      <w:r>
        <w:rPr>
          <w:spacing w:val="-5"/>
          <w:sz w:val="20"/>
        </w:rPr>
        <w:t>was</w:t>
      </w:r>
    </w:p>
    <w:p w:rsidR="00C31389" w:rsidRDefault="00C31389" w14:paraId="595FC43D" w14:textId="77777777">
      <w:pPr>
        <w:rPr>
          <w:sz w:val="20"/>
        </w:rPr>
        <w:sectPr w:rsidR="00C31389">
          <w:type w:val="continuous"/>
          <w:pgSz w:w="11910" w:h="16840"/>
          <w:pgMar w:top="0" w:right="1020" w:bottom="280" w:left="960" w:header="397" w:footer="938" w:gutter="0"/>
          <w:cols w:equalWidth="0" w:space="720" w:num="2">
            <w:col w:w="6478" w:space="40"/>
            <w:col w:w="3412"/>
          </w:cols>
        </w:sectPr>
      </w:pPr>
    </w:p>
    <w:p w:rsidR="00C31389" w:rsidRDefault="00561FBD" w14:paraId="49F82C74" w14:textId="77777777">
      <w:pPr>
        <w:spacing w:before="10" w:line="227" w:lineRule="exact"/>
        <w:ind w:left="1819"/>
        <w:rPr>
          <w:i/>
          <w:sz w:val="20"/>
        </w:rPr>
      </w:pPr>
      <w:r>
        <w:rPr>
          <w:i/>
          <w:sz w:val="20"/>
        </w:rPr>
        <w:t>HPWH</w:t>
      </w:r>
      <w:r>
        <w:rPr>
          <w:i/>
          <w:spacing w:val="-3"/>
          <w:sz w:val="20"/>
        </w:rPr>
        <w:t xml:space="preserve"> </w:t>
      </w:r>
      <w:r>
        <w:rPr>
          <w:i/>
          <w:sz w:val="20"/>
        </w:rPr>
        <w:t>Branch</w:t>
      </w:r>
      <w:r>
        <w:rPr>
          <w:i/>
          <w:spacing w:val="-4"/>
          <w:sz w:val="20"/>
        </w:rPr>
        <w:t xml:space="preserve"> </w:t>
      </w:r>
      <w:r>
        <w:rPr>
          <w:i/>
          <w:sz w:val="20"/>
        </w:rPr>
        <w:t>Circuit</w:t>
      </w:r>
      <w:r>
        <w:rPr>
          <w:i/>
          <w:spacing w:val="-4"/>
          <w:sz w:val="20"/>
        </w:rPr>
        <w:t xml:space="preserve"> </w:t>
      </w:r>
      <w:r>
        <w:rPr>
          <w:i/>
          <w:sz w:val="20"/>
        </w:rPr>
        <w:t>(15A</w:t>
      </w:r>
      <w:r>
        <w:rPr>
          <w:i/>
          <w:spacing w:val="-3"/>
          <w:sz w:val="20"/>
        </w:rPr>
        <w:t xml:space="preserve"> </w:t>
      </w:r>
      <w:r>
        <w:rPr>
          <w:i/>
          <w:spacing w:val="-5"/>
          <w:sz w:val="20"/>
        </w:rPr>
        <w:t>to</w:t>
      </w:r>
    </w:p>
    <w:p w:rsidR="00C31389" w:rsidRDefault="00561FBD" w14:paraId="50CE453E" w14:textId="77777777">
      <w:pPr>
        <w:spacing w:before="125" w:line="112" w:lineRule="exact"/>
        <w:ind w:left="550"/>
        <w:rPr>
          <w:i/>
          <w:sz w:val="20"/>
        </w:rPr>
      </w:pPr>
      <w:r>
        <w:br w:type="column"/>
      </w:r>
      <w:r>
        <w:rPr>
          <w:i/>
          <w:spacing w:val="-4"/>
          <w:sz w:val="20"/>
        </w:rPr>
        <w:t>$640</w:t>
      </w:r>
    </w:p>
    <w:p w:rsidR="00C31389" w:rsidRDefault="00561FBD" w14:paraId="144332F8" w14:textId="77777777">
      <w:pPr>
        <w:ind w:left="1819"/>
        <w:rPr>
          <w:sz w:val="20"/>
        </w:rPr>
      </w:pPr>
      <w:r>
        <w:br w:type="column"/>
      </w:r>
      <w:r>
        <w:rPr>
          <w:sz w:val="20"/>
        </w:rPr>
        <w:t>published</w:t>
      </w:r>
      <w:r>
        <w:rPr>
          <w:spacing w:val="-3"/>
          <w:sz w:val="20"/>
        </w:rPr>
        <w:t xml:space="preserve"> </w:t>
      </w:r>
      <w:r>
        <w:rPr>
          <w:sz w:val="20"/>
        </w:rPr>
        <w:t>in</w:t>
      </w:r>
      <w:r>
        <w:rPr>
          <w:spacing w:val="-3"/>
          <w:sz w:val="20"/>
        </w:rPr>
        <w:t xml:space="preserve"> </w:t>
      </w:r>
      <w:r>
        <w:rPr>
          <w:sz w:val="20"/>
        </w:rPr>
        <w:t>2016.</w:t>
      </w:r>
      <w:r>
        <w:rPr>
          <w:spacing w:val="-2"/>
          <w:sz w:val="20"/>
        </w:rPr>
        <w:t xml:space="preserve"> </w:t>
      </w:r>
      <w:r>
        <w:rPr>
          <w:spacing w:val="-5"/>
          <w:sz w:val="20"/>
        </w:rPr>
        <w:t>The</w:t>
      </w:r>
    </w:p>
    <w:p w:rsidR="00C31389" w:rsidRDefault="00C31389" w14:paraId="71070698" w14:textId="77777777">
      <w:pPr>
        <w:rPr>
          <w:sz w:val="20"/>
        </w:rPr>
        <w:sectPr w:rsidR="00C31389">
          <w:type w:val="continuous"/>
          <w:pgSz w:w="11910" w:h="16840"/>
          <w:pgMar w:top="0" w:right="1020" w:bottom="280" w:left="960" w:header="397" w:footer="938" w:gutter="0"/>
          <w:cols w:equalWidth="0" w:space="720" w:num="3">
            <w:col w:w="4442" w:space="40"/>
            <w:col w:w="1038" w:space="263"/>
            <w:col w:w="4147"/>
          </w:cols>
        </w:sectPr>
      </w:pPr>
    </w:p>
    <w:p w:rsidR="00C31389" w:rsidRDefault="00561FBD" w14:paraId="3594DF65" w14:textId="77777777">
      <w:pPr>
        <w:spacing w:before="108"/>
        <w:ind w:left="105"/>
        <w:rPr>
          <w:sz w:val="20"/>
        </w:rPr>
      </w:pPr>
      <w:r>
        <w:rPr>
          <w:sz w:val="20"/>
        </w:rPr>
        <w:t>Single</w:t>
      </w:r>
      <w:r>
        <w:rPr>
          <w:spacing w:val="-6"/>
          <w:sz w:val="20"/>
        </w:rPr>
        <w:t xml:space="preserve"> </w:t>
      </w:r>
      <w:r>
        <w:rPr>
          <w:spacing w:val="-2"/>
          <w:sz w:val="20"/>
        </w:rPr>
        <w:t>Family</w:t>
      </w:r>
    </w:p>
    <w:p w:rsidR="00C31389" w:rsidRDefault="00C31389" w14:paraId="2B4AE801" w14:textId="77777777">
      <w:pPr>
        <w:pStyle w:val="BodyText"/>
      </w:pPr>
    </w:p>
    <w:p w:rsidR="00C31389" w:rsidRDefault="00C31389" w14:paraId="73B33EAF" w14:textId="77777777">
      <w:pPr>
        <w:pStyle w:val="BodyText"/>
      </w:pPr>
    </w:p>
    <w:p w:rsidR="00C31389" w:rsidRDefault="00C31389" w14:paraId="3E78B4FD" w14:textId="77777777">
      <w:pPr>
        <w:pStyle w:val="BodyText"/>
      </w:pPr>
    </w:p>
    <w:p w:rsidR="00C31389" w:rsidRDefault="00C31389" w14:paraId="37C419AA" w14:textId="77777777">
      <w:pPr>
        <w:pStyle w:val="BodyText"/>
      </w:pPr>
    </w:p>
    <w:p w:rsidR="00C31389" w:rsidRDefault="00C31389" w14:paraId="79195ABB" w14:textId="77777777">
      <w:pPr>
        <w:pStyle w:val="BodyText"/>
      </w:pPr>
    </w:p>
    <w:p w:rsidR="00C31389" w:rsidRDefault="00561FBD" w14:paraId="5CBABF2E" w14:textId="77777777">
      <w:pPr>
        <w:spacing w:before="161"/>
        <w:ind w:left="105"/>
        <w:rPr>
          <w:sz w:val="20"/>
        </w:rPr>
      </w:pPr>
      <w:r>
        <w:rPr>
          <w:sz w:val="20"/>
        </w:rPr>
        <w:t>Single</w:t>
      </w:r>
      <w:r>
        <w:rPr>
          <w:spacing w:val="-6"/>
          <w:sz w:val="20"/>
        </w:rPr>
        <w:t xml:space="preserve"> </w:t>
      </w:r>
      <w:r>
        <w:rPr>
          <w:spacing w:val="-2"/>
          <w:sz w:val="20"/>
        </w:rPr>
        <w:t>Family</w:t>
      </w:r>
    </w:p>
    <w:p w:rsidR="00C31389" w:rsidRDefault="00561FBD" w14:paraId="03451C4F" w14:textId="77777777">
      <w:pPr>
        <w:tabs>
          <w:tab w:val="left" w:pos="4981"/>
          <w:tab w:val="right" w:pos="5544"/>
        </w:tabs>
        <w:spacing w:before="31" w:line="163" w:lineRule="auto"/>
        <w:ind w:left="105"/>
        <w:rPr>
          <w:sz w:val="20"/>
        </w:rPr>
      </w:pPr>
      <w:r>
        <w:br w:type="column"/>
      </w:r>
      <w:r>
        <w:rPr>
          <w:i/>
          <w:spacing w:val="50"/>
          <w:sz w:val="20"/>
          <w:u w:val="single" w:color="B6B6B6"/>
        </w:rPr>
        <w:t xml:space="preserve"> </w:t>
      </w:r>
      <w:r>
        <w:rPr>
          <w:i/>
          <w:spacing w:val="-4"/>
          <w:sz w:val="20"/>
          <w:u w:val="single" w:color="B6B6B6"/>
        </w:rPr>
        <w:t>30A):</w:t>
      </w:r>
      <w:r>
        <w:rPr>
          <w:i/>
          <w:sz w:val="20"/>
          <w:u w:val="single" w:color="B6B6B6"/>
        </w:rPr>
        <w:tab/>
      </w:r>
      <w:r>
        <w:rPr>
          <w:i/>
          <w:sz w:val="20"/>
        </w:rPr>
        <w:tab/>
      </w:r>
      <w:r>
        <w:rPr>
          <w:spacing w:val="-10"/>
          <w:position w:val="-9"/>
          <w:sz w:val="20"/>
        </w:rPr>
        <w:t>3</w:t>
      </w:r>
    </w:p>
    <w:p w:rsidR="00C31389" w:rsidRDefault="00561FBD" w14:paraId="0D5BB8F3" w14:textId="77777777">
      <w:pPr>
        <w:tabs>
          <w:tab w:val="left" w:pos="3536"/>
        </w:tabs>
        <w:spacing w:line="186" w:lineRule="exact"/>
        <w:ind w:left="322"/>
        <w:rPr>
          <w:i/>
          <w:sz w:val="20"/>
        </w:rPr>
      </w:pPr>
      <w:r>
        <w:rPr>
          <w:i/>
          <w:spacing w:val="-2"/>
          <w:sz w:val="20"/>
        </w:rPr>
        <w:t>Panel:</w:t>
      </w:r>
      <w:r>
        <w:rPr>
          <w:i/>
          <w:sz w:val="20"/>
        </w:rPr>
        <w:tab/>
      </w:r>
      <w:r>
        <w:rPr>
          <w:i/>
          <w:spacing w:val="-2"/>
          <w:sz w:val="20"/>
        </w:rPr>
        <w:t>$3,181</w:t>
      </w:r>
    </w:p>
    <w:p w:rsidR="00C31389" w:rsidRDefault="00561FBD" w14:paraId="4516342A" w14:textId="77777777">
      <w:pPr>
        <w:tabs>
          <w:tab w:val="left" w:pos="3536"/>
        </w:tabs>
        <w:spacing w:before="90"/>
        <w:ind w:left="322"/>
        <w:rPr>
          <w:i/>
          <w:sz w:val="20"/>
        </w:rPr>
      </w:pPr>
      <w:r>
        <w:rPr>
          <w:i/>
          <w:sz w:val="20"/>
        </w:rPr>
        <w:t>Service</w:t>
      </w:r>
      <w:r>
        <w:rPr>
          <w:i/>
          <w:spacing w:val="-7"/>
          <w:sz w:val="20"/>
        </w:rPr>
        <w:t xml:space="preserve"> </w:t>
      </w:r>
      <w:r>
        <w:rPr>
          <w:i/>
          <w:sz w:val="20"/>
        </w:rPr>
        <w:t>Connection</w:t>
      </w:r>
      <w:r>
        <w:rPr>
          <w:i/>
          <w:spacing w:val="-6"/>
          <w:sz w:val="20"/>
        </w:rPr>
        <w:t xml:space="preserve"> </w:t>
      </w:r>
      <w:r>
        <w:rPr>
          <w:i/>
          <w:sz w:val="20"/>
        </w:rPr>
        <w:t>(utility</w:t>
      </w:r>
      <w:r>
        <w:rPr>
          <w:i/>
          <w:spacing w:val="-6"/>
          <w:sz w:val="20"/>
        </w:rPr>
        <w:t xml:space="preserve"> </w:t>
      </w:r>
      <w:r>
        <w:rPr>
          <w:i/>
          <w:spacing w:val="-2"/>
          <w:sz w:val="20"/>
        </w:rPr>
        <w:t>Fee):</w:t>
      </w:r>
      <w:r>
        <w:rPr>
          <w:i/>
          <w:sz w:val="20"/>
        </w:rPr>
        <w:tab/>
      </w:r>
      <w:r>
        <w:rPr>
          <w:i/>
          <w:spacing w:val="-4"/>
          <w:sz w:val="20"/>
        </w:rPr>
        <w:t>$850</w:t>
      </w:r>
    </w:p>
    <w:p w:rsidR="00C31389" w:rsidRDefault="00561FBD" w14:paraId="7FDC0246" w14:textId="77777777">
      <w:pPr>
        <w:tabs>
          <w:tab w:val="left" w:pos="3425"/>
        </w:tabs>
        <w:spacing w:before="111"/>
        <w:ind w:left="212"/>
        <w:rPr>
          <w:b/>
          <w:sz w:val="20"/>
        </w:rPr>
      </w:pPr>
      <w:r>
        <w:rPr>
          <w:noProof/>
        </w:rPr>
        <mc:AlternateContent>
          <mc:Choice Requires="wps">
            <w:drawing>
              <wp:anchor distT="0" distB="0" distL="0" distR="0" simplePos="0" relativeHeight="15838720" behindDoc="0" locked="0" layoutInCell="1" allowOverlap="1" wp14:editId="1D8C0FA4" wp14:anchorId="145F0D40">
                <wp:simplePos x="0" y="0"/>
                <wp:positionH relativeFrom="page">
                  <wp:posOffset>608076</wp:posOffset>
                </wp:positionH>
                <wp:positionV relativeFrom="paragraph">
                  <wp:posOffset>63879</wp:posOffset>
                </wp:positionV>
                <wp:extent cx="6296025" cy="635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16" style="position:absolute;margin-left:47.9pt;margin-top:5.05pt;width:495.75pt;height:.5pt;z-index:15838720;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" w14:anchorId="7CBC7B75">
                <v:path arrowok="t"/>
                <w10:wrap anchorx="page"/>
              </v:shape>
            </w:pict>
          </mc:Fallback>
        </mc:AlternateContent>
      </w:r>
      <w:r>
        <w:rPr>
          <w:b/>
          <w:sz w:val="20"/>
        </w:rPr>
        <w:t>Total</w:t>
      </w:r>
      <w:r>
        <w:rPr>
          <w:b/>
          <w:spacing w:val="-4"/>
          <w:sz w:val="20"/>
        </w:rPr>
        <w:t xml:space="preserve"> </w:t>
      </w:r>
      <w:r>
        <w:rPr>
          <w:b/>
          <w:spacing w:val="-2"/>
          <w:sz w:val="20"/>
        </w:rPr>
        <w:t>Cost:</w:t>
      </w:r>
      <w:r>
        <w:rPr>
          <w:b/>
          <w:sz w:val="20"/>
        </w:rPr>
        <w:tab/>
      </w:r>
      <w:r>
        <w:rPr>
          <w:b/>
          <w:spacing w:val="-2"/>
          <w:sz w:val="20"/>
        </w:rPr>
        <w:t>$8,188</w:t>
      </w:r>
    </w:p>
    <w:p w:rsidR="00C31389" w:rsidRDefault="00561FBD" w14:paraId="3FEE8287" w14:textId="77777777">
      <w:pPr>
        <w:tabs>
          <w:tab w:val="left" w:pos="3536"/>
        </w:tabs>
        <w:ind w:left="322"/>
        <w:rPr>
          <w:i/>
          <w:sz w:val="20"/>
        </w:rPr>
      </w:pPr>
      <w:r>
        <w:rPr>
          <w:noProof/>
        </w:rPr>
        <mc:AlternateContent>
          <mc:Choice Requires="wps">
            <w:drawing>
              <wp:anchor distT="0" distB="0" distL="0" distR="0" simplePos="0" relativeHeight="15839232" behindDoc="0" locked="0" layoutInCell="1" allowOverlap="1" wp14:editId="7748F337" wp14:anchorId="23866E7A">
                <wp:simplePos x="0" y="0"/>
                <wp:positionH relativeFrom="page">
                  <wp:posOffset>1626870</wp:posOffset>
                </wp:positionH>
                <wp:positionV relativeFrom="paragraph">
                  <wp:posOffset>145781</wp:posOffset>
                </wp:positionV>
                <wp:extent cx="3096260" cy="635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108"/>
                              </a:lnTo>
                              <a:lnTo>
                                <a:pt x="2039874" y="6108"/>
                              </a:lnTo>
                              <a:lnTo>
                                <a:pt x="2045970" y="6108"/>
                              </a:lnTo>
                              <a:lnTo>
                                <a:pt x="3096006" y="6108"/>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19" style="position:absolute;margin-left:128.1pt;margin-top:11.5pt;width:243.8pt;height:.5pt;z-index:15839232;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108r2039874,l2045970,6108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" w14:anchorId="099DCDAC">
                <v:path arrowok="t"/>
                <w10:wrap anchorx="page"/>
              </v:shape>
            </w:pict>
          </mc:Fallback>
        </mc:AlternateContent>
      </w:r>
      <w:r>
        <w:rPr>
          <w:i/>
          <w:spacing w:val="-2"/>
          <w:sz w:val="20"/>
        </w:rPr>
        <w:t>Labor:</w:t>
      </w:r>
      <w:r>
        <w:rPr>
          <w:i/>
          <w:sz w:val="20"/>
        </w:rPr>
        <w:tab/>
      </w:r>
      <w:r>
        <w:rPr>
          <w:i/>
          <w:spacing w:val="-2"/>
          <w:sz w:val="20"/>
        </w:rPr>
        <w:t>$4,740</w:t>
      </w:r>
    </w:p>
    <w:p w:rsidR="00C31389" w:rsidRDefault="00561FBD" w14:paraId="3C124E82" w14:textId="77777777">
      <w:pPr>
        <w:tabs>
          <w:tab w:val="left" w:pos="3536"/>
        </w:tabs>
        <w:ind w:left="322"/>
        <w:rPr>
          <w:i/>
          <w:sz w:val="20"/>
        </w:rPr>
      </w:pPr>
      <w:r>
        <w:rPr>
          <w:i/>
          <w:sz w:val="20"/>
        </w:rPr>
        <w:t>Material</w:t>
      </w:r>
      <w:r>
        <w:rPr>
          <w:i/>
          <w:spacing w:val="-3"/>
          <w:sz w:val="20"/>
        </w:rPr>
        <w:t xml:space="preserve"> </w:t>
      </w:r>
      <w:r>
        <w:rPr>
          <w:i/>
          <w:sz w:val="20"/>
        </w:rPr>
        <w:t>–</w:t>
      </w:r>
      <w:r>
        <w:rPr>
          <w:i/>
          <w:spacing w:val="-2"/>
          <w:sz w:val="20"/>
        </w:rPr>
        <w:t xml:space="preserve"> </w:t>
      </w:r>
      <w:r>
        <w:rPr>
          <w:i/>
          <w:sz w:val="20"/>
        </w:rPr>
        <w:t>New</w:t>
      </w:r>
      <w:r>
        <w:rPr>
          <w:i/>
          <w:spacing w:val="-1"/>
          <w:sz w:val="20"/>
        </w:rPr>
        <w:t xml:space="preserve"> </w:t>
      </w:r>
      <w:r>
        <w:rPr>
          <w:i/>
          <w:spacing w:val="-2"/>
          <w:sz w:val="20"/>
        </w:rPr>
        <w:t>Panel:</w:t>
      </w:r>
      <w:r>
        <w:rPr>
          <w:i/>
          <w:sz w:val="20"/>
        </w:rPr>
        <w:tab/>
      </w:r>
      <w:r>
        <w:rPr>
          <w:i/>
          <w:spacing w:val="-2"/>
          <w:sz w:val="20"/>
        </w:rPr>
        <w:t>$1,400</w:t>
      </w:r>
    </w:p>
    <w:p w:rsidR="00C31389" w:rsidRDefault="00561FBD" w14:paraId="21AF44DE" w14:textId="77777777">
      <w:pPr>
        <w:tabs>
          <w:tab w:val="left" w:pos="3536"/>
          <w:tab w:val="left" w:pos="5378"/>
        </w:tabs>
        <w:spacing w:before="13" w:line="158" w:lineRule="auto"/>
        <w:ind w:left="322"/>
        <w:rPr>
          <w:sz w:val="20"/>
        </w:rPr>
      </w:pPr>
      <w:r>
        <w:rPr>
          <w:noProof/>
        </w:rPr>
        <mc:AlternateContent>
          <mc:Choice Requires="wps">
            <w:drawing>
              <wp:anchor distT="0" distB="0" distL="0" distR="0" simplePos="0" relativeHeight="465528832" behindDoc="1" locked="0" layoutInCell="1" allowOverlap="1" wp14:editId="07E13026" wp14:anchorId="4152284F">
                <wp:simplePos x="0" y="0"/>
                <wp:positionH relativeFrom="page">
                  <wp:posOffset>1626870</wp:posOffset>
                </wp:positionH>
                <wp:positionV relativeFrom="paragraph">
                  <wp:posOffset>139455</wp:posOffset>
                </wp:positionV>
                <wp:extent cx="3096260" cy="6350"/>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096"/>
                              </a:lnTo>
                              <a:lnTo>
                                <a:pt x="2039874" y="6096"/>
                              </a:lnTo>
                              <a:lnTo>
                                <a:pt x="2045970" y="6096"/>
                              </a:lnTo>
                              <a:lnTo>
                                <a:pt x="3096006" y="6096"/>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22" style="position:absolute;margin-left:128.1pt;margin-top:11pt;width:243.8pt;height:.5pt;z-index:-37787648;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096r2039874,l2045970,6096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" w14:anchorId="68091668">
                <v:path arrowok="t"/>
                <w10:wrap anchorx="page"/>
              </v:shape>
            </w:pict>
          </mc:Fallback>
        </mc:AlternateContent>
      </w:r>
      <w:r>
        <w:rPr>
          <w:i/>
          <w:sz w:val="20"/>
        </w:rPr>
        <w:t>Material</w:t>
      </w:r>
      <w:r>
        <w:rPr>
          <w:i/>
          <w:spacing w:val="-3"/>
          <w:sz w:val="20"/>
        </w:rPr>
        <w:t xml:space="preserve"> </w:t>
      </w:r>
      <w:r>
        <w:rPr>
          <w:i/>
          <w:sz w:val="20"/>
        </w:rPr>
        <w:t>–</w:t>
      </w:r>
      <w:r>
        <w:rPr>
          <w:i/>
          <w:spacing w:val="-2"/>
          <w:sz w:val="20"/>
        </w:rPr>
        <w:t xml:space="preserve"> </w:t>
      </w:r>
      <w:r>
        <w:rPr>
          <w:i/>
          <w:sz w:val="20"/>
        </w:rPr>
        <w:t>New</w:t>
      </w:r>
      <w:r>
        <w:rPr>
          <w:i/>
          <w:spacing w:val="-1"/>
          <w:sz w:val="20"/>
        </w:rPr>
        <w:t xml:space="preserve"> </w:t>
      </w:r>
      <w:r>
        <w:rPr>
          <w:i/>
          <w:spacing w:val="-2"/>
          <w:sz w:val="20"/>
        </w:rPr>
        <w:t>Subpanel:</w:t>
      </w:r>
      <w:r>
        <w:rPr>
          <w:i/>
          <w:sz w:val="20"/>
        </w:rPr>
        <w:tab/>
      </w:r>
      <w:r>
        <w:rPr>
          <w:i/>
          <w:spacing w:val="-4"/>
          <w:sz w:val="20"/>
        </w:rPr>
        <w:t>$500</w:t>
      </w:r>
      <w:r>
        <w:rPr>
          <w:i/>
          <w:sz w:val="20"/>
        </w:rPr>
        <w:tab/>
      </w:r>
      <w:r>
        <w:rPr>
          <w:spacing w:val="-5"/>
          <w:position w:val="-11"/>
          <w:sz w:val="20"/>
        </w:rPr>
        <w:t>11</w:t>
      </w:r>
    </w:p>
    <w:p w:rsidR="00C31389" w:rsidRDefault="00561FBD" w14:paraId="5BF1C500" w14:textId="77777777">
      <w:pPr>
        <w:tabs>
          <w:tab w:val="left" w:pos="3536"/>
        </w:tabs>
        <w:spacing w:line="175" w:lineRule="exact"/>
        <w:ind w:left="322"/>
        <w:rPr>
          <w:i/>
          <w:sz w:val="20"/>
        </w:rPr>
      </w:pPr>
      <w:r>
        <w:rPr>
          <w:i/>
          <w:sz w:val="20"/>
        </w:rPr>
        <w:t>Rough</w:t>
      </w:r>
      <w:r>
        <w:rPr>
          <w:i/>
          <w:spacing w:val="-3"/>
          <w:sz w:val="20"/>
        </w:rPr>
        <w:t xml:space="preserve"> </w:t>
      </w:r>
      <w:r>
        <w:rPr>
          <w:i/>
          <w:sz w:val="20"/>
        </w:rPr>
        <w:t>in</w:t>
      </w:r>
      <w:r>
        <w:rPr>
          <w:i/>
          <w:spacing w:val="-3"/>
          <w:sz w:val="20"/>
        </w:rPr>
        <w:t xml:space="preserve"> </w:t>
      </w:r>
      <w:r>
        <w:rPr>
          <w:i/>
          <w:sz w:val="20"/>
        </w:rPr>
        <w:t>and</w:t>
      </w:r>
      <w:r>
        <w:rPr>
          <w:i/>
          <w:spacing w:val="-2"/>
          <w:sz w:val="20"/>
        </w:rPr>
        <w:t xml:space="preserve"> </w:t>
      </w:r>
      <w:r>
        <w:rPr>
          <w:i/>
          <w:sz w:val="20"/>
        </w:rPr>
        <w:t>Outlet</w:t>
      </w:r>
      <w:r>
        <w:rPr>
          <w:i/>
          <w:spacing w:val="-3"/>
          <w:sz w:val="20"/>
        </w:rPr>
        <w:t xml:space="preserve"> </w:t>
      </w:r>
      <w:r>
        <w:rPr>
          <w:i/>
          <w:sz w:val="20"/>
        </w:rPr>
        <w:t>for</w:t>
      </w:r>
      <w:r>
        <w:rPr>
          <w:i/>
          <w:spacing w:val="-1"/>
          <w:sz w:val="20"/>
        </w:rPr>
        <w:t xml:space="preserve"> </w:t>
      </w:r>
      <w:r>
        <w:rPr>
          <w:i/>
          <w:spacing w:val="-5"/>
          <w:sz w:val="20"/>
        </w:rPr>
        <w:t>EV:</w:t>
      </w:r>
      <w:r>
        <w:rPr>
          <w:i/>
          <w:sz w:val="20"/>
        </w:rPr>
        <w:tab/>
      </w:r>
      <w:r>
        <w:rPr>
          <w:i/>
          <w:spacing w:val="-4"/>
          <w:sz w:val="20"/>
        </w:rPr>
        <w:t>$600</w:t>
      </w:r>
    </w:p>
    <w:p w:rsidR="00C31389" w:rsidRDefault="00561FBD" w14:paraId="01D9A5B4" w14:textId="77777777">
      <w:pPr>
        <w:tabs>
          <w:tab w:val="left" w:pos="3536"/>
        </w:tabs>
        <w:ind w:left="322"/>
        <w:rPr>
          <w:i/>
          <w:sz w:val="20"/>
        </w:rPr>
      </w:pPr>
      <w:r>
        <w:rPr>
          <w:noProof/>
        </w:rPr>
        <mc:AlternateContent>
          <mc:Choice Requires="wps">
            <w:drawing>
              <wp:anchor distT="0" distB="0" distL="0" distR="0" simplePos="0" relativeHeight="15840256" behindDoc="0" locked="0" layoutInCell="1" allowOverlap="1" wp14:editId="0CD4C40A" wp14:anchorId="121A0F97">
                <wp:simplePos x="0" y="0"/>
                <wp:positionH relativeFrom="page">
                  <wp:posOffset>1626870</wp:posOffset>
                </wp:positionH>
                <wp:positionV relativeFrom="paragraph">
                  <wp:posOffset>145794</wp:posOffset>
                </wp:positionV>
                <wp:extent cx="3096260" cy="635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096"/>
                              </a:lnTo>
                              <a:lnTo>
                                <a:pt x="2039874" y="6096"/>
                              </a:lnTo>
                              <a:lnTo>
                                <a:pt x="2045970" y="6096"/>
                              </a:lnTo>
                              <a:lnTo>
                                <a:pt x="3096006" y="6096"/>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25" style="position:absolute;margin-left:128.1pt;margin-top:11.5pt;width:243.8pt;height:.5pt;z-index:15840256;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096r2039874,l2045970,6096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" w14:anchorId="1E1A78C8">
                <v:path arrowok="t"/>
                <w10:wrap anchorx="page"/>
              </v:shape>
            </w:pict>
          </mc:Fallback>
        </mc:AlternateContent>
      </w:r>
      <w:r>
        <w:rPr>
          <w:i/>
          <w:spacing w:val="-2"/>
          <w:sz w:val="20"/>
        </w:rPr>
        <w:t>Breakers:</w:t>
      </w:r>
      <w:r>
        <w:rPr>
          <w:i/>
          <w:sz w:val="20"/>
        </w:rPr>
        <w:tab/>
      </w:r>
      <w:r>
        <w:rPr>
          <w:i/>
          <w:spacing w:val="-4"/>
          <w:sz w:val="20"/>
        </w:rPr>
        <w:t>$480</w:t>
      </w:r>
    </w:p>
    <w:p w:rsidR="00C31389" w:rsidRDefault="00561FBD" w14:paraId="15B69B8C" w14:textId="77777777">
      <w:pPr>
        <w:tabs>
          <w:tab w:val="left" w:pos="3536"/>
        </w:tabs>
        <w:ind w:left="322"/>
        <w:rPr>
          <w:i/>
          <w:sz w:val="20"/>
        </w:rPr>
      </w:pPr>
      <w:r>
        <w:rPr>
          <w:i/>
          <w:sz w:val="20"/>
        </w:rPr>
        <w:t>City</w:t>
      </w:r>
      <w:r>
        <w:rPr>
          <w:i/>
          <w:spacing w:val="-2"/>
          <w:sz w:val="20"/>
        </w:rPr>
        <w:t xml:space="preserve"> Permit:</w:t>
      </w:r>
      <w:r>
        <w:rPr>
          <w:i/>
          <w:sz w:val="20"/>
        </w:rPr>
        <w:tab/>
      </w:r>
      <w:r>
        <w:rPr>
          <w:i/>
          <w:spacing w:val="-4"/>
          <w:sz w:val="20"/>
        </w:rPr>
        <w:t>$600</w:t>
      </w:r>
    </w:p>
    <w:p w:rsidR="00C31389" w:rsidRDefault="00561FBD" w14:paraId="78DEAA91" w14:textId="77777777">
      <w:pPr>
        <w:tabs>
          <w:tab w:val="left" w:pos="3536"/>
        </w:tabs>
        <w:ind w:left="322"/>
        <w:rPr>
          <w:i/>
          <w:sz w:val="20"/>
        </w:rPr>
      </w:pPr>
      <w:r>
        <w:rPr>
          <w:noProof/>
        </w:rPr>
        <mc:AlternateContent>
          <mc:Choice Requires="wps">
            <w:drawing>
              <wp:anchor distT="0" distB="0" distL="0" distR="0" simplePos="0" relativeHeight="15840768" behindDoc="0" locked="0" layoutInCell="1" allowOverlap="1" wp14:editId="1FB939DC" wp14:anchorId="0800BF58">
                <wp:simplePos x="0" y="0"/>
                <wp:positionH relativeFrom="page">
                  <wp:posOffset>608076</wp:posOffset>
                </wp:positionH>
                <wp:positionV relativeFrom="paragraph">
                  <wp:posOffset>145794</wp:posOffset>
                </wp:positionV>
                <wp:extent cx="6296025" cy="635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28" style="position:absolute;margin-left:47.9pt;margin-top:11.5pt;width:495.75pt;height:.5pt;z-index:15840768;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" w14:anchorId="2D877276">
                <v:path arrowok="t"/>
                <w10:wrap anchorx="page"/>
              </v:shape>
            </w:pict>
          </mc:Fallback>
        </mc:AlternateContent>
      </w:r>
      <w:r>
        <w:rPr>
          <w:i/>
          <w:sz w:val="20"/>
        </w:rPr>
        <w:t>Overhead</w:t>
      </w:r>
      <w:r>
        <w:rPr>
          <w:i/>
          <w:spacing w:val="-3"/>
          <w:sz w:val="20"/>
        </w:rPr>
        <w:t xml:space="preserve"> </w:t>
      </w:r>
      <w:r>
        <w:rPr>
          <w:i/>
          <w:spacing w:val="-2"/>
          <w:sz w:val="20"/>
        </w:rPr>
        <w:t>(15%):</w:t>
      </w:r>
      <w:r>
        <w:rPr>
          <w:i/>
          <w:sz w:val="20"/>
        </w:rPr>
        <w:tab/>
      </w:r>
      <w:r>
        <w:rPr>
          <w:i/>
          <w:spacing w:val="-2"/>
          <w:sz w:val="20"/>
        </w:rPr>
        <w:t>$1,068</w:t>
      </w:r>
    </w:p>
    <w:p w:rsidR="00C31389" w:rsidRDefault="00561FBD" w14:paraId="114282F3" w14:textId="77777777">
      <w:pPr>
        <w:ind w:left="105" w:right="231"/>
        <w:rPr>
          <w:sz w:val="20"/>
        </w:rPr>
      </w:pPr>
      <w:r>
        <w:br w:type="column"/>
      </w:r>
      <w:r>
        <w:rPr>
          <w:sz w:val="20"/>
        </w:rPr>
        <w:t xml:space="preserve">cost </w:t>
      </w:r>
      <w:r>
        <w:rPr>
          <w:sz w:val="20"/>
        </w:rPr>
        <w:t>estimates are based</w:t>
      </w:r>
      <w:r>
        <w:rPr>
          <w:spacing w:val="-14"/>
          <w:sz w:val="20"/>
        </w:rPr>
        <w:t xml:space="preserve"> </w:t>
      </w:r>
      <w:r>
        <w:rPr>
          <w:sz w:val="20"/>
        </w:rPr>
        <w:t>on</w:t>
      </w:r>
      <w:r>
        <w:rPr>
          <w:spacing w:val="-14"/>
          <w:sz w:val="20"/>
        </w:rPr>
        <w:t xml:space="preserve"> </w:t>
      </w:r>
      <w:r>
        <w:rPr>
          <w:sz w:val="20"/>
        </w:rPr>
        <w:t>RSMeans data</w:t>
      </w:r>
      <w:r>
        <w:rPr>
          <w:spacing w:val="-8"/>
          <w:sz w:val="20"/>
        </w:rPr>
        <w:t xml:space="preserve"> </w:t>
      </w:r>
      <w:r>
        <w:rPr>
          <w:sz w:val="20"/>
        </w:rPr>
        <w:t>and</w:t>
      </w:r>
      <w:r>
        <w:rPr>
          <w:spacing w:val="-8"/>
          <w:sz w:val="20"/>
        </w:rPr>
        <w:t xml:space="preserve"> </w:t>
      </w:r>
      <w:r>
        <w:rPr>
          <w:sz w:val="20"/>
        </w:rPr>
        <w:t>it</w:t>
      </w:r>
      <w:r>
        <w:rPr>
          <w:spacing w:val="-8"/>
          <w:sz w:val="20"/>
        </w:rPr>
        <w:t xml:space="preserve"> </w:t>
      </w:r>
      <w:r>
        <w:rPr>
          <w:sz w:val="20"/>
        </w:rPr>
        <w:t>does</w:t>
      </w:r>
      <w:r>
        <w:rPr>
          <w:spacing w:val="-8"/>
          <w:sz w:val="20"/>
        </w:rPr>
        <w:t xml:space="preserve"> </w:t>
      </w:r>
      <w:r>
        <w:rPr>
          <w:sz w:val="20"/>
        </w:rPr>
        <w:t>not include overhead</w:t>
      </w:r>
    </w:p>
    <w:p w:rsidR="00C31389" w:rsidRDefault="00C31389" w14:paraId="3FA66AEF" w14:textId="77777777">
      <w:pPr>
        <w:pStyle w:val="BodyText"/>
        <w:spacing w:before="3"/>
        <w:rPr>
          <w:sz w:val="23"/>
        </w:rPr>
      </w:pPr>
    </w:p>
    <w:p w:rsidR="00C31389" w:rsidRDefault="00561FBD" w14:paraId="6E6137AD" w14:textId="77777777">
      <w:pPr>
        <w:ind w:left="105" w:right="231"/>
        <w:rPr>
          <w:sz w:val="20"/>
        </w:rPr>
      </w:pPr>
      <w:r>
        <w:rPr>
          <w:sz w:val="20"/>
        </w:rPr>
        <w:t>This is based on a recent upgrade in California</w:t>
      </w:r>
      <w:r>
        <w:rPr>
          <w:spacing w:val="-14"/>
          <w:sz w:val="20"/>
        </w:rPr>
        <w:t xml:space="preserve"> </w:t>
      </w:r>
      <w:r>
        <w:rPr>
          <w:sz w:val="20"/>
        </w:rPr>
        <w:t>(2021).</w:t>
      </w:r>
      <w:r>
        <w:rPr>
          <w:spacing w:val="-14"/>
          <w:sz w:val="20"/>
        </w:rPr>
        <w:t xml:space="preserve"> </w:t>
      </w:r>
      <w:r>
        <w:rPr>
          <w:sz w:val="20"/>
        </w:rPr>
        <w:t xml:space="preserve">The high labor cost is a result of panel </w:t>
      </w:r>
      <w:r>
        <w:rPr>
          <w:spacing w:val="-2"/>
          <w:sz w:val="20"/>
        </w:rPr>
        <w:t>relocation.</w:t>
      </w:r>
    </w:p>
    <w:p w:rsidR="00C31389" w:rsidRDefault="00C31389" w14:paraId="22A1D46C" w14:textId="77777777">
      <w:pPr>
        <w:rPr>
          <w:sz w:val="20"/>
        </w:rPr>
        <w:sectPr w:rsidR="00C31389">
          <w:type w:val="continuous"/>
          <w:pgSz w:w="11910" w:h="16840"/>
          <w:pgMar w:top="0" w:right="1020" w:bottom="280" w:left="960" w:header="397" w:footer="938" w:gutter="0"/>
          <w:cols w:equalWidth="0" w:space="720" w:num="3">
            <w:col w:w="1346" w:space="150"/>
            <w:col w:w="5642" w:space="358"/>
            <w:col w:w="2434"/>
          </w:cols>
        </w:sectPr>
      </w:pPr>
    </w:p>
    <w:p w:rsidR="00C31389" w:rsidRDefault="00561FBD" w14:paraId="355EEE5B" w14:textId="77777777">
      <w:pPr>
        <w:tabs>
          <w:tab w:val="left" w:pos="1708"/>
          <w:tab w:val="left" w:pos="4922"/>
          <w:tab w:val="left" w:pos="6874"/>
          <w:tab w:val="left" w:pos="7601"/>
        </w:tabs>
        <w:spacing w:before="87" w:line="120" w:lineRule="auto"/>
        <w:ind w:left="7602" w:right="141" w:hanging="7497"/>
        <w:rPr>
          <w:sz w:val="20"/>
        </w:rPr>
      </w:pPr>
      <w:r>
        <w:rPr>
          <w:noProof/>
        </w:rPr>
        <mc:AlternateContent>
          <mc:Choice Requires="wps">
            <w:drawing>
              <wp:anchor distT="0" distB="0" distL="0" distR="0" simplePos="0" relativeHeight="15841280" behindDoc="0" locked="0" layoutInCell="1" allowOverlap="1" wp14:editId="722788BF" wp14:anchorId="1FED6AD1">
                <wp:simplePos x="0" y="0"/>
                <wp:positionH relativeFrom="page">
                  <wp:posOffset>608076</wp:posOffset>
                </wp:positionH>
                <wp:positionV relativeFrom="paragraph">
                  <wp:posOffset>290829</wp:posOffset>
                </wp:positionV>
                <wp:extent cx="6296025" cy="635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29" style="position:absolute;margin-left:47.9pt;margin-top:22.9pt;width:495.75pt;height:.5pt;z-index:15841280;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" w14:anchorId="1B07DF03">
                <v:path arrowok="t"/>
                <w10:wrap anchorx="page"/>
              </v:shape>
            </w:pict>
          </mc:Fallback>
        </mc:AlternateContent>
      </w:r>
      <w:r>
        <w:rPr>
          <w:sz w:val="20"/>
        </w:rPr>
        <w:t>Single Family</w:t>
      </w:r>
      <w:r>
        <w:rPr>
          <w:sz w:val="20"/>
        </w:rPr>
        <w:tab/>
      </w:r>
      <w:r>
        <w:rPr>
          <w:b/>
          <w:spacing w:val="-2"/>
          <w:sz w:val="20"/>
        </w:rPr>
        <w:t>Total:</w:t>
      </w:r>
      <w:r>
        <w:rPr>
          <w:b/>
          <w:sz w:val="20"/>
        </w:rPr>
        <w:tab/>
      </w:r>
      <w:r>
        <w:rPr>
          <w:b/>
          <w:spacing w:val="-2"/>
          <w:sz w:val="20"/>
        </w:rPr>
        <w:t>$4,256</w:t>
      </w:r>
      <w:r>
        <w:rPr>
          <w:b/>
          <w:sz w:val="20"/>
        </w:rPr>
        <w:tab/>
      </w:r>
      <w:r>
        <w:rPr>
          <w:spacing w:val="-6"/>
          <w:sz w:val="20"/>
        </w:rPr>
        <w:t>13</w:t>
      </w:r>
      <w:r>
        <w:rPr>
          <w:sz w:val="20"/>
        </w:rPr>
        <w:tab/>
      </w:r>
      <w:r>
        <w:rPr>
          <w:position w:val="12"/>
          <w:sz w:val="20"/>
        </w:rPr>
        <w:t>Used</w:t>
      </w:r>
      <w:r>
        <w:rPr>
          <w:spacing w:val="-11"/>
          <w:position w:val="12"/>
          <w:sz w:val="20"/>
        </w:rPr>
        <w:t xml:space="preserve"> </w:t>
      </w:r>
      <w:r>
        <w:rPr>
          <w:position w:val="12"/>
          <w:sz w:val="20"/>
        </w:rPr>
        <w:t>available</w:t>
      </w:r>
      <w:r>
        <w:rPr>
          <w:spacing w:val="-11"/>
          <w:position w:val="12"/>
          <w:sz w:val="20"/>
        </w:rPr>
        <w:t xml:space="preserve"> </w:t>
      </w:r>
      <w:r>
        <w:rPr>
          <w:position w:val="12"/>
          <w:sz w:val="20"/>
        </w:rPr>
        <w:t>cost</w:t>
      </w:r>
      <w:r>
        <w:rPr>
          <w:spacing w:val="-11"/>
          <w:position w:val="12"/>
          <w:sz w:val="20"/>
        </w:rPr>
        <w:t xml:space="preserve"> </w:t>
      </w:r>
      <w:r>
        <w:rPr>
          <w:position w:val="12"/>
          <w:sz w:val="20"/>
        </w:rPr>
        <w:t xml:space="preserve">data </w:t>
      </w:r>
      <w:r>
        <w:rPr>
          <w:sz w:val="20"/>
        </w:rPr>
        <w:t>from [3]</w:t>
      </w:r>
    </w:p>
    <w:p w:rsidR="00C31389" w:rsidRDefault="00C31389" w14:paraId="15EAD89A" w14:textId="77777777">
      <w:pPr>
        <w:spacing w:line="120" w:lineRule="auto"/>
        <w:rPr>
          <w:sz w:val="20"/>
        </w:rPr>
        <w:sectPr w:rsidR="00C31389">
          <w:type w:val="continuous"/>
          <w:pgSz w:w="11910" w:h="16840"/>
          <w:pgMar w:top="0" w:right="1020" w:bottom="280" w:left="960" w:header="397" w:footer="938" w:gutter="0"/>
          <w:cols w:space="720"/>
        </w:sectPr>
      </w:pPr>
    </w:p>
    <w:p w:rsidR="00C31389" w:rsidRDefault="00561FBD" w14:paraId="6D84409E" w14:textId="77777777">
      <w:pPr>
        <w:spacing w:before="32"/>
        <w:ind w:left="1708"/>
        <w:rPr>
          <w:b/>
          <w:sz w:val="20"/>
        </w:rPr>
      </w:pPr>
      <w:r>
        <w:rPr>
          <w:noProof/>
        </w:rPr>
        <mc:AlternateContent>
          <mc:Choice Requires="wps">
            <w:drawing>
              <wp:anchor distT="0" distB="0" distL="0" distR="0" simplePos="0" relativeHeight="15841792" behindDoc="0" locked="0" layoutInCell="1" allowOverlap="1" wp14:editId="6FA159C6" wp14:anchorId="71B609C2">
                <wp:simplePos x="0" y="0"/>
                <wp:positionH relativeFrom="page">
                  <wp:posOffset>1626870</wp:posOffset>
                </wp:positionH>
                <wp:positionV relativeFrom="paragraph">
                  <wp:posOffset>312405</wp:posOffset>
                </wp:positionV>
                <wp:extent cx="3096260" cy="635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108"/>
                              </a:lnTo>
                              <a:lnTo>
                                <a:pt x="2039874" y="6108"/>
                              </a:lnTo>
                              <a:lnTo>
                                <a:pt x="2045970" y="6108"/>
                              </a:lnTo>
                              <a:lnTo>
                                <a:pt x="3096006" y="6108"/>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30" style="position:absolute;margin-left:128.1pt;margin-top:24.6pt;width:243.8pt;height:.5pt;z-index:15841792;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108r2039874,l2045970,6108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" w14:anchorId="4B9B8512">
                <v:path arrowok="t"/>
                <w10:wrap anchorx="page"/>
              </v:shape>
            </w:pict>
          </mc:Fallback>
        </mc:AlternateContent>
      </w:r>
      <w:r>
        <w:rPr>
          <w:b/>
          <w:sz w:val="20"/>
        </w:rPr>
        <w:t>Total</w:t>
      </w:r>
      <w:r>
        <w:rPr>
          <w:b/>
          <w:spacing w:val="-13"/>
          <w:sz w:val="20"/>
        </w:rPr>
        <w:t xml:space="preserve"> </w:t>
      </w:r>
      <w:r>
        <w:rPr>
          <w:b/>
          <w:sz w:val="20"/>
        </w:rPr>
        <w:t>cost</w:t>
      </w:r>
      <w:r>
        <w:rPr>
          <w:b/>
          <w:spacing w:val="-13"/>
          <w:sz w:val="20"/>
        </w:rPr>
        <w:t xml:space="preserve"> </w:t>
      </w:r>
      <w:r>
        <w:rPr>
          <w:b/>
          <w:sz w:val="20"/>
        </w:rPr>
        <w:t>(the</w:t>
      </w:r>
      <w:r>
        <w:rPr>
          <w:b/>
          <w:spacing w:val="-13"/>
          <w:sz w:val="20"/>
        </w:rPr>
        <w:t xml:space="preserve"> </w:t>
      </w:r>
      <w:r>
        <w:rPr>
          <w:b/>
          <w:sz w:val="20"/>
        </w:rPr>
        <w:t xml:space="preserve">national </w:t>
      </w:r>
      <w:r>
        <w:rPr>
          <w:b/>
          <w:spacing w:val="-2"/>
          <w:sz w:val="20"/>
        </w:rPr>
        <w:t>average):</w:t>
      </w:r>
    </w:p>
    <w:p w:rsidR="00C31389" w:rsidRDefault="00561FBD" w14:paraId="05AFE1D7" w14:textId="77777777">
      <w:pPr>
        <w:spacing w:before="147"/>
        <w:ind w:left="983"/>
        <w:rPr>
          <w:b/>
          <w:sz w:val="20"/>
        </w:rPr>
      </w:pPr>
      <w:r>
        <w:br w:type="column"/>
      </w:r>
      <w:r>
        <w:rPr>
          <w:b/>
          <w:spacing w:val="-2"/>
          <w:sz w:val="20"/>
        </w:rPr>
        <w:t>$1,500–$4,000</w:t>
      </w:r>
    </w:p>
    <w:p w:rsidR="00C31389" w:rsidRDefault="00561FBD" w14:paraId="4777B312" w14:textId="77777777">
      <w:pPr>
        <w:rPr>
          <w:b/>
        </w:rPr>
      </w:pPr>
      <w:r>
        <w:br w:type="column"/>
      </w:r>
    </w:p>
    <w:p w:rsidR="00C31389" w:rsidRDefault="00561FBD" w14:paraId="561D9BB2" w14:textId="77777777">
      <w:pPr>
        <w:spacing w:before="139" w:line="117" w:lineRule="exact"/>
        <w:ind w:left="1306"/>
        <w:rPr>
          <w:sz w:val="20"/>
        </w:rPr>
      </w:pPr>
      <w:r>
        <w:rPr>
          <w:sz w:val="20"/>
        </w:rPr>
        <w:t>Cost</w:t>
      </w:r>
      <w:r>
        <w:rPr>
          <w:spacing w:val="-3"/>
          <w:sz w:val="20"/>
        </w:rPr>
        <w:t xml:space="preserve"> </w:t>
      </w:r>
      <w:r>
        <w:rPr>
          <w:sz w:val="20"/>
        </w:rPr>
        <w:t>data</w:t>
      </w:r>
      <w:r>
        <w:rPr>
          <w:spacing w:val="-2"/>
          <w:sz w:val="20"/>
        </w:rPr>
        <w:t xml:space="preserve"> </w:t>
      </w:r>
      <w:r>
        <w:rPr>
          <w:sz w:val="20"/>
        </w:rPr>
        <w:t>from</w:t>
      </w:r>
      <w:r>
        <w:rPr>
          <w:spacing w:val="-3"/>
          <w:sz w:val="20"/>
        </w:rPr>
        <w:t xml:space="preserve"> </w:t>
      </w:r>
      <w:r>
        <w:rPr>
          <w:sz w:val="20"/>
        </w:rPr>
        <w:t>a</w:t>
      </w:r>
      <w:r>
        <w:rPr>
          <w:spacing w:val="-2"/>
          <w:sz w:val="20"/>
        </w:rPr>
        <w:t xml:space="preserve"> great</w:t>
      </w:r>
    </w:p>
    <w:p w:rsidR="00C31389" w:rsidRDefault="00C31389" w14:paraId="48EAD38E" w14:textId="77777777">
      <w:pPr>
        <w:spacing w:line="117" w:lineRule="exact"/>
        <w:rPr>
          <w:sz w:val="20"/>
        </w:rPr>
        <w:sectPr w:rsidR="00C31389">
          <w:type w:val="continuous"/>
          <w:pgSz w:w="11910" w:h="16840"/>
          <w:pgMar w:top="0" w:right="1020" w:bottom="280" w:left="960" w:header="397" w:footer="938" w:gutter="0"/>
          <w:cols w:equalWidth="0" w:space="720" w:num="3">
            <w:col w:w="3899" w:space="40"/>
            <w:col w:w="2318" w:space="39"/>
            <w:col w:w="3634"/>
          </w:cols>
        </w:sectPr>
      </w:pPr>
    </w:p>
    <w:p w:rsidR="00C31389" w:rsidRDefault="00561FBD" w14:paraId="73C2CAE5" w14:textId="77777777">
      <w:pPr>
        <w:spacing w:before="114" w:line="121" w:lineRule="exact"/>
        <w:ind w:left="105"/>
        <w:rPr>
          <w:sz w:val="20"/>
        </w:rPr>
      </w:pPr>
      <w:r>
        <w:rPr>
          <w:sz w:val="20"/>
        </w:rPr>
        <w:t>All</w:t>
      </w:r>
      <w:r>
        <w:rPr>
          <w:spacing w:val="-3"/>
          <w:sz w:val="20"/>
        </w:rPr>
        <w:t xml:space="preserve"> </w:t>
      </w:r>
      <w:r>
        <w:rPr>
          <w:spacing w:val="-2"/>
          <w:sz w:val="20"/>
        </w:rPr>
        <w:t>Building</w:t>
      </w:r>
    </w:p>
    <w:p w:rsidR="00C31389" w:rsidRDefault="00561FBD" w14:paraId="12EEAB01" w14:textId="77777777">
      <w:pPr>
        <w:tabs>
          <w:tab w:val="left" w:pos="3319"/>
        </w:tabs>
        <w:spacing w:line="224" w:lineRule="exact"/>
        <w:ind w:left="105"/>
        <w:rPr>
          <w:i/>
          <w:sz w:val="20"/>
        </w:rPr>
      </w:pPr>
      <w:r>
        <w:br w:type="column"/>
      </w:r>
      <w:r>
        <w:rPr>
          <w:i/>
          <w:spacing w:val="-2"/>
          <w:sz w:val="20"/>
        </w:rPr>
        <w:t>Average:</w:t>
      </w:r>
      <w:r>
        <w:rPr>
          <w:i/>
          <w:sz w:val="20"/>
        </w:rPr>
        <w:tab/>
      </w:r>
      <w:r>
        <w:rPr>
          <w:i/>
          <w:spacing w:val="-2"/>
          <w:sz w:val="20"/>
        </w:rPr>
        <w:t>$2,500</w:t>
      </w:r>
    </w:p>
    <w:p w:rsidR="00C31389" w:rsidRDefault="00561FBD" w14:paraId="0040844C" w14:textId="77777777">
      <w:pPr>
        <w:spacing w:before="114" w:line="121" w:lineRule="exact"/>
        <w:ind w:left="105"/>
        <w:rPr>
          <w:sz w:val="20"/>
        </w:rPr>
      </w:pPr>
      <w:r>
        <w:br w:type="column"/>
      </w:r>
      <w:r>
        <w:rPr>
          <w:sz w:val="20"/>
        </w:rPr>
        <w:t>variety</w:t>
      </w:r>
      <w:r>
        <w:rPr>
          <w:spacing w:val="-3"/>
          <w:sz w:val="20"/>
        </w:rPr>
        <w:t xml:space="preserve"> </w:t>
      </w:r>
      <w:r>
        <w:rPr>
          <w:sz w:val="20"/>
        </w:rPr>
        <w:t>of</w:t>
      </w:r>
      <w:r>
        <w:rPr>
          <w:spacing w:val="-4"/>
          <w:sz w:val="20"/>
        </w:rPr>
        <w:t xml:space="preserve"> </w:t>
      </w:r>
      <w:r>
        <w:rPr>
          <w:sz w:val="20"/>
        </w:rPr>
        <w:t>sources</w:t>
      </w:r>
      <w:r>
        <w:rPr>
          <w:spacing w:val="-2"/>
          <w:sz w:val="20"/>
        </w:rPr>
        <w:t xml:space="preserve"> </w:t>
      </w:r>
      <w:r>
        <w:rPr>
          <w:spacing w:val="-5"/>
          <w:sz w:val="20"/>
        </w:rPr>
        <w:t>and</w:t>
      </w:r>
    </w:p>
    <w:p w:rsidR="00C31389" w:rsidRDefault="00C31389" w14:paraId="461FF7C1" w14:textId="77777777">
      <w:pPr>
        <w:spacing w:line="121" w:lineRule="exact"/>
        <w:rPr>
          <w:sz w:val="20"/>
        </w:rPr>
        <w:sectPr w:rsidR="00C31389">
          <w:type w:val="continuous"/>
          <w:pgSz w:w="11910" w:h="16840"/>
          <w:pgMar w:top="0" w:right="1020" w:bottom="280" w:left="960" w:header="397" w:footer="938" w:gutter="0"/>
          <w:cols w:equalWidth="0" w:space="720" w:num="3">
            <w:col w:w="1136" w:space="578"/>
            <w:col w:w="3973" w:space="1809"/>
            <w:col w:w="2434"/>
          </w:cols>
        </w:sectPr>
      </w:pPr>
    </w:p>
    <w:p w:rsidR="00C31389" w:rsidRDefault="00561FBD" w14:paraId="53707E08" w14:textId="77777777">
      <w:pPr>
        <w:spacing w:before="99"/>
        <w:ind w:left="105"/>
        <w:rPr>
          <w:sz w:val="20"/>
        </w:rPr>
      </w:pPr>
      <w:r>
        <w:rPr>
          <w:spacing w:val="-4"/>
          <w:sz w:val="20"/>
        </w:rPr>
        <w:t>Types</w:t>
      </w:r>
    </w:p>
    <w:p w:rsidR="00C31389" w:rsidRDefault="00561FBD" w14:paraId="1D9FD5BF" w14:textId="77777777">
      <w:pPr>
        <w:ind w:left="105" w:firstLine="110"/>
        <w:rPr>
          <w:i/>
          <w:sz w:val="20"/>
        </w:rPr>
      </w:pPr>
      <w:r>
        <w:br w:type="column"/>
      </w:r>
      <w:r>
        <w:rPr>
          <w:i/>
          <w:sz w:val="20"/>
        </w:rPr>
        <w:t>Lowest</w:t>
      </w:r>
      <w:r>
        <w:rPr>
          <w:i/>
          <w:spacing w:val="-12"/>
          <w:sz w:val="20"/>
        </w:rPr>
        <w:t xml:space="preserve"> </w:t>
      </w:r>
      <w:r>
        <w:rPr>
          <w:i/>
          <w:sz w:val="20"/>
        </w:rPr>
        <w:t>(to</w:t>
      </w:r>
      <w:r>
        <w:rPr>
          <w:i/>
          <w:spacing w:val="-12"/>
          <w:sz w:val="20"/>
        </w:rPr>
        <w:t xml:space="preserve"> </w:t>
      </w:r>
      <w:r>
        <w:rPr>
          <w:i/>
          <w:sz w:val="20"/>
        </w:rPr>
        <w:t>upgrade</w:t>
      </w:r>
      <w:r>
        <w:rPr>
          <w:i/>
          <w:spacing w:val="-12"/>
          <w:sz w:val="20"/>
        </w:rPr>
        <w:t xml:space="preserve"> </w:t>
      </w:r>
      <w:r>
        <w:rPr>
          <w:i/>
          <w:sz w:val="20"/>
        </w:rPr>
        <w:t xml:space="preserve">to </w:t>
      </w:r>
      <w:r>
        <w:rPr>
          <w:i/>
          <w:spacing w:val="-2"/>
          <w:sz w:val="20"/>
        </w:rPr>
        <w:t>100Amps):</w:t>
      </w:r>
    </w:p>
    <w:p w:rsidR="00C31389" w:rsidRDefault="00561FBD" w14:paraId="17D7B5E3" w14:textId="77777777">
      <w:pPr>
        <w:ind w:left="105" w:firstLine="110"/>
        <w:rPr>
          <w:i/>
          <w:sz w:val="20"/>
        </w:rPr>
      </w:pPr>
      <w:r>
        <w:rPr>
          <w:noProof/>
        </w:rPr>
        <mc:AlternateContent>
          <mc:Choice Requires="wps">
            <w:drawing>
              <wp:anchor distT="0" distB="0" distL="0" distR="0" simplePos="0" relativeHeight="15842304" behindDoc="0" locked="0" layoutInCell="1" allowOverlap="1" wp14:editId="753E2E53" wp14:anchorId="47DFF170">
                <wp:simplePos x="0" y="0"/>
                <wp:positionH relativeFrom="page">
                  <wp:posOffset>1626870</wp:posOffset>
                </wp:positionH>
                <wp:positionV relativeFrom="paragraph">
                  <wp:posOffset>-6618</wp:posOffset>
                </wp:positionV>
                <wp:extent cx="3096260" cy="635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108"/>
                              </a:lnTo>
                              <a:lnTo>
                                <a:pt x="2039874" y="6108"/>
                              </a:lnTo>
                              <a:lnTo>
                                <a:pt x="2045970" y="6108"/>
                              </a:lnTo>
                              <a:lnTo>
                                <a:pt x="3096006" y="6108"/>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33" style="position:absolute;margin-left:128.1pt;margin-top:-.5pt;width:243.8pt;height:.5pt;z-index:15842304;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108r2039874,l2045970,6108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" w14:anchorId="72EDA4C0">
                <v:path arrowok="t"/>
                <w10:wrap anchorx="page"/>
              </v:shape>
            </w:pict>
          </mc:Fallback>
        </mc:AlternateContent>
      </w:r>
      <w:r>
        <w:rPr>
          <w:noProof/>
        </w:rPr>
        <mc:AlternateContent>
          <mc:Choice Requires="wps">
            <w:drawing>
              <wp:anchor distT="0" distB="0" distL="0" distR="0" simplePos="0" relativeHeight="15842816" behindDoc="0" locked="0" layoutInCell="1" allowOverlap="1" wp14:editId="0110EAC6" wp14:anchorId="6D8421C8">
                <wp:simplePos x="0" y="0"/>
                <wp:positionH relativeFrom="page">
                  <wp:posOffset>608076</wp:posOffset>
                </wp:positionH>
                <wp:positionV relativeFrom="paragraph">
                  <wp:posOffset>292098</wp:posOffset>
                </wp:positionV>
                <wp:extent cx="6296025" cy="6350"/>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34" style="position:absolute;margin-left:47.9pt;margin-top:23pt;width:495.75pt;height:.5pt;z-index:15842816;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" w14:anchorId="335EB87A">
                <v:path arrowok="t"/>
                <w10:wrap anchorx="page"/>
              </v:shape>
            </w:pict>
          </mc:Fallback>
        </mc:AlternateContent>
      </w:r>
      <w:r>
        <w:rPr>
          <w:i/>
          <w:sz w:val="20"/>
        </w:rPr>
        <w:t>Highest</w:t>
      </w:r>
      <w:r>
        <w:rPr>
          <w:i/>
          <w:spacing w:val="-9"/>
          <w:sz w:val="20"/>
        </w:rPr>
        <w:t xml:space="preserve"> </w:t>
      </w:r>
      <w:r>
        <w:rPr>
          <w:i/>
          <w:sz w:val="20"/>
        </w:rPr>
        <w:t>(to</w:t>
      </w:r>
      <w:r>
        <w:rPr>
          <w:i/>
          <w:spacing w:val="-9"/>
          <w:sz w:val="20"/>
        </w:rPr>
        <w:t xml:space="preserve"> </w:t>
      </w:r>
      <w:r>
        <w:rPr>
          <w:i/>
          <w:sz w:val="20"/>
        </w:rPr>
        <w:t>upgrade</w:t>
      </w:r>
      <w:r>
        <w:rPr>
          <w:i/>
          <w:spacing w:val="-9"/>
          <w:sz w:val="20"/>
        </w:rPr>
        <w:t xml:space="preserve"> </w:t>
      </w:r>
      <w:r>
        <w:rPr>
          <w:i/>
          <w:sz w:val="20"/>
        </w:rPr>
        <w:t>to</w:t>
      </w:r>
      <w:r>
        <w:rPr>
          <w:i/>
          <w:spacing w:val="-9"/>
          <w:sz w:val="20"/>
        </w:rPr>
        <w:t xml:space="preserve"> </w:t>
      </w:r>
      <w:r>
        <w:rPr>
          <w:i/>
          <w:sz w:val="20"/>
        </w:rPr>
        <w:t xml:space="preserve">400 </w:t>
      </w:r>
      <w:r>
        <w:rPr>
          <w:i/>
          <w:spacing w:val="-2"/>
          <w:sz w:val="20"/>
        </w:rPr>
        <w:t>Amps):</w:t>
      </w:r>
    </w:p>
    <w:p w:rsidR="00C31389" w:rsidRDefault="00561FBD" w14:paraId="49699377" w14:textId="77777777">
      <w:pPr>
        <w:spacing w:before="105"/>
        <w:ind w:left="105"/>
        <w:rPr>
          <w:i/>
          <w:sz w:val="20"/>
        </w:rPr>
      </w:pPr>
      <w:r>
        <w:br w:type="column"/>
      </w:r>
      <w:r>
        <w:rPr>
          <w:i/>
          <w:spacing w:val="-4"/>
          <w:sz w:val="20"/>
        </w:rPr>
        <w:t>$800</w:t>
      </w:r>
    </w:p>
    <w:p w:rsidR="00C31389" w:rsidRDefault="00C31389" w14:paraId="724B1970" w14:textId="77777777">
      <w:pPr>
        <w:pStyle w:val="BodyText"/>
        <w:spacing w:before="9"/>
        <w:rPr>
          <w:i/>
          <w:sz w:val="20"/>
        </w:rPr>
      </w:pPr>
    </w:p>
    <w:p w:rsidR="00C31389" w:rsidRDefault="00561FBD" w14:paraId="461BDC64" w14:textId="77777777">
      <w:pPr>
        <w:ind w:left="105"/>
        <w:rPr>
          <w:i/>
          <w:sz w:val="20"/>
        </w:rPr>
      </w:pPr>
      <w:r>
        <w:rPr>
          <w:i/>
          <w:spacing w:val="-2"/>
          <w:sz w:val="20"/>
        </w:rPr>
        <w:t>$10,000</w:t>
      </w:r>
    </w:p>
    <w:p w:rsidR="00C31389" w:rsidRDefault="00561FBD" w14:paraId="35E2C82A" w14:textId="77777777">
      <w:pPr>
        <w:tabs>
          <w:tab w:val="left" w:pos="777"/>
        </w:tabs>
        <w:ind w:left="777" w:right="231" w:hanging="672"/>
        <w:rPr>
          <w:sz w:val="20"/>
        </w:rPr>
      </w:pPr>
      <w:r>
        <w:br w:type="column"/>
      </w:r>
      <w:r>
        <w:rPr>
          <w:spacing w:val="-10"/>
          <w:position w:val="11"/>
          <w:sz w:val="20"/>
        </w:rPr>
        <w:t>9</w:t>
      </w:r>
      <w:r>
        <w:rPr>
          <w:position w:val="11"/>
          <w:sz w:val="20"/>
        </w:rPr>
        <w:tab/>
      </w:r>
      <w:r>
        <w:rPr>
          <w:sz w:val="20"/>
        </w:rPr>
        <w:t>does</w:t>
      </w:r>
      <w:r>
        <w:rPr>
          <w:spacing w:val="-10"/>
          <w:sz w:val="20"/>
        </w:rPr>
        <w:t xml:space="preserve"> </w:t>
      </w:r>
      <w:r>
        <w:rPr>
          <w:sz w:val="20"/>
        </w:rPr>
        <w:t>not</w:t>
      </w:r>
      <w:r>
        <w:rPr>
          <w:spacing w:val="-12"/>
          <w:sz w:val="20"/>
        </w:rPr>
        <w:t xml:space="preserve"> </w:t>
      </w:r>
      <w:r>
        <w:rPr>
          <w:sz w:val="20"/>
        </w:rPr>
        <w:t>reflect</w:t>
      </w:r>
      <w:r>
        <w:rPr>
          <w:spacing w:val="-11"/>
          <w:sz w:val="20"/>
        </w:rPr>
        <w:t xml:space="preserve"> </w:t>
      </w:r>
      <w:r>
        <w:rPr>
          <w:sz w:val="20"/>
        </w:rPr>
        <w:t>specific region or building type</w:t>
      </w:r>
    </w:p>
    <w:p w:rsidR="00C31389" w:rsidRDefault="00C31389" w14:paraId="5825B2F2" w14:textId="77777777">
      <w:pPr>
        <w:rPr>
          <w:sz w:val="20"/>
        </w:rPr>
        <w:sectPr w:rsidR="00C31389">
          <w:type w:val="continuous"/>
          <w:pgSz w:w="11910" w:h="16840"/>
          <w:pgMar w:top="0" w:right="1020" w:bottom="280" w:left="960" w:header="397" w:footer="938" w:gutter="0"/>
          <w:cols w:equalWidth="0" w:space="720" w:num="4">
            <w:col w:w="691" w:space="913"/>
            <w:col w:w="2627" w:space="696"/>
            <w:col w:w="871" w:space="1026"/>
            <w:col w:w="3106"/>
          </w:cols>
        </w:sectPr>
      </w:pPr>
    </w:p>
    <w:p w:rsidR="00C31389" w:rsidRDefault="00C31389" w14:paraId="394ED6E4" w14:textId="77777777">
      <w:pPr>
        <w:pStyle w:val="BodyText"/>
        <w:spacing w:before="3"/>
        <w:rPr>
          <w:sz w:val="31"/>
        </w:rPr>
      </w:pPr>
    </w:p>
    <w:p w:rsidR="00C31389" w:rsidRDefault="00561FBD" w14:paraId="2096AEAA" w14:textId="77777777">
      <w:pPr>
        <w:spacing w:line="120" w:lineRule="exact"/>
        <w:ind w:left="105"/>
        <w:rPr>
          <w:sz w:val="20"/>
        </w:rPr>
      </w:pPr>
      <w:r>
        <w:rPr>
          <w:spacing w:val="-2"/>
          <w:sz w:val="20"/>
        </w:rPr>
        <w:t>Residential</w:t>
      </w:r>
    </w:p>
    <w:p w:rsidR="00C31389" w:rsidRDefault="00561FBD" w14:paraId="4FB76E53" w14:textId="77777777">
      <w:pPr>
        <w:tabs>
          <w:tab w:val="left" w:pos="3319"/>
        </w:tabs>
        <w:spacing w:before="9"/>
        <w:ind w:left="105"/>
        <w:rPr>
          <w:b/>
          <w:sz w:val="20"/>
        </w:rPr>
      </w:pPr>
      <w:r>
        <w:br w:type="column"/>
      </w:r>
      <w:r>
        <w:rPr>
          <w:b/>
          <w:spacing w:val="-2"/>
          <w:sz w:val="20"/>
        </w:rPr>
        <w:t>Total:</w:t>
      </w:r>
      <w:r>
        <w:rPr>
          <w:b/>
          <w:sz w:val="20"/>
        </w:rPr>
        <w:tab/>
      </w:r>
      <w:r>
        <w:rPr>
          <w:b/>
          <w:spacing w:val="-2"/>
          <w:sz w:val="20"/>
        </w:rPr>
        <w:t>$4,750-$10,000</w:t>
      </w:r>
    </w:p>
    <w:p w:rsidR="00C31389" w:rsidRDefault="00561FBD" w14:paraId="478DFACD" w14:textId="77777777">
      <w:pPr>
        <w:ind w:left="105"/>
        <w:rPr>
          <w:i/>
          <w:sz w:val="20"/>
        </w:rPr>
      </w:pPr>
      <w:r>
        <w:rPr>
          <w:i/>
          <w:sz w:val="20"/>
        </w:rPr>
        <w:t>Electrical</w:t>
      </w:r>
      <w:r>
        <w:rPr>
          <w:i/>
          <w:spacing w:val="-5"/>
          <w:sz w:val="20"/>
        </w:rPr>
        <w:t xml:space="preserve"> </w:t>
      </w:r>
      <w:r>
        <w:rPr>
          <w:i/>
          <w:sz w:val="20"/>
        </w:rPr>
        <w:t>wiring</w:t>
      </w:r>
      <w:r>
        <w:rPr>
          <w:i/>
          <w:spacing w:val="-5"/>
          <w:sz w:val="20"/>
        </w:rPr>
        <w:t xml:space="preserve"> </w:t>
      </w:r>
      <w:r>
        <w:rPr>
          <w:i/>
          <w:sz w:val="20"/>
        </w:rPr>
        <w:t>(</w:t>
      </w:r>
      <w:r>
        <w:rPr>
          <w:i/>
          <w:spacing w:val="-4"/>
          <w:sz w:val="20"/>
        </w:rPr>
        <w:t xml:space="preserve"> </w:t>
      </w:r>
      <w:r>
        <w:rPr>
          <w:i/>
          <w:sz w:val="20"/>
        </w:rPr>
        <w:t>depending</w:t>
      </w:r>
      <w:r>
        <w:rPr>
          <w:i/>
          <w:spacing w:val="-4"/>
          <w:sz w:val="20"/>
        </w:rPr>
        <w:t xml:space="preserve"> </w:t>
      </w:r>
      <w:r>
        <w:rPr>
          <w:i/>
          <w:spacing w:val="-5"/>
          <w:sz w:val="20"/>
        </w:rPr>
        <w:t>on</w:t>
      </w:r>
    </w:p>
    <w:p w:rsidR="00C31389" w:rsidRDefault="00561FBD" w14:paraId="2CDB69C8" w14:textId="77777777">
      <w:pPr>
        <w:spacing w:before="109" w:line="230" w:lineRule="atLeast"/>
        <w:ind w:left="105" w:right="231"/>
        <w:rPr>
          <w:sz w:val="20"/>
        </w:rPr>
      </w:pPr>
      <w:r>
        <w:br w:type="column"/>
      </w:r>
      <w:r>
        <w:rPr>
          <w:sz w:val="20"/>
        </w:rPr>
        <w:t>Used HomeAdvisor estimates</w:t>
      </w:r>
      <w:r>
        <w:rPr>
          <w:spacing w:val="-10"/>
          <w:sz w:val="20"/>
        </w:rPr>
        <w:t xml:space="preserve"> </w:t>
      </w:r>
      <w:r>
        <w:rPr>
          <w:sz w:val="20"/>
        </w:rPr>
        <w:t>for</w:t>
      </w:r>
      <w:r>
        <w:rPr>
          <w:spacing w:val="-12"/>
          <w:sz w:val="20"/>
        </w:rPr>
        <w:t xml:space="preserve"> </w:t>
      </w:r>
      <w:r>
        <w:rPr>
          <w:sz w:val="20"/>
        </w:rPr>
        <w:t>the</w:t>
      </w:r>
      <w:r>
        <w:rPr>
          <w:spacing w:val="-11"/>
          <w:sz w:val="20"/>
        </w:rPr>
        <w:t xml:space="preserve"> </w:t>
      </w:r>
      <w:r>
        <w:rPr>
          <w:sz w:val="20"/>
        </w:rPr>
        <w:t>period</w:t>
      </w:r>
    </w:p>
    <w:p w:rsidR="00C31389" w:rsidRDefault="00C31389" w14:paraId="7875F94A" w14:textId="77777777">
      <w:pPr>
        <w:spacing w:line="230" w:lineRule="atLeast"/>
        <w:rPr>
          <w:sz w:val="20"/>
        </w:rPr>
        <w:sectPr w:rsidR="00C31389">
          <w:type w:val="continuous"/>
          <w:pgSz w:w="11910" w:h="16840"/>
          <w:pgMar w:top="0" w:right="1020" w:bottom="280" w:left="960" w:header="397" w:footer="938" w:gutter="0"/>
          <w:cols w:equalWidth="0" w:space="720" w:num="3">
            <w:col w:w="1136" w:space="467"/>
            <w:col w:w="4761" w:space="1132"/>
            <w:col w:w="2434"/>
          </w:cols>
        </w:sectPr>
      </w:pPr>
    </w:p>
    <w:p w:rsidR="00C31389" w:rsidRDefault="00561FBD" w14:paraId="60E991B4" w14:textId="77777777">
      <w:pPr>
        <w:spacing w:before="20"/>
        <w:ind w:left="105"/>
        <w:rPr>
          <w:sz w:val="20"/>
        </w:rPr>
      </w:pPr>
      <w:r>
        <w:rPr>
          <w:spacing w:val="-2"/>
          <w:sz w:val="20"/>
        </w:rPr>
        <w:t>Buildings</w:t>
      </w:r>
    </w:p>
    <w:p w:rsidR="00C31389" w:rsidRDefault="00561FBD" w14:paraId="7B87901C" w14:textId="77777777">
      <w:pPr>
        <w:spacing w:line="141" w:lineRule="exact"/>
        <w:ind w:left="105"/>
        <w:rPr>
          <w:i/>
          <w:sz w:val="20"/>
        </w:rPr>
      </w:pPr>
      <w:r>
        <w:br w:type="column"/>
      </w:r>
      <w:r>
        <w:rPr>
          <w:i/>
          <w:sz w:val="20"/>
        </w:rPr>
        <w:t>length</w:t>
      </w:r>
      <w:r>
        <w:rPr>
          <w:i/>
          <w:spacing w:val="-2"/>
          <w:sz w:val="20"/>
        </w:rPr>
        <w:t xml:space="preserve"> </w:t>
      </w:r>
      <w:r>
        <w:rPr>
          <w:i/>
          <w:sz w:val="20"/>
        </w:rPr>
        <w:t>of</w:t>
      </w:r>
      <w:r>
        <w:rPr>
          <w:i/>
          <w:spacing w:val="-1"/>
          <w:sz w:val="20"/>
        </w:rPr>
        <w:t xml:space="preserve"> </w:t>
      </w:r>
      <w:r>
        <w:rPr>
          <w:i/>
          <w:sz w:val="20"/>
        </w:rPr>
        <w:t>run</w:t>
      </w:r>
      <w:r>
        <w:rPr>
          <w:i/>
          <w:spacing w:val="-3"/>
          <w:sz w:val="20"/>
        </w:rPr>
        <w:t xml:space="preserve"> </w:t>
      </w:r>
      <w:r>
        <w:rPr>
          <w:i/>
          <w:sz w:val="20"/>
        </w:rPr>
        <w:t>and</w:t>
      </w:r>
      <w:r>
        <w:rPr>
          <w:i/>
          <w:spacing w:val="-1"/>
          <w:sz w:val="20"/>
        </w:rPr>
        <w:t xml:space="preserve"> </w:t>
      </w:r>
      <w:r>
        <w:rPr>
          <w:i/>
          <w:spacing w:val="-2"/>
          <w:sz w:val="20"/>
        </w:rPr>
        <w:t>whether</w:t>
      </w:r>
    </w:p>
    <w:p w:rsidR="00C31389" w:rsidRDefault="00561FBD" w14:paraId="1AB08DB1" w14:textId="77777777">
      <w:pPr>
        <w:ind w:left="105"/>
        <w:rPr>
          <w:i/>
          <w:sz w:val="20"/>
        </w:rPr>
      </w:pPr>
      <w:r>
        <w:rPr>
          <w:noProof/>
        </w:rPr>
        <mc:AlternateContent>
          <mc:Choice Requires="wps">
            <w:drawing>
              <wp:anchor distT="0" distB="0" distL="0" distR="0" simplePos="0" relativeHeight="15843328" behindDoc="0" locked="0" layoutInCell="1" allowOverlap="1" wp14:editId="4BA17E0B" wp14:anchorId="16120048">
                <wp:simplePos x="0" y="0"/>
                <wp:positionH relativeFrom="page">
                  <wp:posOffset>608076</wp:posOffset>
                </wp:positionH>
                <wp:positionV relativeFrom="paragraph">
                  <wp:posOffset>292061</wp:posOffset>
                </wp:positionV>
                <wp:extent cx="6296025" cy="635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37" style="position:absolute;margin-left:47.9pt;margin-top:23pt;width:495.75pt;height:.5pt;z-index:15843328;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" w14:anchorId="3E6ADE26">
                <v:path arrowok="t"/>
                <w10:wrap anchorx="page"/>
              </v:shape>
            </w:pict>
          </mc:Fallback>
        </mc:AlternateContent>
      </w:r>
      <w:r>
        <w:rPr>
          <w:i/>
          <w:sz w:val="20"/>
        </w:rPr>
        <w:t>trenching</w:t>
      </w:r>
      <w:r>
        <w:rPr>
          <w:i/>
          <w:spacing w:val="-10"/>
          <w:sz w:val="20"/>
        </w:rPr>
        <w:t xml:space="preserve"> </w:t>
      </w:r>
      <w:r>
        <w:rPr>
          <w:i/>
          <w:sz w:val="20"/>
        </w:rPr>
        <w:t>is</w:t>
      </w:r>
      <w:r>
        <w:rPr>
          <w:i/>
          <w:spacing w:val="-9"/>
          <w:sz w:val="20"/>
        </w:rPr>
        <w:t xml:space="preserve"> </w:t>
      </w:r>
      <w:r>
        <w:rPr>
          <w:i/>
          <w:sz w:val="20"/>
        </w:rPr>
        <w:t>under</w:t>
      </w:r>
      <w:r>
        <w:rPr>
          <w:i/>
          <w:spacing w:val="-9"/>
          <w:sz w:val="20"/>
        </w:rPr>
        <w:t xml:space="preserve"> </w:t>
      </w:r>
      <w:r>
        <w:rPr>
          <w:i/>
          <w:sz w:val="20"/>
        </w:rPr>
        <w:t>landscaping</w:t>
      </w:r>
      <w:r>
        <w:rPr>
          <w:i/>
          <w:spacing w:val="-10"/>
          <w:sz w:val="20"/>
        </w:rPr>
        <w:t xml:space="preserve"> </w:t>
      </w:r>
      <w:r>
        <w:rPr>
          <w:i/>
          <w:sz w:val="20"/>
        </w:rPr>
        <w:t xml:space="preserve">or </w:t>
      </w:r>
      <w:r>
        <w:rPr>
          <w:i/>
          <w:spacing w:val="-2"/>
          <w:sz w:val="20"/>
        </w:rPr>
        <w:t>hardscaping):</w:t>
      </w:r>
    </w:p>
    <w:p w:rsidR="00C31389" w:rsidRDefault="00561FBD" w14:paraId="02387B2C" w14:textId="77777777">
      <w:pPr>
        <w:spacing w:before="25"/>
        <w:ind w:left="105"/>
        <w:rPr>
          <w:i/>
          <w:sz w:val="20"/>
        </w:rPr>
      </w:pPr>
      <w:r>
        <w:br w:type="column"/>
      </w:r>
      <w:r>
        <w:rPr>
          <w:i/>
          <w:spacing w:val="-2"/>
          <w:sz w:val="20"/>
        </w:rPr>
        <w:t>$4,000-$8,000</w:t>
      </w:r>
    </w:p>
    <w:p w:rsidR="00C31389" w:rsidRDefault="00561FBD" w14:paraId="4BD9FF7B" w14:textId="77777777">
      <w:pPr>
        <w:tabs>
          <w:tab w:val="left" w:pos="832"/>
        </w:tabs>
        <w:spacing w:line="250" w:lineRule="exact"/>
        <w:ind w:left="105"/>
        <w:rPr>
          <w:sz w:val="20"/>
        </w:rPr>
      </w:pPr>
      <w:r>
        <w:br w:type="column"/>
      </w:r>
      <w:r>
        <w:rPr>
          <w:spacing w:val="-5"/>
          <w:position w:val="12"/>
          <w:sz w:val="20"/>
        </w:rPr>
        <w:t>14</w:t>
      </w:r>
      <w:r>
        <w:rPr>
          <w:position w:val="12"/>
          <w:sz w:val="20"/>
        </w:rPr>
        <w:tab/>
      </w:r>
      <w:r>
        <w:rPr>
          <w:sz w:val="20"/>
        </w:rPr>
        <w:t>of</w:t>
      </w:r>
      <w:r>
        <w:rPr>
          <w:spacing w:val="-2"/>
          <w:sz w:val="20"/>
        </w:rPr>
        <w:t xml:space="preserve"> </w:t>
      </w:r>
      <w:r>
        <w:rPr>
          <w:sz w:val="20"/>
        </w:rPr>
        <w:t>study</w:t>
      </w:r>
      <w:r>
        <w:rPr>
          <w:spacing w:val="-2"/>
          <w:sz w:val="20"/>
        </w:rPr>
        <w:t xml:space="preserve"> </w:t>
      </w:r>
      <w:r>
        <w:rPr>
          <w:sz w:val="20"/>
        </w:rPr>
        <w:t>(Q4</w:t>
      </w:r>
      <w:r>
        <w:rPr>
          <w:spacing w:val="-3"/>
          <w:sz w:val="20"/>
        </w:rPr>
        <w:t xml:space="preserve"> </w:t>
      </w:r>
      <w:r>
        <w:rPr>
          <w:sz w:val="20"/>
        </w:rPr>
        <w:t xml:space="preserve">2019) </w:t>
      </w:r>
      <w:r>
        <w:rPr>
          <w:spacing w:val="-5"/>
          <w:sz w:val="20"/>
        </w:rPr>
        <w:t>in</w:t>
      </w:r>
    </w:p>
    <w:p w:rsidR="00C31389" w:rsidRDefault="00561FBD" w14:paraId="052AE9E1" w14:textId="77777777">
      <w:pPr>
        <w:ind w:left="832"/>
        <w:rPr>
          <w:sz w:val="20"/>
        </w:rPr>
      </w:pPr>
      <w:r>
        <w:rPr>
          <w:sz w:val="20"/>
        </w:rPr>
        <w:t>California</w:t>
      </w:r>
      <w:r>
        <w:rPr>
          <w:spacing w:val="-6"/>
          <w:sz w:val="20"/>
        </w:rPr>
        <w:t xml:space="preserve"> </w:t>
      </w:r>
      <w:r>
        <w:rPr>
          <w:spacing w:val="-5"/>
          <w:sz w:val="20"/>
        </w:rPr>
        <w:t>but</w:t>
      </w:r>
    </w:p>
    <w:p w:rsidR="00C31389" w:rsidRDefault="00C31389" w14:paraId="5A5B1F33" w14:textId="77777777">
      <w:pPr>
        <w:rPr>
          <w:sz w:val="20"/>
        </w:rPr>
        <w:sectPr w:rsidR="00C31389">
          <w:type w:val="continuous"/>
          <w:pgSz w:w="11910" w:h="16840"/>
          <w:pgMar w:top="0" w:right="1020" w:bottom="280" w:left="960" w:header="397" w:footer="938" w:gutter="0"/>
          <w:cols w:equalWidth="0" w:space="720" w:num="4">
            <w:col w:w="958" w:space="645"/>
            <w:col w:w="3093" w:space="120"/>
            <w:col w:w="1435" w:space="518"/>
            <w:col w:w="3161"/>
          </w:cols>
        </w:sectPr>
      </w:pPr>
    </w:p>
    <w:p w:rsidR="00C31389" w:rsidRDefault="00C31389" w14:paraId="74C8C5C9" w14:textId="77777777">
      <w:pPr>
        <w:pStyle w:val="BodyText"/>
        <w:spacing w:before="11"/>
        <w:rPr>
          <w:sz w:val="16"/>
        </w:rPr>
      </w:pPr>
    </w:p>
    <w:p w:rsidR="00C31389" w:rsidRDefault="00561FBD" w14:paraId="43932D4D" w14:textId="77777777">
      <w:pPr>
        <w:spacing w:before="78"/>
        <w:ind w:left="480"/>
        <w:rPr>
          <w:sz w:val="18"/>
        </w:rPr>
      </w:pPr>
      <w:bookmarkStart w:name="_bookmark282" w:id="376"/>
      <w:bookmarkEnd w:id="376"/>
      <w:r>
        <w:rPr>
          <w:position w:val="6"/>
          <w:sz w:val="12"/>
        </w:rPr>
        <w:t>84</w:t>
      </w:r>
      <w:r>
        <w:rPr>
          <w:spacing w:val="14"/>
          <w:position w:val="6"/>
          <w:sz w:val="12"/>
        </w:rPr>
        <w:t xml:space="preserve"> </w:t>
      </w:r>
      <w:r>
        <w:rPr>
          <w:sz w:val="18"/>
        </w:rPr>
        <w:t>Source</w:t>
      </w:r>
      <w:r>
        <w:rPr>
          <w:spacing w:val="-3"/>
          <w:sz w:val="18"/>
        </w:rPr>
        <w:t xml:space="preserve"> </w:t>
      </w:r>
      <w:r>
        <w:rPr>
          <w:sz w:val="18"/>
        </w:rPr>
        <w:t>Numbers</w:t>
      </w:r>
      <w:r>
        <w:rPr>
          <w:spacing w:val="-3"/>
          <w:sz w:val="18"/>
        </w:rPr>
        <w:t xml:space="preserve"> </w:t>
      </w:r>
      <w:r>
        <w:rPr>
          <w:sz w:val="18"/>
        </w:rPr>
        <w:t>from</w:t>
      </w:r>
      <w:r>
        <w:rPr>
          <w:spacing w:val="-2"/>
          <w:sz w:val="18"/>
        </w:rPr>
        <w:t xml:space="preserve"> </w:t>
      </w:r>
      <w:r>
        <w:rPr>
          <w:sz w:val="18"/>
        </w:rPr>
        <w:t>above</w:t>
      </w:r>
      <w:r>
        <w:rPr>
          <w:spacing w:val="-1"/>
          <w:sz w:val="18"/>
        </w:rPr>
        <w:t xml:space="preserve"> </w:t>
      </w:r>
      <w:r>
        <w:rPr>
          <w:spacing w:val="-2"/>
          <w:sz w:val="18"/>
        </w:rPr>
        <w:t>table</w:t>
      </w:r>
    </w:p>
    <w:p w:rsidR="00C31389" w:rsidRDefault="00C31389" w14:paraId="003DCE46" w14:textId="77777777">
      <w:pPr>
        <w:rPr>
          <w:sz w:val="18"/>
        </w:rPr>
        <w:sectPr w:rsidR="00C31389">
          <w:type w:val="continuous"/>
          <w:pgSz w:w="11910" w:h="16840"/>
          <w:pgMar w:top="0" w:right="1020" w:bottom="280" w:left="960" w:header="397" w:footer="938" w:gutter="0"/>
          <w:cols w:space="720"/>
        </w:sectPr>
      </w:pPr>
    </w:p>
    <w:p w:rsidR="00C31389" w:rsidRDefault="00C31389" w14:paraId="5E1F0B1A" w14:textId="77777777">
      <w:pPr>
        <w:pStyle w:val="BodyText"/>
      </w:pPr>
    </w:p>
    <w:p w:rsidR="00C31389" w:rsidRDefault="00C31389" w14:paraId="72C9794A" w14:textId="77777777">
      <w:pPr>
        <w:pStyle w:val="BodyText"/>
        <w:rPr>
          <w:sz w:val="20"/>
        </w:rPr>
      </w:pPr>
    </w:p>
    <w:p w:rsidR="00C31389" w:rsidRDefault="00C31389" w14:paraId="363F10A8" w14:textId="77777777">
      <w:pPr>
        <w:pStyle w:val="BodyText"/>
        <w:rPr>
          <w:sz w:val="20"/>
        </w:rPr>
      </w:pPr>
    </w:p>
    <w:p w:rsidR="00C31389" w:rsidRDefault="00561FBD" w14:paraId="2C6ED1C7" w14:textId="77777777">
      <w:pPr>
        <w:tabs>
          <w:tab w:val="left" w:pos="4922"/>
          <w:tab w:val="left" w:pos="7601"/>
        </w:tabs>
        <w:spacing w:before="257" w:line="293" w:lineRule="exact"/>
        <w:ind w:left="1708"/>
        <w:rPr>
          <w:sz w:val="20"/>
        </w:rPr>
      </w:pPr>
      <w:r>
        <w:rPr>
          <w:noProof/>
        </w:rPr>
        <mc:AlternateContent>
          <mc:Choice Requires="wpg">
            <w:drawing>
              <wp:anchor distT="0" distB="0" distL="0" distR="0" simplePos="0" relativeHeight="15846400" behindDoc="0" locked="0" layoutInCell="1" allowOverlap="1" wp14:editId="4377A24E" wp14:anchorId="4CC883DD">
                <wp:simplePos x="0" y="0"/>
                <wp:positionH relativeFrom="page">
                  <wp:posOffset>608076</wp:posOffset>
                </wp:positionH>
                <wp:positionV relativeFrom="paragraph">
                  <wp:posOffset>-132208</wp:posOffset>
                </wp:positionV>
                <wp:extent cx="6344920" cy="298450"/>
                <wp:effectExtent l="0" t="0" r="0" b="0"/>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298450"/>
                          <a:chOff x="0" y="0"/>
                          <a:chExt cx="6344920" cy="298450"/>
                        </a:xfrm>
                      </wpg:grpSpPr>
                      <wps:wsp>
                        <wps:cNvPr id="748" name="Graphic 748"/>
                        <wps:cNvSpPr/>
                        <wps:spPr>
                          <a:xfrm>
                            <a:off x="0" y="0"/>
                            <a:ext cx="6344920" cy="292100"/>
                          </a:xfrm>
                          <a:custGeom>
                            <a:avLst/>
                            <a:gdLst/>
                            <a:ahLst/>
                            <a:cxnLst/>
                            <a:rect l="l" t="t" r="r" b="b"/>
                            <a:pathLst>
                              <a:path w="6344920" h="292100">
                                <a:moveTo>
                                  <a:pt x="6344399" y="0"/>
                                </a:moveTo>
                                <a:lnTo>
                                  <a:pt x="4760214" y="0"/>
                                </a:lnTo>
                                <a:lnTo>
                                  <a:pt x="4114800" y="0"/>
                                </a:lnTo>
                                <a:lnTo>
                                  <a:pt x="1018019" y="0"/>
                                </a:lnTo>
                                <a:lnTo>
                                  <a:pt x="0" y="0"/>
                                </a:lnTo>
                                <a:lnTo>
                                  <a:pt x="0" y="291846"/>
                                </a:lnTo>
                                <a:lnTo>
                                  <a:pt x="1018019" y="291846"/>
                                </a:lnTo>
                                <a:lnTo>
                                  <a:pt x="4114800" y="291846"/>
                                </a:lnTo>
                                <a:lnTo>
                                  <a:pt x="4760214" y="291846"/>
                                </a:lnTo>
                                <a:lnTo>
                                  <a:pt x="6344399" y="291846"/>
                                </a:lnTo>
                                <a:lnTo>
                                  <a:pt x="6344399" y="0"/>
                                </a:lnTo>
                                <a:close/>
                              </a:path>
                            </a:pathLst>
                          </a:custGeom>
                          <a:solidFill>
                            <a:srgbClr val="92D400"/>
                          </a:solidFill>
                        </wps:spPr>
                        <wps:bodyPr wrap="square" lIns="0" tIns="0" rIns="0" bIns="0" rtlCol="0">
                          <a:prstTxWarp prst="textNoShape">
                            <a:avLst/>
                          </a:prstTxWarp>
                          <a:noAutofit/>
                        </wps:bodyPr>
                      </wps:wsp>
                      <wps:wsp>
                        <wps:cNvPr id="749" name="Graphic 749"/>
                        <wps:cNvSpPr/>
                        <wps:spPr>
                          <a:xfrm>
                            <a:off x="0" y="291845"/>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wps:wsp>
                        <wps:cNvPr id="750" name="Textbox 750"/>
                        <wps:cNvSpPr txBox="1"/>
                        <wps:spPr>
                          <a:xfrm>
                            <a:off x="68580" y="89778"/>
                            <a:ext cx="852805" cy="142240"/>
                          </a:xfrm>
                          <a:prstGeom prst="rect">
                            <a:avLst/>
                          </a:prstGeom>
                        </wps:spPr>
                        <wps:txbx>
                          <w:txbxContent>
                            <w:p w:rsidR="00C31389" w:rsidRDefault="00561FBD" w14:paraId="51CF1573" w14:textId="77777777">
                              <w:pPr>
                                <w:spacing w:line="224" w:lineRule="exact"/>
                                <w:rPr>
                                  <w:b/>
                                  <w:sz w:val="20"/>
                                </w:rPr>
                              </w:pPr>
                              <w:r>
                                <w:rPr>
                                  <w:b/>
                                  <w:sz w:val="20"/>
                                </w:rPr>
                                <w:t>Building</w:t>
                              </w:r>
                              <w:r>
                                <w:rPr>
                                  <w:b/>
                                  <w:spacing w:val="-6"/>
                                  <w:sz w:val="20"/>
                                </w:rPr>
                                <w:t xml:space="preserve"> </w:t>
                              </w:r>
                              <w:r>
                                <w:rPr>
                                  <w:b/>
                                  <w:spacing w:val="-4"/>
                                  <w:sz w:val="20"/>
                                </w:rPr>
                                <w:t>Type</w:t>
                              </w:r>
                            </w:p>
                          </w:txbxContent>
                        </wps:txbx>
                        <wps:bodyPr wrap="square" lIns="0" tIns="0" rIns="0" bIns="0" rtlCol="0">
                          <a:noAutofit/>
                        </wps:bodyPr>
                      </wps:wsp>
                      <wps:wsp>
                        <wps:cNvPr id="751" name="Textbox 751"/>
                        <wps:cNvSpPr txBox="1"/>
                        <wps:spPr>
                          <a:xfrm>
                            <a:off x="2424683" y="76824"/>
                            <a:ext cx="294640" cy="142240"/>
                          </a:xfrm>
                          <a:prstGeom prst="rect">
                            <a:avLst/>
                          </a:prstGeom>
                        </wps:spPr>
                        <wps:txbx>
                          <w:txbxContent>
                            <w:p w:rsidR="00C31389" w:rsidRDefault="00561FBD" w14:paraId="35319E1B" w14:textId="77777777">
                              <w:pPr>
                                <w:spacing w:line="224" w:lineRule="exact"/>
                                <w:rPr>
                                  <w:b/>
                                  <w:sz w:val="20"/>
                                </w:rPr>
                              </w:pPr>
                              <w:r>
                                <w:rPr>
                                  <w:b/>
                                  <w:spacing w:val="-4"/>
                                  <w:sz w:val="20"/>
                                </w:rPr>
                                <w:t>Cost</w:t>
                              </w:r>
                            </w:p>
                          </w:txbxContent>
                        </wps:txbx>
                        <wps:bodyPr wrap="square" lIns="0" tIns="0" rIns="0" bIns="0" rtlCol="0">
                          <a:noAutofit/>
                        </wps:bodyPr>
                      </wps:wsp>
                      <wps:wsp>
                        <wps:cNvPr id="752" name="Textbox 752"/>
                        <wps:cNvSpPr txBox="1"/>
                        <wps:spPr>
                          <a:xfrm>
                            <a:off x="4216146" y="4434"/>
                            <a:ext cx="443865" cy="234315"/>
                          </a:xfrm>
                          <a:prstGeom prst="rect">
                            <a:avLst/>
                          </a:prstGeom>
                        </wps:spPr>
                        <wps:txbx>
                          <w:txbxContent>
                            <w:p w:rsidR="00C31389" w:rsidRDefault="00561FBD" w14:paraId="3901BB11" w14:textId="77777777">
                              <w:pPr>
                                <w:spacing w:line="221" w:lineRule="exact"/>
                                <w:ind w:right="18"/>
                                <w:jc w:val="center"/>
                                <w:rPr>
                                  <w:b/>
                                  <w:sz w:val="20"/>
                                </w:rPr>
                              </w:pPr>
                              <w:r>
                                <w:rPr>
                                  <w:b/>
                                  <w:spacing w:val="-2"/>
                                  <w:sz w:val="20"/>
                                </w:rPr>
                                <w:t>Source</w:t>
                              </w:r>
                            </w:p>
                            <w:p w:rsidR="00C31389" w:rsidRDefault="00561FBD" w14:paraId="12723CBE" w14:textId="77777777">
                              <w:pPr>
                                <w:spacing w:line="147" w:lineRule="exact"/>
                                <w:jc w:val="center"/>
                                <w:rPr>
                                  <w:b/>
                                  <w:sz w:val="13"/>
                                </w:rPr>
                              </w:pPr>
                              <w:hyperlink w:history="1" w:anchor="_bookmark282">
                                <w:r>
                                  <w:rPr>
                                    <w:b/>
                                    <w:spacing w:val="-5"/>
                                    <w:sz w:val="13"/>
                                  </w:rPr>
                                  <w:t>84</w:t>
                                </w:r>
                              </w:hyperlink>
                            </w:p>
                          </w:txbxContent>
                        </wps:txbx>
                        <wps:bodyPr wrap="square" lIns="0" tIns="0" rIns="0" bIns="0" rtlCol="0">
                          <a:noAutofit/>
                        </wps:bodyPr>
                      </wps:wsp>
                      <wps:wsp>
                        <wps:cNvPr id="753" name="Textbox 753"/>
                        <wps:cNvSpPr txBox="1"/>
                        <wps:spPr>
                          <a:xfrm>
                            <a:off x="4828794" y="4434"/>
                            <a:ext cx="1347470" cy="288290"/>
                          </a:xfrm>
                          <a:prstGeom prst="rect">
                            <a:avLst/>
                          </a:prstGeom>
                        </wps:spPr>
                        <wps:txbx>
                          <w:txbxContent>
                            <w:p w:rsidR="00C31389" w:rsidRDefault="00561FBD" w14:paraId="2B3B3C71" w14:textId="77777777">
                              <w:pPr>
                                <w:ind w:right="15"/>
                                <w:rPr>
                                  <w:b/>
                                  <w:sz w:val="20"/>
                                </w:rPr>
                              </w:pPr>
                              <w:r>
                                <w:rPr>
                                  <w:b/>
                                  <w:sz w:val="20"/>
                                </w:rPr>
                                <w:t>Comments</w:t>
                              </w:r>
                              <w:r>
                                <w:rPr>
                                  <w:b/>
                                  <w:spacing w:val="-14"/>
                                  <w:sz w:val="20"/>
                                </w:rPr>
                                <w:t xml:space="preserve"> </w:t>
                              </w:r>
                              <w:r>
                                <w:rPr>
                                  <w:b/>
                                  <w:sz w:val="20"/>
                                </w:rPr>
                                <w:t>(Reliability of the Source)</w:t>
                              </w:r>
                            </w:p>
                          </w:txbxContent>
                        </wps:txbx>
                        <wps:bodyPr wrap="square" lIns="0" tIns="0" rIns="0" bIns="0" rtlCol="0">
                          <a:noAutofit/>
                        </wps:bodyPr>
                      </wps:wsp>
                    </wpg:wgp>
                  </a:graphicData>
                </a:graphic>
              </wp:anchor>
            </w:drawing>
          </mc:Choice>
          <mc:Fallback>
            <w:pict>
              <v:group id="Group 747" style="position:absolute;left:0;text-align:left;margin-left:47.9pt;margin-top:-10.4pt;width:499.6pt;height:23.5pt;z-index:15846400;mso-wrap-distance-left:0;mso-wrap-distance-right:0;mso-position-horizontal-relative:page;mso-position-vertical-relative:text" coordsize="63449,2984" o:spid="_x0000_s1209" w14:anchorId="4CC88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">
                <v:shape id="Graphic 748" style="position:absolute;width:63449;height:2921;visibility:visible;mso-wrap-style:square;v-text-anchor:top" coordsize="6344920,292100" o:spid="_x0000_s1210" fillcolor="#92d400" stroked="f" path="m6344399,l4760214,,4114800,,1018019,,,,,291846r1018019,l4114800,291846r645414,l6344399,291846,6344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">
                  <v:path arrowok="t"/>
                </v:shape>
                <v:shape id="Graphic 749" style="position:absolute;top:2918;width:62960;height:63;visibility:visible;mso-wrap-style:square;v-text-anchor:top" coordsize="6296025,6350" o:spid="_x0000_s1211" fillcolor="#b6b6b6" stroked="f" path="m6295644,r,l,,,6096r6295644,l6295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">
                  <v:path arrowok="t"/>
                </v:shape>
                <v:shape id="Textbox 750" style="position:absolute;left:685;top:897;width:8528;height:1423;visibility:visible;mso-wrap-style:square;v-text-anchor:top" o:spid="_x0000_s12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v:textbox inset="0,0,0,0">
                    <w:txbxContent>
                      <w:p w:rsidR="00C31389" w:rsidRDefault="00561FBD" w14:paraId="51CF1573" w14:textId="77777777">
                        <w:pPr>
                          <w:spacing w:line="224" w:lineRule="exact"/>
                          <w:rPr>
                            <w:b/>
                            <w:sz w:val="20"/>
                          </w:rPr>
                        </w:pPr>
                        <w:r>
                          <w:rPr>
                            <w:b/>
                            <w:sz w:val="20"/>
                          </w:rPr>
                          <w:t>Building</w:t>
                        </w:r>
                        <w:r>
                          <w:rPr>
                            <w:b/>
                            <w:spacing w:val="-6"/>
                            <w:sz w:val="20"/>
                          </w:rPr>
                          <w:t xml:space="preserve"> </w:t>
                        </w:r>
                        <w:r>
                          <w:rPr>
                            <w:b/>
                            <w:spacing w:val="-4"/>
                            <w:sz w:val="20"/>
                          </w:rPr>
                          <w:t>Type</w:t>
                        </w:r>
                      </w:p>
                    </w:txbxContent>
                  </v:textbox>
                </v:shape>
                <v:shape id="Textbox 751" style="position:absolute;left:24246;top:768;width:2947;height:1422;visibility:visible;mso-wrap-style:square;v-text-anchor:top" o:spid="_x0000_s12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v:textbox inset="0,0,0,0">
                    <w:txbxContent>
                      <w:p w:rsidR="00C31389" w:rsidRDefault="00561FBD" w14:paraId="35319E1B" w14:textId="77777777">
                        <w:pPr>
                          <w:spacing w:line="224" w:lineRule="exact"/>
                          <w:rPr>
                            <w:b/>
                            <w:sz w:val="20"/>
                          </w:rPr>
                        </w:pPr>
                        <w:r>
                          <w:rPr>
                            <w:b/>
                            <w:spacing w:val="-4"/>
                            <w:sz w:val="20"/>
                          </w:rPr>
                          <w:t>Cost</w:t>
                        </w:r>
                      </w:p>
                    </w:txbxContent>
                  </v:textbox>
                </v:shape>
                <v:shape id="Textbox 752" style="position:absolute;left:42161;top:44;width:4439;height:2343;visibility:visible;mso-wrap-style:square;v-text-anchor:top" o:spid="_x0000_s12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v:textbox inset="0,0,0,0">
                    <w:txbxContent>
                      <w:p w:rsidR="00C31389" w:rsidRDefault="00561FBD" w14:paraId="3901BB11" w14:textId="77777777">
                        <w:pPr>
                          <w:spacing w:line="221" w:lineRule="exact"/>
                          <w:ind w:right="18"/>
                          <w:jc w:val="center"/>
                          <w:rPr>
                            <w:b/>
                            <w:sz w:val="20"/>
                          </w:rPr>
                        </w:pPr>
                        <w:r>
                          <w:rPr>
                            <w:b/>
                            <w:spacing w:val="-2"/>
                            <w:sz w:val="20"/>
                          </w:rPr>
                          <w:t>Source</w:t>
                        </w:r>
                      </w:p>
                      <w:p w:rsidR="00C31389" w:rsidRDefault="00561FBD" w14:paraId="12723CBE" w14:textId="77777777">
                        <w:pPr>
                          <w:spacing w:line="147" w:lineRule="exact"/>
                          <w:jc w:val="center"/>
                          <w:rPr>
                            <w:b/>
                            <w:sz w:val="13"/>
                          </w:rPr>
                        </w:pPr>
                        <w:hyperlink w:history="1" w:anchor="_bookmark282">
                          <w:r>
                            <w:rPr>
                              <w:b/>
                              <w:spacing w:val="-5"/>
                              <w:sz w:val="13"/>
                            </w:rPr>
                            <w:t>84</w:t>
                          </w:r>
                        </w:hyperlink>
                      </w:p>
                    </w:txbxContent>
                  </v:textbox>
                </v:shape>
                <v:shape id="Textbox 753" style="position:absolute;left:48287;top:44;width:13475;height:2883;visibility:visible;mso-wrap-style:square;v-text-anchor:top" o:spid="_x0000_s121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v:textbox inset="0,0,0,0">
                    <w:txbxContent>
                      <w:p w:rsidR="00C31389" w:rsidRDefault="00561FBD" w14:paraId="2B3B3C71" w14:textId="77777777">
                        <w:pPr>
                          <w:ind w:right="15"/>
                          <w:rPr>
                            <w:b/>
                            <w:sz w:val="20"/>
                          </w:rPr>
                        </w:pPr>
                        <w:r>
                          <w:rPr>
                            <w:b/>
                            <w:sz w:val="20"/>
                          </w:rPr>
                          <w:t>Comments</w:t>
                        </w:r>
                        <w:r>
                          <w:rPr>
                            <w:b/>
                            <w:spacing w:val="-14"/>
                            <w:sz w:val="20"/>
                          </w:rPr>
                          <w:t xml:space="preserve"> </w:t>
                        </w:r>
                        <w:r>
                          <w:rPr>
                            <w:b/>
                            <w:sz w:val="20"/>
                          </w:rPr>
                          <w:t>(Reliability of the Source)</w:t>
                        </w:r>
                      </w:p>
                    </w:txbxContent>
                  </v:textbox>
                </v:shape>
                <w10:wrap anchorx="page"/>
              </v:group>
            </w:pict>
          </mc:Fallback>
        </mc:AlternateContent>
      </w:r>
      <w:r>
        <w:rPr>
          <w:i/>
          <w:sz w:val="20"/>
        </w:rPr>
        <w:t>Electrical</w:t>
      </w:r>
      <w:r>
        <w:rPr>
          <w:i/>
          <w:spacing w:val="-6"/>
          <w:sz w:val="20"/>
        </w:rPr>
        <w:t xml:space="preserve"> </w:t>
      </w:r>
      <w:r>
        <w:rPr>
          <w:i/>
          <w:sz w:val="20"/>
        </w:rPr>
        <w:t>panel</w:t>
      </w:r>
      <w:r>
        <w:rPr>
          <w:i/>
          <w:spacing w:val="-5"/>
          <w:sz w:val="20"/>
        </w:rPr>
        <w:t xml:space="preserve"> </w:t>
      </w:r>
      <w:r>
        <w:rPr>
          <w:i/>
          <w:spacing w:val="-2"/>
          <w:sz w:val="20"/>
        </w:rPr>
        <w:t>upgrade:</w:t>
      </w:r>
      <w:r>
        <w:rPr>
          <w:i/>
          <w:sz w:val="20"/>
        </w:rPr>
        <w:tab/>
        <w:t>$750</w:t>
      </w:r>
      <w:r>
        <w:rPr>
          <w:i/>
          <w:spacing w:val="-2"/>
          <w:sz w:val="20"/>
        </w:rPr>
        <w:t xml:space="preserve"> </w:t>
      </w:r>
      <w:r>
        <w:rPr>
          <w:i/>
          <w:sz w:val="20"/>
        </w:rPr>
        <w:t>to</w:t>
      </w:r>
      <w:r>
        <w:rPr>
          <w:i/>
          <w:spacing w:val="-1"/>
          <w:sz w:val="20"/>
        </w:rPr>
        <w:t xml:space="preserve"> </w:t>
      </w:r>
      <w:r>
        <w:rPr>
          <w:i/>
          <w:spacing w:val="-2"/>
          <w:sz w:val="20"/>
        </w:rPr>
        <w:t>$2,000</w:t>
      </w:r>
      <w:r>
        <w:rPr>
          <w:i/>
          <w:sz w:val="20"/>
        </w:rPr>
        <w:tab/>
      </w:r>
      <w:r>
        <w:rPr>
          <w:position w:val="12"/>
          <w:sz w:val="20"/>
        </w:rPr>
        <w:t>assumptions</w:t>
      </w:r>
      <w:r>
        <w:rPr>
          <w:spacing w:val="-6"/>
          <w:position w:val="12"/>
          <w:sz w:val="20"/>
        </w:rPr>
        <w:t xml:space="preserve"> </w:t>
      </w:r>
      <w:r>
        <w:rPr>
          <w:position w:val="12"/>
          <w:sz w:val="20"/>
        </w:rPr>
        <w:t>are</w:t>
      </w:r>
      <w:r>
        <w:rPr>
          <w:spacing w:val="-4"/>
          <w:position w:val="12"/>
          <w:sz w:val="20"/>
        </w:rPr>
        <w:t xml:space="preserve"> </w:t>
      </w:r>
      <w:r>
        <w:rPr>
          <w:spacing w:val="-5"/>
          <w:position w:val="12"/>
          <w:sz w:val="20"/>
        </w:rPr>
        <w:t>not</w:t>
      </w:r>
    </w:p>
    <w:p w:rsidR="00C31389" w:rsidRDefault="00561FBD" w14:paraId="3272837B" w14:textId="77777777">
      <w:pPr>
        <w:spacing w:line="173" w:lineRule="exact"/>
        <w:ind w:right="1832"/>
        <w:jc w:val="right"/>
        <w:rPr>
          <w:sz w:val="20"/>
        </w:rPr>
      </w:pPr>
      <w:r>
        <w:rPr>
          <w:noProof/>
        </w:rPr>
        <mc:AlternateContent>
          <mc:Choice Requires="wps">
            <w:drawing>
              <wp:anchor distT="0" distB="0" distL="0" distR="0" simplePos="0" relativeHeight="15846912" behindDoc="0" locked="0" layoutInCell="1" allowOverlap="1" wp14:editId="42A87102" wp14:anchorId="5F9A6F30">
                <wp:simplePos x="0" y="0"/>
                <wp:positionH relativeFrom="page">
                  <wp:posOffset>608076</wp:posOffset>
                </wp:positionH>
                <wp:positionV relativeFrom="paragraph">
                  <wp:posOffset>109338</wp:posOffset>
                </wp:positionV>
                <wp:extent cx="6296025" cy="635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108"/>
                              </a:lnTo>
                              <a:lnTo>
                                <a:pt x="6295644" y="6108"/>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54" style="position:absolute;margin-left:47.9pt;margin-top:8.6pt;width:495.75pt;height:.5pt;z-index:15846912;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108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" w14:anchorId="58B60035">
                <v:path arrowok="t"/>
                <w10:wrap anchorx="page"/>
              </v:shape>
            </w:pict>
          </mc:Fallback>
        </mc:AlternateContent>
      </w:r>
      <w:r>
        <w:rPr>
          <w:spacing w:val="-2"/>
          <w:sz w:val="20"/>
        </w:rPr>
        <w:t>clear.</w:t>
      </w:r>
    </w:p>
    <w:p w:rsidR="00C31389" w:rsidRDefault="00C31389" w14:paraId="6E2AC465" w14:textId="77777777">
      <w:pPr>
        <w:spacing w:line="173" w:lineRule="exact"/>
        <w:jc w:val="right"/>
        <w:rPr>
          <w:sz w:val="20"/>
        </w:rPr>
        <w:sectPr w:rsidR="00C31389">
          <w:headerReference w:type="default" r:id="rId240"/>
          <w:footerReference w:type="default" r:id="rId241"/>
          <w:pgSz w:w="11910" w:h="16840"/>
          <w:pgMar w:top="1380" w:right="1020" w:bottom="1120" w:left="960" w:header="397" w:footer="938" w:gutter="0"/>
          <w:cols w:space="720"/>
        </w:sectPr>
      </w:pPr>
    </w:p>
    <w:p w:rsidR="00C31389" w:rsidRDefault="00561FBD" w14:paraId="79BD582A" w14:textId="77777777">
      <w:pPr>
        <w:tabs>
          <w:tab w:val="left" w:pos="1708"/>
        </w:tabs>
        <w:spacing w:before="35" w:line="151" w:lineRule="auto"/>
        <w:ind w:left="105"/>
        <w:rPr>
          <w:b/>
          <w:sz w:val="20"/>
        </w:rPr>
      </w:pPr>
      <w:r>
        <w:rPr>
          <w:spacing w:val="-2"/>
          <w:position w:val="-11"/>
          <w:sz w:val="20"/>
        </w:rPr>
        <w:t>Multifamily</w:t>
      </w:r>
      <w:r>
        <w:rPr>
          <w:position w:val="-11"/>
          <w:sz w:val="20"/>
        </w:rPr>
        <w:tab/>
      </w:r>
      <w:r>
        <w:rPr>
          <w:b/>
          <w:sz w:val="20"/>
        </w:rPr>
        <w:t>Total</w:t>
      </w:r>
      <w:r>
        <w:rPr>
          <w:b/>
          <w:spacing w:val="-6"/>
          <w:sz w:val="20"/>
        </w:rPr>
        <w:t xml:space="preserve"> </w:t>
      </w:r>
      <w:r>
        <w:rPr>
          <w:b/>
          <w:sz w:val="20"/>
        </w:rPr>
        <w:t>(Low</w:t>
      </w:r>
      <w:r>
        <w:rPr>
          <w:b/>
          <w:spacing w:val="-4"/>
          <w:sz w:val="20"/>
        </w:rPr>
        <w:t xml:space="preserve"> </w:t>
      </w:r>
      <w:r>
        <w:rPr>
          <w:b/>
          <w:sz w:val="20"/>
        </w:rPr>
        <w:t>rise-appears</w:t>
      </w:r>
      <w:r>
        <w:rPr>
          <w:b/>
          <w:spacing w:val="-4"/>
          <w:sz w:val="20"/>
        </w:rPr>
        <w:t xml:space="preserve"> </w:t>
      </w:r>
      <w:r>
        <w:rPr>
          <w:b/>
          <w:sz w:val="20"/>
        </w:rPr>
        <w:t>to</w:t>
      </w:r>
      <w:r>
        <w:rPr>
          <w:b/>
          <w:spacing w:val="-4"/>
          <w:sz w:val="20"/>
        </w:rPr>
        <w:t xml:space="preserve"> </w:t>
      </w:r>
      <w:r>
        <w:rPr>
          <w:b/>
          <w:spacing w:val="-5"/>
          <w:sz w:val="20"/>
        </w:rPr>
        <w:t>be</w:t>
      </w:r>
    </w:p>
    <w:p w:rsidR="00C31389" w:rsidRDefault="00561FBD" w14:paraId="6FEC3EAA" w14:textId="77777777">
      <w:pPr>
        <w:spacing w:line="170" w:lineRule="exact"/>
        <w:ind w:left="1708"/>
        <w:rPr>
          <w:b/>
          <w:sz w:val="20"/>
        </w:rPr>
      </w:pPr>
      <w:r>
        <w:rPr>
          <w:noProof/>
        </w:rPr>
        <mc:AlternateContent>
          <mc:Choice Requires="wps">
            <w:drawing>
              <wp:anchor distT="0" distB="0" distL="0" distR="0" simplePos="0" relativeHeight="15847424" behindDoc="0" locked="0" layoutInCell="1" allowOverlap="1" wp14:editId="645D6649" wp14:anchorId="53043B22">
                <wp:simplePos x="0" y="0"/>
                <wp:positionH relativeFrom="page">
                  <wp:posOffset>608076</wp:posOffset>
                </wp:positionH>
                <wp:positionV relativeFrom="paragraph">
                  <wp:posOffset>108012</wp:posOffset>
                </wp:positionV>
                <wp:extent cx="6296025" cy="635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55" style="position:absolute;margin-left:47.9pt;margin-top:8.5pt;width:495.75pt;height:.5pt;z-index:15847424;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" w14:anchorId="757AA692">
                <v:path arrowok="t"/>
                <w10:wrap anchorx="page"/>
              </v:shape>
            </w:pict>
          </mc:Fallback>
        </mc:AlternateContent>
      </w:r>
      <w:r>
        <w:rPr>
          <w:b/>
          <w:sz w:val="20"/>
        </w:rPr>
        <w:t>per-unit</w:t>
      </w:r>
      <w:r>
        <w:rPr>
          <w:b/>
          <w:spacing w:val="-4"/>
          <w:sz w:val="20"/>
        </w:rPr>
        <w:t xml:space="preserve"> </w:t>
      </w:r>
      <w:r>
        <w:rPr>
          <w:b/>
          <w:spacing w:val="-2"/>
          <w:sz w:val="20"/>
        </w:rPr>
        <w:t>costs):</w:t>
      </w:r>
    </w:p>
    <w:p w:rsidR="00C31389" w:rsidRDefault="00561FBD" w14:paraId="552CDFE4" w14:textId="77777777">
      <w:pPr>
        <w:tabs>
          <w:tab w:val="left" w:pos="2057"/>
          <w:tab w:val="left" w:pos="2785"/>
        </w:tabs>
        <w:spacing w:before="33" w:line="158" w:lineRule="auto"/>
        <w:ind w:left="2785" w:right="141" w:hanging="2680"/>
        <w:rPr>
          <w:sz w:val="20"/>
        </w:rPr>
      </w:pPr>
      <w:r>
        <w:br w:type="column"/>
      </w:r>
      <w:r>
        <w:rPr>
          <w:b/>
          <w:spacing w:val="-2"/>
          <w:position w:val="-11"/>
          <w:sz w:val="20"/>
        </w:rPr>
        <w:t>$2,744</w:t>
      </w:r>
      <w:r>
        <w:rPr>
          <w:b/>
          <w:position w:val="-11"/>
          <w:sz w:val="20"/>
        </w:rPr>
        <w:tab/>
      </w:r>
      <w:r>
        <w:rPr>
          <w:spacing w:val="-6"/>
          <w:position w:val="-11"/>
          <w:sz w:val="20"/>
        </w:rPr>
        <w:t>13</w:t>
      </w:r>
      <w:r>
        <w:rPr>
          <w:position w:val="-11"/>
          <w:sz w:val="20"/>
        </w:rPr>
        <w:tab/>
      </w:r>
      <w:r>
        <w:rPr>
          <w:sz w:val="20"/>
        </w:rPr>
        <w:t>Used</w:t>
      </w:r>
      <w:r>
        <w:rPr>
          <w:spacing w:val="-11"/>
          <w:sz w:val="20"/>
        </w:rPr>
        <w:t xml:space="preserve"> </w:t>
      </w:r>
      <w:r>
        <w:rPr>
          <w:sz w:val="20"/>
        </w:rPr>
        <w:t>available</w:t>
      </w:r>
      <w:r>
        <w:rPr>
          <w:spacing w:val="-11"/>
          <w:sz w:val="20"/>
        </w:rPr>
        <w:t xml:space="preserve"> </w:t>
      </w:r>
      <w:r>
        <w:rPr>
          <w:sz w:val="20"/>
        </w:rPr>
        <w:t>cost</w:t>
      </w:r>
      <w:r>
        <w:rPr>
          <w:spacing w:val="-11"/>
          <w:sz w:val="20"/>
        </w:rPr>
        <w:t xml:space="preserve"> </w:t>
      </w:r>
      <w:r>
        <w:rPr>
          <w:sz w:val="20"/>
        </w:rPr>
        <w:t>data from [3]</w:t>
      </w:r>
    </w:p>
    <w:p w:rsidR="00C31389" w:rsidRDefault="00C31389" w14:paraId="35960977" w14:textId="77777777">
      <w:pPr>
        <w:spacing w:line="158" w:lineRule="auto"/>
        <w:rPr>
          <w:sz w:val="20"/>
        </w:rPr>
        <w:sectPr w:rsidR="00C31389">
          <w:type w:val="continuous"/>
          <w:pgSz w:w="11910" w:h="16840"/>
          <w:pgMar w:top="0" w:right="1020" w:bottom="280" w:left="960" w:header="397" w:footer="938" w:gutter="0"/>
          <w:cols w:equalWidth="0" w:space="720" w:num="2">
            <w:col w:w="4528" w:space="289"/>
            <w:col w:w="5113"/>
          </w:cols>
        </w:sectPr>
      </w:pPr>
    </w:p>
    <w:p w:rsidR="00C31389" w:rsidRDefault="00561FBD" w14:paraId="57F5F9B0" w14:textId="77777777">
      <w:pPr>
        <w:tabs>
          <w:tab w:val="left" w:pos="4922"/>
        </w:tabs>
        <w:spacing w:before="10" w:line="249" w:lineRule="auto"/>
        <w:ind w:left="1708" w:right="38"/>
        <w:rPr>
          <w:b/>
          <w:sz w:val="20"/>
        </w:rPr>
      </w:pPr>
      <w:r>
        <w:rPr>
          <w:noProof/>
        </w:rPr>
        <mc:AlternateContent>
          <mc:Choice Requires="wps">
            <w:drawing>
              <wp:anchor distT="0" distB="0" distL="0" distR="0" simplePos="0" relativeHeight="15847936" behindDoc="0" locked="0" layoutInCell="1" allowOverlap="1" wp14:editId="572A29E9" wp14:anchorId="6E29DDAD">
                <wp:simplePos x="0" y="0"/>
                <wp:positionH relativeFrom="page">
                  <wp:posOffset>1626870</wp:posOffset>
                </wp:positionH>
                <wp:positionV relativeFrom="paragraph">
                  <wp:posOffset>152143</wp:posOffset>
                </wp:positionV>
                <wp:extent cx="3096260" cy="635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096"/>
                              </a:lnTo>
                              <a:lnTo>
                                <a:pt x="2039874" y="6096"/>
                              </a:lnTo>
                              <a:lnTo>
                                <a:pt x="2045970" y="6096"/>
                              </a:lnTo>
                              <a:lnTo>
                                <a:pt x="3096006" y="6096"/>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56" style="position:absolute;margin-left:128.1pt;margin-top:12pt;width:243.8pt;height:.5pt;z-index:15847936;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096r2039874,l2045970,6096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" w14:anchorId="03E81436">
                <v:path arrowok="t"/>
                <w10:wrap anchorx="page"/>
              </v:shape>
            </w:pict>
          </mc:Fallback>
        </mc:AlternateContent>
      </w:r>
      <w:r>
        <w:rPr>
          <w:noProof/>
        </w:rPr>
        <mc:AlternateContent>
          <mc:Choice Requires="wps">
            <w:drawing>
              <wp:anchor distT="0" distB="0" distL="0" distR="0" simplePos="0" relativeHeight="15848448" behindDoc="0" locked="0" layoutInCell="1" allowOverlap="1" wp14:editId="3C0773AA" wp14:anchorId="0796B76D">
                <wp:simplePos x="0" y="0"/>
                <wp:positionH relativeFrom="page">
                  <wp:posOffset>1626870</wp:posOffset>
                </wp:positionH>
                <wp:positionV relativeFrom="paragraph">
                  <wp:posOffset>304531</wp:posOffset>
                </wp:positionV>
                <wp:extent cx="3096260" cy="635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108"/>
                              </a:lnTo>
                              <a:lnTo>
                                <a:pt x="2039874" y="6108"/>
                              </a:lnTo>
                              <a:lnTo>
                                <a:pt x="2045970" y="6108"/>
                              </a:lnTo>
                              <a:lnTo>
                                <a:pt x="3096006" y="6108"/>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57" style="position:absolute;margin-left:128.1pt;margin-top:24pt;width:243.8pt;height:.5pt;z-index:15848448;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108r2039874,l2045970,6108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" w14:anchorId="16371825">
                <v:path arrowok="t"/>
                <w10:wrap anchorx="page"/>
              </v:shape>
            </w:pict>
          </mc:Fallback>
        </mc:AlternateContent>
      </w:r>
      <w:r>
        <w:rPr>
          <w:b/>
          <w:sz w:val="20"/>
        </w:rPr>
        <w:t>Total (Eight dwelling units):</w:t>
      </w:r>
      <w:r>
        <w:rPr>
          <w:b/>
          <w:sz w:val="20"/>
        </w:rPr>
        <w:tab/>
      </w:r>
      <w:r>
        <w:rPr>
          <w:b/>
          <w:spacing w:val="-2"/>
          <w:sz w:val="20"/>
        </w:rPr>
        <w:t xml:space="preserve">$35,192 </w:t>
      </w:r>
      <w:r>
        <w:rPr>
          <w:b/>
          <w:sz w:val="20"/>
        </w:rPr>
        <w:t>Total (per unit):</w:t>
      </w:r>
      <w:r>
        <w:rPr>
          <w:b/>
          <w:sz w:val="20"/>
        </w:rPr>
        <w:tab/>
      </w:r>
      <w:r>
        <w:rPr>
          <w:b/>
          <w:spacing w:val="-2"/>
          <w:sz w:val="20"/>
        </w:rPr>
        <w:t>$4,399</w:t>
      </w:r>
    </w:p>
    <w:p w:rsidR="00C31389" w:rsidRDefault="00561FBD" w14:paraId="1278BE84" w14:textId="77777777">
      <w:pPr>
        <w:spacing w:before="125" w:line="230" w:lineRule="atLeast"/>
        <w:ind w:left="1708" w:right="125"/>
        <w:rPr>
          <w:sz w:val="20"/>
        </w:rPr>
      </w:pPr>
      <w:r>
        <w:br w:type="column"/>
      </w:r>
      <w:r>
        <w:rPr>
          <w:sz w:val="20"/>
        </w:rPr>
        <w:t>Report published in 2016;</w:t>
      </w:r>
      <w:r>
        <w:rPr>
          <w:spacing w:val="-11"/>
          <w:sz w:val="20"/>
        </w:rPr>
        <w:t xml:space="preserve"> </w:t>
      </w:r>
      <w:r>
        <w:rPr>
          <w:sz w:val="20"/>
        </w:rPr>
        <w:t>cost</w:t>
      </w:r>
      <w:r>
        <w:rPr>
          <w:spacing w:val="-11"/>
          <w:sz w:val="20"/>
        </w:rPr>
        <w:t xml:space="preserve"> </w:t>
      </w:r>
      <w:r>
        <w:rPr>
          <w:sz w:val="20"/>
        </w:rPr>
        <w:t>estimates</w:t>
      </w:r>
      <w:r>
        <w:rPr>
          <w:spacing w:val="-11"/>
          <w:sz w:val="20"/>
        </w:rPr>
        <w:t xml:space="preserve"> </w:t>
      </w:r>
      <w:r>
        <w:rPr>
          <w:sz w:val="20"/>
        </w:rPr>
        <w:t>are</w:t>
      </w:r>
    </w:p>
    <w:p w:rsidR="00C31389" w:rsidRDefault="00C31389" w14:paraId="3D317ECF" w14:textId="77777777">
      <w:pPr>
        <w:spacing w:line="230" w:lineRule="atLeast"/>
        <w:rPr>
          <w:sz w:val="20"/>
        </w:rPr>
        <w:sectPr w:rsidR="00C31389">
          <w:type w:val="continuous"/>
          <w:pgSz w:w="11910" w:h="16840"/>
          <w:pgMar w:top="0" w:right="1020" w:bottom="280" w:left="960" w:header="397" w:footer="938" w:gutter="0"/>
          <w:cols w:equalWidth="0" w:space="720" w:num="2">
            <w:col w:w="5687" w:space="206"/>
            <w:col w:w="4037"/>
          </w:cols>
        </w:sectPr>
      </w:pPr>
    </w:p>
    <w:p w:rsidR="00C31389" w:rsidRDefault="00561FBD" w14:paraId="2EDA8F29" w14:textId="77777777">
      <w:pPr>
        <w:spacing w:line="134" w:lineRule="exact"/>
        <w:ind w:left="105"/>
        <w:rPr>
          <w:sz w:val="20"/>
        </w:rPr>
      </w:pPr>
      <w:r>
        <w:rPr>
          <w:sz w:val="20"/>
        </w:rPr>
        <w:t>Low</w:t>
      </w:r>
      <w:r>
        <w:rPr>
          <w:spacing w:val="-2"/>
          <w:sz w:val="20"/>
        </w:rPr>
        <w:t xml:space="preserve"> </w:t>
      </w:r>
      <w:r>
        <w:rPr>
          <w:spacing w:val="-4"/>
          <w:sz w:val="20"/>
        </w:rPr>
        <w:t>Rise</w:t>
      </w:r>
    </w:p>
    <w:p w:rsidR="00C31389" w:rsidRDefault="00561FBD" w14:paraId="11B2E812" w14:textId="77777777">
      <w:pPr>
        <w:spacing w:line="134" w:lineRule="exact"/>
        <w:ind w:left="105"/>
        <w:rPr>
          <w:i/>
          <w:sz w:val="20"/>
        </w:rPr>
      </w:pPr>
      <w:r>
        <w:br w:type="column"/>
      </w:r>
      <w:r>
        <w:rPr>
          <w:i/>
          <w:sz w:val="20"/>
        </w:rPr>
        <w:t>HPWH</w:t>
      </w:r>
      <w:r>
        <w:rPr>
          <w:i/>
          <w:spacing w:val="-3"/>
          <w:sz w:val="20"/>
        </w:rPr>
        <w:t xml:space="preserve"> </w:t>
      </w:r>
      <w:r>
        <w:rPr>
          <w:i/>
          <w:sz w:val="20"/>
        </w:rPr>
        <w:t>Branch</w:t>
      </w:r>
      <w:r>
        <w:rPr>
          <w:i/>
          <w:spacing w:val="-4"/>
          <w:sz w:val="20"/>
        </w:rPr>
        <w:t xml:space="preserve"> </w:t>
      </w:r>
      <w:r>
        <w:rPr>
          <w:i/>
          <w:sz w:val="20"/>
        </w:rPr>
        <w:t>Circuit</w:t>
      </w:r>
      <w:r>
        <w:rPr>
          <w:i/>
          <w:spacing w:val="-4"/>
          <w:sz w:val="20"/>
        </w:rPr>
        <w:t xml:space="preserve"> </w:t>
      </w:r>
      <w:r>
        <w:rPr>
          <w:i/>
          <w:sz w:val="20"/>
        </w:rPr>
        <w:t>(15A</w:t>
      </w:r>
      <w:r>
        <w:rPr>
          <w:i/>
          <w:spacing w:val="-3"/>
          <w:sz w:val="20"/>
        </w:rPr>
        <w:t xml:space="preserve"> </w:t>
      </w:r>
      <w:r>
        <w:rPr>
          <w:i/>
          <w:spacing w:val="-5"/>
          <w:sz w:val="20"/>
        </w:rPr>
        <w:t>to</w:t>
      </w:r>
    </w:p>
    <w:p w:rsidR="00C31389" w:rsidRDefault="00561FBD" w14:paraId="177DBBA8" w14:textId="77777777">
      <w:pPr>
        <w:spacing w:before="19" w:line="121" w:lineRule="exact"/>
        <w:ind w:left="105"/>
        <w:rPr>
          <w:i/>
          <w:sz w:val="20"/>
        </w:rPr>
      </w:pPr>
      <w:r>
        <w:br w:type="column"/>
      </w:r>
      <w:r>
        <w:rPr>
          <w:i/>
          <w:spacing w:val="-2"/>
          <w:sz w:val="20"/>
        </w:rPr>
        <w:t>$5,120</w:t>
      </w:r>
    </w:p>
    <w:p w:rsidR="00C31389" w:rsidRDefault="00561FBD" w14:paraId="4D94C996" w14:textId="77777777">
      <w:pPr>
        <w:tabs>
          <w:tab w:val="left" w:pos="777"/>
        </w:tabs>
        <w:spacing w:before="20" w:line="121" w:lineRule="exact"/>
        <w:ind w:left="105"/>
        <w:rPr>
          <w:sz w:val="20"/>
        </w:rPr>
      </w:pPr>
      <w:r>
        <w:br w:type="column"/>
      </w:r>
      <w:r>
        <w:rPr>
          <w:spacing w:val="-10"/>
          <w:sz w:val="20"/>
        </w:rPr>
        <w:t>3</w:t>
      </w:r>
      <w:r>
        <w:rPr>
          <w:sz w:val="20"/>
        </w:rPr>
        <w:tab/>
        <w:t>based</w:t>
      </w:r>
      <w:r>
        <w:rPr>
          <w:spacing w:val="-2"/>
          <w:sz w:val="20"/>
        </w:rPr>
        <w:t xml:space="preserve"> </w:t>
      </w:r>
      <w:r>
        <w:rPr>
          <w:sz w:val="20"/>
        </w:rPr>
        <w:t>on</w:t>
      </w:r>
      <w:r>
        <w:rPr>
          <w:spacing w:val="-2"/>
          <w:sz w:val="20"/>
        </w:rPr>
        <w:t xml:space="preserve"> RSMeans</w:t>
      </w:r>
    </w:p>
    <w:p w:rsidR="00C31389" w:rsidRDefault="00C31389" w14:paraId="60066A1D" w14:textId="77777777">
      <w:pPr>
        <w:spacing w:line="121" w:lineRule="exact"/>
        <w:rPr>
          <w:sz w:val="20"/>
        </w:rPr>
        <w:sectPr w:rsidR="00C31389">
          <w:type w:val="continuous"/>
          <w:pgSz w:w="11910" w:h="16840"/>
          <w:pgMar w:top="0" w:right="1020" w:bottom="280" w:left="960" w:header="397" w:footer="938" w:gutter="0"/>
          <w:cols w:equalWidth="0" w:space="720" w:num="4">
            <w:col w:w="969" w:space="744"/>
            <w:col w:w="2769" w:space="445"/>
            <w:col w:w="760" w:space="1138"/>
            <w:col w:w="3105"/>
          </w:cols>
        </w:sectPr>
      </w:pPr>
    </w:p>
    <w:p w:rsidR="00C31389" w:rsidRDefault="00561FBD" w14:paraId="7121C694" w14:textId="77777777">
      <w:pPr>
        <w:spacing w:line="224" w:lineRule="exact"/>
        <w:ind w:left="105"/>
        <w:rPr>
          <w:sz w:val="20"/>
        </w:rPr>
      </w:pPr>
      <w:r>
        <w:rPr>
          <w:spacing w:val="-2"/>
          <w:sz w:val="20"/>
        </w:rPr>
        <w:t>Multifamily</w:t>
      </w:r>
    </w:p>
    <w:p w:rsidR="00C31389" w:rsidRDefault="00561FBD" w14:paraId="37CC191F" w14:textId="77777777">
      <w:pPr>
        <w:tabs>
          <w:tab w:val="left" w:pos="4981"/>
        </w:tabs>
        <w:spacing w:line="224" w:lineRule="exact"/>
        <w:ind w:left="105"/>
        <w:rPr>
          <w:i/>
          <w:sz w:val="20"/>
        </w:rPr>
      </w:pPr>
      <w:r>
        <w:br w:type="column"/>
      </w:r>
      <w:r>
        <w:rPr>
          <w:i/>
          <w:spacing w:val="50"/>
          <w:sz w:val="20"/>
          <w:u w:val="single" w:color="B6B6B6"/>
        </w:rPr>
        <w:t xml:space="preserve"> </w:t>
      </w:r>
      <w:r>
        <w:rPr>
          <w:i/>
          <w:spacing w:val="-4"/>
          <w:sz w:val="20"/>
          <w:u w:val="single" w:color="B6B6B6"/>
        </w:rPr>
        <w:t>30A):</w:t>
      </w:r>
      <w:r>
        <w:rPr>
          <w:i/>
          <w:sz w:val="20"/>
          <w:u w:val="single" w:color="B6B6B6"/>
        </w:rPr>
        <w:tab/>
      </w:r>
    </w:p>
    <w:p w:rsidR="00C31389" w:rsidRDefault="00561FBD" w14:paraId="2BEC8FC2" w14:textId="77777777">
      <w:pPr>
        <w:tabs>
          <w:tab w:val="left" w:pos="3536"/>
        </w:tabs>
        <w:spacing w:before="10"/>
        <w:ind w:left="322"/>
        <w:rPr>
          <w:i/>
          <w:sz w:val="20"/>
        </w:rPr>
      </w:pPr>
      <w:r>
        <w:rPr>
          <w:i/>
          <w:spacing w:val="-2"/>
          <w:sz w:val="20"/>
        </w:rPr>
        <w:t>Panel:</w:t>
      </w:r>
      <w:r>
        <w:rPr>
          <w:i/>
          <w:sz w:val="20"/>
        </w:rPr>
        <w:tab/>
      </w:r>
      <w:r>
        <w:rPr>
          <w:i/>
          <w:spacing w:val="-2"/>
          <w:sz w:val="20"/>
        </w:rPr>
        <w:t>$20,792</w:t>
      </w:r>
    </w:p>
    <w:p w:rsidR="00C31389" w:rsidRDefault="00561FBD" w14:paraId="015E09A2" w14:textId="77777777">
      <w:pPr>
        <w:tabs>
          <w:tab w:val="left" w:pos="3536"/>
        </w:tabs>
        <w:ind w:left="322"/>
        <w:rPr>
          <w:i/>
          <w:sz w:val="20"/>
        </w:rPr>
      </w:pPr>
      <w:r>
        <w:rPr>
          <w:noProof/>
        </w:rPr>
        <mc:AlternateContent>
          <mc:Choice Requires="wps">
            <w:drawing>
              <wp:anchor distT="0" distB="0" distL="0" distR="0" simplePos="0" relativeHeight="15848960" behindDoc="0" locked="0" layoutInCell="1" allowOverlap="1" wp14:editId="50E28966" wp14:anchorId="4EE20B91">
                <wp:simplePos x="0" y="0"/>
                <wp:positionH relativeFrom="page">
                  <wp:posOffset>608076</wp:posOffset>
                </wp:positionH>
                <wp:positionV relativeFrom="paragraph">
                  <wp:posOffset>145794</wp:posOffset>
                </wp:positionV>
                <wp:extent cx="6296025" cy="6350"/>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60" style="position:absolute;margin-left:47.9pt;margin-top:11.5pt;width:495.75pt;height:.5pt;z-index:15848960;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" w14:anchorId="60FC2747">
                <v:path arrowok="t"/>
                <w10:wrap anchorx="page"/>
              </v:shape>
            </w:pict>
          </mc:Fallback>
        </mc:AlternateContent>
      </w:r>
      <w:r>
        <w:rPr>
          <w:i/>
          <w:sz w:val="20"/>
        </w:rPr>
        <w:t>Service</w:t>
      </w:r>
      <w:r>
        <w:rPr>
          <w:i/>
          <w:spacing w:val="-7"/>
          <w:sz w:val="20"/>
        </w:rPr>
        <w:t xml:space="preserve"> </w:t>
      </w:r>
      <w:r>
        <w:rPr>
          <w:i/>
          <w:sz w:val="20"/>
        </w:rPr>
        <w:t>connection</w:t>
      </w:r>
      <w:r>
        <w:rPr>
          <w:i/>
          <w:spacing w:val="-6"/>
          <w:sz w:val="20"/>
        </w:rPr>
        <w:t xml:space="preserve"> </w:t>
      </w:r>
      <w:r>
        <w:rPr>
          <w:i/>
          <w:sz w:val="20"/>
        </w:rPr>
        <w:t>(utility</w:t>
      </w:r>
      <w:r>
        <w:rPr>
          <w:i/>
          <w:spacing w:val="-6"/>
          <w:sz w:val="20"/>
        </w:rPr>
        <w:t xml:space="preserve"> </w:t>
      </w:r>
      <w:r>
        <w:rPr>
          <w:i/>
          <w:spacing w:val="-2"/>
          <w:sz w:val="20"/>
        </w:rPr>
        <w:t>Fee):</w:t>
      </w:r>
      <w:r>
        <w:rPr>
          <w:i/>
          <w:sz w:val="20"/>
        </w:rPr>
        <w:tab/>
      </w:r>
      <w:r>
        <w:rPr>
          <w:i/>
          <w:spacing w:val="-2"/>
          <w:sz w:val="20"/>
        </w:rPr>
        <w:t>$1,160</w:t>
      </w:r>
    </w:p>
    <w:p w:rsidR="00C31389" w:rsidRDefault="00561FBD" w14:paraId="0FA4445A" w14:textId="77777777">
      <w:pPr>
        <w:tabs>
          <w:tab w:val="left" w:pos="3425"/>
        </w:tabs>
        <w:spacing w:before="25" w:line="151" w:lineRule="auto"/>
        <w:ind w:left="212"/>
        <w:rPr>
          <w:b/>
          <w:sz w:val="20"/>
        </w:rPr>
      </w:pPr>
      <w:r>
        <w:rPr>
          <w:b/>
          <w:spacing w:val="-2"/>
          <w:position w:val="-11"/>
          <w:sz w:val="20"/>
        </w:rPr>
        <w:t>Total:</w:t>
      </w:r>
      <w:r>
        <w:rPr>
          <w:b/>
          <w:position w:val="-11"/>
          <w:sz w:val="20"/>
        </w:rPr>
        <w:tab/>
      </w:r>
      <w:r>
        <w:rPr>
          <w:b/>
          <w:i/>
          <w:spacing w:val="-2"/>
          <w:sz w:val="20"/>
        </w:rPr>
        <w:t>$13,500</w:t>
      </w:r>
      <w:r>
        <w:rPr>
          <w:b/>
          <w:spacing w:val="-2"/>
          <w:sz w:val="20"/>
        </w:rPr>
        <w:t>–</w:t>
      </w:r>
    </w:p>
    <w:p w:rsidR="00C31389" w:rsidRDefault="00561FBD" w14:paraId="2BDEE286" w14:textId="77777777">
      <w:pPr>
        <w:spacing w:line="170" w:lineRule="exact"/>
        <w:ind w:right="757"/>
        <w:jc w:val="right"/>
        <w:rPr>
          <w:b/>
          <w:i/>
          <w:sz w:val="20"/>
        </w:rPr>
      </w:pPr>
      <w:r>
        <w:rPr>
          <w:noProof/>
        </w:rPr>
        <mc:AlternateContent>
          <mc:Choice Requires="wps">
            <w:drawing>
              <wp:anchor distT="0" distB="0" distL="0" distR="0" simplePos="0" relativeHeight="15849472" behindDoc="0" locked="0" layoutInCell="1" allowOverlap="1" wp14:editId="1AFCFC47" wp14:anchorId="1DBDF216">
                <wp:simplePos x="0" y="0"/>
                <wp:positionH relativeFrom="page">
                  <wp:posOffset>1626870</wp:posOffset>
                </wp:positionH>
                <wp:positionV relativeFrom="paragraph">
                  <wp:posOffset>108012</wp:posOffset>
                </wp:positionV>
                <wp:extent cx="3096260" cy="635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096"/>
                              </a:lnTo>
                              <a:lnTo>
                                <a:pt x="2039874" y="6096"/>
                              </a:lnTo>
                              <a:lnTo>
                                <a:pt x="2045970" y="6096"/>
                              </a:lnTo>
                              <a:lnTo>
                                <a:pt x="3096006" y="6096"/>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61" style="position:absolute;margin-left:128.1pt;margin-top:8.5pt;width:243.8pt;height:.5pt;z-index:15849472;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096r2039874,l2045970,6096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" w14:anchorId="0DF96873">
                <v:path arrowok="t"/>
                <w10:wrap anchorx="page"/>
              </v:shape>
            </w:pict>
          </mc:Fallback>
        </mc:AlternateContent>
      </w:r>
      <w:r>
        <w:rPr>
          <w:b/>
          <w:i/>
          <w:spacing w:val="-2"/>
          <w:sz w:val="20"/>
        </w:rPr>
        <w:t>$122,000</w:t>
      </w:r>
    </w:p>
    <w:p w:rsidR="00C31389" w:rsidRDefault="00561FBD" w14:paraId="20A50C01" w14:textId="77777777">
      <w:pPr>
        <w:spacing w:before="109"/>
        <w:ind w:left="105" w:right="147"/>
        <w:rPr>
          <w:sz w:val="20"/>
        </w:rPr>
      </w:pPr>
      <w:r>
        <w:br w:type="column"/>
      </w:r>
      <w:r>
        <w:rPr>
          <w:sz w:val="20"/>
        </w:rPr>
        <w:t>data</w:t>
      </w:r>
      <w:r>
        <w:rPr>
          <w:spacing w:val="-12"/>
          <w:sz w:val="20"/>
        </w:rPr>
        <w:t xml:space="preserve"> </w:t>
      </w:r>
      <w:r>
        <w:rPr>
          <w:sz w:val="20"/>
        </w:rPr>
        <w:t>and</w:t>
      </w:r>
      <w:r>
        <w:rPr>
          <w:spacing w:val="-12"/>
          <w:sz w:val="20"/>
        </w:rPr>
        <w:t xml:space="preserve"> </w:t>
      </w:r>
      <w:r>
        <w:rPr>
          <w:sz w:val="20"/>
        </w:rPr>
        <w:t>does</w:t>
      </w:r>
      <w:r>
        <w:rPr>
          <w:spacing w:val="-11"/>
          <w:sz w:val="20"/>
        </w:rPr>
        <w:t xml:space="preserve"> </w:t>
      </w:r>
      <w:r>
        <w:rPr>
          <w:sz w:val="20"/>
        </w:rPr>
        <w:t>not include overhead</w:t>
      </w:r>
    </w:p>
    <w:p w:rsidR="00C31389" w:rsidRDefault="00C31389" w14:paraId="76CA51F9" w14:textId="77777777">
      <w:pPr>
        <w:rPr>
          <w:sz w:val="20"/>
        </w:rPr>
        <w:sectPr w:rsidR="00C31389">
          <w:type w:val="continuous"/>
          <w:pgSz w:w="11910" w:h="16840"/>
          <w:pgMar w:top="0" w:right="1020" w:bottom="280" w:left="960" w:header="397" w:footer="938" w:gutter="0"/>
          <w:cols w:equalWidth="0" w:space="720" w:num="3">
            <w:col w:w="1091" w:space="406"/>
            <w:col w:w="5022" w:space="978"/>
            <w:col w:w="2433"/>
          </w:cols>
        </w:sectPr>
      </w:pPr>
    </w:p>
    <w:p w:rsidR="00C31389" w:rsidRDefault="00561FBD" w14:paraId="4AB7AA37" w14:textId="77777777">
      <w:pPr>
        <w:spacing w:before="10"/>
        <w:ind w:left="1819"/>
        <w:rPr>
          <w:i/>
          <w:sz w:val="20"/>
        </w:rPr>
      </w:pPr>
      <w:r>
        <w:rPr>
          <w:i/>
          <w:sz w:val="20"/>
        </w:rPr>
        <w:t>Add</w:t>
      </w:r>
      <w:r>
        <w:rPr>
          <w:i/>
          <w:spacing w:val="-3"/>
          <w:sz w:val="20"/>
        </w:rPr>
        <w:t xml:space="preserve"> </w:t>
      </w:r>
      <w:r>
        <w:rPr>
          <w:i/>
          <w:sz w:val="20"/>
        </w:rPr>
        <w:t>circuits</w:t>
      </w:r>
      <w:r>
        <w:rPr>
          <w:i/>
          <w:spacing w:val="-2"/>
          <w:sz w:val="20"/>
        </w:rPr>
        <w:t xml:space="preserve"> </w:t>
      </w:r>
      <w:r>
        <w:rPr>
          <w:i/>
          <w:sz w:val="20"/>
        </w:rPr>
        <w:t>for</w:t>
      </w:r>
      <w:r>
        <w:rPr>
          <w:i/>
          <w:spacing w:val="-1"/>
          <w:sz w:val="20"/>
        </w:rPr>
        <w:t xml:space="preserve"> </w:t>
      </w:r>
      <w:r>
        <w:rPr>
          <w:i/>
          <w:sz w:val="20"/>
        </w:rPr>
        <w:t>a</w:t>
      </w:r>
      <w:r>
        <w:rPr>
          <w:i/>
          <w:spacing w:val="-2"/>
          <w:sz w:val="20"/>
        </w:rPr>
        <w:t xml:space="preserve"> </w:t>
      </w:r>
      <w:r>
        <w:rPr>
          <w:i/>
          <w:sz w:val="20"/>
        </w:rPr>
        <w:t>new</w:t>
      </w:r>
      <w:r>
        <w:rPr>
          <w:i/>
          <w:spacing w:val="-1"/>
          <w:sz w:val="20"/>
        </w:rPr>
        <w:t xml:space="preserve"> </w:t>
      </w:r>
      <w:r>
        <w:rPr>
          <w:i/>
          <w:spacing w:val="-2"/>
          <w:sz w:val="20"/>
        </w:rPr>
        <w:t>electric</w:t>
      </w:r>
    </w:p>
    <w:p w:rsidR="00C31389" w:rsidRDefault="00561FBD" w14:paraId="0309DFAB" w14:textId="77777777">
      <w:pPr>
        <w:spacing w:before="125" w:line="120" w:lineRule="exact"/>
        <w:ind w:left="572"/>
        <w:rPr>
          <w:i/>
          <w:sz w:val="20"/>
        </w:rPr>
      </w:pPr>
      <w:r>
        <w:br w:type="column"/>
      </w:r>
      <w:r>
        <w:rPr>
          <w:i/>
          <w:spacing w:val="-2"/>
          <w:sz w:val="20"/>
        </w:rPr>
        <w:t>$500–$2,000</w:t>
      </w:r>
    </w:p>
    <w:p w:rsidR="00C31389" w:rsidRDefault="00561FBD" w14:paraId="2CD654E0" w14:textId="77777777">
      <w:pPr>
        <w:spacing w:before="139" w:line="106" w:lineRule="exact"/>
        <w:ind w:left="1361"/>
        <w:rPr>
          <w:sz w:val="20"/>
        </w:rPr>
      </w:pPr>
      <w:r>
        <w:br w:type="column"/>
      </w:r>
      <w:r>
        <w:rPr>
          <w:sz w:val="20"/>
        </w:rPr>
        <w:t>Estimated</w:t>
      </w:r>
      <w:r>
        <w:rPr>
          <w:spacing w:val="-6"/>
          <w:sz w:val="20"/>
        </w:rPr>
        <w:t xml:space="preserve"> </w:t>
      </w:r>
      <w:r>
        <w:rPr>
          <w:sz w:val="20"/>
        </w:rPr>
        <w:t>costs</w:t>
      </w:r>
      <w:r>
        <w:rPr>
          <w:spacing w:val="-4"/>
          <w:sz w:val="20"/>
        </w:rPr>
        <w:t xml:space="preserve"> </w:t>
      </w:r>
      <w:r>
        <w:rPr>
          <w:spacing w:val="-2"/>
          <w:sz w:val="20"/>
        </w:rPr>
        <w:t>provide</w:t>
      </w:r>
    </w:p>
    <w:p w:rsidR="00C31389" w:rsidRDefault="00C31389" w14:paraId="3582E03B" w14:textId="77777777">
      <w:pPr>
        <w:spacing w:line="106" w:lineRule="exact"/>
        <w:rPr>
          <w:sz w:val="20"/>
        </w:rPr>
        <w:sectPr w:rsidR="00C31389">
          <w:type w:val="continuous"/>
          <w:pgSz w:w="11910" w:h="16840"/>
          <w:pgMar w:top="0" w:right="1020" w:bottom="280" w:left="960" w:header="397" w:footer="938" w:gutter="0"/>
          <w:cols w:equalWidth="0" w:space="720" w:num="3">
            <w:col w:w="4421" w:space="40"/>
            <w:col w:w="1741" w:space="39"/>
            <w:col w:w="3689"/>
          </w:cols>
        </w:sectPr>
      </w:pPr>
    </w:p>
    <w:p w:rsidR="00C31389" w:rsidRDefault="00561FBD" w14:paraId="78E11384" w14:textId="77777777">
      <w:pPr>
        <w:tabs>
          <w:tab w:val="left" w:pos="5032"/>
          <w:tab w:val="left" w:pos="6477"/>
        </w:tabs>
        <w:spacing w:line="249" w:lineRule="auto"/>
        <w:ind w:left="1819" w:hanging="218"/>
        <w:rPr>
          <w:i/>
          <w:sz w:val="20"/>
        </w:rPr>
      </w:pPr>
      <w:r>
        <w:rPr>
          <w:noProof/>
        </w:rPr>
        <mc:AlternateContent>
          <mc:Choice Requires="wps">
            <w:drawing>
              <wp:anchor distT="0" distB="0" distL="0" distR="0" simplePos="0" relativeHeight="15849984" behindDoc="0" locked="0" layoutInCell="1" allowOverlap="1" wp14:editId="665746A6" wp14:anchorId="7666F1CD">
                <wp:simplePos x="0" y="0"/>
                <wp:positionH relativeFrom="page">
                  <wp:posOffset>1626870</wp:posOffset>
                </wp:positionH>
                <wp:positionV relativeFrom="paragraph">
                  <wp:posOffset>298194</wp:posOffset>
                </wp:positionV>
                <wp:extent cx="3096260" cy="6350"/>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350"/>
                        </a:xfrm>
                        <a:custGeom>
                          <a:avLst/>
                          <a:gdLst/>
                          <a:ahLst/>
                          <a:cxnLst/>
                          <a:rect l="l" t="t" r="r" b="b"/>
                          <a:pathLst>
                            <a:path w="3096260" h="6350">
                              <a:moveTo>
                                <a:pt x="3096006" y="0"/>
                              </a:moveTo>
                              <a:lnTo>
                                <a:pt x="2045970" y="0"/>
                              </a:lnTo>
                              <a:lnTo>
                                <a:pt x="2039874" y="0"/>
                              </a:lnTo>
                              <a:lnTo>
                                <a:pt x="0" y="0"/>
                              </a:lnTo>
                              <a:lnTo>
                                <a:pt x="0" y="6096"/>
                              </a:lnTo>
                              <a:lnTo>
                                <a:pt x="2039874" y="6096"/>
                              </a:lnTo>
                              <a:lnTo>
                                <a:pt x="2045970" y="6096"/>
                              </a:lnTo>
                              <a:lnTo>
                                <a:pt x="3096006" y="6096"/>
                              </a:lnTo>
                              <a:lnTo>
                                <a:pt x="3096006"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62" style="position:absolute;margin-left:128.1pt;margin-top:23.5pt;width:243.8pt;height:.5pt;z-index:15849984;visibility:visible;mso-wrap-style:square;mso-wrap-distance-left:0;mso-wrap-distance-top:0;mso-wrap-distance-right:0;mso-wrap-distance-bottom:0;mso-position-horizontal:absolute;mso-position-horizontal-relative:page;mso-position-vertical:absolute;mso-position-vertical-relative:text;v-text-anchor:top" coordsize="3096260,6350" o:spid="_x0000_s1026" fillcolor="#b6b6b6" stroked="f" path="m3096006,l2045970,r-6096,l,,,6096r2039874,l2045970,6096r1050036,l30960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" w14:anchorId="64E112A6">
                <v:path arrowok="t"/>
                <w10:wrap anchorx="page"/>
              </v:shape>
            </w:pict>
          </mc:Fallback>
        </mc:AlternateContent>
      </w:r>
      <w:r>
        <w:rPr>
          <w:i/>
          <w:spacing w:val="40"/>
          <w:sz w:val="20"/>
          <w:u w:val="single" w:color="B6B6B6"/>
        </w:rPr>
        <w:t xml:space="preserve"> </w:t>
      </w:r>
      <w:r>
        <w:rPr>
          <w:i/>
          <w:sz w:val="20"/>
          <w:u w:val="single" w:color="B6B6B6"/>
        </w:rPr>
        <w:t>appliance:</w:t>
      </w:r>
      <w:r>
        <w:rPr>
          <w:i/>
          <w:sz w:val="20"/>
          <w:u w:val="single" w:color="B6B6B6"/>
        </w:rPr>
        <w:tab/>
      </w:r>
      <w:r>
        <w:rPr>
          <w:i/>
          <w:sz w:val="20"/>
          <w:u w:val="single" w:color="B6B6B6"/>
        </w:rPr>
        <w:tab/>
      </w:r>
      <w:r>
        <w:rPr>
          <w:i/>
          <w:sz w:val="20"/>
        </w:rPr>
        <w:t xml:space="preserve"> Upgrade subpanels:</w:t>
      </w:r>
      <w:r>
        <w:rPr>
          <w:i/>
          <w:sz w:val="20"/>
        </w:rPr>
        <w:tab/>
      </w:r>
      <w:r>
        <w:rPr>
          <w:i/>
          <w:spacing w:val="-2"/>
          <w:sz w:val="20"/>
        </w:rPr>
        <w:t>$1,000–$7,000</w:t>
      </w:r>
    </w:p>
    <w:p w:rsidR="00C31389" w:rsidRDefault="00561FBD" w14:paraId="6DB6B838" w14:textId="77777777">
      <w:pPr>
        <w:spacing w:before="88" w:line="230" w:lineRule="exact"/>
        <w:ind w:left="1084"/>
        <w:rPr>
          <w:sz w:val="20"/>
        </w:rPr>
      </w:pPr>
      <w:r>
        <w:br w:type="column"/>
      </w:r>
      <w:r>
        <w:rPr>
          <w:sz w:val="20"/>
        </w:rPr>
        <w:t>a</w:t>
      </w:r>
      <w:r>
        <w:rPr>
          <w:spacing w:val="-9"/>
          <w:sz w:val="20"/>
        </w:rPr>
        <w:t xml:space="preserve"> </w:t>
      </w:r>
      <w:r>
        <w:rPr>
          <w:sz w:val="20"/>
        </w:rPr>
        <w:t>wide</w:t>
      </w:r>
      <w:r>
        <w:rPr>
          <w:spacing w:val="-9"/>
          <w:sz w:val="20"/>
        </w:rPr>
        <w:t xml:space="preserve"> </w:t>
      </w:r>
      <w:r>
        <w:rPr>
          <w:sz w:val="20"/>
        </w:rPr>
        <w:t>range</w:t>
      </w:r>
      <w:r>
        <w:rPr>
          <w:spacing w:val="-9"/>
          <w:sz w:val="20"/>
        </w:rPr>
        <w:t xml:space="preserve"> </w:t>
      </w:r>
      <w:r>
        <w:rPr>
          <w:sz w:val="20"/>
        </w:rPr>
        <w:t>and</w:t>
      </w:r>
      <w:r>
        <w:rPr>
          <w:spacing w:val="-9"/>
          <w:sz w:val="20"/>
        </w:rPr>
        <w:t xml:space="preserve"> </w:t>
      </w:r>
      <w:r>
        <w:rPr>
          <w:sz w:val="20"/>
        </w:rPr>
        <w:t>cannot be used for a MF</w:t>
      </w:r>
    </w:p>
    <w:p w:rsidR="00C31389" w:rsidRDefault="00C31389" w14:paraId="15C6338F" w14:textId="77777777">
      <w:pPr>
        <w:spacing w:line="230" w:lineRule="exact"/>
        <w:rPr>
          <w:sz w:val="20"/>
        </w:rPr>
        <w:sectPr w:rsidR="00C31389">
          <w:type w:val="continuous"/>
          <w:pgSz w:w="11910" w:h="16840"/>
          <w:pgMar w:top="0" w:right="1020" w:bottom="280" w:left="960" w:header="397" w:footer="938" w:gutter="0"/>
          <w:cols w:equalWidth="0" w:space="720" w:num="2">
            <w:col w:w="6478" w:space="40"/>
            <w:col w:w="3412"/>
          </w:cols>
        </w:sectPr>
      </w:pPr>
    </w:p>
    <w:p w:rsidR="00C31389" w:rsidRDefault="00561FBD" w14:paraId="6FB4A81F" w14:textId="77777777">
      <w:pPr>
        <w:spacing w:line="151" w:lineRule="exact"/>
        <w:ind w:left="105"/>
        <w:rPr>
          <w:sz w:val="20"/>
        </w:rPr>
      </w:pPr>
      <w:r>
        <w:rPr>
          <w:spacing w:val="-2"/>
          <w:sz w:val="20"/>
        </w:rPr>
        <w:t>Multifamily</w:t>
      </w:r>
      <w:r>
        <w:rPr>
          <w:spacing w:val="-22"/>
          <w:sz w:val="20"/>
        </w:rPr>
        <w:t xml:space="preserve"> </w:t>
      </w:r>
      <w:hyperlink w:history="1" w:anchor="_bookmark284">
        <w:r>
          <w:rPr>
            <w:spacing w:val="-5"/>
            <w:sz w:val="20"/>
            <w:vertAlign w:val="superscript"/>
          </w:rPr>
          <w:t>85</w:t>
        </w:r>
      </w:hyperlink>
    </w:p>
    <w:p w:rsidR="00C31389" w:rsidRDefault="00561FBD" w14:paraId="00A2AFCA" w14:textId="77777777">
      <w:pPr>
        <w:spacing w:line="156" w:lineRule="exact"/>
        <w:ind w:left="105"/>
        <w:rPr>
          <w:i/>
          <w:sz w:val="20"/>
        </w:rPr>
      </w:pPr>
      <w:r>
        <w:br w:type="column"/>
      </w:r>
      <w:r>
        <w:rPr>
          <w:i/>
          <w:sz w:val="20"/>
        </w:rPr>
        <w:t>Replace</w:t>
      </w:r>
      <w:r>
        <w:rPr>
          <w:i/>
          <w:spacing w:val="-5"/>
          <w:sz w:val="20"/>
        </w:rPr>
        <w:t xml:space="preserve"> </w:t>
      </w:r>
      <w:r>
        <w:rPr>
          <w:i/>
          <w:sz w:val="20"/>
        </w:rPr>
        <w:t>disconnects</w:t>
      </w:r>
      <w:r>
        <w:rPr>
          <w:i/>
          <w:spacing w:val="-4"/>
          <w:sz w:val="20"/>
        </w:rPr>
        <w:t xml:space="preserve"> </w:t>
      </w:r>
      <w:r>
        <w:rPr>
          <w:i/>
          <w:sz w:val="20"/>
        </w:rPr>
        <w:t>at</w:t>
      </w:r>
      <w:r>
        <w:rPr>
          <w:i/>
          <w:spacing w:val="-4"/>
          <w:sz w:val="20"/>
        </w:rPr>
        <w:t xml:space="preserve"> meter</w:t>
      </w:r>
    </w:p>
    <w:p w:rsidR="00C31389" w:rsidRDefault="00561FBD" w14:paraId="7C3E9C0A" w14:textId="77777777">
      <w:pPr>
        <w:spacing w:before="41" w:line="121" w:lineRule="exact"/>
        <w:ind w:left="105"/>
        <w:rPr>
          <w:i/>
          <w:sz w:val="20"/>
        </w:rPr>
      </w:pPr>
      <w:r>
        <w:br w:type="column"/>
      </w:r>
      <w:r>
        <w:rPr>
          <w:i/>
          <w:spacing w:val="-2"/>
          <w:sz w:val="20"/>
        </w:rPr>
        <w:t>$1,000–$3,000</w:t>
      </w:r>
    </w:p>
    <w:p w:rsidR="00C31389" w:rsidRDefault="00561FBD" w14:paraId="08F52CAA" w14:textId="77777777">
      <w:pPr>
        <w:tabs>
          <w:tab w:val="left" w:pos="777"/>
        </w:tabs>
        <w:spacing w:line="163" w:lineRule="exact"/>
        <w:ind w:left="105"/>
        <w:rPr>
          <w:sz w:val="20"/>
        </w:rPr>
      </w:pPr>
      <w:r>
        <w:br w:type="column"/>
      </w:r>
      <w:r>
        <w:rPr>
          <w:spacing w:val="-10"/>
          <w:position w:val="12"/>
          <w:sz w:val="20"/>
        </w:rPr>
        <w:t>8</w:t>
      </w:r>
      <w:r>
        <w:rPr>
          <w:position w:val="12"/>
          <w:sz w:val="20"/>
        </w:rPr>
        <w:tab/>
      </w:r>
      <w:r>
        <w:rPr>
          <w:sz w:val="20"/>
        </w:rPr>
        <w:t>building</w:t>
      </w:r>
      <w:r>
        <w:rPr>
          <w:spacing w:val="-4"/>
          <w:sz w:val="20"/>
        </w:rPr>
        <w:t xml:space="preserve"> </w:t>
      </w:r>
      <w:r>
        <w:rPr>
          <w:sz w:val="20"/>
        </w:rPr>
        <w:t>with</w:t>
      </w:r>
      <w:r>
        <w:rPr>
          <w:spacing w:val="-3"/>
          <w:sz w:val="20"/>
        </w:rPr>
        <w:t xml:space="preserve"> </w:t>
      </w:r>
      <w:r>
        <w:rPr>
          <w:sz w:val="20"/>
        </w:rPr>
        <w:t>a</w:t>
      </w:r>
      <w:r>
        <w:rPr>
          <w:spacing w:val="-2"/>
          <w:sz w:val="20"/>
        </w:rPr>
        <w:t xml:space="preserve"> specific</w:t>
      </w:r>
    </w:p>
    <w:p w:rsidR="00C31389" w:rsidRDefault="00C31389" w14:paraId="40BF2C88" w14:textId="77777777">
      <w:pPr>
        <w:spacing w:line="163" w:lineRule="exact"/>
        <w:rPr>
          <w:sz w:val="20"/>
        </w:rPr>
        <w:sectPr w:rsidR="00C31389">
          <w:type w:val="continuous"/>
          <w:pgSz w:w="11910" w:h="16840"/>
          <w:pgMar w:top="0" w:right="1020" w:bottom="280" w:left="960" w:header="397" w:footer="938" w:gutter="0"/>
          <w:cols w:equalWidth="0" w:space="720" w:num="4">
            <w:col w:w="1255" w:space="459"/>
            <w:col w:w="2783" w:space="431"/>
            <w:col w:w="1482" w:space="415"/>
            <w:col w:w="3105"/>
          </w:cols>
        </w:sectPr>
      </w:pPr>
    </w:p>
    <w:p w:rsidR="00C31389" w:rsidRDefault="00561FBD" w14:paraId="011C2EC8" w14:textId="77777777">
      <w:pPr>
        <w:tabs>
          <w:tab w:val="left" w:pos="6477"/>
        </w:tabs>
        <w:spacing w:line="224" w:lineRule="exact"/>
        <w:ind w:left="1602"/>
        <w:rPr>
          <w:i/>
          <w:sz w:val="20"/>
        </w:rPr>
      </w:pPr>
      <w:r>
        <w:rPr>
          <w:i/>
          <w:spacing w:val="50"/>
          <w:sz w:val="20"/>
          <w:u w:val="single" w:color="B6B6B6"/>
        </w:rPr>
        <w:t xml:space="preserve"> </w:t>
      </w:r>
      <w:r>
        <w:rPr>
          <w:i/>
          <w:spacing w:val="-4"/>
          <w:sz w:val="20"/>
          <w:u w:val="single" w:color="B6B6B6"/>
        </w:rPr>
        <w:t>bank:</w:t>
      </w:r>
      <w:r>
        <w:rPr>
          <w:i/>
          <w:sz w:val="20"/>
          <w:u w:val="single" w:color="B6B6B6"/>
        </w:rPr>
        <w:tab/>
      </w:r>
    </w:p>
    <w:p w:rsidR="00C31389" w:rsidRDefault="00561FBD" w14:paraId="313B6C2C" w14:textId="77777777">
      <w:pPr>
        <w:tabs>
          <w:tab w:val="left" w:pos="5032"/>
        </w:tabs>
        <w:spacing w:before="5" w:line="293" w:lineRule="exact"/>
        <w:ind w:left="1819"/>
        <w:rPr>
          <w:i/>
          <w:sz w:val="20"/>
        </w:rPr>
      </w:pPr>
      <w:r>
        <w:rPr>
          <w:i/>
          <w:sz w:val="20"/>
        </w:rPr>
        <w:t>Upsize</w:t>
      </w:r>
      <w:r>
        <w:rPr>
          <w:i/>
          <w:spacing w:val="-4"/>
          <w:sz w:val="20"/>
        </w:rPr>
        <w:t xml:space="preserve"> </w:t>
      </w:r>
      <w:r>
        <w:rPr>
          <w:i/>
          <w:sz w:val="20"/>
        </w:rPr>
        <w:t>feeder</w:t>
      </w:r>
      <w:r>
        <w:rPr>
          <w:i/>
          <w:spacing w:val="-2"/>
          <w:sz w:val="20"/>
        </w:rPr>
        <w:t xml:space="preserve"> cable:</w:t>
      </w:r>
      <w:r>
        <w:rPr>
          <w:i/>
          <w:sz w:val="20"/>
        </w:rPr>
        <w:tab/>
      </w:r>
      <w:r>
        <w:rPr>
          <w:i/>
          <w:spacing w:val="-2"/>
          <w:position w:val="12"/>
          <w:sz w:val="20"/>
        </w:rPr>
        <w:t>$1,000–</w:t>
      </w:r>
    </w:p>
    <w:p w:rsidR="00C31389" w:rsidRDefault="00561FBD" w14:paraId="4FB1B2B2" w14:textId="77777777">
      <w:pPr>
        <w:spacing w:line="173" w:lineRule="exact"/>
        <w:ind w:right="829"/>
        <w:jc w:val="right"/>
        <w:rPr>
          <w:i/>
          <w:sz w:val="20"/>
        </w:rPr>
      </w:pPr>
      <w:r>
        <w:rPr>
          <w:i/>
          <w:spacing w:val="-2"/>
          <w:sz w:val="20"/>
        </w:rPr>
        <w:t>$10,000</w:t>
      </w:r>
    </w:p>
    <w:p w:rsidR="00C31389" w:rsidRDefault="00561FBD" w14:paraId="66B1ED9E" w14:textId="77777777">
      <w:pPr>
        <w:spacing w:before="104" w:line="230" w:lineRule="exact"/>
        <w:ind w:left="1084"/>
        <w:rPr>
          <w:sz w:val="20"/>
        </w:rPr>
      </w:pPr>
      <w:r>
        <w:br w:type="column"/>
      </w:r>
      <w:r>
        <w:rPr>
          <w:sz w:val="20"/>
        </w:rPr>
        <w:t>number</w:t>
      </w:r>
      <w:r>
        <w:rPr>
          <w:spacing w:val="-4"/>
          <w:sz w:val="20"/>
        </w:rPr>
        <w:t xml:space="preserve"> </w:t>
      </w:r>
      <w:r>
        <w:rPr>
          <w:sz w:val="20"/>
        </w:rPr>
        <w:t>of</w:t>
      </w:r>
      <w:r>
        <w:rPr>
          <w:spacing w:val="-2"/>
          <w:sz w:val="20"/>
        </w:rPr>
        <w:t xml:space="preserve"> units.</w:t>
      </w:r>
    </w:p>
    <w:p w:rsidR="00C31389" w:rsidRDefault="00561FBD" w14:paraId="52F5C434" w14:textId="77777777">
      <w:pPr>
        <w:spacing w:line="230" w:lineRule="exact"/>
        <w:ind w:left="1084"/>
        <w:rPr>
          <w:sz w:val="20"/>
        </w:rPr>
      </w:pPr>
      <w:r>
        <w:rPr>
          <w:sz w:val="20"/>
        </w:rPr>
        <w:t>.</w:t>
      </w:r>
    </w:p>
    <w:p w:rsidR="00C31389" w:rsidRDefault="00C31389" w14:paraId="3974D7C2" w14:textId="77777777">
      <w:pPr>
        <w:spacing w:line="230" w:lineRule="exact"/>
        <w:rPr>
          <w:sz w:val="20"/>
        </w:rPr>
        <w:sectPr w:rsidR="00C31389">
          <w:type w:val="continuous"/>
          <w:pgSz w:w="11910" w:h="16840"/>
          <w:pgMar w:top="0" w:right="1020" w:bottom="280" w:left="960" w:header="397" w:footer="938" w:gutter="0"/>
          <w:cols w:equalWidth="0" w:space="720" w:num="2">
            <w:col w:w="6478" w:space="40"/>
            <w:col w:w="3412"/>
          </w:cols>
        </w:sectPr>
      </w:pPr>
    </w:p>
    <w:p w:rsidR="00C31389" w:rsidRDefault="00561FBD" w14:paraId="5285F149" w14:textId="77777777">
      <w:pPr>
        <w:ind w:left="1708" w:firstLine="110"/>
        <w:rPr>
          <w:i/>
          <w:sz w:val="20"/>
        </w:rPr>
      </w:pPr>
      <w:r>
        <w:rPr>
          <w:noProof/>
        </w:rPr>
        <mc:AlternateContent>
          <mc:Choice Requires="wps">
            <w:drawing>
              <wp:anchor distT="0" distB="0" distL="0" distR="0" simplePos="0" relativeHeight="15850496" behindDoc="0" locked="0" layoutInCell="1" allowOverlap="1" wp14:editId="64E7BBBB" wp14:anchorId="38C7D29E">
                <wp:simplePos x="0" y="0"/>
                <wp:positionH relativeFrom="page">
                  <wp:posOffset>608076</wp:posOffset>
                </wp:positionH>
                <wp:positionV relativeFrom="paragraph">
                  <wp:posOffset>291336</wp:posOffset>
                </wp:positionV>
                <wp:extent cx="6296025" cy="6350"/>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096"/>
                              </a:lnTo>
                              <a:lnTo>
                                <a:pt x="6295644" y="6096"/>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65" style="position:absolute;margin-left:47.9pt;margin-top:22.95pt;width:495.75pt;height:.5pt;z-index:15850496;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096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" w14:anchorId="3AFCB140">
                <v:path arrowok="t"/>
                <w10:wrap anchorx="page"/>
              </v:shape>
            </w:pict>
          </mc:Fallback>
        </mc:AlternateContent>
      </w:r>
      <w:r>
        <w:rPr>
          <w:i/>
          <w:sz w:val="20"/>
        </w:rPr>
        <w:t>Convert from single to three phase</w:t>
      </w:r>
      <w:r>
        <w:rPr>
          <w:i/>
          <w:spacing w:val="-10"/>
          <w:sz w:val="20"/>
        </w:rPr>
        <w:t xml:space="preserve"> </w:t>
      </w:r>
      <w:r>
        <w:rPr>
          <w:i/>
          <w:sz w:val="20"/>
        </w:rPr>
        <w:t>(depends</w:t>
      </w:r>
      <w:r>
        <w:rPr>
          <w:i/>
          <w:spacing w:val="-9"/>
          <w:sz w:val="20"/>
        </w:rPr>
        <w:t xml:space="preserve"> </w:t>
      </w:r>
      <w:r>
        <w:rPr>
          <w:i/>
          <w:sz w:val="20"/>
        </w:rPr>
        <w:t>on</w:t>
      </w:r>
      <w:r>
        <w:rPr>
          <w:i/>
          <w:spacing w:val="-10"/>
          <w:sz w:val="20"/>
        </w:rPr>
        <w:t xml:space="preserve"> </w:t>
      </w:r>
      <w:r>
        <w:rPr>
          <w:i/>
          <w:sz w:val="20"/>
        </w:rPr>
        <w:t>building</w:t>
      </w:r>
      <w:r>
        <w:rPr>
          <w:i/>
          <w:spacing w:val="-10"/>
          <w:sz w:val="20"/>
        </w:rPr>
        <w:t xml:space="preserve"> </w:t>
      </w:r>
      <w:r>
        <w:rPr>
          <w:i/>
          <w:sz w:val="20"/>
        </w:rPr>
        <w:t>size):</w:t>
      </w:r>
    </w:p>
    <w:p w:rsidR="00C31389" w:rsidRDefault="00561FBD" w14:paraId="7786661E" w14:textId="77777777">
      <w:pPr>
        <w:spacing w:line="220" w:lineRule="exact"/>
        <w:ind w:left="291"/>
        <w:rPr>
          <w:i/>
          <w:sz w:val="20"/>
        </w:rPr>
      </w:pPr>
      <w:r>
        <w:br w:type="column"/>
      </w:r>
      <w:r>
        <w:rPr>
          <w:i/>
          <w:spacing w:val="-2"/>
          <w:sz w:val="20"/>
        </w:rPr>
        <w:t>$10,000–</w:t>
      </w:r>
    </w:p>
    <w:p w:rsidR="00C31389" w:rsidRDefault="00561FBD" w14:paraId="7A087C9D" w14:textId="77777777">
      <w:pPr>
        <w:spacing w:line="230" w:lineRule="exact"/>
        <w:ind w:left="181"/>
        <w:rPr>
          <w:i/>
          <w:sz w:val="20"/>
        </w:rPr>
      </w:pPr>
      <w:r>
        <w:rPr>
          <w:i/>
          <w:spacing w:val="-2"/>
          <w:sz w:val="20"/>
        </w:rPr>
        <w:t>$100,000</w:t>
      </w:r>
    </w:p>
    <w:p w:rsidR="00C31389" w:rsidRDefault="00C31389" w14:paraId="32A18CA5" w14:textId="77777777">
      <w:pPr>
        <w:spacing w:line="230" w:lineRule="exact"/>
        <w:rPr>
          <w:sz w:val="20"/>
        </w:rPr>
        <w:sectPr w:rsidR="00C31389">
          <w:type w:val="continuous"/>
          <w:pgSz w:w="11910" w:h="16840"/>
          <w:pgMar w:top="0" w:right="1020" w:bottom="280" w:left="960" w:header="397" w:footer="938" w:gutter="0"/>
          <w:cols w:equalWidth="0" w:space="720" w:num="2">
            <w:col w:w="4702" w:space="40"/>
            <w:col w:w="5188"/>
          </w:cols>
        </w:sectPr>
      </w:pPr>
    </w:p>
    <w:p w:rsidR="00C31389" w:rsidRDefault="00C31389" w14:paraId="7A9D6849" w14:textId="77777777">
      <w:pPr>
        <w:pStyle w:val="BodyText"/>
        <w:rPr>
          <w:i/>
        </w:rPr>
      </w:pPr>
    </w:p>
    <w:p w:rsidR="00C31389" w:rsidRDefault="00C31389" w14:paraId="03B6AA44" w14:textId="77777777">
      <w:pPr>
        <w:pStyle w:val="BodyText"/>
        <w:rPr>
          <w:i/>
        </w:rPr>
      </w:pPr>
    </w:p>
    <w:p w:rsidR="00C31389" w:rsidRDefault="00C31389" w14:paraId="11AE9BFE" w14:textId="77777777">
      <w:pPr>
        <w:pStyle w:val="BodyText"/>
        <w:spacing w:before="11"/>
        <w:rPr>
          <w:i/>
          <w:sz w:val="25"/>
        </w:rPr>
      </w:pPr>
    </w:p>
    <w:p w:rsidR="00C31389" w:rsidRDefault="00561FBD" w14:paraId="72A315F8" w14:textId="77777777">
      <w:pPr>
        <w:ind w:left="105"/>
        <w:rPr>
          <w:sz w:val="20"/>
        </w:rPr>
      </w:pPr>
      <w:r>
        <w:rPr>
          <w:spacing w:val="-2"/>
          <w:sz w:val="20"/>
        </w:rPr>
        <w:t>Multifamily</w:t>
      </w:r>
    </w:p>
    <w:p w:rsidR="00C31389" w:rsidRDefault="00561FBD" w14:paraId="758EBBDC" w14:textId="77777777">
      <w:pPr>
        <w:tabs>
          <w:tab w:val="left" w:pos="3425"/>
        </w:tabs>
        <w:spacing w:before="24" w:line="151" w:lineRule="auto"/>
        <w:ind w:left="212"/>
        <w:rPr>
          <w:b/>
          <w:sz w:val="20"/>
        </w:rPr>
      </w:pPr>
      <w:r>
        <w:br w:type="column"/>
      </w:r>
      <w:r>
        <w:rPr>
          <w:b/>
          <w:spacing w:val="-2"/>
          <w:position w:val="-11"/>
          <w:sz w:val="20"/>
        </w:rPr>
        <w:t>Total:</w:t>
      </w:r>
      <w:r>
        <w:rPr>
          <w:b/>
          <w:position w:val="-11"/>
          <w:sz w:val="20"/>
        </w:rPr>
        <w:tab/>
      </w:r>
      <w:r>
        <w:rPr>
          <w:b/>
          <w:i/>
          <w:spacing w:val="-2"/>
          <w:sz w:val="20"/>
        </w:rPr>
        <w:t>$11,500</w:t>
      </w:r>
      <w:r>
        <w:rPr>
          <w:b/>
          <w:spacing w:val="-2"/>
          <w:sz w:val="20"/>
        </w:rPr>
        <w:t>–</w:t>
      </w:r>
    </w:p>
    <w:p w:rsidR="00C31389" w:rsidRDefault="00561FBD" w14:paraId="7FC9CEFE" w14:textId="77777777">
      <w:pPr>
        <w:tabs>
          <w:tab w:val="left" w:pos="3425"/>
          <w:tab w:val="left" w:pos="4981"/>
        </w:tabs>
        <w:spacing w:line="170" w:lineRule="exact"/>
        <w:ind w:left="105"/>
        <w:rPr>
          <w:b/>
          <w:i/>
          <w:sz w:val="20"/>
        </w:rPr>
      </w:pPr>
      <w:r>
        <w:rPr>
          <w:b/>
          <w:i/>
          <w:sz w:val="20"/>
          <w:u w:val="single" w:color="B6B6B6"/>
        </w:rPr>
        <w:tab/>
      </w:r>
      <w:r>
        <w:rPr>
          <w:b/>
          <w:i/>
          <w:spacing w:val="-2"/>
          <w:sz w:val="20"/>
          <w:u w:val="single" w:color="B6B6B6"/>
        </w:rPr>
        <w:t>$14,000</w:t>
      </w:r>
      <w:r>
        <w:rPr>
          <w:b/>
          <w:i/>
          <w:sz w:val="20"/>
          <w:u w:val="single" w:color="B6B6B6"/>
        </w:rPr>
        <w:tab/>
      </w:r>
    </w:p>
    <w:p w:rsidR="00C31389" w:rsidRDefault="00561FBD" w14:paraId="7C16F203" w14:textId="77777777">
      <w:pPr>
        <w:tabs>
          <w:tab w:val="left" w:pos="3536"/>
        </w:tabs>
        <w:spacing w:before="17"/>
        <w:ind w:left="322"/>
        <w:rPr>
          <w:i/>
          <w:sz w:val="20"/>
        </w:rPr>
      </w:pPr>
      <w:r>
        <w:rPr>
          <w:i/>
          <w:sz w:val="20"/>
        </w:rPr>
        <w:t>Electrical</w:t>
      </w:r>
      <w:r>
        <w:rPr>
          <w:i/>
          <w:spacing w:val="-6"/>
          <w:sz w:val="20"/>
        </w:rPr>
        <w:t xml:space="preserve"> </w:t>
      </w:r>
      <w:r>
        <w:rPr>
          <w:i/>
          <w:spacing w:val="-2"/>
          <w:sz w:val="20"/>
        </w:rPr>
        <w:t>wiring:</w:t>
      </w:r>
      <w:r>
        <w:rPr>
          <w:i/>
          <w:sz w:val="20"/>
        </w:rPr>
        <w:tab/>
      </w:r>
      <w:r>
        <w:rPr>
          <w:i/>
          <w:spacing w:val="-2"/>
          <w:sz w:val="20"/>
        </w:rPr>
        <w:t>$1,500</w:t>
      </w:r>
      <w:r>
        <w:rPr>
          <w:b/>
          <w:spacing w:val="-2"/>
          <w:sz w:val="20"/>
        </w:rPr>
        <w:t>–</w:t>
      </w:r>
      <w:r>
        <w:rPr>
          <w:i/>
          <w:spacing w:val="-2"/>
          <w:sz w:val="20"/>
        </w:rPr>
        <w:t>$2,000</w:t>
      </w:r>
    </w:p>
    <w:p w:rsidR="00C31389" w:rsidRDefault="00561FBD" w14:paraId="595C27C5" w14:textId="77777777">
      <w:pPr>
        <w:spacing w:before="78"/>
        <w:ind w:left="5378"/>
        <w:rPr>
          <w:sz w:val="20"/>
        </w:rPr>
      </w:pPr>
      <w:r>
        <w:rPr>
          <w:spacing w:val="-5"/>
          <w:sz w:val="20"/>
        </w:rPr>
        <w:t>12</w:t>
      </w:r>
    </w:p>
    <w:p w:rsidR="00C31389" w:rsidRDefault="00561FBD" w14:paraId="3F6E94F8" w14:textId="77777777">
      <w:pPr>
        <w:spacing w:before="17" w:line="104" w:lineRule="exact"/>
        <w:ind w:left="3536"/>
        <w:rPr>
          <w:b/>
          <w:sz w:val="20"/>
        </w:rPr>
      </w:pPr>
      <w:r>
        <w:rPr>
          <w:i/>
          <w:spacing w:val="-2"/>
          <w:sz w:val="20"/>
        </w:rPr>
        <w:t>$10,000</w:t>
      </w:r>
      <w:r>
        <w:rPr>
          <w:b/>
          <w:spacing w:val="-2"/>
          <w:sz w:val="20"/>
        </w:rPr>
        <w:t>–</w:t>
      </w:r>
    </w:p>
    <w:p w:rsidR="00C31389" w:rsidRDefault="00561FBD" w14:paraId="1055D739" w14:textId="77777777">
      <w:pPr>
        <w:ind w:left="105"/>
        <w:rPr>
          <w:sz w:val="20"/>
        </w:rPr>
      </w:pPr>
      <w:r>
        <w:br w:type="column"/>
      </w:r>
      <w:r>
        <w:rPr>
          <w:sz w:val="20"/>
        </w:rPr>
        <w:t>Interviewed five HVAC contractors</w:t>
      </w:r>
      <w:r>
        <w:rPr>
          <w:spacing w:val="-14"/>
          <w:sz w:val="20"/>
        </w:rPr>
        <w:t xml:space="preserve"> </w:t>
      </w:r>
      <w:r>
        <w:rPr>
          <w:sz w:val="20"/>
        </w:rPr>
        <w:t>experienced with gas furnace-to-HP retrofits in SF homes in CA; Could not recruit</w:t>
      </w:r>
    </w:p>
    <w:p w:rsidR="00C31389" w:rsidRDefault="00C31389" w14:paraId="482E531D" w14:textId="77777777">
      <w:pPr>
        <w:rPr>
          <w:sz w:val="20"/>
        </w:rPr>
        <w:sectPr w:rsidR="00C31389">
          <w:type w:val="continuous"/>
          <w:pgSz w:w="11910" w:h="16840"/>
          <w:pgMar w:top="0" w:right="1020" w:bottom="280" w:left="960" w:header="397" w:footer="938" w:gutter="0"/>
          <w:cols w:equalWidth="0" w:space="720" w:num="3">
            <w:col w:w="1091" w:space="406"/>
            <w:col w:w="5642" w:space="357"/>
            <w:col w:w="2434"/>
          </w:cols>
        </w:sectPr>
      </w:pPr>
    </w:p>
    <w:p w:rsidR="00C31389" w:rsidRDefault="00561FBD" w14:paraId="34375C39" w14:textId="77777777">
      <w:pPr>
        <w:spacing w:before="12"/>
        <w:ind w:left="1819"/>
        <w:rPr>
          <w:i/>
          <w:sz w:val="20"/>
        </w:rPr>
      </w:pPr>
      <w:r>
        <w:rPr>
          <w:i/>
          <w:sz w:val="20"/>
        </w:rPr>
        <w:t>Electrical</w:t>
      </w:r>
      <w:r>
        <w:rPr>
          <w:i/>
          <w:spacing w:val="-5"/>
          <w:sz w:val="20"/>
        </w:rPr>
        <w:t xml:space="preserve"> </w:t>
      </w:r>
      <w:r>
        <w:rPr>
          <w:i/>
          <w:sz w:val="20"/>
        </w:rPr>
        <w:t>panel</w:t>
      </w:r>
      <w:r>
        <w:rPr>
          <w:i/>
          <w:spacing w:val="-5"/>
          <w:sz w:val="20"/>
        </w:rPr>
        <w:t xml:space="preserve"> </w:t>
      </w:r>
      <w:r>
        <w:rPr>
          <w:i/>
          <w:spacing w:val="-2"/>
          <w:sz w:val="20"/>
        </w:rPr>
        <w:t>upgrade:</w:t>
      </w:r>
    </w:p>
    <w:p w:rsidR="00C31389" w:rsidRDefault="00C31389" w14:paraId="4AD9C4A2" w14:textId="77777777">
      <w:pPr>
        <w:pStyle w:val="BodyText"/>
        <w:rPr>
          <w:i/>
        </w:rPr>
      </w:pPr>
    </w:p>
    <w:p w:rsidR="00C31389" w:rsidRDefault="00C31389" w14:paraId="1F595119" w14:textId="77777777">
      <w:pPr>
        <w:pStyle w:val="BodyText"/>
        <w:spacing w:before="6"/>
        <w:rPr>
          <w:i/>
        </w:rPr>
      </w:pPr>
    </w:p>
    <w:p w:rsidR="00C31389" w:rsidRDefault="00561FBD" w14:paraId="4088E22E" w14:textId="77777777">
      <w:pPr>
        <w:ind w:left="480"/>
        <w:rPr>
          <w:i/>
          <w:sz w:val="18"/>
        </w:rPr>
      </w:pPr>
      <w:r>
        <w:rPr>
          <w:noProof/>
        </w:rPr>
        <mc:AlternateContent>
          <mc:Choice Requires="wps">
            <w:drawing>
              <wp:anchor distT="0" distB="0" distL="0" distR="0" simplePos="0" relativeHeight="15851008" behindDoc="0" locked="0" layoutInCell="1" allowOverlap="1" wp14:editId="56943999" wp14:anchorId="08E50F9A">
                <wp:simplePos x="0" y="0"/>
                <wp:positionH relativeFrom="page">
                  <wp:posOffset>608076</wp:posOffset>
                </wp:positionH>
                <wp:positionV relativeFrom="paragraph">
                  <wp:posOffset>-44439</wp:posOffset>
                </wp:positionV>
                <wp:extent cx="6296025" cy="6350"/>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350"/>
                        </a:xfrm>
                        <a:custGeom>
                          <a:avLst/>
                          <a:gdLst/>
                          <a:ahLst/>
                          <a:cxnLst/>
                          <a:rect l="l" t="t" r="r" b="b"/>
                          <a:pathLst>
                            <a:path w="6296025" h="6350">
                              <a:moveTo>
                                <a:pt x="6295644" y="0"/>
                              </a:moveTo>
                              <a:lnTo>
                                <a:pt x="6295644" y="0"/>
                              </a:lnTo>
                              <a:lnTo>
                                <a:pt x="0" y="0"/>
                              </a:lnTo>
                              <a:lnTo>
                                <a:pt x="0" y="6108"/>
                              </a:lnTo>
                              <a:lnTo>
                                <a:pt x="6295644" y="6108"/>
                              </a:lnTo>
                              <a:lnTo>
                                <a:pt x="6295644" y="0"/>
                              </a:lnTo>
                              <a:close/>
                            </a:path>
                          </a:pathLst>
                        </a:custGeom>
                        <a:solidFill>
                          <a:srgbClr val="B6B6B6"/>
                        </a:solidFill>
                      </wps:spPr>
                      <wps:bodyPr wrap="square" lIns="0" tIns="0" rIns="0" bIns="0" rtlCol="0">
                        <a:prstTxWarp prst="textNoShape">
                          <a:avLst/>
                        </a:prstTxWarp>
                        <a:noAutofit/>
                      </wps:bodyPr>
                    </wps:wsp>
                  </a:graphicData>
                </a:graphic>
              </wp:anchor>
            </w:drawing>
          </mc:Choice>
          <mc:Fallback>
            <w:pict>
              <v:shape id="Graphic 768" style="position:absolute;margin-left:47.9pt;margin-top:-3.5pt;width:495.75pt;height:.5pt;z-index:15851008;visibility:visible;mso-wrap-style:square;mso-wrap-distance-left:0;mso-wrap-distance-top:0;mso-wrap-distance-right:0;mso-wrap-distance-bottom:0;mso-position-horizontal:absolute;mso-position-horizontal-relative:page;mso-position-vertical:absolute;mso-position-vertical-relative:text;v-text-anchor:top" coordsize="6296025,6350" o:spid="_x0000_s1026" fillcolor="#b6b6b6" stroked="f" path="m6295644,r,l,,,6108r6295644,l62956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" w14:anchorId="4FE6E452">
                <v:path arrowok="t"/>
                <w10:wrap anchorx="page"/>
              </v:shape>
            </w:pict>
          </mc:Fallback>
        </mc:AlternateContent>
      </w: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561FBD" w14:paraId="5E59DE18" w14:textId="77777777">
      <w:pPr>
        <w:spacing w:before="127"/>
        <w:ind w:left="480"/>
        <w:rPr>
          <w:i/>
          <w:sz w:val="20"/>
        </w:rPr>
      </w:pPr>
      <w:r>
        <w:br w:type="column"/>
      </w:r>
      <w:r>
        <w:rPr>
          <w:i/>
          <w:spacing w:val="-2"/>
          <w:sz w:val="20"/>
        </w:rPr>
        <w:t>$12,000</w:t>
      </w:r>
    </w:p>
    <w:p w:rsidR="00C31389" w:rsidRDefault="00561FBD" w14:paraId="38AA2153" w14:textId="77777777">
      <w:pPr>
        <w:ind w:left="480"/>
        <w:rPr>
          <w:sz w:val="20"/>
        </w:rPr>
      </w:pPr>
      <w:r>
        <w:br w:type="column"/>
      </w:r>
      <w:r>
        <w:rPr>
          <w:sz w:val="20"/>
        </w:rPr>
        <w:t>contractors with experience</w:t>
      </w:r>
      <w:r>
        <w:rPr>
          <w:spacing w:val="-14"/>
          <w:sz w:val="20"/>
        </w:rPr>
        <w:t xml:space="preserve"> </w:t>
      </w:r>
      <w:r>
        <w:rPr>
          <w:sz w:val="20"/>
        </w:rPr>
        <w:t>in</w:t>
      </w:r>
      <w:r>
        <w:rPr>
          <w:spacing w:val="-14"/>
          <w:sz w:val="20"/>
        </w:rPr>
        <w:t xml:space="preserve"> </w:t>
      </w:r>
      <w:r>
        <w:rPr>
          <w:sz w:val="20"/>
        </w:rPr>
        <w:t xml:space="preserve">MF </w:t>
      </w:r>
      <w:r>
        <w:rPr>
          <w:spacing w:val="-2"/>
          <w:sz w:val="20"/>
        </w:rPr>
        <w:t>residences</w:t>
      </w:r>
    </w:p>
    <w:p w:rsidR="00C31389" w:rsidRDefault="00C31389" w14:paraId="71CD487D" w14:textId="77777777">
      <w:pPr>
        <w:rPr>
          <w:sz w:val="20"/>
        </w:rPr>
        <w:sectPr w:rsidR="00C31389">
          <w:type w:val="continuous"/>
          <w:pgSz w:w="11910" w:h="16840"/>
          <w:pgMar w:top="0" w:right="1020" w:bottom="280" w:left="960" w:header="397" w:footer="938" w:gutter="0"/>
          <w:cols w:equalWidth="0" w:space="720" w:num="3">
            <w:col w:w="4063" w:space="380"/>
            <w:col w:w="1244" w:space="1435"/>
            <w:col w:w="2808"/>
          </w:cols>
        </w:sectPr>
      </w:pPr>
    </w:p>
    <w:p w:rsidR="00C31389" w:rsidRDefault="00C31389" w14:paraId="6B62CD5B" w14:textId="77777777">
      <w:pPr>
        <w:pStyle w:val="BodyText"/>
        <w:spacing w:before="11"/>
        <w:rPr>
          <w:sz w:val="12"/>
        </w:rPr>
      </w:pPr>
    </w:p>
    <w:p w:rsidR="00C31389" w:rsidRDefault="00561FBD" w14:paraId="486D1644" w14:textId="77777777">
      <w:pPr>
        <w:pStyle w:val="ListParagraph"/>
        <w:numPr>
          <w:ilvl w:val="2"/>
          <w:numId w:val="21"/>
        </w:numPr>
        <w:tabs>
          <w:tab w:val="left" w:pos="1197"/>
        </w:tabs>
        <w:spacing w:before="92"/>
        <w:ind w:left="1197" w:hanging="717"/>
        <w:rPr>
          <w:b/>
          <w:sz w:val="24"/>
        </w:rPr>
      </w:pPr>
      <w:bookmarkStart w:name="C.2.2_Assessing_the_Basis_and_Need_for_P" w:id="377"/>
      <w:bookmarkStart w:name="_bookmark283" w:id="378"/>
      <w:bookmarkEnd w:id="377"/>
      <w:bookmarkEnd w:id="378"/>
      <w:r>
        <w:rPr>
          <w:b/>
          <w:sz w:val="24"/>
        </w:rPr>
        <w:t>Assessing</w:t>
      </w:r>
      <w:r>
        <w:rPr>
          <w:b/>
          <w:spacing w:val="-3"/>
          <w:sz w:val="24"/>
        </w:rPr>
        <w:t xml:space="preserve"> </w:t>
      </w:r>
      <w:r>
        <w:rPr>
          <w:b/>
          <w:sz w:val="24"/>
        </w:rPr>
        <w:t>the</w:t>
      </w:r>
      <w:r>
        <w:rPr>
          <w:b/>
          <w:spacing w:val="-3"/>
          <w:sz w:val="24"/>
        </w:rPr>
        <w:t xml:space="preserve"> </w:t>
      </w:r>
      <w:r>
        <w:rPr>
          <w:b/>
          <w:sz w:val="24"/>
        </w:rPr>
        <w:t>Basis</w:t>
      </w:r>
      <w:r>
        <w:rPr>
          <w:b/>
          <w:spacing w:val="-4"/>
          <w:sz w:val="24"/>
        </w:rPr>
        <w:t xml:space="preserve"> </w:t>
      </w:r>
      <w:r>
        <w:rPr>
          <w:b/>
          <w:sz w:val="24"/>
        </w:rPr>
        <w:t>and</w:t>
      </w:r>
      <w:r>
        <w:rPr>
          <w:b/>
          <w:spacing w:val="-3"/>
          <w:sz w:val="24"/>
        </w:rPr>
        <w:t xml:space="preserve"> </w:t>
      </w:r>
      <w:r>
        <w:rPr>
          <w:b/>
          <w:sz w:val="24"/>
        </w:rPr>
        <w:t>Need</w:t>
      </w:r>
      <w:r>
        <w:rPr>
          <w:b/>
          <w:spacing w:val="-3"/>
          <w:sz w:val="24"/>
        </w:rPr>
        <w:t xml:space="preserve"> </w:t>
      </w:r>
      <w:r>
        <w:rPr>
          <w:b/>
          <w:sz w:val="24"/>
        </w:rPr>
        <w:t>for</w:t>
      </w:r>
      <w:r>
        <w:rPr>
          <w:b/>
          <w:spacing w:val="-3"/>
          <w:sz w:val="24"/>
        </w:rPr>
        <w:t xml:space="preserve"> </w:t>
      </w:r>
      <w:r>
        <w:rPr>
          <w:b/>
          <w:sz w:val="24"/>
        </w:rPr>
        <w:t>Panel</w:t>
      </w:r>
      <w:r>
        <w:rPr>
          <w:b/>
          <w:spacing w:val="-1"/>
          <w:sz w:val="24"/>
        </w:rPr>
        <w:t xml:space="preserve"> </w:t>
      </w:r>
      <w:r>
        <w:rPr>
          <w:b/>
          <w:spacing w:val="-2"/>
          <w:sz w:val="24"/>
        </w:rPr>
        <w:t>Upgrades</w:t>
      </w:r>
    </w:p>
    <w:p w:rsidR="00C31389" w:rsidRDefault="00C31389" w14:paraId="1BFC126F" w14:textId="77777777">
      <w:pPr>
        <w:pStyle w:val="BodyText"/>
        <w:spacing w:before="8"/>
        <w:rPr>
          <w:b/>
          <w:sz w:val="20"/>
        </w:rPr>
      </w:pPr>
    </w:p>
    <w:p w:rsidR="00C31389" w:rsidRDefault="00561FBD" w14:paraId="305BFD19" w14:textId="77777777">
      <w:pPr>
        <w:pStyle w:val="BodyText"/>
        <w:ind w:left="480" w:right="418" w:hanging="1"/>
      </w:pPr>
      <w:r>
        <w:t>Not</w:t>
      </w:r>
      <w:r>
        <w:rPr>
          <w:spacing w:val="-3"/>
        </w:rPr>
        <w:t xml:space="preserve"> </w:t>
      </w:r>
      <w:r>
        <w:t>every</w:t>
      </w:r>
      <w:r>
        <w:rPr>
          <w:spacing w:val="-3"/>
        </w:rPr>
        <w:t xml:space="preserve"> </w:t>
      </w:r>
      <w:r>
        <w:t>FS</w:t>
      </w:r>
      <w:r>
        <w:rPr>
          <w:spacing w:val="-3"/>
        </w:rPr>
        <w:t xml:space="preserve"> </w:t>
      </w:r>
      <w:r>
        <w:t>installation</w:t>
      </w:r>
      <w:r>
        <w:rPr>
          <w:spacing w:val="-3"/>
        </w:rPr>
        <w:t xml:space="preserve"> </w:t>
      </w:r>
      <w:r>
        <w:t>will</w:t>
      </w:r>
      <w:r>
        <w:rPr>
          <w:spacing w:val="-3"/>
        </w:rPr>
        <w:t xml:space="preserve"> </w:t>
      </w:r>
      <w:r>
        <w:t>require</w:t>
      </w:r>
      <w:r>
        <w:rPr>
          <w:spacing w:val="-3"/>
        </w:rPr>
        <w:t xml:space="preserve"> </w:t>
      </w:r>
      <w:r>
        <w:t>an</w:t>
      </w:r>
      <w:r>
        <w:rPr>
          <w:spacing w:val="-3"/>
        </w:rPr>
        <w:t xml:space="preserve"> </w:t>
      </w:r>
      <w:r>
        <w:t>upgrade</w:t>
      </w:r>
      <w:r>
        <w:rPr>
          <w:spacing w:val="-3"/>
        </w:rPr>
        <w:t xml:space="preserve"> </w:t>
      </w:r>
      <w:r>
        <w:t>to</w:t>
      </w:r>
      <w:r>
        <w:rPr>
          <w:spacing w:val="-3"/>
        </w:rPr>
        <w:t xml:space="preserve"> </w:t>
      </w:r>
      <w:r>
        <w:t>the</w:t>
      </w:r>
      <w:r>
        <w:rPr>
          <w:spacing w:val="-3"/>
        </w:rPr>
        <w:t xml:space="preserve"> </w:t>
      </w:r>
      <w:r>
        <w:t>home</w:t>
      </w:r>
      <w:r>
        <w:rPr>
          <w:spacing w:val="-3"/>
        </w:rPr>
        <w:t xml:space="preserve"> </w:t>
      </w:r>
      <w:r>
        <w:t>electrical</w:t>
      </w:r>
      <w:r>
        <w:rPr>
          <w:spacing w:val="-4"/>
        </w:rPr>
        <w:t xml:space="preserve"> </w:t>
      </w:r>
      <w:r>
        <w:t>panel.</w:t>
      </w:r>
      <w:r>
        <w:rPr>
          <w:spacing w:val="-3"/>
        </w:rPr>
        <w:t xml:space="preserve"> </w:t>
      </w:r>
      <w:r>
        <w:t>Factors</w:t>
      </w:r>
      <w:r>
        <w:rPr>
          <w:spacing w:val="-3"/>
        </w:rPr>
        <w:t xml:space="preserve"> </w:t>
      </w:r>
      <w:r>
        <w:t xml:space="preserve">that may </w:t>
      </w:r>
      <w:r>
        <w:t>affect panel upgrade requirements include:</w:t>
      </w:r>
    </w:p>
    <w:p w:rsidR="00C31389" w:rsidRDefault="00C31389" w14:paraId="54097A94" w14:textId="77777777">
      <w:pPr>
        <w:pStyle w:val="BodyText"/>
        <w:spacing w:before="10"/>
        <w:rPr>
          <w:sz w:val="20"/>
        </w:rPr>
      </w:pPr>
    </w:p>
    <w:p w:rsidR="00C31389" w:rsidRDefault="00561FBD" w14:paraId="0AB05915" w14:textId="77777777">
      <w:pPr>
        <w:pStyle w:val="ListParagraph"/>
        <w:numPr>
          <w:ilvl w:val="3"/>
          <w:numId w:val="21"/>
        </w:numPr>
        <w:tabs>
          <w:tab w:val="left" w:pos="1200"/>
        </w:tabs>
        <w:ind w:right="421"/>
      </w:pPr>
      <w:r>
        <w:rPr>
          <w:b/>
        </w:rPr>
        <w:t xml:space="preserve">Size of the existing panel. </w:t>
      </w:r>
      <w:r>
        <w:t>A study by Pecan Street cited the National Fire Protection Association’s (NFPA) National Electric Code (NEC), which requires</w:t>
      </w:r>
      <w:r>
        <w:rPr>
          <w:spacing w:val="40"/>
        </w:rPr>
        <w:t xml:space="preserve"> </w:t>
      </w:r>
      <w:r>
        <w:t xml:space="preserve">electric panels to be of sufficient size to serve a </w:t>
      </w:r>
      <w:r>
        <w:t>home’s electrical loads. The study built</w:t>
      </w:r>
      <w:r>
        <w:rPr>
          <w:spacing w:val="-3"/>
        </w:rPr>
        <w:t xml:space="preserve"> </w:t>
      </w:r>
      <w:r>
        <w:t>a</w:t>
      </w:r>
      <w:r>
        <w:rPr>
          <w:spacing w:val="-3"/>
        </w:rPr>
        <w:t xml:space="preserve"> </w:t>
      </w:r>
      <w:r>
        <w:t>model</w:t>
      </w:r>
      <w:r>
        <w:rPr>
          <w:spacing w:val="-3"/>
        </w:rPr>
        <w:t xml:space="preserve"> </w:t>
      </w:r>
      <w:r>
        <w:t>to</w:t>
      </w:r>
      <w:r>
        <w:rPr>
          <w:spacing w:val="-3"/>
        </w:rPr>
        <w:t xml:space="preserve"> </w:t>
      </w:r>
      <w:r>
        <w:t>assess</w:t>
      </w:r>
      <w:r>
        <w:rPr>
          <w:spacing w:val="-4"/>
        </w:rPr>
        <w:t xml:space="preserve"> </w:t>
      </w:r>
      <w:r>
        <w:t>whether</w:t>
      </w:r>
      <w:r>
        <w:rPr>
          <w:spacing w:val="-3"/>
        </w:rPr>
        <w:t xml:space="preserve"> </w:t>
      </w:r>
      <w:r>
        <w:t>adding</w:t>
      </w:r>
      <w:r>
        <w:rPr>
          <w:spacing w:val="-3"/>
        </w:rPr>
        <w:t xml:space="preserve"> </w:t>
      </w:r>
      <w:r>
        <w:t>an</w:t>
      </w:r>
      <w:r>
        <w:rPr>
          <w:spacing w:val="-3"/>
        </w:rPr>
        <w:t xml:space="preserve"> </w:t>
      </w:r>
      <w:r>
        <w:t>electrical</w:t>
      </w:r>
      <w:r>
        <w:rPr>
          <w:spacing w:val="-3"/>
        </w:rPr>
        <w:t xml:space="preserve"> </w:t>
      </w:r>
      <w:r>
        <w:t>load</w:t>
      </w:r>
      <w:r>
        <w:rPr>
          <w:spacing w:val="-4"/>
        </w:rPr>
        <w:t xml:space="preserve"> </w:t>
      </w:r>
      <w:r>
        <w:t>through</w:t>
      </w:r>
      <w:r>
        <w:rPr>
          <w:spacing w:val="-3"/>
        </w:rPr>
        <w:t xml:space="preserve"> </w:t>
      </w:r>
      <w:r>
        <w:t>electrification</w:t>
      </w:r>
      <w:r>
        <w:rPr>
          <w:spacing w:val="-3"/>
        </w:rPr>
        <w:t xml:space="preserve"> </w:t>
      </w:r>
      <w:r>
        <w:t>would exceed the current panel’s capacity, thus requiring a panel upgrade [16]. This study observed</w:t>
      </w:r>
      <w:r>
        <w:rPr>
          <w:spacing w:val="-3"/>
        </w:rPr>
        <w:t xml:space="preserve"> </w:t>
      </w:r>
      <w:r>
        <w:t>that</w:t>
      </w:r>
      <w:r>
        <w:rPr>
          <w:spacing w:val="-3"/>
        </w:rPr>
        <w:t xml:space="preserve"> </w:t>
      </w:r>
      <w:r>
        <w:t>most</w:t>
      </w:r>
      <w:r>
        <w:rPr>
          <w:spacing w:val="-3"/>
        </w:rPr>
        <w:t xml:space="preserve"> </w:t>
      </w:r>
      <w:r>
        <w:t>homes</w:t>
      </w:r>
      <w:r>
        <w:rPr>
          <w:spacing w:val="-3"/>
        </w:rPr>
        <w:t xml:space="preserve"> </w:t>
      </w:r>
      <w:r>
        <w:t>with</w:t>
      </w:r>
      <w:r>
        <w:rPr>
          <w:spacing w:val="-3"/>
        </w:rPr>
        <w:t xml:space="preserve"> </w:t>
      </w:r>
      <w:r>
        <w:t>100</w:t>
      </w:r>
      <w:r>
        <w:rPr>
          <w:spacing w:val="-4"/>
        </w:rPr>
        <w:t xml:space="preserve"> </w:t>
      </w:r>
      <w:r>
        <w:t>amp</w:t>
      </w:r>
      <w:r>
        <w:rPr>
          <w:spacing w:val="-3"/>
        </w:rPr>
        <w:t xml:space="preserve"> </w:t>
      </w:r>
      <w:r>
        <w:t>panels</w:t>
      </w:r>
      <w:r>
        <w:rPr>
          <w:spacing w:val="-3"/>
        </w:rPr>
        <w:t xml:space="preserve"> </w:t>
      </w:r>
      <w:r>
        <w:t>wou</w:t>
      </w:r>
      <w:r>
        <w:t>ld</w:t>
      </w:r>
      <w:r>
        <w:rPr>
          <w:spacing w:val="-3"/>
        </w:rPr>
        <w:t xml:space="preserve"> </w:t>
      </w:r>
      <w:r>
        <w:t>need</w:t>
      </w:r>
      <w:r>
        <w:rPr>
          <w:spacing w:val="-3"/>
        </w:rPr>
        <w:t xml:space="preserve"> </w:t>
      </w:r>
      <w:r>
        <w:t>to</w:t>
      </w:r>
      <w:r>
        <w:rPr>
          <w:spacing w:val="-3"/>
        </w:rPr>
        <w:t xml:space="preserve"> </w:t>
      </w:r>
      <w:r>
        <w:t>upgrade</w:t>
      </w:r>
      <w:r>
        <w:rPr>
          <w:spacing w:val="-3"/>
        </w:rPr>
        <w:t xml:space="preserve"> </w:t>
      </w:r>
      <w:r>
        <w:t>their</w:t>
      </w:r>
      <w:r>
        <w:rPr>
          <w:spacing w:val="-3"/>
        </w:rPr>
        <w:t xml:space="preserve"> </w:t>
      </w:r>
      <w:r>
        <w:t>panel</w:t>
      </w:r>
      <w:r>
        <w:rPr>
          <w:spacing w:val="-3"/>
        </w:rPr>
        <w:t xml:space="preserve"> </w:t>
      </w:r>
      <w:r>
        <w:t>to fully electrify, but most homes with 200 amp panels would not.</w:t>
      </w:r>
    </w:p>
    <w:p w:rsidR="00C31389" w:rsidRDefault="00C31389" w14:paraId="2A5641E3" w14:textId="77777777">
      <w:pPr>
        <w:pStyle w:val="BodyText"/>
        <w:spacing w:before="9"/>
        <w:rPr>
          <w:sz w:val="20"/>
        </w:rPr>
      </w:pPr>
    </w:p>
    <w:p w:rsidR="00C31389" w:rsidRDefault="00561FBD" w14:paraId="4A2A7157" w14:textId="77777777">
      <w:pPr>
        <w:pStyle w:val="BodyText"/>
        <w:ind w:left="1200" w:right="615"/>
      </w:pPr>
      <w:r>
        <w:t>Several</w:t>
      </w:r>
      <w:r>
        <w:rPr>
          <w:spacing w:val="-4"/>
        </w:rPr>
        <w:t xml:space="preserve"> </w:t>
      </w:r>
      <w:r>
        <w:t>sources</w:t>
      </w:r>
      <w:r>
        <w:rPr>
          <w:spacing w:val="-4"/>
        </w:rPr>
        <w:t xml:space="preserve"> </w:t>
      </w:r>
      <w:r>
        <w:t>contained</w:t>
      </w:r>
      <w:r>
        <w:rPr>
          <w:spacing w:val="-4"/>
        </w:rPr>
        <w:t xml:space="preserve"> </w:t>
      </w:r>
      <w:r>
        <w:t>data</w:t>
      </w:r>
      <w:r>
        <w:rPr>
          <w:spacing w:val="-4"/>
        </w:rPr>
        <w:t xml:space="preserve"> </w:t>
      </w:r>
      <w:r>
        <w:t>on</w:t>
      </w:r>
      <w:r>
        <w:rPr>
          <w:spacing w:val="-4"/>
        </w:rPr>
        <w:t xml:space="preserve"> </w:t>
      </w:r>
      <w:r>
        <w:t>the</w:t>
      </w:r>
      <w:r>
        <w:rPr>
          <w:spacing w:val="-4"/>
        </w:rPr>
        <w:t xml:space="preserve"> </w:t>
      </w:r>
      <w:r>
        <w:t>distribution</w:t>
      </w:r>
      <w:r>
        <w:rPr>
          <w:spacing w:val="-4"/>
        </w:rPr>
        <w:t xml:space="preserve"> </w:t>
      </w:r>
      <w:r>
        <w:t>of</w:t>
      </w:r>
      <w:r>
        <w:rPr>
          <w:spacing w:val="-4"/>
        </w:rPr>
        <w:t xml:space="preserve"> </w:t>
      </w:r>
      <w:r>
        <w:t>homes</w:t>
      </w:r>
      <w:r>
        <w:rPr>
          <w:spacing w:val="-4"/>
        </w:rPr>
        <w:t xml:space="preserve"> </w:t>
      </w:r>
      <w:r>
        <w:t>by</w:t>
      </w:r>
      <w:r>
        <w:rPr>
          <w:spacing w:val="-4"/>
        </w:rPr>
        <w:t xml:space="preserve"> </w:t>
      </w:r>
      <w:r>
        <w:t>panel</w:t>
      </w:r>
      <w:r>
        <w:rPr>
          <w:spacing w:val="-4"/>
        </w:rPr>
        <w:t xml:space="preserve"> </w:t>
      </w:r>
      <w:r>
        <w:t>size.</w:t>
      </w:r>
      <w:r>
        <w:rPr>
          <w:spacing w:val="-4"/>
        </w:rPr>
        <w:t xml:space="preserve"> </w:t>
      </w:r>
      <w:r>
        <w:t xml:space="preserve">The Pecan Street study reported the following distribution among a sample of </w:t>
      </w:r>
      <w:r>
        <w:lastRenderedPageBreak/>
        <w:t>approx</w:t>
      </w:r>
      <w:r>
        <w:t>imately 250 single-family homes [16]:</w:t>
      </w:r>
    </w:p>
    <w:p w:rsidR="00C31389" w:rsidRDefault="00C31389" w14:paraId="594AE235" w14:textId="77777777">
      <w:pPr>
        <w:pStyle w:val="BodyText"/>
        <w:spacing w:before="11"/>
        <w:rPr>
          <w:sz w:val="20"/>
        </w:rPr>
      </w:pPr>
    </w:p>
    <w:p w:rsidR="00C31389" w:rsidRDefault="00561FBD" w14:paraId="28D4EFA9" w14:textId="77777777">
      <w:pPr>
        <w:pStyle w:val="BodyText"/>
        <w:ind w:left="1559"/>
      </w:pPr>
      <w:r>
        <w:rPr>
          <w:rFonts w:ascii="Courier New"/>
        </w:rPr>
        <w:t>o</w:t>
      </w:r>
      <w:r>
        <w:rPr>
          <w:rFonts w:ascii="Courier New"/>
          <w:spacing w:val="21"/>
          <w:w w:val="150"/>
        </w:rPr>
        <w:t xml:space="preserve"> </w:t>
      </w:r>
      <w:r>
        <w:t>&lt;=</w:t>
      </w:r>
      <w:r>
        <w:rPr>
          <w:spacing w:val="-2"/>
        </w:rPr>
        <w:t xml:space="preserve"> </w:t>
      </w:r>
      <w:r>
        <w:t>125</w:t>
      </w:r>
      <w:r>
        <w:rPr>
          <w:spacing w:val="-2"/>
        </w:rPr>
        <w:t xml:space="preserve"> </w:t>
      </w:r>
      <w:r>
        <w:t>amps:</w:t>
      </w:r>
      <w:r>
        <w:rPr>
          <w:spacing w:val="-2"/>
        </w:rPr>
        <w:t xml:space="preserve"> </w:t>
      </w:r>
      <w:r>
        <w:rPr>
          <w:spacing w:val="-5"/>
        </w:rPr>
        <w:t>47%</w:t>
      </w:r>
    </w:p>
    <w:p w:rsidR="00C31389" w:rsidRDefault="00C31389" w14:paraId="0BFAE929" w14:textId="77777777">
      <w:pPr>
        <w:pStyle w:val="BodyText"/>
        <w:rPr>
          <w:sz w:val="20"/>
        </w:rPr>
      </w:pPr>
    </w:p>
    <w:p w:rsidR="00C31389" w:rsidRDefault="00561FBD" w14:paraId="33CF774D" w14:textId="77777777">
      <w:pPr>
        <w:pStyle w:val="BodyText"/>
        <w:spacing w:before="5"/>
        <w:rPr>
          <w:sz w:val="10"/>
        </w:rPr>
      </w:pPr>
      <w:r>
        <w:rPr>
          <w:noProof/>
        </w:rPr>
        <mc:AlternateContent>
          <mc:Choice Requires="wps">
            <w:drawing>
              <wp:anchor distT="0" distB="0" distL="0" distR="0" simplePos="0" relativeHeight="487705088" behindDoc="1" locked="0" layoutInCell="1" allowOverlap="1" wp14:editId="34E59AE0" wp14:anchorId="0F727455">
                <wp:simplePos x="0" y="0"/>
                <wp:positionH relativeFrom="page">
                  <wp:posOffset>914400</wp:posOffset>
                </wp:positionH>
                <wp:positionV relativeFrom="paragraph">
                  <wp:posOffset>91698</wp:posOffset>
                </wp:positionV>
                <wp:extent cx="1828800" cy="6985"/>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69" style="position:absolute;margin-left:1in;margin-top:7.2pt;width:2in;height:.55pt;z-index:-1561139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" w14:anchorId="254C37A5">
                <v:path arrowok="t"/>
                <w10:wrap type="topAndBottom" anchorx="page"/>
              </v:shape>
            </w:pict>
          </mc:Fallback>
        </mc:AlternateContent>
      </w:r>
    </w:p>
    <w:p w:rsidR="00C31389" w:rsidRDefault="00561FBD" w14:paraId="3920A1A9" w14:textId="77777777">
      <w:pPr>
        <w:spacing w:before="88"/>
        <w:ind w:left="479" w:right="505"/>
        <w:rPr>
          <w:sz w:val="18"/>
        </w:rPr>
      </w:pPr>
      <w:bookmarkStart w:name="_bookmark284" w:id="379"/>
      <w:bookmarkEnd w:id="379"/>
      <w:r>
        <w:rPr>
          <w:position w:val="6"/>
          <w:sz w:val="12"/>
        </w:rPr>
        <w:t>85</w:t>
      </w:r>
      <w:r>
        <w:rPr>
          <w:spacing w:val="24"/>
          <w:position w:val="6"/>
          <w:sz w:val="12"/>
        </w:rPr>
        <w:t xml:space="preserve"> </w:t>
      </w:r>
      <w:r>
        <w:rPr>
          <w:sz w:val="18"/>
        </w:rPr>
        <w:t>The lower cost limit represents a typical multifamily building (20 or fewer units) that doesn’t have major upgrade</w:t>
      </w:r>
      <w:r>
        <w:rPr>
          <w:spacing w:val="-2"/>
          <w:sz w:val="18"/>
        </w:rPr>
        <w:t xml:space="preserve"> </w:t>
      </w:r>
      <w:r>
        <w:rPr>
          <w:sz w:val="18"/>
        </w:rPr>
        <w:t>hurdles.</w:t>
      </w:r>
      <w:r>
        <w:rPr>
          <w:spacing w:val="-3"/>
          <w:sz w:val="18"/>
        </w:rPr>
        <w:t xml:space="preserve"> </w:t>
      </w:r>
      <w:r>
        <w:rPr>
          <w:sz w:val="18"/>
        </w:rPr>
        <w:t>The</w:t>
      </w:r>
      <w:r>
        <w:rPr>
          <w:spacing w:val="-4"/>
          <w:sz w:val="18"/>
        </w:rPr>
        <w:t xml:space="preserve"> </w:t>
      </w:r>
      <w:r>
        <w:rPr>
          <w:sz w:val="18"/>
        </w:rPr>
        <w:t>upper</w:t>
      </w:r>
      <w:r>
        <w:rPr>
          <w:spacing w:val="-3"/>
          <w:sz w:val="18"/>
        </w:rPr>
        <w:t xml:space="preserve"> </w:t>
      </w:r>
      <w:r>
        <w:rPr>
          <w:sz w:val="18"/>
        </w:rPr>
        <w:t>limits</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cost</w:t>
      </w:r>
      <w:r>
        <w:rPr>
          <w:spacing w:val="-3"/>
          <w:sz w:val="18"/>
        </w:rPr>
        <w:t xml:space="preserve"> </w:t>
      </w:r>
      <w:r>
        <w:rPr>
          <w:sz w:val="18"/>
        </w:rPr>
        <w:t>ranges</w:t>
      </w:r>
      <w:r>
        <w:rPr>
          <w:spacing w:val="-3"/>
          <w:sz w:val="18"/>
        </w:rPr>
        <w:t xml:space="preserve"> </w:t>
      </w:r>
      <w:r>
        <w:rPr>
          <w:sz w:val="18"/>
        </w:rPr>
        <w:t>represent</w:t>
      </w:r>
      <w:r>
        <w:rPr>
          <w:spacing w:val="-3"/>
          <w:sz w:val="18"/>
        </w:rPr>
        <w:t xml:space="preserve"> </w:t>
      </w:r>
      <w:r>
        <w:rPr>
          <w:sz w:val="18"/>
        </w:rPr>
        <w:t>more</w:t>
      </w:r>
      <w:r>
        <w:rPr>
          <w:spacing w:val="-4"/>
          <w:sz w:val="18"/>
        </w:rPr>
        <w:t xml:space="preserve"> </w:t>
      </w:r>
      <w:r>
        <w:rPr>
          <w:sz w:val="18"/>
        </w:rPr>
        <w:t>complicated</w:t>
      </w:r>
      <w:r>
        <w:rPr>
          <w:spacing w:val="-4"/>
          <w:sz w:val="18"/>
        </w:rPr>
        <w:t xml:space="preserve"> </w:t>
      </w:r>
      <w:r>
        <w:rPr>
          <w:sz w:val="18"/>
        </w:rPr>
        <w:t>upgrades</w:t>
      </w:r>
      <w:r>
        <w:rPr>
          <w:spacing w:val="-3"/>
          <w:sz w:val="18"/>
        </w:rPr>
        <w:t xml:space="preserve"> </w:t>
      </w:r>
      <w:r>
        <w:rPr>
          <w:sz w:val="18"/>
        </w:rPr>
        <w:t>typically</w:t>
      </w:r>
      <w:r>
        <w:rPr>
          <w:spacing w:val="-3"/>
          <w:sz w:val="18"/>
        </w:rPr>
        <w:t xml:space="preserve"> </w:t>
      </w:r>
      <w:r>
        <w:rPr>
          <w:sz w:val="18"/>
        </w:rPr>
        <w:t>associated with commercial or large multifamily properties.</w:t>
      </w:r>
    </w:p>
    <w:p w:rsidR="00C31389" w:rsidRDefault="00C31389" w14:paraId="33E69E52" w14:textId="77777777">
      <w:pPr>
        <w:rPr>
          <w:sz w:val="18"/>
        </w:rPr>
        <w:sectPr w:rsidR="00C31389">
          <w:type w:val="continuous"/>
          <w:pgSz w:w="11910" w:h="16840"/>
          <w:pgMar w:top="0" w:right="1020" w:bottom="280" w:left="960" w:header="397" w:footer="938" w:gutter="0"/>
          <w:cols w:space="720"/>
        </w:sectPr>
      </w:pPr>
    </w:p>
    <w:p w:rsidR="00C31389" w:rsidRDefault="00C31389" w14:paraId="31548608" w14:textId="77777777">
      <w:pPr>
        <w:pStyle w:val="BodyText"/>
      </w:pPr>
    </w:p>
    <w:p w:rsidR="00C31389" w:rsidRDefault="00C31389" w14:paraId="21BB9E89" w14:textId="77777777">
      <w:pPr>
        <w:pStyle w:val="BodyText"/>
        <w:spacing w:before="10"/>
        <w:rPr>
          <w:sz w:val="13"/>
        </w:rPr>
      </w:pPr>
    </w:p>
    <w:p w:rsidR="00C31389" w:rsidRDefault="00561FBD" w14:paraId="35BDAA03" w14:textId="77777777">
      <w:pPr>
        <w:pStyle w:val="ListParagraph"/>
        <w:numPr>
          <w:ilvl w:val="4"/>
          <w:numId w:val="21"/>
        </w:numPr>
        <w:tabs>
          <w:tab w:val="left" w:pos="1919"/>
        </w:tabs>
        <w:spacing w:before="93"/>
        <w:ind w:hanging="359"/>
      </w:pPr>
      <w:r>
        <w:t>&gt;125</w:t>
      </w:r>
      <w:r>
        <w:rPr>
          <w:spacing w:val="-6"/>
        </w:rPr>
        <w:t xml:space="preserve"> </w:t>
      </w:r>
      <w:r>
        <w:t>amps</w:t>
      </w:r>
      <w:r>
        <w:rPr>
          <w:spacing w:val="-5"/>
        </w:rPr>
        <w:t xml:space="preserve"> </w:t>
      </w:r>
      <w:r>
        <w:t>and</w:t>
      </w:r>
      <w:r>
        <w:rPr>
          <w:spacing w:val="-6"/>
        </w:rPr>
        <w:t xml:space="preserve"> </w:t>
      </w:r>
      <w:r>
        <w:t>&lt;200</w:t>
      </w:r>
      <w:r>
        <w:rPr>
          <w:spacing w:val="-5"/>
        </w:rPr>
        <w:t xml:space="preserve"> </w:t>
      </w:r>
      <w:r>
        <w:t>amps:</w:t>
      </w:r>
      <w:r>
        <w:rPr>
          <w:spacing w:val="-5"/>
        </w:rPr>
        <w:t xml:space="preserve"> 12%</w:t>
      </w:r>
    </w:p>
    <w:p w:rsidR="00C31389" w:rsidRDefault="00561FBD" w14:paraId="4830106D" w14:textId="77777777">
      <w:pPr>
        <w:pStyle w:val="ListParagraph"/>
        <w:numPr>
          <w:ilvl w:val="4"/>
          <w:numId w:val="21"/>
        </w:numPr>
        <w:tabs>
          <w:tab w:val="left" w:pos="1918"/>
        </w:tabs>
        <w:spacing w:before="220"/>
        <w:ind w:left="1918" w:hanging="359"/>
      </w:pPr>
      <w:r>
        <w:t>&gt;=</w:t>
      </w:r>
      <w:r>
        <w:rPr>
          <w:spacing w:val="-5"/>
        </w:rPr>
        <w:t xml:space="preserve"> </w:t>
      </w:r>
      <w:r>
        <w:t>200</w:t>
      </w:r>
      <w:r>
        <w:rPr>
          <w:spacing w:val="-4"/>
        </w:rPr>
        <w:t xml:space="preserve"> </w:t>
      </w:r>
      <w:r>
        <w:t>amps:</w:t>
      </w:r>
      <w:r>
        <w:rPr>
          <w:spacing w:val="-5"/>
        </w:rPr>
        <w:t xml:space="preserve"> 41%</w:t>
      </w:r>
    </w:p>
    <w:p w:rsidR="00C31389" w:rsidRDefault="00561FBD" w14:paraId="76F30F8B" w14:textId="77777777">
      <w:pPr>
        <w:pStyle w:val="BodyText"/>
        <w:spacing w:before="220"/>
        <w:ind w:left="1199"/>
      </w:pPr>
      <w:r>
        <w:t>Analysis</w:t>
      </w:r>
      <w:r>
        <w:rPr>
          <w:spacing w:val="-7"/>
        </w:rPr>
        <w:t xml:space="preserve"> </w:t>
      </w:r>
      <w:r>
        <w:t>by</w:t>
      </w:r>
      <w:r>
        <w:rPr>
          <w:spacing w:val="-8"/>
        </w:rPr>
        <w:t xml:space="preserve"> </w:t>
      </w:r>
      <w:r>
        <w:t>BayREN</w:t>
      </w:r>
      <w:r>
        <w:rPr>
          <w:spacing w:val="-8"/>
        </w:rPr>
        <w:t xml:space="preserve"> </w:t>
      </w:r>
      <w:r>
        <w:t>based</w:t>
      </w:r>
      <w:r>
        <w:rPr>
          <w:spacing w:val="-6"/>
        </w:rPr>
        <w:t xml:space="preserve"> </w:t>
      </w:r>
      <w:r>
        <w:t>on</w:t>
      </w:r>
      <w:r>
        <w:rPr>
          <w:spacing w:val="-7"/>
        </w:rPr>
        <w:t xml:space="preserve"> </w:t>
      </w:r>
      <w:r>
        <w:t>visual</w:t>
      </w:r>
      <w:r>
        <w:rPr>
          <w:spacing w:val="-7"/>
        </w:rPr>
        <w:t xml:space="preserve"> </w:t>
      </w:r>
      <w:r>
        <w:t>inspections</w:t>
      </w:r>
      <w:r>
        <w:rPr>
          <w:spacing w:val="-7"/>
        </w:rPr>
        <w:t xml:space="preserve"> </w:t>
      </w:r>
      <w:r>
        <w:t>of</w:t>
      </w:r>
      <w:r>
        <w:rPr>
          <w:spacing w:val="-7"/>
        </w:rPr>
        <w:t xml:space="preserve"> </w:t>
      </w:r>
      <w:r>
        <w:t>4,605</w:t>
      </w:r>
      <w:r>
        <w:rPr>
          <w:spacing w:val="-6"/>
        </w:rPr>
        <w:t xml:space="preserve"> </w:t>
      </w:r>
      <w:r>
        <w:t>California</w:t>
      </w:r>
      <w:r>
        <w:rPr>
          <w:spacing w:val="-7"/>
        </w:rPr>
        <w:t xml:space="preserve"> </w:t>
      </w:r>
      <w:r>
        <w:t>Bay</w:t>
      </w:r>
      <w:r>
        <w:rPr>
          <w:spacing w:val="-8"/>
        </w:rPr>
        <w:t xml:space="preserve"> </w:t>
      </w:r>
      <w:r>
        <w:rPr>
          <w:spacing w:val="-4"/>
        </w:rPr>
        <w:t>Area</w:t>
      </w:r>
    </w:p>
    <w:p w:rsidR="00C31389" w:rsidRDefault="00561FBD" w14:paraId="65A8418D" w14:textId="77777777">
      <w:pPr>
        <w:pStyle w:val="BodyText"/>
        <w:ind w:left="1199" w:right="418"/>
      </w:pPr>
      <w:r>
        <w:t>single-family</w:t>
      </w:r>
      <w:r>
        <w:rPr>
          <w:spacing w:val="-4"/>
        </w:rPr>
        <w:t xml:space="preserve"> </w:t>
      </w:r>
      <w:r>
        <w:t>homes</w:t>
      </w:r>
      <w:r>
        <w:rPr>
          <w:spacing w:val="-3"/>
        </w:rPr>
        <w:t xml:space="preserve"> </w:t>
      </w:r>
      <w:r>
        <w:t>suggested</w:t>
      </w:r>
      <w:r>
        <w:rPr>
          <w:spacing w:val="-3"/>
        </w:rPr>
        <w:t xml:space="preserve"> </w:t>
      </w:r>
      <w:r>
        <w:t>that</w:t>
      </w:r>
      <w:r>
        <w:rPr>
          <w:spacing w:val="-4"/>
        </w:rPr>
        <w:t xml:space="preserve"> </w:t>
      </w:r>
      <w:r>
        <w:t>most</w:t>
      </w:r>
      <w:r>
        <w:rPr>
          <w:spacing w:val="-3"/>
        </w:rPr>
        <w:t xml:space="preserve"> </w:t>
      </w:r>
      <w:r>
        <w:t>panels</w:t>
      </w:r>
      <w:r>
        <w:rPr>
          <w:spacing w:val="-4"/>
        </w:rPr>
        <w:t xml:space="preserve"> </w:t>
      </w:r>
      <w:r>
        <w:t>were</w:t>
      </w:r>
      <w:r>
        <w:rPr>
          <w:spacing w:val="-3"/>
        </w:rPr>
        <w:t xml:space="preserve"> </w:t>
      </w:r>
      <w:r>
        <w:t>classified</w:t>
      </w:r>
      <w:r>
        <w:rPr>
          <w:spacing w:val="-3"/>
        </w:rPr>
        <w:t xml:space="preserve"> </w:t>
      </w:r>
      <w:r>
        <w:t>as</w:t>
      </w:r>
      <w:r>
        <w:rPr>
          <w:spacing w:val="-3"/>
        </w:rPr>
        <w:t xml:space="preserve"> </w:t>
      </w:r>
      <w:r>
        <w:t>having</w:t>
      </w:r>
      <w:r>
        <w:rPr>
          <w:spacing w:val="-3"/>
        </w:rPr>
        <w:t xml:space="preserve"> </w:t>
      </w:r>
      <w:r>
        <w:t>a</w:t>
      </w:r>
      <w:r>
        <w:rPr>
          <w:spacing w:val="-3"/>
        </w:rPr>
        <w:t xml:space="preserve"> </w:t>
      </w:r>
      <w:r>
        <w:t>capacity between 100 and 200 amps and approximately 35% of the local housing stock had 200 amp (200 A) panels [4].</w:t>
      </w:r>
    </w:p>
    <w:p w:rsidR="00C31389" w:rsidRDefault="00C31389" w14:paraId="02E7BA62" w14:textId="77777777">
      <w:pPr>
        <w:pStyle w:val="BodyText"/>
        <w:spacing w:before="11"/>
        <w:rPr>
          <w:sz w:val="20"/>
        </w:rPr>
      </w:pPr>
    </w:p>
    <w:p w:rsidR="00C31389" w:rsidRDefault="00561FBD" w14:paraId="0EE5F442" w14:textId="77777777">
      <w:pPr>
        <w:pStyle w:val="Heading7"/>
        <w:ind w:left="398" w:right="341"/>
        <w:jc w:val="center"/>
      </w:pPr>
      <w:bookmarkStart w:name="_bookmark285" w:id="380"/>
      <w:bookmarkEnd w:id="380"/>
      <w:r>
        <w:t>Table</w:t>
      </w:r>
      <w:r>
        <w:rPr>
          <w:spacing w:val="-7"/>
        </w:rPr>
        <w:t xml:space="preserve"> </w:t>
      </w:r>
      <w:r>
        <w:t>C-3.</w:t>
      </w:r>
      <w:r>
        <w:rPr>
          <w:spacing w:val="-8"/>
        </w:rPr>
        <w:t xml:space="preserve"> </w:t>
      </w:r>
      <w:r>
        <w:t>Electrical</w:t>
      </w:r>
      <w:r>
        <w:rPr>
          <w:spacing w:val="-7"/>
        </w:rPr>
        <w:t xml:space="preserve"> </w:t>
      </w:r>
      <w:r>
        <w:t>Panel</w:t>
      </w:r>
      <w:r>
        <w:rPr>
          <w:spacing w:val="-6"/>
        </w:rPr>
        <w:t xml:space="preserve"> </w:t>
      </w:r>
      <w:r>
        <w:t>Capacity</w:t>
      </w:r>
      <w:r>
        <w:rPr>
          <w:spacing w:val="-7"/>
        </w:rPr>
        <w:t xml:space="preserve"> </w:t>
      </w:r>
      <w:r>
        <w:t>by</w:t>
      </w:r>
      <w:r>
        <w:rPr>
          <w:spacing w:val="-7"/>
        </w:rPr>
        <w:t xml:space="preserve"> </w:t>
      </w:r>
      <w:r>
        <w:rPr>
          <w:spacing w:val="-2"/>
        </w:rPr>
        <w:t>County</w:t>
      </w:r>
    </w:p>
    <w:p w:rsidR="00C31389" w:rsidRDefault="00C31389" w14:paraId="26D8335D" w14:textId="77777777">
      <w:pPr>
        <w:pStyle w:val="BodyText"/>
        <w:rPr>
          <w:b/>
          <w:sz w:val="10"/>
        </w:rPr>
      </w:pPr>
    </w:p>
    <w:tbl>
      <w:tblPr>
        <w:tblW w:w="0" w:type="auto"/>
        <w:tblInd w:w="480" w:type="dxa"/>
        <w:tblLayout w:type="fixed"/>
        <w:tblCellMar>
          <w:left w:w="0" w:type="dxa"/>
          <w:right w:w="0" w:type="dxa"/>
        </w:tblCellMar>
        <w:tblLook w:val="01E0" w:firstRow="1" w:lastRow="1" w:firstColumn="1" w:lastColumn="1" w:noHBand="0" w:noVBand="0"/>
      </w:tblPr>
      <w:tblGrid>
        <w:gridCol w:w="1739"/>
        <w:gridCol w:w="2313"/>
        <w:gridCol w:w="1222"/>
        <w:gridCol w:w="1392"/>
        <w:gridCol w:w="1363"/>
        <w:gridCol w:w="1001"/>
      </w:tblGrid>
      <w:tr w:rsidR="00C31389" w14:paraId="014B55A6" w14:textId="77777777">
        <w:trPr>
          <w:trHeight w:val="505"/>
        </w:trPr>
        <w:tc>
          <w:tcPr>
            <w:tcW w:w="1739" w:type="dxa"/>
            <w:tcBorders>
              <w:bottom w:val="single" w:color="B6B6B6" w:sz="4" w:space="0"/>
            </w:tcBorders>
            <w:shd w:val="clear" w:color="auto" w:fill="92D400"/>
          </w:tcPr>
          <w:p w:rsidR="00C31389" w:rsidRDefault="00561FBD" w14:paraId="4F3747C8" w14:textId="77777777">
            <w:pPr>
              <w:pStyle w:val="TableParagraph"/>
              <w:spacing w:before="145"/>
              <w:ind w:left="115"/>
              <w:rPr>
                <w:b/>
              </w:rPr>
            </w:pPr>
            <w:r>
              <w:rPr>
                <w:b/>
                <w:spacing w:val="-2"/>
              </w:rPr>
              <w:t>County</w:t>
            </w:r>
          </w:p>
        </w:tc>
        <w:tc>
          <w:tcPr>
            <w:tcW w:w="2313" w:type="dxa"/>
            <w:tcBorders>
              <w:bottom w:val="single" w:color="B6B6B6" w:sz="4" w:space="0"/>
            </w:tcBorders>
            <w:shd w:val="clear" w:color="auto" w:fill="92D400"/>
          </w:tcPr>
          <w:p w:rsidR="00C31389" w:rsidRDefault="00561FBD" w14:paraId="16C9AB0F" w14:textId="77777777">
            <w:pPr>
              <w:pStyle w:val="TableParagraph"/>
              <w:spacing w:before="0" w:line="254" w:lineRule="exact"/>
              <w:ind w:left="805" w:hanging="477"/>
              <w:rPr>
                <w:b/>
              </w:rPr>
            </w:pPr>
            <w:r>
              <w:rPr>
                <w:b/>
              </w:rPr>
              <w:t>Total</w:t>
            </w:r>
            <w:r>
              <w:rPr>
                <w:b/>
                <w:spacing w:val="-16"/>
              </w:rPr>
              <w:t xml:space="preserve"> </w:t>
            </w:r>
            <w:r>
              <w:rPr>
                <w:b/>
              </w:rPr>
              <w:t>numb</w:t>
            </w:r>
            <w:r>
              <w:rPr>
                <w:b/>
              </w:rPr>
              <w:t>er</w:t>
            </w:r>
            <w:r>
              <w:rPr>
                <w:b/>
                <w:spacing w:val="-15"/>
              </w:rPr>
              <w:t xml:space="preserve"> </w:t>
            </w:r>
            <w:r>
              <w:rPr>
                <w:b/>
              </w:rPr>
              <w:t xml:space="preserve">of </w:t>
            </w:r>
            <w:r>
              <w:rPr>
                <w:b/>
                <w:spacing w:val="-2"/>
              </w:rPr>
              <w:t>homes</w:t>
            </w:r>
          </w:p>
        </w:tc>
        <w:tc>
          <w:tcPr>
            <w:tcW w:w="1222" w:type="dxa"/>
            <w:tcBorders>
              <w:bottom w:val="single" w:color="B6B6B6" w:sz="4" w:space="0"/>
            </w:tcBorders>
            <w:shd w:val="clear" w:color="auto" w:fill="92D400"/>
          </w:tcPr>
          <w:p w:rsidR="00C31389" w:rsidRDefault="00561FBD" w14:paraId="51B42B66" w14:textId="77777777">
            <w:pPr>
              <w:pStyle w:val="TableParagraph"/>
              <w:spacing w:before="126"/>
              <w:ind w:left="165" w:right="23"/>
              <w:jc w:val="center"/>
              <w:rPr>
                <w:b/>
              </w:rPr>
            </w:pPr>
            <w:r>
              <w:rPr>
                <w:b/>
              </w:rPr>
              <w:t>&lt;100</w:t>
            </w:r>
            <w:r>
              <w:rPr>
                <w:b/>
                <w:spacing w:val="-5"/>
              </w:rPr>
              <w:t xml:space="preserve"> </w:t>
            </w:r>
            <w:r>
              <w:rPr>
                <w:b/>
                <w:spacing w:val="-10"/>
              </w:rPr>
              <w:t>A</w:t>
            </w:r>
          </w:p>
        </w:tc>
        <w:tc>
          <w:tcPr>
            <w:tcW w:w="1392" w:type="dxa"/>
            <w:tcBorders>
              <w:bottom w:val="single" w:color="B6B6B6" w:sz="4" w:space="0"/>
            </w:tcBorders>
            <w:shd w:val="clear" w:color="auto" w:fill="92D400"/>
          </w:tcPr>
          <w:p w:rsidR="00C31389" w:rsidRDefault="00561FBD" w14:paraId="07F1D6CD" w14:textId="77777777">
            <w:pPr>
              <w:pStyle w:val="TableParagraph"/>
              <w:spacing w:before="126"/>
              <w:ind w:left="174" w:right="168"/>
              <w:jc w:val="center"/>
              <w:rPr>
                <w:b/>
              </w:rPr>
            </w:pPr>
            <w:r>
              <w:rPr>
                <w:b/>
              </w:rPr>
              <w:t>100-200</w:t>
            </w:r>
            <w:r>
              <w:rPr>
                <w:b/>
                <w:spacing w:val="-9"/>
              </w:rPr>
              <w:t xml:space="preserve"> </w:t>
            </w:r>
            <w:r>
              <w:rPr>
                <w:b/>
                <w:spacing w:val="-10"/>
              </w:rPr>
              <w:t>A</w:t>
            </w:r>
          </w:p>
        </w:tc>
        <w:tc>
          <w:tcPr>
            <w:tcW w:w="1363" w:type="dxa"/>
            <w:tcBorders>
              <w:bottom w:val="single" w:color="B6B6B6" w:sz="4" w:space="0"/>
            </w:tcBorders>
            <w:shd w:val="clear" w:color="auto" w:fill="92D400"/>
          </w:tcPr>
          <w:p w:rsidR="00C31389" w:rsidRDefault="00561FBD" w14:paraId="63CA3BC8" w14:textId="77777777">
            <w:pPr>
              <w:pStyle w:val="TableParagraph"/>
              <w:spacing w:before="126"/>
              <w:ind w:left="172" w:right="141"/>
              <w:jc w:val="center"/>
              <w:rPr>
                <w:b/>
              </w:rPr>
            </w:pPr>
            <w:r>
              <w:rPr>
                <w:b/>
              </w:rPr>
              <w:t>200-300</w:t>
            </w:r>
            <w:r>
              <w:rPr>
                <w:b/>
                <w:spacing w:val="-9"/>
              </w:rPr>
              <w:t xml:space="preserve"> </w:t>
            </w:r>
            <w:r>
              <w:rPr>
                <w:b/>
                <w:spacing w:val="-10"/>
              </w:rPr>
              <w:t>A</w:t>
            </w:r>
          </w:p>
        </w:tc>
        <w:tc>
          <w:tcPr>
            <w:tcW w:w="1001" w:type="dxa"/>
            <w:tcBorders>
              <w:bottom w:val="single" w:color="B6B6B6" w:sz="4" w:space="0"/>
            </w:tcBorders>
            <w:shd w:val="clear" w:color="auto" w:fill="92D400"/>
          </w:tcPr>
          <w:p w:rsidR="00C31389" w:rsidRDefault="00561FBD" w14:paraId="6064422B" w14:textId="77777777">
            <w:pPr>
              <w:pStyle w:val="TableParagraph"/>
              <w:spacing w:before="126"/>
              <w:ind w:left="145" w:right="114"/>
              <w:jc w:val="center"/>
              <w:rPr>
                <w:b/>
              </w:rPr>
            </w:pPr>
            <w:r>
              <w:rPr>
                <w:b/>
              </w:rPr>
              <w:t>&gt;300</w:t>
            </w:r>
            <w:r>
              <w:rPr>
                <w:b/>
                <w:spacing w:val="-5"/>
              </w:rPr>
              <w:t xml:space="preserve"> </w:t>
            </w:r>
            <w:r>
              <w:rPr>
                <w:b/>
                <w:spacing w:val="-10"/>
              </w:rPr>
              <w:t>A</w:t>
            </w:r>
          </w:p>
        </w:tc>
      </w:tr>
      <w:tr w:rsidR="00C31389" w14:paraId="1BE6E8F0" w14:textId="77777777">
        <w:trPr>
          <w:trHeight w:val="364"/>
        </w:trPr>
        <w:tc>
          <w:tcPr>
            <w:tcW w:w="1739" w:type="dxa"/>
            <w:tcBorders>
              <w:top w:val="single" w:color="B6B6B6" w:sz="4" w:space="0"/>
              <w:bottom w:val="single" w:color="B6B6B6" w:sz="4" w:space="0"/>
            </w:tcBorders>
          </w:tcPr>
          <w:p w:rsidR="00C31389" w:rsidRDefault="00561FBD" w14:paraId="4221759B" w14:textId="77777777">
            <w:pPr>
              <w:pStyle w:val="TableParagraph"/>
              <w:spacing w:before="54"/>
              <w:ind w:left="115"/>
            </w:pPr>
            <w:r>
              <w:rPr>
                <w:spacing w:val="-2"/>
              </w:rPr>
              <w:t>Alameda</w:t>
            </w:r>
          </w:p>
        </w:tc>
        <w:tc>
          <w:tcPr>
            <w:tcW w:w="2313" w:type="dxa"/>
            <w:tcBorders>
              <w:top w:val="single" w:color="B6B6B6" w:sz="4" w:space="0"/>
              <w:bottom w:val="single" w:color="B6B6B6" w:sz="4" w:space="0"/>
            </w:tcBorders>
          </w:tcPr>
          <w:p w:rsidR="00C31389" w:rsidRDefault="00561FBD" w14:paraId="18A98CE9" w14:textId="77777777">
            <w:pPr>
              <w:pStyle w:val="TableParagraph"/>
              <w:spacing w:before="54"/>
              <w:ind w:left="868" w:right="863"/>
              <w:jc w:val="center"/>
            </w:pPr>
            <w:r>
              <w:rPr>
                <w:spacing w:val="-2"/>
              </w:rPr>
              <w:t>1,653</w:t>
            </w:r>
          </w:p>
        </w:tc>
        <w:tc>
          <w:tcPr>
            <w:tcW w:w="1222" w:type="dxa"/>
            <w:tcBorders>
              <w:top w:val="single" w:color="B6B6B6" w:sz="4" w:space="0"/>
              <w:bottom w:val="single" w:color="B6B6B6" w:sz="4" w:space="0"/>
            </w:tcBorders>
          </w:tcPr>
          <w:p w:rsidR="00C31389" w:rsidRDefault="00561FBD" w14:paraId="3B8F7E2B" w14:textId="77777777">
            <w:pPr>
              <w:pStyle w:val="TableParagraph"/>
              <w:spacing w:before="54"/>
              <w:ind w:left="165" w:right="24"/>
              <w:jc w:val="center"/>
            </w:pPr>
            <w:r>
              <w:rPr>
                <w:spacing w:val="-5"/>
              </w:rPr>
              <w:t>39</w:t>
            </w:r>
          </w:p>
        </w:tc>
        <w:tc>
          <w:tcPr>
            <w:tcW w:w="1392" w:type="dxa"/>
            <w:tcBorders>
              <w:top w:val="single" w:color="B6B6B6" w:sz="4" w:space="0"/>
              <w:bottom w:val="single" w:color="B6B6B6" w:sz="4" w:space="0"/>
            </w:tcBorders>
          </w:tcPr>
          <w:p w:rsidR="00C31389" w:rsidRDefault="00561FBD" w14:paraId="0AE801F4" w14:textId="77777777">
            <w:pPr>
              <w:pStyle w:val="TableParagraph"/>
              <w:spacing w:before="54"/>
              <w:ind w:left="174" w:right="167"/>
              <w:jc w:val="center"/>
            </w:pPr>
            <w:r>
              <w:rPr>
                <w:spacing w:val="-2"/>
              </w:rPr>
              <w:t>1,039</w:t>
            </w:r>
          </w:p>
        </w:tc>
        <w:tc>
          <w:tcPr>
            <w:tcW w:w="1363" w:type="dxa"/>
            <w:tcBorders>
              <w:top w:val="single" w:color="B6B6B6" w:sz="4" w:space="0"/>
              <w:bottom w:val="single" w:color="B6B6B6" w:sz="4" w:space="0"/>
            </w:tcBorders>
          </w:tcPr>
          <w:p w:rsidR="00C31389" w:rsidRDefault="00561FBD" w14:paraId="019FA850" w14:textId="77777777">
            <w:pPr>
              <w:pStyle w:val="TableParagraph"/>
              <w:spacing w:before="54"/>
              <w:ind w:left="171" w:right="141"/>
              <w:jc w:val="center"/>
            </w:pPr>
            <w:r>
              <w:rPr>
                <w:spacing w:val="-5"/>
              </w:rPr>
              <w:t>526</w:t>
            </w:r>
          </w:p>
        </w:tc>
        <w:tc>
          <w:tcPr>
            <w:tcW w:w="1001" w:type="dxa"/>
            <w:tcBorders>
              <w:top w:val="single" w:color="B6B6B6" w:sz="4" w:space="0"/>
              <w:bottom w:val="single" w:color="B6B6B6" w:sz="4" w:space="0"/>
            </w:tcBorders>
          </w:tcPr>
          <w:p w:rsidR="00C31389" w:rsidRDefault="00561FBD" w14:paraId="6508C127" w14:textId="77777777">
            <w:pPr>
              <w:pStyle w:val="TableParagraph"/>
              <w:spacing w:before="54"/>
              <w:ind w:left="144" w:right="114"/>
              <w:jc w:val="center"/>
            </w:pPr>
            <w:r>
              <w:rPr>
                <w:spacing w:val="-5"/>
              </w:rPr>
              <w:t>49</w:t>
            </w:r>
          </w:p>
        </w:tc>
      </w:tr>
      <w:tr w:rsidR="00C31389" w14:paraId="33575599" w14:textId="77777777">
        <w:trPr>
          <w:trHeight w:val="252"/>
        </w:trPr>
        <w:tc>
          <w:tcPr>
            <w:tcW w:w="1739" w:type="dxa"/>
            <w:tcBorders>
              <w:top w:val="single" w:color="B6B6B6" w:sz="4" w:space="0"/>
              <w:bottom w:val="single" w:color="B6B6B6" w:sz="4" w:space="0"/>
            </w:tcBorders>
          </w:tcPr>
          <w:p w:rsidR="00C31389" w:rsidRDefault="00561FBD" w14:paraId="0482F01F" w14:textId="77777777">
            <w:pPr>
              <w:pStyle w:val="TableParagraph"/>
              <w:spacing w:before="0" w:line="233" w:lineRule="exact"/>
              <w:ind w:left="115"/>
            </w:pPr>
            <w:r>
              <w:t>Contra</w:t>
            </w:r>
            <w:r>
              <w:rPr>
                <w:spacing w:val="-8"/>
              </w:rPr>
              <w:t xml:space="preserve"> </w:t>
            </w:r>
            <w:r>
              <w:rPr>
                <w:spacing w:val="-4"/>
              </w:rPr>
              <w:t>Costa</w:t>
            </w:r>
          </w:p>
        </w:tc>
        <w:tc>
          <w:tcPr>
            <w:tcW w:w="2313" w:type="dxa"/>
            <w:tcBorders>
              <w:top w:val="single" w:color="B6B6B6" w:sz="4" w:space="0"/>
              <w:bottom w:val="single" w:color="B6B6B6" w:sz="4" w:space="0"/>
            </w:tcBorders>
          </w:tcPr>
          <w:p w:rsidR="00C31389" w:rsidRDefault="00561FBD" w14:paraId="2E4279D4" w14:textId="77777777">
            <w:pPr>
              <w:pStyle w:val="TableParagraph"/>
              <w:spacing w:before="0" w:line="233" w:lineRule="exact"/>
              <w:ind w:left="868" w:right="863"/>
              <w:jc w:val="center"/>
            </w:pPr>
            <w:r>
              <w:rPr>
                <w:spacing w:val="-2"/>
              </w:rPr>
              <w:t>1,158</w:t>
            </w:r>
          </w:p>
        </w:tc>
        <w:tc>
          <w:tcPr>
            <w:tcW w:w="1222" w:type="dxa"/>
            <w:tcBorders>
              <w:top w:val="single" w:color="B6B6B6" w:sz="4" w:space="0"/>
              <w:bottom w:val="single" w:color="B6B6B6" w:sz="4" w:space="0"/>
            </w:tcBorders>
          </w:tcPr>
          <w:p w:rsidR="00C31389" w:rsidRDefault="00561FBD" w14:paraId="47488611" w14:textId="77777777">
            <w:pPr>
              <w:pStyle w:val="TableParagraph"/>
              <w:spacing w:before="0" w:line="233" w:lineRule="exact"/>
              <w:ind w:left="165" w:right="24"/>
              <w:jc w:val="center"/>
            </w:pPr>
            <w:r>
              <w:rPr>
                <w:spacing w:val="-5"/>
              </w:rPr>
              <w:t>75</w:t>
            </w:r>
          </w:p>
        </w:tc>
        <w:tc>
          <w:tcPr>
            <w:tcW w:w="1392" w:type="dxa"/>
            <w:tcBorders>
              <w:top w:val="single" w:color="B6B6B6" w:sz="4" w:space="0"/>
              <w:bottom w:val="single" w:color="B6B6B6" w:sz="4" w:space="0"/>
            </w:tcBorders>
          </w:tcPr>
          <w:p w:rsidR="00C31389" w:rsidRDefault="00561FBD" w14:paraId="444C2207" w14:textId="77777777">
            <w:pPr>
              <w:pStyle w:val="TableParagraph"/>
              <w:spacing w:before="0" w:line="233" w:lineRule="exact"/>
              <w:ind w:left="174" w:right="168"/>
              <w:jc w:val="center"/>
            </w:pPr>
            <w:r>
              <w:rPr>
                <w:spacing w:val="-5"/>
              </w:rPr>
              <w:t>726</w:t>
            </w:r>
          </w:p>
        </w:tc>
        <w:tc>
          <w:tcPr>
            <w:tcW w:w="1363" w:type="dxa"/>
            <w:tcBorders>
              <w:top w:val="single" w:color="B6B6B6" w:sz="4" w:space="0"/>
              <w:bottom w:val="single" w:color="B6B6B6" w:sz="4" w:space="0"/>
            </w:tcBorders>
          </w:tcPr>
          <w:p w:rsidR="00C31389" w:rsidRDefault="00561FBD" w14:paraId="37C236F1" w14:textId="77777777">
            <w:pPr>
              <w:pStyle w:val="TableParagraph"/>
              <w:spacing w:before="0" w:line="233" w:lineRule="exact"/>
              <w:ind w:left="172" w:right="141"/>
              <w:jc w:val="center"/>
            </w:pPr>
            <w:r>
              <w:rPr>
                <w:spacing w:val="-5"/>
              </w:rPr>
              <w:t>339</w:t>
            </w:r>
          </w:p>
        </w:tc>
        <w:tc>
          <w:tcPr>
            <w:tcW w:w="1001" w:type="dxa"/>
            <w:tcBorders>
              <w:top w:val="single" w:color="B6B6B6" w:sz="4" w:space="0"/>
              <w:bottom w:val="single" w:color="B6B6B6" w:sz="4" w:space="0"/>
            </w:tcBorders>
          </w:tcPr>
          <w:p w:rsidR="00C31389" w:rsidRDefault="00561FBD" w14:paraId="30C29192" w14:textId="77777777">
            <w:pPr>
              <w:pStyle w:val="TableParagraph"/>
              <w:spacing w:before="0" w:line="233" w:lineRule="exact"/>
              <w:ind w:left="145" w:right="114"/>
              <w:jc w:val="center"/>
            </w:pPr>
            <w:r>
              <w:rPr>
                <w:spacing w:val="-5"/>
              </w:rPr>
              <w:t>18</w:t>
            </w:r>
          </w:p>
        </w:tc>
      </w:tr>
      <w:tr w:rsidR="00C31389" w14:paraId="77B9509F" w14:textId="77777777">
        <w:trPr>
          <w:trHeight w:val="254"/>
        </w:trPr>
        <w:tc>
          <w:tcPr>
            <w:tcW w:w="1739" w:type="dxa"/>
            <w:tcBorders>
              <w:top w:val="single" w:color="B6B6B6" w:sz="4" w:space="0"/>
              <w:bottom w:val="single" w:color="B6B6B6" w:sz="4" w:space="0"/>
            </w:tcBorders>
          </w:tcPr>
          <w:p w:rsidR="00C31389" w:rsidRDefault="00561FBD" w14:paraId="387B93F7" w14:textId="77777777">
            <w:pPr>
              <w:pStyle w:val="TableParagraph"/>
              <w:spacing w:before="1" w:line="233" w:lineRule="exact"/>
              <w:ind w:left="115"/>
            </w:pPr>
            <w:r>
              <w:rPr>
                <w:spacing w:val="-2"/>
              </w:rPr>
              <w:t>Marin</w:t>
            </w:r>
          </w:p>
        </w:tc>
        <w:tc>
          <w:tcPr>
            <w:tcW w:w="2313" w:type="dxa"/>
            <w:tcBorders>
              <w:top w:val="single" w:color="B6B6B6" w:sz="4" w:space="0"/>
              <w:bottom w:val="single" w:color="B6B6B6" w:sz="4" w:space="0"/>
            </w:tcBorders>
          </w:tcPr>
          <w:p w:rsidR="00C31389" w:rsidRDefault="00561FBD" w14:paraId="77E84C36" w14:textId="77777777">
            <w:pPr>
              <w:pStyle w:val="TableParagraph"/>
              <w:spacing w:before="1" w:line="233" w:lineRule="exact"/>
              <w:ind w:left="867" w:right="863"/>
              <w:jc w:val="center"/>
            </w:pPr>
            <w:r>
              <w:rPr>
                <w:spacing w:val="-5"/>
              </w:rPr>
              <w:t>220</w:t>
            </w:r>
          </w:p>
        </w:tc>
        <w:tc>
          <w:tcPr>
            <w:tcW w:w="1222" w:type="dxa"/>
            <w:tcBorders>
              <w:top w:val="single" w:color="B6B6B6" w:sz="4" w:space="0"/>
              <w:bottom w:val="single" w:color="B6B6B6" w:sz="4" w:space="0"/>
            </w:tcBorders>
          </w:tcPr>
          <w:p w:rsidR="00C31389" w:rsidRDefault="00561FBD" w14:paraId="25C09986" w14:textId="77777777">
            <w:pPr>
              <w:pStyle w:val="TableParagraph"/>
              <w:spacing w:before="1" w:line="233" w:lineRule="exact"/>
              <w:ind w:left="141"/>
              <w:jc w:val="center"/>
            </w:pPr>
            <w:r>
              <w:rPr>
                <w:w w:val="99"/>
              </w:rPr>
              <w:t>1</w:t>
            </w:r>
          </w:p>
        </w:tc>
        <w:tc>
          <w:tcPr>
            <w:tcW w:w="1392" w:type="dxa"/>
            <w:tcBorders>
              <w:top w:val="single" w:color="B6B6B6" w:sz="4" w:space="0"/>
              <w:bottom w:val="single" w:color="B6B6B6" w:sz="4" w:space="0"/>
            </w:tcBorders>
          </w:tcPr>
          <w:p w:rsidR="00C31389" w:rsidRDefault="00561FBD" w14:paraId="68CE5E5A" w14:textId="77777777">
            <w:pPr>
              <w:pStyle w:val="TableParagraph"/>
              <w:spacing w:before="1" w:line="233" w:lineRule="exact"/>
              <w:ind w:left="174" w:right="167"/>
              <w:jc w:val="center"/>
            </w:pPr>
            <w:r>
              <w:rPr>
                <w:spacing w:val="-5"/>
              </w:rPr>
              <w:t>86</w:t>
            </w:r>
          </w:p>
        </w:tc>
        <w:tc>
          <w:tcPr>
            <w:tcW w:w="1363" w:type="dxa"/>
            <w:tcBorders>
              <w:top w:val="single" w:color="B6B6B6" w:sz="4" w:space="0"/>
              <w:bottom w:val="single" w:color="B6B6B6" w:sz="4" w:space="0"/>
            </w:tcBorders>
          </w:tcPr>
          <w:p w:rsidR="00C31389" w:rsidRDefault="00561FBD" w14:paraId="50069722" w14:textId="77777777">
            <w:pPr>
              <w:pStyle w:val="TableParagraph"/>
              <w:spacing w:before="1" w:line="233" w:lineRule="exact"/>
              <w:ind w:left="172" w:right="141"/>
              <w:jc w:val="center"/>
            </w:pPr>
            <w:r>
              <w:rPr>
                <w:spacing w:val="-5"/>
              </w:rPr>
              <w:t>125</w:t>
            </w:r>
          </w:p>
        </w:tc>
        <w:tc>
          <w:tcPr>
            <w:tcW w:w="1001" w:type="dxa"/>
            <w:tcBorders>
              <w:top w:val="single" w:color="B6B6B6" w:sz="4" w:space="0"/>
              <w:bottom w:val="single" w:color="B6B6B6" w:sz="4" w:space="0"/>
            </w:tcBorders>
          </w:tcPr>
          <w:p w:rsidR="00C31389" w:rsidRDefault="00561FBD" w14:paraId="27E0D788" w14:textId="77777777">
            <w:pPr>
              <w:pStyle w:val="TableParagraph"/>
              <w:spacing w:before="1" w:line="233" w:lineRule="exact"/>
              <w:ind w:left="31"/>
              <w:jc w:val="center"/>
            </w:pPr>
            <w:r>
              <w:rPr>
                <w:w w:val="99"/>
              </w:rPr>
              <w:t>8</w:t>
            </w:r>
          </w:p>
        </w:tc>
      </w:tr>
      <w:tr w:rsidR="00C31389" w14:paraId="65A8EBA7" w14:textId="77777777">
        <w:trPr>
          <w:trHeight w:val="252"/>
        </w:trPr>
        <w:tc>
          <w:tcPr>
            <w:tcW w:w="1739" w:type="dxa"/>
            <w:tcBorders>
              <w:top w:val="single" w:color="B6B6B6" w:sz="4" w:space="0"/>
              <w:bottom w:val="single" w:color="B6B6B6" w:sz="4" w:space="0"/>
            </w:tcBorders>
          </w:tcPr>
          <w:p w:rsidR="00C31389" w:rsidRDefault="00561FBD" w14:paraId="1B56EA43" w14:textId="77777777">
            <w:pPr>
              <w:pStyle w:val="TableParagraph"/>
              <w:spacing w:before="0" w:line="233" w:lineRule="exact"/>
              <w:ind w:left="115"/>
            </w:pPr>
            <w:r>
              <w:rPr>
                <w:spacing w:val="-4"/>
              </w:rPr>
              <w:t>Napa</w:t>
            </w:r>
          </w:p>
        </w:tc>
        <w:tc>
          <w:tcPr>
            <w:tcW w:w="2313" w:type="dxa"/>
            <w:tcBorders>
              <w:top w:val="single" w:color="B6B6B6" w:sz="4" w:space="0"/>
              <w:bottom w:val="single" w:color="B6B6B6" w:sz="4" w:space="0"/>
            </w:tcBorders>
          </w:tcPr>
          <w:p w:rsidR="00C31389" w:rsidRDefault="00561FBD" w14:paraId="7065C19C" w14:textId="77777777">
            <w:pPr>
              <w:pStyle w:val="TableParagraph"/>
              <w:spacing w:before="0" w:line="233" w:lineRule="exact"/>
              <w:ind w:left="867" w:right="863"/>
              <w:jc w:val="center"/>
            </w:pPr>
            <w:r>
              <w:rPr>
                <w:spacing w:val="-5"/>
              </w:rPr>
              <w:t>27</w:t>
            </w:r>
          </w:p>
        </w:tc>
        <w:tc>
          <w:tcPr>
            <w:tcW w:w="1222" w:type="dxa"/>
            <w:tcBorders>
              <w:top w:val="single" w:color="B6B6B6" w:sz="4" w:space="0"/>
              <w:bottom w:val="single" w:color="B6B6B6" w:sz="4" w:space="0"/>
            </w:tcBorders>
          </w:tcPr>
          <w:p w:rsidR="00C31389" w:rsidRDefault="00561FBD" w14:paraId="0AC1837F" w14:textId="77777777">
            <w:pPr>
              <w:pStyle w:val="TableParagraph"/>
              <w:spacing w:before="0" w:line="233" w:lineRule="exact"/>
              <w:ind w:left="141"/>
              <w:jc w:val="center"/>
            </w:pPr>
            <w:r>
              <w:rPr>
                <w:w w:val="99"/>
              </w:rPr>
              <w:t>0</w:t>
            </w:r>
          </w:p>
        </w:tc>
        <w:tc>
          <w:tcPr>
            <w:tcW w:w="1392" w:type="dxa"/>
            <w:tcBorders>
              <w:top w:val="single" w:color="B6B6B6" w:sz="4" w:space="0"/>
              <w:bottom w:val="single" w:color="B6B6B6" w:sz="4" w:space="0"/>
            </w:tcBorders>
          </w:tcPr>
          <w:p w:rsidR="00C31389" w:rsidRDefault="00561FBD" w14:paraId="3CDE627F" w14:textId="77777777">
            <w:pPr>
              <w:pStyle w:val="TableParagraph"/>
              <w:spacing w:before="0" w:line="233" w:lineRule="exact"/>
              <w:ind w:left="174" w:right="167"/>
              <w:jc w:val="center"/>
            </w:pPr>
            <w:r>
              <w:rPr>
                <w:spacing w:val="-5"/>
              </w:rPr>
              <w:t>20</w:t>
            </w:r>
          </w:p>
        </w:tc>
        <w:tc>
          <w:tcPr>
            <w:tcW w:w="1363" w:type="dxa"/>
            <w:tcBorders>
              <w:top w:val="single" w:color="B6B6B6" w:sz="4" w:space="0"/>
              <w:bottom w:val="single" w:color="B6B6B6" w:sz="4" w:space="0"/>
            </w:tcBorders>
          </w:tcPr>
          <w:p w:rsidR="00C31389" w:rsidRDefault="00561FBD" w14:paraId="3A75874A" w14:textId="77777777">
            <w:pPr>
              <w:pStyle w:val="TableParagraph"/>
              <w:spacing w:before="0" w:line="233" w:lineRule="exact"/>
              <w:ind w:left="31"/>
              <w:jc w:val="center"/>
            </w:pPr>
            <w:r>
              <w:rPr>
                <w:w w:val="99"/>
              </w:rPr>
              <w:t>7</w:t>
            </w:r>
          </w:p>
        </w:tc>
        <w:tc>
          <w:tcPr>
            <w:tcW w:w="1001" w:type="dxa"/>
            <w:tcBorders>
              <w:top w:val="single" w:color="B6B6B6" w:sz="4" w:space="0"/>
              <w:bottom w:val="single" w:color="B6B6B6" w:sz="4" w:space="0"/>
            </w:tcBorders>
          </w:tcPr>
          <w:p w:rsidR="00C31389" w:rsidRDefault="00561FBD" w14:paraId="49D403F7" w14:textId="77777777">
            <w:pPr>
              <w:pStyle w:val="TableParagraph"/>
              <w:spacing w:before="0" w:line="233" w:lineRule="exact"/>
              <w:ind w:left="31"/>
              <w:jc w:val="center"/>
            </w:pPr>
            <w:r>
              <w:rPr>
                <w:w w:val="99"/>
              </w:rPr>
              <w:t>0</w:t>
            </w:r>
          </w:p>
        </w:tc>
      </w:tr>
      <w:tr w:rsidR="00C31389" w14:paraId="1E4839BD" w14:textId="77777777">
        <w:trPr>
          <w:trHeight w:val="505"/>
        </w:trPr>
        <w:tc>
          <w:tcPr>
            <w:tcW w:w="1739" w:type="dxa"/>
            <w:tcBorders>
              <w:top w:val="single" w:color="B6B6B6" w:sz="4" w:space="0"/>
              <w:bottom w:val="single" w:color="B6B6B6" w:sz="4" w:space="0"/>
            </w:tcBorders>
          </w:tcPr>
          <w:p w:rsidR="00C31389" w:rsidRDefault="00561FBD" w14:paraId="1C65461A" w14:textId="77777777">
            <w:pPr>
              <w:pStyle w:val="TableParagraph"/>
              <w:spacing w:before="0" w:line="254" w:lineRule="exact"/>
              <w:ind w:left="115" w:right="328"/>
            </w:pPr>
            <w:r>
              <w:rPr>
                <w:spacing w:val="-4"/>
              </w:rPr>
              <w:t xml:space="preserve">San </w:t>
            </w:r>
            <w:r>
              <w:rPr>
                <w:spacing w:val="-2"/>
              </w:rPr>
              <w:t>Francisco</w:t>
            </w:r>
          </w:p>
        </w:tc>
        <w:tc>
          <w:tcPr>
            <w:tcW w:w="2313" w:type="dxa"/>
            <w:tcBorders>
              <w:top w:val="single" w:color="B6B6B6" w:sz="4" w:space="0"/>
              <w:bottom w:val="single" w:color="B6B6B6" w:sz="4" w:space="0"/>
            </w:tcBorders>
          </w:tcPr>
          <w:p w:rsidR="00C31389" w:rsidRDefault="00561FBD" w14:paraId="743F2484" w14:textId="77777777">
            <w:pPr>
              <w:pStyle w:val="TableParagraph"/>
              <w:spacing w:before="126"/>
              <w:ind w:left="867" w:right="863"/>
              <w:jc w:val="center"/>
            </w:pPr>
            <w:r>
              <w:rPr>
                <w:spacing w:val="-5"/>
              </w:rPr>
              <w:t>22</w:t>
            </w:r>
          </w:p>
        </w:tc>
        <w:tc>
          <w:tcPr>
            <w:tcW w:w="1222" w:type="dxa"/>
            <w:tcBorders>
              <w:top w:val="single" w:color="B6B6B6" w:sz="4" w:space="0"/>
              <w:bottom w:val="single" w:color="B6B6B6" w:sz="4" w:space="0"/>
            </w:tcBorders>
          </w:tcPr>
          <w:p w:rsidR="00C31389" w:rsidRDefault="00561FBD" w14:paraId="3568CA53" w14:textId="77777777">
            <w:pPr>
              <w:pStyle w:val="TableParagraph"/>
              <w:spacing w:before="126"/>
              <w:ind w:left="141"/>
              <w:jc w:val="center"/>
            </w:pPr>
            <w:r>
              <w:rPr>
                <w:w w:val="99"/>
              </w:rPr>
              <w:t>2</w:t>
            </w:r>
          </w:p>
        </w:tc>
        <w:tc>
          <w:tcPr>
            <w:tcW w:w="1392" w:type="dxa"/>
            <w:tcBorders>
              <w:top w:val="single" w:color="B6B6B6" w:sz="4" w:space="0"/>
              <w:bottom w:val="single" w:color="B6B6B6" w:sz="4" w:space="0"/>
            </w:tcBorders>
          </w:tcPr>
          <w:p w:rsidR="00C31389" w:rsidRDefault="00561FBD" w14:paraId="10269B10" w14:textId="77777777">
            <w:pPr>
              <w:pStyle w:val="TableParagraph"/>
              <w:spacing w:before="126"/>
              <w:ind w:left="174" w:right="168"/>
              <w:jc w:val="center"/>
            </w:pPr>
            <w:r>
              <w:rPr>
                <w:spacing w:val="-5"/>
              </w:rPr>
              <w:t>15</w:t>
            </w:r>
          </w:p>
        </w:tc>
        <w:tc>
          <w:tcPr>
            <w:tcW w:w="1363" w:type="dxa"/>
            <w:tcBorders>
              <w:top w:val="single" w:color="B6B6B6" w:sz="4" w:space="0"/>
              <w:bottom w:val="single" w:color="B6B6B6" w:sz="4" w:space="0"/>
            </w:tcBorders>
          </w:tcPr>
          <w:p w:rsidR="00C31389" w:rsidRDefault="00561FBD" w14:paraId="34175E2D" w14:textId="77777777">
            <w:pPr>
              <w:pStyle w:val="TableParagraph"/>
              <w:spacing w:before="126"/>
              <w:ind w:left="31"/>
              <w:jc w:val="center"/>
            </w:pPr>
            <w:r>
              <w:rPr>
                <w:w w:val="99"/>
              </w:rPr>
              <w:t>5</w:t>
            </w:r>
          </w:p>
        </w:tc>
        <w:tc>
          <w:tcPr>
            <w:tcW w:w="1001" w:type="dxa"/>
            <w:tcBorders>
              <w:top w:val="single" w:color="B6B6B6" w:sz="4" w:space="0"/>
              <w:bottom w:val="single" w:color="B6B6B6" w:sz="4" w:space="0"/>
            </w:tcBorders>
          </w:tcPr>
          <w:p w:rsidR="00C31389" w:rsidRDefault="00561FBD" w14:paraId="7F84A203" w14:textId="77777777">
            <w:pPr>
              <w:pStyle w:val="TableParagraph"/>
              <w:spacing w:before="126"/>
              <w:ind w:left="30"/>
              <w:jc w:val="center"/>
            </w:pPr>
            <w:r>
              <w:rPr>
                <w:w w:val="99"/>
              </w:rPr>
              <w:t>0</w:t>
            </w:r>
          </w:p>
        </w:tc>
      </w:tr>
      <w:tr w:rsidR="00C31389" w14:paraId="3D66DCF0" w14:textId="77777777">
        <w:trPr>
          <w:trHeight w:val="250"/>
        </w:trPr>
        <w:tc>
          <w:tcPr>
            <w:tcW w:w="1739" w:type="dxa"/>
            <w:tcBorders>
              <w:top w:val="single" w:color="B6B6B6" w:sz="4" w:space="0"/>
              <w:bottom w:val="single" w:color="B6B6B6" w:sz="4" w:space="0"/>
            </w:tcBorders>
          </w:tcPr>
          <w:p w:rsidR="00C31389" w:rsidRDefault="00561FBD" w14:paraId="53DBC9D2" w14:textId="77777777">
            <w:pPr>
              <w:pStyle w:val="TableParagraph"/>
              <w:spacing w:before="0" w:line="231" w:lineRule="exact"/>
              <w:ind w:left="115"/>
            </w:pPr>
            <w:r>
              <w:t>San</w:t>
            </w:r>
            <w:r>
              <w:rPr>
                <w:spacing w:val="-5"/>
              </w:rPr>
              <w:t xml:space="preserve"> </w:t>
            </w:r>
            <w:r>
              <w:rPr>
                <w:spacing w:val="-2"/>
              </w:rPr>
              <w:t>Mateo</w:t>
            </w:r>
          </w:p>
        </w:tc>
        <w:tc>
          <w:tcPr>
            <w:tcW w:w="2313" w:type="dxa"/>
            <w:tcBorders>
              <w:top w:val="single" w:color="B6B6B6" w:sz="4" w:space="0"/>
              <w:bottom w:val="single" w:color="B6B6B6" w:sz="4" w:space="0"/>
            </w:tcBorders>
          </w:tcPr>
          <w:p w:rsidR="00C31389" w:rsidRDefault="00561FBD" w14:paraId="31DA660A" w14:textId="77777777">
            <w:pPr>
              <w:pStyle w:val="TableParagraph"/>
              <w:spacing w:before="0" w:line="231" w:lineRule="exact"/>
              <w:ind w:left="867" w:right="863"/>
              <w:jc w:val="center"/>
            </w:pPr>
            <w:r>
              <w:rPr>
                <w:spacing w:val="-5"/>
              </w:rPr>
              <w:t>233</w:t>
            </w:r>
          </w:p>
        </w:tc>
        <w:tc>
          <w:tcPr>
            <w:tcW w:w="1222" w:type="dxa"/>
            <w:tcBorders>
              <w:top w:val="single" w:color="B6B6B6" w:sz="4" w:space="0"/>
              <w:bottom w:val="single" w:color="B6B6B6" w:sz="4" w:space="0"/>
            </w:tcBorders>
          </w:tcPr>
          <w:p w:rsidR="00C31389" w:rsidRDefault="00561FBD" w14:paraId="228964ED" w14:textId="77777777">
            <w:pPr>
              <w:pStyle w:val="TableParagraph"/>
              <w:spacing w:before="0" w:line="231" w:lineRule="exact"/>
              <w:ind w:left="141"/>
              <w:jc w:val="center"/>
            </w:pPr>
            <w:r>
              <w:rPr>
                <w:w w:val="99"/>
              </w:rPr>
              <w:t>2</w:t>
            </w:r>
          </w:p>
        </w:tc>
        <w:tc>
          <w:tcPr>
            <w:tcW w:w="1392" w:type="dxa"/>
            <w:tcBorders>
              <w:top w:val="single" w:color="B6B6B6" w:sz="4" w:space="0"/>
              <w:bottom w:val="single" w:color="B6B6B6" w:sz="4" w:space="0"/>
            </w:tcBorders>
          </w:tcPr>
          <w:p w:rsidR="00C31389" w:rsidRDefault="00561FBD" w14:paraId="0BF1A308" w14:textId="77777777">
            <w:pPr>
              <w:pStyle w:val="TableParagraph"/>
              <w:spacing w:before="0" w:line="231" w:lineRule="exact"/>
              <w:ind w:left="174" w:right="168"/>
              <w:jc w:val="center"/>
            </w:pPr>
            <w:r>
              <w:rPr>
                <w:spacing w:val="-5"/>
              </w:rPr>
              <w:t>120</w:t>
            </w:r>
          </w:p>
        </w:tc>
        <w:tc>
          <w:tcPr>
            <w:tcW w:w="1363" w:type="dxa"/>
            <w:tcBorders>
              <w:top w:val="single" w:color="B6B6B6" w:sz="4" w:space="0"/>
              <w:bottom w:val="single" w:color="B6B6B6" w:sz="4" w:space="0"/>
            </w:tcBorders>
          </w:tcPr>
          <w:p w:rsidR="00C31389" w:rsidRDefault="00561FBD" w14:paraId="50080F98" w14:textId="77777777">
            <w:pPr>
              <w:pStyle w:val="TableParagraph"/>
              <w:spacing w:before="0" w:line="231" w:lineRule="exact"/>
              <w:ind w:left="172" w:right="141"/>
              <w:jc w:val="center"/>
            </w:pPr>
            <w:r>
              <w:rPr>
                <w:spacing w:val="-5"/>
              </w:rPr>
              <w:t>106</w:t>
            </w:r>
          </w:p>
        </w:tc>
        <w:tc>
          <w:tcPr>
            <w:tcW w:w="1001" w:type="dxa"/>
            <w:tcBorders>
              <w:top w:val="single" w:color="B6B6B6" w:sz="4" w:space="0"/>
              <w:bottom w:val="single" w:color="B6B6B6" w:sz="4" w:space="0"/>
            </w:tcBorders>
          </w:tcPr>
          <w:p w:rsidR="00C31389" w:rsidRDefault="00561FBD" w14:paraId="604B2211" w14:textId="77777777">
            <w:pPr>
              <w:pStyle w:val="TableParagraph"/>
              <w:spacing w:before="0" w:line="231" w:lineRule="exact"/>
              <w:ind w:left="31"/>
              <w:jc w:val="center"/>
            </w:pPr>
            <w:r>
              <w:rPr>
                <w:w w:val="99"/>
              </w:rPr>
              <w:t>5</w:t>
            </w:r>
          </w:p>
        </w:tc>
      </w:tr>
      <w:tr w:rsidR="00C31389" w14:paraId="6C41E60D" w14:textId="77777777">
        <w:trPr>
          <w:trHeight w:val="252"/>
        </w:trPr>
        <w:tc>
          <w:tcPr>
            <w:tcW w:w="1739" w:type="dxa"/>
            <w:tcBorders>
              <w:top w:val="single" w:color="B6B6B6" w:sz="4" w:space="0"/>
              <w:bottom w:val="single" w:color="B6B6B6" w:sz="4" w:space="0"/>
            </w:tcBorders>
          </w:tcPr>
          <w:p w:rsidR="00C31389" w:rsidRDefault="00561FBD" w14:paraId="2E36B935" w14:textId="77777777">
            <w:pPr>
              <w:pStyle w:val="TableParagraph"/>
              <w:spacing w:before="0" w:line="233" w:lineRule="exact"/>
              <w:ind w:left="115"/>
            </w:pPr>
            <w:r>
              <w:t>Santa</w:t>
            </w:r>
            <w:r>
              <w:rPr>
                <w:spacing w:val="-7"/>
              </w:rPr>
              <w:t xml:space="preserve"> </w:t>
            </w:r>
            <w:r>
              <w:rPr>
                <w:spacing w:val="-2"/>
              </w:rPr>
              <w:t>Clara</w:t>
            </w:r>
          </w:p>
        </w:tc>
        <w:tc>
          <w:tcPr>
            <w:tcW w:w="2313" w:type="dxa"/>
            <w:tcBorders>
              <w:top w:val="single" w:color="B6B6B6" w:sz="4" w:space="0"/>
              <w:bottom w:val="single" w:color="B6B6B6" w:sz="4" w:space="0"/>
            </w:tcBorders>
          </w:tcPr>
          <w:p w:rsidR="00C31389" w:rsidRDefault="00561FBD" w14:paraId="046BEDD0" w14:textId="77777777">
            <w:pPr>
              <w:pStyle w:val="TableParagraph"/>
              <w:spacing w:before="0" w:line="233" w:lineRule="exact"/>
              <w:ind w:left="867" w:right="863"/>
              <w:jc w:val="center"/>
            </w:pPr>
            <w:r>
              <w:rPr>
                <w:spacing w:val="-5"/>
              </w:rPr>
              <w:t>565</w:t>
            </w:r>
          </w:p>
        </w:tc>
        <w:tc>
          <w:tcPr>
            <w:tcW w:w="1222" w:type="dxa"/>
            <w:tcBorders>
              <w:top w:val="single" w:color="B6B6B6" w:sz="4" w:space="0"/>
              <w:bottom w:val="single" w:color="B6B6B6" w:sz="4" w:space="0"/>
            </w:tcBorders>
          </w:tcPr>
          <w:p w:rsidR="00C31389" w:rsidRDefault="00561FBD" w14:paraId="3B8F09F2" w14:textId="77777777">
            <w:pPr>
              <w:pStyle w:val="TableParagraph"/>
              <w:spacing w:before="0" w:line="233" w:lineRule="exact"/>
              <w:ind w:left="141"/>
              <w:jc w:val="center"/>
            </w:pPr>
            <w:r>
              <w:rPr>
                <w:w w:val="99"/>
              </w:rPr>
              <w:t>4</w:t>
            </w:r>
          </w:p>
        </w:tc>
        <w:tc>
          <w:tcPr>
            <w:tcW w:w="1392" w:type="dxa"/>
            <w:tcBorders>
              <w:top w:val="single" w:color="B6B6B6" w:sz="4" w:space="0"/>
              <w:bottom w:val="single" w:color="B6B6B6" w:sz="4" w:space="0"/>
            </w:tcBorders>
          </w:tcPr>
          <w:p w:rsidR="00C31389" w:rsidRDefault="00561FBD" w14:paraId="797D6A65" w14:textId="77777777">
            <w:pPr>
              <w:pStyle w:val="TableParagraph"/>
              <w:spacing w:before="0" w:line="233" w:lineRule="exact"/>
              <w:ind w:left="174" w:right="168"/>
              <w:jc w:val="center"/>
            </w:pPr>
            <w:r>
              <w:rPr>
                <w:spacing w:val="-5"/>
              </w:rPr>
              <w:t>287</w:t>
            </w:r>
          </w:p>
        </w:tc>
        <w:tc>
          <w:tcPr>
            <w:tcW w:w="1363" w:type="dxa"/>
            <w:tcBorders>
              <w:top w:val="single" w:color="B6B6B6" w:sz="4" w:space="0"/>
              <w:bottom w:val="single" w:color="B6B6B6" w:sz="4" w:space="0"/>
            </w:tcBorders>
          </w:tcPr>
          <w:p w:rsidR="00C31389" w:rsidRDefault="00561FBD" w14:paraId="5B678A98" w14:textId="77777777">
            <w:pPr>
              <w:pStyle w:val="TableParagraph"/>
              <w:spacing w:before="0" w:line="233" w:lineRule="exact"/>
              <w:ind w:left="172" w:right="141"/>
              <w:jc w:val="center"/>
            </w:pPr>
            <w:r>
              <w:rPr>
                <w:spacing w:val="-5"/>
              </w:rPr>
              <w:t>272</w:t>
            </w:r>
          </w:p>
        </w:tc>
        <w:tc>
          <w:tcPr>
            <w:tcW w:w="1001" w:type="dxa"/>
            <w:tcBorders>
              <w:top w:val="single" w:color="B6B6B6" w:sz="4" w:space="0"/>
              <w:bottom w:val="single" w:color="B6B6B6" w:sz="4" w:space="0"/>
            </w:tcBorders>
          </w:tcPr>
          <w:p w:rsidR="00C31389" w:rsidRDefault="00561FBD" w14:paraId="2E3CC442" w14:textId="77777777">
            <w:pPr>
              <w:pStyle w:val="TableParagraph"/>
              <w:spacing w:before="0" w:line="233" w:lineRule="exact"/>
              <w:ind w:left="31"/>
              <w:jc w:val="center"/>
            </w:pPr>
            <w:r>
              <w:rPr>
                <w:w w:val="99"/>
              </w:rPr>
              <w:t>2</w:t>
            </w:r>
          </w:p>
        </w:tc>
      </w:tr>
      <w:tr w:rsidR="00C31389" w14:paraId="3641B888" w14:textId="77777777">
        <w:trPr>
          <w:trHeight w:val="252"/>
        </w:trPr>
        <w:tc>
          <w:tcPr>
            <w:tcW w:w="1739" w:type="dxa"/>
            <w:tcBorders>
              <w:top w:val="single" w:color="B6B6B6" w:sz="4" w:space="0"/>
              <w:bottom w:val="single" w:color="B6B6B6" w:sz="4" w:space="0"/>
            </w:tcBorders>
          </w:tcPr>
          <w:p w:rsidR="00C31389" w:rsidRDefault="00561FBD" w14:paraId="372364E7" w14:textId="77777777">
            <w:pPr>
              <w:pStyle w:val="TableParagraph"/>
              <w:spacing w:before="0" w:line="233" w:lineRule="exact"/>
              <w:ind w:left="115"/>
            </w:pPr>
            <w:r>
              <w:rPr>
                <w:spacing w:val="-2"/>
              </w:rPr>
              <w:t>Solano</w:t>
            </w:r>
          </w:p>
        </w:tc>
        <w:tc>
          <w:tcPr>
            <w:tcW w:w="2313" w:type="dxa"/>
            <w:tcBorders>
              <w:top w:val="single" w:color="B6B6B6" w:sz="4" w:space="0"/>
              <w:bottom w:val="single" w:color="B6B6B6" w:sz="4" w:space="0"/>
            </w:tcBorders>
          </w:tcPr>
          <w:p w:rsidR="00C31389" w:rsidRDefault="00561FBD" w14:paraId="63E2C636" w14:textId="77777777">
            <w:pPr>
              <w:pStyle w:val="TableParagraph"/>
              <w:spacing w:before="0" w:line="233" w:lineRule="exact"/>
              <w:ind w:left="867" w:right="863"/>
              <w:jc w:val="center"/>
            </w:pPr>
            <w:r>
              <w:rPr>
                <w:spacing w:val="-5"/>
              </w:rPr>
              <w:t>169</w:t>
            </w:r>
          </w:p>
        </w:tc>
        <w:tc>
          <w:tcPr>
            <w:tcW w:w="1222" w:type="dxa"/>
            <w:tcBorders>
              <w:top w:val="single" w:color="B6B6B6" w:sz="4" w:space="0"/>
              <w:bottom w:val="single" w:color="B6B6B6" w:sz="4" w:space="0"/>
            </w:tcBorders>
          </w:tcPr>
          <w:p w:rsidR="00C31389" w:rsidRDefault="00561FBD" w14:paraId="0DDAECB9" w14:textId="77777777">
            <w:pPr>
              <w:pStyle w:val="TableParagraph"/>
              <w:spacing w:before="0" w:line="233" w:lineRule="exact"/>
              <w:ind w:left="141"/>
              <w:jc w:val="center"/>
            </w:pPr>
            <w:r>
              <w:rPr>
                <w:w w:val="99"/>
              </w:rPr>
              <w:t>1</w:t>
            </w:r>
          </w:p>
        </w:tc>
        <w:tc>
          <w:tcPr>
            <w:tcW w:w="1392" w:type="dxa"/>
            <w:tcBorders>
              <w:top w:val="single" w:color="B6B6B6" w:sz="4" w:space="0"/>
              <w:bottom w:val="single" w:color="B6B6B6" w:sz="4" w:space="0"/>
            </w:tcBorders>
          </w:tcPr>
          <w:p w:rsidR="00C31389" w:rsidRDefault="00561FBD" w14:paraId="22B8264A" w14:textId="77777777">
            <w:pPr>
              <w:pStyle w:val="TableParagraph"/>
              <w:spacing w:before="0" w:line="233" w:lineRule="exact"/>
              <w:ind w:left="174" w:right="168"/>
              <w:jc w:val="center"/>
            </w:pPr>
            <w:r>
              <w:rPr>
                <w:spacing w:val="-5"/>
              </w:rPr>
              <w:t>119</w:t>
            </w:r>
          </w:p>
        </w:tc>
        <w:tc>
          <w:tcPr>
            <w:tcW w:w="1363" w:type="dxa"/>
            <w:tcBorders>
              <w:top w:val="single" w:color="B6B6B6" w:sz="4" w:space="0"/>
              <w:bottom w:val="single" w:color="B6B6B6" w:sz="4" w:space="0"/>
            </w:tcBorders>
          </w:tcPr>
          <w:p w:rsidR="00C31389" w:rsidRDefault="00561FBD" w14:paraId="0DA19763" w14:textId="77777777">
            <w:pPr>
              <w:pStyle w:val="TableParagraph"/>
              <w:spacing w:before="0" w:line="233" w:lineRule="exact"/>
              <w:ind w:left="172" w:right="141"/>
              <w:jc w:val="center"/>
            </w:pPr>
            <w:r>
              <w:rPr>
                <w:spacing w:val="-5"/>
              </w:rPr>
              <w:t>49</w:t>
            </w:r>
          </w:p>
        </w:tc>
        <w:tc>
          <w:tcPr>
            <w:tcW w:w="1001" w:type="dxa"/>
            <w:tcBorders>
              <w:top w:val="single" w:color="B6B6B6" w:sz="4" w:space="0"/>
              <w:bottom w:val="single" w:color="B6B6B6" w:sz="4" w:space="0"/>
            </w:tcBorders>
          </w:tcPr>
          <w:p w:rsidR="00C31389" w:rsidRDefault="00561FBD" w14:paraId="0B3974C7" w14:textId="77777777">
            <w:pPr>
              <w:pStyle w:val="TableParagraph"/>
              <w:spacing w:before="0" w:line="233" w:lineRule="exact"/>
              <w:ind w:left="31"/>
              <w:jc w:val="center"/>
            </w:pPr>
            <w:r>
              <w:rPr>
                <w:w w:val="99"/>
              </w:rPr>
              <w:t>0</w:t>
            </w:r>
          </w:p>
        </w:tc>
      </w:tr>
      <w:tr w:rsidR="00C31389" w14:paraId="4346F791" w14:textId="77777777">
        <w:trPr>
          <w:trHeight w:val="252"/>
        </w:trPr>
        <w:tc>
          <w:tcPr>
            <w:tcW w:w="1739" w:type="dxa"/>
            <w:tcBorders>
              <w:top w:val="single" w:color="B6B6B6" w:sz="4" w:space="0"/>
              <w:bottom w:val="double" w:color="B6B6B6" w:sz="4" w:space="0"/>
            </w:tcBorders>
          </w:tcPr>
          <w:p w:rsidR="00C31389" w:rsidRDefault="00561FBD" w14:paraId="125102C4" w14:textId="77777777">
            <w:pPr>
              <w:pStyle w:val="TableParagraph"/>
              <w:spacing w:before="0" w:line="232" w:lineRule="exact"/>
              <w:ind w:left="115"/>
            </w:pPr>
            <w:r>
              <w:rPr>
                <w:spacing w:val="-2"/>
              </w:rPr>
              <w:t>Sonoma</w:t>
            </w:r>
          </w:p>
        </w:tc>
        <w:tc>
          <w:tcPr>
            <w:tcW w:w="2313" w:type="dxa"/>
            <w:tcBorders>
              <w:top w:val="single" w:color="B6B6B6" w:sz="4" w:space="0"/>
              <w:bottom w:val="double" w:color="B6B6B6" w:sz="4" w:space="0"/>
            </w:tcBorders>
          </w:tcPr>
          <w:p w:rsidR="00C31389" w:rsidRDefault="00561FBD" w14:paraId="48E3C603" w14:textId="77777777">
            <w:pPr>
              <w:pStyle w:val="TableParagraph"/>
              <w:spacing w:before="0" w:line="232" w:lineRule="exact"/>
              <w:ind w:left="867" w:right="863"/>
              <w:jc w:val="center"/>
            </w:pPr>
            <w:r>
              <w:rPr>
                <w:spacing w:val="-5"/>
              </w:rPr>
              <w:t>335</w:t>
            </w:r>
          </w:p>
        </w:tc>
        <w:tc>
          <w:tcPr>
            <w:tcW w:w="1222" w:type="dxa"/>
            <w:tcBorders>
              <w:top w:val="single" w:color="B6B6B6" w:sz="4" w:space="0"/>
              <w:bottom w:val="double" w:color="B6B6B6" w:sz="4" w:space="0"/>
            </w:tcBorders>
          </w:tcPr>
          <w:p w:rsidR="00C31389" w:rsidRDefault="00561FBD" w14:paraId="65302C64" w14:textId="77777777">
            <w:pPr>
              <w:pStyle w:val="TableParagraph"/>
              <w:spacing w:before="0" w:line="232" w:lineRule="exact"/>
              <w:ind w:left="141"/>
              <w:jc w:val="center"/>
            </w:pPr>
            <w:r>
              <w:rPr>
                <w:w w:val="99"/>
              </w:rPr>
              <w:t>4</w:t>
            </w:r>
          </w:p>
        </w:tc>
        <w:tc>
          <w:tcPr>
            <w:tcW w:w="1392" w:type="dxa"/>
            <w:tcBorders>
              <w:top w:val="single" w:color="B6B6B6" w:sz="4" w:space="0"/>
              <w:bottom w:val="double" w:color="B6B6B6" w:sz="4" w:space="0"/>
            </w:tcBorders>
          </w:tcPr>
          <w:p w:rsidR="00C31389" w:rsidRDefault="00561FBD" w14:paraId="0423E73A" w14:textId="77777777">
            <w:pPr>
              <w:pStyle w:val="TableParagraph"/>
              <w:spacing w:before="0" w:line="232" w:lineRule="exact"/>
              <w:ind w:left="174" w:right="168"/>
              <w:jc w:val="center"/>
            </w:pPr>
            <w:r>
              <w:rPr>
                <w:spacing w:val="-5"/>
              </w:rPr>
              <w:t>173</w:t>
            </w:r>
          </w:p>
        </w:tc>
        <w:tc>
          <w:tcPr>
            <w:tcW w:w="1363" w:type="dxa"/>
            <w:tcBorders>
              <w:top w:val="single" w:color="B6B6B6" w:sz="4" w:space="0"/>
              <w:bottom w:val="double" w:color="B6B6B6" w:sz="4" w:space="0"/>
            </w:tcBorders>
          </w:tcPr>
          <w:p w:rsidR="00C31389" w:rsidRDefault="00561FBD" w14:paraId="706A48F3" w14:textId="77777777">
            <w:pPr>
              <w:pStyle w:val="TableParagraph"/>
              <w:spacing w:before="0" w:line="232" w:lineRule="exact"/>
              <w:ind w:left="172" w:right="141"/>
              <w:jc w:val="center"/>
            </w:pPr>
            <w:r>
              <w:rPr>
                <w:spacing w:val="-5"/>
              </w:rPr>
              <w:t>153</w:t>
            </w:r>
          </w:p>
        </w:tc>
        <w:tc>
          <w:tcPr>
            <w:tcW w:w="1001" w:type="dxa"/>
            <w:tcBorders>
              <w:top w:val="single" w:color="B6B6B6" w:sz="4" w:space="0"/>
              <w:bottom w:val="double" w:color="B6B6B6" w:sz="4" w:space="0"/>
            </w:tcBorders>
          </w:tcPr>
          <w:p w:rsidR="00C31389" w:rsidRDefault="00561FBD" w14:paraId="387D8AEA" w14:textId="77777777">
            <w:pPr>
              <w:pStyle w:val="TableParagraph"/>
              <w:spacing w:before="0" w:line="232" w:lineRule="exact"/>
              <w:ind w:left="31"/>
              <w:jc w:val="center"/>
            </w:pPr>
            <w:r>
              <w:rPr>
                <w:w w:val="99"/>
              </w:rPr>
              <w:t>5</w:t>
            </w:r>
          </w:p>
        </w:tc>
      </w:tr>
      <w:tr w:rsidR="00C31389" w14:paraId="6CFB03AF" w14:textId="77777777">
        <w:trPr>
          <w:trHeight w:val="506"/>
        </w:trPr>
        <w:tc>
          <w:tcPr>
            <w:tcW w:w="1739" w:type="dxa"/>
            <w:tcBorders>
              <w:top w:val="double" w:color="B6B6B6" w:sz="4" w:space="0"/>
              <w:bottom w:val="single" w:color="B6B6B6" w:sz="4" w:space="0"/>
            </w:tcBorders>
          </w:tcPr>
          <w:p w:rsidR="00C31389" w:rsidRDefault="00561FBD" w14:paraId="1494573C" w14:textId="77777777">
            <w:pPr>
              <w:pStyle w:val="TableParagraph"/>
              <w:spacing w:before="128"/>
              <w:ind w:left="115"/>
              <w:rPr>
                <w:b/>
              </w:rPr>
            </w:pPr>
            <w:r>
              <w:rPr>
                <w:b/>
                <w:spacing w:val="-2"/>
              </w:rPr>
              <w:t>Total</w:t>
            </w:r>
          </w:p>
        </w:tc>
        <w:tc>
          <w:tcPr>
            <w:tcW w:w="2313" w:type="dxa"/>
            <w:tcBorders>
              <w:top w:val="double" w:color="B6B6B6" w:sz="4" w:space="0"/>
              <w:bottom w:val="single" w:color="B6B6B6" w:sz="4" w:space="0"/>
            </w:tcBorders>
          </w:tcPr>
          <w:p w:rsidR="00C31389" w:rsidRDefault="00561FBD" w14:paraId="19E35F4F" w14:textId="77777777">
            <w:pPr>
              <w:pStyle w:val="TableParagraph"/>
              <w:spacing w:before="128"/>
              <w:ind w:left="868" w:right="863"/>
              <w:jc w:val="center"/>
              <w:rPr>
                <w:b/>
              </w:rPr>
            </w:pPr>
            <w:r>
              <w:rPr>
                <w:b/>
                <w:spacing w:val="-2"/>
              </w:rPr>
              <w:t>4,382</w:t>
            </w:r>
          </w:p>
        </w:tc>
        <w:tc>
          <w:tcPr>
            <w:tcW w:w="1222" w:type="dxa"/>
            <w:tcBorders>
              <w:top w:val="double" w:color="B6B6B6" w:sz="4" w:space="0"/>
              <w:bottom w:val="single" w:color="B6B6B6" w:sz="4" w:space="0"/>
            </w:tcBorders>
          </w:tcPr>
          <w:p w:rsidR="00C31389" w:rsidRDefault="00561FBD" w14:paraId="42CC0A41" w14:textId="77777777">
            <w:pPr>
              <w:pStyle w:val="TableParagraph"/>
              <w:spacing w:before="0"/>
              <w:ind w:left="498"/>
              <w:rPr>
                <w:b/>
              </w:rPr>
            </w:pPr>
            <w:r>
              <w:rPr>
                <w:b/>
                <w:spacing w:val="-5"/>
              </w:rPr>
              <w:t>128</w:t>
            </w:r>
          </w:p>
          <w:p w:rsidR="00C31389" w:rsidRDefault="00561FBD" w14:paraId="28B22E11" w14:textId="77777777">
            <w:pPr>
              <w:pStyle w:val="TableParagraph"/>
              <w:spacing w:before="1" w:line="233" w:lineRule="exact"/>
              <w:ind w:left="449"/>
              <w:rPr>
                <w:b/>
              </w:rPr>
            </w:pPr>
            <w:r>
              <w:rPr>
                <w:b/>
                <w:spacing w:val="-4"/>
              </w:rPr>
              <w:t>(3%)</w:t>
            </w:r>
          </w:p>
        </w:tc>
        <w:tc>
          <w:tcPr>
            <w:tcW w:w="1392" w:type="dxa"/>
            <w:tcBorders>
              <w:top w:val="double" w:color="B6B6B6" w:sz="4" w:space="0"/>
              <w:bottom w:val="single" w:color="B6B6B6" w:sz="4" w:space="0"/>
            </w:tcBorders>
          </w:tcPr>
          <w:p w:rsidR="00C31389" w:rsidRDefault="00561FBD" w14:paraId="569DFC78" w14:textId="77777777">
            <w:pPr>
              <w:pStyle w:val="TableParagraph"/>
              <w:spacing w:before="0"/>
              <w:ind w:left="424"/>
              <w:rPr>
                <w:b/>
              </w:rPr>
            </w:pPr>
            <w:r>
              <w:rPr>
                <w:b/>
                <w:spacing w:val="-2"/>
              </w:rPr>
              <w:t>2,585</w:t>
            </w:r>
          </w:p>
          <w:p w:rsidR="00C31389" w:rsidRDefault="00561FBD" w14:paraId="05EB6D93" w14:textId="77777777">
            <w:pPr>
              <w:pStyle w:val="TableParagraph"/>
              <w:spacing w:before="1" w:line="233" w:lineRule="exact"/>
              <w:ind w:left="406"/>
              <w:rPr>
                <w:b/>
              </w:rPr>
            </w:pPr>
            <w:r>
              <w:rPr>
                <w:b/>
                <w:spacing w:val="-2"/>
              </w:rPr>
              <w:t>(59%)</w:t>
            </w:r>
          </w:p>
        </w:tc>
        <w:tc>
          <w:tcPr>
            <w:tcW w:w="1363" w:type="dxa"/>
            <w:tcBorders>
              <w:top w:val="double" w:color="B6B6B6" w:sz="4" w:space="0"/>
              <w:bottom w:val="single" w:color="B6B6B6" w:sz="4" w:space="0"/>
            </w:tcBorders>
          </w:tcPr>
          <w:p w:rsidR="00C31389" w:rsidRDefault="00561FBD" w14:paraId="33D75C0C" w14:textId="77777777">
            <w:pPr>
              <w:pStyle w:val="TableParagraph"/>
              <w:spacing w:before="0"/>
              <w:ind w:left="422"/>
              <w:rPr>
                <w:b/>
              </w:rPr>
            </w:pPr>
            <w:r>
              <w:rPr>
                <w:b/>
                <w:spacing w:val="-2"/>
              </w:rPr>
              <w:t>1,582</w:t>
            </w:r>
          </w:p>
          <w:p w:rsidR="00C31389" w:rsidRDefault="00561FBD" w14:paraId="67F30250" w14:textId="77777777">
            <w:pPr>
              <w:pStyle w:val="TableParagraph"/>
              <w:spacing w:before="1" w:line="233" w:lineRule="exact"/>
              <w:ind w:left="404"/>
              <w:rPr>
                <w:b/>
              </w:rPr>
            </w:pPr>
            <w:r>
              <w:rPr>
                <w:b/>
                <w:spacing w:val="-2"/>
              </w:rPr>
              <w:t>(36%)</w:t>
            </w:r>
          </w:p>
        </w:tc>
        <w:tc>
          <w:tcPr>
            <w:tcW w:w="1001" w:type="dxa"/>
            <w:tcBorders>
              <w:top w:val="double" w:color="B6B6B6" w:sz="4" w:space="0"/>
              <w:bottom w:val="single" w:color="B6B6B6" w:sz="4" w:space="0"/>
            </w:tcBorders>
          </w:tcPr>
          <w:p w:rsidR="00C31389" w:rsidRDefault="00561FBD" w14:paraId="70AC9B9D" w14:textId="77777777">
            <w:pPr>
              <w:pStyle w:val="TableParagraph"/>
              <w:spacing w:before="0"/>
              <w:ind w:left="145" w:right="114"/>
              <w:jc w:val="center"/>
              <w:rPr>
                <w:b/>
              </w:rPr>
            </w:pPr>
            <w:r>
              <w:rPr>
                <w:b/>
                <w:spacing w:val="-5"/>
              </w:rPr>
              <w:t>87</w:t>
            </w:r>
          </w:p>
          <w:p w:rsidR="00C31389" w:rsidRDefault="00561FBD" w14:paraId="28DACD19" w14:textId="77777777">
            <w:pPr>
              <w:pStyle w:val="TableParagraph"/>
              <w:spacing w:before="1" w:line="233" w:lineRule="exact"/>
              <w:ind w:left="144" w:right="114"/>
              <w:jc w:val="center"/>
              <w:rPr>
                <w:b/>
              </w:rPr>
            </w:pPr>
            <w:r>
              <w:rPr>
                <w:b/>
                <w:spacing w:val="-4"/>
              </w:rPr>
              <w:t>(2%)</w:t>
            </w:r>
          </w:p>
        </w:tc>
      </w:tr>
    </w:tbl>
    <w:p w:rsidR="00C31389" w:rsidRDefault="00561FBD" w14:paraId="74C934FA" w14:textId="77777777">
      <w:pPr>
        <w:spacing w:before="72"/>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660243F1" w14:textId="77777777">
      <w:pPr>
        <w:pStyle w:val="BodyText"/>
        <w:spacing w:before="10"/>
        <w:rPr>
          <w:i/>
          <w:sz w:val="20"/>
        </w:rPr>
      </w:pPr>
    </w:p>
    <w:p w:rsidR="00C31389" w:rsidRDefault="00561FBD" w14:paraId="7FF56EC1" w14:textId="77777777">
      <w:pPr>
        <w:pStyle w:val="BodyText"/>
        <w:ind w:left="1200" w:right="418"/>
      </w:pPr>
      <w:r>
        <w:t xml:space="preserve">Detailed information on panel size and upgrades is also available from the CPUC’s residential Technology and Equipment for Clean Heating </w:t>
      </w:r>
      <w:r>
        <w:t>(TECH) decarbonization program</w:t>
      </w:r>
      <w:r>
        <w:rPr>
          <w:spacing w:val="-4"/>
        </w:rPr>
        <w:t xml:space="preserve"> </w:t>
      </w:r>
      <w:r>
        <w:t>tracking</w:t>
      </w:r>
      <w:r>
        <w:rPr>
          <w:spacing w:val="-3"/>
        </w:rPr>
        <w:t xml:space="preserve"> </w:t>
      </w:r>
      <w:r>
        <w:t>data.</w:t>
      </w:r>
      <w:r>
        <w:rPr>
          <w:spacing w:val="-4"/>
        </w:rPr>
        <w:t xml:space="preserve"> </w:t>
      </w:r>
      <w:r>
        <w:t>Analysis</w:t>
      </w:r>
      <w:r>
        <w:rPr>
          <w:spacing w:val="-3"/>
        </w:rPr>
        <w:t xml:space="preserve"> </w:t>
      </w:r>
      <w:r>
        <w:t>of</w:t>
      </w:r>
      <w:r>
        <w:rPr>
          <w:spacing w:val="-3"/>
        </w:rPr>
        <w:t xml:space="preserve"> </w:t>
      </w:r>
      <w:r>
        <w:t>the</w:t>
      </w:r>
      <w:r>
        <w:rPr>
          <w:spacing w:val="-3"/>
        </w:rPr>
        <w:t xml:space="preserve"> </w:t>
      </w:r>
      <w:r>
        <w:t>TECH</w:t>
      </w:r>
      <w:r>
        <w:rPr>
          <w:spacing w:val="-4"/>
        </w:rPr>
        <w:t xml:space="preserve"> </w:t>
      </w:r>
      <w:r>
        <w:t>data</w:t>
      </w:r>
      <w:r>
        <w:rPr>
          <w:spacing w:val="-3"/>
        </w:rPr>
        <w:t xml:space="preserve"> </w:t>
      </w:r>
      <w:r>
        <w:t>publicly</w:t>
      </w:r>
      <w:r>
        <w:rPr>
          <w:spacing w:val="-3"/>
        </w:rPr>
        <w:t xml:space="preserve"> </w:t>
      </w:r>
      <w:r>
        <w:t>available</w:t>
      </w:r>
      <w:r>
        <w:rPr>
          <w:spacing w:val="-3"/>
        </w:rPr>
        <w:t xml:space="preserve"> </w:t>
      </w:r>
      <w:r>
        <w:t>at</w:t>
      </w:r>
      <w:r>
        <w:rPr>
          <w:spacing w:val="-4"/>
        </w:rPr>
        <w:t xml:space="preserve"> </w:t>
      </w:r>
      <w:r>
        <w:t>the</w:t>
      </w:r>
      <w:r>
        <w:rPr>
          <w:spacing w:val="-3"/>
        </w:rPr>
        <w:t xml:space="preserve"> </w:t>
      </w:r>
      <w:r>
        <w:t>time</w:t>
      </w:r>
      <w:r>
        <w:rPr>
          <w:spacing w:val="-3"/>
        </w:rPr>
        <w:t xml:space="preserve"> </w:t>
      </w:r>
      <w:r>
        <w:t>of</w:t>
      </w:r>
      <w:r>
        <w:rPr>
          <w:spacing w:val="-3"/>
        </w:rPr>
        <w:t xml:space="preserve"> </w:t>
      </w:r>
      <w:r>
        <w:t xml:space="preserve">this research is provided in </w:t>
      </w:r>
      <w:hyperlink w:history="1" w:anchor="_bookmark286">
        <w:r>
          <w:t>Table C-4</w:t>
        </w:r>
      </w:hyperlink>
      <w:r>
        <w:t xml:space="preserve">, which presents the percentage of TECH projects that needed an electric panel upgrade when electrifying the HVAC or water heating </w:t>
      </w:r>
      <w:r>
        <w:rPr>
          <w:spacing w:val="-2"/>
        </w:rPr>
        <w:t>system.</w:t>
      </w:r>
    </w:p>
    <w:p w:rsidR="00C31389" w:rsidRDefault="00C31389" w14:paraId="05A6EC23" w14:textId="77777777">
      <w:pPr>
        <w:pStyle w:val="BodyText"/>
        <w:spacing w:before="10"/>
        <w:rPr>
          <w:sz w:val="20"/>
        </w:rPr>
      </w:pPr>
    </w:p>
    <w:p w:rsidR="00C31389" w:rsidRDefault="00561FBD" w14:paraId="6FBD9E4E" w14:textId="77777777">
      <w:pPr>
        <w:pStyle w:val="Heading7"/>
        <w:ind w:left="398" w:right="339"/>
        <w:jc w:val="center"/>
      </w:pPr>
      <w:bookmarkStart w:name="_bookmark286" w:id="381"/>
      <w:bookmarkEnd w:id="381"/>
      <w:r>
        <w:t>Table</w:t>
      </w:r>
      <w:r>
        <w:rPr>
          <w:spacing w:val="-8"/>
        </w:rPr>
        <w:t xml:space="preserve"> </w:t>
      </w:r>
      <w:r>
        <w:t>C-4.</w:t>
      </w:r>
      <w:r>
        <w:rPr>
          <w:spacing w:val="-8"/>
        </w:rPr>
        <w:t xml:space="preserve"> </w:t>
      </w:r>
      <w:r>
        <w:t>TECH</w:t>
      </w:r>
      <w:r>
        <w:rPr>
          <w:spacing w:val="-9"/>
        </w:rPr>
        <w:t xml:space="preserve"> </w:t>
      </w:r>
      <w:r>
        <w:t>Program</w:t>
      </w:r>
      <w:r>
        <w:rPr>
          <w:spacing w:val="-7"/>
        </w:rPr>
        <w:t xml:space="preserve"> </w:t>
      </w:r>
      <w:r>
        <w:t>Tracking</w:t>
      </w:r>
      <w:r>
        <w:rPr>
          <w:spacing w:val="-8"/>
        </w:rPr>
        <w:t xml:space="preserve"> </w:t>
      </w:r>
      <w:r>
        <w:t>Data</w:t>
      </w:r>
      <w:r>
        <w:rPr>
          <w:spacing w:val="-7"/>
        </w:rPr>
        <w:t xml:space="preserve"> </w:t>
      </w:r>
      <w:r>
        <w:t>–</w:t>
      </w:r>
      <w:r>
        <w:rPr>
          <w:spacing w:val="-8"/>
        </w:rPr>
        <w:t xml:space="preserve"> </w:t>
      </w:r>
      <w:r>
        <w:t>downloaded</w:t>
      </w:r>
      <w:r>
        <w:rPr>
          <w:spacing w:val="-7"/>
        </w:rPr>
        <w:t xml:space="preserve"> </w:t>
      </w:r>
      <w:r>
        <w:rPr>
          <w:spacing w:val="-2"/>
        </w:rPr>
        <w:t>09/23/2022</w:t>
      </w:r>
    </w:p>
    <w:p w:rsidR="00C31389" w:rsidRDefault="00C31389" w14:paraId="586EFAE3" w14:textId="77777777">
      <w:pPr>
        <w:pStyle w:val="BodyText"/>
        <w:spacing w:before="11"/>
        <w:rPr>
          <w:b/>
          <w:sz w:val="9"/>
        </w:rPr>
      </w:pPr>
    </w:p>
    <w:tbl>
      <w:tblPr>
        <w:tblW w:w="0" w:type="auto"/>
        <w:tblInd w:w="487" w:type="dxa"/>
        <w:tblLayout w:type="fixed"/>
        <w:tblCellMar>
          <w:left w:w="0" w:type="dxa"/>
          <w:right w:w="0" w:type="dxa"/>
        </w:tblCellMar>
        <w:tblLook w:val="01E0" w:firstRow="1" w:lastRow="1" w:firstColumn="1" w:lastColumn="1" w:noHBand="0" w:noVBand="0"/>
      </w:tblPr>
      <w:tblGrid>
        <w:gridCol w:w="1161"/>
        <w:gridCol w:w="1029"/>
        <w:gridCol w:w="1006"/>
        <w:gridCol w:w="1016"/>
        <w:gridCol w:w="724"/>
        <w:gridCol w:w="671"/>
        <w:gridCol w:w="1138"/>
        <w:gridCol w:w="672"/>
        <w:gridCol w:w="1608"/>
      </w:tblGrid>
      <w:tr w:rsidR="00C31389" w14:paraId="2075D4F7" w14:textId="77777777">
        <w:trPr>
          <w:trHeight w:val="1420"/>
        </w:trPr>
        <w:tc>
          <w:tcPr>
            <w:tcW w:w="1161" w:type="dxa"/>
            <w:tcBorders>
              <w:bottom w:val="single" w:color="B6B6B6" w:sz="4" w:space="0"/>
            </w:tcBorders>
            <w:shd w:val="clear" w:color="auto" w:fill="92D400"/>
          </w:tcPr>
          <w:p w:rsidR="00C31389" w:rsidRDefault="00C31389" w14:paraId="349BCDAD" w14:textId="77777777">
            <w:pPr>
              <w:pStyle w:val="TableParagraph"/>
              <w:spacing w:before="0"/>
              <w:rPr>
                <w:b/>
              </w:rPr>
            </w:pPr>
          </w:p>
          <w:p w:rsidR="00C31389" w:rsidRDefault="00C31389" w14:paraId="582E3F50" w14:textId="77777777">
            <w:pPr>
              <w:pStyle w:val="TableParagraph"/>
              <w:spacing w:before="6"/>
              <w:rPr>
                <w:b/>
                <w:sz w:val="21"/>
              </w:rPr>
            </w:pPr>
          </w:p>
          <w:p w:rsidR="00C31389" w:rsidRDefault="00561FBD" w14:paraId="013FB543" w14:textId="77777777">
            <w:pPr>
              <w:pStyle w:val="TableParagraph"/>
              <w:spacing w:before="0"/>
              <w:ind w:left="108" w:right="249"/>
              <w:rPr>
                <w:b/>
                <w:sz w:val="20"/>
              </w:rPr>
            </w:pPr>
            <w:r>
              <w:rPr>
                <w:b/>
                <w:spacing w:val="-2"/>
                <w:sz w:val="20"/>
              </w:rPr>
              <w:t xml:space="preserve">Building </w:t>
            </w:r>
            <w:r>
              <w:rPr>
                <w:b/>
                <w:spacing w:val="-4"/>
                <w:sz w:val="20"/>
              </w:rPr>
              <w:t>Type</w:t>
            </w:r>
          </w:p>
        </w:tc>
        <w:tc>
          <w:tcPr>
            <w:tcW w:w="1029" w:type="dxa"/>
            <w:tcBorders>
              <w:bottom w:val="single" w:color="B6B6B6" w:sz="4" w:space="0"/>
            </w:tcBorders>
            <w:shd w:val="clear" w:color="auto" w:fill="92D400"/>
          </w:tcPr>
          <w:p w:rsidR="00C31389" w:rsidRDefault="00561FBD" w14:paraId="04196C9D" w14:textId="77777777">
            <w:pPr>
              <w:pStyle w:val="TableParagraph"/>
              <w:spacing w:before="155"/>
              <w:ind w:left="108" w:right="107"/>
              <w:jc w:val="center"/>
              <w:rPr>
                <w:b/>
                <w:sz w:val="20"/>
              </w:rPr>
            </w:pPr>
            <w:r>
              <w:rPr>
                <w:b/>
                <w:spacing w:val="-4"/>
                <w:sz w:val="20"/>
              </w:rPr>
              <w:t xml:space="preserve">Panel Amp </w:t>
            </w:r>
            <w:r>
              <w:rPr>
                <w:b/>
                <w:spacing w:val="-2"/>
                <w:sz w:val="20"/>
              </w:rPr>
              <w:t xml:space="preserve">Range </w:t>
            </w:r>
            <w:r>
              <w:rPr>
                <w:b/>
                <w:spacing w:val="-4"/>
                <w:sz w:val="20"/>
              </w:rPr>
              <w:t xml:space="preserve">Pre- </w:t>
            </w:r>
            <w:r>
              <w:rPr>
                <w:b/>
                <w:spacing w:val="-2"/>
                <w:sz w:val="20"/>
              </w:rPr>
              <w:t>Installed</w:t>
            </w:r>
          </w:p>
        </w:tc>
        <w:tc>
          <w:tcPr>
            <w:tcW w:w="1006" w:type="dxa"/>
            <w:tcBorders>
              <w:bottom w:val="single" w:color="B6B6B6" w:sz="4" w:space="0"/>
            </w:tcBorders>
            <w:shd w:val="clear" w:color="auto" w:fill="92D400"/>
          </w:tcPr>
          <w:p w:rsidR="00C31389" w:rsidRDefault="00C31389" w14:paraId="5E686906" w14:textId="77777777">
            <w:pPr>
              <w:pStyle w:val="TableParagraph"/>
              <w:spacing w:before="0"/>
              <w:rPr>
                <w:b/>
              </w:rPr>
            </w:pPr>
          </w:p>
          <w:p w:rsidR="00C31389" w:rsidRDefault="00C31389" w14:paraId="6691F409" w14:textId="77777777">
            <w:pPr>
              <w:pStyle w:val="TableParagraph"/>
              <w:spacing w:before="6"/>
              <w:rPr>
                <w:b/>
                <w:sz w:val="21"/>
              </w:rPr>
            </w:pPr>
          </w:p>
          <w:p w:rsidR="00C31389" w:rsidRDefault="00561FBD" w14:paraId="084BEA98" w14:textId="77777777">
            <w:pPr>
              <w:pStyle w:val="TableParagraph"/>
              <w:spacing w:before="0"/>
              <w:ind w:left="108" w:right="104" w:firstLine="154"/>
              <w:rPr>
                <w:b/>
                <w:sz w:val="20"/>
              </w:rPr>
            </w:pPr>
            <w:r>
              <w:rPr>
                <w:b/>
                <w:spacing w:val="-4"/>
                <w:sz w:val="20"/>
              </w:rPr>
              <w:t xml:space="preserve">Total </w:t>
            </w:r>
            <w:r>
              <w:rPr>
                <w:b/>
                <w:spacing w:val="-2"/>
                <w:sz w:val="20"/>
              </w:rPr>
              <w:t>Projects</w:t>
            </w:r>
          </w:p>
        </w:tc>
        <w:tc>
          <w:tcPr>
            <w:tcW w:w="1016" w:type="dxa"/>
            <w:shd w:val="clear" w:color="auto" w:fill="92D400"/>
          </w:tcPr>
          <w:p w:rsidR="00C31389" w:rsidRDefault="00561FBD" w14:paraId="63737D38" w14:textId="77777777">
            <w:pPr>
              <w:pStyle w:val="TableParagraph"/>
              <w:ind w:left="107" w:right="105" w:hanging="2"/>
              <w:jc w:val="center"/>
              <w:rPr>
                <w:b/>
                <w:sz w:val="20"/>
              </w:rPr>
            </w:pPr>
            <w:r>
              <w:rPr>
                <w:b/>
                <w:sz w:val="20"/>
              </w:rPr>
              <w:t xml:space="preserve">% of </w:t>
            </w:r>
            <w:r>
              <w:rPr>
                <w:b/>
                <w:spacing w:val="-2"/>
                <w:sz w:val="20"/>
              </w:rPr>
              <w:t xml:space="preserve">Total Projects </w:t>
            </w:r>
            <w:r>
              <w:rPr>
                <w:b/>
                <w:spacing w:val="-6"/>
                <w:sz w:val="20"/>
              </w:rPr>
              <w:t xml:space="preserve">in </w:t>
            </w:r>
            <w:r>
              <w:rPr>
                <w:b/>
                <w:spacing w:val="-2"/>
                <w:sz w:val="20"/>
              </w:rPr>
              <w:t>Building</w:t>
            </w:r>
          </w:p>
          <w:p w:rsidR="00C31389" w:rsidRDefault="00561FBD" w14:paraId="6097A96E" w14:textId="77777777">
            <w:pPr>
              <w:pStyle w:val="TableParagraph"/>
              <w:spacing w:before="1" w:line="209" w:lineRule="exact"/>
              <w:ind w:left="262" w:right="262"/>
              <w:jc w:val="center"/>
              <w:rPr>
                <w:b/>
                <w:sz w:val="20"/>
              </w:rPr>
            </w:pPr>
            <w:r>
              <w:rPr>
                <w:b/>
                <w:spacing w:val="-4"/>
                <w:sz w:val="20"/>
              </w:rPr>
              <w:t>Type</w:t>
            </w:r>
          </w:p>
        </w:tc>
        <w:tc>
          <w:tcPr>
            <w:tcW w:w="724" w:type="dxa"/>
            <w:shd w:val="clear" w:color="auto" w:fill="92D400"/>
          </w:tcPr>
          <w:p w:rsidR="00C31389" w:rsidRDefault="00C31389" w14:paraId="354BC3DE" w14:textId="77777777">
            <w:pPr>
              <w:pStyle w:val="TableParagraph"/>
              <w:spacing w:before="0"/>
              <w:rPr>
                <w:rFonts w:ascii="Times New Roman"/>
                <w:sz w:val="20"/>
              </w:rPr>
            </w:pPr>
          </w:p>
        </w:tc>
        <w:tc>
          <w:tcPr>
            <w:tcW w:w="1809" w:type="dxa"/>
            <w:gridSpan w:val="2"/>
            <w:shd w:val="clear" w:color="auto" w:fill="92D400"/>
          </w:tcPr>
          <w:p w:rsidR="00C31389" w:rsidRDefault="00C31389" w14:paraId="36A5EC7F" w14:textId="77777777">
            <w:pPr>
              <w:pStyle w:val="TableParagraph"/>
              <w:spacing w:before="0"/>
              <w:rPr>
                <w:b/>
              </w:rPr>
            </w:pPr>
          </w:p>
          <w:p w:rsidR="00C31389" w:rsidRDefault="00C31389" w14:paraId="166E9D9B" w14:textId="77777777">
            <w:pPr>
              <w:pStyle w:val="TableParagraph"/>
              <w:spacing w:before="6"/>
              <w:rPr>
                <w:b/>
                <w:sz w:val="31"/>
              </w:rPr>
            </w:pPr>
          </w:p>
          <w:p w:rsidR="00C31389" w:rsidRDefault="00561FBD" w14:paraId="2CA0F224" w14:textId="77777777">
            <w:pPr>
              <w:pStyle w:val="TableParagraph"/>
              <w:spacing w:before="1"/>
              <w:ind w:left="178"/>
              <w:rPr>
                <w:b/>
                <w:sz w:val="20"/>
              </w:rPr>
            </w:pPr>
            <w:r>
              <w:rPr>
                <w:b/>
                <w:sz w:val="20"/>
              </w:rPr>
              <w:t>Panel</w:t>
            </w:r>
            <w:r>
              <w:rPr>
                <w:b/>
                <w:spacing w:val="-5"/>
                <w:sz w:val="20"/>
              </w:rPr>
              <w:t xml:space="preserve"> </w:t>
            </w:r>
            <w:r>
              <w:rPr>
                <w:b/>
                <w:spacing w:val="-2"/>
                <w:sz w:val="20"/>
              </w:rPr>
              <w:t>Upgrade</w:t>
            </w:r>
          </w:p>
        </w:tc>
        <w:tc>
          <w:tcPr>
            <w:tcW w:w="672" w:type="dxa"/>
            <w:shd w:val="clear" w:color="auto" w:fill="92D400"/>
          </w:tcPr>
          <w:p w:rsidR="00C31389" w:rsidRDefault="00C31389" w14:paraId="357616B6" w14:textId="77777777">
            <w:pPr>
              <w:pStyle w:val="TableParagraph"/>
              <w:spacing w:before="0"/>
              <w:rPr>
                <w:rFonts w:ascii="Times New Roman"/>
                <w:sz w:val="20"/>
              </w:rPr>
            </w:pPr>
          </w:p>
        </w:tc>
        <w:tc>
          <w:tcPr>
            <w:tcW w:w="1608" w:type="dxa"/>
            <w:shd w:val="clear" w:color="auto" w:fill="92D400"/>
          </w:tcPr>
          <w:p w:rsidR="00C31389" w:rsidRDefault="00C31389" w14:paraId="0E521079" w14:textId="77777777">
            <w:pPr>
              <w:pStyle w:val="TableParagraph"/>
              <w:spacing w:before="0"/>
              <w:rPr>
                <w:b/>
              </w:rPr>
            </w:pPr>
          </w:p>
          <w:p w:rsidR="00C31389" w:rsidRDefault="00C31389" w14:paraId="7D4EA8F3" w14:textId="77777777">
            <w:pPr>
              <w:pStyle w:val="TableParagraph"/>
              <w:spacing w:before="6"/>
              <w:rPr>
                <w:b/>
                <w:sz w:val="31"/>
              </w:rPr>
            </w:pPr>
          </w:p>
          <w:p w:rsidR="00C31389" w:rsidRDefault="00561FBD" w14:paraId="4DB47EEB" w14:textId="77777777">
            <w:pPr>
              <w:pStyle w:val="TableParagraph"/>
              <w:spacing w:before="1"/>
              <w:ind w:left="108"/>
              <w:rPr>
                <w:b/>
                <w:sz w:val="20"/>
              </w:rPr>
            </w:pPr>
            <w:r>
              <w:rPr>
                <w:b/>
                <w:spacing w:val="-2"/>
                <w:sz w:val="20"/>
              </w:rPr>
              <w:t>Comment</w:t>
            </w:r>
          </w:p>
        </w:tc>
      </w:tr>
      <w:tr w:rsidR="00C31389" w14:paraId="02512B49" w14:textId="77777777">
        <w:trPr>
          <w:trHeight w:val="758"/>
        </w:trPr>
        <w:tc>
          <w:tcPr>
            <w:tcW w:w="1161" w:type="dxa"/>
            <w:tcBorders>
              <w:top w:val="single" w:color="B6B6B6" w:sz="4" w:space="0"/>
            </w:tcBorders>
          </w:tcPr>
          <w:p w:rsidR="00C31389" w:rsidRDefault="00C31389" w14:paraId="6377C82B" w14:textId="77777777">
            <w:pPr>
              <w:pStyle w:val="TableParagraph"/>
              <w:spacing w:before="0"/>
              <w:rPr>
                <w:rFonts w:ascii="Times New Roman"/>
                <w:sz w:val="20"/>
              </w:rPr>
            </w:pPr>
          </w:p>
        </w:tc>
        <w:tc>
          <w:tcPr>
            <w:tcW w:w="1029" w:type="dxa"/>
            <w:tcBorders>
              <w:top w:val="single" w:color="B6B6B6" w:sz="4" w:space="0"/>
            </w:tcBorders>
          </w:tcPr>
          <w:p w:rsidR="00C31389" w:rsidRDefault="00C31389" w14:paraId="0546FB8E" w14:textId="77777777">
            <w:pPr>
              <w:pStyle w:val="TableParagraph"/>
              <w:spacing w:before="0"/>
              <w:rPr>
                <w:rFonts w:ascii="Times New Roman"/>
                <w:sz w:val="20"/>
              </w:rPr>
            </w:pPr>
          </w:p>
        </w:tc>
        <w:tc>
          <w:tcPr>
            <w:tcW w:w="1006" w:type="dxa"/>
            <w:tcBorders>
              <w:top w:val="single" w:color="B6B6B6" w:sz="4" w:space="0"/>
            </w:tcBorders>
          </w:tcPr>
          <w:p w:rsidR="00C31389" w:rsidRDefault="00C31389" w14:paraId="0F2D3993" w14:textId="77777777">
            <w:pPr>
              <w:pStyle w:val="TableParagraph"/>
              <w:spacing w:before="0"/>
              <w:rPr>
                <w:rFonts w:ascii="Times New Roman"/>
                <w:sz w:val="20"/>
              </w:rPr>
            </w:pPr>
          </w:p>
        </w:tc>
        <w:tc>
          <w:tcPr>
            <w:tcW w:w="1016" w:type="dxa"/>
          </w:tcPr>
          <w:p w:rsidR="00C31389" w:rsidRDefault="00C31389" w14:paraId="55067EB7" w14:textId="77777777">
            <w:pPr>
              <w:pStyle w:val="TableParagraph"/>
              <w:spacing w:before="0"/>
              <w:rPr>
                <w:rFonts w:ascii="Times New Roman"/>
                <w:sz w:val="20"/>
              </w:rPr>
            </w:pPr>
          </w:p>
        </w:tc>
        <w:tc>
          <w:tcPr>
            <w:tcW w:w="724" w:type="dxa"/>
          </w:tcPr>
          <w:p w:rsidR="00C31389" w:rsidRDefault="00C31389" w14:paraId="753802CD" w14:textId="77777777">
            <w:pPr>
              <w:pStyle w:val="TableParagraph"/>
              <w:spacing w:before="6"/>
              <w:rPr>
                <w:b/>
                <w:sz w:val="23"/>
              </w:rPr>
            </w:pPr>
          </w:p>
          <w:p w:rsidR="00C31389" w:rsidRDefault="00561FBD" w14:paraId="00D067E4" w14:textId="77777777">
            <w:pPr>
              <w:pStyle w:val="TableParagraph"/>
              <w:spacing w:before="0"/>
              <w:ind w:left="164"/>
              <w:rPr>
                <w:sz w:val="20"/>
              </w:rPr>
            </w:pPr>
            <w:r>
              <w:rPr>
                <w:spacing w:val="-5"/>
                <w:sz w:val="20"/>
              </w:rPr>
              <w:t>No</w:t>
            </w:r>
          </w:p>
        </w:tc>
        <w:tc>
          <w:tcPr>
            <w:tcW w:w="671" w:type="dxa"/>
          </w:tcPr>
          <w:p w:rsidR="00C31389" w:rsidRDefault="00C31389" w14:paraId="562E3B37" w14:textId="77777777">
            <w:pPr>
              <w:pStyle w:val="TableParagraph"/>
              <w:spacing w:before="6"/>
              <w:rPr>
                <w:b/>
                <w:sz w:val="23"/>
              </w:rPr>
            </w:pPr>
          </w:p>
          <w:p w:rsidR="00C31389" w:rsidRDefault="00561FBD" w14:paraId="46A29F52" w14:textId="77777777">
            <w:pPr>
              <w:pStyle w:val="TableParagraph"/>
              <w:spacing w:before="0"/>
              <w:ind w:left="114"/>
              <w:rPr>
                <w:sz w:val="20"/>
              </w:rPr>
            </w:pPr>
            <w:r>
              <w:rPr>
                <w:spacing w:val="-5"/>
                <w:sz w:val="20"/>
              </w:rPr>
              <w:t>Yes</w:t>
            </w:r>
          </w:p>
        </w:tc>
        <w:tc>
          <w:tcPr>
            <w:tcW w:w="1138" w:type="dxa"/>
            <w:tcBorders>
              <w:top w:val="single" w:color="B6B6B6" w:sz="4" w:space="0"/>
            </w:tcBorders>
          </w:tcPr>
          <w:p w:rsidR="00C31389" w:rsidRDefault="00561FBD" w14:paraId="67C6F922" w14:textId="77777777">
            <w:pPr>
              <w:pStyle w:val="TableParagraph"/>
              <w:ind w:left="150" w:right="261"/>
              <w:rPr>
                <w:sz w:val="20"/>
              </w:rPr>
            </w:pPr>
            <w:r>
              <w:rPr>
                <w:sz w:val="20"/>
              </w:rPr>
              <w:t xml:space="preserve">% of </w:t>
            </w:r>
            <w:r>
              <w:rPr>
                <w:spacing w:val="-2"/>
                <w:sz w:val="20"/>
              </w:rPr>
              <w:t>Projects</w:t>
            </w:r>
          </w:p>
          <w:p w:rsidR="00C31389" w:rsidRDefault="00561FBD" w14:paraId="57508037" w14:textId="77777777">
            <w:pPr>
              <w:pStyle w:val="TableParagraph"/>
              <w:tabs>
                <w:tab w:val="left" w:pos="3419"/>
              </w:tabs>
              <w:spacing w:before="0" w:line="230" w:lineRule="exact"/>
              <w:ind w:left="-5607" w:right="-2290"/>
              <w:rPr>
                <w:sz w:val="20"/>
              </w:rPr>
            </w:pPr>
            <w:r>
              <w:rPr>
                <w:spacing w:val="76"/>
                <w:w w:val="150"/>
                <w:sz w:val="20"/>
                <w:u w:val="single" w:color="B6B6B6"/>
              </w:rPr>
              <w:t xml:space="preserve">                                    </w:t>
            </w:r>
            <w:r>
              <w:rPr>
                <w:spacing w:val="-2"/>
                <w:sz w:val="20"/>
                <w:u w:val="single" w:color="B6B6B6"/>
              </w:rPr>
              <w:t>Upgraded</w:t>
            </w:r>
            <w:r>
              <w:rPr>
                <w:sz w:val="20"/>
                <w:u w:val="single" w:color="B6B6B6"/>
              </w:rPr>
              <w:tab/>
            </w:r>
          </w:p>
        </w:tc>
        <w:tc>
          <w:tcPr>
            <w:tcW w:w="672" w:type="dxa"/>
          </w:tcPr>
          <w:p w:rsidR="00C31389" w:rsidRDefault="00C31389" w14:paraId="4653A947" w14:textId="77777777">
            <w:pPr>
              <w:pStyle w:val="TableParagraph"/>
              <w:spacing w:before="0"/>
              <w:rPr>
                <w:rFonts w:ascii="Times New Roman"/>
                <w:sz w:val="20"/>
              </w:rPr>
            </w:pPr>
          </w:p>
        </w:tc>
        <w:tc>
          <w:tcPr>
            <w:tcW w:w="1608" w:type="dxa"/>
          </w:tcPr>
          <w:p w:rsidR="00C31389" w:rsidRDefault="00C31389" w14:paraId="1291E6D5" w14:textId="77777777">
            <w:pPr>
              <w:pStyle w:val="TableParagraph"/>
              <w:spacing w:before="0"/>
              <w:rPr>
                <w:rFonts w:ascii="Times New Roman"/>
                <w:sz w:val="20"/>
              </w:rPr>
            </w:pPr>
          </w:p>
        </w:tc>
      </w:tr>
      <w:tr w:rsidR="00C31389" w14:paraId="7B7D8F30" w14:textId="77777777">
        <w:trPr>
          <w:trHeight w:val="505"/>
        </w:trPr>
        <w:tc>
          <w:tcPr>
            <w:tcW w:w="1161" w:type="dxa"/>
          </w:tcPr>
          <w:p w:rsidR="00C31389" w:rsidRDefault="00561FBD" w14:paraId="7EF641F1" w14:textId="77777777">
            <w:pPr>
              <w:pStyle w:val="TableParagraph"/>
              <w:spacing w:before="22" w:line="230" w:lineRule="exact"/>
              <w:ind w:left="108"/>
              <w:rPr>
                <w:sz w:val="20"/>
              </w:rPr>
            </w:pPr>
            <w:r>
              <w:rPr>
                <w:spacing w:val="-2"/>
                <w:sz w:val="20"/>
              </w:rPr>
              <w:t>Single</w:t>
            </w:r>
          </w:p>
          <w:p w:rsidR="00C31389" w:rsidRDefault="00561FBD" w14:paraId="484CC41F" w14:textId="77777777">
            <w:pPr>
              <w:pStyle w:val="TableParagraph"/>
              <w:tabs>
                <w:tab w:val="left" w:pos="6745"/>
              </w:tabs>
              <w:spacing w:before="0" w:line="230" w:lineRule="exact"/>
              <w:ind w:right="-5588"/>
              <w:rPr>
                <w:sz w:val="20"/>
              </w:rPr>
            </w:pPr>
            <w:r>
              <w:rPr>
                <w:spacing w:val="51"/>
                <w:sz w:val="20"/>
                <w:u w:val="single" w:color="B6B6B6"/>
              </w:rPr>
              <w:t xml:space="preserve"> </w:t>
            </w:r>
            <w:r>
              <w:rPr>
                <w:spacing w:val="-2"/>
                <w:sz w:val="20"/>
                <w:u w:val="single" w:color="B6B6B6"/>
              </w:rPr>
              <w:t>Family</w:t>
            </w:r>
            <w:r>
              <w:rPr>
                <w:sz w:val="20"/>
                <w:u w:val="single" w:color="B6B6B6"/>
              </w:rPr>
              <w:tab/>
            </w:r>
          </w:p>
        </w:tc>
        <w:tc>
          <w:tcPr>
            <w:tcW w:w="1029" w:type="dxa"/>
          </w:tcPr>
          <w:p w:rsidR="00C31389" w:rsidRDefault="00561FBD" w14:paraId="440CB6B3" w14:textId="77777777">
            <w:pPr>
              <w:pStyle w:val="TableParagraph"/>
              <w:spacing w:before="136"/>
              <w:ind w:left="107" w:right="107"/>
              <w:jc w:val="center"/>
              <w:rPr>
                <w:sz w:val="20"/>
              </w:rPr>
            </w:pPr>
            <w:r>
              <w:rPr>
                <w:spacing w:val="-4"/>
                <w:sz w:val="20"/>
              </w:rPr>
              <w:t>&lt;100</w:t>
            </w:r>
          </w:p>
        </w:tc>
        <w:tc>
          <w:tcPr>
            <w:tcW w:w="1006" w:type="dxa"/>
          </w:tcPr>
          <w:p w:rsidR="00C31389" w:rsidRDefault="00561FBD" w14:paraId="36C9B7E9" w14:textId="77777777">
            <w:pPr>
              <w:pStyle w:val="TableParagraph"/>
              <w:spacing w:before="136"/>
              <w:ind w:left="242" w:right="242"/>
              <w:jc w:val="center"/>
              <w:rPr>
                <w:sz w:val="20"/>
              </w:rPr>
            </w:pPr>
            <w:r>
              <w:rPr>
                <w:spacing w:val="-5"/>
                <w:sz w:val="20"/>
              </w:rPr>
              <w:t>93</w:t>
            </w:r>
          </w:p>
        </w:tc>
        <w:tc>
          <w:tcPr>
            <w:tcW w:w="1016" w:type="dxa"/>
          </w:tcPr>
          <w:p w:rsidR="00C31389" w:rsidRDefault="00561FBD" w14:paraId="73A13909" w14:textId="77777777">
            <w:pPr>
              <w:pStyle w:val="TableParagraph"/>
              <w:spacing w:before="136"/>
              <w:ind w:left="363"/>
              <w:rPr>
                <w:sz w:val="20"/>
              </w:rPr>
            </w:pPr>
            <w:r>
              <w:rPr>
                <w:spacing w:val="-5"/>
                <w:sz w:val="20"/>
              </w:rPr>
              <w:t>1%</w:t>
            </w:r>
          </w:p>
        </w:tc>
        <w:tc>
          <w:tcPr>
            <w:tcW w:w="724" w:type="dxa"/>
          </w:tcPr>
          <w:p w:rsidR="00C31389" w:rsidRDefault="00561FBD" w14:paraId="0B1614D8" w14:textId="77777777">
            <w:pPr>
              <w:pStyle w:val="TableParagraph"/>
              <w:spacing w:before="136"/>
              <w:ind w:left="233" w:right="237"/>
              <w:jc w:val="center"/>
              <w:rPr>
                <w:sz w:val="20"/>
              </w:rPr>
            </w:pPr>
            <w:r>
              <w:rPr>
                <w:spacing w:val="-5"/>
                <w:sz w:val="20"/>
              </w:rPr>
              <w:t>87</w:t>
            </w:r>
          </w:p>
        </w:tc>
        <w:tc>
          <w:tcPr>
            <w:tcW w:w="671" w:type="dxa"/>
          </w:tcPr>
          <w:p w:rsidR="00C31389" w:rsidRDefault="00561FBD" w14:paraId="692A5EA2" w14:textId="77777777">
            <w:pPr>
              <w:pStyle w:val="TableParagraph"/>
              <w:spacing w:before="136"/>
              <w:ind w:left="34"/>
              <w:jc w:val="center"/>
              <w:rPr>
                <w:sz w:val="20"/>
              </w:rPr>
            </w:pPr>
            <w:r>
              <w:rPr>
                <w:sz w:val="20"/>
              </w:rPr>
              <w:t>6</w:t>
            </w:r>
          </w:p>
        </w:tc>
        <w:tc>
          <w:tcPr>
            <w:tcW w:w="1138" w:type="dxa"/>
          </w:tcPr>
          <w:p w:rsidR="00C31389" w:rsidRDefault="00561FBD" w14:paraId="197D6796" w14:textId="77777777">
            <w:pPr>
              <w:pStyle w:val="TableParagraph"/>
              <w:spacing w:before="136"/>
              <w:ind w:left="290" w:right="248"/>
              <w:jc w:val="center"/>
              <w:rPr>
                <w:sz w:val="20"/>
              </w:rPr>
            </w:pPr>
            <w:r>
              <w:rPr>
                <w:spacing w:val="-4"/>
                <w:sz w:val="20"/>
              </w:rPr>
              <w:t>6.5%</w:t>
            </w:r>
          </w:p>
        </w:tc>
        <w:tc>
          <w:tcPr>
            <w:tcW w:w="672" w:type="dxa"/>
          </w:tcPr>
          <w:p w:rsidR="00C31389" w:rsidRDefault="00C31389" w14:paraId="7AFBAD32" w14:textId="77777777">
            <w:pPr>
              <w:pStyle w:val="TableParagraph"/>
              <w:spacing w:before="0"/>
              <w:rPr>
                <w:rFonts w:ascii="Times New Roman"/>
                <w:sz w:val="20"/>
              </w:rPr>
            </w:pPr>
          </w:p>
        </w:tc>
        <w:tc>
          <w:tcPr>
            <w:tcW w:w="1608" w:type="dxa"/>
            <w:vMerge w:val="restart"/>
            <w:tcBorders>
              <w:bottom w:val="single" w:color="B6B6B6" w:sz="4" w:space="0"/>
            </w:tcBorders>
          </w:tcPr>
          <w:p w:rsidR="00C31389" w:rsidRDefault="00561FBD" w14:paraId="243050DA" w14:textId="77777777">
            <w:pPr>
              <w:pStyle w:val="TableParagraph"/>
              <w:spacing w:before="22"/>
              <w:ind w:left="108" w:right="107"/>
              <w:rPr>
                <w:sz w:val="20"/>
              </w:rPr>
            </w:pPr>
            <w:r>
              <w:rPr>
                <w:sz w:val="20"/>
              </w:rPr>
              <w:t>Low</w:t>
            </w:r>
            <w:r>
              <w:rPr>
                <w:spacing w:val="-14"/>
                <w:sz w:val="20"/>
              </w:rPr>
              <w:t xml:space="preserve"> </w:t>
            </w:r>
            <w:r>
              <w:rPr>
                <w:sz w:val="20"/>
              </w:rPr>
              <w:t>upgrade</w:t>
            </w:r>
            <w:r>
              <w:rPr>
                <w:spacing w:val="-14"/>
                <w:sz w:val="20"/>
              </w:rPr>
              <w:t xml:space="preserve"> </w:t>
            </w:r>
            <w:r>
              <w:rPr>
                <w:sz w:val="20"/>
              </w:rPr>
              <w:t xml:space="preserve">% even when panel range is less than 100 A: Could be </w:t>
            </w:r>
            <w:r>
              <w:rPr>
                <w:spacing w:val="-2"/>
                <w:sz w:val="20"/>
              </w:rPr>
              <w:t>“modernization”</w:t>
            </w:r>
          </w:p>
          <w:p w:rsidR="00C31389" w:rsidRDefault="00561FBD" w14:paraId="6C9A6E12" w14:textId="77777777">
            <w:pPr>
              <w:pStyle w:val="TableParagraph"/>
              <w:spacing w:before="0" w:line="228" w:lineRule="exact"/>
              <w:ind w:left="108" w:right="169"/>
              <w:rPr>
                <w:sz w:val="20"/>
              </w:rPr>
            </w:pPr>
            <w:r>
              <w:rPr>
                <w:sz w:val="20"/>
              </w:rPr>
              <w:t>from</w:t>
            </w:r>
            <w:r>
              <w:rPr>
                <w:spacing w:val="-14"/>
                <w:sz w:val="20"/>
              </w:rPr>
              <w:t xml:space="preserve"> </w:t>
            </w:r>
            <w:r>
              <w:rPr>
                <w:sz w:val="20"/>
              </w:rPr>
              <w:t>fuse</w:t>
            </w:r>
            <w:r>
              <w:rPr>
                <w:spacing w:val="-14"/>
                <w:sz w:val="20"/>
              </w:rPr>
              <w:t xml:space="preserve"> </w:t>
            </w:r>
            <w:r>
              <w:rPr>
                <w:sz w:val="20"/>
              </w:rPr>
              <w:t>box to breakers</w:t>
            </w:r>
          </w:p>
        </w:tc>
      </w:tr>
      <w:tr w:rsidR="00C31389" w14:paraId="6BF26458" w14:textId="77777777">
        <w:trPr>
          <w:trHeight w:val="729"/>
        </w:trPr>
        <w:tc>
          <w:tcPr>
            <w:tcW w:w="1161" w:type="dxa"/>
          </w:tcPr>
          <w:p w:rsidR="00C31389" w:rsidRDefault="00561FBD" w14:paraId="1AEB1EF3" w14:textId="77777777">
            <w:pPr>
              <w:pStyle w:val="TableParagraph"/>
              <w:spacing w:before="17"/>
              <w:ind w:left="108" w:right="456"/>
              <w:rPr>
                <w:sz w:val="20"/>
              </w:rPr>
            </w:pPr>
            <w:r>
              <w:rPr>
                <w:spacing w:val="-2"/>
                <w:sz w:val="20"/>
              </w:rPr>
              <w:t>Single Family</w:t>
            </w:r>
          </w:p>
        </w:tc>
        <w:tc>
          <w:tcPr>
            <w:tcW w:w="1029" w:type="dxa"/>
          </w:tcPr>
          <w:p w:rsidR="00C31389" w:rsidRDefault="00561FBD" w14:paraId="490F0327" w14:textId="77777777">
            <w:pPr>
              <w:pStyle w:val="TableParagraph"/>
              <w:spacing w:before="17" w:line="230" w:lineRule="exact"/>
              <w:ind w:left="107" w:right="107"/>
              <w:jc w:val="center"/>
              <w:rPr>
                <w:sz w:val="20"/>
              </w:rPr>
            </w:pPr>
            <w:r>
              <w:rPr>
                <w:spacing w:val="-4"/>
                <w:sz w:val="20"/>
              </w:rPr>
              <w:t>&gt;=100</w:t>
            </w:r>
          </w:p>
          <w:p w:rsidR="00C31389" w:rsidRDefault="00561FBD" w14:paraId="5FF8D5D1" w14:textId="77777777">
            <w:pPr>
              <w:pStyle w:val="TableParagraph"/>
              <w:spacing w:before="0" w:line="230" w:lineRule="exact"/>
              <w:ind w:left="107" w:right="107"/>
              <w:jc w:val="center"/>
              <w:rPr>
                <w:sz w:val="20"/>
              </w:rPr>
            </w:pPr>
            <w:r>
              <w:rPr>
                <w:spacing w:val="-5"/>
                <w:sz w:val="20"/>
              </w:rPr>
              <w:t>and</w:t>
            </w:r>
          </w:p>
          <w:p w:rsidR="00C31389" w:rsidRDefault="00561FBD" w14:paraId="682FAD48" w14:textId="77777777">
            <w:pPr>
              <w:pStyle w:val="TableParagraph"/>
              <w:tabs>
                <w:tab w:val="left" w:pos="5584"/>
              </w:tabs>
              <w:spacing w:before="0"/>
              <w:ind w:left="-1162" w:right="-4565"/>
              <w:jc w:val="center"/>
              <w:rPr>
                <w:sz w:val="20"/>
              </w:rPr>
            </w:pPr>
            <w:r>
              <w:rPr>
                <w:spacing w:val="77"/>
                <w:w w:val="150"/>
                <w:sz w:val="20"/>
                <w:u w:val="single" w:color="B6B6B6"/>
              </w:rPr>
              <w:t xml:space="preserve">         </w:t>
            </w:r>
            <w:r>
              <w:rPr>
                <w:spacing w:val="-4"/>
                <w:sz w:val="20"/>
                <w:u w:val="single" w:color="B6B6B6"/>
              </w:rPr>
              <w:t>&lt;200</w:t>
            </w:r>
            <w:r>
              <w:rPr>
                <w:sz w:val="20"/>
                <w:u w:val="single" w:color="B6B6B6"/>
              </w:rPr>
              <w:tab/>
            </w:r>
          </w:p>
        </w:tc>
        <w:tc>
          <w:tcPr>
            <w:tcW w:w="1006" w:type="dxa"/>
          </w:tcPr>
          <w:p w:rsidR="00C31389" w:rsidRDefault="00C31389" w14:paraId="081794C0" w14:textId="77777777">
            <w:pPr>
              <w:pStyle w:val="TableParagraph"/>
              <w:spacing w:before="5"/>
              <w:rPr>
                <w:b/>
                <w:sz w:val="21"/>
              </w:rPr>
            </w:pPr>
          </w:p>
          <w:p w:rsidR="00C31389" w:rsidRDefault="00561FBD" w14:paraId="0BB24B51" w14:textId="77777777">
            <w:pPr>
              <w:pStyle w:val="TableParagraph"/>
              <w:spacing w:before="0"/>
              <w:ind w:left="242" w:right="242"/>
              <w:jc w:val="center"/>
              <w:rPr>
                <w:sz w:val="20"/>
              </w:rPr>
            </w:pPr>
            <w:r>
              <w:rPr>
                <w:spacing w:val="-4"/>
                <w:sz w:val="20"/>
              </w:rPr>
              <w:t>3,971</w:t>
            </w:r>
          </w:p>
        </w:tc>
        <w:tc>
          <w:tcPr>
            <w:tcW w:w="1016" w:type="dxa"/>
          </w:tcPr>
          <w:p w:rsidR="00C31389" w:rsidRDefault="00C31389" w14:paraId="5200136E" w14:textId="77777777">
            <w:pPr>
              <w:pStyle w:val="TableParagraph"/>
              <w:spacing w:before="5"/>
              <w:rPr>
                <w:b/>
                <w:sz w:val="21"/>
              </w:rPr>
            </w:pPr>
          </w:p>
          <w:p w:rsidR="00C31389" w:rsidRDefault="00561FBD" w14:paraId="67F634DB" w14:textId="77777777">
            <w:pPr>
              <w:pStyle w:val="TableParagraph"/>
              <w:spacing w:before="0"/>
              <w:ind w:left="306"/>
              <w:rPr>
                <w:sz w:val="20"/>
              </w:rPr>
            </w:pPr>
            <w:r>
              <w:rPr>
                <w:spacing w:val="-5"/>
                <w:sz w:val="20"/>
              </w:rPr>
              <w:t>47%</w:t>
            </w:r>
          </w:p>
        </w:tc>
        <w:tc>
          <w:tcPr>
            <w:tcW w:w="724" w:type="dxa"/>
          </w:tcPr>
          <w:p w:rsidR="00C31389" w:rsidRDefault="00C31389" w14:paraId="6B56A3DA" w14:textId="77777777">
            <w:pPr>
              <w:pStyle w:val="TableParagraph"/>
              <w:spacing w:before="5"/>
              <w:rPr>
                <w:b/>
                <w:sz w:val="21"/>
              </w:rPr>
            </w:pPr>
          </w:p>
          <w:p w:rsidR="00C31389" w:rsidRDefault="00561FBD" w14:paraId="75D8CA6B" w14:textId="77777777">
            <w:pPr>
              <w:pStyle w:val="TableParagraph"/>
              <w:spacing w:before="0"/>
              <w:ind w:left="107"/>
              <w:rPr>
                <w:sz w:val="20"/>
              </w:rPr>
            </w:pPr>
            <w:r>
              <w:rPr>
                <w:spacing w:val="-4"/>
                <w:sz w:val="20"/>
              </w:rPr>
              <w:t>3,811</w:t>
            </w:r>
          </w:p>
        </w:tc>
        <w:tc>
          <w:tcPr>
            <w:tcW w:w="671" w:type="dxa"/>
          </w:tcPr>
          <w:p w:rsidR="00C31389" w:rsidRDefault="00C31389" w14:paraId="18DA5E30" w14:textId="77777777">
            <w:pPr>
              <w:pStyle w:val="TableParagraph"/>
              <w:spacing w:before="5"/>
              <w:rPr>
                <w:b/>
                <w:sz w:val="21"/>
              </w:rPr>
            </w:pPr>
          </w:p>
          <w:p w:rsidR="00C31389" w:rsidRDefault="00561FBD" w14:paraId="0C5C1FE6" w14:textId="77777777">
            <w:pPr>
              <w:pStyle w:val="TableParagraph"/>
              <w:spacing w:before="0"/>
              <w:ind w:right="148"/>
              <w:jc w:val="right"/>
              <w:rPr>
                <w:sz w:val="20"/>
              </w:rPr>
            </w:pPr>
            <w:r>
              <w:rPr>
                <w:spacing w:val="-5"/>
                <w:sz w:val="20"/>
              </w:rPr>
              <w:t>160</w:t>
            </w:r>
          </w:p>
        </w:tc>
        <w:tc>
          <w:tcPr>
            <w:tcW w:w="1138" w:type="dxa"/>
          </w:tcPr>
          <w:p w:rsidR="00C31389" w:rsidRDefault="00C31389" w14:paraId="45406078" w14:textId="77777777">
            <w:pPr>
              <w:pStyle w:val="TableParagraph"/>
              <w:spacing w:before="5"/>
              <w:rPr>
                <w:b/>
                <w:sz w:val="21"/>
              </w:rPr>
            </w:pPr>
          </w:p>
          <w:p w:rsidR="00C31389" w:rsidRDefault="00561FBD" w14:paraId="51C1B1FC" w14:textId="77777777">
            <w:pPr>
              <w:pStyle w:val="TableParagraph"/>
              <w:spacing w:before="0"/>
              <w:ind w:left="290" w:right="248"/>
              <w:jc w:val="center"/>
              <w:rPr>
                <w:sz w:val="20"/>
              </w:rPr>
            </w:pPr>
            <w:r>
              <w:rPr>
                <w:spacing w:val="-4"/>
                <w:sz w:val="20"/>
              </w:rPr>
              <w:t>4.0%</w:t>
            </w:r>
          </w:p>
        </w:tc>
        <w:tc>
          <w:tcPr>
            <w:tcW w:w="672" w:type="dxa"/>
          </w:tcPr>
          <w:p w:rsidR="00C31389" w:rsidRDefault="00C31389" w14:paraId="0ED5FAF3" w14:textId="77777777">
            <w:pPr>
              <w:pStyle w:val="TableParagraph"/>
              <w:spacing w:before="0"/>
              <w:rPr>
                <w:b/>
                <w:sz w:val="27"/>
              </w:rPr>
            </w:pPr>
          </w:p>
          <w:p w:rsidR="00C31389" w:rsidRDefault="00561FBD" w14:paraId="4208ED0E" w14:textId="77777777">
            <w:pPr>
              <w:pStyle w:val="TableParagraph"/>
              <w:spacing w:before="0"/>
              <w:ind w:left="96" w:right="95"/>
              <w:jc w:val="center"/>
              <w:rPr>
                <w:sz w:val="20"/>
              </w:rPr>
            </w:pPr>
            <w:r>
              <w:rPr>
                <w:spacing w:val="-4"/>
                <w:sz w:val="20"/>
              </w:rPr>
              <w:t>4.7%</w:t>
            </w:r>
          </w:p>
        </w:tc>
        <w:tc>
          <w:tcPr>
            <w:tcW w:w="1608" w:type="dxa"/>
            <w:vMerge/>
            <w:tcBorders>
              <w:top w:val="nil"/>
              <w:bottom w:val="single" w:color="B6B6B6" w:sz="4" w:space="0"/>
            </w:tcBorders>
          </w:tcPr>
          <w:p w:rsidR="00C31389" w:rsidRDefault="00C31389" w14:paraId="6B7B1570" w14:textId="77777777">
            <w:pPr>
              <w:rPr>
                <w:sz w:val="2"/>
                <w:szCs w:val="2"/>
              </w:rPr>
            </w:pPr>
          </w:p>
        </w:tc>
      </w:tr>
      <w:tr w:rsidR="00C31389" w14:paraId="00551D2D" w14:textId="77777777">
        <w:trPr>
          <w:trHeight w:val="606"/>
        </w:trPr>
        <w:tc>
          <w:tcPr>
            <w:tcW w:w="1161" w:type="dxa"/>
            <w:tcBorders>
              <w:bottom w:val="single" w:color="B6B6B6" w:sz="4" w:space="0"/>
            </w:tcBorders>
          </w:tcPr>
          <w:p w:rsidR="00C31389" w:rsidRDefault="00561FBD" w14:paraId="4D006B25" w14:textId="77777777">
            <w:pPr>
              <w:pStyle w:val="TableParagraph"/>
              <w:spacing w:before="16"/>
              <w:ind w:left="108" w:right="456"/>
              <w:rPr>
                <w:sz w:val="20"/>
              </w:rPr>
            </w:pPr>
            <w:r>
              <w:rPr>
                <w:spacing w:val="-2"/>
                <w:sz w:val="20"/>
              </w:rPr>
              <w:t>Single Family</w:t>
            </w:r>
          </w:p>
        </w:tc>
        <w:tc>
          <w:tcPr>
            <w:tcW w:w="1029" w:type="dxa"/>
            <w:tcBorders>
              <w:bottom w:val="single" w:color="B6B6B6" w:sz="4" w:space="0"/>
            </w:tcBorders>
          </w:tcPr>
          <w:p w:rsidR="00C31389" w:rsidRDefault="00561FBD" w14:paraId="241B48EE" w14:textId="77777777">
            <w:pPr>
              <w:pStyle w:val="TableParagraph"/>
              <w:spacing w:before="196"/>
              <w:ind w:left="108" w:right="107"/>
              <w:jc w:val="center"/>
              <w:rPr>
                <w:sz w:val="20"/>
              </w:rPr>
            </w:pPr>
            <w:r>
              <w:rPr>
                <w:spacing w:val="-4"/>
                <w:sz w:val="20"/>
              </w:rPr>
              <w:t>&gt;=200</w:t>
            </w:r>
          </w:p>
        </w:tc>
        <w:tc>
          <w:tcPr>
            <w:tcW w:w="1006" w:type="dxa"/>
            <w:tcBorders>
              <w:bottom w:val="single" w:color="B6B6B6" w:sz="4" w:space="0"/>
            </w:tcBorders>
          </w:tcPr>
          <w:p w:rsidR="00C31389" w:rsidRDefault="00561FBD" w14:paraId="45C987CF" w14:textId="77777777">
            <w:pPr>
              <w:pStyle w:val="TableParagraph"/>
              <w:spacing w:before="196"/>
              <w:ind w:left="242" w:right="242"/>
              <w:jc w:val="center"/>
              <w:rPr>
                <w:sz w:val="20"/>
              </w:rPr>
            </w:pPr>
            <w:r>
              <w:rPr>
                <w:spacing w:val="-4"/>
                <w:sz w:val="20"/>
              </w:rPr>
              <w:t>4,330</w:t>
            </w:r>
          </w:p>
        </w:tc>
        <w:tc>
          <w:tcPr>
            <w:tcW w:w="1016" w:type="dxa"/>
            <w:tcBorders>
              <w:bottom w:val="single" w:color="B6B6B6" w:sz="4" w:space="0"/>
            </w:tcBorders>
          </w:tcPr>
          <w:p w:rsidR="00C31389" w:rsidRDefault="00561FBD" w14:paraId="5F6BF6A0" w14:textId="77777777">
            <w:pPr>
              <w:pStyle w:val="TableParagraph"/>
              <w:spacing w:before="196"/>
              <w:ind w:left="306"/>
              <w:rPr>
                <w:sz w:val="20"/>
              </w:rPr>
            </w:pPr>
            <w:r>
              <w:rPr>
                <w:spacing w:val="-5"/>
                <w:sz w:val="20"/>
              </w:rPr>
              <w:t>52%</w:t>
            </w:r>
          </w:p>
        </w:tc>
        <w:tc>
          <w:tcPr>
            <w:tcW w:w="724" w:type="dxa"/>
            <w:tcBorders>
              <w:bottom w:val="single" w:color="B6B6B6" w:sz="4" w:space="0"/>
            </w:tcBorders>
          </w:tcPr>
          <w:p w:rsidR="00C31389" w:rsidRDefault="00561FBD" w14:paraId="4BE13D94" w14:textId="77777777">
            <w:pPr>
              <w:pStyle w:val="TableParagraph"/>
              <w:spacing w:before="196"/>
              <w:ind w:left="107"/>
              <w:rPr>
                <w:sz w:val="20"/>
              </w:rPr>
            </w:pPr>
            <w:r>
              <w:rPr>
                <w:spacing w:val="-4"/>
                <w:sz w:val="20"/>
              </w:rPr>
              <w:t>4,101</w:t>
            </w:r>
          </w:p>
        </w:tc>
        <w:tc>
          <w:tcPr>
            <w:tcW w:w="671" w:type="dxa"/>
            <w:tcBorders>
              <w:bottom w:val="single" w:color="B6B6B6" w:sz="4" w:space="0"/>
            </w:tcBorders>
          </w:tcPr>
          <w:p w:rsidR="00C31389" w:rsidRDefault="00561FBD" w14:paraId="1B042E5C" w14:textId="77777777">
            <w:pPr>
              <w:pStyle w:val="TableParagraph"/>
              <w:spacing w:before="196"/>
              <w:ind w:right="148"/>
              <w:jc w:val="right"/>
              <w:rPr>
                <w:sz w:val="20"/>
              </w:rPr>
            </w:pPr>
            <w:r>
              <w:rPr>
                <w:spacing w:val="-5"/>
                <w:sz w:val="20"/>
              </w:rPr>
              <w:t>229</w:t>
            </w:r>
          </w:p>
        </w:tc>
        <w:tc>
          <w:tcPr>
            <w:tcW w:w="1138" w:type="dxa"/>
            <w:tcBorders>
              <w:bottom w:val="single" w:color="B6B6B6" w:sz="4" w:space="0"/>
            </w:tcBorders>
          </w:tcPr>
          <w:p w:rsidR="00C31389" w:rsidRDefault="00561FBD" w14:paraId="0A733FDD" w14:textId="77777777">
            <w:pPr>
              <w:pStyle w:val="TableParagraph"/>
              <w:spacing w:before="196"/>
              <w:ind w:left="290" w:right="248"/>
              <w:jc w:val="center"/>
              <w:rPr>
                <w:sz w:val="20"/>
              </w:rPr>
            </w:pPr>
            <w:r>
              <w:rPr>
                <w:spacing w:val="-4"/>
                <w:sz w:val="20"/>
              </w:rPr>
              <w:t>5.3%</w:t>
            </w:r>
          </w:p>
        </w:tc>
        <w:tc>
          <w:tcPr>
            <w:tcW w:w="672" w:type="dxa"/>
            <w:tcBorders>
              <w:bottom w:val="single" w:color="B6B6B6" w:sz="4" w:space="0"/>
            </w:tcBorders>
          </w:tcPr>
          <w:p w:rsidR="00C31389" w:rsidRDefault="00C31389" w14:paraId="0265BCDB" w14:textId="77777777">
            <w:pPr>
              <w:pStyle w:val="TableParagraph"/>
              <w:spacing w:before="0"/>
              <w:rPr>
                <w:rFonts w:ascii="Times New Roman"/>
                <w:sz w:val="20"/>
              </w:rPr>
            </w:pPr>
          </w:p>
        </w:tc>
        <w:tc>
          <w:tcPr>
            <w:tcW w:w="1608" w:type="dxa"/>
            <w:vMerge/>
            <w:tcBorders>
              <w:top w:val="nil"/>
              <w:bottom w:val="single" w:color="B6B6B6" w:sz="4" w:space="0"/>
            </w:tcBorders>
          </w:tcPr>
          <w:p w:rsidR="00C31389" w:rsidRDefault="00C31389" w14:paraId="140AE08C" w14:textId="77777777">
            <w:pPr>
              <w:rPr>
                <w:sz w:val="2"/>
                <w:szCs w:val="2"/>
              </w:rPr>
            </w:pPr>
          </w:p>
        </w:tc>
      </w:tr>
      <w:tr w:rsidR="00C31389" w14:paraId="57408C96" w14:textId="77777777">
        <w:trPr>
          <w:trHeight w:val="270"/>
        </w:trPr>
        <w:tc>
          <w:tcPr>
            <w:tcW w:w="1161" w:type="dxa"/>
            <w:tcBorders>
              <w:top w:val="single" w:color="B6B6B6" w:sz="4" w:space="0"/>
              <w:bottom w:val="single" w:color="B6B6B6" w:sz="4" w:space="0"/>
            </w:tcBorders>
          </w:tcPr>
          <w:p w:rsidR="00C31389" w:rsidRDefault="00561FBD" w14:paraId="5C4D084F" w14:textId="77777777">
            <w:pPr>
              <w:pStyle w:val="TableParagraph"/>
              <w:spacing w:before="41" w:line="209" w:lineRule="exact"/>
              <w:ind w:left="108"/>
              <w:rPr>
                <w:sz w:val="20"/>
              </w:rPr>
            </w:pPr>
            <w:r>
              <w:rPr>
                <w:spacing w:val="-2"/>
                <w:sz w:val="20"/>
              </w:rPr>
              <w:t>Multifamily</w:t>
            </w:r>
          </w:p>
        </w:tc>
        <w:tc>
          <w:tcPr>
            <w:tcW w:w="1029" w:type="dxa"/>
            <w:tcBorders>
              <w:top w:val="single" w:color="B6B6B6" w:sz="4" w:space="0"/>
              <w:bottom w:val="single" w:color="B6B6B6" w:sz="4" w:space="0"/>
            </w:tcBorders>
          </w:tcPr>
          <w:p w:rsidR="00C31389" w:rsidRDefault="00561FBD" w14:paraId="1244AB0D" w14:textId="77777777">
            <w:pPr>
              <w:pStyle w:val="TableParagraph"/>
              <w:spacing w:before="41" w:line="209" w:lineRule="exact"/>
              <w:ind w:left="107" w:right="107"/>
              <w:jc w:val="center"/>
              <w:rPr>
                <w:sz w:val="20"/>
              </w:rPr>
            </w:pPr>
            <w:r>
              <w:rPr>
                <w:spacing w:val="-4"/>
                <w:sz w:val="20"/>
              </w:rPr>
              <w:t>&lt;100</w:t>
            </w:r>
          </w:p>
        </w:tc>
        <w:tc>
          <w:tcPr>
            <w:tcW w:w="1006" w:type="dxa"/>
            <w:tcBorders>
              <w:top w:val="single" w:color="B6B6B6" w:sz="4" w:space="0"/>
              <w:bottom w:val="single" w:color="B6B6B6" w:sz="4" w:space="0"/>
            </w:tcBorders>
          </w:tcPr>
          <w:p w:rsidR="00C31389" w:rsidRDefault="00561FBD" w14:paraId="6F62C63F" w14:textId="77777777">
            <w:pPr>
              <w:pStyle w:val="TableParagraph"/>
              <w:spacing w:before="41" w:line="209" w:lineRule="exact"/>
              <w:ind w:right="1"/>
              <w:jc w:val="center"/>
              <w:rPr>
                <w:sz w:val="20"/>
              </w:rPr>
            </w:pPr>
            <w:r>
              <w:rPr>
                <w:sz w:val="20"/>
              </w:rPr>
              <w:t>8</w:t>
            </w:r>
          </w:p>
        </w:tc>
        <w:tc>
          <w:tcPr>
            <w:tcW w:w="1016" w:type="dxa"/>
            <w:tcBorders>
              <w:top w:val="single" w:color="B6B6B6" w:sz="4" w:space="0"/>
              <w:bottom w:val="single" w:color="B6B6B6" w:sz="4" w:space="0"/>
            </w:tcBorders>
          </w:tcPr>
          <w:p w:rsidR="00C31389" w:rsidRDefault="00561FBD" w14:paraId="3B5C4564" w14:textId="77777777">
            <w:pPr>
              <w:pStyle w:val="TableParagraph"/>
              <w:spacing w:before="41" w:line="209" w:lineRule="exact"/>
              <w:ind w:left="363"/>
              <w:rPr>
                <w:sz w:val="20"/>
              </w:rPr>
            </w:pPr>
            <w:r>
              <w:rPr>
                <w:spacing w:val="-5"/>
                <w:sz w:val="20"/>
              </w:rPr>
              <w:t>6%</w:t>
            </w:r>
          </w:p>
        </w:tc>
        <w:tc>
          <w:tcPr>
            <w:tcW w:w="724" w:type="dxa"/>
            <w:tcBorders>
              <w:top w:val="single" w:color="B6B6B6" w:sz="4" w:space="0"/>
              <w:bottom w:val="single" w:color="B6B6B6" w:sz="4" w:space="0"/>
            </w:tcBorders>
          </w:tcPr>
          <w:p w:rsidR="00C31389" w:rsidRDefault="00561FBD" w14:paraId="5DDED362" w14:textId="77777777">
            <w:pPr>
              <w:pStyle w:val="TableParagraph"/>
              <w:spacing w:before="41" w:line="209" w:lineRule="exact"/>
              <w:ind w:right="5"/>
              <w:jc w:val="center"/>
              <w:rPr>
                <w:sz w:val="20"/>
              </w:rPr>
            </w:pPr>
            <w:r>
              <w:rPr>
                <w:sz w:val="20"/>
              </w:rPr>
              <w:t>7</w:t>
            </w:r>
          </w:p>
        </w:tc>
        <w:tc>
          <w:tcPr>
            <w:tcW w:w="671" w:type="dxa"/>
            <w:tcBorders>
              <w:top w:val="single" w:color="B6B6B6" w:sz="4" w:space="0"/>
              <w:bottom w:val="single" w:color="B6B6B6" w:sz="4" w:space="0"/>
            </w:tcBorders>
          </w:tcPr>
          <w:p w:rsidR="00C31389" w:rsidRDefault="00561FBD" w14:paraId="4860506F" w14:textId="77777777">
            <w:pPr>
              <w:pStyle w:val="TableParagraph"/>
              <w:spacing w:before="41" w:line="209" w:lineRule="exact"/>
              <w:ind w:left="34"/>
              <w:jc w:val="center"/>
              <w:rPr>
                <w:sz w:val="20"/>
              </w:rPr>
            </w:pPr>
            <w:r>
              <w:rPr>
                <w:sz w:val="20"/>
              </w:rPr>
              <w:t>1</w:t>
            </w:r>
          </w:p>
        </w:tc>
        <w:tc>
          <w:tcPr>
            <w:tcW w:w="1138" w:type="dxa"/>
            <w:tcBorders>
              <w:top w:val="single" w:color="B6B6B6" w:sz="4" w:space="0"/>
              <w:bottom w:val="single" w:color="B6B6B6" w:sz="4" w:space="0"/>
            </w:tcBorders>
          </w:tcPr>
          <w:p w:rsidR="00C31389" w:rsidRDefault="00561FBD" w14:paraId="31FA9980" w14:textId="77777777">
            <w:pPr>
              <w:pStyle w:val="TableParagraph"/>
              <w:spacing w:before="41" w:line="209" w:lineRule="exact"/>
              <w:ind w:left="290" w:right="249"/>
              <w:jc w:val="center"/>
              <w:rPr>
                <w:sz w:val="20"/>
              </w:rPr>
            </w:pPr>
            <w:r>
              <w:rPr>
                <w:spacing w:val="-2"/>
                <w:sz w:val="20"/>
              </w:rPr>
              <w:t>12.5%</w:t>
            </w:r>
          </w:p>
        </w:tc>
        <w:tc>
          <w:tcPr>
            <w:tcW w:w="672" w:type="dxa"/>
            <w:tcBorders>
              <w:top w:val="single" w:color="B6B6B6" w:sz="4" w:space="0"/>
              <w:bottom w:val="single" w:color="B6B6B6" w:sz="4" w:space="0"/>
            </w:tcBorders>
          </w:tcPr>
          <w:p w:rsidR="00C31389" w:rsidRDefault="00561FBD" w14:paraId="75DFA1E8" w14:textId="77777777">
            <w:pPr>
              <w:pStyle w:val="TableParagraph"/>
              <w:spacing w:before="41" w:line="209" w:lineRule="exact"/>
              <w:ind w:left="96" w:right="95"/>
              <w:jc w:val="center"/>
              <w:rPr>
                <w:sz w:val="20"/>
              </w:rPr>
            </w:pPr>
            <w:r>
              <w:rPr>
                <w:spacing w:val="-4"/>
                <w:sz w:val="20"/>
              </w:rPr>
              <w:t>6.9%</w:t>
            </w:r>
          </w:p>
        </w:tc>
        <w:tc>
          <w:tcPr>
            <w:tcW w:w="1608" w:type="dxa"/>
            <w:tcBorders>
              <w:top w:val="single" w:color="B6B6B6" w:sz="4" w:space="0"/>
              <w:bottom w:val="single" w:color="B6B6B6" w:sz="4" w:space="0"/>
            </w:tcBorders>
          </w:tcPr>
          <w:p w:rsidR="00C31389" w:rsidRDefault="00C31389" w14:paraId="1F533C64" w14:textId="77777777">
            <w:pPr>
              <w:pStyle w:val="TableParagraph"/>
              <w:spacing w:before="0"/>
              <w:rPr>
                <w:rFonts w:ascii="Times New Roman"/>
                <w:sz w:val="20"/>
              </w:rPr>
            </w:pPr>
          </w:p>
        </w:tc>
      </w:tr>
    </w:tbl>
    <w:p w:rsidR="00C31389" w:rsidRDefault="00C31389" w14:paraId="625E4289" w14:textId="77777777">
      <w:pPr>
        <w:rPr>
          <w:rFonts w:ascii="Times New Roman"/>
          <w:sz w:val="20"/>
        </w:rPr>
        <w:sectPr w:rsidR="00C31389">
          <w:pgSz w:w="11910" w:h="16840"/>
          <w:pgMar w:top="1380" w:right="1020" w:bottom="1120" w:left="960" w:header="397" w:footer="938" w:gutter="0"/>
          <w:cols w:space="720"/>
        </w:sectPr>
      </w:pPr>
    </w:p>
    <w:p w:rsidR="00C31389" w:rsidRDefault="00C31389" w14:paraId="552B7F20" w14:textId="77777777">
      <w:pPr>
        <w:pStyle w:val="BodyText"/>
        <w:spacing w:before="6" w:after="1"/>
        <w:rPr>
          <w:b/>
          <w:sz w:val="21"/>
        </w:rPr>
      </w:pPr>
    </w:p>
    <w:tbl>
      <w:tblPr>
        <w:tblW w:w="0" w:type="auto"/>
        <w:tblInd w:w="487" w:type="dxa"/>
        <w:tblLayout w:type="fixed"/>
        <w:tblCellMar>
          <w:left w:w="0" w:type="dxa"/>
          <w:right w:w="0" w:type="dxa"/>
        </w:tblCellMar>
        <w:tblLook w:val="01E0" w:firstRow="1" w:lastRow="1" w:firstColumn="1" w:lastColumn="1" w:noHBand="0" w:noVBand="0"/>
      </w:tblPr>
      <w:tblGrid>
        <w:gridCol w:w="1161"/>
        <w:gridCol w:w="1029"/>
        <w:gridCol w:w="1006"/>
        <w:gridCol w:w="1085"/>
        <w:gridCol w:w="676"/>
        <w:gridCol w:w="699"/>
        <w:gridCol w:w="1363"/>
        <w:gridCol w:w="2006"/>
      </w:tblGrid>
      <w:tr w:rsidR="00C31389" w14:paraId="7A6FE1A0" w14:textId="77777777">
        <w:trPr>
          <w:trHeight w:val="1419"/>
        </w:trPr>
        <w:tc>
          <w:tcPr>
            <w:tcW w:w="1161" w:type="dxa"/>
            <w:tcBorders>
              <w:bottom w:val="single" w:color="B6B6B6" w:sz="4" w:space="0"/>
            </w:tcBorders>
            <w:shd w:val="clear" w:color="auto" w:fill="92D400"/>
          </w:tcPr>
          <w:p w:rsidR="00C31389" w:rsidRDefault="00C31389" w14:paraId="00B8C40C" w14:textId="77777777">
            <w:pPr>
              <w:pStyle w:val="TableParagraph"/>
              <w:spacing w:before="0"/>
              <w:rPr>
                <w:b/>
              </w:rPr>
            </w:pPr>
          </w:p>
          <w:p w:rsidR="00C31389" w:rsidRDefault="00C31389" w14:paraId="4B45B688" w14:textId="77777777">
            <w:pPr>
              <w:pStyle w:val="TableParagraph"/>
              <w:spacing w:before="5"/>
              <w:rPr>
                <w:b/>
                <w:sz w:val="21"/>
              </w:rPr>
            </w:pPr>
          </w:p>
          <w:p w:rsidR="00C31389" w:rsidRDefault="00561FBD" w14:paraId="4C7865C2" w14:textId="77777777">
            <w:pPr>
              <w:pStyle w:val="TableParagraph"/>
              <w:spacing w:before="0"/>
              <w:ind w:left="108" w:right="249"/>
              <w:rPr>
                <w:b/>
                <w:sz w:val="20"/>
              </w:rPr>
            </w:pPr>
            <w:r>
              <w:rPr>
                <w:b/>
                <w:spacing w:val="-2"/>
                <w:sz w:val="20"/>
              </w:rPr>
              <w:t xml:space="preserve">Building </w:t>
            </w:r>
            <w:r>
              <w:rPr>
                <w:b/>
                <w:spacing w:val="-4"/>
                <w:sz w:val="20"/>
              </w:rPr>
              <w:t>Type</w:t>
            </w:r>
          </w:p>
        </w:tc>
        <w:tc>
          <w:tcPr>
            <w:tcW w:w="1029" w:type="dxa"/>
            <w:tcBorders>
              <w:bottom w:val="single" w:color="B6B6B6" w:sz="4" w:space="0"/>
            </w:tcBorders>
            <w:shd w:val="clear" w:color="auto" w:fill="92D400"/>
          </w:tcPr>
          <w:p w:rsidR="00C31389" w:rsidRDefault="00561FBD" w14:paraId="41E4AD6D" w14:textId="77777777">
            <w:pPr>
              <w:pStyle w:val="TableParagraph"/>
              <w:spacing w:before="155"/>
              <w:ind w:left="108" w:right="107"/>
              <w:jc w:val="center"/>
              <w:rPr>
                <w:b/>
                <w:sz w:val="20"/>
              </w:rPr>
            </w:pPr>
            <w:r>
              <w:rPr>
                <w:b/>
                <w:spacing w:val="-4"/>
                <w:sz w:val="20"/>
              </w:rPr>
              <w:t xml:space="preserve">Panel Amp </w:t>
            </w:r>
            <w:r>
              <w:rPr>
                <w:b/>
                <w:spacing w:val="-2"/>
                <w:sz w:val="20"/>
              </w:rPr>
              <w:t xml:space="preserve">Range </w:t>
            </w:r>
            <w:r>
              <w:rPr>
                <w:b/>
                <w:spacing w:val="-4"/>
                <w:sz w:val="20"/>
              </w:rPr>
              <w:t xml:space="preserve">Pre- </w:t>
            </w:r>
            <w:r>
              <w:rPr>
                <w:b/>
                <w:spacing w:val="-2"/>
                <w:sz w:val="20"/>
              </w:rPr>
              <w:t>Installed</w:t>
            </w:r>
          </w:p>
        </w:tc>
        <w:tc>
          <w:tcPr>
            <w:tcW w:w="1006" w:type="dxa"/>
            <w:tcBorders>
              <w:bottom w:val="single" w:color="B6B6B6" w:sz="4" w:space="0"/>
            </w:tcBorders>
            <w:shd w:val="clear" w:color="auto" w:fill="92D400"/>
          </w:tcPr>
          <w:p w:rsidR="00C31389" w:rsidRDefault="00C31389" w14:paraId="7CDE024A" w14:textId="77777777">
            <w:pPr>
              <w:pStyle w:val="TableParagraph"/>
              <w:spacing w:before="0"/>
              <w:rPr>
                <w:b/>
              </w:rPr>
            </w:pPr>
          </w:p>
          <w:p w:rsidR="00C31389" w:rsidRDefault="00C31389" w14:paraId="6C0ACCF6" w14:textId="77777777">
            <w:pPr>
              <w:pStyle w:val="TableParagraph"/>
              <w:spacing w:before="5"/>
              <w:rPr>
                <w:b/>
                <w:sz w:val="21"/>
              </w:rPr>
            </w:pPr>
          </w:p>
          <w:p w:rsidR="00C31389" w:rsidRDefault="00561FBD" w14:paraId="7565F1C6" w14:textId="77777777">
            <w:pPr>
              <w:pStyle w:val="TableParagraph"/>
              <w:spacing w:before="0"/>
              <w:ind w:left="108" w:right="104" w:firstLine="154"/>
              <w:rPr>
                <w:b/>
                <w:sz w:val="20"/>
              </w:rPr>
            </w:pPr>
            <w:r>
              <w:rPr>
                <w:b/>
                <w:spacing w:val="-4"/>
                <w:sz w:val="20"/>
              </w:rPr>
              <w:t xml:space="preserve">Total </w:t>
            </w:r>
            <w:r>
              <w:rPr>
                <w:b/>
                <w:spacing w:val="-2"/>
                <w:sz w:val="20"/>
              </w:rPr>
              <w:t>Projects</w:t>
            </w:r>
          </w:p>
        </w:tc>
        <w:tc>
          <w:tcPr>
            <w:tcW w:w="1085" w:type="dxa"/>
            <w:tcBorders>
              <w:bottom w:val="single" w:color="B6B6B6" w:sz="4" w:space="0"/>
            </w:tcBorders>
            <w:shd w:val="clear" w:color="auto" w:fill="92D400"/>
          </w:tcPr>
          <w:p w:rsidR="00C31389" w:rsidRDefault="00561FBD" w14:paraId="62F9353C" w14:textId="77777777">
            <w:pPr>
              <w:pStyle w:val="TableParagraph"/>
              <w:ind w:left="107" w:right="174" w:hanging="2"/>
              <w:jc w:val="center"/>
              <w:rPr>
                <w:b/>
                <w:sz w:val="20"/>
              </w:rPr>
            </w:pPr>
            <w:r>
              <w:rPr>
                <w:b/>
                <w:sz w:val="20"/>
              </w:rPr>
              <w:t xml:space="preserve">% of </w:t>
            </w:r>
            <w:r>
              <w:rPr>
                <w:b/>
                <w:spacing w:val="-2"/>
                <w:sz w:val="20"/>
              </w:rPr>
              <w:t xml:space="preserve">Total Projects </w:t>
            </w:r>
            <w:r>
              <w:rPr>
                <w:b/>
                <w:spacing w:val="-6"/>
                <w:sz w:val="20"/>
              </w:rPr>
              <w:t>in</w:t>
            </w:r>
          </w:p>
          <w:p w:rsidR="00C31389" w:rsidRDefault="00561FBD" w14:paraId="0D7C25D4" w14:textId="77777777">
            <w:pPr>
              <w:pStyle w:val="TableParagraph"/>
              <w:spacing w:before="0" w:line="230" w:lineRule="exact"/>
              <w:ind w:left="107" w:right="174"/>
              <w:jc w:val="center"/>
              <w:rPr>
                <w:b/>
                <w:sz w:val="20"/>
              </w:rPr>
            </w:pPr>
            <w:r>
              <w:rPr>
                <w:b/>
                <w:spacing w:val="-2"/>
                <w:sz w:val="20"/>
              </w:rPr>
              <w:t xml:space="preserve">Building </w:t>
            </w:r>
            <w:r>
              <w:rPr>
                <w:b/>
                <w:spacing w:val="-4"/>
                <w:sz w:val="20"/>
              </w:rPr>
              <w:t>Type</w:t>
            </w:r>
          </w:p>
        </w:tc>
        <w:tc>
          <w:tcPr>
            <w:tcW w:w="676" w:type="dxa"/>
            <w:tcBorders>
              <w:bottom w:val="single" w:color="B6B6B6" w:sz="4" w:space="0"/>
            </w:tcBorders>
            <w:shd w:val="clear" w:color="auto" w:fill="92D400"/>
          </w:tcPr>
          <w:p w:rsidR="00C31389" w:rsidRDefault="00C31389" w14:paraId="6EC3E01F" w14:textId="77777777">
            <w:pPr>
              <w:pStyle w:val="TableParagraph"/>
              <w:spacing w:before="0"/>
              <w:rPr>
                <w:rFonts w:ascii="Times New Roman"/>
                <w:sz w:val="20"/>
              </w:rPr>
            </w:pPr>
          </w:p>
        </w:tc>
        <w:tc>
          <w:tcPr>
            <w:tcW w:w="2062" w:type="dxa"/>
            <w:gridSpan w:val="2"/>
            <w:tcBorders>
              <w:bottom w:val="single" w:color="B6B6B6" w:sz="4" w:space="0"/>
            </w:tcBorders>
            <w:shd w:val="clear" w:color="auto" w:fill="92D400"/>
          </w:tcPr>
          <w:p w:rsidR="00C31389" w:rsidRDefault="00C31389" w14:paraId="6B7A089C" w14:textId="77777777">
            <w:pPr>
              <w:pStyle w:val="TableParagraph"/>
              <w:spacing w:before="0"/>
              <w:rPr>
                <w:b/>
              </w:rPr>
            </w:pPr>
          </w:p>
          <w:p w:rsidR="00C31389" w:rsidRDefault="00C31389" w14:paraId="43A9328C" w14:textId="77777777">
            <w:pPr>
              <w:pStyle w:val="TableParagraph"/>
              <w:spacing w:before="5"/>
              <w:rPr>
                <w:b/>
                <w:sz w:val="31"/>
              </w:rPr>
            </w:pPr>
          </w:p>
          <w:p w:rsidR="00C31389" w:rsidRDefault="00561FBD" w14:paraId="4D04F1A9" w14:textId="77777777">
            <w:pPr>
              <w:pStyle w:val="TableParagraph"/>
              <w:spacing w:before="0"/>
              <w:ind w:left="157"/>
              <w:rPr>
                <w:b/>
                <w:sz w:val="20"/>
              </w:rPr>
            </w:pPr>
            <w:r>
              <w:rPr>
                <w:b/>
                <w:sz w:val="20"/>
              </w:rPr>
              <w:t>Panel</w:t>
            </w:r>
            <w:r>
              <w:rPr>
                <w:b/>
                <w:spacing w:val="-5"/>
                <w:sz w:val="20"/>
              </w:rPr>
              <w:t xml:space="preserve"> </w:t>
            </w:r>
            <w:r>
              <w:rPr>
                <w:b/>
                <w:spacing w:val="-2"/>
                <w:sz w:val="20"/>
              </w:rPr>
              <w:t>Upgrade</w:t>
            </w:r>
          </w:p>
        </w:tc>
        <w:tc>
          <w:tcPr>
            <w:tcW w:w="2006" w:type="dxa"/>
            <w:tcBorders>
              <w:bottom w:val="single" w:color="B6B6B6" w:sz="4" w:space="0"/>
            </w:tcBorders>
            <w:shd w:val="clear" w:color="auto" w:fill="92D400"/>
          </w:tcPr>
          <w:p w:rsidR="00C31389" w:rsidRDefault="00C31389" w14:paraId="51B7C133" w14:textId="77777777">
            <w:pPr>
              <w:pStyle w:val="TableParagraph"/>
              <w:spacing w:before="0"/>
              <w:rPr>
                <w:b/>
              </w:rPr>
            </w:pPr>
          </w:p>
          <w:p w:rsidR="00C31389" w:rsidRDefault="00C31389" w14:paraId="117BB572" w14:textId="77777777">
            <w:pPr>
              <w:pStyle w:val="TableParagraph"/>
              <w:spacing w:before="5"/>
              <w:rPr>
                <w:b/>
                <w:sz w:val="31"/>
              </w:rPr>
            </w:pPr>
          </w:p>
          <w:p w:rsidR="00C31389" w:rsidRDefault="00561FBD" w14:paraId="51EC89D0" w14:textId="77777777">
            <w:pPr>
              <w:pStyle w:val="TableParagraph"/>
              <w:spacing w:before="0"/>
              <w:ind w:left="506"/>
              <w:rPr>
                <w:b/>
                <w:sz w:val="20"/>
              </w:rPr>
            </w:pPr>
            <w:r>
              <w:rPr>
                <w:b/>
                <w:spacing w:val="-2"/>
                <w:sz w:val="20"/>
              </w:rPr>
              <w:t>Comment</w:t>
            </w:r>
          </w:p>
        </w:tc>
      </w:tr>
      <w:tr w:rsidR="00C31389" w14:paraId="2934AB7C" w14:textId="77777777">
        <w:trPr>
          <w:trHeight w:val="268"/>
        </w:trPr>
        <w:tc>
          <w:tcPr>
            <w:tcW w:w="1161" w:type="dxa"/>
            <w:tcBorders>
              <w:top w:val="single" w:color="B6B6B6" w:sz="4" w:space="0"/>
            </w:tcBorders>
          </w:tcPr>
          <w:p w:rsidR="00C31389" w:rsidRDefault="00561FBD" w14:paraId="312FBB00" w14:textId="77777777">
            <w:pPr>
              <w:pStyle w:val="TableParagraph"/>
              <w:spacing w:line="208" w:lineRule="exact"/>
              <w:ind w:left="107"/>
              <w:rPr>
                <w:sz w:val="20"/>
              </w:rPr>
            </w:pPr>
            <w:r>
              <w:rPr>
                <w:spacing w:val="-2"/>
                <w:sz w:val="20"/>
              </w:rPr>
              <w:t>Multifamily</w:t>
            </w:r>
          </w:p>
        </w:tc>
        <w:tc>
          <w:tcPr>
            <w:tcW w:w="1029" w:type="dxa"/>
            <w:vMerge w:val="restart"/>
            <w:tcBorders>
              <w:top w:val="single" w:color="B6B6B6" w:sz="4" w:space="0"/>
            </w:tcBorders>
          </w:tcPr>
          <w:p w:rsidR="00C31389" w:rsidRDefault="00561FBD" w14:paraId="0F25BCDB" w14:textId="77777777">
            <w:pPr>
              <w:pStyle w:val="TableParagraph"/>
              <w:spacing w:before="41" w:line="230" w:lineRule="exact"/>
              <w:ind w:left="107" w:right="107"/>
              <w:jc w:val="center"/>
              <w:rPr>
                <w:sz w:val="20"/>
              </w:rPr>
            </w:pPr>
            <w:r>
              <w:rPr>
                <w:spacing w:val="-4"/>
                <w:sz w:val="20"/>
              </w:rPr>
              <w:t>&gt;=100</w:t>
            </w:r>
          </w:p>
          <w:p w:rsidR="00C31389" w:rsidRDefault="00561FBD" w14:paraId="35CAC678" w14:textId="77777777">
            <w:pPr>
              <w:pStyle w:val="TableParagraph"/>
              <w:spacing w:before="0" w:line="230" w:lineRule="exact"/>
              <w:ind w:left="107" w:right="107"/>
              <w:jc w:val="center"/>
              <w:rPr>
                <w:sz w:val="20"/>
              </w:rPr>
            </w:pPr>
            <w:r>
              <w:rPr>
                <w:spacing w:val="-5"/>
                <w:sz w:val="20"/>
              </w:rPr>
              <w:t>and</w:t>
            </w:r>
          </w:p>
          <w:p w:rsidR="00C31389" w:rsidRDefault="00561FBD" w14:paraId="3F2CCA2D" w14:textId="77777777">
            <w:pPr>
              <w:pStyle w:val="TableParagraph"/>
              <w:tabs>
                <w:tab w:val="left" w:pos="5584"/>
              </w:tabs>
              <w:spacing w:before="0"/>
              <w:ind w:left="-1162" w:right="-4565"/>
              <w:jc w:val="center"/>
              <w:rPr>
                <w:sz w:val="20"/>
              </w:rPr>
            </w:pPr>
            <w:r>
              <w:rPr>
                <w:spacing w:val="77"/>
                <w:w w:val="150"/>
                <w:sz w:val="20"/>
                <w:u w:val="single" w:color="B6B6B6"/>
              </w:rPr>
              <w:t xml:space="preserve">         </w:t>
            </w:r>
            <w:r>
              <w:rPr>
                <w:spacing w:val="-4"/>
                <w:sz w:val="20"/>
                <w:u w:val="single" w:color="B6B6B6"/>
              </w:rPr>
              <w:t>&lt;200</w:t>
            </w:r>
            <w:r>
              <w:rPr>
                <w:sz w:val="20"/>
                <w:u w:val="single" w:color="B6B6B6"/>
              </w:rPr>
              <w:tab/>
            </w:r>
          </w:p>
        </w:tc>
        <w:tc>
          <w:tcPr>
            <w:tcW w:w="1006" w:type="dxa"/>
            <w:tcBorders>
              <w:top w:val="single" w:color="B6B6B6" w:sz="4" w:space="0"/>
            </w:tcBorders>
          </w:tcPr>
          <w:p w:rsidR="00C31389" w:rsidRDefault="00C31389" w14:paraId="3454FF5C" w14:textId="77777777">
            <w:pPr>
              <w:pStyle w:val="TableParagraph"/>
              <w:spacing w:before="0"/>
              <w:rPr>
                <w:rFonts w:ascii="Times New Roman"/>
                <w:sz w:val="18"/>
              </w:rPr>
            </w:pPr>
          </w:p>
        </w:tc>
        <w:tc>
          <w:tcPr>
            <w:tcW w:w="1085" w:type="dxa"/>
            <w:tcBorders>
              <w:top w:val="single" w:color="B6B6B6" w:sz="4" w:space="0"/>
            </w:tcBorders>
          </w:tcPr>
          <w:p w:rsidR="00C31389" w:rsidRDefault="00C31389" w14:paraId="3BD52C30" w14:textId="77777777">
            <w:pPr>
              <w:pStyle w:val="TableParagraph"/>
              <w:spacing w:before="0"/>
              <w:rPr>
                <w:rFonts w:ascii="Times New Roman"/>
                <w:sz w:val="18"/>
              </w:rPr>
            </w:pPr>
          </w:p>
        </w:tc>
        <w:tc>
          <w:tcPr>
            <w:tcW w:w="676" w:type="dxa"/>
            <w:tcBorders>
              <w:top w:val="single" w:color="B6B6B6" w:sz="4" w:space="0"/>
            </w:tcBorders>
          </w:tcPr>
          <w:p w:rsidR="00C31389" w:rsidRDefault="00C31389" w14:paraId="7C0CF704" w14:textId="77777777">
            <w:pPr>
              <w:pStyle w:val="TableParagraph"/>
              <w:spacing w:before="0"/>
              <w:rPr>
                <w:rFonts w:ascii="Times New Roman"/>
                <w:sz w:val="18"/>
              </w:rPr>
            </w:pPr>
          </w:p>
        </w:tc>
        <w:tc>
          <w:tcPr>
            <w:tcW w:w="699" w:type="dxa"/>
            <w:tcBorders>
              <w:top w:val="single" w:color="B6B6B6" w:sz="4" w:space="0"/>
            </w:tcBorders>
          </w:tcPr>
          <w:p w:rsidR="00C31389" w:rsidRDefault="00C31389" w14:paraId="186D3C88" w14:textId="77777777">
            <w:pPr>
              <w:pStyle w:val="TableParagraph"/>
              <w:spacing w:before="0"/>
              <w:rPr>
                <w:rFonts w:ascii="Times New Roman"/>
                <w:sz w:val="18"/>
              </w:rPr>
            </w:pPr>
          </w:p>
        </w:tc>
        <w:tc>
          <w:tcPr>
            <w:tcW w:w="1363" w:type="dxa"/>
            <w:tcBorders>
              <w:top w:val="single" w:color="B6B6B6" w:sz="4" w:space="0"/>
            </w:tcBorders>
          </w:tcPr>
          <w:p w:rsidR="00C31389" w:rsidRDefault="00C31389" w14:paraId="31B7EC6C" w14:textId="77777777">
            <w:pPr>
              <w:pStyle w:val="TableParagraph"/>
              <w:spacing w:before="0"/>
              <w:rPr>
                <w:rFonts w:ascii="Times New Roman"/>
                <w:sz w:val="18"/>
              </w:rPr>
            </w:pPr>
          </w:p>
        </w:tc>
        <w:tc>
          <w:tcPr>
            <w:tcW w:w="2006" w:type="dxa"/>
            <w:vMerge w:val="restart"/>
            <w:tcBorders>
              <w:top w:val="single" w:color="B6B6B6" w:sz="4" w:space="0"/>
              <w:bottom w:val="single" w:color="B6B6B6" w:sz="4" w:space="0"/>
            </w:tcBorders>
          </w:tcPr>
          <w:p w:rsidR="00C31389" w:rsidRDefault="00561FBD" w14:paraId="77F5BBDB" w14:textId="77777777">
            <w:pPr>
              <w:pStyle w:val="TableParagraph"/>
              <w:spacing w:before="65"/>
              <w:ind w:left="506" w:right="237"/>
              <w:rPr>
                <w:sz w:val="20"/>
              </w:rPr>
            </w:pPr>
            <w:r>
              <w:rPr>
                <w:sz w:val="20"/>
              </w:rPr>
              <w:t>Slightly</w:t>
            </w:r>
            <w:r>
              <w:rPr>
                <w:spacing w:val="-14"/>
                <w:sz w:val="20"/>
              </w:rPr>
              <w:t xml:space="preserve"> </w:t>
            </w:r>
            <w:r>
              <w:rPr>
                <w:sz w:val="20"/>
              </w:rPr>
              <w:t xml:space="preserve">higher than SF but much smaller sample </w:t>
            </w:r>
            <w:r>
              <w:rPr>
                <w:sz w:val="20"/>
              </w:rPr>
              <w:t>size</w:t>
            </w:r>
          </w:p>
        </w:tc>
      </w:tr>
      <w:tr w:rsidR="00C31389" w14:paraId="6C27F777" w14:textId="77777777">
        <w:trPr>
          <w:trHeight w:val="474"/>
        </w:trPr>
        <w:tc>
          <w:tcPr>
            <w:tcW w:w="1161" w:type="dxa"/>
          </w:tcPr>
          <w:p w:rsidR="00C31389" w:rsidRDefault="00C31389" w14:paraId="64A36F50" w14:textId="77777777">
            <w:pPr>
              <w:pStyle w:val="TableParagraph"/>
              <w:spacing w:before="0"/>
              <w:rPr>
                <w:rFonts w:ascii="Times New Roman"/>
                <w:sz w:val="20"/>
              </w:rPr>
            </w:pPr>
          </w:p>
        </w:tc>
        <w:tc>
          <w:tcPr>
            <w:tcW w:w="1029" w:type="dxa"/>
            <w:vMerge/>
            <w:tcBorders>
              <w:top w:val="nil"/>
            </w:tcBorders>
          </w:tcPr>
          <w:p w:rsidR="00C31389" w:rsidRDefault="00C31389" w14:paraId="6CF243E6" w14:textId="77777777">
            <w:pPr>
              <w:rPr>
                <w:sz w:val="2"/>
                <w:szCs w:val="2"/>
              </w:rPr>
            </w:pPr>
          </w:p>
        </w:tc>
        <w:tc>
          <w:tcPr>
            <w:tcW w:w="1006" w:type="dxa"/>
          </w:tcPr>
          <w:p w:rsidR="00C31389" w:rsidRDefault="00561FBD" w14:paraId="2523C7B7" w14:textId="77777777">
            <w:pPr>
              <w:pStyle w:val="TableParagraph"/>
              <w:spacing w:before="0" w:line="222" w:lineRule="exact"/>
              <w:ind w:left="242" w:right="242"/>
              <w:jc w:val="center"/>
              <w:rPr>
                <w:sz w:val="20"/>
              </w:rPr>
            </w:pPr>
            <w:r>
              <w:rPr>
                <w:spacing w:val="-5"/>
                <w:sz w:val="20"/>
              </w:rPr>
              <w:t>80</w:t>
            </w:r>
          </w:p>
        </w:tc>
        <w:tc>
          <w:tcPr>
            <w:tcW w:w="1085" w:type="dxa"/>
          </w:tcPr>
          <w:p w:rsidR="00C31389" w:rsidRDefault="00561FBD" w14:paraId="68B18661" w14:textId="77777777">
            <w:pPr>
              <w:pStyle w:val="TableParagraph"/>
              <w:spacing w:before="0" w:line="222" w:lineRule="exact"/>
              <w:ind w:left="306"/>
              <w:rPr>
                <w:sz w:val="20"/>
              </w:rPr>
            </w:pPr>
            <w:r>
              <w:rPr>
                <w:spacing w:val="-5"/>
                <w:sz w:val="20"/>
              </w:rPr>
              <w:t>62%</w:t>
            </w:r>
          </w:p>
        </w:tc>
        <w:tc>
          <w:tcPr>
            <w:tcW w:w="676" w:type="dxa"/>
          </w:tcPr>
          <w:p w:rsidR="00C31389" w:rsidRDefault="00561FBD" w14:paraId="7D7D1B57" w14:textId="77777777">
            <w:pPr>
              <w:pStyle w:val="TableParagraph"/>
              <w:spacing w:before="0" w:line="222" w:lineRule="exact"/>
              <w:ind w:left="178"/>
              <w:rPr>
                <w:sz w:val="20"/>
              </w:rPr>
            </w:pPr>
            <w:r>
              <w:rPr>
                <w:spacing w:val="-5"/>
                <w:sz w:val="20"/>
              </w:rPr>
              <w:t>74</w:t>
            </w:r>
          </w:p>
        </w:tc>
        <w:tc>
          <w:tcPr>
            <w:tcW w:w="699" w:type="dxa"/>
          </w:tcPr>
          <w:p w:rsidR="00C31389" w:rsidRDefault="00561FBD" w14:paraId="438ECC38" w14:textId="77777777">
            <w:pPr>
              <w:pStyle w:val="TableParagraph"/>
              <w:spacing w:before="0" w:line="222" w:lineRule="exact"/>
              <w:ind w:left="276"/>
              <w:rPr>
                <w:sz w:val="20"/>
              </w:rPr>
            </w:pPr>
            <w:r>
              <w:rPr>
                <w:sz w:val="20"/>
              </w:rPr>
              <w:t>6</w:t>
            </w:r>
          </w:p>
        </w:tc>
        <w:tc>
          <w:tcPr>
            <w:tcW w:w="1363" w:type="dxa"/>
          </w:tcPr>
          <w:p w:rsidR="00C31389" w:rsidRDefault="00561FBD" w14:paraId="583D64AC" w14:textId="77777777">
            <w:pPr>
              <w:pStyle w:val="TableParagraph"/>
              <w:spacing w:before="0" w:line="222" w:lineRule="exact"/>
              <w:ind w:left="312"/>
              <w:rPr>
                <w:sz w:val="20"/>
              </w:rPr>
            </w:pPr>
            <w:r>
              <w:rPr>
                <w:spacing w:val="-4"/>
                <w:sz w:val="20"/>
              </w:rPr>
              <w:t>7.5%</w:t>
            </w:r>
          </w:p>
        </w:tc>
        <w:tc>
          <w:tcPr>
            <w:tcW w:w="2006" w:type="dxa"/>
            <w:vMerge/>
            <w:tcBorders>
              <w:top w:val="nil"/>
              <w:bottom w:val="single" w:color="B6B6B6" w:sz="4" w:space="0"/>
            </w:tcBorders>
          </w:tcPr>
          <w:p w:rsidR="00C31389" w:rsidRDefault="00C31389" w14:paraId="464BFCA4" w14:textId="77777777">
            <w:pPr>
              <w:rPr>
                <w:sz w:val="2"/>
                <w:szCs w:val="2"/>
              </w:rPr>
            </w:pPr>
          </w:p>
        </w:tc>
      </w:tr>
      <w:tr w:rsidR="00C31389" w14:paraId="36E1B8EE" w14:textId="77777777">
        <w:trPr>
          <w:trHeight w:val="246"/>
        </w:trPr>
        <w:tc>
          <w:tcPr>
            <w:tcW w:w="1161" w:type="dxa"/>
            <w:tcBorders>
              <w:bottom w:val="single" w:color="B6B6B6" w:sz="4" w:space="0"/>
            </w:tcBorders>
          </w:tcPr>
          <w:p w:rsidR="00C31389" w:rsidRDefault="00561FBD" w14:paraId="544D92E8" w14:textId="77777777">
            <w:pPr>
              <w:pStyle w:val="TableParagraph"/>
              <w:spacing w:before="16" w:line="209" w:lineRule="exact"/>
              <w:ind w:left="108"/>
              <w:rPr>
                <w:sz w:val="20"/>
              </w:rPr>
            </w:pPr>
            <w:r>
              <w:rPr>
                <w:spacing w:val="-2"/>
                <w:sz w:val="20"/>
              </w:rPr>
              <w:t>Multifamily</w:t>
            </w:r>
          </w:p>
        </w:tc>
        <w:tc>
          <w:tcPr>
            <w:tcW w:w="1029" w:type="dxa"/>
            <w:tcBorders>
              <w:bottom w:val="single" w:color="B6B6B6" w:sz="4" w:space="0"/>
            </w:tcBorders>
          </w:tcPr>
          <w:p w:rsidR="00C31389" w:rsidRDefault="00561FBD" w14:paraId="3F099FBB" w14:textId="77777777">
            <w:pPr>
              <w:pStyle w:val="TableParagraph"/>
              <w:spacing w:before="16" w:line="209" w:lineRule="exact"/>
              <w:ind w:left="230"/>
              <w:rPr>
                <w:sz w:val="20"/>
              </w:rPr>
            </w:pPr>
            <w:r>
              <w:rPr>
                <w:spacing w:val="-4"/>
                <w:sz w:val="20"/>
              </w:rPr>
              <w:t>&gt;=200</w:t>
            </w:r>
          </w:p>
        </w:tc>
        <w:tc>
          <w:tcPr>
            <w:tcW w:w="1006" w:type="dxa"/>
            <w:tcBorders>
              <w:bottom w:val="single" w:color="B6B6B6" w:sz="4" w:space="0"/>
            </w:tcBorders>
          </w:tcPr>
          <w:p w:rsidR="00C31389" w:rsidRDefault="00561FBD" w14:paraId="6F418D6A" w14:textId="77777777">
            <w:pPr>
              <w:pStyle w:val="TableParagraph"/>
              <w:spacing w:before="16" w:line="209" w:lineRule="exact"/>
              <w:ind w:left="242" w:right="242"/>
              <w:jc w:val="center"/>
              <w:rPr>
                <w:sz w:val="20"/>
              </w:rPr>
            </w:pPr>
            <w:r>
              <w:rPr>
                <w:spacing w:val="-5"/>
                <w:sz w:val="20"/>
              </w:rPr>
              <w:t>42</w:t>
            </w:r>
          </w:p>
        </w:tc>
        <w:tc>
          <w:tcPr>
            <w:tcW w:w="1085" w:type="dxa"/>
            <w:tcBorders>
              <w:bottom w:val="single" w:color="B6B6B6" w:sz="4" w:space="0"/>
            </w:tcBorders>
          </w:tcPr>
          <w:p w:rsidR="00C31389" w:rsidRDefault="00561FBD" w14:paraId="40DB1C76" w14:textId="77777777">
            <w:pPr>
              <w:pStyle w:val="TableParagraph"/>
              <w:spacing w:before="16" w:line="209" w:lineRule="exact"/>
              <w:ind w:left="306"/>
              <w:rPr>
                <w:sz w:val="20"/>
              </w:rPr>
            </w:pPr>
            <w:r>
              <w:rPr>
                <w:spacing w:val="-5"/>
                <w:sz w:val="20"/>
              </w:rPr>
              <w:t>32%</w:t>
            </w:r>
          </w:p>
        </w:tc>
        <w:tc>
          <w:tcPr>
            <w:tcW w:w="676" w:type="dxa"/>
            <w:tcBorders>
              <w:bottom w:val="single" w:color="B6B6B6" w:sz="4" w:space="0"/>
            </w:tcBorders>
          </w:tcPr>
          <w:p w:rsidR="00C31389" w:rsidRDefault="00561FBD" w14:paraId="30DFA592" w14:textId="77777777">
            <w:pPr>
              <w:pStyle w:val="TableParagraph"/>
              <w:spacing w:before="16" w:line="209" w:lineRule="exact"/>
              <w:ind w:left="178"/>
              <w:rPr>
                <w:sz w:val="20"/>
              </w:rPr>
            </w:pPr>
            <w:r>
              <w:rPr>
                <w:spacing w:val="-5"/>
                <w:sz w:val="20"/>
              </w:rPr>
              <w:t>40</w:t>
            </w:r>
          </w:p>
        </w:tc>
        <w:tc>
          <w:tcPr>
            <w:tcW w:w="699" w:type="dxa"/>
            <w:tcBorders>
              <w:bottom w:val="single" w:color="B6B6B6" w:sz="4" w:space="0"/>
            </w:tcBorders>
          </w:tcPr>
          <w:p w:rsidR="00C31389" w:rsidRDefault="00561FBD" w14:paraId="0EDFAF8E" w14:textId="77777777">
            <w:pPr>
              <w:pStyle w:val="TableParagraph"/>
              <w:spacing w:before="16" w:line="209" w:lineRule="exact"/>
              <w:ind w:left="276"/>
              <w:rPr>
                <w:sz w:val="20"/>
              </w:rPr>
            </w:pPr>
            <w:r>
              <w:rPr>
                <w:sz w:val="20"/>
              </w:rPr>
              <w:t>2</w:t>
            </w:r>
          </w:p>
        </w:tc>
        <w:tc>
          <w:tcPr>
            <w:tcW w:w="1363" w:type="dxa"/>
            <w:tcBorders>
              <w:bottom w:val="single" w:color="B6B6B6" w:sz="4" w:space="0"/>
            </w:tcBorders>
          </w:tcPr>
          <w:p w:rsidR="00C31389" w:rsidRDefault="00561FBD" w14:paraId="365E8213" w14:textId="77777777">
            <w:pPr>
              <w:pStyle w:val="TableParagraph"/>
              <w:spacing w:before="16" w:line="209" w:lineRule="exact"/>
              <w:ind w:left="312"/>
              <w:rPr>
                <w:sz w:val="20"/>
              </w:rPr>
            </w:pPr>
            <w:r>
              <w:rPr>
                <w:spacing w:val="-4"/>
                <w:sz w:val="20"/>
              </w:rPr>
              <w:t>4.8%</w:t>
            </w:r>
          </w:p>
        </w:tc>
        <w:tc>
          <w:tcPr>
            <w:tcW w:w="2006" w:type="dxa"/>
            <w:vMerge/>
            <w:tcBorders>
              <w:top w:val="nil"/>
              <w:bottom w:val="single" w:color="B6B6B6" w:sz="4" w:space="0"/>
            </w:tcBorders>
          </w:tcPr>
          <w:p w:rsidR="00C31389" w:rsidRDefault="00C31389" w14:paraId="62B0E22D" w14:textId="77777777">
            <w:pPr>
              <w:rPr>
                <w:sz w:val="2"/>
                <w:szCs w:val="2"/>
              </w:rPr>
            </w:pPr>
          </w:p>
        </w:tc>
      </w:tr>
    </w:tbl>
    <w:p w:rsidR="00C31389" w:rsidRDefault="00561FBD" w14:paraId="0C806179" w14:textId="77777777">
      <w:pPr>
        <w:spacing w:before="66"/>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34281EB9" w14:textId="77777777">
      <w:pPr>
        <w:pStyle w:val="BodyText"/>
        <w:spacing w:before="10"/>
        <w:rPr>
          <w:i/>
          <w:sz w:val="20"/>
        </w:rPr>
      </w:pPr>
    </w:p>
    <w:p w:rsidR="00C31389" w:rsidRDefault="00561FBD" w14:paraId="022F68CA" w14:textId="77777777">
      <w:pPr>
        <w:pStyle w:val="BodyText"/>
        <w:ind w:left="1200" w:right="505"/>
      </w:pPr>
      <w:r>
        <w:t xml:space="preserve">Very few projects in the TECH program required a panel upgrade, even for homes with panels smaller than 100 amps. This could be due to program </w:t>
      </w:r>
      <w:r>
        <w:t>participants self- selecting</w:t>
      </w:r>
      <w:r>
        <w:rPr>
          <w:spacing w:val="-4"/>
        </w:rPr>
        <w:t xml:space="preserve"> </w:t>
      </w:r>
      <w:r>
        <w:t>to</w:t>
      </w:r>
      <w:r>
        <w:rPr>
          <w:spacing w:val="-4"/>
        </w:rPr>
        <w:t xml:space="preserve"> </w:t>
      </w:r>
      <w:r>
        <w:t>participate</w:t>
      </w:r>
      <w:r>
        <w:rPr>
          <w:spacing w:val="-3"/>
        </w:rPr>
        <w:t xml:space="preserve"> </w:t>
      </w:r>
      <w:r>
        <w:t>only</w:t>
      </w:r>
      <w:r>
        <w:rPr>
          <w:spacing w:val="-3"/>
        </w:rPr>
        <w:t xml:space="preserve"> </w:t>
      </w:r>
      <w:r>
        <w:t>if</w:t>
      </w:r>
      <w:r>
        <w:rPr>
          <w:spacing w:val="-3"/>
        </w:rPr>
        <w:t xml:space="preserve"> </w:t>
      </w:r>
      <w:r>
        <w:t>they</w:t>
      </w:r>
      <w:r>
        <w:rPr>
          <w:spacing w:val="-3"/>
        </w:rPr>
        <w:t xml:space="preserve"> </w:t>
      </w:r>
      <w:r>
        <w:t>would</w:t>
      </w:r>
      <w:r>
        <w:rPr>
          <w:spacing w:val="-3"/>
        </w:rPr>
        <w:t xml:space="preserve"> </w:t>
      </w:r>
      <w:r>
        <w:t>not</w:t>
      </w:r>
      <w:r>
        <w:rPr>
          <w:spacing w:val="-3"/>
        </w:rPr>
        <w:t xml:space="preserve"> </w:t>
      </w:r>
      <w:r>
        <w:t>require</w:t>
      </w:r>
      <w:r>
        <w:rPr>
          <w:spacing w:val="-3"/>
        </w:rPr>
        <w:t xml:space="preserve"> </w:t>
      </w:r>
      <w:r>
        <w:t>a</w:t>
      </w:r>
      <w:r>
        <w:rPr>
          <w:spacing w:val="-3"/>
        </w:rPr>
        <w:t xml:space="preserve"> </w:t>
      </w:r>
      <w:r>
        <w:t>panel</w:t>
      </w:r>
      <w:r>
        <w:rPr>
          <w:spacing w:val="-4"/>
        </w:rPr>
        <w:t xml:space="preserve"> </w:t>
      </w:r>
      <w:r>
        <w:t>upgrade.</w:t>
      </w:r>
      <w:r>
        <w:rPr>
          <w:spacing w:val="-3"/>
        </w:rPr>
        <w:t xml:space="preserve"> </w:t>
      </w:r>
      <w:r>
        <w:t>Another</w:t>
      </w:r>
      <w:r>
        <w:rPr>
          <w:spacing w:val="-3"/>
        </w:rPr>
        <w:t xml:space="preserve"> </w:t>
      </w:r>
      <w:r>
        <w:t>study reported</w:t>
      </w:r>
      <w:r>
        <w:rPr>
          <w:spacing w:val="-2"/>
        </w:rPr>
        <w:t xml:space="preserve"> </w:t>
      </w:r>
      <w:r>
        <w:t>some</w:t>
      </w:r>
      <w:r>
        <w:rPr>
          <w:spacing w:val="-2"/>
        </w:rPr>
        <w:t xml:space="preserve"> </w:t>
      </w:r>
      <w:r>
        <w:t>cases</w:t>
      </w:r>
      <w:r>
        <w:rPr>
          <w:spacing w:val="-2"/>
        </w:rPr>
        <w:t xml:space="preserve"> </w:t>
      </w:r>
      <w:r>
        <w:t>of</w:t>
      </w:r>
      <w:r>
        <w:rPr>
          <w:spacing w:val="-3"/>
        </w:rPr>
        <w:t xml:space="preserve"> </w:t>
      </w:r>
      <w:r>
        <w:t>homes</w:t>
      </w:r>
      <w:r>
        <w:rPr>
          <w:spacing w:val="-2"/>
        </w:rPr>
        <w:t xml:space="preserve"> </w:t>
      </w:r>
      <w:r>
        <w:t>with</w:t>
      </w:r>
      <w:r>
        <w:rPr>
          <w:spacing w:val="-2"/>
        </w:rPr>
        <w:t xml:space="preserve"> </w:t>
      </w:r>
      <w:r>
        <w:t>existing</w:t>
      </w:r>
      <w:r>
        <w:rPr>
          <w:spacing w:val="-3"/>
        </w:rPr>
        <w:t xml:space="preserve"> </w:t>
      </w:r>
      <w:r>
        <w:t>100</w:t>
      </w:r>
      <w:r>
        <w:rPr>
          <w:spacing w:val="-2"/>
        </w:rPr>
        <w:t xml:space="preserve"> </w:t>
      </w:r>
      <w:r>
        <w:t>amp</w:t>
      </w:r>
      <w:r>
        <w:rPr>
          <w:spacing w:val="-2"/>
        </w:rPr>
        <w:t xml:space="preserve"> </w:t>
      </w:r>
      <w:r>
        <w:t>panels</w:t>
      </w:r>
      <w:r>
        <w:rPr>
          <w:spacing w:val="-2"/>
        </w:rPr>
        <w:t xml:space="preserve"> </w:t>
      </w:r>
      <w:r>
        <w:t>switching</w:t>
      </w:r>
      <w:r>
        <w:rPr>
          <w:spacing w:val="-3"/>
        </w:rPr>
        <w:t xml:space="preserve"> </w:t>
      </w:r>
      <w:r>
        <w:t>to</w:t>
      </w:r>
      <w:r>
        <w:rPr>
          <w:spacing w:val="-2"/>
        </w:rPr>
        <w:t xml:space="preserve"> </w:t>
      </w:r>
      <w:r>
        <w:t xml:space="preserve">all-electric homes that received incentives for panel optimization as part of </w:t>
      </w:r>
      <w:r>
        <w:t>the demand response (DR) programs to avoid upgrading to 200 amp panels but did not specify the exact number [2].</w:t>
      </w:r>
    </w:p>
    <w:p w:rsidR="00C31389" w:rsidRDefault="00C31389" w14:paraId="6FD3CF18" w14:textId="77777777">
      <w:pPr>
        <w:pStyle w:val="BodyText"/>
        <w:spacing w:before="10"/>
        <w:rPr>
          <w:sz w:val="20"/>
        </w:rPr>
      </w:pPr>
    </w:p>
    <w:p w:rsidR="00C31389" w:rsidRDefault="00561FBD" w14:paraId="2BBCB107" w14:textId="77777777">
      <w:pPr>
        <w:pStyle w:val="ListParagraph"/>
        <w:numPr>
          <w:ilvl w:val="3"/>
          <w:numId w:val="21"/>
        </w:numPr>
        <w:tabs>
          <w:tab w:val="left" w:pos="1200"/>
        </w:tabs>
        <w:ind w:right="604"/>
      </w:pPr>
      <w:r>
        <w:rPr>
          <w:b/>
        </w:rPr>
        <w:t xml:space="preserve">Home Vintage (year built) </w:t>
      </w:r>
      <w:r>
        <w:t>was used by multiple studies to predict existing panel size and use that as a proxy to gauge the necessity for a pan</w:t>
      </w:r>
      <w:r>
        <w:t>el upgrade. For example,</w:t>
      </w:r>
      <w:r>
        <w:rPr>
          <w:spacing w:val="-4"/>
        </w:rPr>
        <w:t xml:space="preserve"> </w:t>
      </w:r>
      <w:r>
        <w:t>one</w:t>
      </w:r>
      <w:r>
        <w:rPr>
          <w:spacing w:val="-4"/>
        </w:rPr>
        <w:t xml:space="preserve"> </w:t>
      </w:r>
      <w:r>
        <w:t>study</w:t>
      </w:r>
      <w:r>
        <w:rPr>
          <w:spacing w:val="-4"/>
        </w:rPr>
        <w:t xml:space="preserve"> </w:t>
      </w:r>
      <w:r>
        <w:t>reported</w:t>
      </w:r>
      <w:r>
        <w:rPr>
          <w:spacing w:val="-4"/>
        </w:rPr>
        <w:t xml:space="preserve"> </w:t>
      </w:r>
      <w:r>
        <w:t>the</w:t>
      </w:r>
      <w:r>
        <w:rPr>
          <w:spacing w:val="-4"/>
        </w:rPr>
        <w:t xml:space="preserve"> </w:t>
      </w:r>
      <w:r>
        <w:t>following</w:t>
      </w:r>
      <w:r>
        <w:rPr>
          <w:spacing w:val="-4"/>
        </w:rPr>
        <w:t xml:space="preserve"> </w:t>
      </w:r>
      <w:r>
        <w:t>breakdown</w:t>
      </w:r>
      <w:r>
        <w:rPr>
          <w:spacing w:val="-4"/>
        </w:rPr>
        <w:t xml:space="preserve"> </w:t>
      </w:r>
      <w:r>
        <w:t>for</w:t>
      </w:r>
      <w:r>
        <w:rPr>
          <w:spacing w:val="-4"/>
        </w:rPr>
        <w:t xml:space="preserve"> </w:t>
      </w:r>
      <w:r>
        <w:t>estimating</w:t>
      </w:r>
      <w:r>
        <w:rPr>
          <w:spacing w:val="-4"/>
        </w:rPr>
        <w:t xml:space="preserve"> </w:t>
      </w:r>
      <w:r>
        <w:t>electrical</w:t>
      </w:r>
      <w:r>
        <w:rPr>
          <w:spacing w:val="-4"/>
        </w:rPr>
        <w:t xml:space="preserve"> </w:t>
      </w:r>
      <w:r>
        <w:t>panel size in multifamily buildings: Pre-1950: 30–40 amp, 1950–1974: 30–60 amp, 1974–</w:t>
      </w:r>
    </w:p>
    <w:p w:rsidR="00C31389" w:rsidRDefault="00561FBD" w14:paraId="00E013EB" w14:textId="77777777">
      <w:pPr>
        <w:pStyle w:val="BodyText"/>
        <w:ind w:left="1200" w:right="482"/>
      </w:pPr>
      <w:r>
        <w:t>2010: 60–90 amp, 2010–present: 100–150 amp [8]. In addition, 2022 Title 24 C</w:t>
      </w:r>
      <w:r>
        <w:t xml:space="preserve">ode requires all new residential single- and multifamily homes to be “electric cooking ready,” meaning the necessary panel and wiring upgrade have been completed [6]. In another electrification study [13] the panel upgrade costs were assumed to be applied </w:t>
      </w:r>
      <w:r>
        <w:t>to pre-1978 vintage single-family homes, but the study did not cite any data or evidence to support this assumption. Based on this criteria, up to 58% of single- family</w:t>
      </w:r>
      <w:r>
        <w:rPr>
          <w:spacing w:val="-3"/>
        </w:rPr>
        <w:t xml:space="preserve"> </w:t>
      </w:r>
      <w:r>
        <w:t>homes</w:t>
      </w:r>
      <w:r>
        <w:rPr>
          <w:spacing w:val="-3"/>
        </w:rPr>
        <w:t xml:space="preserve"> </w:t>
      </w:r>
      <w:r>
        <w:t>would</w:t>
      </w:r>
      <w:r>
        <w:rPr>
          <w:spacing w:val="-3"/>
        </w:rPr>
        <w:t xml:space="preserve"> </w:t>
      </w:r>
      <w:r>
        <w:t>require</w:t>
      </w:r>
      <w:r>
        <w:rPr>
          <w:spacing w:val="-3"/>
        </w:rPr>
        <w:t xml:space="preserve"> </w:t>
      </w:r>
      <w:r>
        <w:t>an</w:t>
      </w:r>
      <w:r>
        <w:rPr>
          <w:spacing w:val="-3"/>
        </w:rPr>
        <w:t xml:space="preserve"> </w:t>
      </w:r>
      <w:r>
        <w:t>electric</w:t>
      </w:r>
      <w:r>
        <w:rPr>
          <w:spacing w:val="-3"/>
        </w:rPr>
        <w:t xml:space="preserve"> </w:t>
      </w:r>
      <w:r>
        <w:t>upgrade.</w:t>
      </w:r>
      <w:r>
        <w:rPr>
          <w:spacing w:val="-4"/>
        </w:rPr>
        <w:t xml:space="preserve"> </w:t>
      </w:r>
      <w:r>
        <w:t>However,</w:t>
      </w:r>
      <w:r>
        <w:rPr>
          <w:spacing w:val="-3"/>
        </w:rPr>
        <w:t xml:space="preserve"> </w:t>
      </w:r>
      <w:r>
        <w:t>a</w:t>
      </w:r>
      <w:r>
        <w:rPr>
          <w:spacing w:val="-3"/>
        </w:rPr>
        <w:t xml:space="preserve"> </w:t>
      </w:r>
      <w:r>
        <w:t>study</w:t>
      </w:r>
      <w:r>
        <w:rPr>
          <w:spacing w:val="-3"/>
        </w:rPr>
        <w:t xml:space="preserve"> </w:t>
      </w:r>
      <w:r>
        <w:t>in</w:t>
      </w:r>
      <w:r>
        <w:rPr>
          <w:spacing w:val="-3"/>
        </w:rPr>
        <w:t xml:space="preserve"> </w:t>
      </w:r>
      <w:r>
        <w:t>Texas</w:t>
      </w:r>
      <w:r>
        <w:rPr>
          <w:spacing w:val="-3"/>
        </w:rPr>
        <w:t xml:space="preserve"> </w:t>
      </w:r>
      <w:r>
        <w:t>found</w:t>
      </w:r>
      <w:r>
        <w:rPr>
          <w:spacing w:val="-3"/>
        </w:rPr>
        <w:t xml:space="preserve"> </w:t>
      </w:r>
      <w:r>
        <w:t xml:space="preserve">no </w:t>
      </w:r>
      <w:r>
        <w:t>significant correlation between home vintage and panel size [16]. Another study suggested that based on the home vintage approximately 71% of homes have at least 100 amp (100 A) panels [2].</w:t>
      </w:r>
    </w:p>
    <w:p w:rsidR="00C31389" w:rsidRDefault="00561FBD" w14:paraId="2F68BE97" w14:textId="77777777">
      <w:pPr>
        <w:pStyle w:val="Heading7"/>
        <w:spacing w:before="118"/>
        <w:ind w:left="4973" w:right="418" w:hanging="3499"/>
      </w:pPr>
      <w:bookmarkStart w:name="_bookmark287" w:id="382"/>
      <w:bookmarkEnd w:id="382"/>
      <w:r>
        <w:t>Table</w:t>
      </w:r>
      <w:r>
        <w:rPr>
          <w:spacing w:val="-5"/>
        </w:rPr>
        <w:t xml:space="preserve"> </w:t>
      </w:r>
      <w:r>
        <w:t>C-5.</w:t>
      </w:r>
      <w:r>
        <w:rPr>
          <w:spacing w:val="-5"/>
        </w:rPr>
        <w:t xml:space="preserve"> </w:t>
      </w:r>
      <w:r>
        <w:t>Statewide</w:t>
      </w:r>
      <w:r>
        <w:rPr>
          <w:spacing w:val="-3"/>
        </w:rPr>
        <w:t xml:space="preserve"> </w:t>
      </w:r>
      <w:r>
        <w:t>Building</w:t>
      </w:r>
      <w:r>
        <w:rPr>
          <w:spacing w:val="-4"/>
        </w:rPr>
        <w:t xml:space="preserve"> </w:t>
      </w:r>
      <w:r>
        <w:t>Vintage</w:t>
      </w:r>
      <w:r>
        <w:rPr>
          <w:spacing w:val="-4"/>
        </w:rPr>
        <w:t xml:space="preserve"> </w:t>
      </w:r>
      <w:r>
        <w:t>–</w:t>
      </w:r>
      <w:r>
        <w:rPr>
          <w:spacing w:val="-4"/>
        </w:rPr>
        <w:t xml:space="preserve"> </w:t>
      </w:r>
      <w:r>
        <w:t>RASS</w:t>
      </w:r>
      <w:r>
        <w:rPr>
          <w:spacing w:val="-40"/>
        </w:rPr>
        <w:t xml:space="preserve"> </w:t>
      </w:r>
      <w:hyperlink w:history="1" w:anchor="_bookmark288">
        <w:r>
          <w:rPr>
            <w:vertAlign w:val="superscript"/>
          </w:rPr>
          <w:t>86</w:t>
        </w:r>
      </w:hyperlink>
      <w:r>
        <w:rPr>
          <w:spacing w:val="-4"/>
        </w:rPr>
        <w:t xml:space="preserve"> </w:t>
      </w:r>
      <w:r>
        <w:t>estimated</w:t>
      </w:r>
      <w:r>
        <w:rPr>
          <w:spacing w:val="-4"/>
        </w:rPr>
        <w:t xml:space="preserve"> </w:t>
      </w:r>
      <w:r>
        <w:t>population</w:t>
      </w:r>
      <w:r>
        <w:rPr>
          <w:spacing w:val="-4"/>
        </w:rPr>
        <w:t xml:space="preserve"> </w:t>
      </w:r>
      <w:r>
        <w:t xml:space="preserve">data </w:t>
      </w:r>
      <w:r>
        <w:rPr>
          <w:spacing w:val="-2"/>
        </w:rPr>
        <w:t>(1000s)</w:t>
      </w:r>
    </w:p>
    <w:p w:rsidR="00C31389" w:rsidRDefault="00C31389" w14:paraId="606484BD" w14:textId="77777777">
      <w:pPr>
        <w:pStyle w:val="BodyText"/>
        <w:spacing w:before="1"/>
        <w:rPr>
          <w:b/>
          <w:sz w:val="10"/>
        </w:rPr>
      </w:pPr>
    </w:p>
    <w:tbl>
      <w:tblPr>
        <w:tblW w:w="0" w:type="auto"/>
        <w:tblInd w:w="487" w:type="dxa"/>
        <w:tblBorders>
          <w:top w:val="single" w:color="B6B6B6" w:sz="4" w:space="0"/>
          <w:left w:val="single" w:color="B6B6B6" w:sz="4" w:space="0"/>
          <w:bottom w:val="single" w:color="B6B6B6" w:sz="4" w:space="0"/>
          <w:right w:val="single" w:color="B6B6B6" w:sz="4" w:space="0"/>
          <w:insideH w:val="single" w:color="B6B6B6" w:sz="4" w:space="0"/>
          <w:insideV w:val="single" w:color="B6B6B6" w:sz="4" w:space="0"/>
        </w:tblBorders>
        <w:tblLayout w:type="fixed"/>
        <w:tblCellMar>
          <w:left w:w="0" w:type="dxa"/>
          <w:right w:w="0" w:type="dxa"/>
        </w:tblCellMar>
        <w:tblLook w:val="01E0" w:firstRow="1" w:lastRow="1" w:firstColumn="1" w:lastColumn="1" w:noHBand="0" w:noVBand="0"/>
      </w:tblPr>
      <w:tblGrid>
        <w:gridCol w:w="3561"/>
        <w:gridCol w:w="1013"/>
        <w:gridCol w:w="791"/>
        <w:gridCol w:w="697"/>
        <w:gridCol w:w="799"/>
        <w:gridCol w:w="690"/>
        <w:gridCol w:w="893"/>
        <w:gridCol w:w="582"/>
      </w:tblGrid>
      <w:tr w:rsidR="00C31389" w14:paraId="1084F435" w14:textId="77777777">
        <w:trPr>
          <w:trHeight w:val="459"/>
        </w:trPr>
        <w:tc>
          <w:tcPr>
            <w:tcW w:w="3561" w:type="dxa"/>
            <w:tcBorders>
              <w:top w:val="nil"/>
              <w:left w:val="nil"/>
              <w:right w:val="nil"/>
            </w:tcBorders>
            <w:shd w:val="clear" w:color="auto" w:fill="92D400"/>
          </w:tcPr>
          <w:p w:rsidR="00C31389" w:rsidRDefault="00561FBD" w14:paraId="0B4542DB" w14:textId="77777777">
            <w:pPr>
              <w:pStyle w:val="TableParagraph"/>
              <w:spacing w:before="135"/>
              <w:ind w:left="108"/>
              <w:rPr>
                <w:b/>
                <w:sz w:val="20"/>
              </w:rPr>
            </w:pPr>
            <w:r>
              <w:rPr>
                <w:b/>
                <w:sz w:val="20"/>
              </w:rPr>
              <w:t>Building</w:t>
            </w:r>
            <w:r>
              <w:rPr>
                <w:b/>
                <w:spacing w:val="-6"/>
                <w:sz w:val="20"/>
              </w:rPr>
              <w:t xml:space="preserve"> </w:t>
            </w:r>
            <w:r>
              <w:rPr>
                <w:b/>
                <w:spacing w:val="-4"/>
                <w:sz w:val="20"/>
              </w:rPr>
              <w:t>Type</w:t>
            </w:r>
          </w:p>
        </w:tc>
        <w:tc>
          <w:tcPr>
            <w:tcW w:w="1013" w:type="dxa"/>
            <w:tcBorders>
              <w:top w:val="nil"/>
              <w:left w:val="nil"/>
              <w:right w:val="single" w:color="A6A6A6" w:sz="4" w:space="0"/>
            </w:tcBorders>
            <w:shd w:val="clear" w:color="auto" w:fill="92D400"/>
          </w:tcPr>
          <w:p w:rsidR="00C31389" w:rsidRDefault="00561FBD" w14:paraId="7B2294D6" w14:textId="77777777">
            <w:pPr>
              <w:pStyle w:val="TableParagraph"/>
              <w:spacing w:before="116"/>
              <w:ind w:left="248" w:right="118"/>
              <w:jc w:val="center"/>
              <w:rPr>
                <w:b/>
                <w:sz w:val="20"/>
              </w:rPr>
            </w:pPr>
            <w:r>
              <w:rPr>
                <w:b/>
                <w:spacing w:val="-2"/>
                <w:sz w:val="20"/>
              </w:rPr>
              <w:t>Totals</w:t>
            </w:r>
          </w:p>
        </w:tc>
        <w:tc>
          <w:tcPr>
            <w:tcW w:w="1488" w:type="dxa"/>
            <w:gridSpan w:val="2"/>
            <w:tcBorders>
              <w:top w:val="nil"/>
              <w:left w:val="single" w:color="A6A6A6" w:sz="4" w:space="0"/>
              <w:right w:val="single" w:color="A6A6A6" w:sz="4" w:space="0"/>
            </w:tcBorders>
            <w:shd w:val="clear" w:color="auto" w:fill="92D400"/>
          </w:tcPr>
          <w:p w:rsidR="00C31389" w:rsidRDefault="00561FBD" w14:paraId="78B4C84E" w14:textId="77777777">
            <w:pPr>
              <w:pStyle w:val="TableParagraph"/>
              <w:spacing w:before="0" w:line="230" w:lineRule="exact"/>
              <w:ind w:left="516" w:hanging="383"/>
              <w:rPr>
                <w:b/>
                <w:sz w:val="20"/>
              </w:rPr>
            </w:pPr>
            <w:r>
              <w:rPr>
                <w:b/>
                <w:sz w:val="20"/>
              </w:rPr>
              <w:t>Built</w:t>
            </w:r>
            <w:r>
              <w:rPr>
                <w:b/>
                <w:spacing w:val="-14"/>
                <w:sz w:val="20"/>
              </w:rPr>
              <w:t xml:space="preserve"> </w:t>
            </w:r>
            <w:r>
              <w:rPr>
                <w:b/>
                <w:sz w:val="20"/>
              </w:rPr>
              <w:t>Prior</w:t>
            </w:r>
            <w:r>
              <w:rPr>
                <w:b/>
                <w:spacing w:val="-14"/>
                <w:sz w:val="20"/>
              </w:rPr>
              <w:t xml:space="preserve"> </w:t>
            </w:r>
            <w:r>
              <w:rPr>
                <w:b/>
                <w:sz w:val="20"/>
              </w:rPr>
              <w:t xml:space="preserve">to </w:t>
            </w:r>
            <w:r>
              <w:rPr>
                <w:b/>
                <w:spacing w:val="-4"/>
                <w:sz w:val="20"/>
              </w:rPr>
              <w:t>1978</w:t>
            </w:r>
          </w:p>
        </w:tc>
        <w:tc>
          <w:tcPr>
            <w:tcW w:w="1489" w:type="dxa"/>
            <w:gridSpan w:val="2"/>
            <w:tcBorders>
              <w:top w:val="nil"/>
              <w:left w:val="single" w:color="A6A6A6" w:sz="4" w:space="0"/>
              <w:right w:val="single" w:color="A6A6A6" w:sz="4" w:space="0"/>
            </w:tcBorders>
            <w:shd w:val="clear" w:color="auto" w:fill="92D400"/>
          </w:tcPr>
          <w:p w:rsidR="00C31389" w:rsidRDefault="00561FBD" w14:paraId="4A754E33" w14:textId="77777777">
            <w:pPr>
              <w:pStyle w:val="TableParagraph"/>
              <w:spacing w:before="1" w:line="230" w:lineRule="exact"/>
              <w:ind w:left="221" w:right="220"/>
              <w:jc w:val="center"/>
              <w:rPr>
                <w:b/>
                <w:sz w:val="20"/>
              </w:rPr>
            </w:pPr>
            <w:r>
              <w:rPr>
                <w:b/>
                <w:sz w:val="20"/>
              </w:rPr>
              <w:t>Built</w:t>
            </w:r>
            <w:r>
              <w:rPr>
                <w:b/>
                <w:spacing w:val="-5"/>
                <w:sz w:val="20"/>
              </w:rPr>
              <w:t xml:space="preserve"> </w:t>
            </w:r>
            <w:r>
              <w:rPr>
                <w:b/>
                <w:spacing w:val="-2"/>
                <w:sz w:val="20"/>
              </w:rPr>
              <w:t>1979-</w:t>
            </w:r>
          </w:p>
          <w:p w:rsidR="00C31389" w:rsidRDefault="00561FBD" w14:paraId="1145C9BB" w14:textId="77777777">
            <w:pPr>
              <w:pStyle w:val="TableParagraph"/>
              <w:spacing w:before="0" w:line="209" w:lineRule="exact"/>
              <w:ind w:left="221" w:right="219"/>
              <w:jc w:val="center"/>
              <w:rPr>
                <w:b/>
                <w:sz w:val="20"/>
              </w:rPr>
            </w:pPr>
            <w:r>
              <w:rPr>
                <w:b/>
                <w:spacing w:val="-4"/>
                <w:sz w:val="20"/>
              </w:rPr>
              <w:t>2012</w:t>
            </w:r>
          </w:p>
        </w:tc>
        <w:tc>
          <w:tcPr>
            <w:tcW w:w="1475" w:type="dxa"/>
            <w:gridSpan w:val="2"/>
            <w:tcBorders>
              <w:top w:val="nil"/>
              <w:left w:val="single" w:color="A6A6A6" w:sz="4" w:space="0"/>
              <w:right w:val="nil"/>
            </w:tcBorders>
            <w:shd w:val="clear" w:color="auto" w:fill="92D400"/>
          </w:tcPr>
          <w:p w:rsidR="00C31389" w:rsidRDefault="00561FBD" w14:paraId="3D58BE2F" w14:textId="77777777">
            <w:pPr>
              <w:pStyle w:val="TableParagraph"/>
              <w:spacing w:before="0" w:line="230" w:lineRule="exact"/>
              <w:ind w:left="509" w:right="250" w:hanging="262"/>
              <w:rPr>
                <w:b/>
                <w:sz w:val="20"/>
              </w:rPr>
            </w:pPr>
            <w:r>
              <w:rPr>
                <w:b/>
                <w:sz w:val="20"/>
              </w:rPr>
              <w:t>Built</w:t>
            </w:r>
            <w:r>
              <w:rPr>
                <w:b/>
                <w:spacing w:val="-14"/>
                <w:sz w:val="20"/>
              </w:rPr>
              <w:t xml:space="preserve"> </w:t>
            </w:r>
            <w:r>
              <w:rPr>
                <w:b/>
                <w:sz w:val="20"/>
              </w:rPr>
              <w:t xml:space="preserve">After </w:t>
            </w:r>
            <w:r>
              <w:rPr>
                <w:b/>
                <w:spacing w:val="-4"/>
                <w:sz w:val="20"/>
              </w:rPr>
              <w:t>2012</w:t>
            </w:r>
          </w:p>
        </w:tc>
      </w:tr>
      <w:tr w:rsidR="00C31389" w14:paraId="58CB6DC6" w14:textId="77777777">
        <w:trPr>
          <w:trHeight w:val="244"/>
        </w:trPr>
        <w:tc>
          <w:tcPr>
            <w:tcW w:w="3561" w:type="dxa"/>
            <w:tcBorders>
              <w:left w:val="nil"/>
              <w:right w:val="nil"/>
            </w:tcBorders>
          </w:tcPr>
          <w:p w:rsidR="00C31389" w:rsidRDefault="00561FBD" w14:paraId="579954A4" w14:textId="77777777">
            <w:pPr>
              <w:pStyle w:val="TableParagraph"/>
              <w:spacing w:before="8" w:line="217" w:lineRule="exact"/>
              <w:ind w:left="108"/>
              <w:rPr>
                <w:sz w:val="20"/>
              </w:rPr>
            </w:pPr>
            <w:r>
              <w:rPr>
                <w:sz w:val="20"/>
              </w:rPr>
              <w:t>Single-Family</w:t>
            </w:r>
            <w:r>
              <w:rPr>
                <w:spacing w:val="-10"/>
                <w:sz w:val="20"/>
              </w:rPr>
              <w:t xml:space="preserve"> </w:t>
            </w:r>
            <w:r>
              <w:rPr>
                <w:spacing w:val="-2"/>
                <w:sz w:val="20"/>
              </w:rPr>
              <w:t>Detached</w:t>
            </w:r>
          </w:p>
        </w:tc>
        <w:tc>
          <w:tcPr>
            <w:tcW w:w="1013" w:type="dxa"/>
            <w:tcBorders>
              <w:left w:val="nil"/>
              <w:right w:val="single" w:color="A6A6A6" w:sz="4" w:space="0"/>
            </w:tcBorders>
          </w:tcPr>
          <w:p w:rsidR="00C31389" w:rsidRDefault="00561FBD" w14:paraId="30510B0B" w14:textId="77777777">
            <w:pPr>
              <w:pStyle w:val="TableParagraph"/>
              <w:spacing w:before="8" w:line="217" w:lineRule="exact"/>
              <w:ind w:left="248" w:right="118"/>
              <w:jc w:val="center"/>
              <w:rPr>
                <w:sz w:val="20"/>
              </w:rPr>
            </w:pPr>
            <w:r>
              <w:rPr>
                <w:spacing w:val="-4"/>
                <w:sz w:val="20"/>
              </w:rPr>
              <w:t>6,825</w:t>
            </w:r>
          </w:p>
        </w:tc>
        <w:tc>
          <w:tcPr>
            <w:tcW w:w="791" w:type="dxa"/>
            <w:tcBorders>
              <w:left w:val="single" w:color="A6A6A6" w:sz="4" w:space="0"/>
              <w:right w:val="nil"/>
            </w:tcBorders>
          </w:tcPr>
          <w:p w:rsidR="00C31389" w:rsidRDefault="00561FBD" w14:paraId="30217B51" w14:textId="77777777">
            <w:pPr>
              <w:pStyle w:val="TableParagraph"/>
              <w:spacing w:before="8" w:line="217" w:lineRule="exact"/>
              <w:ind w:left="125" w:right="140"/>
              <w:jc w:val="center"/>
              <w:rPr>
                <w:sz w:val="20"/>
              </w:rPr>
            </w:pPr>
            <w:r>
              <w:rPr>
                <w:spacing w:val="-4"/>
                <w:sz w:val="20"/>
              </w:rPr>
              <w:t>3,933</w:t>
            </w:r>
          </w:p>
        </w:tc>
        <w:tc>
          <w:tcPr>
            <w:tcW w:w="697" w:type="dxa"/>
            <w:tcBorders>
              <w:left w:val="nil"/>
              <w:right w:val="nil"/>
            </w:tcBorders>
          </w:tcPr>
          <w:p w:rsidR="00C31389" w:rsidRDefault="00561FBD" w14:paraId="0F848F7F" w14:textId="77777777">
            <w:pPr>
              <w:pStyle w:val="TableParagraph"/>
              <w:spacing w:before="8" w:line="217" w:lineRule="exact"/>
              <w:ind w:left="139" w:right="132"/>
              <w:jc w:val="center"/>
              <w:rPr>
                <w:sz w:val="20"/>
              </w:rPr>
            </w:pPr>
            <w:r>
              <w:rPr>
                <w:spacing w:val="-5"/>
                <w:sz w:val="20"/>
              </w:rPr>
              <w:t>58%</w:t>
            </w:r>
          </w:p>
        </w:tc>
        <w:tc>
          <w:tcPr>
            <w:tcW w:w="799" w:type="dxa"/>
            <w:tcBorders>
              <w:left w:val="nil"/>
              <w:right w:val="single" w:color="A6A6A6" w:sz="4" w:space="0"/>
            </w:tcBorders>
          </w:tcPr>
          <w:p w:rsidR="00C31389" w:rsidRDefault="00561FBD" w14:paraId="6B81B009" w14:textId="77777777">
            <w:pPr>
              <w:pStyle w:val="TableParagraph"/>
              <w:spacing w:before="8" w:line="217" w:lineRule="exact"/>
              <w:ind w:left="152" w:right="120"/>
              <w:jc w:val="center"/>
              <w:rPr>
                <w:sz w:val="20"/>
              </w:rPr>
            </w:pPr>
            <w:r>
              <w:rPr>
                <w:spacing w:val="-4"/>
                <w:sz w:val="20"/>
              </w:rPr>
              <w:t>2,405</w:t>
            </w:r>
          </w:p>
        </w:tc>
        <w:tc>
          <w:tcPr>
            <w:tcW w:w="690" w:type="dxa"/>
            <w:tcBorders>
              <w:left w:val="single" w:color="A6A6A6" w:sz="4" w:space="0"/>
              <w:right w:val="nil"/>
            </w:tcBorders>
          </w:tcPr>
          <w:p w:rsidR="00C31389" w:rsidRDefault="00561FBD" w14:paraId="694B2C3F" w14:textId="77777777">
            <w:pPr>
              <w:pStyle w:val="TableParagraph"/>
              <w:spacing w:before="8" w:line="217" w:lineRule="exact"/>
              <w:ind w:right="9"/>
              <w:jc w:val="right"/>
              <w:rPr>
                <w:sz w:val="20"/>
              </w:rPr>
            </w:pPr>
            <w:r>
              <w:rPr>
                <w:spacing w:val="-5"/>
                <w:sz w:val="20"/>
              </w:rPr>
              <w:t>35%</w:t>
            </w:r>
          </w:p>
        </w:tc>
        <w:tc>
          <w:tcPr>
            <w:tcW w:w="893" w:type="dxa"/>
            <w:tcBorders>
              <w:left w:val="nil"/>
              <w:right w:val="nil"/>
            </w:tcBorders>
          </w:tcPr>
          <w:p w:rsidR="00C31389" w:rsidRDefault="00561FBD" w14:paraId="03ED6B25" w14:textId="77777777">
            <w:pPr>
              <w:pStyle w:val="TableParagraph"/>
              <w:spacing w:before="8" w:line="217" w:lineRule="exact"/>
              <w:ind w:left="412"/>
              <w:rPr>
                <w:sz w:val="20"/>
              </w:rPr>
            </w:pPr>
            <w:r>
              <w:rPr>
                <w:spacing w:val="-5"/>
                <w:sz w:val="20"/>
              </w:rPr>
              <w:t>169</w:t>
            </w:r>
          </w:p>
        </w:tc>
        <w:tc>
          <w:tcPr>
            <w:tcW w:w="582" w:type="dxa"/>
            <w:tcBorders>
              <w:left w:val="nil"/>
              <w:right w:val="nil"/>
            </w:tcBorders>
          </w:tcPr>
          <w:p w:rsidR="00C31389" w:rsidRDefault="00561FBD" w14:paraId="46342064" w14:textId="77777777">
            <w:pPr>
              <w:pStyle w:val="TableParagraph"/>
              <w:spacing w:before="8" w:line="217" w:lineRule="exact"/>
              <w:ind w:left="146"/>
              <w:rPr>
                <w:sz w:val="20"/>
              </w:rPr>
            </w:pPr>
            <w:r>
              <w:rPr>
                <w:spacing w:val="-5"/>
                <w:sz w:val="20"/>
              </w:rPr>
              <w:t>2%</w:t>
            </w:r>
          </w:p>
        </w:tc>
      </w:tr>
      <w:tr w:rsidR="00C31389" w14:paraId="788301D0" w14:textId="77777777">
        <w:trPr>
          <w:trHeight w:val="244"/>
        </w:trPr>
        <w:tc>
          <w:tcPr>
            <w:tcW w:w="3561" w:type="dxa"/>
            <w:tcBorders>
              <w:left w:val="nil"/>
              <w:right w:val="nil"/>
            </w:tcBorders>
          </w:tcPr>
          <w:p w:rsidR="00C31389" w:rsidRDefault="00561FBD" w14:paraId="0F3F2FC8" w14:textId="77777777">
            <w:pPr>
              <w:pStyle w:val="TableParagraph"/>
              <w:spacing w:before="8" w:line="217" w:lineRule="exact"/>
              <w:ind w:left="108"/>
              <w:rPr>
                <w:sz w:val="20"/>
              </w:rPr>
            </w:pPr>
            <w:r>
              <w:rPr>
                <w:sz w:val="20"/>
              </w:rPr>
              <w:t>Townhouse,</w:t>
            </w:r>
            <w:r>
              <w:rPr>
                <w:spacing w:val="-5"/>
                <w:sz w:val="20"/>
              </w:rPr>
              <w:t xml:space="preserve"> </w:t>
            </w:r>
            <w:r>
              <w:rPr>
                <w:sz w:val="20"/>
              </w:rPr>
              <w:t>Duplex,</w:t>
            </w:r>
            <w:r>
              <w:rPr>
                <w:spacing w:val="-3"/>
                <w:sz w:val="20"/>
              </w:rPr>
              <w:t xml:space="preserve"> </w:t>
            </w:r>
            <w:r>
              <w:rPr>
                <w:sz w:val="20"/>
              </w:rPr>
              <w:t>Or</w:t>
            </w:r>
            <w:r>
              <w:rPr>
                <w:spacing w:val="-4"/>
                <w:sz w:val="20"/>
              </w:rPr>
              <w:t xml:space="preserve"> </w:t>
            </w:r>
            <w:r>
              <w:rPr>
                <w:sz w:val="20"/>
              </w:rPr>
              <w:t>Row</w:t>
            </w:r>
            <w:r>
              <w:rPr>
                <w:spacing w:val="-1"/>
                <w:sz w:val="20"/>
              </w:rPr>
              <w:t xml:space="preserve"> </w:t>
            </w:r>
            <w:r>
              <w:rPr>
                <w:spacing w:val="-4"/>
                <w:sz w:val="20"/>
              </w:rPr>
              <w:t>House</w:t>
            </w:r>
          </w:p>
        </w:tc>
        <w:tc>
          <w:tcPr>
            <w:tcW w:w="1013" w:type="dxa"/>
            <w:tcBorders>
              <w:left w:val="nil"/>
              <w:right w:val="single" w:color="A6A6A6" w:sz="4" w:space="0"/>
            </w:tcBorders>
          </w:tcPr>
          <w:p w:rsidR="00C31389" w:rsidRDefault="00561FBD" w14:paraId="0618BFE3" w14:textId="77777777">
            <w:pPr>
              <w:pStyle w:val="TableParagraph"/>
              <w:spacing w:before="8" w:line="217" w:lineRule="exact"/>
              <w:ind w:left="248" w:right="119"/>
              <w:jc w:val="center"/>
              <w:rPr>
                <w:sz w:val="20"/>
              </w:rPr>
            </w:pPr>
            <w:r>
              <w:rPr>
                <w:spacing w:val="-5"/>
                <w:sz w:val="20"/>
              </w:rPr>
              <w:t>977</w:t>
            </w:r>
          </w:p>
        </w:tc>
        <w:tc>
          <w:tcPr>
            <w:tcW w:w="791" w:type="dxa"/>
            <w:tcBorders>
              <w:left w:val="single" w:color="A6A6A6" w:sz="4" w:space="0"/>
              <w:right w:val="nil"/>
            </w:tcBorders>
          </w:tcPr>
          <w:p w:rsidR="00C31389" w:rsidRDefault="00561FBD" w14:paraId="7E860BBA" w14:textId="77777777">
            <w:pPr>
              <w:pStyle w:val="TableParagraph"/>
              <w:spacing w:before="8" w:line="217" w:lineRule="exact"/>
              <w:ind w:left="124" w:right="140"/>
              <w:jc w:val="center"/>
              <w:rPr>
                <w:sz w:val="20"/>
              </w:rPr>
            </w:pPr>
            <w:r>
              <w:rPr>
                <w:spacing w:val="-5"/>
                <w:sz w:val="20"/>
              </w:rPr>
              <w:t>415</w:t>
            </w:r>
          </w:p>
        </w:tc>
        <w:tc>
          <w:tcPr>
            <w:tcW w:w="697" w:type="dxa"/>
            <w:tcBorders>
              <w:left w:val="nil"/>
              <w:right w:val="nil"/>
            </w:tcBorders>
          </w:tcPr>
          <w:p w:rsidR="00C31389" w:rsidRDefault="00561FBD" w14:paraId="777CDB79" w14:textId="77777777">
            <w:pPr>
              <w:pStyle w:val="TableParagraph"/>
              <w:spacing w:before="8" w:line="217" w:lineRule="exact"/>
              <w:ind w:left="139" w:right="132"/>
              <w:jc w:val="center"/>
              <w:rPr>
                <w:sz w:val="20"/>
              </w:rPr>
            </w:pPr>
            <w:r>
              <w:rPr>
                <w:spacing w:val="-5"/>
                <w:sz w:val="20"/>
              </w:rPr>
              <w:t>43%</w:t>
            </w:r>
          </w:p>
        </w:tc>
        <w:tc>
          <w:tcPr>
            <w:tcW w:w="799" w:type="dxa"/>
            <w:tcBorders>
              <w:left w:val="nil"/>
              <w:right w:val="single" w:color="A6A6A6" w:sz="4" w:space="0"/>
            </w:tcBorders>
          </w:tcPr>
          <w:p w:rsidR="00C31389" w:rsidRDefault="00561FBD" w14:paraId="0BFCA95F" w14:textId="77777777">
            <w:pPr>
              <w:pStyle w:val="TableParagraph"/>
              <w:spacing w:before="8" w:line="217" w:lineRule="exact"/>
              <w:ind w:left="151" w:right="120"/>
              <w:jc w:val="center"/>
              <w:rPr>
                <w:sz w:val="20"/>
              </w:rPr>
            </w:pPr>
            <w:r>
              <w:rPr>
                <w:spacing w:val="-5"/>
                <w:sz w:val="20"/>
              </w:rPr>
              <w:t>473</w:t>
            </w:r>
          </w:p>
        </w:tc>
        <w:tc>
          <w:tcPr>
            <w:tcW w:w="690" w:type="dxa"/>
            <w:tcBorders>
              <w:left w:val="single" w:color="A6A6A6" w:sz="4" w:space="0"/>
              <w:right w:val="nil"/>
            </w:tcBorders>
          </w:tcPr>
          <w:p w:rsidR="00C31389" w:rsidRDefault="00561FBD" w14:paraId="76FA5117" w14:textId="77777777">
            <w:pPr>
              <w:pStyle w:val="TableParagraph"/>
              <w:spacing w:before="8" w:line="217" w:lineRule="exact"/>
              <w:ind w:right="9"/>
              <w:jc w:val="right"/>
              <w:rPr>
                <w:sz w:val="20"/>
              </w:rPr>
            </w:pPr>
            <w:r>
              <w:rPr>
                <w:spacing w:val="-5"/>
                <w:sz w:val="20"/>
              </w:rPr>
              <w:t>48%</w:t>
            </w:r>
          </w:p>
        </w:tc>
        <w:tc>
          <w:tcPr>
            <w:tcW w:w="893" w:type="dxa"/>
            <w:tcBorders>
              <w:left w:val="nil"/>
              <w:right w:val="nil"/>
            </w:tcBorders>
          </w:tcPr>
          <w:p w:rsidR="00C31389" w:rsidRDefault="00561FBD" w14:paraId="7C05C64E" w14:textId="77777777">
            <w:pPr>
              <w:pStyle w:val="TableParagraph"/>
              <w:spacing w:before="8" w:line="217" w:lineRule="exact"/>
              <w:ind w:left="467"/>
              <w:rPr>
                <w:sz w:val="20"/>
              </w:rPr>
            </w:pPr>
            <w:r>
              <w:rPr>
                <w:spacing w:val="-5"/>
                <w:sz w:val="20"/>
              </w:rPr>
              <w:t>25</w:t>
            </w:r>
          </w:p>
        </w:tc>
        <w:tc>
          <w:tcPr>
            <w:tcW w:w="582" w:type="dxa"/>
            <w:tcBorders>
              <w:left w:val="nil"/>
              <w:right w:val="nil"/>
            </w:tcBorders>
          </w:tcPr>
          <w:p w:rsidR="00C31389" w:rsidRDefault="00561FBD" w14:paraId="04958E5C" w14:textId="77777777">
            <w:pPr>
              <w:pStyle w:val="TableParagraph"/>
              <w:spacing w:before="8" w:line="217" w:lineRule="exact"/>
              <w:ind w:left="146"/>
              <w:rPr>
                <w:sz w:val="20"/>
              </w:rPr>
            </w:pPr>
            <w:r>
              <w:rPr>
                <w:spacing w:val="-5"/>
                <w:sz w:val="20"/>
              </w:rPr>
              <w:t>3%</w:t>
            </w:r>
          </w:p>
        </w:tc>
      </w:tr>
      <w:tr w:rsidR="00C31389" w14:paraId="032A3E57" w14:textId="77777777">
        <w:trPr>
          <w:trHeight w:val="245"/>
        </w:trPr>
        <w:tc>
          <w:tcPr>
            <w:tcW w:w="3561" w:type="dxa"/>
            <w:tcBorders>
              <w:left w:val="nil"/>
              <w:right w:val="nil"/>
            </w:tcBorders>
          </w:tcPr>
          <w:p w:rsidR="00C31389" w:rsidRDefault="00561FBD" w14:paraId="54E970B6" w14:textId="77777777">
            <w:pPr>
              <w:pStyle w:val="TableParagraph"/>
              <w:spacing w:before="9" w:line="217" w:lineRule="exact"/>
              <w:ind w:left="108"/>
              <w:rPr>
                <w:sz w:val="20"/>
              </w:rPr>
            </w:pPr>
            <w:r>
              <w:rPr>
                <w:sz w:val="20"/>
              </w:rPr>
              <w:t>Apartment</w:t>
            </w:r>
            <w:r>
              <w:rPr>
                <w:spacing w:val="-4"/>
                <w:sz w:val="20"/>
              </w:rPr>
              <w:t xml:space="preserve"> </w:t>
            </w:r>
            <w:r>
              <w:rPr>
                <w:sz w:val="20"/>
              </w:rPr>
              <w:t>Or</w:t>
            </w:r>
            <w:r>
              <w:rPr>
                <w:spacing w:val="-4"/>
                <w:sz w:val="20"/>
              </w:rPr>
              <w:t xml:space="preserve"> </w:t>
            </w:r>
            <w:r>
              <w:rPr>
                <w:sz w:val="20"/>
              </w:rPr>
              <w:t>Condo</w:t>
            </w:r>
            <w:r>
              <w:rPr>
                <w:spacing w:val="-3"/>
                <w:sz w:val="20"/>
              </w:rPr>
              <w:t xml:space="preserve"> </w:t>
            </w:r>
            <w:r>
              <w:rPr>
                <w:sz w:val="20"/>
              </w:rPr>
              <w:t>(2-4</w:t>
            </w:r>
            <w:r>
              <w:rPr>
                <w:spacing w:val="-4"/>
                <w:sz w:val="20"/>
              </w:rPr>
              <w:t xml:space="preserve"> </w:t>
            </w:r>
            <w:r>
              <w:rPr>
                <w:spacing w:val="-2"/>
                <w:sz w:val="20"/>
              </w:rPr>
              <w:t>Units)</w:t>
            </w:r>
          </w:p>
        </w:tc>
        <w:tc>
          <w:tcPr>
            <w:tcW w:w="1013" w:type="dxa"/>
            <w:tcBorders>
              <w:left w:val="nil"/>
              <w:right w:val="single" w:color="A6A6A6" w:sz="4" w:space="0"/>
            </w:tcBorders>
          </w:tcPr>
          <w:p w:rsidR="00C31389" w:rsidRDefault="00561FBD" w14:paraId="1A95E28B" w14:textId="77777777">
            <w:pPr>
              <w:pStyle w:val="TableParagraph"/>
              <w:spacing w:before="9" w:line="217" w:lineRule="exact"/>
              <w:ind w:left="248" w:right="118"/>
              <w:jc w:val="center"/>
              <w:rPr>
                <w:sz w:val="20"/>
              </w:rPr>
            </w:pPr>
            <w:r>
              <w:rPr>
                <w:spacing w:val="-4"/>
                <w:sz w:val="20"/>
              </w:rPr>
              <w:t>1,007</w:t>
            </w:r>
          </w:p>
        </w:tc>
        <w:tc>
          <w:tcPr>
            <w:tcW w:w="791" w:type="dxa"/>
            <w:tcBorders>
              <w:left w:val="single" w:color="A6A6A6" w:sz="4" w:space="0"/>
              <w:right w:val="nil"/>
            </w:tcBorders>
          </w:tcPr>
          <w:p w:rsidR="00C31389" w:rsidRDefault="00561FBD" w14:paraId="03209B9B" w14:textId="77777777">
            <w:pPr>
              <w:pStyle w:val="TableParagraph"/>
              <w:spacing w:before="9" w:line="217" w:lineRule="exact"/>
              <w:ind w:left="124" w:right="140"/>
              <w:jc w:val="center"/>
              <w:rPr>
                <w:sz w:val="20"/>
              </w:rPr>
            </w:pPr>
            <w:r>
              <w:rPr>
                <w:spacing w:val="-5"/>
                <w:sz w:val="20"/>
              </w:rPr>
              <w:t>429</w:t>
            </w:r>
          </w:p>
        </w:tc>
        <w:tc>
          <w:tcPr>
            <w:tcW w:w="697" w:type="dxa"/>
            <w:tcBorders>
              <w:left w:val="nil"/>
              <w:right w:val="nil"/>
            </w:tcBorders>
          </w:tcPr>
          <w:p w:rsidR="00C31389" w:rsidRDefault="00561FBD" w14:paraId="14FE4A20" w14:textId="77777777">
            <w:pPr>
              <w:pStyle w:val="TableParagraph"/>
              <w:spacing w:before="9" w:line="217" w:lineRule="exact"/>
              <w:ind w:left="139" w:right="132"/>
              <w:jc w:val="center"/>
              <w:rPr>
                <w:sz w:val="20"/>
              </w:rPr>
            </w:pPr>
            <w:r>
              <w:rPr>
                <w:spacing w:val="-5"/>
                <w:sz w:val="20"/>
              </w:rPr>
              <w:t>43%</w:t>
            </w:r>
          </w:p>
        </w:tc>
        <w:tc>
          <w:tcPr>
            <w:tcW w:w="799" w:type="dxa"/>
            <w:tcBorders>
              <w:left w:val="nil"/>
              <w:right w:val="single" w:color="A6A6A6" w:sz="4" w:space="0"/>
            </w:tcBorders>
          </w:tcPr>
          <w:p w:rsidR="00C31389" w:rsidRDefault="00561FBD" w14:paraId="7A6E65AC" w14:textId="77777777">
            <w:pPr>
              <w:pStyle w:val="TableParagraph"/>
              <w:spacing w:before="9" w:line="217" w:lineRule="exact"/>
              <w:ind w:left="151" w:right="120"/>
              <w:jc w:val="center"/>
              <w:rPr>
                <w:sz w:val="20"/>
              </w:rPr>
            </w:pPr>
            <w:r>
              <w:rPr>
                <w:spacing w:val="-5"/>
                <w:sz w:val="20"/>
              </w:rPr>
              <w:t>373</w:t>
            </w:r>
          </w:p>
        </w:tc>
        <w:tc>
          <w:tcPr>
            <w:tcW w:w="690" w:type="dxa"/>
            <w:tcBorders>
              <w:left w:val="single" w:color="A6A6A6" w:sz="4" w:space="0"/>
              <w:right w:val="nil"/>
            </w:tcBorders>
          </w:tcPr>
          <w:p w:rsidR="00C31389" w:rsidRDefault="00561FBD" w14:paraId="783F633A" w14:textId="77777777">
            <w:pPr>
              <w:pStyle w:val="TableParagraph"/>
              <w:spacing w:before="9" w:line="217" w:lineRule="exact"/>
              <w:ind w:right="9"/>
              <w:jc w:val="right"/>
              <w:rPr>
                <w:sz w:val="20"/>
              </w:rPr>
            </w:pPr>
            <w:r>
              <w:rPr>
                <w:spacing w:val="-5"/>
                <w:sz w:val="20"/>
              </w:rPr>
              <w:t>37%</w:t>
            </w:r>
          </w:p>
        </w:tc>
        <w:tc>
          <w:tcPr>
            <w:tcW w:w="893" w:type="dxa"/>
            <w:tcBorders>
              <w:left w:val="nil"/>
              <w:right w:val="nil"/>
            </w:tcBorders>
          </w:tcPr>
          <w:p w:rsidR="00C31389" w:rsidRDefault="00561FBD" w14:paraId="32CEB011" w14:textId="77777777">
            <w:pPr>
              <w:pStyle w:val="TableParagraph"/>
              <w:spacing w:before="9" w:line="217" w:lineRule="exact"/>
              <w:ind w:left="467"/>
              <w:rPr>
                <w:sz w:val="20"/>
              </w:rPr>
            </w:pPr>
            <w:r>
              <w:rPr>
                <w:spacing w:val="-5"/>
                <w:sz w:val="20"/>
              </w:rPr>
              <w:t>29</w:t>
            </w:r>
          </w:p>
        </w:tc>
        <w:tc>
          <w:tcPr>
            <w:tcW w:w="582" w:type="dxa"/>
            <w:tcBorders>
              <w:left w:val="nil"/>
              <w:right w:val="nil"/>
            </w:tcBorders>
          </w:tcPr>
          <w:p w:rsidR="00C31389" w:rsidRDefault="00561FBD" w14:paraId="3E4549BA" w14:textId="77777777">
            <w:pPr>
              <w:pStyle w:val="TableParagraph"/>
              <w:spacing w:before="9" w:line="217" w:lineRule="exact"/>
              <w:ind w:left="146"/>
              <w:rPr>
                <w:sz w:val="20"/>
              </w:rPr>
            </w:pPr>
            <w:r>
              <w:rPr>
                <w:spacing w:val="-5"/>
                <w:sz w:val="20"/>
              </w:rPr>
              <w:t>3%</w:t>
            </w:r>
          </w:p>
        </w:tc>
      </w:tr>
      <w:tr w:rsidR="00C31389" w14:paraId="79708D8B" w14:textId="77777777">
        <w:trPr>
          <w:trHeight w:val="244"/>
        </w:trPr>
        <w:tc>
          <w:tcPr>
            <w:tcW w:w="3561" w:type="dxa"/>
            <w:tcBorders>
              <w:left w:val="nil"/>
              <w:right w:val="nil"/>
            </w:tcBorders>
          </w:tcPr>
          <w:p w:rsidR="00C31389" w:rsidRDefault="00561FBD" w14:paraId="06A633F3" w14:textId="77777777">
            <w:pPr>
              <w:pStyle w:val="TableParagraph"/>
              <w:spacing w:before="8" w:line="217" w:lineRule="exact"/>
              <w:ind w:left="108"/>
              <w:rPr>
                <w:sz w:val="20"/>
              </w:rPr>
            </w:pPr>
            <w:r>
              <w:rPr>
                <w:sz w:val="20"/>
              </w:rPr>
              <w:t>Apartment</w:t>
            </w:r>
            <w:r>
              <w:rPr>
                <w:spacing w:val="-4"/>
                <w:sz w:val="20"/>
              </w:rPr>
              <w:t xml:space="preserve"> </w:t>
            </w:r>
            <w:r>
              <w:rPr>
                <w:sz w:val="20"/>
              </w:rPr>
              <w:t>Or</w:t>
            </w:r>
            <w:r>
              <w:rPr>
                <w:spacing w:val="-4"/>
                <w:sz w:val="20"/>
              </w:rPr>
              <w:t xml:space="preserve"> </w:t>
            </w:r>
            <w:r>
              <w:rPr>
                <w:sz w:val="20"/>
              </w:rPr>
              <w:t>Condo</w:t>
            </w:r>
            <w:r>
              <w:rPr>
                <w:spacing w:val="-3"/>
                <w:sz w:val="20"/>
              </w:rPr>
              <w:t xml:space="preserve"> </w:t>
            </w:r>
            <w:r>
              <w:rPr>
                <w:sz w:val="20"/>
              </w:rPr>
              <w:t>(5+</w:t>
            </w:r>
            <w:r>
              <w:rPr>
                <w:spacing w:val="-2"/>
                <w:sz w:val="20"/>
              </w:rPr>
              <w:t xml:space="preserve"> Units)</w:t>
            </w:r>
          </w:p>
        </w:tc>
        <w:tc>
          <w:tcPr>
            <w:tcW w:w="1013" w:type="dxa"/>
            <w:tcBorders>
              <w:left w:val="nil"/>
              <w:right w:val="single" w:color="A6A6A6" w:sz="4" w:space="0"/>
            </w:tcBorders>
          </w:tcPr>
          <w:p w:rsidR="00C31389" w:rsidRDefault="00561FBD" w14:paraId="3123A86E" w14:textId="77777777">
            <w:pPr>
              <w:pStyle w:val="TableParagraph"/>
              <w:spacing w:before="8" w:line="217" w:lineRule="exact"/>
              <w:ind w:left="248" w:right="118"/>
              <w:jc w:val="center"/>
              <w:rPr>
                <w:sz w:val="20"/>
              </w:rPr>
            </w:pPr>
            <w:r>
              <w:rPr>
                <w:spacing w:val="-4"/>
                <w:sz w:val="20"/>
              </w:rPr>
              <w:t>2,244</w:t>
            </w:r>
          </w:p>
        </w:tc>
        <w:tc>
          <w:tcPr>
            <w:tcW w:w="791" w:type="dxa"/>
            <w:tcBorders>
              <w:left w:val="single" w:color="A6A6A6" w:sz="4" w:space="0"/>
              <w:right w:val="nil"/>
            </w:tcBorders>
          </w:tcPr>
          <w:p w:rsidR="00C31389" w:rsidRDefault="00561FBD" w14:paraId="40014271" w14:textId="77777777">
            <w:pPr>
              <w:pStyle w:val="TableParagraph"/>
              <w:spacing w:before="8" w:line="217" w:lineRule="exact"/>
              <w:ind w:left="124" w:right="140"/>
              <w:jc w:val="center"/>
              <w:rPr>
                <w:sz w:val="20"/>
              </w:rPr>
            </w:pPr>
            <w:r>
              <w:rPr>
                <w:spacing w:val="-5"/>
                <w:sz w:val="20"/>
              </w:rPr>
              <w:t>901</w:t>
            </w:r>
          </w:p>
        </w:tc>
        <w:tc>
          <w:tcPr>
            <w:tcW w:w="697" w:type="dxa"/>
            <w:tcBorders>
              <w:left w:val="nil"/>
              <w:right w:val="nil"/>
            </w:tcBorders>
          </w:tcPr>
          <w:p w:rsidR="00C31389" w:rsidRDefault="00561FBD" w14:paraId="0B5EC661" w14:textId="77777777">
            <w:pPr>
              <w:pStyle w:val="TableParagraph"/>
              <w:spacing w:before="8" w:line="217" w:lineRule="exact"/>
              <w:ind w:left="139" w:right="132"/>
              <w:jc w:val="center"/>
              <w:rPr>
                <w:sz w:val="20"/>
              </w:rPr>
            </w:pPr>
            <w:r>
              <w:rPr>
                <w:spacing w:val="-5"/>
                <w:sz w:val="20"/>
              </w:rPr>
              <w:t>40%</w:t>
            </w:r>
          </w:p>
        </w:tc>
        <w:tc>
          <w:tcPr>
            <w:tcW w:w="799" w:type="dxa"/>
            <w:tcBorders>
              <w:left w:val="nil"/>
              <w:right w:val="single" w:color="A6A6A6" w:sz="4" w:space="0"/>
            </w:tcBorders>
          </w:tcPr>
          <w:p w:rsidR="00C31389" w:rsidRDefault="00561FBD" w14:paraId="4DED2073" w14:textId="77777777">
            <w:pPr>
              <w:pStyle w:val="TableParagraph"/>
              <w:spacing w:before="8" w:line="217" w:lineRule="exact"/>
              <w:ind w:left="151" w:right="120"/>
              <w:jc w:val="center"/>
              <w:rPr>
                <w:sz w:val="20"/>
              </w:rPr>
            </w:pPr>
            <w:r>
              <w:rPr>
                <w:spacing w:val="-5"/>
                <w:sz w:val="20"/>
              </w:rPr>
              <w:t>889</w:t>
            </w:r>
          </w:p>
        </w:tc>
        <w:tc>
          <w:tcPr>
            <w:tcW w:w="690" w:type="dxa"/>
            <w:tcBorders>
              <w:left w:val="single" w:color="A6A6A6" w:sz="4" w:space="0"/>
              <w:right w:val="nil"/>
            </w:tcBorders>
          </w:tcPr>
          <w:p w:rsidR="00C31389" w:rsidRDefault="00561FBD" w14:paraId="1D02B1DF" w14:textId="77777777">
            <w:pPr>
              <w:pStyle w:val="TableParagraph"/>
              <w:spacing w:before="8" w:line="217" w:lineRule="exact"/>
              <w:ind w:right="9"/>
              <w:jc w:val="right"/>
              <w:rPr>
                <w:sz w:val="20"/>
              </w:rPr>
            </w:pPr>
            <w:r>
              <w:rPr>
                <w:spacing w:val="-5"/>
                <w:sz w:val="20"/>
              </w:rPr>
              <w:t>40%</w:t>
            </w:r>
          </w:p>
        </w:tc>
        <w:tc>
          <w:tcPr>
            <w:tcW w:w="893" w:type="dxa"/>
            <w:tcBorders>
              <w:left w:val="nil"/>
              <w:right w:val="nil"/>
            </w:tcBorders>
          </w:tcPr>
          <w:p w:rsidR="00C31389" w:rsidRDefault="00561FBD" w14:paraId="0B6E868A" w14:textId="77777777">
            <w:pPr>
              <w:pStyle w:val="TableParagraph"/>
              <w:spacing w:before="8" w:line="217" w:lineRule="exact"/>
              <w:ind w:left="467"/>
              <w:rPr>
                <w:sz w:val="20"/>
              </w:rPr>
            </w:pPr>
            <w:r>
              <w:rPr>
                <w:spacing w:val="-5"/>
                <w:sz w:val="20"/>
              </w:rPr>
              <w:t>91</w:t>
            </w:r>
          </w:p>
        </w:tc>
        <w:tc>
          <w:tcPr>
            <w:tcW w:w="582" w:type="dxa"/>
            <w:tcBorders>
              <w:left w:val="nil"/>
              <w:right w:val="nil"/>
            </w:tcBorders>
          </w:tcPr>
          <w:p w:rsidR="00C31389" w:rsidRDefault="00561FBD" w14:paraId="2A2C1D66" w14:textId="77777777">
            <w:pPr>
              <w:pStyle w:val="TableParagraph"/>
              <w:spacing w:before="8" w:line="217" w:lineRule="exact"/>
              <w:ind w:left="146"/>
              <w:rPr>
                <w:sz w:val="20"/>
              </w:rPr>
            </w:pPr>
            <w:r>
              <w:rPr>
                <w:spacing w:val="-5"/>
                <w:sz w:val="20"/>
              </w:rPr>
              <w:t>4%</w:t>
            </w:r>
          </w:p>
        </w:tc>
      </w:tr>
      <w:tr w:rsidR="00C31389" w14:paraId="28C5E620" w14:textId="77777777">
        <w:trPr>
          <w:trHeight w:val="245"/>
        </w:trPr>
        <w:tc>
          <w:tcPr>
            <w:tcW w:w="3561" w:type="dxa"/>
            <w:tcBorders>
              <w:left w:val="nil"/>
              <w:right w:val="nil"/>
            </w:tcBorders>
          </w:tcPr>
          <w:p w:rsidR="00C31389" w:rsidRDefault="00561FBD" w14:paraId="6DF3163D" w14:textId="77777777">
            <w:pPr>
              <w:pStyle w:val="TableParagraph"/>
              <w:spacing w:before="9" w:line="217" w:lineRule="exact"/>
              <w:ind w:left="108"/>
              <w:rPr>
                <w:sz w:val="20"/>
              </w:rPr>
            </w:pPr>
            <w:r>
              <w:rPr>
                <w:sz w:val="20"/>
              </w:rPr>
              <w:t>Mobile</w:t>
            </w:r>
            <w:r>
              <w:rPr>
                <w:spacing w:val="-4"/>
                <w:sz w:val="20"/>
              </w:rPr>
              <w:t xml:space="preserve"> Home</w:t>
            </w:r>
          </w:p>
        </w:tc>
        <w:tc>
          <w:tcPr>
            <w:tcW w:w="1013" w:type="dxa"/>
            <w:tcBorders>
              <w:left w:val="nil"/>
              <w:right w:val="single" w:color="A6A6A6" w:sz="4" w:space="0"/>
            </w:tcBorders>
          </w:tcPr>
          <w:p w:rsidR="00C31389" w:rsidRDefault="00561FBD" w14:paraId="21A90F08" w14:textId="77777777">
            <w:pPr>
              <w:pStyle w:val="TableParagraph"/>
              <w:spacing w:before="9" w:line="217" w:lineRule="exact"/>
              <w:ind w:left="248" w:right="119"/>
              <w:jc w:val="center"/>
              <w:rPr>
                <w:sz w:val="20"/>
              </w:rPr>
            </w:pPr>
            <w:r>
              <w:rPr>
                <w:spacing w:val="-5"/>
                <w:sz w:val="20"/>
              </w:rPr>
              <w:t>243</w:t>
            </w:r>
          </w:p>
        </w:tc>
        <w:tc>
          <w:tcPr>
            <w:tcW w:w="791" w:type="dxa"/>
            <w:tcBorders>
              <w:left w:val="single" w:color="A6A6A6" w:sz="4" w:space="0"/>
              <w:right w:val="nil"/>
            </w:tcBorders>
          </w:tcPr>
          <w:p w:rsidR="00C31389" w:rsidRDefault="00561FBD" w14:paraId="6DB27CE5" w14:textId="77777777">
            <w:pPr>
              <w:pStyle w:val="TableParagraph"/>
              <w:spacing w:before="9" w:line="217" w:lineRule="exact"/>
              <w:ind w:left="124" w:right="140"/>
              <w:jc w:val="center"/>
              <w:rPr>
                <w:sz w:val="20"/>
              </w:rPr>
            </w:pPr>
            <w:r>
              <w:rPr>
                <w:spacing w:val="-5"/>
                <w:sz w:val="20"/>
              </w:rPr>
              <w:t>127</w:t>
            </w:r>
          </w:p>
        </w:tc>
        <w:tc>
          <w:tcPr>
            <w:tcW w:w="697" w:type="dxa"/>
            <w:tcBorders>
              <w:left w:val="nil"/>
              <w:right w:val="nil"/>
            </w:tcBorders>
          </w:tcPr>
          <w:p w:rsidR="00C31389" w:rsidRDefault="00561FBD" w14:paraId="736E58F8" w14:textId="77777777">
            <w:pPr>
              <w:pStyle w:val="TableParagraph"/>
              <w:spacing w:before="9" w:line="217" w:lineRule="exact"/>
              <w:ind w:left="139" w:right="132"/>
              <w:jc w:val="center"/>
              <w:rPr>
                <w:sz w:val="20"/>
              </w:rPr>
            </w:pPr>
            <w:r>
              <w:rPr>
                <w:spacing w:val="-5"/>
                <w:sz w:val="20"/>
              </w:rPr>
              <w:t>52%</w:t>
            </w:r>
          </w:p>
        </w:tc>
        <w:tc>
          <w:tcPr>
            <w:tcW w:w="799" w:type="dxa"/>
            <w:tcBorders>
              <w:left w:val="nil"/>
              <w:right w:val="single" w:color="A6A6A6" w:sz="4" w:space="0"/>
            </w:tcBorders>
          </w:tcPr>
          <w:p w:rsidR="00C31389" w:rsidRDefault="00561FBD" w14:paraId="6B5824FE" w14:textId="77777777">
            <w:pPr>
              <w:pStyle w:val="TableParagraph"/>
              <w:spacing w:before="9" w:line="217" w:lineRule="exact"/>
              <w:ind w:left="152" w:right="120"/>
              <w:jc w:val="center"/>
              <w:rPr>
                <w:sz w:val="20"/>
              </w:rPr>
            </w:pPr>
            <w:r>
              <w:rPr>
                <w:spacing w:val="-5"/>
                <w:sz w:val="20"/>
              </w:rPr>
              <w:t>95</w:t>
            </w:r>
          </w:p>
        </w:tc>
        <w:tc>
          <w:tcPr>
            <w:tcW w:w="690" w:type="dxa"/>
            <w:tcBorders>
              <w:left w:val="single" w:color="A6A6A6" w:sz="4" w:space="0"/>
              <w:right w:val="nil"/>
            </w:tcBorders>
          </w:tcPr>
          <w:p w:rsidR="00C31389" w:rsidRDefault="00561FBD" w14:paraId="2F900AB4" w14:textId="77777777">
            <w:pPr>
              <w:pStyle w:val="TableParagraph"/>
              <w:spacing w:before="9" w:line="217" w:lineRule="exact"/>
              <w:ind w:right="9"/>
              <w:jc w:val="right"/>
              <w:rPr>
                <w:sz w:val="20"/>
              </w:rPr>
            </w:pPr>
            <w:r>
              <w:rPr>
                <w:spacing w:val="-5"/>
                <w:sz w:val="20"/>
              </w:rPr>
              <w:t>39%</w:t>
            </w:r>
          </w:p>
        </w:tc>
        <w:tc>
          <w:tcPr>
            <w:tcW w:w="893" w:type="dxa"/>
            <w:tcBorders>
              <w:left w:val="nil"/>
              <w:right w:val="nil"/>
            </w:tcBorders>
          </w:tcPr>
          <w:p w:rsidR="00C31389" w:rsidRDefault="00561FBD" w14:paraId="43F75A8E" w14:textId="77777777">
            <w:pPr>
              <w:pStyle w:val="TableParagraph"/>
              <w:spacing w:before="9" w:line="217" w:lineRule="exact"/>
              <w:ind w:left="522"/>
              <w:rPr>
                <w:sz w:val="20"/>
              </w:rPr>
            </w:pPr>
            <w:r>
              <w:rPr>
                <w:sz w:val="20"/>
              </w:rPr>
              <w:t>2</w:t>
            </w:r>
          </w:p>
        </w:tc>
        <w:tc>
          <w:tcPr>
            <w:tcW w:w="582" w:type="dxa"/>
            <w:tcBorders>
              <w:left w:val="nil"/>
              <w:right w:val="nil"/>
            </w:tcBorders>
          </w:tcPr>
          <w:p w:rsidR="00C31389" w:rsidRDefault="00561FBD" w14:paraId="0359D826" w14:textId="77777777">
            <w:pPr>
              <w:pStyle w:val="TableParagraph"/>
              <w:spacing w:before="9" w:line="217" w:lineRule="exact"/>
              <w:ind w:left="146"/>
              <w:rPr>
                <w:sz w:val="20"/>
              </w:rPr>
            </w:pPr>
            <w:r>
              <w:rPr>
                <w:spacing w:val="-5"/>
                <w:sz w:val="20"/>
              </w:rPr>
              <w:t>1%</w:t>
            </w:r>
          </w:p>
        </w:tc>
      </w:tr>
      <w:tr w:rsidR="00C31389" w14:paraId="202A183F" w14:textId="77777777">
        <w:trPr>
          <w:trHeight w:val="244"/>
        </w:trPr>
        <w:tc>
          <w:tcPr>
            <w:tcW w:w="3561" w:type="dxa"/>
            <w:tcBorders>
              <w:left w:val="nil"/>
              <w:right w:val="nil"/>
            </w:tcBorders>
          </w:tcPr>
          <w:p w:rsidR="00C31389" w:rsidRDefault="00561FBD" w14:paraId="4B1A1591" w14:textId="77777777">
            <w:pPr>
              <w:pStyle w:val="TableParagraph"/>
              <w:spacing w:before="8" w:line="217" w:lineRule="exact"/>
              <w:ind w:left="108"/>
              <w:rPr>
                <w:sz w:val="20"/>
              </w:rPr>
            </w:pPr>
            <w:r>
              <w:rPr>
                <w:spacing w:val="-2"/>
                <w:sz w:val="20"/>
              </w:rPr>
              <w:t>Other</w:t>
            </w:r>
          </w:p>
        </w:tc>
        <w:tc>
          <w:tcPr>
            <w:tcW w:w="1013" w:type="dxa"/>
            <w:tcBorders>
              <w:left w:val="nil"/>
              <w:right w:val="single" w:color="A6A6A6" w:sz="4" w:space="0"/>
            </w:tcBorders>
          </w:tcPr>
          <w:p w:rsidR="00C31389" w:rsidRDefault="00561FBD" w14:paraId="42BA4181" w14:textId="77777777">
            <w:pPr>
              <w:pStyle w:val="TableParagraph"/>
              <w:spacing w:before="8" w:line="217" w:lineRule="exact"/>
              <w:ind w:left="248" w:right="119"/>
              <w:jc w:val="center"/>
              <w:rPr>
                <w:sz w:val="20"/>
              </w:rPr>
            </w:pPr>
            <w:r>
              <w:rPr>
                <w:spacing w:val="-5"/>
                <w:sz w:val="20"/>
              </w:rPr>
              <w:t>204</w:t>
            </w:r>
          </w:p>
        </w:tc>
        <w:tc>
          <w:tcPr>
            <w:tcW w:w="791" w:type="dxa"/>
            <w:tcBorders>
              <w:left w:val="single" w:color="A6A6A6" w:sz="4" w:space="0"/>
              <w:right w:val="nil"/>
            </w:tcBorders>
          </w:tcPr>
          <w:p w:rsidR="00C31389" w:rsidRDefault="00561FBD" w14:paraId="7E6FC5EE" w14:textId="77777777">
            <w:pPr>
              <w:pStyle w:val="TableParagraph"/>
              <w:spacing w:before="8" w:line="217" w:lineRule="exact"/>
              <w:ind w:left="124" w:right="140"/>
              <w:jc w:val="center"/>
              <w:rPr>
                <w:sz w:val="20"/>
              </w:rPr>
            </w:pPr>
            <w:r>
              <w:rPr>
                <w:spacing w:val="-5"/>
                <w:sz w:val="20"/>
              </w:rPr>
              <w:t>119</w:t>
            </w:r>
          </w:p>
        </w:tc>
        <w:tc>
          <w:tcPr>
            <w:tcW w:w="697" w:type="dxa"/>
            <w:tcBorders>
              <w:left w:val="nil"/>
              <w:right w:val="nil"/>
            </w:tcBorders>
          </w:tcPr>
          <w:p w:rsidR="00C31389" w:rsidRDefault="00561FBD" w14:paraId="21093406" w14:textId="77777777">
            <w:pPr>
              <w:pStyle w:val="TableParagraph"/>
              <w:spacing w:before="8" w:line="217" w:lineRule="exact"/>
              <w:ind w:left="139" w:right="132"/>
              <w:jc w:val="center"/>
              <w:rPr>
                <w:sz w:val="20"/>
              </w:rPr>
            </w:pPr>
            <w:r>
              <w:rPr>
                <w:spacing w:val="-5"/>
                <w:sz w:val="20"/>
              </w:rPr>
              <w:t>58%</w:t>
            </w:r>
          </w:p>
        </w:tc>
        <w:tc>
          <w:tcPr>
            <w:tcW w:w="799" w:type="dxa"/>
            <w:tcBorders>
              <w:left w:val="nil"/>
              <w:right w:val="single" w:color="A6A6A6" w:sz="4" w:space="0"/>
            </w:tcBorders>
          </w:tcPr>
          <w:p w:rsidR="00C31389" w:rsidRDefault="00561FBD" w14:paraId="791D87B1" w14:textId="77777777">
            <w:pPr>
              <w:pStyle w:val="TableParagraph"/>
              <w:spacing w:before="8" w:line="217" w:lineRule="exact"/>
              <w:ind w:left="152" w:right="120"/>
              <w:jc w:val="center"/>
              <w:rPr>
                <w:sz w:val="20"/>
              </w:rPr>
            </w:pPr>
            <w:r>
              <w:rPr>
                <w:spacing w:val="-5"/>
                <w:sz w:val="20"/>
              </w:rPr>
              <w:t>56</w:t>
            </w:r>
          </w:p>
        </w:tc>
        <w:tc>
          <w:tcPr>
            <w:tcW w:w="690" w:type="dxa"/>
            <w:tcBorders>
              <w:left w:val="single" w:color="A6A6A6" w:sz="4" w:space="0"/>
              <w:right w:val="nil"/>
            </w:tcBorders>
          </w:tcPr>
          <w:p w:rsidR="00C31389" w:rsidRDefault="00561FBD" w14:paraId="7CEB965F" w14:textId="77777777">
            <w:pPr>
              <w:pStyle w:val="TableParagraph"/>
              <w:spacing w:before="8" w:line="217" w:lineRule="exact"/>
              <w:ind w:right="9"/>
              <w:jc w:val="right"/>
              <w:rPr>
                <w:sz w:val="20"/>
              </w:rPr>
            </w:pPr>
            <w:r>
              <w:rPr>
                <w:spacing w:val="-5"/>
                <w:sz w:val="20"/>
              </w:rPr>
              <w:t>27%</w:t>
            </w:r>
          </w:p>
        </w:tc>
        <w:tc>
          <w:tcPr>
            <w:tcW w:w="893" w:type="dxa"/>
            <w:tcBorders>
              <w:left w:val="nil"/>
              <w:right w:val="nil"/>
            </w:tcBorders>
          </w:tcPr>
          <w:p w:rsidR="00C31389" w:rsidRDefault="00561FBD" w14:paraId="74F4AB20" w14:textId="77777777">
            <w:pPr>
              <w:pStyle w:val="TableParagraph"/>
              <w:spacing w:before="8" w:line="217" w:lineRule="exact"/>
              <w:ind w:left="522"/>
              <w:rPr>
                <w:sz w:val="20"/>
              </w:rPr>
            </w:pPr>
            <w:r>
              <w:rPr>
                <w:sz w:val="20"/>
              </w:rPr>
              <w:t>1</w:t>
            </w:r>
          </w:p>
        </w:tc>
        <w:tc>
          <w:tcPr>
            <w:tcW w:w="582" w:type="dxa"/>
            <w:tcBorders>
              <w:left w:val="nil"/>
              <w:right w:val="nil"/>
            </w:tcBorders>
          </w:tcPr>
          <w:p w:rsidR="00C31389" w:rsidRDefault="00561FBD" w14:paraId="6955EB20" w14:textId="77777777">
            <w:pPr>
              <w:pStyle w:val="TableParagraph"/>
              <w:spacing w:before="8" w:line="217" w:lineRule="exact"/>
              <w:ind w:left="146"/>
              <w:rPr>
                <w:sz w:val="20"/>
              </w:rPr>
            </w:pPr>
            <w:r>
              <w:rPr>
                <w:spacing w:val="-5"/>
                <w:sz w:val="20"/>
              </w:rPr>
              <w:t>0%</w:t>
            </w:r>
          </w:p>
        </w:tc>
      </w:tr>
      <w:tr w:rsidR="00C31389" w14:paraId="5FF1DFA8" w14:textId="77777777">
        <w:trPr>
          <w:trHeight w:val="245"/>
        </w:trPr>
        <w:tc>
          <w:tcPr>
            <w:tcW w:w="3561" w:type="dxa"/>
            <w:tcBorders>
              <w:left w:val="nil"/>
              <w:bottom w:val="double" w:color="B6B6B6" w:sz="4" w:space="0"/>
              <w:right w:val="nil"/>
            </w:tcBorders>
          </w:tcPr>
          <w:p w:rsidR="00C31389" w:rsidRDefault="00561FBD" w14:paraId="09F0F8C4" w14:textId="77777777">
            <w:pPr>
              <w:pStyle w:val="TableParagraph"/>
              <w:spacing w:before="9" w:line="216" w:lineRule="exact"/>
              <w:ind w:left="108"/>
              <w:rPr>
                <w:sz w:val="20"/>
              </w:rPr>
            </w:pPr>
            <w:r>
              <w:rPr>
                <w:sz w:val="20"/>
              </w:rPr>
              <w:t>No</w:t>
            </w:r>
            <w:r>
              <w:rPr>
                <w:spacing w:val="-1"/>
                <w:sz w:val="20"/>
              </w:rPr>
              <w:t xml:space="preserve"> </w:t>
            </w:r>
            <w:r>
              <w:rPr>
                <w:spacing w:val="-2"/>
                <w:sz w:val="20"/>
              </w:rPr>
              <w:t>Response</w:t>
            </w:r>
          </w:p>
        </w:tc>
        <w:tc>
          <w:tcPr>
            <w:tcW w:w="1013" w:type="dxa"/>
            <w:tcBorders>
              <w:left w:val="nil"/>
              <w:bottom w:val="double" w:color="B6B6B6" w:sz="4" w:space="0"/>
              <w:right w:val="single" w:color="A6A6A6" w:sz="4" w:space="0"/>
            </w:tcBorders>
          </w:tcPr>
          <w:p w:rsidR="00C31389" w:rsidRDefault="00561FBD" w14:paraId="7C841C70" w14:textId="77777777">
            <w:pPr>
              <w:pStyle w:val="TableParagraph"/>
              <w:spacing w:before="9" w:line="216" w:lineRule="exact"/>
              <w:ind w:left="248" w:right="119"/>
              <w:jc w:val="center"/>
              <w:rPr>
                <w:sz w:val="20"/>
              </w:rPr>
            </w:pPr>
            <w:r>
              <w:rPr>
                <w:spacing w:val="-5"/>
                <w:sz w:val="20"/>
              </w:rPr>
              <w:t>707</w:t>
            </w:r>
          </w:p>
        </w:tc>
        <w:tc>
          <w:tcPr>
            <w:tcW w:w="791" w:type="dxa"/>
            <w:tcBorders>
              <w:left w:val="single" w:color="A6A6A6" w:sz="4" w:space="0"/>
              <w:bottom w:val="double" w:color="B6B6B6" w:sz="4" w:space="0"/>
              <w:right w:val="nil"/>
            </w:tcBorders>
          </w:tcPr>
          <w:p w:rsidR="00C31389" w:rsidRDefault="00561FBD" w14:paraId="7343FF74" w14:textId="77777777">
            <w:pPr>
              <w:pStyle w:val="TableParagraph"/>
              <w:spacing w:before="9" w:line="216" w:lineRule="exact"/>
              <w:ind w:left="124" w:right="140"/>
              <w:jc w:val="center"/>
              <w:rPr>
                <w:sz w:val="20"/>
              </w:rPr>
            </w:pPr>
            <w:r>
              <w:rPr>
                <w:spacing w:val="-5"/>
                <w:sz w:val="20"/>
              </w:rPr>
              <w:t>259</w:t>
            </w:r>
          </w:p>
        </w:tc>
        <w:tc>
          <w:tcPr>
            <w:tcW w:w="697" w:type="dxa"/>
            <w:tcBorders>
              <w:left w:val="nil"/>
              <w:bottom w:val="double" w:color="B6B6B6" w:sz="4" w:space="0"/>
              <w:right w:val="nil"/>
            </w:tcBorders>
          </w:tcPr>
          <w:p w:rsidR="00C31389" w:rsidRDefault="00561FBD" w14:paraId="12ABEE45" w14:textId="77777777">
            <w:pPr>
              <w:pStyle w:val="TableParagraph"/>
              <w:spacing w:before="9" w:line="216" w:lineRule="exact"/>
              <w:ind w:left="139" w:right="132"/>
              <w:jc w:val="center"/>
              <w:rPr>
                <w:sz w:val="20"/>
              </w:rPr>
            </w:pPr>
            <w:r>
              <w:rPr>
                <w:spacing w:val="-5"/>
                <w:sz w:val="20"/>
              </w:rPr>
              <w:t>37%</w:t>
            </w:r>
          </w:p>
        </w:tc>
        <w:tc>
          <w:tcPr>
            <w:tcW w:w="799" w:type="dxa"/>
            <w:tcBorders>
              <w:left w:val="nil"/>
              <w:bottom w:val="double" w:color="B6B6B6" w:sz="4" w:space="0"/>
              <w:right w:val="single" w:color="A6A6A6" w:sz="4" w:space="0"/>
            </w:tcBorders>
          </w:tcPr>
          <w:p w:rsidR="00C31389" w:rsidRDefault="00561FBD" w14:paraId="68E07A8C" w14:textId="77777777">
            <w:pPr>
              <w:pStyle w:val="TableParagraph"/>
              <w:spacing w:before="9" w:line="216" w:lineRule="exact"/>
              <w:ind w:left="151" w:right="120"/>
              <w:jc w:val="center"/>
              <w:rPr>
                <w:sz w:val="20"/>
              </w:rPr>
            </w:pPr>
            <w:r>
              <w:rPr>
                <w:spacing w:val="-5"/>
                <w:sz w:val="20"/>
              </w:rPr>
              <w:t>172</w:t>
            </w:r>
          </w:p>
        </w:tc>
        <w:tc>
          <w:tcPr>
            <w:tcW w:w="690" w:type="dxa"/>
            <w:tcBorders>
              <w:left w:val="single" w:color="A6A6A6" w:sz="4" w:space="0"/>
              <w:bottom w:val="double" w:color="B6B6B6" w:sz="4" w:space="0"/>
              <w:right w:val="nil"/>
            </w:tcBorders>
          </w:tcPr>
          <w:p w:rsidR="00C31389" w:rsidRDefault="00561FBD" w14:paraId="06CA3085" w14:textId="77777777">
            <w:pPr>
              <w:pStyle w:val="TableParagraph"/>
              <w:spacing w:before="9" w:line="216" w:lineRule="exact"/>
              <w:ind w:right="9"/>
              <w:jc w:val="right"/>
              <w:rPr>
                <w:sz w:val="20"/>
              </w:rPr>
            </w:pPr>
            <w:r>
              <w:rPr>
                <w:spacing w:val="-5"/>
                <w:sz w:val="20"/>
              </w:rPr>
              <w:t>24%</w:t>
            </w:r>
          </w:p>
        </w:tc>
        <w:tc>
          <w:tcPr>
            <w:tcW w:w="893" w:type="dxa"/>
            <w:tcBorders>
              <w:left w:val="nil"/>
              <w:bottom w:val="double" w:color="B6B6B6" w:sz="4" w:space="0"/>
              <w:right w:val="nil"/>
            </w:tcBorders>
          </w:tcPr>
          <w:p w:rsidR="00C31389" w:rsidRDefault="00561FBD" w14:paraId="15B401C3" w14:textId="77777777">
            <w:pPr>
              <w:pStyle w:val="TableParagraph"/>
              <w:spacing w:before="9" w:line="216" w:lineRule="exact"/>
              <w:ind w:left="522"/>
              <w:rPr>
                <w:sz w:val="20"/>
              </w:rPr>
            </w:pPr>
            <w:r>
              <w:rPr>
                <w:sz w:val="20"/>
              </w:rPr>
              <w:t>5</w:t>
            </w:r>
          </w:p>
        </w:tc>
        <w:tc>
          <w:tcPr>
            <w:tcW w:w="582" w:type="dxa"/>
            <w:tcBorders>
              <w:left w:val="nil"/>
              <w:bottom w:val="double" w:color="B6B6B6" w:sz="4" w:space="0"/>
              <w:right w:val="nil"/>
            </w:tcBorders>
          </w:tcPr>
          <w:p w:rsidR="00C31389" w:rsidRDefault="00561FBD" w14:paraId="35B44618" w14:textId="77777777">
            <w:pPr>
              <w:pStyle w:val="TableParagraph"/>
              <w:spacing w:before="9" w:line="216" w:lineRule="exact"/>
              <w:ind w:left="146"/>
              <w:rPr>
                <w:sz w:val="20"/>
              </w:rPr>
            </w:pPr>
            <w:r>
              <w:rPr>
                <w:spacing w:val="-5"/>
                <w:sz w:val="20"/>
              </w:rPr>
              <w:t>1%</w:t>
            </w:r>
          </w:p>
        </w:tc>
      </w:tr>
      <w:tr w:rsidR="00C31389" w14:paraId="5EA54CCB" w14:textId="77777777">
        <w:trPr>
          <w:trHeight w:val="245"/>
        </w:trPr>
        <w:tc>
          <w:tcPr>
            <w:tcW w:w="3561" w:type="dxa"/>
            <w:tcBorders>
              <w:top w:val="double" w:color="B6B6B6" w:sz="4" w:space="0"/>
              <w:left w:val="nil"/>
              <w:right w:val="nil"/>
            </w:tcBorders>
          </w:tcPr>
          <w:p w:rsidR="00C31389" w:rsidRDefault="00561FBD" w14:paraId="5D1E212C" w14:textId="77777777">
            <w:pPr>
              <w:pStyle w:val="TableParagraph"/>
              <w:spacing w:before="8" w:line="217" w:lineRule="exact"/>
              <w:ind w:left="108"/>
              <w:rPr>
                <w:b/>
                <w:sz w:val="20"/>
              </w:rPr>
            </w:pPr>
            <w:r>
              <w:rPr>
                <w:b/>
                <w:spacing w:val="-2"/>
                <w:sz w:val="20"/>
              </w:rPr>
              <w:t>Total</w:t>
            </w:r>
          </w:p>
        </w:tc>
        <w:tc>
          <w:tcPr>
            <w:tcW w:w="1013" w:type="dxa"/>
            <w:tcBorders>
              <w:top w:val="double" w:color="B6B6B6" w:sz="4" w:space="0"/>
              <w:left w:val="nil"/>
              <w:right w:val="single" w:color="A6A6A6" w:sz="4" w:space="0"/>
            </w:tcBorders>
          </w:tcPr>
          <w:p w:rsidR="00C31389" w:rsidRDefault="00561FBD" w14:paraId="67EB7976" w14:textId="77777777">
            <w:pPr>
              <w:pStyle w:val="TableParagraph"/>
              <w:spacing w:before="8" w:line="217" w:lineRule="exact"/>
              <w:ind w:left="248" w:right="119"/>
              <w:jc w:val="center"/>
              <w:rPr>
                <w:b/>
                <w:sz w:val="20"/>
              </w:rPr>
            </w:pPr>
            <w:r>
              <w:rPr>
                <w:b/>
                <w:spacing w:val="-2"/>
                <w:sz w:val="20"/>
              </w:rPr>
              <w:t>12,206</w:t>
            </w:r>
          </w:p>
        </w:tc>
        <w:tc>
          <w:tcPr>
            <w:tcW w:w="791" w:type="dxa"/>
            <w:tcBorders>
              <w:top w:val="double" w:color="B6B6B6" w:sz="4" w:space="0"/>
              <w:left w:val="single" w:color="A6A6A6" w:sz="4" w:space="0"/>
              <w:right w:val="nil"/>
            </w:tcBorders>
          </w:tcPr>
          <w:p w:rsidR="00C31389" w:rsidRDefault="00561FBD" w14:paraId="4F9F93F6" w14:textId="77777777">
            <w:pPr>
              <w:pStyle w:val="TableParagraph"/>
              <w:spacing w:before="8" w:line="217" w:lineRule="exact"/>
              <w:ind w:left="125" w:right="140"/>
              <w:jc w:val="center"/>
              <w:rPr>
                <w:b/>
                <w:sz w:val="20"/>
              </w:rPr>
            </w:pPr>
            <w:r>
              <w:rPr>
                <w:b/>
                <w:spacing w:val="-4"/>
                <w:sz w:val="20"/>
              </w:rPr>
              <w:t>6,183</w:t>
            </w:r>
          </w:p>
        </w:tc>
        <w:tc>
          <w:tcPr>
            <w:tcW w:w="697" w:type="dxa"/>
            <w:tcBorders>
              <w:top w:val="double" w:color="B6B6B6" w:sz="4" w:space="0"/>
              <w:left w:val="nil"/>
              <w:right w:val="nil"/>
            </w:tcBorders>
          </w:tcPr>
          <w:p w:rsidR="00C31389" w:rsidRDefault="00561FBD" w14:paraId="37FC1404" w14:textId="77777777">
            <w:pPr>
              <w:pStyle w:val="TableParagraph"/>
              <w:spacing w:before="8" w:line="217" w:lineRule="exact"/>
              <w:ind w:left="139" w:right="132"/>
              <w:jc w:val="center"/>
              <w:rPr>
                <w:b/>
                <w:sz w:val="20"/>
              </w:rPr>
            </w:pPr>
            <w:r>
              <w:rPr>
                <w:b/>
                <w:spacing w:val="-5"/>
                <w:sz w:val="20"/>
              </w:rPr>
              <w:t>51%</w:t>
            </w:r>
          </w:p>
        </w:tc>
        <w:tc>
          <w:tcPr>
            <w:tcW w:w="799" w:type="dxa"/>
            <w:tcBorders>
              <w:top w:val="double" w:color="B6B6B6" w:sz="4" w:space="0"/>
              <w:left w:val="nil"/>
              <w:right w:val="single" w:color="A6A6A6" w:sz="4" w:space="0"/>
            </w:tcBorders>
          </w:tcPr>
          <w:p w:rsidR="00C31389" w:rsidRDefault="00561FBD" w14:paraId="5C98BA83" w14:textId="77777777">
            <w:pPr>
              <w:pStyle w:val="TableParagraph"/>
              <w:spacing w:before="8" w:line="217" w:lineRule="exact"/>
              <w:ind w:left="152" w:right="120"/>
              <w:jc w:val="center"/>
              <w:rPr>
                <w:b/>
                <w:sz w:val="20"/>
              </w:rPr>
            </w:pPr>
            <w:r>
              <w:rPr>
                <w:b/>
                <w:spacing w:val="-4"/>
                <w:sz w:val="20"/>
              </w:rPr>
              <w:t>4,462</w:t>
            </w:r>
          </w:p>
        </w:tc>
        <w:tc>
          <w:tcPr>
            <w:tcW w:w="690" w:type="dxa"/>
            <w:tcBorders>
              <w:top w:val="double" w:color="B6B6B6" w:sz="4" w:space="0"/>
              <w:left w:val="single" w:color="A6A6A6" w:sz="4" w:space="0"/>
              <w:right w:val="nil"/>
            </w:tcBorders>
          </w:tcPr>
          <w:p w:rsidR="00C31389" w:rsidRDefault="00561FBD" w14:paraId="6A38245B" w14:textId="77777777">
            <w:pPr>
              <w:pStyle w:val="TableParagraph"/>
              <w:spacing w:before="8" w:line="217" w:lineRule="exact"/>
              <w:ind w:right="9"/>
              <w:jc w:val="right"/>
              <w:rPr>
                <w:b/>
                <w:sz w:val="20"/>
              </w:rPr>
            </w:pPr>
            <w:r>
              <w:rPr>
                <w:b/>
                <w:spacing w:val="-5"/>
                <w:sz w:val="20"/>
              </w:rPr>
              <w:t>37%</w:t>
            </w:r>
          </w:p>
        </w:tc>
        <w:tc>
          <w:tcPr>
            <w:tcW w:w="893" w:type="dxa"/>
            <w:tcBorders>
              <w:top w:val="double" w:color="B6B6B6" w:sz="4" w:space="0"/>
              <w:left w:val="nil"/>
              <w:right w:val="nil"/>
            </w:tcBorders>
          </w:tcPr>
          <w:p w:rsidR="00C31389" w:rsidRDefault="00561FBD" w14:paraId="06D79F10" w14:textId="77777777">
            <w:pPr>
              <w:pStyle w:val="TableParagraph"/>
              <w:spacing w:before="8" w:line="217" w:lineRule="exact"/>
              <w:ind w:left="412"/>
              <w:rPr>
                <w:b/>
                <w:sz w:val="20"/>
              </w:rPr>
            </w:pPr>
            <w:r>
              <w:rPr>
                <w:b/>
                <w:spacing w:val="-5"/>
                <w:sz w:val="20"/>
              </w:rPr>
              <w:t>321</w:t>
            </w:r>
          </w:p>
        </w:tc>
        <w:tc>
          <w:tcPr>
            <w:tcW w:w="582" w:type="dxa"/>
            <w:tcBorders>
              <w:top w:val="double" w:color="B6B6B6" w:sz="4" w:space="0"/>
              <w:left w:val="nil"/>
              <w:right w:val="nil"/>
            </w:tcBorders>
          </w:tcPr>
          <w:p w:rsidR="00C31389" w:rsidRDefault="00561FBD" w14:paraId="18FDE0C9" w14:textId="77777777">
            <w:pPr>
              <w:pStyle w:val="TableParagraph"/>
              <w:spacing w:before="8" w:line="217" w:lineRule="exact"/>
              <w:ind w:left="146"/>
              <w:rPr>
                <w:b/>
                <w:sz w:val="20"/>
              </w:rPr>
            </w:pPr>
            <w:r>
              <w:rPr>
                <w:b/>
                <w:spacing w:val="-5"/>
                <w:sz w:val="20"/>
              </w:rPr>
              <w:t>3%</w:t>
            </w:r>
          </w:p>
        </w:tc>
      </w:tr>
    </w:tbl>
    <w:p w:rsidR="00C31389" w:rsidRDefault="00561FBD" w14:paraId="067FF66B" w14:textId="77777777">
      <w:pPr>
        <w:spacing w:before="68"/>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761D2535" w14:textId="77777777">
      <w:pPr>
        <w:pStyle w:val="BodyText"/>
        <w:spacing w:before="10"/>
        <w:rPr>
          <w:i/>
          <w:sz w:val="20"/>
        </w:rPr>
      </w:pPr>
    </w:p>
    <w:p w:rsidR="00C31389" w:rsidRDefault="00561FBD" w14:paraId="57296740" w14:textId="77777777">
      <w:pPr>
        <w:pStyle w:val="ListParagraph"/>
        <w:numPr>
          <w:ilvl w:val="3"/>
          <w:numId w:val="21"/>
        </w:numPr>
        <w:tabs>
          <w:tab w:val="left" w:pos="1200"/>
        </w:tabs>
        <w:ind w:right="606" w:hanging="361"/>
      </w:pPr>
      <w:r>
        <w:rPr>
          <w:b/>
        </w:rPr>
        <w:t>Building</w:t>
      </w:r>
      <w:r>
        <w:rPr>
          <w:b/>
          <w:spacing w:val="-3"/>
        </w:rPr>
        <w:t xml:space="preserve"> </w:t>
      </w:r>
      <w:r>
        <w:rPr>
          <w:b/>
        </w:rPr>
        <w:t>Type</w:t>
      </w:r>
      <w:r>
        <w:rPr>
          <w:b/>
          <w:spacing w:val="-3"/>
        </w:rPr>
        <w:t xml:space="preserve"> </w:t>
      </w:r>
      <w:r>
        <w:rPr>
          <w:b/>
        </w:rPr>
        <w:t>(single</w:t>
      </w:r>
      <w:r>
        <w:rPr>
          <w:b/>
          <w:spacing w:val="-3"/>
        </w:rPr>
        <w:t xml:space="preserve"> </w:t>
      </w:r>
      <w:r>
        <w:rPr>
          <w:b/>
        </w:rPr>
        <w:t>family</w:t>
      </w:r>
      <w:r>
        <w:rPr>
          <w:b/>
          <w:spacing w:val="-3"/>
        </w:rPr>
        <w:t xml:space="preserve"> </w:t>
      </w:r>
      <w:r>
        <w:rPr>
          <w:b/>
        </w:rPr>
        <w:t>vs.</w:t>
      </w:r>
      <w:r>
        <w:rPr>
          <w:b/>
          <w:spacing w:val="-3"/>
        </w:rPr>
        <w:t xml:space="preserve"> </w:t>
      </w:r>
      <w:r>
        <w:rPr>
          <w:b/>
        </w:rPr>
        <w:t>multifamily)</w:t>
      </w:r>
      <w:r>
        <w:rPr>
          <w:b/>
          <w:spacing w:val="-3"/>
        </w:rPr>
        <w:t xml:space="preserve"> </w:t>
      </w:r>
      <w:r>
        <w:t>is</w:t>
      </w:r>
      <w:r>
        <w:rPr>
          <w:spacing w:val="-3"/>
        </w:rPr>
        <w:t xml:space="preserve"> </w:t>
      </w:r>
      <w:r>
        <w:t>also</w:t>
      </w:r>
      <w:r>
        <w:rPr>
          <w:spacing w:val="-3"/>
        </w:rPr>
        <w:t xml:space="preserve"> </w:t>
      </w:r>
      <w:r>
        <w:t>an</w:t>
      </w:r>
      <w:r>
        <w:rPr>
          <w:spacing w:val="-4"/>
        </w:rPr>
        <w:t xml:space="preserve"> </w:t>
      </w:r>
      <w:r>
        <w:t>indicator</w:t>
      </w:r>
      <w:r>
        <w:rPr>
          <w:spacing w:val="-3"/>
        </w:rPr>
        <w:t xml:space="preserve"> </w:t>
      </w:r>
      <w:r>
        <w:t>of</w:t>
      </w:r>
      <w:r>
        <w:rPr>
          <w:spacing w:val="-3"/>
        </w:rPr>
        <w:t xml:space="preserve"> </w:t>
      </w:r>
      <w:r>
        <w:t>existing</w:t>
      </w:r>
      <w:r>
        <w:rPr>
          <w:spacing w:val="-3"/>
        </w:rPr>
        <w:t xml:space="preserve"> </w:t>
      </w:r>
      <w:r>
        <w:t>panel size and potential upgrade requirements. In the Palo Alto Electrification study [3],</w:t>
      </w:r>
    </w:p>
    <w:p w:rsidR="00C31389" w:rsidRDefault="00561FBD" w14:paraId="6A6AEBF9" w14:textId="77777777">
      <w:pPr>
        <w:pStyle w:val="BodyText"/>
        <w:spacing w:before="5"/>
        <w:rPr>
          <w:sz w:val="24"/>
        </w:rPr>
      </w:pPr>
      <w:r>
        <w:rPr>
          <w:noProof/>
        </w:rPr>
        <mc:AlternateContent>
          <mc:Choice Requires="wps">
            <w:drawing>
              <wp:anchor distT="0" distB="0" distL="0" distR="0" simplePos="0" relativeHeight="487711232" behindDoc="1" locked="0" layoutInCell="1" allowOverlap="1" wp14:editId="2FFC3B18" wp14:anchorId="64807B04">
                <wp:simplePos x="0" y="0"/>
                <wp:positionH relativeFrom="page">
                  <wp:posOffset>914400</wp:posOffset>
                </wp:positionH>
                <wp:positionV relativeFrom="paragraph">
                  <wp:posOffset>193889</wp:posOffset>
                </wp:positionV>
                <wp:extent cx="1828800" cy="6985"/>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78" style="position:absolute;margin-left:1in;margin-top:15.25pt;width:2in;height:.55pt;z-index:-1560524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" w14:anchorId="2F50AF0F">
                <v:path arrowok="t"/>
                <w10:wrap type="topAndBottom" anchorx="page"/>
              </v:shape>
            </w:pict>
          </mc:Fallback>
        </mc:AlternateContent>
      </w:r>
    </w:p>
    <w:p w:rsidR="00C31389" w:rsidRDefault="00561FBD" w14:paraId="22EB949D" w14:textId="77777777">
      <w:pPr>
        <w:spacing w:before="89"/>
        <w:ind w:left="480"/>
        <w:rPr>
          <w:sz w:val="18"/>
        </w:rPr>
      </w:pPr>
      <w:bookmarkStart w:name="_bookmark288" w:id="383"/>
      <w:bookmarkEnd w:id="383"/>
      <w:r>
        <w:rPr>
          <w:position w:val="6"/>
          <w:sz w:val="12"/>
        </w:rPr>
        <w:t>86</w:t>
      </w:r>
      <w:r>
        <w:rPr>
          <w:spacing w:val="14"/>
          <w:position w:val="6"/>
          <w:sz w:val="12"/>
        </w:rPr>
        <w:t xml:space="preserve"> </w:t>
      </w:r>
      <w:r>
        <w:rPr>
          <w:sz w:val="18"/>
        </w:rPr>
        <w:t>2019</w:t>
      </w:r>
      <w:r>
        <w:rPr>
          <w:spacing w:val="-4"/>
          <w:sz w:val="18"/>
        </w:rPr>
        <w:t xml:space="preserve"> </w:t>
      </w:r>
      <w:r>
        <w:rPr>
          <w:sz w:val="18"/>
        </w:rPr>
        <w:t>Residential</w:t>
      </w:r>
      <w:r>
        <w:rPr>
          <w:spacing w:val="-3"/>
          <w:sz w:val="18"/>
        </w:rPr>
        <w:t xml:space="preserve"> </w:t>
      </w:r>
      <w:r>
        <w:rPr>
          <w:sz w:val="18"/>
        </w:rPr>
        <w:t>Appliance</w:t>
      </w:r>
      <w:r>
        <w:rPr>
          <w:spacing w:val="-4"/>
          <w:sz w:val="18"/>
        </w:rPr>
        <w:t xml:space="preserve"> </w:t>
      </w:r>
      <w:r>
        <w:rPr>
          <w:sz w:val="18"/>
        </w:rPr>
        <w:t>Saturation</w:t>
      </w:r>
      <w:r>
        <w:rPr>
          <w:spacing w:val="-4"/>
          <w:sz w:val="18"/>
        </w:rPr>
        <w:t xml:space="preserve"> </w:t>
      </w:r>
      <w:r>
        <w:rPr>
          <w:sz w:val="18"/>
        </w:rPr>
        <w:t>Survey</w:t>
      </w:r>
      <w:r>
        <w:rPr>
          <w:spacing w:val="-3"/>
          <w:sz w:val="18"/>
        </w:rPr>
        <w:t xml:space="preserve"> </w:t>
      </w:r>
      <w:r>
        <w:rPr>
          <w:sz w:val="18"/>
        </w:rPr>
        <w:t>(RASS)</w:t>
      </w:r>
      <w:r>
        <w:rPr>
          <w:spacing w:val="-2"/>
          <w:sz w:val="18"/>
        </w:rPr>
        <w:t xml:space="preserve"> (dnv.com).</w:t>
      </w:r>
    </w:p>
    <w:p w:rsidR="00C31389" w:rsidRDefault="00C31389" w14:paraId="42B106C1" w14:textId="77777777">
      <w:pPr>
        <w:rPr>
          <w:sz w:val="18"/>
        </w:rPr>
        <w:sectPr w:rsidR="00C31389">
          <w:headerReference w:type="default" r:id="rId242"/>
          <w:footerReference w:type="default" r:id="rId243"/>
          <w:pgSz w:w="11910" w:h="16840"/>
          <w:pgMar w:top="1660" w:right="1020" w:bottom="1120" w:left="960" w:header="397" w:footer="938" w:gutter="0"/>
          <w:cols w:space="720"/>
        </w:sectPr>
      </w:pPr>
    </w:p>
    <w:p w:rsidR="00C31389" w:rsidRDefault="00C31389" w14:paraId="1C5CEB0A" w14:textId="77777777">
      <w:pPr>
        <w:pStyle w:val="BodyText"/>
        <w:spacing w:before="11"/>
        <w:rPr>
          <w:sz w:val="13"/>
        </w:rPr>
      </w:pPr>
    </w:p>
    <w:p w:rsidR="00C31389" w:rsidRDefault="00561FBD" w14:paraId="33B198B4" w14:textId="77777777">
      <w:pPr>
        <w:pStyle w:val="BodyText"/>
        <w:spacing w:before="92"/>
        <w:ind w:left="1200" w:right="418"/>
      </w:pPr>
      <w:r>
        <w:t xml:space="preserve">electrical panels for all existing single-family buildings with </w:t>
      </w:r>
      <w:r>
        <w:t>gas-fired water heaters converting to a heat pump water heater are upgraded from 100 A to 200 A; existing multifamily</w:t>
      </w:r>
      <w:r>
        <w:rPr>
          <w:spacing w:val="-3"/>
        </w:rPr>
        <w:t xml:space="preserve"> </w:t>
      </w:r>
      <w:r>
        <w:t>dwelling</w:t>
      </w:r>
      <w:r>
        <w:rPr>
          <w:spacing w:val="-3"/>
        </w:rPr>
        <w:t xml:space="preserve"> </w:t>
      </w:r>
      <w:r>
        <w:t>panels</w:t>
      </w:r>
      <w:r>
        <w:rPr>
          <w:spacing w:val="-3"/>
        </w:rPr>
        <w:t xml:space="preserve"> </w:t>
      </w:r>
      <w:r>
        <w:t>are</w:t>
      </w:r>
      <w:r>
        <w:rPr>
          <w:spacing w:val="-3"/>
        </w:rPr>
        <w:t xml:space="preserve"> </w:t>
      </w:r>
      <w:r>
        <w:t>upgraded</w:t>
      </w:r>
      <w:r>
        <w:rPr>
          <w:spacing w:val="-3"/>
        </w:rPr>
        <w:t xml:space="preserve"> </w:t>
      </w:r>
      <w:r>
        <w:t>from</w:t>
      </w:r>
      <w:r>
        <w:rPr>
          <w:spacing w:val="-4"/>
        </w:rPr>
        <w:t xml:space="preserve"> </w:t>
      </w:r>
      <w:r>
        <w:t>60</w:t>
      </w:r>
      <w:r>
        <w:rPr>
          <w:spacing w:val="-3"/>
        </w:rPr>
        <w:t xml:space="preserve"> </w:t>
      </w:r>
      <w:r>
        <w:t>A</w:t>
      </w:r>
      <w:r>
        <w:rPr>
          <w:spacing w:val="-3"/>
        </w:rPr>
        <w:t xml:space="preserve"> </w:t>
      </w:r>
      <w:r>
        <w:t>to</w:t>
      </w:r>
      <w:r>
        <w:rPr>
          <w:spacing w:val="-3"/>
        </w:rPr>
        <w:t xml:space="preserve"> </w:t>
      </w:r>
      <w:r>
        <w:t>125A</w:t>
      </w:r>
      <w:r>
        <w:rPr>
          <w:spacing w:val="-3"/>
        </w:rPr>
        <w:t xml:space="preserve"> </w:t>
      </w:r>
      <w:r>
        <w:t>[3].</w:t>
      </w:r>
      <w:r>
        <w:rPr>
          <w:spacing w:val="-3"/>
        </w:rPr>
        <w:t xml:space="preserve"> </w:t>
      </w:r>
      <w:r>
        <w:t>As</w:t>
      </w:r>
      <w:r>
        <w:rPr>
          <w:spacing w:val="-3"/>
        </w:rPr>
        <w:t xml:space="preserve"> </w:t>
      </w:r>
      <w:hyperlink w:history="1" w:anchor="_bookmark287">
        <w:r>
          <w:t>Table</w:t>
        </w:r>
        <w:r>
          <w:rPr>
            <w:spacing w:val="-4"/>
          </w:rPr>
          <w:t xml:space="preserve"> </w:t>
        </w:r>
        <w:r>
          <w:t>C-5</w:t>
        </w:r>
      </w:hyperlink>
      <w:r>
        <w:rPr>
          <w:spacing w:val="-3"/>
        </w:rPr>
        <w:t xml:space="preserve"> </w:t>
      </w:r>
      <w:r>
        <w:t>shows, slightly more of the TECH program participants in multifamily homes upgraded their panel versus single-family homes. This difference was more pronounced among homes that initially had smaller panels.</w:t>
      </w:r>
    </w:p>
    <w:p w:rsidR="00C31389" w:rsidRDefault="00C31389" w14:paraId="3F3C0277" w14:textId="77777777">
      <w:pPr>
        <w:pStyle w:val="BodyText"/>
        <w:spacing w:before="10"/>
        <w:rPr>
          <w:sz w:val="20"/>
        </w:rPr>
      </w:pPr>
    </w:p>
    <w:p w:rsidR="00C31389" w:rsidRDefault="00561FBD" w14:paraId="7C37573C" w14:textId="77777777">
      <w:pPr>
        <w:pStyle w:val="ListParagraph"/>
        <w:numPr>
          <w:ilvl w:val="3"/>
          <w:numId w:val="21"/>
        </w:numPr>
        <w:tabs>
          <w:tab w:val="left" w:pos="1200"/>
        </w:tabs>
        <w:ind w:right="556"/>
      </w:pPr>
      <w:r>
        <w:rPr>
          <w:b/>
        </w:rPr>
        <w:t xml:space="preserve">Building Size </w:t>
      </w:r>
      <w:r>
        <w:t>is another indicator of the required panel size to accommodate electrification. One study indicates that a 100 amp panel has enough power for complete electrification of a 3,000 square foot single-family home in the relatively mild</w:t>
      </w:r>
      <w:r>
        <w:rPr>
          <w:spacing w:val="-3"/>
        </w:rPr>
        <w:t xml:space="preserve"> </w:t>
      </w:r>
      <w:r>
        <w:t>climate</w:t>
      </w:r>
      <w:r>
        <w:rPr>
          <w:spacing w:val="-3"/>
        </w:rPr>
        <w:t xml:space="preserve"> </w:t>
      </w:r>
      <w:r>
        <w:t>of</w:t>
      </w:r>
      <w:r>
        <w:rPr>
          <w:spacing w:val="-3"/>
        </w:rPr>
        <w:t xml:space="preserve"> </w:t>
      </w:r>
      <w:r>
        <w:t>Northern</w:t>
      </w:r>
      <w:r>
        <w:rPr>
          <w:spacing w:val="-3"/>
        </w:rPr>
        <w:t xml:space="preserve"> </w:t>
      </w:r>
      <w:r>
        <w:t>California</w:t>
      </w:r>
      <w:r>
        <w:rPr>
          <w:spacing w:val="-3"/>
        </w:rPr>
        <w:t xml:space="preserve"> </w:t>
      </w:r>
      <w:r>
        <w:t>(e.g.,</w:t>
      </w:r>
      <w:r>
        <w:rPr>
          <w:spacing w:val="-3"/>
        </w:rPr>
        <w:t xml:space="preserve"> </w:t>
      </w:r>
      <w:r>
        <w:t>Sacramento,</w:t>
      </w:r>
      <w:r>
        <w:rPr>
          <w:spacing w:val="-3"/>
        </w:rPr>
        <w:t xml:space="preserve"> </w:t>
      </w:r>
      <w:r>
        <w:t>Bay</w:t>
      </w:r>
      <w:r>
        <w:rPr>
          <w:spacing w:val="-3"/>
        </w:rPr>
        <w:t xml:space="preserve"> </w:t>
      </w:r>
      <w:r>
        <w:t>Area)</w:t>
      </w:r>
      <w:r>
        <w:rPr>
          <w:spacing w:val="-3"/>
        </w:rPr>
        <w:t xml:space="preserve"> </w:t>
      </w:r>
      <w:r>
        <w:t>[10].</w:t>
      </w:r>
      <w:r>
        <w:rPr>
          <w:spacing w:val="-3"/>
        </w:rPr>
        <w:t xml:space="preserve"> </w:t>
      </w:r>
      <w:r>
        <w:t>They</w:t>
      </w:r>
      <w:r>
        <w:rPr>
          <w:spacing w:val="-3"/>
        </w:rPr>
        <w:t xml:space="preserve"> </w:t>
      </w:r>
      <w:r>
        <w:t>used</w:t>
      </w:r>
      <w:r>
        <w:rPr>
          <w:spacing w:val="-3"/>
        </w:rPr>
        <w:t xml:space="preserve"> </w:t>
      </w:r>
      <w:r>
        <w:t>the “Watt Diet” Calculator</w:t>
      </w:r>
      <w:hyperlink w:history="1" w:anchor="_bookmark290">
        <w:r>
          <w:rPr>
            <w:position w:val="7"/>
            <w:sz w:val="14"/>
          </w:rPr>
          <w:t>87</w:t>
        </w:r>
      </w:hyperlink>
      <w:r>
        <w:rPr>
          <w:spacing w:val="25"/>
          <w:position w:val="7"/>
          <w:sz w:val="14"/>
        </w:rPr>
        <w:t xml:space="preserve"> </w:t>
      </w:r>
      <w:r>
        <w:t xml:space="preserve">for calculating the electric load requirement based on code. Another study referred to the Watt </w:t>
      </w:r>
      <w:r>
        <w:t>Diet Calculator and stated that in most of California, a panel less than or equal to 100 amps would be insufficient only for electrification of single-family homes over approximately 2,000 square feet [2]. According to the RASS data, 35% of existing single</w:t>
      </w:r>
      <w:r>
        <w:t>-family detached homes in California are over 2000</w:t>
      </w:r>
      <w:r>
        <w:rPr>
          <w:spacing w:val="-1"/>
        </w:rPr>
        <w:t xml:space="preserve"> </w:t>
      </w:r>
      <w:r>
        <w:t>square feet,</w:t>
      </w:r>
      <w:r>
        <w:rPr>
          <w:spacing w:val="-1"/>
        </w:rPr>
        <w:t xml:space="preserve"> </w:t>
      </w:r>
      <w:r>
        <w:t>and any of those homes with a 100 amp panel would need to upgrade to a 200 amp panel.</w:t>
      </w:r>
    </w:p>
    <w:p w:rsidR="00C31389" w:rsidRDefault="00C31389" w14:paraId="721A87FD" w14:textId="77777777">
      <w:pPr>
        <w:pStyle w:val="BodyText"/>
        <w:spacing w:before="8"/>
        <w:rPr>
          <w:sz w:val="20"/>
        </w:rPr>
      </w:pPr>
    </w:p>
    <w:p w:rsidR="00C31389" w:rsidRDefault="00561FBD" w14:paraId="7EDFE406" w14:textId="77777777">
      <w:pPr>
        <w:pStyle w:val="Heading7"/>
        <w:spacing w:before="1"/>
        <w:ind w:left="1200"/>
      </w:pPr>
      <w:bookmarkStart w:name="_bookmark289" w:id="384"/>
      <w:bookmarkEnd w:id="384"/>
      <w:r>
        <w:t>Table</w:t>
      </w:r>
      <w:r>
        <w:rPr>
          <w:spacing w:val="-9"/>
        </w:rPr>
        <w:t xml:space="preserve"> </w:t>
      </w:r>
      <w:r>
        <w:t>C-6.</w:t>
      </w:r>
      <w:r>
        <w:rPr>
          <w:spacing w:val="-9"/>
        </w:rPr>
        <w:t xml:space="preserve"> </w:t>
      </w:r>
      <w:r>
        <w:t>Statewide</w:t>
      </w:r>
      <w:r>
        <w:rPr>
          <w:spacing w:val="-7"/>
        </w:rPr>
        <w:t xml:space="preserve"> </w:t>
      </w:r>
      <w:r>
        <w:t>RASS</w:t>
      </w:r>
      <w:r>
        <w:rPr>
          <w:spacing w:val="-8"/>
        </w:rPr>
        <w:t xml:space="preserve"> </w:t>
      </w:r>
      <w:r>
        <w:t>Estimated</w:t>
      </w:r>
      <w:r>
        <w:rPr>
          <w:spacing w:val="-8"/>
        </w:rPr>
        <w:t xml:space="preserve"> </w:t>
      </w:r>
      <w:r>
        <w:t>Population</w:t>
      </w:r>
      <w:r>
        <w:rPr>
          <w:spacing w:val="-9"/>
        </w:rPr>
        <w:t xml:space="preserve"> </w:t>
      </w:r>
      <w:r>
        <w:t>by</w:t>
      </w:r>
      <w:r>
        <w:rPr>
          <w:spacing w:val="-8"/>
        </w:rPr>
        <w:t xml:space="preserve"> </w:t>
      </w:r>
      <w:r>
        <w:t>Building</w:t>
      </w:r>
      <w:r>
        <w:rPr>
          <w:spacing w:val="-8"/>
        </w:rPr>
        <w:t xml:space="preserve"> </w:t>
      </w:r>
      <w:r>
        <w:t>Size</w:t>
      </w:r>
      <w:r>
        <w:rPr>
          <w:spacing w:val="-9"/>
        </w:rPr>
        <w:t xml:space="preserve"> </w:t>
      </w:r>
      <w:r>
        <w:rPr>
          <w:spacing w:val="-2"/>
        </w:rPr>
        <w:t>(1,000s)</w:t>
      </w:r>
    </w:p>
    <w:p w:rsidR="00C31389" w:rsidRDefault="00C31389" w14:paraId="6E3BC8C4" w14:textId="77777777">
      <w:pPr>
        <w:pStyle w:val="BodyText"/>
        <w:rPr>
          <w:b/>
          <w:sz w:val="10"/>
        </w:rPr>
      </w:pPr>
    </w:p>
    <w:tbl>
      <w:tblPr>
        <w:tblW w:w="0" w:type="auto"/>
        <w:tblInd w:w="480" w:type="dxa"/>
        <w:tblLayout w:type="fixed"/>
        <w:tblCellMar>
          <w:left w:w="0" w:type="dxa"/>
          <w:right w:w="0" w:type="dxa"/>
        </w:tblCellMar>
        <w:tblLook w:val="01E0" w:firstRow="1" w:lastRow="1" w:firstColumn="1" w:lastColumn="1" w:noHBand="0" w:noVBand="0"/>
      </w:tblPr>
      <w:tblGrid>
        <w:gridCol w:w="3143"/>
        <w:gridCol w:w="1019"/>
        <w:gridCol w:w="974"/>
        <w:gridCol w:w="1035"/>
        <w:gridCol w:w="941"/>
        <w:gridCol w:w="899"/>
        <w:gridCol w:w="1016"/>
      </w:tblGrid>
      <w:tr w:rsidR="00C31389" w14:paraId="029913C0" w14:textId="77777777">
        <w:trPr>
          <w:trHeight w:val="459"/>
        </w:trPr>
        <w:tc>
          <w:tcPr>
            <w:tcW w:w="3143" w:type="dxa"/>
            <w:tcBorders>
              <w:bottom w:val="single" w:color="B6B6B6" w:sz="4" w:space="0"/>
            </w:tcBorders>
            <w:shd w:val="clear" w:color="auto" w:fill="92D400"/>
          </w:tcPr>
          <w:p w:rsidR="00C31389" w:rsidRDefault="00561FBD" w14:paraId="0691FA86" w14:textId="77777777">
            <w:pPr>
              <w:pStyle w:val="TableParagraph"/>
              <w:spacing w:before="135"/>
              <w:ind w:left="115"/>
              <w:rPr>
                <w:b/>
                <w:sz w:val="20"/>
              </w:rPr>
            </w:pPr>
            <w:r>
              <w:rPr>
                <w:b/>
                <w:sz w:val="20"/>
              </w:rPr>
              <w:t>Building</w:t>
            </w:r>
            <w:r>
              <w:rPr>
                <w:b/>
                <w:spacing w:val="-6"/>
                <w:sz w:val="20"/>
              </w:rPr>
              <w:t xml:space="preserve"> </w:t>
            </w:r>
            <w:r>
              <w:rPr>
                <w:b/>
                <w:spacing w:val="-4"/>
                <w:sz w:val="20"/>
              </w:rPr>
              <w:t>Type</w:t>
            </w:r>
          </w:p>
        </w:tc>
        <w:tc>
          <w:tcPr>
            <w:tcW w:w="1993" w:type="dxa"/>
            <w:gridSpan w:val="2"/>
            <w:tcBorders>
              <w:bottom w:val="single" w:color="B6B6B6" w:sz="4" w:space="0"/>
            </w:tcBorders>
            <w:shd w:val="clear" w:color="auto" w:fill="92D400"/>
          </w:tcPr>
          <w:p w:rsidR="00C31389" w:rsidRDefault="00561FBD" w14:paraId="294488C6" w14:textId="77777777">
            <w:pPr>
              <w:pStyle w:val="TableParagraph"/>
              <w:spacing w:before="115"/>
              <w:ind w:left="337"/>
              <w:rPr>
                <w:b/>
                <w:sz w:val="20"/>
              </w:rPr>
            </w:pPr>
            <w:r>
              <w:rPr>
                <w:b/>
                <w:sz w:val="20"/>
              </w:rPr>
              <w:t>&lt;=</w:t>
            </w:r>
            <w:r>
              <w:rPr>
                <w:b/>
                <w:spacing w:val="-2"/>
                <w:sz w:val="20"/>
              </w:rPr>
              <w:t xml:space="preserve"> </w:t>
            </w:r>
            <w:r>
              <w:rPr>
                <w:b/>
                <w:sz w:val="20"/>
              </w:rPr>
              <w:t>2,000</w:t>
            </w:r>
            <w:r>
              <w:rPr>
                <w:b/>
                <w:spacing w:val="-2"/>
                <w:sz w:val="20"/>
              </w:rPr>
              <w:t xml:space="preserve"> </w:t>
            </w:r>
            <w:r>
              <w:rPr>
                <w:b/>
                <w:spacing w:val="-4"/>
                <w:sz w:val="20"/>
              </w:rPr>
              <w:t>SQFT</w:t>
            </w:r>
          </w:p>
        </w:tc>
        <w:tc>
          <w:tcPr>
            <w:tcW w:w="1976" w:type="dxa"/>
            <w:gridSpan w:val="2"/>
            <w:tcBorders>
              <w:bottom w:val="single" w:color="B6B6B6" w:sz="4" w:space="0"/>
            </w:tcBorders>
            <w:shd w:val="clear" w:color="auto" w:fill="92D400"/>
          </w:tcPr>
          <w:p w:rsidR="00C31389" w:rsidRDefault="00561FBD" w14:paraId="453FE035" w14:textId="77777777">
            <w:pPr>
              <w:pStyle w:val="TableParagraph"/>
              <w:spacing w:before="1" w:line="230" w:lineRule="exact"/>
              <w:ind w:left="335" w:right="298"/>
              <w:jc w:val="center"/>
              <w:rPr>
                <w:b/>
                <w:sz w:val="20"/>
              </w:rPr>
            </w:pPr>
            <w:r>
              <w:rPr>
                <w:b/>
                <w:sz w:val="20"/>
              </w:rPr>
              <w:t>&gt;2,000</w:t>
            </w:r>
            <w:r>
              <w:rPr>
                <w:b/>
                <w:spacing w:val="-4"/>
                <w:sz w:val="20"/>
              </w:rPr>
              <w:t xml:space="preserve"> </w:t>
            </w:r>
            <w:r>
              <w:rPr>
                <w:b/>
                <w:spacing w:val="-5"/>
                <w:sz w:val="20"/>
              </w:rPr>
              <w:t>and</w:t>
            </w:r>
          </w:p>
          <w:p w:rsidR="00C31389" w:rsidRDefault="00561FBD" w14:paraId="3E8927A6" w14:textId="77777777">
            <w:pPr>
              <w:pStyle w:val="TableParagraph"/>
              <w:spacing w:before="0" w:line="209" w:lineRule="exact"/>
              <w:ind w:left="336" w:right="298"/>
              <w:jc w:val="center"/>
              <w:rPr>
                <w:b/>
                <w:sz w:val="20"/>
              </w:rPr>
            </w:pPr>
            <w:r>
              <w:rPr>
                <w:b/>
                <w:sz w:val="20"/>
              </w:rPr>
              <w:t>&lt;=3,000</w:t>
            </w:r>
            <w:r>
              <w:rPr>
                <w:b/>
                <w:spacing w:val="-5"/>
                <w:sz w:val="20"/>
              </w:rPr>
              <w:t xml:space="preserve"> </w:t>
            </w:r>
            <w:r>
              <w:rPr>
                <w:b/>
                <w:spacing w:val="-4"/>
                <w:sz w:val="20"/>
              </w:rPr>
              <w:t>SQFT</w:t>
            </w:r>
          </w:p>
        </w:tc>
        <w:tc>
          <w:tcPr>
            <w:tcW w:w="1915" w:type="dxa"/>
            <w:gridSpan w:val="2"/>
            <w:tcBorders>
              <w:bottom w:val="single" w:color="B6B6B6" w:sz="4" w:space="0"/>
            </w:tcBorders>
            <w:shd w:val="clear" w:color="auto" w:fill="92D400"/>
          </w:tcPr>
          <w:p w:rsidR="00C31389" w:rsidRDefault="00561FBD" w14:paraId="2EC2CF57" w14:textId="77777777">
            <w:pPr>
              <w:pStyle w:val="TableParagraph"/>
              <w:spacing w:before="115"/>
              <w:ind w:left="354"/>
              <w:rPr>
                <w:b/>
                <w:sz w:val="20"/>
              </w:rPr>
            </w:pPr>
            <w:r>
              <w:rPr>
                <w:b/>
                <w:sz w:val="20"/>
              </w:rPr>
              <w:t>&gt;3,000</w:t>
            </w:r>
            <w:r>
              <w:rPr>
                <w:b/>
                <w:spacing w:val="-6"/>
                <w:sz w:val="20"/>
              </w:rPr>
              <w:t xml:space="preserve"> </w:t>
            </w:r>
            <w:r>
              <w:rPr>
                <w:b/>
                <w:spacing w:val="-4"/>
                <w:sz w:val="20"/>
              </w:rPr>
              <w:t>SQFT</w:t>
            </w:r>
          </w:p>
        </w:tc>
      </w:tr>
      <w:tr w:rsidR="00C31389" w14:paraId="3C75FDC0" w14:textId="77777777">
        <w:trPr>
          <w:trHeight w:val="245"/>
        </w:trPr>
        <w:tc>
          <w:tcPr>
            <w:tcW w:w="3143" w:type="dxa"/>
            <w:tcBorders>
              <w:top w:val="single" w:color="B6B6B6" w:sz="4" w:space="0"/>
              <w:bottom w:val="single" w:color="B6B6B6" w:sz="4" w:space="0"/>
            </w:tcBorders>
          </w:tcPr>
          <w:p w:rsidR="00C31389" w:rsidRDefault="00561FBD" w14:paraId="459769BE" w14:textId="77777777">
            <w:pPr>
              <w:pStyle w:val="TableParagraph"/>
              <w:spacing w:before="9" w:line="217" w:lineRule="exact"/>
              <w:ind w:left="115"/>
              <w:rPr>
                <w:sz w:val="20"/>
              </w:rPr>
            </w:pPr>
            <w:r>
              <w:rPr>
                <w:sz w:val="20"/>
              </w:rPr>
              <w:t>Single-Family</w:t>
            </w:r>
            <w:r>
              <w:rPr>
                <w:spacing w:val="-10"/>
                <w:sz w:val="20"/>
              </w:rPr>
              <w:t xml:space="preserve"> </w:t>
            </w:r>
            <w:r>
              <w:rPr>
                <w:spacing w:val="-2"/>
                <w:sz w:val="20"/>
              </w:rPr>
              <w:t>Detached</w:t>
            </w:r>
          </w:p>
        </w:tc>
        <w:tc>
          <w:tcPr>
            <w:tcW w:w="1019" w:type="dxa"/>
            <w:tcBorders>
              <w:top w:val="single" w:color="B6B6B6" w:sz="4" w:space="0"/>
              <w:bottom w:val="single" w:color="B6B6B6" w:sz="4" w:space="0"/>
            </w:tcBorders>
          </w:tcPr>
          <w:p w:rsidR="00C31389" w:rsidRDefault="00561FBD" w14:paraId="5CC07252" w14:textId="77777777">
            <w:pPr>
              <w:pStyle w:val="TableParagraph"/>
              <w:spacing w:before="9" w:line="217" w:lineRule="exact"/>
              <w:ind w:right="277"/>
              <w:jc w:val="right"/>
              <w:rPr>
                <w:sz w:val="20"/>
              </w:rPr>
            </w:pPr>
            <w:r>
              <w:rPr>
                <w:spacing w:val="-4"/>
                <w:sz w:val="20"/>
              </w:rPr>
              <w:t>4,220</w:t>
            </w:r>
          </w:p>
        </w:tc>
        <w:tc>
          <w:tcPr>
            <w:tcW w:w="974" w:type="dxa"/>
            <w:tcBorders>
              <w:top w:val="single" w:color="B6B6B6" w:sz="4" w:space="0"/>
              <w:bottom w:val="single" w:color="B6B6B6" w:sz="4" w:space="0"/>
            </w:tcBorders>
          </w:tcPr>
          <w:p w:rsidR="00C31389" w:rsidRDefault="00561FBD" w14:paraId="5DEE8B87" w14:textId="77777777">
            <w:pPr>
              <w:pStyle w:val="TableParagraph"/>
              <w:spacing w:before="9" w:line="217" w:lineRule="exact"/>
              <w:ind w:left="281"/>
              <w:rPr>
                <w:sz w:val="20"/>
              </w:rPr>
            </w:pPr>
            <w:r>
              <w:rPr>
                <w:spacing w:val="-5"/>
                <w:sz w:val="20"/>
              </w:rPr>
              <w:t>65%</w:t>
            </w:r>
          </w:p>
        </w:tc>
        <w:tc>
          <w:tcPr>
            <w:tcW w:w="1035" w:type="dxa"/>
            <w:tcBorders>
              <w:top w:val="single" w:color="B6B6B6" w:sz="4" w:space="0"/>
              <w:bottom w:val="single" w:color="B6B6B6" w:sz="4" w:space="0"/>
            </w:tcBorders>
          </w:tcPr>
          <w:p w:rsidR="00C31389" w:rsidRDefault="00561FBD" w14:paraId="236BAEC9" w14:textId="77777777">
            <w:pPr>
              <w:pStyle w:val="TableParagraph"/>
              <w:spacing w:before="9" w:line="217" w:lineRule="exact"/>
              <w:ind w:left="271" w:right="243"/>
              <w:jc w:val="center"/>
              <w:rPr>
                <w:sz w:val="20"/>
              </w:rPr>
            </w:pPr>
            <w:r>
              <w:rPr>
                <w:spacing w:val="-4"/>
                <w:sz w:val="20"/>
              </w:rPr>
              <w:t>1,683</w:t>
            </w:r>
          </w:p>
        </w:tc>
        <w:tc>
          <w:tcPr>
            <w:tcW w:w="941" w:type="dxa"/>
            <w:tcBorders>
              <w:top w:val="single" w:color="B6B6B6" w:sz="4" w:space="0"/>
              <w:bottom w:val="single" w:color="B6B6B6" w:sz="4" w:space="0"/>
            </w:tcBorders>
          </w:tcPr>
          <w:p w:rsidR="00C31389" w:rsidRDefault="00561FBD" w14:paraId="751D0858" w14:textId="77777777">
            <w:pPr>
              <w:pStyle w:val="TableParagraph"/>
              <w:spacing w:before="9" w:line="217" w:lineRule="exact"/>
              <w:ind w:left="258"/>
              <w:rPr>
                <w:sz w:val="20"/>
              </w:rPr>
            </w:pPr>
            <w:r>
              <w:rPr>
                <w:spacing w:val="-5"/>
                <w:sz w:val="20"/>
              </w:rPr>
              <w:t>26%</w:t>
            </w:r>
          </w:p>
        </w:tc>
        <w:tc>
          <w:tcPr>
            <w:tcW w:w="899" w:type="dxa"/>
            <w:tcBorders>
              <w:top w:val="single" w:color="B6B6B6" w:sz="4" w:space="0"/>
              <w:bottom w:val="single" w:color="B6B6B6" w:sz="4" w:space="0"/>
            </w:tcBorders>
          </w:tcPr>
          <w:p w:rsidR="00C31389" w:rsidRDefault="00561FBD" w14:paraId="75D60210" w14:textId="77777777">
            <w:pPr>
              <w:pStyle w:val="TableParagraph"/>
              <w:spacing w:before="9" w:line="217" w:lineRule="exact"/>
              <w:ind w:left="276" w:right="264"/>
              <w:jc w:val="center"/>
              <w:rPr>
                <w:sz w:val="20"/>
              </w:rPr>
            </w:pPr>
            <w:r>
              <w:rPr>
                <w:spacing w:val="-5"/>
                <w:sz w:val="20"/>
              </w:rPr>
              <w:t>617</w:t>
            </w:r>
          </w:p>
        </w:tc>
        <w:tc>
          <w:tcPr>
            <w:tcW w:w="1016" w:type="dxa"/>
            <w:tcBorders>
              <w:top w:val="single" w:color="B6B6B6" w:sz="4" w:space="0"/>
              <w:bottom w:val="single" w:color="B6B6B6" w:sz="4" w:space="0"/>
            </w:tcBorders>
          </w:tcPr>
          <w:p w:rsidR="00C31389" w:rsidRDefault="00561FBD" w14:paraId="2E1A27CF" w14:textId="77777777">
            <w:pPr>
              <w:pStyle w:val="TableParagraph"/>
              <w:spacing w:before="9" w:line="217" w:lineRule="exact"/>
              <w:ind w:left="223" w:right="262"/>
              <w:jc w:val="center"/>
              <w:rPr>
                <w:sz w:val="20"/>
              </w:rPr>
            </w:pPr>
            <w:r>
              <w:rPr>
                <w:spacing w:val="-5"/>
                <w:sz w:val="20"/>
              </w:rPr>
              <w:t>9%</w:t>
            </w:r>
          </w:p>
        </w:tc>
      </w:tr>
      <w:tr w:rsidR="00C31389" w14:paraId="01432D1E" w14:textId="77777777">
        <w:trPr>
          <w:trHeight w:val="459"/>
        </w:trPr>
        <w:tc>
          <w:tcPr>
            <w:tcW w:w="3143" w:type="dxa"/>
            <w:tcBorders>
              <w:top w:val="single" w:color="B6B6B6" w:sz="4" w:space="0"/>
              <w:bottom w:val="single" w:color="B6B6B6" w:sz="4" w:space="0"/>
            </w:tcBorders>
          </w:tcPr>
          <w:p w:rsidR="00C31389" w:rsidRDefault="00561FBD" w14:paraId="15948884" w14:textId="77777777">
            <w:pPr>
              <w:pStyle w:val="TableParagraph"/>
              <w:spacing w:before="0" w:line="230" w:lineRule="exact"/>
              <w:ind w:left="115" w:right="16"/>
              <w:rPr>
                <w:sz w:val="20"/>
              </w:rPr>
            </w:pPr>
            <w:r>
              <w:rPr>
                <w:sz w:val="20"/>
              </w:rPr>
              <w:t>Townhouse,</w:t>
            </w:r>
            <w:r>
              <w:rPr>
                <w:spacing w:val="-14"/>
                <w:sz w:val="20"/>
              </w:rPr>
              <w:t xml:space="preserve"> </w:t>
            </w:r>
            <w:r>
              <w:rPr>
                <w:sz w:val="20"/>
              </w:rPr>
              <w:t>Duplex,</w:t>
            </w:r>
            <w:r>
              <w:rPr>
                <w:spacing w:val="-12"/>
                <w:sz w:val="20"/>
              </w:rPr>
              <w:t xml:space="preserve"> </w:t>
            </w:r>
            <w:r>
              <w:rPr>
                <w:sz w:val="20"/>
              </w:rPr>
              <w:t>or</w:t>
            </w:r>
            <w:r>
              <w:rPr>
                <w:spacing w:val="-13"/>
                <w:sz w:val="20"/>
              </w:rPr>
              <w:t xml:space="preserve"> </w:t>
            </w:r>
            <w:r>
              <w:rPr>
                <w:sz w:val="20"/>
              </w:rPr>
              <w:t xml:space="preserve">Row </w:t>
            </w:r>
            <w:r>
              <w:rPr>
                <w:spacing w:val="-4"/>
                <w:sz w:val="20"/>
              </w:rPr>
              <w:t>House</w:t>
            </w:r>
          </w:p>
        </w:tc>
        <w:tc>
          <w:tcPr>
            <w:tcW w:w="1019" w:type="dxa"/>
            <w:tcBorders>
              <w:top w:val="single" w:color="B6B6B6" w:sz="4" w:space="0"/>
              <w:bottom w:val="single" w:color="B6B6B6" w:sz="4" w:space="0"/>
            </w:tcBorders>
          </w:tcPr>
          <w:p w:rsidR="00C31389" w:rsidRDefault="00561FBD" w14:paraId="7E45FAA7" w14:textId="77777777">
            <w:pPr>
              <w:pStyle w:val="TableParagraph"/>
              <w:spacing w:before="116"/>
              <w:ind w:left="321"/>
              <w:rPr>
                <w:sz w:val="20"/>
              </w:rPr>
            </w:pPr>
            <w:r>
              <w:rPr>
                <w:spacing w:val="-5"/>
                <w:sz w:val="20"/>
              </w:rPr>
              <w:t>806</w:t>
            </w:r>
          </w:p>
        </w:tc>
        <w:tc>
          <w:tcPr>
            <w:tcW w:w="974" w:type="dxa"/>
            <w:tcBorders>
              <w:top w:val="single" w:color="B6B6B6" w:sz="4" w:space="0"/>
              <w:bottom w:val="single" w:color="B6B6B6" w:sz="4" w:space="0"/>
            </w:tcBorders>
          </w:tcPr>
          <w:p w:rsidR="00C31389" w:rsidRDefault="00561FBD" w14:paraId="5DADDC8A" w14:textId="77777777">
            <w:pPr>
              <w:pStyle w:val="TableParagraph"/>
              <w:spacing w:before="116"/>
              <w:ind w:left="281"/>
              <w:rPr>
                <w:sz w:val="20"/>
              </w:rPr>
            </w:pPr>
            <w:r>
              <w:rPr>
                <w:spacing w:val="-5"/>
                <w:sz w:val="20"/>
              </w:rPr>
              <w:t>88%</w:t>
            </w:r>
          </w:p>
        </w:tc>
        <w:tc>
          <w:tcPr>
            <w:tcW w:w="1035" w:type="dxa"/>
            <w:tcBorders>
              <w:top w:val="single" w:color="B6B6B6" w:sz="4" w:space="0"/>
              <w:bottom w:val="single" w:color="B6B6B6" w:sz="4" w:space="0"/>
            </w:tcBorders>
          </w:tcPr>
          <w:p w:rsidR="00C31389" w:rsidRDefault="00561FBD" w14:paraId="71F28E58" w14:textId="77777777">
            <w:pPr>
              <w:pStyle w:val="TableParagraph"/>
              <w:spacing w:before="116"/>
              <w:ind w:left="271" w:right="243"/>
              <w:jc w:val="center"/>
              <w:rPr>
                <w:sz w:val="20"/>
              </w:rPr>
            </w:pPr>
            <w:r>
              <w:rPr>
                <w:spacing w:val="-5"/>
                <w:sz w:val="20"/>
              </w:rPr>
              <w:t>98</w:t>
            </w:r>
          </w:p>
        </w:tc>
        <w:tc>
          <w:tcPr>
            <w:tcW w:w="941" w:type="dxa"/>
            <w:tcBorders>
              <w:top w:val="single" w:color="B6B6B6" w:sz="4" w:space="0"/>
              <w:bottom w:val="single" w:color="B6B6B6" w:sz="4" w:space="0"/>
            </w:tcBorders>
          </w:tcPr>
          <w:p w:rsidR="00C31389" w:rsidRDefault="00561FBD" w14:paraId="014BBB9C" w14:textId="77777777">
            <w:pPr>
              <w:pStyle w:val="TableParagraph"/>
              <w:spacing w:before="116"/>
              <w:ind w:left="258"/>
              <w:rPr>
                <w:sz w:val="20"/>
              </w:rPr>
            </w:pPr>
            <w:r>
              <w:rPr>
                <w:spacing w:val="-5"/>
                <w:sz w:val="20"/>
              </w:rPr>
              <w:t>11%</w:t>
            </w:r>
          </w:p>
        </w:tc>
        <w:tc>
          <w:tcPr>
            <w:tcW w:w="899" w:type="dxa"/>
            <w:tcBorders>
              <w:top w:val="single" w:color="B6B6B6" w:sz="4" w:space="0"/>
              <w:bottom w:val="single" w:color="B6B6B6" w:sz="4" w:space="0"/>
            </w:tcBorders>
          </w:tcPr>
          <w:p w:rsidR="00C31389" w:rsidRDefault="00561FBD" w14:paraId="51690A0A" w14:textId="77777777">
            <w:pPr>
              <w:pStyle w:val="TableParagraph"/>
              <w:spacing w:before="116"/>
              <w:ind w:left="276" w:right="264"/>
              <w:jc w:val="center"/>
              <w:rPr>
                <w:sz w:val="20"/>
              </w:rPr>
            </w:pPr>
            <w:r>
              <w:rPr>
                <w:spacing w:val="-5"/>
                <w:sz w:val="20"/>
              </w:rPr>
              <w:t>12</w:t>
            </w:r>
          </w:p>
        </w:tc>
        <w:tc>
          <w:tcPr>
            <w:tcW w:w="1016" w:type="dxa"/>
            <w:tcBorders>
              <w:top w:val="single" w:color="B6B6B6" w:sz="4" w:space="0"/>
              <w:bottom w:val="single" w:color="B6B6B6" w:sz="4" w:space="0"/>
            </w:tcBorders>
          </w:tcPr>
          <w:p w:rsidR="00C31389" w:rsidRDefault="00561FBD" w14:paraId="45B30E94" w14:textId="77777777">
            <w:pPr>
              <w:pStyle w:val="TableParagraph"/>
              <w:spacing w:before="116"/>
              <w:ind w:left="224" w:right="262"/>
              <w:jc w:val="center"/>
              <w:rPr>
                <w:sz w:val="20"/>
              </w:rPr>
            </w:pPr>
            <w:r>
              <w:rPr>
                <w:spacing w:val="-5"/>
                <w:sz w:val="20"/>
              </w:rPr>
              <w:t>1%</w:t>
            </w:r>
          </w:p>
        </w:tc>
      </w:tr>
      <w:tr w:rsidR="00C31389" w14:paraId="068E8935" w14:textId="77777777">
        <w:trPr>
          <w:trHeight w:val="244"/>
        </w:trPr>
        <w:tc>
          <w:tcPr>
            <w:tcW w:w="3143" w:type="dxa"/>
            <w:tcBorders>
              <w:top w:val="single" w:color="B6B6B6" w:sz="4" w:space="0"/>
              <w:bottom w:val="single" w:color="B6B6B6" w:sz="4" w:space="0"/>
            </w:tcBorders>
          </w:tcPr>
          <w:p w:rsidR="00C31389" w:rsidRDefault="00561FBD" w14:paraId="09269A37" w14:textId="77777777">
            <w:pPr>
              <w:pStyle w:val="TableParagraph"/>
              <w:spacing w:before="8" w:line="217" w:lineRule="exact"/>
              <w:ind w:left="115"/>
              <w:rPr>
                <w:sz w:val="20"/>
              </w:rPr>
            </w:pPr>
            <w:r>
              <w:rPr>
                <w:sz w:val="20"/>
              </w:rPr>
              <w:t>Apartment</w:t>
            </w:r>
            <w:r>
              <w:rPr>
                <w:spacing w:val="-4"/>
                <w:sz w:val="20"/>
              </w:rPr>
              <w:t xml:space="preserve"> </w:t>
            </w:r>
            <w:r>
              <w:rPr>
                <w:sz w:val="20"/>
              </w:rPr>
              <w:t>or</w:t>
            </w:r>
            <w:r>
              <w:rPr>
                <w:spacing w:val="-2"/>
                <w:sz w:val="20"/>
              </w:rPr>
              <w:t xml:space="preserve"> </w:t>
            </w:r>
            <w:r>
              <w:rPr>
                <w:sz w:val="20"/>
              </w:rPr>
              <w:t>Condo</w:t>
            </w:r>
            <w:r>
              <w:rPr>
                <w:spacing w:val="-3"/>
                <w:sz w:val="20"/>
              </w:rPr>
              <w:t xml:space="preserve"> </w:t>
            </w:r>
            <w:r>
              <w:rPr>
                <w:sz w:val="20"/>
              </w:rPr>
              <w:t>(2-4</w:t>
            </w:r>
            <w:r>
              <w:rPr>
                <w:spacing w:val="-4"/>
                <w:sz w:val="20"/>
              </w:rPr>
              <w:t xml:space="preserve"> </w:t>
            </w:r>
            <w:r>
              <w:rPr>
                <w:spacing w:val="-2"/>
                <w:sz w:val="20"/>
              </w:rPr>
              <w:t>Units)</w:t>
            </w:r>
          </w:p>
        </w:tc>
        <w:tc>
          <w:tcPr>
            <w:tcW w:w="1019" w:type="dxa"/>
            <w:tcBorders>
              <w:top w:val="single" w:color="B6B6B6" w:sz="4" w:space="0"/>
              <w:bottom w:val="single" w:color="B6B6B6" w:sz="4" w:space="0"/>
            </w:tcBorders>
          </w:tcPr>
          <w:p w:rsidR="00C31389" w:rsidRDefault="00561FBD" w14:paraId="28F6D9F1" w14:textId="77777777">
            <w:pPr>
              <w:pStyle w:val="TableParagraph"/>
              <w:spacing w:before="8" w:line="217" w:lineRule="exact"/>
              <w:ind w:left="321"/>
              <w:rPr>
                <w:sz w:val="20"/>
              </w:rPr>
            </w:pPr>
            <w:r>
              <w:rPr>
                <w:spacing w:val="-5"/>
                <w:sz w:val="20"/>
              </w:rPr>
              <w:t>767</w:t>
            </w:r>
          </w:p>
        </w:tc>
        <w:tc>
          <w:tcPr>
            <w:tcW w:w="974" w:type="dxa"/>
            <w:tcBorders>
              <w:top w:val="single" w:color="B6B6B6" w:sz="4" w:space="0"/>
              <w:bottom w:val="single" w:color="B6B6B6" w:sz="4" w:space="0"/>
            </w:tcBorders>
          </w:tcPr>
          <w:p w:rsidR="00C31389" w:rsidRDefault="00561FBD" w14:paraId="2113CD1B" w14:textId="77777777">
            <w:pPr>
              <w:pStyle w:val="TableParagraph"/>
              <w:spacing w:before="8" w:line="217" w:lineRule="exact"/>
              <w:ind w:left="281"/>
              <w:rPr>
                <w:sz w:val="20"/>
              </w:rPr>
            </w:pPr>
            <w:r>
              <w:rPr>
                <w:spacing w:val="-5"/>
                <w:sz w:val="20"/>
              </w:rPr>
              <w:t>93%</w:t>
            </w:r>
          </w:p>
        </w:tc>
        <w:tc>
          <w:tcPr>
            <w:tcW w:w="1035" w:type="dxa"/>
            <w:tcBorders>
              <w:top w:val="single" w:color="B6B6B6" w:sz="4" w:space="0"/>
              <w:bottom w:val="single" w:color="B6B6B6" w:sz="4" w:space="0"/>
            </w:tcBorders>
          </w:tcPr>
          <w:p w:rsidR="00C31389" w:rsidRDefault="00561FBD" w14:paraId="0FB038C6" w14:textId="77777777">
            <w:pPr>
              <w:pStyle w:val="TableParagraph"/>
              <w:spacing w:before="8" w:line="217" w:lineRule="exact"/>
              <w:ind w:left="271" w:right="243"/>
              <w:jc w:val="center"/>
              <w:rPr>
                <w:sz w:val="20"/>
              </w:rPr>
            </w:pPr>
            <w:r>
              <w:rPr>
                <w:spacing w:val="-5"/>
                <w:sz w:val="20"/>
              </w:rPr>
              <w:t>45</w:t>
            </w:r>
          </w:p>
        </w:tc>
        <w:tc>
          <w:tcPr>
            <w:tcW w:w="941" w:type="dxa"/>
            <w:tcBorders>
              <w:top w:val="single" w:color="B6B6B6" w:sz="4" w:space="0"/>
              <w:bottom w:val="single" w:color="B6B6B6" w:sz="4" w:space="0"/>
            </w:tcBorders>
          </w:tcPr>
          <w:p w:rsidR="00C31389" w:rsidRDefault="00561FBD" w14:paraId="767EC959" w14:textId="77777777">
            <w:pPr>
              <w:pStyle w:val="TableParagraph"/>
              <w:spacing w:before="8" w:line="217" w:lineRule="exact"/>
              <w:ind w:left="315"/>
              <w:rPr>
                <w:sz w:val="20"/>
              </w:rPr>
            </w:pPr>
            <w:r>
              <w:rPr>
                <w:spacing w:val="-5"/>
                <w:sz w:val="20"/>
              </w:rPr>
              <w:t>5%</w:t>
            </w:r>
          </w:p>
        </w:tc>
        <w:tc>
          <w:tcPr>
            <w:tcW w:w="899" w:type="dxa"/>
            <w:tcBorders>
              <w:top w:val="single" w:color="B6B6B6" w:sz="4" w:space="0"/>
              <w:bottom w:val="single" w:color="B6B6B6" w:sz="4" w:space="0"/>
            </w:tcBorders>
          </w:tcPr>
          <w:p w:rsidR="00C31389" w:rsidRDefault="00561FBD" w14:paraId="78FF537A" w14:textId="77777777">
            <w:pPr>
              <w:pStyle w:val="TableParagraph"/>
              <w:spacing w:before="8" w:line="217" w:lineRule="exact"/>
              <w:ind w:left="275" w:right="264"/>
              <w:jc w:val="center"/>
              <w:rPr>
                <w:sz w:val="20"/>
              </w:rPr>
            </w:pPr>
            <w:r>
              <w:rPr>
                <w:spacing w:val="-5"/>
                <w:sz w:val="20"/>
              </w:rPr>
              <w:t>15</w:t>
            </w:r>
          </w:p>
        </w:tc>
        <w:tc>
          <w:tcPr>
            <w:tcW w:w="1016" w:type="dxa"/>
            <w:tcBorders>
              <w:top w:val="single" w:color="B6B6B6" w:sz="4" w:space="0"/>
              <w:bottom w:val="single" w:color="B6B6B6" w:sz="4" w:space="0"/>
            </w:tcBorders>
          </w:tcPr>
          <w:p w:rsidR="00C31389" w:rsidRDefault="00561FBD" w14:paraId="76326661" w14:textId="77777777">
            <w:pPr>
              <w:pStyle w:val="TableParagraph"/>
              <w:spacing w:before="8" w:line="217" w:lineRule="exact"/>
              <w:ind w:left="223" w:right="262"/>
              <w:jc w:val="center"/>
              <w:rPr>
                <w:sz w:val="20"/>
              </w:rPr>
            </w:pPr>
            <w:r>
              <w:rPr>
                <w:spacing w:val="-5"/>
                <w:sz w:val="20"/>
              </w:rPr>
              <w:t>2%</w:t>
            </w:r>
          </w:p>
        </w:tc>
      </w:tr>
      <w:tr w:rsidR="00C31389" w14:paraId="6F7E1A3B" w14:textId="77777777">
        <w:trPr>
          <w:trHeight w:val="244"/>
        </w:trPr>
        <w:tc>
          <w:tcPr>
            <w:tcW w:w="3143" w:type="dxa"/>
            <w:tcBorders>
              <w:top w:val="single" w:color="B6B6B6" w:sz="4" w:space="0"/>
              <w:bottom w:val="single" w:color="B6B6B6" w:sz="4" w:space="0"/>
            </w:tcBorders>
          </w:tcPr>
          <w:p w:rsidR="00C31389" w:rsidRDefault="00561FBD" w14:paraId="2532745F" w14:textId="77777777">
            <w:pPr>
              <w:pStyle w:val="TableParagraph"/>
              <w:spacing w:before="8" w:line="217" w:lineRule="exact"/>
              <w:ind w:left="115"/>
              <w:rPr>
                <w:sz w:val="20"/>
              </w:rPr>
            </w:pPr>
            <w:r>
              <w:rPr>
                <w:sz w:val="20"/>
              </w:rPr>
              <w:t>Apartment</w:t>
            </w:r>
            <w:r>
              <w:rPr>
                <w:spacing w:val="-4"/>
                <w:sz w:val="20"/>
              </w:rPr>
              <w:t xml:space="preserve"> </w:t>
            </w:r>
            <w:r>
              <w:rPr>
                <w:sz w:val="20"/>
              </w:rPr>
              <w:t>or</w:t>
            </w:r>
            <w:r>
              <w:rPr>
                <w:spacing w:val="-2"/>
                <w:sz w:val="20"/>
              </w:rPr>
              <w:t xml:space="preserve"> </w:t>
            </w:r>
            <w:r>
              <w:rPr>
                <w:sz w:val="20"/>
              </w:rPr>
              <w:t>Condo</w:t>
            </w:r>
            <w:r>
              <w:rPr>
                <w:spacing w:val="-3"/>
                <w:sz w:val="20"/>
              </w:rPr>
              <w:t xml:space="preserve"> </w:t>
            </w:r>
            <w:r>
              <w:rPr>
                <w:sz w:val="20"/>
              </w:rPr>
              <w:t>(5+</w:t>
            </w:r>
            <w:r>
              <w:rPr>
                <w:spacing w:val="-2"/>
                <w:sz w:val="20"/>
              </w:rPr>
              <w:t xml:space="preserve"> Units)</w:t>
            </w:r>
          </w:p>
        </w:tc>
        <w:tc>
          <w:tcPr>
            <w:tcW w:w="1019" w:type="dxa"/>
            <w:tcBorders>
              <w:top w:val="single" w:color="B6B6B6" w:sz="4" w:space="0"/>
              <w:bottom w:val="single" w:color="B6B6B6" w:sz="4" w:space="0"/>
            </w:tcBorders>
          </w:tcPr>
          <w:p w:rsidR="00C31389" w:rsidRDefault="00561FBD" w14:paraId="1BA72A3E" w14:textId="77777777">
            <w:pPr>
              <w:pStyle w:val="TableParagraph"/>
              <w:spacing w:before="8" w:line="217" w:lineRule="exact"/>
              <w:ind w:right="305"/>
              <w:jc w:val="right"/>
              <w:rPr>
                <w:sz w:val="20"/>
              </w:rPr>
            </w:pPr>
            <w:r>
              <w:rPr>
                <w:spacing w:val="-4"/>
                <w:sz w:val="20"/>
              </w:rPr>
              <w:t>1950</w:t>
            </w:r>
          </w:p>
        </w:tc>
        <w:tc>
          <w:tcPr>
            <w:tcW w:w="974" w:type="dxa"/>
            <w:tcBorders>
              <w:top w:val="single" w:color="B6B6B6" w:sz="4" w:space="0"/>
              <w:bottom w:val="single" w:color="B6B6B6" w:sz="4" w:space="0"/>
            </w:tcBorders>
          </w:tcPr>
          <w:p w:rsidR="00C31389" w:rsidRDefault="00561FBD" w14:paraId="770C5C2B" w14:textId="77777777">
            <w:pPr>
              <w:pStyle w:val="TableParagraph"/>
              <w:spacing w:before="8" w:line="217" w:lineRule="exact"/>
              <w:ind w:left="281"/>
              <w:rPr>
                <w:sz w:val="20"/>
              </w:rPr>
            </w:pPr>
            <w:r>
              <w:rPr>
                <w:spacing w:val="-5"/>
                <w:sz w:val="20"/>
              </w:rPr>
              <w:t>98%</w:t>
            </w:r>
          </w:p>
        </w:tc>
        <w:tc>
          <w:tcPr>
            <w:tcW w:w="1035" w:type="dxa"/>
            <w:tcBorders>
              <w:top w:val="single" w:color="B6B6B6" w:sz="4" w:space="0"/>
              <w:bottom w:val="single" w:color="B6B6B6" w:sz="4" w:space="0"/>
            </w:tcBorders>
          </w:tcPr>
          <w:p w:rsidR="00C31389" w:rsidRDefault="00561FBD" w14:paraId="3038E10C" w14:textId="77777777">
            <w:pPr>
              <w:pStyle w:val="TableParagraph"/>
              <w:spacing w:before="8" w:line="217" w:lineRule="exact"/>
              <w:ind w:left="271" w:right="243"/>
              <w:jc w:val="center"/>
              <w:rPr>
                <w:sz w:val="20"/>
              </w:rPr>
            </w:pPr>
            <w:r>
              <w:rPr>
                <w:spacing w:val="-5"/>
                <w:sz w:val="20"/>
              </w:rPr>
              <w:t>30</w:t>
            </w:r>
          </w:p>
        </w:tc>
        <w:tc>
          <w:tcPr>
            <w:tcW w:w="941" w:type="dxa"/>
            <w:tcBorders>
              <w:top w:val="single" w:color="B6B6B6" w:sz="4" w:space="0"/>
              <w:bottom w:val="single" w:color="B6B6B6" w:sz="4" w:space="0"/>
            </w:tcBorders>
          </w:tcPr>
          <w:p w:rsidR="00C31389" w:rsidRDefault="00561FBD" w14:paraId="111E53EB" w14:textId="77777777">
            <w:pPr>
              <w:pStyle w:val="TableParagraph"/>
              <w:spacing w:before="8" w:line="217" w:lineRule="exact"/>
              <w:ind w:left="315"/>
              <w:rPr>
                <w:sz w:val="20"/>
              </w:rPr>
            </w:pPr>
            <w:r>
              <w:rPr>
                <w:spacing w:val="-5"/>
                <w:sz w:val="20"/>
              </w:rPr>
              <w:t>2%</w:t>
            </w:r>
          </w:p>
        </w:tc>
        <w:tc>
          <w:tcPr>
            <w:tcW w:w="899" w:type="dxa"/>
            <w:tcBorders>
              <w:top w:val="single" w:color="B6B6B6" w:sz="4" w:space="0"/>
              <w:bottom w:val="single" w:color="B6B6B6" w:sz="4" w:space="0"/>
            </w:tcBorders>
          </w:tcPr>
          <w:p w:rsidR="00C31389" w:rsidRDefault="00561FBD" w14:paraId="53860795" w14:textId="77777777">
            <w:pPr>
              <w:pStyle w:val="TableParagraph"/>
              <w:spacing w:before="8" w:line="217" w:lineRule="exact"/>
              <w:ind w:left="275" w:right="264"/>
              <w:jc w:val="center"/>
              <w:rPr>
                <w:sz w:val="20"/>
              </w:rPr>
            </w:pPr>
            <w:r>
              <w:rPr>
                <w:spacing w:val="-5"/>
                <w:sz w:val="20"/>
              </w:rPr>
              <w:t>12</w:t>
            </w:r>
          </w:p>
        </w:tc>
        <w:tc>
          <w:tcPr>
            <w:tcW w:w="1016" w:type="dxa"/>
            <w:tcBorders>
              <w:top w:val="single" w:color="B6B6B6" w:sz="4" w:space="0"/>
              <w:bottom w:val="single" w:color="B6B6B6" w:sz="4" w:space="0"/>
            </w:tcBorders>
          </w:tcPr>
          <w:p w:rsidR="00C31389" w:rsidRDefault="00561FBD" w14:paraId="57DDB538" w14:textId="77777777">
            <w:pPr>
              <w:pStyle w:val="TableParagraph"/>
              <w:spacing w:before="8" w:line="217" w:lineRule="exact"/>
              <w:ind w:left="223" w:right="262"/>
              <w:jc w:val="center"/>
              <w:rPr>
                <w:sz w:val="20"/>
              </w:rPr>
            </w:pPr>
            <w:r>
              <w:rPr>
                <w:spacing w:val="-5"/>
                <w:sz w:val="20"/>
              </w:rPr>
              <w:t>1%</w:t>
            </w:r>
          </w:p>
        </w:tc>
      </w:tr>
      <w:tr w:rsidR="00C31389" w14:paraId="1A03B628" w14:textId="77777777">
        <w:trPr>
          <w:trHeight w:val="245"/>
        </w:trPr>
        <w:tc>
          <w:tcPr>
            <w:tcW w:w="3143" w:type="dxa"/>
            <w:tcBorders>
              <w:top w:val="single" w:color="B6B6B6" w:sz="4" w:space="0"/>
              <w:bottom w:val="single" w:color="B6B6B6" w:sz="4" w:space="0"/>
            </w:tcBorders>
          </w:tcPr>
          <w:p w:rsidR="00C31389" w:rsidRDefault="00561FBD" w14:paraId="53C1310F" w14:textId="77777777">
            <w:pPr>
              <w:pStyle w:val="TableParagraph"/>
              <w:spacing w:before="9" w:line="217" w:lineRule="exact"/>
              <w:ind w:left="115"/>
              <w:rPr>
                <w:b/>
                <w:sz w:val="20"/>
              </w:rPr>
            </w:pPr>
            <w:r>
              <w:rPr>
                <w:b/>
                <w:sz w:val="20"/>
              </w:rPr>
              <w:t>Subtotal:</w:t>
            </w:r>
            <w:r>
              <w:rPr>
                <w:b/>
                <w:spacing w:val="-4"/>
                <w:sz w:val="20"/>
              </w:rPr>
              <w:t xml:space="preserve"> </w:t>
            </w:r>
            <w:r>
              <w:rPr>
                <w:b/>
                <w:sz w:val="20"/>
              </w:rPr>
              <w:t>All</w:t>
            </w:r>
            <w:r>
              <w:rPr>
                <w:b/>
                <w:spacing w:val="-5"/>
                <w:sz w:val="20"/>
              </w:rPr>
              <w:t xml:space="preserve"> </w:t>
            </w:r>
            <w:r>
              <w:rPr>
                <w:b/>
                <w:spacing w:val="-2"/>
                <w:sz w:val="20"/>
              </w:rPr>
              <w:t>Multifamily</w:t>
            </w:r>
          </w:p>
        </w:tc>
        <w:tc>
          <w:tcPr>
            <w:tcW w:w="1019" w:type="dxa"/>
            <w:tcBorders>
              <w:top w:val="single" w:color="B6B6B6" w:sz="4" w:space="0"/>
              <w:bottom w:val="single" w:color="B6B6B6" w:sz="4" w:space="0"/>
            </w:tcBorders>
          </w:tcPr>
          <w:p w:rsidR="00C31389" w:rsidRDefault="00561FBD" w14:paraId="3583EE62" w14:textId="77777777">
            <w:pPr>
              <w:pStyle w:val="TableParagraph"/>
              <w:spacing w:before="9" w:line="217" w:lineRule="exact"/>
              <w:ind w:right="277"/>
              <w:jc w:val="right"/>
              <w:rPr>
                <w:b/>
                <w:sz w:val="20"/>
              </w:rPr>
            </w:pPr>
            <w:r>
              <w:rPr>
                <w:b/>
                <w:spacing w:val="-4"/>
                <w:sz w:val="20"/>
              </w:rPr>
              <w:t>3,523</w:t>
            </w:r>
          </w:p>
        </w:tc>
        <w:tc>
          <w:tcPr>
            <w:tcW w:w="974" w:type="dxa"/>
            <w:tcBorders>
              <w:top w:val="single" w:color="B6B6B6" w:sz="4" w:space="0"/>
              <w:bottom w:val="single" w:color="B6B6B6" w:sz="4" w:space="0"/>
            </w:tcBorders>
          </w:tcPr>
          <w:p w:rsidR="00C31389" w:rsidRDefault="00561FBD" w14:paraId="215CE897" w14:textId="77777777">
            <w:pPr>
              <w:pStyle w:val="TableParagraph"/>
              <w:spacing w:before="9" w:line="217" w:lineRule="exact"/>
              <w:ind w:left="281"/>
              <w:rPr>
                <w:b/>
                <w:sz w:val="20"/>
              </w:rPr>
            </w:pPr>
            <w:r>
              <w:rPr>
                <w:b/>
                <w:spacing w:val="-5"/>
                <w:sz w:val="20"/>
              </w:rPr>
              <w:t>94%</w:t>
            </w:r>
          </w:p>
        </w:tc>
        <w:tc>
          <w:tcPr>
            <w:tcW w:w="1035" w:type="dxa"/>
            <w:tcBorders>
              <w:top w:val="single" w:color="B6B6B6" w:sz="4" w:space="0"/>
              <w:bottom w:val="single" w:color="B6B6B6" w:sz="4" w:space="0"/>
            </w:tcBorders>
          </w:tcPr>
          <w:p w:rsidR="00C31389" w:rsidRDefault="00561FBD" w14:paraId="0453AB2C" w14:textId="77777777">
            <w:pPr>
              <w:pStyle w:val="TableParagraph"/>
              <w:spacing w:before="9" w:line="217" w:lineRule="exact"/>
              <w:ind w:left="271" w:right="242"/>
              <w:jc w:val="center"/>
              <w:rPr>
                <w:b/>
                <w:sz w:val="20"/>
              </w:rPr>
            </w:pPr>
            <w:r>
              <w:rPr>
                <w:b/>
                <w:spacing w:val="-5"/>
                <w:sz w:val="20"/>
              </w:rPr>
              <w:t>173</w:t>
            </w:r>
          </w:p>
        </w:tc>
        <w:tc>
          <w:tcPr>
            <w:tcW w:w="941" w:type="dxa"/>
            <w:tcBorders>
              <w:top w:val="single" w:color="B6B6B6" w:sz="4" w:space="0"/>
              <w:bottom w:val="single" w:color="B6B6B6" w:sz="4" w:space="0"/>
            </w:tcBorders>
          </w:tcPr>
          <w:p w:rsidR="00C31389" w:rsidRDefault="00561FBD" w14:paraId="18DA60F2" w14:textId="77777777">
            <w:pPr>
              <w:pStyle w:val="TableParagraph"/>
              <w:spacing w:before="9" w:line="217" w:lineRule="exact"/>
              <w:ind w:left="315"/>
              <w:rPr>
                <w:b/>
                <w:sz w:val="20"/>
              </w:rPr>
            </w:pPr>
            <w:r>
              <w:rPr>
                <w:b/>
                <w:spacing w:val="-5"/>
                <w:sz w:val="20"/>
              </w:rPr>
              <w:t>5%</w:t>
            </w:r>
          </w:p>
        </w:tc>
        <w:tc>
          <w:tcPr>
            <w:tcW w:w="899" w:type="dxa"/>
            <w:tcBorders>
              <w:top w:val="single" w:color="B6B6B6" w:sz="4" w:space="0"/>
              <w:bottom w:val="single" w:color="B6B6B6" w:sz="4" w:space="0"/>
            </w:tcBorders>
          </w:tcPr>
          <w:p w:rsidR="00C31389" w:rsidRDefault="00561FBD" w14:paraId="0CC5F2F8" w14:textId="77777777">
            <w:pPr>
              <w:pStyle w:val="TableParagraph"/>
              <w:spacing w:before="9" w:line="217" w:lineRule="exact"/>
              <w:ind w:left="275" w:right="264"/>
              <w:jc w:val="center"/>
              <w:rPr>
                <w:b/>
                <w:sz w:val="20"/>
              </w:rPr>
            </w:pPr>
            <w:r>
              <w:rPr>
                <w:b/>
                <w:spacing w:val="-5"/>
                <w:sz w:val="20"/>
              </w:rPr>
              <w:t>39</w:t>
            </w:r>
          </w:p>
        </w:tc>
        <w:tc>
          <w:tcPr>
            <w:tcW w:w="1016" w:type="dxa"/>
            <w:tcBorders>
              <w:top w:val="single" w:color="B6B6B6" w:sz="4" w:space="0"/>
              <w:bottom w:val="single" w:color="B6B6B6" w:sz="4" w:space="0"/>
            </w:tcBorders>
          </w:tcPr>
          <w:p w:rsidR="00C31389" w:rsidRDefault="00561FBD" w14:paraId="2106B969" w14:textId="77777777">
            <w:pPr>
              <w:pStyle w:val="TableParagraph"/>
              <w:spacing w:before="9" w:line="217" w:lineRule="exact"/>
              <w:ind w:left="223" w:right="262"/>
              <w:jc w:val="center"/>
              <w:rPr>
                <w:b/>
                <w:sz w:val="20"/>
              </w:rPr>
            </w:pPr>
            <w:r>
              <w:rPr>
                <w:b/>
                <w:spacing w:val="-5"/>
                <w:sz w:val="20"/>
              </w:rPr>
              <w:t>1%</w:t>
            </w:r>
          </w:p>
        </w:tc>
      </w:tr>
      <w:tr w:rsidR="00C31389" w14:paraId="1E6C811D" w14:textId="77777777">
        <w:trPr>
          <w:trHeight w:val="244"/>
        </w:trPr>
        <w:tc>
          <w:tcPr>
            <w:tcW w:w="3143" w:type="dxa"/>
            <w:tcBorders>
              <w:top w:val="single" w:color="B6B6B6" w:sz="4" w:space="0"/>
              <w:bottom w:val="single" w:color="B6B6B6" w:sz="4" w:space="0"/>
            </w:tcBorders>
          </w:tcPr>
          <w:p w:rsidR="00C31389" w:rsidRDefault="00561FBD" w14:paraId="1B6FDB2D" w14:textId="77777777">
            <w:pPr>
              <w:pStyle w:val="TableParagraph"/>
              <w:spacing w:before="8" w:line="217" w:lineRule="exact"/>
              <w:ind w:left="115"/>
              <w:rPr>
                <w:sz w:val="20"/>
              </w:rPr>
            </w:pPr>
            <w:r>
              <w:rPr>
                <w:sz w:val="20"/>
              </w:rPr>
              <w:t>Mobile</w:t>
            </w:r>
            <w:r>
              <w:rPr>
                <w:spacing w:val="-4"/>
                <w:sz w:val="20"/>
              </w:rPr>
              <w:t xml:space="preserve"> Home</w:t>
            </w:r>
          </w:p>
        </w:tc>
        <w:tc>
          <w:tcPr>
            <w:tcW w:w="1019" w:type="dxa"/>
            <w:tcBorders>
              <w:top w:val="single" w:color="B6B6B6" w:sz="4" w:space="0"/>
              <w:bottom w:val="single" w:color="B6B6B6" w:sz="4" w:space="0"/>
            </w:tcBorders>
          </w:tcPr>
          <w:p w:rsidR="00C31389" w:rsidRDefault="00561FBD" w14:paraId="2D37FB21" w14:textId="77777777">
            <w:pPr>
              <w:pStyle w:val="TableParagraph"/>
              <w:spacing w:before="8" w:line="217" w:lineRule="exact"/>
              <w:ind w:left="321"/>
              <w:rPr>
                <w:sz w:val="20"/>
              </w:rPr>
            </w:pPr>
            <w:r>
              <w:rPr>
                <w:spacing w:val="-5"/>
                <w:sz w:val="20"/>
              </w:rPr>
              <w:t>189</w:t>
            </w:r>
          </w:p>
        </w:tc>
        <w:tc>
          <w:tcPr>
            <w:tcW w:w="974" w:type="dxa"/>
            <w:tcBorders>
              <w:top w:val="single" w:color="B6B6B6" w:sz="4" w:space="0"/>
              <w:bottom w:val="single" w:color="B6B6B6" w:sz="4" w:space="0"/>
            </w:tcBorders>
          </w:tcPr>
          <w:p w:rsidR="00C31389" w:rsidRDefault="00561FBD" w14:paraId="57A9FA27" w14:textId="77777777">
            <w:pPr>
              <w:pStyle w:val="TableParagraph"/>
              <w:spacing w:before="8" w:line="217" w:lineRule="exact"/>
              <w:ind w:left="281"/>
              <w:rPr>
                <w:sz w:val="20"/>
              </w:rPr>
            </w:pPr>
            <w:r>
              <w:rPr>
                <w:spacing w:val="-5"/>
                <w:sz w:val="20"/>
              </w:rPr>
              <w:t>94%</w:t>
            </w:r>
          </w:p>
        </w:tc>
        <w:tc>
          <w:tcPr>
            <w:tcW w:w="1035" w:type="dxa"/>
            <w:tcBorders>
              <w:top w:val="single" w:color="B6B6B6" w:sz="4" w:space="0"/>
              <w:bottom w:val="single" w:color="B6B6B6" w:sz="4" w:space="0"/>
            </w:tcBorders>
          </w:tcPr>
          <w:p w:rsidR="00C31389" w:rsidRDefault="00561FBD" w14:paraId="2EEE89DA" w14:textId="77777777">
            <w:pPr>
              <w:pStyle w:val="TableParagraph"/>
              <w:spacing w:before="8" w:line="217" w:lineRule="exact"/>
              <w:ind w:left="271" w:right="243"/>
              <w:jc w:val="center"/>
              <w:rPr>
                <w:sz w:val="20"/>
              </w:rPr>
            </w:pPr>
            <w:r>
              <w:rPr>
                <w:spacing w:val="-5"/>
                <w:sz w:val="20"/>
              </w:rPr>
              <w:t>11</w:t>
            </w:r>
          </w:p>
        </w:tc>
        <w:tc>
          <w:tcPr>
            <w:tcW w:w="941" w:type="dxa"/>
            <w:tcBorders>
              <w:top w:val="single" w:color="B6B6B6" w:sz="4" w:space="0"/>
              <w:bottom w:val="single" w:color="B6B6B6" w:sz="4" w:space="0"/>
            </w:tcBorders>
          </w:tcPr>
          <w:p w:rsidR="00C31389" w:rsidRDefault="00561FBD" w14:paraId="102B4850" w14:textId="77777777">
            <w:pPr>
              <w:pStyle w:val="TableParagraph"/>
              <w:spacing w:before="8" w:line="217" w:lineRule="exact"/>
              <w:ind w:left="315"/>
              <w:rPr>
                <w:sz w:val="20"/>
              </w:rPr>
            </w:pPr>
            <w:r>
              <w:rPr>
                <w:spacing w:val="-5"/>
                <w:sz w:val="20"/>
              </w:rPr>
              <w:t>5%</w:t>
            </w:r>
          </w:p>
        </w:tc>
        <w:tc>
          <w:tcPr>
            <w:tcW w:w="899" w:type="dxa"/>
            <w:tcBorders>
              <w:top w:val="single" w:color="B6B6B6" w:sz="4" w:space="0"/>
              <w:bottom w:val="single" w:color="B6B6B6" w:sz="4" w:space="0"/>
            </w:tcBorders>
          </w:tcPr>
          <w:p w:rsidR="00C31389" w:rsidRDefault="00561FBD" w14:paraId="6781EFEA" w14:textId="77777777">
            <w:pPr>
              <w:pStyle w:val="TableParagraph"/>
              <w:spacing w:before="8" w:line="217" w:lineRule="exact"/>
              <w:ind w:left="10"/>
              <w:jc w:val="center"/>
              <w:rPr>
                <w:sz w:val="20"/>
              </w:rPr>
            </w:pPr>
            <w:r>
              <w:rPr>
                <w:sz w:val="20"/>
              </w:rPr>
              <w:t>0</w:t>
            </w:r>
          </w:p>
        </w:tc>
        <w:tc>
          <w:tcPr>
            <w:tcW w:w="1016" w:type="dxa"/>
            <w:tcBorders>
              <w:top w:val="single" w:color="B6B6B6" w:sz="4" w:space="0"/>
              <w:bottom w:val="single" w:color="B6B6B6" w:sz="4" w:space="0"/>
            </w:tcBorders>
          </w:tcPr>
          <w:p w:rsidR="00C31389" w:rsidRDefault="00561FBD" w14:paraId="7EDDCF74" w14:textId="77777777">
            <w:pPr>
              <w:pStyle w:val="TableParagraph"/>
              <w:spacing w:before="8" w:line="217" w:lineRule="exact"/>
              <w:ind w:left="223" w:right="262"/>
              <w:jc w:val="center"/>
              <w:rPr>
                <w:sz w:val="20"/>
              </w:rPr>
            </w:pPr>
            <w:r>
              <w:rPr>
                <w:spacing w:val="-5"/>
                <w:sz w:val="20"/>
              </w:rPr>
              <w:t>0%</w:t>
            </w:r>
          </w:p>
        </w:tc>
      </w:tr>
      <w:tr w:rsidR="00C31389" w14:paraId="619CE0AE" w14:textId="77777777">
        <w:trPr>
          <w:trHeight w:val="245"/>
        </w:trPr>
        <w:tc>
          <w:tcPr>
            <w:tcW w:w="3143" w:type="dxa"/>
            <w:tcBorders>
              <w:top w:val="single" w:color="B6B6B6" w:sz="4" w:space="0"/>
              <w:bottom w:val="single" w:color="B6B6B6" w:sz="4" w:space="0"/>
            </w:tcBorders>
          </w:tcPr>
          <w:p w:rsidR="00C31389" w:rsidRDefault="00561FBD" w14:paraId="43A205A2" w14:textId="77777777">
            <w:pPr>
              <w:pStyle w:val="TableParagraph"/>
              <w:spacing w:before="9" w:line="217" w:lineRule="exact"/>
              <w:ind w:left="115"/>
              <w:rPr>
                <w:sz w:val="20"/>
              </w:rPr>
            </w:pPr>
            <w:r>
              <w:rPr>
                <w:spacing w:val="-2"/>
                <w:sz w:val="20"/>
              </w:rPr>
              <w:t>Other</w:t>
            </w:r>
          </w:p>
        </w:tc>
        <w:tc>
          <w:tcPr>
            <w:tcW w:w="1019" w:type="dxa"/>
            <w:tcBorders>
              <w:top w:val="single" w:color="B6B6B6" w:sz="4" w:space="0"/>
              <w:bottom w:val="single" w:color="B6B6B6" w:sz="4" w:space="0"/>
            </w:tcBorders>
          </w:tcPr>
          <w:p w:rsidR="00C31389" w:rsidRDefault="00561FBD" w14:paraId="39BEF85C" w14:textId="77777777">
            <w:pPr>
              <w:pStyle w:val="TableParagraph"/>
              <w:spacing w:before="9" w:line="217" w:lineRule="exact"/>
              <w:ind w:left="321"/>
              <w:rPr>
                <w:sz w:val="20"/>
              </w:rPr>
            </w:pPr>
            <w:r>
              <w:rPr>
                <w:spacing w:val="-5"/>
                <w:sz w:val="20"/>
              </w:rPr>
              <w:t>160</w:t>
            </w:r>
          </w:p>
        </w:tc>
        <w:tc>
          <w:tcPr>
            <w:tcW w:w="974" w:type="dxa"/>
            <w:tcBorders>
              <w:top w:val="single" w:color="B6B6B6" w:sz="4" w:space="0"/>
              <w:bottom w:val="single" w:color="B6B6B6" w:sz="4" w:space="0"/>
            </w:tcBorders>
          </w:tcPr>
          <w:p w:rsidR="00C31389" w:rsidRDefault="00561FBD" w14:paraId="6E4AB976" w14:textId="77777777">
            <w:pPr>
              <w:pStyle w:val="TableParagraph"/>
              <w:spacing w:before="9" w:line="217" w:lineRule="exact"/>
              <w:ind w:left="281"/>
              <w:rPr>
                <w:sz w:val="20"/>
              </w:rPr>
            </w:pPr>
            <w:r>
              <w:rPr>
                <w:spacing w:val="-5"/>
                <w:sz w:val="20"/>
              </w:rPr>
              <w:t>87%</w:t>
            </w:r>
          </w:p>
        </w:tc>
        <w:tc>
          <w:tcPr>
            <w:tcW w:w="1035" w:type="dxa"/>
            <w:tcBorders>
              <w:top w:val="single" w:color="B6B6B6" w:sz="4" w:space="0"/>
              <w:bottom w:val="single" w:color="B6B6B6" w:sz="4" w:space="0"/>
            </w:tcBorders>
          </w:tcPr>
          <w:p w:rsidR="00C31389" w:rsidRDefault="00561FBD" w14:paraId="43B9CE1E" w14:textId="77777777">
            <w:pPr>
              <w:pStyle w:val="TableParagraph"/>
              <w:spacing w:before="9" w:line="217" w:lineRule="exact"/>
              <w:ind w:left="271" w:right="243"/>
              <w:jc w:val="center"/>
              <w:rPr>
                <w:sz w:val="20"/>
              </w:rPr>
            </w:pPr>
            <w:r>
              <w:rPr>
                <w:spacing w:val="-5"/>
                <w:sz w:val="20"/>
              </w:rPr>
              <w:t>19</w:t>
            </w:r>
          </w:p>
        </w:tc>
        <w:tc>
          <w:tcPr>
            <w:tcW w:w="941" w:type="dxa"/>
            <w:tcBorders>
              <w:top w:val="single" w:color="B6B6B6" w:sz="4" w:space="0"/>
              <w:bottom w:val="single" w:color="B6B6B6" w:sz="4" w:space="0"/>
            </w:tcBorders>
          </w:tcPr>
          <w:p w:rsidR="00C31389" w:rsidRDefault="00561FBD" w14:paraId="4A251E41" w14:textId="77777777">
            <w:pPr>
              <w:pStyle w:val="TableParagraph"/>
              <w:spacing w:before="9" w:line="217" w:lineRule="exact"/>
              <w:ind w:left="258"/>
              <w:rPr>
                <w:sz w:val="20"/>
              </w:rPr>
            </w:pPr>
            <w:r>
              <w:rPr>
                <w:spacing w:val="-5"/>
                <w:sz w:val="20"/>
              </w:rPr>
              <w:t>11%</w:t>
            </w:r>
          </w:p>
        </w:tc>
        <w:tc>
          <w:tcPr>
            <w:tcW w:w="899" w:type="dxa"/>
            <w:tcBorders>
              <w:top w:val="single" w:color="B6B6B6" w:sz="4" w:space="0"/>
              <w:bottom w:val="single" w:color="B6B6B6" w:sz="4" w:space="0"/>
            </w:tcBorders>
          </w:tcPr>
          <w:p w:rsidR="00C31389" w:rsidRDefault="00561FBD" w14:paraId="0D0676CA" w14:textId="77777777">
            <w:pPr>
              <w:pStyle w:val="TableParagraph"/>
              <w:spacing w:before="9" w:line="217" w:lineRule="exact"/>
              <w:ind w:left="10"/>
              <w:jc w:val="center"/>
              <w:rPr>
                <w:sz w:val="20"/>
              </w:rPr>
            </w:pPr>
            <w:r>
              <w:rPr>
                <w:sz w:val="20"/>
              </w:rPr>
              <w:t>3</w:t>
            </w:r>
          </w:p>
        </w:tc>
        <w:tc>
          <w:tcPr>
            <w:tcW w:w="1016" w:type="dxa"/>
            <w:tcBorders>
              <w:top w:val="single" w:color="B6B6B6" w:sz="4" w:space="0"/>
              <w:bottom w:val="single" w:color="B6B6B6" w:sz="4" w:space="0"/>
            </w:tcBorders>
          </w:tcPr>
          <w:p w:rsidR="00C31389" w:rsidRDefault="00561FBD" w14:paraId="4C07C852" w14:textId="77777777">
            <w:pPr>
              <w:pStyle w:val="TableParagraph"/>
              <w:spacing w:before="9" w:line="217" w:lineRule="exact"/>
              <w:ind w:left="223" w:right="262"/>
              <w:jc w:val="center"/>
              <w:rPr>
                <w:sz w:val="20"/>
              </w:rPr>
            </w:pPr>
            <w:r>
              <w:rPr>
                <w:spacing w:val="-5"/>
                <w:sz w:val="20"/>
              </w:rPr>
              <w:t>2%</w:t>
            </w:r>
          </w:p>
        </w:tc>
      </w:tr>
      <w:tr w:rsidR="00C31389" w14:paraId="2567E9DF" w14:textId="77777777">
        <w:trPr>
          <w:trHeight w:val="243"/>
        </w:trPr>
        <w:tc>
          <w:tcPr>
            <w:tcW w:w="3143" w:type="dxa"/>
            <w:tcBorders>
              <w:top w:val="single" w:color="B6B6B6" w:sz="4" w:space="0"/>
              <w:bottom w:val="double" w:color="B6B6B6" w:sz="4" w:space="0"/>
            </w:tcBorders>
          </w:tcPr>
          <w:p w:rsidR="00C31389" w:rsidRDefault="00561FBD" w14:paraId="5A646CD1" w14:textId="77777777">
            <w:pPr>
              <w:pStyle w:val="TableParagraph"/>
              <w:spacing w:before="8" w:line="216" w:lineRule="exact"/>
              <w:ind w:left="115"/>
              <w:rPr>
                <w:sz w:val="20"/>
              </w:rPr>
            </w:pPr>
            <w:r>
              <w:rPr>
                <w:sz w:val="20"/>
              </w:rPr>
              <w:t>No</w:t>
            </w:r>
            <w:r>
              <w:rPr>
                <w:spacing w:val="-1"/>
                <w:sz w:val="20"/>
              </w:rPr>
              <w:t xml:space="preserve"> </w:t>
            </w:r>
            <w:r>
              <w:rPr>
                <w:spacing w:val="-2"/>
                <w:sz w:val="20"/>
              </w:rPr>
              <w:t>Response</w:t>
            </w:r>
          </w:p>
        </w:tc>
        <w:tc>
          <w:tcPr>
            <w:tcW w:w="1019" w:type="dxa"/>
            <w:tcBorders>
              <w:top w:val="single" w:color="B6B6B6" w:sz="4" w:space="0"/>
              <w:bottom w:val="double" w:color="B6B6B6" w:sz="4" w:space="0"/>
            </w:tcBorders>
          </w:tcPr>
          <w:p w:rsidR="00C31389" w:rsidRDefault="00561FBD" w14:paraId="59AF868F" w14:textId="77777777">
            <w:pPr>
              <w:pStyle w:val="TableParagraph"/>
              <w:spacing w:before="8" w:line="216" w:lineRule="exact"/>
              <w:ind w:left="321"/>
              <w:rPr>
                <w:sz w:val="20"/>
              </w:rPr>
            </w:pPr>
            <w:r>
              <w:rPr>
                <w:spacing w:val="-5"/>
                <w:sz w:val="20"/>
              </w:rPr>
              <w:t>298</w:t>
            </w:r>
          </w:p>
        </w:tc>
        <w:tc>
          <w:tcPr>
            <w:tcW w:w="974" w:type="dxa"/>
            <w:tcBorders>
              <w:top w:val="single" w:color="B6B6B6" w:sz="4" w:space="0"/>
              <w:bottom w:val="double" w:color="B6B6B6" w:sz="4" w:space="0"/>
            </w:tcBorders>
          </w:tcPr>
          <w:p w:rsidR="00C31389" w:rsidRDefault="00561FBD" w14:paraId="3DCA06B9" w14:textId="77777777">
            <w:pPr>
              <w:pStyle w:val="TableParagraph"/>
              <w:spacing w:before="8" w:line="216" w:lineRule="exact"/>
              <w:ind w:left="281"/>
              <w:rPr>
                <w:sz w:val="20"/>
              </w:rPr>
            </w:pPr>
            <w:r>
              <w:rPr>
                <w:spacing w:val="-5"/>
                <w:sz w:val="20"/>
              </w:rPr>
              <w:t>71%</w:t>
            </w:r>
          </w:p>
        </w:tc>
        <w:tc>
          <w:tcPr>
            <w:tcW w:w="1035" w:type="dxa"/>
            <w:tcBorders>
              <w:top w:val="single" w:color="B6B6B6" w:sz="4" w:space="0"/>
              <w:bottom w:val="double" w:color="B6B6B6" w:sz="4" w:space="0"/>
            </w:tcBorders>
          </w:tcPr>
          <w:p w:rsidR="00C31389" w:rsidRDefault="00561FBD" w14:paraId="0A70BAD5" w14:textId="77777777">
            <w:pPr>
              <w:pStyle w:val="TableParagraph"/>
              <w:spacing w:before="8" w:line="216" w:lineRule="exact"/>
              <w:ind w:left="271" w:right="243"/>
              <w:jc w:val="center"/>
              <w:rPr>
                <w:sz w:val="20"/>
              </w:rPr>
            </w:pPr>
            <w:r>
              <w:rPr>
                <w:spacing w:val="-5"/>
                <w:sz w:val="20"/>
              </w:rPr>
              <w:t>80</w:t>
            </w:r>
          </w:p>
        </w:tc>
        <w:tc>
          <w:tcPr>
            <w:tcW w:w="941" w:type="dxa"/>
            <w:tcBorders>
              <w:top w:val="single" w:color="B6B6B6" w:sz="4" w:space="0"/>
              <w:bottom w:val="double" w:color="B6B6B6" w:sz="4" w:space="0"/>
            </w:tcBorders>
          </w:tcPr>
          <w:p w:rsidR="00C31389" w:rsidRDefault="00561FBD" w14:paraId="21BC25C4" w14:textId="77777777">
            <w:pPr>
              <w:pStyle w:val="TableParagraph"/>
              <w:spacing w:before="8" w:line="216" w:lineRule="exact"/>
              <w:ind w:left="258"/>
              <w:rPr>
                <w:sz w:val="20"/>
              </w:rPr>
            </w:pPr>
            <w:r>
              <w:rPr>
                <w:spacing w:val="-5"/>
                <w:sz w:val="20"/>
              </w:rPr>
              <w:t>19%</w:t>
            </w:r>
          </w:p>
        </w:tc>
        <w:tc>
          <w:tcPr>
            <w:tcW w:w="899" w:type="dxa"/>
            <w:tcBorders>
              <w:top w:val="single" w:color="B6B6B6" w:sz="4" w:space="0"/>
              <w:bottom w:val="double" w:color="B6B6B6" w:sz="4" w:space="0"/>
            </w:tcBorders>
          </w:tcPr>
          <w:p w:rsidR="00C31389" w:rsidRDefault="00561FBD" w14:paraId="4A01A65F" w14:textId="77777777">
            <w:pPr>
              <w:pStyle w:val="TableParagraph"/>
              <w:spacing w:before="8" w:line="216" w:lineRule="exact"/>
              <w:ind w:left="275" w:right="264"/>
              <w:jc w:val="center"/>
              <w:rPr>
                <w:sz w:val="20"/>
              </w:rPr>
            </w:pPr>
            <w:r>
              <w:rPr>
                <w:spacing w:val="-5"/>
                <w:sz w:val="20"/>
              </w:rPr>
              <w:t>40</w:t>
            </w:r>
          </w:p>
        </w:tc>
        <w:tc>
          <w:tcPr>
            <w:tcW w:w="1016" w:type="dxa"/>
            <w:tcBorders>
              <w:top w:val="single" w:color="B6B6B6" w:sz="4" w:space="0"/>
              <w:bottom w:val="double" w:color="B6B6B6" w:sz="4" w:space="0"/>
            </w:tcBorders>
          </w:tcPr>
          <w:p w:rsidR="00C31389" w:rsidRDefault="00561FBD" w14:paraId="3C586001" w14:textId="77777777">
            <w:pPr>
              <w:pStyle w:val="TableParagraph"/>
              <w:spacing w:before="8" w:line="216" w:lineRule="exact"/>
              <w:ind w:left="222" w:right="262"/>
              <w:jc w:val="center"/>
              <w:rPr>
                <w:sz w:val="20"/>
              </w:rPr>
            </w:pPr>
            <w:r>
              <w:rPr>
                <w:spacing w:val="-5"/>
                <w:sz w:val="20"/>
              </w:rPr>
              <w:t>10%</w:t>
            </w:r>
          </w:p>
        </w:tc>
      </w:tr>
      <w:tr w:rsidR="00C31389" w14:paraId="1E6E710D" w14:textId="77777777">
        <w:trPr>
          <w:trHeight w:val="246"/>
        </w:trPr>
        <w:tc>
          <w:tcPr>
            <w:tcW w:w="3143" w:type="dxa"/>
            <w:tcBorders>
              <w:top w:val="double" w:color="B6B6B6" w:sz="4" w:space="0"/>
              <w:bottom w:val="single" w:color="B6B6B6" w:sz="4" w:space="0"/>
            </w:tcBorders>
          </w:tcPr>
          <w:p w:rsidR="00C31389" w:rsidRDefault="00561FBD" w14:paraId="1E83CBE2" w14:textId="77777777">
            <w:pPr>
              <w:pStyle w:val="TableParagraph"/>
              <w:spacing w:before="8" w:line="218" w:lineRule="exact"/>
              <w:ind w:left="115"/>
              <w:rPr>
                <w:b/>
                <w:sz w:val="20"/>
              </w:rPr>
            </w:pPr>
            <w:r>
              <w:rPr>
                <w:b/>
                <w:spacing w:val="-2"/>
                <w:sz w:val="20"/>
              </w:rPr>
              <w:t>Total</w:t>
            </w:r>
          </w:p>
        </w:tc>
        <w:tc>
          <w:tcPr>
            <w:tcW w:w="1019" w:type="dxa"/>
            <w:tcBorders>
              <w:top w:val="double" w:color="B6B6B6" w:sz="4" w:space="0"/>
              <w:bottom w:val="single" w:color="B6B6B6" w:sz="4" w:space="0"/>
            </w:tcBorders>
          </w:tcPr>
          <w:p w:rsidR="00C31389" w:rsidRDefault="00561FBD" w14:paraId="41315599" w14:textId="77777777">
            <w:pPr>
              <w:pStyle w:val="TableParagraph"/>
              <w:spacing w:before="8" w:line="218" w:lineRule="exact"/>
              <w:ind w:right="277"/>
              <w:jc w:val="right"/>
              <w:rPr>
                <w:b/>
                <w:sz w:val="20"/>
              </w:rPr>
            </w:pPr>
            <w:r>
              <w:rPr>
                <w:b/>
                <w:spacing w:val="-4"/>
                <w:sz w:val="20"/>
              </w:rPr>
              <w:t>8,391</w:t>
            </w:r>
          </w:p>
        </w:tc>
        <w:tc>
          <w:tcPr>
            <w:tcW w:w="974" w:type="dxa"/>
            <w:tcBorders>
              <w:top w:val="double" w:color="B6B6B6" w:sz="4" w:space="0"/>
              <w:bottom w:val="single" w:color="B6B6B6" w:sz="4" w:space="0"/>
            </w:tcBorders>
          </w:tcPr>
          <w:p w:rsidR="00C31389" w:rsidRDefault="00561FBD" w14:paraId="1CADA6C6" w14:textId="77777777">
            <w:pPr>
              <w:pStyle w:val="TableParagraph"/>
              <w:spacing w:before="8" w:line="218" w:lineRule="exact"/>
              <w:ind w:left="281"/>
              <w:rPr>
                <w:b/>
                <w:sz w:val="20"/>
              </w:rPr>
            </w:pPr>
            <w:r>
              <w:rPr>
                <w:b/>
                <w:spacing w:val="-5"/>
                <w:sz w:val="20"/>
              </w:rPr>
              <w:t>76%</w:t>
            </w:r>
          </w:p>
        </w:tc>
        <w:tc>
          <w:tcPr>
            <w:tcW w:w="1035" w:type="dxa"/>
            <w:tcBorders>
              <w:top w:val="double" w:color="B6B6B6" w:sz="4" w:space="0"/>
              <w:bottom w:val="single" w:color="B6B6B6" w:sz="4" w:space="0"/>
            </w:tcBorders>
          </w:tcPr>
          <w:p w:rsidR="00C31389" w:rsidRDefault="00561FBD" w14:paraId="4CE3CBC0" w14:textId="77777777">
            <w:pPr>
              <w:pStyle w:val="TableParagraph"/>
              <w:spacing w:before="8" w:line="218" w:lineRule="exact"/>
              <w:ind w:left="271" w:right="243"/>
              <w:jc w:val="center"/>
              <w:rPr>
                <w:b/>
                <w:sz w:val="20"/>
              </w:rPr>
            </w:pPr>
            <w:r>
              <w:rPr>
                <w:b/>
                <w:spacing w:val="-4"/>
                <w:sz w:val="20"/>
              </w:rPr>
              <w:t>1967</w:t>
            </w:r>
          </w:p>
        </w:tc>
        <w:tc>
          <w:tcPr>
            <w:tcW w:w="941" w:type="dxa"/>
            <w:tcBorders>
              <w:top w:val="double" w:color="B6B6B6" w:sz="4" w:space="0"/>
              <w:bottom w:val="single" w:color="B6B6B6" w:sz="4" w:space="0"/>
            </w:tcBorders>
          </w:tcPr>
          <w:p w:rsidR="00C31389" w:rsidRDefault="00561FBD" w14:paraId="5A0C6C13" w14:textId="77777777">
            <w:pPr>
              <w:pStyle w:val="TableParagraph"/>
              <w:spacing w:before="8" w:line="218" w:lineRule="exact"/>
              <w:ind w:left="258"/>
              <w:rPr>
                <w:b/>
                <w:sz w:val="20"/>
              </w:rPr>
            </w:pPr>
            <w:r>
              <w:rPr>
                <w:b/>
                <w:spacing w:val="-5"/>
                <w:sz w:val="20"/>
              </w:rPr>
              <w:t>18%</w:t>
            </w:r>
          </w:p>
        </w:tc>
        <w:tc>
          <w:tcPr>
            <w:tcW w:w="899" w:type="dxa"/>
            <w:tcBorders>
              <w:top w:val="double" w:color="B6B6B6" w:sz="4" w:space="0"/>
              <w:bottom w:val="single" w:color="B6B6B6" w:sz="4" w:space="0"/>
            </w:tcBorders>
          </w:tcPr>
          <w:p w:rsidR="00C31389" w:rsidRDefault="00561FBD" w14:paraId="299B0140" w14:textId="77777777">
            <w:pPr>
              <w:pStyle w:val="TableParagraph"/>
              <w:spacing w:before="8" w:line="218" w:lineRule="exact"/>
              <w:ind w:left="276" w:right="264"/>
              <w:jc w:val="center"/>
              <w:rPr>
                <w:b/>
                <w:sz w:val="20"/>
              </w:rPr>
            </w:pPr>
            <w:r>
              <w:rPr>
                <w:b/>
                <w:spacing w:val="-5"/>
                <w:sz w:val="20"/>
              </w:rPr>
              <w:t>700</w:t>
            </w:r>
          </w:p>
        </w:tc>
        <w:tc>
          <w:tcPr>
            <w:tcW w:w="1016" w:type="dxa"/>
            <w:tcBorders>
              <w:top w:val="double" w:color="B6B6B6" w:sz="4" w:space="0"/>
              <w:bottom w:val="single" w:color="B6B6B6" w:sz="4" w:space="0"/>
            </w:tcBorders>
          </w:tcPr>
          <w:p w:rsidR="00C31389" w:rsidRDefault="00561FBD" w14:paraId="3A8BC0C1" w14:textId="77777777">
            <w:pPr>
              <w:pStyle w:val="TableParagraph"/>
              <w:spacing w:before="8" w:line="218" w:lineRule="exact"/>
              <w:ind w:left="223" w:right="262"/>
              <w:jc w:val="center"/>
              <w:rPr>
                <w:b/>
                <w:sz w:val="20"/>
              </w:rPr>
            </w:pPr>
            <w:r>
              <w:rPr>
                <w:b/>
                <w:spacing w:val="-5"/>
                <w:sz w:val="20"/>
              </w:rPr>
              <w:t>6%</w:t>
            </w:r>
          </w:p>
        </w:tc>
      </w:tr>
    </w:tbl>
    <w:p w:rsidR="00C31389" w:rsidRDefault="00561FBD" w14:paraId="0DF3B766" w14:textId="77777777">
      <w:pPr>
        <w:spacing w:before="70"/>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59CF75F5" w14:textId="77777777">
      <w:pPr>
        <w:pStyle w:val="BodyText"/>
        <w:spacing w:before="8"/>
        <w:rPr>
          <w:i/>
          <w:sz w:val="20"/>
        </w:rPr>
      </w:pPr>
    </w:p>
    <w:p w:rsidR="00C31389" w:rsidRDefault="00561FBD" w14:paraId="06ED10CC" w14:textId="77777777">
      <w:pPr>
        <w:pStyle w:val="ListParagraph"/>
        <w:numPr>
          <w:ilvl w:val="3"/>
          <w:numId w:val="21"/>
        </w:numPr>
        <w:tabs>
          <w:tab w:val="left" w:pos="1199"/>
        </w:tabs>
        <w:spacing w:before="1"/>
        <w:ind w:left="1199" w:right="849"/>
      </w:pPr>
      <w:r>
        <w:rPr>
          <w:b/>
        </w:rPr>
        <w:t xml:space="preserve">Type and Number of Electrification Equipment </w:t>
      </w:r>
      <w:r>
        <w:t>(e.g., space heating, water heating,</w:t>
      </w:r>
      <w:r>
        <w:rPr>
          <w:spacing w:val="-3"/>
        </w:rPr>
        <w:t xml:space="preserve"> </w:t>
      </w:r>
      <w:r>
        <w:t>cooking</w:t>
      </w:r>
      <w:r>
        <w:rPr>
          <w:spacing w:val="-3"/>
        </w:rPr>
        <w:t xml:space="preserve"> </w:t>
      </w:r>
      <w:r>
        <w:t>equipment,</w:t>
      </w:r>
      <w:r>
        <w:rPr>
          <w:spacing w:val="-3"/>
        </w:rPr>
        <w:t xml:space="preserve"> </w:t>
      </w:r>
      <w:r>
        <w:t>EV)</w:t>
      </w:r>
      <w:r>
        <w:rPr>
          <w:spacing w:val="-3"/>
        </w:rPr>
        <w:t xml:space="preserve"> </w:t>
      </w:r>
      <w:r>
        <w:t>is</w:t>
      </w:r>
      <w:r>
        <w:rPr>
          <w:spacing w:val="-3"/>
        </w:rPr>
        <w:t xml:space="preserve"> </w:t>
      </w:r>
      <w:r>
        <w:t>also</w:t>
      </w:r>
      <w:r>
        <w:rPr>
          <w:spacing w:val="-3"/>
        </w:rPr>
        <w:t xml:space="preserve"> </w:t>
      </w:r>
      <w:r>
        <w:t>a</w:t>
      </w:r>
      <w:r>
        <w:rPr>
          <w:spacing w:val="-3"/>
        </w:rPr>
        <w:t xml:space="preserve"> </w:t>
      </w:r>
      <w:r>
        <w:t>driver</w:t>
      </w:r>
      <w:r>
        <w:rPr>
          <w:spacing w:val="-5"/>
        </w:rPr>
        <w:t xml:space="preserve"> </w:t>
      </w:r>
      <w:r>
        <w:t>for</w:t>
      </w:r>
      <w:r>
        <w:rPr>
          <w:spacing w:val="-3"/>
        </w:rPr>
        <w:t xml:space="preserve"> </w:t>
      </w:r>
      <w:r>
        <w:t>potential</w:t>
      </w:r>
      <w:r>
        <w:rPr>
          <w:spacing w:val="-4"/>
        </w:rPr>
        <w:t xml:space="preserve"> </w:t>
      </w:r>
      <w:r>
        <w:t>panel</w:t>
      </w:r>
      <w:r>
        <w:rPr>
          <w:spacing w:val="-3"/>
        </w:rPr>
        <w:t xml:space="preserve"> </w:t>
      </w:r>
      <w:r>
        <w:t>upgrades</w:t>
      </w:r>
      <w:r>
        <w:rPr>
          <w:spacing w:val="-3"/>
        </w:rPr>
        <w:t xml:space="preserve"> </w:t>
      </w:r>
      <w:r>
        <w:t>and panel size, particularly when multiple systems are included.</w:t>
      </w:r>
    </w:p>
    <w:p w:rsidR="00C31389" w:rsidRDefault="00C31389" w14:paraId="4FAA1EF3" w14:textId="77777777">
      <w:pPr>
        <w:pStyle w:val="BodyText"/>
        <w:spacing w:before="8"/>
        <w:rPr>
          <w:sz w:val="20"/>
        </w:rPr>
      </w:pPr>
    </w:p>
    <w:p w:rsidR="00C31389" w:rsidRDefault="00561FBD" w14:paraId="4C723CFF" w14:textId="77777777">
      <w:pPr>
        <w:pStyle w:val="ListParagraph"/>
        <w:numPr>
          <w:ilvl w:val="3"/>
          <w:numId w:val="21"/>
        </w:numPr>
        <w:tabs>
          <w:tab w:val="left" w:pos="1199"/>
        </w:tabs>
        <w:ind w:left="1199" w:right="433"/>
      </w:pPr>
      <w:r>
        <w:rPr>
          <w:b/>
        </w:rPr>
        <w:t xml:space="preserve">Existing Air Conditioning System Present </w:t>
      </w:r>
      <w:r>
        <w:t>is also an indicator of existing panel size and 220 V–240 V capacity. Homes with existing AC have at least a 100 A panel and the existing circuits can be reused for a new electric heat pump [2].</w:t>
      </w:r>
      <w:r>
        <w:rPr>
          <w:spacing w:val="40"/>
        </w:rPr>
        <w:t xml:space="preserve"> </w:t>
      </w:r>
      <w:r>
        <w:t>Climate zones can al</w:t>
      </w:r>
      <w:r>
        <w:t>so be an indicator of the need for panel upgrades driven by a lack of an existing AC system. AC is more predominant in Southern California and desert</w:t>
      </w:r>
      <w:r>
        <w:rPr>
          <w:spacing w:val="40"/>
        </w:rPr>
        <w:t xml:space="preserve"> </w:t>
      </w:r>
      <w:r>
        <w:t>areas, and accordingly, panels there tend to be larger (200 A). For many Northern California regions where</w:t>
      </w:r>
      <w:r>
        <w:t xml:space="preserve"> AC is atypical, panels may be sized at 100 A or less. The recent</w:t>
      </w:r>
      <w:r>
        <w:rPr>
          <w:spacing w:val="-3"/>
        </w:rPr>
        <w:t xml:space="preserve"> </w:t>
      </w:r>
      <w:r>
        <w:t>RASS</w:t>
      </w:r>
      <w:r>
        <w:rPr>
          <w:spacing w:val="-3"/>
        </w:rPr>
        <w:t xml:space="preserve"> </w:t>
      </w:r>
      <w:r>
        <w:t>study</w:t>
      </w:r>
      <w:r>
        <w:rPr>
          <w:spacing w:val="-3"/>
        </w:rPr>
        <w:t xml:space="preserve"> </w:t>
      </w:r>
      <w:r>
        <w:t>shows</w:t>
      </w:r>
      <w:r>
        <w:rPr>
          <w:spacing w:val="-3"/>
        </w:rPr>
        <w:t xml:space="preserve"> </w:t>
      </w:r>
      <w:r>
        <w:t>that</w:t>
      </w:r>
      <w:r>
        <w:rPr>
          <w:spacing w:val="-3"/>
        </w:rPr>
        <w:t xml:space="preserve"> </w:t>
      </w:r>
      <w:r>
        <w:t>30%</w:t>
      </w:r>
      <w:r>
        <w:rPr>
          <w:spacing w:val="-3"/>
        </w:rPr>
        <w:t xml:space="preserve"> </w:t>
      </w:r>
      <w:r>
        <w:t>of</w:t>
      </w:r>
      <w:r>
        <w:rPr>
          <w:spacing w:val="-3"/>
        </w:rPr>
        <w:t xml:space="preserve"> </w:t>
      </w:r>
      <w:r>
        <w:t>California</w:t>
      </w:r>
      <w:r>
        <w:rPr>
          <w:spacing w:val="-3"/>
        </w:rPr>
        <w:t xml:space="preserve"> </w:t>
      </w:r>
      <w:r>
        <w:t>residential</w:t>
      </w:r>
      <w:r>
        <w:rPr>
          <w:spacing w:val="-4"/>
        </w:rPr>
        <w:t xml:space="preserve"> </w:t>
      </w:r>
      <w:r>
        <w:t>buildings</w:t>
      </w:r>
      <w:r>
        <w:rPr>
          <w:spacing w:val="-4"/>
        </w:rPr>
        <w:t xml:space="preserve"> </w:t>
      </w:r>
      <w:r>
        <w:t>still</w:t>
      </w:r>
      <w:r>
        <w:rPr>
          <w:spacing w:val="-3"/>
        </w:rPr>
        <w:t xml:space="preserve"> </w:t>
      </w:r>
      <w:r>
        <w:t>do</w:t>
      </w:r>
      <w:r>
        <w:rPr>
          <w:spacing w:val="-3"/>
        </w:rPr>
        <w:t xml:space="preserve"> </w:t>
      </w:r>
      <w:r>
        <w:t>not</w:t>
      </w:r>
      <w:r>
        <w:rPr>
          <w:spacing w:val="-3"/>
        </w:rPr>
        <w:t xml:space="preserve"> </w:t>
      </w:r>
      <w:r>
        <w:t>have AC. However, the Technology and Equipment for Clean Heating (TECH) Initiative tracking data shows that the pre</w:t>
      </w:r>
      <w:r>
        <w:t>-retrofit presence or absence of AC does not have any impact on the need for a panel upgrade. For example, for central HVAC HPs in single-family homes, projects where no AC was originally present had a 3% panel</w:t>
      </w:r>
    </w:p>
    <w:p w:rsidR="00C31389" w:rsidRDefault="00C31389" w14:paraId="559AF1FB" w14:textId="77777777">
      <w:pPr>
        <w:pStyle w:val="BodyText"/>
        <w:rPr>
          <w:sz w:val="20"/>
        </w:rPr>
      </w:pPr>
    </w:p>
    <w:p w:rsidR="00C31389" w:rsidRDefault="00561FBD" w14:paraId="344200E0" w14:textId="77777777">
      <w:pPr>
        <w:pStyle w:val="BodyText"/>
        <w:spacing w:before="1"/>
        <w:rPr>
          <w:sz w:val="12"/>
        </w:rPr>
      </w:pPr>
      <w:r>
        <w:rPr>
          <w:noProof/>
        </w:rPr>
        <mc:AlternateContent>
          <mc:Choice Requires="wps">
            <w:drawing>
              <wp:anchor distT="0" distB="0" distL="0" distR="0" simplePos="0" relativeHeight="487711744" behindDoc="1" locked="0" layoutInCell="1" allowOverlap="1" wp14:editId="4A1CC292" wp14:anchorId="7A73DE1C">
                <wp:simplePos x="0" y="0"/>
                <wp:positionH relativeFrom="page">
                  <wp:posOffset>914400</wp:posOffset>
                </wp:positionH>
                <wp:positionV relativeFrom="paragraph">
                  <wp:posOffset>103963</wp:posOffset>
                </wp:positionV>
                <wp:extent cx="1828800" cy="6985"/>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79" style="position:absolute;margin-left:1in;margin-top:8.2pt;width:2in;height:.55pt;z-index:-1560473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" w14:anchorId="3AF030A2">
                <v:path arrowok="t"/>
                <w10:wrap type="topAndBottom" anchorx="page"/>
              </v:shape>
            </w:pict>
          </mc:Fallback>
        </mc:AlternateContent>
      </w:r>
    </w:p>
    <w:p w:rsidR="00C31389" w:rsidRDefault="00561FBD" w14:paraId="63287148" w14:textId="77777777">
      <w:pPr>
        <w:spacing w:before="89"/>
        <w:ind w:left="480"/>
        <w:rPr>
          <w:sz w:val="18"/>
        </w:rPr>
      </w:pPr>
      <w:bookmarkStart w:name="_bookmark290" w:id="385"/>
      <w:bookmarkEnd w:id="385"/>
      <w:r>
        <w:rPr>
          <w:position w:val="6"/>
          <w:sz w:val="12"/>
        </w:rPr>
        <w:t>87</w:t>
      </w:r>
      <w:r>
        <w:rPr>
          <w:spacing w:val="9"/>
          <w:position w:val="6"/>
          <w:sz w:val="12"/>
        </w:rPr>
        <w:t xml:space="preserve"> </w:t>
      </w:r>
      <w:r>
        <w:rPr>
          <w:sz w:val="18"/>
        </w:rPr>
        <w:t>Redwood</w:t>
      </w:r>
      <w:r>
        <w:rPr>
          <w:spacing w:val="-5"/>
          <w:sz w:val="18"/>
        </w:rPr>
        <w:t xml:space="preserve"> </w:t>
      </w:r>
      <w:r>
        <w:rPr>
          <w:sz w:val="18"/>
        </w:rPr>
        <w:t>Energy</w:t>
      </w:r>
      <w:r>
        <w:rPr>
          <w:spacing w:val="-5"/>
          <w:sz w:val="18"/>
        </w:rPr>
        <w:t xml:space="preserve"> </w:t>
      </w:r>
      <w:r>
        <w:rPr>
          <w:sz w:val="18"/>
        </w:rPr>
        <w:t>Website.</w:t>
      </w:r>
      <w:r>
        <w:rPr>
          <w:spacing w:val="-5"/>
          <w:sz w:val="18"/>
        </w:rPr>
        <w:t xml:space="preserve"> </w:t>
      </w:r>
      <w:r>
        <w:rPr>
          <w:sz w:val="18"/>
        </w:rPr>
        <w:t>“Watt</w:t>
      </w:r>
      <w:r>
        <w:rPr>
          <w:spacing w:val="-5"/>
          <w:sz w:val="18"/>
        </w:rPr>
        <w:t xml:space="preserve"> </w:t>
      </w:r>
      <w:r>
        <w:rPr>
          <w:sz w:val="18"/>
        </w:rPr>
        <w:t>Diet</w:t>
      </w:r>
      <w:r>
        <w:rPr>
          <w:spacing w:val="-5"/>
          <w:sz w:val="18"/>
        </w:rPr>
        <w:t xml:space="preserve"> </w:t>
      </w:r>
      <w:r>
        <w:rPr>
          <w:sz w:val="18"/>
        </w:rPr>
        <w:t>Calc</w:t>
      </w:r>
      <w:r>
        <w:rPr>
          <w:sz w:val="18"/>
        </w:rPr>
        <w:t>ulator”.</w:t>
      </w:r>
      <w:r>
        <w:rPr>
          <w:spacing w:val="-5"/>
          <w:sz w:val="18"/>
        </w:rPr>
        <w:t xml:space="preserve"> </w:t>
      </w:r>
      <w:r>
        <w:rPr>
          <w:sz w:val="18"/>
        </w:rPr>
        <w:t>https://redwoodenergy.net/watt-diet-</w:t>
      </w:r>
      <w:r>
        <w:rPr>
          <w:spacing w:val="-2"/>
          <w:sz w:val="18"/>
        </w:rPr>
        <w:t>calculator/</w:t>
      </w:r>
    </w:p>
    <w:p w:rsidR="00C31389" w:rsidRDefault="00C31389" w14:paraId="218EC42E" w14:textId="77777777">
      <w:pPr>
        <w:rPr>
          <w:sz w:val="18"/>
        </w:rPr>
        <w:sectPr w:rsidR="00C31389">
          <w:pgSz w:w="11910" w:h="16840"/>
          <w:pgMar w:top="1660" w:right="1020" w:bottom="1120" w:left="960" w:header="397" w:footer="938" w:gutter="0"/>
          <w:cols w:space="720"/>
        </w:sectPr>
      </w:pPr>
    </w:p>
    <w:p w:rsidR="00C31389" w:rsidRDefault="00C31389" w14:paraId="7D08D733" w14:textId="77777777">
      <w:pPr>
        <w:pStyle w:val="BodyText"/>
        <w:spacing w:before="11"/>
        <w:rPr>
          <w:sz w:val="13"/>
        </w:rPr>
      </w:pPr>
    </w:p>
    <w:p w:rsidR="00C31389" w:rsidRDefault="00561FBD" w14:paraId="5734AC19" w14:textId="77777777">
      <w:pPr>
        <w:pStyle w:val="BodyText"/>
        <w:spacing w:before="92"/>
        <w:ind w:left="1200" w:right="418"/>
      </w:pPr>
      <w:r>
        <w:t>upgrade rate but projects where AC was already present had a 4% panel upgrade rate. This 1% difference is the opposite of the expected trend, but more likely illustrates</w:t>
      </w:r>
      <w:r>
        <w:rPr>
          <w:spacing w:val="-3"/>
        </w:rPr>
        <w:t xml:space="preserve"> </w:t>
      </w:r>
      <w:r>
        <w:t>the</w:t>
      </w:r>
      <w:r>
        <w:rPr>
          <w:spacing w:val="-3"/>
        </w:rPr>
        <w:t xml:space="preserve"> </w:t>
      </w:r>
      <w:r>
        <w:t>uncertainty</w:t>
      </w:r>
      <w:r>
        <w:rPr>
          <w:spacing w:val="-3"/>
        </w:rPr>
        <w:t xml:space="preserve"> </w:t>
      </w:r>
      <w:r>
        <w:t>in</w:t>
      </w:r>
      <w:r>
        <w:rPr>
          <w:spacing w:val="-3"/>
        </w:rPr>
        <w:t xml:space="preserve"> </w:t>
      </w:r>
      <w:r>
        <w:t>how</w:t>
      </w:r>
      <w:r>
        <w:rPr>
          <w:spacing w:val="-4"/>
        </w:rPr>
        <w:t xml:space="preserve"> </w:t>
      </w:r>
      <w:r>
        <w:t>the</w:t>
      </w:r>
      <w:r>
        <w:rPr>
          <w:spacing w:val="-4"/>
        </w:rPr>
        <w:t xml:space="preserve"> </w:t>
      </w:r>
      <w:r>
        <w:t>data</w:t>
      </w:r>
      <w:r>
        <w:rPr>
          <w:spacing w:val="-3"/>
        </w:rPr>
        <w:t xml:space="preserve"> </w:t>
      </w:r>
      <w:r>
        <w:t>was</w:t>
      </w:r>
      <w:r>
        <w:rPr>
          <w:spacing w:val="-3"/>
        </w:rPr>
        <w:t xml:space="preserve"> </w:t>
      </w:r>
      <w:r>
        <w:t>collected.</w:t>
      </w:r>
      <w:r>
        <w:rPr>
          <w:spacing w:val="-3"/>
        </w:rPr>
        <w:t xml:space="preserve"> </w:t>
      </w:r>
      <w:r>
        <w:t>Both</w:t>
      </w:r>
      <w:r>
        <w:rPr>
          <w:spacing w:val="-3"/>
        </w:rPr>
        <w:t xml:space="preserve"> </w:t>
      </w:r>
      <w:r>
        <w:t>rates</w:t>
      </w:r>
      <w:r>
        <w:rPr>
          <w:spacing w:val="-3"/>
        </w:rPr>
        <w:t xml:space="preserve"> </w:t>
      </w:r>
      <w:r>
        <w:t>are</w:t>
      </w:r>
      <w:r>
        <w:rPr>
          <w:spacing w:val="-4"/>
        </w:rPr>
        <w:t xml:space="preserve"> </w:t>
      </w:r>
      <w:r>
        <w:t>below</w:t>
      </w:r>
      <w:r>
        <w:rPr>
          <w:spacing w:val="-4"/>
        </w:rPr>
        <w:t xml:space="preserve"> </w:t>
      </w:r>
      <w:r>
        <w:t>the</w:t>
      </w:r>
      <w:r>
        <w:rPr>
          <w:spacing w:val="-3"/>
        </w:rPr>
        <w:t xml:space="preserve"> </w:t>
      </w:r>
      <w:r>
        <w:t>9% estimated from the 2019 RASS data.</w:t>
      </w:r>
    </w:p>
    <w:p w:rsidR="00C31389" w:rsidRDefault="00C31389" w14:paraId="1ABB1C91" w14:textId="77777777">
      <w:pPr>
        <w:pStyle w:val="BodyText"/>
        <w:spacing w:before="10"/>
        <w:rPr>
          <w:sz w:val="20"/>
        </w:rPr>
      </w:pPr>
    </w:p>
    <w:p w:rsidR="00C31389" w:rsidRDefault="00561FBD" w14:paraId="1743A638" w14:textId="77777777">
      <w:pPr>
        <w:pStyle w:val="BodyText"/>
        <w:ind w:left="479" w:right="418"/>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4"/>
        </w:rPr>
        <w:t xml:space="preserve"> </w:t>
      </w:r>
      <w:r>
        <w:t>estimated</w:t>
      </w:r>
      <w:r>
        <w:rPr>
          <w:spacing w:val="-3"/>
        </w:rPr>
        <w:t xml:space="preserve"> </w:t>
      </w:r>
      <w:r>
        <w:t>percent</w:t>
      </w:r>
      <w:r>
        <w:rPr>
          <w:spacing w:val="-3"/>
        </w:rPr>
        <w:t xml:space="preserve"> </w:t>
      </w:r>
      <w:r>
        <w:t>of</w:t>
      </w:r>
      <w:r>
        <w:rPr>
          <w:spacing w:val="-3"/>
        </w:rPr>
        <w:t xml:space="preserve"> </w:t>
      </w:r>
      <w:r>
        <w:t>homes</w:t>
      </w:r>
      <w:r>
        <w:rPr>
          <w:spacing w:val="-3"/>
        </w:rPr>
        <w:t xml:space="preserve"> </w:t>
      </w:r>
      <w:r>
        <w:t>that</w:t>
      </w:r>
      <w:r>
        <w:rPr>
          <w:spacing w:val="-3"/>
        </w:rPr>
        <w:t xml:space="preserve"> </w:t>
      </w:r>
      <w:r>
        <w:t>would</w:t>
      </w:r>
      <w:r>
        <w:rPr>
          <w:spacing w:val="-3"/>
        </w:rPr>
        <w:t xml:space="preserve"> </w:t>
      </w:r>
      <w:r>
        <w:t>need</w:t>
      </w:r>
      <w:r>
        <w:rPr>
          <w:spacing w:val="-3"/>
        </w:rPr>
        <w:t xml:space="preserve"> </w:t>
      </w:r>
      <w:r>
        <w:t>a</w:t>
      </w:r>
      <w:r>
        <w:rPr>
          <w:spacing w:val="-3"/>
        </w:rPr>
        <w:t xml:space="preserve"> </w:t>
      </w:r>
      <w:r>
        <w:t>panel upgrade for each technology in the PG study.</w:t>
      </w:r>
    </w:p>
    <w:p w:rsidR="00C31389" w:rsidRDefault="00C31389" w14:paraId="194C6705" w14:textId="77777777">
      <w:pPr>
        <w:pStyle w:val="BodyText"/>
        <w:spacing w:before="11"/>
        <w:rPr>
          <w:sz w:val="20"/>
        </w:rPr>
      </w:pPr>
    </w:p>
    <w:p w:rsidR="00C31389" w:rsidRDefault="00561FBD" w14:paraId="2318F8E5" w14:textId="77777777">
      <w:pPr>
        <w:pStyle w:val="Heading7"/>
        <w:ind w:left="1200"/>
      </w:pPr>
      <w:bookmarkStart w:name="_bookmark291" w:id="386"/>
      <w:bookmarkEnd w:id="386"/>
      <w:r>
        <w:t>Table</w:t>
      </w:r>
      <w:r>
        <w:rPr>
          <w:spacing w:val="-8"/>
        </w:rPr>
        <w:t xml:space="preserve"> </w:t>
      </w:r>
      <w:r>
        <w:t>C-7.</w:t>
      </w:r>
      <w:r>
        <w:rPr>
          <w:spacing w:val="-8"/>
        </w:rPr>
        <w:t xml:space="preserve"> </w:t>
      </w:r>
      <w:r>
        <w:t>Summar</w:t>
      </w:r>
      <w:r>
        <w:t>y</w:t>
      </w:r>
      <w:r>
        <w:rPr>
          <w:spacing w:val="-7"/>
        </w:rPr>
        <w:t xml:space="preserve"> </w:t>
      </w:r>
      <w:r>
        <w:t>of</w:t>
      </w:r>
      <w:r>
        <w:rPr>
          <w:spacing w:val="-7"/>
        </w:rPr>
        <w:t xml:space="preserve"> </w:t>
      </w:r>
      <w:r>
        <w:t>Panel</w:t>
      </w:r>
      <w:r>
        <w:rPr>
          <w:spacing w:val="-7"/>
        </w:rPr>
        <w:t xml:space="preserve"> </w:t>
      </w:r>
      <w:r>
        <w:t>Upgrade</w:t>
      </w:r>
      <w:r>
        <w:rPr>
          <w:spacing w:val="-7"/>
        </w:rPr>
        <w:t xml:space="preserve"> </w:t>
      </w:r>
      <w:r>
        <w:t>Necessity</w:t>
      </w:r>
      <w:r>
        <w:rPr>
          <w:spacing w:val="-7"/>
        </w:rPr>
        <w:t xml:space="preserve"> </w:t>
      </w:r>
      <w:r>
        <w:t>by</w:t>
      </w:r>
      <w:r>
        <w:rPr>
          <w:spacing w:val="-7"/>
        </w:rPr>
        <w:t xml:space="preserve"> </w:t>
      </w:r>
      <w:r>
        <w:rPr>
          <w:spacing w:val="-2"/>
        </w:rPr>
        <w:t>Technology</w:t>
      </w:r>
    </w:p>
    <w:p w:rsidR="00C31389" w:rsidRDefault="00C31389" w14:paraId="10112703" w14:textId="77777777">
      <w:pPr>
        <w:pStyle w:val="BodyText"/>
        <w:rPr>
          <w:b/>
          <w:sz w:val="10"/>
        </w:rPr>
      </w:pPr>
    </w:p>
    <w:tbl>
      <w:tblPr>
        <w:tblW w:w="0" w:type="auto"/>
        <w:tblInd w:w="480" w:type="dxa"/>
        <w:tblLayout w:type="fixed"/>
        <w:tblCellMar>
          <w:left w:w="0" w:type="dxa"/>
          <w:right w:w="0" w:type="dxa"/>
        </w:tblCellMar>
        <w:tblLook w:val="01E0" w:firstRow="1" w:lastRow="1" w:firstColumn="1" w:lastColumn="1" w:noHBand="0" w:noVBand="0"/>
      </w:tblPr>
      <w:tblGrid>
        <w:gridCol w:w="1477"/>
        <w:gridCol w:w="1741"/>
        <w:gridCol w:w="1310"/>
        <w:gridCol w:w="4478"/>
      </w:tblGrid>
      <w:tr w:rsidR="00C31389" w14:paraId="2AE18E72" w14:textId="77777777">
        <w:trPr>
          <w:trHeight w:val="739"/>
        </w:trPr>
        <w:tc>
          <w:tcPr>
            <w:tcW w:w="1477" w:type="dxa"/>
            <w:tcBorders>
              <w:bottom w:val="single" w:color="B6B6B6" w:sz="4" w:space="0"/>
            </w:tcBorders>
            <w:shd w:val="clear" w:color="auto" w:fill="92D400"/>
          </w:tcPr>
          <w:p w:rsidR="00C31389" w:rsidRDefault="00561FBD" w14:paraId="7D124BF1" w14:textId="77777777">
            <w:pPr>
              <w:pStyle w:val="TableParagraph"/>
              <w:ind w:left="121" w:right="552"/>
              <w:rPr>
                <w:b/>
                <w:sz w:val="20"/>
              </w:rPr>
            </w:pPr>
            <w:r>
              <w:rPr>
                <w:b/>
                <w:spacing w:val="-2"/>
                <w:sz w:val="20"/>
              </w:rPr>
              <w:t xml:space="preserve">Building </w:t>
            </w:r>
            <w:r>
              <w:rPr>
                <w:b/>
                <w:spacing w:val="-4"/>
                <w:sz w:val="20"/>
              </w:rPr>
              <w:t>Type</w:t>
            </w:r>
          </w:p>
        </w:tc>
        <w:tc>
          <w:tcPr>
            <w:tcW w:w="1741" w:type="dxa"/>
            <w:tcBorders>
              <w:bottom w:val="single" w:color="B6B6B6" w:sz="4" w:space="0"/>
            </w:tcBorders>
            <w:shd w:val="clear" w:color="auto" w:fill="92D400"/>
          </w:tcPr>
          <w:p w:rsidR="00C31389" w:rsidRDefault="00561FBD" w14:paraId="41F8630C" w14:textId="77777777">
            <w:pPr>
              <w:pStyle w:val="TableParagraph"/>
              <w:spacing w:before="154"/>
              <w:ind w:left="160"/>
              <w:rPr>
                <w:b/>
                <w:sz w:val="20"/>
              </w:rPr>
            </w:pPr>
            <w:r>
              <w:rPr>
                <w:b/>
                <w:spacing w:val="-2"/>
                <w:sz w:val="20"/>
              </w:rPr>
              <w:t>Technology</w:t>
            </w:r>
          </w:p>
        </w:tc>
        <w:tc>
          <w:tcPr>
            <w:tcW w:w="1310" w:type="dxa"/>
            <w:tcBorders>
              <w:bottom w:val="single" w:color="B6B6B6" w:sz="4" w:space="0"/>
            </w:tcBorders>
            <w:shd w:val="clear" w:color="auto" w:fill="92D400"/>
          </w:tcPr>
          <w:p w:rsidR="00C31389" w:rsidRDefault="00561FBD" w14:paraId="70FC9EFE" w14:textId="77777777">
            <w:pPr>
              <w:pStyle w:val="TableParagraph"/>
              <w:ind w:left="121" w:right="160"/>
              <w:rPr>
                <w:b/>
                <w:sz w:val="20"/>
              </w:rPr>
            </w:pPr>
            <w:r>
              <w:rPr>
                <w:b/>
                <w:sz w:val="20"/>
              </w:rPr>
              <w:t>%</w:t>
            </w:r>
            <w:r>
              <w:rPr>
                <w:b/>
                <w:spacing w:val="-14"/>
                <w:sz w:val="20"/>
              </w:rPr>
              <w:t xml:space="preserve"> </w:t>
            </w:r>
            <w:r>
              <w:rPr>
                <w:b/>
                <w:sz w:val="20"/>
              </w:rPr>
              <w:t xml:space="preserve">Needing </w:t>
            </w:r>
            <w:r>
              <w:rPr>
                <w:b/>
                <w:spacing w:val="-2"/>
                <w:sz w:val="20"/>
              </w:rPr>
              <w:t>Upgrade</w:t>
            </w:r>
          </w:p>
        </w:tc>
        <w:tc>
          <w:tcPr>
            <w:tcW w:w="4478" w:type="dxa"/>
            <w:tcBorders>
              <w:bottom w:val="single" w:color="B6B6B6" w:sz="4" w:space="0"/>
            </w:tcBorders>
            <w:shd w:val="clear" w:color="auto" w:fill="92D400"/>
          </w:tcPr>
          <w:p w:rsidR="00C31389" w:rsidRDefault="00561FBD" w14:paraId="266C7C19" w14:textId="77777777">
            <w:pPr>
              <w:pStyle w:val="TableParagraph"/>
              <w:spacing w:before="154"/>
              <w:ind w:left="163"/>
              <w:rPr>
                <w:b/>
                <w:sz w:val="20"/>
              </w:rPr>
            </w:pPr>
            <w:r>
              <w:rPr>
                <w:b/>
                <w:spacing w:val="-2"/>
                <w:sz w:val="20"/>
              </w:rPr>
              <w:t>Comments</w:t>
            </w:r>
          </w:p>
        </w:tc>
      </w:tr>
      <w:tr w:rsidR="00C31389" w14:paraId="4BF8E3E9" w14:textId="77777777">
        <w:trPr>
          <w:trHeight w:val="970"/>
        </w:trPr>
        <w:tc>
          <w:tcPr>
            <w:tcW w:w="1477" w:type="dxa"/>
            <w:tcBorders>
              <w:top w:val="single" w:color="B6B6B6" w:sz="4" w:space="0"/>
              <w:bottom w:val="single" w:color="B6B6B6" w:sz="4" w:space="0"/>
            </w:tcBorders>
          </w:tcPr>
          <w:p w:rsidR="00C31389" w:rsidRDefault="00561FBD" w14:paraId="2A226A35" w14:textId="77777777">
            <w:pPr>
              <w:pStyle w:val="TableParagraph"/>
              <w:spacing w:before="41"/>
              <w:ind w:left="115" w:right="155"/>
              <w:rPr>
                <w:sz w:val="20"/>
              </w:rPr>
            </w:pPr>
            <w:r>
              <w:rPr>
                <w:sz w:val="20"/>
              </w:rPr>
              <w:t>Single</w:t>
            </w:r>
            <w:r>
              <w:rPr>
                <w:spacing w:val="-14"/>
                <w:sz w:val="20"/>
              </w:rPr>
              <w:t xml:space="preserve"> </w:t>
            </w:r>
            <w:r>
              <w:rPr>
                <w:sz w:val="20"/>
              </w:rPr>
              <w:t xml:space="preserve">Family </w:t>
            </w:r>
            <w:r>
              <w:rPr>
                <w:spacing w:val="-4"/>
                <w:sz w:val="20"/>
              </w:rPr>
              <w:t xml:space="preserve">and </w:t>
            </w:r>
            <w:r>
              <w:rPr>
                <w:spacing w:val="-2"/>
                <w:sz w:val="20"/>
              </w:rPr>
              <w:t>Multifamily</w:t>
            </w:r>
          </w:p>
        </w:tc>
        <w:tc>
          <w:tcPr>
            <w:tcW w:w="1741" w:type="dxa"/>
            <w:tcBorders>
              <w:top w:val="single" w:color="B6B6B6" w:sz="4" w:space="0"/>
              <w:bottom w:val="single" w:color="B6B6B6" w:sz="4" w:space="0"/>
            </w:tcBorders>
          </w:tcPr>
          <w:p w:rsidR="00C31389" w:rsidRDefault="00C31389" w14:paraId="05512EFA" w14:textId="77777777">
            <w:pPr>
              <w:pStyle w:val="TableParagraph"/>
              <w:spacing w:before="6"/>
              <w:rPr>
                <w:b/>
                <w:sz w:val="23"/>
              </w:rPr>
            </w:pPr>
          </w:p>
          <w:p w:rsidR="00C31389" w:rsidRDefault="00561FBD" w14:paraId="1683D762" w14:textId="77777777">
            <w:pPr>
              <w:pStyle w:val="TableParagraph"/>
              <w:spacing w:before="0"/>
              <w:ind w:left="160"/>
              <w:rPr>
                <w:sz w:val="20"/>
              </w:rPr>
            </w:pPr>
            <w:r>
              <w:rPr>
                <w:sz w:val="20"/>
              </w:rPr>
              <w:t>Clothes</w:t>
            </w:r>
            <w:r>
              <w:rPr>
                <w:spacing w:val="-4"/>
                <w:sz w:val="20"/>
              </w:rPr>
              <w:t xml:space="preserve"> </w:t>
            </w:r>
            <w:r>
              <w:rPr>
                <w:spacing w:val="-2"/>
                <w:sz w:val="20"/>
              </w:rPr>
              <w:t>Dryer</w:t>
            </w:r>
          </w:p>
        </w:tc>
        <w:tc>
          <w:tcPr>
            <w:tcW w:w="1310" w:type="dxa"/>
            <w:tcBorders>
              <w:top w:val="single" w:color="B6B6B6" w:sz="4" w:space="0"/>
              <w:bottom w:val="single" w:color="B6B6B6" w:sz="4" w:space="0"/>
            </w:tcBorders>
          </w:tcPr>
          <w:p w:rsidR="00C31389" w:rsidRDefault="00C31389" w14:paraId="5AEA84AB" w14:textId="77777777">
            <w:pPr>
              <w:pStyle w:val="TableParagraph"/>
              <w:spacing w:before="6"/>
              <w:rPr>
                <w:b/>
                <w:sz w:val="23"/>
              </w:rPr>
            </w:pPr>
          </w:p>
          <w:p w:rsidR="00C31389" w:rsidRDefault="00561FBD" w14:paraId="71F08B8E" w14:textId="77777777">
            <w:pPr>
              <w:pStyle w:val="TableParagraph"/>
              <w:spacing w:before="0"/>
              <w:ind w:left="121"/>
              <w:rPr>
                <w:sz w:val="20"/>
              </w:rPr>
            </w:pPr>
            <w:r>
              <w:rPr>
                <w:spacing w:val="-5"/>
                <w:sz w:val="20"/>
              </w:rPr>
              <w:t>0%</w:t>
            </w:r>
          </w:p>
        </w:tc>
        <w:tc>
          <w:tcPr>
            <w:tcW w:w="4478" w:type="dxa"/>
            <w:tcBorders>
              <w:top w:val="single" w:color="B6B6B6" w:sz="4" w:space="0"/>
              <w:bottom w:val="single" w:color="B6B6B6" w:sz="4" w:space="0"/>
            </w:tcBorders>
          </w:tcPr>
          <w:p w:rsidR="00C31389" w:rsidRDefault="00561FBD" w14:paraId="3426B4F5" w14:textId="77777777">
            <w:pPr>
              <w:pStyle w:val="TableParagraph"/>
              <w:spacing w:before="41"/>
              <w:ind w:left="163"/>
              <w:rPr>
                <w:sz w:val="20"/>
              </w:rPr>
            </w:pPr>
            <w:r>
              <w:rPr>
                <w:sz w:val="20"/>
              </w:rPr>
              <w:t>Per</w:t>
            </w:r>
            <w:r>
              <w:rPr>
                <w:spacing w:val="-5"/>
                <w:sz w:val="20"/>
              </w:rPr>
              <w:t xml:space="preserve"> </w:t>
            </w:r>
            <w:r>
              <w:rPr>
                <w:sz w:val="20"/>
              </w:rPr>
              <w:t>the</w:t>
            </w:r>
            <w:r>
              <w:rPr>
                <w:spacing w:val="-5"/>
                <w:sz w:val="20"/>
              </w:rPr>
              <w:t xml:space="preserve"> </w:t>
            </w:r>
            <w:r>
              <w:rPr>
                <w:sz w:val="20"/>
              </w:rPr>
              <w:t>Pecan</w:t>
            </w:r>
            <w:r>
              <w:rPr>
                <w:spacing w:val="-5"/>
                <w:sz w:val="20"/>
              </w:rPr>
              <w:t xml:space="preserve"> </w:t>
            </w:r>
            <w:r>
              <w:rPr>
                <w:sz w:val="20"/>
              </w:rPr>
              <w:t>Street</w:t>
            </w:r>
            <w:r>
              <w:rPr>
                <w:spacing w:val="-6"/>
                <w:sz w:val="20"/>
              </w:rPr>
              <w:t xml:space="preserve"> </w:t>
            </w:r>
            <w:r>
              <w:rPr>
                <w:sz w:val="20"/>
              </w:rPr>
              <w:t>study,</w:t>
            </w:r>
            <w:r>
              <w:rPr>
                <w:spacing w:val="-5"/>
                <w:sz w:val="20"/>
              </w:rPr>
              <w:t xml:space="preserve"> </w:t>
            </w:r>
            <w:r>
              <w:rPr>
                <w:sz w:val="20"/>
              </w:rPr>
              <w:t>almost</w:t>
            </w:r>
            <w:r>
              <w:rPr>
                <w:spacing w:val="-5"/>
                <w:sz w:val="20"/>
              </w:rPr>
              <w:t xml:space="preserve"> </w:t>
            </w:r>
            <w:r>
              <w:rPr>
                <w:sz w:val="20"/>
              </w:rPr>
              <w:t>all</w:t>
            </w:r>
            <w:r>
              <w:rPr>
                <w:spacing w:val="-5"/>
                <w:sz w:val="20"/>
              </w:rPr>
              <w:t xml:space="preserve"> </w:t>
            </w:r>
            <w:r>
              <w:rPr>
                <w:sz w:val="20"/>
              </w:rPr>
              <w:t xml:space="preserve">homes’ panels are sized to accommodate an electric </w:t>
            </w:r>
            <w:r>
              <w:rPr>
                <w:spacing w:val="-2"/>
                <w:sz w:val="20"/>
              </w:rPr>
              <w:t>dryer.</w:t>
            </w:r>
          </w:p>
        </w:tc>
      </w:tr>
      <w:tr w:rsidR="00C31389" w14:paraId="03142C0C" w14:textId="77777777">
        <w:trPr>
          <w:trHeight w:val="1659"/>
        </w:trPr>
        <w:tc>
          <w:tcPr>
            <w:tcW w:w="1477" w:type="dxa"/>
            <w:tcBorders>
              <w:top w:val="single" w:color="B6B6B6" w:sz="4" w:space="0"/>
              <w:bottom w:val="single" w:color="B6B6B6" w:sz="4" w:space="0"/>
            </w:tcBorders>
          </w:tcPr>
          <w:p w:rsidR="00C31389" w:rsidRDefault="00C31389" w14:paraId="264C315F" w14:textId="77777777">
            <w:pPr>
              <w:pStyle w:val="TableParagraph"/>
              <w:spacing w:before="0"/>
              <w:rPr>
                <w:b/>
              </w:rPr>
            </w:pPr>
          </w:p>
          <w:p w:rsidR="00C31389" w:rsidRDefault="00561FBD" w14:paraId="540EC72D" w14:textId="77777777">
            <w:pPr>
              <w:pStyle w:val="TableParagraph"/>
              <w:spacing w:before="133"/>
              <w:ind w:left="115" w:right="155"/>
              <w:rPr>
                <w:sz w:val="20"/>
              </w:rPr>
            </w:pPr>
            <w:r>
              <w:rPr>
                <w:sz w:val="20"/>
              </w:rPr>
              <w:t>Single</w:t>
            </w:r>
            <w:r>
              <w:rPr>
                <w:spacing w:val="-14"/>
                <w:sz w:val="20"/>
              </w:rPr>
              <w:t xml:space="preserve"> </w:t>
            </w:r>
            <w:r>
              <w:rPr>
                <w:sz w:val="20"/>
              </w:rPr>
              <w:t xml:space="preserve">Family </w:t>
            </w:r>
            <w:r>
              <w:rPr>
                <w:spacing w:val="-4"/>
                <w:sz w:val="20"/>
              </w:rPr>
              <w:t xml:space="preserve">and </w:t>
            </w:r>
            <w:r>
              <w:rPr>
                <w:spacing w:val="-2"/>
                <w:sz w:val="20"/>
              </w:rPr>
              <w:t>Multifamily</w:t>
            </w:r>
          </w:p>
        </w:tc>
        <w:tc>
          <w:tcPr>
            <w:tcW w:w="1741" w:type="dxa"/>
            <w:tcBorders>
              <w:top w:val="single" w:color="B6B6B6" w:sz="4" w:space="0"/>
              <w:bottom w:val="single" w:color="B6B6B6" w:sz="4" w:space="0"/>
            </w:tcBorders>
          </w:tcPr>
          <w:p w:rsidR="00C31389" w:rsidRDefault="00C31389" w14:paraId="55FBF5FE" w14:textId="77777777">
            <w:pPr>
              <w:pStyle w:val="TableParagraph"/>
              <w:spacing w:before="0"/>
              <w:rPr>
                <w:b/>
              </w:rPr>
            </w:pPr>
          </w:p>
          <w:p w:rsidR="00C31389" w:rsidRDefault="00C31389" w14:paraId="3E18F9A6" w14:textId="77777777">
            <w:pPr>
              <w:pStyle w:val="TableParagraph"/>
              <w:spacing w:before="6"/>
              <w:rPr>
                <w:b/>
                <w:sz w:val="21"/>
              </w:rPr>
            </w:pPr>
          </w:p>
          <w:p w:rsidR="00C31389" w:rsidRDefault="00561FBD" w14:paraId="5F2E301E" w14:textId="77777777">
            <w:pPr>
              <w:pStyle w:val="TableParagraph"/>
              <w:spacing w:before="0"/>
              <w:ind w:left="160"/>
              <w:rPr>
                <w:sz w:val="20"/>
              </w:rPr>
            </w:pPr>
            <w:r>
              <w:rPr>
                <w:sz w:val="20"/>
              </w:rPr>
              <w:t>Heat</w:t>
            </w:r>
            <w:r>
              <w:rPr>
                <w:spacing w:val="-14"/>
                <w:sz w:val="20"/>
              </w:rPr>
              <w:t xml:space="preserve"> </w:t>
            </w:r>
            <w:r>
              <w:rPr>
                <w:sz w:val="20"/>
              </w:rPr>
              <w:t>Pump</w:t>
            </w:r>
            <w:r>
              <w:rPr>
                <w:spacing w:val="-14"/>
                <w:sz w:val="20"/>
              </w:rPr>
              <w:t xml:space="preserve"> </w:t>
            </w:r>
            <w:r>
              <w:rPr>
                <w:sz w:val="20"/>
              </w:rPr>
              <w:t xml:space="preserve">Pool </w:t>
            </w:r>
            <w:r>
              <w:rPr>
                <w:spacing w:val="-2"/>
                <w:sz w:val="20"/>
              </w:rPr>
              <w:t>Heater</w:t>
            </w:r>
          </w:p>
        </w:tc>
        <w:tc>
          <w:tcPr>
            <w:tcW w:w="1310" w:type="dxa"/>
            <w:tcBorders>
              <w:top w:val="single" w:color="B6B6B6" w:sz="4" w:space="0"/>
              <w:bottom w:val="single" w:color="B6B6B6" w:sz="4" w:space="0"/>
            </w:tcBorders>
          </w:tcPr>
          <w:p w:rsidR="00C31389" w:rsidRDefault="00C31389" w14:paraId="09F8CE70" w14:textId="77777777">
            <w:pPr>
              <w:pStyle w:val="TableParagraph"/>
              <w:spacing w:before="0"/>
              <w:rPr>
                <w:b/>
              </w:rPr>
            </w:pPr>
          </w:p>
          <w:p w:rsidR="00C31389" w:rsidRDefault="00C31389" w14:paraId="29144281" w14:textId="77777777">
            <w:pPr>
              <w:pStyle w:val="TableParagraph"/>
              <w:spacing w:before="5"/>
              <w:rPr>
                <w:b/>
                <w:sz w:val="31"/>
              </w:rPr>
            </w:pPr>
          </w:p>
          <w:p w:rsidR="00C31389" w:rsidRDefault="00561FBD" w14:paraId="094821F6" w14:textId="77777777">
            <w:pPr>
              <w:pStyle w:val="TableParagraph"/>
              <w:spacing w:before="0"/>
              <w:ind w:left="121"/>
              <w:rPr>
                <w:sz w:val="20"/>
              </w:rPr>
            </w:pPr>
            <w:r>
              <w:rPr>
                <w:spacing w:val="-5"/>
                <w:sz w:val="20"/>
              </w:rPr>
              <w:t>50%</w:t>
            </w:r>
          </w:p>
        </w:tc>
        <w:tc>
          <w:tcPr>
            <w:tcW w:w="4478" w:type="dxa"/>
            <w:tcBorders>
              <w:top w:val="single" w:color="B6B6B6" w:sz="4" w:space="0"/>
              <w:bottom w:val="single" w:color="B6B6B6" w:sz="4" w:space="0"/>
            </w:tcBorders>
          </w:tcPr>
          <w:p w:rsidR="00C31389" w:rsidRDefault="00561FBD" w14:paraId="2F4B9EB4" w14:textId="77777777">
            <w:pPr>
              <w:pStyle w:val="TableParagraph"/>
              <w:ind w:left="163" w:right="154"/>
              <w:rPr>
                <w:sz w:val="20"/>
              </w:rPr>
            </w:pPr>
            <w:r>
              <w:rPr>
                <w:sz w:val="20"/>
              </w:rPr>
              <w:t>None of the sources specifically addressed pool</w:t>
            </w:r>
            <w:r>
              <w:rPr>
                <w:spacing w:val="-5"/>
                <w:sz w:val="20"/>
              </w:rPr>
              <w:t xml:space="preserve"> </w:t>
            </w:r>
            <w:r>
              <w:rPr>
                <w:sz w:val="20"/>
              </w:rPr>
              <w:t>heating</w:t>
            </w:r>
            <w:r>
              <w:rPr>
                <w:spacing w:val="-6"/>
                <w:sz w:val="20"/>
              </w:rPr>
              <w:t xml:space="preserve"> </w:t>
            </w:r>
            <w:r>
              <w:rPr>
                <w:sz w:val="20"/>
              </w:rPr>
              <w:t>equipment.</w:t>
            </w:r>
            <w:r>
              <w:rPr>
                <w:spacing w:val="-5"/>
                <w:sz w:val="20"/>
              </w:rPr>
              <w:t xml:space="preserve"> </w:t>
            </w:r>
            <w:r>
              <w:rPr>
                <w:sz w:val="20"/>
              </w:rPr>
              <w:t>Pool</w:t>
            </w:r>
            <w:r>
              <w:rPr>
                <w:spacing w:val="-5"/>
                <w:sz w:val="20"/>
              </w:rPr>
              <w:t xml:space="preserve"> </w:t>
            </w:r>
            <w:r>
              <w:rPr>
                <w:sz w:val="20"/>
              </w:rPr>
              <w:t>heat</w:t>
            </w:r>
            <w:r>
              <w:rPr>
                <w:spacing w:val="-5"/>
                <w:sz w:val="20"/>
              </w:rPr>
              <w:t xml:space="preserve"> </w:t>
            </w:r>
            <w:r>
              <w:rPr>
                <w:sz w:val="20"/>
              </w:rPr>
              <w:t>pumps</w:t>
            </w:r>
            <w:r>
              <w:rPr>
                <w:spacing w:val="-4"/>
                <w:sz w:val="20"/>
              </w:rPr>
              <w:t xml:space="preserve"> </w:t>
            </w:r>
            <w:r>
              <w:rPr>
                <w:sz w:val="20"/>
              </w:rPr>
              <w:t>can require</w:t>
            </w:r>
            <w:r>
              <w:rPr>
                <w:spacing w:val="-7"/>
                <w:sz w:val="20"/>
              </w:rPr>
              <w:t xml:space="preserve"> </w:t>
            </w:r>
            <w:r>
              <w:rPr>
                <w:sz w:val="20"/>
              </w:rPr>
              <w:t>up</w:t>
            </w:r>
            <w:r>
              <w:rPr>
                <w:spacing w:val="-6"/>
                <w:sz w:val="20"/>
              </w:rPr>
              <w:t xml:space="preserve"> </w:t>
            </w:r>
            <w:r>
              <w:rPr>
                <w:sz w:val="20"/>
              </w:rPr>
              <w:t>to</w:t>
            </w:r>
            <w:r>
              <w:rPr>
                <w:spacing w:val="-6"/>
                <w:sz w:val="20"/>
              </w:rPr>
              <w:t xml:space="preserve"> </w:t>
            </w:r>
            <w:r>
              <w:rPr>
                <w:sz w:val="20"/>
              </w:rPr>
              <w:t>50</w:t>
            </w:r>
            <w:r>
              <w:rPr>
                <w:spacing w:val="-6"/>
                <w:sz w:val="20"/>
              </w:rPr>
              <w:t xml:space="preserve"> </w:t>
            </w:r>
            <w:r>
              <w:rPr>
                <w:sz w:val="20"/>
              </w:rPr>
              <w:t>amps.</w:t>
            </w:r>
            <w:r>
              <w:rPr>
                <w:spacing w:val="-36"/>
                <w:sz w:val="20"/>
              </w:rPr>
              <w:t xml:space="preserve"> </w:t>
            </w:r>
            <w:hyperlink w:history="1" w:anchor="_bookmark292">
              <w:r>
                <w:rPr>
                  <w:sz w:val="20"/>
                  <w:vertAlign w:val="superscript"/>
                </w:rPr>
                <w:t>88</w:t>
              </w:r>
            </w:hyperlink>
            <w:r>
              <w:rPr>
                <w:spacing w:val="-6"/>
                <w:sz w:val="20"/>
              </w:rPr>
              <w:t xml:space="preserve"> </w:t>
            </w:r>
            <w:r>
              <w:rPr>
                <w:sz w:val="20"/>
              </w:rPr>
              <w:t>Many</w:t>
            </w:r>
            <w:r>
              <w:rPr>
                <w:spacing w:val="-5"/>
                <w:sz w:val="20"/>
              </w:rPr>
              <w:t xml:space="preserve"> </w:t>
            </w:r>
            <w:r>
              <w:rPr>
                <w:sz w:val="20"/>
              </w:rPr>
              <w:t>inground</w:t>
            </w:r>
            <w:r>
              <w:rPr>
                <w:spacing w:val="-6"/>
                <w:sz w:val="20"/>
              </w:rPr>
              <w:t xml:space="preserve"> </w:t>
            </w:r>
            <w:r>
              <w:rPr>
                <w:sz w:val="20"/>
              </w:rPr>
              <w:t>pools have a subpanel installed, but not all have enough</w:t>
            </w:r>
            <w:r>
              <w:rPr>
                <w:spacing w:val="-5"/>
                <w:sz w:val="20"/>
              </w:rPr>
              <w:t xml:space="preserve"> </w:t>
            </w:r>
            <w:r>
              <w:rPr>
                <w:sz w:val="20"/>
              </w:rPr>
              <w:t>capacity,</w:t>
            </w:r>
            <w:r>
              <w:rPr>
                <w:spacing w:val="-5"/>
                <w:sz w:val="20"/>
              </w:rPr>
              <w:t xml:space="preserve"> </w:t>
            </w:r>
            <w:r>
              <w:rPr>
                <w:sz w:val="20"/>
              </w:rPr>
              <w:t>thus</w:t>
            </w:r>
            <w:r>
              <w:rPr>
                <w:spacing w:val="-5"/>
                <w:sz w:val="20"/>
              </w:rPr>
              <w:t xml:space="preserve"> </w:t>
            </w:r>
            <w:r>
              <w:rPr>
                <w:sz w:val="20"/>
              </w:rPr>
              <w:t>requiring</w:t>
            </w:r>
            <w:r>
              <w:rPr>
                <w:spacing w:val="-5"/>
                <w:sz w:val="20"/>
              </w:rPr>
              <w:t xml:space="preserve"> </w:t>
            </w:r>
            <w:r>
              <w:rPr>
                <w:sz w:val="20"/>
              </w:rPr>
              <w:t>an</w:t>
            </w:r>
            <w:r>
              <w:rPr>
                <w:spacing w:val="-5"/>
                <w:sz w:val="20"/>
              </w:rPr>
              <w:t xml:space="preserve"> </w:t>
            </w:r>
            <w:r>
              <w:rPr>
                <w:sz w:val="20"/>
              </w:rPr>
              <w:t>upgrade</w:t>
            </w:r>
            <w:r>
              <w:rPr>
                <w:spacing w:val="-5"/>
                <w:sz w:val="20"/>
              </w:rPr>
              <w:t xml:space="preserve"> </w:t>
            </w:r>
            <w:r>
              <w:rPr>
                <w:sz w:val="20"/>
              </w:rPr>
              <w:t>to the</w:t>
            </w:r>
            <w:r>
              <w:rPr>
                <w:spacing w:val="-7"/>
                <w:sz w:val="20"/>
              </w:rPr>
              <w:t xml:space="preserve"> </w:t>
            </w:r>
            <w:r>
              <w:rPr>
                <w:sz w:val="20"/>
              </w:rPr>
              <w:t>subpanel</w:t>
            </w:r>
            <w:r>
              <w:rPr>
                <w:spacing w:val="-4"/>
                <w:sz w:val="20"/>
              </w:rPr>
              <w:t xml:space="preserve"> </w:t>
            </w:r>
            <w:r>
              <w:rPr>
                <w:sz w:val="20"/>
              </w:rPr>
              <w:t>and/or</w:t>
            </w:r>
            <w:r>
              <w:rPr>
                <w:spacing w:val="-3"/>
                <w:sz w:val="20"/>
              </w:rPr>
              <w:t xml:space="preserve"> </w:t>
            </w:r>
            <w:r>
              <w:rPr>
                <w:sz w:val="20"/>
              </w:rPr>
              <w:t>the</w:t>
            </w:r>
            <w:r>
              <w:rPr>
                <w:spacing w:val="-4"/>
                <w:sz w:val="20"/>
              </w:rPr>
              <w:t xml:space="preserve"> </w:t>
            </w:r>
            <w:r>
              <w:rPr>
                <w:sz w:val="20"/>
              </w:rPr>
              <w:t>home’s</w:t>
            </w:r>
            <w:r>
              <w:rPr>
                <w:spacing w:val="-4"/>
                <w:sz w:val="20"/>
              </w:rPr>
              <w:t xml:space="preserve"> </w:t>
            </w:r>
            <w:r>
              <w:rPr>
                <w:sz w:val="20"/>
              </w:rPr>
              <w:t>main</w:t>
            </w:r>
            <w:r>
              <w:rPr>
                <w:spacing w:val="-3"/>
                <w:sz w:val="20"/>
              </w:rPr>
              <w:t xml:space="preserve"> </w:t>
            </w:r>
            <w:r>
              <w:rPr>
                <w:sz w:val="20"/>
              </w:rPr>
              <w:t>panel.</w:t>
            </w:r>
            <w:r>
              <w:rPr>
                <w:spacing w:val="-37"/>
                <w:sz w:val="20"/>
              </w:rPr>
              <w:t xml:space="preserve"> </w:t>
            </w:r>
            <w:hyperlink w:history="1" w:anchor="_bookmark293">
              <w:r>
                <w:rPr>
                  <w:spacing w:val="-5"/>
                  <w:sz w:val="20"/>
                  <w:vertAlign w:val="superscript"/>
                </w:rPr>
                <w:t>89</w:t>
              </w:r>
            </w:hyperlink>
          </w:p>
        </w:tc>
      </w:tr>
      <w:tr w:rsidR="00C31389" w14:paraId="208D3F14" w14:textId="77777777">
        <w:trPr>
          <w:trHeight w:val="1890"/>
        </w:trPr>
        <w:tc>
          <w:tcPr>
            <w:tcW w:w="1477" w:type="dxa"/>
            <w:tcBorders>
              <w:top w:val="single" w:color="B6B6B6" w:sz="4" w:space="0"/>
              <w:bottom w:val="single" w:color="B6B6B6" w:sz="4" w:space="0"/>
            </w:tcBorders>
          </w:tcPr>
          <w:p w:rsidR="00C31389" w:rsidRDefault="00C31389" w14:paraId="37EA74DE" w14:textId="77777777">
            <w:pPr>
              <w:pStyle w:val="TableParagraph"/>
              <w:spacing w:before="0"/>
              <w:rPr>
                <w:b/>
              </w:rPr>
            </w:pPr>
          </w:p>
          <w:p w:rsidR="00C31389" w:rsidRDefault="00C31389" w14:paraId="38923E72" w14:textId="77777777">
            <w:pPr>
              <w:pStyle w:val="TableParagraph"/>
              <w:spacing w:before="0"/>
              <w:rPr>
                <w:b/>
              </w:rPr>
            </w:pPr>
          </w:p>
          <w:p w:rsidR="00C31389" w:rsidRDefault="00C31389" w14:paraId="5D726511" w14:textId="77777777">
            <w:pPr>
              <w:pStyle w:val="TableParagraph"/>
              <w:spacing w:before="6"/>
              <w:rPr>
                <w:b/>
                <w:sz w:val="19"/>
              </w:rPr>
            </w:pPr>
          </w:p>
          <w:p w:rsidR="00C31389" w:rsidRDefault="00561FBD" w14:paraId="089C2C39" w14:textId="77777777">
            <w:pPr>
              <w:pStyle w:val="TableParagraph"/>
              <w:spacing w:before="1"/>
              <w:ind w:left="115"/>
              <w:rPr>
                <w:sz w:val="20"/>
              </w:rPr>
            </w:pPr>
            <w:r>
              <w:rPr>
                <w:sz w:val="20"/>
              </w:rPr>
              <w:t>Single</w:t>
            </w:r>
            <w:r>
              <w:rPr>
                <w:spacing w:val="-6"/>
                <w:sz w:val="20"/>
              </w:rPr>
              <w:t xml:space="preserve"> </w:t>
            </w:r>
            <w:r>
              <w:rPr>
                <w:spacing w:val="-2"/>
                <w:sz w:val="20"/>
              </w:rPr>
              <w:t>Family</w:t>
            </w:r>
          </w:p>
        </w:tc>
        <w:tc>
          <w:tcPr>
            <w:tcW w:w="1741" w:type="dxa"/>
            <w:tcBorders>
              <w:top w:val="single" w:color="B6B6B6" w:sz="4" w:space="0"/>
              <w:bottom w:val="single" w:color="B6B6B6" w:sz="4" w:space="0"/>
            </w:tcBorders>
          </w:tcPr>
          <w:p w:rsidR="00C31389" w:rsidRDefault="00C31389" w14:paraId="6A594186" w14:textId="77777777">
            <w:pPr>
              <w:pStyle w:val="TableParagraph"/>
              <w:spacing w:before="0"/>
              <w:rPr>
                <w:b/>
              </w:rPr>
            </w:pPr>
          </w:p>
          <w:p w:rsidR="00C31389" w:rsidRDefault="00C31389" w14:paraId="7D33A212" w14:textId="77777777">
            <w:pPr>
              <w:pStyle w:val="TableParagraph"/>
              <w:spacing w:before="6"/>
              <w:rPr>
                <w:b/>
                <w:sz w:val="31"/>
              </w:rPr>
            </w:pPr>
          </w:p>
          <w:p w:rsidR="00C31389" w:rsidRDefault="00561FBD" w14:paraId="40DD7810" w14:textId="77777777">
            <w:pPr>
              <w:pStyle w:val="TableParagraph"/>
              <w:spacing w:before="0"/>
              <w:ind w:left="160" w:right="319"/>
              <w:rPr>
                <w:sz w:val="20"/>
              </w:rPr>
            </w:pPr>
            <w:r>
              <w:rPr>
                <w:spacing w:val="-2"/>
                <w:sz w:val="20"/>
              </w:rPr>
              <w:t>Induction Cooktop</w:t>
            </w:r>
          </w:p>
        </w:tc>
        <w:tc>
          <w:tcPr>
            <w:tcW w:w="1310" w:type="dxa"/>
            <w:tcBorders>
              <w:top w:val="single" w:color="B6B6B6" w:sz="4" w:space="0"/>
              <w:bottom w:val="single" w:color="B6B6B6" w:sz="4" w:space="0"/>
            </w:tcBorders>
          </w:tcPr>
          <w:p w:rsidR="00C31389" w:rsidRDefault="00C31389" w14:paraId="0B53CA78" w14:textId="77777777">
            <w:pPr>
              <w:pStyle w:val="TableParagraph"/>
              <w:spacing w:before="0"/>
              <w:rPr>
                <w:b/>
              </w:rPr>
            </w:pPr>
          </w:p>
          <w:p w:rsidR="00C31389" w:rsidRDefault="00C31389" w14:paraId="288B0A1A" w14:textId="77777777">
            <w:pPr>
              <w:pStyle w:val="TableParagraph"/>
              <w:spacing w:before="0"/>
              <w:rPr>
                <w:b/>
              </w:rPr>
            </w:pPr>
          </w:p>
          <w:p w:rsidR="00C31389" w:rsidRDefault="00C31389" w14:paraId="790F5D3C" w14:textId="77777777">
            <w:pPr>
              <w:pStyle w:val="TableParagraph"/>
              <w:spacing w:before="6"/>
              <w:rPr>
                <w:b/>
                <w:sz w:val="19"/>
              </w:rPr>
            </w:pPr>
          </w:p>
          <w:p w:rsidR="00C31389" w:rsidRDefault="00561FBD" w14:paraId="5D78C62C" w14:textId="77777777">
            <w:pPr>
              <w:pStyle w:val="TableParagraph"/>
              <w:spacing w:before="1"/>
              <w:ind w:left="121"/>
              <w:rPr>
                <w:sz w:val="20"/>
              </w:rPr>
            </w:pPr>
            <w:r>
              <w:rPr>
                <w:spacing w:val="-5"/>
                <w:sz w:val="20"/>
              </w:rPr>
              <w:t>55%</w:t>
            </w:r>
          </w:p>
        </w:tc>
        <w:tc>
          <w:tcPr>
            <w:tcW w:w="4478" w:type="dxa"/>
            <w:tcBorders>
              <w:top w:val="single" w:color="B6B6B6" w:sz="4" w:space="0"/>
              <w:bottom w:val="single" w:color="B6B6B6" w:sz="4" w:space="0"/>
            </w:tcBorders>
          </w:tcPr>
          <w:p w:rsidR="00C31389" w:rsidRDefault="00561FBD" w14:paraId="7D577E17" w14:textId="77777777">
            <w:pPr>
              <w:pStyle w:val="TableParagraph"/>
              <w:spacing w:before="41"/>
              <w:ind w:left="163" w:right="137"/>
              <w:rPr>
                <w:sz w:val="20"/>
              </w:rPr>
            </w:pPr>
            <w:r>
              <w:rPr>
                <w:sz w:val="20"/>
              </w:rPr>
              <w:t>Given the relatively high amp draw of a</w:t>
            </w:r>
            <w:r>
              <w:rPr>
                <w:spacing w:val="40"/>
                <w:sz w:val="20"/>
              </w:rPr>
              <w:t xml:space="preserve"> </w:t>
            </w:r>
            <w:r>
              <w:rPr>
                <w:sz w:val="20"/>
              </w:rPr>
              <w:t>cooktop (at least 40 amps per the Watt Diet calculator),</w:t>
            </w:r>
            <w:r>
              <w:rPr>
                <w:spacing w:val="-8"/>
                <w:sz w:val="20"/>
              </w:rPr>
              <w:t xml:space="preserve"> </w:t>
            </w:r>
            <w:r>
              <w:rPr>
                <w:sz w:val="20"/>
              </w:rPr>
              <w:t>the</w:t>
            </w:r>
            <w:r>
              <w:rPr>
                <w:spacing w:val="-8"/>
                <w:sz w:val="20"/>
              </w:rPr>
              <w:t xml:space="preserve"> </w:t>
            </w:r>
            <w:r>
              <w:rPr>
                <w:sz w:val="20"/>
              </w:rPr>
              <w:t>Guidehouse</w:t>
            </w:r>
            <w:r>
              <w:rPr>
                <w:spacing w:val="-8"/>
                <w:sz w:val="20"/>
              </w:rPr>
              <w:t xml:space="preserve"> </w:t>
            </w:r>
            <w:r>
              <w:rPr>
                <w:sz w:val="20"/>
              </w:rPr>
              <w:t>team</w:t>
            </w:r>
            <w:r>
              <w:rPr>
                <w:spacing w:val="-8"/>
                <w:sz w:val="20"/>
              </w:rPr>
              <w:t xml:space="preserve"> </w:t>
            </w:r>
            <w:r>
              <w:rPr>
                <w:sz w:val="20"/>
              </w:rPr>
              <w:t>assumes</w:t>
            </w:r>
            <w:r>
              <w:rPr>
                <w:spacing w:val="-7"/>
                <w:sz w:val="20"/>
              </w:rPr>
              <w:t xml:space="preserve"> </w:t>
            </w:r>
            <w:r>
              <w:rPr>
                <w:sz w:val="20"/>
              </w:rPr>
              <w:t>any homes with a</w:t>
            </w:r>
            <w:r>
              <w:rPr>
                <w:spacing w:val="40"/>
                <w:sz w:val="20"/>
              </w:rPr>
              <w:t xml:space="preserve"> </w:t>
            </w:r>
            <w:r>
              <w:rPr>
                <w:sz w:val="20"/>
              </w:rPr>
              <w:t xml:space="preserve">panel &lt;100 amps would need to </w:t>
            </w:r>
            <w:r>
              <w:rPr>
                <w:sz w:val="20"/>
              </w:rPr>
              <w:t>upgrade.</w:t>
            </w:r>
            <w:r>
              <w:rPr>
                <w:spacing w:val="-4"/>
                <w:sz w:val="20"/>
              </w:rPr>
              <w:t xml:space="preserve"> </w:t>
            </w:r>
            <w:r>
              <w:rPr>
                <w:sz w:val="20"/>
              </w:rPr>
              <w:t>Available</w:t>
            </w:r>
            <w:r>
              <w:rPr>
                <w:spacing w:val="-4"/>
                <w:sz w:val="20"/>
              </w:rPr>
              <w:t xml:space="preserve"> </w:t>
            </w:r>
            <w:r>
              <w:rPr>
                <w:sz w:val="20"/>
              </w:rPr>
              <w:t>data</w:t>
            </w:r>
            <w:r>
              <w:rPr>
                <w:spacing w:val="-5"/>
                <w:sz w:val="20"/>
              </w:rPr>
              <w:t xml:space="preserve"> </w:t>
            </w:r>
            <w:r>
              <w:rPr>
                <w:sz w:val="20"/>
              </w:rPr>
              <w:t>suggests</w:t>
            </w:r>
            <w:r>
              <w:rPr>
                <w:spacing w:val="-3"/>
                <w:sz w:val="20"/>
              </w:rPr>
              <w:t xml:space="preserve"> </w:t>
            </w:r>
            <w:r>
              <w:rPr>
                <w:sz w:val="20"/>
              </w:rPr>
              <w:t>that</w:t>
            </w:r>
            <w:r>
              <w:rPr>
                <w:spacing w:val="-4"/>
                <w:sz w:val="20"/>
              </w:rPr>
              <w:t xml:space="preserve"> </w:t>
            </w:r>
            <w:r>
              <w:rPr>
                <w:sz w:val="20"/>
              </w:rPr>
              <w:t>between 45% and 65% of single-family homes have a 100 amp or smaller panel.</w:t>
            </w:r>
          </w:p>
        </w:tc>
      </w:tr>
      <w:tr w:rsidR="00C31389" w14:paraId="40F736C1" w14:textId="77777777">
        <w:trPr>
          <w:trHeight w:val="969"/>
        </w:trPr>
        <w:tc>
          <w:tcPr>
            <w:tcW w:w="1477" w:type="dxa"/>
            <w:tcBorders>
              <w:top w:val="single" w:color="B6B6B6" w:sz="4" w:space="0"/>
              <w:bottom w:val="single" w:color="B6B6B6" w:sz="4" w:space="0"/>
            </w:tcBorders>
          </w:tcPr>
          <w:p w:rsidR="00C31389" w:rsidRDefault="00C31389" w14:paraId="65B9AC85" w14:textId="77777777">
            <w:pPr>
              <w:pStyle w:val="TableParagraph"/>
              <w:spacing w:before="6"/>
              <w:rPr>
                <w:b/>
                <w:sz w:val="23"/>
              </w:rPr>
            </w:pPr>
          </w:p>
          <w:p w:rsidR="00C31389" w:rsidRDefault="00561FBD" w14:paraId="1F1C4462" w14:textId="77777777">
            <w:pPr>
              <w:pStyle w:val="TableParagraph"/>
              <w:spacing w:before="0"/>
              <w:ind w:left="115"/>
              <w:rPr>
                <w:sz w:val="20"/>
              </w:rPr>
            </w:pPr>
            <w:r>
              <w:rPr>
                <w:spacing w:val="-2"/>
                <w:sz w:val="20"/>
              </w:rPr>
              <w:t>Multifamily</w:t>
            </w:r>
          </w:p>
        </w:tc>
        <w:tc>
          <w:tcPr>
            <w:tcW w:w="1741" w:type="dxa"/>
            <w:tcBorders>
              <w:top w:val="single" w:color="B6B6B6" w:sz="4" w:space="0"/>
              <w:bottom w:val="single" w:color="B6B6B6" w:sz="4" w:space="0"/>
            </w:tcBorders>
          </w:tcPr>
          <w:p w:rsidR="00C31389" w:rsidRDefault="00561FBD" w14:paraId="1A7823D1" w14:textId="77777777">
            <w:pPr>
              <w:pStyle w:val="TableParagraph"/>
              <w:spacing w:before="155"/>
              <w:ind w:left="160" w:right="319"/>
              <w:rPr>
                <w:sz w:val="20"/>
              </w:rPr>
            </w:pPr>
            <w:r>
              <w:rPr>
                <w:spacing w:val="-2"/>
                <w:sz w:val="20"/>
              </w:rPr>
              <w:t>Induction Cooktop</w:t>
            </w:r>
          </w:p>
        </w:tc>
        <w:tc>
          <w:tcPr>
            <w:tcW w:w="1310" w:type="dxa"/>
            <w:tcBorders>
              <w:top w:val="single" w:color="B6B6B6" w:sz="4" w:space="0"/>
              <w:bottom w:val="single" w:color="B6B6B6" w:sz="4" w:space="0"/>
            </w:tcBorders>
          </w:tcPr>
          <w:p w:rsidR="00C31389" w:rsidRDefault="00C31389" w14:paraId="0E02D5F5" w14:textId="77777777">
            <w:pPr>
              <w:pStyle w:val="TableParagraph"/>
              <w:spacing w:before="6"/>
              <w:rPr>
                <w:b/>
                <w:sz w:val="23"/>
              </w:rPr>
            </w:pPr>
          </w:p>
          <w:p w:rsidR="00C31389" w:rsidRDefault="00561FBD" w14:paraId="1DD6C0FE" w14:textId="77777777">
            <w:pPr>
              <w:pStyle w:val="TableParagraph"/>
              <w:spacing w:before="0"/>
              <w:ind w:left="121"/>
              <w:rPr>
                <w:sz w:val="20"/>
              </w:rPr>
            </w:pPr>
            <w:r>
              <w:rPr>
                <w:spacing w:val="-5"/>
                <w:sz w:val="20"/>
              </w:rPr>
              <w:t>65%</w:t>
            </w:r>
          </w:p>
        </w:tc>
        <w:tc>
          <w:tcPr>
            <w:tcW w:w="4478" w:type="dxa"/>
            <w:tcBorders>
              <w:top w:val="single" w:color="B6B6B6" w:sz="4" w:space="0"/>
              <w:bottom w:val="single" w:color="B6B6B6" w:sz="4" w:space="0"/>
            </w:tcBorders>
          </w:tcPr>
          <w:p w:rsidR="00C31389" w:rsidRDefault="00561FBD" w14:paraId="52B69176" w14:textId="77777777">
            <w:pPr>
              <w:pStyle w:val="TableParagraph"/>
              <w:ind w:left="163" w:right="154"/>
              <w:rPr>
                <w:sz w:val="20"/>
              </w:rPr>
            </w:pPr>
            <w:r>
              <w:rPr>
                <w:sz w:val="20"/>
              </w:rPr>
              <w:t>Limited</w:t>
            </w:r>
            <w:r>
              <w:rPr>
                <w:spacing w:val="-8"/>
                <w:sz w:val="20"/>
              </w:rPr>
              <w:t xml:space="preserve"> </w:t>
            </w:r>
            <w:r>
              <w:rPr>
                <w:sz w:val="20"/>
              </w:rPr>
              <w:t>data</w:t>
            </w:r>
            <w:r>
              <w:rPr>
                <w:spacing w:val="-9"/>
                <w:sz w:val="20"/>
              </w:rPr>
              <w:t xml:space="preserve"> </w:t>
            </w:r>
            <w:r>
              <w:rPr>
                <w:sz w:val="20"/>
              </w:rPr>
              <w:t>suggests</w:t>
            </w:r>
            <w:r>
              <w:rPr>
                <w:spacing w:val="-7"/>
                <w:sz w:val="20"/>
              </w:rPr>
              <w:t xml:space="preserve"> </w:t>
            </w:r>
            <w:r>
              <w:rPr>
                <w:sz w:val="20"/>
              </w:rPr>
              <w:t>that</w:t>
            </w:r>
            <w:r>
              <w:rPr>
                <w:spacing w:val="-10"/>
                <w:sz w:val="20"/>
              </w:rPr>
              <w:t xml:space="preserve"> </w:t>
            </w:r>
            <w:r>
              <w:rPr>
                <w:sz w:val="20"/>
              </w:rPr>
              <w:t>approximately</w:t>
            </w:r>
            <w:r>
              <w:rPr>
                <w:spacing w:val="-7"/>
                <w:sz w:val="20"/>
              </w:rPr>
              <w:t xml:space="preserve"> </w:t>
            </w:r>
            <w:r>
              <w:rPr>
                <w:sz w:val="20"/>
              </w:rPr>
              <w:t>65% of multifamily homes have a 100 amp or smaller panel.</w:t>
            </w:r>
          </w:p>
        </w:tc>
      </w:tr>
      <w:tr w:rsidR="00C31389" w14:paraId="1A52ACDE" w14:textId="77777777">
        <w:trPr>
          <w:trHeight w:val="1200"/>
        </w:trPr>
        <w:tc>
          <w:tcPr>
            <w:tcW w:w="1477" w:type="dxa"/>
            <w:tcBorders>
              <w:top w:val="single" w:color="B6B6B6" w:sz="4" w:space="0"/>
              <w:bottom w:val="single" w:color="B6B6B6" w:sz="4" w:space="0"/>
            </w:tcBorders>
          </w:tcPr>
          <w:p w:rsidR="00C31389" w:rsidRDefault="00561FBD" w14:paraId="66FC709D" w14:textId="77777777">
            <w:pPr>
              <w:pStyle w:val="TableParagraph"/>
              <w:spacing w:before="155"/>
              <w:ind w:left="115" w:right="155"/>
              <w:rPr>
                <w:sz w:val="20"/>
              </w:rPr>
            </w:pPr>
            <w:r>
              <w:rPr>
                <w:sz w:val="20"/>
              </w:rPr>
              <w:t>Single</w:t>
            </w:r>
            <w:r>
              <w:rPr>
                <w:spacing w:val="-14"/>
                <w:sz w:val="20"/>
              </w:rPr>
              <w:t xml:space="preserve"> </w:t>
            </w:r>
            <w:r>
              <w:rPr>
                <w:sz w:val="20"/>
              </w:rPr>
              <w:t xml:space="preserve">Family </w:t>
            </w:r>
            <w:r>
              <w:rPr>
                <w:spacing w:val="-4"/>
                <w:sz w:val="20"/>
              </w:rPr>
              <w:t xml:space="preserve">and </w:t>
            </w:r>
            <w:r>
              <w:rPr>
                <w:spacing w:val="-2"/>
                <w:sz w:val="20"/>
              </w:rPr>
              <w:t>Multifamily</w:t>
            </w:r>
          </w:p>
        </w:tc>
        <w:tc>
          <w:tcPr>
            <w:tcW w:w="1741" w:type="dxa"/>
            <w:tcBorders>
              <w:top w:val="single" w:color="B6B6B6" w:sz="4" w:space="0"/>
              <w:bottom w:val="single" w:color="B6B6B6" w:sz="4" w:space="0"/>
            </w:tcBorders>
          </w:tcPr>
          <w:p w:rsidR="00C31389" w:rsidRDefault="00561FBD" w14:paraId="7D792374" w14:textId="77777777">
            <w:pPr>
              <w:pStyle w:val="TableParagraph"/>
              <w:spacing w:before="41"/>
              <w:ind w:left="160" w:right="319"/>
              <w:rPr>
                <w:sz w:val="20"/>
              </w:rPr>
            </w:pPr>
            <w:r>
              <w:rPr>
                <w:sz w:val="20"/>
              </w:rPr>
              <w:t xml:space="preserve">Heat Pump </w:t>
            </w:r>
            <w:r>
              <w:rPr>
                <w:spacing w:val="-2"/>
                <w:sz w:val="20"/>
              </w:rPr>
              <w:t xml:space="preserve">replacing </w:t>
            </w:r>
            <w:r>
              <w:rPr>
                <w:sz w:val="20"/>
              </w:rPr>
              <w:t>Central</w:t>
            </w:r>
            <w:r>
              <w:rPr>
                <w:spacing w:val="-14"/>
                <w:sz w:val="20"/>
              </w:rPr>
              <w:t xml:space="preserve"> </w:t>
            </w:r>
            <w:r>
              <w:rPr>
                <w:sz w:val="20"/>
              </w:rPr>
              <w:t xml:space="preserve">HVAC </w:t>
            </w:r>
            <w:r>
              <w:rPr>
                <w:spacing w:val="-2"/>
                <w:sz w:val="20"/>
              </w:rPr>
              <w:t>System</w:t>
            </w:r>
          </w:p>
        </w:tc>
        <w:tc>
          <w:tcPr>
            <w:tcW w:w="1310" w:type="dxa"/>
            <w:tcBorders>
              <w:top w:val="single" w:color="B6B6B6" w:sz="4" w:space="0"/>
              <w:bottom w:val="single" w:color="B6B6B6" w:sz="4" w:space="0"/>
            </w:tcBorders>
          </w:tcPr>
          <w:p w:rsidR="00C31389" w:rsidRDefault="00C31389" w14:paraId="2B5212FA" w14:textId="77777777">
            <w:pPr>
              <w:pStyle w:val="TableParagraph"/>
              <w:spacing w:before="0"/>
              <w:rPr>
                <w:b/>
              </w:rPr>
            </w:pPr>
          </w:p>
          <w:p w:rsidR="00C31389" w:rsidRDefault="00561FBD" w14:paraId="06AEC1C9" w14:textId="77777777">
            <w:pPr>
              <w:pStyle w:val="TableParagraph"/>
              <w:spacing w:before="133"/>
              <w:ind w:left="121"/>
              <w:rPr>
                <w:sz w:val="20"/>
              </w:rPr>
            </w:pPr>
            <w:r>
              <w:rPr>
                <w:spacing w:val="-5"/>
                <w:sz w:val="20"/>
              </w:rPr>
              <w:t>0%</w:t>
            </w:r>
          </w:p>
        </w:tc>
        <w:tc>
          <w:tcPr>
            <w:tcW w:w="4478" w:type="dxa"/>
            <w:tcBorders>
              <w:top w:val="single" w:color="B6B6B6" w:sz="4" w:space="0"/>
              <w:bottom w:val="single" w:color="B6B6B6" w:sz="4" w:space="0"/>
            </w:tcBorders>
          </w:tcPr>
          <w:p w:rsidR="00C31389" w:rsidRDefault="00561FBD" w14:paraId="794D0200" w14:textId="77777777">
            <w:pPr>
              <w:pStyle w:val="TableParagraph"/>
              <w:spacing w:before="155"/>
              <w:ind w:left="163" w:right="154"/>
              <w:rPr>
                <w:sz w:val="20"/>
              </w:rPr>
            </w:pPr>
            <w:r>
              <w:rPr>
                <w:sz w:val="20"/>
              </w:rPr>
              <w:t>One</w:t>
            </w:r>
            <w:r>
              <w:rPr>
                <w:spacing w:val="-7"/>
                <w:sz w:val="20"/>
              </w:rPr>
              <w:t xml:space="preserve"> </w:t>
            </w:r>
            <w:r>
              <w:rPr>
                <w:sz w:val="20"/>
              </w:rPr>
              <w:t>study</w:t>
            </w:r>
            <w:r>
              <w:rPr>
                <w:spacing w:val="-7"/>
                <w:sz w:val="20"/>
              </w:rPr>
              <w:t xml:space="preserve"> </w:t>
            </w:r>
            <w:r>
              <w:rPr>
                <w:sz w:val="20"/>
              </w:rPr>
              <w:t>suggested</w:t>
            </w:r>
            <w:r>
              <w:rPr>
                <w:spacing w:val="-7"/>
                <w:sz w:val="20"/>
              </w:rPr>
              <w:t xml:space="preserve"> </w:t>
            </w:r>
            <w:r>
              <w:rPr>
                <w:sz w:val="20"/>
              </w:rPr>
              <w:t>that</w:t>
            </w:r>
            <w:r>
              <w:rPr>
                <w:spacing w:val="-7"/>
                <w:sz w:val="20"/>
              </w:rPr>
              <w:t xml:space="preserve"> </w:t>
            </w:r>
            <w:r>
              <w:rPr>
                <w:sz w:val="20"/>
              </w:rPr>
              <w:t>homes</w:t>
            </w:r>
            <w:r>
              <w:rPr>
                <w:spacing w:val="-6"/>
                <w:sz w:val="20"/>
              </w:rPr>
              <w:t xml:space="preserve"> </w:t>
            </w:r>
            <w:r>
              <w:rPr>
                <w:sz w:val="20"/>
              </w:rPr>
              <w:t>with</w:t>
            </w:r>
            <w:r>
              <w:rPr>
                <w:spacing w:val="-7"/>
                <w:sz w:val="20"/>
              </w:rPr>
              <w:t xml:space="preserve"> </w:t>
            </w:r>
            <w:r>
              <w:rPr>
                <w:sz w:val="20"/>
              </w:rPr>
              <w:t>existing air conditioning would be able to reuse the existing circuits for an electric heat pump [2].</w:t>
            </w:r>
          </w:p>
        </w:tc>
      </w:tr>
      <w:tr w:rsidR="00C31389" w14:paraId="18D19E2C" w14:textId="77777777">
        <w:trPr>
          <w:trHeight w:val="2349"/>
        </w:trPr>
        <w:tc>
          <w:tcPr>
            <w:tcW w:w="1477" w:type="dxa"/>
            <w:tcBorders>
              <w:top w:val="single" w:color="B6B6B6" w:sz="4" w:space="0"/>
              <w:bottom w:val="single" w:color="B6B6B6" w:sz="4" w:space="0"/>
            </w:tcBorders>
          </w:tcPr>
          <w:p w:rsidR="00C31389" w:rsidRDefault="00C31389" w14:paraId="70BE85A8" w14:textId="77777777">
            <w:pPr>
              <w:pStyle w:val="TableParagraph"/>
              <w:spacing w:before="0"/>
              <w:rPr>
                <w:b/>
              </w:rPr>
            </w:pPr>
          </w:p>
          <w:p w:rsidR="00C31389" w:rsidRDefault="00C31389" w14:paraId="581A6309" w14:textId="77777777">
            <w:pPr>
              <w:pStyle w:val="TableParagraph"/>
              <w:spacing w:before="0"/>
              <w:rPr>
                <w:b/>
              </w:rPr>
            </w:pPr>
          </w:p>
          <w:p w:rsidR="00C31389" w:rsidRDefault="00C31389" w14:paraId="0756246B" w14:textId="77777777">
            <w:pPr>
              <w:pStyle w:val="TableParagraph"/>
              <w:spacing w:before="0"/>
              <w:rPr>
                <w:b/>
              </w:rPr>
            </w:pPr>
          </w:p>
          <w:p w:rsidR="00C31389" w:rsidRDefault="00C31389" w14:paraId="0EBFCFAD" w14:textId="77777777">
            <w:pPr>
              <w:pStyle w:val="TableParagraph"/>
              <w:spacing w:before="6"/>
              <w:rPr>
                <w:b/>
                <w:sz w:val="17"/>
              </w:rPr>
            </w:pPr>
          </w:p>
          <w:p w:rsidR="00C31389" w:rsidRDefault="00561FBD" w14:paraId="6F8ED92A" w14:textId="77777777">
            <w:pPr>
              <w:pStyle w:val="TableParagraph"/>
              <w:spacing w:before="0"/>
              <w:ind w:left="115"/>
              <w:rPr>
                <w:sz w:val="20"/>
              </w:rPr>
            </w:pPr>
            <w:r>
              <w:rPr>
                <w:sz w:val="20"/>
              </w:rPr>
              <w:t>Single</w:t>
            </w:r>
            <w:r>
              <w:rPr>
                <w:spacing w:val="-6"/>
                <w:sz w:val="20"/>
              </w:rPr>
              <w:t xml:space="preserve"> </w:t>
            </w:r>
            <w:r>
              <w:rPr>
                <w:spacing w:val="-2"/>
                <w:sz w:val="20"/>
              </w:rPr>
              <w:t>Family</w:t>
            </w:r>
          </w:p>
        </w:tc>
        <w:tc>
          <w:tcPr>
            <w:tcW w:w="1741" w:type="dxa"/>
            <w:tcBorders>
              <w:top w:val="single" w:color="B6B6B6" w:sz="4" w:space="0"/>
              <w:bottom w:val="single" w:color="B6B6B6" w:sz="4" w:space="0"/>
            </w:tcBorders>
          </w:tcPr>
          <w:p w:rsidR="00C31389" w:rsidRDefault="00C31389" w14:paraId="562E1EBC" w14:textId="77777777">
            <w:pPr>
              <w:pStyle w:val="TableParagraph"/>
              <w:spacing w:before="0"/>
              <w:rPr>
                <w:b/>
              </w:rPr>
            </w:pPr>
          </w:p>
          <w:p w:rsidR="00C31389" w:rsidRDefault="00C31389" w14:paraId="425E0384" w14:textId="77777777">
            <w:pPr>
              <w:pStyle w:val="TableParagraph"/>
              <w:spacing w:before="0"/>
              <w:rPr>
                <w:b/>
              </w:rPr>
            </w:pPr>
          </w:p>
          <w:p w:rsidR="00C31389" w:rsidRDefault="00C31389" w14:paraId="2BB9A40A" w14:textId="77777777">
            <w:pPr>
              <w:pStyle w:val="TableParagraph"/>
              <w:spacing w:before="5"/>
              <w:rPr>
                <w:b/>
                <w:sz w:val="19"/>
              </w:rPr>
            </w:pPr>
          </w:p>
          <w:p w:rsidR="00C31389" w:rsidRDefault="00561FBD" w14:paraId="0BD6D93F" w14:textId="77777777">
            <w:pPr>
              <w:pStyle w:val="TableParagraph"/>
              <w:spacing w:before="0"/>
              <w:ind w:left="160" w:right="374"/>
              <w:rPr>
                <w:sz w:val="20"/>
              </w:rPr>
            </w:pPr>
            <w:r>
              <w:rPr>
                <w:sz w:val="20"/>
              </w:rPr>
              <w:t xml:space="preserve">Heat Pump </w:t>
            </w:r>
            <w:r>
              <w:rPr>
                <w:spacing w:val="-2"/>
                <w:sz w:val="20"/>
              </w:rPr>
              <w:t xml:space="preserve">replacing </w:t>
            </w:r>
            <w:r>
              <w:rPr>
                <w:sz w:val="20"/>
              </w:rPr>
              <w:t>Furnace</w:t>
            </w:r>
            <w:r>
              <w:rPr>
                <w:spacing w:val="-14"/>
                <w:sz w:val="20"/>
              </w:rPr>
              <w:t xml:space="preserve"> </w:t>
            </w:r>
            <w:r>
              <w:rPr>
                <w:sz w:val="20"/>
              </w:rPr>
              <w:t>Only</w:t>
            </w:r>
          </w:p>
        </w:tc>
        <w:tc>
          <w:tcPr>
            <w:tcW w:w="1310" w:type="dxa"/>
            <w:tcBorders>
              <w:top w:val="single" w:color="B6B6B6" w:sz="4" w:space="0"/>
              <w:bottom w:val="single" w:color="B6B6B6" w:sz="4" w:space="0"/>
            </w:tcBorders>
          </w:tcPr>
          <w:p w:rsidR="00C31389" w:rsidRDefault="00C31389" w14:paraId="4C58EF8C" w14:textId="77777777">
            <w:pPr>
              <w:pStyle w:val="TableParagraph"/>
              <w:spacing w:before="0"/>
              <w:rPr>
                <w:b/>
              </w:rPr>
            </w:pPr>
          </w:p>
          <w:p w:rsidR="00C31389" w:rsidRDefault="00C31389" w14:paraId="0AEAA767" w14:textId="77777777">
            <w:pPr>
              <w:pStyle w:val="TableParagraph"/>
              <w:spacing w:before="0"/>
              <w:rPr>
                <w:b/>
              </w:rPr>
            </w:pPr>
          </w:p>
          <w:p w:rsidR="00C31389" w:rsidRDefault="00C31389" w14:paraId="6724D037" w14:textId="77777777">
            <w:pPr>
              <w:pStyle w:val="TableParagraph"/>
              <w:spacing w:before="0"/>
              <w:rPr>
                <w:b/>
              </w:rPr>
            </w:pPr>
          </w:p>
          <w:p w:rsidR="00C31389" w:rsidRDefault="00C31389" w14:paraId="0A54B7DC" w14:textId="77777777">
            <w:pPr>
              <w:pStyle w:val="TableParagraph"/>
              <w:spacing w:before="6"/>
              <w:rPr>
                <w:b/>
                <w:sz w:val="17"/>
              </w:rPr>
            </w:pPr>
          </w:p>
          <w:p w:rsidR="00C31389" w:rsidRDefault="00561FBD" w14:paraId="6F1E1948" w14:textId="77777777">
            <w:pPr>
              <w:pStyle w:val="TableParagraph"/>
              <w:spacing w:before="0"/>
              <w:ind w:left="121"/>
              <w:rPr>
                <w:sz w:val="20"/>
              </w:rPr>
            </w:pPr>
            <w:r>
              <w:rPr>
                <w:spacing w:val="-5"/>
                <w:sz w:val="20"/>
              </w:rPr>
              <w:t>35%</w:t>
            </w:r>
          </w:p>
        </w:tc>
        <w:tc>
          <w:tcPr>
            <w:tcW w:w="4478" w:type="dxa"/>
            <w:tcBorders>
              <w:top w:val="single" w:color="B6B6B6" w:sz="4" w:space="0"/>
              <w:bottom w:val="single" w:color="B6B6B6" w:sz="4" w:space="0"/>
            </w:tcBorders>
          </w:tcPr>
          <w:p w:rsidR="00C31389" w:rsidRDefault="00561FBD" w14:paraId="70BCDF5B" w14:textId="77777777">
            <w:pPr>
              <w:pStyle w:val="TableParagraph"/>
              <w:ind w:left="163" w:right="154"/>
              <w:rPr>
                <w:sz w:val="20"/>
              </w:rPr>
            </w:pPr>
            <w:r>
              <w:rPr>
                <w:sz w:val="20"/>
              </w:rPr>
              <w:t>Heat pump amp draw scales with the size of the heat pump, which scales with the size of the</w:t>
            </w:r>
            <w:r>
              <w:rPr>
                <w:spacing w:val="-2"/>
                <w:sz w:val="20"/>
              </w:rPr>
              <w:t xml:space="preserve"> </w:t>
            </w:r>
            <w:r>
              <w:rPr>
                <w:sz w:val="20"/>
              </w:rPr>
              <w:t>home.</w:t>
            </w:r>
            <w:r>
              <w:rPr>
                <w:spacing w:val="-2"/>
                <w:sz w:val="20"/>
              </w:rPr>
              <w:t xml:space="preserve"> </w:t>
            </w:r>
            <w:r>
              <w:rPr>
                <w:sz w:val="20"/>
              </w:rPr>
              <w:t>Most</w:t>
            </w:r>
            <w:r>
              <w:rPr>
                <w:spacing w:val="-2"/>
                <w:sz w:val="20"/>
              </w:rPr>
              <w:t xml:space="preserve"> </w:t>
            </w:r>
            <w:r>
              <w:rPr>
                <w:sz w:val="20"/>
              </w:rPr>
              <w:t>homes</w:t>
            </w:r>
            <w:r>
              <w:rPr>
                <w:spacing w:val="-1"/>
                <w:sz w:val="20"/>
              </w:rPr>
              <w:t xml:space="preserve"> </w:t>
            </w:r>
            <w:r>
              <w:rPr>
                <w:sz w:val="20"/>
              </w:rPr>
              <w:t>without</w:t>
            </w:r>
            <w:r>
              <w:rPr>
                <w:spacing w:val="-2"/>
                <w:sz w:val="20"/>
              </w:rPr>
              <w:t xml:space="preserve"> </w:t>
            </w:r>
            <w:r>
              <w:rPr>
                <w:sz w:val="20"/>
              </w:rPr>
              <w:t>AC</w:t>
            </w:r>
            <w:r>
              <w:rPr>
                <w:spacing w:val="-2"/>
                <w:sz w:val="20"/>
              </w:rPr>
              <w:t xml:space="preserve"> </w:t>
            </w:r>
            <w:r>
              <w:rPr>
                <w:sz w:val="20"/>
              </w:rPr>
              <w:t>have</w:t>
            </w:r>
            <w:r>
              <w:rPr>
                <w:spacing w:val="-2"/>
                <w:sz w:val="20"/>
              </w:rPr>
              <w:t xml:space="preserve"> </w:t>
            </w:r>
            <w:r>
              <w:rPr>
                <w:sz w:val="20"/>
              </w:rPr>
              <w:t>a</w:t>
            </w:r>
            <w:r>
              <w:rPr>
                <w:spacing w:val="-2"/>
                <w:sz w:val="20"/>
              </w:rPr>
              <w:t xml:space="preserve"> </w:t>
            </w:r>
            <w:r>
              <w:rPr>
                <w:sz w:val="20"/>
              </w:rPr>
              <w:t>100 amp or smaller panel. A study using the Watt Diet</w:t>
            </w:r>
            <w:r>
              <w:rPr>
                <w:spacing w:val="-5"/>
                <w:sz w:val="20"/>
              </w:rPr>
              <w:t xml:space="preserve"> </w:t>
            </w:r>
            <w:r>
              <w:rPr>
                <w:sz w:val="20"/>
              </w:rPr>
              <w:t>calculator</w:t>
            </w:r>
            <w:r>
              <w:rPr>
                <w:spacing w:val="-5"/>
                <w:sz w:val="20"/>
              </w:rPr>
              <w:t xml:space="preserve"> </w:t>
            </w:r>
            <w:r>
              <w:rPr>
                <w:sz w:val="20"/>
              </w:rPr>
              <w:t>estimated</w:t>
            </w:r>
            <w:r>
              <w:rPr>
                <w:spacing w:val="-5"/>
                <w:sz w:val="20"/>
              </w:rPr>
              <w:t xml:space="preserve"> </w:t>
            </w:r>
            <w:r>
              <w:rPr>
                <w:sz w:val="20"/>
              </w:rPr>
              <w:t>that</w:t>
            </w:r>
            <w:r>
              <w:rPr>
                <w:spacing w:val="-5"/>
                <w:sz w:val="20"/>
              </w:rPr>
              <w:t xml:space="preserve"> </w:t>
            </w:r>
            <w:r>
              <w:rPr>
                <w:sz w:val="20"/>
              </w:rPr>
              <w:t>a</w:t>
            </w:r>
            <w:r>
              <w:rPr>
                <w:spacing w:val="-5"/>
                <w:sz w:val="20"/>
              </w:rPr>
              <w:t xml:space="preserve"> </w:t>
            </w:r>
            <w:r>
              <w:rPr>
                <w:sz w:val="20"/>
              </w:rPr>
              <w:t>100</w:t>
            </w:r>
            <w:r>
              <w:rPr>
                <w:spacing w:val="-5"/>
                <w:sz w:val="20"/>
              </w:rPr>
              <w:t xml:space="preserve"> </w:t>
            </w:r>
            <w:r>
              <w:rPr>
                <w:sz w:val="20"/>
              </w:rPr>
              <w:t>amp</w:t>
            </w:r>
            <w:r>
              <w:rPr>
                <w:spacing w:val="-6"/>
                <w:sz w:val="20"/>
              </w:rPr>
              <w:t xml:space="preserve"> </w:t>
            </w:r>
            <w:r>
              <w:rPr>
                <w:sz w:val="20"/>
              </w:rPr>
              <w:t xml:space="preserve">panel would be insufficient to electrify homes larger than 2000 square feet [2], accounting for 35% of single-family homes according to the RASS </w:t>
            </w:r>
            <w:r>
              <w:rPr>
                <w:spacing w:val="-2"/>
                <w:sz w:val="20"/>
              </w:rPr>
              <w:t>data.</w:t>
            </w:r>
          </w:p>
        </w:tc>
      </w:tr>
    </w:tbl>
    <w:p w:rsidR="00C31389" w:rsidRDefault="00C31389" w14:paraId="3CADB80E" w14:textId="77777777">
      <w:pPr>
        <w:pStyle w:val="BodyText"/>
        <w:rPr>
          <w:b/>
          <w:sz w:val="20"/>
        </w:rPr>
      </w:pPr>
    </w:p>
    <w:p w:rsidR="00C31389" w:rsidRDefault="00C31389" w14:paraId="6F7AC228" w14:textId="77777777">
      <w:pPr>
        <w:pStyle w:val="BodyText"/>
        <w:rPr>
          <w:b/>
          <w:sz w:val="20"/>
        </w:rPr>
      </w:pPr>
    </w:p>
    <w:p w:rsidR="00C31389" w:rsidRDefault="00561FBD" w14:paraId="537766E6" w14:textId="77777777">
      <w:pPr>
        <w:pStyle w:val="BodyText"/>
        <w:spacing w:before="6"/>
        <w:rPr>
          <w:b/>
          <w:sz w:val="16"/>
        </w:rPr>
      </w:pPr>
      <w:r>
        <w:rPr>
          <w:noProof/>
        </w:rPr>
        <mc:AlternateContent>
          <mc:Choice Requires="wps">
            <w:drawing>
              <wp:anchor distT="0" distB="0" distL="0" distR="0" simplePos="0" relativeHeight="487712256" behindDoc="1" locked="0" layoutInCell="1" allowOverlap="1" wp14:editId="47CEF211" wp14:anchorId="4C61322E">
                <wp:simplePos x="0" y="0"/>
                <wp:positionH relativeFrom="page">
                  <wp:posOffset>914400</wp:posOffset>
                </wp:positionH>
                <wp:positionV relativeFrom="paragraph">
                  <wp:posOffset>136168</wp:posOffset>
                </wp:positionV>
                <wp:extent cx="1828800" cy="6985"/>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80" style="position:absolute;margin-left:1in;margin-top:10.7pt;width:2in;height:.55pt;z-index:-1560422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" w14:anchorId="14130A50">
                <v:path arrowok="t"/>
                <w10:wrap type="topAndBottom" anchorx="page"/>
              </v:shape>
            </w:pict>
          </mc:Fallback>
        </mc:AlternateContent>
      </w:r>
    </w:p>
    <w:p w:rsidR="00C31389" w:rsidRDefault="00561FBD" w14:paraId="26B374D3" w14:textId="77777777">
      <w:pPr>
        <w:spacing w:before="89"/>
        <w:ind w:left="480"/>
        <w:rPr>
          <w:sz w:val="18"/>
        </w:rPr>
      </w:pPr>
      <w:bookmarkStart w:name="_bookmark292" w:id="387"/>
      <w:bookmarkEnd w:id="387"/>
      <w:r>
        <w:rPr>
          <w:spacing w:val="-2"/>
          <w:position w:val="6"/>
          <w:sz w:val="12"/>
        </w:rPr>
        <w:t>88</w:t>
      </w:r>
      <w:r>
        <w:rPr>
          <w:spacing w:val="73"/>
          <w:position w:val="6"/>
          <w:sz w:val="12"/>
        </w:rPr>
        <w:t xml:space="preserve">  </w:t>
      </w:r>
      <w:r>
        <w:rPr>
          <w:spacing w:val="-2"/>
          <w:sz w:val="18"/>
        </w:rPr>
        <w:t>https://</w:t>
      </w:r>
      <w:hyperlink r:id="rId244">
        <w:r>
          <w:rPr>
            <w:spacing w:val="-2"/>
            <w:sz w:val="18"/>
          </w:rPr>
          <w:t>www.riverpoolsandspas.com/blog/will-i-need-an-electrical-service-panel-upgrade-for-my-swimming-</w:t>
        </w:r>
        <w:r>
          <w:rPr>
            <w:spacing w:val="-4"/>
            <w:sz w:val="18"/>
          </w:rPr>
          <w:t>pool</w:t>
        </w:r>
      </w:hyperlink>
    </w:p>
    <w:p w:rsidR="00C31389" w:rsidRDefault="00561FBD" w14:paraId="4D959260" w14:textId="77777777">
      <w:pPr>
        <w:spacing w:before="36"/>
        <w:ind w:left="480"/>
        <w:rPr>
          <w:sz w:val="18"/>
        </w:rPr>
      </w:pPr>
      <w:bookmarkStart w:name="_bookmark293" w:id="388"/>
      <w:bookmarkEnd w:id="388"/>
      <w:r>
        <w:rPr>
          <w:spacing w:val="-2"/>
          <w:position w:val="6"/>
          <w:sz w:val="12"/>
        </w:rPr>
        <w:t>89</w:t>
      </w:r>
      <w:r>
        <w:rPr>
          <w:spacing w:val="40"/>
          <w:position w:val="6"/>
          <w:sz w:val="12"/>
        </w:rPr>
        <w:t xml:space="preserve">  </w:t>
      </w:r>
      <w:r>
        <w:rPr>
          <w:spacing w:val="-2"/>
          <w:sz w:val="18"/>
        </w:rPr>
        <w:t>https://blog.intheswim.com/installing-a-swimming-pool-heat-</w:t>
      </w:r>
      <w:r>
        <w:rPr>
          <w:spacing w:val="-4"/>
          <w:sz w:val="18"/>
        </w:rPr>
        <w:t>pump</w:t>
      </w:r>
    </w:p>
    <w:p w:rsidR="00C31389" w:rsidRDefault="00C31389" w14:paraId="7E1D50E7" w14:textId="77777777">
      <w:pPr>
        <w:rPr>
          <w:sz w:val="18"/>
        </w:rPr>
        <w:sectPr w:rsidR="00C31389">
          <w:pgSz w:w="11910" w:h="16840"/>
          <w:pgMar w:top="1660" w:right="1020" w:bottom="1120" w:left="960" w:header="397" w:footer="938" w:gutter="0"/>
          <w:cols w:space="720"/>
        </w:sectPr>
      </w:pPr>
    </w:p>
    <w:p w:rsidR="00C31389" w:rsidRDefault="00C31389" w14:paraId="45B59A90" w14:textId="77777777">
      <w:pPr>
        <w:pStyle w:val="BodyText"/>
        <w:spacing w:before="6" w:after="1"/>
        <w:rPr>
          <w:sz w:val="21"/>
        </w:rPr>
      </w:pPr>
    </w:p>
    <w:tbl>
      <w:tblPr>
        <w:tblW w:w="0" w:type="auto"/>
        <w:tblInd w:w="480" w:type="dxa"/>
        <w:tblLayout w:type="fixed"/>
        <w:tblCellMar>
          <w:left w:w="0" w:type="dxa"/>
          <w:right w:w="0" w:type="dxa"/>
        </w:tblCellMar>
        <w:tblLook w:val="01E0" w:firstRow="1" w:lastRow="1" w:firstColumn="1" w:lastColumn="1" w:noHBand="0" w:noVBand="0"/>
      </w:tblPr>
      <w:tblGrid>
        <w:gridCol w:w="1477"/>
        <w:gridCol w:w="1735"/>
        <w:gridCol w:w="1316"/>
        <w:gridCol w:w="4478"/>
      </w:tblGrid>
      <w:tr w:rsidR="00C31389" w14:paraId="477E63DC" w14:textId="77777777">
        <w:trPr>
          <w:trHeight w:val="740"/>
        </w:trPr>
        <w:tc>
          <w:tcPr>
            <w:tcW w:w="1477" w:type="dxa"/>
            <w:tcBorders>
              <w:bottom w:val="single" w:color="B6B6B6" w:sz="4" w:space="0"/>
            </w:tcBorders>
            <w:shd w:val="clear" w:color="auto" w:fill="92D400"/>
          </w:tcPr>
          <w:p w:rsidR="00C31389" w:rsidRDefault="00561FBD" w14:paraId="62F76ED6" w14:textId="77777777">
            <w:pPr>
              <w:pStyle w:val="TableParagraph"/>
              <w:ind w:left="121" w:right="552"/>
              <w:rPr>
                <w:b/>
                <w:sz w:val="20"/>
              </w:rPr>
            </w:pPr>
            <w:r>
              <w:rPr>
                <w:b/>
                <w:spacing w:val="-2"/>
                <w:sz w:val="20"/>
              </w:rPr>
              <w:t xml:space="preserve">Building </w:t>
            </w:r>
            <w:r>
              <w:rPr>
                <w:b/>
                <w:spacing w:val="-4"/>
                <w:sz w:val="20"/>
              </w:rPr>
              <w:t>Type</w:t>
            </w:r>
          </w:p>
        </w:tc>
        <w:tc>
          <w:tcPr>
            <w:tcW w:w="1735" w:type="dxa"/>
            <w:tcBorders>
              <w:bottom w:val="single" w:color="B6B6B6" w:sz="4" w:space="0"/>
            </w:tcBorders>
            <w:shd w:val="clear" w:color="auto" w:fill="92D400"/>
          </w:tcPr>
          <w:p w:rsidR="00C31389" w:rsidRDefault="00561FBD" w14:paraId="4963F07E" w14:textId="77777777">
            <w:pPr>
              <w:pStyle w:val="TableParagraph"/>
              <w:spacing w:before="155"/>
              <w:ind w:left="160"/>
              <w:rPr>
                <w:b/>
                <w:sz w:val="20"/>
              </w:rPr>
            </w:pPr>
            <w:r>
              <w:rPr>
                <w:b/>
                <w:spacing w:val="-2"/>
                <w:sz w:val="20"/>
              </w:rPr>
              <w:t>Technology</w:t>
            </w:r>
          </w:p>
        </w:tc>
        <w:tc>
          <w:tcPr>
            <w:tcW w:w="1316" w:type="dxa"/>
            <w:tcBorders>
              <w:bottom w:val="single" w:color="B6B6B6" w:sz="4" w:space="0"/>
            </w:tcBorders>
            <w:shd w:val="clear" w:color="auto" w:fill="92D400"/>
          </w:tcPr>
          <w:p w:rsidR="00C31389" w:rsidRDefault="00561FBD" w14:paraId="1A0DE911" w14:textId="77777777">
            <w:pPr>
              <w:pStyle w:val="TableParagraph"/>
              <w:ind w:left="127" w:right="160"/>
              <w:rPr>
                <w:b/>
                <w:sz w:val="20"/>
              </w:rPr>
            </w:pPr>
            <w:r>
              <w:rPr>
                <w:b/>
                <w:sz w:val="20"/>
              </w:rPr>
              <w:t>%</w:t>
            </w:r>
            <w:r>
              <w:rPr>
                <w:b/>
                <w:spacing w:val="-14"/>
                <w:sz w:val="20"/>
              </w:rPr>
              <w:t xml:space="preserve"> </w:t>
            </w:r>
            <w:r>
              <w:rPr>
                <w:b/>
                <w:sz w:val="20"/>
              </w:rPr>
              <w:t xml:space="preserve">Needing </w:t>
            </w:r>
            <w:r>
              <w:rPr>
                <w:b/>
                <w:spacing w:val="-2"/>
                <w:sz w:val="20"/>
              </w:rPr>
              <w:t>Upgrade</w:t>
            </w:r>
          </w:p>
        </w:tc>
        <w:tc>
          <w:tcPr>
            <w:tcW w:w="4478" w:type="dxa"/>
            <w:tcBorders>
              <w:bottom w:val="single" w:color="B6B6B6" w:sz="4" w:space="0"/>
            </w:tcBorders>
            <w:shd w:val="clear" w:color="auto" w:fill="92D400"/>
          </w:tcPr>
          <w:p w:rsidR="00C31389" w:rsidRDefault="00561FBD" w14:paraId="22B2FC1B" w14:textId="77777777">
            <w:pPr>
              <w:pStyle w:val="TableParagraph"/>
              <w:spacing w:before="155"/>
              <w:ind w:left="163"/>
              <w:rPr>
                <w:b/>
                <w:sz w:val="20"/>
              </w:rPr>
            </w:pPr>
            <w:r>
              <w:rPr>
                <w:b/>
                <w:spacing w:val="-2"/>
                <w:sz w:val="20"/>
              </w:rPr>
              <w:t>Comments</w:t>
            </w:r>
          </w:p>
        </w:tc>
      </w:tr>
      <w:tr w:rsidR="00C31389" w14:paraId="1AE7D1BE" w14:textId="77777777">
        <w:trPr>
          <w:trHeight w:val="2118"/>
        </w:trPr>
        <w:tc>
          <w:tcPr>
            <w:tcW w:w="1477" w:type="dxa"/>
            <w:tcBorders>
              <w:top w:val="single" w:color="B6B6B6" w:sz="4" w:space="0"/>
              <w:bottom w:val="single" w:color="B6B6B6" w:sz="4" w:space="0"/>
            </w:tcBorders>
          </w:tcPr>
          <w:p w:rsidR="00C31389" w:rsidRDefault="00C31389" w14:paraId="56C9D6C5" w14:textId="77777777">
            <w:pPr>
              <w:pStyle w:val="TableParagraph"/>
              <w:spacing w:before="0"/>
            </w:pPr>
          </w:p>
          <w:p w:rsidR="00C31389" w:rsidRDefault="00C31389" w14:paraId="18413A55" w14:textId="77777777">
            <w:pPr>
              <w:pStyle w:val="TableParagraph"/>
              <w:spacing w:before="0"/>
            </w:pPr>
          </w:p>
          <w:p w:rsidR="00C31389" w:rsidRDefault="00C31389" w14:paraId="19677E89" w14:textId="77777777">
            <w:pPr>
              <w:pStyle w:val="TableParagraph"/>
              <w:spacing w:before="6"/>
              <w:rPr>
                <w:sz w:val="29"/>
              </w:rPr>
            </w:pPr>
          </w:p>
          <w:p w:rsidR="00C31389" w:rsidRDefault="00561FBD" w14:paraId="326E1554" w14:textId="77777777">
            <w:pPr>
              <w:pStyle w:val="TableParagraph"/>
              <w:spacing w:before="0"/>
              <w:ind w:left="115"/>
              <w:rPr>
                <w:sz w:val="20"/>
              </w:rPr>
            </w:pPr>
            <w:r>
              <w:rPr>
                <w:spacing w:val="-2"/>
                <w:sz w:val="20"/>
              </w:rPr>
              <w:t>Multifamily</w:t>
            </w:r>
          </w:p>
        </w:tc>
        <w:tc>
          <w:tcPr>
            <w:tcW w:w="1735" w:type="dxa"/>
            <w:tcBorders>
              <w:top w:val="single" w:color="B6B6B6" w:sz="4" w:space="0"/>
              <w:bottom w:val="single" w:color="B6B6B6" w:sz="4" w:space="0"/>
            </w:tcBorders>
          </w:tcPr>
          <w:p w:rsidR="00C31389" w:rsidRDefault="00C31389" w14:paraId="4434FCE6" w14:textId="77777777">
            <w:pPr>
              <w:pStyle w:val="TableParagraph"/>
              <w:spacing w:before="0"/>
            </w:pPr>
          </w:p>
          <w:p w:rsidR="00C31389" w:rsidRDefault="00C31389" w14:paraId="3FD6E509" w14:textId="77777777">
            <w:pPr>
              <w:pStyle w:val="TableParagraph"/>
              <w:spacing w:before="5"/>
              <w:rPr>
                <w:sz w:val="31"/>
              </w:rPr>
            </w:pPr>
          </w:p>
          <w:p w:rsidR="00C31389" w:rsidRDefault="00561FBD" w14:paraId="321D702C" w14:textId="77777777">
            <w:pPr>
              <w:pStyle w:val="TableParagraph"/>
              <w:spacing w:before="0"/>
              <w:ind w:left="160" w:right="368" w:hanging="1"/>
              <w:rPr>
                <w:sz w:val="20"/>
              </w:rPr>
            </w:pPr>
            <w:r>
              <w:rPr>
                <w:sz w:val="20"/>
              </w:rPr>
              <w:t xml:space="preserve">Heat Pump </w:t>
            </w:r>
            <w:r>
              <w:rPr>
                <w:spacing w:val="-2"/>
                <w:sz w:val="20"/>
              </w:rPr>
              <w:t xml:space="preserve">replacing </w:t>
            </w:r>
            <w:r>
              <w:rPr>
                <w:sz w:val="20"/>
              </w:rPr>
              <w:t>Furnace</w:t>
            </w:r>
            <w:r>
              <w:rPr>
                <w:spacing w:val="-14"/>
                <w:sz w:val="20"/>
              </w:rPr>
              <w:t xml:space="preserve"> </w:t>
            </w:r>
            <w:r>
              <w:rPr>
                <w:sz w:val="20"/>
              </w:rPr>
              <w:t>Only</w:t>
            </w:r>
          </w:p>
        </w:tc>
        <w:tc>
          <w:tcPr>
            <w:tcW w:w="1316" w:type="dxa"/>
            <w:tcBorders>
              <w:top w:val="single" w:color="B6B6B6" w:sz="4" w:space="0"/>
              <w:bottom w:val="single" w:color="B6B6B6" w:sz="4" w:space="0"/>
            </w:tcBorders>
          </w:tcPr>
          <w:p w:rsidR="00C31389" w:rsidRDefault="00C31389" w14:paraId="2E652306" w14:textId="77777777">
            <w:pPr>
              <w:pStyle w:val="TableParagraph"/>
              <w:spacing w:before="0"/>
            </w:pPr>
          </w:p>
          <w:p w:rsidR="00C31389" w:rsidRDefault="00C31389" w14:paraId="78FD6B40" w14:textId="77777777">
            <w:pPr>
              <w:pStyle w:val="TableParagraph"/>
              <w:spacing w:before="0"/>
            </w:pPr>
          </w:p>
          <w:p w:rsidR="00C31389" w:rsidRDefault="00C31389" w14:paraId="2D0880CB" w14:textId="77777777">
            <w:pPr>
              <w:pStyle w:val="TableParagraph"/>
              <w:spacing w:before="5"/>
              <w:rPr>
                <w:sz w:val="29"/>
              </w:rPr>
            </w:pPr>
          </w:p>
          <w:p w:rsidR="00C31389" w:rsidRDefault="00561FBD" w14:paraId="3A41C00B" w14:textId="77777777">
            <w:pPr>
              <w:pStyle w:val="TableParagraph"/>
              <w:spacing w:before="1"/>
              <w:ind w:left="127"/>
              <w:rPr>
                <w:sz w:val="20"/>
              </w:rPr>
            </w:pPr>
            <w:r>
              <w:rPr>
                <w:spacing w:val="-5"/>
                <w:sz w:val="20"/>
              </w:rPr>
              <w:t>6%</w:t>
            </w:r>
          </w:p>
        </w:tc>
        <w:tc>
          <w:tcPr>
            <w:tcW w:w="4478" w:type="dxa"/>
            <w:tcBorders>
              <w:top w:val="single" w:color="B6B6B6" w:sz="4" w:space="0"/>
              <w:bottom w:val="single" w:color="B6B6B6" w:sz="4" w:space="0"/>
            </w:tcBorders>
          </w:tcPr>
          <w:p w:rsidR="00C31389" w:rsidRDefault="00561FBD" w14:paraId="077126BD" w14:textId="77777777">
            <w:pPr>
              <w:pStyle w:val="TableParagraph"/>
              <w:ind w:left="163" w:right="134"/>
              <w:rPr>
                <w:sz w:val="20"/>
              </w:rPr>
            </w:pPr>
            <w:r>
              <w:rPr>
                <w:sz w:val="20"/>
              </w:rPr>
              <w:t xml:space="preserve">Heat pump amp draw scales with the size of the heat pump, which scales with the size of the home. Most homes without AC have a </w:t>
            </w:r>
            <w:r>
              <w:rPr>
                <w:sz w:val="20"/>
              </w:rPr>
              <w:t>100 amp or smaller panel. A study using the Watt Diet calculator estimated that a 100 amp panel would be insufficient to electrify homes larger than</w:t>
            </w:r>
            <w:r>
              <w:rPr>
                <w:spacing w:val="-3"/>
                <w:sz w:val="20"/>
              </w:rPr>
              <w:t xml:space="preserve"> </w:t>
            </w:r>
            <w:r>
              <w:rPr>
                <w:sz w:val="20"/>
              </w:rPr>
              <w:t>2000</w:t>
            </w:r>
            <w:r>
              <w:rPr>
                <w:spacing w:val="-3"/>
                <w:sz w:val="20"/>
              </w:rPr>
              <w:t xml:space="preserve"> </w:t>
            </w:r>
            <w:r>
              <w:rPr>
                <w:sz w:val="20"/>
              </w:rPr>
              <w:t>square</w:t>
            </w:r>
            <w:r>
              <w:rPr>
                <w:spacing w:val="-3"/>
                <w:sz w:val="20"/>
              </w:rPr>
              <w:t xml:space="preserve"> </w:t>
            </w:r>
            <w:r>
              <w:rPr>
                <w:sz w:val="20"/>
              </w:rPr>
              <w:t>feet</w:t>
            </w:r>
            <w:r>
              <w:rPr>
                <w:spacing w:val="-3"/>
                <w:sz w:val="20"/>
              </w:rPr>
              <w:t xml:space="preserve"> </w:t>
            </w:r>
            <w:r>
              <w:rPr>
                <w:sz w:val="20"/>
              </w:rPr>
              <w:t>[2],</w:t>
            </w:r>
            <w:r>
              <w:rPr>
                <w:spacing w:val="-3"/>
                <w:sz w:val="20"/>
              </w:rPr>
              <w:t xml:space="preserve"> </w:t>
            </w:r>
            <w:r>
              <w:rPr>
                <w:sz w:val="20"/>
              </w:rPr>
              <w:t>accounting</w:t>
            </w:r>
            <w:r>
              <w:rPr>
                <w:spacing w:val="-3"/>
                <w:sz w:val="20"/>
              </w:rPr>
              <w:t xml:space="preserve"> </w:t>
            </w:r>
            <w:r>
              <w:rPr>
                <w:sz w:val="20"/>
              </w:rPr>
              <w:t>for</w:t>
            </w:r>
            <w:r>
              <w:rPr>
                <w:spacing w:val="-2"/>
                <w:sz w:val="20"/>
              </w:rPr>
              <w:t xml:space="preserve"> </w:t>
            </w:r>
            <w:r>
              <w:rPr>
                <w:sz w:val="20"/>
              </w:rPr>
              <w:t>6%</w:t>
            </w:r>
            <w:r>
              <w:rPr>
                <w:spacing w:val="-2"/>
                <w:sz w:val="20"/>
              </w:rPr>
              <w:t xml:space="preserve"> </w:t>
            </w:r>
            <w:r>
              <w:rPr>
                <w:sz w:val="20"/>
              </w:rPr>
              <w:t>of multifamily</w:t>
            </w:r>
            <w:r>
              <w:rPr>
                <w:spacing w:val="-6"/>
                <w:sz w:val="20"/>
              </w:rPr>
              <w:t xml:space="preserve"> </w:t>
            </w:r>
            <w:r>
              <w:rPr>
                <w:sz w:val="20"/>
              </w:rPr>
              <w:t>homes</w:t>
            </w:r>
            <w:r>
              <w:rPr>
                <w:spacing w:val="-4"/>
                <w:sz w:val="20"/>
              </w:rPr>
              <w:t xml:space="preserve"> </w:t>
            </w:r>
            <w:r>
              <w:rPr>
                <w:sz w:val="20"/>
              </w:rPr>
              <w:t>according</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RASS</w:t>
            </w:r>
            <w:r>
              <w:rPr>
                <w:spacing w:val="-4"/>
                <w:sz w:val="20"/>
              </w:rPr>
              <w:t xml:space="preserve"> data.</w:t>
            </w:r>
          </w:p>
        </w:tc>
      </w:tr>
      <w:tr w:rsidR="00C31389" w14:paraId="07736600" w14:textId="77777777">
        <w:trPr>
          <w:trHeight w:val="1430"/>
        </w:trPr>
        <w:tc>
          <w:tcPr>
            <w:tcW w:w="1477" w:type="dxa"/>
            <w:tcBorders>
              <w:top w:val="single" w:color="B6B6B6" w:sz="4" w:space="0"/>
              <w:bottom w:val="single" w:color="B6B6B6" w:sz="4" w:space="0"/>
            </w:tcBorders>
          </w:tcPr>
          <w:p w:rsidR="00C31389" w:rsidRDefault="00C31389" w14:paraId="4A661886" w14:textId="77777777">
            <w:pPr>
              <w:pStyle w:val="TableParagraph"/>
              <w:spacing w:before="0"/>
            </w:pPr>
          </w:p>
          <w:p w:rsidR="00C31389" w:rsidRDefault="00C31389" w14:paraId="49C7B6DA" w14:textId="77777777">
            <w:pPr>
              <w:pStyle w:val="TableParagraph"/>
              <w:spacing w:before="6"/>
              <w:rPr>
                <w:sz w:val="21"/>
              </w:rPr>
            </w:pPr>
          </w:p>
          <w:p w:rsidR="00C31389" w:rsidRDefault="00561FBD" w14:paraId="0DBEB1CC" w14:textId="77777777">
            <w:pPr>
              <w:pStyle w:val="TableParagraph"/>
              <w:spacing w:before="0"/>
              <w:ind w:left="115"/>
              <w:rPr>
                <w:sz w:val="20"/>
              </w:rPr>
            </w:pPr>
            <w:r>
              <w:rPr>
                <w:sz w:val="20"/>
              </w:rPr>
              <w:t>Single</w:t>
            </w:r>
            <w:r>
              <w:rPr>
                <w:spacing w:val="-6"/>
                <w:sz w:val="20"/>
              </w:rPr>
              <w:t xml:space="preserve"> </w:t>
            </w:r>
            <w:r>
              <w:rPr>
                <w:spacing w:val="-2"/>
                <w:sz w:val="20"/>
              </w:rPr>
              <w:t>Family</w:t>
            </w:r>
          </w:p>
        </w:tc>
        <w:tc>
          <w:tcPr>
            <w:tcW w:w="1735" w:type="dxa"/>
            <w:tcBorders>
              <w:top w:val="single" w:color="B6B6B6" w:sz="4" w:space="0"/>
              <w:bottom w:val="single" w:color="B6B6B6" w:sz="4" w:space="0"/>
            </w:tcBorders>
          </w:tcPr>
          <w:p w:rsidR="00C31389" w:rsidRDefault="00C31389" w14:paraId="67B7A876" w14:textId="77777777">
            <w:pPr>
              <w:pStyle w:val="TableParagraph"/>
              <w:spacing w:before="0"/>
            </w:pPr>
          </w:p>
          <w:p w:rsidR="00C31389" w:rsidRDefault="00561FBD" w14:paraId="0BC6B068" w14:textId="77777777">
            <w:pPr>
              <w:pStyle w:val="TableParagraph"/>
              <w:spacing w:before="132"/>
              <w:ind w:left="160"/>
              <w:rPr>
                <w:sz w:val="20"/>
              </w:rPr>
            </w:pPr>
            <w:r>
              <w:rPr>
                <w:sz w:val="20"/>
              </w:rPr>
              <w:t>Ductless Mini- Split</w:t>
            </w:r>
            <w:r>
              <w:rPr>
                <w:spacing w:val="-14"/>
                <w:sz w:val="20"/>
              </w:rPr>
              <w:t xml:space="preserve"> </w:t>
            </w:r>
            <w:r>
              <w:rPr>
                <w:sz w:val="20"/>
              </w:rPr>
              <w:t>Heat</w:t>
            </w:r>
            <w:r>
              <w:rPr>
                <w:spacing w:val="-14"/>
                <w:sz w:val="20"/>
              </w:rPr>
              <w:t xml:space="preserve"> </w:t>
            </w:r>
            <w:r>
              <w:rPr>
                <w:sz w:val="20"/>
              </w:rPr>
              <w:t>Pump</w:t>
            </w:r>
          </w:p>
        </w:tc>
        <w:tc>
          <w:tcPr>
            <w:tcW w:w="1316" w:type="dxa"/>
            <w:tcBorders>
              <w:top w:val="single" w:color="B6B6B6" w:sz="4" w:space="0"/>
              <w:bottom w:val="single" w:color="B6B6B6" w:sz="4" w:space="0"/>
            </w:tcBorders>
          </w:tcPr>
          <w:p w:rsidR="00C31389" w:rsidRDefault="00C31389" w14:paraId="606A2AB8" w14:textId="77777777">
            <w:pPr>
              <w:pStyle w:val="TableParagraph"/>
              <w:spacing w:before="0"/>
            </w:pPr>
          </w:p>
          <w:p w:rsidR="00C31389" w:rsidRDefault="00C31389" w14:paraId="63F5C3BC" w14:textId="77777777">
            <w:pPr>
              <w:pStyle w:val="TableParagraph"/>
              <w:spacing w:before="6"/>
              <w:rPr>
                <w:sz w:val="21"/>
              </w:rPr>
            </w:pPr>
          </w:p>
          <w:p w:rsidR="00C31389" w:rsidRDefault="00561FBD" w14:paraId="6662FCE7" w14:textId="77777777">
            <w:pPr>
              <w:pStyle w:val="TableParagraph"/>
              <w:spacing w:before="0"/>
              <w:ind w:left="127"/>
              <w:rPr>
                <w:sz w:val="20"/>
              </w:rPr>
            </w:pPr>
            <w:r>
              <w:rPr>
                <w:spacing w:val="-5"/>
                <w:sz w:val="20"/>
              </w:rPr>
              <w:t>55%</w:t>
            </w:r>
          </w:p>
        </w:tc>
        <w:tc>
          <w:tcPr>
            <w:tcW w:w="4478" w:type="dxa"/>
            <w:tcBorders>
              <w:top w:val="single" w:color="B6B6B6" w:sz="4" w:space="0"/>
              <w:bottom w:val="single" w:color="B6B6B6" w:sz="4" w:space="0"/>
            </w:tcBorders>
          </w:tcPr>
          <w:p w:rsidR="00C31389" w:rsidRDefault="00561FBD" w14:paraId="7E8D228D" w14:textId="77777777">
            <w:pPr>
              <w:pStyle w:val="TableParagraph"/>
              <w:spacing w:before="41"/>
              <w:ind w:left="163" w:right="377"/>
              <w:rPr>
                <w:sz w:val="20"/>
              </w:rPr>
            </w:pPr>
            <w:r>
              <w:rPr>
                <w:sz w:val="20"/>
              </w:rPr>
              <w:t>Amp draw of a mini-split heat pump ranges from 15-45 amps per unit.</w:t>
            </w:r>
            <w:r>
              <w:rPr>
                <w:spacing w:val="-37"/>
                <w:sz w:val="20"/>
              </w:rPr>
              <w:t xml:space="preserve"> </w:t>
            </w:r>
            <w:hyperlink w:history="1" w:anchor="_bookmark295">
              <w:r>
                <w:rPr>
                  <w:sz w:val="20"/>
                  <w:vertAlign w:val="superscript"/>
                </w:rPr>
                <w:t>90</w:t>
              </w:r>
            </w:hyperlink>
            <w:r>
              <w:rPr>
                <w:sz w:val="20"/>
              </w:rPr>
              <w:t>,</w:t>
            </w:r>
            <w:r>
              <w:rPr>
                <w:spacing w:val="-36"/>
                <w:sz w:val="20"/>
              </w:rPr>
              <w:t xml:space="preserve"> </w:t>
            </w:r>
            <w:hyperlink w:history="1" w:anchor="_bookmark296">
              <w:r>
                <w:rPr>
                  <w:sz w:val="20"/>
                  <w:vertAlign w:val="superscript"/>
                </w:rPr>
                <w:t>91</w:t>
              </w:r>
            </w:hyperlink>
            <w:r>
              <w:rPr>
                <w:sz w:val="20"/>
              </w:rPr>
              <w:t xml:space="preserve"> In the eTRM, single-family</w:t>
            </w:r>
            <w:r>
              <w:rPr>
                <w:spacing w:val="-7"/>
                <w:sz w:val="20"/>
              </w:rPr>
              <w:t xml:space="preserve"> </w:t>
            </w:r>
            <w:r>
              <w:rPr>
                <w:sz w:val="20"/>
              </w:rPr>
              <w:t>homes</w:t>
            </w:r>
            <w:r>
              <w:rPr>
                <w:spacing w:val="-6"/>
                <w:sz w:val="20"/>
              </w:rPr>
              <w:t xml:space="preserve"> </w:t>
            </w:r>
            <w:r>
              <w:rPr>
                <w:sz w:val="20"/>
              </w:rPr>
              <w:t>are</w:t>
            </w:r>
            <w:r>
              <w:rPr>
                <w:spacing w:val="-7"/>
                <w:sz w:val="20"/>
              </w:rPr>
              <w:t xml:space="preserve"> </w:t>
            </w:r>
            <w:r>
              <w:rPr>
                <w:sz w:val="20"/>
              </w:rPr>
              <w:t>assumed</w:t>
            </w:r>
            <w:r>
              <w:rPr>
                <w:spacing w:val="-7"/>
                <w:sz w:val="20"/>
              </w:rPr>
              <w:t xml:space="preserve"> </w:t>
            </w:r>
            <w:r>
              <w:rPr>
                <w:sz w:val="20"/>
              </w:rPr>
              <w:t>to</w:t>
            </w:r>
            <w:r>
              <w:rPr>
                <w:spacing w:val="-7"/>
                <w:sz w:val="20"/>
              </w:rPr>
              <w:t xml:space="preserve"> </w:t>
            </w:r>
            <w:r>
              <w:rPr>
                <w:sz w:val="20"/>
              </w:rPr>
              <w:t>install</w:t>
            </w:r>
            <w:r>
              <w:rPr>
                <w:spacing w:val="-7"/>
                <w:sz w:val="20"/>
              </w:rPr>
              <w:t xml:space="preserve"> </w:t>
            </w:r>
            <w:r>
              <w:rPr>
                <w:sz w:val="20"/>
              </w:rPr>
              <w:t>2 units.</w:t>
            </w:r>
            <w:r>
              <w:rPr>
                <w:spacing w:val="-36"/>
                <w:sz w:val="20"/>
              </w:rPr>
              <w:t xml:space="preserve"> </w:t>
            </w:r>
            <w:hyperlink w:history="1" w:anchor="_bookmark297">
              <w:r>
                <w:rPr>
                  <w:sz w:val="20"/>
                  <w:vertAlign w:val="superscript"/>
                </w:rPr>
                <w:t>92</w:t>
              </w:r>
            </w:hyperlink>
            <w:r>
              <w:rPr>
                <w:sz w:val="20"/>
              </w:rPr>
              <w:t xml:space="preserve"> This would exceed the capacity of a 100 amp panel in many cases.</w:t>
            </w:r>
          </w:p>
        </w:tc>
      </w:tr>
      <w:tr w:rsidR="00C31389" w14:paraId="60229E4B" w14:textId="77777777">
        <w:trPr>
          <w:trHeight w:val="1660"/>
        </w:trPr>
        <w:tc>
          <w:tcPr>
            <w:tcW w:w="1477" w:type="dxa"/>
            <w:tcBorders>
              <w:top w:val="single" w:color="B6B6B6" w:sz="4" w:space="0"/>
              <w:bottom w:val="single" w:color="B6B6B6" w:sz="4" w:space="0"/>
            </w:tcBorders>
          </w:tcPr>
          <w:p w:rsidR="00C31389" w:rsidRDefault="00C31389" w14:paraId="711CBB54" w14:textId="77777777">
            <w:pPr>
              <w:pStyle w:val="TableParagraph"/>
              <w:spacing w:before="0"/>
            </w:pPr>
          </w:p>
          <w:p w:rsidR="00C31389" w:rsidRDefault="00C31389" w14:paraId="764B8198" w14:textId="77777777">
            <w:pPr>
              <w:pStyle w:val="TableParagraph"/>
              <w:spacing w:before="6"/>
              <w:rPr>
                <w:sz w:val="31"/>
              </w:rPr>
            </w:pPr>
          </w:p>
          <w:p w:rsidR="00C31389" w:rsidRDefault="00561FBD" w14:paraId="49B79CA1" w14:textId="77777777">
            <w:pPr>
              <w:pStyle w:val="TableParagraph"/>
              <w:spacing w:before="0"/>
              <w:ind w:left="115"/>
              <w:rPr>
                <w:sz w:val="20"/>
              </w:rPr>
            </w:pPr>
            <w:r>
              <w:rPr>
                <w:spacing w:val="-2"/>
                <w:sz w:val="20"/>
              </w:rPr>
              <w:t>Multifamily</w:t>
            </w:r>
          </w:p>
        </w:tc>
        <w:tc>
          <w:tcPr>
            <w:tcW w:w="1735" w:type="dxa"/>
            <w:tcBorders>
              <w:top w:val="single" w:color="B6B6B6" w:sz="4" w:space="0"/>
              <w:bottom w:val="single" w:color="B6B6B6" w:sz="4" w:space="0"/>
            </w:tcBorders>
          </w:tcPr>
          <w:p w:rsidR="00C31389" w:rsidRDefault="00C31389" w14:paraId="2400A26F" w14:textId="77777777">
            <w:pPr>
              <w:pStyle w:val="TableParagraph"/>
              <w:spacing w:before="0"/>
            </w:pPr>
          </w:p>
          <w:p w:rsidR="00C31389" w:rsidRDefault="00C31389" w14:paraId="47643CEA" w14:textId="77777777">
            <w:pPr>
              <w:pStyle w:val="TableParagraph"/>
              <w:spacing w:before="6"/>
              <w:rPr>
                <w:sz w:val="21"/>
              </w:rPr>
            </w:pPr>
          </w:p>
          <w:p w:rsidR="00C31389" w:rsidRDefault="00561FBD" w14:paraId="6B81A683" w14:textId="77777777">
            <w:pPr>
              <w:pStyle w:val="TableParagraph"/>
              <w:spacing w:before="0"/>
              <w:ind w:left="160"/>
              <w:rPr>
                <w:sz w:val="20"/>
              </w:rPr>
            </w:pPr>
            <w:r>
              <w:rPr>
                <w:sz w:val="20"/>
              </w:rPr>
              <w:t>Ductless Mini- Split</w:t>
            </w:r>
            <w:r>
              <w:rPr>
                <w:spacing w:val="-14"/>
                <w:sz w:val="20"/>
              </w:rPr>
              <w:t xml:space="preserve"> </w:t>
            </w:r>
            <w:r>
              <w:rPr>
                <w:sz w:val="20"/>
              </w:rPr>
              <w:t>Heat</w:t>
            </w:r>
            <w:r>
              <w:rPr>
                <w:spacing w:val="-14"/>
                <w:sz w:val="20"/>
              </w:rPr>
              <w:t xml:space="preserve"> </w:t>
            </w:r>
            <w:r>
              <w:rPr>
                <w:sz w:val="20"/>
              </w:rPr>
              <w:t>Pump</w:t>
            </w:r>
          </w:p>
        </w:tc>
        <w:tc>
          <w:tcPr>
            <w:tcW w:w="1316" w:type="dxa"/>
            <w:tcBorders>
              <w:top w:val="single" w:color="B6B6B6" w:sz="4" w:space="0"/>
              <w:bottom w:val="single" w:color="B6B6B6" w:sz="4" w:space="0"/>
            </w:tcBorders>
          </w:tcPr>
          <w:p w:rsidR="00C31389" w:rsidRDefault="00C31389" w14:paraId="67DDD0B2" w14:textId="77777777">
            <w:pPr>
              <w:pStyle w:val="TableParagraph"/>
              <w:spacing w:before="0"/>
            </w:pPr>
          </w:p>
          <w:p w:rsidR="00C31389" w:rsidRDefault="00C31389" w14:paraId="439C2617" w14:textId="77777777">
            <w:pPr>
              <w:pStyle w:val="TableParagraph"/>
              <w:spacing w:before="6"/>
              <w:rPr>
                <w:sz w:val="31"/>
              </w:rPr>
            </w:pPr>
          </w:p>
          <w:p w:rsidR="00C31389" w:rsidRDefault="00561FBD" w14:paraId="586E09A2" w14:textId="77777777">
            <w:pPr>
              <w:pStyle w:val="TableParagraph"/>
              <w:spacing w:before="0"/>
              <w:ind w:left="127"/>
              <w:rPr>
                <w:sz w:val="20"/>
              </w:rPr>
            </w:pPr>
            <w:r>
              <w:rPr>
                <w:spacing w:val="-5"/>
                <w:sz w:val="20"/>
              </w:rPr>
              <w:t>5%</w:t>
            </w:r>
          </w:p>
        </w:tc>
        <w:tc>
          <w:tcPr>
            <w:tcW w:w="4478" w:type="dxa"/>
            <w:tcBorders>
              <w:top w:val="single" w:color="B6B6B6" w:sz="4" w:space="0"/>
              <w:bottom w:val="single" w:color="B6B6B6" w:sz="4" w:space="0"/>
            </w:tcBorders>
          </w:tcPr>
          <w:p w:rsidR="00C31389" w:rsidRDefault="00561FBD" w14:paraId="10747E6C" w14:textId="77777777">
            <w:pPr>
              <w:pStyle w:val="TableParagraph"/>
              <w:spacing w:before="41"/>
              <w:ind w:left="163" w:right="154"/>
              <w:rPr>
                <w:sz w:val="20"/>
              </w:rPr>
            </w:pPr>
            <w:r>
              <w:rPr>
                <w:sz w:val="20"/>
              </w:rPr>
              <w:t>According</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eTRM,</w:t>
            </w:r>
            <w:r>
              <w:rPr>
                <w:spacing w:val="-5"/>
                <w:sz w:val="20"/>
              </w:rPr>
              <w:t xml:space="preserve"> </w:t>
            </w:r>
            <w:r>
              <w:rPr>
                <w:sz w:val="20"/>
              </w:rPr>
              <w:t>multifamily</w:t>
            </w:r>
            <w:r>
              <w:rPr>
                <w:spacing w:val="-4"/>
                <w:sz w:val="20"/>
              </w:rPr>
              <w:t xml:space="preserve"> </w:t>
            </w:r>
            <w:r>
              <w:rPr>
                <w:sz w:val="20"/>
              </w:rPr>
              <w:t>homes</w:t>
            </w:r>
            <w:r>
              <w:rPr>
                <w:spacing w:val="-4"/>
                <w:sz w:val="20"/>
              </w:rPr>
              <w:t xml:space="preserve"> </w:t>
            </w:r>
            <w:r>
              <w:rPr>
                <w:sz w:val="20"/>
              </w:rPr>
              <w:t>are assumed</w:t>
            </w:r>
            <w:r>
              <w:rPr>
                <w:spacing w:val="-5"/>
                <w:sz w:val="20"/>
              </w:rPr>
              <w:t xml:space="preserve"> </w:t>
            </w:r>
            <w:r>
              <w:rPr>
                <w:sz w:val="20"/>
              </w:rPr>
              <w:t>to</w:t>
            </w:r>
            <w:r>
              <w:rPr>
                <w:spacing w:val="-5"/>
                <w:sz w:val="20"/>
              </w:rPr>
              <w:t xml:space="preserve"> </w:t>
            </w:r>
            <w:r>
              <w:rPr>
                <w:sz w:val="20"/>
              </w:rPr>
              <w:t>install</w:t>
            </w:r>
            <w:r>
              <w:rPr>
                <w:spacing w:val="-5"/>
                <w:sz w:val="20"/>
              </w:rPr>
              <w:t xml:space="preserve"> </w:t>
            </w:r>
            <w:r>
              <w:rPr>
                <w:sz w:val="20"/>
              </w:rPr>
              <w:t>1</w:t>
            </w:r>
            <w:r>
              <w:rPr>
                <w:spacing w:val="-5"/>
                <w:sz w:val="20"/>
              </w:rPr>
              <w:t xml:space="preserve"> </w:t>
            </w:r>
            <w:r>
              <w:rPr>
                <w:sz w:val="20"/>
              </w:rPr>
              <w:t>unit.</w:t>
            </w:r>
            <w:r>
              <w:rPr>
                <w:spacing w:val="-5"/>
                <w:sz w:val="20"/>
              </w:rPr>
              <w:t xml:space="preserve"> </w:t>
            </w:r>
            <w:r>
              <w:rPr>
                <w:sz w:val="20"/>
              </w:rPr>
              <w:t>This</w:t>
            </w:r>
            <w:r>
              <w:rPr>
                <w:spacing w:val="-4"/>
                <w:sz w:val="20"/>
              </w:rPr>
              <w:t xml:space="preserve"> </w:t>
            </w:r>
            <w:r>
              <w:rPr>
                <w:sz w:val="20"/>
              </w:rPr>
              <w:t>would</w:t>
            </w:r>
            <w:r>
              <w:rPr>
                <w:spacing w:val="-6"/>
                <w:sz w:val="20"/>
              </w:rPr>
              <w:t xml:space="preserve"> </w:t>
            </w:r>
            <w:r>
              <w:rPr>
                <w:sz w:val="20"/>
              </w:rPr>
              <w:t>require</w:t>
            </w:r>
            <w:r>
              <w:rPr>
                <w:spacing w:val="-5"/>
                <w:sz w:val="20"/>
              </w:rPr>
              <w:t xml:space="preserve"> </w:t>
            </w:r>
            <w:r>
              <w:rPr>
                <w:sz w:val="20"/>
              </w:rPr>
              <w:t xml:space="preserve">at least a 100 amp panel but may not require a 200 amp panel. Limited data suggests that approximately 5% of </w:t>
            </w:r>
            <w:r>
              <w:rPr>
                <w:sz w:val="20"/>
              </w:rPr>
              <w:t>multifamily homes have panels smaller than 100 amps.</w:t>
            </w:r>
          </w:p>
        </w:tc>
      </w:tr>
      <w:tr w:rsidR="00C31389" w14:paraId="47270B31" w14:textId="77777777">
        <w:trPr>
          <w:trHeight w:val="3269"/>
        </w:trPr>
        <w:tc>
          <w:tcPr>
            <w:tcW w:w="1477" w:type="dxa"/>
            <w:tcBorders>
              <w:top w:val="single" w:color="B6B6B6" w:sz="4" w:space="0"/>
              <w:bottom w:val="single" w:color="B6B6B6" w:sz="4" w:space="0"/>
            </w:tcBorders>
          </w:tcPr>
          <w:p w:rsidR="00C31389" w:rsidRDefault="00C31389" w14:paraId="2B1F91C4" w14:textId="77777777">
            <w:pPr>
              <w:pStyle w:val="TableParagraph"/>
              <w:spacing w:before="0"/>
            </w:pPr>
          </w:p>
          <w:p w:rsidR="00C31389" w:rsidRDefault="00C31389" w14:paraId="7527E2F8" w14:textId="77777777">
            <w:pPr>
              <w:pStyle w:val="TableParagraph"/>
              <w:spacing w:before="0"/>
            </w:pPr>
          </w:p>
          <w:p w:rsidR="00C31389" w:rsidRDefault="00C31389" w14:paraId="163B2AF9" w14:textId="77777777">
            <w:pPr>
              <w:pStyle w:val="TableParagraph"/>
              <w:spacing w:before="0"/>
            </w:pPr>
          </w:p>
          <w:p w:rsidR="00C31389" w:rsidRDefault="00C31389" w14:paraId="76EC5511" w14:textId="77777777">
            <w:pPr>
              <w:pStyle w:val="TableParagraph"/>
              <w:spacing w:before="0"/>
            </w:pPr>
          </w:p>
          <w:p w:rsidR="00C31389" w:rsidRDefault="00C31389" w14:paraId="6388595F" w14:textId="77777777">
            <w:pPr>
              <w:pStyle w:val="TableParagraph"/>
              <w:spacing w:before="0"/>
            </w:pPr>
          </w:p>
          <w:p w:rsidR="00C31389" w:rsidRDefault="00561FBD" w14:paraId="00D97672" w14:textId="77777777">
            <w:pPr>
              <w:pStyle w:val="TableParagraph"/>
              <w:spacing w:before="155"/>
              <w:ind w:left="115"/>
              <w:rPr>
                <w:sz w:val="20"/>
              </w:rPr>
            </w:pPr>
            <w:r>
              <w:rPr>
                <w:sz w:val="20"/>
              </w:rPr>
              <w:t>Single</w:t>
            </w:r>
            <w:r>
              <w:rPr>
                <w:spacing w:val="-6"/>
                <w:sz w:val="20"/>
              </w:rPr>
              <w:t xml:space="preserve"> </w:t>
            </w:r>
            <w:r>
              <w:rPr>
                <w:spacing w:val="-2"/>
                <w:sz w:val="20"/>
              </w:rPr>
              <w:t>Family</w:t>
            </w:r>
          </w:p>
        </w:tc>
        <w:tc>
          <w:tcPr>
            <w:tcW w:w="1735" w:type="dxa"/>
            <w:tcBorders>
              <w:top w:val="single" w:color="B6B6B6" w:sz="4" w:space="0"/>
              <w:bottom w:val="single" w:color="B6B6B6" w:sz="4" w:space="0"/>
            </w:tcBorders>
          </w:tcPr>
          <w:p w:rsidR="00C31389" w:rsidRDefault="00C31389" w14:paraId="31A19A3A" w14:textId="77777777">
            <w:pPr>
              <w:pStyle w:val="TableParagraph"/>
              <w:spacing w:before="0"/>
            </w:pPr>
          </w:p>
          <w:p w:rsidR="00C31389" w:rsidRDefault="00C31389" w14:paraId="1FA6805C" w14:textId="77777777">
            <w:pPr>
              <w:pStyle w:val="TableParagraph"/>
              <w:spacing w:before="0"/>
            </w:pPr>
          </w:p>
          <w:p w:rsidR="00C31389" w:rsidRDefault="00C31389" w14:paraId="51970DDE" w14:textId="77777777">
            <w:pPr>
              <w:pStyle w:val="TableParagraph"/>
              <w:spacing w:before="0"/>
            </w:pPr>
          </w:p>
          <w:p w:rsidR="00C31389" w:rsidRDefault="00C31389" w14:paraId="2AFBE7F0" w14:textId="77777777">
            <w:pPr>
              <w:pStyle w:val="TableParagraph"/>
              <w:spacing w:before="0"/>
            </w:pPr>
          </w:p>
          <w:p w:rsidR="00C31389" w:rsidRDefault="00C31389" w14:paraId="1CFD9BBC" w14:textId="77777777">
            <w:pPr>
              <w:pStyle w:val="TableParagraph"/>
              <w:spacing w:before="5"/>
              <w:rPr>
                <w:sz w:val="25"/>
              </w:rPr>
            </w:pPr>
          </w:p>
          <w:p w:rsidR="00C31389" w:rsidRDefault="00561FBD" w14:paraId="484C41F4" w14:textId="77777777">
            <w:pPr>
              <w:pStyle w:val="TableParagraph"/>
              <w:spacing w:before="0"/>
              <w:ind w:left="160" w:right="379"/>
              <w:rPr>
                <w:sz w:val="20"/>
              </w:rPr>
            </w:pPr>
            <w:r>
              <w:rPr>
                <w:sz w:val="20"/>
              </w:rPr>
              <w:t>Heat Pump Water</w:t>
            </w:r>
            <w:r>
              <w:rPr>
                <w:spacing w:val="-14"/>
                <w:sz w:val="20"/>
              </w:rPr>
              <w:t xml:space="preserve"> </w:t>
            </w:r>
            <w:r>
              <w:rPr>
                <w:sz w:val="20"/>
              </w:rPr>
              <w:t>Heater</w:t>
            </w:r>
          </w:p>
        </w:tc>
        <w:tc>
          <w:tcPr>
            <w:tcW w:w="1316" w:type="dxa"/>
            <w:tcBorders>
              <w:top w:val="single" w:color="B6B6B6" w:sz="4" w:space="0"/>
              <w:bottom w:val="single" w:color="B6B6B6" w:sz="4" w:space="0"/>
            </w:tcBorders>
          </w:tcPr>
          <w:p w:rsidR="00C31389" w:rsidRDefault="00C31389" w14:paraId="308B127F" w14:textId="77777777">
            <w:pPr>
              <w:pStyle w:val="TableParagraph"/>
              <w:spacing w:before="0"/>
            </w:pPr>
          </w:p>
          <w:p w:rsidR="00C31389" w:rsidRDefault="00C31389" w14:paraId="62515858" w14:textId="77777777">
            <w:pPr>
              <w:pStyle w:val="TableParagraph"/>
              <w:spacing w:before="0"/>
            </w:pPr>
          </w:p>
          <w:p w:rsidR="00C31389" w:rsidRDefault="00C31389" w14:paraId="65B70960" w14:textId="77777777">
            <w:pPr>
              <w:pStyle w:val="TableParagraph"/>
              <w:spacing w:before="0"/>
            </w:pPr>
          </w:p>
          <w:p w:rsidR="00C31389" w:rsidRDefault="00C31389" w14:paraId="39EF86CF" w14:textId="77777777">
            <w:pPr>
              <w:pStyle w:val="TableParagraph"/>
              <w:spacing w:before="0"/>
            </w:pPr>
          </w:p>
          <w:p w:rsidR="00C31389" w:rsidRDefault="00C31389" w14:paraId="3513925C" w14:textId="77777777">
            <w:pPr>
              <w:pStyle w:val="TableParagraph"/>
              <w:spacing w:before="0"/>
            </w:pPr>
          </w:p>
          <w:p w:rsidR="00C31389" w:rsidRDefault="00561FBD" w14:paraId="4AE2A11F" w14:textId="77777777">
            <w:pPr>
              <w:pStyle w:val="TableParagraph"/>
              <w:spacing w:before="155"/>
              <w:ind w:left="127"/>
              <w:rPr>
                <w:sz w:val="20"/>
              </w:rPr>
            </w:pPr>
            <w:r>
              <w:rPr>
                <w:spacing w:val="-5"/>
                <w:sz w:val="20"/>
              </w:rPr>
              <w:t>30%</w:t>
            </w:r>
          </w:p>
        </w:tc>
        <w:tc>
          <w:tcPr>
            <w:tcW w:w="4478" w:type="dxa"/>
            <w:tcBorders>
              <w:top w:val="single" w:color="B6B6B6" w:sz="4" w:space="0"/>
              <w:bottom w:val="single" w:color="B6B6B6" w:sz="4" w:space="0"/>
            </w:tcBorders>
          </w:tcPr>
          <w:p w:rsidR="00C31389" w:rsidRDefault="00561FBD" w14:paraId="734C09F6" w14:textId="77777777">
            <w:pPr>
              <w:pStyle w:val="TableParagraph"/>
              <w:ind w:left="163" w:right="121"/>
              <w:rPr>
                <w:sz w:val="20"/>
              </w:rPr>
            </w:pPr>
            <w:r>
              <w:rPr>
                <w:sz w:val="20"/>
              </w:rPr>
              <w:t>Heat pump water heater power draw is relatively</w:t>
            </w:r>
            <w:r>
              <w:rPr>
                <w:spacing w:val="-8"/>
                <w:sz w:val="20"/>
              </w:rPr>
              <w:t xml:space="preserve"> </w:t>
            </w:r>
            <w:r>
              <w:rPr>
                <w:sz w:val="20"/>
              </w:rPr>
              <w:t>small,</w:t>
            </w:r>
            <w:r>
              <w:rPr>
                <w:spacing w:val="-8"/>
                <w:sz w:val="20"/>
              </w:rPr>
              <w:t xml:space="preserve"> </w:t>
            </w:r>
            <w:r>
              <w:rPr>
                <w:sz w:val="20"/>
              </w:rPr>
              <w:t>ranging</w:t>
            </w:r>
            <w:r>
              <w:rPr>
                <w:spacing w:val="-8"/>
                <w:sz w:val="20"/>
              </w:rPr>
              <w:t xml:space="preserve"> </w:t>
            </w:r>
            <w:r>
              <w:rPr>
                <w:sz w:val="20"/>
              </w:rPr>
              <w:t>from</w:t>
            </w:r>
            <w:r>
              <w:rPr>
                <w:spacing w:val="-8"/>
                <w:sz w:val="20"/>
              </w:rPr>
              <w:t xml:space="preserve"> </w:t>
            </w:r>
            <w:r>
              <w:rPr>
                <w:sz w:val="20"/>
              </w:rPr>
              <w:t>approximately</w:t>
            </w:r>
            <w:r>
              <w:rPr>
                <w:spacing w:val="-7"/>
                <w:sz w:val="20"/>
              </w:rPr>
              <w:t xml:space="preserve"> </w:t>
            </w:r>
            <w:r>
              <w:rPr>
                <w:sz w:val="20"/>
              </w:rPr>
              <w:t xml:space="preserve">10- 20 amps according to the Watt Diet calculator, </w:t>
            </w:r>
            <w:r>
              <w:rPr>
                <w:sz w:val="20"/>
              </w:rPr>
              <w:t>leading the Redwood Energy study to suggest that a panel upgrade can be avoided by choosing</w:t>
            </w:r>
            <w:r>
              <w:rPr>
                <w:spacing w:val="-1"/>
                <w:sz w:val="20"/>
              </w:rPr>
              <w:t xml:space="preserve"> </w:t>
            </w:r>
            <w:r>
              <w:rPr>
                <w:sz w:val="20"/>
              </w:rPr>
              <w:t>a</w:t>
            </w:r>
            <w:r>
              <w:rPr>
                <w:spacing w:val="-1"/>
                <w:sz w:val="20"/>
              </w:rPr>
              <w:t xml:space="preserve"> </w:t>
            </w:r>
            <w:r>
              <w:rPr>
                <w:sz w:val="20"/>
              </w:rPr>
              <w:t>lower amperage</w:t>
            </w:r>
            <w:r>
              <w:rPr>
                <w:spacing w:val="-1"/>
                <w:sz w:val="20"/>
              </w:rPr>
              <w:t xml:space="preserve"> </w:t>
            </w:r>
            <w:r>
              <w:rPr>
                <w:sz w:val="20"/>
              </w:rPr>
              <w:t>model</w:t>
            </w:r>
            <w:r>
              <w:rPr>
                <w:spacing w:val="-1"/>
                <w:sz w:val="20"/>
              </w:rPr>
              <w:t xml:space="preserve"> </w:t>
            </w:r>
            <w:r>
              <w:rPr>
                <w:sz w:val="20"/>
              </w:rPr>
              <w:t>[10].</w:t>
            </w:r>
            <w:r>
              <w:rPr>
                <w:spacing w:val="-1"/>
                <w:sz w:val="20"/>
              </w:rPr>
              <w:t xml:space="preserve"> </w:t>
            </w:r>
            <w:r>
              <w:rPr>
                <w:sz w:val="20"/>
              </w:rPr>
              <w:t>On</w:t>
            </w:r>
            <w:r>
              <w:rPr>
                <w:spacing w:val="-1"/>
                <w:sz w:val="20"/>
              </w:rPr>
              <w:t xml:space="preserve"> </w:t>
            </w:r>
            <w:r>
              <w:rPr>
                <w:sz w:val="20"/>
              </w:rPr>
              <w:t>the other hand, the Palo Alto Electrification study assumed that all single-family buildings with a 100 amp panel would require an u</w:t>
            </w:r>
            <w:r>
              <w:rPr>
                <w:sz w:val="20"/>
              </w:rPr>
              <w:t>pgrade to install</w:t>
            </w:r>
            <w:r>
              <w:rPr>
                <w:spacing w:val="-3"/>
                <w:sz w:val="20"/>
              </w:rPr>
              <w:t xml:space="preserve"> </w:t>
            </w:r>
            <w:r>
              <w:rPr>
                <w:sz w:val="20"/>
              </w:rPr>
              <w:t>a</w:t>
            </w:r>
            <w:r>
              <w:rPr>
                <w:spacing w:val="-3"/>
                <w:sz w:val="20"/>
              </w:rPr>
              <w:t xml:space="preserve"> </w:t>
            </w:r>
            <w:r>
              <w:rPr>
                <w:sz w:val="20"/>
              </w:rPr>
              <w:t>heat</w:t>
            </w:r>
            <w:r>
              <w:rPr>
                <w:spacing w:val="-3"/>
                <w:sz w:val="20"/>
              </w:rPr>
              <w:t xml:space="preserve"> </w:t>
            </w:r>
            <w:r>
              <w:rPr>
                <w:sz w:val="20"/>
              </w:rPr>
              <w:t>pump</w:t>
            </w:r>
            <w:r>
              <w:rPr>
                <w:spacing w:val="-3"/>
                <w:sz w:val="20"/>
              </w:rPr>
              <w:t xml:space="preserve"> </w:t>
            </w:r>
            <w:r>
              <w:rPr>
                <w:sz w:val="20"/>
              </w:rPr>
              <w:t>water</w:t>
            </w:r>
            <w:r>
              <w:rPr>
                <w:spacing w:val="-2"/>
                <w:sz w:val="20"/>
              </w:rPr>
              <w:t xml:space="preserve"> </w:t>
            </w:r>
            <w:r>
              <w:rPr>
                <w:sz w:val="20"/>
              </w:rPr>
              <w:t>heater</w:t>
            </w:r>
            <w:r>
              <w:rPr>
                <w:spacing w:val="-2"/>
                <w:sz w:val="20"/>
              </w:rPr>
              <w:t xml:space="preserve"> </w:t>
            </w:r>
            <w:r>
              <w:rPr>
                <w:sz w:val="20"/>
              </w:rPr>
              <w:t>[3].</w:t>
            </w:r>
            <w:r>
              <w:rPr>
                <w:spacing w:val="-3"/>
                <w:sz w:val="20"/>
              </w:rPr>
              <w:t xml:space="preserve"> </w:t>
            </w:r>
            <w:r>
              <w:rPr>
                <w:sz w:val="20"/>
              </w:rPr>
              <w:t>This</w:t>
            </w:r>
            <w:r>
              <w:rPr>
                <w:spacing w:val="-3"/>
                <w:sz w:val="20"/>
              </w:rPr>
              <w:t xml:space="preserve"> </w:t>
            </w:r>
            <w:r>
              <w:rPr>
                <w:sz w:val="20"/>
              </w:rPr>
              <w:t>figure assumes that approximately half of single- family buildings with a 100 amp or smaller panel would require an upgrade.</w:t>
            </w:r>
          </w:p>
        </w:tc>
      </w:tr>
      <w:tr w:rsidR="00C31389" w14:paraId="6ECB1187" w14:textId="77777777">
        <w:trPr>
          <w:trHeight w:val="970"/>
        </w:trPr>
        <w:tc>
          <w:tcPr>
            <w:tcW w:w="1477" w:type="dxa"/>
            <w:tcBorders>
              <w:top w:val="single" w:color="B6B6B6" w:sz="4" w:space="0"/>
              <w:bottom w:val="single" w:color="B6B6B6" w:sz="4" w:space="0"/>
            </w:tcBorders>
          </w:tcPr>
          <w:p w:rsidR="00C31389" w:rsidRDefault="00C31389" w14:paraId="3FE53523" w14:textId="77777777">
            <w:pPr>
              <w:pStyle w:val="TableParagraph"/>
              <w:spacing w:before="6"/>
              <w:rPr>
                <w:sz w:val="23"/>
              </w:rPr>
            </w:pPr>
          </w:p>
          <w:p w:rsidR="00C31389" w:rsidRDefault="00561FBD" w14:paraId="57344D7D" w14:textId="77777777">
            <w:pPr>
              <w:pStyle w:val="TableParagraph"/>
              <w:spacing w:before="0"/>
              <w:ind w:left="115"/>
              <w:rPr>
                <w:sz w:val="20"/>
              </w:rPr>
            </w:pPr>
            <w:r>
              <w:rPr>
                <w:spacing w:val="-2"/>
                <w:sz w:val="20"/>
              </w:rPr>
              <w:t>Multifamily</w:t>
            </w:r>
          </w:p>
        </w:tc>
        <w:tc>
          <w:tcPr>
            <w:tcW w:w="1735" w:type="dxa"/>
            <w:tcBorders>
              <w:top w:val="single" w:color="B6B6B6" w:sz="4" w:space="0"/>
              <w:bottom w:val="single" w:color="B6B6B6" w:sz="4" w:space="0"/>
            </w:tcBorders>
          </w:tcPr>
          <w:p w:rsidR="00C31389" w:rsidRDefault="00561FBD" w14:paraId="0C8DA315" w14:textId="77777777">
            <w:pPr>
              <w:pStyle w:val="TableParagraph"/>
              <w:spacing w:before="155"/>
              <w:ind w:left="160" w:right="379"/>
              <w:rPr>
                <w:sz w:val="20"/>
              </w:rPr>
            </w:pPr>
            <w:r>
              <w:rPr>
                <w:sz w:val="20"/>
              </w:rPr>
              <w:t>Heat Pump Water</w:t>
            </w:r>
            <w:r>
              <w:rPr>
                <w:spacing w:val="-14"/>
                <w:sz w:val="20"/>
              </w:rPr>
              <w:t xml:space="preserve"> </w:t>
            </w:r>
            <w:r>
              <w:rPr>
                <w:sz w:val="20"/>
              </w:rPr>
              <w:t>Heater</w:t>
            </w:r>
          </w:p>
        </w:tc>
        <w:tc>
          <w:tcPr>
            <w:tcW w:w="1316" w:type="dxa"/>
            <w:tcBorders>
              <w:top w:val="single" w:color="B6B6B6" w:sz="4" w:space="0"/>
              <w:bottom w:val="single" w:color="B6B6B6" w:sz="4" w:space="0"/>
            </w:tcBorders>
          </w:tcPr>
          <w:p w:rsidR="00C31389" w:rsidRDefault="00C31389" w14:paraId="30B61AF8" w14:textId="77777777">
            <w:pPr>
              <w:pStyle w:val="TableParagraph"/>
              <w:spacing w:before="6"/>
              <w:rPr>
                <w:sz w:val="23"/>
              </w:rPr>
            </w:pPr>
          </w:p>
          <w:p w:rsidR="00C31389" w:rsidRDefault="00561FBD" w14:paraId="55357ABA" w14:textId="77777777">
            <w:pPr>
              <w:pStyle w:val="TableParagraph"/>
              <w:spacing w:before="0"/>
              <w:ind w:left="127"/>
              <w:rPr>
                <w:sz w:val="20"/>
              </w:rPr>
            </w:pPr>
            <w:r>
              <w:rPr>
                <w:spacing w:val="-5"/>
                <w:sz w:val="20"/>
              </w:rPr>
              <w:t>35%</w:t>
            </w:r>
          </w:p>
        </w:tc>
        <w:tc>
          <w:tcPr>
            <w:tcW w:w="4478" w:type="dxa"/>
            <w:tcBorders>
              <w:top w:val="single" w:color="B6B6B6" w:sz="4" w:space="0"/>
              <w:bottom w:val="single" w:color="B6B6B6" w:sz="4" w:space="0"/>
            </w:tcBorders>
          </w:tcPr>
          <w:p w:rsidR="00C31389" w:rsidRDefault="00561FBD" w14:paraId="7FB21B37" w14:textId="77777777">
            <w:pPr>
              <w:pStyle w:val="TableParagraph"/>
              <w:ind w:left="163"/>
              <w:rPr>
                <w:sz w:val="20"/>
              </w:rPr>
            </w:pPr>
            <w:r>
              <w:rPr>
                <w:sz w:val="20"/>
              </w:rPr>
              <w:t>This</w:t>
            </w:r>
            <w:r>
              <w:rPr>
                <w:spacing w:val="-6"/>
                <w:sz w:val="20"/>
              </w:rPr>
              <w:t xml:space="preserve"> </w:t>
            </w:r>
            <w:r>
              <w:rPr>
                <w:sz w:val="20"/>
              </w:rPr>
              <w:t>figure</w:t>
            </w:r>
            <w:r>
              <w:rPr>
                <w:spacing w:val="-7"/>
                <w:sz w:val="20"/>
              </w:rPr>
              <w:t xml:space="preserve"> </w:t>
            </w:r>
            <w:r>
              <w:rPr>
                <w:sz w:val="20"/>
              </w:rPr>
              <w:t>assumes</w:t>
            </w:r>
            <w:r>
              <w:rPr>
                <w:spacing w:val="-6"/>
                <w:sz w:val="20"/>
              </w:rPr>
              <w:t xml:space="preserve"> </w:t>
            </w:r>
            <w:r>
              <w:rPr>
                <w:sz w:val="20"/>
              </w:rPr>
              <w:t>that</w:t>
            </w:r>
            <w:r>
              <w:rPr>
                <w:spacing w:val="-7"/>
                <w:sz w:val="20"/>
              </w:rPr>
              <w:t xml:space="preserve"> </w:t>
            </w:r>
            <w:r>
              <w:rPr>
                <w:sz w:val="20"/>
              </w:rPr>
              <w:t>approximately</w:t>
            </w:r>
            <w:r>
              <w:rPr>
                <w:spacing w:val="-7"/>
                <w:sz w:val="20"/>
              </w:rPr>
              <w:t xml:space="preserve"> </w:t>
            </w:r>
            <w:r>
              <w:rPr>
                <w:sz w:val="20"/>
              </w:rPr>
              <w:t>half</w:t>
            </w:r>
            <w:r>
              <w:rPr>
                <w:spacing w:val="-7"/>
                <w:sz w:val="20"/>
              </w:rPr>
              <w:t xml:space="preserve"> </w:t>
            </w:r>
            <w:r>
              <w:rPr>
                <w:sz w:val="20"/>
              </w:rPr>
              <w:t>of multifamily homes with a 100 amp or smaller panel would require an upgrade.</w:t>
            </w:r>
          </w:p>
        </w:tc>
      </w:tr>
    </w:tbl>
    <w:p w:rsidR="00C31389" w:rsidRDefault="00561FBD" w14:paraId="7F6C4E51" w14:textId="77777777">
      <w:pPr>
        <w:spacing w:before="67"/>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79057761" w14:textId="77777777">
      <w:pPr>
        <w:pStyle w:val="BodyText"/>
        <w:spacing w:before="10"/>
        <w:rPr>
          <w:i/>
          <w:sz w:val="20"/>
        </w:rPr>
      </w:pPr>
    </w:p>
    <w:p w:rsidR="00C31389" w:rsidRDefault="00561FBD" w14:paraId="61C1AB1D" w14:textId="77777777">
      <w:pPr>
        <w:pStyle w:val="ListParagraph"/>
        <w:numPr>
          <w:ilvl w:val="1"/>
          <w:numId w:val="21"/>
        </w:numPr>
        <w:tabs>
          <w:tab w:val="left" w:pos="991"/>
        </w:tabs>
        <w:spacing w:before="1"/>
        <w:ind w:left="991" w:hanging="511"/>
        <w:rPr>
          <w:b/>
          <w:sz w:val="28"/>
        </w:rPr>
      </w:pPr>
      <w:bookmarkStart w:name="C.3_Gap_Analysis" w:id="389"/>
      <w:bookmarkStart w:name="_bookmark294" w:id="390"/>
      <w:bookmarkEnd w:id="389"/>
      <w:bookmarkEnd w:id="390"/>
      <w:r>
        <w:rPr>
          <w:b/>
          <w:sz w:val="28"/>
        </w:rPr>
        <w:t>Gap</w:t>
      </w:r>
      <w:r>
        <w:rPr>
          <w:b/>
          <w:spacing w:val="-18"/>
          <w:sz w:val="28"/>
        </w:rPr>
        <w:t xml:space="preserve"> </w:t>
      </w:r>
      <w:r>
        <w:rPr>
          <w:b/>
          <w:spacing w:val="-2"/>
          <w:sz w:val="28"/>
        </w:rPr>
        <w:t>Analysis</w:t>
      </w:r>
    </w:p>
    <w:p w:rsidR="00C31389" w:rsidRDefault="00561FBD" w14:paraId="5DCE6082" w14:textId="77777777">
      <w:pPr>
        <w:pStyle w:val="BodyText"/>
        <w:spacing w:before="239"/>
        <w:ind w:left="480" w:right="615"/>
      </w:pPr>
      <w:r>
        <w:t>This</w:t>
      </w:r>
      <w:r>
        <w:rPr>
          <w:spacing w:val="-3"/>
        </w:rPr>
        <w:t xml:space="preserve"> </w:t>
      </w:r>
      <w:r>
        <w:t>section</w:t>
      </w:r>
      <w:r>
        <w:rPr>
          <w:spacing w:val="-3"/>
        </w:rPr>
        <w:t xml:space="preserve"> </w:t>
      </w:r>
      <w:r>
        <w:t>discusses</w:t>
      </w:r>
      <w:r>
        <w:rPr>
          <w:spacing w:val="-3"/>
        </w:rPr>
        <w:t xml:space="preserve"> </w:t>
      </w:r>
      <w:r>
        <w:t>the</w:t>
      </w:r>
      <w:r>
        <w:rPr>
          <w:spacing w:val="-3"/>
        </w:rPr>
        <w:t xml:space="preserve"> </w:t>
      </w:r>
      <w:r>
        <w:t>reliability</w:t>
      </w:r>
      <w:r>
        <w:rPr>
          <w:spacing w:val="-3"/>
        </w:rPr>
        <w:t xml:space="preserve"> </w:t>
      </w:r>
      <w:r>
        <w:t>and</w:t>
      </w:r>
      <w:r>
        <w:rPr>
          <w:spacing w:val="-3"/>
        </w:rPr>
        <w:t xml:space="preserve"> </w:t>
      </w:r>
      <w:r>
        <w:t>validity</w:t>
      </w:r>
      <w:r>
        <w:rPr>
          <w:spacing w:val="-3"/>
        </w:rPr>
        <w:t xml:space="preserve"> </w:t>
      </w:r>
      <w:r>
        <w:t>of</w:t>
      </w:r>
      <w:r>
        <w:rPr>
          <w:spacing w:val="-3"/>
        </w:rPr>
        <w:t xml:space="preserve"> </w:t>
      </w:r>
      <w:r>
        <w:t>data</w:t>
      </w:r>
      <w:r>
        <w:rPr>
          <w:spacing w:val="-3"/>
        </w:rPr>
        <w:t xml:space="preserve"> </w:t>
      </w:r>
      <w:r>
        <w:t>sources</w:t>
      </w:r>
      <w:r>
        <w:rPr>
          <w:spacing w:val="-3"/>
        </w:rPr>
        <w:t xml:space="preserve"> </w:t>
      </w:r>
      <w:r>
        <w:t>and</w:t>
      </w:r>
      <w:r>
        <w:rPr>
          <w:spacing w:val="-3"/>
        </w:rPr>
        <w:t xml:space="preserve"> </w:t>
      </w:r>
      <w:r>
        <w:t>the</w:t>
      </w:r>
      <w:r>
        <w:rPr>
          <w:spacing w:val="-3"/>
        </w:rPr>
        <w:t xml:space="preserve"> </w:t>
      </w:r>
      <w:r>
        <w:t>key</w:t>
      </w:r>
      <w:r>
        <w:rPr>
          <w:spacing w:val="-3"/>
        </w:rPr>
        <w:t xml:space="preserve"> </w:t>
      </w:r>
      <w:r>
        <w:t>gaps</w:t>
      </w:r>
      <w:r>
        <w:rPr>
          <w:spacing w:val="-3"/>
        </w:rPr>
        <w:t xml:space="preserve"> </w:t>
      </w:r>
      <w:r>
        <w:t>in</w:t>
      </w:r>
      <w:r>
        <w:rPr>
          <w:spacing w:val="-3"/>
        </w:rPr>
        <w:t xml:space="preserve"> </w:t>
      </w:r>
      <w:r>
        <w:t>the data that should be add</w:t>
      </w:r>
      <w:r>
        <w:t>ressed through further research and primary data acquisition.</w:t>
      </w:r>
    </w:p>
    <w:p w:rsidR="00C31389" w:rsidRDefault="00C31389" w14:paraId="5159476C" w14:textId="77777777">
      <w:pPr>
        <w:pStyle w:val="BodyText"/>
        <w:rPr>
          <w:sz w:val="20"/>
        </w:rPr>
      </w:pPr>
    </w:p>
    <w:p w:rsidR="00C31389" w:rsidRDefault="00C31389" w14:paraId="6915DF29" w14:textId="77777777">
      <w:pPr>
        <w:pStyle w:val="BodyText"/>
        <w:rPr>
          <w:sz w:val="20"/>
        </w:rPr>
      </w:pPr>
    </w:p>
    <w:p w:rsidR="00C31389" w:rsidRDefault="00561FBD" w14:paraId="071F1B70" w14:textId="77777777">
      <w:pPr>
        <w:pStyle w:val="BodyText"/>
        <w:spacing w:before="10"/>
        <w:rPr>
          <w:sz w:val="10"/>
        </w:rPr>
      </w:pPr>
      <w:r>
        <w:rPr>
          <w:noProof/>
        </w:rPr>
        <mc:AlternateContent>
          <mc:Choice Requires="wps">
            <w:drawing>
              <wp:anchor distT="0" distB="0" distL="0" distR="0" simplePos="0" relativeHeight="487712768" behindDoc="1" locked="0" layoutInCell="1" allowOverlap="1" wp14:editId="701AC4B1" wp14:anchorId="69294A78">
                <wp:simplePos x="0" y="0"/>
                <wp:positionH relativeFrom="page">
                  <wp:posOffset>914400</wp:posOffset>
                </wp:positionH>
                <wp:positionV relativeFrom="paragraph">
                  <wp:posOffset>94714</wp:posOffset>
                </wp:positionV>
                <wp:extent cx="1828800" cy="6985"/>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81" style="position:absolute;margin-left:1in;margin-top:7.45pt;width:2in;height:.55pt;z-index:-1560371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" w14:anchorId="264C082E">
                <v:path arrowok="t"/>
                <w10:wrap type="topAndBottom" anchorx="page"/>
              </v:shape>
            </w:pict>
          </mc:Fallback>
        </mc:AlternateContent>
      </w:r>
    </w:p>
    <w:p w:rsidR="00C31389" w:rsidRDefault="00561FBD" w14:paraId="4F6C4E9C" w14:textId="77777777">
      <w:pPr>
        <w:spacing w:before="89"/>
        <w:ind w:left="480"/>
        <w:rPr>
          <w:sz w:val="18"/>
        </w:rPr>
      </w:pPr>
      <w:bookmarkStart w:name="_bookmark295" w:id="391"/>
      <w:bookmarkEnd w:id="391"/>
      <w:r>
        <w:rPr>
          <w:spacing w:val="-2"/>
          <w:position w:val="6"/>
          <w:sz w:val="12"/>
        </w:rPr>
        <w:t>90</w:t>
      </w:r>
      <w:r>
        <w:rPr>
          <w:spacing w:val="59"/>
          <w:position w:val="6"/>
          <w:sz w:val="12"/>
        </w:rPr>
        <w:t xml:space="preserve">  </w:t>
      </w:r>
      <w:hyperlink r:id="rId245">
        <w:r>
          <w:rPr>
            <w:color w:val="68942C"/>
            <w:spacing w:val="-2"/>
            <w:sz w:val="18"/>
            <w:u w:val="single" w:color="68942C"/>
          </w:rPr>
          <w:t>https://powersaveac.com/blog/post/how-many-amps-are-required-for-a-ductless-mini-split</w:t>
        </w:r>
      </w:hyperlink>
    </w:p>
    <w:p w:rsidR="00C31389" w:rsidRDefault="00561FBD" w14:paraId="091095FC" w14:textId="77777777">
      <w:pPr>
        <w:spacing w:before="35"/>
        <w:ind w:left="480" w:right="438"/>
        <w:rPr>
          <w:sz w:val="18"/>
        </w:rPr>
      </w:pPr>
      <w:bookmarkStart w:name="_bookmark296" w:id="392"/>
      <w:bookmarkEnd w:id="392"/>
      <w:r>
        <w:rPr>
          <w:position w:val="6"/>
          <w:sz w:val="12"/>
        </w:rPr>
        <w:t>91</w:t>
      </w:r>
      <w:r>
        <w:rPr>
          <w:spacing w:val="-1"/>
          <w:position w:val="6"/>
          <w:sz w:val="12"/>
        </w:rPr>
        <w:t xml:space="preserve"> </w:t>
      </w:r>
      <w:hyperlink r:id="rId246">
        <w:r>
          <w:rPr>
            <w:color w:val="68942C"/>
            <w:sz w:val="18"/>
            <w:u w:val="single" w:color="68942C"/>
          </w:rPr>
          <w:t>https://www.daycosystems.com/blog/air-conditioning-service/how-many-amps-are-required-for-a-ductless-mini-</w:t>
        </w:r>
      </w:hyperlink>
      <w:r>
        <w:rPr>
          <w:color w:val="68942C"/>
          <w:sz w:val="18"/>
        </w:rPr>
        <w:t xml:space="preserve"> </w:t>
      </w:r>
      <w:hyperlink r:id="rId247">
        <w:r>
          <w:rPr>
            <w:color w:val="68942C"/>
            <w:spacing w:val="-2"/>
            <w:sz w:val="18"/>
            <w:u w:val="single" w:color="68942C"/>
          </w:rPr>
          <w:t>split-system/</w:t>
        </w:r>
      </w:hyperlink>
    </w:p>
    <w:p w:rsidR="00C31389" w:rsidRDefault="00561FBD" w14:paraId="5C5699D2" w14:textId="77777777">
      <w:pPr>
        <w:spacing w:before="37"/>
        <w:ind w:left="480"/>
        <w:rPr>
          <w:sz w:val="18"/>
        </w:rPr>
      </w:pPr>
      <w:bookmarkStart w:name="_bookmark297" w:id="393"/>
      <w:bookmarkEnd w:id="393"/>
      <w:r>
        <w:rPr>
          <w:position w:val="6"/>
          <w:sz w:val="12"/>
        </w:rPr>
        <w:t>92</w:t>
      </w:r>
      <w:r>
        <w:rPr>
          <w:spacing w:val="17"/>
          <w:position w:val="6"/>
          <w:sz w:val="12"/>
        </w:rPr>
        <w:t xml:space="preserve"> </w:t>
      </w:r>
      <w:hyperlink r:id="rId248">
        <w:r>
          <w:rPr>
            <w:color w:val="68942C"/>
            <w:spacing w:val="-2"/>
            <w:sz w:val="18"/>
            <w:u w:val="single" w:color="68942C"/>
          </w:rPr>
          <w:t>https://www.c</w:t>
        </w:r>
        <w:r>
          <w:rPr>
            <w:color w:val="68942C"/>
            <w:spacing w:val="-2"/>
            <w:sz w:val="18"/>
            <w:u w:val="single" w:color="68942C"/>
          </w:rPr>
          <w:t>aetrm.com/measure/SWHC044/02/</w:t>
        </w:r>
      </w:hyperlink>
    </w:p>
    <w:p w:rsidR="00C31389" w:rsidRDefault="00C31389" w14:paraId="0157ECC0" w14:textId="77777777">
      <w:pPr>
        <w:rPr>
          <w:sz w:val="18"/>
        </w:rPr>
        <w:sectPr w:rsidR="00C31389">
          <w:pgSz w:w="11910" w:h="16840"/>
          <w:pgMar w:top="1660" w:right="1020" w:bottom="1120" w:left="960" w:header="397" w:footer="938" w:gutter="0"/>
          <w:cols w:space="720"/>
        </w:sectPr>
      </w:pPr>
    </w:p>
    <w:p w:rsidR="00C31389" w:rsidRDefault="00C31389" w14:paraId="252244F6" w14:textId="77777777">
      <w:pPr>
        <w:pStyle w:val="BodyText"/>
      </w:pPr>
    </w:p>
    <w:p w:rsidR="00C31389" w:rsidRDefault="00C31389" w14:paraId="0D0511F5" w14:textId="77777777">
      <w:pPr>
        <w:pStyle w:val="BodyText"/>
        <w:spacing w:before="2"/>
        <w:rPr>
          <w:sz w:val="13"/>
        </w:rPr>
      </w:pPr>
    </w:p>
    <w:p w:rsidR="00C31389" w:rsidRDefault="00561FBD" w14:paraId="168E9C77" w14:textId="77777777">
      <w:pPr>
        <w:pStyle w:val="ListParagraph"/>
        <w:numPr>
          <w:ilvl w:val="0"/>
          <w:numId w:val="20"/>
        </w:numPr>
        <w:tabs>
          <w:tab w:val="left" w:pos="1199"/>
        </w:tabs>
        <w:spacing w:before="100"/>
        <w:ind w:right="468"/>
      </w:pPr>
      <w:r>
        <w:t>Panel upgrade drivers and cost elements are not gathered consistently. The estimated costs for electric panel upgrades are building-specific, equipment-specific, and va</w:t>
      </w:r>
      <w:r>
        <w:t>ry greatly by region. As the findings of this review suggest, there is a wide range of costs and costing approaches depending on the scope of the upgrade and configuration</w:t>
      </w:r>
      <w:r>
        <w:rPr>
          <w:spacing w:val="-3"/>
        </w:rPr>
        <w:t xml:space="preserve"> </w:t>
      </w:r>
      <w:r>
        <w:t>of</w:t>
      </w:r>
      <w:r>
        <w:rPr>
          <w:spacing w:val="-3"/>
        </w:rPr>
        <w:t xml:space="preserve"> </w:t>
      </w:r>
      <w:r>
        <w:t>the</w:t>
      </w:r>
      <w:r>
        <w:rPr>
          <w:spacing w:val="-3"/>
        </w:rPr>
        <w:t xml:space="preserve"> </w:t>
      </w:r>
      <w:r>
        <w:t>existing</w:t>
      </w:r>
      <w:r>
        <w:rPr>
          <w:spacing w:val="-3"/>
        </w:rPr>
        <w:t xml:space="preserve"> </w:t>
      </w:r>
      <w:r>
        <w:t>home.</w:t>
      </w:r>
      <w:r>
        <w:rPr>
          <w:spacing w:val="-3"/>
        </w:rPr>
        <w:t xml:space="preserve"> </w:t>
      </w:r>
      <w:r>
        <w:t>For</w:t>
      </w:r>
      <w:r>
        <w:rPr>
          <w:spacing w:val="-3"/>
        </w:rPr>
        <w:t xml:space="preserve"> </w:t>
      </w:r>
      <w:r>
        <w:t>example,</w:t>
      </w:r>
      <w:r>
        <w:rPr>
          <w:spacing w:val="-3"/>
        </w:rPr>
        <w:t xml:space="preserve"> </w:t>
      </w:r>
      <w:r>
        <w:t>in</w:t>
      </w:r>
      <w:r>
        <w:rPr>
          <w:spacing w:val="-3"/>
        </w:rPr>
        <w:t xml:space="preserve"> </w:t>
      </w:r>
      <w:r>
        <w:t>[3]</w:t>
      </w:r>
      <w:r>
        <w:rPr>
          <w:spacing w:val="-3"/>
        </w:rPr>
        <w:t xml:space="preserve"> </w:t>
      </w:r>
      <w:r>
        <w:t>the</w:t>
      </w:r>
      <w:r>
        <w:rPr>
          <w:spacing w:val="-3"/>
        </w:rPr>
        <w:t xml:space="preserve"> </w:t>
      </w:r>
      <w:r>
        <w:t>labor</w:t>
      </w:r>
      <w:r>
        <w:rPr>
          <w:spacing w:val="-3"/>
        </w:rPr>
        <w:t xml:space="preserve"> </w:t>
      </w:r>
      <w:r>
        <w:t>cost</w:t>
      </w:r>
      <w:r>
        <w:rPr>
          <w:spacing w:val="-3"/>
        </w:rPr>
        <w:t xml:space="preserve"> </w:t>
      </w:r>
      <w:r>
        <w:t>is</w:t>
      </w:r>
      <w:r>
        <w:rPr>
          <w:spacing w:val="-3"/>
        </w:rPr>
        <w:t xml:space="preserve"> </w:t>
      </w:r>
      <w:r>
        <w:t>high</w:t>
      </w:r>
      <w:r>
        <w:rPr>
          <w:spacing w:val="-3"/>
        </w:rPr>
        <w:t xml:space="preserve"> </w:t>
      </w:r>
      <w:r>
        <w:t>since</w:t>
      </w:r>
      <w:r>
        <w:rPr>
          <w:spacing w:val="-3"/>
        </w:rPr>
        <w:t xml:space="preserve"> </w:t>
      </w:r>
      <w:r>
        <w:t xml:space="preserve">the </w:t>
      </w:r>
      <w:r>
        <w:t>relocation of the panel was required. The average costs presented here may not be representative of actual costs for specific buildings.</w:t>
      </w:r>
    </w:p>
    <w:p w:rsidR="00C31389" w:rsidRDefault="00C31389" w14:paraId="781542C1" w14:textId="77777777">
      <w:pPr>
        <w:pStyle w:val="BodyText"/>
        <w:spacing w:before="8"/>
        <w:rPr>
          <w:sz w:val="20"/>
        </w:rPr>
      </w:pPr>
    </w:p>
    <w:p w:rsidR="00C31389" w:rsidRDefault="00561FBD" w14:paraId="62AECD2D" w14:textId="77777777">
      <w:pPr>
        <w:pStyle w:val="ListParagraph"/>
        <w:numPr>
          <w:ilvl w:val="0"/>
          <w:numId w:val="20"/>
        </w:numPr>
        <w:tabs>
          <w:tab w:val="left" w:pos="1199"/>
        </w:tabs>
        <w:ind w:right="447"/>
      </w:pPr>
      <w:r>
        <w:t>A standardized panel upgrade cost data structure and terminology framework is needed. Creating a standardized structur</w:t>
      </w:r>
      <w:r>
        <w:t>e for capturing the scenarios and elemental costs</w:t>
      </w:r>
      <w:r>
        <w:rPr>
          <w:spacing w:val="-2"/>
        </w:rPr>
        <w:t xml:space="preserve"> </w:t>
      </w:r>
      <w:r>
        <w:t>of</w:t>
      </w:r>
      <w:r>
        <w:rPr>
          <w:spacing w:val="-2"/>
        </w:rPr>
        <w:t xml:space="preserve"> </w:t>
      </w:r>
      <w:r>
        <w:t>panel</w:t>
      </w:r>
      <w:r>
        <w:rPr>
          <w:spacing w:val="-2"/>
        </w:rPr>
        <w:t xml:space="preserve"> </w:t>
      </w:r>
      <w:r>
        <w:t>upgrades</w:t>
      </w:r>
      <w:r>
        <w:rPr>
          <w:spacing w:val="-3"/>
        </w:rPr>
        <w:t xml:space="preserve"> </w:t>
      </w:r>
      <w:r>
        <w:t>is</w:t>
      </w:r>
      <w:r>
        <w:rPr>
          <w:spacing w:val="-2"/>
        </w:rPr>
        <w:t xml:space="preserve"> </w:t>
      </w:r>
      <w:r>
        <w:t>an</w:t>
      </w:r>
      <w:r>
        <w:rPr>
          <w:spacing w:val="-2"/>
        </w:rPr>
        <w:t xml:space="preserve"> </w:t>
      </w:r>
      <w:r>
        <w:t>essential</w:t>
      </w:r>
      <w:r>
        <w:rPr>
          <w:spacing w:val="-2"/>
        </w:rPr>
        <w:t xml:space="preserve"> </w:t>
      </w:r>
      <w:r>
        <w:t>step</w:t>
      </w:r>
      <w:r>
        <w:rPr>
          <w:spacing w:val="-2"/>
        </w:rPr>
        <w:t xml:space="preserve"> </w:t>
      </w:r>
      <w:r>
        <w:t>for</w:t>
      </w:r>
      <w:r>
        <w:rPr>
          <w:spacing w:val="-2"/>
        </w:rPr>
        <w:t xml:space="preserve"> </w:t>
      </w:r>
      <w:r>
        <w:t>developing</w:t>
      </w:r>
      <w:r>
        <w:rPr>
          <w:spacing w:val="-2"/>
        </w:rPr>
        <w:t xml:space="preserve"> </w:t>
      </w:r>
      <w:r>
        <w:t>better</w:t>
      </w:r>
      <w:r>
        <w:rPr>
          <w:spacing w:val="-2"/>
        </w:rPr>
        <w:t xml:space="preserve"> </w:t>
      </w:r>
      <w:r>
        <w:t>panel</w:t>
      </w:r>
      <w:r>
        <w:rPr>
          <w:spacing w:val="-2"/>
        </w:rPr>
        <w:t xml:space="preserve"> </w:t>
      </w:r>
      <w:r>
        <w:t>upgrade</w:t>
      </w:r>
      <w:r>
        <w:rPr>
          <w:spacing w:val="-1"/>
        </w:rPr>
        <w:t xml:space="preserve"> </w:t>
      </w:r>
      <w:r>
        <w:t>cost estimates. This structure also needs to include taxonomy and terminology definitions to address the various scenarios that occ</w:t>
      </w:r>
      <w:r>
        <w:t>ur such as service upgrades, panel replacement, panel modernizations (e.g., conversion from fuse box to breakers), panel optimization, etc. This research can be used to develop a framework, which can</w:t>
      </w:r>
      <w:r>
        <w:rPr>
          <w:spacing w:val="-3"/>
        </w:rPr>
        <w:t xml:space="preserve"> </w:t>
      </w:r>
      <w:r>
        <w:t>be</w:t>
      </w:r>
      <w:r>
        <w:rPr>
          <w:spacing w:val="-3"/>
        </w:rPr>
        <w:t xml:space="preserve"> </w:t>
      </w:r>
      <w:r>
        <w:t>tested</w:t>
      </w:r>
      <w:r>
        <w:rPr>
          <w:spacing w:val="-3"/>
        </w:rPr>
        <w:t xml:space="preserve"> </w:t>
      </w:r>
      <w:r>
        <w:t>and</w:t>
      </w:r>
      <w:r>
        <w:rPr>
          <w:spacing w:val="-3"/>
        </w:rPr>
        <w:t xml:space="preserve"> </w:t>
      </w:r>
      <w:r>
        <w:t>refined</w:t>
      </w:r>
      <w:r>
        <w:rPr>
          <w:spacing w:val="-3"/>
        </w:rPr>
        <w:t xml:space="preserve"> </w:t>
      </w:r>
      <w:r>
        <w:t>to</w:t>
      </w:r>
      <w:r>
        <w:rPr>
          <w:spacing w:val="-3"/>
        </w:rPr>
        <w:t xml:space="preserve"> </w:t>
      </w:r>
      <w:r>
        <w:t>gather</w:t>
      </w:r>
      <w:r>
        <w:rPr>
          <w:spacing w:val="-5"/>
        </w:rPr>
        <w:t xml:space="preserve"> </w:t>
      </w:r>
      <w:r>
        <w:t>data</w:t>
      </w:r>
      <w:r>
        <w:rPr>
          <w:spacing w:val="-3"/>
        </w:rPr>
        <w:t xml:space="preserve"> </w:t>
      </w:r>
      <w:r>
        <w:t>for</w:t>
      </w:r>
      <w:r>
        <w:rPr>
          <w:spacing w:val="-3"/>
        </w:rPr>
        <w:t xml:space="preserve"> </w:t>
      </w:r>
      <w:r>
        <w:t>EE</w:t>
      </w:r>
      <w:r>
        <w:rPr>
          <w:spacing w:val="-3"/>
        </w:rPr>
        <w:t xml:space="preserve"> </w:t>
      </w:r>
      <w:r>
        <w:t>program</w:t>
      </w:r>
      <w:r>
        <w:rPr>
          <w:spacing w:val="-4"/>
        </w:rPr>
        <w:t xml:space="preserve"> </w:t>
      </w:r>
      <w:r>
        <w:t>FS</w:t>
      </w:r>
      <w:r>
        <w:rPr>
          <w:spacing w:val="-2"/>
        </w:rPr>
        <w:t xml:space="preserve"> </w:t>
      </w:r>
      <w:r>
        <w:t>m</w:t>
      </w:r>
      <w:r>
        <w:t>easures</w:t>
      </w:r>
      <w:r>
        <w:rPr>
          <w:spacing w:val="-3"/>
        </w:rPr>
        <w:t xml:space="preserve"> </w:t>
      </w:r>
      <w:r>
        <w:t>and</w:t>
      </w:r>
      <w:r>
        <w:rPr>
          <w:spacing w:val="-3"/>
        </w:rPr>
        <w:t xml:space="preserve"> </w:t>
      </w:r>
      <w:r>
        <w:t>the</w:t>
      </w:r>
      <w:r>
        <w:rPr>
          <w:spacing w:val="-3"/>
        </w:rPr>
        <w:t xml:space="preserve"> </w:t>
      </w:r>
      <w:r>
        <w:t xml:space="preserve">TECH </w:t>
      </w:r>
      <w:r>
        <w:rPr>
          <w:spacing w:val="-2"/>
        </w:rPr>
        <w:t>program.</w:t>
      </w:r>
    </w:p>
    <w:p w:rsidR="00C31389" w:rsidRDefault="00C31389" w14:paraId="67021E86" w14:textId="77777777">
      <w:pPr>
        <w:pStyle w:val="BodyText"/>
        <w:spacing w:before="9"/>
        <w:rPr>
          <w:sz w:val="20"/>
        </w:rPr>
      </w:pPr>
    </w:p>
    <w:p w:rsidR="00C31389" w:rsidRDefault="00561FBD" w14:paraId="5759D917" w14:textId="77777777">
      <w:pPr>
        <w:pStyle w:val="ListParagraph"/>
        <w:numPr>
          <w:ilvl w:val="0"/>
          <w:numId w:val="20"/>
        </w:numPr>
        <w:tabs>
          <w:tab w:val="left" w:pos="1199"/>
        </w:tabs>
        <w:ind w:right="422"/>
      </w:pPr>
      <w:r>
        <w:t>Undocumented assumptions make cost comparisons difficult. There are many assumptions</w:t>
      </w:r>
      <w:r>
        <w:rPr>
          <w:spacing w:val="-3"/>
        </w:rPr>
        <w:t xml:space="preserve"> </w:t>
      </w:r>
      <w:r>
        <w:t>built</w:t>
      </w:r>
      <w:r>
        <w:rPr>
          <w:spacing w:val="-3"/>
        </w:rPr>
        <w:t xml:space="preserve"> </w:t>
      </w:r>
      <w:r>
        <w:t>into</w:t>
      </w:r>
      <w:r>
        <w:rPr>
          <w:spacing w:val="-3"/>
        </w:rPr>
        <w:t xml:space="preserve"> </w:t>
      </w:r>
      <w:r>
        <w:t>the</w:t>
      </w:r>
      <w:r>
        <w:rPr>
          <w:spacing w:val="-3"/>
        </w:rPr>
        <w:t xml:space="preserve"> </w:t>
      </w:r>
      <w:r>
        <w:t>cost</w:t>
      </w:r>
      <w:r>
        <w:rPr>
          <w:spacing w:val="-3"/>
        </w:rPr>
        <w:t xml:space="preserve"> </w:t>
      </w:r>
      <w:r>
        <w:t>estimates</w:t>
      </w:r>
      <w:r>
        <w:rPr>
          <w:spacing w:val="-3"/>
        </w:rPr>
        <w:t xml:space="preserve"> </w:t>
      </w:r>
      <w:r>
        <w:t>in</w:t>
      </w:r>
      <w:r>
        <w:rPr>
          <w:spacing w:val="-3"/>
        </w:rPr>
        <w:t xml:space="preserve"> </w:t>
      </w:r>
      <w:r>
        <w:t>these</w:t>
      </w:r>
      <w:r>
        <w:rPr>
          <w:spacing w:val="-3"/>
        </w:rPr>
        <w:t xml:space="preserve"> </w:t>
      </w:r>
      <w:r>
        <w:t>studies</w:t>
      </w:r>
      <w:r>
        <w:rPr>
          <w:spacing w:val="-3"/>
        </w:rPr>
        <w:t xml:space="preserve"> </w:t>
      </w:r>
      <w:r>
        <w:t>and</w:t>
      </w:r>
      <w:r>
        <w:rPr>
          <w:spacing w:val="-3"/>
        </w:rPr>
        <w:t xml:space="preserve"> </w:t>
      </w:r>
      <w:r>
        <w:t>not</w:t>
      </w:r>
      <w:r>
        <w:rPr>
          <w:spacing w:val="-3"/>
        </w:rPr>
        <w:t xml:space="preserve"> </w:t>
      </w:r>
      <w:r>
        <w:t>all</w:t>
      </w:r>
      <w:r>
        <w:rPr>
          <w:spacing w:val="-3"/>
        </w:rPr>
        <w:t xml:space="preserve"> </w:t>
      </w:r>
      <w:r>
        <w:t>of</w:t>
      </w:r>
      <w:r>
        <w:rPr>
          <w:spacing w:val="-4"/>
        </w:rPr>
        <w:t xml:space="preserve"> </w:t>
      </w:r>
      <w:r>
        <w:t>the</w:t>
      </w:r>
      <w:r>
        <w:rPr>
          <w:spacing w:val="-3"/>
        </w:rPr>
        <w:t xml:space="preserve"> </w:t>
      </w:r>
      <w:r>
        <w:t>details</w:t>
      </w:r>
      <w:r>
        <w:rPr>
          <w:spacing w:val="-3"/>
        </w:rPr>
        <w:t xml:space="preserve"> </w:t>
      </w:r>
      <w:r>
        <w:t xml:space="preserve">are documented nor completely grounded in real data. For </w:t>
      </w:r>
      <w:r>
        <w:t xml:space="preserve">example, minor variations in contractor overhead or the labor hourly rates may lead to significant differences. According to [13], labor rates vary from $65/hour to $95/hour and the mark-up for overhead varies between 15% to 20% depending on the region of </w:t>
      </w:r>
      <w:r>
        <w:t>the state. In addition, some of the resources are referring to a 2016 study [3] and the cost data might not reflect the current inflation and supply chain challenges. In one study [2], it was noted that the price estimates are far different since the COVID</w:t>
      </w:r>
      <w:r>
        <w:t>-19 pandemic</w:t>
      </w:r>
      <w:r>
        <w:rPr>
          <w:spacing w:val="40"/>
        </w:rPr>
        <w:t xml:space="preserve"> </w:t>
      </w:r>
      <w:r>
        <w:t>has impacted the economy. Material cost has increased due to supply chain disruptions and manufacturing and shipping delays from the pandemic, making it the dominant cost in service upgrades [2].</w:t>
      </w:r>
    </w:p>
    <w:p w:rsidR="00C31389" w:rsidRDefault="00C31389" w14:paraId="2CEA1C1A" w14:textId="77777777">
      <w:pPr>
        <w:pStyle w:val="BodyText"/>
        <w:spacing w:before="8"/>
        <w:rPr>
          <w:sz w:val="20"/>
        </w:rPr>
      </w:pPr>
    </w:p>
    <w:p w:rsidR="00C31389" w:rsidRDefault="00561FBD" w14:paraId="2C44D5A2" w14:textId="77777777">
      <w:pPr>
        <w:pStyle w:val="ListParagraph"/>
        <w:numPr>
          <w:ilvl w:val="0"/>
          <w:numId w:val="20"/>
        </w:numPr>
        <w:tabs>
          <w:tab w:val="left" w:pos="1199"/>
        </w:tabs>
        <w:ind w:right="728"/>
      </w:pPr>
      <w:r>
        <w:t>Differences in terminology make cost compariso</w:t>
      </w:r>
      <w:r>
        <w:t>ns difficult. There is a lack of granular cost data with a clear breakdown and consistent terminology. A better structure</w:t>
      </w:r>
      <w:r>
        <w:rPr>
          <w:spacing w:val="-3"/>
        </w:rPr>
        <w:t xml:space="preserve"> </w:t>
      </w:r>
      <w:r>
        <w:t>for</w:t>
      </w:r>
      <w:r>
        <w:rPr>
          <w:spacing w:val="-4"/>
        </w:rPr>
        <w:t xml:space="preserve"> </w:t>
      </w:r>
      <w:r>
        <w:t>data</w:t>
      </w:r>
      <w:r>
        <w:rPr>
          <w:spacing w:val="-3"/>
        </w:rPr>
        <w:t xml:space="preserve"> </w:t>
      </w:r>
      <w:r>
        <w:t>collection</w:t>
      </w:r>
      <w:r>
        <w:rPr>
          <w:spacing w:val="-3"/>
        </w:rPr>
        <w:t xml:space="preserve"> </w:t>
      </w:r>
      <w:r>
        <w:t>in</w:t>
      </w:r>
      <w:r>
        <w:rPr>
          <w:spacing w:val="-3"/>
        </w:rPr>
        <w:t xml:space="preserve"> </w:t>
      </w:r>
      <w:r>
        <w:t>the</w:t>
      </w:r>
      <w:r>
        <w:rPr>
          <w:spacing w:val="-3"/>
        </w:rPr>
        <w:t xml:space="preserve"> </w:t>
      </w:r>
      <w:r>
        <w:t>TECH</w:t>
      </w:r>
      <w:r>
        <w:rPr>
          <w:spacing w:val="-4"/>
        </w:rPr>
        <w:t xml:space="preserve"> </w:t>
      </w:r>
      <w:r>
        <w:t>Initiative</w:t>
      </w:r>
      <w:r>
        <w:rPr>
          <w:spacing w:val="-4"/>
        </w:rPr>
        <w:t xml:space="preserve"> </w:t>
      </w:r>
      <w:r>
        <w:t>would</w:t>
      </w:r>
      <w:r>
        <w:rPr>
          <w:spacing w:val="-3"/>
        </w:rPr>
        <w:t xml:space="preserve"> </w:t>
      </w:r>
      <w:r>
        <w:t>address</w:t>
      </w:r>
      <w:r>
        <w:rPr>
          <w:spacing w:val="-3"/>
        </w:rPr>
        <w:t xml:space="preserve"> </w:t>
      </w:r>
      <w:r>
        <w:t>this</w:t>
      </w:r>
      <w:r>
        <w:rPr>
          <w:spacing w:val="-4"/>
        </w:rPr>
        <w:t xml:space="preserve"> </w:t>
      </w:r>
      <w:r>
        <w:t>gap.</w:t>
      </w:r>
      <w:r>
        <w:rPr>
          <w:spacing w:val="-3"/>
        </w:rPr>
        <w:t xml:space="preserve"> </w:t>
      </w:r>
      <w:r>
        <w:t>There</w:t>
      </w:r>
      <w:r>
        <w:rPr>
          <w:spacing w:val="-3"/>
        </w:rPr>
        <w:t xml:space="preserve"> </w:t>
      </w:r>
      <w:r>
        <w:t>is also some inconsistency as to the purpose of a panel upgra</w:t>
      </w:r>
      <w:r>
        <w:t>de—whether it is to address code compliance associated with outdated equipment or a problematic location, or an upgrade to increase service.</w:t>
      </w:r>
    </w:p>
    <w:p w:rsidR="00C31389" w:rsidRDefault="00C31389" w14:paraId="67C46690" w14:textId="77777777">
      <w:pPr>
        <w:pStyle w:val="BodyText"/>
        <w:spacing w:before="8"/>
        <w:rPr>
          <w:sz w:val="20"/>
        </w:rPr>
      </w:pPr>
    </w:p>
    <w:p w:rsidR="00C31389" w:rsidRDefault="00561FBD" w14:paraId="749FA3C9" w14:textId="77777777">
      <w:pPr>
        <w:pStyle w:val="ListParagraph"/>
        <w:numPr>
          <w:ilvl w:val="0"/>
          <w:numId w:val="20"/>
        </w:numPr>
        <w:tabs>
          <w:tab w:val="left" w:pos="1199"/>
        </w:tabs>
        <w:ind w:right="521"/>
      </w:pPr>
      <w:r>
        <w:t xml:space="preserve">Lack of data on panel size in existing building stock. There is a lack of data on statewide </w:t>
      </w:r>
      <w:r>
        <w:t>characterization of residential electrical panel sizes, so it is difficult to estimate the precise number of homes in California for which FS requires a panel upgrade. As a result of this research, the Guidehouse team learned that the California</w:t>
      </w:r>
      <w:r>
        <w:rPr>
          <w:spacing w:val="-3"/>
        </w:rPr>
        <w:t xml:space="preserve"> </w:t>
      </w:r>
      <w:r>
        <w:t>Energy</w:t>
      </w:r>
      <w:r>
        <w:rPr>
          <w:spacing w:val="-3"/>
        </w:rPr>
        <w:t xml:space="preserve"> </w:t>
      </w:r>
      <w:r>
        <w:t>Com</w:t>
      </w:r>
      <w:r>
        <w:t>mission</w:t>
      </w:r>
      <w:r>
        <w:rPr>
          <w:spacing w:val="-3"/>
        </w:rPr>
        <w:t xml:space="preserve"> </w:t>
      </w:r>
      <w:r>
        <w:t>(CEC)</w:t>
      </w:r>
      <w:r>
        <w:rPr>
          <w:spacing w:val="-3"/>
        </w:rPr>
        <w:t xml:space="preserve"> </w:t>
      </w:r>
      <w:r>
        <w:t>may</w:t>
      </w:r>
      <w:r>
        <w:rPr>
          <w:spacing w:val="-3"/>
        </w:rPr>
        <w:t xml:space="preserve"> </w:t>
      </w:r>
      <w:r>
        <w:t>be</w:t>
      </w:r>
      <w:r>
        <w:rPr>
          <w:spacing w:val="-3"/>
        </w:rPr>
        <w:t xml:space="preserve"> </w:t>
      </w:r>
      <w:r>
        <w:t>gathering</w:t>
      </w:r>
      <w:r>
        <w:rPr>
          <w:spacing w:val="-3"/>
        </w:rPr>
        <w:t xml:space="preserve"> </w:t>
      </w:r>
      <w:r>
        <w:t>data</w:t>
      </w:r>
      <w:r>
        <w:rPr>
          <w:spacing w:val="-3"/>
        </w:rPr>
        <w:t xml:space="preserve"> </w:t>
      </w:r>
      <w:r>
        <w:t>from</w:t>
      </w:r>
      <w:r>
        <w:rPr>
          <w:spacing w:val="-4"/>
        </w:rPr>
        <w:t xml:space="preserve"> </w:t>
      </w:r>
      <w:r>
        <w:t>the</w:t>
      </w:r>
      <w:r>
        <w:rPr>
          <w:spacing w:val="-3"/>
        </w:rPr>
        <w:t xml:space="preserve"> </w:t>
      </w:r>
      <w:r>
        <w:t>utilities</w:t>
      </w:r>
      <w:r>
        <w:rPr>
          <w:spacing w:val="-3"/>
        </w:rPr>
        <w:t xml:space="preserve"> </w:t>
      </w:r>
      <w:r>
        <w:t>for</w:t>
      </w:r>
      <w:r>
        <w:rPr>
          <w:spacing w:val="-3"/>
        </w:rPr>
        <w:t xml:space="preserve"> </w:t>
      </w:r>
      <w:r>
        <w:t>this purpose related to their Senate Bill (SB) 67 work. There is also some data available from the TECH Initiative tracking data that is available from the public website (provided in the Excel wor</w:t>
      </w:r>
      <w:r>
        <w:t xml:space="preserve">kbook that accompanies this memo). The Guidehouse team’s preliminary analysis of the data showed that very few panel upgrades are needed but panel upgrades may have been done prior to TECH Initiative </w:t>
      </w:r>
      <w:r>
        <w:rPr>
          <w:spacing w:val="-2"/>
        </w:rPr>
        <w:t>participation.</w:t>
      </w:r>
    </w:p>
    <w:p w:rsidR="00C31389" w:rsidRDefault="00C31389" w14:paraId="2B5B516E" w14:textId="77777777">
      <w:pPr>
        <w:sectPr w:rsidR="00C31389">
          <w:headerReference w:type="default" r:id="rId249"/>
          <w:footerReference w:type="default" r:id="rId250"/>
          <w:pgSz w:w="11910" w:h="16840"/>
          <w:pgMar w:top="1380" w:right="1020" w:bottom="1120" w:left="960" w:header="397" w:footer="938" w:gutter="0"/>
          <w:cols w:space="720"/>
        </w:sectPr>
      </w:pPr>
    </w:p>
    <w:p w:rsidR="00C31389" w:rsidRDefault="00C31389" w14:paraId="694FA2BA" w14:textId="77777777">
      <w:pPr>
        <w:pStyle w:val="BodyText"/>
      </w:pPr>
    </w:p>
    <w:p w:rsidR="00C31389" w:rsidRDefault="00C31389" w14:paraId="627FCFA0" w14:textId="77777777">
      <w:pPr>
        <w:pStyle w:val="BodyText"/>
        <w:spacing w:before="1"/>
        <w:rPr>
          <w:sz w:val="14"/>
        </w:rPr>
      </w:pPr>
    </w:p>
    <w:p w:rsidR="00C31389" w:rsidRDefault="00561FBD" w14:paraId="5C4D1AD2" w14:textId="77777777">
      <w:pPr>
        <w:pStyle w:val="ListParagraph"/>
        <w:numPr>
          <w:ilvl w:val="1"/>
          <w:numId w:val="21"/>
        </w:numPr>
        <w:tabs>
          <w:tab w:val="left" w:pos="991"/>
        </w:tabs>
        <w:spacing w:before="90"/>
        <w:ind w:left="480" w:right="2100" w:firstLine="0"/>
        <w:rPr>
          <w:b/>
          <w:sz w:val="28"/>
        </w:rPr>
      </w:pPr>
      <w:bookmarkStart w:name="C.4_Incorporating_Panel_Upgrade_Data_int" w:id="394"/>
      <w:bookmarkStart w:name="_bookmark298" w:id="395"/>
      <w:bookmarkEnd w:id="394"/>
      <w:bookmarkEnd w:id="395"/>
      <w:r>
        <w:rPr>
          <w:b/>
          <w:sz w:val="28"/>
        </w:rPr>
        <w:t>Incorporating</w:t>
      </w:r>
      <w:r>
        <w:rPr>
          <w:b/>
          <w:spacing w:val="-6"/>
          <w:sz w:val="28"/>
        </w:rPr>
        <w:t xml:space="preserve"> </w:t>
      </w:r>
      <w:r>
        <w:rPr>
          <w:b/>
          <w:sz w:val="28"/>
        </w:rPr>
        <w:t>Panel</w:t>
      </w:r>
      <w:r>
        <w:rPr>
          <w:b/>
          <w:spacing w:val="-5"/>
          <w:sz w:val="28"/>
        </w:rPr>
        <w:t xml:space="preserve"> </w:t>
      </w:r>
      <w:r>
        <w:rPr>
          <w:b/>
          <w:sz w:val="28"/>
        </w:rPr>
        <w:t>Upgrade</w:t>
      </w:r>
      <w:r>
        <w:rPr>
          <w:b/>
          <w:spacing w:val="-5"/>
          <w:sz w:val="28"/>
        </w:rPr>
        <w:t xml:space="preserve"> </w:t>
      </w:r>
      <w:r>
        <w:rPr>
          <w:b/>
          <w:sz w:val="28"/>
        </w:rPr>
        <w:t>Data</w:t>
      </w:r>
      <w:r>
        <w:rPr>
          <w:b/>
          <w:spacing w:val="-5"/>
          <w:sz w:val="28"/>
        </w:rPr>
        <w:t xml:space="preserve"> </w:t>
      </w:r>
      <w:r>
        <w:rPr>
          <w:b/>
          <w:sz w:val="28"/>
        </w:rPr>
        <w:t>into</w:t>
      </w:r>
      <w:r>
        <w:rPr>
          <w:b/>
          <w:spacing w:val="-6"/>
          <w:sz w:val="28"/>
        </w:rPr>
        <w:t xml:space="preserve"> </w:t>
      </w:r>
      <w:r>
        <w:rPr>
          <w:b/>
          <w:sz w:val="28"/>
        </w:rPr>
        <w:t>the</w:t>
      </w:r>
      <w:r>
        <w:rPr>
          <w:b/>
          <w:spacing w:val="-5"/>
          <w:sz w:val="28"/>
        </w:rPr>
        <w:t xml:space="preserve"> </w:t>
      </w:r>
      <w:r>
        <w:rPr>
          <w:b/>
          <w:sz w:val="28"/>
        </w:rPr>
        <w:t xml:space="preserve">Measure </w:t>
      </w:r>
      <w:r>
        <w:rPr>
          <w:b/>
          <w:spacing w:val="-2"/>
          <w:sz w:val="28"/>
        </w:rPr>
        <w:t>Characterization</w:t>
      </w:r>
    </w:p>
    <w:p w:rsidR="00C31389" w:rsidRDefault="00561FBD" w14:paraId="150AC122" w14:textId="77777777">
      <w:pPr>
        <w:pStyle w:val="BodyText"/>
        <w:spacing w:before="242"/>
        <w:ind w:left="480" w:right="452"/>
      </w:pPr>
      <w:r>
        <w:t>The Guidehouse team accounted for the percent of homes needing a panel upgrade for</w:t>
      </w:r>
      <w:r>
        <w:rPr>
          <w:spacing w:val="40"/>
        </w:rPr>
        <w:t xml:space="preserve"> </w:t>
      </w:r>
      <w:r>
        <w:t xml:space="preserve">each </w:t>
      </w:r>
      <w:r>
        <w:t>technology substitution in the above table by disaggregating the density of each technology into a panel upgrade percentage and a non-panel upgrade percentage. For example,</w:t>
      </w:r>
      <w:r>
        <w:rPr>
          <w:spacing w:val="-3"/>
        </w:rPr>
        <w:t xml:space="preserve"> </w:t>
      </w:r>
      <w:r>
        <w:t>if</w:t>
      </w:r>
      <w:r>
        <w:rPr>
          <w:spacing w:val="-3"/>
        </w:rPr>
        <w:t xml:space="preserve"> </w:t>
      </w:r>
      <w:r>
        <w:t>the</w:t>
      </w:r>
      <w:r>
        <w:rPr>
          <w:spacing w:val="-3"/>
        </w:rPr>
        <w:t xml:space="preserve"> </w:t>
      </w:r>
      <w:r>
        <w:t>total</w:t>
      </w:r>
      <w:r>
        <w:rPr>
          <w:spacing w:val="-3"/>
        </w:rPr>
        <w:t xml:space="preserve"> </w:t>
      </w:r>
      <w:r>
        <w:t>density</w:t>
      </w:r>
      <w:r>
        <w:rPr>
          <w:spacing w:val="-3"/>
        </w:rPr>
        <w:t xml:space="preserve"> </w:t>
      </w:r>
      <w:r>
        <w:t>of</w:t>
      </w:r>
      <w:r>
        <w:rPr>
          <w:spacing w:val="-3"/>
        </w:rPr>
        <w:t xml:space="preserve"> </w:t>
      </w:r>
      <w:r>
        <w:t>residential</w:t>
      </w:r>
      <w:r>
        <w:rPr>
          <w:spacing w:val="-3"/>
        </w:rPr>
        <w:t xml:space="preserve"> </w:t>
      </w:r>
      <w:r>
        <w:t>gas</w:t>
      </w:r>
      <w:r>
        <w:rPr>
          <w:spacing w:val="-3"/>
        </w:rPr>
        <w:t xml:space="preserve"> </w:t>
      </w:r>
      <w:r>
        <w:t>water</w:t>
      </w:r>
      <w:r>
        <w:rPr>
          <w:spacing w:val="-3"/>
        </w:rPr>
        <w:t xml:space="preserve"> </w:t>
      </w:r>
      <w:r>
        <w:t>heaters</w:t>
      </w:r>
      <w:r>
        <w:rPr>
          <w:spacing w:val="-4"/>
        </w:rPr>
        <w:t xml:space="preserve"> </w:t>
      </w:r>
      <w:r>
        <w:t>is</w:t>
      </w:r>
      <w:r>
        <w:rPr>
          <w:spacing w:val="-3"/>
        </w:rPr>
        <w:t xml:space="preserve"> </w:t>
      </w:r>
      <w:r>
        <w:t>40%,</w:t>
      </w:r>
      <w:r>
        <w:rPr>
          <w:spacing w:val="-3"/>
        </w:rPr>
        <w:t xml:space="preserve"> </w:t>
      </w:r>
      <w:r>
        <w:t>and</w:t>
      </w:r>
      <w:r>
        <w:rPr>
          <w:spacing w:val="-4"/>
        </w:rPr>
        <w:t xml:space="preserve"> </w:t>
      </w:r>
      <w:r>
        <w:t>30%</w:t>
      </w:r>
      <w:r>
        <w:rPr>
          <w:spacing w:val="-3"/>
        </w:rPr>
        <w:t xml:space="preserve"> </w:t>
      </w:r>
      <w:r>
        <w:t>of</w:t>
      </w:r>
      <w:r>
        <w:rPr>
          <w:spacing w:val="-3"/>
        </w:rPr>
        <w:t xml:space="preserve"> </w:t>
      </w:r>
      <w:r>
        <w:t>single-fam</w:t>
      </w:r>
      <w:r>
        <w:t>ily homes would require a panel upgrade (from Table C-7) when replacing a gas water heater with a heat pump water heater, the measure would be split into two separate measures with the density of the panel upgrade version being 12% (0.4 * 0.3) and the dens</w:t>
      </w:r>
      <w:r>
        <w:t xml:space="preserve">ity of the non- panel upgrade version being 28% (0.4 * 0.7). </w:t>
      </w:r>
      <w:hyperlink w:history="1" w:anchor="_bookmark299">
        <w:r>
          <w:t>Figure C-1</w:t>
        </w:r>
      </w:hyperlink>
      <w:r>
        <w:t xml:space="preserve"> illustrates this split (percentages</w:t>
      </w:r>
      <w:r>
        <w:rPr>
          <w:spacing w:val="40"/>
        </w:rPr>
        <w:t xml:space="preserve"> </w:t>
      </w:r>
      <w:r>
        <w:t>are for illustrative purposes only).</w:t>
      </w:r>
    </w:p>
    <w:p w:rsidR="00C31389" w:rsidRDefault="00C31389" w14:paraId="589FFCD5" w14:textId="77777777">
      <w:pPr>
        <w:pStyle w:val="BodyText"/>
        <w:spacing w:before="9"/>
        <w:rPr>
          <w:sz w:val="20"/>
        </w:rPr>
      </w:pPr>
    </w:p>
    <w:p w:rsidR="00C31389" w:rsidRDefault="00561FBD" w14:paraId="0CB35C29" w14:textId="77777777">
      <w:pPr>
        <w:pStyle w:val="Heading7"/>
        <w:spacing w:before="1"/>
        <w:ind w:left="4223" w:right="434" w:hanging="3489"/>
      </w:pPr>
      <w:bookmarkStart w:name="_bookmark299" w:id="396"/>
      <w:bookmarkEnd w:id="396"/>
      <w:r>
        <w:t>Figure</w:t>
      </w:r>
      <w:r>
        <w:rPr>
          <w:spacing w:val="-4"/>
        </w:rPr>
        <w:t xml:space="preserve"> </w:t>
      </w:r>
      <w:r>
        <w:t>C-1.</w:t>
      </w:r>
      <w:r>
        <w:rPr>
          <w:spacing w:val="-4"/>
        </w:rPr>
        <w:t xml:space="preserve"> </w:t>
      </w:r>
      <w:r>
        <w:t>Illustration</w:t>
      </w:r>
      <w:r>
        <w:rPr>
          <w:spacing w:val="-4"/>
        </w:rPr>
        <w:t xml:space="preserve"> </w:t>
      </w:r>
      <w:r>
        <w:t>of</w:t>
      </w:r>
      <w:r>
        <w:rPr>
          <w:spacing w:val="-4"/>
        </w:rPr>
        <w:t xml:space="preserve"> </w:t>
      </w:r>
      <w:r>
        <w:t>Disaggregating</w:t>
      </w:r>
      <w:r>
        <w:rPr>
          <w:spacing w:val="-4"/>
        </w:rPr>
        <w:t xml:space="preserve"> </w:t>
      </w:r>
      <w:r>
        <w:t>M</w:t>
      </w:r>
      <w:r>
        <w:t>easures</w:t>
      </w:r>
      <w:r>
        <w:rPr>
          <w:spacing w:val="-4"/>
        </w:rPr>
        <w:t xml:space="preserve"> </w:t>
      </w:r>
      <w:r>
        <w:t>to</w:t>
      </w:r>
      <w:r>
        <w:rPr>
          <w:spacing w:val="-4"/>
        </w:rPr>
        <w:t xml:space="preserve"> </w:t>
      </w:r>
      <w:r>
        <w:t>with</w:t>
      </w:r>
      <w:r>
        <w:rPr>
          <w:spacing w:val="-4"/>
        </w:rPr>
        <w:t xml:space="preserve"> </w:t>
      </w:r>
      <w:r>
        <w:t>Panel</w:t>
      </w:r>
      <w:r>
        <w:rPr>
          <w:spacing w:val="-4"/>
        </w:rPr>
        <w:t xml:space="preserve"> </w:t>
      </w:r>
      <w:r>
        <w:t>Upgrade</w:t>
      </w:r>
      <w:r>
        <w:rPr>
          <w:spacing w:val="-4"/>
        </w:rPr>
        <w:t xml:space="preserve"> </w:t>
      </w:r>
      <w:r>
        <w:t>and</w:t>
      </w:r>
      <w:r>
        <w:rPr>
          <w:spacing w:val="-4"/>
        </w:rPr>
        <w:t xml:space="preserve"> </w:t>
      </w:r>
      <w:r>
        <w:t>No Panel Upgrade</w:t>
      </w:r>
    </w:p>
    <w:p w:rsidR="00C31389" w:rsidRDefault="00561FBD" w14:paraId="57E35022" w14:textId="77777777">
      <w:pPr>
        <w:pStyle w:val="BodyText"/>
        <w:spacing w:before="4"/>
        <w:rPr>
          <w:b/>
          <w:sz w:val="8"/>
        </w:rPr>
      </w:pPr>
      <w:r>
        <w:rPr>
          <w:noProof/>
        </w:rPr>
        <w:drawing>
          <wp:anchor distT="0" distB="0" distL="0" distR="0" simplePos="0" relativeHeight="487714304" behindDoc="1" locked="0" layoutInCell="1" allowOverlap="1" wp14:editId="341DD4CB" wp14:anchorId="333FDD69">
            <wp:simplePos x="0" y="0"/>
            <wp:positionH relativeFrom="page">
              <wp:posOffset>914400</wp:posOffset>
            </wp:positionH>
            <wp:positionV relativeFrom="paragraph">
              <wp:posOffset>76278</wp:posOffset>
            </wp:positionV>
            <wp:extent cx="5854832" cy="2620422"/>
            <wp:effectExtent l="0" t="0" r="0" b="0"/>
            <wp:wrapTopAndBottom/>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251" cstate="print"/>
                    <a:stretch>
                      <a:fillRect/>
                    </a:stretch>
                  </pic:blipFill>
                  <pic:spPr>
                    <a:xfrm>
                      <a:off x="0" y="0"/>
                      <a:ext cx="5854832" cy="2620422"/>
                    </a:xfrm>
                    <a:prstGeom prst="rect">
                      <a:avLst/>
                    </a:prstGeom>
                  </pic:spPr>
                </pic:pic>
              </a:graphicData>
            </a:graphic>
          </wp:anchor>
        </w:drawing>
      </w:r>
    </w:p>
    <w:p w:rsidR="00C31389" w:rsidRDefault="00C31389" w14:paraId="46860DE1" w14:textId="77777777">
      <w:pPr>
        <w:pStyle w:val="BodyText"/>
        <w:rPr>
          <w:b/>
        </w:rPr>
      </w:pPr>
    </w:p>
    <w:p w:rsidR="00C31389" w:rsidRDefault="00561FBD" w14:paraId="1FCF4F4D" w14:textId="77777777">
      <w:pPr>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6F21F94A" w14:textId="77777777">
      <w:pPr>
        <w:rPr>
          <w:sz w:val="18"/>
        </w:rPr>
        <w:sectPr w:rsidR="00C31389">
          <w:pgSz w:w="11910" w:h="16840"/>
          <w:pgMar w:top="1380" w:right="1020" w:bottom="1120" w:left="960" w:header="397" w:footer="938" w:gutter="0"/>
          <w:cols w:space="720"/>
        </w:sectPr>
      </w:pPr>
    </w:p>
    <w:p w:rsidR="00C31389" w:rsidRDefault="00C31389" w14:paraId="05656E31" w14:textId="77777777">
      <w:pPr>
        <w:pStyle w:val="BodyText"/>
        <w:rPr>
          <w:i/>
        </w:rPr>
      </w:pPr>
    </w:p>
    <w:p w:rsidR="00C31389" w:rsidRDefault="00C31389" w14:paraId="1DA6BDC6" w14:textId="77777777">
      <w:pPr>
        <w:pStyle w:val="BodyText"/>
        <w:spacing w:before="1"/>
        <w:rPr>
          <w:i/>
          <w:sz w:val="14"/>
        </w:rPr>
      </w:pPr>
    </w:p>
    <w:p w:rsidR="00C31389" w:rsidRDefault="00561FBD" w14:paraId="20CB2721" w14:textId="77777777">
      <w:pPr>
        <w:spacing w:before="90"/>
        <w:ind w:left="480"/>
        <w:rPr>
          <w:b/>
          <w:sz w:val="32"/>
        </w:rPr>
      </w:pPr>
      <w:bookmarkStart w:name="Appendix_D._BROs" w:id="397"/>
      <w:bookmarkStart w:name="_bookmark300" w:id="398"/>
      <w:bookmarkEnd w:id="397"/>
      <w:bookmarkEnd w:id="398"/>
      <w:r>
        <w:rPr>
          <w:b/>
          <w:sz w:val="32"/>
        </w:rPr>
        <w:t>Appendix</w:t>
      </w:r>
      <w:r>
        <w:rPr>
          <w:b/>
          <w:spacing w:val="-4"/>
          <w:sz w:val="32"/>
        </w:rPr>
        <w:t xml:space="preserve"> </w:t>
      </w:r>
      <w:r>
        <w:rPr>
          <w:b/>
          <w:sz w:val="32"/>
        </w:rPr>
        <w:t>D.</w:t>
      </w:r>
      <w:r>
        <w:rPr>
          <w:b/>
          <w:spacing w:val="-4"/>
          <w:sz w:val="32"/>
        </w:rPr>
        <w:t xml:space="preserve"> BROs</w:t>
      </w:r>
    </w:p>
    <w:p w:rsidR="00C31389" w:rsidRDefault="00561FBD" w14:paraId="2CA8DA6E" w14:textId="77777777">
      <w:pPr>
        <w:pStyle w:val="BodyText"/>
        <w:spacing w:before="239"/>
        <w:ind w:left="480" w:right="418"/>
      </w:pPr>
      <w:r>
        <w:t>This</w:t>
      </w:r>
      <w:r>
        <w:rPr>
          <w:spacing w:val="-3"/>
        </w:rPr>
        <w:t xml:space="preserve"> </w:t>
      </w:r>
      <w:r>
        <w:t>appendix</w:t>
      </w:r>
      <w:r>
        <w:rPr>
          <w:spacing w:val="-3"/>
        </w:rPr>
        <w:t xml:space="preserve"> </w:t>
      </w:r>
      <w:r>
        <w:t>discusses</w:t>
      </w:r>
      <w:r>
        <w:rPr>
          <w:spacing w:val="-4"/>
        </w:rPr>
        <w:t xml:space="preserve"> </w:t>
      </w:r>
      <w:r>
        <w:t>the</w:t>
      </w:r>
      <w:r>
        <w:rPr>
          <w:spacing w:val="-3"/>
        </w:rPr>
        <w:t xml:space="preserve"> </w:t>
      </w:r>
      <w:r>
        <w:t>BROs</w:t>
      </w:r>
      <w:r>
        <w:rPr>
          <w:spacing w:val="-3"/>
        </w:rPr>
        <w:t xml:space="preserve"> </w:t>
      </w:r>
      <w:r>
        <w:t>interventions</w:t>
      </w:r>
      <w:r>
        <w:rPr>
          <w:spacing w:val="-4"/>
        </w:rPr>
        <w:t xml:space="preserve"> </w:t>
      </w:r>
      <w:r>
        <w:t>included</w:t>
      </w:r>
      <w:r>
        <w:rPr>
          <w:spacing w:val="-3"/>
        </w:rPr>
        <w:t xml:space="preserve"> </w:t>
      </w:r>
      <w:r>
        <w:t>in</w:t>
      </w:r>
      <w:r>
        <w:rPr>
          <w:spacing w:val="-4"/>
        </w:rPr>
        <w:t xml:space="preserve"> </w:t>
      </w:r>
      <w:r>
        <w:t>the</w:t>
      </w:r>
      <w:r>
        <w:rPr>
          <w:spacing w:val="-3"/>
        </w:rPr>
        <w:t xml:space="preserve"> </w:t>
      </w:r>
      <w:r>
        <w:t>PG</w:t>
      </w:r>
      <w:r>
        <w:rPr>
          <w:spacing w:val="-4"/>
        </w:rPr>
        <w:t xml:space="preserve"> </w:t>
      </w:r>
      <w:r>
        <w:t>Model.</w:t>
      </w:r>
      <w:r>
        <w:rPr>
          <w:spacing w:val="-3"/>
        </w:rPr>
        <w:t xml:space="preserve"> </w:t>
      </w:r>
      <w:r>
        <w:t>It</w:t>
      </w:r>
      <w:r>
        <w:rPr>
          <w:spacing w:val="-3"/>
        </w:rPr>
        <w:t xml:space="preserve"> </w:t>
      </w:r>
      <w:r>
        <w:t>describes</w:t>
      </w:r>
      <w:r>
        <w:rPr>
          <w:spacing w:val="-3"/>
        </w:rPr>
        <w:t xml:space="preserve"> </w:t>
      </w:r>
      <w:r>
        <w:t xml:space="preserve">each intervention and discusses data </w:t>
      </w:r>
      <w:r>
        <w:t>sources and assumptions. A separate spreadsheet is also made available for stakeholders to review the final detailed inputs for each intervention specific to each utility and building type.</w:t>
      </w:r>
    </w:p>
    <w:p w:rsidR="00C31389" w:rsidRDefault="00C31389" w14:paraId="64D085B3" w14:textId="77777777">
      <w:pPr>
        <w:pStyle w:val="BodyText"/>
        <w:rPr>
          <w:sz w:val="21"/>
        </w:rPr>
      </w:pPr>
    </w:p>
    <w:p w:rsidR="00C31389" w:rsidRDefault="00561FBD" w14:paraId="2EA618C4" w14:textId="77777777">
      <w:pPr>
        <w:pStyle w:val="ListParagraph"/>
        <w:numPr>
          <w:ilvl w:val="1"/>
          <w:numId w:val="19"/>
        </w:numPr>
        <w:tabs>
          <w:tab w:val="left" w:pos="991"/>
        </w:tabs>
        <w:ind w:left="991" w:hanging="511"/>
        <w:rPr>
          <w:b/>
          <w:sz w:val="28"/>
        </w:rPr>
      </w:pPr>
      <w:bookmarkStart w:name="D.1_Residential_–_Home_Energy_Reports" w:id="399"/>
      <w:bookmarkStart w:name="_bookmark301" w:id="400"/>
      <w:bookmarkEnd w:id="399"/>
      <w:bookmarkEnd w:id="400"/>
      <w:r>
        <w:rPr>
          <w:b/>
          <w:sz w:val="28"/>
        </w:rPr>
        <w:t>Residential</w:t>
      </w:r>
      <w:r>
        <w:rPr>
          <w:b/>
          <w:spacing w:val="-11"/>
          <w:sz w:val="28"/>
        </w:rPr>
        <w:t xml:space="preserve"> </w:t>
      </w:r>
      <w:r>
        <w:rPr>
          <w:b/>
          <w:sz w:val="28"/>
        </w:rPr>
        <w:t>–</w:t>
      </w:r>
      <w:r>
        <w:rPr>
          <w:b/>
          <w:spacing w:val="-10"/>
          <w:sz w:val="28"/>
        </w:rPr>
        <w:t xml:space="preserve"> </w:t>
      </w:r>
      <w:r>
        <w:rPr>
          <w:b/>
          <w:sz w:val="28"/>
        </w:rPr>
        <w:t>Home</w:t>
      </w:r>
      <w:r>
        <w:rPr>
          <w:b/>
          <w:spacing w:val="-11"/>
          <w:sz w:val="28"/>
        </w:rPr>
        <w:t xml:space="preserve"> </w:t>
      </w:r>
      <w:r>
        <w:rPr>
          <w:b/>
          <w:sz w:val="28"/>
        </w:rPr>
        <w:t>Energy</w:t>
      </w:r>
      <w:r>
        <w:rPr>
          <w:b/>
          <w:spacing w:val="-10"/>
          <w:sz w:val="28"/>
        </w:rPr>
        <w:t xml:space="preserve"> </w:t>
      </w:r>
      <w:r>
        <w:rPr>
          <w:b/>
          <w:spacing w:val="-2"/>
          <w:sz w:val="28"/>
        </w:rPr>
        <w:t>Reports</w:t>
      </w:r>
    </w:p>
    <w:p w:rsidR="00C31389" w:rsidRDefault="00561FBD" w14:paraId="3510F0E5" w14:textId="77777777">
      <w:pPr>
        <w:pStyle w:val="ListParagraph"/>
        <w:numPr>
          <w:ilvl w:val="2"/>
          <w:numId w:val="19"/>
        </w:numPr>
        <w:tabs>
          <w:tab w:val="left" w:pos="1197"/>
        </w:tabs>
        <w:spacing w:before="241"/>
        <w:ind w:left="1197" w:hanging="717"/>
        <w:rPr>
          <w:b/>
          <w:sz w:val="24"/>
        </w:rPr>
      </w:pPr>
      <w:bookmarkStart w:name="D.1.1_Summary" w:id="401"/>
      <w:bookmarkStart w:name="_bookmark302" w:id="402"/>
      <w:bookmarkEnd w:id="401"/>
      <w:bookmarkEnd w:id="402"/>
      <w:r>
        <w:rPr>
          <w:b/>
          <w:spacing w:val="-2"/>
          <w:sz w:val="24"/>
        </w:rPr>
        <w:t>Summary</w:t>
      </w:r>
    </w:p>
    <w:p w:rsidR="00C31389" w:rsidRDefault="00C31389" w14:paraId="65F644ED" w14:textId="77777777">
      <w:pPr>
        <w:pStyle w:val="BodyText"/>
        <w:spacing w:before="9"/>
        <w:rPr>
          <w:b/>
          <w:sz w:val="20"/>
        </w:rPr>
      </w:pPr>
    </w:p>
    <w:p w:rsidR="00C31389" w:rsidRDefault="00561FBD" w14:paraId="33BF19BB" w14:textId="77777777">
      <w:pPr>
        <w:pStyle w:val="BodyText"/>
        <w:spacing w:before="1"/>
        <w:ind w:left="480" w:right="418"/>
      </w:pPr>
      <w:r>
        <w:t xml:space="preserve">Home energy </w:t>
      </w:r>
      <w:r>
        <w:t>reports (HERs) are among the most prevalent and widely studied behavioral interventions</w:t>
      </w:r>
      <w:r>
        <w:rPr>
          <w:spacing w:val="-3"/>
        </w:rPr>
        <w:t xml:space="preserve"> </w:t>
      </w:r>
      <w:r>
        <w:t>and</w:t>
      </w:r>
      <w:r>
        <w:rPr>
          <w:spacing w:val="-4"/>
        </w:rPr>
        <w:t xml:space="preserve"> </w:t>
      </w:r>
      <w:r>
        <w:t>are</w:t>
      </w:r>
      <w:r>
        <w:rPr>
          <w:spacing w:val="-4"/>
        </w:rPr>
        <w:t xml:space="preserve"> </w:t>
      </w:r>
      <w:r>
        <w:t>the</w:t>
      </w:r>
      <w:r>
        <w:rPr>
          <w:spacing w:val="-4"/>
        </w:rPr>
        <w:t xml:space="preserve"> </w:t>
      </w:r>
      <w:r>
        <w:t>largest</w:t>
      </w:r>
      <w:r>
        <w:rPr>
          <w:spacing w:val="-4"/>
        </w:rPr>
        <w:t xml:space="preserve"> </w:t>
      </w:r>
      <w:r>
        <w:t>source</w:t>
      </w:r>
      <w:r>
        <w:rPr>
          <w:spacing w:val="-4"/>
        </w:rPr>
        <w:t xml:space="preserve"> </w:t>
      </w:r>
      <w:r>
        <w:t>of</w:t>
      </w:r>
      <w:r>
        <w:rPr>
          <w:spacing w:val="-4"/>
        </w:rPr>
        <w:t xml:space="preserve"> </w:t>
      </w:r>
      <w:r>
        <w:t>behavior-based</w:t>
      </w:r>
      <w:r>
        <w:rPr>
          <w:spacing w:val="-4"/>
        </w:rPr>
        <w:t xml:space="preserve"> </w:t>
      </w:r>
      <w:r>
        <w:t>savings</w:t>
      </w:r>
      <w:r>
        <w:rPr>
          <w:spacing w:val="-4"/>
        </w:rPr>
        <w:t xml:space="preserve"> </w:t>
      </w:r>
      <w:r>
        <w:t>in</w:t>
      </w:r>
      <w:r>
        <w:rPr>
          <w:spacing w:val="-4"/>
        </w:rPr>
        <w:t xml:space="preserve"> </w:t>
      </w:r>
      <w:r>
        <w:t>California.</w:t>
      </w:r>
      <w:r>
        <w:rPr>
          <w:spacing w:val="-4"/>
        </w:rPr>
        <w:t xml:space="preserve"> </w:t>
      </w:r>
      <w:r>
        <w:t>Residential customers are periodically mailed HERs that provide feedback about their home’s energy u</w:t>
      </w:r>
      <w:r>
        <w:t>se, including normative comparisons to similar neighbors, tips for improving EE, and occasionally</w:t>
      </w:r>
      <w:r>
        <w:rPr>
          <w:spacing w:val="-1"/>
        </w:rPr>
        <w:t xml:space="preserve"> </w:t>
      </w:r>
      <w:r>
        <w:t>messaging</w:t>
      </w:r>
      <w:r>
        <w:rPr>
          <w:spacing w:val="-1"/>
        </w:rPr>
        <w:t xml:space="preserve"> </w:t>
      </w:r>
      <w:r>
        <w:t>about rewards or incentives. HER</w:t>
      </w:r>
      <w:r>
        <w:rPr>
          <w:spacing w:val="-1"/>
        </w:rPr>
        <w:t xml:space="preserve"> </w:t>
      </w:r>
      <w:r>
        <w:t>programs are generally provided to customers on an opt out basis, although utilities in other states have conducted</w:t>
      </w:r>
      <w:r>
        <w:t xml:space="preserve"> opt in </w:t>
      </w:r>
      <w:r>
        <w:rPr>
          <w:spacing w:val="-2"/>
        </w:rPr>
        <w:t>programs.</w:t>
      </w:r>
    </w:p>
    <w:p w:rsidR="00C31389" w:rsidRDefault="00C31389" w14:paraId="454AE869" w14:textId="77777777">
      <w:pPr>
        <w:pStyle w:val="BodyText"/>
        <w:spacing w:before="9"/>
        <w:rPr>
          <w:sz w:val="20"/>
        </w:rPr>
      </w:pPr>
    </w:p>
    <w:p w:rsidR="00C31389" w:rsidRDefault="00561FBD" w14:paraId="65C2D6F0" w14:textId="77777777">
      <w:pPr>
        <w:pStyle w:val="BodyText"/>
        <w:ind w:left="480" w:right="418"/>
      </w:pPr>
      <w:r>
        <w:t>Estimated electric and gas savings ranges differ based on savings bin. Costs are less variable</w:t>
      </w:r>
      <w:r>
        <w:rPr>
          <w:spacing w:val="-3"/>
        </w:rPr>
        <w:t xml:space="preserve"> </w:t>
      </w:r>
      <w:r>
        <w:t>are</w:t>
      </w:r>
      <w:r>
        <w:rPr>
          <w:spacing w:val="-4"/>
        </w:rPr>
        <w:t xml:space="preserve"> </w:t>
      </w:r>
      <w:r>
        <w:t>set</w:t>
      </w:r>
      <w:r>
        <w:rPr>
          <w:spacing w:val="-3"/>
        </w:rPr>
        <w:t xml:space="preserve"> </w:t>
      </w:r>
      <w:r>
        <w:t>at</w:t>
      </w:r>
      <w:r>
        <w:rPr>
          <w:spacing w:val="-3"/>
        </w:rPr>
        <w:t xml:space="preserve"> </w:t>
      </w:r>
      <w:r>
        <w:t>$0.05-$0.14</w:t>
      </w:r>
      <w:r>
        <w:rPr>
          <w:spacing w:val="-3"/>
        </w:rPr>
        <w:t xml:space="preserve"> </w:t>
      </w:r>
      <w:r>
        <w:t>per</w:t>
      </w:r>
      <w:r>
        <w:rPr>
          <w:spacing w:val="-3"/>
        </w:rPr>
        <w:t xml:space="preserve"> </w:t>
      </w:r>
      <w:r>
        <w:t>kWh</w:t>
      </w:r>
      <w:r>
        <w:rPr>
          <w:spacing w:val="-3"/>
        </w:rPr>
        <w:t xml:space="preserve"> </w:t>
      </w:r>
      <w:r>
        <w:t>and</w:t>
      </w:r>
      <w:r>
        <w:rPr>
          <w:spacing w:val="-3"/>
        </w:rPr>
        <w:t xml:space="preserve"> </w:t>
      </w:r>
      <w:r>
        <w:t>$0.49-$1.88</w:t>
      </w:r>
      <w:r>
        <w:rPr>
          <w:spacing w:val="-3"/>
        </w:rPr>
        <w:t xml:space="preserve"> </w:t>
      </w:r>
      <w:r>
        <w:t>per</w:t>
      </w:r>
      <w:r>
        <w:rPr>
          <w:spacing w:val="-3"/>
        </w:rPr>
        <w:t xml:space="preserve"> </w:t>
      </w:r>
      <w:r>
        <w:t>therm.</w:t>
      </w:r>
      <w:r>
        <w:rPr>
          <w:spacing w:val="-3"/>
        </w:rPr>
        <w:t xml:space="preserve"> </w:t>
      </w:r>
      <w:hyperlink w:history="1" w:anchor="_bookmark303">
        <w:r>
          <w:t>Table</w:t>
        </w:r>
        <w:r>
          <w:rPr>
            <w:spacing w:val="-3"/>
          </w:rPr>
          <w:t xml:space="preserve"> </w:t>
        </w:r>
        <w:r>
          <w:t>D-1</w:t>
        </w:r>
      </w:hyperlink>
      <w:r>
        <w:rPr>
          <w:spacing w:val="-3"/>
        </w:rPr>
        <w:t xml:space="preserve"> </w:t>
      </w:r>
      <w:r>
        <w:t>provides</w:t>
      </w:r>
      <w:r>
        <w:t xml:space="preserve"> </w:t>
      </w:r>
      <w:r>
        <w:rPr>
          <w:spacing w:val="-2"/>
        </w:rPr>
        <w:t>details.</w:t>
      </w:r>
    </w:p>
    <w:p w:rsidR="00C31389" w:rsidRDefault="00C31389" w14:paraId="7EBCAA5F" w14:textId="77777777">
      <w:pPr>
        <w:pStyle w:val="BodyText"/>
        <w:spacing w:before="10"/>
        <w:rPr>
          <w:sz w:val="20"/>
        </w:rPr>
      </w:pPr>
    </w:p>
    <w:p w:rsidR="00C31389" w:rsidRDefault="00561FBD" w14:paraId="26E10203" w14:textId="77777777">
      <w:pPr>
        <w:pStyle w:val="Heading7"/>
        <w:spacing w:before="1"/>
        <w:ind w:left="398" w:right="340"/>
        <w:jc w:val="center"/>
      </w:pPr>
      <w:bookmarkStart w:name="_bookmark303" w:id="403"/>
      <w:bookmarkEnd w:id="403"/>
      <w:r>
        <w:t>Table</w:t>
      </w:r>
      <w:r>
        <w:rPr>
          <w:spacing w:val="-5"/>
        </w:rPr>
        <w:t xml:space="preserve"> </w:t>
      </w:r>
      <w:r>
        <w:t>D-1.</w:t>
      </w:r>
      <w:r>
        <w:rPr>
          <w:spacing w:val="-5"/>
        </w:rPr>
        <w:t xml:space="preserve"> </w:t>
      </w:r>
      <w:r>
        <w:t>HERs</w:t>
      </w:r>
      <w:r>
        <w:rPr>
          <w:spacing w:val="53"/>
        </w:rPr>
        <w:t xml:space="preserve"> </w:t>
      </w:r>
      <w:r>
        <w:t>–</w:t>
      </w:r>
      <w:r>
        <w:rPr>
          <w:spacing w:val="-4"/>
        </w:rPr>
        <w:t xml:space="preserve"> </w:t>
      </w:r>
      <w:r>
        <w:t>Key</w:t>
      </w:r>
      <w:r>
        <w:rPr>
          <w:spacing w:val="-4"/>
        </w:rPr>
        <w:t xml:space="preserve"> </w:t>
      </w:r>
      <w:r>
        <w:rPr>
          <w:spacing w:val="-2"/>
        </w:rPr>
        <w:t>Assumptions</w:t>
      </w:r>
    </w:p>
    <w:p w:rsidR="00C31389" w:rsidRDefault="00C31389" w14:paraId="2116FE8A" w14:textId="77777777">
      <w:pPr>
        <w:pStyle w:val="BodyText"/>
        <w:spacing w:before="6" w:after="1"/>
        <w:rPr>
          <w:b/>
          <w:sz w:val="9"/>
        </w:rPr>
      </w:pPr>
    </w:p>
    <w:tbl>
      <w:tblPr>
        <w:tblW w:w="0" w:type="auto"/>
        <w:tblInd w:w="320" w:type="dxa"/>
        <w:tblLayout w:type="fixed"/>
        <w:tblCellMar>
          <w:left w:w="0" w:type="dxa"/>
          <w:right w:w="0" w:type="dxa"/>
        </w:tblCellMar>
        <w:tblLook w:val="01E0" w:firstRow="1" w:lastRow="1" w:firstColumn="1" w:lastColumn="1" w:noHBand="0" w:noVBand="0"/>
      </w:tblPr>
      <w:tblGrid>
        <w:gridCol w:w="1260"/>
        <w:gridCol w:w="1011"/>
        <w:gridCol w:w="1233"/>
        <w:gridCol w:w="1150"/>
        <w:gridCol w:w="1219"/>
        <w:gridCol w:w="1381"/>
        <w:gridCol w:w="891"/>
        <w:gridCol w:w="1212"/>
      </w:tblGrid>
      <w:tr w:rsidR="00C31389" w14:paraId="4F0A91A4" w14:textId="77777777">
        <w:trPr>
          <w:trHeight w:val="274"/>
        </w:trPr>
        <w:tc>
          <w:tcPr>
            <w:tcW w:w="1260" w:type="dxa"/>
            <w:shd w:val="clear" w:color="auto" w:fill="92D400"/>
          </w:tcPr>
          <w:p w:rsidR="00C31389" w:rsidRDefault="00C31389" w14:paraId="0A2FB89F" w14:textId="77777777">
            <w:pPr>
              <w:pStyle w:val="TableParagraph"/>
              <w:spacing w:before="0"/>
              <w:rPr>
                <w:rFonts w:ascii="Times New Roman"/>
                <w:sz w:val="20"/>
              </w:rPr>
            </w:pPr>
          </w:p>
        </w:tc>
        <w:tc>
          <w:tcPr>
            <w:tcW w:w="1011" w:type="dxa"/>
            <w:shd w:val="clear" w:color="auto" w:fill="92D400"/>
          </w:tcPr>
          <w:p w:rsidR="00C31389" w:rsidRDefault="00C31389" w14:paraId="63CA5FFC" w14:textId="77777777">
            <w:pPr>
              <w:pStyle w:val="TableParagraph"/>
              <w:spacing w:before="0"/>
              <w:rPr>
                <w:rFonts w:ascii="Times New Roman"/>
                <w:sz w:val="20"/>
              </w:rPr>
            </w:pPr>
          </w:p>
        </w:tc>
        <w:tc>
          <w:tcPr>
            <w:tcW w:w="1233" w:type="dxa"/>
            <w:vMerge w:val="restart"/>
            <w:shd w:val="clear" w:color="auto" w:fill="92D400"/>
          </w:tcPr>
          <w:p w:rsidR="00C31389" w:rsidRDefault="00561FBD" w14:paraId="65D13789" w14:textId="77777777">
            <w:pPr>
              <w:pStyle w:val="TableParagraph"/>
              <w:spacing w:before="154"/>
              <w:ind w:left="453"/>
              <w:rPr>
                <w:b/>
                <w:sz w:val="20"/>
              </w:rPr>
            </w:pPr>
            <w:r>
              <w:rPr>
                <w:b/>
                <w:spacing w:val="-5"/>
                <w:sz w:val="20"/>
              </w:rPr>
              <w:t>EUL</w:t>
            </w:r>
          </w:p>
          <w:p w:rsidR="00C31389" w:rsidRDefault="00561FBD" w14:paraId="264C7FAD" w14:textId="77777777">
            <w:pPr>
              <w:pStyle w:val="TableParagraph"/>
              <w:spacing w:before="1"/>
              <w:ind w:left="381"/>
              <w:rPr>
                <w:b/>
                <w:sz w:val="20"/>
              </w:rPr>
            </w:pPr>
            <w:r>
              <w:rPr>
                <w:b/>
                <w:spacing w:val="-2"/>
                <w:sz w:val="20"/>
              </w:rPr>
              <w:t>Years</w:t>
            </w:r>
          </w:p>
        </w:tc>
        <w:tc>
          <w:tcPr>
            <w:tcW w:w="2369" w:type="dxa"/>
            <w:gridSpan w:val="2"/>
            <w:shd w:val="clear" w:color="auto" w:fill="92D400"/>
          </w:tcPr>
          <w:p w:rsidR="00C31389" w:rsidRDefault="00561FBD" w14:paraId="5FCAE1D1" w14:textId="77777777">
            <w:pPr>
              <w:pStyle w:val="TableParagraph"/>
              <w:spacing w:before="43" w:line="212" w:lineRule="exact"/>
              <w:ind w:left="780" w:right="795"/>
              <w:jc w:val="center"/>
              <w:rPr>
                <w:b/>
                <w:sz w:val="20"/>
              </w:rPr>
            </w:pPr>
            <w:r>
              <w:rPr>
                <w:b/>
                <w:spacing w:val="-2"/>
                <w:sz w:val="20"/>
              </w:rPr>
              <w:t>Savings</w:t>
            </w:r>
          </w:p>
        </w:tc>
        <w:tc>
          <w:tcPr>
            <w:tcW w:w="1381" w:type="dxa"/>
            <w:shd w:val="clear" w:color="auto" w:fill="92D400"/>
          </w:tcPr>
          <w:p w:rsidR="00C31389" w:rsidRDefault="00561FBD" w14:paraId="05460431" w14:textId="77777777">
            <w:pPr>
              <w:pStyle w:val="TableParagraph"/>
              <w:spacing w:before="43" w:line="212" w:lineRule="exact"/>
              <w:ind w:right="10"/>
              <w:jc w:val="right"/>
              <w:rPr>
                <w:b/>
                <w:sz w:val="20"/>
              </w:rPr>
            </w:pPr>
            <w:r>
              <w:rPr>
                <w:b/>
                <w:spacing w:val="-4"/>
                <w:sz w:val="20"/>
              </w:rPr>
              <w:t>Cost</w:t>
            </w:r>
          </w:p>
        </w:tc>
        <w:tc>
          <w:tcPr>
            <w:tcW w:w="891" w:type="dxa"/>
            <w:shd w:val="clear" w:color="auto" w:fill="92D400"/>
          </w:tcPr>
          <w:p w:rsidR="00C31389" w:rsidRDefault="00C31389" w14:paraId="6A1B898A" w14:textId="77777777">
            <w:pPr>
              <w:pStyle w:val="TableParagraph"/>
              <w:spacing w:before="0"/>
              <w:rPr>
                <w:rFonts w:ascii="Times New Roman"/>
                <w:sz w:val="20"/>
              </w:rPr>
            </w:pPr>
          </w:p>
        </w:tc>
        <w:tc>
          <w:tcPr>
            <w:tcW w:w="1212" w:type="dxa"/>
            <w:vMerge w:val="restart"/>
            <w:shd w:val="clear" w:color="auto" w:fill="92D400"/>
          </w:tcPr>
          <w:p w:rsidR="00C31389" w:rsidRDefault="00561FBD" w14:paraId="3D7866BF" w14:textId="77777777">
            <w:pPr>
              <w:pStyle w:val="TableParagraph"/>
              <w:ind w:left="240" w:right="190"/>
              <w:jc w:val="center"/>
              <w:rPr>
                <w:b/>
                <w:sz w:val="20"/>
              </w:rPr>
            </w:pPr>
            <w:r>
              <w:rPr>
                <w:b/>
                <w:spacing w:val="-2"/>
                <w:sz w:val="20"/>
              </w:rPr>
              <w:t>kW/kWh Savings Ratio</w:t>
            </w:r>
          </w:p>
        </w:tc>
      </w:tr>
      <w:tr w:rsidR="00C31389" w14:paraId="272F2248" w14:textId="77777777">
        <w:trPr>
          <w:trHeight w:val="504"/>
        </w:trPr>
        <w:tc>
          <w:tcPr>
            <w:tcW w:w="1260" w:type="dxa"/>
            <w:shd w:val="clear" w:color="auto" w:fill="92D400"/>
          </w:tcPr>
          <w:p w:rsidR="00C31389" w:rsidRDefault="00561FBD" w14:paraId="63821BC4" w14:textId="77777777">
            <w:pPr>
              <w:pStyle w:val="TableParagraph"/>
              <w:spacing w:before="0" w:line="225" w:lineRule="exact"/>
              <w:ind w:left="108"/>
              <w:rPr>
                <w:b/>
                <w:sz w:val="20"/>
              </w:rPr>
            </w:pPr>
            <w:r>
              <w:rPr>
                <w:b/>
                <w:spacing w:val="-2"/>
                <w:sz w:val="20"/>
              </w:rPr>
              <w:t>Sector</w:t>
            </w:r>
          </w:p>
        </w:tc>
        <w:tc>
          <w:tcPr>
            <w:tcW w:w="1011" w:type="dxa"/>
            <w:shd w:val="clear" w:color="auto" w:fill="92D400"/>
          </w:tcPr>
          <w:p w:rsidR="00C31389" w:rsidRDefault="00561FBD" w14:paraId="11700A38" w14:textId="77777777">
            <w:pPr>
              <w:pStyle w:val="TableParagraph"/>
              <w:spacing w:before="0" w:line="225" w:lineRule="exact"/>
              <w:ind w:left="108"/>
              <w:rPr>
                <w:b/>
                <w:sz w:val="20"/>
              </w:rPr>
            </w:pPr>
            <w:r>
              <w:rPr>
                <w:b/>
                <w:spacing w:val="-4"/>
                <w:sz w:val="20"/>
              </w:rPr>
              <w:t>Type</w:t>
            </w:r>
          </w:p>
        </w:tc>
        <w:tc>
          <w:tcPr>
            <w:tcW w:w="1233" w:type="dxa"/>
            <w:vMerge/>
            <w:tcBorders>
              <w:top w:val="nil"/>
            </w:tcBorders>
            <w:shd w:val="clear" w:color="auto" w:fill="92D400"/>
          </w:tcPr>
          <w:p w:rsidR="00C31389" w:rsidRDefault="00C31389" w14:paraId="1244BBEC" w14:textId="77777777">
            <w:pPr>
              <w:rPr>
                <w:sz w:val="2"/>
                <w:szCs w:val="2"/>
              </w:rPr>
            </w:pPr>
          </w:p>
        </w:tc>
        <w:tc>
          <w:tcPr>
            <w:tcW w:w="1150" w:type="dxa"/>
            <w:shd w:val="clear" w:color="auto" w:fill="92D400"/>
          </w:tcPr>
          <w:p w:rsidR="00C31389" w:rsidRDefault="00561FBD" w14:paraId="71E9FB56" w14:textId="77777777">
            <w:pPr>
              <w:pStyle w:val="TableParagraph"/>
              <w:spacing w:before="163"/>
              <w:ind w:left="379"/>
              <w:rPr>
                <w:b/>
                <w:sz w:val="20"/>
              </w:rPr>
            </w:pPr>
            <w:r>
              <w:rPr>
                <w:b/>
                <w:spacing w:val="-5"/>
                <w:sz w:val="20"/>
              </w:rPr>
              <w:t>kWh</w:t>
            </w:r>
          </w:p>
        </w:tc>
        <w:tc>
          <w:tcPr>
            <w:tcW w:w="1219" w:type="dxa"/>
            <w:shd w:val="clear" w:color="auto" w:fill="92D400"/>
          </w:tcPr>
          <w:p w:rsidR="00C31389" w:rsidRDefault="00561FBD" w14:paraId="385C11B2" w14:textId="77777777">
            <w:pPr>
              <w:pStyle w:val="TableParagraph"/>
              <w:spacing w:before="163"/>
              <w:ind w:left="276"/>
              <w:rPr>
                <w:b/>
                <w:sz w:val="20"/>
              </w:rPr>
            </w:pPr>
            <w:r>
              <w:rPr>
                <w:b/>
                <w:spacing w:val="-2"/>
                <w:sz w:val="20"/>
              </w:rPr>
              <w:t>therms</w:t>
            </w:r>
          </w:p>
        </w:tc>
        <w:tc>
          <w:tcPr>
            <w:tcW w:w="1381" w:type="dxa"/>
            <w:shd w:val="clear" w:color="auto" w:fill="92D400"/>
          </w:tcPr>
          <w:p w:rsidR="00C31389" w:rsidRDefault="00561FBD" w14:paraId="3F1FB274" w14:textId="77777777">
            <w:pPr>
              <w:pStyle w:val="TableParagraph"/>
              <w:spacing w:before="163"/>
              <w:ind w:left="350"/>
              <w:rPr>
                <w:b/>
                <w:sz w:val="20"/>
              </w:rPr>
            </w:pPr>
            <w:r>
              <w:rPr>
                <w:b/>
                <w:spacing w:val="-5"/>
                <w:sz w:val="20"/>
              </w:rPr>
              <w:t>kWh</w:t>
            </w:r>
          </w:p>
        </w:tc>
        <w:tc>
          <w:tcPr>
            <w:tcW w:w="891" w:type="dxa"/>
            <w:shd w:val="clear" w:color="auto" w:fill="92D400"/>
          </w:tcPr>
          <w:p w:rsidR="00C31389" w:rsidRDefault="00561FBD" w14:paraId="3E0DEF59" w14:textId="77777777">
            <w:pPr>
              <w:pStyle w:val="TableParagraph"/>
              <w:spacing w:before="163"/>
              <w:ind w:left="16"/>
              <w:rPr>
                <w:b/>
                <w:sz w:val="20"/>
              </w:rPr>
            </w:pPr>
            <w:r>
              <w:rPr>
                <w:b/>
                <w:spacing w:val="-2"/>
                <w:sz w:val="20"/>
              </w:rPr>
              <w:t>therms</w:t>
            </w:r>
          </w:p>
        </w:tc>
        <w:tc>
          <w:tcPr>
            <w:tcW w:w="1212" w:type="dxa"/>
            <w:vMerge/>
            <w:tcBorders>
              <w:top w:val="nil"/>
            </w:tcBorders>
            <w:shd w:val="clear" w:color="auto" w:fill="92D400"/>
          </w:tcPr>
          <w:p w:rsidR="00C31389" w:rsidRDefault="00C31389" w14:paraId="37A3EFB1" w14:textId="77777777">
            <w:pPr>
              <w:rPr>
                <w:sz w:val="2"/>
                <w:szCs w:val="2"/>
              </w:rPr>
            </w:pPr>
          </w:p>
        </w:tc>
      </w:tr>
      <w:tr w:rsidR="00C31389" w14:paraId="467A2886" w14:textId="77777777">
        <w:trPr>
          <w:trHeight w:val="811"/>
        </w:trPr>
        <w:tc>
          <w:tcPr>
            <w:tcW w:w="1260" w:type="dxa"/>
          </w:tcPr>
          <w:p w:rsidR="00C31389" w:rsidRDefault="00C31389" w14:paraId="5642FAD9" w14:textId="77777777">
            <w:pPr>
              <w:pStyle w:val="TableParagraph"/>
              <w:spacing w:before="0"/>
              <w:rPr>
                <w:rFonts w:ascii="Times New Roman"/>
                <w:sz w:val="20"/>
              </w:rPr>
            </w:pPr>
          </w:p>
        </w:tc>
        <w:tc>
          <w:tcPr>
            <w:tcW w:w="1011" w:type="dxa"/>
            <w:tcBorders>
              <w:bottom w:val="single" w:color="D9D9D9" w:sz="2" w:space="0"/>
            </w:tcBorders>
          </w:tcPr>
          <w:p w:rsidR="00C31389" w:rsidRDefault="00561FBD" w14:paraId="629E36BD" w14:textId="77777777">
            <w:pPr>
              <w:pStyle w:val="TableParagraph"/>
              <w:spacing w:before="176"/>
              <w:ind w:left="108"/>
              <w:rPr>
                <w:sz w:val="20"/>
              </w:rPr>
            </w:pPr>
            <w:r>
              <w:rPr>
                <w:spacing w:val="-4"/>
                <w:sz w:val="20"/>
              </w:rPr>
              <w:t>HERs</w:t>
            </w:r>
          </w:p>
          <w:p w:rsidR="00C31389" w:rsidRDefault="00561FBD" w14:paraId="6AA6DDAE" w14:textId="77777777">
            <w:pPr>
              <w:pStyle w:val="TableParagraph"/>
              <w:spacing w:before="0"/>
              <w:ind w:left="108"/>
              <w:rPr>
                <w:sz w:val="20"/>
              </w:rPr>
            </w:pPr>
            <w:r>
              <w:rPr>
                <w:sz w:val="20"/>
              </w:rPr>
              <w:t>Bin</w:t>
            </w:r>
            <w:r>
              <w:rPr>
                <w:spacing w:val="-3"/>
                <w:sz w:val="20"/>
              </w:rPr>
              <w:t xml:space="preserve"> </w:t>
            </w:r>
            <w:r>
              <w:rPr>
                <w:spacing w:val="-10"/>
                <w:sz w:val="20"/>
              </w:rPr>
              <w:t>1</w:t>
            </w:r>
          </w:p>
        </w:tc>
        <w:tc>
          <w:tcPr>
            <w:tcW w:w="1233" w:type="dxa"/>
            <w:tcBorders>
              <w:bottom w:val="single" w:color="D9D9D9" w:sz="2" w:space="0"/>
            </w:tcBorders>
          </w:tcPr>
          <w:p w:rsidR="00C31389" w:rsidRDefault="00C31389" w14:paraId="1E934111" w14:textId="77777777">
            <w:pPr>
              <w:pStyle w:val="TableParagraph"/>
              <w:spacing w:before="3"/>
              <w:rPr>
                <w:b/>
                <w:sz w:val="25"/>
              </w:rPr>
            </w:pPr>
          </w:p>
          <w:p w:rsidR="00C31389" w:rsidRDefault="00561FBD" w14:paraId="1233EF63" w14:textId="77777777">
            <w:pPr>
              <w:pStyle w:val="TableParagraph"/>
              <w:spacing w:before="0"/>
              <w:ind w:right="521"/>
              <w:jc w:val="right"/>
              <w:rPr>
                <w:sz w:val="20"/>
              </w:rPr>
            </w:pPr>
            <w:r>
              <w:rPr>
                <w:sz w:val="20"/>
              </w:rPr>
              <w:t>1</w:t>
            </w:r>
          </w:p>
        </w:tc>
        <w:tc>
          <w:tcPr>
            <w:tcW w:w="1150" w:type="dxa"/>
            <w:tcBorders>
              <w:bottom w:val="single" w:color="D9D9D9" w:sz="2" w:space="0"/>
            </w:tcBorders>
          </w:tcPr>
          <w:p w:rsidR="00C31389" w:rsidRDefault="00561FBD" w14:paraId="6D736402" w14:textId="77777777">
            <w:pPr>
              <w:pStyle w:val="TableParagraph"/>
              <w:spacing w:before="176"/>
              <w:ind w:left="362"/>
              <w:rPr>
                <w:sz w:val="20"/>
              </w:rPr>
            </w:pPr>
            <w:r>
              <w:rPr>
                <w:spacing w:val="-2"/>
                <w:sz w:val="20"/>
              </w:rPr>
              <w:t>0.52-</w:t>
            </w:r>
          </w:p>
          <w:p w:rsidR="00C31389" w:rsidRDefault="00561FBD" w14:paraId="7ED07FA8" w14:textId="77777777">
            <w:pPr>
              <w:pStyle w:val="TableParagraph"/>
              <w:spacing w:before="0"/>
              <w:ind w:left="307"/>
              <w:rPr>
                <w:sz w:val="20"/>
              </w:rPr>
            </w:pPr>
            <w:r>
              <w:rPr>
                <w:spacing w:val="-4"/>
                <w:sz w:val="20"/>
              </w:rPr>
              <w:t>0.56%</w:t>
            </w:r>
          </w:p>
        </w:tc>
        <w:tc>
          <w:tcPr>
            <w:tcW w:w="1219" w:type="dxa"/>
            <w:tcBorders>
              <w:bottom w:val="single" w:color="D9D9D9" w:sz="2" w:space="0"/>
            </w:tcBorders>
          </w:tcPr>
          <w:p w:rsidR="00C31389" w:rsidRDefault="00561FBD" w14:paraId="1FBE55A1" w14:textId="77777777">
            <w:pPr>
              <w:pStyle w:val="TableParagraph"/>
              <w:spacing w:before="176"/>
              <w:ind w:left="293"/>
              <w:rPr>
                <w:sz w:val="20"/>
              </w:rPr>
            </w:pPr>
            <w:r>
              <w:rPr>
                <w:spacing w:val="-2"/>
                <w:sz w:val="20"/>
              </w:rPr>
              <w:t>0.00%-</w:t>
            </w:r>
          </w:p>
          <w:p w:rsidR="00C31389" w:rsidRDefault="00561FBD" w14:paraId="63E7D63B" w14:textId="77777777">
            <w:pPr>
              <w:pStyle w:val="TableParagraph"/>
              <w:spacing w:before="0"/>
              <w:ind w:left="327"/>
              <w:rPr>
                <w:sz w:val="20"/>
              </w:rPr>
            </w:pPr>
            <w:r>
              <w:rPr>
                <w:spacing w:val="-4"/>
                <w:sz w:val="20"/>
              </w:rPr>
              <w:t>0.42%</w:t>
            </w:r>
          </w:p>
        </w:tc>
        <w:tc>
          <w:tcPr>
            <w:tcW w:w="1381" w:type="dxa"/>
            <w:tcBorders>
              <w:bottom w:val="single" w:color="D9D9D9" w:sz="2" w:space="0"/>
            </w:tcBorders>
          </w:tcPr>
          <w:p w:rsidR="00C31389" w:rsidRDefault="00561FBD" w14:paraId="50127FFB" w14:textId="77777777">
            <w:pPr>
              <w:pStyle w:val="TableParagraph"/>
              <w:spacing w:before="176"/>
              <w:ind w:left="278"/>
              <w:rPr>
                <w:sz w:val="20"/>
              </w:rPr>
            </w:pPr>
            <w:r>
              <w:rPr>
                <w:spacing w:val="-2"/>
                <w:sz w:val="20"/>
              </w:rPr>
              <w:t>$0.05-</w:t>
            </w:r>
          </w:p>
          <w:p w:rsidR="00C31389" w:rsidRDefault="00561FBD" w14:paraId="70C4A542" w14:textId="77777777">
            <w:pPr>
              <w:pStyle w:val="TableParagraph"/>
              <w:spacing w:before="0"/>
              <w:ind w:left="311"/>
              <w:rPr>
                <w:sz w:val="20"/>
              </w:rPr>
            </w:pPr>
            <w:r>
              <w:rPr>
                <w:spacing w:val="-2"/>
                <w:sz w:val="20"/>
              </w:rPr>
              <w:t>$0.14</w:t>
            </w:r>
          </w:p>
        </w:tc>
        <w:tc>
          <w:tcPr>
            <w:tcW w:w="891" w:type="dxa"/>
            <w:tcBorders>
              <w:bottom w:val="single" w:color="D9D9D9" w:sz="2" w:space="0"/>
            </w:tcBorders>
          </w:tcPr>
          <w:p w:rsidR="00C31389" w:rsidRDefault="00561FBD" w14:paraId="4304D674" w14:textId="77777777">
            <w:pPr>
              <w:pStyle w:val="TableParagraph"/>
              <w:spacing w:before="176"/>
              <w:ind w:left="67"/>
              <w:rPr>
                <w:sz w:val="20"/>
              </w:rPr>
            </w:pPr>
            <w:r>
              <w:rPr>
                <w:spacing w:val="-2"/>
                <w:sz w:val="20"/>
              </w:rPr>
              <w:t>$0.49-</w:t>
            </w:r>
          </w:p>
          <w:p w:rsidR="00C31389" w:rsidRDefault="00561FBD" w14:paraId="2BA3F530" w14:textId="77777777">
            <w:pPr>
              <w:pStyle w:val="TableParagraph"/>
              <w:spacing w:before="0"/>
              <w:ind w:left="100"/>
              <w:rPr>
                <w:sz w:val="20"/>
              </w:rPr>
            </w:pPr>
            <w:r>
              <w:rPr>
                <w:spacing w:val="-2"/>
                <w:sz w:val="20"/>
              </w:rPr>
              <w:t>$1.88</w:t>
            </w:r>
          </w:p>
        </w:tc>
        <w:tc>
          <w:tcPr>
            <w:tcW w:w="1212" w:type="dxa"/>
            <w:tcBorders>
              <w:bottom w:val="single" w:color="D9D9D9" w:sz="2" w:space="0"/>
            </w:tcBorders>
          </w:tcPr>
          <w:p w:rsidR="00C31389" w:rsidRDefault="00561FBD" w14:paraId="4C01EC22" w14:textId="77777777">
            <w:pPr>
              <w:pStyle w:val="TableParagraph"/>
              <w:spacing w:before="41"/>
              <w:ind w:left="574" w:right="101" w:hanging="363"/>
              <w:rPr>
                <w:sz w:val="20"/>
              </w:rPr>
            </w:pPr>
            <w:r>
              <w:rPr>
                <w:spacing w:val="-2"/>
                <w:sz w:val="20"/>
              </w:rPr>
              <w:t xml:space="preserve">0.000166 </w:t>
            </w:r>
            <w:r>
              <w:rPr>
                <w:spacing w:val="-10"/>
                <w:sz w:val="20"/>
              </w:rPr>
              <w:t>–</w:t>
            </w:r>
          </w:p>
          <w:p w:rsidR="00C31389" w:rsidRDefault="00561FBD" w14:paraId="00CCA8F3" w14:textId="77777777">
            <w:pPr>
              <w:pStyle w:val="TableParagraph"/>
              <w:spacing w:before="41"/>
              <w:ind w:left="212"/>
              <w:rPr>
                <w:sz w:val="20"/>
              </w:rPr>
            </w:pPr>
            <w:r>
              <w:rPr>
                <w:spacing w:val="-2"/>
                <w:sz w:val="20"/>
              </w:rPr>
              <w:t>0.000243</w:t>
            </w:r>
          </w:p>
        </w:tc>
      </w:tr>
      <w:tr w:rsidR="00C31389" w14:paraId="4182A668" w14:textId="77777777">
        <w:trPr>
          <w:trHeight w:val="768"/>
        </w:trPr>
        <w:tc>
          <w:tcPr>
            <w:tcW w:w="1260" w:type="dxa"/>
          </w:tcPr>
          <w:p w:rsidR="00C31389" w:rsidRDefault="00C31389" w14:paraId="57718A00" w14:textId="77777777">
            <w:pPr>
              <w:pStyle w:val="TableParagraph"/>
              <w:spacing w:before="8"/>
              <w:rPr>
                <w:b/>
                <w:sz w:val="21"/>
              </w:rPr>
            </w:pPr>
          </w:p>
          <w:p w:rsidR="00C31389" w:rsidRDefault="00561FBD" w14:paraId="39C807D4" w14:textId="77777777">
            <w:pPr>
              <w:pStyle w:val="TableParagraph"/>
              <w:spacing w:before="1"/>
              <w:ind w:left="108"/>
              <w:rPr>
                <w:sz w:val="20"/>
              </w:rPr>
            </w:pPr>
            <w:r>
              <w:rPr>
                <w:spacing w:val="-2"/>
                <w:sz w:val="20"/>
              </w:rPr>
              <w:t>Residential</w:t>
            </w:r>
          </w:p>
        </w:tc>
        <w:tc>
          <w:tcPr>
            <w:tcW w:w="1011" w:type="dxa"/>
            <w:tcBorders>
              <w:top w:val="single" w:color="D9D9D9" w:sz="2" w:space="0"/>
              <w:bottom w:val="single" w:color="D9D9D9" w:sz="2" w:space="0"/>
            </w:tcBorders>
          </w:tcPr>
          <w:p w:rsidR="00C31389" w:rsidRDefault="00561FBD" w14:paraId="49E12416" w14:textId="77777777">
            <w:pPr>
              <w:pStyle w:val="TableParagraph"/>
              <w:spacing w:before="155"/>
              <w:ind w:left="108"/>
              <w:rPr>
                <w:sz w:val="20"/>
              </w:rPr>
            </w:pPr>
            <w:r>
              <w:rPr>
                <w:spacing w:val="-4"/>
                <w:sz w:val="20"/>
              </w:rPr>
              <w:t>HERs</w:t>
            </w:r>
          </w:p>
          <w:p w:rsidR="00C31389" w:rsidRDefault="00561FBD" w14:paraId="5D323230" w14:textId="77777777">
            <w:pPr>
              <w:pStyle w:val="TableParagraph"/>
              <w:spacing w:before="1"/>
              <w:ind w:left="108"/>
              <w:rPr>
                <w:sz w:val="20"/>
              </w:rPr>
            </w:pPr>
            <w:r>
              <w:rPr>
                <w:sz w:val="20"/>
              </w:rPr>
              <w:t>Bin</w:t>
            </w:r>
            <w:r>
              <w:rPr>
                <w:spacing w:val="-3"/>
                <w:sz w:val="20"/>
              </w:rPr>
              <w:t xml:space="preserve"> </w:t>
            </w:r>
            <w:r>
              <w:rPr>
                <w:spacing w:val="-10"/>
                <w:sz w:val="20"/>
              </w:rPr>
              <w:t>2</w:t>
            </w:r>
          </w:p>
        </w:tc>
        <w:tc>
          <w:tcPr>
            <w:tcW w:w="1233" w:type="dxa"/>
            <w:tcBorders>
              <w:top w:val="single" w:color="D9D9D9" w:sz="2" w:space="0"/>
              <w:bottom w:val="single" w:color="D9D9D9" w:sz="2" w:space="0"/>
            </w:tcBorders>
          </w:tcPr>
          <w:p w:rsidR="00C31389" w:rsidRDefault="00C31389" w14:paraId="69BC3F3D" w14:textId="77777777">
            <w:pPr>
              <w:pStyle w:val="TableParagraph"/>
              <w:spacing w:before="5"/>
              <w:rPr>
                <w:b/>
                <w:sz w:val="23"/>
              </w:rPr>
            </w:pPr>
          </w:p>
          <w:p w:rsidR="00C31389" w:rsidRDefault="00561FBD" w14:paraId="75D30543" w14:textId="77777777">
            <w:pPr>
              <w:pStyle w:val="TableParagraph"/>
              <w:spacing w:before="0"/>
              <w:ind w:right="521"/>
              <w:jc w:val="right"/>
              <w:rPr>
                <w:sz w:val="20"/>
              </w:rPr>
            </w:pPr>
            <w:r>
              <w:rPr>
                <w:sz w:val="20"/>
              </w:rPr>
              <w:t>1</w:t>
            </w:r>
          </w:p>
        </w:tc>
        <w:tc>
          <w:tcPr>
            <w:tcW w:w="1150" w:type="dxa"/>
            <w:tcBorders>
              <w:top w:val="single" w:color="D9D9D9" w:sz="2" w:space="0"/>
              <w:bottom w:val="single" w:color="D9D9D9" w:sz="2" w:space="0"/>
            </w:tcBorders>
          </w:tcPr>
          <w:p w:rsidR="00C31389" w:rsidRDefault="00561FBD" w14:paraId="3B7DD014" w14:textId="77777777">
            <w:pPr>
              <w:pStyle w:val="TableParagraph"/>
              <w:spacing w:before="155"/>
              <w:ind w:left="362"/>
              <w:rPr>
                <w:sz w:val="20"/>
              </w:rPr>
            </w:pPr>
            <w:r>
              <w:rPr>
                <w:spacing w:val="-2"/>
                <w:sz w:val="20"/>
              </w:rPr>
              <w:t>0.92-</w:t>
            </w:r>
          </w:p>
          <w:p w:rsidR="00C31389" w:rsidRDefault="00561FBD" w14:paraId="64A4691A" w14:textId="77777777">
            <w:pPr>
              <w:pStyle w:val="TableParagraph"/>
              <w:spacing w:before="1"/>
              <w:ind w:left="307"/>
              <w:rPr>
                <w:sz w:val="20"/>
              </w:rPr>
            </w:pPr>
            <w:r>
              <w:rPr>
                <w:spacing w:val="-4"/>
                <w:sz w:val="20"/>
              </w:rPr>
              <w:t>1.03%</w:t>
            </w:r>
          </w:p>
        </w:tc>
        <w:tc>
          <w:tcPr>
            <w:tcW w:w="1219" w:type="dxa"/>
            <w:tcBorders>
              <w:top w:val="single" w:color="D9D9D9" w:sz="2" w:space="0"/>
              <w:bottom w:val="single" w:color="D9D9D9" w:sz="2" w:space="0"/>
            </w:tcBorders>
          </w:tcPr>
          <w:p w:rsidR="00C31389" w:rsidRDefault="00561FBD" w14:paraId="1261027C" w14:textId="77777777">
            <w:pPr>
              <w:pStyle w:val="TableParagraph"/>
              <w:spacing w:before="155"/>
              <w:ind w:left="293"/>
              <w:rPr>
                <w:sz w:val="20"/>
              </w:rPr>
            </w:pPr>
            <w:r>
              <w:rPr>
                <w:spacing w:val="-2"/>
                <w:sz w:val="20"/>
              </w:rPr>
              <w:t>0.52%-</w:t>
            </w:r>
          </w:p>
          <w:p w:rsidR="00C31389" w:rsidRDefault="00561FBD" w14:paraId="2EA90213" w14:textId="77777777">
            <w:pPr>
              <w:pStyle w:val="TableParagraph"/>
              <w:spacing w:before="1"/>
              <w:ind w:left="327"/>
              <w:rPr>
                <w:sz w:val="20"/>
              </w:rPr>
            </w:pPr>
            <w:r>
              <w:rPr>
                <w:spacing w:val="-4"/>
                <w:sz w:val="20"/>
              </w:rPr>
              <w:t>1.12%</w:t>
            </w:r>
          </w:p>
        </w:tc>
        <w:tc>
          <w:tcPr>
            <w:tcW w:w="1381" w:type="dxa"/>
            <w:tcBorders>
              <w:top w:val="single" w:color="D9D9D9" w:sz="2" w:space="0"/>
              <w:bottom w:val="single" w:color="D9D9D9" w:sz="2" w:space="0"/>
            </w:tcBorders>
          </w:tcPr>
          <w:p w:rsidR="00C31389" w:rsidRDefault="00561FBD" w14:paraId="24C16121" w14:textId="77777777">
            <w:pPr>
              <w:pStyle w:val="TableParagraph"/>
              <w:spacing w:before="155"/>
              <w:ind w:left="277"/>
              <w:rPr>
                <w:sz w:val="20"/>
              </w:rPr>
            </w:pPr>
            <w:r>
              <w:rPr>
                <w:spacing w:val="-2"/>
                <w:sz w:val="20"/>
              </w:rPr>
              <w:t>$0.05-</w:t>
            </w:r>
          </w:p>
          <w:p w:rsidR="00C31389" w:rsidRDefault="00561FBD" w14:paraId="29B7FABE" w14:textId="77777777">
            <w:pPr>
              <w:pStyle w:val="TableParagraph"/>
              <w:spacing w:before="1"/>
              <w:ind w:left="311"/>
              <w:rPr>
                <w:sz w:val="20"/>
              </w:rPr>
            </w:pPr>
            <w:r>
              <w:rPr>
                <w:spacing w:val="-2"/>
                <w:sz w:val="20"/>
              </w:rPr>
              <w:t>$0.13</w:t>
            </w:r>
          </w:p>
        </w:tc>
        <w:tc>
          <w:tcPr>
            <w:tcW w:w="891" w:type="dxa"/>
            <w:tcBorders>
              <w:top w:val="single" w:color="D9D9D9" w:sz="2" w:space="0"/>
              <w:bottom w:val="single" w:color="D9D9D9" w:sz="2" w:space="0"/>
            </w:tcBorders>
          </w:tcPr>
          <w:p w:rsidR="00C31389" w:rsidRDefault="00561FBD" w14:paraId="121B1701" w14:textId="77777777">
            <w:pPr>
              <w:pStyle w:val="TableParagraph"/>
              <w:spacing w:before="155"/>
              <w:ind w:left="66"/>
              <w:rPr>
                <w:sz w:val="20"/>
              </w:rPr>
            </w:pPr>
            <w:r>
              <w:rPr>
                <w:spacing w:val="-2"/>
                <w:sz w:val="20"/>
              </w:rPr>
              <w:t>$0.49-</w:t>
            </w:r>
          </w:p>
          <w:p w:rsidR="00C31389" w:rsidRDefault="00561FBD" w14:paraId="344E3BE2" w14:textId="77777777">
            <w:pPr>
              <w:pStyle w:val="TableParagraph"/>
              <w:spacing w:before="1"/>
              <w:ind w:left="100"/>
              <w:rPr>
                <w:sz w:val="20"/>
              </w:rPr>
            </w:pPr>
            <w:r>
              <w:rPr>
                <w:spacing w:val="-2"/>
                <w:sz w:val="20"/>
              </w:rPr>
              <w:t>$1.88</w:t>
            </w:r>
          </w:p>
        </w:tc>
        <w:tc>
          <w:tcPr>
            <w:tcW w:w="1212" w:type="dxa"/>
            <w:tcBorders>
              <w:top w:val="single" w:color="D9D9D9" w:sz="2" w:space="0"/>
              <w:bottom w:val="single" w:color="D9D9D9" w:sz="2" w:space="0"/>
            </w:tcBorders>
          </w:tcPr>
          <w:p w:rsidR="00C31389" w:rsidRDefault="00561FBD" w14:paraId="385C219F" w14:textId="77777777">
            <w:pPr>
              <w:pStyle w:val="TableParagraph"/>
              <w:ind w:left="211" w:right="161" w:hanging="2"/>
              <w:jc w:val="center"/>
              <w:rPr>
                <w:sz w:val="20"/>
              </w:rPr>
            </w:pPr>
            <w:r>
              <w:rPr>
                <w:spacing w:val="-2"/>
                <w:sz w:val="20"/>
              </w:rPr>
              <w:t xml:space="preserve">0.000088 </w:t>
            </w:r>
            <w:r>
              <w:rPr>
                <w:spacing w:val="-10"/>
                <w:sz w:val="20"/>
              </w:rPr>
              <w:t xml:space="preserve">– </w:t>
            </w:r>
            <w:r>
              <w:rPr>
                <w:spacing w:val="-2"/>
                <w:sz w:val="20"/>
              </w:rPr>
              <w:t>0.000232</w:t>
            </w:r>
          </w:p>
        </w:tc>
      </w:tr>
      <w:tr w:rsidR="00C31389" w14:paraId="6B680598" w14:textId="77777777">
        <w:trPr>
          <w:trHeight w:val="771"/>
        </w:trPr>
        <w:tc>
          <w:tcPr>
            <w:tcW w:w="1260" w:type="dxa"/>
            <w:tcBorders>
              <w:bottom w:val="single" w:color="000000" w:sz="8" w:space="0"/>
            </w:tcBorders>
          </w:tcPr>
          <w:p w:rsidR="00C31389" w:rsidRDefault="00C31389" w14:paraId="4C36AEDC" w14:textId="77777777">
            <w:pPr>
              <w:pStyle w:val="TableParagraph"/>
              <w:spacing w:before="0"/>
              <w:rPr>
                <w:rFonts w:ascii="Times New Roman"/>
                <w:sz w:val="20"/>
              </w:rPr>
            </w:pPr>
          </w:p>
        </w:tc>
        <w:tc>
          <w:tcPr>
            <w:tcW w:w="1011" w:type="dxa"/>
            <w:tcBorders>
              <w:top w:val="single" w:color="D9D9D9" w:sz="2" w:space="0"/>
              <w:bottom w:val="single" w:color="000000" w:sz="8" w:space="0"/>
            </w:tcBorders>
          </w:tcPr>
          <w:p w:rsidR="00C31389" w:rsidRDefault="00561FBD" w14:paraId="68DF07E9" w14:textId="77777777">
            <w:pPr>
              <w:pStyle w:val="TableParagraph"/>
              <w:spacing w:before="155"/>
              <w:ind w:left="108"/>
              <w:rPr>
                <w:sz w:val="20"/>
              </w:rPr>
            </w:pPr>
            <w:r>
              <w:rPr>
                <w:spacing w:val="-4"/>
                <w:sz w:val="20"/>
              </w:rPr>
              <w:t>HERs</w:t>
            </w:r>
          </w:p>
          <w:p w:rsidR="00C31389" w:rsidRDefault="00561FBD" w14:paraId="4F3F5541" w14:textId="77777777">
            <w:pPr>
              <w:pStyle w:val="TableParagraph"/>
              <w:spacing w:before="1"/>
              <w:ind w:left="108"/>
              <w:rPr>
                <w:sz w:val="20"/>
              </w:rPr>
            </w:pPr>
            <w:r>
              <w:rPr>
                <w:sz w:val="20"/>
              </w:rPr>
              <w:t>Bin</w:t>
            </w:r>
            <w:r>
              <w:rPr>
                <w:spacing w:val="-3"/>
                <w:sz w:val="20"/>
              </w:rPr>
              <w:t xml:space="preserve"> </w:t>
            </w:r>
            <w:r>
              <w:rPr>
                <w:spacing w:val="-10"/>
                <w:sz w:val="20"/>
              </w:rPr>
              <w:t>3</w:t>
            </w:r>
          </w:p>
        </w:tc>
        <w:tc>
          <w:tcPr>
            <w:tcW w:w="1233" w:type="dxa"/>
            <w:tcBorders>
              <w:top w:val="single" w:color="D9D9D9" w:sz="2" w:space="0"/>
              <w:bottom w:val="single" w:color="000000" w:sz="8" w:space="0"/>
            </w:tcBorders>
          </w:tcPr>
          <w:p w:rsidR="00C31389" w:rsidRDefault="00C31389" w14:paraId="4BB66FC3" w14:textId="77777777">
            <w:pPr>
              <w:pStyle w:val="TableParagraph"/>
              <w:spacing w:before="6"/>
              <w:rPr>
                <w:b/>
                <w:sz w:val="23"/>
              </w:rPr>
            </w:pPr>
          </w:p>
          <w:p w:rsidR="00C31389" w:rsidRDefault="00561FBD" w14:paraId="30EA5AD1" w14:textId="77777777">
            <w:pPr>
              <w:pStyle w:val="TableParagraph"/>
              <w:spacing w:before="0"/>
              <w:ind w:right="521"/>
              <w:jc w:val="right"/>
              <w:rPr>
                <w:sz w:val="20"/>
              </w:rPr>
            </w:pPr>
            <w:r>
              <w:rPr>
                <w:sz w:val="20"/>
              </w:rPr>
              <w:t>1</w:t>
            </w:r>
          </w:p>
        </w:tc>
        <w:tc>
          <w:tcPr>
            <w:tcW w:w="1150" w:type="dxa"/>
            <w:tcBorders>
              <w:top w:val="single" w:color="D9D9D9" w:sz="2" w:space="0"/>
              <w:bottom w:val="single" w:color="000000" w:sz="8" w:space="0"/>
            </w:tcBorders>
          </w:tcPr>
          <w:p w:rsidR="00C31389" w:rsidRDefault="00561FBD" w14:paraId="29AAC8A3" w14:textId="77777777">
            <w:pPr>
              <w:pStyle w:val="TableParagraph"/>
              <w:spacing w:before="155"/>
              <w:ind w:left="362"/>
              <w:rPr>
                <w:sz w:val="20"/>
              </w:rPr>
            </w:pPr>
            <w:r>
              <w:rPr>
                <w:spacing w:val="-2"/>
                <w:sz w:val="20"/>
              </w:rPr>
              <w:t>1.33-</w:t>
            </w:r>
          </w:p>
          <w:p w:rsidR="00C31389" w:rsidRDefault="00561FBD" w14:paraId="17DFDE59" w14:textId="77777777">
            <w:pPr>
              <w:pStyle w:val="TableParagraph"/>
              <w:spacing w:before="1"/>
              <w:ind w:left="307"/>
              <w:rPr>
                <w:sz w:val="20"/>
              </w:rPr>
            </w:pPr>
            <w:r>
              <w:rPr>
                <w:spacing w:val="-4"/>
                <w:sz w:val="20"/>
              </w:rPr>
              <w:t>1.62%</w:t>
            </w:r>
          </w:p>
        </w:tc>
        <w:tc>
          <w:tcPr>
            <w:tcW w:w="1219" w:type="dxa"/>
            <w:tcBorders>
              <w:top w:val="single" w:color="D9D9D9" w:sz="2" w:space="0"/>
              <w:bottom w:val="single" w:color="000000" w:sz="8" w:space="0"/>
            </w:tcBorders>
          </w:tcPr>
          <w:p w:rsidR="00C31389" w:rsidRDefault="00561FBD" w14:paraId="0261BA9A" w14:textId="77777777">
            <w:pPr>
              <w:pStyle w:val="TableParagraph"/>
              <w:spacing w:before="155"/>
              <w:ind w:left="293"/>
              <w:rPr>
                <w:sz w:val="20"/>
              </w:rPr>
            </w:pPr>
            <w:r>
              <w:rPr>
                <w:spacing w:val="-2"/>
                <w:sz w:val="20"/>
              </w:rPr>
              <w:t>0.80%-</w:t>
            </w:r>
          </w:p>
          <w:p w:rsidR="00C31389" w:rsidRDefault="00561FBD" w14:paraId="7A40573F" w14:textId="77777777">
            <w:pPr>
              <w:pStyle w:val="TableParagraph"/>
              <w:spacing w:before="1"/>
              <w:ind w:left="327"/>
              <w:rPr>
                <w:sz w:val="20"/>
              </w:rPr>
            </w:pPr>
            <w:r>
              <w:rPr>
                <w:spacing w:val="-4"/>
                <w:sz w:val="20"/>
              </w:rPr>
              <w:t>1.66%</w:t>
            </w:r>
          </w:p>
        </w:tc>
        <w:tc>
          <w:tcPr>
            <w:tcW w:w="1381" w:type="dxa"/>
            <w:tcBorders>
              <w:top w:val="single" w:color="D9D9D9" w:sz="2" w:space="0"/>
              <w:bottom w:val="single" w:color="000000" w:sz="8" w:space="0"/>
            </w:tcBorders>
          </w:tcPr>
          <w:p w:rsidR="00C31389" w:rsidRDefault="00561FBD" w14:paraId="115FF9AA" w14:textId="77777777">
            <w:pPr>
              <w:pStyle w:val="TableParagraph"/>
              <w:spacing w:before="155"/>
              <w:ind w:left="278"/>
              <w:rPr>
                <w:sz w:val="20"/>
              </w:rPr>
            </w:pPr>
            <w:r>
              <w:rPr>
                <w:spacing w:val="-2"/>
                <w:sz w:val="20"/>
              </w:rPr>
              <w:t>$0.05-</w:t>
            </w:r>
          </w:p>
          <w:p w:rsidR="00C31389" w:rsidRDefault="00561FBD" w14:paraId="29F996D9" w14:textId="77777777">
            <w:pPr>
              <w:pStyle w:val="TableParagraph"/>
              <w:spacing w:before="1"/>
              <w:ind w:left="311"/>
              <w:rPr>
                <w:sz w:val="20"/>
              </w:rPr>
            </w:pPr>
            <w:r>
              <w:rPr>
                <w:spacing w:val="-2"/>
                <w:sz w:val="20"/>
              </w:rPr>
              <w:t>$0.14</w:t>
            </w:r>
          </w:p>
        </w:tc>
        <w:tc>
          <w:tcPr>
            <w:tcW w:w="891" w:type="dxa"/>
            <w:tcBorders>
              <w:top w:val="single" w:color="D9D9D9" w:sz="2" w:space="0"/>
              <w:bottom w:val="single" w:color="000000" w:sz="8" w:space="0"/>
            </w:tcBorders>
          </w:tcPr>
          <w:p w:rsidR="00C31389" w:rsidRDefault="00561FBD" w14:paraId="671CBD20" w14:textId="77777777">
            <w:pPr>
              <w:pStyle w:val="TableParagraph"/>
              <w:spacing w:before="155"/>
              <w:ind w:left="67"/>
              <w:rPr>
                <w:sz w:val="20"/>
              </w:rPr>
            </w:pPr>
            <w:r>
              <w:rPr>
                <w:spacing w:val="-2"/>
                <w:sz w:val="20"/>
              </w:rPr>
              <w:t>$0.49-</w:t>
            </w:r>
          </w:p>
          <w:p w:rsidR="00C31389" w:rsidRDefault="00561FBD" w14:paraId="54905A9A" w14:textId="77777777">
            <w:pPr>
              <w:pStyle w:val="TableParagraph"/>
              <w:spacing w:before="1"/>
              <w:ind w:left="100"/>
              <w:rPr>
                <w:sz w:val="20"/>
              </w:rPr>
            </w:pPr>
            <w:r>
              <w:rPr>
                <w:spacing w:val="-2"/>
                <w:sz w:val="20"/>
              </w:rPr>
              <w:t>$1.88</w:t>
            </w:r>
          </w:p>
        </w:tc>
        <w:tc>
          <w:tcPr>
            <w:tcW w:w="1212" w:type="dxa"/>
            <w:tcBorders>
              <w:top w:val="single" w:color="D9D9D9" w:sz="2" w:space="0"/>
              <w:bottom w:val="single" w:color="000000" w:sz="8" w:space="0"/>
            </w:tcBorders>
          </w:tcPr>
          <w:p w:rsidR="00C31389" w:rsidRDefault="00561FBD" w14:paraId="40F0A7F4" w14:textId="77777777">
            <w:pPr>
              <w:pStyle w:val="TableParagraph"/>
              <w:spacing w:before="41"/>
              <w:ind w:left="211" w:right="161" w:hanging="2"/>
              <w:jc w:val="center"/>
              <w:rPr>
                <w:sz w:val="20"/>
              </w:rPr>
            </w:pPr>
            <w:r>
              <w:rPr>
                <w:spacing w:val="-2"/>
                <w:sz w:val="20"/>
              </w:rPr>
              <w:t xml:space="preserve">0.000220 </w:t>
            </w:r>
            <w:r>
              <w:rPr>
                <w:spacing w:val="-10"/>
                <w:sz w:val="20"/>
              </w:rPr>
              <w:t xml:space="preserve">– </w:t>
            </w:r>
            <w:r>
              <w:rPr>
                <w:spacing w:val="-2"/>
                <w:sz w:val="20"/>
              </w:rPr>
              <w:t>0.000226</w:t>
            </w:r>
          </w:p>
        </w:tc>
      </w:tr>
    </w:tbl>
    <w:p w:rsidR="00C31389" w:rsidRDefault="00561FBD" w14:paraId="10AB7CC7"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1DDE88C8" w14:textId="77777777">
      <w:pPr>
        <w:pStyle w:val="BodyText"/>
        <w:rPr>
          <w:i/>
          <w:sz w:val="20"/>
        </w:rPr>
      </w:pPr>
    </w:p>
    <w:p w:rsidR="00C31389" w:rsidRDefault="00561FBD" w14:paraId="7D3213C1" w14:textId="77777777">
      <w:pPr>
        <w:pStyle w:val="ListParagraph"/>
        <w:numPr>
          <w:ilvl w:val="2"/>
          <w:numId w:val="19"/>
        </w:numPr>
        <w:tabs>
          <w:tab w:val="left" w:pos="1197"/>
        </w:tabs>
        <w:spacing w:before="130"/>
        <w:ind w:left="1197" w:hanging="717"/>
        <w:rPr>
          <w:b/>
          <w:sz w:val="24"/>
        </w:rPr>
      </w:pPr>
      <w:bookmarkStart w:name="D.1.2_Assumptions_and_Methodology" w:id="404"/>
      <w:bookmarkStart w:name="_bookmark304" w:id="405"/>
      <w:bookmarkEnd w:id="404"/>
      <w:bookmarkEnd w:id="405"/>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052CCEAD" w14:textId="77777777">
      <w:pPr>
        <w:pStyle w:val="BodyText"/>
        <w:spacing w:before="2"/>
        <w:rPr>
          <w:b/>
          <w:sz w:val="23"/>
        </w:rPr>
      </w:pPr>
    </w:p>
    <w:p w:rsidR="00C31389" w:rsidRDefault="00561FBD" w14:paraId="23016431" w14:textId="77777777">
      <w:pPr>
        <w:pStyle w:val="Heading7"/>
        <w:spacing w:before="1"/>
        <w:ind w:left="480"/>
      </w:pPr>
      <w:r>
        <w:t>Bin-based</w:t>
      </w:r>
      <w:r>
        <w:rPr>
          <w:spacing w:val="-12"/>
        </w:rPr>
        <w:t xml:space="preserve"> </w:t>
      </w:r>
      <w:r>
        <w:rPr>
          <w:spacing w:val="-2"/>
        </w:rPr>
        <w:t>Measures</w:t>
      </w:r>
    </w:p>
    <w:p w:rsidR="00C31389" w:rsidRDefault="00C31389" w14:paraId="076D7F20" w14:textId="77777777">
      <w:pPr>
        <w:pStyle w:val="BodyText"/>
        <w:spacing w:before="10"/>
        <w:rPr>
          <w:b/>
          <w:sz w:val="20"/>
        </w:rPr>
      </w:pPr>
    </w:p>
    <w:p w:rsidR="00C31389" w:rsidRDefault="00561FBD" w14:paraId="0EB2A181" w14:textId="77777777">
      <w:pPr>
        <w:pStyle w:val="BodyText"/>
        <w:ind w:left="480" w:right="615" w:hanging="1"/>
      </w:pPr>
      <w:r>
        <w:t xml:space="preserve">For the 2023 PG Study, </w:t>
      </w:r>
      <w:r>
        <w:t>Guidehouse introduced a new method to forecast future HERs savings by establishing three bins based on grouping historical waves (batches of new participants)</w:t>
      </w:r>
      <w:r>
        <w:rPr>
          <w:spacing w:val="-3"/>
        </w:rPr>
        <w:t xml:space="preserve"> </w:t>
      </w:r>
      <w:r>
        <w:t>of</w:t>
      </w:r>
      <w:r>
        <w:rPr>
          <w:spacing w:val="-3"/>
        </w:rPr>
        <w:t xml:space="preserve"> </w:t>
      </w:r>
      <w:r>
        <w:t>customers</w:t>
      </w:r>
      <w:r>
        <w:rPr>
          <w:spacing w:val="-3"/>
        </w:rPr>
        <w:t xml:space="preserve"> </w:t>
      </w:r>
      <w:r>
        <w:t>into</w:t>
      </w:r>
      <w:r>
        <w:rPr>
          <w:spacing w:val="-3"/>
        </w:rPr>
        <w:t xml:space="preserve"> </w:t>
      </w:r>
      <w:r>
        <w:t>low,</w:t>
      </w:r>
      <w:r>
        <w:rPr>
          <w:spacing w:val="-3"/>
        </w:rPr>
        <w:t xml:space="preserve"> </w:t>
      </w:r>
      <w:r>
        <w:t>moderate,</w:t>
      </w:r>
      <w:r>
        <w:rPr>
          <w:spacing w:val="-3"/>
        </w:rPr>
        <w:t xml:space="preserve"> </w:t>
      </w:r>
      <w:r>
        <w:t>and</w:t>
      </w:r>
      <w:r>
        <w:rPr>
          <w:spacing w:val="-3"/>
        </w:rPr>
        <w:t xml:space="preserve"> </w:t>
      </w:r>
      <w:r>
        <w:t>high</w:t>
      </w:r>
      <w:r>
        <w:rPr>
          <w:spacing w:val="-3"/>
        </w:rPr>
        <w:t xml:space="preserve"> </w:t>
      </w:r>
      <w:r>
        <w:t>energy</w:t>
      </w:r>
      <w:r>
        <w:rPr>
          <w:spacing w:val="-3"/>
        </w:rPr>
        <w:t xml:space="preserve"> </w:t>
      </w:r>
      <w:r>
        <w:t>savers.</w:t>
      </w:r>
      <w:r>
        <w:rPr>
          <w:spacing w:val="-3"/>
        </w:rPr>
        <w:t xml:space="preserve"> </w:t>
      </w:r>
      <w:r>
        <w:t>The</w:t>
      </w:r>
      <w:r>
        <w:rPr>
          <w:spacing w:val="-3"/>
        </w:rPr>
        <w:t xml:space="preserve"> </w:t>
      </w:r>
      <w:r>
        <w:t>purpose</w:t>
      </w:r>
      <w:r>
        <w:rPr>
          <w:spacing w:val="-3"/>
        </w:rPr>
        <w:t xml:space="preserve"> </w:t>
      </w:r>
      <w:r>
        <w:t>of</w:t>
      </w:r>
      <w:r>
        <w:rPr>
          <w:spacing w:val="-4"/>
        </w:rPr>
        <w:t xml:space="preserve"> </w:t>
      </w:r>
      <w:r>
        <w:t>this change was to better</w:t>
      </w:r>
      <w:r>
        <w:t xml:space="preserve"> describe the expected trend of new customers entering the program who are more likely to have lower energy savings than the historical participants that resulted in higher energy savings.</w:t>
      </w:r>
    </w:p>
    <w:p w:rsidR="00C31389" w:rsidRDefault="00C31389" w14:paraId="75EA9226" w14:textId="77777777">
      <w:pPr>
        <w:pStyle w:val="BodyText"/>
        <w:spacing w:before="10"/>
        <w:rPr>
          <w:sz w:val="20"/>
        </w:rPr>
      </w:pPr>
    </w:p>
    <w:p w:rsidR="00C31389" w:rsidRDefault="00561FBD" w14:paraId="42F5B62A" w14:textId="77777777">
      <w:pPr>
        <w:pStyle w:val="BodyText"/>
        <w:ind w:left="480" w:right="505"/>
      </w:pPr>
      <w:r>
        <w:t xml:space="preserve">Bin assignments were based on the reported kWh savings. For those </w:t>
      </w:r>
      <w:r>
        <w:t>gas-only waves without</w:t>
      </w:r>
      <w:r>
        <w:rPr>
          <w:spacing w:val="-3"/>
        </w:rPr>
        <w:t xml:space="preserve"> </w:t>
      </w:r>
      <w:r>
        <w:t>kWh</w:t>
      </w:r>
      <w:r>
        <w:rPr>
          <w:spacing w:val="-4"/>
        </w:rPr>
        <w:t xml:space="preserve"> </w:t>
      </w:r>
      <w:r>
        <w:t>savings,</w:t>
      </w:r>
      <w:r>
        <w:rPr>
          <w:spacing w:val="-3"/>
        </w:rPr>
        <w:t xml:space="preserve"> </w:t>
      </w:r>
      <w:r>
        <w:t>a</w:t>
      </w:r>
      <w:r>
        <w:rPr>
          <w:spacing w:val="-4"/>
        </w:rPr>
        <w:t xml:space="preserve"> </w:t>
      </w:r>
      <w:r>
        <w:t>bin</w:t>
      </w:r>
      <w:r>
        <w:rPr>
          <w:spacing w:val="-3"/>
        </w:rPr>
        <w:t xml:space="preserve"> </w:t>
      </w:r>
      <w:r>
        <w:t>was</w:t>
      </w:r>
      <w:r>
        <w:rPr>
          <w:spacing w:val="-3"/>
        </w:rPr>
        <w:t xml:space="preserve"> </w:t>
      </w:r>
      <w:r>
        <w:t>assigned</w:t>
      </w:r>
      <w:r>
        <w:rPr>
          <w:spacing w:val="-3"/>
        </w:rPr>
        <w:t xml:space="preserve"> </w:t>
      </w:r>
      <w:r>
        <w:t>based</w:t>
      </w:r>
      <w:r>
        <w:rPr>
          <w:spacing w:val="-4"/>
        </w:rPr>
        <w:t xml:space="preserve"> </w:t>
      </w:r>
      <w:r>
        <w:t>on</w:t>
      </w:r>
      <w:r>
        <w:rPr>
          <w:spacing w:val="-3"/>
        </w:rPr>
        <w:t xml:space="preserve"> </w:t>
      </w:r>
      <w:r>
        <w:t>the</w:t>
      </w:r>
      <w:r>
        <w:rPr>
          <w:spacing w:val="-3"/>
        </w:rPr>
        <w:t xml:space="preserve"> </w:t>
      </w:r>
      <w:r>
        <w:t>reported</w:t>
      </w:r>
      <w:r>
        <w:rPr>
          <w:spacing w:val="-3"/>
        </w:rPr>
        <w:t xml:space="preserve"> </w:t>
      </w:r>
      <w:r>
        <w:t>therm</w:t>
      </w:r>
      <w:r>
        <w:rPr>
          <w:spacing w:val="-4"/>
        </w:rPr>
        <w:t xml:space="preserve"> </w:t>
      </w:r>
      <w:r>
        <w:t>savings.</w:t>
      </w:r>
      <w:r>
        <w:rPr>
          <w:spacing w:val="-2"/>
        </w:rPr>
        <w:t xml:space="preserve"> </w:t>
      </w:r>
      <w:r>
        <w:t>Low</w:t>
      </w:r>
      <w:r>
        <w:rPr>
          <w:spacing w:val="-4"/>
        </w:rPr>
        <w:t xml:space="preserve"> </w:t>
      </w:r>
      <w:r>
        <w:t>energy</w:t>
      </w:r>
    </w:p>
    <w:p w:rsidR="00C31389" w:rsidRDefault="00C31389" w14:paraId="675A348F" w14:textId="77777777">
      <w:pPr>
        <w:sectPr w:rsidR="00C31389">
          <w:headerReference w:type="default" r:id="rId252"/>
          <w:footerReference w:type="default" r:id="rId253"/>
          <w:pgSz w:w="11910" w:h="16840"/>
          <w:pgMar w:top="1380" w:right="1020" w:bottom="1120" w:left="960" w:header="397" w:footer="938" w:gutter="0"/>
          <w:cols w:space="720"/>
        </w:sectPr>
      </w:pPr>
    </w:p>
    <w:p w:rsidR="00C31389" w:rsidRDefault="00C31389" w14:paraId="0A9F40D9" w14:textId="77777777">
      <w:pPr>
        <w:pStyle w:val="BodyText"/>
        <w:spacing w:before="11"/>
        <w:rPr>
          <w:sz w:val="13"/>
        </w:rPr>
      </w:pPr>
    </w:p>
    <w:p w:rsidR="00C31389" w:rsidRDefault="00561FBD" w14:paraId="1A8771B7" w14:textId="77777777">
      <w:pPr>
        <w:pStyle w:val="BodyText"/>
        <w:spacing w:before="92"/>
        <w:ind w:left="480" w:right="505"/>
      </w:pPr>
      <w:r>
        <w:t xml:space="preserve">savers (Bin 1) </w:t>
      </w:r>
      <w:r>
        <w:t>include waves with reported energy savings less than 0.75%. Moderate energy</w:t>
      </w:r>
      <w:r>
        <w:rPr>
          <w:spacing w:val="-3"/>
        </w:rPr>
        <w:t xml:space="preserve"> </w:t>
      </w:r>
      <w:r>
        <w:t>savers</w:t>
      </w:r>
      <w:r>
        <w:rPr>
          <w:spacing w:val="-3"/>
        </w:rPr>
        <w:t xml:space="preserve"> </w:t>
      </w:r>
      <w:r>
        <w:t>(Bin</w:t>
      </w:r>
      <w:r>
        <w:rPr>
          <w:spacing w:val="-3"/>
        </w:rPr>
        <w:t xml:space="preserve"> </w:t>
      </w:r>
      <w:r>
        <w:t>2)</w:t>
      </w:r>
      <w:r>
        <w:rPr>
          <w:spacing w:val="-3"/>
        </w:rPr>
        <w:t xml:space="preserve"> </w:t>
      </w:r>
      <w:r>
        <w:t>include</w:t>
      </w:r>
      <w:r>
        <w:rPr>
          <w:spacing w:val="-3"/>
        </w:rPr>
        <w:t xml:space="preserve"> </w:t>
      </w:r>
      <w:r>
        <w:t>waves</w:t>
      </w:r>
      <w:r>
        <w:rPr>
          <w:spacing w:val="-4"/>
        </w:rPr>
        <w:t xml:space="preserve"> </w:t>
      </w:r>
      <w:r>
        <w:t>with</w:t>
      </w:r>
      <w:r>
        <w:rPr>
          <w:spacing w:val="-3"/>
        </w:rPr>
        <w:t xml:space="preserve"> </w:t>
      </w:r>
      <w:r>
        <w:t>a</w:t>
      </w:r>
      <w:r>
        <w:rPr>
          <w:spacing w:val="-3"/>
        </w:rPr>
        <w:t xml:space="preserve"> </w:t>
      </w:r>
      <w:r>
        <w:t>minimum</w:t>
      </w:r>
      <w:r>
        <w:rPr>
          <w:spacing w:val="-4"/>
        </w:rPr>
        <w:t xml:space="preserve"> </w:t>
      </w:r>
      <w:r>
        <w:t>reported</w:t>
      </w:r>
      <w:r>
        <w:rPr>
          <w:spacing w:val="-3"/>
        </w:rPr>
        <w:t xml:space="preserve"> </w:t>
      </w:r>
      <w:r>
        <w:t>energy</w:t>
      </w:r>
      <w:r>
        <w:rPr>
          <w:spacing w:val="-3"/>
        </w:rPr>
        <w:t xml:space="preserve"> </w:t>
      </w:r>
      <w:r>
        <w:t>savings</w:t>
      </w:r>
      <w:r>
        <w:rPr>
          <w:spacing w:val="-3"/>
        </w:rPr>
        <w:t xml:space="preserve"> </w:t>
      </w:r>
      <w:r>
        <w:t>of</w:t>
      </w:r>
      <w:r>
        <w:rPr>
          <w:spacing w:val="-3"/>
        </w:rPr>
        <w:t xml:space="preserve"> </w:t>
      </w:r>
      <w:r>
        <w:t>0.75%</w:t>
      </w:r>
      <w:r>
        <w:rPr>
          <w:spacing w:val="-3"/>
        </w:rPr>
        <w:t xml:space="preserve"> </w:t>
      </w:r>
      <w:r>
        <w:t xml:space="preserve">and a maximum reported energy savings of 1.249%. High energy savers (Bin 3) include waves with a minimum reported energy savings of 1.25%. </w:t>
      </w:r>
      <w:hyperlink w:history="1" w:anchor="_bookmark305">
        <w:r>
          <w:t>Table D-2</w:t>
        </w:r>
      </w:hyperlink>
      <w:r>
        <w:t xml:space="preserve"> provides an over of these </w:t>
      </w:r>
      <w:r>
        <w:rPr>
          <w:spacing w:val="-2"/>
        </w:rPr>
        <w:t>ranges.</w:t>
      </w:r>
    </w:p>
    <w:p w:rsidR="00C31389" w:rsidRDefault="00C31389" w14:paraId="59224BC0" w14:textId="77777777">
      <w:pPr>
        <w:pStyle w:val="BodyText"/>
        <w:spacing w:before="10"/>
        <w:rPr>
          <w:sz w:val="20"/>
        </w:rPr>
      </w:pPr>
    </w:p>
    <w:p w:rsidR="00C31389" w:rsidRDefault="00561FBD" w14:paraId="13C0EF87" w14:textId="77777777">
      <w:pPr>
        <w:pStyle w:val="Heading7"/>
        <w:spacing w:before="1"/>
        <w:ind w:left="398" w:right="340"/>
        <w:jc w:val="center"/>
      </w:pPr>
      <w:bookmarkStart w:name="_bookmark305" w:id="406"/>
      <w:bookmarkEnd w:id="406"/>
      <w:r>
        <w:t>Table</w:t>
      </w:r>
      <w:r>
        <w:rPr>
          <w:spacing w:val="-7"/>
        </w:rPr>
        <w:t xml:space="preserve"> </w:t>
      </w:r>
      <w:r>
        <w:t>D-2.</w:t>
      </w:r>
      <w:r>
        <w:rPr>
          <w:spacing w:val="-8"/>
        </w:rPr>
        <w:t xml:space="preserve"> </w:t>
      </w:r>
      <w:r>
        <w:t>HERs</w:t>
      </w:r>
      <w:r>
        <w:rPr>
          <w:spacing w:val="-6"/>
        </w:rPr>
        <w:t xml:space="preserve"> </w:t>
      </w:r>
      <w:r>
        <w:rPr>
          <w:spacing w:val="-4"/>
        </w:rPr>
        <w:t>Bins</w:t>
      </w:r>
    </w:p>
    <w:p w:rsidR="00C31389" w:rsidRDefault="00C31389" w14:paraId="6BB1BB4C" w14:textId="77777777">
      <w:pPr>
        <w:pStyle w:val="BodyText"/>
        <w:rPr>
          <w:b/>
          <w:sz w:val="10"/>
        </w:rPr>
      </w:pPr>
    </w:p>
    <w:tbl>
      <w:tblPr>
        <w:tblW w:w="0" w:type="auto"/>
        <w:tblInd w:w="3327" w:type="dxa"/>
        <w:tblLayout w:type="fixed"/>
        <w:tblCellMar>
          <w:left w:w="0" w:type="dxa"/>
          <w:right w:w="0" w:type="dxa"/>
        </w:tblCellMar>
        <w:tblLook w:val="01E0" w:firstRow="1" w:lastRow="1" w:firstColumn="1" w:lastColumn="1" w:noHBand="0" w:noVBand="0"/>
      </w:tblPr>
      <w:tblGrid>
        <w:gridCol w:w="1164"/>
        <w:gridCol w:w="2174"/>
      </w:tblGrid>
      <w:tr w:rsidR="00C31389" w14:paraId="7AB9CA3C" w14:textId="77777777">
        <w:trPr>
          <w:trHeight w:val="720"/>
        </w:trPr>
        <w:tc>
          <w:tcPr>
            <w:tcW w:w="1164" w:type="dxa"/>
            <w:shd w:val="clear" w:color="auto" w:fill="94D500"/>
          </w:tcPr>
          <w:p w:rsidR="00C31389" w:rsidRDefault="00561FBD" w14:paraId="1C6B47BA" w14:textId="77777777">
            <w:pPr>
              <w:pStyle w:val="TableParagraph"/>
              <w:spacing w:before="130"/>
              <w:ind w:left="296" w:firstLine="111"/>
              <w:rPr>
                <w:b/>
                <w:sz w:val="20"/>
              </w:rPr>
            </w:pPr>
            <w:r>
              <w:rPr>
                <w:b/>
                <w:spacing w:val="-4"/>
                <w:sz w:val="20"/>
              </w:rPr>
              <w:t>Bin Name</w:t>
            </w:r>
          </w:p>
        </w:tc>
        <w:tc>
          <w:tcPr>
            <w:tcW w:w="2174" w:type="dxa"/>
            <w:shd w:val="clear" w:color="auto" w:fill="94D500"/>
          </w:tcPr>
          <w:p w:rsidR="00C31389" w:rsidRDefault="00561FBD" w14:paraId="5AAB5A73" w14:textId="77777777">
            <w:pPr>
              <w:pStyle w:val="TableParagraph"/>
              <w:spacing w:before="130"/>
              <w:ind w:left="766" w:right="347" w:hanging="446"/>
              <w:rPr>
                <w:b/>
                <w:sz w:val="20"/>
              </w:rPr>
            </w:pPr>
            <w:r>
              <w:rPr>
                <w:b/>
                <w:sz w:val="20"/>
              </w:rPr>
              <w:t>Energy</w:t>
            </w:r>
            <w:r>
              <w:rPr>
                <w:b/>
                <w:spacing w:val="-14"/>
                <w:sz w:val="20"/>
              </w:rPr>
              <w:t xml:space="preserve"> </w:t>
            </w:r>
            <w:r>
              <w:rPr>
                <w:b/>
                <w:sz w:val="20"/>
              </w:rPr>
              <w:t xml:space="preserve">Savings </w:t>
            </w:r>
            <w:r>
              <w:rPr>
                <w:b/>
                <w:spacing w:val="-2"/>
                <w:sz w:val="20"/>
              </w:rPr>
              <w:t>Range</w:t>
            </w:r>
          </w:p>
        </w:tc>
      </w:tr>
      <w:tr w:rsidR="00C31389" w14:paraId="426D68A7" w14:textId="77777777">
        <w:trPr>
          <w:trHeight w:val="429"/>
        </w:trPr>
        <w:tc>
          <w:tcPr>
            <w:tcW w:w="1164" w:type="dxa"/>
            <w:tcBorders>
              <w:bottom w:val="single" w:color="BEBEBE" w:sz="4" w:space="0"/>
            </w:tcBorders>
          </w:tcPr>
          <w:p w:rsidR="00C31389" w:rsidRDefault="00561FBD" w14:paraId="4490658B" w14:textId="77777777">
            <w:pPr>
              <w:pStyle w:val="TableParagraph"/>
              <w:spacing w:before="160"/>
              <w:ind w:right="22"/>
              <w:jc w:val="center"/>
              <w:rPr>
                <w:sz w:val="20"/>
              </w:rPr>
            </w:pPr>
            <w:r>
              <w:rPr>
                <w:sz w:val="20"/>
              </w:rPr>
              <w:t>1</w:t>
            </w:r>
          </w:p>
        </w:tc>
        <w:tc>
          <w:tcPr>
            <w:tcW w:w="2174" w:type="dxa"/>
            <w:tcBorders>
              <w:bottom w:val="single" w:color="BEBEBE" w:sz="4" w:space="0"/>
            </w:tcBorders>
          </w:tcPr>
          <w:p w:rsidR="00C31389" w:rsidRDefault="00561FBD" w14:paraId="7294682D" w14:textId="77777777">
            <w:pPr>
              <w:pStyle w:val="TableParagraph"/>
              <w:spacing w:before="160"/>
              <w:ind w:left="375" w:right="404"/>
              <w:jc w:val="center"/>
              <w:rPr>
                <w:sz w:val="20"/>
              </w:rPr>
            </w:pPr>
            <w:r>
              <w:rPr>
                <w:spacing w:val="-2"/>
                <w:sz w:val="20"/>
              </w:rPr>
              <w:t>&lt;0.75%</w:t>
            </w:r>
          </w:p>
        </w:tc>
      </w:tr>
      <w:tr w:rsidR="00C31389" w14:paraId="11B5039A" w14:textId="77777777">
        <w:trPr>
          <w:trHeight w:val="310"/>
        </w:trPr>
        <w:tc>
          <w:tcPr>
            <w:tcW w:w="1164" w:type="dxa"/>
            <w:tcBorders>
              <w:top w:val="single" w:color="BEBEBE" w:sz="4" w:space="0"/>
              <w:bottom w:val="single" w:color="BEBEBE" w:sz="4" w:space="0"/>
            </w:tcBorders>
          </w:tcPr>
          <w:p w:rsidR="00C31389" w:rsidRDefault="00561FBD" w14:paraId="7A54B47E" w14:textId="77777777">
            <w:pPr>
              <w:pStyle w:val="TableParagraph"/>
              <w:spacing w:before="41"/>
              <w:ind w:right="22"/>
              <w:jc w:val="center"/>
              <w:rPr>
                <w:sz w:val="20"/>
              </w:rPr>
            </w:pPr>
            <w:r>
              <w:rPr>
                <w:sz w:val="20"/>
              </w:rPr>
              <w:t>2</w:t>
            </w:r>
          </w:p>
        </w:tc>
        <w:tc>
          <w:tcPr>
            <w:tcW w:w="2174" w:type="dxa"/>
            <w:tcBorders>
              <w:top w:val="single" w:color="BEBEBE" w:sz="4" w:space="0"/>
              <w:bottom w:val="single" w:color="BEBEBE" w:sz="4" w:space="0"/>
            </w:tcBorders>
          </w:tcPr>
          <w:p w:rsidR="00C31389" w:rsidRDefault="00561FBD" w14:paraId="1E9D4035" w14:textId="77777777">
            <w:pPr>
              <w:pStyle w:val="TableParagraph"/>
              <w:spacing w:before="41"/>
              <w:ind w:left="376" w:right="404"/>
              <w:jc w:val="center"/>
              <w:rPr>
                <w:sz w:val="20"/>
              </w:rPr>
            </w:pPr>
            <w:r>
              <w:rPr>
                <w:sz w:val="20"/>
              </w:rPr>
              <w:t>0.75%-</w:t>
            </w:r>
            <w:r>
              <w:rPr>
                <w:spacing w:val="-3"/>
                <w:sz w:val="20"/>
              </w:rPr>
              <w:t xml:space="preserve"> </w:t>
            </w:r>
            <w:r>
              <w:rPr>
                <w:spacing w:val="-2"/>
                <w:sz w:val="20"/>
              </w:rPr>
              <w:t>1.249%</w:t>
            </w:r>
          </w:p>
        </w:tc>
      </w:tr>
      <w:tr w:rsidR="00C31389" w14:paraId="1A59DECB" w14:textId="77777777">
        <w:trPr>
          <w:trHeight w:val="310"/>
        </w:trPr>
        <w:tc>
          <w:tcPr>
            <w:tcW w:w="1164" w:type="dxa"/>
            <w:tcBorders>
              <w:top w:val="single" w:color="BEBEBE" w:sz="4" w:space="0"/>
              <w:bottom w:val="single" w:color="BEBEBE" w:sz="4" w:space="0"/>
            </w:tcBorders>
          </w:tcPr>
          <w:p w:rsidR="00C31389" w:rsidRDefault="00561FBD" w14:paraId="6857F652" w14:textId="77777777">
            <w:pPr>
              <w:pStyle w:val="TableParagraph"/>
              <w:ind w:right="22"/>
              <w:jc w:val="center"/>
              <w:rPr>
                <w:sz w:val="20"/>
              </w:rPr>
            </w:pPr>
            <w:r>
              <w:rPr>
                <w:sz w:val="20"/>
              </w:rPr>
              <w:t>3</w:t>
            </w:r>
          </w:p>
        </w:tc>
        <w:tc>
          <w:tcPr>
            <w:tcW w:w="2174" w:type="dxa"/>
            <w:tcBorders>
              <w:top w:val="single" w:color="BEBEBE" w:sz="4" w:space="0"/>
              <w:bottom w:val="single" w:color="BEBEBE" w:sz="4" w:space="0"/>
            </w:tcBorders>
          </w:tcPr>
          <w:p w:rsidR="00C31389" w:rsidRDefault="00561FBD" w14:paraId="11919DA8" w14:textId="77777777">
            <w:pPr>
              <w:pStyle w:val="TableParagraph"/>
              <w:ind w:left="375" w:right="404"/>
              <w:jc w:val="center"/>
              <w:rPr>
                <w:sz w:val="20"/>
              </w:rPr>
            </w:pPr>
            <w:r>
              <w:rPr>
                <w:spacing w:val="-2"/>
                <w:sz w:val="20"/>
              </w:rPr>
              <w:t>&lt;1.25%</w:t>
            </w:r>
          </w:p>
        </w:tc>
      </w:tr>
    </w:tbl>
    <w:p w:rsidR="00C31389" w:rsidRDefault="00561FBD" w14:paraId="04C4E465" w14:textId="77777777">
      <w:pPr>
        <w:spacing w:before="66"/>
        <w:ind w:left="480"/>
        <w:rPr>
          <w:i/>
          <w:sz w:val="18"/>
        </w:rPr>
      </w:pPr>
      <w:r>
        <w:rPr>
          <w:i/>
          <w:sz w:val="18"/>
        </w:rPr>
        <w:t>Source:</w:t>
      </w:r>
      <w:r>
        <w:rPr>
          <w:i/>
          <w:spacing w:val="-4"/>
          <w:sz w:val="18"/>
        </w:rPr>
        <w:t xml:space="preserve"> </w:t>
      </w:r>
      <w:r>
        <w:rPr>
          <w:i/>
          <w:spacing w:val="-2"/>
          <w:sz w:val="18"/>
        </w:rPr>
        <w:t>Guidehouse</w:t>
      </w:r>
    </w:p>
    <w:p w:rsidR="00C31389" w:rsidRDefault="00C31389" w14:paraId="107AB795" w14:textId="77777777">
      <w:pPr>
        <w:pStyle w:val="BodyText"/>
        <w:spacing w:before="9"/>
        <w:rPr>
          <w:i/>
          <w:sz w:val="20"/>
        </w:rPr>
      </w:pPr>
    </w:p>
    <w:p w:rsidR="00C31389" w:rsidRDefault="00561FBD" w14:paraId="4EE18E25" w14:textId="77777777">
      <w:pPr>
        <w:pStyle w:val="Heading7"/>
        <w:ind w:left="480"/>
      </w:pPr>
      <w:r>
        <w:t>Eligibility</w:t>
      </w:r>
      <w:r>
        <w:rPr>
          <w:spacing w:val="-8"/>
        </w:rPr>
        <w:t xml:space="preserve"> </w:t>
      </w:r>
      <w:r>
        <w:t>and</w:t>
      </w:r>
      <w:r>
        <w:rPr>
          <w:spacing w:val="-7"/>
        </w:rPr>
        <w:t xml:space="preserve"> </w:t>
      </w:r>
      <w:r>
        <w:rPr>
          <w:spacing w:val="-2"/>
        </w:rPr>
        <w:t>Participation</w:t>
      </w:r>
    </w:p>
    <w:p w:rsidR="00C31389" w:rsidRDefault="00C31389" w14:paraId="3E16F211" w14:textId="77777777">
      <w:pPr>
        <w:pStyle w:val="BodyText"/>
        <w:spacing w:before="10"/>
        <w:rPr>
          <w:b/>
          <w:sz w:val="20"/>
        </w:rPr>
      </w:pPr>
    </w:p>
    <w:p w:rsidR="00C31389" w:rsidRDefault="00561FBD" w14:paraId="11513ABD" w14:textId="77777777">
      <w:pPr>
        <w:pStyle w:val="BodyText"/>
        <w:ind w:left="480" w:right="516"/>
      </w:pPr>
      <w:r>
        <w:t>Although</w:t>
      </w:r>
      <w:r>
        <w:rPr>
          <w:spacing w:val="-1"/>
        </w:rPr>
        <w:t xml:space="preserve"> </w:t>
      </w:r>
      <w:r>
        <w:t>all</w:t>
      </w:r>
      <w:r>
        <w:rPr>
          <w:spacing w:val="-2"/>
        </w:rPr>
        <w:t xml:space="preserve"> </w:t>
      </w:r>
      <w:r>
        <w:t>targeted</w:t>
      </w:r>
      <w:r>
        <w:rPr>
          <w:spacing w:val="-1"/>
        </w:rPr>
        <w:t xml:space="preserve"> </w:t>
      </w:r>
      <w:r>
        <w:t>residential</w:t>
      </w:r>
      <w:r>
        <w:rPr>
          <w:spacing w:val="-1"/>
        </w:rPr>
        <w:t xml:space="preserve"> </w:t>
      </w:r>
      <w:r>
        <w:t>households</w:t>
      </w:r>
      <w:r>
        <w:rPr>
          <w:spacing w:val="-1"/>
        </w:rPr>
        <w:t xml:space="preserve"> </w:t>
      </w:r>
      <w:r>
        <w:t>may</w:t>
      </w:r>
      <w:r>
        <w:rPr>
          <w:spacing w:val="-2"/>
        </w:rPr>
        <w:t xml:space="preserve"> </w:t>
      </w:r>
      <w:r>
        <w:t>receive</w:t>
      </w:r>
      <w:r>
        <w:rPr>
          <w:spacing w:val="-1"/>
        </w:rPr>
        <w:t xml:space="preserve"> </w:t>
      </w:r>
      <w:r>
        <w:t>HERs</w:t>
      </w:r>
      <w:r>
        <w:rPr>
          <w:spacing w:val="-1"/>
        </w:rPr>
        <w:t xml:space="preserve"> </w:t>
      </w:r>
      <w:r>
        <w:t>as</w:t>
      </w:r>
      <w:r>
        <w:rPr>
          <w:spacing w:val="-1"/>
        </w:rPr>
        <w:t xml:space="preserve"> </w:t>
      </w:r>
      <w:r>
        <w:t>participants</w:t>
      </w:r>
      <w:r>
        <w:rPr>
          <w:spacing w:val="-1"/>
        </w:rPr>
        <w:t xml:space="preserve"> </w:t>
      </w:r>
      <w:r>
        <w:t>in</w:t>
      </w:r>
      <w:r>
        <w:rPr>
          <w:spacing w:val="-1"/>
        </w:rPr>
        <w:t xml:space="preserve"> </w:t>
      </w:r>
      <w:r>
        <w:t>an</w:t>
      </w:r>
      <w:r>
        <w:rPr>
          <w:spacing w:val="-2"/>
        </w:rPr>
        <w:t xml:space="preserve"> </w:t>
      </w:r>
      <w:r>
        <w:t xml:space="preserve">opt out program, PG&amp;E </w:t>
      </w:r>
      <w:r>
        <w:t>found that 0.5% of customers elect to opt out. For this reason, the Guidehouse team reduced applicability to 99.5% for single-family homes. The team applied this assumption to all IOUs as similar utility-specific data was not available. The team reduced th</w:t>
      </w:r>
      <w:r>
        <w:t>e applicability for multifamily homes by 10% to 89.5% based on an American Council for an Energy-Efficient Economy (ACEEE) study that found an average of 10% master-metered multifamily buildings across 50 metropolitan areas across the country.</w:t>
      </w:r>
      <w:r>
        <w:rPr>
          <w:spacing w:val="-35"/>
        </w:rPr>
        <w:t xml:space="preserve"> </w:t>
      </w:r>
      <w:hyperlink w:history="1" w:anchor="_bookmark306">
        <w:r>
          <w:rPr>
            <w:position w:val="7"/>
            <w:sz w:val="14"/>
          </w:rPr>
          <w:t>93</w:t>
        </w:r>
      </w:hyperlink>
      <w:r>
        <w:rPr>
          <w:spacing w:val="40"/>
          <w:position w:val="7"/>
          <w:sz w:val="14"/>
        </w:rPr>
        <w:t xml:space="preserve"> </w:t>
      </w:r>
      <w:r>
        <w:t>SCE provided data indicating that only 0.17% of its multifamily customers are master- metered,</w:t>
      </w:r>
      <w:r>
        <w:rPr>
          <w:spacing w:val="-3"/>
        </w:rPr>
        <w:t xml:space="preserve"> </w:t>
      </w:r>
      <w:r>
        <w:t>so</w:t>
      </w:r>
      <w:r>
        <w:rPr>
          <w:spacing w:val="-3"/>
        </w:rPr>
        <w:t xml:space="preserve"> </w:t>
      </w:r>
      <w:r>
        <w:t>the</w:t>
      </w:r>
      <w:r>
        <w:rPr>
          <w:spacing w:val="-3"/>
        </w:rPr>
        <w:t xml:space="preserve"> </w:t>
      </w:r>
      <w:r>
        <w:t>applicability</w:t>
      </w:r>
      <w:r>
        <w:rPr>
          <w:spacing w:val="-4"/>
        </w:rPr>
        <w:t xml:space="preserve"> </w:t>
      </w:r>
      <w:r>
        <w:t>in</w:t>
      </w:r>
      <w:r>
        <w:rPr>
          <w:spacing w:val="-3"/>
        </w:rPr>
        <w:t xml:space="preserve"> </w:t>
      </w:r>
      <w:r>
        <w:t>its</w:t>
      </w:r>
      <w:r>
        <w:rPr>
          <w:spacing w:val="-3"/>
        </w:rPr>
        <w:t xml:space="preserve"> </w:t>
      </w:r>
      <w:r>
        <w:t>territory</w:t>
      </w:r>
      <w:r>
        <w:rPr>
          <w:spacing w:val="-3"/>
        </w:rPr>
        <w:t xml:space="preserve"> </w:t>
      </w:r>
      <w:r>
        <w:t>remains</w:t>
      </w:r>
      <w:r>
        <w:rPr>
          <w:spacing w:val="-3"/>
        </w:rPr>
        <w:t xml:space="preserve"> </w:t>
      </w:r>
      <w:r>
        <w:t>higher</w:t>
      </w:r>
      <w:r>
        <w:rPr>
          <w:spacing w:val="-3"/>
        </w:rPr>
        <w:t xml:space="preserve"> </w:t>
      </w:r>
      <w:r>
        <w:t>at</w:t>
      </w:r>
      <w:r>
        <w:rPr>
          <w:spacing w:val="-3"/>
        </w:rPr>
        <w:t xml:space="preserve"> </w:t>
      </w:r>
      <w:r>
        <w:t>99.33%.</w:t>
      </w:r>
      <w:r>
        <w:rPr>
          <w:spacing w:val="-3"/>
        </w:rPr>
        <w:t xml:space="preserve"> </w:t>
      </w:r>
      <w:r>
        <w:t>The</w:t>
      </w:r>
      <w:r>
        <w:rPr>
          <w:spacing w:val="-3"/>
        </w:rPr>
        <w:t xml:space="preserve"> </w:t>
      </w:r>
      <w:r>
        <w:t>applicability</w:t>
      </w:r>
      <w:r>
        <w:rPr>
          <w:spacing w:val="-4"/>
        </w:rPr>
        <w:t xml:space="preserve"> </w:t>
      </w:r>
      <w:r>
        <w:t xml:space="preserve">factor </w:t>
      </w:r>
      <w:r>
        <w:t>adjustment applies to the targeted treatment population; the</w:t>
      </w:r>
      <w:r>
        <w:rPr>
          <w:spacing w:val="-1"/>
        </w:rPr>
        <w:t xml:space="preserve"> </w:t>
      </w:r>
      <w:r>
        <w:t>PG Model assumes a separate control population is still required for evaluation purposes.</w:t>
      </w:r>
    </w:p>
    <w:p w:rsidR="00C31389" w:rsidRDefault="00C31389" w14:paraId="74471FDA" w14:textId="77777777">
      <w:pPr>
        <w:pStyle w:val="BodyText"/>
        <w:spacing w:before="10"/>
        <w:rPr>
          <w:sz w:val="20"/>
        </w:rPr>
      </w:pPr>
    </w:p>
    <w:p w:rsidR="00C31389" w:rsidRDefault="00561FBD" w14:paraId="679DDB10" w14:textId="77777777">
      <w:pPr>
        <w:pStyle w:val="BodyText"/>
        <w:ind w:left="480" w:right="418" w:hanging="1"/>
      </w:pPr>
      <w:r>
        <w:t>While participation rates in HER programs fluctuate over time due to program opt outs and attrition, cus</w:t>
      </w:r>
      <w:r>
        <w:t>tomer moves, and changes in program implementation such as adding new waves,</w:t>
      </w:r>
      <w:r>
        <w:rPr>
          <w:spacing w:val="-4"/>
        </w:rPr>
        <w:t xml:space="preserve"> </w:t>
      </w:r>
      <w:r>
        <w:t>specific</w:t>
      </w:r>
      <w:r>
        <w:rPr>
          <w:spacing w:val="-4"/>
        </w:rPr>
        <w:t xml:space="preserve"> </w:t>
      </w:r>
      <w:r>
        <w:t>forecasts</w:t>
      </w:r>
      <w:r>
        <w:rPr>
          <w:spacing w:val="-5"/>
        </w:rPr>
        <w:t xml:space="preserve"> </w:t>
      </w:r>
      <w:r>
        <w:t>require</w:t>
      </w:r>
      <w:r>
        <w:rPr>
          <w:spacing w:val="-4"/>
        </w:rPr>
        <w:t xml:space="preserve"> </w:t>
      </w:r>
      <w:r>
        <w:t>details</w:t>
      </w:r>
      <w:r>
        <w:rPr>
          <w:spacing w:val="-4"/>
        </w:rPr>
        <w:t xml:space="preserve"> </w:t>
      </w:r>
      <w:r>
        <w:t>beyond</w:t>
      </w:r>
      <w:r>
        <w:rPr>
          <w:spacing w:val="-5"/>
        </w:rPr>
        <w:t xml:space="preserve"> </w:t>
      </w:r>
      <w:r>
        <w:t>those</w:t>
      </w:r>
      <w:r>
        <w:rPr>
          <w:spacing w:val="-4"/>
        </w:rPr>
        <w:t xml:space="preserve"> </w:t>
      </w:r>
      <w:r>
        <w:t>publicly</w:t>
      </w:r>
      <w:r>
        <w:rPr>
          <w:spacing w:val="-4"/>
        </w:rPr>
        <w:t xml:space="preserve"> </w:t>
      </w:r>
      <w:r>
        <w:t>available</w:t>
      </w:r>
      <w:r>
        <w:rPr>
          <w:spacing w:val="-4"/>
        </w:rPr>
        <w:t xml:space="preserve"> </w:t>
      </w:r>
      <w:r>
        <w:t>via</w:t>
      </w:r>
      <w:r>
        <w:rPr>
          <w:spacing w:val="-4"/>
        </w:rPr>
        <w:t xml:space="preserve"> </w:t>
      </w:r>
      <w:r>
        <w:t xml:space="preserve">investor-owned utility (IOU)-filed rolling Business Plans. Additionally, the use of the new Bin methodology </w:t>
      </w:r>
      <w:r>
        <w:t>means that the eligible population is spread across three groups with separate penetration rates depending on the population of previous waves and their reported energy savings.</w:t>
      </w:r>
    </w:p>
    <w:p w:rsidR="00C31389" w:rsidRDefault="00C31389" w14:paraId="2DE9F22B" w14:textId="77777777">
      <w:pPr>
        <w:pStyle w:val="BodyText"/>
        <w:spacing w:before="10"/>
        <w:rPr>
          <w:sz w:val="20"/>
        </w:rPr>
      </w:pPr>
    </w:p>
    <w:p w:rsidR="00C31389" w:rsidRDefault="00561FBD" w14:paraId="02FC310B" w14:textId="77777777">
      <w:pPr>
        <w:pStyle w:val="BodyText"/>
        <w:spacing w:before="1"/>
        <w:ind w:left="480" w:right="474"/>
      </w:pPr>
      <w:r>
        <w:t>For</w:t>
      </w:r>
      <w:r>
        <w:rPr>
          <w:spacing w:val="-3"/>
        </w:rPr>
        <w:t xml:space="preserve"> </w:t>
      </w:r>
      <w:r>
        <w:t>this</w:t>
      </w:r>
      <w:r>
        <w:rPr>
          <w:spacing w:val="-3"/>
        </w:rPr>
        <w:t xml:space="preserve"> </w:t>
      </w:r>
      <w:r>
        <w:t>reason,</w:t>
      </w:r>
      <w:r>
        <w:rPr>
          <w:spacing w:val="-3"/>
        </w:rPr>
        <w:t xml:space="preserve"> </w:t>
      </w:r>
      <w:r>
        <w:t>the</w:t>
      </w:r>
      <w:r>
        <w:rPr>
          <w:spacing w:val="-3"/>
        </w:rPr>
        <w:t xml:space="preserve"> </w:t>
      </w:r>
      <w:r>
        <w:t>Guidehouse</w:t>
      </w:r>
      <w:r>
        <w:rPr>
          <w:spacing w:val="-3"/>
        </w:rPr>
        <w:t xml:space="preserve"> </w:t>
      </w:r>
      <w:r>
        <w:t>team</w:t>
      </w:r>
      <w:r>
        <w:rPr>
          <w:spacing w:val="-4"/>
        </w:rPr>
        <w:t xml:space="preserve"> </w:t>
      </w:r>
      <w:r>
        <w:t>reviewed</w:t>
      </w:r>
      <w:r>
        <w:rPr>
          <w:spacing w:val="-3"/>
        </w:rPr>
        <w:t xml:space="preserve"> </w:t>
      </w:r>
      <w:r>
        <w:t>all</w:t>
      </w:r>
      <w:r>
        <w:rPr>
          <w:spacing w:val="-3"/>
        </w:rPr>
        <w:t xml:space="preserve"> </w:t>
      </w:r>
      <w:r>
        <w:t>formal</w:t>
      </w:r>
      <w:r>
        <w:rPr>
          <w:spacing w:val="-3"/>
        </w:rPr>
        <w:t xml:space="preserve"> </w:t>
      </w:r>
      <w:r>
        <w:t>California</w:t>
      </w:r>
      <w:r>
        <w:rPr>
          <w:spacing w:val="-3"/>
        </w:rPr>
        <w:t xml:space="preserve"> </w:t>
      </w:r>
      <w:r>
        <w:t>IOU</w:t>
      </w:r>
      <w:r>
        <w:rPr>
          <w:spacing w:val="-4"/>
        </w:rPr>
        <w:t xml:space="preserve"> </w:t>
      </w:r>
      <w:r>
        <w:t>evalu</w:t>
      </w:r>
      <w:r>
        <w:t>ations</w:t>
      </w:r>
      <w:r>
        <w:rPr>
          <w:spacing w:val="-4"/>
        </w:rPr>
        <w:t xml:space="preserve"> </w:t>
      </w:r>
      <w:r>
        <w:t>of</w:t>
      </w:r>
      <w:r>
        <w:rPr>
          <w:spacing w:val="-3"/>
        </w:rPr>
        <w:t xml:space="preserve"> </w:t>
      </w:r>
      <w:r>
        <w:t>HER programs to ascertain historical participation rates and wave sizes. The team then applied an average of wave sizes to forecast the future cohort waves in each HERs measure. The 2021 Study included results from formal impact evaluations throu</w:t>
      </w:r>
      <w:r>
        <w:t>gh program year (PY)</w:t>
      </w:r>
    </w:p>
    <w:p w:rsidR="00C31389" w:rsidRDefault="00C31389" w14:paraId="1FF2292C" w14:textId="77777777">
      <w:pPr>
        <w:pStyle w:val="BodyText"/>
        <w:rPr>
          <w:sz w:val="20"/>
        </w:rPr>
      </w:pPr>
    </w:p>
    <w:p w:rsidR="00C31389" w:rsidRDefault="00C31389" w14:paraId="28223CFA" w14:textId="77777777">
      <w:pPr>
        <w:pStyle w:val="BodyText"/>
        <w:rPr>
          <w:sz w:val="20"/>
        </w:rPr>
      </w:pPr>
    </w:p>
    <w:p w:rsidR="00C31389" w:rsidRDefault="00C31389" w14:paraId="448A11F2" w14:textId="77777777">
      <w:pPr>
        <w:pStyle w:val="BodyText"/>
        <w:rPr>
          <w:sz w:val="20"/>
        </w:rPr>
      </w:pPr>
    </w:p>
    <w:p w:rsidR="00C31389" w:rsidRDefault="00C31389" w14:paraId="7FDF438E" w14:textId="77777777">
      <w:pPr>
        <w:pStyle w:val="BodyText"/>
        <w:rPr>
          <w:sz w:val="20"/>
        </w:rPr>
      </w:pPr>
    </w:p>
    <w:p w:rsidR="00C31389" w:rsidRDefault="00C31389" w14:paraId="332FAC34" w14:textId="77777777">
      <w:pPr>
        <w:pStyle w:val="BodyText"/>
        <w:rPr>
          <w:sz w:val="20"/>
        </w:rPr>
      </w:pPr>
    </w:p>
    <w:p w:rsidR="00C31389" w:rsidRDefault="00C31389" w14:paraId="46EE060E" w14:textId="77777777">
      <w:pPr>
        <w:pStyle w:val="BodyText"/>
        <w:rPr>
          <w:sz w:val="20"/>
        </w:rPr>
      </w:pPr>
    </w:p>
    <w:p w:rsidR="00C31389" w:rsidRDefault="00C31389" w14:paraId="346B25A5" w14:textId="77777777">
      <w:pPr>
        <w:pStyle w:val="BodyText"/>
        <w:rPr>
          <w:sz w:val="20"/>
        </w:rPr>
      </w:pPr>
    </w:p>
    <w:p w:rsidR="00C31389" w:rsidRDefault="00C31389" w14:paraId="0D900DA0" w14:textId="77777777">
      <w:pPr>
        <w:pStyle w:val="BodyText"/>
        <w:rPr>
          <w:sz w:val="20"/>
        </w:rPr>
      </w:pPr>
    </w:p>
    <w:p w:rsidR="00C31389" w:rsidRDefault="00C31389" w14:paraId="6A676F11" w14:textId="77777777">
      <w:pPr>
        <w:pStyle w:val="BodyText"/>
        <w:rPr>
          <w:sz w:val="20"/>
        </w:rPr>
      </w:pPr>
    </w:p>
    <w:p w:rsidR="00C31389" w:rsidRDefault="00561FBD" w14:paraId="1D1CC501" w14:textId="77777777">
      <w:pPr>
        <w:pStyle w:val="BodyText"/>
        <w:spacing w:before="6"/>
        <w:rPr>
          <w:sz w:val="13"/>
        </w:rPr>
      </w:pPr>
      <w:r>
        <w:rPr>
          <w:noProof/>
        </w:rPr>
        <mc:AlternateContent>
          <mc:Choice Requires="wps">
            <w:drawing>
              <wp:anchor distT="0" distB="0" distL="0" distR="0" simplePos="0" relativeHeight="487715328" behindDoc="1" locked="0" layoutInCell="1" allowOverlap="1" wp14:editId="297F341F" wp14:anchorId="0A20DB06">
                <wp:simplePos x="0" y="0"/>
                <wp:positionH relativeFrom="page">
                  <wp:posOffset>914400</wp:posOffset>
                </wp:positionH>
                <wp:positionV relativeFrom="paragraph">
                  <wp:posOffset>114010</wp:posOffset>
                </wp:positionV>
                <wp:extent cx="1828800" cy="6985"/>
                <wp:effectExtent l="0" t="0" r="0" b="0"/>
                <wp:wrapTopAndBottom/>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05" style="position:absolute;margin-left:1in;margin-top:9pt;width:2in;height:.55pt;z-index:-1560115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" w14:anchorId="5DCAED5E">
                <v:path arrowok="t"/>
                <w10:wrap type="topAndBottom" anchorx="page"/>
              </v:shape>
            </w:pict>
          </mc:Fallback>
        </mc:AlternateContent>
      </w:r>
    </w:p>
    <w:p w:rsidR="00C31389" w:rsidRDefault="00561FBD" w14:paraId="73BE8B6E" w14:textId="77777777">
      <w:pPr>
        <w:spacing w:before="88"/>
        <w:ind w:left="479" w:right="418"/>
        <w:rPr>
          <w:sz w:val="18"/>
        </w:rPr>
      </w:pPr>
      <w:bookmarkStart w:name="_bookmark306" w:id="407"/>
      <w:bookmarkEnd w:id="407"/>
      <w:r>
        <w:rPr>
          <w:position w:val="6"/>
          <w:sz w:val="12"/>
        </w:rPr>
        <w:t>93</w:t>
      </w:r>
      <w:r>
        <w:rPr>
          <w:spacing w:val="25"/>
          <w:position w:val="6"/>
          <w:sz w:val="12"/>
        </w:rPr>
        <w:t xml:space="preserve"> </w:t>
      </w:r>
      <w:r>
        <w:rPr>
          <w:sz w:val="18"/>
        </w:rPr>
        <w:t xml:space="preserve">Kate Johnson and Eric Mackres, </w:t>
      </w:r>
      <w:r>
        <w:rPr>
          <w:i/>
          <w:sz w:val="18"/>
        </w:rPr>
        <w:t>Scaling up Multifamily Energy Efficiency Programs: A Metropolitan Area Assessment</w:t>
      </w:r>
      <w:r>
        <w:rPr>
          <w:sz w:val="18"/>
        </w:rPr>
        <w:t xml:space="preserve">, Report Number E135, March 2013, American Council for an Energy Efficient Economy, from </w:t>
      </w:r>
      <w:hyperlink r:id="rId254">
        <w:r>
          <w:rPr>
            <w:color w:val="68942C"/>
            <w:spacing w:val="-2"/>
            <w:sz w:val="18"/>
            <w:u w:val="single" w:color="68942C"/>
          </w:rPr>
          <w:t>http://www.prezcat.org/sites/default/files/Scaling%20up%20MF%20Energy%20Efficiency%20Programs_0.pdf</w:t>
        </w:r>
      </w:hyperlink>
    </w:p>
    <w:p w:rsidR="00C31389" w:rsidRDefault="00C31389" w14:paraId="6FF7F385" w14:textId="77777777">
      <w:pPr>
        <w:rPr>
          <w:sz w:val="18"/>
        </w:rPr>
        <w:sectPr w:rsidR="00C31389">
          <w:headerReference w:type="default" r:id="rId255"/>
          <w:footerReference w:type="default" r:id="rId256"/>
          <w:pgSz w:w="11910" w:h="16840"/>
          <w:pgMar w:top="1660" w:right="1020" w:bottom="1120" w:left="960" w:header="397" w:footer="938" w:gutter="0"/>
          <w:cols w:space="720"/>
        </w:sectPr>
      </w:pPr>
    </w:p>
    <w:p w:rsidR="00C31389" w:rsidRDefault="00C31389" w14:paraId="16461933" w14:textId="77777777">
      <w:pPr>
        <w:pStyle w:val="BodyText"/>
        <w:spacing w:before="11"/>
        <w:rPr>
          <w:sz w:val="13"/>
        </w:rPr>
      </w:pPr>
    </w:p>
    <w:p w:rsidR="00C31389" w:rsidRDefault="00561FBD" w14:paraId="1A4171F3" w14:textId="77777777">
      <w:pPr>
        <w:pStyle w:val="BodyText"/>
        <w:spacing w:before="92"/>
        <w:ind w:left="480" w:right="418" w:hanging="1"/>
        <w:rPr>
          <w:sz w:val="14"/>
        </w:rPr>
      </w:pPr>
      <w:r>
        <w:t>2018.</w:t>
      </w:r>
      <w:r>
        <w:rPr>
          <w:spacing w:val="-5"/>
        </w:rPr>
        <w:t xml:space="preserve"> </w:t>
      </w:r>
      <w:hyperlink w:history="1" w:anchor="_bookmark309">
        <w:r>
          <w:rPr>
            <w:position w:val="7"/>
            <w:sz w:val="14"/>
          </w:rPr>
          <w:t>94</w:t>
        </w:r>
      </w:hyperlink>
      <w:r>
        <w:rPr>
          <w:position w:val="7"/>
          <w:sz w:val="14"/>
        </w:rPr>
        <w:t>,</w:t>
      </w:r>
      <w:r>
        <w:rPr>
          <w:spacing w:val="17"/>
          <w:position w:val="7"/>
          <w:sz w:val="14"/>
        </w:rPr>
        <w:t xml:space="preserve"> </w:t>
      </w:r>
      <w:hyperlink w:history="1" w:anchor="_bookmark310">
        <w:r>
          <w:rPr>
            <w:position w:val="7"/>
            <w:sz w:val="14"/>
          </w:rPr>
          <w:t>95</w:t>
        </w:r>
      </w:hyperlink>
      <w:r>
        <w:rPr>
          <w:position w:val="7"/>
          <w:sz w:val="14"/>
        </w:rPr>
        <w:t>,</w:t>
      </w:r>
      <w:r>
        <w:rPr>
          <w:spacing w:val="17"/>
          <w:position w:val="7"/>
          <w:sz w:val="14"/>
        </w:rPr>
        <w:t xml:space="preserve"> </w:t>
      </w:r>
      <w:hyperlink w:history="1" w:anchor="_bookmark311">
        <w:r>
          <w:rPr>
            <w:position w:val="7"/>
            <w:sz w:val="14"/>
          </w:rPr>
          <w:t>96</w:t>
        </w:r>
      </w:hyperlink>
      <w:r>
        <w:rPr>
          <w:spacing w:val="19"/>
          <w:position w:val="7"/>
          <w:sz w:val="14"/>
        </w:rPr>
        <w:t xml:space="preserve"> </w:t>
      </w:r>
      <w:r>
        <w:t>For</w:t>
      </w:r>
      <w:r>
        <w:rPr>
          <w:spacing w:val="-2"/>
        </w:rPr>
        <w:t xml:space="preserve"> </w:t>
      </w:r>
      <w:r>
        <w:t>the</w:t>
      </w:r>
      <w:r>
        <w:rPr>
          <w:spacing w:val="-2"/>
        </w:rPr>
        <w:t xml:space="preserve"> </w:t>
      </w:r>
      <w:r>
        <w:t>2023</w:t>
      </w:r>
      <w:r>
        <w:rPr>
          <w:spacing w:val="-2"/>
        </w:rPr>
        <w:t xml:space="preserve"> </w:t>
      </w:r>
      <w:r>
        <w:t>Study,</w:t>
      </w:r>
      <w:r>
        <w:rPr>
          <w:spacing w:val="-2"/>
        </w:rPr>
        <w:t xml:space="preserve"> </w:t>
      </w:r>
      <w:r>
        <w:t>the</w:t>
      </w:r>
      <w:r>
        <w:rPr>
          <w:spacing w:val="-2"/>
        </w:rPr>
        <w:t xml:space="preserve"> </w:t>
      </w:r>
      <w:r>
        <w:t>Guidehouse</w:t>
      </w:r>
      <w:r>
        <w:rPr>
          <w:spacing w:val="-2"/>
        </w:rPr>
        <w:t xml:space="preserve"> </w:t>
      </w:r>
      <w:r>
        <w:t>team</w:t>
      </w:r>
      <w:r>
        <w:rPr>
          <w:spacing w:val="-3"/>
        </w:rPr>
        <w:t xml:space="preserve"> </w:t>
      </w:r>
      <w:r>
        <w:t>added</w:t>
      </w:r>
      <w:r>
        <w:rPr>
          <w:spacing w:val="-2"/>
        </w:rPr>
        <w:t xml:space="preserve"> </w:t>
      </w:r>
      <w:r>
        <w:t>data</w:t>
      </w:r>
      <w:r>
        <w:rPr>
          <w:spacing w:val="-2"/>
        </w:rPr>
        <w:t xml:space="preserve"> </w:t>
      </w:r>
      <w:r>
        <w:t>from</w:t>
      </w:r>
      <w:r>
        <w:rPr>
          <w:spacing w:val="-3"/>
        </w:rPr>
        <w:t xml:space="preserve"> </w:t>
      </w:r>
      <w:r>
        <w:t>PY2019</w:t>
      </w:r>
      <w:r>
        <w:rPr>
          <w:spacing w:val="-2"/>
        </w:rPr>
        <w:t xml:space="preserve"> </w:t>
      </w:r>
      <w:r>
        <w:t xml:space="preserve">and PY2020 for PG&amp;E. </w:t>
      </w:r>
      <w:hyperlink w:history="1" w:anchor="_bookmark312">
        <w:r>
          <w:rPr>
            <w:position w:val="7"/>
            <w:sz w:val="14"/>
          </w:rPr>
          <w:t>97</w:t>
        </w:r>
      </w:hyperlink>
    </w:p>
    <w:p w:rsidR="00C31389" w:rsidRDefault="00C31389" w14:paraId="5BBD4880" w14:textId="77777777">
      <w:pPr>
        <w:pStyle w:val="BodyText"/>
        <w:spacing w:before="9"/>
        <w:rPr>
          <w:sz w:val="20"/>
        </w:rPr>
      </w:pPr>
    </w:p>
    <w:p w:rsidR="00C31389" w:rsidRDefault="00561FBD" w14:paraId="07932C72" w14:textId="77777777">
      <w:pPr>
        <w:pStyle w:val="BodyText"/>
        <w:spacing w:before="1"/>
        <w:ind w:left="479" w:right="418"/>
      </w:pPr>
      <w:r>
        <w:t>The</w:t>
      </w:r>
      <w:r>
        <w:rPr>
          <w:spacing w:val="-2"/>
        </w:rPr>
        <w:t xml:space="preserve"> </w:t>
      </w:r>
      <w:r>
        <w:t>forecast</w:t>
      </w:r>
      <w:r>
        <w:rPr>
          <w:spacing w:val="-3"/>
        </w:rPr>
        <w:t xml:space="preserve"> </w:t>
      </w:r>
      <w:r>
        <w:t>uses</w:t>
      </w:r>
      <w:r>
        <w:rPr>
          <w:spacing w:val="-2"/>
        </w:rPr>
        <w:t xml:space="preserve"> </w:t>
      </w:r>
      <w:r>
        <w:t>a</w:t>
      </w:r>
      <w:r>
        <w:rPr>
          <w:spacing w:val="-2"/>
        </w:rPr>
        <w:t xml:space="preserve"> </w:t>
      </w:r>
      <w:r>
        <w:t>cap</w:t>
      </w:r>
      <w:r>
        <w:rPr>
          <w:spacing w:val="-3"/>
        </w:rPr>
        <w:t xml:space="preserve"> </w:t>
      </w:r>
      <w:r>
        <w:t>of</w:t>
      </w:r>
      <w:r>
        <w:rPr>
          <w:spacing w:val="-2"/>
        </w:rPr>
        <w:t xml:space="preserve"> </w:t>
      </w:r>
      <w:r>
        <w:t>60%</w:t>
      </w:r>
      <w:r>
        <w:rPr>
          <w:spacing w:val="-2"/>
        </w:rPr>
        <w:t xml:space="preserve"> </w:t>
      </w:r>
      <w:r>
        <w:t>on</w:t>
      </w:r>
      <w:r>
        <w:rPr>
          <w:spacing w:val="-2"/>
        </w:rPr>
        <w:t xml:space="preserve"> </w:t>
      </w:r>
      <w:r>
        <w:t>the</w:t>
      </w:r>
      <w:r>
        <w:rPr>
          <w:spacing w:val="-2"/>
        </w:rPr>
        <w:t xml:space="preserve"> </w:t>
      </w:r>
      <w:r>
        <w:t>penetration</w:t>
      </w:r>
      <w:r>
        <w:rPr>
          <w:spacing w:val="-2"/>
        </w:rPr>
        <w:t xml:space="preserve"> </w:t>
      </w:r>
      <w:r>
        <w:t>of</w:t>
      </w:r>
      <w:r>
        <w:rPr>
          <w:spacing w:val="-2"/>
        </w:rPr>
        <w:t xml:space="preserve"> </w:t>
      </w:r>
      <w:r>
        <w:t>all</w:t>
      </w:r>
      <w:r>
        <w:rPr>
          <w:spacing w:val="-2"/>
        </w:rPr>
        <w:t xml:space="preserve"> </w:t>
      </w:r>
      <w:r>
        <w:t>three</w:t>
      </w:r>
      <w:r>
        <w:rPr>
          <w:spacing w:val="-2"/>
        </w:rPr>
        <w:t xml:space="preserve"> </w:t>
      </w:r>
      <w:r>
        <w:t>HERs</w:t>
      </w:r>
      <w:r>
        <w:rPr>
          <w:spacing w:val="-1"/>
        </w:rPr>
        <w:t xml:space="preserve"> </w:t>
      </w:r>
      <w:r>
        <w:t>measures</w:t>
      </w:r>
      <w:r>
        <w:rPr>
          <w:spacing w:val="-2"/>
        </w:rPr>
        <w:t xml:space="preserve"> </w:t>
      </w:r>
      <w:r>
        <w:t>based</w:t>
      </w:r>
      <w:r>
        <w:rPr>
          <w:spacing w:val="-2"/>
        </w:rPr>
        <w:t xml:space="preserve"> </w:t>
      </w:r>
      <w:r>
        <w:t>on</w:t>
      </w:r>
      <w:r>
        <w:rPr>
          <w:spacing w:val="-2"/>
        </w:rPr>
        <w:t xml:space="preserve"> </w:t>
      </w:r>
      <w:r>
        <w:t>the following considerations:</w:t>
      </w:r>
    </w:p>
    <w:p w:rsidR="00C31389" w:rsidRDefault="00561FBD" w14:paraId="341CD201" w14:textId="77777777">
      <w:pPr>
        <w:pStyle w:val="ListParagraph"/>
        <w:numPr>
          <w:ilvl w:val="0"/>
          <w:numId w:val="18"/>
        </w:numPr>
        <w:tabs>
          <w:tab w:val="left" w:pos="1199"/>
        </w:tabs>
        <w:spacing w:before="120"/>
        <w:ind w:right="530"/>
      </w:pPr>
      <w:r>
        <w:t>Feedback</w:t>
      </w:r>
      <w:r>
        <w:rPr>
          <w:spacing w:val="-3"/>
        </w:rPr>
        <w:t xml:space="preserve"> </w:t>
      </w:r>
      <w:r>
        <w:t>from</w:t>
      </w:r>
      <w:r>
        <w:rPr>
          <w:spacing w:val="-4"/>
        </w:rPr>
        <w:t xml:space="preserve"> </w:t>
      </w:r>
      <w:r>
        <w:t>previous</w:t>
      </w:r>
      <w:r>
        <w:rPr>
          <w:spacing w:val="-3"/>
        </w:rPr>
        <w:t xml:space="preserve"> </w:t>
      </w:r>
      <w:r>
        <w:t>potential</w:t>
      </w:r>
      <w:r>
        <w:rPr>
          <w:spacing w:val="-3"/>
        </w:rPr>
        <w:t xml:space="preserve"> </w:t>
      </w:r>
      <w:r>
        <w:t>and</w:t>
      </w:r>
      <w:r>
        <w:rPr>
          <w:spacing w:val="-3"/>
        </w:rPr>
        <w:t xml:space="preserve"> </w:t>
      </w:r>
      <w:r>
        <w:t>goals</w:t>
      </w:r>
      <w:r>
        <w:rPr>
          <w:spacing w:val="-3"/>
        </w:rPr>
        <w:t xml:space="preserve"> </w:t>
      </w:r>
      <w:r>
        <w:t>studies</w:t>
      </w:r>
      <w:r>
        <w:rPr>
          <w:spacing w:val="-2"/>
        </w:rPr>
        <w:t xml:space="preserve"> </w:t>
      </w:r>
      <w:r>
        <w:t>noted</w:t>
      </w:r>
      <w:r>
        <w:rPr>
          <w:spacing w:val="-3"/>
        </w:rPr>
        <w:t xml:space="preserve"> </w:t>
      </w:r>
      <w:r>
        <w:t>that</w:t>
      </w:r>
      <w:r>
        <w:rPr>
          <w:spacing w:val="-3"/>
        </w:rPr>
        <w:t xml:space="preserve"> </w:t>
      </w:r>
      <w:r>
        <w:t>the</w:t>
      </w:r>
      <w:r>
        <w:rPr>
          <w:spacing w:val="-3"/>
        </w:rPr>
        <w:t xml:space="preserve"> </w:t>
      </w:r>
      <w:r>
        <w:t>bottom</w:t>
      </w:r>
      <w:r>
        <w:rPr>
          <w:spacing w:val="-4"/>
        </w:rPr>
        <w:t xml:space="preserve"> </w:t>
      </w:r>
      <w:r>
        <w:t>quartile</w:t>
      </w:r>
      <w:r>
        <w:rPr>
          <w:spacing w:val="-3"/>
        </w:rPr>
        <w:t xml:space="preserve"> </w:t>
      </w:r>
      <w:r>
        <w:t xml:space="preserve">of energy consumers will not be targeted for </w:t>
      </w:r>
      <w:r>
        <w:t>cost-effectiveness reasons.</w:t>
      </w:r>
    </w:p>
    <w:p w:rsidR="00C31389" w:rsidRDefault="00561FBD" w14:paraId="50B139DE" w14:textId="77777777">
      <w:pPr>
        <w:pStyle w:val="ListParagraph"/>
        <w:numPr>
          <w:ilvl w:val="0"/>
          <w:numId w:val="18"/>
        </w:numPr>
        <w:tabs>
          <w:tab w:val="left" w:pos="1199"/>
        </w:tabs>
        <w:spacing w:before="118"/>
        <w:ind w:right="458" w:hanging="361"/>
      </w:pPr>
      <w:r>
        <w:t>Not</w:t>
      </w:r>
      <w:r>
        <w:rPr>
          <w:spacing w:val="-3"/>
        </w:rPr>
        <w:t xml:space="preserve"> </w:t>
      </w:r>
      <w:r>
        <w:t>all</w:t>
      </w:r>
      <w:r>
        <w:rPr>
          <w:spacing w:val="-3"/>
        </w:rPr>
        <w:t xml:space="preserve"> </w:t>
      </w:r>
      <w:r>
        <w:t>of</w:t>
      </w:r>
      <w:r>
        <w:rPr>
          <w:spacing w:val="-3"/>
        </w:rPr>
        <w:t xml:space="preserve"> </w:t>
      </w:r>
      <w:r>
        <w:t>the</w:t>
      </w:r>
      <w:r>
        <w:rPr>
          <w:spacing w:val="-3"/>
        </w:rPr>
        <w:t xml:space="preserve"> </w:t>
      </w:r>
      <w:r>
        <w:t>remaining</w:t>
      </w:r>
      <w:r>
        <w:rPr>
          <w:spacing w:val="-3"/>
        </w:rPr>
        <w:t xml:space="preserve"> </w:t>
      </w:r>
      <w:r>
        <w:t>75%</w:t>
      </w:r>
      <w:r>
        <w:rPr>
          <w:spacing w:val="-3"/>
        </w:rPr>
        <w:t xml:space="preserve"> </w:t>
      </w:r>
      <w:r>
        <w:t>of</w:t>
      </w:r>
      <w:r>
        <w:rPr>
          <w:spacing w:val="-3"/>
        </w:rPr>
        <w:t xml:space="preserve"> </w:t>
      </w:r>
      <w:r>
        <w:t>customers</w:t>
      </w:r>
      <w:r>
        <w:rPr>
          <w:spacing w:val="-3"/>
        </w:rPr>
        <w:t xml:space="preserve"> </w:t>
      </w:r>
      <w:r>
        <w:t>can</w:t>
      </w:r>
      <w:r>
        <w:rPr>
          <w:spacing w:val="-3"/>
        </w:rPr>
        <w:t xml:space="preserve"> </w:t>
      </w:r>
      <w:r>
        <w:t>be</w:t>
      </w:r>
      <w:r>
        <w:rPr>
          <w:spacing w:val="-3"/>
        </w:rPr>
        <w:t xml:space="preserve"> </w:t>
      </w:r>
      <w:r>
        <w:t>targeted</w:t>
      </w:r>
      <w:r>
        <w:rPr>
          <w:spacing w:val="-3"/>
        </w:rPr>
        <w:t xml:space="preserve"> </w:t>
      </w:r>
      <w:r>
        <w:t>because</w:t>
      </w:r>
      <w:r>
        <w:rPr>
          <w:spacing w:val="-3"/>
        </w:rPr>
        <w:t xml:space="preserve"> </w:t>
      </w:r>
      <w:r>
        <w:t>some</w:t>
      </w:r>
      <w:r>
        <w:rPr>
          <w:spacing w:val="-3"/>
        </w:rPr>
        <w:t xml:space="preserve"> </w:t>
      </w:r>
      <w:r>
        <w:t>need</w:t>
      </w:r>
      <w:r>
        <w:rPr>
          <w:spacing w:val="-3"/>
        </w:rPr>
        <w:t xml:space="preserve"> </w:t>
      </w:r>
      <w:r>
        <w:t>to</w:t>
      </w:r>
      <w:r>
        <w:rPr>
          <w:spacing w:val="-3"/>
        </w:rPr>
        <w:t xml:space="preserve"> </w:t>
      </w:r>
      <w:r>
        <w:t xml:space="preserve">be reserved as a control group for evaluation purposes. The PY2018 evaluation shows that the ratio of treatment customers to control group </w:t>
      </w:r>
      <w:r>
        <w:t>customers ranges from approximately 3:1 to over 6:1. The Guidehouse team assumed a 4:1 ratio.</w:t>
      </w:r>
    </w:p>
    <w:p w:rsidR="00C31389" w:rsidRDefault="00C31389" w14:paraId="3A05DAC2" w14:textId="77777777">
      <w:pPr>
        <w:pStyle w:val="BodyText"/>
        <w:spacing w:before="9"/>
        <w:rPr>
          <w:sz w:val="20"/>
        </w:rPr>
      </w:pPr>
    </w:p>
    <w:p w:rsidR="00C31389" w:rsidRDefault="00561FBD" w14:paraId="0DA6078A" w14:textId="77777777">
      <w:pPr>
        <w:pStyle w:val="BodyText"/>
        <w:ind w:left="479" w:right="445"/>
      </w:pPr>
      <w:r>
        <w:t xml:space="preserve">In following the expected trend of new customers entering the program with lower energy savings, penetration for moderate and high energy savings measures (Bins </w:t>
      </w:r>
      <w:r>
        <w:t>2 and 3), are held</w:t>
      </w:r>
      <w:r>
        <w:rPr>
          <w:spacing w:val="-3"/>
        </w:rPr>
        <w:t xml:space="preserve"> </w:t>
      </w:r>
      <w:r>
        <w:t>to</w:t>
      </w:r>
      <w:r>
        <w:rPr>
          <w:spacing w:val="-3"/>
        </w:rPr>
        <w:t xml:space="preserve"> </w:t>
      </w:r>
      <w:r>
        <w:t>the</w:t>
      </w:r>
      <w:r>
        <w:rPr>
          <w:spacing w:val="-3"/>
        </w:rPr>
        <w:t xml:space="preserve"> </w:t>
      </w:r>
      <w:r>
        <w:t>latest</w:t>
      </w:r>
      <w:r>
        <w:rPr>
          <w:spacing w:val="-3"/>
        </w:rPr>
        <w:t xml:space="preserve"> </w:t>
      </w:r>
      <w:r>
        <w:t>reported</w:t>
      </w:r>
      <w:r>
        <w:rPr>
          <w:spacing w:val="-3"/>
        </w:rPr>
        <w:t xml:space="preserve"> </w:t>
      </w:r>
      <w:r>
        <w:t>year,</w:t>
      </w:r>
      <w:r>
        <w:rPr>
          <w:spacing w:val="-3"/>
        </w:rPr>
        <w:t xml:space="preserve"> </w:t>
      </w:r>
      <w:r>
        <w:t>either</w:t>
      </w:r>
      <w:r>
        <w:rPr>
          <w:spacing w:val="-3"/>
        </w:rPr>
        <w:t xml:space="preserve"> </w:t>
      </w:r>
      <w:r>
        <w:t>PY2018</w:t>
      </w:r>
      <w:r>
        <w:rPr>
          <w:spacing w:val="-3"/>
        </w:rPr>
        <w:t xml:space="preserve"> </w:t>
      </w:r>
      <w:r>
        <w:t>or</w:t>
      </w:r>
      <w:r>
        <w:rPr>
          <w:spacing w:val="-3"/>
        </w:rPr>
        <w:t xml:space="preserve"> </w:t>
      </w:r>
      <w:r>
        <w:t>PY2020</w:t>
      </w:r>
      <w:r>
        <w:rPr>
          <w:spacing w:val="-2"/>
        </w:rPr>
        <w:t xml:space="preserve"> </w:t>
      </w:r>
      <w:r>
        <w:t>based</w:t>
      </w:r>
      <w:r>
        <w:rPr>
          <w:spacing w:val="-3"/>
        </w:rPr>
        <w:t xml:space="preserve"> </w:t>
      </w:r>
      <w:r>
        <w:t>on</w:t>
      </w:r>
      <w:r>
        <w:rPr>
          <w:spacing w:val="-3"/>
        </w:rPr>
        <w:t xml:space="preserve"> </w:t>
      </w:r>
      <w:r>
        <w:t>the</w:t>
      </w:r>
      <w:r>
        <w:rPr>
          <w:spacing w:val="-3"/>
        </w:rPr>
        <w:t xml:space="preserve"> </w:t>
      </w:r>
      <w:r>
        <w:t>data</w:t>
      </w:r>
      <w:r>
        <w:rPr>
          <w:spacing w:val="-3"/>
        </w:rPr>
        <w:t xml:space="preserve"> </w:t>
      </w:r>
      <w:r>
        <w:t>available.</w:t>
      </w:r>
      <w:r>
        <w:rPr>
          <w:spacing w:val="-3"/>
        </w:rPr>
        <w:t xml:space="preserve"> </w:t>
      </w:r>
      <w:r>
        <w:t xml:space="preserve">The low energy savings measure (Bin 1) has a penetration cap using </w:t>
      </w:r>
      <w:hyperlink w:history="1" w:anchor="_bookmark307">
        <w:r>
          <w:t>Equation D-1.</w:t>
        </w:r>
      </w:hyperlink>
      <w:r>
        <w:t xml:space="preserve"> </w:t>
      </w:r>
      <w:hyperlink w:history="1" w:anchor="_bookmark308">
        <w:r>
          <w:t>Figure D-1</w:t>
        </w:r>
      </w:hyperlink>
      <w:r>
        <w:t xml:space="preserve"> provides an illustrative view of the calculation.</w:t>
      </w:r>
    </w:p>
    <w:p w:rsidR="00C31389" w:rsidRDefault="00C31389" w14:paraId="357C026A" w14:textId="77777777">
      <w:pPr>
        <w:pStyle w:val="BodyText"/>
        <w:spacing w:before="10"/>
        <w:rPr>
          <w:sz w:val="20"/>
        </w:rPr>
      </w:pPr>
    </w:p>
    <w:p w:rsidR="00C31389" w:rsidRDefault="00561FBD" w14:paraId="717568B5" w14:textId="77777777">
      <w:pPr>
        <w:pStyle w:val="Heading7"/>
        <w:ind w:left="398" w:right="338"/>
        <w:jc w:val="center"/>
      </w:pPr>
      <w:bookmarkStart w:name="_bookmark307" w:id="408"/>
      <w:bookmarkEnd w:id="408"/>
      <w:r>
        <w:t>Equation</w:t>
      </w:r>
      <w:r>
        <w:rPr>
          <w:spacing w:val="-8"/>
        </w:rPr>
        <w:t xml:space="preserve"> </w:t>
      </w:r>
      <w:r>
        <w:t>D-1.</w:t>
      </w:r>
      <w:r>
        <w:rPr>
          <w:spacing w:val="-7"/>
        </w:rPr>
        <w:t xml:space="preserve"> </w:t>
      </w:r>
      <w:r>
        <w:t>HERs</w:t>
      </w:r>
      <w:r>
        <w:rPr>
          <w:spacing w:val="-7"/>
        </w:rPr>
        <w:t xml:space="preserve"> </w:t>
      </w:r>
      <w:r>
        <w:t>Bin</w:t>
      </w:r>
      <w:r>
        <w:rPr>
          <w:spacing w:val="-7"/>
        </w:rPr>
        <w:t xml:space="preserve"> </w:t>
      </w:r>
      <w:r>
        <w:t>1</w:t>
      </w:r>
      <w:r>
        <w:rPr>
          <w:spacing w:val="-8"/>
        </w:rPr>
        <w:t xml:space="preserve"> </w:t>
      </w:r>
      <w:r>
        <w:t>Penetration</w:t>
      </w:r>
      <w:r>
        <w:rPr>
          <w:spacing w:val="-7"/>
        </w:rPr>
        <w:t xml:space="preserve"> </w:t>
      </w:r>
      <w:r>
        <w:rPr>
          <w:spacing w:val="-5"/>
        </w:rPr>
        <w:t>Cap</w:t>
      </w:r>
    </w:p>
    <w:p w:rsidR="00C31389" w:rsidRDefault="00561FBD" w14:paraId="403EDD8B" w14:textId="77777777">
      <w:pPr>
        <w:pStyle w:val="BodyText"/>
        <w:spacing w:before="120"/>
        <w:ind w:left="398" w:right="387"/>
        <w:jc w:val="center"/>
        <w:rPr>
          <w:rFonts w:ascii="Cambria Math" w:hAnsi="Cambria Math" w:eastAsia="Cambria Math"/>
        </w:rPr>
      </w:pPr>
      <w:r>
        <w:rPr>
          <w:rFonts w:ascii="Cambria Math" w:hAnsi="Cambria Math" w:eastAsia="Cambria Math"/>
          <w:w w:val="45"/>
        </w:rPr>
        <w:t>𝑃𝑃𝑆𝑆𝐵𝐵𝑆𝑆𝑇𝑇𝐸𝐸𝑇𝑇𝑇𝑇𝐵𝐵𝑇𝑇𝐵𝐵</w:t>
      </w:r>
      <w:r>
        <w:rPr>
          <w:rFonts w:ascii="Cambria Math" w:hAnsi="Cambria Math" w:eastAsia="Cambria Math"/>
          <w:spacing w:val="16"/>
        </w:rPr>
        <w:t xml:space="preserve"> </w:t>
      </w:r>
      <w:r>
        <w:rPr>
          <w:rFonts w:ascii="Cambria Math" w:hAnsi="Cambria Math" w:eastAsia="Cambria Math"/>
          <w:w w:val="45"/>
        </w:rPr>
        <w:t>𝐶𝐶𝑇</w:t>
      </w:r>
      <w:r>
        <w:rPr>
          <w:rFonts w:ascii="Cambria Math" w:hAnsi="Cambria Math" w:eastAsia="Cambria Math"/>
          <w:w w:val="45"/>
        </w:rPr>
        <w:t>𝑇</w:t>
      </w:r>
      <w:r>
        <w:rPr>
          <w:rFonts w:ascii="Cambria Math" w:hAnsi="Cambria Math" w:eastAsia="Cambria Math"/>
          <w:w w:val="45"/>
        </w:rPr>
        <w:t>𝐶𝐶</w:t>
      </w:r>
      <w:r>
        <w:rPr>
          <w:rFonts w:ascii="Cambria Math" w:hAnsi="Cambria Math" w:eastAsia="Cambria Math"/>
          <w:spacing w:val="31"/>
        </w:rPr>
        <w:t xml:space="preserve"> </w:t>
      </w:r>
      <w:r>
        <w:rPr>
          <w:rFonts w:ascii="Cambria Math" w:hAnsi="Cambria Math" w:eastAsia="Cambria Math"/>
          <w:w w:val="45"/>
        </w:rPr>
        <w:t>=</w:t>
      </w:r>
      <w:r>
        <w:rPr>
          <w:rFonts w:ascii="Cambria Math" w:hAnsi="Cambria Math" w:eastAsia="Cambria Math"/>
          <w:spacing w:val="28"/>
        </w:rPr>
        <w:t xml:space="preserve"> </w:t>
      </w:r>
      <w:r>
        <w:rPr>
          <w:rFonts w:ascii="Cambria Math" w:hAnsi="Cambria Math" w:eastAsia="Cambria Math"/>
          <w:w w:val="45"/>
        </w:rPr>
        <w:t>60%</w:t>
      </w:r>
      <w:r>
        <w:rPr>
          <w:rFonts w:ascii="Cambria Math" w:hAnsi="Cambria Math" w:eastAsia="Cambria Math"/>
          <w:spacing w:val="14"/>
        </w:rPr>
        <w:t xml:space="preserve"> </w:t>
      </w:r>
      <w:r>
        <w:rPr>
          <w:rFonts w:ascii="Cambria Math" w:hAnsi="Cambria Math" w:eastAsia="Cambria Math"/>
          <w:w w:val="45"/>
        </w:rPr>
        <w:t>−</w:t>
      </w:r>
      <w:r>
        <w:rPr>
          <w:rFonts w:ascii="Cambria Math" w:hAnsi="Cambria Math" w:eastAsia="Cambria Math"/>
          <w:spacing w:val="11"/>
        </w:rPr>
        <w:t xml:space="preserve"> </w:t>
      </w:r>
      <w:r>
        <w:rPr>
          <w:rFonts w:ascii="Cambria Math" w:hAnsi="Cambria Math" w:eastAsia="Cambria Math"/>
          <w:w w:val="45"/>
        </w:rPr>
        <w:t>(</w:t>
      </w:r>
      <w:r>
        <w:rPr>
          <w:rFonts w:ascii="Cambria Math" w:hAnsi="Cambria Math" w:eastAsia="Cambria Math"/>
          <w:w w:val="45"/>
        </w:rPr>
        <w:t>𝐵𝐵𝐵𝐵𝐵𝐵</w:t>
      </w:r>
      <w:r>
        <w:rPr>
          <w:rFonts w:ascii="Cambria Math" w:hAnsi="Cambria Math" w:eastAsia="Cambria Math"/>
          <w:spacing w:val="17"/>
        </w:rPr>
        <w:t xml:space="preserve"> </w:t>
      </w:r>
      <w:r>
        <w:rPr>
          <w:rFonts w:ascii="Cambria Math" w:hAnsi="Cambria Math" w:eastAsia="Cambria Math"/>
          <w:w w:val="45"/>
        </w:rPr>
        <w:t>2</w:t>
      </w:r>
      <w:r>
        <w:rPr>
          <w:rFonts w:ascii="Cambria Math" w:hAnsi="Cambria Math" w:eastAsia="Cambria Math"/>
          <w:spacing w:val="12"/>
        </w:rPr>
        <w:t xml:space="preserve"> </w:t>
      </w:r>
      <w:r>
        <w:rPr>
          <w:rFonts w:ascii="Cambria Math" w:hAnsi="Cambria Math" w:eastAsia="Cambria Math"/>
          <w:w w:val="45"/>
        </w:rPr>
        <w:t>𝑃𝑃𝑆𝑆𝐵𝐵𝑆𝑆𝑇𝑇𝐸𝐸𝑇𝑇𝑇𝑇𝐵𝐵𝑇𝑇𝐵𝐵</w:t>
      </w:r>
      <w:r>
        <w:rPr>
          <w:rFonts w:ascii="Cambria Math" w:hAnsi="Cambria Math" w:eastAsia="Cambria Math"/>
          <w:spacing w:val="18"/>
        </w:rPr>
        <w:t xml:space="preserve"> </w:t>
      </w:r>
      <w:r>
        <w:rPr>
          <w:rFonts w:ascii="Cambria Math" w:hAnsi="Cambria Math" w:eastAsia="Cambria Math"/>
          <w:w w:val="45"/>
        </w:rPr>
        <w:t>𝐶𝐶𝑇𝑇𝐶𝐶</w:t>
      </w:r>
      <w:r>
        <w:rPr>
          <w:rFonts w:ascii="Cambria Math" w:hAnsi="Cambria Math" w:eastAsia="Cambria Math"/>
          <w:spacing w:val="15"/>
        </w:rPr>
        <w:t xml:space="preserve"> </w:t>
      </w:r>
      <w:r>
        <w:rPr>
          <w:rFonts w:ascii="Cambria Math" w:hAnsi="Cambria Math" w:eastAsia="Cambria Math"/>
          <w:w w:val="45"/>
        </w:rPr>
        <w:t>+</w:t>
      </w:r>
      <w:r>
        <w:rPr>
          <w:rFonts w:ascii="Cambria Math" w:hAnsi="Cambria Math" w:eastAsia="Cambria Math"/>
          <w:spacing w:val="13"/>
        </w:rPr>
        <w:t xml:space="preserve"> </w:t>
      </w:r>
      <w:r>
        <w:rPr>
          <w:rFonts w:ascii="Cambria Math" w:hAnsi="Cambria Math" w:eastAsia="Cambria Math"/>
          <w:w w:val="45"/>
        </w:rPr>
        <w:t>𝐵𝐵𝐵𝐵𝐵𝐵</w:t>
      </w:r>
      <w:r>
        <w:rPr>
          <w:rFonts w:ascii="Cambria Math" w:hAnsi="Cambria Math" w:eastAsia="Cambria Math"/>
          <w:spacing w:val="17"/>
        </w:rPr>
        <w:t xml:space="preserve"> </w:t>
      </w:r>
      <w:r>
        <w:rPr>
          <w:rFonts w:ascii="Cambria Math" w:hAnsi="Cambria Math" w:eastAsia="Cambria Math"/>
          <w:w w:val="45"/>
        </w:rPr>
        <w:t>3</w:t>
      </w:r>
      <w:r>
        <w:rPr>
          <w:rFonts w:ascii="Cambria Math" w:hAnsi="Cambria Math" w:eastAsia="Cambria Math"/>
          <w:spacing w:val="12"/>
        </w:rPr>
        <w:t xml:space="preserve"> </w:t>
      </w:r>
      <w:r>
        <w:rPr>
          <w:rFonts w:ascii="Cambria Math" w:hAnsi="Cambria Math" w:eastAsia="Cambria Math"/>
          <w:w w:val="45"/>
        </w:rPr>
        <w:t>𝑃𝑃𝑆𝑆𝐵𝐵𝑆𝑆𝑇𝑇𝐸𝐸𝑇𝑇𝑇𝑇𝐵𝐵𝑇𝑇𝐵𝐵</w:t>
      </w:r>
      <w:r>
        <w:rPr>
          <w:rFonts w:ascii="Cambria Math" w:hAnsi="Cambria Math" w:eastAsia="Cambria Math"/>
          <w:spacing w:val="17"/>
        </w:rPr>
        <w:t xml:space="preserve"> </w:t>
      </w:r>
      <w:r>
        <w:rPr>
          <w:rFonts w:ascii="Cambria Math" w:hAnsi="Cambria Math" w:eastAsia="Cambria Math"/>
          <w:spacing w:val="-2"/>
          <w:w w:val="45"/>
        </w:rPr>
        <w:t>𝐶𝐶𝑇𝑇𝐶𝐶</w:t>
      </w:r>
      <w:r>
        <w:rPr>
          <w:rFonts w:ascii="Cambria Math" w:hAnsi="Cambria Math" w:eastAsia="Cambria Math"/>
          <w:spacing w:val="-2"/>
          <w:w w:val="45"/>
        </w:rPr>
        <w:t>)</w:t>
      </w:r>
    </w:p>
    <w:p w:rsidR="00C31389" w:rsidRDefault="00C31389" w14:paraId="46C5E5A7" w14:textId="77777777">
      <w:pPr>
        <w:pStyle w:val="BodyText"/>
        <w:spacing w:before="6"/>
        <w:rPr>
          <w:rFonts w:ascii="Cambria Math"/>
          <w:sz w:val="20"/>
        </w:rPr>
      </w:pPr>
    </w:p>
    <w:p w:rsidR="00C31389" w:rsidRDefault="00561FBD" w14:paraId="31080E70" w14:textId="77777777">
      <w:pPr>
        <w:pStyle w:val="Heading7"/>
        <w:ind w:left="398" w:right="339"/>
        <w:jc w:val="center"/>
      </w:pPr>
      <w:bookmarkStart w:name="_bookmark308" w:id="409"/>
      <w:bookmarkEnd w:id="409"/>
      <w:r>
        <w:t>Figure</w:t>
      </w:r>
      <w:r>
        <w:rPr>
          <w:spacing w:val="-8"/>
        </w:rPr>
        <w:t xml:space="preserve"> </w:t>
      </w:r>
      <w:r>
        <w:t>D-1.</w:t>
      </w:r>
      <w:r>
        <w:rPr>
          <w:spacing w:val="-8"/>
        </w:rPr>
        <w:t xml:space="preserve"> </w:t>
      </w:r>
      <w:r>
        <w:t>Illustrative</w:t>
      </w:r>
      <w:r>
        <w:rPr>
          <w:spacing w:val="-8"/>
        </w:rPr>
        <w:t xml:space="preserve"> </w:t>
      </w:r>
      <w:r>
        <w:t>Application</w:t>
      </w:r>
      <w:r>
        <w:rPr>
          <w:spacing w:val="-8"/>
        </w:rPr>
        <w:t xml:space="preserve"> </w:t>
      </w:r>
      <w:r>
        <w:t>of</w:t>
      </w:r>
      <w:r>
        <w:rPr>
          <w:spacing w:val="-8"/>
        </w:rPr>
        <w:t xml:space="preserve"> </w:t>
      </w:r>
      <w:r>
        <w:t>Penetration</w:t>
      </w:r>
      <w:r>
        <w:rPr>
          <w:spacing w:val="-8"/>
        </w:rPr>
        <w:t xml:space="preserve"> </w:t>
      </w:r>
      <w:r>
        <w:t>Cap</w:t>
      </w:r>
      <w:r>
        <w:rPr>
          <w:spacing w:val="-7"/>
        </w:rPr>
        <w:t xml:space="preserve"> </w:t>
      </w:r>
      <w:r>
        <w:t>by</w:t>
      </w:r>
      <w:r>
        <w:rPr>
          <w:spacing w:val="-8"/>
        </w:rPr>
        <w:t xml:space="preserve"> </w:t>
      </w:r>
      <w:r>
        <w:rPr>
          <w:spacing w:val="-5"/>
        </w:rPr>
        <w:t>Bin</w:t>
      </w:r>
    </w:p>
    <w:p w:rsidR="00C31389" w:rsidRDefault="00561FBD" w14:paraId="1D1E9F34" w14:textId="77777777">
      <w:pPr>
        <w:pStyle w:val="BodyText"/>
        <w:spacing w:before="10"/>
        <w:rPr>
          <w:b/>
          <w:sz w:val="26"/>
        </w:rPr>
      </w:pPr>
      <w:r>
        <w:rPr>
          <w:noProof/>
        </w:rPr>
        <w:drawing>
          <wp:anchor distT="0" distB="0" distL="0" distR="0" simplePos="0" relativeHeight="487715840" behindDoc="1" locked="0" layoutInCell="1" allowOverlap="1" wp14:editId="511CCA0D" wp14:anchorId="0FFF52EB">
            <wp:simplePos x="0" y="0"/>
            <wp:positionH relativeFrom="page">
              <wp:posOffset>997331</wp:posOffset>
            </wp:positionH>
            <wp:positionV relativeFrom="paragraph">
              <wp:posOffset>211792</wp:posOffset>
            </wp:positionV>
            <wp:extent cx="5019444" cy="2806731"/>
            <wp:effectExtent l="0" t="0" r="0" b="0"/>
            <wp:wrapTopAndBottom/>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257" cstate="print"/>
                    <a:stretch>
                      <a:fillRect/>
                    </a:stretch>
                  </pic:blipFill>
                  <pic:spPr>
                    <a:xfrm>
                      <a:off x="0" y="0"/>
                      <a:ext cx="5019444" cy="2806731"/>
                    </a:xfrm>
                    <a:prstGeom prst="rect">
                      <a:avLst/>
                    </a:prstGeom>
                  </pic:spPr>
                </pic:pic>
              </a:graphicData>
            </a:graphic>
          </wp:anchor>
        </w:drawing>
      </w:r>
    </w:p>
    <w:p w:rsidR="00C31389" w:rsidRDefault="00561FBD" w14:paraId="3ACE506D" w14:textId="77777777">
      <w:pPr>
        <w:spacing w:before="166"/>
        <w:ind w:left="480"/>
        <w:rPr>
          <w:i/>
          <w:sz w:val="18"/>
        </w:rPr>
      </w:pPr>
      <w:r>
        <w:rPr>
          <w:i/>
          <w:sz w:val="18"/>
        </w:rPr>
        <w:t>Source:</w:t>
      </w:r>
      <w:r>
        <w:rPr>
          <w:i/>
          <w:spacing w:val="-4"/>
          <w:sz w:val="18"/>
        </w:rPr>
        <w:t xml:space="preserve"> </w:t>
      </w:r>
      <w:r>
        <w:rPr>
          <w:i/>
          <w:spacing w:val="-2"/>
          <w:sz w:val="18"/>
        </w:rPr>
        <w:t>Guidehouse</w:t>
      </w:r>
    </w:p>
    <w:p w:rsidR="00C31389" w:rsidRDefault="00C31389" w14:paraId="17F04AD4" w14:textId="77777777">
      <w:pPr>
        <w:pStyle w:val="BodyText"/>
        <w:rPr>
          <w:i/>
          <w:sz w:val="20"/>
        </w:rPr>
      </w:pPr>
    </w:p>
    <w:p w:rsidR="00C31389" w:rsidRDefault="00561FBD" w14:paraId="787369B3" w14:textId="77777777">
      <w:pPr>
        <w:pStyle w:val="BodyText"/>
        <w:spacing w:before="11"/>
        <w:rPr>
          <w:i/>
          <w:sz w:val="23"/>
        </w:rPr>
      </w:pPr>
      <w:r>
        <w:rPr>
          <w:noProof/>
        </w:rPr>
        <mc:AlternateContent>
          <mc:Choice Requires="wps">
            <w:drawing>
              <wp:anchor distT="0" distB="0" distL="0" distR="0" simplePos="0" relativeHeight="487716352" behindDoc="1" locked="0" layoutInCell="1" allowOverlap="1" wp14:editId="49A0CF4F" wp14:anchorId="588035E7">
                <wp:simplePos x="0" y="0"/>
                <wp:positionH relativeFrom="page">
                  <wp:posOffset>914400</wp:posOffset>
                </wp:positionH>
                <wp:positionV relativeFrom="paragraph">
                  <wp:posOffset>190191</wp:posOffset>
                </wp:positionV>
                <wp:extent cx="1828800" cy="6985"/>
                <wp:effectExtent l="0" t="0" r="0" b="0"/>
                <wp:wrapTopAndBottom/>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07" style="position:absolute;margin-left:1in;margin-top:15pt;width:2in;height:.55pt;z-index:-1560012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" w14:anchorId="24B566B2">
                <v:path arrowok="t"/>
                <w10:wrap type="topAndBottom" anchorx="page"/>
              </v:shape>
            </w:pict>
          </mc:Fallback>
        </mc:AlternateContent>
      </w:r>
    </w:p>
    <w:p w:rsidR="00C31389" w:rsidRDefault="00561FBD" w14:paraId="7EAAEB30" w14:textId="77777777">
      <w:pPr>
        <w:spacing w:before="88"/>
        <w:ind w:left="480" w:right="418" w:hanging="1"/>
        <w:rPr>
          <w:sz w:val="18"/>
        </w:rPr>
      </w:pPr>
      <w:bookmarkStart w:name="_bookmark309" w:id="410"/>
      <w:bookmarkEnd w:id="410"/>
      <w:r>
        <w:rPr>
          <w:position w:val="6"/>
          <w:sz w:val="12"/>
        </w:rPr>
        <w:t>94</w:t>
      </w:r>
      <w:r>
        <w:rPr>
          <w:spacing w:val="14"/>
          <w:position w:val="6"/>
          <w:sz w:val="12"/>
        </w:rPr>
        <w:t xml:space="preserve"> </w:t>
      </w:r>
      <w:r>
        <w:rPr>
          <w:sz w:val="18"/>
        </w:rPr>
        <w:t>DNV</w:t>
      </w:r>
      <w:r>
        <w:rPr>
          <w:spacing w:val="-3"/>
          <w:sz w:val="18"/>
        </w:rPr>
        <w:t xml:space="preserve"> </w:t>
      </w:r>
      <w:r>
        <w:rPr>
          <w:sz w:val="18"/>
        </w:rPr>
        <w:t>GL.</w:t>
      </w:r>
      <w:r>
        <w:rPr>
          <w:spacing w:val="-3"/>
          <w:sz w:val="18"/>
        </w:rPr>
        <w:t xml:space="preserve"> </w:t>
      </w:r>
      <w:r>
        <w:rPr>
          <w:sz w:val="18"/>
        </w:rPr>
        <w:t>May</w:t>
      </w:r>
      <w:r>
        <w:rPr>
          <w:spacing w:val="-3"/>
          <w:sz w:val="18"/>
        </w:rPr>
        <w:t xml:space="preserve"> </w:t>
      </w:r>
      <w:r>
        <w:rPr>
          <w:sz w:val="18"/>
        </w:rPr>
        <w:t>1,</w:t>
      </w:r>
      <w:r>
        <w:rPr>
          <w:spacing w:val="-3"/>
          <w:sz w:val="18"/>
        </w:rPr>
        <w:t xml:space="preserve"> </w:t>
      </w:r>
      <w:r>
        <w:rPr>
          <w:sz w:val="18"/>
        </w:rPr>
        <w:t>2019.</w:t>
      </w:r>
      <w:r>
        <w:rPr>
          <w:spacing w:val="-3"/>
          <w:sz w:val="18"/>
        </w:rPr>
        <w:t xml:space="preserve"> </w:t>
      </w:r>
      <w:r>
        <w:rPr>
          <w:sz w:val="18"/>
        </w:rPr>
        <w:t>Impact</w:t>
      </w:r>
      <w:r>
        <w:rPr>
          <w:spacing w:val="-3"/>
          <w:sz w:val="18"/>
        </w:rPr>
        <w:t xml:space="preserve"> </w:t>
      </w:r>
      <w:r>
        <w:rPr>
          <w:sz w:val="18"/>
        </w:rPr>
        <w:t>Evaluation</w:t>
      </w:r>
      <w:r>
        <w:rPr>
          <w:spacing w:val="-4"/>
          <w:sz w:val="18"/>
        </w:rPr>
        <w:t xml:space="preserve"> </w:t>
      </w:r>
      <w:r>
        <w:rPr>
          <w:sz w:val="18"/>
        </w:rPr>
        <w:t>Report:</w:t>
      </w:r>
      <w:r>
        <w:rPr>
          <w:spacing w:val="-3"/>
          <w:sz w:val="18"/>
        </w:rPr>
        <w:t xml:space="preserve"> </w:t>
      </w:r>
      <w:r>
        <w:rPr>
          <w:sz w:val="18"/>
        </w:rPr>
        <w:t>Home</w:t>
      </w:r>
      <w:r>
        <w:rPr>
          <w:spacing w:val="-4"/>
          <w:sz w:val="18"/>
        </w:rPr>
        <w:t xml:space="preserve"> </w:t>
      </w:r>
      <w:r>
        <w:rPr>
          <w:sz w:val="18"/>
        </w:rPr>
        <w:t>Energy</w:t>
      </w:r>
      <w:r>
        <w:rPr>
          <w:spacing w:val="-3"/>
          <w:sz w:val="18"/>
        </w:rPr>
        <w:t xml:space="preserve"> </w:t>
      </w:r>
      <w:r>
        <w:rPr>
          <w:sz w:val="18"/>
        </w:rPr>
        <w:t>Reports</w:t>
      </w:r>
      <w:r>
        <w:rPr>
          <w:spacing w:val="-3"/>
          <w:sz w:val="18"/>
        </w:rPr>
        <w:t xml:space="preserve"> </w:t>
      </w:r>
      <w:r>
        <w:rPr>
          <w:sz w:val="18"/>
        </w:rPr>
        <w:t>–</w:t>
      </w:r>
      <w:r>
        <w:rPr>
          <w:spacing w:val="-2"/>
          <w:sz w:val="18"/>
        </w:rPr>
        <w:t xml:space="preserve"> </w:t>
      </w:r>
      <w:r>
        <w:rPr>
          <w:sz w:val="18"/>
        </w:rPr>
        <w:t>Residential</w:t>
      </w:r>
      <w:r>
        <w:rPr>
          <w:spacing w:val="-3"/>
          <w:sz w:val="18"/>
        </w:rPr>
        <w:t xml:space="preserve"> </w:t>
      </w:r>
      <w:r>
        <w:rPr>
          <w:sz w:val="18"/>
        </w:rPr>
        <w:t>Program</w:t>
      </w:r>
      <w:r>
        <w:rPr>
          <w:spacing w:val="-3"/>
          <w:sz w:val="18"/>
        </w:rPr>
        <w:t xml:space="preserve"> </w:t>
      </w:r>
      <w:r>
        <w:rPr>
          <w:sz w:val="18"/>
        </w:rPr>
        <w:t>Year</w:t>
      </w:r>
      <w:r>
        <w:rPr>
          <w:spacing w:val="-3"/>
          <w:sz w:val="18"/>
        </w:rPr>
        <w:t xml:space="preserve"> </w:t>
      </w:r>
      <w:r>
        <w:rPr>
          <w:sz w:val="18"/>
        </w:rPr>
        <w:t>2016. California Public Utilities Commission. CALMAC Study ID: CPU0190.01.</w:t>
      </w:r>
    </w:p>
    <w:p w:rsidR="00C31389" w:rsidRDefault="00561FBD" w14:paraId="7E0D97AE" w14:textId="77777777">
      <w:pPr>
        <w:spacing w:before="37"/>
        <w:ind w:left="480" w:right="418" w:hanging="1"/>
        <w:rPr>
          <w:sz w:val="18"/>
        </w:rPr>
      </w:pPr>
      <w:bookmarkStart w:name="_bookmark310" w:id="411"/>
      <w:bookmarkEnd w:id="411"/>
      <w:r>
        <w:rPr>
          <w:position w:val="6"/>
          <w:sz w:val="12"/>
        </w:rPr>
        <w:t>95</w:t>
      </w:r>
      <w:r>
        <w:rPr>
          <w:spacing w:val="14"/>
          <w:position w:val="6"/>
          <w:sz w:val="12"/>
        </w:rPr>
        <w:t xml:space="preserve"> </w:t>
      </w:r>
      <w:r>
        <w:rPr>
          <w:sz w:val="18"/>
        </w:rPr>
        <w:t>DNV</w:t>
      </w:r>
      <w:r>
        <w:rPr>
          <w:spacing w:val="-3"/>
          <w:sz w:val="18"/>
        </w:rPr>
        <w:t xml:space="preserve"> </w:t>
      </w:r>
      <w:r>
        <w:rPr>
          <w:sz w:val="18"/>
        </w:rPr>
        <w:t>GL.</w:t>
      </w:r>
      <w:r>
        <w:rPr>
          <w:spacing w:val="-3"/>
          <w:sz w:val="18"/>
        </w:rPr>
        <w:t xml:space="preserve"> </w:t>
      </w:r>
      <w:r>
        <w:rPr>
          <w:sz w:val="18"/>
        </w:rPr>
        <w:t>May</w:t>
      </w:r>
      <w:r>
        <w:rPr>
          <w:spacing w:val="-3"/>
          <w:sz w:val="18"/>
        </w:rPr>
        <w:t xml:space="preserve"> </w:t>
      </w:r>
      <w:r>
        <w:rPr>
          <w:sz w:val="18"/>
        </w:rPr>
        <w:t>1,</w:t>
      </w:r>
      <w:r>
        <w:rPr>
          <w:spacing w:val="-3"/>
          <w:sz w:val="18"/>
        </w:rPr>
        <w:t xml:space="preserve"> </w:t>
      </w:r>
      <w:r>
        <w:rPr>
          <w:sz w:val="18"/>
        </w:rPr>
        <w:t>2019.</w:t>
      </w:r>
      <w:r>
        <w:rPr>
          <w:spacing w:val="-3"/>
          <w:sz w:val="18"/>
        </w:rPr>
        <w:t xml:space="preserve"> </w:t>
      </w:r>
      <w:r>
        <w:rPr>
          <w:sz w:val="18"/>
        </w:rPr>
        <w:t>Impact</w:t>
      </w:r>
      <w:r>
        <w:rPr>
          <w:spacing w:val="-3"/>
          <w:sz w:val="18"/>
        </w:rPr>
        <w:t xml:space="preserve"> </w:t>
      </w:r>
      <w:r>
        <w:rPr>
          <w:sz w:val="18"/>
        </w:rPr>
        <w:t>Evaluation</w:t>
      </w:r>
      <w:r>
        <w:rPr>
          <w:spacing w:val="-4"/>
          <w:sz w:val="18"/>
        </w:rPr>
        <w:t xml:space="preserve"> </w:t>
      </w:r>
      <w:r>
        <w:rPr>
          <w:sz w:val="18"/>
        </w:rPr>
        <w:t>Report:</w:t>
      </w:r>
      <w:r>
        <w:rPr>
          <w:spacing w:val="-3"/>
          <w:sz w:val="18"/>
        </w:rPr>
        <w:t xml:space="preserve"> </w:t>
      </w:r>
      <w:r>
        <w:rPr>
          <w:sz w:val="18"/>
        </w:rPr>
        <w:t>Home</w:t>
      </w:r>
      <w:r>
        <w:rPr>
          <w:spacing w:val="-4"/>
          <w:sz w:val="18"/>
        </w:rPr>
        <w:t xml:space="preserve"> </w:t>
      </w:r>
      <w:r>
        <w:rPr>
          <w:sz w:val="18"/>
        </w:rPr>
        <w:t>Energy</w:t>
      </w:r>
      <w:r>
        <w:rPr>
          <w:spacing w:val="-3"/>
          <w:sz w:val="18"/>
        </w:rPr>
        <w:t xml:space="preserve"> </w:t>
      </w:r>
      <w:r>
        <w:rPr>
          <w:sz w:val="18"/>
        </w:rPr>
        <w:t>Reports</w:t>
      </w:r>
      <w:r>
        <w:rPr>
          <w:spacing w:val="-3"/>
          <w:sz w:val="18"/>
        </w:rPr>
        <w:t xml:space="preserve"> </w:t>
      </w:r>
      <w:r>
        <w:rPr>
          <w:sz w:val="18"/>
        </w:rPr>
        <w:t>–</w:t>
      </w:r>
      <w:r>
        <w:rPr>
          <w:spacing w:val="-2"/>
          <w:sz w:val="18"/>
        </w:rPr>
        <w:t xml:space="preserve"> </w:t>
      </w:r>
      <w:r>
        <w:rPr>
          <w:sz w:val="18"/>
        </w:rPr>
        <w:t>Residential</w:t>
      </w:r>
      <w:r>
        <w:rPr>
          <w:spacing w:val="-3"/>
          <w:sz w:val="18"/>
        </w:rPr>
        <w:t xml:space="preserve"> </w:t>
      </w:r>
      <w:r>
        <w:rPr>
          <w:sz w:val="18"/>
        </w:rPr>
        <w:t>Program</w:t>
      </w:r>
      <w:r>
        <w:rPr>
          <w:spacing w:val="-3"/>
          <w:sz w:val="18"/>
        </w:rPr>
        <w:t xml:space="preserve"> </w:t>
      </w:r>
      <w:r>
        <w:rPr>
          <w:sz w:val="18"/>
        </w:rPr>
        <w:t>Year</w:t>
      </w:r>
      <w:r>
        <w:rPr>
          <w:spacing w:val="-3"/>
          <w:sz w:val="18"/>
        </w:rPr>
        <w:t xml:space="preserve"> </w:t>
      </w:r>
      <w:r>
        <w:rPr>
          <w:sz w:val="18"/>
        </w:rPr>
        <w:t>2017. California Public Utilities Commission. CALMAC Study ID: CPU0194.01.</w:t>
      </w:r>
    </w:p>
    <w:p w:rsidR="00C31389" w:rsidRDefault="00561FBD" w14:paraId="6A80E92A" w14:textId="77777777">
      <w:pPr>
        <w:spacing w:before="36"/>
        <w:ind w:left="479" w:right="418"/>
        <w:rPr>
          <w:sz w:val="18"/>
        </w:rPr>
      </w:pPr>
      <w:bookmarkStart w:name="_bookmark311" w:id="412"/>
      <w:bookmarkEnd w:id="412"/>
      <w:r>
        <w:rPr>
          <w:position w:val="6"/>
          <w:sz w:val="12"/>
        </w:rPr>
        <w:t>96</w:t>
      </w:r>
      <w:r>
        <w:rPr>
          <w:spacing w:val="14"/>
          <w:position w:val="6"/>
          <w:sz w:val="12"/>
        </w:rPr>
        <w:t xml:space="preserve"> </w:t>
      </w:r>
      <w:r>
        <w:rPr>
          <w:sz w:val="18"/>
        </w:rPr>
        <w:t>DNV</w:t>
      </w:r>
      <w:r>
        <w:rPr>
          <w:spacing w:val="-3"/>
          <w:sz w:val="18"/>
        </w:rPr>
        <w:t xml:space="preserve"> </w:t>
      </w:r>
      <w:r>
        <w:rPr>
          <w:sz w:val="18"/>
        </w:rPr>
        <w:t>GL.</w:t>
      </w:r>
      <w:r>
        <w:rPr>
          <w:spacing w:val="-3"/>
          <w:sz w:val="18"/>
        </w:rPr>
        <w:t xml:space="preserve"> </w:t>
      </w:r>
      <w:r>
        <w:rPr>
          <w:sz w:val="18"/>
        </w:rPr>
        <w:t>April</w:t>
      </w:r>
      <w:r>
        <w:rPr>
          <w:spacing w:val="-2"/>
          <w:sz w:val="18"/>
        </w:rPr>
        <w:t xml:space="preserve"> </w:t>
      </w:r>
      <w:r>
        <w:rPr>
          <w:sz w:val="18"/>
        </w:rPr>
        <w:t>16,</w:t>
      </w:r>
      <w:r>
        <w:rPr>
          <w:spacing w:val="-3"/>
          <w:sz w:val="18"/>
        </w:rPr>
        <w:t xml:space="preserve"> </w:t>
      </w:r>
      <w:r>
        <w:rPr>
          <w:sz w:val="18"/>
        </w:rPr>
        <w:t>2020.</w:t>
      </w:r>
      <w:r>
        <w:rPr>
          <w:spacing w:val="-3"/>
          <w:sz w:val="18"/>
        </w:rPr>
        <w:t xml:space="preserve"> </w:t>
      </w:r>
      <w:r>
        <w:rPr>
          <w:sz w:val="18"/>
        </w:rPr>
        <w:t>Impact</w:t>
      </w:r>
      <w:r>
        <w:rPr>
          <w:spacing w:val="-3"/>
          <w:sz w:val="18"/>
        </w:rPr>
        <w:t xml:space="preserve"> </w:t>
      </w:r>
      <w:r>
        <w:rPr>
          <w:sz w:val="18"/>
        </w:rPr>
        <w:t>Evaluation</w:t>
      </w:r>
      <w:r>
        <w:rPr>
          <w:spacing w:val="-2"/>
          <w:sz w:val="18"/>
        </w:rPr>
        <w:t xml:space="preserve"> </w:t>
      </w:r>
      <w:r>
        <w:rPr>
          <w:sz w:val="18"/>
        </w:rPr>
        <w:t>of</w:t>
      </w:r>
      <w:r>
        <w:rPr>
          <w:spacing w:val="-3"/>
          <w:sz w:val="18"/>
        </w:rPr>
        <w:t xml:space="preserve"> </w:t>
      </w:r>
      <w:r>
        <w:rPr>
          <w:sz w:val="18"/>
        </w:rPr>
        <w:t>Home</w:t>
      </w:r>
      <w:r>
        <w:rPr>
          <w:spacing w:val="-4"/>
          <w:sz w:val="18"/>
        </w:rPr>
        <w:t xml:space="preserve"> </w:t>
      </w:r>
      <w:r>
        <w:rPr>
          <w:sz w:val="18"/>
        </w:rPr>
        <w:t>Energy</w:t>
      </w:r>
      <w:r>
        <w:rPr>
          <w:spacing w:val="-3"/>
          <w:sz w:val="18"/>
        </w:rPr>
        <w:t xml:space="preserve"> </w:t>
      </w:r>
      <w:r>
        <w:rPr>
          <w:sz w:val="18"/>
        </w:rPr>
        <w:t>Reports:</w:t>
      </w:r>
      <w:r>
        <w:rPr>
          <w:spacing w:val="-3"/>
          <w:sz w:val="18"/>
        </w:rPr>
        <w:t xml:space="preserve"> </w:t>
      </w:r>
      <w:r>
        <w:rPr>
          <w:sz w:val="18"/>
        </w:rPr>
        <w:t>Residential</w:t>
      </w:r>
      <w:r>
        <w:rPr>
          <w:spacing w:val="-3"/>
          <w:sz w:val="18"/>
        </w:rPr>
        <w:t xml:space="preserve"> </w:t>
      </w:r>
      <w:r>
        <w:rPr>
          <w:sz w:val="18"/>
        </w:rPr>
        <w:t>Sector</w:t>
      </w:r>
      <w:r>
        <w:rPr>
          <w:spacing w:val="-3"/>
          <w:sz w:val="18"/>
        </w:rPr>
        <w:t xml:space="preserve"> </w:t>
      </w:r>
      <w:r>
        <w:rPr>
          <w:sz w:val="18"/>
        </w:rPr>
        <w:t>–</w:t>
      </w:r>
      <w:r>
        <w:rPr>
          <w:spacing w:val="-3"/>
          <w:sz w:val="18"/>
        </w:rPr>
        <w:t xml:space="preserve"> </w:t>
      </w:r>
      <w:r>
        <w:rPr>
          <w:sz w:val="18"/>
        </w:rPr>
        <w:t>Program</w:t>
      </w:r>
      <w:r>
        <w:rPr>
          <w:spacing w:val="-3"/>
          <w:sz w:val="18"/>
        </w:rPr>
        <w:t xml:space="preserve"> </w:t>
      </w:r>
      <w:r>
        <w:rPr>
          <w:sz w:val="18"/>
        </w:rPr>
        <w:t>Year</w:t>
      </w:r>
      <w:r>
        <w:rPr>
          <w:spacing w:val="-3"/>
          <w:sz w:val="18"/>
        </w:rPr>
        <w:t xml:space="preserve"> </w:t>
      </w:r>
      <w:r>
        <w:rPr>
          <w:sz w:val="18"/>
        </w:rPr>
        <w:t xml:space="preserve">2018. California Public Utilities </w:t>
      </w:r>
      <w:r>
        <w:rPr>
          <w:sz w:val="18"/>
        </w:rPr>
        <w:t>Commission. CALMAC Study ID: CPU0206.01.</w:t>
      </w:r>
    </w:p>
    <w:p w:rsidR="00C31389" w:rsidRDefault="00561FBD" w14:paraId="6E7DF34E" w14:textId="77777777">
      <w:pPr>
        <w:spacing w:before="35"/>
        <w:ind w:left="480" w:right="418" w:hanging="1"/>
        <w:rPr>
          <w:sz w:val="18"/>
        </w:rPr>
      </w:pPr>
      <w:bookmarkStart w:name="_bookmark312" w:id="413"/>
      <w:bookmarkEnd w:id="413"/>
      <w:r>
        <w:rPr>
          <w:position w:val="6"/>
          <w:sz w:val="12"/>
        </w:rPr>
        <w:t>97</w:t>
      </w:r>
      <w:r>
        <w:rPr>
          <w:spacing w:val="15"/>
          <w:position w:val="6"/>
          <w:sz w:val="12"/>
        </w:rPr>
        <w:t xml:space="preserve"> </w:t>
      </w:r>
      <w:r>
        <w:rPr>
          <w:sz w:val="18"/>
        </w:rPr>
        <w:t>Nexant.</w:t>
      </w:r>
      <w:r>
        <w:rPr>
          <w:spacing w:val="-2"/>
          <w:sz w:val="18"/>
        </w:rPr>
        <w:t xml:space="preserve"> </w:t>
      </w:r>
      <w:r>
        <w:rPr>
          <w:sz w:val="18"/>
        </w:rPr>
        <w:t>January</w:t>
      </w:r>
      <w:r>
        <w:rPr>
          <w:spacing w:val="-2"/>
          <w:sz w:val="18"/>
        </w:rPr>
        <w:t xml:space="preserve"> </w:t>
      </w:r>
      <w:r>
        <w:rPr>
          <w:sz w:val="18"/>
        </w:rPr>
        <w:t>3,</w:t>
      </w:r>
      <w:r>
        <w:rPr>
          <w:spacing w:val="-2"/>
          <w:sz w:val="18"/>
        </w:rPr>
        <w:t xml:space="preserve"> </w:t>
      </w:r>
      <w:r>
        <w:rPr>
          <w:sz w:val="18"/>
        </w:rPr>
        <w:t>2021.</w:t>
      </w:r>
      <w:r>
        <w:rPr>
          <w:spacing w:val="-2"/>
          <w:sz w:val="18"/>
        </w:rPr>
        <w:t xml:space="preserve"> </w:t>
      </w:r>
      <w:r>
        <w:rPr>
          <w:sz w:val="18"/>
        </w:rPr>
        <w:t>PG&amp;E</w:t>
      </w:r>
      <w:r>
        <w:rPr>
          <w:spacing w:val="-2"/>
          <w:sz w:val="18"/>
        </w:rPr>
        <w:t xml:space="preserve"> </w:t>
      </w:r>
      <w:r>
        <w:rPr>
          <w:sz w:val="18"/>
        </w:rPr>
        <w:t>HER</w:t>
      </w:r>
      <w:r>
        <w:rPr>
          <w:spacing w:val="-2"/>
          <w:sz w:val="18"/>
        </w:rPr>
        <w:t xml:space="preserve"> </w:t>
      </w:r>
      <w:r>
        <w:rPr>
          <w:sz w:val="18"/>
        </w:rPr>
        <w:t>2020</w:t>
      </w:r>
      <w:r>
        <w:rPr>
          <w:spacing w:val="-3"/>
          <w:sz w:val="18"/>
        </w:rPr>
        <w:t xml:space="preserve"> </w:t>
      </w:r>
      <w:r>
        <w:rPr>
          <w:sz w:val="18"/>
        </w:rPr>
        <w:t>Energy</w:t>
      </w:r>
      <w:r>
        <w:rPr>
          <w:spacing w:val="-2"/>
          <w:sz w:val="18"/>
        </w:rPr>
        <w:t xml:space="preserve"> </w:t>
      </w:r>
      <w:r>
        <w:rPr>
          <w:sz w:val="18"/>
        </w:rPr>
        <w:t>and</w:t>
      </w:r>
      <w:r>
        <w:rPr>
          <w:spacing w:val="-3"/>
          <w:sz w:val="18"/>
        </w:rPr>
        <w:t xml:space="preserve"> </w:t>
      </w:r>
      <w:r>
        <w:rPr>
          <w:sz w:val="18"/>
        </w:rPr>
        <w:t>Demand</w:t>
      </w:r>
      <w:r>
        <w:rPr>
          <w:spacing w:val="-3"/>
          <w:sz w:val="18"/>
        </w:rPr>
        <w:t xml:space="preserve"> </w:t>
      </w:r>
      <w:r>
        <w:rPr>
          <w:sz w:val="18"/>
        </w:rPr>
        <w:t>Savings</w:t>
      </w:r>
      <w:r>
        <w:rPr>
          <w:spacing w:val="-2"/>
          <w:sz w:val="18"/>
        </w:rPr>
        <w:t xml:space="preserve"> </w:t>
      </w:r>
      <w:r>
        <w:rPr>
          <w:sz w:val="18"/>
        </w:rPr>
        <w:t>Early</w:t>
      </w:r>
      <w:r>
        <w:rPr>
          <w:spacing w:val="-2"/>
          <w:sz w:val="18"/>
        </w:rPr>
        <w:t xml:space="preserve"> </w:t>
      </w:r>
      <w:r>
        <w:rPr>
          <w:sz w:val="18"/>
        </w:rPr>
        <w:t>EM&amp;V.</w:t>
      </w:r>
      <w:r>
        <w:rPr>
          <w:spacing w:val="-2"/>
          <w:sz w:val="18"/>
        </w:rPr>
        <w:t xml:space="preserve"> </w:t>
      </w:r>
      <w:r>
        <w:rPr>
          <w:sz w:val="18"/>
        </w:rPr>
        <w:t>Pacific</w:t>
      </w:r>
      <w:r>
        <w:rPr>
          <w:spacing w:val="-2"/>
          <w:sz w:val="18"/>
        </w:rPr>
        <w:t xml:space="preserve"> </w:t>
      </w:r>
      <w:r>
        <w:rPr>
          <w:sz w:val="18"/>
        </w:rPr>
        <w:t>Gas</w:t>
      </w:r>
      <w:r>
        <w:rPr>
          <w:spacing w:val="-2"/>
          <w:sz w:val="18"/>
        </w:rPr>
        <w:t xml:space="preserve"> </w:t>
      </w:r>
      <w:r>
        <w:rPr>
          <w:sz w:val="18"/>
        </w:rPr>
        <w:t>&amp;</w:t>
      </w:r>
      <w:r>
        <w:rPr>
          <w:spacing w:val="-2"/>
          <w:sz w:val="18"/>
        </w:rPr>
        <w:t xml:space="preserve"> </w:t>
      </w:r>
      <w:r>
        <w:rPr>
          <w:sz w:val="18"/>
        </w:rPr>
        <w:t>Electric. CALMAC Study ID: PGE0466.01.</w:t>
      </w:r>
    </w:p>
    <w:p w:rsidR="00C31389" w:rsidRDefault="00C31389" w14:paraId="70EBEB9F" w14:textId="77777777">
      <w:pPr>
        <w:rPr>
          <w:sz w:val="18"/>
        </w:rPr>
        <w:sectPr w:rsidR="00C31389">
          <w:pgSz w:w="11910" w:h="16840"/>
          <w:pgMar w:top="1660" w:right="1020" w:bottom="1120" w:left="960" w:header="397" w:footer="938" w:gutter="0"/>
          <w:cols w:space="720"/>
        </w:sectPr>
      </w:pPr>
    </w:p>
    <w:p w:rsidR="00C31389" w:rsidRDefault="00C31389" w14:paraId="25BB2F5F" w14:textId="77777777">
      <w:pPr>
        <w:pStyle w:val="BodyText"/>
        <w:spacing w:before="11"/>
        <w:rPr>
          <w:sz w:val="13"/>
        </w:rPr>
      </w:pPr>
    </w:p>
    <w:p w:rsidR="00C31389" w:rsidRDefault="00561FBD" w14:paraId="191505B0" w14:textId="77777777">
      <w:pPr>
        <w:pStyle w:val="BodyText"/>
        <w:spacing w:before="92"/>
        <w:ind w:left="479" w:right="479"/>
      </w:pPr>
      <w:r>
        <w:t>The PG Model applies these projected penetration rates to the n</w:t>
      </w:r>
      <w:r>
        <w:t>umber of forecast IOU households, which increases over time from 2024 to 2035, resulting in an increase in the absolute</w:t>
      </w:r>
      <w:r>
        <w:rPr>
          <w:spacing w:val="-3"/>
        </w:rPr>
        <w:t xml:space="preserve"> </w:t>
      </w:r>
      <w:r>
        <w:t>number</w:t>
      </w:r>
      <w:r>
        <w:rPr>
          <w:spacing w:val="-3"/>
        </w:rPr>
        <w:t xml:space="preserve"> </w:t>
      </w:r>
      <w:r>
        <w:t>of</w:t>
      </w:r>
      <w:r>
        <w:rPr>
          <w:spacing w:val="-3"/>
        </w:rPr>
        <w:t xml:space="preserve"> </w:t>
      </w:r>
      <w:r>
        <w:t>actual</w:t>
      </w:r>
      <w:r>
        <w:rPr>
          <w:spacing w:val="-3"/>
        </w:rPr>
        <w:t xml:space="preserve"> </w:t>
      </w:r>
      <w:r>
        <w:t>HER</w:t>
      </w:r>
      <w:r>
        <w:rPr>
          <w:spacing w:val="-4"/>
        </w:rPr>
        <w:t xml:space="preserve"> </w:t>
      </w:r>
      <w:r>
        <w:t>participants</w:t>
      </w:r>
      <w:r>
        <w:rPr>
          <w:spacing w:val="-3"/>
        </w:rPr>
        <w:t xml:space="preserve"> </w:t>
      </w:r>
      <w:r>
        <w:t>over</w:t>
      </w:r>
      <w:r>
        <w:rPr>
          <w:spacing w:val="-4"/>
        </w:rPr>
        <w:t xml:space="preserve"> </w:t>
      </w:r>
      <w:r>
        <w:t>time.</w:t>
      </w:r>
      <w:r>
        <w:rPr>
          <w:spacing w:val="-3"/>
        </w:rPr>
        <w:t xml:space="preserve"> </w:t>
      </w:r>
      <w:r>
        <w:t>Penetration</w:t>
      </w:r>
      <w:r>
        <w:rPr>
          <w:spacing w:val="-3"/>
        </w:rPr>
        <w:t xml:space="preserve"> </w:t>
      </w:r>
      <w:r>
        <w:t>is</w:t>
      </w:r>
      <w:r>
        <w:rPr>
          <w:spacing w:val="-2"/>
        </w:rPr>
        <w:t xml:space="preserve"> </w:t>
      </w:r>
      <w:r>
        <w:t>modeled</w:t>
      </w:r>
      <w:r>
        <w:rPr>
          <w:spacing w:val="-3"/>
        </w:rPr>
        <w:t xml:space="preserve"> </w:t>
      </w:r>
      <w:r>
        <w:t>using</w:t>
      </w:r>
      <w:r>
        <w:rPr>
          <w:spacing w:val="-4"/>
        </w:rPr>
        <w:t xml:space="preserve"> </w:t>
      </w:r>
      <w:r>
        <w:t>a</w:t>
      </w:r>
      <w:r>
        <w:rPr>
          <w:spacing w:val="-3"/>
        </w:rPr>
        <w:t xml:space="preserve"> </w:t>
      </w:r>
      <w:r>
        <w:t>linear growth rate rather than an exponential compound annua</w:t>
      </w:r>
      <w:r>
        <w:t>l growth rate (CAGR) to better reflect the observed rollout of the program over the evaluated years.</w:t>
      </w:r>
    </w:p>
    <w:p w:rsidR="00C31389" w:rsidRDefault="00C31389" w14:paraId="5687F0ED" w14:textId="77777777">
      <w:pPr>
        <w:pStyle w:val="BodyText"/>
        <w:spacing w:before="10"/>
        <w:rPr>
          <w:sz w:val="20"/>
        </w:rPr>
      </w:pPr>
    </w:p>
    <w:p w:rsidR="00C31389" w:rsidRDefault="00561FBD" w14:paraId="38329295" w14:textId="77777777">
      <w:pPr>
        <w:pStyle w:val="Heading7"/>
        <w:spacing w:before="1"/>
        <w:ind w:left="480"/>
      </w:pPr>
      <w:r>
        <w:rPr>
          <w:spacing w:val="-2"/>
        </w:rPr>
        <w:t>Savings</w:t>
      </w:r>
    </w:p>
    <w:p w:rsidR="00C31389" w:rsidRDefault="00C31389" w14:paraId="072E39D8" w14:textId="77777777">
      <w:pPr>
        <w:pStyle w:val="BodyText"/>
        <w:spacing w:before="9"/>
        <w:rPr>
          <w:b/>
          <w:sz w:val="20"/>
        </w:rPr>
      </w:pPr>
    </w:p>
    <w:p w:rsidR="00C31389" w:rsidRDefault="00561FBD" w14:paraId="136DD389" w14:textId="77777777">
      <w:pPr>
        <w:pStyle w:val="BodyText"/>
        <w:spacing w:before="1"/>
        <w:ind w:left="480" w:right="442"/>
      </w:pPr>
      <w:r>
        <w:t>The model uses an EUL of 1 year for HER program participants. That is, while customers may</w:t>
      </w:r>
      <w:r>
        <w:rPr>
          <w:spacing w:val="-3"/>
        </w:rPr>
        <w:t xml:space="preserve"> </w:t>
      </w:r>
      <w:r>
        <w:t>participate</w:t>
      </w:r>
      <w:r>
        <w:rPr>
          <w:spacing w:val="-3"/>
        </w:rPr>
        <w:t xml:space="preserve"> </w:t>
      </w:r>
      <w:r>
        <w:t>in</w:t>
      </w:r>
      <w:r>
        <w:rPr>
          <w:spacing w:val="-3"/>
        </w:rPr>
        <w:t xml:space="preserve"> </w:t>
      </w:r>
      <w:r>
        <w:t>a</w:t>
      </w:r>
      <w:r>
        <w:rPr>
          <w:spacing w:val="-3"/>
        </w:rPr>
        <w:t xml:space="preserve"> </w:t>
      </w:r>
      <w:r>
        <w:t>utility</w:t>
      </w:r>
      <w:r>
        <w:rPr>
          <w:spacing w:val="-3"/>
        </w:rPr>
        <w:t xml:space="preserve"> </w:t>
      </w:r>
      <w:r>
        <w:t>HER</w:t>
      </w:r>
      <w:r>
        <w:rPr>
          <w:spacing w:val="-4"/>
        </w:rPr>
        <w:t xml:space="preserve"> </w:t>
      </w:r>
      <w:r>
        <w:t>program</w:t>
      </w:r>
      <w:r>
        <w:rPr>
          <w:spacing w:val="-4"/>
        </w:rPr>
        <w:t xml:space="preserve"> </w:t>
      </w:r>
      <w:r>
        <w:t>for</w:t>
      </w:r>
      <w:r>
        <w:rPr>
          <w:spacing w:val="-3"/>
        </w:rPr>
        <w:t xml:space="preserve"> </w:t>
      </w:r>
      <w:r>
        <w:t>more</w:t>
      </w:r>
      <w:r>
        <w:rPr>
          <w:spacing w:val="-2"/>
        </w:rPr>
        <w:t xml:space="preserve"> </w:t>
      </w:r>
      <w:r>
        <w:t>than</w:t>
      </w:r>
      <w:r>
        <w:rPr>
          <w:spacing w:val="-3"/>
        </w:rPr>
        <w:t xml:space="preserve"> </w:t>
      </w:r>
      <w:r>
        <w:t>1</w:t>
      </w:r>
      <w:r>
        <w:rPr>
          <w:spacing w:val="-3"/>
        </w:rPr>
        <w:t xml:space="preserve"> </w:t>
      </w:r>
      <w:r>
        <w:t>year,</w:t>
      </w:r>
      <w:r>
        <w:rPr>
          <w:spacing w:val="-4"/>
        </w:rPr>
        <w:t xml:space="preserve"> </w:t>
      </w:r>
      <w:r>
        <w:t>their</w:t>
      </w:r>
      <w:r>
        <w:rPr>
          <w:spacing w:val="-3"/>
        </w:rPr>
        <w:t xml:space="preserve"> </w:t>
      </w:r>
      <w:r>
        <w:t>average</w:t>
      </w:r>
      <w:r>
        <w:rPr>
          <w:spacing w:val="-3"/>
        </w:rPr>
        <w:t xml:space="preserve"> </w:t>
      </w:r>
      <w:r>
        <w:t>adjusted</w:t>
      </w:r>
      <w:r>
        <w:rPr>
          <w:spacing w:val="-3"/>
        </w:rPr>
        <w:t xml:space="preserve"> </w:t>
      </w:r>
      <w:r>
        <w:t>savings are assumed to be the same as for all other participants in that year. While some recent evaluations of HER programs have found savings persistence of more than 1 year, reported savings percentages vary—some sources cit</w:t>
      </w:r>
      <w:r>
        <w:t>ing higher later year savings and others showing a degradation of savings over time. For this model, an EUL of 1 year is assumed,</w:t>
      </w:r>
      <w:r>
        <w:rPr>
          <w:spacing w:val="40"/>
        </w:rPr>
        <w:t xml:space="preserve"> </w:t>
      </w:r>
      <w:r>
        <w:t>as is standard with traditional persistence calculations for HER programs.</w:t>
      </w:r>
    </w:p>
    <w:p w:rsidR="00C31389" w:rsidRDefault="00C31389" w14:paraId="7758EDDB" w14:textId="77777777">
      <w:pPr>
        <w:pStyle w:val="BodyText"/>
        <w:spacing w:before="9"/>
        <w:rPr>
          <w:sz w:val="20"/>
        </w:rPr>
      </w:pPr>
    </w:p>
    <w:p w:rsidR="00C31389" w:rsidRDefault="00561FBD" w14:paraId="29A9E884" w14:textId="77777777">
      <w:pPr>
        <w:pStyle w:val="BodyText"/>
        <w:ind w:left="479" w:right="479"/>
        <w:rPr>
          <w:sz w:val="14"/>
        </w:rPr>
      </w:pPr>
      <w:r>
        <w:t>The</w:t>
      </w:r>
      <w:r>
        <w:rPr>
          <w:spacing w:val="-3"/>
        </w:rPr>
        <w:t xml:space="preserve"> </w:t>
      </w:r>
      <w:r>
        <w:t>team</w:t>
      </w:r>
      <w:r>
        <w:rPr>
          <w:spacing w:val="-4"/>
        </w:rPr>
        <w:t xml:space="preserve"> </w:t>
      </w:r>
      <w:r>
        <w:t>developed</w:t>
      </w:r>
      <w:r>
        <w:rPr>
          <w:spacing w:val="-3"/>
        </w:rPr>
        <w:t xml:space="preserve"> </w:t>
      </w:r>
      <w:r>
        <w:t>the</w:t>
      </w:r>
      <w:r>
        <w:rPr>
          <w:spacing w:val="-3"/>
        </w:rPr>
        <w:t xml:space="preserve"> </w:t>
      </w:r>
      <w:r>
        <w:t>ratio</w:t>
      </w:r>
      <w:r>
        <w:rPr>
          <w:spacing w:val="-3"/>
        </w:rPr>
        <w:t xml:space="preserve"> </w:t>
      </w:r>
      <w:r>
        <w:t>of</w:t>
      </w:r>
      <w:r>
        <w:rPr>
          <w:spacing w:val="-3"/>
        </w:rPr>
        <w:t xml:space="preserve"> </w:t>
      </w:r>
      <w:r>
        <w:t>kilowatt</w:t>
      </w:r>
      <w:r>
        <w:rPr>
          <w:spacing w:val="-3"/>
        </w:rPr>
        <w:t xml:space="preserve"> </w:t>
      </w:r>
      <w:r>
        <w:t>(kW)</w:t>
      </w:r>
      <w:r>
        <w:rPr>
          <w:spacing w:val="-3"/>
        </w:rPr>
        <w:t xml:space="preserve"> </w:t>
      </w:r>
      <w:r>
        <w:t>to</w:t>
      </w:r>
      <w:r>
        <w:rPr>
          <w:spacing w:val="-3"/>
        </w:rPr>
        <w:t xml:space="preserve"> </w:t>
      </w:r>
      <w:r>
        <w:t>k</w:t>
      </w:r>
      <w:r>
        <w:t>Wh</w:t>
      </w:r>
      <w:r>
        <w:rPr>
          <w:spacing w:val="-3"/>
        </w:rPr>
        <w:t xml:space="preserve"> </w:t>
      </w:r>
      <w:r>
        <w:t>savings</w:t>
      </w:r>
      <w:r>
        <w:rPr>
          <w:spacing w:val="-3"/>
        </w:rPr>
        <w:t xml:space="preserve"> </w:t>
      </w:r>
      <w:r>
        <w:t>using</w:t>
      </w:r>
      <w:r>
        <w:rPr>
          <w:spacing w:val="-3"/>
        </w:rPr>
        <w:t xml:space="preserve"> </w:t>
      </w:r>
      <w:r>
        <w:t>an</w:t>
      </w:r>
      <w:r>
        <w:rPr>
          <w:spacing w:val="-4"/>
        </w:rPr>
        <w:t xml:space="preserve"> </w:t>
      </w:r>
      <w:r>
        <w:t>average</w:t>
      </w:r>
      <w:r>
        <w:rPr>
          <w:spacing w:val="-3"/>
        </w:rPr>
        <w:t xml:space="preserve"> </w:t>
      </w:r>
      <w:r>
        <w:t>of</w:t>
      </w:r>
      <w:r>
        <w:rPr>
          <w:spacing w:val="-3"/>
        </w:rPr>
        <w:t xml:space="preserve"> </w:t>
      </w:r>
      <w:r>
        <w:t xml:space="preserve">adjusted kW and kWh savings as reported in the impact evaluation findings for PG&amp;E, SCE, and SDG&amp;E through 2018. This ratio was then updated based on California hourly load profiles to align with the current DEER peak period </w:t>
      </w:r>
      <w:r>
        <w:t>definition.</w:t>
      </w:r>
      <w:r>
        <w:rPr>
          <w:spacing w:val="-34"/>
        </w:rPr>
        <w:t xml:space="preserve"> </w:t>
      </w:r>
      <w:hyperlink w:history="1" w:anchor="_bookmark315">
        <w:r>
          <w:rPr>
            <w:position w:val="7"/>
            <w:sz w:val="14"/>
          </w:rPr>
          <w:t>98</w:t>
        </w:r>
      </w:hyperlink>
    </w:p>
    <w:p w:rsidR="00C31389" w:rsidRDefault="00C31389" w14:paraId="7649D077" w14:textId="77777777">
      <w:pPr>
        <w:pStyle w:val="BodyText"/>
        <w:spacing w:before="11"/>
        <w:rPr>
          <w:sz w:val="20"/>
        </w:rPr>
      </w:pPr>
    </w:p>
    <w:p w:rsidR="00C31389" w:rsidRDefault="00561FBD" w14:paraId="08CF4E22" w14:textId="77777777">
      <w:pPr>
        <w:pStyle w:val="Heading7"/>
        <w:ind w:left="480"/>
      </w:pPr>
      <w:r>
        <w:rPr>
          <w:spacing w:val="-4"/>
        </w:rPr>
        <w:t>Cost</w:t>
      </w:r>
    </w:p>
    <w:p w:rsidR="00C31389" w:rsidRDefault="00C31389" w14:paraId="13F52D38" w14:textId="77777777">
      <w:pPr>
        <w:pStyle w:val="BodyText"/>
        <w:spacing w:before="9"/>
        <w:rPr>
          <w:b/>
          <w:sz w:val="20"/>
        </w:rPr>
      </w:pPr>
    </w:p>
    <w:p w:rsidR="00C31389" w:rsidRDefault="00561FBD" w14:paraId="3FD48008" w14:textId="77777777">
      <w:pPr>
        <w:pStyle w:val="BodyText"/>
        <w:ind w:left="480" w:right="576"/>
      </w:pPr>
      <w:r>
        <w:t xml:space="preserve">The Guidehouse team sourced the costs per unit of kWh and therm savings from EEStats data for PY2013 through PY2015 and California Energy Data and Reporting System </w:t>
      </w:r>
      <w:r>
        <w:t>(CEDARS) data</w:t>
      </w:r>
      <w:r>
        <w:rPr>
          <w:spacing w:val="-1"/>
        </w:rPr>
        <w:t xml:space="preserve"> </w:t>
      </w:r>
      <w:r>
        <w:t>for</w:t>
      </w:r>
      <w:r>
        <w:rPr>
          <w:spacing w:val="-1"/>
        </w:rPr>
        <w:t xml:space="preserve"> </w:t>
      </w:r>
      <w:r>
        <w:t>PY2016</w:t>
      </w:r>
      <w:r>
        <w:rPr>
          <w:spacing w:val="-1"/>
        </w:rPr>
        <w:t xml:space="preserve"> </w:t>
      </w:r>
      <w:r>
        <w:t>through</w:t>
      </w:r>
      <w:r>
        <w:rPr>
          <w:spacing w:val="-1"/>
        </w:rPr>
        <w:t xml:space="preserve"> </w:t>
      </w:r>
      <w:r>
        <w:t>PY2020.</w:t>
      </w:r>
      <w:r>
        <w:rPr>
          <w:spacing w:val="-1"/>
        </w:rPr>
        <w:t xml:space="preserve"> </w:t>
      </w:r>
      <w:r>
        <w:t>The</w:t>
      </w:r>
      <w:r>
        <w:rPr>
          <w:spacing w:val="-1"/>
        </w:rPr>
        <w:t xml:space="preserve"> </w:t>
      </w:r>
      <w:r>
        <w:t>specific</w:t>
      </w:r>
      <w:r>
        <w:rPr>
          <w:spacing w:val="-1"/>
        </w:rPr>
        <w:t xml:space="preserve"> </w:t>
      </w:r>
      <w:r>
        <w:t>program</w:t>
      </w:r>
      <w:r>
        <w:rPr>
          <w:spacing w:val="-2"/>
        </w:rPr>
        <w:t xml:space="preserve"> </w:t>
      </w:r>
      <w:r>
        <w:t>years</w:t>
      </w:r>
      <w:r>
        <w:rPr>
          <w:spacing w:val="-1"/>
        </w:rPr>
        <w:t xml:space="preserve"> </w:t>
      </w:r>
      <w:r>
        <w:t>used</w:t>
      </w:r>
      <w:r>
        <w:rPr>
          <w:spacing w:val="-1"/>
        </w:rPr>
        <w:t xml:space="preserve"> </w:t>
      </w:r>
      <w:r>
        <w:t>to</w:t>
      </w:r>
      <w:r>
        <w:rPr>
          <w:spacing w:val="-1"/>
        </w:rPr>
        <w:t xml:space="preserve"> </w:t>
      </w:r>
      <w:r>
        <w:t>calculate costs for each utility varied depending on data availability and a result of a calibration</w:t>
      </w:r>
      <w:r>
        <w:rPr>
          <w:spacing w:val="-1"/>
        </w:rPr>
        <w:t xml:space="preserve"> </w:t>
      </w:r>
      <w:r>
        <w:t>effort to align with reported program costs for 2018 (the most recent year with</w:t>
      </w:r>
      <w:r>
        <w:t xml:space="preserve"> evaluated</w:t>
      </w:r>
      <w:r>
        <w:rPr>
          <w:spacing w:val="40"/>
        </w:rPr>
        <w:t xml:space="preserve"> </w:t>
      </w:r>
      <w:r>
        <w:t>savings).</w:t>
      </w:r>
      <w:r>
        <w:rPr>
          <w:spacing w:val="-40"/>
        </w:rPr>
        <w:t xml:space="preserve"> </w:t>
      </w:r>
      <w:hyperlink w:history="1" w:anchor="_bookmark316">
        <w:r>
          <w:rPr>
            <w:position w:val="7"/>
            <w:sz w:val="14"/>
          </w:rPr>
          <w:t>99</w:t>
        </w:r>
      </w:hyperlink>
      <w:r>
        <w:rPr>
          <w:spacing w:val="31"/>
          <w:position w:val="7"/>
          <w:sz w:val="14"/>
        </w:rPr>
        <w:t xml:space="preserve"> </w:t>
      </w:r>
      <w:r>
        <w:t>The team divided the costs reported in CEDARS by the evaluated kWh and therms savings values from</w:t>
      </w:r>
      <w:r>
        <w:rPr>
          <w:spacing w:val="-1"/>
        </w:rPr>
        <w:t xml:space="preserve"> </w:t>
      </w:r>
      <w:r>
        <w:t>impact evaluations</w:t>
      </w:r>
      <w:r>
        <w:rPr>
          <w:spacing w:val="-1"/>
        </w:rPr>
        <w:t xml:space="preserve"> </w:t>
      </w:r>
      <w:r>
        <w:t>(through 2018) or by the claimed savings in CEDAR</w:t>
      </w:r>
      <w:r>
        <w:t>S for 2019 and 2020. The team then weighted and apportioned the costs for PG&amp;E and SDG&amp;E to electric and gas using a common energy conversion to Btus. The Energy Advisor</w:t>
      </w:r>
      <w:r>
        <w:rPr>
          <w:spacing w:val="-3"/>
        </w:rPr>
        <w:t xml:space="preserve"> </w:t>
      </w:r>
      <w:r>
        <w:t>costs</w:t>
      </w:r>
      <w:r>
        <w:rPr>
          <w:spacing w:val="-3"/>
        </w:rPr>
        <w:t xml:space="preserve"> </w:t>
      </w:r>
      <w:r>
        <w:t>sourced</w:t>
      </w:r>
      <w:r>
        <w:rPr>
          <w:spacing w:val="-3"/>
        </w:rPr>
        <w:t xml:space="preserve"> </w:t>
      </w:r>
      <w:r>
        <w:t>from</w:t>
      </w:r>
      <w:r>
        <w:rPr>
          <w:spacing w:val="-4"/>
        </w:rPr>
        <w:t xml:space="preserve"> </w:t>
      </w:r>
      <w:r>
        <w:t>the</w:t>
      </w:r>
      <w:r>
        <w:rPr>
          <w:spacing w:val="-3"/>
        </w:rPr>
        <w:t xml:space="preserve"> </w:t>
      </w:r>
      <w:r>
        <w:t>CEDARS</w:t>
      </w:r>
      <w:r>
        <w:rPr>
          <w:spacing w:val="-3"/>
        </w:rPr>
        <w:t xml:space="preserve"> </w:t>
      </w:r>
      <w:r>
        <w:t>database</w:t>
      </w:r>
      <w:r>
        <w:rPr>
          <w:spacing w:val="-3"/>
        </w:rPr>
        <w:t xml:space="preserve"> </w:t>
      </w:r>
      <w:r>
        <w:t>for</w:t>
      </w:r>
      <w:r>
        <w:rPr>
          <w:spacing w:val="-3"/>
        </w:rPr>
        <w:t xml:space="preserve"> </w:t>
      </w:r>
      <w:r>
        <w:t>PG&amp;E</w:t>
      </w:r>
      <w:r>
        <w:rPr>
          <w:spacing w:val="-2"/>
        </w:rPr>
        <w:t xml:space="preserve"> </w:t>
      </w:r>
      <w:r>
        <w:t>and</w:t>
      </w:r>
      <w:r>
        <w:rPr>
          <w:spacing w:val="-3"/>
        </w:rPr>
        <w:t xml:space="preserve"> </w:t>
      </w:r>
      <w:r>
        <w:t>SCE</w:t>
      </w:r>
      <w:r>
        <w:rPr>
          <w:spacing w:val="-3"/>
        </w:rPr>
        <w:t xml:space="preserve"> </w:t>
      </w:r>
      <w:r>
        <w:t>are</w:t>
      </w:r>
      <w:r>
        <w:rPr>
          <w:spacing w:val="-3"/>
        </w:rPr>
        <w:t xml:space="preserve"> </w:t>
      </w:r>
      <w:r>
        <w:t>an</w:t>
      </w:r>
      <w:r>
        <w:rPr>
          <w:spacing w:val="-3"/>
        </w:rPr>
        <w:t xml:space="preserve"> </w:t>
      </w:r>
      <w:r>
        <w:t>aggregate</w:t>
      </w:r>
      <w:r>
        <w:rPr>
          <w:spacing w:val="-3"/>
        </w:rPr>
        <w:t xml:space="preserve"> </w:t>
      </w:r>
      <w:r>
        <w:t>of HER and UA</w:t>
      </w:r>
      <w:r>
        <w:t>T costs.</w:t>
      </w:r>
    </w:p>
    <w:p w:rsidR="00C31389" w:rsidRDefault="00C31389" w14:paraId="56407FB5" w14:textId="77777777">
      <w:pPr>
        <w:pStyle w:val="BodyText"/>
        <w:spacing w:before="11"/>
        <w:rPr>
          <w:sz w:val="20"/>
        </w:rPr>
      </w:pPr>
    </w:p>
    <w:p w:rsidR="00C31389" w:rsidRDefault="00561FBD" w14:paraId="03702391" w14:textId="77777777">
      <w:pPr>
        <w:pStyle w:val="ListParagraph"/>
        <w:numPr>
          <w:ilvl w:val="1"/>
          <w:numId w:val="19"/>
        </w:numPr>
        <w:tabs>
          <w:tab w:val="left" w:pos="991"/>
        </w:tabs>
        <w:ind w:left="991" w:hanging="511"/>
        <w:rPr>
          <w:b/>
          <w:sz w:val="28"/>
        </w:rPr>
      </w:pPr>
      <w:bookmarkStart w:name="D.2_Residential_–_Universal_Audit_Tool" w:id="414"/>
      <w:bookmarkStart w:name="_bookmark313" w:id="415"/>
      <w:bookmarkEnd w:id="414"/>
      <w:bookmarkEnd w:id="415"/>
      <w:r>
        <w:rPr>
          <w:b/>
          <w:sz w:val="28"/>
        </w:rPr>
        <w:t>Residential</w:t>
      </w:r>
      <w:r>
        <w:rPr>
          <w:b/>
          <w:spacing w:val="-14"/>
          <w:sz w:val="28"/>
        </w:rPr>
        <w:t xml:space="preserve"> </w:t>
      </w:r>
      <w:r>
        <w:rPr>
          <w:b/>
          <w:sz w:val="28"/>
        </w:rPr>
        <w:t>–</w:t>
      </w:r>
      <w:r>
        <w:rPr>
          <w:b/>
          <w:spacing w:val="-12"/>
          <w:sz w:val="28"/>
        </w:rPr>
        <w:t xml:space="preserve"> </w:t>
      </w:r>
      <w:r>
        <w:rPr>
          <w:b/>
          <w:sz w:val="28"/>
        </w:rPr>
        <w:t>Universal</w:t>
      </w:r>
      <w:r>
        <w:rPr>
          <w:b/>
          <w:spacing w:val="-19"/>
          <w:sz w:val="28"/>
        </w:rPr>
        <w:t xml:space="preserve"> </w:t>
      </w:r>
      <w:r>
        <w:rPr>
          <w:b/>
          <w:sz w:val="28"/>
        </w:rPr>
        <w:t>Audit</w:t>
      </w:r>
      <w:r>
        <w:rPr>
          <w:b/>
          <w:spacing w:val="-12"/>
          <w:sz w:val="28"/>
        </w:rPr>
        <w:t xml:space="preserve"> </w:t>
      </w:r>
      <w:r>
        <w:rPr>
          <w:b/>
          <w:spacing w:val="-4"/>
          <w:sz w:val="28"/>
        </w:rPr>
        <w:t>Tool</w:t>
      </w:r>
    </w:p>
    <w:p w:rsidR="00C31389" w:rsidRDefault="00C31389" w14:paraId="001118DE" w14:textId="77777777">
      <w:pPr>
        <w:pStyle w:val="BodyText"/>
        <w:spacing w:before="3"/>
        <w:rPr>
          <w:b/>
          <w:sz w:val="31"/>
        </w:rPr>
      </w:pPr>
    </w:p>
    <w:p w:rsidR="00C31389" w:rsidRDefault="00561FBD" w14:paraId="2AF3B00D" w14:textId="77777777">
      <w:pPr>
        <w:pStyle w:val="ListParagraph"/>
        <w:numPr>
          <w:ilvl w:val="2"/>
          <w:numId w:val="19"/>
        </w:numPr>
        <w:tabs>
          <w:tab w:val="left" w:pos="1197"/>
        </w:tabs>
        <w:spacing w:before="1"/>
        <w:ind w:left="1197" w:hanging="717"/>
        <w:rPr>
          <w:b/>
          <w:sz w:val="24"/>
        </w:rPr>
      </w:pPr>
      <w:bookmarkStart w:name="D.2.1_Summary" w:id="416"/>
      <w:bookmarkStart w:name="_bookmark314" w:id="417"/>
      <w:bookmarkEnd w:id="416"/>
      <w:bookmarkEnd w:id="417"/>
      <w:r>
        <w:rPr>
          <w:b/>
          <w:spacing w:val="-2"/>
          <w:sz w:val="24"/>
        </w:rPr>
        <w:t>Summary</w:t>
      </w:r>
    </w:p>
    <w:p w:rsidR="00C31389" w:rsidRDefault="00C31389" w14:paraId="61B5AD6D" w14:textId="77777777">
      <w:pPr>
        <w:pStyle w:val="BodyText"/>
        <w:spacing w:before="2"/>
        <w:rPr>
          <w:b/>
          <w:sz w:val="23"/>
        </w:rPr>
      </w:pPr>
    </w:p>
    <w:p w:rsidR="00C31389" w:rsidRDefault="00561FBD" w14:paraId="11CB19C0" w14:textId="77777777">
      <w:pPr>
        <w:pStyle w:val="BodyText"/>
        <w:ind w:left="480" w:right="615"/>
      </w:pPr>
      <w:r>
        <w:t>The Universal Audit Tool (UAT) is an opt in online tool that asks residential customers questions about their homes, household appliance use, and occupancy patterns and then offers</w:t>
      </w:r>
      <w:r>
        <w:rPr>
          <w:spacing w:val="-2"/>
        </w:rPr>
        <w:t xml:space="preserve"> </w:t>
      </w:r>
      <w:r>
        <w:t>EE</w:t>
      </w:r>
      <w:r>
        <w:rPr>
          <w:spacing w:val="-2"/>
        </w:rPr>
        <w:t xml:space="preserve"> </w:t>
      </w:r>
      <w:r>
        <w:t>advice</w:t>
      </w:r>
      <w:r>
        <w:rPr>
          <w:spacing w:val="-2"/>
        </w:rPr>
        <w:t xml:space="preserve"> </w:t>
      </w:r>
      <w:r>
        <w:t>on</w:t>
      </w:r>
      <w:r>
        <w:rPr>
          <w:spacing w:val="-2"/>
        </w:rPr>
        <w:t xml:space="preserve"> </w:t>
      </w:r>
      <w:r>
        <w:t>how</w:t>
      </w:r>
      <w:r>
        <w:rPr>
          <w:spacing w:val="-4"/>
        </w:rPr>
        <w:t xml:space="preserve"> </w:t>
      </w:r>
      <w:r>
        <w:t>they</w:t>
      </w:r>
      <w:r>
        <w:rPr>
          <w:spacing w:val="-2"/>
        </w:rPr>
        <w:t xml:space="preserve"> </w:t>
      </w:r>
      <w:r>
        <w:t>can</w:t>
      </w:r>
      <w:r>
        <w:rPr>
          <w:spacing w:val="-2"/>
        </w:rPr>
        <w:t xml:space="preserve"> </w:t>
      </w:r>
      <w:r>
        <w:t>save</w:t>
      </w:r>
      <w:r>
        <w:rPr>
          <w:spacing w:val="-2"/>
        </w:rPr>
        <w:t xml:space="preserve"> </w:t>
      </w:r>
      <w:r>
        <w:t>money</w:t>
      </w:r>
      <w:r>
        <w:rPr>
          <w:spacing w:val="-2"/>
        </w:rPr>
        <w:t xml:space="preserve"> </w:t>
      </w:r>
      <w:r>
        <w:t>and</w:t>
      </w:r>
      <w:r>
        <w:rPr>
          <w:spacing w:val="-2"/>
        </w:rPr>
        <w:t xml:space="preserve"> </w:t>
      </w:r>
      <w:r>
        <w:t>energy.</w:t>
      </w:r>
      <w:r>
        <w:rPr>
          <w:spacing w:val="-3"/>
        </w:rPr>
        <w:t xml:space="preserve"> </w:t>
      </w:r>
      <w:r>
        <w:t>The</w:t>
      </w:r>
      <w:r>
        <w:rPr>
          <w:spacing w:val="-2"/>
        </w:rPr>
        <w:t xml:space="preserve"> </w:t>
      </w:r>
      <w:r>
        <w:t>UAT</w:t>
      </w:r>
      <w:r>
        <w:rPr>
          <w:spacing w:val="-2"/>
        </w:rPr>
        <w:t xml:space="preserve"> </w:t>
      </w:r>
      <w:r>
        <w:t>is</w:t>
      </w:r>
      <w:r>
        <w:rPr>
          <w:spacing w:val="-2"/>
        </w:rPr>
        <w:t xml:space="preserve"> </w:t>
      </w:r>
      <w:r>
        <w:t>provided</w:t>
      </w:r>
      <w:r>
        <w:rPr>
          <w:spacing w:val="-2"/>
        </w:rPr>
        <w:t xml:space="preserve"> </w:t>
      </w:r>
      <w:r>
        <w:t>by</w:t>
      </w:r>
      <w:r>
        <w:rPr>
          <w:spacing w:val="-3"/>
        </w:rPr>
        <w:t xml:space="preserve"> </w:t>
      </w:r>
      <w:r>
        <w:t>all</w:t>
      </w:r>
      <w:r>
        <w:rPr>
          <w:spacing w:val="-2"/>
        </w:rPr>
        <w:t xml:space="preserve"> </w:t>
      </w:r>
      <w:r>
        <w:t>four of</w:t>
      </w:r>
      <w:r>
        <w:rPr>
          <w:spacing w:val="-2"/>
        </w:rPr>
        <w:t xml:space="preserve"> </w:t>
      </w:r>
      <w:r>
        <w:t>California’s</w:t>
      </w:r>
      <w:r>
        <w:rPr>
          <w:spacing w:val="-2"/>
        </w:rPr>
        <w:t xml:space="preserve"> </w:t>
      </w:r>
      <w:r>
        <w:t>large</w:t>
      </w:r>
      <w:r>
        <w:rPr>
          <w:spacing w:val="-2"/>
        </w:rPr>
        <w:t xml:space="preserve"> </w:t>
      </w:r>
      <w:r>
        <w:t>IOUs.</w:t>
      </w:r>
      <w:r>
        <w:rPr>
          <w:spacing w:val="-2"/>
        </w:rPr>
        <w:t xml:space="preserve"> </w:t>
      </w:r>
      <w:r>
        <w:t>While</w:t>
      </w:r>
      <w:r>
        <w:rPr>
          <w:spacing w:val="-2"/>
        </w:rPr>
        <w:t xml:space="preserve"> </w:t>
      </w:r>
      <w:r>
        <w:t>each</w:t>
      </w:r>
      <w:r>
        <w:rPr>
          <w:spacing w:val="-3"/>
        </w:rPr>
        <w:t xml:space="preserve"> </w:t>
      </w:r>
      <w:r>
        <w:t>utility</w:t>
      </w:r>
      <w:r>
        <w:rPr>
          <w:spacing w:val="-2"/>
        </w:rPr>
        <w:t xml:space="preserve"> </w:t>
      </w:r>
      <w:r>
        <w:t>has</w:t>
      </w:r>
      <w:r>
        <w:rPr>
          <w:spacing w:val="-2"/>
        </w:rPr>
        <w:t xml:space="preserve"> </w:t>
      </w:r>
      <w:r>
        <w:t>its</w:t>
      </w:r>
      <w:r>
        <w:rPr>
          <w:spacing w:val="-2"/>
        </w:rPr>
        <w:t xml:space="preserve"> </w:t>
      </w:r>
      <w:r>
        <w:t>own</w:t>
      </w:r>
      <w:r>
        <w:rPr>
          <w:spacing w:val="-2"/>
        </w:rPr>
        <w:t xml:space="preserve"> </w:t>
      </w:r>
      <w:r>
        <w:t>branding</w:t>
      </w:r>
      <w:r>
        <w:rPr>
          <w:spacing w:val="-2"/>
        </w:rPr>
        <w:t xml:space="preserve"> </w:t>
      </w:r>
      <w:r>
        <w:t>and</w:t>
      </w:r>
      <w:r>
        <w:rPr>
          <w:spacing w:val="-2"/>
        </w:rPr>
        <w:t xml:space="preserve"> </w:t>
      </w:r>
      <w:r>
        <w:t>some</w:t>
      </w:r>
      <w:r>
        <w:rPr>
          <w:spacing w:val="-2"/>
        </w:rPr>
        <w:t xml:space="preserve"> </w:t>
      </w:r>
      <w:r>
        <w:t>utilities</w:t>
      </w:r>
      <w:r>
        <w:rPr>
          <w:spacing w:val="-2"/>
        </w:rPr>
        <w:t xml:space="preserve"> </w:t>
      </w:r>
      <w:r>
        <w:t>require customers to log in and others do not, their features and functionality are similar. All four</w:t>
      </w:r>
    </w:p>
    <w:p w:rsidR="00C31389" w:rsidRDefault="00C31389" w14:paraId="37A7847C" w14:textId="77777777">
      <w:pPr>
        <w:pStyle w:val="BodyText"/>
        <w:rPr>
          <w:sz w:val="20"/>
        </w:rPr>
      </w:pPr>
    </w:p>
    <w:p w:rsidR="00C31389" w:rsidRDefault="00C31389" w14:paraId="3092698E" w14:textId="77777777">
      <w:pPr>
        <w:pStyle w:val="BodyText"/>
        <w:rPr>
          <w:sz w:val="20"/>
        </w:rPr>
      </w:pPr>
    </w:p>
    <w:p w:rsidR="00C31389" w:rsidRDefault="00561FBD" w14:paraId="7BE844A0" w14:textId="77777777">
      <w:pPr>
        <w:pStyle w:val="BodyText"/>
        <w:spacing w:before="4"/>
        <w:rPr>
          <w:sz w:val="16"/>
        </w:rPr>
      </w:pPr>
      <w:r>
        <w:rPr>
          <w:noProof/>
        </w:rPr>
        <mc:AlternateContent>
          <mc:Choice Requires="wps">
            <w:drawing>
              <wp:anchor distT="0" distB="0" distL="0" distR="0" simplePos="0" relativeHeight="487716864" behindDoc="1" locked="0" layoutInCell="1" allowOverlap="1" wp14:editId="18F55849" wp14:anchorId="393DF539">
                <wp:simplePos x="0" y="0"/>
                <wp:positionH relativeFrom="page">
                  <wp:posOffset>914400</wp:posOffset>
                </wp:positionH>
                <wp:positionV relativeFrom="paragraph">
                  <wp:posOffset>134939</wp:posOffset>
                </wp:positionV>
                <wp:extent cx="1828800" cy="6985"/>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08" style="position:absolute;margin-left:1in;margin-top:10.65pt;width:2in;height:.55pt;z-index:-1559961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" w14:anchorId="7CAD33A0">
                <v:path arrowok="t"/>
                <w10:wrap type="topAndBottom" anchorx="page"/>
              </v:shape>
            </w:pict>
          </mc:Fallback>
        </mc:AlternateContent>
      </w:r>
    </w:p>
    <w:p w:rsidR="00C31389" w:rsidRDefault="00561FBD" w14:paraId="189D9860" w14:textId="77777777">
      <w:pPr>
        <w:spacing w:before="88"/>
        <w:ind w:left="480" w:right="418" w:hanging="1"/>
        <w:rPr>
          <w:sz w:val="18"/>
        </w:rPr>
      </w:pPr>
      <w:bookmarkStart w:name="_bookmark315" w:id="418"/>
      <w:bookmarkEnd w:id="418"/>
      <w:r>
        <w:rPr>
          <w:position w:val="6"/>
          <w:sz w:val="12"/>
        </w:rPr>
        <w:t>98</w:t>
      </w:r>
      <w:r>
        <w:rPr>
          <w:spacing w:val="14"/>
          <w:position w:val="6"/>
          <w:sz w:val="12"/>
        </w:rPr>
        <w:t xml:space="preserve"> </w:t>
      </w:r>
      <w:r>
        <w:rPr>
          <w:sz w:val="18"/>
        </w:rPr>
        <w:t>California</w:t>
      </w:r>
      <w:r>
        <w:rPr>
          <w:spacing w:val="-4"/>
          <w:sz w:val="18"/>
        </w:rPr>
        <w:t xml:space="preserve"> </w:t>
      </w:r>
      <w:r>
        <w:rPr>
          <w:sz w:val="18"/>
        </w:rPr>
        <w:t>Public</w:t>
      </w:r>
      <w:r>
        <w:rPr>
          <w:spacing w:val="-3"/>
          <w:sz w:val="18"/>
        </w:rPr>
        <w:t xml:space="preserve"> </w:t>
      </w:r>
      <w:r>
        <w:rPr>
          <w:sz w:val="18"/>
        </w:rPr>
        <w:t>Utilities</w:t>
      </w:r>
      <w:r>
        <w:rPr>
          <w:spacing w:val="-3"/>
          <w:sz w:val="18"/>
        </w:rPr>
        <w:t xml:space="preserve"> </w:t>
      </w:r>
      <w:r>
        <w:rPr>
          <w:sz w:val="18"/>
        </w:rPr>
        <w:t>Commission</w:t>
      </w:r>
      <w:r>
        <w:rPr>
          <w:spacing w:val="-4"/>
          <w:sz w:val="18"/>
        </w:rPr>
        <w:t xml:space="preserve"> </w:t>
      </w:r>
      <w:r>
        <w:rPr>
          <w:sz w:val="18"/>
        </w:rPr>
        <w:t>(CPUC).</w:t>
      </w:r>
      <w:r>
        <w:rPr>
          <w:spacing w:val="-3"/>
          <w:sz w:val="18"/>
        </w:rPr>
        <w:t xml:space="preserve"> </w:t>
      </w:r>
      <w:r>
        <w:rPr>
          <w:sz w:val="18"/>
        </w:rPr>
        <w:t>Resolution</w:t>
      </w:r>
      <w:r>
        <w:rPr>
          <w:spacing w:val="-2"/>
          <w:sz w:val="18"/>
        </w:rPr>
        <w:t xml:space="preserve"> </w:t>
      </w:r>
      <w:r>
        <w:rPr>
          <w:sz w:val="18"/>
        </w:rPr>
        <w:t>E-4952,</w:t>
      </w:r>
      <w:r>
        <w:rPr>
          <w:spacing w:val="-3"/>
          <w:sz w:val="18"/>
        </w:rPr>
        <w:t xml:space="preserve"> </w:t>
      </w:r>
      <w:r>
        <w:rPr>
          <w:sz w:val="18"/>
        </w:rPr>
        <w:t>October</w:t>
      </w:r>
      <w:r>
        <w:rPr>
          <w:spacing w:val="-3"/>
          <w:sz w:val="18"/>
        </w:rPr>
        <w:t xml:space="preserve"> </w:t>
      </w:r>
      <w:r>
        <w:rPr>
          <w:sz w:val="18"/>
        </w:rPr>
        <w:t>11,</w:t>
      </w:r>
      <w:r>
        <w:rPr>
          <w:spacing w:val="-3"/>
          <w:sz w:val="18"/>
        </w:rPr>
        <w:t xml:space="preserve"> </w:t>
      </w:r>
      <w:r>
        <w:rPr>
          <w:sz w:val="18"/>
        </w:rPr>
        <w:t>2018,</w:t>
      </w:r>
      <w:r>
        <w:rPr>
          <w:spacing w:val="-3"/>
          <w:sz w:val="18"/>
        </w:rPr>
        <w:t xml:space="preserve"> </w:t>
      </w:r>
      <w:r>
        <w:rPr>
          <w:sz w:val="18"/>
        </w:rPr>
        <w:t>effective</w:t>
      </w:r>
      <w:r>
        <w:rPr>
          <w:spacing w:val="-4"/>
          <w:sz w:val="18"/>
        </w:rPr>
        <w:t xml:space="preserve"> </w:t>
      </w:r>
      <w:r>
        <w:rPr>
          <w:sz w:val="18"/>
        </w:rPr>
        <w:t xml:space="preserve">2020. </w:t>
      </w:r>
      <w:r>
        <w:rPr>
          <w:spacing w:val="-2"/>
          <w:sz w:val="18"/>
        </w:rPr>
        <w:t>https://docs.cpuc.ca.gov/publisheddocs/published/g000/m232/k459/232459122.pdf</w:t>
      </w:r>
    </w:p>
    <w:p w:rsidR="00C31389" w:rsidRDefault="00561FBD" w14:paraId="70EB643A" w14:textId="77777777">
      <w:pPr>
        <w:spacing w:before="37" w:line="285" w:lineRule="auto"/>
        <w:ind w:left="580" w:right="739" w:hanging="101"/>
        <w:rPr>
          <w:sz w:val="18"/>
        </w:rPr>
      </w:pPr>
      <w:bookmarkStart w:name="_bookmark316" w:id="419"/>
      <w:bookmarkEnd w:id="419"/>
      <w:r>
        <w:rPr>
          <w:position w:val="6"/>
          <w:sz w:val="12"/>
        </w:rPr>
        <w:t>99</w:t>
      </w:r>
      <w:r>
        <w:rPr>
          <w:spacing w:val="27"/>
          <w:position w:val="6"/>
          <w:sz w:val="12"/>
        </w:rPr>
        <w:t xml:space="preserve"> </w:t>
      </w:r>
      <w:r>
        <w:rPr>
          <w:sz w:val="18"/>
        </w:rPr>
        <w:t>PG&amp;E: “Residential Energy Advisor” program savings and costs, 2015-202</w:t>
      </w:r>
      <w:r>
        <w:rPr>
          <w:sz w:val="18"/>
        </w:rPr>
        <w:t>0 (Program ID: PGE21001). SCE:</w:t>
      </w:r>
      <w:r>
        <w:rPr>
          <w:spacing w:val="-4"/>
          <w:sz w:val="18"/>
        </w:rPr>
        <w:t xml:space="preserve"> </w:t>
      </w:r>
      <w:r>
        <w:rPr>
          <w:sz w:val="18"/>
        </w:rPr>
        <w:t>“Residential</w:t>
      </w:r>
      <w:r>
        <w:rPr>
          <w:spacing w:val="-4"/>
          <w:sz w:val="18"/>
        </w:rPr>
        <w:t xml:space="preserve"> </w:t>
      </w:r>
      <w:r>
        <w:rPr>
          <w:sz w:val="18"/>
        </w:rPr>
        <w:t>Energy</w:t>
      </w:r>
      <w:r>
        <w:rPr>
          <w:spacing w:val="-4"/>
          <w:sz w:val="18"/>
        </w:rPr>
        <w:t xml:space="preserve"> </w:t>
      </w:r>
      <w:r>
        <w:rPr>
          <w:sz w:val="18"/>
        </w:rPr>
        <w:t>Advisor”</w:t>
      </w:r>
      <w:r>
        <w:rPr>
          <w:spacing w:val="-4"/>
          <w:sz w:val="18"/>
        </w:rPr>
        <w:t xml:space="preserve"> </w:t>
      </w:r>
      <w:r>
        <w:rPr>
          <w:sz w:val="18"/>
        </w:rPr>
        <w:t>program</w:t>
      </w:r>
      <w:r>
        <w:rPr>
          <w:spacing w:val="-3"/>
          <w:sz w:val="18"/>
        </w:rPr>
        <w:t xml:space="preserve"> </w:t>
      </w:r>
      <w:r>
        <w:rPr>
          <w:sz w:val="18"/>
        </w:rPr>
        <w:t>savings</w:t>
      </w:r>
      <w:r>
        <w:rPr>
          <w:spacing w:val="-4"/>
          <w:sz w:val="18"/>
        </w:rPr>
        <w:t xml:space="preserve"> </w:t>
      </w:r>
      <w:r>
        <w:rPr>
          <w:sz w:val="18"/>
        </w:rPr>
        <w:t>and</w:t>
      </w:r>
      <w:r>
        <w:rPr>
          <w:spacing w:val="-5"/>
          <w:sz w:val="18"/>
        </w:rPr>
        <w:t xml:space="preserve"> </w:t>
      </w:r>
      <w:r>
        <w:rPr>
          <w:sz w:val="18"/>
        </w:rPr>
        <w:t>costs,</w:t>
      </w:r>
      <w:r>
        <w:rPr>
          <w:spacing w:val="-4"/>
          <w:sz w:val="18"/>
        </w:rPr>
        <w:t xml:space="preserve"> </w:t>
      </w:r>
      <w:r>
        <w:rPr>
          <w:sz w:val="18"/>
        </w:rPr>
        <w:t>2013-2020</w:t>
      </w:r>
      <w:r>
        <w:rPr>
          <w:spacing w:val="-3"/>
          <w:sz w:val="18"/>
        </w:rPr>
        <w:t xml:space="preserve"> </w:t>
      </w:r>
      <w:r>
        <w:rPr>
          <w:sz w:val="18"/>
        </w:rPr>
        <w:t>(Program</w:t>
      </w:r>
      <w:r>
        <w:rPr>
          <w:spacing w:val="-4"/>
          <w:sz w:val="18"/>
        </w:rPr>
        <w:t xml:space="preserve"> </w:t>
      </w:r>
      <w:r>
        <w:rPr>
          <w:sz w:val="18"/>
        </w:rPr>
        <w:t>ID:</w:t>
      </w:r>
      <w:r>
        <w:rPr>
          <w:spacing w:val="-4"/>
          <w:sz w:val="18"/>
        </w:rPr>
        <w:t xml:space="preserve"> </w:t>
      </w:r>
      <w:r>
        <w:rPr>
          <w:sz w:val="18"/>
        </w:rPr>
        <w:t>SCE-13-SW-001A). SCG: “RES-Behavioral Program” savings and costs, 2018-2019 (Program ID: SCG3824).</w:t>
      </w:r>
    </w:p>
    <w:p w:rsidR="00C31389" w:rsidRDefault="00561FBD" w14:paraId="1170FE9B" w14:textId="77777777">
      <w:pPr>
        <w:spacing w:before="2"/>
        <w:ind w:left="581"/>
        <w:rPr>
          <w:sz w:val="18"/>
        </w:rPr>
      </w:pPr>
      <w:r>
        <w:rPr>
          <w:sz w:val="18"/>
        </w:rPr>
        <w:t>SDG&amp;E:</w:t>
      </w:r>
      <w:r>
        <w:rPr>
          <w:spacing w:val="-6"/>
          <w:sz w:val="18"/>
        </w:rPr>
        <w:t xml:space="preserve"> </w:t>
      </w:r>
      <w:r>
        <w:rPr>
          <w:sz w:val="18"/>
        </w:rPr>
        <w:t>“Local-IDSM-ME&amp;O-Behavioral”</w:t>
      </w:r>
      <w:r>
        <w:rPr>
          <w:spacing w:val="-3"/>
          <w:sz w:val="18"/>
        </w:rPr>
        <w:t xml:space="preserve"> </w:t>
      </w:r>
      <w:r>
        <w:rPr>
          <w:sz w:val="18"/>
        </w:rPr>
        <w:t>savings</w:t>
      </w:r>
      <w:r>
        <w:rPr>
          <w:spacing w:val="-4"/>
          <w:sz w:val="18"/>
        </w:rPr>
        <w:t xml:space="preserve"> </w:t>
      </w:r>
      <w:r>
        <w:rPr>
          <w:sz w:val="18"/>
        </w:rPr>
        <w:t>and</w:t>
      </w:r>
      <w:r>
        <w:rPr>
          <w:spacing w:val="-5"/>
          <w:sz w:val="18"/>
        </w:rPr>
        <w:t xml:space="preserve"> </w:t>
      </w:r>
      <w:r>
        <w:rPr>
          <w:sz w:val="18"/>
        </w:rPr>
        <w:t>costs,</w:t>
      </w:r>
      <w:r>
        <w:rPr>
          <w:spacing w:val="-4"/>
          <w:sz w:val="18"/>
        </w:rPr>
        <w:t xml:space="preserve"> </w:t>
      </w:r>
      <w:r>
        <w:rPr>
          <w:sz w:val="18"/>
        </w:rPr>
        <w:t>2016-2020</w:t>
      </w:r>
      <w:r>
        <w:rPr>
          <w:spacing w:val="-3"/>
          <w:sz w:val="18"/>
        </w:rPr>
        <w:t xml:space="preserve"> </w:t>
      </w:r>
      <w:r>
        <w:rPr>
          <w:sz w:val="18"/>
        </w:rPr>
        <w:t>(Program</w:t>
      </w:r>
      <w:r>
        <w:rPr>
          <w:spacing w:val="-4"/>
          <w:sz w:val="18"/>
        </w:rPr>
        <w:t xml:space="preserve"> </w:t>
      </w:r>
      <w:r>
        <w:rPr>
          <w:sz w:val="18"/>
        </w:rPr>
        <w:t>ID:</w:t>
      </w:r>
      <w:r>
        <w:rPr>
          <w:spacing w:val="-3"/>
          <w:sz w:val="18"/>
        </w:rPr>
        <w:t xml:space="preserve"> </w:t>
      </w:r>
      <w:r>
        <w:rPr>
          <w:spacing w:val="-2"/>
          <w:sz w:val="18"/>
        </w:rPr>
        <w:t>SCGE3261).</w:t>
      </w:r>
    </w:p>
    <w:p w:rsidR="00C31389" w:rsidRDefault="00C31389" w14:paraId="36E44BC3" w14:textId="77777777">
      <w:pPr>
        <w:rPr>
          <w:sz w:val="18"/>
        </w:rPr>
        <w:sectPr w:rsidR="00C31389">
          <w:pgSz w:w="11910" w:h="16840"/>
          <w:pgMar w:top="1660" w:right="1020" w:bottom="1120" w:left="960" w:header="397" w:footer="938" w:gutter="0"/>
          <w:cols w:space="720"/>
        </w:sectPr>
      </w:pPr>
    </w:p>
    <w:p w:rsidR="00C31389" w:rsidRDefault="00C31389" w14:paraId="6F3B4E4E" w14:textId="77777777">
      <w:pPr>
        <w:pStyle w:val="BodyText"/>
        <w:spacing w:before="11"/>
        <w:rPr>
          <w:sz w:val="13"/>
        </w:rPr>
      </w:pPr>
    </w:p>
    <w:p w:rsidR="00C31389" w:rsidRDefault="00561FBD" w14:paraId="5137F7B4" w14:textId="77777777">
      <w:pPr>
        <w:pStyle w:val="BodyText"/>
        <w:spacing w:before="92"/>
        <w:ind w:left="480" w:right="418"/>
      </w:pPr>
      <w:r>
        <w:t>tools</w:t>
      </w:r>
      <w:r>
        <w:rPr>
          <w:spacing w:val="-3"/>
        </w:rPr>
        <w:t xml:space="preserve"> </w:t>
      </w:r>
      <w:r>
        <w:t>enable</w:t>
      </w:r>
      <w:r>
        <w:rPr>
          <w:spacing w:val="-4"/>
        </w:rPr>
        <w:t xml:space="preserve"> </w:t>
      </w:r>
      <w:r>
        <w:t>customers</w:t>
      </w:r>
      <w:r>
        <w:rPr>
          <w:spacing w:val="-3"/>
        </w:rPr>
        <w:t xml:space="preserve"> </w:t>
      </w:r>
      <w:r>
        <w:t>to</w:t>
      </w:r>
      <w:r>
        <w:rPr>
          <w:spacing w:val="-3"/>
        </w:rPr>
        <w:t xml:space="preserve"> </w:t>
      </w:r>
      <w:r>
        <w:t>develop</w:t>
      </w:r>
      <w:r>
        <w:rPr>
          <w:spacing w:val="-3"/>
        </w:rPr>
        <w:t xml:space="preserve"> </w:t>
      </w:r>
      <w:r>
        <w:t>plans</w:t>
      </w:r>
      <w:r>
        <w:rPr>
          <w:spacing w:val="-3"/>
        </w:rPr>
        <w:t xml:space="preserve"> </w:t>
      </w:r>
      <w:r>
        <w:t>to</w:t>
      </w:r>
      <w:r>
        <w:rPr>
          <w:spacing w:val="-3"/>
        </w:rPr>
        <w:t xml:space="preserve"> </w:t>
      </w:r>
      <w:r>
        <w:t>save</w:t>
      </w:r>
      <w:r>
        <w:rPr>
          <w:spacing w:val="-4"/>
        </w:rPr>
        <w:t xml:space="preserve"> </w:t>
      </w:r>
      <w:r>
        <w:t>energy</w:t>
      </w:r>
      <w:r>
        <w:rPr>
          <w:spacing w:val="-3"/>
        </w:rPr>
        <w:t xml:space="preserve"> </w:t>
      </w:r>
      <w:r>
        <w:t>based</w:t>
      </w:r>
      <w:r>
        <w:rPr>
          <w:spacing w:val="-3"/>
        </w:rPr>
        <w:t xml:space="preserve"> </w:t>
      </w:r>
      <w:r>
        <w:t>on</w:t>
      </w:r>
      <w:r>
        <w:rPr>
          <w:spacing w:val="-3"/>
        </w:rPr>
        <w:t xml:space="preserve"> </w:t>
      </w:r>
      <w:r>
        <w:t>estimates</w:t>
      </w:r>
      <w:r>
        <w:rPr>
          <w:spacing w:val="-3"/>
        </w:rPr>
        <w:t xml:space="preserve"> </w:t>
      </w:r>
      <w:r>
        <w:t>of</w:t>
      </w:r>
      <w:r>
        <w:rPr>
          <w:spacing w:val="-3"/>
        </w:rPr>
        <w:t xml:space="preserve"> </w:t>
      </w:r>
      <w:r>
        <w:t>the</w:t>
      </w:r>
      <w:r>
        <w:rPr>
          <w:spacing w:val="-3"/>
        </w:rPr>
        <w:t xml:space="preserve"> </w:t>
      </w:r>
      <w:r>
        <w:t>annual savings they are likely to see if the enact the recommended energy-saving advice.</w:t>
      </w:r>
    </w:p>
    <w:p w:rsidR="00C31389" w:rsidRDefault="00C31389" w14:paraId="6B26877C" w14:textId="77777777">
      <w:pPr>
        <w:pStyle w:val="BodyText"/>
        <w:spacing w:before="9"/>
        <w:rPr>
          <w:sz w:val="20"/>
        </w:rPr>
      </w:pPr>
    </w:p>
    <w:p w:rsidR="00C31389" w:rsidRDefault="00561FBD" w14:paraId="40288ABF" w14:textId="77777777">
      <w:pPr>
        <w:pStyle w:val="BodyText"/>
        <w:spacing w:before="1"/>
        <w:ind w:left="480" w:right="418"/>
        <w:rPr>
          <w:sz w:val="14"/>
        </w:rPr>
      </w:pPr>
      <w:r>
        <w:t>There</w:t>
      </w:r>
      <w:r>
        <w:rPr>
          <w:spacing w:val="-2"/>
        </w:rPr>
        <w:t xml:space="preserve"> </w:t>
      </w:r>
      <w:r>
        <w:t>is</w:t>
      </w:r>
      <w:r>
        <w:rPr>
          <w:spacing w:val="-2"/>
        </w:rPr>
        <w:t xml:space="preserve"> </w:t>
      </w:r>
      <w:r>
        <w:t>some</w:t>
      </w:r>
      <w:r>
        <w:rPr>
          <w:spacing w:val="-2"/>
        </w:rPr>
        <w:t xml:space="preserve"> </w:t>
      </w:r>
      <w:r>
        <w:t>danger</w:t>
      </w:r>
      <w:r>
        <w:rPr>
          <w:spacing w:val="-2"/>
        </w:rPr>
        <w:t xml:space="preserve"> </w:t>
      </w:r>
      <w:r>
        <w:t>of</w:t>
      </w:r>
      <w:r>
        <w:rPr>
          <w:spacing w:val="-2"/>
        </w:rPr>
        <w:t xml:space="preserve"> </w:t>
      </w:r>
      <w:r>
        <w:t>double</w:t>
      </w:r>
      <w:r>
        <w:rPr>
          <w:spacing w:val="-2"/>
        </w:rPr>
        <w:t xml:space="preserve"> </w:t>
      </w:r>
      <w:r>
        <w:t>counting</w:t>
      </w:r>
      <w:r>
        <w:rPr>
          <w:spacing w:val="-2"/>
        </w:rPr>
        <w:t xml:space="preserve"> </w:t>
      </w:r>
      <w:r>
        <w:t>UAT</w:t>
      </w:r>
      <w:r>
        <w:rPr>
          <w:spacing w:val="-2"/>
        </w:rPr>
        <w:t xml:space="preserve"> </w:t>
      </w:r>
      <w:r>
        <w:t>savings</w:t>
      </w:r>
      <w:r>
        <w:rPr>
          <w:spacing w:val="-2"/>
        </w:rPr>
        <w:t xml:space="preserve"> </w:t>
      </w:r>
      <w:r>
        <w:t>with</w:t>
      </w:r>
      <w:r>
        <w:rPr>
          <w:spacing w:val="-3"/>
        </w:rPr>
        <w:t xml:space="preserve"> </w:t>
      </w:r>
      <w:r>
        <w:t>other</w:t>
      </w:r>
      <w:r>
        <w:rPr>
          <w:spacing w:val="-2"/>
        </w:rPr>
        <w:t xml:space="preserve"> </w:t>
      </w:r>
      <w:r>
        <w:t>program</w:t>
      </w:r>
      <w:r>
        <w:rPr>
          <w:spacing w:val="-3"/>
        </w:rPr>
        <w:t xml:space="preserve"> </w:t>
      </w:r>
      <w:r>
        <w:t>savings</w:t>
      </w:r>
      <w:r>
        <w:rPr>
          <w:spacing w:val="-3"/>
        </w:rPr>
        <w:t xml:space="preserve"> </w:t>
      </w:r>
      <w:r>
        <w:t>such</w:t>
      </w:r>
      <w:r>
        <w:rPr>
          <w:spacing w:val="-2"/>
        </w:rPr>
        <w:t xml:space="preserve"> </w:t>
      </w:r>
      <w:r>
        <w:t>as HERs.</w:t>
      </w:r>
      <w:r>
        <w:rPr>
          <w:spacing w:val="-36"/>
        </w:rPr>
        <w:t xml:space="preserve"> </w:t>
      </w:r>
      <w:hyperlink w:history="1" w:anchor="_bookmark319">
        <w:r>
          <w:rPr>
            <w:position w:val="7"/>
            <w:sz w:val="14"/>
          </w:rPr>
          <w:t>100</w:t>
        </w:r>
      </w:hyperlink>
      <w:r>
        <w:rPr>
          <w:spacing w:val="32"/>
          <w:position w:val="7"/>
          <w:sz w:val="14"/>
        </w:rPr>
        <w:t xml:space="preserve"> </w:t>
      </w:r>
      <w:r>
        <w:t>The DNV GL study used to characterize savings specifically addresses this potential</w:t>
      </w:r>
      <w:r>
        <w:rPr>
          <w:spacing w:val="-4"/>
        </w:rPr>
        <w:t xml:space="preserve"> </w:t>
      </w:r>
      <w:r>
        <w:t>and</w:t>
      </w:r>
      <w:r>
        <w:rPr>
          <w:spacing w:val="-3"/>
        </w:rPr>
        <w:t xml:space="preserve"> </w:t>
      </w:r>
      <w:r>
        <w:t>“find[s]</w:t>
      </w:r>
      <w:r>
        <w:rPr>
          <w:spacing w:val="-3"/>
        </w:rPr>
        <w:t xml:space="preserve"> </w:t>
      </w:r>
      <w:r>
        <w:t>no</w:t>
      </w:r>
      <w:r>
        <w:rPr>
          <w:spacing w:val="-4"/>
        </w:rPr>
        <w:t xml:space="preserve"> </w:t>
      </w:r>
      <w:r>
        <w:t>evidence</w:t>
      </w:r>
      <w:r>
        <w:rPr>
          <w:spacing w:val="-3"/>
        </w:rPr>
        <w:t xml:space="preserve"> </w:t>
      </w:r>
      <w:r>
        <w:t>of</w:t>
      </w:r>
      <w:r>
        <w:rPr>
          <w:spacing w:val="-4"/>
        </w:rPr>
        <w:t xml:space="preserve"> </w:t>
      </w:r>
      <w:r>
        <w:t>joint</w:t>
      </w:r>
      <w:r>
        <w:rPr>
          <w:spacing w:val="-3"/>
        </w:rPr>
        <w:t xml:space="preserve"> </w:t>
      </w:r>
      <w:r>
        <w:t>savings</w:t>
      </w:r>
      <w:r>
        <w:rPr>
          <w:spacing w:val="-4"/>
        </w:rPr>
        <w:t xml:space="preserve"> </w:t>
      </w:r>
      <w:r>
        <w:t>between</w:t>
      </w:r>
      <w:r>
        <w:rPr>
          <w:spacing w:val="-3"/>
        </w:rPr>
        <w:t xml:space="preserve"> </w:t>
      </w:r>
      <w:r>
        <w:t>the</w:t>
      </w:r>
      <w:r>
        <w:rPr>
          <w:spacing w:val="-3"/>
        </w:rPr>
        <w:t xml:space="preserve"> </w:t>
      </w:r>
      <w:r>
        <w:t>UAT</w:t>
      </w:r>
      <w:r>
        <w:rPr>
          <w:spacing w:val="-3"/>
        </w:rPr>
        <w:t xml:space="preserve"> </w:t>
      </w:r>
      <w:r>
        <w:t>and</w:t>
      </w:r>
      <w:r>
        <w:rPr>
          <w:spacing w:val="-3"/>
        </w:rPr>
        <w:t xml:space="preserve"> </w:t>
      </w:r>
      <w:r>
        <w:t>HER</w:t>
      </w:r>
      <w:r>
        <w:rPr>
          <w:spacing w:val="-4"/>
        </w:rPr>
        <w:t xml:space="preserve"> </w:t>
      </w:r>
      <w:r>
        <w:t>programs.”</w:t>
      </w:r>
      <w:r>
        <w:rPr>
          <w:spacing w:val="-40"/>
        </w:rPr>
        <w:t xml:space="preserve"> </w:t>
      </w:r>
      <w:hyperlink w:history="1" w:anchor="_bookmark320">
        <w:r>
          <w:rPr>
            <w:position w:val="7"/>
            <w:sz w:val="14"/>
          </w:rPr>
          <w:t>101</w:t>
        </w:r>
      </w:hyperlink>
    </w:p>
    <w:p w:rsidR="00C31389" w:rsidRDefault="00C31389" w14:paraId="6E5F8E09" w14:textId="77777777">
      <w:pPr>
        <w:pStyle w:val="BodyText"/>
        <w:spacing w:before="10"/>
        <w:rPr>
          <w:sz w:val="20"/>
        </w:rPr>
      </w:pPr>
    </w:p>
    <w:p w:rsidR="00C31389" w:rsidRDefault="00561FBD" w14:paraId="62D8E880" w14:textId="77777777">
      <w:pPr>
        <w:pStyle w:val="BodyText"/>
        <w:ind w:left="480" w:right="615"/>
      </w:pPr>
      <w:r>
        <w:t>Estimated</w:t>
      </w:r>
      <w:r>
        <w:rPr>
          <w:spacing w:val="-3"/>
        </w:rPr>
        <w:t xml:space="preserve"> </w:t>
      </w:r>
      <w:r>
        <w:t>electric</w:t>
      </w:r>
      <w:r>
        <w:rPr>
          <w:spacing w:val="-3"/>
        </w:rPr>
        <w:t xml:space="preserve"> </w:t>
      </w:r>
      <w:r>
        <w:t>savings</w:t>
      </w:r>
      <w:r>
        <w:rPr>
          <w:spacing w:val="-3"/>
        </w:rPr>
        <w:t xml:space="preserve"> </w:t>
      </w:r>
      <w:r>
        <w:t>range</w:t>
      </w:r>
      <w:r>
        <w:rPr>
          <w:spacing w:val="-3"/>
        </w:rPr>
        <w:t xml:space="preserve"> </w:t>
      </w:r>
      <w:r>
        <w:t>from</w:t>
      </w:r>
      <w:r>
        <w:rPr>
          <w:spacing w:val="-4"/>
        </w:rPr>
        <w:t xml:space="preserve"> </w:t>
      </w:r>
      <w:r>
        <w:t>1.2%</w:t>
      </w:r>
      <w:r>
        <w:rPr>
          <w:spacing w:val="-3"/>
        </w:rPr>
        <w:t xml:space="preserve"> </w:t>
      </w:r>
      <w:r>
        <w:t>to</w:t>
      </w:r>
      <w:r>
        <w:rPr>
          <w:spacing w:val="-3"/>
        </w:rPr>
        <w:t xml:space="preserve"> </w:t>
      </w:r>
      <w:r>
        <w:t>1.8%,</w:t>
      </w:r>
      <w:r>
        <w:rPr>
          <w:spacing w:val="-3"/>
        </w:rPr>
        <w:t xml:space="preserve"> </w:t>
      </w:r>
      <w:r>
        <w:t>while</w:t>
      </w:r>
      <w:r>
        <w:rPr>
          <w:spacing w:val="-3"/>
        </w:rPr>
        <w:t xml:space="preserve"> </w:t>
      </w:r>
      <w:r>
        <w:t>gas</w:t>
      </w:r>
      <w:r>
        <w:rPr>
          <w:spacing w:val="-3"/>
        </w:rPr>
        <w:t xml:space="preserve"> </w:t>
      </w:r>
      <w:r>
        <w:t>savings</w:t>
      </w:r>
      <w:r>
        <w:rPr>
          <w:spacing w:val="-3"/>
        </w:rPr>
        <w:t xml:space="preserve"> </w:t>
      </w:r>
      <w:r>
        <w:t>are</w:t>
      </w:r>
      <w:r>
        <w:rPr>
          <w:spacing w:val="-3"/>
        </w:rPr>
        <w:t xml:space="preserve"> </w:t>
      </w:r>
      <w:r>
        <w:t>1.5%-2.6%. Costs are set at $0.01-$0.02 per kWh and</w:t>
      </w:r>
      <w:r>
        <w:t xml:space="preserve"> $0.18-$0.38 per therm.</w:t>
      </w:r>
    </w:p>
    <w:p w:rsidR="00C31389" w:rsidRDefault="00C31389" w14:paraId="365C72CF" w14:textId="77777777">
      <w:pPr>
        <w:pStyle w:val="BodyText"/>
        <w:spacing w:before="11"/>
        <w:rPr>
          <w:sz w:val="20"/>
        </w:rPr>
      </w:pPr>
    </w:p>
    <w:p w:rsidR="00C31389" w:rsidRDefault="00561FBD" w14:paraId="13AD2FCA" w14:textId="77777777">
      <w:pPr>
        <w:pStyle w:val="Heading7"/>
        <w:ind w:left="398" w:right="338"/>
        <w:jc w:val="center"/>
      </w:pPr>
      <w:bookmarkStart w:name="_bookmark317" w:id="420"/>
      <w:bookmarkEnd w:id="420"/>
      <w:r>
        <w:t>Table</w:t>
      </w:r>
      <w:r>
        <w:rPr>
          <w:spacing w:val="-5"/>
        </w:rPr>
        <w:t xml:space="preserve"> </w:t>
      </w:r>
      <w:r>
        <w:t>D-3.</w:t>
      </w:r>
      <w:r>
        <w:rPr>
          <w:spacing w:val="-6"/>
        </w:rPr>
        <w:t xml:space="preserve"> </w:t>
      </w:r>
      <w:r>
        <w:t>UAT</w:t>
      </w:r>
      <w:r>
        <w:rPr>
          <w:spacing w:val="-4"/>
        </w:rPr>
        <w:t xml:space="preserve"> </w:t>
      </w:r>
      <w:r>
        <w:t>–</w:t>
      </w:r>
      <w:r>
        <w:rPr>
          <w:spacing w:val="-4"/>
        </w:rPr>
        <w:t xml:space="preserve"> </w:t>
      </w:r>
      <w:r>
        <w:t>Key</w:t>
      </w:r>
      <w:r>
        <w:rPr>
          <w:spacing w:val="-5"/>
        </w:rPr>
        <w:t xml:space="preserve"> </w:t>
      </w:r>
      <w:r>
        <w:rPr>
          <w:spacing w:val="-2"/>
        </w:rPr>
        <w:t>Assumptions</w:t>
      </w:r>
    </w:p>
    <w:p w:rsidR="00C31389" w:rsidRDefault="00C31389" w14:paraId="760F21E2" w14:textId="77777777">
      <w:pPr>
        <w:pStyle w:val="BodyText"/>
        <w:spacing w:before="6"/>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249"/>
        <w:gridCol w:w="1007"/>
        <w:gridCol w:w="1254"/>
        <w:gridCol w:w="1156"/>
        <w:gridCol w:w="1217"/>
        <w:gridCol w:w="1382"/>
        <w:gridCol w:w="906"/>
        <w:gridCol w:w="1198"/>
      </w:tblGrid>
      <w:tr w:rsidR="00C31389" w14:paraId="652F18AE" w14:textId="77777777">
        <w:trPr>
          <w:trHeight w:val="273"/>
        </w:trPr>
        <w:tc>
          <w:tcPr>
            <w:tcW w:w="1249" w:type="dxa"/>
            <w:shd w:val="clear" w:color="auto" w:fill="92D400"/>
          </w:tcPr>
          <w:p w:rsidR="00C31389" w:rsidRDefault="00C31389" w14:paraId="3D93E293" w14:textId="77777777">
            <w:pPr>
              <w:pStyle w:val="TableParagraph"/>
              <w:spacing w:before="0"/>
              <w:rPr>
                <w:rFonts w:ascii="Times New Roman"/>
                <w:sz w:val="20"/>
              </w:rPr>
            </w:pPr>
          </w:p>
        </w:tc>
        <w:tc>
          <w:tcPr>
            <w:tcW w:w="1007" w:type="dxa"/>
            <w:shd w:val="clear" w:color="auto" w:fill="92D400"/>
          </w:tcPr>
          <w:p w:rsidR="00C31389" w:rsidRDefault="00C31389" w14:paraId="6D67E476" w14:textId="77777777">
            <w:pPr>
              <w:pStyle w:val="TableParagraph"/>
              <w:spacing w:before="0"/>
              <w:rPr>
                <w:rFonts w:ascii="Times New Roman"/>
                <w:sz w:val="20"/>
              </w:rPr>
            </w:pPr>
          </w:p>
        </w:tc>
        <w:tc>
          <w:tcPr>
            <w:tcW w:w="1254" w:type="dxa"/>
            <w:vMerge w:val="restart"/>
            <w:shd w:val="clear" w:color="auto" w:fill="92D400"/>
          </w:tcPr>
          <w:p w:rsidR="00C31389" w:rsidRDefault="00561FBD" w14:paraId="45B47283" w14:textId="77777777">
            <w:pPr>
              <w:pStyle w:val="TableParagraph"/>
              <w:spacing w:before="155"/>
              <w:ind w:left="477"/>
              <w:rPr>
                <w:b/>
                <w:sz w:val="20"/>
              </w:rPr>
            </w:pPr>
            <w:r>
              <w:rPr>
                <w:b/>
                <w:spacing w:val="-5"/>
                <w:sz w:val="20"/>
              </w:rPr>
              <w:t>EUL</w:t>
            </w:r>
          </w:p>
          <w:p w:rsidR="00C31389" w:rsidRDefault="00561FBD" w14:paraId="3699D7F1" w14:textId="77777777">
            <w:pPr>
              <w:pStyle w:val="TableParagraph"/>
              <w:spacing w:before="1"/>
              <w:ind w:left="405"/>
              <w:rPr>
                <w:b/>
                <w:sz w:val="20"/>
              </w:rPr>
            </w:pPr>
            <w:r>
              <w:rPr>
                <w:b/>
                <w:spacing w:val="-2"/>
                <w:sz w:val="20"/>
              </w:rPr>
              <w:t>Years</w:t>
            </w:r>
          </w:p>
        </w:tc>
        <w:tc>
          <w:tcPr>
            <w:tcW w:w="2373" w:type="dxa"/>
            <w:gridSpan w:val="2"/>
            <w:shd w:val="clear" w:color="auto" w:fill="92D400"/>
          </w:tcPr>
          <w:p w:rsidR="00C31389" w:rsidRDefault="00561FBD" w14:paraId="46FE15E9" w14:textId="77777777">
            <w:pPr>
              <w:pStyle w:val="TableParagraph"/>
              <w:spacing w:line="213" w:lineRule="exact"/>
              <w:ind w:left="783" w:right="796"/>
              <w:jc w:val="center"/>
              <w:rPr>
                <w:b/>
                <w:sz w:val="20"/>
              </w:rPr>
            </w:pPr>
            <w:r>
              <w:rPr>
                <w:b/>
                <w:spacing w:val="-2"/>
                <w:sz w:val="20"/>
              </w:rPr>
              <w:t>Savings</w:t>
            </w:r>
          </w:p>
        </w:tc>
        <w:tc>
          <w:tcPr>
            <w:tcW w:w="1382" w:type="dxa"/>
            <w:shd w:val="clear" w:color="auto" w:fill="92D400"/>
          </w:tcPr>
          <w:p w:rsidR="00C31389" w:rsidRDefault="00561FBD" w14:paraId="1C9B71ED" w14:textId="77777777">
            <w:pPr>
              <w:pStyle w:val="TableParagraph"/>
              <w:spacing w:line="213" w:lineRule="exact"/>
              <w:ind w:right="12"/>
              <w:jc w:val="right"/>
              <w:rPr>
                <w:b/>
                <w:sz w:val="20"/>
              </w:rPr>
            </w:pPr>
            <w:r>
              <w:rPr>
                <w:b/>
                <w:spacing w:val="-4"/>
                <w:sz w:val="20"/>
              </w:rPr>
              <w:t>Cost</w:t>
            </w:r>
          </w:p>
        </w:tc>
        <w:tc>
          <w:tcPr>
            <w:tcW w:w="906" w:type="dxa"/>
            <w:shd w:val="clear" w:color="auto" w:fill="92D400"/>
          </w:tcPr>
          <w:p w:rsidR="00C31389" w:rsidRDefault="00C31389" w14:paraId="126E4241" w14:textId="77777777">
            <w:pPr>
              <w:pStyle w:val="TableParagraph"/>
              <w:spacing w:before="0"/>
              <w:rPr>
                <w:rFonts w:ascii="Times New Roman"/>
                <w:sz w:val="20"/>
              </w:rPr>
            </w:pPr>
          </w:p>
        </w:tc>
        <w:tc>
          <w:tcPr>
            <w:tcW w:w="1198" w:type="dxa"/>
            <w:vMerge w:val="restart"/>
            <w:shd w:val="clear" w:color="auto" w:fill="92D400"/>
          </w:tcPr>
          <w:p w:rsidR="00C31389" w:rsidRDefault="00561FBD" w14:paraId="2AF07116" w14:textId="77777777">
            <w:pPr>
              <w:pStyle w:val="TableParagraph"/>
              <w:ind w:left="223" w:right="193"/>
              <w:jc w:val="center"/>
              <w:rPr>
                <w:b/>
                <w:sz w:val="20"/>
              </w:rPr>
            </w:pPr>
            <w:r>
              <w:rPr>
                <w:b/>
                <w:spacing w:val="-2"/>
                <w:sz w:val="20"/>
              </w:rPr>
              <w:t>kW/kWh Savings Ratio</w:t>
            </w:r>
          </w:p>
        </w:tc>
      </w:tr>
      <w:tr w:rsidR="00C31389" w14:paraId="78E62CF6" w14:textId="77777777">
        <w:trPr>
          <w:trHeight w:val="506"/>
        </w:trPr>
        <w:tc>
          <w:tcPr>
            <w:tcW w:w="1249" w:type="dxa"/>
            <w:shd w:val="clear" w:color="auto" w:fill="92D400"/>
          </w:tcPr>
          <w:p w:rsidR="00C31389" w:rsidRDefault="00561FBD" w14:paraId="5AD2B42F" w14:textId="77777777">
            <w:pPr>
              <w:pStyle w:val="TableParagraph"/>
              <w:spacing w:before="0" w:line="227" w:lineRule="exact"/>
              <w:ind w:left="124"/>
              <w:rPr>
                <w:b/>
                <w:sz w:val="20"/>
              </w:rPr>
            </w:pPr>
            <w:r>
              <w:rPr>
                <w:b/>
                <w:spacing w:val="-2"/>
                <w:sz w:val="20"/>
              </w:rPr>
              <w:t>Sector</w:t>
            </w:r>
          </w:p>
        </w:tc>
        <w:tc>
          <w:tcPr>
            <w:tcW w:w="1007" w:type="dxa"/>
            <w:shd w:val="clear" w:color="auto" w:fill="92D400"/>
          </w:tcPr>
          <w:p w:rsidR="00C31389" w:rsidRDefault="00561FBD" w14:paraId="60575B45" w14:textId="77777777">
            <w:pPr>
              <w:pStyle w:val="TableParagraph"/>
              <w:spacing w:before="0" w:line="227" w:lineRule="exact"/>
              <w:ind w:left="135"/>
              <w:rPr>
                <w:b/>
                <w:sz w:val="20"/>
              </w:rPr>
            </w:pPr>
            <w:r>
              <w:rPr>
                <w:b/>
                <w:spacing w:val="-4"/>
                <w:sz w:val="20"/>
              </w:rPr>
              <w:t>Type</w:t>
            </w:r>
          </w:p>
        </w:tc>
        <w:tc>
          <w:tcPr>
            <w:tcW w:w="1254" w:type="dxa"/>
            <w:vMerge/>
            <w:tcBorders>
              <w:top w:val="nil"/>
            </w:tcBorders>
            <w:shd w:val="clear" w:color="auto" w:fill="92D400"/>
          </w:tcPr>
          <w:p w:rsidR="00C31389" w:rsidRDefault="00C31389" w14:paraId="12554AFF" w14:textId="77777777">
            <w:pPr>
              <w:rPr>
                <w:sz w:val="2"/>
                <w:szCs w:val="2"/>
              </w:rPr>
            </w:pPr>
          </w:p>
        </w:tc>
        <w:tc>
          <w:tcPr>
            <w:tcW w:w="1156" w:type="dxa"/>
            <w:shd w:val="clear" w:color="auto" w:fill="92D400"/>
          </w:tcPr>
          <w:p w:rsidR="00C31389" w:rsidRDefault="00561FBD" w14:paraId="6D2AE5CF" w14:textId="77777777">
            <w:pPr>
              <w:pStyle w:val="TableParagraph"/>
              <w:spacing w:before="162"/>
              <w:ind w:left="382"/>
              <w:rPr>
                <w:b/>
                <w:sz w:val="20"/>
              </w:rPr>
            </w:pPr>
            <w:r>
              <w:rPr>
                <w:b/>
                <w:spacing w:val="-5"/>
                <w:sz w:val="20"/>
              </w:rPr>
              <w:t>kWh</w:t>
            </w:r>
          </w:p>
        </w:tc>
        <w:tc>
          <w:tcPr>
            <w:tcW w:w="1217" w:type="dxa"/>
            <w:shd w:val="clear" w:color="auto" w:fill="92D400"/>
          </w:tcPr>
          <w:p w:rsidR="00C31389" w:rsidRDefault="00561FBD" w14:paraId="21BF39DA" w14:textId="77777777">
            <w:pPr>
              <w:pStyle w:val="TableParagraph"/>
              <w:spacing w:before="162"/>
              <w:ind w:left="273"/>
              <w:rPr>
                <w:b/>
                <w:sz w:val="20"/>
              </w:rPr>
            </w:pPr>
            <w:r>
              <w:rPr>
                <w:b/>
                <w:spacing w:val="-2"/>
                <w:sz w:val="20"/>
              </w:rPr>
              <w:t>therms</w:t>
            </w:r>
          </w:p>
        </w:tc>
        <w:tc>
          <w:tcPr>
            <w:tcW w:w="1382" w:type="dxa"/>
            <w:shd w:val="clear" w:color="auto" w:fill="92D400"/>
          </w:tcPr>
          <w:p w:rsidR="00C31389" w:rsidRDefault="00561FBD" w14:paraId="401B1937" w14:textId="77777777">
            <w:pPr>
              <w:pStyle w:val="TableParagraph"/>
              <w:spacing w:before="162"/>
              <w:ind w:left="349"/>
              <w:rPr>
                <w:b/>
                <w:sz w:val="20"/>
              </w:rPr>
            </w:pPr>
            <w:r>
              <w:rPr>
                <w:b/>
                <w:spacing w:val="-5"/>
                <w:sz w:val="20"/>
              </w:rPr>
              <w:t>kWh</w:t>
            </w:r>
          </w:p>
        </w:tc>
        <w:tc>
          <w:tcPr>
            <w:tcW w:w="906" w:type="dxa"/>
            <w:shd w:val="clear" w:color="auto" w:fill="92D400"/>
          </w:tcPr>
          <w:p w:rsidR="00C31389" w:rsidRDefault="00561FBD" w14:paraId="6AA33595" w14:textId="77777777">
            <w:pPr>
              <w:pStyle w:val="TableParagraph"/>
              <w:spacing w:before="162"/>
              <w:ind w:left="14"/>
              <w:rPr>
                <w:b/>
                <w:sz w:val="20"/>
              </w:rPr>
            </w:pPr>
            <w:r>
              <w:rPr>
                <w:b/>
                <w:spacing w:val="-2"/>
                <w:sz w:val="20"/>
              </w:rPr>
              <w:t>therms</w:t>
            </w:r>
          </w:p>
        </w:tc>
        <w:tc>
          <w:tcPr>
            <w:tcW w:w="1198" w:type="dxa"/>
            <w:vMerge/>
            <w:tcBorders>
              <w:top w:val="nil"/>
            </w:tcBorders>
            <w:shd w:val="clear" w:color="auto" w:fill="92D400"/>
          </w:tcPr>
          <w:p w:rsidR="00C31389" w:rsidRDefault="00C31389" w14:paraId="124B96D5" w14:textId="77777777">
            <w:pPr>
              <w:rPr>
                <w:sz w:val="2"/>
                <w:szCs w:val="2"/>
              </w:rPr>
            </w:pPr>
          </w:p>
        </w:tc>
      </w:tr>
      <w:tr w:rsidR="00C31389" w14:paraId="2D143E25" w14:textId="77777777">
        <w:trPr>
          <w:trHeight w:val="540"/>
        </w:trPr>
        <w:tc>
          <w:tcPr>
            <w:tcW w:w="1249" w:type="dxa"/>
            <w:tcBorders>
              <w:bottom w:val="single" w:color="000000" w:sz="8" w:space="0"/>
            </w:tcBorders>
          </w:tcPr>
          <w:p w:rsidR="00C31389" w:rsidRDefault="00561FBD" w14:paraId="3157D36D" w14:textId="77777777">
            <w:pPr>
              <w:pStyle w:val="TableParagraph"/>
              <w:spacing w:before="155"/>
              <w:ind w:left="124"/>
              <w:rPr>
                <w:sz w:val="20"/>
              </w:rPr>
            </w:pPr>
            <w:r>
              <w:rPr>
                <w:spacing w:val="-2"/>
                <w:sz w:val="20"/>
              </w:rPr>
              <w:t>Residential</w:t>
            </w:r>
          </w:p>
        </w:tc>
        <w:tc>
          <w:tcPr>
            <w:tcW w:w="1007" w:type="dxa"/>
            <w:tcBorders>
              <w:bottom w:val="single" w:color="000000" w:sz="8" w:space="0"/>
            </w:tcBorders>
          </w:tcPr>
          <w:p w:rsidR="00C31389" w:rsidRDefault="00561FBD" w14:paraId="1156D265" w14:textId="77777777">
            <w:pPr>
              <w:pStyle w:val="TableParagraph"/>
              <w:spacing w:before="155"/>
              <w:ind w:left="135"/>
              <w:rPr>
                <w:sz w:val="20"/>
              </w:rPr>
            </w:pPr>
            <w:r>
              <w:rPr>
                <w:spacing w:val="-5"/>
                <w:sz w:val="20"/>
              </w:rPr>
              <w:t>UAT</w:t>
            </w:r>
          </w:p>
        </w:tc>
        <w:tc>
          <w:tcPr>
            <w:tcW w:w="1254" w:type="dxa"/>
            <w:tcBorders>
              <w:bottom w:val="single" w:color="000000" w:sz="8" w:space="0"/>
            </w:tcBorders>
          </w:tcPr>
          <w:p w:rsidR="00C31389" w:rsidRDefault="00561FBD" w14:paraId="4AD21F58" w14:textId="77777777">
            <w:pPr>
              <w:pStyle w:val="TableParagraph"/>
              <w:spacing w:before="155"/>
              <w:ind w:left="101"/>
              <w:jc w:val="center"/>
              <w:rPr>
                <w:sz w:val="20"/>
              </w:rPr>
            </w:pPr>
            <w:r>
              <w:rPr>
                <w:sz w:val="20"/>
              </w:rPr>
              <w:t>1</w:t>
            </w:r>
          </w:p>
        </w:tc>
        <w:tc>
          <w:tcPr>
            <w:tcW w:w="1156" w:type="dxa"/>
            <w:tcBorders>
              <w:bottom w:val="single" w:color="000000" w:sz="8" w:space="0"/>
            </w:tcBorders>
          </w:tcPr>
          <w:p w:rsidR="00C31389" w:rsidRDefault="00561FBD" w14:paraId="7A0944B6" w14:textId="77777777">
            <w:pPr>
              <w:pStyle w:val="TableParagraph"/>
              <w:ind w:left="304"/>
              <w:rPr>
                <w:sz w:val="20"/>
              </w:rPr>
            </w:pPr>
            <w:r>
              <w:rPr>
                <w:sz w:val="20"/>
              </w:rPr>
              <w:t>1.2%</w:t>
            </w:r>
            <w:r>
              <w:rPr>
                <w:spacing w:val="-1"/>
                <w:sz w:val="20"/>
              </w:rPr>
              <w:t xml:space="preserve"> </w:t>
            </w:r>
            <w:r>
              <w:rPr>
                <w:spacing w:val="-10"/>
                <w:sz w:val="20"/>
              </w:rPr>
              <w:t>-</w:t>
            </w:r>
          </w:p>
          <w:p w:rsidR="00C31389" w:rsidRDefault="00561FBD" w14:paraId="509E00D6" w14:textId="77777777">
            <w:pPr>
              <w:pStyle w:val="TableParagraph"/>
              <w:spacing w:before="1"/>
              <w:ind w:left="365"/>
              <w:rPr>
                <w:sz w:val="20"/>
              </w:rPr>
            </w:pPr>
            <w:r>
              <w:rPr>
                <w:spacing w:val="-4"/>
                <w:sz w:val="20"/>
              </w:rPr>
              <w:t>1.8%</w:t>
            </w:r>
          </w:p>
        </w:tc>
        <w:tc>
          <w:tcPr>
            <w:tcW w:w="1217" w:type="dxa"/>
            <w:tcBorders>
              <w:bottom w:val="single" w:color="000000" w:sz="8" w:space="0"/>
            </w:tcBorders>
          </w:tcPr>
          <w:p w:rsidR="00C31389" w:rsidRDefault="00561FBD" w14:paraId="5893025C" w14:textId="77777777">
            <w:pPr>
              <w:pStyle w:val="TableParagraph"/>
              <w:ind w:left="347"/>
              <w:rPr>
                <w:sz w:val="20"/>
              </w:rPr>
            </w:pPr>
            <w:r>
              <w:rPr>
                <w:spacing w:val="-2"/>
                <w:sz w:val="20"/>
              </w:rPr>
              <w:t>1.5%-</w:t>
            </w:r>
          </w:p>
          <w:p w:rsidR="00C31389" w:rsidRDefault="00561FBD" w14:paraId="1ACE5D7D" w14:textId="77777777">
            <w:pPr>
              <w:pStyle w:val="TableParagraph"/>
              <w:spacing w:before="1"/>
              <w:ind w:left="379"/>
              <w:rPr>
                <w:sz w:val="20"/>
              </w:rPr>
            </w:pPr>
            <w:r>
              <w:rPr>
                <w:spacing w:val="-4"/>
                <w:sz w:val="20"/>
              </w:rPr>
              <w:t>2.6%</w:t>
            </w:r>
          </w:p>
        </w:tc>
        <w:tc>
          <w:tcPr>
            <w:tcW w:w="1382" w:type="dxa"/>
            <w:tcBorders>
              <w:bottom w:val="single" w:color="000000" w:sz="8" w:space="0"/>
            </w:tcBorders>
          </w:tcPr>
          <w:p w:rsidR="00C31389" w:rsidRDefault="00561FBD" w14:paraId="79E5449F" w14:textId="77777777">
            <w:pPr>
              <w:pStyle w:val="TableParagraph"/>
              <w:ind w:left="276"/>
              <w:rPr>
                <w:sz w:val="20"/>
              </w:rPr>
            </w:pPr>
            <w:r>
              <w:rPr>
                <w:spacing w:val="-2"/>
                <w:sz w:val="20"/>
              </w:rPr>
              <w:t>$0.01-</w:t>
            </w:r>
          </w:p>
          <w:p w:rsidR="00C31389" w:rsidRDefault="00561FBD" w14:paraId="6B867B26" w14:textId="77777777">
            <w:pPr>
              <w:pStyle w:val="TableParagraph"/>
              <w:spacing w:before="1"/>
              <w:ind w:left="310"/>
              <w:rPr>
                <w:sz w:val="20"/>
              </w:rPr>
            </w:pPr>
            <w:r>
              <w:rPr>
                <w:spacing w:val="-2"/>
                <w:sz w:val="20"/>
              </w:rPr>
              <w:t>$0.02</w:t>
            </w:r>
          </w:p>
        </w:tc>
        <w:tc>
          <w:tcPr>
            <w:tcW w:w="906" w:type="dxa"/>
            <w:tcBorders>
              <w:bottom w:val="single" w:color="000000" w:sz="8" w:space="0"/>
            </w:tcBorders>
          </w:tcPr>
          <w:p w:rsidR="00C31389" w:rsidRDefault="00561FBD" w14:paraId="212F5685" w14:textId="77777777">
            <w:pPr>
              <w:pStyle w:val="TableParagraph"/>
              <w:ind w:left="65"/>
              <w:rPr>
                <w:sz w:val="20"/>
              </w:rPr>
            </w:pPr>
            <w:r>
              <w:rPr>
                <w:spacing w:val="-2"/>
                <w:sz w:val="20"/>
              </w:rPr>
              <w:t>$0.18-</w:t>
            </w:r>
          </w:p>
          <w:p w:rsidR="00C31389" w:rsidRDefault="00561FBD" w14:paraId="3016ED95" w14:textId="77777777">
            <w:pPr>
              <w:pStyle w:val="TableParagraph"/>
              <w:spacing w:before="1"/>
              <w:ind w:left="98"/>
              <w:rPr>
                <w:sz w:val="20"/>
              </w:rPr>
            </w:pPr>
            <w:r>
              <w:rPr>
                <w:spacing w:val="-2"/>
                <w:sz w:val="20"/>
              </w:rPr>
              <w:t>$0.38</w:t>
            </w:r>
          </w:p>
        </w:tc>
        <w:tc>
          <w:tcPr>
            <w:tcW w:w="1198" w:type="dxa"/>
            <w:tcBorders>
              <w:bottom w:val="single" w:color="000000" w:sz="8" w:space="0"/>
            </w:tcBorders>
          </w:tcPr>
          <w:p w:rsidR="00C31389" w:rsidRDefault="00561FBD" w14:paraId="7AA5289E" w14:textId="77777777">
            <w:pPr>
              <w:pStyle w:val="TableParagraph"/>
              <w:spacing w:before="155"/>
              <w:ind w:left="27"/>
              <w:jc w:val="center"/>
              <w:rPr>
                <w:sz w:val="20"/>
              </w:rPr>
            </w:pPr>
            <w:r>
              <w:rPr>
                <w:sz w:val="20"/>
              </w:rPr>
              <w:t>0</w:t>
            </w:r>
          </w:p>
        </w:tc>
      </w:tr>
    </w:tbl>
    <w:p w:rsidR="00C31389" w:rsidRDefault="00561FBD" w14:paraId="7CA0D7F2"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41895C32" w14:textId="77777777">
      <w:pPr>
        <w:pStyle w:val="BodyText"/>
        <w:rPr>
          <w:i/>
          <w:sz w:val="20"/>
        </w:rPr>
      </w:pPr>
    </w:p>
    <w:p w:rsidR="00C31389" w:rsidRDefault="00561FBD" w14:paraId="4DA2B89D" w14:textId="77777777">
      <w:pPr>
        <w:pStyle w:val="ListParagraph"/>
        <w:numPr>
          <w:ilvl w:val="2"/>
          <w:numId w:val="19"/>
        </w:numPr>
        <w:tabs>
          <w:tab w:val="left" w:pos="1197"/>
        </w:tabs>
        <w:spacing w:before="131"/>
        <w:ind w:left="1197" w:hanging="717"/>
        <w:rPr>
          <w:b/>
          <w:sz w:val="24"/>
        </w:rPr>
      </w:pPr>
      <w:bookmarkStart w:name="D.2.2_Assumptions_and_Methodology" w:id="421"/>
      <w:bookmarkStart w:name="_bookmark318" w:id="422"/>
      <w:bookmarkEnd w:id="421"/>
      <w:bookmarkEnd w:id="422"/>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76913FB1" w14:textId="77777777">
      <w:pPr>
        <w:pStyle w:val="BodyText"/>
        <w:spacing w:before="1"/>
        <w:rPr>
          <w:b/>
          <w:sz w:val="23"/>
        </w:rPr>
      </w:pPr>
    </w:p>
    <w:p w:rsidR="00C31389" w:rsidRDefault="00561FBD" w14:paraId="3D454F47" w14:textId="77777777">
      <w:pPr>
        <w:pStyle w:val="BodyText"/>
        <w:ind w:left="480" w:right="434" w:hanging="1"/>
      </w:pPr>
      <w:r>
        <w:t>No</w:t>
      </w:r>
      <w:r>
        <w:rPr>
          <w:spacing w:val="-3"/>
        </w:rPr>
        <w:t xml:space="preserve"> </w:t>
      </w:r>
      <w:r>
        <w:t>major</w:t>
      </w:r>
      <w:r>
        <w:rPr>
          <w:spacing w:val="-3"/>
        </w:rPr>
        <w:t xml:space="preserve"> </w:t>
      </w:r>
      <w:r>
        <w:t>updates</w:t>
      </w:r>
      <w:r>
        <w:rPr>
          <w:spacing w:val="-3"/>
        </w:rPr>
        <w:t xml:space="preserve"> </w:t>
      </w:r>
      <w:r>
        <w:t>were</w:t>
      </w:r>
      <w:r>
        <w:rPr>
          <w:spacing w:val="-3"/>
        </w:rPr>
        <w:t xml:space="preserve"> </w:t>
      </w:r>
      <w:r>
        <w:t>made</w:t>
      </w:r>
      <w:r>
        <w:rPr>
          <w:spacing w:val="-3"/>
        </w:rPr>
        <w:t xml:space="preserve"> </w:t>
      </w:r>
      <w:r>
        <w:t>to</w:t>
      </w:r>
      <w:r>
        <w:rPr>
          <w:spacing w:val="-3"/>
        </w:rPr>
        <w:t xml:space="preserve"> </w:t>
      </w:r>
      <w:r>
        <w:t>UAT</w:t>
      </w:r>
      <w:r>
        <w:rPr>
          <w:spacing w:val="-2"/>
        </w:rPr>
        <w:t xml:space="preserve"> </w:t>
      </w:r>
      <w:r>
        <w:t>potential</w:t>
      </w:r>
      <w:r>
        <w:rPr>
          <w:spacing w:val="-3"/>
        </w:rPr>
        <w:t xml:space="preserve"> </w:t>
      </w:r>
      <w:r>
        <w:t>analysis</w:t>
      </w:r>
      <w:r>
        <w:rPr>
          <w:spacing w:val="-2"/>
        </w:rPr>
        <w:t xml:space="preserve"> </w:t>
      </w:r>
      <w:r>
        <w:t>in</w:t>
      </w:r>
      <w:r>
        <w:rPr>
          <w:spacing w:val="-3"/>
        </w:rPr>
        <w:t xml:space="preserve"> </w:t>
      </w:r>
      <w:r>
        <w:t>the</w:t>
      </w:r>
      <w:r>
        <w:rPr>
          <w:spacing w:val="-3"/>
        </w:rPr>
        <w:t xml:space="preserve"> </w:t>
      </w:r>
      <w:r>
        <w:t>2023</w:t>
      </w:r>
      <w:r>
        <w:rPr>
          <w:spacing w:val="-3"/>
        </w:rPr>
        <w:t xml:space="preserve"> </w:t>
      </w:r>
      <w:r>
        <w:t>Study.</w:t>
      </w:r>
      <w:r>
        <w:rPr>
          <w:spacing w:val="-3"/>
        </w:rPr>
        <w:t xml:space="preserve"> </w:t>
      </w:r>
      <w:r>
        <w:t>The</w:t>
      </w:r>
      <w:r>
        <w:rPr>
          <w:spacing w:val="-3"/>
        </w:rPr>
        <w:t xml:space="preserve"> </w:t>
      </w:r>
      <w:r>
        <w:t>Guidehouse team determined that UAT to be a low priority measure for updates based on a review of implementation activity and recently published California-specific da</w:t>
      </w:r>
      <w:r>
        <w:t>ta sources. The methodology described here is unchanged from the 2021 Study.</w:t>
      </w:r>
    </w:p>
    <w:p w:rsidR="00C31389" w:rsidRDefault="00C31389" w14:paraId="26FF38E0" w14:textId="77777777">
      <w:pPr>
        <w:pStyle w:val="BodyText"/>
        <w:rPr>
          <w:sz w:val="21"/>
        </w:rPr>
      </w:pPr>
    </w:p>
    <w:p w:rsidR="00C31389" w:rsidRDefault="00561FBD" w14:paraId="2835BA4D" w14:textId="77777777">
      <w:pPr>
        <w:pStyle w:val="Heading7"/>
        <w:ind w:left="480"/>
      </w:pPr>
      <w:r>
        <w:t>Eligibility</w:t>
      </w:r>
      <w:r>
        <w:rPr>
          <w:spacing w:val="-8"/>
        </w:rPr>
        <w:t xml:space="preserve"> </w:t>
      </w:r>
      <w:r>
        <w:t>and</w:t>
      </w:r>
      <w:r>
        <w:rPr>
          <w:spacing w:val="-7"/>
        </w:rPr>
        <w:t xml:space="preserve"> </w:t>
      </w:r>
      <w:r>
        <w:rPr>
          <w:spacing w:val="-2"/>
        </w:rPr>
        <w:t>Participation</w:t>
      </w:r>
    </w:p>
    <w:p w:rsidR="00C31389" w:rsidRDefault="00C31389" w14:paraId="3038D60B" w14:textId="77777777">
      <w:pPr>
        <w:pStyle w:val="BodyText"/>
        <w:spacing w:before="9"/>
        <w:rPr>
          <w:b/>
          <w:sz w:val="20"/>
        </w:rPr>
      </w:pPr>
    </w:p>
    <w:p w:rsidR="00C31389" w:rsidRDefault="00561FBD" w14:paraId="0F783512" w14:textId="77777777">
      <w:pPr>
        <w:pStyle w:val="BodyText"/>
        <w:ind w:left="480" w:right="444"/>
      </w:pPr>
      <w:r>
        <w:t>All</w:t>
      </w:r>
      <w:r>
        <w:rPr>
          <w:spacing w:val="-2"/>
        </w:rPr>
        <w:t xml:space="preserve"> </w:t>
      </w:r>
      <w:r>
        <w:t>residential</w:t>
      </w:r>
      <w:r>
        <w:rPr>
          <w:spacing w:val="-2"/>
        </w:rPr>
        <w:t xml:space="preserve"> </w:t>
      </w:r>
      <w:r>
        <w:t>customers</w:t>
      </w:r>
      <w:r>
        <w:rPr>
          <w:spacing w:val="-2"/>
        </w:rPr>
        <w:t xml:space="preserve"> </w:t>
      </w:r>
      <w:r>
        <w:t>of</w:t>
      </w:r>
      <w:r>
        <w:rPr>
          <w:spacing w:val="-2"/>
        </w:rPr>
        <w:t xml:space="preserve"> </w:t>
      </w:r>
      <w:r>
        <w:t>the</w:t>
      </w:r>
      <w:r>
        <w:rPr>
          <w:spacing w:val="-2"/>
        </w:rPr>
        <w:t xml:space="preserve"> </w:t>
      </w:r>
      <w:r>
        <w:t>four</w:t>
      </w:r>
      <w:r>
        <w:rPr>
          <w:spacing w:val="-4"/>
        </w:rPr>
        <w:t xml:space="preserve"> </w:t>
      </w:r>
      <w:r>
        <w:t>IOUs</w:t>
      </w:r>
      <w:r>
        <w:rPr>
          <w:spacing w:val="-2"/>
        </w:rPr>
        <w:t xml:space="preserve"> </w:t>
      </w:r>
      <w:r>
        <w:t>are</w:t>
      </w:r>
      <w:r>
        <w:rPr>
          <w:spacing w:val="-2"/>
        </w:rPr>
        <w:t xml:space="preserve"> </w:t>
      </w:r>
      <w:r>
        <w:t>eligible</w:t>
      </w:r>
      <w:r>
        <w:rPr>
          <w:spacing w:val="-2"/>
        </w:rPr>
        <w:t xml:space="preserve"> </w:t>
      </w:r>
      <w:r>
        <w:t>to</w:t>
      </w:r>
      <w:r>
        <w:rPr>
          <w:spacing w:val="-2"/>
        </w:rPr>
        <w:t xml:space="preserve"> </w:t>
      </w:r>
      <w:r>
        <w:t>use</w:t>
      </w:r>
      <w:r>
        <w:rPr>
          <w:spacing w:val="-3"/>
        </w:rPr>
        <w:t xml:space="preserve"> </w:t>
      </w:r>
      <w:r>
        <w:t>the</w:t>
      </w:r>
      <w:r>
        <w:rPr>
          <w:spacing w:val="-2"/>
        </w:rPr>
        <w:t xml:space="preserve"> </w:t>
      </w:r>
      <w:r>
        <w:t>UAT.</w:t>
      </w:r>
      <w:r>
        <w:rPr>
          <w:spacing w:val="-2"/>
        </w:rPr>
        <w:t xml:space="preserve"> </w:t>
      </w:r>
      <w:r>
        <w:t>Customers</w:t>
      </w:r>
      <w:r>
        <w:rPr>
          <w:spacing w:val="-2"/>
        </w:rPr>
        <w:t xml:space="preserve"> </w:t>
      </w:r>
      <w:r>
        <w:t>can</w:t>
      </w:r>
      <w:r>
        <w:rPr>
          <w:spacing w:val="-3"/>
        </w:rPr>
        <w:t xml:space="preserve"> </w:t>
      </w:r>
      <w:r>
        <w:t xml:space="preserve">access the tool after signing up for online services </w:t>
      </w:r>
      <w:r>
        <w:t>through their utility’s My Energy or Energy Advisor web portals. As with the HERs forecast, the Guidehouse team reduced the applicability for multifamily homes by 10% to account for multifamily homes that do not have individual meters.</w:t>
      </w:r>
    </w:p>
    <w:p w:rsidR="00C31389" w:rsidRDefault="00C31389" w14:paraId="1198BB8C" w14:textId="77777777">
      <w:pPr>
        <w:pStyle w:val="BodyText"/>
        <w:spacing w:before="11"/>
        <w:rPr>
          <w:sz w:val="20"/>
        </w:rPr>
      </w:pPr>
    </w:p>
    <w:p w:rsidR="00C31389" w:rsidRDefault="00561FBD" w14:paraId="2B5FB2B1" w14:textId="77777777">
      <w:pPr>
        <w:pStyle w:val="BodyText"/>
        <w:ind w:left="480" w:right="445"/>
      </w:pPr>
      <w:r>
        <w:t xml:space="preserve">According to a </w:t>
      </w:r>
      <w:r>
        <w:t>2017 evaluation of the UAT by DNV GL,</w:t>
      </w:r>
      <w:r>
        <w:rPr>
          <w:spacing w:val="-38"/>
        </w:rPr>
        <w:t xml:space="preserve"> </w:t>
      </w:r>
      <w:hyperlink w:history="1" w:anchor="_bookmark321">
        <w:r>
          <w:rPr>
            <w:position w:val="7"/>
            <w:sz w:val="14"/>
          </w:rPr>
          <w:t>102</w:t>
        </w:r>
      </w:hyperlink>
      <w:r>
        <w:rPr>
          <w:spacing w:val="25"/>
          <w:position w:val="7"/>
          <w:sz w:val="14"/>
        </w:rPr>
        <w:t xml:space="preserve"> </w:t>
      </w:r>
      <w:r>
        <w:t>the UAT tools have seen active growth</w:t>
      </w:r>
      <w:r>
        <w:rPr>
          <w:spacing w:val="-2"/>
        </w:rPr>
        <w:t xml:space="preserve"> </w:t>
      </w:r>
      <w:r>
        <w:t>in</w:t>
      </w:r>
      <w:r>
        <w:rPr>
          <w:spacing w:val="-2"/>
        </w:rPr>
        <w:t xml:space="preserve"> </w:t>
      </w:r>
      <w:r>
        <w:t>customer</w:t>
      </w:r>
      <w:r>
        <w:rPr>
          <w:spacing w:val="-2"/>
        </w:rPr>
        <w:t xml:space="preserve"> </w:t>
      </w:r>
      <w:r>
        <w:t>use.</w:t>
      </w:r>
      <w:r>
        <w:rPr>
          <w:spacing w:val="-2"/>
        </w:rPr>
        <w:t xml:space="preserve"> </w:t>
      </w:r>
      <w:r>
        <w:t>Customer</w:t>
      </w:r>
      <w:r>
        <w:rPr>
          <w:spacing w:val="-2"/>
        </w:rPr>
        <w:t xml:space="preserve"> </w:t>
      </w:r>
      <w:r>
        <w:t>engagement</w:t>
      </w:r>
      <w:r>
        <w:rPr>
          <w:spacing w:val="-2"/>
        </w:rPr>
        <w:t xml:space="preserve"> </w:t>
      </w:r>
      <w:r>
        <w:t>and</w:t>
      </w:r>
      <w:r>
        <w:rPr>
          <w:spacing w:val="-2"/>
        </w:rPr>
        <w:t xml:space="preserve"> </w:t>
      </w:r>
      <w:r>
        <w:t>online</w:t>
      </w:r>
      <w:r>
        <w:rPr>
          <w:spacing w:val="-2"/>
        </w:rPr>
        <w:t xml:space="preserve"> </w:t>
      </w:r>
      <w:r>
        <w:t>survey</w:t>
      </w:r>
      <w:r>
        <w:rPr>
          <w:spacing w:val="-2"/>
        </w:rPr>
        <w:t xml:space="preserve"> </w:t>
      </w:r>
      <w:r>
        <w:t>completion</w:t>
      </w:r>
      <w:r>
        <w:rPr>
          <w:spacing w:val="-2"/>
        </w:rPr>
        <w:t xml:space="preserve"> </w:t>
      </w:r>
      <w:r>
        <w:t>vary</w:t>
      </w:r>
      <w:r>
        <w:rPr>
          <w:spacing w:val="-2"/>
        </w:rPr>
        <w:t xml:space="preserve"> </w:t>
      </w:r>
      <w:r>
        <w:t>by</w:t>
      </w:r>
      <w:r>
        <w:rPr>
          <w:spacing w:val="-2"/>
        </w:rPr>
        <w:t xml:space="preserve"> </w:t>
      </w:r>
      <w:r>
        <w:t>IOU, as does the associated level of</w:t>
      </w:r>
      <w:r>
        <w:t xml:space="preserve"> marketing effort to drive customers to participate or re- participate for deeper savings. To forecast participation levels for the 2021 PG Model, the Guidehouse team relied on the participation numbers from the 2017 DNV GL evaluation to establish cumulati</w:t>
      </w:r>
      <w:r>
        <w:t>ve treatment sizes; the team then determined saturation levels based on the number of households per utility. Because evaluated participation rates were not available for SCE in reviewed sources, the team calculated this value using an average saturation</w:t>
      </w:r>
      <w:r>
        <w:rPr>
          <w:spacing w:val="-1"/>
        </w:rPr>
        <w:t xml:space="preserve"> </w:t>
      </w:r>
      <w:r>
        <w:t>p</w:t>
      </w:r>
      <w:r>
        <w:t>ercentage</w:t>
      </w:r>
      <w:r>
        <w:rPr>
          <w:spacing w:val="-1"/>
        </w:rPr>
        <w:t xml:space="preserve"> </w:t>
      </w:r>
      <w:r>
        <w:t>from</w:t>
      </w:r>
      <w:r>
        <w:rPr>
          <w:spacing w:val="-2"/>
        </w:rPr>
        <w:t xml:space="preserve"> </w:t>
      </w:r>
      <w:r>
        <w:t>the</w:t>
      </w:r>
      <w:r>
        <w:rPr>
          <w:spacing w:val="-1"/>
        </w:rPr>
        <w:t xml:space="preserve"> </w:t>
      </w:r>
      <w:r>
        <w:t>other</w:t>
      </w:r>
      <w:r>
        <w:rPr>
          <w:spacing w:val="-1"/>
        </w:rPr>
        <w:t xml:space="preserve"> </w:t>
      </w:r>
      <w:r>
        <w:t>California</w:t>
      </w:r>
      <w:r>
        <w:rPr>
          <w:spacing w:val="-2"/>
        </w:rPr>
        <w:t xml:space="preserve"> </w:t>
      </w:r>
      <w:r>
        <w:t>electric</w:t>
      </w:r>
      <w:r>
        <w:rPr>
          <w:spacing w:val="-1"/>
        </w:rPr>
        <w:t xml:space="preserve"> </w:t>
      </w:r>
      <w:r>
        <w:t>utilities.</w:t>
      </w:r>
      <w:r>
        <w:rPr>
          <w:spacing w:val="-1"/>
        </w:rPr>
        <w:t xml:space="preserve"> </w:t>
      </w:r>
      <w:r>
        <w:t>Starting</w:t>
      </w:r>
      <w:r>
        <w:rPr>
          <w:spacing w:val="-2"/>
        </w:rPr>
        <w:t xml:space="preserve"> </w:t>
      </w:r>
      <w:r>
        <w:t>saturation</w:t>
      </w:r>
      <w:r>
        <w:rPr>
          <w:spacing w:val="-1"/>
        </w:rPr>
        <w:t xml:space="preserve"> </w:t>
      </w:r>
      <w:r>
        <w:t>rates</w:t>
      </w:r>
      <w:r>
        <w:rPr>
          <w:spacing w:val="-1"/>
        </w:rPr>
        <w:t xml:space="preserve"> </w:t>
      </w:r>
      <w:r>
        <w:t>for early</w:t>
      </w:r>
      <w:r>
        <w:rPr>
          <w:spacing w:val="-2"/>
        </w:rPr>
        <w:t xml:space="preserve"> </w:t>
      </w:r>
      <w:r>
        <w:t>model</w:t>
      </w:r>
      <w:r>
        <w:rPr>
          <w:spacing w:val="-2"/>
        </w:rPr>
        <w:t xml:space="preserve"> </w:t>
      </w:r>
      <w:r>
        <w:t>years</w:t>
      </w:r>
      <w:r>
        <w:rPr>
          <w:spacing w:val="-2"/>
        </w:rPr>
        <w:t xml:space="preserve"> </w:t>
      </w:r>
      <w:r>
        <w:t>range</w:t>
      </w:r>
      <w:r>
        <w:rPr>
          <w:spacing w:val="-3"/>
        </w:rPr>
        <w:t xml:space="preserve"> </w:t>
      </w:r>
      <w:r>
        <w:t>from</w:t>
      </w:r>
      <w:r>
        <w:rPr>
          <w:spacing w:val="-3"/>
        </w:rPr>
        <w:t xml:space="preserve"> </w:t>
      </w:r>
      <w:r>
        <w:t>0.5%</w:t>
      </w:r>
      <w:r>
        <w:rPr>
          <w:spacing w:val="-2"/>
        </w:rPr>
        <w:t xml:space="preserve"> </w:t>
      </w:r>
      <w:r>
        <w:t>to</w:t>
      </w:r>
      <w:r>
        <w:rPr>
          <w:spacing w:val="-2"/>
        </w:rPr>
        <w:t xml:space="preserve"> </w:t>
      </w:r>
      <w:r>
        <w:t>0.8%</w:t>
      </w:r>
      <w:r>
        <w:rPr>
          <w:spacing w:val="-2"/>
        </w:rPr>
        <w:t xml:space="preserve"> </w:t>
      </w:r>
      <w:r>
        <w:t>and</w:t>
      </w:r>
      <w:r>
        <w:rPr>
          <w:spacing w:val="-3"/>
        </w:rPr>
        <w:t xml:space="preserve"> </w:t>
      </w:r>
      <w:r>
        <w:t>grow</w:t>
      </w:r>
      <w:r>
        <w:rPr>
          <w:spacing w:val="-3"/>
        </w:rPr>
        <w:t xml:space="preserve"> </w:t>
      </w:r>
      <w:r>
        <w:t>at</w:t>
      </w:r>
      <w:r>
        <w:rPr>
          <w:spacing w:val="-2"/>
        </w:rPr>
        <w:t xml:space="preserve"> </w:t>
      </w:r>
      <w:r>
        <w:t>a</w:t>
      </w:r>
      <w:r>
        <w:rPr>
          <w:spacing w:val="-2"/>
        </w:rPr>
        <w:t xml:space="preserve"> </w:t>
      </w:r>
      <w:r>
        <w:t>compound</w:t>
      </w:r>
      <w:r>
        <w:rPr>
          <w:spacing w:val="-2"/>
        </w:rPr>
        <w:t xml:space="preserve"> </w:t>
      </w:r>
      <w:r>
        <w:t>annual</w:t>
      </w:r>
      <w:r>
        <w:rPr>
          <w:spacing w:val="-2"/>
        </w:rPr>
        <w:t xml:space="preserve"> </w:t>
      </w:r>
      <w:r>
        <w:t>growth</w:t>
      </w:r>
      <w:r>
        <w:rPr>
          <w:spacing w:val="-2"/>
        </w:rPr>
        <w:t xml:space="preserve"> </w:t>
      </w:r>
      <w:r>
        <w:t>rate</w:t>
      </w:r>
      <w:r>
        <w:rPr>
          <w:spacing w:val="-2"/>
        </w:rPr>
        <w:t xml:space="preserve"> </w:t>
      </w:r>
      <w:r>
        <w:t>of 12% per year, topping out at between 3.2% and 5.0% participation by 2032.</w:t>
      </w:r>
    </w:p>
    <w:p w:rsidR="00C31389" w:rsidRDefault="00C31389" w14:paraId="1156F90F" w14:textId="77777777">
      <w:pPr>
        <w:pStyle w:val="BodyText"/>
        <w:rPr>
          <w:sz w:val="20"/>
        </w:rPr>
      </w:pPr>
    </w:p>
    <w:p w:rsidR="00C31389" w:rsidRDefault="00C31389" w14:paraId="509D763C" w14:textId="77777777">
      <w:pPr>
        <w:pStyle w:val="BodyText"/>
        <w:rPr>
          <w:sz w:val="20"/>
        </w:rPr>
      </w:pPr>
    </w:p>
    <w:p w:rsidR="00C31389" w:rsidRDefault="00561FBD" w14:paraId="43CDC811" w14:textId="77777777">
      <w:pPr>
        <w:pStyle w:val="BodyText"/>
        <w:spacing w:before="1"/>
        <w:rPr>
          <w:sz w:val="29"/>
        </w:rPr>
      </w:pPr>
      <w:r>
        <w:rPr>
          <w:noProof/>
        </w:rPr>
        <mc:AlternateContent>
          <mc:Choice Requires="wps">
            <w:drawing>
              <wp:anchor distT="0" distB="0" distL="0" distR="0" simplePos="0" relativeHeight="487717376" behindDoc="1" locked="0" layoutInCell="1" allowOverlap="1" wp14:editId="5B3E6D26" wp14:anchorId="1748B46D">
                <wp:simplePos x="0" y="0"/>
                <wp:positionH relativeFrom="page">
                  <wp:posOffset>914400</wp:posOffset>
                </wp:positionH>
                <wp:positionV relativeFrom="paragraph">
                  <wp:posOffset>227731</wp:posOffset>
                </wp:positionV>
                <wp:extent cx="1828800" cy="6985"/>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09" style="position:absolute;margin-left:1in;margin-top:17.95pt;width:2in;height:.55pt;z-index:-1559910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" w14:anchorId="3AC9A855">
                <v:path arrowok="t"/>
                <w10:wrap type="topAndBottom" anchorx="page"/>
              </v:shape>
            </w:pict>
          </mc:Fallback>
        </mc:AlternateContent>
      </w:r>
    </w:p>
    <w:p w:rsidR="00C31389" w:rsidRDefault="00561FBD" w14:paraId="48812013" w14:textId="77777777">
      <w:pPr>
        <w:spacing w:before="89"/>
        <w:ind w:left="480"/>
        <w:rPr>
          <w:sz w:val="18"/>
        </w:rPr>
      </w:pPr>
      <w:bookmarkStart w:name="_bookmark319" w:id="423"/>
      <w:bookmarkEnd w:id="423"/>
      <w:r>
        <w:rPr>
          <w:position w:val="6"/>
          <w:sz w:val="12"/>
        </w:rPr>
        <w:t>100</w:t>
      </w:r>
      <w:r>
        <w:rPr>
          <w:spacing w:val="12"/>
          <w:position w:val="6"/>
          <w:sz w:val="12"/>
        </w:rPr>
        <w:t xml:space="preserve"> </w:t>
      </w:r>
      <w:r>
        <w:rPr>
          <w:sz w:val="18"/>
        </w:rPr>
        <w:t>Stakeholder</w:t>
      </w:r>
      <w:r>
        <w:rPr>
          <w:spacing w:val="-3"/>
          <w:sz w:val="18"/>
        </w:rPr>
        <w:t xml:space="preserve"> </w:t>
      </w:r>
      <w:r>
        <w:rPr>
          <w:sz w:val="18"/>
        </w:rPr>
        <w:t>comments</w:t>
      </w:r>
      <w:r>
        <w:rPr>
          <w:spacing w:val="-3"/>
          <w:sz w:val="18"/>
        </w:rPr>
        <w:t xml:space="preserve"> </w:t>
      </w:r>
      <w:r>
        <w:rPr>
          <w:sz w:val="18"/>
        </w:rPr>
        <w:t>from</w:t>
      </w:r>
      <w:r>
        <w:rPr>
          <w:spacing w:val="-2"/>
          <w:sz w:val="18"/>
        </w:rPr>
        <w:t xml:space="preserve"> </w:t>
      </w:r>
      <w:r>
        <w:rPr>
          <w:sz w:val="18"/>
        </w:rPr>
        <w:t>2019</w:t>
      </w:r>
      <w:r>
        <w:rPr>
          <w:spacing w:val="-4"/>
          <w:sz w:val="18"/>
        </w:rPr>
        <w:t xml:space="preserve"> </w:t>
      </w:r>
      <w:r>
        <w:rPr>
          <w:sz w:val="18"/>
        </w:rPr>
        <w:t>Study</w:t>
      </w:r>
      <w:r>
        <w:rPr>
          <w:spacing w:val="-2"/>
          <w:sz w:val="18"/>
        </w:rPr>
        <w:t xml:space="preserve"> </w:t>
      </w:r>
      <w:r>
        <w:rPr>
          <w:sz w:val="18"/>
        </w:rPr>
        <w:t>May</w:t>
      </w:r>
      <w:r>
        <w:rPr>
          <w:spacing w:val="-2"/>
          <w:sz w:val="18"/>
        </w:rPr>
        <w:t xml:space="preserve"> </w:t>
      </w:r>
      <w:r>
        <w:rPr>
          <w:sz w:val="18"/>
        </w:rPr>
        <w:t>9,</w:t>
      </w:r>
      <w:r>
        <w:rPr>
          <w:spacing w:val="-3"/>
          <w:sz w:val="18"/>
        </w:rPr>
        <w:t xml:space="preserve"> </w:t>
      </w:r>
      <w:r>
        <w:rPr>
          <w:sz w:val="18"/>
        </w:rPr>
        <w:t>2019</w:t>
      </w:r>
      <w:r>
        <w:rPr>
          <w:spacing w:val="-4"/>
          <w:sz w:val="18"/>
        </w:rPr>
        <w:t xml:space="preserve"> </w:t>
      </w:r>
      <w:r>
        <w:rPr>
          <w:sz w:val="18"/>
        </w:rPr>
        <w:t>stakeholder</w:t>
      </w:r>
      <w:r>
        <w:rPr>
          <w:spacing w:val="-2"/>
          <w:sz w:val="18"/>
        </w:rPr>
        <w:t xml:space="preserve"> meeting.</w:t>
      </w:r>
    </w:p>
    <w:p w:rsidR="00C31389" w:rsidRDefault="00561FBD" w14:paraId="1CB841F6" w14:textId="77777777">
      <w:pPr>
        <w:spacing w:before="35"/>
        <w:ind w:left="480" w:right="418"/>
        <w:rPr>
          <w:sz w:val="18"/>
        </w:rPr>
      </w:pPr>
      <w:bookmarkStart w:name="_bookmark320" w:id="424"/>
      <w:bookmarkEnd w:id="424"/>
      <w:r>
        <w:rPr>
          <w:position w:val="6"/>
          <w:sz w:val="12"/>
        </w:rPr>
        <w:t>101</w:t>
      </w:r>
      <w:r>
        <w:rPr>
          <w:spacing w:val="14"/>
          <w:position w:val="6"/>
          <w:sz w:val="12"/>
        </w:rPr>
        <w:t xml:space="preserve"> </w:t>
      </w:r>
      <w:r>
        <w:rPr>
          <w:sz w:val="18"/>
        </w:rPr>
        <w:t>DNV</w:t>
      </w:r>
      <w:r>
        <w:rPr>
          <w:spacing w:val="-3"/>
          <w:sz w:val="18"/>
        </w:rPr>
        <w:t xml:space="preserve"> </w:t>
      </w:r>
      <w:r>
        <w:rPr>
          <w:sz w:val="18"/>
        </w:rPr>
        <w:t>GL.</w:t>
      </w:r>
      <w:r>
        <w:rPr>
          <w:spacing w:val="-3"/>
          <w:sz w:val="18"/>
        </w:rPr>
        <w:t xml:space="preserve"> </w:t>
      </w:r>
      <w:r>
        <w:rPr>
          <w:sz w:val="18"/>
        </w:rPr>
        <w:t>March</w:t>
      </w:r>
      <w:r>
        <w:rPr>
          <w:spacing w:val="-4"/>
          <w:sz w:val="18"/>
        </w:rPr>
        <w:t xml:space="preserve"> </w:t>
      </w:r>
      <w:r>
        <w:rPr>
          <w:sz w:val="18"/>
        </w:rPr>
        <w:t>31,</w:t>
      </w:r>
      <w:r>
        <w:rPr>
          <w:spacing w:val="-3"/>
          <w:sz w:val="18"/>
        </w:rPr>
        <w:t xml:space="preserve"> </w:t>
      </w:r>
      <w:r>
        <w:rPr>
          <w:sz w:val="18"/>
        </w:rPr>
        <w:t>2017.</w:t>
      </w:r>
      <w:r>
        <w:rPr>
          <w:spacing w:val="-3"/>
          <w:sz w:val="18"/>
        </w:rPr>
        <w:t xml:space="preserve"> </w:t>
      </w:r>
      <w:r>
        <w:rPr>
          <w:sz w:val="18"/>
        </w:rPr>
        <w:t>Universal</w:t>
      </w:r>
      <w:r>
        <w:rPr>
          <w:spacing w:val="-3"/>
          <w:sz w:val="18"/>
        </w:rPr>
        <w:t xml:space="preserve"> </w:t>
      </w:r>
      <w:r>
        <w:rPr>
          <w:sz w:val="18"/>
        </w:rPr>
        <w:t>Audit</w:t>
      </w:r>
      <w:r>
        <w:rPr>
          <w:spacing w:val="-3"/>
          <w:sz w:val="18"/>
        </w:rPr>
        <w:t xml:space="preserve"> </w:t>
      </w:r>
      <w:r>
        <w:rPr>
          <w:sz w:val="18"/>
        </w:rPr>
        <w:t>Tool</w:t>
      </w:r>
      <w:r>
        <w:rPr>
          <w:spacing w:val="-3"/>
          <w:sz w:val="18"/>
        </w:rPr>
        <w:t xml:space="preserve"> </w:t>
      </w:r>
      <w:r>
        <w:rPr>
          <w:sz w:val="18"/>
        </w:rPr>
        <w:t>Impact</w:t>
      </w:r>
      <w:r>
        <w:rPr>
          <w:spacing w:val="-3"/>
          <w:sz w:val="18"/>
        </w:rPr>
        <w:t xml:space="preserve"> </w:t>
      </w:r>
      <w:r>
        <w:rPr>
          <w:sz w:val="18"/>
        </w:rPr>
        <w:t>Evaluation-Residential:</w:t>
      </w:r>
      <w:r>
        <w:rPr>
          <w:spacing w:val="-3"/>
          <w:sz w:val="18"/>
        </w:rPr>
        <w:t xml:space="preserve"> </w:t>
      </w:r>
      <w:r>
        <w:rPr>
          <w:sz w:val="18"/>
        </w:rPr>
        <w:t>California</w:t>
      </w:r>
      <w:r>
        <w:rPr>
          <w:spacing w:val="-4"/>
          <w:sz w:val="18"/>
        </w:rPr>
        <w:t xml:space="preserve"> </w:t>
      </w:r>
      <w:r>
        <w:rPr>
          <w:sz w:val="18"/>
        </w:rPr>
        <w:t>Public</w:t>
      </w:r>
      <w:r>
        <w:rPr>
          <w:spacing w:val="-3"/>
          <w:sz w:val="18"/>
        </w:rPr>
        <w:t xml:space="preserve"> </w:t>
      </w:r>
      <w:r>
        <w:rPr>
          <w:sz w:val="18"/>
        </w:rPr>
        <w:t>Utilities Commission, March 31, 2017. CALMAC ID: CPU0160.01.</w:t>
      </w:r>
    </w:p>
    <w:p w:rsidR="00C31389" w:rsidRDefault="00561FBD" w14:paraId="63C731AA" w14:textId="77777777">
      <w:pPr>
        <w:spacing w:before="36"/>
        <w:ind w:left="480" w:right="418"/>
        <w:rPr>
          <w:sz w:val="18"/>
        </w:rPr>
      </w:pPr>
      <w:bookmarkStart w:name="_bookmark321" w:id="425"/>
      <w:bookmarkEnd w:id="425"/>
      <w:r>
        <w:rPr>
          <w:position w:val="6"/>
          <w:sz w:val="12"/>
        </w:rPr>
        <w:t>102</w:t>
      </w:r>
      <w:r>
        <w:rPr>
          <w:spacing w:val="14"/>
          <w:position w:val="6"/>
          <w:sz w:val="12"/>
        </w:rPr>
        <w:t xml:space="preserve"> </w:t>
      </w:r>
      <w:r>
        <w:rPr>
          <w:sz w:val="18"/>
        </w:rPr>
        <w:t>DNV</w:t>
      </w:r>
      <w:r>
        <w:rPr>
          <w:spacing w:val="-3"/>
          <w:sz w:val="18"/>
        </w:rPr>
        <w:t xml:space="preserve"> </w:t>
      </w:r>
      <w:r>
        <w:rPr>
          <w:sz w:val="18"/>
        </w:rPr>
        <w:t>GL.</w:t>
      </w:r>
      <w:r>
        <w:rPr>
          <w:spacing w:val="-3"/>
          <w:sz w:val="18"/>
        </w:rPr>
        <w:t xml:space="preserve"> </w:t>
      </w:r>
      <w:r>
        <w:rPr>
          <w:sz w:val="18"/>
        </w:rPr>
        <w:t>March</w:t>
      </w:r>
      <w:r>
        <w:rPr>
          <w:spacing w:val="-4"/>
          <w:sz w:val="18"/>
        </w:rPr>
        <w:t xml:space="preserve"> </w:t>
      </w:r>
      <w:r>
        <w:rPr>
          <w:sz w:val="18"/>
        </w:rPr>
        <w:t>31,</w:t>
      </w:r>
      <w:r>
        <w:rPr>
          <w:spacing w:val="-3"/>
          <w:sz w:val="18"/>
        </w:rPr>
        <w:t xml:space="preserve"> </w:t>
      </w:r>
      <w:r>
        <w:rPr>
          <w:sz w:val="18"/>
        </w:rPr>
        <w:t>2017.</w:t>
      </w:r>
      <w:r>
        <w:rPr>
          <w:spacing w:val="-3"/>
          <w:sz w:val="18"/>
        </w:rPr>
        <w:t xml:space="preserve"> </w:t>
      </w:r>
      <w:r>
        <w:rPr>
          <w:sz w:val="18"/>
        </w:rPr>
        <w:t>Universal</w:t>
      </w:r>
      <w:r>
        <w:rPr>
          <w:spacing w:val="-3"/>
          <w:sz w:val="18"/>
        </w:rPr>
        <w:t xml:space="preserve"> </w:t>
      </w:r>
      <w:r>
        <w:rPr>
          <w:sz w:val="18"/>
        </w:rPr>
        <w:t>Audit</w:t>
      </w:r>
      <w:r>
        <w:rPr>
          <w:spacing w:val="-3"/>
          <w:sz w:val="18"/>
        </w:rPr>
        <w:t xml:space="preserve"> </w:t>
      </w:r>
      <w:r>
        <w:rPr>
          <w:sz w:val="18"/>
        </w:rPr>
        <w:t>Tool</w:t>
      </w:r>
      <w:r>
        <w:rPr>
          <w:spacing w:val="-3"/>
          <w:sz w:val="18"/>
        </w:rPr>
        <w:t xml:space="preserve"> </w:t>
      </w:r>
      <w:r>
        <w:rPr>
          <w:sz w:val="18"/>
        </w:rPr>
        <w:t>Impact</w:t>
      </w:r>
      <w:r>
        <w:rPr>
          <w:spacing w:val="-3"/>
          <w:sz w:val="18"/>
        </w:rPr>
        <w:t xml:space="preserve"> </w:t>
      </w:r>
      <w:r>
        <w:rPr>
          <w:sz w:val="18"/>
        </w:rPr>
        <w:t>Evaluation-Residential:</w:t>
      </w:r>
      <w:r>
        <w:rPr>
          <w:spacing w:val="-3"/>
          <w:sz w:val="18"/>
        </w:rPr>
        <w:t xml:space="preserve"> </w:t>
      </w:r>
      <w:r>
        <w:rPr>
          <w:sz w:val="18"/>
        </w:rPr>
        <w:t>California</w:t>
      </w:r>
      <w:r>
        <w:rPr>
          <w:spacing w:val="-4"/>
          <w:sz w:val="18"/>
        </w:rPr>
        <w:t xml:space="preserve"> </w:t>
      </w:r>
      <w:r>
        <w:rPr>
          <w:sz w:val="18"/>
        </w:rPr>
        <w:t>Public</w:t>
      </w:r>
      <w:r>
        <w:rPr>
          <w:spacing w:val="-3"/>
          <w:sz w:val="18"/>
        </w:rPr>
        <w:t xml:space="preserve"> </w:t>
      </w:r>
      <w:r>
        <w:rPr>
          <w:sz w:val="18"/>
        </w:rPr>
        <w:t>Utilities Commission, March 31, 2017. CALMAC ID: CPU0160.01.</w:t>
      </w:r>
    </w:p>
    <w:p w:rsidR="00C31389" w:rsidRDefault="00C31389" w14:paraId="6BC9228B" w14:textId="77777777">
      <w:pPr>
        <w:rPr>
          <w:sz w:val="18"/>
        </w:rPr>
        <w:sectPr w:rsidR="00C31389">
          <w:pgSz w:w="11910" w:h="16840"/>
          <w:pgMar w:top="1660" w:right="1020" w:bottom="1120" w:left="960" w:header="397" w:footer="938" w:gutter="0"/>
          <w:cols w:space="720"/>
        </w:sectPr>
      </w:pPr>
    </w:p>
    <w:p w:rsidR="00C31389" w:rsidRDefault="00C31389" w14:paraId="1E3F1BE5" w14:textId="77777777">
      <w:pPr>
        <w:pStyle w:val="BodyText"/>
        <w:spacing w:before="11"/>
        <w:rPr>
          <w:sz w:val="13"/>
        </w:rPr>
      </w:pPr>
    </w:p>
    <w:p w:rsidR="00C31389" w:rsidRDefault="00561FBD" w14:paraId="761DDB28" w14:textId="77777777">
      <w:pPr>
        <w:pStyle w:val="Heading7"/>
        <w:spacing w:before="92"/>
        <w:ind w:left="480"/>
      </w:pPr>
      <w:r>
        <w:rPr>
          <w:spacing w:val="-2"/>
        </w:rPr>
        <w:t>Savings</w:t>
      </w:r>
    </w:p>
    <w:p w:rsidR="00C31389" w:rsidRDefault="00C31389" w14:paraId="726D8BDC" w14:textId="77777777">
      <w:pPr>
        <w:pStyle w:val="BodyText"/>
        <w:spacing w:before="11"/>
        <w:rPr>
          <w:b/>
          <w:sz w:val="20"/>
        </w:rPr>
      </w:pPr>
    </w:p>
    <w:p w:rsidR="00C31389" w:rsidRDefault="00561FBD" w14:paraId="6F9B5A59" w14:textId="77777777">
      <w:pPr>
        <w:pStyle w:val="BodyText"/>
        <w:ind w:left="479" w:right="615"/>
      </w:pPr>
      <w:r>
        <w:t>The</w:t>
      </w:r>
      <w:r>
        <w:rPr>
          <w:spacing w:val="-2"/>
        </w:rPr>
        <w:t xml:space="preserve"> </w:t>
      </w:r>
      <w:r>
        <w:t>Guidehouse</w:t>
      </w:r>
      <w:r>
        <w:rPr>
          <w:spacing w:val="-2"/>
        </w:rPr>
        <w:t xml:space="preserve"> </w:t>
      </w:r>
      <w:r>
        <w:t>team</w:t>
      </w:r>
      <w:r>
        <w:rPr>
          <w:spacing w:val="-3"/>
        </w:rPr>
        <w:t xml:space="preserve"> </w:t>
      </w:r>
      <w:r>
        <w:t>relied</w:t>
      </w:r>
      <w:r>
        <w:rPr>
          <w:spacing w:val="-2"/>
        </w:rPr>
        <w:t xml:space="preserve"> </w:t>
      </w:r>
      <w:r>
        <w:t>on</w:t>
      </w:r>
      <w:r>
        <w:rPr>
          <w:spacing w:val="-2"/>
        </w:rPr>
        <w:t xml:space="preserve"> </w:t>
      </w:r>
      <w:r>
        <w:t>the</w:t>
      </w:r>
      <w:r>
        <w:rPr>
          <w:spacing w:val="-3"/>
        </w:rPr>
        <w:t xml:space="preserve"> </w:t>
      </w:r>
      <w:r>
        <w:t>above-mentioned</w:t>
      </w:r>
      <w:r>
        <w:rPr>
          <w:spacing w:val="-2"/>
        </w:rPr>
        <w:t xml:space="preserve"> </w:t>
      </w:r>
      <w:r>
        <w:t>2017</w:t>
      </w:r>
      <w:r>
        <w:rPr>
          <w:spacing w:val="-2"/>
        </w:rPr>
        <w:t xml:space="preserve"> </w:t>
      </w:r>
      <w:r>
        <w:t>DNV</w:t>
      </w:r>
      <w:r>
        <w:rPr>
          <w:spacing w:val="-1"/>
        </w:rPr>
        <w:t xml:space="preserve"> </w:t>
      </w:r>
      <w:r>
        <w:t>GL</w:t>
      </w:r>
      <w:r>
        <w:rPr>
          <w:spacing w:val="-2"/>
        </w:rPr>
        <w:t xml:space="preserve"> </w:t>
      </w:r>
      <w:r>
        <w:t>evaluation</w:t>
      </w:r>
      <w:r>
        <w:rPr>
          <w:spacing w:val="-2"/>
        </w:rPr>
        <w:t xml:space="preserve"> </w:t>
      </w:r>
      <w:r>
        <w:t>of</w:t>
      </w:r>
      <w:r>
        <w:rPr>
          <w:spacing w:val="-2"/>
        </w:rPr>
        <w:t xml:space="preserve"> </w:t>
      </w:r>
      <w:r>
        <w:t>the</w:t>
      </w:r>
      <w:r>
        <w:rPr>
          <w:spacing w:val="-2"/>
        </w:rPr>
        <w:t xml:space="preserve"> </w:t>
      </w:r>
      <w:r>
        <w:t>UAT to</w:t>
      </w:r>
      <w:r>
        <w:rPr>
          <w:spacing w:val="-3"/>
        </w:rPr>
        <w:t xml:space="preserve"> </w:t>
      </w:r>
      <w:r>
        <w:t>set</w:t>
      </w:r>
      <w:r>
        <w:rPr>
          <w:spacing w:val="-3"/>
        </w:rPr>
        <w:t xml:space="preserve"> </w:t>
      </w:r>
      <w:r>
        <w:t>per</w:t>
      </w:r>
      <w:r>
        <w:rPr>
          <w:spacing w:val="-3"/>
        </w:rPr>
        <w:t xml:space="preserve"> </w:t>
      </w:r>
      <w:r>
        <w:t>household</w:t>
      </w:r>
      <w:r>
        <w:rPr>
          <w:spacing w:val="-3"/>
        </w:rPr>
        <w:t xml:space="preserve"> </w:t>
      </w:r>
      <w:r>
        <w:t>adjusted</w:t>
      </w:r>
      <w:r>
        <w:rPr>
          <w:spacing w:val="-3"/>
        </w:rPr>
        <w:t xml:space="preserve"> </w:t>
      </w:r>
      <w:r>
        <w:t>kWh</w:t>
      </w:r>
      <w:r>
        <w:rPr>
          <w:spacing w:val="-3"/>
        </w:rPr>
        <w:t xml:space="preserve"> </w:t>
      </w:r>
      <w:r>
        <w:t>and</w:t>
      </w:r>
      <w:r>
        <w:rPr>
          <w:spacing w:val="-3"/>
        </w:rPr>
        <w:t xml:space="preserve"> </w:t>
      </w:r>
      <w:r>
        <w:t>therm</w:t>
      </w:r>
      <w:r>
        <w:rPr>
          <w:spacing w:val="-4"/>
        </w:rPr>
        <w:t xml:space="preserve"> </w:t>
      </w:r>
      <w:r>
        <w:t>savings</w:t>
      </w:r>
      <w:r>
        <w:rPr>
          <w:spacing w:val="-3"/>
        </w:rPr>
        <w:t xml:space="preserve"> </w:t>
      </w:r>
      <w:r>
        <w:t>values</w:t>
      </w:r>
      <w:r>
        <w:rPr>
          <w:spacing w:val="-4"/>
        </w:rPr>
        <w:t xml:space="preserve"> </w:t>
      </w:r>
      <w:r>
        <w:t>for</w:t>
      </w:r>
      <w:r>
        <w:rPr>
          <w:spacing w:val="-3"/>
        </w:rPr>
        <w:t xml:space="preserve"> </w:t>
      </w:r>
      <w:r>
        <w:t>participating</w:t>
      </w:r>
      <w:r>
        <w:rPr>
          <w:spacing w:val="-3"/>
        </w:rPr>
        <w:t xml:space="preserve"> </w:t>
      </w:r>
      <w:r>
        <w:t>customers</w:t>
      </w:r>
      <w:r>
        <w:rPr>
          <w:spacing w:val="-3"/>
        </w:rPr>
        <w:t xml:space="preserve"> </w:t>
      </w:r>
      <w:r>
        <w:t xml:space="preserve">at each utility. Evaluated kWh savings were not available for SCE, so a rate of 1.2% kWh savings was applied because it equaled the evaluated savings for PG&amp;E, which was </w:t>
      </w:r>
      <w:r>
        <w:t>more conservative than the higher percentage of evaluated savings for SDG&amp;E.</w:t>
      </w:r>
    </w:p>
    <w:p w:rsidR="00C31389" w:rsidRDefault="00C31389" w14:paraId="35E60A09" w14:textId="77777777">
      <w:pPr>
        <w:pStyle w:val="BodyText"/>
        <w:spacing w:before="10"/>
        <w:rPr>
          <w:sz w:val="20"/>
        </w:rPr>
      </w:pPr>
    </w:p>
    <w:p w:rsidR="00C31389" w:rsidRDefault="00561FBD" w14:paraId="551BBEEE" w14:textId="77777777">
      <w:pPr>
        <w:pStyle w:val="BodyText"/>
        <w:ind w:left="479" w:right="418"/>
      </w:pPr>
      <w:r>
        <w:t>The PG Model uses an EUL of 1 year for UAT participants. While customers may participate in a utility UAT for more than 1 year, their average adjusted savings are assumed to be t</w:t>
      </w:r>
      <w:r>
        <w:t>he same</w:t>
      </w:r>
      <w:r>
        <w:rPr>
          <w:spacing w:val="-3"/>
        </w:rPr>
        <w:t xml:space="preserve"> </w:t>
      </w:r>
      <w:r>
        <w:t>as</w:t>
      </w:r>
      <w:r>
        <w:rPr>
          <w:spacing w:val="-3"/>
        </w:rPr>
        <w:t xml:space="preserve"> </w:t>
      </w:r>
      <w:r>
        <w:t>for</w:t>
      </w:r>
      <w:r>
        <w:rPr>
          <w:spacing w:val="-3"/>
        </w:rPr>
        <w:t xml:space="preserve"> </w:t>
      </w:r>
      <w:r>
        <w:t>all</w:t>
      </w:r>
      <w:r>
        <w:rPr>
          <w:spacing w:val="-3"/>
        </w:rPr>
        <w:t xml:space="preserve"> </w:t>
      </w:r>
      <w:r>
        <w:t>other</w:t>
      </w:r>
      <w:r>
        <w:rPr>
          <w:spacing w:val="-3"/>
        </w:rPr>
        <w:t xml:space="preserve"> </w:t>
      </w:r>
      <w:r>
        <w:t>participants</w:t>
      </w:r>
      <w:r>
        <w:rPr>
          <w:spacing w:val="-4"/>
        </w:rPr>
        <w:t xml:space="preserve"> </w:t>
      </w:r>
      <w:r>
        <w:t>in</w:t>
      </w:r>
      <w:r>
        <w:rPr>
          <w:spacing w:val="-3"/>
        </w:rPr>
        <w:t xml:space="preserve"> </w:t>
      </w:r>
      <w:r>
        <w:t>that</w:t>
      </w:r>
      <w:r>
        <w:rPr>
          <w:spacing w:val="-3"/>
        </w:rPr>
        <w:t xml:space="preserve"> </w:t>
      </w:r>
      <w:r>
        <w:t>year.</w:t>
      </w:r>
      <w:r>
        <w:rPr>
          <w:spacing w:val="-3"/>
        </w:rPr>
        <w:t xml:space="preserve"> </w:t>
      </w:r>
      <w:r>
        <w:t>This</w:t>
      </w:r>
      <w:r>
        <w:rPr>
          <w:spacing w:val="-4"/>
        </w:rPr>
        <w:t xml:space="preserve"> </w:t>
      </w:r>
      <w:r>
        <w:t>assumed</w:t>
      </w:r>
      <w:r>
        <w:rPr>
          <w:spacing w:val="-3"/>
        </w:rPr>
        <w:t xml:space="preserve"> </w:t>
      </w:r>
      <w:r>
        <w:t>value</w:t>
      </w:r>
      <w:r>
        <w:rPr>
          <w:spacing w:val="-3"/>
        </w:rPr>
        <w:t xml:space="preserve"> </w:t>
      </w:r>
      <w:r>
        <w:t>is</w:t>
      </w:r>
      <w:r>
        <w:rPr>
          <w:spacing w:val="-3"/>
        </w:rPr>
        <w:t xml:space="preserve"> </w:t>
      </w:r>
      <w:r>
        <w:t>standard</w:t>
      </w:r>
      <w:r>
        <w:rPr>
          <w:spacing w:val="-3"/>
        </w:rPr>
        <w:t xml:space="preserve"> </w:t>
      </w:r>
      <w:r>
        <w:t>with</w:t>
      </w:r>
      <w:r>
        <w:rPr>
          <w:spacing w:val="-3"/>
        </w:rPr>
        <w:t xml:space="preserve"> </w:t>
      </w:r>
      <w:r>
        <w:t>traditional persistence calculations for residential behavior programs.</w:t>
      </w:r>
    </w:p>
    <w:p w:rsidR="00C31389" w:rsidRDefault="00C31389" w14:paraId="24788B20" w14:textId="77777777">
      <w:pPr>
        <w:pStyle w:val="BodyText"/>
        <w:spacing w:before="9"/>
        <w:rPr>
          <w:sz w:val="20"/>
        </w:rPr>
      </w:pPr>
    </w:p>
    <w:p w:rsidR="00C31389" w:rsidRDefault="00561FBD" w14:paraId="3F7E1C39" w14:textId="77777777">
      <w:pPr>
        <w:pStyle w:val="BodyText"/>
        <w:spacing w:before="1"/>
        <w:ind w:left="480" w:right="615" w:hanging="1"/>
      </w:pPr>
      <w:r>
        <w:t>Per the SWWB002-01 workpaper for the UAT,</w:t>
      </w:r>
      <w:r>
        <w:rPr>
          <w:spacing w:val="-38"/>
        </w:rPr>
        <w:t xml:space="preserve"> </w:t>
      </w:r>
      <w:hyperlink w:history="1" w:anchor="_bookmark324">
        <w:r>
          <w:rPr>
            <w:position w:val="7"/>
            <w:sz w:val="14"/>
          </w:rPr>
          <w:t>103</w:t>
        </w:r>
      </w:hyperlink>
      <w:r>
        <w:rPr>
          <w:spacing w:val="32"/>
          <w:position w:val="7"/>
          <w:sz w:val="14"/>
        </w:rPr>
        <w:t xml:space="preserve"> </w:t>
      </w:r>
      <w:r>
        <w:t>there is uncertainty on claiming peak demand</w:t>
      </w:r>
      <w:r>
        <w:rPr>
          <w:spacing w:val="-3"/>
        </w:rPr>
        <w:t xml:space="preserve"> </w:t>
      </w:r>
      <w:r>
        <w:t>savings.</w:t>
      </w:r>
      <w:r>
        <w:rPr>
          <w:spacing w:val="-3"/>
        </w:rPr>
        <w:t xml:space="preserve"> </w:t>
      </w:r>
      <w:r>
        <w:t>As</w:t>
      </w:r>
      <w:r>
        <w:rPr>
          <w:spacing w:val="-3"/>
        </w:rPr>
        <w:t xml:space="preserve"> </w:t>
      </w:r>
      <w:r>
        <w:t>a</w:t>
      </w:r>
      <w:r>
        <w:rPr>
          <w:spacing w:val="-3"/>
        </w:rPr>
        <w:t xml:space="preserve"> </w:t>
      </w:r>
      <w:r>
        <w:t>result,</w:t>
      </w:r>
      <w:r>
        <w:rPr>
          <w:spacing w:val="-3"/>
        </w:rPr>
        <w:t xml:space="preserve"> </w:t>
      </w:r>
      <w:r>
        <w:t>Guidehouse</w:t>
      </w:r>
      <w:r>
        <w:rPr>
          <w:spacing w:val="-3"/>
        </w:rPr>
        <w:t xml:space="preserve"> </w:t>
      </w:r>
      <w:r>
        <w:t>does</w:t>
      </w:r>
      <w:r>
        <w:rPr>
          <w:spacing w:val="-3"/>
        </w:rPr>
        <w:t xml:space="preserve"> </w:t>
      </w:r>
      <w:r>
        <w:t>not</w:t>
      </w:r>
      <w:r>
        <w:rPr>
          <w:spacing w:val="-3"/>
        </w:rPr>
        <w:t xml:space="preserve"> </w:t>
      </w:r>
      <w:r>
        <w:t>include</w:t>
      </w:r>
      <w:r>
        <w:rPr>
          <w:spacing w:val="-3"/>
        </w:rPr>
        <w:t xml:space="preserve"> </w:t>
      </w:r>
      <w:r>
        <w:t>peak</w:t>
      </w:r>
      <w:r>
        <w:rPr>
          <w:spacing w:val="-3"/>
        </w:rPr>
        <w:t xml:space="preserve"> </w:t>
      </w:r>
      <w:r>
        <w:t>demand</w:t>
      </w:r>
      <w:r>
        <w:rPr>
          <w:spacing w:val="-3"/>
        </w:rPr>
        <w:t xml:space="preserve"> </w:t>
      </w:r>
      <w:r>
        <w:t>savings</w:t>
      </w:r>
      <w:r>
        <w:rPr>
          <w:spacing w:val="-4"/>
        </w:rPr>
        <w:t xml:space="preserve"> </w:t>
      </w:r>
      <w:r>
        <w:t>potential for UAT.</w:t>
      </w:r>
    </w:p>
    <w:p w:rsidR="00C31389" w:rsidRDefault="00C31389" w14:paraId="640D8920" w14:textId="77777777">
      <w:pPr>
        <w:pStyle w:val="BodyText"/>
        <w:spacing w:before="10"/>
        <w:rPr>
          <w:sz w:val="20"/>
        </w:rPr>
      </w:pPr>
    </w:p>
    <w:p w:rsidR="00C31389" w:rsidRDefault="00561FBD" w14:paraId="76528955" w14:textId="77777777">
      <w:pPr>
        <w:pStyle w:val="Heading7"/>
        <w:ind w:left="480"/>
      </w:pPr>
      <w:r>
        <w:rPr>
          <w:spacing w:val="-4"/>
        </w:rPr>
        <w:t>Cost</w:t>
      </w:r>
    </w:p>
    <w:p w:rsidR="00C31389" w:rsidRDefault="00C31389" w14:paraId="576B739E" w14:textId="77777777">
      <w:pPr>
        <w:pStyle w:val="BodyText"/>
        <w:spacing w:before="9"/>
        <w:rPr>
          <w:b/>
          <w:sz w:val="20"/>
        </w:rPr>
      </w:pPr>
    </w:p>
    <w:p w:rsidR="00C31389" w:rsidRDefault="00561FBD" w14:paraId="503F6A69" w14:textId="77777777">
      <w:pPr>
        <w:pStyle w:val="BodyText"/>
        <w:ind w:left="480" w:right="418"/>
      </w:pPr>
      <w:r>
        <w:t xml:space="preserve">The team based the costs per unit of kWh and therm savings on CEDARS data for </w:t>
      </w:r>
      <w:r>
        <w:t>Residential</w:t>
      </w:r>
      <w:r>
        <w:rPr>
          <w:spacing w:val="-4"/>
        </w:rPr>
        <w:t xml:space="preserve"> </w:t>
      </w:r>
      <w:r>
        <w:t>Energy</w:t>
      </w:r>
      <w:r>
        <w:rPr>
          <w:spacing w:val="-3"/>
        </w:rPr>
        <w:t xml:space="preserve"> </w:t>
      </w:r>
      <w:r>
        <w:t>Advisor,</w:t>
      </w:r>
      <w:r>
        <w:rPr>
          <w:spacing w:val="-3"/>
        </w:rPr>
        <w:t xml:space="preserve"> </w:t>
      </w:r>
      <w:r>
        <w:t>which</w:t>
      </w:r>
      <w:r>
        <w:rPr>
          <w:spacing w:val="-3"/>
        </w:rPr>
        <w:t xml:space="preserve"> </w:t>
      </w:r>
      <w:r>
        <w:t>is</w:t>
      </w:r>
      <w:r>
        <w:rPr>
          <w:spacing w:val="-4"/>
        </w:rPr>
        <w:t xml:space="preserve"> </w:t>
      </w:r>
      <w:r>
        <w:t>an</w:t>
      </w:r>
      <w:r>
        <w:rPr>
          <w:spacing w:val="-3"/>
        </w:rPr>
        <w:t xml:space="preserve"> </w:t>
      </w:r>
      <w:r>
        <w:t>aggregate</w:t>
      </w:r>
      <w:r>
        <w:rPr>
          <w:spacing w:val="-3"/>
        </w:rPr>
        <w:t xml:space="preserve"> </w:t>
      </w:r>
      <w:r>
        <w:t>of</w:t>
      </w:r>
      <w:r>
        <w:rPr>
          <w:spacing w:val="-3"/>
        </w:rPr>
        <w:t xml:space="preserve"> </w:t>
      </w:r>
      <w:r>
        <w:t>HER</w:t>
      </w:r>
      <w:r>
        <w:rPr>
          <w:spacing w:val="-3"/>
        </w:rPr>
        <w:t xml:space="preserve"> </w:t>
      </w:r>
      <w:r>
        <w:t>and</w:t>
      </w:r>
      <w:r>
        <w:rPr>
          <w:spacing w:val="-3"/>
        </w:rPr>
        <w:t xml:space="preserve"> </w:t>
      </w:r>
      <w:r>
        <w:t>online</w:t>
      </w:r>
      <w:r>
        <w:rPr>
          <w:spacing w:val="-3"/>
        </w:rPr>
        <w:t xml:space="preserve"> </w:t>
      </w:r>
      <w:r>
        <w:t>audit</w:t>
      </w:r>
      <w:r>
        <w:rPr>
          <w:spacing w:val="-3"/>
        </w:rPr>
        <w:t xml:space="preserve"> </w:t>
      </w:r>
      <w:r>
        <w:t>tool</w:t>
      </w:r>
      <w:r>
        <w:rPr>
          <w:spacing w:val="-3"/>
        </w:rPr>
        <w:t xml:space="preserve"> </w:t>
      </w:r>
      <w:r>
        <w:t>costs.</w:t>
      </w:r>
      <w:r>
        <w:rPr>
          <w:spacing w:val="-41"/>
        </w:rPr>
        <w:t xml:space="preserve"> </w:t>
      </w:r>
      <w:hyperlink w:history="1" w:anchor="_bookmark325">
        <w:r>
          <w:rPr>
            <w:position w:val="7"/>
            <w:sz w:val="14"/>
          </w:rPr>
          <w:t>104</w:t>
        </w:r>
      </w:hyperlink>
      <w:r>
        <w:rPr>
          <w:spacing w:val="40"/>
          <w:position w:val="7"/>
          <w:sz w:val="14"/>
        </w:rPr>
        <w:t xml:space="preserve"> </w:t>
      </w:r>
      <w:r>
        <w:t>These costs were distributed to the kWh and therm savings (weighted by savings) as reported in the CEDARS database.</w:t>
      </w:r>
    </w:p>
    <w:p w:rsidR="00C31389" w:rsidRDefault="00C31389" w14:paraId="2BE21B35" w14:textId="77777777">
      <w:pPr>
        <w:pStyle w:val="BodyText"/>
        <w:spacing w:before="11"/>
        <w:rPr>
          <w:sz w:val="20"/>
        </w:rPr>
      </w:pPr>
    </w:p>
    <w:p w:rsidR="00C31389" w:rsidRDefault="00561FBD" w14:paraId="1C3A8AA9" w14:textId="77777777">
      <w:pPr>
        <w:pStyle w:val="ListParagraph"/>
        <w:numPr>
          <w:ilvl w:val="1"/>
          <w:numId w:val="19"/>
        </w:numPr>
        <w:tabs>
          <w:tab w:val="left" w:pos="990"/>
        </w:tabs>
        <w:ind w:left="479" w:right="1328" w:firstLine="0"/>
        <w:rPr>
          <w:b/>
          <w:sz w:val="28"/>
        </w:rPr>
      </w:pPr>
      <w:bookmarkStart w:name="D.3_Residential_–_Real-Time_Feedback:_In" w:id="426"/>
      <w:bookmarkStart w:name="_bookmark322" w:id="427"/>
      <w:bookmarkEnd w:id="426"/>
      <w:bookmarkEnd w:id="427"/>
      <w:r>
        <w:rPr>
          <w:b/>
          <w:sz w:val="28"/>
        </w:rPr>
        <w:t>Residential</w:t>
      </w:r>
      <w:r>
        <w:rPr>
          <w:b/>
          <w:spacing w:val="-7"/>
          <w:sz w:val="28"/>
        </w:rPr>
        <w:t xml:space="preserve"> </w:t>
      </w:r>
      <w:r>
        <w:rPr>
          <w:b/>
          <w:sz w:val="28"/>
        </w:rPr>
        <w:t>–</w:t>
      </w:r>
      <w:r>
        <w:rPr>
          <w:b/>
          <w:spacing w:val="-7"/>
          <w:sz w:val="28"/>
        </w:rPr>
        <w:t xml:space="preserve"> </w:t>
      </w:r>
      <w:r>
        <w:rPr>
          <w:b/>
          <w:sz w:val="28"/>
        </w:rPr>
        <w:t>Real-Time</w:t>
      </w:r>
      <w:r>
        <w:rPr>
          <w:b/>
          <w:spacing w:val="-7"/>
          <w:sz w:val="28"/>
        </w:rPr>
        <w:t xml:space="preserve"> </w:t>
      </w:r>
      <w:r>
        <w:rPr>
          <w:b/>
          <w:sz w:val="28"/>
        </w:rPr>
        <w:t>Feedback:</w:t>
      </w:r>
      <w:r>
        <w:rPr>
          <w:b/>
          <w:spacing w:val="-7"/>
          <w:sz w:val="28"/>
        </w:rPr>
        <w:t xml:space="preserve"> </w:t>
      </w:r>
      <w:r>
        <w:rPr>
          <w:b/>
          <w:sz w:val="28"/>
        </w:rPr>
        <w:t>In-Home</w:t>
      </w:r>
      <w:r>
        <w:rPr>
          <w:b/>
          <w:spacing w:val="-7"/>
          <w:sz w:val="28"/>
        </w:rPr>
        <w:t xml:space="preserve"> </w:t>
      </w:r>
      <w:r>
        <w:rPr>
          <w:b/>
          <w:sz w:val="28"/>
        </w:rPr>
        <w:t>Displays</w:t>
      </w:r>
      <w:r>
        <w:rPr>
          <w:b/>
          <w:spacing w:val="-7"/>
          <w:sz w:val="28"/>
        </w:rPr>
        <w:t xml:space="preserve"> </w:t>
      </w:r>
      <w:r>
        <w:rPr>
          <w:b/>
          <w:sz w:val="28"/>
        </w:rPr>
        <w:t>and Online Portals</w:t>
      </w:r>
    </w:p>
    <w:p w:rsidR="00C31389" w:rsidRDefault="00C31389" w14:paraId="0CE63709" w14:textId="77777777">
      <w:pPr>
        <w:pStyle w:val="BodyText"/>
        <w:spacing w:before="4"/>
        <w:rPr>
          <w:b/>
          <w:sz w:val="31"/>
        </w:rPr>
      </w:pPr>
    </w:p>
    <w:p w:rsidR="00C31389" w:rsidRDefault="00561FBD" w14:paraId="76DA0C3D" w14:textId="77777777">
      <w:pPr>
        <w:pStyle w:val="ListParagraph"/>
        <w:numPr>
          <w:ilvl w:val="2"/>
          <w:numId w:val="19"/>
        </w:numPr>
        <w:tabs>
          <w:tab w:val="left" w:pos="1197"/>
        </w:tabs>
        <w:ind w:left="1197" w:hanging="717"/>
        <w:rPr>
          <w:b/>
          <w:sz w:val="24"/>
        </w:rPr>
      </w:pPr>
      <w:bookmarkStart w:name="D.3.1_Summary" w:id="428"/>
      <w:bookmarkStart w:name="_bookmark323" w:id="429"/>
      <w:bookmarkEnd w:id="428"/>
      <w:bookmarkEnd w:id="429"/>
      <w:r>
        <w:rPr>
          <w:b/>
          <w:spacing w:val="-2"/>
          <w:sz w:val="24"/>
        </w:rPr>
        <w:t>Summary</w:t>
      </w:r>
    </w:p>
    <w:p w:rsidR="00C31389" w:rsidRDefault="00C31389" w14:paraId="2614744D" w14:textId="77777777">
      <w:pPr>
        <w:pStyle w:val="BodyText"/>
        <w:spacing w:before="3"/>
        <w:rPr>
          <w:b/>
          <w:sz w:val="23"/>
        </w:rPr>
      </w:pPr>
    </w:p>
    <w:p w:rsidR="00C31389" w:rsidRDefault="00561FBD" w14:paraId="79BE766D" w14:textId="77777777">
      <w:pPr>
        <w:pStyle w:val="BodyText"/>
        <w:ind w:left="480" w:right="434"/>
      </w:pPr>
      <w:r>
        <w:t>Unlike</w:t>
      </w:r>
      <w:r>
        <w:rPr>
          <w:spacing w:val="-3"/>
        </w:rPr>
        <w:t xml:space="preserve"> </w:t>
      </w:r>
      <w:r>
        <w:t>HERs</w:t>
      </w:r>
      <w:r>
        <w:rPr>
          <w:spacing w:val="-3"/>
        </w:rPr>
        <w:t xml:space="preserve"> </w:t>
      </w:r>
      <w:r>
        <w:t>that</w:t>
      </w:r>
      <w:r>
        <w:rPr>
          <w:spacing w:val="-3"/>
        </w:rPr>
        <w:t xml:space="preserve"> </w:t>
      </w:r>
      <w:r>
        <w:t>arrive</w:t>
      </w:r>
      <w:r>
        <w:rPr>
          <w:spacing w:val="-4"/>
        </w:rPr>
        <w:t xml:space="preserve"> </w:t>
      </w:r>
      <w:r>
        <w:t>in</w:t>
      </w:r>
      <w:r>
        <w:rPr>
          <w:spacing w:val="-3"/>
        </w:rPr>
        <w:t xml:space="preserve"> </w:t>
      </w:r>
      <w:r>
        <w:t>the</w:t>
      </w:r>
      <w:r>
        <w:rPr>
          <w:spacing w:val="-3"/>
        </w:rPr>
        <w:t xml:space="preserve"> </w:t>
      </w:r>
      <w:r>
        <w:t>mail</w:t>
      </w:r>
      <w:r>
        <w:rPr>
          <w:spacing w:val="-3"/>
        </w:rPr>
        <w:t xml:space="preserve"> </w:t>
      </w:r>
      <w:r>
        <w:t>or</w:t>
      </w:r>
      <w:r>
        <w:rPr>
          <w:spacing w:val="-3"/>
        </w:rPr>
        <w:t xml:space="preserve"> </w:t>
      </w:r>
      <w:r>
        <w:t>email</w:t>
      </w:r>
      <w:r>
        <w:rPr>
          <w:spacing w:val="-3"/>
        </w:rPr>
        <w:t xml:space="preserve"> </w:t>
      </w:r>
      <w:r>
        <w:t>on</w:t>
      </w:r>
      <w:r>
        <w:rPr>
          <w:spacing w:val="-3"/>
        </w:rPr>
        <w:t xml:space="preserve"> </w:t>
      </w:r>
      <w:r>
        <w:t>a</w:t>
      </w:r>
      <w:r>
        <w:rPr>
          <w:spacing w:val="-3"/>
        </w:rPr>
        <w:t xml:space="preserve"> </w:t>
      </w:r>
      <w:r>
        <w:t>periodic</w:t>
      </w:r>
      <w:r>
        <w:rPr>
          <w:spacing w:val="-3"/>
        </w:rPr>
        <w:t xml:space="preserve"> </w:t>
      </w:r>
      <w:r>
        <w:t>basis,</w:t>
      </w:r>
      <w:r>
        <w:rPr>
          <w:spacing w:val="-3"/>
        </w:rPr>
        <w:t xml:space="preserve"> </w:t>
      </w:r>
      <w:r>
        <w:t>real-time</w:t>
      </w:r>
      <w:r>
        <w:rPr>
          <w:spacing w:val="-4"/>
        </w:rPr>
        <w:t xml:space="preserve"> </w:t>
      </w:r>
      <w:r>
        <w:t>feedback</w:t>
      </w:r>
      <w:r>
        <w:rPr>
          <w:spacing w:val="-3"/>
        </w:rPr>
        <w:t xml:space="preserve"> </w:t>
      </w:r>
      <w:r>
        <w:t>programs change customer behaviors by delivering advanced metering data on household consumption to utility customers via an in-home display (IHD) or remotely via an online portal, such as a website or a smartphone application. While some feedback programs</w:t>
      </w:r>
      <w:r>
        <w:t xml:space="preserve"> only provide information, others provide energy-saving tips, rewards, social comparisons, and </w:t>
      </w:r>
      <w:r>
        <w:rPr>
          <w:spacing w:val="-2"/>
        </w:rPr>
        <w:t>alerts.</w:t>
      </w:r>
    </w:p>
    <w:p w:rsidR="00C31389" w:rsidRDefault="00C31389" w14:paraId="1AD2263E" w14:textId="77777777">
      <w:pPr>
        <w:pStyle w:val="BodyText"/>
        <w:spacing w:before="10"/>
        <w:rPr>
          <w:sz w:val="20"/>
        </w:rPr>
      </w:pPr>
    </w:p>
    <w:p w:rsidR="00C31389" w:rsidRDefault="00561FBD" w14:paraId="0B11C8B5" w14:textId="77777777">
      <w:pPr>
        <w:pStyle w:val="BodyText"/>
        <w:ind w:left="479" w:right="505"/>
      </w:pPr>
      <w:r>
        <w:t>Although utility behavior programs using IHDs and online portals both provide feedback opportunities,</w:t>
      </w:r>
      <w:r>
        <w:rPr>
          <w:spacing w:val="-1"/>
        </w:rPr>
        <w:t xml:space="preserve"> </w:t>
      </w:r>
      <w:r>
        <w:t>the</w:t>
      </w:r>
      <w:r>
        <w:rPr>
          <w:spacing w:val="-1"/>
        </w:rPr>
        <w:t xml:space="preserve"> </w:t>
      </w:r>
      <w:r>
        <w:t>Guidehouse</w:t>
      </w:r>
      <w:r>
        <w:rPr>
          <w:spacing w:val="-1"/>
        </w:rPr>
        <w:t xml:space="preserve"> </w:t>
      </w:r>
      <w:r>
        <w:t>team</w:t>
      </w:r>
      <w:r>
        <w:rPr>
          <w:spacing w:val="-2"/>
        </w:rPr>
        <w:t xml:space="preserve"> </w:t>
      </w:r>
      <w:r>
        <w:t>separated</w:t>
      </w:r>
      <w:r>
        <w:rPr>
          <w:spacing w:val="-1"/>
        </w:rPr>
        <w:t xml:space="preserve"> </w:t>
      </w:r>
      <w:r>
        <w:t>its</w:t>
      </w:r>
      <w:r>
        <w:rPr>
          <w:spacing w:val="-1"/>
        </w:rPr>
        <w:t xml:space="preserve"> </w:t>
      </w:r>
      <w:r>
        <w:t>modeling</w:t>
      </w:r>
      <w:r>
        <w:rPr>
          <w:spacing w:val="-1"/>
        </w:rPr>
        <w:t xml:space="preserve"> </w:t>
      </w:r>
      <w:r>
        <w:t>inputs</w:t>
      </w:r>
      <w:r>
        <w:rPr>
          <w:spacing w:val="-1"/>
        </w:rPr>
        <w:t xml:space="preserve"> </w:t>
      </w:r>
      <w:r>
        <w:t>for</w:t>
      </w:r>
      <w:r>
        <w:rPr>
          <w:spacing w:val="-1"/>
        </w:rPr>
        <w:t xml:space="preserve"> </w:t>
      </w:r>
      <w:r>
        <w:t>the</w:t>
      </w:r>
      <w:r>
        <w:rPr>
          <w:spacing w:val="-2"/>
        </w:rPr>
        <w:t xml:space="preserve"> </w:t>
      </w:r>
      <w:r>
        <w:t>two</w:t>
      </w:r>
      <w:r>
        <w:rPr>
          <w:spacing w:val="-1"/>
        </w:rPr>
        <w:t xml:space="preserve"> </w:t>
      </w:r>
      <w:r>
        <w:t>categories</w:t>
      </w:r>
      <w:r>
        <w:rPr>
          <w:spacing w:val="-1"/>
        </w:rPr>
        <w:t xml:space="preserve"> </w:t>
      </w:r>
      <w:r>
        <w:t>to better capture differences in adoption, energy savings, and costs between the two types of programs.</w:t>
      </w:r>
      <w:r>
        <w:rPr>
          <w:spacing w:val="-3"/>
        </w:rPr>
        <w:t xml:space="preserve"> </w:t>
      </w:r>
      <w:r>
        <w:t>Of</w:t>
      </w:r>
      <w:r>
        <w:rPr>
          <w:spacing w:val="-3"/>
        </w:rPr>
        <w:t xml:space="preserve"> </w:t>
      </w:r>
      <w:r>
        <w:t>note</w:t>
      </w:r>
      <w:r>
        <w:rPr>
          <w:spacing w:val="-3"/>
        </w:rPr>
        <w:t xml:space="preserve"> </w:t>
      </w:r>
      <w:r>
        <w:t>is</w:t>
      </w:r>
      <w:r>
        <w:rPr>
          <w:spacing w:val="-3"/>
        </w:rPr>
        <w:t xml:space="preserve"> </w:t>
      </w:r>
      <w:r>
        <w:t>the</w:t>
      </w:r>
      <w:r>
        <w:rPr>
          <w:spacing w:val="-4"/>
        </w:rPr>
        <w:t xml:space="preserve"> </w:t>
      </w:r>
      <w:r>
        <w:t>higher</w:t>
      </w:r>
      <w:r>
        <w:rPr>
          <w:spacing w:val="-3"/>
        </w:rPr>
        <w:t xml:space="preserve"> </w:t>
      </w:r>
      <w:r>
        <w:t>cost</w:t>
      </w:r>
      <w:r>
        <w:rPr>
          <w:spacing w:val="-3"/>
        </w:rPr>
        <w:t xml:space="preserve"> </w:t>
      </w:r>
      <w:r>
        <w:t>typically</w:t>
      </w:r>
      <w:r>
        <w:rPr>
          <w:spacing w:val="-3"/>
        </w:rPr>
        <w:t xml:space="preserve"> </w:t>
      </w:r>
      <w:r>
        <w:t>associated</w:t>
      </w:r>
      <w:r>
        <w:rPr>
          <w:spacing w:val="-2"/>
        </w:rPr>
        <w:t xml:space="preserve"> </w:t>
      </w:r>
      <w:r>
        <w:t>with</w:t>
      </w:r>
      <w:r>
        <w:rPr>
          <w:spacing w:val="-4"/>
        </w:rPr>
        <w:t xml:space="preserve"> </w:t>
      </w:r>
      <w:r>
        <w:t>offering</w:t>
      </w:r>
      <w:r>
        <w:rPr>
          <w:spacing w:val="-3"/>
        </w:rPr>
        <w:t xml:space="preserve"> </w:t>
      </w:r>
      <w:r>
        <w:t>IHDs</w:t>
      </w:r>
      <w:r>
        <w:rPr>
          <w:spacing w:val="-3"/>
        </w:rPr>
        <w:t xml:space="preserve"> </w:t>
      </w:r>
      <w:r>
        <w:t>due</w:t>
      </w:r>
      <w:r>
        <w:rPr>
          <w:spacing w:val="-3"/>
        </w:rPr>
        <w:t xml:space="preserve"> </w:t>
      </w:r>
      <w:r>
        <w:t>to</w:t>
      </w:r>
      <w:r>
        <w:rPr>
          <w:spacing w:val="-3"/>
        </w:rPr>
        <w:t xml:space="preserve"> </w:t>
      </w:r>
      <w:r>
        <w:t>the</w:t>
      </w:r>
      <w:r>
        <w:rPr>
          <w:spacing w:val="-4"/>
        </w:rPr>
        <w:t xml:space="preserve"> </w:t>
      </w:r>
      <w:r>
        <w:t>need to install specialized hardware, whereas onlin</w:t>
      </w:r>
      <w:r>
        <w:t>e portals typically provide cloud-based information directly to the customer’s smartphone, tablet, or computer.</w:t>
      </w:r>
    </w:p>
    <w:p w:rsidR="00C31389" w:rsidRDefault="00C31389" w14:paraId="444D735D" w14:textId="77777777">
      <w:pPr>
        <w:pStyle w:val="BodyText"/>
        <w:spacing w:before="10"/>
        <w:rPr>
          <w:sz w:val="20"/>
        </w:rPr>
      </w:pPr>
    </w:p>
    <w:p w:rsidR="00C31389" w:rsidRDefault="00561FBD" w14:paraId="6A4F85AF" w14:textId="77777777">
      <w:pPr>
        <w:pStyle w:val="BodyText"/>
        <w:spacing w:before="1"/>
        <w:ind w:left="480" w:right="615"/>
      </w:pPr>
      <w:r>
        <w:t xml:space="preserve">Real-time feedback programs may also be associated with different customer rates, including time-of-use plans and more traditional usage-based </w:t>
      </w:r>
      <w:r>
        <w:t>billing. Although real-time feedback is a popular behavioral intervention for demand response (DR) programs, the team’s analysis focused on programs designed to drive EE. In all, the Guidehouse team reviewed</w:t>
      </w:r>
      <w:r>
        <w:rPr>
          <w:spacing w:val="-3"/>
        </w:rPr>
        <w:t xml:space="preserve"> </w:t>
      </w:r>
      <w:r>
        <w:t>38</w:t>
      </w:r>
      <w:r>
        <w:rPr>
          <w:spacing w:val="-3"/>
        </w:rPr>
        <w:t xml:space="preserve"> </w:t>
      </w:r>
      <w:r>
        <w:t>programs,</w:t>
      </w:r>
      <w:r>
        <w:rPr>
          <w:spacing w:val="-3"/>
        </w:rPr>
        <w:t xml:space="preserve"> </w:t>
      </w:r>
      <w:r>
        <w:t>including</w:t>
      </w:r>
      <w:r>
        <w:rPr>
          <w:spacing w:val="-3"/>
        </w:rPr>
        <w:t xml:space="preserve"> </w:t>
      </w:r>
      <w:r>
        <w:t>20</w:t>
      </w:r>
      <w:r>
        <w:rPr>
          <w:spacing w:val="-4"/>
        </w:rPr>
        <w:t xml:space="preserve"> </w:t>
      </w:r>
      <w:r>
        <w:t>providing</w:t>
      </w:r>
      <w:r>
        <w:rPr>
          <w:spacing w:val="-3"/>
        </w:rPr>
        <w:t xml:space="preserve"> </w:t>
      </w:r>
      <w:r>
        <w:t>IHDs</w:t>
      </w:r>
      <w:r>
        <w:rPr>
          <w:spacing w:val="-3"/>
        </w:rPr>
        <w:t xml:space="preserve"> </w:t>
      </w:r>
      <w:r>
        <w:t>and</w:t>
      </w:r>
      <w:r>
        <w:rPr>
          <w:spacing w:val="-3"/>
        </w:rPr>
        <w:t xml:space="preserve"> </w:t>
      </w:r>
      <w:r>
        <w:t>18</w:t>
      </w:r>
      <w:r>
        <w:rPr>
          <w:spacing w:val="-3"/>
        </w:rPr>
        <w:t xml:space="preserve"> </w:t>
      </w:r>
      <w:r>
        <w:t>offering</w:t>
      </w:r>
      <w:r>
        <w:rPr>
          <w:spacing w:val="-3"/>
        </w:rPr>
        <w:t xml:space="preserve"> </w:t>
      </w:r>
      <w:r>
        <w:t>online</w:t>
      </w:r>
      <w:r>
        <w:rPr>
          <w:spacing w:val="-3"/>
        </w:rPr>
        <w:t xml:space="preserve"> </w:t>
      </w:r>
      <w:r>
        <w:t>portals.</w:t>
      </w:r>
      <w:r>
        <w:rPr>
          <w:spacing w:val="-3"/>
        </w:rPr>
        <w:t xml:space="preserve"> </w:t>
      </w:r>
      <w:r>
        <w:t>Several</w:t>
      </w:r>
    </w:p>
    <w:p w:rsidR="00C31389" w:rsidRDefault="00C31389" w14:paraId="07C86EAF" w14:textId="77777777">
      <w:pPr>
        <w:pStyle w:val="BodyText"/>
        <w:rPr>
          <w:sz w:val="20"/>
        </w:rPr>
      </w:pPr>
    </w:p>
    <w:p w:rsidR="00C31389" w:rsidRDefault="00561FBD" w14:paraId="2F4AD677" w14:textId="77777777">
      <w:pPr>
        <w:pStyle w:val="BodyText"/>
        <w:spacing w:before="10"/>
        <w:rPr>
          <w:sz w:val="26"/>
        </w:rPr>
      </w:pPr>
      <w:r>
        <w:rPr>
          <w:noProof/>
        </w:rPr>
        <mc:AlternateContent>
          <mc:Choice Requires="wps">
            <w:drawing>
              <wp:anchor distT="0" distB="0" distL="0" distR="0" simplePos="0" relativeHeight="487717888" behindDoc="1" locked="0" layoutInCell="1" allowOverlap="1" wp14:editId="3ED2A1AF" wp14:anchorId="04EE2373">
                <wp:simplePos x="0" y="0"/>
                <wp:positionH relativeFrom="page">
                  <wp:posOffset>914400</wp:posOffset>
                </wp:positionH>
                <wp:positionV relativeFrom="paragraph">
                  <wp:posOffset>211817</wp:posOffset>
                </wp:positionV>
                <wp:extent cx="1828800" cy="6985"/>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10" style="position:absolute;margin-left:1in;margin-top:16.7pt;width:2in;height:.55pt;z-index:-1559859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" w14:anchorId="24B43638">
                <v:path arrowok="t"/>
                <w10:wrap type="topAndBottom" anchorx="page"/>
              </v:shape>
            </w:pict>
          </mc:Fallback>
        </mc:AlternateContent>
      </w:r>
    </w:p>
    <w:p w:rsidR="00C31389" w:rsidRDefault="00561FBD" w14:paraId="6512511F" w14:textId="77777777">
      <w:pPr>
        <w:spacing w:before="89"/>
        <w:ind w:left="480"/>
        <w:rPr>
          <w:sz w:val="18"/>
        </w:rPr>
      </w:pPr>
      <w:bookmarkStart w:name="_bookmark324" w:id="430"/>
      <w:bookmarkEnd w:id="430"/>
      <w:r>
        <w:rPr>
          <w:position w:val="6"/>
          <w:sz w:val="12"/>
        </w:rPr>
        <w:t>103</w:t>
      </w:r>
      <w:r>
        <w:rPr>
          <w:spacing w:val="17"/>
          <w:position w:val="6"/>
          <w:sz w:val="12"/>
        </w:rPr>
        <w:t xml:space="preserve"> </w:t>
      </w:r>
      <w:r>
        <w:rPr>
          <w:spacing w:val="-2"/>
          <w:sz w:val="18"/>
        </w:rPr>
        <w:t>https://</w:t>
      </w:r>
      <w:hyperlink r:id="rId258">
        <w:r>
          <w:rPr>
            <w:spacing w:val="-2"/>
            <w:sz w:val="18"/>
          </w:rPr>
          <w:t>www.caetrm.com/measure/SWWB002/01/</w:t>
        </w:r>
      </w:hyperlink>
    </w:p>
    <w:p w:rsidR="00C31389" w:rsidRDefault="00561FBD" w14:paraId="0ABEED74" w14:textId="77777777">
      <w:pPr>
        <w:spacing w:before="36"/>
        <w:ind w:left="480"/>
        <w:rPr>
          <w:sz w:val="18"/>
        </w:rPr>
      </w:pPr>
      <w:bookmarkStart w:name="_bookmark325" w:id="431"/>
      <w:bookmarkEnd w:id="431"/>
      <w:r>
        <w:rPr>
          <w:position w:val="6"/>
          <w:sz w:val="12"/>
        </w:rPr>
        <w:t>104</w:t>
      </w:r>
      <w:r>
        <w:rPr>
          <w:spacing w:val="13"/>
          <w:position w:val="6"/>
          <w:sz w:val="12"/>
        </w:rPr>
        <w:t xml:space="preserve"> </w:t>
      </w:r>
      <w:r>
        <w:rPr>
          <w:sz w:val="18"/>
        </w:rPr>
        <w:t>Energy</w:t>
      </w:r>
      <w:r>
        <w:rPr>
          <w:spacing w:val="-3"/>
          <w:sz w:val="18"/>
        </w:rPr>
        <w:t xml:space="preserve"> </w:t>
      </w:r>
      <w:r>
        <w:rPr>
          <w:sz w:val="18"/>
        </w:rPr>
        <w:t>Advisor</w:t>
      </w:r>
      <w:r>
        <w:rPr>
          <w:spacing w:val="-3"/>
          <w:sz w:val="18"/>
        </w:rPr>
        <w:t xml:space="preserve"> </w:t>
      </w:r>
      <w:r>
        <w:rPr>
          <w:sz w:val="18"/>
        </w:rPr>
        <w:t>programs</w:t>
      </w:r>
      <w:r>
        <w:rPr>
          <w:spacing w:val="-4"/>
          <w:sz w:val="18"/>
        </w:rPr>
        <w:t xml:space="preserve"> </w:t>
      </w:r>
      <w:r>
        <w:rPr>
          <w:sz w:val="18"/>
        </w:rPr>
        <w:t>savings</w:t>
      </w:r>
      <w:r>
        <w:rPr>
          <w:spacing w:val="-3"/>
          <w:sz w:val="18"/>
        </w:rPr>
        <w:t xml:space="preserve"> </w:t>
      </w:r>
      <w:r>
        <w:rPr>
          <w:sz w:val="18"/>
        </w:rPr>
        <w:t>and</w:t>
      </w:r>
      <w:r>
        <w:rPr>
          <w:spacing w:val="-4"/>
          <w:sz w:val="18"/>
        </w:rPr>
        <w:t xml:space="preserve"> </w:t>
      </w:r>
      <w:r>
        <w:rPr>
          <w:sz w:val="18"/>
        </w:rPr>
        <w:t>costs,</w:t>
      </w:r>
      <w:r>
        <w:rPr>
          <w:spacing w:val="-2"/>
          <w:sz w:val="18"/>
        </w:rPr>
        <w:t xml:space="preserve"> </w:t>
      </w:r>
      <w:r>
        <w:rPr>
          <w:sz w:val="18"/>
        </w:rPr>
        <w:t>CEDARS,</w:t>
      </w:r>
      <w:r>
        <w:rPr>
          <w:spacing w:val="-3"/>
          <w:sz w:val="18"/>
        </w:rPr>
        <w:t xml:space="preserve"> </w:t>
      </w:r>
      <w:r>
        <w:rPr>
          <w:spacing w:val="-4"/>
          <w:sz w:val="18"/>
        </w:rPr>
        <w:t>2017.</w:t>
      </w:r>
    </w:p>
    <w:p w:rsidR="00C31389" w:rsidRDefault="00C31389" w14:paraId="59A830CA" w14:textId="77777777">
      <w:pPr>
        <w:rPr>
          <w:sz w:val="18"/>
        </w:rPr>
        <w:sectPr w:rsidR="00C31389">
          <w:pgSz w:w="11910" w:h="16840"/>
          <w:pgMar w:top="1660" w:right="1020" w:bottom="1120" w:left="960" w:header="397" w:footer="938" w:gutter="0"/>
          <w:cols w:space="720"/>
        </w:sectPr>
      </w:pPr>
    </w:p>
    <w:p w:rsidR="00C31389" w:rsidRDefault="00C31389" w14:paraId="24649152" w14:textId="77777777">
      <w:pPr>
        <w:pStyle w:val="BodyText"/>
        <w:spacing w:before="11"/>
        <w:rPr>
          <w:sz w:val="13"/>
        </w:rPr>
      </w:pPr>
    </w:p>
    <w:p w:rsidR="00C31389" w:rsidRDefault="00561FBD" w14:paraId="4127CBC2" w14:textId="77777777">
      <w:pPr>
        <w:pStyle w:val="BodyText"/>
        <w:spacing w:before="92"/>
        <w:ind w:left="480" w:right="418"/>
      </w:pPr>
      <w:r>
        <w:t>programs</w:t>
      </w:r>
      <w:r>
        <w:rPr>
          <w:spacing w:val="-3"/>
        </w:rPr>
        <w:t xml:space="preserve"> </w:t>
      </w:r>
      <w:r>
        <w:t>offered</w:t>
      </w:r>
      <w:r>
        <w:rPr>
          <w:spacing w:val="-3"/>
        </w:rPr>
        <w:t xml:space="preserve"> </w:t>
      </w:r>
      <w:r>
        <w:t>both</w:t>
      </w:r>
      <w:r>
        <w:rPr>
          <w:spacing w:val="-3"/>
        </w:rPr>
        <w:t xml:space="preserve"> </w:t>
      </w:r>
      <w:r>
        <w:t>types</w:t>
      </w:r>
      <w:r>
        <w:rPr>
          <w:spacing w:val="-3"/>
        </w:rPr>
        <w:t xml:space="preserve"> </w:t>
      </w:r>
      <w:r>
        <w:t>of</w:t>
      </w:r>
      <w:r>
        <w:rPr>
          <w:spacing w:val="-3"/>
        </w:rPr>
        <w:t xml:space="preserve"> </w:t>
      </w:r>
      <w:r>
        <w:t>feedback.</w:t>
      </w:r>
      <w:r>
        <w:rPr>
          <w:spacing w:val="-3"/>
        </w:rPr>
        <w:t xml:space="preserve"> </w:t>
      </w:r>
      <w:r>
        <w:t>In</w:t>
      </w:r>
      <w:r>
        <w:rPr>
          <w:spacing w:val="-3"/>
        </w:rPr>
        <w:t xml:space="preserve"> </w:t>
      </w:r>
      <w:r>
        <w:t>those</w:t>
      </w:r>
      <w:r>
        <w:rPr>
          <w:spacing w:val="-3"/>
        </w:rPr>
        <w:t xml:space="preserve"> </w:t>
      </w:r>
      <w:r>
        <w:t>cases,</w:t>
      </w:r>
      <w:r>
        <w:rPr>
          <w:spacing w:val="-3"/>
        </w:rPr>
        <w:t xml:space="preserve"> </w:t>
      </w:r>
      <w:r>
        <w:t>the</w:t>
      </w:r>
      <w:r>
        <w:rPr>
          <w:spacing w:val="-4"/>
        </w:rPr>
        <w:t xml:space="preserve"> </w:t>
      </w:r>
      <w:r>
        <w:t>team</w:t>
      </w:r>
      <w:r>
        <w:rPr>
          <w:spacing w:val="-4"/>
        </w:rPr>
        <w:t xml:space="preserve"> </w:t>
      </w:r>
      <w:r>
        <w:t>categorized</w:t>
      </w:r>
      <w:r>
        <w:rPr>
          <w:spacing w:val="-3"/>
        </w:rPr>
        <w:t xml:space="preserve"> </w:t>
      </w:r>
      <w:r>
        <w:t>them</w:t>
      </w:r>
      <w:r>
        <w:rPr>
          <w:spacing w:val="-4"/>
        </w:rPr>
        <w:t xml:space="preserve"> </w:t>
      </w:r>
      <w:r>
        <w:t>in</w:t>
      </w:r>
      <w:r>
        <w:rPr>
          <w:spacing w:val="-3"/>
        </w:rPr>
        <w:t xml:space="preserve"> </w:t>
      </w:r>
      <w:r>
        <w:t xml:space="preserve">the IHD category because they had associated </w:t>
      </w:r>
      <w:r>
        <w:t>costs for the hardware.</w:t>
      </w:r>
    </w:p>
    <w:p w:rsidR="00C31389" w:rsidRDefault="00C31389" w14:paraId="2EC0AA91" w14:textId="77777777">
      <w:pPr>
        <w:pStyle w:val="BodyText"/>
        <w:spacing w:before="11"/>
        <w:rPr>
          <w:sz w:val="20"/>
        </w:rPr>
      </w:pPr>
    </w:p>
    <w:p w:rsidR="00C31389" w:rsidRDefault="00561FBD" w14:paraId="305C5564" w14:textId="77777777">
      <w:pPr>
        <w:pStyle w:val="Heading7"/>
        <w:ind w:left="398" w:right="339"/>
        <w:jc w:val="center"/>
      </w:pPr>
      <w:bookmarkStart w:name="_bookmark326" w:id="432"/>
      <w:bookmarkEnd w:id="432"/>
      <w:r>
        <w:t>Table</w:t>
      </w:r>
      <w:r>
        <w:rPr>
          <w:spacing w:val="-7"/>
        </w:rPr>
        <w:t xml:space="preserve"> </w:t>
      </w:r>
      <w:r>
        <w:t>D-4.</w:t>
      </w:r>
      <w:r>
        <w:rPr>
          <w:spacing w:val="-7"/>
        </w:rPr>
        <w:t xml:space="preserve"> </w:t>
      </w:r>
      <w:r>
        <w:t>Real-Time</w:t>
      </w:r>
      <w:r>
        <w:rPr>
          <w:spacing w:val="-7"/>
        </w:rPr>
        <w:t xml:space="preserve"> </w:t>
      </w:r>
      <w:r>
        <w:t>Feedback</w:t>
      </w:r>
      <w:r>
        <w:rPr>
          <w:spacing w:val="-6"/>
        </w:rPr>
        <w:t xml:space="preserve"> </w:t>
      </w:r>
      <w:r>
        <w:t>–</w:t>
      </w:r>
      <w:r>
        <w:rPr>
          <w:spacing w:val="-6"/>
        </w:rPr>
        <w:t xml:space="preserve"> </w:t>
      </w:r>
      <w:r>
        <w:t>Key</w:t>
      </w:r>
      <w:r>
        <w:rPr>
          <w:spacing w:val="-6"/>
        </w:rPr>
        <w:t xml:space="preserve"> </w:t>
      </w:r>
      <w:r>
        <w:rPr>
          <w:spacing w:val="-2"/>
        </w:rPr>
        <w:t>Assumptions</w:t>
      </w:r>
    </w:p>
    <w:p w:rsidR="00C31389" w:rsidRDefault="00C31389" w14:paraId="6144B990" w14:textId="77777777">
      <w:pPr>
        <w:pStyle w:val="BodyText"/>
        <w:spacing w:before="6"/>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1255"/>
        <w:gridCol w:w="1722"/>
        <w:gridCol w:w="867"/>
        <w:gridCol w:w="942"/>
        <w:gridCol w:w="1263"/>
        <w:gridCol w:w="1017"/>
        <w:gridCol w:w="1101"/>
        <w:gridCol w:w="1211"/>
      </w:tblGrid>
      <w:tr w:rsidR="00C31389" w14:paraId="035DF800" w14:textId="77777777">
        <w:trPr>
          <w:trHeight w:val="282"/>
        </w:trPr>
        <w:tc>
          <w:tcPr>
            <w:tcW w:w="1255" w:type="dxa"/>
            <w:shd w:val="clear" w:color="auto" w:fill="92D400"/>
          </w:tcPr>
          <w:p w:rsidR="00C31389" w:rsidRDefault="00C31389" w14:paraId="248FBA28" w14:textId="77777777">
            <w:pPr>
              <w:pStyle w:val="TableParagraph"/>
              <w:spacing w:before="0"/>
              <w:rPr>
                <w:rFonts w:ascii="Times New Roman"/>
                <w:sz w:val="20"/>
              </w:rPr>
            </w:pPr>
          </w:p>
        </w:tc>
        <w:tc>
          <w:tcPr>
            <w:tcW w:w="1722" w:type="dxa"/>
            <w:shd w:val="clear" w:color="auto" w:fill="92D400"/>
          </w:tcPr>
          <w:p w:rsidR="00C31389" w:rsidRDefault="00C31389" w14:paraId="38E55923" w14:textId="77777777">
            <w:pPr>
              <w:pStyle w:val="TableParagraph"/>
              <w:spacing w:before="0"/>
              <w:rPr>
                <w:rFonts w:ascii="Times New Roman"/>
                <w:sz w:val="20"/>
              </w:rPr>
            </w:pPr>
          </w:p>
        </w:tc>
        <w:tc>
          <w:tcPr>
            <w:tcW w:w="867" w:type="dxa"/>
            <w:vMerge w:val="restart"/>
            <w:shd w:val="clear" w:color="auto" w:fill="92D400"/>
          </w:tcPr>
          <w:p w:rsidR="00C31389" w:rsidRDefault="00561FBD" w14:paraId="51996DEE" w14:textId="77777777">
            <w:pPr>
              <w:pStyle w:val="TableParagraph"/>
              <w:spacing w:before="155"/>
              <w:ind w:left="211"/>
              <w:rPr>
                <w:b/>
                <w:sz w:val="20"/>
              </w:rPr>
            </w:pPr>
            <w:r>
              <w:rPr>
                <w:b/>
                <w:spacing w:val="-5"/>
                <w:sz w:val="20"/>
              </w:rPr>
              <w:t>EUL</w:t>
            </w:r>
          </w:p>
          <w:p w:rsidR="00C31389" w:rsidRDefault="00561FBD" w14:paraId="061B119D" w14:textId="77777777">
            <w:pPr>
              <w:pStyle w:val="TableParagraph"/>
              <w:spacing w:before="1"/>
              <w:ind w:left="139"/>
              <w:rPr>
                <w:b/>
                <w:sz w:val="20"/>
              </w:rPr>
            </w:pPr>
            <w:r>
              <w:rPr>
                <w:b/>
                <w:spacing w:val="-2"/>
                <w:sz w:val="20"/>
              </w:rPr>
              <w:t>Years</w:t>
            </w:r>
          </w:p>
        </w:tc>
        <w:tc>
          <w:tcPr>
            <w:tcW w:w="2205" w:type="dxa"/>
            <w:gridSpan w:val="2"/>
            <w:shd w:val="clear" w:color="auto" w:fill="92D400"/>
          </w:tcPr>
          <w:p w:rsidR="00C31389" w:rsidRDefault="00561FBD" w14:paraId="577F78D1" w14:textId="77777777">
            <w:pPr>
              <w:pStyle w:val="TableParagraph"/>
              <w:spacing w:before="57" w:line="205" w:lineRule="exact"/>
              <w:ind w:left="736"/>
              <w:rPr>
                <w:b/>
                <w:sz w:val="20"/>
              </w:rPr>
            </w:pPr>
            <w:r>
              <w:rPr>
                <w:b/>
                <w:spacing w:val="-2"/>
                <w:sz w:val="20"/>
              </w:rPr>
              <w:t>Savings</w:t>
            </w:r>
          </w:p>
        </w:tc>
        <w:tc>
          <w:tcPr>
            <w:tcW w:w="2118" w:type="dxa"/>
            <w:gridSpan w:val="2"/>
            <w:shd w:val="clear" w:color="auto" w:fill="92D400"/>
          </w:tcPr>
          <w:p w:rsidR="00C31389" w:rsidRDefault="00561FBD" w14:paraId="504AE063" w14:textId="77777777">
            <w:pPr>
              <w:pStyle w:val="TableParagraph"/>
              <w:spacing w:before="57" w:line="205" w:lineRule="exact"/>
              <w:ind w:left="885" w:right="764"/>
              <w:jc w:val="center"/>
              <w:rPr>
                <w:b/>
                <w:sz w:val="20"/>
              </w:rPr>
            </w:pPr>
            <w:r>
              <w:rPr>
                <w:b/>
                <w:spacing w:val="-4"/>
                <w:sz w:val="20"/>
              </w:rPr>
              <w:t>Cost</w:t>
            </w:r>
          </w:p>
        </w:tc>
        <w:tc>
          <w:tcPr>
            <w:tcW w:w="1211" w:type="dxa"/>
            <w:vMerge w:val="restart"/>
            <w:shd w:val="clear" w:color="auto" w:fill="92D400"/>
          </w:tcPr>
          <w:p w:rsidR="00C31389" w:rsidRDefault="00561FBD" w14:paraId="638F1678" w14:textId="77777777">
            <w:pPr>
              <w:pStyle w:val="TableParagraph"/>
              <w:ind w:left="193" w:right="156"/>
              <w:jc w:val="center"/>
              <w:rPr>
                <w:b/>
                <w:sz w:val="20"/>
              </w:rPr>
            </w:pPr>
            <w:r>
              <w:rPr>
                <w:b/>
                <w:spacing w:val="-2"/>
                <w:sz w:val="20"/>
              </w:rPr>
              <w:t>kW/kWh Savings Ratio</w:t>
            </w:r>
          </w:p>
        </w:tc>
      </w:tr>
      <w:tr w:rsidR="00C31389" w14:paraId="4A1C193E" w14:textId="77777777">
        <w:trPr>
          <w:trHeight w:val="197"/>
        </w:trPr>
        <w:tc>
          <w:tcPr>
            <w:tcW w:w="1255" w:type="dxa"/>
            <w:shd w:val="clear" w:color="auto" w:fill="92D400"/>
          </w:tcPr>
          <w:p w:rsidR="00C31389" w:rsidRDefault="00561FBD" w14:paraId="46FFDBE3" w14:textId="77777777">
            <w:pPr>
              <w:pStyle w:val="TableParagraph"/>
              <w:spacing w:before="0" w:line="177" w:lineRule="exact"/>
              <w:ind w:left="129"/>
              <w:rPr>
                <w:b/>
                <w:sz w:val="20"/>
              </w:rPr>
            </w:pPr>
            <w:r>
              <w:rPr>
                <w:b/>
                <w:spacing w:val="-2"/>
                <w:sz w:val="20"/>
              </w:rPr>
              <w:t>Sector</w:t>
            </w:r>
          </w:p>
        </w:tc>
        <w:tc>
          <w:tcPr>
            <w:tcW w:w="1722" w:type="dxa"/>
            <w:shd w:val="clear" w:color="auto" w:fill="92D400"/>
          </w:tcPr>
          <w:p w:rsidR="00C31389" w:rsidRDefault="00561FBD" w14:paraId="60A35CAB" w14:textId="77777777">
            <w:pPr>
              <w:pStyle w:val="TableParagraph"/>
              <w:spacing w:before="0" w:line="177" w:lineRule="exact"/>
              <w:ind w:left="134"/>
              <w:rPr>
                <w:b/>
                <w:sz w:val="20"/>
              </w:rPr>
            </w:pPr>
            <w:r>
              <w:rPr>
                <w:b/>
                <w:spacing w:val="-4"/>
                <w:sz w:val="20"/>
              </w:rPr>
              <w:t>Type</w:t>
            </w:r>
          </w:p>
        </w:tc>
        <w:tc>
          <w:tcPr>
            <w:tcW w:w="867" w:type="dxa"/>
            <w:vMerge/>
            <w:tcBorders>
              <w:top w:val="nil"/>
            </w:tcBorders>
            <w:shd w:val="clear" w:color="auto" w:fill="92D400"/>
          </w:tcPr>
          <w:p w:rsidR="00C31389" w:rsidRDefault="00C31389" w14:paraId="7626F7B7" w14:textId="77777777">
            <w:pPr>
              <w:rPr>
                <w:sz w:val="2"/>
                <w:szCs w:val="2"/>
              </w:rPr>
            </w:pPr>
          </w:p>
        </w:tc>
        <w:tc>
          <w:tcPr>
            <w:tcW w:w="942" w:type="dxa"/>
            <w:shd w:val="clear" w:color="auto" w:fill="92D400"/>
          </w:tcPr>
          <w:p w:rsidR="00C31389" w:rsidRDefault="00C31389" w14:paraId="4FFA2163" w14:textId="77777777">
            <w:pPr>
              <w:pStyle w:val="TableParagraph"/>
              <w:spacing w:before="0"/>
              <w:rPr>
                <w:rFonts w:ascii="Times New Roman"/>
                <w:sz w:val="12"/>
              </w:rPr>
            </w:pPr>
          </w:p>
        </w:tc>
        <w:tc>
          <w:tcPr>
            <w:tcW w:w="1263" w:type="dxa"/>
            <w:shd w:val="clear" w:color="auto" w:fill="92D400"/>
          </w:tcPr>
          <w:p w:rsidR="00C31389" w:rsidRDefault="00C31389" w14:paraId="49DFC12F" w14:textId="77777777">
            <w:pPr>
              <w:pStyle w:val="TableParagraph"/>
              <w:spacing w:before="0"/>
              <w:rPr>
                <w:rFonts w:ascii="Times New Roman"/>
                <w:sz w:val="12"/>
              </w:rPr>
            </w:pPr>
          </w:p>
        </w:tc>
        <w:tc>
          <w:tcPr>
            <w:tcW w:w="1017" w:type="dxa"/>
            <w:shd w:val="clear" w:color="auto" w:fill="92D400"/>
          </w:tcPr>
          <w:p w:rsidR="00C31389" w:rsidRDefault="00C31389" w14:paraId="28030955" w14:textId="77777777">
            <w:pPr>
              <w:pStyle w:val="TableParagraph"/>
              <w:spacing w:before="0"/>
              <w:rPr>
                <w:rFonts w:ascii="Times New Roman"/>
                <w:sz w:val="12"/>
              </w:rPr>
            </w:pPr>
          </w:p>
        </w:tc>
        <w:tc>
          <w:tcPr>
            <w:tcW w:w="1101" w:type="dxa"/>
            <w:shd w:val="clear" w:color="auto" w:fill="92D400"/>
          </w:tcPr>
          <w:p w:rsidR="00C31389" w:rsidRDefault="00C31389" w14:paraId="1789D2E1" w14:textId="77777777">
            <w:pPr>
              <w:pStyle w:val="TableParagraph"/>
              <w:spacing w:before="0"/>
              <w:rPr>
                <w:rFonts w:ascii="Times New Roman"/>
                <w:sz w:val="12"/>
              </w:rPr>
            </w:pPr>
          </w:p>
        </w:tc>
        <w:tc>
          <w:tcPr>
            <w:tcW w:w="1211" w:type="dxa"/>
            <w:vMerge/>
            <w:tcBorders>
              <w:top w:val="nil"/>
            </w:tcBorders>
            <w:shd w:val="clear" w:color="auto" w:fill="92D400"/>
          </w:tcPr>
          <w:p w:rsidR="00C31389" w:rsidRDefault="00C31389" w14:paraId="1D6BC2C7" w14:textId="77777777">
            <w:pPr>
              <w:rPr>
                <w:sz w:val="2"/>
                <w:szCs w:val="2"/>
              </w:rPr>
            </w:pPr>
          </w:p>
        </w:tc>
      </w:tr>
      <w:tr w:rsidR="00C31389" w14:paraId="4BC9C182" w14:textId="77777777">
        <w:trPr>
          <w:trHeight w:val="300"/>
        </w:trPr>
        <w:tc>
          <w:tcPr>
            <w:tcW w:w="1255" w:type="dxa"/>
            <w:shd w:val="clear" w:color="auto" w:fill="92D400"/>
          </w:tcPr>
          <w:p w:rsidR="00C31389" w:rsidRDefault="00C31389" w14:paraId="33014E45" w14:textId="77777777">
            <w:pPr>
              <w:pStyle w:val="TableParagraph"/>
              <w:spacing w:before="0"/>
              <w:rPr>
                <w:rFonts w:ascii="Times New Roman"/>
                <w:sz w:val="20"/>
              </w:rPr>
            </w:pPr>
          </w:p>
        </w:tc>
        <w:tc>
          <w:tcPr>
            <w:tcW w:w="1722" w:type="dxa"/>
            <w:shd w:val="clear" w:color="auto" w:fill="92D400"/>
          </w:tcPr>
          <w:p w:rsidR="00C31389" w:rsidRDefault="00C31389" w14:paraId="54247260" w14:textId="77777777">
            <w:pPr>
              <w:pStyle w:val="TableParagraph"/>
              <w:spacing w:before="0"/>
              <w:rPr>
                <w:rFonts w:ascii="Times New Roman"/>
                <w:sz w:val="20"/>
              </w:rPr>
            </w:pPr>
          </w:p>
        </w:tc>
        <w:tc>
          <w:tcPr>
            <w:tcW w:w="867" w:type="dxa"/>
            <w:vMerge/>
            <w:tcBorders>
              <w:top w:val="nil"/>
            </w:tcBorders>
            <w:shd w:val="clear" w:color="auto" w:fill="92D400"/>
          </w:tcPr>
          <w:p w:rsidR="00C31389" w:rsidRDefault="00C31389" w14:paraId="1544A764" w14:textId="77777777">
            <w:pPr>
              <w:rPr>
                <w:sz w:val="2"/>
                <w:szCs w:val="2"/>
              </w:rPr>
            </w:pPr>
          </w:p>
        </w:tc>
        <w:tc>
          <w:tcPr>
            <w:tcW w:w="942" w:type="dxa"/>
            <w:shd w:val="clear" w:color="auto" w:fill="92D400"/>
          </w:tcPr>
          <w:p w:rsidR="00C31389" w:rsidRDefault="00561FBD" w14:paraId="05D66AFE" w14:textId="77777777">
            <w:pPr>
              <w:pStyle w:val="TableParagraph"/>
              <w:spacing w:before="0" w:line="202" w:lineRule="exact"/>
              <w:ind w:left="196"/>
              <w:rPr>
                <w:b/>
                <w:sz w:val="20"/>
              </w:rPr>
            </w:pPr>
            <w:r>
              <w:rPr>
                <w:b/>
                <w:spacing w:val="-5"/>
                <w:sz w:val="20"/>
              </w:rPr>
              <w:t>kWh</w:t>
            </w:r>
          </w:p>
        </w:tc>
        <w:tc>
          <w:tcPr>
            <w:tcW w:w="1263" w:type="dxa"/>
            <w:shd w:val="clear" w:color="auto" w:fill="92D400"/>
          </w:tcPr>
          <w:p w:rsidR="00C31389" w:rsidRDefault="00561FBD" w14:paraId="0DD34694" w14:textId="77777777">
            <w:pPr>
              <w:pStyle w:val="TableParagraph"/>
              <w:spacing w:before="0" w:line="202" w:lineRule="exact"/>
              <w:ind w:left="288" w:right="279"/>
              <w:jc w:val="center"/>
              <w:rPr>
                <w:b/>
                <w:sz w:val="20"/>
              </w:rPr>
            </w:pPr>
            <w:r>
              <w:rPr>
                <w:b/>
                <w:spacing w:val="-2"/>
                <w:sz w:val="20"/>
              </w:rPr>
              <w:t>therms</w:t>
            </w:r>
          </w:p>
        </w:tc>
        <w:tc>
          <w:tcPr>
            <w:tcW w:w="1017" w:type="dxa"/>
            <w:shd w:val="clear" w:color="auto" w:fill="92D400"/>
          </w:tcPr>
          <w:p w:rsidR="00C31389" w:rsidRDefault="00561FBD" w14:paraId="7D4746FF" w14:textId="77777777">
            <w:pPr>
              <w:pStyle w:val="TableParagraph"/>
              <w:spacing w:before="0" w:line="202" w:lineRule="exact"/>
              <w:ind w:right="264"/>
              <w:jc w:val="right"/>
              <w:rPr>
                <w:b/>
                <w:sz w:val="20"/>
              </w:rPr>
            </w:pPr>
            <w:r>
              <w:rPr>
                <w:b/>
                <w:spacing w:val="-5"/>
                <w:sz w:val="20"/>
              </w:rPr>
              <w:t>kWh</w:t>
            </w:r>
          </w:p>
        </w:tc>
        <w:tc>
          <w:tcPr>
            <w:tcW w:w="1101" w:type="dxa"/>
            <w:shd w:val="clear" w:color="auto" w:fill="92D400"/>
          </w:tcPr>
          <w:p w:rsidR="00C31389" w:rsidRDefault="00561FBD" w14:paraId="327B9D6C" w14:textId="77777777">
            <w:pPr>
              <w:pStyle w:val="TableParagraph"/>
              <w:spacing w:before="0" w:line="202" w:lineRule="exact"/>
              <w:ind w:left="208" w:right="198"/>
              <w:jc w:val="center"/>
              <w:rPr>
                <w:b/>
                <w:sz w:val="20"/>
              </w:rPr>
            </w:pPr>
            <w:r>
              <w:rPr>
                <w:b/>
                <w:spacing w:val="-2"/>
                <w:sz w:val="20"/>
              </w:rPr>
              <w:t>therms</w:t>
            </w:r>
          </w:p>
        </w:tc>
        <w:tc>
          <w:tcPr>
            <w:tcW w:w="1211" w:type="dxa"/>
            <w:vMerge/>
            <w:tcBorders>
              <w:top w:val="nil"/>
            </w:tcBorders>
            <w:shd w:val="clear" w:color="auto" w:fill="92D400"/>
          </w:tcPr>
          <w:p w:rsidR="00C31389" w:rsidRDefault="00C31389" w14:paraId="4B530A95" w14:textId="77777777">
            <w:pPr>
              <w:rPr>
                <w:sz w:val="2"/>
                <w:szCs w:val="2"/>
              </w:rPr>
            </w:pPr>
          </w:p>
        </w:tc>
      </w:tr>
      <w:tr w:rsidR="00C31389" w14:paraId="0DAC930F" w14:textId="77777777">
        <w:trPr>
          <w:trHeight w:val="539"/>
        </w:trPr>
        <w:tc>
          <w:tcPr>
            <w:tcW w:w="1255" w:type="dxa"/>
            <w:tcBorders>
              <w:bottom w:val="single" w:color="D9D9D9" w:sz="2" w:space="0"/>
            </w:tcBorders>
          </w:tcPr>
          <w:p w:rsidR="00C31389" w:rsidRDefault="00561FBD" w14:paraId="161167BA" w14:textId="77777777">
            <w:pPr>
              <w:pStyle w:val="TableParagraph"/>
              <w:spacing w:before="155"/>
              <w:ind w:left="129"/>
              <w:rPr>
                <w:sz w:val="20"/>
              </w:rPr>
            </w:pPr>
            <w:r>
              <w:rPr>
                <w:spacing w:val="-2"/>
                <w:sz w:val="20"/>
              </w:rPr>
              <w:t>Residential</w:t>
            </w:r>
          </w:p>
        </w:tc>
        <w:tc>
          <w:tcPr>
            <w:tcW w:w="1722" w:type="dxa"/>
            <w:tcBorders>
              <w:bottom w:val="single" w:color="D9D9D9" w:sz="2" w:space="0"/>
            </w:tcBorders>
          </w:tcPr>
          <w:p w:rsidR="00C31389" w:rsidRDefault="00561FBD" w14:paraId="34C519B2" w14:textId="77777777">
            <w:pPr>
              <w:pStyle w:val="TableParagraph"/>
              <w:ind w:left="134"/>
              <w:rPr>
                <w:sz w:val="20"/>
              </w:rPr>
            </w:pPr>
            <w:r>
              <w:rPr>
                <w:spacing w:val="-2"/>
                <w:sz w:val="20"/>
              </w:rPr>
              <w:t xml:space="preserve">Real-Time </w:t>
            </w:r>
            <w:r>
              <w:rPr>
                <w:sz w:val="20"/>
              </w:rPr>
              <w:t>Feedback</w:t>
            </w:r>
            <w:r>
              <w:rPr>
                <w:spacing w:val="-14"/>
                <w:sz w:val="20"/>
              </w:rPr>
              <w:t xml:space="preserve"> </w:t>
            </w:r>
            <w:r>
              <w:rPr>
                <w:sz w:val="20"/>
              </w:rPr>
              <w:t>–</w:t>
            </w:r>
            <w:r>
              <w:rPr>
                <w:spacing w:val="-14"/>
                <w:sz w:val="20"/>
              </w:rPr>
              <w:t xml:space="preserve"> </w:t>
            </w:r>
            <w:r>
              <w:rPr>
                <w:sz w:val="20"/>
              </w:rPr>
              <w:t>IHD</w:t>
            </w:r>
          </w:p>
        </w:tc>
        <w:tc>
          <w:tcPr>
            <w:tcW w:w="867" w:type="dxa"/>
            <w:tcBorders>
              <w:bottom w:val="single" w:color="D9D9D9" w:sz="2" w:space="0"/>
            </w:tcBorders>
          </w:tcPr>
          <w:p w:rsidR="00C31389" w:rsidRDefault="00561FBD" w14:paraId="08779450" w14:textId="77777777">
            <w:pPr>
              <w:pStyle w:val="TableParagraph"/>
              <w:spacing w:before="155"/>
              <w:ind w:left="356"/>
              <w:rPr>
                <w:sz w:val="20"/>
              </w:rPr>
            </w:pPr>
            <w:r>
              <w:rPr>
                <w:sz w:val="20"/>
              </w:rPr>
              <w:t>1</w:t>
            </w:r>
          </w:p>
        </w:tc>
        <w:tc>
          <w:tcPr>
            <w:tcW w:w="942" w:type="dxa"/>
            <w:tcBorders>
              <w:bottom w:val="single" w:color="D9D9D9" w:sz="2" w:space="0"/>
            </w:tcBorders>
          </w:tcPr>
          <w:p w:rsidR="00C31389" w:rsidRDefault="00561FBD" w14:paraId="6E8181F3" w14:textId="77777777">
            <w:pPr>
              <w:pStyle w:val="TableParagraph"/>
              <w:spacing w:before="155"/>
              <w:ind w:left="179"/>
              <w:rPr>
                <w:sz w:val="20"/>
              </w:rPr>
            </w:pPr>
            <w:r>
              <w:rPr>
                <w:spacing w:val="-4"/>
                <w:sz w:val="20"/>
              </w:rPr>
              <w:t>2.3%</w:t>
            </w:r>
          </w:p>
        </w:tc>
        <w:tc>
          <w:tcPr>
            <w:tcW w:w="1263" w:type="dxa"/>
            <w:tcBorders>
              <w:bottom w:val="single" w:color="D9D9D9" w:sz="2" w:space="0"/>
            </w:tcBorders>
          </w:tcPr>
          <w:p w:rsidR="00C31389" w:rsidRDefault="00561FBD" w14:paraId="79632CA7" w14:textId="77777777">
            <w:pPr>
              <w:pStyle w:val="TableParagraph"/>
              <w:spacing w:before="155"/>
              <w:ind w:left="6"/>
              <w:jc w:val="center"/>
              <w:rPr>
                <w:sz w:val="20"/>
              </w:rPr>
            </w:pPr>
            <w:r>
              <w:rPr>
                <w:sz w:val="20"/>
              </w:rPr>
              <w:t>–</w:t>
            </w:r>
          </w:p>
        </w:tc>
        <w:tc>
          <w:tcPr>
            <w:tcW w:w="1017" w:type="dxa"/>
            <w:tcBorders>
              <w:bottom w:val="single" w:color="D9D9D9" w:sz="2" w:space="0"/>
            </w:tcBorders>
          </w:tcPr>
          <w:p w:rsidR="00C31389" w:rsidRDefault="00561FBD" w14:paraId="6CB4F9BA" w14:textId="77777777">
            <w:pPr>
              <w:pStyle w:val="TableParagraph"/>
              <w:spacing w:before="155"/>
              <w:ind w:right="226"/>
              <w:jc w:val="right"/>
              <w:rPr>
                <w:sz w:val="20"/>
              </w:rPr>
            </w:pPr>
            <w:r>
              <w:rPr>
                <w:spacing w:val="-2"/>
                <w:sz w:val="20"/>
              </w:rPr>
              <w:t>$0.19</w:t>
            </w:r>
          </w:p>
        </w:tc>
        <w:tc>
          <w:tcPr>
            <w:tcW w:w="1101" w:type="dxa"/>
            <w:tcBorders>
              <w:bottom w:val="single" w:color="D9D9D9" w:sz="2" w:space="0"/>
            </w:tcBorders>
          </w:tcPr>
          <w:p w:rsidR="00C31389" w:rsidRDefault="00561FBD" w14:paraId="75DD4689" w14:textId="77777777">
            <w:pPr>
              <w:pStyle w:val="TableParagraph"/>
              <w:spacing w:before="155"/>
              <w:ind w:left="10"/>
              <w:jc w:val="center"/>
              <w:rPr>
                <w:sz w:val="20"/>
              </w:rPr>
            </w:pPr>
            <w:r>
              <w:rPr>
                <w:sz w:val="20"/>
              </w:rPr>
              <w:t>–</w:t>
            </w:r>
          </w:p>
        </w:tc>
        <w:tc>
          <w:tcPr>
            <w:tcW w:w="1211" w:type="dxa"/>
            <w:tcBorders>
              <w:bottom w:val="single" w:color="D9D9D9" w:sz="2" w:space="0"/>
            </w:tcBorders>
          </w:tcPr>
          <w:p w:rsidR="00C31389" w:rsidRDefault="00561FBD" w14:paraId="44E7DA40" w14:textId="77777777">
            <w:pPr>
              <w:pStyle w:val="TableParagraph"/>
              <w:spacing w:before="155"/>
              <w:ind w:left="193" w:right="158"/>
              <w:jc w:val="center"/>
              <w:rPr>
                <w:sz w:val="20"/>
              </w:rPr>
            </w:pPr>
            <w:r>
              <w:rPr>
                <w:spacing w:val="-2"/>
                <w:sz w:val="20"/>
              </w:rPr>
              <w:t>0.000224</w:t>
            </w:r>
          </w:p>
        </w:tc>
      </w:tr>
      <w:tr w:rsidR="00C31389" w14:paraId="1284534D" w14:textId="77777777">
        <w:trPr>
          <w:trHeight w:val="771"/>
        </w:trPr>
        <w:tc>
          <w:tcPr>
            <w:tcW w:w="1255" w:type="dxa"/>
            <w:tcBorders>
              <w:top w:val="single" w:color="D9D9D9" w:sz="2" w:space="0"/>
              <w:bottom w:val="single" w:color="000000" w:sz="8" w:space="0"/>
            </w:tcBorders>
          </w:tcPr>
          <w:p w:rsidR="00C31389" w:rsidRDefault="00C31389" w14:paraId="309256B4" w14:textId="77777777">
            <w:pPr>
              <w:pStyle w:val="TableParagraph"/>
              <w:spacing w:before="6"/>
              <w:rPr>
                <w:b/>
                <w:sz w:val="23"/>
              </w:rPr>
            </w:pPr>
          </w:p>
          <w:p w:rsidR="00C31389" w:rsidRDefault="00561FBD" w14:paraId="79151054" w14:textId="77777777">
            <w:pPr>
              <w:pStyle w:val="TableParagraph"/>
              <w:spacing w:before="0"/>
              <w:ind w:left="129"/>
              <w:rPr>
                <w:sz w:val="20"/>
              </w:rPr>
            </w:pPr>
            <w:r>
              <w:rPr>
                <w:spacing w:val="-2"/>
                <w:sz w:val="20"/>
              </w:rPr>
              <w:t>Residential</w:t>
            </w:r>
          </w:p>
        </w:tc>
        <w:tc>
          <w:tcPr>
            <w:tcW w:w="1722" w:type="dxa"/>
            <w:tcBorders>
              <w:top w:val="single" w:color="D9D9D9" w:sz="2" w:space="0"/>
              <w:bottom w:val="single" w:color="000000" w:sz="8" w:space="0"/>
            </w:tcBorders>
          </w:tcPr>
          <w:p w:rsidR="00C31389" w:rsidRDefault="00561FBD" w14:paraId="382057A8" w14:textId="77777777">
            <w:pPr>
              <w:pStyle w:val="TableParagraph"/>
              <w:ind w:left="134"/>
              <w:rPr>
                <w:sz w:val="20"/>
              </w:rPr>
            </w:pPr>
            <w:r>
              <w:rPr>
                <w:spacing w:val="-2"/>
                <w:sz w:val="20"/>
              </w:rPr>
              <w:t xml:space="preserve">Real-Time </w:t>
            </w:r>
            <w:r>
              <w:rPr>
                <w:sz w:val="20"/>
              </w:rPr>
              <w:t>Feedback – Online</w:t>
            </w:r>
            <w:r>
              <w:rPr>
                <w:spacing w:val="-5"/>
                <w:sz w:val="20"/>
              </w:rPr>
              <w:t xml:space="preserve"> </w:t>
            </w:r>
            <w:r>
              <w:rPr>
                <w:spacing w:val="-2"/>
                <w:sz w:val="20"/>
              </w:rPr>
              <w:t>Portal</w:t>
            </w:r>
          </w:p>
        </w:tc>
        <w:tc>
          <w:tcPr>
            <w:tcW w:w="867" w:type="dxa"/>
            <w:tcBorders>
              <w:top w:val="single" w:color="D9D9D9" w:sz="2" w:space="0"/>
              <w:bottom w:val="single" w:color="000000" w:sz="8" w:space="0"/>
            </w:tcBorders>
          </w:tcPr>
          <w:p w:rsidR="00C31389" w:rsidRDefault="00C31389" w14:paraId="4BCFACA9" w14:textId="77777777">
            <w:pPr>
              <w:pStyle w:val="TableParagraph"/>
              <w:spacing w:before="6"/>
              <w:rPr>
                <w:b/>
                <w:sz w:val="23"/>
              </w:rPr>
            </w:pPr>
          </w:p>
          <w:p w:rsidR="00C31389" w:rsidRDefault="00561FBD" w14:paraId="791FA70F" w14:textId="77777777">
            <w:pPr>
              <w:pStyle w:val="TableParagraph"/>
              <w:spacing w:before="0"/>
              <w:ind w:left="356"/>
              <w:rPr>
                <w:sz w:val="20"/>
              </w:rPr>
            </w:pPr>
            <w:r>
              <w:rPr>
                <w:sz w:val="20"/>
              </w:rPr>
              <w:t>1</w:t>
            </w:r>
          </w:p>
        </w:tc>
        <w:tc>
          <w:tcPr>
            <w:tcW w:w="942" w:type="dxa"/>
            <w:tcBorders>
              <w:top w:val="single" w:color="D9D9D9" w:sz="2" w:space="0"/>
              <w:bottom w:val="single" w:color="000000" w:sz="8" w:space="0"/>
            </w:tcBorders>
          </w:tcPr>
          <w:p w:rsidR="00C31389" w:rsidRDefault="00C31389" w14:paraId="4E58D838" w14:textId="77777777">
            <w:pPr>
              <w:pStyle w:val="TableParagraph"/>
              <w:spacing w:before="6"/>
              <w:rPr>
                <w:b/>
                <w:sz w:val="23"/>
              </w:rPr>
            </w:pPr>
          </w:p>
          <w:p w:rsidR="00C31389" w:rsidRDefault="00561FBD" w14:paraId="416BBA3B" w14:textId="77777777">
            <w:pPr>
              <w:pStyle w:val="TableParagraph"/>
              <w:spacing w:before="0"/>
              <w:ind w:left="179"/>
              <w:rPr>
                <w:sz w:val="20"/>
              </w:rPr>
            </w:pPr>
            <w:r>
              <w:rPr>
                <w:spacing w:val="-4"/>
                <w:sz w:val="20"/>
              </w:rPr>
              <w:t>2.2%</w:t>
            </w:r>
          </w:p>
        </w:tc>
        <w:tc>
          <w:tcPr>
            <w:tcW w:w="1263" w:type="dxa"/>
            <w:tcBorders>
              <w:top w:val="single" w:color="D9D9D9" w:sz="2" w:space="0"/>
              <w:bottom w:val="single" w:color="000000" w:sz="8" w:space="0"/>
            </w:tcBorders>
          </w:tcPr>
          <w:p w:rsidR="00C31389" w:rsidRDefault="00C31389" w14:paraId="5CD433C3" w14:textId="77777777">
            <w:pPr>
              <w:pStyle w:val="TableParagraph"/>
              <w:spacing w:before="6"/>
              <w:rPr>
                <w:b/>
                <w:sz w:val="23"/>
              </w:rPr>
            </w:pPr>
          </w:p>
          <w:p w:rsidR="00C31389" w:rsidRDefault="00561FBD" w14:paraId="53D2A0DF" w14:textId="77777777">
            <w:pPr>
              <w:pStyle w:val="TableParagraph"/>
              <w:spacing w:before="0"/>
              <w:ind w:left="287" w:right="279"/>
              <w:jc w:val="center"/>
              <w:rPr>
                <w:sz w:val="20"/>
              </w:rPr>
            </w:pPr>
            <w:r>
              <w:rPr>
                <w:spacing w:val="-4"/>
                <w:sz w:val="20"/>
              </w:rPr>
              <w:t>1.3%</w:t>
            </w:r>
          </w:p>
        </w:tc>
        <w:tc>
          <w:tcPr>
            <w:tcW w:w="1017" w:type="dxa"/>
            <w:tcBorders>
              <w:top w:val="single" w:color="D9D9D9" w:sz="2" w:space="0"/>
              <w:bottom w:val="single" w:color="000000" w:sz="8" w:space="0"/>
            </w:tcBorders>
          </w:tcPr>
          <w:p w:rsidR="00C31389" w:rsidRDefault="00C31389" w14:paraId="52726D77" w14:textId="77777777">
            <w:pPr>
              <w:pStyle w:val="TableParagraph"/>
              <w:spacing w:before="6"/>
              <w:rPr>
                <w:b/>
                <w:sz w:val="23"/>
              </w:rPr>
            </w:pPr>
          </w:p>
          <w:p w:rsidR="00C31389" w:rsidRDefault="00561FBD" w14:paraId="0ADE6200" w14:textId="77777777">
            <w:pPr>
              <w:pStyle w:val="TableParagraph"/>
              <w:spacing w:before="0"/>
              <w:ind w:right="225"/>
              <w:jc w:val="right"/>
              <w:rPr>
                <w:sz w:val="20"/>
              </w:rPr>
            </w:pPr>
            <w:r>
              <w:rPr>
                <w:spacing w:val="-2"/>
                <w:sz w:val="20"/>
              </w:rPr>
              <w:t>$0.07</w:t>
            </w:r>
          </w:p>
        </w:tc>
        <w:tc>
          <w:tcPr>
            <w:tcW w:w="1101" w:type="dxa"/>
            <w:tcBorders>
              <w:top w:val="single" w:color="D9D9D9" w:sz="2" w:space="0"/>
              <w:bottom w:val="single" w:color="000000" w:sz="8" w:space="0"/>
            </w:tcBorders>
          </w:tcPr>
          <w:p w:rsidR="00C31389" w:rsidRDefault="00C31389" w14:paraId="10623F78" w14:textId="77777777">
            <w:pPr>
              <w:pStyle w:val="TableParagraph"/>
              <w:spacing w:before="6"/>
              <w:rPr>
                <w:b/>
                <w:sz w:val="23"/>
              </w:rPr>
            </w:pPr>
          </w:p>
          <w:p w:rsidR="00C31389" w:rsidRDefault="00561FBD" w14:paraId="24298B2E" w14:textId="77777777">
            <w:pPr>
              <w:pStyle w:val="TableParagraph"/>
              <w:spacing w:before="0"/>
              <w:ind w:left="10"/>
              <w:jc w:val="center"/>
              <w:rPr>
                <w:sz w:val="20"/>
              </w:rPr>
            </w:pPr>
            <w:r>
              <w:rPr>
                <w:sz w:val="20"/>
              </w:rPr>
              <w:t>–</w:t>
            </w:r>
          </w:p>
        </w:tc>
        <w:tc>
          <w:tcPr>
            <w:tcW w:w="1211" w:type="dxa"/>
            <w:tcBorders>
              <w:top w:val="single" w:color="D9D9D9" w:sz="2" w:space="0"/>
              <w:bottom w:val="single" w:color="000000" w:sz="8" w:space="0"/>
            </w:tcBorders>
          </w:tcPr>
          <w:p w:rsidR="00C31389" w:rsidRDefault="00C31389" w14:paraId="68CD1A1B" w14:textId="77777777">
            <w:pPr>
              <w:pStyle w:val="TableParagraph"/>
              <w:spacing w:before="6"/>
              <w:rPr>
                <w:b/>
                <w:sz w:val="23"/>
              </w:rPr>
            </w:pPr>
          </w:p>
          <w:p w:rsidR="00C31389" w:rsidRDefault="00561FBD" w14:paraId="1F6F7911" w14:textId="77777777">
            <w:pPr>
              <w:pStyle w:val="TableParagraph"/>
              <w:spacing w:before="0"/>
              <w:ind w:left="192" w:right="158"/>
              <w:jc w:val="center"/>
              <w:rPr>
                <w:sz w:val="20"/>
              </w:rPr>
            </w:pPr>
            <w:r>
              <w:rPr>
                <w:spacing w:val="-2"/>
                <w:sz w:val="20"/>
              </w:rPr>
              <w:t>0.000224</w:t>
            </w:r>
          </w:p>
        </w:tc>
      </w:tr>
    </w:tbl>
    <w:p w:rsidR="00C31389" w:rsidRDefault="00561FBD" w14:paraId="797C6771"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34995C47" w14:textId="77777777">
      <w:pPr>
        <w:pStyle w:val="BodyText"/>
        <w:rPr>
          <w:i/>
          <w:sz w:val="20"/>
        </w:rPr>
      </w:pPr>
    </w:p>
    <w:p w:rsidR="00C31389" w:rsidRDefault="00561FBD" w14:paraId="7A75DDF1" w14:textId="77777777">
      <w:pPr>
        <w:pStyle w:val="ListParagraph"/>
        <w:numPr>
          <w:ilvl w:val="2"/>
          <w:numId w:val="19"/>
        </w:numPr>
        <w:tabs>
          <w:tab w:val="left" w:pos="1197"/>
        </w:tabs>
        <w:spacing w:before="130"/>
        <w:ind w:left="1197" w:hanging="717"/>
        <w:rPr>
          <w:b/>
          <w:sz w:val="24"/>
        </w:rPr>
      </w:pPr>
      <w:bookmarkStart w:name="D.3.2_Assumptions_and_Methodology" w:id="433"/>
      <w:bookmarkStart w:name="_bookmark327" w:id="434"/>
      <w:bookmarkEnd w:id="433"/>
      <w:bookmarkEnd w:id="434"/>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16D051B3" w14:textId="77777777">
      <w:pPr>
        <w:pStyle w:val="BodyText"/>
        <w:spacing w:before="2"/>
        <w:rPr>
          <w:b/>
          <w:sz w:val="23"/>
        </w:rPr>
      </w:pPr>
    </w:p>
    <w:p w:rsidR="00C31389" w:rsidRDefault="00561FBD" w14:paraId="50DB1046" w14:textId="77777777">
      <w:pPr>
        <w:pStyle w:val="BodyText"/>
        <w:spacing w:before="1"/>
        <w:ind w:left="480" w:right="434" w:hanging="1"/>
      </w:pPr>
      <w:r>
        <w:t xml:space="preserve">No major updates were made to real-time feedback input data for the 2023 Study. The Guidehouse team determined that real-time </w:t>
      </w:r>
      <w:r>
        <w:t>feedback is a low priority measure for updates based</w:t>
      </w:r>
      <w:r>
        <w:rPr>
          <w:spacing w:val="-3"/>
        </w:rPr>
        <w:t xml:space="preserve"> </w:t>
      </w:r>
      <w:r>
        <w:t>on</w:t>
      </w:r>
      <w:r>
        <w:rPr>
          <w:spacing w:val="-3"/>
        </w:rPr>
        <w:t xml:space="preserve"> </w:t>
      </w:r>
      <w:r>
        <w:t>a</w:t>
      </w:r>
      <w:r>
        <w:rPr>
          <w:spacing w:val="-3"/>
        </w:rPr>
        <w:t xml:space="preserve"> </w:t>
      </w:r>
      <w:r>
        <w:t>review</w:t>
      </w:r>
      <w:r>
        <w:rPr>
          <w:spacing w:val="-4"/>
        </w:rPr>
        <w:t xml:space="preserve"> </w:t>
      </w:r>
      <w:r>
        <w:t>of</w:t>
      </w:r>
      <w:r>
        <w:rPr>
          <w:spacing w:val="-3"/>
        </w:rPr>
        <w:t xml:space="preserve"> </w:t>
      </w:r>
      <w:r>
        <w:t>implementation</w:t>
      </w:r>
      <w:r>
        <w:rPr>
          <w:spacing w:val="-3"/>
        </w:rPr>
        <w:t xml:space="preserve"> </w:t>
      </w:r>
      <w:r>
        <w:t>activity</w:t>
      </w:r>
      <w:r>
        <w:rPr>
          <w:spacing w:val="-3"/>
        </w:rPr>
        <w:t xml:space="preserve"> </w:t>
      </w:r>
      <w:r>
        <w:t>and</w:t>
      </w:r>
      <w:r>
        <w:rPr>
          <w:spacing w:val="-4"/>
        </w:rPr>
        <w:t xml:space="preserve"> </w:t>
      </w:r>
      <w:r>
        <w:t>recently</w:t>
      </w:r>
      <w:r>
        <w:rPr>
          <w:spacing w:val="-3"/>
        </w:rPr>
        <w:t xml:space="preserve"> </w:t>
      </w:r>
      <w:r>
        <w:t>published</w:t>
      </w:r>
      <w:r>
        <w:rPr>
          <w:spacing w:val="-3"/>
        </w:rPr>
        <w:t xml:space="preserve"> </w:t>
      </w:r>
      <w:r>
        <w:t>California-specific</w:t>
      </w:r>
      <w:r>
        <w:rPr>
          <w:spacing w:val="-4"/>
        </w:rPr>
        <w:t xml:space="preserve"> </w:t>
      </w:r>
      <w:r>
        <w:t>data sources. The methodology described here is unchanged from the 2021 Study.</w:t>
      </w:r>
    </w:p>
    <w:p w:rsidR="00C31389" w:rsidRDefault="00C31389" w14:paraId="7F0C3BDF" w14:textId="77777777">
      <w:pPr>
        <w:pStyle w:val="BodyText"/>
        <w:spacing w:before="10"/>
        <w:rPr>
          <w:sz w:val="20"/>
        </w:rPr>
      </w:pPr>
    </w:p>
    <w:p w:rsidR="00C31389" w:rsidRDefault="00561FBD" w14:paraId="1361D02D" w14:textId="77777777">
      <w:pPr>
        <w:pStyle w:val="Heading7"/>
        <w:ind w:left="480"/>
      </w:pPr>
      <w:r>
        <w:t>Eligibility</w:t>
      </w:r>
      <w:r>
        <w:rPr>
          <w:spacing w:val="-8"/>
        </w:rPr>
        <w:t xml:space="preserve"> </w:t>
      </w:r>
      <w:r>
        <w:t>and</w:t>
      </w:r>
      <w:r>
        <w:rPr>
          <w:spacing w:val="-7"/>
        </w:rPr>
        <w:t xml:space="preserve"> </w:t>
      </w:r>
      <w:r>
        <w:rPr>
          <w:spacing w:val="-2"/>
        </w:rPr>
        <w:t>Participation</w:t>
      </w:r>
    </w:p>
    <w:p w:rsidR="00C31389" w:rsidRDefault="00C31389" w14:paraId="2A7C130F" w14:textId="77777777">
      <w:pPr>
        <w:pStyle w:val="BodyText"/>
        <w:spacing w:before="9"/>
        <w:rPr>
          <w:b/>
          <w:sz w:val="20"/>
        </w:rPr>
      </w:pPr>
    </w:p>
    <w:p w:rsidR="00C31389" w:rsidRDefault="00561FBD" w14:paraId="74F3EF94" w14:textId="77777777">
      <w:pPr>
        <w:pStyle w:val="BodyText"/>
        <w:ind w:left="480" w:right="422"/>
        <w:rPr>
          <w:sz w:val="14"/>
        </w:rPr>
      </w:pPr>
      <w:r>
        <w:t>Web-based and IHD real-time feedback programs are offered on an opt in basis to customers with smart meter-equipped homes. Although most residential feedback programs are focused on providing information about electricity consumption, some n</w:t>
      </w:r>
      <w:r>
        <w:t>atural gas savings result from these programs; these savings are likely the result of tips and recommendations concerning thermostat settings. For modeling purposes, the Guidehouse team</w:t>
      </w:r>
      <w:r>
        <w:rPr>
          <w:spacing w:val="-4"/>
        </w:rPr>
        <w:t xml:space="preserve"> </w:t>
      </w:r>
      <w:r>
        <w:t>assumes</w:t>
      </w:r>
      <w:r>
        <w:rPr>
          <w:spacing w:val="-3"/>
        </w:rPr>
        <w:t xml:space="preserve"> </w:t>
      </w:r>
      <w:r>
        <w:t>100%</w:t>
      </w:r>
      <w:r>
        <w:rPr>
          <w:spacing w:val="-3"/>
        </w:rPr>
        <w:t xml:space="preserve"> </w:t>
      </w:r>
      <w:r>
        <w:t>applicability</w:t>
      </w:r>
      <w:r>
        <w:rPr>
          <w:spacing w:val="-3"/>
        </w:rPr>
        <w:t xml:space="preserve"> </w:t>
      </w:r>
      <w:r>
        <w:t>for</w:t>
      </w:r>
      <w:r>
        <w:rPr>
          <w:spacing w:val="-4"/>
        </w:rPr>
        <w:t xml:space="preserve"> </w:t>
      </w:r>
      <w:r>
        <w:t>electric</w:t>
      </w:r>
      <w:r>
        <w:rPr>
          <w:spacing w:val="-4"/>
        </w:rPr>
        <w:t xml:space="preserve"> </w:t>
      </w:r>
      <w:r>
        <w:t>savings</w:t>
      </w:r>
      <w:r>
        <w:rPr>
          <w:spacing w:val="-3"/>
        </w:rPr>
        <w:t xml:space="preserve"> </w:t>
      </w:r>
      <w:r>
        <w:t>among</w:t>
      </w:r>
      <w:r>
        <w:rPr>
          <w:spacing w:val="-3"/>
        </w:rPr>
        <w:t xml:space="preserve"> </w:t>
      </w:r>
      <w:r>
        <w:t>individually</w:t>
      </w:r>
      <w:r>
        <w:rPr>
          <w:spacing w:val="-4"/>
        </w:rPr>
        <w:t xml:space="preserve"> </w:t>
      </w:r>
      <w:r>
        <w:t>met</w:t>
      </w:r>
      <w:r>
        <w:t>ered</w:t>
      </w:r>
      <w:r>
        <w:rPr>
          <w:spacing w:val="-3"/>
        </w:rPr>
        <w:t xml:space="preserve"> </w:t>
      </w:r>
      <w:r>
        <w:t>homes</w:t>
      </w:r>
      <w:r>
        <w:rPr>
          <w:spacing w:val="-3"/>
        </w:rPr>
        <w:t xml:space="preserve"> </w:t>
      </w:r>
      <w:r>
        <w:t>and 59% applicability for gas. This latter figure is conservative given that 59% of California households use natural gas as their main source of space heating and 84.4% of California homes use natural gas for water heating.</w:t>
      </w:r>
      <w:r>
        <w:rPr>
          <w:spacing w:val="-34"/>
        </w:rPr>
        <w:t xml:space="preserve"> </w:t>
      </w:r>
      <w:hyperlink w:history="1" w:anchor="_bookmark328">
        <w:r>
          <w:rPr>
            <w:position w:val="7"/>
            <w:sz w:val="14"/>
          </w:rPr>
          <w:t>105</w:t>
        </w:r>
      </w:hyperlink>
    </w:p>
    <w:p w:rsidR="00C31389" w:rsidRDefault="00C31389" w14:paraId="4D3AE565" w14:textId="77777777">
      <w:pPr>
        <w:pStyle w:val="BodyText"/>
        <w:spacing w:before="10"/>
        <w:rPr>
          <w:sz w:val="20"/>
        </w:rPr>
      </w:pPr>
    </w:p>
    <w:p w:rsidR="00C31389" w:rsidRDefault="00561FBD" w14:paraId="677F2B6E" w14:textId="77777777">
      <w:pPr>
        <w:pStyle w:val="BodyText"/>
        <w:ind w:left="479" w:right="418"/>
        <w:rPr>
          <w:sz w:val="14"/>
        </w:rPr>
      </w:pPr>
      <w:r>
        <w:t>As in the 2021 Study, IHDs are not included in the BROs analysis.</w:t>
      </w:r>
      <w:r>
        <w:rPr>
          <w:spacing w:val="-40"/>
        </w:rPr>
        <w:t xml:space="preserve"> </w:t>
      </w:r>
      <w:hyperlink w:history="1" w:anchor="_bookmark329">
        <w:r>
          <w:rPr>
            <w:position w:val="7"/>
            <w:sz w:val="14"/>
          </w:rPr>
          <w:t>106</w:t>
        </w:r>
      </w:hyperlink>
      <w:r>
        <w:rPr>
          <w:spacing w:val="30"/>
          <w:position w:val="7"/>
          <w:sz w:val="14"/>
        </w:rPr>
        <w:t xml:space="preserve"> </w:t>
      </w:r>
      <w:r>
        <w:t>Previously, SCE indicated</w:t>
      </w:r>
      <w:r>
        <w:rPr>
          <w:spacing w:val="-2"/>
        </w:rPr>
        <w:t xml:space="preserve"> </w:t>
      </w:r>
      <w:r>
        <w:t>it</w:t>
      </w:r>
      <w:r>
        <w:rPr>
          <w:spacing w:val="-4"/>
        </w:rPr>
        <w:t xml:space="preserve"> </w:t>
      </w:r>
      <w:r>
        <w:t>would</w:t>
      </w:r>
      <w:r>
        <w:rPr>
          <w:spacing w:val="-2"/>
        </w:rPr>
        <w:t xml:space="preserve"> </w:t>
      </w:r>
      <w:r>
        <w:t>not</w:t>
      </w:r>
      <w:r>
        <w:rPr>
          <w:spacing w:val="-2"/>
        </w:rPr>
        <w:t xml:space="preserve"> </w:t>
      </w:r>
      <w:r>
        <w:t>deploy</w:t>
      </w:r>
      <w:r>
        <w:rPr>
          <w:spacing w:val="-2"/>
        </w:rPr>
        <w:t xml:space="preserve"> </w:t>
      </w:r>
      <w:r>
        <w:t>these</w:t>
      </w:r>
      <w:r>
        <w:rPr>
          <w:spacing w:val="-3"/>
        </w:rPr>
        <w:t xml:space="preserve"> </w:t>
      </w:r>
      <w:r>
        <w:t>programs</w:t>
      </w:r>
      <w:r>
        <w:rPr>
          <w:spacing w:val="-2"/>
        </w:rPr>
        <w:t xml:space="preserve"> </w:t>
      </w:r>
      <w:r>
        <w:t>until</w:t>
      </w:r>
      <w:r>
        <w:rPr>
          <w:spacing w:val="-2"/>
        </w:rPr>
        <w:t xml:space="preserve"> </w:t>
      </w:r>
      <w:r>
        <w:t>2019,</w:t>
      </w:r>
      <w:r>
        <w:rPr>
          <w:spacing w:val="-2"/>
        </w:rPr>
        <w:t xml:space="preserve"> </w:t>
      </w:r>
      <w:r>
        <w:t>and</w:t>
      </w:r>
      <w:r>
        <w:rPr>
          <w:spacing w:val="-2"/>
        </w:rPr>
        <w:t xml:space="preserve"> </w:t>
      </w:r>
      <w:r>
        <w:t>they</w:t>
      </w:r>
      <w:r>
        <w:rPr>
          <w:spacing w:val="-2"/>
        </w:rPr>
        <w:t xml:space="preserve"> </w:t>
      </w:r>
      <w:r>
        <w:t>would</w:t>
      </w:r>
      <w:r>
        <w:rPr>
          <w:spacing w:val="-2"/>
        </w:rPr>
        <w:t xml:space="preserve"> </w:t>
      </w:r>
      <w:r>
        <w:t>only</w:t>
      </w:r>
      <w:r>
        <w:rPr>
          <w:spacing w:val="-2"/>
        </w:rPr>
        <w:t xml:space="preserve"> </w:t>
      </w:r>
      <w:r>
        <w:t>be</w:t>
      </w:r>
      <w:r>
        <w:rPr>
          <w:spacing w:val="-2"/>
        </w:rPr>
        <w:t xml:space="preserve"> </w:t>
      </w:r>
      <w:r>
        <w:t>pilots</w:t>
      </w:r>
      <w:r>
        <w:rPr>
          <w:spacing w:val="-2"/>
        </w:rPr>
        <w:t xml:space="preserve"> </w:t>
      </w:r>
      <w:r>
        <w:t>at</w:t>
      </w:r>
      <w:r>
        <w:rPr>
          <w:spacing w:val="-2"/>
        </w:rPr>
        <w:t xml:space="preserve"> </w:t>
      </w:r>
      <w:r>
        <w:t>that time.</w:t>
      </w:r>
      <w:r>
        <w:rPr>
          <w:spacing w:val="-40"/>
        </w:rPr>
        <w:t xml:space="preserve"> </w:t>
      </w:r>
      <w:hyperlink w:history="1" w:anchor="_bookmark330">
        <w:r>
          <w:rPr>
            <w:position w:val="7"/>
            <w:sz w:val="14"/>
          </w:rPr>
          <w:t>107</w:t>
        </w:r>
      </w:hyperlink>
      <w:r>
        <w:rPr>
          <w:spacing w:val="26"/>
          <w:position w:val="7"/>
          <w:sz w:val="14"/>
        </w:rPr>
        <w:t xml:space="preserve"> </w:t>
      </w:r>
      <w:r>
        <w:t>The team assumes penetration rates for programs that use online portals to display customer</w:t>
      </w:r>
      <w:r>
        <w:rPr>
          <w:spacing w:val="-3"/>
        </w:rPr>
        <w:t xml:space="preserve"> </w:t>
      </w:r>
      <w:r>
        <w:t>information</w:t>
      </w:r>
      <w:r>
        <w:rPr>
          <w:spacing w:val="-3"/>
        </w:rPr>
        <w:t xml:space="preserve"> </w:t>
      </w:r>
      <w:r>
        <w:t>will</w:t>
      </w:r>
      <w:r>
        <w:rPr>
          <w:spacing w:val="-3"/>
        </w:rPr>
        <w:t xml:space="preserve"> </w:t>
      </w:r>
      <w:r>
        <w:t>be</w:t>
      </w:r>
      <w:r>
        <w:rPr>
          <w:spacing w:val="-3"/>
        </w:rPr>
        <w:t xml:space="preserve"> </w:t>
      </w:r>
      <w:r>
        <w:t>higher</w:t>
      </w:r>
      <w:r>
        <w:rPr>
          <w:spacing w:val="-3"/>
        </w:rPr>
        <w:t xml:space="preserve"> </w:t>
      </w:r>
      <w:r>
        <w:t>than</w:t>
      </w:r>
      <w:r>
        <w:rPr>
          <w:spacing w:val="-3"/>
        </w:rPr>
        <w:t xml:space="preserve"> </w:t>
      </w:r>
      <w:r>
        <w:t>those</w:t>
      </w:r>
      <w:r>
        <w:rPr>
          <w:spacing w:val="-3"/>
        </w:rPr>
        <w:t xml:space="preserve"> </w:t>
      </w:r>
      <w:r>
        <w:t>that</w:t>
      </w:r>
      <w:r>
        <w:rPr>
          <w:spacing w:val="-3"/>
        </w:rPr>
        <w:t xml:space="preserve"> </w:t>
      </w:r>
      <w:r>
        <w:t>rely</w:t>
      </w:r>
      <w:r>
        <w:rPr>
          <w:spacing w:val="-3"/>
        </w:rPr>
        <w:t xml:space="preserve"> </w:t>
      </w:r>
      <w:r>
        <w:t>on</w:t>
      </w:r>
      <w:r>
        <w:rPr>
          <w:spacing w:val="-3"/>
        </w:rPr>
        <w:t xml:space="preserve"> </w:t>
      </w:r>
      <w:r>
        <w:t>IHDs.</w:t>
      </w:r>
      <w:r>
        <w:rPr>
          <w:spacing w:val="-3"/>
        </w:rPr>
        <w:t xml:space="preserve"> </w:t>
      </w:r>
      <w:r>
        <w:t>For</w:t>
      </w:r>
      <w:r>
        <w:rPr>
          <w:spacing w:val="-3"/>
        </w:rPr>
        <w:t xml:space="preserve"> </w:t>
      </w:r>
      <w:r>
        <w:t>online</w:t>
      </w:r>
      <w:r>
        <w:rPr>
          <w:spacing w:val="-4"/>
        </w:rPr>
        <w:t xml:space="preserve"> </w:t>
      </w:r>
      <w:r>
        <w:t>portals,</w:t>
      </w:r>
      <w:r>
        <w:rPr>
          <w:spacing w:val="-3"/>
        </w:rPr>
        <w:t xml:space="preserve"> </w:t>
      </w:r>
      <w:r>
        <w:t>the</w:t>
      </w:r>
      <w:r>
        <w:rPr>
          <w:spacing w:val="-4"/>
        </w:rPr>
        <w:t xml:space="preserve"> </w:t>
      </w:r>
      <w:r>
        <w:t>team assumes an 8% increase in penetration per year. PG&amp;E provided penetration rate data for IHDs and used for all IOUs.</w:t>
      </w:r>
      <w:r>
        <w:rPr>
          <w:spacing w:val="-32"/>
        </w:rPr>
        <w:t xml:space="preserve"> </w:t>
      </w:r>
      <w:hyperlink w:history="1" w:anchor="_bookmark331">
        <w:r>
          <w:rPr>
            <w:position w:val="7"/>
            <w:sz w:val="14"/>
          </w:rPr>
          <w:t>108</w:t>
        </w:r>
      </w:hyperlink>
    </w:p>
    <w:p w:rsidR="00C31389" w:rsidRDefault="00C31389" w14:paraId="14B20FB4" w14:textId="77777777">
      <w:pPr>
        <w:pStyle w:val="BodyText"/>
        <w:rPr>
          <w:sz w:val="21"/>
        </w:rPr>
      </w:pPr>
    </w:p>
    <w:p w:rsidR="00C31389" w:rsidRDefault="00561FBD" w14:paraId="0E111FB8" w14:textId="77777777">
      <w:pPr>
        <w:pStyle w:val="Heading7"/>
        <w:ind w:left="480"/>
      </w:pPr>
      <w:r>
        <w:rPr>
          <w:spacing w:val="-2"/>
        </w:rPr>
        <w:t>Savings</w:t>
      </w:r>
    </w:p>
    <w:p w:rsidR="00C31389" w:rsidRDefault="00C31389" w14:paraId="41FA9994" w14:textId="77777777">
      <w:pPr>
        <w:pStyle w:val="BodyText"/>
        <w:spacing w:before="9"/>
        <w:rPr>
          <w:b/>
          <w:sz w:val="20"/>
        </w:rPr>
      </w:pPr>
    </w:p>
    <w:p w:rsidR="00C31389" w:rsidRDefault="00561FBD" w14:paraId="45E2A466" w14:textId="77777777">
      <w:pPr>
        <w:pStyle w:val="BodyText"/>
        <w:ind w:left="480" w:right="418"/>
      </w:pPr>
      <w:r>
        <w:t>Savings</w:t>
      </w:r>
      <w:r>
        <w:rPr>
          <w:spacing w:val="-3"/>
        </w:rPr>
        <w:t xml:space="preserve"> </w:t>
      </w:r>
      <w:r>
        <w:t>forecasts</w:t>
      </w:r>
      <w:r>
        <w:rPr>
          <w:spacing w:val="-3"/>
        </w:rPr>
        <w:t xml:space="preserve"> </w:t>
      </w:r>
      <w:r>
        <w:t>differ</w:t>
      </w:r>
      <w:r>
        <w:rPr>
          <w:spacing w:val="-3"/>
        </w:rPr>
        <w:t xml:space="preserve"> </w:t>
      </w:r>
      <w:r>
        <w:t>for</w:t>
      </w:r>
      <w:r>
        <w:rPr>
          <w:spacing w:val="-3"/>
        </w:rPr>
        <w:t xml:space="preserve"> </w:t>
      </w:r>
      <w:r>
        <w:t>online</w:t>
      </w:r>
      <w:r>
        <w:rPr>
          <w:spacing w:val="-3"/>
        </w:rPr>
        <w:t xml:space="preserve"> </w:t>
      </w:r>
      <w:r>
        <w:t>portals</w:t>
      </w:r>
      <w:r>
        <w:rPr>
          <w:spacing w:val="-3"/>
        </w:rPr>
        <w:t xml:space="preserve"> </w:t>
      </w:r>
      <w:r>
        <w:t>and</w:t>
      </w:r>
      <w:r>
        <w:rPr>
          <w:spacing w:val="-3"/>
        </w:rPr>
        <w:t xml:space="preserve"> </w:t>
      </w:r>
      <w:r>
        <w:t>IHDs.</w:t>
      </w:r>
      <w:r>
        <w:rPr>
          <w:spacing w:val="-3"/>
        </w:rPr>
        <w:t xml:space="preserve"> </w:t>
      </w:r>
      <w:r>
        <w:t>For</w:t>
      </w:r>
      <w:r>
        <w:rPr>
          <w:spacing w:val="-3"/>
        </w:rPr>
        <w:t xml:space="preserve"> </w:t>
      </w:r>
      <w:r>
        <w:t>online</w:t>
      </w:r>
      <w:r>
        <w:rPr>
          <w:spacing w:val="-4"/>
        </w:rPr>
        <w:t xml:space="preserve"> </w:t>
      </w:r>
      <w:r>
        <w:t>portals,</w:t>
      </w:r>
      <w:r>
        <w:rPr>
          <w:spacing w:val="-3"/>
        </w:rPr>
        <w:t xml:space="preserve"> </w:t>
      </w:r>
      <w:r>
        <w:t>the</w:t>
      </w:r>
      <w:r>
        <w:rPr>
          <w:spacing w:val="-4"/>
        </w:rPr>
        <w:t xml:space="preserve"> </w:t>
      </w:r>
      <w:r>
        <w:t>Guidehouse</w:t>
      </w:r>
      <w:r>
        <w:rPr>
          <w:spacing w:val="-3"/>
        </w:rPr>
        <w:t xml:space="preserve"> </w:t>
      </w:r>
      <w:r>
        <w:t>team estimates 1.3% savings for both kWh and therms. For IHDs, the team estimates 2.3%</w:t>
      </w:r>
    </w:p>
    <w:p w:rsidR="00C31389" w:rsidRDefault="00561FBD" w14:paraId="22C9AA88" w14:textId="77777777">
      <w:pPr>
        <w:pStyle w:val="BodyText"/>
        <w:spacing w:before="3"/>
        <w:rPr>
          <w:sz w:val="28"/>
        </w:rPr>
      </w:pPr>
      <w:r>
        <w:rPr>
          <w:noProof/>
        </w:rPr>
        <mc:AlternateContent>
          <mc:Choice Requires="wps">
            <w:drawing>
              <wp:anchor distT="0" distB="0" distL="0" distR="0" simplePos="0" relativeHeight="487718400" behindDoc="1" locked="0" layoutInCell="1" allowOverlap="1" wp14:editId="36AED794" wp14:anchorId="3191852D">
                <wp:simplePos x="0" y="0"/>
                <wp:positionH relativeFrom="page">
                  <wp:posOffset>914400</wp:posOffset>
                </wp:positionH>
                <wp:positionV relativeFrom="paragraph">
                  <wp:posOffset>222164</wp:posOffset>
                </wp:positionV>
                <wp:extent cx="1828800" cy="6985"/>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11" style="position:absolute;margin-left:1in;margin-top:17.5pt;width:2in;height:.55pt;z-index:-1559808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" w14:anchorId="5704D9E8">
                <v:path arrowok="t"/>
                <w10:wrap type="topAndBottom" anchorx="page"/>
              </v:shape>
            </w:pict>
          </mc:Fallback>
        </mc:AlternateContent>
      </w:r>
    </w:p>
    <w:p w:rsidR="00C31389" w:rsidRDefault="00561FBD" w14:paraId="2D9FF634" w14:textId="77777777">
      <w:pPr>
        <w:spacing w:before="88"/>
        <w:ind w:left="480" w:right="509"/>
        <w:rPr>
          <w:sz w:val="18"/>
        </w:rPr>
      </w:pPr>
      <w:bookmarkStart w:name="_bookmark328" w:id="435"/>
      <w:bookmarkEnd w:id="435"/>
      <w:r>
        <w:rPr>
          <w:position w:val="6"/>
          <w:sz w:val="12"/>
        </w:rPr>
        <w:t>105</w:t>
      </w:r>
      <w:r>
        <w:rPr>
          <w:spacing w:val="14"/>
          <w:position w:val="6"/>
          <w:sz w:val="12"/>
        </w:rPr>
        <w:t xml:space="preserve"> </w:t>
      </w:r>
      <w:r>
        <w:rPr>
          <w:sz w:val="18"/>
        </w:rPr>
        <w:t>U.S.</w:t>
      </w:r>
      <w:r>
        <w:rPr>
          <w:spacing w:val="-3"/>
          <w:sz w:val="18"/>
        </w:rPr>
        <w:t xml:space="preserve"> </w:t>
      </w:r>
      <w:r>
        <w:rPr>
          <w:sz w:val="18"/>
        </w:rPr>
        <w:t>Energy</w:t>
      </w:r>
      <w:r>
        <w:rPr>
          <w:spacing w:val="-3"/>
          <w:sz w:val="18"/>
        </w:rPr>
        <w:t xml:space="preserve"> </w:t>
      </w:r>
      <w:r>
        <w:rPr>
          <w:sz w:val="18"/>
        </w:rPr>
        <w:t>Information</w:t>
      </w:r>
      <w:r>
        <w:rPr>
          <w:spacing w:val="-4"/>
          <w:sz w:val="18"/>
        </w:rPr>
        <w:t xml:space="preserve"> </w:t>
      </w:r>
      <w:r>
        <w:rPr>
          <w:sz w:val="18"/>
        </w:rPr>
        <w:t>Administration</w:t>
      </w:r>
      <w:r>
        <w:rPr>
          <w:spacing w:val="-4"/>
          <w:sz w:val="18"/>
        </w:rPr>
        <w:t xml:space="preserve"> </w:t>
      </w:r>
      <w:r>
        <w:rPr>
          <w:sz w:val="18"/>
        </w:rPr>
        <w:t>(EIA)</w:t>
      </w:r>
      <w:r>
        <w:rPr>
          <w:spacing w:val="-3"/>
          <w:sz w:val="18"/>
        </w:rPr>
        <w:t xml:space="preserve"> </w:t>
      </w:r>
      <w:r>
        <w:rPr>
          <w:sz w:val="18"/>
        </w:rPr>
        <w:t>Residential</w:t>
      </w:r>
      <w:r>
        <w:rPr>
          <w:spacing w:val="-3"/>
          <w:sz w:val="18"/>
        </w:rPr>
        <w:t xml:space="preserve"> </w:t>
      </w:r>
      <w:r>
        <w:rPr>
          <w:sz w:val="18"/>
        </w:rPr>
        <w:t>Energy</w:t>
      </w:r>
      <w:r>
        <w:rPr>
          <w:spacing w:val="-3"/>
          <w:sz w:val="18"/>
        </w:rPr>
        <w:t xml:space="preserve"> </w:t>
      </w:r>
      <w:r>
        <w:rPr>
          <w:sz w:val="18"/>
        </w:rPr>
        <w:t>Consumptio</w:t>
      </w:r>
      <w:r>
        <w:rPr>
          <w:sz w:val="18"/>
        </w:rPr>
        <w:t>n</w:t>
      </w:r>
      <w:r>
        <w:rPr>
          <w:spacing w:val="-4"/>
          <w:sz w:val="18"/>
        </w:rPr>
        <w:t xml:space="preserve"> </w:t>
      </w:r>
      <w:r>
        <w:rPr>
          <w:sz w:val="18"/>
        </w:rPr>
        <w:t>Survey</w:t>
      </w:r>
      <w:r>
        <w:rPr>
          <w:spacing w:val="-3"/>
          <w:sz w:val="18"/>
        </w:rPr>
        <w:t xml:space="preserve"> </w:t>
      </w:r>
      <w:r>
        <w:rPr>
          <w:sz w:val="18"/>
        </w:rPr>
        <w:t>(RECS).</w:t>
      </w:r>
      <w:r>
        <w:rPr>
          <w:spacing w:val="-3"/>
          <w:sz w:val="18"/>
        </w:rPr>
        <w:t xml:space="preserve"> </w:t>
      </w:r>
      <w:r>
        <w:rPr>
          <w:sz w:val="18"/>
        </w:rPr>
        <w:t>“Table</w:t>
      </w:r>
      <w:r>
        <w:rPr>
          <w:spacing w:val="-4"/>
          <w:sz w:val="18"/>
        </w:rPr>
        <w:t xml:space="preserve"> </w:t>
      </w:r>
      <w:r>
        <w:rPr>
          <w:sz w:val="18"/>
        </w:rPr>
        <w:t xml:space="preserve">CE2.5 – Household Site Fuel Consumption in the West Region, Totals and Averages.” (2009). Available at: </w:t>
      </w:r>
      <w:hyperlink r:id="rId259">
        <w:r>
          <w:rPr>
            <w:spacing w:val="-2"/>
            <w:sz w:val="18"/>
          </w:rPr>
          <w:t>http://www.eia</w:t>
        </w:r>
        <w:r>
          <w:rPr>
            <w:spacing w:val="-2"/>
            <w:sz w:val="18"/>
          </w:rPr>
          <w:t>.gov/consumption/residential/data/2009/index.php?view=consumption#fuel-consumption</w:t>
        </w:r>
      </w:hyperlink>
    </w:p>
    <w:p w:rsidR="00C31389" w:rsidRDefault="00561FBD" w14:paraId="6CB4F7B6" w14:textId="77777777">
      <w:pPr>
        <w:spacing w:before="36"/>
        <w:ind w:left="480" w:right="418"/>
        <w:rPr>
          <w:sz w:val="18"/>
        </w:rPr>
      </w:pPr>
      <w:bookmarkStart w:name="_bookmark329" w:id="436"/>
      <w:bookmarkEnd w:id="436"/>
      <w:r>
        <w:rPr>
          <w:position w:val="6"/>
          <w:sz w:val="12"/>
        </w:rPr>
        <w:t>106</w:t>
      </w:r>
      <w:r>
        <w:rPr>
          <w:spacing w:val="15"/>
          <w:position w:val="6"/>
          <w:sz w:val="12"/>
        </w:rPr>
        <w:t xml:space="preserve"> </w:t>
      </w:r>
      <w:r>
        <w:rPr>
          <w:sz w:val="18"/>
        </w:rPr>
        <w:t>IHDs</w:t>
      </w:r>
      <w:r>
        <w:rPr>
          <w:spacing w:val="-2"/>
          <w:sz w:val="18"/>
        </w:rPr>
        <w:t xml:space="preserve"> </w:t>
      </w:r>
      <w:r>
        <w:rPr>
          <w:sz w:val="18"/>
        </w:rPr>
        <w:t>were</w:t>
      </w:r>
      <w:r>
        <w:rPr>
          <w:spacing w:val="-3"/>
          <w:sz w:val="18"/>
        </w:rPr>
        <w:t xml:space="preserve"> </w:t>
      </w:r>
      <w:r>
        <w:rPr>
          <w:sz w:val="18"/>
        </w:rPr>
        <w:t>excluded</w:t>
      </w:r>
      <w:r>
        <w:rPr>
          <w:spacing w:val="-3"/>
          <w:sz w:val="18"/>
        </w:rPr>
        <w:t xml:space="preserve"> </w:t>
      </w:r>
      <w:r>
        <w:rPr>
          <w:sz w:val="18"/>
        </w:rPr>
        <w:t>from</w:t>
      </w:r>
      <w:r>
        <w:rPr>
          <w:spacing w:val="-2"/>
          <w:sz w:val="18"/>
        </w:rPr>
        <w:t xml:space="preserve"> </w:t>
      </w:r>
      <w:r>
        <w:rPr>
          <w:sz w:val="18"/>
        </w:rPr>
        <w:t>the</w:t>
      </w:r>
      <w:r>
        <w:rPr>
          <w:spacing w:val="-1"/>
          <w:sz w:val="18"/>
        </w:rPr>
        <w:t xml:space="preserve"> </w:t>
      </w:r>
      <w:r>
        <w:rPr>
          <w:sz w:val="18"/>
        </w:rPr>
        <w:t>reference</w:t>
      </w:r>
      <w:r>
        <w:rPr>
          <w:spacing w:val="-3"/>
          <w:sz w:val="18"/>
        </w:rPr>
        <w:t xml:space="preserve"> </w:t>
      </w:r>
      <w:r>
        <w:rPr>
          <w:sz w:val="18"/>
        </w:rPr>
        <w:t>case</w:t>
      </w:r>
      <w:r>
        <w:rPr>
          <w:spacing w:val="-1"/>
          <w:sz w:val="18"/>
        </w:rPr>
        <w:t xml:space="preserve"> </w:t>
      </w:r>
      <w:r>
        <w:rPr>
          <w:sz w:val="18"/>
        </w:rPr>
        <w:t>because</w:t>
      </w:r>
      <w:r>
        <w:rPr>
          <w:spacing w:val="-3"/>
          <w:sz w:val="18"/>
        </w:rPr>
        <w:t xml:space="preserve"> </w:t>
      </w:r>
      <w:r>
        <w:rPr>
          <w:sz w:val="18"/>
        </w:rPr>
        <w:t>they</w:t>
      </w:r>
      <w:r>
        <w:rPr>
          <w:spacing w:val="-1"/>
          <w:sz w:val="18"/>
        </w:rPr>
        <w:t xml:space="preserve"> </w:t>
      </w:r>
      <w:r>
        <w:rPr>
          <w:sz w:val="18"/>
        </w:rPr>
        <w:t>did</w:t>
      </w:r>
      <w:r>
        <w:rPr>
          <w:spacing w:val="-3"/>
          <w:sz w:val="18"/>
        </w:rPr>
        <w:t xml:space="preserve"> </w:t>
      </w:r>
      <w:r>
        <w:rPr>
          <w:sz w:val="18"/>
        </w:rPr>
        <w:t>not</w:t>
      </w:r>
      <w:r>
        <w:rPr>
          <w:spacing w:val="-2"/>
          <w:sz w:val="18"/>
        </w:rPr>
        <w:t xml:space="preserve"> </w:t>
      </w:r>
      <w:r>
        <w:rPr>
          <w:sz w:val="18"/>
        </w:rPr>
        <w:t>pass</w:t>
      </w:r>
      <w:r>
        <w:rPr>
          <w:spacing w:val="-2"/>
          <w:sz w:val="18"/>
        </w:rPr>
        <w:t xml:space="preserve"> </w:t>
      </w:r>
      <w:r>
        <w:rPr>
          <w:sz w:val="18"/>
        </w:rPr>
        <w:t>the</w:t>
      </w:r>
      <w:r>
        <w:rPr>
          <w:spacing w:val="-3"/>
          <w:sz w:val="18"/>
        </w:rPr>
        <w:t xml:space="preserve"> </w:t>
      </w:r>
      <w:r>
        <w:rPr>
          <w:sz w:val="18"/>
        </w:rPr>
        <w:t>cost-effectiveness</w:t>
      </w:r>
      <w:r>
        <w:rPr>
          <w:spacing w:val="-2"/>
          <w:sz w:val="18"/>
        </w:rPr>
        <w:t xml:space="preserve"> </w:t>
      </w:r>
      <w:r>
        <w:rPr>
          <w:sz w:val="18"/>
        </w:rPr>
        <w:t>screen</w:t>
      </w:r>
      <w:r>
        <w:rPr>
          <w:spacing w:val="-3"/>
          <w:sz w:val="18"/>
        </w:rPr>
        <w:t xml:space="preserve"> </w:t>
      </w:r>
      <w:r>
        <w:rPr>
          <w:sz w:val="18"/>
        </w:rPr>
        <w:t>in</w:t>
      </w:r>
      <w:r>
        <w:rPr>
          <w:spacing w:val="-1"/>
          <w:sz w:val="18"/>
        </w:rPr>
        <w:t xml:space="preserve"> </w:t>
      </w:r>
      <w:r>
        <w:rPr>
          <w:sz w:val="18"/>
        </w:rPr>
        <w:t>the 2019 Study.</w:t>
      </w:r>
    </w:p>
    <w:p w:rsidR="00C31389" w:rsidRDefault="00561FBD" w14:paraId="7590049D" w14:textId="77777777">
      <w:pPr>
        <w:spacing w:before="37"/>
        <w:ind w:left="480"/>
        <w:rPr>
          <w:sz w:val="18"/>
        </w:rPr>
      </w:pPr>
      <w:bookmarkStart w:name="_bookmark330" w:id="437"/>
      <w:bookmarkEnd w:id="437"/>
      <w:r>
        <w:rPr>
          <w:position w:val="6"/>
          <w:sz w:val="12"/>
        </w:rPr>
        <w:t>107</w:t>
      </w:r>
      <w:r>
        <w:rPr>
          <w:spacing w:val="15"/>
          <w:position w:val="6"/>
          <w:sz w:val="12"/>
        </w:rPr>
        <w:t xml:space="preserve"> </w:t>
      </w:r>
      <w:r>
        <w:rPr>
          <w:sz w:val="18"/>
        </w:rPr>
        <w:t>Informal</w:t>
      </w:r>
      <w:r>
        <w:rPr>
          <w:spacing w:val="-2"/>
          <w:sz w:val="18"/>
        </w:rPr>
        <w:t xml:space="preserve"> </w:t>
      </w:r>
      <w:r>
        <w:rPr>
          <w:sz w:val="18"/>
        </w:rPr>
        <w:t>comments</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2019</w:t>
      </w:r>
      <w:r>
        <w:rPr>
          <w:spacing w:val="-3"/>
          <w:sz w:val="18"/>
        </w:rPr>
        <w:t xml:space="preserve"> </w:t>
      </w:r>
      <w:r>
        <w:rPr>
          <w:sz w:val="18"/>
        </w:rPr>
        <w:t>Study</w:t>
      </w:r>
      <w:r>
        <w:rPr>
          <w:spacing w:val="-1"/>
          <w:sz w:val="18"/>
        </w:rPr>
        <w:t xml:space="preserve"> </w:t>
      </w:r>
      <w:r>
        <w:rPr>
          <w:sz w:val="18"/>
        </w:rPr>
        <w:t>April</w:t>
      </w:r>
      <w:r>
        <w:rPr>
          <w:spacing w:val="-1"/>
          <w:sz w:val="18"/>
        </w:rPr>
        <w:t xml:space="preserve"> </w:t>
      </w:r>
      <w:r>
        <w:rPr>
          <w:sz w:val="18"/>
        </w:rPr>
        <w:t>20,</w:t>
      </w:r>
      <w:r>
        <w:rPr>
          <w:spacing w:val="-2"/>
          <w:sz w:val="18"/>
        </w:rPr>
        <w:t xml:space="preserve"> </w:t>
      </w:r>
      <w:r>
        <w:rPr>
          <w:sz w:val="18"/>
        </w:rPr>
        <w:t>2017</w:t>
      </w:r>
      <w:r>
        <w:rPr>
          <w:spacing w:val="-2"/>
          <w:sz w:val="18"/>
        </w:rPr>
        <w:t xml:space="preserve"> webinar.</w:t>
      </w:r>
    </w:p>
    <w:p w:rsidR="00C31389" w:rsidRDefault="00561FBD" w14:paraId="310DF2D9" w14:textId="77777777">
      <w:pPr>
        <w:spacing w:before="37"/>
        <w:ind w:left="480"/>
        <w:rPr>
          <w:sz w:val="18"/>
        </w:rPr>
      </w:pPr>
      <w:bookmarkStart w:name="_bookmark331" w:id="438"/>
      <w:bookmarkEnd w:id="438"/>
      <w:r>
        <w:rPr>
          <w:position w:val="6"/>
          <w:sz w:val="12"/>
        </w:rPr>
        <w:t>108</w:t>
      </w:r>
      <w:r>
        <w:rPr>
          <w:spacing w:val="15"/>
          <w:position w:val="6"/>
          <w:sz w:val="12"/>
        </w:rPr>
        <w:t xml:space="preserve"> </w:t>
      </w:r>
      <w:r>
        <w:rPr>
          <w:sz w:val="18"/>
        </w:rPr>
        <w:t>Informal</w:t>
      </w:r>
      <w:r>
        <w:rPr>
          <w:spacing w:val="-2"/>
          <w:sz w:val="18"/>
        </w:rPr>
        <w:t xml:space="preserve"> </w:t>
      </w:r>
      <w:r>
        <w:rPr>
          <w:sz w:val="18"/>
        </w:rPr>
        <w:t>comments</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2019</w:t>
      </w:r>
      <w:r>
        <w:rPr>
          <w:spacing w:val="-3"/>
          <w:sz w:val="18"/>
        </w:rPr>
        <w:t xml:space="preserve"> </w:t>
      </w:r>
      <w:r>
        <w:rPr>
          <w:sz w:val="18"/>
        </w:rPr>
        <w:t>Study</w:t>
      </w:r>
      <w:r>
        <w:rPr>
          <w:spacing w:val="-1"/>
          <w:sz w:val="18"/>
        </w:rPr>
        <w:t xml:space="preserve"> </w:t>
      </w:r>
      <w:r>
        <w:rPr>
          <w:sz w:val="18"/>
        </w:rPr>
        <w:t>April</w:t>
      </w:r>
      <w:r>
        <w:rPr>
          <w:spacing w:val="-1"/>
          <w:sz w:val="18"/>
        </w:rPr>
        <w:t xml:space="preserve"> </w:t>
      </w:r>
      <w:r>
        <w:rPr>
          <w:sz w:val="18"/>
        </w:rPr>
        <w:t>20,</w:t>
      </w:r>
      <w:r>
        <w:rPr>
          <w:spacing w:val="-2"/>
          <w:sz w:val="18"/>
        </w:rPr>
        <w:t xml:space="preserve"> </w:t>
      </w:r>
      <w:r>
        <w:rPr>
          <w:sz w:val="18"/>
        </w:rPr>
        <w:t>2017</w:t>
      </w:r>
      <w:r>
        <w:rPr>
          <w:spacing w:val="-2"/>
          <w:sz w:val="18"/>
        </w:rPr>
        <w:t xml:space="preserve"> webinar.</w:t>
      </w:r>
    </w:p>
    <w:p w:rsidR="00C31389" w:rsidRDefault="00C31389" w14:paraId="7F2A3363" w14:textId="77777777">
      <w:pPr>
        <w:rPr>
          <w:sz w:val="18"/>
        </w:rPr>
        <w:sectPr w:rsidR="00C31389">
          <w:pgSz w:w="11910" w:h="16840"/>
          <w:pgMar w:top="1660" w:right="1020" w:bottom="1120" w:left="960" w:header="397" w:footer="938" w:gutter="0"/>
          <w:cols w:space="720"/>
        </w:sectPr>
      </w:pPr>
    </w:p>
    <w:p w:rsidR="00C31389" w:rsidRDefault="00C31389" w14:paraId="110264E3" w14:textId="77777777">
      <w:pPr>
        <w:pStyle w:val="BodyText"/>
        <w:spacing w:before="11"/>
        <w:rPr>
          <w:sz w:val="13"/>
        </w:rPr>
      </w:pPr>
    </w:p>
    <w:p w:rsidR="00C31389" w:rsidRDefault="00561FBD" w14:paraId="23E51F20" w14:textId="77777777">
      <w:pPr>
        <w:pStyle w:val="BodyText"/>
        <w:spacing w:before="92"/>
        <w:ind w:left="480" w:right="615"/>
        <w:rPr>
          <w:sz w:val="14"/>
        </w:rPr>
      </w:pPr>
      <w:r>
        <w:t>savings</w:t>
      </w:r>
      <w:r>
        <w:rPr>
          <w:spacing w:val="-4"/>
        </w:rPr>
        <w:t xml:space="preserve"> </w:t>
      </w:r>
      <w:r>
        <w:t>for</w:t>
      </w:r>
      <w:r>
        <w:rPr>
          <w:spacing w:val="-5"/>
        </w:rPr>
        <w:t xml:space="preserve"> </w:t>
      </w:r>
      <w:r>
        <w:t>kWh</w:t>
      </w:r>
      <w:r>
        <w:rPr>
          <w:spacing w:val="-3"/>
        </w:rPr>
        <w:t xml:space="preserve"> </w:t>
      </w:r>
      <w:r>
        <w:t>and</w:t>
      </w:r>
      <w:r>
        <w:rPr>
          <w:spacing w:val="-3"/>
        </w:rPr>
        <w:t xml:space="preserve"> </w:t>
      </w:r>
      <w:r>
        <w:t>no</w:t>
      </w:r>
      <w:r>
        <w:rPr>
          <w:spacing w:val="-4"/>
        </w:rPr>
        <w:t xml:space="preserve"> </w:t>
      </w:r>
      <w:r>
        <w:t>gas</w:t>
      </w:r>
      <w:r>
        <w:rPr>
          <w:spacing w:val="-2"/>
        </w:rPr>
        <w:t xml:space="preserve"> </w:t>
      </w:r>
      <w:r>
        <w:t>(therms)</w:t>
      </w:r>
      <w:r>
        <w:rPr>
          <w:spacing w:val="-3"/>
        </w:rPr>
        <w:t xml:space="preserve"> </w:t>
      </w:r>
      <w:r>
        <w:t>savings.</w:t>
      </w:r>
      <w:r>
        <w:rPr>
          <w:spacing w:val="-4"/>
        </w:rPr>
        <w:t xml:space="preserve"> </w:t>
      </w:r>
      <w:r>
        <w:t>The</w:t>
      </w:r>
      <w:r>
        <w:rPr>
          <w:spacing w:val="-3"/>
        </w:rPr>
        <w:t xml:space="preserve"> </w:t>
      </w:r>
      <w:r>
        <w:t>team</w:t>
      </w:r>
      <w:r>
        <w:rPr>
          <w:spacing w:val="-4"/>
        </w:rPr>
        <w:t xml:space="preserve"> </w:t>
      </w:r>
      <w:r>
        <w:t>developed</w:t>
      </w:r>
      <w:r>
        <w:rPr>
          <w:spacing w:val="-3"/>
        </w:rPr>
        <w:t xml:space="preserve"> </w:t>
      </w:r>
      <w:r>
        <w:t>these</w:t>
      </w:r>
      <w:r>
        <w:rPr>
          <w:spacing w:val="-3"/>
        </w:rPr>
        <w:t xml:space="preserve"> </w:t>
      </w:r>
      <w:r>
        <w:t>estimates</w:t>
      </w:r>
      <w:r>
        <w:rPr>
          <w:spacing w:val="-4"/>
        </w:rPr>
        <w:t xml:space="preserve"> </w:t>
      </w:r>
      <w:r>
        <w:t xml:space="preserve">based on numerous data </w:t>
      </w:r>
      <w:r>
        <w:t>points for kWh savings.</w:t>
      </w:r>
      <w:r>
        <w:rPr>
          <w:spacing w:val="-36"/>
        </w:rPr>
        <w:t xml:space="preserve"> </w:t>
      </w:r>
      <w:hyperlink w:history="1" w:anchor="_bookmark334">
        <w:r>
          <w:rPr>
            <w:position w:val="7"/>
            <w:sz w:val="14"/>
          </w:rPr>
          <w:t>109</w:t>
        </w:r>
      </w:hyperlink>
      <w:r>
        <w:rPr>
          <w:position w:val="7"/>
          <w:sz w:val="14"/>
        </w:rPr>
        <w:t>,</w:t>
      </w:r>
      <w:r>
        <w:rPr>
          <w:spacing w:val="-15"/>
          <w:position w:val="7"/>
          <w:sz w:val="14"/>
        </w:rPr>
        <w:t xml:space="preserve"> </w:t>
      </w:r>
      <w:hyperlink w:history="1" w:anchor="_bookmark335">
        <w:r>
          <w:rPr>
            <w:position w:val="7"/>
            <w:sz w:val="14"/>
          </w:rPr>
          <w:t>110</w:t>
        </w:r>
      </w:hyperlink>
      <w:r>
        <w:rPr>
          <w:position w:val="7"/>
          <w:sz w:val="14"/>
        </w:rPr>
        <w:t>,</w:t>
      </w:r>
      <w:r>
        <w:rPr>
          <w:spacing w:val="-12"/>
          <w:position w:val="7"/>
          <w:sz w:val="14"/>
        </w:rPr>
        <w:t xml:space="preserve"> </w:t>
      </w:r>
      <w:hyperlink w:history="1" w:anchor="_bookmark336">
        <w:r>
          <w:rPr>
            <w:position w:val="7"/>
            <w:sz w:val="14"/>
          </w:rPr>
          <w:t>111</w:t>
        </w:r>
      </w:hyperlink>
      <w:r>
        <w:rPr>
          <w:position w:val="7"/>
          <w:sz w:val="14"/>
        </w:rPr>
        <w:t>,</w:t>
      </w:r>
      <w:r>
        <w:rPr>
          <w:spacing w:val="-15"/>
          <w:position w:val="7"/>
          <w:sz w:val="14"/>
        </w:rPr>
        <w:t xml:space="preserve"> </w:t>
      </w:r>
      <w:hyperlink w:history="1" w:anchor="_bookmark337">
        <w:r>
          <w:rPr>
            <w:position w:val="7"/>
            <w:sz w:val="14"/>
          </w:rPr>
          <w:t>112</w:t>
        </w:r>
      </w:hyperlink>
      <w:r>
        <w:rPr>
          <w:position w:val="7"/>
          <w:sz w:val="14"/>
        </w:rPr>
        <w:t>,</w:t>
      </w:r>
      <w:r>
        <w:rPr>
          <w:spacing w:val="-12"/>
          <w:position w:val="7"/>
          <w:sz w:val="14"/>
        </w:rPr>
        <w:t xml:space="preserve"> </w:t>
      </w:r>
      <w:hyperlink w:history="1" w:anchor="_bookmark338">
        <w:r>
          <w:rPr>
            <w:position w:val="7"/>
            <w:sz w:val="14"/>
          </w:rPr>
          <w:t>113</w:t>
        </w:r>
      </w:hyperlink>
      <w:r>
        <w:rPr>
          <w:position w:val="7"/>
          <w:sz w:val="14"/>
        </w:rPr>
        <w:t>,</w:t>
      </w:r>
      <w:r>
        <w:rPr>
          <w:spacing w:val="-15"/>
          <w:position w:val="7"/>
          <w:sz w:val="14"/>
        </w:rPr>
        <w:t xml:space="preserve"> </w:t>
      </w:r>
      <w:hyperlink w:history="1" w:anchor="_bookmark339">
        <w:r>
          <w:rPr>
            <w:position w:val="7"/>
            <w:sz w:val="14"/>
          </w:rPr>
          <w:t>114</w:t>
        </w:r>
      </w:hyperlink>
    </w:p>
    <w:p w:rsidR="00C31389" w:rsidRDefault="00C31389" w14:paraId="27E7CD1E" w14:textId="77777777">
      <w:pPr>
        <w:pStyle w:val="BodyText"/>
        <w:spacing w:before="9"/>
        <w:rPr>
          <w:sz w:val="20"/>
        </w:rPr>
      </w:pPr>
    </w:p>
    <w:p w:rsidR="00C31389" w:rsidRDefault="00561FBD" w14:paraId="02B4BE1C" w14:textId="77777777">
      <w:pPr>
        <w:pStyle w:val="BodyText"/>
        <w:spacing w:before="1"/>
        <w:ind w:left="480" w:right="434"/>
      </w:pPr>
      <w:r>
        <w:t xml:space="preserve">The PG Model uses an EUL of 1 year, the same as the team </w:t>
      </w:r>
      <w:r>
        <w:t>applies for HER program participants.</w:t>
      </w:r>
      <w:r>
        <w:rPr>
          <w:spacing w:val="-5"/>
        </w:rPr>
        <w:t xml:space="preserve"> </w:t>
      </w:r>
      <w:r>
        <w:t>Because</w:t>
      </w:r>
      <w:r>
        <w:rPr>
          <w:spacing w:val="-4"/>
        </w:rPr>
        <w:t xml:space="preserve"> </w:t>
      </w:r>
      <w:r>
        <w:t>insufficient</w:t>
      </w:r>
      <w:r>
        <w:rPr>
          <w:spacing w:val="-4"/>
        </w:rPr>
        <w:t xml:space="preserve"> </w:t>
      </w:r>
      <w:r>
        <w:t>demand</w:t>
      </w:r>
      <w:r>
        <w:rPr>
          <w:spacing w:val="-4"/>
        </w:rPr>
        <w:t xml:space="preserve"> </w:t>
      </w:r>
      <w:r>
        <w:t>savings</w:t>
      </w:r>
      <w:r>
        <w:rPr>
          <w:spacing w:val="-4"/>
        </w:rPr>
        <w:t xml:space="preserve"> </w:t>
      </w:r>
      <w:r>
        <w:t>data</w:t>
      </w:r>
      <w:r>
        <w:rPr>
          <w:spacing w:val="-4"/>
        </w:rPr>
        <w:t xml:space="preserve"> </w:t>
      </w:r>
      <w:r>
        <w:t>was</w:t>
      </w:r>
      <w:r>
        <w:rPr>
          <w:spacing w:val="-5"/>
        </w:rPr>
        <w:t xml:space="preserve"> </w:t>
      </w:r>
      <w:r>
        <w:t>available</w:t>
      </w:r>
      <w:r>
        <w:rPr>
          <w:spacing w:val="-5"/>
        </w:rPr>
        <w:t xml:space="preserve"> </w:t>
      </w:r>
      <w:r>
        <w:t>for</w:t>
      </w:r>
      <w:r>
        <w:rPr>
          <w:spacing w:val="-4"/>
        </w:rPr>
        <w:t xml:space="preserve"> </w:t>
      </w:r>
      <w:r>
        <w:t>real-time</w:t>
      </w:r>
      <w:r>
        <w:rPr>
          <w:spacing w:val="-4"/>
        </w:rPr>
        <w:t xml:space="preserve"> </w:t>
      </w:r>
      <w:r>
        <w:t>feedback for non-DR programs, the ratio of kW to kWh for HERs is used for the three electric utilities.</w:t>
      </w:r>
    </w:p>
    <w:p w:rsidR="00C31389" w:rsidRDefault="00C31389" w14:paraId="6AEDF337" w14:textId="77777777">
      <w:pPr>
        <w:pStyle w:val="BodyText"/>
        <w:spacing w:before="10"/>
        <w:rPr>
          <w:sz w:val="20"/>
        </w:rPr>
      </w:pPr>
    </w:p>
    <w:p w:rsidR="00C31389" w:rsidRDefault="00561FBD" w14:paraId="459863EB" w14:textId="77777777">
      <w:pPr>
        <w:pStyle w:val="Heading7"/>
        <w:ind w:left="480"/>
      </w:pPr>
      <w:r>
        <w:rPr>
          <w:spacing w:val="-4"/>
        </w:rPr>
        <w:t>Cost</w:t>
      </w:r>
    </w:p>
    <w:p w:rsidR="00C31389" w:rsidRDefault="00C31389" w14:paraId="023DFE2C" w14:textId="77777777">
      <w:pPr>
        <w:pStyle w:val="BodyText"/>
        <w:spacing w:before="10"/>
        <w:rPr>
          <w:b/>
          <w:sz w:val="20"/>
        </w:rPr>
      </w:pPr>
    </w:p>
    <w:p w:rsidR="00C31389" w:rsidRDefault="00561FBD" w14:paraId="1F4CA29F" w14:textId="77777777">
      <w:pPr>
        <w:pStyle w:val="BodyText"/>
        <w:spacing w:before="1"/>
        <w:ind w:left="480" w:right="615"/>
        <w:rPr>
          <w:sz w:val="14"/>
        </w:rPr>
      </w:pPr>
      <w:r>
        <w:t xml:space="preserve">Hardware acquisition and installation </w:t>
      </w:r>
      <w:r>
        <w:t>constitute the primary cost associated with IHD programs</w:t>
      </w:r>
      <w:r>
        <w:rPr>
          <w:spacing w:val="-3"/>
        </w:rPr>
        <w:t xml:space="preserve"> </w:t>
      </w:r>
      <w:r>
        <w:t>and</w:t>
      </w:r>
      <w:r>
        <w:rPr>
          <w:spacing w:val="-3"/>
        </w:rPr>
        <w:t xml:space="preserve"> </w:t>
      </w:r>
      <w:r>
        <w:t>are</w:t>
      </w:r>
      <w:r>
        <w:rPr>
          <w:spacing w:val="-3"/>
        </w:rPr>
        <w:t xml:space="preserve"> </w:t>
      </w:r>
      <w:r>
        <w:t>accrued</w:t>
      </w:r>
      <w:r>
        <w:rPr>
          <w:spacing w:val="-3"/>
        </w:rPr>
        <w:t xml:space="preserve"> </w:t>
      </w:r>
      <w:r>
        <w:t>during</w:t>
      </w:r>
      <w:r>
        <w:rPr>
          <w:spacing w:val="-3"/>
        </w:rPr>
        <w:t xml:space="preserve"> </w:t>
      </w:r>
      <w:r>
        <w:t>the</w:t>
      </w:r>
      <w:r>
        <w:rPr>
          <w:spacing w:val="-3"/>
        </w:rPr>
        <w:t xml:space="preserve"> </w:t>
      </w:r>
      <w:r>
        <w:t>first</w:t>
      </w:r>
      <w:r>
        <w:rPr>
          <w:spacing w:val="-2"/>
        </w:rPr>
        <w:t xml:space="preserve"> </w:t>
      </w:r>
      <w:r>
        <w:t>year</w:t>
      </w:r>
      <w:r>
        <w:rPr>
          <w:spacing w:val="-3"/>
        </w:rPr>
        <w:t xml:space="preserve"> </w:t>
      </w:r>
      <w:r>
        <w:t>of</w:t>
      </w:r>
      <w:r>
        <w:rPr>
          <w:spacing w:val="-3"/>
        </w:rPr>
        <w:t xml:space="preserve"> </w:t>
      </w:r>
      <w:r>
        <w:t>customer</w:t>
      </w:r>
      <w:r>
        <w:rPr>
          <w:spacing w:val="-3"/>
        </w:rPr>
        <w:t xml:space="preserve"> </w:t>
      </w:r>
      <w:r>
        <w:t>participation.</w:t>
      </w:r>
      <w:r>
        <w:rPr>
          <w:spacing w:val="-4"/>
        </w:rPr>
        <w:t xml:space="preserve"> </w:t>
      </w:r>
      <w:r>
        <w:t>Sometimes</w:t>
      </w:r>
      <w:r>
        <w:rPr>
          <w:spacing w:val="-3"/>
        </w:rPr>
        <w:t xml:space="preserve"> </w:t>
      </w:r>
      <w:r>
        <w:t>these costs are paid by the utility, and other times they are paid by the customer. For modeling purposes, the Guidehouse te</w:t>
      </w:r>
      <w:r>
        <w:t>am assumed utilities will provide the hardware and that IHDs cost $100, annualized over 5 years, which is similar to the life of other consumer electronics.</w:t>
      </w:r>
      <w:r>
        <w:rPr>
          <w:spacing w:val="-42"/>
        </w:rPr>
        <w:t xml:space="preserve"> </w:t>
      </w:r>
      <w:hyperlink w:history="1" w:anchor="_bookmark340">
        <w:r>
          <w:rPr>
            <w:position w:val="7"/>
            <w:sz w:val="14"/>
          </w:rPr>
          <w:t>115</w:t>
        </w:r>
      </w:hyperlink>
    </w:p>
    <w:p w:rsidR="00C31389" w:rsidRDefault="00C31389" w14:paraId="5A076FED" w14:textId="77777777">
      <w:pPr>
        <w:pStyle w:val="BodyText"/>
        <w:spacing w:before="10"/>
        <w:rPr>
          <w:sz w:val="20"/>
        </w:rPr>
      </w:pPr>
    </w:p>
    <w:p w:rsidR="00C31389" w:rsidRDefault="00561FBD" w14:paraId="6A5DB07C" w14:textId="77777777">
      <w:pPr>
        <w:pStyle w:val="BodyText"/>
        <w:ind w:left="480" w:right="447"/>
      </w:pPr>
      <w:r>
        <w:t>To calculate the cost, the te</w:t>
      </w:r>
      <w:r>
        <w:t>am began with a 2014 report by the Alberta Energy Efficiency Alliance for the City of Calgary that estimates the cost for a real-time direct feedback program</w:t>
      </w:r>
      <w:r>
        <w:rPr>
          <w:spacing w:val="-4"/>
        </w:rPr>
        <w:t xml:space="preserve"> </w:t>
      </w:r>
      <w:r>
        <w:t>to</w:t>
      </w:r>
      <w:r>
        <w:rPr>
          <w:spacing w:val="-3"/>
        </w:rPr>
        <w:t xml:space="preserve"> </w:t>
      </w:r>
      <w:r>
        <w:t>be</w:t>
      </w:r>
      <w:r>
        <w:rPr>
          <w:spacing w:val="-3"/>
        </w:rPr>
        <w:t xml:space="preserve"> </w:t>
      </w:r>
      <w:r>
        <w:t>about</w:t>
      </w:r>
      <w:r>
        <w:rPr>
          <w:spacing w:val="-3"/>
        </w:rPr>
        <w:t xml:space="preserve"> </w:t>
      </w:r>
      <w:r>
        <w:t>$0.07</w:t>
      </w:r>
      <w:r>
        <w:rPr>
          <w:spacing w:val="-3"/>
        </w:rPr>
        <w:t xml:space="preserve"> </w:t>
      </w:r>
      <w:r>
        <w:t>per</w:t>
      </w:r>
      <w:r>
        <w:rPr>
          <w:spacing w:val="-3"/>
        </w:rPr>
        <w:t xml:space="preserve"> </w:t>
      </w:r>
      <w:r>
        <w:t>kWh</w:t>
      </w:r>
      <w:r>
        <w:rPr>
          <w:spacing w:val="-4"/>
        </w:rPr>
        <w:t xml:space="preserve"> </w:t>
      </w:r>
      <w:r>
        <w:t>saved</w:t>
      </w:r>
      <w:r>
        <w:rPr>
          <w:spacing w:val="-3"/>
        </w:rPr>
        <w:t xml:space="preserve"> </w:t>
      </w:r>
      <w:r>
        <w:t>not</w:t>
      </w:r>
      <w:r>
        <w:rPr>
          <w:spacing w:val="-3"/>
        </w:rPr>
        <w:t xml:space="preserve"> </w:t>
      </w:r>
      <w:r>
        <w:t>including</w:t>
      </w:r>
      <w:r>
        <w:rPr>
          <w:spacing w:val="-3"/>
        </w:rPr>
        <w:t xml:space="preserve"> </w:t>
      </w:r>
      <w:r>
        <w:t>the</w:t>
      </w:r>
      <w:r>
        <w:rPr>
          <w:spacing w:val="-4"/>
        </w:rPr>
        <w:t xml:space="preserve"> </w:t>
      </w:r>
      <w:r>
        <w:t>hardware.</w:t>
      </w:r>
      <w:r>
        <w:rPr>
          <w:spacing w:val="-40"/>
        </w:rPr>
        <w:t xml:space="preserve"> </w:t>
      </w:r>
      <w:hyperlink w:history="1" w:anchor="_bookmark341">
        <w:r>
          <w:rPr>
            <w:position w:val="7"/>
            <w:sz w:val="14"/>
          </w:rPr>
          <w:t>116</w:t>
        </w:r>
      </w:hyperlink>
      <w:r>
        <w:rPr>
          <w:spacing w:val="19"/>
          <w:position w:val="7"/>
          <w:sz w:val="14"/>
        </w:rPr>
        <w:t xml:space="preserve"> </w:t>
      </w:r>
      <w:r>
        <w:t>For</w:t>
      </w:r>
      <w:r>
        <w:rPr>
          <w:spacing w:val="-3"/>
        </w:rPr>
        <w:t xml:space="preserve"> </w:t>
      </w:r>
      <w:r>
        <w:t>IHDs,</w:t>
      </w:r>
      <w:r>
        <w:rPr>
          <w:spacing w:val="-3"/>
        </w:rPr>
        <w:t xml:space="preserve"> </w:t>
      </w:r>
      <w:r>
        <w:t>the</w:t>
      </w:r>
      <w:r>
        <w:rPr>
          <w:spacing w:val="-3"/>
        </w:rPr>
        <w:t xml:space="preserve"> </w:t>
      </w:r>
      <w:r>
        <w:t>team added in the annualized $100 hardware acquisition and installation cost, resulting in $0.19 per kWh of savings (assuming 7,000 kWh per household).</w:t>
      </w:r>
    </w:p>
    <w:p w:rsidR="00C31389" w:rsidRDefault="00C31389" w14:paraId="274879A3" w14:textId="77777777">
      <w:pPr>
        <w:pStyle w:val="BodyText"/>
        <w:spacing w:before="10"/>
        <w:rPr>
          <w:sz w:val="20"/>
        </w:rPr>
      </w:pPr>
    </w:p>
    <w:p w:rsidR="00C31389" w:rsidRDefault="00561FBD" w14:paraId="226F2DF8" w14:textId="77777777">
      <w:pPr>
        <w:pStyle w:val="ListParagraph"/>
        <w:numPr>
          <w:ilvl w:val="1"/>
          <w:numId w:val="19"/>
        </w:numPr>
        <w:tabs>
          <w:tab w:val="left" w:pos="991"/>
        </w:tabs>
        <w:ind w:left="991" w:hanging="511"/>
        <w:rPr>
          <w:b/>
          <w:sz w:val="28"/>
        </w:rPr>
      </w:pPr>
      <w:bookmarkStart w:name="D.4_Residential_–_Competitions:_Large_an" w:id="439"/>
      <w:bookmarkStart w:name="_bookmark332" w:id="440"/>
      <w:bookmarkEnd w:id="439"/>
      <w:bookmarkEnd w:id="440"/>
      <w:r>
        <w:rPr>
          <w:b/>
          <w:sz w:val="28"/>
        </w:rPr>
        <w:t>Residential</w:t>
      </w:r>
      <w:r>
        <w:rPr>
          <w:b/>
          <w:spacing w:val="-13"/>
          <w:sz w:val="28"/>
        </w:rPr>
        <w:t xml:space="preserve"> </w:t>
      </w:r>
      <w:r>
        <w:rPr>
          <w:b/>
          <w:sz w:val="28"/>
        </w:rPr>
        <w:t>–</w:t>
      </w:r>
      <w:r>
        <w:rPr>
          <w:b/>
          <w:spacing w:val="-12"/>
          <w:sz w:val="28"/>
        </w:rPr>
        <w:t xml:space="preserve"> </w:t>
      </w:r>
      <w:r>
        <w:rPr>
          <w:b/>
          <w:sz w:val="28"/>
        </w:rPr>
        <w:t>Competi</w:t>
      </w:r>
      <w:r>
        <w:rPr>
          <w:b/>
          <w:sz w:val="28"/>
        </w:rPr>
        <w:t>tions:</w:t>
      </w:r>
      <w:r>
        <w:rPr>
          <w:b/>
          <w:spacing w:val="-12"/>
          <w:sz w:val="28"/>
        </w:rPr>
        <w:t xml:space="preserve"> </w:t>
      </w:r>
      <w:r>
        <w:rPr>
          <w:b/>
          <w:sz w:val="28"/>
        </w:rPr>
        <w:t>Large</w:t>
      </w:r>
      <w:r>
        <w:rPr>
          <w:b/>
          <w:spacing w:val="-12"/>
          <w:sz w:val="28"/>
        </w:rPr>
        <w:t xml:space="preserve"> </w:t>
      </w:r>
      <w:r>
        <w:rPr>
          <w:b/>
          <w:sz w:val="28"/>
        </w:rPr>
        <w:t>and</w:t>
      </w:r>
      <w:r>
        <w:rPr>
          <w:b/>
          <w:spacing w:val="-12"/>
          <w:sz w:val="28"/>
        </w:rPr>
        <w:t xml:space="preserve"> </w:t>
      </w:r>
      <w:r>
        <w:rPr>
          <w:b/>
          <w:spacing w:val="-2"/>
          <w:sz w:val="28"/>
        </w:rPr>
        <w:t>Small</w:t>
      </w:r>
    </w:p>
    <w:p w:rsidR="00C31389" w:rsidRDefault="00C31389" w14:paraId="1E434F13" w14:textId="77777777">
      <w:pPr>
        <w:pStyle w:val="BodyText"/>
        <w:spacing w:before="4"/>
        <w:rPr>
          <w:b/>
          <w:sz w:val="31"/>
        </w:rPr>
      </w:pPr>
    </w:p>
    <w:p w:rsidR="00C31389" w:rsidRDefault="00561FBD" w14:paraId="173D466D" w14:textId="77777777">
      <w:pPr>
        <w:pStyle w:val="ListParagraph"/>
        <w:numPr>
          <w:ilvl w:val="2"/>
          <w:numId w:val="19"/>
        </w:numPr>
        <w:tabs>
          <w:tab w:val="left" w:pos="1197"/>
        </w:tabs>
        <w:spacing w:before="1"/>
        <w:ind w:left="1197" w:hanging="717"/>
        <w:rPr>
          <w:b/>
          <w:sz w:val="24"/>
        </w:rPr>
      </w:pPr>
      <w:bookmarkStart w:name="D.4.1_Summary" w:id="441"/>
      <w:bookmarkStart w:name="_bookmark333" w:id="442"/>
      <w:bookmarkEnd w:id="441"/>
      <w:bookmarkEnd w:id="442"/>
      <w:r>
        <w:rPr>
          <w:b/>
          <w:spacing w:val="-2"/>
          <w:sz w:val="24"/>
        </w:rPr>
        <w:t>Summary</w:t>
      </w:r>
    </w:p>
    <w:p w:rsidR="00C31389" w:rsidRDefault="00C31389" w14:paraId="24C371C1" w14:textId="77777777">
      <w:pPr>
        <w:pStyle w:val="BodyText"/>
        <w:spacing w:before="1"/>
        <w:rPr>
          <w:b/>
          <w:sz w:val="23"/>
        </w:rPr>
      </w:pPr>
    </w:p>
    <w:p w:rsidR="00C31389" w:rsidRDefault="00561FBD" w14:paraId="78EFCEC1" w14:textId="77777777">
      <w:pPr>
        <w:pStyle w:val="BodyText"/>
        <w:ind w:left="480" w:right="418"/>
      </w:pPr>
      <w:r>
        <w:t>Residential competitions are a behavioral intervention approach in which participants compete in energy-related challenges, events,</w:t>
      </w:r>
      <w:r>
        <w:rPr>
          <w:spacing w:val="-1"/>
        </w:rPr>
        <w:t xml:space="preserve"> </w:t>
      </w:r>
      <w:r>
        <w:t>or contests. The goal of such challenges is to reduce</w:t>
      </w:r>
      <w:r>
        <w:rPr>
          <w:spacing w:val="-4"/>
        </w:rPr>
        <w:t xml:space="preserve"> </w:t>
      </w:r>
      <w:r>
        <w:t>energy</w:t>
      </w:r>
      <w:r>
        <w:rPr>
          <w:spacing w:val="-4"/>
        </w:rPr>
        <w:t xml:space="preserve"> </w:t>
      </w:r>
      <w:r>
        <w:t>consumption</w:t>
      </w:r>
      <w:r>
        <w:rPr>
          <w:spacing w:val="-4"/>
        </w:rPr>
        <w:t xml:space="preserve"> </w:t>
      </w:r>
      <w:r>
        <w:t>either</w:t>
      </w:r>
      <w:r>
        <w:rPr>
          <w:spacing w:val="-4"/>
        </w:rPr>
        <w:t xml:space="preserve"> </w:t>
      </w:r>
      <w:r>
        <w:t>directly</w:t>
      </w:r>
      <w:r>
        <w:rPr>
          <w:spacing w:val="-4"/>
        </w:rPr>
        <w:t xml:space="preserve"> </w:t>
      </w:r>
      <w:r>
        <w:t>or</w:t>
      </w:r>
      <w:r>
        <w:rPr>
          <w:spacing w:val="-4"/>
        </w:rPr>
        <w:t xml:space="preserve"> </w:t>
      </w:r>
      <w:r>
        <w:t>by</w:t>
      </w:r>
      <w:r>
        <w:rPr>
          <w:spacing w:val="-4"/>
        </w:rPr>
        <w:t xml:space="preserve"> </w:t>
      </w:r>
      <w:r>
        <w:t>raising</w:t>
      </w:r>
      <w:r>
        <w:rPr>
          <w:spacing w:val="-4"/>
        </w:rPr>
        <w:t xml:space="preserve"> </w:t>
      </w:r>
      <w:r>
        <w:t>awareness,</w:t>
      </w:r>
      <w:r>
        <w:rPr>
          <w:spacing w:val="-4"/>
        </w:rPr>
        <w:t xml:space="preserve"> </w:t>
      </w:r>
      <w:r>
        <w:t>increasing</w:t>
      </w:r>
      <w:r>
        <w:rPr>
          <w:spacing w:val="-4"/>
        </w:rPr>
        <w:t xml:space="preserve"> </w:t>
      </w:r>
      <w:r>
        <w:t>knowledge,</w:t>
      </w:r>
      <w:r>
        <w:rPr>
          <w:spacing w:val="-4"/>
        </w:rPr>
        <w:t xml:space="preserve"> </w:t>
      </w:r>
      <w:r>
        <w:t xml:space="preserve">or encouraging one or more types of action. Competitions can run for different lengths of time, ranging from a single month to multiple years. They can also include a mix of behavioral </w:t>
      </w:r>
      <w:r>
        <w:t>strategies, including goal setting, commitments, games, social norms, and feedback. This</w:t>
      </w:r>
    </w:p>
    <w:p w:rsidR="00C31389" w:rsidRDefault="00C31389" w14:paraId="22DBB38F" w14:textId="77777777">
      <w:pPr>
        <w:pStyle w:val="BodyText"/>
        <w:rPr>
          <w:sz w:val="20"/>
        </w:rPr>
      </w:pPr>
    </w:p>
    <w:p w:rsidR="00C31389" w:rsidRDefault="00C31389" w14:paraId="618428B9" w14:textId="77777777">
      <w:pPr>
        <w:pStyle w:val="BodyText"/>
        <w:rPr>
          <w:sz w:val="20"/>
        </w:rPr>
      </w:pPr>
    </w:p>
    <w:p w:rsidR="00C31389" w:rsidRDefault="00C31389" w14:paraId="261B2EC1" w14:textId="77777777">
      <w:pPr>
        <w:pStyle w:val="BodyText"/>
        <w:rPr>
          <w:sz w:val="20"/>
        </w:rPr>
      </w:pPr>
    </w:p>
    <w:p w:rsidR="00C31389" w:rsidRDefault="00C31389" w14:paraId="7BDD6B04" w14:textId="77777777">
      <w:pPr>
        <w:pStyle w:val="BodyText"/>
        <w:rPr>
          <w:sz w:val="20"/>
        </w:rPr>
      </w:pPr>
    </w:p>
    <w:p w:rsidR="00C31389" w:rsidRDefault="00561FBD" w14:paraId="785F6E89" w14:textId="77777777">
      <w:pPr>
        <w:pStyle w:val="BodyText"/>
        <w:spacing w:before="4"/>
        <w:rPr>
          <w:sz w:val="16"/>
        </w:rPr>
      </w:pPr>
      <w:r>
        <w:rPr>
          <w:noProof/>
        </w:rPr>
        <mc:AlternateContent>
          <mc:Choice Requires="wps">
            <w:drawing>
              <wp:anchor distT="0" distB="0" distL="0" distR="0" simplePos="0" relativeHeight="487718912" behindDoc="1" locked="0" layoutInCell="1" allowOverlap="1" wp14:editId="177EDF42" wp14:anchorId="6C912680">
                <wp:simplePos x="0" y="0"/>
                <wp:positionH relativeFrom="page">
                  <wp:posOffset>914400</wp:posOffset>
                </wp:positionH>
                <wp:positionV relativeFrom="paragraph">
                  <wp:posOffset>134674</wp:posOffset>
                </wp:positionV>
                <wp:extent cx="1828800" cy="6985"/>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12" style="position:absolute;margin-left:1in;margin-top:10.6pt;width:2in;height:.55pt;z-index:-1559756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" w14:anchorId="5B0BF149">
                <v:path arrowok="t"/>
                <w10:wrap type="topAndBottom" anchorx="page"/>
              </v:shape>
            </w:pict>
          </mc:Fallback>
        </mc:AlternateContent>
      </w:r>
    </w:p>
    <w:p w:rsidR="00C31389" w:rsidRDefault="00561FBD" w14:paraId="0020882B" w14:textId="77777777">
      <w:pPr>
        <w:spacing w:before="88"/>
        <w:ind w:left="480" w:right="2232"/>
        <w:rPr>
          <w:sz w:val="18"/>
        </w:rPr>
      </w:pPr>
      <w:bookmarkStart w:name="_bookmark334" w:id="443"/>
      <w:bookmarkEnd w:id="443"/>
      <w:r>
        <w:rPr>
          <w:position w:val="6"/>
          <w:sz w:val="12"/>
        </w:rPr>
        <w:t>109</w:t>
      </w:r>
      <w:r>
        <w:rPr>
          <w:spacing w:val="13"/>
          <w:position w:val="6"/>
          <w:sz w:val="12"/>
        </w:rPr>
        <w:t xml:space="preserve"> </w:t>
      </w:r>
      <w:r>
        <w:rPr>
          <w:sz w:val="18"/>
        </w:rPr>
        <w:t>Kira</w:t>
      </w:r>
      <w:r>
        <w:rPr>
          <w:spacing w:val="-5"/>
          <w:sz w:val="18"/>
        </w:rPr>
        <w:t xml:space="preserve"> </w:t>
      </w:r>
      <w:r>
        <w:rPr>
          <w:sz w:val="18"/>
        </w:rPr>
        <w:t>Ashby,</w:t>
      </w:r>
      <w:r>
        <w:rPr>
          <w:spacing w:val="-4"/>
          <w:sz w:val="18"/>
        </w:rPr>
        <w:t xml:space="preserve"> </w:t>
      </w:r>
      <w:r>
        <w:rPr>
          <w:i/>
          <w:sz w:val="18"/>
        </w:rPr>
        <w:t>2016</w:t>
      </w:r>
      <w:r>
        <w:rPr>
          <w:i/>
          <w:spacing w:val="-5"/>
          <w:sz w:val="18"/>
        </w:rPr>
        <w:t xml:space="preserve"> </w:t>
      </w:r>
      <w:r>
        <w:rPr>
          <w:i/>
          <w:sz w:val="18"/>
        </w:rPr>
        <w:t>Behavior</w:t>
      </w:r>
      <w:r>
        <w:rPr>
          <w:i/>
          <w:spacing w:val="-4"/>
          <w:sz w:val="18"/>
        </w:rPr>
        <w:t xml:space="preserve"> </w:t>
      </w:r>
      <w:r>
        <w:rPr>
          <w:i/>
          <w:sz w:val="18"/>
        </w:rPr>
        <w:t>Program</w:t>
      </w:r>
      <w:r>
        <w:rPr>
          <w:i/>
          <w:spacing w:val="-4"/>
          <w:sz w:val="18"/>
        </w:rPr>
        <w:t xml:space="preserve"> </w:t>
      </w:r>
      <w:r>
        <w:rPr>
          <w:i/>
          <w:sz w:val="18"/>
        </w:rPr>
        <w:t>Summary</w:t>
      </w:r>
      <w:r>
        <w:rPr>
          <w:sz w:val="18"/>
        </w:rPr>
        <w:t>,</w:t>
      </w:r>
      <w:r>
        <w:rPr>
          <w:spacing w:val="-4"/>
          <w:sz w:val="18"/>
        </w:rPr>
        <w:t xml:space="preserve"> </w:t>
      </w:r>
      <w:r>
        <w:rPr>
          <w:sz w:val="18"/>
        </w:rPr>
        <w:t>2016,</w:t>
      </w:r>
      <w:r>
        <w:rPr>
          <w:spacing w:val="-4"/>
          <w:sz w:val="18"/>
        </w:rPr>
        <w:t xml:space="preserve"> </w:t>
      </w:r>
      <w:r>
        <w:rPr>
          <w:sz w:val="18"/>
        </w:rPr>
        <w:t>Consortium</w:t>
      </w:r>
      <w:r>
        <w:rPr>
          <w:spacing w:val="-4"/>
          <w:sz w:val="18"/>
        </w:rPr>
        <w:t xml:space="preserve"> </w:t>
      </w:r>
      <w:r>
        <w:rPr>
          <w:sz w:val="18"/>
        </w:rPr>
        <w:t>for</w:t>
      </w:r>
      <w:r>
        <w:rPr>
          <w:spacing w:val="-4"/>
          <w:sz w:val="18"/>
        </w:rPr>
        <w:t xml:space="preserve"> </w:t>
      </w:r>
      <w:r>
        <w:rPr>
          <w:sz w:val="18"/>
        </w:rPr>
        <w:t>Energy</w:t>
      </w:r>
      <w:r>
        <w:rPr>
          <w:spacing w:val="-4"/>
          <w:sz w:val="18"/>
        </w:rPr>
        <w:t xml:space="preserve"> </w:t>
      </w:r>
      <w:r>
        <w:rPr>
          <w:sz w:val="18"/>
        </w:rPr>
        <w:t xml:space="preserve">Efficiency, </w:t>
      </w:r>
      <w:hyperlink r:id="rId260">
        <w:r>
          <w:rPr>
            <w:color w:val="68942C"/>
            <w:spacing w:val="-2"/>
            <w:sz w:val="18"/>
            <w:u w:val="single" w:color="68942C"/>
          </w:rPr>
          <w:t>https://library.cee1.org/content/2016-behavior-program-summary-public</w:t>
        </w:r>
      </w:hyperlink>
    </w:p>
    <w:p w:rsidR="00C31389" w:rsidRDefault="00561FBD" w14:paraId="7B14799D" w14:textId="77777777">
      <w:pPr>
        <w:spacing w:before="35"/>
        <w:ind w:left="480" w:right="418"/>
        <w:rPr>
          <w:sz w:val="18"/>
        </w:rPr>
      </w:pPr>
      <w:bookmarkStart w:name="_bookmark335" w:id="444"/>
      <w:bookmarkEnd w:id="444"/>
      <w:r>
        <w:rPr>
          <w:position w:val="6"/>
          <w:sz w:val="12"/>
        </w:rPr>
        <w:t>110</w:t>
      </w:r>
      <w:r>
        <w:rPr>
          <w:spacing w:val="14"/>
          <w:position w:val="6"/>
          <w:sz w:val="12"/>
        </w:rPr>
        <w:t xml:space="preserve"> </w:t>
      </w:r>
      <w:r>
        <w:rPr>
          <w:sz w:val="18"/>
        </w:rPr>
        <w:t>Susan</w:t>
      </w:r>
      <w:r>
        <w:rPr>
          <w:spacing w:val="-4"/>
          <w:sz w:val="18"/>
        </w:rPr>
        <w:t xml:space="preserve"> </w:t>
      </w:r>
      <w:r>
        <w:rPr>
          <w:sz w:val="18"/>
        </w:rPr>
        <w:t>Mazur-Stommen</w:t>
      </w:r>
      <w:r>
        <w:rPr>
          <w:spacing w:val="-4"/>
          <w:sz w:val="18"/>
        </w:rPr>
        <w:t xml:space="preserve"> </w:t>
      </w:r>
      <w:r>
        <w:rPr>
          <w:sz w:val="18"/>
        </w:rPr>
        <w:t>and</w:t>
      </w:r>
      <w:r>
        <w:rPr>
          <w:spacing w:val="-4"/>
          <w:sz w:val="18"/>
        </w:rPr>
        <w:t xml:space="preserve"> </w:t>
      </w:r>
      <w:r>
        <w:rPr>
          <w:sz w:val="18"/>
        </w:rPr>
        <w:t>Kate</w:t>
      </w:r>
      <w:r>
        <w:rPr>
          <w:spacing w:val="-4"/>
          <w:sz w:val="18"/>
        </w:rPr>
        <w:t xml:space="preserve"> </w:t>
      </w:r>
      <w:r>
        <w:rPr>
          <w:sz w:val="18"/>
        </w:rPr>
        <w:t>Farley,</w:t>
      </w:r>
      <w:r>
        <w:rPr>
          <w:spacing w:val="-3"/>
          <w:sz w:val="18"/>
        </w:rPr>
        <w:t xml:space="preserve"> </w:t>
      </w:r>
      <w:r>
        <w:rPr>
          <w:sz w:val="18"/>
        </w:rPr>
        <w:t>“ACEEE</w:t>
      </w:r>
      <w:r>
        <w:rPr>
          <w:spacing w:val="-3"/>
          <w:sz w:val="18"/>
        </w:rPr>
        <w:t xml:space="preserve"> </w:t>
      </w:r>
      <w:r>
        <w:rPr>
          <w:sz w:val="18"/>
        </w:rPr>
        <w:t>Field</w:t>
      </w:r>
      <w:r>
        <w:rPr>
          <w:spacing w:val="-4"/>
          <w:sz w:val="18"/>
        </w:rPr>
        <w:t xml:space="preserve"> </w:t>
      </w:r>
      <w:r>
        <w:rPr>
          <w:sz w:val="18"/>
        </w:rPr>
        <w:t>Guide</w:t>
      </w:r>
      <w:r>
        <w:rPr>
          <w:spacing w:val="-4"/>
          <w:sz w:val="18"/>
        </w:rPr>
        <w:t xml:space="preserve"> </w:t>
      </w:r>
      <w:r>
        <w:rPr>
          <w:sz w:val="18"/>
        </w:rPr>
        <w:t>to</w:t>
      </w:r>
      <w:r>
        <w:rPr>
          <w:spacing w:val="-4"/>
          <w:sz w:val="18"/>
        </w:rPr>
        <w:t xml:space="preserve"> </w:t>
      </w:r>
      <w:r>
        <w:rPr>
          <w:sz w:val="18"/>
        </w:rPr>
        <w:t>Utility-Run</w:t>
      </w:r>
      <w:r>
        <w:rPr>
          <w:spacing w:val="-4"/>
          <w:sz w:val="18"/>
        </w:rPr>
        <w:t xml:space="preserve"> </w:t>
      </w:r>
      <w:r>
        <w:rPr>
          <w:sz w:val="18"/>
        </w:rPr>
        <w:t>Behavior</w:t>
      </w:r>
      <w:r>
        <w:rPr>
          <w:spacing w:val="-3"/>
          <w:sz w:val="18"/>
        </w:rPr>
        <w:t xml:space="preserve"> </w:t>
      </w:r>
      <w:r>
        <w:rPr>
          <w:sz w:val="18"/>
        </w:rPr>
        <w:t>Programs,”</w:t>
      </w:r>
      <w:r>
        <w:rPr>
          <w:spacing w:val="-3"/>
          <w:sz w:val="18"/>
        </w:rPr>
        <w:t xml:space="preserve"> </w:t>
      </w:r>
      <w:r>
        <w:rPr>
          <w:sz w:val="18"/>
        </w:rPr>
        <w:t xml:space="preserve">2013, American Council for an Energy-Efficient Economy (ACEEE), </w:t>
      </w:r>
      <w:hyperlink r:id="rId261">
        <w:r>
          <w:rPr>
            <w:color w:val="68942C"/>
            <w:sz w:val="18"/>
            <w:u w:val="single" w:color="68942C"/>
          </w:rPr>
          <w:t>http://aceee.org/research-report/b132</w:t>
        </w:r>
        <w:r>
          <w:rPr>
            <w:sz w:val="18"/>
          </w:rPr>
          <w:t>.</w:t>
        </w:r>
      </w:hyperlink>
    </w:p>
    <w:p w:rsidR="00C31389" w:rsidRDefault="00561FBD" w14:paraId="5B8A6B61" w14:textId="77777777">
      <w:pPr>
        <w:spacing w:before="36"/>
        <w:ind w:left="480" w:right="418"/>
        <w:rPr>
          <w:sz w:val="18"/>
        </w:rPr>
      </w:pPr>
      <w:bookmarkStart w:name="_bookmark336" w:id="445"/>
      <w:bookmarkEnd w:id="445"/>
      <w:r>
        <w:rPr>
          <w:position w:val="6"/>
          <w:sz w:val="12"/>
        </w:rPr>
        <w:t>111</w:t>
      </w:r>
      <w:r>
        <w:rPr>
          <w:spacing w:val="28"/>
          <w:position w:val="6"/>
          <w:sz w:val="12"/>
        </w:rPr>
        <w:t xml:space="preserve"> </w:t>
      </w:r>
      <w:r>
        <w:rPr>
          <w:sz w:val="18"/>
        </w:rPr>
        <w:t xml:space="preserve">Illume Advising, </w:t>
      </w:r>
      <w:r>
        <w:rPr>
          <w:i/>
          <w:sz w:val="18"/>
        </w:rPr>
        <w:t>Energy Efficiency Behavioral Programs: Li</w:t>
      </w:r>
      <w:r>
        <w:rPr>
          <w:i/>
          <w:sz w:val="18"/>
        </w:rPr>
        <w:t>terature Review, Benchmarking Analysis, and Evaluation</w:t>
      </w:r>
      <w:r>
        <w:rPr>
          <w:i/>
          <w:spacing w:val="-4"/>
          <w:sz w:val="18"/>
        </w:rPr>
        <w:t xml:space="preserve"> </w:t>
      </w:r>
      <w:r>
        <w:rPr>
          <w:i/>
          <w:sz w:val="18"/>
        </w:rPr>
        <w:t>Guidelines,</w:t>
      </w:r>
      <w:r>
        <w:rPr>
          <w:i/>
          <w:spacing w:val="-4"/>
          <w:sz w:val="18"/>
        </w:rPr>
        <w:t xml:space="preserve"> </w:t>
      </w:r>
      <w:r>
        <w:rPr>
          <w:i/>
          <w:sz w:val="18"/>
        </w:rPr>
        <w:t>Conservation</w:t>
      </w:r>
      <w:r>
        <w:rPr>
          <w:i/>
          <w:spacing w:val="-4"/>
          <w:sz w:val="18"/>
        </w:rPr>
        <w:t xml:space="preserve"> </w:t>
      </w:r>
      <w:r>
        <w:rPr>
          <w:i/>
          <w:sz w:val="18"/>
        </w:rPr>
        <w:t>Applied</w:t>
      </w:r>
      <w:r>
        <w:rPr>
          <w:i/>
          <w:spacing w:val="-3"/>
          <w:sz w:val="18"/>
        </w:rPr>
        <w:t xml:space="preserve"> </w:t>
      </w:r>
      <w:r>
        <w:rPr>
          <w:i/>
          <w:sz w:val="18"/>
        </w:rPr>
        <w:t>Research</w:t>
      </w:r>
      <w:r>
        <w:rPr>
          <w:i/>
          <w:spacing w:val="-4"/>
          <w:sz w:val="18"/>
        </w:rPr>
        <w:t xml:space="preserve"> </w:t>
      </w:r>
      <w:r>
        <w:rPr>
          <w:i/>
          <w:sz w:val="18"/>
        </w:rPr>
        <w:t>&amp;</w:t>
      </w:r>
      <w:r>
        <w:rPr>
          <w:i/>
          <w:spacing w:val="-4"/>
          <w:sz w:val="18"/>
        </w:rPr>
        <w:t xml:space="preserve"> </w:t>
      </w:r>
      <w:r>
        <w:rPr>
          <w:i/>
          <w:sz w:val="18"/>
        </w:rPr>
        <w:t>Development</w:t>
      </w:r>
      <w:r>
        <w:rPr>
          <w:i/>
          <w:spacing w:val="-4"/>
          <w:sz w:val="18"/>
        </w:rPr>
        <w:t xml:space="preserve"> </w:t>
      </w:r>
      <w:r>
        <w:rPr>
          <w:i/>
          <w:sz w:val="18"/>
        </w:rPr>
        <w:t>(CARD)</w:t>
      </w:r>
      <w:r>
        <w:rPr>
          <w:i/>
          <w:spacing w:val="-4"/>
          <w:sz w:val="18"/>
        </w:rPr>
        <w:t xml:space="preserve"> </w:t>
      </w:r>
      <w:r>
        <w:rPr>
          <w:i/>
          <w:sz w:val="18"/>
        </w:rPr>
        <w:t>FINAL</w:t>
      </w:r>
      <w:r>
        <w:rPr>
          <w:i/>
          <w:spacing w:val="-4"/>
          <w:sz w:val="18"/>
        </w:rPr>
        <w:t xml:space="preserve"> </w:t>
      </w:r>
      <w:r>
        <w:rPr>
          <w:i/>
          <w:sz w:val="18"/>
        </w:rPr>
        <w:t>REPORT</w:t>
      </w:r>
      <w:r>
        <w:rPr>
          <w:sz w:val="18"/>
        </w:rPr>
        <w:t>,</w:t>
      </w:r>
      <w:r>
        <w:rPr>
          <w:spacing w:val="-4"/>
          <w:sz w:val="18"/>
        </w:rPr>
        <w:t xml:space="preserve"> </w:t>
      </w:r>
      <w:r>
        <w:rPr>
          <w:sz w:val="18"/>
        </w:rPr>
        <w:t>Prepared</w:t>
      </w:r>
      <w:r>
        <w:rPr>
          <w:spacing w:val="-4"/>
          <w:sz w:val="18"/>
        </w:rPr>
        <w:t xml:space="preserve"> </w:t>
      </w:r>
      <w:r>
        <w:rPr>
          <w:sz w:val="18"/>
        </w:rPr>
        <w:t>for: Minnesota Department of Commerce, Division of Energy Resources, May 4, 2015</w:t>
      </w:r>
    </w:p>
    <w:p w:rsidR="00C31389" w:rsidRDefault="00561FBD" w14:paraId="68464D50" w14:textId="77777777">
      <w:pPr>
        <w:ind w:left="480" w:right="615"/>
        <w:rPr>
          <w:sz w:val="18"/>
        </w:rPr>
      </w:pPr>
      <w:bookmarkStart w:name="_bookmark337" w:id="446"/>
      <w:bookmarkEnd w:id="446"/>
      <w:r>
        <w:rPr>
          <w:position w:val="6"/>
          <w:sz w:val="12"/>
        </w:rPr>
        <w:t>112</w:t>
      </w:r>
      <w:r>
        <w:rPr>
          <w:spacing w:val="14"/>
          <w:position w:val="6"/>
          <w:sz w:val="12"/>
        </w:rPr>
        <w:t xml:space="preserve"> </w:t>
      </w:r>
      <w:r>
        <w:rPr>
          <w:sz w:val="18"/>
        </w:rPr>
        <w:t>Ben</w:t>
      </w:r>
      <w:r>
        <w:rPr>
          <w:spacing w:val="-4"/>
          <w:sz w:val="18"/>
        </w:rPr>
        <w:t xml:space="preserve"> </w:t>
      </w:r>
      <w:r>
        <w:rPr>
          <w:sz w:val="18"/>
        </w:rPr>
        <w:t>Foster</w:t>
      </w:r>
      <w:r>
        <w:rPr>
          <w:spacing w:val="-3"/>
          <w:sz w:val="18"/>
        </w:rPr>
        <w:t xml:space="preserve"> </w:t>
      </w:r>
      <w:r>
        <w:rPr>
          <w:sz w:val="18"/>
        </w:rPr>
        <w:t>and</w:t>
      </w:r>
      <w:r>
        <w:rPr>
          <w:spacing w:val="-4"/>
          <w:sz w:val="18"/>
        </w:rPr>
        <w:t xml:space="preserve"> </w:t>
      </w:r>
      <w:r>
        <w:rPr>
          <w:sz w:val="18"/>
        </w:rPr>
        <w:t>Susan</w:t>
      </w:r>
      <w:r>
        <w:rPr>
          <w:spacing w:val="-4"/>
          <w:sz w:val="18"/>
        </w:rPr>
        <w:t xml:space="preserve"> </w:t>
      </w:r>
      <w:r>
        <w:rPr>
          <w:sz w:val="18"/>
        </w:rPr>
        <w:t>Mazur-Sto</w:t>
      </w:r>
      <w:r>
        <w:rPr>
          <w:sz w:val="18"/>
        </w:rPr>
        <w:t>mmen.</w:t>
      </w:r>
      <w:r>
        <w:rPr>
          <w:spacing w:val="-3"/>
          <w:sz w:val="18"/>
        </w:rPr>
        <w:t xml:space="preserve"> </w:t>
      </w:r>
      <w:r>
        <w:rPr>
          <w:sz w:val="18"/>
        </w:rPr>
        <w:t>2012.</w:t>
      </w:r>
      <w:r>
        <w:rPr>
          <w:spacing w:val="-3"/>
          <w:sz w:val="18"/>
        </w:rPr>
        <w:t xml:space="preserve"> </w:t>
      </w:r>
      <w:r>
        <w:rPr>
          <w:sz w:val="18"/>
        </w:rPr>
        <w:t>“Results</w:t>
      </w:r>
      <w:r>
        <w:rPr>
          <w:spacing w:val="-3"/>
          <w:sz w:val="18"/>
        </w:rPr>
        <w:t xml:space="preserve"> </w:t>
      </w:r>
      <w:r>
        <w:rPr>
          <w:sz w:val="18"/>
        </w:rPr>
        <w:t>from</w:t>
      </w:r>
      <w:r>
        <w:rPr>
          <w:spacing w:val="-3"/>
          <w:sz w:val="18"/>
        </w:rPr>
        <w:t xml:space="preserve"> </w:t>
      </w:r>
      <w:r>
        <w:rPr>
          <w:sz w:val="18"/>
        </w:rPr>
        <w:t>Real-Time</w:t>
      </w:r>
      <w:r>
        <w:rPr>
          <w:spacing w:val="-4"/>
          <w:sz w:val="18"/>
        </w:rPr>
        <w:t xml:space="preserve"> </w:t>
      </w:r>
      <w:r>
        <w:rPr>
          <w:sz w:val="18"/>
        </w:rPr>
        <w:t>Feedback</w:t>
      </w:r>
      <w:r>
        <w:rPr>
          <w:spacing w:val="-3"/>
          <w:sz w:val="18"/>
        </w:rPr>
        <w:t xml:space="preserve"> </w:t>
      </w:r>
      <w:r>
        <w:rPr>
          <w:sz w:val="18"/>
        </w:rPr>
        <w:t>Studies.”</w:t>
      </w:r>
      <w:r>
        <w:rPr>
          <w:spacing w:val="-3"/>
          <w:sz w:val="18"/>
        </w:rPr>
        <w:t xml:space="preserve"> </w:t>
      </w:r>
      <w:r>
        <w:rPr>
          <w:sz w:val="18"/>
        </w:rPr>
        <w:t>American Council for an Energy Efficient Economy. Report Number B122</w:t>
      </w:r>
    </w:p>
    <w:p w:rsidR="00C31389" w:rsidRDefault="00561FBD" w14:paraId="6C10F789" w14:textId="77777777">
      <w:pPr>
        <w:spacing w:before="33"/>
        <w:ind w:left="480" w:right="434"/>
        <w:rPr>
          <w:sz w:val="18"/>
        </w:rPr>
      </w:pPr>
      <w:bookmarkStart w:name="_bookmark338" w:id="447"/>
      <w:bookmarkEnd w:id="447"/>
      <w:r>
        <w:rPr>
          <w:position w:val="6"/>
          <w:sz w:val="12"/>
        </w:rPr>
        <w:t>113</w:t>
      </w:r>
      <w:r>
        <w:rPr>
          <w:spacing w:val="14"/>
          <w:position w:val="6"/>
          <w:sz w:val="12"/>
        </w:rPr>
        <w:t xml:space="preserve"> </w:t>
      </w:r>
      <w:r>
        <w:rPr>
          <w:sz w:val="18"/>
        </w:rPr>
        <w:t>Reuven</w:t>
      </w:r>
      <w:r>
        <w:rPr>
          <w:spacing w:val="-4"/>
          <w:sz w:val="18"/>
        </w:rPr>
        <w:t xml:space="preserve"> </w:t>
      </w:r>
      <w:r>
        <w:rPr>
          <w:sz w:val="18"/>
        </w:rPr>
        <w:t>Sussman</w:t>
      </w:r>
      <w:r>
        <w:rPr>
          <w:spacing w:val="-4"/>
          <w:sz w:val="18"/>
        </w:rPr>
        <w:t xml:space="preserve"> </w:t>
      </w:r>
      <w:r>
        <w:rPr>
          <w:sz w:val="18"/>
        </w:rPr>
        <w:t>and</w:t>
      </w:r>
      <w:r>
        <w:rPr>
          <w:spacing w:val="-4"/>
          <w:sz w:val="18"/>
        </w:rPr>
        <w:t xml:space="preserve"> </w:t>
      </w:r>
      <w:r>
        <w:rPr>
          <w:sz w:val="18"/>
        </w:rPr>
        <w:t>Maxine</w:t>
      </w:r>
      <w:r>
        <w:rPr>
          <w:spacing w:val="-4"/>
          <w:sz w:val="18"/>
        </w:rPr>
        <w:t xml:space="preserve"> </w:t>
      </w:r>
      <w:r>
        <w:rPr>
          <w:sz w:val="18"/>
        </w:rPr>
        <w:t>Chikumbo.</w:t>
      </w:r>
      <w:r>
        <w:rPr>
          <w:spacing w:val="-3"/>
          <w:sz w:val="18"/>
        </w:rPr>
        <w:t xml:space="preserve"> </w:t>
      </w:r>
      <w:r>
        <w:rPr>
          <w:sz w:val="18"/>
        </w:rPr>
        <w:t>2016.</w:t>
      </w:r>
      <w:r>
        <w:rPr>
          <w:spacing w:val="-3"/>
          <w:sz w:val="18"/>
        </w:rPr>
        <w:t xml:space="preserve"> </w:t>
      </w:r>
      <w:r>
        <w:rPr>
          <w:sz w:val="18"/>
        </w:rPr>
        <w:t>“Behavior</w:t>
      </w:r>
      <w:r>
        <w:rPr>
          <w:spacing w:val="-3"/>
          <w:sz w:val="18"/>
        </w:rPr>
        <w:t xml:space="preserve"> </w:t>
      </w:r>
      <w:r>
        <w:rPr>
          <w:sz w:val="18"/>
        </w:rPr>
        <w:t>Change</w:t>
      </w:r>
      <w:r>
        <w:rPr>
          <w:spacing w:val="-4"/>
          <w:sz w:val="18"/>
        </w:rPr>
        <w:t xml:space="preserve"> </w:t>
      </w:r>
      <w:r>
        <w:rPr>
          <w:sz w:val="18"/>
        </w:rPr>
        <w:t>Programs:</w:t>
      </w:r>
      <w:r>
        <w:rPr>
          <w:spacing w:val="-3"/>
          <w:sz w:val="18"/>
        </w:rPr>
        <w:t xml:space="preserve"> </w:t>
      </w:r>
      <w:r>
        <w:rPr>
          <w:sz w:val="18"/>
        </w:rPr>
        <w:t>Status</w:t>
      </w:r>
      <w:r>
        <w:rPr>
          <w:spacing w:val="-3"/>
          <w:sz w:val="18"/>
        </w:rPr>
        <w:t xml:space="preserve"> </w:t>
      </w:r>
      <w:r>
        <w:rPr>
          <w:sz w:val="18"/>
        </w:rPr>
        <w:t>and</w:t>
      </w:r>
      <w:r>
        <w:rPr>
          <w:spacing w:val="-4"/>
          <w:sz w:val="18"/>
        </w:rPr>
        <w:t xml:space="preserve"> </w:t>
      </w:r>
      <w:r>
        <w:rPr>
          <w:sz w:val="18"/>
        </w:rPr>
        <w:t>Impact.”</w:t>
      </w:r>
      <w:r>
        <w:rPr>
          <w:spacing w:val="-3"/>
          <w:sz w:val="18"/>
        </w:rPr>
        <w:t xml:space="preserve"> </w:t>
      </w:r>
      <w:r>
        <w:rPr>
          <w:sz w:val="18"/>
        </w:rPr>
        <w:t xml:space="preserve">American Council for an Energy </w:t>
      </w:r>
      <w:r>
        <w:rPr>
          <w:sz w:val="18"/>
        </w:rPr>
        <w:t>Efficient Economy. Report Number B1601</w:t>
      </w:r>
    </w:p>
    <w:p w:rsidR="00C31389" w:rsidRDefault="00561FBD" w14:paraId="61F53E2D" w14:textId="77777777">
      <w:pPr>
        <w:spacing w:before="36"/>
        <w:ind w:left="479" w:right="434"/>
        <w:rPr>
          <w:sz w:val="18"/>
        </w:rPr>
      </w:pPr>
      <w:bookmarkStart w:name="_bookmark339" w:id="448"/>
      <w:bookmarkEnd w:id="448"/>
      <w:r>
        <w:rPr>
          <w:position w:val="6"/>
          <w:sz w:val="12"/>
        </w:rPr>
        <w:t>114</w:t>
      </w:r>
      <w:r>
        <w:rPr>
          <w:spacing w:val="24"/>
          <w:position w:val="6"/>
          <w:sz w:val="12"/>
        </w:rPr>
        <w:t xml:space="preserve"> </w:t>
      </w:r>
      <w:r>
        <w:rPr>
          <w:sz w:val="18"/>
        </w:rPr>
        <w:t>Opinion Dynamics. “PY2013-2014 California Energy Efficiency and Demand Response Residential Behavior Market</w:t>
      </w:r>
      <w:r>
        <w:rPr>
          <w:spacing w:val="-3"/>
          <w:sz w:val="18"/>
        </w:rPr>
        <w:t xml:space="preserve"> </w:t>
      </w:r>
      <w:r>
        <w:rPr>
          <w:sz w:val="18"/>
        </w:rPr>
        <w:t>Characterization</w:t>
      </w:r>
      <w:r>
        <w:rPr>
          <w:spacing w:val="-4"/>
          <w:sz w:val="18"/>
        </w:rPr>
        <w:t xml:space="preserve"> </w:t>
      </w:r>
      <w:r>
        <w:rPr>
          <w:sz w:val="18"/>
        </w:rPr>
        <w:t>Study</w:t>
      </w:r>
      <w:r>
        <w:rPr>
          <w:spacing w:val="-3"/>
          <w:sz w:val="18"/>
        </w:rPr>
        <w:t xml:space="preserve"> </w:t>
      </w:r>
      <w:r>
        <w:rPr>
          <w:sz w:val="18"/>
        </w:rPr>
        <w:t>Report:</w:t>
      </w:r>
      <w:r>
        <w:rPr>
          <w:spacing w:val="-3"/>
          <w:sz w:val="18"/>
        </w:rPr>
        <w:t xml:space="preserve"> </w:t>
      </w:r>
      <w:r>
        <w:rPr>
          <w:sz w:val="18"/>
        </w:rPr>
        <w:t>Volume</w:t>
      </w:r>
      <w:r>
        <w:rPr>
          <w:spacing w:val="-4"/>
          <w:sz w:val="18"/>
        </w:rPr>
        <w:t xml:space="preserve"> </w:t>
      </w:r>
      <w:r>
        <w:rPr>
          <w:sz w:val="18"/>
        </w:rPr>
        <w:t>1.”</w:t>
      </w:r>
      <w:r>
        <w:rPr>
          <w:spacing w:val="-3"/>
          <w:sz w:val="18"/>
        </w:rPr>
        <w:t xml:space="preserve"> </w:t>
      </w:r>
      <w:r>
        <w:rPr>
          <w:sz w:val="18"/>
        </w:rPr>
        <w:t>Prepared</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California</w:t>
      </w:r>
      <w:r>
        <w:rPr>
          <w:spacing w:val="-4"/>
          <w:sz w:val="18"/>
        </w:rPr>
        <w:t xml:space="preserve"> </w:t>
      </w:r>
      <w:r>
        <w:rPr>
          <w:sz w:val="18"/>
        </w:rPr>
        <w:t>Public</w:t>
      </w:r>
      <w:r>
        <w:rPr>
          <w:spacing w:val="-3"/>
          <w:sz w:val="18"/>
        </w:rPr>
        <w:t xml:space="preserve"> </w:t>
      </w:r>
      <w:r>
        <w:rPr>
          <w:sz w:val="18"/>
        </w:rPr>
        <w:t>Utilities</w:t>
      </w:r>
      <w:r>
        <w:rPr>
          <w:spacing w:val="-3"/>
          <w:sz w:val="18"/>
        </w:rPr>
        <w:t xml:space="preserve"> </w:t>
      </w:r>
      <w:r>
        <w:rPr>
          <w:sz w:val="18"/>
        </w:rPr>
        <w:t>Commission</w:t>
      </w:r>
      <w:r>
        <w:rPr>
          <w:spacing w:val="-4"/>
          <w:sz w:val="18"/>
        </w:rPr>
        <w:t xml:space="preserve"> </w:t>
      </w:r>
      <w:r>
        <w:rPr>
          <w:sz w:val="18"/>
        </w:rPr>
        <w:t xml:space="preserve">Energy </w:t>
      </w:r>
      <w:r>
        <w:rPr>
          <w:sz w:val="18"/>
        </w:rPr>
        <w:t>Division. July 2015.</w:t>
      </w:r>
    </w:p>
    <w:p w:rsidR="00C31389" w:rsidRDefault="00561FBD" w14:paraId="185F247C" w14:textId="77777777">
      <w:pPr>
        <w:spacing w:before="37"/>
        <w:ind w:left="480" w:right="2603"/>
        <w:rPr>
          <w:sz w:val="18"/>
        </w:rPr>
      </w:pPr>
      <w:bookmarkStart w:name="_bookmark340" w:id="449"/>
      <w:bookmarkEnd w:id="449"/>
      <w:r>
        <w:rPr>
          <w:position w:val="6"/>
          <w:sz w:val="12"/>
        </w:rPr>
        <w:t>115</w:t>
      </w:r>
      <w:r>
        <w:rPr>
          <w:spacing w:val="27"/>
          <w:position w:val="6"/>
          <w:sz w:val="12"/>
        </w:rPr>
        <w:t xml:space="preserve"> </w:t>
      </w:r>
      <w:r>
        <w:rPr>
          <w:sz w:val="18"/>
        </w:rPr>
        <w:t xml:space="preserve">PG&amp;E provided this reference in response to the webinar on April 20, 2109: </w:t>
      </w:r>
      <w:hyperlink r:id="rId262">
        <w:r>
          <w:rPr>
            <w:color w:val="68942C"/>
            <w:spacing w:val="-2"/>
            <w:sz w:val="18"/>
            <w:u w:val="single" w:color="68942C"/>
          </w:rPr>
          <w:t>https://www.amazon.com/Rainforest-Energy-Monitor-ZigBee-Gatew</w:t>
        </w:r>
        <w:r>
          <w:rPr>
            <w:color w:val="68942C"/>
            <w:spacing w:val="-2"/>
            <w:sz w:val="18"/>
            <w:u w:val="single" w:color="68942C"/>
          </w:rPr>
          <w:t>ay/dp/B00AII248U</w:t>
        </w:r>
      </w:hyperlink>
    </w:p>
    <w:p w:rsidR="00C31389" w:rsidRDefault="00561FBD" w14:paraId="15075E40" w14:textId="77777777">
      <w:pPr>
        <w:spacing w:before="36"/>
        <w:ind w:left="480" w:right="418" w:hanging="1"/>
        <w:rPr>
          <w:sz w:val="18"/>
        </w:rPr>
      </w:pPr>
      <w:bookmarkStart w:name="_bookmark341" w:id="450"/>
      <w:bookmarkEnd w:id="450"/>
      <w:r>
        <w:rPr>
          <w:position w:val="6"/>
          <w:sz w:val="12"/>
        </w:rPr>
        <w:t>116</w:t>
      </w:r>
      <w:r>
        <w:rPr>
          <w:spacing w:val="14"/>
          <w:position w:val="6"/>
          <w:sz w:val="12"/>
        </w:rPr>
        <w:t xml:space="preserve"> </w:t>
      </w:r>
      <w:r>
        <w:rPr>
          <w:sz w:val="18"/>
        </w:rPr>
        <w:t>Alberta</w:t>
      </w:r>
      <w:r>
        <w:rPr>
          <w:spacing w:val="-4"/>
          <w:sz w:val="18"/>
        </w:rPr>
        <w:t xml:space="preserve"> </w:t>
      </w:r>
      <w:r>
        <w:rPr>
          <w:sz w:val="18"/>
        </w:rPr>
        <w:t>Energy</w:t>
      </w:r>
      <w:r>
        <w:rPr>
          <w:spacing w:val="-3"/>
          <w:sz w:val="18"/>
        </w:rPr>
        <w:t xml:space="preserve"> </w:t>
      </w:r>
      <w:r>
        <w:rPr>
          <w:sz w:val="18"/>
        </w:rPr>
        <w:t>Efficiency</w:t>
      </w:r>
      <w:r>
        <w:rPr>
          <w:spacing w:val="-3"/>
          <w:sz w:val="18"/>
        </w:rPr>
        <w:t xml:space="preserve"> </w:t>
      </w:r>
      <w:r>
        <w:rPr>
          <w:sz w:val="18"/>
        </w:rPr>
        <w:t>Alliance,</w:t>
      </w:r>
      <w:r>
        <w:rPr>
          <w:spacing w:val="-3"/>
          <w:sz w:val="18"/>
        </w:rPr>
        <w:t xml:space="preserve"> </w:t>
      </w:r>
      <w:r>
        <w:rPr>
          <w:i/>
          <w:sz w:val="18"/>
        </w:rPr>
        <w:t>Energy</w:t>
      </w:r>
      <w:r>
        <w:rPr>
          <w:i/>
          <w:spacing w:val="-2"/>
          <w:sz w:val="18"/>
        </w:rPr>
        <w:t xml:space="preserve"> </w:t>
      </w:r>
      <w:r>
        <w:rPr>
          <w:i/>
          <w:sz w:val="18"/>
        </w:rPr>
        <w:t>Savings</w:t>
      </w:r>
      <w:r>
        <w:rPr>
          <w:i/>
          <w:spacing w:val="-3"/>
          <w:sz w:val="18"/>
        </w:rPr>
        <w:t xml:space="preserve"> </w:t>
      </w:r>
      <w:r>
        <w:rPr>
          <w:i/>
          <w:sz w:val="18"/>
        </w:rPr>
        <w:t>through</w:t>
      </w:r>
      <w:r>
        <w:rPr>
          <w:i/>
          <w:spacing w:val="-4"/>
          <w:sz w:val="18"/>
        </w:rPr>
        <w:t xml:space="preserve"> </w:t>
      </w:r>
      <w:r>
        <w:rPr>
          <w:i/>
          <w:sz w:val="18"/>
        </w:rPr>
        <w:t>Consumer</w:t>
      </w:r>
      <w:r>
        <w:rPr>
          <w:i/>
          <w:spacing w:val="-3"/>
          <w:sz w:val="18"/>
        </w:rPr>
        <w:t xml:space="preserve"> </w:t>
      </w:r>
      <w:r>
        <w:rPr>
          <w:i/>
          <w:sz w:val="18"/>
        </w:rPr>
        <w:t>Feedback</w:t>
      </w:r>
      <w:r>
        <w:rPr>
          <w:i/>
          <w:spacing w:val="-3"/>
          <w:sz w:val="18"/>
        </w:rPr>
        <w:t xml:space="preserve"> </w:t>
      </w:r>
      <w:r>
        <w:rPr>
          <w:i/>
          <w:sz w:val="18"/>
        </w:rPr>
        <w:t>Programs</w:t>
      </w:r>
      <w:r>
        <w:rPr>
          <w:sz w:val="18"/>
        </w:rPr>
        <w:t>,</w:t>
      </w:r>
      <w:r>
        <w:rPr>
          <w:spacing w:val="-3"/>
          <w:sz w:val="18"/>
        </w:rPr>
        <w:t xml:space="preserve"> </w:t>
      </w:r>
      <w:r>
        <w:rPr>
          <w:sz w:val="18"/>
        </w:rPr>
        <w:t>February</w:t>
      </w:r>
      <w:r>
        <w:rPr>
          <w:spacing w:val="-1"/>
          <w:sz w:val="18"/>
        </w:rPr>
        <w:t xml:space="preserve"> </w:t>
      </w:r>
      <w:r>
        <w:rPr>
          <w:sz w:val="18"/>
        </w:rPr>
        <w:t>2014, City of Calgary.</w:t>
      </w:r>
    </w:p>
    <w:p w:rsidR="00C31389" w:rsidRDefault="00C31389" w14:paraId="56B76F60" w14:textId="77777777">
      <w:pPr>
        <w:rPr>
          <w:sz w:val="18"/>
        </w:rPr>
        <w:sectPr w:rsidR="00C31389">
          <w:pgSz w:w="11910" w:h="16840"/>
          <w:pgMar w:top="1660" w:right="1020" w:bottom="1120" w:left="960" w:header="397" w:footer="938" w:gutter="0"/>
          <w:cols w:space="720"/>
        </w:sectPr>
      </w:pPr>
    </w:p>
    <w:p w:rsidR="00C31389" w:rsidRDefault="00C31389" w14:paraId="5638A392" w14:textId="77777777">
      <w:pPr>
        <w:pStyle w:val="BodyText"/>
        <w:spacing w:before="11"/>
        <w:rPr>
          <w:sz w:val="13"/>
        </w:rPr>
      </w:pPr>
    </w:p>
    <w:p w:rsidR="00C31389" w:rsidRDefault="00561FBD" w14:paraId="55E7EEE1" w14:textId="77777777">
      <w:pPr>
        <w:pStyle w:val="BodyText"/>
        <w:spacing w:before="92"/>
        <w:ind w:left="480" w:right="418"/>
      </w:pPr>
      <w:r>
        <w:t>analysis</w:t>
      </w:r>
      <w:r>
        <w:rPr>
          <w:spacing w:val="-3"/>
        </w:rPr>
        <w:t xml:space="preserve"> </w:t>
      </w:r>
      <w:r>
        <w:t>does</w:t>
      </w:r>
      <w:r>
        <w:rPr>
          <w:spacing w:val="-3"/>
        </w:rPr>
        <w:t xml:space="preserve"> </w:t>
      </w:r>
      <w:r>
        <w:t>not</w:t>
      </w:r>
      <w:r>
        <w:rPr>
          <w:spacing w:val="-3"/>
        </w:rPr>
        <w:t xml:space="preserve"> </w:t>
      </w:r>
      <w:r>
        <w:t>include</w:t>
      </w:r>
      <w:r>
        <w:rPr>
          <w:spacing w:val="-3"/>
        </w:rPr>
        <w:t xml:space="preserve"> </w:t>
      </w:r>
      <w:r>
        <w:t>competitions</w:t>
      </w:r>
      <w:r>
        <w:rPr>
          <w:spacing w:val="-3"/>
        </w:rPr>
        <w:t xml:space="preserve"> </w:t>
      </w:r>
      <w:r>
        <w:t>and</w:t>
      </w:r>
      <w:r>
        <w:rPr>
          <w:spacing w:val="-3"/>
        </w:rPr>
        <w:t xml:space="preserve"> </w:t>
      </w:r>
      <w:r>
        <w:t>challenges</w:t>
      </w:r>
      <w:r>
        <w:rPr>
          <w:spacing w:val="-3"/>
        </w:rPr>
        <w:t xml:space="preserve"> </w:t>
      </w:r>
      <w:r>
        <w:t>that</w:t>
      </w:r>
      <w:r>
        <w:rPr>
          <w:spacing w:val="-3"/>
        </w:rPr>
        <w:t xml:space="preserve"> </w:t>
      </w:r>
      <w:r>
        <w:t>focus</w:t>
      </w:r>
      <w:r>
        <w:rPr>
          <w:spacing w:val="-3"/>
        </w:rPr>
        <w:t xml:space="preserve"> </w:t>
      </w:r>
      <w:r>
        <w:t>on</w:t>
      </w:r>
      <w:r>
        <w:rPr>
          <w:spacing w:val="-3"/>
        </w:rPr>
        <w:t xml:space="preserve"> </w:t>
      </w:r>
      <w:r>
        <w:t>the</w:t>
      </w:r>
      <w:r>
        <w:rPr>
          <w:spacing w:val="-4"/>
        </w:rPr>
        <w:t xml:space="preserve"> </w:t>
      </w:r>
      <w:r>
        <w:t>use</w:t>
      </w:r>
      <w:r>
        <w:rPr>
          <w:spacing w:val="-3"/>
        </w:rPr>
        <w:t xml:space="preserve"> </w:t>
      </w:r>
      <w:r>
        <w:t>of</w:t>
      </w:r>
      <w:r>
        <w:rPr>
          <w:spacing w:val="-3"/>
        </w:rPr>
        <w:t xml:space="preserve"> </w:t>
      </w:r>
      <w:r>
        <w:t>equipment upgrades as a means to generate energy savings.</w:t>
      </w:r>
    </w:p>
    <w:p w:rsidR="00C31389" w:rsidRDefault="00C31389" w14:paraId="3DC41B95" w14:textId="77777777">
      <w:pPr>
        <w:pStyle w:val="BodyText"/>
        <w:spacing w:before="9"/>
        <w:rPr>
          <w:sz w:val="20"/>
        </w:rPr>
      </w:pPr>
    </w:p>
    <w:p w:rsidR="00C31389" w:rsidRDefault="00561FBD" w14:paraId="276307E9" w14:textId="77777777">
      <w:pPr>
        <w:pStyle w:val="BodyText"/>
        <w:spacing w:before="1"/>
        <w:ind w:left="479" w:right="418"/>
      </w:pPr>
      <w:r>
        <w:t>The</w:t>
      </w:r>
      <w:r>
        <w:rPr>
          <w:spacing w:val="-3"/>
        </w:rPr>
        <w:t xml:space="preserve"> </w:t>
      </w:r>
      <w:r>
        <w:t>way</w:t>
      </w:r>
      <w:r>
        <w:rPr>
          <w:spacing w:val="-3"/>
        </w:rPr>
        <w:t xml:space="preserve"> </w:t>
      </w:r>
      <w:r>
        <w:t>in</w:t>
      </w:r>
      <w:r>
        <w:rPr>
          <w:spacing w:val="-4"/>
        </w:rPr>
        <w:t xml:space="preserve"> </w:t>
      </w:r>
      <w:r>
        <w:t>which</w:t>
      </w:r>
      <w:r>
        <w:rPr>
          <w:spacing w:val="-3"/>
        </w:rPr>
        <w:t xml:space="preserve"> </w:t>
      </w:r>
      <w:r>
        <w:t>competitions</w:t>
      </w:r>
      <w:r>
        <w:rPr>
          <w:spacing w:val="-3"/>
        </w:rPr>
        <w:t xml:space="preserve"> </w:t>
      </w:r>
      <w:r>
        <w:t>are</w:t>
      </w:r>
      <w:r>
        <w:rPr>
          <w:spacing w:val="-4"/>
        </w:rPr>
        <w:t xml:space="preserve"> </w:t>
      </w:r>
      <w:r>
        <w:t>designed</w:t>
      </w:r>
      <w:r>
        <w:rPr>
          <w:spacing w:val="-3"/>
        </w:rPr>
        <w:t xml:space="preserve"> </w:t>
      </w:r>
      <w:r>
        <w:t>can</w:t>
      </w:r>
      <w:r>
        <w:rPr>
          <w:spacing w:val="-3"/>
        </w:rPr>
        <w:t xml:space="preserve"> </w:t>
      </w:r>
      <w:r>
        <w:t>vary</w:t>
      </w:r>
      <w:r>
        <w:rPr>
          <w:spacing w:val="-3"/>
        </w:rPr>
        <w:t xml:space="preserve"> </w:t>
      </w:r>
      <w:r>
        <w:t>depending</w:t>
      </w:r>
      <w:r>
        <w:rPr>
          <w:spacing w:val="-3"/>
        </w:rPr>
        <w:t xml:space="preserve"> </w:t>
      </w:r>
      <w:r>
        <w:t>on</w:t>
      </w:r>
      <w:r>
        <w:rPr>
          <w:spacing w:val="-3"/>
        </w:rPr>
        <w:t xml:space="preserve"> </w:t>
      </w:r>
      <w:r>
        <w:t>the</w:t>
      </w:r>
      <w:r>
        <w:rPr>
          <w:spacing w:val="-4"/>
        </w:rPr>
        <w:t xml:space="preserve"> </w:t>
      </w:r>
      <w:r>
        <w:t>size</w:t>
      </w:r>
      <w:r>
        <w:rPr>
          <w:spacing w:val="-3"/>
        </w:rPr>
        <w:t xml:space="preserve"> </w:t>
      </w:r>
      <w:r>
        <w:t>of</w:t>
      </w:r>
      <w:r>
        <w:rPr>
          <w:spacing w:val="-3"/>
        </w:rPr>
        <w:t xml:space="preserve"> </w:t>
      </w:r>
      <w:r>
        <w:t>the</w:t>
      </w:r>
      <w:r>
        <w:rPr>
          <w:spacing w:val="-4"/>
        </w:rPr>
        <w:t xml:space="preserve"> </w:t>
      </w:r>
      <w:r>
        <w:t xml:space="preserve">targeted participant group. Small-scale competitions are typically </w:t>
      </w:r>
      <w:r>
        <w:t>designed to engage participants more deeply, with a higher number of touches and a broad spectrum of targeted behaviors that generate higher savings and serve as a model to get the larger population engaged.</w:t>
      </w:r>
    </w:p>
    <w:p w:rsidR="00C31389" w:rsidRDefault="00561FBD" w14:paraId="1D3334E3" w14:textId="77777777">
      <w:pPr>
        <w:pStyle w:val="BodyText"/>
        <w:spacing w:before="1"/>
        <w:ind w:left="479" w:right="630"/>
        <w:jc w:val="both"/>
      </w:pPr>
      <w:r>
        <w:t>Large-scale</w:t>
      </w:r>
      <w:r>
        <w:rPr>
          <w:spacing w:val="-2"/>
        </w:rPr>
        <w:t xml:space="preserve"> </w:t>
      </w:r>
      <w:r>
        <w:t>competitions</w:t>
      </w:r>
      <w:r>
        <w:rPr>
          <w:spacing w:val="-1"/>
        </w:rPr>
        <w:t xml:space="preserve"> </w:t>
      </w:r>
      <w:r>
        <w:t>engage</w:t>
      </w:r>
      <w:r>
        <w:rPr>
          <w:spacing w:val="-1"/>
        </w:rPr>
        <w:t xml:space="preserve"> </w:t>
      </w:r>
      <w:r>
        <w:t>greater</w:t>
      </w:r>
      <w:r>
        <w:rPr>
          <w:spacing w:val="-1"/>
        </w:rPr>
        <w:t xml:space="preserve"> </w:t>
      </w:r>
      <w:r>
        <w:t>numbers</w:t>
      </w:r>
      <w:r>
        <w:rPr>
          <w:spacing w:val="-1"/>
        </w:rPr>
        <w:t xml:space="preserve"> </w:t>
      </w:r>
      <w:r>
        <w:t>of</w:t>
      </w:r>
      <w:r>
        <w:rPr>
          <w:spacing w:val="-1"/>
        </w:rPr>
        <w:t xml:space="preserve"> </w:t>
      </w:r>
      <w:r>
        <w:t>people</w:t>
      </w:r>
      <w:r>
        <w:rPr>
          <w:spacing w:val="-1"/>
        </w:rPr>
        <w:t xml:space="preserve"> </w:t>
      </w:r>
      <w:r>
        <w:t>in</w:t>
      </w:r>
      <w:r>
        <w:rPr>
          <w:spacing w:val="-1"/>
        </w:rPr>
        <w:t xml:space="preserve"> </w:t>
      </w:r>
      <w:r>
        <w:t>a</w:t>
      </w:r>
      <w:r>
        <w:rPr>
          <w:spacing w:val="-1"/>
        </w:rPr>
        <w:t xml:space="preserve"> </w:t>
      </w:r>
      <w:r>
        <w:t>more</w:t>
      </w:r>
      <w:r>
        <w:rPr>
          <w:spacing w:val="-1"/>
        </w:rPr>
        <w:t xml:space="preserve"> </w:t>
      </w:r>
      <w:r>
        <w:t>superficial</w:t>
      </w:r>
      <w:r>
        <w:rPr>
          <w:spacing w:val="-1"/>
        </w:rPr>
        <w:t xml:space="preserve"> </w:t>
      </w:r>
      <w:r>
        <w:t>way</w:t>
      </w:r>
      <w:r>
        <w:rPr>
          <w:spacing w:val="-1"/>
        </w:rPr>
        <w:t xml:space="preserve"> </w:t>
      </w:r>
      <w:r>
        <w:t>and encourage</w:t>
      </w:r>
      <w:r>
        <w:rPr>
          <w:spacing w:val="-3"/>
        </w:rPr>
        <w:t xml:space="preserve"> </w:t>
      </w:r>
      <w:r>
        <w:t>a</w:t>
      </w:r>
      <w:r>
        <w:rPr>
          <w:spacing w:val="-4"/>
        </w:rPr>
        <w:t xml:space="preserve"> </w:t>
      </w:r>
      <w:r>
        <w:t>limited</w:t>
      </w:r>
      <w:r>
        <w:rPr>
          <w:spacing w:val="-3"/>
        </w:rPr>
        <w:t xml:space="preserve"> </w:t>
      </w:r>
      <w:r>
        <w:t>number</w:t>
      </w:r>
      <w:r>
        <w:rPr>
          <w:spacing w:val="-3"/>
        </w:rPr>
        <w:t xml:space="preserve"> </w:t>
      </w:r>
      <w:r>
        <w:t>of</w:t>
      </w:r>
      <w:r>
        <w:rPr>
          <w:spacing w:val="-3"/>
        </w:rPr>
        <w:t xml:space="preserve"> </w:t>
      </w:r>
      <w:r>
        <w:t>behaviors.</w:t>
      </w:r>
      <w:r>
        <w:rPr>
          <w:spacing w:val="-3"/>
        </w:rPr>
        <w:t xml:space="preserve"> </w:t>
      </w:r>
      <w:r>
        <w:t>For</w:t>
      </w:r>
      <w:r>
        <w:rPr>
          <w:spacing w:val="-3"/>
        </w:rPr>
        <w:t xml:space="preserve"> </w:t>
      </w:r>
      <w:r>
        <w:t>this</w:t>
      </w:r>
      <w:r>
        <w:rPr>
          <w:spacing w:val="-4"/>
        </w:rPr>
        <w:t xml:space="preserve"> </w:t>
      </w:r>
      <w:r>
        <w:t>reason,</w:t>
      </w:r>
      <w:r>
        <w:rPr>
          <w:spacing w:val="-3"/>
        </w:rPr>
        <w:t xml:space="preserve"> </w:t>
      </w:r>
      <w:r>
        <w:t>the</w:t>
      </w:r>
      <w:r>
        <w:rPr>
          <w:spacing w:val="-4"/>
        </w:rPr>
        <w:t xml:space="preserve"> </w:t>
      </w:r>
      <w:r>
        <w:t>team</w:t>
      </w:r>
      <w:r>
        <w:rPr>
          <w:spacing w:val="-4"/>
        </w:rPr>
        <w:t xml:space="preserve"> </w:t>
      </w:r>
      <w:r>
        <w:t>separates</w:t>
      </w:r>
      <w:r>
        <w:rPr>
          <w:spacing w:val="-3"/>
        </w:rPr>
        <w:t xml:space="preserve"> </w:t>
      </w:r>
      <w:r>
        <w:t>its</w:t>
      </w:r>
      <w:r>
        <w:rPr>
          <w:spacing w:val="-3"/>
        </w:rPr>
        <w:t xml:space="preserve"> </w:t>
      </w:r>
      <w:r>
        <w:t>modeling calculations to estimate the savings for the two competition types separately.</w:t>
      </w:r>
    </w:p>
    <w:p w:rsidR="00C31389" w:rsidRDefault="00C31389" w14:paraId="5080A7A1" w14:textId="77777777">
      <w:pPr>
        <w:pStyle w:val="BodyText"/>
        <w:spacing w:before="9"/>
        <w:rPr>
          <w:sz w:val="20"/>
        </w:rPr>
      </w:pPr>
    </w:p>
    <w:p w:rsidR="00C31389" w:rsidRDefault="00561FBD" w14:paraId="72ABAA0C" w14:textId="77777777">
      <w:pPr>
        <w:pStyle w:val="BodyText"/>
        <w:ind w:left="479" w:right="474"/>
      </w:pPr>
      <w:r>
        <w:t>The Guidehouse team defines small competitions</w:t>
      </w:r>
      <w:r>
        <w:t xml:space="preserve"> as having less than 10,000 participants per</w:t>
      </w:r>
      <w:r>
        <w:rPr>
          <w:spacing w:val="-3"/>
        </w:rPr>
        <w:t xml:space="preserve"> </w:t>
      </w:r>
      <w:r>
        <w:t>year</w:t>
      </w:r>
      <w:r>
        <w:rPr>
          <w:spacing w:val="-3"/>
        </w:rPr>
        <w:t xml:space="preserve"> </w:t>
      </w:r>
      <w:r>
        <w:t>and</w:t>
      </w:r>
      <w:r>
        <w:rPr>
          <w:spacing w:val="-3"/>
        </w:rPr>
        <w:t xml:space="preserve"> </w:t>
      </w:r>
      <w:r>
        <w:t>large</w:t>
      </w:r>
      <w:r>
        <w:rPr>
          <w:spacing w:val="-3"/>
        </w:rPr>
        <w:t xml:space="preserve"> </w:t>
      </w:r>
      <w:r>
        <w:t>competitions</w:t>
      </w:r>
      <w:r>
        <w:rPr>
          <w:spacing w:val="-3"/>
        </w:rPr>
        <w:t xml:space="preserve"> </w:t>
      </w:r>
      <w:r>
        <w:t>as</w:t>
      </w:r>
      <w:r>
        <w:rPr>
          <w:spacing w:val="-4"/>
        </w:rPr>
        <w:t xml:space="preserve"> </w:t>
      </w:r>
      <w:r>
        <w:t>having</w:t>
      </w:r>
      <w:r>
        <w:rPr>
          <w:spacing w:val="-3"/>
        </w:rPr>
        <w:t xml:space="preserve"> </w:t>
      </w:r>
      <w:r>
        <w:t>more</w:t>
      </w:r>
      <w:r>
        <w:rPr>
          <w:spacing w:val="-3"/>
        </w:rPr>
        <w:t xml:space="preserve"> </w:t>
      </w:r>
      <w:r>
        <w:t>than</w:t>
      </w:r>
      <w:r>
        <w:rPr>
          <w:spacing w:val="-3"/>
        </w:rPr>
        <w:t xml:space="preserve"> </w:t>
      </w:r>
      <w:r>
        <w:t>10,000</w:t>
      </w:r>
      <w:r>
        <w:rPr>
          <w:spacing w:val="-4"/>
        </w:rPr>
        <w:t xml:space="preserve"> </w:t>
      </w:r>
      <w:r>
        <w:t>participants</w:t>
      </w:r>
      <w:r>
        <w:rPr>
          <w:spacing w:val="-4"/>
        </w:rPr>
        <w:t xml:space="preserve"> </w:t>
      </w:r>
      <w:r>
        <w:t>per</w:t>
      </w:r>
      <w:r>
        <w:rPr>
          <w:spacing w:val="-3"/>
        </w:rPr>
        <w:t xml:space="preserve"> </w:t>
      </w:r>
      <w:r>
        <w:t>year.</w:t>
      </w:r>
      <w:r>
        <w:rPr>
          <w:spacing w:val="-3"/>
        </w:rPr>
        <w:t xml:space="preserve"> </w:t>
      </w:r>
      <w:r>
        <w:t>The</w:t>
      </w:r>
      <w:r>
        <w:rPr>
          <w:spacing w:val="-3"/>
        </w:rPr>
        <w:t xml:space="preserve"> </w:t>
      </w:r>
      <w:r>
        <w:t xml:space="preserve">team reviewed 18 small competitions and five large competitions. Data availability varied across </w:t>
      </w:r>
      <w:r>
        <w:rPr>
          <w:spacing w:val="-2"/>
        </w:rPr>
        <w:t>programs.</w:t>
      </w:r>
    </w:p>
    <w:p w:rsidR="00C31389" w:rsidRDefault="00C31389" w14:paraId="3EA7710A" w14:textId="77777777">
      <w:pPr>
        <w:pStyle w:val="BodyText"/>
        <w:spacing w:before="11"/>
        <w:rPr>
          <w:sz w:val="20"/>
        </w:rPr>
      </w:pPr>
    </w:p>
    <w:p w:rsidR="00C31389" w:rsidRDefault="00561FBD" w14:paraId="38A86F04" w14:textId="77777777">
      <w:pPr>
        <w:pStyle w:val="Heading7"/>
        <w:ind w:left="398" w:right="341"/>
        <w:jc w:val="center"/>
      </w:pPr>
      <w:bookmarkStart w:name="_bookmark342" w:id="451"/>
      <w:bookmarkEnd w:id="451"/>
      <w:r>
        <w:t>Table</w:t>
      </w:r>
      <w:r>
        <w:rPr>
          <w:spacing w:val="-8"/>
        </w:rPr>
        <w:t xml:space="preserve"> </w:t>
      </w:r>
      <w:r>
        <w:t>D-5.</w:t>
      </w:r>
      <w:r>
        <w:rPr>
          <w:spacing w:val="-8"/>
        </w:rPr>
        <w:t xml:space="preserve"> </w:t>
      </w:r>
      <w:r>
        <w:t>Residential</w:t>
      </w:r>
      <w:r>
        <w:rPr>
          <w:spacing w:val="-8"/>
        </w:rPr>
        <w:t xml:space="preserve"> </w:t>
      </w:r>
      <w:r>
        <w:t>Competitions</w:t>
      </w:r>
      <w:r>
        <w:rPr>
          <w:spacing w:val="-7"/>
        </w:rPr>
        <w:t xml:space="preserve"> </w:t>
      </w:r>
      <w:r>
        <w:t>–</w:t>
      </w:r>
      <w:r>
        <w:rPr>
          <w:spacing w:val="-8"/>
        </w:rPr>
        <w:t xml:space="preserve"> </w:t>
      </w:r>
      <w:r>
        <w:t>Key</w:t>
      </w:r>
      <w:r>
        <w:rPr>
          <w:spacing w:val="-7"/>
        </w:rPr>
        <w:t xml:space="preserve"> </w:t>
      </w:r>
      <w:r>
        <w:rPr>
          <w:spacing w:val="-2"/>
        </w:rPr>
        <w:t>Assumptions</w:t>
      </w:r>
    </w:p>
    <w:p w:rsidR="00C31389" w:rsidRDefault="00C31389" w14:paraId="30B7B2E3" w14:textId="77777777">
      <w:pPr>
        <w:pStyle w:val="BodyText"/>
        <w:spacing w:before="6"/>
        <w:rPr>
          <w:b/>
          <w:sz w:val="9"/>
        </w:rPr>
      </w:pPr>
    </w:p>
    <w:tbl>
      <w:tblPr>
        <w:tblW w:w="0" w:type="auto"/>
        <w:tblInd w:w="479" w:type="dxa"/>
        <w:tblLayout w:type="fixed"/>
        <w:tblCellMar>
          <w:left w:w="0" w:type="dxa"/>
          <w:right w:w="0" w:type="dxa"/>
        </w:tblCellMar>
        <w:tblLook w:val="01E0" w:firstRow="1" w:lastRow="1" w:firstColumn="1" w:lastColumn="1" w:noHBand="0" w:noVBand="0"/>
      </w:tblPr>
      <w:tblGrid>
        <w:gridCol w:w="1229"/>
        <w:gridCol w:w="1816"/>
        <w:gridCol w:w="907"/>
        <w:gridCol w:w="848"/>
        <w:gridCol w:w="1071"/>
        <w:gridCol w:w="1213"/>
        <w:gridCol w:w="807"/>
        <w:gridCol w:w="1140"/>
      </w:tblGrid>
      <w:tr w:rsidR="00C31389" w14:paraId="1B3CBAF4" w14:textId="77777777">
        <w:trPr>
          <w:trHeight w:val="273"/>
        </w:trPr>
        <w:tc>
          <w:tcPr>
            <w:tcW w:w="1229" w:type="dxa"/>
            <w:shd w:val="clear" w:color="auto" w:fill="92D400"/>
          </w:tcPr>
          <w:p w:rsidR="00C31389" w:rsidRDefault="00C31389" w14:paraId="12567E6B" w14:textId="77777777">
            <w:pPr>
              <w:pStyle w:val="TableParagraph"/>
              <w:spacing w:before="0"/>
              <w:rPr>
                <w:rFonts w:ascii="Times New Roman"/>
                <w:sz w:val="20"/>
              </w:rPr>
            </w:pPr>
          </w:p>
        </w:tc>
        <w:tc>
          <w:tcPr>
            <w:tcW w:w="1816" w:type="dxa"/>
            <w:shd w:val="clear" w:color="auto" w:fill="92D400"/>
          </w:tcPr>
          <w:p w:rsidR="00C31389" w:rsidRDefault="00C31389" w14:paraId="1B3C7B15" w14:textId="77777777">
            <w:pPr>
              <w:pStyle w:val="TableParagraph"/>
              <w:spacing w:before="0"/>
              <w:rPr>
                <w:rFonts w:ascii="Times New Roman"/>
                <w:sz w:val="20"/>
              </w:rPr>
            </w:pPr>
          </w:p>
        </w:tc>
        <w:tc>
          <w:tcPr>
            <w:tcW w:w="907" w:type="dxa"/>
            <w:vMerge w:val="restart"/>
            <w:shd w:val="clear" w:color="auto" w:fill="92D400"/>
          </w:tcPr>
          <w:p w:rsidR="00C31389" w:rsidRDefault="00561FBD" w14:paraId="7A4A8E8C" w14:textId="77777777">
            <w:pPr>
              <w:pStyle w:val="TableParagraph"/>
              <w:spacing w:before="155"/>
              <w:ind w:left="253"/>
              <w:rPr>
                <w:b/>
                <w:sz w:val="20"/>
              </w:rPr>
            </w:pPr>
            <w:r>
              <w:rPr>
                <w:b/>
                <w:spacing w:val="-5"/>
                <w:sz w:val="20"/>
              </w:rPr>
              <w:t>EUL</w:t>
            </w:r>
          </w:p>
          <w:p w:rsidR="00C31389" w:rsidRDefault="00561FBD" w14:paraId="194B7A5C" w14:textId="77777777">
            <w:pPr>
              <w:pStyle w:val="TableParagraph"/>
              <w:spacing w:before="1"/>
              <w:ind w:left="181"/>
              <w:rPr>
                <w:b/>
                <w:sz w:val="20"/>
              </w:rPr>
            </w:pPr>
            <w:r>
              <w:rPr>
                <w:b/>
                <w:spacing w:val="-2"/>
                <w:sz w:val="20"/>
              </w:rPr>
              <w:t>Years</w:t>
            </w:r>
          </w:p>
        </w:tc>
        <w:tc>
          <w:tcPr>
            <w:tcW w:w="1919" w:type="dxa"/>
            <w:gridSpan w:val="2"/>
            <w:shd w:val="clear" w:color="auto" w:fill="92D400"/>
          </w:tcPr>
          <w:p w:rsidR="00C31389" w:rsidRDefault="00561FBD" w14:paraId="7FA1EBAB" w14:textId="77777777">
            <w:pPr>
              <w:pStyle w:val="TableParagraph"/>
              <w:spacing w:line="213" w:lineRule="exact"/>
              <w:ind w:left="538"/>
              <w:rPr>
                <w:b/>
                <w:sz w:val="20"/>
              </w:rPr>
            </w:pPr>
            <w:r>
              <w:rPr>
                <w:b/>
                <w:spacing w:val="-2"/>
                <w:sz w:val="20"/>
              </w:rPr>
              <w:t>Savings</w:t>
            </w:r>
          </w:p>
        </w:tc>
        <w:tc>
          <w:tcPr>
            <w:tcW w:w="1213" w:type="dxa"/>
            <w:shd w:val="clear" w:color="auto" w:fill="92D400"/>
          </w:tcPr>
          <w:p w:rsidR="00C31389" w:rsidRDefault="00561FBD" w14:paraId="01DAED92" w14:textId="77777777">
            <w:pPr>
              <w:pStyle w:val="TableParagraph"/>
              <w:spacing w:line="213" w:lineRule="exact"/>
              <w:ind w:left="793" w:right="-29"/>
              <w:rPr>
                <w:b/>
                <w:sz w:val="20"/>
              </w:rPr>
            </w:pPr>
            <w:r>
              <w:rPr>
                <w:b/>
                <w:spacing w:val="-4"/>
                <w:sz w:val="20"/>
              </w:rPr>
              <w:t>Cost</w:t>
            </w:r>
          </w:p>
        </w:tc>
        <w:tc>
          <w:tcPr>
            <w:tcW w:w="807" w:type="dxa"/>
            <w:shd w:val="clear" w:color="auto" w:fill="92D400"/>
          </w:tcPr>
          <w:p w:rsidR="00C31389" w:rsidRDefault="00C31389" w14:paraId="46D8A3A0" w14:textId="77777777">
            <w:pPr>
              <w:pStyle w:val="TableParagraph"/>
              <w:spacing w:before="0"/>
              <w:rPr>
                <w:rFonts w:ascii="Times New Roman"/>
                <w:sz w:val="20"/>
              </w:rPr>
            </w:pPr>
          </w:p>
        </w:tc>
        <w:tc>
          <w:tcPr>
            <w:tcW w:w="1140" w:type="dxa"/>
            <w:vMerge w:val="restart"/>
            <w:shd w:val="clear" w:color="auto" w:fill="92D400"/>
          </w:tcPr>
          <w:p w:rsidR="00C31389" w:rsidRDefault="00561FBD" w14:paraId="000A03B4" w14:textId="77777777">
            <w:pPr>
              <w:pStyle w:val="TableParagraph"/>
              <w:ind w:left="153" w:right="125"/>
              <w:jc w:val="center"/>
              <w:rPr>
                <w:b/>
                <w:sz w:val="20"/>
              </w:rPr>
            </w:pPr>
            <w:r>
              <w:rPr>
                <w:b/>
                <w:spacing w:val="-2"/>
                <w:sz w:val="20"/>
              </w:rPr>
              <w:t>kW/kWh Savings Ratio</w:t>
            </w:r>
          </w:p>
        </w:tc>
      </w:tr>
      <w:tr w:rsidR="00C31389" w14:paraId="0018AB82" w14:textId="77777777">
        <w:trPr>
          <w:trHeight w:val="506"/>
        </w:trPr>
        <w:tc>
          <w:tcPr>
            <w:tcW w:w="1229" w:type="dxa"/>
            <w:shd w:val="clear" w:color="auto" w:fill="92D400"/>
          </w:tcPr>
          <w:p w:rsidR="00C31389" w:rsidRDefault="00561FBD" w14:paraId="03DCDCB7" w14:textId="77777777">
            <w:pPr>
              <w:pStyle w:val="TableParagraph"/>
              <w:spacing w:before="0" w:line="227" w:lineRule="exact"/>
              <w:ind w:left="123"/>
              <w:rPr>
                <w:b/>
                <w:sz w:val="20"/>
              </w:rPr>
            </w:pPr>
            <w:r>
              <w:rPr>
                <w:b/>
                <w:spacing w:val="-2"/>
                <w:sz w:val="20"/>
              </w:rPr>
              <w:t>Sector</w:t>
            </w:r>
          </w:p>
        </w:tc>
        <w:tc>
          <w:tcPr>
            <w:tcW w:w="1816" w:type="dxa"/>
            <w:shd w:val="clear" w:color="auto" w:fill="92D400"/>
          </w:tcPr>
          <w:p w:rsidR="00C31389" w:rsidRDefault="00561FBD" w14:paraId="4B0C10D4" w14:textId="77777777">
            <w:pPr>
              <w:pStyle w:val="TableParagraph"/>
              <w:spacing w:before="0" w:line="227" w:lineRule="exact"/>
              <w:ind w:left="114"/>
              <w:rPr>
                <w:b/>
                <w:sz w:val="20"/>
              </w:rPr>
            </w:pPr>
            <w:r>
              <w:rPr>
                <w:b/>
                <w:spacing w:val="-4"/>
                <w:sz w:val="20"/>
              </w:rPr>
              <w:t>Type</w:t>
            </w:r>
          </w:p>
        </w:tc>
        <w:tc>
          <w:tcPr>
            <w:tcW w:w="907" w:type="dxa"/>
            <w:vMerge/>
            <w:tcBorders>
              <w:top w:val="nil"/>
            </w:tcBorders>
            <w:shd w:val="clear" w:color="auto" w:fill="92D400"/>
          </w:tcPr>
          <w:p w:rsidR="00C31389" w:rsidRDefault="00C31389" w14:paraId="28EE5F45" w14:textId="77777777">
            <w:pPr>
              <w:rPr>
                <w:sz w:val="2"/>
                <w:szCs w:val="2"/>
              </w:rPr>
            </w:pPr>
          </w:p>
        </w:tc>
        <w:tc>
          <w:tcPr>
            <w:tcW w:w="848" w:type="dxa"/>
            <w:shd w:val="clear" w:color="auto" w:fill="92D400"/>
          </w:tcPr>
          <w:p w:rsidR="00C31389" w:rsidRDefault="00561FBD" w14:paraId="5BC9B421" w14:textId="77777777">
            <w:pPr>
              <w:pStyle w:val="TableParagraph"/>
              <w:spacing w:before="162"/>
              <w:ind w:left="168" w:right="200"/>
              <w:jc w:val="center"/>
              <w:rPr>
                <w:b/>
                <w:sz w:val="20"/>
              </w:rPr>
            </w:pPr>
            <w:r>
              <w:rPr>
                <w:b/>
                <w:spacing w:val="-5"/>
                <w:sz w:val="20"/>
              </w:rPr>
              <w:t>kWh</w:t>
            </w:r>
          </w:p>
        </w:tc>
        <w:tc>
          <w:tcPr>
            <w:tcW w:w="1071" w:type="dxa"/>
            <w:shd w:val="clear" w:color="auto" w:fill="92D400"/>
          </w:tcPr>
          <w:p w:rsidR="00C31389" w:rsidRDefault="00561FBD" w14:paraId="64103C90" w14:textId="77777777">
            <w:pPr>
              <w:pStyle w:val="TableParagraph"/>
              <w:spacing w:before="162"/>
              <w:ind w:left="198" w:right="177"/>
              <w:jc w:val="center"/>
              <w:rPr>
                <w:b/>
                <w:sz w:val="20"/>
              </w:rPr>
            </w:pPr>
            <w:r>
              <w:rPr>
                <w:b/>
                <w:spacing w:val="-2"/>
                <w:sz w:val="20"/>
              </w:rPr>
              <w:t>therms</w:t>
            </w:r>
          </w:p>
        </w:tc>
        <w:tc>
          <w:tcPr>
            <w:tcW w:w="1213" w:type="dxa"/>
            <w:shd w:val="clear" w:color="auto" w:fill="92D400"/>
          </w:tcPr>
          <w:p w:rsidR="00C31389" w:rsidRDefault="00561FBD" w14:paraId="5DF053B3" w14:textId="77777777">
            <w:pPr>
              <w:pStyle w:val="TableParagraph"/>
              <w:spacing w:before="162"/>
              <w:ind w:left="285"/>
              <w:rPr>
                <w:b/>
                <w:sz w:val="20"/>
              </w:rPr>
            </w:pPr>
            <w:r>
              <w:rPr>
                <w:b/>
                <w:spacing w:val="-5"/>
                <w:sz w:val="20"/>
              </w:rPr>
              <w:t>kWh</w:t>
            </w:r>
          </w:p>
        </w:tc>
        <w:tc>
          <w:tcPr>
            <w:tcW w:w="807" w:type="dxa"/>
            <w:shd w:val="clear" w:color="auto" w:fill="92D400"/>
          </w:tcPr>
          <w:p w:rsidR="00C31389" w:rsidRDefault="00561FBD" w14:paraId="67C7EFBD" w14:textId="77777777">
            <w:pPr>
              <w:pStyle w:val="TableParagraph"/>
              <w:spacing w:before="162"/>
              <w:ind w:left="-23"/>
              <w:rPr>
                <w:b/>
                <w:sz w:val="20"/>
              </w:rPr>
            </w:pPr>
            <w:r>
              <w:rPr>
                <w:b/>
                <w:spacing w:val="-2"/>
                <w:sz w:val="20"/>
              </w:rPr>
              <w:t>therms</w:t>
            </w:r>
          </w:p>
        </w:tc>
        <w:tc>
          <w:tcPr>
            <w:tcW w:w="1140" w:type="dxa"/>
            <w:vMerge/>
            <w:tcBorders>
              <w:top w:val="nil"/>
            </w:tcBorders>
            <w:shd w:val="clear" w:color="auto" w:fill="92D400"/>
          </w:tcPr>
          <w:p w:rsidR="00C31389" w:rsidRDefault="00C31389" w14:paraId="7C450D35" w14:textId="77777777">
            <w:pPr>
              <w:rPr>
                <w:sz w:val="2"/>
                <w:szCs w:val="2"/>
              </w:rPr>
            </w:pPr>
          </w:p>
        </w:tc>
      </w:tr>
      <w:tr w:rsidR="00C31389" w14:paraId="5853E660" w14:textId="77777777">
        <w:trPr>
          <w:trHeight w:val="770"/>
        </w:trPr>
        <w:tc>
          <w:tcPr>
            <w:tcW w:w="1229" w:type="dxa"/>
            <w:tcBorders>
              <w:bottom w:val="single" w:color="D9D9D9" w:sz="2" w:space="0"/>
            </w:tcBorders>
          </w:tcPr>
          <w:p w:rsidR="00C31389" w:rsidRDefault="00C31389" w14:paraId="4D785A71" w14:textId="77777777">
            <w:pPr>
              <w:pStyle w:val="TableParagraph"/>
              <w:spacing w:before="6"/>
              <w:rPr>
                <w:b/>
                <w:sz w:val="23"/>
              </w:rPr>
            </w:pPr>
          </w:p>
          <w:p w:rsidR="00C31389" w:rsidRDefault="00561FBD" w14:paraId="1D326E15" w14:textId="77777777">
            <w:pPr>
              <w:pStyle w:val="TableParagraph"/>
              <w:spacing w:before="0"/>
              <w:ind w:left="123"/>
              <w:rPr>
                <w:sz w:val="20"/>
              </w:rPr>
            </w:pPr>
            <w:r>
              <w:rPr>
                <w:spacing w:val="-2"/>
                <w:sz w:val="20"/>
              </w:rPr>
              <w:t>Residential</w:t>
            </w:r>
          </w:p>
        </w:tc>
        <w:tc>
          <w:tcPr>
            <w:tcW w:w="1816" w:type="dxa"/>
            <w:tcBorders>
              <w:bottom w:val="single" w:color="D9D9D9" w:sz="2" w:space="0"/>
            </w:tcBorders>
          </w:tcPr>
          <w:p w:rsidR="00C31389" w:rsidRDefault="00561FBD" w14:paraId="32B5D241" w14:textId="77777777">
            <w:pPr>
              <w:pStyle w:val="TableParagraph"/>
              <w:ind w:left="114" w:right="178"/>
              <w:rPr>
                <w:sz w:val="20"/>
              </w:rPr>
            </w:pPr>
            <w:r>
              <w:rPr>
                <w:spacing w:val="-2"/>
                <w:sz w:val="20"/>
              </w:rPr>
              <w:t xml:space="preserve">Small Competitions </w:t>
            </w:r>
            <w:r>
              <w:rPr>
                <w:sz w:val="20"/>
              </w:rPr>
              <w:t>(&lt;10,000</w:t>
            </w:r>
            <w:r>
              <w:rPr>
                <w:spacing w:val="-14"/>
                <w:sz w:val="20"/>
              </w:rPr>
              <w:t xml:space="preserve"> </w:t>
            </w:r>
            <w:r>
              <w:rPr>
                <w:sz w:val="20"/>
              </w:rPr>
              <w:t>people)</w:t>
            </w:r>
          </w:p>
        </w:tc>
        <w:tc>
          <w:tcPr>
            <w:tcW w:w="907" w:type="dxa"/>
            <w:tcBorders>
              <w:bottom w:val="single" w:color="D9D9D9" w:sz="2" w:space="0"/>
            </w:tcBorders>
          </w:tcPr>
          <w:p w:rsidR="00C31389" w:rsidRDefault="00C31389" w14:paraId="044FCB0D" w14:textId="77777777">
            <w:pPr>
              <w:pStyle w:val="TableParagraph"/>
              <w:spacing w:before="6"/>
              <w:rPr>
                <w:b/>
                <w:sz w:val="23"/>
              </w:rPr>
            </w:pPr>
          </w:p>
          <w:p w:rsidR="00C31389" w:rsidRDefault="00561FBD" w14:paraId="042D777C" w14:textId="77777777">
            <w:pPr>
              <w:pStyle w:val="TableParagraph"/>
              <w:spacing w:before="0"/>
              <w:jc w:val="center"/>
              <w:rPr>
                <w:sz w:val="20"/>
              </w:rPr>
            </w:pPr>
            <w:r>
              <w:rPr>
                <w:sz w:val="20"/>
              </w:rPr>
              <w:t>1</w:t>
            </w:r>
          </w:p>
        </w:tc>
        <w:tc>
          <w:tcPr>
            <w:tcW w:w="848" w:type="dxa"/>
            <w:tcBorders>
              <w:bottom w:val="single" w:color="D9D9D9" w:sz="2" w:space="0"/>
            </w:tcBorders>
          </w:tcPr>
          <w:p w:rsidR="00C31389" w:rsidRDefault="00C31389" w14:paraId="5F4D87A4" w14:textId="77777777">
            <w:pPr>
              <w:pStyle w:val="TableParagraph"/>
              <w:spacing w:before="6"/>
              <w:rPr>
                <w:b/>
                <w:sz w:val="23"/>
              </w:rPr>
            </w:pPr>
          </w:p>
          <w:p w:rsidR="00C31389" w:rsidRDefault="00561FBD" w14:paraId="3C59963D" w14:textId="77777777">
            <w:pPr>
              <w:pStyle w:val="TableParagraph"/>
              <w:spacing w:before="0"/>
              <w:ind w:left="168" w:right="200"/>
              <w:jc w:val="center"/>
              <w:rPr>
                <w:sz w:val="20"/>
              </w:rPr>
            </w:pPr>
            <w:r>
              <w:rPr>
                <w:spacing w:val="-4"/>
                <w:sz w:val="20"/>
              </w:rPr>
              <w:t>8.1%</w:t>
            </w:r>
          </w:p>
        </w:tc>
        <w:tc>
          <w:tcPr>
            <w:tcW w:w="1071" w:type="dxa"/>
            <w:tcBorders>
              <w:bottom w:val="single" w:color="D9D9D9" w:sz="2" w:space="0"/>
            </w:tcBorders>
          </w:tcPr>
          <w:p w:rsidR="00C31389" w:rsidRDefault="00C31389" w14:paraId="53E57F12" w14:textId="77777777">
            <w:pPr>
              <w:pStyle w:val="TableParagraph"/>
              <w:spacing w:before="6"/>
              <w:rPr>
                <w:b/>
                <w:sz w:val="23"/>
              </w:rPr>
            </w:pPr>
          </w:p>
          <w:p w:rsidR="00C31389" w:rsidRDefault="00561FBD" w14:paraId="2648B85F" w14:textId="77777777">
            <w:pPr>
              <w:pStyle w:val="TableParagraph"/>
              <w:spacing w:before="0"/>
              <w:ind w:left="198" w:right="177"/>
              <w:jc w:val="center"/>
              <w:rPr>
                <w:sz w:val="20"/>
              </w:rPr>
            </w:pPr>
            <w:r>
              <w:rPr>
                <w:spacing w:val="-4"/>
                <w:sz w:val="20"/>
              </w:rPr>
              <w:t>5.2%</w:t>
            </w:r>
          </w:p>
        </w:tc>
        <w:tc>
          <w:tcPr>
            <w:tcW w:w="1213" w:type="dxa"/>
            <w:tcBorders>
              <w:bottom w:val="single" w:color="D9D9D9" w:sz="2" w:space="0"/>
            </w:tcBorders>
          </w:tcPr>
          <w:p w:rsidR="00C31389" w:rsidRDefault="00C31389" w14:paraId="4ED5DE64" w14:textId="77777777">
            <w:pPr>
              <w:pStyle w:val="TableParagraph"/>
              <w:spacing w:before="6"/>
              <w:rPr>
                <w:b/>
                <w:sz w:val="23"/>
              </w:rPr>
            </w:pPr>
          </w:p>
          <w:p w:rsidR="00C31389" w:rsidRDefault="00561FBD" w14:paraId="7DC17FE9" w14:textId="77777777">
            <w:pPr>
              <w:pStyle w:val="TableParagraph"/>
              <w:spacing w:before="0"/>
              <w:ind w:left="191"/>
              <w:rPr>
                <w:sz w:val="20"/>
              </w:rPr>
            </w:pPr>
            <w:r>
              <w:rPr>
                <w:spacing w:val="-2"/>
                <w:sz w:val="20"/>
              </w:rPr>
              <w:t>$0.050</w:t>
            </w:r>
          </w:p>
        </w:tc>
        <w:tc>
          <w:tcPr>
            <w:tcW w:w="807" w:type="dxa"/>
            <w:tcBorders>
              <w:bottom w:val="single" w:color="D9D9D9" w:sz="2" w:space="0"/>
            </w:tcBorders>
          </w:tcPr>
          <w:p w:rsidR="00C31389" w:rsidRDefault="00C31389" w14:paraId="035508D5" w14:textId="77777777">
            <w:pPr>
              <w:pStyle w:val="TableParagraph"/>
              <w:spacing w:before="6"/>
              <w:rPr>
                <w:b/>
                <w:sz w:val="23"/>
              </w:rPr>
            </w:pPr>
          </w:p>
          <w:p w:rsidR="00C31389" w:rsidRDefault="00561FBD" w14:paraId="7040782B" w14:textId="77777777">
            <w:pPr>
              <w:pStyle w:val="TableParagraph"/>
              <w:spacing w:before="0"/>
              <w:ind w:left="5"/>
              <w:rPr>
                <w:sz w:val="20"/>
              </w:rPr>
            </w:pPr>
            <w:r>
              <w:rPr>
                <w:spacing w:val="-2"/>
                <w:sz w:val="20"/>
              </w:rPr>
              <w:t>$1.344</w:t>
            </w:r>
          </w:p>
        </w:tc>
        <w:tc>
          <w:tcPr>
            <w:tcW w:w="1140" w:type="dxa"/>
            <w:tcBorders>
              <w:bottom w:val="single" w:color="D9D9D9" w:sz="2" w:space="0"/>
            </w:tcBorders>
          </w:tcPr>
          <w:p w:rsidR="00C31389" w:rsidRDefault="00C31389" w14:paraId="744EEA94" w14:textId="77777777">
            <w:pPr>
              <w:pStyle w:val="TableParagraph"/>
              <w:spacing w:before="6"/>
              <w:rPr>
                <w:b/>
                <w:sz w:val="23"/>
              </w:rPr>
            </w:pPr>
          </w:p>
          <w:p w:rsidR="00C31389" w:rsidRDefault="00561FBD" w14:paraId="128A2256" w14:textId="77777777">
            <w:pPr>
              <w:pStyle w:val="TableParagraph"/>
              <w:spacing w:before="0"/>
              <w:ind w:left="153" w:right="127"/>
              <w:jc w:val="center"/>
              <w:rPr>
                <w:sz w:val="20"/>
              </w:rPr>
            </w:pPr>
            <w:r>
              <w:rPr>
                <w:spacing w:val="-2"/>
                <w:sz w:val="20"/>
              </w:rPr>
              <w:t>0.000224</w:t>
            </w:r>
          </w:p>
        </w:tc>
      </w:tr>
      <w:tr w:rsidR="00C31389" w14:paraId="7099E3F5" w14:textId="77777777">
        <w:trPr>
          <w:trHeight w:val="769"/>
        </w:trPr>
        <w:tc>
          <w:tcPr>
            <w:tcW w:w="1229" w:type="dxa"/>
            <w:tcBorders>
              <w:top w:val="single" w:color="D9D9D9" w:sz="2" w:space="0"/>
              <w:bottom w:val="single" w:color="000000" w:sz="8" w:space="0"/>
            </w:tcBorders>
          </w:tcPr>
          <w:p w:rsidR="00C31389" w:rsidRDefault="00C31389" w14:paraId="25B9E65D" w14:textId="77777777">
            <w:pPr>
              <w:pStyle w:val="TableParagraph"/>
              <w:spacing w:before="6"/>
              <w:rPr>
                <w:b/>
                <w:sz w:val="23"/>
              </w:rPr>
            </w:pPr>
          </w:p>
          <w:p w:rsidR="00C31389" w:rsidRDefault="00561FBD" w14:paraId="67C7506E" w14:textId="77777777">
            <w:pPr>
              <w:pStyle w:val="TableParagraph"/>
              <w:spacing w:before="0"/>
              <w:ind w:left="123"/>
              <w:rPr>
                <w:sz w:val="20"/>
              </w:rPr>
            </w:pPr>
            <w:r>
              <w:rPr>
                <w:spacing w:val="-2"/>
                <w:sz w:val="20"/>
              </w:rPr>
              <w:t>Residential</w:t>
            </w:r>
          </w:p>
        </w:tc>
        <w:tc>
          <w:tcPr>
            <w:tcW w:w="1816" w:type="dxa"/>
            <w:tcBorders>
              <w:top w:val="single" w:color="D9D9D9" w:sz="2" w:space="0"/>
              <w:bottom w:val="single" w:color="000000" w:sz="8" w:space="0"/>
            </w:tcBorders>
          </w:tcPr>
          <w:p w:rsidR="00C31389" w:rsidRDefault="00561FBD" w14:paraId="64657336" w14:textId="77777777">
            <w:pPr>
              <w:pStyle w:val="TableParagraph"/>
              <w:ind w:left="114" w:right="178"/>
              <w:rPr>
                <w:sz w:val="20"/>
              </w:rPr>
            </w:pPr>
            <w:r>
              <w:rPr>
                <w:spacing w:val="-2"/>
                <w:sz w:val="20"/>
              </w:rPr>
              <w:t xml:space="preserve">Large Competitions </w:t>
            </w:r>
            <w:r>
              <w:rPr>
                <w:sz w:val="20"/>
              </w:rPr>
              <w:t>(&gt;10,000</w:t>
            </w:r>
            <w:r>
              <w:rPr>
                <w:spacing w:val="-14"/>
                <w:sz w:val="20"/>
              </w:rPr>
              <w:t xml:space="preserve"> </w:t>
            </w:r>
            <w:r>
              <w:rPr>
                <w:sz w:val="20"/>
              </w:rPr>
              <w:t>people)</w:t>
            </w:r>
          </w:p>
        </w:tc>
        <w:tc>
          <w:tcPr>
            <w:tcW w:w="907" w:type="dxa"/>
            <w:tcBorders>
              <w:top w:val="single" w:color="D9D9D9" w:sz="2" w:space="0"/>
              <w:bottom w:val="single" w:color="000000" w:sz="8" w:space="0"/>
            </w:tcBorders>
          </w:tcPr>
          <w:p w:rsidR="00C31389" w:rsidRDefault="00C31389" w14:paraId="2301C3FF" w14:textId="77777777">
            <w:pPr>
              <w:pStyle w:val="TableParagraph"/>
              <w:spacing w:before="6"/>
              <w:rPr>
                <w:b/>
                <w:sz w:val="23"/>
              </w:rPr>
            </w:pPr>
          </w:p>
          <w:p w:rsidR="00C31389" w:rsidRDefault="00561FBD" w14:paraId="15C8DE43" w14:textId="77777777">
            <w:pPr>
              <w:pStyle w:val="TableParagraph"/>
              <w:spacing w:before="0"/>
              <w:jc w:val="center"/>
              <w:rPr>
                <w:sz w:val="20"/>
              </w:rPr>
            </w:pPr>
            <w:r>
              <w:rPr>
                <w:sz w:val="20"/>
              </w:rPr>
              <w:t>1</w:t>
            </w:r>
          </w:p>
        </w:tc>
        <w:tc>
          <w:tcPr>
            <w:tcW w:w="848" w:type="dxa"/>
            <w:tcBorders>
              <w:top w:val="single" w:color="D9D9D9" w:sz="2" w:space="0"/>
              <w:bottom w:val="single" w:color="000000" w:sz="8" w:space="0"/>
            </w:tcBorders>
          </w:tcPr>
          <w:p w:rsidR="00C31389" w:rsidRDefault="00C31389" w14:paraId="560374E6" w14:textId="77777777">
            <w:pPr>
              <w:pStyle w:val="TableParagraph"/>
              <w:spacing w:before="6"/>
              <w:rPr>
                <w:b/>
                <w:sz w:val="23"/>
              </w:rPr>
            </w:pPr>
          </w:p>
          <w:p w:rsidR="00C31389" w:rsidRDefault="00561FBD" w14:paraId="5DA87D1C" w14:textId="77777777">
            <w:pPr>
              <w:pStyle w:val="TableParagraph"/>
              <w:spacing w:before="0"/>
              <w:ind w:left="167" w:right="200"/>
              <w:jc w:val="center"/>
              <w:rPr>
                <w:sz w:val="20"/>
              </w:rPr>
            </w:pPr>
            <w:r>
              <w:rPr>
                <w:spacing w:val="-5"/>
                <w:sz w:val="20"/>
              </w:rPr>
              <w:t>14%</w:t>
            </w:r>
          </w:p>
        </w:tc>
        <w:tc>
          <w:tcPr>
            <w:tcW w:w="1071" w:type="dxa"/>
            <w:tcBorders>
              <w:top w:val="single" w:color="D9D9D9" w:sz="2" w:space="0"/>
              <w:bottom w:val="single" w:color="000000" w:sz="8" w:space="0"/>
            </w:tcBorders>
          </w:tcPr>
          <w:p w:rsidR="00C31389" w:rsidRDefault="00C31389" w14:paraId="23D4880B" w14:textId="77777777">
            <w:pPr>
              <w:pStyle w:val="TableParagraph"/>
              <w:spacing w:before="6"/>
              <w:rPr>
                <w:b/>
                <w:sz w:val="23"/>
              </w:rPr>
            </w:pPr>
          </w:p>
          <w:p w:rsidR="00C31389" w:rsidRDefault="00561FBD" w14:paraId="2B73E4EA" w14:textId="77777777">
            <w:pPr>
              <w:pStyle w:val="TableParagraph"/>
              <w:spacing w:before="0"/>
              <w:ind w:left="197" w:right="177"/>
              <w:jc w:val="center"/>
              <w:rPr>
                <w:sz w:val="20"/>
              </w:rPr>
            </w:pPr>
            <w:r>
              <w:rPr>
                <w:spacing w:val="-4"/>
                <w:sz w:val="20"/>
              </w:rPr>
              <w:t>5.2%</w:t>
            </w:r>
          </w:p>
        </w:tc>
        <w:tc>
          <w:tcPr>
            <w:tcW w:w="1213" w:type="dxa"/>
            <w:tcBorders>
              <w:top w:val="single" w:color="D9D9D9" w:sz="2" w:space="0"/>
              <w:bottom w:val="single" w:color="000000" w:sz="8" w:space="0"/>
            </w:tcBorders>
          </w:tcPr>
          <w:p w:rsidR="00C31389" w:rsidRDefault="00C31389" w14:paraId="1821B376" w14:textId="77777777">
            <w:pPr>
              <w:pStyle w:val="TableParagraph"/>
              <w:spacing w:before="6"/>
              <w:rPr>
                <w:b/>
                <w:sz w:val="23"/>
              </w:rPr>
            </w:pPr>
          </w:p>
          <w:p w:rsidR="00C31389" w:rsidRDefault="00561FBD" w14:paraId="5FEE7029" w14:textId="77777777">
            <w:pPr>
              <w:pStyle w:val="TableParagraph"/>
              <w:spacing w:before="0"/>
              <w:ind w:left="190"/>
              <w:rPr>
                <w:sz w:val="20"/>
              </w:rPr>
            </w:pPr>
            <w:r>
              <w:rPr>
                <w:spacing w:val="-2"/>
                <w:sz w:val="20"/>
              </w:rPr>
              <w:t>$0.002</w:t>
            </w:r>
          </w:p>
        </w:tc>
        <w:tc>
          <w:tcPr>
            <w:tcW w:w="807" w:type="dxa"/>
            <w:tcBorders>
              <w:top w:val="single" w:color="D9D9D9" w:sz="2" w:space="0"/>
              <w:bottom w:val="single" w:color="000000" w:sz="8" w:space="0"/>
            </w:tcBorders>
          </w:tcPr>
          <w:p w:rsidR="00C31389" w:rsidRDefault="00C31389" w14:paraId="5951BADF" w14:textId="77777777">
            <w:pPr>
              <w:pStyle w:val="TableParagraph"/>
              <w:spacing w:before="6"/>
              <w:rPr>
                <w:b/>
                <w:sz w:val="23"/>
              </w:rPr>
            </w:pPr>
          </w:p>
          <w:p w:rsidR="00C31389" w:rsidRDefault="00561FBD" w14:paraId="2F7ADF05" w14:textId="77777777">
            <w:pPr>
              <w:pStyle w:val="TableParagraph"/>
              <w:spacing w:before="0"/>
              <w:ind w:left="5"/>
              <w:rPr>
                <w:sz w:val="20"/>
              </w:rPr>
            </w:pPr>
            <w:r>
              <w:rPr>
                <w:spacing w:val="-2"/>
                <w:sz w:val="20"/>
              </w:rPr>
              <w:t>$0.101</w:t>
            </w:r>
          </w:p>
        </w:tc>
        <w:tc>
          <w:tcPr>
            <w:tcW w:w="1140" w:type="dxa"/>
            <w:tcBorders>
              <w:top w:val="single" w:color="D9D9D9" w:sz="2" w:space="0"/>
              <w:bottom w:val="single" w:color="000000" w:sz="8" w:space="0"/>
            </w:tcBorders>
          </w:tcPr>
          <w:p w:rsidR="00C31389" w:rsidRDefault="00C31389" w14:paraId="17CA8CC6" w14:textId="77777777">
            <w:pPr>
              <w:pStyle w:val="TableParagraph"/>
              <w:spacing w:before="6"/>
              <w:rPr>
                <w:b/>
                <w:sz w:val="23"/>
              </w:rPr>
            </w:pPr>
          </w:p>
          <w:p w:rsidR="00C31389" w:rsidRDefault="00561FBD" w14:paraId="5087461F" w14:textId="77777777">
            <w:pPr>
              <w:pStyle w:val="TableParagraph"/>
              <w:spacing w:before="0"/>
              <w:ind w:left="152" w:right="127"/>
              <w:jc w:val="center"/>
              <w:rPr>
                <w:sz w:val="20"/>
              </w:rPr>
            </w:pPr>
            <w:r>
              <w:rPr>
                <w:spacing w:val="-2"/>
                <w:sz w:val="20"/>
              </w:rPr>
              <w:t>0.000224</w:t>
            </w:r>
          </w:p>
        </w:tc>
      </w:tr>
    </w:tbl>
    <w:p w:rsidR="00C31389" w:rsidRDefault="00561FBD" w14:paraId="5ACB1FE5" w14:textId="77777777">
      <w:pPr>
        <w:spacing w:before="71"/>
        <w:ind w:left="480"/>
        <w:jc w:val="both"/>
        <w:rPr>
          <w:i/>
          <w:sz w:val="18"/>
        </w:rPr>
      </w:pPr>
      <w:r>
        <w:rPr>
          <w:i/>
          <w:sz w:val="18"/>
        </w:rPr>
        <w:t>Source:</w:t>
      </w:r>
      <w:r>
        <w:rPr>
          <w:i/>
          <w:spacing w:val="-4"/>
          <w:sz w:val="18"/>
        </w:rPr>
        <w:t xml:space="preserve"> </w:t>
      </w:r>
      <w:r>
        <w:rPr>
          <w:i/>
          <w:spacing w:val="-2"/>
          <w:sz w:val="18"/>
        </w:rPr>
        <w:t>Guidehouse</w:t>
      </w:r>
    </w:p>
    <w:p w:rsidR="00C31389" w:rsidRDefault="00C31389" w14:paraId="3D9371A1" w14:textId="77777777">
      <w:pPr>
        <w:pStyle w:val="BodyText"/>
        <w:rPr>
          <w:i/>
          <w:sz w:val="20"/>
        </w:rPr>
      </w:pPr>
    </w:p>
    <w:p w:rsidR="00C31389" w:rsidRDefault="00561FBD" w14:paraId="5C7AF45E" w14:textId="77777777">
      <w:pPr>
        <w:pStyle w:val="ListParagraph"/>
        <w:numPr>
          <w:ilvl w:val="2"/>
          <w:numId w:val="19"/>
        </w:numPr>
        <w:tabs>
          <w:tab w:val="left" w:pos="1197"/>
        </w:tabs>
        <w:spacing w:before="131"/>
        <w:ind w:left="1197" w:hanging="717"/>
        <w:rPr>
          <w:b/>
          <w:sz w:val="24"/>
        </w:rPr>
      </w:pPr>
      <w:bookmarkStart w:name="D.4.2_Assumptions_and_Methodology" w:id="452"/>
      <w:bookmarkStart w:name="_bookmark343" w:id="453"/>
      <w:bookmarkEnd w:id="452"/>
      <w:bookmarkEnd w:id="453"/>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73FDB3E7" w14:textId="77777777">
      <w:pPr>
        <w:pStyle w:val="BodyText"/>
        <w:spacing w:before="3"/>
        <w:rPr>
          <w:b/>
          <w:sz w:val="23"/>
        </w:rPr>
      </w:pPr>
    </w:p>
    <w:p w:rsidR="00C31389" w:rsidRDefault="00561FBD" w14:paraId="66EBAB7D" w14:textId="77777777">
      <w:pPr>
        <w:pStyle w:val="BodyText"/>
        <w:ind w:left="480" w:right="445"/>
      </w:pPr>
      <w:r>
        <w:t>No major updates were made to the inputs for residential competitions in the 2023 Study. The</w:t>
      </w:r>
      <w:r>
        <w:rPr>
          <w:spacing w:val="-3"/>
        </w:rPr>
        <w:t xml:space="preserve"> </w:t>
      </w:r>
      <w:r>
        <w:t>Guidehouse</w:t>
      </w:r>
      <w:r>
        <w:rPr>
          <w:spacing w:val="-3"/>
        </w:rPr>
        <w:t xml:space="preserve"> </w:t>
      </w:r>
      <w:r>
        <w:t>team</w:t>
      </w:r>
      <w:r>
        <w:rPr>
          <w:spacing w:val="-3"/>
        </w:rPr>
        <w:t xml:space="preserve"> </w:t>
      </w:r>
      <w:r>
        <w:t>determined</w:t>
      </w:r>
      <w:r>
        <w:rPr>
          <w:spacing w:val="-3"/>
        </w:rPr>
        <w:t xml:space="preserve"> </w:t>
      </w:r>
      <w:r>
        <w:t>that</w:t>
      </w:r>
      <w:r>
        <w:rPr>
          <w:spacing w:val="-3"/>
        </w:rPr>
        <w:t xml:space="preserve"> </w:t>
      </w:r>
      <w:r>
        <w:t>residential</w:t>
      </w:r>
      <w:r>
        <w:rPr>
          <w:spacing w:val="-3"/>
        </w:rPr>
        <w:t xml:space="preserve"> </w:t>
      </w:r>
      <w:r>
        <w:t>competitions</w:t>
      </w:r>
      <w:r>
        <w:rPr>
          <w:spacing w:val="-3"/>
        </w:rPr>
        <w:t xml:space="preserve"> </w:t>
      </w:r>
      <w:r>
        <w:t>be</w:t>
      </w:r>
      <w:r>
        <w:rPr>
          <w:spacing w:val="-3"/>
        </w:rPr>
        <w:t xml:space="preserve"> </w:t>
      </w:r>
      <w:r>
        <w:t>a</w:t>
      </w:r>
      <w:r>
        <w:rPr>
          <w:spacing w:val="-3"/>
        </w:rPr>
        <w:t xml:space="preserve"> </w:t>
      </w:r>
      <w:r>
        <w:t>low</w:t>
      </w:r>
      <w:r>
        <w:rPr>
          <w:spacing w:val="-4"/>
        </w:rPr>
        <w:t xml:space="preserve"> </w:t>
      </w:r>
      <w:r>
        <w:t>priority</w:t>
      </w:r>
      <w:r>
        <w:rPr>
          <w:spacing w:val="-3"/>
        </w:rPr>
        <w:t xml:space="preserve"> </w:t>
      </w:r>
      <w:r>
        <w:t>measure</w:t>
      </w:r>
      <w:r>
        <w:rPr>
          <w:spacing w:val="-3"/>
        </w:rPr>
        <w:t xml:space="preserve"> </w:t>
      </w:r>
      <w:r>
        <w:t>for updates based on a review of implementation activity and recently published California- specific data sources. The methodology described here is unchanged from the 2021 Study.</w:t>
      </w:r>
    </w:p>
    <w:p w:rsidR="00C31389" w:rsidRDefault="00C31389" w14:paraId="7A1EBCF0" w14:textId="77777777">
      <w:pPr>
        <w:pStyle w:val="BodyText"/>
        <w:spacing w:before="10"/>
        <w:rPr>
          <w:sz w:val="20"/>
        </w:rPr>
      </w:pPr>
    </w:p>
    <w:p w:rsidR="00C31389" w:rsidRDefault="00561FBD" w14:paraId="08433DEC" w14:textId="77777777">
      <w:pPr>
        <w:pStyle w:val="Heading7"/>
        <w:ind w:left="480"/>
        <w:jc w:val="both"/>
      </w:pPr>
      <w:r>
        <w:t>Eligibility</w:t>
      </w:r>
      <w:r>
        <w:rPr>
          <w:spacing w:val="-8"/>
        </w:rPr>
        <w:t xml:space="preserve"> </w:t>
      </w:r>
      <w:r>
        <w:t>and</w:t>
      </w:r>
      <w:r>
        <w:rPr>
          <w:spacing w:val="-7"/>
        </w:rPr>
        <w:t xml:space="preserve"> </w:t>
      </w:r>
      <w:r>
        <w:rPr>
          <w:spacing w:val="-2"/>
        </w:rPr>
        <w:t>Participation</w:t>
      </w:r>
    </w:p>
    <w:p w:rsidR="00C31389" w:rsidRDefault="00C31389" w14:paraId="16AB4E98" w14:textId="77777777">
      <w:pPr>
        <w:pStyle w:val="BodyText"/>
        <w:spacing w:before="10"/>
        <w:rPr>
          <w:b/>
          <w:sz w:val="20"/>
        </w:rPr>
      </w:pPr>
    </w:p>
    <w:p w:rsidR="00C31389" w:rsidRDefault="00561FBD" w14:paraId="44F2D81D" w14:textId="77777777">
      <w:pPr>
        <w:pStyle w:val="BodyText"/>
        <w:ind w:left="479" w:right="418"/>
      </w:pPr>
      <w:r>
        <w:t>All residential customers are considered eligible to participate in competitions. The team determined the estimated participation rate of 6.5% for small competitions by averaging available reported participation rates from SDG&amp;E’s Biggest En</w:t>
      </w:r>
      <w:r>
        <w:t>ergy Saver program, SMECO’s</w:t>
      </w:r>
      <w:r>
        <w:rPr>
          <w:spacing w:val="-4"/>
        </w:rPr>
        <w:t xml:space="preserve"> </w:t>
      </w:r>
      <w:r>
        <w:t>Energy</w:t>
      </w:r>
      <w:r>
        <w:rPr>
          <w:spacing w:val="-4"/>
        </w:rPr>
        <w:t xml:space="preserve"> </w:t>
      </w:r>
      <w:r>
        <w:t>Savings</w:t>
      </w:r>
      <w:r>
        <w:rPr>
          <w:spacing w:val="-4"/>
        </w:rPr>
        <w:t xml:space="preserve"> </w:t>
      </w:r>
      <w:r>
        <w:t>Challenge,</w:t>
      </w:r>
      <w:r>
        <w:rPr>
          <w:spacing w:val="-4"/>
        </w:rPr>
        <w:t xml:space="preserve"> </w:t>
      </w:r>
      <w:r>
        <w:t>and</w:t>
      </w:r>
      <w:r>
        <w:rPr>
          <w:spacing w:val="-4"/>
        </w:rPr>
        <w:t xml:space="preserve"> </w:t>
      </w:r>
      <w:r>
        <w:t>Minnesota</w:t>
      </w:r>
      <w:r>
        <w:rPr>
          <w:spacing w:val="-4"/>
        </w:rPr>
        <w:t xml:space="preserve"> </w:t>
      </w:r>
      <w:r>
        <w:t>Valley</w:t>
      </w:r>
      <w:r>
        <w:rPr>
          <w:spacing w:val="-5"/>
        </w:rPr>
        <w:t xml:space="preserve"> </w:t>
      </w:r>
      <w:r>
        <w:t>Electric</w:t>
      </w:r>
      <w:r>
        <w:rPr>
          <w:spacing w:val="-4"/>
        </w:rPr>
        <w:t xml:space="preserve"> </w:t>
      </w:r>
      <w:r>
        <w:t>Cooperative’s</w:t>
      </w:r>
      <w:r>
        <w:rPr>
          <w:spacing w:val="-6"/>
        </w:rPr>
        <w:t xml:space="preserve"> </w:t>
      </w:r>
      <w:r>
        <w:t>Beat</w:t>
      </w:r>
      <w:r>
        <w:rPr>
          <w:spacing w:val="-4"/>
        </w:rPr>
        <w:t xml:space="preserve"> </w:t>
      </w:r>
      <w:r>
        <w:t>The Peak program.</w:t>
      </w:r>
      <w:r>
        <w:rPr>
          <w:spacing w:val="-39"/>
        </w:rPr>
        <w:t xml:space="preserve"> </w:t>
      </w:r>
      <w:hyperlink w:history="1" w:anchor="_bookmark344">
        <w:r>
          <w:rPr>
            <w:position w:val="7"/>
            <w:sz w:val="14"/>
          </w:rPr>
          <w:t>117</w:t>
        </w:r>
      </w:hyperlink>
      <w:r>
        <w:rPr>
          <w:spacing w:val="25"/>
          <w:position w:val="7"/>
          <w:sz w:val="14"/>
        </w:rPr>
        <w:t xml:space="preserve"> </w:t>
      </w:r>
      <w:r>
        <w:t>CoolCalifornia Challenge</w:t>
      </w:r>
      <w:r>
        <w:rPr>
          <w:spacing w:val="-40"/>
        </w:rPr>
        <w:t xml:space="preserve"> </w:t>
      </w:r>
      <w:hyperlink w:history="1" w:anchor="_bookmark345">
        <w:r>
          <w:rPr>
            <w:position w:val="7"/>
            <w:sz w:val="14"/>
          </w:rPr>
          <w:t>118</w:t>
        </w:r>
      </w:hyperlink>
      <w:r>
        <w:rPr>
          <w:spacing w:val="25"/>
          <w:position w:val="7"/>
          <w:sz w:val="14"/>
        </w:rPr>
        <w:t xml:space="preserve"> </w:t>
      </w:r>
      <w:r>
        <w:t>provided a participation rate of 0.1% for large competitions. This information was supplemented with findings from program reviews</w:t>
      </w:r>
    </w:p>
    <w:p w:rsidR="00C31389" w:rsidRDefault="00C31389" w14:paraId="3359A189" w14:textId="77777777">
      <w:pPr>
        <w:pStyle w:val="BodyText"/>
        <w:rPr>
          <w:sz w:val="20"/>
        </w:rPr>
      </w:pPr>
    </w:p>
    <w:p w:rsidR="00C31389" w:rsidRDefault="00C31389" w14:paraId="1096C5CF" w14:textId="77777777">
      <w:pPr>
        <w:pStyle w:val="BodyText"/>
        <w:rPr>
          <w:sz w:val="20"/>
        </w:rPr>
      </w:pPr>
    </w:p>
    <w:p w:rsidR="00C31389" w:rsidRDefault="00C31389" w14:paraId="032F6328" w14:textId="77777777">
      <w:pPr>
        <w:pStyle w:val="BodyText"/>
        <w:rPr>
          <w:sz w:val="20"/>
        </w:rPr>
      </w:pPr>
    </w:p>
    <w:p w:rsidR="00C31389" w:rsidRDefault="00C31389" w14:paraId="4BFB978C" w14:textId="77777777">
      <w:pPr>
        <w:pStyle w:val="BodyText"/>
        <w:rPr>
          <w:sz w:val="20"/>
        </w:rPr>
      </w:pPr>
    </w:p>
    <w:p w:rsidR="00C31389" w:rsidRDefault="00561FBD" w14:paraId="0DF1C189" w14:textId="77777777">
      <w:pPr>
        <w:pStyle w:val="BodyText"/>
        <w:spacing w:before="1"/>
        <w:rPr>
          <w:sz w:val="14"/>
        </w:rPr>
      </w:pPr>
      <w:r>
        <w:rPr>
          <w:noProof/>
        </w:rPr>
        <mc:AlternateContent>
          <mc:Choice Requires="wps">
            <w:drawing>
              <wp:anchor distT="0" distB="0" distL="0" distR="0" simplePos="0" relativeHeight="487719424" behindDoc="1" locked="0" layoutInCell="1" allowOverlap="1" wp14:editId="4D530AEA" wp14:anchorId="7947AA09">
                <wp:simplePos x="0" y="0"/>
                <wp:positionH relativeFrom="page">
                  <wp:posOffset>914400</wp:posOffset>
                </wp:positionH>
                <wp:positionV relativeFrom="paragraph">
                  <wp:posOffset>118571</wp:posOffset>
                </wp:positionV>
                <wp:extent cx="1828800" cy="6985"/>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13" style="position:absolute;margin-left:1in;margin-top:9.35pt;width:2in;height:.55pt;z-index:-1559705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" w14:anchorId="61D04AF8">
                <v:path arrowok="t"/>
                <w10:wrap type="topAndBottom" anchorx="page"/>
              </v:shape>
            </w:pict>
          </mc:Fallback>
        </mc:AlternateContent>
      </w:r>
    </w:p>
    <w:p w:rsidR="00C31389" w:rsidRDefault="00561FBD" w14:paraId="0E9A6FED" w14:textId="77777777">
      <w:pPr>
        <w:spacing w:before="88"/>
        <w:ind w:left="480" w:right="418"/>
        <w:rPr>
          <w:sz w:val="18"/>
        </w:rPr>
      </w:pPr>
      <w:bookmarkStart w:name="_bookmark344" w:id="454"/>
      <w:bookmarkEnd w:id="454"/>
      <w:r>
        <w:rPr>
          <w:position w:val="6"/>
          <w:sz w:val="12"/>
        </w:rPr>
        <w:t>117</w:t>
      </w:r>
      <w:r>
        <w:rPr>
          <w:spacing w:val="14"/>
          <w:position w:val="6"/>
          <w:sz w:val="12"/>
        </w:rPr>
        <w:t xml:space="preserve"> </w:t>
      </w:r>
      <w:r>
        <w:rPr>
          <w:sz w:val="18"/>
        </w:rPr>
        <w:t>Grossberg,</w:t>
      </w:r>
      <w:r>
        <w:rPr>
          <w:spacing w:val="-3"/>
          <w:sz w:val="18"/>
        </w:rPr>
        <w:t xml:space="preserve"> </w:t>
      </w:r>
      <w:r>
        <w:rPr>
          <w:sz w:val="18"/>
        </w:rPr>
        <w:t>Frederick;</w:t>
      </w:r>
      <w:r>
        <w:rPr>
          <w:spacing w:val="-3"/>
          <w:sz w:val="18"/>
        </w:rPr>
        <w:t xml:space="preserve"> </w:t>
      </w:r>
      <w:r>
        <w:rPr>
          <w:sz w:val="18"/>
        </w:rPr>
        <w:t>Wolfson,</w:t>
      </w:r>
      <w:r>
        <w:rPr>
          <w:spacing w:val="-3"/>
          <w:sz w:val="18"/>
        </w:rPr>
        <w:t xml:space="preserve"> </w:t>
      </w:r>
      <w:r>
        <w:rPr>
          <w:sz w:val="18"/>
        </w:rPr>
        <w:t>Mariel;</w:t>
      </w:r>
      <w:r>
        <w:rPr>
          <w:spacing w:val="-3"/>
          <w:sz w:val="18"/>
        </w:rPr>
        <w:t xml:space="preserve"> </w:t>
      </w:r>
      <w:r>
        <w:rPr>
          <w:sz w:val="18"/>
        </w:rPr>
        <w:t>Mazur-Stommen,</w:t>
      </w:r>
      <w:r>
        <w:rPr>
          <w:spacing w:val="-2"/>
          <w:sz w:val="18"/>
        </w:rPr>
        <w:t xml:space="preserve"> </w:t>
      </w:r>
      <w:r>
        <w:rPr>
          <w:sz w:val="18"/>
        </w:rPr>
        <w:t>Susan;</w:t>
      </w:r>
      <w:r>
        <w:rPr>
          <w:spacing w:val="-3"/>
          <w:sz w:val="18"/>
        </w:rPr>
        <w:t xml:space="preserve"> </w:t>
      </w:r>
      <w:r>
        <w:rPr>
          <w:sz w:val="18"/>
        </w:rPr>
        <w:t>Farley,</w:t>
      </w:r>
      <w:r>
        <w:rPr>
          <w:spacing w:val="-2"/>
          <w:sz w:val="18"/>
        </w:rPr>
        <w:t xml:space="preserve"> </w:t>
      </w:r>
      <w:r>
        <w:rPr>
          <w:sz w:val="18"/>
        </w:rPr>
        <w:t>Kate;</w:t>
      </w:r>
      <w:r>
        <w:rPr>
          <w:spacing w:val="-3"/>
          <w:sz w:val="18"/>
        </w:rPr>
        <w:t xml:space="preserve"> </w:t>
      </w:r>
      <w:r>
        <w:rPr>
          <w:sz w:val="18"/>
        </w:rPr>
        <w:t>and</w:t>
      </w:r>
      <w:r>
        <w:rPr>
          <w:spacing w:val="-4"/>
          <w:sz w:val="18"/>
        </w:rPr>
        <w:t xml:space="preserve"> </w:t>
      </w:r>
      <w:r>
        <w:rPr>
          <w:sz w:val="18"/>
        </w:rPr>
        <w:t>Steven</w:t>
      </w:r>
      <w:r>
        <w:rPr>
          <w:spacing w:val="-4"/>
          <w:sz w:val="18"/>
        </w:rPr>
        <w:t xml:space="preserve"> </w:t>
      </w:r>
      <w:r>
        <w:rPr>
          <w:sz w:val="18"/>
        </w:rPr>
        <w:t>Nadel.</w:t>
      </w:r>
      <w:r>
        <w:rPr>
          <w:spacing w:val="-3"/>
          <w:sz w:val="18"/>
        </w:rPr>
        <w:t xml:space="preserve"> </w:t>
      </w:r>
      <w:r>
        <w:rPr>
          <w:sz w:val="18"/>
        </w:rPr>
        <w:t>2015. (February) “Gamified Energy Efficiency Programs.” ACEEE Report B1501.</w:t>
      </w:r>
    </w:p>
    <w:p w:rsidR="00C31389" w:rsidRDefault="00561FBD" w14:paraId="55C491B1" w14:textId="77777777">
      <w:pPr>
        <w:spacing w:before="35"/>
        <w:ind w:left="479" w:right="418"/>
        <w:rPr>
          <w:sz w:val="18"/>
        </w:rPr>
      </w:pPr>
      <w:bookmarkStart w:name="_bookmark345" w:id="455"/>
      <w:bookmarkEnd w:id="455"/>
      <w:r>
        <w:rPr>
          <w:position w:val="6"/>
          <w:sz w:val="12"/>
        </w:rPr>
        <w:t>118</w:t>
      </w:r>
      <w:r>
        <w:rPr>
          <w:spacing w:val="25"/>
          <w:position w:val="6"/>
          <w:sz w:val="12"/>
        </w:rPr>
        <w:t xml:space="preserve"> </w:t>
      </w:r>
      <w:r>
        <w:rPr>
          <w:sz w:val="18"/>
        </w:rPr>
        <w:t>PG&amp;E provided the following reference: Jones, Christopher M. and Kammen, Daniel M. 2014. “The CoolCalifornia</w:t>
      </w:r>
      <w:r>
        <w:rPr>
          <w:spacing w:val="-3"/>
          <w:sz w:val="18"/>
        </w:rPr>
        <w:t xml:space="preserve"> </w:t>
      </w:r>
      <w:r>
        <w:rPr>
          <w:sz w:val="18"/>
        </w:rPr>
        <w:t>Challenge:</w:t>
      </w:r>
      <w:r>
        <w:rPr>
          <w:spacing w:val="-4"/>
          <w:sz w:val="18"/>
        </w:rPr>
        <w:t xml:space="preserve"> </w:t>
      </w:r>
      <w:r>
        <w:rPr>
          <w:sz w:val="18"/>
        </w:rPr>
        <w:t>A</w:t>
      </w:r>
      <w:r>
        <w:rPr>
          <w:spacing w:val="-4"/>
          <w:sz w:val="18"/>
        </w:rPr>
        <w:t xml:space="preserve"> </w:t>
      </w:r>
      <w:r>
        <w:rPr>
          <w:sz w:val="18"/>
        </w:rPr>
        <w:t>Pilot</w:t>
      </w:r>
      <w:r>
        <w:rPr>
          <w:spacing w:val="-4"/>
          <w:sz w:val="18"/>
        </w:rPr>
        <w:t xml:space="preserve"> </w:t>
      </w:r>
      <w:r>
        <w:rPr>
          <w:sz w:val="18"/>
        </w:rPr>
        <w:t>Inter-City</w:t>
      </w:r>
      <w:r>
        <w:rPr>
          <w:spacing w:val="-4"/>
          <w:sz w:val="18"/>
        </w:rPr>
        <w:t xml:space="preserve"> </w:t>
      </w:r>
      <w:r>
        <w:rPr>
          <w:sz w:val="18"/>
        </w:rPr>
        <w:t>Household</w:t>
      </w:r>
      <w:r>
        <w:rPr>
          <w:spacing w:val="-5"/>
          <w:sz w:val="18"/>
        </w:rPr>
        <w:t xml:space="preserve"> </w:t>
      </w:r>
      <w:r>
        <w:rPr>
          <w:sz w:val="18"/>
        </w:rPr>
        <w:t>Carbon</w:t>
      </w:r>
      <w:r>
        <w:rPr>
          <w:spacing w:val="-5"/>
          <w:sz w:val="18"/>
        </w:rPr>
        <w:t xml:space="preserve"> </w:t>
      </w:r>
      <w:r>
        <w:rPr>
          <w:sz w:val="18"/>
        </w:rPr>
        <w:t>Footpr</w:t>
      </w:r>
      <w:r>
        <w:rPr>
          <w:sz w:val="18"/>
        </w:rPr>
        <w:t>int</w:t>
      </w:r>
      <w:r>
        <w:rPr>
          <w:spacing w:val="-4"/>
          <w:sz w:val="18"/>
        </w:rPr>
        <w:t xml:space="preserve"> </w:t>
      </w:r>
      <w:r>
        <w:rPr>
          <w:sz w:val="18"/>
        </w:rPr>
        <w:t>Reduction</w:t>
      </w:r>
      <w:r>
        <w:rPr>
          <w:spacing w:val="-5"/>
          <w:sz w:val="18"/>
        </w:rPr>
        <w:t xml:space="preserve"> </w:t>
      </w:r>
      <w:r>
        <w:rPr>
          <w:sz w:val="18"/>
        </w:rPr>
        <w:t>Competition.”</w:t>
      </w:r>
      <w:r>
        <w:rPr>
          <w:spacing w:val="-4"/>
          <w:sz w:val="18"/>
        </w:rPr>
        <w:t xml:space="preserve"> </w:t>
      </w:r>
      <w:r>
        <w:rPr>
          <w:sz w:val="18"/>
        </w:rPr>
        <w:t xml:space="preserve">Contract Number: 10-325, California Air Resources Board. </w:t>
      </w:r>
      <w:hyperlink r:id="rId263">
        <w:r>
          <w:rPr>
            <w:color w:val="68942C"/>
            <w:sz w:val="18"/>
            <w:u w:val="single" w:color="68942C"/>
          </w:rPr>
          <w:t>https://www.arb.ca.gov/research/apr/past/10-325.pdf</w:t>
        </w:r>
      </w:hyperlink>
    </w:p>
    <w:p w:rsidR="00C31389" w:rsidRDefault="00C31389" w14:paraId="71160EC9" w14:textId="77777777">
      <w:pPr>
        <w:rPr>
          <w:sz w:val="18"/>
        </w:rPr>
        <w:sectPr w:rsidR="00C31389">
          <w:pgSz w:w="11910" w:h="16840"/>
          <w:pgMar w:top="1660" w:right="1020" w:bottom="1120" w:left="960" w:header="397" w:footer="938" w:gutter="0"/>
          <w:cols w:space="720"/>
        </w:sectPr>
      </w:pPr>
    </w:p>
    <w:p w:rsidR="00C31389" w:rsidRDefault="00C31389" w14:paraId="76422CE7" w14:textId="77777777">
      <w:pPr>
        <w:pStyle w:val="BodyText"/>
        <w:spacing w:before="11"/>
        <w:rPr>
          <w:sz w:val="13"/>
        </w:rPr>
      </w:pPr>
    </w:p>
    <w:p w:rsidR="00C31389" w:rsidRDefault="00561FBD" w14:paraId="63C18BBB" w14:textId="77777777">
      <w:pPr>
        <w:pStyle w:val="BodyText"/>
        <w:spacing w:before="92"/>
        <w:ind w:left="480" w:right="418" w:hanging="1"/>
        <w:rPr>
          <w:sz w:val="14"/>
        </w:rPr>
      </w:pPr>
      <w:r>
        <w:t>conducted</w:t>
      </w:r>
      <w:r>
        <w:rPr>
          <w:spacing w:val="-4"/>
        </w:rPr>
        <w:t xml:space="preserve"> </w:t>
      </w:r>
      <w:r>
        <w:t>by</w:t>
      </w:r>
      <w:r>
        <w:rPr>
          <w:spacing w:val="-3"/>
        </w:rPr>
        <w:t xml:space="preserve"> </w:t>
      </w:r>
      <w:r>
        <w:t>the</w:t>
      </w:r>
      <w:r>
        <w:rPr>
          <w:spacing w:val="-3"/>
        </w:rPr>
        <w:t xml:space="preserve"> </w:t>
      </w:r>
      <w:r>
        <w:t>Consortium</w:t>
      </w:r>
      <w:r>
        <w:rPr>
          <w:spacing w:val="-4"/>
        </w:rPr>
        <w:t xml:space="preserve"> </w:t>
      </w:r>
      <w:r>
        <w:t>for</w:t>
      </w:r>
      <w:r>
        <w:rPr>
          <w:spacing w:val="-3"/>
        </w:rPr>
        <w:t xml:space="preserve"> </w:t>
      </w:r>
      <w:r>
        <w:t>Energy</w:t>
      </w:r>
      <w:r>
        <w:rPr>
          <w:spacing w:val="-3"/>
        </w:rPr>
        <w:t xml:space="preserve"> </w:t>
      </w:r>
      <w:r>
        <w:t>Efficiency,</w:t>
      </w:r>
      <w:r>
        <w:rPr>
          <w:spacing w:val="-42"/>
        </w:rPr>
        <w:t xml:space="preserve"> </w:t>
      </w:r>
      <w:hyperlink w:history="1" w:anchor="_bookmark346">
        <w:r>
          <w:rPr>
            <w:position w:val="7"/>
            <w:sz w:val="14"/>
          </w:rPr>
          <w:t>119</w:t>
        </w:r>
      </w:hyperlink>
      <w:r>
        <w:rPr>
          <w:spacing w:val="18"/>
          <w:position w:val="7"/>
          <w:sz w:val="14"/>
        </w:rPr>
        <w:t xml:space="preserve"> </w:t>
      </w:r>
      <w:r>
        <w:t>American</w:t>
      </w:r>
      <w:r>
        <w:rPr>
          <w:spacing w:val="-3"/>
        </w:rPr>
        <w:t xml:space="preserve"> </w:t>
      </w:r>
      <w:r>
        <w:t>Council</w:t>
      </w:r>
      <w:r>
        <w:rPr>
          <w:spacing w:val="-3"/>
        </w:rPr>
        <w:t xml:space="preserve"> </w:t>
      </w:r>
      <w:r>
        <w:t>for</w:t>
      </w:r>
      <w:r>
        <w:rPr>
          <w:spacing w:val="-3"/>
        </w:rPr>
        <w:t xml:space="preserve"> </w:t>
      </w:r>
      <w:r>
        <w:t>an</w:t>
      </w:r>
      <w:r>
        <w:rPr>
          <w:spacing w:val="-3"/>
        </w:rPr>
        <w:t xml:space="preserve"> </w:t>
      </w:r>
      <w:r>
        <w:t>Energy Efficient Economy,</w:t>
      </w:r>
      <w:r>
        <w:rPr>
          <w:spacing w:val="-31"/>
        </w:rPr>
        <w:t xml:space="preserve"> </w:t>
      </w:r>
      <w:hyperlink w:history="1" w:anchor="_bookmark347">
        <w:r>
          <w:rPr>
            <w:position w:val="7"/>
            <w:sz w:val="14"/>
          </w:rPr>
          <w:t>120</w:t>
        </w:r>
      </w:hyperlink>
      <w:r>
        <w:rPr>
          <w:spacing w:val="40"/>
          <w:position w:val="7"/>
          <w:sz w:val="14"/>
        </w:rPr>
        <w:t xml:space="preserve"> </w:t>
      </w:r>
      <w:r>
        <w:t>and Illume Advising.</w:t>
      </w:r>
      <w:r>
        <w:rPr>
          <w:spacing w:val="-31"/>
        </w:rPr>
        <w:t xml:space="preserve"> </w:t>
      </w:r>
      <w:hyperlink w:history="1" w:anchor="_bookmark348">
        <w:r>
          <w:rPr>
            <w:position w:val="7"/>
            <w:sz w:val="14"/>
          </w:rPr>
          <w:t>121</w:t>
        </w:r>
      </w:hyperlink>
    </w:p>
    <w:p w:rsidR="00C31389" w:rsidRDefault="00C31389" w14:paraId="131A81D8" w14:textId="77777777">
      <w:pPr>
        <w:pStyle w:val="BodyText"/>
        <w:spacing w:before="9"/>
        <w:rPr>
          <w:sz w:val="20"/>
        </w:rPr>
      </w:pPr>
    </w:p>
    <w:p w:rsidR="00C31389" w:rsidRDefault="00561FBD" w14:paraId="7AF3E713" w14:textId="77777777">
      <w:pPr>
        <w:pStyle w:val="BodyText"/>
        <w:spacing w:before="1"/>
        <w:ind w:left="479" w:right="418"/>
      </w:pPr>
      <w:r>
        <w:t>Penetrati</w:t>
      </w:r>
      <w:r>
        <w:t>on rates assume that small competitions are conducted by each utility with a consistent target population of 10,000 households per year each year between 2021 and 2032.</w:t>
      </w:r>
      <w:r>
        <w:rPr>
          <w:spacing w:val="-3"/>
        </w:rPr>
        <w:t xml:space="preserve"> </w:t>
      </w:r>
      <w:r>
        <w:t>The</w:t>
      </w:r>
      <w:r>
        <w:rPr>
          <w:spacing w:val="-3"/>
        </w:rPr>
        <w:t xml:space="preserve"> </w:t>
      </w:r>
      <w:r>
        <w:t>starting</w:t>
      </w:r>
      <w:r>
        <w:rPr>
          <w:spacing w:val="-3"/>
        </w:rPr>
        <w:t xml:space="preserve"> </w:t>
      </w:r>
      <w:r>
        <w:t>saturation</w:t>
      </w:r>
      <w:r>
        <w:rPr>
          <w:spacing w:val="-3"/>
        </w:rPr>
        <w:t xml:space="preserve"> </w:t>
      </w:r>
      <w:r>
        <w:t>is</w:t>
      </w:r>
      <w:r>
        <w:rPr>
          <w:spacing w:val="-3"/>
        </w:rPr>
        <w:t xml:space="preserve"> </w:t>
      </w:r>
      <w:r>
        <w:t>determined</w:t>
      </w:r>
      <w:r>
        <w:rPr>
          <w:spacing w:val="-3"/>
        </w:rPr>
        <w:t xml:space="preserve"> </w:t>
      </w:r>
      <w:r>
        <w:t>by</w:t>
      </w:r>
      <w:r>
        <w:rPr>
          <w:spacing w:val="-3"/>
        </w:rPr>
        <w:t xml:space="preserve"> </w:t>
      </w:r>
      <w:r>
        <w:t>dividing</w:t>
      </w:r>
      <w:r>
        <w:rPr>
          <w:spacing w:val="-3"/>
        </w:rPr>
        <w:t xml:space="preserve"> </w:t>
      </w:r>
      <w:r>
        <w:t>10,000</w:t>
      </w:r>
      <w:r>
        <w:rPr>
          <w:spacing w:val="-3"/>
        </w:rPr>
        <w:t xml:space="preserve"> </w:t>
      </w:r>
      <w:r>
        <w:t>by</w:t>
      </w:r>
      <w:r>
        <w:rPr>
          <w:spacing w:val="-3"/>
        </w:rPr>
        <w:t xml:space="preserve"> </w:t>
      </w:r>
      <w:r>
        <w:t>the</w:t>
      </w:r>
      <w:r>
        <w:rPr>
          <w:spacing w:val="-3"/>
        </w:rPr>
        <w:t xml:space="preserve"> </w:t>
      </w:r>
      <w:r>
        <w:t>number</w:t>
      </w:r>
      <w:r>
        <w:rPr>
          <w:spacing w:val="-3"/>
        </w:rPr>
        <w:t xml:space="preserve"> </w:t>
      </w:r>
      <w:r>
        <w:t>of</w:t>
      </w:r>
      <w:r>
        <w:rPr>
          <w:spacing w:val="-3"/>
        </w:rPr>
        <w:t xml:space="preserve"> </w:t>
      </w:r>
      <w:r>
        <w:t>residential h</w:t>
      </w:r>
      <w:r>
        <w:t>ouseholds per utility and multiplying that value by the 6.5% participation rate. These treatment groups could be small towns, neighborhoods within larger cities, or a similar population group.</w:t>
      </w:r>
    </w:p>
    <w:p w:rsidR="00C31389" w:rsidRDefault="00C31389" w14:paraId="79F4B929" w14:textId="77777777">
      <w:pPr>
        <w:pStyle w:val="BodyText"/>
        <w:spacing w:before="9"/>
        <w:rPr>
          <w:sz w:val="20"/>
        </w:rPr>
      </w:pPr>
    </w:p>
    <w:p w:rsidR="00C31389" w:rsidRDefault="00561FBD" w14:paraId="3C706470" w14:textId="77777777">
      <w:pPr>
        <w:pStyle w:val="BodyText"/>
        <w:spacing w:before="1"/>
        <w:ind w:left="479" w:right="615"/>
      </w:pPr>
      <w:r>
        <w:t>Penetration</w:t>
      </w:r>
      <w:r>
        <w:rPr>
          <w:spacing w:val="-3"/>
        </w:rPr>
        <w:t xml:space="preserve"> </w:t>
      </w:r>
      <w:r>
        <w:t>rates</w:t>
      </w:r>
      <w:r>
        <w:rPr>
          <w:spacing w:val="-3"/>
        </w:rPr>
        <w:t xml:space="preserve"> </w:t>
      </w:r>
      <w:r>
        <w:t>for</w:t>
      </w:r>
      <w:r>
        <w:rPr>
          <w:spacing w:val="-3"/>
        </w:rPr>
        <w:t xml:space="preserve"> </w:t>
      </w:r>
      <w:r>
        <w:t>large</w:t>
      </w:r>
      <w:r>
        <w:rPr>
          <w:spacing w:val="-3"/>
        </w:rPr>
        <w:t xml:space="preserve"> </w:t>
      </w:r>
      <w:r>
        <w:t>competitions</w:t>
      </w:r>
      <w:r>
        <w:rPr>
          <w:spacing w:val="-3"/>
        </w:rPr>
        <w:t xml:space="preserve"> </w:t>
      </w:r>
      <w:r>
        <w:t>are</w:t>
      </w:r>
      <w:r>
        <w:rPr>
          <w:spacing w:val="-3"/>
        </w:rPr>
        <w:t xml:space="preserve"> </w:t>
      </w:r>
      <w:r>
        <w:t>based</w:t>
      </w:r>
      <w:r>
        <w:rPr>
          <w:spacing w:val="-3"/>
        </w:rPr>
        <w:t xml:space="preserve"> </w:t>
      </w:r>
      <w:r>
        <w:t>on</w:t>
      </w:r>
      <w:r>
        <w:rPr>
          <w:spacing w:val="-3"/>
        </w:rPr>
        <w:t xml:space="preserve"> </w:t>
      </w:r>
      <w:r>
        <w:t>the</w:t>
      </w:r>
      <w:r>
        <w:rPr>
          <w:spacing w:val="-3"/>
        </w:rPr>
        <w:t xml:space="preserve"> </w:t>
      </w:r>
      <w:r>
        <w:t>participation</w:t>
      </w:r>
      <w:r>
        <w:rPr>
          <w:spacing w:val="-3"/>
        </w:rPr>
        <w:t xml:space="preserve"> </w:t>
      </w:r>
      <w:r>
        <w:t>rate</w:t>
      </w:r>
      <w:r>
        <w:rPr>
          <w:spacing w:val="-3"/>
        </w:rPr>
        <w:t xml:space="preserve"> </w:t>
      </w:r>
      <w:r>
        <w:t>and</w:t>
      </w:r>
      <w:r>
        <w:rPr>
          <w:spacing w:val="-3"/>
        </w:rPr>
        <w:t xml:space="preserve"> </w:t>
      </w:r>
      <w:r>
        <w:t>a</w:t>
      </w:r>
      <w:r>
        <w:rPr>
          <w:spacing w:val="-3"/>
        </w:rPr>
        <w:t xml:space="preserve"> </w:t>
      </w:r>
      <w:r>
        <w:t>targeted percentage of utility households. The analysis assumes for large competitions that each utility targets 10% of its residential customers between 2021 and 2023, rising to 15% of customers from 2024 to 2026 before increasing</w:t>
      </w:r>
      <w:r>
        <w:t xml:space="preserve"> to 20% in 2027 and 25% in 2030.</w:t>
      </w:r>
    </w:p>
    <w:p w:rsidR="00C31389" w:rsidRDefault="00C31389" w14:paraId="3EC9F0FB" w14:textId="77777777">
      <w:pPr>
        <w:pStyle w:val="BodyText"/>
        <w:spacing w:before="10"/>
        <w:rPr>
          <w:sz w:val="20"/>
        </w:rPr>
      </w:pPr>
    </w:p>
    <w:p w:rsidR="00C31389" w:rsidRDefault="00561FBD" w14:paraId="642EB448" w14:textId="77777777">
      <w:pPr>
        <w:pStyle w:val="Heading7"/>
        <w:spacing w:before="1"/>
        <w:ind w:left="479"/>
      </w:pPr>
      <w:r>
        <w:rPr>
          <w:spacing w:val="-2"/>
        </w:rPr>
        <w:t>Savings</w:t>
      </w:r>
    </w:p>
    <w:p w:rsidR="00C31389" w:rsidRDefault="00C31389" w14:paraId="6EC72BF5" w14:textId="77777777">
      <w:pPr>
        <w:pStyle w:val="BodyText"/>
        <w:spacing w:before="8"/>
        <w:rPr>
          <w:b/>
          <w:sz w:val="20"/>
        </w:rPr>
      </w:pPr>
    </w:p>
    <w:p w:rsidR="00C31389" w:rsidRDefault="00561FBD" w14:paraId="69EE553B" w14:textId="77777777">
      <w:pPr>
        <w:pStyle w:val="BodyText"/>
        <w:spacing w:before="1"/>
        <w:ind w:left="479" w:right="505"/>
        <w:rPr>
          <w:sz w:val="14"/>
        </w:rPr>
      </w:pPr>
      <w:r>
        <w:t>The team averaged the percentage of kWh savings for small competitions, arriving at a value</w:t>
      </w:r>
      <w:r>
        <w:rPr>
          <w:spacing w:val="-4"/>
        </w:rPr>
        <w:t xml:space="preserve"> </w:t>
      </w:r>
      <w:r>
        <w:t>of</w:t>
      </w:r>
      <w:r>
        <w:rPr>
          <w:spacing w:val="-3"/>
        </w:rPr>
        <w:t xml:space="preserve"> </w:t>
      </w:r>
      <w:r>
        <w:t>8.1%;</w:t>
      </w:r>
      <w:r>
        <w:rPr>
          <w:spacing w:val="-3"/>
        </w:rPr>
        <w:t xml:space="preserve"> </w:t>
      </w:r>
      <w:r>
        <w:t>the</w:t>
      </w:r>
      <w:r>
        <w:rPr>
          <w:spacing w:val="-3"/>
        </w:rPr>
        <w:t xml:space="preserve"> </w:t>
      </w:r>
      <w:r>
        <w:t>CoolCalifornia</w:t>
      </w:r>
      <w:r>
        <w:rPr>
          <w:spacing w:val="-3"/>
        </w:rPr>
        <w:t xml:space="preserve"> </w:t>
      </w:r>
      <w:r>
        <w:t>Challenge</w:t>
      </w:r>
      <w:r>
        <w:rPr>
          <w:spacing w:val="-3"/>
        </w:rPr>
        <w:t xml:space="preserve"> </w:t>
      </w:r>
      <w:r>
        <w:t>reported</w:t>
      </w:r>
      <w:r>
        <w:rPr>
          <w:spacing w:val="-3"/>
        </w:rPr>
        <w:t xml:space="preserve"> </w:t>
      </w:r>
      <w:r>
        <w:t>14%</w:t>
      </w:r>
      <w:r>
        <w:rPr>
          <w:spacing w:val="-3"/>
        </w:rPr>
        <w:t xml:space="preserve"> </w:t>
      </w:r>
      <w:r>
        <w:t>savings</w:t>
      </w:r>
      <w:r>
        <w:rPr>
          <w:spacing w:val="-3"/>
        </w:rPr>
        <w:t xml:space="preserve"> </w:t>
      </w:r>
      <w:r>
        <w:t>for</w:t>
      </w:r>
      <w:r>
        <w:rPr>
          <w:spacing w:val="-5"/>
        </w:rPr>
        <w:t xml:space="preserve"> </w:t>
      </w:r>
      <w:r>
        <w:t>large</w:t>
      </w:r>
      <w:r>
        <w:rPr>
          <w:spacing w:val="-3"/>
        </w:rPr>
        <w:t xml:space="preserve"> </w:t>
      </w:r>
      <w:r>
        <w:t>competitions.</w:t>
      </w:r>
      <w:r>
        <w:rPr>
          <w:spacing w:val="-40"/>
        </w:rPr>
        <w:t xml:space="preserve"> </w:t>
      </w:r>
      <w:hyperlink w:history="1" w:anchor="_bookmark349">
        <w:r>
          <w:rPr>
            <w:position w:val="7"/>
            <w:sz w:val="14"/>
          </w:rPr>
          <w:t>122</w:t>
        </w:r>
      </w:hyperlink>
      <w:r>
        <w:rPr>
          <w:spacing w:val="40"/>
          <w:position w:val="7"/>
          <w:sz w:val="14"/>
        </w:rPr>
        <w:t xml:space="preserve"> </w:t>
      </w:r>
      <w:r>
        <w:t xml:space="preserve">Gas savings of 5.3% are used for small and large competitions and are based on an average of an ACEEE review of three programs that report gas savings between 0.4% and </w:t>
      </w:r>
      <w:r>
        <w:rPr>
          <w:spacing w:val="-2"/>
        </w:rPr>
        <w:t>10%.</w:t>
      </w:r>
      <w:hyperlink w:history="1" w:anchor="_bookmark350">
        <w:r>
          <w:rPr>
            <w:spacing w:val="-2"/>
            <w:position w:val="7"/>
            <w:sz w:val="14"/>
          </w:rPr>
          <w:t>123</w:t>
        </w:r>
      </w:hyperlink>
    </w:p>
    <w:p w:rsidR="00C31389" w:rsidRDefault="00C31389" w14:paraId="7748A2C1" w14:textId="77777777">
      <w:pPr>
        <w:pStyle w:val="BodyText"/>
        <w:spacing w:before="9"/>
        <w:rPr>
          <w:sz w:val="20"/>
        </w:rPr>
      </w:pPr>
    </w:p>
    <w:p w:rsidR="00C31389" w:rsidRDefault="00561FBD" w14:paraId="3898BCA7" w14:textId="77777777">
      <w:pPr>
        <w:pStyle w:val="BodyText"/>
        <w:spacing w:before="1"/>
        <w:ind w:left="480" w:right="418"/>
      </w:pPr>
      <w:r>
        <w:t>Because competitions can be run for different lengths of time, lasting from a few months to multiple</w:t>
      </w:r>
      <w:r>
        <w:rPr>
          <w:spacing w:val="-3"/>
        </w:rPr>
        <w:t xml:space="preserve"> </w:t>
      </w:r>
      <w:r>
        <w:t>years,</w:t>
      </w:r>
      <w:r>
        <w:rPr>
          <w:spacing w:val="-3"/>
        </w:rPr>
        <w:t xml:space="preserve"> </w:t>
      </w:r>
      <w:r>
        <w:t>the</w:t>
      </w:r>
      <w:r>
        <w:rPr>
          <w:spacing w:val="-3"/>
        </w:rPr>
        <w:t xml:space="preserve"> </w:t>
      </w:r>
      <w:r>
        <w:t>Guidehouse</w:t>
      </w:r>
      <w:r>
        <w:rPr>
          <w:spacing w:val="-2"/>
        </w:rPr>
        <w:t xml:space="preserve"> </w:t>
      </w:r>
      <w:r>
        <w:t>team</w:t>
      </w:r>
      <w:r>
        <w:rPr>
          <w:spacing w:val="-4"/>
        </w:rPr>
        <w:t xml:space="preserve"> </w:t>
      </w:r>
      <w:r>
        <w:t>standardized</w:t>
      </w:r>
      <w:r>
        <w:rPr>
          <w:spacing w:val="-3"/>
        </w:rPr>
        <w:t xml:space="preserve"> </w:t>
      </w:r>
      <w:r>
        <w:t>the</w:t>
      </w:r>
      <w:r>
        <w:rPr>
          <w:spacing w:val="-3"/>
        </w:rPr>
        <w:t xml:space="preserve"> </w:t>
      </w:r>
      <w:r>
        <w:t>model</w:t>
      </w:r>
      <w:r>
        <w:rPr>
          <w:spacing w:val="-3"/>
        </w:rPr>
        <w:t xml:space="preserve"> </w:t>
      </w:r>
      <w:r>
        <w:t>on</w:t>
      </w:r>
      <w:r>
        <w:rPr>
          <w:spacing w:val="-3"/>
        </w:rPr>
        <w:t xml:space="preserve"> </w:t>
      </w:r>
      <w:r>
        <w:t>an</w:t>
      </w:r>
      <w:r>
        <w:rPr>
          <w:spacing w:val="-3"/>
        </w:rPr>
        <w:t xml:space="preserve"> </w:t>
      </w:r>
      <w:r>
        <w:t>EUL</w:t>
      </w:r>
      <w:r>
        <w:rPr>
          <w:spacing w:val="-3"/>
        </w:rPr>
        <w:t xml:space="preserve"> </w:t>
      </w:r>
      <w:r>
        <w:t>of</w:t>
      </w:r>
      <w:r>
        <w:rPr>
          <w:spacing w:val="-3"/>
        </w:rPr>
        <w:t xml:space="preserve"> </w:t>
      </w:r>
      <w:r>
        <w:t>1</w:t>
      </w:r>
      <w:r>
        <w:rPr>
          <w:spacing w:val="-3"/>
        </w:rPr>
        <w:t xml:space="preserve"> </w:t>
      </w:r>
      <w:r>
        <w:t>year</w:t>
      </w:r>
      <w:r>
        <w:rPr>
          <w:spacing w:val="-2"/>
        </w:rPr>
        <w:t xml:space="preserve"> </w:t>
      </w:r>
      <w:r>
        <w:t>(the</w:t>
      </w:r>
      <w:r>
        <w:rPr>
          <w:spacing w:val="-3"/>
        </w:rPr>
        <w:t xml:space="preserve"> </w:t>
      </w:r>
      <w:r>
        <w:t xml:space="preserve">same EUL applied for </w:t>
      </w:r>
      <w:r>
        <w:t>other residential interventions). Because insufficient demand savings data was available for residential competitions, the team applied the ratio used for HERs for the three electric utilities.</w:t>
      </w:r>
    </w:p>
    <w:p w:rsidR="00C31389" w:rsidRDefault="00C31389" w14:paraId="568A13EE" w14:textId="77777777">
      <w:pPr>
        <w:pStyle w:val="BodyText"/>
        <w:spacing w:before="11"/>
        <w:rPr>
          <w:sz w:val="20"/>
        </w:rPr>
      </w:pPr>
    </w:p>
    <w:p w:rsidR="00C31389" w:rsidRDefault="00561FBD" w14:paraId="0A2B7352" w14:textId="77777777">
      <w:pPr>
        <w:pStyle w:val="Heading7"/>
        <w:ind w:left="480"/>
      </w:pPr>
      <w:r>
        <w:rPr>
          <w:spacing w:val="-4"/>
        </w:rPr>
        <w:t>Cost</w:t>
      </w:r>
    </w:p>
    <w:p w:rsidR="00C31389" w:rsidRDefault="00C31389" w14:paraId="3FF3CCCF" w14:textId="77777777">
      <w:pPr>
        <w:pStyle w:val="BodyText"/>
        <w:spacing w:before="9"/>
        <w:rPr>
          <w:b/>
          <w:sz w:val="20"/>
        </w:rPr>
      </w:pPr>
    </w:p>
    <w:p w:rsidR="00C31389" w:rsidRDefault="00561FBD" w14:paraId="0704E7A3" w14:textId="77777777">
      <w:pPr>
        <w:pStyle w:val="BodyText"/>
        <w:ind w:left="479" w:right="529"/>
      </w:pPr>
      <w:r>
        <w:t>Costs associated with competitions are largely associat</w:t>
      </w:r>
      <w:r>
        <w:t>ed with program administration and game-related prizes. The Guidehouse team used data gathered from the 2015 ACEEE’s report on EE and gamification and information from the Consortium for Energy Efficiency database of behavioral programs</w:t>
      </w:r>
      <w:hyperlink w:history="1" w:anchor="_bookmark351">
        <w:r>
          <w:rPr>
            <w:position w:val="7"/>
            <w:sz w:val="14"/>
          </w:rPr>
          <w:t>124</w:t>
        </w:r>
      </w:hyperlink>
      <w:r>
        <w:rPr>
          <w:spacing w:val="33"/>
          <w:position w:val="7"/>
          <w:sz w:val="14"/>
        </w:rPr>
        <w:t xml:space="preserve"> </w:t>
      </w:r>
      <w:r>
        <w:t>to create cost estimates for small and large behavior- based</w:t>
      </w:r>
      <w:r>
        <w:rPr>
          <w:spacing w:val="-3"/>
        </w:rPr>
        <w:t xml:space="preserve"> </w:t>
      </w:r>
      <w:r>
        <w:t>competitions.</w:t>
      </w:r>
      <w:r>
        <w:rPr>
          <w:spacing w:val="-3"/>
        </w:rPr>
        <w:t xml:space="preserve"> </w:t>
      </w:r>
      <w:r>
        <w:t>The</w:t>
      </w:r>
      <w:r>
        <w:rPr>
          <w:spacing w:val="-4"/>
        </w:rPr>
        <w:t xml:space="preserve"> </w:t>
      </w:r>
      <w:r>
        <w:t>team</w:t>
      </w:r>
      <w:r>
        <w:rPr>
          <w:spacing w:val="-4"/>
        </w:rPr>
        <w:t xml:space="preserve"> </w:t>
      </w:r>
      <w:r>
        <w:t>approached</w:t>
      </w:r>
      <w:r>
        <w:rPr>
          <w:spacing w:val="-3"/>
        </w:rPr>
        <w:t xml:space="preserve"> </w:t>
      </w:r>
      <w:r>
        <w:t>the</w:t>
      </w:r>
      <w:r>
        <w:rPr>
          <w:spacing w:val="-3"/>
        </w:rPr>
        <w:t xml:space="preserve"> </w:t>
      </w:r>
      <w:r>
        <w:t>calculations</w:t>
      </w:r>
      <w:r>
        <w:rPr>
          <w:spacing w:val="-3"/>
        </w:rPr>
        <w:t xml:space="preserve"> </w:t>
      </w:r>
      <w:r>
        <w:t>for</w:t>
      </w:r>
      <w:r>
        <w:rPr>
          <w:spacing w:val="-3"/>
        </w:rPr>
        <w:t xml:space="preserve"> </w:t>
      </w:r>
      <w:r>
        <w:t>small</w:t>
      </w:r>
      <w:r>
        <w:rPr>
          <w:spacing w:val="-3"/>
        </w:rPr>
        <w:t xml:space="preserve"> </w:t>
      </w:r>
      <w:r>
        <w:t>and</w:t>
      </w:r>
      <w:r>
        <w:rPr>
          <w:spacing w:val="-3"/>
        </w:rPr>
        <w:t xml:space="preserve"> </w:t>
      </w:r>
      <w:r>
        <w:t>large</w:t>
      </w:r>
      <w:r>
        <w:rPr>
          <w:spacing w:val="-3"/>
        </w:rPr>
        <w:t xml:space="preserve"> </w:t>
      </w:r>
      <w:r>
        <w:t xml:space="preserve">competitions in the same way: by estimating total program costs and total </w:t>
      </w:r>
      <w:r>
        <w:t>program savings and then dividing total program costs by total program savings to get the average cost per kWh. The team estimated total program savings using the following two steps:</w:t>
      </w:r>
    </w:p>
    <w:p w:rsidR="00C31389" w:rsidRDefault="00C31389" w14:paraId="623701CC" w14:textId="77777777">
      <w:pPr>
        <w:pStyle w:val="BodyText"/>
        <w:rPr>
          <w:sz w:val="20"/>
        </w:rPr>
      </w:pPr>
    </w:p>
    <w:p w:rsidR="00C31389" w:rsidRDefault="00C31389" w14:paraId="734CE80A" w14:textId="77777777">
      <w:pPr>
        <w:pStyle w:val="BodyText"/>
        <w:rPr>
          <w:sz w:val="20"/>
        </w:rPr>
      </w:pPr>
    </w:p>
    <w:p w:rsidR="00C31389" w:rsidRDefault="00561FBD" w14:paraId="686ECE47" w14:textId="77777777">
      <w:pPr>
        <w:pStyle w:val="BodyText"/>
        <w:spacing w:before="7"/>
        <w:rPr>
          <w:sz w:val="23"/>
        </w:rPr>
      </w:pPr>
      <w:r>
        <w:rPr>
          <w:noProof/>
        </w:rPr>
        <mc:AlternateContent>
          <mc:Choice Requires="wps">
            <w:drawing>
              <wp:anchor distT="0" distB="0" distL="0" distR="0" simplePos="0" relativeHeight="487719936" behindDoc="1" locked="0" layoutInCell="1" allowOverlap="1" wp14:editId="10E0C9C9" wp14:anchorId="05D67F5D">
                <wp:simplePos x="0" y="0"/>
                <wp:positionH relativeFrom="page">
                  <wp:posOffset>914400</wp:posOffset>
                </wp:positionH>
                <wp:positionV relativeFrom="paragraph">
                  <wp:posOffset>187690</wp:posOffset>
                </wp:positionV>
                <wp:extent cx="1828800" cy="6985"/>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14" style="position:absolute;margin-left:1in;margin-top:14.8pt;width:2in;height:.55pt;z-index:-1559654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" w14:anchorId="38BC5DC8">
                <v:path arrowok="t"/>
                <w10:wrap type="topAndBottom" anchorx="page"/>
              </v:shape>
            </w:pict>
          </mc:Fallback>
        </mc:AlternateContent>
      </w:r>
    </w:p>
    <w:p w:rsidR="00C31389" w:rsidRDefault="00561FBD" w14:paraId="7DEC635D" w14:textId="77777777">
      <w:pPr>
        <w:spacing w:before="88"/>
        <w:ind w:left="480" w:right="2231"/>
        <w:rPr>
          <w:sz w:val="18"/>
        </w:rPr>
      </w:pPr>
      <w:bookmarkStart w:name="_bookmark346" w:id="456"/>
      <w:bookmarkEnd w:id="456"/>
      <w:r>
        <w:rPr>
          <w:position w:val="6"/>
          <w:sz w:val="12"/>
        </w:rPr>
        <w:t>119</w:t>
      </w:r>
      <w:r>
        <w:rPr>
          <w:spacing w:val="13"/>
          <w:position w:val="6"/>
          <w:sz w:val="12"/>
        </w:rPr>
        <w:t xml:space="preserve"> </w:t>
      </w:r>
      <w:r>
        <w:rPr>
          <w:sz w:val="18"/>
        </w:rPr>
        <w:t>Kira</w:t>
      </w:r>
      <w:r>
        <w:rPr>
          <w:spacing w:val="-4"/>
          <w:sz w:val="18"/>
        </w:rPr>
        <w:t xml:space="preserve"> </w:t>
      </w:r>
      <w:r>
        <w:rPr>
          <w:sz w:val="18"/>
        </w:rPr>
        <w:t>Ashby,</w:t>
      </w:r>
      <w:r>
        <w:rPr>
          <w:spacing w:val="-3"/>
          <w:sz w:val="18"/>
        </w:rPr>
        <w:t xml:space="preserve"> </w:t>
      </w:r>
      <w:r>
        <w:rPr>
          <w:i/>
          <w:sz w:val="18"/>
        </w:rPr>
        <w:t>2016</w:t>
      </w:r>
      <w:r>
        <w:rPr>
          <w:i/>
          <w:spacing w:val="-4"/>
          <w:sz w:val="18"/>
        </w:rPr>
        <w:t xml:space="preserve"> </w:t>
      </w:r>
      <w:r>
        <w:rPr>
          <w:i/>
          <w:sz w:val="18"/>
        </w:rPr>
        <w:t>Behavior</w:t>
      </w:r>
      <w:r>
        <w:rPr>
          <w:i/>
          <w:spacing w:val="-3"/>
          <w:sz w:val="18"/>
        </w:rPr>
        <w:t xml:space="preserve"> </w:t>
      </w:r>
      <w:r>
        <w:rPr>
          <w:i/>
          <w:sz w:val="18"/>
        </w:rPr>
        <w:t>Program</w:t>
      </w:r>
      <w:r>
        <w:rPr>
          <w:i/>
          <w:spacing w:val="-3"/>
          <w:sz w:val="18"/>
        </w:rPr>
        <w:t xml:space="preserve"> </w:t>
      </w:r>
      <w:r>
        <w:rPr>
          <w:i/>
          <w:sz w:val="18"/>
        </w:rPr>
        <w:t>Summary</w:t>
      </w:r>
      <w:r>
        <w:rPr>
          <w:sz w:val="18"/>
        </w:rPr>
        <w:t>,</w:t>
      </w:r>
      <w:r>
        <w:rPr>
          <w:spacing w:val="-3"/>
          <w:sz w:val="18"/>
        </w:rPr>
        <w:t xml:space="preserve"> </w:t>
      </w:r>
      <w:r>
        <w:rPr>
          <w:sz w:val="18"/>
        </w:rPr>
        <w:t>2016,</w:t>
      </w:r>
      <w:r>
        <w:rPr>
          <w:spacing w:val="-3"/>
          <w:sz w:val="18"/>
        </w:rPr>
        <w:t xml:space="preserve"> </w:t>
      </w:r>
      <w:r>
        <w:rPr>
          <w:sz w:val="18"/>
        </w:rPr>
        <w:t>Consortium</w:t>
      </w:r>
      <w:r>
        <w:rPr>
          <w:spacing w:val="-3"/>
          <w:sz w:val="18"/>
        </w:rPr>
        <w:t xml:space="preserve"> </w:t>
      </w:r>
      <w:r>
        <w:rPr>
          <w:sz w:val="18"/>
        </w:rPr>
        <w:t>for</w:t>
      </w:r>
      <w:r>
        <w:rPr>
          <w:spacing w:val="-3"/>
          <w:sz w:val="18"/>
        </w:rPr>
        <w:t xml:space="preserve"> </w:t>
      </w:r>
      <w:r>
        <w:rPr>
          <w:sz w:val="18"/>
        </w:rPr>
        <w:t>Energy</w:t>
      </w:r>
      <w:r>
        <w:rPr>
          <w:spacing w:val="-3"/>
          <w:sz w:val="18"/>
        </w:rPr>
        <w:t xml:space="preserve"> </w:t>
      </w:r>
      <w:r>
        <w:rPr>
          <w:sz w:val="18"/>
        </w:rPr>
        <w:t xml:space="preserve">Efficiency, </w:t>
      </w:r>
      <w:hyperlink r:id="rId264">
        <w:r>
          <w:rPr>
            <w:color w:val="68942C"/>
            <w:spacing w:val="-2"/>
            <w:sz w:val="18"/>
            <w:u w:val="single" w:color="68942C"/>
          </w:rPr>
          <w:t>https://library.cee1.org/content/2016-behavior-program-summary-public</w:t>
        </w:r>
        <w:r>
          <w:rPr>
            <w:spacing w:val="-2"/>
            <w:sz w:val="18"/>
          </w:rPr>
          <w:t>.</w:t>
        </w:r>
      </w:hyperlink>
    </w:p>
    <w:p w:rsidR="00C31389" w:rsidRDefault="00561FBD" w14:paraId="70ACE45D" w14:textId="77777777">
      <w:pPr>
        <w:ind w:left="480" w:right="418"/>
        <w:rPr>
          <w:sz w:val="18"/>
        </w:rPr>
      </w:pPr>
      <w:bookmarkStart w:name="_bookmark347" w:id="457"/>
      <w:bookmarkEnd w:id="457"/>
      <w:r>
        <w:rPr>
          <w:position w:val="6"/>
          <w:sz w:val="12"/>
        </w:rPr>
        <w:t>120</w:t>
      </w:r>
      <w:r>
        <w:rPr>
          <w:spacing w:val="14"/>
          <w:position w:val="6"/>
          <w:sz w:val="12"/>
        </w:rPr>
        <w:t xml:space="preserve"> </w:t>
      </w:r>
      <w:r>
        <w:rPr>
          <w:sz w:val="18"/>
        </w:rPr>
        <w:t>Susan</w:t>
      </w:r>
      <w:r>
        <w:rPr>
          <w:spacing w:val="-4"/>
          <w:sz w:val="18"/>
        </w:rPr>
        <w:t xml:space="preserve"> </w:t>
      </w:r>
      <w:r>
        <w:rPr>
          <w:sz w:val="18"/>
        </w:rPr>
        <w:t>Mazur-Stommen</w:t>
      </w:r>
      <w:r>
        <w:rPr>
          <w:spacing w:val="-4"/>
          <w:sz w:val="18"/>
        </w:rPr>
        <w:t xml:space="preserve"> </w:t>
      </w:r>
      <w:r>
        <w:rPr>
          <w:sz w:val="18"/>
        </w:rPr>
        <w:t>and</w:t>
      </w:r>
      <w:r>
        <w:rPr>
          <w:spacing w:val="-4"/>
          <w:sz w:val="18"/>
        </w:rPr>
        <w:t xml:space="preserve"> </w:t>
      </w:r>
      <w:r>
        <w:rPr>
          <w:sz w:val="18"/>
        </w:rPr>
        <w:t>Kate</w:t>
      </w:r>
      <w:r>
        <w:rPr>
          <w:spacing w:val="-4"/>
          <w:sz w:val="18"/>
        </w:rPr>
        <w:t xml:space="preserve"> </w:t>
      </w:r>
      <w:r>
        <w:rPr>
          <w:sz w:val="18"/>
        </w:rPr>
        <w:t>Farley,</w:t>
      </w:r>
      <w:r>
        <w:rPr>
          <w:spacing w:val="-3"/>
          <w:sz w:val="18"/>
        </w:rPr>
        <w:t xml:space="preserve"> </w:t>
      </w:r>
      <w:r>
        <w:rPr>
          <w:sz w:val="18"/>
        </w:rPr>
        <w:t>ACEEE</w:t>
      </w:r>
      <w:r>
        <w:rPr>
          <w:spacing w:val="-3"/>
          <w:sz w:val="18"/>
        </w:rPr>
        <w:t xml:space="preserve"> </w:t>
      </w:r>
      <w:r>
        <w:rPr>
          <w:sz w:val="18"/>
        </w:rPr>
        <w:t>Field</w:t>
      </w:r>
      <w:r>
        <w:rPr>
          <w:spacing w:val="-4"/>
          <w:sz w:val="18"/>
        </w:rPr>
        <w:t xml:space="preserve"> </w:t>
      </w:r>
      <w:r>
        <w:rPr>
          <w:sz w:val="18"/>
        </w:rPr>
        <w:t>Guide</w:t>
      </w:r>
      <w:r>
        <w:rPr>
          <w:spacing w:val="-4"/>
          <w:sz w:val="18"/>
        </w:rPr>
        <w:t xml:space="preserve"> </w:t>
      </w:r>
      <w:r>
        <w:rPr>
          <w:sz w:val="18"/>
        </w:rPr>
        <w:t>to</w:t>
      </w:r>
      <w:r>
        <w:rPr>
          <w:spacing w:val="-4"/>
          <w:sz w:val="18"/>
        </w:rPr>
        <w:t xml:space="preserve"> </w:t>
      </w:r>
      <w:r>
        <w:rPr>
          <w:sz w:val="18"/>
        </w:rPr>
        <w:t>Utility-Run</w:t>
      </w:r>
      <w:r>
        <w:rPr>
          <w:spacing w:val="-4"/>
          <w:sz w:val="18"/>
        </w:rPr>
        <w:t xml:space="preserve"> </w:t>
      </w:r>
      <w:r>
        <w:rPr>
          <w:sz w:val="18"/>
        </w:rPr>
        <w:t>Behavior</w:t>
      </w:r>
      <w:r>
        <w:rPr>
          <w:spacing w:val="-3"/>
          <w:sz w:val="18"/>
        </w:rPr>
        <w:t xml:space="preserve"> </w:t>
      </w:r>
      <w:r>
        <w:rPr>
          <w:sz w:val="18"/>
        </w:rPr>
        <w:t>Programs,</w:t>
      </w:r>
      <w:r>
        <w:rPr>
          <w:spacing w:val="-3"/>
          <w:sz w:val="18"/>
        </w:rPr>
        <w:t xml:space="preserve"> </w:t>
      </w:r>
      <w:r>
        <w:rPr>
          <w:sz w:val="18"/>
        </w:rPr>
        <w:t xml:space="preserve">2013, American Council for an Energy-Efficient Economy, </w:t>
      </w:r>
      <w:hyperlink r:id="rId265">
        <w:r>
          <w:rPr>
            <w:color w:val="68942C"/>
            <w:sz w:val="18"/>
            <w:u w:val="single" w:color="68942C"/>
          </w:rPr>
          <w:t>http://aceee.org/research-report/b132</w:t>
        </w:r>
      </w:hyperlink>
    </w:p>
    <w:p w:rsidR="00C31389" w:rsidRDefault="00561FBD" w14:paraId="33C1AE1C" w14:textId="77777777">
      <w:pPr>
        <w:ind w:left="480" w:right="418"/>
        <w:rPr>
          <w:sz w:val="18"/>
        </w:rPr>
      </w:pPr>
      <w:bookmarkStart w:name="_bookmark348" w:id="458"/>
      <w:bookmarkEnd w:id="458"/>
      <w:r>
        <w:rPr>
          <w:position w:val="6"/>
          <w:sz w:val="12"/>
        </w:rPr>
        <w:t>121</w:t>
      </w:r>
      <w:r>
        <w:rPr>
          <w:spacing w:val="28"/>
          <w:position w:val="6"/>
          <w:sz w:val="12"/>
        </w:rPr>
        <w:t xml:space="preserve"> </w:t>
      </w:r>
      <w:r>
        <w:rPr>
          <w:sz w:val="18"/>
        </w:rPr>
        <w:t>Illume Advising, Energy Efficiency Behavioral Programs: Literature Review, Benchmarking Analysis, and Evaluation</w:t>
      </w:r>
      <w:r>
        <w:rPr>
          <w:spacing w:val="-4"/>
          <w:sz w:val="18"/>
        </w:rPr>
        <w:t xml:space="preserve"> </w:t>
      </w:r>
      <w:r>
        <w:rPr>
          <w:sz w:val="18"/>
        </w:rPr>
        <w:t>Guidelines</w:t>
      </w:r>
      <w:r>
        <w:rPr>
          <w:spacing w:val="-3"/>
          <w:sz w:val="18"/>
        </w:rPr>
        <w:t xml:space="preserve"> </w:t>
      </w:r>
      <w:r>
        <w:rPr>
          <w:sz w:val="18"/>
        </w:rPr>
        <w:t>Conservation</w:t>
      </w:r>
      <w:r>
        <w:rPr>
          <w:spacing w:val="-4"/>
          <w:sz w:val="18"/>
        </w:rPr>
        <w:t xml:space="preserve"> </w:t>
      </w:r>
      <w:r>
        <w:rPr>
          <w:sz w:val="18"/>
        </w:rPr>
        <w:t>Applied</w:t>
      </w:r>
      <w:r>
        <w:rPr>
          <w:spacing w:val="-2"/>
          <w:sz w:val="18"/>
        </w:rPr>
        <w:t xml:space="preserve"> </w:t>
      </w:r>
      <w:r>
        <w:rPr>
          <w:sz w:val="18"/>
        </w:rPr>
        <w:t>Research</w:t>
      </w:r>
      <w:r>
        <w:rPr>
          <w:spacing w:val="-4"/>
          <w:sz w:val="18"/>
        </w:rPr>
        <w:t xml:space="preserve"> </w:t>
      </w:r>
      <w:r>
        <w:rPr>
          <w:sz w:val="18"/>
        </w:rPr>
        <w:t>&amp;</w:t>
      </w:r>
      <w:r>
        <w:rPr>
          <w:spacing w:val="-3"/>
          <w:sz w:val="18"/>
        </w:rPr>
        <w:t xml:space="preserve"> </w:t>
      </w:r>
      <w:r>
        <w:rPr>
          <w:sz w:val="18"/>
        </w:rPr>
        <w:t>Development</w:t>
      </w:r>
      <w:r>
        <w:rPr>
          <w:spacing w:val="-3"/>
          <w:sz w:val="18"/>
        </w:rPr>
        <w:t xml:space="preserve"> </w:t>
      </w:r>
      <w:r>
        <w:rPr>
          <w:sz w:val="18"/>
        </w:rPr>
        <w:t>(CARD)</w:t>
      </w:r>
      <w:r>
        <w:rPr>
          <w:spacing w:val="-3"/>
          <w:sz w:val="18"/>
        </w:rPr>
        <w:t xml:space="preserve"> </w:t>
      </w:r>
      <w:r>
        <w:rPr>
          <w:sz w:val="18"/>
        </w:rPr>
        <w:t>FINAL</w:t>
      </w:r>
      <w:r>
        <w:rPr>
          <w:spacing w:val="-4"/>
          <w:sz w:val="18"/>
        </w:rPr>
        <w:t xml:space="preserve"> </w:t>
      </w:r>
      <w:r>
        <w:rPr>
          <w:sz w:val="18"/>
        </w:rPr>
        <w:t>REPORT,</w:t>
      </w:r>
      <w:r>
        <w:rPr>
          <w:spacing w:val="-3"/>
          <w:sz w:val="18"/>
        </w:rPr>
        <w:t xml:space="preserve"> </w:t>
      </w:r>
      <w:r>
        <w:rPr>
          <w:sz w:val="18"/>
        </w:rPr>
        <w:t>Prepared</w:t>
      </w:r>
      <w:r>
        <w:rPr>
          <w:spacing w:val="-4"/>
          <w:sz w:val="18"/>
        </w:rPr>
        <w:t xml:space="preserve"> </w:t>
      </w:r>
      <w:r>
        <w:rPr>
          <w:sz w:val="18"/>
        </w:rPr>
        <w:t xml:space="preserve">for: Minnesota Department of Commerce, Division of Energy </w:t>
      </w:r>
      <w:r>
        <w:rPr>
          <w:sz w:val="18"/>
        </w:rPr>
        <w:t>Resources, May 4, 2015.</w:t>
      </w:r>
    </w:p>
    <w:p w:rsidR="00C31389" w:rsidRDefault="00561FBD" w14:paraId="2841386C" w14:textId="77777777">
      <w:pPr>
        <w:spacing w:before="29"/>
        <w:ind w:left="480" w:right="418"/>
        <w:rPr>
          <w:sz w:val="18"/>
        </w:rPr>
      </w:pPr>
      <w:bookmarkStart w:name="_bookmark349" w:id="459"/>
      <w:bookmarkEnd w:id="459"/>
      <w:r>
        <w:rPr>
          <w:position w:val="6"/>
          <w:sz w:val="12"/>
        </w:rPr>
        <w:t>122</w:t>
      </w:r>
      <w:r>
        <w:rPr>
          <w:spacing w:val="25"/>
          <w:position w:val="6"/>
          <w:sz w:val="12"/>
        </w:rPr>
        <w:t xml:space="preserve"> </w:t>
      </w:r>
      <w:r>
        <w:rPr>
          <w:sz w:val="18"/>
        </w:rPr>
        <w:t>PG&amp;E provided the following reference: Jones, Christopher M. and Kammen, Daniel M. 2014 “The CoolCalifornia</w:t>
      </w:r>
      <w:r>
        <w:rPr>
          <w:spacing w:val="-3"/>
          <w:sz w:val="18"/>
        </w:rPr>
        <w:t xml:space="preserve"> </w:t>
      </w:r>
      <w:r>
        <w:rPr>
          <w:sz w:val="18"/>
        </w:rPr>
        <w:t>Challenge:</w:t>
      </w:r>
      <w:r>
        <w:rPr>
          <w:spacing w:val="-4"/>
          <w:sz w:val="18"/>
        </w:rPr>
        <w:t xml:space="preserve"> </w:t>
      </w:r>
      <w:r>
        <w:rPr>
          <w:sz w:val="18"/>
        </w:rPr>
        <w:t>A</w:t>
      </w:r>
      <w:r>
        <w:rPr>
          <w:spacing w:val="-4"/>
          <w:sz w:val="18"/>
        </w:rPr>
        <w:t xml:space="preserve"> </w:t>
      </w:r>
      <w:r>
        <w:rPr>
          <w:sz w:val="18"/>
        </w:rPr>
        <w:t>Pilot</w:t>
      </w:r>
      <w:r>
        <w:rPr>
          <w:spacing w:val="-4"/>
          <w:sz w:val="18"/>
        </w:rPr>
        <w:t xml:space="preserve"> </w:t>
      </w:r>
      <w:r>
        <w:rPr>
          <w:sz w:val="18"/>
        </w:rPr>
        <w:t>Inter-City</w:t>
      </w:r>
      <w:r>
        <w:rPr>
          <w:spacing w:val="-4"/>
          <w:sz w:val="18"/>
        </w:rPr>
        <w:t xml:space="preserve"> </w:t>
      </w:r>
      <w:r>
        <w:rPr>
          <w:sz w:val="18"/>
        </w:rPr>
        <w:t>Household</w:t>
      </w:r>
      <w:r>
        <w:rPr>
          <w:spacing w:val="-5"/>
          <w:sz w:val="18"/>
        </w:rPr>
        <w:t xml:space="preserve"> </w:t>
      </w:r>
      <w:r>
        <w:rPr>
          <w:sz w:val="18"/>
        </w:rPr>
        <w:t>Carbon</w:t>
      </w:r>
      <w:r>
        <w:rPr>
          <w:spacing w:val="-5"/>
          <w:sz w:val="18"/>
        </w:rPr>
        <w:t xml:space="preserve"> </w:t>
      </w:r>
      <w:r>
        <w:rPr>
          <w:sz w:val="18"/>
        </w:rPr>
        <w:t>Footprint</w:t>
      </w:r>
      <w:r>
        <w:rPr>
          <w:spacing w:val="-4"/>
          <w:sz w:val="18"/>
        </w:rPr>
        <w:t xml:space="preserve"> </w:t>
      </w:r>
      <w:r>
        <w:rPr>
          <w:sz w:val="18"/>
        </w:rPr>
        <w:t>Reduction</w:t>
      </w:r>
      <w:r>
        <w:rPr>
          <w:spacing w:val="-5"/>
          <w:sz w:val="18"/>
        </w:rPr>
        <w:t xml:space="preserve"> </w:t>
      </w:r>
      <w:r>
        <w:rPr>
          <w:sz w:val="18"/>
        </w:rPr>
        <w:t>Competition.”</w:t>
      </w:r>
      <w:r>
        <w:rPr>
          <w:spacing w:val="-4"/>
          <w:sz w:val="18"/>
        </w:rPr>
        <w:t xml:space="preserve"> </w:t>
      </w:r>
      <w:r>
        <w:rPr>
          <w:sz w:val="18"/>
        </w:rPr>
        <w:t>Contract Number: 10-325, California Air</w:t>
      </w:r>
      <w:r>
        <w:rPr>
          <w:sz w:val="18"/>
        </w:rPr>
        <w:t xml:space="preserve"> Resources Board. </w:t>
      </w:r>
      <w:hyperlink r:id="rId266">
        <w:r>
          <w:rPr>
            <w:color w:val="68942C"/>
            <w:sz w:val="18"/>
            <w:u w:val="single" w:color="68942C"/>
          </w:rPr>
          <w:t>https://www.arb.ca.gov/research/apr/past/10-325.pdf</w:t>
        </w:r>
      </w:hyperlink>
    </w:p>
    <w:p w:rsidR="00C31389" w:rsidRDefault="00561FBD" w14:paraId="691E4F50" w14:textId="77777777">
      <w:pPr>
        <w:spacing w:before="36"/>
        <w:ind w:left="480" w:right="418"/>
        <w:rPr>
          <w:sz w:val="18"/>
        </w:rPr>
      </w:pPr>
      <w:bookmarkStart w:name="_bookmark350" w:id="460"/>
      <w:bookmarkEnd w:id="460"/>
      <w:r>
        <w:rPr>
          <w:position w:val="6"/>
          <w:sz w:val="12"/>
        </w:rPr>
        <w:t>123</w:t>
      </w:r>
      <w:r>
        <w:rPr>
          <w:spacing w:val="14"/>
          <w:position w:val="6"/>
          <w:sz w:val="12"/>
        </w:rPr>
        <w:t xml:space="preserve"> </w:t>
      </w:r>
      <w:r>
        <w:rPr>
          <w:sz w:val="18"/>
        </w:rPr>
        <w:t>Grossberg,</w:t>
      </w:r>
      <w:r>
        <w:rPr>
          <w:spacing w:val="-3"/>
          <w:sz w:val="18"/>
        </w:rPr>
        <w:t xml:space="preserve"> </w:t>
      </w:r>
      <w:r>
        <w:rPr>
          <w:sz w:val="18"/>
        </w:rPr>
        <w:t>Frederick;</w:t>
      </w:r>
      <w:r>
        <w:rPr>
          <w:spacing w:val="-3"/>
          <w:sz w:val="18"/>
        </w:rPr>
        <w:t xml:space="preserve"> </w:t>
      </w:r>
      <w:r>
        <w:rPr>
          <w:sz w:val="18"/>
        </w:rPr>
        <w:t>Wolfson,</w:t>
      </w:r>
      <w:r>
        <w:rPr>
          <w:spacing w:val="-3"/>
          <w:sz w:val="18"/>
        </w:rPr>
        <w:t xml:space="preserve"> </w:t>
      </w:r>
      <w:r>
        <w:rPr>
          <w:sz w:val="18"/>
        </w:rPr>
        <w:t>Mariel;</w:t>
      </w:r>
      <w:r>
        <w:rPr>
          <w:spacing w:val="-3"/>
          <w:sz w:val="18"/>
        </w:rPr>
        <w:t xml:space="preserve"> </w:t>
      </w:r>
      <w:r>
        <w:rPr>
          <w:sz w:val="18"/>
        </w:rPr>
        <w:t>Mazur-Stommen,</w:t>
      </w:r>
      <w:r>
        <w:rPr>
          <w:spacing w:val="-2"/>
          <w:sz w:val="18"/>
        </w:rPr>
        <w:t xml:space="preserve"> </w:t>
      </w:r>
      <w:r>
        <w:rPr>
          <w:sz w:val="18"/>
        </w:rPr>
        <w:t>Susan;</w:t>
      </w:r>
      <w:r>
        <w:rPr>
          <w:spacing w:val="-3"/>
          <w:sz w:val="18"/>
        </w:rPr>
        <w:t xml:space="preserve"> </w:t>
      </w:r>
      <w:r>
        <w:rPr>
          <w:sz w:val="18"/>
        </w:rPr>
        <w:t>Farley,</w:t>
      </w:r>
      <w:r>
        <w:rPr>
          <w:spacing w:val="-2"/>
          <w:sz w:val="18"/>
        </w:rPr>
        <w:t xml:space="preserve"> </w:t>
      </w:r>
      <w:r>
        <w:rPr>
          <w:sz w:val="18"/>
        </w:rPr>
        <w:t>Kate;</w:t>
      </w:r>
      <w:r>
        <w:rPr>
          <w:spacing w:val="-3"/>
          <w:sz w:val="18"/>
        </w:rPr>
        <w:t xml:space="preserve"> </w:t>
      </w:r>
      <w:r>
        <w:rPr>
          <w:sz w:val="18"/>
        </w:rPr>
        <w:t>and</w:t>
      </w:r>
      <w:r>
        <w:rPr>
          <w:spacing w:val="-4"/>
          <w:sz w:val="18"/>
        </w:rPr>
        <w:t xml:space="preserve"> </w:t>
      </w:r>
      <w:r>
        <w:rPr>
          <w:sz w:val="18"/>
        </w:rPr>
        <w:t>Steven</w:t>
      </w:r>
      <w:r>
        <w:rPr>
          <w:spacing w:val="-4"/>
          <w:sz w:val="18"/>
        </w:rPr>
        <w:t xml:space="preserve"> </w:t>
      </w:r>
      <w:r>
        <w:rPr>
          <w:sz w:val="18"/>
        </w:rPr>
        <w:t>Nadel.</w:t>
      </w:r>
      <w:r>
        <w:rPr>
          <w:spacing w:val="-3"/>
          <w:sz w:val="18"/>
        </w:rPr>
        <w:t xml:space="preserve"> </w:t>
      </w:r>
      <w:r>
        <w:rPr>
          <w:sz w:val="18"/>
        </w:rPr>
        <w:t>2015. (February) “Gamified Energy Efficiency Programs.” ACEEE Report B1501.</w:t>
      </w:r>
    </w:p>
    <w:p w:rsidR="00C31389" w:rsidRDefault="00561FBD" w14:paraId="4AD5A639" w14:textId="77777777">
      <w:pPr>
        <w:spacing w:before="37"/>
        <w:ind w:left="480"/>
        <w:rPr>
          <w:sz w:val="18"/>
        </w:rPr>
      </w:pPr>
      <w:bookmarkStart w:name="_bookmark351" w:id="461"/>
      <w:bookmarkEnd w:id="461"/>
      <w:r>
        <w:rPr>
          <w:position w:val="6"/>
          <w:sz w:val="12"/>
        </w:rPr>
        <w:t>124</w:t>
      </w:r>
      <w:r>
        <w:rPr>
          <w:spacing w:val="11"/>
          <w:position w:val="6"/>
          <w:sz w:val="12"/>
        </w:rPr>
        <w:t xml:space="preserve"> </w:t>
      </w:r>
      <w:r>
        <w:rPr>
          <w:sz w:val="18"/>
        </w:rPr>
        <w:t>Consortium</w:t>
      </w:r>
      <w:r>
        <w:rPr>
          <w:spacing w:val="-4"/>
          <w:sz w:val="18"/>
        </w:rPr>
        <w:t xml:space="preserve"> </w:t>
      </w:r>
      <w:r>
        <w:rPr>
          <w:sz w:val="18"/>
        </w:rPr>
        <w:t>for</w:t>
      </w:r>
      <w:r>
        <w:rPr>
          <w:spacing w:val="-3"/>
          <w:sz w:val="18"/>
        </w:rPr>
        <w:t xml:space="preserve"> </w:t>
      </w:r>
      <w:r>
        <w:rPr>
          <w:sz w:val="18"/>
        </w:rPr>
        <w:t>Energy</w:t>
      </w:r>
      <w:r>
        <w:rPr>
          <w:spacing w:val="-4"/>
          <w:sz w:val="18"/>
        </w:rPr>
        <w:t xml:space="preserve"> </w:t>
      </w:r>
      <w:r>
        <w:rPr>
          <w:sz w:val="18"/>
        </w:rPr>
        <w:t>Efficiency</w:t>
      </w:r>
      <w:r>
        <w:rPr>
          <w:spacing w:val="-3"/>
          <w:sz w:val="18"/>
        </w:rPr>
        <w:t xml:space="preserve"> </w:t>
      </w:r>
      <w:r>
        <w:rPr>
          <w:sz w:val="18"/>
        </w:rPr>
        <w:t>Program</w:t>
      </w:r>
      <w:r>
        <w:rPr>
          <w:spacing w:val="-4"/>
          <w:sz w:val="18"/>
        </w:rPr>
        <w:t xml:space="preserve"> </w:t>
      </w:r>
      <w:r>
        <w:rPr>
          <w:sz w:val="18"/>
        </w:rPr>
        <w:t>Library,</w:t>
      </w:r>
      <w:r>
        <w:rPr>
          <w:spacing w:val="-3"/>
          <w:sz w:val="18"/>
        </w:rPr>
        <w:t xml:space="preserve"> </w:t>
      </w:r>
      <w:r>
        <w:rPr>
          <w:spacing w:val="-2"/>
          <w:sz w:val="18"/>
        </w:rPr>
        <w:t>https://library.cee1.org/</w:t>
      </w:r>
    </w:p>
    <w:p w:rsidR="00C31389" w:rsidRDefault="00C31389" w14:paraId="0156C3B5" w14:textId="77777777">
      <w:pPr>
        <w:rPr>
          <w:sz w:val="18"/>
        </w:rPr>
        <w:sectPr w:rsidR="00C31389">
          <w:pgSz w:w="11910" w:h="16840"/>
          <w:pgMar w:top="1660" w:right="1020" w:bottom="1120" w:left="960" w:header="397" w:footer="938" w:gutter="0"/>
          <w:cols w:space="720"/>
        </w:sectPr>
      </w:pPr>
    </w:p>
    <w:p w:rsidR="00C31389" w:rsidRDefault="00C31389" w14:paraId="789EB8EA" w14:textId="77777777">
      <w:pPr>
        <w:pStyle w:val="BodyText"/>
      </w:pPr>
    </w:p>
    <w:p w:rsidR="00C31389" w:rsidRDefault="00C31389" w14:paraId="4503E24F" w14:textId="77777777">
      <w:pPr>
        <w:pStyle w:val="BodyText"/>
        <w:spacing w:before="2"/>
        <w:rPr>
          <w:sz w:val="13"/>
        </w:rPr>
      </w:pPr>
    </w:p>
    <w:p w:rsidR="00C31389" w:rsidRDefault="00561FBD" w14:paraId="410DBAA7" w14:textId="77777777">
      <w:pPr>
        <w:pStyle w:val="ListParagraph"/>
        <w:numPr>
          <w:ilvl w:val="0"/>
          <w:numId w:val="17"/>
        </w:numPr>
        <w:tabs>
          <w:tab w:val="left" w:pos="1257"/>
        </w:tabs>
        <w:spacing w:before="100"/>
        <w:ind w:right="1098"/>
      </w:pPr>
      <w:r>
        <w:t>Multiplying</w:t>
      </w:r>
      <w:r>
        <w:rPr>
          <w:spacing w:val="-3"/>
        </w:rPr>
        <w:t xml:space="preserve"> </w:t>
      </w:r>
      <w:r>
        <w:t>the</w:t>
      </w:r>
      <w:r>
        <w:rPr>
          <w:spacing w:val="-3"/>
        </w:rPr>
        <w:t xml:space="preserve"> </w:t>
      </w:r>
      <w:r>
        <w:t>average</w:t>
      </w:r>
      <w:r>
        <w:rPr>
          <w:spacing w:val="-4"/>
        </w:rPr>
        <w:t xml:space="preserve"> </w:t>
      </w:r>
      <w:r>
        <w:t>number</w:t>
      </w:r>
      <w:r>
        <w:rPr>
          <w:spacing w:val="-3"/>
        </w:rPr>
        <w:t xml:space="preserve"> </w:t>
      </w:r>
      <w:r>
        <w:t>of</w:t>
      </w:r>
      <w:r>
        <w:rPr>
          <w:spacing w:val="-3"/>
        </w:rPr>
        <w:t xml:space="preserve"> </w:t>
      </w:r>
      <w:r>
        <w:t>participants</w:t>
      </w:r>
      <w:r>
        <w:rPr>
          <w:spacing w:val="-4"/>
        </w:rPr>
        <w:t xml:space="preserve"> </w:t>
      </w:r>
      <w:r>
        <w:t>per</w:t>
      </w:r>
      <w:r>
        <w:rPr>
          <w:spacing w:val="-3"/>
        </w:rPr>
        <w:t xml:space="preserve"> </w:t>
      </w:r>
      <w:r>
        <w:t>competition</w:t>
      </w:r>
      <w:r>
        <w:rPr>
          <w:spacing w:val="-3"/>
        </w:rPr>
        <w:t xml:space="preserve"> </w:t>
      </w:r>
      <w:r>
        <w:t>by</w:t>
      </w:r>
      <w:r>
        <w:rPr>
          <w:spacing w:val="-3"/>
        </w:rPr>
        <w:t xml:space="preserve"> </w:t>
      </w:r>
      <w:r>
        <w:t>the</w:t>
      </w:r>
      <w:r>
        <w:rPr>
          <w:spacing w:val="-3"/>
        </w:rPr>
        <w:t xml:space="preserve"> </w:t>
      </w:r>
      <w:r>
        <w:t>cost</w:t>
      </w:r>
      <w:r>
        <w:rPr>
          <w:spacing w:val="-3"/>
        </w:rPr>
        <w:t xml:space="preserve"> </w:t>
      </w:r>
      <w:r>
        <w:t xml:space="preserve">per </w:t>
      </w:r>
      <w:r>
        <w:rPr>
          <w:spacing w:val="-2"/>
        </w:rPr>
        <w:t>participant</w:t>
      </w:r>
    </w:p>
    <w:p w:rsidR="00C31389" w:rsidRDefault="00561FBD" w14:paraId="46BE7D39" w14:textId="77777777">
      <w:pPr>
        <w:pStyle w:val="ListParagraph"/>
        <w:numPr>
          <w:ilvl w:val="0"/>
          <w:numId w:val="17"/>
        </w:numPr>
        <w:tabs>
          <w:tab w:val="left" w:pos="1257"/>
        </w:tabs>
        <w:spacing w:before="119"/>
        <w:ind w:right="1171"/>
      </w:pPr>
      <w:r>
        <w:t>Multiplying</w:t>
      </w:r>
      <w:r>
        <w:rPr>
          <w:spacing w:val="-5"/>
        </w:rPr>
        <w:t xml:space="preserve"> </w:t>
      </w:r>
      <w:r>
        <w:t>annual</w:t>
      </w:r>
      <w:r>
        <w:rPr>
          <w:spacing w:val="-5"/>
        </w:rPr>
        <w:t xml:space="preserve"> </w:t>
      </w:r>
      <w:r>
        <w:t>average</w:t>
      </w:r>
      <w:r>
        <w:rPr>
          <w:spacing w:val="-5"/>
        </w:rPr>
        <w:t xml:space="preserve"> </w:t>
      </w:r>
      <w:r>
        <w:t>household</w:t>
      </w:r>
      <w:r>
        <w:rPr>
          <w:spacing w:val="-5"/>
        </w:rPr>
        <w:t xml:space="preserve"> </w:t>
      </w:r>
      <w:r>
        <w:t>electricity</w:t>
      </w:r>
      <w:r>
        <w:rPr>
          <w:spacing w:val="-6"/>
        </w:rPr>
        <w:t xml:space="preserve"> </w:t>
      </w:r>
      <w:r>
        <w:t>consumption</w:t>
      </w:r>
      <w:r>
        <w:rPr>
          <w:spacing w:val="-5"/>
        </w:rPr>
        <w:t xml:space="preserve"> </w:t>
      </w:r>
      <w:r>
        <w:t>by</w:t>
      </w:r>
      <w:r>
        <w:rPr>
          <w:spacing w:val="-5"/>
        </w:rPr>
        <w:t xml:space="preserve"> </w:t>
      </w:r>
      <w:r>
        <w:t>the</w:t>
      </w:r>
      <w:r>
        <w:rPr>
          <w:spacing w:val="-5"/>
        </w:rPr>
        <w:t xml:space="preserve"> </w:t>
      </w:r>
      <w:r>
        <w:t>average number of participants and the average savings rate per participant.</w:t>
      </w:r>
    </w:p>
    <w:p w:rsidR="00C31389" w:rsidRDefault="00C31389" w14:paraId="14D6C468" w14:textId="77777777">
      <w:pPr>
        <w:pStyle w:val="BodyText"/>
        <w:spacing w:before="8"/>
        <w:rPr>
          <w:sz w:val="20"/>
        </w:rPr>
      </w:pPr>
    </w:p>
    <w:p w:rsidR="00C31389" w:rsidRDefault="00561FBD" w14:paraId="0E399550" w14:textId="77777777">
      <w:pPr>
        <w:pStyle w:val="BodyText"/>
        <w:ind w:left="479" w:right="439"/>
      </w:pPr>
      <w:r>
        <w:t xml:space="preserve">The Guidehouse team assumes that prizes account for 50% of </w:t>
      </w:r>
      <w:r>
        <w:t>program costs. The estimated cost per kWh of $0.050 for small competitions was based on the prizes and participation</w:t>
      </w:r>
      <w:r>
        <w:rPr>
          <w:spacing w:val="-5"/>
        </w:rPr>
        <w:t xml:space="preserve"> </w:t>
      </w:r>
      <w:r>
        <w:t>reported</w:t>
      </w:r>
      <w:r>
        <w:rPr>
          <w:spacing w:val="-4"/>
        </w:rPr>
        <w:t xml:space="preserve"> </w:t>
      </w:r>
      <w:r>
        <w:t>for</w:t>
      </w:r>
      <w:r>
        <w:rPr>
          <w:spacing w:val="-4"/>
        </w:rPr>
        <w:t xml:space="preserve"> </w:t>
      </w:r>
      <w:r>
        <w:t>SMECO’s</w:t>
      </w:r>
      <w:r>
        <w:rPr>
          <w:spacing w:val="-3"/>
        </w:rPr>
        <w:t xml:space="preserve"> </w:t>
      </w:r>
      <w:r>
        <w:t>Energy</w:t>
      </w:r>
      <w:r>
        <w:rPr>
          <w:spacing w:val="-4"/>
        </w:rPr>
        <w:t xml:space="preserve"> </w:t>
      </w:r>
      <w:r>
        <w:t>Savings</w:t>
      </w:r>
      <w:r>
        <w:rPr>
          <w:spacing w:val="-4"/>
        </w:rPr>
        <w:t xml:space="preserve"> </w:t>
      </w:r>
      <w:r>
        <w:t>Challenge</w:t>
      </w:r>
      <w:r>
        <w:rPr>
          <w:spacing w:val="-4"/>
        </w:rPr>
        <w:t xml:space="preserve"> </w:t>
      </w:r>
      <w:r>
        <w:t>and</w:t>
      </w:r>
      <w:r>
        <w:rPr>
          <w:spacing w:val="-4"/>
        </w:rPr>
        <w:t xml:space="preserve"> </w:t>
      </w:r>
      <w:r>
        <w:t>Minnesota</w:t>
      </w:r>
      <w:r>
        <w:rPr>
          <w:spacing w:val="-4"/>
        </w:rPr>
        <w:t xml:space="preserve"> </w:t>
      </w:r>
      <w:r>
        <w:t>Valley</w:t>
      </w:r>
      <w:r>
        <w:rPr>
          <w:spacing w:val="-5"/>
        </w:rPr>
        <w:t xml:space="preserve"> </w:t>
      </w:r>
      <w:r>
        <w:t>Electric Cooperative’s Beat The Peak program.</w:t>
      </w:r>
      <w:hyperlink w:history="1" w:anchor="_bookmark354">
        <w:r>
          <w:rPr>
            <w:position w:val="7"/>
            <w:sz w:val="14"/>
          </w:rPr>
          <w:t>125</w:t>
        </w:r>
      </w:hyperlink>
      <w:r>
        <w:rPr>
          <w:spacing w:val="32"/>
          <w:position w:val="7"/>
          <w:sz w:val="14"/>
        </w:rPr>
        <w:t xml:space="preserve"> </w:t>
      </w:r>
      <w:r>
        <w:t>The estimated cost per kWh of $0.007 for large competitions was based on the prizes and participation reported for SDG&amp;E’s San Diego Energy Challenge and Puget Sound Energy’s Rock the Bulb program.</w:t>
      </w:r>
    </w:p>
    <w:p w:rsidR="00C31389" w:rsidRDefault="00C31389" w14:paraId="5221D522" w14:textId="77777777">
      <w:pPr>
        <w:pStyle w:val="BodyText"/>
        <w:spacing w:before="10"/>
        <w:rPr>
          <w:sz w:val="20"/>
        </w:rPr>
      </w:pPr>
    </w:p>
    <w:p w:rsidR="00C31389" w:rsidRDefault="00561FBD" w14:paraId="76FA6698" w14:textId="77777777">
      <w:pPr>
        <w:pStyle w:val="ListParagraph"/>
        <w:numPr>
          <w:ilvl w:val="1"/>
          <w:numId w:val="19"/>
        </w:numPr>
        <w:tabs>
          <w:tab w:val="left" w:pos="991"/>
        </w:tabs>
        <w:spacing w:before="1"/>
        <w:ind w:left="991" w:hanging="511"/>
        <w:rPr>
          <w:b/>
          <w:sz w:val="28"/>
        </w:rPr>
      </w:pPr>
      <w:bookmarkStart w:name="D.5_Commercial_–_Strategic_Energy_Manage" w:id="462"/>
      <w:bookmarkStart w:name="_bookmark352" w:id="463"/>
      <w:bookmarkEnd w:id="462"/>
      <w:bookmarkEnd w:id="463"/>
      <w:r>
        <w:rPr>
          <w:b/>
          <w:sz w:val="28"/>
        </w:rPr>
        <w:t>Commercial</w:t>
      </w:r>
      <w:r>
        <w:rPr>
          <w:b/>
          <w:spacing w:val="-15"/>
          <w:sz w:val="28"/>
        </w:rPr>
        <w:t xml:space="preserve"> </w:t>
      </w:r>
      <w:r>
        <w:rPr>
          <w:b/>
          <w:sz w:val="28"/>
        </w:rPr>
        <w:t>–</w:t>
      </w:r>
      <w:r>
        <w:rPr>
          <w:b/>
          <w:spacing w:val="-15"/>
          <w:sz w:val="28"/>
        </w:rPr>
        <w:t xml:space="preserve"> </w:t>
      </w:r>
      <w:r>
        <w:rPr>
          <w:b/>
          <w:sz w:val="28"/>
        </w:rPr>
        <w:t>St</w:t>
      </w:r>
      <w:r>
        <w:rPr>
          <w:b/>
          <w:sz w:val="28"/>
        </w:rPr>
        <w:t>rategic</w:t>
      </w:r>
      <w:r>
        <w:rPr>
          <w:b/>
          <w:spacing w:val="-15"/>
          <w:sz w:val="28"/>
        </w:rPr>
        <w:t xml:space="preserve"> </w:t>
      </w:r>
      <w:r>
        <w:rPr>
          <w:b/>
          <w:sz w:val="28"/>
        </w:rPr>
        <w:t>Energy</w:t>
      </w:r>
      <w:r>
        <w:rPr>
          <w:b/>
          <w:spacing w:val="-14"/>
          <w:sz w:val="28"/>
        </w:rPr>
        <w:t xml:space="preserve"> </w:t>
      </w:r>
      <w:r>
        <w:rPr>
          <w:b/>
          <w:sz w:val="28"/>
        </w:rPr>
        <w:t>Management-Like</w:t>
      </w:r>
      <w:r>
        <w:rPr>
          <w:b/>
          <w:spacing w:val="-15"/>
          <w:sz w:val="28"/>
        </w:rPr>
        <w:t xml:space="preserve"> </w:t>
      </w:r>
      <w:r>
        <w:rPr>
          <w:b/>
          <w:spacing w:val="-2"/>
          <w:sz w:val="28"/>
        </w:rPr>
        <w:t>Programs</w:t>
      </w:r>
    </w:p>
    <w:p w:rsidR="00C31389" w:rsidRDefault="00C31389" w14:paraId="7F3ECEF9" w14:textId="77777777">
      <w:pPr>
        <w:pStyle w:val="BodyText"/>
        <w:spacing w:before="4"/>
        <w:rPr>
          <w:b/>
          <w:sz w:val="31"/>
        </w:rPr>
      </w:pPr>
    </w:p>
    <w:p w:rsidR="00C31389" w:rsidRDefault="00561FBD" w14:paraId="27972D1B" w14:textId="77777777">
      <w:pPr>
        <w:pStyle w:val="ListParagraph"/>
        <w:numPr>
          <w:ilvl w:val="2"/>
          <w:numId w:val="19"/>
        </w:numPr>
        <w:tabs>
          <w:tab w:val="left" w:pos="1197"/>
        </w:tabs>
        <w:ind w:left="1197" w:hanging="717"/>
        <w:rPr>
          <w:b/>
          <w:sz w:val="24"/>
        </w:rPr>
      </w:pPr>
      <w:bookmarkStart w:name="D.5.1_Summary" w:id="464"/>
      <w:bookmarkStart w:name="_bookmark353" w:id="465"/>
      <w:bookmarkEnd w:id="464"/>
      <w:bookmarkEnd w:id="465"/>
      <w:r>
        <w:rPr>
          <w:b/>
          <w:spacing w:val="-2"/>
          <w:sz w:val="24"/>
        </w:rPr>
        <w:t>Summary</w:t>
      </w:r>
    </w:p>
    <w:p w:rsidR="00C31389" w:rsidRDefault="00C31389" w14:paraId="6DAA2804" w14:textId="77777777">
      <w:pPr>
        <w:pStyle w:val="BodyText"/>
        <w:spacing w:before="2"/>
        <w:rPr>
          <w:b/>
          <w:sz w:val="23"/>
        </w:rPr>
      </w:pPr>
    </w:p>
    <w:p w:rsidR="00C31389" w:rsidRDefault="00561FBD" w14:paraId="33CE1F09" w14:textId="77777777">
      <w:pPr>
        <w:pStyle w:val="BodyText"/>
        <w:ind w:left="479" w:right="439"/>
      </w:pPr>
      <w:r>
        <w:t>Strategic</w:t>
      </w:r>
      <w:r>
        <w:rPr>
          <w:spacing w:val="-3"/>
        </w:rPr>
        <w:t xml:space="preserve"> </w:t>
      </w:r>
      <w:r>
        <w:t>energy</w:t>
      </w:r>
      <w:r>
        <w:rPr>
          <w:spacing w:val="-3"/>
        </w:rPr>
        <w:t xml:space="preserve"> </w:t>
      </w:r>
      <w:r>
        <w:t>management</w:t>
      </w:r>
      <w:r>
        <w:rPr>
          <w:spacing w:val="-3"/>
        </w:rPr>
        <w:t xml:space="preserve"> </w:t>
      </w:r>
      <w:r>
        <w:t>(SEM)</w:t>
      </w:r>
      <w:r>
        <w:rPr>
          <w:spacing w:val="-3"/>
        </w:rPr>
        <w:t xml:space="preserve"> </w:t>
      </w:r>
      <w:r>
        <w:t>is</w:t>
      </w:r>
      <w:r>
        <w:rPr>
          <w:spacing w:val="-3"/>
        </w:rPr>
        <w:t xml:space="preserve"> </w:t>
      </w:r>
      <w:r>
        <w:t>a</w:t>
      </w:r>
      <w:r>
        <w:rPr>
          <w:spacing w:val="-3"/>
        </w:rPr>
        <w:t xml:space="preserve"> </w:t>
      </w:r>
      <w:r>
        <w:t>continuous</w:t>
      </w:r>
      <w:r>
        <w:rPr>
          <w:spacing w:val="-3"/>
        </w:rPr>
        <w:t xml:space="preserve"> </w:t>
      </w:r>
      <w:r>
        <w:t>improvement</w:t>
      </w:r>
      <w:r>
        <w:rPr>
          <w:spacing w:val="-3"/>
        </w:rPr>
        <w:t xml:space="preserve"> </w:t>
      </w:r>
      <w:r>
        <w:t>approach</w:t>
      </w:r>
      <w:r>
        <w:rPr>
          <w:spacing w:val="-3"/>
        </w:rPr>
        <w:t xml:space="preserve"> </w:t>
      </w:r>
      <w:r>
        <w:t>that</w:t>
      </w:r>
      <w:r>
        <w:rPr>
          <w:spacing w:val="-3"/>
        </w:rPr>
        <w:t xml:space="preserve"> </w:t>
      </w:r>
      <w:r>
        <w:t>focuses</w:t>
      </w:r>
      <w:r>
        <w:rPr>
          <w:spacing w:val="-3"/>
        </w:rPr>
        <w:t xml:space="preserve"> </w:t>
      </w:r>
      <w:r>
        <w:t xml:space="preserve">on changing business practices to enable companies to save money by reducing energy consumption and waste. In </w:t>
      </w:r>
      <w:r>
        <w:t>California, pilot SEM programs are being administered in the industrial</w:t>
      </w:r>
      <w:r>
        <w:rPr>
          <w:spacing w:val="-3"/>
        </w:rPr>
        <w:t xml:space="preserve"> </w:t>
      </w:r>
      <w:r>
        <w:t>sector.</w:t>
      </w:r>
      <w:r>
        <w:rPr>
          <w:spacing w:val="-2"/>
        </w:rPr>
        <w:t xml:space="preserve"> </w:t>
      </w:r>
      <w:r>
        <w:t>The</w:t>
      </w:r>
      <w:r>
        <w:rPr>
          <w:spacing w:val="-2"/>
        </w:rPr>
        <w:t xml:space="preserve"> </w:t>
      </w:r>
      <w:r>
        <w:t>Guidehouse</w:t>
      </w:r>
      <w:r>
        <w:rPr>
          <w:spacing w:val="-2"/>
        </w:rPr>
        <w:t xml:space="preserve"> </w:t>
      </w:r>
      <w:r>
        <w:t>team</w:t>
      </w:r>
      <w:r>
        <w:rPr>
          <w:spacing w:val="-3"/>
        </w:rPr>
        <w:t xml:space="preserve"> </w:t>
      </w:r>
      <w:r>
        <w:t>uses</w:t>
      </w:r>
      <w:r>
        <w:rPr>
          <w:spacing w:val="-2"/>
        </w:rPr>
        <w:t xml:space="preserve"> </w:t>
      </w:r>
      <w:r>
        <w:t>the</w:t>
      </w:r>
      <w:r>
        <w:rPr>
          <w:spacing w:val="-2"/>
        </w:rPr>
        <w:t xml:space="preserve"> </w:t>
      </w:r>
      <w:r>
        <w:t>term</w:t>
      </w:r>
      <w:r>
        <w:rPr>
          <w:spacing w:val="-3"/>
        </w:rPr>
        <w:t xml:space="preserve"> </w:t>
      </w:r>
      <w:r>
        <w:t>“SEM-like</w:t>
      </w:r>
      <w:r>
        <w:rPr>
          <w:spacing w:val="-2"/>
        </w:rPr>
        <w:t xml:space="preserve"> </w:t>
      </w:r>
      <w:r>
        <w:t>programs”</w:t>
      </w:r>
      <w:r>
        <w:rPr>
          <w:spacing w:val="-2"/>
        </w:rPr>
        <w:t xml:space="preserve"> </w:t>
      </w:r>
      <w:r>
        <w:t>to</w:t>
      </w:r>
      <w:r>
        <w:rPr>
          <w:spacing w:val="-2"/>
        </w:rPr>
        <w:t xml:space="preserve"> </w:t>
      </w:r>
      <w:r>
        <w:t>refer</w:t>
      </w:r>
      <w:r>
        <w:rPr>
          <w:spacing w:val="-2"/>
        </w:rPr>
        <w:t xml:space="preserve"> </w:t>
      </w:r>
      <w:r>
        <w:t>to</w:t>
      </w:r>
      <w:r>
        <w:rPr>
          <w:spacing w:val="-3"/>
        </w:rPr>
        <w:t xml:space="preserve"> </w:t>
      </w:r>
      <w:r>
        <w:t>similar offerings for the commercial sector. Customers that benefit the most from SEM-like</w:t>
      </w:r>
      <w:r>
        <w:rPr>
          <w:spacing w:val="40"/>
        </w:rPr>
        <w:t xml:space="preserve"> </w:t>
      </w:r>
      <w:r>
        <w:t xml:space="preserve">programs typically </w:t>
      </w:r>
      <w:r>
        <w:t>fall under one of the following categories:</w:t>
      </w:r>
    </w:p>
    <w:p w:rsidR="00C31389" w:rsidRDefault="00561FBD" w14:paraId="0589603C" w14:textId="77777777">
      <w:pPr>
        <w:pStyle w:val="ListParagraph"/>
        <w:numPr>
          <w:ilvl w:val="3"/>
          <w:numId w:val="19"/>
        </w:numPr>
        <w:tabs>
          <w:tab w:val="left" w:pos="1199"/>
        </w:tabs>
        <w:spacing w:before="121"/>
        <w:ind w:hanging="359"/>
      </w:pPr>
      <w:r>
        <w:t>Campuses</w:t>
      </w:r>
      <w:r>
        <w:rPr>
          <w:spacing w:val="-8"/>
        </w:rPr>
        <w:t xml:space="preserve"> </w:t>
      </w:r>
      <w:r>
        <w:t>with</w:t>
      </w:r>
      <w:r>
        <w:rPr>
          <w:spacing w:val="-8"/>
        </w:rPr>
        <w:t xml:space="preserve"> </w:t>
      </w:r>
      <w:r>
        <w:t>multiple</w:t>
      </w:r>
      <w:r>
        <w:rPr>
          <w:spacing w:val="-8"/>
        </w:rPr>
        <w:t xml:space="preserve"> </w:t>
      </w:r>
      <w:r>
        <w:t>buildings</w:t>
      </w:r>
      <w:r>
        <w:rPr>
          <w:spacing w:val="-9"/>
        </w:rPr>
        <w:t xml:space="preserve"> </w:t>
      </w:r>
      <w:r>
        <w:t>and</w:t>
      </w:r>
      <w:r>
        <w:rPr>
          <w:spacing w:val="-8"/>
        </w:rPr>
        <w:t xml:space="preserve"> </w:t>
      </w:r>
      <w:r>
        <w:t>building</w:t>
      </w:r>
      <w:r>
        <w:rPr>
          <w:spacing w:val="-7"/>
        </w:rPr>
        <w:t xml:space="preserve"> </w:t>
      </w:r>
      <w:r>
        <w:rPr>
          <w:spacing w:val="-4"/>
        </w:rPr>
        <w:t>types</w:t>
      </w:r>
    </w:p>
    <w:p w:rsidR="00C31389" w:rsidRDefault="00561FBD" w14:paraId="023D879C" w14:textId="77777777">
      <w:pPr>
        <w:pStyle w:val="ListParagraph"/>
        <w:numPr>
          <w:ilvl w:val="3"/>
          <w:numId w:val="19"/>
        </w:numPr>
        <w:tabs>
          <w:tab w:val="left" w:pos="1199"/>
        </w:tabs>
        <w:spacing w:before="143"/>
        <w:ind w:hanging="359"/>
      </w:pPr>
      <w:r>
        <w:t>Customers</w:t>
      </w:r>
      <w:r>
        <w:rPr>
          <w:spacing w:val="-6"/>
        </w:rPr>
        <w:t xml:space="preserve"> </w:t>
      </w:r>
      <w:r>
        <w:t>with</w:t>
      </w:r>
      <w:r>
        <w:rPr>
          <w:spacing w:val="-5"/>
        </w:rPr>
        <w:t xml:space="preserve"> </w:t>
      </w:r>
      <w:r>
        <w:t>a</w:t>
      </w:r>
      <w:r>
        <w:rPr>
          <w:spacing w:val="-6"/>
        </w:rPr>
        <w:t xml:space="preserve"> </w:t>
      </w:r>
      <w:r>
        <w:t>large</w:t>
      </w:r>
      <w:r>
        <w:rPr>
          <w:spacing w:val="-6"/>
        </w:rPr>
        <w:t xml:space="preserve"> </w:t>
      </w:r>
      <w:r>
        <w:t>portfolio</w:t>
      </w:r>
      <w:r>
        <w:rPr>
          <w:spacing w:val="-5"/>
        </w:rPr>
        <w:t xml:space="preserve"> </w:t>
      </w:r>
      <w:r>
        <w:t>of</w:t>
      </w:r>
      <w:r>
        <w:rPr>
          <w:spacing w:val="-6"/>
        </w:rPr>
        <w:t xml:space="preserve"> </w:t>
      </w:r>
      <w:r>
        <w:t>buildings</w:t>
      </w:r>
      <w:r>
        <w:rPr>
          <w:spacing w:val="-5"/>
        </w:rPr>
        <w:t xml:space="preserve"> </w:t>
      </w:r>
      <w:r>
        <w:t>and</w:t>
      </w:r>
      <w:r>
        <w:rPr>
          <w:spacing w:val="-6"/>
        </w:rPr>
        <w:t xml:space="preserve"> </w:t>
      </w:r>
      <w:r>
        <w:t>a</w:t>
      </w:r>
      <w:r>
        <w:rPr>
          <w:spacing w:val="-5"/>
        </w:rPr>
        <w:t xml:space="preserve"> </w:t>
      </w:r>
      <w:r>
        <w:t>range</w:t>
      </w:r>
      <w:r>
        <w:rPr>
          <w:spacing w:val="-6"/>
        </w:rPr>
        <w:t xml:space="preserve"> </w:t>
      </w:r>
      <w:r>
        <w:t>of</w:t>
      </w:r>
      <w:r>
        <w:rPr>
          <w:spacing w:val="-6"/>
        </w:rPr>
        <w:t xml:space="preserve"> </w:t>
      </w:r>
      <w:r>
        <w:t>building</w:t>
      </w:r>
      <w:r>
        <w:rPr>
          <w:spacing w:val="-5"/>
        </w:rPr>
        <w:t xml:space="preserve"> </w:t>
      </w:r>
      <w:r>
        <w:rPr>
          <w:spacing w:val="-2"/>
        </w:rPr>
        <w:t>types</w:t>
      </w:r>
    </w:p>
    <w:p w:rsidR="00C31389" w:rsidRDefault="00561FBD" w14:paraId="0D882CCA" w14:textId="77777777">
      <w:pPr>
        <w:pStyle w:val="ListParagraph"/>
        <w:numPr>
          <w:ilvl w:val="3"/>
          <w:numId w:val="19"/>
        </w:numPr>
        <w:tabs>
          <w:tab w:val="left" w:pos="1199"/>
        </w:tabs>
        <w:spacing w:before="143"/>
      </w:pPr>
      <w:r>
        <w:t>Buildings</w:t>
      </w:r>
      <w:r>
        <w:rPr>
          <w:spacing w:val="-9"/>
        </w:rPr>
        <w:t xml:space="preserve"> </w:t>
      </w:r>
      <w:r>
        <w:t>with</w:t>
      </w:r>
      <w:r>
        <w:rPr>
          <w:spacing w:val="-8"/>
        </w:rPr>
        <w:t xml:space="preserve"> </w:t>
      </w:r>
      <w:r>
        <w:t>complex</w:t>
      </w:r>
      <w:r>
        <w:rPr>
          <w:spacing w:val="-9"/>
        </w:rPr>
        <w:t xml:space="preserve"> </w:t>
      </w:r>
      <w:r>
        <w:t>energy</w:t>
      </w:r>
      <w:r>
        <w:rPr>
          <w:spacing w:val="-8"/>
        </w:rPr>
        <w:t xml:space="preserve"> </w:t>
      </w:r>
      <w:r>
        <w:rPr>
          <w:spacing w:val="-2"/>
        </w:rPr>
        <w:t>systems</w:t>
      </w:r>
    </w:p>
    <w:p w:rsidR="00C31389" w:rsidRDefault="00C31389" w14:paraId="3C2AEEF1" w14:textId="77777777">
      <w:pPr>
        <w:pStyle w:val="BodyText"/>
        <w:spacing w:before="11"/>
      </w:pPr>
    </w:p>
    <w:p w:rsidR="00C31389" w:rsidRDefault="00561FBD" w14:paraId="561D6ED0" w14:textId="77777777">
      <w:pPr>
        <w:pStyle w:val="BodyText"/>
        <w:ind w:left="480" w:right="504" w:hanging="1"/>
      </w:pPr>
      <w:r>
        <w:t>SEM</w:t>
      </w:r>
      <w:r>
        <w:rPr>
          <w:spacing w:val="-4"/>
        </w:rPr>
        <w:t xml:space="preserve"> </w:t>
      </w:r>
      <w:r>
        <w:t>provides</w:t>
      </w:r>
      <w:r>
        <w:rPr>
          <w:spacing w:val="-2"/>
        </w:rPr>
        <w:t xml:space="preserve"> </w:t>
      </w:r>
      <w:r>
        <w:t>the</w:t>
      </w:r>
      <w:r>
        <w:rPr>
          <w:spacing w:val="-3"/>
        </w:rPr>
        <w:t xml:space="preserve"> </w:t>
      </w:r>
      <w:r>
        <w:t>processes</w:t>
      </w:r>
      <w:r>
        <w:rPr>
          <w:spacing w:val="-3"/>
        </w:rPr>
        <w:t xml:space="preserve"> </w:t>
      </w:r>
      <w:r>
        <w:t>and</w:t>
      </w:r>
      <w:r>
        <w:rPr>
          <w:spacing w:val="-4"/>
        </w:rPr>
        <w:t xml:space="preserve"> </w:t>
      </w:r>
      <w:r>
        <w:t>systems</w:t>
      </w:r>
      <w:r>
        <w:rPr>
          <w:spacing w:val="-3"/>
        </w:rPr>
        <w:t xml:space="preserve"> </w:t>
      </w:r>
      <w:r>
        <w:t>needed</w:t>
      </w:r>
      <w:r>
        <w:rPr>
          <w:spacing w:val="-3"/>
        </w:rPr>
        <w:t xml:space="preserve"> </w:t>
      </w:r>
      <w:r>
        <w:t>to</w:t>
      </w:r>
      <w:r>
        <w:rPr>
          <w:spacing w:val="-3"/>
        </w:rPr>
        <w:t xml:space="preserve"> </w:t>
      </w:r>
      <w:r>
        <w:t>incorporate</w:t>
      </w:r>
      <w:r>
        <w:rPr>
          <w:spacing w:val="-3"/>
        </w:rPr>
        <w:t xml:space="preserve"> </w:t>
      </w:r>
      <w:r>
        <w:t>energy</w:t>
      </w:r>
      <w:r>
        <w:rPr>
          <w:spacing w:val="-3"/>
        </w:rPr>
        <w:t xml:space="preserve"> </w:t>
      </w:r>
      <w:r>
        <w:t>considerations</w:t>
      </w:r>
      <w:r>
        <w:rPr>
          <w:spacing w:val="-3"/>
        </w:rPr>
        <w:t xml:space="preserve"> </w:t>
      </w:r>
      <w:r>
        <w:t>and energy management into daily operations. While SEM applications vary depending on customer-specific needs, program participants generally implement the following policies and activities:</w:t>
      </w:r>
    </w:p>
    <w:p w:rsidR="00C31389" w:rsidRDefault="00561FBD" w14:paraId="4231048B" w14:textId="77777777">
      <w:pPr>
        <w:pStyle w:val="ListParagraph"/>
        <w:numPr>
          <w:ilvl w:val="3"/>
          <w:numId w:val="19"/>
        </w:numPr>
        <w:tabs>
          <w:tab w:val="left" w:pos="1199"/>
        </w:tabs>
        <w:spacing w:before="121"/>
        <w:ind w:hanging="359"/>
      </w:pPr>
      <w:r>
        <w:t>Measure</w:t>
      </w:r>
      <w:r>
        <w:rPr>
          <w:spacing w:val="-7"/>
        </w:rPr>
        <w:t xml:space="preserve"> </w:t>
      </w:r>
      <w:r>
        <w:t>and</w:t>
      </w:r>
      <w:r>
        <w:rPr>
          <w:spacing w:val="-6"/>
        </w:rPr>
        <w:t xml:space="preserve"> </w:t>
      </w:r>
      <w:r>
        <w:t>track</w:t>
      </w:r>
      <w:r>
        <w:rPr>
          <w:spacing w:val="-6"/>
        </w:rPr>
        <w:t xml:space="preserve"> </w:t>
      </w:r>
      <w:r>
        <w:t>ene</w:t>
      </w:r>
      <w:r>
        <w:t>rgy</w:t>
      </w:r>
      <w:r>
        <w:rPr>
          <w:spacing w:val="-6"/>
        </w:rPr>
        <w:t xml:space="preserve"> </w:t>
      </w:r>
      <w:r>
        <w:t>use</w:t>
      </w:r>
      <w:r>
        <w:rPr>
          <w:spacing w:val="-7"/>
        </w:rPr>
        <w:t xml:space="preserve"> </w:t>
      </w:r>
      <w:r>
        <w:t>to</w:t>
      </w:r>
      <w:r>
        <w:rPr>
          <w:spacing w:val="-6"/>
        </w:rPr>
        <w:t xml:space="preserve"> </w:t>
      </w:r>
      <w:r>
        <w:t>help</w:t>
      </w:r>
      <w:r>
        <w:rPr>
          <w:spacing w:val="-6"/>
        </w:rPr>
        <w:t xml:space="preserve"> </w:t>
      </w:r>
      <w:r>
        <w:t>inform</w:t>
      </w:r>
      <w:r>
        <w:rPr>
          <w:spacing w:val="-7"/>
        </w:rPr>
        <w:t xml:space="preserve"> </w:t>
      </w:r>
      <w:r>
        <w:t>strategic</w:t>
      </w:r>
      <w:r>
        <w:rPr>
          <w:spacing w:val="-7"/>
        </w:rPr>
        <w:t xml:space="preserve"> </w:t>
      </w:r>
      <w:r>
        <w:t>business</w:t>
      </w:r>
      <w:r>
        <w:rPr>
          <w:spacing w:val="-6"/>
        </w:rPr>
        <w:t xml:space="preserve"> </w:t>
      </w:r>
      <w:r>
        <w:rPr>
          <w:spacing w:val="-2"/>
        </w:rPr>
        <w:t>decisions</w:t>
      </w:r>
    </w:p>
    <w:p w:rsidR="00C31389" w:rsidRDefault="00561FBD" w14:paraId="6D88204F" w14:textId="77777777">
      <w:pPr>
        <w:pStyle w:val="ListParagraph"/>
        <w:numPr>
          <w:ilvl w:val="3"/>
          <w:numId w:val="19"/>
        </w:numPr>
        <w:tabs>
          <w:tab w:val="left" w:pos="1199"/>
        </w:tabs>
        <w:spacing w:before="143"/>
        <w:ind w:hanging="359"/>
      </w:pPr>
      <w:r>
        <w:t>Drive</w:t>
      </w:r>
      <w:r>
        <w:rPr>
          <w:spacing w:val="-9"/>
        </w:rPr>
        <w:t xml:space="preserve"> </w:t>
      </w:r>
      <w:r>
        <w:t>managerial</w:t>
      </w:r>
      <w:r>
        <w:rPr>
          <w:spacing w:val="-8"/>
        </w:rPr>
        <w:t xml:space="preserve"> </w:t>
      </w:r>
      <w:r>
        <w:t>and</w:t>
      </w:r>
      <w:r>
        <w:rPr>
          <w:spacing w:val="-9"/>
        </w:rPr>
        <w:t xml:space="preserve"> </w:t>
      </w:r>
      <w:r>
        <w:t>corporate</w:t>
      </w:r>
      <w:r>
        <w:rPr>
          <w:spacing w:val="-8"/>
        </w:rPr>
        <w:t xml:space="preserve"> </w:t>
      </w:r>
      <w:r>
        <w:t>behavioral</w:t>
      </w:r>
      <w:r>
        <w:rPr>
          <w:spacing w:val="-8"/>
        </w:rPr>
        <w:t xml:space="preserve"> </w:t>
      </w:r>
      <w:r>
        <w:t>changes</w:t>
      </w:r>
      <w:r>
        <w:rPr>
          <w:spacing w:val="-9"/>
        </w:rPr>
        <w:t xml:space="preserve"> </w:t>
      </w:r>
      <w:r>
        <w:t>around</w:t>
      </w:r>
      <w:r>
        <w:rPr>
          <w:spacing w:val="-9"/>
        </w:rPr>
        <w:t xml:space="preserve"> </w:t>
      </w:r>
      <w:r>
        <w:rPr>
          <w:spacing w:val="-2"/>
        </w:rPr>
        <w:t>energy</w:t>
      </w:r>
    </w:p>
    <w:p w:rsidR="00C31389" w:rsidRDefault="00561FBD" w14:paraId="1A4C7269" w14:textId="77777777">
      <w:pPr>
        <w:pStyle w:val="ListParagraph"/>
        <w:numPr>
          <w:ilvl w:val="3"/>
          <w:numId w:val="19"/>
        </w:numPr>
        <w:tabs>
          <w:tab w:val="left" w:pos="1199"/>
        </w:tabs>
        <w:spacing w:before="143"/>
        <w:ind w:hanging="359"/>
      </w:pPr>
      <w:r>
        <w:t>Develop</w:t>
      </w:r>
      <w:r>
        <w:rPr>
          <w:spacing w:val="-8"/>
        </w:rPr>
        <w:t xml:space="preserve"> </w:t>
      </w:r>
      <w:r>
        <w:t>the</w:t>
      </w:r>
      <w:r>
        <w:rPr>
          <w:spacing w:val="-8"/>
        </w:rPr>
        <w:t xml:space="preserve"> </w:t>
      </w:r>
      <w:r>
        <w:t>mechanisms</w:t>
      </w:r>
      <w:r>
        <w:rPr>
          <w:spacing w:val="-8"/>
        </w:rPr>
        <w:t xml:space="preserve"> </w:t>
      </w:r>
      <w:r>
        <w:t>to</w:t>
      </w:r>
      <w:r>
        <w:rPr>
          <w:spacing w:val="-7"/>
        </w:rPr>
        <w:t xml:space="preserve"> </w:t>
      </w:r>
      <w:r>
        <w:t>track</w:t>
      </w:r>
      <w:r>
        <w:rPr>
          <w:spacing w:val="-7"/>
        </w:rPr>
        <w:t xml:space="preserve"> </w:t>
      </w:r>
      <w:r>
        <w:t>and</w:t>
      </w:r>
      <w:r>
        <w:rPr>
          <w:spacing w:val="-8"/>
        </w:rPr>
        <w:t xml:space="preserve"> </w:t>
      </w:r>
      <w:r>
        <w:t>evaluate</w:t>
      </w:r>
      <w:r>
        <w:rPr>
          <w:spacing w:val="-7"/>
        </w:rPr>
        <w:t xml:space="preserve"> </w:t>
      </w:r>
      <w:r>
        <w:t>energy</w:t>
      </w:r>
      <w:r>
        <w:rPr>
          <w:spacing w:val="-8"/>
        </w:rPr>
        <w:t xml:space="preserve"> </w:t>
      </w:r>
      <w:r>
        <w:t>optimization</w:t>
      </w:r>
      <w:r>
        <w:rPr>
          <w:spacing w:val="-7"/>
        </w:rPr>
        <w:t xml:space="preserve"> </w:t>
      </w:r>
      <w:r>
        <w:rPr>
          <w:spacing w:val="-2"/>
        </w:rPr>
        <w:t>efforts</w:t>
      </w:r>
    </w:p>
    <w:p w:rsidR="00C31389" w:rsidRDefault="00561FBD" w14:paraId="01CDD56E" w14:textId="77777777">
      <w:pPr>
        <w:pStyle w:val="ListParagraph"/>
        <w:numPr>
          <w:ilvl w:val="3"/>
          <w:numId w:val="19"/>
        </w:numPr>
        <w:tabs>
          <w:tab w:val="left" w:pos="1199"/>
        </w:tabs>
        <w:spacing w:before="144"/>
        <w:ind w:hanging="359"/>
      </w:pPr>
      <w:r>
        <w:t>Implement</w:t>
      </w:r>
      <w:r>
        <w:rPr>
          <w:spacing w:val="-10"/>
        </w:rPr>
        <w:t xml:space="preserve"> </w:t>
      </w:r>
      <w:r>
        <w:t>ongoing</w:t>
      </w:r>
      <w:r>
        <w:rPr>
          <w:spacing w:val="-9"/>
        </w:rPr>
        <w:t xml:space="preserve"> </w:t>
      </w:r>
      <w:r>
        <w:t>operations</w:t>
      </w:r>
      <w:r>
        <w:rPr>
          <w:spacing w:val="-10"/>
        </w:rPr>
        <w:t xml:space="preserve"> </w:t>
      </w:r>
      <w:r>
        <w:t>and</w:t>
      </w:r>
      <w:r>
        <w:rPr>
          <w:spacing w:val="-10"/>
        </w:rPr>
        <w:t xml:space="preserve"> </w:t>
      </w:r>
      <w:r>
        <w:t>maintenance</w:t>
      </w:r>
      <w:r>
        <w:rPr>
          <w:spacing w:val="-9"/>
        </w:rPr>
        <w:t xml:space="preserve"> </w:t>
      </w:r>
      <w:r>
        <w:t>(O&amp;M)</w:t>
      </w:r>
      <w:r>
        <w:rPr>
          <w:spacing w:val="-9"/>
        </w:rPr>
        <w:t xml:space="preserve"> </w:t>
      </w:r>
      <w:r>
        <w:rPr>
          <w:spacing w:val="-2"/>
        </w:rPr>
        <w:t>practices</w:t>
      </w:r>
    </w:p>
    <w:p w:rsidR="00C31389" w:rsidRDefault="00561FBD" w14:paraId="508181AD" w14:textId="77777777">
      <w:pPr>
        <w:pStyle w:val="ListParagraph"/>
        <w:numPr>
          <w:ilvl w:val="3"/>
          <w:numId w:val="19"/>
        </w:numPr>
        <w:tabs>
          <w:tab w:val="left" w:pos="1199"/>
        </w:tabs>
        <w:spacing w:before="144"/>
        <w:ind w:hanging="359"/>
      </w:pPr>
      <w:r>
        <w:t>Reduce</w:t>
      </w:r>
      <w:r>
        <w:rPr>
          <w:spacing w:val="-7"/>
        </w:rPr>
        <w:t xml:space="preserve"> </w:t>
      </w:r>
      <w:r>
        <w:t>total</w:t>
      </w:r>
      <w:r>
        <w:rPr>
          <w:spacing w:val="-6"/>
        </w:rPr>
        <w:t xml:space="preserve"> </w:t>
      </w:r>
      <w:r>
        <w:t>annual</w:t>
      </w:r>
      <w:r>
        <w:rPr>
          <w:spacing w:val="-6"/>
        </w:rPr>
        <w:t xml:space="preserve"> </w:t>
      </w:r>
      <w:r>
        <w:t>energy</w:t>
      </w:r>
      <w:r>
        <w:rPr>
          <w:spacing w:val="-7"/>
        </w:rPr>
        <w:t xml:space="preserve"> </w:t>
      </w:r>
      <w:r>
        <w:t>costs</w:t>
      </w:r>
      <w:r>
        <w:rPr>
          <w:spacing w:val="-6"/>
        </w:rPr>
        <w:t xml:space="preserve"> </w:t>
      </w:r>
      <w:r>
        <w:t>between</w:t>
      </w:r>
      <w:r>
        <w:rPr>
          <w:spacing w:val="-6"/>
        </w:rPr>
        <w:t xml:space="preserve"> </w:t>
      </w:r>
      <w:r>
        <w:t>5%</w:t>
      </w:r>
      <w:r>
        <w:rPr>
          <w:spacing w:val="-7"/>
        </w:rPr>
        <w:t xml:space="preserve"> </w:t>
      </w:r>
      <w:r>
        <w:t>and</w:t>
      </w:r>
      <w:r>
        <w:rPr>
          <w:spacing w:val="-6"/>
        </w:rPr>
        <w:t xml:space="preserve"> </w:t>
      </w:r>
      <w:r>
        <w:rPr>
          <w:spacing w:val="-5"/>
        </w:rPr>
        <w:t>10%</w:t>
      </w:r>
    </w:p>
    <w:p w:rsidR="00C31389" w:rsidRDefault="00561FBD" w14:paraId="1358A3D8" w14:textId="77777777">
      <w:pPr>
        <w:pStyle w:val="ListParagraph"/>
        <w:numPr>
          <w:ilvl w:val="3"/>
          <w:numId w:val="19"/>
        </w:numPr>
        <w:tabs>
          <w:tab w:val="left" w:pos="1199"/>
        </w:tabs>
        <w:spacing w:before="143" w:line="261" w:lineRule="auto"/>
        <w:ind w:right="864"/>
      </w:pPr>
      <w:r>
        <w:t>Identify</w:t>
      </w:r>
      <w:r>
        <w:rPr>
          <w:spacing w:val="-4"/>
        </w:rPr>
        <w:t xml:space="preserve"> </w:t>
      </w:r>
      <w:r>
        <w:t>and</w:t>
      </w:r>
      <w:r>
        <w:rPr>
          <w:spacing w:val="-5"/>
        </w:rPr>
        <w:t xml:space="preserve"> </w:t>
      </w:r>
      <w:r>
        <w:t>prioritize</w:t>
      </w:r>
      <w:r>
        <w:rPr>
          <w:spacing w:val="-5"/>
        </w:rPr>
        <w:t xml:space="preserve"> </w:t>
      </w:r>
      <w:r>
        <w:t>capital</w:t>
      </w:r>
      <w:r>
        <w:rPr>
          <w:spacing w:val="-4"/>
        </w:rPr>
        <w:t xml:space="preserve"> </w:t>
      </w:r>
      <w:r>
        <w:t>improvements</w:t>
      </w:r>
      <w:r>
        <w:rPr>
          <w:spacing w:val="-4"/>
        </w:rPr>
        <w:t xml:space="preserve"> </w:t>
      </w:r>
      <w:r>
        <w:t>or</w:t>
      </w:r>
      <w:r>
        <w:rPr>
          <w:spacing w:val="-4"/>
        </w:rPr>
        <w:t xml:space="preserve"> </w:t>
      </w:r>
      <w:r>
        <w:t>process</w:t>
      </w:r>
      <w:r>
        <w:rPr>
          <w:spacing w:val="-4"/>
        </w:rPr>
        <w:t xml:space="preserve"> </w:t>
      </w:r>
      <w:r>
        <w:t>changes</w:t>
      </w:r>
      <w:r>
        <w:rPr>
          <w:spacing w:val="-4"/>
        </w:rPr>
        <w:t xml:space="preserve"> </w:t>
      </w:r>
      <w:r>
        <w:t>that</w:t>
      </w:r>
      <w:r>
        <w:rPr>
          <w:spacing w:val="-4"/>
        </w:rPr>
        <w:t xml:space="preserve"> </w:t>
      </w:r>
      <w:r>
        <w:t>lead</w:t>
      </w:r>
      <w:r>
        <w:rPr>
          <w:spacing w:val="-4"/>
        </w:rPr>
        <w:t xml:space="preserve"> </w:t>
      </w:r>
      <w:r>
        <w:t>to</w:t>
      </w:r>
      <w:r>
        <w:rPr>
          <w:spacing w:val="-4"/>
        </w:rPr>
        <w:t xml:space="preserve"> </w:t>
      </w:r>
      <w:r>
        <w:t xml:space="preserve">more </w:t>
      </w:r>
      <w:r>
        <w:rPr>
          <w:spacing w:val="-2"/>
        </w:rPr>
        <w:t>savings</w:t>
      </w:r>
    </w:p>
    <w:p w:rsidR="00C31389" w:rsidRDefault="00561FBD" w14:paraId="4A923F5A" w14:textId="77777777">
      <w:pPr>
        <w:pStyle w:val="ListParagraph"/>
        <w:numPr>
          <w:ilvl w:val="3"/>
          <w:numId w:val="19"/>
        </w:numPr>
        <w:tabs>
          <w:tab w:val="left" w:pos="1199"/>
        </w:tabs>
        <w:spacing w:before="122" w:line="261" w:lineRule="auto"/>
        <w:ind w:right="1020"/>
      </w:pPr>
      <w:r>
        <w:t>Justify</w:t>
      </w:r>
      <w:r>
        <w:rPr>
          <w:spacing w:val="-5"/>
        </w:rPr>
        <w:t xml:space="preserve"> </w:t>
      </w:r>
      <w:r>
        <w:t>additional</w:t>
      </w:r>
      <w:r>
        <w:rPr>
          <w:spacing w:val="-4"/>
        </w:rPr>
        <w:t xml:space="preserve"> </w:t>
      </w:r>
      <w:r>
        <w:t>resources</w:t>
      </w:r>
      <w:r>
        <w:rPr>
          <w:spacing w:val="-4"/>
        </w:rPr>
        <w:t xml:space="preserve"> </w:t>
      </w:r>
      <w:r>
        <w:t>to</w:t>
      </w:r>
      <w:r>
        <w:rPr>
          <w:spacing w:val="-4"/>
        </w:rPr>
        <w:t xml:space="preserve"> </w:t>
      </w:r>
      <w:r>
        <w:t>energy</w:t>
      </w:r>
      <w:r>
        <w:rPr>
          <w:spacing w:val="-5"/>
        </w:rPr>
        <w:t xml:space="preserve"> </w:t>
      </w:r>
      <w:r>
        <w:t>management</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 xml:space="preserve">demonstrated </w:t>
      </w:r>
      <w:r>
        <w:rPr>
          <w:spacing w:val="-2"/>
        </w:rPr>
        <w:t>success</w:t>
      </w:r>
    </w:p>
    <w:p w:rsidR="00C31389" w:rsidRDefault="00561FBD" w14:paraId="67954E23" w14:textId="77777777">
      <w:pPr>
        <w:pStyle w:val="ListParagraph"/>
        <w:numPr>
          <w:ilvl w:val="3"/>
          <w:numId w:val="19"/>
        </w:numPr>
        <w:tabs>
          <w:tab w:val="left" w:pos="1199"/>
        </w:tabs>
        <w:spacing w:before="122"/>
      </w:pPr>
      <w:r>
        <w:t>Overcome</w:t>
      </w:r>
      <w:r>
        <w:rPr>
          <w:spacing w:val="-8"/>
        </w:rPr>
        <w:t xml:space="preserve"> </w:t>
      </w:r>
      <w:r>
        <w:t>barriers</w:t>
      </w:r>
      <w:r>
        <w:rPr>
          <w:spacing w:val="-7"/>
        </w:rPr>
        <w:t xml:space="preserve"> </w:t>
      </w:r>
      <w:r>
        <w:t>to</w:t>
      </w:r>
      <w:r>
        <w:rPr>
          <w:spacing w:val="-7"/>
        </w:rPr>
        <w:t xml:space="preserve"> </w:t>
      </w:r>
      <w:r>
        <w:rPr>
          <w:spacing w:val="-2"/>
        </w:rPr>
        <w:t>efficiency</w:t>
      </w:r>
    </w:p>
    <w:p w:rsidR="00C31389" w:rsidRDefault="00C31389" w14:paraId="65E38AE0" w14:textId="77777777">
      <w:pPr>
        <w:pStyle w:val="BodyText"/>
        <w:rPr>
          <w:sz w:val="20"/>
        </w:rPr>
      </w:pPr>
    </w:p>
    <w:p w:rsidR="00C31389" w:rsidRDefault="00C31389" w14:paraId="65539E5F" w14:textId="77777777">
      <w:pPr>
        <w:pStyle w:val="BodyText"/>
        <w:rPr>
          <w:sz w:val="20"/>
        </w:rPr>
      </w:pPr>
    </w:p>
    <w:p w:rsidR="00C31389" w:rsidRDefault="00561FBD" w14:paraId="53EF8B09" w14:textId="77777777">
      <w:pPr>
        <w:pStyle w:val="BodyText"/>
        <w:spacing w:before="3"/>
        <w:rPr>
          <w:sz w:val="18"/>
        </w:rPr>
      </w:pPr>
      <w:r>
        <w:rPr>
          <w:noProof/>
        </w:rPr>
        <mc:AlternateContent>
          <mc:Choice Requires="wps">
            <w:drawing>
              <wp:anchor distT="0" distB="0" distL="0" distR="0" simplePos="0" relativeHeight="487720960" behindDoc="1" locked="0" layoutInCell="1" allowOverlap="1" wp14:editId="4102AABE" wp14:anchorId="6DB12C70">
                <wp:simplePos x="0" y="0"/>
                <wp:positionH relativeFrom="page">
                  <wp:posOffset>914400</wp:posOffset>
                </wp:positionH>
                <wp:positionV relativeFrom="paragraph">
                  <wp:posOffset>148663</wp:posOffset>
                </wp:positionV>
                <wp:extent cx="1828800" cy="6985"/>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22" style="position:absolute;margin-left:1in;margin-top:11.7pt;width:2in;height:.55pt;z-index:-1559552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" w14:anchorId="0DC2D525">
                <v:path arrowok="t"/>
                <w10:wrap type="topAndBottom" anchorx="page"/>
              </v:shape>
            </w:pict>
          </mc:Fallback>
        </mc:AlternateContent>
      </w:r>
    </w:p>
    <w:p w:rsidR="00C31389" w:rsidRDefault="00561FBD" w14:paraId="27B5C105" w14:textId="77777777">
      <w:pPr>
        <w:spacing w:before="88"/>
        <w:ind w:left="480" w:right="418"/>
        <w:rPr>
          <w:sz w:val="18"/>
        </w:rPr>
      </w:pPr>
      <w:bookmarkStart w:name="_bookmark354" w:id="466"/>
      <w:bookmarkEnd w:id="466"/>
      <w:r>
        <w:rPr>
          <w:position w:val="6"/>
          <w:sz w:val="12"/>
        </w:rPr>
        <w:t>125</w:t>
      </w:r>
      <w:r>
        <w:rPr>
          <w:spacing w:val="14"/>
          <w:position w:val="6"/>
          <w:sz w:val="12"/>
        </w:rPr>
        <w:t xml:space="preserve"> </w:t>
      </w:r>
      <w:r>
        <w:rPr>
          <w:sz w:val="18"/>
        </w:rPr>
        <w:t>Grossberg,</w:t>
      </w:r>
      <w:r>
        <w:rPr>
          <w:spacing w:val="-3"/>
          <w:sz w:val="18"/>
        </w:rPr>
        <w:t xml:space="preserve"> </w:t>
      </w:r>
      <w:r>
        <w:rPr>
          <w:sz w:val="18"/>
        </w:rPr>
        <w:t>Frederick;</w:t>
      </w:r>
      <w:r>
        <w:rPr>
          <w:spacing w:val="-3"/>
          <w:sz w:val="18"/>
        </w:rPr>
        <w:t xml:space="preserve"> </w:t>
      </w:r>
      <w:r>
        <w:rPr>
          <w:sz w:val="18"/>
        </w:rPr>
        <w:t>Wolfson,</w:t>
      </w:r>
      <w:r>
        <w:rPr>
          <w:spacing w:val="-3"/>
          <w:sz w:val="18"/>
        </w:rPr>
        <w:t xml:space="preserve"> </w:t>
      </w:r>
      <w:r>
        <w:rPr>
          <w:sz w:val="18"/>
        </w:rPr>
        <w:t>Mariel;</w:t>
      </w:r>
      <w:r>
        <w:rPr>
          <w:spacing w:val="-3"/>
          <w:sz w:val="18"/>
        </w:rPr>
        <w:t xml:space="preserve"> </w:t>
      </w:r>
      <w:r>
        <w:rPr>
          <w:sz w:val="18"/>
        </w:rPr>
        <w:t>Mazur-Stommen,</w:t>
      </w:r>
      <w:r>
        <w:rPr>
          <w:spacing w:val="-2"/>
          <w:sz w:val="18"/>
        </w:rPr>
        <w:t xml:space="preserve"> </w:t>
      </w:r>
      <w:r>
        <w:rPr>
          <w:sz w:val="18"/>
        </w:rPr>
        <w:t>Susan;</w:t>
      </w:r>
      <w:r>
        <w:rPr>
          <w:spacing w:val="-3"/>
          <w:sz w:val="18"/>
        </w:rPr>
        <w:t xml:space="preserve"> </w:t>
      </w:r>
      <w:r>
        <w:rPr>
          <w:sz w:val="18"/>
        </w:rPr>
        <w:t>Farley,</w:t>
      </w:r>
      <w:r>
        <w:rPr>
          <w:spacing w:val="-2"/>
          <w:sz w:val="18"/>
        </w:rPr>
        <w:t xml:space="preserve"> </w:t>
      </w:r>
      <w:r>
        <w:rPr>
          <w:sz w:val="18"/>
        </w:rPr>
        <w:t>Kate;</w:t>
      </w:r>
      <w:r>
        <w:rPr>
          <w:spacing w:val="-3"/>
          <w:sz w:val="18"/>
        </w:rPr>
        <w:t xml:space="preserve"> </w:t>
      </w:r>
      <w:r>
        <w:rPr>
          <w:sz w:val="18"/>
        </w:rPr>
        <w:t>and</w:t>
      </w:r>
      <w:r>
        <w:rPr>
          <w:spacing w:val="-4"/>
          <w:sz w:val="18"/>
        </w:rPr>
        <w:t xml:space="preserve"> </w:t>
      </w:r>
      <w:r>
        <w:rPr>
          <w:sz w:val="18"/>
        </w:rPr>
        <w:t>Steven</w:t>
      </w:r>
      <w:r>
        <w:rPr>
          <w:spacing w:val="-4"/>
          <w:sz w:val="18"/>
        </w:rPr>
        <w:t xml:space="preserve"> </w:t>
      </w:r>
      <w:r>
        <w:rPr>
          <w:sz w:val="18"/>
        </w:rPr>
        <w:t>Nadel.</w:t>
      </w:r>
      <w:r>
        <w:rPr>
          <w:spacing w:val="-3"/>
          <w:sz w:val="18"/>
        </w:rPr>
        <w:t xml:space="preserve"> </w:t>
      </w:r>
      <w:r>
        <w:rPr>
          <w:sz w:val="18"/>
        </w:rPr>
        <w:t>2015. (February) “Gamified Energy Efficiency Programs.” ACEEE Report B1501.</w:t>
      </w:r>
    </w:p>
    <w:p w:rsidR="00C31389" w:rsidRDefault="00C31389" w14:paraId="02BAB41D" w14:textId="77777777">
      <w:pPr>
        <w:rPr>
          <w:sz w:val="18"/>
        </w:rPr>
        <w:sectPr w:rsidR="00C31389">
          <w:headerReference w:type="default" r:id="rId267"/>
          <w:footerReference w:type="default" r:id="rId268"/>
          <w:pgSz w:w="11910" w:h="16840"/>
          <w:pgMar w:top="1380" w:right="1020" w:bottom="1120" w:left="960" w:header="397" w:footer="938" w:gutter="0"/>
          <w:cols w:space="720"/>
        </w:sectPr>
      </w:pPr>
    </w:p>
    <w:p w:rsidR="00C31389" w:rsidRDefault="00C31389" w14:paraId="4F9C6119" w14:textId="77777777">
      <w:pPr>
        <w:pStyle w:val="BodyText"/>
      </w:pPr>
    </w:p>
    <w:p w:rsidR="00C31389" w:rsidRDefault="00C31389" w14:paraId="3EDB7CFE" w14:textId="77777777">
      <w:pPr>
        <w:pStyle w:val="BodyText"/>
        <w:spacing w:before="2"/>
        <w:rPr>
          <w:sz w:val="13"/>
        </w:rPr>
      </w:pPr>
    </w:p>
    <w:p w:rsidR="00C31389" w:rsidRDefault="00561FBD" w14:paraId="0556E39C" w14:textId="77777777">
      <w:pPr>
        <w:pStyle w:val="ListParagraph"/>
        <w:numPr>
          <w:ilvl w:val="3"/>
          <w:numId w:val="19"/>
        </w:numPr>
        <w:tabs>
          <w:tab w:val="left" w:pos="1199"/>
        </w:tabs>
        <w:spacing w:before="100"/>
        <w:ind w:hanging="359"/>
      </w:pPr>
      <w:r>
        <w:t>Boost</w:t>
      </w:r>
      <w:r>
        <w:rPr>
          <w:spacing w:val="-9"/>
        </w:rPr>
        <w:t xml:space="preserve"> </w:t>
      </w:r>
      <w:r>
        <w:t>employee</w:t>
      </w:r>
      <w:r>
        <w:rPr>
          <w:spacing w:val="-8"/>
        </w:rPr>
        <w:t xml:space="preserve"> </w:t>
      </w:r>
      <w:r>
        <w:t>engagement</w:t>
      </w:r>
      <w:r>
        <w:rPr>
          <w:spacing w:val="-9"/>
        </w:rPr>
        <w:t xml:space="preserve"> </w:t>
      </w:r>
      <w:r>
        <w:t>to</w:t>
      </w:r>
      <w:r>
        <w:rPr>
          <w:spacing w:val="-8"/>
        </w:rPr>
        <w:t xml:space="preserve"> </w:t>
      </w:r>
      <w:r>
        <w:t>contribute</w:t>
      </w:r>
      <w:r>
        <w:rPr>
          <w:spacing w:val="-9"/>
        </w:rPr>
        <w:t xml:space="preserve"> </w:t>
      </w:r>
      <w:r>
        <w:t>to</w:t>
      </w:r>
      <w:r>
        <w:rPr>
          <w:spacing w:val="-8"/>
        </w:rPr>
        <w:t xml:space="preserve"> </w:t>
      </w:r>
      <w:r>
        <w:t>sustainability</w:t>
      </w:r>
      <w:r>
        <w:rPr>
          <w:spacing w:val="-9"/>
        </w:rPr>
        <w:t xml:space="preserve"> </w:t>
      </w:r>
      <w:r>
        <w:rPr>
          <w:spacing w:val="-2"/>
        </w:rPr>
        <w:t>goals</w:t>
      </w:r>
    </w:p>
    <w:p w:rsidR="00C31389" w:rsidRDefault="00561FBD" w14:paraId="71668826" w14:textId="77777777">
      <w:pPr>
        <w:pStyle w:val="ListParagraph"/>
        <w:numPr>
          <w:ilvl w:val="3"/>
          <w:numId w:val="19"/>
        </w:numPr>
        <w:tabs>
          <w:tab w:val="left" w:pos="1199"/>
        </w:tabs>
        <w:spacing w:before="144"/>
        <w:ind w:hanging="359"/>
      </w:pPr>
      <w:r>
        <w:t>Embed</w:t>
      </w:r>
      <w:r>
        <w:rPr>
          <w:spacing w:val="-7"/>
        </w:rPr>
        <w:t xml:space="preserve"> </w:t>
      </w:r>
      <w:r>
        <w:t>SEM</w:t>
      </w:r>
      <w:r>
        <w:rPr>
          <w:spacing w:val="-8"/>
        </w:rPr>
        <w:t xml:space="preserve"> </w:t>
      </w:r>
      <w:r>
        <w:t>principles</w:t>
      </w:r>
      <w:r>
        <w:rPr>
          <w:spacing w:val="-7"/>
        </w:rPr>
        <w:t xml:space="preserve"> </w:t>
      </w:r>
      <w:r>
        <w:t>into</w:t>
      </w:r>
      <w:r>
        <w:rPr>
          <w:spacing w:val="-7"/>
        </w:rPr>
        <w:t xml:space="preserve"> </w:t>
      </w:r>
      <w:r>
        <w:t>a</w:t>
      </w:r>
      <w:r>
        <w:rPr>
          <w:spacing w:val="-6"/>
        </w:rPr>
        <w:t xml:space="preserve"> </w:t>
      </w:r>
      <w:r>
        <w:t>company’s</w:t>
      </w:r>
      <w:r>
        <w:rPr>
          <w:spacing w:val="-7"/>
        </w:rPr>
        <w:t xml:space="preserve"> </w:t>
      </w:r>
      <w:r>
        <w:rPr>
          <w:spacing w:val="-2"/>
        </w:rPr>
        <w:t>operations</w:t>
      </w:r>
    </w:p>
    <w:p w:rsidR="00C31389" w:rsidRDefault="00C31389" w14:paraId="058207A7" w14:textId="77777777">
      <w:pPr>
        <w:pStyle w:val="BodyText"/>
        <w:spacing w:before="10"/>
      </w:pPr>
    </w:p>
    <w:p w:rsidR="00C31389" w:rsidRDefault="00561FBD" w14:paraId="686C503B" w14:textId="77777777">
      <w:pPr>
        <w:pStyle w:val="BodyText"/>
        <w:ind w:left="480" w:right="418" w:hanging="1"/>
      </w:pPr>
      <w:r>
        <w:t xml:space="preserve">The model inputs for electric and natural gas shown in </w:t>
      </w:r>
      <w:hyperlink w:history="1" w:anchor="_bookmark355">
        <w:r>
          <w:t>Table D-6</w:t>
        </w:r>
      </w:hyperlink>
      <w:r>
        <w:t xml:space="preserve"> represent savings associated with operational and behavioral changes. The savings are estimated at 3% of customer segment cons</w:t>
      </w:r>
      <w:r>
        <w:t>umption (kWh or therms per year) and are applied consistently by building</w:t>
      </w:r>
      <w:r>
        <w:rPr>
          <w:spacing w:val="-2"/>
        </w:rPr>
        <w:t xml:space="preserve"> </w:t>
      </w:r>
      <w:r>
        <w:t>and</w:t>
      </w:r>
      <w:r>
        <w:rPr>
          <w:spacing w:val="-3"/>
        </w:rPr>
        <w:t xml:space="preserve"> </w:t>
      </w:r>
      <w:r>
        <w:t>fuel</w:t>
      </w:r>
      <w:r>
        <w:rPr>
          <w:spacing w:val="-2"/>
        </w:rPr>
        <w:t xml:space="preserve"> </w:t>
      </w:r>
      <w:r>
        <w:t>type</w:t>
      </w:r>
      <w:r>
        <w:rPr>
          <w:spacing w:val="-2"/>
        </w:rPr>
        <w:t xml:space="preserve"> </w:t>
      </w:r>
      <w:r>
        <w:t>across</w:t>
      </w:r>
      <w:r>
        <w:rPr>
          <w:spacing w:val="-2"/>
        </w:rPr>
        <w:t xml:space="preserve"> </w:t>
      </w:r>
      <w:r>
        <w:t>utilities.</w:t>
      </w:r>
      <w:r>
        <w:rPr>
          <w:spacing w:val="-3"/>
        </w:rPr>
        <w:t xml:space="preserve"> </w:t>
      </w:r>
      <w:r>
        <w:t>Costs</w:t>
      </w:r>
      <w:r>
        <w:rPr>
          <w:spacing w:val="-2"/>
        </w:rPr>
        <w:t xml:space="preserve"> </w:t>
      </w:r>
      <w:r>
        <w:t>for</w:t>
      </w:r>
      <w:r>
        <w:rPr>
          <w:spacing w:val="-2"/>
        </w:rPr>
        <w:t xml:space="preserve"> </w:t>
      </w:r>
      <w:r>
        <w:t>electricity</w:t>
      </w:r>
      <w:r>
        <w:rPr>
          <w:spacing w:val="-2"/>
        </w:rPr>
        <w:t xml:space="preserve"> </w:t>
      </w:r>
      <w:r>
        <w:t>and</w:t>
      </w:r>
      <w:r>
        <w:rPr>
          <w:spacing w:val="-3"/>
        </w:rPr>
        <w:t xml:space="preserve"> </w:t>
      </w:r>
      <w:r>
        <w:t>natural</w:t>
      </w:r>
      <w:r>
        <w:rPr>
          <w:spacing w:val="-2"/>
        </w:rPr>
        <w:t xml:space="preserve"> </w:t>
      </w:r>
      <w:r>
        <w:t>gas</w:t>
      </w:r>
      <w:r>
        <w:rPr>
          <w:spacing w:val="-3"/>
        </w:rPr>
        <w:t xml:space="preserve"> </w:t>
      </w:r>
      <w:r>
        <w:t>are</w:t>
      </w:r>
      <w:r>
        <w:rPr>
          <w:spacing w:val="-2"/>
        </w:rPr>
        <w:t xml:space="preserve"> </w:t>
      </w:r>
      <w:r>
        <w:t>$0.27</w:t>
      </w:r>
      <w:r>
        <w:rPr>
          <w:spacing w:val="-2"/>
        </w:rPr>
        <w:t xml:space="preserve"> </w:t>
      </w:r>
      <w:r>
        <w:t>per</w:t>
      </w:r>
      <w:r>
        <w:rPr>
          <w:spacing w:val="-2"/>
        </w:rPr>
        <w:t xml:space="preserve"> </w:t>
      </w:r>
      <w:r>
        <w:t xml:space="preserve">kWh and $3.65 per therm; these values are also applied consistently by building type across </w:t>
      </w:r>
      <w:r>
        <w:rPr>
          <w:spacing w:val="-2"/>
        </w:rPr>
        <w:t>utilities.</w:t>
      </w:r>
    </w:p>
    <w:p w:rsidR="00C31389" w:rsidRDefault="00C31389" w14:paraId="1E4EDAFA" w14:textId="77777777">
      <w:pPr>
        <w:pStyle w:val="BodyText"/>
        <w:spacing w:before="10"/>
        <w:rPr>
          <w:sz w:val="20"/>
        </w:rPr>
      </w:pPr>
    </w:p>
    <w:p w:rsidR="00C31389" w:rsidRDefault="00561FBD" w14:paraId="52335FBE" w14:textId="77777777">
      <w:pPr>
        <w:pStyle w:val="Heading7"/>
        <w:ind w:left="398" w:right="339"/>
        <w:jc w:val="center"/>
      </w:pPr>
      <w:bookmarkStart w:name="_bookmark355" w:id="467"/>
      <w:bookmarkEnd w:id="467"/>
      <w:r>
        <w:t>Table</w:t>
      </w:r>
      <w:r>
        <w:rPr>
          <w:spacing w:val="-8"/>
        </w:rPr>
        <w:t xml:space="preserve"> </w:t>
      </w:r>
      <w:r>
        <w:t>D-6.</w:t>
      </w:r>
      <w:r>
        <w:rPr>
          <w:spacing w:val="-9"/>
        </w:rPr>
        <w:t xml:space="preserve"> </w:t>
      </w:r>
      <w:r>
        <w:t>Commercial</w:t>
      </w:r>
      <w:r>
        <w:rPr>
          <w:spacing w:val="-8"/>
        </w:rPr>
        <w:t xml:space="preserve"> </w:t>
      </w:r>
      <w:r>
        <w:t>SEM-Like</w:t>
      </w:r>
      <w:r>
        <w:rPr>
          <w:spacing w:val="-8"/>
        </w:rPr>
        <w:t xml:space="preserve"> </w:t>
      </w:r>
      <w:r>
        <w:t>Programs</w:t>
      </w:r>
      <w:r>
        <w:rPr>
          <w:spacing w:val="-8"/>
        </w:rPr>
        <w:t xml:space="preserve"> </w:t>
      </w:r>
      <w:r>
        <w:t>–</w:t>
      </w:r>
      <w:r>
        <w:rPr>
          <w:spacing w:val="-7"/>
        </w:rPr>
        <w:t xml:space="preserve"> </w:t>
      </w:r>
      <w:r>
        <w:t>Key</w:t>
      </w:r>
      <w:r>
        <w:rPr>
          <w:spacing w:val="-8"/>
        </w:rPr>
        <w:t xml:space="preserve"> </w:t>
      </w:r>
      <w:r>
        <w:rPr>
          <w:spacing w:val="-2"/>
        </w:rPr>
        <w:t>Assumptions</w:t>
      </w:r>
    </w:p>
    <w:p w:rsidR="00C31389" w:rsidRDefault="00C31389" w14:paraId="17ECDB56" w14:textId="77777777">
      <w:pPr>
        <w:pStyle w:val="BodyText"/>
        <w:spacing w:before="7"/>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378"/>
        <w:gridCol w:w="1240"/>
        <w:gridCol w:w="1003"/>
        <w:gridCol w:w="1028"/>
        <w:gridCol w:w="1260"/>
        <w:gridCol w:w="1358"/>
        <w:gridCol w:w="889"/>
        <w:gridCol w:w="1210"/>
      </w:tblGrid>
      <w:tr w:rsidR="00C31389" w14:paraId="35C384DA" w14:textId="77777777">
        <w:trPr>
          <w:trHeight w:val="323"/>
        </w:trPr>
        <w:tc>
          <w:tcPr>
            <w:tcW w:w="1378" w:type="dxa"/>
            <w:shd w:val="clear" w:color="auto" w:fill="92D400"/>
          </w:tcPr>
          <w:p w:rsidR="00C31389" w:rsidRDefault="00C31389" w14:paraId="74A72783" w14:textId="77777777">
            <w:pPr>
              <w:pStyle w:val="TableParagraph"/>
              <w:spacing w:before="0"/>
              <w:rPr>
                <w:rFonts w:ascii="Times New Roman"/>
                <w:sz w:val="20"/>
              </w:rPr>
            </w:pPr>
          </w:p>
        </w:tc>
        <w:tc>
          <w:tcPr>
            <w:tcW w:w="1240" w:type="dxa"/>
            <w:shd w:val="clear" w:color="auto" w:fill="92D400"/>
          </w:tcPr>
          <w:p w:rsidR="00C31389" w:rsidRDefault="00C31389" w14:paraId="4BA3D269" w14:textId="77777777">
            <w:pPr>
              <w:pStyle w:val="TableParagraph"/>
              <w:spacing w:before="0"/>
              <w:rPr>
                <w:rFonts w:ascii="Times New Roman"/>
                <w:sz w:val="20"/>
              </w:rPr>
            </w:pPr>
          </w:p>
        </w:tc>
        <w:tc>
          <w:tcPr>
            <w:tcW w:w="1003" w:type="dxa"/>
            <w:vMerge w:val="restart"/>
            <w:shd w:val="clear" w:color="auto" w:fill="92D400"/>
          </w:tcPr>
          <w:p w:rsidR="00C31389" w:rsidRDefault="00C31389" w14:paraId="66CBEFDE" w14:textId="77777777">
            <w:pPr>
              <w:pStyle w:val="TableParagraph"/>
              <w:spacing w:before="5"/>
              <w:rPr>
                <w:b/>
                <w:sz w:val="17"/>
              </w:rPr>
            </w:pPr>
          </w:p>
          <w:p w:rsidR="00C31389" w:rsidRDefault="00561FBD" w14:paraId="38BDFCCD" w14:textId="77777777">
            <w:pPr>
              <w:pStyle w:val="TableParagraph"/>
              <w:spacing w:before="0"/>
              <w:ind w:left="260"/>
              <w:rPr>
                <w:b/>
                <w:sz w:val="20"/>
              </w:rPr>
            </w:pPr>
            <w:r>
              <w:rPr>
                <w:b/>
                <w:spacing w:val="-5"/>
                <w:sz w:val="20"/>
              </w:rPr>
              <w:t>EUL</w:t>
            </w:r>
          </w:p>
          <w:p w:rsidR="00C31389" w:rsidRDefault="00561FBD" w14:paraId="6B98268D" w14:textId="77777777">
            <w:pPr>
              <w:pStyle w:val="TableParagraph"/>
              <w:spacing w:before="1"/>
              <w:ind w:left="188"/>
              <w:rPr>
                <w:b/>
                <w:sz w:val="20"/>
              </w:rPr>
            </w:pPr>
            <w:r>
              <w:rPr>
                <w:b/>
                <w:spacing w:val="-2"/>
                <w:sz w:val="20"/>
              </w:rPr>
              <w:t>Years</w:t>
            </w:r>
          </w:p>
        </w:tc>
        <w:tc>
          <w:tcPr>
            <w:tcW w:w="2288" w:type="dxa"/>
            <w:gridSpan w:val="2"/>
            <w:shd w:val="clear" w:color="auto" w:fill="92D400"/>
          </w:tcPr>
          <w:p w:rsidR="00C31389" w:rsidRDefault="00561FBD" w14:paraId="470BE682" w14:textId="77777777">
            <w:pPr>
              <w:pStyle w:val="TableParagraph"/>
              <w:spacing w:before="95" w:line="208" w:lineRule="exact"/>
              <w:ind w:left="698"/>
              <w:rPr>
                <w:b/>
                <w:sz w:val="20"/>
              </w:rPr>
            </w:pPr>
            <w:r>
              <w:rPr>
                <w:b/>
                <w:spacing w:val="-2"/>
                <w:sz w:val="20"/>
              </w:rPr>
              <w:t>Savings</w:t>
            </w:r>
          </w:p>
        </w:tc>
        <w:tc>
          <w:tcPr>
            <w:tcW w:w="1358" w:type="dxa"/>
            <w:shd w:val="clear" w:color="auto" w:fill="92D400"/>
          </w:tcPr>
          <w:p w:rsidR="00C31389" w:rsidRDefault="00561FBD" w14:paraId="2E96E9A9" w14:textId="77777777">
            <w:pPr>
              <w:pStyle w:val="TableParagraph"/>
              <w:spacing w:before="95" w:line="208" w:lineRule="exact"/>
              <w:ind w:left="902"/>
              <w:rPr>
                <w:b/>
                <w:sz w:val="20"/>
              </w:rPr>
            </w:pPr>
            <w:r>
              <w:rPr>
                <w:b/>
                <w:spacing w:val="-4"/>
                <w:sz w:val="20"/>
              </w:rPr>
              <w:t>Cost</w:t>
            </w:r>
          </w:p>
        </w:tc>
        <w:tc>
          <w:tcPr>
            <w:tcW w:w="889" w:type="dxa"/>
            <w:shd w:val="clear" w:color="auto" w:fill="92D400"/>
          </w:tcPr>
          <w:p w:rsidR="00C31389" w:rsidRDefault="00C31389" w14:paraId="6E8EC977" w14:textId="77777777">
            <w:pPr>
              <w:pStyle w:val="TableParagraph"/>
              <w:spacing w:before="0"/>
              <w:rPr>
                <w:rFonts w:ascii="Times New Roman"/>
                <w:sz w:val="20"/>
              </w:rPr>
            </w:pPr>
          </w:p>
        </w:tc>
        <w:tc>
          <w:tcPr>
            <w:tcW w:w="1210" w:type="dxa"/>
            <w:vMerge w:val="restart"/>
            <w:shd w:val="clear" w:color="auto" w:fill="92D400"/>
          </w:tcPr>
          <w:p w:rsidR="00C31389" w:rsidRDefault="00561FBD" w14:paraId="76D3C899" w14:textId="77777777">
            <w:pPr>
              <w:pStyle w:val="TableParagraph"/>
              <w:spacing w:before="86"/>
              <w:ind w:left="236" w:right="188"/>
              <w:jc w:val="center"/>
              <w:rPr>
                <w:b/>
                <w:sz w:val="20"/>
              </w:rPr>
            </w:pPr>
            <w:r>
              <w:rPr>
                <w:b/>
                <w:spacing w:val="-2"/>
                <w:sz w:val="20"/>
              </w:rPr>
              <w:t>kW/kWh Savings Ratio</w:t>
            </w:r>
          </w:p>
        </w:tc>
      </w:tr>
      <w:tr w:rsidR="00C31389" w14:paraId="07461220" w14:textId="77777777">
        <w:trPr>
          <w:trHeight w:val="220"/>
        </w:trPr>
        <w:tc>
          <w:tcPr>
            <w:tcW w:w="1378" w:type="dxa"/>
            <w:shd w:val="clear" w:color="auto" w:fill="92D400"/>
          </w:tcPr>
          <w:p w:rsidR="00C31389" w:rsidRDefault="00561FBD" w14:paraId="28CC6EFF" w14:textId="77777777">
            <w:pPr>
              <w:pStyle w:val="TableParagraph"/>
              <w:spacing w:before="0" w:line="200" w:lineRule="exact"/>
              <w:ind w:left="124"/>
              <w:rPr>
                <w:b/>
                <w:sz w:val="20"/>
              </w:rPr>
            </w:pPr>
            <w:r>
              <w:rPr>
                <w:b/>
                <w:spacing w:val="-2"/>
                <w:sz w:val="20"/>
              </w:rPr>
              <w:t>Sector</w:t>
            </w:r>
          </w:p>
        </w:tc>
        <w:tc>
          <w:tcPr>
            <w:tcW w:w="1240" w:type="dxa"/>
            <w:shd w:val="clear" w:color="auto" w:fill="92D400"/>
          </w:tcPr>
          <w:p w:rsidR="00C31389" w:rsidRDefault="00561FBD" w14:paraId="45CAF145" w14:textId="77777777">
            <w:pPr>
              <w:pStyle w:val="TableParagraph"/>
              <w:spacing w:before="0" w:line="200" w:lineRule="exact"/>
              <w:ind w:left="186"/>
              <w:rPr>
                <w:b/>
                <w:sz w:val="20"/>
              </w:rPr>
            </w:pPr>
            <w:r>
              <w:rPr>
                <w:b/>
                <w:spacing w:val="-4"/>
                <w:sz w:val="20"/>
              </w:rPr>
              <w:t>Type</w:t>
            </w:r>
          </w:p>
        </w:tc>
        <w:tc>
          <w:tcPr>
            <w:tcW w:w="1003" w:type="dxa"/>
            <w:vMerge/>
            <w:tcBorders>
              <w:top w:val="nil"/>
            </w:tcBorders>
            <w:shd w:val="clear" w:color="auto" w:fill="92D400"/>
          </w:tcPr>
          <w:p w:rsidR="00C31389" w:rsidRDefault="00C31389" w14:paraId="1596CC98" w14:textId="77777777">
            <w:pPr>
              <w:rPr>
                <w:sz w:val="2"/>
                <w:szCs w:val="2"/>
              </w:rPr>
            </w:pPr>
          </w:p>
        </w:tc>
        <w:tc>
          <w:tcPr>
            <w:tcW w:w="1028" w:type="dxa"/>
            <w:shd w:val="clear" w:color="auto" w:fill="92D400"/>
          </w:tcPr>
          <w:p w:rsidR="00C31389" w:rsidRDefault="00C31389" w14:paraId="5533A59B" w14:textId="77777777">
            <w:pPr>
              <w:pStyle w:val="TableParagraph"/>
              <w:spacing w:before="0"/>
              <w:rPr>
                <w:rFonts w:ascii="Times New Roman"/>
                <w:sz w:val="14"/>
              </w:rPr>
            </w:pPr>
          </w:p>
        </w:tc>
        <w:tc>
          <w:tcPr>
            <w:tcW w:w="1260" w:type="dxa"/>
            <w:shd w:val="clear" w:color="auto" w:fill="92D400"/>
          </w:tcPr>
          <w:p w:rsidR="00C31389" w:rsidRDefault="00C31389" w14:paraId="3965029A" w14:textId="77777777">
            <w:pPr>
              <w:pStyle w:val="TableParagraph"/>
              <w:spacing w:before="0"/>
              <w:rPr>
                <w:rFonts w:ascii="Times New Roman"/>
                <w:sz w:val="14"/>
              </w:rPr>
            </w:pPr>
          </w:p>
        </w:tc>
        <w:tc>
          <w:tcPr>
            <w:tcW w:w="1358" w:type="dxa"/>
            <w:shd w:val="clear" w:color="auto" w:fill="92D400"/>
          </w:tcPr>
          <w:p w:rsidR="00C31389" w:rsidRDefault="00C31389" w14:paraId="732198DF" w14:textId="77777777">
            <w:pPr>
              <w:pStyle w:val="TableParagraph"/>
              <w:spacing w:before="0"/>
              <w:rPr>
                <w:rFonts w:ascii="Times New Roman"/>
                <w:sz w:val="14"/>
              </w:rPr>
            </w:pPr>
          </w:p>
        </w:tc>
        <w:tc>
          <w:tcPr>
            <w:tcW w:w="889" w:type="dxa"/>
            <w:shd w:val="clear" w:color="auto" w:fill="92D400"/>
          </w:tcPr>
          <w:p w:rsidR="00C31389" w:rsidRDefault="00C31389" w14:paraId="6AF2956D" w14:textId="77777777">
            <w:pPr>
              <w:pStyle w:val="TableParagraph"/>
              <w:spacing w:before="0"/>
              <w:rPr>
                <w:rFonts w:ascii="Times New Roman"/>
                <w:sz w:val="14"/>
              </w:rPr>
            </w:pPr>
          </w:p>
        </w:tc>
        <w:tc>
          <w:tcPr>
            <w:tcW w:w="1210" w:type="dxa"/>
            <w:vMerge/>
            <w:tcBorders>
              <w:top w:val="nil"/>
            </w:tcBorders>
            <w:shd w:val="clear" w:color="auto" w:fill="92D400"/>
          </w:tcPr>
          <w:p w:rsidR="00C31389" w:rsidRDefault="00C31389" w14:paraId="775B5E85" w14:textId="77777777">
            <w:pPr>
              <w:rPr>
                <w:sz w:val="2"/>
                <w:szCs w:val="2"/>
              </w:rPr>
            </w:pPr>
          </w:p>
        </w:tc>
      </w:tr>
      <w:tr w:rsidR="00C31389" w14:paraId="56DFA833" w14:textId="77777777">
        <w:trPr>
          <w:trHeight w:val="326"/>
        </w:trPr>
        <w:tc>
          <w:tcPr>
            <w:tcW w:w="1378" w:type="dxa"/>
            <w:shd w:val="clear" w:color="auto" w:fill="92D400"/>
          </w:tcPr>
          <w:p w:rsidR="00C31389" w:rsidRDefault="00C31389" w14:paraId="26320834" w14:textId="77777777">
            <w:pPr>
              <w:pStyle w:val="TableParagraph"/>
              <w:spacing w:before="0"/>
              <w:rPr>
                <w:rFonts w:ascii="Times New Roman"/>
                <w:sz w:val="20"/>
              </w:rPr>
            </w:pPr>
          </w:p>
        </w:tc>
        <w:tc>
          <w:tcPr>
            <w:tcW w:w="1240" w:type="dxa"/>
            <w:shd w:val="clear" w:color="auto" w:fill="92D400"/>
          </w:tcPr>
          <w:p w:rsidR="00C31389" w:rsidRDefault="00C31389" w14:paraId="68717DAB" w14:textId="77777777">
            <w:pPr>
              <w:pStyle w:val="TableParagraph"/>
              <w:spacing w:before="0"/>
              <w:rPr>
                <w:rFonts w:ascii="Times New Roman"/>
                <w:sz w:val="20"/>
              </w:rPr>
            </w:pPr>
          </w:p>
        </w:tc>
        <w:tc>
          <w:tcPr>
            <w:tcW w:w="1003" w:type="dxa"/>
            <w:vMerge/>
            <w:tcBorders>
              <w:top w:val="nil"/>
            </w:tcBorders>
            <w:shd w:val="clear" w:color="auto" w:fill="92D400"/>
          </w:tcPr>
          <w:p w:rsidR="00C31389" w:rsidRDefault="00C31389" w14:paraId="64EEED99" w14:textId="77777777">
            <w:pPr>
              <w:rPr>
                <w:sz w:val="2"/>
                <w:szCs w:val="2"/>
              </w:rPr>
            </w:pPr>
          </w:p>
        </w:tc>
        <w:tc>
          <w:tcPr>
            <w:tcW w:w="1028" w:type="dxa"/>
            <w:shd w:val="clear" w:color="auto" w:fill="92D400"/>
          </w:tcPr>
          <w:p w:rsidR="00C31389" w:rsidRDefault="00561FBD" w14:paraId="3D1DF6AD" w14:textId="77777777">
            <w:pPr>
              <w:pStyle w:val="TableParagraph"/>
              <w:spacing w:before="0" w:line="222" w:lineRule="exact"/>
              <w:ind w:left="288"/>
              <w:rPr>
                <w:b/>
                <w:sz w:val="20"/>
              </w:rPr>
            </w:pPr>
            <w:r>
              <w:rPr>
                <w:b/>
                <w:spacing w:val="-5"/>
                <w:sz w:val="20"/>
              </w:rPr>
              <w:t>kWh</w:t>
            </w:r>
          </w:p>
        </w:tc>
        <w:tc>
          <w:tcPr>
            <w:tcW w:w="1260" w:type="dxa"/>
            <w:shd w:val="clear" w:color="auto" w:fill="92D400"/>
          </w:tcPr>
          <w:p w:rsidR="00C31389" w:rsidRDefault="00561FBD" w14:paraId="418D1A7F" w14:textId="77777777">
            <w:pPr>
              <w:pStyle w:val="TableParagraph"/>
              <w:spacing w:before="0" w:line="222" w:lineRule="exact"/>
              <w:ind w:left="289" w:right="276"/>
              <w:jc w:val="center"/>
              <w:rPr>
                <w:b/>
                <w:sz w:val="20"/>
              </w:rPr>
            </w:pPr>
            <w:r>
              <w:rPr>
                <w:b/>
                <w:spacing w:val="-2"/>
                <w:sz w:val="20"/>
              </w:rPr>
              <w:t>therms</w:t>
            </w:r>
          </w:p>
        </w:tc>
        <w:tc>
          <w:tcPr>
            <w:tcW w:w="1358" w:type="dxa"/>
            <w:shd w:val="clear" w:color="auto" w:fill="92D400"/>
          </w:tcPr>
          <w:p w:rsidR="00C31389" w:rsidRDefault="00561FBD" w14:paraId="5D3E5732" w14:textId="77777777">
            <w:pPr>
              <w:pStyle w:val="TableParagraph"/>
              <w:spacing w:before="0" w:line="222" w:lineRule="exact"/>
              <w:ind w:left="330"/>
              <w:rPr>
                <w:b/>
                <w:sz w:val="20"/>
              </w:rPr>
            </w:pPr>
            <w:r>
              <w:rPr>
                <w:b/>
                <w:spacing w:val="-5"/>
                <w:sz w:val="20"/>
              </w:rPr>
              <w:t>kWh</w:t>
            </w:r>
          </w:p>
        </w:tc>
        <w:tc>
          <w:tcPr>
            <w:tcW w:w="889" w:type="dxa"/>
            <w:shd w:val="clear" w:color="auto" w:fill="92D400"/>
          </w:tcPr>
          <w:p w:rsidR="00C31389" w:rsidRDefault="00561FBD" w14:paraId="3BA409EF" w14:textId="77777777">
            <w:pPr>
              <w:pStyle w:val="TableParagraph"/>
              <w:spacing w:before="0" w:line="222" w:lineRule="exact"/>
              <w:ind w:left="1" w:right="189"/>
              <w:jc w:val="center"/>
              <w:rPr>
                <w:b/>
                <w:sz w:val="20"/>
              </w:rPr>
            </w:pPr>
            <w:r>
              <w:rPr>
                <w:b/>
                <w:spacing w:val="-2"/>
                <w:sz w:val="20"/>
              </w:rPr>
              <w:t>therms</w:t>
            </w:r>
          </w:p>
        </w:tc>
        <w:tc>
          <w:tcPr>
            <w:tcW w:w="1210" w:type="dxa"/>
            <w:vMerge/>
            <w:tcBorders>
              <w:top w:val="nil"/>
            </w:tcBorders>
            <w:shd w:val="clear" w:color="auto" w:fill="92D400"/>
          </w:tcPr>
          <w:p w:rsidR="00C31389" w:rsidRDefault="00C31389" w14:paraId="1F1DD777" w14:textId="77777777">
            <w:pPr>
              <w:rPr>
                <w:sz w:val="2"/>
                <w:szCs w:val="2"/>
              </w:rPr>
            </w:pPr>
          </w:p>
        </w:tc>
      </w:tr>
      <w:tr w:rsidR="00C31389" w14:paraId="6E335FD1" w14:textId="77777777">
        <w:trPr>
          <w:trHeight w:val="540"/>
        </w:trPr>
        <w:tc>
          <w:tcPr>
            <w:tcW w:w="1378" w:type="dxa"/>
            <w:tcBorders>
              <w:bottom w:val="single" w:color="000000" w:sz="8" w:space="0"/>
            </w:tcBorders>
          </w:tcPr>
          <w:p w:rsidR="00C31389" w:rsidRDefault="00561FBD" w14:paraId="5D44A0AA" w14:textId="77777777">
            <w:pPr>
              <w:pStyle w:val="TableParagraph"/>
              <w:spacing w:before="155"/>
              <w:ind w:left="124"/>
              <w:rPr>
                <w:sz w:val="20"/>
              </w:rPr>
            </w:pPr>
            <w:r>
              <w:rPr>
                <w:spacing w:val="-2"/>
                <w:sz w:val="20"/>
              </w:rPr>
              <w:t>Commercial</w:t>
            </w:r>
          </w:p>
        </w:tc>
        <w:tc>
          <w:tcPr>
            <w:tcW w:w="1240" w:type="dxa"/>
            <w:tcBorders>
              <w:bottom w:val="single" w:color="000000" w:sz="8" w:space="0"/>
            </w:tcBorders>
          </w:tcPr>
          <w:p w:rsidR="00C31389" w:rsidRDefault="00561FBD" w14:paraId="2CD4886E" w14:textId="77777777">
            <w:pPr>
              <w:pStyle w:val="TableParagraph"/>
              <w:ind w:left="186" w:right="183"/>
              <w:rPr>
                <w:sz w:val="20"/>
              </w:rPr>
            </w:pPr>
            <w:r>
              <w:rPr>
                <w:spacing w:val="-2"/>
                <w:sz w:val="20"/>
              </w:rPr>
              <w:t>SEM-Like Programs</w:t>
            </w:r>
          </w:p>
        </w:tc>
        <w:tc>
          <w:tcPr>
            <w:tcW w:w="1003" w:type="dxa"/>
            <w:tcBorders>
              <w:bottom w:val="single" w:color="000000" w:sz="8" w:space="0"/>
            </w:tcBorders>
          </w:tcPr>
          <w:p w:rsidR="00C31389" w:rsidRDefault="00561FBD" w14:paraId="7082A24C" w14:textId="77777777">
            <w:pPr>
              <w:pStyle w:val="TableParagraph"/>
              <w:spacing w:before="155"/>
              <w:ind w:right="78"/>
              <w:jc w:val="center"/>
              <w:rPr>
                <w:sz w:val="20"/>
              </w:rPr>
            </w:pPr>
            <w:r>
              <w:rPr>
                <w:sz w:val="20"/>
              </w:rPr>
              <w:t>5</w:t>
            </w:r>
          </w:p>
        </w:tc>
        <w:tc>
          <w:tcPr>
            <w:tcW w:w="1028" w:type="dxa"/>
            <w:tcBorders>
              <w:bottom w:val="single" w:color="000000" w:sz="8" w:space="0"/>
            </w:tcBorders>
          </w:tcPr>
          <w:p w:rsidR="00C31389" w:rsidRDefault="00561FBD" w14:paraId="5E99429B" w14:textId="77777777">
            <w:pPr>
              <w:pStyle w:val="TableParagraph"/>
              <w:spacing w:before="155"/>
              <w:ind w:left="271"/>
              <w:rPr>
                <w:sz w:val="20"/>
              </w:rPr>
            </w:pPr>
            <w:r>
              <w:rPr>
                <w:spacing w:val="-4"/>
                <w:sz w:val="20"/>
              </w:rPr>
              <w:t>3.0%</w:t>
            </w:r>
          </w:p>
        </w:tc>
        <w:tc>
          <w:tcPr>
            <w:tcW w:w="1260" w:type="dxa"/>
            <w:tcBorders>
              <w:bottom w:val="single" w:color="000000" w:sz="8" w:space="0"/>
            </w:tcBorders>
          </w:tcPr>
          <w:p w:rsidR="00C31389" w:rsidRDefault="00561FBD" w14:paraId="389D1E08" w14:textId="77777777">
            <w:pPr>
              <w:pStyle w:val="TableParagraph"/>
              <w:spacing w:before="155"/>
              <w:ind w:left="289" w:right="276"/>
              <w:jc w:val="center"/>
              <w:rPr>
                <w:sz w:val="20"/>
              </w:rPr>
            </w:pPr>
            <w:r>
              <w:rPr>
                <w:spacing w:val="-4"/>
                <w:sz w:val="20"/>
              </w:rPr>
              <w:t>3.0%</w:t>
            </w:r>
          </w:p>
        </w:tc>
        <w:tc>
          <w:tcPr>
            <w:tcW w:w="1358" w:type="dxa"/>
            <w:tcBorders>
              <w:bottom w:val="single" w:color="000000" w:sz="8" w:space="0"/>
            </w:tcBorders>
          </w:tcPr>
          <w:p w:rsidR="00C31389" w:rsidRDefault="00561FBD" w14:paraId="7E95FE0E" w14:textId="77777777">
            <w:pPr>
              <w:pStyle w:val="TableParagraph"/>
              <w:spacing w:before="155"/>
              <w:ind w:left="291"/>
              <w:rPr>
                <w:sz w:val="20"/>
              </w:rPr>
            </w:pPr>
            <w:r>
              <w:rPr>
                <w:spacing w:val="-2"/>
                <w:sz w:val="20"/>
              </w:rPr>
              <w:t>$0.27</w:t>
            </w:r>
          </w:p>
        </w:tc>
        <w:tc>
          <w:tcPr>
            <w:tcW w:w="889" w:type="dxa"/>
            <w:tcBorders>
              <w:bottom w:val="single" w:color="000000" w:sz="8" w:space="0"/>
            </w:tcBorders>
          </w:tcPr>
          <w:p w:rsidR="00C31389" w:rsidRDefault="00561FBD" w14:paraId="5B406787" w14:textId="77777777">
            <w:pPr>
              <w:pStyle w:val="TableParagraph"/>
              <w:spacing w:before="155"/>
              <w:ind w:left="3" w:right="189"/>
              <w:jc w:val="center"/>
              <w:rPr>
                <w:sz w:val="20"/>
              </w:rPr>
            </w:pPr>
            <w:r>
              <w:rPr>
                <w:spacing w:val="-2"/>
                <w:sz w:val="20"/>
              </w:rPr>
              <w:t>$3.65</w:t>
            </w:r>
          </w:p>
        </w:tc>
        <w:tc>
          <w:tcPr>
            <w:tcW w:w="1210" w:type="dxa"/>
            <w:tcBorders>
              <w:bottom w:val="single" w:color="000000" w:sz="8" w:space="0"/>
            </w:tcBorders>
          </w:tcPr>
          <w:p w:rsidR="00C31389" w:rsidRDefault="00561FBD" w14:paraId="50D09D67" w14:textId="77777777">
            <w:pPr>
              <w:pStyle w:val="TableParagraph"/>
              <w:spacing w:before="155"/>
              <w:ind w:left="210"/>
              <w:rPr>
                <w:sz w:val="20"/>
              </w:rPr>
            </w:pPr>
            <w:r>
              <w:rPr>
                <w:spacing w:val="-2"/>
                <w:sz w:val="20"/>
              </w:rPr>
              <w:t>0.000102</w:t>
            </w:r>
          </w:p>
        </w:tc>
      </w:tr>
    </w:tbl>
    <w:p w:rsidR="00C31389" w:rsidRDefault="00561FBD" w14:paraId="43EFC83E"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60E1BAFA" w14:textId="77777777">
      <w:pPr>
        <w:pStyle w:val="BodyText"/>
        <w:rPr>
          <w:i/>
          <w:sz w:val="20"/>
        </w:rPr>
      </w:pPr>
    </w:p>
    <w:p w:rsidR="00C31389" w:rsidRDefault="00561FBD" w14:paraId="4ECEFB76" w14:textId="77777777">
      <w:pPr>
        <w:pStyle w:val="ListParagraph"/>
        <w:numPr>
          <w:ilvl w:val="2"/>
          <w:numId w:val="19"/>
        </w:numPr>
        <w:tabs>
          <w:tab w:val="left" w:pos="1197"/>
        </w:tabs>
        <w:spacing w:before="130"/>
        <w:ind w:left="1197" w:hanging="717"/>
        <w:rPr>
          <w:b/>
          <w:sz w:val="24"/>
        </w:rPr>
      </w:pPr>
      <w:bookmarkStart w:name="D.5.2_Assumptions_and_Methodology" w:id="468"/>
      <w:bookmarkStart w:name="_bookmark356" w:id="469"/>
      <w:bookmarkEnd w:id="468"/>
      <w:bookmarkEnd w:id="469"/>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7591B442" w14:textId="77777777">
      <w:pPr>
        <w:pStyle w:val="BodyText"/>
        <w:spacing w:before="2"/>
        <w:rPr>
          <w:b/>
          <w:sz w:val="23"/>
        </w:rPr>
      </w:pPr>
    </w:p>
    <w:p w:rsidR="00C31389" w:rsidRDefault="00561FBD" w14:paraId="71BD325F" w14:textId="77777777">
      <w:pPr>
        <w:pStyle w:val="BodyText"/>
        <w:ind w:left="479" w:right="434"/>
      </w:pPr>
      <w:r>
        <w:t>After reviewing implementation activity and recently published California-specific data sources,</w:t>
      </w:r>
      <w:r>
        <w:rPr>
          <w:spacing w:val="-1"/>
        </w:rPr>
        <w:t xml:space="preserve"> </w:t>
      </w:r>
      <w:r>
        <w:t>no</w:t>
      </w:r>
      <w:r>
        <w:rPr>
          <w:spacing w:val="-2"/>
        </w:rPr>
        <w:t xml:space="preserve"> </w:t>
      </w:r>
      <w:r>
        <w:t>major</w:t>
      </w:r>
      <w:r>
        <w:rPr>
          <w:spacing w:val="-1"/>
        </w:rPr>
        <w:t xml:space="preserve"> </w:t>
      </w:r>
      <w:r>
        <w:t>updates</w:t>
      </w:r>
      <w:r>
        <w:rPr>
          <w:spacing w:val="-1"/>
        </w:rPr>
        <w:t xml:space="preserve"> </w:t>
      </w:r>
      <w:r>
        <w:t>were</w:t>
      </w:r>
      <w:r>
        <w:rPr>
          <w:spacing w:val="-1"/>
        </w:rPr>
        <w:t xml:space="preserve"> </w:t>
      </w:r>
      <w:r>
        <w:t>made</w:t>
      </w:r>
      <w:r>
        <w:rPr>
          <w:spacing w:val="-1"/>
        </w:rPr>
        <w:t xml:space="preserve"> </w:t>
      </w:r>
      <w:r>
        <w:t>to</w:t>
      </w:r>
      <w:r>
        <w:rPr>
          <w:spacing w:val="-1"/>
        </w:rPr>
        <w:t xml:space="preserve"> </w:t>
      </w:r>
      <w:r>
        <w:t>commercial</w:t>
      </w:r>
      <w:r>
        <w:rPr>
          <w:spacing w:val="-1"/>
        </w:rPr>
        <w:t xml:space="preserve"> </w:t>
      </w:r>
      <w:r>
        <w:t>SEM-like</w:t>
      </w:r>
      <w:r>
        <w:rPr>
          <w:spacing w:val="-1"/>
        </w:rPr>
        <w:t xml:space="preserve"> </w:t>
      </w:r>
      <w:r>
        <w:t>programs in</w:t>
      </w:r>
      <w:r>
        <w:rPr>
          <w:spacing w:val="-1"/>
        </w:rPr>
        <w:t xml:space="preserve"> </w:t>
      </w:r>
      <w:r>
        <w:t>the</w:t>
      </w:r>
      <w:r>
        <w:rPr>
          <w:spacing w:val="-1"/>
        </w:rPr>
        <w:t xml:space="preserve"> </w:t>
      </w:r>
      <w:r>
        <w:t>2023</w:t>
      </w:r>
      <w:r>
        <w:rPr>
          <w:spacing w:val="-1"/>
        </w:rPr>
        <w:t xml:space="preserve"> </w:t>
      </w:r>
      <w:r>
        <w:t>Study. The methodology described here is</w:t>
      </w:r>
      <w:r>
        <w:rPr>
          <w:spacing w:val="-1"/>
        </w:rPr>
        <w:t xml:space="preserve"> </w:t>
      </w:r>
      <w:r>
        <w:t>unchanged from</w:t>
      </w:r>
      <w:r>
        <w:rPr>
          <w:spacing w:val="-1"/>
        </w:rPr>
        <w:t xml:space="preserve"> </w:t>
      </w:r>
      <w:r>
        <w:t>the 2021 Study. The Guidehouse team will</w:t>
      </w:r>
      <w:r>
        <w:rPr>
          <w:spacing w:val="-3"/>
        </w:rPr>
        <w:t xml:space="preserve"> </w:t>
      </w:r>
      <w:r>
        <w:t>continue</w:t>
      </w:r>
      <w:r>
        <w:rPr>
          <w:spacing w:val="-4"/>
        </w:rPr>
        <w:t xml:space="preserve"> </w:t>
      </w:r>
      <w:r>
        <w:t>to</w:t>
      </w:r>
      <w:r>
        <w:rPr>
          <w:spacing w:val="-3"/>
        </w:rPr>
        <w:t xml:space="preserve"> </w:t>
      </w:r>
      <w:r>
        <w:t>monitor</w:t>
      </w:r>
      <w:r>
        <w:rPr>
          <w:spacing w:val="-3"/>
        </w:rPr>
        <w:t xml:space="preserve"> </w:t>
      </w:r>
      <w:r>
        <w:t>industry</w:t>
      </w:r>
      <w:r>
        <w:rPr>
          <w:spacing w:val="-3"/>
        </w:rPr>
        <w:t xml:space="preserve"> </w:t>
      </w:r>
      <w:r>
        <w:t>literature,</w:t>
      </w:r>
      <w:r>
        <w:rPr>
          <w:spacing w:val="-3"/>
        </w:rPr>
        <w:t xml:space="preserve"> </w:t>
      </w:r>
      <w:r>
        <w:t>ex</w:t>
      </w:r>
      <w:r>
        <w:rPr>
          <w:spacing w:val="-2"/>
        </w:rPr>
        <w:t xml:space="preserve"> </w:t>
      </w:r>
      <w:r>
        <w:t>ante</w:t>
      </w:r>
      <w:r>
        <w:rPr>
          <w:spacing w:val="-3"/>
        </w:rPr>
        <w:t xml:space="preserve"> </w:t>
      </w:r>
      <w:r>
        <w:t>and</w:t>
      </w:r>
      <w:r>
        <w:rPr>
          <w:spacing w:val="-3"/>
        </w:rPr>
        <w:t xml:space="preserve"> </w:t>
      </w:r>
      <w:r>
        <w:t>ex</w:t>
      </w:r>
      <w:r>
        <w:rPr>
          <w:spacing w:val="-2"/>
        </w:rPr>
        <w:t xml:space="preserve"> </w:t>
      </w:r>
      <w:r>
        <w:t>post</w:t>
      </w:r>
      <w:r>
        <w:rPr>
          <w:spacing w:val="-3"/>
        </w:rPr>
        <w:t xml:space="preserve"> </w:t>
      </w:r>
      <w:r>
        <w:t>savings</w:t>
      </w:r>
      <w:r>
        <w:rPr>
          <w:spacing w:val="-3"/>
        </w:rPr>
        <w:t xml:space="preserve"> </w:t>
      </w:r>
      <w:r>
        <w:t>records,</w:t>
      </w:r>
      <w:r>
        <w:rPr>
          <w:spacing w:val="-3"/>
        </w:rPr>
        <w:t xml:space="preserve"> </w:t>
      </w:r>
      <w:r>
        <w:t>and</w:t>
      </w:r>
      <w:r>
        <w:rPr>
          <w:spacing w:val="-4"/>
        </w:rPr>
        <w:t xml:space="preserve"> </w:t>
      </w:r>
      <w:r>
        <w:t xml:space="preserve">relevant evaluations </w:t>
      </w:r>
      <w:r>
        <w:t>occurring in California (such as the SEM evaluation occurring under the evaluation contract Group D</w:t>
      </w:r>
      <w:hyperlink w:history="1" w:anchor="_bookmark357">
        <w:r>
          <w:rPr>
            <w:position w:val="7"/>
            <w:sz w:val="14"/>
          </w:rPr>
          <w:t>126</w:t>
        </w:r>
      </w:hyperlink>
      <w:r>
        <w:t xml:space="preserve">) for indications if input parameters should be revised in the </w:t>
      </w:r>
      <w:r>
        <w:rPr>
          <w:spacing w:val="-2"/>
        </w:rPr>
        <w:t>future.</w:t>
      </w:r>
    </w:p>
    <w:p w:rsidR="00C31389" w:rsidRDefault="00C31389" w14:paraId="02426405" w14:textId="77777777">
      <w:pPr>
        <w:pStyle w:val="BodyText"/>
        <w:spacing w:before="11"/>
        <w:rPr>
          <w:sz w:val="20"/>
        </w:rPr>
      </w:pPr>
    </w:p>
    <w:p w:rsidR="00C31389" w:rsidRDefault="00561FBD" w14:paraId="4803D0E2" w14:textId="77777777">
      <w:pPr>
        <w:pStyle w:val="Heading7"/>
        <w:ind w:left="479"/>
      </w:pPr>
      <w:r>
        <w:t>Eligibility</w:t>
      </w:r>
      <w:r>
        <w:rPr>
          <w:spacing w:val="-8"/>
        </w:rPr>
        <w:t xml:space="preserve"> </w:t>
      </w:r>
      <w:r>
        <w:t>and</w:t>
      </w:r>
      <w:r>
        <w:rPr>
          <w:spacing w:val="-7"/>
        </w:rPr>
        <w:t xml:space="preserve"> </w:t>
      </w:r>
      <w:r>
        <w:rPr>
          <w:spacing w:val="-2"/>
        </w:rPr>
        <w:t>P</w:t>
      </w:r>
      <w:r>
        <w:rPr>
          <w:spacing w:val="-2"/>
        </w:rPr>
        <w:t>articipation</w:t>
      </w:r>
    </w:p>
    <w:p w:rsidR="00C31389" w:rsidRDefault="00C31389" w14:paraId="5571495E" w14:textId="77777777">
      <w:pPr>
        <w:pStyle w:val="BodyText"/>
        <w:spacing w:before="10"/>
        <w:rPr>
          <w:b/>
          <w:sz w:val="20"/>
        </w:rPr>
      </w:pPr>
    </w:p>
    <w:p w:rsidR="00C31389" w:rsidRDefault="00561FBD" w14:paraId="76186EC4" w14:textId="77777777">
      <w:pPr>
        <w:pStyle w:val="BodyText"/>
        <w:ind w:left="480" w:right="418" w:hanging="1"/>
      </w:pPr>
      <w:r>
        <w:t>Segments of the commercial market are considered suitable for SEM-like program approaches. Customers that benefit the most from SEM typically operate portfolios or campuses</w:t>
      </w:r>
      <w:r>
        <w:rPr>
          <w:spacing w:val="-3"/>
        </w:rPr>
        <w:t xml:space="preserve"> </w:t>
      </w:r>
      <w:r>
        <w:t>with</w:t>
      </w:r>
      <w:r>
        <w:rPr>
          <w:spacing w:val="-3"/>
        </w:rPr>
        <w:t xml:space="preserve"> </w:t>
      </w:r>
      <w:r>
        <w:t>multiple</w:t>
      </w:r>
      <w:r>
        <w:rPr>
          <w:spacing w:val="-4"/>
        </w:rPr>
        <w:t xml:space="preserve"> </w:t>
      </w:r>
      <w:r>
        <w:t>buildings,</w:t>
      </w:r>
      <w:r>
        <w:rPr>
          <w:spacing w:val="-4"/>
        </w:rPr>
        <w:t xml:space="preserve"> </w:t>
      </w:r>
      <w:r>
        <w:t>building</w:t>
      </w:r>
      <w:r>
        <w:rPr>
          <w:spacing w:val="-3"/>
        </w:rPr>
        <w:t xml:space="preserve"> </w:t>
      </w:r>
      <w:r>
        <w:t>types,</w:t>
      </w:r>
      <w:r>
        <w:rPr>
          <w:spacing w:val="-3"/>
        </w:rPr>
        <w:t xml:space="preserve"> </w:t>
      </w:r>
      <w:r>
        <w:t>and</w:t>
      </w:r>
      <w:r>
        <w:rPr>
          <w:spacing w:val="-3"/>
        </w:rPr>
        <w:t xml:space="preserve"> </w:t>
      </w:r>
      <w:r>
        <w:t>a</w:t>
      </w:r>
      <w:r>
        <w:rPr>
          <w:spacing w:val="-3"/>
        </w:rPr>
        <w:t xml:space="preserve"> </w:t>
      </w:r>
      <w:r>
        <w:t>variety</w:t>
      </w:r>
      <w:r>
        <w:rPr>
          <w:spacing w:val="-3"/>
        </w:rPr>
        <w:t xml:space="preserve"> </w:t>
      </w:r>
      <w:r>
        <w:t>of</w:t>
      </w:r>
      <w:r>
        <w:rPr>
          <w:spacing w:val="-3"/>
        </w:rPr>
        <w:t xml:space="preserve"> </w:t>
      </w:r>
      <w:r>
        <w:t>complex</w:t>
      </w:r>
      <w:r>
        <w:rPr>
          <w:spacing w:val="-3"/>
        </w:rPr>
        <w:t xml:space="preserve"> </w:t>
      </w:r>
      <w:r>
        <w:t>ene</w:t>
      </w:r>
      <w:r>
        <w:t>rgy</w:t>
      </w:r>
      <w:r>
        <w:rPr>
          <w:spacing w:val="-3"/>
        </w:rPr>
        <w:t xml:space="preserve"> </w:t>
      </w:r>
      <w:r>
        <w:t>systems, each with its own unique set of energy management requirements. The market defined for the 2023 Study includes the following commercial segments:</w:t>
      </w:r>
    </w:p>
    <w:p w:rsidR="00C31389" w:rsidRDefault="00561FBD" w14:paraId="225E4A51" w14:textId="77777777">
      <w:pPr>
        <w:pStyle w:val="ListParagraph"/>
        <w:numPr>
          <w:ilvl w:val="3"/>
          <w:numId w:val="19"/>
        </w:numPr>
        <w:tabs>
          <w:tab w:val="left" w:pos="1200"/>
        </w:tabs>
        <w:spacing w:before="120"/>
        <w:ind w:left="1200"/>
      </w:pPr>
      <w:r>
        <w:rPr>
          <w:spacing w:val="-2"/>
        </w:rPr>
        <w:t>Schools</w:t>
      </w:r>
    </w:p>
    <w:p w:rsidR="00C31389" w:rsidRDefault="00561FBD" w14:paraId="1655DBAC" w14:textId="77777777">
      <w:pPr>
        <w:pStyle w:val="ListParagraph"/>
        <w:numPr>
          <w:ilvl w:val="3"/>
          <w:numId w:val="19"/>
        </w:numPr>
        <w:tabs>
          <w:tab w:val="left" w:pos="1200"/>
        </w:tabs>
        <w:spacing w:before="118"/>
        <w:ind w:left="1200"/>
      </w:pPr>
      <w:r>
        <w:rPr>
          <w:spacing w:val="-2"/>
        </w:rPr>
        <w:t>Colleges</w:t>
      </w:r>
    </w:p>
    <w:p w:rsidR="00C31389" w:rsidRDefault="00561FBD" w14:paraId="76D90B94" w14:textId="77777777">
      <w:pPr>
        <w:pStyle w:val="ListParagraph"/>
        <w:numPr>
          <w:ilvl w:val="3"/>
          <w:numId w:val="19"/>
        </w:numPr>
        <w:tabs>
          <w:tab w:val="left" w:pos="1199"/>
        </w:tabs>
        <w:spacing w:before="118"/>
        <w:ind w:hanging="359"/>
      </w:pPr>
      <w:r>
        <w:rPr>
          <w:spacing w:val="-2"/>
        </w:rPr>
        <w:t>Healthcare</w:t>
      </w:r>
    </w:p>
    <w:p w:rsidR="00C31389" w:rsidRDefault="00561FBD" w14:paraId="7F9E3282" w14:textId="77777777">
      <w:pPr>
        <w:pStyle w:val="ListParagraph"/>
        <w:numPr>
          <w:ilvl w:val="3"/>
          <w:numId w:val="19"/>
        </w:numPr>
        <w:tabs>
          <w:tab w:val="left" w:pos="1199"/>
        </w:tabs>
        <w:spacing w:before="118"/>
        <w:ind w:hanging="359"/>
      </w:pPr>
      <w:r>
        <w:t>Large</w:t>
      </w:r>
      <w:r>
        <w:rPr>
          <w:spacing w:val="-6"/>
        </w:rPr>
        <w:t xml:space="preserve"> </w:t>
      </w:r>
      <w:r>
        <w:t>office</w:t>
      </w:r>
      <w:r>
        <w:rPr>
          <w:spacing w:val="-6"/>
        </w:rPr>
        <w:t xml:space="preserve"> </w:t>
      </w:r>
      <w:r>
        <w:rPr>
          <w:spacing w:val="-2"/>
        </w:rPr>
        <w:t>buildings</w:t>
      </w:r>
    </w:p>
    <w:p w:rsidR="00C31389" w:rsidRDefault="00C31389" w14:paraId="7304AE45" w14:textId="77777777">
      <w:pPr>
        <w:pStyle w:val="BodyText"/>
        <w:spacing w:before="8"/>
        <w:rPr>
          <w:sz w:val="20"/>
        </w:rPr>
      </w:pPr>
    </w:p>
    <w:p w:rsidR="00C31389" w:rsidRDefault="00561FBD" w14:paraId="159E6F73" w14:textId="77777777">
      <w:pPr>
        <w:pStyle w:val="BodyText"/>
        <w:ind w:left="479" w:right="418"/>
      </w:pPr>
      <w:r>
        <w:t xml:space="preserve">Depending on the segment, the model </w:t>
      </w:r>
      <w:r>
        <w:t>assumes that between 10% and 55% of buildings have already implemented SEM-like solutions,</w:t>
      </w:r>
      <w:hyperlink w:history="1" w:anchor="_bookmark358">
        <w:r>
          <w:rPr>
            <w:position w:val="7"/>
            <w:sz w:val="14"/>
          </w:rPr>
          <w:t>127</w:t>
        </w:r>
      </w:hyperlink>
      <w:r>
        <w:rPr>
          <w:spacing w:val="35"/>
          <w:position w:val="7"/>
          <w:sz w:val="14"/>
        </w:rPr>
        <w:t xml:space="preserve"> </w:t>
      </w:r>
      <w:r>
        <w:t>resulting in reduced applicability of any commercial</w:t>
      </w:r>
      <w:r>
        <w:rPr>
          <w:spacing w:val="-3"/>
        </w:rPr>
        <w:t xml:space="preserve"> </w:t>
      </w:r>
      <w:r>
        <w:t>SEM</w:t>
      </w:r>
      <w:r>
        <w:rPr>
          <w:spacing w:val="-4"/>
        </w:rPr>
        <w:t xml:space="preserve"> </w:t>
      </w:r>
      <w:r>
        <w:t>program.</w:t>
      </w:r>
      <w:r>
        <w:rPr>
          <w:spacing w:val="-3"/>
        </w:rPr>
        <w:t xml:space="preserve"> </w:t>
      </w:r>
      <w:r>
        <w:t>After</w:t>
      </w:r>
      <w:r>
        <w:rPr>
          <w:spacing w:val="-3"/>
        </w:rPr>
        <w:t xml:space="preserve"> </w:t>
      </w:r>
      <w:r>
        <w:t>accounting</w:t>
      </w:r>
      <w:r>
        <w:rPr>
          <w:spacing w:val="-3"/>
        </w:rPr>
        <w:t xml:space="preserve"> </w:t>
      </w:r>
      <w:r>
        <w:t>for</w:t>
      </w:r>
      <w:r>
        <w:rPr>
          <w:spacing w:val="-3"/>
        </w:rPr>
        <w:t xml:space="preserve"> </w:t>
      </w:r>
      <w:r>
        <w:t>the</w:t>
      </w:r>
      <w:r>
        <w:rPr>
          <w:spacing w:val="-3"/>
        </w:rPr>
        <w:t xml:space="preserve"> </w:t>
      </w:r>
      <w:r>
        <w:t>estimate</w:t>
      </w:r>
      <w:r>
        <w:rPr>
          <w:spacing w:val="-3"/>
        </w:rPr>
        <w:t xml:space="preserve"> </w:t>
      </w:r>
      <w:r>
        <w:t>of</w:t>
      </w:r>
      <w:r>
        <w:rPr>
          <w:spacing w:val="-3"/>
        </w:rPr>
        <w:t xml:space="preserve"> </w:t>
      </w:r>
      <w:r>
        <w:t>customers</w:t>
      </w:r>
      <w:r>
        <w:rPr>
          <w:spacing w:val="-3"/>
        </w:rPr>
        <w:t xml:space="preserve"> </w:t>
      </w:r>
      <w:r>
        <w:t>that</w:t>
      </w:r>
      <w:r>
        <w:rPr>
          <w:spacing w:val="-3"/>
        </w:rPr>
        <w:t xml:space="preserve"> </w:t>
      </w:r>
      <w:r>
        <w:t>have</w:t>
      </w:r>
      <w:r>
        <w:rPr>
          <w:spacing w:val="-4"/>
        </w:rPr>
        <w:t xml:space="preserve"> </w:t>
      </w:r>
      <w:r>
        <w:t>already</w:t>
      </w:r>
    </w:p>
    <w:p w:rsidR="00C31389" w:rsidRDefault="00561FBD" w14:paraId="7A265548" w14:textId="77777777">
      <w:pPr>
        <w:pStyle w:val="BodyText"/>
        <w:spacing w:before="5"/>
        <w:rPr>
          <w:sz w:val="21"/>
        </w:rPr>
      </w:pPr>
      <w:r>
        <w:rPr>
          <w:noProof/>
        </w:rPr>
        <mc:AlternateContent>
          <mc:Choice Requires="wps">
            <w:drawing>
              <wp:anchor distT="0" distB="0" distL="0" distR="0" simplePos="0" relativeHeight="487721984" behindDoc="1" locked="0" layoutInCell="1" allowOverlap="1" wp14:editId="2DD9AB96" wp14:anchorId="6AA7439C">
                <wp:simplePos x="0" y="0"/>
                <wp:positionH relativeFrom="page">
                  <wp:posOffset>914400</wp:posOffset>
                </wp:positionH>
                <wp:positionV relativeFrom="paragraph">
                  <wp:posOffset>172148</wp:posOffset>
                </wp:positionV>
                <wp:extent cx="1828800" cy="6985"/>
                <wp:effectExtent l="0" t="0" r="0" b="0"/>
                <wp:wrapTopAndBottom/>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25" style="position:absolute;margin-left:1in;margin-top:13.55pt;width:2in;height:.55pt;z-index:-1559449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" w14:anchorId="28B04A2B">
                <v:path arrowok="t"/>
                <w10:wrap type="topAndBottom" anchorx="page"/>
              </v:shape>
            </w:pict>
          </mc:Fallback>
        </mc:AlternateContent>
      </w:r>
    </w:p>
    <w:p w:rsidR="00C31389" w:rsidRDefault="00561FBD" w14:paraId="2BA2A870" w14:textId="77777777">
      <w:pPr>
        <w:spacing w:before="88"/>
        <w:ind w:left="480" w:right="418"/>
        <w:rPr>
          <w:sz w:val="18"/>
        </w:rPr>
      </w:pPr>
      <w:bookmarkStart w:name="_bookmark357" w:id="470"/>
      <w:bookmarkEnd w:id="470"/>
      <w:r>
        <w:rPr>
          <w:position w:val="6"/>
          <w:sz w:val="12"/>
        </w:rPr>
        <w:t>126</w:t>
      </w:r>
      <w:r>
        <w:rPr>
          <w:spacing w:val="14"/>
          <w:position w:val="6"/>
          <w:sz w:val="12"/>
        </w:rPr>
        <w:t xml:space="preserve"> </w:t>
      </w:r>
      <w:r>
        <w:rPr>
          <w:sz w:val="18"/>
        </w:rPr>
        <w:t>Group</w:t>
      </w:r>
      <w:r>
        <w:rPr>
          <w:spacing w:val="-4"/>
          <w:sz w:val="18"/>
        </w:rPr>
        <w:t xml:space="preserve"> </w:t>
      </w:r>
      <w:r>
        <w:rPr>
          <w:sz w:val="18"/>
        </w:rPr>
        <w:t>D</w:t>
      </w:r>
      <w:r>
        <w:rPr>
          <w:spacing w:val="-3"/>
          <w:sz w:val="18"/>
        </w:rPr>
        <w:t xml:space="preserve"> </w:t>
      </w:r>
      <w:r>
        <w:rPr>
          <w:sz w:val="18"/>
        </w:rPr>
        <w:t>–</w:t>
      </w:r>
      <w:r>
        <w:rPr>
          <w:spacing w:val="-3"/>
          <w:sz w:val="18"/>
        </w:rPr>
        <w:t xml:space="preserve"> </w:t>
      </w:r>
      <w:r>
        <w:rPr>
          <w:sz w:val="18"/>
        </w:rPr>
        <w:t>D01.02.</w:t>
      </w:r>
      <w:r>
        <w:rPr>
          <w:spacing w:val="-3"/>
          <w:sz w:val="18"/>
        </w:rPr>
        <w:t xml:space="preserve"> </w:t>
      </w:r>
      <w:r>
        <w:rPr>
          <w:sz w:val="18"/>
        </w:rPr>
        <w:t>Workplan</w:t>
      </w:r>
      <w:r>
        <w:rPr>
          <w:spacing w:val="-2"/>
          <w:sz w:val="18"/>
        </w:rPr>
        <w:t xml:space="preserve"> </w:t>
      </w:r>
      <w:r>
        <w:rPr>
          <w:sz w:val="18"/>
        </w:rPr>
        <w:t>for</w:t>
      </w:r>
      <w:r>
        <w:rPr>
          <w:spacing w:val="-3"/>
          <w:sz w:val="18"/>
        </w:rPr>
        <w:t xml:space="preserve"> </w:t>
      </w:r>
      <w:r>
        <w:rPr>
          <w:sz w:val="18"/>
        </w:rPr>
        <w:t>2018</w:t>
      </w:r>
      <w:r>
        <w:rPr>
          <w:spacing w:val="-4"/>
          <w:sz w:val="18"/>
        </w:rPr>
        <w:t xml:space="preserve"> </w:t>
      </w:r>
      <w:r>
        <w:rPr>
          <w:sz w:val="18"/>
        </w:rPr>
        <w:t>Industrial</w:t>
      </w:r>
      <w:r>
        <w:rPr>
          <w:spacing w:val="-3"/>
          <w:sz w:val="18"/>
        </w:rPr>
        <w:t xml:space="preserve"> </w:t>
      </w:r>
      <w:r>
        <w:rPr>
          <w:sz w:val="18"/>
        </w:rPr>
        <w:t>Strategic</w:t>
      </w:r>
      <w:r>
        <w:rPr>
          <w:spacing w:val="-3"/>
          <w:sz w:val="18"/>
        </w:rPr>
        <w:t xml:space="preserve"> </w:t>
      </w:r>
      <w:r>
        <w:rPr>
          <w:sz w:val="18"/>
        </w:rPr>
        <w:t>Energy</w:t>
      </w:r>
      <w:r>
        <w:rPr>
          <w:spacing w:val="-3"/>
          <w:sz w:val="18"/>
        </w:rPr>
        <w:t xml:space="preserve"> </w:t>
      </w:r>
      <w:r>
        <w:rPr>
          <w:sz w:val="18"/>
        </w:rPr>
        <w:t>Management</w:t>
      </w:r>
      <w:r>
        <w:rPr>
          <w:spacing w:val="-3"/>
          <w:sz w:val="18"/>
        </w:rPr>
        <w:t xml:space="preserve"> </w:t>
      </w:r>
      <w:r>
        <w:rPr>
          <w:sz w:val="18"/>
        </w:rPr>
        <w:t>(SEM)</w:t>
      </w:r>
      <w:r>
        <w:rPr>
          <w:spacing w:val="-3"/>
          <w:sz w:val="18"/>
        </w:rPr>
        <w:t xml:space="preserve"> </w:t>
      </w:r>
      <w:r>
        <w:rPr>
          <w:sz w:val="18"/>
        </w:rPr>
        <w:t>Ev</w:t>
      </w:r>
      <w:r>
        <w:rPr>
          <w:sz w:val="18"/>
        </w:rPr>
        <w:t>aluation.</w:t>
      </w:r>
      <w:r>
        <w:rPr>
          <w:spacing w:val="-3"/>
          <w:sz w:val="18"/>
        </w:rPr>
        <w:t xml:space="preserve"> </w:t>
      </w:r>
      <w:r>
        <w:rPr>
          <w:sz w:val="18"/>
        </w:rPr>
        <w:t>SBW, Revised July 2, 2019.</w:t>
      </w:r>
    </w:p>
    <w:p w:rsidR="00C31389" w:rsidRDefault="00561FBD" w14:paraId="1A249F24" w14:textId="77777777">
      <w:pPr>
        <w:spacing w:before="35"/>
        <w:ind w:left="480" w:right="418"/>
        <w:rPr>
          <w:sz w:val="18"/>
        </w:rPr>
      </w:pPr>
      <w:bookmarkStart w:name="_bookmark358" w:id="471"/>
      <w:bookmarkEnd w:id="471"/>
      <w:r>
        <w:rPr>
          <w:position w:val="6"/>
          <w:sz w:val="12"/>
        </w:rPr>
        <w:t>127</w:t>
      </w:r>
      <w:r>
        <w:rPr>
          <w:spacing w:val="26"/>
          <w:position w:val="6"/>
          <w:sz w:val="12"/>
        </w:rPr>
        <w:t xml:space="preserve"> </w:t>
      </w:r>
      <w:r>
        <w:rPr>
          <w:sz w:val="18"/>
        </w:rPr>
        <w:t xml:space="preserve">Healthcare participation estimates are based on the </w:t>
      </w:r>
      <w:r>
        <w:rPr>
          <w:i/>
          <w:sz w:val="18"/>
        </w:rPr>
        <w:t>Hospitals and Healthcare Initiative Market Progress Evaluation</w:t>
      </w:r>
      <w:r>
        <w:rPr>
          <w:i/>
          <w:spacing w:val="-4"/>
          <w:sz w:val="18"/>
        </w:rPr>
        <w:t xml:space="preserve"> </w:t>
      </w:r>
      <w:r>
        <w:rPr>
          <w:i/>
          <w:sz w:val="18"/>
        </w:rPr>
        <w:t>Report</w:t>
      </w:r>
      <w:r>
        <w:rPr>
          <w:i/>
          <w:spacing w:val="-3"/>
          <w:sz w:val="18"/>
        </w:rPr>
        <w:t xml:space="preserve"> </w:t>
      </w:r>
      <w:r>
        <w:rPr>
          <w:i/>
          <w:sz w:val="18"/>
        </w:rPr>
        <w:t>7</w:t>
      </w:r>
      <w:r>
        <w:rPr>
          <w:sz w:val="18"/>
        </w:rPr>
        <w:t>,</w:t>
      </w:r>
      <w:r>
        <w:rPr>
          <w:spacing w:val="-3"/>
          <w:sz w:val="18"/>
        </w:rPr>
        <w:t xml:space="preserve"> </w:t>
      </w:r>
      <w:r>
        <w:rPr>
          <w:sz w:val="18"/>
        </w:rPr>
        <w:t>Northwest</w:t>
      </w:r>
      <w:r>
        <w:rPr>
          <w:spacing w:val="-3"/>
          <w:sz w:val="18"/>
        </w:rPr>
        <w:t xml:space="preserve"> </w:t>
      </w:r>
      <w:r>
        <w:rPr>
          <w:sz w:val="18"/>
        </w:rPr>
        <w:t>Energy</w:t>
      </w:r>
      <w:r>
        <w:rPr>
          <w:spacing w:val="-3"/>
          <w:sz w:val="18"/>
        </w:rPr>
        <w:t xml:space="preserve"> </w:t>
      </w:r>
      <w:r>
        <w:rPr>
          <w:sz w:val="18"/>
        </w:rPr>
        <w:t>Efficiency</w:t>
      </w:r>
      <w:r>
        <w:rPr>
          <w:spacing w:val="-3"/>
          <w:sz w:val="18"/>
        </w:rPr>
        <w:t xml:space="preserve"> </w:t>
      </w:r>
      <w:r>
        <w:rPr>
          <w:sz w:val="18"/>
        </w:rPr>
        <w:t>Alliance.</w:t>
      </w:r>
      <w:r>
        <w:rPr>
          <w:spacing w:val="-3"/>
          <w:sz w:val="18"/>
        </w:rPr>
        <w:t xml:space="preserve"> </w:t>
      </w:r>
      <w:r>
        <w:rPr>
          <w:sz w:val="18"/>
        </w:rPr>
        <w:t>March</w:t>
      </w:r>
      <w:r>
        <w:rPr>
          <w:spacing w:val="-4"/>
          <w:sz w:val="18"/>
        </w:rPr>
        <w:t xml:space="preserve"> </w:t>
      </w:r>
      <w:r>
        <w:rPr>
          <w:sz w:val="18"/>
        </w:rPr>
        <w:t>26,</w:t>
      </w:r>
      <w:r>
        <w:rPr>
          <w:spacing w:val="-3"/>
          <w:sz w:val="18"/>
        </w:rPr>
        <w:t xml:space="preserve"> </w:t>
      </w:r>
      <w:r>
        <w:rPr>
          <w:sz w:val="18"/>
        </w:rPr>
        <w:t>2015.</w:t>
      </w:r>
      <w:r>
        <w:rPr>
          <w:spacing w:val="-2"/>
          <w:sz w:val="18"/>
        </w:rPr>
        <w:t xml:space="preserve"> </w:t>
      </w:r>
      <w:r>
        <w:rPr>
          <w:sz w:val="18"/>
        </w:rPr>
        <w:t>REPORT</w:t>
      </w:r>
      <w:r>
        <w:rPr>
          <w:spacing w:val="-3"/>
          <w:sz w:val="18"/>
        </w:rPr>
        <w:t xml:space="preserve"> </w:t>
      </w:r>
      <w:r>
        <w:rPr>
          <w:sz w:val="18"/>
        </w:rPr>
        <w:t>#E15-310.</w:t>
      </w:r>
      <w:r>
        <w:rPr>
          <w:spacing w:val="-3"/>
          <w:sz w:val="18"/>
        </w:rPr>
        <w:t xml:space="preserve"> </w:t>
      </w:r>
      <w:r>
        <w:rPr>
          <w:sz w:val="18"/>
        </w:rPr>
        <w:t>Participation estimates for other market segments are based on professional judgement.</w:t>
      </w:r>
    </w:p>
    <w:p w:rsidR="00C31389" w:rsidRDefault="00C31389" w14:paraId="09F9E260" w14:textId="77777777">
      <w:pPr>
        <w:rPr>
          <w:sz w:val="18"/>
        </w:rPr>
        <w:sectPr w:rsidR="00C31389">
          <w:pgSz w:w="11910" w:h="16840"/>
          <w:pgMar w:top="1380" w:right="1020" w:bottom="1120" w:left="960" w:header="397" w:footer="938" w:gutter="0"/>
          <w:cols w:space="720"/>
        </w:sectPr>
      </w:pPr>
    </w:p>
    <w:p w:rsidR="00C31389" w:rsidRDefault="00C31389" w14:paraId="526E3C7D" w14:textId="77777777">
      <w:pPr>
        <w:pStyle w:val="BodyText"/>
        <w:spacing w:before="11"/>
        <w:rPr>
          <w:sz w:val="13"/>
        </w:rPr>
      </w:pPr>
    </w:p>
    <w:p w:rsidR="00C31389" w:rsidRDefault="00561FBD" w14:paraId="6A13696A" w14:textId="77777777">
      <w:pPr>
        <w:pStyle w:val="BodyText"/>
        <w:spacing w:before="92"/>
        <w:ind w:left="479" w:right="418"/>
      </w:pPr>
      <w:r>
        <w:t>implemented SEM outside of any program intervention, the 2023 Study applies an applicability</w:t>
      </w:r>
      <w:r>
        <w:rPr>
          <w:spacing w:val="-4"/>
        </w:rPr>
        <w:t xml:space="preserve"> </w:t>
      </w:r>
      <w:r>
        <w:t>factor</w:t>
      </w:r>
      <w:r>
        <w:rPr>
          <w:spacing w:val="-3"/>
        </w:rPr>
        <w:t xml:space="preserve"> </w:t>
      </w:r>
      <w:r>
        <w:t>of</w:t>
      </w:r>
      <w:r>
        <w:rPr>
          <w:spacing w:val="-3"/>
        </w:rPr>
        <w:t xml:space="preserve"> </w:t>
      </w:r>
      <w:r>
        <w:t>between</w:t>
      </w:r>
      <w:r>
        <w:rPr>
          <w:spacing w:val="-3"/>
        </w:rPr>
        <w:t xml:space="preserve"> </w:t>
      </w:r>
      <w:r>
        <w:t>45%</w:t>
      </w:r>
      <w:r>
        <w:rPr>
          <w:spacing w:val="-3"/>
        </w:rPr>
        <w:t xml:space="preserve"> </w:t>
      </w:r>
      <w:r>
        <w:t>and</w:t>
      </w:r>
      <w:r>
        <w:rPr>
          <w:spacing w:val="-3"/>
        </w:rPr>
        <w:t xml:space="preserve"> </w:t>
      </w:r>
      <w:r>
        <w:t>90%.</w:t>
      </w:r>
      <w:r>
        <w:rPr>
          <w:spacing w:val="-3"/>
        </w:rPr>
        <w:t xml:space="preserve"> </w:t>
      </w:r>
      <w:r>
        <w:t>The</w:t>
      </w:r>
      <w:r>
        <w:rPr>
          <w:spacing w:val="-3"/>
        </w:rPr>
        <w:t xml:space="preserve"> </w:t>
      </w:r>
      <w:r>
        <w:t>team</w:t>
      </w:r>
      <w:r>
        <w:rPr>
          <w:spacing w:val="-4"/>
        </w:rPr>
        <w:t xml:space="preserve"> </w:t>
      </w:r>
      <w:r>
        <w:t>used</w:t>
      </w:r>
      <w:r>
        <w:rPr>
          <w:spacing w:val="-3"/>
        </w:rPr>
        <w:t xml:space="preserve"> </w:t>
      </w:r>
      <w:r>
        <w:t>a</w:t>
      </w:r>
      <w:r>
        <w:rPr>
          <w:spacing w:val="-2"/>
        </w:rPr>
        <w:t xml:space="preserve"> </w:t>
      </w:r>
      <w:r>
        <w:t>CAGR</w:t>
      </w:r>
      <w:r>
        <w:rPr>
          <w:spacing w:val="-4"/>
        </w:rPr>
        <w:t xml:space="preserve"> </w:t>
      </w:r>
      <w:r>
        <w:t>to</w:t>
      </w:r>
      <w:r>
        <w:rPr>
          <w:spacing w:val="-2"/>
        </w:rPr>
        <w:t xml:space="preserve"> </w:t>
      </w:r>
      <w:r>
        <w:t>fo</w:t>
      </w:r>
      <w:r>
        <w:t>recast</w:t>
      </w:r>
      <w:r>
        <w:rPr>
          <w:spacing w:val="-3"/>
        </w:rPr>
        <w:t xml:space="preserve"> </w:t>
      </w:r>
      <w:r>
        <w:t>growth</w:t>
      </w:r>
      <w:r>
        <w:rPr>
          <w:spacing w:val="-3"/>
        </w:rPr>
        <w:t xml:space="preserve"> </w:t>
      </w:r>
      <w:r>
        <w:t>in participation over time, starting in 2021.</w:t>
      </w:r>
      <w:hyperlink w:history="1" w:anchor="_bookmark361">
        <w:r>
          <w:rPr>
            <w:position w:val="7"/>
            <w:sz w:val="14"/>
          </w:rPr>
          <w:t>128</w:t>
        </w:r>
      </w:hyperlink>
      <w:r>
        <w:rPr>
          <w:spacing w:val="32"/>
          <w:position w:val="7"/>
          <w:sz w:val="14"/>
        </w:rPr>
        <w:t xml:space="preserve"> </w:t>
      </w:r>
      <w:r>
        <w:t>The analysis case used a 2% CAGR which expects to achieve segment penetrations of approximately 1.3% by 2035.</w:t>
      </w:r>
    </w:p>
    <w:p w:rsidR="00C31389" w:rsidRDefault="00C31389" w14:paraId="05BFF7D4" w14:textId="77777777">
      <w:pPr>
        <w:pStyle w:val="BodyText"/>
        <w:spacing w:before="10"/>
        <w:rPr>
          <w:sz w:val="20"/>
        </w:rPr>
      </w:pPr>
    </w:p>
    <w:p w:rsidR="00C31389" w:rsidRDefault="00561FBD" w14:paraId="30933E35" w14:textId="77777777">
      <w:pPr>
        <w:pStyle w:val="Heading7"/>
        <w:ind w:left="479"/>
      </w:pPr>
      <w:r>
        <w:rPr>
          <w:spacing w:val="-2"/>
        </w:rPr>
        <w:t>Savings</w:t>
      </w:r>
    </w:p>
    <w:p w:rsidR="00C31389" w:rsidRDefault="00C31389" w14:paraId="1BC647F4" w14:textId="77777777">
      <w:pPr>
        <w:pStyle w:val="BodyText"/>
        <w:spacing w:before="10"/>
        <w:rPr>
          <w:b/>
          <w:sz w:val="20"/>
        </w:rPr>
      </w:pPr>
    </w:p>
    <w:p w:rsidR="00C31389" w:rsidRDefault="00561FBD" w14:paraId="20C3272C" w14:textId="77777777">
      <w:pPr>
        <w:pStyle w:val="BodyText"/>
        <w:ind w:left="480" w:right="418" w:hanging="1"/>
      </w:pPr>
      <w:r>
        <w:t xml:space="preserve">The </w:t>
      </w:r>
      <w:r>
        <w:t>Guidehouse team’s literature review indicates that electric savings for all activities associated with SEM-like interventions range from 5% to 10% of customer consumption for electricity and gas (kWh or therms) per year. These savings estimates include a m</w:t>
      </w:r>
      <w:r>
        <w:t>ix of operational savings and savings associated with capital investments (i.e., equipment retrofit and</w:t>
      </w:r>
      <w:r>
        <w:rPr>
          <w:spacing w:val="-3"/>
        </w:rPr>
        <w:t xml:space="preserve"> </w:t>
      </w:r>
      <w:r>
        <w:t>replacement</w:t>
      </w:r>
      <w:r>
        <w:rPr>
          <w:spacing w:val="-3"/>
        </w:rPr>
        <w:t xml:space="preserve"> </w:t>
      </w:r>
      <w:r>
        <w:t>projects).</w:t>
      </w:r>
      <w:r>
        <w:rPr>
          <w:spacing w:val="-3"/>
        </w:rPr>
        <w:t xml:space="preserve"> </w:t>
      </w:r>
      <w:r>
        <w:t>Because</w:t>
      </w:r>
      <w:r>
        <w:rPr>
          <w:spacing w:val="-4"/>
        </w:rPr>
        <w:t xml:space="preserve"> </w:t>
      </w:r>
      <w:r>
        <w:t>savings</w:t>
      </w:r>
      <w:r>
        <w:rPr>
          <w:spacing w:val="-4"/>
        </w:rPr>
        <w:t xml:space="preserve"> </w:t>
      </w:r>
      <w:r>
        <w:t>from</w:t>
      </w:r>
      <w:r>
        <w:rPr>
          <w:spacing w:val="-4"/>
        </w:rPr>
        <w:t xml:space="preserve"> </w:t>
      </w:r>
      <w:r>
        <w:t>capital</w:t>
      </w:r>
      <w:r>
        <w:rPr>
          <w:spacing w:val="-3"/>
        </w:rPr>
        <w:t xml:space="preserve"> </w:t>
      </w:r>
      <w:r>
        <w:t>investments</w:t>
      </w:r>
      <w:r>
        <w:rPr>
          <w:spacing w:val="-3"/>
        </w:rPr>
        <w:t xml:space="preserve"> </w:t>
      </w:r>
      <w:r>
        <w:t>are</w:t>
      </w:r>
      <w:r>
        <w:rPr>
          <w:spacing w:val="-3"/>
        </w:rPr>
        <w:t xml:space="preserve"> </w:t>
      </w:r>
      <w:r>
        <w:t>addressed</w:t>
      </w:r>
      <w:r>
        <w:rPr>
          <w:spacing w:val="-4"/>
        </w:rPr>
        <w:t xml:space="preserve"> </w:t>
      </w:r>
      <w:r>
        <w:t>in</w:t>
      </w:r>
      <w:r>
        <w:rPr>
          <w:spacing w:val="-3"/>
        </w:rPr>
        <w:t xml:space="preserve"> </w:t>
      </w:r>
      <w:r>
        <w:t>other components of the potential model, the SEM savings associated wit</w:t>
      </w:r>
      <w:r>
        <w:t>h BROs activities are constrained</w:t>
      </w:r>
      <w:r>
        <w:rPr>
          <w:spacing w:val="-2"/>
        </w:rPr>
        <w:t xml:space="preserve"> </w:t>
      </w:r>
      <w:r>
        <w:t>to</w:t>
      </w:r>
      <w:r>
        <w:rPr>
          <w:spacing w:val="-1"/>
        </w:rPr>
        <w:t xml:space="preserve"> </w:t>
      </w:r>
      <w:r>
        <w:t>estimates</w:t>
      </w:r>
      <w:r>
        <w:rPr>
          <w:spacing w:val="-2"/>
        </w:rPr>
        <w:t xml:space="preserve"> </w:t>
      </w:r>
      <w:r>
        <w:t>of</w:t>
      </w:r>
      <w:r>
        <w:rPr>
          <w:spacing w:val="-1"/>
        </w:rPr>
        <w:t xml:space="preserve"> </w:t>
      </w:r>
      <w:r>
        <w:t>operational</w:t>
      </w:r>
      <w:r>
        <w:rPr>
          <w:spacing w:val="-1"/>
        </w:rPr>
        <w:t xml:space="preserve"> </w:t>
      </w:r>
      <w:r>
        <w:t>savings such</w:t>
      </w:r>
      <w:r>
        <w:rPr>
          <w:spacing w:val="-1"/>
        </w:rPr>
        <w:t xml:space="preserve"> </w:t>
      </w:r>
      <w:r>
        <w:t>as</w:t>
      </w:r>
      <w:r>
        <w:rPr>
          <w:spacing w:val="-1"/>
        </w:rPr>
        <w:t xml:space="preserve"> </w:t>
      </w:r>
      <w:r>
        <w:t>improved</w:t>
      </w:r>
      <w:r>
        <w:rPr>
          <w:spacing w:val="-1"/>
        </w:rPr>
        <w:t xml:space="preserve"> </w:t>
      </w:r>
      <w:r>
        <w:t>maintenance</w:t>
      </w:r>
      <w:r>
        <w:rPr>
          <w:spacing w:val="-1"/>
        </w:rPr>
        <w:t xml:space="preserve"> </w:t>
      </w:r>
      <w:r>
        <w:t>or</w:t>
      </w:r>
      <w:r>
        <w:rPr>
          <w:spacing w:val="-1"/>
        </w:rPr>
        <w:t xml:space="preserve"> </w:t>
      </w:r>
      <w:r>
        <w:t>optimizing equipment operating setpoints. Based on the literature review of 16 institutional SEM plans such as the LW Hospitals Alliance 2014 plan</w:t>
      </w:r>
      <w:hyperlink w:history="1" w:anchor="_bookmark362">
        <w:r>
          <w:rPr>
            <w:position w:val="7"/>
            <w:sz w:val="14"/>
          </w:rPr>
          <w:t>129</w:t>
        </w:r>
      </w:hyperlink>
      <w:r>
        <w:rPr>
          <w:spacing w:val="31"/>
          <w:position w:val="7"/>
          <w:sz w:val="14"/>
        </w:rPr>
        <w:t xml:space="preserve"> </w:t>
      </w:r>
      <w:r>
        <w:t>and market studies such as the Northwest Energy Efficiency Alliance</w:t>
      </w:r>
      <w:r>
        <w:rPr>
          <w:spacing w:val="-13"/>
        </w:rPr>
        <w:t xml:space="preserve"> </w:t>
      </w:r>
      <w:r>
        <w:t>(NEEA) Market Progress Evaluation Report,</w:t>
      </w:r>
      <w:hyperlink w:history="1" w:anchor="_bookmark363">
        <w:r>
          <w:rPr>
            <w:position w:val="7"/>
            <w:sz w:val="14"/>
          </w:rPr>
          <w:t>130</w:t>
        </w:r>
      </w:hyperlink>
      <w:r>
        <w:rPr>
          <w:spacing w:val="35"/>
          <w:position w:val="7"/>
          <w:sz w:val="14"/>
        </w:rPr>
        <w:t xml:space="preserve"> </w:t>
      </w:r>
      <w:r>
        <w:t xml:space="preserve">O&amp;M savings are </w:t>
      </w:r>
      <w:r>
        <w:t>estimated to be 3% and are applied consistently by building and fuel type across all utilities for the market segments considered.</w:t>
      </w:r>
    </w:p>
    <w:p w:rsidR="00C31389" w:rsidRDefault="00C31389" w14:paraId="79C27A0E" w14:textId="77777777">
      <w:pPr>
        <w:pStyle w:val="BodyText"/>
        <w:spacing w:before="11"/>
        <w:rPr>
          <w:sz w:val="20"/>
        </w:rPr>
      </w:pPr>
    </w:p>
    <w:p w:rsidR="00C31389" w:rsidRDefault="00561FBD" w14:paraId="34D15855" w14:textId="77777777">
      <w:pPr>
        <w:pStyle w:val="BodyText"/>
        <w:ind w:left="480" w:right="434"/>
        <w:rPr>
          <w:sz w:val="14"/>
        </w:rPr>
      </w:pPr>
      <w:r>
        <w:t>The model uses an EUL of 5 years.</w:t>
      </w:r>
      <w:hyperlink w:history="1" w:anchor="_bookmark364">
        <w:r>
          <w:rPr>
            <w:position w:val="7"/>
            <w:sz w:val="14"/>
          </w:rPr>
          <w:t>131</w:t>
        </w:r>
      </w:hyperlink>
      <w:r>
        <w:rPr>
          <w:spacing w:val="29"/>
          <w:position w:val="7"/>
          <w:sz w:val="14"/>
        </w:rPr>
        <w:t xml:space="preserve"> </w:t>
      </w:r>
      <w:r>
        <w:t>A ratio of 0.000102 kW to kWh was applied to the three electric utilities based on an analysis of several third-party programs operating in California during the 2014-2015 portfolio cycle that included some components of</w:t>
      </w:r>
      <w:r>
        <w:t xml:space="preserve"> SEM initiatives.</w:t>
      </w:r>
      <w:r>
        <w:rPr>
          <w:spacing w:val="-3"/>
        </w:rPr>
        <w:t xml:space="preserve"> </w:t>
      </w:r>
      <w:r>
        <w:t>This</w:t>
      </w:r>
      <w:r>
        <w:rPr>
          <w:spacing w:val="-3"/>
        </w:rPr>
        <w:t xml:space="preserve"> </w:t>
      </w:r>
      <w:r>
        <w:t>ratio</w:t>
      </w:r>
      <w:r>
        <w:rPr>
          <w:spacing w:val="-3"/>
        </w:rPr>
        <w:t xml:space="preserve"> </w:t>
      </w:r>
      <w:r>
        <w:t>was</w:t>
      </w:r>
      <w:r>
        <w:rPr>
          <w:spacing w:val="-4"/>
        </w:rPr>
        <w:t xml:space="preserve"> </w:t>
      </w:r>
      <w:r>
        <w:t>then</w:t>
      </w:r>
      <w:r>
        <w:rPr>
          <w:spacing w:val="-3"/>
        </w:rPr>
        <w:t xml:space="preserve"> </w:t>
      </w:r>
      <w:r>
        <w:t>updated</w:t>
      </w:r>
      <w:r>
        <w:rPr>
          <w:spacing w:val="-3"/>
        </w:rPr>
        <w:t xml:space="preserve"> </w:t>
      </w:r>
      <w:r>
        <w:t>based</w:t>
      </w:r>
      <w:r>
        <w:rPr>
          <w:spacing w:val="-3"/>
        </w:rPr>
        <w:t xml:space="preserve"> </w:t>
      </w:r>
      <w:r>
        <w:t>on</w:t>
      </w:r>
      <w:r>
        <w:rPr>
          <w:spacing w:val="-4"/>
        </w:rPr>
        <w:t xml:space="preserve"> </w:t>
      </w:r>
      <w:r>
        <w:t>California</w:t>
      </w:r>
      <w:r>
        <w:rPr>
          <w:spacing w:val="-3"/>
        </w:rPr>
        <w:t xml:space="preserve"> </w:t>
      </w:r>
      <w:r>
        <w:t>hourly</w:t>
      </w:r>
      <w:r>
        <w:rPr>
          <w:spacing w:val="-3"/>
        </w:rPr>
        <w:t xml:space="preserve"> </w:t>
      </w:r>
      <w:r>
        <w:t>load</w:t>
      </w:r>
      <w:r>
        <w:rPr>
          <w:spacing w:val="-3"/>
        </w:rPr>
        <w:t xml:space="preserve"> </w:t>
      </w:r>
      <w:r>
        <w:t>profiles</w:t>
      </w:r>
      <w:r>
        <w:rPr>
          <w:spacing w:val="-3"/>
        </w:rPr>
        <w:t xml:space="preserve"> </w:t>
      </w:r>
      <w:r>
        <w:t>to</w:t>
      </w:r>
      <w:r>
        <w:rPr>
          <w:spacing w:val="-3"/>
        </w:rPr>
        <w:t xml:space="preserve"> </w:t>
      </w:r>
      <w:r>
        <w:t>align</w:t>
      </w:r>
      <w:r>
        <w:rPr>
          <w:spacing w:val="-3"/>
        </w:rPr>
        <w:t xml:space="preserve"> </w:t>
      </w:r>
      <w:r>
        <w:t>with the current DEER peak period definition.</w:t>
      </w:r>
      <w:hyperlink w:history="1" w:anchor="_bookmark365">
        <w:r>
          <w:rPr>
            <w:position w:val="7"/>
            <w:sz w:val="14"/>
          </w:rPr>
          <w:t>132</w:t>
        </w:r>
      </w:hyperlink>
    </w:p>
    <w:p w:rsidR="00C31389" w:rsidRDefault="00C31389" w14:paraId="5E36886C" w14:textId="77777777">
      <w:pPr>
        <w:pStyle w:val="BodyText"/>
        <w:spacing w:before="9"/>
        <w:rPr>
          <w:sz w:val="20"/>
        </w:rPr>
      </w:pPr>
    </w:p>
    <w:p w:rsidR="00C31389" w:rsidRDefault="00561FBD" w14:paraId="6D1C8560" w14:textId="77777777">
      <w:pPr>
        <w:pStyle w:val="Heading7"/>
        <w:spacing w:before="1"/>
        <w:ind w:left="479"/>
      </w:pPr>
      <w:r>
        <w:rPr>
          <w:spacing w:val="-4"/>
        </w:rPr>
        <w:t>Cost</w:t>
      </w:r>
    </w:p>
    <w:p w:rsidR="00C31389" w:rsidRDefault="00C31389" w14:paraId="7A35B486" w14:textId="77777777">
      <w:pPr>
        <w:pStyle w:val="BodyText"/>
        <w:spacing w:before="10"/>
        <w:rPr>
          <w:b/>
          <w:sz w:val="20"/>
        </w:rPr>
      </w:pPr>
    </w:p>
    <w:p w:rsidR="00C31389" w:rsidRDefault="00561FBD" w14:paraId="795B743C" w14:textId="77777777">
      <w:pPr>
        <w:pStyle w:val="BodyText"/>
        <w:ind w:left="479" w:right="445"/>
      </w:pPr>
      <w:r>
        <w:t xml:space="preserve">Consistent with previous </w:t>
      </w:r>
      <w:r>
        <w:t>studies, costs for electricity and natural gas savings are estimated at</w:t>
      </w:r>
      <w:r>
        <w:rPr>
          <w:spacing w:val="-2"/>
        </w:rPr>
        <w:t xml:space="preserve"> </w:t>
      </w:r>
      <w:r>
        <w:t>$0.27</w:t>
      </w:r>
      <w:r>
        <w:rPr>
          <w:spacing w:val="-2"/>
        </w:rPr>
        <w:t xml:space="preserve"> </w:t>
      </w:r>
      <w:r>
        <w:t>per</w:t>
      </w:r>
      <w:r>
        <w:rPr>
          <w:spacing w:val="-3"/>
        </w:rPr>
        <w:t xml:space="preserve"> </w:t>
      </w:r>
      <w:r>
        <w:t>kWh</w:t>
      </w:r>
      <w:r>
        <w:rPr>
          <w:spacing w:val="-2"/>
        </w:rPr>
        <w:t xml:space="preserve"> </w:t>
      </w:r>
      <w:r>
        <w:t>and</w:t>
      </w:r>
      <w:r>
        <w:rPr>
          <w:spacing w:val="-2"/>
        </w:rPr>
        <w:t xml:space="preserve"> </w:t>
      </w:r>
      <w:r>
        <w:t>$3.65</w:t>
      </w:r>
      <w:r>
        <w:rPr>
          <w:spacing w:val="-2"/>
        </w:rPr>
        <w:t xml:space="preserve"> </w:t>
      </w:r>
      <w:r>
        <w:t>per</w:t>
      </w:r>
      <w:r>
        <w:rPr>
          <w:spacing w:val="-2"/>
        </w:rPr>
        <w:t xml:space="preserve"> </w:t>
      </w:r>
      <w:r>
        <w:t>therm</w:t>
      </w:r>
      <w:r>
        <w:rPr>
          <w:spacing w:val="-2"/>
        </w:rPr>
        <w:t xml:space="preserve"> </w:t>
      </w:r>
      <w:r>
        <w:t>and</w:t>
      </w:r>
      <w:r>
        <w:rPr>
          <w:spacing w:val="-2"/>
        </w:rPr>
        <w:t xml:space="preserve"> </w:t>
      </w:r>
      <w:r>
        <w:t>are</w:t>
      </w:r>
      <w:r>
        <w:rPr>
          <w:spacing w:val="-2"/>
        </w:rPr>
        <w:t xml:space="preserve"> </w:t>
      </w:r>
      <w:r>
        <w:t>applied</w:t>
      </w:r>
      <w:r>
        <w:rPr>
          <w:spacing w:val="-2"/>
        </w:rPr>
        <w:t xml:space="preserve"> </w:t>
      </w:r>
      <w:r>
        <w:t>consistently</w:t>
      </w:r>
      <w:r>
        <w:rPr>
          <w:spacing w:val="-2"/>
        </w:rPr>
        <w:t xml:space="preserve"> </w:t>
      </w:r>
      <w:r>
        <w:t>by</w:t>
      </w:r>
      <w:r>
        <w:rPr>
          <w:spacing w:val="-3"/>
        </w:rPr>
        <w:t xml:space="preserve"> </w:t>
      </w:r>
      <w:r>
        <w:t>building</w:t>
      </w:r>
      <w:r>
        <w:rPr>
          <w:spacing w:val="-2"/>
        </w:rPr>
        <w:t xml:space="preserve"> </w:t>
      </w:r>
      <w:r>
        <w:t>and</w:t>
      </w:r>
      <w:r>
        <w:rPr>
          <w:spacing w:val="-3"/>
        </w:rPr>
        <w:t xml:space="preserve"> </w:t>
      </w:r>
      <w:r>
        <w:t>fuel</w:t>
      </w:r>
      <w:r>
        <w:rPr>
          <w:spacing w:val="-2"/>
        </w:rPr>
        <w:t xml:space="preserve"> </w:t>
      </w:r>
      <w:r>
        <w:t xml:space="preserve">type across utilities. These values are based on an analysis of several third-party programs </w:t>
      </w:r>
      <w:r>
        <w:t>operating in California during the 2014-2015 portfolio cycle that included some components of SEM initiatives, including the Commercial Energy Advisor, Monitoring-Based Persistence Commissioning, and Energy Fitness programs.</w:t>
      </w:r>
    </w:p>
    <w:p w:rsidR="00C31389" w:rsidRDefault="00C31389" w14:paraId="44870FDE" w14:textId="77777777">
      <w:pPr>
        <w:pStyle w:val="BodyText"/>
        <w:spacing w:before="10"/>
        <w:rPr>
          <w:sz w:val="20"/>
        </w:rPr>
      </w:pPr>
    </w:p>
    <w:p w:rsidR="00C31389" w:rsidRDefault="00561FBD" w14:paraId="0C788B0C" w14:textId="77777777">
      <w:pPr>
        <w:pStyle w:val="ListParagraph"/>
        <w:numPr>
          <w:ilvl w:val="1"/>
          <w:numId w:val="19"/>
        </w:numPr>
        <w:tabs>
          <w:tab w:val="left" w:pos="991"/>
        </w:tabs>
        <w:ind w:left="991" w:hanging="511"/>
        <w:rPr>
          <w:b/>
          <w:sz w:val="28"/>
        </w:rPr>
      </w:pPr>
      <w:bookmarkStart w:name="D.6_Commercial_–_Building_Operator_Certi" w:id="472"/>
      <w:bookmarkStart w:name="_bookmark359" w:id="473"/>
      <w:bookmarkEnd w:id="472"/>
      <w:bookmarkEnd w:id="473"/>
      <w:r>
        <w:rPr>
          <w:b/>
          <w:sz w:val="28"/>
        </w:rPr>
        <w:t>Commercial</w:t>
      </w:r>
      <w:r>
        <w:rPr>
          <w:b/>
          <w:spacing w:val="-12"/>
          <w:sz w:val="28"/>
        </w:rPr>
        <w:t xml:space="preserve"> </w:t>
      </w:r>
      <w:r>
        <w:rPr>
          <w:b/>
          <w:sz w:val="28"/>
        </w:rPr>
        <w:t>–</w:t>
      </w:r>
      <w:r>
        <w:rPr>
          <w:b/>
          <w:spacing w:val="-12"/>
          <w:sz w:val="28"/>
        </w:rPr>
        <w:t xml:space="preserve"> </w:t>
      </w:r>
      <w:r>
        <w:rPr>
          <w:b/>
          <w:sz w:val="28"/>
        </w:rPr>
        <w:t>Building</w:t>
      </w:r>
      <w:r>
        <w:rPr>
          <w:b/>
          <w:spacing w:val="-13"/>
          <w:sz w:val="28"/>
        </w:rPr>
        <w:t xml:space="preserve"> </w:t>
      </w:r>
      <w:r>
        <w:rPr>
          <w:b/>
          <w:sz w:val="28"/>
        </w:rPr>
        <w:t>Operator</w:t>
      </w:r>
      <w:r>
        <w:rPr>
          <w:b/>
          <w:spacing w:val="-12"/>
          <w:sz w:val="28"/>
        </w:rPr>
        <w:t xml:space="preserve"> </w:t>
      </w:r>
      <w:r>
        <w:rPr>
          <w:b/>
          <w:spacing w:val="-2"/>
          <w:sz w:val="28"/>
        </w:rPr>
        <w:t>Certification</w:t>
      </w:r>
    </w:p>
    <w:p w:rsidR="00C31389" w:rsidRDefault="00C31389" w14:paraId="077B0535" w14:textId="77777777">
      <w:pPr>
        <w:pStyle w:val="BodyText"/>
        <w:spacing w:before="3"/>
        <w:rPr>
          <w:b/>
          <w:sz w:val="31"/>
        </w:rPr>
      </w:pPr>
    </w:p>
    <w:p w:rsidR="00C31389" w:rsidRDefault="00561FBD" w14:paraId="15837E6D" w14:textId="77777777">
      <w:pPr>
        <w:pStyle w:val="ListParagraph"/>
        <w:numPr>
          <w:ilvl w:val="2"/>
          <w:numId w:val="19"/>
        </w:numPr>
        <w:tabs>
          <w:tab w:val="left" w:pos="1197"/>
        </w:tabs>
        <w:spacing w:before="1"/>
        <w:ind w:left="1197" w:hanging="717"/>
        <w:rPr>
          <w:b/>
          <w:sz w:val="24"/>
        </w:rPr>
      </w:pPr>
      <w:bookmarkStart w:name="D.6.1_Summary" w:id="474"/>
      <w:bookmarkStart w:name="_bookmark360" w:id="475"/>
      <w:bookmarkEnd w:id="474"/>
      <w:bookmarkEnd w:id="475"/>
      <w:r>
        <w:rPr>
          <w:b/>
          <w:spacing w:val="-2"/>
          <w:sz w:val="24"/>
        </w:rPr>
        <w:t>Summary</w:t>
      </w:r>
    </w:p>
    <w:p w:rsidR="00C31389" w:rsidRDefault="00C31389" w14:paraId="7095C99A" w14:textId="77777777">
      <w:pPr>
        <w:pStyle w:val="BodyText"/>
        <w:spacing w:before="2"/>
        <w:rPr>
          <w:b/>
          <w:sz w:val="23"/>
        </w:rPr>
      </w:pPr>
    </w:p>
    <w:p w:rsidR="00C31389" w:rsidRDefault="00561FBD" w14:paraId="3D640704" w14:textId="77777777">
      <w:pPr>
        <w:pStyle w:val="BodyText"/>
        <w:ind w:left="480" w:right="418"/>
      </w:pPr>
      <w:r>
        <w:t>Building</w:t>
      </w:r>
      <w:r>
        <w:rPr>
          <w:spacing w:val="-1"/>
        </w:rPr>
        <w:t xml:space="preserve"> </w:t>
      </w:r>
      <w:r>
        <w:t>operator</w:t>
      </w:r>
      <w:r>
        <w:rPr>
          <w:spacing w:val="-1"/>
        </w:rPr>
        <w:t xml:space="preserve"> </w:t>
      </w:r>
      <w:r>
        <w:t>certification</w:t>
      </w:r>
      <w:r>
        <w:rPr>
          <w:spacing w:val="-1"/>
        </w:rPr>
        <w:t xml:space="preserve"> </w:t>
      </w:r>
      <w:r>
        <w:t>(BOC) offers</w:t>
      </w:r>
      <w:r>
        <w:rPr>
          <w:spacing w:val="-1"/>
        </w:rPr>
        <w:t xml:space="preserve"> </w:t>
      </w:r>
      <w:r>
        <w:t>EE</w:t>
      </w:r>
      <w:r>
        <w:rPr>
          <w:spacing w:val="-1"/>
        </w:rPr>
        <w:t xml:space="preserve"> </w:t>
      </w:r>
      <w:r>
        <w:t>training</w:t>
      </w:r>
      <w:r>
        <w:rPr>
          <w:spacing w:val="-1"/>
        </w:rPr>
        <w:t xml:space="preserve"> </w:t>
      </w:r>
      <w:r>
        <w:t>and</w:t>
      </w:r>
      <w:r>
        <w:rPr>
          <w:spacing w:val="-1"/>
        </w:rPr>
        <w:t xml:space="preserve"> </w:t>
      </w:r>
      <w:r>
        <w:t>certification</w:t>
      </w:r>
      <w:r>
        <w:rPr>
          <w:spacing w:val="-2"/>
        </w:rPr>
        <w:t xml:space="preserve"> </w:t>
      </w:r>
      <w:r>
        <w:t>courses</w:t>
      </w:r>
      <w:r>
        <w:rPr>
          <w:spacing w:val="-1"/>
        </w:rPr>
        <w:t xml:space="preserve"> </w:t>
      </w:r>
      <w:r>
        <w:t>to</w:t>
      </w:r>
      <w:r>
        <w:rPr>
          <w:spacing w:val="-1"/>
        </w:rPr>
        <w:t xml:space="preserve"> </w:t>
      </w:r>
      <w:r>
        <w:t>building operators</w:t>
      </w:r>
      <w:r>
        <w:rPr>
          <w:spacing w:val="-6"/>
        </w:rPr>
        <w:t xml:space="preserve"> </w:t>
      </w:r>
      <w:r>
        <w:t>in</w:t>
      </w:r>
      <w:r>
        <w:rPr>
          <w:spacing w:val="-7"/>
        </w:rPr>
        <w:t xml:space="preserve"> </w:t>
      </w:r>
      <w:r>
        <w:t>the</w:t>
      </w:r>
      <w:r>
        <w:rPr>
          <w:spacing w:val="-6"/>
        </w:rPr>
        <w:t xml:space="preserve"> </w:t>
      </w:r>
      <w:r>
        <w:t>commercial</w:t>
      </w:r>
      <w:r>
        <w:rPr>
          <w:spacing w:val="-6"/>
        </w:rPr>
        <w:t xml:space="preserve"> </w:t>
      </w:r>
      <w:r>
        <w:t>sector.</w:t>
      </w:r>
      <w:r>
        <w:rPr>
          <w:spacing w:val="-6"/>
        </w:rPr>
        <w:t xml:space="preserve"> </w:t>
      </w:r>
      <w:r>
        <w:t>BOC</w:t>
      </w:r>
      <w:r>
        <w:rPr>
          <w:spacing w:val="-7"/>
        </w:rPr>
        <w:t xml:space="preserve"> </w:t>
      </w:r>
      <w:r>
        <w:t>has</w:t>
      </w:r>
      <w:r>
        <w:rPr>
          <w:spacing w:val="-6"/>
        </w:rPr>
        <w:t xml:space="preserve"> </w:t>
      </w:r>
      <w:r>
        <w:t>been</w:t>
      </w:r>
      <w:r>
        <w:rPr>
          <w:spacing w:val="-5"/>
        </w:rPr>
        <w:t xml:space="preserve"> </w:t>
      </w:r>
      <w:r>
        <w:t>modeled</w:t>
      </w:r>
      <w:r>
        <w:rPr>
          <w:spacing w:val="-6"/>
        </w:rPr>
        <w:t xml:space="preserve"> </w:t>
      </w:r>
      <w:r>
        <w:t>as</w:t>
      </w:r>
      <w:r>
        <w:rPr>
          <w:spacing w:val="-6"/>
        </w:rPr>
        <w:t xml:space="preserve"> </w:t>
      </w:r>
      <w:r>
        <w:t>a</w:t>
      </w:r>
      <w:r>
        <w:rPr>
          <w:spacing w:val="-6"/>
        </w:rPr>
        <w:t xml:space="preserve"> </w:t>
      </w:r>
      <w:r>
        <w:t>component</w:t>
      </w:r>
      <w:r>
        <w:rPr>
          <w:spacing w:val="-6"/>
        </w:rPr>
        <w:t xml:space="preserve"> </w:t>
      </w:r>
      <w:r>
        <w:t>of</w:t>
      </w:r>
      <w:r>
        <w:rPr>
          <w:spacing w:val="-5"/>
        </w:rPr>
        <w:t xml:space="preserve"> </w:t>
      </w:r>
      <w:r>
        <w:rPr>
          <w:spacing w:val="-2"/>
        </w:rPr>
        <w:t>behavioral</w:t>
      </w:r>
    </w:p>
    <w:p w:rsidR="00C31389" w:rsidRDefault="00C31389" w14:paraId="416DF7D9" w14:textId="77777777">
      <w:pPr>
        <w:pStyle w:val="BodyText"/>
        <w:rPr>
          <w:sz w:val="20"/>
        </w:rPr>
      </w:pPr>
    </w:p>
    <w:p w:rsidR="00C31389" w:rsidRDefault="00C31389" w14:paraId="32CA200B" w14:textId="77777777">
      <w:pPr>
        <w:pStyle w:val="BodyText"/>
        <w:rPr>
          <w:sz w:val="20"/>
        </w:rPr>
      </w:pPr>
    </w:p>
    <w:p w:rsidR="00C31389" w:rsidRDefault="00C31389" w14:paraId="0F3C022B" w14:textId="77777777">
      <w:pPr>
        <w:pStyle w:val="BodyText"/>
        <w:rPr>
          <w:sz w:val="20"/>
        </w:rPr>
      </w:pPr>
    </w:p>
    <w:p w:rsidR="00C31389" w:rsidRDefault="00C31389" w14:paraId="0C2BD9A1" w14:textId="77777777">
      <w:pPr>
        <w:pStyle w:val="BodyText"/>
        <w:rPr>
          <w:sz w:val="20"/>
        </w:rPr>
      </w:pPr>
    </w:p>
    <w:p w:rsidR="00C31389" w:rsidRDefault="00561FBD" w14:paraId="0948BD33" w14:textId="77777777">
      <w:pPr>
        <w:pStyle w:val="BodyText"/>
        <w:spacing w:before="5"/>
        <w:rPr>
          <w:sz w:val="24"/>
        </w:rPr>
      </w:pPr>
      <w:r>
        <w:rPr>
          <w:noProof/>
        </w:rPr>
        <mc:AlternateContent>
          <mc:Choice Requires="wps">
            <w:drawing>
              <wp:anchor distT="0" distB="0" distL="0" distR="0" simplePos="0" relativeHeight="487722496" behindDoc="1" locked="0" layoutInCell="1" allowOverlap="1" wp14:editId="7D8A75AD" wp14:anchorId="12987342">
                <wp:simplePos x="0" y="0"/>
                <wp:positionH relativeFrom="page">
                  <wp:posOffset>914400</wp:posOffset>
                </wp:positionH>
                <wp:positionV relativeFrom="paragraph">
                  <wp:posOffset>193724</wp:posOffset>
                </wp:positionV>
                <wp:extent cx="1828800" cy="6985"/>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2" style="position:absolute;margin-left:1in;margin-top:15.25pt;width:2in;height:.55pt;z-index:-1559398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" w14:anchorId="25AF0C9D">
                <v:path arrowok="t"/>
                <w10:wrap type="topAndBottom" anchorx="page"/>
              </v:shape>
            </w:pict>
          </mc:Fallback>
        </mc:AlternateContent>
      </w:r>
    </w:p>
    <w:p w:rsidR="00C31389" w:rsidRDefault="00561FBD" w14:paraId="468EFA7C" w14:textId="77777777">
      <w:pPr>
        <w:spacing w:before="89"/>
        <w:ind w:left="480"/>
        <w:rPr>
          <w:sz w:val="18"/>
        </w:rPr>
      </w:pPr>
      <w:bookmarkStart w:name="_bookmark361" w:id="476"/>
      <w:bookmarkEnd w:id="476"/>
      <w:r>
        <w:rPr>
          <w:position w:val="6"/>
          <w:sz w:val="12"/>
        </w:rPr>
        <w:t>128</w:t>
      </w:r>
      <w:r>
        <w:rPr>
          <w:spacing w:val="13"/>
          <w:position w:val="6"/>
          <w:sz w:val="12"/>
        </w:rPr>
        <w:t xml:space="preserve"> </w:t>
      </w:r>
      <w:r>
        <w:rPr>
          <w:sz w:val="18"/>
        </w:rPr>
        <w:t>Informal</w:t>
      </w:r>
      <w:r>
        <w:rPr>
          <w:spacing w:val="-2"/>
          <w:sz w:val="18"/>
        </w:rPr>
        <w:t xml:space="preserve"> </w:t>
      </w:r>
      <w:r>
        <w:rPr>
          <w:sz w:val="18"/>
        </w:rPr>
        <w:t>comments</w:t>
      </w:r>
      <w:r>
        <w:rPr>
          <w:spacing w:val="-2"/>
          <w:sz w:val="18"/>
        </w:rPr>
        <w:t xml:space="preserve"> </w:t>
      </w:r>
      <w:r>
        <w:rPr>
          <w:sz w:val="18"/>
        </w:rPr>
        <w:t>in</w:t>
      </w:r>
      <w:r>
        <w:rPr>
          <w:spacing w:val="-2"/>
          <w:sz w:val="18"/>
        </w:rPr>
        <w:t xml:space="preserve"> </w:t>
      </w:r>
      <w:r>
        <w:rPr>
          <w:sz w:val="18"/>
        </w:rPr>
        <w:t>response</w:t>
      </w:r>
      <w:r>
        <w:rPr>
          <w:spacing w:val="-3"/>
          <w:sz w:val="18"/>
        </w:rPr>
        <w:t xml:space="preserve"> </w:t>
      </w:r>
      <w:r>
        <w:rPr>
          <w:sz w:val="18"/>
        </w:rPr>
        <w:t>to</w:t>
      </w:r>
      <w:r>
        <w:rPr>
          <w:spacing w:val="-3"/>
          <w:sz w:val="18"/>
        </w:rPr>
        <w:t xml:space="preserve"> </w:t>
      </w:r>
      <w:r>
        <w:rPr>
          <w:sz w:val="18"/>
        </w:rPr>
        <w:t>the</w:t>
      </w:r>
      <w:r>
        <w:rPr>
          <w:spacing w:val="-2"/>
          <w:sz w:val="18"/>
        </w:rPr>
        <w:t xml:space="preserve"> </w:t>
      </w:r>
      <w:r>
        <w:rPr>
          <w:sz w:val="18"/>
        </w:rPr>
        <w:t>2019</w:t>
      </w:r>
      <w:r>
        <w:rPr>
          <w:spacing w:val="-3"/>
          <w:sz w:val="18"/>
        </w:rPr>
        <w:t xml:space="preserve"> </w:t>
      </w:r>
      <w:r>
        <w:rPr>
          <w:sz w:val="18"/>
        </w:rPr>
        <w:t>Study</w:t>
      </w:r>
      <w:r>
        <w:rPr>
          <w:spacing w:val="-2"/>
          <w:sz w:val="18"/>
        </w:rPr>
        <w:t xml:space="preserve"> </w:t>
      </w:r>
      <w:r>
        <w:rPr>
          <w:sz w:val="18"/>
        </w:rPr>
        <w:t>webinar</w:t>
      </w:r>
      <w:r>
        <w:rPr>
          <w:spacing w:val="-2"/>
          <w:sz w:val="18"/>
        </w:rPr>
        <w:t xml:space="preserve"> </w:t>
      </w:r>
      <w:r>
        <w:rPr>
          <w:sz w:val="18"/>
        </w:rPr>
        <w:t>held on</w:t>
      </w:r>
      <w:r>
        <w:rPr>
          <w:spacing w:val="-3"/>
          <w:sz w:val="18"/>
        </w:rPr>
        <w:t xml:space="preserve"> </w:t>
      </w:r>
      <w:r>
        <w:rPr>
          <w:sz w:val="18"/>
        </w:rPr>
        <w:t>April</w:t>
      </w:r>
      <w:r>
        <w:rPr>
          <w:spacing w:val="-1"/>
          <w:sz w:val="18"/>
        </w:rPr>
        <w:t xml:space="preserve"> </w:t>
      </w:r>
      <w:r>
        <w:rPr>
          <w:sz w:val="18"/>
        </w:rPr>
        <w:t>20,</w:t>
      </w:r>
      <w:r>
        <w:rPr>
          <w:spacing w:val="-1"/>
          <w:sz w:val="18"/>
        </w:rPr>
        <w:t xml:space="preserve"> </w:t>
      </w:r>
      <w:r>
        <w:rPr>
          <w:spacing w:val="-2"/>
          <w:sz w:val="18"/>
        </w:rPr>
        <w:t>2017.</w:t>
      </w:r>
    </w:p>
    <w:p w:rsidR="00C31389" w:rsidRDefault="00561FBD" w14:paraId="762C4049" w14:textId="77777777">
      <w:pPr>
        <w:spacing w:before="35"/>
        <w:ind w:left="480"/>
        <w:rPr>
          <w:sz w:val="18"/>
        </w:rPr>
      </w:pPr>
      <w:bookmarkStart w:name="_bookmark362" w:id="477"/>
      <w:bookmarkEnd w:id="477"/>
      <w:r>
        <w:rPr>
          <w:position w:val="6"/>
          <w:sz w:val="12"/>
        </w:rPr>
        <w:t>129</w:t>
      </w:r>
      <w:r>
        <w:rPr>
          <w:spacing w:val="11"/>
          <w:position w:val="6"/>
          <w:sz w:val="12"/>
        </w:rPr>
        <w:t xml:space="preserve"> </w:t>
      </w:r>
      <w:r>
        <w:rPr>
          <w:sz w:val="18"/>
        </w:rPr>
        <w:t>Joint</w:t>
      </w:r>
      <w:r>
        <w:rPr>
          <w:spacing w:val="-3"/>
          <w:sz w:val="18"/>
        </w:rPr>
        <w:t xml:space="preserve"> </w:t>
      </w:r>
      <w:r>
        <w:rPr>
          <w:sz w:val="18"/>
        </w:rPr>
        <w:t>Strategic</w:t>
      </w:r>
      <w:r>
        <w:rPr>
          <w:spacing w:val="-2"/>
          <w:sz w:val="18"/>
        </w:rPr>
        <w:t xml:space="preserve"> </w:t>
      </w:r>
      <w:r>
        <w:rPr>
          <w:sz w:val="18"/>
        </w:rPr>
        <w:t>Energy</w:t>
      </w:r>
      <w:r>
        <w:rPr>
          <w:spacing w:val="-4"/>
          <w:sz w:val="18"/>
        </w:rPr>
        <w:t xml:space="preserve"> </w:t>
      </w:r>
      <w:r>
        <w:rPr>
          <w:sz w:val="18"/>
        </w:rPr>
        <w:t>Management</w:t>
      </w:r>
      <w:r>
        <w:rPr>
          <w:spacing w:val="-3"/>
          <w:sz w:val="18"/>
        </w:rPr>
        <w:t xml:space="preserve"> </w:t>
      </w:r>
      <w:r>
        <w:rPr>
          <w:sz w:val="18"/>
        </w:rPr>
        <w:t>Plan</w:t>
      </w:r>
      <w:r>
        <w:rPr>
          <w:spacing w:val="-4"/>
          <w:sz w:val="18"/>
        </w:rPr>
        <w:t xml:space="preserve"> </w:t>
      </w:r>
      <w:r>
        <w:rPr>
          <w:sz w:val="18"/>
        </w:rPr>
        <w:t>for</w:t>
      </w:r>
      <w:r>
        <w:rPr>
          <w:spacing w:val="-3"/>
          <w:sz w:val="18"/>
        </w:rPr>
        <w:t xml:space="preserve"> </w:t>
      </w:r>
      <w:r>
        <w:rPr>
          <w:sz w:val="18"/>
        </w:rPr>
        <w:t>Listowel</w:t>
      </w:r>
      <w:r>
        <w:rPr>
          <w:spacing w:val="-4"/>
          <w:sz w:val="18"/>
        </w:rPr>
        <w:t xml:space="preserve"> </w:t>
      </w:r>
      <w:r>
        <w:rPr>
          <w:sz w:val="18"/>
        </w:rPr>
        <w:t>Wingham</w:t>
      </w:r>
      <w:r>
        <w:rPr>
          <w:spacing w:val="-3"/>
          <w:sz w:val="18"/>
        </w:rPr>
        <w:t xml:space="preserve"> </w:t>
      </w:r>
      <w:r>
        <w:rPr>
          <w:sz w:val="18"/>
        </w:rPr>
        <w:t>Hospitals</w:t>
      </w:r>
      <w:r>
        <w:rPr>
          <w:spacing w:val="-3"/>
          <w:sz w:val="18"/>
        </w:rPr>
        <w:t xml:space="preserve"> </w:t>
      </w:r>
      <w:r>
        <w:rPr>
          <w:sz w:val="18"/>
        </w:rPr>
        <w:t>Alliance,</w:t>
      </w:r>
      <w:r>
        <w:rPr>
          <w:spacing w:val="-3"/>
          <w:sz w:val="18"/>
        </w:rPr>
        <w:t xml:space="preserve"> </w:t>
      </w:r>
      <w:r>
        <w:rPr>
          <w:spacing w:val="-4"/>
          <w:sz w:val="18"/>
        </w:rPr>
        <w:t>2014</w:t>
      </w:r>
    </w:p>
    <w:p w:rsidR="00C31389" w:rsidRDefault="00561FBD" w14:paraId="1AAB172D" w14:textId="77777777">
      <w:pPr>
        <w:spacing w:before="35"/>
        <w:ind w:left="480" w:right="615"/>
        <w:rPr>
          <w:sz w:val="18"/>
        </w:rPr>
      </w:pPr>
      <w:bookmarkStart w:name="_bookmark363" w:id="478"/>
      <w:bookmarkEnd w:id="478"/>
      <w:r>
        <w:rPr>
          <w:position w:val="6"/>
          <w:sz w:val="12"/>
        </w:rPr>
        <w:t>130</w:t>
      </w:r>
      <w:r>
        <w:rPr>
          <w:spacing w:val="14"/>
          <w:position w:val="6"/>
          <w:sz w:val="12"/>
        </w:rPr>
        <w:t xml:space="preserve"> </w:t>
      </w:r>
      <w:r>
        <w:rPr>
          <w:i/>
          <w:sz w:val="18"/>
        </w:rPr>
        <w:t>Hospitals</w:t>
      </w:r>
      <w:r>
        <w:rPr>
          <w:i/>
          <w:spacing w:val="-3"/>
          <w:sz w:val="18"/>
        </w:rPr>
        <w:t xml:space="preserve"> </w:t>
      </w:r>
      <w:r>
        <w:rPr>
          <w:i/>
          <w:sz w:val="18"/>
        </w:rPr>
        <w:t>and</w:t>
      </w:r>
      <w:r>
        <w:rPr>
          <w:i/>
          <w:spacing w:val="-2"/>
          <w:sz w:val="18"/>
        </w:rPr>
        <w:t xml:space="preserve"> </w:t>
      </w:r>
      <w:r>
        <w:rPr>
          <w:i/>
          <w:sz w:val="18"/>
        </w:rPr>
        <w:t>Healthcare</w:t>
      </w:r>
      <w:r>
        <w:rPr>
          <w:i/>
          <w:spacing w:val="-4"/>
          <w:sz w:val="18"/>
        </w:rPr>
        <w:t xml:space="preserve"> </w:t>
      </w:r>
      <w:r>
        <w:rPr>
          <w:i/>
          <w:sz w:val="18"/>
        </w:rPr>
        <w:t>Initiative</w:t>
      </w:r>
      <w:r>
        <w:rPr>
          <w:i/>
          <w:spacing w:val="-4"/>
          <w:sz w:val="18"/>
        </w:rPr>
        <w:t xml:space="preserve"> </w:t>
      </w:r>
      <w:r>
        <w:rPr>
          <w:i/>
          <w:sz w:val="18"/>
        </w:rPr>
        <w:t>Market</w:t>
      </w:r>
      <w:r>
        <w:rPr>
          <w:i/>
          <w:spacing w:val="-3"/>
          <w:sz w:val="18"/>
        </w:rPr>
        <w:t xml:space="preserve"> </w:t>
      </w:r>
      <w:r>
        <w:rPr>
          <w:i/>
          <w:sz w:val="18"/>
        </w:rPr>
        <w:t>Progress</w:t>
      </w:r>
      <w:r>
        <w:rPr>
          <w:i/>
          <w:spacing w:val="-3"/>
          <w:sz w:val="18"/>
        </w:rPr>
        <w:t xml:space="preserve"> </w:t>
      </w:r>
      <w:r>
        <w:rPr>
          <w:i/>
          <w:sz w:val="18"/>
        </w:rPr>
        <w:t>Evaluation</w:t>
      </w:r>
      <w:r>
        <w:rPr>
          <w:i/>
          <w:spacing w:val="-4"/>
          <w:sz w:val="18"/>
        </w:rPr>
        <w:t xml:space="preserve"> </w:t>
      </w:r>
      <w:r>
        <w:rPr>
          <w:i/>
          <w:sz w:val="18"/>
        </w:rPr>
        <w:t>Report</w:t>
      </w:r>
      <w:r>
        <w:rPr>
          <w:i/>
          <w:spacing w:val="-3"/>
          <w:sz w:val="18"/>
        </w:rPr>
        <w:t xml:space="preserve"> </w:t>
      </w:r>
      <w:r>
        <w:rPr>
          <w:i/>
          <w:sz w:val="18"/>
        </w:rPr>
        <w:t>7</w:t>
      </w:r>
      <w:r>
        <w:rPr>
          <w:sz w:val="18"/>
        </w:rPr>
        <w:t>,</w:t>
      </w:r>
      <w:r>
        <w:rPr>
          <w:spacing w:val="-3"/>
          <w:sz w:val="18"/>
        </w:rPr>
        <w:t xml:space="preserve"> </w:t>
      </w:r>
      <w:r>
        <w:rPr>
          <w:sz w:val="18"/>
        </w:rPr>
        <w:t>Northwest</w:t>
      </w:r>
      <w:r>
        <w:rPr>
          <w:spacing w:val="-3"/>
          <w:sz w:val="18"/>
        </w:rPr>
        <w:t xml:space="preserve"> </w:t>
      </w:r>
      <w:r>
        <w:rPr>
          <w:sz w:val="18"/>
        </w:rPr>
        <w:t>Energy</w:t>
      </w:r>
      <w:r>
        <w:rPr>
          <w:spacing w:val="-3"/>
          <w:sz w:val="18"/>
        </w:rPr>
        <w:t xml:space="preserve"> </w:t>
      </w:r>
      <w:r>
        <w:rPr>
          <w:sz w:val="18"/>
        </w:rPr>
        <w:t xml:space="preserve">Efficiency Alliance. </w:t>
      </w:r>
      <w:r>
        <w:rPr>
          <w:sz w:val="18"/>
        </w:rPr>
        <w:t>March 26, 2015. REPORT #E15-310</w:t>
      </w:r>
    </w:p>
    <w:p w:rsidR="00C31389" w:rsidRDefault="00561FBD" w14:paraId="30A4C721" w14:textId="77777777">
      <w:pPr>
        <w:spacing w:before="39"/>
        <w:ind w:left="480"/>
        <w:rPr>
          <w:sz w:val="18"/>
        </w:rPr>
      </w:pPr>
      <w:bookmarkStart w:name="_bookmark364" w:id="479"/>
      <w:bookmarkEnd w:id="479"/>
      <w:r>
        <w:rPr>
          <w:position w:val="6"/>
          <w:sz w:val="12"/>
        </w:rPr>
        <w:t>131</w:t>
      </w:r>
      <w:r>
        <w:rPr>
          <w:spacing w:val="12"/>
          <w:position w:val="6"/>
          <w:sz w:val="12"/>
        </w:rPr>
        <w:t xml:space="preserve"> </w:t>
      </w:r>
      <w:r>
        <w:rPr>
          <w:sz w:val="18"/>
        </w:rPr>
        <w:t>Personal</w:t>
      </w:r>
      <w:r>
        <w:rPr>
          <w:spacing w:val="-2"/>
          <w:sz w:val="18"/>
        </w:rPr>
        <w:t xml:space="preserve"> </w:t>
      </w:r>
      <w:r>
        <w:rPr>
          <w:sz w:val="18"/>
        </w:rPr>
        <w:t>communication</w:t>
      </w:r>
      <w:r>
        <w:rPr>
          <w:spacing w:val="-3"/>
          <w:sz w:val="18"/>
        </w:rPr>
        <w:t xml:space="preserve"> </w:t>
      </w:r>
      <w:r>
        <w:rPr>
          <w:sz w:val="18"/>
        </w:rPr>
        <w:t>with</w:t>
      </w:r>
      <w:r>
        <w:rPr>
          <w:spacing w:val="-4"/>
          <w:sz w:val="18"/>
        </w:rPr>
        <w:t xml:space="preserve"> </w:t>
      </w:r>
      <w:r>
        <w:rPr>
          <w:sz w:val="18"/>
        </w:rPr>
        <w:t>Kay</w:t>
      </w:r>
      <w:r>
        <w:rPr>
          <w:spacing w:val="-2"/>
          <w:sz w:val="18"/>
        </w:rPr>
        <w:t xml:space="preserve"> </w:t>
      </w:r>
      <w:r>
        <w:rPr>
          <w:sz w:val="18"/>
        </w:rPr>
        <w:t>Hardy,</w:t>
      </w:r>
      <w:r>
        <w:rPr>
          <w:spacing w:val="-2"/>
          <w:sz w:val="18"/>
        </w:rPr>
        <w:t xml:space="preserve"> </w:t>
      </w:r>
      <w:r>
        <w:rPr>
          <w:sz w:val="18"/>
        </w:rPr>
        <w:t>CPUC.</w:t>
      </w:r>
      <w:r>
        <w:rPr>
          <w:spacing w:val="-3"/>
          <w:sz w:val="18"/>
        </w:rPr>
        <w:t xml:space="preserve"> </w:t>
      </w:r>
      <w:r>
        <w:rPr>
          <w:sz w:val="18"/>
        </w:rPr>
        <w:t>May</w:t>
      </w:r>
      <w:r>
        <w:rPr>
          <w:spacing w:val="-2"/>
          <w:sz w:val="18"/>
        </w:rPr>
        <w:t xml:space="preserve"> </w:t>
      </w:r>
      <w:r>
        <w:rPr>
          <w:sz w:val="18"/>
        </w:rPr>
        <w:t>9,</w:t>
      </w:r>
      <w:r>
        <w:rPr>
          <w:spacing w:val="-2"/>
          <w:sz w:val="18"/>
        </w:rPr>
        <w:t xml:space="preserve"> 2017.</w:t>
      </w:r>
    </w:p>
    <w:p w:rsidR="00C31389" w:rsidRDefault="00561FBD" w14:paraId="3C781627" w14:textId="77777777">
      <w:pPr>
        <w:spacing w:before="34"/>
        <w:ind w:left="480" w:right="418"/>
        <w:rPr>
          <w:sz w:val="18"/>
        </w:rPr>
      </w:pPr>
      <w:bookmarkStart w:name="_bookmark365" w:id="480"/>
      <w:bookmarkEnd w:id="480"/>
      <w:r>
        <w:rPr>
          <w:position w:val="6"/>
          <w:sz w:val="12"/>
        </w:rPr>
        <w:t>132</w:t>
      </w:r>
      <w:r>
        <w:rPr>
          <w:spacing w:val="40"/>
          <w:position w:val="6"/>
          <w:sz w:val="12"/>
        </w:rPr>
        <w:t xml:space="preserve"> </w:t>
      </w:r>
      <w:r>
        <w:rPr>
          <w:sz w:val="18"/>
        </w:rPr>
        <w:t xml:space="preserve">CPUC. Resolution E-4952, October 11, 2018. </w:t>
      </w:r>
      <w:hyperlink r:id="rId269">
        <w:r>
          <w:rPr>
            <w:color w:val="68942C"/>
            <w:spacing w:val="-2"/>
            <w:sz w:val="18"/>
            <w:u w:val="single" w:color="68942C"/>
          </w:rPr>
          <w:t>https://docs.cpuc.ca.gov/publisheddocs/published/g000/m232/k459/232459122.pdf</w:t>
        </w:r>
      </w:hyperlink>
    </w:p>
    <w:p w:rsidR="00C31389" w:rsidRDefault="00C31389" w14:paraId="65F6B5D9" w14:textId="77777777">
      <w:pPr>
        <w:rPr>
          <w:sz w:val="18"/>
        </w:rPr>
        <w:sectPr w:rsidR="00C31389">
          <w:headerReference w:type="default" r:id="rId270"/>
          <w:footerReference w:type="default" r:id="rId271"/>
          <w:pgSz w:w="11910" w:h="16840"/>
          <w:pgMar w:top="1660" w:right="1020" w:bottom="1120" w:left="960" w:header="397" w:footer="938" w:gutter="0"/>
          <w:cols w:space="720"/>
        </w:sectPr>
      </w:pPr>
    </w:p>
    <w:p w:rsidR="00C31389" w:rsidRDefault="00C31389" w14:paraId="44AB4450" w14:textId="77777777">
      <w:pPr>
        <w:pStyle w:val="BodyText"/>
        <w:spacing w:before="11"/>
        <w:rPr>
          <w:sz w:val="13"/>
        </w:rPr>
      </w:pPr>
    </w:p>
    <w:p w:rsidR="00C31389" w:rsidRDefault="00561FBD" w14:paraId="79687BEA" w14:textId="77777777">
      <w:pPr>
        <w:pStyle w:val="BodyText"/>
        <w:spacing w:before="92"/>
        <w:ind w:left="480" w:right="418" w:hanging="1"/>
        <w:rPr>
          <w:sz w:val="14"/>
        </w:rPr>
      </w:pPr>
      <w:r>
        <w:t>savings</w:t>
      </w:r>
      <w:r>
        <w:rPr>
          <w:spacing w:val="-4"/>
        </w:rPr>
        <w:t xml:space="preserve"> </w:t>
      </w:r>
      <w:r>
        <w:t>since</w:t>
      </w:r>
      <w:r>
        <w:rPr>
          <w:spacing w:val="-3"/>
        </w:rPr>
        <w:t xml:space="preserve"> </w:t>
      </w:r>
      <w:r>
        <w:t>the</w:t>
      </w:r>
      <w:r>
        <w:rPr>
          <w:spacing w:val="-3"/>
        </w:rPr>
        <w:t xml:space="preserve"> </w:t>
      </w:r>
      <w:r>
        <w:t>2011</w:t>
      </w:r>
      <w:r>
        <w:rPr>
          <w:spacing w:val="-4"/>
        </w:rPr>
        <w:t xml:space="preserve"> </w:t>
      </w:r>
      <w:r>
        <w:t>Study,</w:t>
      </w:r>
      <w:r>
        <w:rPr>
          <w:spacing w:val="-3"/>
        </w:rPr>
        <w:t xml:space="preserve"> </w:t>
      </w:r>
      <w:r>
        <w:t>and</w:t>
      </w:r>
      <w:r>
        <w:rPr>
          <w:spacing w:val="-3"/>
        </w:rPr>
        <w:t xml:space="preserve"> </w:t>
      </w:r>
      <w:r>
        <w:t>research</w:t>
      </w:r>
      <w:r>
        <w:rPr>
          <w:spacing w:val="-3"/>
        </w:rPr>
        <w:t xml:space="preserve"> </w:t>
      </w:r>
      <w:r>
        <w:t>conducted</w:t>
      </w:r>
      <w:r>
        <w:rPr>
          <w:spacing w:val="-3"/>
        </w:rPr>
        <w:t xml:space="preserve"> </w:t>
      </w:r>
      <w:r>
        <w:t>for</w:t>
      </w:r>
      <w:r>
        <w:rPr>
          <w:spacing w:val="-3"/>
        </w:rPr>
        <w:t xml:space="preserve"> </w:t>
      </w:r>
      <w:r>
        <w:t>previous</w:t>
      </w:r>
      <w:r>
        <w:rPr>
          <w:spacing w:val="-2"/>
        </w:rPr>
        <w:t xml:space="preserve"> </w:t>
      </w:r>
      <w:r>
        <w:t>studies</w:t>
      </w:r>
      <w:r>
        <w:rPr>
          <w:spacing w:val="-3"/>
        </w:rPr>
        <w:t xml:space="preserve"> </w:t>
      </w:r>
      <w:r>
        <w:t>indicates</w:t>
      </w:r>
      <w:r>
        <w:rPr>
          <w:spacing w:val="-4"/>
        </w:rPr>
        <w:t xml:space="preserve"> </w:t>
      </w:r>
      <w:r>
        <w:t>that O&amp;M practices mostly fell into the following categories:</w:t>
      </w:r>
      <w:hyperlink w:history="1" w:anchor="_bookmark368">
        <w:r>
          <w:rPr>
            <w:position w:val="7"/>
            <w:sz w:val="14"/>
          </w:rPr>
          <w:t>133</w:t>
        </w:r>
      </w:hyperlink>
    </w:p>
    <w:p w:rsidR="00C31389" w:rsidRDefault="00561FBD" w14:paraId="3866AB75" w14:textId="77777777">
      <w:pPr>
        <w:pStyle w:val="ListParagraph"/>
        <w:numPr>
          <w:ilvl w:val="0"/>
          <w:numId w:val="16"/>
        </w:numPr>
        <w:tabs>
          <w:tab w:val="left" w:pos="1199"/>
        </w:tabs>
        <w:spacing w:before="120"/>
      </w:pPr>
      <w:r>
        <w:t>Improved</w:t>
      </w:r>
      <w:r>
        <w:rPr>
          <w:spacing w:val="-9"/>
        </w:rPr>
        <w:t xml:space="preserve"> </w:t>
      </w:r>
      <w:r>
        <w:t>air</w:t>
      </w:r>
      <w:r>
        <w:rPr>
          <w:spacing w:val="-8"/>
        </w:rPr>
        <w:t xml:space="preserve"> </w:t>
      </w:r>
      <w:r>
        <w:t>compressor</w:t>
      </w:r>
      <w:r>
        <w:rPr>
          <w:spacing w:val="-9"/>
        </w:rPr>
        <w:t xml:space="preserve"> </w:t>
      </w:r>
      <w:r>
        <w:rPr>
          <w:spacing w:val="-5"/>
        </w:rPr>
        <w:t>O&amp;M</w:t>
      </w:r>
    </w:p>
    <w:p w:rsidR="00C31389" w:rsidRDefault="00561FBD" w14:paraId="55CC6D43" w14:textId="77777777">
      <w:pPr>
        <w:pStyle w:val="ListParagraph"/>
        <w:numPr>
          <w:ilvl w:val="0"/>
          <w:numId w:val="16"/>
        </w:numPr>
        <w:tabs>
          <w:tab w:val="left" w:pos="1199"/>
        </w:tabs>
        <w:spacing w:before="144"/>
      </w:pPr>
      <w:r>
        <w:t>Improved</w:t>
      </w:r>
      <w:r>
        <w:rPr>
          <w:spacing w:val="-9"/>
        </w:rPr>
        <w:t xml:space="preserve"> </w:t>
      </w:r>
      <w:r>
        <w:t>HVAC</w:t>
      </w:r>
      <w:r>
        <w:rPr>
          <w:spacing w:val="-10"/>
        </w:rPr>
        <w:t xml:space="preserve"> </w:t>
      </w:r>
      <w:r>
        <w:rPr>
          <w:spacing w:val="-5"/>
        </w:rPr>
        <w:t>O&amp;M</w:t>
      </w:r>
    </w:p>
    <w:p w:rsidR="00C31389" w:rsidRDefault="00561FBD" w14:paraId="1E88814D" w14:textId="77777777">
      <w:pPr>
        <w:pStyle w:val="ListParagraph"/>
        <w:numPr>
          <w:ilvl w:val="0"/>
          <w:numId w:val="16"/>
        </w:numPr>
        <w:tabs>
          <w:tab w:val="left" w:pos="1199"/>
        </w:tabs>
        <w:spacing w:before="143"/>
      </w:pPr>
      <w:r>
        <w:t>Improved</w:t>
      </w:r>
      <w:r>
        <w:rPr>
          <w:spacing w:val="-9"/>
        </w:rPr>
        <w:t xml:space="preserve"> </w:t>
      </w:r>
      <w:r>
        <w:t>lighting</w:t>
      </w:r>
      <w:r>
        <w:rPr>
          <w:spacing w:val="-9"/>
        </w:rPr>
        <w:t xml:space="preserve"> </w:t>
      </w:r>
      <w:r>
        <w:rPr>
          <w:spacing w:val="-5"/>
        </w:rPr>
        <w:t>O&amp;M</w:t>
      </w:r>
    </w:p>
    <w:p w:rsidR="00C31389" w:rsidRDefault="00561FBD" w14:paraId="75D53844" w14:textId="77777777">
      <w:pPr>
        <w:pStyle w:val="ListParagraph"/>
        <w:numPr>
          <w:ilvl w:val="0"/>
          <w:numId w:val="16"/>
        </w:numPr>
        <w:tabs>
          <w:tab w:val="left" w:pos="1199"/>
        </w:tabs>
        <w:spacing w:before="143"/>
      </w:pPr>
      <w:r>
        <w:t>Improved</w:t>
      </w:r>
      <w:r>
        <w:rPr>
          <w:spacing w:val="-12"/>
        </w:rPr>
        <w:t xml:space="preserve"> </w:t>
      </w:r>
      <w:r>
        <w:t>motors/drives</w:t>
      </w:r>
      <w:r>
        <w:rPr>
          <w:spacing w:val="-14"/>
        </w:rPr>
        <w:t xml:space="preserve"> </w:t>
      </w:r>
      <w:r>
        <w:rPr>
          <w:spacing w:val="-5"/>
        </w:rPr>
        <w:t>O&amp;M</w:t>
      </w:r>
    </w:p>
    <w:p w:rsidR="00C31389" w:rsidRDefault="00561FBD" w14:paraId="0FDC8BFB" w14:textId="77777777">
      <w:pPr>
        <w:pStyle w:val="ListParagraph"/>
        <w:numPr>
          <w:ilvl w:val="0"/>
          <w:numId w:val="16"/>
        </w:numPr>
        <w:tabs>
          <w:tab w:val="left" w:pos="1199"/>
        </w:tabs>
        <w:spacing w:before="145"/>
      </w:pPr>
      <w:r>
        <w:t>Water</w:t>
      </w:r>
      <w:r>
        <w:rPr>
          <w:spacing w:val="-8"/>
        </w:rPr>
        <w:t xml:space="preserve"> </w:t>
      </w:r>
      <w:r>
        <w:t>conservation</w:t>
      </w:r>
      <w:r>
        <w:rPr>
          <w:spacing w:val="-8"/>
        </w:rPr>
        <w:t xml:space="preserve"> </w:t>
      </w:r>
      <w:r>
        <w:t>resulting</w:t>
      </w:r>
      <w:r>
        <w:rPr>
          <w:spacing w:val="-7"/>
        </w:rPr>
        <w:t xml:space="preserve"> </w:t>
      </w:r>
      <w:r>
        <w:t>in</w:t>
      </w:r>
      <w:r>
        <w:rPr>
          <w:spacing w:val="-8"/>
        </w:rPr>
        <w:t xml:space="preserve"> </w:t>
      </w:r>
      <w:r>
        <w:t>energy</w:t>
      </w:r>
      <w:r>
        <w:rPr>
          <w:spacing w:val="-8"/>
        </w:rPr>
        <w:t xml:space="preserve"> </w:t>
      </w:r>
      <w:r>
        <w:rPr>
          <w:spacing w:val="-2"/>
        </w:rPr>
        <w:t>savings</w:t>
      </w:r>
    </w:p>
    <w:p w:rsidR="00C31389" w:rsidRDefault="00561FBD" w14:paraId="1AF2D8A7" w14:textId="77777777">
      <w:pPr>
        <w:pStyle w:val="ListParagraph"/>
        <w:numPr>
          <w:ilvl w:val="0"/>
          <w:numId w:val="16"/>
        </w:numPr>
        <w:tabs>
          <w:tab w:val="left" w:pos="1199"/>
        </w:tabs>
        <w:spacing w:before="143"/>
      </w:pPr>
      <w:r>
        <w:t>Adjusted</w:t>
      </w:r>
      <w:r>
        <w:rPr>
          <w:spacing w:val="-8"/>
        </w:rPr>
        <w:t xml:space="preserve"> </w:t>
      </w:r>
      <w:r>
        <w:t>controls</w:t>
      </w:r>
      <w:r>
        <w:rPr>
          <w:spacing w:val="-7"/>
        </w:rPr>
        <w:t xml:space="preserve"> </w:t>
      </w:r>
      <w:r>
        <w:t>of</w:t>
      </w:r>
      <w:r>
        <w:rPr>
          <w:spacing w:val="-7"/>
        </w:rPr>
        <w:t xml:space="preserve"> </w:t>
      </w:r>
      <w:r>
        <w:t>HVAC</w:t>
      </w:r>
      <w:r>
        <w:rPr>
          <w:spacing w:val="-9"/>
        </w:rPr>
        <w:t xml:space="preserve"> </w:t>
      </w:r>
      <w:r>
        <w:rPr>
          <w:spacing w:val="-2"/>
        </w:rPr>
        <w:t>systems</w:t>
      </w:r>
    </w:p>
    <w:p w:rsidR="00C31389" w:rsidRDefault="00561FBD" w14:paraId="716E488B" w14:textId="77777777">
      <w:pPr>
        <w:pStyle w:val="ListParagraph"/>
        <w:numPr>
          <w:ilvl w:val="0"/>
          <w:numId w:val="16"/>
        </w:numPr>
        <w:tabs>
          <w:tab w:val="left" w:pos="1198"/>
        </w:tabs>
        <w:spacing w:before="144"/>
        <w:ind w:left="1198" w:hanging="359"/>
      </w:pPr>
      <w:r>
        <w:t>Adjusted</w:t>
      </w:r>
      <w:r>
        <w:rPr>
          <w:spacing w:val="-9"/>
        </w:rPr>
        <w:t xml:space="preserve"> </w:t>
      </w:r>
      <w:r>
        <w:t>controls</w:t>
      </w:r>
      <w:r>
        <w:rPr>
          <w:spacing w:val="-9"/>
        </w:rPr>
        <w:t xml:space="preserve"> </w:t>
      </w:r>
      <w:r>
        <w:t>of</w:t>
      </w:r>
      <w:r>
        <w:rPr>
          <w:spacing w:val="-8"/>
        </w:rPr>
        <w:t xml:space="preserve"> </w:t>
      </w:r>
      <w:r>
        <w:t>energy</w:t>
      </w:r>
      <w:r>
        <w:rPr>
          <w:spacing w:val="-9"/>
        </w:rPr>
        <w:t xml:space="preserve"> </w:t>
      </w:r>
      <w:r>
        <w:t>management</w:t>
      </w:r>
      <w:r>
        <w:rPr>
          <w:spacing w:val="-8"/>
        </w:rPr>
        <w:t xml:space="preserve"> </w:t>
      </w:r>
      <w:r>
        <w:rPr>
          <w:spacing w:val="-2"/>
        </w:rPr>
        <w:t>systems</w:t>
      </w:r>
    </w:p>
    <w:p w:rsidR="00C31389" w:rsidRDefault="00C31389" w14:paraId="2EE20072" w14:textId="77777777">
      <w:pPr>
        <w:pStyle w:val="BodyText"/>
        <w:spacing w:before="10"/>
      </w:pPr>
    </w:p>
    <w:p w:rsidR="00C31389" w:rsidRDefault="00561FBD" w14:paraId="2F37EA4F" w14:textId="77777777">
      <w:pPr>
        <w:pStyle w:val="BodyText"/>
        <w:ind w:left="479" w:right="418" w:hanging="1"/>
      </w:pPr>
      <w:r>
        <w:t xml:space="preserve">The model inputs for electric and natural gas shown in </w:t>
      </w:r>
      <w:hyperlink w:history="1" w:anchor="_bookmark366">
        <w:r>
          <w:t>Table D-7</w:t>
        </w:r>
      </w:hyperlink>
      <w:r>
        <w:t xml:space="preserve"> represent savings associated with changes in operation and behavior estimated per 1,000 square feet of flo</w:t>
      </w:r>
      <w:r>
        <w:t>or space. Savings vary depending on the energy intensity of facilities in each market segment and</w:t>
      </w:r>
      <w:r>
        <w:rPr>
          <w:spacing w:val="-2"/>
        </w:rPr>
        <w:t xml:space="preserve"> </w:t>
      </w:r>
      <w:r>
        <w:t>IOU</w:t>
      </w:r>
      <w:r>
        <w:rPr>
          <w:spacing w:val="-3"/>
        </w:rPr>
        <w:t xml:space="preserve"> </w:t>
      </w:r>
      <w:r>
        <w:t>and</w:t>
      </w:r>
      <w:r>
        <w:rPr>
          <w:spacing w:val="-2"/>
        </w:rPr>
        <w:t xml:space="preserve"> </w:t>
      </w:r>
      <w:r>
        <w:t>as</w:t>
      </w:r>
      <w:r>
        <w:rPr>
          <w:spacing w:val="-2"/>
        </w:rPr>
        <w:t xml:space="preserve"> </w:t>
      </w:r>
      <w:r>
        <w:t>defined</w:t>
      </w:r>
      <w:r>
        <w:rPr>
          <w:spacing w:val="-3"/>
        </w:rPr>
        <w:t xml:space="preserve"> </w:t>
      </w:r>
      <w:r>
        <w:t>in</w:t>
      </w:r>
      <w:r>
        <w:rPr>
          <w:spacing w:val="-2"/>
        </w:rPr>
        <w:t xml:space="preserve"> </w:t>
      </w:r>
      <w:r>
        <w:t>the</w:t>
      </w:r>
      <w:r>
        <w:rPr>
          <w:spacing w:val="-2"/>
        </w:rPr>
        <w:t xml:space="preserve"> </w:t>
      </w:r>
      <w:r>
        <w:t>2009</w:t>
      </w:r>
      <w:r>
        <w:rPr>
          <w:spacing w:val="-3"/>
        </w:rPr>
        <w:t xml:space="preserve"> </w:t>
      </w:r>
      <w:r>
        <w:t>Commercial</w:t>
      </w:r>
      <w:r>
        <w:rPr>
          <w:spacing w:val="-2"/>
        </w:rPr>
        <w:t xml:space="preserve"> </w:t>
      </w:r>
      <w:r>
        <w:t>End</w:t>
      </w:r>
      <w:r>
        <w:rPr>
          <w:spacing w:val="-2"/>
        </w:rPr>
        <w:t xml:space="preserve"> </w:t>
      </w:r>
      <w:r>
        <w:t>Use</w:t>
      </w:r>
      <w:r>
        <w:rPr>
          <w:spacing w:val="-2"/>
        </w:rPr>
        <w:t xml:space="preserve"> </w:t>
      </w:r>
      <w:r>
        <w:t>Survey</w:t>
      </w:r>
      <w:r>
        <w:rPr>
          <w:spacing w:val="-2"/>
        </w:rPr>
        <w:t xml:space="preserve"> </w:t>
      </w:r>
      <w:r>
        <w:t>(CEUS).</w:t>
      </w:r>
      <w:hyperlink w:history="1" w:anchor="_bookmark369">
        <w:r>
          <w:rPr>
            <w:position w:val="7"/>
            <w:sz w:val="14"/>
          </w:rPr>
          <w:t>134</w:t>
        </w:r>
      </w:hyperlink>
      <w:r>
        <w:rPr>
          <w:spacing w:val="19"/>
          <w:position w:val="7"/>
          <w:sz w:val="14"/>
        </w:rPr>
        <w:t xml:space="preserve"> </w:t>
      </w:r>
      <w:r>
        <w:t>The</w:t>
      </w:r>
      <w:r>
        <w:rPr>
          <w:spacing w:val="-2"/>
        </w:rPr>
        <w:t xml:space="preserve"> </w:t>
      </w:r>
      <w:r>
        <w:t>EUL</w:t>
      </w:r>
      <w:r>
        <w:rPr>
          <w:spacing w:val="-2"/>
        </w:rPr>
        <w:t xml:space="preserve"> </w:t>
      </w:r>
      <w:r>
        <w:t>is</w:t>
      </w:r>
      <w:r>
        <w:rPr>
          <w:spacing w:val="-2"/>
        </w:rPr>
        <w:t xml:space="preserve"> </w:t>
      </w:r>
      <w:r>
        <w:t>set to 3 years per CPUC Decision 16-08-019, and costs for electricity and natural gas savings are sourced from EEStats data from 2013 through 2017. The model applies cost and EUL values consistently by buildin</w:t>
      </w:r>
      <w:r>
        <w:t>g and fuel type across all utilities.</w:t>
      </w:r>
    </w:p>
    <w:p w:rsidR="00C31389" w:rsidRDefault="00C31389" w14:paraId="0F24AAD3" w14:textId="77777777">
      <w:pPr>
        <w:pStyle w:val="BodyText"/>
        <w:spacing w:before="10"/>
        <w:rPr>
          <w:sz w:val="20"/>
        </w:rPr>
      </w:pPr>
    </w:p>
    <w:p w:rsidR="00C31389" w:rsidRDefault="00561FBD" w14:paraId="0CBA1721" w14:textId="77777777">
      <w:pPr>
        <w:pStyle w:val="Heading7"/>
        <w:spacing w:before="1"/>
        <w:ind w:left="1117"/>
      </w:pPr>
      <w:bookmarkStart w:name="_bookmark366" w:id="481"/>
      <w:bookmarkEnd w:id="481"/>
      <w:r>
        <w:t>Table</w:t>
      </w:r>
      <w:r>
        <w:rPr>
          <w:spacing w:val="-9"/>
        </w:rPr>
        <w:t xml:space="preserve"> </w:t>
      </w:r>
      <w:r>
        <w:t>D-7.</w:t>
      </w:r>
      <w:r>
        <w:rPr>
          <w:spacing w:val="-9"/>
        </w:rPr>
        <w:t xml:space="preserve"> </w:t>
      </w:r>
      <w:r>
        <w:t>Commercial</w:t>
      </w:r>
      <w:r>
        <w:rPr>
          <w:spacing w:val="-8"/>
        </w:rPr>
        <w:t xml:space="preserve"> </w:t>
      </w:r>
      <w:r>
        <w:t>Building</w:t>
      </w:r>
      <w:r>
        <w:rPr>
          <w:spacing w:val="-8"/>
        </w:rPr>
        <w:t xml:space="preserve"> </w:t>
      </w:r>
      <w:r>
        <w:t>Operator</w:t>
      </w:r>
      <w:r>
        <w:rPr>
          <w:spacing w:val="-7"/>
        </w:rPr>
        <w:t xml:space="preserve"> </w:t>
      </w:r>
      <w:r>
        <w:t>Certification</w:t>
      </w:r>
      <w:r>
        <w:rPr>
          <w:spacing w:val="-8"/>
        </w:rPr>
        <w:t xml:space="preserve"> </w:t>
      </w:r>
      <w:r>
        <w:t>–</w:t>
      </w:r>
      <w:r>
        <w:rPr>
          <w:spacing w:val="-8"/>
        </w:rPr>
        <w:t xml:space="preserve"> </w:t>
      </w:r>
      <w:r>
        <w:t>Key</w:t>
      </w:r>
      <w:r>
        <w:rPr>
          <w:spacing w:val="-8"/>
        </w:rPr>
        <w:t xml:space="preserve"> </w:t>
      </w:r>
      <w:r>
        <w:rPr>
          <w:spacing w:val="-2"/>
        </w:rPr>
        <w:t>Assumptions</w:t>
      </w:r>
    </w:p>
    <w:p w:rsidR="00C31389" w:rsidRDefault="00C31389" w14:paraId="5A16027C" w14:textId="77777777">
      <w:pPr>
        <w:pStyle w:val="BodyText"/>
        <w:spacing w:before="6" w:after="1"/>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423"/>
        <w:gridCol w:w="1040"/>
        <w:gridCol w:w="1116"/>
        <w:gridCol w:w="1094"/>
        <w:gridCol w:w="1251"/>
        <w:gridCol w:w="1341"/>
        <w:gridCol w:w="889"/>
        <w:gridCol w:w="1210"/>
      </w:tblGrid>
      <w:tr w:rsidR="00C31389" w14:paraId="60AEC79E" w14:textId="77777777">
        <w:trPr>
          <w:trHeight w:val="279"/>
        </w:trPr>
        <w:tc>
          <w:tcPr>
            <w:tcW w:w="1423" w:type="dxa"/>
            <w:shd w:val="clear" w:color="auto" w:fill="92D400"/>
          </w:tcPr>
          <w:p w:rsidR="00C31389" w:rsidRDefault="00C31389" w14:paraId="196A436A" w14:textId="77777777">
            <w:pPr>
              <w:pStyle w:val="TableParagraph"/>
              <w:spacing w:before="0"/>
              <w:rPr>
                <w:rFonts w:ascii="Times New Roman"/>
                <w:sz w:val="20"/>
              </w:rPr>
            </w:pPr>
          </w:p>
        </w:tc>
        <w:tc>
          <w:tcPr>
            <w:tcW w:w="1040" w:type="dxa"/>
            <w:shd w:val="clear" w:color="auto" w:fill="92D400"/>
          </w:tcPr>
          <w:p w:rsidR="00C31389" w:rsidRDefault="00C31389" w14:paraId="1CA8F05C" w14:textId="77777777">
            <w:pPr>
              <w:pStyle w:val="TableParagraph"/>
              <w:spacing w:before="0"/>
              <w:rPr>
                <w:rFonts w:ascii="Times New Roman"/>
                <w:sz w:val="20"/>
              </w:rPr>
            </w:pPr>
          </w:p>
        </w:tc>
        <w:tc>
          <w:tcPr>
            <w:tcW w:w="1116" w:type="dxa"/>
            <w:vMerge w:val="restart"/>
            <w:shd w:val="clear" w:color="auto" w:fill="92D400"/>
          </w:tcPr>
          <w:p w:rsidR="00C31389" w:rsidRDefault="00561FBD" w14:paraId="1819AB67" w14:textId="77777777">
            <w:pPr>
              <w:pStyle w:val="TableParagraph"/>
              <w:spacing w:before="155"/>
              <w:ind w:left="415"/>
              <w:rPr>
                <w:b/>
                <w:sz w:val="20"/>
              </w:rPr>
            </w:pPr>
            <w:r>
              <w:rPr>
                <w:b/>
                <w:spacing w:val="-5"/>
                <w:sz w:val="20"/>
              </w:rPr>
              <w:t>EUL</w:t>
            </w:r>
          </w:p>
          <w:p w:rsidR="00C31389" w:rsidRDefault="00561FBD" w14:paraId="2BD147D1" w14:textId="77777777">
            <w:pPr>
              <w:pStyle w:val="TableParagraph"/>
              <w:spacing w:before="1"/>
              <w:ind w:left="343"/>
              <w:rPr>
                <w:b/>
                <w:sz w:val="20"/>
              </w:rPr>
            </w:pPr>
            <w:r>
              <w:rPr>
                <w:b/>
                <w:spacing w:val="-2"/>
                <w:sz w:val="20"/>
              </w:rPr>
              <w:t>Years</w:t>
            </w:r>
          </w:p>
        </w:tc>
        <w:tc>
          <w:tcPr>
            <w:tcW w:w="2345" w:type="dxa"/>
            <w:gridSpan w:val="2"/>
            <w:shd w:val="clear" w:color="auto" w:fill="92D400"/>
          </w:tcPr>
          <w:p w:rsidR="00C31389" w:rsidRDefault="00561FBD" w14:paraId="16BCD5A6" w14:textId="77777777">
            <w:pPr>
              <w:pStyle w:val="TableParagraph"/>
              <w:spacing w:before="51" w:line="208" w:lineRule="exact"/>
              <w:ind w:left="740"/>
              <w:rPr>
                <w:b/>
                <w:sz w:val="20"/>
              </w:rPr>
            </w:pPr>
            <w:r>
              <w:rPr>
                <w:b/>
                <w:spacing w:val="-2"/>
                <w:sz w:val="20"/>
              </w:rPr>
              <w:t>Savings</w:t>
            </w:r>
          </w:p>
        </w:tc>
        <w:tc>
          <w:tcPr>
            <w:tcW w:w="1341" w:type="dxa"/>
            <w:shd w:val="clear" w:color="auto" w:fill="92D400"/>
          </w:tcPr>
          <w:p w:rsidR="00C31389" w:rsidRDefault="00561FBD" w14:paraId="655D0809" w14:textId="77777777">
            <w:pPr>
              <w:pStyle w:val="TableParagraph"/>
              <w:spacing w:before="51" w:line="208" w:lineRule="exact"/>
              <w:ind w:left="887"/>
              <w:rPr>
                <w:b/>
                <w:sz w:val="20"/>
              </w:rPr>
            </w:pPr>
            <w:r>
              <w:rPr>
                <w:b/>
                <w:spacing w:val="-4"/>
                <w:sz w:val="20"/>
              </w:rPr>
              <w:t>Cost</w:t>
            </w:r>
          </w:p>
        </w:tc>
        <w:tc>
          <w:tcPr>
            <w:tcW w:w="889" w:type="dxa"/>
            <w:shd w:val="clear" w:color="auto" w:fill="92D400"/>
          </w:tcPr>
          <w:p w:rsidR="00C31389" w:rsidRDefault="00C31389" w14:paraId="3D0A2D18" w14:textId="77777777">
            <w:pPr>
              <w:pStyle w:val="TableParagraph"/>
              <w:spacing w:before="0"/>
              <w:rPr>
                <w:rFonts w:ascii="Times New Roman"/>
                <w:sz w:val="20"/>
              </w:rPr>
            </w:pPr>
          </w:p>
        </w:tc>
        <w:tc>
          <w:tcPr>
            <w:tcW w:w="1210" w:type="dxa"/>
            <w:vMerge w:val="restart"/>
            <w:shd w:val="clear" w:color="auto" w:fill="92D400"/>
          </w:tcPr>
          <w:p w:rsidR="00C31389" w:rsidRDefault="00561FBD" w14:paraId="4A70B3CE" w14:textId="77777777">
            <w:pPr>
              <w:pStyle w:val="TableParagraph"/>
              <w:ind w:left="238" w:right="186"/>
              <w:jc w:val="center"/>
              <w:rPr>
                <w:b/>
                <w:sz w:val="20"/>
              </w:rPr>
            </w:pPr>
            <w:r>
              <w:rPr>
                <w:b/>
                <w:spacing w:val="-2"/>
                <w:sz w:val="20"/>
              </w:rPr>
              <w:t>kW/kWh Savings Ratio</w:t>
            </w:r>
          </w:p>
        </w:tc>
      </w:tr>
      <w:tr w:rsidR="00C31389" w14:paraId="01725C2F" w14:textId="77777777">
        <w:trPr>
          <w:trHeight w:val="198"/>
        </w:trPr>
        <w:tc>
          <w:tcPr>
            <w:tcW w:w="1423" w:type="dxa"/>
            <w:shd w:val="clear" w:color="auto" w:fill="92D400"/>
          </w:tcPr>
          <w:p w:rsidR="00C31389" w:rsidRDefault="00561FBD" w14:paraId="2C2CD3D0" w14:textId="77777777">
            <w:pPr>
              <w:pStyle w:val="TableParagraph"/>
              <w:spacing w:before="0" w:line="178" w:lineRule="exact"/>
              <w:ind w:left="124"/>
              <w:rPr>
                <w:b/>
                <w:sz w:val="20"/>
              </w:rPr>
            </w:pPr>
            <w:r>
              <w:rPr>
                <w:b/>
                <w:spacing w:val="-2"/>
                <w:sz w:val="20"/>
              </w:rPr>
              <w:t>Sector</w:t>
            </w:r>
          </w:p>
        </w:tc>
        <w:tc>
          <w:tcPr>
            <w:tcW w:w="1040" w:type="dxa"/>
            <w:shd w:val="clear" w:color="auto" w:fill="92D400"/>
          </w:tcPr>
          <w:p w:rsidR="00C31389" w:rsidRDefault="00561FBD" w14:paraId="4EC69D1E" w14:textId="77777777">
            <w:pPr>
              <w:pStyle w:val="TableParagraph"/>
              <w:spacing w:before="0" w:line="178" w:lineRule="exact"/>
              <w:ind w:left="231"/>
              <w:rPr>
                <w:b/>
                <w:sz w:val="20"/>
              </w:rPr>
            </w:pPr>
            <w:r>
              <w:rPr>
                <w:b/>
                <w:spacing w:val="-4"/>
                <w:sz w:val="20"/>
              </w:rPr>
              <w:t>Type</w:t>
            </w:r>
          </w:p>
        </w:tc>
        <w:tc>
          <w:tcPr>
            <w:tcW w:w="1116" w:type="dxa"/>
            <w:vMerge/>
            <w:tcBorders>
              <w:top w:val="nil"/>
            </w:tcBorders>
            <w:shd w:val="clear" w:color="auto" w:fill="92D400"/>
          </w:tcPr>
          <w:p w:rsidR="00C31389" w:rsidRDefault="00C31389" w14:paraId="34865779" w14:textId="77777777">
            <w:pPr>
              <w:rPr>
                <w:sz w:val="2"/>
                <w:szCs w:val="2"/>
              </w:rPr>
            </w:pPr>
          </w:p>
        </w:tc>
        <w:tc>
          <w:tcPr>
            <w:tcW w:w="1094" w:type="dxa"/>
            <w:shd w:val="clear" w:color="auto" w:fill="92D400"/>
          </w:tcPr>
          <w:p w:rsidR="00C31389" w:rsidRDefault="00C31389" w14:paraId="20D6930D" w14:textId="77777777">
            <w:pPr>
              <w:pStyle w:val="TableParagraph"/>
              <w:spacing w:before="0"/>
              <w:rPr>
                <w:rFonts w:ascii="Times New Roman"/>
                <w:sz w:val="12"/>
              </w:rPr>
            </w:pPr>
          </w:p>
        </w:tc>
        <w:tc>
          <w:tcPr>
            <w:tcW w:w="1251" w:type="dxa"/>
            <w:shd w:val="clear" w:color="auto" w:fill="92D400"/>
          </w:tcPr>
          <w:p w:rsidR="00C31389" w:rsidRDefault="00C31389" w14:paraId="62D4283F" w14:textId="77777777">
            <w:pPr>
              <w:pStyle w:val="TableParagraph"/>
              <w:spacing w:before="0"/>
              <w:rPr>
                <w:rFonts w:ascii="Times New Roman"/>
                <w:sz w:val="12"/>
              </w:rPr>
            </w:pPr>
          </w:p>
        </w:tc>
        <w:tc>
          <w:tcPr>
            <w:tcW w:w="1341" w:type="dxa"/>
            <w:shd w:val="clear" w:color="auto" w:fill="92D400"/>
          </w:tcPr>
          <w:p w:rsidR="00C31389" w:rsidRDefault="00C31389" w14:paraId="0018E084" w14:textId="77777777">
            <w:pPr>
              <w:pStyle w:val="TableParagraph"/>
              <w:spacing w:before="0"/>
              <w:rPr>
                <w:rFonts w:ascii="Times New Roman"/>
                <w:sz w:val="12"/>
              </w:rPr>
            </w:pPr>
          </w:p>
        </w:tc>
        <w:tc>
          <w:tcPr>
            <w:tcW w:w="889" w:type="dxa"/>
            <w:shd w:val="clear" w:color="auto" w:fill="92D400"/>
          </w:tcPr>
          <w:p w:rsidR="00C31389" w:rsidRDefault="00C31389" w14:paraId="5569E372" w14:textId="77777777">
            <w:pPr>
              <w:pStyle w:val="TableParagraph"/>
              <w:spacing w:before="0"/>
              <w:rPr>
                <w:rFonts w:ascii="Times New Roman"/>
                <w:sz w:val="12"/>
              </w:rPr>
            </w:pPr>
          </w:p>
        </w:tc>
        <w:tc>
          <w:tcPr>
            <w:tcW w:w="1210" w:type="dxa"/>
            <w:vMerge/>
            <w:tcBorders>
              <w:top w:val="nil"/>
            </w:tcBorders>
            <w:shd w:val="clear" w:color="auto" w:fill="92D400"/>
          </w:tcPr>
          <w:p w:rsidR="00C31389" w:rsidRDefault="00C31389" w14:paraId="5A476ECC" w14:textId="77777777">
            <w:pPr>
              <w:rPr>
                <w:sz w:val="2"/>
                <w:szCs w:val="2"/>
              </w:rPr>
            </w:pPr>
          </w:p>
        </w:tc>
      </w:tr>
      <w:tr w:rsidR="00C31389" w14:paraId="1455BBC0" w14:textId="77777777">
        <w:trPr>
          <w:trHeight w:val="301"/>
        </w:trPr>
        <w:tc>
          <w:tcPr>
            <w:tcW w:w="1423" w:type="dxa"/>
            <w:shd w:val="clear" w:color="auto" w:fill="92D400"/>
          </w:tcPr>
          <w:p w:rsidR="00C31389" w:rsidRDefault="00C31389" w14:paraId="1B4722E9" w14:textId="77777777">
            <w:pPr>
              <w:pStyle w:val="TableParagraph"/>
              <w:spacing w:before="0"/>
              <w:rPr>
                <w:rFonts w:ascii="Times New Roman"/>
                <w:sz w:val="20"/>
              </w:rPr>
            </w:pPr>
          </w:p>
        </w:tc>
        <w:tc>
          <w:tcPr>
            <w:tcW w:w="1040" w:type="dxa"/>
            <w:shd w:val="clear" w:color="auto" w:fill="92D400"/>
          </w:tcPr>
          <w:p w:rsidR="00C31389" w:rsidRDefault="00C31389" w14:paraId="13130217" w14:textId="77777777">
            <w:pPr>
              <w:pStyle w:val="TableParagraph"/>
              <w:spacing w:before="0"/>
              <w:rPr>
                <w:rFonts w:ascii="Times New Roman"/>
                <w:sz w:val="20"/>
              </w:rPr>
            </w:pPr>
          </w:p>
        </w:tc>
        <w:tc>
          <w:tcPr>
            <w:tcW w:w="1116" w:type="dxa"/>
            <w:vMerge/>
            <w:tcBorders>
              <w:top w:val="nil"/>
            </w:tcBorders>
            <w:shd w:val="clear" w:color="auto" w:fill="92D400"/>
          </w:tcPr>
          <w:p w:rsidR="00C31389" w:rsidRDefault="00C31389" w14:paraId="5B43E93C" w14:textId="77777777">
            <w:pPr>
              <w:rPr>
                <w:sz w:val="2"/>
                <w:szCs w:val="2"/>
              </w:rPr>
            </w:pPr>
          </w:p>
        </w:tc>
        <w:tc>
          <w:tcPr>
            <w:tcW w:w="1094" w:type="dxa"/>
            <w:shd w:val="clear" w:color="auto" w:fill="92D400"/>
          </w:tcPr>
          <w:p w:rsidR="00C31389" w:rsidRDefault="00561FBD" w14:paraId="57577FD2" w14:textId="77777777">
            <w:pPr>
              <w:pStyle w:val="TableParagraph"/>
              <w:spacing w:before="0" w:line="200" w:lineRule="exact"/>
              <w:ind w:left="218" w:right="226"/>
              <w:jc w:val="center"/>
              <w:rPr>
                <w:b/>
                <w:sz w:val="20"/>
              </w:rPr>
            </w:pPr>
            <w:r>
              <w:rPr>
                <w:b/>
                <w:spacing w:val="-5"/>
                <w:sz w:val="20"/>
              </w:rPr>
              <w:t>kWh</w:t>
            </w:r>
          </w:p>
        </w:tc>
        <w:tc>
          <w:tcPr>
            <w:tcW w:w="1251" w:type="dxa"/>
            <w:shd w:val="clear" w:color="auto" w:fill="92D400"/>
          </w:tcPr>
          <w:p w:rsidR="00C31389" w:rsidRDefault="00561FBD" w14:paraId="52CF755A" w14:textId="77777777">
            <w:pPr>
              <w:pStyle w:val="TableParagraph"/>
              <w:spacing w:before="0" w:line="200" w:lineRule="exact"/>
              <w:ind w:left="278"/>
              <w:rPr>
                <w:b/>
                <w:sz w:val="20"/>
              </w:rPr>
            </w:pPr>
            <w:r>
              <w:rPr>
                <w:b/>
                <w:spacing w:val="-2"/>
                <w:sz w:val="20"/>
              </w:rPr>
              <w:t>therms</w:t>
            </w:r>
          </w:p>
        </w:tc>
        <w:tc>
          <w:tcPr>
            <w:tcW w:w="1341" w:type="dxa"/>
            <w:shd w:val="clear" w:color="auto" w:fill="92D400"/>
          </w:tcPr>
          <w:p w:rsidR="00C31389" w:rsidRDefault="00561FBD" w14:paraId="7BD5E445" w14:textId="77777777">
            <w:pPr>
              <w:pStyle w:val="TableParagraph"/>
              <w:spacing w:before="0" w:line="200" w:lineRule="exact"/>
              <w:ind w:left="315"/>
              <w:rPr>
                <w:b/>
                <w:sz w:val="20"/>
              </w:rPr>
            </w:pPr>
            <w:r>
              <w:rPr>
                <w:b/>
                <w:spacing w:val="-5"/>
                <w:sz w:val="20"/>
              </w:rPr>
              <w:t>kWh</w:t>
            </w:r>
          </w:p>
        </w:tc>
        <w:tc>
          <w:tcPr>
            <w:tcW w:w="889" w:type="dxa"/>
            <w:shd w:val="clear" w:color="auto" w:fill="92D400"/>
          </w:tcPr>
          <w:p w:rsidR="00C31389" w:rsidRDefault="00561FBD" w14:paraId="57A31E74" w14:textId="77777777">
            <w:pPr>
              <w:pStyle w:val="TableParagraph"/>
              <w:spacing w:before="0" w:line="200" w:lineRule="exact"/>
              <w:ind w:left="3" w:right="187"/>
              <w:jc w:val="center"/>
              <w:rPr>
                <w:b/>
                <w:sz w:val="20"/>
              </w:rPr>
            </w:pPr>
            <w:r>
              <w:rPr>
                <w:b/>
                <w:spacing w:val="-2"/>
                <w:sz w:val="20"/>
              </w:rPr>
              <w:t>therms</w:t>
            </w:r>
          </w:p>
        </w:tc>
        <w:tc>
          <w:tcPr>
            <w:tcW w:w="1210" w:type="dxa"/>
            <w:vMerge/>
            <w:tcBorders>
              <w:top w:val="nil"/>
            </w:tcBorders>
            <w:shd w:val="clear" w:color="auto" w:fill="92D400"/>
          </w:tcPr>
          <w:p w:rsidR="00C31389" w:rsidRDefault="00C31389" w14:paraId="27D43DDB" w14:textId="77777777">
            <w:pPr>
              <w:rPr>
                <w:sz w:val="2"/>
                <w:szCs w:val="2"/>
              </w:rPr>
            </w:pPr>
          </w:p>
        </w:tc>
      </w:tr>
      <w:tr w:rsidR="00C31389" w14:paraId="1F8BD213" w14:textId="77777777">
        <w:trPr>
          <w:trHeight w:val="311"/>
        </w:trPr>
        <w:tc>
          <w:tcPr>
            <w:tcW w:w="1423" w:type="dxa"/>
            <w:tcBorders>
              <w:bottom w:val="single" w:color="000000" w:sz="8" w:space="0"/>
            </w:tcBorders>
          </w:tcPr>
          <w:p w:rsidR="00C31389" w:rsidRDefault="00561FBD" w14:paraId="38106947" w14:textId="77777777">
            <w:pPr>
              <w:pStyle w:val="TableParagraph"/>
              <w:spacing w:before="41"/>
              <w:ind w:left="124"/>
              <w:rPr>
                <w:sz w:val="20"/>
              </w:rPr>
            </w:pPr>
            <w:r>
              <w:rPr>
                <w:spacing w:val="-2"/>
                <w:sz w:val="20"/>
              </w:rPr>
              <w:t>Commercial</w:t>
            </w:r>
          </w:p>
        </w:tc>
        <w:tc>
          <w:tcPr>
            <w:tcW w:w="1040" w:type="dxa"/>
            <w:tcBorders>
              <w:bottom w:val="single" w:color="000000" w:sz="8" w:space="0"/>
            </w:tcBorders>
          </w:tcPr>
          <w:p w:rsidR="00C31389" w:rsidRDefault="00561FBD" w14:paraId="68A388EE" w14:textId="77777777">
            <w:pPr>
              <w:pStyle w:val="TableParagraph"/>
              <w:spacing w:before="41"/>
              <w:ind w:left="231"/>
              <w:rPr>
                <w:sz w:val="20"/>
              </w:rPr>
            </w:pPr>
            <w:r>
              <w:rPr>
                <w:spacing w:val="-5"/>
                <w:sz w:val="20"/>
              </w:rPr>
              <w:t>BOC</w:t>
            </w:r>
          </w:p>
        </w:tc>
        <w:tc>
          <w:tcPr>
            <w:tcW w:w="1116" w:type="dxa"/>
            <w:tcBorders>
              <w:bottom w:val="single" w:color="000000" w:sz="8" w:space="0"/>
            </w:tcBorders>
          </w:tcPr>
          <w:p w:rsidR="00C31389" w:rsidRDefault="00561FBD" w14:paraId="64C8FEE1" w14:textId="77777777">
            <w:pPr>
              <w:pStyle w:val="TableParagraph"/>
              <w:spacing w:before="41"/>
              <w:ind w:left="116"/>
              <w:jc w:val="center"/>
              <w:rPr>
                <w:sz w:val="20"/>
              </w:rPr>
            </w:pPr>
            <w:r>
              <w:rPr>
                <w:sz w:val="20"/>
              </w:rPr>
              <w:t>3</w:t>
            </w:r>
          </w:p>
        </w:tc>
        <w:tc>
          <w:tcPr>
            <w:tcW w:w="1094" w:type="dxa"/>
            <w:tcBorders>
              <w:bottom w:val="single" w:color="000000" w:sz="8" w:space="0"/>
            </w:tcBorders>
          </w:tcPr>
          <w:p w:rsidR="00C31389" w:rsidRDefault="00561FBD" w14:paraId="0DE6F793" w14:textId="77777777">
            <w:pPr>
              <w:pStyle w:val="TableParagraph"/>
              <w:spacing w:before="41"/>
              <w:ind w:left="219" w:right="226"/>
              <w:jc w:val="center"/>
              <w:rPr>
                <w:sz w:val="20"/>
              </w:rPr>
            </w:pPr>
            <w:r>
              <w:rPr>
                <w:sz w:val="20"/>
              </w:rPr>
              <w:t>14-</w:t>
            </w:r>
            <w:r>
              <w:rPr>
                <w:spacing w:val="-5"/>
                <w:sz w:val="20"/>
              </w:rPr>
              <w:t>153</w:t>
            </w:r>
          </w:p>
        </w:tc>
        <w:tc>
          <w:tcPr>
            <w:tcW w:w="1251" w:type="dxa"/>
            <w:tcBorders>
              <w:bottom w:val="single" w:color="000000" w:sz="8" w:space="0"/>
            </w:tcBorders>
          </w:tcPr>
          <w:p w:rsidR="00C31389" w:rsidRDefault="00561FBD" w14:paraId="70B48336" w14:textId="77777777">
            <w:pPr>
              <w:pStyle w:val="TableParagraph"/>
              <w:spacing w:before="41"/>
              <w:ind w:left="245"/>
              <w:rPr>
                <w:sz w:val="20"/>
              </w:rPr>
            </w:pPr>
            <w:r>
              <w:rPr>
                <w:spacing w:val="-2"/>
                <w:sz w:val="20"/>
              </w:rPr>
              <w:t>0.3-</w:t>
            </w:r>
            <w:r>
              <w:rPr>
                <w:spacing w:val="-4"/>
                <w:sz w:val="20"/>
              </w:rPr>
              <w:t>35.7</w:t>
            </w:r>
          </w:p>
        </w:tc>
        <w:tc>
          <w:tcPr>
            <w:tcW w:w="1341" w:type="dxa"/>
            <w:tcBorders>
              <w:bottom w:val="single" w:color="000000" w:sz="8" w:space="0"/>
            </w:tcBorders>
          </w:tcPr>
          <w:p w:rsidR="00C31389" w:rsidRDefault="00561FBD" w14:paraId="581AB364" w14:textId="77777777">
            <w:pPr>
              <w:pStyle w:val="TableParagraph"/>
              <w:spacing w:before="41"/>
              <w:ind w:left="276"/>
              <w:rPr>
                <w:sz w:val="20"/>
              </w:rPr>
            </w:pPr>
            <w:r>
              <w:rPr>
                <w:spacing w:val="-2"/>
                <w:sz w:val="20"/>
              </w:rPr>
              <w:t>$0.29</w:t>
            </w:r>
          </w:p>
        </w:tc>
        <w:tc>
          <w:tcPr>
            <w:tcW w:w="889" w:type="dxa"/>
            <w:tcBorders>
              <w:bottom w:val="single" w:color="000000" w:sz="8" w:space="0"/>
            </w:tcBorders>
          </w:tcPr>
          <w:p w:rsidR="00C31389" w:rsidRDefault="00561FBD" w14:paraId="1360D813" w14:textId="77777777">
            <w:pPr>
              <w:pStyle w:val="TableParagraph"/>
              <w:spacing w:before="41"/>
              <w:ind w:left="3" w:right="185"/>
              <w:jc w:val="center"/>
              <w:rPr>
                <w:sz w:val="20"/>
              </w:rPr>
            </w:pPr>
            <w:r>
              <w:rPr>
                <w:spacing w:val="-2"/>
                <w:sz w:val="20"/>
              </w:rPr>
              <w:t>$3.65</w:t>
            </w:r>
          </w:p>
        </w:tc>
        <w:tc>
          <w:tcPr>
            <w:tcW w:w="1210" w:type="dxa"/>
            <w:tcBorders>
              <w:bottom w:val="single" w:color="000000" w:sz="8" w:space="0"/>
            </w:tcBorders>
          </w:tcPr>
          <w:p w:rsidR="00C31389" w:rsidRDefault="00561FBD" w14:paraId="054E1517" w14:textId="77777777">
            <w:pPr>
              <w:pStyle w:val="TableParagraph"/>
              <w:spacing w:before="41"/>
              <w:ind w:left="212"/>
              <w:rPr>
                <w:sz w:val="20"/>
              </w:rPr>
            </w:pPr>
            <w:r>
              <w:rPr>
                <w:spacing w:val="-2"/>
                <w:sz w:val="20"/>
              </w:rPr>
              <w:t>0.000092</w:t>
            </w:r>
          </w:p>
        </w:tc>
      </w:tr>
    </w:tbl>
    <w:p w:rsidR="00C31389" w:rsidRDefault="00561FBD" w14:paraId="5206D7A7"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6B8BF6B6" w14:textId="77777777">
      <w:pPr>
        <w:pStyle w:val="BodyText"/>
        <w:rPr>
          <w:i/>
          <w:sz w:val="20"/>
        </w:rPr>
      </w:pPr>
    </w:p>
    <w:p w:rsidR="00C31389" w:rsidRDefault="00561FBD" w14:paraId="7384842C" w14:textId="77777777">
      <w:pPr>
        <w:pStyle w:val="ListParagraph"/>
        <w:numPr>
          <w:ilvl w:val="2"/>
          <w:numId w:val="19"/>
        </w:numPr>
        <w:tabs>
          <w:tab w:val="left" w:pos="1197"/>
        </w:tabs>
        <w:spacing w:before="129"/>
        <w:ind w:left="1197" w:hanging="717"/>
        <w:rPr>
          <w:b/>
          <w:sz w:val="24"/>
        </w:rPr>
      </w:pPr>
      <w:bookmarkStart w:name="D.6.2_Assumptions_and_Methodology" w:id="482"/>
      <w:bookmarkStart w:name="_bookmark367" w:id="483"/>
      <w:bookmarkEnd w:id="482"/>
      <w:bookmarkEnd w:id="483"/>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3DCF8718" w14:textId="77777777">
      <w:pPr>
        <w:pStyle w:val="BodyText"/>
        <w:spacing w:before="3"/>
        <w:rPr>
          <w:b/>
          <w:sz w:val="23"/>
        </w:rPr>
      </w:pPr>
    </w:p>
    <w:p w:rsidR="00C31389" w:rsidRDefault="00561FBD" w14:paraId="5D7E67FA" w14:textId="77777777">
      <w:pPr>
        <w:pStyle w:val="BodyText"/>
        <w:ind w:left="480" w:right="418"/>
        <w:rPr>
          <w:sz w:val="14"/>
        </w:rPr>
      </w:pPr>
      <w:r>
        <w:t xml:space="preserve">After reviewing implementation activity and recently published California-specific data sources, no major updates were made to BOC in the 2023 Study. The methodology described here is </w:t>
      </w:r>
      <w:r>
        <w:t>unchanged from the 2021 Study. The team expects to revise inputs in future</w:t>
      </w:r>
      <w:r>
        <w:rPr>
          <w:spacing w:val="-3"/>
        </w:rPr>
        <w:t xml:space="preserve"> </w:t>
      </w:r>
      <w:r>
        <w:t>studies</w:t>
      </w:r>
      <w:r>
        <w:rPr>
          <w:spacing w:val="-3"/>
        </w:rPr>
        <w:t xml:space="preserve"> </w:t>
      </w:r>
      <w:r>
        <w:t>based</w:t>
      </w:r>
      <w:r>
        <w:rPr>
          <w:spacing w:val="-3"/>
        </w:rPr>
        <w:t xml:space="preserve"> </w:t>
      </w:r>
      <w:r>
        <w:t>on</w:t>
      </w:r>
      <w:r>
        <w:rPr>
          <w:spacing w:val="-3"/>
        </w:rPr>
        <w:t xml:space="preserve"> </w:t>
      </w:r>
      <w:r>
        <w:t>the</w:t>
      </w:r>
      <w:r>
        <w:rPr>
          <w:spacing w:val="-3"/>
        </w:rPr>
        <w:t xml:space="preserve"> </w:t>
      </w:r>
      <w:r>
        <w:t>forthcoming</w:t>
      </w:r>
      <w:r>
        <w:rPr>
          <w:spacing w:val="-3"/>
        </w:rPr>
        <w:t xml:space="preserve"> </w:t>
      </w:r>
      <w:r>
        <w:t>update</w:t>
      </w:r>
      <w:r>
        <w:rPr>
          <w:spacing w:val="-3"/>
        </w:rPr>
        <w:t xml:space="preserve"> </w:t>
      </w:r>
      <w:r>
        <w:t>to</w:t>
      </w:r>
      <w:r>
        <w:rPr>
          <w:spacing w:val="-4"/>
        </w:rPr>
        <w:t xml:space="preserve"> </w:t>
      </w:r>
      <w:r>
        <w:t>the</w:t>
      </w:r>
      <w:r>
        <w:rPr>
          <w:spacing w:val="-3"/>
        </w:rPr>
        <w:t xml:space="preserve"> </w:t>
      </w:r>
      <w:r>
        <w:t>CEUS</w:t>
      </w:r>
      <w:r>
        <w:rPr>
          <w:spacing w:val="-3"/>
        </w:rPr>
        <w:t xml:space="preserve"> </w:t>
      </w:r>
      <w:r>
        <w:t>(scheduled</w:t>
      </w:r>
      <w:r>
        <w:rPr>
          <w:spacing w:val="-3"/>
        </w:rPr>
        <w:t xml:space="preserve"> </w:t>
      </w:r>
      <w:r>
        <w:t>for</w:t>
      </w:r>
      <w:r>
        <w:rPr>
          <w:spacing w:val="-3"/>
        </w:rPr>
        <w:t xml:space="preserve"> </w:t>
      </w:r>
      <w:r>
        <w:t>completion</w:t>
      </w:r>
      <w:r>
        <w:rPr>
          <w:spacing w:val="-3"/>
        </w:rPr>
        <w:t xml:space="preserve"> </w:t>
      </w:r>
      <w:r>
        <w:t>in April 2023).</w:t>
      </w:r>
      <w:hyperlink w:history="1" w:anchor="_bookmark370">
        <w:r>
          <w:rPr>
            <w:position w:val="7"/>
            <w:sz w:val="14"/>
          </w:rPr>
          <w:t>135</w:t>
        </w:r>
      </w:hyperlink>
    </w:p>
    <w:p w:rsidR="00C31389" w:rsidRDefault="00C31389" w14:paraId="5567CDDE" w14:textId="77777777">
      <w:pPr>
        <w:pStyle w:val="BodyText"/>
        <w:spacing w:before="10"/>
        <w:rPr>
          <w:sz w:val="20"/>
        </w:rPr>
      </w:pPr>
    </w:p>
    <w:p w:rsidR="00C31389" w:rsidRDefault="00561FBD" w14:paraId="0A5194A5" w14:textId="77777777">
      <w:pPr>
        <w:pStyle w:val="Heading7"/>
        <w:ind w:left="479"/>
      </w:pPr>
      <w:r>
        <w:t>Eligibility</w:t>
      </w:r>
      <w:r>
        <w:rPr>
          <w:spacing w:val="-8"/>
        </w:rPr>
        <w:t xml:space="preserve"> </w:t>
      </w:r>
      <w:r>
        <w:t>and</w:t>
      </w:r>
      <w:r>
        <w:rPr>
          <w:spacing w:val="-7"/>
        </w:rPr>
        <w:t xml:space="preserve"> </w:t>
      </w:r>
      <w:r>
        <w:rPr>
          <w:spacing w:val="-2"/>
        </w:rPr>
        <w:t>P</w:t>
      </w:r>
      <w:r>
        <w:rPr>
          <w:spacing w:val="-2"/>
        </w:rPr>
        <w:t>articipation</w:t>
      </w:r>
    </w:p>
    <w:p w:rsidR="00C31389" w:rsidRDefault="00C31389" w14:paraId="76C02CFE" w14:textId="77777777">
      <w:pPr>
        <w:pStyle w:val="BodyText"/>
        <w:spacing w:before="10"/>
        <w:rPr>
          <w:b/>
          <w:sz w:val="20"/>
        </w:rPr>
      </w:pPr>
    </w:p>
    <w:p w:rsidR="00C31389" w:rsidRDefault="00561FBD" w14:paraId="458B0F2C" w14:textId="77777777">
      <w:pPr>
        <w:pStyle w:val="BodyText"/>
        <w:ind w:left="479" w:right="447"/>
      </w:pPr>
      <w:r>
        <w:t>Consistent</w:t>
      </w:r>
      <w:r>
        <w:rPr>
          <w:spacing w:val="-4"/>
        </w:rPr>
        <w:t xml:space="preserve"> </w:t>
      </w:r>
      <w:r>
        <w:t>with</w:t>
      </w:r>
      <w:r>
        <w:rPr>
          <w:spacing w:val="-3"/>
        </w:rPr>
        <w:t xml:space="preserve"> </w:t>
      </w:r>
      <w:r>
        <w:t>prior</w:t>
      </w:r>
      <w:r>
        <w:rPr>
          <w:spacing w:val="-3"/>
        </w:rPr>
        <w:t xml:space="preserve"> </w:t>
      </w:r>
      <w:r>
        <w:t>studies,</w:t>
      </w:r>
      <w:r>
        <w:rPr>
          <w:spacing w:val="-3"/>
        </w:rPr>
        <w:t xml:space="preserve"> </w:t>
      </w:r>
      <w:r>
        <w:t>BOC</w:t>
      </w:r>
      <w:r>
        <w:rPr>
          <w:spacing w:val="-4"/>
        </w:rPr>
        <w:t xml:space="preserve"> </w:t>
      </w:r>
      <w:r>
        <w:t>savings</w:t>
      </w:r>
      <w:r>
        <w:rPr>
          <w:spacing w:val="-4"/>
        </w:rPr>
        <w:t xml:space="preserve"> </w:t>
      </w:r>
      <w:r>
        <w:t>apply</w:t>
      </w:r>
      <w:r>
        <w:rPr>
          <w:spacing w:val="-3"/>
        </w:rPr>
        <w:t xml:space="preserve"> </w:t>
      </w:r>
      <w:r>
        <w:t>to</w:t>
      </w:r>
      <w:r>
        <w:rPr>
          <w:spacing w:val="-3"/>
        </w:rPr>
        <w:t xml:space="preserve"> </w:t>
      </w:r>
      <w:r>
        <w:t>all</w:t>
      </w:r>
      <w:r>
        <w:rPr>
          <w:spacing w:val="-4"/>
        </w:rPr>
        <w:t xml:space="preserve"> </w:t>
      </w:r>
      <w:r>
        <w:t>commercial</w:t>
      </w:r>
      <w:r>
        <w:rPr>
          <w:spacing w:val="-3"/>
        </w:rPr>
        <w:t xml:space="preserve"> </w:t>
      </w:r>
      <w:r>
        <w:t>market</w:t>
      </w:r>
      <w:r>
        <w:rPr>
          <w:spacing w:val="-3"/>
        </w:rPr>
        <w:t xml:space="preserve"> </w:t>
      </w:r>
      <w:r>
        <w:t>segments,</w:t>
      </w:r>
      <w:r>
        <w:rPr>
          <w:spacing w:val="-3"/>
        </w:rPr>
        <w:t xml:space="preserve"> </w:t>
      </w:r>
      <w:r>
        <w:t>though the applicability factor of BOC ranges from 5% to 100% depending on the market segment. The PG Model assumes that BOC program interventions in the comm</w:t>
      </w:r>
      <w:r>
        <w:t>ercial market have been ongoing, and a CAGR was used to forecast growth in participation of 12.5% through the model forecast horizon. While these growth rates appear ambitious, low initial sector</w:t>
      </w:r>
    </w:p>
    <w:p w:rsidR="00C31389" w:rsidRDefault="00561FBD" w14:paraId="02D1F16A" w14:textId="77777777">
      <w:pPr>
        <w:pStyle w:val="BodyText"/>
        <w:spacing w:before="4"/>
        <w:rPr>
          <w:sz w:val="19"/>
        </w:rPr>
      </w:pPr>
      <w:r>
        <w:rPr>
          <w:noProof/>
        </w:rPr>
        <mc:AlternateContent>
          <mc:Choice Requires="wps">
            <w:drawing>
              <wp:anchor distT="0" distB="0" distL="0" distR="0" simplePos="0" relativeHeight="487723008" behindDoc="1" locked="0" layoutInCell="1" allowOverlap="1" wp14:editId="5504940E" wp14:anchorId="43D171B9">
                <wp:simplePos x="0" y="0"/>
                <wp:positionH relativeFrom="page">
                  <wp:posOffset>914400</wp:posOffset>
                </wp:positionH>
                <wp:positionV relativeFrom="paragraph">
                  <wp:posOffset>157136</wp:posOffset>
                </wp:positionV>
                <wp:extent cx="1828800" cy="6985"/>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3" style="position:absolute;margin-left:1in;margin-top:12.35pt;width:2in;height:.55pt;z-index:-1559347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" w14:anchorId="24E9CA00">
                <v:path arrowok="t"/>
                <w10:wrap type="topAndBottom" anchorx="page"/>
              </v:shape>
            </w:pict>
          </mc:Fallback>
        </mc:AlternateContent>
      </w:r>
    </w:p>
    <w:p w:rsidR="00C31389" w:rsidRDefault="00561FBD" w14:paraId="4B272E99" w14:textId="77777777">
      <w:pPr>
        <w:spacing w:before="88"/>
        <w:ind w:left="480" w:right="615"/>
        <w:rPr>
          <w:sz w:val="18"/>
        </w:rPr>
      </w:pPr>
      <w:bookmarkStart w:name="_bookmark368" w:id="484"/>
      <w:bookmarkEnd w:id="484"/>
      <w:r>
        <w:rPr>
          <w:position w:val="6"/>
          <w:sz w:val="12"/>
        </w:rPr>
        <w:t>133</w:t>
      </w:r>
      <w:r>
        <w:rPr>
          <w:spacing w:val="15"/>
          <w:position w:val="6"/>
          <w:sz w:val="12"/>
        </w:rPr>
        <w:t xml:space="preserve"> </w:t>
      </w:r>
      <w:r>
        <w:rPr>
          <w:sz w:val="18"/>
        </w:rPr>
        <w:t>Literature</w:t>
      </w:r>
      <w:r>
        <w:rPr>
          <w:spacing w:val="-3"/>
          <w:sz w:val="18"/>
        </w:rPr>
        <w:t xml:space="preserve"> </w:t>
      </w:r>
      <w:r>
        <w:rPr>
          <w:sz w:val="18"/>
        </w:rPr>
        <w:t>search</w:t>
      </w:r>
      <w:r>
        <w:rPr>
          <w:spacing w:val="-3"/>
          <w:sz w:val="18"/>
        </w:rPr>
        <w:t xml:space="preserve"> </w:t>
      </w:r>
      <w:r>
        <w:rPr>
          <w:sz w:val="18"/>
        </w:rPr>
        <w:t>results</w:t>
      </w:r>
      <w:r>
        <w:rPr>
          <w:spacing w:val="-2"/>
          <w:sz w:val="18"/>
        </w:rPr>
        <w:t xml:space="preserve"> </w:t>
      </w:r>
      <w:r>
        <w:rPr>
          <w:sz w:val="18"/>
        </w:rPr>
        <w:t>provided</w:t>
      </w:r>
      <w:r>
        <w:rPr>
          <w:spacing w:val="-3"/>
          <w:sz w:val="18"/>
        </w:rPr>
        <w:t xml:space="preserve"> </w:t>
      </w:r>
      <w:r>
        <w:rPr>
          <w:sz w:val="18"/>
        </w:rPr>
        <w:t>in</w:t>
      </w:r>
      <w:r>
        <w:rPr>
          <w:spacing w:val="-3"/>
          <w:sz w:val="18"/>
        </w:rPr>
        <w:t xml:space="preserve"> </w:t>
      </w:r>
      <w:r>
        <w:rPr>
          <w:sz w:val="18"/>
        </w:rPr>
        <w:t>Appendix</w:t>
      </w:r>
      <w:r>
        <w:rPr>
          <w:spacing w:val="-2"/>
          <w:sz w:val="18"/>
        </w:rPr>
        <w:t xml:space="preserve"> </w:t>
      </w:r>
      <w:r>
        <w:rPr>
          <w:sz w:val="18"/>
        </w:rPr>
        <w:t>C,</w:t>
      </w:r>
      <w:r>
        <w:rPr>
          <w:spacing w:val="-2"/>
          <w:sz w:val="18"/>
        </w:rPr>
        <w:t xml:space="preserve"> </w:t>
      </w:r>
      <w:r>
        <w:rPr>
          <w:i/>
          <w:sz w:val="18"/>
        </w:rPr>
        <w:t>Analysis</w:t>
      </w:r>
      <w:r>
        <w:rPr>
          <w:i/>
          <w:spacing w:val="-2"/>
          <w:sz w:val="18"/>
        </w:rPr>
        <w:t xml:space="preserve"> </w:t>
      </w:r>
      <w:r>
        <w:rPr>
          <w:i/>
          <w:sz w:val="18"/>
        </w:rPr>
        <w:t>to</w:t>
      </w:r>
      <w:r>
        <w:rPr>
          <w:i/>
          <w:spacing w:val="-3"/>
          <w:sz w:val="18"/>
        </w:rPr>
        <w:t xml:space="preserve"> </w:t>
      </w:r>
      <w:r>
        <w:rPr>
          <w:i/>
          <w:sz w:val="18"/>
        </w:rPr>
        <w:t>Update</w:t>
      </w:r>
      <w:r>
        <w:rPr>
          <w:i/>
          <w:spacing w:val="-3"/>
          <w:sz w:val="18"/>
        </w:rPr>
        <w:t xml:space="preserve"> </w:t>
      </w:r>
      <w:r>
        <w:rPr>
          <w:i/>
          <w:sz w:val="18"/>
        </w:rPr>
        <w:t>Potential</w:t>
      </w:r>
      <w:r>
        <w:rPr>
          <w:i/>
          <w:spacing w:val="-2"/>
          <w:sz w:val="18"/>
        </w:rPr>
        <w:t xml:space="preserve"> </w:t>
      </w:r>
      <w:r>
        <w:rPr>
          <w:i/>
          <w:sz w:val="18"/>
        </w:rPr>
        <w:t>Goals</w:t>
      </w:r>
      <w:r>
        <w:rPr>
          <w:i/>
          <w:spacing w:val="-2"/>
          <w:sz w:val="18"/>
        </w:rPr>
        <w:t xml:space="preserve"> </w:t>
      </w:r>
      <w:r>
        <w:rPr>
          <w:i/>
          <w:sz w:val="18"/>
        </w:rPr>
        <w:t>and</w:t>
      </w:r>
      <w:r>
        <w:rPr>
          <w:i/>
          <w:spacing w:val="-1"/>
          <w:sz w:val="18"/>
        </w:rPr>
        <w:t xml:space="preserve"> </w:t>
      </w:r>
      <w:r>
        <w:rPr>
          <w:i/>
          <w:sz w:val="18"/>
        </w:rPr>
        <w:t>Targets</w:t>
      </w:r>
      <w:r>
        <w:rPr>
          <w:i/>
          <w:spacing w:val="-2"/>
          <w:sz w:val="18"/>
        </w:rPr>
        <w:t xml:space="preserve"> </w:t>
      </w:r>
      <w:r>
        <w:rPr>
          <w:i/>
          <w:sz w:val="18"/>
        </w:rPr>
        <w:t>for</w:t>
      </w:r>
      <w:r>
        <w:rPr>
          <w:i/>
          <w:spacing w:val="-2"/>
          <w:sz w:val="18"/>
        </w:rPr>
        <w:t xml:space="preserve"> </w:t>
      </w:r>
      <w:r>
        <w:rPr>
          <w:i/>
          <w:sz w:val="18"/>
        </w:rPr>
        <w:t>2013 and Beyond</w:t>
      </w:r>
      <w:r>
        <w:rPr>
          <w:sz w:val="18"/>
        </w:rPr>
        <w:t>, Navigant Consulting Inc., March 19, 2012</w:t>
      </w:r>
    </w:p>
    <w:p w:rsidR="00C31389" w:rsidRDefault="00561FBD" w14:paraId="39337B2D" w14:textId="77777777">
      <w:pPr>
        <w:spacing w:before="37"/>
        <w:ind w:left="480" w:right="700"/>
        <w:rPr>
          <w:sz w:val="18"/>
        </w:rPr>
      </w:pPr>
      <w:bookmarkStart w:name="_bookmark369" w:id="485"/>
      <w:bookmarkEnd w:id="485"/>
      <w:r>
        <w:rPr>
          <w:position w:val="6"/>
          <w:sz w:val="12"/>
        </w:rPr>
        <w:t>134</w:t>
      </w:r>
      <w:r>
        <w:rPr>
          <w:spacing w:val="14"/>
          <w:position w:val="6"/>
          <w:sz w:val="12"/>
        </w:rPr>
        <w:t xml:space="preserve"> </w:t>
      </w:r>
      <w:r>
        <w:rPr>
          <w:sz w:val="18"/>
        </w:rPr>
        <w:t>As</w:t>
      </w:r>
      <w:r>
        <w:rPr>
          <w:spacing w:val="-3"/>
          <w:sz w:val="18"/>
        </w:rPr>
        <w:t xml:space="preserve"> </w:t>
      </w:r>
      <w:r>
        <w:rPr>
          <w:sz w:val="18"/>
        </w:rPr>
        <w:t>defined</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California</w:t>
      </w:r>
      <w:r>
        <w:rPr>
          <w:spacing w:val="-4"/>
          <w:sz w:val="18"/>
        </w:rPr>
        <w:t xml:space="preserve"> </w:t>
      </w:r>
      <w:r>
        <w:rPr>
          <w:sz w:val="18"/>
        </w:rPr>
        <w:t>Energy</w:t>
      </w:r>
      <w:r>
        <w:rPr>
          <w:spacing w:val="-3"/>
          <w:sz w:val="18"/>
        </w:rPr>
        <w:t xml:space="preserve"> </w:t>
      </w:r>
      <w:r>
        <w:rPr>
          <w:sz w:val="18"/>
        </w:rPr>
        <w:t>Commission</w:t>
      </w:r>
      <w:r>
        <w:rPr>
          <w:spacing w:val="-4"/>
          <w:sz w:val="18"/>
        </w:rPr>
        <w:t xml:space="preserve"> </w:t>
      </w:r>
      <w:r>
        <w:rPr>
          <w:sz w:val="18"/>
        </w:rPr>
        <w:t>(CEC),</w:t>
      </w:r>
      <w:r>
        <w:rPr>
          <w:spacing w:val="-3"/>
          <w:sz w:val="18"/>
        </w:rPr>
        <w:t xml:space="preserve"> </w:t>
      </w:r>
      <w:r>
        <w:rPr>
          <w:sz w:val="18"/>
        </w:rPr>
        <w:t>California</w:t>
      </w:r>
      <w:r>
        <w:rPr>
          <w:spacing w:val="-4"/>
          <w:sz w:val="18"/>
        </w:rPr>
        <w:t xml:space="preserve"> </w:t>
      </w:r>
      <w:r>
        <w:rPr>
          <w:sz w:val="18"/>
        </w:rPr>
        <w:t>Commercial</w:t>
      </w:r>
      <w:r>
        <w:rPr>
          <w:spacing w:val="-3"/>
          <w:sz w:val="18"/>
        </w:rPr>
        <w:t xml:space="preserve"> </w:t>
      </w:r>
      <w:r>
        <w:rPr>
          <w:sz w:val="18"/>
        </w:rPr>
        <w:t>End-Use</w:t>
      </w:r>
      <w:r>
        <w:rPr>
          <w:spacing w:val="-2"/>
          <w:sz w:val="18"/>
        </w:rPr>
        <w:t xml:space="preserve"> </w:t>
      </w:r>
      <w:r>
        <w:rPr>
          <w:sz w:val="18"/>
        </w:rPr>
        <w:t>Survey,</w:t>
      </w:r>
      <w:r>
        <w:rPr>
          <w:spacing w:val="-3"/>
          <w:sz w:val="18"/>
        </w:rPr>
        <w:t xml:space="preserve"> </w:t>
      </w:r>
      <w:r>
        <w:rPr>
          <w:sz w:val="18"/>
        </w:rPr>
        <w:t>CEC-400- 2006-005, prepared by Itron, Inc., March 2</w:t>
      </w:r>
      <w:r>
        <w:rPr>
          <w:sz w:val="18"/>
        </w:rPr>
        <w:t xml:space="preserve">006. Final report available at: </w:t>
      </w:r>
      <w:hyperlink r:id="rId272">
        <w:r>
          <w:rPr>
            <w:color w:val="68942C"/>
            <w:sz w:val="18"/>
            <w:u w:val="single" w:color="68942C"/>
          </w:rPr>
          <w:t>http://www.energy.ca.gov/ceus/index.htm</w:t>
        </w:r>
        <w:r>
          <w:rPr>
            <w:color w:val="68942C"/>
            <w:sz w:val="18"/>
          </w:rPr>
          <w:t>l</w:t>
        </w:r>
        <w:r>
          <w:rPr>
            <w:sz w:val="18"/>
          </w:rPr>
          <w:t>.</w:t>
        </w:r>
      </w:hyperlink>
      <w:r>
        <w:rPr>
          <w:sz w:val="18"/>
        </w:rPr>
        <w:t xml:space="preserve"> Data available at: </w:t>
      </w:r>
      <w:hyperlink r:id="rId273">
        <w:r>
          <w:rPr>
            <w:color w:val="68942C"/>
            <w:sz w:val="18"/>
            <w:u w:val="single" w:color="68942C"/>
          </w:rPr>
          <w:t>http://capabilities.itron.com/ceusweb/</w:t>
        </w:r>
      </w:hyperlink>
    </w:p>
    <w:p w:rsidR="00C31389" w:rsidRDefault="00561FBD" w14:paraId="070944CB" w14:textId="77777777">
      <w:pPr>
        <w:spacing w:before="35"/>
        <w:ind w:left="480" w:right="418"/>
        <w:rPr>
          <w:sz w:val="18"/>
        </w:rPr>
      </w:pPr>
      <w:bookmarkStart w:name="_bookmark370" w:id="486"/>
      <w:bookmarkEnd w:id="486"/>
      <w:r>
        <w:rPr>
          <w:position w:val="6"/>
          <w:sz w:val="12"/>
        </w:rPr>
        <w:t>135</w:t>
      </w:r>
      <w:r>
        <w:rPr>
          <w:spacing w:val="8"/>
          <w:position w:val="6"/>
          <w:sz w:val="12"/>
        </w:rPr>
        <w:t xml:space="preserve"> </w:t>
      </w:r>
      <w:r>
        <w:rPr>
          <w:sz w:val="18"/>
        </w:rPr>
        <w:t>At</w:t>
      </w:r>
      <w:r>
        <w:rPr>
          <w:spacing w:val="-9"/>
          <w:sz w:val="18"/>
        </w:rPr>
        <w:t xml:space="preserve"> </w:t>
      </w:r>
      <w:hyperlink r:id="rId274">
        <w:r>
          <w:rPr>
            <w:color w:val="68942C"/>
            <w:sz w:val="18"/>
            <w:u w:val="single" w:color="68942C"/>
          </w:rPr>
          <w:t>https://www.energy.ca.gov/data-reports/surveys/california-commercial-end-use-survey,</w:t>
        </w:r>
      </w:hyperlink>
      <w:r>
        <w:rPr>
          <w:color w:val="68942C"/>
          <w:spacing w:val="-9"/>
          <w:sz w:val="18"/>
        </w:rPr>
        <w:t xml:space="preserve"> </w:t>
      </w:r>
      <w:r>
        <w:rPr>
          <w:sz w:val="18"/>
        </w:rPr>
        <w:t>accessed</w:t>
      </w:r>
      <w:r>
        <w:rPr>
          <w:spacing w:val="-10"/>
          <w:sz w:val="18"/>
        </w:rPr>
        <w:t xml:space="preserve"> </w:t>
      </w:r>
      <w:r>
        <w:rPr>
          <w:sz w:val="18"/>
        </w:rPr>
        <w:t>October 2022. Data collection for the 2021 Study ended in Q3 2020.</w:t>
      </w:r>
    </w:p>
    <w:p w:rsidR="00C31389" w:rsidRDefault="00C31389" w14:paraId="09A0D240" w14:textId="77777777">
      <w:pPr>
        <w:rPr>
          <w:sz w:val="18"/>
        </w:rPr>
        <w:sectPr w:rsidR="00C31389">
          <w:pgSz w:w="11910" w:h="16840"/>
          <w:pgMar w:top="1660" w:right="1020" w:bottom="1120" w:left="960" w:header="397" w:footer="938" w:gutter="0"/>
          <w:cols w:space="720"/>
        </w:sectPr>
      </w:pPr>
    </w:p>
    <w:p w:rsidR="00C31389" w:rsidRDefault="00C31389" w14:paraId="79AEA50F" w14:textId="77777777">
      <w:pPr>
        <w:pStyle w:val="BodyText"/>
        <w:spacing w:before="11"/>
        <w:rPr>
          <w:sz w:val="13"/>
        </w:rPr>
      </w:pPr>
    </w:p>
    <w:p w:rsidR="00C31389" w:rsidRDefault="00561FBD" w14:paraId="3BFF190D" w14:textId="77777777">
      <w:pPr>
        <w:pStyle w:val="BodyText"/>
        <w:spacing w:before="92"/>
        <w:ind w:left="480" w:right="494"/>
      </w:pPr>
      <w:r>
        <w:t>engagement</w:t>
      </w:r>
      <w:r>
        <w:rPr>
          <w:spacing w:val="-3"/>
        </w:rPr>
        <w:t xml:space="preserve"> </w:t>
      </w:r>
      <w:r>
        <w:t>in</w:t>
      </w:r>
      <w:r>
        <w:rPr>
          <w:spacing w:val="-3"/>
        </w:rPr>
        <w:t xml:space="preserve"> </w:t>
      </w:r>
      <w:r>
        <w:t>BOC</w:t>
      </w:r>
      <w:r>
        <w:rPr>
          <w:spacing w:val="-4"/>
        </w:rPr>
        <w:t xml:space="preserve"> </w:t>
      </w:r>
      <w:r>
        <w:t>results</w:t>
      </w:r>
      <w:r>
        <w:rPr>
          <w:spacing w:val="-3"/>
        </w:rPr>
        <w:t xml:space="preserve"> </w:t>
      </w:r>
      <w:r>
        <w:t>in</w:t>
      </w:r>
      <w:r>
        <w:rPr>
          <w:spacing w:val="-3"/>
        </w:rPr>
        <w:t xml:space="preserve"> </w:t>
      </w:r>
      <w:r>
        <w:t>forecast</w:t>
      </w:r>
      <w:r>
        <w:rPr>
          <w:spacing w:val="-3"/>
        </w:rPr>
        <w:t xml:space="preserve"> </w:t>
      </w:r>
      <w:r>
        <w:t>market</w:t>
      </w:r>
      <w:r>
        <w:rPr>
          <w:spacing w:val="-3"/>
        </w:rPr>
        <w:t xml:space="preserve"> </w:t>
      </w:r>
      <w:r>
        <w:t>penetrations</w:t>
      </w:r>
      <w:r>
        <w:rPr>
          <w:spacing w:val="-4"/>
        </w:rPr>
        <w:t xml:space="preserve"> </w:t>
      </w:r>
      <w:r>
        <w:t>of</w:t>
      </w:r>
      <w:r>
        <w:rPr>
          <w:spacing w:val="-3"/>
        </w:rPr>
        <w:t xml:space="preserve"> </w:t>
      </w:r>
      <w:r>
        <w:t>8.25%</w:t>
      </w:r>
      <w:r>
        <w:rPr>
          <w:spacing w:val="-3"/>
        </w:rPr>
        <w:t xml:space="preserve"> </w:t>
      </w:r>
      <w:r>
        <w:t>in</w:t>
      </w:r>
      <w:r>
        <w:rPr>
          <w:spacing w:val="-4"/>
        </w:rPr>
        <w:t xml:space="preserve"> </w:t>
      </w:r>
      <w:r>
        <w:t>2032.</w:t>
      </w:r>
      <w:r>
        <w:rPr>
          <w:spacing w:val="-3"/>
        </w:rPr>
        <w:t xml:space="preserve"> </w:t>
      </w:r>
      <w:r>
        <w:t>While</w:t>
      </w:r>
      <w:r>
        <w:rPr>
          <w:spacing w:val="-4"/>
        </w:rPr>
        <w:t xml:space="preserve"> </w:t>
      </w:r>
      <w:r>
        <w:t>there</w:t>
      </w:r>
      <w:r>
        <w:rPr>
          <w:spacing w:val="-3"/>
        </w:rPr>
        <w:t xml:space="preserve"> </w:t>
      </w:r>
      <w:r>
        <w:t>is the potential for overlap in savings between BOC and SEM interventions, the current saturation of these measures and relatively low penetration rate forecast indicat</w:t>
      </w:r>
      <w:r>
        <w:t>e that the risk of double counting savings is minimal and, therefore, was not considered in this model.</w:t>
      </w:r>
    </w:p>
    <w:p w:rsidR="00C31389" w:rsidRDefault="00C31389" w14:paraId="4470D114" w14:textId="77777777">
      <w:pPr>
        <w:pStyle w:val="BodyText"/>
        <w:spacing w:before="10"/>
        <w:rPr>
          <w:sz w:val="20"/>
        </w:rPr>
      </w:pPr>
    </w:p>
    <w:p w:rsidR="00C31389" w:rsidRDefault="00561FBD" w14:paraId="3711BF70" w14:textId="77777777">
      <w:pPr>
        <w:pStyle w:val="BodyText"/>
        <w:ind w:left="480" w:right="505"/>
      </w:pPr>
      <w:r>
        <w:t xml:space="preserve">Going forward, the team expects the role of BOC to expand with the development and increasingly widespread use of energy management and </w:t>
      </w:r>
      <w:r>
        <w:t>information systems to help building</w:t>
      </w:r>
      <w:r>
        <w:rPr>
          <w:spacing w:val="-3"/>
        </w:rPr>
        <w:t xml:space="preserve"> </w:t>
      </w:r>
      <w:r>
        <w:t>operators</w:t>
      </w:r>
      <w:r>
        <w:rPr>
          <w:spacing w:val="-3"/>
        </w:rPr>
        <w:t xml:space="preserve"> </w:t>
      </w:r>
      <w:r>
        <w:t>identify</w:t>
      </w:r>
      <w:r>
        <w:rPr>
          <w:spacing w:val="-3"/>
        </w:rPr>
        <w:t xml:space="preserve"> </w:t>
      </w:r>
      <w:r>
        <w:t>and</w:t>
      </w:r>
      <w:r>
        <w:rPr>
          <w:spacing w:val="-3"/>
        </w:rPr>
        <w:t xml:space="preserve"> </w:t>
      </w:r>
      <w:r>
        <w:t>address</w:t>
      </w:r>
      <w:r>
        <w:rPr>
          <w:spacing w:val="-3"/>
        </w:rPr>
        <w:t xml:space="preserve"> </w:t>
      </w:r>
      <w:r>
        <w:t>building</w:t>
      </w:r>
      <w:r>
        <w:rPr>
          <w:spacing w:val="-3"/>
        </w:rPr>
        <w:t xml:space="preserve"> </w:t>
      </w:r>
      <w:r>
        <w:t>performance</w:t>
      </w:r>
      <w:r>
        <w:rPr>
          <w:spacing w:val="-3"/>
        </w:rPr>
        <w:t xml:space="preserve"> </w:t>
      </w:r>
      <w:r>
        <w:t>issues.</w:t>
      </w:r>
      <w:r>
        <w:rPr>
          <w:spacing w:val="-3"/>
        </w:rPr>
        <w:t xml:space="preserve"> </w:t>
      </w:r>
      <w:r>
        <w:t>Future</w:t>
      </w:r>
      <w:r>
        <w:rPr>
          <w:spacing w:val="-3"/>
        </w:rPr>
        <w:t xml:space="preserve"> </w:t>
      </w:r>
      <w:r>
        <w:t>revisions</w:t>
      </w:r>
      <w:r>
        <w:rPr>
          <w:spacing w:val="-4"/>
        </w:rPr>
        <w:t xml:space="preserve"> </w:t>
      </w:r>
      <w:r>
        <w:t>of</w:t>
      </w:r>
      <w:r>
        <w:rPr>
          <w:spacing w:val="-3"/>
        </w:rPr>
        <w:t xml:space="preserve"> </w:t>
      </w:r>
      <w:r>
        <w:t>the study should consider data on the relationship</w:t>
      </w:r>
      <w:r>
        <w:rPr>
          <w:spacing w:val="-3"/>
        </w:rPr>
        <w:t xml:space="preserve"> </w:t>
      </w:r>
      <w:r>
        <w:t>between BOC</w:t>
      </w:r>
      <w:r>
        <w:rPr>
          <w:spacing w:val="-1"/>
        </w:rPr>
        <w:t xml:space="preserve"> </w:t>
      </w:r>
      <w:r>
        <w:t>and energy management and information systems as it becomes available, inclu</w:t>
      </w:r>
      <w:r>
        <w:t>ding revised saturation estimates for equipment associated with energy management and information systems from the forthcoming CEUS update.</w:t>
      </w:r>
    </w:p>
    <w:p w:rsidR="00C31389" w:rsidRDefault="00C31389" w14:paraId="3EE9F6FE" w14:textId="77777777">
      <w:pPr>
        <w:pStyle w:val="BodyText"/>
        <w:spacing w:before="11"/>
        <w:rPr>
          <w:sz w:val="20"/>
        </w:rPr>
      </w:pPr>
    </w:p>
    <w:p w:rsidR="00C31389" w:rsidRDefault="00561FBD" w14:paraId="30B536CE" w14:textId="77777777">
      <w:pPr>
        <w:pStyle w:val="Heading7"/>
        <w:ind w:left="480"/>
      </w:pPr>
      <w:r>
        <w:rPr>
          <w:spacing w:val="-2"/>
        </w:rPr>
        <w:t>Savings</w:t>
      </w:r>
    </w:p>
    <w:p w:rsidR="00C31389" w:rsidRDefault="00C31389" w14:paraId="33045015" w14:textId="77777777">
      <w:pPr>
        <w:pStyle w:val="BodyText"/>
        <w:spacing w:before="10"/>
        <w:rPr>
          <w:b/>
          <w:sz w:val="20"/>
        </w:rPr>
      </w:pPr>
    </w:p>
    <w:p w:rsidR="00C31389" w:rsidRDefault="00561FBD" w14:paraId="478107E6" w14:textId="77777777">
      <w:pPr>
        <w:pStyle w:val="BodyText"/>
        <w:ind w:left="480" w:right="615" w:hanging="1"/>
      </w:pPr>
      <w:r>
        <w:t>The method to calculate</w:t>
      </w:r>
      <w:r>
        <w:rPr>
          <w:spacing w:val="-1"/>
        </w:rPr>
        <w:t xml:space="preserve"> </w:t>
      </w:r>
      <w:r>
        <w:t>unit energy</w:t>
      </w:r>
      <w:r>
        <w:rPr>
          <w:spacing w:val="-1"/>
        </w:rPr>
        <w:t xml:space="preserve"> </w:t>
      </w:r>
      <w:r>
        <w:t xml:space="preserve">savings (UES) has changed over time, and the 2023 Study uses the same </w:t>
      </w:r>
      <w:r>
        <w:t>approach and values as the 2017, 2019, and 2021 studies. For context,</w:t>
      </w:r>
      <w:r>
        <w:rPr>
          <w:spacing w:val="-3"/>
        </w:rPr>
        <w:t xml:space="preserve"> </w:t>
      </w:r>
      <w:r>
        <w:t>the</w:t>
      </w:r>
      <w:r>
        <w:rPr>
          <w:spacing w:val="-4"/>
        </w:rPr>
        <w:t xml:space="preserve"> </w:t>
      </w:r>
      <w:r>
        <w:t>2015</w:t>
      </w:r>
      <w:r>
        <w:rPr>
          <w:spacing w:val="-3"/>
        </w:rPr>
        <w:t xml:space="preserve"> </w:t>
      </w:r>
      <w:r>
        <w:t>Study</w:t>
      </w:r>
      <w:r>
        <w:rPr>
          <w:spacing w:val="-4"/>
        </w:rPr>
        <w:t xml:space="preserve"> </w:t>
      </w:r>
      <w:r>
        <w:t>used</w:t>
      </w:r>
      <w:r>
        <w:rPr>
          <w:spacing w:val="-3"/>
        </w:rPr>
        <w:t xml:space="preserve"> </w:t>
      </w:r>
      <w:r>
        <w:t>the</w:t>
      </w:r>
      <w:r>
        <w:rPr>
          <w:spacing w:val="-3"/>
        </w:rPr>
        <w:t xml:space="preserve"> </w:t>
      </w:r>
      <w:r>
        <w:t>average</w:t>
      </w:r>
      <w:r>
        <w:rPr>
          <w:spacing w:val="-3"/>
        </w:rPr>
        <w:t xml:space="preserve"> </w:t>
      </w:r>
      <w:r>
        <w:t>electric</w:t>
      </w:r>
      <w:r>
        <w:rPr>
          <w:spacing w:val="-3"/>
        </w:rPr>
        <w:t xml:space="preserve"> </w:t>
      </w:r>
      <w:r>
        <w:t>and</w:t>
      </w:r>
      <w:r>
        <w:rPr>
          <w:spacing w:val="-3"/>
        </w:rPr>
        <w:t xml:space="preserve"> </w:t>
      </w:r>
      <w:r>
        <w:t>natural</w:t>
      </w:r>
      <w:r>
        <w:rPr>
          <w:spacing w:val="-3"/>
        </w:rPr>
        <w:t xml:space="preserve"> </w:t>
      </w:r>
      <w:r>
        <w:t>gas</w:t>
      </w:r>
      <w:r>
        <w:rPr>
          <w:spacing w:val="-3"/>
        </w:rPr>
        <w:t xml:space="preserve"> </w:t>
      </w:r>
      <w:r>
        <w:t>savings</w:t>
      </w:r>
      <w:r>
        <w:rPr>
          <w:spacing w:val="-3"/>
        </w:rPr>
        <w:t xml:space="preserve"> </w:t>
      </w:r>
      <w:r>
        <w:t>of</w:t>
      </w:r>
      <w:r>
        <w:rPr>
          <w:spacing w:val="-3"/>
        </w:rPr>
        <w:t xml:space="preserve"> </w:t>
      </w:r>
      <w:r>
        <w:t>58</w:t>
      </w:r>
      <w:r>
        <w:rPr>
          <w:spacing w:val="-3"/>
        </w:rPr>
        <w:t xml:space="preserve"> </w:t>
      </w:r>
      <w:r>
        <w:t>kWh</w:t>
      </w:r>
      <w:r>
        <w:rPr>
          <w:spacing w:val="-4"/>
        </w:rPr>
        <w:t xml:space="preserve"> </w:t>
      </w:r>
      <w:r>
        <w:t>and</w:t>
      </w:r>
    </w:p>
    <w:p w:rsidR="00C31389" w:rsidRDefault="00561FBD" w14:paraId="3C18ED54" w14:textId="77777777">
      <w:pPr>
        <w:pStyle w:val="BodyText"/>
        <w:ind w:left="479" w:right="419" w:firstLine="1"/>
      </w:pPr>
      <w:r>
        <w:t>5.6 therms per 1,000 square feet of participating building space for all market segments.</w:t>
      </w:r>
      <w:hyperlink w:history="1" w:anchor="_bookmark373">
        <w:r>
          <w:rPr>
            <w:position w:val="7"/>
            <w:sz w:val="14"/>
          </w:rPr>
          <w:t>136</w:t>
        </w:r>
      </w:hyperlink>
      <w:r>
        <w:rPr>
          <w:spacing w:val="40"/>
          <w:position w:val="7"/>
          <w:sz w:val="14"/>
        </w:rPr>
        <w:t xml:space="preserve"> </w:t>
      </w:r>
      <w:r>
        <w:t>The</w:t>
      </w:r>
      <w:r>
        <w:rPr>
          <w:spacing w:val="-3"/>
        </w:rPr>
        <w:t xml:space="preserve"> </w:t>
      </w:r>
      <w:r>
        <w:t>2017</w:t>
      </w:r>
      <w:r>
        <w:rPr>
          <w:spacing w:val="-3"/>
        </w:rPr>
        <w:t xml:space="preserve"> </w:t>
      </w:r>
      <w:r>
        <w:t>Study</w:t>
      </w:r>
      <w:r>
        <w:rPr>
          <w:spacing w:val="-3"/>
        </w:rPr>
        <w:t xml:space="preserve"> </w:t>
      </w:r>
      <w:r>
        <w:t>refined</w:t>
      </w:r>
      <w:r>
        <w:rPr>
          <w:spacing w:val="-3"/>
        </w:rPr>
        <w:t xml:space="preserve"> </w:t>
      </w:r>
      <w:r>
        <w:t>this</w:t>
      </w:r>
      <w:r>
        <w:rPr>
          <w:spacing w:val="-3"/>
        </w:rPr>
        <w:t xml:space="preserve"> </w:t>
      </w:r>
      <w:r>
        <w:t>approach</w:t>
      </w:r>
      <w:r>
        <w:rPr>
          <w:spacing w:val="-3"/>
        </w:rPr>
        <w:t xml:space="preserve"> </w:t>
      </w:r>
      <w:r>
        <w:t>and</w:t>
      </w:r>
      <w:r>
        <w:rPr>
          <w:spacing w:val="-3"/>
        </w:rPr>
        <w:t xml:space="preserve"> </w:t>
      </w:r>
      <w:r>
        <w:t>applied</w:t>
      </w:r>
      <w:r>
        <w:rPr>
          <w:spacing w:val="-3"/>
        </w:rPr>
        <w:t xml:space="preserve"> </w:t>
      </w:r>
      <w:r>
        <w:t>a</w:t>
      </w:r>
      <w:r>
        <w:rPr>
          <w:spacing w:val="-3"/>
        </w:rPr>
        <w:t xml:space="preserve"> </w:t>
      </w:r>
      <w:r>
        <w:t>market</w:t>
      </w:r>
      <w:r>
        <w:rPr>
          <w:spacing w:val="-3"/>
        </w:rPr>
        <w:t xml:space="preserve"> </w:t>
      </w:r>
      <w:r>
        <w:t>segment-specific</w:t>
      </w:r>
      <w:r>
        <w:rPr>
          <w:spacing w:val="-3"/>
        </w:rPr>
        <w:t xml:space="preserve"> </w:t>
      </w:r>
      <w:r>
        <w:t>UES</w:t>
      </w:r>
      <w:r>
        <w:rPr>
          <w:spacing w:val="-3"/>
        </w:rPr>
        <w:t xml:space="preserve"> </w:t>
      </w:r>
      <w:r>
        <w:t>value</w:t>
      </w:r>
      <w:r>
        <w:rPr>
          <w:spacing w:val="-3"/>
        </w:rPr>
        <w:t xml:space="preserve"> </w:t>
      </w:r>
      <w:r>
        <w:t>that accounted</w:t>
      </w:r>
      <w:r>
        <w:rPr>
          <w:spacing w:val="-1"/>
        </w:rPr>
        <w:t xml:space="preserve"> </w:t>
      </w:r>
      <w:r>
        <w:t>for</w:t>
      </w:r>
      <w:r>
        <w:rPr>
          <w:spacing w:val="-1"/>
        </w:rPr>
        <w:t xml:space="preserve"> </w:t>
      </w:r>
      <w:r>
        <w:t>differences</w:t>
      </w:r>
      <w:r>
        <w:rPr>
          <w:spacing w:val="-1"/>
        </w:rPr>
        <w:t xml:space="preserve"> </w:t>
      </w:r>
      <w:r>
        <w:t>in</w:t>
      </w:r>
      <w:r>
        <w:rPr>
          <w:spacing w:val="-1"/>
        </w:rPr>
        <w:t xml:space="preserve"> </w:t>
      </w:r>
      <w:r>
        <w:t>building</w:t>
      </w:r>
      <w:r>
        <w:rPr>
          <w:spacing w:val="-2"/>
        </w:rPr>
        <w:t xml:space="preserve"> </w:t>
      </w:r>
      <w:r>
        <w:t>energy</w:t>
      </w:r>
      <w:r>
        <w:rPr>
          <w:spacing w:val="-1"/>
        </w:rPr>
        <w:t xml:space="preserve"> </w:t>
      </w:r>
      <w:r>
        <w:t>density.</w:t>
      </w:r>
      <w:r>
        <w:rPr>
          <w:spacing w:val="-1"/>
        </w:rPr>
        <w:t xml:space="preserve"> </w:t>
      </w:r>
      <w:r>
        <w:t>For</w:t>
      </w:r>
      <w:r>
        <w:rPr>
          <w:spacing w:val="-1"/>
        </w:rPr>
        <w:t xml:space="preserve"> </w:t>
      </w:r>
      <w:r>
        <w:t>example,</w:t>
      </w:r>
      <w:r>
        <w:rPr>
          <w:spacing w:val="-1"/>
        </w:rPr>
        <w:t xml:space="preserve"> </w:t>
      </w:r>
      <w:r>
        <w:t>a</w:t>
      </w:r>
      <w:r>
        <w:rPr>
          <w:spacing w:val="-1"/>
        </w:rPr>
        <w:t xml:space="preserve"> </w:t>
      </w:r>
      <w:r>
        <w:t>grocery</w:t>
      </w:r>
      <w:r>
        <w:rPr>
          <w:spacing w:val="-1"/>
        </w:rPr>
        <w:t xml:space="preserve"> </w:t>
      </w:r>
      <w:r>
        <w:t>store</w:t>
      </w:r>
      <w:r>
        <w:rPr>
          <w:spacing w:val="-1"/>
        </w:rPr>
        <w:t xml:space="preserve"> </w:t>
      </w:r>
      <w:r>
        <w:t>with</w:t>
      </w:r>
      <w:r>
        <w:rPr>
          <w:spacing w:val="-1"/>
        </w:rPr>
        <w:t xml:space="preserve"> </w:t>
      </w:r>
      <w:r>
        <w:t xml:space="preserve">much higher energy </w:t>
      </w:r>
      <w:r>
        <w:t>densities</w:t>
      </w:r>
      <w:r>
        <w:rPr>
          <w:spacing w:val="-1"/>
        </w:rPr>
        <w:t xml:space="preserve"> </w:t>
      </w:r>
      <w:r>
        <w:t>than a warehouse would experience a proportionally greater savings rate per unit of conditioned space. In this example, a grocery store in PG&amp;E territory is expected to save 151.3 kWh and 5.2 therms per 1,000 square feet compared to an unrefriger</w:t>
      </w:r>
      <w:r>
        <w:t>ated warehouse that would be expected to save 18.2 kWh and 0.8 therms per 1,000 square feet after accounting for differences in energy density.</w:t>
      </w:r>
    </w:p>
    <w:p w:rsidR="00C31389" w:rsidRDefault="00C31389" w14:paraId="23558323" w14:textId="77777777">
      <w:pPr>
        <w:pStyle w:val="BodyText"/>
        <w:spacing w:before="10"/>
        <w:rPr>
          <w:sz w:val="20"/>
        </w:rPr>
      </w:pPr>
    </w:p>
    <w:p w:rsidR="00C31389" w:rsidRDefault="00561FBD" w14:paraId="2294A477" w14:textId="77777777">
      <w:pPr>
        <w:pStyle w:val="BodyText"/>
        <w:ind w:left="480" w:right="418"/>
        <w:rPr>
          <w:sz w:val="14"/>
        </w:rPr>
      </w:pPr>
      <w:r>
        <w:t>Consistent with the 2021 Study, the 2023 PG Model uses an EUL of 3 years per CPUC Decision 16-08-019, and a rat</w:t>
      </w:r>
      <w:r>
        <w:t>io of 0.000092 kW to kWh was applied to the three electric utilities.</w:t>
      </w:r>
      <w:r>
        <w:rPr>
          <w:spacing w:val="-3"/>
        </w:rPr>
        <w:t xml:space="preserve"> </w:t>
      </w:r>
      <w:r>
        <w:t>The</w:t>
      </w:r>
      <w:r>
        <w:rPr>
          <w:spacing w:val="-4"/>
        </w:rPr>
        <w:t xml:space="preserve"> </w:t>
      </w:r>
      <w:r>
        <w:t>peak</w:t>
      </w:r>
      <w:r>
        <w:rPr>
          <w:spacing w:val="-3"/>
        </w:rPr>
        <w:t xml:space="preserve"> </w:t>
      </w:r>
      <w:r>
        <w:t>kW</w:t>
      </w:r>
      <w:r>
        <w:rPr>
          <w:spacing w:val="-3"/>
        </w:rPr>
        <w:t xml:space="preserve"> </w:t>
      </w:r>
      <w:r>
        <w:t>to</w:t>
      </w:r>
      <w:r>
        <w:rPr>
          <w:spacing w:val="-4"/>
        </w:rPr>
        <w:t xml:space="preserve"> </w:t>
      </w:r>
      <w:r>
        <w:t>kWh</w:t>
      </w:r>
      <w:r>
        <w:rPr>
          <w:spacing w:val="-3"/>
        </w:rPr>
        <w:t xml:space="preserve"> </w:t>
      </w:r>
      <w:r>
        <w:t>value</w:t>
      </w:r>
      <w:r>
        <w:rPr>
          <w:spacing w:val="-3"/>
        </w:rPr>
        <w:t xml:space="preserve"> </w:t>
      </w:r>
      <w:r>
        <w:t>is</w:t>
      </w:r>
      <w:r>
        <w:rPr>
          <w:spacing w:val="-3"/>
        </w:rPr>
        <w:t xml:space="preserve"> </w:t>
      </w:r>
      <w:r>
        <w:t>based</w:t>
      </w:r>
      <w:r>
        <w:rPr>
          <w:spacing w:val="-3"/>
        </w:rPr>
        <w:t xml:space="preserve"> </w:t>
      </w:r>
      <w:r>
        <w:t>on</w:t>
      </w:r>
      <w:r>
        <w:rPr>
          <w:spacing w:val="-4"/>
        </w:rPr>
        <w:t xml:space="preserve"> </w:t>
      </w:r>
      <w:r>
        <w:t>an</w:t>
      </w:r>
      <w:r>
        <w:rPr>
          <w:spacing w:val="-3"/>
        </w:rPr>
        <w:t xml:space="preserve"> </w:t>
      </w:r>
      <w:r>
        <w:t>analysis</w:t>
      </w:r>
      <w:r>
        <w:rPr>
          <w:spacing w:val="-4"/>
        </w:rPr>
        <w:t xml:space="preserve"> </w:t>
      </w:r>
      <w:r>
        <w:t>of</w:t>
      </w:r>
      <w:r>
        <w:rPr>
          <w:spacing w:val="-3"/>
        </w:rPr>
        <w:t xml:space="preserve"> </w:t>
      </w:r>
      <w:r>
        <w:t>several</w:t>
      </w:r>
      <w:r>
        <w:rPr>
          <w:spacing w:val="-3"/>
        </w:rPr>
        <w:t xml:space="preserve"> </w:t>
      </w:r>
      <w:r>
        <w:t>third-party</w:t>
      </w:r>
      <w:r>
        <w:rPr>
          <w:spacing w:val="-3"/>
        </w:rPr>
        <w:t xml:space="preserve"> </w:t>
      </w:r>
      <w:r>
        <w:t>programs operating in California during the 2014-2015 portfolio cycle. This ratio was then updated based on Califo</w:t>
      </w:r>
      <w:r>
        <w:t xml:space="preserve">rnia hourly load profiles to align with the current DEER peak period </w:t>
      </w:r>
      <w:r>
        <w:rPr>
          <w:spacing w:val="-2"/>
        </w:rPr>
        <w:t>definition.</w:t>
      </w:r>
      <w:hyperlink w:history="1" w:anchor="_bookmark374">
        <w:r>
          <w:rPr>
            <w:spacing w:val="-2"/>
            <w:position w:val="7"/>
            <w:sz w:val="14"/>
          </w:rPr>
          <w:t>137</w:t>
        </w:r>
      </w:hyperlink>
    </w:p>
    <w:p w:rsidR="00C31389" w:rsidRDefault="00C31389" w14:paraId="3B763F66" w14:textId="77777777">
      <w:pPr>
        <w:pStyle w:val="BodyText"/>
        <w:spacing w:before="10"/>
        <w:rPr>
          <w:sz w:val="20"/>
        </w:rPr>
      </w:pPr>
    </w:p>
    <w:p w:rsidR="00C31389" w:rsidRDefault="00561FBD" w14:paraId="426B018C" w14:textId="77777777">
      <w:pPr>
        <w:pStyle w:val="Heading7"/>
        <w:ind w:left="479"/>
      </w:pPr>
      <w:r>
        <w:rPr>
          <w:spacing w:val="-4"/>
        </w:rPr>
        <w:t>Cost</w:t>
      </w:r>
    </w:p>
    <w:p w:rsidR="00C31389" w:rsidRDefault="00C31389" w14:paraId="1E273B5E" w14:textId="77777777">
      <w:pPr>
        <w:pStyle w:val="BodyText"/>
        <w:spacing w:before="9"/>
        <w:rPr>
          <w:b/>
          <w:sz w:val="20"/>
        </w:rPr>
      </w:pPr>
    </w:p>
    <w:p w:rsidR="00C31389" w:rsidRDefault="00561FBD" w14:paraId="621D4104" w14:textId="77777777">
      <w:pPr>
        <w:pStyle w:val="BodyText"/>
        <w:ind w:left="479" w:right="418"/>
      </w:pPr>
      <w:r>
        <w:t>Costs</w:t>
      </w:r>
      <w:r>
        <w:rPr>
          <w:spacing w:val="-3"/>
        </w:rPr>
        <w:t xml:space="preserve"> </w:t>
      </w:r>
      <w:r>
        <w:t>for</w:t>
      </w:r>
      <w:r>
        <w:rPr>
          <w:spacing w:val="-3"/>
        </w:rPr>
        <w:t xml:space="preserve"> </w:t>
      </w:r>
      <w:r>
        <w:t>electricity</w:t>
      </w:r>
      <w:r>
        <w:rPr>
          <w:spacing w:val="-3"/>
        </w:rPr>
        <w:t xml:space="preserve"> </w:t>
      </w:r>
      <w:r>
        <w:t>and</w:t>
      </w:r>
      <w:r>
        <w:rPr>
          <w:spacing w:val="-4"/>
        </w:rPr>
        <w:t xml:space="preserve"> </w:t>
      </w:r>
      <w:r>
        <w:t>natural</w:t>
      </w:r>
      <w:r>
        <w:rPr>
          <w:spacing w:val="-3"/>
        </w:rPr>
        <w:t xml:space="preserve"> </w:t>
      </w:r>
      <w:r>
        <w:t>gas</w:t>
      </w:r>
      <w:r>
        <w:rPr>
          <w:spacing w:val="-4"/>
        </w:rPr>
        <w:t xml:space="preserve"> </w:t>
      </w:r>
      <w:r>
        <w:t>savings</w:t>
      </w:r>
      <w:r>
        <w:rPr>
          <w:spacing w:val="-4"/>
        </w:rPr>
        <w:t xml:space="preserve"> </w:t>
      </w:r>
      <w:r>
        <w:t>are</w:t>
      </w:r>
      <w:r>
        <w:rPr>
          <w:spacing w:val="-4"/>
        </w:rPr>
        <w:t xml:space="preserve"> </w:t>
      </w:r>
      <w:r>
        <w:t>estimated</w:t>
      </w:r>
      <w:r>
        <w:rPr>
          <w:spacing w:val="-3"/>
        </w:rPr>
        <w:t xml:space="preserve"> </w:t>
      </w:r>
      <w:r>
        <w:t>at</w:t>
      </w:r>
      <w:r>
        <w:rPr>
          <w:spacing w:val="-3"/>
        </w:rPr>
        <w:t xml:space="preserve"> </w:t>
      </w:r>
      <w:r>
        <w:t>$0.29</w:t>
      </w:r>
      <w:r>
        <w:rPr>
          <w:spacing w:val="-3"/>
        </w:rPr>
        <w:t xml:space="preserve"> </w:t>
      </w:r>
      <w:r>
        <w:t>per</w:t>
      </w:r>
      <w:r>
        <w:rPr>
          <w:spacing w:val="-3"/>
        </w:rPr>
        <w:t xml:space="preserve"> </w:t>
      </w:r>
      <w:r>
        <w:t>kWh</w:t>
      </w:r>
      <w:r>
        <w:rPr>
          <w:spacing w:val="-3"/>
        </w:rPr>
        <w:t xml:space="preserve"> </w:t>
      </w:r>
      <w:r>
        <w:t>and</w:t>
      </w:r>
      <w:r>
        <w:rPr>
          <w:spacing w:val="-3"/>
        </w:rPr>
        <w:t xml:space="preserve"> </w:t>
      </w:r>
      <w:r>
        <w:t>$3.65</w:t>
      </w:r>
      <w:r>
        <w:rPr>
          <w:spacing w:val="-3"/>
        </w:rPr>
        <w:t xml:space="preserve"> </w:t>
      </w:r>
      <w:r>
        <w:t xml:space="preserve">per </w:t>
      </w:r>
      <w:r>
        <w:t>therm; these values are applied consistently by building type across utilities.</w:t>
      </w:r>
    </w:p>
    <w:p w:rsidR="00C31389" w:rsidRDefault="00C31389" w14:paraId="17541551" w14:textId="77777777">
      <w:pPr>
        <w:pStyle w:val="BodyText"/>
        <w:spacing w:before="10"/>
        <w:rPr>
          <w:sz w:val="20"/>
        </w:rPr>
      </w:pPr>
    </w:p>
    <w:p w:rsidR="00C31389" w:rsidRDefault="00561FBD" w14:paraId="0FC27642" w14:textId="77777777">
      <w:pPr>
        <w:pStyle w:val="ListParagraph"/>
        <w:numPr>
          <w:ilvl w:val="1"/>
          <w:numId w:val="19"/>
        </w:numPr>
        <w:tabs>
          <w:tab w:val="left" w:pos="990"/>
        </w:tabs>
        <w:spacing w:before="1"/>
        <w:ind w:left="479" w:right="888" w:firstLine="0"/>
        <w:rPr>
          <w:b/>
          <w:sz w:val="28"/>
        </w:rPr>
      </w:pPr>
      <w:bookmarkStart w:name="D.7_Commercial_–_Building_Energy_and_Inf" w:id="487"/>
      <w:bookmarkStart w:name="_bookmark371" w:id="488"/>
      <w:bookmarkEnd w:id="487"/>
      <w:bookmarkEnd w:id="488"/>
      <w:r>
        <w:rPr>
          <w:b/>
          <w:sz w:val="28"/>
        </w:rPr>
        <w:t>Commercial</w:t>
      </w:r>
      <w:r>
        <w:rPr>
          <w:b/>
          <w:spacing w:val="-5"/>
          <w:sz w:val="28"/>
        </w:rPr>
        <w:t xml:space="preserve"> </w:t>
      </w:r>
      <w:r>
        <w:rPr>
          <w:b/>
          <w:sz w:val="28"/>
        </w:rPr>
        <w:t>–</w:t>
      </w:r>
      <w:r>
        <w:rPr>
          <w:b/>
          <w:spacing w:val="-5"/>
          <w:sz w:val="28"/>
        </w:rPr>
        <w:t xml:space="preserve"> </w:t>
      </w:r>
      <w:r>
        <w:rPr>
          <w:b/>
          <w:sz w:val="28"/>
        </w:rPr>
        <w:t>Building</w:t>
      </w:r>
      <w:r>
        <w:rPr>
          <w:b/>
          <w:spacing w:val="-6"/>
          <w:sz w:val="28"/>
        </w:rPr>
        <w:t xml:space="preserve"> </w:t>
      </w:r>
      <w:r>
        <w:rPr>
          <w:b/>
          <w:sz w:val="28"/>
        </w:rPr>
        <w:t>Energy</w:t>
      </w:r>
      <w:r>
        <w:rPr>
          <w:b/>
          <w:spacing w:val="-5"/>
          <w:sz w:val="28"/>
        </w:rPr>
        <w:t xml:space="preserve"> </w:t>
      </w:r>
      <w:r>
        <w:rPr>
          <w:b/>
          <w:sz w:val="28"/>
        </w:rPr>
        <w:t>and</w:t>
      </w:r>
      <w:r>
        <w:rPr>
          <w:b/>
          <w:spacing w:val="-6"/>
          <w:sz w:val="28"/>
        </w:rPr>
        <w:t xml:space="preserve"> </w:t>
      </w:r>
      <w:r>
        <w:rPr>
          <w:b/>
          <w:sz w:val="28"/>
        </w:rPr>
        <w:t>Information</w:t>
      </w:r>
      <w:r>
        <w:rPr>
          <w:b/>
          <w:spacing w:val="-6"/>
          <w:sz w:val="28"/>
        </w:rPr>
        <w:t xml:space="preserve"> </w:t>
      </w:r>
      <w:r>
        <w:rPr>
          <w:b/>
          <w:sz w:val="28"/>
        </w:rPr>
        <w:t xml:space="preserve">Management </w:t>
      </w:r>
      <w:r>
        <w:rPr>
          <w:b/>
          <w:spacing w:val="-2"/>
          <w:sz w:val="28"/>
        </w:rPr>
        <w:t>Systems</w:t>
      </w:r>
    </w:p>
    <w:p w:rsidR="00C31389" w:rsidRDefault="00C31389" w14:paraId="323F6D70" w14:textId="77777777">
      <w:pPr>
        <w:pStyle w:val="BodyText"/>
        <w:spacing w:before="5"/>
        <w:rPr>
          <w:b/>
          <w:sz w:val="31"/>
        </w:rPr>
      </w:pPr>
    </w:p>
    <w:p w:rsidR="00C31389" w:rsidRDefault="00561FBD" w14:paraId="465622A6" w14:textId="77777777">
      <w:pPr>
        <w:pStyle w:val="ListParagraph"/>
        <w:numPr>
          <w:ilvl w:val="2"/>
          <w:numId w:val="19"/>
        </w:numPr>
        <w:tabs>
          <w:tab w:val="left" w:pos="1197"/>
        </w:tabs>
        <w:ind w:left="1197" w:hanging="717"/>
        <w:rPr>
          <w:b/>
          <w:sz w:val="24"/>
        </w:rPr>
      </w:pPr>
      <w:bookmarkStart w:name="D.7.1_Summary" w:id="489"/>
      <w:bookmarkStart w:name="_bookmark372" w:id="490"/>
      <w:bookmarkEnd w:id="489"/>
      <w:bookmarkEnd w:id="490"/>
      <w:r>
        <w:rPr>
          <w:b/>
          <w:spacing w:val="-2"/>
          <w:sz w:val="24"/>
        </w:rPr>
        <w:t>Summary</w:t>
      </w:r>
    </w:p>
    <w:p w:rsidR="00C31389" w:rsidRDefault="00C31389" w14:paraId="717C26A6" w14:textId="77777777">
      <w:pPr>
        <w:pStyle w:val="BodyText"/>
        <w:spacing w:before="3"/>
        <w:rPr>
          <w:b/>
          <w:sz w:val="23"/>
        </w:rPr>
      </w:pPr>
    </w:p>
    <w:p w:rsidR="00C31389" w:rsidRDefault="00561FBD" w14:paraId="42E3A12B" w14:textId="77777777">
      <w:pPr>
        <w:pStyle w:val="BodyText"/>
        <w:ind w:left="480" w:right="434" w:hanging="1"/>
      </w:pPr>
      <w:r>
        <w:t xml:space="preserve">The potential for building energy and information management systems (BEIMSs) was first </w:t>
      </w:r>
      <w:r>
        <w:t>modeled</w:t>
      </w:r>
      <w:r>
        <w:rPr>
          <w:spacing w:val="-3"/>
        </w:rPr>
        <w:t xml:space="preserve"> </w:t>
      </w:r>
      <w:r>
        <w:t>by</w:t>
      </w:r>
      <w:r>
        <w:rPr>
          <w:spacing w:val="-3"/>
        </w:rPr>
        <w:t xml:space="preserve"> </w:t>
      </w:r>
      <w:r>
        <w:t>Guidehouse</w:t>
      </w:r>
      <w:r>
        <w:rPr>
          <w:spacing w:val="-3"/>
        </w:rPr>
        <w:t xml:space="preserve"> </w:t>
      </w:r>
      <w:r>
        <w:t>(formerly</w:t>
      </w:r>
      <w:r>
        <w:rPr>
          <w:spacing w:val="-3"/>
        </w:rPr>
        <w:t xml:space="preserve"> </w:t>
      </w:r>
      <w:r>
        <w:t>Navigant)</w:t>
      </w:r>
      <w:r>
        <w:rPr>
          <w:spacing w:val="-3"/>
        </w:rPr>
        <w:t xml:space="preserve"> </w:t>
      </w:r>
      <w:r>
        <w:t>as</w:t>
      </w:r>
      <w:r>
        <w:rPr>
          <w:spacing w:val="-4"/>
        </w:rPr>
        <w:t xml:space="preserve"> </w:t>
      </w:r>
      <w:r>
        <w:t>part</w:t>
      </w:r>
      <w:r>
        <w:rPr>
          <w:spacing w:val="-3"/>
        </w:rPr>
        <w:t xml:space="preserve"> </w:t>
      </w:r>
      <w:r>
        <w:t>of</w:t>
      </w:r>
      <w:r>
        <w:rPr>
          <w:spacing w:val="-3"/>
        </w:rPr>
        <w:t xml:space="preserve"> </w:t>
      </w:r>
      <w:r>
        <w:t>the</w:t>
      </w:r>
      <w:r>
        <w:rPr>
          <w:spacing w:val="-3"/>
        </w:rPr>
        <w:t xml:space="preserve"> </w:t>
      </w:r>
      <w:r>
        <w:t>Assembly</w:t>
      </w:r>
      <w:r>
        <w:rPr>
          <w:spacing w:val="-3"/>
        </w:rPr>
        <w:t xml:space="preserve"> </w:t>
      </w:r>
      <w:r>
        <w:t>Bill</w:t>
      </w:r>
      <w:r>
        <w:rPr>
          <w:spacing w:val="-4"/>
        </w:rPr>
        <w:t xml:space="preserve"> </w:t>
      </w:r>
      <w:r>
        <w:t>(AB)</w:t>
      </w:r>
      <w:r>
        <w:rPr>
          <w:spacing w:val="-4"/>
        </w:rPr>
        <w:t xml:space="preserve"> </w:t>
      </w:r>
      <w:r>
        <w:t>802</w:t>
      </w:r>
      <w:r>
        <w:rPr>
          <w:spacing w:val="-3"/>
        </w:rPr>
        <w:t xml:space="preserve"> </w:t>
      </w:r>
      <w:r>
        <w:t>Technical</w:t>
      </w:r>
    </w:p>
    <w:p w:rsidR="00C31389" w:rsidRDefault="00C31389" w14:paraId="31AAD9FF" w14:textId="77777777">
      <w:pPr>
        <w:pStyle w:val="BodyText"/>
        <w:rPr>
          <w:sz w:val="20"/>
        </w:rPr>
      </w:pPr>
    </w:p>
    <w:p w:rsidR="00C31389" w:rsidRDefault="00C31389" w14:paraId="0279CA48" w14:textId="77777777">
      <w:pPr>
        <w:pStyle w:val="BodyText"/>
        <w:rPr>
          <w:sz w:val="20"/>
        </w:rPr>
      </w:pPr>
    </w:p>
    <w:p w:rsidR="00C31389" w:rsidRDefault="00561FBD" w14:paraId="1551D9F1" w14:textId="77777777">
      <w:pPr>
        <w:pStyle w:val="BodyText"/>
        <w:spacing w:before="9"/>
        <w:rPr>
          <w:sz w:val="13"/>
        </w:rPr>
      </w:pPr>
      <w:r>
        <w:rPr>
          <w:noProof/>
        </w:rPr>
        <mc:AlternateContent>
          <mc:Choice Requires="wps">
            <w:drawing>
              <wp:anchor distT="0" distB="0" distL="0" distR="0" simplePos="0" relativeHeight="487723520" behindDoc="1" locked="0" layoutInCell="1" allowOverlap="1" wp14:editId="3990E3CA" wp14:anchorId="2BB0D2BA">
                <wp:simplePos x="0" y="0"/>
                <wp:positionH relativeFrom="page">
                  <wp:posOffset>914400</wp:posOffset>
                </wp:positionH>
                <wp:positionV relativeFrom="paragraph">
                  <wp:posOffset>115919</wp:posOffset>
                </wp:positionV>
                <wp:extent cx="1828800" cy="6985"/>
                <wp:effectExtent l="0" t="0" r="0" b="0"/>
                <wp:wrapTopAndBottom/>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4" style="position:absolute;margin-left:1in;margin-top:9.15pt;width:2in;height:.55pt;z-index:-1559296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" w14:anchorId="6D614FA7">
                <v:path arrowok="t"/>
                <w10:wrap type="topAndBottom" anchorx="page"/>
              </v:shape>
            </w:pict>
          </mc:Fallback>
        </mc:AlternateContent>
      </w:r>
    </w:p>
    <w:p w:rsidR="00C31389" w:rsidRDefault="00561FBD" w14:paraId="0022A55C" w14:textId="77777777">
      <w:pPr>
        <w:spacing w:before="88"/>
        <w:ind w:left="480" w:right="615"/>
        <w:rPr>
          <w:sz w:val="18"/>
        </w:rPr>
      </w:pPr>
      <w:bookmarkStart w:name="_bookmark373" w:id="491"/>
      <w:bookmarkEnd w:id="491"/>
      <w:r>
        <w:rPr>
          <w:position w:val="6"/>
          <w:sz w:val="12"/>
        </w:rPr>
        <w:t>136</w:t>
      </w:r>
      <w:r>
        <w:rPr>
          <w:spacing w:val="13"/>
          <w:position w:val="6"/>
          <w:sz w:val="12"/>
        </w:rPr>
        <w:t xml:space="preserve"> </w:t>
      </w:r>
      <w:r>
        <w:rPr>
          <w:sz w:val="18"/>
        </w:rPr>
        <w:t>Navigant</w:t>
      </w:r>
      <w:r>
        <w:rPr>
          <w:spacing w:val="-4"/>
          <w:sz w:val="18"/>
        </w:rPr>
        <w:t xml:space="preserve"> </w:t>
      </w:r>
      <w:r>
        <w:rPr>
          <w:sz w:val="18"/>
        </w:rPr>
        <w:t>Consulting,</w:t>
      </w:r>
      <w:r>
        <w:rPr>
          <w:spacing w:val="-4"/>
          <w:sz w:val="18"/>
        </w:rPr>
        <w:t xml:space="preserve"> </w:t>
      </w:r>
      <w:r>
        <w:rPr>
          <w:sz w:val="18"/>
        </w:rPr>
        <w:t>Inc.</w:t>
      </w:r>
      <w:r>
        <w:rPr>
          <w:spacing w:val="-4"/>
          <w:sz w:val="18"/>
        </w:rPr>
        <w:t xml:space="preserve"> </w:t>
      </w:r>
      <w:r>
        <w:rPr>
          <w:sz w:val="18"/>
        </w:rPr>
        <w:t>“Section</w:t>
      </w:r>
      <w:r>
        <w:rPr>
          <w:spacing w:val="-5"/>
          <w:sz w:val="18"/>
        </w:rPr>
        <w:t xml:space="preserve"> </w:t>
      </w:r>
      <w:r>
        <w:rPr>
          <w:sz w:val="18"/>
        </w:rPr>
        <w:t>3.7.1</w:t>
      </w:r>
      <w:r>
        <w:rPr>
          <w:spacing w:val="-5"/>
          <w:sz w:val="18"/>
        </w:rPr>
        <w:t xml:space="preserve"> </w:t>
      </w:r>
      <w:r>
        <w:rPr>
          <w:sz w:val="18"/>
        </w:rPr>
        <w:t>Non-Residential</w:t>
      </w:r>
      <w:r>
        <w:rPr>
          <w:spacing w:val="-4"/>
          <w:sz w:val="18"/>
        </w:rPr>
        <w:t xml:space="preserve"> </w:t>
      </w:r>
      <w:r>
        <w:rPr>
          <w:sz w:val="18"/>
        </w:rPr>
        <w:t>Behavior</w:t>
      </w:r>
      <w:r>
        <w:rPr>
          <w:spacing w:val="-4"/>
          <w:sz w:val="18"/>
        </w:rPr>
        <w:t xml:space="preserve"> </w:t>
      </w:r>
      <w:r>
        <w:rPr>
          <w:sz w:val="18"/>
        </w:rPr>
        <w:t>Model</w:t>
      </w:r>
      <w:r>
        <w:rPr>
          <w:spacing w:val="-3"/>
          <w:sz w:val="18"/>
        </w:rPr>
        <w:t xml:space="preserve"> </w:t>
      </w:r>
      <w:r>
        <w:rPr>
          <w:sz w:val="18"/>
        </w:rPr>
        <w:t>Updates,”</w:t>
      </w:r>
      <w:r>
        <w:rPr>
          <w:spacing w:val="-4"/>
          <w:sz w:val="18"/>
        </w:rPr>
        <w:t xml:space="preserve"> </w:t>
      </w:r>
      <w:r>
        <w:rPr>
          <w:i/>
          <w:sz w:val="18"/>
        </w:rPr>
        <w:t>Energy</w:t>
      </w:r>
      <w:r>
        <w:rPr>
          <w:i/>
          <w:spacing w:val="-4"/>
          <w:sz w:val="18"/>
        </w:rPr>
        <w:t xml:space="preserve"> </w:t>
      </w:r>
      <w:r>
        <w:rPr>
          <w:i/>
          <w:sz w:val="18"/>
        </w:rPr>
        <w:t>Efficiency Potential and Goals Study for 2015 and Beyond Stage 1</w:t>
      </w:r>
      <w:r>
        <w:rPr>
          <w:sz w:val="18"/>
        </w:rPr>
        <w:t xml:space="preserve">. </w:t>
      </w:r>
      <w:r>
        <w:rPr>
          <w:sz w:val="18"/>
        </w:rPr>
        <w:t>Final Report., September 25, 2015.</w:t>
      </w:r>
    </w:p>
    <w:p w:rsidR="00C31389" w:rsidRDefault="00561FBD" w14:paraId="4C2E6462" w14:textId="77777777">
      <w:pPr>
        <w:spacing w:before="35"/>
        <w:ind w:left="480" w:right="418"/>
        <w:rPr>
          <w:sz w:val="18"/>
        </w:rPr>
      </w:pPr>
      <w:bookmarkStart w:name="_bookmark374" w:id="492"/>
      <w:bookmarkEnd w:id="492"/>
      <w:r>
        <w:rPr>
          <w:position w:val="6"/>
          <w:sz w:val="12"/>
        </w:rPr>
        <w:t>137</w:t>
      </w:r>
      <w:r>
        <w:rPr>
          <w:spacing w:val="40"/>
          <w:position w:val="6"/>
          <w:sz w:val="12"/>
        </w:rPr>
        <w:t xml:space="preserve"> </w:t>
      </w:r>
      <w:r>
        <w:rPr>
          <w:sz w:val="18"/>
        </w:rPr>
        <w:t xml:space="preserve">CPUC. Resolution E-4952, October 11, 2018. </w:t>
      </w:r>
      <w:hyperlink r:id="rId275">
        <w:r>
          <w:rPr>
            <w:color w:val="68942C"/>
            <w:spacing w:val="-2"/>
            <w:sz w:val="18"/>
            <w:u w:val="single" w:color="68942C"/>
          </w:rPr>
          <w:t>https://docs.cpuc.ca.gov/publisheddocs/published/g000/m232/k459/232459122.pdf</w:t>
        </w:r>
      </w:hyperlink>
    </w:p>
    <w:p w:rsidR="00C31389" w:rsidRDefault="00C31389" w14:paraId="2ACDD2A7" w14:textId="77777777">
      <w:pPr>
        <w:rPr>
          <w:sz w:val="18"/>
        </w:rPr>
        <w:sectPr w:rsidR="00C31389">
          <w:pgSz w:w="11910" w:h="16840"/>
          <w:pgMar w:top="1660" w:right="1020" w:bottom="1120" w:left="960" w:header="397" w:footer="938" w:gutter="0"/>
          <w:cols w:space="720"/>
        </w:sectPr>
      </w:pPr>
    </w:p>
    <w:p w:rsidR="00C31389" w:rsidRDefault="00C31389" w14:paraId="35172ABC" w14:textId="77777777">
      <w:pPr>
        <w:pStyle w:val="BodyText"/>
        <w:spacing w:before="11"/>
        <w:rPr>
          <w:sz w:val="13"/>
        </w:rPr>
      </w:pPr>
    </w:p>
    <w:p w:rsidR="00C31389" w:rsidRDefault="00561FBD" w14:paraId="54CF2E82" w14:textId="77777777">
      <w:pPr>
        <w:pStyle w:val="BodyText"/>
        <w:spacing w:before="92"/>
        <w:ind w:left="480" w:right="434" w:hanging="1"/>
      </w:pPr>
      <w:r>
        <w:t>Analysis.</w:t>
      </w:r>
      <w:hyperlink w:history="1" w:anchor="_bookmark375">
        <w:r>
          <w:rPr>
            <w:position w:val="7"/>
            <w:sz w:val="14"/>
          </w:rPr>
          <w:t>138</w:t>
        </w:r>
      </w:hyperlink>
      <w:r>
        <w:rPr>
          <w:spacing w:val="19"/>
          <w:position w:val="7"/>
          <w:sz w:val="14"/>
        </w:rPr>
        <w:t xml:space="preserve"> </w:t>
      </w:r>
      <w:r>
        <w:t>The</w:t>
      </w:r>
      <w:r>
        <w:rPr>
          <w:spacing w:val="-2"/>
        </w:rPr>
        <w:t xml:space="preserve"> </w:t>
      </w:r>
      <w:r>
        <w:t>Technical</w:t>
      </w:r>
      <w:r>
        <w:rPr>
          <w:spacing w:val="-3"/>
        </w:rPr>
        <w:t xml:space="preserve"> </w:t>
      </w:r>
      <w:r>
        <w:t>Analysis,</w:t>
      </w:r>
      <w:r>
        <w:rPr>
          <w:spacing w:val="-3"/>
        </w:rPr>
        <w:t xml:space="preserve"> </w:t>
      </w:r>
      <w:r>
        <w:t>issued</w:t>
      </w:r>
      <w:r>
        <w:rPr>
          <w:spacing w:val="-2"/>
        </w:rPr>
        <w:t xml:space="preserve"> </w:t>
      </w:r>
      <w:r>
        <w:t>in</w:t>
      </w:r>
      <w:r>
        <w:rPr>
          <w:spacing w:val="-2"/>
        </w:rPr>
        <w:t xml:space="preserve"> </w:t>
      </w:r>
      <w:r>
        <w:t>March</w:t>
      </w:r>
      <w:r>
        <w:rPr>
          <w:spacing w:val="-2"/>
        </w:rPr>
        <w:t xml:space="preserve"> </w:t>
      </w:r>
      <w:r>
        <w:t>2016,</w:t>
      </w:r>
      <w:r>
        <w:rPr>
          <w:spacing w:val="-2"/>
        </w:rPr>
        <w:t xml:space="preserve"> </w:t>
      </w:r>
      <w:r>
        <w:t>was</w:t>
      </w:r>
      <w:r>
        <w:rPr>
          <w:spacing w:val="-2"/>
        </w:rPr>
        <w:t xml:space="preserve"> </w:t>
      </w:r>
      <w:r>
        <w:t>not</w:t>
      </w:r>
      <w:r>
        <w:rPr>
          <w:spacing w:val="-2"/>
        </w:rPr>
        <w:t xml:space="preserve"> </w:t>
      </w:r>
      <w:r>
        <w:t>used</w:t>
      </w:r>
      <w:r>
        <w:rPr>
          <w:spacing w:val="-2"/>
        </w:rPr>
        <w:t xml:space="preserve"> </w:t>
      </w:r>
      <w:r>
        <w:t>at</w:t>
      </w:r>
      <w:r>
        <w:rPr>
          <w:spacing w:val="-3"/>
        </w:rPr>
        <w:t xml:space="preserve"> </w:t>
      </w:r>
      <w:r>
        <w:t>that</w:t>
      </w:r>
      <w:r>
        <w:rPr>
          <w:spacing w:val="-2"/>
        </w:rPr>
        <w:t xml:space="preserve"> </w:t>
      </w:r>
      <w:r>
        <w:t>time</w:t>
      </w:r>
      <w:r>
        <w:rPr>
          <w:spacing w:val="-2"/>
        </w:rPr>
        <w:t xml:space="preserve"> </w:t>
      </w:r>
      <w:r>
        <w:t>to</w:t>
      </w:r>
      <w:r>
        <w:rPr>
          <w:spacing w:val="-2"/>
        </w:rPr>
        <w:t xml:space="preserve"> </w:t>
      </w:r>
      <w:r>
        <w:t>set goals, but was incorporated into the PG Model in 2019.</w:t>
      </w:r>
    </w:p>
    <w:p w:rsidR="00C31389" w:rsidRDefault="00C31389" w14:paraId="2B38249E" w14:textId="77777777">
      <w:pPr>
        <w:pStyle w:val="BodyText"/>
        <w:spacing w:before="9"/>
        <w:rPr>
          <w:sz w:val="20"/>
        </w:rPr>
      </w:pPr>
    </w:p>
    <w:p w:rsidR="00C31389" w:rsidRDefault="00561FBD" w14:paraId="23E190C0" w14:textId="77777777">
      <w:pPr>
        <w:pStyle w:val="BodyText"/>
        <w:spacing w:before="1"/>
        <w:ind w:left="480" w:right="481"/>
      </w:pPr>
      <w:r>
        <w:t>BEIMS includes IT-based monitoring and control systems that provide information on th</w:t>
      </w:r>
      <w:r>
        <w:t>e performance of various components of a building’s infrastructure, including systems related to</w:t>
      </w:r>
      <w:r>
        <w:rPr>
          <w:spacing w:val="-3"/>
        </w:rPr>
        <w:t xml:space="preserve"> </w:t>
      </w:r>
      <w:r>
        <w:t>the</w:t>
      </w:r>
      <w:r>
        <w:rPr>
          <w:spacing w:val="-3"/>
        </w:rPr>
        <w:t xml:space="preserve"> </w:t>
      </w:r>
      <w:r>
        <w:t>envelope,</w:t>
      </w:r>
      <w:r>
        <w:rPr>
          <w:spacing w:val="-3"/>
        </w:rPr>
        <w:t xml:space="preserve"> </w:t>
      </w:r>
      <w:r>
        <w:t>heating</w:t>
      </w:r>
      <w:r>
        <w:rPr>
          <w:spacing w:val="-4"/>
        </w:rPr>
        <w:t xml:space="preserve"> </w:t>
      </w:r>
      <w:r>
        <w:t>and</w:t>
      </w:r>
      <w:r>
        <w:rPr>
          <w:spacing w:val="-3"/>
        </w:rPr>
        <w:t xml:space="preserve"> </w:t>
      </w:r>
      <w:r>
        <w:t>ventilation,</w:t>
      </w:r>
      <w:r>
        <w:rPr>
          <w:spacing w:val="-3"/>
        </w:rPr>
        <w:t xml:space="preserve"> </w:t>
      </w:r>
      <w:r>
        <w:t>lighting,</w:t>
      </w:r>
      <w:r>
        <w:rPr>
          <w:spacing w:val="-4"/>
        </w:rPr>
        <w:t xml:space="preserve"> </w:t>
      </w:r>
      <w:r>
        <w:t>plug</w:t>
      </w:r>
      <w:r>
        <w:rPr>
          <w:spacing w:val="-3"/>
        </w:rPr>
        <w:t xml:space="preserve"> </w:t>
      </w:r>
      <w:r>
        <w:t>load,</w:t>
      </w:r>
      <w:r>
        <w:rPr>
          <w:spacing w:val="-4"/>
        </w:rPr>
        <w:t xml:space="preserve"> </w:t>
      </w:r>
      <w:r>
        <w:t>water</w:t>
      </w:r>
      <w:r>
        <w:rPr>
          <w:spacing w:val="-3"/>
        </w:rPr>
        <w:t xml:space="preserve"> </w:t>
      </w:r>
      <w:r>
        <w:t>use,</w:t>
      </w:r>
      <w:r>
        <w:rPr>
          <w:spacing w:val="-3"/>
        </w:rPr>
        <w:t xml:space="preserve"> </w:t>
      </w:r>
      <w:r>
        <w:t>occupancy,</w:t>
      </w:r>
      <w:r>
        <w:rPr>
          <w:spacing w:val="-3"/>
        </w:rPr>
        <w:t xml:space="preserve"> </w:t>
      </w:r>
      <w:r>
        <w:t>and</w:t>
      </w:r>
      <w:r>
        <w:rPr>
          <w:spacing w:val="-3"/>
        </w:rPr>
        <w:t xml:space="preserve"> </w:t>
      </w:r>
      <w:r>
        <w:t>other critical resources. BEIMS infrastructure primarily consists of soft</w:t>
      </w:r>
      <w:r>
        <w:t>ware, hardware (such as dedicated controllers, sensors, and submeters), and value-added services (including outsourced software management, building maintenance contracts, and others). The PG Model focuses on the potential for BIEMS to change the energy co</w:t>
      </w:r>
      <w:r>
        <w:t>nsumption associated with operating building HVAC systems by applying the following BEIMS technologies:</w:t>
      </w:r>
    </w:p>
    <w:p w:rsidR="00C31389" w:rsidRDefault="00561FBD" w14:paraId="1F7AD6F1" w14:textId="77777777">
      <w:pPr>
        <w:pStyle w:val="ListParagraph"/>
        <w:numPr>
          <w:ilvl w:val="3"/>
          <w:numId w:val="19"/>
        </w:numPr>
        <w:tabs>
          <w:tab w:val="left" w:pos="1200"/>
        </w:tabs>
        <w:spacing w:before="120"/>
        <w:ind w:left="1200"/>
      </w:pPr>
      <w:r>
        <w:t>Energy</w:t>
      </w:r>
      <w:r>
        <w:rPr>
          <w:spacing w:val="-8"/>
        </w:rPr>
        <w:t xml:space="preserve"> </w:t>
      </w:r>
      <w:r>
        <w:rPr>
          <w:spacing w:val="-2"/>
        </w:rPr>
        <w:t>visualization</w:t>
      </w:r>
    </w:p>
    <w:p w:rsidR="00C31389" w:rsidRDefault="00561FBD" w14:paraId="46949013" w14:textId="77777777">
      <w:pPr>
        <w:pStyle w:val="ListParagraph"/>
        <w:numPr>
          <w:ilvl w:val="3"/>
          <w:numId w:val="19"/>
        </w:numPr>
        <w:tabs>
          <w:tab w:val="left" w:pos="1200"/>
        </w:tabs>
        <w:spacing w:before="118"/>
        <w:ind w:left="1200"/>
      </w:pPr>
      <w:r>
        <w:t>Energy</w:t>
      </w:r>
      <w:r>
        <w:rPr>
          <w:spacing w:val="-8"/>
        </w:rPr>
        <w:t xml:space="preserve"> </w:t>
      </w:r>
      <w:r>
        <w:rPr>
          <w:spacing w:val="-2"/>
        </w:rPr>
        <w:t>analytics</w:t>
      </w:r>
    </w:p>
    <w:p w:rsidR="00C31389" w:rsidRDefault="00561FBD" w14:paraId="4C680F67" w14:textId="77777777">
      <w:pPr>
        <w:pStyle w:val="ListParagraph"/>
        <w:numPr>
          <w:ilvl w:val="3"/>
          <w:numId w:val="19"/>
        </w:numPr>
        <w:tabs>
          <w:tab w:val="left" w:pos="1200"/>
        </w:tabs>
        <w:spacing w:before="118"/>
        <w:ind w:left="1200"/>
      </w:pPr>
      <w:r>
        <w:t>Operational</w:t>
      </w:r>
      <w:r>
        <w:rPr>
          <w:spacing w:val="-8"/>
        </w:rPr>
        <w:t xml:space="preserve"> </w:t>
      </w:r>
      <w:r>
        <w:t>control</w:t>
      </w:r>
      <w:r>
        <w:rPr>
          <w:spacing w:val="-8"/>
        </w:rPr>
        <w:t xml:space="preserve"> </w:t>
      </w:r>
      <w:r>
        <w:t>and</w:t>
      </w:r>
      <w:r>
        <w:rPr>
          <w:spacing w:val="-8"/>
        </w:rPr>
        <w:t xml:space="preserve"> </w:t>
      </w:r>
      <w:r>
        <w:t>facility</w:t>
      </w:r>
      <w:r>
        <w:rPr>
          <w:spacing w:val="-7"/>
        </w:rPr>
        <w:t xml:space="preserve"> </w:t>
      </w:r>
      <w:r>
        <w:rPr>
          <w:spacing w:val="-2"/>
        </w:rPr>
        <w:t>management</w:t>
      </w:r>
    </w:p>
    <w:p w:rsidR="00C31389" w:rsidRDefault="00561FBD" w14:paraId="4F23CED7" w14:textId="77777777">
      <w:pPr>
        <w:pStyle w:val="ListParagraph"/>
        <w:numPr>
          <w:ilvl w:val="3"/>
          <w:numId w:val="19"/>
        </w:numPr>
        <w:tabs>
          <w:tab w:val="left" w:pos="1200"/>
        </w:tabs>
        <w:spacing w:before="119"/>
        <w:ind w:left="1200"/>
      </w:pPr>
      <w:r>
        <w:t>Continuous</w:t>
      </w:r>
      <w:r>
        <w:rPr>
          <w:spacing w:val="-13"/>
        </w:rPr>
        <w:t xml:space="preserve"> </w:t>
      </w:r>
      <w:r>
        <w:t>commissioning</w:t>
      </w:r>
      <w:r>
        <w:rPr>
          <w:spacing w:val="-11"/>
        </w:rPr>
        <w:t xml:space="preserve"> </w:t>
      </w:r>
      <w:r>
        <w:t>and</w:t>
      </w:r>
      <w:r>
        <w:rPr>
          <w:spacing w:val="-12"/>
        </w:rPr>
        <w:t xml:space="preserve"> </w:t>
      </w:r>
      <w:r>
        <w:t>self-healing</w:t>
      </w:r>
      <w:r>
        <w:rPr>
          <w:spacing w:val="-11"/>
        </w:rPr>
        <w:t xml:space="preserve"> </w:t>
      </w:r>
      <w:r>
        <w:rPr>
          <w:spacing w:val="-2"/>
        </w:rPr>
        <w:t>buildings</w:t>
      </w:r>
    </w:p>
    <w:p w:rsidR="00C31389" w:rsidRDefault="00C31389" w14:paraId="2BC2E194" w14:textId="77777777">
      <w:pPr>
        <w:pStyle w:val="BodyText"/>
        <w:spacing w:before="9"/>
        <w:rPr>
          <w:sz w:val="20"/>
        </w:rPr>
      </w:pPr>
    </w:p>
    <w:p w:rsidR="00C31389" w:rsidRDefault="00561FBD" w14:paraId="6E54AB93" w14:textId="77777777">
      <w:pPr>
        <w:pStyle w:val="BodyText"/>
        <w:ind w:left="479" w:right="420"/>
      </w:pPr>
      <w:r>
        <w:t xml:space="preserve">In the 2023 </w:t>
      </w:r>
      <w:r>
        <w:t>Study, the Guidehouse team adjusted inputs for select market segments that include a higher concentration of small- and medium-sized facilities based on a review</w:t>
      </w:r>
      <w:r>
        <w:rPr>
          <w:spacing w:val="-1"/>
        </w:rPr>
        <w:t xml:space="preserve"> </w:t>
      </w:r>
      <w:r>
        <w:t>of the Facilities Assessment Service Program (FASP). The FASP is intended to support AB 793 an</w:t>
      </w:r>
      <w:r>
        <w:t>d the associated Commission Resolution E-4820, which mandate all IOUs develop and implement incentive programs targeting small-to-medium business customers that acquire energy</w:t>
      </w:r>
      <w:r>
        <w:rPr>
          <w:spacing w:val="-3"/>
        </w:rPr>
        <w:t xml:space="preserve"> </w:t>
      </w:r>
      <w:r>
        <w:t>management</w:t>
      </w:r>
      <w:r>
        <w:rPr>
          <w:spacing w:val="-3"/>
        </w:rPr>
        <w:t xml:space="preserve"> </w:t>
      </w:r>
      <w:r>
        <w:t>technologies.</w:t>
      </w:r>
      <w:r>
        <w:rPr>
          <w:spacing w:val="-3"/>
        </w:rPr>
        <w:t xml:space="preserve"> </w:t>
      </w:r>
      <w:r>
        <w:t>FASP</w:t>
      </w:r>
      <w:r>
        <w:rPr>
          <w:spacing w:val="-4"/>
        </w:rPr>
        <w:t xml:space="preserve"> </w:t>
      </w:r>
      <w:r>
        <w:t>offerings</w:t>
      </w:r>
      <w:r>
        <w:rPr>
          <w:spacing w:val="-3"/>
        </w:rPr>
        <w:t xml:space="preserve"> </w:t>
      </w:r>
      <w:r>
        <w:t>include</w:t>
      </w:r>
      <w:r>
        <w:rPr>
          <w:spacing w:val="-4"/>
        </w:rPr>
        <w:t xml:space="preserve"> </w:t>
      </w:r>
      <w:r>
        <w:t>a</w:t>
      </w:r>
      <w:r>
        <w:rPr>
          <w:spacing w:val="-4"/>
        </w:rPr>
        <w:t xml:space="preserve"> </w:t>
      </w:r>
      <w:r>
        <w:t>mechanism</w:t>
      </w:r>
      <w:r>
        <w:rPr>
          <w:spacing w:val="-4"/>
        </w:rPr>
        <w:t xml:space="preserve"> </w:t>
      </w:r>
      <w:r>
        <w:t>to</w:t>
      </w:r>
      <w:r>
        <w:rPr>
          <w:spacing w:val="-3"/>
        </w:rPr>
        <w:t xml:space="preserve"> </w:t>
      </w:r>
      <w:r>
        <w:t>incentivize</w:t>
      </w:r>
      <w:r>
        <w:rPr>
          <w:spacing w:val="-3"/>
        </w:rPr>
        <w:t xml:space="preserve"> </w:t>
      </w:r>
      <w:r>
        <w:t>small</w:t>
      </w:r>
      <w:r>
        <w:t>- to-medium business customers to acquire energy management technologies to meet EE savings goals under a pay-for-performance model. Based on a review of FASP, the team adjusted electric and gas UES values for the following building types:</w:t>
      </w:r>
    </w:p>
    <w:p w:rsidR="00C31389" w:rsidRDefault="00561FBD" w14:paraId="41472B2D" w14:textId="77777777">
      <w:pPr>
        <w:pStyle w:val="ListParagraph"/>
        <w:numPr>
          <w:ilvl w:val="3"/>
          <w:numId w:val="19"/>
        </w:numPr>
        <w:tabs>
          <w:tab w:val="left" w:pos="1199"/>
        </w:tabs>
        <w:spacing w:before="119"/>
      </w:pPr>
      <w:r>
        <w:rPr>
          <w:spacing w:val="-2"/>
        </w:rPr>
        <w:t>Grocery</w:t>
      </w:r>
    </w:p>
    <w:p w:rsidR="00C31389" w:rsidRDefault="00561FBD" w14:paraId="62503217" w14:textId="77777777">
      <w:pPr>
        <w:pStyle w:val="ListParagraph"/>
        <w:numPr>
          <w:ilvl w:val="3"/>
          <w:numId w:val="19"/>
        </w:numPr>
        <w:tabs>
          <w:tab w:val="left" w:pos="1199"/>
        </w:tabs>
        <w:spacing w:before="118"/>
      </w:pPr>
      <w:r>
        <w:rPr>
          <w:spacing w:val="-2"/>
        </w:rPr>
        <w:t>Lodging</w:t>
      </w:r>
    </w:p>
    <w:p w:rsidR="00C31389" w:rsidRDefault="00561FBD" w14:paraId="399E86E7" w14:textId="77777777">
      <w:pPr>
        <w:pStyle w:val="ListParagraph"/>
        <w:numPr>
          <w:ilvl w:val="3"/>
          <w:numId w:val="19"/>
        </w:numPr>
        <w:tabs>
          <w:tab w:val="left" w:pos="1199"/>
        </w:tabs>
        <w:spacing w:before="118"/>
      </w:pPr>
      <w:r>
        <w:t>Office</w:t>
      </w:r>
      <w:r>
        <w:rPr>
          <w:spacing w:val="-7"/>
        </w:rPr>
        <w:t xml:space="preserve"> </w:t>
      </w:r>
      <w:r>
        <w:rPr>
          <w:spacing w:val="-2"/>
        </w:rPr>
        <w:t>(Small)</w:t>
      </w:r>
    </w:p>
    <w:p w:rsidR="00C31389" w:rsidRDefault="00561FBD" w14:paraId="11AA3100" w14:textId="77777777">
      <w:pPr>
        <w:pStyle w:val="ListParagraph"/>
        <w:numPr>
          <w:ilvl w:val="3"/>
          <w:numId w:val="19"/>
        </w:numPr>
        <w:tabs>
          <w:tab w:val="left" w:pos="1199"/>
        </w:tabs>
        <w:spacing w:before="119"/>
      </w:pPr>
      <w:r>
        <w:rPr>
          <w:spacing w:val="-2"/>
        </w:rPr>
        <w:t>Restaurant</w:t>
      </w:r>
    </w:p>
    <w:p w:rsidR="00C31389" w:rsidRDefault="00561FBD" w14:paraId="492681C0" w14:textId="77777777">
      <w:pPr>
        <w:pStyle w:val="ListParagraph"/>
        <w:numPr>
          <w:ilvl w:val="3"/>
          <w:numId w:val="19"/>
        </w:numPr>
        <w:tabs>
          <w:tab w:val="left" w:pos="1199"/>
        </w:tabs>
        <w:spacing w:before="118"/>
      </w:pPr>
      <w:r>
        <w:rPr>
          <w:spacing w:val="-2"/>
        </w:rPr>
        <w:t>Retail</w:t>
      </w:r>
    </w:p>
    <w:p w:rsidR="00C31389" w:rsidRDefault="00C31389" w14:paraId="654C77CB" w14:textId="77777777">
      <w:pPr>
        <w:pStyle w:val="BodyText"/>
        <w:spacing w:before="9"/>
        <w:rPr>
          <w:sz w:val="20"/>
        </w:rPr>
      </w:pPr>
    </w:p>
    <w:p w:rsidR="00C31389" w:rsidRDefault="00561FBD" w14:paraId="419C86CE" w14:textId="77777777">
      <w:pPr>
        <w:pStyle w:val="BodyText"/>
        <w:ind w:left="479" w:right="418"/>
      </w:pPr>
      <w:hyperlink w:history="1" w:anchor="_bookmark376">
        <w:r>
          <w:t>Table</w:t>
        </w:r>
        <w:r>
          <w:rPr>
            <w:spacing w:val="-3"/>
          </w:rPr>
          <w:t xml:space="preserve"> </w:t>
        </w:r>
        <w:r>
          <w:t>D-8</w:t>
        </w:r>
      </w:hyperlink>
      <w:r>
        <w:rPr>
          <w:spacing w:val="-3"/>
        </w:rPr>
        <w:t xml:space="preserve"> </w:t>
      </w:r>
      <w:r>
        <w:t>shows</w:t>
      </w:r>
      <w:r>
        <w:rPr>
          <w:spacing w:val="-3"/>
        </w:rPr>
        <w:t xml:space="preserve"> </w:t>
      </w:r>
      <w:r>
        <w:t>the</w:t>
      </w:r>
      <w:r>
        <w:rPr>
          <w:spacing w:val="-3"/>
        </w:rPr>
        <w:t xml:space="preserve"> </w:t>
      </w:r>
      <w:r>
        <w:t>unit</w:t>
      </w:r>
      <w:r>
        <w:rPr>
          <w:spacing w:val="-3"/>
        </w:rPr>
        <w:t xml:space="preserve"> </w:t>
      </w:r>
      <w:r>
        <w:t>energy</w:t>
      </w:r>
      <w:r>
        <w:rPr>
          <w:spacing w:val="-3"/>
        </w:rPr>
        <w:t xml:space="preserve"> </w:t>
      </w:r>
      <w:r>
        <w:t>savings</w:t>
      </w:r>
      <w:r>
        <w:rPr>
          <w:spacing w:val="-3"/>
        </w:rPr>
        <w:t xml:space="preserve"> </w:t>
      </w:r>
      <w:r>
        <w:t>(UES)</w:t>
      </w:r>
      <w:r>
        <w:rPr>
          <w:spacing w:val="-3"/>
        </w:rPr>
        <w:t xml:space="preserve"> </w:t>
      </w:r>
      <w:r>
        <w:t>value</w:t>
      </w:r>
      <w:r>
        <w:rPr>
          <w:spacing w:val="-3"/>
        </w:rPr>
        <w:t xml:space="preserve"> </w:t>
      </w:r>
      <w:r>
        <w:t>used</w:t>
      </w:r>
      <w:r>
        <w:rPr>
          <w:spacing w:val="-3"/>
        </w:rPr>
        <w:t xml:space="preserve"> </w:t>
      </w:r>
      <w:r>
        <w:t>for</w:t>
      </w:r>
      <w:r>
        <w:rPr>
          <w:spacing w:val="-3"/>
        </w:rPr>
        <w:t xml:space="preserve"> </w:t>
      </w:r>
      <w:r>
        <w:t>these</w:t>
      </w:r>
      <w:r>
        <w:rPr>
          <w:spacing w:val="-3"/>
        </w:rPr>
        <w:t xml:space="preserve"> </w:t>
      </w:r>
      <w:r>
        <w:t>segments</w:t>
      </w:r>
      <w:r>
        <w:rPr>
          <w:spacing w:val="-3"/>
        </w:rPr>
        <w:t xml:space="preserve"> </w:t>
      </w:r>
      <w:r>
        <w:t>for</w:t>
      </w:r>
      <w:r>
        <w:rPr>
          <w:spacing w:val="-3"/>
        </w:rPr>
        <w:t xml:space="preserve"> </w:t>
      </w:r>
      <w:r>
        <w:t>the</w:t>
      </w:r>
      <w:r>
        <w:rPr>
          <w:spacing w:val="-3"/>
        </w:rPr>
        <w:t xml:space="preserve"> </w:t>
      </w:r>
      <w:r>
        <w:t>2019 and 2021 studies.</w:t>
      </w:r>
    </w:p>
    <w:p w:rsidR="00C31389" w:rsidRDefault="00C31389" w14:paraId="2CEC616E" w14:textId="77777777">
      <w:pPr>
        <w:pStyle w:val="BodyText"/>
        <w:rPr>
          <w:sz w:val="20"/>
        </w:rPr>
      </w:pPr>
    </w:p>
    <w:p w:rsidR="00C31389" w:rsidRDefault="00C31389" w14:paraId="03629594" w14:textId="77777777">
      <w:pPr>
        <w:pStyle w:val="BodyText"/>
        <w:rPr>
          <w:sz w:val="20"/>
        </w:rPr>
      </w:pPr>
    </w:p>
    <w:p w:rsidR="00C31389" w:rsidRDefault="00C31389" w14:paraId="7810EF5B" w14:textId="77777777">
      <w:pPr>
        <w:pStyle w:val="BodyText"/>
        <w:rPr>
          <w:sz w:val="20"/>
        </w:rPr>
      </w:pPr>
    </w:p>
    <w:p w:rsidR="00C31389" w:rsidRDefault="00C31389" w14:paraId="3CBB76C9" w14:textId="77777777">
      <w:pPr>
        <w:pStyle w:val="BodyText"/>
        <w:rPr>
          <w:sz w:val="20"/>
        </w:rPr>
      </w:pPr>
    </w:p>
    <w:p w:rsidR="00C31389" w:rsidRDefault="00C31389" w14:paraId="7EC8D941" w14:textId="77777777">
      <w:pPr>
        <w:pStyle w:val="BodyText"/>
        <w:rPr>
          <w:sz w:val="20"/>
        </w:rPr>
      </w:pPr>
    </w:p>
    <w:p w:rsidR="00C31389" w:rsidRDefault="00C31389" w14:paraId="7A438374" w14:textId="77777777">
      <w:pPr>
        <w:pStyle w:val="BodyText"/>
        <w:rPr>
          <w:sz w:val="20"/>
        </w:rPr>
      </w:pPr>
    </w:p>
    <w:p w:rsidR="00C31389" w:rsidRDefault="00C31389" w14:paraId="0B16E843" w14:textId="77777777">
      <w:pPr>
        <w:pStyle w:val="BodyText"/>
        <w:rPr>
          <w:sz w:val="20"/>
        </w:rPr>
      </w:pPr>
    </w:p>
    <w:p w:rsidR="00C31389" w:rsidRDefault="00C31389" w14:paraId="08D91435" w14:textId="77777777">
      <w:pPr>
        <w:pStyle w:val="BodyText"/>
        <w:rPr>
          <w:sz w:val="20"/>
        </w:rPr>
      </w:pPr>
    </w:p>
    <w:p w:rsidR="00C31389" w:rsidRDefault="00C31389" w14:paraId="0AE8DBC5" w14:textId="77777777">
      <w:pPr>
        <w:pStyle w:val="BodyText"/>
        <w:rPr>
          <w:sz w:val="20"/>
        </w:rPr>
      </w:pPr>
    </w:p>
    <w:p w:rsidR="00C31389" w:rsidRDefault="00C31389" w14:paraId="2243D5FB" w14:textId="77777777">
      <w:pPr>
        <w:pStyle w:val="BodyText"/>
        <w:rPr>
          <w:sz w:val="20"/>
        </w:rPr>
      </w:pPr>
    </w:p>
    <w:p w:rsidR="00C31389" w:rsidRDefault="00C31389" w14:paraId="1F74C79E" w14:textId="77777777">
      <w:pPr>
        <w:pStyle w:val="BodyText"/>
        <w:rPr>
          <w:sz w:val="20"/>
        </w:rPr>
      </w:pPr>
    </w:p>
    <w:p w:rsidR="00C31389" w:rsidRDefault="00C31389" w14:paraId="5E1AAC2C" w14:textId="77777777">
      <w:pPr>
        <w:pStyle w:val="BodyText"/>
        <w:rPr>
          <w:sz w:val="20"/>
        </w:rPr>
      </w:pPr>
    </w:p>
    <w:p w:rsidR="00C31389" w:rsidRDefault="00C31389" w14:paraId="404C0188" w14:textId="77777777">
      <w:pPr>
        <w:pStyle w:val="BodyText"/>
        <w:rPr>
          <w:sz w:val="20"/>
        </w:rPr>
      </w:pPr>
    </w:p>
    <w:p w:rsidR="00C31389" w:rsidRDefault="00C31389" w14:paraId="3EE38750" w14:textId="77777777">
      <w:pPr>
        <w:pStyle w:val="BodyText"/>
        <w:rPr>
          <w:sz w:val="20"/>
        </w:rPr>
      </w:pPr>
    </w:p>
    <w:p w:rsidR="00C31389" w:rsidRDefault="00561FBD" w14:paraId="39CAD7C9" w14:textId="77777777">
      <w:pPr>
        <w:pStyle w:val="BodyText"/>
        <w:spacing w:before="10"/>
        <w:rPr>
          <w:sz w:val="13"/>
        </w:rPr>
      </w:pPr>
      <w:r>
        <w:rPr>
          <w:noProof/>
        </w:rPr>
        <mc:AlternateContent>
          <mc:Choice Requires="wps">
            <w:drawing>
              <wp:anchor distT="0" distB="0" distL="0" distR="0" simplePos="0" relativeHeight="487724032" behindDoc="1" locked="0" layoutInCell="1" allowOverlap="1" wp14:editId="68793174" wp14:anchorId="067F9B65">
                <wp:simplePos x="0" y="0"/>
                <wp:positionH relativeFrom="page">
                  <wp:posOffset>914400</wp:posOffset>
                </wp:positionH>
                <wp:positionV relativeFrom="paragraph">
                  <wp:posOffset>116968</wp:posOffset>
                </wp:positionV>
                <wp:extent cx="1828800" cy="6985"/>
                <wp:effectExtent l="0" t="0" r="0" b="0"/>
                <wp:wrapTopAndBottom/>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5" style="position:absolute;margin-left:1in;margin-top:9.2pt;width:2in;height:.55pt;z-index:-1559244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" w14:anchorId="28E75B09">
                <v:path arrowok="t"/>
                <w10:wrap type="topAndBottom" anchorx="page"/>
              </v:shape>
            </w:pict>
          </mc:Fallback>
        </mc:AlternateContent>
      </w:r>
    </w:p>
    <w:p w:rsidR="00C31389" w:rsidRDefault="00561FBD" w14:paraId="35C51E0D" w14:textId="77777777">
      <w:pPr>
        <w:spacing w:before="88"/>
        <w:ind w:left="480" w:right="418"/>
        <w:rPr>
          <w:sz w:val="18"/>
        </w:rPr>
      </w:pPr>
      <w:bookmarkStart w:name="_bookmark375" w:id="493"/>
      <w:bookmarkEnd w:id="493"/>
      <w:r>
        <w:rPr>
          <w:position w:val="6"/>
          <w:sz w:val="12"/>
        </w:rPr>
        <w:t>138</w:t>
      </w:r>
      <w:r>
        <w:rPr>
          <w:spacing w:val="14"/>
          <w:position w:val="6"/>
          <w:sz w:val="12"/>
        </w:rPr>
        <w:t xml:space="preserve"> </w:t>
      </w:r>
      <w:r>
        <w:rPr>
          <w:sz w:val="18"/>
        </w:rPr>
        <w:t>Navigant</w:t>
      </w:r>
      <w:r>
        <w:rPr>
          <w:spacing w:val="-3"/>
          <w:sz w:val="18"/>
        </w:rPr>
        <w:t xml:space="preserve"> </w:t>
      </w:r>
      <w:r>
        <w:rPr>
          <w:sz w:val="18"/>
        </w:rPr>
        <w:t>Consulting,</w:t>
      </w:r>
      <w:r>
        <w:rPr>
          <w:spacing w:val="-3"/>
          <w:sz w:val="18"/>
        </w:rPr>
        <w:t xml:space="preserve"> </w:t>
      </w:r>
      <w:r>
        <w:rPr>
          <w:sz w:val="18"/>
        </w:rPr>
        <w:t>Inc.,</w:t>
      </w:r>
      <w:r>
        <w:rPr>
          <w:spacing w:val="-3"/>
          <w:sz w:val="18"/>
        </w:rPr>
        <w:t xml:space="preserve"> </w:t>
      </w:r>
      <w:r>
        <w:rPr>
          <w:i/>
          <w:sz w:val="18"/>
        </w:rPr>
        <w:t>AB</w:t>
      </w:r>
      <w:r>
        <w:rPr>
          <w:i/>
          <w:spacing w:val="-3"/>
          <w:sz w:val="18"/>
        </w:rPr>
        <w:t xml:space="preserve"> </w:t>
      </w:r>
      <w:r>
        <w:rPr>
          <w:i/>
          <w:sz w:val="18"/>
        </w:rPr>
        <w:t>802</w:t>
      </w:r>
      <w:r>
        <w:rPr>
          <w:i/>
          <w:spacing w:val="-3"/>
          <w:sz w:val="18"/>
        </w:rPr>
        <w:t xml:space="preserve"> </w:t>
      </w:r>
      <w:r>
        <w:rPr>
          <w:i/>
          <w:sz w:val="18"/>
        </w:rPr>
        <w:t>Technical</w:t>
      </w:r>
      <w:r>
        <w:rPr>
          <w:i/>
          <w:spacing w:val="-3"/>
          <w:sz w:val="18"/>
        </w:rPr>
        <w:t xml:space="preserve"> </w:t>
      </w:r>
      <w:r>
        <w:rPr>
          <w:i/>
          <w:sz w:val="18"/>
        </w:rPr>
        <w:t>Analysis,</w:t>
      </w:r>
      <w:r>
        <w:rPr>
          <w:i/>
          <w:spacing w:val="-3"/>
          <w:sz w:val="18"/>
        </w:rPr>
        <w:t xml:space="preserve"> </w:t>
      </w:r>
      <w:r>
        <w:rPr>
          <w:i/>
          <w:sz w:val="18"/>
        </w:rPr>
        <w:t>Potential</w:t>
      </w:r>
      <w:r>
        <w:rPr>
          <w:i/>
          <w:spacing w:val="-3"/>
          <w:sz w:val="18"/>
        </w:rPr>
        <w:t xml:space="preserve"> </w:t>
      </w:r>
      <w:r>
        <w:rPr>
          <w:i/>
          <w:sz w:val="18"/>
        </w:rPr>
        <w:t>Savings</w:t>
      </w:r>
      <w:r>
        <w:rPr>
          <w:i/>
          <w:spacing w:val="-3"/>
          <w:sz w:val="18"/>
        </w:rPr>
        <w:t xml:space="preserve"> </w:t>
      </w:r>
      <w:r>
        <w:rPr>
          <w:i/>
          <w:sz w:val="18"/>
        </w:rPr>
        <w:t>Analysis</w:t>
      </w:r>
      <w:r>
        <w:rPr>
          <w:sz w:val="18"/>
        </w:rPr>
        <w:t>.</w:t>
      </w:r>
      <w:r>
        <w:rPr>
          <w:spacing w:val="-3"/>
          <w:sz w:val="18"/>
        </w:rPr>
        <w:t xml:space="preserve"> </w:t>
      </w:r>
      <w:r>
        <w:rPr>
          <w:sz w:val="18"/>
        </w:rPr>
        <w:t>Reference</w:t>
      </w:r>
      <w:r>
        <w:rPr>
          <w:spacing w:val="-4"/>
          <w:sz w:val="18"/>
        </w:rPr>
        <w:t xml:space="preserve"> </w:t>
      </w:r>
      <w:r>
        <w:rPr>
          <w:sz w:val="18"/>
        </w:rPr>
        <w:t>No.:</w:t>
      </w:r>
      <w:r>
        <w:rPr>
          <w:spacing w:val="-3"/>
          <w:sz w:val="18"/>
        </w:rPr>
        <w:t xml:space="preserve"> </w:t>
      </w:r>
      <w:r>
        <w:rPr>
          <w:sz w:val="18"/>
        </w:rPr>
        <w:t>174655. March 31, 2016</w:t>
      </w:r>
    </w:p>
    <w:p w:rsidR="00C31389" w:rsidRDefault="00C31389" w14:paraId="661E9F01" w14:textId="77777777">
      <w:pPr>
        <w:rPr>
          <w:sz w:val="18"/>
        </w:rPr>
        <w:sectPr w:rsidR="00C31389">
          <w:pgSz w:w="11910" w:h="16840"/>
          <w:pgMar w:top="1660" w:right="1020" w:bottom="1120" w:left="960" w:header="397" w:footer="938" w:gutter="0"/>
          <w:cols w:space="720"/>
        </w:sectPr>
      </w:pPr>
    </w:p>
    <w:p w:rsidR="00C31389" w:rsidRDefault="00C31389" w14:paraId="3FC6D1BD" w14:textId="77777777">
      <w:pPr>
        <w:pStyle w:val="BodyText"/>
        <w:spacing w:before="11"/>
        <w:rPr>
          <w:sz w:val="13"/>
        </w:rPr>
      </w:pPr>
    </w:p>
    <w:p w:rsidR="00C31389" w:rsidRDefault="00561FBD" w14:paraId="49691A79" w14:textId="77777777">
      <w:pPr>
        <w:pStyle w:val="Heading7"/>
        <w:spacing w:before="92"/>
        <w:ind w:left="398" w:right="340"/>
        <w:jc w:val="center"/>
      </w:pPr>
      <w:bookmarkStart w:name="_bookmark376" w:id="494"/>
      <w:bookmarkEnd w:id="494"/>
      <w:r>
        <w:t>Table</w:t>
      </w:r>
      <w:r>
        <w:rPr>
          <w:spacing w:val="-6"/>
        </w:rPr>
        <w:t xml:space="preserve"> </w:t>
      </w:r>
      <w:r>
        <w:t>D-8.</w:t>
      </w:r>
      <w:r>
        <w:rPr>
          <w:spacing w:val="-7"/>
        </w:rPr>
        <w:t xml:space="preserve"> </w:t>
      </w:r>
      <w:r>
        <w:t>Changes</w:t>
      </w:r>
      <w:r>
        <w:rPr>
          <w:spacing w:val="-6"/>
        </w:rPr>
        <w:t xml:space="preserve"> </w:t>
      </w:r>
      <w:r>
        <w:t>in</w:t>
      </w:r>
      <w:r>
        <w:rPr>
          <w:spacing w:val="-6"/>
        </w:rPr>
        <w:t xml:space="preserve"> </w:t>
      </w:r>
      <w:r>
        <w:t>UES</w:t>
      </w:r>
      <w:r>
        <w:rPr>
          <w:spacing w:val="-5"/>
        </w:rPr>
        <w:t xml:space="preserve"> </w:t>
      </w:r>
      <w:r>
        <w:t>Values</w:t>
      </w:r>
      <w:r>
        <w:rPr>
          <w:spacing w:val="-6"/>
        </w:rPr>
        <w:t xml:space="preserve"> </w:t>
      </w:r>
      <w:r>
        <w:t>for</w:t>
      </w:r>
      <w:r>
        <w:rPr>
          <w:spacing w:val="-7"/>
        </w:rPr>
        <w:t xml:space="preserve"> </w:t>
      </w:r>
      <w:r>
        <w:t>BEIMS</w:t>
      </w:r>
      <w:r>
        <w:rPr>
          <w:spacing w:val="-6"/>
        </w:rPr>
        <w:t xml:space="preserve"> </w:t>
      </w:r>
      <w:r>
        <w:t>Based</w:t>
      </w:r>
      <w:r>
        <w:rPr>
          <w:spacing w:val="-6"/>
        </w:rPr>
        <w:t xml:space="preserve"> </w:t>
      </w:r>
      <w:r>
        <w:t>on</w:t>
      </w:r>
      <w:r>
        <w:rPr>
          <w:spacing w:val="-5"/>
        </w:rPr>
        <w:t xml:space="preserve"> </w:t>
      </w:r>
      <w:r>
        <w:rPr>
          <w:spacing w:val="-4"/>
        </w:rPr>
        <w:t>FASP</w:t>
      </w:r>
    </w:p>
    <w:p w:rsidR="00C31389" w:rsidRDefault="00C31389" w14:paraId="6029737D" w14:textId="77777777">
      <w:pPr>
        <w:pStyle w:val="BodyText"/>
        <w:spacing w:before="7" w:after="1"/>
        <w:rPr>
          <w:b/>
          <w:sz w:val="9"/>
        </w:rPr>
      </w:pPr>
    </w:p>
    <w:tbl>
      <w:tblPr>
        <w:tblW w:w="0" w:type="auto"/>
        <w:tblInd w:w="2342" w:type="dxa"/>
        <w:tblLayout w:type="fixed"/>
        <w:tblCellMar>
          <w:left w:w="0" w:type="dxa"/>
          <w:right w:w="0" w:type="dxa"/>
        </w:tblCellMar>
        <w:tblLook w:val="01E0" w:firstRow="1" w:lastRow="1" w:firstColumn="1" w:lastColumn="1" w:noHBand="0" w:noVBand="0"/>
      </w:tblPr>
      <w:tblGrid>
        <w:gridCol w:w="1291"/>
        <w:gridCol w:w="1293"/>
        <w:gridCol w:w="1605"/>
        <w:gridCol w:w="1126"/>
      </w:tblGrid>
      <w:tr w:rsidR="00C31389" w14:paraId="5E398CE8" w14:textId="77777777">
        <w:trPr>
          <w:trHeight w:val="323"/>
        </w:trPr>
        <w:tc>
          <w:tcPr>
            <w:tcW w:w="1291" w:type="dxa"/>
            <w:vMerge w:val="restart"/>
            <w:shd w:val="clear" w:color="auto" w:fill="92D400"/>
          </w:tcPr>
          <w:p w:rsidR="00C31389" w:rsidRDefault="00C31389" w14:paraId="314072F4" w14:textId="77777777">
            <w:pPr>
              <w:pStyle w:val="TableParagraph"/>
              <w:spacing w:before="9"/>
              <w:rPr>
                <w:b/>
                <w:sz w:val="17"/>
              </w:rPr>
            </w:pPr>
          </w:p>
          <w:p w:rsidR="00C31389" w:rsidRDefault="00561FBD" w14:paraId="1086CDBD" w14:textId="77777777">
            <w:pPr>
              <w:pStyle w:val="TableParagraph"/>
              <w:spacing w:before="0"/>
              <w:ind w:left="115"/>
              <w:rPr>
                <w:b/>
                <w:sz w:val="20"/>
              </w:rPr>
            </w:pPr>
            <w:r>
              <w:rPr>
                <w:b/>
                <w:spacing w:val="-2"/>
                <w:sz w:val="20"/>
              </w:rPr>
              <w:t>Utility</w:t>
            </w:r>
          </w:p>
        </w:tc>
        <w:tc>
          <w:tcPr>
            <w:tcW w:w="1293" w:type="dxa"/>
            <w:vMerge w:val="restart"/>
            <w:shd w:val="clear" w:color="auto" w:fill="92D400"/>
          </w:tcPr>
          <w:p w:rsidR="00C31389" w:rsidRDefault="00C31389" w14:paraId="1E8F8FFF" w14:textId="77777777">
            <w:pPr>
              <w:pStyle w:val="TableParagraph"/>
              <w:spacing w:before="9"/>
              <w:rPr>
                <w:b/>
                <w:sz w:val="17"/>
              </w:rPr>
            </w:pPr>
          </w:p>
          <w:p w:rsidR="00C31389" w:rsidRDefault="00561FBD" w14:paraId="0493F64B" w14:textId="77777777">
            <w:pPr>
              <w:pStyle w:val="TableParagraph"/>
              <w:spacing w:before="0"/>
              <w:ind w:left="115"/>
              <w:rPr>
                <w:b/>
                <w:sz w:val="20"/>
              </w:rPr>
            </w:pPr>
            <w:r>
              <w:rPr>
                <w:b/>
                <w:spacing w:val="-4"/>
                <w:sz w:val="20"/>
              </w:rPr>
              <w:t>Study</w:t>
            </w:r>
          </w:p>
        </w:tc>
        <w:tc>
          <w:tcPr>
            <w:tcW w:w="2731" w:type="dxa"/>
            <w:gridSpan w:val="2"/>
            <w:shd w:val="clear" w:color="auto" w:fill="92D400"/>
          </w:tcPr>
          <w:p w:rsidR="00C31389" w:rsidRDefault="00561FBD" w14:paraId="3B5C47C1" w14:textId="77777777">
            <w:pPr>
              <w:pStyle w:val="TableParagraph"/>
              <w:ind w:left="937"/>
              <w:rPr>
                <w:b/>
                <w:sz w:val="20"/>
              </w:rPr>
            </w:pPr>
            <w:r>
              <w:rPr>
                <w:b/>
                <w:sz w:val="20"/>
              </w:rPr>
              <w:t>Average</w:t>
            </w:r>
            <w:r>
              <w:rPr>
                <w:b/>
                <w:spacing w:val="-4"/>
                <w:sz w:val="20"/>
              </w:rPr>
              <w:t xml:space="preserve"> </w:t>
            </w:r>
            <w:r>
              <w:rPr>
                <w:b/>
                <w:spacing w:val="-5"/>
                <w:sz w:val="20"/>
              </w:rPr>
              <w:t>UES</w:t>
            </w:r>
          </w:p>
        </w:tc>
      </w:tr>
      <w:tr w:rsidR="00C31389" w14:paraId="1365F9B1" w14:textId="77777777">
        <w:trPr>
          <w:trHeight w:val="325"/>
        </w:trPr>
        <w:tc>
          <w:tcPr>
            <w:tcW w:w="1291" w:type="dxa"/>
            <w:vMerge/>
            <w:tcBorders>
              <w:top w:val="nil"/>
            </w:tcBorders>
            <w:shd w:val="clear" w:color="auto" w:fill="92D400"/>
          </w:tcPr>
          <w:p w:rsidR="00C31389" w:rsidRDefault="00C31389" w14:paraId="60DF794B" w14:textId="77777777">
            <w:pPr>
              <w:rPr>
                <w:sz w:val="2"/>
                <w:szCs w:val="2"/>
              </w:rPr>
            </w:pPr>
          </w:p>
        </w:tc>
        <w:tc>
          <w:tcPr>
            <w:tcW w:w="1293" w:type="dxa"/>
            <w:vMerge/>
            <w:tcBorders>
              <w:top w:val="nil"/>
            </w:tcBorders>
            <w:shd w:val="clear" w:color="auto" w:fill="92D400"/>
          </w:tcPr>
          <w:p w:rsidR="00C31389" w:rsidRDefault="00C31389" w14:paraId="783D2A5A" w14:textId="77777777">
            <w:pPr>
              <w:rPr>
                <w:sz w:val="2"/>
                <w:szCs w:val="2"/>
              </w:rPr>
            </w:pPr>
          </w:p>
        </w:tc>
        <w:tc>
          <w:tcPr>
            <w:tcW w:w="1605" w:type="dxa"/>
            <w:shd w:val="clear" w:color="auto" w:fill="92D400"/>
          </w:tcPr>
          <w:p w:rsidR="00C31389" w:rsidRDefault="00561FBD" w14:paraId="5D8EC56A" w14:textId="77777777">
            <w:pPr>
              <w:pStyle w:val="TableParagraph"/>
              <w:spacing w:before="47"/>
              <w:ind w:right="257"/>
              <w:jc w:val="right"/>
              <w:rPr>
                <w:b/>
                <w:sz w:val="20"/>
              </w:rPr>
            </w:pPr>
            <w:r>
              <w:rPr>
                <w:b/>
                <w:spacing w:val="-2"/>
                <w:sz w:val="20"/>
              </w:rPr>
              <w:t>Electric</w:t>
            </w:r>
          </w:p>
        </w:tc>
        <w:tc>
          <w:tcPr>
            <w:tcW w:w="1126" w:type="dxa"/>
            <w:shd w:val="clear" w:color="auto" w:fill="92D400"/>
          </w:tcPr>
          <w:p w:rsidR="00C31389" w:rsidRDefault="00561FBD" w14:paraId="49386420" w14:textId="77777777">
            <w:pPr>
              <w:pStyle w:val="TableParagraph"/>
              <w:spacing w:before="47"/>
              <w:ind w:left="252" w:right="285"/>
              <w:jc w:val="center"/>
              <w:rPr>
                <w:b/>
                <w:sz w:val="20"/>
              </w:rPr>
            </w:pPr>
            <w:r>
              <w:rPr>
                <w:b/>
                <w:spacing w:val="-5"/>
                <w:sz w:val="20"/>
              </w:rPr>
              <w:t>Gas</w:t>
            </w:r>
          </w:p>
        </w:tc>
      </w:tr>
      <w:tr w:rsidR="00C31389" w14:paraId="4B8A5554" w14:textId="77777777">
        <w:trPr>
          <w:trHeight w:val="310"/>
        </w:trPr>
        <w:tc>
          <w:tcPr>
            <w:tcW w:w="1291" w:type="dxa"/>
            <w:vMerge w:val="restart"/>
            <w:tcBorders>
              <w:bottom w:val="single" w:color="D9D9D9" w:sz="2" w:space="0"/>
            </w:tcBorders>
          </w:tcPr>
          <w:p w:rsidR="00C31389" w:rsidRDefault="00C31389" w14:paraId="4A28BB84" w14:textId="77777777">
            <w:pPr>
              <w:pStyle w:val="TableParagraph"/>
              <w:spacing w:before="3"/>
              <w:rPr>
                <w:b/>
                <w:sz w:val="17"/>
              </w:rPr>
            </w:pPr>
          </w:p>
          <w:p w:rsidR="00C31389" w:rsidRDefault="00561FBD" w14:paraId="17AE83FB" w14:textId="77777777">
            <w:pPr>
              <w:pStyle w:val="TableParagraph"/>
              <w:spacing w:before="0"/>
              <w:ind w:left="115"/>
              <w:rPr>
                <w:sz w:val="20"/>
              </w:rPr>
            </w:pPr>
            <w:r>
              <w:rPr>
                <w:spacing w:val="-4"/>
                <w:sz w:val="20"/>
              </w:rPr>
              <w:t>PG&amp;E</w:t>
            </w:r>
          </w:p>
        </w:tc>
        <w:tc>
          <w:tcPr>
            <w:tcW w:w="1293" w:type="dxa"/>
            <w:tcBorders>
              <w:bottom w:val="single" w:color="D9D9D9" w:sz="2" w:space="0"/>
            </w:tcBorders>
          </w:tcPr>
          <w:p w:rsidR="00C31389" w:rsidRDefault="00561FBD" w14:paraId="1D0A0389" w14:textId="77777777">
            <w:pPr>
              <w:pStyle w:val="TableParagraph"/>
              <w:ind w:left="115"/>
              <w:rPr>
                <w:sz w:val="20"/>
              </w:rPr>
            </w:pPr>
            <w:r>
              <w:rPr>
                <w:spacing w:val="-4"/>
                <w:sz w:val="20"/>
              </w:rPr>
              <w:t>2019</w:t>
            </w:r>
          </w:p>
        </w:tc>
        <w:tc>
          <w:tcPr>
            <w:tcW w:w="1605" w:type="dxa"/>
            <w:tcBorders>
              <w:bottom w:val="single" w:color="D9D9D9" w:sz="2" w:space="0"/>
            </w:tcBorders>
          </w:tcPr>
          <w:p w:rsidR="00C31389" w:rsidRDefault="00561FBD" w14:paraId="24365FF6" w14:textId="77777777">
            <w:pPr>
              <w:pStyle w:val="TableParagraph"/>
              <w:ind w:right="334"/>
              <w:jc w:val="right"/>
              <w:rPr>
                <w:sz w:val="20"/>
              </w:rPr>
            </w:pPr>
            <w:r>
              <w:rPr>
                <w:spacing w:val="-4"/>
                <w:sz w:val="20"/>
              </w:rPr>
              <w:t>2.12%</w:t>
            </w:r>
          </w:p>
        </w:tc>
        <w:tc>
          <w:tcPr>
            <w:tcW w:w="1126" w:type="dxa"/>
            <w:tcBorders>
              <w:bottom w:val="single" w:color="D9D9D9" w:sz="2" w:space="0"/>
            </w:tcBorders>
          </w:tcPr>
          <w:p w:rsidR="00C31389" w:rsidRDefault="00561FBD" w14:paraId="550C14E4" w14:textId="77777777">
            <w:pPr>
              <w:pStyle w:val="TableParagraph"/>
              <w:ind w:left="252" w:right="286"/>
              <w:jc w:val="center"/>
              <w:rPr>
                <w:sz w:val="20"/>
              </w:rPr>
            </w:pPr>
            <w:r>
              <w:rPr>
                <w:spacing w:val="-4"/>
                <w:sz w:val="20"/>
              </w:rPr>
              <w:t>5.10%</w:t>
            </w:r>
          </w:p>
        </w:tc>
      </w:tr>
      <w:tr w:rsidR="00C31389" w14:paraId="747AFA80" w14:textId="77777777">
        <w:trPr>
          <w:trHeight w:val="309"/>
        </w:trPr>
        <w:tc>
          <w:tcPr>
            <w:tcW w:w="1291" w:type="dxa"/>
            <w:vMerge/>
            <w:tcBorders>
              <w:top w:val="nil"/>
              <w:bottom w:val="single" w:color="D9D9D9" w:sz="2" w:space="0"/>
            </w:tcBorders>
          </w:tcPr>
          <w:p w:rsidR="00C31389" w:rsidRDefault="00C31389" w14:paraId="14F863F1" w14:textId="77777777">
            <w:pPr>
              <w:rPr>
                <w:sz w:val="2"/>
                <w:szCs w:val="2"/>
              </w:rPr>
            </w:pPr>
          </w:p>
        </w:tc>
        <w:tc>
          <w:tcPr>
            <w:tcW w:w="1293" w:type="dxa"/>
            <w:tcBorders>
              <w:top w:val="single" w:color="D9D9D9" w:sz="2" w:space="0"/>
              <w:bottom w:val="single" w:color="D9D9D9" w:sz="2" w:space="0"/>
            </w:tcBorders>
          </w:tcPr>
          <w:p w:rsidR="00C31389" w:rsidRDefault="00561FBD" w14:paraId="181EC1A9" w14:textId="77777777">
            <w:pPr>
              <w:pStyle w:val="TableParagraph"/>
              <w:ind w:left="115"/>
              <w:rPr>
                <w:sz w:val="20"/>
              </w:rPr>
            </w:pPr>
            <w:r>
              <w:rPr>
                <w:spacing w:val="-4"/>
                <w:sz w:val="20"/>
              </w:rPr>
              <w:t>2021</w:t>
            </w:r>
          </w:p>
        </w:tc>
        <w:tc>
          <w:tcPr>
            <w:tcW w:w="1605" w:type="dxa"/>
            <w:tcBorders>
              <w:top w:val="single" w:color="D9D9D9" w:sz="2" w:space="0"/>
              <w:bottom w:val="single" w:color="D9D9D9" w:sz="2" w:space="0"/>
            </w:tcBorders>
          </w:tcPr>
          <w:p w:rsidR="00C31389" w:rsidRDefault="00561FBD" w14:paraId="6EF83134" w14:textId="77777777">
            <w:pPr>
              <w:pStyle w:val="TableParagraph"/>
              <w:ind w:right="333"/>
              <w:jc w:val="right"/>
              <w:rPr>
                <w:sz w:val="20"/>
              </w:rPr>
            </w:pPr>
            <w:r>
              <w:rPr>
                <w:spacing w:val="-4"/>
                <w:sz w:val="20"/>
              </w:rPr>
              <w:t>5.00%</w:t>
            </w:r>
          </w:p>
        </w:tc>
        <w:tc>
          <w:tcPr>
            <w:tcW w:w="1126" w:type="dxa"/>
            <w:tcBorders>
              <w:top w:val="single" w:color="D9D9D9" w:sz="2" w:space="0"/>
              <w:bottom w:val="single" w:color="D9D9D9" w:sz="2" w:space="0"/>
            </w:tcBorders>
          </w:tcPr>
          <w:p w:rsidR="00C31389" w:rsidRDefault="00561FBD" w14:paraId="42849CAA" w14:textId="77777777">
            <w:pPr>
              <w:pStyle w:val="TableParagraph"/>
              <w:ind w:left="252" w:right="286"/>
              <w:jc w:val="center"/>
              <w:rPr>
                <w:sz w:val="20"/>
              </w:rPr>
            </w:pPr>
            <w:r>
              <w:rPr>
                <w:spacing w:val="-4"/>
                <w:sz w:val="20"/>
              </w:rPr>
              <w:t>5.26%</w:t>
            </w:r>
          </w:p>
        </w:tc>
      </w:tr>
      <w:tr w:rsidR="00C31389" w14:paraId="6A4AC633" w14:textId="77777777">
        <w:trPr>
          <w:trHeight w:val="310"/>
        </w:trPr>
        <w:tc>
          <w:tcPr>
            <w:tcW w:w="1291" w:type="dxa"/>
            <w:vMerge w:val="restart"/>
            <w:tcBorders>
              <w:top w:val="single" w:color="D9D9D9" w:sz="2" w:space="0"/>
              <w:bottom w:val="single" w:color="D9D9D9" w:sz="2" w:space="0"/>
            </w:tcBorders>
          </w:tcPr>
          <w:p w:rsidR="00C31389" w:rsidRDefault="00C31389" w14:paraId="2CE8EB0D" w14:textId="77777777">
            <w:pPr>
              <w:pStyle w:val="TableParagraph"/>
              <w:spacing w:before="3"/>
              <w:rPr>
                <w:b/>
                <w:sz w:val="17"/>
              </w:rPr>
            </w:pPr>
          </w:p>
          <w:p w:rsidR="00C31389" w:rsidRDefault="00561FBD" w14:paraId="7E8E1096" w14:textId="77777777">
            <w:pPr>
              <w:pStyle w:val="TableParagraph"/>
              <w:spacing w:before="0"/>
              <w:ind w:left="115"/>
              <w:rPr>
                <w:sz w:val="20"/>
              </w:rPr>
            </w:pPr>
            <w:r>
              <w:rPr>
                <w:spacing w:val="-5"/>
                <w:sz w:val="20"/>
              </w:rPr>
              <w:t>SCE</w:t>
            </w:r>
          </w:p>
        </w:tc>
        <w:tc>
          <w:tcPr>
            <w:tcW w:w="1293" w:type="dxa"/>
            <w:tcBorders>
              <w:top w:val="single" w:color="D9D9D9" w:sz="2" w:space="0"/>
              <w:bottom w:val="single" w:color="D9D9D9" w:sz="2" w:space="0"/>
            </w:tcBorders>
          </w:tcPr>
          <w:p w:rsidR="00C31389" w:rsidRDefault="00561FBD" w14:paraId="2B1F338B" w14:textId="77777777">
            <w:pPr>
              <w:pStyle w:val="TableParagraph"/>
              <w:ind w:left="115"/>
              <w:rPr>
                <w:sz w:val="20"/>
              </w:rPr>
            </w:pPr>
            <w:r>
              <w:rPr>
                <w:spacing w:val="-4"/>
                <w:sz w:val="20"/>
              </w:rPr>
              <w:t>2019</w:t>
            </w:r>
          </w:p>
        </w:tc>
        <w:tc>
          <w:tcPr>
            <w:tcW w:w="1605" w:type="dxa"/>
            <w:tcBorders>
              <w:top w:val="single" w:color="D9D9D9" w:sz="2" w:space="0"/>
              <w:bottom w:val="single" w:color="D9D9D9" w:sz="2" w:space="0"/>
            </w:tcBorders>
          </w:tcPr>
          <w:p w:rsidR="00C31389" w:rsidRDefault="00561FBD" w14:paraId="67092872" w14:textId="77777777">
            <w:pPr>
              <w:pStyle w:val="TableParagraph"/>
              <w:ind w:right="334"/>
              <w:jc w:val="right"/>
              <w:rPr>
                <w:sz w:val="20"/>
              </w:rPr>
            </w:pPr>
            <w:r>
              <w:rPr>
                <w:spacing w:val="-4"/>
                <w:sz w:val="20"/>
              </w:rPr>
              <w:t>2.86%</w:t>
            </w:r>
          </w:p>
        </w:tc>
        <w:tc>
          <w:tcPr>
            <w:tcW w:w="1126" w:type="dxa"/>
            <w:tcBorders>
              <w:top w:val="single" w:color="D9D9D9" w:sz="2" w:space="0"/>
              <w:bottom w:val="single" w:color="D9D9D9" w:sz="2" w:space="0"/>
            </w:tcBorders>
          </w:tcPr>
          <w:p w:rsidR="00C31389" w:rsidRDefault="00561FBD" w14:paraId="65618C28" w14:textId="77777777">
            <w:pPr>
              <w:pStyle w:val="TableParagraph"/>
              <w:ind w:right="34"/>
              <w:jc w:val="center"/>
              <w:rPr>
                <w:sz w:val="20"/>
              </w:rPr>
            </w:pPr>
            <w:r>
              <w:rPr>
                <w:sz w:val="20"/>
              </w:rPr>
              <w:t>-</w:t>
            </w:r>
          </w:p>
        </w:tc>
      </w:tr>
      <w:tr w:rsidR="00C31389" w14:paraId="279EE8C3" w14:textId="77777777">
        <w:trPr>
          <w:trHeight w:val="309"/>
        </w:trPr>
        <w:tc>
          <w:tcPr>
            <w:tcW w:w="1291" w:type="dxa"/>
            <w:vMerge/>
            <w:tcBorders>
              <w:top w:val="nil"/>
              <w:bottom w:val="single" w:color="D9D9D9" w:sz="2" w:space="0"/>
            </w:tcBorders>
          </w:tcPr>
          <w:p w:rsidR="00C31389" w:rsidRDefault="00C31389" w14:paraId="51A29367" w14:textId="77777777">
            <w:pPr>
              <w:rPr>
                <w:sz w:val="2"/>
                <w:szCs w:val="2"/>
              </w:rPr>
            </w:pPr>
          </w:p>
        </w:tc>
        <w:tc>
          <w:tcPr>
            <w:tcW w:w="1293" w:type="dxa"/>
            <w:tcBorders>
              <w:top w:val="single" w:color="D9D9D9" w:sz="2" w:space="0"/>
              <w:bottom w:val="single" w:color="D9D9D9" w:sz="2" w:space="0"/>
            </w:tcBorders>
          </w:tcPr>
          <w:p w:rsidR="00C31389" w:rsidRDefault="00561FBD" w14:paraId="64FDC071" w14:textId="77777777">
            <w:pPr>
              <w:pStyle w:val="TableParagraph"/>
              <w:ind w:left="115"/>
              <w:rPr>
                <w:sz w:val="20"/>
              </w:rPr>
            </w:pPr>
            <w:r>
              <w:rPr>
                <w:spacing w:val="-4"/>
                <w:sz w:val="20"/>
              </w:rPr>
              <w:t>2021</w:t>
            </w:r>
          </w:p>
        </w:tc>
        <w:tc>
          <w:tcPr>
            <w:tcW w:w="1605" w:type="dxa"/>
            <w:tcBorders>
              <w:top w:val="single" w:color="D9D9D9" w:sz="2" w:space="0"/>
              <w:bottom w:val="single" w:color="D9D9D9" w:sz="2" w:space="0"/>
            </w:tcBorders>
          </w:tcPr>
          <w:p w:rsidR="00C31389" w:rsidRDefault="00561FBD" w14:paraId="75CC89B6" w14:textId="77777777">
            <w:pPr>
              <w:pStyle w:val="TableParagraph"/>
              <w:ind w:right="333"/>
              <w:jc w:val="right"/>
              <w:rPr>
                <w:sz w:val="20"/>
              </w:rPr>
            </w:pPr>
            <w:r>
              <w:rPr>
                <w:spacing w:val="-4"/>
                <w:sz w:val="20"/>
              </w:rPr>
              <w:t>5.00%</w:t>
            </w:r>
          </w:p>
        </w:tc>
        <w:tc>
          <w:tcPr>
            <w:tcW w:w="1126" w:type="dxa"/>
            <w:tcBorders>
              <w:top w:val="single" w:color="D9D9D9" w:sz="2" w:space="0"/>
              <w:bottom w:val="single" w:color="D9D9D9" w:sz="2" w:space="0"/>
            </w:tcBorders>
          </w:tcPr>
          <w:p w:rsidR="00C31389" w:rsidRDefault="00561FBD" w14:paraId="42CC0314" w14:textId="77777777">
            <w:pPr>
              <w:pStyle w:val="TableParagraph"/>
              <w:ind w:right="34"/>
              <w:jc w:val="center"/>
              <w:rPr>
                <w:sz w:val="20"/>
              </w:rPr>
            </w:pPr>
            <w:r>
              <w:rPr>
                <w:sz w:val="20"/>
              </w:rPr>
              <w:t>-</w:t>
            </w:r>
          </w:p>
        </w:tc>
      </w:tr>
      <w:tr w:rsidR="00C31389" w14:paraId="5183DBBF" w14:textId="77777777">
        <w:trPr>
          <w:trHeight w:val="310"/>
        </w:trPr>
        <w:tc>
          <w:tcPr>
            <w:tcW w:w="1291" w:type="dxa"/>
            <w:vMerge w:val="restart"/>
            <w:tcBorders>
              <w:top w:val="single" w:color="D9D9D9" w:sz="2" w:space="0"/>
              <w:bottom w:val="single" w:color="D9D9D9" w:sz="2" w:space="0"/>
            </w:tcBorders>
          </w:tcPr>
          <w:p w:rsidR="00C31389" w:rsidRDefault="00C31389" w14:paraId="16545A28" w14:textId="77777777">
            <w:pPr>
              <w:pStyle w:val="TableParagraph"/>
              <w:spacing w:before="3"/>
              <w:rPr>
                <w:b/>
                <w:sz w:val="17"/>
              </w:rPr>
            </w:pPr>
          </w:p>
          <w:p w:rsidR="00C31389" w:rsidRDefault="00561FBD" w14:paraId="3D1377CA" w14:textId="77777777">
            <w:pPr>
              <w:pStyle w:val="TableParagraph"/>
              <w:spacing w:before="0"/>
              <w:ind w:left="115"/>
              <w:rPr>
                <w:sz w:val="20"/>
              </w:rPr>
            </w:pPr>
            <w:r>
              <w:rPr>
                <w:spacing w:val="-5"/>
                <w:sz w:val="20"/>
              </w:rPr>
              <w:t>SCG</w:t>
            </w:r>
          </w:p>
        </w:tc>
        <w:tc>
          <w:tcPr>
            <w:tcW w:w="1293" w:type="dxa"/>
            <w:tcBorders>
              <w:top w:val="single" w:color="D9D9D9" w:sz="2" w:space="0"/>
              <w:bottom w:val="single" w:color="D9D9D9" w:sz="2" w:space="0"/>
            </w:tcBorders>
          </w:tcPr>
          <w:p w:rsidR="00C31389" w:rsidRDefault="00561FBD" w14:paraId="2EE75042" w14:textId="77777777">
            <w:pPr>
              <w:pStyle w:val="TableParagraph"/>
              <w:ind w:left="115"/>
              <w:rPr>
                <w:sz w:val="20"/>
              </w:rPr>
            </w:pPr>
            <w:r>
              <w:rPr>
                <w:spacing w:val="-4"/>
                <w:sz w:val="20"/>
              </w:rPr>
              <w:t>2019</w:t>
            </w:r>
          </w:p>
        </w:tc>
        <w:tc>
          <w:tcPr>
            <w:tcW w:w="1605" w:type="dxa"/>
            <w:tcBorders>
              <w:top w:val="single" w:color="D9D9D9" w:sz="2" w:space="0"/>
              <w:bottom w:val="single" w:color="D9D9D9" w:sz="2" w:space="0"/>
            </w:tcBorders>
          </w:tcPr>
          <w:p w:rsidR="00C31389" w:rsidRDefault="00561FBD" w14:paraId="7AFEBF93" w14:textId="77777777">
            <w:pPr>
              <w:pStyle w:val="TableParagraph"/>
              <w:ind w:left="364"/>
              <w:jc w:val="center"/>
              <w:rPr>
                <w:sz w:val="20"/>
              </w:rPr>
            </w:pPr>
            <w:r>
              <w:rPr>
                <w:sz w:val="20"/>
              </w:rPr>
              <w:t>-</w:t>
            </w:r>
          </w:p>
        </w:tc>
        <w:tc>
          <w:tcPr>
            <w:tcW w:w="1126" w:type="dxa"/>
            <w:tcBorders>
              <w:top w:val="single" w:color="D9D9D9" w:sz="2" w:space="0"/>
              <w:bottom w:val="single" w:color="D9D9D9" w:sz="2" w:space="0"/>
            </w:tcBorders>
          </w:tcPr>
          <w:p w:rsidR="00C31389" w:rsidRDefault="00561FBD" w14:paraId="1A08752C" w14:textId="77777777">
            <w:pPr>
              <w:pStyle w:val="TableParagraph"/>
              <w:ind w:left="252" w:right="286"/>
              <w:jc w:val="center"/>
              <w:rPr>
                <w:sz w:val="20"/>
              </w:rPr>
            </w:pPr>
            <w:r>
              <w:rPr>
                <w:spacing w:val="-4"/>
                <w:sz w:val="20"/>
              </w:rPr>
              <w:t>1.88%</w:t>
            </w:r>
          </w:p>
        </w:tc>
      </w:tr>
      <w:tr w:rsidR="00C31389" w14:paraId="3E383729" w14:textId="77777777">
        <w:trPr>
          <w:trHeight w:val="309"/>
        </w:trPr>
        <w:tc>
          <w:tcPr>
            <w:tcW w:w="1291" w:type="dxa"/>
            <w:vMerge/>
            <w:tcBorders>
              <w:top w:val="nil"/>
              <w:bottom w:val="single" w:color="D9D9D9" w:sz="2" w:space="0"/>
            </w:tcBorders>
          </w:tcPr>
          <w:p w:rsidR="00C31389" w:rsidRDefault="00C31389" w14:paraId="4A920228" w14:textId="77777777">
            <w:pPr>
              <w:rPr>
                <w:sz w:val="2"/>
                <w:szCs w:val="2"/>
              </w:rPr>
            </w:pPr>
          </w:p>
        </w:tc>
        <w:tc>
          <w:tcPr>
            <w:tcW w:w="1293" w:type="dxa"/>
            <w:tcBorders>
              <w:top w:val="single" w:color="D9D9D9" w:sz="2" w:space="0"/>
              <w:bottom w:val="single" w:color="D9D9D9" w:sz="2" w:space="0"/>
            </w:tcBorders>
          </w:tcPr>
          <w:p w:rsidR="00C31389" w:rsidRDefault="00561FBD" w14:paraId="5E699537" w14:textId="77777777">
            <w:pPr>
              <w:pStyle w:val="TableParagraph"/>
              <w:ind w:left="115"/>
              <w:rPr>
                <w:sz w:val="20"/>
              </w:rPr>
            </w:pPr>
            <w:r>
              <w:rPr>
                <w:spacing w:val="-4"/>
                <w:sz w:val="20"/>
              </w:rPr>
              <w:t>2021</w:t>
            </w:r>
          </w:p>
        </w:tc>
        <w:tc>
          <w:tcPr>
            <w:tcW w:w="1605" w:type="dxa"/>
            <w:tcBorders>
              <w:top w:val="single" w:color="D9D9D9" w:sz="2" w:space="0"/>
              <w:bottom w:val="single" w:color="D9D9D9" w:sz="2" w:space="0"/>
            </w:tcBorders>
          </w:tcPr>
          <w:p w:rsidR="00C31389" w:rsidRDefault="00561FBD" w14:paraId="138E5346" w14:textId="77777777">
            <w:pPr>
              <w:pStyle w:val="TableParagraph"/>
              <w:ind w:left="364"/>
              <w:jc w:val="center"/>
              <w:rPr>
                <w:sz w:val="20"/>
              </w:rPr>
            </w:pPr>
            <w:r>
              <w:rPr>
                <w:sz w:val="20"/>
              </w:rPr>
              <w:t>-</w:t>
            </w:r>
          </w:p>
        </w:tc>
        <w:tc>
          <w:tcPr>
            <w:tcW w:w="1126" w:type="dxa"/>
            <w:tcBorders>
              <w:top w:val="single" w:color="D9D9D9" w:sz="2" w:space="0"/>
              <w:bottom w:val="single" w:color="D9D9D9" w:sz="2" w:space="0"/>
            </w:tcBorders>
          </w:tcPr>
          <w:p w:rsidR="00C31389" w:rsidRDefault="00561FBD" w14:paraId="561D544F" w14:textId="77777777">
            <w:pPr>
              <w:pStyle w:val="TableParagraph"/>
              <w:ind w:left="252" w:right="286"/>
              <w:jc w:val="center"/>
              <w:rPr>
                <w:sz w:val="20"/>
              </w:rPr>
            </w:pPr>
            <w:r>
              <w:rPr>
                <w:spacing w:val="-4"/>
                <w:sz w:val="20"/>
              </w:rPr>
              <w:t>2.87%</w:t>
            </w:r>
          </w:p>
        </w:tc>
      </w:tr>
      <w:tr w:rsidR="00C31389" w14:paraId="01888F22" w14:textId="77777777">
        <w:trPr>
          <w:trHeight w:val="303"/>
        </w:trPr>
        <w:tc>
          <w:tcPr>
            <w:tcW w:w="1291" w:type="dxa"/>
            <w:vMerge w:val="restart"/>
            <w:tcBorders>
              <w:top w:val="single" w:color="D9D9D9" w:sz="2" w:space="0"/>
              <w:bottom w:val="single" w:color="000000" w:sz="8" w:space="0"/>
            </w:tcBorders>
          </w:tcPr>
          <w:p w:rsidR="00C31389" w:rsidRDefault="00C31389" w14:paraId="0DA8FF48" w14:textId="77777777">
            <w:pPr>
              <w:pStyle w:val="TableParagraph"/>
              <w:spacing w:before="3"/>
              <w:rPr>
                <w:b/>
                <w:sz w:val="17"/>
              </w:rPr>
            </w:pPr>
          </w:p>
          <w:p w:rsidR="00C31389" w:rsidRDefault="00561FBD" w14:paraId="27562967" w14:textId="77777777">
            <w:pPr>
              <w:pStyle w:val="TableParagraph"/>
              <w:spacing w:before="0"/>
              <w:ind w:left="115"/>
              <w:rPr>
                <w:sz w:val="20"/>
              </w:rPr>
            </w:pPr>
            <w:r>
              <w:rPr>
                <w:spacing w:val="-2"/>
                <w:sz w:val="20"/>
              </w:rPr>
              <w:t>SDG&amp;E</w:t>
            </w:r>
          </w:p>
        </w:tc>
        <w:tc>
          <w:tcPr>
            <w:tcW w:w="1293" w:type="dxa"/>
            <w:tcBorders>
              <w:top w:val="single" w:color="D9D9D9" w:sz="2" w:space="0"/>
              <w:bottom w:val="single" w:color="D9D9D9" w:sz="2" w:space="0"/>
            </w:tcBorders>
          </w:tcPr>
          <w:p w:rsidR="00C31389" w:rsidRDefault="00561FBD" w14:paraId="2F7F0965" w14:textId="77777777">
            <w:pPr>
              <w:pStyle w:val="TableParagraph"/>
              <w:ind w:left="115"/>
              <w:rPr>
                <w:sz w:val="20"/>
              </w:rPr>
            </w:pPr>
            <w:r>
              <w:rPr>
                <w:spacing w:val="-4"/>
                <w:sz w:val="20"/>
              </w:rPr>
              <w:t>2019</w:t>
            </w:r>
          </w:p>
        </w:tc>
        <w:tc>
          <w:tcPr>
            <w:tcW w:w="1605" w:type="dxa"/>
            <w:tcBorders>
              <w:top w:val="single" w:color="D9D9D9" w:sz="2" w:space="0"/>
              <w:bottom w:val="single" w:color="D9D9D9" w:sz="2" w:space="0"/>
            </w:tcBorders>
          </w:tcPr>
          <w:p w:rsidR="00C31389" w:rsidRDefault="00561FBD" w14:paraId="37982B47" w14:textId="77777777">
            <w:pPr>
              <w:pStyle w:val="TableParagraph"/>
              <w:ind w:right="334"/>
              <w:jc w:val="right"/>
              <w:rPr>
                <w:sz w:val="20"/>
              </w:rPr>
            </w:pPr>
            <w:r>
              <w:rPr>
                <w:spacing w:val="-4"/>
                <w:sz w:val="20"/>
              </w:rPr>
              <w:t>2.68%</w:t>
            </w:r>
          </w:p>
        </w:tc>
        <w:tc>
          <w:tcPr>
            <w:tcW w:w="1126" w:type="dxa"/>
            <w:tcBorders>
              <w:top w:val="single" w:color="D9D9D9" w:sz="2" w:space="0"/>
              <w:bottom w:val="single" w:color="D9D9D9" w:sz="2" w:space="0"/>
            </w:tcBorders>
          </w:tcPr>
          <w:p w:rsidR="00C31389" w:rsidRDefault="00561FBD" w14:paraId="63C1167C" w14:textId="77777777">
            <w:pPr>
              <w:pStyle w:val="TableParagraph"/>
              <w:ind w:left="252" w:right="286"/>
              <w:jc w:val="center"/>
              <w:rPr>
                <w:sz w:val="20"/>
              </w:rPr>
            </w:pPr>
            <w:r>
              <w:rPr>
                <w:spacing w:val="-4"/>
                <w:sz w:val="20"/>
              </w:rPr>
              <w:t>3.10%</w:t>
            </w:r>
          </w:p>
        </w:tc>
      </w:tr>
      <w:tr w:rsidR="00C31389" w14:paraId="32D29A90" w14:textId="77777777">
        <w:trPr>
          <w:trHeight w:val="302"/>
        </w:trPr>
        <w:tc>
          <w:tcPr>
            <w:tcW w:w="1291" w:type="dxa"/>
            <w:vMerge/>
            <w:tcBorders>
              <w:top w:val="nil"/>
              <w:bottom w:val="single" w:color="000000" w:sz="8" w:space="0"/>
            </w:tcBorders>
          </w:tcPr>
          <w:p w:rsidR="00C31389" w:rsidRDefault="00C31389" w14:paraId="6EE7B708" w14:textId="77777777">
            <w:pPr>
              <w:rPr>
                <w:sz w:val="2"/>
                <w:szCs w:val="2"/>
              </w:rPr>
            </w:pPr>
          </w:p>
        </w:tc>
        <w:tc>
          <w:tcPr>
            <w:tcW w:w="1293" w:type="dxa"/>
            <w:tcBorders>
              <w:top w:val="single" w:color="D9D9D9" w:sz="2" w:space="0"/>
              <w:bottom w:val="single" w:color="000000" w:sz="8" w:space="0"/>
            </w:tcBorders>
          </w:tcPr>
          <w:p w:rsidR="00C31389" w:rsidRDefault="00561FBD" w14:paraId="4A65AA23" w14:textId="77777777">
            <w:pPr>
              <w:pStyle w:val="TableParagraph"/>
              <w:spacing w:before="33"/>
              <w:ind w:left="115"/>
              <w:rPr>
                <w:sz w:val="20"/>
              </w:rPr>
            </w:pPr>
            <w:r>
              <w:rPr>
                <w:spacing w:val="-4"/>
                <w:sz w:val="20"/>
              </w:rPr>
              <w:t>2021</w:t>
            </w:r>
          </w:p>
        </w:tc>
        <w:tc>
          <w:tcPr>
            <w:tcW w:w="1605" w:type="dxa"/>
            <w:tcBorders>
              <w:top w:val="single" w:color="D9D9D9" w:sz="2" w:space="0"/>
              <w:bottom w:val="single" w:color="000000" w:sz="8" w:space="0"/>
            </w:tcBorders>
          </w:tcPr>
          <w:p w:rsidR="00C31389" w:rsidRDefault="00561FBD" w14:paraId="393CEC3D" w14:textId="77777777">
            <w:pPr>
              <w:pStyle w:val="TableParagraph"/>
              <w:spacing w:before="33"/>
              <w:ind w:right="333"/>
              <w:jc w:val="right"/>
              <w:rPr>
                <w:sz w:val="20"/>
              </w:rPr>
            </w:pPr>
            <w:r>
              <w:rPr>
                <w:spacing w:val="-4"/>
                <w:sz w:val="20"/>
              </w:rPr>
              <w:t>5.00%</w:t>
            </w:r>
          </w:p>
        </w:tc>
        <w:tc>
          <w:tcPr>
            <w:tcW w:w="1126" w:type="dxa"/>
            <w:tcBorders>
              <w:top w:val="single" w:color="D9D9D9" w:sz="2" w:space="0"/>
              <w:bottom w:val="single" w:color="000000" w:sz="8" w:space="0"/>
            </w:tcBorders>
          </w:tcPr>
          <w:p w:rsidR="00C31389" w:rsidRDefault="00561FBD" w14:paraId="713FACBC" w14:textId="77777777">
            <w:pPr>
              <w:pStyle w:val="TableParagraph"/>
              <w:spacing w:before="33"/>
              <w:ind w:left="252" w:right="286"/>
              <w:jc w:val="center"/>
              <w:rPr>
                <w:sz w:val="20"/>
              </w:rPr>
            </w:pPr>
            <w:r>
              <w:rPr>
                <w:spacing w:val="-4"/>
                <w:sz w:val="20"/>
              </w:rPr>
              <w:t>3.29%</w:t>
            </w:r>
          </w:p>
        </w:tc>
      </w:tr>
    </w:tbl>
    <w:p w:rsidR="00C31389" w:rsidRDefault="00561FBD" w14:paraId="5480604D" w14:textId="77777777">
      <w:pPr>
        <w:spacing w:before="74"/>
        <w:ind w:left="480"/>
        <w:rPr>
          <w:i/>
          <w:sz w:val="18"/>
        </w:rPr>
      </w:pPr>
      <w:r>
        <w:rPr>
          <w:i/>
          <w:sz w:val="18"/>
        </w:rPr>
        <w:t>Source:</w:t>
      </w:r>
      <w:r>
        <w:rPr>
          <w:i/>
          <w:spacing w:val="-4"/>
          <w:sz w:val="18"/>
        </w:rPr>
        <w:t xml:space="preserve"> </w:t>
      </w:r>
      <w:r>
        <w:rPr>
          <w:i/>
          <w:spacing w:val="-2"/>
          <w:sz w:val="18"/>
        </w:rPr>
        <w:t>Guidehouse</w:t>
      </w:r>
    </w:p>
    <w:p w:rsidR="00C31389" w:rsidRDefault="00C31389" w14:paraId="5BFB4994" w14:textId="77777777">
      <w:pPr>
        <w:pStyle w:val="BodyText"/>
        <w:spacing w:before="9"/>
        <w:rPr>
          <w:i/>
          <w:sz w:val="20"/>
        </w:rPr>
      </w:pPr>
    </w:p>
    <w:p w:rsidR="00C31389" w:rsidRDefault="00561FBD" w14:paraId="5242AA47" w14:textId="77777777">
      <w:pPr>
        <w:pStyle w:val="BodyText"/>
        <w:spacing w:before="1"/>
        <w:ind w:left="480" w:right="479" w:hanging="1"/>
      </w:pPr>
      <w:r>
        <w:t xml:space="preserve">Inputs for other building types are the same as the 2021 Study and are based on customer </w:t>
      </w:r>
      <w:r>
        <w:t>segment consumption (kWh or therms per year). Electricity savings range from 1.1% to 4.2%,</w:t>
      </w:r>
      <w:r>
        <w:rPr>
          <w:spacing w:val="-3"/>
        </w:rPr>
        <w:t xml:space="preserve"> </w:t>
      </w:r>
      <w:r>
        <w:t>and</w:t>
      </w:r>
      <w:r>
        <w:rPr>
          <w:spacing w:val="-3"/>
        </w:rPr>
        <w:t xml:space="preserve"> </w:t>
      </w:r>
      <w:r>
        <w:t>natural</w:t>
      </w:r>
      <w:r>
        <w:rPr>
          <w:spacing w:val="-3"/>
        </w:rPr>
        <w:t xml:space="preserve"> </w:t>
      </w:r>
      <w:r>
        <w:t>gas</w:t>
      </w:r>
      <w:r>
        <w:rPr>
          <w:spacing w:val="-3"/>
        </w:rPr>
        <w:t xml:space="preserve"> </w:t>
      </w:r>
      <w:r>
        <w:t>savings</w:t>
      </w:r>
      <w:r>
        <w:rPr>
          <w:spacing w:val="-3"/>
        </w:rPr>
        <w:t xml:space="preserve"> </w:t>
      </w:r>
      <w:r>
        <w:t>range</w:t>
      </w:r>
      <w:r>
        <w:rPr>
          <w:spacing w:val="-3"/>
        </w:rPr>
        <w:t xml:space="preserve"> </w:t>
      </w:r>
      <w:r>
        <w:t>from</w:t>
      </w:r>
      <w:r>
        <w:rPr>
          <w:spacing w:val="-4"/>
        </w:rPr>
        <w:t xml:space="preserve"> </w:t>
      </w:r>
      <w:r>
        <w:t>0.2%</w:t>
      </w:r>
      <w:r>
        <w:rPr>
          <w:spacing w:val="-3"/>
        </w:rPr>
        <w:t xml:space="preserve"> </w:t>
      </w:r>
      <w:r>
        <w:t>to</w:t>
      </w:r>
      <w:r>
        <w:rPr>
          <w:spacing w:val="-3"/>
        </w:rPr>
        <w:t xml:space="preserve"> </w:t>
      </w:r>
      <w:r>
        <w:t>9.3%.</w:t>
      </w:r>
      <w:r>
        <w:rPr>
          <w:spacing w:val="-3"/>
        </w:rPr>
        <w:t xml:space="preserve"> </w:t>
      </w:r>
      <w:r>
        <w:t>Variations</w:t>
      </w:r>
      <w:r>
        <w:rPr>
          <w:spacing w:val="-3"/>
        </w:rPr>
        <w:t xml:space="preserve"> </w:t>
      </w:r>
      <w:r>
        <w:t>are</w:t>
      </w:r>
      <w:r>
        <w:rPr>
          <w:spacing w:val="-4"/>
        </w:rPr>
        <w:t xml:space="preserve"> </w:t>
      </w:r>
      <w:r>
        <w:t>due</w:t>
      </w:r>
      <w:r>
        <w:rPr>
          <w:spacing w:val="-3"/>
        </w:rPr>
        <w:t xml:space="preserve"> </w:t>
      </w:r>
      <w:r>
        <w:t>to</w:t>
      </w:r>
      <w:r>
        <w:rPr>
          <w:spacing w:val="-3"/>
        </w:rPr>
        <w:t xml:space="preserve"> </w:t>
      </w:r>
      <w:r>
        <w:t>differences</w:t>
      </w:r>
      <w:r>
        <w:rPr>
          <w:spacing w:val="-3"/>
        </w:rPr>
        <w:t xml:space="preserve"> </w:t>
      </w:r>
      <w:r>
        <w:t>in segments’ energy densities and differences in climate across utilities. Costs f</w:t>
      </w:r>
      <w:r>
        <w:t>or electricity and</w:t>
      </w:r>
      <w:r>
        <w:rPr>
          <w:spacing w:val="-2"/>
        </w:rPr>
        <w:t xml:space="preserve"> </w:t>
      </w:r>
      <w:r>
        <w:t>natural</w:t>
      </w:r>
      <w:r>
        <w:rPr>
          <w:spacing w:val="-3"/>
        </w:rPr>
        <w:t xml:space="preserve"> </w:t>
      </w:r>
      <w:r>
        <w:t>gas</w:t>
      </w:r>
      <w:r>
        <w:rPr>
          <w:spacing w:val="-2"/>
        </w:rPr>
        <w:t xml:space="preserve"> </w:t>
      </w:r>
      <w:r>
        <w:t>savings</w:t>
      </w:r>
      <w:r>
        <w:rPr>
          <w:spacing w:val="-3"/>
        </w:rPr>
        <w:t xml:space="preserve"> </w:t>
      </w:r>
      <w:r>
        <w:t>also</w:t>
      </w:r>
      <w:r>
        <w:rPr>
          <w:spacing w:val="-2"/>
        </w:rPr>
        <w:t xml:space="preserve"> </w:t>
      </w:r>
      <w:r>
        <w:t>varied</w:t>
      </w:r>
      <w:r>
        <w:rPr>
          <w:spacing w:val="-5"/>
        </w:rPr>
        <w:t xml:space="preserve"> </w:t>
      </w:r>
      <w:r>
        <w:t>by</w:t>
      </w:r>
      <w:r>
        <w:rPr>
          <w:spacing w:val="-2"/>
        </w:rPr>
        <w:t xml:space="preserve"> </w:t>
      </w:r>
      <w:r>
        <w:t>utility</w:t>
      </w:r>
      <w:r>
        <w:rPr>
          <w:spacing w:val="-2"/>
        </w:rPr>
        <w:t xml:space="preserve"> </w:t>
      </w:r>
      <w:r>
        <w:t>and</w:t>
      </w:r>
      <w:r>
        <w:rPr>
          <w:spacing w:val="-3"/>
        </w:rPr>
        <w:t xml:space="preserve"> </w:t>
      </w:r>
      <w:r>
        <w:t>are</w:t>
      </w:r>
      <w:r>
        <w:rPr>
          <w:spacing w:val="-2"/>
        </w:rPr>
        <w:t xml:space="preserve"> </w:t>
      </w:r>
      <w:r>
        <w:t>between</w:t>
      </w:r>
      <w:r>
        <w:rPr>
          <w:spacing w:val="-2"/>
        </w:rPr>
        <w:t xml:space="preserve"> </w:t>
      </w:r>
      <w:r>
        <w:t>$0.20</w:t>
      </w:r>
      <w:r>
        <w:rPr>
          <w:spacing w:val="-2"/>
        </w:rPr>
        <w:t xml:space="preserve"> </w:t>
      </w:r>
      <w:r>
        <w:t>and</w:t>
      </w:r>
      <w:r>
        <w:rPr>
          <w:spacing w:val="-3"/>
        </w:rPr>
        <w:t xml:space="preserve"> </w:t>
      </w:r>
      <w:r>
        <w:t>$0.46</w:t>
      </w:r>
      <w:r>
        <w:rPr>
          <w:spacing w:val="-2"/>
        </w:rPr>
        <w:t xml:space="preserve"> </w:t>
      </w:r>
      <w:r>
        <w:t>per</w:t>
      </w:r>
      <w:r>
        <w:rPr>
          <w:spacing w:val="-2"/>
        </w:rPr>
        <w:t xml:space="preserve"> </w:t>
      </w:r>
      <w:r>
        <w:t>kWh</w:t>
      </w:r>
      <w:r>
        <w:rPr>
          <w:spacing w:val="-2"/>
        </w:rPr>
        <w:t xml:space="preserve"> </w:t>
      </w:r>
      <w:r>
        <w:t>and</w:t>
      </w:r>
    </w:p>
    <w:p w:rsidR="00C31389" w:rsidRDefault="00561FBD" w14:paraId="628B34C4" w14:textId="77777777">
      <w:pPr>
        <w:pStyle w:val="BodyText"/>
        <w:ind w:left="479" w:right="418"/>
      </w:pPr>
      <w:r>
        <w:t>$0.18</w:t>
      </w:r>
      <w:r>
        <w:rPr>
          <w:spacing w:val="-3"/>
        </w:rPr>
        <w:t xml:space="preserve"> </w:t>
      </w:r>
      <w:r>
        <w:t>and</w:t>
      </w:r>
      <w:r>
        <w:rPr>
          <w:spacing w:val="-3"/>
        </w:rPr>
        <w:t xml:space="preserve"> </w:t>
      </w:r>
      <w:r>
        <w:t>$0.49</w:t>
      </w:r>
      <w:r>
        <w:rPr>
          <w:spacing w:val="-3"/>
        </w:rPr>
        <w:t xml:space="preserve"> </w:t>
      </w:r>
      <w:r>
        <w:t>per</w:t>
      </w:r>
      <w:r>
        <w:rPr>
          <w:spacing w:val="-3"/>
        </w:rPr>
        <w:t xml:space="preserve"> </w:t>
      </w:r>
      <w:r>
        <w:t>therm.</w:t>
      </w:r>
      <w:r>
        <w:rPr>
          <w:spacing w:val="-3"/>
        </w:rPr>
        <w:t xml:space="preserve"> </w:t>
      </w:r>
      <w:r>
        <w:t>The</w:t>
      </w:r>
      <w:r>
        <w:rPr>
          <w:spacing w:val="-3"/>
        </w:rPr>
        <w:t xml:space="preserve"> </w:t>
      </w:r>
      <w:r>
        <w:t>Guidehouse</w:t>
      </w:r>
      <w:r>
        <w:rPr>
          <w:spacing w:val="-3"/>
        </w:rPr>
        <w:t xml:space="preserve"> </w:t>
      </w:r>
      <w:r>
        <w:t>team</w:t>
      </w:r>
      <w:r>
        <w:rPr>
          <w:spacing w:val="-4"/>
        </w:rPr>
        <w:t xml:space="preserve"> </w:t>
      </w:r>
      <w:r>
        <w:t>expects</w:t>
      </w:r>
      <w:r>
        <w:rPr>
          <w:spacing w:val="-3"/>
        </w:rPr>
        <w:t xml:space="preserve"> </w:t>
      </w:r>
      <w:r>
        <w:t>to</w:t>
      </w:r>
      <w:r>
        <w:rPr>
          <w:spacing w:val="-3"/>
        </w:rPr>
        <w:t xml:space="preserve"> </w:t>
      </w:r>
      <w:r>
        <w:t>revise</w:t>
      </w:r>
      <w:r>
        <w:rPr>
          <w:spacing w:val="-3"/>
        </w:rPr>
        <w:t xml:space="preserve"> </w:t>
      </w:r>
      <w:r>
        <w:t>these</w:t>
      </w:r>
      <w:r>
        <w:rPr>
          <w:spacing w:val="-3"/>
        </w:rPr>
        <w:t xml:space="preserve"> </w:t>
      </w:r>
      <w:r>
        <w:t>inputs</w:t>
      </w:r>
      <w:r>
        <w:rPr>
          <w:spacing w:val="-3"/>
        </w:rPr>
        <w:t xml:space="preserve"> </w:t>
      </w:r>
      <w:r>
        <w:t>based</w:t>
      </w:r>
      <w:r>
        <w:rPr>
          <w:spacing w:val="-3"/>
        </w:rPr>
        <w:t xml:space="preserve"> </w:t>
      </w:r>
      <w:r>
        <w:t>on the forthcoming CEUS</w:t>
      </w:r>
      <w:hyperlink w:history="1" w:anchor="_bookmark379">
        <w:r>
          <w:rPr>
            <w:position w:val="7"/>
            <w:sz w:val="14"/>
          </w:rPr>
          <w:t>139</w:t>
        </w:r>
      </w:hyperlink>
      <w:r>
        <w:rPr>
          <w:spacing w:val="33"/>
          <w:position w:val="7"/>
          <w:sz w:val="14"/>
        </w:rPr>
        <w:t xml:space="preserve"> </w:t>
      </w:r>
      <w:r>
        <w:t>update and any additional revisions to the saturation of building energy management or energy information systems that enable BEIMS savings.</w:t>
      </w:r>
    </w:p>
    <w:p w:rsidR="00C31389" w:rsidRDefault="00C31389" w14:paraId="11742E47" w14:textId="77777777">
      <w:pPr>
        <w:pStyle w:val="BodyText"/>
        <w:spacing w:before="10"/>
        <w:rPr>
          <w:sz w:val="20"/>
        </w:rPr>
      </w:pPr>
    </w:p>
    <w:p w:rsidR="00C31389" w:rsidRDefault="00561FBD" w14:paraId="312022ED" w14:textId="77777777">
      <w:pPr>
        <w:pStyle w:val="Heading7"/>
        <w:ind w:left="398" w:right="339"/>
        <w:jc w:val="center"/>
      </w:pPr>
      <w:bookmarkStart w:name="_bookmark377" w:id="495"/>
      <w:bookmarkEnd w:id="495"/>
      <w:r>
        <w:t>Table</w:t>
      </w:r>
      <w:r>
        <w:rPr>
          <w:spacing w:val="-6"/>
        </w:rPr>
        <w:t xml:space="preserve"> </w:t>
      </w:r>
      <w:r>
        <w:t>D-9.</w:t>
      </w:r>
      <w:r>
        <w:rPr>
          <w:spacing w:val="-6"/>
        </w:rPr>
        <w:t xml:space="preserve"> </w:t>
      </w:r>
      <w:r>
        <w:t>BEIMS</w:t>
      </w:r>
      <w:r>
        <w:rPr>
          <w:spacing w:val="-6"/>
        </w:rPr>
        <w:t xml:space="preserve"> </w:t>
      </w:r>
      <w:r>
        <w:t>–</w:t>
      </w:r>
      <w:r>
        <w:rPr>
          <w:spacing w:val="-5"/>
        </w:rPr>
        <w:t xml:space="preserve"> </w:t>
      </w:r>
      <w:r>
        <w:t>Key</w:t>
      </w:r>
      <w:r>
        <w:rPr>
          <w:spacing w:val="-5"/>
        </w:rPr>
        <w:t xml:space="preserve"> </w:t>
      </w:r>
      <w:r>
        <w:rPr>
          <w:spacing w:val="-2"/>
        </w:rPr>
        <w:t>Assumptions</w:t>
      </w:r>
    </w:p>
    <w:p w:rsidR="00C31389" w:rsidRDefault="00C31389" w14:paraId="38E89C5D" w14:textId="77777777">
      <w:pPr>
        <w:pStyle w:val="BodyText"/>
        <w:spacing w:before="7"/>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333"/>
        <w:gridCol w:w="1118"/>
        <w:gridCol w:w="1154"/>
        <w:gridCol w:w="1061"/>
        <w:gridCol w:w="1226"/>
        <w:gridCol w:w="1375"/>
        <w:gridCol w:w="889"/>
        <w:gridCol w:w="1210"/>
      </w:tblGrid>
      <w:tr w:rsidR="00C31389" w14:paraId="6450B5E9" w14:textId="77777777">
        <w:trPr>
          <w:trHeight w:val="280"/>
        </w:trPr>
        <w:tc>
          <w:tcPr>
            <w:tcW w:w="1333" w:type="dxa"/>
            <w:shd w:val="clear" w:color="auto" w:fill="92D400"/>
          </w:tcPr>
          <w:p w:rsidR="00C31389" w:rsidRDefault="00C31389" w14:paraId="4EC37373" w14:textId="77777777">
            <w:pPr>
              <w:pStyle w:val="TableParagraph"/>
              <w:spacing w:before="0"/>
              <w:rPr>
                <w:rFonts w:ascii="Times New Roman"/>
                <w:sz w:val="20"/>
              </w:rPr>
            </w:pPr>
          </w:p>
        </w:tc>
        <w:tc>
          <w:tcPr>
            <w:tcW w:w="1118" w:type="dxa"/>
            <w:shd w:val="clear" w:color="auto" w:fill="92D400"/>
          </w:tcPr>
          <w:p w:rsidR="00C31389" w:rsidRDefault="00C31389" w14:paraId="3B30F08C" w14:textId="77777777">
            <w:pPr>
              <w:pStyle w:val="TableParagraph"/>
              <w:spacing w:before="0"/>
              <w:rPr>
                <w:rFonts w:ascii="Times New Roman"/>
                <w:sz w:val="20"/>
              </w:rPr>
            </w:pPr>
          </w:p>
        </w:tc>
        <w:tc>
          <w:tcPr>
            <w:tcW w:w="1154" w:type="dxa"/>
            <w:vMerge w:val="restart"/>
            <w:shd w:val="clear" w:color="auto" w:fill="92D400"/>
          </w:tcPr>
          <w:p w:rsidR="00C31389" w:rsidRDefault="00561FBD" w14:paraId="5F8908AB" w14:textId="77777777">
            <w:pPr>
              <w:pStyle w:val="TableParagraph"/>
              <w:spacing w:before="154"/>
              <w:ind w:left="427"/>
              <w:rPr>
                <w:b/>
                <w:sz w:val="20"/>
              </w:rPr>
            </w:pPr>
            <w:r>
              <w:rPr>
                <w:b/>
                <w:spacing w:val="-5"/>
                <w:sz w:val="20"/>
              </w:rPr>
              <w:t>EUL</w:t>
            </w:r>
          </w:p>
          <w:p w:rsidR="00C31389" w:rsidRDefault="00561FBD" w14:paraId="271E71D9" w14:textId="77777777">
            <w:pPr>
              <w:pStyle w:val="TableParagraph"/>
              <w:spacing w:before="1"/>
              <w:ind w:left="355"/>
              <w:rPr>
                <w:b/>
                <w:sz w:val="20"/>
              </w:rPr>
            </w:pPr>
            <w:r>
              <w:rPr>
                <w:b/>
                <w:spacing w:val="-2"/>
                <w:sz w:val="20"/>
              </w:rPr>
              <w:t>Years</w:t>
            </w:r>
          </w:p>
        </w:tc>
        <w:tc>
          <w:tcPr>
            <w:tcW w:w="2287" w:type="dxa"/>
            <w:gridSpan w:val="2"/>
            <w:shd w:val="clear" w:color="auto" w:fill="92D400"/>
          </w:tcPr>
          <w:p w:rsidR="00C31389" w:rsidRDefault="00561FBD" w14:paraId="5602509F" w14:textId="77777777">
            <w:pPr>
              <w:pStyle w:val="TableParagraph"/>
              <w:spacing w:before="56" w:line="205" w:lineRule="exact"/>
              <w:ind w:left="714"/>
              <w:rPr>
                <w:b/>
                <w:sz w:val="20"/>
              </w:rPr>
            </w:pPr>
            <w:r>
              <w:rPr>
                <w:b/>
                <w:spacing w:val="-2"/>
                <w:sz w:val="20"/>
              </w:rPr>
              <w:t>Savings</w:t>
            </w:r>
          </w:p>
        </w:tc>
        <w:tc>
          <w:tcPr>
            <w:tcW w:w="1375" w:type="dxa"/>
            <w:shd w:val="clear" w:color="auto" w:fill="92D400"/>
          </w:tcPr>
          <w:p w:rsidR="00C31389" w:rsidRDefault="00561FBD" w14:paraId="31DBC5D8" w14:textId="77777777">
            <w:pPr>
              <w:pStyle w:val="TableParagraph"/>
              <w:spacing w:before="56" w:line="205" w:lineRule="exact"/>
              <w:ind w:right="9"/>
              <w:jc w:val="right"/>
              <w:rPr>
                <w:b/>
                <w:sz w:val="20"/>
              </w:rPr>
            </w:pPr>
            <w:r>
              <w:rPr>
                <w:b/>
                <w:spacing w:val="-4"/>
                <w:sz w:val="20"/>
              </w:rPr>
              <w:t>Cost</w:t>
            </w:r>
          </w:p>
        </w:tc>
        <w:tc>
          <w:tcPr>
            <w:tcW w:w="889" w:type="dxa"/>
            <w:shd w:val="clear" w:color="auto" w:fill="92D400"/>
          </w:tcPr>
          <w:p w:rsidR="00C31389" w:rsidRDefault="00C31389" w14:paraId="5741C064" w14:textId="77777777">
            <w:pPr>
              <w:pStyle w:val="TableParagraph"/>
              <w:spacing w:before="0"/>
              <w:rPr>
                <w:rFonts w:ascii="Times New Roman"/>
                <w:sz w:val="20"/>
              </w:rPr>
            </w:pPr>
          </w:p>
        </w:tc>
        <w:tc>
          <w:tcPr>
            <w:tcW w:w="1210" w:type="dxa"/>
            <w:vMerge w:val="restart"/>
            <w:shd w:val="clear" w:color="auto" w:fill="92D400"/>
          </w:tcPr>
          <w:p w:rsidR="00C31389" w:rsidRDefault="00561FBD" w14:paraId="107E9CC4" w14:textId="77777777">
            <w:pPr>
              <w:pStyle w:val="TableParagraph"/>
              <w:ind w:left="236" w:right="188"/>
              <w:jc w:val="center"/>
              <w:rPr>
                <w:b/>
                <w:sz w:val="20"/>
              </w:rPr>
            </w:pPr>
            <w:r>
              <w:rPr>
                <w:b/>
                <w:spacing w:val="-2"/>
                <w:sz w:val="20"/>
              </w:rPr>
              <w:t>kW/kWh Savings Ratio</w:t>
            </w:r>
          </w:p>
        </w:tc>
      </w:tr>
      <w:tr w:rsidR="00C31389" w14:paraId="784CEF10" w14:textId="77777777">
        <w:trPr>
          <w:trHeight w:val="197"/>
        </w:trPr>
        <w:tc>
          <w:tcPr>
            <w:tcW w:w="1333" w:type="dxa"/>
            <w:shd w:val="clear" w:color="auto" w:fill="92D400"/>
          </w:tcPr>
          <w:p w:rsidR="00C31389" w:rsidRDefault="00561FBD" w14:paraId="075F9A05" w14:textId="77777777">
            <w:pPr>
              <w:pStyle w:val="TableParagraph"/>
              <w:spacing w:before="0" w:line="177" w:lineRule="exact"/>
              <w:ind w:left="124"/>
              <w:rPr>
                <w:b/>
                <w:sz w:val="20"/>
              </w:rPr>
            </w:pPr>
            <w:r>
              <w:rPr>
                <w:b/>
                <w:spacing w:val="-2"/>
                <w:sz w:val="20"/>
              </w:rPr>
              <w:t>Sector</w:t>
            </w:r>
          </w:p>
        </w:tc>
        <w:tc>
          <w:tcPr>
            <w:tcW w:w="1118" w:type="dxa"/>
            <w:shd w:val="clear" w:color="auto" w:fill="92D400"/>
          </w:tcPr>
          <w:p w:rsidR="00C31389" w:rsidRDefault="00561FBD" w14:paraId="79A45448" w14:textId="77777777">
            <w:pPr>
              <w:pStyle w:val="TableParagraph"/>
              <w:spacing w:before="0" w:line="177" w:lineRule="exact"/>
              <w:ind w:left="141"/>
              <w:rPr>
                <w:b/>
                <w:sz w:val="20"/>
              </w:rPr>
            </w:pPr>
            <w:r>
              <w:rPr>
                <w:b/>
                <w:spacing w:val="-4"/>
                <w:sz w:val="20"/>
              </w:rPr>
              <w:t>Type</w:t>
            </w:r>
          </w:p>
        </w:tc>
        <w:tc>
          <w:tcPr>
            <w:tcW w:w="1154" w:type="dxa"/>
            <w:vMerge/>
            <w:tcBorders>
              <w:top w:val="nil"/>
            </w:tcBorders>
            <w:shd w:val="clear" w:color="auto" w:fill="92D400"/>
          </w:tcPr>
          <w:p w:rsidR="00C31389" w:rsidRDefault="00C31389" w14:paraId="30423D47" w14:textId="77777777">
            <w:pPr>
              <w:rPr>
                <w:sz w:val="2"/>
                <w:szCs w:val="2"/>
              </w:rPr>
            </w:pPr>
          </w:p>
        </w:tc>
        <w:tc>
          <w:tcPr>
            <w:tcW w:w="1061" w:type="dxa"/>
            <w:shd w:val="clear" w:color="auto" w:fill="92D400"/>
          </w:tcPr>
          <w:p w:rsidR="00C31389" w:rsidRDefault="00C31389" w14:paraId="78358EA7" w14:textId="77777777">
            <w:pPr>
              <w:pStyle w:val="TableParagraph"/>
              <w:spacing w:before="0"/>
              <w:rPr>
                <w:rFonts w:ascii="Times New Roman"/>
                <w:sz w:val="12"/>
              </w:rPr>
            </w:pPr>
          </w:p>
        </w:tc>
        <w:tc>
          <w:tcPr>
            <w:tcW w:w="1226" w:type="dxa"/>
            <w:shd w:val="clear" w:color="auto" w:fill="92D400"/>
          </w:tcPr>
          <w:p w:rsidR="00C31389" w:rsidRDefault="00C31389" w14:paraId="39AE8FE9" w14:textId="77777777">
            <w:pPr>
              <w:pStyle w:val="TableParagraph"/>
              <w:spacing w:before="0"/>
              <w:rPr>
                <w:rFonts w:ascii="Times New Roman"/>
                <w:sz w:val="12"/>
              </w:rPr>
            </w:pPr>
          </w:p>
        </w:tc>
        <w:tc>
          <w:tcPr>
            <w:tcW w:w="1375" w:type="dxa"/>
            <w:shd w:val="clear" w:color="auto" w:fill="92D400"/>
          </w:tcPr>
          <w:p w:rsidR="00C31389" w:rsidRDefault="00C31389" w14:paraId="78D39F34" w14:textId="77777777">
            <w:pPr>
              <w:pStyle w:val="TableParagraph"/>
              <w:spacing w:before="0"/>
              <w:rPr>
                <w:rFonts w:ascii="Times New Roman"/>
                <w:sz w:val="12"/>
              </w:rPr>
            </w:pPr>
          </w:p>
        </w:tc>
        <w:tc>
          <w:tcPr>
            <w:tcW w:w="889" w:type="dxa"/>
            <w:shd w:val="clear" w:color="auto" w:fill="92D400"/>
          </w:tcPr>
          <w:p w:rsidR="00C31389" w:rsidRDefault="00C31389" w14:paraId="698F8B9E" w14:textId="77777777">
            <w:pPr>
              <w:pStyle w:val="TableParagraph"/>
              <w:spacing w:before="0"/>
              <w:rPr>
                <w:rFonts w:ascii="Times New Roman"/>
                <w:sz w:val="12"/>
              </w:rPr>
            </w:pPr>
          </w:p>
        </w:tc>
        <w:tc>
          <w:tcPr>
            <w:tcW w:w="1210" w:type="dxa"/>
            <w:vMerge/>
            <w:tcBorders>
              <w:top w:val="nil"/>
            </w:tcBorders>
            <w:shd w:val="clear" w:color="auto" w:fill="92D400"/>
          </w:tcPr>
          <w:p w:rsidR="00C31389" w:rsidRDefault="00C31389" w14:paraId="42EC24CF" w14:textId="77777777">
            <w:pPr>
              <w:rPr>
                <w:sz w:val="2"/>
                <w:szCs w:val="2"/>
              </w:rPr>
            </w:pPr>
          </w:p>
        </w:tc>
      </w:tr>
      <w:tr w:rsidR="00C31389" w14:paraId="6F8C307D" w14:textId="77777777">
        <w:trPr>
          <w:trHeight w:val="300"/>
        </w:trPr>
        <w:tc>
          <w:tcPr>
            <w:tcW w:w="1333" w:type="dxa"/>
            <w:shd w:val="clear" w:color="auto" w:fill="92D400"/>
          </w:tcPr>
          <w:p w:rsidR="00C31389" w:rsidRDefault="00C31389" w14:paraId="3A7C3F29" w14:textId="77777777">
            <w:pPr>
              <w:pStyle w:val="TableParagraph"/>
              <w:spacing w:before="0"/>
              <w:rPr>
                <w:rFonts w:ascii="Times New Roman"/>
                <w:sz w:val="20"/>
              </w:rPr>
            </w:pPr>
          </w:p>
        </w:tc>
        <w:tc>
          <w:tcPr>
            <w:tcW w:w="1118" w:type="dxa"/>
            <w:shd w:val="clear" w:color="auto" w:fill="92D400"/>
          </w:tcPr>
          <w:p w:rsidR="00C31389" w:rsidRDefault="00C31389" w14:paraId="4B8FD598" w14:textId="77777777">
            <w:pPr>
              <w:pStyle w:val="TableParagraph"/>
              <w:spacing w:before="0"/>
              <w:rPr>
                <w:rFonts w:ascii="Times New Roman"/>
                <w:sz w:val="20"/>
              </w:rPr>
            </w:pPr>
          </w:p>
        </w:tc>
        <w:tc>
          <w:tcPr>
            <w:tcW w:w="1154" w:type="dxa"/>
            <w:vMerge/>
            <w:tcBorders>
              <w:top w:val="nil"/>
            </w:tcBorders>
            <w:shd w:val="clear" w:color="auto" w:fill="92D400"/>
          </w:tcPr>
          <w:p w:rsidR="00C31389" w:rsidRDefault="00C31389" w14:paraId="68020FEB" w14:textId="77777777">
            <w:pPr>
              <w:rPr>
                <w:sz w:val="2"/>
                <w:szCs w:val="2"/>
              </w:rPr>
            </w:pPr>
          </w:p>
        </w:tc>
        <w:tc>
          <w:tcPr>
            <w:tcW w:w="1061" w:type="dxa"/>
            <w:shd w:val="clear" w:color="auto" w:fill="92D400"/>
          </w:tcPr>
          <w:p w:rsidR="00C31389" w:rsidRDefault="00561FBD" w14:paraId="32299332" w14:textId="77777777">
            <w:pPr>
              <w:pStyle w:val="TableParagraph"/>
              <w:spacing w:before="0" w:line="202" w:lineRule="exact"/>
              <w:ind w:left="303"/>
              <w:rPr>
                <w:b/>
                <w:sz w:val="20"/>
              </w:rPr>
            </w:pPr>
            <w:r>
              <w:rPr>
                <w:b/>
                <w:spacing w:val="-5"/>
                <w:sz w:val="20"/>
              </w:rPr>
              <w:t>kWh</w:t>
            </w:r>
          </w:p>
        </w:tc>
        <w:tc>
          <w:tcPr>
            <w:tcW w:w="1226" w:type="dxa"/>
            <w:shd w:val="clear" w:color="auto" w:fill="92D400"/>
          </w:tcPr>
          <w:p w:rsidR="00C31389" w:rsidRDefault="00561FBD" w14:paraId="0000C36E" w14:textId="77777777">
            <w:pPr>
              <w:pStyle w:val="TableParagraph"/>
              <w:spacing w:before="0" w:line="202" w:lineRule="exact"/>
              <w:ind w:left="285"/>
              <w:rPr>
                <w:b/>
                <w:sz w:val="20"/>
              </w:rPr>
            </w:pPr>
            <w:r>
              <w:rPr>
                <w:b/>
                <w:spacing w:val="-2"/>
                <w:sz w:val="20"/>
              </w:rPr>
              <w:t>therms</w:t>
            </w:r>
          </w:p>
        </w:tc>
        <w:tc>
          <w:tcPr>
            <w:tcW w:w="1375" w:type="dxa"/>
            <w:shd w:val="clear" w:color="auto" w:fill="92D400"/>
          </w:tcPr>
          <w:p w:rsidR="00C31389" w:rsidRDefault="00561FBD" w14:paraId="3855F368" w14:textId="77777777">
            <w:pPr>
              <w:pStyle w:val="TableParagraph"/>
              <w:spacing w:before="0" w:line="202" w:lineRule="exact"/>
              <w:ind w:left="347"/>
              <w:rPr>
                <w:b/>
                <w:sz w:val="20"/>
              </w:rPr>
            </w:pPr>
            <w:r>
              <w:rPr>
                <w:b/>
                <w:spacing w:val="-5"/>
                <w:sz w:val="20"/>
              </w:rPr>
              <w:t>kWh</w:t>
            </w:r>
          </w:p>
        </w:tc>
        <w:tc>
          <w:tcPr>
            <w:tcW w:w="889" w:type="dxa"/>
            <w:shd w:val="clear" w:color="auto" w:fill="92D400"/>
          </w:tcPr>
          <w:p w:rsidR="00C31389" w:rsidRDefault="00561FBD" w14:paraId="5467A935" w14:textId="77777777">
            <w:pPr>
              <w:pStyle w:val="TableParagraph"/>
              <w:spacing w:before="0" w:line="202" w:lineRule="exact"/>
              <w:ind w:left="15"/>
              <w:rPr>
                <w:b/>
                <w:sz w:val="20"/>
              </w:rPr>
            </w:pPr>
            <w:r>
              <w:rPr>
                <w:b/>
                <w:spacing w:val="-2"/>
                <w:sz w:val="20"/>
              </w:rPr>
              <w:t>therms</w:t>
            </w:r>
          </w:p>
        </w:tc>
        <w:tc>
          <w:tcPr>
            <w:tcW w:w="1210" w:type="dxa"/>
            <w:vMerge/>
            <w:tcBorders>
              <w:top w:val="nil"/>
            </w:tcBorders>
            <w:shd w:val="clear" w:color="auto" w:fill="92D400"/>
          </w:tcPr>
          <w:p w:rsidR="00C31389" w:rsidRDefault="00C31389" w14:paraId="27D3485F" w14:textId="77777777">
            <w:pPr>
              <w:rPr>
                <w:sz w:val="2"/>
                <w:szCs w:val="2"/>
              </w:rPr>
            </w:pPr>
          </w:p>
        </w:tc>
      </w:tr>
      <w:tr w:rsidR="00C31389" w14:paraId="670A835F" w14:textId="77777777">
        <w:trPr>
          <w:trHeight w:val="581"/>
        </w:trPr>
        <w:tc>
          <w:tcPr>
            <w:tcW w:w="1333" w:type="dxa"/>
            <w:tcBorders>
              <w:bottom w:val="single" w:color="000000" w:sz="8" w:space="0"/>
            </w:tcBorders>
          </w:tcPr>
          <w:p w:rsidR="00C31389" w:rsidRDefault="00561FBD" w14:paraId="702D0C4A" w14:textId="77777777">
            <w:pPr>
              <w:pStyle w:val="TableParagraph"/>
              <w:spacing w:before="176"/>
              <w:ind w:left="124"/>
              <w:rPr>
                <w:sz w:val="20"/>
              </w:rPr>
            </w:pPr>
            <w:r>
              <w:rPr>
                <w:spacing w:val="-2"/>
                <w:sz w:val="20"/>
              </w:rPr>
              <w:t>Commercial</w:t>
            </w:r>
          </w:p>
        </w:tc>
        <w:tc>
          <w:tcPr>
            <w:tcW w:w="1118" w:type="dxa"/>
            <w:tcBorders>
              <w:bottom w:val="single" w:color="000000" w:sz="8" w:space="0"/>
            </w:tcBorders>
          </w:tcPr>
          <w:p w:rsidR="00C31389" w:rsidRDefault="00561FBD" w14:paraId="0B3D6DD8" w14:textId="77777777">
            <w:pPr>
              <w:pStyle w:val="TableParagraph"/>
              <w:spacing w:before="176"/>
              <w:ind w:left="141"/>
              <w:rPr>
                <w:sz w:val="20"/>
              </w:rPr>
            </w:pPr>
            <w:r>
              <w:rPr>
                <w:spacing w:val="-2"/>
                <w:sz w:val="20"/>
              </w:rPr>
              <w:t>BEIMS</w:t>
            </w:r>
          </w:p>
        </w:tc>
        <w:tc>
          <w:tcPr>
            <w:tcW w:w="1154" w:type="dxa"/>
            <w:tcBorders>
              <w:bottom w:val="single" w:color="000000" w:sz="8" w:space="0"/>
            </w:tcBorders>
          </w:tcPr>
          <w:p w:rsidR="00C31389" w:rsidRDefault="00561FBD" w14:paraId="4EABADCB" w14:textId="77777777">
            <w:pPr>
              <w:pStyle w:val="TableParagraph"/>
              <w:spacing w:before="176"/>
              <w:ind w:left="102"/>
              <w:jc w:val="center"/>
              <w:rPr>
                <w:sz w:val="20"/>
              </w:rPr>
            </w:pPr>
            <w:r>
              <w:rPr>
                <w:sz w:val="20"/>
              </w:rPr>
              <w:t>3</w:t>
            </w:r>
          </w:p>
        </w:tc>
        <w:tc>
          <w:tcPr>
            <w:tcW w:w="1061" w:type="dxa"/>
            <w:tcBorders>
              <w:bottom w:val="single" w:color="000000" w:sz="8" w:space="0"/>
            </w:tcBorders>
          </w:tcPr>
          <w:p w:rsidR="00C31389" w:rsidRDefault="00561FBD" w14:paraId="2B3712AC" w14:textId="77777777">
            <w:pPr>
              <w:pStyle w:val="TableParagraph"/>
              <w:spacing w:before="61"/>
              <w:ind w:left="253"/>
              <w:rPr>
                <w:sz w:val="20"/>
              </w:rPr>
            </w:pPr>
            <w:r>
              <w:rPr>
                <w:spacing w:val="-2"/>
                <w:sz w:val="20"/>
              </w:rPr>
              <w:t>1.1%-</w:t>
            </w:r>
          </w:p>
          <w:p w:rsidR="00C31389" w:rsidRDefault="00561FBD" w14:paraId="7AD426B9" w14:textId="77777777">
            <w:pPr>
              <w:pStyle w:val="TableParagraph"/>
              <w:spacing w:before="0"/>
              <w:ind w:left="287"/>
              <w:rPr>
                <w:sz w:val="20"/>
              </w:rPr>
            </w:pPr>
            <w:r>
              <w:rPr>
                <w:spacing w:val="-4"/>
                <w:sz w:val="20"/>
              </w:rPr>
              <w:t>4.2%</w:t>
            </w:r>
          </w:p>
        </w:tc>
        <w:tc>
          <w:tcPr>
            <w:tcW w:w="1226" w:type="dxa"/>
            <w:tcBorders>
              <w:bottom w:val="single" w:color="000000" w:sz="8" w:space="0"/>
            </w:tcBorders>
          </w:tcPr>
          <w:p w:rsidR="00C31389" w:rsidRDefault="00561FBD" w14:paraId="37DE8A08" w14:textId="77777777">
            <w:pPr>
              <w:pStyle w:val="TableParagraph"/>
              <w:spacing w:before="61"/>
              <w:ind w:left="357"/>
              <w:rPr>
                <w:sz w:val="20"/>
              </w:rPr>
            </w:pPr>
            <w:r>
              <w:rPr>
                <w:spacing w:val="-2"/>
                <w:sz w:val="20"/>
              </w:rPr>
              <w:t>0.2%-</w:t>
            </w:r>
          </w:p>
          <w:p w:rsidR="00C31389" w:rsidRDefault="00561FBD" w14:paraId="6F623470" w14:textId="77777777">
            <w:pPr>
              <w:pStyle w:val="TableParagraph"/>
              <w:spacing w:before="0"/>
              <w:ind w:left="391"/>
              <w:rPr>
                <w:sz w:val="20"/>
              </w:rPr>
            </w:pPr>
            <w:r>
              <w:rPr>
                <w:spacing w:val="-4"/>
                <w:sz w:val="20"/>
              </w:rPr>
              <w:t>9.3%</w:t>
            </w:r>
          </w:p>
        </w:tc>
        <w:tc>
          <w:tcPr>
            <w:tcW w:w="1375" w:type="dxa"/>
            <w:tcBorders>
              <w:bottom w:val="single" w:color="000000" w:sz="8" w:space="0"/>
            </w:tcBorders>
          </w:tcPr>
          <w:p w:rsidR="00C31389" w:rsidRDefault="00561FBD" w14:paraId="25829D3B" w14:textId="77777777">
            <w:pPr>
              <w:pStyle w:val="TableParagraph"/>
              <w:spacing w:before="61"/>
              <w:ind w:left="274"/>
              <w:rPr>
                <w:sz w:val="20"/>
              </w:rPr>
            </w:pPr>
            <w:r>
              <w:rPr>
                <w:spacing w:val="-2"/>
                <w:sz w:val="20"/>
              </w:rPr>
              <w:t>$0.20-</w:t>
            </w:r>
          </w:p>
          <w:p w:rsidR="00C31389" w:rsidRDefault="00561FBD" w14:paraId="1ED6B3AE" w14:textId="77777777">
            <w:pPr>
              <w:pStyle w:val="TableParagraph"/>
              <w:spacing w:before="0"/>
              <w:ind w:left="308"/>
              <w:rPr>
                <w:sz w:val="20"/>
              </w:rPr>
            </w:pPr>
            <w:r>
              <w:rPr>
                <w:spacing w:val="-2"/>
                <w:sz w:val="20"/>
              </w:rPr>
              <w:t>$0.44</w:t>
            </w:r>
          </w:p>
        </w:tc>
        <w:tc>
          <w:tcPr>
            <w:tcW w:w="889" w:type="dxa"/>
            <w:tcBorders>
              <w:bottom w:val="single" w:color="000000" w:sz="8" w:space="0"/>
            </w:tcBorders>
          </w:tcPr>
          <w:p w:rsidR="00C31389" w:rsidRDefault="00561FBD" w14:paraId="2DB7EC7C" w14:textId="77777777">
            <w:pPr>
              <w:pStyle w:val="TableParagraph"/>
              <w:spacing w:before="41"/>
              <w:ind w:left="65"/>
              <w:rPr>
                <w:sz w:val="20"/>
              </w:rPr>
            </w:pPr>
            <w:r>
              <w:rPr>
                <w:spacing w:val="-2"/>
                <w:sz w:val="20"/>
              </w:rPr>
              <w:t>$0.18-</w:t>
            </w:r>
          </w:p>
          <w:p w:rsidR="00C31389" w:rsidRDefault="00561FBD" w14:paraId="03F81576" w14:textId="77777777">
            <w:pPr>
              <w:pStyle w:val="TableParagraph"/>
              <w:ind w:left="99"/>
              <w:rPr>
                <w:sz w:val="20"/>
              </w:rPr>
            </w:pPr>
            <w:r>
              <w:rPr>
                <w:spacing w:val="-2"/>
                <w:sz w:val="20"/>
              </w:rPr>
              <w:t>$0.49</w:t>
            </w:r>
          </w:p>
        </w:tc>
        <w:tc>
          <w:tcPr>
            <w:tcW w:w="1210" w:type="dxa"/>
            <w:tcBorders>
              <w:bottom w:val="single" w:color="000000" w:sz="8" w:space="0"/>
            </w:tcBorders>
          </w:tcPr>
          <w:p w:rsidR="00C31389" w:rsidRDefault="00561FBD" w14:paraId="5F5BFD1F" w14:textId="77777777">
            <w:pPr>
              <w:pStyle w:val="TableParagraph"/>
              <w:spacing w:before="176"/>
              <w:ind w:left="210"/>
              <w:rPr>
                <w:sz w:val="20"/>
              </w:rPr>
            </w:pPr>
            <w:r>
              <w:rPr>
                <w:spacing w:val="-2"/>
                <w:sz w:val="20"/>
              </w:rPr>
              <w:t>0.000112</w:t>
            </w:r>
          </w:p>
        </w:tc>
      </w:tr>
    </w:tbl>
    <w:p w:rsidR="00C31389" w:rsidRDefault="00561FBD" w14:paraId="195ED00C"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65600B7D" w14:textId="77777777">
      <w:pPr>
        <w:pStyle w:val="BodyText"/>
        <w:rPr>
          <w:i/>
          <w:sz w:val="20"/>
        </w:rPr>
      </w:pPr>
    </w:p>
    <w:p w:rsidR="00C31389" w:rsidRDefault="00561FBD" w14:paraId="30A59DEB" w14:textId="77777777">
      <w:pPr>
        <w:pStyle w:val="ListParagraph"/>
        <w:numPr>
          <w:ilvl w:val="2"/>
          <w:numId w:val="19"/>
        </w:numPr>
        <w:tabs>
          <w:tab w:val="left" w:pos="1197"/>
        </w:tabs>
        <w:spacing w:before="129"/>
        <w:ind w:left="1197" w:hanging="717"/>
        <w:rPr>
          <w:b/>
          <w:sz w:val="24"/>
        </w:rPr>
      </w:pPr>
      <w:bookmarkStart w:name="D.7.2_Assumptions_and_Methodology" w:id="496"/>
      <w:bookmarkStart w:name="_bookmark378" w:id="497"/>
      <w:bookmarkEnd w:id="496"/>
      <w:bookmarkEnd w:id="497"/>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5CA7FC3D" w14:textId="77777777">
      <w:pPr>
        <w:pStyle w:val="BodyText"/>
        <w:spacing w:before="3"/>
        <w:rPr>
          <w:b/>
          <w:sz w:val="23"/>
        </w:rPr>
      </w:pPr>
    </w:p>
    <w:p w:rsidR="00C31389" w:rsidRDefault="00561FBD" w14:paraId="33848F05" w14:textId="77777777">
      <w:pPr>
        <w:pStyle w:val="Heading8"/>
        <w:ind w:left="480" w:firstLine="0"/>
      </w:pPr>
      <w:r>
        <w:t>Eligibility</w:t>
      </w:r>
      <w:r>
        <w:rPr>
          <w:spacing w:val="-8"/>
        </w:rPr>
        <w:t xml:space="preserve"> </w:t>
      </w:r>
      <w:r>
        <w:t>and</w:t>
      </w:r>
      <w:r>
        <w:rPr>
          <w:spacing w:val="-7"/>
        </w:rPr>
        <w:t xml:space="preserve"> </w:t>
      </w:r>
      <w:r>
        <w:rPr>
          <w:spacing w:val="-2"/>
        </w:rPr>
        <w:t>Participation</w:t>
      </w:r>
    </w:p>
    <w:p w:rsidR="00C31389" w:rsidRDefault="00C31389" w14:paraId="7F6F8B01" w14:textId="77777777">
      <w:pPr>
        <w:pStyle w:val="BodyText"/>
        <w:spacing w:before="10"/>
        <w:rPr>
          <w:b/>
          <w:i/>
          <w:sz w:val="20"/>
        </w:rPr>
      </w:pPr>
    </w:p>
    <w:p w:rsidR="00C31389" w:rsidRDefault="00561FBD" w14:paraId="75349D8C" w14:textId="77777777">
      <w:pPr>
        <w:pStyle w:val="BodyText"/>
        <w:ind w:left="480" w:right="540"/>
      </w:pPr>
      <w:r>
        <w:t xml:space="preserve">The </w:t>
      </w:r>
      <w:r>
        <w:t>technologies that enable BEIMS are primarily associated with energy management systems (EMSs) that are broadly applicable across all market sectors; the existing market saturation of these technologies ranges across market segments from 1% to 80%.</w:t>
      </w:r>
      <w:hyperlink w:history="1" w:anchor="_bookmark380">
        <w:r>
          <w:rPr>
            <w:position w:val="7"/>
            <w:sz w:val="14"/>
          </w:rPr>
          <w:t>140</w:t>
        </w:r>
      </w:hyperlink>
      <w:r>
        <w:rPr>
          <w:spacing w:val="33"/>
          <w:position w:val="7"/>
          <w:sz w:val="14"/>
        </w:rPr>
        <w:t xml:space="preserve"> </w:t>
      </w:r>
      <w:r>
        <w:t>In general, segments that operate larger facilities (e.g., large offices) or facilities that are energy-intensive (e.g., grocery stores) will have a higher existing saturation of BEIMS- enabling</w:t>
      </w:r>
      <w:r>
        <w:rPr>
          <w:spacing w:val="-3"/>
        </w:rPr>
        <w:t xml:space="preserve"> </w:t>
      </w:r>
      <w:r>
        <w:t>t</w:t>
      </w:r>
      <w:r>
        <w:t>echnologies.</w:t>
      </w:r>
      <w:r>
        <w:rPr>
          <w:spacing w:val="-3"/>
        </w:rPr>
        <w:t xml:space="preserve"> </w:t>
      </w:r>
      <w:r>
        <w:t>Penetration</w:t>
      </w:r>
      <w:r>
        <w:rPr>
          <w:spacing w:val="-3"/>
        </w:rPr>
        <w:t xml:space="preserve"> </w:t>
      </w:r>
      <w:r>
        <w:t>reflects</w:t>
      </w:r>
      <w:r>
        <w:rPr>
          <w:spacing w:val="-3"/>
        </w:rPr>
        <w:t xml:space="preserve"> </w:t>
      </w:r>
      <w:r>
        <w:t>that</w:t>
      </w:r>
      <w:r>
        <w:rPr>
          <w:spacing w:val="-4"/>
        </w:rPr>
        <w:t xml:space="preserve"> </w:t>
      </w:r>
      <w:r>
        <w:t>SCG</w:t>
      </w:r>
      <w:r>
        <w:rPr>
          <w:spacing w:val="-4"/>
        </w:rPr>
        <w:t xml:space="preserve"> </w:t>
      </w:r>
      <w:r>
        <w:t>does</w:t>
      </w:r>
      <w:r>
        <w:rPr>
          <w:spacing w:val="-3"/>
        </w:rPr>
        <w:t xml:space="preserve"> </w:t>
      </w:r>
      <w:r>
        <w:t>not</w:t>
      </w:r>
      <w:r>
        <w:rPr>
          <w:spacing w:val="-3"/>
        </w:rPr>
        <w:t xml:space="preserve"> </w:t>
      </w:r>
      <w:r>
        <w:t>claim</w:t>
      </w:r>
      <w:r>
        <w:rPr>
          <w:spacing w:val="-4"/>
        </w:rPr>
        <w:t xml:space="preserve"> </w:t>
      </w:r>
      <w:r>
        <w:t>savings</w:t>
      </w:r>
      <w:r>
        <w:rPr>
          <w:spacing w:val="-3"/>
        </w:rPr>
        <w:t xml:space="preserve"> </w:t>
      </w:r>
      <w:r>
        <w:t>until</w:t>
      </w:r>
      <w:r>
        <w:rPr>
          <w:spacing w:val="-3"/>
        </w:rPr>
        <w:t xml:space="preserve"> </w:t>
      </w:r>
      <w:r>
        <w:t>2018,</w:t>
      </w:r>
      <w:r>
        <w:rPr>
          <w:spacing w:val="-3"/>
        </w:rPr>
        <w:t xml:space="preserve"> </w:t>
      </w:r>
      <w:r>
        <w:t>and a CAGR was used to forecast growth in BEIMS technology penetration over time. The analysis used a 12% CAGR. Based on estimates of market saturations as of 2017, these</w:t>
      </w:r>
    </w:p>
    <w:p w:rsidR="00C31389" w:rsidRDefault="00C31389" w14:paraId="7E8CEB2F" w14:textId="77777777">
      <w:pPr>
        <w:pStyle w:val="BodyText"/>
        <w:rPr>
          <w:sz w:val="20"/>
        </w:rPr>
      </w:pPr>
    </w:p>
    <w:p w:rsidR="00C31389" w:rsidRDefault="00C31389" w14:paraId="7F27567E" w14:textId="77777777">
      <w:pPr>
        <w:pStyle w:val="BodyText"/>
        <w:rPr>
          <w:sz w:val="20"/>
        </w:rPr>
      </w:pPr>
    </w:p>
    <w:p w:rsidR="00C31389" w:rsidRDefault="00561FBD" w14:paraId="232E19AF" w14:textId="77777777">
      <w:pPr>
        <w:pStyle w:val="BodyText"/>
        <w:spacing w:before="1"/>
        <w:rPr>
          <w:sz w:val="19"/>
        </w:rPr>
      </w:pPr>
      <w:r>
        <w:rPr>
          <w:noProof/>
        </w:rPr>
        <mc:AlternateContent>
          <mc:Choice Requires="wps">
            <w:drawing>
              <wp:anchor distT="0" distB="0" distL="0" distR="0" simplePos="0" relativeHeight="487724544" behindDoc="1" locked="0" layoutInCell="1" allowOverlap="1" wp14:editId="049450B5" wp14:anchorId="0C6B1F16">
                <wp:simplePos x="0" y="0"/>
                <wp:positionH relativeFrom="page">
                  <wp:posOffset>914400</wp:posOffset>
                </wp:positionH>
                <wp:positionV relativeFrom="paragraph">
                  <wp:posOffset>155089</wp:posOffset>
                </wp:positionV>
                <wp:extent cx="1828800" cy="6985"/>
                <wp:effectExtent l="0" t="0" r="0" b="0"/>
                <wp:wrapTopAndBottom/>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6" style="position:absolute;margin-left:1in;margin-top:12.2pt;width:2in;height:.55pt;z-index:-1559193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" w14:anchorId="44CA924E">
                <v:path arrowok="t"/>
                <w10:wrap type="topAndBottom" anchorx="page"/>
              </v:shape>
            </w:pict>
          </mc:Fallback>
        </mc:AlternateContent>
      </w:r>
    </w:p>
    <w:p w:rsidR="00C31389" w:rsidRDefault="00561FBD" w14:paraId="3A9C166E" w14:textId="77777777">
      <w:pPr>
        <w:spacing w:before="88"/>
        <w:ind w:left="480" w:right="418"/>
        <w:rPr>
          <w:sz w:val="18"/>
        </w:rPr>
      </w:pPr>
      <w:bookmarkStart w:name="_bookmark379" w:id="498"/>
      <w:bookmarkEnd w:id="498"/>
      <w:r>
        <w:rPr>
          <w:position w:val="6"/>
          <w:sz w:val="12"/>
        </w:rPr>
        <w:t>139</w:t>
      </w:r>
      <w:r>
        <w:rPr>
          <w:spacing w:val="8"/>
          <w:position w:val="6"/>
          <w:sz w:val="12"/>
        </w:rPr>
        <w:t xml:space="preserve"> </w:t>
      </w:r>
      <w:r>
        <w:rPr>
          <w:sz w:val="18"/>
        </w:rPr>
        <w:t>At</w:t>
      </w:r>
      <w:r>
        <w:rPr>
          <w:spacing w:val="-9"/>
          <w:sz w:val="18"/>
        </w:rPr>
        <w:t xml:space="preserve"> </w:t>
      </w:r>
      <w:hyperlink r:id="rId276">
        <w:r>
          <w:rPr>
            <w:color w:val="68942C"/>
            <w:sz w:val="18"/>
            <w:u w:val="single" w:color="68942C"/>
          </w:rPr>
          <w:t>https://www.energy.ca.gov/data-reports/surveys/california-commercial-end-use-survey,</w:t>
        </w:r>
      </w:hyperlink>
      <w:r>
        <w:rPr>
          <w:color w:val="68942C"/>
          <w:spacing w:val="-9"/>
          <w:sz w:val="18"/>
        </w:rPr>
        <w:t xml:space="preserve"> </w:t>
      </w:r>
      <w:r>
        <w:rPr>
          <w:sz w:val="18"/>
        </w:rPr>
        <w:t>accessed</w:t>
      </w:r>
      <w:r>
        <w:rPr>
          <w:spacing w:val="-10"/>
          <w:sz w:val="18"/>
        </w:rPr>
        <w:t xml:space="preserve"> </w:t>
      </w:r>
      <w:r>
        <w:rPr>
          <w:sz w:val="18"/>
        </w:rPr>
        <w:t xml:space="preserve">October </w:t>
      </w:r>
      <w:r>
        <w:rPr>
          <w:spacing w:val="-2"/>
          <w:sz w:val="18"/>
        </w:rPr>
        <w:t>2022.</w:t>
      </w:r>
    </w:p>
    <w:p w:rsidR="00C31389" w:rsidRDefault="00561FBD" w14:paraId="11155B39" w14:textId="77777777">
      <w:pPr>
        <w:spacing w:before="35"/>
        <w:ind w:left="480" w:right="418"/>
        <w:rPr>
          <w:sz w:val="18"/>
        </w:rPr>
      </w:pPr>
      <w:bookmarkStart w:name="_bookmark380" w:id="499"/>
      <w:bookmarkEnd w:id="499"/>
      <w:r>
        <w:rPr>
          <w:position w:val="6"/>
          <w:sz w:val="12"/>
        </w:rPr>
        <w:t>140</w:t>
      </w:r>
      <w:r>
        <w:rPr>
          <w:spacing w:val="14"/>
          <w:position w:val="6"/>
          <w:sz w:val="12"/>
        </w:rPr>
        <w:t xml:space="preserve"> </w:t>
      </w:r>
      <w:r>
        <w:rPr>
          <w:sz w:val="18"/>
        </w:rPr>
        <w:t>N</w:t>
      </w:r>
      <w:r>
        <w:rPr>
          <w:sz w:val="18"/>
        </w:rPr>
        <w:t>avigant</w:t>
      </w:r>
      <w:r>
        <w:rPr>
          <w:spacing w:val="-3"/>
          <w:sz w:val="18"/>
        </w:rPr>
        <w:t xml:space="preserve"> </w:t>
      </w:r>
      <w:r>
        <w:rPr>
          <w:sz w:val="18"/>
        </w:rPr>
        <w:t>Consulting,</w:t>
      </w:r>
      <w:r>
        <w:rPr>
          <w:spacing w:val="-3"/>
          <w:sz w:val="18"/>
        </w:rPr>
        <w:t xml:space="preserve"> </w:t>
      </w:r>
      <w:r>
        <w:rPr>
          <w:sz w:val="18"/>
        </w:rPr>
        <w:t>Inc.</w:t>
      </w:r>
      <w:r>
        <w:rPr>
          <w:spacing w:val="-3"/>
          <w:sz w:val="18"/>
        </w:rPr>
        <w:t xml:space="preserve"> </w:t>
      </w:r>
      <w:r>
        <w:rPr>
          <w:i/>
          <w:sz w:val="18"/>
        </w:rPr>
        <w:t>AB</w:t>
      </w:r>
      <w:r>
        <w:rPr>
          <w:i/>
          <w:spacing w:val="-4"/>
          <w:sz w:val="18"/>
        </w:rPr>
        <w:t xml:space="preserve"> </w:t>
      </w:r>
      <w:r>
        <w:rPr>
          <w:i/>
          <w:sz w:val="18"/>
        </w:rPr>
        <w:t>802</w:t>
      </w:r>
      <w:r>
        <w:rPr>
          <w:i/>
          <w:spacing w:val="-3"/>
          <w:sz w:val="18"/>
        </w:rPr>
        <w:t xml:space="preserve"> </w:t>
      </w:r>
      <w:r>
        <w:rPr>
          <w:i/>
          <w:sz w:val="18"/>
        </w:rPr>
        <w:t>Technical</w:t>
      </w:r>
      <w:r>
        <w:rPr>
          <w:i/>
          <w:spacing w:val="-3"/>
          <w:sz w:val="18"/>
        </w:rPr>
        <w:t xml:space="preserve"> </w:t>
      </w:r>
      <w:r>
        <w:rPr>
          <w:i/>
          <w:sz w:val="18"/>
        </w:rPr>
        <w:t>Analysis,</w:t>
      </w:r>
      <w:r>
        <w:rPr>
          <w:i/>
          <w:spacing w:val="-3"/>
          <w:sz w:val="18"/>
        </w:rPr>
        <w:t xml:space="preserve"> </w:t>
      </w:r>
      <w:r>
        <w:rPr>
          <w:i/>
          <w:sz w:val="18"/>
        </w:rPr>
        <w:t>Potential</w:t>
      </w:r>
      <w:r>
        <w:rPr>
          <w:i/>
          <w:spacing w:val="-3"/>
          <w:sz w:val="18"/>
        </w:rPr>
        <w:t xml:space="preserve"> </w:t>
      </w:r>
      <w:r>
        <w:rPr>
          <w:i/>
          <w:sz w:val="18"/>
        </w:rPr>
        <w:t>Savings</w:t>
      </w:r>
      <w:r>
        <w:rPr>
          <w:i/>
          <w:spacing w:val="-3"/>
          <w:sz w:val="18"/>
        </w:rPr>
        <w:t xml:space="preserve"> </w:t>
      </w:r>
      <w:r>
        <w:rPr>
          <w:i/>
          <w:sz w:val="18"/>
        </w:rPr>
        <w:t>Analysis</w:t>
      </w:r>
      <w:r>
        <w:rPr>
          <w:sz w:val="18"/>
        </w:rPr>
        <w:t>.</w:t>
      </w:r>
      <w:r>
        <w:rPr>
          <w:spacing w:val="-3"/>
          <w:sz w:val="18"/>
        </w:rPr>
        <w:t xml:space="preserve"> </w:t>
      </w:r>
      <w:r>
        <w:rPr>
          <w:sz w:val="18"/>
        </w:rPr>
        <w:t>Reference</w:t>
      </w:r>
      <w:r>
        <w:rPr>
          <w:spacing w:val="-4"/>
          <w:sz w:val="18"/>
        </w:rPr>
        <w:t xml:space="preserve"> </w:t>
      </w:r>
      <w:r>
        <w:rPr>
          <w:sz w:val="18"/>
        </w:rPr>
        <w:t>No.:</w:t>
      </w:r>
      <w:r>
        <w:rPr>
          <w:spacing w:val="-3"/>
          <w:sz w:val="18"/>
        </w:rPr>
        <w:t xml:space="preserve"> </w:t>
      </w:r>
      <w:r>
        <w:rPr>
          <w:sz w:val="18"/>
        </w:rPr>
        <w:t>174655, March 31, 2016</w:t>
      </w:r>
    </w:p>
    <w:p w:rsidR="00C31389" w:rsidRDefault="00C31389" w14:paraId="7B594457" w14:textId="77777777">
      <w:pPr>
        <w:rPr>
          <w:sz w:val="18"/>
        </w:rPr>
        <w:sectPr w:rsidR="00C31389">
          <w:pgSz w:w="11910" w:h="16840"/>
          <w:pgMar w:top="1660" w:right="1020" w:bottom="1120" w:left="960" w:header="397" w:footer="938" w:gutter="0"/>
          <w:cols w:space="720"/>
        </w:sectPr>
      </w:pPr>
    </w:p>
    <w:p w:rsidR="00C31389" w:rsidRDefault="00C31389" w14:paraId="2A9FA502" w14:textId="77777777">
      <w:pPr>
        <w:pStyle w:val="BodyText"/>
        <w:spacing w:before="11"/>
        <w:rPr>
          <w:sz w:val="13"/>
        </w:rPr>
      </w:pPr>
    </w:p>
    <w:p w:rsidR="00C31389" w:rsidRDefault="00561FBD" w14:paraId="498A0AAD" w14:textId="77777777">
      <w:pPr>
        <w:pStyle w:val="BodyText"/>
        <w:spacing w:before="92"/>
        <w:ind w:left="480" w:right="418"/>
      </w:pPr>
      <w:r>
        <w:t>growth</w:t>
      </w:r>
      <w:r>
        <w:rPr>
          <w:spacing w:val="-3"/>
        </w:rPr>
        <w:t xml:space="preserve"> </w:t>
      </w:r>
      <w:r>
        <w:t>rates</w:t>
      </w:r>
      <w:r>
        <w:rPr>
          <w:spacing w:val="-3"/>
        </w:rPr>
        <w:t xml:space="preserve"> </w:t>
      </w:r>
      <w:r>
        <w:t>result</w:t>
      </w:r>
      <w:r>
        <w:rPr>
          <w:spacing w:val="-3"/>
        </w:rPr>
        <w:t xml:space="preserve"> </w:t>
      </w:r>
      <w:r>
        <w:t>in</w:t>
      </w:r>
      <w:r>
        <w:rPr>
          <w:spacing w:val="-3"/>
        </w:rPr>
        <w:t xml:space="preserve"> </w:t>
      </w:r>
      <w:r>
        <w:t>BEIMS</w:t>
      </w:r>
      <w:r>
        <w:rPr>
          <w:spacing w:val="-3"/>
        </w:rPr>
        <w:t xml:space="preserve"> </w:t>
      </w:r>
      <w:r>
        <w:t>forecast</w:t>
      </w:r>
      <w:r>
        <w:rPr>
          <w:spacing w:val="-3"/>
        </w:rPr>
        <w:t xml:space="preserve"> </w:t>
      </w:r>
      <w:r>
        <w:t>penetration</w:t>
      </w:r>
      <w:r>
        <w:rPr>
          <w:spacing w:val="-4"/>
        </w:rPr>
        <w:t xml:space="preserve"> </w:t>
      </w:r>
      <w:r>
        <w:t>of</w:t>
      </w:r>
      <w:r>
        <w:rPr>
          <w:spacing w:val="-3"/>
        </w:rPr>
        <w:t xml:space="preserve"> </w:t>
      </w:r>
      <w:r>
        <w:t>7.1%</w:t>
      </w:r>
      <w:r>
        <w:rPr>
          <w:spacing w:val="-3"/>
        </w:rPr>
        <w:t xml:space="preserve"> </w:t>
      </w:r>
      <w:r>
        <w:t>by</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forecast</w:t>
      </w:r>
      <w:r>
        <w:rPr>
          <w:spacing w:val="-3"/>
        </w:rPr>
        <w:t xml:space="preserve"> </w:t>
      </w:r>
      <w:r>
        <w:t>horizon in 2035.</w:t>
      </w:r>
    </w:p>
    <w:p w:rsidR="00C31389" w:rsidRDefault="00C31389" w14:paraId="4FC87D97" w14:textId="77777777">
      <w:pPr>
        <w:pStyle w:val="BodyText"/>
        <w:spacing w:before="9"/>
        <w:rPr>
          <w:sz w:val="20"/>
        </w:rPr>
      </w:pPr>
    </w:p>
    <w:p w:rsidR="00C31389" w:rsidRDefault="00561FBD" w14:paraId="5986F587" w14:textId="77777777">
      <w:pPr>
        <w:pStyle w:val="BodyText"/>
        <w:spacing w:before="1"/>
        <w:ind w:left="480" w:right="424" w:hanging="1"/>
      </w:pPr>
      <w:r>
        <w:t>The</w:t>
      </w:r>
      <w:r>
        <w:rPr>
          <w:spacing w:val="-3"/>
        </w:rPr>
        <w:t xml:space="preserve"> </w:t>
      </w:r>
      <w:r>
        <w:t>FASP</w:t>
      </w:r>
      <w:r>
        <w:rPr>
          <w:spacing w:val="-3"/>
        </w:rPr>
        <w:t xml:space="preserve"> </w:t>
      </w:r>
      <w:r>
        <w:t>focuses</w:t>
      </w:r>
      <w:r>
        <w:rPr>
          <w:spacing w:val="-3"/>
        </w:rPr>
        <w:t xml:space="preserve"> </w:t>
      </w:r>
      <w:r>
        <w:t>on</w:t>
      </w:r>
      <w:r>
        <w:rPr>
          <w:spacing w:val="-4"/>
        </w:rPr>
        <w:t xml:space="preserve"> </w:t>
      </w:r>
      <w:r>
        <w:t>small-</w:t>
      </w:r>
      <w:r>
        <w:rPr>
          <w:spacing w:val="-3"/>
        </w:rPr>
        <w:t xml:space="preserve"> </w:t>
      </w:r>
      <w:r>
        <w:t>to</w:t>
      </w:r>
      <w:r>
        <w:rPr>
          <w:spacing w:val="-3"/>
        </w:rPr>
        <w:t xml:space="preserve"> </w:t>
      </w:r>
      <w:r>
        <w:t>medium-sized</w:t>
      </w:r>
      <w:r>
        <w:rPr>
          <w:spacing w:val="-3"/>
        </w:rPr>
        <w:t xml:space="preserve"> </w:t>
      </w:r>
      <w:r>
        <w:t>commercial</w:t>
      </w:r>
      <w:r>
        <w:rPr>
          <w:spacing w:val="-3"/>
        </w:rPr>
        <w:t xml:space="preserve"> </w:t>
      </w:r>
      <w:r>
        <w:t>buildings.</w:t>
      </w:r>
      <w:r>
        <w:rPr>
          <w:spacing w:val="-3"/>
        </w:rPr>
        <w:t xml:space="preserve"> </w:t>
      </w:r>
      <w:r>
        <w:t>While</w:t>
      </w:r>
      <w:r>
        <w:rPr>
          <w:spacing w:val="-3"/>
        </w:rPr>
        <w:t xml:space="preserve"> </w:t>
      </w:r>
      <w:r>
        <w:t>SCE</w:t>
      </w:r>
      <w:r>
        <w:rPr>
          <w:spacing w:val="-3"/>
        </w:rPr>
        <w:t xml:space="preserve"> </w:t>
      </w:r>
      <w:r>
        <w:t>and</w:t>
      </w:r>
      <w:r>
        <w:rPr>
          <w:spacing w:val="-3"/>
        </w:rPr>
        <w:t xml:space="preserve"> </w:t>
      </w:r>
      <w:r>
        <w:t>SDG&amp;E plan to discontinue their current programs,</w:t>
      </w:r>
      <w:r>
        <w:rPr>
          <w:spacing w:val="-3"/>
        </w:rPr>
        <w:t xml:space="preserve"> </w:t>
      </w:r>
      <w:hyperlink w:history="1" w:anchor="_bookmark383">
        <w:r>
          <w:rPr>
            <w:position w:val="7"/>
            <w:sz w:val="14"/>
          </w:rPr>
          <w:t>141</w:t>
        </w:r>
      </w:hyperlink>
      <w:r>
        <w:rPr>
          <w:position w:val="7"/>
          <w:sz w:val="14"/>
        </w:rPr>
        <w:t>,</w:t>
      </w:r>
      <w:hyperlink w:history="1" w:anchor="_bookmark384">
        <w:r>
          <w:rPr>
            <w:position w:val="7"/>
            <w:sz w:val="14"/>
          </w:rPr>
          <w:t>142</w:t>
        </w:r>
      </w:hyperlink>
      <w:r>
        <w:rPr>
          <w:spacing w:val="33"/>
          <w:position w:val="7"/>
          <w:sz w:val="14"/>
        </w:rPr>
        <w:t xml:space="preserve"> </w:t>
      </w:r>
      <w:r>
        <w:t>because FASP was designed in response to legislation intended to target this sector (AB 793), the team anticipates that market intervention</w:t>
      </w:r>
      <w:r>
        <w:rPr>
          <w:spacing w:val="-4"/>
        </w:rPr>
        <w:t xml:space="preserve"> </w:t>
      </w:r>
      <w:r>
        <w:t>will</w:t>
      </w:r>
      <w:r>
        <w:rPr>
          <w:spacing w:val="-3"/>
        </w:rPr>
        <w:t xml:space="preserve"> </w:t>
      </w:r>
      <w:r>
        <w:t>be</w:t>
      </w:r>
      <w:r>
        <w:rPr>
          <w:spacing w:val="-3"/>
        </w:rPr>
        <w:t xml:space="preserve"> </w:t>
      </w:r>
      <w:r>
        <w:t>ongoing</w:t>
      </w:r>
      <w:r>
        <w:rPr>
          <w:spacing w:val="-3"/>
        </w:rPr>
        <w:t xml:space="preserve"> </w:t>
      </w:r>
      <w:r>
        <w:t>throughout</w:t>
      </w:r>
      <w:r>
        <w:rPr>
          <w:spacing w:val="-3"/>
        </w:rPr>
        <w:t xml:space="preserve"> </w:t>
      </w:r>
      <w:r>
        <w:t>the</w:t>
      </w:r>
      <w:r>
        <w:rPr>
          <w:spacing w:val="-3"/>
        </w:rPr>
        <w:t xml:space="preserve"> </w:t>
      </w:r>
      <w:r>
        <w:t>forecast</w:t>
      </w:r>
      <w:r>
        <w:rPr>
          <w:spacing w:val="-3"/>
        </w:rPr>
        <w:t xml:space="preserve"> </w:t>
      </w:r>
      <w:r>
        <w:t>horizon—either</w:t>
      </w:r>
      <w:r>
        <w:rPr>
          <w:spacing w:val="-3"/>
        </w:rPr>
        <w:t xml:space="preserve"> </w:t>
      </w:r>
      <w:r>
        <w:t>through</w:t>
      </w:r>
      <w:r>
        <w:rPr>
          <w:spacing w:val="-3"/>
        </w:rPr>
        <w:t xml:space="preserve"> </w:t>
      </w:r>
      <w:r>
        <w:t>a</w:t>
      </w:r>
      <w:r>
        <w:rPr>
          <w:spacing w:val="-3"/>
        </w:rPr>
        <w:t xml:space="preserve"> </w:t>
      </w:r>
      <w:r>
        <w:t>continuation</w:t>
      </w:r>
      <w:r>
        <w:rPr>
          <w:spacing w:val="-3"/>
        </w:rPr>
        <w:t xml:space="preserve"> </w:t>
      </w:r>
      <w:r>
        <w:t xml:space="preserve">of existing programs or new </w:t>
      </w:r>
      <w:r>
        <w:t>program designs that will be implemented over time.</w:t>
      </w:r>
    </w:p>
    <w:p w:rsidR="00C31389" w:rsidRDefault="00C31389" w14:paraId="2986168F" w14:textId="77777777">
      <w:pPr>
        <w:pStyle w:val="BodyText"/>
        <w:spacing w:before="11"/>
        <w:rPr>
          <w:sz w:val="20"/>
        </w:rPr>
      </w:pPr>
    </w:p>
    <w:p w:rsidR="00C31389" w:rsidRDefault="00561FBD" w14:paraId="181C2F9D" w14:textId="77777777">
      <w:pPr>
        <w:pStyle w:val="Heading7"/>
        <w:ind w:left="480"/>
      </w:pPr>
      <w:r>
        <w:rPr>
          <w:spacing w:val="-2"/>
        </w:rPr>
        <w:t>Savings</w:t>
      </w:r>
    </w:p>
    <w:p w:rsidR="00C31389" w:rsidRDefault="00C31389" w14:paraId="0C5B4E57" w14:textId="77777777">
      <w:pPr>
        <w:pStyle w:val="BodyText"/>
        <w:spacing w:before="9"/>
        <w:rPr>
          <w:b/>
          <w:sz w:val="20"/>
        </w:rPr>
      </w:pPr>
    </w:p>
    <w:p w:rsidR="00C31389" w:rsidRDefault="00561FBD" w14:paraId="25D90AD7" w14:textId="77777777">
      <w:pPr>
        <w:pStyle w:val="BodyText"/>
        <w:ind w:left="480" w:right="418"/>
      </w:pPr>
      <w:r>
        <w:t>As</w:t>
      </w:r>
      <w:r>
        <w:rPr>
          <w:spacing w:val="-3"/>
        </w:rPr>
        <w:t xml:space="preserve"> </w:t>
      </w:r>
      <w:r>
        <w:t>discussed</w:t>
      </w:r>
      <w:r>
        <w:rPr>
          <w:spacing w:val="-3"/>
        </w:rPr>
        <w:t xml:space="preserve"> </w:t>
      </w:r>
      <w:r>
        <w:t>in</w:t>
      </w:r>
      <w:r>
        <w:rPr>
          <w:spacing w:val="-3"/>
        </w:rPr>
        <w:t xml:space="preserve"> </w:t>
      </w:r>
      <w:r>
        <w:t>the</w:t>
      </w:r>
      <w:r>
        <w:rPr>
          <w:spacing w:val="-3"/>
        </w:rPr>
        <w:t xml:space="preserve"> </w:t>
      </w:r>
      <w:r>
        <w:t>AB</w:t>
      </w:r>
      <w:r>
        <w:rPr>
          <w:spacing w:val="-3"/>
        </w:rPr>
        <w:t xml:space="preserve"> </w:t>
      </w:r>
      <w:r>
        <w:t>802</w:t>
      </w:r>
      <w:r>
        <w:rPr>
          <w:spacing w:val="-3"/>
        </w:rPr>
        <w:t xml:space="preserve"> </w:t>
      </w:r>
      <w:r>
        <w:t>Technical</w:t>
      </w:r>
      <w:r>
        <w:rPr>
          <w:spacing w:val="-3"/>
        </w:rPr>
        <w:t xml:space="preserve"> </w:t>
      </w:r>
      <w:r>
        <w:t>Analysis,</w:t>
      </w:r>
      <w:r>
        <w:rPr>
          <w:spacing w:val="-4"/>
        </w:rPr>
        <w:t xml:space="preserve"> </w:t>
      </w:r>
      <w:r>
        <w:t>UES</w:t>
      </w:r>
      <w:r>
        <w:rPr>
          <w:spacing w:val="-3"/>
        </w:rPr>
        <w:t xml:space="preserve"> </w:t>
      </w:r>
      <w:r>
        <w:t>associated</w:t>
      </w:r>
      <w:r>
        <w:rPr>
          <w:spacing w:val="-3"/>
        </w:rPr>
        <w:t xml:space="preserve"> </w:t>
      </w:r>
      <w:r>
        <w:t>with</w:t>
      </w:r>
      <w:r>
        <w:rPr>
          <w:spacing w:val="-3"/>
        </w:rPr>
        <w:t xml:space="preserve"> </w:t>
      </w:r>
      <w:r>
        <w:t>BEIMS</w:t>
      </w:r>
      <w:r>
        <w:rPr>
          <w:spacing w:val="-3"/>
        </w:rPr>
        <w:t xml:space="preserve"> </w:t>
      </w:r>
      <w:r>
        <w:t>are</w:t>
      </w:r>
      <w:r>
        <w:rPr>
          <w:spacing w:val="-3"/>
        </w:rPr>
        <w:t xml:space="preserve"> </w:t>
      </w:r>
      <w:r>
        <w:t xml:space="preserve">calculated using </w:t>
      </w:r>
      <w:hyperlink w:history="1" w:anchor="_bookmark381">
        <w:r>
          <w:t>Equation D-2</w:t>
        </w:r>
      </w:hyperlink>
      <w:r>
        <w:t>.</w:t>
      </w:r>
    </w:p>
    <w:p w:rsidR="00C31389" w:rsidRDefault="00C31389" w14:paraId="1281AC88" w14:textId="77777777">
      <w:pPr>
        <w:pStyle w:val="BodyText"/>
        <w:spacing w:before="10"/>
        <w:rPr>
          <w:sz w:val="20"/>
        </w:rPr>
      </w:pPr>
    </w:p>
    <w:p w:rsidR="00C31389" w:rsidRDefault="00561FBD" w14:paraId="13C48964" w14:textId="77777777">
      <w:pPr>
        <w:pStyle w:val="Heading7"/>
        <w:ind w:left="398" w:right="338"/>
        <w:jc w:val="center"/>
      </w:pPr>
      <w:bookmarkStart w:name="_bookmark381" w:id="500"/>
      <w:bookmarkEnd w:id="500"/>
      <w:r>
        <w:t>Equation</w:t>
      </w:r>
      <w:r>
        <w:rPr>
          <w:spacing w:val="-8"/>
        </w:rPr>
        <w:t xml:space="preserve"> </w:t>
      </w:r>
      <w:r>
        <w:t>D-2.</w:t>
      </w:r>
      <w:r>
        <w:rPr>
          <w:spacing w:val="-8"/>
        </w:rPr>
        <w:t xml:space="preserve"> </w:t>
      </w:r>
      <w:r>
        <w:t>BEIMS</w:t>
      </w:r>
      <w:r>
        <w:rPr>
          <w:spacing w:val="-8"/>
        </w:rPr>
        <w:t xml:space="preserve"> </w:t>
      </w:r>
      <w:r>
        <w:t>Unit</w:t>
      </w:r>
      <w:r>
        <w:rPr>
          <w:spacing w:val="-8"/>
        </w:rPr>
        <w:t xml:space="preserve"> </w:t>
      </w:r>
      <w:r>
        <w:t>Energy</w:t>
      </w:r>
      <w:r>
        <w:rPr>
          <w:spacing w:val="-8"/>
        </w:rPr>
        <w:t xml:space="preserve"> </w:t>
      </w:r>
      <w:r>
        <w:rPr>
          <w:spacing w:val="-2"/>
        </w:rPr>
        <w:t>Savings</w:t>
      </w:r>
    </w:p>
    <w:p w:rsidR="00C31389" w:rsidRDefault="00561FBD" w14:paraId="75D78CB4" w14:textId="77777777">
      <w:pPr>
        <w:pStyle w:val="Heading6"/>
        <w:spacing w:before="120" w:line="230" w:lineRule="auto"/>
        <w:ind w:left="1199" w:right="1057"/>
        <w:jc w:val="both"/>
      </w:pPr>
      <w:r>
        <w:t>Unit</w:t>
      </w:r>
      <w:r>
        <w:rPr>
          <w:spacing w:val="-13"/>
        </w:rPr>
        <w:t xml:space="preserve"> </w:t>
      </w:r>
      <w:r>
        <w:t>Energy</w:t>
      </w:r>
      <w:r>
        <w:rPr>
          <w:spacing w:val="-13"/>
        </w:rPr>
        <w:t xml:space="preserve"> </w:t>
      </w:r>
      <w:r>
        <w:t>Savings,</w:t>
      </w:r>
      <w:r>
        <w:rPr>
          <w:spacing w:val="-12"/>
        </w:rPr>
        <w:t xml:space="preserve"> </w:t>
      </w:r>
      <w:r>
        <w:t>BEIMS</w:t>
      </w:r>
      <w:r>
        <w:rPr>
          <w:spacing w:val="-13"/>
        </w:rPr>
        <w:t xml:space="preserve"> </w:t>
      </w:r>
      <w:r>
        <w:t>=</w:t>
      </w:r>
      <w:r>
        <w:rPr>
          <w:spacing w:val="-13"/>
        </w:rPr>
        <w:t xml:space="preserve"> </w:t>
      </w:r>
      <w:r>
        <w:t>Starting</w:t>
      </w:r>
      <w:r>
        <w:rPr>
          <w:spacing w:val="-12"/>
        </w:rPr>
        <w:t xml:space="preserve"> </w:t>
      </w:r>
      <w:r>
        <w:t>Saturation</w:t>
      </w:r>
      <w:r>
        <w:rPr>
          <w:spacing w:val="-13"/>
        </w:rPr>
        <w:t xml:space="preserve"> </w:t>
      </w:r>
      <w:r>
        <w:t>of</w:t>
      </w:r>
      <w:r>
        <w:rPr>
          <w:spacing w:val="-13"/>
        </w:rPr>
        <w:t xml:space="preserve"> </w:t>
      </w:r>
      <w:r>
        <w:t>EMS</w:t>
      </w:r>
      <w:r>
        <w:rPr>
          <w:spacing w:val="-12"/>
        </w:rPr>
        <w:t xml:space="preserve"> </w:t>
      </w:r>
      <w:r>
        <w:t>by</w:t>
      </w:r>
      <w:r>
        <w:rPr>
          <w:spacing w:val="-13"/>
        </w:rPr>
        <w:t xml:space="preserve"> </w:t>
      </w:r>
      <w:r>
        <w:t>Building</w:t>
      </w:r>
      <w:r>
        <w:rPr>
          <w:spacing w:val="-13"/>
        </w:rPr>
        <w:t xml:space="preserve"> </w:t>
      </w:r>
      <w:r>
        <w:t>Type</w:t>
      </w:r>
      <w:r>
        <w:rPr>
          <w:spacing w:val="-12"/>
        </w:rPr>
        <w:t xml:space="preserve"> </w:t>
      </w:r>
      <w:r>
        <w:t>x</w:t>
      </w:r>
      <w:r>
        <w:rPr>
          <w:spacing w:val="-13"/>
        </w:rPr>
        <w:t xml:space="preserve"> </w:t>
      </w:r>
      <w:r>
        <w:t>Total Annual</w:t>
      </w:r>
      <w:r>
        <w:rPr>
          <w:spacing w:val="-7"/>
        </w:rPr>
        <w:t xml:space="preserve"> </w:t>
      </w:r>
      <w:r>
        <w:t>Consumption</w:t>
      </w:r>
      <w:r>
        <w:rPr>
          <w:spacing w:val="-7"/>
        </w:rPr>
        <w:t xml:space="preserve"> </w:t>
      </w:r>
      <w:r>
        <w:t>x</w:t>
      </w:r>
      <w:r>
        <w:rPr>
          <w:spacing w:val="-7"/>
        </w:rPr>
        <w:t xml:space="preserve"> </w:t>
      </w:r>
      <w:r>
        <w:t>%</w:t>
      </w:r>
      <w:r>
        <w:rPr>
          <w:spacing w:val="-7"/>
        </w:rPr>
        <w:t xml:space="preserve"> </w:t>
      </w:r>
      <w:r>
        <w:t>End</w:t>
      </w:r>
      <w:r>
        <w:rPr>
          <w:spacing w:val="-7"/>
        </w:rPr>
        <w:t xml:space="preserve"> </w:t>
      </w:r>
      <w:r>
        <w:t>Use</w:t>
      </w:r>
      <w:r>
        <w:rPr>
          <w:spacing w:val="-7"/>
        </w:rPr>
        <w:t xml:space="preserve"> </w:t>
      </w:r>
      <w:r>
        <w:t>Consumption</w:t>
      </w:r>
      <w:r>
        <w:rPr>
          <w:spacing w:val="-7"/>
        </w:rPr>
        <w:t xml:space="preserve"> </w:t>
      </w:r>
      <w:r>
        <w:t>for</w:t>
      </w:r>
      <w:r>
        <w:rPr>
          <w:spacing w:val="-7"/>
        </w:rPr>
        <w:t xml:space="preserve"> </w:t>
      </w:r>
      <w:r>
        <w:t>HVAC</w:t>
      </w:r>
      <w:r>
        <w:rPr>
          <w:spacing w:val="-7"/>
        </w:rPr>
        <w:t xml:space="preserve"> </w:t>
      </w:r>
      <w:r>
        <w:t>x</w:t>
      </w:r>
      <w:r>
        <w:rPr>
          <w:spacing w:val="-7"/>
        </w:rPr>
        <w:t xml:space="preserve"> </w:t>
      </w:r>
      <w:r>
        <w:t>%</w:t>
      </w:r>
      <w:r>
        <w:rPr>
          <w:spacing w:val="-7"/>
        </w:rPr>
        <w:t xml:space="preserve"> </w:t>
      </w:r>
      <w:r>
        <w:t>End</w:t>
      </w:r>
      <w:r>
        <w:rPr>
          <w:spacing w:val="-7"/>
        </w:rPr>
        <w:t xml:space="preserve"> </w:t>
      </w:r>
      <w:r>
        <w:t>Use</w:t>
      </w:r>
      <w:r>
        <w:rPr>
          <w:spacing w:val="-7"/>
        </w:rPr>
        <w:t xml:space="preserve"> </w:t>
      </w:r>
      <w:r>
        <w:t>Savings</w:t>
      </w:r>
      <w:r>
        <w:rPr>
          <w:spacing w:val="-7"/>
        </w:rPr>
        <w:t xml:space="preserve"> </w:t>
      </w:r>
      <w:r>
        <w:t xml:space="preserve">by </w:t>
      </w:r>
      <w:r>
        <w:rPr>
          <w:w w:val="105"/>
        </w:rPr>
        <w:t>Building</w:t>
      </w:r>
      <w:r>
        <w:rPr>
          <w:spacing w:val="-1"/>
          <w:w w:val="105"/>
        </w:rPr>
        <w:t xml:space="preserve"> </w:t>
      </w:r>
      <w:r>
        <w:rPr>
          <w:w w:val="105"/>
        </w:rPr>
        <w:t>Type</w:t>
      </w:r>
    </w:p>
    <w:p w:rsidR="00C31389" w:rsidRDefault="00C31389" w14:paraId="693DCB40" w14:textId="77777777">
      <w:pPr>
        <w:pStyle w:val="BodyText"/>
        <w:spacing w:before="3"/>
        <w:rPr>
          <w:rFonts w:ascii="Cambria"/>
          <w:i/>
          <w:sz w:val="20"/>
        </w:rPr>
      </w:pPr>
    </w:p>
    <w:p w:rsidR="00C31389" w:rsidRDefault="00561FBD" w14:paraId="02AB4BD1" w14:textId="77777777">
      <w:pPr>
        <w:pStyle w:val="BodyText"/>
        <w:spacing w:before="1"/>
        <w:ind w:left="480" w:right="418"/>
      </w:pPr>
      <w:r>
        <w:t xml:space="preserve">This equation resulted in a range of UES values </w:t>
      </w:r>
      <w:r>
        <w:t>associated with BEIMS. While there is the potential for overlap in savings between BEIMS, BOC, and SEM interventions, the current saturation</w:t>
      </w:r>
      <w:r>
        <w:rPr>
          <w:spacing w:val="-3"/>
        </w:rPr>
        <w:t xml:space="preserve"> </w:t>
      </w:r>
      <w:r>
        <w:t>of</w:t>
      </w:r>
      <w:r>
        <w:rPr>
          <w:spacing w:val="-4"/>
        </w:rPr>
        <w:t xml:space="preserve"> </w:t>
      </w:r>
      <w:r>
        <w:t>these</w:t>
      </w:r>
      <w:r>
        <w:rPr>
          <w:spacing w:val="-3"/>
        </w:rPr>
        <w:t xml:space="preserve"> </w:t>
      </w:r>
      <w:r>
        <w:t>measures</w:t>
      </w:r>
      <w:r>
        <w:rPr>
          <w:spacing w:val="-3"/>
        </w:rPr>
        <w:t xml:space="preserve"> </w:t>
      </w:r>
      <w:r>
        <w:t>and</w:t>
      </w:r>
      <w:r>
        <w:rPr>
          <w:spacing w:val="-3"/>
        </w:rPr>
        <w:t xml:space="preserve"> </w:t>
      </w:r>
      <w:r>
        <w:t>relatively</w:t>
      </w:r>
      <w:r>
        <w:rPr>
          <w:spacing w:val="-4"/>
        </w:rPr>
        <w:t xml:space="preserve"> </w:t>
      </w:r>
      <w:r>
        <w:t>low</w:t>
      </w:r>
      <w:r>
        <w:rPr>
          <w:spacing w:val="-4"/>
        </w:rPr>
        <w:t xml:space="preserve"> </w:t>
      </w:r>
      <w:r>
        <w:t>penetration</w:t>
      </w:r>
      <w:r>
        <w:rPr>
          <w:spacing w:val="-3"/>
        </w:rPr>
        <w:t xml:space="preserve"> </w:t>
      </w:r>
      <w:r>
        <w:t>rates</w:t>
      </w:r>
      <w:r>
        <w:rPr>
          <w:spacing w:val="-3"/>
        </w:rPr>
        <w:t xml:space="preserve"> </w:t>
      </w:r>
      <w:r>
        <w:t>forecast</w:t>
      </w:r>
      <w:r>
        <w:rPr>
          <w:spacing w:val="-3"/>
        </w:rPr>
        <w:t xml:space="preserve"> </w:t>
      </w:r>
      <w:r>
        <w:t>indicate</w:t>
      </w:r>
      <w:r>
        <w:rPr>
          <w:spacing w:val="-3"/>
        </w:rPr>
        <w:t xml:space="preserve"> </w:t>
      </w:r>
      <w:r>
        <w:t>the</w:t>
      </w:r>
      <w:r>
        <w:rPr>
          <w:spacing w:val="-3"/>
        </w:rPr>
        <w:t xml:space="preserve"> </w:t>
      </w:r>
      <w:r>
        <w:t>risk</w:t>
      </w:r>
      <w:r>
        <w:rPr>
          <w:spacing w:val="-3"/>
        </w:rPr>
        <w:t xml:space="preserve"> </w:t>
      </w:r>
      <w:r>
        <w:t>of double counting savings is min</w:t>
      </w:r>
      <w:r>
        <w:t>imal and, therefore, was not considered in this model.</w:t>
      </w:r>
    </w:p>
    <w:p w:rsidR="00C31389" w:rsidRDefault="00561FBD" w14:paraId="0088442E" w14:textId="77777777">
      <w:pPr>
        <w:pStyle w:val="BodyText"/>
        <w:ind w:left="480" w:right="505"/>
      </w:pPr>
      <w:r>
        <w:t>Additionally, BEIMS often requires capital investment while BOC and SEM typically do not, providing</w:t>
      </w:r>
      <w:r>
        <w:rPr>
          <w:spacing w:val="-3"/>
        </w:rPr>
        <w:t xml:space="preserve"> </w:t>
      </w:r>
      <w:r>
        <w:t>some</w:t>
      </w:r>
      <w:r>
        <w:rPr>
          <w:spacing w:val="-3"/>
        </w:rPr>
        <w:t xml:space="preserve"> </w:t>
      </w:r>
      <w:r>
        <w:t>differentiation</w:t>
      </w:r>
      <w:r>
        <w:rPr>
          <w:spacing w:val="-3"/>
        </w:rPr>
        <w:t xml:space="preserve"> </w:t>
      </w:r>
      <w:r>
        <w:t>in</w:t>
      </w:r>
      <w:r>
        <w:rPr>
          <w:spacing w:val="-3"/>
        </w:rPr>
        <w:t xml:space="preserve"> </w:t>
      </w:r>
      <w:r>
        <w:t>the</w:t>
      </w:r>
      <w:r>
        <w:rPr>
          <w:spacing w:val="-4"/>
        </w:rPr>
        <w:t xml:space="preserve"> </w:t>
      </w:r>
      <w:r>
        <w:t>market</w:t>
      </w:r>
      <w:r>
        <w:rPr>
          <w:spacing w:val="-3"/>
        </w:rPr>
        <w:t xml:space="preserve"> </w:t>
      </w:r>
      <w:r>
        <w:t>penetration</w:t>
      </w:r>
      <w:r>
        <w:rPr>
          <w:spacing w:val="-3"/>
        </w:rPr>
        <w:t xml:space="preserve"> </w:t>
      </w:r>
      <w:r>
        <w:t>models</w:t>
      </w:r>
      <w:r>
        <w:rPr>
          <w:spacing w:val="-3"/>
        </w:rPr>
        <w:t xml:space="preserve"> </w:t>
      </w:r>
      <w:r>
        <w:t>and</w:t>
      </w:r>
      <w:r>
        <w:rPr>
          <w:spacing w:val="-3"/>
        </w:rPr>
        <w:t xml:space="preserve"> </w:t>
      </w:r>
      <w:r>
        <w:t>potential</w:t>
      </w:r>
      <w:r>
        <w:rPr>
          <w:spacing w:val="-3"/>
        </w:rPr>
        <w:t xml:space="preserve"> </w:t>
      </w:r>
      <w:r>
        <w:t>to</w:t>
      </w:r>
      <w:r>
        <w:rPr>
          <w:spacing w:val="-3"/>
        </w:rPr>
        <w:t xml:space="preserve"> </w:t>
      </w:r>
      <w:r>
        <w:t>mitigate</w:t>
      </w:r>
      <w:r>
        <w:rPr>
          <w:spacing w:val="-3"/>
        </w:rPr>
        <w:t xml:space="preserve"> </w:t>
      </w:r>
      <w:r>
        <w:t>the risk of double co</w:t>
      </w:r>
      <w:r>
        <w:t xml:space="preserve">unting savings. The UES from </w:t>
      </w:r>
      <w:hyperlink w:history="1" w:anchor="_bookmark382">
        <w:r>
          <w:t>Equation D-3</w:t>
        </w:r>
      </w:hyperlink>
      <w:r>
        <w:t>, defined through work on the AB</w:t>
      </w:r>
      <w:r>
        <w:rPr>
          <w:spacing w:val="-3"/>
        </w:rPr>
        <w:t xml:space="preserve"> </w:t>
      </w:r>
      <w:r>
        <w:t>802</w:t>
      </w:r>
      <w:r>
        <w:rPr>
          <w:spacing w:val="-3"/>
        </w:rPr>
        <w:t xml:space="preserve"> </w:t>
      </w:r>
      <w:r>
        <w:t>Technical</w:t>
      </w:r>
      <w:r>
        <w:rPr>
          <w:spacing w:val="-3"/>
        </w:rPr>
        <w:t xml:space="preserve"> </w:t>
      </w:r>
      <w:r>
        <w:t>Analysis,</w:t>
      </w:r>
      <w:r>
        <w:rPr>
          <w:spacing w:val="-3"/>
        </w:rPr>
        <w:t xml:space="preserve"> </w:t>
      </w:r>
      <w:r>
        <w:t>is</w:t>
      </w:r>
      <w:r>
        <w:rPr>
          <w:spacing w:val="-3"/>
        </w:rPr>
        <w:t xml:space="preserve"> </w:t>
      </w:r>
      <w:r>
        <w:t>used</w:t>
      </w:r>
      <w:r>
        <w:rPr>
          <w:spacing w:val="-4"/>
        </w:rPr>
        <w:t xml:space="preserve"> </w:t>
      </w:r>
      <w:r>
        <w:t>in</w:t>
      </w:r>
      <w:r>
        <w:rPr>
          <w:spacing w:val="-3"/>
        </w:rPr>
        <w:t xml:space="preserve"> </w:t>
      </w:r>
      <w:r>
        <w:t>the</w:t>
      </w:r>
      <w:r>
        <w:rPr>
          <w:spacing w:val="-3"/>
        </w:rPr>
        <w:t xml:space="preserve"> </w:t>
      </w:r>
      <w:r>
        <w:t>potential</w:t>
      </w:r>
      <w:r>
        <w:rPr>
          <w:spacing w:val="-3"/>
        </w:rPr>
        <w:t xml:space="preserve"> </w:t>
      </w:r>
      <w:r>
        <w:t>model</w:t>
      </w:r>
      <w:r>
        <w:rPr>
          <w:spacing w:val="-3"/>
        </w:rPr>
        <w:t xml:space="preserve"> </w:t>
      </w:r>
      <w:r>
        <w:t>to</w:t>
      </w:r>
      <w:r>
        <w:rPr>
          <w:spacing w:val="-3"/>
        </w:rPr>
        <w:t xml:space="preserve"> </w:t>
      </w:r>
      <w:r>
        <w:t>calculate</w:t>
      </w:r>
      <w:r>
        <w:rPr>
          <w:spacing w:val="-4"/>
        </w:rPr>
        <w:t xml:space="preserve"> </w:t>
      </w:r>
      <w:r>
        <w:t>annual</w:t>
      </w:r>
      <w:r>
        <w:rPr>
          <w:spacing w:val="-3"/>
        </w:rPr>
        <w:t xml:space="preserve"> </w:t>
      </w:r>
      <w:r>
        <w:t xml:space="preserve">segment-level savings for each fuel type and IOU using </w:t>
      </w:r>
      <w:hyperlink w:history="1" w:anchor="_bookmark382">
        <w:r>
          <w:t>Equation D-3</w:t>
        </w:r>
      </w:hyperlink>
      <w:r>
        <w:t>.</w:t>
      </w:r>
    </w:p>
    <w:p w:rsidR="00C31389" w:rsidRDefault="00C31389" w14:paraId="06AC557C" w14:textId="77777777">
      <w:pPr>
        <w:pStyle w:val="BodyText"/>
        <w:spacing w:before="9"/>
        <w:rPr>
          <w:sz w:val="20"/>
        </w:rPr>
      </w:pPr>
    </w:p>
    <w:p w:rsidR="00C31389" w:rsidRDefault="00561FBD" w14:paraId="1C582613" w14:textId="77777777">
      <w:pPr>
        <w:pStyle w:val="Heading7"/>
        <w:ind w:left="398" w:right="339"/>
        <w:jc w:val="center"/>
      </w:pPr>
      <w:bookmarkStart w:name="_bookmark382" w:id="501"/>
      <w:bookmarkEnd w:id="501"/>
      <w:r>
        <w:t>Equation</w:t>
      </w:r>
      <w:r>
        <w:rPr>
          <w:spacing w:val="-9"/>
        </w:rPr>
        <w:t xml:space="preserve"> </w:t>
      </w:r>
      <w:r>
        <w:t>D-3.</w:t>
      </w:r>
      <w:r>
        <w:rPr>
          <w:spacing w:val="-8"/>
        </w:rPr>
        <w:t xml:space="preserve"> </w:t>
      </w:r>
      <w:r>
        <w:t>BEIMS</w:t>
      </w:r>
      <w:r>
        <w:rPr>
          <w:spacing w:val="-9"/>
        </w:rPr>
        <w:t xml:space="preserve"> </w:t>
      </w:r>
      <w:r>
        <w:t>Segment</w:t>
      </w:r>
      <w:r>
        <w:rPr>
          <w:spacing w:val="-8"/>
        </w:rPr>
        <w:t xml:space="preserve"> </w:t>
      </w:r>
      <w:r>
        <w:rPr>
          <w:spacing w:val="-2"/>
        </w:rPr>
        <w:t>Savings</w:t>
      </w:r>
    </w:p>
    <w:p w:rsidR="00C31389" w:rsidRDefault="00561FBD" w14:paraId="7CB957CF" w14:textId="77777777">
      <w:pPr>
        <w:pStyle w:val="Heading6"/>
        <w:spacing w:line="230" w:lineRule="auto"/>
        <w:ind w:right="872" w:hanging="1"/>
      </w:pPr>
      <w:r>
        <w:t>Segment</w:t>
      </w:r>
      <w:r>
        <w:rPr>
          <w:spacing w:val="-13"/>
        </w:rPr>
        <w:t xml:space="preserve"> </w:t>
      </w:r>
      <w:r>
        <w:t>Savings,</w:t>
      </w:r>
      <w:r>
        <w:rPr>
          <w:spacing w:val="-13"/>
        </w:rPr>
        <w:t xml:space="preserve"> </w:t>
      </w:r>
      <w:r>
        <w:t>BIEMS</w:t>
      </w:r>
      <w:r>
        <w:rPr>
          <w:spacing w:val="-12"/>
        </w:rPr>
        <w:t xml:space="preserve"> </w:t>
      </w:r>
      <w:r>
        <w:t>=</w:t>
      </w:r>
      <w:r>
        <w:rPr>
          <w:spacing w:val="-13"/>
        </w:rPr>
        <w:t xml:space="preserve"> </w:t>
      </w:r>
      <w:r>
        <w:t>Segment</w:t>
      </w:r>
      <w:r>
        <w:rPr>
          <w:spacing w:val="-13"/>
        </w:rPr>
        <w:t xml:space="preserve"> </w:t>
      </w:r>
      <w:r>
        <w:t>UES</w:t>
      </w:r>
      <w:r>
        <w:rPr>
          <w:spacing w:val="-12"/>
        </w:rPr>
        <w:t xml:space="preserve"> </w:t>
      </w:r>
      <w:r>
        <w:t>x</w:t>
      </w:r>
      <w:r>
        <w:rPr>
          <w:spacing w:val="-13"/>
        </w:rPr>
        <w:t xml:space="preserve"> </w:t>
      </w:r>
      <w:r>
        <w:t>Penetration</w:t>
      </w:r>
      <w:r>
        <w:rPr>
          <w:spacing w:val="-13"/>
        </w:rPr>
        <w:t xml:space="preserve"> </w:t>
      </w:r>
      <w:r>
        <w:t>Rate</w:t>
      </w:r>
      <w:r>
        <w:rPr>
          <w:spacing w:val="-12"/>
        </w:rPr>
        <w:t xml:space="preserve"> </w:t>
      </w:r>
      <w:r>
        <w:t>x</w:t>
      </w:r>
      <w:r>
        <w:rPr>
          <w:spacing w:val="-13"/>
        </w:rPr>
        <w:t xml:space="preserve"> </w:t>
      </w:r>
      <w:r>
        <w:t>Total</w:t>
      </w:r>
      <w:r>
        <w:rPr>
          <w:spacing w:val="-13"/>
        </w:rPr>
        <w:t xml:space="preserve"> </w:t>
      </w:r>
      <w:r>
        <w:t>Annual</w:t>
      </w:r>
      <w:r>
        <w:rPr>
          <w:spacing w:val="-12"/>
        </w:rPr>
        <w:t xml:space="preserve"> </w:t>
      </w:r>
      <w:r>
        <w:t>Segment Consumption x Segment Applicability Factor</w:t>
      </w:r>
    </w:p>
    <w:p w:rsidR="00C31389" w:rsidRDefault="00C31389" w14:paraId="6D6A995B" w14:textId="77777777">
      <w:pPr>
        <w:pStyle w:val="BodyText"/>
        <w:spacing w:before="5"/>
        <w:rPr>
          <w:rFonts w:ascii="Cambria"/>
          <w:i/>
          <w:sz w:val="20"/>
        </w:rPr>
      </w:pPr>
    </w:p>
    <w:p w:rsidR="00C31389" w:rsidRDefault="00561FBD" w14:paraId="2D8A2D53" w14:textId="77777777">
      <w:pPr>
        <w:pStyle w:val="BodyText"/>
        <w:ind w:left="479" w:right="433"/>
        <w:rPr>
          <w:sz w:val="14"/>
        </w:rPr>
      </w:pPr>
      <w:r>
        <w:t xml:space="preserve">Consistent with the 2021 Study, the PG Model uses an EUL of 3 years per </w:t>
      </w:r>
      <w:r>
        <w:t>CPUC Decision 16-08-019, and a ratio of kW to kWh of 0.000112 was applied to the three electric utilities as defined</w:t>
      </w:r>
      <w:r>
        <w:rPr>
          <w:spacing w:val="-2"/>
        </w:rPr>
        <w:t xml:space="preserve"> </w:t>
      </w:r>
      <w:r>
        <w:t>in</w:t>
      </w:r>
      <w:r>
        <w:rPr>
          <w:spacing w:val="-2"/>
        </w:rPr>
        <w:t xml:space="preserve"> </w:t>
      </w:r>
      <w:r>
        <w:t>the</w:t>
      </w:r>
      <w:r>
        <w:rPr>
          <w:spacing w:val="-2"/>
        </w:rPr>
        <w:t xml:space="preserve"> </w:t>
      </w:r>
      <w:r>
        <w:t>AB</w:t>
      </w:r>
      <w:r>
        <w:rPr>
          <w:spacing w:val="-2"/>
        </w:rPr>
        <w:t xml:space="preserve"> </w:t>
      </w:r>
      <w:r>
        <w:t>802</w:t>
      </w:r>
      <w:r>
        <w:rPr>
          <w:spacing w:val="-2"/>
        </w:rPr>
        <w:t xml:space="preserve"> </w:t>
      </w:r>
      <w:r>
        <w:t>Technical</w:t>
      </w:r>
      <w:r>
        <w:rPr>
          <w:spacing w:val="-2"/>
        </w:rPr>
        <w:t xml:space="preserve"> </w:t>
      </w:r>
      <w:r>
        <w:t>Analysis.</w:t>
      </w:r>
      <w:hyperlink w:history="1" w:anchor="_bookmark385">
        <w:r>
          <w:rPr>
            <w:position w:val="7"/>
            <w:sz w:val="14"/>
          </w:rPr>
          <w:t>143</w:t>
        </w:r>
      </w:hyperlink>
      <w:r>
        <w:rPr>
          <w:spacing w:val="19"/>
          <w:position w:val="7"/>
          <w:sz w:val="14"/>
        </w:rPr>
        <w:t xml:space="preserve"> </w:t>
      </w:r>
      <w:r>
        <w:t>This</w:t>
      </w:r>
      <w:r>
        <w:rPr>
          <w:spacing w:val="-2"/>
        </w:rPr>
        <w:t xml:space="preserve"> </w:t>
      </w:r>
      <w:r>
        <w:t>ratio</w:t>
      </w:r>
      <w:r>
        <w:rPr>
          <w:spacing w:val="-2"/>
        </w:rPr>
        <w:t xml:space="preserve"> </w:t>
      </w:r>
      <w:r>
        <w:t>was</w:t>
      </w:r>
      <w:r>
        <w:rPr>
          <w:spacing w:val="-2"/>
        </w:rPr>
        <w:t xml:space="preserve"> </w:t>
      </w:r>
      <w:r>
        <w:t>then</w:t>
      </w:r>
      <w:r>
        <w:rPr>
          <w:spacing w:val="-3"/>
        </w:rPr>
        <w:t xml:space="preserve"> </w:t>
      </w:r>
      <w:r>
        <w:t>updated</w:t>
      </w:r>
      <w:r>
        <w:rPr>
          <w:spacing w:val="-2"/>
        </w:rPr>
        <w:t xml:space="preserve"> </w:t>
      </w:r>
      <w:r>
        <w:t>based</w:t>
      </w:r>
      <w:r>
        <w:rPr>
          <w:spacing w:val="-2"/>
        </w:rPr>
        <w:t xml:space="preserve"> </w:t>
      </w:r>
      <w:r>
        <w:t>on</w:t>
      </w:r>
      <w:r>
        <w:rPr>
          <w:spacing w:val="-2"/>
        </w:rPr>
        <w:t xml:space="preserve"> </w:t>
      </w:r>
      <w:r>
        <w:t>California hourly load profiles to align with the current DEER peak period definition.</w:t>
      </w:r>
      <w:hyperlink w:history="1" w:anchor="_bookmark386">
        <w:r>
          <w:rPr>
            <w:position w:val="7"/>
            <w:sz w:val="14"/>
          </w:rPr>
          <w:t>144</w:t>
        </w:r>
      </w:hyperlink>
    </w:p>
    <w:p w:rsidR="00C31389" w:rsidRDefault="00C31389" w14:paraId="28F986F8" w14:textId="77777777">
      <w:pPr>
        <w:pStyle w:val="BodyText"/>
        <w:rPr>
          <w:sz w:val="20"/>
        </w:rPr>
      </w:pPr>
    </w:p>
    <w:p w:rsidR="00C31389" w:rsidRDefault="00C31389" w14:paraId="07BBAC51" w14:textId="77777777">
      <w:pPr>
        <w:pStyle w:val="BodyText"/>
        <w:rPr>
          <w:sz w:val="20"/>
        </w:rPr>
      </w:pPr>
    </w:p>
    <w:p w:rsidR="00C31389" w:rsidRDefault="00C31389" w14:paraId="45CE5932" w14:textId="77777777">
      <w:pPr>
        <w:pStyle w:val="BodyText"/>
        <w:rPr>
          <w:sz w:val="20"/>
        </w:rPr>
      </w:pPr>
    </w:p>
    <w:p w:rsidR="00C31389" w:rsidRDefault="00C31389" w14:paraId="1840AEBB" w14:textId="77777777">
      <w:pPr>
        <w:pStyle w:val="BodyText"/>
        <w:rPr>
          <w:sz w:val="20"/>
        </w:rPr>
      </w:pPr>
    </w:p>
    <w:p w:rsidR="00C31389" w:rsidRDefault="00C31389" w14:paraId="047BEE11" w14:textId="77777777">
      <w:pPr>
        <w:pStyle w:val="BodyText"/>
        <w:rPr>
          <w:sz w:val="20"/>
        </w:rPr>
      </w:pPr>
    </w:p>
    <w:p w:rsidR="00C31389" w:rsidRDefault="00C31389" w14:paraId="2168A325" w14:textId="77777777">
      <w:pPr>
        <w:pStyle w:val="BodyText"/>
        <w:rPr>
          <w:sz w:val="20"/>
        </w:rPr>
      </w:pPr>
    </w:p>
    <w:p w:rsidR="00C31389" w:rsidRDefault="00C31389" w14:paraId="46479949" w14:textId="77777777">
      <w:pPr>
        <w:pStyle w:val="BodyText"/>
        <w:rPr>
          <w:sz w:val="20"/>
        </w:rPr>
      </w:pPr>
    </w:p>
    <w:p w:rsidR="00C31389" w:rsidRDefault="00C31389" w14:paraId="43D04D00" w14:textId="77777777">
      <w:pPr>
        <w:pStyle w:val="BodyText"/>
        <w:rPr>
          <w:sz w:val="20"/>
        </w:rPr>
      </w:pPr>
    </w:p>
    <w:p w:rsidR="00C31389" w:rsidRDefault="00C31389" w14:paraId="2926DDC8" w14:textId="77777777">
      <w:pPr>
        <w:pStyle w:val="BodyText"/>
        <w:rPr>
          <w:sz w:val="20"/>
        </w:rPr>
      </w:pPr>
    </w:p>
    <w:p w:rsidR="00C31389" w:rsidRDefault="00C31389" w14:paraId="531700E5" w14:textId="77777777">
      <w:pPr>
        <w:pStyle w:val="BodyText"/>
        <w:rPr>
          <w:sz w:val="20"/>
        </w:rPr>
      </w:pPr>
    </w:p>
    <w:p w:rsidR="00C31389" w:rsidRDefault="00C31389" w14:paraId="348A36B8" w14:textId="77777777">
      <w:pPr>
        <w:pStyle w:val="BodyText"/>
        <w:rPr>
          <w:sz w:val="20"/>
        </w:rPr>
      </w:pPr>
    </w:p>
    <w:p w:rsidR="00C31389" w:rsidRDefault="00561FBD" w14:paraId="35620F67" w14:textId="77777777">
      <w:pPr>
        <w:pStyle w:val="BodyText"/>
        <w:spacing w:before="6"/>
        <w:rPr>
          <w:sz w:val="15"/>
        </w:rPr>
      </w:pPr>
      <w:r>
        <w:rPr>
          <w:noProof/>
        </w:rPr>
        <mc:AlternateContent>
          <mc:Choice Requires="wps">
            <w:drawing>
              <wp:anchor distT="0" distB="0" distL="0" distR="0" simplePos="0" relativeHeight="487725056" behindDoc="1" locked="0" layoutInCell="1" allowOverlap="1" wp14:editId="2B19EC52" wp14:anchorId="48E8EEB2">
                <wp:simplePos x="0" y="0"/>
                <wp:positionH relativeFrom="page">
                  <wp:posOffset>914400</wp:posOffset>
                </wp:positionH>
                <wp:positionV relativeFrom="paragraph">
                  <wp:posOffset>128732</wp:posOffset>
                </wp:positionV>
                <wp:extent cx="1828800" cy="6985"/>
                <wp:effectExtent l="0" t="0" r="0" b="0"/>
                <wp:wrapTopAndBottom/>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7" style="position:absolute;margin-left:1in;margin-top:10.15pt;width:2in;height:.55pt;z-index:-1559142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" w14:anchorId="65F96EC6">
                <v:path arrowok="t"/>
                <w10:wrap type="topAndBottom" anchorx="page"/>
              </v:shape>
            </w:pict>
          </mc:Fallback>
        </mc:AlternateContent>
      </w:r>
    </w:p>
    <w:p w:rsidR="00C31389" w:rsidRDefault="00561FBD" w14:paraId="0DF5C51A" w14:textId="77777777">
      <w:pPr>
        <w:spacing w:before="88" w:line="209" w:lineRule="exact"/>
        <w:ind w:left="480"/>
        <w:rPr>
          <w:sz w:val="18"/>
        </w:rPr>
      </w:pPr>
      <w:bookmarkStart w:name="_bookmark383" w:id="502"/>
      <w:bookmarkEnd w:id="502"/>
      <w:r>
        <w:rPr>
          <w:position w:val="6"/>
          <w:sz w:val="12"/>
        </w:rPr>
        <w:t>141</w:t>
      </w:r>
      <w:r>
        <w:rPr>
          <w:spacing w:val="12"/>
          <w:position w:val="6"/>
          <w:sz w:val="12"/>
        </w:rPr>
        <w:t xml:space="preserve"> </w:t>
      </w:r>
      <w:hyperlink r:id="rId277">
        <w:r>
          <w:rPr>
            <w:color w:val="68942C"/>
            <w:sz w:val="18"/>
            <w:u w:val="single" w:color="68942C"/>
          </w:rPr>
          <w:t>Prog</w:t>
        </w:r>
        <w:r>
          <w:rPr>
            <w:color w:val="68942C"/>
            <w:sz w:val="18"/>
            <w:u w:val="single" w:color="68942C"/>
          </w:rPr>
          <w:t>ram</w:t>
        </w:r>
        <w:r>
          <w:rPr>
            <w:color w:val="68942C"/>
            <w:spacing w:val="-3"/>
            <w:sz w:val="18"/>
            <w:u w:val="single" w:color="68942C"/>
          </w:rPr>
          <w:t xml:space="preserve"> </w:t>
        </w:r>
        <w:r>
          <w:rPr>
            <w:color w:val="68942C"/>
            <w:sz w:val="18"/>
            <w:u w:val="single" w:color="68942C"/>
          </w:rPr>
          <w:t>-</w:t>
        </w:r>
        <w:r>
          <w:rPr>
            <w:color w:val="68942C"/>
            <w:spacing w:val="-3"/>
            <w:sz w:val="18"/>
            <w:u w:val="single" w:color="68942C"/>
          </w:rPr>
          <w:t xml:space="preserve"> </w:t>
        </w:r>
        <w:r>
          <w:rPr>
            <w:color w:val="68942C"/>
            <w:sz w:val="18"/>
            <w:u w:val="single" w:color="68942C"/>
          </w:rPr>
          <w:t>SCE-13-TP-025</w:t>
        </w:r>
        <w:r>
          <w:rPr>
            <w:color w:val="68942C"/>
            <w:spacing w:val="-3"/>
            <w:sz w:val="18"/>
            <w:u w:val="single" w:color="68942C"/>
          </w:rPr>
          <w:t xml:space="preserve"> </w:t>
        </w:r>
        <w:r>
          <w:rPr>
            <w:color w:val="68942C"/>
            <w:sz w:val="18"/>
            <w:u w:val="single" w:color="68942C"/>
          </w:rPr>
          <w:t>details</w:t>
        </w:r>
        <w:r>
          <w:rPr>
            <w:color w:val="68942C"/>
            <w:spacing w:val="-3"/>
            <w:sz w:val="18"/>
            <w:u w:val="single" w:color="68942C"/>
          </w:rPr>
          <w:t xml:space="preserve"> </w:t>
        </w:r>
        <w:r>
          <w:rPr>
            <w:color w:val="68942C"/>
            <w:sz w:val="18"/>
            <w:u w:val="single" w:color="68942C"/>
          </w:rPr>
          <w:t>for</w:t>
        </w:r>
        <w:r>
          <w:rPr>
            <w:color w:val="68942C"/>
            <w:spacing w:val="-3"/>
            <w:sz w:val="18"/>
            <w:u w:val="single" w:color="68942C"/>
          </w:rPr>
          <w:t xml:space="preserve"> </w:t>
        </w:r>
        <w:r>
          <w:rPr>
            <w:color w:val="68942C"/>
            <w:sz w:val="18"/>
            <w:u w:val="single" w:color="68942C"/>
          </w:rPr>
          <w:t>the</w:t>
        </w:r>
        <w:r>
          <w:rPr>
            <w:color w:val="68942C"/>
            <w:spacing w:val="-4"/>
            <w:sz w:val="18"/>
            <w:u w:val="single" w:color="68942C"/>
          </w:rPr>
          <w:t xml:space="preserve"> </w:t>
        </w:r>
        <w:r>
          <w:rPr>
            <w:color w:val="68942C"/>
            <w:sz w:val="18"/>
            <w:u w:val="single" w:color="68942C"/>
          </w:rPr>
          <w:t>2021</w:t>
        </w:r>
        <w:r>
          <w:rPr>
            <w:color w:val="68942C"/>
            <w:spacing w:val="-3"/>
            <w:sz w:val="18"/>
            <w:u w:val="single" w:color="68942C"/>
          </w:rPr>
          <w:t xml:space="preserve"> </w:t>
        </w:r>
        <w:r>
          <w:rPr>
            <w:color w:val="68942C"/>
            <w:sz w:val="18"/>
            <w:u w:val="single" w:color="68942C"/>
          </w:rPr>
          <w:t>filing</w:t>
        </w:r>
        <w:r>
          <w:rPr>
            <w:color w:val="68942C"/>
            <w:spacing w:val="-4"/>
            <w:sz w:val="18"/>
            <w:u w:val="single" w:color="68942C"/>
          </w:rPr>
          <w:t xml:space="preserve"> </w:t>
        </w:r>
        <w:r>
          <w:rPr>
            <w:color w:val="68942C"/>
            <w:sz w:val="18"/>
            <w:u w:val="single" w:color="68942C"/>
          </w:rPr>
          <w:t>-</w:t>
        </w:r>
        <w:r>
          <w:rPr>
            <w:color w:val="68942C"/>
            <w:spacing w:val="-2"/>
            <w:sz w:val="18"/>
            <w:u w:val="single" w:color="68942C"/>
          </w:rPr>
          <w:t xml:space="preserve"> </w:t>
        </w:r>
        <w:r>
          <w:rPr>
            <w:color w:val="68942C"/>
            <w:sz w:val="18"/>
            <w:u w:val="single" w:color="68942C"/>
          </w:rPr>
          <w:t>CEDARS</w:t>
        </w:r>
        <w:r>
          <w:rPr>
            <w:color w:val="68942C"/>
            <w:spacing w:val="-2"/>
            <w:sz w:val="18"/>
            <w:u w:val="single" w:color="68942C"/>
          </w:rPr>
          <w:t xml:space="preserve"> </w:t>
        </w:r>
        <w:r>
          <w:rPr>
            <w:color w:val="68942C"/>
            <w:sz w:val="18"/>
            <w:u w:val="single" w:color="68942C"/>
          </w:rPr>
          <w:t>(sound-</w:t>
        </w:r>
        <w:r>
          <w:rPr>
            <w:color w:val="68942C"/>
            <w:spacing w:val="-2"/>
            <w:sz w:val="18"/>
            <w:u w:val="single" w:color="68942C"/>
          </w:rPr>
          <w:t>data.com)</w:t>
        </w:r>
      </w:hyperlink>
    </w:p>
    <w:p w:rsidR="00C31389" w:rsidRDefault="00561FBD" w14:paraId="28973264" w14:textId="77777777">
      <w:pPr>
        <w:spacing w:line="208" w:lineRule="exact"/>
        <w:ind w:left="480"/>
        <w:rPr>
          <w:sz w:val="18"/>
        </w:rPr>
      </w:pPr>
      <w:bookmarkStart w:name="_bookmark384" w:id="503"/>
      <w:bookmarkEnd w:id="503"/>
      <w:r>
        <w:rPr>
          <w:position w:val="6"/>
          <w:sz w:val="12"/>
        </w:rPr>
        <w:t>142</w:t>
      </w:r>
      <w:r>
        <w:rPr>
          <w:spacing w:val="12"/>
          <w:position w:val="6"/>
          <w:sz w:val="12"/>
        </w:rPr>
        <w:t xml:space="preserve"> </w:t>
      </w:r>
      <w:hyperlink r:id="rId278">
        <w:r>
          <w:rPr>
            <w:color w:val="68942C"/>
            <w:sz w:val="18"/>
            <w:u w:val="single" w:color="68942C"/>
          </w:rPr>
          <w:t>Program</w:t>
        </w:r>
        <w:r>
          <w:rPr>
            <w:color w:val="68942C"/>
            <w:spacing w:val="-3"/>
            <w:sz w:val="18"/>
            <w:u w:val="single" w:color="68942C"/>
          </w:rPr>
          <w:t xml:space="preserve"> </w:t>
        </w:r>
        <w:r>
          <w:rPr>
            <w:color w:val="68942C"/>
            <w:sz w:val="18"/>
            <w:u w:val="single" w:color="68942C"/>
          </w:rPr>
          <w:t>-</w:t>
        </w:r>
        <w:r>
          <w:rPr>
            <w:color w:val="68942C"/>
            <w:spacing w:val="-2"/>
            <w:sz w:val="18"/>
            <w:u w:val="single" w:color="68942C"/>
          </w:rPr>
          <w:t xml:space="preserve"> </w:t>
        </w:r>
        <w:r>
          <w:rPr>
            <w:color w:val="68942C"/>
            <w:sz w:val="18"/>
            <w:u w:val="single" w:color="68942C"/>
          </w:rPr>
          <w:t>SDGE4061</w:t>
        </w:r>
        <w:r>
          <w:rPr>
            <w:color w:val="68942C"/>
            <w:spacing w:val="-4"/>
            <w:sz w:val="18"/>
            <w:u w:val="single" w:color="68942C"/>
          </w:rPr>
          <w:t xml:space="preserve"> </w:t>
        </w:r>
        <w:r>
          <w:rPr>
            <w:color w:val="68942C"/>
            <w:sz w:val="18"/>
            <w:u w:val="single" w:color="68942C"/>
          </w:rPr>
          <w:t>details</w:t>
        </w:r>
        <w:r>
          <w:rPr>
            <w:color w:val="68942C"/>
            <w:spacing w:val="-3"/>
            <w:sz w:val="18"/>
            <w:u w:val="single" w:color="68942C"/>
          </w:rPr>
          <w:t xml:space="preserve"> </w:t>
        </w:r>
        <w:r>
          <w:rPr>
            <w:color w:val="68942C"/>
            <w:sz w:val="18"/>
            <w:u w:val="single" w:color="68942C"/>
          </w:rPr>
          <w:t>for</w:t>
        </w:r>
        <w:r>
          <w:rPr>
            <w:color w:val="68942C"/>
            <w:spacing w:val="-2"/>
            <w:sz w:val="18"/>
            <w:u w:val="single" w:color="68942C"/>
          </w:rPr>
          <w:t xml:space="preserve"> </w:t>
        </w:r>
        <w:r>
          <w:rPr>
            <w:color w:val="68942C"/>
            <w:sz w:val="18"/>
            <w:u w:val="single" w:color="68942C"/>
          </w:rPr>
          <w:t>the</w:t>
        </w:r>
        <w:r>
          <w:rPr>
            <w:color w:val="68942C"/>
            <w:spacing w:val="-4"/>
            <w:sz w:val="18"/>
            <w:u w:val="single" w:color="68942C"/>
          </w:rPr>
          <w:t xml:space="preserve"> </w:t>
        </w:r>
        <w:r>
          <w:rPr>
            <w:color w:val="68942C"/>
            <w:sz w:val="18"/>
            <w:u w:val="single" w:color="68942C"/>
          </w:rPr>
          <w:t>2021</w:t>
        </w:r>
        <w:r>
          <w:rPr>
            <w:color w:val="68942C"/>
            <w:spacing w:val="-4"/>
            <w:sz w:val="18"/>
            <w:u w:val="single" w:color="68942C"/>
          </w:rPr>
          <w:t xml:space="preserve"> </w:t>
        </w:r>
        <w:r>
          <w:rPr>
            <w:color w:val="68942C"/>
            <w:sz w:val="18"/>
            <w:u w:val="single" w:color="68942C"/>
          </w:rPr>
          <w:t>filing</w:t>
        </w:r>
        <w:r>
          <w:rPr>
            <w:color w:val="68942C"/>
            <w:spacing w:val="-3"/>
            <w:sz w:val="18"/>
            <w:u w:val="single" w:color="68942C"/>
          </w:rPr>
          <w:t xml:space="preserve"> </w:t>
        </w:r>
        <w:r>
          <w:rPr>
            <w:color w:val="68942C"/>
            <w:sz w:val="18"/>
            <w:u w:val="single" w:color="68942C"/>
          </w:rPr>
          <w:t>-</w:t>
        </w:r>
        <w:r>
          <w:rPr>
            <w:color w:val="68942C"/>
            <w:spacing w:val="-2"/>
            <w:sz w:val="18"/>
            <w:u w:val="single" w:color="68942C"/>
          </w:rPr>
          <w:t xml:space="preserve"> </w:t>
        </w:r>
        <w:r>
          <w:rPr>
            <w:color w:val="68942C"/>
            <w:sz w:val="18"/>
            <w:u w:val="single" w:color="68942C"/>
          </w:rPr>
          <w:t>CEDARS</w:t>
        </w:r>
        <w:r>
          <w:rPr>
            <w:color w:val="68942C"/>
            <w:spacing w:val="-2"/>
            <w:sz w:val="18"/>
            <w:u w:val="single" w:color="68942C"/>
          </w:rPr>
          <w:t xml:space="preserve"> </w:t>
        </w:r>
        <w:r>
          <w:rPr>
            <w:color w:val="68942C"/>
            <w:sz w:val="18"/>
            <w:u w:val="single" w:color="68942C"/>
          </w:rPr>
          <w:t>(sound-</w:t>
        </w:r>
        <w:r>
          <w:rPr>
            <w:color w:val="68942C"/>
            <w:spacing w:val="-2"/>
            <w:sz w:val="18"/>
            <w:u w:val="single" w:color="68942C"/>
          </w:rPr>
          <w:t>data.com)</w:t>
        </w:r>
      </w:hyperlink>
    </w:p>
    <w:p w:rsidR="00C31389" w:rsidRDefault="00561FBD" w14:paraId="4B74E5CB" w14:textId="77777777">
      <w:pPr>
        <w:spacing w:line="210" w:lineRule="exact"/>
        <w:ind w:left="480"/>
        <w:rPr>
          <w:sz w:val="18"/>
        </w:rPr>
      </w:pPr>
      <w:bookmarkStart w:name="_bookmark385" w:id="504"/>
      <w:bookmarkEnd w:id="504"/>
      <w:r>
        <w:rPr>
          <w:position w:val="6"/>
          <w:sz w:val="12"/>
        </w:rPr>
        <w:t>143</w:t>
      </w:r>
      <w:r>
        <w:rPr>
          <w:spacing w:val="12"/>
          <w:position w:val="6"/>
          <w:sz w:val="12"/>
        </w:rPr>
        <w:t xml:space="preserve"> </w:t>
      </w:r>
      <w:hyperlink r:id="rId279">
        <w:r>
          <w:rPr>
            <w:color w:val="68942C"/>
            <w:sz w:val="18"/>
            <w:u w:val="single" w:color="68942C"/>
          </w:rPr>
          <w:t>Program</w:t>
        </w:r>
        <w:r>
          <w:rPr>
            <w:color w:val="68942C"/>
            <w:spacing w:val="-3"/>
            <w:sz w:val="18"/>
            <w:u w:val="single" w:color="68942C"/>
          </w:rPr>
          <w:t xml:space="preserve"> </w:t>
        </w:r>
        <w:r>
          <w:rPr>
            <w:color w:val="68942C"/>
            <w:sz w:val="18"/>
            <w:u w:val="single" w:color="68942C"/>
          </w:rPr>
          <w:t>-</w:t>
        </w:r>
        <w:r>
          <w:rPr>
            <w:color w:val="68942C"/>
            <w:spacing w:val="-2"/>
            <w:sz w:val="18"/>
            <w:u w:val="single" w:color="68942C"/>
          </w:rPr>
          <w:t xml:space="preserve"> </w:t>
        </w:r>
        <w:r>
          <w:rPr>
            <w:color w:val="68942C"/>
            <w:sz w:val="18"/>
            <w:u w:val="single" w:color="68942C"/>
          </w:rPr>
          <w:t>SDGE4061</w:t>
        </w:r>
        <w:r>
          <w:rPr>
            <w:color w:val="68942C"/>
            <w:spacing w:val="-4"/>
            <w:sz w:val="18"/>
            <w:u w:val="single" w:color="68942C"/>
          </w:rPr>
          <w:t xml:space="preserve"> </w:t>
        </w:r>
        <w:r>
          <w:rPr>
            <w:color w:val="68942C"/>
            <w:sz w:val="18"/>
            <w:u w:val="single" w:color="68942C"/>
          </w:rPr>
          <w:t>details</w:t>
        </w:r>
        <w:r>
          <w:rPr>
            <w:color w:val="68942C"/>
            <w:spacing w:val="-2"/>
            <w:sz w:val="18"/>
            <w:u w:val="single" w:color="68942C"/>
          </w:rPr>
          <w:t xml:space="preserve"> </w:t>
        </w:r>
        <w:r>
          <w:rPr>
            <w:color w:val="68942C"/>
            <w:sz w:val="18"/>
            <w:u w:val="single" w:color="68942C"/>
          </w:rPr>
          <w:t>for</w:t>
        </w:r>
        <w:r>
          <w:rPr>
            <w:color w:val="68942C"/>
            <w:spacing w:val="-3"/>
            <w:sz w:val="18"/>
            <w:u w:val="single" w:color="68942C"/>
          </w:rPr>
          <w:t xml:space="preserve"> </w:t>
        </w:r>
        <w:r>
          <w:rPr>
            <w:color w:val="68942C"/>
            <w:sz w:val="18"/>
            <w:u w:val="single" w:color="68942C"/>
          </w:rPr>
          <w:t>the</w:t>
        </w:r>
        <w:r>
          <w:rPr>
            <w:color w:val="68942C"/>
            <w:spacing w:val="-3"/>
            <w:sz w:val="18"/>
            <w:u w:val="single" w:color="68942C"/>
          </w:rPr>
          <w:t xml:space="preserve"> </w:t>
        </w:r>
        <w:r>
          <w:rPr>
            <w:color w:val="68942C"/>
            <w:sz w:val="18"/>
            <w:u w:val="single" w:color="68942C"/>
          </w:rPr>
          <w:t>2021</w:t>
        </w:r>
        <w:r>
          <w:rPr>
            <w:color w:val="68942C"/>
            <w:spacing w:val="-4"/>
            <w:sz w:val="18"/>
            <w:u w:val="single" w:color="68942C"/>
          </w:rPr>
          <w:t xml:space="preserve"> </w:t>
        </w:r>
        <w:r>
          <w:rPr>
            <w:color w:val="68942C"/>
            <w:sz w:val="18"/>
            <w:u w:val="single" w:color="68942C"/>
          </w:rPr>
          <w:t>filing</w:t>
        </w:r>
        <w:r>
          <w:rPr>
            <w:color w:val="68942C"/>
            <w:spacing w:val="-3"/>
            <w:sz w:val="18"/>
            <w:u w:val="single" w:color="68942C"/>
          </w:rPr>
          <w:t xml:space="preserve"> </w:t>
        </w:r>
        <w:r>
          <w:rPr>
            <w:color w:val="68942C"/>
            <w:sz w:val="18"/>
            <w:u w:val="single" w:color="68942C"/>
          </w:rPr>
          <w:t>-</w:t>
        </w:r>
        <w:r>
          <w:rPr>
            <w:color w:val="68942C"/>
            <w:spacing w:val="-2"/>
            <w:sz w:val="18"/>
            <w:u w:val="single" w:color="68942C"/>
          </w:rPr>
          <w:t xml:space="preserve"> </w:t>
        </w:r>
        <w:r>
          <w:rPr>
            <w:color w:val="68942C"/>
            <w:sz w:val="18"/>
            <w:u w:val="single" w:color="68942C"/>
          </w:rPr>
          <w:t>CEDARS</w:t>
        </w:r>
        <w:r>
          <w:rPr>
            <w:color w:val="68942C"/>
            <w:spacing w:val="-2"/>
            <w:sz w:val="18"/>
            <w:u w:val="single" w:color="68942C"/>
          </w:rPr>
          <w:t xml:space="preserve"> </w:t>
        </w:r>
        <w:r>
          <w:rPr>
            <w:color w:val="68942C"/>
            <w:sz w:val="18"/>
            <w:u w:val="single" w:color="68942C"/>
          </w:rPr>
          <w:t>(sound-</w:t>
        </w:r>
        <w:r>
          <w:rPr>
            <w:color w:val="68942C"/>
            <w:spacing w:val="-2"/>
            <w:sz w:val="18"/>
            <w:u w:val="single" w:color="68942C"/>
          </w:rPr>
          <w:t>data.com)</w:t>
        </w:r>
      </w:hyperlink>
    </w:p>
    <w:p w:rsidR="00C31389" w:rsidRDefault="00561FBD" w14:paraId="5EA070D0" w14:textId="77777777">
      <w:pPr>
        <w:spacing w:before="34"/>
        <w:ind w:left="480" w:right="418"/>
        <w:rPr>
          <w:sz w:val="18"/>
        </w:rPr>
      </w:pPr>
      <w:bookmarkStart w:name="_bookmark386" w:id="505"/>
      <w:bookmarkEnd w:id="505"/>
      <w:r>
        <w:rPr>
          <w:position w:val="6"/>
          <w:sz w:val="12"/>
        </w:rPr>
        <w:t>144</w:t>
      </w:r>
      <w:r>
        <w:rPr>
          <w:spacing w:val="40"/>
          <w:position w:val="6"/>
          <w:sz w:val="12"/>
        </w:rPr>
        <w:t xml:space="preserve"> </w:t>
      </w:r>
      <w:r>
        <w:rPr>
          <w:sz w:val="18"/>
        </w:rPr>
        <w:t xml:space="preserve">CPUC. Resolution E-4952, October 11, 2018. </w:t>
      </w:r>
      <w:hyperlink r:id="rId280">
        <w:r>
          <w:rPr>
            <w:color w:val="68942C"/>
            <w:spacing w:val="-2"/>
            <w:sz w:val="18"/>
            <w:u w:val="single" w:color="68942C"/>
          </w:rPr>
          <w:t>https://docs.cpuc.ca.gov/publisheddocs/published/g000/m232/k459/232459122.pdf</w:t>
        </w:r>
      </w:hyperlink>
    </w:p>
    <w:p w:rsidR="00C31389" w:rsidRDefault="00C31389" w14:paraId="4C14D41F" w14:textId="77777777">
      <w:pPr>
        <w:rPr>
          <w:sz w:val="18"/>
        </w:rPr>
        <w:sectPr w:rsidR="00C31389">
          <w:pgSz w:w="11910" w:h="16840"/>
          <w:pgMar w:top="1660" w:right="1020" w:bottom="1120" w:left="960" w:header="397" w:footer="938" w:gutter="0"/>
          <w:cols w:space="720"/>
        </w:sectPr>
      </w:pPr>
    </w:p>
    <w:p w:rsidR="00C31389" w:rsidRDefault="00C31389" w14:paraId="561A8D11" w14:textId="77777777">
      <w:pPr>
        <w:pStyle w:val="BodyText"/>
        <w:spacing w:before="11"/>
        <w:rPr>
          <w:sz w:val="13"/>
        </w:rPr>
      </w:pPr>
    </w:p>
    <w:p w:rsidR="00C31389" w:rsidRDefault="00561FBD" w14:paraId="53A29CEA" w14:textId="77777777">
      <w:pPr>
        <w:pStyle w:val="Heading7"/>
        <w:spacing w:before="92"/>
        <w:ind w:left="480"/>
      </w:pPr>
      <w:r>
        <w:rPr>
          <w:spacing w:val="-4"/>
        </w:rPr>
        <w:t>Cost</w:t>
      </w:r>
    </w:p>
    <w:p w:rsidR="00C31389" w:rsidRDefault="00C31389" w14:paraId="206AB1C0" w14:textId="77777777">
      <w:pPr>
        <w:pStyle w:val="BodyText"/>
        <w:spacing w:before="11"/>
        <w:rPr>
          <w:b/>
          <w:sz w:val="20"/>
        </w:rPr>
      </w:pPr>
    </w:p>
    <w:p w:rsidR="00C31389" w:rsidRDefault="00561FBD" w14:paraId="3831C614" w14:textId="77777777">
      <w:pPr>
        <w:pStyle w:val="BodyText"/>
        <w:ind w:left="480" w:right="418"/>
      </w:pPr>
      <w:r>
        <w:t>Costs</w:t>
      </w:r>
      <w:r>
        <w:rPr>
          <w:spacing w:val="-3"/>
        </w:rPr>
        <w:t xml:space="preserve"> </w:t>
      </w:r>
      <w:r>
        <w:t>for</w:t>
      </w:r>
      <w:r>
        <w:rPr>
          <w:spacing w:val="-3"/>
        </w:rPr>
        <w:t xml:space="preserve"> </w:t>
      </w:r>
      <w:r>
        <w:t>electricity</w:t>
      </w:r>
      <w:r>
        <w:rPr>
          <w:spacing w:val="-3"/>
        </w:rPr>
        <w:t xml:space="preserve"> </w:t>
      </w:r>
      <w:r>
        <w:t>and</w:t>
      </w:r>
      <w:r>
        <w:rPr>
          <w:spacing w:val="-4"/>
        </w:rPr>
        <w:t xml:space="preserve"> </w:t>
      </w:r>
      <w:r>
        <w:t>natural</w:t>
      </w:r>
      <w:r>
        <w:rPr>
          <w:spacing w:val="-3"/>
        </w:rPr>
        <w:t xml:space="preserve"> </w:t>
      </w:r>
      <w:r>
        <w:t>gas</w:t>
      </w:r>
      <w:r>
        <w:rPr>
          <w:spacing w:val="-4"/>
        </w:rPr>
        <w:t xml:space="preserve"> </w:t>
      </w:r>
      <w:r>
        <w:t>savings</w:t>
      </w:r>
      <w:r>
        <w:rPr>
          <w:spacing w:val="-4"/>
        </w:rPr>
        <w:t xml:space="preserve"> </w:t>
      </w:r>
      <w:r>
        <w:t>are</w:t>
      </w:r>
      <w:r>
        <w:rPr>
          <w:spacing w:val="-4"/>
        </w:rPr>
        <w:t xml:space="preserve"> </w:t>
      </w:r>
      <w:r>
        <w:t>estimated</w:t>
      </w:r>
      <w:r>
        <w:rPr>
          <w:spacing w:val="-3"/>
        </w:rPr>
        <w:t xml:space="preserve"> </w:t>
      </w:r>
      <w:r>
        <w:t>based</w:t>
      </w:r>
      <w:r>
        <w:rPr>
          <w:spacing w:val="-3"/>
        </w:rPr>
        <w:t xml:space="preserve"> </w:t>
      </w:r>
      <w:r>
        <w:t>on</w:t>
      </w:r>
      <w:r>
        <w:rPr>
          <w:spacing w:val="-3"/>
        </w:rPr>
        <w:t xml:space="preserve"> </w:t>
      </w:r>
      <w:r>
        <w:t>research</w:t>
      </w:r>
      <w:r>
        <w:rPr>
          <w:spacing w:val="-3"/>
        </w:rPr>
        <w:t xml:space="preserve"> </w:t>
      </w:r>
      <w:r>
        <w:t>referenced</w:t>
      </w:r>
      <w:r>
        <w:rPr>
          <w:spacing w:val="-3"/>
        </w:rPr>
        <w:t xml:space="preserve"> </w:t>
      </w:r>
      <w:r>
        <w:t>in the AB 802 Technical Analysis.</w:t>
      </w:r>
      <w:hyperlink w:history="1" w:anchor="_bookmark390">
        <w:r>
          <w:rPr>
            <w:position w:val="7"/>
            <w:sz w:val="14"/>
          </w:rPr>
          <w:t>145</w:t>
        </w:r>
      </w:hyperlink>
      <w:r>
        <w:rPr>
          <w:spacing w:val="29"/>
          <w:position w:val="7"/>
          <w:sz w:val="14"/>
        </w:rPr>
        <w:t xml:space="preserve"> </w:t>
      </w:r>
      <w:r>
        <w:t xml:space="preserve">Guidehouse calculated costs per unit of fuel savings for each utility and fuel type as shown in </w:t>
      </w:r>
      <w:hyperlink w:history="1" w:anchor="_bookmark387">
        <w:r>
          <w:t>Table D-10</w:t>
        </w:r>
      </w:hyperlink>
      <w:r>
        <w:t>.</w:t>
      </w:r>
    </w:p>
    <w:p w:rsidR="00C31389" w:rsidRDefault="00C31389" w14:paraId="6888B100" w14:textId="77777777">
      <w:pPr>
        <w:pStyle w:val="BodyText"/>
        <w:spacing w:before="9"/>
        <w:rPr>
          <w:sz w:val="20"/>
        </w:rPr>
      </w:pPr>
    </w:p>
    <w:p w:rsidR="00C31389" w:rsidRDefault="00561FBD" w14:paraId="5EFB2EA1" w14:textId="77777777">
      <w:pPr>
        <w:pStyle w:val="Heading7"/>
        <w:ind w:left="398" w:right="339"/>
        <w:jc w:val="center"/>
      </w:pPr>
      <w:bookmarkStart w:name="_bookmark387" w:id="506"/>
      <w:bookmarkEnd w:id="506"/>
      <w:r>
        <w:t>Table</w:t>
      </w:r>
      <w:r>
        <w:rPr>
          <w:spacing w:val="-6"/>
        </w:rPr>
        <w:t xml:space="preserve"> </w:t>
      </w:r>
      <w:r>
        <w:t>D-10.</w:t>
      </w:r>
      <w:r>
        <w:rPr>
          <w:spacing w:val="-7"/>
        </w:rPr>
        <w:t xml:space="preserve"> </w:t>
      </w:r>
      <w:r>
        <w:t>BEIMS</w:t>
      </w:r>
      <w:r>
        <w:rPr>
          <w:spacing w:val="-6"/>
        </w:rPr>
        <w:t xml:space="preserve"> </w:t>
      </w:r>
      <w:r>
        <w:t>Cost</w:t>
      </w:r>
      <w:r>
        <w:rPr>
          <w:spacing w:val="-5"/>
        </w:rPr>
        <w:t xml:space="preserve"> </w:t>
      </w:r>
      <w:r>
        <w:t>per</w:t>
      </w:r>
      <w:r>
        <w:rPr>
          <w:spacing w:val="-7"/>
        </w:rPr>
        <w:t xml:space="preserve"> </w:t>
      </w:r>
      <w:r>
        <w:rPr>
          <w:spacing w:val="-5"/>
        </w:rPr>
        <w:t>UES</w:t>
      </w:r>
    </w:p>
    <w:p w:rsidR="00C31389" w:rsidRDefault="00C31389" w14:paraId="6538CA53" w14:textId="77777777">
      <w:pPr>
        <w:pStyle w:val="BodyText"/>
        <w:spacing w:before="7"/>
        <w:rPr>
          <w:b/>
          <w:sz w:val="9"/>
        </w:rPr>
      </w:pPr>
    </w:p>
    <w:tbl>
      <w:tblPr>
        <w:tblW w:w="0" w:type="auto"/>
        <w:tblInd w:w="2535" w:type="dxa"/>
        <w:tblLayout w:type="fixed"/>
        <w:tblCellMar>
          <w:left w:w="0" w:type="dxa"/>
          <w:right w:w="0" w:type="dxa"/>
        </w:tblCellMar>
        <w:tblLook w:val="01E0" w:firstRow="1" w:lastRow="1" w:firstColumn="1" w:lastColumn="1" w:noHBand="0" w:noVBand="0"/>
      </w:tblPr>
      <w:tblGrid>
        <w:gridCol w:w="1322"/>
        <w:gridCol w:w="1736"/>
        <w:gridCol w:w="1863"/>
      </w:tblGrid>
      <w:tr w:rsidR="00C31389" w14:paraId="2311FC52" w14:textId="77777777">
        <w:trPr>
          <w:trHeight w:val="319"/>
        </w:trPr>
        <w:tc>
          <w:tcPr>
            <w:tcW w:w="1322" w:type="dxa"/>
            <w:shd w:val="clear" w:color="auto" w:fill="92D400"/>
          </w:tcPr>
          <w:p w:rsidR="00C31389" w:rsidRDefault="00561FBD" w14:paraId="4EB6CB50" w14:textId="77777777">
            <w:pPr>
              <w:pStyle w:val="TableParagraph"/>
              <w:ind w:left="122"/>
              <w:rPr>
                <w:b/>
                <w:sz w:val="20"/>
              </w:rPr>
            </w:pPr>
            <w:r>
              <w:rPr>
                <w:b/>
                <w:spacing w:val="-2"/>
                <w:sz w:val="20"/>
              </w:rPr>
              <w:t>Utility</w:t>
            </w:r>
          </w:p>
        </w:tc>
        <w:tc>
          <w:tcPr>
            <w:tcW w:w="1736" w:type="dxa"/>
            <w:shd w:val="clear" w:color="auto" w:fill="92D400"/>
          </w:tcPr>
          <w:p w:rsidR="00C31389" w:rsidRDefault="00561FBD" w14:paraId="55A28AE3" w14:textId="77777777">
            <w:pPr>
              <w:pStyle w:val="TableParagraph"/>
              <w:ind w:left="485" w:right="610"/>
              <w:jc w:val="center"/>
              <w:rPr>
                <w:b/>
                <w:sz w:val="20"/>
              </w:rPr>
            </w:pPr>
            <w:r>
              <w:rPr>
                <w:b/>
                <w:spacing w:val="-4"/>
                <w:sz w:val="20"/>
              </w:rPr>
              <w:t>Fuel</w:t>
            </w:r>
          </w:p>
        </w:tc>
        <w:tc>
          <w:tcPr>
            <w:tcW w:w="1863" w:type="dxa"/>
            <w:shd w:val="clear" w:color="auto" w:fill="92D400"/>
          </w:tcPr>
          <w:p w:rsidR="00C31389" w:rsidRDefault="00561FBD" w14:paraId="57B70399" w14:textId="77777777">
            <w:pPr>
              <w:pStyle w:val="TableParagraph"/>
              <w:ind w:left="610" w:right="610"/>
              <w:jc w:val="center"/>
              <w:rPr>
                <w:b/>
                <w:sz w:val="20"/>
              </w:rPr>
            </w:pPr>
            <w:r>
              <w:rPr>
                <w:b/>
                <w:spacing w:val="-4"/>
                <w:sz w:val="20"/>
              </w:rPr>
              <w:t>C</w:t>
            </w:r>
            <w:r>
              <w:rPr>
                <w:b/>
                <w:spacing w:val="-4"/>
                <w:sz w:val="20"/>
              </w:rPr>
              <w:t>ost</w:t>
            </w:r>
          </w:p>
        </w:tc>
      </w:tr>
      <w:tr w:rsidR="00C31389" w14:paraId="6A98052C" w14:textId="77777777">
        <w:trPr>
          <w:trHeight w:val="310"/>
        </w:trPr>
        <w:tc>
          <w:tcPr>
            <w:tcW w:w="1322" w:type="dxa"/>
            <w:tcBorders>
              <w:bottom w:val="single" w:color="D9D9D9" w:sz="2" w:space="0"/>
            </w:tcBorders>
          </w:tcPr>
          <w:p w:rsidR="00C31389" w:rsidRDefault="00561FBD" w14:paraId="0409934F" w14:textId="77777777">
            <w:pPr>
              <w:pStyle w:val="TableParagraph"/>
              <w:spacing w:before="41"/>
              <w:ind w:left="122"/>
              <w:rPr>
                <w:sz w:val="20"/>
              </w:rPr>
            </w:pPr>
            <w:r>
              <w:rPr>
                <w:spacing w:val="-4"/>
                <w:sz w:val="20"/>
              </w:rPr>
              <w:t>PG&amp;E</w:t>
            </w:r>
          </w:p>
        </w:tc>
        <w:tc>
          <w:tcPr>
            <w:tcW w:w="1736" w:type="dxa"/>
            <w:tcBorders>
              <w:bottom w:val="single" w:color="D9D9D9" w:sz="2" w:space="0"/>
            </w:tcBorders>
          </w:tcPr>
          <w:p w:rsidR="00C31389" w:rsidRDefault="00561FBD" w14:paraId="7E64F60B" w14:textId="77777777">
            <w:pPr>
              <w:pStyle w:val="TableParagraph"/>
              <w:spacing w:before="41"/>
              <w:ind w:left="484" w:right="610"/>
              <w:jc w:val="center"/>
              <w:rPr>
                <w:sz w:val="20"/>
              </w:rPr>
            </w:pPr>
            <w:r>
              <w:rPr>
                <w:spacing w:val="-5"/>
                <w:sz w:val="20"/>
              </w:rPr>
              <w:t>kWh</w:t>
            </w:r>
          </w:p>
        </w:tc>
        <w:tc>
          <w:tcPr>
            <w:tcW w:w="1863" w:type="dxa"/>
            <w:tcBorders>
              <w:bottom w:val="single" w:color="D9D9D9" w:sz="2" w:space="0"/>
            </w:tcBorders>
          </w:tcPr>
          <w:p w:rsidR="00C31389" w:rsidRDefault="00561FBD" w14:paraId="023FF49E" w14:textId="77777777">
            <w:pPr>
              <w:pStyle w:val="TableParagraph"/>
              <w:spacing w:before="41"/>
              <w:ind w:left="612" w:right="610"/>
              <w:jc w:val="center"/>
              <w:rPr>
                <w:sz w:val="20"/>
              </w:rPr>
            </w:pPr>
            <w:r>
              <w:rPr>
                <w:spacing w:val="-2"/>
                <w:sz w:val="20"/>
              </w:rPr>
              <w:t>$0.435</w:t>
            </w:r>
          </w:p>
        </w:tc>
      </w:tr>
      <w:tr w:rsidR="00C31389" w14:paraId="355AC38F" w14:textId="77777777">
        <w:trPr>
          <w:trHeight w:val="309"/>
        </w:trPr>
        <w:tc>
          <w:tcPr>
            <w:tcW w:w="1322" w:type="dxa"/>
            <w:tcBorders>
              <w:top w:val="single" w:color="D9D9D9" w:sz="2" w:space="0"/>
              <w:bottom w:val="single" w:color="D9D9D9" w:sz="2" w:space="0"/>
            </w:tcBorders>
          </w:tcPr>
          <w:p w:rsidR="00C31389" w:rsidRDefault="00561FBD" w14:paraId="650B5688" w14:textId="77777777">
            <w:pPr>
              <w:pStyle w:val="TableParagraph"/>
              <w:ind w:left="122"/>
              <w:rPr>
                <w:sz w:val="20"/>
              </w:rPr>
            </w:pPr>
            <w:r>
              <w:rPr>
                <w:spacing w:val="-5"/>
                <w:sz w:val="20"/>
              </w:rPr>
              <w:t>SCE</w:t>
            </w:r>
          </w:p>
        </w:tc>
        <w:tc>
          <w:tcPr>
            <w:tcW w:w="1736" w:type="dxa"/>
            <w:tcBorders>
              <w:top w:val="single" w:color="D9D9D9" w:sz="2" w:space="0"/>
              <w:bottom w:val="single" w:color="D9D9D9" w:sz="2" w:space="0"/>
            </w:tcBorders>
          </w:tcPr>
          <w:p w:rsidR="00C31389" w:rsidRDefault="00561FBD" w14:paraId="7F037F50" w14:textId="77777777">
            <w:pPr>
              <w:pStyle w:val="TableParagraph"/>
              <w:ind w:left="484" w:right="610"/>
              <w:jc w:val="center"/>
              <w:rPr>
                <w:sz w:val="20"/>
              </w:rPr>
            </w:pPr>
            <w:r>
              <w:rPr>
                <w:spacing w:val="-5"/>
                <w:sz w:val="20"/>
              </w:rPr>
              <w:t>kWh</w:t>
            </w:r>
          </w:p>
        </w:tc>
        <w:tc>
          <w:tcPr>
            <w:tcW w:w="1863" w:type="dxa"/>
            <w:tcBorders>
              <w:top w:val="single" w:color="D9D9D9" w:sz="2" w:space="0"/>
              <w:bottom w:val="single" w:color="D9D9D9" w:sz="2" w:space="0"/>
            </w:tcBorders>
          </w:tcPr>
          <w:p w:rsidR="00C31389" w:rsidRDefault="00561FBD" w14:paraId="44380D15" w14:textId="77777777">
            <w:pPr>
              <w:pStyle w:val="TableParagraph"/>
              <w:ind w:left="612" w:right="610"/>
              <w:jc w:val="center"/>
              <w:rPr>
                <w:sz w:val="20"/>
              </w:rPr>
            </w:pPr>
            <w:r>
              <w:rPr>
                <w:spacing w:val="-2"/>
                <w:sz w:val="20"/>
              </w:rPr>
              <w:t>$0.204</w:t>
            </w:r>
          </w:p>
        </w:tc>
      </w:tr>
      <w:tr w:rsidR="00C31389" w14:paraId="0F9C933A" w14:textId="77777777">
        <w:trPr>
          <w:trHeight w:val="310"/>
        </w:trPr>
        <w:tc>
          <w:tcPr>
            <w:tcW w:w="1322" w:type="dxa"/>
            <w:tcBorders>
              <w:top w:val="single" w:color="D9D9D9" w:sz="2" w:space="0"/>
              <w:bottom w:val="single" w:color="D9D9D9" w:sz="2" w:space="0"/>
            </w:tcBorders>
          </w:tcPr>
          <w:p w:rsidR="00C31389" w:rsidRDefault="00561FBD" w14:paraId="760D121F" w14:textId="77777777">
            <w:pPr>
              <w:pStyle w:val="TableParagraph"/>
              <w:spacing w:before="41"/>
              <w:ind w:left="122"/>
              <w:rPr>
                <w:sz w:val="20"/>
              </w:rPr>
            </w:pPr>
            <w:r>
              <w:rPr>
                <w:spacing w:val="-2"/>
                <w:sz w:val="20"/>
              </w:rPr>
              <w:t>SDG&amp;E</w:t>
            </w:r>
          </w:p>
        </w:tc>
        <w:tc>
          <w:tcPr>
            <w:tcW w:w="1736" w:type="dxa"/>
            <w:tcBorders>
              <w:top w:val="single" w:color="D9D9D9" w:sz="2" w:space="0"/>
              <w:bottom w:val="single" w:color="D9D9D9" w:sz="2" w:space="0"/>
            </w:tcBorders>
          </w:tcPr>
          <w:p w:rsidR="00C31389" w:rsidRDefault="00561FBD" w14:paraId="6E7D32E9" w14:textId="77777777">
            <w:pPr>
              <w:pStyle w:val="TableParagraph"/>
              <w:spacing w:before="41"/>
              <w:ind w:left="484" w:right="610"/>
              <w:jc w:val="center"/>
              <w:rPr>
                <w:sz w:val="20"/>
              </w:rPr>
            </w:pPr>
            <w:r>
              <w:rPr>
                <w:spacing w:val="-5"/>
                <w:sz w:val="20"/>
              </w:rPr>
              <w:t>kWh</w:t>
            </w:r>
          </w:p>
        </w:tc>
        <w:tc>
          <w:tcPr>
            <w:tcW w:w="1863" w:type="dxa"/>
            <w:tcBorders>
              <w:top w:val="single" w:color="D9D9D9" w:sz="2" w:space="0"/>
              <w:bottom w:val="single" w:color="D9D9D9" w:sz="2" w:space="0"/>
            </w:tcBorders>
          </w:tcPr>
          <w:p w:rsidR="00C31389" w:rsidRDefault="00561FBD" w14:paraId="5416F407" w14:textId="77777777">
            <w:pPr>
              <w:pStyle w:val="TableParagraph"/>
              <w:spacing w:before="41"/>
              <w:ind w:left="612" w:right="610"/>
              <w:jc w:val="center"/>
              <w:rPr>
                <w:sz w:val="20"/>
              </w:rPr>
            </w:pPr>
            <w:r>
              <w:rPr>
                <w:spacing w:val="-2"/>
                <w:sz w:val="20"/>
              </w:rPr>
              <w:t>$0.323</w:t>
            </w:r>
          </w:p>
        </w:tc>
      </w:tr>
      <w:tr w:rsidR="00C31389" w14:paraId="1631FC40" w14:textId="77777777">
        <w:trPr>
          <w:trHeight w:val="309"/>
        </w:trPr>
        <w:tc>
          <w:tcPr>
            <w:tcW w:w="1322" w:type="dxa"/>
            <w:tcBorders>
              <w:top w:val="single" w:color="D9D9D9" w:sz="2" w:space="0"/>
              <w:bottom w:val="single" w:color="D9D9D9" w:sz="2" w:space="0"/>
            </w:tcBorders>
          </w:tcPr>
          <w:p w:rsidR="00C31389" w:rsidRDefault="00561FBD" w14:paraId="04C8D404" w14:textId="77777777">
            <w:pPr>
              <w:pStyle w:val="TableParagraph"/>
              <w:ind w:left="122"/>
              <w:rPr>
                <w:sz w:val="20"/>
              </w:rPr>
            </w:pPr>
            <w:r>
              <w:rPr>
                <w:spacing w:val="-4"/>
                <w:sz w:val="20"/>
              </w:rPr>
              <w:t>PG&amp;E</w:t>
            </w:r>
          </w:p>
        </w:tc>
        <w:tc>
          <w:tcPr>
            <w:tcW w:w="1736" w:type="dxa"/>
            <w:tcBorders>
              <w:top w:val="single" w:color="D9D9D9" w:sz="2" w:space="0"/>
              <w:bottom w:val="single" w:color="D9D9D9" w:sz="2" w:space="0"/>
            </w:tcBorders>
          </w:tcPr>
          <w:p w:rsidR="00C31389" w:rsidRDefault="00561FBD" w14:paraId="277A5CEB" w14:textId="77777777">
            <w:pPr>
              <w:pStyle w:val="TableParagraph"/>
              <w:ind w:left="485" w:right="610"/>
              <w:jc w:val="center"/>
              <w:rPr>
                <w:sz w:val="20"/>
              </w:rPr>
            </w:pPr>
            <w:r>
              <w:rPr>
                <w:spacing w:val="-2"/>
                <w:sz w:val="20"/>
              </w:rPr>
              <w:t>therms</w:t>
            </w:r>
          </w:p>
        </w:tc>
        <w:tc>
          <w:tcPr>
            <w:tcW w:w="1863" w:type="dxa"/>
            <w:tcBorders>
              <w:top w:val="single" w:color="D9D9D9" w:sz="2" w:space="0"/>
              <w:bottom w:val="single" w:color="D9D9D9" w:sz="2" w:space="0"/>
            </w:tcBorders>
          </w:tcPr>
          <w:p w:rsidR="00C31389" w:rsidRDefault="00561FBD" w14:paraId="1C4B7771" w14:textId="77777777">
            <w:pPr>
              <w:pStyle w:val="TableParagraph"/>
              <w:ind w:left="612" w:right="610"/>
              <w:jc w:val="center"/>
              <w:rPr>
                <w:sz w:val="20"/>
              </w:rPr>
            </w:pPr>
            <w:r>
              <w:rPr>
                <w:spacing w:val="-2"/>
                <w:sz w:val="20"/>
              </w:rPr>
              <w:t>$0.340</w:t>
            </w:r>
          </w:p>
        </w:tc>
      </w:tr>
      <w:tr w:rsidR="00C31389" w14:paraId="09246834" w14:textId="77777777">
        <w:trPr>
          <w:trHeight w:val="310"/>
        </w:trPr>
        <w:tc>
          <w:tcPr>
            <w:tcW w:w="1322" w:type="dxa"/>
            <w:tcBorders>
              <w:top w:val="single" w:color="D9D9D9" w:sz="2" w:space="0"/>
              <w:bottom w:val="single" w:color="D9D9D9" w:sz="2" w:space="0"/>
            </w:tcBorders>
          </w:tcPr>
          <w:p w:rsidR="00C31389" w:rsidRDefault="00561FBD" w14:paraId="16A6E0B2" w14:textId="77777777">
            <w:pPr>
              <w:pStyle w:val="TableParagraph"/>
              <w:spacing w:before="41"/>
              <w:ind w:left="122"/>
              <w:rPr>
                <w:sz w:val="20"/>
              </w:rPr>
            </w:pPr>
            <w:r>
              <w:rPr>
                <w:spacing w:val="-5"/>
                <w:sz w:val="20"/>
              </w:rPr>
              <w:t>SCG</w:t>
            </w:r>
          </w:p>
        </w:tc>
        <w:tc>
          <w:tcPr>
            <w:tcW w:w="1736" w:type="dxa"/>
            <w:tcBorders>
              <w:top w:val="single" w:color="D9D9D9" w:sz="2" w:space="0"/>
              <w:bottom w:val="single" w:color="D9D9D9" w:sz="2" w:space="0"/>
            </w:tcBorders>
          </w:tcPr>
          <w:p w:rsidR="00C31389" w:rsidRDefault="00561FBD" w14:paraId="1B06BE0B" w14:textId="77777777">
            <w:pPr>
              <w:pStyle w:val="TableParagraph"/>
              <w:spacing w:before="41"/>
              <w:ind w:left="485" w:right="610"/>
              <w:jc w:val="center"/>
              <w:rPr>
                <w:sz w:val="20"/>
              </w:rPr>
            </w:pPr>
            <w:r>
              <w:rPr>
                <w:spacing w:val="-2"/>
                <w:sz w:val="20"/>
              </w:rPr>
              <w:t>therms</w:t>
            </w:r>
          </w:p>
        </w:tc>
        <w:tc>
          <w:tcPr>
            <w:tcW w:w="1863" w:type="dxa"/>
            <w:tcBorders>
              <w:top w:val="single" w:color="D9D9D9" w:sz="2" w:space="0"/>
              <w:bottom w:val="single" w:color="D9D9D9" w:sz="2" w:space="0"/>
            </w:tcBorders>
          </w:tcPr>
          <w:p w:rsidR="00C31389" w:rsidRDefault="00561FBD" w14:paraId="6CB57A5E" w14:textId="77777777">
            <w:pPr>
              <w:pStyle w:val="TableParagraph"/>
              <w:spacing w:before="41"/>
              <w:ind w:left="612" w:right="610"/>
              <w:jc w:val="center"/>
              <w:rPr>
                <w:sz w:val="20"/>
              </w:rPr>
            </w:pPr>
            <w:r>
              <w:rPr>
                <w:spacing w:val="-2"/>
                <w:sz w:val="20"/>
              </w:rPr>
              <w:t>$0.180</w:t>
            </w:r>
          </w:p>
        </w:tc>
      </w:tr>
      <w:tr w:rsidR="00C31389" w14:paraId="5B5457A3" w14:textId="77777777">
        <w:trPr>
          <w:trHeight w:val="310"/>
        </w:trPr>
        <w:tc>
          <w:tcPr>
            <w:tcW w:w="1322" w:type="dxa"/>
            <w:tcBorders>
              <w:top w:val="single" w:color="D9D9D9" w:sz="2" w:space="0"/>
              <w:bottom w:val="single" w:color="000000" w:sz="8" w:space="0"/>
            </w:tcBorders>
          </w:tcPr>
          <w:p w:rsidR="00C31389" w:rsidRDefault="00561FBD" w14:paraId="54BE56B3" w14:textId="77777777">
            <w:pPr>
              <w:pStyle w:val="TableParagraph"/>
              <w:ind w:left="122"/>
              <w:rPr>
                <w:sz w:val="20"/>
              </w:rPr>
            </w:pPr>
            <w:r>
              <w:rPr>
                <w:spacing w:val="-2"/>
                <w:sz w:val="20"/>
              </w:rPr>
              <w:t>SDG&amp;E</w:t>
            </w:r>
          </w:p>
        </w:tc>
        <w:tc>
          <w:tcPr>
            <w:tcW w:w="1736" w:type="dxa"/>
            <w:tcBorders>
              <w:top w:val="single" w:color="D9D9D9" w:sz="2" w:space="0"/>
              <w:bottom w:val="single" w:color="000000" w:sz="8" w:space="0"/>
            </w:tcBorders>
          </w:tcPr>
          <w:p w:rsidR="00C31389" w:rsidRDefault="00561FBD" w14:paraId="2510F9A1" w14:textId="77777777">
            <w:pPr>
              <w:pStyle w:val="TableParagraph"/>
              <w:ind w:left="485" w:right="610"/>
              <w:jc w:val="center"/>
              <w:rPr>
                <w:sz w:val="20"/>
              </w:rPr>
            </w:pPr>
            <w:r>
              <w:rPr>
                <w:spacing w:val="-2"/>
                <w:sz w:val="20"/>
              </w:rPr>
              <w:t>therms</w:t>
            </w:r>
          </w:p>
        </w:tc>
        <w:tc>
          <w:tcPr>
            <w:tcW w:w="1863" w:type="dxa"/>
            <w:tcBorders>
              <w:top w:val="single" w:color="D9D9D9" w:sz="2" w:space="0"/>
              <w:bottom w:val="single" w:color="000000" w:sz="8" w:space="0"/>
            </w:tcBorders>
          </w:tcPr>
          <w:p w:rsidR="00C31389" w:rsidRDefault="00561FBD" w14:paraId="17455ED9" w14:textId="77777777">
            <w:pPr>
              <w:pStyle w:val="TableParagraph"/>
              <w:ind w:left="612" w:right="610"/>
              <w:jc w:val="center"/>
              <w:rPr>
                <w:sz w:val="20"/>
              </w:rPr>
            </w:pPr>
            <w:r>
              <w:rPr>
                <w:spacing w:val="-2"/>
                <w:sz w:val="20"/>
              </w:rPr>
              <w:t>$0.489</w:t>
            </w:r>
          </w:p>
        </w:tc>
      </w:tr>
    </w:tbl>
    <w:p w:rsidR="00C31389" w:rsidRDefault="00561FBD" w14:paraId="4DB2F9E1"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66291BA1" w14:textId="77777777">
      <w:pPr>
        <w:pStyle w:val="BodyText"/>
        <w:spacing w:before="11"/>
        <w:rPr>
          <w:i/>
          <w:sz w:val="20"/>
        </w:rPr>
      </w:pPr>
    </w:p>
    <w:p w:rsidR="00C31389" w:rsidRDefault="00561FBD" w14:paraId="5215E919" w14:textId="77777777">
      <w:pPr>
        <w:pStyle w:val="ListParagraph"/>
        <w:numPr>
          <w:ilvl w:val="1"/>
          <w:numId w:val="19"/>
        </w:numPr>
        <w:tabs>
          <w:tab w:val="left" w:pos="991"/>
        </w:tabs>
        <w:ind w:left="991" w:hanging="511"/>
        <w:rPr>
          <w:b/>
          <w:sz w:val="28"/>
        </w:rPr>
      </w:pPr>
      <w:bookmarkStart w:name="D.8_Commercial_–_Business_Energy_Reports" w:id="507"/>
      <w:bookmarkStart w:name="_bookmark388" w:id="508"/>
      <w:bookmarkEnd w:id="507"/>
      <w:bookmarkEnd w:id="508"/>
      <w:r>
        <w:rPr>
          <w:b/>
          <w:sz w:val="28"/>
        </w:rPr>
        <w:t>Commercial</w:t>
      </w:r>
      <w:r>
        <w:rPr>
          <w:b/>
          <w:spacing w:val="-12"/>
          <w:sz w:val="28"/>
        </w:rPr>
        <w:t xml:space="preserve"> </w:t>
      </w:r>
      <w:r>
        <w:rPr>
          <w:b/>
          <w:sz w:val="28"/>
        </w:rPr>
        <w:t>–</w:t>
      </w:r>
      <w:r>
        <w:rPr>
          <w:b/>
          <w:spacing w:val="-12"/>
          <w:sz w:val="28"/>
        </w:rPr>
        <w:t xml:space="preserve"> </w:t>
      </w:r>
      <w:r>
        <w:rPr>
          <w:b/>
          <w:sz w:val="28"/>
        </w:rPr>
        <w:t>Business</w:t>
      </w:r>
      <w:r>
        <w:rPr>
          <w:b/>
          <w:spacing w:val="-12"/>
          <w:sz w:val="28"/>
        </w:rPr>
        <w:t xml:space="preserve"> </w:t>
      </w:r>
      <w:r>
        <w:rPr>
          <w:b/>
          <w:sz w:val="28"/>
        </w:rPr>
        <w:t>Energy</w:t>
      </w:r>
      <w:r>
        <w:rPr>
          <w:b/>
          <w:spacing w:val="-12"/>
          <w:sz w:val="28"/>
        </w:rPr>
        <w:t xml:space="preserve"> </w:t>
      </w:r>
      <w:r>
        <w:rPr>
          <w:b/>
          <w:spacing w:val="-2"/>
          <w:sz w:val="28"/>
        </w:rPr>
        <w:t>Reports</w:t>
      </w:r>
    </w:p>
    <w:p w:rsidR="00C31389" w:rsidRDefault="00C31389" w14:paraId="2D9C365B" w14:textId="77777777">
      <w:pPr>
        <w:pStyle w:val="BodyText"/>
        <w:spacing w:before="3"/>
        <w:rPr>
          <w:b/>
          <w:sz w:val="31"/>
        </w:rPr>
      </w:pPr>
    </w:p>
    <w:p w:rsidR="00C31389" w:rsidRDefault="00561FBD" w14:paraId="5CDE0577" w14:textId="77777777">
      <w:pPr>
        <w:pStyle w:val="ListParagraph"/>
        <w:numPr>
          <w:ilvl w:val="2"/>
          <w:numId w:val="19"/>
        </w:numPr>
        <w:tabs>
          <w:tab w:val="left" w:pos="1197"/>
        </w:tabs>
        <w:ind w:left="1197" w:hanging="717"/>
        <w:rPr>
          <w:b/>
          <w:sz w:val="24"/>
        </w:rPr>
      </w:pPr>
      <w:bookmarkStart w:name="D.8.1_Summary" w:id="509"/>
      <w:bookmarkStart w:name="_bookmark389" w:id="510"/>
      <w:bookmarkEnd w:id="509"/>
      <w:bookmarkEnd w:id="510"/>
      <w:r>
        <w:rPr>
          <w:b/>
          <w:spacing w:val="-2"/>
          <w:sz w:val="24"/>
        </w:rPr>
        <w:t>Summary</w:t>
      </w:r>
    </w:p>
    <w:p w:rsidR="00C31389" w:rsidRDefault="00C31389" w14:paraId="4C84A037" w14:textId="77777777">
      <w:pPr>
        <w:pStyle w:val="BodyText"/>
        <w:spacing w:before="3"/>
        <w:rPr>
          <w:b/>
          <w:sz w:val="23"/>
        </w:rPr>
      </w:pPr>
    </w:p>
    <w:p w:rsidR="00C31389" w:rsidRDefault="00561FBD" w14:paraId="17032CBC" w14:textId="77777777">
      <w:pPr>
        <w:pStyle w:val="BodyText"/>
        <w:ind w:left="480" w:right="653"/>
      </w:pPr>
      <w:r>
        <w:t>Business</w:t>
      </w:r>
      <w:r>
        <w:rPr>
          <w:spacing w:val="-1"/>
        </w:rPr>
        <w:t xml:space="preserve"> </w:t>
      </w:r>
      <w:r>
        <w:t>energy</w:t>
      </w:r>
      <w:r>
        <w:rPr>
          <w:spacing w:val="-1"/>
        </w:rPr>
        <w:t xml:space="preserve"> </w:t>
      </w:r>
      <w:r>
        <w:t>reports</w:t>
      </w:r>
      <w:r>
        <w:rPr>
          <w:spacing w:val="-2"/>
        </w:rPr>
        <w:t xml:space="preserve"> </w:t>
      </w:r>
      <w:r>
        <w:t>(BERs)</w:t>
      </w:r>
      <w:r>
        <w:rPr>
          <w:spacing w:val="-1"/>
        </w:rPr>
        <w:t xml:space="preserve"> </w:t>
      </w:r>
      <w:r>
        <w:t>are</w:t>
      </w:r>
      <w:r>
        <w:rPr>
          <w:spacing w:val="-1"/>
        </w:rPr>
        <w:t xml:space="preserve"> </w:t>
      </w:r>
      <w:r>
        <w:t>the</w:t>
      </w:r>
      <w:r>
        <w:rPr>
          <w:spacing w:val="-1"/>
        </w:rPr>
        <w:t xml:space="preserve"> </w:t>
      </w:r>
      <w:r>
        <w:t>commercial</w:t>
      </w:r>
      <w:r>
        <w:rPr>
          <w:spacing w:val="-1"/>
        </w:rPr>
        <w:t xml:space="preserve"> </w:t>
      </w:r>
      <w:r>
        <w:t>sector</w:t>
      </w:r>
      <w:r>
        <w:rPr>
          <w:spacing w:val="-1"/>
        </w:rPr>
        <w:t xml:space="preserve"> </w:t>
      </w:r>
      <w:r>
        <w:t>equivalent</w:t>
      </w:r>
      <w:r>
        <w:rPr>
          <w:spacing w:val="-1"/>
        </w:rPr>
        <w:t xml:space="preserve"> </w:t>
      </w:r>
      <w:r>
        <w:t>to</w:t>
      </w:r>
      <w:r>
        <w:rPr>
          <w:spacing w:val="-2"/>
        </w:rPr>
        <w:t xml:space="preserve"> </w:t>
      </w:r>
      <w:r>
        <w:t>the</w:t>
      </w:r>
      <w:r>
        <w:rPr>
          <w:spacing w:val="-1"/>
        </w:rPr>
        <w:t xml:space="preserve"> </w:t>
      </w:r>
      <w:r>
        <w:t>HERs</w:t>
      </w:r>
      <w:r>
        <w:rPr>
          <w:spacing w:val="-1"/>
        </w:rPr>
        <w:t xml:space="preserve"> </w:t>
      </w:r>
      <w:r>
        <w:t>sent</w:t>
      </w:r>
      <w:r>
        <w:rPr>
          <w:spacing w:val="-1"/>
        </w:rPr>
        <w:t xml:space="preserve"> </w:t>
      </w:r>
      <w:r>
        <w:t>to residential customers. BERs (and other similar programs) shares reports via mail (or electronic format) with small- and medium-sized businesses at specific intervals (often monthly). The objective is to provide feedback about</w:t>
      </w:r>
      <w:r>
        <w:t xml:space="preserve"> the business’ energy use, including normative comparisons to similar businesses, tips for improving EE, and occasionally messaging about rewards or incentives. BERs and other similar programs typically send reports to customers on opt out basis. BER-type </w:t>
      </w:r>
      <w:r>
        <w:t>programs are a relatively new addition in the</w:t>
      </w:r>
      <w:r>
        <w:rPr>
          <w:spacing w:val="-3"/>
        </w:rPr>
        <w:t xml:space="preserve"> </w:t>
      </w:r>
      <w:r>
        <w:t>emerging</w:t>
      </w:r>
      <w:r>
        <w:rPr>
          <w:spacing w:val="-3"/>
        </w:rPr>
        <w:t xml:space="preserve"> </w:t>
      </w:r>
      <w:r>
        <w:t>field</w:t>
      </w:r>
      <w:r>
        <w:rPr>
          <w:spacing w:val="-3"/>
        </w:rPr>
        <w:t xml:space="preserve"> </w:t>
      </w:r>
      <w:r>
        <w:t>of</w:t>
      </w:r>
      <w:r>
        <w:rPr>
          <w:spacing w:val="-3"/>
        </w:rPr>
        <w:t xml:space="preserve"> </w:t>
      </w:r>
      <w:r>
        <w:t>behavior</w:t>
      </w:r>
      <w:r>
        <w:rPr>
          <w:spacing w:val="-3"/>
        </w:rPr>
        <w:t xml:space="preserve"> </w:t>
      </w:r>
      <w:r>
        <w:t>change</w:t>
      </w:r>
      <w:r>
        <w:rPr>
          <w:spacing w:val="-3"/>
        </w:rPr>
        <w:t xml:space="preserve"> </w:t>
      </w:r>
      <w:r>
        <w:t>programs</w:t>
      </w:r>
      <w:r>
        <w:rPr>
          <w:spacing w:val="-3"/>
        </w:rPr>
        <w:t xml:space="preserve"> </w:t>
      </w:r>
      <w:r>
        <w:t>and</w:t>
      </w:r>
      <w:r>
        <w:rPr>
          <w:spacing w:val="-3"/>
        </w:rPr>
        <w:t xml:space="preserve"> </w:t>
      </w:r>
      <w:r>
        <w:t>are</w:t>
      </w:r>
      <w:r>
        <w:rPr>
          <w:spacing w:val="-3"/>
        </w:rPr>
        <w:t xml:space="preserve"> </w:t>
      </w:r>
      <w:r>
        <w:t>in</w:t>
      </w:r>
      <w:r>
        <w:rPr>
          <w:spacing w:val="-4"/>
        </w:rPr>
        <w:t xml:space="preserve"> </w:t>
      </w:r>
      <w:r>
        <w:t>pilot</w:t>
      </w:r>
      <w:r>
        <w:rPr>
          <w:spacing w:val="-3"/>
        </w:rPr>
        <w:t xml:space="preserve"> </w:t>
      </w:r>
      <w:r>
        <w:t>testing</w:t>
      </w:r>
      <w:r>
        <w:rPr>
          <w:spacing w:val="-4"/>
        </w:rPr>
        <w:t xml:space="preserve"> </w:t>
      </w:r>
      <w:r>
        <w:t>at</w:t>
      </w:r>
      <w:r>
        <w:rPr>
          <w:spacing w:val="-3"/>
        </w:rPr>
        <w:t xml:space="preserve"> </w:t>
      </w:r>
      <w:r>
        <w:t>PG&amp;E</w:t>
      </w:r>
      <w:r>
        <w:rPr>
          <w:spacing w:val="-3"/>
        </w:rPr>
        <w:t xml:space="preserve"> </w:t>
      </w:r>
      <w:r>
        <w:t>and</w:t>
      </w:r>
      <w:r>
        <w:rPr>
          <w:spacing w:val="-3"/>
        </w:rPr>
        <w:t xml:space="preserve"> </w:t>
      </w:r>
      <w:r>
        <w:t>other non-California utilities.</w:t>
      </w:r>
    </w:p>
    <w:p w:rsidR="00C31389" w:rsidRDefault="00C31389" w14:paraId="6FD7D819" w14:textId="77777777">
      <w:pPr>
        <w:pStyle w:val="BodyText"/>
        <w:spacing w:before="11"/>
        <w:rPr>
          <w:sz w:val="20"/>
        </w:rPr>
      </w:pPr>
    </w:p>
    <w:p w:rsidR="00C31389" w:rsidRDefault="00561FBD" w14:paraId="468A32F0" w14:textId="77777777">
      <w:pPr>
        <w:pStyle w:val="BodyText"/>
        <w:ind w:left="480"/>
      </w:pPr>
      <w:r>
        <w:t>The</w:t>
      </w:r>
      <w:r>
        <w:rPr>
          <w:spacing w:val="-8"/>
        </w:rPr>
        <w:t xml:space="preserve"> </w:t>
      </w:r>
      <w:r>
        <w:t>Guidehouse</w:t>
      </w:r>
      <w:r>
        <w:rPr>
          <w:spacing w:val="-7"/>
        </w:rPr>
        <w:t xml:space="preserve"> </w:t>
      </w:r>
      <w:r>
        <w:t>team’s</w:t>
      </w:r>
      <w:r>
        <w:rPr>
          <w:spacing w:val="-8"/>
        </w:rPr>
        <w:t xml:space="preserve"> </w:t>
      </w:r>
      <w:r>
        <w:t>modeling</w:t>
      </w:r>
      <w:r>
        <w:rPr>
          <w:spacing w:val="-7"/>
        </w:rPr>
        <w:t xml:space="preserve"> </w:t>
      </w:r>
      <w:r>
        <w:t>estimates</w:t>
      </w:r>
      <w:r>
        <w:rPr>
          <w:spacing w:val="-7"/>
        </w:rPr>
        <w:t xml:space="preserve"> </w:t>
      </w:r>
      <w:r>
        <w:t>are</w:t>
      </w:r>
      <w:r>
        <w:rPr>
          <w:spacing w:val="-8"/>
        </w:rPr>
        <w:t xml:space="preserve"> </w:t>
      </w:r>
      <w:r>
        <w:t>primarily</w:t>
      </w:r>
      <w:r>
        <w:rPr>
          <w:spacing w:val="-7"/>
        </w:rPr>
        <w:t xml:space="preserve"> </w:t>
      </w:r>
      <w:r>
        <w:t>based</w:t>
      </w:r>
      <w:r>
        <w:rPr>
          <w:spacing w:val="-8"/>
        </w:rPr>
        <w:t xml:space="preserve"> </w:t>
      </w:r>
      <w:r>
        <w:t>on</w:t>
      </w:r>
      <w:r>
        <w:rPr>
          <w:spacing w:val="-7"/>
        </w:rPr>
        <w:t xml:space="preserve"> </w:t>
      </w:r>
      <w:r>
        <w:t>three</w:t>
      </w:r>
      <w:r>
        <w:rPr>
          <w:spacing w:val="-8"/>
        </w:rPr>
        <w:t xml:space="preserve"> </w:t>
      </w:r>
      <w:r>
        <w:rPr>
          <w:spacing w:val="-2"/>
        </w:rPr>
        <w:t>sources:</w:t>
      </w:r>
    </w:p>
    <w:p w:rsidR="00C31389" w:rsidRDefault="00561FBD" w14:paraId="3ED104C5" w14:textId="77777777">
      <w:pPr>
        <w:pStyle w:val="ListParagraph"/>
        <w:numPr>
          <w:ilvl w:val="3"/>
          <w:numId w:val="19"/>
        </w:numPr>
        <w:tabs>
          <w:tab w:val="left" w:pos="1199"/>
        </w:tabs>
        <w:spacing w:before="120"/>
      </w:pPr>
      <w:r>
        <w:t>PG&amp;E’s</w:t>
      </w:r>
      <w:r>
        <w:rPr>
          <w:spacing w:val="-6"/>
        </w:rPr>
        <w:t xml:space="preserve"> </w:t>
      </w:r>
      <w:r>
        <w:t>response</w:t>
      </w:r>
      <w:r>
        <w:rPr>
          <w:spacing w:val="-6"/>
        </w:rPr>
        <w:t xml:space="preserve"> </w:t>
      </w:r>
      <w:r>
        <w:t>to</w:t>
      </w:r>
      <w:r>
        <w:rPr>
          <w:spacing w:val="-6"/>
        </w:rPr>
        <w:t xml:space="preserve"> </w:t>
      </w:r>
      <w:r>
        <w:t>the</w:t>
      </w:r>
      <w:r>
        <w:rPr>
          <w:spacing w:val="-6"/>
        </w:rPr>
        <w:t xml:space="preserve"> </w:t>
      </w:r>
      <w:r>
        <w:t>2019</w:t>
      </w:r>
      <w:r>
        <w:rPr>
          <w:spacing w:val="-6"/>
        </w:rPr>
        <w:t xml:space="preserve"> </w:t>
      </w:r>
      <w:r>
        <w:t>Study</w:t>
      </w:r>
      <w:r>
        <w:rPr>
          <w:spacing w:val="-6"/>
        </w:rPr>
        <w:t xml:space="preserve"> </w:t>
      </w:r>
      <w:r>
        <w:t>webinar</w:t>
      </w:r>
      <w:r>
        <w:rPr>
          <w:spacing w:val="-6"/>
        </w:rPr>
        <w:t xml:space="preserve"> </w:t>
      </w:r>
      <w:r>
        <w:t>on</w:t>
      </w:r>
      <w:r>
        <w:rPr>
          <w:spacing w:val="-6"/>
        </w:rPr>
        <w:t xml:space="preserve"> </w:t>
      </w:r>
      <w:r>
        <w:t>April</w:t>
      </w:r>
      <w:r>
        <w:rPr>
          <w:spacing w:val="-6"/>
        </w:rPr>
        <w:t xml:space="preserve"> </w:t>
      </w:r>
      <w:r>
        <w:t>20,</w:t>
      </w:r>
      <w:r>
        <w:rPr>
          <w:spacing w:val="-5"/>
        </w:rPr>
        <w:t xml:space="preserve"> </w:t>
      </w:r>
      <w:r>
        <w:rPr>
          <w:spacing w:val="-2"/>
        </w:rPr>
        <w:t>2017.</w:t>
      </w:r>
    </w:p>
    <w:p w:rsidR="00C31389" w:rsidRDefault="00561FBD" w14:paraId="73B0BC66" w14:textId="77777777">
      <w:pPr>
        <w:pStyle w:val="ListParagraph"/>
        <w:numPr>
          <w:ilvl w:val="3"/>
          <w:numId w:val="19"/>
        </w:numPr>
        <w:tabs>
          <w:tab w:val="left" w:pos="1199"/>
        </w:tabs>
        <w:spacing w:before="118"/>
        <w:ind w:right="765"/>
      </w:pPr>
      <w:r>
        <w:t>Cadmus</w:t>
      </w:r>
      <w:r>
        <w:rPr>
          <w:spacing w:val="-3"/>
        </w:rPr>
        <w:t xml:space="preserve"> </w:t>
      </w:r>
      <w:r>
        <w:t>review</w:t>
      </w:r>
      <w:r>
        <w:rPr>
          <w:spacing w:val="-4"/>
        </w:rPr>
        <w:t xml:space="preserve"> </w:t>
      </w:r>
      <w:r>
        <w:t>of</w:t>
      </w:r>
      <w:r>
        <w:rPr>
          <w:spacing w:val="-3"/>
        </w:rPr>
        <w:t xml:space="preserve"> </w:t>
      </w:r>
      <w:r>
        <w:t>a</w:t>
      </w:r>
      <w:r>
        <w:rPr>
          <w:spacing w:val="-3"/>
        </w:rPr>
        <w:t xml:space="preserve"> </w:t>
      </w:r>
      <w:r>
        <w:t>BER</w:t>
      </w:r>
      <w:r>
        <w:rPr>
          <w:spacing w:val="-4"/>
        </w:rPr>
        <w:t xml:space="preserve"> </w:t>
      </w:r>
      <w:r>
        <w:t>pilot</w:t>
      </w:r>
      <w:r>
        <w:rPr>
          <w:spacing w:val="-3"/>
        </w:rPr>
        <w:t xml:space="preserve"> </w:t>
      </w:r>
      <w:r>
        <w:t>with</w:t>
      </w:r>
      <w:r>
        <w:rPr>
          <w:spacing w:val="-3"/>
        </w:rPr>
        <w:t xml:space="preserve"> </w:t>
      </w:r>
      <w:r>
        <w:t>Xcel</w:t>
      </w:r>
      <w:r>
        <w:rPr>
          <w:spacing w:val="-3"/>
        </w:rPr>
        <w:t xml:space="preserve"> </w:t>
      </w:r>
      <w:r>
        <w:t>Energy</w:t>
      </w:r>
      <w:r>
        <w:rPr>
          <w:spacing w:val="-4"/>
        </w:rPr>
        <w:t xml:space="preserve"> </w:t>
      </w:r>
      <w:r>
        <w:t>business</w:t>
      </w:r>
      <w:r>
        <w:rPr>
          <w:spacing w:val="-3"/>
        </w:rPr>
        <w:t xml:space="preserve"> </w:t>
      </w:r>
      <w:r>
        <w:t>customers</w:t>
      </w:r>
      <w:r>
        <w:rPr>
          <w:spacing w:val="-3"/>
        </w:rPr>
        <w:t xml:space="preserve"> </w:t>
      </w:r>
      <w:r>
        <w:t>(smaller</w:t>
      </w:r>
      <w:r>
        <w:rPr>
          <w:spacing w:val="-3"/>
        </w:rPr>
        <w:t xml:space="preserve"> </w:t>
      </w:r>
      <w:r>
        <w:t xml:space="preserve">than 250 kW service) in Colorado (10,000 participants) and Minnesota (20,000 participants) conducted between June 2014 and </w:t>
      </w:r>
      <w:r>
        <w:t>June 2015.</w:t>
      </w:r>
    </w:p>
    <w:p w:rsidR="00C31389" w:rsidRDefault="00561FBD" w14:paraId="5E389628" w14:textId="77777777">
      <w:pPr>
        <w:pStyle w:val="ListParagraph"/>
        <w:numPr>
          <w:ilvl w:val="3"/>
          <w:numId w:val="19"/>
        </w:numPr>
        <w:tabs>
          <w:tab w:val="left" w:pos="1199"/>
        </w:tabs>
        <w:spacing w:before="118"/>
        <w:ind w:right="739"/>
      </w:pPr>
      <w:r>
        <w:t>Commercial</w:t>
      </w:r>
      <w:r>
        <w:rPr>
          <w:spacing w:val="-5"/>
        </w:rPr>
        <w:t xml:space="preserve"> </w:t>
      </w:r>
      <w:r>
        <w:t>customer</w:t>
      </w:r>
      <w:r>
        <w:rPr>
          <w:spacing w:val="-5"/>
        </w:rPr>
        <w:t xml:space="preserve"> </w:t>
      </w:r>
      <w:r>
        <w:t>behavior</w:t>
      </w:r>
      <w:r>
        <w:rPr>
          <w:spacing w:val="-5"/>
        </w:rPr>
        <w:t xml:space="preserve"> </w:t>
      </w:r>
      <w:r>
        <w:t>change</w:t>
      </w:r>
      <w:r>
        <w:rPr>
          <w:spacing w:val="-5"/>
        </w:rPr>
        <w:t xml:space="preserve"> </w:t>
      </w:r>
      <w:r>
        <w:t>pilot</w:t>
      </w:r>
      <w:r>
        <w:rPr>
          <w:spacing w:val="-5"/>
        </w:rPr>
        <w:t xml:space="preserve"> </w:t>
      </w:r>
      <w:r>
        <w:t>conducted</w:t>
      </w:r>
      <w:r>
        <w:rPr>
          <w:spacing w:val="-5"/>
        </w:rPr>
        <w:t xml:space="preserve"> </w:t>
      </w:r>
      <w:r>
        <w:t>by</w:t>
      </w:r>
      <w:r>
        <w:rPr>
          <w:spacing w:val="-5"/>
        </w:rPr>
        <w:t xml:space="preserve"> </w:t>
      </w:r>
      <w:r>
        <w:t>Commonwealth</w:t>
      </w:r>
      <w:r>
        <w:rPr>
          <w:spacing w:val="-5"/>
        </w:rPr>
        <w:t xml:space="preserve"> </w:t>
      </w:r>
      <w:r>
        <w:t>Edison and Agentis Energy in Illinois beginning in 2012.</w:t>
      </w:r>
    </w:p>
    <w:p w:rsidR="00C31389" w:rsidRDefault="00C31389" w14:paraId="3BE5552C" w14:textId="77777777">
      <w:pPr>
        <w:pStyle w:val="BodyText"/>
        <w:spacing w:before="8"/>
        <w:rPr>
          <w:sz w:val="20"/>
        </w:rPr>
      </w:pPr>
    </w:p>
    <w:p w:rsidR="00C31389" w:rsidRDefault="00561FBD" w14:paraId="68014E40" w14:textId="77777777">
      <w:pPr>
        <w:pStyle w:val="BodyText"/>
        <w:ind w:left="479" w:right="418"/>
      </w:pPr>
      <w:r>
        <w:t>Xcel Energy provided BERs to a sample of businesses operating in the following sectors: small</w:t>
      </w:r>
      <w:r>
        <w:rPr>
          <w:spacing w:val="-2"/>
        </w:rPr>
        <w:t xml:space="preserve"> </w:t>
      </w:r>
      <w:r>
        <w:t>office,</w:t>
      </w:r>
      <w:r>
        <w:rPr>
          <w:spacing w:val="-3"/>
        </w:rPr>
        <w:t xml:space="preserve"> </w:t>
      </w:r>
      <w:r>
        <w:t>small</w:t>
      </w:r>
      <w:r>
        <w:rPr>
          <w:spacing w:val="-2"/>
        </w:rPr>
        <w:t xml:space="preserve"> </w:t>
      </w:r>
      <w:r>
        <w:t>retail</w:t>
      </w:r>
      <w:r>
        <w:rPr>
          <w:spacing w:val="-2"/>
        </w:rPr>
        <w:t xml:space="preserve"> </w:t>
      </w:r>
      <w:r>
        <w:t>trad</w:t>
      </w:r>
      <w:r>
        <w:t>e,</w:t>
      </w:r>
      <w:r>
        <w:rPr>
          <w:spacing w:val="-2"/>
        </w:rPr>
        <w:t xml:space="preserve"> </w:t>
      </w:r>
      <w:r>
        <w:t>small</w:t>
      </w:r>
      <w:r>
        <w:rPr>
          <w:spacing w:val="-2"/>
        </w:rPr>
        <w:t xml:space="preserve"> </w:t>
      </w:r>
      <w:r>
        <w:t>retail</w:t>
      </w:r>
      <w:r>
        <w:rPr>
          <w:spacing w:val="-2"/>
        </w:rPr>
        <w:t xml:space="preserve"> </w:t>
      </w:r>
      <w:r>
        <w:t>service,</w:t>
      </w:r>
      <w:r>
        <w:rPr>
          <w:spacing w:val="-3"/>
        </w:rPr>
        <w:t xml:space="preserve"> </w:t>
      </w:r>
      <w:r>
        <w:t>and</w:t>
      </w:r>
      <w:r>
        <w:rPr>
          <w:spacing w:val="-2"/>
        </w:rPr>
        <w:t xml:space="preserve"> </w:t>
      </w:r>
      <w:r>
        <w:t>restaurants.</w:t>
      </w:r>
      <w:hyperlink w:history="1" w:anchor="_bookmark391">
        <w:r>
          <w:rPr>
            <w:position w:val="7"/>
            <w:sz w:val="14"/>
          </w:rPr>
          <w:t>146</w:t>
        </w:r>
      </w:hyperlink>
      <w:r>
        <w:rPr>
          <w:spacing w:val="19"/>
          <w:position w:val="7"/>
          <w:sz w:val="14"/>
        </w:rPr>
        <w:t xml:space="preserve"> </w:t>
      </w:r>
      <w:r>
        <w:t>In</w:t>
      </w:r>
      <w:r>
        <w:rPr>
          <w:spacing w:val="-2"/>
        </w:rPr>
        <w:t xml:space="preserve"> </w:t>
      </w:r>
      <w:r>
        <w:t>the</w:t>
      </w:r>
      <w:r>
        <w:rPr>
          <w:spacing w:val="-2"/>
        </w:rPr>
        <w:t xml:space="preserve"> </w:t>
      </w:r>
      <w:r>
        <w:t>Commonwealth Edison pilot, the utility engaged 6,009 medium-sized (100 kW-1,000 kW) commercial</w:t>
      </w:r>
    </w:p>
    <w:p w:rsidR="00C31389" w:rsidRDefault="00C31389" w14:paraId="1523E237" w14:textId="77777777">
      <w:pPr>
        <w:pStyle w:val="BodyText"/>
        <w:rPr>
          <w:sz w:val="20"/>
        </w:rPr>
      </w:pPr>
    </w:p>
    <w:p w:rsidR="00C31389" w:rsidRDefault="00C31389" w14:paraId="1CAA2037" w14:textId="77777777">
      <w:pPr>
        <w:pStyle w:val="BodyText"/>
        <w:rPr>
          <w:sz w:val="20"/>
        </w:rPr>
      </w:pPr>
    </w:p>
    <w:p w:rsidR="00C31389" w:rsidRDefault="00C31389" w14:paraId="45A2955A" w14:textId="77777777">
      <w:pPr>
        <w:pStyle w:val="BodyText"/>
        <w:rPr>
          <w:sz w:val="20"/>
        </w:rPr>
      </w:pPr>
    </w:p>
    <w:p w:rsidR="00C31389" w:rsidRDefault="00C31389" w14:paraId="09488074" w14:textId="77777777">
      <w:pPr>
        <w:pStyle w:val="BodyText"/>
        <w:rPr>
          <w:sz w:val="20"/>
        </w:rPr>
      </w:pPr>
    </w:p>
    <w:p w:rsidR="00C31389" w:rsidRDefault="00561FBD" w14:paraId="3D74A50D" w14:textId="77777777">
      <w:pPr>
        <w:pStyle w:val="BodyText"/>
        <w:spacing w:before="4"/>
        <w:rPr>
          <w:sz w:val="19"/>
        </w:rPr>
      </w:pPr>
      <w:r>
        <w:rPr>
          <w:noProof/>
        </w:rPr>
        <mc:AlternateContent>
          <mc:Choice Requires="wps">
            <w:drawing>
              <wp:anchor distT="0" distB="0" distL="0" distR="0" simplePos="0" relativeHeight="487725568" behindDoc="1" locked="0" layoutInCell="1" allowOverlap="1" wp14:editId="3A7CB2C7" wp14:anchorId="1C8BCE79">
                <wp:simplePos x="0" y="0"/>
                <wp:positionH relativeFrom="page">
                  <wp:posOffset>914400</wp:posOffset>
                </wp:positionH>
                <wp:positionV relativeFrom="paragraph">
                  <wp:posOffset>156995</wp:posOffset>
                </wp:positionV>
                <wp:extent cx="1828800" cy="6985"/>
                <wp:effectExtent l="0" t="0" r="0" b="0"/>
                <wp:wrapTopAndBottom/>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8" style="position:absolute;margin-left:1in;margin-top:12.35pt;width:2in;height:.55pt;z-index:-1559091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" w14:anchorId="7E78ACD6">
                <v:path arrowok="t"/>
                <w10:wrap type="topAndBottom" anchorx="page"/>
              </v:shape>
            </w:pict>
          </mc:Fallback>
        </mc:AlternateContent>
      </w:r>
    </w:p>
    <w:p w:rsidR="00C31389" w:rsidRDefault="00561FBD" w14:paraId="3EECC56E" w14:textId="77777777">
      <w:pPr>
        <w:spacing w:before="89"/>
        <w:ind w:left="480"/>
        <w:rPr>
          <w:sz w:val="18"/>
        </w:rPr>
      </w:pPr>
      <w:bookmarkStart w:name="_bookmark390" w:id="511"/>
      <w:bookmarkEnd w:id="511"/>
      <w:r>
        <w:rPr>
          <w:position w:val="6"/>
          <w:sz w:val="12"/>
        </w:rPr>
        <w:t>145</w:t>
      </w:r>
      <w:r>
        <w:rPr>
          <w:spacing w:val="13"/>
          <w:position w:val="6"/>
          <w:sz w:val="12"/>
        </w:rPr>
        <w:t xml:space="preserve"> </w:t>
      </w:r>
      <w:r>
        <w:rPr>
          <w:sz w:val="18"/>
        </w:rPr>
        <w:t>CPUC.</w:t>
      </w:r>
      <w:r>
        <w:rPr>
          <w:spacing w:val="-3"/>
          <w:sz w:val="18"/>
        </w:rPr>
        <w:t xml:space="preserve"> </w:t>
      </w:r>
      <w:r>
        <w:rPr>
          <w:sz w:val="18"/>
        </w:rPr>
        <w:t>Resolution</w:t>
      </w:r>
      <w:r>
        <w:rPr>
          <w:spacing w:val="-4"/>
          <w:sz w:val="18"/>
        </w:rPr>
        <w:t xml:space="preserve"> </w:t>
      </w:r>
      <w:r>
        <w:rPr>
          <w:sz w:val="18"/>
        </w:rPr>
        <w:t>E-</w:t>
      </w:r>
      <w:r>
        <w:rPr>
          <w:spacing w:val="-4"/>
          <w:sz w:val="18"/>
        </w:rPr>
        <w:t>4952.</w:t>
      </w:r>
    </w:p>
    <w:p w:rsidR="00C31389" w:rsidRDefault="00561FBD" w14:paraId="1C5EE168" w14:textId="77777777">
      <w:pPr>
        <w:spacing w:before="34"/>
        <w:ind w:left="480" w:right="418"/>
        <w:rPr>
          <w:sz w:val="18"/>
        </w:rPr>
      </w:pPr>
      <w:bookmarkStart w:name="_bookmark391" w:id="512"/>
      <w:bookmarkEnd w:id="512"/>
      <w:r>
        <w:rPr>
          <w:position w:val="6"/>
          <w:sz w:val="12"/>
        </w:rPr>
        <w:t>146</w:t>
      </w:r>
      <w:r>
        <w:rPr>
          <w:spacing w:val="14"/>
          <w:position w:val="6"/>
          <w:sz w:val="12"/>
        </w:rPr>
        <w:t xml:space="preserve"> </w:t>
      </w:r>
      <w:r>
        <w:rPr>
          <w:sz w:val="18"/>
        </w:rPr>
        <w:t>Jim</w:t>
      </w:r>
      <w:r>
        <w:rPr>
          <w:spacing w:val="-3"/>
          <w:sz w:val="18"/>
        </w:rPr>
        <w:t xml:space="preserve"> </w:t>
      </w:r>
      <w:r>
        <w:rPr>
          <w:sz w:val="18"/>
        </w:rPr>
        <w:t>Stewart,</w:t>
      </w:r>
      <w:r>
        <w:rPr>
          <w:spacing w:val="-3"/>
          <w:sz w:val="18"/>
        </w:rPr>
        <w:t xml:space="preserve"> </w:t>
      </w:r>
      <w:r>
        <w:rPr>
          <w:sz w:val="18"/>
        </w:rPr>
        <w:t>Energy</w:t>
      </w:r>
      <w:r>
        <w:rPr>
          <w:spacing w:val="-3"/>
          <w:sz w:val="18"/>
        </w:rPr>
        <w:t xml:space="preserve"> </w:t>
      </w:r>
      <w:r>
        <w:rPr>
          <w:sz w:val="18"/>
        </w:rPr>
        <w:t>Savings</w:t>
      </w:r>
      <w:r>
        <w:rPr>
          <w:spacing w:val="-3"/>
          <w:sz w:val="18"/>
        </w:rPr>
        <w:t xml:space="preserve"> </w:t>
      </w:r>
      <w:r>
        <w:rPr>
          <w:sz w:val="18"/>
        </w:rPr>
        <w:t>from</w:t>
      </w:r>
      <w:r>
        <w:rPr>
          <w:spacing w:val="-3"/>
          <w:sz w:val="18"/>
        </w:rPr>
        <w:t xml:space="preserve"> </w:t>
      </w:r>
      <w:r>
        <w:rPr>
          <w:sz w:val="18"/>
        </w:rPr>
        <w:t>Business</w:t>
      </w:r>
      <w:r>
        <w:rPr>
          <w:spacing w:val="-2"/>
          <w:sz w:val="18"/>
        </w:rPr>
        <w:t xml:space="preserve"> </w:t>
      </w:r>
      <w:r>
        <w:rPr>
          <w:sz w:val="18"/>
        </w:rPr>
        <w:t>Energy</w:t>
      </w:r>
      <w:r>
        <w:rPr>
          <w:spacing w:val="-3"/>
          <w:sz w:val="18"/>
        </w:rPr>
        <w:t xml:space="preserve"> </w:t>
      </w:r>
      <w:r>
        <w:rPr>
          <w:sz w:val="18"/>
        </w:rPr>
        <w:t>Feedback</w:t>
      </w:r>
      <w:r>
        <w:rPr>
          <w:spacing w:val="-3"/>
          <w:sz w:val="18"/>
        </w:rPr>
        <w:t xml:space="preserve"> </w:t>
      </w:r>
      <w:r>
        <w:rPr>
          <w:sz w:val="18"/>
        </w:rPr>
        <w:t>[for</w:t>
      </w:r>
      <w:r>
        <w:rPr>
          <w:spacing w:val="-3"/>
          <w:sz w:val="18"/>
        </w:rPr>
        <w:t xml:space="preserve"> </w:t>
      </w:r>
      <w:r>
        <w:rPr>
          <w:sz w:val="18"/>
        </w:rPr>
        <w:t>Xcel</w:t>
      </w:r>
      <w:r>
        <w:rPr>
          <w:spacing w:val="-3"/>
          <w:sz w:val="18"/>
        </w:rPr>
        <w:t xml:space="preserve"> </w:t>
      </w:r>
      <w:r>
        <w:rPr>
          <w:sz w:val="18"/>
        </w:rPr>
        <w:t>Energy],</w:t>
      </w:r>
      <w:r>
        <w:rPr>
          <w:spacing w:val="-3"/>
          <w:sz w:val="18"/>
        </w:rPr>
        <w:t xml:space="preserve"> </w:t>
      </w:r>
      <w:r>
        <w:rPr>
          <w:sz w:val="18"/>
        </w:rPr>
        <w:t>Cadmus,</w:t>
      </w:r>
      <w:r>
        <w:rPr>
          <w:spacing w:val="-3"/>
          <w:sz w:val="18"/>
        </w:rPr>
        <w:t xml:space="preserve"> </w:t>
      </w:r>
      <w:r>
        <w:rPr>
          <w:sz w:val="18"/>
        </w:rPr>
        <w:t>October</w:t>
      </w:r>
      <w:r>
        <w:rPr>
          <w:spacing w:val="-3"/>
          <w:sz w:val="18"/>
        </w:rPr>
        <w:t xml:space="preserve"> </w:t>
      </w:r>
      <w:r>
        <w:rPr>
          <w:sz w:val="18"/>
        </w:rPr>
        <w:t>21,</w:t>
      </w:r>
      <w:r>
        <w:rPr>
          <w:spacing w:val="-3"/>
          <w:sz w:val="18"/>
        </w:rPr>
        <w:t xml:space="preserve"> </w:t>
      </w:r>
      <w:r>
        <w:rPr>
          <w:sz w:val="18"/>
        </w:rPr>
        <w:t>2015, Behavior, Energy, and Climate Change Conference 2015</w:t>
      </w:r>
    </w:p>
    <w:p w:rsidR="00C31389" w:rsidRDefault="00C31389" w14:paraId="7EFA2174" w14:textId="77777777">
      <w:pPr>
        <w:rPr>
          <w:sz w:val="18"/>
        </w:rPr>
        <w:sectPr w:rsidR="00C31389">
          <w:pgSz w:w="11910" w:h="16840"/>
          <w:pgMar w:top="1660" w:right="1020" w:bottom="1120" w:left="960" w:header="397" w:footer="938" w:gutter="0"/>
          <w:cols w:space="720"/>
        </w:sectPr>
      </w:pPr>
    </w:p>
    <w:p w:rsidR="00C31389" w:rsidRDefault="00C31389" w14:paraId="5CE254B4" w14:textId="77777777">
      <w:pPr>
        <w:pStyle w:val="BodyText"/>
        <w:spacing w:before="11"/>
        <w:rPr>
          <w:sz w:val="13"/>
        </w:rPr>
      </w:pPr>
    </w:p>
    <w:p w:rsidR="00C31389" w:rsidRDefault="00561FBD" w14:paraId="71D85714" w14:textId="77777777">
      <w:pPr>
        <w:pStyle w:val="BodyText"/>
        <w:spacing w:before="92"/>
        <w:ind w:left="480" w:right="418" w:hanging="1"/>
      </w:pPr>
      <w:r>
        <w:t>customers</w:t>
      </w:r>
      <w:r>
        <w:rPr>
          <w:spacing w:val="-3"/>
        </w:rPr>
        <w:t xml:space="preserve"> </w:t>
      </w:r>
      <w:r>
        <w:t>in</w:t>
      </w:r>
      <w:r>
        <w:rPr>
          <w:spacing w:val="-3"/>
        </w:rPr>
        <w:t xml:space="preserve"> </w:t>
      </w:r>
      <w:r>
        <w:t>Illinois.</w:t>
      </w:r>
      <w:hyperlink w:history="1" w:anchor="_bookmark394">
        <w:r>
          <w:rPr>
            <w:position w:val="7"/>
            <w:sz w:val="14"/>
          </w:rPr>
          <w:t>147</w:t>
        </w:r>
      </w:hyperlink>
      <w:r>
        <w:rPr>
          <w:spacing w:val="18"/>
          <w:position w:val="7"/>
          <w:sz w:val="14"/>
        </w:rPr>
        <w:t xml:space="preserve"> </w:t>
      </w:r>
      <w:r>
        <w:t>While</w:t>
      </w:r>
      <w:r>
        <w:rPr>
          <w:spacing w:val="-3"/>
        </w:rPr>
        <w:t xml:space="preserve"> </w:t>
      </w:r>
      <w:r>
        <w:t>the</w:t>
      </w:r>
      <w:r>
        <w:rPr>
          <w:spacing w:val="-3"/>
        </w:rPr>
        <w:t xml:space="preserve"> </w:t>
      </w:r>
      <w:r>
        <w:t>Commonwealth</w:t>
      </w:r>
      <w:r>
        <w:rPr>
          <w:spacing w:val="-3"/>
        </w:rPr>
        <w:t xml:space="preserve"> </w:t>
      </w:r>
      <w:r>
        <w:t>Edison</w:t>
      </w:r>
      <w:r>
        <w:rPr>
          <w:spacing w:val="-3"/>
        </w:rPr>
        <w:t xml:space="preserve"> </w:t>
      </w:r>
      <w:r>
        <w:t>customers</w:t>
      </w:r>
      <w:r>
        <w:rPr>
          <w:spacing w:val="-3"/>
        </w:rPr>
        <w:t xml:space="preserve"> </w:t>
      </w:r>
      <w:r>
        <w:t>represented</w:t>
      </w:r>
      <w:r>
        <w:rPr>
          <w:spacing w:val="-3"/>
        </w:rPr>
        <w:t xml:space="preserve"> </w:t>
      </w:r>
      <w:r>
        <w:t xml:space="preserve">numerous sectors, only those businesses in the lodging and other categories showed significant </w:t>
      </w:r>
      <w:r>
        <w:rPr>
          <w:spacing w:val="-2"/>
        </w:rPr>
        <w:t>savings.</w:t>
      </w:r>
    </w:p>
    <w:p w:rsidR="00C31389" w:rsidRDefault="00C31389" w14:paraId="1391845E" w14:textId="77777777">
      <w:pPr>
        <w:pStyle w:val="BodyText"/>
        <w:spacing w:before="10"/>
        <w:rPr>
          <w:sz w:val="20"/>
        </w:rPr>
      </w:pPr>
    </w:p>
    <w:p w:rsidR="00C31389" w:rsidRDefault="00561FBD" w14:paraId="508FC56B" w14:textId="77777777">
      <w:pPr>
        <w:pStyle w:val="Heading7"/>
        <w:ind w:left="398" w:right="339"/>
        <w:jc w:val="center"/>
      </w:pPr>
      <w:bookmarkStart w:name="_bookmark392" w:id="513"/>
      <w:bookmarkEnd w:id="513"/>
      <w:r>
        <w:t>Table</w:t>
      </w:r>
      <w:r>
        <w:rPr>
          <w:spacing w:val="-6"/>
        </w:rPr>
        <w:t xml:space="preserve"> </w:t>
      </w:r>
      <w:r>
        <w:t>D-11.</w:t>
      </w:r>
      <w:r>
        <w:rPr>
          <w:spacing w:val="-6"/>
        </w:rPr>
        <w:t xml:space="preserve"> </w:t>
      </w:r>
      <w:r>
        <w:t>BERs</w:t>
      </w:r>
      <w:r>
        <w:rPr>
          <w:spacing w:val="-5"/>
        </w:rPr>
        <w:t xml:space="preserve"> </w:t>
      </w:r>
      <w:r>
        <w:t>–</w:t>
      </w:r>
      <w:r>
        <w:rPr>
          <w:spacing w:val="-5"/>
        </w:rPr>
        <w:t xml:space="preserve"> </w:t>
      </w:r>
      <w:r>
        <w:t>Key</w:t>
      </w:r>
      <w:r>
        <w:rPr>
          <w:spacing w:val="-5"/>
        </w:rPr>
        <w:t xml:space="preserve"> </w:t>
      </w:r>
      <w:r>
        <w:rPr>
          <w:spacing w:val="-2"/>
        </w:rPr>
        <w:t>Assumptions</w:t>
      </w:r>
    </w:p>
    <w:p w:rsidR="00C31389" w:rsidRDefault="00C31389" w14:paraId="36956759" w14:textId="77777777">
      <w:pPr>
        <w:pStyle w:val="BodyText"/>
        <w:spacing w:before="7"/>
        <w:rPr>
          <w:b/>
          <w:sz w:val="9"/>
        </w:rPr>
      </w:pPr>
    </w:p>
    <w:tbl>
      <w:tblPr>
        <w:tblW w:w="0" w:type="auto"/>
        <w:tblInd w:w="478" w:type="dxa"/>
        <w:tblLayout w:type="fixed"/>
        <w:tblCellMar>
          <w:left w:w="0" w:type="dxa"/>
          <w:right w:w="0" w:type="dxa"/>
        </w:tblCellMar>
        <w:tblLook w:val="01E0" w:firstRow="1" w:lastRow="1" w:firstColumn="1" w:lastColumn="1" w:noHBand="0" w:noVBand="0"/>
      </w:tblPr>
      <w:tblGrid>
        <w:gridCol w:w="1307"/>
        <w:gridCol w:w="1113"/>
        <w:gridCol w:w="1240"/>
        <w:gridCol w:w="1003"/>
        <w:gridCol w:w="1136"/>
        <w:gridCol w:w="1236"/>
        <w:gridCol w:w="812"/>
        <w:gridCol w:w="1188"/>
      </w:tblGrid>
      <w:tr w:rsidR="00C31389" w14:paraId="3E2D6186" w14:textId="77777777">
        <w:trPr>
          <w:trHeight w:val="323"/>
        </w:trPr>
        <w:tc>
          <w:tcPr>
            <w:tcW w:w="1307" w:type="dxa"/>
            <w:shd w:val="clear" w:color="auto" w:fill="92D400"/>
          </w:tcPr>
          <w:p w:rsidR="00C31389" w:rsidRDefault="00C31389" w14:paraId="1CAA9421" w14:textId="77777777">
            <w:pPr>
              <w:pStyle w:val="TableParagraph"/>
              <w:spacing w:before="0"/>
              <w:rPr>
                <w:rFonts w:ascii="Times New Roman"/>
                <w:sz w:val="20"/>
              </w:rPr>
            </w:pPr>
          </w:p>
        </w:tc>
        <w:tc>
          <w:tcPr>
            <w:tcW w:w="1113" w:type="dxa"/>
            <w:shd w:val="clear" w:color="auto" w:fill="92D400"/>
          </w:tcPr>
          <w:p w:rsidR="00C31389" w:rsidRDefault="00C31389" w14:paraId="570184D0" w14:textId="77777777">
            <w:pPr>
              <w:pStyle w:val="TableParagraph"/>
              <w:spacing w:before="0"/>
              <w:rPr>
                <w:rFonts w:ascii="Times New Roman"/>
                <w:sz w:val="20"/>
              </w:rPr>
            </w:pPr>
          </w:p>
        </w:tc>
        <w:tc>
          <w:tcPr>
            <w:tcW w:w="1240" w:type="dxa"/>
            <w:vMerge w:val="restart"/>
            <w:shd w:val="clear" w:color="auto" w:fill="92D400"/>
          </w:tcPr>
          <w:p w:rsidR="00C31389" w:rsidRDefault="00C31389" w14:paraId="7050FCB2" w14:textId="77777777">
            <w:pPr>
              <w:pStyle w:val="TableParagraph"/>
              <w:spacing w:before="5"/>
              <w:rPr>
                <w:b/>
                <w:sz w:val="17"/>
              </w:rPr>
            </w:pPr>
          </w:p>
          <w:p w:rsidR="00C31389" w:rsidRDefault="00561FBD" w14:paraId="6DFB3066" w14:textId="77777777">
            <w:pPr>
              <w:pStyle w:val="TableParagraph"/>
              <w:spacing w:before="0"/>
              <w:ind w:left="559"/>
              <w:rPr>
                <w:b/>
                <w:sz w:val="20"/>
              </w:rPr>
            </w:pPr>
            <w:r>
              <w:rPr>
                <w:b/>
                <w:spacing w:val="-5"/>
                <w:sz w:val="20"/>
              </w:rPr>
              <w:t>EUL</w:t>
            </w:r>
          </w:p>
          <w:p w:rsidR="00C31389" w:rsidRDefault="00561FBD" w14:paraId="587C9D15" w14:textId="77777777">
            <w:pPr>
              <w:pStyle w:val="TableParagraph"/>
              <w:spacing w:before="1"/>
              <w:ind w:left="487"/>
              <w:rPr>
                <w:b/>
                <w:sz w:val="20"/>
              </w:rPr>
            </w:pPr>
            <w:r>
              <w:rPr>
                <w:b/>
                <w:spacing w:val="-2"/>
                <w:sz w:val="20"/>
              </w:rPr>
              <w:t>Years</w:t>
            </w:r>
          </w:p>
        </w:tc>
        <w:tc>
          <w:tcPr>
            <w:tcW w:w="2139" w:type="dxa"/>
            <w:gridSpan w:val="2"/>
            <w:shd w:val="clear" w:color="auto" w:fill="92D400"/>
          </w:tcPr>
          <w:p w:rsidR="00C31389" w:rsidRDefault="00561FBD" w14:paraId="3FA31B5A" w14:textId="77777777">
            <w:pPr>
              <w:pStyle w:val="TableParagraph"/>
              <w:spacing w:before="95" w:line="208" w:lineRule="exact"/>
              <w:ind w:left="648"/>
              <w:rPr>
                <w:b/>
                <w:sz w:val="20"/>
              </w:rPr>
            </w:pPr>
            <w:r>
              <w:rPr>
                <w:b/>
                <w:spacing w:val="-2"/>
                <w:sz w:val="20"/>
              </w:rPr>
              <w:t>Savings</w:t>
            </w:r>
          </w:p>
        </w:tc>
        <w:tc>
          <w:tcPr>
            <w:tcW w:w="1236" w:type="dxa"/>
            <w:shd w:val="clear" w:color="auto" w:fill="92D400"/>
          </w:tcPr>
          <w:p w:rsidR="00C31389" w:rsidRDefault="00561FBD" w14:paraId="6F5D14AC" w14:textId="77777777">
            <w:pPr>
              <w:pStyle w:val="TableParagraph"/>
              <w:spacing w:before="95" w:line="208" w:lineRule="exact"/>
              <w:ind w:left="808" w:right="-29"/>
              <w:rPr>
                <w:b/>
                <w:sz w:val="20"/>
              </w:rPr>
            </w:pPr>
            <w:r>
              <w:rPr>
                <w:b/>
                <w:spacing w:val="-4"/>
                <w:sz w:val="20"/>
              </w:rPr>
              <w:t>Cost</w:t>
            </w:r>
          </w:p>
        </w:tc>
        <w:tc>
          <w:tcPr>
            <w:tcW w:w="812" w:type="dxa"/>
            <w:shd w:val="clear" w:color="auto" w:fill="92D400"/>
          </w:tcPr>
          <w:p w:rsidR="00C31389" w:rsidRDefault="00C31389" w14:paraId="60EF078A" w14:textId="77777777">
            <w:pPr>
              <w:pStyle w:val="TableParagraph"/>
              <w:spacing w:before="0"/>
              <w:rPr>
                <w:rFonts w:ascii="Times New Roman"/>
                <w:sz w:val="20"/>
              </w:rPr>
            </w:pPr>
          </w:p>
        </w:tc>
        <w:tc>
          <w:tcPr>
            <w:tcW w:w="1188" w:type="dxa"/>
            <w:vMerge w:val="restart"/>
            <w:shd w:val="clear" w:color="auto" w:fill="92D400"/>
          </w:tcPr>
          <w:p w:rsidR="00C31389" w:rsidRDefault="00561FBD" w14:paraId="4D01191E" w14:textId="77777777">
            <w:pPr>
              <w:pStyle w:val="TableParagraph"/>
              <w:spacing w:before="86"/>
              <w:ind w:left="161" w:right="245"/>
              <w:jc w:val="both"/>
              <w:rPr>
                <w:b/>
                <w:sz w:val="20"/>
              </w:rPr>
            </w:pPr>
            <w:r>
              <w:rPr>
                <w:b/>
                <w:spacing w:val="-2"/>
                <w:sz w:val="20"/>
              </w:rPr>
              <w:t>kW/kWh Savings Ratio</w:t>
            </w:r>
          </w:p>
        </w:tc>
      </w:tr>
      <w:tr w:rsidR="00C31389" w14:paraId="3E8D50A6" w14:textId="77777777">
        <w:trPr>
          <w:trHeight w:val="220"/>
        </w:trPr>
        <w:tc>
          <w:tcPr>
            <w:tcW w:w="1307" w:type="dxa"/>
            <w:shd w:val="clear" w:color="auto" w:fill="92D400"/>
          </w:tcPr>
          <w:p w:rsidR="00C31389" w:rsidRDefault="00561FBD" w14:paraId="6E033269" w14:textId="77777777">
            <w:pPr>
              <w:pStyle w:val="TableParagraph"/>
              <w:spacing w:before="0" w:line="200" w:lineRule="exact"/>
              <w:ind w:left="124"/>
              <w:rPr>
                <w:b/>
                <w:sz w:val="20"/>
              </w:rPr>
            </w:pPr>
            <w:r>
              <w:rPr>
                <w:b/>
                <w:spacing w:val="-2"/>
                <w:sz w:val="20"/>
              </w:rPr>
              <w:t>Sector</w:t>
            </w:r>
          </w:p>
        </w:tc>
        <w:tc>
          <w:tcPr>
            <w:tcW w:w="1113" w:type="dxa"/>
            <w:shd w:val="clear" w:color="auto" w:fill="92D400"/>
          </w:tcPr>
          <w:p w:rsidR="00C31389" w:rsidRDefault="00561FBD" w14:paraId="0BB1D318" w14:textId="77777777">
            <w:pPr>
              <w:pStyle w:val="TableParagraph"/>
              <w:spacing w:before="0" w:line="200" w:lineRule="exact"/>
              <w:ind w:left="114"/>
              <w:rPr>
                <w:b/>
                <w:sz w:val="20"/>
              </w:rPr>
            </w:pPr>
            <w:r>
              <w:rPr>
                <w:b/>
                <w:spacing w:val="-4"/>
                <w:sz w:val="20"/>
              </w:rPr>
              <w:t>Type</w:t>
            </w:r>
          </w:p>
        </w:tc>
        <w:tc>
          <w:tcPr>
            <w:tcW w:w="1240" w:type="dxa"/>
            <w:vMerge/>
            <w:tcBorders>
              <w:top w:val="nil"/>
            </w:tcBorders>
            <w:shd w:val="clear" w:color="auto" w:fill="92D400"/>
          </w:tcPr>
          <w:p w:rsidR="00C31389" w:rsidRDefault="00C31389" w14:paraId="3FFBF764" w14:textId="77777777">
            <w:pPr>
              <w:rPr>
                <w:sz w:val="2"/>
                <w:szCs w:val="2"/>
              </w:rPr>
            </w:pPr>
          </w:p>
        </w:tc>
        <w:tc>
          <w:tcPr>
            <w:tcW w:w="1003" w:type="dxa"/>
            <w:shd w:val="clear" w:color="auto" w:fill="92D400"/>
          </w:tcPr>
          <w:p w:rsidR="00C31389" w:rsidRDefault="00C31389" w14:paraId="404E8F98" w14:textId="77777777">
            <w:pPr>
              <w:pStyle w:val="TableParagraph"/>
              <w:spacing w:before="0"/>
              <w:rPr>
                <w:rFonts w:ascii="Times New Roman"/>
                <w:sz w:val="14"/>
              </w:rPr>
            </w:pPr>
          </w:p>
        </w:tc>
        <w:tc>
          <w:tcPr>
            <w:tcW w:w="1136" w:type="dxa"/>
            <w:shd w:val="clear" w:color="auto" w:fill="92D400"/>
          </w:tcPr>
          <w:p w:rsidR="00C31389" w:rsidRDefault="00C31389" w14:paraId="20E79303" w14:textId="77777777">
            <w:pPr>
              <w:pStyle w:val="TableParagraph"/>
              <w:spacing w:before="0"/>
              <w:rPr>
                <w:rFonts w:ascii="Times New Roman"/>
                <w:sz w:val="14"/>
              </w:rPr>
            </w:pPr>
          </w:p>
        </w:tc>
        <w:tc>
          <w:tcPr>
            <w:tcW w:w="1236" w:type="dxa"/>
            <w:shd w:val="clear" w:color="auto" w:fill="92D400"/>
          </w:tcPr>
          <w:p w:rsidR="00C31389" w:rsidRDefault="00C31389" w14:paraId="6EFF96EE" w14:textId="77777777">
            <w:pPr>
              <w:pStyle w:val="TableParagraph"/>
              <w:spacing w:before="0"/>
              <w:rPr>
                <w:rFonts w:ascii="Times New Roman"/>
                <w:sz w:val="14"/>
              </w:rPr>
            </w:pPr>
          </w:p>
        </w:tc>
        <w:tc>
          <w:tcPr>
            <w:tcW w:w="812" w:type="dxa"/>
            <w:shd w:val="clear" w:color="auto" w:fill="92D400"/>
          </w:tcPr>
          <w:p w:rsidR="00C31389" w:rsidRDefault="00C31389" w14:paraId="5E4E152E" w14:textId="77777777">
            <w:pPr>
              <w:pStyle w:val="TableParagraph"/>
              <w:spacing w:before="0"/>
              <w:rPr>
                <w:rFonts w:ascii="Times New Roman"/>
                <w:sz w:val="14"/>
              </w:rPr>
            </w:pPr>
          </w:p>
        </w:tc>
        <w:tc>
          <w:tcPr>
            <w:tcW w:w="1188" w:type="dxa"/>
            <w:vMerge/>
            <w:tcBorders>
              <w:top w:val="nil"/>
            </w:tcBorders>
            <w:shd w:val="clear" w:color="auto" w:fill="92D400"/>
          </w:tcPr>
          <w:p w:rsidR="00C31389" w:rsidRDefault="00C31389" w14:paraId="748F7520" w14:textId="77777777">
            <w:pPr>
              <w:rPr>
                <w:sz w:val="2"/>
                <w:szCs w:val="2"/>
              </w:rPr>
            </w:pPr>
          </w:p>
        </w:tc>
      </w:tr>
      <w:tr w:rsidR="00C31389" w14:paraId="145A4009" w14:textId="77777777">
        <w:trPr>
          <w:trHeight w:val="326"/>
        </w:trPr>
        <w:tc>
          <w:tcPr>
            <w:tcW w:w="1307" w:type="dxa"/>
            <w:shd w:val="clear" w:color="auto" w:fill="92D400"/>
          </w:tcPr>
          <w:p w:rsidR="00C31389" w:rsidRDefault="00C31389" w14:paraId="4E5BCC3E" w14:textId="77777777">
            <w:pPr>
              <w:pStyle w:val="TableParagraph"/>
              <w:spacing w:before="0"/>
              <w:rPr>
                <w:rFonts w:ascii="Times New Roman"/>
                <w:sz w:val="20"/>
              </w:rPr>
            </w:pPr>
          </w:p>
        </w:tc>
        <w:tc>
          <w:tcPr>
            <w:tcW w:w="1113" w:type="dxa"/>
            <w:shd w:val="clear" w:color="auto" w:fill="92D400"/>
          </w:tcPr>
          <w:p w:rsidR="00C31389" w:rsidRDefault="00C31389" w14:paraId="32B73B7E" w14:textId="77777777">
            <w:pPr>
              <w:pStyle w:val="TableParagraph"/>
              <w:spacing w:before="0"/>
              <w:rPr>
                <w:rFonts w:ascii="Times New Roman"/>
                <w:sz w:val="20"/>
              </w:rPr>
            </w:pPr>
          </w:p>
        </w:tc>
        <w:tc>
          <w:tcPr>
            <w:tcW w:w="1240" w:type="dxa"/>
            <w:vMerge/>
            <w:tcBorders>
              <w:top w:val="nil"/>
            </w:tcBorders>
            <w:shd w:val="clear" w:color="auto" w:fill="92D400"/>
          </w:tcPr>
          <w:p w:rsidR="00C31389" w:rsidRDefault="00C31389" w14:paraId="3A7229DD" w14:textId="77777777">
            <w:pPr>
              <w:rPr>
                <w:sz w:val="2"/>
                <w:szCs w:val="2"/>
              </w:rPr>
            </w:pPr>
          </w:p>
        </w:tc>
        <w:tc>
          <w:tcPr>
            <w:tcW w:w="1003" w:type="dxa"/>
            <w:shd w:val="clear" w:color="auto" w:fill="92D400"/>
          </w:tcPr>
          <w:p w:rsidR="00C31389" w:rsidRDefault="00561FBD" w14:paraId="48BCDC00" w14:textId="77777777">
            <w:pPr>
              <w:pStyle w:val="TableParagraph"/>
              <w:spacing w:before="0" w:line="222" w:lineRule="exact"/>
              <w:ind w:left="198" w:right="214"/>
              <w:jc w:val="center"/>
              <w:rPr>
                <w:b/>
                <w:sz w:val="20"/>
              </w:rPr>
            </w:pPr>
            <w:r>
              <w:rPr>
                <w:b/>
                <w:spacing w:val="-5"/>
                <w:sz w:val="20"/>
              </w:rPr>
              <w:t>kWh</w:t>
            </w:r>
          </w:p>
        </w:tc>
        <w:tc>
          <w:tcPr>
            <w:tcW w:w="1136" w:type="dxa"/>
            <w:shd w:val="clear" w:color="auto" w:fill="92D400"/>
          </w:tcPr>
          <w:p w:rsidR="00C31389" w:rsidRDefault="00561FBD" w14:paraId="1050C83D" w14:textId="77777777">
            <w:pPr>
              <w:pStyle w:val="TableParagraph"/>
              <w:spacing w:before="0" w:line="222" w:lineRule="exact"/>
              <w:ind w:left="215" w:right="225"/>
              <w:jc w:val="center"/>
              <w:rPr>
                <w:b/>
                <w:sz w:val="20"/>
              </w:rPr>
            </w:pPr>
            <w:r>
              <w:rPr>
                <w:b/>
                <w:spacing w:val="-2"/>
                <w:sz w:val="20"/>
              </w:rPr>
              <w:t>therms</w:t>
            </w:r>
          </w:p>
        </w:tc>
        <w:tc>
          <w:tcPr>
            <w:tcW w:w="1236" w:type="dxa"/>
            <w:shd w:val="clear" w:color="auto" w:fill="92D400"/>
          </w:tcPr>
          <w:p w:rsidR="00C31389" w:rsidRDefault="00561FBD" w14:paraId="061E96A5" w14:textId="77777777">
            <w:pPr>
              <w:pStyle w:val="TableParagraph"/>
              <w:spacing w:before="0" w:line="222" w:lineRule="exact"/>
              <w:ind w:left="278"/>
              <w:rPr>
                <w:b/>
                <w:sz w:val="20"/>
              </w:rPr>
            </w:pPr>
            <w:r>
              <w:rPr>
                <w:b/>
                <w:spacing w:val="-5"/>
                <w:sz w:val="20"/>
              </w:rPr>
              <w:t>kWh</w:t>
            </w:r>
          </w:p>
        </w:tc>
        <w:tc>
          <w:tcPr>
            <w:tcW w:w="812" w:type="dxa"/>
            <w:shd w:val="clear" w:color="auto" w:fill="92D400"/>
          </w:tcPr>
          <w:p w:rsidR="00C31389" w:rsidRDefault="00561FBD" w14:paraId="5E85DA2F" w14:textId="77777777">
            <w:pPr>
              <w:pStyle w:val="TableParagraph"/>
              <w:spacing w:before="0" w:line="222" w:lineRule="exact"/>
              <w:ind w:left="-17" w:right="158"/>
              <w:jc w:val="center"/>
              <w:rPr>
                <w:b/>
                <w:sz w:val="20"/>
              </w:rPr>
            </w:pPr>
            <w:r>
              <w:rPr>
                <w:b/>
                <w:spacing w:val="-2"/>
                <w:sz w:val="20"/>
              </w:rPr>
              <w:t>therms</w:t>
            </w:r>
          </w:p>
        </w:tc>
        <w:tc>
          <w:tcPr>
            <w:tcW w:w="1188" w:type="dxa"/>
            <w:vMerge/>
            <w:tcBorders>
              <w:top w:val="nil"/>
            </w:tcBorders>
            <w:shd w:val="clear" w:color="auto" w:fill="92D400"/>
          </w:tcPr>
          <w:p w:rsidR="00C31389" w:rsidRDefault="00C31389" w14:paraId="5010174A" w14:textId="77777777">
            <w:pPr>
              <w:rPr>
                <w:sz w:val="2"/>
                <w:szCs w:val="2"/>
              </w:rPr>
            </w:pPr>
          </w:p>
        </w:tc>
      </w:tr>
      <w:tr w:rsidR="00C31389" w14:paraId="1DED8BD9" w14:textId="77777777">
        <w:trPr>
          <w:trHeight w:val="310"/>
        </w:trPr>
        <w:tc>
          <w:tcPr>
            <w:tcW w:w="1307" w:type="dxa"/>
            <w:tcBorders>
              <w:bottom w:val="single" w:color="000000" w:sz="8" w:space="0"/>
            </w:tcBorders>
          </w:tcPr>
          <w:p w:rsidR="00C31389" w:rsidRDefault="00561FBD" w14:paraId="65575E0D" w14:textId="77777777">
            <w:pPr>
              <w:pStyle w:val="TableParagraph"/>
              <w:ind w:left="124"/>
              <w:rPr>
                <w:sz w:val="20"/>
              </w:rPr>
            </w:pPr>
            <w:r>
              <w:rPr>
                <w:spacing w:val="-2"/>
                <w:sz w:val="20"/>
              </w:rPr>
              <w:t>Commercial</w:t>
            </w:r>
          </w:p>
        </w:tc>
        <w:tc>
          <w:tcPr>
            <w:tcW w:w="1113" w:type="dxa"/>
            <w:tcBorders>
              <w:bottom w:val="single" w:color="000000" w:sz="8" w:space="0"/>
            </w:tcBorders>
          </w:tcPr>
          <w:p w:rsidR="00C31389" w:rsidRDefault="00561FBD" w14:paraId="63C00F2F" w14:textId="77777777">
            <w:pPr>
              <w:pStyle w:val="TableParagraph"/>
              <w:ind w:left="114"/>
              <w:rPr>
                <w:sz w:val="20"/>
              </w:rPr>
            </w:pPr>
            <w:r>
              <w:rPr>
                <w:spacing w:val="-4"/>
                <w:sz w:val="20"/>
              </w:rPr>
              <w:t>BERs</w:t>
            </w:r>
          </w:p>
        </w:tc>
        <w:tc>
          <w:tcPr>
            <w:tcW w:w="1240" w:type="dxa"/>
            <w:tcBorders>
              <w:bottom w:val="single" w:color="000000" w:sz="8" w:space="0"/>
            </w:tcBorders>
          </w:tcPr>
          <w:p w:rsidR="00C31389" w:rsidRDefault="00561FBD" w14:paraId="5A135E95" w14:textId="77777777">
            <w:pPr>
              <w:pStyle w:val="TableParagraph"/>
              <w:ind w:left="277"/>
              <w:jc w:val="center"/>
              <w:rPr>
                <w:sz w:val="20"/>
              </w:rPr>
            </w:pPr>
            <w:r>
              <w:rPr>
                <w:sz w:val="20"/>
              </w:rPr>
              <w:t>2</w:t>
            </w:r>
          </w:p>
        </w:tc>
        <w:tc>
          <w:tcPr>
            <w:tcW w:w="1003" w:type="dxa"/>
            <w:tcBorders>
              <w:bottom w:val="single" w:color="000000" w:sz="8" w:space="0"/>
            </w:tcBorders>
          </w:tcPr>
          <w:p w:rsidR="00C31389" w:rsidRDefault="00561FBD" w14:paraId="3420522C" w14:textId="77777777">
            <w:pPr>
              <w:pStyle w:val="TableParagraph"/>
              <w:ind w:left="198" w:right="216"/>
              <w:jc w:val="center"/>
              <w:rPr>
                <w:sz w:val="20"/>
              </w:rPr>
            </w:pPr>
            <w:r>
              <w:rPr>
                <w:spacing w:val="-4"/>
                <w:sz w:val="20"/>
              </w:rPr>
              <w:t>0.32%</w:t>
            </w:r>
          </w:p>
        </w:tc>
        <w:tc>
          <w:tcPr>
            <w:tcW w:w="1136" w:type="dxa"/>
            <w:tcBorders>
              <w:bottom w:val="single" w:color="000000" w:sz="8" w:space="0"/>
            </w:tcBorders>
          </w:tcPr>
          <w:p w:rsidR="00C31389" w:rsidRDefault="00561FBD" w14:paraId="56FD25DE" w14:textId="77777777">
            <w:pPr>
              <w:pStyle w:val="TableParagraph"/>
              <w:ind w:right="10"/>
              <w:jc w:val="center"/>
              <w:rPr>
                <w:sz w:val="20"/>
              </w:rPr>
            </w:pPr>
            <w:r>
              <w:rPr>
                <w:sz w:val="20"/>
              </w:rPr>
              <w:t>–</w:t>
            </w:r>
          </w:p>
        </w:tc>
        <w:tc>
          <w:tcPr>
            <w:tcW w:w="1236" w:type="dxa"/>
            <w:tcBorders>
              <w:bottom w:val="single" w:color="000000" w:sz="8" w:space="0"/>
            </w:tcBorders>
          </w:tcPr>
          <w:p w:rsidR="00C31389" w:rsidRDefault="00561FBD" w14:paraId="48A2A537" w14:textId="77777777">
            <w:pPr>
              <w:pStyle w:val="TableParagraph"/>
              <w:ind w:left="240"/>
              <w:rPr>
                <w:sz w:val="20"/>
              </w:rPr>
            </w:pPr>
            <w:r>
              <w:rPr>
                <w:spacing w:val="-2"/>
                <w:sz w:val="20"/>
              </w:rPr>
              <w:t>$0.20</w:t>
            </w:r>
          </w:p>
        </w:tc>
        <w:tc>
          <w:tcPr>
            <w:tcW w:w="812" w:type="dxa"/>
            <w:tcBorders>
              <w:bottom w:val="single" w:color="000000" w:sz="8" w:space="0"/>
            </w:tcBorders>
          </w:tcPr>
          <w:p w:rsidR="00C31389" w:rsidRDefault="00561FBD" w14:paraId="22A91A94" w14:textId="77777777">
            <w:pPr>
              <w:pStyle w:val="TableParagraph"/>
              <w:ind w:left="54" w:right="227"/>
              <w:jc w:val="center"/>
              <w:rPr>
                <w:sz w:val="20"/>
              </w:rPr>
            </w:pPr>
            <w:r>
              <w:rPr>
                <w:spacing w:val="-2"/>
                <w:sz w:val="20"/>
              </w:rPr>
              <w:t>$6.12</w:t>
            </w:r>
          </w:p>
        </w:tc>
        <w:tc>
          <w:tcPr>
            <w:tcW w:w="1188" w:type="dxa"/>
            <w:tcBorders>
              <w:bottom w:val="single" w:color="000000" w:sz="8" w:space="0"/>
            </w:tcBorders>
          </w:tcPr>
          <w:p w:rsidR="00C31389" w:rsidRDefault="00561FBD" w14:paraId="4C6D734F" w14:textId="77777777">
            <w:pPr>
              <w:pStyle w:val="TableParagraph"/>
              <w:ind w:left="161"/>
              <w:rPr>
                <w:sz w:val="20"/>
              </w:rPr>
            </w:pPr>
            <w:r>
              <w:rPr>
                <w:spacing w:val="-2"/>
                <w:sz w:val="20"/>
              </w:rPr>
              <w:t>0.000102</w:t>
            </w:r>
          </w:p>
        </w:tc>
      </w:tr>
    </w:tbl>
    <w:p w:rsidR="00C31389" w:rsidRDefault="00561FBD" w14:paraId="3D1AB7C2"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45086298" w14:textId="77777777">
      <w:pPr>
        <w:pStyle w:val="BodyText"/>
        <w:rPr>
          <w:i/>
          <w:sz w:val="20"/>
        </w:rPr>
      </w:pPr>
    </w:p>
    <w:p w:rsidR="00C31389" w:rsidRDefault="00561FBD" w14:paraId="6DBB483E" w14:textId="77777777">
      <w:pPr>
        <w:pStyle w:val="ListParagraph"/>
        <w:numPr>
          <w:ilvl w:val="2"/>
          <w:numId w:val="19"/>
        </w:numPr>
        <w:tabs>
          <w:tab w:val="left" w:pos="1197"/>
        </w:tabs>
        <w:spacing w:before="130"/>
        <w:ind w:left="1197" w:hanging="717"/>
        <w:rPr>
          <w:b/>
          <w:sz w:val="24"/>
        </w:rPr>
      </w:pPr>
      <w:bookmarkStart w:name="D.8.2_Assumptions_and_Methodology" w:id="514"/>
      <w:bookmarkStart w:name="_bookmark393" w:id="515"/>
      <w:bookmarkEnd w:id="514"/>
      <w:bookmarkEnd w:id="515"/>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44CF695C" w14:textId="77777777">
      <w:pPr>
        <w:pStyle w:val="BodyText"/>
        <w:spacing w:before="2"/>
        <w:rPr>
          <w:b/>
          <w:sz w:val="23"/>
        </w:rPr>
      </w:pPr>
    </w:p>
    <w:p w:rsidR="00C31389" w:rsidRDefault="00561FBD" w14:paraId="6409CB8E" w14:textId="77777777">
      <w:pPr>
        <w:pStyle w:val="BodyText"/>
        <w:ind w:left="480" w:right="505" w:hanging="1"/>
      </w:pPr>
      <w:r>
        <w:t>No</w:t>
      </w:r>
      <w:r>
        <w:rPr>
          <w:spacing w:val="-3"/>
        </w:rPr>
        <w:t xml:space="preserve"> </w:t>
      </w:r>
      <w:r>
        <w:t>major</w:t>
      </w:r>
      <w:r>
        <w:rPr>
          <w:spacing w:val="-3"/>
        </w:rPr>
        <w:t xml:space="preserve"> </w:t>
      </w:r>
      <w:r>
        <w:t>updates</w:t>
      </w:r>
      <w:r>
        <w:rPr>
          <w:spacing w:val="-3"/>
        </w:rPr>
        <w:t xml:space="preserve"> </w:t>
      </w:r>
      <w:r>
        <w:t>to</w:t>
      </w:r>
      <w:r>
        <w:rPr>
          <w:spacing w:val="-3"/>
        </w:rPr>
        <w:t xml:space="preserve"> </w:t>
      </w:r>
      <w:r>
        <w:t>inputs</w:t>
      </w:r>
      <w:r>
        <w:rPr>
          <w:spacing w:val="-3"/>
        </w:rPr>
        <w:t xml:space="preserve"> </w:t>
      </w:r>
      <w:r>
        <w:t>were</w:t>
      </w:r>
      <w:r>
        <w:rPr>
          <w:spacing w:val="-3"/>
        </w:rPr>
        <w:t xml:space="preserve"> </w:t>
      </w:r>
      <w:r>
        <w:t>made</w:t>
      </w:r>
      <w:r>
        <w:rPr>
          <w:spacing w:val="-3"/>
        </w:rPr>
        <w:t xml:space="preserve"> </w:t>
      </w:r>
      <w:r>
        <w:t>to</w:t>
      </w:r>
      <w:r>
        <w:rPr>
          <w:spacing w:val="-3"/>
        </w:rPr>
        <w:t xml:space="preserve"> </w:t>
      </w:r>
      <w:r>
        <w:t>BERs</w:t>
      </w:r>
      <w:r>
        <w:rPr>
          <w:spacing w:val="-2"/>
        </w:rPr>
        <w:t xml:space="preserve"> </w:t>
      </w:r>
      <w:r>
        <w:t>in</w:t>
      </w:r>
      <w:r>
        <w:rPr>
          <w:spacing w:val="-3"/>
        </w:rPr>
        <w:t xml:space="preserve"> </w:t>
      </w:r>
      <w:r>
        <w:t>the</w:t>
      </w:r>
      <w:r>
        <w:rPr>
          <w:spacing w:val="-3"/>
        </w:rPr>
        <w:t xml:space="preserve"> </w:t>
      </w:r>
      <w:r>
        <w:t>2023</w:t>
      </w:r>
      <w:r>
        <w:rPr>
          <w:spacing w:val="-4"/>
        </w:rPr>
        <w:t xml:space="preserve"> </w:t>
      </w:r>
      <w:r>
        <w:t>Study.</w:t>
      </w:r>
      <w:r>
        <w:rPr>
          <w:spacing w:val="-3"/>
        </w:rPr>
        <w:t xml:space="preserve"> </w:t>
      </w:r>
      <w:r>
        <w:t>Guidehouse</w:t>
      </w:r>
      <w:r>
        <w:rPr>
          <w:spacing w:val="-3"/>
        </w:rPr>
        <w:t xml:space="preserve"> </w:t>
      </w:r>
      <w:r>
        <w:t xml:space="preserve">determined that BERs be a low </w:t>
      </w:r>
      <w:r>
        <w:t>priority measure for updates based on a review of implementation activity</w:t>
      </w:r>
      <w:r>
        <w:rPr>
          <w:spacing w:val="-4"/>
        </w:rPr>
        <w:t xml:space="preserve"> </w:t>
      </w:r>
      <w:r>
        <w:t>and</w:t>
      </w:r>
      <w:r>
        <w:rPr>
          <w:spacing w:val="-5"/>
        </w:rPr>
        <w:t xml:space="preserve"> </w:t>
      </w:r>
      <w:r>
        <w:t>recently</w:t>
      </w:r>
      <w:r>
        <w:rPr>
          <w:spacing w:val="-4"/>
        </w:rPr>
        <w:t xml:space="preserve"> </w:t>
      </w:r>
      <w:r>
        <w:t>published</w:t>
      </w:r>
      <w:r>
        <w:rPr>
          <w:spacing w:val="-4"/>
        </w:rPr>
        <w:t xml:space="preserve"> </w:t>
      </w:r>
      <w:r>
        <w:t>California-specific</w:t>
      </w:r>
      <w:r>
        <w:rPr>
          <w:spacing w:val="-5"/>
        </w:rPr>
        <w:t xml:space="preserve"> </w:t>
      </w:r>
      <w:r>
        <w:t>data</w:t>
      </w:r>
      <w:r>
        <w:rPr>
          <w:spacing w:val="-4"/>
        </w:rPr>
        <w:t xml:space="preserve"> </w:t>
      </w:r>
      <w:r>
        <w:t>sources.</w:t>
      </w:r>
      <w:r>
        <w:rPr>
          <w:spacing w:val="-4"/>
        </w:rPr>
        <w:t xml:space="preserve"> </w:t>
      </w:r>
      <w:r>
        <w:t>The</w:t>
      </w:r>
      <w:r>
        <w:rPr>
          <w:spacing w:val="-3"/>
        </w:rPr>
        <w:t xml:space="preserve"> </w:t>
      </w:r>
      <w:r>
        <w:t>methodology</w:t>
      </w:r>
      <w:r>
        <w:rPr>
          <w:spacing w:val="-4"/>
        </w:rPr>
        <w:t xml:space="preserve"> </w:t>
      </w:r>
      <w:r>
        <w:t>described here is unchanged from the 2021 Study.</w:t>
      </w:r>
    </w:p>
    <w:p w:rsidR="00C31389" w:rsidRDefault="00C31389" w14:paraId="66D2FE52" w14:textId="77777777">
      <w:pPr>
        <w:pStyle w:val="BodyText"/>
        <w:spacing w:before="11"/>
        <w:rPr>
          <w:sz w:val="20"/>
        </w:rPr>
      </w:pPr>
    </w:p>
    <w:p w:rsidR="00C31389" w:rsidRDefault="00561FBD" w14:paraId="477373AB" w14:textId="77777777">
      <w:pPr>
        <w:pStyle w:val="Heading7"/>
        <w:ind w:left="480"/>
      </w:pPr>
      <w:r>
        <w:t>Eligibility</w:t>
      </w:r>
      <w:r>
        <w:rPr>
          <w:spacing w:val="-8"/>
        </w:rPr>
        <w:t xml:space="preserve"> </w:t>
      </w:r>
      <w:r>
        <w:t>and</w:t>
      </w:r>
      <w:r>
        <w:rPr>
          <w:spacing w:val="-7"/>
        </w:rPr>
        <w:t xml:space="preserve"> </w:t>
      </w:r>
      <w:r>
        <w:rPr>
          <w:spacing w:val="-2"/>
        </w:rPr>
        <w:t>Participation</w:t>
      </w:r>
    </w:p>
    <w:p w:rsidR="00C31389" w:rsidRDefault="00C31389" w14:paraId="332945D5" w14:textId="77777777">
      <w:pPr>
        <w:pStyle w:val="BodyText"/>
        <w:spacing w:before="10"/>
        <w:rPr>
          <w:b/>
          <w:sz w:val="20"/>
        </w:rPr>
      </w:pPr>
    </w:p>
    <w:p w:rsidR="00C31389" w:rsidRDefault="00561FBD" w14:paraId="5168C6A2" w14:textId="77777777">
      <w:pPr>
        <w:pStyle w:val="BodyText"/>
        <w:ind w:left="480" w:right="418"/>
      </w:pPr>
      <w:r>
        <w:t xml:space="preserve">BERs typically target </w:t>
      </w:r>
      <w:r>
        <w:t>small- or medium-sized businesses. Utilities may use BERs to target businesses across all sectors or only a select set. As the number of BER pilots continues to grow, a greater amount of information about the effectiveness of BER programs in different busi</w:t>
      </w:r>
      <w:r>
        <w:t>ness</w:t>
      </w:r>
      <w:r>
        <w:rPr>
          <w:spacing w:val="-4"/>
        </w:rPr>
        <w:t xml:space="preserve"> </w:t>
      </w:r>
      <w:r>
        <w:t>sectors</w:t>
      </w:r>
      <w:r>
        <w:rPr>
          <w:spacing w:val="-3"/>
        </w:rPr>
        <w:t xml:space="preserve"> </w:t>
      </w:r>
      <w:r>
        <w:t>will</w:t>
      </w:r>
      <w:r>
        <w:rPr>
          <w:spacing w:val="-3"/>
        </w:rPr>
        <w:t xml:space="preserve"> </w:t>
      </w:r>
      <w:r>
        <w:t>become</w:t>
      </w:r>
      <w:r>
        <w:rPr>
          <w:spacing w:val="-3"/>
        </w:rPr>
        <w:t xml:space="preserve"> </w:t>
      </w:r>
      <w:r>
        <w:t>available.</w:t>
      </w:r>
      <w:r>
        <w:rPr>
          <w:spacing w:val="-3"/>
        </w:rPr>
        <w:t xml:space="preserve"> </w:t>
      </w:r>
      <w:r>
        <w:t>The</w:t>
      </w:r>
      <w:r>
        <w:rPr>
          <w:spacing w:val="-3"/>
        </w:rPr>
        <w:t xml:space="preserve"> </w:t>
      </w:r>
      <w:r>
        <w:t>team</w:t>
      </w:r>
      <w:r>
        <w:rPr>
          <w:spacing w:val="-4"/>
        </w:rPr>
        <w:t xml:space="preserve"> </w:t>
      </w:r>
      <w:r>
        <w:t>assumes</w:t>
      </w:r>
      <w:r>
        <w:rPr>
          <w:spacing w:val="-3"/>
        </w:rPr>
        <w:t xml:space="preserve"> </w:t>
      </w:r>
      <w:r>
        <w:t>utilities</w:t>
      </w:r>
      <w:r>
        <w:rPr>
          <w:spacing w:val="-3"/>
        </w:rPr>
        <w:t xml:space="preserve"> </w:t>
      </w:r>
      <w:r>
        <w:t>will</w:t>
      </w:r>
      <w:r>
        <w:rPr>
          <w:spacing w:val="-3"/>
        </w:rPr>
        <w:t xml:space="preserve"> </w:t>
      </w:r>
      <w:r>
        <w:t>be</w:t>
      </w:r>
      <w:r>
        <w:rPr>
          <w:spacing w:val="-3"/>
        </w:rPr>
        <w:t xml:space="preserve"> </w:t>
      </w:r>
      <w:r>
        <w:t>more</w:t>
      </w:r>
      <w:r>
        <w:rPr>
          <w:spacing w:val="-3"/>
        </w:rPr>
        <w:t xml:space="preserve"> </w:t>
      </w:r>
      <w:r>
        <w:t>likely</w:t>
      </w:r>
      <w:r>
        <w:rPr>
          <w:spacing w:val="-3"/>
        </w:rPr>
        <w:t xml:space="preserve"> </w:t>
      </w:r>
      <w:r>
        <w:t>to</w:t>
      </w:r>
      <w:r>
        <w:rPr>
          <w:spacing w:val="-3"/>
        </w:rPr>
        <w:t xml:space="preserve"> </w:t>
      </w:r>
      <w:r>
        <w:t>limit the use of BERs to those sectors for which significant savings have been documented. The PG Model constrains its savings estimates to those business sectors that ha</w:t>
      </w:r>
      <w:r>
        <w:t>ve already achieved significant energy savings by means of business energy feedback programs such as BERs.</w:t>
      </w:r>
    </w:p>
    <w:p w:rsidR="00C31389" w:rsidRDefault="00C31389" w14:paraId="3B990EEA" w14:textId="77777777">
      <w:pPr>
        <w:pStyle w:val="BodyText"/>
        <w:spacing w:before="10"/>
        <w:rPr>
          <w:sz w:val="20"/>
        </w:rPr>
      </w:pPr>
    </w:p>
    <w:p w:rsidR="00C31389" w:rsidRDefault="00561FBD" w14:paraId="79DE0D95" w14:textId="77777777">
      <w:pPr>
        <w:pStyle w:val="BodyText"/>
        <w:ind w:left="480" w:right="445"/>
      </w:pPr>
      <w:r>
        <w:t>The model includes businesses in the following sectors: retail, restaurants, lodging, and other. Within each of these business sectors, the applicab</w:t>
      </w:r>
      <w:r>
        <w:t>ility of savings is further constrained by the estimated proportion of business customers in each of the relevant sectors</w:t>
      </w:r>
      <w:r>
        <w:rPr>
          <w:spacing w:val="-3"/>
        </w:rPr>
        <w:t xml:space="preserve"> </w:t>
      </w:r>
      <w:r>
        <w:t>that</w:t>
      </w:r>
      <w:r>
        <w:rPr>
          <w:spacing w:val="-4"/>
        </w:rPr>
        <w:t xml:space="preserve"> </w:t>
      </w:r>
      <w:r>
        <w:t>may</w:t>
      </w:r>
      <w:r>
        <w:rPr>
          <w:spacing w:val="-3"/>
        </w:rPr>
        <w:t xml:space="preserve"> </w:t>
      </w:r>
      <w:r>
        <w:t>be</w:t>
      </w:r>
      <w:r>
        <w:rPr>
          <w:spacing w:val="-3"/>
        </w:rPr>
        <w:t xml:space="preserve"> </w:t>
      </w:r>
      <w:r>
        <w:t>classified</w:t>
      </w:r>
      <w:r>
        <w:rPr>
          <w:spacing w:val="-3"/>
        </w:rPr>
        <w:t xml:space="preserve"> </w:t>
      </w:r>
      <w:r>
        <w:t>as</w:t>
      </w:r>
      <w:r>
        <w:rPr>
          <w:spacing w:val="-4"/>
        </w:rPr>
        <w:t xml:space="preserve"> </w:t>
      </w:r>
      <w:r>
        <w:t>either</w:t>
      </w:r>
      <w:r>
        <w:rPr>
          <w:spacing w:val="-3"/>
        </w:rPr>
        <w:t xml:space="preserve"> </w:t>
      </w:r>
      <w:r>
        <w:t>a</w:t>
      </w:r>
      <w:r>
        <w:rPr>
          <w:spacing w:val="-3"/>
        </w:rPr>
        <w:t xml:space="preserve"> </w:t>
      </w:r>
      <w:r>
        <w:t>small-</w:t>
      </w:r>
      <w:r>
        <w:rPr>
          <w:spacing w:val="-3"/>
        </w:rPr>
        <w:t xml:space="preserve"> </w:t>
      </w:r>
      <w:r>
        <w:t>or</w:t>
      </w:r>
      <w:r>
        <w:rPr>
          <w:spacing w:val="-3"/>
        </w:rPr>
        <w:t xml:space="preserve"> </w:t>
      </w:r>
      <w:r>
        <w:t>medium-sized</w:t>
      </w:r>
      <w:r>
        <w:rPr>
          <w:spacing w:val="-3"/>
        </w:rPr>
        <w:t xml:space="preserve"> </w:t>
      </w:r>
      <w:r>
        <w:t>enterprise.</w:t>
      </w:r>
      <w:r>
        <w:rPr>
          <w:spacing w:val="-3"/>
        </w:rPr>
        <w:t xml:space="preserve"> </w:t>
      </w:r>
      <w:r>
        <w:t>Based</w:t>
      </w:r>
      <w:r>
        <w:rPr>
          <w:spacing w:val="-3"/>
        </w:rPr>
        <w:t xml:space="preserve"> </w:t>
      </w:r>
      <w:r>
        <w:t>on</w:t>
      </w:r>
      <w:r>
        <w:rPr>
          <w:spacing w:val="-3"/>
        </w:rPr>
        <w:t xml:space="preserve"> </w:t>
      </w:r>
      <w:r>
        <w:t>data from the Commercial Building Energy Consumption Su</w:t>
      </w:r>
      <w:r>
        <w:t>rvey (CBECS), the team estimated that roughly 63% of retail customers can be considered small or medium businesses given that approximately 63% of retail space is shown to be under 100,000 square feet.</w:t>
      </w:r>
      <w:hyperlink w:history="1" w:anchor="_bookmark395">
        <w:r>
          <w:rPr>
            <w:position w:val="7"/>
            <w:sz w:val="14"/>
          </w:rPr>
          <w:t>148</w:t>
        </w:r>
      </w:hyperlink>
      <w:r>
        <w:rPr>
          <w:spacing w:val="27"/>
          <w:position w:val="7"/>
          <w:sz w:val="14"/>
        </w:rPr>
        <w:t xml:space="preserve"> </w:t>
      </w:r>
      <w:r>
        <w:t>Given the small size of restaurants, the team assumes 100% applicability for this sector.</w:t>
      </w:r>
    </w:p>
    <w:p w:rsidR="00C31389" w:rsidRDefault="00C31389" w14:paraId="56BC0084" w14:textId="77777777">
      <w:pPr>
        <w:pStyle w:val="BodyText"/>
        <w:spacing w:before="10"/>
        <w:rPr>
          <w:sz w:val="20"/>
        </w:rPr>
      </w:pPr>
    </w:p>
    <w:p w:rsidR="00C31389" w:rsidRDefault="00561FBD" w14:paraId="056CBDAB" w14:textId="77777777">
      <w:pPr>
        <w:pStyle w:val="BodyText"/>
        <w:ind w:left="480" w:right="627"/>
      </w:pPr>
      <w:r>
        <w:t>The Commonwealth Edison study specifically targeted medium-sized businesses in the lodging</w:t>
      </w:r>
      <w:r>
        <w:rPr>
          <w:spacing w:val="-3"/>
        </w:rPr>
        <w:t xml:space="preserve"> </w:t>
      </w:r>
      <w:r>
        <w:t>and</w:t>
      </w:r>
      <w:r>
        <w:rPr>
          <w:spacing w:val="-4"/>
        </w:rPr>
        <w:t xml:space="preserve"> </w:t>
      </w:r>
      <w:r>
        <w:t>other</w:t>
      </w:r>
      <w:r>
        <w:rPr>
          <w:spacing w:val="-3"/>
        </w:rPr>
        <w:t xml:space="preserve"> </w:t>
      </w:r>
      <w:r>
        <w:t>sectors.</w:t>
      </w:r>
      <w:r>
        <w:rPr>
          <w:spacing w:val="-3"/>
        </w:rPr>
        <w:t xml:space="preserve"> </w:t>
      </w:r>
      <w:r>
        <w:t>Therefore,</w:t>
      </w:r>
      <w:r>
        <w:rPr>
          <w:spacing w:val="-3"/>
        </w:rPr>
        <w:t xml:space="preserve"> </w:t>
      </w:r>
      <w:r>
        <w:t>the</w:t>
      </w:r>
      <w:r>
        <w:rPr>
          <w:spacing w:val="-3"/>
        </w:rPr>
        <w:t xml:space="preserve"> </w:t>
      </w:r>
      <w:r>
        <w:t>model’s</w:t>
      </w:r>
      <w:r>
        <w:rPr>
          <w:spacing w:val="-2"/>
        </w:rPr>
        <w:t xml:space="preserve"> </w:t>
      </w:r>
      <w:r>
        <w:t>savings</w:t>
      </w:r>
      <w:r>
        <w:rPr>
          <w:spacing w:val="-3"/>
        </w:rPr>
        <w:t xml:space="preserve"> </w:t>
      </w:r>
      <w:r>
        <w:t>estimates</w:t>
      </w:r>
      <w:r>
        <w:rPr>
          <w:spacing w:val="-3"/>
        </w:rPr>
        <w:t xml:space="preserve"> </w:t>
      </w:r>
      <w:r>
        <w:t>are</w:t>
      </w:r>
      <w:r>
        <w:rPr>
          <w:spacing w:val="-3"/>
        </w:rPr>
        <w:t xml:space="preserve"> </w:t>
      </w:r>
      <w:r>
        <w:t>only</w:t>
      </w:r>
      <w:r>
        <w:rPr>
          <w:spacing w:val="-3"/>
        </w:rPr>
        <w:t xml:space="preserve"> </w:t>
      </w:r>
      <w:r>
        <w:t>calculated</w:t>
      </w:r>
      <w:r>
        <w:rPr>
          <w:spacing w:val="-3"/>
        </w:rPr>
        <w:t xml:space="preserve"> </w:t>
      </w:r>
      <w:r>
        <w:t>for medium-sized customers in the lodging and other categories based on relevant data from the CBECS. For example, the model assumes that 50% of lodging establishments can be considered medium-sized establishments based on CBE</w:t>
      </w:r>
      <w:r>
        <w:t>CS data, which indicates 50% of lodging establishments have an average annual energy consumption of 500,000 kWh or more per year. For businesses in the other category, the Guidehouse team used CBECS</w:t>
      </w:r>
    </w:p>
    <w:p w:rsidR="00C31389" w:rsidRDefault="00561FBD" w14:paraId="37B50A4F" w14:textId="77777777">
      <w:pPr>
        <w:pStyle w:val="BodyText"/>
        <w:spacing w:before="1"/>
        <w:rPr>
          <w:sz w:val="25"/>
        </w:rPr>
      </w:pPr>
      <w:r>
        <w:rPr>
          <w:noProof/>
        </w:rPr>
        <mc:AlternateContent>
          <mc:Choice Requires="wps">
            <w:drawing>
              <wp:anchor distT="0" distB="0" distL="0" distR="0" simplePos="0" relativeHeight="487726080" behindDoc="1" locked="0" layoutInCell="1" allowOverlap="1" wp14:editId="160DA350" wp14:anchorId="5CE34652">
                <wp:simplePos x="0" y="0"/>
                <wp:positionH relativeFrom="page">
                  <wp:posOffset>914400</wp:posOffset>
                </wp:positionH>
                <wp:positionV relativeFrom="paragraph">
                  <wp:posOffset>198534</wp:posOffset>
                </wp:positionV>
                <wp:extent cx="1828800" cy="6985"/>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39" style="position:absolute;margin-left:1in;margin-top:15.65pt;width:2in;height:.55pt;z-index:-1559040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" w14:anchorId="3DE651FB">
                <v:path arrowok="t"/>
                <w10:wrap type="topAndBottom" anchorx="page"/>
              </v:shape>
            </w:pict>
          </mc:Fallback>
        </mc:AlternateContent>
      </w:r>
    </w:p>
    <w:p w:rsidR="00C31389" w:rsidRDefault="00561FBD" w14:paraId="37595397" w14:textId="77777777">
      <w:pPr>
        <w:spacing w:before="88"/>
        <w:ind w:left="480" w:right="418"/>
        <w:rPr>
          <w:sz w:val="18"/>
        </w:rPr>
      </w:pPr>
      <w:bookmarkStart w:name="_bookmark394" w:id="516"/>
      <w:bookmarkEnd w:id="516"/>
      <w:r>
        <w:rPr>
          <w:position w:val="6"/>
          <w:sz w:val="12"/>
        </w:rPr>
        <w:t>147</w:t>
      </w:r>
      <w:r>
        <w:rPr>
          <w:spacing w:val="15"/>
          <w:position w:val="6"/>
          <w:sz w:val="12"/>
        </w:rPr>
        <w:t xml:space="preserve"> </w:t>
      </w:r>
      <w:r>
        <w:rPr>
          <w:sz w:val="18"/>
        </w:rPr>
        <w:t>Gajus</w:t>
      </w:r>
      <w:r>
        <w:rPr>
          <w:spacing w:val="-2"/>
          <w:sz w:val="18"/>
        </w:rPr>
        <w:t xml:space="preserve"> </w:t>
      </w:r>
      <w:r>
        <w:rPr>
          <w:sz w:val="18"/>
        </w:rPr>
        <w:t>Miknaitis,</w:t>
      </w:r>
      <w:r>
        <w:rPr>
          <w:spacing w:val="-2"/>
          <w:sz w:val="18"/>
        </w:rPr>
        <w:t xml:space="preserve"> </w:t>
      </w:r>
      <w:r>
        <w:rPr>
          <w:sz w:val="18"/>
        </w:rPr>
        <w:t>John</w:t>
      </w:r>
      <w:r>
        <w:rPr>
          <w:spacing w:val="-3"/>
          <w:sz w:val="18"/>
        </w:rPr>
        <w:t xml:space="preserve"> </w:t>
      </w:r>
      <w:r>
        <w:rPr>
          <w:sz w:val="18"/>
        </w:rPr>
        <w:t>Lux</w:t>
      </w:r>
      <w:r>
        <w:rPr>
          <w:spacing w:val="-2"/>
          <w:sz w:val="18"/>
        </w:rPr>
        <w:t xml:space="preserve"> </w:t>
      </w:r>
      <w:r>
        <w:rPr>
          <w:sz w:val="18"/>
        </w:rPr>
        <w:t>and</w:t>
      </w:r>
      <w:r>
        <w:rPr>
          <w:spacing w:val="-3"/>
          <w:sz w:val="18"/>
        </w:rPr>
        <w:t xml:space="preserve"> </w:t>
      </w:r>
      <w:r>
        <w:rPr>
          <w:sz w:val="18"/>
        </w:rPr>
        <w:t>Deb</w:t>
      </w:r>
      <w:r>
        <w:rPr>
          <w:spacing w:val="-3"/>
          <w:sz w:val="18"/>
        </w:rPr>
        <w:t xml:space="preserve"> </w:t>
      </w:r>
      <w:r>
        <w:rPr>
          <w:sz w:val="18"/>
        </w:rPr>
        <w:t>Dynako,</w:t>
      </w:r>
      <w:r>
        <w:rPr>
          <w:spacing w:val="-1"/>
          <w:sz w:val="18"/>
        </w:rPr>
        <w:t xml:space="preserve"> </w:t>
      </w:r>
      <w:r>
        <w:rPr>
          <w:sz w:val="18"/>
        </w:rPr>
        <w:t>Mark</w:t>
      </w:r>
      <w:r>
        <w:rPr>
          <w:spacing w:val="-2"/>
          <w:sz w:val="18"/>
        </w:rPr>
        <w:t xml:space="preserve"> </w:t>
      </w:r>
      <w:r>
        <w:rPr>
          <w:sz w:val="18"/>
        </w:rPr>
        <w:t>Hama</w:t>
      </w:r>
      <w:r>
        <w:rPr>
          <w:sz w:val="18"/>
        </w:rPr>
        <w:t>nn</w:t>
      </w:r>
      <w:r>
        <w:rPr>
          <w:spacing w:val="-1"/>
          <w:sz w:val="18"/>
        </w:rPr>
        <w:t xml:space="preserve"> </w:t>
      </w:r>
      <w:r>
        <w:rPr>
          <w:sz w:val="18"/>
        </w:rPr>
        <w:t>and</w:t>
      </w:r>
      <w:r>
        <w:rPr>
          <w:spacing w:val="-3"/>
          <w:sz w:val="18"/>
        </w:rPr>
        <w:t xml:space="preserve"> </w:t>
      </w:r>
      <w:r>
        <w:rPr>
          <w:sz w:val="18"/>
        </w:rPr>
        <w:t>William</w:t>
      </w:r>
      <w:r>
        <w:rPr>
          <w:spacing w:val="-2"/>
          <w:sz w:val="18"/>
        </w:rPr>
        <w:t xml:space="preserve"> </w:t>
      </w:r>
      <w:r>
        <w:rPr>
          <w:sz w:val="18"/>
        </w:rPr>
        <w:t>Burns,</w:t>
      </w:r>
      <w:r>
        <w:rPr>
          <w:spacing w:val="-2"/>
          <w:sz w:val="18"/>
        </w:rPr>
        <w:t xml:space="preserve"> </w:t>
      </w:r>
      <w:r>
        <w:rPr>
          <w:sz w:val="18"/>
        </w:rPr>
        <w:t>“Tapping</w:t>
      </w:r>
      <w:r>
        <w:rPr>
          <w:spacing w:val="-1"/>
          <w:sz w:val="18"/>
        </w:rPr>
        <w:t xml:space="preserve"> </w:t>
      </w:r>
      <w:r>
        <w:rPr>
          <w:sz w:val="18"/>
        </w:rPr>
        <w:t>Energy</w:t>
      </w:r>
      <w:r>
        <w:rPr>
          <w:spacing w:val="-2"/>
          <w:sz w:val="18"/>
        </w:rPr>
        <w:t xml:space="preserve"> </w:t>
      </w:r>
      <w:r>
        <w:rPr>
          <w:sz w:val="18"/>
        </w:rPr>
        <w:t>Savings</w:t>
      </w:r>
      <w:r>
        <w:rPr>
          <w:spacing w:val="-2"/>
          <w:sz w:val="18"/>
        </w:rPr>
        <w:t xml:space="preserve"> </w:t>
      </w:r>
      <w:r>
        <w:rPr>
          <w:sz w:val="18"/>
        </w:rPr>
        <w:t>from an Overlooked Source: Results from Behavioral Change Pilot Program Targeting Mid-Sized Commercial Customers,”</w:t>
      </w:r>
      <w:r>
        <w:rPr>
          <w:spacing w:val="-2"/>
          <w:sz w:val="18"/>
        </w:rPr>
        <w:t xml:space="preserve"> </w:t>
      </w:r>
      <w:r>
        <w:rPr>
          <w:sz w:val="18"/>
        </w:rPr>
        <w:t>2014</w:t>
      </w:r>
      <w:r>
        <w:rPr>
          <w:spacing w:val="-3"/>
          <w:sz w:val="18"/>
        </w:rPr>
        <w:t xml:space="preserve"> </w:t>
      </w:r>
      <w:r>
        <w:rPr>
          <w:sz w:val="18"/>
        </w:rPr>
        <w:t>ACEEE</w:t>
      </w:r>
      <w:r>
        <w:rPr>
          <w:spacing w:val="-2"/>
          <w:sz w:val="18"/>
        </w:rPr>
        <w:t xml:space="preserve"> </w:t>
      </w:r>
      <w:r>
        <w:rPr>
          <w:sz w:val="18"/>
        </w:rPr>
        <w:t>Summer</w:t>
      </w:r>
      <w:r>
        <w:rPr>
          <w:spacing w:val="-2"/>
          <w:sz w:val="18"/>
        </w:rPr>
        <w:t xml:space="preserve"> </w:t>
      </w:r>
      <w:r>
        <w:rPr>
          <w:sz w:val="18"/>
        </w:rPr>
        <w:t>Study</w:t>
      </w:r>
      <w:r>
        <w:rPr>
          <w:spacing w:val="-2"/>
          <w:sz w:val="18"/>
        </w:rPr>
        <w:t xml:space="preserve"> </w:t>
      </w:r>
      <w:r>
        <w:rPr>
          <w:sz w:val="18"/>
        </w:rPr>
        <w:t>on</w:t>
      </w:r>
      <w:r>
        <w:rPr>
          <w:spacing w:val="-3"/>
          <w:sz w:val="18"/>
        </w:rPr>
        <w:t xml:space="preserve"> </w:t>
      </w:r>
      <w:r>
        <w:rPr>
          <w:sz w:val="18"/>
        </w:rPr>
        <w:t>Energy</w:t>
      </w:r>
      <w:r>
        <w:rPr>
          <w:spacing w:val="-2"/>
          <w:sz w:val="18"/>
        </w:rPr>
        <w:t xml:space="preserve"> </w:t>
      </w:r>
      <w:r>
        <w:rPr>
          <w:sz w:val="18"/>
        </w:rPr>
        <w:t>Efficiency</w:t>
      </w:r>
      <w:r>
        <w:rPr>
          <w:spacing w:val="-2"/>
          <w:sz w:val="18"/>
        </w:rPr>
        <w:t xml:space="preserve"> </w:t>
      </w:r>
      <w:r>
        <w:rPr>
          <w:sz w:val="18"/>
        </w:rPr>
        <w:t>in</w:t>
      </w:r>
      <w:r>
        <w:rPr>
          <w:spacing w:val="-3"/>
          <w:sz w:val="18"/>
        </w:rPr>
        <w:t xml:space="preserve"> </w:t>
      </w:r>
      <w:r>
        <w:rPr>
          <w:sz w:val="18"/>
        </w:rPr>
        <w:t>Buildings,</w:t>
      </w:r>
      <w:r>
        <w:rPr>
          <w:spacing w:val="-2"/>
          <w:sz w:val="18"/>
        </w:rPr>
        <w:t xml:space="preserve"> </w:t>
      </w:r>
      <w:r>
        <w:rPr>
          <w:sz w:val="18"/>
        </w:rPr>
        <w:t>Commonwealth</w:t>
      </w:r>
      <w:r>
        <w:rPr>
          <w:spacing w:val="-3"/>
          <w:sz w:val="18"/>
        </w:rPr>
        <w:t xml:space="preserve"> </w:t>
      </w:r>
      <w:r>
        <w:rPr>
          <w:sz w:val="18"/>
        </w:rPr>
        <w:t>Edison</w:t>
      </w:r>
      <w:r>
        <w:rPr>
          <w:spacing w:val="-3"/>
          <w:sz w:val="18"/>
        </w:rPr>
        <w:t xml:space="preserve"> </w:t>
      </w:r>
      <w:r>
        <w:rPr>
          <w:sz w:val="18"/>
        </w:rPr>
        <w:t>and</w:t>
      </w:r>
      <w:r>
        <w:rPr>
          <w:spacing w:val="-3"/>
          <w:sz w:val="18"/>
        </w:rPr>
        <w:t xml:space="preserve"> </w:t>
      </w:r>
      <w:r>
        <w:rPr>
          <w:sz w:val="18"/>
        </w:rPr>
        <w:t xml:space="preserve">Agentis Energy, </w:t>
      </w:r>
      <w:hyperlink r:id="rId281">
        <w:r>
          <w:rPr>
            <w:color w:val="68942C"/>
            <w:sz w:val="18"/>
            <w:u w:val="single" w:color="68942C"/>
          </w:rPr>
          <w:t>http://aceee.org/files/proceedings/2014/data/papers/7-153.pdf</w:t>
        </w:r>
        <w:r>
          <w:rPr>
            <w:sz w:val="18"/>
          </w:rPr>
          <w:t>.</w:t>
        </w:r>
      </w:hyperlink>
    </w:p>
    <w:p w:rsidR="00C31389" w:rsidRDefault="00561FBD" w14:paraId="78E887FE" w14:textId="77777777">
      <w:pPr>
        <w:spacing w:before="37"/>
        <w:ind w:left="480" w:right="434"/>
        <w:rPr>
          <w:sz w:val="18"/>
        </w:rPr>
      </w:pPr>
      <w:bookmarkStart w:name="_bookmark395" w:id="517"/>
      <w:bookmarkEnd w:id="517"/>
      <w:r>
        <w:rPr>
          <w:position w:val="6"/>
          <w:sz w:val="12"/>
        </w:rPr>
        <w:t>148</w:t>
      </w:r>
      <w:r>
        <w:rPr>
          <w:spacing w:val="8"/>
          <w:position w:val="6"/>
          <w:sz w:val="12"/>
        </w:rPr>
        <w:t xml:space="preserve"> </w:t>
      </w:r>
      <w:r>
        <w:rPr>
          <w:sz w:val="18"/>
        </w:rPr>
        <w:t>U.S.</w:t>
      </w:r>
      <w:r>
        <w:rPr>
          <w:spacing w:val="-9"/>
          <w:sz w:val="18"/>
        </w:rPr>
        <w:t xml:space="preserve"> </w:t>
      </w:r>
      <w:r>
        <w:rPr>
          <w:sz w:val="18"/>
        </w:rPr>
        <w:t>EIA,</w:t>
      </w:r>
      <w:r>
        <w:rPr>
          <w:spacing w:val="-9"/>
          <w:sz w:val="18"/>
        </w:rPr>
        <w:t xml:space="preserve"> </w:t>
      </w:r>
      <w:r>
        <w:rPr>
          <w:sz w:val="18"/>
        </w:rPr>
        <w:t>CBECS,</w:t>
      </w:r>
      <w:r>
        <w:rPr>
          <w:spacing w:val="-9"/>
          <w:sz w:val="18"/>
        </w:rPr>
        <w:t xml:space="preserve"> </w:t>
      </w:r>
      <w:hyperlink r:id="rId282">
        <w:r>
          <w:rPr>
            <w:color w:val="68942C"/>
            <w:sz w:val="18"/>
            <w:u w:val="single" w:color="68942C"/>
          </w:rPr>
          <w:t>http://www.eia.gov/consumption/commercial/data/2012/index.php?view=consumption#c13-</w:t>
        </w:r>
      </w:hyperlink>
      <w:r>
        <w:rPr>
          <w:color w:val="68942C"/>
          <w:sz w:val="18"/>
        </w:rPr>
        <w:t xml:space="preserve"> </w:t>
      </w:r>
      <w:hyperlink r:id="rId283">
        <w:r>
          <w:rPr>
            <w:color w:val="68942C"/>
            <w:spacing w:val="-4"/>
            <w:sz w:val="18"/>
            <w:u w:val="single" w:color="68942C"/>
          </w:rPr>
          <w:t>c22</w:t>
        </w:r>
      </w:hyperlink>
    </w:p>
    <w:p w:rsidR="00C31389" w:rsidRDefault="00C31389" w14:paraId="0BB607B3" w14:textId="77777777">
      <w:pPr>
        <w:rPr>
          <w:sz w:val="18"/>
        </w:rPr>
        <w:sectPr w:rsidR="00C31389">
          <w:pgSz w:w="11910" w:h="16840"/>
          <w:pgMar w:top="1660" w:right="1020" w:bottom="1120" w:left="960" w:header="397" w:footer="938" w:gutter="0"/>
          <w:cols w:space="720"/>
        </w:sectPr>
      </w:pPr>
    </w:p>
    <w:p w:rsidR="00C31389" w:rsidRDefault="00C31389" w14:paraId="61520B35" w14:textId="77777777">
      <w:pPr>
        <w:pStyle w:val="BodyText"/>
        <w:spacing w:before="11"/>
        <w:rPr>
          <w:sz w:val="13"/>
        </w:rPr>
      </w:pPr>
    </w:p>
    <w:p w:rsidR="00C31389" w:rsidRDefault="00561FBD" w14:paraId="2384DE67" w14:textId="77777777">
      <w:pPr>
        <w:pStyle w:val="BodyText"/>
        <w:spacing w:before="92"/>
        <w:ind w:left="480" w:right="418"/>
      </w:pPr>
      <w:bookmarkStart w:name="_bookmark399" w:id="518"/>
      <w:bookmarkEnd w:id="518"/>
      <w:r>
        <w:t>data</w:t>
      </w:r>
      <w:r>
        <w:rPr>
          <w:spacing w:val="-3"/>
        </w:rPr>
        <w:t xml:space="preserve"> </w:t>
      </w:r>
      <w:r>
        <w:t>to</w:t>
      </w:r>
      <w:r>
        <w:rPr>
          <w:spacing w:val="-3"/>
        </w:rPr>
        <w:t xml:space="preserve"> </w:t>
      </w:r>
      <w:r>
        <w:t>estimate</w:t>
      </w:r>
      <w:r>
        <w:rPr>
          <w:spacing w:val="-3"/>
        </w:rPr>
        <w:t xml:space="preserve"> </w:t>
      </w:r>
      <w:r>
        <w:t>the</w:t>
      </w:r>
      <w:r>
        <w:rPr>
          <w:spacing w:val="-3"/>
        </w:rPr>
        <w:t xml:space="preserve"> </w:t>
      </w:r>
      <w:r>
        <w:t>proportion</w:t>
      </w:r>
      <w:r>
        <w:rPr>
          <w:spacing w:val="-3"/>
        </w:rPr>
        <w:t xml:space="preserve"> </w:t>
      </w:r>
      <w:r>
        <w:t>of</w:t>
      </w:r>
      <w:r>
        <w:rPr>
          <w:spacing w:val="-3"/>
        </w:rPr>
        <w:t xml:space="preserve"> </w:t>
      </w:r>
      <w:r>
        <w:t>establishments</w:t>
      </w:r>
      <w:r>
        <w:rPr>
          <w:spacing w:val="-3"/>
        </w:rPr>
        <w:t xml:space="preserve"> </w:t>
      </w:r>
      <w:r>
        <w:t>that</w:t>
      </w:r>
      <w:r>
        <w:rPr>
          <w:spacing w:val="-3"/>
        </w:rPr>
        <w:t xml:space="preserve"> </w:t>
      </w:r>
      <w:r>
        <w:t>fall</w:t>
      </w:r>
      <w:r>
        <w:rPr>
          <w:spacing w:val="-4"/>
        </w:rPr>
        <w:t xml:space="preserve"> </w:t>
      </w:r>
      <w:r>
        <w:t>in</w:t>
      </w:r>
      <w:r>
        <w:rPr>
          <w:spacing w:val="-4"/>
        </w:rPr>
        <w:t xml:space="preserve"> </w:t>
      </w:r>
      <w:r>
        <w:t>the</w:t>
      </w:r>
      <w:r>
        <w:rPr>
          <w:spacing w:val="-3"/>
        </w:rPr>
        <w:t xml:space="preserve"> </w:t>
      </w:r>
      <w:r>
        <w:t>medium-sized</w:t>
      </w:r>
      <w:r>
        <w:rPr>
          <w:spacing w:val="-3"/>
        </w:rPr>
        <w:t xml:space="preserve"> </w:t>
      </w:r>
      <w:r>
        <w:t>category</w:t>
      </w:r>
      <w:r>
        <w:rPr>
          <w:spacing w:val="-3"/>
        </w:rPr>
        <w:t xml:space="preserve"> </w:t>
      </w:r>
      <w:r>
        <w:t xml:space="preserve">(&lt;1 million kWh per year). The team estimates that 25% of buildings in the </w:t>
      </w:r>
      <w:r>
        <w:t>other category are using an average of 400,000 kWh per year.</w:t>
      </w:r>
    </w:p>
    <w:p w:rsidR="00C31389" w:rsidRDefault="00C31389" w14:paraId="3B54C958" w14:textId="77777777">
      <w:pPr>
        <w:pStyle w:val="BodyText"/>
        <w:spacing w:before="10"/>
        <w:rPr>
          <w:sz w:val="20"/>
        </w:rPr>
      </w:pPr>
    </w:p>
    <w:p w:rsidR="00C31389" w:rsidRDefault="00561FBD" w14:paraId="3EBD0A16" w14:textId="77777777">
      <w:pPr>
        <w:pStyle w:val="BodyText"/>
        <w:ind w:left="480" w:right="615" w:hanging="1"/>
      </w:pPr>
      <w:r>
        <w:t>The projected penetration rates assume a delayed start for BERs, with formal utility programs</w:t>
      </w:r>
      <w:r>
        <w:rPr>
          <w:spacing w:val="-3"/>
        </w:rPr>
        <w:t xml:space="preserve"> </w:t>
      </w:r>
      <w:r>
        <w:t>launching</w:t>
      </w:r>
      <w:r>
        <w:rPr>
          <w:spacing w:val="-3"/>
        </w:rPr>
        <w:t xml:space="preserve"> </w:t>
      </w:r>
      <w:r>
        <w:t>in</w:t>
      </w:r>
      <w:r>
        <w:rPr>
          <w:spacing w:val="-3"/>
        </w:rPr>
        <w:t xml:space="preserve"> </w:t>
      </w:r>
      <w:r>
        <w:t>2021.</w:t>
      </w:r>
      <w:r>
        <w:rPr>
          <w:spacing w:val="-2"/>
        </w:rPr>
        <w:t xml:space="preserve"> </w:t>
      </w:r>
      <w:r>
        <w:t>The</w:t>
      </w:r>
      <w:r>
        <w:rPr>
          <w:spacing w:val="-3"/>
        </w:rPr>
        <w:t xml:space="preserve"> </w:t>
      </w:r>
      <w:r>
        <w:t>analysis</w:t>
      </w:r>
      <w:r>
        <w:rPr>
          <w:spacing w:val="-3"/>
        </w:rPr>
        <w:t xml:space="preserve"> </w:t>
      </w:r>
      <w:r>
        <w:t>assumes</w:t>
      </w:r>
      <w:r>
        <w:rPr>
          <w:spacing w:val="-3"/>
        </w:rPr>
        <w:t xml:space="preserve"> </w:t>
      </w:r>
      <w:r>
        <w:t>a</w:t>
      </w:r>
      <w:r>
        <w:rPr>
          <w:spacing w:val="-3"/>
        </w:rPr>
        <w:t xml:space="preserve"> </w:t>
      </w:r>
      <w:r>
        <w:t>starting</w:t>
      </w:r>
      <w:r>
        <w:rPr>
          <w:spacing w:val="-3"/>
        </w:rPr>
        <w:t xml:space="preserve"> </w:t>
      </w:r>
      <w:r>
        <w:t>penetration</w:t>
      </w:r>
      <w:r>
        <w:rPr>
          <w:spacing w:val="-3"/>
        </w:rPr>
        <w:t xml:space="preserve"> </w:t>
      </w:r>
      <w:r>
        <w:t>of</w:t>
      </w:r>
      <w:r>
        <w:rPr>
          <w:spacing w:val="-3"/>
        </w:rPr>
        <w:t xml:space="preserve"> </w:t>
      </w:r>
      <w:r>
        <w:t>1%</w:t>
      </w:r>
      <w:r>
        <w:rPr>
          <w:spacing w:val="-3"/>
        </w:rPr>
        <w:t xml:space="preserve"> </w:t>
      </w:r>
      <w:r>
        <w:t>in</w:t>
      </w:r>
      <w:r>
        <w:rPr>
          <w:spacing w:val="-4"/>
        </w:rPr>
        <w:t xml:space="preserve"> </w:t>
      </w:r>
      <w:r>
        <w:t xml:space="preserve">2021, increasing 1% per </w:t>
      </w:r>
      <w:r>
        <w:t>year and reaching 12% by 2032.</w:t>
      </w:r>
    </w:p>
    <w:p w:rsidR="00C31389" w:rsidRDefault="00C31389" w14:paraId="7538D504" w14:textId="77777777">
      <w:pPr>
        <w:pStyle w:val="BodyText"/>
        <w:spacing w:before="10"/>
        <w:rPr>
          <w:sz w:val="20"/>
        </w:rPr>
      </w:pPr>
    </w:p>
    <w:p w:rsidR="00C31389" w:rsidRDefault="00561FBD" w14:paraId="2050F14B" w14:textId="77777777">
      <w:pPr>
        <w:pStyle w:val="Heading7"/>
        <w:spacing w:before="1"/>
        <w:ind w:left="480"/>
      </w:pPr>
      <w:r>
        <w:rPr>
          <w:spacing w:val="-2"/>
        </w:rPr>
        <w:t>Savings</w:t>
      </w:r>
    </w:p>
    <w:p w:rsidR="00C31389" w:rsidRDefault="00C31389" w14:paraId="5C458104" w14:textId="77777777">
      <w:pPr>
        <w:pStyle w:val="BodyText"/>
        <w:spacing w:before="8"/>
        <w:rPr>
          <w:b/>
          <w:sz w:val="20"/>
        </w:rPr>
      </w:pPr>
    </w:p>
    <w:p w:rsidR="00C31389" w:rsidRDefault="00561FBD" w14:paraId="71736E30" w14:textId="77777777">
      <w:pPr>
        <w:pStyle w:val="BodyText"/>
        <w:ind w:left="480" w:right="640"/>
        <w:jc w:val="both"/>
      </w:pPr>
      <w:r>
        <w:t>The</w:t>
      </w:r>
      <w:r>
        <w:rPr>
          <w:spacing w:val="-2"/>
        </w:rPr>
        <w:t xml:space="preserve"> </w:t>
      </w:r>
      <w:r>
        <w:t>model</w:t>
      </w:r>
      <w:r>
        <w:rPr>
          <w:spacing w:val="-2"/>
        </w:rPr>
        <w:t xml:space="preserve"> </w:t>
      </w:r>
      <w:r>
        <w:t>uses</w:t>
      </w:r>
      <w:r>
        <w:rPr>
          <w:spacing w:val="-2"/>
        </w:rPr>
        <w:t xml:space="preserve"> </w:t>
      </w:r>
      <w:r>
        <w:t>electricity</w:t>
      </w:r>
      <w:r>
        <w:rPr>
          <w:spacing w:val="-2"/>
        </w:rPr>
        <w:t xml:space="preserve"> </w:t>
      </w:r>
      <w:r>
        <w:t>savings</w:t>
      </w:r>
      <w:r>
        <w:rPr>
          <w:spacing w:val="-2"/>
        </w:rPr>
        <w:t xml:space="preserve"> </w:t>
      </w:r>
      <w:r>
        <w:t>of</w:t>
      </w:r>
      <w:r>
        <w:rPr>
          <w:spacing w:val="-3"/>
        </w:rPr>
        <w:t xml:space="preserve"> </w:t>
      </w:r>
      <w:r>
        <w:t>0.32%,</w:t>
      </w:r>
      <w:r>
        <w:rPr>
          <w:spacing w:val="-2"/>
        </w:rPr>
        <w:t xml:space="preserve"> </w:t>
      </w:r>
      <w:r>
        <w:t>no</w:t>
      </w:r>
      <w:r>
        <w:rPr>
          <w:spacing w:val="-2"/>
        </w:rPr>
        <w:t xml:space="preserve"> </w:t>
      </w:r>
      <w:r>
        <w:t>gas</w:t>
      </w:r>
      <w:r>
        <w:rPr>
          <w:spacing w:val="-2"/>
        </w:rPr>
        <w:t xml:space="preserve"> </w:t>
      </w:r>
      <w:r>
        <w:t>savings,</w:t>
      </w:r>
      <w:hyperlink w:history="1" w:anchor="_bookmark398">
        <w:r>
          <w:rPr>
            <w:position w:val="7"/>
            <w:sz w:val="14"/>
          </w:rPr>
          <w:t>149</w:t>
        </w:r>
      </w:hyperlink>
      <w:r>
        <w:rPr>
          <w:spacing w:val="19"/>
          <w:position w:val="7"/>
          <w:sz w:val="14"/>
        </w:rPr>
        <w:t xml:space="preserve"> </w:t>
      </w:r>
      <w:r>
        <w:t>and</w:t>
      </w:r>
      <w:r>
        <w:rPr>
          <w:spacing w:val="-2"/>
        </w:rPr>
        <w:t xml:space="preserve"> </w:t>
      </w:r>
      <w:r>
        <w:t>an</w:t>
      </w:r>
      <w:r>
        <w:rPr>
          <w:spacing w:val="-2"/>
        </w:rPr>
        <w:t xml:space="preserve"> </w:t>
      </w:r>
      <w:r>
        <w:t>EUL</w:t>
      </w:r>
      <w:r>
        <w:rPr>
          <w:spacing w:val="-2"/>
        </w:rPr>
        <w:t xml:space="preserve"> </w:t>
      </w:r>
      <w:r>
        <w:t>of</w:t>
      </w:r>
      <w:r>
        <w:rPr>
          <w:spacing w:val="-2"/>
        </w:rPr>
        <w:t xml:space="preserve"> </w:t>
      </w:r>
      <w:r>
        <w:t>2</w:t>
      </w:r>
      <w:r>
        <w:rPr>
          <w:spacing w:val="-2"/>
        </w:rPr>
        <w:t xml:space="preserve"> </w:t>
      </w:r>
      <w:r>
        <w:t>years</w:t>
      </w:r>
      <w:r>
        <w:rPr>
          <w:spacing w:val="-2"/>
        </w:rPr>
        <w:t xml:space="preserve"> </w:t>
      </w:r>
      <w:r>
        <w:t>per CPUC Decision</w:t>
      </w:r>
      <w:r>
        <w:rPr>
          <w:spacing w:val="-1"/>
        </w:rPr>
        <w:t xml:space="preserve"> </w:t>
      </w:r>
      <w:r>
        <w:t>16-08-019.</w:t>
      </w:r>
      <w:r>
        <w:rPr>
          <w:spacing w:val="-1"/>
        </w:rPr>
        <w:t xml:space="preserve"> </w:t>
      </w:r>
      <w:r>
        <w:t>Because</w:t>
      </w:r>
      <w:r>
        <w:rPr>
          <w:spacing w:val="-2"/>
        </w:rPr>
        <w:t xml:space="preserve"> </w:t>
      </w:r>
      <w:r>
        <w:t>no</w:t>
      </w:r>
      <w:r>
        <w:rPr>
          <w:spacing w:val="-1"/>
        </w:rPr>
        <w:t xml:space="preserve"> </w:t>
      </w:r>
      <w:r>
        <w:t>demand</w:t>
      </w:r>
      <w:r>
        <w:rPr>
          <w:spacing w:val="-1"/>
        </w:rPr>
        <w:t xml:space="preserve"> </w:t>
      </w:r>
      <w:r>
        <w:t>savings</w:t>
      </w:r>
      <w:r>
        <w:rPr>
          <w:spacing w:val="-2"/>
        </w:rPr>
        <w:t xml:space="preserve"> </w:t>
      </w:r>
      <w:r>
        <w:t>data</w:t>
      </w:r>
      <w:r>
        <w:rPr>
          <w:spacing w:val="-1"/>
        </w:rPr>
        <w:t xml:space="preserve"> </w:t>
      </w:r>
      <w:r>
        <w:t>was</w:t>
      </w:r>
      <w:r>
        <w:rPr>
          <w:spacing w:val="-1"/>
        </w:rPr>
        <w:t xml:space="preserve"> </w:t>
      </w:r>
      <w:r>
        <w:t>available</w:t>
      </w:r>
      <w:r>
        <w:rPr>
          <w:spacing w:val="-1"/>
        </w:rPr>
        <w:t xml:space="preserve"> </w:t>
      </w:r>
      <w:r>
        <w:t>for</w:t>
      </w:r>
      <w:r>
        <w:rPr>
          <w:spacing w:val="-1"/>
        </w:rPr>
        <w:t xml:space="preserve"> </w:t>
      </w:r>
      <w:r>
        <w:t>BERs,</w:t>
      </w:r>
      <w:r>
        <w:rPr>
          <w:spacing w:val="-1"/>
        </w:rPr>
        <w:t xml:space="preserve"> </w:t>
      </w:r>
      <w:r>
        <w:t>the team</w:t>
      </w:r>
      <w:r>
        <w:rPr>
          <w:spacing w:val="-2"/>
        </w:rPr>
        <w:t xml:space="preserve"> </w:t>
      </w:r>
      <w:r>
        <w:t>averaged</w:t>
      </w:r>
      <w:r>
        <w:rPr>
          <w:spacing w:val="-1"/>
        </w:rPr>
        <w:t xml:space="preserve"> </w:t>
      </w:r>
      <w:r>
        <w:t>the</w:t>
      </w:r>
      <w:r>
        <w:rPr>
          <w:spacing w:val="-1"/>
        </w:rPr>
        <w:t xml:space="preserve"> </w:t>
      </w:r>
      <w:r>
        <w:t>ratio</w:t>
      </w:r>
      <w:r>
        <w:rPr>
          <w:spacing w:val="-2"/>
        </w:rPr>
        <w:t xml:space="preserve"> </w:t>
      </w:r>
      <w:r>
        <w:t>of</w:t>
      </w:r>
      <w:r>
        <w:rPr>
          <w:spacing w:val="-1"/>
        </w:rPr>
        <w:t xml:space="preserve"> </w:t>
      </w:r>
      <w:r>
        <w:t>kW</w:t>
      </w:r>
      <w:r>
        <w:rPr>
          <w:spacing w:val="-1"/>
        </w:rPr>
        <w:t xml:space="preserve"> </w:t>
      </w:r>
      <w:r>
        <w:t>to</w:t>
      </w:r>
      <w:r>
        <w:rPr>
          <w:spacing w:val="-1"/>
        </w:rPr>
        <w:t xml:space="preserve"> </w:t>
      </w:r>
      <w:r>
        <w:t>kWh</w:t>
      </w:r>
      <w:r>
        <w:rPr>
          <w:spacing w:val="-1"/>
        </w:rPr>
        <w:t xml:space="preserve"> </w:t>
      </w:r>
      <w:r>
        <w:t>savings</w:t>
      </w:r>
      <w:r>
        <w:rPr>
          <w:spacing w:val="-1"/>
        </w:rPr>
        <w:t xml:space="preserve"> </w:t>
      </w:r>
      <w:r>
        <w:t>calculated</w:t>
      </w:r>
      <w:r>
        <w:rPr>
          <w:spacing w:val="-1"/>
        </w:rPr>
        <w:t xml:space="preserve"> </w:t>
      </w:r>
      <w:r>
        <w:t>for</w:t>
      </w:r>
      <w:r>
        <w:rPr>
          <w:spacing w:val="-3"/>
        </w:rPr>
        <w:t xml:space="preserve"> </w:t>
      </w:r>
      <w:r>
        <w:t>BEIMS, BOC,</w:t>
      </w:r>
      <w:r>
        <w:rPr>
          <w:spacing w:val="-1"/>
        </w:rPr>
        <w:t xml:space="preserve"> </w:t>
      </w:r>
      <w:r>
        <w:t>and</w:t>
      </w:r>
      <w:r>
        <w:rPr>
          <w:spacing w:val="-1"/>
        </w:rPr>
        <w:t xml:space="preserve"> </w:t>
      </w:r>
      <w:r>
        <w:t>SEM.</w:t>
      </w:r>
      <w:r>
        <w:rPr>
          <w:spacing w:val="-1"/>
        </w:rPr>
        <w:t xml:space="preserve"> </w:t>
      </w:r>
      <w:r>
        <w:t>This yielded a result of 0.000102, which is the figure used for all four utilities.</w:t>
      </w:r>
    </w:p>
    <w:p w:rsidR="00C31389" w:rsidRDefault="00C31389" w14:paraId="74570B50" w14:textId="77777777">
      <w:pPr>
        <w:pStyle w:val="BodyText"/>
        <w:rPr>
          <w:sz w:val="21"/>
        </w:rPr>
      </w:pPr>
    </w:p>
    <w:p w:rsidR="00C31389" w:rsidRDefault="00561FBD" w14:paraId="4A5A0136" w14:textId="77777777">
      <w:pPr>
        <w:pStyle w:val="Heading7"/>
        <w:ind w:left="480"/>
      </w:pPr>
      <w:r>
        <w:rPr>
          <w:spacing w:val="-4"/>
        </w:rPr>
        <w:t>Cost</w:t>
      </w:r>
    </w:p>
    <w:p w:rsidR="00C31389" w:rsidRDefault="00C31389" w14:paraId="79ED45E9" w14:textId="77777777">
      <w:pPr>
        <w:pStyle w:val="BodyText"/>
        <w:spacing w:before="10"/>
        <w:rPr>
          <w:b/>
          <w:sz w:val="20"/>
        </w:rPr>
      </w:pPr>
    </w:p>
    <w:p w:rsidR="00C31389" w:rsidRDefault="00561FBD" w14:paraId="1E9FFEEC" w14:textId="77777777">
      <w:pPr>
        <w:pStyle w:val="BodyText"/>
        <w:ind w:left="480" w:right="418"/>
      </w:pPr>
      <w:r>
        <w:t>Because BER programs are new and in pilot phases, data r</w:t>
      </w:r>
      <w:r>
        <w:t>egarding utility costs is scant. Furthermore, the limited availability of statistically significant adjusted savings percentages reported to date indicates that BER-related savings are lower among businesses than the household savings produced by HERs. For</w:t>
      </w:r>
      <w:r>
        <w:t xml:space="preserve"> these reasons, the Guidehouse team modeled BER</w:t>
      </w:r>
      <w:r>
        <w:rPr>
          <w:spacing w:val="-3"/>
        </w:rPr>
        <w:t xml:space="preserve"> </w:t>
      </w:r>
      <w:r>
        <w:t>costs</w:t>
      </w:r>
      <w:r>
        <w:rPr>
          <w:spacing w:val="-2"/>
        </w:rPr>
        <w:t xml:space="preserve"> </w:t>
      </w:r>
      <w:r>
        <w:t>that</w:t>
      </w:r>
      <w:r>
        <w:rPr>
          <w:spacing w:val="-2"/>
        </w:rPr>
        <w:t xml:space="preserve"> </w:t>
      </w:r>
      <w:r>
        <w:t>are</w:t>
      </w:r>
      <w:r>
        <w:rPr>
          <w:spacing w:val="-2"/>
        </w:rPr>
        <w:t xml:space="preserve"> </w:t>
      </w:r>
      <w:r>
        <w:t>double</w:t>
      </w:r>
      <w:r>
        <w:rPr>
          <w:spacing w:val="-2"/>
        </w:rPr>
        <w:t xml:space="preserve"> </w:t>
      </w:r>
      <w:r>
        <w:t>those</w:t>
      </w:r>
      <w:r>
        <w:rPr>
          <w:spacing w:val="-2"/>
        </w:rPr>
        <w:t xml:space="preserve"> </w:t>
      </w:r>
      <w:r>
        <w:t>of</w:t>
      </w:r>
      <w:r>
        <w:rPr>
          <w:spacing w:val="-3"/>
        </w:rPr>
        <w:t xml:space="preserve"> </w:t>
      </w:r>
      <w:r>
        <w:t>HERs.</w:t>
      </w:r>
      <w:r>
        <w:rPr>
          <w:spacing w:val="-2"/>
        </w:rPr>
        <w:t xml:space="preserve"> </w:t>
      </w:r>
      <w:r>
        <w:t>The</w:t>
      </w:r>
      <w:r>
        <w:rPr>
          <w:spacing w:val="-2"/>
        </w:rPr>
        <w:t xml:space="preserve"> </w:t>
      </w:r>
      <w:r>
        <w:t>team</w:t>
      </w:r>
      <w:r>
        <w:rPr>
          <w:spacing w:val="-3"/>
        </w:rPr>
        <w:t xml:space="preserve"> </w:t>
      </w:r>
      <w:r>
        <w:t>projects</w:t>
      </w:r>
      <w:r>
        <w:rPr>
          <w:spacing w:val="-2"/>
        </w:rPr>
        <w:t xml:space="preserve"> </w:t>
      </w:r>
      <w:r>
        <w:t>$0.20</w:t>
      </w:r>
      <w:r>
        <w:rPr>
          <w:spacing w:val="-2"/>
        </w:rPr>
        <w:t xml:space="preserve"> </w:t>
      </w:r>
      <w:r>
        <w:t>per</w:t>
      </w:r>
      <w:r>
        <w:rPr>
          <w:spacing w:val="-4"/>
        </w:rPr>
        <w:t xml:space="preserve"> </w:t>
      </w:r>
      <w:r>
        <w:t>kWh</w:t>
      </w:r>
      <w:r>
        <w:rPr>
          <w:spacing w:val="-2"/>
        </w:rPr>
        <w:t xml:space="preserve"> </w:t>
      </w:r>
      <w:r>
        <w:t>(2</w:t>
      </w:r>
      <w:r>
        <w:rPr>
          <w:spacing w:val="-2"/>
        </w:rPr>
        <w:t xml:space="preserve"> </w:t>
      </w:r>
      <w:r>
        <w:t>x</w:t>
      </w:r>
      <w:r>
        <w:rPr>
          <w:spacing w:val="-2"/>
        </w:rPr>
        <w:t xml:space="preserve"> </w:t>
      </w:r>
      <w:r>
        <w:t>$0.10)</w:t>
      </w:r>
      <w:r>
        <w:rPr>
          <w:spacing w:val="-2"/>
        </w:rPr>
        <w:t xml:space="preserve"> </w:t>
      </w:r>
      <w:r>
        <w:t>for electric savings for PG&amp;E, SCE, and SDG&amp;E.</w:t>
      </w:r>
    </w:p>
    <w:p w:rsidR="00C31389" w:rsidRDefault="00C31389" w14:paraId="7B036033" w14:textId="77777777">
      <w:pPr>
        <w:pStyle w:val="BodyText"/>
        <w:spacing w:before="10"/>
        <w:rPr>
          <w:sz w:val="20"/>
        </w:rPr>
      </w:pPr>
    </w:p>
    <w:p w:rsidR="00C31389" w:rsidRDefault="00561FBD" w14:paraId="4B8E74C5" w14:textId="77777777">
      <w:pPr>
        <w:pStyle w:val="ListParagraph"/>
        <w:numPr>
          <w:ilvl w:val="1"/>
          <w:numId w:val="19"/>
        </w:numPr>
        <w:tabs>
          <w:tab w:val="left" w:pos="991"/>
        </w:tabs>
        <w:spacing w:before="1"/>
        <w:ind w:left="991" w:hanging="511"/>
        <w:rPr>
          <w:b/>
          <w:sz w:val="28"/>
        </w:rPr>
      </w:pPr>
      <w:bookmarkStart w:name="D.9_Commercial_–_Benchmarking" w:id="519"/>
      <w:bookmarkStart w:name="_bookmark396" w:id="520"/>
      <w:bookmarkEnd w:id="519"/>
      <w:bookmarkEnd w:id="520"/>
      <w:r>
        <w:rPr>
          <w:b/>
          <w:sz w:val="28"/>
        </w:rPr>
        <w:t>Commercial</w:t>
      </w:r>
      <w:r>
        <w:rPr>
          <w:b/>
          <w:spacing w:val="-10"/>
          <w:sz w:val="28"/>
        </w:rPr>
        <w:t xml:space="preserve"> </w:t>
      </w:r>
      <w:r>
        <w:rPr>
          <w:b/>
          <w:sz w:val="28"/>
        </w:rPr>
        <w:t>–</w:t>
      </w:r>
      <w:r>
        <w:rPr>
          <w:b/>
          <w:spacing w:val="-10"/>
          <w:sz w:val="28"/>
        </w:rPr>
        <w:t xml:space="preserve"> </w:t>
      </w:r>
      <w:r>
        <w:rPr>
          <w:b/>
          <w:spacing w:val="-2"/>
          <w:sz w:val="28"/>
        </w:rPr>
        <w:t>Benchmarking</w:t>
      </w:r>
    </w:p>
    <w:p w:rsidR="00C31389" w:rsidRDefault="00C31389" w14:paraId="3322874E" w14:textId="77777777">
      <w:pPr>
        <w:pStyle w:val="BodyText"/>
        <w:spacing w:before="4"/>
        <w:rPr>
          <w:b/>
          <w:sz w:val="31"/>
        </w:rPr>
      </w:pPr>
    </w:p>
    <w:p w:rsidR="00C31389" w:rsidRDefault="00561FBD" w14:paraId="4EAD77BA" w14:textId="77777777">
      <w:pPr>
        <w:pStyle w:val="ListParagraph"/>
        <w:numPr>
          <w:ilvl w:val="2"/>
          <w:numId w:val="19"/>
        </w:numPr>
        <w:tabs>
          <w:tab w:val="left" w:pos="1197"/>
        </w:tabs>
        <w:ind w:left="1197" w:hanging="717"/>
        <w:rPr>
          <w:b/>
          <w:sz w:val="24"/>
        </w:rPr>
      </w:pPr>
      <w:bookmarkStart w:name="D.9.1_Summary" w:id="521"/>
      <w:bookmarkStart w:name="_bookmark397" w:id="522"/>
      <w:bookmarkEnd w:id="521"/>
      <w:bookmarkEnd w:id="522"/>
      <w:r>
        <w:rPr>
          <w:b/>
          <w:spacing w:val="-2"/>
          <w:sz w:val="24"/>
        </w:rPr>
        <w:t>Summary</w:t>
      </w:r>
    </w:p>
    <w:p w:rsidR="00C31389" w:rsidRDefault="00C31389" w14:paraId="6FD703D8" w14:textId="77777777">
      <w:pPr>
        <w:pStyle w:val="BodyText"/>
        <w:spacing w:before="2"/>
        <w:rPr>
          <w:b/>
          <w:sz w:val="23"/>
        </w:rPr>
      </w:pPr>
    </w:p>
    <w:p w:rsidR="00C31389" w:rsidRDefault="00561FBD" w14:paraId="26BB572D" w14:textId="77777777">
      <w:pPr>
        <w:pStyle w:val="BodyText"/>
        <w:ind w:left="480" w:right="418"/>
        <w:rPr>
          <w:sz w:val="14"/>
        </w:rPr>
      </w:pPr>
      <w:r>
        <w:t>Building</w:t>
      </w:r>
      <w:r>
        <w:rPr>
          <w:spacing w:val="-2"/>
        </w:rPr>
        <w:t xml:space="preserve"> </w:t>
      </w:r>
      <w:r>
        <w:t>benchmarking</w:t>
      </w:r>
      <w:r>
        <w:rPr>
          <w:spacing w:val="-2"/>
        </w:rPr>
        <w:t xml:space="preserve"> </w:t>
      </w:r>
      <w:r>
        <w:t>scores</w:t>
      </w:r>
      <w:r>
        <w:rPr>
          <w:spacing w:val="-2"/>
        </w:rPr>
        <w:t xml:space="preserve"> </w:t>
      </w:r>
      <w:r>
        <w:t>a</w:t>
      </w:r>
      <w:r>
        <w:rPr>
          <w:spacing w:val="-2"/>
        </w:rPr>
        <w:t xml:space="preserve"> </w:t>
      </w:r>
      <w:r>
        <w:t>business</w:t>
      </w:r>
      <w:r>
        <w:rPr>
          <w:spacing w:val="-2"/>
        </w:rPr>
        <w:t xml:space="preserve"> </w:t>
      </w:r>
      <w:r>
        <w:t>customer’s</w:t>
      </w:r>
      <w:r>
        <w:rPr>
          <w:spacing w:val="-2"/>
        </w:rPr>
        <w:t xml:space="preserve"> </w:t>
      </w:r>
      <w:r>
        <w:t>facility</w:t>
      </w:r>
      <w:r>
        <w:rPr>
          <w:spacing w:val="-3"/>
        </w:rPr>
        <w:t xml:space="preserve"> </w:t>
      </w:r>
      <w:r>
        <w:t>or</w:t>
      </w:r>
      <w:r>
        <w:rPr>
          <w:spacing w:val="-2"/>
        </w:rPr>
        <w:t xml:space="preserve"> </w:t>
      </w:r>
      <w:r>
        <w:t>plant</w:t>
      </w:r>
      <w:r>
        <w:rPr>
          <w:spacing w:val="-2"/>
        </w:rPr>
        <w:t xml:space="preserve"> </w:t>
      </w:r>
      <w:r>
        <w:t>and</w:t>
      </w:r>
      <w:r>
        <w:rPr>
          <w:spacing w:val="-3"/>
        </w:rPr>
        <w:t xml:space="preserve"> </w:t>
      </w:r>
      <w:r>
        <w:t>compares</w:t>
      </w:r>
      <w:r>
        <w:rPr>
          <w:spacing w:val="-2"/>
        </w:rPr>
        <w:t xml:space="preserve"> </w:t>
      </w:r>
      <w:r>
        <w:t>it</w:t>
      </w:r>
      <w:r>
        <w:rPr>
          <w:spacing w:val="-3"/>
        </w:rPr>
        <w:t xml:space="preserve"> </w:t>
      </w:r>
      <w:r>
        <w:t>to</w:t>
      </w:r>
      <w:r>
        <w:rPr>
          <w:spacing w:val="-2"/>
        </w:rPr>
        <w:t xml:space="preserve"> </w:t>
      </w:r>
      <w:r>
        <w:t>peer facilities based on energy consumption. It also often includes goal setting and rewards in the form of recognition. In previous potential and goals studies, benchmarking was generally modeled</w:t>
      </w:r>
      <w:r>
        <w:rPr>
          <w:spacing w:val="-3"/>
        </w:rPr>
        <w:t xml:space="preserve"> </w:t>
      </w:r>
      <w:r>
        <w:t>as</w:t>
      </w:r>
      <w:r>
        <w:rPr>
          <w:spacing w:val="-3"/>
        </w:rPr>
        <w:t xml:space="preserve"> </w:t>
      </w:r>
      <w:r>
        <w:t>an</w:t>
      </w:r>
      <w:r>
        <w:rPr>
          <w:spacing w:val="-3"/>
        </w:rPr>
        <w:t xml:space="preserve"> </w:t>
      </w:r>
      <w:r>
        <w:t>opt</w:t>
      </w:r>
      <w:r>
        <w:rPr>
          <w:spacing w:val="-3"/>
        </w:rPr>
        <w:t xml:space="preserve"> </w:t>
      </w:r>
      <w:r>
        <w:t>in</w:t>
      </w:r>
      <w:r>
        <w:rPr>
          <w:spacing w:val="-3"/>
        </w:rPr>
        <w:t xml:space="preserve"> </w:t>
      </w:r>
      <w:r>
        <w:t>activity,</w:t>
      </w:r>
      <w:r>
        <w:rPr>
          <w:spacing w:val="-3"/>
        </w:rPr>
        <w:t xml:space="preserve"> </w:t>
      </w:r>
      <w:r>
        <w:t>although</w:t>
      </w:r>
      <w:r>
        <w:rPr>
          <w:spacing w:val="-3"/>
        </w:rPr>
        <w:t xml:space="preserve"> </w:t>
      </w:r>
      <w:r>
        <w:t>some</w:t>
      </w:r>
      <w:r>
        <w:rPr>
          <w:spacing w:val="-3"/>
        </w:rPr>
        <w:t xml:space="preserve"> </w:t>
      </w:r>
      <w:r>
        <w:t>municipalities</w:t>
      </w:r>
      <w:r>
        <w:rPr>
          <w:spacing w:val="-3"/>
        </w:rPr>
        <w:t xml:space="preserve"> </w:t>
      </w:r>
      <w:r>
        <w:t>(e.g.,</w:t>
      </w:r>
      <w:r>
        <w:rPr>
          <w:spacing w:val="-3"/>
        </w:rPr>
        <w:t xml:space="preserve"> </w:t>
      </w:r>
      <w:r>
        <w:t>San</w:t>
      </w:r>
      <w:r>
        <w:rPr>
          <w:spacing w:val="-3"/>
        </w:rPr>
        <w:t xml:space="preserve"> </w:t>
      </w:r>
      <w:r>
        <w:t>Francisco)</w:t>
      </w:r>
      <w:r>
        <w:rPr>
          <w:spacing w:val="-3"/>
        </w:rPr>
        <w:t xml:space="preserve"> </w:t>
      </w:r>
      <w:r>
        <w:t>had</w:t>
      </w:r>
      <w:r>
        <w:rPr>
          <w:spacing w:val="-4"/>
        </w:rPr>
        <w:t xml:space="preserve"> </w:t>
      </w:r>
      <w:r>
        <w:t>passed ordinances requiring it for buildings of certain types and sizes. For the 2021 Study, the team updated the measure to reflect that benchmarking is mandated statewide for com</w:t>
      </w:r>
      <w:r>
        <w:t xml:space="preserve">mercial buildings greater than 50,000 square feet under the CEC’s Building Energy Benchmarking </w:t>
      </w:r>
      <w:r>
        <w:rPr>
          <w:spacing w:val="-2"/>
        </w:rPr>
        <w:t>Program.</w:t>
      </w:r>
      <w:hyperlink w:history="1" w:anchor="_bookmark399">
        <w:r>
          <w:rPr>
            <w:spacing w:val="-2"/>
            <w:position w:val="7"/>
            <w:sz w:val="14"/>
          </w:rPr>
          <w:t>150</w:t>
        </w:r>
      </w:hyperlink>
    </w:p>
    <w:p w:rsidR="00C31389" w:rsidRDefault="00C31389" w14:paraId="7C0C2DCA" w14:textId="77777777">
      <w:pPr>
        <w:pStyle w:val="BodyText"/>
        <w:spacing w:before="10"/>
        <w:rPr>
          <w:sz w:val="20"/>
        </w:rPr>
      </w:pPr>
    </w:p>
    <w:p w:rsidR="00C31389" w:rsidRDefault="00561FBD" w14:paraId="7A45936B" w14:textId="77777777">
      <w:pPr>
        <w:pStyle w:val="BodyText"/>
        <w:ind w:left="479" w:right="418"/>
      </w:pPr>
      <w:r>
        <w:t xml:space="preserve">Estimated electric savings range from 0.4% to 1.6%, while gas savings are </w:t>
      </w:r>
      <w:r>
        <w:t>0.3%-1.0%. These</w:t>
      </w:r>
      <w:r>
        <w:rPr>
          <w:spacing w:val="-3"/>
        </w:rPr>
        <w:t xml:space="preserve"> </w:t>
      </w:r>
      <w:r>
        <w:t>values</w:t>
      </w:r>
      <w:r>
        <w:rPr>
          <w:spacing w:val="-3"/>
        </w:rPr>
        <w:t xml:space="preserve"> </w:t>
      </w:r>
      <w:r>
        <w:t>are</w:t>
      </w:r>
      <w:r>
        <w:rPr>
          <w:spacing w:val="-3"/>
        </w:rPr>
        <w:t xml:space="preserve"> </w:t>
      </w:r>
      <w:r>
        <w:t>applied</w:t>
      </w:r>
      <w:r>
        <w:rPr>
          <w:spacing w:val="-3"/>
        </w:rPr>
        <w:t xml:space="preserve"> </w:t>
      </w:r>
      <w:r>
        <w:t>consistently</w:t>
      </w:r>
      <w:r>
        <w:rPr>
          <w:spacing w:val="-3"/>
        </w:rPr>
        <w:t xml:space="preserve"> </w:t>
      </w:r>
      <w:r>
        <w:t>across</w:t>
      </w:r>
      <w:r>
        <w:rPr>
          <w:spacing w:val="-4"/>
        </w:rPr>
        <w:t xml:space="preserve"> </w:t>
      </w:r>
      <w:r>
        <w:t>utilities</w:t>
      </w:r>
      <w:r>
        <w:rPr>
          <w:spacing w:val="-3"/>
        </w:rPr>
        <w:t xml:space="preserve"> </w:t>
      </w:r>
      <w:r>
        <w:t>but</w:t>
      </w:r>
      <w:r>
        <w:rPr>
          <w:spacing w:val="-3"/>
        </w:rPr>
        <w:t xml:space="preserve"> </w:t>
      </w:r>
      <w:r>
        <w:t>vary</w:t>
      </w:r>
      <w:r>
        <w:rPr>
          <w:spacing w:val="-4"/>
        </w:rPr>
        <w:t xml:space="preserve"> </w:t>
      </w:r>
      <w:r>
        <w:t>by</w:t>
      </w:r>
      <w:r>
        <w:rPr>
          <w:spacing w:val="-3"/>
        </w:rPr>
        <w:t xml:space="preserve"> </w:t>
      </w:r>
      <w:r>
        <w:t>building</w:t>
      </w:r>
      <w:r>
        <w:rPr>
          <w:spacing w:val="-4"/>
        </w:rPr>
        <w:t xml:space="preserve"> </w:t>
      </w:r>
      <w:r>
        <w:t>type.</w:t>
      </w:r>
      <w:r>
        <w:rPr>
          <w:spacing w:val="-3"/>
        </w:rPr>
        <w:t xml:space="preserve"> </w:t>
      </w:r>
      <w:r>
        <w:t>Costs</w:t>
      </w:r>
      <w:r>
        <w:rPr>
          <w:spacing w:val="-3"/>
        </w:rPr>
        <w:t xml:space="preserve"> </w:t>
      </w:r>
      <w:r>
        <w:t>are estimated to be $0.08 per kWh and $0.37 per therm and are not utility-specific.</w:t>
      </w:r>
    </w:p>
    <w:p w:rsidR="00C31389" w:rsidRDefault="00C31389" w14:paraId="5A356595" w14:textId="77777777">
      <w:pPr>
        <w:pStyle w:val="BodyText"/>
        <w:rPr>
          <w:sz w:val="20"/>
        </w:rPr>
      </w:pPr>
    </w:p>
    <w:p w:rsidR="00C31389" w:rsidRDefault="00C31389" w14:paraId="4D86ECC1" w14:textId="77777777">
      <w:pPr>
        <w:pStyle w:val="BodyText"/>
        <w:rPr>
          <w:sz w:val="20"/>
        </w:rPr>
      </w:pPr>
    </w:p>
    <w:p w:rsidR="00C31389" w:rsidRDefault="00C31389" w14:paraId="4C3589F8" w14:textId="77777777">
      <w:pPr>
        <w:pStyle w:val="BodyText"/>
        <w:rPr>
          <w:sz w:val="20"/>
        </w:rPr>
      </w:pPr>
    </w:p>
    <w:p w:rsidR="00C31389" w:rsidRDefault="00C31389" w14:paraId="3CFAD17A" w14:textId="77777777">
      <w:pPr>
        <w:pStyle w:val="BodyText"/>
        <w:rPr>
          <w:sz w:val="20"/>
        </w:rPr>
      </w:pPr>
    </w:p>
    <w:p w:rsidR="00C31389" w:rsidRDefault="00C31389" w14:paraId="7D42FBC0" w14:textId="77777777">
      <w:pPr>
        <w:pStyle w:val="BodyText"/>
        <w:rPr>
          <w:sz w:val="20"/>
        </w:rPr>
      </w:pPr>
    </w:p>
    <w:p w:rsidR="00C31389" w:rsidRDefault="00C31389" w14:paraId="0DC0EB11" w14:textId="77777777">
      <w:pPr>
        <w:pStyle w:val="BodyText"/>
        <w:rPr>
          <w:sz w:val="20"/>
        </w:rPr>
      </w:pPr>
    </w:p>
    <w:p w:rsidR="00C31389" w:rsidRDefault="00C31389" w14:paraId="3D069775" w14:textId="77777777">
      <w:pPr>
        <w:pStyle w:val="BodyText"/>
        <w:rPr>
          <w:sz w:val="20"/>
        </w:rPr>
      </w:pPr>
    </w:p>
    <w:p w:rsidR="00C31389" w:rsidRDefault="00C31389" w14:paraId="40ED4AC1" w14:textId="77777777">
      <w:pPr>
        <w:pStyle w:val="BodyText"/>
        <w:rPr>
          <w:sz w:val="20"/>
        </w:rPr>
      </w:pPr>
    </w:p>
    <w:p w:rsidR="00C31389" w:rsidRDefault="00561FBD" w14:paraId="6A59B37D" w14:textId="77777777">
      <w:pPr>
        <w:pStyle w:val="BodyText"/>
        <w:spacing w:before="10"/>
        <w:rPr>
          <w:sz w:val="27"/>
        </w:rPr>
      </w:pPr>
      <w:r>
        <w:rPr>
          <w:noProof/>
        </w:rPr>
        <mc:AlternateContent>
          <mc:Choice Requires="wps">
            <w:drawing>
              <wp:anchor distT="0" distB="0" distL="0" distR="0" simplePos="0" relativeHeight="487726592" behindDoc="1" locked="0" layoutInCell="1" allowOverlap="1" wp14:editId="20085F7C" wp14:anchorId="243F00A4">
                <wp:simplePos x="0" y="0"/>
                <wp:positionH relativeFrom="page">
                  <wp:posOffset>914400</wp:posOffset>
                </wp:positionH>
                <wp:positionV relativeFrom="paragraph">
                  <wp:posOffset>219350</wp:posOffset>
                </wp:positionV>
                <wp:extent cx="1828800" cy="6985"/>
                <wp:effectExtent l="0" t="0" r="0" b="0"/>
                <wp:wrapTopAndBottom/>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40" style="position:absolute;margin-left:1in;margin-top:17.25pt;width:2in;height:.55pt;z-index:-1558988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" w14:anchorId="1DF49F76">
                <v:path arrowok="t"/>
                <w10:wrap type="topAndBottom" anchorx="page"/>
              </v:shape>
            </w:pict>
          </mc:Fallback>
        </mc:AlternateContent>
      </w:r>
    </w:p>
    <w:p w:rsidR="00C31389" w:rsidRDefault="00561FBD" w14:paraId="0E47B966" w14:textId="77777777">
      <w:pPr>
        <w:spacing w:before="88"/>
        <w:ind w:left="480" w:right="418"/>
        <w:rPr>
          <w:sz w:val="18"/>
        </w:rPr>
      </w:pPr>
      <w:bookmarkStart w:name="_bookmark398" w:id="523"/>
      <w:bookmarkEnd w:id="523"/>
      <w:r>
        <w:rPr>
          <w:position w:val="6"/>
          <w:sz w:val="12"/>
        </w:rPr>
        <w:t>149</w:t>
      </w:r>
      <w:r>
        <w:rPr>
          <w:spacing w:val="15"/>
          <w:position w:val="6"/>
          <w:sz w:val="12"/>
        </w:rPr>
        <w:t xml:space="preserve"> </w:t>
      </w:r>
      <w:r>
        <w:rPr>
          <w:sz w:val="18"/>
        </w:rPr>
        <w:t>Informal</w:t>
      </w:r>
      <w:r>
        <w:rPr>
          <w:spacing w:val="-2"/>
          <w:sz w:val="18"/>
        </w:rPr>
        <w:t xml:space="preserve"> </w:t>
      </w:r>
      <w:r>
        <w:rPr>
          <w:sz w:val="18"/>
        </w:rPr>
        <w:t>comments</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2019</w:t>
      </w:r>
      <w:r>
        <w:rPr>
          <w:spacing w:val="-3"/>
          <w:sz w:val="18"/>
        </w:rPr>
        <w:t xml:space="preserve"> </w:t>
      </w:r>
      <w:r>
        <w:rPr>
          <w:sz w:val="18"/>
        </w:rPr>
        <w:t>Study</w:t>
      </w:r>
      <w:r>
        <w:rPr>
          <w:spacing w:val="-2"/>
          <w:sz w:val="18"/>
        </w:rPr>
        <w:t xml:space="preserve"> </w:t>
      </w:r>
      <w:r>
        <w:rPr>
          <w:sz w:val="18"/>
        </w:rPr>
        <w:t>webinar</w:t>
      </w:r>
      <w:r>
        <w:rPr>
          <w:spacing w:val="-2"/>
          <w:sz w:val="18"/>
        </w:rPr>
        <w:t xml:space="preserve"> </w:t>
      </w:r>
      <w:r>
        <w:rPr>
          <w:sz w:val="18"/>
        </w:rPr>
        <w:t>presented</w:t>
      </w:r>
      <w:r>
        <w:rPr>
          <w:spacing w:val="-1"/>
          <w:sz w:val="18"/>
        </w:rPr>
        <w:t xml:space="preserve"> </w:t>
      </w:r>
      <w:r>
        <w:rPr>
          <w:sz w:val="18"/>
        </w:rPr>
        <w:t>on</w:t>
      </w:r>
      <w:r>
        <w:rPr>
          <w:spacing w:val="-3"/>
          <w:sz w:val="18"/>
        </w:rPr>
        <w:t xml:space="preserve"> </w:t>
      </w:r>
      <w:r>
        <w:rPr>
          <w:sz w:val="18"/>
        </w:rPr>
        <w:t>Ap</w:t>
      </w:r>
      <w:r>
        <w:rPr>
          <w:sz w:val="18"/>
        </w:rPr>
        <w:t>ril</w:t>
      </w:r>
      <w:r>
        <w:rPr>
          <w:spacing w:val="-2"/>
          <w:sz w:val="18"/>
        </w:rPr>
        <w:t xml:space="preserve"> </w:t>
      </w:r>
      <w:r>
        <w:rPr>
          <w:sz w:val="18"/>
        </w:rPr>
        <w:t>20,</w:t>
      </w:r>
      <w:r>
        <w:rPr>
          <w:spacing w:val="-2"/>
          <w:sz w:val="18"/>
        </w:rPr>
        <w:t xml:space="preserve"> </w:t>
      </w:r>
      <w:r>
        <w:rPr>
          <w:sz w:val="18"/>
        </w:rPr>
        <w:t>2017</w:t>
      </w:r>
      <w:r>
        <w:rPr>
          <w:spacing w:val="-3"/>
          <w:sz w:val="18"/>
        </w:rPr>
        <w:t xml:space="preserve"> </w:t>
      </w:r>
      <w:r>
        <w:rPr>
          <w:sz w:val="18"/>
        </w:rPr>
        <w:t>from</w:t>
      </w:r>
      <w:r>
        <w:rPr>
          <w:spacing w:val="-2"/>
          <w:sz w:val="18"/>
        </w:rPr>
        <w:t xml:space="preserve"> </w:t>
      </w:r>
      <w:r>
        <w:rPr>
          <w:sz w:val="18"/>
        </w:rPr>
        <w:t>PG&amp;E</w:t>
      </w:r>
      <w:r>
        <w:rPr>
          <w:spacing w:val="-2"/>
          <w:sz w:val="18"/>
        </w:rPr>
        <w:t xml:space="preserve"> </w:t>
      </w:r>
      <w:r>
        <w:rPr>
          <w:sz w:val="18"/>
        </w:rPr>
        <w:t>cite</w:t>
      </w:r>
      <w:r>
        <w:rPr>
          <w:spacing w:val="-3"/>
          <w:sz w:val="18"/>
        </w:rPr>
        <w:t xml:space="preserve"> </w:t>
      </w:r>
      <w:r>
        <w:rPr>
          <w:sz w:val="18"/>
        </w:rPr>
        <w:t>results</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trial that ran January-October 2014.</w:t>
      </w:r>
    </w:p>
    <w:p w:rsidR="00C31389" w:rsidRDefault="00C31389" w14:paraId="70A0429D" w14:textId="77777777">
      <w:pPr>
        <w:rPr>
          <w:sz w:val="18"/>
        </w:rPr>
        <w:sectPr w:rsidR="00C31389">
          <w:pgSz w:w="11910" w:h="16840"/>
          <w:pgMar w:top="1660" w:right="1020" w:bottom="1120" w:left="960" w:header="397" w:footer="938" w:gutter="0"/>
          <w:cols w:space="720"/>
        </w:sectPr>
      </w:pPr>
    </w:p>
    <w:p w:rsidR="00C31389" w:rsidRDefault="00C31389" w14:paraId="4F286297" w14:textId="77777777">
      <w:pPr>
        <w:pStyle w:val="BodyText"/>
        <w:spacing w:before="11"/>
        <w:rPr>
          <w:sz w:val="13"/>
        </w:rPr>
      </w:pPr>
    </w:p>
    <w:p w:rsidR="00C31389" w:rsidRDefault="00561FBD" w14:paraId="5B5B27E0" w14:textId="77777777">
      <w:pPr>
        <w:pStyle w:val="Heading7"/>
        <w:spacing w:before="92"/>
        <w:ind w:left="398" w:right="340"/>
        <w:jc w:val="center"/>
      </w:pPr>
      <w:bookmarkStart w:name="_bookmark400" w:id="524"/>
      <w:bookmarkEnd w:id="524"/>
      <w:r>
        <w:t>Table</w:t>
      </w:r>
      <w:r>
        <w:rPr>
          <w:spacing w:val="-7"/>
        </w:rPr>
        <w:t xml:space="preserve"> </w:t>
      </w:r>
      <w:r>
        <w:t>D-12.</w:t>
      </w:r>
      <w:r>
        <w:rPr>
          <w:spacing w:val="-8"/>
        </w:rPr>
        <w:t xml:space="preserve"> </w:t>
      </w:r>
      <w:r>
        <w:t>Benchmarking</w:t>
      </w:r>
      <w:r>
        <w:rPr>
          <w:spacing w:val="-7"/>
        </w:rPr>
        <w:t xml:space="preserve"> </w:t>
      </w:r>
      <w:r>
        <w:t>–</w:t>
      </w:r>
      <w:r>
        <w:rPr>
          <w:spacing w:val="-6"/>
        </w:rPr>
        <w:t xml:space="preserve"> </w:t>
      </w:r>
      <w:r>
        <w:t>Key</w:t>
      </w:r>
      <w:r>
        <w:rPr>
          <w:spacing w:val="-7"/>
        </w:rPr>
        <w:t xml:space="preserve"> </w:t>
      </w:r>
      <w:r>
        <w:rPr>
          <w:spacing w:val="-2"/>
        </w:rPr>
        <w:t>Assumptions</w:t>
      </w:r>
    </w:p>
    <w:p w:rsidR="00C31389" w:rsidRDefault="00C31389" w14:paraId="5315A13A" w14:textId="77777777">
      <w:pPr>
        <w:pStyle w:val="BodyText"/>
        <w:spacing w:before="7" w:after="1"/>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333"/>
        <w:gridCol w:w="1553"/>
        <w:gridCol w:w="815"/>
        <w:gridCol w:w="1254"/>
        <w:gridCol w:w="1267"/>
        <w:gridCol w:w="852"/>
        <w:gridCol w:w="1077"/>
        <w:gridCol w:w="1209"/>
      </w:tblGrid>
      <w:tr w:rsidR="00C31389" w14:paraId="28014472" w14:textId="77777777">
        <w:trPr>
          <w:trHeight w:val="292"/>
        </w:trPr>
        <w:tc>
          <w:tcPr>
            <w:tcW w:w="1333" w:type="dxa"/>
            <w:shd w:val="clear" w:color="auto" w:fill="92D400"/>
          </w:tcPr>
          <w:p w:rsidR="00C31389" w:rsidRDefault="00C31389" w14:paraId="7FD71AA3" w14:textId="77777777">
            <w:pPr>
              <w:pStyle w:val="TableParagraph"/>
              <w:spacing w:before="0"/>
              <w:rPr>
                <w:rFonts w:ascii="Times New Roman"/>
                <w:sz w:val="20"/>
              </w:rPr>
            </w:pPr>
          </w:p>
        </w:tc>
        <w:tc>
          <w:tcPr>
            <w:tcW w:w="1553" w:type="dxa"/>
            <w:shd w:val="clear" w:color="auto" w:fill="92D400"/>
          </w:tcPr>
          <w:p w:rsidR="00C31389" w:rsidRDefault="00C31389" w14:paraId="7A25E6FB" w14:textId="77777777">
            <w:pPr>
              <w:pStyle w:val="TableParagraph"/>
              <w:spacing w:before="0"/>
              <w:rPr>
                <w:rFonts w:ascii="Times New Roman"/>
                <w:sz w:val="20"/>
              </w:rPr>
            </w:pPr>
          </w:p>
        </w:tc>
        <w:tc>
          <w:tcPr>
            <w:tcW w:w="815" w:type="dxa"/>
            <w:vMerge w:val="restart"/>
            <w:shd w:val="clear" w:color="auto" w:fill="92D400"/>
          </w:tcPr>
          <w:p w:rsidR="00C31389" w:rsidRDefault="00561FBD" w14:paraId="1B1B307C" w14:textId="77777777">
            <w:pPr>
              <w:pStyle w:val="TableParagraph"/>
              <w:spacing w:before="155"/>
              <w:ind w:left="206"/>
              <w:rPr>
                <w:b/>
                <w:sz w:val="20"/>
              </w:rPr>
            </w:pPr>
            <w:r>
              <w:rPr>
                <w:b/>
                <w:spacing w:val="-5"/>
                <w:sz w:val="20"/>
              </w:rPr>
              <w:t>EUL</w:t>
            </w:r>
          </w:p>
          <w:p w:rsidR="00C31389" w:rsidRDefault="00561FBD" w14:paraId="7D1FBDEA" w14:textId="77777777">
            <w:pPr>
              <w:pStyle w:val="TableParagraph"/>
              <w:spacing w:before="1"/>
              <w:ind w:left="134"/>
              <w:rPr>
                <w:b/>
                <w:sz w:val="20"/>
              </w:rPr>
            </w:pPr>
            <w:r>
              <w:rPr>
                <w:b/>
                <w:spacing w:val="-2"/>
                <w:sz w:val="20"/>
              </w:rPr>
              <w:t>Years</w:t>
            </w:r>
          </w:p>
        </w:tc>
        <w:tc>
          <w:tcPr>
            <w:tcW w:w="2521" w:type="dxa"/>
            <w:gridSpan w:val="2"/>
            <w:shd w:val="clear" w:color="auto" w:fill="92D400"/>
          </w:tcPr>
          <w:p w:rsidR="00C31389" w:rsidRDefault="00561FBD" w14:paraId="45C5B50A" w14:textId="77777777">
            <w:pPr>
              <w:pStyle w:val="TableParagraph"/>
              <w:spacing w:before="79" w:line="194" w:lineRule="exact"/>
              <w:ind w:left="862" w:right="865"/>
              <w:jc w:val="center"/>
              <w:rPr>
                <w:b/>
                <w:sz w:val="20"/>
              </w:rPr>
            </w:pPr>
            <w:r>
              <w:rPr>
                <w:b/>
                <w:spacing w:val="-2"/>
                <w:sz w:val="20"/>
              </w:rPr>
              <w:t>Savings</w:t>
            </w:r>
          </w:p>
        </w:tc>
        <w:tc>
          <w:tcPr>
            <w:tcW w:w="1929" w:type="dxa"/>
            <w:gridSpan w:val="2"/>
            <w:shd w:val="clear" w:color="auto" w:fill="92D400"/>
          </w:tcPr>
          <w:p w:rsidR="00C31389" w:rsidRDefault="00561FBD" w14:paraId="4CBF245D" w14:textId="77777777">
            <w:pPr>
              <w:pStyle w:val="TableParagraph"/>
              <w:spacing w:before="79" w:line="194" w:lineRule="exact"/>
              <w:ind w:left="752" w:right="708"/>
              <w:jc w:val="center"/>
              <w:rPr>
                <w:b/>
                <w:sz w:val="20"/>
              </w:rPr>
            </w:pPr>
            <w:r>
              <w:rPr>
                <w:b/>
                <w:spacing w:val="-4"/>
                <w:sz w:val="20"/>
              </w:rPr>
              <w:t>Cost</w:t>
            </w:r>
          </w:p>
        </w:tc>
        <w:tc>
          <w:tcPr>
            <w:tcW w:w="1209" w:type="dxa"/>
            <w:vMerge w:val="restart"/>
            <w:shd w:val="clear" w:color="auto" w:fill="92D400"/>
          </w:tcPr>
          <w:p w:rsidR="00C31389" w:rsidRDefault="00561FBD" w14:paraId="5BE2D48E" w14:textId="77777777">
            <w:pPr>
              <w:pStyle w:val="TableParagraph"/>
              <w:ind w:left="243" w:right="184"/>
              <w:jc w:val="center"/>
              <w:rPr>
                <w:b/>
                <w:sz w:val="20"/>
              </w:rPr>
            </w:pPr>
            <w:r>
              <w:rPr>
                <w:b/>
                <w:spacing w:val="-2"/>
                <w:sz w:val="20"/>
              </w:rPr>
              <w:t>kW/kWh Savings Ratio</w:t>
            </w:r>
          </w:p>
        </w:tc>
      </w:tr>
      <w:tr w:rsidR="00C31389" w14:paraId="53DCEF6C" w14:textId="77777777">
        <w:trPr>
          <w:trHeight w:val="197"/>
        </w:trPr>
        <w:tc>
          <w:tcPr>
            <w:tcW w:w="1333" w:type="dxa"/>
            <w:shd w:val="clear" w:color="auto" w:fill="92D400"/>
          </w:tcPr>
          <w:p w:rsidR="00C31389" w:rsidRDefault="00561FBD" w14:paraId="53ABA2BA" w14:textId="77777777">
            <w:pPr>
              <w:pStyle w:val="TableParagraph"/>
              <w:spacing w:before="0" w:line="177" w:lineRule="exact"/>
              <w:ind w:left="124"/>
              <w:rPr>
                <w:b/>
                <w:sz w:val="20"/>
              </w:rPr>
            </w:pPr>
            <w:r>
              <w:rPr>
                <w:b/>
                <w:spacing w:val="-2"/>
                <w:sz w:val="20"/>
              </w:rPr>
              <w:t>Sector</w:t>
            </w:r>
          </w:p>
        </w:tc>
        <w:tc>
          <w:tcPr>
            <w:tcW w:w="1553" w:type="dxa"/>
            <w:shd w:val="clear" w:color="auto" w:fill="92D400"/>
          </w:tcPr>
          <w:p w:rsidR="00C31389" w:rsidRDefault="00561FBD" w14:paraId="7A8EA730" w14:textId="77777777">
            <w:pPr>
              <w:pStyle w:val="TableParagraph"/>
              <w:spacing w:before="0" w:line="177" w:lineRule="exact"/>
              <w:ind w:left="141"/>
              <w:rPr>
                <w:b/>
                <w:sz w:val="20"/>
              </w:rPr>
            </w:pPr>
            <w:r>
              <w:rPr>
                <w:b/>
                <w:spacing w:val="-4"/>
                <w:sz w:val="20"/>
              </w:rPr>
              <w:t>Type</w:t>
            </w:r>
          </w:p>
        </w:tc>
        <w:tc>
          <w:tcPr>
            <w:tcW w:w="815" w:type="dxa"/>
            <w:vMerge/>
            <w:tcBorders>
              <w:top w:val="nil"/>
            </w:tcBorders>
            <w:shd w:val="clear" w:color="auto" w:fill="92D400"/>
          </w:tcPr>
          <w:p w:rsidR="00C31389" w:rsidRDefault="00C31389" w14:paraId="4DB0D2AD" w14:textId="77777777">
            <w:pPr>
              <w:rPr>
                <w:sz w:val="2"/>
                <w:szCs w:val="2"/>
              </w:rPr>
            </w:pPr>
          </w:p>
        </w:tc>
        <w:tc>
          <w:tcPr>
            <w:tcW w:w="1254" w:type="dxa"/>
            <w:shd w:val="clear" w:color="auto" w:fill="92D400"/>
          </w:tcPr>
          <w:p w:rsidR="00C31389" w:rsidRDefault="00C31389" w14:paraId="138F029A" w14:textId="77777777">
            <w:pPr>
              <w:pStyle w:val="TableParagraph"/>
              <w:spacing w:before="0"/>
              <w:rPr>
                <w:rFonts w:ascii="Times New Roman"/>
                <w:sz w:val="12"/>
              </w:rPr>
            </w:pPr>
          </w:p>
        </w:tc>
        <w:tc>
          <w:tcPr>
            <w:tcW w:w="1267" w:type="dxa"/>
            <w:shd w:val="clear" w:color="auto" w:fill="92D400"/>
          </w:tcPr>
          <w:p w:rsidR="00C31389" w:rsidRDefault="00C31389" w14:paraId="706399EC" w14:textId="77777777">
            <w:pPr>
              <w:pStyle w:val="TableParagraph"/>
              <w:spacing w:before="0"/>
              <w:rPr>
                <w:rFonts w:ascii="Times New Roman"/>
                <w:sz w:val="12"/>
              </w:rPr>
            </w:pPr>
          </w:p>
        </w:tc>
        <w:tc>
          <w:tcPr>
            <w:tcW w:w="852" w:type="dxa"/>
            <w:shd w:val="clear" w:color="auto" w:fill="92D400"/>
          </w:tcPr>
          <w:p w:rsidR="00C31389" w:rsidRDefault="00C31389" w14:paraId="3814D39E" w14:textId="77777777">
            <w:pPr>
              <w:pStyle w:val="TableParagraph"/>
              <w:spacing w:before="0"/>
              <w:rPr>
                <w:rFonts w:ascii="Times New Roman"/>
                <w:sz w:val="12"/>
              </w:rPr>
            </w:pPr>
          </w:p>
        </w:tc>
        <w:tc>
          <w:tcPr>
            <w:tcW w:w="1077" w:type="dxa"/>
            <w:shd w:val="clear" w:color="auto" w:fill="92D400"/>
          </w:tcPr>
          <w:p w:rsidR="00C31389" w:rsidRDefault="00C31389" w14:paraId="120728FF" w14:textId="77777777">
            <w:pPr>
              <w:pStyle w:val="TableParagraph"/>
              <w:spacing w:before="0"/>
              <w:rPr>
                <w:rFonts w:ascii="Times New Roman"/>
                <w:sz w:val="12"/>
              </w:rPr>
            </w:pPr>
          </w:p>
        </w:tc>
        <w:tc>
          <w:tcPr>
            <w:tcW w:w="1209" w:type="dxa"/>
            <w:vMerge/>
            <w:tcBorders>
              <w:top w:val="nil"/>
            </w:tcBorders>
            <w:shd w:val="clear" w:color="auto" w:fill="92D400"/>
          </w:tcPr>
          <w:p w:rsidR="00C31389" w:rsidRDefault="00C31389" w14:paraId="37BC74E3" w14:textId="77777777">
            <w:pPr>
              <w:rPr>
                <w:sz w:val="2"/>
                <w:szCs w:val="2"/>
              </w:rPr>
            </w:pPr>
          </w:p>
        </w:tc>
      </w:tr>
      <w:tr w:rsidR="00C31389" w14:paraId="46845454" w14:textId="77777777">
        <w:trPr>
          <w:trHeight w:val="289"/>
        </w:trPr>
        <w:tc>
          <w:tcPr>
            <w:tcW w:w="1333" w:type="dxa"/>
            <w:shd w:val="clear" w:color="auto" w:fill="92D400"/>
          </w:tcPr>
          <w:p w:rsidR="00C31389" w:rsidRDefault="00C31389" w14:paraId="5DD9DC99" w14:textId="77777777">
            <w:pPr>
              <w:pStyle w:val="TableParagraph"/>
              <w:spacing w:before="0"/>
              <w:rPr>
                <w:rFonts w:ascii="Times New Roman"/>
                <w:sz w:val="20"/>
              </w:rPr>
            </w:pPr>
          </w:p>
        </w:tc>
        <w:tc>
          <w:tcPr>
            <w:tcW w:w="1553" w:type="dxa"/>
            <w:shd w:val="clear" w:color="auto" w:fill="92D400"/>
          </w:tcPr>
          <w:p w:rsidR="00C31389" w:rsidRDefault="00C31389" w14:paraId="09F0B5AC" w14:textId="77777777">
            <w:pPr>
              <w:pStyle w:val="TableParagraph"/>
              <w:spacing w:before="0"/>
              <w:rPr>
                <w:rFonts w:ascii="Times New Roman"/>
                <w:sz w:val="20"/>
              </w:rPr>
            </w:pPr>
          </w:p>
        </w:tc>
        <w:tc>
          <w:tcPr>
            <w:tcW w:w="815" w:type="dxa"/>
            <w:vMerge/>
            <w:tcBorders>
              <w:top w:val="nil"/>
            </w:tcBorders>
            <w:shd w:val="clear" w:color="auto" w:fill="92D400"/>
          </w:tcPr>
          <w:p w:rsidR="00C31389" w:rsidRDefault="00C31389" w14:paraId="72764406" w14:textId="77777777">
            <w:pPr>
              <w:rPr>
                <w:sz w:val="2"/>
                <w:szCs w:val="2"/>
              </w:rPr>
            </w:pPr>
          </w:p>
        </w:tc>
        <w:tc>
          <w:tcPr>
            <w:tcW w:w="1254" w:type="dxa"/>
            <w:shd w:val="clear" w:color="auto" w:fill="92D400"/>
          </w:tcPr>
          <w:p w:rsidR="00C31389" w:rsidRDefault="00561FBD" w14:paraId="3E1C9164" w14:textId="77777777">
            <w:pPr>
              <w:pStyle w:val="TableParagraph"/>
              <w:spacing w:before="0" w:line="214" w:lineRule="exact"/>
              <w:ind w:left="83" w:right="80"/>
              <w:jc w:val="center"/>
              <w:rPr>
                <w:b/>
                <w:sz w:val="20"/>
              </w:rPr>
            </w:pPr>
            <w:r>
              <w:rPr>
                <w:b/>
                <w:spacing w:val="-5"/>
                <w:sz w:val="20"/>
              </w:rPr>
              <w:t>kWh</w:t>
            </w:r>
          </w:p>
        </w:tc>
        <w:tc>
          <w:tcPr>
            <w:tcW w:w="1267" w:type="dxa"/>
            <w:shd w:val="clear" w:color="auto" w:fill="92D400"/>
          </w:tcPr>
          <w:p w:rsidR="00C31389" w:rsidRDefault="00561FBD" w14:paraId="690282DE" w14:textId="77777777">
            <w:pPr>
              <w:pStyle w:val="TableParagraph"/>
              <w:spacing w:before="0" w:line="214" w:lineRule="exact"/>
              <w:ind w:left="137" w:right="136"/>
              <w:jc w:val="center"/>
              <w:rPr>
                <w:b/>
                <w:sz w:val="20"/>
              </w:rPr>
            </w:pPr>
            <w:r>
              <w:rPr>
                <w:b/>
                <w:spacing w:val="-2"/>
                <w:sz w:val="20"/>
              </w:rPr>
              <w:t>therms</w:t>
            </w:r>
          </w:p>
        </w:tc>
        <w:tc>
          <w:tcPr>
            <w:tcW w:w="852" w:type="dxa"/>
            <w:shd w:val="clear" w:color="auto" w:fill="92D400"/>
          </w:tcPr>
          <w:p w:rsidR="00C31389" w:rsidRDefault="00561FBD" w14:paraId="20635AD0" w14:textId="77777777">
            <w:pPr>
              <w:pStyle w:val="TableParagraph"/>
              <w:spacing w:before="0" w:line="214" w:lineRule="exact"/>
              <w:ind w:left="193"/>
              <w:rPr>
                <w:b/>
                <w:sz w:val="20"/>
              </w:rPr>
            </w:pPr>
            <w:r>
              <w:rPr>
                <w:b/>
                <w:spacing w:val="-5"/>
                <w:sz w:val="20"/>
              </w:rPr>
              <w:t>kWh</w:t>
            </w:r>
          </w:p>
        </w:tc>
        <w:tc>
          <w:tcPr>
            <w:tcW w:w="1077" w:type="dxa"/>
            <w:shd w:val="clear" w:color="auto" w:fill="92D400"/>
          </w:tcPr>
          <w:p w:rsidR="00C31389" w:rsidRDefault="00561FBD" w14:paraId="1E9FA113" w14:textId="77777777">
            <w:pPr>
              <w:pStyle w:val="TableParagraph"/>
              <w:spacing w:before="0" w:line="214" w:lineRule="exact"/>
              <w:ind w:left="194" w:right="187"/>
              <w:jc w:val="center"/>
              <w:rPr>
                <w:b/>
                <w:sz w:val="20"/>
              </w:rPr>
            </w:pPr>
            <w:r>
              <w:rPr>
                <w:b/>
                <w:spacing w:val="-2"/>
                <w:sz w:val="20"/>
              </w:rPr>
              <w:t>therms</w:t>
            </w:r>
          </w:p>
        </w:tc>
        <w:tc>
          <w:tcPr>
            <w:tcW w:w="1209" w:type="dxa"/>
            <w:vMerge/>
            <w:tcBorders>
              <w:top w:val="nil"/>
            </w:tcBorders>
            <w:shd w:val="clear" w:color="auto" w:fill="92D400"/>
          </w:tcPr>
          <w:p w:rsidR="00C31389" w:rsidRDefault="00C31389" w14:paraId="6CF322A0" w14:textId="77777777">
            <w:pPr>
              <w:rPr>
                <w:sz w:val="2"/>
                <w:szCs w:val="2"/>
              </w:rPr>
            </w:pPr>
          </w:p>
        </w:tc>
      </w:tr>
      <w:tr w:rsidR="00C31389" w14:paraId="28CD61C4" w14:textId="77777777">
        <w:trPr>
          <w:trHeight w:val="540"/>
        </w:trPr>
        <w:tc>
          <w:tcPr>
            <w:tcW w:w="1333" w:type="dxa"/>
            <w:tcBorders>
              <w:bottom w:val="single" w:color="000000" w:sz="8" w:space="0"/>
            </w:tcBorders>
          </w:tcPr>
          <w:p w:rsidR="00C31389" w:rsidRDefault="00561FBD" w14:paraId="5DA3EC43" w14:textId="77777777">
            <w:pPr>
              <w:pStyle w:val="TableParagraph"/>
              <w:spacing w:before="157"/>
              <w:ind w:left="124"/>
              <w:rPr>
                <w:sz w:val="20"/>
              </w:rPr>
            </w:pPr>
            <w:r>
              <w:rPr>
                <w:spacing w:val="-2"/>
                <w:sz w:val="20"/>
              </w:rPr>
              <w:t>Commercial</w:t>
            </w:r>
          </w:p>
        </w:tc>
        <w:tc>
          <w:tcPr>
            <w:tcW w:w="1553" w:type="dxa"/>
            <w:tcBorders>
              <w:bottom w:val="single" w:color="000000" w:sz="8" w:space="0"/>
            </w:tcBorders>
          </w:tcPr>
          <w:p w:rsidR="00C31389" w:rsidRDefault="00561FBD" w14:paraId="74ABA6B2" w14:textId="77777777">
            <w:pPr>
              <w:pStyle w:val="TableParagraph"/>
              <w:spacing w:before="41"/>
              <w:ind w:left="141"/>
              <w:rPr>
                <w:sz w:val="20"/>
              </w:rPr>
            </w:pPr>
            <w:r>
              <w:rPr>
                <w:spacing w:val="-2"/>
                <w:sz w:val="20"/>
              </w:rPr>
              <w:t>Building Benchmarking</w:t>
            </w:r>
          </w:p>
        </w:tc>
        <w:tc>
          <w:tcPr>
            <w:tcW w:w="815" w:type="dxa"/>
            <w:tcBorders>
              <w:bottom w:val="single" w:color="000000" w:sz="8" w:space="0"/>
            </w:tcBorders>
          </w:tcPr>
          <w:p w:rsidR="00C31389" w:rsidRDefault="00561FBD" w14:paraId="7826EB21" w14:textId="77777777">
            <w:pPr>
              <w:pStyle w:val="TableParagraph"/>
              <w:spacing w:before="157"/>
              <w:jc w:val="center"/>
              <w:rPr>
                <w:sz w:val="20"/>
              </w:rPr>
            </w:pPr>
            <w:r>
              <w:rPr>
                <w:sz w:val="20"/>
              </w:rPr>
              <w:t>2</w:t>
            </w:r>
          </w:p>
        </w:tc>
        <w:tc>
          <w:tcPr>
            <w:tcW w:w="1254" w:type="dxa"/>
            <w:tcBorders>
              <w:bottom w:val="single" w:color="000000" w:sz="8" w:space="0"/>
            </w:tcBorders>
          </w:tcPr>
          <w:p w:rsidR="00C31389" w:rsidRDefault="00561FBD" w14:paraId="0817438F" w14:textId="77777777">
            <w:pPr>
              <w:pStyle w:val="TableParagraph"/>
              <w:spacing w:before="157"/>
              <w:ind w:left="83" w:right="83"/>
              <w:jc w:val="center"/>
              <w:rPr>
                <w:sz w:val="20"/>
              </w:rPr>
            </w:pPr>
            <w:r>
              <w:rPr>
                <w:spacing w:val="-2"/>
                <w:sz w:val="20"/>
              </w:rPr>
              <w:t>0.4%-</w:t>
            </w:r>
            <w:r>
              <w:rPr>
                <w:spacing w:val="-4"/>
                <w:sz w:val="20"/>
              </w:rPr>
              <w:t>1.6%</w:t>
            </w:r>
          </w:p>
        </w:tc>
        <w:tc>
          <w:tcPr>
            <w:tcW w:w="1267" w:type="dxa"/>
            <w:tcBorders>
              <w:bottom w:val="single" w:color="000000" w:sz="8" w:space="0"/>
            </w:tcBorders>
          </w:tcPr>
          <w:p w:rsidR="00C31389" w:rsidRDefault="00561FBD" w14:paraId="7F876E15" w14:textId="77777777">
            <w:pPr>
              <w:pStyle w:val="TableParagraph"/>
              <w:spacing w:before="157"/>
              <w:ind w:left="137" w:right="137"/>
              <w:jc w:val="center"/>
              <w:rPr>
                <w:sz w:val="20"/>
              </w:rPr>
            </w:pPr>
            <w:r>
              <w:rPr>
                <w:spacing w:val="-2"/>
                <w:sz w:val="20"/>
              </w:rPr>
              <w:t>0.3%-</w:t>
            </w:r>
            <w:r>
              <w:rPr>
                <w:spacing w:val="-4"/>
                <w:sz w:val="20"/>
              </w:rPr>
              <w:t>1.0%</w:t>
            </w:r>
          </w:p>
        </w:tc>
        <w:tc>
          <w:tcPr>
            <w:tcW w:w="852" w:type="dxa"/>
            <w:tcBorders>
              <w:bottom w:val="single" w:color="000000" w:sz="8" w:space="0"/>
            </w:tcBorders>
          </w:tcPr>
          <w:p w:rsidR="00C31389" w:rsidRDefault="00561FBD" w14:paraId="0997111F" w14:textId="77777777">
            <w:pPr>
              <w:pStyle w:val="TableParagraph"/>
              <w:spacing w:before="157"/>
              <w:ind w:left="154"/>
              <w:rPr>
                <w:sz w:val="20"/>
              </w:rPr>
            </w:pPr>
            <w:r>
              <w:rPr>
                <w:spacing w:val="-2"/>
                <w:sz w:val="20"/>
              </w:rPr>
              <w:t>$0.08</w:t>
            </w:r>
          </w:p>
        </w:tc>
        <w:tc>
          <w:tcPr>
            <w:tcW w:w="1077" w:type="dxa"/>
            <w:tcBorders>
              <w:bottom w:val="single" w:color="000000" w:sz="8" w:space="0"/>
            </w:tcBorders>
          </w:tcPr>
          <w:p w:rsidR="00C31389" w:rsidRDefault="00561FBD" w14:paraId="03787E8C" w14:textId="77777777">
            <w:pPr>
              <w:pStyle w:val="TableParagraph"/>
              <w:spacing w:before="157"/>
              <w:ind w:left="194" w:right="185"/>
              <w:jc w:val="center"/>
              <w:rPr>
                <w:sz w:val="20"/>
              </w:rPr>
            </w:pPr>
            <w:r>
              <w:rPr>
                <w:spacing w:val="-2"/>
                <w:sz w:val="20"/>
              </w:rPr>
              <w:t>$0.37</w:t>
            </w:r>
          </w:p>
        </w:tc>
        <w:tc>
          <w:tcPr>
            <w:tcW w:w="1209" w:type="dxa"/>
            <w:tcBorders>
              <w:bottom w:val="single" w:color="000000" w:sz="8" w:space="0"/>
            </w:tcBorders>
          </w:tcPr>
          <w:p w:rsidR="00C31389" w:rsidRDefault="00561FBD" w14:paraId="409B81BF" w14:textId="77777777">
            <w:pPr>
              <w:pStyle w:val="TableParagraph"/>
              <w:spacing w:before="157"/>
              <w:ind w:left="215"/>
              <w:rPr>
                <w:sz w:val="20"/>
              </w:rPr>
            </w:pPr>
            <w:r>
              <w:rPr>
                <w:spacing w:val="-2"/>
                <w:sz w:val="20"/>
              </w:rPr>
              <w:t>0.000102</w:t>
            </w:r>
          </w:p>
        </w:tc>
      </w:tr>
    </w:tbl>
    <w:p w:rsidR="00C31389" w:rsidRDefault="00561FBD" w14:paraId="6A2C6CD3"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4557C593" w14:textId="77777777">
      <w:pPr>
        <w:pStyle w:val="BodyText"/>
        <w:rPr>
          <w:i/>
          <w:sz w:val="20"/>
        </w:rPr>
      </w:pPr>
    </w:p>
    <w:p w:rsidR="00C31389" w:rsidRDefault="00561FBD" w14:paraId="534379F5" w14:textId="77777777">
      <w:pPr>
        <w:pStyle w:val="ListParagraph"/>
        <w:numPr>
          <w:ilvl w:val="2"/>
          <w:numId w:val="19"/>
        </w:numPr>
        <w:tabs>
          <w:tab w:val="left" w:pos="1197"/>
        </w:tabs>
        <w:spacing w:before="131"/>
        <w:ind w:left="1197" w:hanging="717"/>
        <w:rPr>
          <w:b/>
          <w:sz w:val="24"/>
        </w:rPr>
      </w:pPr>
      <w:bookmarkStart w:name="D.9.2_Assumptions_and_Methodology" w:id="525"/>
      <w:bookmarkStart w:name="_bookmark401" w:id="526"/>
      <w:bookmarkEnd w:id="525"/>
      <w:bookmarkEnd w:id="526"/>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5EAA98E0" w14:textId="77777777">
      <w:pPr>
        <w:pStyle w:val="BodyText"/>
        <w:spacing w:before="2"/>
        <w:rPr>
          <w:b/>
          <w:sz w:val="23"/>
        </w:rPr>
      </w:pPr>
    </w:p>
    <w:p w:rsidR="00C31389" w:rsidRDefault="00561FBD" w14:paraId="51B7A04B" w14:textId="77777777">
      <w:pPr>
        <w:pStyle w:val="Heading7"/>
        <w:ind w:left="480"/>
      </w:pPr>
      <w:r>
        <w:t>Eligibility</w:t>
      </w:r>
      <w:r>
        <w:rPr>
          <w:spacing w:val="-8"/>
        </w:rPr>
        <w:t xml:space="preserve"> </w:t>
      </w:r>
      <w:r>
        <w:t>and</w:t>
      </w:r>
      <w:r>
        <w:rPr>
          <w:spacing w:val="-7"/>
        </w:rPr>
        <w:t xml:space="preserve"> </w:t>
      </w:r>
      <w:r>
        <w:rPr>
          <w:spacing w:val="-2"/>
        </w:rPr>
        <w:t>Participation</w:t>
      </w:r>
    </w:p>
    <w:p w:rsidR="00C31389" w:rsidRDefault="00C31389" w14:paraId="0C8D2BB3" w14:textId="77777777">
      <w:pPr>
        <w:pStyle w:val="BodyText"/>
        <w:spacing w:before="9"/>
        <w:rPr>
          <w:b/>
          <w:sz w:val="20"/>
        </w:rPr>
      </w:pPr>
    </w:p>
    <w:p w:rsidR="00C31389" w:rsidRDefault="00561FBD" w14:paraId="1ED22C53" w14:textId="77777777">
      <w:pPr>
        <w:pStyle w:val="BodyText"/>
        <w:ind w:left="480" w:right="418"/>
      </w:pPr>
      <w:r>
        <w:t>Pursuant</w:t>
      </w:r>
      <w:r>
        <w:rPr>
          <w:spacing w:val="-3"/>
        </w:rPr>
        <w:t xml:space="preserve"> </w:t>
      </w:r>
      <w:r>
        <w:t>to</w:t>
      </w:r>
      <w:r>
        <w:rPr>
          <w:spacing w:val="-3"/>
        </w:rPr>
        <w:t xml:space="preserve"> </w:t>
      </w:r>
      <w:r>
        <w:t>AB</w:t>
      </w:r>
      <w:r>
        <w:rPr>
          <w:spacing w:val="-3"/>
        </w:rPr>
        <w:t xml:space="preserve"> </w:t>
      </w:r>
      <w:r>
        <w:t>802,</w:t>
      </w:r>
      <w:r>
        <w:rPr>
          <w:spacing w:val="-3"/>
        </w:rPr>
        <w:t xml:space="preserve"> </w:t>
      </w:r>
      <w:r>
        <w:t>building</w:t>
      </w:r>
      <w:r>
        <w:rPr>
          <w:spacing w:val="-3"/>
        </w:rPr>
        <w:t xml:space="preserve"> </w:t>
      </w:r>
      <w:r>
        <w:t>benchmarking</w:t>
      </w:r>
      <w:r>
        <w:rPr>
          <w:spacing w:val="-3"/>
        </w:rPr>
        <w:t xml:space="preserve"> </w:t>
      </w:r>
      <w:r>
        <w:t>is</w:t>
      </w:r>
      <w:r>
        <w:rPr>
          <w:spacing w:val="-4"/>
        </w:rPr>
        <w:t xml:space="preserve"> </w:t>
      </w:r>
      <w:r>
        <w:t>mandated</w:t>
      </w:r>
      <w:r>
        <w:rPr>
          <w:spacing w:val="-3"/>
        </w:rPr>
        <w:t xml:space="preserve"> </w:t>
      </w:r>
      <w:r>
        <w:t>for</w:t>
      </w:r>
      <w:r>
        <w:rPr>
          <w:spacing w:val="-3"/>
        </w:rPr>
        <w:t xml:space="preserve"> </w:t>
      </w:r>
      <w:r>
        <w:t>all</w:t>
      </w:r>
      <w:r>
        <w:rPr>
          <w:spacing w:val="-3"/>
        </w:rPr>
        <w:t xml:space="preserve"> </w:t>
      </w:r>
      <w:r>
        <w:t>commercial</w:t>
      </w:r>
      <w:r>
        <w:rPr>
          <w:spacing w:val="-3"/>
        </w:rPr>
        <w:t xml:space="preserve"> </w:t>
      </w:r>
      <w:r>
        <w:t>buildings</w:t>
      </w:r>
      <w:r>
        <w:rPr>
          <w:spacing w:val="-3"/>
        </w:rPr>
        <w:t xml:space="preserve"> </w:t>
      </w:r>
      <w:r>
        <w:t xml:space="preserve">greater than 50,000 </w:t>
      </w:r>
      <w:r>
        <w:t>square feet under the CEC’s Building Energy Benchmarking Program.</w:t>
      </w:r>
    </w:p>
    <w:p w:rsidR="00C31389" w:rsidRDefault="00561FBD" w14:paraId="7FFB2BC3" w14:textId="77777777">
      <w:pPr>
        <w:pStyle w:val="BodyText"/>
        <w:spacing w:before="1"/>
        <w:ind w:left="479" w:right="505"/>
      </w:pPr>
      <w:r>
        <w:t>Therefore, the Guidehouse team limited the applicability of the benchmarking measure to buildings less than 50,000 square feet but greater than 10,000 square feet to reflect additionality fr</w:t>
      </w:r>
      <w:r>
        <w:t>om IOU intervention. While any building and business type may be subject to benchmarking,</w:t>
      </w:r>
      <w:r>
        <w:rPr>
          <w:spacing w:val="-3"/>
        </w:rPr>
        <w:t xml:space="preserve"> </w:t>
      </w:r>
      <w:r>
        <w:t>reliable</w:t>
      </w:r>
      <w:r>
        <w:rPr>
          <w:spacing w:val="-4"/>
        </w:rPr>
        <w:t xml:space="preserve"> </w:t>
      </w:r>
      <w:r>
        <w:t>savings</w:t>
      </w:r>
      <w:r>
        <w:rPr>
          <w:spacing w:val="-4"/>
        </w:rPr>
        <w:t xml:space="preserve"> </w:t>
      </w:r>
      <w:r>
        <w:t>data</w:t>
      </w:r>
      <w:r>
        <w:rPr>
          <w:spacing w:val="-3"/>
        </w:rPr>
        <w:t xml:space="preserve"> </w:t>
      </w:r>
      <w:r>
        <w:t>exists</w:t>
      </w:r>
      <w:r>
        <w:rPr>
          <w:spacing w:val="-4"/>
        </w:rPr>
        <w:t xml:space="preserve"> </w:t>
      </w:r>
      <w:r>
        <w:t>for</w:t>
      </w:r>
      <w:r>
        <w:rPr>
          <w:spacing w:val="-3"/>
        </w:rPr>
        <w:t xml:space="preserve"> </w:t>
      </w:r>
      <w:r>
        <w:t>the</w:t>
      </w:r>
      <w:r>
        <w:rPr>
          <w:spacing w:val="-3"/>
        </w:rPr>
        <w:t xml:space="preserve"> </w:t>
      </w:r>
      <w:r>
        <w:t>following</w:t>
      </w:r>
      <w:r>
        <w:rPr>
          <w:spacing w:val="-3"/>
        </w:rPr>
        <w:t xml:space="preserve"> </w:t>
      </w:r>
      <w:r>
        <w:t>segments:</w:t>
      </w:r>
      <w:r>
        <w:rPr>
          <w:spacing w:val="-3"/>
        </w:rPr>
        <w:t xml:space="preserve"> </w:t>
      </w:r>
      <w:r>
        <w:t>colleges,</w:t>
      </w:r>
      <w:r>
        <w:rPr>
          <w:spacing w:val="-3"/>
        </w:rPr>
        <w:t xml:space="preserve"> </w:t>
      </w:r>
      <w:r>
        <w:t xml:space="preserve">healthcare, lodging, large offices, retail, and schools. For these sectors, the team applied </w:t>
      </w:r>
      <w:r>
        <w:t>CBECS data to determine the proportion of commercial stock in buildings between 10,000 and 50,000 square feet.</w:t>
      </w:r>
      <w:hyperlink w:history="1" w:anchor="_bookmark403">
        <w:r>
          <w:rPr>
            <w:position w:val="7"/>
            <w:sz w:val="14"/>
          </w:rPr>
          <w:t>151</w:t>
        </w:r>
      </w:hyperlink>
      <w:r>
        <w:rPr>
          <w:spacing w:val="28"/>
          <w:position w:val="7"/>
          <w:sz w:val="14"/>
        </w:rPr>
        <w:t xml:space="preserve"> </w:t>
      </w:r>
      <w:hyperlink w:history="1" w:anchor="_bookmark402">
        <w:r>
          <w:t>Table D-13</w:t>
        </w:r>
      </w:hyperlink>
      <w:r>
        <w:t xml:space="preserve"> </w:t>
      </w:r>
      <w:r>
        <w:t>compares the applicability factors for benchmarking in the 2023 PG Model, which ranges from 16% to 31% to address the mandate change, to the 2021 Study in which applicability ranged from 35% to 100%. No changes were made to the applicability factors in the</w:t>
      </w:r>
      <w:r>
        <w:t xml:space="preserve"> 2023 Study.</w:t>
      </w:r>
    </w:p>
    <w:p w:rsidR="00C31389" w:rsidRDefault="00C31389" w14:paraId="61CAE035" w14:textId="77777777">
      <w:pPr>
        <w:pStyle w:val="BodyText"/>
        <w:spacing w:before="9"/>
        <w:rPr>
          <w:sz w:val="20"/>
        </w:rPr>
      </w:pPr>
    </w:p>
    <w:p w:rsidR="00C31389" w:rsidRDefault="00561FBD" w14:paraId="3F084192" w14:textId="77777777">
      <w:pPr>
        <w:pStyle w:val="Heading7"/>
        <w:spacing w:before="1"/>
        <w:ind w:left="398" w:right="338"/>
        <w:jc w:val="center"/>
      </w:pPr>
      <w:bookmarkStart w:name="_bookmark402" w:id="527"/>
      <w:bookmarkEnd w:id="527"/>
      <w:r>
        <w:t>Table</w:t>
      </w:r>
      <w:r>
        <w:rPr>
          <w:spacing w:val="-10"/>
        </w:rPr>
        <w:t xml:space="preserve"> </w:t>
      </w:r>
      <w:r>
        <w:t>D-13.</w:t>
      </w:r>
      <w:r>
        <w:rPr>
          <w:spacing w:val="-11"/>
        </w:rPr>
        <w:t xml:space="preserve"> </w:t>
      </w:r>
      <w:r>
        <w:t>Adjustments</w:t>
      </w:r>
      <w:r>
        <w:rPr>
          <w:spacing w:val="-10"/>
        </w:rPr>
        <w:t xml:space="preserve"> </w:t>
      </w:r>
      <w:r>
        <w:t>to</w:t>
      </w:r>
      <w:r>
        <w:rPr>
          <w:spacing w:val="-10"/>
        </w:rPr>
        <w:t xml:space="preserve"> </w:t>
      </w:r>
      <w:r>
        <w:t>Building</w:t>
      </w:r>
      <w:r>
        <w:rPr>
          <w:spacing w:val="-10"/>
        </w:rPr>
        <w:t xml:space="preserve"> </w:t>
      </w:r>
      <w:r>
        <w:t>Benchmarking</w:t>
      </w:r>
      <w:r>
        <w:rPr>
          <w:spacing w:val="-9"/>
        </w:rPr>
        <w:t xml:space="preserve"> </w:t>
      </w:r>
      <w:r>
        <w:t>Applicability</w:t>
      </w:r>
      <w:r>
        <w:rPr>
          <w:spacing w:val="-10"/>
        </w:rPr>
        <w:t xml:space="preserve"> </w:t>
      </w:r>
      <w:r>
        <w:rPr>
          <w:spacing w:val="-2"/>
        </w:rPr>
        <w:t>Factors</w:t>
      </w:r>
    </w:p>
    <w:p w:rsidR="00C31389" w:rsidRDefault="00C31389" w14:paraId="3AC86298" w14:textId="77777777">
      <w:pPr>
        <w:pStyle w:val="BodyText"/>
        <w:spacing w:before="7"/>
        <w:rPr>
          <w:b/>
          <w:sz w:val="9"/>
        </w:rPr>
      </w:pPr>
    </w:p>
    <w:tbl>
      <w:tblPr>
        <w:tblW w:w="0" w:type="auto"/>
        <w:tblInd w:w="2157" w:type="dxa"/>
        <w:tblLayout w:type="fixed"/>
        <w:tblCellMar>
          <w:left w:w="0" w:type="dxa"/>
          <w:right w:w="0" w:type="dxa"/>
        </w:tblCellMar>
        <w:tblLook w:val="01E0" w:firstRow="1" w:lastRow="1" w:firstColumn="1" w:lastColumn="1" w:noHBand="0" w:noVBand="0"/>
      </w:tblPr>
      <w:tblGrid>
        <w:gridCol w:w="2510"/>
        <w:gridCol w:w="1634"/>
        <w:gridCol w:w="1535"/>
      </w:tblGrid>
      <w:tr w:rsidR="00C31389" w14:paraId="52D287FD" w14:textId="77777777">
        <w:trPr>
          <w:trHeight w:val="323"/>
        </w:trPr>
        <w:tc>
          <w:tcPr>
            <w:tcW w:w="2510" w:type="dxa"/>
            <w:shd w:val="clear" w:color="auto" w:fill="92D400"/>
          </w:tcPr>
          <w:p w:rsidR="00C31389" w:rsidRDefault="00C31389" w14:paraId="347B31EB" w14:textId="77777777">
            <w:pPr>
              <w:pStyle w:val="TableParagraph"/>
              <w:spacing w:before="0"/>
              <w:rPr>
                <w:rFonts w:ascii="Times New Roman"/>
                <w:sz w:val="20"/>
              </w:rPr>
            </w:pPr>
          </w:p>
        </w:tc>
        <w:tc>
          <w:tcPr>
            <w:tcW w:w="3169" w:type="dxa"/>
            <w:gridSpan w:val="2"/>
            <w:shd w:val="clear" w:color="auto" w:fill="92D400"/>
          </w:tcPr>
          <w:p w:rsidR="00C31389" w:rsidRDefault="00561FBD" w14:paraId="7536CFE5" w14:textId="77777777">
            <w:pPr>
              <w:pStyle w:val="TableParagraph"/>
              <w:spacing w:before="95" w:line="208" w:lineRule="exact"/>
              <w:ind w:left="700"/>
              <w:rPr>
                <w:b/>
                <w:sz w:val="20"/>
              </w:rPr>
            </w:pPr>
            <w:r>
              <w:rPr>
                <w:b/>
                <w:sz w:val="20"/>
              </w:rPr>
              <w:t>Applicability</w:t>
            </w:r>
            <w:r>
              <w:rPr>
                <w:b/>
                <w:spacing w:val="-8"/>
                <w:sz w:val="20"/>
              </w:rPr>
              <w:t xml:space="preserve"> </w:t>
            </w:r>
            <w:r>
              <w:rPr>
                <w:b/>
                <w:spacing w:val="-2"/>
                <w:sz w:val="20"/>
              </w:rPr>
              <w:t>Factor</w:t>
            </w:r>
          </w:p>
        </w:tc>
      </w:tr>
      <w:tr w:rsidR="00C31389" w14:paraId="538D2D58" w14:textId="77777777">
        <w:trPr>
          <w:trHeight w:val="220"/>
        </w:trPr>
        <w:tc>
          <w:tcPr>
            <w:tcW w:w="4144" w:type="dxa"/>
            <w:gridSpan w:val="2"/>
            <w:shd w:val="clear" w:color="auto" w:fill="92D400"/>
          </w:tcPr>
          <w:p w:rsidR="00C31389" w:rsidRDefault="00561FBD" w14:paraId="71B7E23A" w14:textId="77777777">
            <w:pPr>
              <w:pStyle w:val="TableParagraph"/>
              <w:spacing w:before="0" w:line="200" w:lineRule="exact"/>
              <w:ind w:left="122"/>
              <w:rPr>
                <w:b/>
                <w:sz w:val="20"/>
              </w:rPr>
            </w:pPr>
            <w:r>
              <w:rPr>
                <w:b/>
                <w:sz w:val="20"/>
              </w:rPr>
              <w:t>Building</w:t>
            </w:r>
            <w:r>
              <w:rPr>
                <w:b/>
                <w:spacing w:val="-6"/>
                <w:sz w:val="20"/>
              </w:rPr>
              <w:t xml:space="preserve"> </w:t>
            </w:r>
            <w:r>
              <w:rPr>
                <w:b/>
                <w:spacing w:val="-4"/>
                <w:sz w:val="20"/>
              </w:rPr>
              <w:t>Type</w:t>
            </w:r>
          </w:p>
        </w:tc>
        <w:tc>
          <w:tcPr>
            <w:tcW w:w="1535" w:type="dxa"/>
            <w:shd w:val="clear" w:color="auto" w:fill="92D400"/>
          </w:tcPr>
          <w:p w:rsidR="00C31389" w:rsidRDefault="00C31389" w14:paraId="366ECBCC" w14:textId="77777777">
            <w:pPr>
              <w:pStyle w:val="TableParagraph"/>
              <w:spacing w:before="0"/>
              <w:rPr>
                <w:rFonts w:ascii="Times New Roman"/>
                <w:sz w:val="14"/>
              </w:rPr>
            </w:pPr>
          </w:p>
        </w:tc>
      </w:tr>
      <w:tr w:rsidR="00C31389" w14:paraId="16D70FE5" w14:textId="77777777">
        <w:trPr>
          <w:trHeight w:val="326"/>
        </w:trPr>
        <w:tc>
          <w:tcPr>
            <w:tcW w:w="2510" w:type="dxa"/>
            <w:shd w:val="clear" w:color="auto" w:fill="92D400"/>
          </w:tcPr>
          <w:p w:rsidR="00C31389" w:rsidRDefault="00C31389" w14:paraId="6A1179CF" w14:textId="77777777">
            <w:pPr>
              <w:pStyle w:val="TableParagraph"/>
              <w:spacing w:before="0"/>
              <w:rPr>
                <w:rFonts w:ascii="Times New Roman"/>
                <w:sz w:val="20"/>
              </w:rPr>
            </w:pPr>
          </w:p>
        </w:tc>
        <w:tc>
          <w:tcPr>
            <w:tcW w:w="1634" w:type="dxa"/>
            <w:shd w:val="clear" w:color="auto" w:fill="92D400"/>
          </w:tcPr>
          <w:p w:rsidR="00C31389" w:rsidRDefault="00561FBD" w14:paraId="3B7AE92B" w14:textId="77777777">
            <w:pPr>
              <w:pStyle w:val="TableParagraph"/>
              <w:spacing w:before="0" w:line="222" w:lineRule="exact"/>
              <w:ind w:left="320" w:right="227"/>
              <w:jc w:val="center"/>
              <w:rPr>
                <w:b/>
                <w:sz w:val="20"/>
              </w:rPr>
            </w:pPr>
            <w:r>
              <w:rPr>
                <w:b/>
                <w:sz w:val="20"/>
              </w:rPr>
              <w:t>2019</w:t>
            </w:r>
            <w:r>
              <w:rPr>
                <w:b/>
                <w:spacing w:val="-1"/>
                <w:sz w:val="20"/>
              </w:rPr>
              <w:t xml:space="preserve"> </w:t>
            </w:r>
            <w:r>
              <w:rPr>
                <w:b/>
                <w:spacing w:val="-2"/>
                <w:sz w:val="20"/>
              </w:rPr>
              <w:t>Study</w:t>
            </w:r>
          </w:p>
        </w:tc>
        <w:tc>
          <w:tcPr>
            <w:tcW w:w="1535" w:type="dxa"/>
            <w:shd w:val="clear" w:color="auto" w:fill="92D400"/>
          </w:tcPr>
          <w:p w:rsidR="00C31389" w:rsidRDefault="00561FBD" w14:paraId="754FF0D5" w14:textId="77777777">
            <w:pPr>
              <w:pStyle w:val="TableParagraph"/>
              <w:spacing w:before="0" w:line="222" w:lineRule="exact"/>
              <w:ind w:left="225" w:right="224"/>
              <w:jc w:val="center"/>
              <w:rPr>
                <w:b/>
                <w:sz w:val="20"/>
              </w:rPr>
            </w:pPr>
            <w:r>
              <w:rPr>
                <w:b/>
                <w:sz w:val="20"/>
              </w:rPr>
              <w:t>2021</w:t>
            </w:r>
            <w:r>
              <w:rPr>
                <w:b/>
                <w:spacing w:val="-1"/>
                <w:sz w:val="20"/>
              </w:rPr>
              <w:t xml:space="preserve"> </w:t>
            </w:r>
            <w:r>
              <w:rPr>
                <w:b/>
                <w:spacing w:val="-2"/>
                <w:sz w:val="20"/>
              </w:rPr>
              <w:t>Study</w:t>
            </w:r>
          </w:p>
        </w:tc>
      </w:tr>
      <w:tr w:rsidR="00C31389" w14:paraId="0073D8FC" w14:textId="77777777">
        <w:trPr>
          <w:trHeight w:val="310"/>
        </w:trPr>
        <w:tc>
          <w:tcPr>
            <w:tcW w:w="2510" w:type="dxa"/>
            <w:tcBorders>
              <w:bottom w:val="single" w:color="D9D9D9" w:sz="2" w:space="0"/>
            </w:tcBorders>
          </w:tcPr>
          <w:p w:rsidR="00C31389" w:rsidRDefault="00561FBD" w14:paraId="5389890D" w14:textId="77777777">
            <w:pPr>
              <w:pStyle w:val="TableParagraph"/>
              <w:ind w:left="122"/>
              <w:rPr>
                <w:sz w:val="20"/>
              </w:rPr>
            </w:pPr>
            <w:r>
              <w:rPr>
                <w:sz w:val="20"/>
              </w:rPr>
              <w:t>Com</w:t>
            </w:r>
            <w:r>
              <w:rPr>
                <w:spacing w:val="-1"/>
                <w:sz w:val="20"/>
              </w:rPr>
              <w:t xml:space="preserve"> </w:t>
            </w:r>
            <w:r>
              <w:rPr>
                <w:sz w:val="20"/>
              </w:rPr>
              <w:t>–</w:t>
            </w:r>
            <w:r>
              <w:rPr>
                <w:spacing w:val="-1"/>
                <w:sz w:val="20"/>
              </w:rPr>
              <w:t xml:space="preserve"> </w:t>
            </w:r>
            <w:r>
              <w:rPr>
                <w:spacing w:val="-2"/>
                <w:sz w:val="20"/>
              </w:rPr>
              <w:t>College</w:t>
            </w:r>
          </w:p>
        </w:tc>
        <w:tc>
          <w:tcPr>
            <w:tcW w:w="1634" w:type="dxa"/>
            <w:tcBorders>
              <w:bottom w:val="single" w:color="D9D9D9" w:sz="2" w:space="0"/>
            </w:tcBorders>
          </w:tcPr>
          <w:p w:rsidR="00C31389" w:rsidRDefault="00561FBD" w14:paraId="5E5B8ECA" w14:textId="77777777">
            <w:pPr>
              <w:pStyle w:val="TableParagraph"/>
              <w:ind w:left="320" w:right="227"/>
              <w:jc w:val="center"/>
              <w:rPr>
                <w:sz w:val="20"/>
              </w:rPr>
            </w:pPr>
            <w:r>
              <w:rPr>
                <w:spacing w:val="-4"/>
                <w:sz w:val="20"/>
              </w:rPr>
              <w:t>100%</w:t>
            </w:r>
          </w:p>
        </w:tc>
        <w:tc>
          <w:tcPr>
            <w:tcW w:w="1535" w:type="dxa"/>
            <w:tcBorders>
              <w:bottom w:val="single" w:color="D9D9D9" w:sz="2" w:space="0"/>
            </w:tcBorders>
          </w:tcPr>
          <w:p w:rsidR="00C31389" w:rsidRDefault="00561FBD" w14:paraId="7981B7C4" w14:textId="77777777">
            <w:pPr>
              <w:pStyle w:val="TableParagraph"/>
              <w:ind w:left="225" w:right="224"/>
              <w:jc w:val="center"/>
              <w:rPr>
                <w:sz w:val="20"/>
              </w:rPr>
            </w:pPr>
            <w:r>
              <w:rPr>
                <w:spacing w:val="-5"/>
                <w:sz w:val="20"/>
              </w:rPr>
              <w:t>21%</w:t>
            </w:r>
          </w:p>
        </w:tc>
      </w:tr>
      <w:tr w:rsidR="00C31389" w14:paraId="609425AD" w14:textId="77777777">
        <w:trPr>
          <w:trHeight w:val="309"/>
        </w:trPr>
        <w:tc>
          <w:tcPr>
            <w:tcW w:w="2510" w:type="dxa"/>
            <w:tcBorders>
              <w:top w:val="single" w:color="D9D9D9" w:sz="2" w:space="0"/>
              <w:bottom w:val="single" w:color="D9D9D9" w:sz="2" w:space="0"/>
            </w:tcBorders>
          </w:tcPr>
          <w:p w:rsidR="00C31389" w:rsidRDefault="00561FBD" w14:paraId="7757FBE8" w14:textId="77777777">
            <w:pPr>
              <w:pStyle w:val="TableParagraph"/>
              <w:ind w:left="122"/>
              <w:rPr>
                <w:sz w:val="20"/>
              </w:rPr>
            </w:pPr>
            <w:r>
              <w:rPr>
                <w:sz w:val="20"/>
              </w:rPr>
              <w:t>Com</w:t>
            </w:r>
            <w:r>
              <w:rPr>
                <w:spacing w:val="-3"/>
                <w:sz w:val="20"/>
              </w:rPr>
              <w:t xml:space="preserve"> </w:t>
            </w:r>
            <w:r>
              <w:rPr>
                <w:sz w:val="20"/>
              </w:rPr>
              <w:t>–</w:t>
            </w:r>
            <w:r>
              <w:rPr>
                <w:spacing w:val="-1"/>
                <w:sz w:val="20"/>
              </w:rPr>
              <w:t xml:space="preserve"> </w:t>
            </w:r>
            <w:r>
              <w:rPr>
                <w:spacing w:val="-2"/>
                <w:sz w:val="20"/>
              </w:rPr>
              <w:t>Health</w:t>
            </w:r>
          </w:p>
        </w:tc>
        <w:tc>
          <w:tcPr>
            <w:tcW w:w="1634" w:type="dxa"/>
            <w:tcBorders>
              <w:top w:val="single" w:color="D9D9D9" w:sz="2" w:space="0"/>
              <w:bottom w:val="single" w:color="D9D9D9" w:sz="2" w:space="0"/>
            </w:tcBorders>
          </w:tcPr>
          <w:p w:rsidR="00C31389" w:rsidRDefault="00561FBD" w14:paraId="0567F49D" w14:textId="77777777">
            <w:pPr>
              <w:pStyle w:val="TableParagraph"/>
              <w:ind w:left="319" w:right="227"/>
              <w:jc w:val="center"/>
              <w:rPr>
                <w:sz w:val="20"/>
              </w:rPr>
            </w:pPr>
            <w:r>
              <w:rPr>
                <w:sz w:val="20"/>
              </w:rPr>
              <w:t>69-</w:t>
            </w:r>
            <w:r>
              <w:rPr>
                <w:spacing w:val="-5"/>
                <w:sz w:val="20"/>
              </w:rPr>
              <w:t>83%</w:t>
            </w:r>
          </w:p>
        </w:tc>
        <w:tc>
          <w:tcPr>
            <w:tcW w:w="1535" w:type="dxa"/>
            <w:tcBorders>
              <w:top w:val="single" w:color="D9D9D9" w:sz="2" w:space="0"/>
              <w:bottom w:val="single" w:color="D9D9D9" w:sz="2" w:space="0"/>
            </w:tcBorders>
          </w:tcPr>
          <w:p w:rsidR="00C31389" w:rsidRDefault="00561FBD" w14:paraId="001FD752" w14:textId="77777777">
            <w:pPr>
              <w:pStyle w:val="TableParagraph"/>
              <w:ind w:left="225" w:right="224"/>
              <w:jc w:val="center"/>
              <w:rPr>
                <w:sz w:val="20"/>
              </w:rPr>
            </w:pPr>
            <w:r>
              <w:rPr>
                <w:spacing w:val="-5"/>
                <w:sz w:val="20"/>
              </w:rPr>
              <w:t>16%</w:t>
            </w:r>
          </w:p>
        </w:tc>
      </w:tr>
      <w:tr w:rsidR="00C31389" w14:paraId="70C57C45" w14:textId="77777777">
        <w:trPr>
          <w:trHeight w:val="310"/>
        </w:trPr>
        <w:tc>
          <w:tcPr>
            <w:tcW w:w="2510" w:type="dxa"/>
            <w:tcBorders>
              <w:top w:val="single" w:color="D9D9D9" w:sz="2" w:space="0"/>
              <w:bottom w:val="single" w:color="D9D9D9" w:sz="2" w:space="0"/>
            </w:tcBorders>
          </w:tcPr>
          <w:p w:rsidR="00C31389" w:rsidRDefault="00561FBD" w14:paraId="2E76433A" w14:textId="77777777">
            <w:pPr>
              <w:pStyle w:val="TableParagraph"/>
              <w:ind w:left="122"/>
              <w:rPr>
                <w:sz w:val="20"/>
              </w:rPr>
            </w:pPr>
            <w:r>
              <w:rPr>
                <w:sz w:val="20"/>
              </w:rPr>
              <w:t>Com</w:t>
            </w:r>
            <w:r>
              <w:rPr>
                <w:spacing w:val="-1"/>
                <w:sz w:val="20"/>
              </w:rPr>
              <w:t xml:space="preserve"> </w:t>
            </w:r>
            <w:r>
              <w:rPr>
                <w:sz w:val="20"/>
              </w:rPr>
              <w:t>–</w:t>
            </w:r>
            <w:r>
              <w:rPr>
                <w:spacing w:val="-1"/>
                <w:sz w:val="20"/>
              </w:rPr>
              <w:t xml:space="preserve"> </w:t>
            </w:r>
            <w:r>
              <w:rPr>
                <w:spacing w:val="-2"/>
                <w:sz w:val="20"/>
              </w:rPr>
              <w:t>Lodging</w:t>
            </w:r>
          </w:p>
        </w:tc>
        <w:tc>
          <w:tcPr>
            <w:tcW w:w="1634" w:type="dxa"/>
            <w:tcBorders>
              <w:top w:val="single" w:color="D9D9D9" w:sz="2" w:space="0"/>
              <w:bottom w:val="single" w:color="D9D9D9" w:sz="2" w:space="0"/>
            </w:tcBorders>
          </w:tcPr>
          <w:p w:rsidR="00C31389" w:rsidRDefault="00561FBD" w14:paraId="09FDE715" w14:textId="77777777">
            <w:pPr>
              <w:pStyle w:val="TableParagraph"/>
              <w:ind w:left="320" w:right="227"/>
              <w:jc w:val="center"/>
              <w:rPr>
                <w:sz w:val="20"/>
              </w:rPr>
            </w:pPr>
            <w:r>
              <w:rPr>
                <w:spacing w:val="-4"/>
                <w:sz w:val="20"/>
              </w:rPr>
              <w:t>100%</w:t>
            </w:r>
          </w:p>
        </w:tc>
        <w:tc>
          <w:tcPr>
            <w:tcW w:w="1535" w:type="dxa"/>
            <w:tcBorders>
              <w:top w:val="single" w:color="D9D9D9" w:sz="2" w:space="0"/>
              <w:bottom w:val="single" w:color="D9D9D9" w:sz="2" w:space="0"/>
            </w:tcBorders>
          </w:tcPr>
          <w:p w:rsidR="00C31389" w:rsidRDefault="00561FBD" w14:paraId="6C96D064" w14:textId="77777777">
            <w:pPr>
              <w:pStyle w:val="TableParagraph"/>
              <w:ind w:left="225" w:right="224"/>
              <w:jc w:val="center"/>
              <w:rPr>
                <w:sz w:val="20"/>
              </w:rPr>
            </w:pPr>
            <w:r>
              <w:rPr>
                <w:spacing w:val="-5"/>
                <w:sz w:val="20"/>
              </w:rPr>
              <w:t>25%</w:t>
            </w:r>
          </w:p>
        </w:tc>
      </w:tr>
      <w:tr w:rsidR="00C31389" w14:paraId="18AF3CF5" w14:textId="77777777">
        <w:trPr>
          <w:trHeight w:val="309"/>
        </w:trPr>
        <w:tc>
          <w:tcPr>
            <w:tcW w:w="2510" w:type="dxa"/>
            <w:tcBorders>
              <w:top w:val="single" w:color="D9D9D9" w:sz="2" w:space="0"/>
              <w:bottom w:val="single" w:color="D9D9D9" w:sz="2" w:space="0"/>
            </w:tcBorders>
          </w:tcPr>
          <w:p w:rsidR="00C31389" w:rsidRDefault="00561FBD" w14:paraId="633D4B4A" w14:textId="77777777">
            <w:pPr>
              <w:pStyle w:val="TableParagraph"/>
              <w:ind w:left="122"/>
              <w:rPr>
                <w:sz w:val="20"/>
              </w:rPr>
            </w:pPr>
            <w:r>
              <w:rPr>
                <w:sz w:val="20"/>
              </w:rPr>
              <w:t>Com</w:t>
            </w:r>
            <w:r>
              <w:rPr>
                <w:spacing w:val="-3"/>
                <w:sz w:val="20"/>
              </w:rPr>
              <w:t xml:space="preserve"> </w:t>
            </w:r>
            <w:r>
              <w:rPr>
                <w:sz w:val="20"/>
              </w:rPr>
              <w:t>–</w:t>
            </w:r>
            <w:r>
              <w:rPr>
                <w:spacing w:val="-2"/>
                <w:sz w:val="20"/>
              </w:rPr>
              <w:t xml:space="preserve"> </w:t>
            </w:r>
            <w:r>
              <w:rPr>
                <w:sz w:val="20"/>
              </w:rPr>
              <w:t>Office</w:t>
            </w:r>
            <w:r>
              <w:rPr>
                <w:spacing w:val="-2"/>
                <w:sz w:val="20"/>
              </w:rPr>
              <w:t xml:space="preserve"> (Large)</w:t>
            </w:r>
          </w:p>
        </w:tc>
        <w:tc>
          <w:tcPr>
            <w:tcW w:w="1634" w:type="dxa"/>
            <w:tcBorders>
              <w:top w:val="single" w:color="D9D9D9" w:sz="2" w:space="0"/>
              <w:bottom w:val="single" w:color="D9D9D9" w:sz="2" w:space="0"/>
            </w:tcBorders>
          </w:tcPr>
          <w:p w:rsidR="00C31389" w:rsidRDefault="00561FBD" w14:paraId="417E4933" w14:textId="77777777">
            <w:pPr>
              <w:pStyle w:val="TableParagraph"/>
              <w:ind w:left="320" w:right="227"/>
              <w:jc w:val="center"/>
              <w:rPr>
                <w:sz w:val="20"/>
              </w:rPr>
            </w:pPr>
            <w:r>
              <w:rPr>
                <w:spacing w:val="-4"/>
                <w:sz w:val="20"/>
              </w:rPr>
              <w:t>100%</w:t>
            </w:r>
          </w:p>
        </w:tc>
        <w:tc>
          <w:tcPr>
            <w:tcW w:w="1535" w:type="dxa"/>
            <w:tcBorders>
              <w:top w:val="single" w:color="D9D9D9" w:sz="2" w:space="0"/>
              <w:bottom w:val="single" w:color="D9D9D9" w:sz="2" w:space="0"/>
            </w:tcBorders>
          </w:tcPr>
          <w:p w:rsidR="00C31389" w:rsidRDefault="00561FBD" w14:paraId="24CAF1E9" w14:textId="77777777">
            <w:pPr>
              <w:pStyle w:val="TableParagraph"/>
              <w:ind w:left="225" w:right="224"/>
              <w:jc w:val="center"/>
              <w:rPr>
                <w:sz w:val="20"/>
              </w:rPr>
            </w:pPr>
            <w:r>
              <w:rPr>
                <w:spacing w:val="-5"/>
                <w:sz w:val="20"/>
              </w:rPr>
              <w:t>27%</w:t>
            </w:r>
          </w:p>
        </w:tc>
      </w:tr>
      <w:tr w:rsidR="00C31389" w14:paraId="469835D4" w14:textId="77777777">
        <w:trPr>
          <w:trHeight w:val="309"/>
        </w:trPr>
        <w:tc>
          <w:tcPr>
            <w:tcW w:w="2510" w:type="dxa"/>
            <w:tcBorders>
              <w:top w:val="single" w:color="D9D9D9" w:sz="2" w:space="0"/>
              <w:bottom w:val="single" w:color="D9D9D9" w:sz="2" w:space="0"/>
            </w:tcBorders>
          </w:tcPr>
          <w:p w:rsidR="00C31389" w:rsidRDefault="00561FBD" w14:paraId="15C23728" w14:textId="77777777">
            <w:pPr>
              <w:pStyle w:val="TableParagraph"/>
              <w:ind w:left="122"/>
              <w:rPr>
                <w:sz w:val="20"/>
              </w:rPr>
            </w:pPr>
            <w:r>
              <w:rPr>
                <w:sz w:val="20"/>
              </w:rPr>
              <w:t>Com</w:t>
            </w:r>
            <w:r>
              <w:rPr>
                <w:spacing w:val="-3"/>
                <w:sz w:val="20"/>
              </w:rPr>
              <w:t xml:space="preserve"> </w:t>
            </w:r>
            <w:r>
              <w:rPr>
                <w:sz w:val="20"/>
              </w:rPr>
              <w:t>–</w:t>
            </w:r>
            <w:r>
              <w:rPr>
                <w:spacing w:val="-1"/>
                <w:sz w:val="20"/>
              </w:rPr>
              <w:t xml:space="preserve"> </w:t>
            </w:r>
            <w:r>
              <w:rPr>
                <w:spacing w:val="-2"/>
                <w:sz w:val="20"/>
              </w:rPr>
              <w:t>Retail</w:t>
            </w:r>
          </w:p>
        </w:tc>
        <w:tc>
          <w:tcPr>
            <w:tcW w:w="1634" w:type="dxa"/>
            <w:tcBorders>
              <w:top w:val="single" w:color="D9D9D9" w:sz="2" w:space="0"/>
              <w:bottom w:val="single" w:color="D9D9D9" w:sz="2" w:space="0"/>
            </w:tcBorders>
          </w:tcPr>
          <w:p w:rsidR="00C31389" w:rsidRDefault="00561FBD" w14:paraId="56CABD31" w14:textId="77777777">
            <w:pPr>
              <w:pStyle w:val="TableParagraph"/>
              <w:ind w:left="320" w:right="227"/>
              <w:jc w:val="center"/>
              <w:rPr>
                <w:sz w:val="20"/>
              </w:rPr>
            </w:pPr>
            <w:r>
              <w:rPr>
                <w:spacing w:val="-5"/>
                <w:sz w:val="20"/>
              </w:rPr>
              <w:t>35%</w:t>
            </w:r>
          </w:p>
        </w:tc>
        <w:tc>
          <w:tcPr>
            <w:tcW w:w="1535" w:type="dxa"/>
            <w:tcBorders>
              <w:top w:val="single" w:color="D9D9D9" w:sz="2" w:space="0"/>
              <w:bottom w:val="single" w:color="D9D9D9" w:sz="2" w:space="0"/>
            </w:tcBorders>
          </w:tcPr>
          <w:p w:rsidR="00C31389" w:rsidRDefault="00561FBD" w14:paraId="3AC8DB77" w14:textId="77777777">
            <w:pPr>
              <w:pStyle w:val="TableParagraph"/>
              <w:ind w:left="225" w:right="224"/>
              <w:jc w:val="center"/>
              <w:rPr>
                <w:sz w:val="20"/>
              </w:rPr>
            </w:pPr>
            <w:r>
              <w:rPr>
                <w:spacing w:val="-5"/>
                <w:sz w:val="20"/>
              </w:rPr>
              <w:t>31%</w:t>
            </w:r>
          </w:p>
        </w:tc>
      </w:tr>
      <w:tr w:rsidR="00C31389" w14:paraId="25BBAEF5" w14:textId="77777777">
        <w:trPr>
          <w:trHeight w:val="311"/>
        </w:trPr>
        <w:tc>
          <w:tcPr>
            <w:tcW w:w="2510" w:type="dxa"/>
            <w:tcBorders>
              <w:top w:val="single" w:color="D9D9D9" w:sz="2" w:space="0"/>
              <w:bottom w:val="single" w:color="000000" w:sz="8" w:space="0"/>
            </w:tcBorders>
          </w:tcPr>
          <w:p w:rsidR="00C31389" w:rsidRDefault="00561FBD" w14:paraId="5855D870" w14:textId="77777777">
            <w:pPr>
              <w:pStyle w:val="TableParagraph"/>
              <w:spacing w:before="41"/>
              <w:ind w:left="122"/>
              <w:rPr>
                <w:sz w:val="20"/>
              </w:rPr>
            </w:pPr>
            <w:r>
              <w:rPr>
                <w:sz w:val="20"/>
              </w:rPr>
              <w:t>Com</w:t>
            </w:r>
            <w:r>
              <w:rPr>
                <w:spacing w:val="-3"/>
                <w:sz w:val="20"/>
              </w:rPr>
              <w:t xml:space="preserve"> </w:t>
            </w:r>
            <w:r>
              <w:rPr>
                <w:sz w:val="20"/>
              </w:rPr>
              <w:t>–</w:t>
            </w:r>
            <w:r>
              <w:rPr>
                <w:spacing w:val="-1"/>
                <w:sz w:val="20"/>
              </w:rPr>
              <w:t xml:space="preserve"> </w:t>
            </w:r>
            <w:r>
              <w:rPr>
                <w:spacing w:val="-2"/>
                <w:sz w:val="20"/>
              </w:rPr>
              <w:t>School</w:t>
            </w:r>
          </w:p>
        </w:tc>
        <w:tc>
          <w:tcPr>
            <w:tcW w:w="1634" w:type="dxa"/>
            <w:tcBorders>
              <w:top w:val="single" w:color="D9D9D9" w:sz="2" w:space="0"/>
              <w:bottom w:val="single" w:color="000000" w:sz="8" w:space="0"/>
            </w:tcBorders>
          </w:tcPr>
          <w:p w:rsidR="00C31389" w:rsidRDefault="00561FBD" w14:paraId="705D1308" w14:textId="77777777">
            <w:pPr>
              <w:pStyle w:val="TableParagraph"/>
              <w:spacing w:before="41"/>
              <w:ind w:left="320" w:right="227"/>
              <w:jc w:val="center"/>
              <w:rPr>
                <w:sz w:val="20"/>
              </w:rPr>
            </w:pPr>
            <w:r>
              <w:rPr>
                <w:spacing w:val="-5"/>
                <w:sz w:val="20"/>
              </w:rPr>
              <w:t>90%</w:t>
            </w:r>
          </w:p>
        </w:tc>
        <w:tc>
          <w:tcPr>
            <w:tcW w:w="1535" w:type="dxa"/>
            <w:tcBorders>
              <w:top w:val="single" w:color="D9D9D9" w:sz="2" w:space="0"/>
              <w:bottom w:val="single" w:color="000000" w:sz="8" w:space="0"/>
            </w:tcBorders>
          </w:tcPr>
          <w:p w:rsidR="00C31389" w:rsidRDefault="00561FBD" w14:paraId="3DB00BA6" w14:textId="77777777">
            <w:pPr>
              <w:pStyle w:val="TableParagraph"/>
              <w:spacing w:before="41"/>
              <w:ind w:left="225" w:right="224"/>
              <w:jc w:val="center"/>
              <w:rPr>
                <w:sz w:val="20"/>
              </w:rPr>
            </w:pPr>
            <w:r>
              <w:rPr>
                <w:spacing w:val="-5"/>
                <w:sz w:val="20"/>
              </w:rPr>
              <w:t>22%</w:t>
            </w:r>
          </w:p>
        </w:tc>
      </w:tr>
    </w:tbl>
    <w:p w:rsidR="00C31389" w:rsidRDefault="00561FBD" w14:paraId="2C33A3B4" w14:textId="77777777">
      <w:pPr>
        <w:spacing w:before="73"/>
        <w:ind w:left="480"/>
        <w:rPr>
          <w:i/>
          <w:sz w:val="18"/>
        </w:rPr>
      </w:pPr>
      <w:r>
        <w:rPr>
          <w:i/>
          <w:sz w:val="18"/>
        </w:rPr>
        <w:t>Source:</w:t>
      </w:r>
      <w:r>
        <w:rPr>
          <w:i/>
          <w:spacing w:val="-4"/>
          <w:sz w:val="18"/>
        </w:rPr>
        <w:t xml:space="preserve"> </w:t>
      </w:r>
      <w:r>
        <w:rPr>
          <w:i/>
          <w:spacing w:val="-2"/>
          <w:sz w:val="18"/>
        </w:rPr>
        <w:t>Guidehouse</w:t>
      </w:r>
    </w:p>
    <w:p w:rsidR="00C31389" w:rsidRDefault="00C31389" w14:paraId="541BFACB" w14:textId="77777777">
      <w:pPr>
        <w:pStyle w:val="BodyText"/>
        <w:spacing w:before="9"/>
        <w:rPr>
          <w:i/>
          <w:sz w:val="20"/>
        </w:rPr>
      </w:pPr>
    </w:p>
    <w:p w:rsidR="00C31389" w:rsidRDefault="00561FBD" w14:paraId="507125BF" w14:textId="77777777">
      <w:pPr>
        <w:pStyle w:val="BodyText"/>
        <w:ind w:left="479" w:right="418"/>
      </w:pPr>
      <w:r>
        <w:t>There is uncertainty as to what extent the utilities will be able to claim savings from benchmarking if it is mandated to a greater degree by another level of government. For example,</w:t>
      </w:r>
      <w:r>
        <w:rPr>
          <w:spacing w:val="-3"/>
        </w:rPr>
        <w:t xml:space="preserve"> </w:t>
      </w:r>
      <w:r>
        <w:t>San</w:t>
      </w:r>
      <w:r>
        <w:rPr>
          <w:spacing w:val="-3"/>
        </w:rPr>
        <w:t xml:space="preserve"> </w:t>
      </w:r>
      <w:r>
        <w:t>Francisco</w:t>
      </w:r>
      <w:r>
        <w:rPr>
          <w:spacing w:val="-5"/>
        </w:rPr>
        <w:t xml:space="preserve"> </w:t>
      </w:r>
      <w:r>
        <w:t>has</w:t>
      </w:r>
      <w:r>
        <w:rPr>
          <w:spacing w:val="-3"/>
        </w:rPr>
        <w:t xml:space="preserve"> </w:t>
      </w:r>
      <w:r>
        <w:t>a</w:t>
      </w:r>
      <w:r>
        <w:rPr>
          <w:spacing w:val="-3"/>
        </w:rPr>
        <w:t xml:space="preserve"> </w:t>
      </w:r>
      <w:r>
        <w:t>benchmarking</w:t>
      </w:r>
      <w:r>
        <w:rPr>
          <w:spacing w:val="-3"/>
        </w:rPr>
        <w:t xml:space="preserve"> </w:t>
      </w:r>
      <w:r>
        <w:t>ordinance</w:t>
      </w:r>
      <w:r>
        <w:rPr>
          <w:spacing w:val="-3"/>
        </w:rPr>
        <w:t xml:space="preserve"> </w:t>
      </w:r>
      <w:r>
        <w:t>for</w:t>
      </w:r>
      <w:r>
        <w:rPr>
          <w:spacing w:val="-3"/>
        </w:rPr>
        <w:t xml:space="preserve"> </w:t>
      </w:r>
      <w:r>
        <w:t>any</w:t>
      </w:r>
      <w:r>
        <w:rPr>
          <w:spacing w:val="-3"/>
        </w:rPr>
        <w:t xml:space="preserve"> </w:t>
      </w:r>
      <w:r>
        <w:t>building</w:t>
      </w:r>
      <w:r>
        <w:rPr>
          <w:spacing w:val="-4"/>
        </w:rPr>
        <w:t xml:space="preserve"> </w:t>
      </w:r>
      <w:r>
        <w:t>greater</w:t>
      </w:r>
      <w:r>
        <w:rPr>
          <w:spacing w:val="-3"/>
        </w:rPr>
        <w:t xml:space="preserve"> </w:t>
      </w:r>
      <w:r>
        <w:t>than</w:t>
      </w:r>
      <w:r>
        <w:rPr>
          <w:spacing w:val="-3"/>
        </w:rPr>
        <w:t xml:space="preserve"> </w:t>
      </w:r>
      <w:r>
        <w:t xml:space="preserve">10,000 square feet. To account for this uncertainty, building benchmarking is excluded from the </w:t>
      </w:r>
      <w:r>
        <w:rPr>
          <w:spacing w:val="-2"/>
        </w:rPr>
        <w:t>analysis.</w:t>
      </w:r>
    </w:p>
    <w:p w:rsidR="00C31389" w:rsidRDefault="00C31389" w14:paraId="1FC1EEB9" w14:textId="77777777">
      <w:pPr>
        <w:pStyle w:val="BodyText"/>
        <w:spacing w:before="10"/>
        <w:rPr>
          <w:sz w:val="20"/>
        </w:rPr>
      </w:pPr>
    </w:p>
    <w:p w:rsidR="00C31389" w:rsidRDefault="00561FBD" w14:paraId="6DEFFCFB" w14:textId="77777777">
      <w:pPr>
        <w:pStyle w:val="Heading7"/>
        <w:ind w:left="479"/>
      </w:pPr>
      <w:r>
        <w:rPr>
          <w:spacing w:val="-2"/>
        </w:rPr>
        <w:t>Savings</w:t>
      </w:r>
    </w:p>
    <w:p w:rsidR="00C31389" w:rsidRDefault="00C31389" w14:paraId="2AC917DB" w14:textId="77777777">
      <w:pPr>
        <w:pStyle w:val="BodyText"/>
        <w:spacing w:before="10"/>
        <w:rPr>
          <w:b/>
          <w:sz w:val="20"/>
        </w:rPr>
      </w:pPr>
    </w:p>
    <w:p w:rsidR="00C31389" w:rsidRDefault="00561FBD" w14:paraId="7FA4EAF8" w14:textId="77777777">
      <w:pPr>
        <w:pStyle w:val="BodyText"/>
        <w:spacing w:before="1"/>
        <w:ind w:left="479" w:right="418"/>
      </w:pPr>
      <w:r>
        <w:t>Estimated electric savings range from 1.1% to 2.2%, while gas savings r</w:t>
      </w:r>
      <w:r>
        <w:t>ange from 0.7% to 1.3%;</w:t>
      </w:r>
      <w:r>
        <w:rPr>
          <w:spacing w:val="-3"/>
        </w:rPr>
        <w:t xml:space="preserve"> </w:t>
      </w:r>
      <w:r>
        <w:t>these</w:t>
      </w:r>
      <w:r>
        <w:rPr>
          <w:spacing w:val="-4"/>
        </w:rPr>
        <w:t xml:space="preserve"> </w:t>
      </w:r>
      <w:r>
        <w:t>values</w:t>
      </w:r>
      <w:r>
        <w:rPr>
          <w:spacing w:val="-2"/>
        </w:rPr>
        <w:t xml:space="preserve"> </w:t>
      </w:r>
      <w:r>
        <w:t>are</w:t>
      </w:r>
      <w:r>
        <w:rPr>
          <w:spacing w:val="-3"/>
        </w:rPr>
        <w:t xml:space="preserve"> </w:t>
      </w:r>
      <w:r>
        <w:t>applied</w:t>
      </w:r>
      <w:r>
        <w:rPr>
          <w:spacing w:val="-3"/>
        </w:rPr>
        <w:t xml:space="preserve"> </w:t>
      </w:r>
      <w:r>
        <w:t>consistently</w:t>
      </w:r>
      <w:r>
        <w:rPr>
          <w:spacing w:val="-3"/>
        </w:rPr>
        <w:t xml:space="preserve"> </w:t>
      </w:r>
      <w:r>
        <w:t>by</w:t>
      </w:r>
      <w:r>
        <w:rPr>
          <w:spacing w:val="-3"/>
        </w:rPr>
        <w:t xml:space="preserve"> </w:t>
      </w:r>
      <w:r>
        <w:t>building</w:t>
      </w:r>
      <w:r>
        <w:rPr>
          <w:spacing w:val="-3"/>
        </w:rPr>
        <w:t xml:space="preserve"> </w:t>
      </w:r>
      <w:r>
        <w:t>and</w:t>
      </w:r>
      <w:r>
        <w:rPr>
          <w:spacing w:val="-3"/>
        </w:rPr>
        <w:t xml:space="preserve"> </w:t>
      </w:r>
      <w:r>
        <w:t>fuel</w:t>
      </w:r>
      <w:r>
        <w:rPr>
          <w:spacing w:val="-3"/>
        </w:rPr>
        <w:t xml:space="preserve"> </w:t>
      </w:r>
      <w:r>
        <w:t>type</w:t>
      </w:r>
      <w:r>
        <w:rPr>
          <w:spacing w:val="-3"/>
        </w:rPr>
        <w:t xml:space="preserve"> </w:t>
      </w:r>
      <w:r>
        <w:t>across</w:t>
      </w:r>
      <w:r>
        <w:rPr>
          <w:spacing w:val="-3"/>
        </w:rPr>
        <w:t xml:space="preserve"> </w:t>
      </w:r>
      <w:r>
        <w:t>utilities.</w:t>
      </w:r>
      <w:r>
        <w:rPr>
          <w:spacing w:val="-6"/>
        </w:rPr>
        <w:t xml:space="preserve"> </w:t>
      </w:r>
      <w:r>
        <w:t>Savings</w:t>
      </w:r>
    </w:p>
    <w:p w:rsidR="00C31389" w:rsidRDefault="00561FBD" w14:paraId="74D7380F" w14:textId="77777777">
      <w:pPr>
        <w:pStyle w:val="BodyText"/>
        <w:spacing w:before="5"/>
        <w:rPr>
          <w:sz w:val="29"/>
        </w:rPr>
      </w:pPr>
      <w:r>
        <w:rPr>
          <w:noProof/>
        </w:rPr>
        <mc:AlternateContent>
          <mc:Choice Requires="wps">
            <w:drawing>
              <wp:anchor distT="0" distB="0" distL="0" distR="0" simplePos="0" relativeHeight="487727104" behindDoc="1" locked="0" layoutInCell="1" allowOverlap="1" wp14:editId="4FE68539" wp14:anchorId="7C43CB98">
                <wp:simplePos x="0" y="0"/>
                <wp:positionH relativeFrom="page">
                  <wp:posOffset>914400</wp:posOffset>
                </wp:positionH>
                <wp:positionV relativeFrom="paragraph">
                  <wp:posOffset>230275</wp:posOffset>
                </wp:positionV>
                <wp:extent cx="1828800" cy="6985"/>
                <wp:effectExtent l="0" t="0" r="0" b="0"/>
                <wp:wrapTopAndBottom/>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41" style="position:absolute;margin-left:1in;margin-top:18.15pt;width:2in;height:.55pt;z-index:-1558937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" w14:anchorId="5CBF3E99">
                <v:path arrowok="t"/>
                <w10:wrap type="topAndBottom" anchorx="page"/>
              </v:shape>
            </w:pict>
          </mc:Fallback>
        </mc:AlternateContent>
      </w:r>
    </w:p>
    <w:p w:rsidR="00C31389" w:rsidRDefault="00561FBD" w14:paraId="7F8E7CF9" w14:textId="77777777">
      <w:pPr>
        <w:spacing w:before="88"/>
        <w:ind w:left="480"/>
        <w:rPr>
          <w:sz w:val="18"/>
        </w:rPr>
      </w:pPr>
      <w:bookmarkStart w:name="_bookmark403" w:id="528"/>
      <w:bookmarkEnd w:id="528"/>
      <w:r>
        <w:rPr>
          <w:position w:val="6"/>
          <w:sz w:val="12"/>
        </w:rPr>
        <w:t>151</w:t>
      </w:r>
      <w:r>
        <w:rPr>
          <w:spacing w:val="12"/>
          <w:position w:val="6"/>
          <w:sz w:val="12"/>
        </w:rPr>
        <w:t xml:space="preserve"> </w:t>
      </w:r>
      <w:r>
        <w:rPr>
          <w:sz w:val="18"/>
        </w:rPr>
        <w:t>U.S.</w:t>
      </w:r>
      <w:r>
        <w:rPr>
          <w:spacing w:val="-3"/>
          <w:sz w:val="18"/>
        </w:rPr>
        <w:t xml:space="preserve"> </w:t>
      </w:r>
      <w:r>
        <w:rPr>
          <w:sz w:val="18"/>
        </w:rPr>
        <w:t>EIA.</w:t>
      </w:r>
      <w:r>
        <w:rPr>
          <w:spacing w:val="-2"/>
          <w:sz w:val="18"/>
        </w:rPr>
        <w:t xml:space="preserve"> </w:t>
      </w:r>
      <w:r>
        <w:rPr>
          <w:sz w:val="18"/>
        </w:rPr>
        <w:t>“Table</w:t>
      </w:r>
      <w:r>
        <w:rPr>
          <w:spacing w:val="-4"/>
          <w:sz w:val="18"/>
        </w:rPr>
        <w:t xml:space="preserve"> </w:t>
      </w:r>
      <w:r>
        <w:rPr>
          <w:sz w:val="18"/>
        </w:rPr>
        <w:t>B7.</w:t>
      </w:r>
      <w:r>
        <w:rPr>
          <w:spacing w:val="-2"/>
          <w:sz w:val="18"/>
        </w:rPr>
        <w:t xml:space="preserve"> </w:t>
      </w:r>
      <w:r>
        <w:rPr>
          <w:sz w:val="18"/>
        </w:rPr>
        <w:t>Building</w:t>
      </w:r>
      <w:r>
        <w:rPr>
          <w:spacing w:val="-2"/>
          <w:sz w:val="18"/>
        </w:rPr>
        <w:t xml:space="preserve"> </w:t>
      </w:r>
      <w:r>
        <w:rPr>
          <w:sz w:val="18"/>
        </w:rPr>
        <w:t>size,</w:t>
      </w:r>
      <w:r>
        <w:rPr>
          <w:spacing w:val="-2"/>
          <w:sz w:val="18"/>
        </w:rPr>
        <w:t xml:space="preserve"> </w:t>
      </w:r>
      <w:r>
        <w:rPr>
          <w:sz w:val="18"/>
        </w:rPr>
        <w:t>floorspace,</w:t>
      </w:r>
      <w:r>
        <w:rPr>
          <w:spacing w:val="-3"/>
          <w:sz w:val="18"/>
        </w:rPr>
        <w:t xml:space="preserve"> </w:t>
      </w:r>
      <w:r>
        <w:rPr>
          <w:sz w:val="18"/>
        </w:rPr>
        <w:t>2012.”</w:t>
      </w:r>
      <w:r>
        <w:rPr>
          <w:spacing w:val="-2"/>
          <w:sz w:val="18"/>
        </w:rPr>
        <w:t xml:space="preserve"> </w:t>
      </w:r>
      <w:r>
        <w:rPr>
          <w:sz w:val="18"/>
        </w:rPr>
        <w:t>CBECS</w:t>
      </w:r>
      <w:r>
        <w:rPr>
          <w:spacing w:val="-3"/>
          <w:sz w:val="18"/>
        </w:rPr>
        <w:t xml:space="preserve"> </w:t>
      </w:r>
      <w:r>
        <w:rPr>
          <w:sz w:val="18"/>
        </w:rPr>
        <w:t>(May</w:t>
      </w:r>
      <w:r>
        <w:rPr>
          <w:spacing w:val="-2"/>
          <w:sz w:val="18"/>
        </w:rPr>
        <w:t xml:space="preserve"> 2016).</w:t>
      </w:r>
    </w:p>
    <w:p w:rsidR="00C31389" w:rsidRDefault="00C31389" w14:paraId="185D6175" w14:textId="77777777">
      <w:pPr>
        <w:rPr>
          <w:sz w:val="18"/>
        </w:rPr>
        <w:sectPr w:rsidR="00C31389">
          <w:pgSz w:w="11910" w:h="16840"/>
          <w:pgMar w:top="1660" w:right="1020" w:bottom="1120" w:left="960" w:header="397" w:footer="938" w:gutter="0"/>
          <w:cols w:space="720"/>
        </w:sectPr>
      </w:pPr>
    </w:p>
    <w:p w:rsidR="00C31389" w:rsidRDefault="00C31389" w14:paraId="517088DD" w14:textId="77777777">
      <w:pPr>
        <w:pStyle w:val="BodyText"/>
        <w:spacing w:before="11"/>
        <w:rPr>
          <w:sz w:val="13"/>
        </w:rPr>
      </w:pPr>
    </w:p>
    <w:p w:rsidR="00C31389" w:rsidRDefault="00561FBD" w14:paraId="653F6B70" w14:textId="77777777">
      <w:pPr>
        <w:pStyle w:val="BodyText"/>
        <w:spacing w:before="92"/>
        <w:ind w:left="479" w:right="505"/>
      </w:pPr>
      <w:r>
        <w:t xml:space="preserve">estimates are based on actual savings </w:t>
      </w:r>
      <w:r>
        <w:t>levels from city benchmarking reports.</w:t>
      </w:r>
      <w:hyperlink w:history="1" w:anchor="_bookmark406">
        <w:r>
          <w:rPr>
            <w:position w:val="7"/>
            <w:sz w:val="14"/>
          </w:rPr>
          <w:t>152</w:t>
        </w:r>
      </w:hyperlink>
      <w:r>
        <w:rPr>
          <w:position w:val="7"/>
          <w:sz w:val="14"/>
        </w:rPr>
        <w:t>,</w:t>
      </w:r>
      <w:hyperlink w:history="1" w:anchor="_bookmark407">
        <w:r>
          <w:rPr>
            <w:position w:val="7"/>
            <w:sz w:val="14"/>
          </w:rPr>
          <w:t>153</w:t>
        </w:r>
      </w:hyperlink>
      <w:r>
        <w:rPr>
          <w:position w:val="7"/>
          <w:sz w:val="14"/>
        </w:rPr>
        <w:t>,</w:t>
      </w:r>
      <w:hyperlink w:history="1" w:anchor="_bookmark408">
        <w:r>
          <w:rPr>
            <w:position w:val="7"/>
            <w:sz w:val="14"/>
          </w:rPr>
          <w:t>154</w:t>
        </w:r>
      </w:hyperlink>
      <w:r>
        <w:rPr>
          <w:position w:val="7"/>
          <w:sz w:val="14"/>
        </w:rPr>
        <w:t>,</w:t>
      </w:r>
      <w:hyperlink w:history="1" w:anchor="_bookmark409">
        <w:r>
          <w:rPr>
            <w:position w:val="7"/>
            <w:sz w:val="14"/>
          </w:rPr>
          <w:t>155</w:t>
        </w:r>
      </w:hyperlink>
      <w:r>
        <w:rPr>
          <w:position w:val="7"/>
          <w:sz w:val="14"/>
        </w:rPr>
        <w:t>,</w:t>
      </w:r>
      <w:hyperlink w:history="1" w:anchor="_bookmark410">
        <w:r>
          <w:rPr>
            <w:position w:val="7"/>
            <w:sz w:val="14"/>
          </w:rPr>
          <w:t>156</w:t>
        </w:r>
      </w:hyperlink>
      <w:r>
        <w:rPr>
          <w:spacing w:val="40"/>
          <w:position w:val="7"/>
          <w:sz w:val="14"/>
        </w:rPr>
        <w:t xml:space="preserve"> </w:t>
      </w:r>
      <w:r>
        <w:t>Reported savings were divided in half because the team assumes that half of the savings come from technologies and half from operation-related behaviors. Furthermore, the team applied a consistent split of 60% electric s</w:t>
      </w:r>
      <w:r>
        <w:t>avings and 40% gas savings. This split likely varies by</w:t>
      </w:r>
      <w:r>
        <w:rPr>
          <w:spacing w:val="-1"/>
        </w:rPr>
        <w:t xml:space="preserve"> </w:t>
      </w:r>
      <w:r>
        <w:t>building type,</w:t>
      </w:r>
      <w:r>
        <w:rPr>
          <w:spacing w:val="-1"/>
        </w:rPr>
        <w:t xml:space="preserve"> </w:t>
      </w:r>
      <w:r>
        <w:t>but because</w:t>
      </w:r>
      <w:r>
        <w:rPr>
          <w:spacing w:val="-1"/>
        </w:rPr>
        <w:t xml:space="preserve"> </w:t>
      </w:r>
      <w:r>
        <w:t>this data was not available, the team</w:t>
      </w:r>
      <w:r>
        <w:rPr>
          <w:spacing w:val="-1"/>
        </w:rPr>
        <w:t xml:space="preserve"> </w:t>
      </w:r>
      <w:r>
        <w:t>did not make this calculation based on specific building type consumption information.</w:t>
      </w:r>
    </w:p>
    <w:p w:rsidR="00C31389" w:rsidRDefault="00C31389" w14:paraId="4D0989C5" w14:textId="77777777">
      <w:pPr>
        <w:pStyle w:val="BodyText"/>
        <w:spacing w:before="11"/>
        <w:rPr>
          <w:sz w:val="20"/>
        </w:rPr>
      </w:pPr>
    </w:p>
    <w:p w:rsidR="00C31389" w:rsidRDefault="00561FBD" w14:paraId="01F71B7E" w14:textId="77777777">
      <w:pPr>
        <w:pStyle w:val="BodyText"/>
        <w:ind w:left="480"/>
      </w:pPr>
      <w:r>
        <w:t>The</w:t>
      </w:r>
      <w:r>
        <w:rPr>
          <w:spacing w:val="-6"/>
        </w:rPr>
        <w:t xml:space="preserve"> </w:t>
      </w:r>
      <w:r>
        <w:t>model</w:t>
      </w:r>
      <w:r>
        <w:rPr>
          <w:spacing w:val="-6"/>
        </w:rPr>
        <w:t xml:space="preserve"> </w:t>
      </w:r>
      <w:r>
        <w:t>uses</w:t>
      </w:r>
      <w:r>
        <w:rPr>
          <w:spacing w:val="-5"/>
        </w:rPr>
        <w:t xml:space="preserve"> </w:t>
      </w:r>
      <w:r>
        <w:t>an</w:t>
      </w:r>
      <w:r>
        <w:rPr>
          <w:spacing w:val="-6"/>
        </w:rPr>
        <w:t xml:space="preserve"> </w:t>
      </w:r>
      <w:r>
        <w:t>EUL</w:t>
      </w:r>
      <w:r>
        <w:rPr>
          <w:spacing w:val="-6"/>
        </w:rPr>
        <w:t xml:space="preserve"> </w:t>
      </w:r>
      <w:r>
        <w:t>of</w:t>
      </w:r>
      <w:r>
        <w:rPr>
          <w:spacing w:val="-5"/>
        </w:rPr>
        <w:t xml:space="preserve"> </w:t>
      </w:r>
      <w:r>
        <w:t>2</w:t>
      </w:r>
      <w:r>
        <w:rPr>
          <w:spacing w:val="-6"/>
        </w:rPr>
        <w:t xml:space="preserve"> </w:t>
      </w:r>
      <w:r>
        <w:t>years</w:t>
      </w:r>
      <w:r>
        <w:rPr>
          <w:spacing w:val="-5"/>
        </w:rPr>
        <w:t xml:space="preserve"> </w:t>
      </w:r>
      <w:r>
        <w:t>per</w:t>
      </w:r>
      <w:r>
        <w:rPr>
          <w:spacing w:val="-6"/>
        </w:rPr>
        <w:t xml:space="preserve"> </w:t>
      </w:r>
      <w:r>
        <w:t>CPUC</w:t>
      </w:r>
      <w:r>
        <w:rPr>
          <w:spacing w:val="-5"/>
        </w:rPr>
        <w:t xml:space="preserve"> </w:t>
      </w:r>
      <w:r>
        <w:t>Decision</w:t>
      </w:r>
      <w:r>
        <w:rPr>
          <w:spacing w:val="-5"/>
        </w:rPr>
        <w:t xml:space="preserve"> </w:t>
      </w:r>
      <w:r>
        <w:t>16-08-</w:t>
      </w:r>
      <w:r>
        <w:rPr>
          <w:spacing w:val="-4"/>
        </w:rPr>
        <w:t>019.</w:t>
      </w:r>
    </w:p>
    <w:p w:rsidR="00C31389" w:rsidRDefault="00C31389" w14:paraId="7FE66AD7" w14:textId="77777777">
      <w:pPr>
        <w:pStyle w:val="BodyText"/>
        <w:spacing w:before="8"/>
        <w:rPr>
          <w:sz w:val="20"/>
        </w:rPr>
      </w:pPr>
    </w:p>
    <w:p w:rsidR="00C31389" w:rsidRDefault="00561FBD" w14:paraId="459DB18B" w14:textId="77777777">
      <w:pPr>
        <w:pStyle w:val="BodyText"/>
        <w:spacing w:before="1"/>
        <w:ind w:left="480" w:right="418" w:hanging="1"/>
      </w:pPr>
      <w:r>
        <w:t>Because</w:t>
      </w:r>
      <w:r>
        <w:rPr>
          <w:spacing w:val="-3"/>
        </w:rPr>
        <w:t xml:space="preserve"> </w:t>
      </w:r>
      <w:r>
        <w:t>no</w:t>
      </w:r>
      <w:r>
        <w:rPr>
          <w:spacing w:val="-4"/>
        </w:rPr>
        <w:t xml:space="preserve"> </w:t>
      </w:r>
      <w:r>
        <w:t>demand</w:t>
      </w:r>
      <w:r>
        <w:rPr>
          <w:spacing w:val="-3"/>
        </w:rPr>
        <w:t xml:space="preserve"> </w:t>
      </w:r>
      <w:r>
        <w:t>savings</w:t>
      </w:r>
      <w:r>
        <w:rPr>
          <w:spacing w:val="-3"/>
        </w:rPr>
        <w:t xml:space="preserve"> </w:t>
      </w:r>
      <w:r>
        <w:t>data</w:t>
      </w:r>
      <w:r>
        <w:rPr>
          <w:spacing w:val="-3"/>
        </w:rPr>
        <w:t xml:space="preserve"> </w:t>
      </w:r>
      <w:r>
        <w:t>was</w:t>
      </w:r>
      <w:r>
        <w:rPr>
          <w:spacing w:val="-3"/>
        </w:rPr>
        <w:t xml:space="preserve"> </w:t>
      </w:r>
      <w:r>
        <w:t>available</w:t>
      </w:r>
      <w:r>
        <w:rPr>
          <w:spacing w:val="-4"/>
        </w:rPr>
        <w:t xml:space="preserve"> </w:t>
      </w:r>
      <w:r>
        <w:t>for</w:t>
      </w:r>
      <w:r>
        <w:rPr>
          <w:spacing w:val="-3"/>
        </w:rPr>
        <w:t xml:space="preserve"> </w:t>
      </w:r>
      <w:r>
        <w:t>benchmarking,</w:t>
      </w:r>
      <w:r>
        <w:rPr>
          <w:spacing w:val="-3"/>
        </w:rPr>
        <w:t xml:space="preserve"> </w:t>
      </w:r>
      <w:r>
        <w:t>the</w:t>
      </w:r>
      <w:r>
        <w:rPr>
          <w:spacing w:val="-3"/>
        </w:rPr>
        <w:t xml:space="preserve"> </w:t>
      </w:r>
      <w:r>
        <w:t>team</w:t>
      </w:r>
      <w:r>
        <w:rPr>
          <w:spacing w:val="-4"/>
        </w:rPr>
        <w:t xml:space="preserve"> </w:t>
      </w:r>
      <w:r>
        <w:t>averaged</w:t>
      </w:r>
      <w:r>
        <w:rPr>
          <w:spacing w:val="-3"/>
        </w:rPr>
        <w:t xml:space="preserve"> </w:t>
      </w:r>
      <w:r>
        <w:t>the ratio of kW to kWh savings calculated for BEIMS, BOC, and SEM. This yielded a result of 0.000102, which is the figure used for the three electric util</w:t>
      </w:r>
      <w:r>
        <w:t>ities.</w:t>
      </w:r>
    </w:p>
    <w:p w:rsidR="00C31389" w:rsidRDefault="00C31389" w14:paraId="4DB10094" w14:textId="77777777">
      <w:pPr>
        <w:pStyle w:val="BodyText"/>
        <w:spacing w:before="10"/>
        <w:rPr>
          <w:sz w:val="20"/>
        </w:rPr>
      </w:pPr>
    </w:p>
    <w:p w:rsidR="00C31389" w:rsidRDefault="00561FBD" w14:paraId="1A701ADD" w14:textId="77777777">
      <w:pPr>
        <w:pStyle w:val="Heading7"/>
        <w:ind w:left="480"/>
      </w:pPr>
      <w:r>
        <w:rPr>
          <w:spacing w:val="-4"/>
        </w:rPr>
        <w:t>Cost</w:t>
      </w:r>
    </w:p>
    <w:p w:rsidR="00C31389" w:rsidRDefault="00C31389" w14:paraId="59C355BE" w14:textId="77777777">
      <w:pPr>
        <w:pStyle w:val="BodyText"/>
        <w:spacing w:before="10"/>
        <w:rPr>
          <w:b/>
          <w:sz w:val="20"/>
        </w:rPr>
      </w:pPr>
    </w:p>
    <w:p w:rsidR="00C31389" w:rsidRDefault="00561FBD" w14:paraId="35BD4279" w14:textId="77777777">
      <w:pPr>
        <w:pStyle w:val="BodyText"/>
        <w:spacing w:before="1"/>
        <w:ind w:left="480" w:right="434"/>
      </w:pPr>
      <w:r>
        <w:t>Available data suggests</w:t>
      </w:r>
      <w:r>
        <w:rPr>
          <w:spacing w:val="-1"/>
        </w:rPr>
        <w:t xml:space="preserve"> </w:t>
      </w:r>
      <w:r>
        <w:t>that benchmarking programs often include a utility in concert</w:t>
      </w:r>
      <w:r>
        <w:rPr>
          <w:spacing w:val="-1"/>
        </w:rPr>
        <w:t xml:space="preserve"> </w:t>
      </w:r>
      <w:r>
        <w:t>with a municipality. The model’s estimates use PG&amp;E’s estimated 3-year program budget of $2.3 million.</w:t>
      </w:r>
      <w:hyperlink w:history="1" w:anchor="_bookmark411">
        <w:r>
          <w:rPr>
            <w:position w:val="7"/>
            <w:sz w:val="14"/>
          </w:rPr>
          <w:t>157</w:t>
        </w:r>
      </w:hyperlink>
      <w:r>
        <w:rPr>
          <w:spacing w:val="19"/>
          <w:position w:val="7"/>
          <w:sz w:val="14"/>
        </w:rPr>
        <w:t xml:space="preserve"> </w:t>
      </w:r>
      <w:r>
        <w:t>Attributing</w:t>
      </w:r>
      <w:r>
        <w:rPr>
          <w:spacing w:val="-2"/>
        </w:rPr>
        <w:t xml:space="preserve"> </w:t>
      </w:r>
      <w:r>
        <w:t>all</w:t>
      </w:r>
      <w:r>
        <w:rPr>
          <w:spacing w:val="-3"/>
        </w:rPr>
        <w:t xml:space="preserve"> </w:t>
      </w:r>
      <w:r>
        <w:t>costs</w:t>
      </w:r>
      <w:r>
        <w:rPr>
          <w:spacing w:val="-2"/>
        </w:rPr>
        <w:t xml:space="preserve"> </w:t>
      </w:r>
      <w:r>
        <w:t>to</w:t>
      </w:r>
      <w:r>
        <w:rPr>
          <w:spacing w:val="-2"/>
        </w:rPr>
        <w:t xml:space="preserve"> </w:t>
      </w:r>
      <w:r>
        <w:t>either</w:t>
      </w:r>
      <w:r>
        <w:rPr>
          <w:spacing w:val="-4"/>
        </w:rPr>
        <w:t xml:space="preserve"> </w:t>
      </w:r>
      <w:r>
        <w:t>electricity</w:t>
      </w:r>
      <w:r>
        <w:rPr>
          <w:spacing w:val="-2"/>
        </w:rPr>
        <w:t xml:space="preserve"> </w:t>
      </w:r>
      <w:r>
        <w:t>or</w:t>
      </w:r>
      <w:r>
        <w:rPr>
          <w:spacing w:val="-3"/>
        </w:rPr>
        <w:t xml:space="preserve"> </w:t>
      </w:r>
      <w:r>
        <w:t>gas,</w:t>
      </w:r>
      <w:r>
        <w:rPr>
          <w:spacing w:val="-2"/>
        </w:rPr>
        <w:t xml:space="preserve"> </w:t>
      </w:r>
      <w:r>
        <w:t>this</w:t>
      </w:r>
      <w:r>
        <w:rPr>
          <w:spacing w:val="-2"/>
        </w:rPr>
        <w:t xml:space="preserve"> </w:t>
      </w:r>
      <w:r>
        <w:t>utility</w:t>
      </w:r>
      <w:r>
        <w:rPr>
          <w:spacing w:val="-2"/>
        </w:rPr>
        <w:t xml:space="preserve"> </w:t>
      </w:r>
      <w:r>
        <w:t>program</w:t>
      </w:r>
      <w:r>
        <w:rPr>
          <w:spacing w:val="-3"/>
        </w:rPr>
        <w:t xml:space="preserve"> </w:t>
      </w:r>
      <w:r>
        <w:t>cost</w:t>
      </w:r>
      <w:r>
        <w:rPr>
          <w:spacing w:val="-2"/>
        </w:rPr>
        <w:t xml:space="preserve"> </w:t>
      </w:r>
      <w:r>
        <w:t>was</w:t>
      </w:r>
      <w:r>
        <w:rPr>
          <w:spacing w:val="-2"/>
        </w:rPr>
        <w:t xml:space="preserve"> </w:t>
      </w:r>
      <w:r>
        <w:t>divided by estimated savings to calculate a per-unit savings cost. Costs amounted to $0.0396 per kWh and $</w:t>
      </w:r>
      <w:r>
        <w:t>0.2352 per therm and are not utility-specific.</w:t>
      </w:r>
    </w:p>
    <w:p w:rsidR="00C31389" w:rsidRDefault="00C31389" w14:paraId="38ABFDBD" w14:textId="77777777">
      <w:pPr>
        <w:pStyle w:val="BodyText"/>
        <w:spacing w:before="9"/>
        <w:rPr>
          <w:sz w:val="20"/>
        </w:rPr>
      </w:pPr>
    </w:p>
    <w:p w:rsidR="00C31389" w:rsidRDefault="00561FBD" w14:paraId="39321713" w14:textId="77777777">
      <w:pPr>
        <w:pStyle w:val="ListParagraph"/>
        <w:numPr>
          <w:ilvl w:val="1"/>
          <w:numId w:val="19"/>
        </w:numPr>
        <w:tabs>
          <w:tab w:val="left" w:pos="1147"/>
        </w:tabs>
        <w:spacing w:before="1"/>
        <w:ind w:left="1147" w:hanging="667"/>
        <w:rPr>
          <w:b/>
          <w:sz w:val="28"/>
        </w:rPr>
      </w:pPr>
      <w:bookmarkStart w:name="D.10_Commercial_–_Competitions" w:id="529"/>
      <w:bookmarkStart w:name="_bookmark404" w:id="530"/>
      <w:bookmarkEnd w:id="529"/>
      <w:bookmarkEnd w:id="530"/>
      <w:r>
        <w:rPr>
          <w:b/>
          <w:sz w:val="28"/>
        </w:rPr>
        <w:t>Commercial</w:t>
      </w:r>
      <w:r>
        <w:rPr>
          <w:b/>
          <w:spacing w:val="-10"/>
          <w:sz w:val="28"/>
        </w:rPr>
        <w:t xml:space="preserve"> </w:t>
      </w:r>
      <w:r>
        <w:rPr>
          <w:b/>
          <w:sz w:val="28"/>
        </w:rPr>
        <w:t>–</w:t>
      </w:r>
      <w:r>
        <w:rPr>
          <w:b/>
          <w:spacing w:val="-10"/>
          <w:sz w:val="28"/>
        </w:rPr>
        <w:t xml:space="preserve"> </w:t>
      </w:r>
      <w:r>
        <w:rPr>
          <w:b/>
          <w:spacing w:val="-2"/>
          <w:sz w:val="28"/>
        </w:rPr>
        <w:t>Competitions</w:t>
      </w:r>
    </w:p>
    <w:p w:rsidR="00C31389" w:rsidRDefault="00C31389" w14:paraId="51ABFE75" w14:textId="77777777">
      <w:pPr>
        <w:pStyle w:val="BodyText"/>
        <w:spacing w:before="4"/>
        <w:rPr>
          <w:b/>
          <w:sz w:val="31"/>
        </w:rPr>
      </w:pPr>
    </w:p>
    <w:p w:rsidR="00C31389" w:rsidRDefault="00561FBD" w14:paraId="4E4D9E14" w14:textId="77777777">
      <w:pPr>
        <w:pStyle w:val="ListParagraph"/>
        <w:numPr>
          <w:ilvl w:val="2"/>
          <w:numId w:val="19"/>
        </w:numPr>
        <w:tabs>
          <w:tab w:val="left" w:pos="1196"/>
        </w:tabs>
        <w:ind w:left="1196" w:hanging="716"/>
        <w:rPr>
          <w:b/>
          <w:sz w:val="24"/>
        </w:rPr>
      </w:pPr>
      <w:bookmarkStart w:name="D.10.1_Summary" w:id="531"/>
      <w:bookmarkStart w:name="_bookmark405" w:id="532"/>
      <w:bookmarkEnd w:id="531"/>
      <w:bookmarkEnd w:id="532"/>
      <w:r>
        <w:rPr>
          <w:b/>
          <w:spacing w:val="-2"/>
          <w:sz w:val="24"/>
        </w:rPr>
        <w:t>Summary</w:t>
      </w:r>
    </w:p>
    <w:p w:rsidR="00C31389" w:rsidRDefault="00C31389" w14:paraId="12B63B5C" w14:textId="77777777">
      <w:pPr>
        <w:pStyle w:val="BodyText"/>
        <w:spacing w:before="3"/>
        <w:rPr>
          <w:b/>
          <w:sz w:val="23"/>
        </w:rPr>
      </w:pPr>
    </w:p>
    <w:p w:rsidR="00C31389" w:rsidRDefault="00561FBD" w14:paraId="741006F2" w14:textId="77777777">
      <w:pPr>
        <w:pStyle w:val="BodyText"/>
        <w:ind w:left="480" w:right="418"/>
      </w:pPr>
      <w:r>
        <w:t>Commercial competitions are a behavioral intervention approach in which participants compete</w:t>
      </w:r>
      <w:r>
        <w:rPr>
          <w:spacing w:val="-3"/>
        </w:rPr>
        <w:t xml:space="preserve"> </w:t>
      </w:r>
      <w:r>
        <w:t>in</w:t>
      </w:r>
      <w:r>
        <w:rPr>
          <w:spacing w:val="-3"/>
        </w:rPr>
        <w:t xml:space="preserve"> </w:t>
      </w:r>
      <w:r>
        <w:t>events,</w:t>
      </w:r>
      <w:r>
        <w:rPr>
          <w:spacing w:val="-3"/>
        </w:rPr>
        <w:t xml:space="preserve"> </w:t>
      </w:r>
      <w:r>
        <w:t>contests,</w:t>
      </w:r>
      <w:r>
        <w:rPr>
          <w:spacing w:val="-3"/>
        </w:rPr>
        <w:t xml:space="preserve"> </w:t>
      </w:r>
      <w:r>
        <w:t>or</w:t>
      </w:r>
      <w:r>
        <w:rPr>
          <w:spacing w:val="-3"/>
        </w:rPr>
        <w:t xml:space="preserve"> </w:t>
      </w:r>
      <w:r>
        <w:t>challenges</w:t>
      </w:r>
      <w:r>
        <w:rPr>
          <w:spacing w:val="-3"/>
        </w:rPr>
        <w:t xml:space="preserve"> </w:t>
      </w:r>
      <w:r>
        <w:t>to</w:t>
      </w:r>
      <w:r>
        <w:rPr>
          <w:spacing w:val="-3"/>
        </w:rPr>
        <w:t xml:space="preserve"> </w:t>
      </w:r>
      <w:r>
        <w:t>achieve</w:t>
      </w:r>
      <w:r>
        <w:rPr>
          <w:spacing w:val="-3"/>
        </w:rPr>
        <w:t xml:space="preserve"> </w:t>
      </w:r>
      <w:r>
        <w:t>a</w:t>
      </w:r>
      <w:r>
        <w:rPr>
          <w:spacing w:val="-3"/>
        </w:rPr>
        <w:t xml:space="preserve"> </w:t>
      </w:r>
      <w:r>
        <w:t>specific</w:t>
      </w:r>
      <w:r>
        <w:rPr>
          <w:spacing w:val="-3"/>
        </w:rPr>
        <w:t xml:space="preserve"> </w:t>
      </w:r>
      <w:r>
        <w:t>objective</w:t>
      </w:r>
      <w:r>
        <w:rPr>
          <w:spacing w:val="-2"/>
        </w:rPr>
        <w:t xml:space="preserve"> </w:t>
      </w:r>
      <w:r>
        <w:t>(i.e.,</w:t>
      </w:r>
      <w:r>
        <w:rPr>
          <w:spacing w:val="-3"/>
        </w:rPr>
        <w:t xml:space="preserve"> </w:t>
      </w:r>
      <w:r>
        <w:t>reducing energy consumption) or the highest rank compared with other individuals or groups.</w:t>
      </w:r>
    </w:p>
    <w:p w:rsidR="00C31389" w:rsidRDefault="00561FBD" w14:paraId="25E7598B" w14:textId="77777777">
      <w:pPr>
        <w:pStyle w:val="BodyText"/>
        <w:ind w:left="480" w:right="505"/>
      </w:pPr>
      <w:r>
        <w:t>Competitions</w:t>
      </w:r>
      <w:r>
        <w:rPr>
          <w:spacing w:val="-3"/>
        </w:rPr>
        <w:t xml:space="preserve"> </w:t>
      </w:r>
      <w:r>
        <w:t>can</w:t>
      </w:r>
      <w:r>
        <w:rPr>
          <w:spacing w:val="-3"/>
        </w:rPr>
        <w:t xml:space="preserve"> </w:t>
      </w:r>
      <w:r>
        <w:t>run</w:t>
      </w:r>
      <w:r>
        <w:rPr>
          <w:spacing w:val="-3"/>
        </w:rPr>
        <w:t xml:space="preserve"> </w:t>
      </w:r>
      <w:r>
        <w:t>for</w:t>
      </w:r>
      <w:r>
        <w:rPr>
          <w:spacing w:val="-4"/>
        </w:rPr>
        <w:t xml:space="preserve"> </w:t>
      </w:r>
      <w:r>
        <w:t>varying</w:t>
      </w:r>
      <w:r>
        <w:rPr>
          <w:spacing w:val="-3"/>
        </w:rPr>
        <w:t xml:space="preserve"> </w:t>
      </w:r>
      <w:r>
        <w:t>time</w:t>
      </w:r>
      <w:r>
        <w:rPr>
          <w:spacing w:val="-3"/>
        </w:rPr>
        <w:t xml:space="preserve"> </w:t>
      </w:r>
      <w:r>
        <w:t>periods</w:t>
      </w:r>
      <w:r>
        <w:rPr>
          <w:spacing w:val="-3"/>
        </w:rPr>
        <w:t xml:space="preserve"> </w:t>
      </w:r>
      <w:r>
        <w:t>ranging</w:t>
      </w:r>
      <w:r>
        <w:rPr>
          <w:spacing w:val="-3"/>
        </w:rPr>
        <w:t xml:space="preserve"> </w:t>
      </w:r>
      <w:r>
        <w:t>from</w:t>
      </w:r>
      <w:r>
        <w:rPr>
          <w:spacing w:val="-4"/>
        </w:rPr>
        <w:t xml:space="preserve"> </w:t>
      </w:r>
      <w:r>
        <w:t>a</w:t>
      </w:r>
      <w:r>
        <w:rPr>
          <w:spacing w:val="-3"/>
        </w:rPr>
        <w:t xml:space="preserve"> </w:t>
      </w:r>
      <w:r>
        <w:t>single</w:t>
      </w:r>
      <w:r>
        <w:rPr>
          <w:spacing w:val="-3"/>
        </w:rPr>
        <w:t xml:space="preserve"> </w:t>
      </w:r>
      <w:r>
        <w:t>month</w:t>
      </w:r>
      <w:r>
        <w:rPr>
          <w:spacing w:val="-3"/>
        </w:rPr>
        <w:t xml:space="preserve"> </w:t>
      </w:r>
      <w:r>
        <w:t>to</w:t>
      </w:r>
      <w:r>
        <w:rPr>
          <w:spacing w:val="-3"/>
        </w:rPr>
        <w:t xml:space="preserve"> </w:t>
      </w:r>
      <w:r>
        <w:t>multiple</w:t>
      </w:r>
      <w:r>
        <w:rPr>
          <w:spacing w:val="-4"/>
        </w:rPr>
        <w:t xml:space="preserve"> </w:t>
      </w:r>
      <w:r>
        <w:t>years. They can include a mix of behavioral strategies, including goal setting</w:t>
      </w:r>
      <w:r>
        <w:t>, commitments, games, social norms, and feedback. Those competitions designed to produce energy savings via equipment upgrades were not included in the Guidehouse team’s analysis.</w:t>
      </w:r>
    </w:p>
    <w:p w:rsidR="00C31389" w:rsidRDefault="00C31389" w14:paraId="3762E511" w14:textId="77777777">
      <w:pPr>
        <w:pStyle w:val="BodyText"/>
        <w:spacing w:before="9"/>
        <w:rPr>
          <w:sz w:val="20"/>
        </w:rPr>
      </w:pPr>
    </w:p>
    <w:p w:rsidR="00C31389" w:rsidRDefault="00561FBD" w14:paraId="67FA8029" w14:textId="77777777">
      <w:pPr>
        <w:pStyle w:val="BodyText"/>
        <w:ind w:left="480" w:right="418"/>
      </w:pPr>
      <w:r>
        <w:t>Competitions</w:t>
      </w:r>
      <w:r>
        <w:rPr>
          <w:spacing w:val="-3"/>
        </w:rPr>
        <w:t xml:space="preserve"> </w:t>
      </w:r>
      <w:r>
        <w:t>may</w:t>
      </w:r>
      <w:r>
        <w:rPr>
          <w:spacing w:val="-3"/>
        </w:rPr>
        <w:t xml:space="preserve"> </w:t>
      </w:r>
      <w:r>
        <w:t>be</w:t>
      </w:r>
      <w:r>
        <w:rPr>
          <w:spacing w:val="-3"/>
        </w:rPr>
        <w:t xml:space="preserve"> </w:t>
      </w:r>
      <w:r>
        <w:t>designed</w:t>
      </w:r>
      <w:r>
        <w:rPr>
          <w:spacing w:val="-3"/>
        </w:rPr>
        <w:t xml:space="preserve"> </w:t>
      </w:r>
      <w:r>
        <w:t>differently</w:t>
      </w:r>
      <w:r>
        <w:rPr>
          <w:spacing w:val="-3"/>
        </w:rPr>
        <w:t xml:space="preserve"> </w:t>
      </w:r>
      <w:r>
        <w:t>depending</w:t>
      </w:r>
      <w:r>
        <w:rPr>
          <w:spacing w:val="-3"/>
        </w:rPr>
        <w:t xml:space="preserve"> </w:t>
      </w:r>
      <w:r>
        <w:t>on</w:t>
      </w:r>
      <w:r>
        <w:rPr>
          <w:spacing w:val="-3"/>
        </w:rPr>
        <w:t xml:space="preserve"> </w:t>
      </w:r>
      <w:r>
        <w:t>the</w:t>
      </w:r>
      <w:r>
        <w:rPr>
          <w:spacing w:val="-4"/>
        </w:rPr>
        <w:t xml:space="preserve"> </w:t>
      </w:r>
      <w:r>
        <w:t>size</w:t>
      </w:r>
      <w:r>
        <w:rPr>
          <w:spacing w:val="-3"/>
        </w:rPr>
        <w:t xml:space="preserve"> </w:t>
      </w:r>
      <w:r>
        <w:t>and</w:t>
      </w:r>
      <w:r>
        <w:rPr>
          <w:spacing w:val="-3"/>
        </w:rPr>
        <w:t xml:space="preserve"> </w:t>
      </w:r>
      <w:r>
        <w:t>nature</w:t>
      </w:r>
      <w:r>
        <w:rPr>
          <w:spacing w:val="-3"/>
        </w:rPr>
        <w:t xml:space="preserve"> </w:t>
      </w:r>
      <w:r>
        <w:t>of</w:t>
      </w:r>
      <w:r>
        <w:rPr>
          <w:spacing w:val="-3"/>
        </w:rPr>
        <w:t xml:space="preserve"> </w:t>
      </w:r>
      <w:r>
        <w:t>the</w:t>
      </w:r>
      <w:r>
        <w:rPr>
          <w:spacing w:val="-3"/>
        </w:rPr>
        <w:t xml:space="preserve"> </w:t>
      </w:r>
      <w:r>
        <w:t>targeted participant group. Small-scale competitions are typically designed to engage participants more deeply, with a higher number of touches and a broad spectrum of targeted behaviors that generate higher savings and serve as a model to ge</w:t>
      </w:r>
      <w:r>
        <w:t>t the larger population engaged.</w:t>
      </w:r>
    </w:p>
    <w:p w:rsidR="00C31389" w:rsidRDefault="00561FBD" w14:paraId="10138D93" w14:textId="77777777">
      <w:pPr>
        <w:pStyle w:val="BodyText"/>
        <w:spacing w:before="1"/>
        <w:ind w:left="480" w:right="418"/>
      </w:pPr>
      <w:r>
        <w:t>Large-scale competitions engage greater numbers of people in a more superficial way and encourage</w:t>
      </w:r>
      <w:r>
        <w:rPr>
          <w:spacing w:val="-3"/>
        </w:rPr>
        <w:t xml:space="preserve"> </w:t>
      </w:r>
      <w:r>
        <w:t>a</w:t>
      </w:r>
      <w:r>
        <w:rPr>
          <w:spacing w:val="-4"/>
        </w:rPr>
        <w:t xml:space="preserve"> </w:t>
      </w:r>
      <w:r>
        <w:t>limited</w:t>
      </w:r>
      <w:r>
        <w:rPr>
          <w:spacing w:val="-3"/>
        </w:rPr>
        <w:t xml:space="preserve"> </w:t>
      </w:r>
      <w:r>
        <w:t>number</w:t>
      </w:r>
      <w:r>
        <w:rPr>
          <w:spacing w:val="-3"/>
        </w:rPr>
        <w:t xml:space="preserve"> </w:t>
      </w:r>
      <w:r>
        <w:t>of</w:t>
      </w:r>
      <w:r>
        <w:rPr>
          <w:spacing w:val="-3"/>
        </w:rPr>
        <w:t xml:space="preserve"> </w:t>
      </w:r>
      <w:r>
        <w:t>behaviors.</w:t>
      </w:r>
      <w:r>
        <w:rPr>
          <w:spacing w:val="-3"/>
        </w:rPr>
        <w:t xml:space="preserve"> </w:t>
      </w:r>
      <w:r>
        <w:t>Because</w:t>
      </w:r>
      <w:r>
        <w:rPr>
          <w:spacing w:val="-2"/>
        </w:rPr>
        <w:t xml:space="preserve"> </w:t>
      </w:r>
      <w:r>
        <w:t>the</w:t>
      </w:r>
      <w:r>
        <w:rPr>
          <w:spacing w:val="-3"/>
        </w:rPr>
        <w:t xml:space="preserve"> </w:t>
      </w:r>
      <w:r>
        <w:t>team</w:t>
      </w:r>
      <w:r>
        <w:rPr>
          <w:spacing w:val="-4"/>
        </w:rPr>
        <w:t xml:space="preserve"> </w:t>
      </w:r>
      <w:r>
        <w:t>had</w:t>
      </w:r>
      <w:r>
        <w:rPr>
          <w:spacing w:val="-3"/>
        </w:rPr>
        <w:t xml:space="preserve"> </w:t>
      </w:r>
      <w:r>
        <w:t>limited</w:t>
      </w:r>
      <w:r>
        <w:rPr>
          <w:spacing w:val="-3"/>
        </w:rPr>
        <w:t xml:space="preserve"> </w:t>
      </w:r>
      <w:r>
        <w:t>data</w:t>
      </w:r>
      <w:r>
        <w:rPr>
          <w:spacing w:val="-3"/>
        </w:rPr>
        <w:t xml:space="preserve"> </w:t>
      </w:r>
      <w:r>
        <w:t>for</w:t>
      </w:r>
      <w:r>
        <w:rPr>
          <w:spacing w:val="-3"/>
        </w:rPr>
        <w:t xml:space="preserve"> </w:t>
      </w:r>
      <w:r>
        <w:t>this</w:t>
      </w:r>
      <w:r>
        <w:rPr>
          <w:spacing w:val="-3"/>
        </w:rPr>
        <w:t xml:space="preserve"> </w:t>
      </w:r>
      <w:r>
        <w:t>type</w:t>
      </w:r>
      <w:r>
        <w:rPr>
          <w:spacing w:val="-3"/>
        </w:rPr>
        <w:t xml:space="preserve"> </w:t>
      </w:r>
      <w:r>
        <w:t xml:space="preserve">of behavioral intervention all </w:t>
      </w:r>
      <w:r>
        <w:t>commercial competitions are considered as a single category.</w:t>
      </w:r>
    </w:p>
    <w:p w:rsidR="00C31389" w:rsidRDefault="00C31389" w14:paraId="592AEA5C" w14:textId="77777777">
      <w:pPr>
        <w:pStyle w:val="BodyText"/>
        <w:rPr>
          <w:sz w:val="20"/>
        </w:rPr>
      </w:pPr>
    </w:p>
    <w:p w:rsidR="00C31389" w:rsidRDefault="00561FBD" w14:paraId="5E6DC0D5" w14:textId="77777777">
      <w:pPr>
        <w:pStyle w:val="BodyText"/>
        <w:spacing w:before="9"/>
        <w:rPr>
          <w:sz w:val="19"/>
        </w:rPr>
      </w:pPr>
      <w:r>
        <w:rPr>
          <w:noProof/>
        </w:rPr>
        <mc:AlternateContent>
          <mc:Choice Requires="wps">
            <w:drawing>
              <wp:anchor distT="0" distB="0" distL="0" distR="0" simplePos="0" relativeHeight="487727616" behindDoc="1" locked="0" layoutInCell="1" allowOverlap="1" wp14:editId="4542154A" wp14:anchorId="5991B10D">
                <wp:simplePos x="0" y="0"/>
                <wp:positionH relativeFrom="page">
                  <wp:posOffset>914400</wp:posOffset>
                </wp:positionH>
                <wp:positionV relativeFrom="paragraph">
                  <wp:posOffset>160145</wp:posOffset>
                </wp:positionV>
                <wp:extent cx="1828800" cy="6985"/>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42" style="position:absolute;margin-left:1in;margin-top:12.6pt;width:2in;height:.55pt;z-index:-1558886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XfULs94AAAAJAQAADwAAAAAAAAAAAAAAAAB3BAAAZHJzL2Rvd25yZXYueG1s&#10;UEsFBgAAAAAEAAQA8wAAAIIFAAAAAA==&#10;" w14:anchorId="2C2EAD88">
                <v:path arrowok="t"/>
                <w10:wrap type="topAndBottom" anchorx="page"/>
              </v:shape>
            </w:pict>
          </mc:Fallback>
        </mc:AlternateContent>
      </w:r>
    </w:p>
    <w:p w:rsidR="00C31389" w:rsidRDefault="00561FBD" w14:paraId="338B9D6C" w14:textId="77777777">
      <w:pPr>
        <w:spacing w:before="88"/>
        <w:ind w:left="480" w:right="418"/>
        <w:rPr>
          <w:sz w:val="18"/>
        </w:rPr>
      </w:pPr>
      <w:bookmarkStart w:name="_bookmark406" w:id="533"/>
      <w:bookmarkEnd w:id="533"/>
      <w:r>
        <w:rPr>
          <w:position w:val="6"/>
          <w:sz w:val="12"/>
        </w:rPr>
        <w:t>152</w:t>
      </w:r>
      <w:r>
        <w:rPr>
          <w:spacing w:val="14"/>
          <w:position w:val="6"/>
          <w:sz w:val="12"/>
        </w:rPr>
        <w:t xml:space="preserve"> </w:t>
      </w:r>
      <w:r>
        <w:rPr>
          <w:sz w:val="18"/>
        </w:rPr>
        <w:t>SF</w:t>
      </w:r>
      <w:r>
        <w:rPr>
          <w:spacing w:val="-3"/>
          <w:sz w:val="18"/>
        </w:rPr>
        <w:t xml:space="preserve"> </w:t>
      </w:r>
      <w:r>
        <w:rPr>
          <w:sz w:val="18"/>
        </w:rPr>
        <w:t>Environment</w:t>
      </w:r>
      <w:r>
        <w:rPr>
          <w:spacing w:val="-3"/>
          <w:sz w:val="18"/>
        </w:rPr>
        <w:t xml:space="preserve"> </w:t>
      </w:r>
      <w:r>
        <w:rPr>
          <w:sz w:val="18"/>
        </w:rPr>
        <w:t>and</w:t>
      </w:r>
      <w:r>
        <w:rPr>
          <w:spacing w:val="-4"/>
          <w:sz w:val="18"/>
        </w:rPr>
        <w:t xml:space="preserve"> </w:t>
      </w:r>
      <w:r>
        <w:rPr>
          <w:sz w:val="18"/>
        </w:rPr>
        <w:t>ULI</w:t>
      </w:r>
      <w:r>
        <w:rPr>
          <w:spacing w:val="-3"/>
          <w:sz w:val="18"/>
        </w:rPr>
        <w:t xml:space="preserve"> </w:t>
      </w:r>
      <w:r>
        <w:rPr>
          <w:sz w:val="18"/>
        </w:rPr>
        <w:t>Greenprint</w:t>
      </w:r>
      <w:r>
        <w:rPr>
          <w:spacing w:val="-3"/>
          <w:sz w:val="18"/>
        </w:rPr>
        <w:t xml:space="preserve"> </w:t>
      </w:r>
      <w:r>
        <w:rPr>
          <w:sz w:val="18"/>
        </w:rPr>
        <w:t>Center</w:t>
      </w:r>
      <w:r>
        <w:rPr>
          <w:spacing w:val="-3"/>
          <w:sz w:val="18"/>
        </w:rPr>
        <w:t xml:space="preserve"> </w:t>
      </w:r>
      <w:r>
        <w:rPr>
          <w:sz w:val="18"/>
        </w:rPr>
        <w:t>for</w:t>
      </w:r>
      <w:r>
        <w:rPr>
          <w:spacing w:val="-3"/>
          <w:sz w:val="18"/>
        </w:rPr>
        <w:t xml:space="preserve"> </w:t>
      </w:r>
      <w:r>
        <w:rPr>
          <w:sz w:val="18"/>
        </w:rPr>
        <w:t>Building</w:t>
      </w:r>
      <w:r>
        <w:rPr>
          <w:spacing w:val="-4"/>
          <w:sz w:val="18"/>
        </w:rPr>
        <w:t xml:space="preserve"> </w:t>
      </w:r>
      <w:r>
        <w:rPr>
          <w:sz w:val="18"/>
        </w:rPr>
        <w:t>Performance.</w:t>
      </w:r>
      <w:r>
        <w:rPr>
          <w:spacing w:val="-3"/>
          <w:sz w:val="18"/>
        </w:rPr>
        <w:t xml:space="preserve"> </w:t>
      </w:r>
      <w:r>
        <w:rPr>
          <w:sz w:val="18"/>
        </w:rPr>
        <w:t>“San</w:t>
      </w:r>
      <w:r>
        <w:rPr>
          <w:spacing w:val="-4"/>
          <w:sz w:val="18"/>
        </w:rPr>
        <w:t xml:space="preserve"> </w:t>
      </w:r>
      <w:r>
        <w:rPr>
          <w:sz w:val="18"/>
        </w:rPr>
        <w:t>Francisco</w:t>
      </w:r>
      <w:r>
        <w:rPr>
          <w:spacing w:val="-4"/>
          <w:sz w:val="18"/>
        </w:rPr>
        <w:t xml:space="preserve"> </w:t>
      </w:r>
      <w:r>
        <w:rPr>
          <w:sz w:val="18"/>
        </w:rPr>
        <w:t>Existing</w:t>
      </w:r>
      <w:r>
        <w:rPr>
          <w:spacing w:val="-4"/>
          <w:sz w:val="18"/>
        </w:rPr>
        <w:t xml:space="preserve"> </w:t>
      </w:r>
      <w:r>
        <w:rPr>
          <w:sz w:val="18"/>
        </w:rPr>
        <w:t>Commercial Buildings Performance Report: 2010-2014.” (2015)</w:t>
      </w:r>
    </w:p>
    <w:p w:rsidR="00C31389" w:rsidRDefault="00561FBD" w14:paraId="0E22FD3F" w14:textId="77777777">
      <w:pPr>
        <w:spacing w:line="207" w:lineRule="exact"/>
        <w:ind w:left="480"/>
        <w:rPr>
          <w:sz w:val="18"/>
        </w:rPr>
      </w:pPr>
      <w:bookmarkStart w:name="_bookmark407" w:id="534"/>
      <w:bookmarkEnd w:id="534"/>
      <w:r>
        <w:rPr>
          <w:position w:val="6"/>
          <w:sz w:val="12"/>
        </w:rPr>
        <w:t>153</w:t>
      </w:r>
      <w:r>
        <w:rPr>
          <w:spacing w:val="14"/>
          <w:position w:val="6"/>
          <w:sz w:val="12"/>
        </w:rPr>
        <w:t xml:space="preserve"> </w:t>
      </w:r>
      <w:r>
        <w:rPr>
          <w:sz w:val="18"/>
        </w:rPr>
        <w:t>Katherine</w:t>
      </w:r>
      <w:r>
        <w:rPr>
          <w:spacing w:val="-3"/>
          <w:sz w:val="18"/>
        </w:rPr>
        <w:t xml:space="preserve"> </w:t>
      </w:r>
      <w:r>
        <w:rPr>
          <w:sz w:val="18"/>
        </w:rPr>
        <w:t>Tweed.</w:t>
      </w:r>
      <w:r>
        <w:rPr>
          <w:spacing w:val="-3"/>
          <w:sz w:val="18"/>
        </w:rPr>
        <w:t xml:space="preserve"> </w:t>
      </w:r>
      <w:r>
        <w:rPr>
          <w:sz w:val="18"/>
        </w:rPr>
        <w:t>“Benchmarking</w:t>
      </w:r>
      <w:r>
        <w:rPr>
          <w:spacing w:val="-3"/>
          <w:sz w:val="18"/>
        </w:rPr>
        <w:t xml:space="preserve"> </w:t>
      </w:r>
      <w:r>
        <w:rPr>
          <w:sz w:val="18"/>
        </w:rPr>
        <w:t>Dr</w:t>
      </w:r>
      <w:r>
        <w:rPr>
          <w:sz w:val="18"/>
        </w:rPr>
        <w:t>ives</w:t>
      </w:r>
      <w:r>
        <w:rPr>
          <w:spacing w:val="-3"/>
          <w:sz w:val="18"/>
        </w:rPr>
        <w:t xml:space="preserve"> </w:t>
      </w:r>
      <w:r>
        <w:rPr>
          <w:sz w:val="18"/>
        </w:rPr>
        <w:t>7</w:t>
      </w:r>
      <w:r>
        <w:rPr>
          <w:spacing w:val="-3"/>
          <w:sz w:val="18"/>
        </w:rPr>
        <w:t xml:space="preserve"> </w:t>
      </w:r>
      <w:r>
        <w:rPr>
          <w:sz w:val="18"/>
        </w:rPr>
        <w:t>Percent</w:t>
      </w:r>
      <w:r>
        <w:rPr>
          <w:spacing w:val="-2"/>
          <w:sz w:val="18"/>
        </w:rPr>
        <w:t xml:space="preserve"> </w:t>
      </w:r>
      <w:r>
        <w:rPr>
          <w:sz w:val="18"/>
        </w:rPr>
        <w:t>Cut</w:t>
      </w:r>
      <w:r>
        <w:rPr>
          <w:spacing w:val="-3"/>
          <w:sz w:val="18"/>
        </w:rPr>
        <w:t xml:space="preserve"> </w:t>
      </w:r>
      <w:r>
        <w:rPr>
          <w:sz w:val="18"/>
        </w:rPr>
        <w:t>in</w:t>
      </w:r>
      <w:r>
        <w:rPr>
          <w:spacing w:val="-3"/>
          <w:sz w:val="18"/>
        </w:rPr>
        <w:t xml:space="preserve"> </w:t>
      </w:r>
      <w:r>
        <w:rPr>
          <w:sz w:val="18"/>
        </w:rPr>
        <w:t>Building</w:t>
      </w:r>
      <w:r>
        <w:rPr>
          <w:spacing w:val="-4"/>
          <w:sz w:val="18"/>
        </w:rPr>
        <w:t xml:space="preserve"> </w:t>
      </w:r>
      <w:r>
        <w:rPr>
          <w:sz w:val="18"/>
        </w:rPr>
        <w:t>Energy.”</w:t>
      </w:r>
      <w:r>
        <w:rPr>
          <w:spacing w:val="-2"/>
          <w:sz w:val="18"/>
        </w:rPr>
        <w:t xml:space="preserve"> </w:t>
      </w:r>
      <w:r>
        <w:rPr>
          <w:sz w:val="18"/>
        </w:rPr>
        <w:t>Greentech</w:t>
      </w:r>
      <w:r>
        <w:rPr>
          <w:spacing w:val="-4"/>
          <w:sz w:val="18"/>
        </w:rPr>
        <w:t xml:space="preserve"> </w:t>
      </w:r>
      <w:r>
        <w:rPr>
          <w:sz w:val="18"/>
        </w:rPr>
        <w:t>Media.</w:t>
      </w:r>
      <w:r>
        <w:rPr>
          <w:spacing w:val="-1"/>
          <w:sz w:val="18"/>
        </w:rPr>
        <w:t xml:space="preserve"> </w:t>
      </w:r>
      <w:r>
        <w:rPr>
          <w:sz w:val="18"/>
        </w:rPr>
        <w:t>October</w:t>
      </w:r>
      <w:r>
        <w:rPr>
          <w:spacing w:val="-2"/>
          <w:sz w:val="18"/>
        </w:rPr>
        <w:t xml:space="preserve"> 2012.</w:t>
      </w:r>
    </w:p>
    <w:p w:rsidR="00C31389" w:rsidRDefault="00561FBD" w14:paraId="6F5A1886" w14:textId="77777777">
      <w:pPr>
        <w:spacing w:before="36"/>
        <w:ind w:left="480"/>
        <w:rPr>
          <w:sz w:val="18"/>
        </w:rPr>
      </w:pPr>
      <w:bookmarkStart w:name="_bookmark408" w:id="535"/>
      <w:bookmarkEnd w:id="535"/>
      <w:r>
        <w:rPr>
          <w:position w:val="6"/>
          <w:sz w:val="12"/>
        </w:rPr>
        <w:t>154</w:t>
      </w:r>
      <w:r>
        <w:rPr>
          <w:spacing w:val="12"/>
          <w:position w:val="6"/>
          <w:sz w:val="12"/>
        </w:rPr>
        <w:t xml:space="preserve"> </w:t>
      </w:r>
      <w:r>
        <w:rPr>
          <w:sz w:val="18"/>
        </w:rPr>
        <w:t>City</w:t>
      </w:r>
      <w:r>
        <w:rPr>
          <w:spacing w:val="-3"/>
          <w:sz w:val="18"/>
        </w:rPr>
        <w:t xml:space="preserve"> </w:t>
      </w:r>
      <w:r>
        <w:rPr>
          <w:sz w:val="18"/>
        </w:rPr>
        <w:t>of</w:t>
      </w:r>
      <w:r>
        <w:rPr>
          <w:spacing w:val="-2"/>
          <w:sz w:val="18"/>
        </w:rPr>
        <w:t xml:space="preserve"> </w:t>
      </w:r>
      <w:r>
        <w:rPr>
          <w:sz w:val="18"/>
        </w:rPr>
        <w:t>Chicago.</w:t>
      </w:r>
      <w:r>
        <w:rPr>
          <w:spacing w:val="-3"/>
          <w:sz w:val="18"/>
        </w:rPr>
        <w:t xml:space="preserve"> </w:t>
      </w:r>
      <w:r>
        <w:rPr>
          <w:sz w:val="18"/>
        </w:rPr>
        <w:t>“City</w:t>
      </w:r>
      <w:r>
        <w:rPr>
          <w:spacing w:val="-2"/>
          <w:sz w:val="18"/>
        </w:rPr>
        <w:t xml:space="preserve"> </w:t>
      </w:r>
      <w:r>
        <w:rPr>
          <w:sz w:val="18"/>
        </w:rPr>
        <w:t>of</w:t>
      </w:r>
      <w:r>
        <w:rPr>
          <w:spacing w:val="-3"/>
          <w:sz w:val="18"/>
        </w:rPr>
        <w:t xml:space="preserve"> </w:t>
      </w:r>
      <w:r>
        <w:rPr>
          <w:sz w:val="18"/>
        </w:rPr>
        <w:t>Chicago</w:t>
      </w:r>
      <w:r>
        <w:rPr>
          <w:spacing w:val="-3"/>
          <w:sz w:val="18"/>
        </w:rPr>
        <w:t xml:space="preserve"> </w:t>
      </w:r>
      <w:r>
        <w:rPr>
          <w:sz w:val="18"/>
        </w:rPr>
        <w:t>Energy</w:t>
      </w:r>
      <w:r>
        <w:rPr>
          <w:spacing w:val="-3"/>
          <w:sz w:val="18"/>
        </w:rPr>
        <w:t xml:space="preserve"> </w:t>
      </w:r>
      <w:r>
        <w:rPr>
          <w:sz w:val="18"/>
        </w:rPr>
        <w:t>Benchmarking</w:t>
      </w:r>
      <w:r>
        <w:rPr>
          <w:spacing w:val="-3"/>
          <w:sz w:val="18"/>
        </w:rPr>
        <w:t xml:space="preserve"> </w:t>
      </w:r>
      <w:r>
        <w:rPr>
          <w:sz w:val="18"/>
        </w:rPr>
        <w:t>Report</w:t>
      </w:r>
      <w:r>
        <w:rPr>
          <w:spacing w:val="-2"/>
          <w:sz w:val="18"/>
        </w:rPr>
        <w:t xml:space="preserve"> 2016.”</w:t>
      </w:r>
    </w:p>
    <w:p w:rsidR="00C31389" w:rsidRDefault="00561FBD" w14:paraId="6E6BC72F" w14:textId="77777777">
      <w:pPr>
        <w:spacing w:before="35"/>
        <w:ind w:left="480" w:right="434"/>
        <w:rPr>
          <w:sz w:val="18"/>
        </w:rPr>
      </w:pPr>
      <w:bookmarkStart w:name="_bookmark409" w:id="536"/>
      <w:bookmarkEnd w:id="536"/>
      <w:r>
        <w:rPr>
          <w:position w:val="6"/>
          <w:sz w:val="12"/>
        </w:rPr>
        <w:t>155</w:t>
      </w:r>
      <w:r>
        <w:rPr>
          <w:spacing w:val="24"/>
          <w:position w:val="6"/>
          <w:sz w:val="12"/>
        </w:rPr>
        <w:t xml:space="preserve"> </w:t>
      </w:r>
      <w:r>
        <w:rPr>
          <w:sz w:val="18"/>
        </w:rPr>
        <w:t xml:space="preserve">Jewel, Amy; Kimmel, Jamie; Palmer, Doug; Pigg, Scott; Ponce, Jamie; Vigliotta, David; and Weigert, </w:t>
      </w:r>
      <w:r>
        <w:rPr>
          <w:sz w:val="18"/>
        </w:rPr>
        <w:t>Karen. “Using</w:t>
      </w:r>
      <w:r>
        <w:rPr>
          <w:spacing w:val="-4"/>
          <w:sz w:val="18"/>
        </w:rPr>
        <w:t xml:space="preserve"> </w:t>
      </w:r>
      <w:r>
        <w:rPr>
          <w:sz w:val="18"/>
        </w:rPr>
        <w:t>Nudges</w:t>
      </w:r>
      <w:r>
        <w:rPr>
          <w:spacing w:val="-2"/>
          <w:sz w:val="18"/>
        </w:rPr>
        <w:t xml:space="preserve"> </w:t>
      </w:r>
      <w:r>
        <w:rPr>
          <w:sz w:val="18"/>
        </w:rPr>
        <w:t>and</w:t>
      </w:r>
      <w:r>
        <w:rPr>
          <w:spacing w:val="-4"/>
          <w:sz w:val="18"/>
        </w:rPr>
        <w:t xml:space="preserve"> </w:t>
      </w:r>
      <w:r>
        <w:rPr>
          <w:sz w:val="18"/>
        </w:rPr>
        <w:t>Energy</w:t>
      </w:r>
      <w:r>
        <w:rPr>
          <w:spacing w:val="-3"/>
          <w:sz w:val="18"/>
        </w:rPr>
        <w:t xml:space="preserve"> </w:t>
      </w:r>
      <w:r>
        <w:rPr>
          <w:sz w:val="18"/>
        </w:rPr>
        <w:t>Benchmarking</w:t>
      </w:r>
      <w:r>
        <w:rPr>
          <w:spacing w:val="-4"/>
          <w:sz w:val="18"/>
        </w:rPr>
        <w:t xml:space="preserve"> </w:t>
      </w:r>
      <w:r>
        <w:rPr>
          <w:sz w:val="18"/>
        </w:rPr>
        <w:t>to</w:t>
      </w:r>
      <w:r>
        <w:rPr>
          <w:spacing w:val="-4"/>
          <w:sz w:val="18"/>
        </w:rPr>
        <w:t xml:space="preserve"> </w:t>
      </w:r>
      <w:r>
        <w:rPr>
          <w:sz w:val="18"/>
        </w:rPr>
        <w:t>Drive</w:t>
      </w:r>
      <w:r>
        <w:rPr>
          <w:spacing w:val="-4"/>
          <w:sz w:val="18"/>
        </w:rPr>
        <w:t xml:space="preserve"> </w:t>
      </w:r>
      <w:r>
        <w:rPr>
          <w:sz w:val="18"/>
        </w:rPr>
        <w:t>Behavior</w:t>
      </w:r>
      <w:r>
        <w:rPr>
          <w:spacing w:val="-3"/>
          <w:sz w:val="18"/>
        </w:rPr>
        <w:t xml:space="preserve"> </w:t>
      </w:r>
      <w:r>
        <w:rPr>
          <w:sz w:val="18"/>
        </w:rPr>
        <w:t>Change</w:t>
      </w:r>
      <w:r>
        <w:rPr>
          <w:spacing w:val="-4"/>
          <w:sz w:val="18"/>
        </w:rPr>
        <w:t xml:space="preserve"> </w:t>
      </w:r>
      <w:r>
        <w:rPr>
          <w:sz w:val="18"/>
        </w:rPr>
        <w:t>in</w:t>
      </w:r>
      <w:r>
        <w:rPr>
          <w:spacing w:val="-4"/>
          <w:sz w:val="18"/>
        </w:rPr>
        <w:t xml:space="preserve"> </w:t>
      </w:r>
      <w:r>
        <w:rPr>
          <w:sz w:val="18"/>
        </w:rPr>
        <w:t>Commercial,</w:t>
      </w:r>
      <w:r>
        <w:rPr>
          <w:spacing w:val="-3"/>
          <w:sz w:val="18"/>
        </w:rPr>
        <w:t xml:space="preserve"> </w:t>
      </w:r>
      <w:r>
        <w:rPr>
          <w:sz w:val="18"/>
        </w:rPr>
        <w:t>Institutional,</w:t>
      </w:r>
      <w:r>
        <w:rPr>
          <w:spacing w:val="-3"/>
          <w:sz w:val="18"/>
        </w:rPr>
        <w:t xml:space="preserve"> </w:t>
      </w:r>
      <w:r>
        <w:rPr>
          <w:sz w:val="18"/>
        </w:rPr>
        <w:t>and</w:t>
      </w:r>
      <w:r>
        <w:rPr>
          <w:spacing w:val="-4"/>
          <w:sz w:val="18"/>
        </w:rPr>
        <w:t xml:space="preserve"> </w:t>
      </w:r>
      <w:r>
        <w:rPr>
          <w:sz w:val="18"/>
        </w:rPr>
        <w:t>Multifamily Residential Buildings.” 2016. Proceedings of the ACEEE Summer Study on Energy Efficiency in Buildings.</w:t>
      </w:r>
    </w:p>
    <w:p w:rsidR="00C31389" w:rsidRDefault="00561FBD" w14:paraId="37C555AE" w14:textId="77777777">
      <w:pPr>
        <w:ind w:left="480" w:right="418"/>
        <w:rPr>
          <w:sz w:val="18"/>
        </w:rPr>
      </w:pPr>
      <w:bookmarkStart w:name="_bookmark410" w:id="537"/>
      <w:bookmarkEnd w:id="537"/>
      <w:r>
        <w:rPr>
          <w:position w:val="6"/>
          <w:sz w:val="12"/>
        </w:rPr>
        <w:t>156</w:t>
      </w:r>
      <w:r>
        <w:rPr>
          <w:spacing w:val="25"/>
          <w:position w:val="6"/>
          <w:sz w:val="12"/>
        </w:rPr>
        <w:t xml:space="preserve"> </w:t>
      </w:r>
      <w:r>
        <w:rPr>
          <w:sz w:val="18"/>
        </w:rPr>
        <w:t>Navigant Consulting, Inc., Steven</w:t>
      </w:r>
      <w:r>
        <w:rPr>
          <w:sz w:val="18"/>
        </w:rPr>
        <w:t xml:space="preserve"> Winter Associates, Inc., and Newport Partners, LLC. </w:t>
      </w:r>
      <w:r>
        <w:rPr>
          <w:i/>
          <w:sz w:val="18"/>
        </w:rPr>
        <w:t>New York City Benchmarking</w:t>
      </w:r>
      <w:r>
        <w:rPr>
          <w:i/>
          <w:spacing w:val="-4"/>
          <w:sz w:val="18"/>
        </w:rPr>
        <w:t xml:space="preserve"> </w:t>
      </w:r>
      <w:r>
        <w:rPr>
          <w:i/>
          <w:sz w:val="18"/>
        </w:rPr>
        <w:t>and</w:t>
      </w:r>
      <w:r>
        <w:rPr>
          <w:i/>
          <w:spacing w:val="-4"/>
          <w:sz w:val="18"/>
        </w:rPr>
        <w:t xml:space="preserve"> </w:t>
      </w:r>
      <w:r>
        <w:rPr>
          <w:i/>
          <w:sz w:val="18"/>
        </w:rPr>
        <w:t>Transparency</w:t>
      </w:r>
      <w:r>
        <w:rPr>
          <w:i/>
          <w:spacing w:val="-3"/>
          <w:sz w:val="18"/>
        </w:rPr>
        <w:t xml:space="preserve"> </w:t>
      </w:r>
      <w:r>
        <w:rPr>
          <w:i/>
          <w:sz w:val="18"/>
        </w:rPr>
        <w:t>Policy</w:t>
      </w:r>
      <w:r>
        <w:rPr>
          <w:i/>
          <w:spacing w:val="-3"/>
          <w:sz w:val="18"/>
        </w:rPr>
        <w:t xml:space="preserve"> </w:t>
      </w:r>
      <w:r>
        <w:rPr>
          <w:i/>
          <w:sz w:val="18"/>
        </w:rPr>
        <w:t>and</w:t>
      </w:r>
      <w:r>
        <w:rPr>
          <w:i/>
          <w:spacing w:val="-2"/>
          <w:sz w:val="18"/>
        </w:rPr>
        <w:t xml:space="preserve"> </w:t>
      </w:r>
      <w:r>
        <w:rPr>
          <w:i/>
          <w:sz w:val="18"/>
        </w:rPr>
        <w:t>Impact</w:t>
      </w:r>
      <w:r>
        <w:rPr>
          <w:i/>
          <w:spacing w:val="-3"/>
          <w:sz w:val="18"/>
        </w:rPr>
        <w:t xml:space="preserve"> </w:t>
      </w:r>
      <w:r>
        <w:rPr>
          <w:i/>
          <w:sz w:val="18"/>
        </w:rPr>
        <w:t>Evaluation</w:t>
      </w:r>
      <w:r>
        <w:rPr>
          <w:i/>
          <w:spacing w:val="-4"/>
          <w:sz w:val="18"/>
        </w:rPr>
        <w:t xml:space="preserve"> </w:t>
      </w:r>
      <w:r>
        <w:rPr>
          <w:i/>
          <w:sz w:val="18"/>
        </w:rPr>
        <w:t>Report</w:t>
      </w:r>
      <w:r>
        <w:rPr>
          <w:sz w:val="18"/>
        </w:rPr>
        <w:t>.</w:t>
      </w:r>
      <w:r>
        <w:rPr>
          <w:spacing w:val="-3"/>
          <w:sz w:val="18"/>
        </w:rPr>
        <w:t xml:space="preserve"> </w:t>
      </w:r>
      <w:r>
        <w:rPr>
          <w:sz w:val="18"/>
        </w:rPr>
        <w:t>Prepared</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U.S.</w:t>
      </w:r>
      <w:r>
        <w:rPr>
          <w:spacing w:val="-3"/>
          <w:sz w:val="18"/>
        </w:rPr>
        <w:t xml:space="preserve"> </w:t>
      </w:r>
      <w:r>
        <w:rPr>
          <w:sz w:val="18"/>
        </w:rPr>
        <w:t>Department</w:t>
      </w:r>
      <w:r>
        <w:rPr>
          <w:spacing w:val="-2"/>
          <w:sz w:val="18"/>
        </w:rPr>
        <w:t xml:space="preserve"> </w:t>
      </w:r>
      <w:r>
        <w:rPr>
          <w:sz w:val="18"/>
        </w:rPr>
        <w:t>of Energy. May 2015.</w:t>
      </w:r>
    </w:p>
    <w:p w:rsidR="00C31389" w:rsidRDefault="00561FBD" w14:paraId="2874B493" w14:textId="77777777">
      <w:pPr>
        <w:spacing w:before="33"/>
        <w:ind w:left="480" w:right="418"/>
        <w:rPr>
          <w:sz w:val="18"/>
        </w:rPr>
      </w:pPr>
      <w:bookmarkStart w:name="_bookmark411" w:id="538"/>
      <w:bookmarkEnd w:id="538"/>
      <w:r>
        <w:rPr>
          <w:position w:val="6"/>
          <w:sz w:val="12"/>
        </w:rPr>
        <w:t>157</w:t>
      </w:r>
      <w:r>
        <w:rPr>
          <w:spacing w:val="14"/>
          <w:position w:val="6"/>
          <w:sz w:val="12"/>
        </w:rPr>
        <w:t xml:space="preserve"> </w:t>
      </w:r>
      <w:r>
        <w:rPr>
          <w:sz w:val="18"/>
        </w:rPr>
        <w:t>CPUC,</w:t>
      </w:r>
      <w:r>
        <w:rPr>
          <w:spacing w:val="-3"/>
          <w:sz w:val="18"/>
        </w:rPr>
        <w:t xml:space="preserve"> </w:t>
      </w:r>
      <w:r>
        <w:rPr>
          <w:i/>
          <w:sz w:val="18"/>
        </w:rPr>
        <w:t>Statewide</w:t>
      </w:r>
      <w:r>
        <w:rPr>
          <w:i/>
          <w:spacing w:val="-4"/>
          <w:sz w:val="18"/>
        </w:rPr>
        <w:t xml:space="preserve"> </w:t>
      </w:r>
      <w:r>
        <w:rPr>
          <w:i/>
          <w:sz w:val="18"/>
        </w:rPr>
        <w:t>Benchmarking</w:t>
      </w:r>
      <w:r>
        <w:rPr>
          <w:i/>
          <w:spacing w:val="-4"/>
          <w:sz w:val="18"/>
        </w:rPr>
        <w:t xml:space="preserve"> </w:t>
      </w:r>
      <w:r>
        <w:rPr>
          <w:i/>
          <w:sz w:val="18"/>
        </w:rPr>
        <w:t>Process</w:t>
      </w:r>
      <w:r>
        <w:rPr>
          <w:i/>
          <w:spacing w:val="-3"/>
          <w:sz w:val="18"/>
        </w:rPr>
        <w:t xml:space="preserve"> </w:t>
      </w:r>
      <w:r>
        <w:rPr>
          <w:i/>
          <w:sz w:val="18"/>
        </w:rPr>
        <w:t>Evaluation</w:t>
      </w:r>
      <w:r>
        <w:rPr>
          <w:sz w:val="18"/>
        </w:rPr>
        <w:t>,</w:t>
      </w:r>
      <w:r>
        <w:rPr>
          <w:spacing w:val="-3"/>
          <w:sz w:val="18"/>
        </w:rPr>
        <w:t xml:space="preserve"> </w:t>
      </w:r>
      <w:r>
        <w:rPr>
          <w:sz w:val="18"/>
        </w:rPr>
        <w:t>Volume</w:t>
      </w:r>
      <w:r>
        <w:rPr>
          <w:spacing w:val="-4"/>
          <w:sz w:val="18"/>
        </w:rPr>
        <w:t xml:space="preserve"> </w:t>
      </w:r>
      <w:r>
        <w:rPr>
          <w:sz w:val="18"/>
        </w:rPr>
        <w:t>1,</w:t>
      </w:r>
      <w:r>
        <w:rPr>
          <w:spacing w:val="-3"/>
          <w:sz w:val="18"/>
        </w:rPr>
        <w:t xml:space="preserve"> </w:t>
      </w:r>
      <w:r>
        <w:rPr>
          <w:sz w:val="18"/>
        </w:rPr>
        <w:t>CPU0055.01,</w:t>
      </w:r>
      <w:r>
        <w:rPr>
          <w:spacing w:val="-3"/>
          <w:sz w:val="18"/>
        </w:rPr>
        <w:t xml:space="preserve"> </w:t>
      </w:r>
      <w:r>
        <w:rPr>
          <w:sz w:val="18"/>
        </w:rPr>
        <w:t>Submitted</w:t>
      </w:r>
      <w:r>
        <w:rPr>
          <w:spacing w:val="-4"/>
          <w:sz w:val="18"/>
        </w:rPr>
        <w:t xml:space="preserve"> </w:t>
      </w:r>
      <w:r>
        <w:rPr>
          <w:sz w:val="18"/>
        </w:rPr>
        <w:t>by</w:t>
      </w:r>
      <w:r>
        <w:rPr>
          <w:spacing w:val="-3"/>
          <w:sz w:val="18"/>
        </w:rPr>
        <w:t xml:space="preserve"> </w:t>
      </w:r>
      <w:r>
        <w:rPr>
          <w:sz w:val="18"/>
        </w:rPr>
        <w:t>NMR</w:t>
      </w:r>
      <w:r>
        <w:rPr>
          <w:spacing w:val="-3"/>
          <w:sz w:val="18"/>
        </w:rPr>
        <w:t xml:space="preserve"> </w:t>
      </w:r>
      <w:r>
        <w:rPr>
          <w:sz w:val="18"/>
        </w:rPr>
        <w:t>Group</w:t>
      </w:r>
      <w:r>
        <w:rPr>
          <w:spacing w:val="-4"/>
          <w:sz w:val="18"/>
        </w:rPr>
        <w:t xml:space="preserve"> </w:t>
      </w:r>
      <w:r>
        <w:rPr>
          <w:sz w:val="18"/>
        </w:rPr>
        <w:t>and Optimal Energy, April 2012.</w:t>
      </w:r>
    </w:p>
    <w:p w:rsidR="00C31389" w:rsidRDefault="00C31389" w14:paraId="2040465E" w14:textId="77777777">
      <w:pPr>
        <w:rPr>
          <w:sz w:val="18"/>
        </w:rPr>
        <w:sectPr w:rsidR="00C31389">
          <w:pgSz w:w="11910" w:h="16840"/>
          <w:pgMar w:top="1660" w:right="1020" w:bottom="1120" w:left="960" w:header="397" w:footer="938" w:gutter="0"/>
          <w:cols w:space="720"/>
        </w:sectPr>
      </w:pPr>
    </w:p>
    <w:p w:rsidR="00C31389" w:rsidRDefault="00C31389" w14:paraId="5CD84B41" w14:textId="77777777">
      <w:pPr>
        <w:pStyle w:val="BodyText"/>
        <w:spacing w:before="11"/>
        <w:rPr>
          <w:sz w:val="13"/>
        </w:rPr>
      </w:pPr>
    </w:p>
    <w:p w:rsidR="00C31389" w:rsidRDefault="00561FBD" w14:paraId="70CBE4E9" w14:textId="77777777">
      <w:pPr>
        <w:pStyle w:val="BodyText"/>
        <w:spacing w:before="92"/>
        <w:ind w:left="479" w:right="445"/>
        <w:rPr>
          <w:sz w:val="14"/>
        </w:rPr>
      </w:pPr>
      <w:r>
        <w:t>In addition to overall summary data available through the ACEEE</w:t>
      </w:r>
      <w:hyperlink w:history="1" w:anchor="_bookmark414">
        <w:r>
          <w:rPr>
            <w:position w:val="7"/>
            <w:sz w:val="14"/>
          </w:rPr>
          <w:t>158</w:t>
        </w:r>
      </w:hyperlink>
      <w:r>
        <w:rPr>
          <w:spacing w:val="32"/>
          <w:position w:val="7"/>
          <w:sz w:val="14"/>
        </w:rPr>
        <w:t xml:space="preserve"> </w:t>
      </w:r>
      <w:r>
        <w:t>and CEE,</w:t>
      </w:r>
      <w:hyperlink w:history="1" w:anchor="_bookmark415">
        <w:r>
          <w:rPr>
            <w:position w:val="7"/>
            <w:sz w:val="14"/>
          </w:rPr>
          <w:t>159</w:t>
        </w:r>
      </w:hyperlink>
      <w:r>
        <w:rPr>
          <w:spacing w:val="32"/>
          <w:position w:val="7"/>
          <w:sz w:val="14"/>
        </w:rPr>
        <w:t xml:space="preserve"> </w:t>
      </w:r>
      <w:r>
        <w:t>the team considered 10 different challenges, including the US Environmental Protection Agency’s ENERGY</w:t>
      </w:r>
      <w:r>
        <w:rPr>
          <w:spacing w:val="-4"/>
        </w:rPr>
        <w:t xml:space="preserve"> </w:t>
      </w:r>
      <w:r>
        <w:t>STAR</w:t>
      </w:r>
      <w:r>
        <w:rPr>
          <w:spacing w:val="-5"/>
        </w:rPr>
        <w:t xml:space="preserve"> </w:t>
      </w:r>
      <w:r>
        <w:t>Building</w:t>
      </w:r>
      <w:r>
        <w:rPr>
          <w:spacing w:val="-4"/>
        </w:rPr>
        <w:t xml:space="preserve"> </w:t>
      </w:r>
      <w:r>
        <w:t>Competition,</w:t>
      </w:r>
      <w:r>
        <w:rPr>
          <w:spacing w:val="-4"/>
        </w:rPr>
        <w:t xml:space="preserve"> </w:t>
      </w:r>
      <w:r>
        <w:t>NEEA's</w:t>
      </w:r>
      <w:r>
        <w:rPr>
          <w:spacing w:val="-3"/>
        </w:rPr>
        <w:t xml:space="preserve"> </w:t>
      </w:r>
      <w:r>
        <w:t>Kilowatt</w:t>
      </w:r>
      <w:r>
        <w:rPr>
          <w:spacing w:val="-4"/>
        </w:rPr>
        <w:t xml:space="preserve"> </w:t>
      </w:r>
      <w:r>
        <w:t>Crackdown,</w:t>
      </w:r>
      <w:r>
        <w:rPr>
          <w:spacing w:val="-4"/>
        </w:rPr>
        <w:t xml:space="preserve"> </w:t>
      </w:r>
      <w:r>
        <w:t>Chicago's</w:t>
      </w:r>
      <w:r>
        <w:rPr>
          <w:spacing w:val="-4"/>
        </w:rPr>
        <w:t xml:space="preserve"> </w:t>
      </w:r>
      <w:r>
        <w:t>Green</w:t>
      </w:r>
      <w:r>
        <w:rPr>
          <w:spacing w:val="-4"/>
        </w:rPr>
        <w:t xml:space="preserve"> </w:t>
      </w:r>
      <w:r>
        <w:t xml:space="preserve">Office Challenge, and PG&amp;E’s Step Up and </w:t>
      </w:r>
      <w:r>
        <w:t>Power Down campaign.</w:t>
      </w:r>
      <w:hyperlink w:history="1" w:anchor="_bookmark416">
        <w:r>
          <w:rPr>
            <w:position w:val="7"/>
            <w:sz w:val="14"/>
          </w:rPr>
          <w:t>160</w:t>
        </w:r>
      </w:hyperlink>
      <w:r>
        <w:rPr>
          <w:position w:val="7"/>
          <w:sz w:val="14"/>
        </w:rPr>
        <w:t>,</w:t>
      </w:r>
      <w:hyperlink w:history="1" w:anchor="_bookmark417">
        <w:r>
          <w:rPr>
            <w:position w:val="7"/>
            <w:sz w:val="14"/>
          </w:rPr>
          <w:t>161</w:t>
        </w:r>
      </w:hyperlink>
      <w:r>
        <w:rPr>
          <w:spacing w:val="34"/>
          <w:position w:val="7"/>
          <w:sz w:val="14"/>
        </w:rPr>
        <w:t xml:space="preserve"> </w:t>
      </w:r>
      <w:r>
        <w:t>The completeness of data available for each program varied; some of the most robust data came fr</w:t>
      </w:r>
      <w:r>
        <w:t>om Duke Energy’s Smart Energy Now effort in Charlotte, North Carolina.</w:t>
      </w:r>
      <w:hyperlink w:history="1" w:anchor="_bookmark418">
        <w:r>
          <w:rPr>
            <w:position w:val="7"/>
            <w:sz w:val="14"/>
          </w:rPr>
          <w:t>162</w:t>
        </w:r>
      </w:hyperlink>
    </w:p>
    <w:p w:rsidR="00C31389" w:rsidRDefault="00C31389" w14:paraId="5919B8DA" w14:textId="77777777">
      <w:pPr>
        <w:pStyle w:val="BodyText"/>
        <w:spacing w:before="10"/>
        <w:rPr>
          <w:sz w:val="20"/>
        </w:rPr>
      </w:pPr>
    </w:p>
    <w:p w:rsidR="00C31389" w:rsidRDefault="00561FBD" w14:paraId="4AD566ED" w14:textId="77777777">
      <w:pPr>
        <w:pStyle w:val="Heading7"/>
        <w:spacing w:before="1"/>
        <w:ind w:left="398" w:right="340"/>
        <w:jc w:val="center"/>
      </w:pPr>
      <w:bookmarkStart w:name="_bookmark412" w:id="539"/>
      <w:bookmarkEnd w:id="539"/>
      <w:r>
        <w:t>Table</w:t>
      </w:r>
      <w:r>
        <w:rPr>
          <w:spacing w:val="-8"/>
        </w:rPr>
        <w:t xml:space="preserve"> </w:t>
      </w:r>
      <w:r>
        <w:t>D-14.</w:t>
      </w:r>
      <w:r>
        <w:rPr>
          <w:spacing w:val="-9"/>
        </w:rPr>
        <w:t xml:space="preserve"> </w:t>
      </w:r>
      <w:r>
        <w:t>Commercial</w:t>
      </w:r>
      <w:r>
        <w:rPr>
          <w:spacing w:val="-7"/>
        </w:rPr>
        <w:t xml:space="preserve"> </w:t>
      </w:r>
      <w:r>
        <w:t>Competitions</w:t>
      </w:r>
      <w:r>
        <w:rPr>
          <w:spacing w:val="-8"/>
        </w:rPr>
        <w:t xml:space="preserve"> </w:t>
      </w:r>
      <w:r>
        <w:t>–</w:t>
      </w:r>
      <w:r>
        <w:rPr>
          <w:spacing w:val="-8"/>
        </w:rPr>
        <w:t xml:space="preserve"> </w:t>
      </w:r>
      <w:r>
        <w:t>Key</w:t>
      </w:r>
      <w:r>
        <w:rPr>
          <w:spacing w:val="-8"/>
        </w:rPr>
        <w:t xml:space="preserve"> </w:t>
      </w:r>
      <w:r>
        <w:rPr>
          <w:spacing w:val="-2"/>
        </w:rPr>
        <w:t>Assumptions</w:t>
      </w:r>
    </w:p>
    <w:p w:rsidR="00C31389" w:rsidRDefault="00C31389" w14:paraId="77DA62DE" w14:textId="77777777">
      <w:pPr>
        <w:pStyle w:val="BodyText"/>
        <w:spacing w:before="7"/>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333"/>
        <w:gridCol w:w="1498"/>
        <w:gridCol w:w="1024"/>
        <w:gridCol w:w="1027"/>
        <w:gridCol w:w="1162"/>
        <w:gridCol w:w="1003"/>
        <w:gridCol w:w="1110"/>
        <w:gridCol w:w="1211"/>
      </w:tblGrid>
      <w:tr w:rsidR="00C31389" w14:paraId="2A63992F" w14:textId="77777777">
        <w:trPr>
          <w:trHeight w:val="280"/>
        </w:trPr>
        <w:tc>
          <w:tcPr>
            <w:tcW w:w="1333" w:type="dxa"/>
            <w:shd w:val="clear" w:color="auto" w:fill="92D400"/>
          </w:tcPr>
          <w:p w:rsidR="00C31389" w:rsidRDefault="00C31389" w14:paraId="100FD783" w14:textId="77777777">
            <w:pPr>
              <w:pStyle w:val="TableParagraph"/>
              <w:spacing w:before="0"/>
              <w:rPr>
                <w:rFonts w:ascii="Times New Roman"/>
                <w:sz w:val="20"/>
              </w:rPr>
            </w:pPr>
          </w:p>
        </w:tc>
        <w:tc>
          <w:tcPr>
            <w:tcW w:w="1498" w:type="dxa"/>
            <w:shd w:val="clear" w:color="auto" w:fill="92D400"/>
          </w:tcPr>
          <w:p w:rsidR="00C31389" w:rsidRDefault="00C31389" w14:paraId="4ACB6F9E" w14:textId="77777777">
            <w:pPr>
              <w:pStyle w:val="TableParagraph"/>
              <w:spacing w:before="0"/>
              <w:rPr>
                <w:rFonts w:ascii="Times New Roman"/>
                <w:sz w:val="20"/>
              </w:rPr>
            </w:pPr>
          </w:p>
        </w:tc>
        <w:tc>
          <w:tcPr>
            <w:tcW w:w="1024" w:type="dxa"/>
            <w:vMerge w:val="restart"/>
            <w:shd w:val="clear" w:color="auto" w:fill="92D400"/>
          </w:tcPr>
          <w:p w:rsidR="00C31389" w:rsidRDefault="00561FBD" w14:paraId="7985CE9F" w14:textId="77777777">
            <w:pPr>
              <w:pStyle w:val="TableParagraph"/>
              <w:spacing w:before="154"/>
              <w:ind w:left="261"/>
              <w:rPr>
                <w:b/>
                <w:sz w:val="20"/>
              </w:rPr>
            </w:pPr>
            <w:r>
              <w:rPr>
                <w:b/>
                <w:spacing w:val="-5"/>
                <w:sz w:val="20"/>
              </w:rPr>
              <w:t>EUL</w:t>
            </w:r>
          </w:p>
          <w:p w:rsidR="00C31389" w:rsidRDefault="00561FBD" w14:paraId="1D549BE1" w14:textId="77777777">
            <w:pPr>
              <w:pStyle w:val="TableParagraph"/>
              <w:spacing w:before="1"/>
              <w:ind w:left="189"/>
              <w:rPr>
                <w:b/>
                <w:sz w:val="20"/>
              </w:rPr>
            </w:pPr>
            <w:r>
              <w:rPr>
                <w:b/>
                <w:spacing w:val="-2"/>
                <w:sz w:val="20"/>
              </w:rPr>
              <w:t>Years</w:t>
            </w:r>
          </w:p>
        </w:tc>
        <w:tc>
          <w:tcPr>
            <w:tcW w:w="2189" w:type="dxa"/>
            <w:gridSpan w:val="2"/>
            <w:shd w:val="clear" w:color="auto" w:fill="92D400"/>
          </w:tcPr>
          <w:p w:rsidR="00C31389" w:rsidRDefault="00561FBD" w14:paraId="51ECD2CA" w14:textId="77777777">
            <w:pPr>
              <w:pStyle w:val="TableParagraph"/>
              <w:spacing w:before="56" w:line="205" w:lineRule="exact"/>
              <w:ind w:left="675"/>
              <w:rPr>
                <w:b/>
                <w:sz w:val="20"/>
              </w:rPr>
            </w:pPr>
            <w:r>
              <w:rPr>
                <w:b/>
                <w:spacing w:val="-2"/>
                <w:sz w:val="20"/>
              </w:rPr>
              <w:t>Savings</w:t>
            </w:r>
          </w:p>
        </w:tc>
        <w:tc>
          <w:tcPr>
            <w:tcW w:w="2113" w:type="dxa"/>
            <w:gridSpan w:val="2"/>
            <w:shd w:val="clear" w:color="auto" w:fill="92D400"/>
          </w:tcPr>
          <w:p w:rsidR="00C31389" w:rsidRDefault="00561FBD" w14:paraId="055F773D" w14:textId="77777777">
            <w:pPr>
              <w:pStyle w:val="TableParagraph"/>
              <w:spacing w:before="56" w:line="205" w:lineRule="exact"/>
              <w:ind w:left="840" w:right="804"/>
              <w:jc w:val="center"/>
              <w:rPr>
                <w:b/>
                <w:sz w:val="20"/>
              </w:rPr>
            </w:pPr>
            <w:r>
              <w:rPr>
                <w:b/>
                <w:spacing w:val="-4"/>
                <w:sz w:val="20"/>
              </w:rPr>
              <w:t>Cost</w:t>
            </w:r>
          </w:p>
        </w:tc>
        <w:tc>
          <w:tcPr>
            <w:tcW w:w="1211" w:type="dxa"/>
            <w:vMerge w:val="restart"/>
            <w:shd w:val="clear" w:color="auto" w:fill="92D400"/>
          </w:tcPr>
          <w:p w:rsidR="00C31389" w:rsidRDefault="00561FBD" w14:paraId="3A6E0932" w14:textId="77777777">
            <w:pPr>
              <w:pStyle w:val="TableParagraph"/>
              <w:ind w:left="193" w:right="148"/>
              <w:jc w:val="center"/>
              <w:rPr>
                <w:b/>
                <w:sz w:val="20"/>
              </w:rPr>
            </w:pPr>
            <w:r>
              <w:rPr>
                <w:b/>
                <w:spacing w:val="-2"/>
                <w:sz w:val="20"/>
              </w:rPr>
              <w:t>kW/kWh Savings Ratio</w:t>
            </w:r>
          </w:p>
        </w:tc>
      </w:tr>
      <w:tr w:rsidR="00C31389" w14:paraId="19FBD9EC" w14:textId="77777777">
        <w:trPr>
          <w:trHeight w:val="197"/>
        </w:trPr>
        <w:tc>
          <w:tcPr>
            <w:tcW w:w="1333" w:type="dxa"/>
            <w:shd w:val="clear" w:color="auto" w:fill="92D400"/>
          </w:tcPr>
          <w:p w:rsidR="00C31389" w:rsidRDefault="00561FBD" w14:paraId="49F867A1" w14:textId="77777777">
            <w:pPr>
              <w:pStyle w:val="TableParagraph"/>
              <w:spacing w:before="0" w:line="177" w:lineRule="exact"/>
              <w:ind w:left="124"/>
              <w:rPr>
                <w:b/>
                <w:sz w:val="20"/>
              </w:rPr>
            </w:pPr>
            <w:r>
              <w:rPr>
                <w:b/>
                <w:spacing w:val="-2"/>
                <w:sz w:val="20"/>
              </w:rPr>
              <w:t>Sector</w:t>
            </w:r>
          </w:p>
        </w:tc>
        <w:tc>
          <w:tcPr>
            <w:tcW w:w="1498" w:type="dxa"/>
            <w:shd w:val="clear" w:color="auto" w:fill="92D400"/>
          </w:tcPr>
          <w:p w:rsidR="00C31389" w:rsidRDefault="00561FBD" w14:paraId="59AC773C" w14:textId="77777777">
            <w:pPr>
              <w:pStyle w:val="TableParagraph"/>
              <w:spacing w:before="0" w:line="177" w:lineRule="exact"/>
              <w:ind w:left="141"/>
              <w:rPr>
                <w:b/>
                <w:sz w:val="20"/>
              </w:rPr>
            </w:pPr>
            <w:r>
              <w:rPr>
                <w:b/>
                <w:spacing w:val="-4"/>
                <w:sz w:val="20"/>
              </w:rPr>
              <w:t>Type</w:t>
            </w:r>
          </w:p>
        </w:tc>
        <w:tc>
          <w:tcPr>
            <w:tcW w:w="1024" w:type="dxa"/>
            <w:vMerge/>
            <w:tcBorders>
              <w:top w:val="nil"/>
            </w:tcBorders>
            <w:shd w:val="clear" w:color="auto" w:fill="92D400"/>
          </w:tcPr>
          <w:p w:rsidR="00C31389" w:rsidRDefault="00C31389" w14:paraId="48671A47" w14:textId="77777777">
            <w:pPr>
              <w:rPr>
                <w:sz w:val="2"/>
                <w:szCs w:val="2"/>
              </w:rPr>
            </w:pPr>
          </w:p>
        </w:tc>
        <w:tc>
          <w:tcPr>
            <w:tcW w:w="1027" w:type="dxa"/>
            <w:shd w:val="clear" w:color="auto" w:fill="92D400"/>
          </w:tcPr>
          <w:p w:rsidR="00C31389" w:rsidRDefault="00C31389" w14:paraId="3667FBB2" w14:textId="77777777">
            <w:pPr>
              <w:pStyle w:val="TableParagraph"/>
              <w:spacing w:before="0"/>
              <w:rPr>
                <w:rFonts w:ascii="Times New Roman"/>
                <w:sz w:val="12"/>
              </w:rPr>
            </w:pPr>
          </w:p>
        </w:tc>
        <w:tc>
          <w:tcPr>
            <w:tcW w:w="1162" w:type="dxa"/>
            <w:shd w:val="clear" w:color="auto" w:fill="92D400"/>
          </w:tcPr>
          <w:p w:rsidR="00C31389" w:rsidRDefault="00C31389" w14:paraId="4E2FB6B4" w14:textId="77777777">
            <w:pPr>
              <w:pStyle w:val="TableParagraph"/>
              <w:spacing w:before="0"/>
              <w:rPr>
                <w:rFonts w:ascii="Times New Roman"/>
                <w:sz w:val="12"/>
              </w:rPr>
            </w:pPr>
          </w:p>
        </w:tc>
        <w:tc>
          <w:tcPr>
            <w:tcW w:w="1003" w:type="dxa"/>
            <w:shd w:val="clear" w:color="auto" w:fill="92D400"/>
          </w:tcPr>
          <w:p w:rsidR="00C31389" w:rsidRDefault="00C31389" w14:paraId="1780E578" w14:textId="77777777">
            <w:pPr>
              <w:pStyle w:val="TableParagraph"/>
              <w:spacing w:before="0"/>
              <w:rPr>
                <w:rFonts w:ascii="Times New Roman"/>
                <w:sz w:val="12"/>
              </w:rPr>
            </w:pPr>
          </w:p>
        </w:tc>
        <w:tc>
          <w:tcPr>
            <w:tcW w:w="1110" w:type="dxa"/>
            <w:shd w:val="clear" w:color="auto" w:fill="92D400"/>
          </w:tcPr>
          <w:p w:rsidR="00C31389" w:rsidRDefault="00C31389" w14:paraId="46EFEA69" w14:textId="77777777">
            <w:pPr>
              <w:pStyle w:val="TableParagraph"/>
              <w:spacing w:before="0"/>
              <w:rPr>
                <w:rFonts w:ascii="Times New Roman"/>
                <w:sz w:val="12"/>
              </w:rPr>
            </w:pPr>
          </w:p>
        </w:tc>
        <w:tc>
          <w:tcPr>
            <w:tcW w:w="1211" w:type="dxa"/>
            <w:vMerge/>
            <w:tcBorders>
              <w:top w:val="nil"/>
            </w:tcBorders>
            <w:shd w:val="clear" w:color="auto" w:fill="92D400"/>
          </w:tcPr>
          <w:p w:rsidR="00C31389" w:rsidRDefault="00C31389" w14:paraId="7D00925C" w14:textId="77777777">
            <w:pPr>
              <w:rPr>
                <w:sz w:val="2"/>
                <w:szCs w:val="2"/>
              </w:rPr>
            </w:pPr>
          </w:p>
        </w:tc>
      </w:tr>
      <w:tr w:rsidR="00C31389" w14:paraId="264407B7" w14:textId="77777777">
        <w:trPr>
          <w:trHeight w:val="300"/>
        </w:trPr>
        <w:tc>
          <w:tcPr>
            <w:tcW w:w="1333" w:type="dxa"/>
            <w:shd w:val="clear" w:color="auto" w:fill="92D400"/>
          </w:tcPr>
          <w:p w:rsidR="00C31389" w:rsidRDefault="00C31389" w14:paraId="6DE3E802" w14:textId="77777777">
            <w:pPr>
              <w:pStyle w:val="TableParagraph"/>
              <w:spacing w:before="0"/>
              <w:rPr>
                <w:rFonts w:ascii="Times New Roman"/>
                <w:sz w:val="20"/>
              </w:rPr>
            </w:pPr>
          </w:p>
        </w:tc>
        <w:tc>
          <w:tcPr>
            <w:tcW w:w="1498" w:type="dxa"/>
            <w:shd w:val="clear" w:color="auto" w:fill="92D400"/>
          </w:tcPr>
          <w:p w:rsidR="00C31389" w:rsidRDefault="00C31389" w14:paraId="5B48742F" w14:textId="77777777">
            <w:pPr>
              <w:pStyle w:val="TableParagraph"/>
              <w:spacing w:before="0"/>
              <w:rPr>
                <w:rFonts w:ascii="Times New Roman"/>
                <w:sz w:val="20"/>
              </w:rPr>
            </w:pPr>
          </w:p>
        </w:tc>
        <w:tc>
          <w:tcPr>
            <w:tcW w:w="1024" w:type="dxa"/>
            <w:vMerge/>
            <w:tcBorders>
              <w:top w:val="nil"/>
            </w:tcBorders>
            <w:shd w:val="clear" w:color="auto" w:fill="92D400"/>
          </w:tcPr>
          <w:p w:rsidR="00C31389" w:rsidRDefault="00C31389" w14:paraId="059E18CD" w14:textId="77777777">
            <w:pPr>
              <w:rPr>
                <w:sz w:val="2"/>
                <w:szCs w:val="2"/>
              </w:rPr>
            </w:pPr>
          </w:p>
        </w:tc>
        <w:tc>
          <w:tcPr>
            <w:tcW w:w="1027" w:type="dxa"/>
            <w:shd w:val="clear" w:color="auto" w:fill="92D400"/>
          </w:tcPr>
          <w:p w:rsidR="00C31389" w:rsidRDefault="00561FBD" w14:paraId="1D2A2F44" w14:textId="77777777">
            <w:pPr>
              <w:pStyle w:val="TableParagraph"/>
              <w:spacing w:before="0" w:line="202" w:lineRule="exact"/>
              <w:ind w:left="278" w:right="267"/>
              <w:jc w:val="center"/>
              <w:rPr>
                <w:b/>
                <w:sz w:val="20"/>
              </w:rPr>
            </w:pPr>
            <w:r>
              <w:rPr>
                <w:b/>
                <w:spacing w:val="-5"/>
                <w:sz w:val="20"/>
              </w:rPr>
              <w:t>kWh</w:t>
            </w:r>
          </w:p>
        </w:tc>
        <w:tc>
          <w:tcPr>
            <w:tcW w:w="1162" w:type="dxa"/>
            <w:shd w:val="clear" w:color="auto" w:fill="92D400"/>
          </w:tcPr>
          <w:p w:rsidR="00C31389" w:rsidRDefault="00561FBD" w14:paraId="7663FF6B" w14:textId="77777777">
            <w:pPr>
              <w:pStyle w:val="TableParagraph"/>
              <w:spacing w:before="0" w:line="202" w:lineRule="exact"/>
              <w:ind w:left="269" w:right="197"/>
              <w:jc w:val="center"/>
              <w:rPr>
                <w:b/>
                <w:sz w:val="20"/>
              </w:rPr>
            </w:pPr>
            <w:r>
              <w:rPr>
                <w:b/>
                <w:spacing w:val="-2"/>
                <w:sz w:val="20"/>
              </w:rPr>
              <w:t>therms</w:t>
            </w:r>
          </w:p>
        </w:tc>
        <w:tc>
          <w:tcPr>
            <w:tcW w:w="1003" w:type="dxa"/>
            <w:shd w:val="clear" w:color="auto" w:fill="92D400"/>
          </w:tcPr>
          <w:p w:rsidR="00C31389" w:rsidRDefault="00561FBD" w14:paraId="754AA327" w14:textId="77777777">
            <w:pPr>
              <w:pStyle w:val="TableParagraph"/>
              <w:spacing w:before="0" w:line="202" w:lineRule="exact"/>
              <w:ind w:left="281"/>
              <w:rPr>
                <w:b/>
                <w:sz w:val="20"/>
              </w:rPr>
            </w:pPr>
            <w:r>
              <w:rPr>
                <w:b/>
                <w:spacing w:val="-5"/>
                <w:sz w:val="20"/>
              </w:rPr>
              <w:t>kWh</w:t>
            </w:r>
          </w:p>
        </w:tc>
        <w:tc>
          <w:tcPr>
            <w:tcW w:w="1110" w:type="dxa"/>
            <w:shd w:val="clear" w:color="auto" w:fill="92D400"/>
          </w:tcPr>
          <w:p w:rsidR="00C31389" w:rsidRDefault="00561FBD" w14:paraId="4B6215F7" w14:textId="77777777">
            <w:pPr>
              <w:pStyle w:val="TableParagraph"/>
              <w:spacing w:before="0" w:line="202" w:lineRule="exact"/>
              <w:ind w:left="221" w:right="193"/>
              <w:jc w:val="center"/>
              <w:rPr>
                <w:b/>
                <w:sz w:val="20"/>
              </w:rPr>
            </w:pPr>
            <w:r>
              <w:rPr>
                <w:b/>
                <w:spacing w:val="-2"/>
                <w:sz w:val="20"/>
              </w:rPr>
              <w:t>therms</w:t>
            </w:r>
          </w:p>
        </w:tc>
        <w:tc>
          <w:tcPr>
            <w:tcW w:w="1211" w:type="dxa"/>
            <w:vMerge/>
            <w:tcBorders>
              <w:top w:val="nil"/>
            </w:tcBorders>
            <w:shd w:val="clear" w:color="auto" w:fill="92D400"/>
          </w:tcPr>
          <w:p w:rsidR="00C31389" w:rsidRDefault="00C31389" w14:paraId="0CF175E2" w14:textId="77777777">
            <w:pPr>
              <w:rPr>
                <w:sz w:val="2"/>
                <w:szCs w:val="2"/>
              </w:rPr>
            </w:pPr>
          </w:p>
        </w:tc>
      </w:tr>
      <w:tr w:rsidR="00C31389" w14:paraId="6585C35C" w14:textId="77777777">
        <w:trPr>
          <w:trHeight w:val="593"/>
        </w:trPr>
        <w:tc>
          <w:tcPr>
            <w:tcW w:w="1333" w:type="dxa"/>
            <w:tcBorders>
              <w:bottom w:val="single" w:color="000000" w:sz="8" w:space="0"/>
            </w:tcBorders>
          </w:tcPr>
          <w:p w:rsidR="00C31389" w:rsidRDefault="00561FBD" w14:paraId="1AE8BC31" w14:textId="77777777">
            <w:pPr>
              <w:pStyle w:val="TableParagraph"/>
              <w:spacing w:before="183"/>
              <w:ind w:left="124"/>
              <w:rPr>
                <w:sz w:val="20"/>
              </w:rPr>
            </w:pPr>
            <w:r>
              <w:rPr>
                <w:spacing w:val="-2"/>
                <w:sz w:val="20"/>
              </w:rPr>
              <w:t>Commercial</w:t>
            </w:r>
          </w:p>
        </w:tc>
        <w:tc>
          <w:tcPr>
            <w:tcW w:w="1498" w:type="dxa"/>
            <w:tcBorders>
              <w:bottom w:val="single" w:color="000000" w:sz="8" w:space="0"/>
            </w:tcBorders>
          </w:tcPr>
          <w:p w:rsidR="00C31389" w:rsidRDefault="00561FBD" w14:paraId="6D886CEE" w14:textId="77777777">
            <w:pPr>
              <w:pStyle w:val="TableParagraph"/>
              <w:spacing w:before="183"/>
              <w:ind w:left="141"/>
              <w:rPr>
                <w:sz w:val="20"/>
              </w:rPr>
            </w:pPr>
            <w:r>
              <w:rPr>
                <w:spacing w:val="-2"/>
                <w:sz w:val="20"/>
              </w:rPr>
              <w:t>Competitions</w:t>
            </w:r>
          </w:p>
        </w:tc>
        <w:tc>
          <w:tcPr>
            <w:tcW w:w="1024" w:type="dxa"/>
            <w:tcBorders>
              <w:bottom w:val="single" w:color="000000" w:sz="8" w:space="0"/>
            </w:tcBorders>
          </w:tcPr>
          <w:p w:rsidR="00C31389" w:rsidRDefault="00561FBD" w14:paraId="25C7CB17" w14:textId="77777777">
            <w:pPr>
              <w:pStyle w:val="TableParagraph"/>
              <w:spacing w:before="183"/>
              <w:ind w:right="96"/>
              <w:jc w:val="center"/>
              <w:rPr>
                <w:sz w:val="20"/>
              </w:rPr>
            </w:pPr>
            <w:r>
              <w:rPr>
                <w:sz w:val="20"/>
              </w:rPr>
              <w:t>2</w:t>
            </w:r>
          </w:p>
        </w:tc>
        <w:tc>
          <w:tcPr>
            <w:tcW w:w="1027" w:type="dxa"/>
            <w:tcBorders>
              <w:bottom w:val="single" w:color="000000" w:sz="8" w:space="0"/>
            </w:tcBorders>
          </w:tcPr>
          <w:p w:rsidR="00C31389" w:rsidRDefault="00561FBD" w14:paraId="7CC70918" w14:textId="77777777">
            <w:pPr>
              <w:pStyle w:val="TableParagraph"/>
              <w:spacing w:before="183"/>
              <w:ind w:left="278" w:right="268"/>
              <w:jc w:val="center"/>
              <w:rPr>
                <w:sz w:val="20"/>
              </w:rPr>
            </w:pPr>
            <w:r>
              <w:rPr>
                <w:spacing w:val="-4"/>
                <w:sz w:val="20"/>
              </w:rPr>
              <w:t>1.9%</w:t>
            </w:r>
          </w:p>
        </w:tc>
        <w:tc>
          <w:tcPr>
            <w:tcW w:w="1162" w:type="dxa"/>
            <w:tcBorders>
              <w:bottom w:val="single" w:color="000000" w:sz="8" w:space="0"/>
            </w:tcBorders>
          </w:tcPr>
          <w:p w:rsidR="00C31389" w:rsidRDefault="00561FBD" w14:paraId="7AB4D274" w14:textId="77777777">
            <w:pPr>
              <w:pStyle w:val="TableParagraph"/>
              <w:spacing w:before="183"/>
              <w:ind w:left="70"/>
              <w:jc w:val="center"/>
              <w:rPr>
                <w:sz w:val="20"/>
              </w:rPr>
            </w:pPr>
            <w:r>
              <w:rPr>
                <w:sz w:val="20"/>
              </w:rPr>
              <w:t>–</w:t>
            </w:r>
          </w:p>
        </w:tc>
        <w:tc>
          <w:tcPr>
            <w:tcW w:w="1003" w:type="dxa"/>
            <w:tcBorders>
              <w:bottom w:val="single" w:color="000000" w:sz="8" w:space="0"/>
            </w:tcBorders>
          </w:tcPr>
          <w:p w:rsidR="00C31389" w:rsidRDefault="00561FBD" w14:paraId="05FAAC59" w14:textId="77777777">
            <w:pPr>
              <w:pStyle w:val="TableParagraph"/>
              <w:spacing w:before="183"/>
              <w:ind w:left="214"/>
              <w:rPr>
                <w:sz w:val="20"/>
              </w:rPr>
            </w:pPr>
            <w:r>
              <w:rPr>
                <w:sz w:val="20"/>
              </w:rPr>
              <w:t>$</w:t>
            </w:r>
            <w:r>
              <w:rPr>
                <w:spacing w:val="-1"/>
                <w:sz w:val="20"/>
              </w:rPr>
              <w:t xml:space="preserve"> </w:t>
            </w:r>
            <w:r>
              <w:rPr>
                <w:spacing w:val="-4"/>
                <w:sz w:val="20"/>
              </w:rPr>
              <w:t>0.04</w:t>
            </w:r>
          </w:p>
        </w:tc>
        <w:tc>
          <w:tcPr>
            <w:tcW w:w="1110" w:type="dxa"/>
            <w:tcBorders>
              <w:bottom w:val="single" w:color="000000" w:sz="8" w:space="0"/>
            </w:tcBorders>
          </w:tcPr>
          <w:p w:rsidR="00C31389" w:rsidRDefault="00561FBD" w14:paraId="7CB27DB6" w14:textId="77777777">
            <w:pPr>
              <w:pStyle w:val="TableParagraph"/>
              <w:spacing w:before="183"/>
              <w:ind w:left="28"/>
              <w:jc w:val="center"/>
              <w:rPr>
                <w:sz w:val="20"/>
              </w:rPr>
            </w:pPr>
            <w:r>
              <w:rPr>
                <w:sz w:val="20"/>
              </w:rPr>
              <w:t>–</w:t>
            </w:r>
          </w:p>
        </w:tc>
        <w:tc>
          <w:tcPr>
            <w:tcW w:w="1211" w:type="dxa"/>
            <w:tcBorders>
              <w:bottom w:val="single" w:color="000000" w:sz="8" w:space="0"/>
            </w:tcBorders>
          </w:tcPr>
          <w:p w:rsidR="00C31389" w:rsidRDefault="00561FBD" w14:paraId="668DB5D6" w14:textId="77777777">
            <w:pPr>
              <w:pStyle w:val="TableParagraph"/>
              <w:spacing w:before="183"/>
              <w:ind w:left="209"/>
              <w:rPr>
                <w:sz w:val="20"/>
              </w:rPr>
            </w:pPr>
            <w:r>
              <w:rPr>
                <w:spacing w:val="-2"/>
                <w:sz w:val="20"/>
              </w:rPr>
              <w:t>0.000102</w:t>
            </w:r>
          </w:p>
        </w:tc>
      </w:tr>
    </w:tbl>
    <w:p w:rsidR="00C31389" w:rsidRDefault="00561FBD" w14:paraId="57A47A7C"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5BFBCD9F" w14:textId="77777777">
      <w:pPr>
        <w:pStyle w:val="BodyText"/>
        <w:rPr>
          <w:i/>
          <w:sz w:val="20"/>
        </w:rPr>
      </w:pPr>
    </w:p>
    <w:p w:rsidR="00C31389" w:rsidRDefault="00561FBD" w14:paraId="660C4026" w14:textId="77777777">
      <w:pPr>
        <w:pStyle w:val="ListParagraph"/>
        <w:numPr>
          <w:ilvl w:val="2"/>
          <w:numId w:val="19"/>
        </w:numPr>
        <w:tabs>
          <w:tab w:val="left" w:pos="1196"/>
        </w:tabs>
        <w:spacing w:before="130"/>
        <w:ind w:left="1196" w:hanging="716"/>
        <w:rPr>
          <w:b/>
          <w:sz w:val="24"/>
        </w:rPr>
      </w:pPr>
      <w:bookmarkStart w:name="D.10.2_Assumptions_and_Methodology" w:id="540"/>
      <w:bookmarkStart w:name="_bookmark413" w:id="541"/>
      <w:bookmarkEnd w:id="540"/>
      <w:bookmarkEnd w:id="541"/>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7F05E783" w14:textId="77777777">
      <w:pPr>
        <w:pStyle w:val="BodyText"/>
        <w:spacing w:before="3"/>
        <w:rPr>
          <w:b/>
          <w:sz w:val="23"/>
        </w:rPr>
      </w:pPr>
    </w:p>
    <w:p w:rsidR="00C31389" w:rsidRDefault="00561FBD" w14:paraId="208F9A82" w14:textId="77777777">
      <w:pPr>
        <w:pStyle w:val="BodyText"/>
        <w:ind w:left="480" w:right="418" w:hanging="1"/>
      </w:pPr>
      <w:r>
        <w:t xml:space="preserve">No major updates were made to the inputs for commercial competitions in the 2023 Study. Guidehouse </w:t>
      </w:r>
      <w:r>
        <w:t>determined that commercial competitions were a low priority measure for updates based on a review of implementation activity and recently published California- specific</w:t>
      </w:r>
      <w:r>
        <w:rPr>
          <w:spacing w:val="-3"/>
        </w:rPr>
        <w:t xml:space="preserve"> </w:t>
      </w:r>
      <w:r>
        <w:t>data</w:t>
      </w:r>
      <w:r>
        <w:rPr>
          <w:spacing w:val="-4"/>
        </w:rPr>
        <w:t xml:space="preserve"> </w:t>
      </w:r>
      <w:r>
        <w:t>sources.</w:t>
      </w:r>
      <w:r>
        <w:rPr>
          <w:spacing w:val="-3"/>
        </w:rPr>
        <w:t xml:space="preserve"> </w:t>
      </w:r>
      <w:r>
        <w:t>The</w:t>
      </w:r>
      <w:r>
        <w:rPr>
          <w:spacing w:val="-3"/>
        </w:rPr>
        <w:t xml:space="preserve"> </w:t>
      </w:r>
      <w:r>
        <w:t>methodology</w:t>
      </w:r>
      <w:r>
        <w:rPr>
          <w:spacing w:val="-3"/>
        </w:rPr>
        <w:t xml:space="preserve"> </w:t>
      </w:r>
      <w:r>
        <w:t>described</w:t>
      </w:r>
      <w:r>
        <w:rPr>
          <w:spacing w:val="-3"/>
        </w:rPr>
        <w:t xml:space="preserve"> </w:t>
      </w:r>
      <w:r>
        <w:t>here</w:t>
      </w:r>
      <w:r>
        <w:rPr>
          <w:spacing w:val="-3"/>
        </w:rPr>
        <w:t xml:space="preserve"> </w:t>
      </w:r>
      <w:r>
        <w:t>is</w:t>
      </w:r>
      <w:r>
        <w:rPr>
          <w:spacing w:val="-3"/>
        </w:rPr>
        <w:t xml:space="preserve"> </w:t>
      </w:r>
      <w:r>
        <w:t>unchanged</w:t>
      </w:r>
      <w:r>
        <w:rPr>
          <w:spacing w:val="-3"/>
        </w:rPr>
        <w:t xml:space="preserve"> </w:t>
      </w:r>
      <w:r>
        <w:t>from</w:t>
      </w:r>
      <w:r>
        <w:rPr>
          <w:spacing w:val="-4"/>
        </w:rPr>
        <w:t xml:space="preserve"> </w:t>
      </w:r>
      <w:r>
        <w:t>the</w:t>
      </w:r>
      <w:r>
        <w:rPr>
          <w:spacing w:val="-3"/>
        </w:rPr>
        <w:t xml:space="preserve"> </w:t>
      </w:r>
      <w:r>
        <w:t>2021</w:t>
      </w:r>
      <w:r>
        <w:rPr>
          <w:spacing w:val="-2"/>
        </w:rPr>
        <w:t xml:space="preserve"> </w:t>
      </w:r>
      <w:r>
        <w:t>Study.</w:t>
      </w:r>
    </w:p>
    <w:p w:rsidR="00C31389" w:rsidRDefault="00C31389" w14:paraId="402721E7" w14:textId="77777777">
      <w:pPr>
        <w:pStyle w:val="BodyText"/>
        <w:spacing w:before="10"/>
        <w:rPr>
          <w:sz w:val="20"/>
        </w:rPr>
      </w:pPr>
    </w:p>
    <w:p w:rsidR="00C31389" w:rsidRDefault="00561FBD" w14:paraId="384C68FE" w14:textId="77777777">
      <w:pPr>
        <w:pStyle w:val="Heading7"/>
        <w:ind w:left="480"/>
      </w:pPr>
      <w:r>
        <w:t>Eligibi</w:t>
      </w:r>
      <w:r>
        <w:t>lity</w:t>
      </w:r>
      <w:r>
        <w:rPr>
          <w:spacing w:val="-8"/>
        </w:rPr>
        <w:t xml:space="preserve"> </w:t>
      </w:r>
      <w:r>
        <w:t>and</w:t>
      </w:r>
      <w:r>
        <w:rPr>
          <w:spacing w:val="-7"/>
        </w:rPr>
        <w:t xml:space="preserve"> </w:t>
      </w:r>
      <w:r>
        <w:rPr>
          <w:spacing w:val="-2"/>
        </w:rPr>
        <w:t>Participation</w:t>
      </w:r>
    </w:p>
    <w:p w:rsidR="00C31389" w:rsidRDefault="00C31389" w14:paraId="6664BC73" w14:textId="77777777">
      <w:pPr>
        <w:pStyle w:val="BodyText"/>
        <w:spacing w:before="10"/>
        <w:rPr>
          <w:b/>
          <w:sz w:val="20"/>
        </w:rPr>
      </w:pPr>
    </w:p>
    <w:p w:rsidR="00C31389" w:rsidRDefault="00561FBD" w14:paraId="419E825C" w14:textId="77777777">
      <w:pPr>
        <w:pStyle w:val="BodyText"/>
        <w:ind w:left="480" w:right="418"/>
      </w:pPr>
      <w:r>
        <w:t xml:space="preserve">Eligibility for commercial competitions is defined by the program administrator. Competitions can focus on occupants within an individual building or across a single company. More often they embrace wider audiences at the municipal </w:t>
      </w:r>
      <w:r>
        <w:t>level, in which groups of tenants within large buildings</w:t>
      </w:r>
      <w:r>
        <w:rPr>
          <w:spacing w:val="-3"/>
        </w:rPr>
        <w:t xml:space="preserve"> </w:t>
      </w:r>
      <w:r>
        <w:t>or</w:t>
      </w:r>
      <w:r>
        <w:rPr>
          <w:spacing w:val="-5"/>
        </w:rPr>
        <w:t xml:space="preserve"> </w:t>
      </w:r>
      <w:r>
        <w:t>across</w:t>
      </w:r>
      <w:r>
        <w:rPr>
          <w:spacing w:val="-3"/>
        </w:rPr>
        <w:t xml:space="preserve"> </w:t>
      </w:r>
      <w:r>
        <w:t>campuses</w:t>
      </w:r>
      <w:r>
        <w:rPr>
          <w:spacing w:val="-3"/>
        </w:rPr>
        <w:t xml:space="preserve"> </w:t>
      </w:r>
      <w:r>
        <w:t>or</w:t>
      </w:r>
      <w:r>
        <w:rPr>
          <w:spacing w:val="-3"/>
        </w:rPr>
        <w:t xml:space="preserve"> </w:t>
      </w:r>
      <w:r>
        <w:t>neighborhoods</w:t>
      </w:r>
      <w:r>
        <w:rPr>
          <w:spacing w:val="-4"/>
        </w:rPr>
        <w:t xml:space="preserve"> </w:t>
      </w:r>
      <w:r>
        <w:t>compete</w:t>
      </w:r>
      <w:r>
        <w:rPr>
          <w:spacing w:val="-3"/>
        </w:rPr>
        <w:t xml:space="preserve"> </w:t>
      </w:r>
      <w:r>
        <w:t>with</w:t>
      </w:r>
      <w:r>
        <w:rPr>
          <w:spacing w:val="-3"/>
        </w:rPr>
        <w:t xml:space="preserve"> </w:t>
      </w:r>
      <w:r>
        <w:t>one</w:t>
      </w:r>
      <w:r>
        <w:rPr>
          <w:spacing w:val="-3"/>
        </w:rPr>
        <w:t xml:space="preserve"> </w:t>
      </w:r>
      <w:r>
        <w:t>another.</w:t>
      </w:r>
      <w:r>
        <w:rPr>
          <w:spacing w:val="-3"/>
        </w:rPr>
        <w:t xml:space="preserve"> </w:t>
      </w:r>
      <w:r>
        <w:t>Certain</w:t>
      </w:r>
      <w:r>
        <w:rPr>
          <w:spacing w:val="-2"/>
        </w:rPr>
        <w:t xml:space="preserve"> </w:t>
      </w:r>
      <w:r>
        <w:t>business sectors and business types constitute more receptive customer types than others.</w:t>
      </w:r>
    </w:p>
    <w:p w:rsidR="00C31389" w:rsidRDefault="00C31389" w14:paraId="78FBE38D" w14:textId="77777777">
      <w:pPr>
        <w:pStyle w:val="BodyText"/>
        <w:spacing w:before="10"/>
        <w:rPr>
          <w:sz w:val="20"/>
        </w:rPr>
      </w:pPr>
    </w:p>
    <w:p w:rsidR="00C31389" w:rsidRDefault="00561FBD" w14:paraId="72559A25" w14:textId="77777777">
      <w:pPr>
        <w:pStyle w:val="BodyText"/>
        <w:ind w:left="479" w:right="615"/>
      </w:pPr>
      <w:r>
        <w:t>For</w:t>
      </w:r>
      <w:r>
        <w:rPr>
          <w:spacing w:val="-3"/>
        </w:rPr>
        <w:t xml:space="preserve"> </w:t>
      </w:r>
      <w:r>
        <w:t>this</w:t>
      </w:r>
      <w:r>
        <w:rPr>
          <w:spacing w:val="-3"/>
        </w:rPr>
        <w:t xml:space="preserve"> </w:t>
      </w:r>
      <w:r>
        <w:t>model,</w:t>
      </w:r>
      <w:r>
        <w:rPr>
          <w:spacing w:val="-3"/>
        </w:rPr>
        <w:t xml:space="preserve"> </w:t>
      </w:r>
      <w:r>
        <w:t>the</w:t>
      </w:r>
      <w:r>
        <w:rPr>
          <w:spacing w:val="-3"/>
        </w:rPr>
        <w:t xml:space="preserve"> </w:t>
      </w:r>
      <w:r>
        <w:t>team</w:t>
      </w:r>
      <w:r>
        <w:rPr>
          <w:spacing w:val="-4"/>
        </w:rPr>
        <w:t xml:space="preserve"> </w:t>
      </w:r>
      <w:r>
        <w:t>focused</w:t>
      </w:r>
      <w:r>
        <w:rPr>
          <w:spacing w:val="-3"/>
        </w:rPr>
        <w:t xml:space="preserve"> </w:t>
      </w:r>
      <w:r>
        <w:t>on</w:t>
      </w:r>
      <w:r>
        <w:rPr>
          <w:spacing w:val="-4"/>
        </w:rPr>
        <w:t xml:space="preserve"> </w:t>
      </w:r>
      <w:r>
        <w:t>sa</w:t>
      </w:r>
      <w:r>
        <w:t>vings</w:t>
      </w:r>
      <w:r>
        <w:rPr>
          <w:spacing w:val="-4"/>
        </w:rPr>
        <w:t xml:space="preserve"> </w:t>
      </w:r>
      <w:r>
        <w:t>in</w:t>
      </w:r>
      <w:r>
        <w:rPr>
          <w:spacing w:val="-3"/>
        </w:rPr>
        <w:t xml:space="preserve"> </w:t>
      </w:r>
      <w:r>
        <w:t>those</w:t>
      </w:r>
      <w:r>
        <w:rPr>
          <w:spacing w:val="-3"/>
        </w:rPr>
        <w:t xml:space="preserve"> </w:t>
      </w:r>
      <w:r>
        <w:t>building</w:t>
      </w:r>
      <w:r>
        <w:rPr>
          <w:spacing w:val="-4"/>
        </w:rPr>
        <w:t xml:space="preserve"> </w:t>
      </w:r>
      <w:r>
        <w:t>types</w:t>
      </w:r>
      <w:r>
        <w:rPr>
          <w:spacing w:val="-3"/>
        </w:rPr>
        <w:t xml:space="preserve"> </w:t>
      </w:r>
      <w:r>
        <w:t>targeted</w:t>
      </w:r>
      <w:r>
        <w:rPr>
          <w:spacing w:val="-3"/>
        </w:rPr>
        <w:t xml:space="preserve"> </w:t>
      </w:r>
      <w:r>
        <w:t>by</w:t>
      </w:r>
      <w:r>
        <w:rPr>
          <w:spacing w:val="-3"/>
        </w:rPr>
        <w:t xml:space="preserve"> </w:t>
      </w:r>
      <w:r>
        <w:t>PG&amp;E’s Step Up and Power Down campaign that is being carried out in San Francisco and San Jose. These building types include large offices, small offices, retail, restaurants, and lodging.</w:t>
      </w:r>
      <w:hyperlink w:history="1" w:anchor="_bookmark419">
        <w:r>
          <w:rPr>
            <w:position w:val="7"/>
            <w:sz w:val="14"/>
          </w:rPr>
          <w:t>163</w:t>
        </w:r>
      </w:hyperlink>
      <w:r>
        <w:rPr>
          <w:position w:val="7"/>
          <w:sz w:val="14"/>
        </w:rPr>
        <w:t>,</w:t>
      </w:r>
      <w:hyperlink w:history="1" w:anchor="_bookmark420">
        <w:r>
          <w:rPr>
            <w:position w:val="7"/>
            <w:sz w:val="14"/>
          </w:rPr>
          <w:t>164</w:t>
        </w:r>
      </w:hyperlink>
      <w:r>
        <w:rPr>
          <w:spacing w:val="34"/>
          <w:position w:val="7"/>
          <w:sz w:val="14"/>
        </w:rPr>
        <w:t xml:space="preserve"> </w:t>
      </w:r>
      <w:r>
        <w:t>The applicability factor was defined in terms of potential program reach because it applies to larger and smaller type</w:t>
      </w:r>
      <w:r>
        <w:t>s of buildings. The team assumes an</w:t>
      </w:r>
    </w:p>
    <w:p w:rsidR="00C31389" w:rsidRDefault="00C31389" w14:paraId="59077C72" w14:textId="77777777">
      <w:pPr>
        <w:pStyle w:val="BodyText"/>
        <w:rPr>
          <w:sz w:val="20"/>
        </w:rPr>
      </w:pPr>
    </w:p>
    <w:p w:rsidR="00C31389" w:rsidRDefault="00561FBD" w14:paraId="0F3DF6C3" w14:textId="77777777">
      <w:pPr>
        <w:pStyle w:val="BodyText"/>
        <w:spacing w:before="4"/>
        <w:rPr>
          <w:sz w:val="10"/>
        </w:rPr>
      </w:pPr>
      <w:r>
        <w:rPr>
          <w:noProof/>
        </w:rPr>
        <mc:AlternateContent>
          <mc:Choice Requires="wps">
            <w:drawing>
              <wp:anchor distT="0" distB="0" distL="0" distR="0" simplePos="0" relativeHeight="487728128" behindDoc="1" locked="0" layoutInCell="1" allowOverlap="1" wp14:editId="585C5B2B" wp14:anchorId="1337A25C">
                <wp:simplePos x="0" y="0"/>
                <wp:positionH relativeFrom="page">
                  <wp:posOffset>914400</wp:posOffset>
                </wp:positionH>
                <wp:positionV relativeFrom="paragraph">
                  <wp:posOffset>91043</wp:posOffset>
                </wp:positionV>
                <wp:extent cx="1828800" cy="6985"/>
                <wp:effectExtent l="0" t="0" r="0" b="0"/>
                <wp:wrapTopAndBottom/>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43" style="position:absolute;margin-left:1in;margin-top:7.15pt;width:2in;height:.55pt;z-index:-1558835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" w14:anchorId="69E674B8">
                <v:path arrowok="t"/>
                <w10:wrap type="topAndBottom" anchorx="page"/>
              </v:shape>
            </w:pict>
          </mc:Fallback>
        </mc:AlternateContent>
      </w:r>
    </w:p>
    <w:p w:rsidR="00C31389" w:rsidRDefault="00561FBD" w14:paraId="5730460B" w14:textId="77777777">
      <w:pPr>
        <w:spacing w:before="88"/>
        <w:ind w:left="480" w:right="2232"/>
        <w:rPr>
          <w:sz w:val="18"/>
        </w:rPr>
      </w:pPr>
      <w:bookmarkStart w:name="_bookmark414" w:id="542"/>
      <w:bookmarkEnd w:id="542"/>
      <w:r>
        <w:rPr>
          <w:position w:val="6"/>
          <w:sz w:val="12"/>
        </w:rPr>
        <w:t>158</w:t>
      </w:r>
      <w:r>
        <w:rPr>
          <w:spacing w:val="13"/>
          <w:position w:val="6"/>
          <w:sz w:val="12"/>
        </w:rPr>
        <w:t xml:space="preserve"> </w:t>
      </w:r>
      <w:r>
        <w:rPr>
          <w:sz w:val="18"/>
        </w:rPr>
        <w:t>Kira</w:t>
      </w:r>
      <w:r>
        <w:rPr>
          <w:spacing w:val="-5"/>
          <w:sz w:val="18"/>
        </w:rPr>
        <w:t xml:space="preserve"> </w:t>
      </w:r>
      <w:r>
        <w:rPr>
          <w:sz w:val="18"/>
        </w:rPr>
        <w:t>Ashby,</w:t>
      </w:r>
      <w:r>
        <w:rPr>
          <w:spacing w:val="-4"/>
          <w:sz w:val="18"/>
        </w:rPr>
        <w:t xml:space="preserve"> </w:t>
      </w:r>
      <w:r>
        <w:rPr>
          <w:sz w:val="18"/>
        </w:rPr>
        <w:t>2016</w:t>
      </w:r>
      <w:r>
        <w:rPr>
          <w:spacing w:val="-5"/>
          <w:sz w:val="18"/>
        </w:rPr>
        <w:t xml:space="preserve"> </w:t>
      </w:r>
      <w:r>
        <w:rPr>
          <w:sz w:val="18"/>
        </w:rPr>
        <w:t>Behavior</w:t>
      </w:r>
      <w:r>
        <w:rPr>
          <w:spacing w:val="-4"/>
          <w:sz w:val="18"/>
        </w:rPr>
        <w:t xml:space="preserve"> </w:t>
      </w:r>
      <w:r>
        <w:rPr>
          <w:sz w:val="18"/>
        </w:rPr>
        <w:t>Program</w:t>
      </w:r>
      <w:r>
        <w:rPr>
          <w:spacing w:val="-4"/>
          <w:sz w:val="18"/>
        </w:rPr>
        <w:t xml:space="preserve"> </w:t>
      </w:r>
      <w:r>
        <w:rPr>
          <w:sz w:val="18"/>
        </w:rPr>
        <w:t>Summary,</w:t>
      </w:r>
      <w:r>
        <w:rPr>
          <w:spacing w:val="-4"/>
          <w:sz w:val="18"/>
        </w:rPr>
        <w:t xml:space="preserve"> </w:t>
      </w:r>
      <w:r>
        <w:rPr>
          <w:sz w:val="18"/>
        </w:rPr>
        <w:t>2016,</w:t>
      </w:r>
      <w:r>
        <w:rPr>
          <w:spacing w:val="-4"/>
          <w:sz w:val="18"/>
        </w:rPr>
        <w:t xml:space="preserve"> </w:t>
      </w:r>
      <w:r>
        <w:rPr>
          <w:sz w:val="18"/>
        </w:rPr>
        <w:t>Consortium</w:t>
      </w:r>
      <w:r>
        <w:rPr>
          <w:spacing w:val="-4"/>
          <w:sz w:val="18"/>
        </w:rPr>
        <w:t xml:space="preserve"> </w:t>
      </w:r>
      <w:r>
        <w:rPr>
          <w:sz w:val="18"/>
        </w:rPr>
        <w:t>for</w:t>
      </w:r>
      <w:r>
        <w:rPr>
          <w:spacing w:val="-4"/>
          <w:sz w:val="18"/>
        </w:rPr>
        <w:t xml:space="preserve"> </w:t>
      </w:r>
      <w:r>
        <w:rPr>
          <w:sz w:val="18"/>
        </w:rPr>
        <w:t>Energy</w:t>
      </w:r>
      <w:r>
        <w:rPr>
          <w:spacing w:val="-4"/>
          <w:sz w:val="18"/>
        </w:rPr>
        <w:t xml:space="preserve"> </w:t>
      </w:r>
      <w:r>
        <w:rPr>
          <w:sz w:val="18"/>
        </w:rPr>
        <w:t xml:space="preserve">Efficiency, </w:t>
      </w:r>
      <w:hyperlink r:id="rId284">
        <w:r>
          <w:rPr>
            <w:color w:val="68942C"/>
            <w:spacing w:val="-2"/>
            <w:sz w:val="18"/>
            <w:u w:val="single" w:color="68942C"/>
          </w:rPr>
          <w:t>https://library.cee1.org/content/2016-behav</w:t>
        </w:r>
        <w:r>
          <w:rPr>
            <w:color w:val="68942C"/>
            <w:spacing w:val="-2"/>
            <w:sz w:val="18"/>
            <w:u w:val="single" w:color="68942C"/>
          </w:rPr>
          <w:t>ior-program-summary-public</w:t>
        </w:r>
      </w:hyperlink>
    </w:p>
    <w:p w:rsidR="00C31389" w:rsidRDefault="00561FBD" w14:paraId="71FBFE77" w14:textId="77777777">
      <w:pPr>
        <w:spacing w:before="35"/>
        <w:ind w:left="480" w:right="418"/>
        <w:rPr>
          <w:sz w:val="18"/>
        </w:rPr>
      </w:pPr>
      <w:bookmarkStart w:name="_bookmark415" w:id="543"/>
      <w:bookmarkEnd w:id="543"/>
      <w:r>
        <w:rPr>
          <w:position w:val="6"/>
          <w:sz w:val="12"/>
        </w:rPr>
        <w:t>159</w:t>
      </w:r>
      <w:r>
        <w:rPr>
          <w:spacing w:val="14"/>
          <w:position w:val="6"/>
          <w:sz w:val="12"/>
        </w:rPr>
        <w:t xml:space="preserve"> </w:t>
      </w:r>
      <w:r>
        <w:rPr>
          <w:sz w:val="18"/>
        </w:rPr>
        <w:t>Susan</w:t>
      </w:r>
      <w:r>
        <w:rPr>
          <w:spacing w:val="-4"/>
          <w:sz w:val="18"/>
        </w:rPr>
        <w:t xml:space="preserve"> </w:t>
      </w:r>
      <w:r>
        <w:rPr>
          <w:sz w:val="18"/>
        </w:rPr>
        <w:t>Mazur-Stommen</w:t>
      </w:r>
      <w:r>
        <w:rPr>
          <w:spacing w:val="-4"/>
          <w:sz w:val="18"/>
        </w:rPr>
        <w:t xml:space="preserve"> </w:t>
      </w:r>
      <w:r>
        <w:rPr>
          <w:sz w:val="18"/>
        </w:rPr>
        <w:t>and</w:t>
      </w:r>
      <w:r>
        <w:rPr>
          <w:spacing w:val="-4"/>
          <w:sz w:val="18"/>
        </w:rPr>
        <w:t xml:space="preserve"> </w:t>
      </w:r>
      <w:r>
        <w:rPr>
          <w:sz w:val="18"/>
        </w:rPr>
        <w:t>Kate</w:t>
      </w:r>
      <w:r>
        <w:rPr>
          <w:spacing w:val="-4"/>
          <w:sz w:val="18"/>
        </w:rPr>
        <w:t xml:space="preserve"> </w:t>
      </w:r>
      <w:r>
        <w:rPr>
          <w:sz w:val="18"/>
        </w:rPr>
        <w:t>Farley,</w:t>
      </w:r>
      <w:r>
        <w:rPr>
          <w:spacing w:val="-3"/>
          <w:sz w:val="18"/>
        </w:rPr>
        <w:t xml:space="preserve"> </w:t>
      </w:r>
      <w:r>
        <w:rPr>
          <w:i/>
          <w:sz w:val="18"/>
        </w:rPr>
        <w:t>ACEEE</w:t>
      </w:r>
      <w:r>
        <w:rPr>
          <w:i/>
          <w:spacing w:val="-3"/>
          <w:sz w:val="18"/>
        </w:rPr>
        <w:t xml:space="preserve"> </w:t>
      </w:r>
      <w:r>
        <w:rPr>
          <w:i/>
          <w:sz w:val="18"/>
        </w:rPr>
        <w:t>Field</w:t>
      </w:r>
      <w:r>
        <w:rPr>
          <w:i/>
          <w:spacing w:val="-4"/>
          <w:sz w:val="18"/>
        </w:rPr>
        <w:t xml:space="preserve"> </w:t>
      </w:r>
      <w:r>
        <w:rPr>
          <w:i/>
          <w:sz w:val="18"/>
        </w:rPr>
        <w:t>Guide</w:t>
      </w:r>
      <w:r>
        <w:rPr>
          <w:i/>
          <w:spacing w:val="-4"/>
          <w:sz w:val="18"/>
        </w:rPr>
        <w:t xml:space="preserve"> </w:t>
      </w:r>
      <w:r>
        <w:rPr>
          <w:i/>
          <w:sz w:val="18"/>
        </w:rPr>
        <w:t>to</w:t>
      </w:r>
      <w:r>
        <w:rPr>
          <w:i/>
          <w:spacing w:val="-4"/>
          <w:sz w:val="18"/>
        </w:rPr>
        <w:t xml:space="preserve"> </w:t>
      </w:r>
      <w:r>
        <w:rPr>
          <w:i/>
          <w:sz w:val="18"/>
        </w:rPr>
        <w:t>Utility-Run</w:t>
      </w:r>
      <w:r>
        <w:rPr>
          <w:i/>
          <w:spacing w:val="-4"/>
          <w:sz w:val="18"/>
        </w:rPr>
        <w:t xml:space="preserve"> </w:t>
      </w:r>
      <w:r>
        <w:rPr>
          <w:i/>
          <w:sz w:val="18"/>
        </w:rPr>
        <w:t>Behavior</w:t>
      </w:r>
      <w:r>
        <w:rPr>
          <w:i/>
          <w:spacing w:val="-3"/>
          <w:sz w:val="18"/>
        </w:rPr>
        <w:t xml:space="preserve"> </w:t>
      </w:r>
      <w:r>
        <w:rPr>
          <w:i/>
          <w:sz w:val="18"/>
        </w:rPr>
        <w:t>Programs</w:t>
      </w:r>
      <w:r>
        <w:rPr>
          <w:sz w:val="18"/>
        </w:rPr>
        <w:t>,</w:t>
      </w:r>
      <w:r>
        <w:rPr>
          <w:spacing w:val="-3"/>
          <w:sz w:val="18"/>
        </w:rPr>
        <w:t xml:space="preserve"> </w:t>
      </w:r>
      <w:r>
        <w:rPr>
          <w:sz w:val="18"/>
        </w:rPr>
        <w:t xml:space="preserve">2013, American Council for an Energy-Efficient Economy, from </w:t>
      </w:r>
      <w:hyperlink r:id="rId285">
        <w:r>
          <w:rPr>
            <w:color w:val="68942C"/>
            <w:sz w:val="18"/>
            <w:u w:val="single" w:color="68942C"/>
          </w:rPr>
          <w:t>http://aceee.org/research-report/b132</w:t>
        </w:r>
      </w:hyperlink>
    </w:p>
    <w:p w:rsidR="00C31389" w:rsidRDefault="00561FBD" w14:paraId="6B5E1FB4" w14:textId="77777777">
      <w:pPr>
        <w:spacing w:before="38"/>
        <w:ind w:left="480" w:right="418"/>
        <w:rPr>
          <w:sz w:val="18"/>
        </w:rPr>
      </w:pPr>
      <w:bookmarkStart w:name="_bookmark416" w:id="544"/>
      <w:bookmarkEnd w:id="544"/>
      <w:r>
        <w:rPr>
          <w:position w:val="6"/>
          <w:sz w:val="12"/>
        </w:rPr>
        <w:t>160</w:t>
      </w:r>
      <w:r>
        <w:rPr>
          <w:spacing w:val="14"/>
          <w:position w:val="6"/>
          <w:sz w:val="12"/>
        </w:rPr>
        <w:t xml:space="preserve"> </w:t>
      </w:r>
      <w:r>
        <w:rPr>
          <w:sz w:val="18"/>
        </w:rPr>
        <w:t>Edward</w:t>
      </w:r>
      <w:r>
        <w:rPr>
          <w:spacing w:val="-4"/>
          <w:sz w:val="18"/>
        </w:rPr>
        <w:t xml:space="preserve"> </w:t>
      </w:r>
      <w:r>
        <w:rPr>
          <w:sz w:val="18"/>
        </w:rPr>
        <w:t>Vine</w:t>
      </w:r>
      <w:r>
        <w:rPr>
          <w:spacing w:val="-4"/>
          <w:sz w:val="18"/>
        </w:rPr>
        <w:t xml:space="preserve"> </w:t>
      </w:r>
      <w:r>
        <w:rPr>
          <w:sz w:val="18"/>
        </w:rPr>
        <w:t>and</w:t>
      </w:r>
      <w:r>
        <w:rPr>
          <w:spacing w:val="-4"/>
          <w:sz w:val="18"/>
        </w:rPr>
        <w:t xml:space="preserve"> </w:t>
      </w:r>
      <w:r>
        <w:rPr>
          <w:sz w:val="18"/>
        </w:rPr>
        <w:t>Christopher</w:t>
      </w:r>
      <w:r>
        <w:rPr>
          <w:spacing w:val="-2"/>
          <w:sz w:val="18"/>
        </w:rPr>
        <w:t xml:space="preserve"> </w:t>
      </w:r>
      <w:r>
        <w:rPr>
          <w:sz w:val="18"/>
        </w:rPr>
        <w:t>Jones,</w:t>
      </w:r>
      <w:r>
        <w:rPr>
          <w:spacing w:val="-3"/>
          <w:sz w:val="18"/>
        </w:rPr>
        <w:t xml:space="preserve"> </w:t>
      </w:r>
      <w:r>
        <w:rPr>
          <w:i/>
          <w:sz w:val="18"/>
        </w:rPr>
        <w:t>A</w:t>
      </w:r>
      <w:r>
        <w:rPr>
          <w:i/>
          <w:spacing w:val="-3"/>
          <w:sz w:val="18"/>
        </w:rPr>
        <w:t xml:space="preserve"> </w:t>
      </w:r>
      <w:r>
        <w:rPr>
          <w:i/>
          <w:sz w:val="18"/>
        </w:rPr>
        <w:t>Review</w:t>
      </w:r>
      <w:r>
        <w:rPr>
          <w:i/>
          <w:spacing w:val="-3"/>
          <w:sz w:val="18"/>
        </w:rPr>
        <w:t xml:space="preserve"> </w:t>
      </w:r>
      <w:r>
        <w:rPr>
          <w:i/>
          <w:sz w:val="18"/>
        </w:rPr>
        <w:t>of</w:t>
      </w:r>
      <w:r>
        <w:rPr>
          <w:i/>
          <w:spacing w:val="-3"/>
          <w:sz w:val="18"/>
        </w:rPr>
        <w:t xml:space="preserve"> </w:t>
      </w:r>
      <w:r>
        <w:rPr>
          <w:i/>
          <w:sz w:val="18"/>
        </w:rPr>
        <w:t>Energy</w:t>
      </w:r>
      <w:r>
        <w:rPr>
          <w:i/>
          <w:spacing w:val="-2"/>
          <w:sz w:val="18"/>
        </w:rPr>
        <w:t xml:space="preserve"> </w:t>
      </w:r>
      <w:r>
        <w:rPr>
          <w:i/>
          <w:sz w:val="18"/>
        </w:rPr>
        <w:t>Reductio</w:t>
      </w:r>
      <w:r>
        <w:rPr>
          <w:i/>
          <w:sz w:val="18"/>
        </w:rPr>
        <w:t>n</w:t>
      </w:r>
      <w:r>
        <w:rPr>
          <w:i/>
          <w:spacing w:val="-4"/>
          <w:sz w:val="18"/>
        </w:rPr>
        <w:t xml:space="preserve"> </w:t>
      </w:r>
      <w:r>
        <w:rPr>
          <w:i/>
          <w:sz w:val="18"/>
        </w:rPr>
        <w:t>Competitions.</w:t>
      </w:r>
      <w:r>
        <w:rPr>
          <w:i/>
          <w:spacing w:val="-3"/>
          <w:sz w:val="18"/>
        </w:rPr>
        <w:t xml:space="preserve"> </w:t>
      </w:r>
      <w:r>
        <w:rPr>
          <w:i/>
          <w:sz w:val="18"/>
        </w:rPr>
        <w:t>What</w:t>
      </w:r>
      <w:r>
        <w:rPr>
          <w:i/>
          <w:spacing w:val="-3"/>
          <w:sz w:val="18"/>
        </w:rPr>
        <w:t xml:space="preserve"> </w:t>
      </w:r>
      <w:r>
        <w:rPr>
          <w:i/>
          <w:sz w:val="18"/>
        </w:rPr>
        <w:t>Have</w:t>
      </w:r>
      <w:r>
        <w:rPr>
          <w:i/>
          <w:spacing w:val="-4"/>
          <w:sz w:val="18"/>
        </w:rPr>
        <w:t xml:space="preserve"> </w:t>
      </w:r>
      <w:r>
        <w:rPr>
          <w:i/>
          <w:sz w:val="18"/>
        </w:rPr>
        <w:t>We</w:t>
      </w:r>
      <w:r>
        <w:rPr>
          <w:i/>
          <w:spacing w:val="-4"/>
          <w:sz w:val="18"/>
        </w:rPr>
        <w:t xml:space="preserve"> </w:t>
      </w:r>
      <w:r>
        <w:rPr>
          <w:i/>
          <w:sz w:val="18"/>
        </w:rPr>
        <w:t xml:space="preserve">Learned?, </w:t>
      </w:r>
      <w:r>
        <w:rPr>
          <w:sz w:val="18"/>
        </w:rPr>
        <w:t xml:space="preserve">2015 (May), California Institute for Energy and Environment. Report sponsored by the CPUC. Available at: </w:t>
      </w:r>
      <w:hyperlink r:id="rId286">
        <w:r>
          <w:rPr>
            <w:color w:val="68942C"/>
            <w:spacing w:val="-2"/>
            <w:sz w:val="18"/>
            <w:u w:val="single" w:color="68942C"/>
          </w:rPr>
          <w:t>http://escholarship.org/uc/item/30x859hv</w:t>
        </w:r>
      </w:hyperlink>
    </w:p>
    <w:p w:rsidR="00C31389" w:rsidRDefault="00561FBD" w14:paraId="14F31BA1" w14:textId="77777777">
      <w:pPr>
        <w:spacing w:before="35"/>
        <w:ind w:left="480" w:right="615"/>
        <w:rPr>
          <w:sz w:val="18"/>
        </w:rPr>
      </w:pPr>
      <w:bookmarkStart w:name="_bookmark417" w:id="545"/>
      <w:bookmarkEnd w:id="545"/>
      <w:r>
        <w:rPr>
          <w:position w:val="6"/>
          <w:sz w:val="12"/>
        </w:rPr>
        <w:t>161</w:t>
      </w:r>
      <w:r>
        <w:rPr>
          <w:spacing w:val="14"/>
          <w:position w:val="6"/>
          <w:sz w:val="12"/>
        </w:rPr>
        <w:t xml:space="preserve"> </w:t>
      </w:r>
      <w:r>
        <w:rPr>
          <w:sz w:val="18"/>
        </w:rPr>
        <w:t>Edward</w:t>
      </w:r>
      <w:r>
        <w:rPr>
          <w:spacing w:val="-4"/>
          <w:sz w:val="18"/>
        </w:rPr>
        <w:t xml:space="preserve"> </w:t>
      </w:r>
      <w:r>
        <w:rPr>
          <w:sz w:val="18"/>
        </w:rPr>
        <w:t>L.</w:t>
      </w:r>
      <w:r>
        <w:rPr>
          <w:spacing w:val="-3"/>
          <w:sz w:val="18"/>
        </w:rPr>
        <w:t xml:space="preserve"> </w:t>
      </w:r>
      <w:r>
        <w:rPr>
          <w:sz w:val="18"/>
        </w:rPr>
        <w:t>Vine</w:t>
      </w:r>
      <w:r>
        <w:rPr>
          <w:spacing w:val="-4"/>
          <w:sz w:val="18"/>
        </w:rPr>
        <w:t xml:space="preserve"> </w:t>
      </w:r>
      <w:r>
        <w:rPr>
          <w:sz w:val="18"/>
        </w:rPr>
        <w:t>and</w:t>
      </w:r>
      <w:r>
        <w:rPr>
          <w:spacing w:val="-4"/>
          <w:sz w:val="18"/>
        </w:rPr>
        <w:t xml:space="preserve"> </w:t>
      </w:r>
      <w:r>
        <w:rPr>
          <w:sz w:val="18"/>
        </w:rPr>
        <w:t>Christopher</w:t>
      </w:r>
      <w:r>
        <w:rPr>
          <w:spacing w:val="-3"/>
          <w:sz w:val="18"/>
        </w:rPr>
        <w:t xml:space="preserve"> </w:t>
      </w:r>
      <w:r>
        <w:rPr>
          <w:sz w:val="18"/>
        </w:rPr>
        <w:t>M.</w:t>
      </w:r>
      <w:r>
        <w:rPr>
          <w:spacing w:val="-3"/>
          <w:sz w:val="18"/>
        </w:rPr>
        <w:t xml:space="preserve"> </w:t>
      </w:r>
      <w:r>
        <w:rPr>
          <w:sz w:val="18"/>
        </w:rPr>
        <w:t>Jones.</w:t>
      </w:r>
      <w:r>
        <w:rPr>
          <w:spacing w:val="-3"/>
          <w:sz w:val="18"/>
        </w:rPr>
        <w:t xml:space="preserve"> </w:t>
      </w:r>
      <w:r>
        <w:rPr>
          <w:sz w:val="18"/>
        </w:rPr>
        <w:t>“Competition,</w:t>
      </w:r>
      <w:r>
        <w:rPr>
          <w:spacing w:val="-3"/>
          <w:sz w:val="18"/>
        </w:rPr>
        <w:t xml:space="preserve"> </w:t>
      </w:r>
      <w:r>
        <w:rPr>
          <w:sz w:val="18"/>
        </w:rPr>
        <w:t>carbon,</w:t>
      </w:r>
      <w:r>
        <w:rPr>
          <w:spacing w:val="-3"/>
          <w:sz w:val="18"/>
        </w:rPr>
        <w:t xml:space="preserve"> </w:t>
      </w:r>
      <w:r>
        <w:rPr>
          <w:sz w:val="18"/>
        </w:rPr>
        <w:t>and</w:t>
      </w:r>
      <w:r>
        <w:rPr>
          <w:spacing w:val="-4"/>
          <w:sz w:val="18"/>
        </w:rPr>
        <w:t xml:space="preserve"> </w:t>
      </w:r>
      <w:r>
        <w:rPr>
          <w:sz w:val="18"/>
        </w:rPr>
        <w:t>conservation:</w:t>
      </w:r>
      <w:r>
        <w:rPr>
          <w:spacing w:val="-3"/>
          <w:sz w:val="18"/>
        </w:rPr>
        <w:t xml:space="preserve"> </w:t>
      </w:r>
      <w:r>
        <w:rPr>
          <w:sz w:val="18"/>
        </w:rPr>
        <w:t>Assessing</w:t>
      </w:r>
      <w:r>
        <w:rPr>
          <w:spacing w:val="-4"/>
          <w:sz w:val="18"/>
        </w:rPr>
        <w:t xml:space="preserve"> </w:t>
      </w:r>
      <w:r>
        <w:rPr>
          <w:sz w:val="18"/>
        </w:rPr>
        <w:t>the</w:t>
      </w:r>
      <w:r>
        <w:rPr>
          <w:spacing w:val="-4"/>
          <w:sz w:val="18"/>
        </w:rPr>
        <w:t xml:space="preserve"> </w:t>
      </w:r>
      <w:r>
        <w:rPr>
          <w:sz w:val="18"/>
        </w:rPr>
        <w:t xml:space="preserve">energy savings potential of energy efficiency competitions.” 2016. Vol 19: 158-176. </w:t>
      </w:r>
      <w:r>
        <w:rPr>
          <w:i/>
          <w:sz w:val="18"/>
        </w:rPr>
        <w:t xml:space="preserve">Energy Research and Social </w:t>
      </w:r>
      <w:r>
        <w:rPr>
          <w:i/>
          <w:spacing w:val="-2"/>
          <w:sz w:val="18"/>
        </w:rPr>
        <w:t>Science</w:t>
      </w:r>
      <w:r>
        <w:rPr>
          <w:spacing w:val="-2"/>
          <w:sz w:val="18"/>
        </w:rPr>
        <w:t>.</w:t>
      </w:r>
    </w:p>
    <w:p w:rsidR="00C31389" w:rsidRDefault="00561FBD" w14:paraId="4D779DDE" w14:textId="77777777">
      <w:pPr>
        <w:spacing w:before="36"/>
        <w:ind w:left="480" w:right="615"/>
        <w:rPr>
          <w:sz w:val="18"/>
        </w:rPr>
      </w:pPr>
      <w:bookmarkStart w:name="_bookmark418" w:id="546"/>
      <w:bookmarkEnd w:id="546"/>
      <w:r>
        <w:rPr>
          <w:position w:val="6"/>
          <w:sz w:val="12"/>
        </w:rPr>
        <w:t>162</w:t>
      </w:r>
      <w:r>
        <w:rPr>
          <w:spacing w:val="14"/>
          <w:position w:val="6"/>
          <w:sz w:val="12"/>
        </w:rPr>
        <w:t xml:space="preserve"> </w:t>
      </w:r>
      <w:r>
        <w:rPr>
          <w:sz w:val="18"/>
        </w:rPr>
        <w:t>TecMarket</w:t>
      </w:r>
      <w:r>
        <w:rPr>
          <w:spacing w:val="-3"/>
          <w:sz w:val="18"/>
        </w:rPr>
        <w:t xml:space="preserve"> </w:t>
      </w:r>
      <w:r>
        <w:rPr>
          <w:sz w:val="18"/>
        </w:rPr>
        <w:t>Works,</w:t>
      </w:r>
      <w:r>
        <w:rPr>
          <w:spacing w:val="-3"/>
          <w:sz w:val="18"/>
        </w:rPr>
        <w:t xml:space="preserve"> </w:t>
      </w:r>
      <w:r>
        <w:rPr>
          <w:i/>
          <w:sz w:val="18"/>
        </w:rPr>
        <w:t>Impact</w:t>
      </w:r>
      <w:r>
        <w:rPr>
          <w:i/>
          <w:spacing w:val="-3"/>
          <w:sz w:val="18"/>
        </w:rPr>
        <w:t xml:space="preserve"> </w:t>
      </w:r>
      <w:r>
        <w:rPr>
          <w:i/>
          <w:sz w:val="18"/>
        </w:rPr>
        <w:t>Evaluation</w:t>
      </w:r>
      <w:r>
        <w:rPr>
          <w:i/>
          <w:spacing w:val="-2"/>
          <w:sz w:val="18"/>
        </w:rPr>
        <w:t xml:space="preserve"> </w:t>
      </w:r>
      <w:r>
        <w:rPr>
          <w:i/>
          <w:sz w:val="18"/>
        </w:rPr>
        <w:t>of</w:t>
      </w:r>
      <w:r>
        <w:rPr>
          <w:i/>
          <w:spacing w:val="-2"/>
          <w:sz w:val="18"/>
        </w:rPr>
        <w:t xml:space="preserve"> </w:t>
      </w:r>
      <w:r>
        <w:rPr>
          <w:i/>
          <w:sz w:val="18"/>
        </w:rPr>
        <w:t>the</w:t>
      </w:r>
      <w:r>
        <w:rPr>
          <w:i/>
          <w:spacing w:val="-4"/>
          <w:sz w:val="18"/>
        </w:rPr>
        <w:t xml:space="preserve"> </w:t>
      </w:r>
      <w:r>
        <w:rPr>
          <w:i/>
          <w:sz w:val="18"/>
        </w:rPr>
        <w:t>Smart</w:t>
      </w:r>
      <w:r>
        <w:rPr>
          <w:i/>
          <w:spacing w:val="-3"/>
          <w:sz w:val="18"/>
        </w:rPr>
        <w:t xml:space="preserve"> </w:t>
      </w:r>
      <w:r>
        <w:rPr>
          <w:i/>
          <w:sz w:val="18"/>
        </w:rPr>
        <w:t>Energy</w:t>
      </w:r>
      <w:r>
        <w:rPr>
          <w:i/>
          <w:spacing w:val="-2"/>
          <w:sz w:val="18"/>
        </w:rPr>
        <w:t xml:space="preserve"> </w:t>
      </w:r>
      <w:r>
        <w:rPr>
          <w:i/>
          <w:sz w:val="18"/>
        </w:rPr>
        <w:t>Now</w:t>
      </w:r>
      <w:r>
        <w:rPr>
          <w:i/>
          <w:spacing w:val="-3"/>
          <w:sz w:val="18"/>
        </w:rPr>
        <w:t xml:space="preserve"> </w:t>
      </w:r>
      <w:r>
        <w:rPr>
          <w:i/>
          <w:sz w:val="18"/>
        </w:rPr>
        <w:t>Program</w:t>
      </w:r>
      <w:r>
        <w:rPr>
          <w:i/>
          <w:spacing w:val="-3"/>
          <w:sz w:val="18"/>
        </w:rPr>
        <w:t xml:space="preserve"> </w:t>
      </w:r>
      <w:r>
        <w:rPr>
          <w:i/>
          <w:sz w:val="18"/>
        </w:rPr>
        <w:t>(NC)</w:t>
      </w:r>
      <w:r>
        <w:rPr>
          <w:i/>
          <w:spacing w:val="-3"/>
          <w:sz w:val="18"/>
        </w:rPr>
        <w:t xml:space="preserve"> </w:t>
      </w:r>
      <w:r>
        <w:rPr>
          <w:i/>
          <w:sz w:val="18"/>
        </w:rPr>
        <w:t>(Pilot)</w:t>
      </w:r>
      <w:r>
        <w:rPr>
          <w:i/>
          <w:spacing w:val="-3"/>
          <w:sz w:val="18"/>
        </w:rPr>
        <w:t xml:space="preserve"> </w:t>
      </w:r>
      <w:r>
        <w:rPr>
          <w:i/>
          <w:sz w:val="18"/>
        </w:rPr>
        <w:t>for</w:t>
      </w:r>
      <w:r>
        <w:rPr>
          <w:i/>
          <w:spacing w:val="-3"/>
          <w:sz w:val="18"/>
        </w:rPr>
        <w:t xml:space="preserve"> </w:t>
      </w:r>
      <w:r>
        <w:rPr>
          <w:i/>
          <w:sz w:val="18"/>
        </w:rPr>
        <w:t>Duke</w:t>
      </w:r>
      <w:r>
        <w:rPr>
          <w:i/>
          <w:spacing w:val="-4"/>
          <w:sz w:val="18"/>
        </w:rPr>
        <w:t xml:space="preserve"> </w:t>
      </w:r>
      <w:r>
        <w:rPr>
          <w:i/>
          <w:sz w:val="18"/>
        </w:rPr>
        <w:t>Energy</w:t>
      </w:r>
      <w:r>
        <w:rPr>
          <w:sz w:val="18"/>
        </w:rPr>
        <w:t>, February 21, 2014.</w:t>
      </w:r>
    </w:p>
    <w:p w:rsidR="00C31389" w:rsidRDefault="00561FBD" w14:paraId="00F03833" w14:textId="77777777">
      <w:pPr>
        <w:spacing w:before="38"/>
        <w:ind w:left="480" w:right="479"/>
        <w:rPr>
          <w:sz w:val="18"/>
        </w:rPr>
      </w:pPr>
      <w:bookmarkStart w:name="_bookmark419" w:id="547"/>
      <w:bookmarkEnd w:id="547"/>
      <w:r>
        <w:rPr>
          <w:position w:val="6"/>
          <w:sz w:val="12"/>
        </w:rPr>
        <w:t>163</w:t>
      </w:r>
      <w:r>
        <w:rPr>
          <w:spacing w:val="25"/>
          <w:position w:val="6"/>
          <w:sz w:val="12"/>
        </w:rPr>
        <w:t xml:space="preserve"> </w:t>
      </w:r>
      <w:r>
        <w:rPr>
          <w:sz w:val="18"/>
        </w:rPr>
        <w:t xml:space="preserve">Linda </w:t>
      </w:r>
      <w:r>
        <w:rPr>
          <w:sz w:val="18"/>
        </w:rPr>
        <w:t>Dethman, Brian Arthur Smith, Jillian Rich, and James Russell. “Engaging Small and Medium Businesses</w:t>
      </w:r>
      <w:r>
        <w:rPr>
          <w:spacing w:val="-3"/>
          <w:sz w:val="18"/>
        </w:rPr>
        <w:t xml:space="preserve"> </w:t>
      </w:r>
      <w:r>
        <w:rPr>
          <w:sz w:val="18"/>
        </w:rPr>
        <w:t>in</w:t>
      </w:r>
      <w:r>
        <w:rPr>
          <w:spacing w:val="-2"/>
          <w:sz w:val="18"/>
        </w:rPr>
        <w:t xml:space="preserve"> </w:t>
      </w:r>
      <w:r>
        <w:rPr>
          <w:sz w:val="18"/>
        </w:rPr>
        <w:t>Behavior</w:t>
      </w:r>
      <w:r>
        <w:rPr>
          <w:spacing w:val="-3"/>
          <w:sz w:val="18"/>
        </w:rPr>
        <w:t xml:space="preserve"> </w:t>
      </w:r>
      <w:r>
        <w:rPr>
          <w:sz w:val="18"/>
        </w:rPr>
        <w:t>Change</w:t>
      </w:r>
      <w:r>
        <w:rPr>
          <w:spacing w:val="-4"/>
          <w:sz w:val="18"/>
        </w:rPr>
        <w:t xml:space="preserve"> </w:t>
      </w:r>
      <w:r>
        <w:rPr>
          <w:sz w:val="18"/>
        </w:rPr>
        <w:t>through</w:t>
      </w:r>
      <w:r>
        <w:rPr>
          <w:spacing w:val="-4"/>
          <w:sz w:val="18"/>
        </w:rPr>
        <w:t xml:space="preserve"> </w:t>
      </w:r>
      <w:r>
        <w:rPr>
          <w:sz w:val="18"/>
        </w:rPr>
        <w:t>a</w:t>
      </w:r>
      <w:r>
        <w:rPr>
          <w:spacing w:val="-4"/>
          <w:sz w:val="18"/>
        </w:rPr>
        <w:t xml:space="preserve"> </w:t>
      </w:r>
      <w:r>
        <w:rPr>
          <w:sz w:val="18"/>
        </w:rPr>
        <w:t>Multifaceted</w:t>
      </w:r>
      <w:r>
        <w:rPr>
          <w:spacing w:val="-4"/>
          <w:sz w:val="18"/>
        </w:rPr>
        <w:t xml:space="preserve"> </w:t>
      </w:r>
      <w:r>
        <w:rPr>
          <w:sz w:val="18"/>
        </w:rPr>
        <w:t>Marketing</w:t>
      </w:r>
      <w:r>
        <w:rPr>
          <w:spacing w:val="-4"/>
          <w:sz w:val="18"/>
        </w:rPr>
        <w:t xml:space="preserve"> </w:t>
      </w:r>
      <w:r>
        <w:rPr>
          <w:sz w:val="18"/>
        </w:rPr>
        <w:t>Campaign.”</w:t>
      </w:r>
      <w:r>
        <w:rPr>
          <w:spacing w:val="-3"/>
          <w:sz w:val="18"/>
        </w:rPr>
        <w:t xml:space="preserve"> </w:t>
      </w:r>
      <w:r>
        <w:rPr>
          <w:sz w:val="18"/>
        </w:rPr>
        <w:t>2016.</w:t>
      </w:r>
      <w:r>
        <w:rPr>
          <w:spacing w:val="-1"/>
          <w:sz w:val="18"/>
        </w:rPr>
        <w:t xml:space="preserve"> </w:t>
      </w:r>
      <w:r>
        <w:rPr>
          <w:sz w:val="18"/>
        </w:rPr>
        <w:t>Proceedings</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ACEEE Summer Study on Energy Efficiency in Buildings.</w:t>
      </w:r>
    </w:p>
    <w:p w:rsidR="00C31389" w:rsidRDefault="00561FBD" w14:paraId="1AA8BB3F" w14:textId="77777777">
      <w:pPr>
        <w:spacing w:before="35"/>
        <w:ind w:left="480" w:right="418"/>
        <w:rPr>
          <w:sz w:val="18"/>
        </w:rPr>
      </w:pPr>
      <w:bookmarkStart w:name="_bookmark420" w:id="548"/>
      <w:bookmarkEnd w:id="548"/>
      <w:r>
        <w:rPr>
          <w:position w:val="6"/>
          <w:sz w:val="12"/>
        </w:rPr>
        <w:t>164</w:t>
      </w:r>
      <w:r>
        <w:rPr>
          <w:spacing w:val="14"/>
          <w:position w:val="6"/>
          <w:sz w:val="12"/>
        </w:rPr>
        <w:t xml:space="preserve"> </w:t>
      </w:r>
      <w:r>
        <w:rPr>
          <w:sz w:val="18"/>
        </w:rPr>
        <w:t>Kat</w:t>
      </w:r>
      <w:r>
        <w:rPr>
          <w:spacing w:val="-3"/>
          <w:sz w:val="18"/>
        </w:rPr>
        <w:t xml:space="preserve"> </w:t>
      </w:r>
      <w:r>
        <w:rPr>
          <w:sz w:val="18"/>
        </w:rPr>
        <w:t>A.</w:t>
      </w:r>
      <w:r>
        <w:rPr>
          <w:spacing w:val="-3"/>
          <w:sz w:val="18"/>
        </w:rPr>
        <w:t xml:space="preserve"> </w:t>
      </w:r>
      <w:r>
        <w:rPr>
          <w:sz w:val="18"/>
        </w:rPr>
        <w:t>Don</w:t>
      </w:r>
      <w:r>
        <w:rPr>
          <w:sz w:val="18"/>
        </w:rPr>
        <w:t>nelly.</w:t>
      </w:r>
      <w:r>
        <w:rPr>
          <w:spacing w:val="-3"/>
          <w:sz w:val="18"/>
        </w:rPr>
        <w:t xml:space="preserve"> </w:t>
      </w:r>
      <w:r>
        <w:rPr>
          <w:sz w:val="18"/>
        </w:rPr>
        <w:t>“Workplace</w:t>
      </w:r>
      <w:r>
        <w:rPr>
          <w:spacing w:val="-4"/>
          <w:sz w:val="18"/>
        </w:rPr>
        <w:t xml:space="preserve"> </w:t>
      </w:r>
      <w:r>
        <w:rPr>
          <w:sz w:val="18"/>
        </w:rPr>
        <w:t>Engagement:</w:t>
      </w:r>
      <w:r>
        <w:rPr>
          <w:spacing w:val="-3"/>
          <w:sz w:val="18"/>
        </w:rPr>
        <w:t xml:space="preserve"> </w:t>
      </w:r>
      <w:r>
        <w:rPr>
          <w:sz w:val="18"/>
        </w:rPr>
        <w:t>Finding</w:t>
      </w:r>
      <w:r>
        <w:rPr>
          <w:spacing w:val="-4"/>
          <w:sz w:val="18"/>
        </w:rPr>
        <w:t xml:space="preserve"> </w:t>
      </w:r>
      <w:r>
        <w:rPr>
          <w:sz w:val="18"/>
        </w:rPr>
        <w:t>and</w:t>
      </w:r>
      <w:r>
        <w:rPr>
          <w:spacing w:val="-4"/>
          <w:sz w:val="18"/>
        </w:rPr>
        <w:t xml:space="preserve"> </w:t>
      </w:r>
      <w:r>
        <w:rPr>
          <w:sz w:val="18"/>
        </w:rPr>
        <w:t>Filling</w:t>
      </w:r>
      <w:r>
        <w:rPr>
          <w:spacing w:val="-4"/>
          <w:sz w:val="18"/>
        </w:rPr>
        <w:t xml:space="preserve"> </w:t>
      </w:r>
      <w:r>
        <w:rPr>
          <w:sz w:val="18"/>
        </w:rPr>
        <w:t>the</w:t>
      </w:r>
      <w:r>
        <w:rPr>
          <w:spacing w:val="-4"/>
          <w:sz w:val="18"/>
        </w:rPr>
        <w:t xml:space="preserve"> </w:t>
      </w:r>
      <w:r>
        <w:rPr>
          <w:sz w:val="18"/>
        </w:rPr>
        <w:t>Gaps</w:t>
      </w:r>
      <w:r>
        <w:rPr>
          <w:spacing w:val="-3"/>
          <w:sz w:val="18"/>
        </w:rPr>
        <w:t xml:space="preserve"> </w:t>
      </w:r>
      <w:r>
        <w:rPr>
          <w:sz w:val="18"/>
        </w:rPr>
        <w:t>for</w:t>
      </w:r>
      <w:r>
        <w:rPr>
          <w:spacing w:val="-3"/>
          <w:sz w:val="18"/>
        </w:rPr>
        <w:t xml:space="preserve"> </w:t>
      </w:r>
      <w:r>
        <w:rPr>
          <w:sz w:val="18"/>
        </w:rPr>
        <w:t>Fruitful</w:t>
      </w:r>
      <w:r>
        <w:rPr>
          <w:spacing w:val="-3"/>
          <w:sz w:val="18"/>
        </w:rPr>
        <w:t xml:space="preserve"> </w:t>
      </w:r>
      <w:r>
        <w:rPr>
          <w:sz w:val="18"/>
        </w:rPr>
        <w:t>Energy</w:t>
      </w:r>
      <w:r>
        <w:rPr>
          <w:spacing w:val="-3"/>
          <w:sz w:val="18"/>
        </w:rPr>
        <w:t xml:space="preserve"> </w:t>
      </w:r>
      <w:r>
        <w:rPr>
          <w:sz w:val="18"/>
        </w:rPr>
        <w:t>Savings.”</w:t>
      </w:r>
      <w:r>
        <w:rPr>
          <w:spacing w:val="-3"/>
          <w:sz w:val="18"/>
        </w:rPr>
        <w:t xml:space="preserve"> </w:t>
      </w:r>
      <w:r>
        <w:rPr>
          <w:sz w:val="18"/>
        </w:rPr>
        <w:t>2016 (October). Presentation at the 2016 Behavior, Energy and Climate Change Conference. Baltimore, MD.</w:t>
      </w:r>
    </w:p>
    <w:p w:rsidR="00C31389" w:rsidRDefault="00C31389" w14:paraId="562414A3" w14:textId="77777777">
      <w:pPr>
        <w:rPr>
          <w:sz w:val="18"/>
        </w:rPr>
        <w:sectPr w:rsidR="00C31389">
          <w:pgSz w:w="11910" w:h="16840"/>
          <w:pgMar w:top="1660" w:right="1020" w:bottom="1120" w:left="960" w:header="397" w:footer="938" w:gutter="0"/>
          <w:cols w:space="720"/>
        </w:sectPr>
      </w:pPr>
    </w:p>
    <w:p w:rsidR="00C31389" w:rsidRDefault="00C31389" w14:paraId="413891C3" w14:textId="77777777">
      <w:pPr>
        <w:pStyle w:val="BodyText"/>
        <w:spacing w:before="11"/>
        <w:rPr>
          <w:sz w:val="13"/>
        </w:rPr>
      </w:pPr>
    </w:p>
    <w:p w:rsidR="00C31389" w:rsidRDefault="00561FBD" w14:paraId="323CAE39" w14:textId="77777777">
      <w:pPr>
        <w:pStyle w:val="BodyText"/>
        <w:spacing w:before="92"/>
        <w:ind w:left="480" w:right="418"/>
        <w:rPr>
          <w:sz w:val="14"/>
        </w:rPr>
      </w:pPr>
      <w:r>
        <w:t>applicability</w:t>
      </w:r>
      <w:r>
        <w:rPr>
          <w:spacing w:val="-4"/>
        </w:rPr>
        <w:t xml:space="preserve"> </w:t>
      </w:r>
      <w:r>
        <w:t>of</w:t>
      </w:r>
      <w:r>
        <w:rPr>
          <w:spacing w:val="-3"/>
        </w:rPr>
        <w:t xml:space="preserve"> </w:t>
      </w:r>
      <w:r>
        <w:t>8%</w:t>
      </w:r>
      <w:r>
        <w:rPr>
          <w:spacing w:val="-3"/>
        </w:rPr>
        <w:t xml:space="preserve"> </w:t>
      </w:r>
      <w:r>
        <w:t>for</w:t>
      </w:r>
      <w:r>
        <w:rPr>
          <w:spacing w:val="-3"/>
        </w:rPr>
        <w:t xml:space="preserve"> </w:t>
      </w:r>
      <w:r>
        <w:t>large</w:t>
      </w:r>
      <w:r>
        <w:rPr>
          <w:spacing w:val="-3"/>
        </w:rPr>
        <w:t xml:space="preserve"> </w:t>
      </w:r>
      <w:r>
        <w:t>offices</w:t>
      </w:r>
      <w:r>
        <w:rPr>
          <w:spacing w:val="-3"/>
        </w:rPr>
        <w:t xml:space="preserve"> </w:t>
      </w:r>
      <w:r>
        <w:t>and</w:t>
      </w:r>
      <w:r>
        <w:rPr>
          <w:spacing w:val="-3"/>
        </w:rPr>
        <w:t xml:space="preserve"> </w:t>
      </w:r>
      <w:r>
        <w:t>lodging</w:t>
      </w:r>
      <w:r>
        <w:rPr>
          <w:spacing w:val="-3"/>
        </w:rPr>
        <w:t xml:space="preserve"> </w:t>
      </w:r>
      <w:r>
        <w:t>and</w:t>
      </w:r>
      <w:r>
        <w:rPr>
          <w:spacing w:val="-3"/>
        </w:rPr>
        <w:t xml:space="preserve"> </w:t>
      </w:r>
      <w:r>
        <w:t>a</w:t>
      </w:r>
      <w:r>
        <w:rPr>
          <w:spacing w:val="-3"/>
        </w:rPr>
        <w:t xml:space="preserve"> </w:t>
      </w:r>
      <w:r>
        <w:t>4%</w:t>
      </w:r>
      <w:r>
        <w:rPr>
          <w:spacing w:val="-3"/>
        </w:rPr>
        <w:t xml:space="preserve"> </w:t>
      </w:r>
      <w:r>
        <w:t>applicability</w:t>
      </w:r>
      <w:r>
        <w:rPr>
          <w:spacing w:val="-3"/>
        </w:rPr>
        <w:t xml:space="preserve"> </w:t>
      </w:r>
      <w:r>
        <w:t>factor</w:t>
      </w:r>
      <w:r>
        <w:rPr>
          <w:spacing w:val="-3"/>
        </w:rPr>
        <w:t xml:space="preserve"> </w:t>
      </w:r>
      <w:r>
        <w:t>for</w:t>
      </w:r>
      <w:r>
        <w:rPr>
          <w:spacing w:val="-3"/>
        </w:rPr>
        <w:t xml:space="preserve"> </w:t>
      </w:r>
      <w:r>
        <w:t>small</w:t>
      </w:r>
      <w:r>
        <w:rPr>
          <w:spacing w:val="-3"/>
        </w:rPr>
        <w:t xml:space="preserve"> </w:t>
      </w:r>
      <w:r>
        <w:t>offices, restaurants, and retail.</w:t>
      </w:r>
      <w:hyperlink w:history="1" w:anchor="_bookmark423">
        <w:r>
          <w:rPr>
            <w:position w:val="7"/>
            <w:sz w:val="14"/>
          </w:rPr>
          <w:t>165</w:t>
        </w:r>
      </w:hyperlink>
    </w:p>
    <w:p w:rsidR="00C31389" w:rsidRDefault="00C31389" w14:paraId="5CF48604" w14:textId="77777777">
      <w:pPr>
        <w:pStyle w:val="BodyText"/>
        <w:spacing w:before="9"/>
        <w:rPr>
          <w:sz w:val="20"/>
        </w:rPr>
      </w:pPr>
    </w:p>
    <w:p w:rsidR="00C31389" w:rsidRDefault="00561FBD" w14:paraId="2BC621F8" w14:textId="77777777">
      <w:pPr>
        <w:pStyle w:val="BodyText"/>
        <w:spacing w:before="1"/>
        <w:ind w:left="479" w:right="445"/>
      </w:pPr>
      <w:r>
        <w:t>At the time the model was prepared, PG&amp;E was the only California IOU running a commercial</w:t>
      </w:r>
      <w:r>
        <w:rPr>
          <w:spacing w:val="-3"/>
        </w:rPr>
        <w:t xml:space="preserve"> </w:t>
      </w:r>
      <w:r>
        <w:t>competition,</w:t>
      </w:r>
      <w:r>
        <w:rPr>
          <w:spacing w:val="-4"/>
        </w:rPr>
        <w:t xml:space="preserve"> </w:t>
      </w:r>
      <w:r>
        <w:t>bu</w:t>
      </w:r>
      <w:r>
        <w:t>t</w:t>
      </w:r>
      <w:r>
        <w:rPr>
          <w:spacing w:val="-3"/>
        </w:rPr>
        <w:t xml:space="preserve"> </w:t>
      </w:r>
      <w:r>
        <w:t>there</w:t>
      </w:r>
      <w:r>
        <w:rPr>
          <w:spacing w:val="-3"/>
        </w:rPr>
        <w:t xml:space="preserve"> </w:t>
      </w:r>
      <w:r>
        <w:t>were</w:t>
      </w:r>
      <w:r>
        <w:rPr>
          <w:spacing w:val="-3"/>
        </w:rPr>
        <w:t xml:space="preserve"> </w:t>
      </w:r>
      <w:r>
        <w:t>no</w:t>
      </w:r>
      <w:r>
        <w:rPr>
          <w:spacing w:val="-3"/>
        </w:rPr>
        <w:t xml:space="preserve"> </w:t>
      </w:r>
      <w:r>
        <w:t>claimed</w:t>
      </w:r>
      <w:r>
        <w:rPr>
          <w:spacing w:val="-3"/>
        </w:rPr>
        <w:t xml:space="preserve"> </w:t>
      </w:r>
      <w:r>
        <w:t>savings.</w:t>
      </w:r>
      <w:r>
        <w:rPr>
          <w:spacing w:val="-4"/>
        </w:rPr>
        <w:t xml:space="preserve"> </w:t>
      </w:r>
      <w:r>
        <w:t>Because</w:t>
      </w:r>
      <w:r>
        <w:rPr>
          <w:spacing w:val="-3"/>
        </w:rPr>
        <w:t xml:space="preserve"> </w:t>
      </w:r>
      <w:r>
        <w:t>of</w:t>
      </w:r>
      <w:r>
        <w:rPr>
          <w:spacing w:val="-3"/>
        </w:rPr>
        <w:t xml:space="preserve"> </w:t>
      </w:r>
      <w:r>
        <w:t>this,</w:t>
      </w:r>
      <w:r>
        <w:rPr>
          <w:spacing w:val="-3"/>
        </w:rPr>
        <w:t xml:space="preserve"> </w:t>
      </w:r>
      <w:r>
        <w:t>the</w:t>
      </w:r>
      <w:r>
        <w:rPr>
          <w:spacing w:val="-3"/>
        </w:rPr>
        <w:t xml:space="preserve"> </w:t>
      </w:r>
      <w:r>
        <w:t>penetration forecast for PG&amp;E shows 0% until 2021, at which point the rate reflects savings claimed for one city. SCE and SDG&amp;E also do not begin with non-zero penetration until 2021. The Guidehouse tea</w:t>
      </w:r>
      <w:r>
        <w:t>m does not anticipate that SCG will run commercial competitions given that the team currently does not have sufficient data with which to model gas savings.</w:t>
      </w:r>
    </w:p>
    <w:p w:rsidR="00C31389" w:rsidRDefault="00C31389" w14:paraId="6B11EAC0" w14:textId="77777777">
      <w:pPr>
        <w:pStyle w:val="BodyText"/>
        <w:spacing w:before="9"/>
        <w:rPr>
          <w:sz w:val="20"/>
        </w:rPr>
      </w:pPr>
    </w:p>
    <w:p w:rsidR="00C31389" w:rsidRDefault="00561FBD" w14:paraId="2967C8C7" w14:textId="77777777">
      <w:pPr>
        <w:pStyle w:val="BodyText"/>
        <w:spacing w:before="1"/>
        <w:ind w:left="480" w:right="529"/>
      </w:pPr>
      <w:r>
        <w:t>The penetration rates for each utility assume they will target the largest cities within their ser</w:t>
      </w:r>
      <w:r>
        <w:t>vice</w:t>
      </w:r>
      <w:r>
        <w:rPr>
          <w:spacing w:val="-3"/>
        </w:rPr>
        <w:t xml:space="preserve"> </w:t>
      </w:r>
      <w:r>
        <w:t>territories</w:t>
      </w:r>
      <w:r>
        <w:rPr>
          <w:spacing w:val="-3"/>
        </w:rPr>
        <w:t xml:space="preserve"> </w:t>
      </w:r>
      <w:r>
        <w:t>(e.g.,</w:t>
      </w:r>
      <w:r>
        <w:rPr>
          <w:spacing w:val="-5"/>
        </w:rPr>
        <w:t xml:space="preserve"> </w:t>
      </w:r>
      <w:r>
        <w:t>San</w:t>
      </w:r>
      <w:r>
        <w:rPr>
          <w:spacing w:val="-3"/>
        </w:rPr>
        <w:t xml:space="preserve"> </w:t>
      </w:r>
      <w:r>
        <w:t>Francisco,</w:t>
      </w:r>
      <w:r>
        <w:rPr>
          <w:spacing w:val="-3"/>
        </w:rPr>
        <w:t xml:space="preserve"> </w:t>
      </w:r>
      <w:r>
        <w:t>San</w:t>
      </w:r>
      <w:r>
        <w:rPr>
          <w:spacing w:val="-3"/>
        </w:rPr>
        <w:t xml:space="preserve"> </w:t>
      </w:r>
      <w:r>
        <w:t>Jose,</w:t>
      </w:r>
      <w:r>
        <w:rPr>
          <w:spacing w:val="-3"/>
        </w:rPr>
        <w:t xml:space="preserve"> </w:t>
      </w:r>
      <w:r>
        <w:t>Anaheim,</w:t>
      </w:r>
      <w:r>
        <w:rPr>
          <w:spacing w:val="-3"/>
        </w:rPr>
        <w:t xml:space="preserve"> </w:t>
      </w:r>
      <w:r>
        <w:t>and</w:t>
      </w:r>
      <w:r>
        <w:rPr>
          <w:spacing w:val="-3"/>
        </w:rPr>
        <w:t xml:space="preserve"> </w:t>
      </w:r>
      <w:r>
        <w:t>San</w:t>
      </w:r>
      <w:r>
        <w:rPr>
          <w:spacing w:val="-3"/>
        </w:rPr>
        <w:t xml:space="preserve"> </w:t>
      </w:r>
      <w:r>
        <w:t>Diego)</w:t>
      </w:r>
      <w:r>
        <w:rPr>
          <w:spacing w:val="-2"/>
        </w:rPr>
        <w:t xml:space="preserve"> </w:t>
      </w:r>
      <w:r>
        <w:t>or</w:t>
      </w:r>
      <w:r>
        <w:rPr>
          <w:spacing w:val="-3"/>
        </w:rPr>
        <w:t xml:space="preserve"> </w:t>
      </w:r>
      <w:r>
        <w:t>that</w:t>
      </w:r>
      <w:r>
        <w:rPr>
          <w:spacing w:val="-3"/>
        </w:rPr>
        <w:t xml:space="preserve"> </w:t>
      </w:r>
      <w:r>
        <w:t xml:space="preserve">groups of smaller communities (the size of Walnut Creek, Santa Barbara, or Oceanside) may be pooled together within a service territory to reach a similar number of </w:t>
      </w:r>
      <w:r>
        <w:t>businesses.</w:t>
      </w:r>
    </w:p>
    <w:p w:rsidR="00C31389" w:rsidRDefault="00C31389" w14:paraId="0D8E4C0B" w14:textId="77777777">
      <w:pPr>
        <w:pStyle w:val="BodyText"/>
        <w:spacing w:before="10"/>
        <w:rPr>
          <w:sz w:val="20"/>
        </w:rPr>
      </w:pPr>
    </w:p>
    <w:p w:rsidR="00C31389" w:rsidRDefault="00561FBD" w14:paraId="2707FBFE" w14:textId="77777777">
      <w:pPr>
        <w:pStyle w:val="Heading7"/>
        <w:spacing w:before="1"/>
        <w:ind w:left="480"/>
      </w:pPr>
      <w:r>
        <w:rPr>
          <w:spacing w:val="-2"/>
        </w:rPr>
        <w:t>Savings</w:t>
      </w:r>
    </w:p>
    <w:p w:rsidR="00C31389" w:rsidRDefault="00C31389" w14:paraId="785B0960" w14:textId="77777777">
      <w:pPr>
        <w:pStyle w:val="BodyText"/>
        <w:spacing w:before="8"/>
        <w:rPr>
          <w:b/>
          <w:sz w:val="20"/>
        </w:rPr>
      </w:pPr>
    </w:p>
    <w:p w:rsidR="00C31389" w:rsidRDefault="00561FBD" w14:paraId="57839A5D" w14:textId="77777777">
      <w:pPr>
        <w:pStyle w:val="BodyText"/>
        <w:spacing w:before="1"/>
        <w:ind w:left="480" w:right="418" w:hanging="1"/>
      </w:pPr>
      <w:r>
        <w:t>The</w:t>
      </w:r>
      <w:r>
        <w:rPr>
          <w:spacing w:val="-3"/>
        </w:rPr>
        <w:t xml:space="preserve"> </w:t>
      </w:r>
      <w:r>
        <w:t>team</w:t>
      </w:r>
      <w:r>
        <w:rPr>
          <w:spacing w:val="-4"/>
        </w:rPr>
        <w:t xml:space="preserve"> </w:t>
      </w:r>
      <w:r>
        <w:t>based</w:t>
      </w:r>
      <w:r>
        <w:rPr>
          <w:spacing w:val="-3"/>
        </w:rPr>
        <w:t xml:space="preserve"> </w:t>
      </w:r>
      <w:r>
        <w:t>savings</w:t>
      </w:r>
      <w:r>
        <w:rPr>
          <w:spacing w:val="-3"/>
        </w:rPr>
        <w:t xml:space="preserve"> </w:t>
      </w:r>
      <w:r>
        <w:t>estimates</w:t>
      </w:r>
      <w:r>
        <w:rPr>
          <w:spacing w:val="-4"/>
        </w:rPr>
        <w:t xml:space="preserve"> </w:t>
      </w:r>
      <w:r>
        <w:t>on</w:t>
      </w:r>
      <w:r>
        <w:rPr>
          <w:spacing w:val="-3"/>
        </w:rPr>
        <w:t xml:space="preserve"> </w:t>
      </w:r>
      <w:r>
        <w:t>PG&amp;E’s</w:t>
      </w:r>
      <w:r>
        <w:rPr>
          <w:spacing w:val="-2"/>
        </w:rPr>
        <w:t xml:space="preserve"> </w:t>
      </w:r>
      <w:r>
        <w:t>study</w:t>
      </w:r>
      <w:r>
        <w:rPr>
          <w:spacing w:val="-3"/>
        </w:rPr>
        <w:t xml:space="preserve"> </w:t>
      </w:r>
      <w:r>
        <w:t>of</w:t>
      </w:r>
      <w:r>
        <w:rPr>
          <w:spacing w:val="-3"/>
        </w:rPr>
        <w:t xml:space="preserve"> </w:t>
      </w:r>
      <w:r>
        <w:t>the</w:t>
      </w:r>
      <w:r>
        <w:rPr>
          <w:spacing w:val="-4"/>
        </w:rPr>
        <w:t xml:space="preserve"> </w:t>
      </w:r>
      <w:r>
        <w:t>Step</w:t>
      </w:r>
      <w:r>
        <w:rPr>
          <w:spacing w:val="-3"/>
        </w:rPr>
        <w:t xml:space="preserve"> </w:t>
      </w:r>
      <w:r>
        <w:t>Up</w:t>
      </w:r>
      <w:r>
        <w:rPr>
          <w:spacing w:val="-3"/>
        </w:rPr>
        <w:t xml:space="preserve"> </w:t>
      </w:r>
      <w:r>
        <w:t>and</w:t>
      </w:r>
      <w:r>
        <w:rPr>
          <w:spacing w:val="-3"/>
        </w:rPr>
        <w:t xml:space="preserve"> </w:t>
      </w:r>
      <w:r>
        <w:t>Power</w:t>
      </w:r>
      <w:r>
        <w:rPr>
          <w:spacing w:val="-3"/>
        </w:rPr>
        <w:t xml:space="preserve"> </w:t>
      </w:r>
      <w:r>
        <w:t>Down campaign (1.9% kWh). No gas savings are modeled.</w:t>
      </w:r>
    </w:p>
    <w:p w:rsidR="00C31389" w:rsidRDefault="00C31389" w14:paraId="6EC5D09A" w14:textId="77777777">
      <w:pPr>
        <w:pStyle w:val="BodyText"/>
        <w:spacing w:before="10"/>
        <w:rPr>
          <w:sz w:val="20"/>
        </w:rPr>
      </w:pPr>
    </w:p>
    <w:p w:rsidR="00C31389" w:rsidRDefault="00561FBD" w14:paraId="35E09696" w14:textId="77777777">
      <w:pPr>
        <w:pStyle w:val="BodyText"/>
        <w:ind w:left="480"/>
      </w:pPr>
      <w:r>
        <w:t>The</w:t>
      </w:r>
      <w:r>
        <w:rPr>
          <w:spacing w:val="-7"/>
        </w:rPr>
        <w:t xml:space="preserve"> </w:t>
      </w:r>
      <w:r>
        <w:t>model</w:t>
      </w:r>
      <w:r>
        <w:rPr>
          <w:spacing w:val="-6"/>
        </w:rPr>
        <w:t xml:space="preserve"> </w:t>
      </w:r>
      <w:r>
        <w:t>uses</w:t>
      </w:r>
      <w:r>
        <w:rPr>
          <w:spacing w:val="-6"/>
        </w:rPr>
        <w:t xml:space="preserve"> </w:t>
      </w:r>
      <w:r>
        <w:t>an</w:t>
      </w:r>
      <w:r>
        <w:rPr>
          <w:spacing w:val="-6"/>
        </w:rPr>
        <w:t xml:space="preserve"> </w:t>
      </w:r>
      <w:r>
        <w:t>EUL</w:t>
      </w:r>
      <w:r>
        <w:rPr>
          <w:spacing w:val="-7"/>
        </w:rPr>
        <w:t xml:space="preserve"> </w:t>
      </w:r>
      <w:r>
        <w:t>of</w:t>
      </w:r>
      <w:r>
        <w:rPr>
          <w:spacing w:val="-6"/>
        </w:rPr>
        <w:t xml:space="preserve"> </w:t>
      </w:r>
      <w:r>
        <w:t>2</w:t>
      </w:r>
      <w:r>
        <w:rPr>
          <w:spacing w:val="-6"/>
        </w:rPr>
        <w:t xml:space="preserve"> </w:t>
      </w:r>
      <w:r>
        <w:t>years</w:t>
      </w:r>
      <w:r>
        <w:rPr>
          <w:spacing w:val="-6"/>
        </w:rPr>
        <w:t xml:space="preserve"> </w:t>
      </w:r>
      <w:r>
        <w:t>to</w:t>
      </w:r>
      <w:r>
        <w:rPr>
          <w:spacing w:val="-7"/>
        </w:rPr>
        <w:t xml:space="preserve"> </w:t>
      </w:r>
      <w:r>
        <w:t>maintain</w:t>
      </w:r>
      <w:r>
        <w:rPr>
          <w:spacing w:val="-7"/>
        </w:rPr>
        <w:t xml:space="preserve"> </w:t>
      </w:r>
      <w:r>
        <w:t>consistency</w:t>
      </w:r>
      <w:r>
        <w:rPr>
          <w:spacing w:val="-6"/>
        </w:rPr>
        <w:t xml:space="preserve"> </w:t>
      </w:r>
      <w:r>
        <w:t>with</w:t>
      </w:r>
      <w:r>
        <w:rPr>
          <w:spacing w:val="-6"/>
        </w:rPr>
        <w:t xml:space="preserve"> </w:t>
      </w:r>
      <w:r>
        <w:t>CPUC</w:t>
      </w:r>
      <w:r>
        <w:rPr>
          <w:spacing w:val="-5"/>
        </w:rPr>
        <w:t xml:space="preserve"> </w:t>
      </w:r>
      <w:r>
        <w:t>Decision</w:t>
      </w:r>
      <w:r>
        <w:rPr>
          <w:spacing w:val="-7"/>
        </w:rPr>
        <w:t xml:space="preserve"> </w:t>
      </w:r>
      <w:r>
        <w:t>16-08-</w:t>
      </w:r>
      <w:r>
        <w:rPr>
          <w:spacing w:val="-4"/>
        </w:rPr>
        <w:t>019.</w:t>
      </w:r>
    </w:p>
    <w:p w:rsidR="00C31389" w:rsidRDefault="00C31389" w14:paraId="03FDCF0A" w14:textId="77777777">
      <w:pPr>
        <w:pStyle w:val="BodyText"/>
        <w:spacing w:before="10"/>
        <w:rPr>
          <w:sz w:val="20"/>
        </w:rPr>
      </w:pPr>
    </w:p>
    <w:p w:rsidR="00C31389" w:rsidRDefault="00561FBD" w14:paraId="3AFC5E3E" w14:textId="77777777">
      <w:pPr>
        <w:pStyle w:val="BodyText"/>
        <w:ind w:left="480" w:right="505"/>
      </w:pPr>
      <w:r>
        <w:t>Because</w:t>
      </w:r>
      <w:r>
        <w:rPr>
          <w:spacing w:val="-3"/>
        </w:rPr>
        <w:t xml:space="preserve"> </w:t>
      </w:r>
      <w:r>
        <w:t>no</w:t>
      </w:r>
      <w:r>
        <w:rPr>
          <w:spacing w:val="-3"/>
        </w:rPr>
        <w:t xml:space="preserve"> </w:t>
      </w:r>
      <w:r>
        <w:t>demand</w:t>
      </w:r>
      <w:r>
        <w:rPr>
          <w:spacing w:val="-3"/>
        </w:rPr>
        <w:t xml:space="preserve"> </w:t>
      </w:r>
      <w:r>
        <w:t>savings</w:t>
      </w:r>
      <w:r>
        <w:rPr>
          <w:spacing w:val="-3"/>
        </w:rPr>
        <w:t xml:space="preserve"> </w:t>
      </w:r>
      <w:r>
        <w:t>data</w:t>
      </w:r>
      <w:r>
        <w:rPr>
          <w:spacing w:val="-3"/>
        </w:rPr>
        <w:t xml:space="preserve"> </w:t>
      </w:r>
      <w:r>
        <w:t>was</w:t>
      </w:r>
      <w:r>
        <w:rPr>
          <w:spacing w:val="-3"/>
        </w:rPr>
        <w:t xml:space="preserve"> </w:t>
      </w:r>
      <w:r>
        <w:t>available,</w:t>
      </w:r>
      <w:r>
        <w:rPr>
          <w:spacing w:val="-3"/>
        </w:rPr>
        <w:t xml:space="preserve"> </w:t>
      </w:r>
      <w:r>
        <w:t>the</w:t>
      </w:r>
      <w:r>
        <w:rPr>
          <w:spacing w:val="-3"/>
        </w:rPr>
        <w:t xml:space="preserve"> </w:t>
      </w:r>
      <w:r>
        <w:t>team</w:t>
      </w:r>
      <w:r>
        <w:rPr>
          <w:spacing w:val="-3"/>
        </w:rPr>
        <w:t xml:space="preserve"> </w:t>
      </w:r>
      <w:r>
        <w:t>averaged</w:t>
      </w:r>
      <w:r>
        <w:rPr>
          <w:spacing w:val="-3"/>
        </w:rPr>
        <w:t xml:space="preserve"> </w:t>
      </w:r>
      <w:r>
        <w:t>the</w:t>
      </w:r>
      <w:r>
        <w:rPr>
          <w:spacing w:val="-3"/>
        </w:rPr>
        <w:t xml:space="preserve"> </w:t>
      </w:r>
      <w:r>
        <w:t>ratio</w:t>
      </w:r>
      <w:r>
        <w:rPr>
          <w:spacing w:val="-3"/>
        </w:rPr>
        <w:t xml:space="preserve"> </w:t>
      </w:r>
      <w:r>
        <w:t>of</w:t>
      </w:r>
      <w:r>
        <w:rPr>
          <w:spacing w:val="-3"/>
        </w:rPr>
        <w:t xml:space="preserve"> </w:t>
      </w:r>
      <w:r>
        <w:t>kW</w:t>
      </w:r>
      <w:r>
        <w:rPr>
          <w:spacing w:val="-3"/>
        </w:rPr>
        <w:t xml:space="preserve"> </w:t>
      </w:r>
      <w:r>
        <w:t>to</w:t>
      </w:r>
      <w:r>
        <w:rPr>
          <w:spacing w:val="-3"/>
        </w:rPr>
        <w:t xml:space="preserve"> </w:t>
      </w:r>
      <w:r>
        <w:t>kWh savings calculated for BEIMS, BOC, and SEM. This yielded a result of 0.000102, which is the figure used for the three electric utilities.</w:t>
      </w:r>
    </w:p>
    <w:p w:rsidR="00C31389" w:rsidRDefault="00C31389" w14:paraId="7EB83F6B" w14:textId="77777777">
      <w:pPr>
        <w:pStyle w:val="BodyText"/>
        <w:spacing w:before="9"/>
        <w:rPr>
          <w:sz w:val="20"/>
        </w:rPr>
      </w:pPr>
    </w:p>
    <w:p w:rsidR="00C31389" w:rsidRDefault="00561FBD" w14:paraId="7D65F656" w14:textId="77777777">
      <w:pPr>
        <w:pStyle w:val="Heading7"/>
        <w:spacing w:before="1"/>
        <w:ind w:left="480"/>
      </w:pPr>
      <w:r>
        <w:rPr>
          <w:spacing w:val="-4"/>
        </w:rPr>
        <w:t>Cost</w:t>
      </w:r>
    </w:p>
    <w:p w:rsidR="00C31389" w:rsidRDefault="00C31389" w14:paraId="4BA834DB" w14:textId="77777777">
      <w:pPr>
        <w:pStyle w:val="BodyText"/>
        <w:spacing w:before="10"/>
        <w:rPr>
          <w:b/>
          <w:sz w:val="20"/>
        </w:rPr>
      </w:pPr>
    </w:p>
    <w:p w:rsidR="00C31389" w:rsidRDefault="00561FBD" w14:paraId="0F0099E4" w14:textId="77777777">
      <w:pPr>
        <w:pStyle w:val="BodyText"/>
        <w:ind w:left="480"/>
        <w:rPr>
          <w:sz w:val="14"/>
        </w:rPr>
      </w:pPr>
      <w:r>
        <w:t>The</w:t>
      </w:r>
      <w:r>
        <w:rPr>
          <w:spacing w:val="-5"/>
        </w:rPr>
        <w:t xml:space="preserve"> </w:t>
      </w:r>
      <w:r>
        <w:t>cost</w:t>
      </w:r>
      <w:r>
        <w:rPr>
          <w:spacing w:val="-5"/>
        </w:rPr>
        <w:t xml:space="preserve"> </w:t>
      </w:r>
      <w:r>
        <w:t>of</w:t>
      </w:r>
      <w:r>
        <w:rPr>
          <w:spacing w:val="-5"/>
        </w:rPr>
        <w:t xml:space="preserve"> </w:t>
      </w:r>
      <w:r>
        <w:t>$0.04</w:t>
      </w:r>
      <w:r>
        <w:rPr>
          <w:spacing w:val="-5"/>
        </w:rPr>
        <w:t xml:space="preserve"> </w:t>
      </w:r>
      <w:r>
        <w:t>per</w:t>
      </w:r>
      <w:r>
        <w:rPr>
          <w:spacing w:val="-4"/>
        </w:rPr>
        <w:t xml:space="preserve"> </w:t>
      </w:r>
      <w:r>
        <w:t>kWh</w:t>
      </w:r>
      <w:r>
        <w:rPr>
          <w:spacing w:val="-5"/>
        </w:rPr>
        <w:t xml:space="preserve"> </w:t>
      </w:r>
      <w:r>
        <w:t>is</w:t>
      </w:r>
      <w:r>
        <w:rPr>
          <w:spacing w:val="-4"/>
        </w:rPr>
        <w:t xml:space="preserve"> </w:t>
      </w:r>
      <w:r>
        <w:t>drawn</w:t>
      </w:r>
      <w:r>
        <w:rPr>
          <w:spacing w:val="-4"/>
        </w:rPr>
        <w:t xml:space="preserve"> </w:t>
      </w:r>
      <w:r>
        <w:t>from</w:t>
      </w:r>
      <w:r>
        <w:rPr>
          <w:spacing w:val="-6"/>
        </w:rPr>
        <w:t xml:space="preserve"> </w:t>
      </w:r>
      <w:r>
        <w:t>Smart</w:t>
      </w:r>
      <w:r>
        <w:rPr>
          <w:spacing w:val="-4"/>
        </w:rPr>
        <w:t xml:space="preserve"> </w:t>
      </w:r>
      <w:r>
        <w:t>Energy</w:t>
      </w:r>
      <w:r>
        <w:rPr>
          <w:spacing w:val="-5"/>
        </w:rPr>
        <w:t xml:space="preserve"> </w:t>
      </w:r>
      <w:r>
        <w:rPr>
          <w:spacing w:val="-2"/>
        </w:rPr>
        <w:t>Now.</w:t>
      </w:r>
      <w:hyperlink w:history="1" w:anchor="_bookmark424">
        <w:r>
          <w:rPr>
            <w:spacing w:val="-2"/>
            <w:position w:val="7"/>
            <w:sz w:val="14"/>
          </w:rPr>
          <w:t>166</w:t>
        </w:r>
      </w:hyperlink>
    </w:p>
    <w:p w:rsidR="00C31389" w:rsidRDefault="00C31389" w14:paraId="251C7B9F" w14:textId="77777777">
      <w:pPr>
        <w:pStyle w:val="BodyText"/>
        <w:spacing w:before="10"/>
        <w:rPr>
          <w:sz w:val="20"/>
        </w:rPr>
      </w:pPr>
    </w:p>
    <w:p w:rsidR="00C31389" w:rsidRDefault="00561FBD" w14:paraId="50BF5AA7" w14:textId="77777777">
      <w:pPr>
        <w:pStyle w:val="ListParagraph"/>
        <w:numPr>
          <w:ilvl w:val="1"/>
          <w:numId w:val="19"/>
        </w:numPr>
        <w:tabs>
          <w:tab w:val="left" w:pos="1147"/>
        </w:tabs>
        <w:spacing w:before="1"/>
        <w:ind w:left="1147" w:hanging="667"/>
        <w:rPr>
          <w:b/>
          <w:sz w:val="28"/>
        </w:rPr>
      </w:pPr>
      <w:bookmarkStart w:name="D.11_Commercial_–_Retrocommissioning" w:id="549"/>
      <w:bookmarkStart w:name="_bookmark421" w:id="550"/>
      <w:bookmarkEnd w:id="549"/>
      <w:bookmarkEnd w:id="550"/>
      <w:r>
        <w:rPr>
          <w:b/>
          <w:sz w:val="28"/>
        </w:rPr>
        <w:t>Commercial</w:t>
      </w:r>
      <w:r>
        <w:rPr>
          <w:b/>
          <w:spacing w:val="-10"/>
          <w:sz w:val="28"/>
        </w:rPr>
        <w:t xml:space="preserve"> </w:t>
      </w:r>
      <w:r>
        <w:rPr>
          <w:b/>
          <w:sz w:val="28"/>
        </w:rPr>
        <w:t>–</w:t>
      </w:r>
      <w:r>
        <w:rPr>
          <w:b/>
          <w:spacing w:val="-10"/>
          <w:sz w:val="28"/>
        </w:rPr>
        <w:t xml:space="preserve"> </w:t>
      </w:r>
      <w:r>
        <w:rPr>
          <w:b/>
          <w:spacing w:val="-2"/>
          <w:sz w:val="28"/>
        </w:rPr>
        <w:t>Retrocommissioning</w:t>
      </w:r>
    </w:p>
    <w:p w:rsidR="00C31389" w:rsidRDefault="00C31389" w14:paraId="580594FA" w14:textId="77777777">
      <w:pPr>
        <w:pStyle w:val="BodyText"/>
        <w:spacing w:before="4"/>
        <w:rPr>
          <w:b/>
          <w:sz w:val="31"/>
        </w:rPr>
      </w:pPr>
    </w:p>
    <w:p w:rsidR="00C31389" w:rsidRDefault="00561FBD" w14:paraId="693132A1" w14:textId="77777777">
      <w:pPr>
        <w:pStyle w:val="ListParagraph"/>
        <w:numPr>
          <w:ilvl w:val="2"/>
          <w:numId w:val="19"/>
        </w:numPr>
        <w:tabs>
          <w:tab w:val="left" w:pos="1196"/>
        </w:tabs>
        <w:ind w:left="1196" w:hanging="716"/>
        <w:rPr>
          <w:b/>
          <w:sz w:val="24"/>
        </w:rPr>
      </w:pPr>
      <w:bookmarkStart w:name="D.11.1_Summary" w:id="551"/>
      <w:bookmarkStart w:name="_bookmark422" w:id="552"/>
      <w:bookmarkEnd w:id="551"/>
      <w:bookmarkEnd w:id="552"/>
      <w:r>
        <w:rPr>
          <w:b/>
          <w:spacing w:val="-2"/>
          <w:sz w:val="24"/>
        </w:rPr>
        <w:t>Summary</w:t>
      </w:r>
    </w:p>
    <w:p w:rsidR="00C31389" w:rsidRDefault="00C31389" w14:paraId="1F703557" w14:textId="77777777">
      <w:pPr>
        <w:pStyle w:val="BodyText"/>
        <w:spacing w:before="3"/>
        <w:rPr>
          <w:b/>
          <w:sz w:val="23"/>
        </w:rPr>
      </w:pPr>
    </w:p>
    <w:p w:rsidR="00C31389" w:rsidRDefault="00561FBD" w14:paraId="2EBAFED5" w14:textId="77777777">
      <w:pPr>
        <w:pStyle w:val="BodyText"/>
        <w:ind w:left="480" w:right="433"/>
        <w:rPr>
          <w:sz w:val="14"/>
        </w:rPr>
      </w:pPr>
      <w:r>
        <w:t>The</w:t>
      </w:r>
      <w:r>
        <w:rPr>
          <w:spacing w:val="-3"/>
        </w:rPr>
        <w:t xml:space="preserve"> </w:t>
      </w:r>
      <w:r>
        <w:t>potential</w:t>
      </w:r>
      <w:r>
        <w:rPr>
          <w:spacing w:val="-3"/>
        </w:rPr>
        <w:t xml:space="preserve"> </w:t>
      </w:r>
      <w:r>
        <w:t>for</w:t>
      </w:r>
      <w:r>
        <w:rPr>
          <w:spacing w:val="-3"/>
        </w:rPr>
        <w:t xml:space="preserve"> </w:t>
      </w:r>
      <w:r>
        <w:t>retrocommissioning</w:t>
      </w:r>
      <w:r>
        <w:rPr>
          <w:spacing w:val="-3"/>
        </w:rPr>
        <w:t xml:space="preserve"> </w:t>
      </w:r>
      <w:r>
        <w:t>(RCx)</w:t>
      </w:r>
      <w:r>
        <w:rPr>
          <w:spacing w:val="-3"/>
        </w:rPr>
        <w:t xml:space="preserve"> </w:t>
      </w:r>
      <w:r>
        <w:t>has</w:t>
      </w:r>
      <w:r>
        <w:rPr>
          <w:spacing w:val="-3"/>
        </w:rPr>
        <w:t xml:space="preserve"> </w:t>
      </w:r>
      <w:r>
        <w:t>been</w:t>
      </w:r>
      <w:r>
        <w:rPr>
          <w:spacing w:val="-3"/>
        </w:rPr>
        <w:t xml:space="preserve"> </w:t>
      </w:r>
      <w:r>
        <w:t>modeled</w:t>
      </w:r>
      <w:r>
        <w:rPr>
          <w:spacing w:val="-3"/>
        </w:rPr>
        <w:t xml:space="preserve"> </w:t>
      </w:r>
      <w:r>
        <w:t>as</w:t>
      </w:r>
      <w:r>
        <w:rPr>
          <w:spacing w:val="-3"/>
        </w:rPr>
        <w:t xml:space="preserve"> </w:t>
      </w:r>
      <w:r>
        <w:t>a</w:t>
      </w:r>
      <w:r>
        <w:rPr>
          <w:spacing w:val="-3"/>
        </w:rPr>
        <w:t xml:space="preserve"> </w:t>
      </w:r>
      <w:r>
        <w:t>component</w:t>
      </w:r>
      <w:r>
        <w:rPr>
          <w:spacing w:val="-3"/>
        </w:rPr>
        <w:t xml:space="preserve"> </w:t>
      </w:r>
      <w:r>
        <w:t>of</w:t>
      </w:r>
      <w:r>
        <w:rPr>
          <w:spacing w:val="-3"/>
        </w:rPr>
        <w:t xml:space="preserve"> </w:t>
      </w:r>
      <w:r>
        <w:t>behavioral savings</w:t>
      </w:r>
      <w:r>
        <w:rPr>
          <w:spacing w:val="-3"/>
        </w:rPr>
        <w:t xml:space="preserve"> </w:t>
      </w:r>
      <w:r>
        <w:t>in</w:t>
      </w:r>
      <w:r>
        <w:rPr>
          <w:spacing w:val="-2"/>
        </w:rPr>
        <w:t xml:space="preserve"> </w:t>
      </w:r>
      <w:r>
        <w:t>previous</w:t>
      </w:r>
      <w:r>
        <w:rPr>
          <w:spacing w:val="-2"/>
        </w:rPr>
        <w:t xml:space="preserve"> </w:t>
      </w:r>
      <w:r>
        <w:t>studies</w:t>
      </w:r>
      <w:r>
        <w:rPr>
          <w:spacing w:val="-2"/>
        </w:rPr>
        <w:t xml:space="preserve"> </w:t>
      </w:r>
      <w:r>
        <w:t>since</w:t>
      </w:r>
      <w:r>
        <w:rPr>
          <w:spacing w:val="-2"/>
        </w:rPr>
        <w:t xml:space="preserve"> </w:t>
      </w:r>
      <w:r>
        <w:t>2013.</w:t>
      </w:r>
      <w:r>
        <w:rPr>
          <w:spacing w:val="-2"/>
        </w:rPr>
        <w:t xml:space="preserve"> </w:t>
      </w:r>
      <w:r>
        <w:t>The</w:t>
      </w:r>
      <w:r>
        <w:rPr>
          <w:spacing w:val="-2"/>
        </w:rPr>
        <w:t xml:space="preserve"> </w:t>
      </w:r>
      <w:r>
        <w:t>2023</w:t>
      </w:r>
      <w:r>
        <w:rPr>
          <w:spacing w:val="-2"/>
        </w:rPr>
        <w:t xml:space="preserve"> </w:t>
      </w:r>
      <w:r>
        <w:t>update</w:t>
      </w:r>
      <w:r>
        <w:rPr>
          <w:spacing w:val="-2"/>
        </w:rPr>
        <w:t xml:space="preserve"> </w:t>
      </w:r>
      <w:r>
        <w:t>retains</w:t>
      </w:r>
      <w:r>
        <w:rPr>
          <w:spacing w:val="-2"/>
        </w:rPr>
        <w:t xml:space="preserve"> </w:t>
      </w:r>
      <w:r>
        <w:t>the</w:t>
      </w:r>
      <w:r>
        <w:rPr>
          <w:spacing w:val="-2"/>
        </w:rPr>
        <w:t xml:space="preserve"> </w:t>
      </w:r>
      <w:r>
        <w:t>underlying</w:t>
      </w:r>
      <w:r>
        <w:rPr>
          <w:spacing w:val="-2"/>
        </w:rPr>
        <w:t xml:space="preserve"> </w:t>
      </w:r>
      <w:r>
        <w:t>assumptions and</w:t>
      </w:r>
      <w:r>
        <w:rPr>
          <w:spacing w:val="-1"/>
        </w:rPr>
        <w:t xml:space="preserve"> </w:t>
      </w:r>
      <w:r>
        <w:t>inputs</w:t>
      </w:r>
      <w:r>
        <w:rPr>
          <w:spacing w:val="-1"/>
        </w:rPr>
        <w:t xml:space="preserve"> </w:t>
      </w:r>
      <w:r>
        <w:t>used</w:t>
      </w:r>
      <w:r>
        <w:rPr>
          <w:spacing w:val="-1"/>
        </w:rPr>
        <w:t xml:space="preserve"> </w:t>
      </w:r>
      <w:r>
        <w:t>in</w:t>
      </w:r>
      <w:r>
        <w:rPr>
          <w:spacing w:val="-1"/>
        </w:rPr>
        <w:t xml:space="preserve"> </w:t>
      </w:r>
      <w:r>
        <w:t>the</w:t>
      </w:r>
      <w:r>
        <w:rPr>
          <w:spacing w:val="-1"/>
        </w:rPr>
        <w:t xml:space="preserve"> </w:t>
      </w:r>
      <w:r>
        <w:t>2021</w:t>
      </w:r>
      <w:r>
        <w:rPr>
          <w:spacing w:val="-1"/>
        </w:rPr>
        <w:t xml:space="preserve"> </w:t>
      </w:r>
      <w:r>
        <w:t>Study.</w:t>
      </w:r>
      <w:r>
        <w:rPr>
          <w:spacing w:val="-2"/>
        </w:rPr>
        <w:t xml:space="preserve"> </w:t>
      </w:r>
      <w:r>
        <w:t>RCx</w:t>
      </w:r>
      <w:r>
        <w:rPr>
          <w:spacing w:val="-1"/>
        </w:rPr>
        <w:t xml:space="preserve"> </w:t>
      </w:r>
      <w:r>
        <w:t>is</w:t>
      </w:r>
      <w:r>
        <w:rPr>
          <w:spacing w:val="-1"/>
        </w:rPr>
        <w:t xml:space="preserve"> </w:t>
      </w:r>
      <w:r>
        <w:t>defined</w:t>
      </w:r>
      <w:r>
        <w:rPr>
          <w:spacing w:val="-1"/>
        </w:rPr>
        <w:t xml:space="preserve"> </w:t>
      </w:r>
      <w:r>
        <w:t>as</w:t>
      </w:r>
      <w:r>
        <w:rPr>
          <w:spacing w:val="-1"/>
        </w:rPr>
        <w:t xml:space="preserve"> </w:t>
      </w:r>
      <w:r>
        <w:t>commissioning</w:t>
      </w:r>
      <w:r>
        <w:rPr>
          <w:spacing w:val="-1"/>
        </w:rPr>
        <w:t xml:space="preserve"> </w:t>
      </w:r>
      <w:r>
        <w:t>performed</w:t>
      </w:r>
      <w:r>
        <w:rPr>
          <w:spacing w:val="-1"/>
        </w:rPr>
        <w:t xml:space="preserve"> </w:t>
      </w:r>
      <w:r>
        <w:t>on</w:t>
      </w:r>
      <w:r>
        <w:rPr>
          <w:spacing w:val="-1"/>
        </w:rPr>
        <w:t xml:space="preserve"> </w:t>
      </w:r>
      <w:r>
        <w:t>buildings that have not been previously commissioned. The PG Model also includes the allowed rec</w:t>
      </w:r>
      <w:r>
        <w:t>ommissioning of buildings that have undergone commissioning after 5 years have passed. The model focuses on RCx activities that impact HVAC system operations and includes measures such as the following:</w:t>
      </w:r>
      <w:hyperlink w:history="1" w:anchor="_bookmark425">
        <w:r>
          <w:rPr>
            <w:position w:val="7"/>
            <w:sz w:val="14"/>
          </w:rPr>
          <w:t>167</w:t>
        </w:r>
      </w:hyperlink>
    </w:p>
    <w:p w:rsidR="00C31389" w:rsidRDefault="00561FBD" w14:paraId="56CEFC02" w14:textId="77777777">
      <w:pPr>
        <w:pStyle w:val="ListParagraph"/>
        <w:numPr>
          <w:ilvl w:val="3"/>
          <w:numId w:val="19"/>
        </w:numPr>
        <w:tabs>
          <w:tab w:val="left" w:pos="1199"/>
        </w:tabs>
        <w:spacing w:before="120"/>
      </w:pPr>
      <w:r>
        <w:t>Correct</w:t>
      </w:r>
      <w:r>
        <w:rPr>
          <w:spacing w:val="-14"/>
        </w:rPr>
        <w:t xml:space="preserve"> </w:t>
      </w:r>
      <w:r>
        <w:t>actuator/damper</w:t>
      </w:r>
      <w:r>
        <w:rPr>
          <w:spacing w:val="-13"/>
        </w:rPr>
        <w:t xml:space="preserve"> </w:t>
      </w:r>
      <w:r>
        <w:rPr>
          <w:spacing w:val="-2"/>
        </w:rPr>
        <w:t>operations</w:t>
      </w:r>
    </w:p>
    <w:p w:rsidR="00C31389" w:rsidRDefault="00561FBD" w14:paraId="5DA6AF44" w14:textId="77777777">
      <w:pPr>
        <w:pStyle w:val="ListParagraph"/>
        <w:numPr>
          <w:ilvl w:val="3"/>
          <w:numId w:val="19"/>
        </w:numPr>
        <w:tabs>
          <w:tab w:val="left" w:pos="1199"/>
        </w:tabs>
        <w:spacing w:before="143"/>
      </w:pPr>
      <w:r>
        <w:t>Correct</w:t>
      </w:r>
      <w:r>
        <w:rPr>
          <w:spacing w:val="-11"/>
        </w:rPr>
        <w:t xml:space="preserve"> </w:t>
      </w:r>
      <w:r>
        <w:t>economizer</w:t>
      </w:r>
      <w:r>
        <w:rPr>
          <w:spacing w:val="-10"/>
        </w:rPr>
        <w:t xml:space="preserve"> </w:t>
      </w:r>
      <w:r>
        <w:rPr>
          <w:spacing w:val="-2"/>
        </w:rPr>
        <w:t>operations</w:t>
      </w:r>
    </w:p>
    <w:p w:rsidR="00C31389" w:rsidRDefault="00561FBD" w14:paraId="5E9EBC09" w14:textId="77777777">
      <w:pPr>
        <w:pStyle w:val="ListParagraph"/>
        <w:numPr>
          <w:ilvl w:val="3"/>
          <w:numId w:val="19"/>
        </w:numPr>
        <w:tabs>
          <w:tab w:val="left" w:pos="1199"/>
        </w:tabs>
        <w:spacing w:before="144"/>
      </w:pPr>
      <w:r>
        <w:t>Adjust</w:t>
      </w:r>
      <w:r>
        <w:rPr>
          <w:spacing w:val="-9"/>
        </w:rPr>
        <w:t xml:space="preserve"> </w:t>
      </w:r>
      <w:r>
        <w:t>condenser</w:t>
      </w:r>
      <w:r>
        <w:rPr>
          <w:spacing w:val="-8"/>
        </w:rPr>
        <w:t xml:space="preserve"> </w:t>
      </w:r>
      <w:r>
        <w:t>water</w:t>
      </w:r>
      <w:r>
        <w:rPr>
          <w:spacing w:val="-8"/>
        </w:rPr>
        <w:t xml:space="preserve"> </w:t>
      </w:r>
      <w:r>
        <w:rPr>
          <w:spacing w:val="-2"/>
        </w:rPr>
        <w:t>reset</w:t>
      </w:r>
    </w:p>
    <w:p w:rsidR="00C31389" w:rsidRDefault="00C31389" w14:paraId="0AA09A89" w14:textId="77777777">
      <w:pPr>
        <w:pStyle w:val="BodyText"/>
        <w:rPr>
          <w:sz w:val="20"/>
        </w:rPr>
      </w:pPr>
    </w:p>
    <w:p w:rsidR="00C31389" w:rsidRDefault="00561FBD" w14:paraId="4E553783" w14:textId="77777777">
      <w:pPr>
        <w:pStyle w:val="BodyText"/>
        <w:spacing w:before="10"/>
        <w:rPr>
          <w:sz w:val="24"/>
        </w:rPr>
      </w:pPr>
      <w:r>
        <w:rPr>
          <w:noProof/>
        </w:rPr>
        <mc:AlternateContent>
          <mc:Choice Requires="wps">
            <w:drawing>
              <wp:anchor distT="0" distB="0" distL="0" distR="0" simplePos="0" relativeHeight="487728640" behindDoc="1" locked="0" layoutInCell="1" allowOverlap="1" wp14:editId="43C4293A" wp14:anchorId="6A225FDA">
                <wp:simplePos x="0" y="0"/>
                <wp:positionH relativeFrom="page">
                  <wp:posOffset>914400</wp:posOffset>
                </wp:positionH>
                <wp:positionV relativeFrom="paragraph">
                  <wp:posOffset>197261</wp:posOffset>
                </wp:positionV>
                <wp:extent cx="1828800" cy="6985"/>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44" style="position:absolute;margin-left:1in;margin-top:15.55pt;width:2in;height:.55pt;z-index:-1558784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" w14:anchorId="271CF0BB">
                <v:path arrowok="t"/>
                <w10:wrap type="topAndBottom" anchorx="page"/>
              </v:shape>
            </w:pict>
          </mc:Fallback>
        </mc:AlternateContent>
      </w:r>
    </w:p>
    <w:p w:rsidR="00C31389" w:rsidRDefault="00561FBD" w14:paraId="363F69D8" w14:textId="77777777">
      <w:pPr>
        <w:spacing w:before="88"/>
        <w:ind w:left="480" w:right="434"/>
        <w:rPr>
          <w:sz w:val="18"/>
        </w:rPr>
      </w:pPr>
      <w:bookmarkStart w:name="_bookmark423" w:id="553"/>
      <w:bookmarkEnd w:id="553"/>
      <w:r>
        <w:rPr>
          <w:position w:val="6"/>
          <w:sz w:val="12"/>
        </w:rPr>
        <w:t>165</w:t>
      </w:r>
      <w:r>
        <w:rPr>
          <w:spacing w:val="15"/>
          <w:position w:val="6"/>
          <w:sz w:val="12"/>
        </w:rPr>
        <w:t xml:space="preserve"> </w:t>
      </w:r>
      <w:r>
        <w:rPr>
          <w:sz w:val="18"/>
        </w:rPr>
        <w:t>Informal</w:t>
      </w:r>
      <w:r>
        <w:rPr>
          <w:spacing w:val="-2"/>
          <w:sz w:val="18"/>
        </w:rPr>
        <w:t xml:space="preserve"> </w:t>
      </w:r>
      <w:r>
        <w:rPr>
          <w:sz w:val="18"/>
        </w:rPr>
        <w:t>comments</w:t>
      </w:r>
      <w:r>
        <w:rPr>
          <w:spacing w:val="-2"/>
          <w:sz w:val="18"/>
        </w:rPr>
        <w:t xml:space="preserve"> </w:t>
      </w:r>
      <w:r>
        <w:rPr>
          <w:sz w:val="18"/>
        </w:rPr>
        <w:t>received</w:t>
      </w:r>
      <w:r>
        <w:rPr>
          <w:spacing w:val="-1"/>
          <w:sz w:val="18"/>
        </w:rPr>
        <w:t xml:space="preserve"> </w:t>
      </w:r>
      <w:r>
        <w:rPr>
          <w:sz w:val="18"/>
        </w:rPr>
        <w:t>in</w:t>
      </w:r>
      <w:r>
        <w:rPr>
          <w:spacing w:val="-3"/>
          <w:sz w:val="18"/>
        </w:rPr>
        <w:t xml:space="preserve"> </w:t>
      </w:r>
      <w:r>
        <w:rPr>
          <w:sz w:val="18"/>
        </w:rPr>
        <w:t>response</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2019</w:t>
      </w:r>
      <w:r>
        <w:rPr>
          <w:spacing w:val="-3"/>
          <w:sz w:val="18"/>
        </w:rPr>
        <w:t xml:space="preserve"> </w:t>
      </w:r>
      <w:r>
        <w:rPr>
          <w:sz w:val="18"/>
        </w:rPr>
        <w:t>Study</w:t>
      </w:r>
      <w:r>
        <w:rPr>
          <w:spacing w:val="-2"/>
          <w:sz w:val="18"/>
        </w:rPr>
        <w:t xml:space="preserve"> </w:t>
      </w:r>
      <w:r>
        <w:rPr>
          <w:sz w:val="18"/>
        </w:rPr>
        <w:t>webinar</w:t>
      </w:r>
      <w:r>
        <w:rPr>
          <w:spacing w:val="-2"/>
          <w:sz w:val="18"/>
        </w:rPr>
        <w:t xml:space="preserve"> </w:t>
      </w:r>
      <w:r>
        <w:rPr>
          <w:sz w:val="18"/>
        </w:rPr>
        <w:t>on</w:t>
      </w:r>
      <w:r>
        <w:rPr>
          <w:spacing w:val="-3"/>
          <w:sz w:val="18"/>
        </w:rPr>
        <w:t xml:space="preserve"> </w:t>
      </w:r>
      <w:r>
        <w:rPr>
          <w:sz w:val="18"/>
        </w:rPr>
        <w:t>April</w:t>
      </w:r>
      <w:r>
        <w:rPr>
          <w:spacing w:val="-2"/>
          <w:sz w:val="18"/>
        </w:rPr>
        <w:t xml:space="preserve"> </w:t>
      </w:r>
      <w:r>
        <w:rPr>
          <w:sz w:val="18"/>
        </w:rPr>
        <w:t>20,</w:t>
      </w:r>
      <w:r>
        <w:rPr>
          <w:spacing w:val="-2"/>
          <w:sz w:val="18"/>
        </w:rPr>
        <w:t xml:space="preserve"> </w:t>
      </w:r>
      <w:r>
        <w:rPr>
          <w:sz w:val="18"/>
        </w:rPr>
        <w:t>2017</w:t>
      </w:r>
      <w:r>
        <w:rPr>
          <w:spacing w:val="-3"/>
          <w:sz w:val="18"/>
        </w:rPr>
        <w:t xml:space="preserve"> </w:t>
      </w:r>
      <w:r>
        <w:rPr>
          <w:sz w:val="18"/>
        </w:rPr>
        <w:t>from</w:t>
      </w:r>
      <w:r>
        <w:rPr>
          <w:spacing w:val="-2"/>
          <w:sz w:val="18"/>
        </w:rPr>
        <w:t xml:space="preserve"> </w:t>
      </w:r>
      <w:r>
        <w:rPr>
          <w:sz w:val="18"/>
        </w:rPr>
        <w:t>PG&amp;E</w:t>
      </w:r>
      <w:r>
        <w:rPr>
          <w:spacing w:val="-2"/>
          <w:sz w:val="18"/>
        </w:rPr>
        <w:t xml:space="preserve"> </w:t>
      </w:r>
      <w:r>
        <w:rPr>
          <w:sz w:val="18"/>
        </w:rPr>
        <w:t>indicate</w:t>
      </w:r>
      <w:r>
        <w:rPr>
          <w:spacing w:val="-3"/>
          <w:sz w:val="18"/>
        </w:rPr>
        <w:t xml:space="preserve"> </w:t>
      </w:r>
      <w:r>
        <w:rPr>
          <w:sz w:val="18"/>
        </w:rPr>
        <w:t xml:space="preserve">a limited willingness to </w:t>
      </w:r>
      <w:r>
        <w:rPr>
          <w:sz w:val="18"/>
        </w:rPr>
        <w:t>participate in commercial competitions.</w:t>
      </w:r>
    </w:p>
    <w:p w:rsidR="00C31389" w:rsidRDefault="00561FBD" w14:paraId="39CC415C" w14:textId="77777777">
      <w:pPr>
        <w:spacing w:before="37"/>
        <w:ind w:left="480" w:right="615"/>
        <w:rPr>
          <w:sz w:val="18"/>
        </w:rPr>
      </w:pPr>
      <w:bookmarkStart w:name="_bookmark424" w:id="554"/>
      <w:bookmarkEnd w:id="554"/>
      <w:r>
        <w:rPr>
          <w:position w:val="6"/>
          <w:sz w:val="12"/>
        </w:rPr>
        <w:t>166</w:t>
      </w:r>
      <w:r>
        <w:rPr>
          <w:spacing w:val="14"/>
          <w:position w:val="6"/>
          <w:sz w:val="12"/>
        </w:rPr>
        <w:t xml:space="preserve"> </w:t>
      </w:r>
      <w:r>
        <w:rPr>
          <w:sz w:val="18"/>
        </w:rPr>
        <w:t>TecMarket</w:t>
      </w:r>
      <w:r>
        <w:rPr>
          <w:spacing w:val="-3"/>
          <w:sz w:val="18"/>
        </w:rPr>
        <w:t xml:space="preserve"> </w:t>
      </w:r>
      <w:r>
        <w:rPr>
          <w:sz w:val="18"/>
        </w:rPr>
        <w:t>Works,</w:t>
      </w:r>
      <w:r>
        <w:rPr>
          <w:spacing w:val="-3"/>
          <w:sz w:val="18"/>
        </w:rPr>
        <w:t xml:space="preserve"> </w:t>
      </w:r>
      <w:r>
        <w:rPr>
          <w:i/>
          <w:sz w:val="18"/>
        </w:rPr>
        <w:t>Impact</w:t>
      </w:r>
      <w:r>
        <w:rPr>
          <w:i/>
          <w:spacing w:val="-3"/>
          <w:sz w:val="18"/>
        </w:rPr>
        <w:t xml:space="preserve"> </w:t>
      </w:r>
      <w:r>
        <w:rPr>
          <w:i/>
          <w:sz w:val="18"/>
        </w:rPr>
        <w:t>Evaluation</w:t>
      </w:r>
      <w:r>
        <w:rPr>
          <w:i/>
          <w:spacing w:val="-2"/>
          <w:sz w:val="18"/>
        </w:rPr>
        <w:t xml:space="preserve"> </w:t>
      </w:r>
      <w:r>
        <w:rPr>
          <w:i/>
          <w:sz w:val="18"/>
        </w:rPr>
        <w:t>of</w:t>
      </w:r>
      <w:r>
        <w:rPr>
          <w:i/>
          <w:spacing w:val="-3"/>
          <w:sz w:val="18"/>
        </w:rPr>
        <w:t xml:space="preserve"> </w:t>
      </w:r>
      <w:r>
        <w:rPr>
          <w:i/>
          <w:sz w:val="18"/>
        </w:rPr>
        <w:t>the</w:t>
      </w:r>
      <w:r>
        <w:rPr>
          <w:i/>
          <w:spacing w:val="-4"/>
          <w:sz w:val="18"/>
        </w:rPr>
        <w:t xml:space="preserve"> </w:t>
      </w:r>
      <w:r>
        <w:rPr>
          <w:i/>
          <w:sz w:val="18"/>
        </w:rPr>
        <w:t>Smart</w:t>
      </w:r>
      <w:r>
        <w:rPr>
          <w:i/>
          <w:spacing w:val="-3"/>
          <w:sz w:val="18"/>
        </w:rPr>
        <w:t xml:space="preserve"> </w:t>
      </w:r>
      <w:r>
        <w:rPr>
          <w:i/>
          <w:sz w:val="18"/>
        </w:rPr>
        <w:t>Energy</w:t>
      </w:r>
      <w:r>
        <w:rPr>
          <w:i/>
          <w:spacing w:val="-2"/>
          <w:sz w:val="18"/>
        </w:rPr>
        <w:t xml:space="preserve"> </w:t>
      </w:r>
      <w:r>
        <w:rPr>
          <w:i/>
          <w:sz w:val="18"/>
        </w:rPr>
        <w:t>Now</w:t>
      </w:r>
      <w:r>
        <w:rPr>
          <w:i/>
          <w:spacing w:val="-3"/>
          <w:sz w:val="18"/>
        </w:rPr>
        <w:t xml:space="preserve"> </w:t>
      </w:r>
      <w:r>
        <w:rPr>
          <w:i/>
          <w:sz w:val="18"/>
        </w:rPr>
        <w:t>Program</w:t>
      </w:r>
      <w:r>
        <w:rPr>
          <w:i/>
          <w:spacing w:val="-3"/>
          <w:sz w:val="18"/>
        </w:rPr>
        <w:t xml:space="preserve"> </w:t>
      </w:r>
      <w:r>
        <w:rPr>
          <w:i/>
          <w:sz w:val="18"/>
        </w:rPr>
        <w:t>(NC)</w:t>
      </w:r>
      <w:r>
        <w:rPr>
          <w:i/>
          <w:spacing w:val="-3"/>
          <w:sz w:val="18"/>
        </w:rPr>
        <w:t xml:space="preserve"> </w:t>
      </w:r>
      <w:r>
        <w:rPr>
          <w:i/>
          <w:sz w:val="18"/>
        </w:rPr>
        <w:t>(Pilot)</w:t>
      </w:r>
      <w:r>
        <w:rPr>
          <w:i/>
          <w:spacing w:val="-3"/>
          <w:sz w:val="18"/>
        </w:rPr>
        <w:t xml:space="preserve"> </w:t>
      </w:r>
      <w:r>
        <w:rPr>
          <w:i/>
          <w:sz w:val="18"/>
        </w:rPr>
        <w:t>for</w:t>
      </w:r>
      <w:r>
        <w:rPr>
          <w:i/>
          <w:spacing w:val="-3"/>
          <w:sz w:val="18"/>
        </w:rPr>
        <w:t xml:space="preserve"> </w:t>
      </w:r>
      <w:r>
        <w:rPr>
          <w:i/>
          <w:sz w:val="18"/>
        </w:rPr>
        <w:t>Duke</w:t>
      </w:r>
      <w:r>
        <w:rPr>
          <w:i/>
          <w:spacing w:val="-4"/>
          <w:sz w:val="18"/>
        </w:rPr>
        <w:t xml:space="preserve"> </w:t>
      </w:r>
      <w:r>
        <w:rPr>
          <w:i/>
          <w:sz w:val="18"/>
        </w:rPr>
        <w:t>Energy</w:t>
      </w:r>
      <w:r>
        <w:rPr>
          <w:sz w:val="18"/>
        </w:rPr>
        <w:t>, February 21, 2014.</w:t>
      </w:r>
    </w:p>
    <w:p w:rsidR="00C31389" w:rsidRDefault="00561FBD" w14:paraId="6BF4419B" w14:textId="77777777">
      <w:pPr>
        <w:spacing w:before="37"/>
        <w:ind w:left="480"/>
        <w:rPr>
          <w:sz w:val="18"/>
        </w:rPr>
      </w:pPr>
      <w:bookmarkStart w:name="_bookmark425" w:id="555"/>
      <w:bookmarkEnd w:id="555"/>
      <w:r>
        <w:rPr>
          <w:position w:val="6"/>
          <w:sz w:val="12"/>
        </w:rPr>
        <w:t>167</w:t>
      </w:r>
      <w:r>
        <w:rPr>
          <w:spacing w:val="12"/>
          <w:position w:val="6"/>
          <w:sz w:val="12"/>
        </w:rPr>
        <w:t xml:space="preserve"> </w:t>
      </w:r>
      <w:r>
        <w:rPr>
          <w:sz w:val="18"/>
        </w:rPr>
        <w:t>2016</w:t>
      </w:r>
      <w:r>
        <w:rPr>
          <w:spacing w:val="-4"/>
          <w:sz w:val="18"/>
        </w:rPr>
        <w:t xml:space="preserve"> </w:t>
      </w:r>
      <w:r>
        <w:rPr>
          <w:sz w:val="18"/>
        </w:rPr>
        <w:t>Statewide</w:t>
      </w:r>
      <w:r>
        <w:rPr>
          <w:spacing w:val="-4"/>
          <w:sz w:val="18"/>
        </w:rPr>
        <w:t xml:space="preserve"> </w:t>
      </w:r>
      <w:r>
        <w:rPr>
          <w:sz w:val="18"/>
        </w:rPr>
        <w:t>Retrocommissioning</w:t>
      </w:r>
      <w:r>
        <w:rPr>
          <w:spacing w:val="-4"/>
          <w:sz w:val="18"/>
        </w:rPr>
        <w:t xml:space="preserve"> </w:t>
      </w:r>
      <w:r>
        <w:rPr>
          <w:sz w:val="18"/>
        </w:rPr>
        <w:t>Policy</w:t>
      </w:r>
      <w:r>
        <w:rPr>
          <w:spacing w:val="-2"/>
          <w:sz w:val="18"/>
        </w:rPr>
        <w:t xml:space="preserve"> </w:t>
      </w:r>
      <w:r>
        <w:rPr>
          <w:sz w:val="18"/>
        </w:rPr>
        <w:t>&amp;</w:t>
      </w:r>
      <w:r>
        <w:rPr>
          <w:spacing w:val="-3"/>
          <w:sz w:val="18"/>
        </w:rPr>
        <w:t xml:space="preserve"> </w:t>
      </w:r>
      <w:r>
        <w:rPr>
          <w:sz w:val="18"/>
        </w:rPr>
        <w:t>Procedures</w:t>
      </w:r>
      <w:r>
        <w:rPr>
          <w:spacing w:val="-3"/>
          <w:sz w:val="18"/>
        </w:rPr>
        <w:t xml:space="preserve"> </w:t>
      </w:r>
      <w:r>
        <w:rPr>
          <w:sz w:val="18"/>
        </w:rPr>
        <w:t>Manual,</w:t>
      </w:r>
      <w:r>
        <w:rPr>
          <w:spacing w:val="-3"/>
          <w:sz w:val="18"/>
        </w:rPr>
        <w:t xml:space="preserve"> </w:t>
      </w:r>
      <w:r>
        <w:rPr>
          <w:sz w:val="18"/>
        </w:rPr>
        <w:t>Version</w:t>
      </w:r>
      <w:r>
        <w:rPr>
          <w:spacing w:val="-4"/>
          <w:sz w:val="18"/>
        </w:rPr>
        <w:t xml:space="preserve"> </w:t>
      </w:r>
      <w:r>
        <w:rPr>
          <w:sz w:val="18"/>
        </w:rPr>
        <w:t>1.0.</w:t>
      </w:r>
      <w:r>
        <w:rPr>
          <w:spacing w:val="-3"/>
          <w:sz w:val="18"/>
        </w:rPr>
        <w:t xml:space="preserve"> </w:t>
      </w:r>
      <w:r>
        <w:rPr>
          <w:sz w:val="18"/>
        </w:rPr>
        <w:t>Effective</w:t>
      </w:r>
      <w:r>
        <w:rPr>
          <w:spacing w:val="-4"/>
          <w:sz w:val="18"/>
        </w:rPr>
        <w:t xml:space="preserve"> </w:t>
      </w:r>
      <w:r>
        <w:rPr>
          <w:sz w:val="18"/>
        </w:rPr>
        <w:t>Date:</w:t>
      </w:r>
      <w:r>
        <w:rPr>
          <w:spacing w:val="-3"/>
          <w:sz w:val="18"/>
        </w:rPr>
        <w:t xml:space="preserve"> </w:t>
      </w:r>
      <w:r>
        <w:rPr>
          <w:sz w:val="18"/>
        </w:rPr>
        <w:t>July</w:t>
      </w:r>
      <w:r>
        <w:rPr>
          <w:spacing w:val="-3"/>
          <w:sz w:val="18"/>
        </w:rPr>
        <w:t xml:space="preserve"> </w:t>
      </w:r>
      <w:r>
        <w:rPr>
          <w:sz w:val="18"/>
        </w:rPr>
        <w:t>19,</w:t>
      </w:r>
      <w:r>
        <w:rPr>
          <w:spacing w:val="-2"/>
          <w:sz w:val="18"/>
        </w:rPr>
        <w:t xml:space="preserve"> </w:t>
      </w:r>
      <w:r>
        <w:rPr>
          <w:spacing w:val="-4"/>
          <w:sz w:val="18"/>
        </w:rPr>
        <w:t>2016</w:t>
      </w:r>
    </w:p>
    <w:p w:rsidR="00C31389" w:rsidRDefault="00C31389" w14:paraId="1485D9B0" w14:textId="77777777">
      <w:pPr>
        <w:rPr>
          <w:sz w:val="18"/>
        </w:rPr>
        <w:sectPr w:rsidR="00C31389">
          <w:pgSz w:w="11910" w:h="16840"/>
          <w:pgMar w:top="1660" w:right="1020" w:bottom="1120" w:left="960" w:header="397" w:footer="938" w:gutter="0"/>
          <w:cols w:space="720"/>
        </w:sectPr>
      </w:pPr>
    </w:p>
    <w:p w:rsidR="00C31389" w:rsidRDefault="00C31389" w14:paraId="6DFCEA82" w14:textId="77777777">
      <w:pPr>
        <w:pStyle w:val="BodyText"/>
      </w:pPr>
    </w:p>
    <w:p w:rsidR="00C31389" w:rsidRDefault="00C31389" w14:paraId="71C6DF30" w14:textId="77777777">
      <w:pPr>
        <w:pStyle w:val="BodyText"/>
        <w:spacing w:before="2"/>
        <w:rPr>
          <w:sz w:val="13"/>
        </w:rPr>
      </w:pPr>
    </w:p>
    <w:p w:rsidR="00C31389" w:rsidRDefault="00561FBD" w14:paraId="756D1B16" w14:textId="77777777">
      <w:pPr>
        <w:pStyle w:val="ListParagraph"/>
        <w:numPr>
          <w:ilvl w:val="3"/>
          <w:numId w:val="19"/>
        </w:numPr>
        <w:tabs>
          <w:tab w:val="left" w:pos="1199"/>
        </w:tabs>
        <w:spacing w:before="100"/>
        <w:ind w:hanging="359"/>
      </w:pPr>
      <w:r>
        <w:t>Adjust</w:t>
      </w:r>
      <w:r>
        <w:rPr>
          <w:spacing w:val="-8"/>
        </w:rPr>
        <w:t xml:space="preserve"> </w:t>
      </w:r>
      <w:r>
        <w:t>supply</w:t>
      </w:r>
      <w:r>
        <w:rPr>
          <w:spacing w:val="-7"/>
        </w:rPr>
        <w:t xml:space="preserve"> </w:t>
      </w:r>
      <w:r>
        <w:t>air</w:t>
      </w:r>
      <w:r>
        <w:rPr>
          <w:spacing w:val="-8"/>
        </w:rPr>
        <w:t xml:space="preserve"> </w:t>
      </w:r>
      <w:r>
        <w:t>temperature</w:t>
      </w:r>
      <w:r>
        <w:rPr>
          <w:spacing w:val="-7"/>
        </w:rPr>
        <w:t xml:space="preserve"> </w:t>
      </w:r>
      <w:r>
        <w:rPr>
          <w:spacing w:val="-2"/>
        </w:rPr>
        <w:t>reset</w:t>
      </w:r>
    </w:p>
    <w:p w:rsidR="00C31389" w:rsidRDefault="00561FBD" w14:paraId="75B5157F" w14:textId="77777777">
      <w:pPr>
        <w:pStyle w:val="ListParagraph"/>
        <w:numPr>
          <w:ilvl w:val="3"/>
          <w:numId w:val="19"/>
        </w:numPr>
        <w:tabs>
          <w:tab w:val="left" w:pos="1199"/>
        </w:tabs>
        <w:spacing w:before="144"/>
      </w:pPr>
      <w:r>
        <w:t>Adjust</w:t>
      </w:r>
      <w:r>
        <w:rPr>
          <w:spacing w:val="-9"/>
        </w:rPr>
        <w:t xml:space="preserve"> </w:t>
      </w:r>
      <w:r>
        <w:t>zone</w:t>
      </w:r>
      <w:r>
        <w:rPr>
          <w:spacing w:val="-9"/>
        </w:rPr>
        <w:t xml:space="preserve"> </w:t>
      </w:r>
      <w:r>
        <w:t>temperature</w:t>
      </w:r>
      <w:r>
        <w:rPr>
          <w:spacing w:val="-8"/>
        </w:rPr>
        <w:t xml:space="preserve"> </w:t>
      </w:r>
      <w:r>
        <w:rPr>
          <w:spacing w:val="-2"/>
        </w:rPr>
        <w:t>deadbands</w:t>
      </w:r>
    </w:p>
    <w:p w:rsidR="00C31389" w:rsidRDefault="00561FBD" w14:paraId="3F06A8BD" w14:textId="77777777">
      <w:pPr>
        <w:pStyle w:val="ListParagraph"/>
        <w:numPr>
          <w:ilvl w:val="3"/>
          <w:numId w:val="19"/>
        </w:numPr>
        <w:tabs>
          <w:tab w:val="left" w:pos="1199"/>
        </w:tabs>
        <w:spacing w:before="143"/>
      </w:pPr>
      <w:r>
        <w:t>Adjust</w:t>
      </w:r>
      <w:r>
        <w:rPr>
          <w:spacing w:val="-10"/>
        </w:rPr>
        <w:t xml:space="preserve"> </w:t>
      </w:r>
      <w:r>
        <w:t>equipment</w:t>
      </w:r>
      <w:r>
        <w:rPr>
          <w:spacing w:val="-10"/>
        </w:rPr>
        <w:t xml:space="preserve"> </w:t>
      </w:r>
      <w:r>
        <w:rPr>
          <w:spacing w:val="-2"/>
        </w:rPr>
        <w:t>scheduling</w:t>
      </w:r>
    </w:p>
    <w:p w:rsidR="00C31389" w:rsidRDefault="00561FBD" w14:paraId="7D844162" w14:textId="77777777">
      <w:pPr>
        <w:pStyle w:val="ListParagraph"/>
        <w:numPr>
          <w:ilvl w:val="3"/>
          <w:numId w:val="19"/>
        </w:numPr>
        <w:tabs>
          <w:tab w:val="left" w:pos="1199"/>
        </w:tabs>
        <w:spacing w:before="144"/>
      </w:pPr>
      <w:r>
        <w:t>Adjust</w:t>
      </w:r>
      <w:r>
        <w:rPr>
          <w:spacing w:val="-7"/>
        </w:rPr>
        <w:t xml:space="preserve"> </w:t>
      </w:r>
      <w:r>
        <w:t>duct</w:t>
      </w:r>
      <w:r>
        <w:rPr>
          <w:spacing w:val="-8"/>
        </w:rPr>
        <w:t xml:space="preserve"> </w:t>
      </w:r>
      <w:r>
        <w:t>static</w:t>
      </w:r>
      <w:r>
        <w:rPr>
          <w:spacing w:val="-7"/>
        </w:rPr>
        <w:t xml:space="preserve"> </w:t>
      </w:r>
      <w:r>
        <w:t>pressure</w:t>
      </w:r>
      <w:r>
        <w:rPr>
          <w:spacing w:val="-6"/>
        </w:rPr>
        <w:t xml:space="preserve"> </w:t>
      </w:r>
      <w:r>
        <w:rPr>
          <w:spacing w:val="-2"/>
        </w:rPr>
        <w:t>reset</w:t>
      </w:r>
    </w:p>
    <w:p w:rsidR="00C31389" w:rsidRDefault="00561FBD" w14:paraId="55CD4DED" w14:textId="77777777">
      <w:pPr>
        <w:pStyle w:val="ListParagraph"/>
        <w:numPr>
          <w:ilvl w:val="3"/>
          <w:numId w:val="19"/>
        </w:numPr>
        <w:tabs>
          <w:tab w:val="left" w:pos="1199"/>
        </w:tabs>
        <w:spacing w:before="144"/>
      </w:pPr>
      <w:r>
        <w:t>Adjust</w:t>
      </w:r>
      <w:r>
        <w:rPr>
          <w:spacing w:val="-5"/>
        </w:rPr>
        <w:t xml:space="preserve"> </w:t>
      </w:r>
      <w:r>
        <w:t>hot</w:t>
      </w:r>
      <w:r>
        <w:rPr>
          <w:spacing w:val="-5"/>
        </w:rPr>
        <w:t xml:space="preserve"> </w:t>
      </w:r>
      <w:r>
        <w:t>or</w:t>
      </w:r>
      <w:r>
        <w:rPr>
          <w:spacing w:val="-4"/>
        </w:rPr>
        <w:t xml:space="preserve"> </w:t>
      </w:r>
      <w:r>
        <w:t>cold</w:t>
      </w:r>
      <w:r>
        <w:rPr>
          <w:spacing w:val="-5"/>
        </w:rPr>
        <w:t xml:space="preserve"> </w:t>
      </w:r>
      <w:r>
        <w:t>deck</w:t>
      </w:r>
      <w:r>
        <w:rPr>
          <w:spacing w:val="-4"/>
        </w:rPr>
        <w:t xml:space="preserve"> </w:t>
      </w:r>
      <w:r>
        <w:rPr>
          <w:spacing w:val="-2"/>
        </w:rPr>
        <w:t>reset</w:t>
      </w:r>
    </w:p>
    <w:p w:rsidR="00C31389" w:rsidRDefault="00561FBD" w14:paraId="40336AB8" w14:textId="77777777">
      <w:pPr>
        <w:pStyle w:val="ListParagraph"/>
        <w:numPr>
          <w:ilvl w:val="3"/>
          <w:numId w:val="19"/>
        </w:numPr>
        <w:tabs>
          <w:tab w:val="left" w:pos="1199"/>
        </w:tabs>
        <w:spacing w:before="143"/>
      </w:pPr>
      <w:r>
        <w:t>Optimize</w:t>
      </w:r>
      <w:r>
        <w:rPr>
          <w:spacing w:val="-7"/>
        </w:rPr>
        <w:t xml:space="preserve"> </w:t>
      </w:r>
      <w:r>
        <w:t>variable</w:t>
      </w:r>
      <w:r>
        <w:rPr>
          <w:spacing w:val="-6"/>
        </w:rPr>
        <w:t xml:space="preserve"> </w:t>
      </w:r>
      <w:r>
        <w:t>frequency</w:t>
      </w:r>
      <w:r>
        <w:rPr>
          <w:spacing w:val="-6"/>
        </w:rPr>
        <w:t xml:space="preserve"> </w:t>
      </w:r>
      <w:r>
        <w:t>drives</w:t>
      </w:r>
      <w:r>
        <w:rPr>
          <w:spacing w:val="-7"/>
        </w:rPr>
        <w:t xml:space="preserve"> </w:t>
      </w:r>
      <w:r>
        <w:t>on</w:t>
      </w:r>
      <w:r>
        <w:rPr>
          <w:spacing w:val="-6"/>
        </w:rPr>
        <w:t xml:space="preserve"> </w:t>
      </w:r>
      <w:r>
        <w:t>fans</w:t>
      </w:r>
      <w:r>
        <w:rPr>
          <w:spacing w:val="-6"/>
        </w:rPr>
        <w:t xml:space="preserve"> </w:t>
      </w:r>
      <w:r>
        <w:t>or</w:t>
      </w:r>
      <w:r>
        <w:rPr>
          <w:spacing w:val="-7"/>
        </w:rPr>
        <w:t xml:space="preserve"> </w:t>
      </w:r>
      <w:r>
        <w:rPr>
          <w:spacing w:val="-2"/>
        </w:rPr>
        <w:t>pumps</w:t>
      </w:r>
    </w:p>
    <w:p w:rsidR="00C31389" w:rsidRDefault="00561FBD" w14:paraId="0F91E4B8" w14:textId="77777777">
      <w:pPr>
        <w:pStyle w:val="ListParagraph"/>
        <w:numPr>
          <w:ilvl w:val="3"/>
          <w:numId w:val="19"/>
        </w:numPr>
        <w:tabs>
          <w:tab w:val="left" w:pos="1199"/>
        </w:tabs>
        <w:spacing w:before="143"/>
      </w:pPr>
      <w:r>
        <w:t>Recode</w:t>
      </w:r>
      <w:r>
        <w:rPr>
          <w:spacing w:val="-9"/>
        </w:rPr>
        <w:t xml:space="preserve"> </w:t>
      </w:r>
      <w:r>
        <w:t>Controls</w:t>
      </w:r>
      <w:r>
        <w:rPr>
          <w:spacing w:val="-8"/>
        </w:rPr>
        <w:t xml:space="preserve"> </w:t>
      </w:r>
      <w:r>
        <w:t>HVAC</w:t>
      </w:r>
      <w:r>
        <w:rPr>
          <w:spacing w:val="-8"/>
        </w:rPr>
        <w:t xml:space="preserve"> </w:t>
      </w:r>
      <w:r>
        <w:t>airflow</w:t>
      </w:r>
      <w:r>
        <w:rPr>
          <w:spacing w:val="-9"/>
        </w:rPr>
        <w:t xml:space="preserve"> </w:t>
      </w:r>
      <w:r>
        <w:rPr>
          <w:spacing w:val="-2"/>
        </w:rPr>
        <w:t>rebalance/adjust</w:t>
      </w:r>
    </w:p>
    <w:p w:rsidR="00C31389" w:rsidRDefault="00561FBD" w14:paraId="6B003272" w14:textId="77777777">
      <w:pPr>
        <w:pStyle w:val="ListParagraph"/>
        <w:numPr>
          <w:ilvl w:val="3"/>
          <w:numId w:val="19"/>
        </w:numPr>
        <w:tabs>
          <w:tab w:val="left" w:pos="1199"/>
        </w:tabs>
        <w:spacing w:before="145"/>
      </w:pPr>
      <w:r>
        <w:t>Reduce</w:t>
      </w:r>
      <w:r>
        <w:rPr>
          <w:spacing w:val="-9"/>
        </w:rPr>
        <w:t xml:space="preserve"> </w:t>
      </w:r>
      <w:r>
        <w:t>simultaneous</w:t>
      </w:r>
      <w:r>
        <w:rPr>
          <w:spacing w:val="-9"/>
        </w:rPr>
        <w:t xml:space="preserve"> </w:t>
      </w:r>
      <w:r>
        <w:t>heating</w:t>
      </w:r>
      <w:r>
        <w:rPr>
          <w:spacing w:val="-8"/>
        </w:rPr>
        <w:t xml:space="preserve"> </w:t>
      </w:r>
      <w:r>
        <w:t>and</w:t>
      </w:r>
      <w:r>
        <w:rPr>
          <w:spacing w:val="-9"/>
        </w:rPr>
        <w:t xml:space="preserve"> </w:t>
      </w:r>
      <w:r>
        <w:rPr>
          <w:spacing w:val="-2"/>
        </w:rPr>
        <w:t>cooling</w:t>
      </w:r>
    </w:p>
    <w:p w:rsidR="00C31389" w:rsidRDefault="00561FBD" w14:paraId="019C23D2" w14:textId="77777777">
      <w:pPr>
        <w:pStyle w:val="ListParagraph"/>
        <w:numPr>
          <w:ilvl w:val="3"/>
          <w:numId w:val="19"/>
        </w:numPr>
        <w:tabs>
          <w:tab w:val="left" w:pos="1199"/>
        </w:tabs>
        <w:spacing w:before="143"/>
      </w:pPr>
      <w:r>
        <w:t>Adjust</w:t>
      </w:r>
      <w:r>
        <w:rPr>
          <w:spacing w:val="-7"/>
        </w:rPr>
        <w:t xml:space="preserve"> </w:t>
      </w:r>
      <w:r>
        <w:t>boiler</w:t>
      </w:r>
      <w:r>
        <w:rPr>
          <w:spacing w:val="-8"/>
        </w:rPr>
        <w:t xml:space="preserve"> </w:t>
      </w:r>
      <w:r>
        <w:t>lockout</w:t>
      </w:r>
      <w:r>
        <w:rPr>
          <w:spacing w:val="-7"/>
        </w:rPr>
        <w:t xml:space="preserve"> </w:t>
      </w:r>
      <w:r>
        <w:rPr>
          <w:spacing w:val="-2"/>
        </w:rPr>
        <w:t>schedule</w:t>
      </w:r>
    </w:p>
    <w:p w:rsidR="00C31389" w:rsidRDefault="00C31389" w14:paraId="5E16F20C" w14:textId="77777777">
      <w:pPr>
        <w:pStyle w:val="BodyText"/>
        <w:spacing w:before="11"/>
      </w:pPr>
    </w:p>
    <w:p w:rsidR="00C31389" w:rsidRDefault="00561FBD" w14:paraId="3150B07F" w14:textId="77777777">
      <w:pPr>
        <w:pStyle w:val="BodyText"/>
        <w:ind w:left="479" w:right="505"/>
      </w:pPr>
      <w:r>
        <w:t>The</w:t>
      </w:r>
      <w:r>
        <w:rPr>
          <w:spacing w:val="-2"/>
        </w:rPr>
        <w:t xml:space="preserve"> </w:t>
      </w:r>
      <w:r>
        <w:t>team</w:t>
      </w:r>
      <w:r>
        <w:rPr>
          <w:spacing w:val="-3"/>
        </w:rPr>
        <w:t xml:space="preserve"> </w:t>
      </w:r>
      <w:r>
        <w:t>retained</w:t>
      </w:r>
      <w:r>
        <w:rPr>
          <w:spacing w:val="-2"/>
        </w:rPr>
        <w:t xml:space="preserve"> </w:t>
      </w:r>
      <w:r>
        <w:t>the</w:t>
      </w:r>
      <w:r>
        <w:rPr>
          <w:spacing w:val="-2"/>
        </w:rPr>
        <w:t xml:space="preserve"> </w:t>
      </w:r>
      <w:r>
        <w:t>inputs</w:t>
      </w:r>
      <w:r>
        <w:rPr>
          <w:spacing w:val="-2"/>
        </w:rPr>
        <w:t xml:space="preserve"> </w:t>
      </w:r>
      <w:r>
        <w:t>used</w:t>
      </w:r>
      <w:r>
        <w:rPr>
          <w:spacing w:val="-2"/>
        </w:rPr>
        <w:t xml:space="preserve"> </w:t>
      </w:r>
      <w:r>
        <w:t>in</w:t>
      </w:r>
      <w:r>
        <w:rPr>
          <w:spacing w:val="-3"/>
        </w:rPr>
        <w:t xml:space="preserve"> </w:t>
      </w:r>
      <w:r>
        <w:t>the</w:t>
      </w:r>
      <w:r>
        <w:rPr>
          <w:spacing w:val="-2"/>
        </w:rPr>
        <w:t xml:space="preserve"> </w:t>
      </w:r>
      <w:r>
        <w:t>2021</w:t>
      </w:r>
      <w:r>
        <w:rPr>
          <w:spacing w:val="-1"/>
        </w:rPr>
        <w:t xml:space="preserve"> </w:t>
      </w:r>
      <w:r>
        <w:t>Study</w:t>
      </w:r>
      <w:r>
        <w:rPr>
          <w:spacing w:val="-2"/>
        </w:rPr>
        <w:t xml:space="preserve"> </w:t>
      </w:r>
      <w:r>
        <w:t>based</w:t>
      </w:r>
      <w:r>
        <w:rPr>
          <w:spacing w:val="-2"/>
        </w:rPr>
        <w:t xml:space="preserve"> </w:t>
      </w:r>
      <w:r>
        <w:t>on</w:t>
      </w:r>
      <w:r>
        <w:rPr>
          <w:spacing w:val="-2"/>
        </w:rPr>
        <w:t xml:space="preserve"> </w:t>
      </w:r>
      <w:r>
        <w:t>a</w:t>
      </w:r>
      <w:r>
        <w:rPr>
          <w:spacing w:val="-2"/>
        </w:rPr>
        <w:t xml:space="preserve"> </w:t>
      </w:r>
      <w:r>
        <w:t>review</w:t>
      </w:r>
      <w:r>
        <w:rPr>
          <w:spacing w:val="-3"/>
        </w:rPr>
        <w:t xml:space="preserve"> </w:t>
      </w:r>
      <w:r>
        <w:t>of</w:t>
      </w:r>
      <w:r>
        <w:rPr>
          <w:spacing w:val="-2"/>
        </w:rPr>
        <w:t xml:space="preserve"> </w:t>
      </w:r>
      <w:r>
        <w:t>the</w:t>
      </w:r>
      <w:r>
        <w:rPr>
          <w:spacing w:val="-2"/>
        </w:rPr>
        <w:t xml:space="preserve"> </w:t>
      </w:r>
      <w:r>
        <w:t>claimed</w:t>
      </w:r>
      <w:r>
        <w:rPr>
          <w:spacing w:val="-2"/>
        </w:rPr>
        <w:t xml:space="preserve"> </w:t>
      </w:r>
      <w:r>
        <w:t xml:space="preserve">first- year gross kWh and therm </w:t>
      </w:r>
      <w:r>
        <w:t>savings from the SCE Enhanced Retrocommissioning</w:t>
      </w:r>
      <w:hyperlink w:history="1" w:anchor="_bookmark428">
        <w:r>
          <w:rPr>
            <w:position w:val="7"/>
            <w:sz w:val="14"/>
          </w:rPr>
          <w:t>168</w:t>
        </w:r>
      </w:hyperlink>
      <w:r>
        <w:rPr>
          <w:spacing w:val="34"/>
          <w:position w:val="7"/>
          <w:sz w:val="14"/>
        </w:rPr>
        <w:t xml:space="preserve"> </w:t>
      </w:r>
      <w:r>
        <w:t>and SDG&amp;E HOPPs – Building Retrocommissioning programs.</w:t>
      </w:r>
      <w:hyperlink w:history="1" w:anchor="_bookmark429">
        <w:r>
          <w:rPr>
            <w:position w:val="7"/>
            <w:sz w:val="14"/>
          </w:rPr>
          <w:t>169</w:t>
        </w:r>
      </w:hyperlink>
      <w:r>
        <w:rPr>
          <w:spacing w:val="30"/>
          <w:position w:val="7"/>
          <w:sz w:val="14"/>
        </w:rPr>
        <w:t xml:space="preserve"> </w:t>
      </w:r>
      <w:r>
        <w:t>The model inpu</w:t>
      </w:r>
      <w:r>
        <w:t xml:space="preserve">ts for electric and natural gas for RCx (shown in </w:t>
      </w:r>
      <w:hyperlink w:history="1" w:anchor="_bookmark426">
        <w:r>
          <w:t>Table D-15</w:t>
        </w:r>
      </w:hyperlink>
      <w:r>
        <w:t>) are based on customer segment consumption</w:t>
      </w:r>
      <w:r>
        <w:rPr>
          <w:spacing w:val="-3"/>
        </w:rPr>
        <w:t xml:space="preserve"> </w:t>
      </w:r>
      <w:r>
        <w:t>(kWh</w:t>
      </w:r>
      <w:r>
        <w:rPr>
          <w:spacing w:val="-3"/>
        </w:rPr>
        <w:t xml:space="preserve"> </w:t>
      </w:r>
      <w:r>
        <w:t>or</w:t>
      </w:r>
      <w:r>
        <w:rPr>
          <w:spacing w:val="-3"/>
        </w:rPr>
        <w:t xml:space="preserve"> </w:t>
      </w:r>
      <w:r>
        <w:t>therms</w:t>
      </w:r>
      <w:r>
        <w:rPr>
          <w:spacing w:val="-3"/>
        </w:rPr>
        <w:t xml:space="preserve"> </w:t>
      </w:r>
      <w:r>
        <w:t>per</w:t>
      </w:r>
      <w:r>
        <w:rPr>
          <w:spacing w:val="-3"/>
        </w:rPr>
        <w:t xml:space="preserve"> </w:t>
      </w:r>
      <w:r>
        <w:t>year).</w:t>
      </w:r>
      <w:r>
        <w:rPr>
          <w:spacing w:val="-3"/>
        </w:rPr>
        <w:t xml:space="preserve"> </w:t>
      </w:r>
      <w:r>
        <w:t>Electricity</w:t>
      </w:r>
      <w:r>
        <w:rPr>
          <w:spacing w:val="-3"/>
        </w:rPr>
        <w:t xml:space="preserve"> </w:t>
      </w:r>
      <w:r>
        <w:t>and</w:t>
      </w:r>
      <w:r>
        <w:rPr>
          <w:spacing w:val="-3"/>
        </w:rPr>
        <w:t xml:space="preserve"> </w:t>
      </w:r>
      <w:r>
        <w:t>natural</w:t>
      </w:r>
      <w:r>
        <w:rPr>
          <w:spacing w:val="-3"/>
        </w:rPr>
        <w:t xml:space="preserve"> </w:t>
      </w:r>
      <w:r>
        <w:t>gas</w:t>
      </w:r>
      <w:r>
        <w:rPr>
          <w:spacing w:val="-3"/>
        </w:rPr>
        <w:t xml:space="preserve"> </w:t>
      </w:r>
      <w:r>
        <w:t>savings</w:t>
      </w:r>
      <w:r>
        <w:rPr>
          <w:spacing w:val="-3"/>
        </w:rPr>
        <w:t xml:space="preserve"> </w:t>
      </w:r>
      <w:r>
        <w:t>range</w:t>
      </w:r>
      <w:r>
        <w:rPr>
          <w:spacing w:val="-3"/>
        </w:rPr>
        <w:t xml:space="preserve"> </w:t>
      </w:r>
      <w:r>
        <w:t>from</w:t>
      </w:r>
      <w:r>
        <w:rPr>
          <w:spacing w:val="-4"/>
        </w:rPr>
        <w:t xml:space="preserve"> </w:t>
      </w:r>
      <w:r>
        <w:t xml:space="preserve">2.3% to </w:t>
      </w:r>
      <w:r>
        <w:t>5.2% and are applied consistently for all utilities. Costs for electricity and natural gas savings are also constant across utilities at $0.21 per kWh and $0.38 per therm. Industry literature indicates that demand savings associated with RCx are minimal, a</w:t>
      </w:r>
      <w:r>
        <w:t>nd the study does not forecast demand savings for RCx.</w:t>
      </w:r>
    </w:p>
    <w:p w:rsidR="00C31389" w:rsidRDefault="00C31389" w14:paraId="7F8FB9EC" w14:textId="77777777">
      <w:pPr>
        <w:pStyle w:val="BodyText"/>
        <w:spacing w:before="10"/>
        <w:rPr>
          <w:sz w:val="20"/>
        </w:rPr>
      </w:pPr>
    </w:p>
    <w:p w:rsidR="00C31389" w:rsidRDefault="00561FBD" w14:paraId="47DC7F01" w14:textId="77777777">
      <w:pPr>
        <w:pStyle w:val="Heading7"/>
        <w:spacing w:before="1"/>
        <w:ind w:left="398" w:right="340"/>
        <w:jc w:val="center"/>
      </w:pPr>
      <w:bookmarkStart w:name="_bookmark426" w:id="556"/>
      <w:bookmarkEnd w:id="556"/>
      <w:r>
        <w:t>Table</w:t>
      </w:r>
      <w:r>
        <w:rPr>
          <w:spacing w:val="-7"/>
        </w:rPr>
        <w:t xml:space="preserve"> </w:t>
      </w:r>
      <w:r>
        <w:t>D-15.</w:t>
      </w:r>
      <w:r>
        <w:rPr>
          <w:spacing w:val="-7"/>
        </w:rPr>
        <w:t xml:space="preserve"> </w:t>
      </w:r>
      <w:r>
        <w:t>Commercial</w:t>
      </w:r>
      <w:r>
        <w:rPr>
          <w:spacing w:val="-6"/>
        </w:rPr>
        <w:t xml:space="preserve"> </w:t>
      </w:r>
      <w:r>
        <w:t>RCx</w:t>
      </w:r>
      <w:r>
        <w:rPr>
          <w:spacing w:val="-6"/>
        </w:rPr>
        <w:t xml:space="preserve"> </w:t>
      </w:r>
      <w:r>
        <w:t>–</w:t>
      </w:r>
      <w:r>
        <w:rPr>
          <w:spacing w:val="-6"/>
        </w:rPr>
        <w:t xml:space="preserve"> </w:t>
      </w:r>
      <w:r>
        <w:t>Key</w:t>
      </w:r>
      <w:r>
        <w:rPr>
          <w:spacing w:val="-6"/>
        </w:rPr>
        <w:t xml:space="preserve"> </w:t>
      </w:r>
      <w:r>
        <w:rPr>
          <w:spacing w:val="-2"/>
        </w:rPr>
        <w:t>Assumptions</w:t>
      </w:r>
    </w:p>
    <w:p w:rsidR="00C31389" w:rsidRDefault="00C31389" w14:paraId="71013555" w14:textId="77777777">
      <w:pPr>
        <w:pStyle w:val="BodyText"/>
        <w:spacing w:before="5"/>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347"/>
        <w:gridCol w:w="1028"/>
        <w:gridCol w:w="1232"/>
        <w:gridCol w:w="1062"/>
        <w:gridCol w:w="1245"/>
        <w:gridCol w:w="1359"/>
        <w:gridCol w:w="890"/>
        <w:gridCol w:w="1211"/>
      </w:tblGrid>
      <w:tr w:rsidR="00C31389" w14:paraId="794B7527" w14:textId="77777777">
        <w:trPr>
          <w:trHeight w:val="297"/>
        </w:trPr>
        <w:tc>
          <w:tcPr>
            <w:tcW w:w="1347" w:type="dxa"/>
            <w:shd w:val="clear" w:color="auto" w:fill="92D400"/>
          </w:tcPr>
          <w:p w:rsidR="00C31389" w:rsidRDefault="00C31389" w14:paraId="5667F444" w14:textId="77777777">
            <w:pPr>
              <w:pStyle w:val="TableParagraph"/>
              <w:spacing w:before="0"/>
              <w:rPr>
                <w:rFonts w:ascii="Times New Roman"/>
                <w:sz w:val="20"/>
              </w:rPr>
            </w:pPr>
          </w:p>
        </w:tc>
        <w:tc>
          <w:tcPr>
            <w:tcW w:w="1028" w:type="dxa"/>
            <w:shd w:val="clear" w:color="auto" w:fill="92D400"/>
          </w:tcPr>
          <w:p w:rsidR="00C31389" w:rsidRDefault="00C31389" w14:paraId="6D12AE3D" w14:textId="77777777">
            <w:pPr>
              <w:pStyle w:val="TableParagraph"/>
              <w:spacing w:before="0"/>
              <w:rPr>
                <w:rFonts w:ascii="Times New Roman"/>
                <w:sz w:val="20"/>
              </w:rPr>
            </w:pPr>
          </w:p>
        </w:tc>
        <w:tc>
          <w:tcPr>
            <w:tcW w:w="1232" w:type="dxa"/>
            <w:vMerge w:val="restart"/>
            <w:shd w:val="clear" w:color="auto" w:fill="92D400"/>
          </w:tcPr>
          <w:p w:rsidR="00C31389" w:rsidRDefault="00561FBD" w14:paraId="00B35CB0" w14:textId="77777777">
            <w:pPr>
              <w:pStyle w:val="TableParagraph"/>
              <w:spacing w:before="155"/>
              <w:ind w:left="503"/>
              <w:rPr>
                <w:b/>
                <w:sz w:val="20"/>
              </w:rPr>
            </w:pPr>
            <w:r>
              <w:rPr>
                <w:b/>
                <w:spacing w:val="-5"/>
                <w:sz w:val="20"/>
              </w:rPr>
              <w:t>EUL</w:t>
            </w:r>
          </w:p>
          <w:p w:rsidR="00C31389" w:rsidRDefault="00561FBD" w14:paraId="7BF78F98" w14:textId="77777777">
            <w:pPr>
              <w:pStyle w:val="TableParagraph"/>
              <w:spacing w:before="1"/>
              <w:ind w:left="431"/>
              <w:rPr>
                <w:b/>
                <w:sz w:val="20"/>
              </w:rPr>
            </w:pPr>
            <w:r>
              <w:rPr>
                <w:b/>
                <w:spacing w:val="-2"/>
                <w:sz w:val="20"/>
              </w:rPr>
              <w:t>Years</w:t>
            </w:r>
          </w:p>
        </w:tc>
        <w:tc>
          <w:tcPr>
            <w:tcW w:w="2307" w:type="dxa"/>
            <w:gridSpan w:val="2"/>
            <w:shd w:val="clear" w:color="auto" w:fill="92D400"/>
          </w:tcPr>
          <w:p w:rsidR="00C31389" w:rsidRDefault="00561FBD" w14:paraId="634CBB3F" w14:textId="77777777">
            <w:pPr>
              <w:pStyle w:val="TableParagraph"/>
              <w:spacing w:before="88" w:line="189" w:lineRule="exact"/>
              <w:ind w:left="712"/>
              <w:rPr>
                <w:b/>
                <w:sz w:val="20"/>
              </w:rPr>
            </w:pPr>
            <w:r>
              <w:rPr>
                <w:b/>
                <w:spacing w:val="-2"/>
                <w:sz w:val="20"/>
              </w:rPr>
              <w:t>Savings</w:t>
            </w:r>
          </w:p>
        </w:tc>
        <w:tc>
          <w:tcPr>
            <w:tcW w:w="1359" w:type="dxa"/>
            <w:shd w:val="clear" w:color="auto" w:fill="92D400"/>
          </w:tcPr>
          <w:p w:rsidR="00C31389" w:rsidRDefault="00561FBD" w14:paraId="11B83D07" w14:textId="77777777">
            <w:pPr>
              <w:pStyle w:val="TableParagraph"/>
              <w:spacing w:before="88" w:line="189" w:lineRule="exact"/>
              <w:ind w:left="897"/>
              <w:rPr>
                <w:b/>
                <w:sz w:val="20"/>
              </w:rPr>
            </w:pPr>
            <w:r>
              <w:rPr>
                <w:b/>
                <w:spacing w:val="-4"/>
                <w:sz w:val="20"/>
              </w:rPr>
              <w:t>Cost</w:t>
            </w:r>
          </w:p>
        </w:tc>
        <w:tc>
          <w:tcPr>
            <w:tcW w:w="890" w:type="dxa"/>
            <w:shd w:val="clear" w:color="auto" w:fill="92D400"/>
          </w:tcPr>
          <w:p w:rsidR="00C31389" w:rsidRDefault="00C31389" w14:paraId="6409E08D" w14:textId="77777777">
            <w:pPr>
              <w:pStyle w:val="TableParagraph"/>
              <w:spacing w:before="0"/>
              <w:rPr>
                <w:rFonts w:ascii="Times New Roman"/>
                <w:sz w:val="20"/>
              </w:rPr>
            </w:pPr>
          </w:p>
        </w:tc>
        <w:tc>
          <w:tcPr>
            <w:tcW w:w="1211" w:type="dxa"/>
            <w:vMerge w:val="restart"/>
            <w:shd w:val="clear" w:color="auto" w:fill="92D400"/>
          </w:tcPr>
          <w:p w:rsidR="00C31389" w:rsidRDefault="00561FBD" w14:paraId="69F8651A" w14:textId="77777777">
            <w:pPr>
              <w:pStyle w:val="TableParagraph"/>
              <w:ind w:left="191" w:right="158"/>
              <w:jc w:val="center"/>
              <w:rPr>
                <w:b/>
                <w:sz w:val="20"/>
              </w:rPr>
            </w:pPr>
            <w:r>
              <w:rPr>
                <w:b/>
                <w:spacing w:val="-2"/>
                <w:sz w:val="20"/>
              </w:rPr>
              <w:t>kW/kWh Savings Ratio</w:t>
            </w:r>
          </w:p>
        </w:tc>
      </w:tr>
      <w:tr w:rsidR="00C31389" w14:paraId="7AD15532" w14:textId="77777777">
        <w:trPr>
          <w:trHeight w:val="197"/>
        </w:trPr>
        <w:tc>
          <w:tcPr>
            <w:tcW w:w="1347" w:type="dxa"/>
            <w:shd w:val="clear" w:color="auto" w:fill="92D400"/>
          </w:tcPr>
          <w:p w:rsidR="00C31389" w:rsidRDefault="00561FBD" w14:paraId="5EDA49C9" w14:textId="77777777">
            <w:pPr>
              <w:pStyle w:val="TableParagraph"/>
              <w:spacing w:before="0" w:line="177" w:lineRule="exact"/>
              <w:ind w:left="124"/>
              <w:rPr>
                <w:b/>
                <w:sz w:val="20"/>
              </w:rPr>
            </w:pPr>
            <w:r>
              <w:rPr>
                <w:b/>
                <w:spacing w:val="-2"/>
                <w:sz w:val="20"/>
              </w:rPr>
              <w:t>Sector</w:t>
            </w:r>
          </w:p>
        </w:tc>
        <w:tc>
          <w:tcPr>
            <w:tcW w:w="1028" w:type="dxa"/>
            <w:shd w:val="clear" w:color="auto" w:fill="92D400"/>
          </w:tcPr>
          <w:p w:rsidR="00C31389" w:rsidRDefault="00561FBD" w14:paraId="774D7E28" w14:textId="77777777">
            <w:pPr>
              <w:pStyle w:val="TableParagraph"/>
              <w:spacing w:before="0" w:line="177" w:lineRule="exact"/>
              <w:ind w:left="127"/>
              <w:rPr>
                <w:b/>
                <w:sz w:val="20"/>
              </w:rPr>
            </w:pPr>
            <w:r>
              <w:rPr>
                <w:b/>
                <w:spacing w:val="-4"/>
                <w:sz w:val="20"/>
              </w:rPr>
              <w:t>Type</w:t>
            </w:r>
          </w:p>
        </w:tc>
        <w:tc>
          <w:tcPr>
            <w:tcW w:w="1232" w:type="dxa"/>
            <w:vMerge/>
            <w:tcBorders>
              <w:top w:val="nil"/>
            </w:tcBorders>
            <w:shd w:val="clear" w:color="auto" w:fill="92D400"/>
          </w:tcPr>
          <w:p w:rsidR="00C31389" w:rsidRDefault="00C31389" w14:paraId="72EDB213" w14:textId="77777777">
            <w:pPr>
              <w:rPr>
                <w:sz w:val="2"/>
                <w:szCs w:val="2"/>
              </w:rPr>
            </w:pPr>
          </w:p>
        </w:tc>
        <w:tc>
          <w:tcPr>
            <w:tcW w:w="1062" w:type="dxa"/>
            <w:shd w:val="clear" w:color="auto" w:fill="92D400"/>
          </w:tcPr>
          <w:p w:rsidR="00C31389" w:rsidRDefault="00C31389" w14:paraId="23D57253" w14:textId="77777777">
            <w:pPr>
              <w:pStyle w:val="TableParagraph"/>
              <w:spacing w:before="0"/>
              <w:rPr>
                <w:rFonts w:ascii="Times New Roman"/>
                <w:sz w:val="12"/>
              </w:rPr>
            </w:pPr>
          </w:p>
        </w:tc>
        <w:tc>
          <w:tcPr>
            <w:tcW w:w="1245" w:type="dxa"/>
            <w:shd w:val="clear" w:color="auto" w:fill="92D400"/>
          </w:tcPr>
          <w:p w:rsidR="00C31389" w:rsidRDefault="00C31389" w14:paraId="4E8F9186" w14:textId="77777777">
            <w:pPr>
              <w:pStyle w:val="TableParagraph"/>
              <w:spacing w:before="0"/>
              <w:rPr>
                <w:rFonts w:ascii="Times New Roman"/>
                <w:sz w:val="12"/>
              </w:rPr>
            </w:pPr>
          </w:p>
        </w:tc>
        <w:tc>
          <w:tcPr>
            <w:tcW w:w="1359" w:type="dxa"/>
            <w:shd w:val="clear" w:color="auto" w:fill="92D400"/>
          </w:tcPr>
          <w:p w:rsidR="00C31389" w:rsidRDefault="00C31389" w14:paraId="74CEA46F" w14:textId="77777777">
            <w:pPr>
              <w:pStyle w:val="TableParagraph"/>
              <w:spacing w:before="0"/>
              <w:rPr>
                <w:rFonts w:ascii="Times New Roman"/>
                <w:sz w:val="12"/>
              </w:rPr>
            </w:pPr>
          </w:p>
        </w:tc>
        <w:tc>
          <w:tcPr>
            <w:tcW w:w="890" w:type="dxa"/>
            <w:shd w:val="clear" w:color="auto" w:fill="92D400"/>
          </w:tcPr>
          <w:p w:rsidR="00C31389" w:rsidRDefault="00C31389" w14:paraId="36871F99" w14:textId="77777777">
            <w:pPr>
              <w:pStyle w:val="TableParagraph"/>
              <w:spacing w:before="0"/>
              <w:rPr>
                <w:rFonts w:ascii="Times New Roman"/>
                <w:sz w:val="12"/>
              </w:rPr>
            </w:pPr>
          </w:p>
        </w:tc>
        <w:tc>
          <w:tcPr>
            <w:tcW w:w="1211" w:type="dxa"/>
            <w:vMerge/>
            <w:tcBorders>
              <w:top w:val="nil"/>
            </w:tcBorders>
            <w:shd w:val="clear" w:color="auto" w:fill="92D400"/>
          </w:tcPr>
          <w:p w:rsidR="00C31389" w:rsidRDefault="00C31389" w14:paraId="78D4125C" w14:textId="77777777">
            <w:pPr>
              <w:rPr>
                <w:sz w:val="2"/>
                <w:szCs w:val="2"/>
              </w:rPr>
            </w:pPr>
          </w:p>
        </w:tc>
      </w:tr>
      <w:tr w:rsidR="00C31389" w14:paraId="22937414" w14:textId="77777777">
        <w:trPr>
          <w:trHeight w:val="284"/>
        </w:trPr>
        <w:tc>
          <w:tcPr>
            <w:tcW w:w="1347" w:type="dxa"/>
            <w:shd w:val="clear" w:color="auto" w:fill="92D400"/>
          </w:tcPr>
          <w:p w:rsidR="00C31389" w:rsidRDefault="00C31389" w14:paraId="4BBE5015" w14:textId="77777777">
            <w:pPr>
              <w:pStyle w:val="TableParagraph"/>
              <w:spacing w:before="0"/>
              <w:rPr>
                <w:rFonts w:ascii="Times New Roman"/>
                <w:sz w:val="20"/>
              </w:rPr>
            </w:pPr>
          </w:p>
        </w:tc>
        <w:tc>
          <w:tcPr>
            <w:tcW w:w="1028" w:type="dxa"/>
            <w:shd w:val="clear" w:color="auto" w:fill="92D400"/>
          </w:tcPr>
          <w:p w:rsidR="00C31389" w:rsidRDefault="00C31389" w14:paraId="5F130547" w14:textId="77777777">
            <w:pPr>
              <w:pStyle w:val="TableParagraph"/>
              <w:spacing w:before="0"/>
              <w:rPr>
                <w:rFonts w:ascii="Times New Roman"/>
                <w:sz w:val="20"/>
              </w:rPr>
            </w:pPr>
          </w:p>
        </w:tc>
        <w:tc>
          <w:tcPr>
            <w:tcW w:w="1232" w:type="dxa"/>
            <w:vMerge/>
            <w:tcBorders>
              <w:top w:val="nil"/>
            </w:tcBorders>
            <w:shd w:val="clear" w:color="auto" w:fill="92D400"/>
          </w:tcPr>
          <w:p w:rsidR="00C31389" w:rsidRDefault="00C31389" w14:paraId="77BE51DA" w14:textId="77777777">
            <w:pPr>
              <w:rPr>
                <w:sz w:val="2"/>
                <w:szCs w:val="2"/>
              </w:rPr>
            </w:pPr>
          </w:p>
        </w:tc>
        <w:tc>
          <w:tcPr>
            <w:tcW w:w="1062" w:type="dxa"/>
            <w:shd w:val="clear" w:color="auto" w:fill="92D400"/>
          </w:tcPr>
          <w:p w:rsidR="00C31389" w:rsidRDefault="00561FBD" w14:paraId="5B5708F6" w14:textId="77777777">
            <w:pPr>
              <w:pStyle w:val="TableParagraph"/>
              <w:spacing w:before="0" w:line="218" w:lineRule="exact"/>
              <w:ind w:left="302"/>
              <w:rPr>
                <w:b/>
                <w:sz w:val="20"/>
              </w:rPr>
            </w:pPr>
            <w:r>
              <w:rPr>
                <w:b/>
                <w:spacing w:val="-5"/>
                <w:sz w:val="20"/>
              </w:rPr>
              <w:t>kWh</w:t>
            </w:r>
          </w:p>
        </w:tc>
        <w:tc>
          <w:tcPr>
            <w:tcW w:w="1245" w:type="dxa"/>
            <w:shd w:val="clear" w:color="auto" w:fill="92D400"/>
          </w:tcPr>
          <w:p w:rsidR="00C31389" w:rsidRDefault="00561FBD" w14:paraId="34FFAD72" w14:textId="77777777">
            <w:pPr>
              <w:pStyle w:val="TableParagraph"/>
              <w:spacing w:before="0" w:line="218" w:lineRule="exact"/>
              <w:ind w:left="282"/>
              <w:rPr>
                <w:b/>
                <w:sz w:val="20"/>
              </w:rPr>
            </w:pPr>
            <w:r>
              <w:rPr>
                <w:b/>
                <w:spacing w:val="-2"/>
                <w:sz w:val="20"/>
              </w:rPr>
              <w:t>therms</w:t>
            </w:r>
          </w:p>
        </w:tc>
        <w:tc>
          <w:tcPr>
            <w:tcW w:w="1359" w:type="dxa"/>
            <w:shd w:val="clear" w:color="auto" w:fill="92D400"/>
          </w:tcPr>
          <w:p w:rsidR="00C31389" w:rsidRDefault="00561FBD" w14:paraId="4FADAD5A" w14:textId="77777777">
            <w:pPr>
              <w:pStyle w:val="TableParagraph"/>
              <w:spacing w:before="0" w:line="218" w:lineRule="exact"/>
              <w:ind w:left="325"/>
              <w:rPr>
                <w:b/>
                <w:sz w:val="20"/>
              </w:rPr>
            </w:pPr>
            <w:r>
              <w:rPr>
                <w:b/>
                <w:spacing w:val="-5"/>
                <w:sz w:val="20"/>
              </w:rPr>
              <w:t>kWh</w:t>
            </w:r>
          </w:p>
        </w:tc>
        <w:tc>
          <w:tcPr>
            <w:tcW w:w="890" w:type="dxa"/>
            <w:shd w:val="clear" w:color="auto" w:fill="92D400"/>
          </w:tcPr>
          <w:p w:rsidR="00C31389" w:rsidRDefault="00561FBD" w14:paraId="54E045B6" w14:textId="77777777">
            <w:pPr>
              <w:pStyle w:val="TableParagraph"/>
              <w:spacing w:before="0" w:line="218" w:lineRule="exact"/>
              <w:ind w:right="201"/>
              <w:jc w:val="center"/>
              <w:rPr>
                <w:b/>
                <w:sz w:val="20"/>
              </w:rPr>
            </w:pPr>
            <w:r>
              <w:rPr>
                <w:b/>
                <w:spacing w:val="-2"/>
                <w:sz w:val="20"/>
              </w:rPr>
              <w:t>therms</w:t>
            </w:r>
          </w:p>
        </w:tc>
        <w:tc>
          <w:tcPr>
            <w:tcW w:w="1211" w:type="dxa"/>
            <w:vMerge/>
            <w:tcBorders>
              <w:top w:val="nil"/>
            </w:tcBorders>
            <w:shd w:val="clear" w:color="auto" w:fill="92D400"/>
          </w:tcPr>
          <w:p w:rsidR="00C31389" w:rsidRDefault="00C31389" w14:paraId="3ADF4629" w14:textId="77777777">
            <w:pPr>
              <w:rPr>
                <w:sz w:val="2"/>
                <w:szCs w:val="2"/>
              </w:rPr>
            </w:pPr>
          </w:p>
        </w:tc>
      </w:tr>
      <w:tr w:rsidR="00C31389" w14:paraId="4F3D16DB" w14:textId="77777777">
        <w:trPr>
          <w:trHeight w:val="540"/>
        </w:trPr>
        <w:tc>
          <w:tcPr>
            <w:tcW w:w="1347" w:type="dxa"/>
            <w:tcBorders>
              <w:bottom w:val="single" w:color="000000" w:sz="8" w:space="0"/>
            </w:tcBorders>
          </w:tcPr>
          <w:p w:rsidR="00C31389" w:rsidRDefault="00561FBD" w14:paraId="0DD8ED4C" w14:textId="77777777">
            <w:pPr>
              <w:pStyle w:val="TableParagraph"/>
              <w:spacing w:before="155"/>
              <w:ind w:left="150"/>
              <w:rPr>
                <w:sz w:val="20"/>
              </w:rPr>
            </w:pPr>
            <w:r>
              <w:rPr>
                <w:spacing w:val="-2"/>
                <w:sz w:val="20"/>
              </w:rPr>
              <w:t>Commercial</w:t>
            </w:r>
          </w:p>
        </w:tc>
        <w:tc>
          <w:tcPr>
            <w:tcW w:w="1028" w:type="dxa"/>
            <w:tcBorders>
              <w:bottom w:val="single" w:color="000000" w:sz="8" w:space="0"/>
            </w:tcBorders>
          </w:tcPr>
          <w:p w:rsidR="00C31389" w:rsidRDefault="00561FBD" w14:paraId="561441C4" w14:textId="77777777">
            <w:pPr>
              <w:pStyle w:val="TableParagraph"/>
              <w:spacing w:before="155"/>
              <w:ind w:left="127"/>
              <w:rPr>
                <w:sz w:val="20"/>
              </w:rPr>
            </w:pPr>
            <w:r>
              <w:rPr>
                <w:spacing w:val="-5"/>
                <w:sz w:val="20"/>
              </w:rPr>
              <w:t>RCx</w:t>
            </w:r>
          </w:p>
        </w:tc>
        <w:tc>
          <w:tcPr>
            <w:tcW w:w="1232" w:type="dxa"/>
            <w:tcBorders>
              <w:bottom w:val="single" w:color="000000" w:sz="8" w:space="0"/>
            </w:tcBorders>
          </w:tcPr>
          <w:p w:rsidR="00C31389" w:rsidRDefault="00561FBD" w14:paraId="622BEF24" w14:textId="77777777">
            <w:pPr>
              <w:pStyle w:val="TableParagraph"/>
              <w:spacing w:before="155"/>
              <w:ind w:left="176"/>
              <w:jc w:val="center"/>
              <w:rPr>
                <w:sz w:val="20"/>
              </w:rPr>
            </w:pPr>
            <w:r>
              <w:rPr>
                <w:sz w:val="20"/>
              </w:rPr>
              <w:t>5</w:t>
            </w:r>
          </w:p>
        </w:tc>
        <w:tc>
          <w:tcPr>
            <w:tcW w:w="1062" w:type="dxa"/>
            <w:tcBorders>
              <w:bottom w:val="single" w:color="000000" w:sz="8" w:space="0"/>
            </w:tcBorders>
          </w:tcPr>
          <w:p w:rsidR="00C31389" w:rsidRDefault="00561FBD" w14:paraId="4A822A58" w14:textId="77777777">
            <w:pPr>
              <w:pStyle w:val="TableParagraph"/>
              <w:ind w:left="251"/>
              <w:rPr>
                <w:sz w:val="20"/>
              </w:rPr>
            </w:pPr>
            <w:r>
              <w:rPr>
                <w:spacing w:val="-2"/>
                <w:sz w:val="20"/>
              </w:rPr>
              <w:t>2.3%-</w:t>
            </w:r>
          </w:p>
          <w:p w:rsidR="00C31389" w:rsidRDefault="00561FBD" w14:paraId="7E9F4BE1" w14:textId="77777777">
            <w:pPr>
              <w:pStyle w:val="TableParagraph"/>
              <w:spacing w:before="1"/>
              <w:ind w:left="285"/>
              <w:rPr>
                <w:sz w:val="20"/>
              </w:rPr>
            </w:pPr>
            <w:r>
              <w:rPr>
                <w:spacing w:val="-4"/>
                <w:sz w:val="20"/>
              </w:rPr>
              <w:t>5.2%</w:t>
            </w:r>
          </w:p>
        </w:tc>
        <w:tc>
          <w:tcPr>
            <w:tcW w:w="1245" w:type="dxa"/>
            <w:tcBorders>
              <w:bottom w:val="single" w:color="000000" w:sz="8" w:space="0"/>
            </w:tcBorders>
          </w:tcPr>
          <w:p w:rsidR="00C31389" w:rsidRDefault="00561FBD" w14:paraId="402EF5BE" w14:textId="77777777">
            <w:pPr>
              <w:pStyle w:val="TableParagraph"/>
              <w:ind w:left="354"/>
              <w:rPr>
                <w:sz w:val="20"/>
              </w:rPr>
            </w:pPr>
            <w:r>
              <w:rPr>
                <w:spacing w:val="-2"/>
                <w:sz w:val="20"/>
              </w:rPr>
              <w:t>2.3%-</w:t>
            </w:r>
          </w:p>
          <w:p w:rsidR="00C31389" w:rsidRDefault="00561FBD" w14:paraId="64964F5D" w14:textId="77777777">
            <w:pPr>
              <w:pStyle w:val="TableParagraph"/>
              <w:spacing w:before="1"/>
              <w:ind w:left="388"/>
              <w:rPr>
                <w:sz w:val="20"/>
              </w:rPr>
            </w:pPr>
            <w:r>
              <w:rPr>
                <w:spacing w:val="-4"/>
                <w:sz w:val="20"/>
              </w:rPr>
              <w:t>5.2%</w:t>
            </w:r>
          </w:p>
        </w:tc>
        <w:tc>
          <w:tcPr>
            <w:tcW w:w="1359" w:type="dxa"/>
            <w:tcBorders>
              <w:bottom w:val="single" w:color="000000" w:sz="8" w:space="0"/>
            </w:tcBorders>
          </w:tcPr>
          <w:p w:rsidR="00C31389" w:rsidRDefault="00561FBD" w14:paraId="756F9EB7" w14:textId="77777777">
            <w:pPr>
              <w:pStyle w:val="TableParagraph"/>
              <w:spacing w:before="155"/>
              <w:ind w:left="286"/>
              <w:rPr>
                <w:sz w:val="20"/>
              </w:rPr>
            </w:pPr>
            <w:r>
              <w:rPr>
                <w:spacing w:val="-2"/>
                <w:sz w:val="20"/>
              </w:rPr>
              <w:t>$0.21</w:t>
            </w:r>
          </w:p>
        </w:tc>
        <w:tc>
          <w:tcPr>
            <w:tcW w:w="890" w:type="dxa"/>
            <w:tcBorders>
              <w:bottom w:val="single" w:color="000000" w:sz="8" w:space="0"/>
            </w:tcBorders>
          </w:tcPr>
          <w:p w:rsidR="00C31389" w:rsidRDefault="00561FBD" w14:paraId="5628BCF4" w14:textId="77777777">
            <w:pPr>
              <w:pStyle w:val="TableParagraph"/>
              <w:spacing w:before="155"/>
              <w:ind w:right="199"/>
              <w:jc w:val="center"/>
              <w:rPr>
                <w:sz w:val="20"/>
              </w:rPr>
            </w:pPr>
            <w:r>
              <w:rPr>
                <w:spacing w:val="-2"/>
                <w:sz w:val="20"/>
              </w:rPr>
              <w:t>$0.38</w:t>
            </w:r>
          </w:p>
        </w:tc>
        <w:tc>
          <w:tcPr>
            <w:tcW w:w="1211" w:type="dxa"/>
            <w:tcBorders>
              <w:bottom w:val="single" w:color="000000" w:sz="8" w:space="0"/>
            </w:tcBorders>
          </w:tcPr>
          <w:p w:rsidR="00C31389" w:rsidRDefault="00561FBD" w14:paraId="73E5BAD3" w14:textId="77777777">
            <w:pPr>
              <w:pStyle w:val="TableParagraph"/>
              <w:spacing w:before="155"/>
              <w:ind w:left="203"/>
              <w:rPr>
                <w:sz w:val="20"/>
              </w:rPr>
            </w:pPr>
            <w:r>
              <w:rPr>
                <w:spacing w:val="-2"/>
                <w:sz w:val="20"/>
              </w:rPr>
              <w:t>0.000112</w:t>
            </w:r>
          </w:p>
        </w:tc>
      </w:tr>
    </w:tbl>
    <w:p w:rsidR="00C31389" w:rsidRDefault="00561FBD" w14:paraId="75A2A01B"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7AE50FC2" w14:textId="77777777">
      <w:pPr>
        <w:pStyle w:val="BodyText"/>
        <w:rPr>
          <w:i/>
          <w:sz w:val="20"/>
        </w:rPr>
      </w:pPr>
    </w:p>
    <w:p w:rsidR="00C31389" w:rsidRDefault="00561FBD" w14:paraId="409A91AB" w14:textId="77777777">
      <w:pPr>
        <w:pStyle w:val="ListParagraph"/>
        <w:numPr>
          <w:ilvl w:val="2"/>
          <w:numId w:val="19"/>
        </w:numPr>
        <w:tabs>
          <w:tab w:val="left" w:pos="1263"/>
        </w:tabs>
        <w:spacing w:before="130"/>
        <w:ind w:left="1263" w:hanging="783"/>
        <w:rPr>
          <w:b/>
          <w:sz w:val="24"/>
        </w:rPr>
      </w:pPr>
      <w:bookmarkStart w:name="D.11.2__Assumptions_and_Methodology" w:id="557"/>
      <w:bookmarkStart w:name="_bookmark427" w:id="558"/>
      <w:bookmarkEnd w:id="557"/>
      <w:bookmarkEnd w:id="558"/>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04D32145" w14:textId="77777777">
      <w:pPr>
        <w:pStyle w:val="BodyText"/>
        <w:spacing w:before="2"/>
        <w:rPr>
          <w:b/>
          <w:sz w:val="23"/>
        </w:rPr>
      </w:pPr>
    </w:p>
    <w:p w:rsidR="00C31389" w:rsidRDefault="00561FBD" w14:paraId="32B006DE" w14:textId="77777777">
      <w:pPr>
        <w:pStyle w:val="BodyText"/>
        <w:ind w:left="480" w:right="615"/>
      </w:pPr>
      <w:r>
        <w:t>After</w:t>
      </w:r>
      <w:r>
        <w:rPr>
          <w:spacing w:val="-5"/>
        </w:rPr>
        <w:t xml:space="preserve"> </w:t>
      </w:r>
      <w:r>
        <w:t>reviewing</w:t>
      </w:r>
      <w:r>
        <w:rPr>
          <w:spacing w:val="-5"/>
        </w:rPr>
        <w:t xml:space="preserve"> </w:t>
      </w:r>
      <w:r>
        <w:t>implementation</w:t>
      </w:r>
      <w:r>
        <w:rPr>
          <w:spacing w:val="-5"/>
        </w:rPr>
        <w:t xml:space="preserve"> </w:t>
      </w:r>
      <w:r>
        <w:t>activity</w:t>
      </w:r>
      <w:r>
        <w:rPr>
          <w:spacing w:val="-5"/>
        </w:rPr>
        <w:t xml:space="preserve"> </w:t>
      </w:r>
      <w:r>
        <w:t>and</w:t>
      </w:r>
      <w:r>
        <w:rPr>
          <w:spacing w:val="-5"/>
        </w:rPr>
        <w:t xml:space="preserve"> </w:t>
      </w:r>
      <w:r>
        <w:t>recently</w:t>
      </w:r>
      <w:r>
        <w:rPr>
          <w:spacing w:val="-5"/>
        </w:rPr>
        <w:t xml:space="preserve"> </w:t>
      </w:r>
      <w:r>
        <w:t>published</w:t>
      </w:r>
      <w:r>
        <w:rPr>
          <w:spacing w:val="-6"/>
        </w:rPr>
        <w:t xml:space="preserve"> </w:t>
      </w:r>
      <w:r>
        <w:t>California-specific</w:t>
      </w:r>
      <w:r>
        <w:rPr>
          <w:spacing w:val="-5"/>
        </w:rPr>
        <w:t xml:space="preserve"> </w:t>
      </w:r>
      <w:r>
        <w:t xml:space="preserve">data sources, no major updates were made to RCx in the 2023 Study. The methodology described here is </w:t>
      </w:r>
      <w:r>
        <w:t>unchanged from the 2021 Study.</w:t>
      </w:r>
    </w:p>
    <w:p w:rsidR="00C31389" w:rsidRDefault="00C31389" w14:paraId="26045255" w14:textId="77777777">
      <w:pPr>
        <w:pStyle w:val="BodyText"/>
        <w:spacing w:before="11"/>
        <w:rPr>
          <w:sz w:val="20"/>
        </w:rPr>
      </w:pPr>
    </w:p>
    <w:p w:rsidR="00C31389" w:rsidRDefault="00561FBD" w14:paraId="0ED75EFF" w14:textId="77777777">
      <w:pPr>
        <w:pStyle w:val="Heading7"/>
        <w:ind w:left="480"/>
      </w:pPr>
      <w:r>
        <w:t>Eligibility</w:t>
      </w:r>
      <w:r>
        <w:rPr>
          <w:spacing w:val="-8"/>
        </w:rPr>
        <w:t xml:space="preserve"> </w:t>
      </w:r>
      <w:r>
        <w:t>and</w:t>
      </w:r>
      <w:r>
        <w:rPr>
          <w:spacing w:val="-8"/>
        </w:rPr>
        <w:t xml:space="preserve"> </w:t>
      </w:r>
      <w:r>
        <w:rPr>
          <w:spacing w:val="-2"/>
        </w:rPr>
        <w:t>Participation</w:t>
      </w:r>
    </w:p>
    <w:p w:rsidR="00C31389" w:rsidRDefault="00C31389" w14:paraId="7764277D" w14:textId="77777777">
      <w:pPr>
        <w:pStyle w:val="BodyText"/>
        <w:spacing w:before="10"/>
        <w:rPr>
          <w:b/>
          <w:sz w:val="20"/>
        </w:rPr>
      </w:pPr>
    </w:p>
    <w:p w:rsidR="00C31389" w:rsidRDefault="00561FBD" w14:paraId="584BD1DB" w14:textId="77777777">
      <w:pPr>
        <w:pStyle w:val="BodyText"/>
        <w:ind w:left="480" w:right="418"/>
      </w:pPr>
      <w:r>
        <w:t>Consistent with previous studies, RCx savings are applied to select commercial market segments, and the applicability factor ranges from 18% to 91%. Consistent with the 2019 Study, the 2021 Stu</w:t>
      </w:r>
      <w:r>
        <w:t>dy adjusted the</w:t>
      </w:r>
      <w:r>
        <w:rPr>
          <w:spacing w:val="-1"/>
        </w:rPr>
        <w:t xml:space="preserve"> </w:t>
      </w:r>
      <w:r>
        <w:t>eligibility and participation estimates for RCx to exclude BEIMS achievable potential and buildings built after 2011 when commissioning became a requirement</w:t>
      </w:r>
      <w:r>
        <w:rPr>
          <w:spacing w:val="-4"/>
        </w:rPr>
        <w:t xml:space="preserve"> </w:t>
      </w:r>
      <w:r>
        <w:t>under</w:t>
      </w:r>
      <w:r>
        <w:rPr>
          <w:spacing w:val="-4"/>
        </w:rPr>
        <w:t xml:space="preserve"> </w:t>
      </w:r>
      <w:r>
        <w:t>CalGreen.</w:t>
      </w:r>
      <w:r>
        <w:rPr>
          <w:spacing w:val="-4"/>
        </w:rPr>
        <w:t xml:space="preserve"> </w:t>
      </w:r>
      <w:r>
        <w:t>Guidehouse</w:t>
      </w:r>
      <w:r>
        <w:rPr>
          <w:spacing w:val="-4"/>
        </w:rPr>
        <w:t xml:space="preserve"> </w:t>
      </w:r>
      <w:r>
        <w:t>estimated</w:t>
      </w:r>
      <w:r>
        <w:rPr>
          <w:spacing w:val="-4"/>
        </w:rPr>
        <w:t xml:space="preserve"> </w:t>
      </w:r>
      <w:r>
        <w:t>that</w:t>
      </w:r>
      <w:r>
        <w:rPr>
          <w:spacing w:val="-4"/>
        </w:rPr>
        <w:t xml:space="preserve"> </w:t>
      </w:r>
      <w:r>
        <w:t>approximately</w:t>
      </w:r>
      <w:r>
        <w:rPr>
          <w:spacing w:val="-5"/>
        </w:rPr>
        <w:t xml:space="preserve"> </w:t>
      </w:r>
      <w:r>
        <w:t>92%</w:t>
      </w:r>
      <w:r>
        <w:rPr>
          <w:spacing w:val="-4"/>
        </w:rPr>
        <w:t xml:space="preserve"> </w:t>
      </w:r>
      <w:r>
        <w:t>of</w:t>
      </w:r>
      <w:r>
        <w:rPr>
          <w:spacing w:val="-4"/>
        </w:rPr>
        <w:t xml:space="preserve"> </w:t>
      </w:r>
      <w:r>
        <w:t xml:space="preserve">commercial </w:t>
      </w:r>
      <w:r>
        <w:t>building stock was constructed before 2011. Excluding market savings from BEIMS is intended to reduce the risk of double counting savings because the EMS technologies</w:t>
      </w:r>
    </w:p>
    <w:p w:rsidR="00C31389" w:rsidRDefault="00C31389" w14:paraId="6FBEAAAD" w14:textId="77777777">
      <w:pPr>
        <w:pStyle w:val="BodyText"/>
        <w:rPr>
          <w:sz w:val="20"/>
        </w:rPr>
      </w:pPr>
    </w:p>
    <w:p w:rsidR="00C31389" w:rsidRDefault="00561FBD" w14:paraId="00A6B32D" w14:textId="77777777">
      <w:pPr>
        <w:pStyle w:val="BodyText"/>
        <w:spacing w:before="5"/>
        <w:rPr>
          <w:sz w:val="11"/>
        </w:rPr>
      </w:pPr>
      <w:r>
        <w:rPr>
          <w:noProof/>
        </w:rPr>
        <mc:AlternateContent>
          <mc:Choice Requires="wps">
            <w:drawing>
              <wp:anchor distT="0" distB="0" distL="0" distR="0" simplePos="0" relativeHeight="487729664" behindDoc="1" locked="0" layoutInCell="1" allowOverlap="1" wp14:editId="288F2D83" wp14:anchorId="0FC2359B">
                <wp:simplePos x="0" y="0"/>
                <wp:positionH relativeFrom="page">
                  <wp:posOffset>914400</wp:posOffset>
                </wp:positionH>
                <wp:positionV relativeFrom="paragraph">
                  <wp:posOffset>99109</wp:posOffset>
                </wp:positionV>
                <wp:extent cx="1828800" cy="6985"/>
                <wp:effectExtent l="0" t="0" r="0" b="0"/>
                <wp:wrapTopAndBottom/>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52" style="position:absolute;margin-left:1in;margin-top:7.8pt;width:2in;height:.55pt;z-index:-1558681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" w14:anchorId="5EA569C2">
                <v:path arrowok="t"/>
                <w10:wrap type="topAndBottom" anchorx="page"/>
              </v:shape>
            </w:pict>
          </mc:Fallback>
        </mc:AlternateContent>
      </w:r>
    </w:p>
    <w:p w:rsidR="00C31389" w:rsidRDefault="00561FBD" w14:paraId="1634706F" w14:textId="77777777">
      <w:pPr>
        <w:spacing w:before="89"/>
        <w:ind w:left="480"/>
        <w:rPr>
          <w:sz w:val="18"/>
        </w:rPr>
      </w:pPr>
      <w:bookmarkStart w:name="_bookmark428" w:id="559"/>
      <w:bookmarkEnd w:id="559"/>
      <w:r>
        <w:rPr>
          <w:position w:val="6"/>
          <w:sz w:val="12"/>
        </w:rPr>
        <w:t>168</w:t>
      </w:r>
      <w:r>
        <w:rPr>
          <w:spacing w:val="13"/>
          <w:position w:val="6"/>
          <w:sz w:val="12"/>
        </w:rPr>
        <w:t xml:space="preserve"> </w:t>
      </w:r>
      <w:r>
        <w:rPr>
          <w:sz w:val="18"/>
        </w:rPr>
        <w:t>Program</w:t>
      </w:r>
      <w:r>
        <w:rPr>
          <w:spacing w:val="-4"/>
          <w:sz w:val="18"/>
        </w:rPr>
        <w:t xml:space="preserve"> </w:t>
      </w:r>
      <w:r>
        <w:rPr>
          <w:sz w:val="18"/>
        </w:rPr>
        <w:t>ID:</w:t>
      </w:r>
      <w:r>
        <w:rPr>
          <w:spacing w:val="-3"/>
          <w:sz w:val="18"/>
        </w:rPr>
        <w:t xml:space="preserve"> </w:t>
      </w:r>
      <w:r>
        <w:rPr>
          <w:sz w:val="18"/>
        </w:rPr>
        <w:t>SCE-13-TP-</w:t>
      </w:r>
      <w:r>
        <w:rPr>
          <w:spacing w:val="-5"/>
          <w:sz w:val="18"/>
        </w:rPr>
        <w:t>021</w:t>
      </w:r>
    </w:p>
    <w:p w:rsidR="00C31389" w:rsidRDefault="00561FBD" w14:paraId="74CA16CF" w14:textId="77777777">
      <w:pPr>
        <w:spacing w:before="36"/>
        <w:ind w:left="480"/>
        <w:rPr>
          <w:sz w:val="18"/>
        </w:rPr>
      </w:pPr>
      <w:bookmarkStart w:name="_bookmark429" w:id="560"/>
      <w:bookmarkEnd w:id="560"/>
      <w:r>
        <w:rPr>
          <w:position w:val="6"/>
          <w:sz w:val="12"/>
        </w:rPr>
        <w:t>169</w:t>
      </w:r>
      <w:r>
        <w:rPr>
          <w:spacing w:val="14"/>
          <w:position w:val="6"/>
          <w:sz w:val="12"/>
        </w:rPr>
        <w:t xml:space="preserve"> </w:t>
      </w:r>
      <w:r>
        <w:rPr>
          <w:sz w:val="18"/>
        </w:rPr>
        <w:t>Program</w:t>
      </w:r>
      <w:r>
        <w:rPr>
          <w:spacing w:val="-2"/>
          <w:sz w:val="18"/>
        </w:rPr>
        <w:t xml:space="preserve"> </w:t>
      </w:r>
      <w:r>
        <w:rPr>
          <w:sz w:val="18"/>
        </w:rPr>
        <w:t>ID:</w:t>
      </w:r>
      <w:r>
        <w:rPr>
          <w:spacing w:val="-2"/>
          <w:sz w:val="18"/>
        </w:rPr>
        <w:t xml:space="preserve"> SDGE3317</w:t>
      </w:r>
    </w:p>
    <w:p w:rsidR="00C31389" w:rsidRDefault="00C31389" w14:paraId="07D9E94B" w14:textId="77777777">
      <w:pPr>
        <w:rPr>
          <w:sz w:val="18"/>
        </w:rPr>
        <w:sectPr w:rsidR="00C31389">
          <w:headerReference w:type="default" r:id="rId287"/>
          <w:footerReference w:type="default" r:id="rId288"/>
          <w:pgSz w:w="11910" w:h="16840"/>
          <w:pgMar w:top="1380" w:right="1020" w:bottom="1120" w:left="960" w:header="397" w:footer="938" w:gutter="0"/>
          <w:cols w:space="720"/>
        </w:sectPr>
      </w:pPr>
    </w:p>
    <w:p w:rsidR="00C31389" w:rsidRDefault="00C31389" w14:paraId="4DD79546" w14:textId="77777777">
      <w:pPr>
        <w:pStyle w:val="BodyText"/>
        <w:spacing w:before="11"/>
        <w:rPr>
          <w:sz w:val="13"/>
        </w:rPr>
      </w:pPr>
    </w:p>
    <w:p w:rsidR="00C31389" w:rsidRDefault="00561FBD" w14:paraId="62866CA7" w14:textId="77777777">
      <w:pPr>
        <w:pStyle w:val="BodyText"/>
        <w:spacing w:before="92"/>
        <w:ind w:left="480" w:right="418"/>
      </w:pPr>
      <w:r>
        <w:t>inherent</w:t>
      </w:r>
      <w:r>
        <w:rPr>
          <w:spacing w:val="-4"/>
        </w:rPr>
        <w:t xml:space="preserve"> </w:t>
      </w:r>
      <w:r>
        <w:t>in</w:t>
      </w:r>
      <w:r>
        <w:rPr>
          <w:spacing w:val="-4"/>
        </w:rPr>
        <w:t xml:space="preserve"> </w:t>
      </w:r>
      <w:r>
        <w:t>the</w:t>
      </w:r>
      <w:r>
        <w:rPr>
          <w:spacing w:val="-4"/>
        </w:rPr>
        <w:t xml:space="preserve"> </w:t>
      </w:r>
      <w:r>
        <w:t>BEIMS</w:t>
      </w:r>
      <w:r>
        <w:rPr>
          <w:spacing w:val="-3"/>
        </w:rPr>
        <w:t xml:space="preserve"> </w:t>
      </w:r>
      <w:r>
        <w:t>measure</w:t>
      </w:r>
      <w:r>
        <w:rPr>
          <w:spacing w:val="-4"/>
        </w:rPr>
        <w:t xml:space="preserve"> </w:t>
      </w:r>
      <w:r>
        <w:t>allow</w:t>
      </w:r>
      <w:r>
        <w:rPr>
          <w:spacing w:val="-5"/>
        </w:rPr>
        <w:t xml:space="preserve"> </w:t>
      </w:r>
      <w:r>
        <w:t>for</w:t>
      </w:r>
      <w:r>
        <w:rPr>
          <w:spacing w:val="-4"/>
        </w:rPr>
        <w:t xml:space="preserve"> </w:t>
      </w:r>
      <w:r>
        <w:t>continuous</w:t>
      </w:r>
      <w:r>
        <w:rPr>
          <w:spacing w:val="-4"/>
        </w:rPr>
        <w:t xml:space="preserve"> </w:t>
      </w:r>
      <w:r>
        <w:t>commissioning</w:t>
      </w:r>
      <w:r>
        <w:rPr>
          <w:spacing w:val="-4"/>
        </w:rPr>
        <w:t xml:space="preserve"> </w:t>
      </w:r>
      <w:r>
        <w:t>that</w:t>
      </w:r>
      <w:r>
        <w:rPr>
          <w:spacing w:val="-4"/>
        </w:rPr>
        <w:t xml:space="preserve"> </w:t>
      </w:r>
      <w:r>
        <w:t>would</w:t>
      </w:r>
      <w:r>
        <w:rPr>
          <w:spacing w:val="-4"/>
        </w:rPr>
        <w:t xml:space="preserve"> </w:t>
      </w:r>
      <w:r>
        <w:t>exclude commissioning activities defined in the RCx measure.</w:t>
      </w:r>
    </w:p>
    <w:p w:rsidR="00C31389" w:rsidRDefault="00C31389" w14:paraId="5A0334C8" w14:textId="77777777">
      <w:pPr>
        <w:pStyle w:val="BodyText"/>
        <w:spacing w:before="9"/>
        <w:rPr>
          <w:sz w:val="20"/>
        </w:rPr>
      </w:pPr>
    </w:p>
    <w:p w:rsidR="00C31389" w:rsidRDefault="00561FBD" w14:paraId="480CCEFF" w14:textId="77777777">
      <w:pPr>
        <w:pStyle w:val="BodyText"/>
        <w:spacing w:before="1"/>
        <w:ind w:left="480" w:right="418"/>
      </w:pPr>
      <w:r>
        <w:t xml:space="preserve">The </w:t>
      </w:r>
      <w:r>
        <w:t>model assumes that RCx program interventions in the commercial market have been ongoing</w:t>
      </w:r>
      <w:r>
        <w:rPr>
          <w:spacing w:val="-3"/>
        </w:rPr>
        <w:t xml:space="preserve"> </w:t>
      </w:r>
      <w:r>
        <w:t>since</w:t>
      </w:r>
      <w:r>
        <w:rPr>
          <w:spacing w:val="-3"/>
        </w:rPr>
        <w:t xml:space="preserve"> </w:t>
      </w:r>
      <w:r>
        <w:t>the</w:t>
      </w:r>
      <w:r>
        <w:rPr>
          <w:spacing w:val="-3"/>
        </w:rPr>
        <w:t xml:space="preserve"> </w:t>
      </w:r>
      <w:r>
        <w:t>2015</w:t>
      </w:r>
      <w:r>
        <w:rPr>
          <w:spacing w:val="-4"/>
        </w:rPr>
        <w:t xml:space="preserve"> </w:t>
      </w:r>
      <w:r>
        <w:t>Study</w:t>
      </w:r>
      <w:r>
        <w:rPr>
          <w:spacing w:val="-3"/>
        </w:rPr>
        <w:t xml:space="preserve"> </w:t>
      </w:r>
      <w:r>
        <w:t>(though</w:t>
      </w:r>
      <w:r>
        <w:rPr>
          <w:spacing w:val="-3"/>
        </w:rPr>
        <w:t xml:space="preserve"> </w:t>
      </w:r>
      <w:r>
        <w:t>SCG</w:t>
      </w:r>
      <w:r>
        <w:rPr>
          <w:spacing w:val="-3"/>
        </w:rPr>
        <w:t xml:space="preserve"> </w:t>
      </w:r>
      <w:r>
        <w:t>does</w:t>
      </w:r>
      <w:r>
        <w:rPr>
          <w:spacing w:val="-3"/>
        </w:rPr>
        <w:t xml:space="preserve"> </w:t>
      </w:r>
      <w:r>
        <w:t>not</w:t>
      </w:r>
      <w:r>
        <w:rPr>
          <w:spacing w:val="-3"/>
        </w:rPr>
        <w:t xml:space="preserve"> </w:t>
      </w:r>
      <w:r>
        <w:t>claim</w:t>
      </w:r>
      <w:r>
        <w:rPr>
          <w:spacing w:val="-4"/>
        </w:rPr>
        <w:t xml:space="preserve"> </w:t>
      </w:r>
      <w:r>
        <w:t>savings</w:t>
      </w:r>
      <w:r>
        <w:rPr>
          <w:spacing w:val="-3"/>
        </w:rPr>
        <w:t xml:space="preserve"> </w:t>
      </w:r>
      <w:r>
        <w:t>until</w:t>
      </w:r>
      <w:r>
        <w:rPr>
          <w:spacing w:val="-4"/>
        </w:rPr>
        <w:t xml:space="preserve"> </w:t>
      </w:r>
      <w:r>
        <w:t>2018),</w:t>
      </w:r>
      <w:r>
        <w:rPr>
          <w:spacing w:val="-3"/>
        </w:rPr>
        <w:t xml:space="preserve"> </w:t>
      </w:r>
      <w:r>
        <w:t>and</w:t>
      </w:r>
      <w:r>
        <w:rPr>
          <w:spacing w:val="-3"/>
        </w:rPr>
        <w:t xml:space="preserve"> </w:t>
      </w:r>
      <w:r>
        <w:t>the</w:t>
      </w:r>
      <w:r>
        <w:rPr>
          <w:spacing w:val="-3"/>
        </w:rPr>
        <w:t xml:space="preserve"> </w:t>
      </w:r>
      <w:r>
        <w:t xml:space="preserve">team used a CAGR to forecast growth in participation over the forecast horizon </w:t>
      </w:r>
      <w:r>
        <w:t>through 2032. A 3.1% CAGR was used to forecast growth in RCx. Recommissioning is anticipated in 25% of RCx participants after 5 years, and re-participation is discounted by 25% to avoid double counting of savings influenced by other programs such as BOC an</w:t>
      </w:r>
      <w:r>
        <w:t>d SEM. Low initial penetration of RCx results in forecast penetrations of 2.5% over the forecast horizon.</w:t>
      </w:r>
    </w:p>
    <w:p w:rsidR="00C31389" w:rsidRDefault="00C31389" w14:paraId="2E6DED85" w14:textId="77777777">
      <w:pPr>
        <w:pStyle w:val="BodyText"/>
        <w:spacing w:before="10"/>
        <w:rPr>
          <w:sz w:val="20"/>
        </w:rPr>
      </w:pPr>
    </w:p>
    <w:p w:rsidR="00C31389" w:rsidRDefault="00561FBD" w14:paraId="4A3DDBD6" w14:textId="77777777">
      <w:pPr>
        <w:pStyle w:val="Heading7"/>
        <w:ind w:left="480"/>
      </w:pPr>
      <w:r>
        <w:rPr>
          <w:spacing w:val="-2"/>
        </w:rPr>
        <w:t>Savings</w:t>
      </w:r>
    </w:p>
    <w:p w:rsidR="00C31389" w:rsidRDefault="00C31389" w14:paraId="42277663" w14:textId="77777777">
      <w:pPr>
        <w:pStyle w:val="BodyText"/>
        <w:spacing w:before="10"/>
        <w:rPr>
          <w:b/>
          <w:sz w:val="20"/>
        </w:rPr>
      </w:pPr>
    </w:p>
    <w:p w:rsidR="00C31389" w:rsidRDefault="00561FBD" w14:paraId="7EF57F0A" w14:textId="77777777">
      <w:pPr>
        <w:pStyle w:val="BodyText"/>
        <w:ind w:left="480" w:right="418"/>
      </w:pPr>
      <w:r>
        <w:t>Consistent</w:t>
      </w:r>
      <w:r>
        <w:rPr>
          <w:spacing w:val="-4"/>
        </w:rPr>
        <w:t xml:space="preserve"> </w:t>
      </w:r>
      <w:r>
        <w:t>with</w:t>
      </w:r>
      <w:r>
        <w:rPr>
          <w:spacing w:val="-3"/>
        </w:rPr>
        <w:t xml:space="preserve"> </w:t>
      </w:r>
      <w:r>
        <w:t>past</w:t>
      </w:r>
      <w:r>
        <w:rPr>
          <w:spacing w:val="-3"/>
        </w:rPr>
        <w:t xml:space="preserve"> </w:t>
      </w:r>
      <w:r>
        <w:t>studies,</w:t>
      </w:r>
      <w:r>
        <w:rPr>
          <w:spacing w:val="-3"/>
        </w:rPr>
        <w:t xml:space="preserve"> </w:t>
      </w:r>
      <w:r>
        <w:t>energy</w:t>
      </w:r>
      <w:r>
        <w:rPr>
          <w:spacing w:val="-4"/>
        </w:rPr>
        <w:t xml:space="preserve"> </w:t>
      </w:r>
      <w:r>
        <w:t>savings</w:t>
      </w:r>
      <w:r>
        <w:rPr>
          <w:spacing w:val="-4"/>
        </w:rPr>
        <w:t xml:space="preserve"> </w:t>
      </w:r>
      <w:r>
        <w:t>associated</w:t>
      </w:r>
      <w:r>
        <w:rPr>
          <w:spacing w:val="-3"/>
        </w:rPr>
        <w:t xml:space="preserve"> </w:t>
      </w:r>
      <w:r>
        <w:t>with</w:t>
      </w:r>
      <w:r>
        <w:rPr>
          <w:spacing w:val="-4"/>
        </w:rPr>
        <w:t xml:space="preserve"> </w:t>
      </w:r>
      <w:r>
        <w:t>RCx</w:t>
      </w:r>
      <w:r>
        <w:rPr>
          <w:spacing w:val="-3"/>
        </w:rPr>
        <w:t xml:space="preserve"> </w:t>
      </w:r>
      <w:r>
        <w:t>are</w:t>
      </w:r>
      <w:r>
        <w:rPr>
          <w:spacing w:val="-3"/>
        </w:rPr>
        <w:t xml:space="preserve"> </w:t>
      </w:r>
      <w:r>
        <w:t>calculated</w:t>
      </w:r>
      <w:r>
        <w:rPr>
          <w:spacing w:val="-3"/>
        </w:rPr>
        <w:t xml:space="preserve"> </w:t>
      </w:r>
      <w:r>
        <w:t xml:space="preserve">using </w:t>
      </w:r>
      <w:hyperlink w:history="1" w:anchor="_bookmark430">
        <w:r>
          <w:t>Equation D-4</w:t>
        </w:r>
      </w:hyperlink>
      <w:r>
        <w:t>.</w:t>
      </w:r>
    </w:p>
    <w:p w:rsidR="00C31389" w:rsidRDefault="00C31389" w14:paraId="2B17A2FD" w14:textId="77777777">
      <w:pPr>
        <w:pStyle w:val="BodyText"/>
        <w:spacing w:before="11"/>
        <w:rPr>
          <w:sz w:val="20"/>
        </w:rPr>
      </w:pPr>
    </w:p>
    <w:p w:rsidR="00C31389" w:rsidRDefault="00561FBD" w14:paraId="44D47D3B" w14:textId="77777777">
      <w:pPr>
        <w:pStyle w:val="Heading7"/>
        <w:ind w:left="398" w:right="340"/>
        <w:jc w:val="center"/>
      </w:pPr>
      <w:bookmarkStart w:name="_bookmark430" w:id="561"/>
      <w:bookmarkEnd w:id="561"/>
      <w:r>
        <w:t>Equation</w:t>
      </w:r>
      <w:r>
        <w:rPr>
          <w:spacing w:val="-8"/>
        </w:rPr>
        <w:t xml:space="preserve"> </w:t>
      </w:r>
      <w:r>
        <w:t>D-4.</w:t>
      </w:r>
      <w:r>
        <w:rPr>
          <w:spacing w:val="-8"/>
        </w:rPr>
        <w:t xml:space="preserve"> </w:t>
      </w:r>
      <w:r>
        <w:t>RCx</w:t>
      </w:r>
      <w:r>
        <w:rPr>
          <w:spacing w:val="-8"/>
        </w:rPr>
        <w:t xml:space="preserve"> </w:t>
      </w:r>
      <w:r>
        <w:t>Energy</w:t>
      </w:r>
      <w:r>
        <w:rPr>
          <w:spacing w:val="-8"/>
        </w:rPr>
        <w:t xml:space="preserve"> </w:t>
      </w:r>
      <w:r>
        <w:rPr>
          <w:spacing w:val="-2"/>
        </w:rPr>
        <w:t>Savings</w:t>
      </w:r>
    </w:p>
    <w:p w:rsidR="00C31389" w:rsidRDefault="00561FBD" w14:paraId="26D5188D" w14:textId="77777777">
      <w:pPr>
        <w:pStyle w:val="Heading6"/>
        <w:spacing w:line="230" w:lineRule="auto"/>
        <w:ind w:right="418" w:hanging="1"/>
      </w:pPr>
      <w:r>
        <w:t>Energy</w:t>
      </w:r>
      <w:r>
        <w:rPr>
          <w:spacing w:val="-9"/>
        </w:rPr>
        <w:t xml:space="preserve"> </w:t>
      </w:r>
      <w:r>
        <w:t>Savings,</w:t>
      </w:r>
      <w:r>
        <w:rPr>
          <w:spacing w:val="-9"/>
        </w:rPr>
        <w:t xml:space="preserve"> </w:t>
      </w:r>
      <w:r>
        <w:t>RCx</w:t>
      </w:r>
      <w:r>
        <w:rPr>
          <w:spacing w:val="-8"/>
        </w:rPr>
        <w:t xml:space="preserve"> </w:t>
      </w:r>
      <w:r>
        <w:t>=</w:t>
      </w:r>
      <w:r>
        <w:rPr>
          <w:spacing w:val="-9"/>
        </w:rPr>
        <w:t xml:space="preserve"> </w:t>
      </w:r>
      <w:r>
        <w:t>Penetration</w:t>
      </w:r>
      <w:r>
        <w:rPr>
          <w:spacing w:val="-9"/>
        </w:rPr>
        <w:t xml:space="preserve"> </w:t>
      </w:r>
      <w:r>
        <w:t>of</w:t>
      </w:r>
      <w:r>
        <w:rPr>
          <w:spacing w:val="-8"/>
        </w:rPr>
        <w:t xml:space="preserve"> </w:t>
      </w:r>
      <w:r>
        <w:t>RCx</w:t>
      </w:r>
      <w:r>
        <w:rPr>
          <w:spacing w:val="-8"/>
        </w:rPr>
        <w:t xml:space="preserve"> </w:t>
      </w:r>
      <w:r>
        <w:t>by</w:t>
      </w:r>
      <w:r>
        <w:rPr>
          <w:spacing w:val="-9"/>
        </w:rPr>
        <w:t xml:space="preserve"> </w:t>
      </w:r>
      <w:r>
        <w:t>Building</w:t>
      </w:r>
      <w:r>
        <w:rPr>
          <w:spacing w:val="-10"/>
        </w:rPr>
        <w:t xml:space="preserve"> </w:t>
      </w:r>
      <w:r>
        <w:t>Type</w:t>
      </w:r>
      <w:r>
        <w:rPr>
          <w:spacing w:val="-9"/>
        </w:rPr>
        <w:t xml:space="preserve"> </w:t>
      </w:r>
      <w:r>
        <w:t>x</w:t>
      </w:r>
      <w:r>
        <w:rPr>
          <w:spacing w:val="-8"/>
        </w:rPr>
        <w:t xml:space="preserve"> </w:t>
      </w:r>
      <w:r>
        <w:t>Total</w:t>
      </w:r>
      <w:r>
        <w:rPr>
          <w:spacing w:val="-9"/>
        </w:rPr>
        <w:t xml:space="preserve"> </w:t>
      </w:r>
      <w:r>
        <w:t>Annual</w:t>
      </w:r>
      <w:r>
        <w:rPr>
          <w:spacing w:val="-8"/>
        </w:rPr>
        <w:t xml:space="preserve"> </w:t>
      </w:r>
      <w:r>
        <w:t>Consumption x % End Use Consumption for HVAC x % End Use Savings by Buil</w:t>
      </w:r>
      <w:r>
        <w:t>ding Type</w:t>
      </w:r>
    </w:p>
    <w:p w:rsidR="00C31389" w:rsidRDefault="00C31389" w14:paraId="581BA413" w14:textId="77777777">
      <w:pPr>
        <w:pStyle w:val="BodyText"/>
        <w:spacing w:before="3"/>
        <w:rPr>
          <w:rFonts w:ascii="Cambria"/>
          <w:i/>
          <w:sz w:val="20"/>
        </w:rPr>
      </w:pPr>
    </w:p>
    <w:p w:rsidR="00C31389" w:rsidRDefault="00561FBD" w14:paraId="3772585A" w14:textId="77777777">
      <w:pPr>
        <w:pStyle w:val="BodyText"/>
        <w:spacing w:before="1"/>
        <w:ind w:left="479" w:right="434"/>
      </w:pPr>
      <w:r>
        <w:t>The percentage of end use consumption for HVAC</w:t>
      </w:r>
      <w:r>
        <w:rPr>
          <w:spacing w:val="-1"/>
        </w:rPr>
        <w:t xml:space="preserve"> </w:t>
      </w:r>
      <w:r>
        <w:t>systems affected by RCx is based</w:t>
      </w:r>
      <w:r>
        <w:rPr>
          <w:spacing w:val="-1"/>
        </w:rPr>
        <w:t xml:space="preserve"> </w:t>
      </w:r>
      <w:r>
        <w:t>on the 2009 CEUS, while the end use savings by building type is based on literature reviewed for the 2015 and 2018 studies.</w:t>
      </w:r>
      <w:hyperlink w:history="1" w:anchor="_bookmark433">
        <w:r>
          <w:rPr>
            <w:position w:val="7"/>
            <w:sz w:val="14"/>
          </w:rPr>
          <w:t>170</w:t>
        </w:r>
      </w:hyperlink>
      <w:r>
        <w:rPr>
          <w:position w:val="7"/>
          <w:sz w:val="14"/>
        </w:rPr>
        <w:t>,</w:t>
      </w:r>
      <w:hyperlink w:history="1" w:anchor="_bookmark434">
        <w:r>
          <w:rPr>
            <w:position w:val="7"/>
            <w:sz w:val="14"/>
          </w:rPr>
          <w:t>171</w:t>
        </w:r>
      </w:hyperlink>
      <w:r>
        <w:rPr>
          <w:position w:val="7"/>
          <w:sz w:val="14"/>
        </w:rPr>
        <w:t>,</w:t>
      </w:r>
      <w:hyperlink w:history="1" w:anchor="_bookmark435">
        <w:r>
          <w:rPr>
            <w:position w:val="7"/>
            <w:sz w:val="14"/>
          </w:rPr>
          <w:t>172</w:t>
        </w:r>
      </w:hyperlink>
      <w:r>
        <w:rPr>
          <w:spacing w:val="32"/>
          <w:position w:val="7"/>
          <w:sz w:val="14"/>
        </w:rPr>
        <w:t xml:space="preserve"> </w:t>
      </w:r>
      <w:r>
        <w:t xml:space="preserve">Savings for offices, colleges, and schools were </w:t>
      </w:r>
      <w:r>
        <w:t>capped at 5% to reflect feedback from SCE on its experience.</w:t>
      </w:r>
      <w:hyperlink w:history="1" w:anchor="_bookmark436">
        <w:r>
          <w:rPr>
            <w:position w:val="7"/>
            <w:sz w:val="14"/>
          </w:rPr>
          <w:t>173</w:t>
        </w:r>
      </w:hyperlink>
      <w:r>
        <w:rPr>
          <w:spacing w:val="25"/>
          <w:position w:val="7"/>
          <w:sz w:val="14"/>
        </w:rPr>
        <w:t xml:space="preserve"> </w:t>
      </w:r>
      <w:r>
        <w:t>The model uses an EUL of 3 years per CPUC Decision 16-08-019. A ratio of kW to kWh of 0.000112 was applied to the three electr</w:t>
      </w:r>
      <w:r>
        <w:t>ic</w:t>
      </w:r>
      <w:r>
        <w:rPr>
          <w:spacing w:val="-3"/>
        </w:rPr>
        <w:t xml:space="preserve"> </w:t>
      </w:r>
      <w:r>
        <w:t>utilities</w:t>
      </w:r>
      <w:r>
        <w:rPr>
          <w:spacing w:val="-3"/>
        </w:rPr>
        <w:t xml:space="preserve"> </w:t>
      </w:r>
      <w:r>
        <w:t>based</w:t>
      </w:r>
      <w:r>
        <w:rPr>
          <w:spacing w:val="-3"/>
        </w:rPr>
        <w:t xml:space="preserve"> </w:t>
      </w:r>
      <w:r>
        <w:t>on</w:t>
      </w:r>
      <w:r>
        <w:rPr>
          <w:spacing w:val="-4"/>
        </w:rPr>
        <w:t xml:space="preserve"> </w:t>
      </w:r>
      <w:r>
        <w:t>an</w:t>
      </w:r>
      <w:r>
        <w:rPr>
          <w:spacing w:val="-3"/>
        </w:rPr>
        <w:t xml:space="preserve"> </w:t>
      </w:r>
      <w:r>
        <w:t>analysis</w:t>
      </w:r>
      <w:r>
        <w:rPr>
          <w:spacing w:val="-4"/>
        </w:rPr>
        <w:t xml:space="preserve"> </w:t>
      </w:r>
      <w:r>
        <w:t>of</w:t>
      </w:r>
      <w:r>
        <w:rPr>
          <w:spacing w:val="-3"/>
        </w:rPr>
        <w:t xml:space="preserve"> </w:t>
      </w:r>
      <w:r>
        <w:t>several</w:t>
      </w:r>
      <w:r>
        <w:rPr>
          <w:spacing w:val="-4"/>
        </w:rPr>
        <w:t xml:space="preserve"> </w:t>
      </w:r>
      <w:r>
        <w:t>statewide</w:t>
      </w:r>
      <w:r>
        <w:rPr>
          <w:spacing w:val="-3"/>
        </w:rPr>
        <w:t xml:space="preserve"> </w:t>
      </w:r>
      <w:r>
        <w:t>and</w:t>
      </w:r>
      <w:r>
        <w:rPr>
          <w:spacing w:val="-3"/>
        </w:rPr>
        <w:t xml:space="preserve"> </w:t>
      </w:r>
      <w:r>
        <w:t>third-party</w:t>
      </w:r>
      <w:r>
        <w:rPr>
          <w:spacing w:val="-4"/>
        </w:rPr>
        <w:t xml:space="preserve"> </w:t>
      </w:r>
      <w:r>
        <w:t>programs</w:t>
      </w:r>
      <w:r>
        <w:rPr>
          <w:spacing w:val="-3"/>
        </w:rPr>
        <w:t xml:space="preserve"> </w:t>
      </w:r>
      <w:r>
        <w:t>operating in California during the 2014-2015 portfolio cycle that included RCx-related initiatives.</w:t>
      </w:r>
    </w:p>
    <w:p w:rsidR="00C31389" w:rsidRDefault="00C31389" w14:paraId="38B43A4E" w14:textId="77777777">
      <w:pPr>
        <w:pStyle w:val="BodyText"/>
        <w:spacing w:before="10"/>
        <w:rPr>
          <w:sz w:val="20"/>
        </w:rPr>
      </w:pPr>
    </w:p>
    <w:p w:rsidR="00C31389" w:rsidRDefault="00561FBD" w14:paraId="752D925B" w14:textId="77777777">
      <w:pPr>
        <w:pStyle w:val="Heading7"/>
        <w:ind w:left="480"/>
      </w:pPr>
      <w:r>
        <w:rPr>
          <w:spacing w:val="-4"/>
        </w:rPr>
        <w:t>Cost</w:t>
      </w:r>
    </w:p>
    <w:p w:rsidR="00C31389" w:rsidRDefault="00C31389" w14:paraId="7054ACF5" w14:textId="77777777">
      <w:pPr>
        <w:pStyle w:val="BodyText"/>
        <w:spacing w:before="10"/>
        <w:rPr>
          <w:b/>
          <w:sz w:val="20"/>
        </w:rPr>
      </w:pPr>
    </w:p>
    <w:p w:rsidR="00C31389" w:rsidRDefault="00561FBD" w14:paraId="7B7C359A" w14:textId="77777777">
      <w:pPr>
        <w:pStyle w:val="BodyText"/>
        <w:ind w:left="480" w:right="418"/>
      </w:pPr>
      <w:r>
        <w:t>Costs</w:t>
      </w:r>
      <w:r>
        <w:rPr>
          <w:spacing w:val="-3"/>
        </w:rPr>
        <w:t xml:space="preserve"> </w:t>
      </w:r>
      <w:r>
        <w:t>for</w:t>
      </w:r>
      <w:r>
        <w:rPr>
          <w:spacing w:val="-3"/>
        </w:rPr>
        <w:t xml:space="preserve"> </w:t>
      </w:r>
      <w:r>
        <w:t>electricity</w:t>
      </w:r>
      <w:r>
        <w:rPr>
          <w:spacing w:val="-3"/>
        </w:rPr>
        <w:t xml:space="preserve"> </w:t>
      </w:r>
      <w:r>
        <w:t>and</w:t>
      </w:r>
      <w:r>
        <w:rPr>
          <w:spacing w:val="-4"/>
        </w:rPr>
        <w:t xml:space="preserve"> </w:t>
      </w:r>
      <w:r>
        <w:t>natural</w:t>
      </w:r>
      <w:r>
        <w:rPr>
          <w:spacing w:val="-3"/>
        </w:rPr>
        <w:t xml:space="preserve"> </w:t>
      </w:r>
      <w:r>
        <w:t>gas</w:t>
      </w:r>
      <w:r>
        <w:rPr>
          <w:spacing w:val="-4"/>
        </w:rPr>
        <w:t xml:space="preserve"> </w:t>
      </w:r>
      <w:r>
        <w:t>savings</w:t>
      </w:r>
      <w:r>
        <w:rPr>
          <w:spacing w:val="-4"/>
        </w:rPr>
        <w:t xml:space="preserve"> </w:t>
      </w:r>
      <w:r>
        <w:t>are</w:t>
      </w:r>
      <w:r>
        <w:rPr>
          <w:spacing w:val="-4"/>
        </w:rPr>
        <w:t xml:space="preserve"> </w:t>
      </w:r>
      <w:r>
        <w:t>estimated</w:t>
      </w:r>
      <w:r>
        <w:rPr>
          <w:spacing w:val="-3"/>
        </w:rPr>
        <w:t xml:space="preserve"> </w:t>
      </w:r>
      <w:r>
        <w:t>based</w:t>
      </w:r>
      <w:r>
        <w:rPr>
          <w:spacing w:val="-3"/>
        </w:rPr>
        <w:t xml:space="preserve"> </w:t>
      </w:r>
      <w:r>
        <w:t>on</w:t>
      </w:r>
      <w:r>
        <w:rPr>
          <w:spacing w:val="-3"/>
        </w:rPr>
        <w:t xml:space="preserve"> </w:t>
      </w:r>
      <w:r>
        <w:t>an</w:t>
      </w:r>
      <w:r>
        <w:rPr>
          <w:spacing w:val="-4"/>
        </w:rPr>
        <w:t xml:space="preserve"> </w:t>
      </w:r>
      <w:r>
        <w:t>analysis</w:t>
      </w:r>
      <w:r>
        <w:rPr>
          <w:spacing w:val="-3"/>
        </w:rPr>
        <w:t xml:space="preserve"> </w:t>
      </w:r>
      <w:r>
        <w:t>of</w:t>
      </w:r>
      <w:r>
        <w:rPr>
          <w:spacing w:val="-3"/>
        </w:rPr>
        <w:t xml:space="preserve"> </w:t>
      </w:r>
      <w:r>
        <w:t>the</w:t>
      </w:r>
      <w:r>
        <w:rPr>
          <w:spacing w:val="-3"/>
        </w:rPr>
        <w:t xml:space="preserve"> </w:t>
      </w:r>
      <w:r>
        <w:t xml:space="preserve">same </w:t>
      </w:r>
      <w:bookmarkStart w:name="D.12_Industrial/Agriculture_–_SEM" w:id="562"/>
      <w:bookmarkStart w:name="_bookmark431" w:id="563"/>
      <w:bookmarkEnd w:id="562"/>
      <w:bookmarkEnd w:id="563"/>
      <w:r>
        <w:t>programs reviewed and referenced in previous studies.</w:t>
      </w:r>
    </w:p>
    <w:p w:rsidR="00C31389" w:rsidRDefault="00C31389" w14:paraId="672145DC" w14:textId="77777777">
      <w:pPr>
        <w:pStyle w:val="BodyText"/>
        <w:spacing w:before="11"/>
        <w:rPr>
          <w:sz w:val="20"/>
        </w:rPr>
      </w:pPr>
    </w:p>
    <w:p w:rsidR="00C31389" w:rsidRDefault="00561FBD" w14:paraId="0281FEF0" w14:textId="77777777">
      <w:pPr>
        <w:pStyle w:val="ListParagraph"/>
        <w:numPr>
          <w:ilvl w:val="1"/>
          <w:numId w:val="19"/>
        </w:numPr>
        <w:tabs>
          <w:tab w:val="left" w:pos="1147"/>
        </w:tabs>
        <w:ind w:left="1147" w:hanging="667"/>
        <w:rPr>
          <w:b/>
          <w:sz w:val="28"/>
        </w:rPr>
      </w:pPr>
      <w:r>
        <w:rPr>
          <w:b/>
          <w:sz w:val="28"/>
        </w:rPr>
        <w:t>Industrial/Agriculture</w:t>
      </w:r>
      <w:r>
        <w:rPr>
          <w:b/>
          <w:spacing w:val="-18"/>
          <w:sz w:val="28"/>
        </w:rPr>
        <w:t xml:space="preserve"> </w:t>
      </w:r>
      <w:r>
        <w:rPr>
          <w:b/>
          <w:sz w:val="28"/>
        </w:rPr>
        <w:t>–</w:t>
      </w:r>
      <w:r>
        <w:rPr>
          <w:b/>
          <w:spacing w:val="-18"/>
          <w:sz w:val="28"/>
        </w:rPr>
        <w:t xml:space="preserve"> </w:t>
      </w:r>
      <w:r>
        <w:rPr>
          <w:b/>
          <w:spacing w:val="-5"/>
          <w:sz w:val="28"/>
        </w:rPr>
        <w:t>SEM</w:t>
      </w:r>
    </w:p>
    <w:p w:rsidR="00C31389" w:rsidRDefault="00C31389" w14:paraId="501DF3E2" w14:textId="77777777">
      <w:pPr>
        <w:pStyle w:val="BodyText"/>
        <w:spacing w:before="3"/>
        <w:rPr>
          <w:b/>
          <w:sz w:val="31"/>
        </w:rPr>
      </w:pPr>
    </w:p>
    <w:p w:rsidR="00C31389" w:rsidRDefault="00561FBD" w14:paraId="282215DF" w14:textId="77777777">
      <w:pPr>
        <w:pStyle w:val="ListParagraph"/>
        <w:numPr>
          <w:ilvl w:val="2"/>
          <w:numId w:val="19"/>
        </w:numPr>
        <w:tabs>
          <w:tab w:val="left" w:pos="1196"/>
        </w:tabs>
        <w:ind w:left="1196" w:hanging="716"/>
        <w:rPr>
          <w:b/>
          <w:sz w:val="24"/>
        </w:rPr>
      </w:pPr>
      <w:bookmarkStart w:name="D.12.1_Summary" w:id="564"/>
      <w:bookmarkStart w:name="_bookmark432" w:id="565"/>
      <w:bookmarkEnd w:id="564"/>
      <w:bookmarkEnd w:id="565"/>
      <w:r>
        <w:rPr>
          <w:b/>
          <w:spacing w:val="-2"/>
          <w:sz w:val="24"/>
        </w:rPr>
        <w:t>Summary</w:t>
      </w:r>
    </w:p>
    <w:p w:rsidR="00C31389" w:rsidRDefault="00C31389" w14:paraId="3EADE4A7" w14:textId="77777777">
      <w:pPr>
        <w:pStyle w:val="BodyText"/>
        <w:spacing w:before="3"/>
        <w:rPr>
          <w:b/>
          <w:sz w:val="23"/>
        </w:rPr>
      </w:pPr>
    </w:p>
    <w:p w:rsidR="00C31389" w:rsidRDefault="00561FBD" w14:paraId="3029AFF0" w14:textId="77777777">
      <w:pPr>
        <w:pStyle w:val="BodyText"/>
        <w:ind w:left="480" w:right="479"/>
      </w:pPr>
      <w:r>
        <w:t>SEM</w:t>
      </w:r>
      <w:r>
        <w:rPr>
          <w:spacing w:val="-4"/>
        </w:rPr>
        <w:t xml:space="preserve"> </w:t>
      </w:r>
      <w:r>
        <w:t>in</w:t>
      </w:r>
      <w:r>
        <w:rPr>
          <w:spacing w:val="-3"/>
        </w:rPr>
        <w:t xml:space="preserve"> </w:t>
      </w:r>
      <w:r>
        <w:t>the</w:t>
      </w:r>
      <w:r>
        <w:rPr>
          <w:spacing w:val="-3"/>
        </w:rPr>
        <w:t xml:space="preserve"> </w:t>
      </w:r>
      <w:r>
        <w:t>industrial</w:t>
      </w:r>
      <w:r>
        <w:rPr>
          <w:spacing w:val="-3"/>
        </w:rPr>
        <w:t xml:space="preserve"> </w:t>
      </w:r>
      <w:r>
        <w:t>and</w:t>
      </w:r>
      <w:r>
        <w:rPr>
          <w:spacing w:val="-3"/>
        </w:rPr>
        <w:t xml:space="preserve"> </w:t>
      </w:r>
      <w:r>
        <w:t>agriculture</w:t>
      </w:r>
      <w:r>
        <w:rPr>
          <w:spacing w:val="-4"/>
        </w:rPr>
        <w:t xml:space="preserve"> </w:t>
      </w:r>
      <w:r>
        <w:t>sectors</w:t>
      </w:r>
      <w:r>
        <w:rPr>
          <w:spacing w:val="-4"/>
        </w:rPr>
        <w:t xml:space="preserve"> </w:t>
      </w:r>
      <w:r>
        <w:t>is</w:t>
      </w:r>
      <w:r>
        <w:rPr>
          <w:spacing w:val="-3"/>
        </w:rPr>
        <w:t xml:space="preserve"> </w:t>
      </w:r>
      <w:r>
        <w:t>a</w:t>
      </w:r>
      <w:r>
        <w:rPr>
          <w:spacing w:val="-4"/>
        </w:rPr>
        <w:t xml:space="preserve"> </w:t>
      </w:r>
      <w:r>
        <w:t>holistic</w:t>
      </w:r>
      <w:r>
        <w:rPr>
          <w:spacing w:val="-3"/>
        </w:rPr>
        <w:t xml:space="preserve"> </w:t>
      </w:r>
      <w:r>
        <w:t>approach</w:t>
      </w:r>
      <w:r>
        <w:rPr>
          <w:spacing w:val="-3"/>
        </w:rPr>
        <w:t xml:space="preserve"> </w:t>
      </w:r>
      <w:r>
        <w:t>to</w:t>
      </w:r>
      <w:r>
        <w:rPr>
          <w:spacing w:val="-3"/>
        </w:rPr>
        <w:t xml:space="preserve"> </w:t>
      </w:r>
      <w:r>
        <w:t>managing</w:t>
      </w:r>
      <w:r>
        <w:rPr>
          <w:spacing w:val="-3"/>
        </w:rPr>
        <w:t xml:space="preserve"> </w:t>
      </w:r>
      <w:r>
        <w:t>energy</w:t>
      </w:r>
      <w:r>
        <w:rPr>
          <w:spacing w:val="-3"/>
        </w:rPr>
        <w:t xml:space="preserve"> </w:t>
      </w:r>
      <w:r>
        <w:t xml:space="preserve">use that continuously improves </w:t>
      </w:r>
      <w:r>
        <w:t>energy performance based on various initiatives. SEM, per CPUC and California IOU design, is a continuous improvement approach that focuses on changing business practices to enable companies to save money by reducing energy consumption and waste. The indus</w:t>
      </w:r>
      <w:r>
        <w:t>trial sector SEM pilot program being administered by California IOUs served as the basis for this forecast. As defined in the California Industrial</w:t>
      </w:r>
    </w:p>
    <w:p w:rsidR="00C31389" w:rsidRDefault="00C31389" w14:paraId="4A4F58C9" w14:textId="77777777">
      <w:pPr>
        <w:pStyle w:val="BodyText"/>
        <w:rPr>
          <w:sz w:val="20"/>
        </w:rPr>
      </w:pPr>
    </w:p>
    <w:p w:rsidR="00C31389" w:rsidRDefault="00C31389" w14:paraId="610E059D" w14:textId="77777777">
      <w:pPr>
        <w:pStyle w:val="BodyText"/>
        <w:rPr>
          <w:sz w:val="20"/>
        </w:rPr>
      </w:pPr>
    </w:p>
    <w:p w:rsidR="00C31389" w:rsidRDefault="00C31389" w14:paraId="71FA35C5" w14:textId="77777777">
      <w:pPr>
        <w:pStyle w:val="BodyText"/>
        <w:rPr>
          <w:sz w:val="20"/>
        </w:rPr>
      </w:pPr>
    </w:p>
    <w:p w:rsidR="00C31389" w:rsidRDefault="00561FBD" w14:paraId="26EDA953" w14:textId="77777777">
      <w:pPr>
        <w:pStyle w:val="BodyText"/>
        <w:spacing w:before="8"/>
        <w:rPr>
          <w:sz w:val="12"/>
        </w:rPr>
      </w:pPr>
      <w:r>
        <w:rPr>
          <w:noProof/>
        </w:rPr>
        <mc:AlternateContent>
          <mc:Choice Requires="wps">
            <w:drawing>
              <wp:anchor distT="0" distB="0" distL="0" distR="0" simplePos="0" relativeHeight="487730176" behindDoc="1" locked="0" layoutInCell="1" allowOverlap="1" wp14:editId="6614A58C" wp14:anchorId="17D1C8E5">
                <wp:simplePos x="0" y="0"/>
                <wp:positionH relativeFrom="page">
                  <wp:posOffset>914400</wp:posOffset>
                </wp:positionH>
                <wp:positionV relativeFrom="paragraph">
                  <wp:posOffset>108487</wp:posOffset>
                </wp:positionV>
                <wp:extent cx="1828800" cy="6985"/>
                <wp:effectExtent l="0" t="0" r="0" b="0"/>
                <wp:wrapTopAndBottom/>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59" style="position:absolute;margin-left:1in;margin-top:8.55pt;width:2in;height:.55pt;z-index:-1558630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" w14:anchorId="0F6BF6C4">
                <v:path arrowok="t"/>
                <w10:wrap type="topAndBottom" anchorx="page"/>
              </v:shape>
            </w:pict>
          </mc:Fallback>
        </mc:AlternateContent>
      </w:r>
    </w:p>
    <w:p w:rsidR="00C31389" w:rsidRDefault="00561FBD" w14:paraId="06859838" w14:textId="77777777">
      <w:pPr>
        <w:spacing w:before="88"/>
        <w:ind w:left="480" w:right="2051"/>
        <w:rPr>
          <w:sz w:val="18"/>
        </w:rPr>
      </w:pPr>
      <w:bookmarkStart w:name="_bookmark433" w:id="566"/>
      <w:bookmarkEnd w:id="566"/>
      <w:r>
        <w:rPr>
          <w:position w:val="6"/>
          <w:sz w:val="12"/>
        </w:rPr>
        <w:t>170</w:t>
      </w:r>
      <w:r>
        <w:rPr>
          <w:spacing w:val="30"/>
          <w:position w:val="6"/>
          <w:sz w:val="12"/>
        </w:rPr>
        <w:t xml:space="preserve"> </w:t>
      </w:r>
      <w:r>
        <w:rPr>
          <w:sz w:val="18"/>
        </w:rPr>
        <w:t xml:space="preserve">2014 Retro-Commissioning (RCx) Program Extreme Makeover, CenterPoint Energy at </w:t>
      </w:r>
      <w:hyperlink r:id="rId289">
        <w:r>
          <w:rPr>
            <w:color w:val="68942C"/>
            <w:spacing w:val="-2"/>
            <w:sz w:val="18"/>
            <w:u w:val="single" w:color="68942C"/>
          </w:rPr>
          <w:t>http://www.centerpointenergy.com/en-us/Documents/2014%20RCx%20Kickoff%20Slide</w:t>
        </w:r>
        <w:r>
          <w:rPr>
            <w:color w:val="68942C"/>
            <w:spacing w:val="-2"/>
            <w:sz w:val="18"/>
            <w:u w:val="single" w:color="68942C"/>
          </w:rPr>
          <w:t>s.pdf</w:t>
        </w:r>
      </w:hyperlink>
    </w:p>
    <w:p w:rsidR="00C31389" w:rsidRDefault="00561FBD" w14:paraId="4E2D3F43" w14:textId="77777777">
      <w:pPr>
        <w:spacing w:before="37"/>
        <w:ind w:left="480" w:right="418"/>
        <w:rPr>
          <w:sz w:val="18"/>
        </w:rPr>
      </w:pPr>
      <w:bookmarkStart w:name="_bookmark434" w:id="567"/>
      <w:bookmarkEnd w:id="567"/>
      <w:r>
        <w:rPr>
          <w:position w:val="6"/>
          <w:sz w:val="12"/>
        </w:rPr>
        <w:t>171</w:t>
      </w:r>
      <w:r>
        <w:rPr>
          <w:spacing w:val="40"/>
          <w:position w:val="6"/>
          <w:sz w:val="12"/>
        </w:rPr>
        <w:t xml:space="preserve"> </w:t>
      </w:r>
      <w:r>
        <w:rPr>
          <w:sz w:val="18"/>
        </w:rPr>
        <w:t xml:space="preserve">US Environmental Protection Agency: </w:t>
      </w:r>
      <w:hyperlink r:id="rId290">
        <w:r>
          <w:rPr>
            <w:color w:val="68942C"/>
            <w:spacing w:val="-2"/>
            <w:sz w:val="18"/>
            <w:u w:val="single" w:color="68942C"/>
          </w:rPr>
          <w:t>http://www.epa.gov/statelocalclimate/documents/pdf/table_rules_of_thumb.pdf</w:t>
        </w:r>
      </w:hyperlink>
    </w:p>
    <w:p w:rsidR="00C31389" w:rsidRDefault="00561FBD" w14:paraId="38E0B98B" w14:textId="77777777">
      <w:pPr>
        <w:spacing w:before="37"/>
        <w:ind w:left="480"/>
        <w:rPr>
          <w:sz w:val="18"/>
        </w:rPr>
      </w:pPr>
      <w:bookmarkStart w:name="_bookmark435" w:id="568"/>
      <w:bookmarkEnd w:id="568"/>
      <w:r>
        <w:rPr>
          <w:position w:val="6"/>
          <w:sz w:val="12"/>
        </w:rPr>
        <w:t>172</w:t>
      </w:r>
      <w:r>
        <w:rPr>
          <w:spacing w:val="12"/>
          <w:position w:val="6"/>
          <w:sz w:val="12"/>
        </w:rPr>
        <w:t xml:space="preserve"> </w:t>
      </w:r>
      <w:r>
        <w:rPr>
          <w:sz w:val="18"/>
        </w:rPr>
        <w:t>DEER</w:t>
      </w:r>
      <w:r>
        <w:rPr>
          <w:spacing w:val="-3"/>
          <w:sz w:val="18"/>
        </w:rPr>
        <w:t xml:space="preserve"> </w:t>
      </w:r>
      <w:r>
        <w:rPr>
          <w:sz w:val="18"/>
        </w:rPr>
        <w:t>ExAnte2013</w:t>
      </w:r>
      <w:r>
        <w:rPr>
          <w:spacing w:val="-4"/>
          <w:sz w:val="18"/>
        </w:rPr>
        <w:t xml:space="preserve"> </w:t>
      </w:r>
      <w:r>
        <w:rPr>
          <w:sz w:val="18"/>
        </w:rPr>
        <w:t>-</w:t>
      </w:r>
      <w:r>
        <w:rPr>
          <w:spacing w:val="-2"/>
          <w:sz w:val="18"/>
        </w:rPr>
        <w:t xml:space="preserve"> </w:t>
      </w:r>
      <w:r>
        <w:rPr>
          <w:sz w:val="18"/>
        </w:rPr>
        <w:t>RTU-Retro,</w:t>
      </w:r>
      <w:r>
        <w:rPr>
          <w:spacing w:val="-3"/>
          <w:sz w:val="18"/>
        </w:rPr>
        <w:t xml:space="preserve"> </w:t>
      </w:r>
      <w:r>
        <w:rPr>
          <w:sz w:val="18"/>
        </w:rPr>
        <w:t>Rooftop</w:t>
      </w:r>
      <w:r>
        <w:rPr>
          <w:spacing w:val="-4"/>
          <w:sz w:val="18"/>
        </w:rPr>
        <w:t xml:space="preserve"> </w:t>
      </w:r>
      <w:r>
        <w:rPr>
          <w:sz w:val="18"/>
        </w:rPr>
        <w:t>Unit</w:t>
      </w:r>
      <w:r>
        <w:rPr>
          <w:spacing w:val="-2"/>
          <w:sz w:val="18"/>
        </w:rPr>
        <w:t xml:space="preserve"> </w:t>
      </w:r>
      <w:r>
        <w:rPr>
          <w:sz w:val="18"/>
        </w:rPr>
        <w:t>retrocommissioning</w:t>
      </w:r>
      <w:r>
        <w:rPr>
          <w:spacing w:val="-4"/>
          <w:sz w:val="18"/>
        </w:rPr>
        <w:t xml:space="preserve"> </w:t>
      </w:r>
      <w:r>
        <w:rPr>
          <w:sz w:val="18"/>
        </w:rPr>
        <w:t>COM</w:t>
      </w:r>
      <w:r>
        <w:rPr>
          <w:spacing w:val="-3"/>
          <w:sz w:val="18"/>
        </w:rPr>
        <w:t xml:space="preserve"> </w:t>
      </w:r>
      <w:r>
        <w:rPr>
          <w:sz w:val="18"/>
        </w:rPr>
        <w:t>IOU</w:t>
      </w:r>
      <w:r>
        <w:rPr>
          <w:spacing w:val="-2"/>
          <w:sz w:val="18"/>
        </w:rPr>
        <w:t xml:space="preserve"> workpaper</w:t>
      </w:r>
    </w:p>
    <w:p w:rsidR="00C31389" w:rsidRDefault="00561FBD" w14:paraId="203AD8EC" w14:textId="77777777">
      <w:pPr>
        <w:spacing w:before="36"/>
        <w:ind w:left="480"/>
        <w:rPr>
          <w:sz w:val="18"/>
        </w:rPr>
      </w:pPr>
      <w:bookmarkStart w:name="_bookmark436" w:id="569"/>
      <w:bookmarkEnd w:id="569"/>
      <w:r>
        <w:rPr>
          <w:position w:val="6"/>
          <w:sz w:val="12"/>
        </w:rPr>
        <w:t>173</w:t>
      </w:r>
      <w:r>
        <w:rPr>
          <w:spacing w:val="13"/>
          <w:position w:val="6"/>
          <w:sz w:val="12"/>
        </w:rPr>
        <w:t xml:space="preserve"> </w:t>
      </w:r>
      <w:r>
        <w:rPr>
          <w:sz w:val="18"/>
        </w:rPr>
        <w:t>Informal</w:t>
      </w:r>
      <w:r>
        <w:rPr>
          <w:spacing w:val="-2"/>
          <w:sz w:val="18"/>
        </w:rPr>
        <w:t xml:space="preserve"> </w:t>
      </w:r>
      <w:r>
        <w:rPr>
          <w:sz w:val="18"/>
        </w:rPr>
        <w:t>comment</w:t>
      </w:r>
      <w:r>
        <w:rPr>
          <w:spacing w:val="-2"/>
          <w:sz w:val="18"/>
        </w:rPr>
        <w:t xml:space="preserve"> </w:t>
      </w:r>
      <w:r>
        <w:rPr>
          <w:sz w:val="18"/>
        </w:rPr>
        <w:t>received</w:t>
      </w:r>
      <w:r>
        <w:rPr>
          <w:spacing w:val="-2"/>
          <w:sz w:val="18"/>
        </w:rPr>
        <w:t xml:space="preserve"> </w:t>
      </w:r>
      <w:r>
        <w:rPr>
          <w:sz w:val="18"/>
        </w:rPr>
        <w:t>in</w:t>
      </w:r>
      <w:r>
        <w:rPr>
          <w:spacing w:val="-3"/>
          <w:sz w:val="18"/>
        </w:rPr>
        <w:t xml:space="preserve"> </w:t>
      </w:r>
      <w:r>
        <w:rPr>
          <w:sz w:val="18"/>
        </w:rPr>
        <w:t>response</w:t>
      </w:r>
      <w:r>
        <w:rPr>
          <w:spacing w:val="-3"/>
          <w:sz w:val="18"/>
        </w:rPr>
        <w:t xml:space="preserve"> </w:t>
      </w:r>
      <w:r>
        <w:rPr>
          <w:sz w:val="18"/>
        </w:rPr>
        <w:t>to a</w:t>
      </w:r>
      <w:r>
        <w:rPr>
          <w:spacing w:val="-3"/>
          <w:sz w:val="18"/>
        </w:rPr>
        <w:t xml:space="preserve"> </w:t>
      </w:r>
      <w:r>
        <w:rPr>
          <w:sz w:val="18"/>
        </w:rPr>
        <w:t>webinar</w:t>
      </w:r>
      <w:r>
        <w:rPr>
          <w:spacing w:val="-2"/>
          <w:sz w:val="18"/>
        </w:rPr>
        <w:t xml:space="preserve"> </w:t>
      </w:r>
      <w:r>
        <w:rPr>
          <w:sz w:val="18"/>
        </w:rPr>
        <w:t>held</w:t>
      </w:r>
      <w:r>
        <w:rPr>
          <w:spacing w:val="-2"/>
          <w:sz w:val="18"/>
        </w:rPr>
        <w:t xml:space="preserve"> </w:t>
      </w:r>
      <w:r>
        <w:rPr>
          <w:sz w:val="18"/>
        </w:rPr>
        <w:t>on</w:t>
      </w:r>
      <w:r>
        <w:rPr>
          <w:spacing w:val="-3"/>
          <w:sz w:val="18"/>
        </w:rPr>
        <w:t xml:space="preserve"> </w:t>
      </w:r>
      <w:r>
        <w:rPr>
          <w:sz w:val="18"/>
        </w:rPr>
        <w:t>April</w:t>
      </w:r>
      <w:r>
        <w:rPr>
          <w:spacing w:val="-2"/>
          <w:sz w:val="18"/>
        </w:rPr>
        <w:t xml:space="preserve"> </w:t>
      </w:r>
      <w:r>
        <w:rPr>
          <w:sz w:val="18"/>
        </w:rPr>
        <w:t>20,</w:t>
      </w:r>
      <w:r>
        <w:rPr>
          <w:spacing w:val="-1"/>
          <w:sz w:val="18"/>
        </w:rPr>
        <w:t xml:space="preserve"> </w:t>
      </w:r>
      <w:r>
        <w:rPr>
          <w:spacing w:val="-2"/>
          <w:sz w:val="18"/>
        </w:rPr>
        <w:t>2017.</w:t>
      </w:r>
    </w:p>
    <w:p w:rsidR="00C31389" w:rsidRDefault="00C31389" w14:paraId="0CA09DE5" w14:textId="77777777">
      <w:pPr>
        <w:rPr>
          <w:sz w:val="18"/>
        </w:rPr>
        <w:sectPr w:rsidR="00C31389">
          <w:headerReference w:type="default" r:id="rId291"/>
          <w:footerReference w:type="default" r:id="rId292"/>
          <w:pgSz w:w="11910" w:h="16840"/>
          <w:pgMar w:top="1660" w:right="1020" w:bottom="1120" w:left="960" w:header="397" w:footer="938" w:gutter="0"/>
          <w:cols w:space="720"/>
        </w:sectPr>
      </w:pPr>
    </w:p>
    <w:p w:rsidR="00C31389" w:rsidRDefault="00C31389" w14:paraId="08D60A99" w14:textId="77777777">
      <w:pPr>
        <w:pStyle w:val="BodyText"/>
        <w:spacing w:before="11"/>
        <w:rPr>
          <w:sz w:val="13"/>
        </w:rPr>
      </w:pPr>
    </w:p>
    <w:p w:rsidR="00C31389" w:rsidRDefault="00561FBD" w14:paraId="16615019" w14:textId="77777777">
      <w:pPr>
        <w:pStyle w:val="BodyText"/>
        <w:spacing w:before="92"/>
        <w:ind w:left="480" w:right="434" w:hanging="1"/>
      </w:pPr>
      <w:r>
        <w:t>SEM</w:t>
      </w:r>
      <w:r>
        <w:rPr>
          <w:spacing w:val="-2"/>
        </w:rPr>
        <w:t xml:space="preserve"> </w:t>
      </w:r>
      <w:r>
        <w:t>Design</w:t>
      </w:r>
      <w:r>
        <w:rPr>
          <w:spacing w:val="-2"/>
        </w:rPr>
        <w:t xml:space="preserve"> </w:t>
      </w:r>
      <w:r>
        <w:t>Guide,</w:t>
      </w:r>
      <w:hyperlink w:history="1" w:anchor="_bookmark439">
        <w:r>
          <w:rPr>
            <w:position w:val="7"/>
            <w:sz w:val="14"/>
          </w:rPr>
          <w:t>174</w:t>
        </w:r>
      </w:hyperlink>
      <w:r>
        <w:rPr>
          <w:spacing w:val="19"/>
          <w:position w:val="7"/>
          <w:sz w:val="14"/>
        </w:rPr>
        <w:t xml:space="preserve"> </w:t>
      </w:r>
      <w:r>
        <w:t>leading</w:t>
      </w:r>
      <w:r>
        <w:rPr>
          <w:spacing w:val="-2"/>
        </w:rPr>
        <w:t xml:space="preserve"> </w:t>
      </w:r>
      <w:r>
        <w:t>SEM</w:t>
      </w:r>
      <w:r>
        <w:rPr>
          <w:spacing w:val="-3"/>
        </w:rPr>
        <w:t xml:space="preserve"> </w:t>
      </w:r>
      <w:r>
        <w:t>programs</w:t>
      </w:r>
      <w:r>
        <w:rPr>
          <w:spacing w:val="-2"/>
        </w:rPr>
        <w:t xml:space="preserve"> </w:t>
      </w:r>
      <w:r>
        <w:t>are</w:t>
      </w:r>
      <w:r>
        <w:rPr>
          <w:spacing w:val="-2"/>
        </w:rPr>
        <w:t xml:space="preserve"> </w:t>
      </w:r>
      <w:r>
        <w:t>designed</w:t>
      </w:r>
      <w:r>
        <w:rPr>
          <w:spacing w:val="-2"/>
        </w:rPr>
        <w:t xml:space="preserve"> </w:t>
      </w:r>
      <w:r>
        <w:t>to</w:t>
      </w:r>
      <w:r>
        <w:rPr>
          <w:spacing w:val="-2"/>
        </w:rPr>
        <w:t xml:space="preserve"> </w:t>
      </w:r>
      <w:r>
        <w:t>support</w:t>
      </w:r>
      <w:r>
        <w:rPr>
          <w:spacing w:val="-2"/>
        </w:rPr>
        <w:t xml:space="preserve"> </w:t>
      </w:r>
      <w:r>
        <w:t>industrial</w:t>
      </w:r>
      <w:r>
        <w:rPr>
          <w:spacing w:val="-2"/>
        </w:rPr>
        <w:t xml:space="preserve"> </w:t>
      </w:r>
      <w:r>
        <w:t>companies by focusing on several high level objectives:</w:t>
      </w:r>
    </w:p>
    <w:p w:rsidR="00C31389" w:rsidRDefault="00561FBD" w14:paraId="2E4A919F" w14:textId="77777777">
      <w:pPr>
        <w:pStyle w:val="ListParagraph"/>
        <w:numPr>
          <w:ilvl w:val="0"/>
          <w:numId w:val="15"/>
        </w:numPr>
        <w:tabs>
          <w:tab w:val="left" w:pos="1200"/>
        </w:tabs>
        <w:spacing w:before="120"/>
      </w:pPr>
      <w:r>
        <w:t>Implementing</w:t>
      </w:r>
      <w:r>
        <w:rPr>
          <w:spacing w:val="-7"/>
        </w:rPr>
        <w:t xml:space="preserve"> </w:t>
      </w:r>
      <w:r>
        <w:t>EE</w:t>
      </w:r>
      <w:r>
        <w:rPr>
          <w:spacing w:val="-7"/>
        </w:rPr>
        <w:t xml:space="preserve"> </w:t>
      </w:r>
      <w:r>
        <w:t>projects</w:t>
      </w:r>
      <w:r>
        <w:rPr>
          <w:spacing w:val="-7"/>
        </w:rPr>
        <w:t xml:space="preserve"> </w:t>
      </w:r>
      <w:r>
        <w:t>and</w:t>
      </w:r>
      <w:r>
        <w:rPr>
          <w:spacing w:val="-7"/>
        </w:rPr>
        <w:t xml:space="preserve"> </w:t>
      </w:r>
      <w:r>
        <w:t>saving</w:t>
      </w:r>
      <w:r>
        <w:rPr>
          <w:spacing w:val="-7"/>
        </w:rPr>
        <w:t xml:space="preserve"> </w:t>
      </w:r>
      <w:r>
        <w:t>energy,</w:t>
      </w:r>
      <w:r>
        <w:rPr>
          <w:spacing w:val="-7"/>
        </w:rPr>
        <w:t xml:space="preserve"> </w:t>
      </w:r>
      <w:r>
        <w:t>primarily</w:t>
      </w:r>
      <w:r>
        <w:rPr>
          <w:spacing w:val="-7"/>
        </w:rPr>
        <w:t xml:space="preserve"> </w:t>
      </w:r>
      <w:r>
        <w:t>from</w:t>
      </w:r>
      <w:r>
        <w:rPr>
          <w:spacing w:val="-8"/>
        </w:rPr>
        <w:t xml:space="preserve"> </w:t>
      </w:r>
      <w:r>
        <w:t>savings</w:t>
      </w:r>
      <w:r>
        <w:rPr>
          <w:spacing w:val="-8"/>
        </w:rPr>
        <w:t xml:space="preserve"> </w:t>
      </w:r>
      <w:r>
        <w:t>in</w:t>
      </w:r>
      <w:r>
        <w:rPr>
          <w:spacing w:val="-7"/>
        </w:rPr>
        <w:t xml:space="preserve"> </w:t>
      </w:r>
      <w:r>
        <w:rPr>
          <w:spacing w:val="-4"/>
        </w:rPr>
        <w:t>O&amp;M.</w:t>
      </w:r>
    </w:p>
    <w:p w:rsidR="00C31389" w:rsidRDefault="00561FBD" w14:paraId="7DC13FA0" w14:textId="77777777">
      <w:pPr>
        <w:pStyle w:val="ListParagraph"/>
        <w:numPr>
          <w:ilvl w:val="0"/>
          <w:numId w:val="15"/>
        </w:numPr>
        <w:tabs>
          <w:tab w:val="left" w:pos="1200"/>
        </w:tabs>
        <w:spacing w:before="144" w:line="261" w:lineRule="auto"/>
        <w:ind w:right="433"/>
      </w:pPr>
      <w:r>
        <w:t>Establishing</w:t>
      </w:r>
      <w:r>
        <w:rPr>
          <w:spacing w:val="-4"/>
        </w:rPr>
        <w:t xml:space="preserve"> </w:t>
      </w:r>
      <w:r>
        <w:t>the</w:t>
      </w:r>
      <w:r>
        <w:rPr>
          <w:spacing w:val="-3"/>
        </w:rPr>
        <w:t xml:space="preserve"> </w:t>
      </w:r>
      <w:r>
        <w:t>energy</w:t>
      </w:r>
      <w:r>
        <w:rPr>
          <w:spacing w:val="-4"/>
        </w:rPr>
        <w:t xml:space="preserve"> </w:t>
      </w:r>
      <w:r>
        <w:t>management</w:t>
      </w:r>
      <w:r>
        <w:rPr>
          <w:spacing w:val="-3"/>
        </w:rPr>
        <w:t xml:space="preserve"> </w:t>
      </w:r>
      <w:r>
        <w:t>system</w:t>
      </w:r>
      <w:r>
        <w:rPr>
          <w:spacing w:val="-4"/>
        </w:rPr>
        <w:t xml:space="preserve"> </w:t>
      </w:r>
      <w:r>
        <w:t>(EMS)</w:t>
      </w:r>
      <w:r>
        <w:rPr>
          <w:spacing w:val="-3"/>
        </w:rPr>
        <w:t xml:space="preserve"> </w:t>
      </w:r>
      <w:r>
        <w:t>or</w:t>
      </w:r>
      <w:r>
        <w:rPr>
          <w:spacing w:val="-3"/>
        </w:rPr>
        <w:t xml:space="preserve"> </w:t>
      </w:r>
      <w:r>
        <w:t>business</w:t>
      </w:r>
      <w:r>
        <w:rPr>
          <w:spacing w:val="-3"/>
        </w:rPr>
        <w:t xml:space="preserve"> </w:t>
      </w:r>
      <w:r>
        <w:t>practices</w:t>
      </w:r>
      <w:r>
        <w:rPr>
          <w:spacing w:val="-3"/>
        </w:rPr>
        <w:t xml:space="preserve"> </w:t>
      </w:r>
      <w:r>
        <w:t>that</w:t>
      </w:r>
      <w:r>
        <w:rPr>
          <w:spacing w:val="-3"/>
        </w:rPr>
        <w:t xml:space="preserve"> </w:t>
      </w:r>
      <w:r>
        <w:t>help</w:t>
      </w:r>
      <w:r>
        <w:rPr>
          <w:spacing w:val="-4"/>
        </w:rPr>
        <w:t xml:space="preserve"> </w:t>
      </w:r>
      <w:r>
        <w:t>a facility to manage and continuously improve energy performance.</w:t>
      </w:r>
    </w:p>
    <w:p w:rsidR="00C31389" w:rsidRDefault="00561FBD" w14:paraId="79B2C62C" w14:textId="77777777">
      <w:pPr>
        <w:pStyle w:val="ListParagraph"/>
        <w:numPr>
          <w:ilvl w:val="0"/>
          <w:numId w:val="15"/>
        </w:numPr>
        <w:tabs>
          <w:tab w:val="left" w:pos="1200"/>
        </w:tabs>
        <w:spacing w:before="122"/>
      </w:pPr>
      <w:r>
        <w:t>Normalizing,</w:t>
      </w:r>
      <w:r>
        <w:rPr>
          <w:spacing w:val="-11"/>
        </w:rPr>
        <w:t xml:space="preserve"> </w:t>
      </w:r>
      <w:r>
        <w:t>quantifying,</w:t>
      </w:r>
      <w:r>
        <w:rPr>
          <w:spacing w:val="-10"/>
        </w:rPr>
        <w:t xml:space="preserve"> </w:t>
      </w:r>
      <w:r>
        <w:t>and</w:t>
      </w:r>
      <w:r>
        <w:rPr>
          <w:spacing w:val="-10"/>
        </w:rPr>
        <w:t xml:space="preserve"> </w:t>
      </w:r>
      <w:r>
        <w:t>reporting</w:t>
      </w:r>
      <w:r>
        <w:rPr>
          <w:spacing w:val="-10"/>
        </w:rPr>
        <w:t xml:space="preserve"> </w:t>
      </w:r>
      <w:r>
        <w:t>facility-wide</w:t>
      </w:r>
      <w:r>
        <w:rPr>
          <w:spacing w:val="-10"/>
        </w:rPr>
        <w:t xml:space="preserve"> </w:t>
      </w:r>
      <w:r>
        <w:t>energy</w:t>
      </w:r>
      <w:r>
        <w:rPr>
          <w:spacing w:val="-10"/>
        </w:rPr>
        <w:t xml:space="preserve"> </w:t>
      </w:r>
      <w:r>
        <w:rPr>
          <w:spacing w:val="-2"/>
        </w:rPr>
        <w:t>performance.</w:t>
      </w:r>
    </w:p>
    <w:p w:rsidR="00C31389" w:rsidRDefault="00561FBD" w14:paraId="5A69794C" w14:textId="77777777">
      <w:pPr>
        <w:pStyle w:val="ListParagraph"/>
        <w:numPr>
          <w:ilvl w:val="0"/>
          <w:numId w:val="15"/>
        </w:numPr>
        <w:tabs>
          <w:tab w:val="left" w:pos="1200"/>
        </w:tabs>
        <w:spacing w:before="143"/>
      </w:pPr>
      <w:r>
        <w:t>Getting</w:t>
      </w:r>
      <w:r>
        <w:rPr>
          <w:spacing w:val="-5"/>
        </w:rPr>
        <w:t xml:space="preserve"> </w:t>
      </w:r>
      <w:r>
        <w:t>peers</w:t>
      </w:r>
      <w:r>
        <w:rPr>
          <w:spacing w:val="-4"/>
        </w:rPr>
        <w:t xml:space="preserve"> </w:t>
      </w:r>
      <w:r>
        <w:t>to</w:t>
      </w:r>
      <w:r>
        <w:rPr>
          <w:spacing w:val="-4"/>
        </w:rPr>
        <w:t xml:space="preserve"> </w:t>
      </w:r>
      <w:r>
        <w:t>talk</w:t>
      </w:r>
      <w:r>
        <w:rPr>
          <w:spacing w:val="-4"/>
        </w:rPr>
        <w:t xml:space="preserve"> </w:t>
      </w:r>
      <w:r>
        <w:t>to</w:t>
      </w:r>
      <w:r>
        <w:rPr>
          <w:spacing w:val="-6"/>
        </w:rPr>
        <w:t xml:space="preserve"> </w:t>
      </w:r>
      <w:r>
        <w:t>one</w:t>
      </w:r>
      <w:r>
        <w:rPr>
          <w:spacing w:val="-4"/>
        </w:rPr>
        <w:t xml:space="preserve"> </w:t>
      </w:r>
      <w:r>
        <w:rPr>
          <w:spacing w:val="-2"/>
        </w:rPr>
        <w:t>another.</w:t>
      </w:r>
    </w:p>
    <w:p w:rsidR="00C31389" w:rsidRDefault="00C31389" w14:paraId="1B5F476E" w14:textId="77777777">
      <w:pPr>
        <w:pStyle w:val="BodyText"/>
        <w:spacing w:before="11"/>
      </w:pPr>
    </w:p>
    <w:p w:rsidR="00C31389" w:rsidRDefault="00561FBD" w14:paraId="3144133D" w14:textId="77777777">
      <w:pPr>
        <w:pStyle w:val="BodyText"/>
        <w:ind w:left="479" w:right="434"/>
      </w:pPr>
      <w:r>
        <w:t xml:space="preserve">The model inputs for electric and natural gas shown in </w:t>
      </w:r>
      <w:hyperlink w:history="1" w:anchor="_bookmark437">
        <w:r>
          <w:t>Table D-16</w:t>
        </w:r>
      </w:hyperlink>
      <w:r>
        <w:t xml:space="preserve"> represent savings associated with SEM operational and behavioral changes. Savings are estimated based on building type consu</w:t>
      </w:r>
      <w:r>
        <w:t>mption (kWh or therms per year) for each market segment and are applied</w:t>
      </w:r>
      <w:r>
        <w:rPr>
          <w:spacing w:val="-3"/>
        </w:rPr>
        <w:t xml:space="preserve"> </w:t>
      </w:r>
      <w:r>
        <w:t>consistently</w:t>
      </w:r>
      <w:r>
        <w:rPr>
          <w:spacing w:val="-2"/>
        </w:rPr>
        <w:t xml:space="preserve"> </w:t>
      </w:r>
      <w:r>
        <w:t>across</w:t>
      </w:r>
      <w:r>
        <w:rPr>
          <w:spacing w:val="-3"/>
        </w:rPr>
        <w:t xml:space="preserve"> </w:t>
      </w:r>
      <w:r>
        <w:t>utilities.</w:t>
      </w:r>
      <w:r>
        <w:rPr>
          <w:spacing w:val="-5"/>
        </w:rPr>
        <w:t xml:space="preserve"> </w:t>
      </w:r>
      <w:r>
        <w:t>Incremental</w:t>
      </w:r>
      <w:r>
        <w:rPr>
          <w:spacing w:val="-3"/>
        </w:rPr>
        <w:t xml:space="preserve"> </w:t>
      </w:r>
      <w:r>
        <w:t>measure</w:t>
      </w:r>
      <w:r>
        <w:rPr>
          <w:spacing w:val="-3"/>
        </w:rPr>
        <w:t xml:space="preserve"> </w:t>
      </w:r>
      <w:r>
        <w:t>costs</w:t>
      </w:r>
      <w:r>
        <w:rPr>
          <w:spacing w:val="-3"/>
        </w:rPr>
        <w:t xml:space="preserve"> </w:t>
      </w:r>
      <w:r>
        <w:t>for</w:t>
      </w:r>
      <w:r>
        <w:rPr>
          <w:spacing w:val="-3"/>
        </w:rPr>
        <w:t xml:space="preserve"> </w:t>
      </w:r>
      <w:r>
        <w:t>electricity</w:t>
      </w:r>
      <w:r>
        <w:rPr>
          <w:spacing w:val="-3"/>
        </w:rPr>
        <w:t xml:space="preserve"> </w:t>
      </w:r>
      <w:r>
        <w:t>and</w:t>
      </w:r>
      <w:r>
        <w:rPr>
          <w:spacing w:val="-4"/>
        </w:rPr>
        <w:t xml:space="preserve"> </w:t>
      </w:r>
      <w:r>
        <w:t>natural</w:t>
      </w:r>
      <w:r>
        <w:rPr>
          <w:spacing w:val="-3"/>
        </w:rPr>
        <w:t xml:space="preserve"> </w:t>
      </w:r>
      <w:r>
        <w:t>gas are $0.033/kWh and $0.27/therm;</w:t>
      </w:r>
      <w:hyperlink w:history="1" w:anchor="_bookmark440">
        <w:r>
          <w:rPr>
            <w:position w:val="7"/>
            <w:sz w:val="14"/>
          </w:rPr>
          <w:t>175</w:t>
        </w:r>
      </w:hyperlink>
      <w:r>
        <w:rPr>
          <w:spacing w:val="34"/>
          <w:position w:val="7"/>
          <w:sz w:val="14"/>
        </w:rPr>
        <w:t xml:space="preserve"> </w:t>
      </w:r>
      <w:r>
        <w:t>these values are also applied consistently by building and fuel type across utilities.</w:t>
      </w:r>
    </w:p>
    <w:p w:rsidR="00C31389" w:rsidRDefault="00C31389" w14:paraId="1BA2E18E" w14:textId="77777777">
      <w:pPr>
        <w:pStyle w:val="BodyText"/>
        <w:spacing w:before="9"/>
        <w:rPr>
          <w:sz w:val="20"/>
        </w:rPr>
      </w:pPr>
    </w:p>
    <w:p w:rsidR="00C31389" w:rsidRDefault="00561FBD" w14:paraId="52B3C89F" w14:textId="77777777">
      <w:pPr>
        <w:pStyle w:val="Heading7"/>
        <w:ind w:left="398" w:right="340"/>
        <w:jc w:val="center"/>
      </w:pPr>
      <w:bookmarkStart w:name="_bookmark437" w:id="570"/>
      <w:bookmarkEnd w:id="570"/>
      <w:r>
        <w:t>Table</w:t>
      </w:r>
      <w:r>
        <w:rPr>
          <w:spacing w:val="-9"/>
        </w:rPr>
        <w:t xml:space="preserve"> </w:t>
      </w:r>
      <w:r>
        <w:t>D-16.</w:t>
      </w:r>
      <w:r>
        <w:rPr>
          <w:spacing w:val="-9"/>
        </w:rPr>
        <w:t xml:space="preserve"> </w:t>
      </w:r>
      <w:r>
        <w:t>Industrial/Agriculture</w:t>
      </w:r>
      <w:r>
        <w:rPr>
          <w:spacing w:val="-8"/>
        </w:rPr>
        <w:t xml:space="preserve"> </w:t>
      </w:r>
      <w:r>
        <w:t>SEM</w:t>
      </w:r>
      <w:r>
        <w:rPr>
          <w:spacing w:val="-8"/>
        </w:rPr>
        <w:t xml:space="preserve"> </w:t>
      </w:r>
      <w:r>
        <w:t>–</w:t>
      </w:r>
      <w:r>
        <w:rPr>
          <w:spacing w:val="-8"/>
        </w:rPr>
        <w:t xml:space="preserve"> </w:t>
      </w:r>
      <w:r>
        <w:t>Key</w:t>
      </w:r>
      <w:r>
        <w:rPr>
          <w:spacing w:val="-9"/>
        </w:rPr>
        <w:t xml:space="preserve"> </w:t>
      </w:r>
      <w:r>
        <w:rPr>
          <w:spacing w:val="-2"/>
        </w:rPr>
        <w:t>Assumptions</w:t>
      </w:r>
    </w:p>
    <w:p w:rsidR="00C31389" w:rsidRDefault="00C31389" w14:paraId="562452E7" w14:textId="77777777">
      <w:pPr>
        <w:pStyle w:val="BodyText"/>
        <w:spacing w:before="7" w:after="1"/>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1249"/>
        <w:gridCol w:w="1127"/>
        <w:gridCol w:w="1358"/>
        <w:gridCol w:w="1092"/>
        <w:gridCol w:w="1163"/>
        <w:gridCol w:w="1326"/>
        <w:gridCol w:w="866"/>
        <w:gridCol w:w="1195"/>
      </w:tblGrid>
      <w:tr w:rsidR="00C31389" w14:paraId="150310C8" w14:textId="77777777">
        <w:trPr>
          <w:trHeight w:val="323"/>
        </w:trPr>
        <w:tc>
          <w:tcPr>
            <w:tcW w:w="1249" w:type="dxa"/>
            <w:shd w:val="clear" w:color="auto" w:fill="92D400"/>
          </w:tcPr>
          <w:p w:rsidR="00C31389" w:rsidRDefault="00C31389" w14:paraId="4A8D4B46" w14:textId="77777777">
            <w:pPr>
              <w:pStyle w:val="TableParagraph"/>
              <w:spacing w:before="0"/>
              <w:rPr>
                <w:rFonts w:ascii="Times New Roman"/>
                <w:sz w:val="20"/>
              </w:rPr>
            </w:pPr>
          </w:p>
        </w:tc>
        <w:tc>
          <w:tcPr>
            <w:tcW w:w="1127" w:type="dxa"/>
            <w:shd w:val="clear" w:color="auto" w:fill="92D400"/>
          </w:tcPr>
          <w:p w:rsidR="00C31389" w:rsidRDefault="00C31389" w14:paraId="298D90BA" w14:textId="77777777">
            <w:pPr>
              <w:pStyle w:val="TableParagraph"/>
              <w:spacing w:before="0"/>
              <w:rPr>
                <w:rFonts w:ascii="Times New Roman"/>
                <w:sz w:val="20"/>
              </w:rPr>
            </w:pPr>
          </w:p>
        </w:tc>
        <w:tc>
          <w:tcPr>
            <w:tcW w:w="1358" w:type="dxa"/>
            <w:vMerge w:val="restart"/>
            <w:shd w:val="clear" w:color="auto" w:fill="92D400"/>
          </w:tcPr>
          <w:p w:rsidR="00C31389" w:rsidRDefault="00C31389" w14:paraId="36F5F04F" w14:textId="77777777">
            <w:pPr>
              <w:pStyle w:val="TableParagraph"/>
              <w:spacing w:before="5"/>
              <w:rPr>
                <w:b/>
                <w:sz w:val="17"/>
              </w:rPr>
            </w:pPr>
          </w:p>
          <w:p w:rsidR="00C31389" w:rsidRDefault="00561FBD" w14:paraId="1410DE25" w14:textId="77777777">
            <w:pPr>
              <w:pStyle w:val="TableParagraph"/>
              <w:spacing w:before="0"/>
              <w:ind w:left="570"/>
              <w:rPr>
                <w:b/>
                <w:sz w:val="20"/>
              </w:rPr>
            </w:pPr>
            <w:r>
              <w:rPr>
                <w:b/>
                <w:spacing w:val="-5"/>
                <w:sz w:val="20"/>
              </w:rPr>
              <w:t>EUL</w:t>
            </w:r>
          </w:p>
          <w:p w:rsidR="00C31389" w:rsidRDefault="00561FBD" w14:paraId="6626E3F1" w14:textId="77777777">
            <w:pPr>
              <w:pStyle w:val="TableParagraph"/>
              <w:spacing w:before="1"/>
              <w:ind w:left="497"/>
              <w:rPr>
                <w:b/>
                <w:sz w:val="20"/>
              </w:rPr>
            </w:pPr>
            <w:r>
              <w:rPr>
                <w:b/>
                <w:spacing w:val="-2"/>
                <w:sz w:val="20"/>
              </w:rPr>
              <w:t>Years</w:t>
            </w:r>
          </w:p>
        </w:tc>
        <w:tc>
          <w:tcPr>
            <w:tcW w:w="2255" w:type="dxa"/>
            <w:gridSpan w:val="2"/>
            <w:shd w:val="clear" w:color="auto" w:fill="92D400"/>
          </w:tcPr>
          <w:p w:rsidR="00C31389" w:rsidRDefault="00561FBD" w14:paraId="7D037EB9" w14:textId="77777777">
            <w:pPr>
              <w:pStyle w:val="TableParagraph"/>
              <w:spacing w:before="95" w:line="208" w:lineRule="exact"/>
              <w:ind w:left="748"/>
              <w:rPr>
                <w:b/>
                <w:sz w:val="20"/>
              </w:rPr>
            </w:pPr>
            <w:r>
              <w:rPr>
                <w:b/>
                <w:spacing w:val="-2"/>
                <w:sz w:val="20"/>
              </w:rPr>
              <w:t>Savings</w:t>
            </w:r>
          </w:p>
        </w:tc>
        <w:tc>
          <w:tcPr>
            <w:tcW w:w="1326" w:type="dxa"/>
            <w:shd w:val="clear" w:color="auto" w:fill="92D400"/>
          </w:tcPr>
          <w:p w:rsidR="00C31389" w:rsidRDefault="00561FBD" w14:paraId="0A2167CF" w14:textId="77777777">
            <w:pPr>
              <w:pStyle w:val="TableParagraph"/>
              <w:spacing w:before="95" w:line="208" w:lineRule="exact"/>
              <w:ind w:left="877"/>
              <w:rPr>
                <w:b/>
                <w:sz w:val="20"/>
              </w:rPr>
            </w:pPr>
            <w:r>
              <w:rPr>
                <w:b/>
                <w:spacing w:val="-4"/>
                <w:sz w:val="20"/>
              </w:rPr>
              <w:t>Cost</w:t>
            </w:r>
          </w:p>
        </w:tc>
        <w:tc>
          <w:tcPr>
            <w:tcW w:w="866" w:type="dxa"/>
            <w:shd w:val="clear" w:color="auto" w:fill="92D400"/>
          </w:tcPr>
          <w:p w:rsidR="00C31389" w:rsidRDefault="00C31389" w14:paraId="3E98398E" w14:textId="77777777">
            <w:pPr>
              <w:pStyle w:val="TableParagraph"/>
              <w:spacing w:before="0"/>
              <w:rPr>
                <w:rFonts w:ascii="Times New Roman"/>
                <w:sz w:val="20"/>
              </w:rPr>
            </w:pPr>
          </w:p>
        </w:tc>
        <w:tc>
          <w:tcPr>
            <w:tcW w:w="1195" w:type="dxa"/>
            <w:vMerge w:val="restart"/>
            <w:shd w:val="clear" w:color="auto" w:fill="92D400"/>
          </w:tcPr>
          <w:p w:rsidR="00C31389" w:rsidRDefault="00561FBD" w14:paraId="70E4CFC1" w14:textId="77777777">
            <w:pPr>
              <w:pStyle w:val="TableParagraph"/>
              <w:spacing w:before="86"/>
              <w:ind w:left="180" w:right="153"/>
              <w:jc w:val="center"/>
              <w:rPr>
                <w:b/>
                <w:sz w:val="20"/>
              </w:rPr>
            </w:pPr>
            <w:r>
              <w:rPr>
                <w:b/>
                <w:spacing w:val="-2"/>
                <w:sz w:val="20"/>
              </w:rPr>
              <w:t>kW/kWh Savings Ratio</w:t>
            </w:r>
          </w:p>
        </w:tc>
      </w:tr>
      <w:tr w:rsidR="00C31389" w14:paraId="1543A8CC" w14:textId="77777777">
        <w:trPr>
          <w:trHeight w:val="220"/>
        </w:trPr>
        <w:tc>
          <w:tcPr>
            <w:tcW w:w="1249" w:type="dxa"/>
            <w:shd w:val="clear" w:color="auto" w:fill="92D400"/>
          </w:tcPr>
          <w:p w:rsidR="00C31389" w:rsidRDefault="00561FBD" w14:paraId="31A79143" w14:textId="77777777">
            <w:pPr>
              <w:pStyle w:val="TableParagraph"/>
              <w:spacing w:before="0" w:line="200" w:lineRule="exact"/>
              <w:ind w:left="129"/>
              <w:rPr>
                <w:b/>
                <w:sz w:val="20"/>
              </w:rPr>
            </w:pPr>
            <w:r>
              <w:rPr>
                <w:b/>
                <w:spacing w:val="-2"/>
                <w:sz w:val="20"/>
              </w:rPr>
              <w:t>Sector</w:t>
            </w:r>
          </w:p>
        </w:tc>
        <w:tc>
          <w:tcPr>
            <w:tcW w:w="1127" w:type="dxa"/>
            <w:shd w:val="clear" w:color="auto" w:fill="92D400"/>
          </w:tcPr>
          <w:p w:rsidR="00C31389" w:rsidRDefault="00561FBD" w14:paraId="047C918F" w14:textId="77777777">
            <w:pPr>
              <w:pStyle w:val="TableParagraph"/>
              <w:spacing w:before="0" w:line="200" w:lineRule="exact"/>
              <w:ind w:left="162"/>
              <w:rPr>
                <w:b/>
                <w:sz w:val="20"/>
              </w:rPr>
            </w:pPr>
            <w:r>
              <w:rPr>
                <w:b/>
                <w:spacing w:val="-4"/>
                <w:sz w:val="20"/>
              </w:rPr>
              <w:t>Type</w:t>
            </w:r>
          </w:p>
        </w:tc>
        <w:tc>
          <w:tcPr>
            <w:tcW w:w="1358" w:type="dxa"/>
            <w:vMerge/>
            <w:tcBorders>
              <w:top w:val="nil"/>
            </w:tcBorders>
            <w:shd w:val="clear" w:color="auto" w:fill="92D400"/>
          </w:tcPr>
          <w:p w:rsidR="00C31389" w:rsidRDefault="00C31389" w14:paraId="39E8C2BD" w14:textId="77777777">
            <w:pPr>
              <w:rPr>
                <w:sz w:val="2"/>
                <w:szCs w:val="2"/>
              </w:rPr>
            </w:pPr>
          </w:p>
        </w:tc>
        <w:tc>
          <w:tcPr>
            <w:tcW w:w="1092" w:type="dxa"/>
            <w:shd w:val="clear" w:color="auto" w:fill="92D400"/>
          </w:tcPr>
          <w:p w:rsidR="00C31389" w:rsidRDefault="00C31389" w14:paraId="31839172" w14:textId="77777777">
            <w:pPr>
              <w:pStyle w:val="TableParagraph"/>
              <w:spacing w:before="0"/>
              <w:rPr>
                <w:rFonts w:ascii="Times New Roman"/>
                <w:sz w:val="14"/>
              </w:rPr>
            </w:pPr>
          </w:p>
        </w:tc>
        <w:tc>
          <w:tcPr>
            <w:tcW w:w="1163" w:type="dxa"/>
            <w:shd w:val="clear" w:color="auto" w:fill="92D400"/>
          </w:tcPr>
          <w:p w:rsidR="00C31389" w:rsidRDefault="00C31389" w14:paraId="1F6F9284" w14:textId="77777777">
            <w:pPr>
              <w:pStyle w:val="TableParagraph"/>
              <w:spacing w:before="0"/>
              <w:rPr>
                <w:rFonts w:ascii="Times New Roman"/>
                <w:sz w:val="14"/>
              </w:rPr>
            </w:pPr>
          </w:p>
        </w:tc>
        <w:tc>
          <w:tcPr>
            <w:tcW w:w="1326" w:type="dxa"/>
            <w:shd w:val="clear" w:color="auto" w:fill="92D400"/>
          </w:tcPr>
          <w:p w:rsidR="00C31389" w:rsidRDefault="00C31389" w14:paraId="16548C1A" w14:textId="77777777">
            <w:pPr>
              <w:pStyle w:val="TableParagraph"/>
              <w:spacing w:before="0"/>
              <w:rPr>
                <w:rFonts w:ascii="Times New Roman"/>
                <w:sz w:val="14"/>
              </w:rPr>
            </w:pPr>
          </w:p>
        </w:tc>
        <w:tc>
          <w:tcPr>
            <w:tcW w:w="866" w:type="dxa"/>
            <w:shd w:val="clear" w:color="auto" w:fill="92D400"/>
          </w:tcPr>
          <w:p w:rsidR="00C31389" w:rsidRDefault="00C31389" w14:paraId="448F731F" w14:textId="77777777">
            <w:pPr>
              <w:pStyle w:val="TableParagraph"/>
              <w:spacing w:before="0"/>
              <w:rPr>
                <w:rFonts w:ascii="Times New Roman"/>
                <w:sz w:val="14"/>
              </w:rPr>
            </w:pPr>
          </w:p>
        </w:tc>
        <w:tc>
          <w:tcPr>
            <w:tcW w:w="1195" w:type="dxa"/>
            <w:vMerge/>
            <w:tcBorders>
              <w:top w:val="nil"/>
            </w:tcBorders>
            <w:shd w:val="clear" w:color="auto" w:fill="92D400"/>
          </w:tcPr>
          <w:p w:rsidR="00C31389" w:rsidRDefault="00C31389" w14:paraId="4E405682" w14:textId="77777777">
            <w:pPr>
              <w:rPr>
                <w:sz w:val="2"/>
                <w:szCs w:val="2"/>
              </w:rPr>
            </w:pPr>
          </w:p>
        </w:tc>
      </w:tr>
      <w:tr w:rsidR="00C31389" w14:paraId="242E47BD" w14:textId="77777777">
        <w:trPr>
          <w:trHeight w:val="326"/>
        </w:trPr>
        <w:tc>
          <w:tcPr>
            <w:tcW w:w="1249" w:type="dxa"/>
            <w:shd w:val="clear" w:color="auto" w:fill="92D400"/>
          </w:tcPr>
          <w:p w:rsidR="00C31389" w:rsidRDefault="00C31389" w14:paraId="5FAF5F57" w14:textId="77777777">
            <w:pPr>
              <w:pStyle w:val="TableParagraph"/>
              <w:spacing w:before="0"/>
              <w:rPr>
                <w:rFonts w:ascii="Times New Roman"/>
                <w:sz w:val="20"/>
              </w:rPr>
            </w:pPr>
          </w:p>
        </w:tc>
        <w:tc>
          <w:tcPr>
            <w:tcW w:w="1127" w:type="dxa"/>
            <w:shd w:val="clear" w:color="auto" w:fill="92D400"/>
          </w:tcPr>
          <w:p w:rsidR="00C31389" w:rsidRDefault="00C31389" w14:paraId="65E98683" w14:textId="77777777">
            <w:pPr>
              <w:pStyle w:val="TableParagraph"/>
              <w:spacing w:before="0"/>
              <w:rPr>
                <w:rFonts w:ascii="Times New Roman"/>
                <w:sz w:val="20"/>
              </w:rPr>
            </w:pPr>
          </w:p>
        </w:tc>
        <w:tc>
          <w:tcPr>
            <w:tcW w:w="1358" w:type="dxa"/>
            <w:vMerge/>
            <w:tcBorders>
              <w:top w:val="nil"/>
            </w:tcBorders>
            <w:shd w:val="clear" w:color="auto" w:fill="92D400"/>
          </w:tcPr>
          <w:p w:rsidR="00C31389" w:rsidRDefault="00C31389" w14:paraId="4ADA3DBC" w14:textId="77777777">
            <w:pPr>
              <w:rPr>
                <w:sz w:val="2"/>
                <w:szCs w:val="2"/>
              </w:rPr>
            </w:pPr>
          </w:p>
        </w:tc>
        <w:tc>
          <w:tcPr>
            <w:tcW w:w="1092" w:type="dxa"/>
            <w:shd w:val="clear" w:color="auto" w:fill="92D400"/>
          </w:tcPr>
          <w:p w:rsidR="00C31389" w:rsidRDefault="00561FBD" w14:paraId="317F2F96" w14:textId="77777777">
            <w:pPr>
              <w:pStyle w:val="TableParagraph"/>
              <w:spacing w:before="0" w:line="222" w:lineRule="exact"/>
              <w:ind w:left="365"/>
              <w:rPr>
                <w:b/>
                <w:sz w:val="20"/>
              </w:rPr>
            </w:pPr>
            <w:r>
              <w:rPr>
                <w:b/>
                <w:spacing w:val="-5"/>
                <w:sz w:val="20"/>
              </w:rPr>
              <w:t>kWh</w:t>
            </w:r>
          </w:p>
        </w:tc>
        <w:tc>
          <w:tcPr>
            <w:tcW w:w="1163" w:type="dxa"/>
            <w:shd w:val="clear" w:color="auto" w:fill="92D400"/>
          </w:tcPr>
          <w:p w:rsidR="00C31389" w:rsidRDefault="00561FBD" w14:paraId="7751629C" w14:textId="77777777">
            <w:pPr>
              <w:pStyle w:val="TableParagraph"/>
              <w:spacing w:before="0" w:line="222" w:lineRule="exact"/>
              <w:ind w:left="241" w:right="227"/>
              <w:jc w:val="center"/>
              <w:rPr>
                <w:b/>
                <w:sz w:val="20"/>
              </w:rPr>
            </w:pPr>
            <w:r>
              <w:rPr>
                <w:b/>
                <w:spacing w:val="-2"/>
                <w:sz w:val="20"/>
              </w:rPr>
              <w:t>therms</w:t>
            </w:r>
          </w:p>
        </w:tc>
        <w:tc>
          <w:tcPr>
            <w:tcW w:w="1326" w:type="dxa"/>
            <w:shd w:val="clear" w:color="auto" w:fill="92D400"/>
          </w:tcPr>
          <w:p w:rsidR="00C31389" w:rsidRDefault="00561FBD" w14:paraId="0840E1B4" w14:textId="77777777">
            <w:pPr>
              <w:pStyle w:val="TableParagraph"/>
              <w:spacing w:before="0" w:line="222" w:lineRule="exact"/>
              <w:ind w:left="333"/>
              <w:rPr>
                <w:b/>
                <w:sz w:val="20"/>
              </w:rPr>
            </w:pPr>
            <w:r>
              <w:rPr>
                <w:b/>
                <w:spacing w:val="-5"/>
                <w:sz w:val="20"/>
              </w:rPr>
              <w:t>kWh</w:t>
            </w:r>
          </w:p>
        </w:tc>
        <w:tc>
          <w:tcPr>
            <w:tcW w:w="866" w:type="dxa"/>
            <w:shd w:val="clear" w:color="auto" w:fill="92D400"/>
          </w:tcPr>
          <w:p w:rsidR="00C31389" w:rsidRDefault="00561FBD" w14:paraId="3C1F6093" w14:textId="77777777">
            <w:pPr>
              <w:pStyle w:val="TableParagraph"/>
              <w:spacing w:before="0" w:line="222" w:lineRule="exact"/>
              <w:ind w:right="190"/>
              <w:jc w:val="center"/>
              <w:rPr>
                <w:b/>
                <w:sz w:val="20"/>
              </w:rPr>
            </w:pPr>
            <w:r>
              <w:rPr>
                <w:b/>
                <w:spacing w:val="-2"/>
                <w:sz w:val="20"/>
              </w:rPr>
              <w:t>therms</w:t>
            </w:r>
          </w:p>
        </w:tc>
        <w:tc>
          <w:tcPr>
            <w:tcW w:w="1195" w:type="dxa"/>
            <w:vMerge/>
            <w:tcBorders>
              <w:top w:val="nil"/>
            </w:tcBorders>
            <w:shd w:val="clear" w:color="auto" w:fill="92D400"/>
          </w:tcPr>
          <w:p w:rsidR="00C31389" w:rsidRDefault="00C31389" w14:paraId="1AC8CB5C" w14:textId="77777777">
            <w:pPr>
              <w:rPr>
                <w:sz w:val="2"/>
                <w:szCs w:val="2"/>
              </w:rPr>
            </w:pPr>
          </w:p>
        </w:tc>
      </w:tr>
      <w:tr w:rsidR="00C31389" w14:paraId="5F88DDB8" w14:textId="77777777">
        <w:trPr>
          <w:trHeight w:val="539"/>
        </w:trPr>
        <w:tc>
          <w:tcPr>
            <w:tcW w:w="1249" w:type="dxa"/>
            <w:tcBorders>
              <w:bottom w:val="single" w:color="D9D9D9" w:sz="2" w:space="0"/>
            </w:tcBorders>
          </w:tcPr>
          <w:p w:rsidR="00C31389" w:rsidRDefault="00561FBD" w14:paraId="1E82E3CC" w14:textId="77777777">
            <w:pPr>
              <w:pStyle w:val="TableParagraph"/>
              <w:spacing w:before="155"/>
              <w:ind w:left="129"/>
              <w:rPr>
                <w:sz w:val="20"/>
              </w:rPr>
            </w:pPr>
            <w:r>
              <w:rPr>
                <w:spacing w:val="-2"/>
                <w:sz w:val="20"/>
              </w:rPr>
              <w:t>Industrial</w:t>
            </w:r>
          </w:p>
        </w:tc>
        <w:tc>
          <w:tcPr>
            <w:tcW w:w="1127" w:type="dxa"/>
            <w:tcBorders>
              <w:bottom w:val="single" w:color="D9D9D9" w:sz="2" w:space="0"/>
            </w:tcBorders>
          </w:tcPr>
          <w:p w:rsidR="00C31389" w:rsidRDefault="00561FBD" w14:paraId="1E69BD30" w14:textId="77777777">
            <w:pPr>
              <w:pStyle w:val="TableParagraph"/>
              <w:spacing w:before="155"/>
              <w:ind w:left="162"/>
              <w:rPr>
                <w:sz w:val="20"/>
              </w:rPr>
            </w:pPr>
            <w:r>
              <w:rPr>
                <w:spacing w:val="-5"/>
                <w:sz w:val="20"/>
              </w:rPr>
              <w:t>SEM</w:t>
            </w:r>
          </w:p>
        </w:tc>
        <w:tc>
          <w:tcPr>
            <w:tcW w:w="1358" w:type="dxa"/>
            <w:tcBorders>
              <w:bottom w:val="single" w:color="D9D9D9" w:sz="2" w:space="0"/>
            </w:tcBorders>
          </w:tcPr>
          <w:p w:rsidR="00C31389" w:rsidRDefault="00561FBD" w14:paraId="598B9721" w14:textId="77777777">
            <w:pPr>
              <w:pStyle w:val="TableParagraph"/>
              <w:spacing w:before="155"/>
              <w:ind w:right="446"/>
              <w:jc w:val="right"/>
              <w:rPr>
                <w:sz w:val="20"/>
              </w:rPr>
            </w:pPr>
            <w:r>
              <w:rPr>
                <w:spacing w:val="-5"/>
                <w:sz w:val="20"/>
              </w:rPr>
              <w:t>4.3</w:t>
            </w:r>
          </w:p>
        </w:tc>
        <w:tc>
          <w:tcPr>
            <w:tcW w:w="1092" w:type="dxa"/>
            <w:tcBorders>
              <w:bottom w:val="single" w:color="D9D9D9" w:sz="2" w:space="0"/>
            </w:tcBorders>
          </w:tcPr>
          <w:p w:rsidR="00C31389" w:rsidRDefault="00561FBD" w14:paraId="5B31ABC5" w14:textId="77777777">
            <w:pPr>
              <w:pStyle w:val="TableParagraph"/>
              <w:ind w:left="314"/>
              <w:rPr>
                <w:sz w:val="20"/>
              </w:rPr>
            </w:pPr>
            <w:r>
              <w:rPr>
                <w:spacing w:val="-2"/>
                <w:sz w:val="20"/>
              </w:rPr>
              <w:t>1.9%-</w:t>
            </w:r>
          </w:p>
          <w:p w:rsidR="00C31389" w:rsidRDefault="00561FBD" w14:paraId="1B979C28" w14:textId="77777777">
            <w:pPr>
              <w:pStyle w:val="TableParagraph"/>
              <w:spacing w:before="1"/>
              <w:ind w:left="348"/>
              <w:rPr>
                <w:sz w:val="20"/>
              </w:rPr>
            </w:pPr>
            <w:r>
              <w:rPr>
                <w:spacing w:val="-4"/>
                <w:sz w:val="20"/>
              </w:rPr>
              <w:t>4.4%</w:t>
            </w:r>
          </w:p>
        </w:tc>
        <w:tc>
          <w:tcPr>
            <w:tcW w:w="1163" w:type="dxa"/>
            <w:tcBorders>
              <w:bottom w:val="single" w:color="D9D9D9" w:sz="2" w:space="0"/>
            </w:tcBorders>
          </w:tcPr>
          <w:p w:rsidR="00C31389" w:rsidRDefault="00561FBD" w14:paraId="224E5A1D" w14:textId="77777777">
            <w:pPr>
              <w:pStyle w:val="TableParagraph"/>
              <w:ind w:left="326"/>
              <w:rPr>
                <w:sz w:val="20"/>
              </w:rPr>
            </w:pPr>
            <w:r>
              <w:rPr>
                <w:spacing w:val="-2"/>
                <w:sz w:val="20"/>
              </w:rPr>
              <w:t>1.9%-</w:t>
            </w:r>
          </w:p>
          <w:p w:rsidR="00C31389" w:rsidRDefault="00561FBD" w14:paraId="32E3CB20" w14:textId="77777777">
            <w:pPr>
              <w:pStyle w:val="TableParagraph"/>
              <w:spacing w:before="1"/>
              <w:ind w:left="360"/>
              <w:rPr>
                <w:sz w:val="20"/>
              </w:rPr>
            </w:pPr>
            <w:r>
              <w:rPr>
                <w:spacing w:val="-4"/>
                <w:sz w:val="20"/>
              </w:rPr>
              <w:t>3.9%</w:t>
            </w:r>
          </w:p>
        </w:tc>
        <w:tc>
          <w:tcPr>
            <w:tcW w:w="1326" w:type="dxa"/>
            <w:tcBorders>
              <w:bottom w:val="single" w:color="D9D9D9" w:sz="2" w:space="0"/>
            </w:tcBorders>
          </w:tcPr>
          <w:p w:rsidR="00C31389" w:rsidRDefault="00561FBD" w14:paraId="67F45421" w14:textId="77777777">
            <w:pPr>
              <w:pStyle w:val="TableParagraph"/>
              <w:spacing w:before="155"/>
              <w:ind w:left="238"/>
              <w:rPr>
                <w:sz w:val="20"/>
              </w:rPr>
            </w:pPr>
            <w:r>
              <w:rPr>
                <w:spacing w:val="-2"/>
                <w:sz w:val="20"/>
              </w:rPr>
              <w:t>$0.033</w:t>
            </w:r>
          </w:p>
        </w:tc>
        <w:tc>
          <w:tcPr>
            <w:tcW w:w="866" w:type="dxa"/>
            <w:tcBorders>
              <w:bottom w:val="single" w:color="D9D9D9" w:sz="2" w:space="0"/>
            </w:tcBorders>
          </w:tcPr>
          <w:p w:rsidR="00C31389" w:rsidRDefault="00561FBD" w14:paraId="234C5719" w14:textId="77777777">
            <w:pPr>
              <w:pStyle w:val="TableParagraph"/>
              <w:spacing w:before="155"/>
              <w:ind w:right="189"/>
              <w:jc w:val="center"/>
              <w:rPr>
                <w:sz w:val="20"/>
              </w:rPr>
            </w:pPr>
            <w:r>
              <w:rPr>
                <w:spacing w:val="-2"/>
                <w:sz w:val="20"/>
              </w:rPr>
              <w:t>$0.27</w:t>
            </w:r>
          </w:p>
        </w:tc>
        <w:tc>
          <w:tcPr>
            <w:tcW w:w="1195" w:type="dxa"/>
            <w:tcBorders>
              <w:bottom w:val="single" w:color="D9D9D9" w:sz="2" w:space="0"/>
            </w:tcBorders>
          </w:tcPr>
          <w:p w:rsidR="00C31389" w:rsidRDefault="00561FBD" w14:paraId="42B61D25" w14:textId="77777777">
            <w:pPr>
              <w:pStyle w:val="TableParagraph"/>
              <w:spacing w:before="155"/>
              <w:ind w:left="180" w:right="155"/>
              <w:jc w:val="center"/>
              <w:rPr>
                <w:sz w:val="20"/>
              </w:rPr>
            </w:pPr>
            <w:r>
              <w:rPr>
                <w:spacing w:val="-2"/>
                <w:sz w:val="20"/>
              </w:rPr>
              <w:t>0.000195</w:t>
            </w:r>
          </w:p>
        </w:tc>
      </w:tr>
      <w:tr w:rsidR="00C31389" w14:paraId="1C7C482B" w14:textId="77777777">
        <w:trPr>
          <w:trHeight w:val="540"/>
        </w:trPr>
        <w:tc>
          <w:tcPr>
            <w:tcW w:w="1249" w:type="dxa"/>
            <w:tcBorders>
              <w:top w:val="single" w:color="D9D9D9" w:sz="2" w:space="0"/>
              <w:bottom w:val="single" w:color="000000" w:sz="8" w:space="0"/>
            </w:tcBorders>
          </w:tcPr>
          <w:p w:rsidR="00C31389" w:rsidRDefault="00561FBD" w14:paraId="20AECE69" w14:textId="77777777">
            <w:pPr>
              <w:pStyle w:val="TableParagraph"/>
              <w:spacing w:before="155"/>
              <w:ind w:left="129"/>
              <w:rPr>
                <w:sz w:val="20"/>
              </w:rPr>
            </w:pPr>
            <w:r>
              <w:rPr>
                <w:spacing w:val="-2"/>
                <w:sz w:val="20"/>
              </w:rPr>
              <w:t>Agriculture</w:t>
            </w:r>
          </w:p>
        </w:tc>
        <w:tc>
          <w:tcPr>
            <w:tcW w:w="1127" w:type="dxa"/>
            <w:tcBorders>
              <w:top w:val="single" w:color="D9D9D9" w:sz="2" w:space="0"/>
              <w:bottom w:val="single" w:color="000000" w:sz="8" w:space="0"/>
            </w:tcBorders>
          </w:tcPr>
          <w:p w:rsidR="00C31389" w:rsidRDefault="00561FBD" w14:paraId="6D316191" w14:textId="77777777">
            <w:pPr>
              <w:pStyle w:val="TableParagraph"/>
              <w:spacing w:before="155"/>
              <w:ind w:left="162"/>
              <w:rPr>
                <w:sz w:val="20"/>
              </w:rPr>
            </w:pPr>
            <w:r>
              <w:rPr>
                <w:spacing w:val="-5"/>
                <w:sz w:val="20"/>
              </w:rPr>
              <w:t>SEM</w:t>
            </w:r>
          </w:p>
        </w:tc>
        <w:tc>
          <w:tcPr>
            <w:tcW w:w="1358" w:type="dxa"/>
            <w:tcBorders>
              <w:top w:val="single" w:color="D9D9D9" w:sz="2" w:space="0"/>
              <w:bottom w:val="single" w:color="000000" w:sz="8" w:space="0"/>
            </w:tcBorders>
          </w:tcPr>
          <w:p w:rsidR="00C31389" w:rsidRDefault="00561FBD" w14:paraId="1A78E633" w14:textId="77777777">
            <w:pPr>
              <w:pStyle w:val="TableParagraph"/>
              <w:spacing w:before="155"/>
              <w:ind w:right="446"/>
              <w:jc w:val="right"/>
              <w:rPr>
                <w:sz w:val="20"/>
              </w:rPr>
            </w:pPr>
            <w:r>
              <w:rPr>
                <w:spacing w:val="-5"/>
                <w:sz w:val="20"/>
              </w:rPr>
              <w:t>4.3</w:t>
            </w:r>
          </w:p>
        </w:tc>
        <w:tc>
          <w:tcPr>
            <w:tcW w:w="1092" w:type="dxa"/>
            <w:tcBorders>
              <w:top w:val="single" w:color="D9D9D9" w:sz="2" w:space="0"/>
              <w:bottom w:val="single" w:color="000000" w:sz="8" w:space="0"/>
            </w:tcBorders>
          </w:tcPr>
          <w:p w:rsidR="00C31389" w:rsidRDefault="00561FBD" w14:paraId="2B23E302" w14:textId="77777777">
            <w:pPr>
              <w:pStyle w:val="TableParagraph"/>
              <w:ind w:left="314"/>
              <w:rPr>
                <w:sz w:val="20"/>
              </w:rPr>
            </w:pPr>
            <w:r>
              <w:rPr>
                <w:spacing w:val="-2"/>
                <w:sz w:val="20"/>
              </w:rPr>
              <w:t>3.1%-</w:t>
            </w:r>
          </w:p>
          <w:p w:rsidR="00C31389" w:rsidRDefault="00561FBD" w14:paraId="1AC88B36" w14:textId="77777777">
            <w:pPr>
              <w:pStyle w:val="TableParagraph"/>
              <w:spacing w:before="0"/>
              <w:ind w:left="348"/>
              <w:rPr>
                <w:sz w:val="20"/>
              </w:rPr>
            </w:pPr>
            <w:r>
              <w:rPr>
                <w:spacing w:val="-4"/>
                <w:sz w:val="20"/>
              </w:rPr>
              <w:t>3.9%</w:t>
            </w:r>
          </w:p>
        </w:tc>
        <w:tc>
          <w:tcPr>
            <w:tcW w:w="1163" w:type="dxa"/>
            <w:tcBorders>
              <w:top w:val="single" w:color="D9D9D9" w:sz="2" w:space="0"/>
              <w:bottom w:val="single" w:color="000000" w:sz="8" w:space="0"/>
            </w:tcBorders>
          </w:tcPr>
          <w:p w:rsidR="00C31389" w:rsidRDefault="00561FBD" w14:paraId="1A915509" w14:textId="77777777">
            <w:pPr>
              <w:pStyle w:val="TableParagraph"/>
              <w:spacing w:before="155"/>
              <w:ind w:left="240" w:right="227"/>
              <w:jc w:val="center"/>
              <w:rPr>
                <w:sz w:val="20"/>
              </w:rPr>
            </w:pPr>
            <w:r>
              <w:rPr>
                <w:spacing w:val="-5"/>
                <w:sz w:val="20"/>
              </w:rPr>
              <w:t>3.0</w:t>
            </w:r>
          </w:p>
        </w:tc>
        <w:tc>
          <w:tcPr>
            <w:tcW w:w="1326" w:type="dxa"/>
            <w:tcBorders>
              <w:top w:val="single" w:color="D9D9D9" w:sz="2" w:space="0"/>
              <w:bottom w:val="single" w:color="000000" w:sz="8" w:space="0"/>
            </w:tcBorders>
          </w:tcPr>
          <w:p w:rsidR="00C31389" w:rsidRDefault="00561FBD" w14:paraId="5477F982" w14:textId="77777777">
            <w:pPr>
              <w:pStyle w:val="TableParagraph"/>
              <w:spacing w:before="155"/>
              <w:ind w:left="294"/>
              <w:rPr>
                <w:sz w:val="20"/>
              </w:rPr>
            </w:pPr>
            <w:r>
              <w:rPr>
                <w:spacing w:val="-2"/>
                <w:sz w:val="20"/>
              </w:rPr>
              <w:t>$0.20</w:t>
            </w:r>
          </w:p>
        </w:tc>
        <w:tc>
          <w:tcPr>
            <w:tcW w:w="866" w:type="dxa"/>
            <w:tcBorders>
              <w:top w:val="single" w:color="D9D9D9" w:sz="2" w:space="0"/>
              <w:bottom w:val="single" w:color="000000" w:sz="8" w:space="0"/>
            </w:tcBorders>
          </w:tcPr>
          <w:p w:rsidR="00C31389" w:rsidRDefault="00561FBD" w14:paraId="19ABD5C2" w14:textId="77777777">
            <w:pPr>
              <w:pStyle w:val="TableParagraph"/>
              <w:spacing w:before="155"/>
              <w:ind w:right="188"/>
              <w:jc w:val="center"/>
              <w:rPr>
                <w:sz w:val="20"/>
              </w:rPr>
            </w:pPr>
            <w:r>
              <w:rPr>
                <w:spacing w:val="-2"/>
                <w:sz w:val="20"/>
              </w:rPr>
              <w:t>$1.35</w:t>
            </w:r>
          </w:p>
        </w:tc>
        <w:tc>
          <w:tcPr>
            <w:tcW w:w="1195" w:type="dxa"/>
            <w:tcBorders>
              <w:top w:val="single" w:color="D9D9D9" w:sz="2" w:space="0"/>
              <w:bottom w:val="single" w:color="000000" w:sz="8" w:space="0"/>
            </w:tcBorders>
          </w:tcPr>
          <w:p w:rsidR="00C31389" w:rsidRDefault="00561FBD" w14:paraId="70342BAC" w14:textId="77777777">
            <w:pPr>
              <w:pStyle w:val="TableParagraph"/>
              <w:spacing w:before="155"/>
              <w:ind w:left="180" w:right="155"/>
              <w:jc w:val="center"/>
              <w:rPr>
                <w:sz w:val="20"/>
              </w:rPr>
            </w:pPr>
            <w:r>
              <w:rPr>
                <w:spacing w:val="-2"/>
                <w:sz w:val="20"/>
              </w:rPr>
              <w:t>0.000195</w:t>
            </w:r>
          </w:p>
        </w:tc>
      </w:tr>
    </w:tbl>
    <w:p w:rsidR="00C31389" w:rsidRDefault="00561FBD" w14:paraId="66E955A3"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20873B03" w14:textId="77777777">
      <w:pPr>
        <w:pStyle w:val="BodyText"/>
        <w:rPr>
          <w:i/>
          <w:sz w:val="20"/>
        </w:rPr>
      </w:pPr>
    </w:p>
    <w:p w:rsidR="00C31389" w:rsidRDefault="00561FBD" w14:paraId="7EEFB209" w14:textId="77777777">
      <w:pPr>
        <w:pStyle w:val="ListParagraph"/>
        <w:numPr>
          <w:ilvl w:val="2"/>
          <w:numId w:val="19"/>
        </w:numPr>
        <w:tabs>
          <w:tab w:val="left" w:pos="1196"/>
        </w:tabs>
        <w:spacing w:before="129"/>
        <w:ind w:left="1196" w:hanging="716"/>
        <w:rPr>
          <w:b/>
          <w:sz w:val="24"/>
        </w:rPr>
      </w:pPr>
      <w:bookmarkStart w:name="D.12.2_Assumptions_and_Methodology" w:id="571"/>
      <w:bookmarkStart w:name="_bookmark438" w:id="572"/>
      <w:bookmarkEnd w:id="571"/>
      <w:bookmarkEnd w:id="572"/>
      <w:r>
        <w:rPr>
          <w:b/>
          <w:sz w:val="24"/>
        </w:rPr>
        <w:t>Assumptions</w:t>
      </w:r>
      <w:r>
        <w:rPr>
          <w:b/>
          <w:spacing w:val="-5"/>
          <w:sz w:val="24"/>
        </w:rPr>
        <w:t xml:space="preserve"> </w:t>
      </w:r>
      <w:r>
        <w:rPr>
          <w:b/>
          <w:sz w:val="24"/>
        </w:rPr>
        <w:t>and</w:t>
      </w:r>
      <w:r>
        <w:rPr>
          <w:b/>
          <w:spacing w:val="-4"/>
          <w:sz w:val="24"/>
        </w:rPr>
        <w:t xml:space="preserve"> </w:t>
      </w:r>
      <w:r>
        <w:rPr>
          <w:b/>
          <w:spacing w:val="-2"/>
          <w:sz w:val="24"/>
        </w:rPr>
        <w:t>Methodology</w:t>
      </w:r>
    </w:p>
    <w:p w:rsidR="00C31389" w:rsidRDefault="00C31389" w14:paraId="4C8DFC34" w14:textId="77777777">
      <w:pPr>
        <w:pStyle w:val="BodyText"/>
        <w:spacing w:before="3"/>
        <w:rPr>
          <w:b/>
          <w:sz w:val="23"/>
        </w:rPr>
      </w:pPr>
    </w:p>
    <w:p w:rsidR="00C31389" w:rsidRDefault="00561FBD" w14:paraId="7E113752" w14:textId="77777777">
      <w:pPr>
        <w:pStyle w:val="Heading8"/>
        <w:ind w:left="480" w:firstLine="0"/>
      </w:pPr>
      <w:r>
        <w:t>Eligibility</w:t>
      </w:r>
      <w:r>
        <w:rPr>
          <w:spacing w:val="-8"/>
        </w:rPr>
        <w:t xml:space="preserve"> </w:t>
      </w:r>
      <w:r>
        <w:t>and</w:t>
      </w:r>
      <w:r>
        <w:rPr>
          <w:spacing w:val="-7"/>
        </w:rPr>
        <w:t xml:space="preserve"> </w:t>
      </w:r>
      <w:r>
        <w:rPr>
          <w:spacing w:val="-2"/>
        </w:rPr>
        <w:t>Participation</w:t>
      </w:r>
    </w:p>
    <w:p w:rsidR="00C31389" w:rsidRDefault="00C31389" w14:paraId="75843C39" w14:textId="77777777">
      <w:pPr>
        <w:pStyle w:val="BodyText"/>
        <w:spacing w:before="10"/>
        <w:rPr>
          <w:b/>
          <w:i/>
          <w:sz w:val="20"/>
        </w:rPr>
      </w:pPr>
    </w:p>
    <w:p w:rsidR="00C31389" w:rsidRDefault="00561FBD" w14:paraId="6D074539" w14:textId="77777777">
      <w:pPr>
        <w:pStyle w:val="BodyText"/>
        <w:ind w:left="479" w:right="443"/>
      </w:pPr>
      <w:r>
        <w:t xml:space="preserve">Eligibility and participation estimates in the 2023 </w:t>
      </w:r>
      <w:r>
        <w:t>Study are consistent with the 2021 Study, which defined eligibility and participation based on guidance provided by the CPUC regarding the IOUs and as part of the 2017 SEM pilot program development effort and program-reported savings.</w:t>
      </w:r>
      <w:hyperlink w:history="1" w:anchor="_bookmark441">
        <w:r>
          <w:rPr>
            <w:position w:val="7"/>
            <w:sz w:val="14"/>
          </w:rPr>
          <w:t>176</w:t>
        </w:r>
      </w:hyperlink>
      <w:r>
        <w:rPr>
          <w:spacing w:val="35"/>
          <w:position w:val="7"/>
          <w:sz w:val="14"/>
        </w:rPr>
        <w:t xml:space="preserve"> </w:t>
      </w:r>
      <w:r>
        <w:t>The analysis also considers historical RCx participation as a proxy for SEM to establish costs and trends. Per the design of the CPUC SEM pilot and the market considerations expressed in the IOU Business Plan</w:t>
      </w:r>
      <w:r>
        <w:t>s, savings in the industrial sector begin in 2019 for high use market segments, including the petroleum, food, electronics, and chemicals segments, while more widespread implementation for all other industrial</w:t>
      </w:r>
      <w:r>
        <w:rPr>
          <w:spacing w:val="40"/>
        </w:rPr>
        <w:t xml:space="preserve"> </w:t>
      </w:r>
      <w:r>
        <w:t xml:space="preserve">segments begins in 2021. Although SEM applies </w:t>
      </w:r>
      <w:r>
        <w:t>to all customer sizes in theory, in practice, the</w:t>
      </w:r>
      <w:r>
        <w:rPr>
          <w:spacing w:val="-3"/>
        </w:rPr>
        <w:t xml:space="preserve"> </w:t>
      </w:r>
      <w:r>
        <w:t>applicability</w:t>
      </w:r>
      <w:r>
        <w:rPr>
          <w:spacing w:val="-3"/>
        </w:rPr>
        <w:t xml:space="preserve"> </w:t>
      </w:r>
      <w:r>
        <w:t>of</w:t>
      </w:r>
      <w:r>
        <w:rPr>
          <w:spacing w:val="-3"/>
        </w:rPr>
        <w:t xml:space="preserve"> </w:t>
      </w:r>
      <w:r>
        <w:t>SEM</w:t>
      </w:r>
      <w:r>
        <w:rPr>
          <w:spacing w:val="-4"/>
        </w:rPr>
        <w:t xml:space="preserve"> </w:t>
      </w:r>
      <w:r>
        <w:t>is</w:t>
      </w:r>
      <w:r>
        <w:rPr>
          <w:spacing w:val="-3"/>
        </w:rPr>
        <w:t xml:space="preserve"> </w:t>
      </w:r>
      <w:r>
        <w:t>constrained</w:t>
      </w:r>
      <w:r>
        <w:rPr>
          <w:spacing w:val="-3"/>
        </w:rPr>
        <w:t xml:space="preserve"> </w:t>
      </w:r>
      <w:r>
        <w:t>to</w:t>
      </w:r>
      <w:r>
        <w:rPr>
          <w:spacing w:val="-3"/>
        </w:rPr>
        <w:t xml:space="preserve"> </w:t>
      </w:r>
      <w:r>
        <w:t>large</w:t>
      </w:r>
      <w:r>
        <w:rPr>
          <w:spacing w:val="-3"/>
        </w:rPr>
        <w:t xml:space="preserve"> </w:t>
      </w:r>
      <w:r>
        <w:t>customers.</w:t>
      </w:r>
      <w:r>
        <w:rPr>
          <w:spacing w:val="-3"/>
        </w:rPr>
        <w:t xml:space="preserve"> </w:t>
      </w:r>
      <w:r>
        <w:t>In</w:t>
      </w:r>
      <w:r>
        <w:rPr>
          <w:spacing w:val="-3"/>
        </w:rPr>
        <w:t xml:space="preserve"> </w:t>
      </w:r>
      <w:r>
        <w:t>general,</w:t>
      </w:r>
      <w:r>
        <w:rPr>
          <w:spacing w:val="-3"/>
        </w:rPr>
        <w:t xml:space="preserve"> </w:t>
      </w:r>
      <w:r>
        <w:t>this</w:t>
      </w:r>
      <w:r>
        <w:rPr>
          <w:spacing w:val="-4"/>
        </w:rPr>
        <w:t xml:space="preserve"> </w:t>
      </w:r>
      <w:r>
        <w:t>guidance</w:t>
      </w:r>
      <w:r>
        <w:rPr>
          <w:spacing w:val="-3"/>
        </w:rPr>
        <w:t xml:space="preserve"> </w:t>
      </w:r>
      <w:r>
        <w:t>does</w:t>
      </w:r>
      <w:r>
        <w:rPr>
          <w:spacing w:val="-3"/>
        </w:rPr>
        <w:t xml:space="preserve"> </w:t>
      </w:r>
      <w:r>
        <w:t xml:space="preserve">not mean that any industrial or agriculture market segment will be excluded from participating in SEM, but it does </w:t>
      </w:r>
      <w:r>
        <w:t>restrict the applicability of SEM to larger participants in each market segment. Consequently, an applicability factor for SEM was defined for all industrial and</w:t>
      </w:r>
    </w:p>
    <w:p w:rsidR="00C31389" w:rsidRDefault="00561FBD" w14:paraId="4AF798E9" w14:textId="77777777">
      <w:pPr>
        <w:pStyle w:val="BodyText"/>
        <w:spacing w:before="8"/>
      </w:pPr>
      <w:r>
        <w:rPr>
          <w:noProof/>
        </w:rPr>
        <mc:AlternateContent>
          <mc:Choice Requires="wps">
            <w:drawing>
              <wp:anchor distT="0" distB="0" distL="0" distR="0" simplePos="0" relativeHeight="487730688" behindDoc="1" locked="0" layoutInCell="1" allowOverlap="1" wp14:editId="7DFE1285" wp14:anchorId="411FDA14">
                <wp:simplePos x="0" y="0"/>
                <wp:positionH relativeFrom="page">
                  <wp:posOffset>914400</wp:posOffset>
                </wp:positionH>
                <wp:positionV relativeFrom="paragraph">
                  <wp:posOffset>181294</wp:posOffset>
                </wp:positionV>
                <wp:extent cx="1828800" cy="6985"/>
                <wp:effectExtent l="0" t="0" r="0" b="0"/>
                <wp:wrapTopAndBottom/>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60" style="position:absolute;margin-left:1in;margin-top:14.3pt;width:2in;height:.55pt;z-index:-1558579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" w14:anchorId="26E07CC3">
                <v:path arrowok="t"/>
                <w10:wrap type="topAndBottom" anchorx="page"/>
              </v:shape>
            </w:pict>
          </mc:Fallback>
        </mc:AlternateContent>
      </w:r>
    </w:p>
    <w:p w:rsidR="00C31389" w:rsidRDefault="00561FBD" w14:paraId="17B21091" w14:textId="77777777">
      <w:pPr>
        <w:spacing w:before="89"/>
        <w:ind w:left="480"/>
        <w:rPr>
          <w:sz w:val="18"/>
        </w:rPr>
      </w:pPr>
      <w:bookmarkStart w:name="_bookmark439" w:id="573"/>
      <w:bookmarkEnd w:id="573"/>
      <w:r>
        <w:rPr>
          <w:position w:val="6"/>
          <w:sz w:val="12"/>
        </w:rPr>
        <w:t>174</w:t>
      </w:r>
      <w:r>
        <w:rPr>
          <w:spacing w:val="14"/>
          <w:position w:val="6"/>
          <w:sz w:val="12"/>
        </w:rPr>
        <w:t xml:space="preserve"> </w:t>
      </w:r>
      <w:r>
        <w:rPr>
          <w:sz w:val="18"/>
        </w:rPr>
        <w:t>Version</w:t>
      </w:r>
      <w:r>
        <w:rPr>
          <w:spacing w:val="-4"/>
          <w:sz w:val="18"/>
        </w:rPr>
        <w:t xml:space="preserve"> </w:t>
      </w:r>
      <w:r>
        <w:rPr>
          <w:sz w:val="18"/>
        </w:rPr>
        <w:t>1.0,</w:t>
      </w:r>
      <w:r>
        <w:rPr>
          <w:spacing w:val="-3"/>
          <w:sz w:val="18"/>
        </w:rPr>
        <w:t xml:space="preserve"> </w:t>
      </w:r>
      <w:r>
        <w:rPr>
          <w:sz w:val="18"/>
        </w:rPr>
        <w:t>February</w:t>
      </w:r>
      <w:r>
        <w:rPr>
          <w:spacing w:val="-2"/>
          <w:sz w:val="18"/>
        </w:rPr>
        <w:t xml:space="preserve"> </w:t>
      </w:r>
      <w:r>
        <w:rPr>
          <w:sz w:val="18"/>
        </w:rPr>
        <w:t>8,</w:t>
      </w:r>
      <w:r>
        <w:rPr>
          <w:spacing w:val="-3"/>
          <w:sz w:val="18"/>
        </w:rPr>
        <w:t xml:space="preserve"> </w:t>
      </w:r>
      <w:r>
        <w:rPr>
          <w:sz w:val="18"/>
        </w:rPr>
        <w:t>2017.</w:t>
      </w:r>
      <w:r>
        <w:rPr>
          <w:spacing w:val="-3"/>
          <w:sz w:val="18"/>
        </w:rPr>
        <w:t xml:space="preserve"> </w:t>
      </w:r>
      <w:r>
        <w:rPr>
          <w:sz w:val="18"/>
        </w:rPr>
        <w:t>Prepared</w:t>
      </w:r>
      <w:r>
        <w:rPr>
          <w:spacing w:val="-4"/>
          <w:sz w:val="18"/>
        </w:rPr>
        <w:t xml:space="preserve"> </w:t>
      </w:r>
      <w:r>
        <w:rPr>
          <w:sz w:val="18"/>
        </w:rPr>
        <w:t>by</w:t>
      </w:r>
      <w:r>
        <w:rPr>
          <w:spacing w:val="-1"/>
          <w:sz w:val="18"/>
        </w:rPr>
        <w:t xml:space="preserve"> </w:t>
      </w:r>
      <w:r>
        <w:rPr>
          <w:sz w:val="18"/>
        </w:rPr>
        <w:t>Sergio</w:t>
      </w:r>
      <w:r>
        <w:rPr>
          <w:spacing w:val="-4"/>
          <w:sz w:val="18"/>
        </w:rPr>
        <w:t xml:space="preserve"> </w:t>
      </w:r>
      <w:r>
        <w:rPr>
          <w:sz w:val="18"/>
        </w:rPr>
        <w:t>Dias</w:t>
      </w:r>
      <w:r>
        <w:rPr>
          <w:spacing w:val="-3"/>
          <w:sz w:val="18"/>
        </w:rPr>
        <w:t xml:space="preserve"> </w:t>
      </w:r>
      <w:r>
        <w:rPr>
          <w:sz w:val="18"/>
        </w:rPr>
        <w:t>Consulting</w:t>
      </w:r>
      <w:r>
        <w:rPr>
          <w:spacing w:val="-1"/>
          <w:sz w:val="18"/>
        </w:rPr>
        <w:t xml:space="preserve"> </w:t>
      </w:r>
      <w:r>
        <w:rPr>
          <w:spacing w:val="-4"/>
          <w:sz w:val="18"/>
        </w:rPr>
        <w:t>LLC.</w:t>
      </w:r>
    </w:p>
    <w:p w:rsidR="00C31389" w:rsidRDefault="00561FBD" w14:paraId="25325010" w14:textId="77777777">
      <w:pPr>
        <w:spacing w:before="36"/>
        <w:ind w:left="480"/>
        <w:rPr>
          <w:sz w:val="18"/>
        </w:rPr>
      </w:pPr>
      <w:bookmarkStart w:name="_bookmark440" w:id="574"/>
      <w:bookmarkEnd w:id="574"/>
      <w:r>
        <w:rPr>
          <w:position w:val="6"/>
          <w:sz w:val="12"/>
        </w:rPr>
        <w:t>175</w:t>
      </w:r>
      <w:r>
        <w:rPr>
          <w:spacing w:val="14"/>
          <w:position w:val="6"/>
          <w:sz w:val="12"/>
        </w:rPr>
        <w:t xml:space="preserve"> </w:t>
      </w:r>
      <w:r>
        <w:rPr>
          <w:sz w:val="18"/>
        </w:rPr>
        <w:t>Analysis</w:t>
      </w:r>
      <w:r>
        <w:rPr>
          <w:spacing w:val="-2"/>
          <w:sz w:val="18"/>
        </w:rPr>
        <w:t xml:space="preserve"> </w:t>
      </w:r>
      <w:r>
        <w:rPr>
          <w:sz w:val="18"/>
        </w:rPr>
        <w:t>of</w:t>
      </w:r>
      <w:r>
        <w:rPr>
          <w:spacing w:val="-2"/>
          <w:sz w:val="18"/>
        </w:rPr>
        <w:t xml:space="preserve"> </w:t>
      </w:r>
      <w:r>
        <w:rPr>
          <w:sz w:val="18"/>
        </w:rPr>
        <w:t>r</w:t>
      </w:r>
      <w:r>
        <w:rPr>
          <w:sz w:val="18"/>
        </w:rPr>
        <w:t>eported</w:t>
      </w:r>
      <w:r>
        <w:rPr>
          <w:spacing w:val="-3"/>
          <w:sz w:val="18"/>
        </w:rPr>
        <w:t xml:space="preserve"> </w:t>
      </w:r>
      <w:r>
        <w:rPr>
          <w:sz w:val="18"/>
        </w:rPr>
        <w:t>costs</w:t>
      </w:r>
      <w:r>
        <w:rPr>
          <w:spacing w:val="-2"/>
          <w:sz w:val="18"/>
        </w:rPr>
        <w:t xml:space="preserve"> </w:t>
      </w:r>
      <w:r>
        <w:rPr>
          <w:sz w:val="18"/>
        </w:rPr>
        <w:t>from</w:t>
      </w:r>
      <w:r>
        <w:rPr>
          <w:spacing w:val="-2"/>
          <w:sz w:val="18"/>
        </w:rPr>
        <w:t xml:space="preserve"> </w:t>
      </w:r>
      <w:r>
        <w:rPr>
          <w:sz w:val="18"/>
        </w:rPr>
        <w:t>using</w:t>
      </w:r>
      <w:r>
        <w:rPr>
          <w:spacing w:val="-3"/>
          <w:sz w:val="18"/>
        </w:rPr>
        <w:t xml:space="preserve"> </w:t>
      </w:r>
      <w:r>
        <w:rPr>
          <w:sz w:val="18"/>
        </w:rPr>
        <w:t>the</w:t>
      </w:r>
      <w:r>
        <w:rPr>
          <w:spacing w:val="-2"/>
          <w:sz w:val="18"/>
        </w:rPr>
        <w:t xml:space="preserve"> </w:t>
      </w:r>
      <w:r>
        <w:rPr>
          <w:sz w:val="18"/>
        </w:rPr>
        <w:t>2019</w:t>
      </w:r>
      <w:r>
        <w:rPr>
          <w:spacing w:val="-3"/>
          <w:sz w:val="18"/>
        </w:rPr>
        <w:t xml:space="preserve"> </w:t>
      </w:r>
      <w:r>
        <w:rPr>
          <w:sz w:val="18"/>
        </w:rPr>
        <w:t>Claims</w:t>
      </w:r>
      <w:r>
        <w:rPr>
          <w:spacing w:val="-2"/>
          <w:sz w:val="18"/>
        </w:rPr>
        <w:t xml:space="preserve"> </w:t>
      </w:r>
      <w:r>
        <w:rPr>
          <w:sz w:val="18"/>
        </w:rPr>
        <w:t>CEDARS</w:t>
      </w:r>
      <w:r>
        <w:rPr>
          <w:spacing w:val="-2"/>
          <w:sz w:val="18"/>
        </w:rPr>
        <w:t xml:space="preserve"> data.</w:t>
      </w:r>
    </w:p>
    <w:p w:rsidR="00C31389" w:rsidRDefault="00561FBD" w14:paraId="163630EF" w14:textId="77777777">
      <w:pPr>
        <w:spacing w:before="34"/>
        <w:ind w:left="479" w:right="418"/>
        <w:rPr>
          <w:sz w:val="18"/>
        </w:rPr>
      </w:pPr>
      <w:bookmarkStart w:name="_bookmark441" w:id="575"/>
      <w:bookmarkEnd w:id="575"/>
      <w:r>
        <w:rPr>
          <w:position w:val="6"/>
          <w:sz w:val="12"/>
        </w:rPr>
        <w:t>176</w:t>
      </w:r>
      <w:r>
        <w:rPr>
          <w:spacing w:val="27"/>
          <w:position w:val="6"/>
          <w:sz w:val="12"/>
        </w:rPr>
        <w:t xml:space="preserve"> </w:t>
      </w:r>
      <w:r>
        <w:rPr>
          <w:sz w:val="18"/>
        </w:rPr>
        <w:t xml:space="preserve">Strategic Energy Management – Comments and Responses on Design and EMV Guides, </w:t>
      </w:r>
      <w:hyperlink r:id="rId293">
        <w:r>
          <w:rPr>
            <w:color w:val="68942C"/>
            <w:sz w:val="18"/>
            <w:u w:val="single" w:color="68942C"/>
          </w:rPr>
          <w:t>http://www.energydataweb.com/cpuc/search.aspx</w:t>
        </w:r>
        <w:r>
          <w:rPr>
            <w:sz w:val="18"/>
          </w:rPr>
          <w:t>;</w:t>
        </w:r>
      </w:hyperlink>
      <w:r>
        <w:rPr>
          <w:spacing w:val="-5"/>
          <w:sz w:val="18"/>
        </w:rPr>
        <w:t xml:space="preserve"> </w:t>
      </w:r>
      <w:r>
        <w:rPr>
          <w:sz w:val="18"/>
        </w:rPr>
        <w:t>program-reported</w:t>
      </w:r>
      <w:r>
        <w:rPr>
          <w:spacing w:val="-5"/>
          <w:sz w:val="18"/>
        </w:rPr>
        <w:t xml:space="preserve"> </w:t>
      </w:r>
      <w:r>
        <w:rPr>
          <w:sz w:val="18"/>
        </w:rPr>
        <w:t>savings</w:t>
      </w:r>
      <w:r>
        <w:rPr>
          <w:spacing w:val="-5"/>
          <w:sz w:val="18"/>
        </w:rPr>
        <w:t xml:space="preserve"> </w:t>
      </w:r>
      <w:r>
        <w:rPr>
          <w:sz w:val="18"/>
        </w:rPr>
        <w:t>are</w:t>
      </w:r>
      <w:r>
        <w:rPr>
          <w:spacing w:val="-5"/>
          <w:sz w:val="18"/>
        </w:rPr>
        <w:t xml:space="preserve"> </w:t>
      </w:r>
      <w:r>
        <w:rPr>
          <w:sz w:val="18"/>
        </w:rPr>
        <w:t>from</w:t>
      </w:r>
      <w:r>
        <w:rPr>
          <w:spacing w:val="-5"/>
          <w:sz w:val="18"/>
        </w:rPr>
        <w:t xml:space="preserve"> </w:t>
      </w:r>
      <w:r>
        <w:rPr>
          <w:sz w:val="18"/>
        </w:rPr>
        <w:t>the</w:t>
      </w:r>
      <w:r>
        <w:rPr>
          <w:spacing w:val="-4"/>
          <w:sz w:val="18"/>
        </w:rPr>
        <w:t xml:space="preserve"> </w:t>
      </w:r>
      <w:r>
        <w:rPr>
          <w:sz w:val="18"/>
        </w:rPr>
        <w:t>CEDARS</w:t>
      </w:r>
      <w:r>
        <w:rPr>
          <w:spacing w:val="-5"/>
          <w:sz w:val="18"/>
        </w:rPr>
        <w:t xml:space="preserve"> </w:t>
      </w:r>
      <w:r>
        <w:rPr>
          <w:sz w:val="18"/>
        </w:rPr>
        <w:t>2019</w:t>
      </w:r>
      <w:r>
        <w:rPr>
          <w:spacing w:val="-5"/>
          <w:sz w:val="18"/>
        </w:rPr>
        <w:t xml:space="preserve"> </w:t>
      </w:r>
      <w:r>
        <w:rPr>
          <w:sz w:val="18"/>
        </w:rPr>
        <w:t>claims. Evaluation, measurement, and verification reports of recent SEM participation have not yet been reported at the time of this analysis.</w:t>
      </w:r>
    </w:p>
    <w:p w:rsidR="00C31389" w:rsidRDefault="00C31389" w14:paraId="3800005D" w14:textId="77777777">
      <w:pPr>
        <w:rPr>
          <w:sz w:val="18"/>
        </w:rPr>
        <w:sectPr w:rsidR="00C31389">
          <w:pgSz w:w="11910" w:h="16840"/>
          <w:pgMar w:top="1660" w:right="1020" w:bottom="1120" w:left="960" w:header="397" w:footer="938" w:gutter="0"/>
          <w:cols w:space="720"/>
        </w:sectPr>
      </w:pPr>
    </w:p>
    <w:p w:rsidR="00C31389" w:rsidRDefault="00C31389" w14:paraId="731ACAD2" w14:textId="77777777">
      <w:pPr>
        <w:pStyle w:val="BodyText"/>
        <w:spacing w:before="11"/>
        <w:rPr>
          <w:sz w:val="13"/>
        </w:rPr>
      </w:pPr>
    </w:p>
    <w:p w:rsidR="00C31389" w:rsidRDefault="00561FBD" w14:paraId="65E3CEBA" w14:textId="77777777">
      <w:pPr>
        <w:pStyle w:val="BodyText"/>
        <w:spacing w:before="92"/>
        <w:ind w:left="479" w:right="505"/>
        <w:jc w:val="both"/>
      </w:pPr>
      <w:r>
        <w:t>agriculture</w:t>
      </w:r>
      <w:r>
        <w:rPr>
          <w:spacing w:val="-1"/>
        </w:rPr>
        <w:t xml:space="preserve"> </w:t>
      </w:r>
      <w:r>
        <w:t>market sectors; this factor</w:t>
      </w:r>
      <w:r>
        <w:rPr>
          <w:spacing w:val="-1"/>
        </w:rPr>
        <w:t xml:space="preserve"> </w:t>
      </w:r>
      <w:r>
        <w:t>ranged between 39% and 93% for electricity</w:t>
      </w:r>
      <w:r>
        <w:rPr>
          <w:spacing w:val="-1"/>
        </w:rPr>
        <w:t xml:space="preserve"> </w:t>
      </w:r>
      <w:r>
        <w:t>and 48% to</w:t>
      </w:r>
      <w:r>
        <w:rPr>
          <w:spacing w:val="-2"/>
        </w:rPr>
        <w:t xml:space="preserve"> </w:t>
      </w:r>
      <w:r>
        <w:t>99%</w:t>
      </w:r>
      <w:r>
        <w:rPr>
          <w:spacing w:val="-2"/>
        </w:rPr>
        <w:t xml:space="preserve"> </w:t>
      </w:r>
      <w:r>
        <w:t>for</w:t>
      </w:r>
      <w:r>
        <w:rPr>
          <w:spacing w:val="-2"/>
        </w:rPr>
        <w:t xml:space="preserve"> </w:t>
      </w:r>
      <w:r>
        <w:t>natural</w:t>
      </w:r>
      <w:r>
        <w:rPr>
          <w:spacing w:val="-2"/>
        </w:rPr>
        <w:t xml:space="preserve"> </w:t>
      </w:r>
      <w:r>
        <w:t>gas</w:t>
      </w:r>
      <w:r>
        <w:rPr>
          <w:spacing w:val="-2"/>
        </w:rPr>
        <w:t xml:space="preserve"> </w:t>
      </w:r>
      <w:r>
        <w:t>for</w:t>
      </w:r>
      <w:r>
        <w:rPr>
          <w:spacing w:val="-2"/>
        </w:rPr>
        <w:t xml:space="preserve"> </w:t>
      </w:r>
      <w:r>
        <w:t>the</w:t>
      </w:r>
      <w:r>
        <w:rPr>
          <w:spacing w:val="-2"/>
        </w:rPr>
        <w:t xml:space="preserve"> </w:t>
      </w:r>
      <w:r>
        <w:t>industrial</w:t>
      </w:r>
      <w:r>
        <w:rPr>
          <w:spacing w:val="-2"/>
        </w:rPr>
        <w:t xml:space="preserve"> </w:t>
      </w:r>
      <w:r>
        <w:t>sector,</w:t>
      </w:r>
      <w:r>
        <w:rPr>
          <w:spacing w:val="-2"/>
        </w:rPr>
        <w:t xml:space="preserve"> </w:t>
      </w:r>
      <w:r>
        <w:t>as</w:t>
      </w:r>
      <w:r>
        <w:rPr>
          <w:spacing w:val="-3"/>
        </w:rPr>
        <w:t xml:space="preserve"> </w:t>
      </w:r>
      <w:hyperlink w:history="1" w:anchor="_bookmark442">
        <w:r>
          <w:t>Table</w:t>
        </w:r>
        <w:r>
          <w:rPr>
            <w:spacing w:val="-2"/>
          </w:rPr>
          <w:t xml:space="preserve"> </w:t>
        </w:r>
        <w:r>
          <w:t>D-17</w:t>
        </w:r>
      </w:hyperlink>
      <w:r>
        <w:rPr>
          <w:spacing w:val="-2"/>
        </w:rPr>
        <w:t xml:space="preserve"> </w:t>
      </w:r>
      <w:r>
        <w:t>shows,</w:t>
      </w:r>
      <w:r>
        <w:rPr>
          <w:spacing w:val="-2"/>
        </w:rPr>
        <w:t xml:space="preserve"> </w:t>
      </w:r>
      <w:r>
        <w:t>and</w:t>
      </w:r>
      <w:r>
        <w:rPr>
          <w:spacing w:val="-3"/>
        </w:rPr>
        <w:t xml:space="preserve"> </w:t>
      </w:r>
      <w:r>
        <w:t>between</w:t>
      </w:r>
      <w:r>
        <w:rPr>
          <w:spacing w:val="-2"/>
        </w:rPr>
        <w:t xml:space="preserve"> </w:t>
      </w:r>
      <w:r>
        <w:t>40%</w:t>
      </w:r>
      <w:r>
        <w:rPr>
          <w:spacing w:val="-2"/>
        </w:rPr>
        <w:t xml:space="preserve"> </w:t>
      </w:r>
      <w:r>
        <w:t>and 65% for b</w:t>
      </w:r>
      <w:r>
        <w:t xml:space="preserve">oth electricity and natural gas for the agriculture sector, as </w:t>
      </w:r>
      <w:hyperlink w:history="1" w:anchor="_bookmark443">
        <w:r>
          <w:t>Table D-18</w:t>
        </w:r>
      </w:hyperlink>
      <w:r>
        <w:t xml:space="preserve"> shows.</w:t>
      </w:r>
    </w:p>
    <w:p w:rsidR="00C31389" w:rsidRDefault="00C31389" w14:paraId="6F7E99E6" w14:textId="77777777">
      <w:pPr>
        <w:pStyle w:val="BodyText"/>
        <w:spacing w:before="10"/>
        <w:rPr>
          <w:sz w:val="20"/>
        </w:rPr>
      </w:pPr>
    </w:p>
    <w:p w:rsidR="00C31389" w:rsidRDefault="00561FBD" w14:paraId="66E2EEB5" w14:textId="77777777">
      <w:pPr>
        <w:pStyle w:val="Heading7"/>
        <w:ind w:left="398" w:right="340"/>
        <w:jc w:val="center"/>
      </w:pPr>
      <w:bookmarkStart w:name="_bookmark442" w:id="576"/>
      <w:bookmarkEnd w:id="576"/>
      <w:r>
        <w:t>Table</w:t>
      </w:r>
      <w:r>
        <w:rPr>
          <w:spacing w:val="-8"/>
        </w:rPr>
        <w:t xml:space="preserve"> </w:t>
      </w:r>
      <w:r>
        <w:t>D-17.</w:t>
      </w:r>
      <w:r>
        <w:rPr>
          <w:spacing w:val="-8"/>
        </w:rPr>
        <w:t xml:space="preserve"> </w:t>
      </w:r>
      <w:r>
        <w:t>Industrial</w:t>
      </w:r>
      <w:r>
        <w:rPr>
          <w:spacing w:val="-7"/>
        </w:rPr>
        <w:t xml:space="preserve"> </w:t>
      </w:r>
      <w:r>
        <w:t>SEM</w:t>
      </w:r>
      <w:r>
        <w:rPr>
          <w:spacing w:val="-7"/>
        </w:rPr>
        <w:t xml:space="preserve"> </w:t>
      </w:r>
      <w:r>
        <w:rPr>
          <w:spacing w:val="-2"/>
        </w:rPr>
        <w:t>Applicability</w:t>
      </w:r>
    </w:p>
    <w:p w:rsidR="00C31389" w:rsidRDefault="00C31389" w14:paraId="2AEC9429" w14:textId="77777777">
      <w:pPr>
        <w:pStyle w:val="BodyText"/>
        <w:spacing w:before="7"/>
        <w:rPr>
          <w:b/>
          <w:sz w:val="9"/>
        </w:rPr>
      </w:pPr>
    </w:p>
    <w:tbl>
      <w:tblPr>
        <w:tblW w:w="0" w:type="auto"/>
        <w:tblInd w:w="1393" w:type="dxa"/>
        <w:tblLayout w:type="fixed"/>
        <w:tblCellMar>
          <w:left w:w="0" w:type="dxa"/>
          <w:right w:w="0" w:type="dxa"/>
        </w:tblCellMar>
        <w:tblLook w:val="01E0" w:firstRow="1" w:lastRow="1" w:firstColumn="1" w:lastColumn="1" w:noHBand="0" w:noVBand="0"/>
      </w:tblPr>
      <w:tblGrid>
        <w:gridCol w:w="3689"/>
        <w:gridCol w:w="1699"/>
        <w:gridCol w:w="1821"/>
      </w:tblGrid>
      <w:tr w:rsidR="00C31389" w14:paraId="6DDC1DDC" w14:textId="77777777">
        <w:trPr>
          <w:trHeight w:val="320"/>
        </w:trPr>
        <w:tc>
          <w:tcPr>
            <w:tcW w:w="3689" w:type="dxa"/>
            <w:shd w:val="clear" w:color="auto" w:fill="92D400"/>
          </w:tcPr>
          <w:p w:rsidR="00C31389" w:rsidRDefault="00561FBD" w14:paraId="50FCACC7" w14:textId="77777777">
            <w:pPr>
              <w:pStyle w:val="TableParagraph"/>
              <w:ind w:left="122"/>
              <w:rPr>
                <w:b/>
                <w:sz w:val="20"/>
              </w:rPr>
            </w:pPr>
            <w:r>
              <w:rPr>
                <w:b/>
                <w:spacing w:val="-2"/>
                <w:sz w:val="20"/>
              </w:rPr>
              <w:t>Segment</w:t>
            </w:r>
          </w:p>
        </w:tc>
        <w:tc>
          <w:tcPr>
            <w:tcW w:w="1699" w:type="dxa"/>
            <w:shd w:val="clear" w:color="auto" w:fill="92D400"/>
          </w:tcPr>
          <w:p w:rsidR="00C31389" w:rsidRDefault="00561FBD" w14:paraId="087D3DDD" w14:textId="77777777">
            <w:pPr>
              <w:pStyle w:val="TableParagraph"/>
              <w:ind w:left="746" w:right="311"/>
              <w:jc w:val="center"/>
              <w:rPr>
                <w:b/>
                <w:sz w:val="20"/>
              </w:rPr>
            </w:pPr>
            <w:r>
              <w:rPr>
                <w:b/>
                <w:spacing w:val="-4"/>
                <w:sz w:val="20"/>
              </w:rPr>
              <w:t>Fuel</w:t>
            </w:r>
          </w:p>
        </w:tc>
        <w:tc>
          <w:tcPr>
            <w:tcW w:w="1821" w:type="dxa"/>
            <w:shd w:val="clear" w:color="auto" w:fill="92D400"/>
          </w:tcPr>
          <w:p w:rsidR="00C31389" w:rsidRDefault="00561FBD" w14:paraId="47BB0C85" w14:textId="77777777">
            <w:pPr>
              <w:pStyle w:val="TableParagraph"/>
              <w:ind w:left="317" w:right="300"/>
              <w:jc w:val="center"/>
              <w:rPr>
                <w:b/>
                <w:sz w:val="20"/>
              </w:rPr>
            </w:pPr>
            <w:r>
              <w:rPr>
                <w:b/>
                <w:spacing w:val="-2"/>
                <w:sz w:val="20"/>
              </w:rPr>
              <w:t>Applicability</w:t>
            </w:r>
          </w:p>
        </w:tc>
      </w:tr>
      <w:tr w:rsidR="00C31389" w14:paraId="6C601423" w14:textId="77777777">
        <w:trPr>
          <w:trHeight w:val="309"/>
        </w:trPr>
        <w:tc>
          <w:tcPr>
            <w:tcW w:w="3689" w:type="dxa"/>
            <w:tcBorders>
              <w:bottom w:val="single" w:color="D9D9D9" w:sz="2" w:space="0"/>
            </w:tcBorders>
          </w:tcPr>
          <w:p w:rsidR="00C31389" w:rsidRDefault="00561FBD" w14:paraId="30726F11"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Petroleum</w:t>
            </w:r>
          </w:p>
        </w:tc>
        <w:tc>
          <w:tcPr>
            <w:tcW w:w="1699" w:type="dxa"/>
            <w:tcBorders>
              <w:bottom w:val="single" w:color="D9D9D9" w:sz="2" w:space="0"/>
            </w:tcBorders>
          </w:tcPr>
          <w:p w:rsidR="00C31389" w:rsidRDefault="00561FBD" w14:paraId="311BB99E" w14:textId="77777777">
            <w:pPr>
              <w:pStyle w:val="TableParagraph"/>
              <w:ind w:left="746" w:right="311"/>
              <w:jc w:val="center"/>
              <w:rPr>
                <w:sz w:val="20"/>
              </w:rPr>
            </w:pPr>
            <w:r>
              <w:rPr>
                <w:spacing w:val="-5"/>
                <w:sz w:val="20"/>
              </w:rPr>
              <w:t>kWh</w:t>
            </w:r>
          </w:p>
        </w:tc>
        <w:tc>
          <w:tcPr>
            <w:tcW w:w="1821" w:type="dxa"/>
            <w:tcBorders>
              <w:bottom w:val="single" w:color="D9D9D9" w:sz="2" w:space="0"/>
            </w:tcBorders>
          </w:tcPr>
          <w:p w:rsidR="00C31389" w:rsidRDefault="00561FBD" w14:paraId="0FAC9F18" w14:textId="77777777">
            <w:pPr>
              <w:pStyle w:val="TableParagraph"/>
              <w:ind w:left="317" w:right="299"/>
              <w:jc w:val="center"/>
              <w:rPr>
                <w:sz w:val="20"/>
              </w:rPr>
            </w:pPr>
            <w:r>
              <w:rPr>
                <w:spacing w:val="-5"/>
                <w:sz w:val="20"/>
              </w:rPr>
              <w:t>93%</w:t>
            </w:r>
          </w:p>
        </w:tc>
      </w:tr>
      <w:tr w:rsidR="00C31389" w14:paraId="25955AE0" w14:textId="77777777">
        <w:trPr>
          <w:trHeight w:val="310"/>
        </w:trPr>
        <w:tc>
          <w:tcPr>
            <w:tcW w:w="3689" w:type="dxa"/>
            <w:tcBorders>
              <w:top w:val="single" w:color="D9D9D9" w:sz="2" w:space="0"/>
              <w:bottom w:val="single" w:color="D9D9D9" w:sz="2" w:space="0"/>
            </w:tcBorders>
          </w:tcPr>
          <w:p w:rsidR="00C31389" w:rsidRDefault="00561FBD" w14:paraId="3CF17A4D"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4"/>
                <w:sz w:val="20"/>
              </w:rPr>
              <w:t>Food</w:t>
            </w:r>
          </w:p>
        </w:tc>
        <w:tc>
          <w:tcPr>
            <w:tcW w:w="1699" w:type="dxa"/>
            <w:tcBorders>
              <w:top w:val="single" w:color="D9D9D9" w:sz="2" w:space="0"/>
              <w:bottom w:val="single" w:color="D9D9D9" w:sz="2" w:space="0"/>
            </w:tcBorders>
          </w:tcPr>
          <w:p w:rsidR="00C31389" w:rsidRDefault="00561FBD" w14:paraId="16EDB1EB"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37CF44F6" w14:textId="77777777">
            <w:pPr>
              <w:pStyle w:val="TableParagraph"/>
              <w:ind w:left="317" w:right="299"/>
              <w:jc w:val="center"/>
              <w:rPr>
                <w:sz w:val="20"/>
              </w:rPr>
            </w:pPr>
            <w:r>
              <w:rPr>
                <w:spacing w:val="-5"/>
                <w:sz w:val="20"/>
              </w:rPr>
              <w:t>77%</w:t>
            </w:r>
          </w:p>
        </w:tc>
      </w:tr>
      <w:tr w:rsidR="00C31389" w14:paraId="419EA166" w14:textId="77777777">
        <w:trPr>
          <w:trHeight w:val="309"/>
        </w:trPr>
        <w:tc>
          <w:tcPr>
            <w:tcW w:w="3689" w:type="dxa"/>
            <w:tcBorders>
              <w:top w:val="single" w:color="D9D9D9" w:sz="2" w:space="0"/>
              <w:bottom w:val="single" w:color="D9D9D9" w:sz="2" w:space="0"/>
            </w:tcBorders>
          </w:tcPr>
          <w:p w:rsidR="00C31389" w:rsidRDefault="00561FBD" w14:paraId="6DCBFE1E" w14:textId="77777777">
            <w:pPr>
              <w:pStyle w:val="TableParagraph"/>
              <w:ind w:left="122"/>
              <w:rPr>
                <w:sz w:val="20"/>
              </w:rPr>
            </w:pPr>
            <w:r>
              <w:rPr>
                <w:sz w:val="20"/>
              </w:rPr>
              <w:t>Ind</w:t>
            </w:r>
            <w:r>
              <w:rPr>
                <w:spacing w:val="-4"/>
                <w:sz w:val="20"/>
              </w:rPr>
              <w:t xml:space="preserve"> </w:t>
            </w:r>
            <w:r>
              <w:rPr>
                <w:sz w:val="20"/>
              </w:rPr>
              <w:t>–</w:t>
            </w:r>
            <w:r>
              <w:rPr>
                <w:spacing w:val="-1"/>
                <w:sz w:val="20"/>
              </w:rPr>
              <w:t xml:space="preserve"> </w:t>
            </w:r>
            <w:r>
              <w:rPr>
                <w:spacing w:val="-2"/>
                <w:sz w:val="20"/>
              </w:rPr>
              <w:t>Electronics</w:t>
            </w:r>
          </w:p>
        </w:tc>
        <w:tc>
          <w:tcPr>
            <w:tcW w:w="1699" w:type="dxa"/>
            <w:tcBorders>
              <w:top w:val="single" w:color="D9D9D9" w:sz="2" w:space="0"/>
              <w:bottom w:val="single" w:color="D9D9D9" w:sz="2" w:space="0"/>
            </w:tcBorders>
          </w:tcPr>
          <w:p w:rsidR="00C31389" w:rsidRDefault="00561FBD" w14:paraId="45E0AE53"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578C6F82" w14:textId="77777777">
            <w:pPr>
              <w:pStyle w:val="TableParagraph"/>
              <w:ind w:left="317" w:right="299"/>
              <w:jc w:val="center"/>
              <w:rPr>
                <w:sz w:val="20"/>
              </w:rPr>
            </w:pPr>
            <w:r>
              <w:rPr>
                <w:spacing w:val="-5"/>
                <w:sz w:val="20"/>
              </w:rPr>
              <w:t>45%</w:t>
            </w:r>
          </w:p>
        </w:tc>
      </w:tr>
      <w:tr w:rsidR="00C31389" w14:paraId="5D2F7BBC" w14:textId="77777777">
        <w:trPr>
          <w:trHeight w:val="310"/>
        </w:trPr>
        <w:tc>
          <w:tcPr>
            <w:tcW w:w="3689" w:type="dxa"/>
            <w:tcBorders>
              <w:top w:val="single" w:color="D9D9D9" w:sz="2" w:space="0"/>
              <w:bottom w:val="single" w:color="D9D9D9" w:sz="2" w:space="0"/>
            </w:tcBorders>
          </w:tcPr>
          <w:p w:rsidR="00C31389" w:rsidRDefault="00561FBD" w14:paraId="7DA2915B" w14:textId="77777777">
            <w:pPr>
              <w:pStyle w:val="TableParagraph"/>
              <w:ind w:left="122"/>
              <w:rPr>
                <w:sz w:val="20"/>
              </w:rPr>
            </w:pPr>
            <w:r>
              <w:rPr>
                <w:sz w:val="20"/>
              </w:rPr>
              <w:t>Ind</w:t>
            </w:r>
            <w:r>
              <w:rPr>
                <w:spacing w:val="-5"/>
                <w:sz w:val="20"/>
              </w:rPr>
              <w:t xml:space="preserve"> </w:t>
            </w:r>
            <w:r>
              <w:rPr>
                <w:sz w:val="20"/>
              </w:rPr>
              <w:t>–</w:t>
            </w:r>
            <w:r>
              <w:rPr>
                <w:spacing w:val="-4"/>
                <w:sz w:val="20"/>
              </w:rPr>
              <w:t xml:space="preserve"> </w:t>
            </w:r>
            <w:r>
              <w:rPr>
                <w:sz w:val="20"/>
              </w:rPr>
              <w:t>Stone-Glass-</w:t>
            </w:r>
            <w:r>
              <w:rPr>
                <w:spacing w:val="-4"/>
                <w:sz w:val="20"/>
              </w:rPr>
              <w:t>Clay</w:t>
            </w:r>
          </w:p>
        </w:tc>
        <w:tc>
          <w:tcPr>
            <w:tcW w:w="1699" w:type="dxa"/>
            <w:tcBorders>
              <w:top w:val="single" w:color="D9D9D9" w:sz="2" w:space="0"/>
              <w:bottom w:val="single" w:color="D9D9D9" w:sz="2" w:space="0"/>
            </w:tcBorders>
          </w:tcPr>
          <w:p w:rsidR="00C31389" w:rsidRDefault="00561FBD" w14:paraId="60AF3EF3"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3E0EE9E3" w14:textId="77777777">
            <w:pPr>
              <w:pStyle w:val="TableParagraph"/>
              <w:ind w:left="317" w:right="299"/>
              <w:jc w:val="center"/>
              <w:rPr>
                <w:sz w:val="20"/>
              </w:rPr>
            </w:pPr>
            <w:r>
              <w:rPr>
                <w:spacing w:val="-5"/>
                <w:sz w:val="20"/>
              </w:rPr>
              <w:t>85%</w:t>
            </w:r>
          </w:p>
        </w:tc>
      </w:tr>
      <w:tr w:rsidR="00C31389" w14:paraId="153E021D" w14:textId="77777777">
        <w:trPr>
          <w:trHeight w:val="309"/>
        </w:trPr>
        <w:tc>
          <w:tcPr>
            <w:tcW w:w="3689" w:type="dxa"/>
            <w:tcBorders>
              <w:top w:val="single" w:color="D9D9D9" w:sz="2" w:space="0"/>
              <w:bottom w:val="single" w:color="D9D9D9" w:sz="2" w:space="0"/>
            </w:tcBorders>
          </w:tcPr>
          <w:p w:rsidR="00C31389" w:rsidRDefault="00561FBD" w14:paraId="01AAC613"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Chemicals</w:t>
            </w:r>
          </w:p>
        </w:tc>
        <w:tc>
          <w:tcPr>
            <w:tcW w:w="1699" w:type="dxa"/>
            <w:tcBorders>
              <w:top w:val="single" w:color="D9D9D9" w:sz="2" w:space="0"/>
              <w:bottom w:val="single" w:color="D9D9D9" w:sz="2" w:space="0"/>
            </w:tcBorders>
          </w:tcPr>
          <w:p w:rsidR="00C31389" w:rsidRDefault="00561FBD" w14:paraId="0F7D742A"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5ADE17A5" w14:textId="77777777">
            <w:pPr>
              <w:pStyle w:val="TableParagraph"/>
              <w:ind w:left="317" w:right="299"/>
              <w:jc w:val="center"/>
              <w:rPr>
                <w:sz w:val="20"/>
              </w:rPr>
            </w:pPr>
            <w:r>
              <w:rPr>
                <w:spacing w:val="-5"/>
                <w:sz w:val="20"/>
              </w:rPr>
              <w:t>74%</w:t>
            </w:r>
          </w:p>
        </w:tc>
      </w:tr>
      <w:tr w:rsidR="00C31389" w14:paraId="0E0FC555" w14:textId="77777777">
        <w:trPr>
          <w:trHeight w:val="310"/>
        </w:trPr>
        <w:tc>
          <w:tcPr>
            <w:tcW w:w="3689" w:type="dxa"/>
            <w:tcBorders>
              <w:top w:val="single" w:color="D9D9D9" w:sz="2" w:space="0"/>
              <w:bottom w:val="single" w:color="D9D9D9" w:sz="2" w:space="0"/>
            </w:tcBorders>
          </w:tcPr>
          <w:p w:rsidR="00C31389" w:rsidRDefault="00561FBD" w14:paraId="06E3DEF7"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Plastics</w:t>
            </w:r>
          </w:p>
        </w:tc>
        <w:tc>
          <w:tcPr>
            <w:tcW w:w="1699" w:type="dxa"/>
            <w:tcBorders>
              <w:top w:val="single" w:color="D9D9D9" w:sz="2" w:space="0"/>
              <w:bottom w:val="single" w:color="D9D9D9" w:sz="2" w:space="0"/>
            </w:tcBorders>
          </w:tcPr>
          <w:p w:rsidR="00C31389" w:rsidRDefault="00561FBD" w14:paraId="6EED67B2"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24AFF9D2" w14:textId="77777777">
            <w:pPr>
              <w:pStyle w:val="TableParagraph"/>
              <w:ind w:left="317" w:right="299"/>
              <w:jc w:val="center"/>
              <w:rPr>
                <w:sz w:val="20"/>
              </w:rPr>
            </w:pPr>
            <w:r>
              <w:rPr>
                <w:spacing w:val="-5"/>
                <w:sz w:val="20"/>
              </w:rPr>
              <w:t>75%</w:t>
            </w:r>
          </w:p>
        </w:tc>
      </w:tr>
      <w:tr w:rsidR="00C31389" w14:paraId="61DFF6C8" w14:textId="77777777">
        <w:trPr>
          <w:trHeight w:val="309"/>
        </w:trPr>
        <w:tc>
          <w:tcPr>
            <w:tcW w:w="3689" w:type="dxa"/>
            <w:tcBorders>
              <w:top w:val="single" w:color="D9D9D9" w:sz="2" w:space="0"/>
              <w:bottom w:val="single" w:color="D9D9D9" w:sz="2" w:space="0"/>
            </w:tcBorders>
          </w:tcPr>
          <w:p w:rsidR="00C31389" w:rsidRDefault="00561FBD" w14:paraId="0E1211C4"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Fabricated</w:t>
            </w:r>
            <w:r>
              <w:rPr>
                <w:spacing w:val="-2"/>
                <w:sz w:val="20"/>
              </w:rPr>
              <w:t xml:space="preserve"> Metals</w:t>
            </w:r>
          </w:p>
        </w:tc>
        <w:tc>
          <w:tcPr>
            <w:tcW w:w="1699" w:type="dxa"/>
            <w:tcBorders>
              <w:top w:val="single" w:color="D9D9D9" w:sz="2" w:space="0"/>
              <w:bottom w:val="single" w:color="D9D9D9" w:sz="2" w:space="0"/>
            </w:tcBorders>
          </w:tcPr>
          <w:p w:rsidR="00C31389" w:rsidRDefault="00561FBD" w14:paraId="66405568"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4D196261" w14:textId="77777777">
            <w:pPr>
              <w:pStyle w:val="TableParagraph"/>
              <w:ind w:left="317" w:right="299"/>
              <w:jc w:val="center"/>
              <w:rPr>
                <w:sz w:val="20"/>
              </w:rPr>
            </w:pPr>
            <w:r>
              <w:rPr>
                <w:spacing w:val="-5"/>
                <w:sz w:val="20"/>
              </w:rPr>
              <w:t>72%</w:t>
            </w:r>
          </w:p>
        </w:tc>
      </w:tr>
      <w:tr w:rsidR="00C31389" w14:paraId="06BE4D09" w14:textId="77777777">
        <w:trPr>
          <w:trHeight w:val="310"/>
        </w:trPr>
        <w:tc>
          <w:tcPr>
            <w:tcW w:w="3689" w:type="dxa"/>
            <w:tcBorders>
              <w:top w:val="single" w:color="D9D9D9" w:sz="2" w:space="0"/>
              <w:bottom w:val="single" w:color="D9D9D9" w:sz="2" w:space="0"/>
            </w:tcBorders>
          </w:tcPr>
          <w:p w:rsidR="00C31389" w:rsidRDefault="00561FBD" w14:paraId="680B44CC"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Primary</w:t>
            </w:r>
            <w:r>
              <w:rPr>
                <w:spacing w:val="-2"/>
                <w:sz w:val="20"/>
              </w:rPr>
              <w:t xml:space="preserve"> Metals</w:t>
            </w:r>
          </w:p>
        </w:tc>
        <w:tc>
          <w:tcPr>
            <w:tcW w:w="1699" w:type="dxa"/>
            <w:tcBorders>
              <w:top w:val="single" w:color="D9D9D9" w:sz="2" w:space="0"/>
              <w:bottom w:val="single" w:color="D9D9D9" w:sz="2" w:space="0"/>
            </w:tcBorders>
          </w:tcPr>
          <w:p w:rsidR="00C31389" w:rsidRDefault="00561FBD" w14:paraId="135B46C4"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2FB67BF6" w14:textId="77777777">
            <w:pPr>
              <w:pStyle w:val="TableParagraph"/>
              <w:ind w:left="317" w:right="299"/>
              <w:jc w:val="center"/>
              <w:rPr>
                <w:sz w:val="20"/>
              </w:rPr>
            </w:pPr>
            <w:r>
              <w:rPr>
                <w:spacing w:val="-5"/>
                <w:sz w:val="20"/>
              </w:rPr>
              <w:t>59%</w:t>
            </w:r>
          </w:p>
        </w:tc>
      </w:tr>
      <w:tr w:rsidR="00C31389" w14:paraId="62EA66FC" w14:textId="77777777">
        <w:trPr>
          <w:trHeight w:val="309"/>
        </w:trPr>
        <w:tc>
          <w:tcPr>
            <w:tcW w:w="3689" w:type="dxa"/>
            <w:tcBorders>
              <w:top w:val="single" w:color="D9D9D9" w:sz="2" w:space="0"/>
              <w:bottom w:val="single" w:color="D9D9D9" w:sz="2" w:space="0"/>
            </w:tcBorders>
          </w:tcPr>
          <w:p w:rsidR="00C31389" w:rsidRDefault="00561FBD" w14:paraId="4D9DFC61"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Industrial</w:t>
            </w:r>
            <w:r>
              <w:rPr>
                <w:spacing w:val="-2"/>
                <w:sz w:val="20"/>
              </w:rPr>
              <w:t xml:space="preserve"> Machinery</w:t>
            </w:r>
          </w:p>
        </w:tc>
        <w:tc>
          <w:tcPr>
            <w:tcW w:w="1699" w:type="dxa"/>
            <w:tcBorders>
              <w:top w:val="single" w:color="D9D9D9" w:sz="2" w:space="0"/>
              <w:bottom w:val="single" w:color="D9D9D9" w:sz="2" w:space="0"/>
            </w:tcBorders>
          </w:tcPr>
          <w:p w:rsidR="00C31389" w:rsidRDefault="00561FBD" w14:paraId="40E7F239"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1D445E82" w14:textId="77777777">
            <w:pPr>
              <w:pStyle w:val="TableParagraph"/>
              <w:ind w:left="317" w:right="299"/>
              <w:jc w:val="center"/>
              <w:rPr>
                <w:sz w:val="20"/>
              </w:rPr>
            </w:pPr>
            <w:r>
              <w:rPr>
                <w:spacing w:val="-5"/>
                <w:sz w:val="20"/>
              </w:rPr>
              <w:t>48%</w:t>
            </w:r>
          </w:p>
        </w:tc>
      </w:tr>
      <w:tr w:rsidR="00C31389" w14:paraId="4B8527AF" w14:textId="77777777">
        <w:trPr>
          <w:trHeight w:val="310"/>
        </w:trPr>
        <w:tc>
          <w:tcPr>
            <w:tcW w:w="3689" w:type="dxa"/>
            <w:tcBorders>
              <w:top w:val="single" w:color="D9D9D9" w:sz="2" w:space="0"/>
              <w:bottom w:val="single" w:color="D9D9D9" w:sz="2" w:space="0"/>
            </w:tcBorders>
          </w:tcPr>
          <w:p w:rsidR="00C31389" w:rsidRDefault="00561FBD" w14:paraId="557DAF82" w14:textId="77777777">
            <w:pPr>
              <w:pStyle w:val="TableParagraph"/>
              <w:ind w:left="122"/>
              <w:rPr>
                <w:sz w:val="20"/>
              </w:rPr>
            </w:pPr>
            <w:r>
              <w:rPr>
                <w:sz w:val="20"/>
              </w:rPr>
              <w:t>Ind</w:t>
            </w:r>
            <w:r>
              <w:rPr>
                <w:spacing w:val="-4"/>
                <w:sz w:val="20"/>
              </w:rPr>
              <w:t xml:space="preserve"> </w:t>
            </w:r>
            <w:r>
              <w:rPr>
                <w:sz w:val="20"/>
              </w:rPr>
              <w:t>–</w:t>
            </w:r>
            <w:r>
              <w:rPr>
                <w:spacing w:val="-4"/>
                <w:sz w:val="20"/>
              </w:rPr>
              <w:t xml:space="preserve"> </w:t>
            </w:r>
            <w:r>
              <w:rPr>
                <w:sz w:val="20"/>
              </w:rPr>
              <w:t>Transportation</w:t>
            </w:r>
            <w:r>
              <w:rPr>
                <w:spacing w:val="-3"/>
                <w:sz w:val="20"/>
              </w:rPr>
              <w:t xml:space="preserve"> </w:t>
            </w:r>
            <w:r>
              <w:rPr>
                <w:spacing w:val="-2"/>
                <w:sz w:val="20"/>
              </w:rPr>
              <w:t>Equipment</w:t>
            </w:r>
          </w:p>
        </w:tc>
        <w:tc>
          <w:tcPr>
            <w:tcW w:w="1699" w:type="dxa"/>
            <w:tcBorders>
              <w:top w:val="single" w:color="D9D9D9" w:sz="2" w:space="0"/>
              <w:bottom w:val="single" w:color="D9D9D9" w:sz="2" w:space="0"/>
            </w:tcBorders>
          </w:tcPr>
          <w:p w:rsidR="00C31389" w:rsidRDefault="00561FBD" w14:paraId="51C2DF86"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3C05F497" w14:textId="77777777">
            <w:pPr>
              <w:pStyle w:val="TableParagraph"/>
              <w:ind w:left="317" w:right="299"/>
              <w:jc w:val="center"/>
              <w:rPr>
                <w:sz w:val="20"/>
              </w:rPr>
            </w:pPr>
            <w:r>
              <w:rPr>
                <w:spacing w:val="-5"/>
                <w:sz w:val="20"/>
              </w:rPr>
              <w:t>56%</w:t>
            </w:r>
          </w:p>
        </w:tc>
      </w:tr>
      <w:tr w:rsidR="00C31389" w14:paraId="5200F04C" w14:textId="77777777">
        <w:trPr>
          <w:trHeight w:val="309"/>
        </w:trPr>
        <w:tc>
          <w:tcPr>
            <w:tcW w:w="3689" w:type="dxa"/>
            <w:tcBorders>
              <w:top w:val="single" w:color="D9D9D9" w:sz="2" w:space="0"/>
              <w:bottom w:val="single" w:color="D9D9D9" w:sz="2" w:space="0"/>
            </w:tcBorders>
          </w:tcPr>
          <w:p w:rsidR="00C31389" w:rsidRDefault="00561FBD" w14:paraId="4E5054D1"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Paper</w:t>
            </w:r>
          </w:p>
        </w:tc>
        <w:tc>
          <w:tcPr>
            <w:tcW w:w="1699" w:type="dxa"/>
            <w:tcBorders>
              <w:top w:val="single" w:color="D9D9D9" w:sz="2" w:space="0"/>
              <w:bottom w:val="single" w:color="D9D9D9" w:sz="2" w:space="0"/>
            </w:tcBorders>
          </w:tcPr>
          <w:p w:rsidR="00C31389" w:rsidRDefault="00561FBD" w14:paraId="7AD2B382"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003D7D6A" w14:textId="77777777">
            <w:pPr>
              <w:pStyle w:val="TableParagraph"/>
              <w:ind w:left="317" w:right="299"/>
              <w:jc w:val="center"/>
              <w:rPr>
                <w:sz w:val="20"/>
              </w:rPr>
            </w:pPr>
            <w:r>
              <w:rPr>
                <w:spacing w:val="-5"/>
                <w:sz w:val="20"/>
              </w:rPr>
              <w:t>82%</w:t>
            </w:r>
          </w:p>
        </w:tc>
      </w:tr>
      <w:tr w:rsidR="00C31389" w14:paraId="18E6651E" w14:textId="77777777">
        <w:trPr>
          <w:trHeight w:val="310"/>
        </w:trPr>
        <w:tc>
          <w:tcPr>
            <w:tcW w:w="3689" w:type="dxa"/>
            <w:tcBorders>
              <w:top w:val="single" w:color="D9D9D9" w:sz="2" w:space="0"/>
              <w:bottom w:val="single" w:color="D9D9D9" w:sz="2" w:space="0"/>
            </w:tcBorders>
          </w:tcPr>
          <w:p w:rsidR="00C31389" w:rsidRDefault="00561FBD" w14:paraId="090F7492" w14:textId="77777777">
            <w:pPr>
              <w:pStyle w:val="TableParagraph"/>
              <w:ind w:left="122"/>
              <w:rPr>
                <w:sz w:val="20"/>
              </w:rPr>
            </w:pPr>
            <w:r>
              <w:rPr>
                <w:sz w:val="20"/>
              </w:rPr>
              <w:t>Ind</w:t>
            </w:r>
            <w:r>
              <w:rPr>
                <w:spacing w:val="-3"/>
                <w:sz w:val="20"/>
              </w:rPr>
              <w:t xml:space="preserve"> </w:t>
            </w:r>
            <w:r>
              <w:rPr>
                <w:sz w:val="20"/>
              </w:rPr>
              <w:t>–</w:t>
            </w:r>
            <w:r>
              <w:rPr>
                <w:spacing w:val="-2"/>
                <w:sz w:val="20"/>
              </w:rPr>
              <w:t xml:space="preserve"> </w:t>
            </w:r>
            <w:r>
              <w:rPr>
                <w:sz w:val="20"/>
              </w:rPr>
              <w:t>Printing</w:t>
            </w:r>
            <w:r>
              <w:rPr>
                <w:spacing w:val="-3"/>
                <w:sz w:val="20"/>
              </w:rPr>
              <w:t xml:space="preserve"> </w:t>
            </w:r>
            <w:r>
              <w:rPr>
                <w:sz w:val="20"/>
              </w:rPr>
              <w:t>&amp;</w:t>
            </w:r>
            <w:r>
              <w:rPr>
                <w:spacing w:val="-2"/>
                <w:sz w:val="20"/>
              </w:rPr>
              <w:t xml:space="preserve"> Publishing</w:t>
            </w:r>
          </w:p>
        </w:tc>
        <w:tc>
          <w:tcPr>
            <w:tcW w:w="1699" w:type="dxa"/>
            <w:tcBorders>
              <w:top w:val="single" w:color="D9D9D9" w:sz="2" w:space="0"/>
              <w:bottom w:val="single" w:color="D9D9D9" w:sz="2" w:space="0"/>
            </w:tcBorders>
          </w:tcPr>
          <w:p w:rsidR="00C31389" w:rsidRDefault="00561FBD" w14:paraId="30F7C88D"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2CD595F3" w14:textId="77777777">
            <w:pPr>
              <w:pStyle w:val="TableParagraph"/>
              <w:ind w:left="317" w:right="299"/>
              <w:jc w:val="center"/>
              <w:rPr>
                <w:sz w:val="20"/>
              </w:rPr>
            </w:pPr>
            <w:r>
              <w:rPr>
                <w:spacing w:val="-5"/>
                <w:sz w:val="20"/>
              </w:rPr>
              <w:t>61%</w:t>
            </w:r>
          </w:p>
        </w:tc>
      </w:tr>
      <w:tr w:rsidR="00C31389" w14:paraId="29DBEE32" w14:textId="77777777">
        <w:trPr>
          <w:trHeight w:val="309"/>
        </w:trPr>
        <w:tc>
          <w:tcPr>
            <w:tcW w:w="3689" w:type="dxa"/>
            <w:tcBorders>
              <w:top w:val="single" w:color="D9D9D9" w:sz="2" w:space="0"/>
              <w:bottom w:val="single" w:color="D9D9D9" w:sz="2" w:space="0"/>
            </w:tcBorders>
          </w:tcPr>
          <w:p w:rsidR="00C31389" w:rsidRDefault="00561FBD" w14:paraId="59C20192"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Textiles</w:t>
            </w:r>
          </w:p>
        </w:tc>
        <w:tc>
          <w:tcPr>
            <w:tcW w:w="1699" w:type="dxa"/>
            <w:tcBorders>
              <w:top w:val="single" w:color="D9D9D9" w:sz="2" w:space="0"/>
              <w:bottom w:val="single" w:color="D9D9D9" w:sz="2" w:space="0"/>
            </w:tcBorders>
          </w:tcPr>
          <w:p w:rsidR="00C31389" w:rsidRDefault="00561FBD" w14:paraId="02C3176F"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1166A530" w14:textId="77777777">
            <w:pPr>
              <w:pStyle w:val="TableParagraph"/>
              <w:ind w:left="317" w:right="299"/>
              <w:jc w:val="center"/>
              <w:rPr>
                <w:sz w:val="20"/>
              </w:rPr>
            </w:pPr>
            <w:r>
              <w:rPr>
                <w:spacing w:val="-5"/>
                <w:sz w:val="20"/>
              </w:rPr>
              <w:t>39%</w:t>
            </w:r>
          </w:p>
        </w:tc>
      </w:tr>
      <w:tr w:rsidR="00C31389" w14:paraId="3A33DA8B" w14:textId="77777777">
        <w:trPr>
          <w:trHeight w:val="309"/>
        </w:trPr>
        <w:tc>
          <w:tcPr>
            <w:tcW w:w="3689" w:type="dxa"/>
            <w:tcBorders>
              <w:top w:val="single" w:color="D9D9D9" w:sz="2" w:space="0"/>
              <w:bottom w:val="single" w:color="D9D9D9" w:sz="2" w:space="0"/>
            </w:tcBorders>
          </w:tcPr>
          <w:p w:rsidR="00C31389" w:rsidRDefault="00561FBD" w14:paraId="754DB0C7" w14:textId="77777777">
            <w:pPr>
              <w:pStyle w:val="TableParagraph"/>
              <w:ind w:left="122"/>
              <w:rPr>
                <w:sz w:val="20"/>
              </w:rPr>
            </w:pPr>
            <w:r>
              <w:rPr>
                <w:sz w:val="20"/>
              </w:rPr>
              <w:t>Ind</w:t>
            </w:r>
            <w:r>
              <w:rPr>
                <w:spacing w:val="-4"/>
                <w:sz w:val="20"/>
              </w:rPr>
              <w:t xml:space="preserve"> </w:t>
            </w:r>
            <w:r>
              <w:rPr>
                <w:sz w:val="20"/>
              </w:rPr>
              <w:t>–</w:t>
            </w:r>
            <w:r>
              <w:rPr>
                <w:spacing w:val="-2"/>
                <w:sz w:val="20"/>
              </w:rPr>
              <w:t xml:space="preserve"> </w:t>
            </w:r>
            <w:r>
              <w:rPr>
                <w:sz w:val="20"/>
              </w:rPr>
              <w:t>Lumber</w:t>
            </w:r>
            <w:r>
              <w:rPr>
                <w:spacing w:val="-3"/>
                <w:sz w:val="20"/>
              </w:rPr>
              <w:t xml:space="preserve"> </w:t>
            </w:r>
            <w:r>
              <w:rPr>
                <w:sz w:val="20"/>
              </w:rPr>
              <w:t>&amp;</w:t>
            </w:r>
            <w:r>
              <w:rPr>
                <w:spacing w:val="-2"/>
                <w:sz w:val="20"/>
              </w:rPr>
              <w:t xml:space="preserve"> Furniture</w:t>
            </w:r>
          </w:p>
        </w:tc>
        <w:tc>
          <w:tcPr>
            <w:tcW w:w="1699" w:type="dxa"/>
            <w:tcBorders>
              <w:top w:val="single" w:color="D9D9D9" w:sz="2" w:space="0"/>
              <w:bottom w:val="single" w:color="D9D9D9" w:sz="2" w:space="0"/>
            </w:tcBorders>
          </w:tcPr>
          <w:p w:rsidR="00C31389" w:rsidRDefault="00561FBD" w14:paraId="4083C079" w14:textId="77777777">
            <w:pPr>
              <w:pStyle w:val="TableParagraph"/>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197BB74E" w14:textId="77777777">
            <w:pPr>
              <w:pStyle w:val="TableParagraph"/>
              <w:ind w:left="317" w:right="299"/>
              <w:jc w:val="center"/>
              <w:rPr>
                <w:sz w:val="20"/>
              </w:rPr>
            </w:pPr>
            <w:r>
              <w:rPr>
                <w:spacing w:val="-5"/>
                <w:sz w:val="20"/>
              </w:rPr>
              <w:t>48%</w:t>
            </w:r>
          </w:p>
        </w:tc>
      </w:tr>
      <w:tr w:rsidR="00C31389" w14:paraId="4B82F27A" w14:textId="77777777">
        <w:trPr>
          <w:trHeight w:val="310"/>
        </w:trPr>
        <w:tc>
          <w:tcPr>
            <w:tcW w:w="3689" w:type="dxa"/>
            <w:tcBorders>
              <w:top w:val="single" w:color="D9D9D9" w:sz="2" w:space="0"/>
              <w:bottom w:val="single" w:color="D9D9D9" w:sz="2" w:space="0"/>
            </w:tcBorders>
          </w:tcPr>
          <w:p w:rsidR="00C31389" w:rsidRDefault="00561FBD" w14:paraId="7253CA9A" w14:textId="77777777">
            <w:pPr>
              <w:pStyle w:val="TableParagraph"/>
              <w:spacing w:before="41"/>
              <w:ind w:left="122"/>
              <w:rPr>
                <w:sz w:val="20"/>
              </w:rPr>
            </w:pPr>
            <w:r>
              <w:rPr>
                <w:sz w:val="20"/>
              </w:rPr>
              <w:t>Ind</w:t>
            </w:r>
            <w:r>
              <w:rPr>
                <w:spacing w:val="-2"/>
                <w:sz w:val="20"/>
              </w:rPr>
              <w:t xml:space="preserve"> </w:t>
            </w:r>
            <w:r>
              <w:rPr>
                <w:sz w:val="20"/>
              </w:rPr>
              <w:t>–</w:t>
            </w:r>
            <w:r>
              <w:rPr>
                <w:spacing w:val="-2"/>
                <w:sz w:val="20"/>
              </w:rPr>
              <w:t xml:space="preserve"> </w:t>
            </w:r>
            <w:r>
              <w:rPr>
                <w:sz w:val="20"/>
              </w:rPr>
              <w:t>All</w:t>
            </w:r>
            <w:r>
              <w:rPr>
                <w:spacing w:val="-2"/>
                <w:sz w:val="20"/>
              </w:rPr>
              <w:t xml:space="preserve"> </w:t>
            </w:r>
            <w:r>
              <w:rPr>
                <w:sz w:val="20"/>
              </w:rPr>
              <w:t>Other</w:t>
            </w:r>
            <w:r>
              <w:rPr>
                <w:spacing w:val="-1"/>
                <w:sz w:val="20"/>
              </w:rPr>
              <w:t xml:space="preserve"> </w:t>
            </w:r>
            <w:r>
              <w:rPr>
                <w:spacing w:val="-2"/>
                <w:sz w:val="20"/>
              </w:rPr>
              <w:t>Industrial</w:t>
            </w:r>
          </w:p>
        </w:tc>
        <w:tc>
          <w:tcPr>
            <w:tcW w:w="1699" w:type="dxa"/>
            <w:tcBorders>
              <w:top w:val="single" w:color="D9D9D9" w:sz="2" w:space="0"/>
              <w:bottom w:val="single" w:color="D9D9D9" w:sz="2" w:space="0"/>
            </w:tcBorders>
          </w:tcPr>
          <w:p w:rsidR="00C31389" w:rsidRDefault="00561FBD" w14:paraId="13907A6C" w14:textId="77777777">
            <w:pPr>
              <w:pStyle w:val="TableParagraph"/>
              <w:spacing w:before="41"/>
              <w:ind w:left="746" w:right="311"/>
              <w:jc w:val="center"/>
              <w:rPr>
                <w:sz w:val="20"/>
              </w:rPr>
            </w:pPr>
            <w:r>
              <w:rPr>
                <w:spacing w:val="-5"/>
                <w:sz w:val="20"/>
              </w:rPr>
              <w:t>kWh</w:t>
            </w:r>
          </w:p>
        </w:tc>
        <w:tc>
          <w:tcPr>
            <w:tcW w:w="1821" w:type="dxa"/>
            <w:tcBorders>
              <w:top w:val="single" w:color="D9D9D9" w:sz="2" w:space="0"/>
              <w:bottom w:val="single" w:color="D9D9D9" w:sz="2" w:space="0"/>
            </w:tcBorders>
          </w:tcPr>
          <w:p w:rsidR="00C31389" w:rsidRDefault="00561FBD" w14:paraId="28B53A1B" w14:textId="77777777">
            <w:pPr>
              <w:pStyle w:val="TableParagraph"/>
              <w:spacing w:before="41"/>
              <w:ind w:left="317" w:right="299"/>
              <w:jc w:val="center"/>
              <w:rPr>
                <w:sz w:val="20"/>
              </w:rPr>
            </w:pPr>
            <w:r>
              <w:rPr>
                <w:spacing w:val="-5"/>
                <w:sz w:val="20"/>
              </w:rPr>
              <w:t>48%</w:t>
            </w:r>
          </w:p>
        </w:tc>
      </w:tr>
      <w:tr w:rsidR="00C31389" w14:paraId="064A3AC4" w14:textId="77777777">
        <w:trPr>
          <w:trHeight w:val="309"/>
        </w:trPr>
        <w:tc>
          <w:tcPr>
            <w:tcW w:w="3689" w:type="dxa"/>
            <w:tcBorders>
              <w:top w:val="single" w:color="D9D9D9" w:sz="2" w:space="0"/>
              <w:bottom w:val="single" w:color="D9D9D9" w:sz="2" w:space="0"/>
            </w:tcBorders>
          </w:tcPr>
          <w:p w:rsidR="00C31389" w:rsidRDefault="00561FBD" w14:paraId="799D15E6"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Petroleum</w:t>
            </w:r>
          </w:p>
        </w:tc>
        <w:tc>
          <w:tcPr>
            <w:tcW w:w="1699" w:type="dxa"/>
            <w:tcBorders>
              <w:top w:val="single" w:color="D9D9D9" w:sz="2" w:space="0"/>
              <w:bottom w:val="single" w:color="D9D9D9" w:sz="2" w:space="0"/>
            </w:tcBorders>
          </w:tcPr>
          <w:p w:rsidR="00C31389" w:rsidRDefault="00561FBD" w14:paraId="1A5E01C2"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237623DA" w14:textId="77777777">
            <w:pPr>
              <w:pStyle w:val="TableParagraph"/>
              <w:ind w:left="317" w:right="299"/>
              <w:jc w:val="center"/>
              <w:rPr>
                <w:sz w:val="20"/>
              </w:rPr>
            </w:pPr>
            <w:r>
              <w:rPr>
                <w:spacing w:val="-5"/>
                <w:sz w:val="20"/>
              </w:rPr>
              <w:t>99%</w:t>
            </w:r>
          </w:p>
        </w:tc>
      </w:tr>
      <w:tr w:rsidR="00C31389" w14:paraId="0E08A3C7" w14:textId="77777777">
        <w:trPr>
          <w:trHeight w:val="310"/>
        </w:trPr>
        <w:tc>
          <w:tcPr>
            <w:tcW w:w="3689" w:type="dxa"/>
            <w:tcBorders>
              <w:top w:val="single" w:color="D9D9D9" w:sz="2" w:space="0"/>
              <w:bottom w:val="single" w:color="D9D9D9" w:sz="2" w:space="0"/>
            </w:tcBorders>
          </w:tcPr>
          <w:p w:rsidR="00C31389" w:rsidRDefault="00561FBD" w14:paraId="68BD1923" w14:textId="77777777">
            <w:pPr>
              <w:pStyle w:val="TableParagraph"/>
              <w:spacing w:before="41"/>
              <w:ind w:left="122"/>
              <w:rPr>
                <w:sz w:val="20"/>
              </w:rPr>
            </w:pPr>
            <w:r>
              <w:rPr>
                <w:sz w:val="20"/>
              </w:rPr>
              <w:t>Ind</w:t>
            </w:r>
            <w:r>
              <w:rPr>
                <w:spacing w:val="-2"/>
                <w:sz w:val="20"/>
              </w:rPr>
              <w:t xml:space="preserve"> </w:t>
            </w:r>
            <w:r>
              <w:rPr>
                <w:sz w:val="20"/>
              </w:rPr>
              <w:t>–</w:t>
            </w:r>
            <w:r>
              <w:rPr>
                <w:spacing w:val="-1"/>
                <w:sz w:val="20"/>
              </w:rPr>
              <w:t xml:space="preserve"> </w:t>
            </w:r>
            <w:r>
              <w:rPr>
                <w:spacing w:val="-4"/>
                <w:sz w:val="20"/>
              </w:rPr>
              <w:t>Food</w:t>
            </w:r>
          </w:p>
        </w:tc>
        <w:tc>
          <w:tcPr>
            <w:tcW w:w="1699" w:type="dxa"/>
            <w:tcBorders>
              <w:top w:val="single" w:color="D9D9D9" w:sz="2" w:space="0"/>
              <w:bottom w:val="single" w:color="D9D9D9" w:sz="2" w:space="0"/>
            </w:tcBorders>
          </w:tcPr>
          <w:p w:rsidR="00C31389" w:rsidRDefault="00561FBD" w14:paraId="397A4CCD" w14:textId="77777777">
            <w:pPr>
              <w:pStyle w:val="TableParagraph"/>
              <w:spacing w:before="41"/>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23E11C55" w14:textId="77777777">
            <w:pPr>
              <w:pStyle w:val="TableParagraph"/>
              <w:spacing w:before="41"/>
              <w:ind w:left="317" w:right="299"/>
              <w:jc w:val="center"/>
              <w:rPr>
                <w:sz w:val="20"/>
              </w:rPr>
            </w:pPr>
            <w:r>
              <w:rPr>
                <w:spacing w:val="-5"/>
                <w:sz w:val="20"/>
              </w:rPr>
              <w:t>95%</w:t>
            </w:r>
          </w:p>
        </w:tc>
      </w:tr>
      <w:tr w:rsidR="00C31389" w14:paraId="5D57DB85" w14:textId="77777777">
        <w:trPr>
          <w:trHeight w:val="309"/>
        </w:trPr>
        <w:tc>
          <w:tcPr>
            <w:tcW w:w="3689" w:type="dxa"/>
            <w:tcBorders>
              <w:top w:val="single" w:color="D9D9D9" w:sz="2" w:space="0"/>
              <w:bottom w:val="single" w:color="D9D9D9" w:sz="2" w:space="0"/>
            </w:tcBorders>
          </w:tcPr>
          <w:p w:rsidR="00C31389" w:rsidRDefault="00561FBD" w14:paraId="7C7FB3EC" w14:textId="77777777">
            <w:pPr>
              <w:pStyle w:val="TableParagraph"/>
              <w:ind w:left="122"/>
              <w:rPr>
                <w:sz w:val="20"/>
              </w:rPr>
            </w:pPr>
            <w:r>
              <w:rPr>
                <w:sz w:val="20"/>
              </w:rPr>
              <w:t>Ind</w:t>
            </w:r>
            <w:r>
              <w:rPr>
                <w:spacing w:val="-4"/>
                <w:sz w:val="20"/>
              </w:rPr>
              <w:t xml:space="preserve"> </w:t>
            </w:r>
            <w:r>
              <w:rPr>
                <w:sz w:val="20"/>
              </w:rPr>
              <w:t>–</w:t>
            </w:r>
            <w:r>
              <w:rPr>
                <w:spacing w:val="-1"/>
                <w:sz w:val="20"/>
              </w:rPr>
              <w:t xml:space="preserve"> </w:t>
            </w:r>
            <w:r>
              <w:rPr>
                <w:spacing w:val="-2"/>
                <w:sz w:val="20"/>
              </w:rPr>
              <w:t>Electronics</w:t>
            </w:r>
          </w:p>
        </w:tc>
        <w:tc>
          <w:tcPr>
            <w:tcW w:w="1699" w:type="dxa"/>
            <w:tcBorders>
              <w:top w:val="single" w:color="D9D9D9" w:sz="2" w:space="0"/>
              <w:bottom w:val="single" w:color="D9D9D9" w:sz="2" w:space="0"/>
            </w:tcBorders>
          </w:tcPr>
          <w:p w:rsidR="00C31389" w:rsidRDefault="00561FBD" w14:paraId="4A267280"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40036574" w14:textId="77777777">
            <w:pPr>
              <w:pStyle w:val="TableParagraph"/>
              <w:ind w:left="317" w:right="299"/>
              <w:jc w:val="center"/>
              <w:rPr>
                <w:sz w:val="20"/>
              </w:rPr>
            </w:pPr>
            <w:r>
              <w:rPr>
                <w:spacing w:val="-5"/>
                <w:sz w:val="20"/>
              </w:rPr>
              <w:t>64%</w:t>
            </w:r>
          </w:p>
        </w:tc>
      </w:tr>
      <w:tr w:rsidR="00C31389" w14:paraId="51F1BFA4" w14:textId="77777777">
        <w:trPr>
          <w:trHeight w:val="310"/>
        </w:trPr>
        <w:tc>
          <w:tcPr>
            <w:tcW w:w="3689" w:type="dxa"/>
            <w:tcBorders>
              <w:top w:val="single" w:color="D9D9D9" w:sz="2" w:space="0"/>
              <w:bottom w:val="single" w:color="D9D9D9" w:sz="2" w:space="0"/>
            </w:tcBorders>
          </w:tcPr>
          <w:p w:rsidR="00C31389" w:rsidRDefault="00561FBD" w14:paraId="0E8D68FE" w14:textId="77777777">
            <w:pPr>
              <w:pStyle w:val="TableParagraph"/>
              <w:spacing w:before="41"/>
              <w:ind w:left="122"/>
              <w:rPr>
                <w:sz w:val="20"/>
              </w:rPr>
            </w:pPr>
            <w:r>
              <w:rPr>
                <w:sz w:val="20"/>
              </w:rPr>
              <w:t>Ind</w:t>
            </w:r>
            <w:r>
              <w:rPr>
                <w:spacing w:val="-5"/>
                <w:sz w:val="20"/>
              </w:rPr>
              <w:t xml:space="preserve"> </w:t>
            </w:r>
            <w:r>
              <w:rPr>
                <w:sz w:val="20"/>
              </w:rPr>
              <w:t>–</w:t>
            </w:r>
            <w:r>
              <w:rPr>
                <w:spacing w:val="-4"/>
                <w:sz w:val="20"/>
              </w:rPr>
              <w:t xml:space="preserve"> </w:t>
            </w:r>
            <w:r>
              <w:rPr>
                <w:sz w:val="20"/>
              </w:rPr>
              <w:t>Stone-Glass-</w:t>
            </w:r>
            <w:r>
              <w:rPr>
                <w:spacing w:val="-4"/>
                <w:sz w:val="20"/>
              </w:rPr>
              <w:t>Clay</w:t>
            </w:r>
          </w:p>
        </w:tc>
        <w:tc>
          <w:tcPr>
            <w:tcW w:w="1699" w:type="dxa"/>
            <w:tcBorders>
              <w:top w:val="single" w:color="D9D9D9" w:sz="2" w:space="0"/>
              <w:bottom w:val="single" w:color="D9D9D9" w:sz="2" w:space="0"/>
            </w:tcBorders>
          </w:tcPr>
          <w:p w:rsidR="00C31389" w:rsidRDefault="00561FBD" w14:paraId="62018C6C" w14:textId="77777777">
            <w:pPr>
              <w:pStyle w:val="TableParagraph"/>
              <w:spacing w:before="41"/>
              <w:ind w:left="746"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7074F541" w14:textId="77777777">
            <w:pPr>
              <w:pStyle w:val="TableParagraph"/>
              <w:spacing w:before="41"/>
              <w:ind w:left="317" w:right="299"/>
              <w:jc w:val="center"/>
              <w:rPr>
                <w:sz w:val="20"/>
              </w:rPr>
            </w:pPr>
            <w:r>
              <w:rPr>
                <w:spacing w:val="-5"/>
                <w:sz w:val="20"/>
              </w:rPr>
              <w:t>97%</w:t>
            </w:r>
          </w:p>
        </w:tc>
      </w:tr>
      <w:tr w:rsidR="00C31389" w14:paraId="74990FCA" w14:textId="77777777">
        <w:trPr>
          <w:trHeight w:val="309"/>
        </w:trPr>
        <w:tc>
          <w:tcPr>
            <w:tcW w:w="3689" w:type="dxa"/>
            <w:tcBorders>
              <w:top w:val="single" w:color="D9D9D9" w:sz="2" w:space="0"/>
              <w:bottom w:val="single" w:color="D9D9D9" w:sz="2" w:space="0"/>
            </w:tcBorders>
          </w:tcPr>
          <w:p w:rsidR="00C31389" w:rsidRDefault="00561FBD" w14:paraId="4251C853"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Chemicals</w:t>
            </w:r>
          </w:p>
        </w:tc>
        <w:tc>
          <w:tcPr>
            <w:tcW w:w="1699" w:type="dxa"/>
            <w:tcBorders>
              <w:top w:val="single" w:color="D9D9D9" w:sz="2" w:space="0"/>
              <w:bottom w:val="single" w:color="D9D9D9" w:sz="2" w:space="0"/>
            </w:tcBorders>
          </w:tcPr>
          <w:p w:rsidR="00C31389" w:rsidRDefault="00561FBD" w14:paraId="567EF882"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601083B1" w14:textId="77777777">
            <w:pPr>
              <w:pStyle w:val="TableParagraph"/>
              <w:ind w:left="317" w:right="299"/>
              <w:jc w:val="center"/>
              <w:rPr>
                <w:sz w:val="20"/>
              </w:rPr>
            </w:pPr>
            <w:r>
              <w:rPr>
                <w:spacing w:val="-5"/>
                <w:sz w:val="20"/>
              </w:rPr>
              <w:t>98%</w:t>
            </w:r>
          </w:p>
        </w:tc>
      </w:tr>
      <w:tr w:rsidR="00C31389" w14:paraId="2620C161" w14:textId="77777777">
        <w:trPr>
          <w:trHeight w:val="310"/>
        </w:trPr>
        <w:tc>
          <w:tcPr>
            <w:tcW w:w="3689" w:type="dxa"/>
            <w:tcBorders>
              <w:top w:val="single" w:color="D9D9D9" w:sz="2" w:space="0"/>
              <w:bottom w:val="single" w:color="D9D9D9" w:sz="2" w:space="0"/>
            </w:tcBorders>
          </w:tcPr>
          <w:p w:rsidR="00C31389" w:rsidRDefault="00561FBD" w14:paraId="2EFFA734" w14:textId="77777777">
            <w:pPr>
              <w:pStyle w:val="TableParagraph"/>
              <w:spacing w:before="41"/>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Plastics</w:t>
            </w:r>
          </w:p>
        </w:tc>
        <w:tc>
          <w:tcPr>
            <w:tcW w:w="1699" w:type="dxa"/>
            <w:tcBorders>
              <w:top w:val="single" w:color="D9D9D9" w:sz="2" w:space="0"/>
              <w:bottom w:val="single" w:color="D9D9D9" w:sz="2" w:space="0"/>
            </w:tcBorders>
          </w:tcPr>
          <w:p w:rsidR="00C31389" w:rsidRDefault="00561FBD" w14:paraId="20BE423F" w14:textId="77777777">
            <w:pPr>
              <w:pStyle w:val="TableParagraph"/>
              <w:spacing w:before="41"/>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3E0021E2" w14:textId="77777777">
            <w:pPr>
              <w:pStyle w:val="TableParagraph"/>
              <w:spacing w:before="41"/>
              <w:ind w:left="317" w:right="299"/>
              <w:jc w:val="center"/>
              <w:rPr>
                <w:sz w:val="20"/>
              </w:rPr>
            </w:pPr>
            <w:r>
              <w:rPr>
                <w:spacing w:val="-5"/>
                <w:sz w:val="20"/>
              </w:rPr>
              <w:t>81%</w:t>
            </w:r>
          </w:p>
        </w:tc>
      </w:tr>
      <w:tr w:rsidR="00C31389" w14:paraId="64C0A5B4" w14:textId="77777777">
        <w:trPr>
          <w:trHeight w:val="309"/>
        </w:trPr>
        <w:tc>
          <w:tcPr>
            <w:tcW w:w="3689" w:type="dxa"/>
            <w:tcBorders>
              <w:top w:val="single" w:color="D9D9D9" w:sz="2" w:space="0"/>
              <w:bottom w:val="single" w:color="D9D9D9" w:sz="2" w:space="0"/>
            </w:tcBorders>
          </w:tcPr>
          <w:p w:rsidR="00C31389" w:rsidRDefault="00561FBD" w14:paraId="51A77DC1"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Fabricated</w:t>
            </w:r>
            <w:r>
              <w:rPr>
                <w:spacing w:val="-2"/>
                <w:sz w:val="20"/>
              </w:rPr>
              <w:t xml:space="preserve"> Metals</w:t>
            </w:r>
          </w:p>
        </w:tc>
        <w:tc>
          <w:tcPr>
            <w:tcW w:w="1699" w:type="dxa"/>
            <w:tcBorders>
              <w:top w:val="single" w:color="D9D9D9" w:sz="2" w:space="0"/>
              <w:bottom w:val="single" w:color="D9D9D9" w:sz="2" w:space="0"/>
            </w:tcBorders>
          </w:tcPr>
          <w:p w:rsidR="00C31389" w:rsidRDefault="00561FBD" w14:paraId="219034F3"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344C0DF8" w14:textId="77777777">
            <w:pPr>
              <w:pStyle w:val="TableParagraph"/>
              <w:ind w:left="317" w:right="299"/>
              <w:jc w:val="center"/>
              <w:rPr>
                <w:sz w:val="20"/>
              </w:rPr>
            </w:pPr>
            <w:r>
              <w:rPr>
                <w:spacing w:val="-5"/>
                <w:sz w:val="20"/>
              </w:rPr>
              <w:t>85%</w:t>
            </w:r>
          </w:p>
        </w:tc>
      </w:tr>
      <w:tr w:rsidR="00C31389" w14:paraId="644DEA6E" w14:textId="77777777">
        <w:trPr>
          <w:trHeight w:val="310"/>
        </w:trPr>
        <w:tc>
          <w:tcPr>
            <w:tcW w:w="3689" w:type="dxa"/>
            <w:tcBorders>
              <w:top w:val="single" w:color="D9D9D9" w:sz="2" w:space="0"/>
              <w:bottom w:val="single" w:color="D9D9D9" w:sz="2" w:space="0"/>
            </w:tcBorders>
          </w:tcPr>
          <w:p w:rsidR="00C31389" w:rsidRDefault="00561FBD" w14:paraId="4DA1D696" w14:textId="77777777">
            <w:pPr>
              <w:pStyle w:val="TableParagraph"/>
              <w:spacing w:before="41"/>
              <w:ind w:left="122"/>
              <w:rPr>
                <w:sz w:val="20"/>
              </w:rPr>
            </w:pPr>
            <w:r>
              <w:rPr>
                <w:sz w:val="20"/>
              </w:rPr>
              <w:t>Ind</w:t>
            </w:r>
            <w:r>
              <w:rPr>
                <w:spacing w:val="-3"/>
                <w:sz w:val="20"/>
              </w:rPr>
              <w:t xml:space="preserve"> </w:t>
            </w:r>
            <w:r>
              <w:rPr>
                <w:sz w:val="20"/>
              </w:rPr>
              <w:t>–</w:t>
            </w:r>
            <w:r>
              <w:rPr>
                <w:spacing w:val="-3"/>
                <w:sz w:val="20"/>
              </w:rPr>
              <w:t xml:space="preserve"> </w:t>
            </w:r>
            <w:r>
              <w:rPr>
                <w:sz w:val="20"/>
              </w:rPr>
              <w:t>Primary</w:t>
            </w:r>
            <w:r>
              <w:rPr>
                <w:spacing w:val="-2"/>
                <w:sz w:val="20"/>
              </w:rPr>
              <w:t xml:space="preserve"> Metals</w:t>
            </w:r>
          </w:p>
        </w:tc>
        <w:tc>
          <w:tcPr>
            <w:tcW w:w="1699" w:type="dxa"/>
            <w:tcBorders>
              <w:top w:val="single" w:color="D9D9D9" w:sz="2" w:space="0"/>
              <w:bottom w:val="single" w:color="D9D9D9" w:sz="2" w:space="0"/>
            </w:tcBorders>
          </w:tcPr>
          <w:p w:rsidR="00C31389" w:rsidRDefault="00561FBD" w14:paraId="54B21D6B" w14:textId="77777777">
            <w:pPr>
              <w:pStyle w:val="TableParagraph"/>
              <w:spacing w:before="41"/>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501F8569" w14:textId="77777777">
            <w:pPr>
              <w:pStyle w:val="TableParagraph"/>
              <w:spacing w:before="41"/>
              <w:ind w:left="317" w:right="299"/>
              <w:jc w:val="center"/>
              <w:rPr>
                <w:sz w:val="20"/>
              </w:rPr>
            </w:pPr>
            <w:r>
              <w:rPr>
                <w:spacing w:val="-5"/>
                <w:sz w:val="20"/>
              </w:rPr>
              <w:t>94%</w:t>
            </w:r>
          </w:p>
        </w:tc>
      </w:tr>
      <w:tr w:rsidR="00C31389" w14:paraId="0A43F969" w14:textId="77777777">
        <w:trPr>
          <w:trHeight w:val="309"/>
        </w:trPr>
        <w:tc>
          <w:tcPr>
            <w:tcW w:w="3689" w:type="dxa"/>
            <w:tcBorders>
              <w:top w:val="single" w:color="D9D9D9" w:sz="2" w:space="0"/>
              <w:bottom w:val="single" w:color="D9D9D9" w:sz="2" w:space="0"/>
            </w:tcBorders>
          </w:tcPr>
          <w:p w:rsidR="00C31389" w:rsidRDefault="00561FBD" w14:paraId="1C275D46"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Industrial</w:t>
            </w:r>
            <w:r>
              <w:rPr>
                <w:spacing w:val="-2"/>
                <w:sz w:val="20"/>
              </w:rPr>
              <w:t xml:space="preserve"> Machinery</w:t>
            </w:r>
          </w:p>
        </w:tc>
        <w:tc>
          <w:tcPr>
            <w:tcW w:w="1699" w:type="dxa"/>
            <w:tcBorders>
              <w:top w:val="single" w:color="D9D9D9" w:sz="2" w:space="0"/>
              <w:bottom w:val="single" w:color="D9D9D9" w:sz="2" w:space="0"/>
            </w:tcBorders>
          </w:tcPr>
          <w:p w:rsidR="00C31389" w:rsidRDefault="00561FBD" w14:paraId="2D31FBB5"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719207D9" w14:textId="77777777">
            <w:pPr>
              <w:pStyle w:val="TableParagraph"/>
              <w:ind w:left="317" w:right="299"/>
              <w:jc w:val="center"/>
              <w:rPr>
                <w:sz w:val="20"/>
              </w:rPr>
            </w:pPr>
            <w:r>
              <w:rPr>
                <w:spacing w:val="-5"/>
                <w:sz w:val="20"/>
              </w:rPr>
              <w:t>48%</w:t>
            </w:r>
          </w:p>
        </w:tc>
      </w:tr>
      <w:tr w:rsidR="00C31389" w14:paraId="738743CF" w14:textId="77777777">
        <w:trPr>
          <w:trHeight w:val="310"/>
        </w:trPr>
        <w:tc>
          <w:tcPr>
            <w:tcW w:w="3689" w:type="dxa"/>
            <w:tcBorders>
              <w:top w:val="single" w:color="D9D9D9" w:sz="2" w:space="0"/>
              <w:bottom w:val="single" w:color="D9D9D9" w:sz="2" w:space="0"/>
            </w:tcBorders>
          </w:tcPr>
          <w:p w:rsidR="00C31389" w:rsidRDefault="00561FBD" w14:paraId="6CC3E212" w14:textId="77777777">
            <w:pPr>
              <w:pStyle w:val="TableParagraph"/>
              <w:ind w:left="122"/>
              <w:rPr>
                <w:sz w:val="20"/>
              </w:rPr>
            </w:pPr>
            <w:r>
              <w:rPr>
                <w:sz w:val="20"/>
              </w:rPr>
              <w:t>Ind</w:t>
            </w:r>
            <w:r>
              <w:rPr>
                <w:spacing w:val="-4"/>
                <w:sz w:val="20"/>
              </w:rPr>
              <w:t xml:space="preserve"> </w:t>
            </w:r>
            <w:r>
              <w:rPr>
                <w:sz w:val="20"/>
              </w:rPr>
              <w:t>–</w:t>
            </w:r>
            <w:r>
              <w:rPr>
                <w:spacing w:val="-4"/>
                <w:sz w:val="20"/>
              </w:rPr>
              <w:t xml:space="preserve"> </w:t>
            </w:r>
            <w:r>
              <w:rPr>
                <w:sz w:val="20"/>
              </w:rPr>
              <w:t>Transportation</w:t>
            </w:r>
            <w:r>
              <w:rPr>
                <w:spacing w:val="-3"/>
                <w:sz w:val="20"/>
              </w:rPr>
              <w:t xml:space="preserve"> </w:t>
            </w:r>
            <w:r>
              <w:rPr>
                <w:spacing w:val="-2"/>
                <w:sz w:val="20"/>
              </w:rPr>
              <w:t>Equipment</w:t>
            </w:r>
          </w:p>
        </w:tc>
        <w:tc>
          <w:tcPr>
            <w:tcW w:w="1699" w:type="dxa"/>
            <w:tcBorders>
              <w:top w:val="single" w:color="D9D9D9" w:sz="2" w:space="0"/>
              <w:bottom w:val="single" w:color="D9D9D9" w:sz="2" w:space="0"/>
            </w:tcBorders>
          </w:tcPr>
          <w:p w:rsidR="00C31389" w:rsidRDefault="00561FBD" w14:paraId="31C4BDD5"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63B3606E" w14:textId="77777777">
            <w:pPr>
              <w:pStyle w:val="TableParagraph"/>
              <w:ind w:left="317" w:right="299"/>
              <w:jc w:val="center"/>
              <w:rPr>
                <w:sz w:val="20"/>
              </w:rPr>
            </w:pPr>
            <w:r>
              <w:rPr>
                <w:spacing w:val="-5"/>
                <w:sz w:val="20"/>
              </w:rPr>
              <w:t>66%</w:t>
            </w:r>
          </w:p>
        </w:tc>
      </w:tr>
      <w:tr w:rsidR="00C31389" w14:paraId="764071F3" w14:textId="77777777">
        <w:trPr>
          <w:trHeight w:val="309"/>
        </w:trPr>
        <w:tc>
          <w:tcPr>
            <w:tcW w:w="3689" w:type="dxa"/>
            <w:tcBorders>
              <w:top w:val="single" w:color="D9D9D9" w:sz="2" w:space="0"/>
              <w:bottom w:val="single" w:color="D9D9D9" w:sz="2" w:space="0"/>
            </w:tcBorders>
          </w:tcPr>
          <w:p w:rsidR="00C31389" w:rsidRDefault="00561FBD" w14:paraId="274152F6"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Paper</w:t>
            </w:r>
          </w:p>
        </w:tc>
        <w:tc>
          <w:tcPr>
            <w:tcW w:w="1699" w:type="dxa"/>
            <w:tcBorders>
              <w:top w:val="single" w:color="D9D9D9" w:sz="2" w:space="0"/>
              <w:bottom w:val="single" w:color="D9D9D9" w:sz="2" w:space="0"/>
            </w:tcBorders>
          </w:tcPr>
          <w:p w:rsidR="00C31389" w:rsidRDefault="00561FBD" w14:paraId="10187D77"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1691E665" w14:textId="77777777">
            <w:pPr>
              <w:pStyle w:val="TableParagraph"/>
              <w:ind w:left="317" w:right="299"/>
              <w:jc w:val="center"/>
              <w:rPr>
                <w:sz w:val="20"/>
              </w:rPr>
            </w:pPr>
            <w:r>
              <w:rPr>
                <w:spacing w:val="-5"/>
                <w:sz w:val="20"/>
              </w:rPr>
              <w:t>97%</w:t>
            </w:r>
          </w:p>
        </w:tc>
      </w:tr>
      <w:tr w:rsidR="00C31389" w14:paraId="563B027B" w14:textId="77777777">
        <w:trPr>
          <w:trHeight w:val="310"/>
        </w:trPr>
        <w:tc>
          <w:tcPr>
            <w:tcW w:w="3689" w:type="dxa"/>
            <w:tcBorders>
              <w:top w:val="single" w:color="D9D9D9" w:sz="2" w:space="0"/>
              <w:bottom w:val="single" w:color="D9D9D9" w:sz="2" w:space="0"/>
            </w:tcBorders>
          </w:tcPr>
          <w:p w:rsidR="00C31389" w:rsidRDefault="00561FBD" w14:paraId="21607F80" w14:textId="77777777">
            <w:pPr>
              <w:pStyle w:val="TableParagraph"/>
              <w:ind w:left="122"/>
              <w:rPr>
                <w:sz w:val="20"/>
              </w:rPr>
            </w:pPr>
            <w:r>
              <w:rPr>
                <w:sz w:val="20"/>
              </w:rPr>
              <w:t>Ind</w:t>
            </w:r>
            <w:r>
              <w:rPr>
                <w:spacing w:val="-3"/>
                <w:sz w:val="20"/>
              </w:rPr>
              <w:t xml:space="preserve"> </w:t>
            </w:r>
            <w:r>
              <w:rPr>
                <w:sz w:val="20"/>
              </w:rPr>
              <w:t>–</w:t>
            </w:r>
            <w:r>
              <w:rPr>
                <w:spacing w:val="-2"/>
                <w:sz w:val="20"/>
              </w:rPr>
              <w:t xml:space="preserve"> </w:t>
            </w:r>
            <w:r>
              <w:rPr>
                <w:sz w:val="20"/>
              </w:rPr>
              <w:t>Printing</w:t>
            </w:r>
            <w:r>
              <w:rPr>
                <w:spacing w:val="-3"/>
                <w:sz w:val="20"/>
              </w:rPr>
              <w:t xml:space="preserve"> </w:t>
            </w:r>
            <w:r>
              <w:rPr>
                <w:sz w:val="20"/>
              </w:rPr>
              <w:t>&amp;</w:t>
            </w:r>
            <w:r>
              <w:rPr>
                <w:spacing w:val="-2"/>
                <w:sz w:val="20"/>
              </w:rPr>
              <w:t xml:space="preserve"> Publishing</w:t>
            </w:r>
          </w:p>
        </w:tc>
        <w:tc>
          <w:tcPr>
            <w:tcW w:w="1699" w:type="dxa"/>
            <w:tcBorders>
              <w:top w:val="single" w:color="D9D9D9" w:sz="2" w:space="0"/>
              <w:bottom w:val="single" w:color="D9D9D9" w:sz="2" w:space="0"/>
            </w:tcBorders>
          </w:tcPr>
          <w:p w:rsidR="00C31389" w:rsidRDefault="00561FBD" w14:paraId="0E080DAC"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66012D7D" w14:textId="77777777">
            <w:pPr>
              <w:pStyle w:val="TableParagraph"/>
              <w:ind w:left="317" w:right="299"/>
              <w:jc w:val="center"/>
              <w:rPr>
                <w:sz w:val="20"/>
              </w:rPr>
            </w:pPr>
            <w:r>
              <w:rPr>
                <w:spacing w:val="-5"/>
                <w:sz w:val="20"/>
              </w:rPr>
              <w:t>82%</w:t>
            </w:r>
          </w:p>
        </w:tc>
      </w:tr>
      <w:tr w:rsidR="00C31389" w14:paraId="21EFB694" w14:textId="77777777">
        <w:trPr>
          <w:trHeight w:val="309"/>
        </w:trPr>
        <w:tc>
          <w:tcPr>
            <w:tcW w:w="3689" w:type="dxa"/>
            <w:tcBorders>
              <w:top w:val="single" w:color="D9D9D9" w:sz="2" w:space="0"/>
              <w:bottom w:val="single" w:color="D9D9D9" w:sz="2" w:space="0"/>
            </w:tcBorders>
          </w:tcPr>
          <w:p w:rsidR="00C31389" w:rsidRDefault="00561FBD" w14:paraId="30DAFC01"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Textiles</w:t>
            </w:r>
          </w:p>
        </w:tc>
        <w:tc>
          <w:tcPr>
            <w:tcW w:w="1699" w:type="dxa"/>
            <w:tcBorders>
              <w:top w:val="single" w:color="D9D9D9" w:sz="2" w:space="0"/>
              <w:bottom w:val="single" w:color="D9D9D9" w:sz="2" w:space="0"/>
            </w:tcBorders>
          </w:tcPr>
          <w:p w:rsidR="00C31389" w:rsidRDefault="00561FBD" w14:paraId="5C028B9A"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68B27998" w14:textId="77777777">
            <w:pPr>
              <w:pStyle w:val="TableParagraph"/>
              <w:ind w:left="317" w:right="299"/>
              <w:jc w:val="center"/>
              <w:rPr>
                <w:sz w:val="20"/>
              </w:rPr>
            </w:pPr>
            <w:r>
              <w:rPr>
                <w:spacing w:val="-5"/>
                <w:sz w:val="20"/>
              </w:rPr>
              <w:t>50%</w:t>
            </w:r>
          </w:p>
        </w:tc>
      </w:tr>
      <w:tr w:rsidR="00C31389" w14:paraId="285AF817" w14:textId="77777777">
        <w:trPr>
          <w:trHeight w:val="310"/>
        </w:trPr>
        <w:tc>
          <w:tcPr>
            <w:tcW w:w="3689" w:type="dxa"/>
            <w:tcBorders>
              <w:top w:val="single" w:color="D9D9D9" w:sz="2" w:space="0"/>
              <w:bottom w:val="single" w:color="D9D9D9" w:sz="2" w:space="0"/>
            </w:tcBorders>
          </w:tcPr>
          <w:p w:rsidR="00C31389" w:rsidRDefault="00561FBD" w14:paraId="043C16FF" w14:textId="77777777">
            <w:pPr>
              <w:pStyle w:val="TableParagraph"/>
              <w:ind w:left="122"/>
              <w:rPr>
                <w:sz w:val="20"/>
              </w:rPr>
            </w:pPr>
            <w:r>
              <w:rPr>
                <w:sz w:val="20"/>
              </w:rPr>
              <w:t>Ind</w:t>
            </w:r>
            <w:r>
              <w:rPr>
                <w:spacing w:val="-4"/>
                <w:sz w:val="20"/>
              </w:rPr>
              <w:t xml:space="preserve"> </w:t>
            </w:r>
            <w:r>
              <w:rPr>
                <w:sz w:val="20"/>
              </w:rPr>
              <w:t>–</w:t>
            </w:r>
            <w:r>
              <w:rPr>
                <w:spacing w:val="-2"/>
                <w:sz w:val="20"/>
              </w:rPr>
              <w:t xml:space="preserve"> </w:t>
            </w:r>
            <w:r>
              <w:rPr>
                <w:sz w:val="20"/>
              </w:rPr>
              <w:t>Lumber</w:t>
            </w:r>
            <w:r>
              <w:rPr>
                <w:spacing w:val="-3"/>
                <w:sz w:val="20"/>
              </w:rPr>
              <w:t xml:space="preserve"> </w:t>
            </w:r>
            <w:r>
              <w:rPr>
                <w:sz w:val="20"/>
              </w:rPr>
              <w:t>&amp;</w:t>
            </w:r>
            <w:r>
              <w:rPr>
                <w:spacing w:val="-2"/>
                <w:sz w:val="20"/>
              </w:rPr>
              <w:t xml:space="preserve"> Furniture</w:t>
            </w:r>
          </w:p>
        </w:tc>
        <w:tc>
          <w:tcPr>
            <w:tcW w:w="1699" w:type="dxa"/>
            <w:tcBorders>
              <w:top w:val="single" w:color="D9D9D9" w:sz="2" w:space="0"/>
              <w:bottom w:val="single" w:color="D9D9D9" w:sz="2" w:space="0"/>
            </w:tcBorders>
          </w:tcPr>
          <w:p w:rsidR="00C31389" w:rsidRDefault="00561FBD" w14:paraId="104AF634"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D9D9D9" w:sz="2" w:space="0"/>
            </w:tcBorders>
          </w:tcPr>
          <w:p w:rsidR="00C31389" w:rsidRDefault="00561FBD" w14:paraId="26D3D9E5" w14:textId="77777777">
            <w:pPr>
              <w:pStyle w:val="TableParagraph"/>
              <w:ind w:left="317" w:right="299"/>
              <w:jc w:val="center"/>
              <w:rPr>
                <w:sz w:val="20"/>
              </w:rPr>
            </w:pPr>
            <w:r>
              <w:rPr>
                <w:spacing w:val="-5"/>
                <w:sz w:val="20"/>
              </w:rPr>
              <w:t>52%</w:t>
            </w:r>
          </w:p>
        </w:tc>
      </w:tr>
      <w:tr w:rsidR="00C31389" w14:paraId="3609601E" w14:textId="77777777">
        <w:trPr>
          <w:trHeight w:val="310"/>
        </w:trPr>
        <w:tc>
          <w:tcPr>
            <w:tcW w:w="3689" w:type="dxa"/>
            <w:tcBorders>
              <w:top w:val="single" w:color="D9D9D9" w:sz="2" w:space="0"/>
              <w:bottom w:val="single" w:color="000000" w:sz="8" w:space="0"/>
            </w:tcBorders>
          </w:tcPr>
          <w:p w:rsidR="00C31389" w:rsidRDefault="00561FBD" w14:paraId="44EC5249" w14:textId="77777777">
            <w:pPr>
              <w:pStyle w:val="TableParagraph"/>
              <w:ind w:left="122"/>
              <w:rPr>
                <w:sz w:val="20"/>
              </w:rPr>
            </w:pPr>
            <w:r>
              <w:rPr>
                <w:sz w:val="20"/>
              </w:rPr>
              <w:t>Ind</w:t>
            </w:r>
            <w:r>
              <w:rPr>
                <w:spacing w:val="-2"/>
                <w:sz w:val="20"/>
              </w:rPr>
              <w:t xml:space="preserve"> </w:t>
            </w:r>
            <w:r>
              <w:rPr>
                <w:sz w:val="20"/>
              </w:rPr>
              <w:t>–</w:t>
            </w:r>
            <w:r>
              <w:rPr>
                <w:spacing w:val="-2"/>
                <w:sz w:val="20"/>
              </w:rPr>
              <w:t xml:space="preserve"> </w:t>
            </w:r>
            <w:r>
              <w:rPr>
                <w:sz w:val="20"/>
              </w:rPr>
              <w:t>All</w:t>
            </w:r>
            <w:r>
              <w:rPr>
                <w:spacing w:val="-2"/>
                <w:sz w:val="20"/>
              </w:rPr>
              <w:t xml:space="preserve"> </w:t>
            </w:r>
            <w:r>
              <w:rPr>
                <w:sz w:val="20"/>
              </w:rPr>
              <w:t>Other</w:t>
            </w:r>
            <w:r>
              <w:rPr>
                <w:spacing w:val="-1"/>
                <w:sz w:val="20"/>
              </w:rPr>
              <w:t xml:space="preserve"> </w:t>
            </w:r>
            <w:r>
              <w:rPr>
                <w:spacing w:val="-2"/>
                <w:sz w:val="20"/>
              </w:rPr>
              <w:t>Industrial</w:t>
            </w:r>
          </w:p>
        </w:tc>
        <w:tc>
          <w:tcPr>
            <w:tcW w:w="1699" w:type="dxa"/>
            <w:tcBorders>
              <w:top w:val="single" w:color="D9D9D9" w:sz="2" w:space="0"/>
              <w:bottom w:val="single" w:color="000000" w:sz="8" w:space="0"/>
            </w:tcBorders>
          </w:tcPr>
          <w:p w:rsidR="00C31389" w:rsidRDefault="00561FBD" w14:paraId="391DA2BF" w14:textId="77777777">
            <w:pPr>
              <w:pStyle w:val="TableParagraph"/>
              <w:ind w:left="747" w:right="311"/>
              <w:jc w:val="center"/>
              <w:rPr>
                <w:sz w:val="20"/>
              </w:rPr>
            </w:pPr>
            <w:r>
              <w:rPr>
                <w:spacing w:val="-2"/>
                <w:sz w:val="20"/>
              </w:rPr>
              <w:t>therms</w:t>
            </w:r>
          </w:p>
        </w:tc>
        <w:tc>
          <w:tcPr>
            <w:tcW w:w="1821" w:type="dxa"/>
            <w:tcBorders>
              <w:top w:val="single" w:color="D9D9D9" w:sz="2" w:space="0"/>
              <w:bottom w:val="single" w:color="000000" w:sz="8" w:space="0"/>
            </w:tcBorders>
          </w:tcPr>
          <w:p w:rsidR="00C31389" w:rsidRDefault="00561FBD" w14:paraId="40F94643" w14:textId="77777777">
            <w:pPr>
              <w:pStyle w:val="TableParagraph"/>
              <w:ind w:left="317" w:right="299"/>
              <w:jc w:val="center"/>
              <w:rPr>
                <w:sz w:val="20"/>
              </w:rPr>
            </w:pPr>
            <w:r>
              <w:rPr>
                <w:spacing w:val="-5"/>
                <w:sz w:val="20"/>
              </w:rPr>
              <w:t>48%</w:t>
            </w:r>
          </w:p>
        </w:tc>
      </w:tr>
    </w:tbl>
    <w:p w:rsidR="00C31389" w:rsidRDefault="00561FBD" w14:paraId="20B92855" w14:textId="77777777">
      <w:pPr>
        <w:spacing w:before="84"/>
        <w:ind w:left="480"/>
        <w:jc w:val="both"/>
        <w:rPr>
          <w:i/>
          <w:sz w:val="18"/>
        </w:rPr>
      </w:pPr>
      <w:r>
        <w:rPr>
          <w:i/>
          <w:sz w:val="18"/>
        </w:rPr>
        <w:t>Source:</w:t>
      </w:r>
      <w:r>
        <w:rPr>
          <w:i/>
          <w:spacing w:val="-3"/>
          <w:sz w:val="18"/>
        </w:rPr>
        <w:t xml:space="preserve"> </w:t>
      </w:r>
      <w:r>
        <w:rPr>
          <w:i/>
          <w:sz w:val="18"/>
        </w:rPr>
        <w:t>2019</w:t>
      </w:r>
      <w:r>
        <w:rPr>
          <w:i/>
          <w:spacing w:val="-3"/>
          <w:sz w:val="18"/>
        </w:rPr>
        <w:t xml:space="preserve"> </w:t>
      </w:r>
      <w:r>
        <w:rPr>
          <w:i/>
          <w:sz w:val="18"/>
        </w:rPr>
        <w:t>Potential</w:t>
      </w:r>
      <w:r>
        <w:rPr>
          <w:i/>
          <w:spacing w:val="-3"/>
          <w:sz w:val="18"/>
        </w:rPr>
        <w:t xml:space="preserve"> </w:t>
      </w:r>
      <w:r>
        <w:rPr>
          <w:i/>
          <w:sz w:val="18"/>
        </w:rPr>
        <w:t>and</w:t>
      </w:r>
      <w:r>
        <w:rPr>
          <w:i/>
          <w:spacing w:val="-3"/>
          <w:sz w:val="18"/>
        </w:rPr>
        <w:t xml:space="preserve"> </w:t>
      </w:r>
      <w:r>
        <w:rPr>
          <w:i/>
          <w:sz w:val="18"/>
        </w:rPr>
        <w:t>Goals</w:t>
      </w:r>
      <w:r>
        <w:rPr>
          <w:i/>
          <w:spacing w:val="-3"/>
          <w:sz w:val="18"/>
        </w:rPr>
        <w:t xml:space="preserve"> </w:t>
      </w:r>
      <w:r>
        <w:rPr>
          <w:i/>
          <w:spacing w:val="-2"/>
          <w:sz w:val="18"/>
        </w:rPr>
        <w:t>Study</w:t>
      </w:r>
    </w:p>
    <w:p w:rsidR="00C31389" w:rsidRDefault="00C31389" w14:paraId="7A4CF8A7" w14:textId="77777777">
      <w:pPr>
        <w:pStyle w:val="BodyText"/>
        <w:spacing w:before="9"/>
        <w:rPr>
          <w:i/>
          <w:sz w:val="20"/>
        </w:rPr>
      </w:pPr>
    </w:p>
    <w:p w:rsidR="00C31389" w:rsidRDefault="00561FBD" w14:paraId="75EC0C36" w14:textId="77777777">
      <w:pPr>
        <w:pStyle w:val="Heading7"/>
        <w:spacing w:before="1"/>
        <w:ind w:left="398" w:right="339"/>
        <w:jc w:val="center"/>
      </w:pPr>
      <w:bookmarkStart w:name="_bookmark443" w:id="577"/>
      <w:bookmarkEnd w:id="577"/>
      <w:r>
        <w:t>Table</w:t>
      </w:r>
      <w:r>
        <w:rPr>
          <w:spacing w:val="-8"/>
        </w:rPr>
        <w:t xml:space="preserve"> </w:t>
      </w:r>
      <w:r>
        <w:t>D-18.</w:t>
      </w:r>
      <w:r>
        <w:rPr>
          <w:spacing w:val="-9"/>
        </w:rPr>
        <w:t xml:space="preserve"> </w:t>
      </w:r>
      <w:r>
        <w:t>Agriculture</w:t>
      </w:r>
      <w:r>
        <w:rPr>
          <w:spacing w:val="-8"/>
        </w:rPr>
        <w:t xml:space="preserve"> </w:t>
      </w:r>
      <w:r>
        <w:t>SEM</w:t>
      </w:r>
      <w:r>
        <w:rPr>
          <w:spacing w:val="-8"/>
        </w:rPr>
        <w:t xml:space="preserve"> </w:t>
      </w:r>
      <w:r>
        <w:rPr>
          <w:spacing w:val="-2"/>
        </w:rPr>
        <w:t>Applicability</w:t>
      </w:r>
    </w:p>
    <w:p w:rsidR="00C31389" w:rsidRDefault="00C31389" w14:paraId="7B9D6308" w14:textId="77777777">
      <w:pPr>
        <w:pStyle w:val="BodyText"/>
        <w:spacing w:before="6" w:after="1"/>
        <w:rPr>
          <w:b/>
          <w:sz w:val="9"/>
        </w:rPr>
      </w:pPr>
    </w:p>
    <w:tbl>
      <w:tblPr>
        <w:tblW w:w="0" w:type="auto"/>
        <w:tblInd w:w="1392" w:type="dxa"/>
        <w:tblLayout w:type="fixed"/>
        <w:tblCellMar>
          <w:left w:w="0" w:type="dxa"/>
          <w:right w:w="0" w:type="dxa"/>
        </w:tblCellMar>
        <w:tblLook w:val="01E0" w:firstRow="1" w:lastRow="1" w:firstColumn="1" w:lastColumn="1" w:noHBand="0" w:noVBand="0"/>
      </w:tblPr>
      <w:tblGrid>
        <w:gridCol w:w="5250"/>
        <w:gridCol w:w="1958"/>
      </w:tblGrid>
      <w:tr w:rsidR="00C31389" w14:paraId="1C55AB0C" w14:textId="77777777">
        <w:trPr>
          <w:trHeight w:val="320"/>
        </w:trPr>
        <w:tc>
          <w:tcPr>
            <w:tcW w:w="5250" w:type="dxa"/>
            <w:shd w:val="clear" w:color="auto" w:fill="92D400"/>
          </w:tcPr>
          <w:p w:rsidR="00C31389" w:rsidRDefault="00561FBD" w14:paraId="5FED2E01" w14:textId="77777777">
            <w:pPr>
              <w:pStyle w:val="TableParagraph"/>
              <w:ind w:left="123"/>
              <w:rPr>
                <w:b/>
                <w:sz w:val="20"/>
              </w:rPr>
            </w:pPr>
            <w:r>
              <w:rPr>
                <w:b/>
                <w:spacing w:val="-2"/>
                <w:sz w:val="20"/>
              </w:rPr>
              <w:t>Segment</w:t>
            </w:r>
          </w:p>
        </w:tc>
        <w:tc>
          <w:tcPr>
            <w:tcW w:w="1958" w:type="dxa"/>
            <w:shd w:val="clear" w:color="auto" w:fill="92D400"/>
          </w:tcPr>
          <w:p w:rsidR="00C31389" w:rsidRDefault="00561FBD" w14:paraId="290ABF32" w14:textId="77777777">
            <w:pPr>
              <w:pStyle w:val="TableParagraph"/>
              <w:ind w:left="615" w:right="138"/>
              <w:jc w:val="center"/>
              <w:rPr>
                <w:b/>
                <w:sz w:val="20"/>
              </w:rPr>
            </w:pPr>
            <w:r>
              <w:rPr>
                <w:b/>
                <w:spacing w:val="-2"/>
                <w:sz w:val="20"/>
              </w:rPr>
              <w:t>Applicability</w:t>
            </w:r>
          </w:p>
        </w:tc>
      </w:tr>
      <w:tr w:rsidR="00C31389" w14:paraId="4D46EF6E" w14:textId="77777777">
        <w:trPr>
          <w:trHeight w:val="539"/>
        </w:trPr>
        <w:tc>
          <w:tcPr>
            <w:tcW w:w="5250" w:type="dxa"/>
            <w:tcBorders>
              <w:bottom w:val="single" w:color="D9D9D9" w:sz="2" w:space="0"/>
            </w:tcBorders>
          </w:tcPr>
          <w:p w:rsidR="00C31389" w:rsidRDefault="00561FBD" w14:paraId="1D8FA295" w14:textId="77777777">
            <w:pPr>
              <w:pStyle w:val="TableParagraph"/>
              <w:ind w:left="123" w:hanging="1"/>
              <w:rPr>
                <w:sz w:val="20"/>
              </w:rPr>
            </w:pPr>
            <w:r>
              <w:rPr>
                <w:sz w:val="20"/>
              </w:rPr>
              <w:t>Ag</w:t>
            </w:r>
            <w:r>
              <w:rPr>
                <w:spacing w:val="-6"/>
                <w:sz w:val="20"/>
              </w:rPr>
              <w:t xml:space="preserve"> </w:t>
            </w:r>
            <w:r>
              <w:rPr>
                <w:sz w:val="20"/>
              </w:rPr>
              <w:t>–</w:t>
            </w:r>
            <w:r>
              <w:rPr>
                <w:spacing w:val="-6"/>
                <w:sz w:val="20"/>
              </w:rPr>
              <w:t xml:space="preserve"> </w:t>
            </w:r>
            <w:r>
              <w:rPr>
                <w:sz w:val="20"/>
              </w:rPr>
              <w:t>Irrigated</w:t>
            </w:r>
            <w:r>
              <w:rPr>
                <w:spacing w:val="-7"/>
                <w:sz w:val="20"/>
              </w:rPr>
              <w:t xml:space="preserve"> </w:t>
            </w:r>
            <w:r>
              <w:rPr>
                <w:sz w:val="20"/>
              </w:rPr>
              <w:t>Agriculture,</w:t>
            </w:r>
            <w:r>
              <w:rPr>
                <w:spacing w:val="-7"/>
                <w:sz w:val="20"/>
              </w:rPr>
              <w:t xml:space="preserve"> </w:t>
            </w:r>
            <w:r>
              <w:rPr>
                <w:sz w:val="20"/>
              </w:rPr>
              <w:t>Vineyards,</w:t>
            </w:r>
            <w:r>
              <w:rPr>
                <w:spacing w:val="-6"/>
                <w:sz w:val="20"/>
              </w:rPr>
              <w:t xml:space="preserve"> </w:t>
            </w:r>
            <w:r>
              <w:rPr>
                <w:sz w:val="20"/>
              </w:rPr>
              <w:t>Forestry,</w:t>
            </w:r>
            <w:r>
              <w:rPr>
                <w:spacing w:val="-6"/>
                <w:sz w:val="20"/>
              </w:rPr>
              <w:t xml:space="preserve"> </w:t>
            </w:r>
            <w:r>
              <w:rPr>
                <w:sz w:val="20"/>
              </w:rPr>
              <w:t xml:space="preserve">and </w:t>
            </w:r>
            <w:r>
              <w:rPr>
                <w:spacing w:val="-2"/>
                <w:sz w:val="20"/>
              </w:rPr>
              <w:t>Greenhouses</w:t>
            </w:r>
          </w:p>
        </w:tc>
        <w:tc>
          <w:tcPr>
            <w:tcW w:w="1958" w:type="dxa"/>
            <w:tcBorders>
              <w:bottom w:val="single" w:color="D9D9D9" w:sz="2" w:space="0"/>
            </w:tcBorders>
          </w:tcPr>
          <w:p w:rsidR="00C31389" w:rsidRDefault="00561FBD" w14:paraId="2A5D02F3" w14:textId="77777777">
            <w:pPr>
              <w:pStyle w:val="TableParagraph"/>
              <w:spacing w:before="155"/>
              <w:ind w:left="615" w:right="137"/>
              <w:jc w:val="center"/>
              <w:rPr>
                <w:sz w:val="20"/>
              </w:rPr>
            </w:pPr>
            <w:r>
              <w:rPr>
                <w:spacing w:val="-5"/>
                <w:sz w:val="20"/>
              </w:rPr>
              <w:t>65%</w:t>
            </w:r>
          </w:p>
        </w:tc>
      </w:tr>
      <w:tr w:rsidR="00C31389" w14:paraId="23643A72" w14:textId="77777777">
        <w:trPr>
          <w:trHeight w:val="310"/>
        </w:trPr>
        <w:tc>
          <w:tcPr>
            <w:tcW w:w="5250" w:type="dxa"/>
            <w:tcBorders>
              <w:top w:val="single" w:color="D9D9D9" w:sz="2" w:space="0"/>
              <w:bottom w:val="single" w:color="000000" w:sz="8" w:space="0"/>
            </w:tcBorders>
          </w:tcPr>
          <w:p w:rsidR="00C31389" w:rsidRDefault="00561FBD" w14:paraId="355C2FEB" w14:textId="77777777">
            <w:pPr>
              <w:pStyle w:val="TableParagraph"/>
              <w:ind w:left="123"/>
              <w:rPr>
                <w:sz w:val="20"/>
              </w:rPr>
            </w:pPr>
            <w:r>
              <w:rPr>
                <w:sz w:val="20"/>
              </w:rPr>
              <w:t>Ag</w:t>
            </w:r>
            <w:r>
              <w:rPr>
                <w:spacing w:val="-3"/>
                <w:sz w:val="20"/>
              </w:rPr>
              <w:t xml:space="preserve"> </w:t>
            </w:r>
            <w:r>
              <w:rPr>
                <w:sz w:val="20"/>
              </w:rPr>
              <w:t>–</w:t>
            </w:r>
            <w:r>
              <w:rPr>
                <w:spacing w:val="-3"/>
                <w:sz w:val="20"/>
              </w:rPr>
              <w:t xml:space="preserve"> </w:t>
            </w:r>
            <w:r>
              <w:rPr>
                <w:sz w:val="20"/>
              </w:rPr>
              <w:t>Dairies,</w:t>
            </w:r>
            <w:r>
              <w:rPr>
                <w:spacing w:val="-4"/>
                <w:sz w:val="20"/>
              </w:rPr>
              <w:t xml:space="preserve"> </w:t>
            </w:r>
            <w:r>
              <w:rPr>
                <w:sz w:val="20"/>
              </w:rPr>
              <w:t>Fishing,</w:t>
            </w:r>
            <w:r>
              <w:rPr>
                <w:spacing w:val="-3"/>
                <w:sz w:val="20"/>
              </w:rPr>
              <w:t xml:space="preserve"> </w:t>
            </w:r>
            <w:r>
              <w:rPr>
                <w:sz w:val="20"/>
              </w:rPr>
              <w:t>and</w:t>
            </w:r>
            <w:r>
              <w:rPr>
                <w:spacing w:val="-3"/>
                <w:sz w:val="20"/>
              </w:rPr>
              <w:t xml:space="preserve"> </w:t>
            </w:r>
            <w:r>
              <w:rPr>
                <w:spacing w:val="-2"/>
                <w:sz w:val="20"/>
              </w:rPr>
              <w:t>Hunting</w:t>
            </w:r>
          </w:p>
        </w:tc>
        <w:tc>
          <w:tcPr>
            <w:tcW w:w="1958" w:type="dxa"/>
            <w:tcBorders>
              <w:top w:val="single" w:color="D9D9D9" w:sz="2" w:space="0"/>
              <w:bottom w:val="single" w:color="000000" w:sz="8" w:space="0"/>
            </w:tcBorders>
          </w:tcPr>
          <w:p w:rsidR="00C31389" w:rsidRDefault="00561FBD" w14:paraId="2CA725DC" w14:textId="77777777">
            <w:pPr>
              <w:pStyle w:val="TableParagraph"/>
              <w:ind w:left="615" w:right="137"/>
              <w:jc w:val="center"/>
              <w:rPr>
                <w:sz w:val="20"/>
              </w:rPr>
            </w:pPr>
            <w:r>
              <w:rPr>
                <w:spacing w:val="-5"/>
                <w:sz w:val="20"/>
              </w:rPr>
              <w:t>65%</w:t>
            </w:r>
          </w:p>
        </w:tc>
      </w:tr>
    </w:tbl>
    <w:p w:rsidR="00C31389" w:rsidRDefault="00C31389" w14:paraId="5722F2DE" w14:textId="77777777">
      <w:pPr>
        <w:jc w:val="center"/>
        <w:rPr>
          <w:sz w:val="20"/>
        </w:rPr>
        <w:sectPr w:rsidR="00C31389">
          <w:pgSz w:w="11910" w:h="16840"/>
          <w:pgMar w:top="1660" w:right="1020" w:bottom="1120" w:left="960" w:header="397" w:footer="938" w:gutter="0"/>
          <w:cols w:space="720"/>
        </w:sectPr>
      </w:pPr>
    </w:p>
    <w:p w:rsidR="00C31389" w:rsidRDefault="00C31389" w14:paraId="72CC051D" w14:textId="77777777">
      <w:pPr>
        <w:pStyle w:val="BodyText"/>
        <w:spacing w:before="2"/>
        <w:rPr>
          <w:b/>
          <w:sz w:val="25"/>
        </w:rPr>
      </w:pPr>
    </w:p>
    <w:tbl>
      <w:tblPr>
        <w:tblW w:w="0" w:type="auto"/>
        <w:tblInd w:w="1386" w:type="dxa"/>
        <w:tblLayout w:type="fixed"/>
        <w:tblCellMar>
          <w:left w:w="0" w:type="dxa"/>
          <w:right w:w="0" w:type="dxa"/>
        </w:tblCellMar>
        <w:tblLook w:val="01E0" w:firstRow="1" w:lastRow="1" w:firstColumn="1" w:lastColumn="1" w:noHBand="0" w:noVBand="0"/>
      </w:tblPr>
      <w:tblGrid>
        <w:gridCol w:w="4125"/>
        <w:gridCol w:w="3089"/>
      </w:tblGrid>
      <w:tr w:rsidR="00C31389" w14:paraId="416AD4CA" w14:textId="77777777">
        <w:trPr>
          <w:trHeight w:val="263"/>
        </w:trPr>
        <w:tc>
          <w:tcPr>
            <w:tcW w:w="4125" w:type="dxa"/>
            <w:tcBorders>
              <w:bottom w:val="single" w:color="000000" w:sz="8" w:space="0"/>
            </w:tcBorders>
          </w:tcPr>
          <w:p w:rsidR="00C31389" w:rsidRDefault="00561FBD" w14:paraId="17ED1AE8" w14:textId="77777777">
            <w:pPr>
              <w:pStyle w:val="TableParagraph"/>
              <w:spacing w:before="0" w:line="224" w:lineRule="exact"/>
              <w:ind w:left="129"/>
              <w:rPr>
                <w:sz w:val="20"/>
              </w:rPr>
            </w:pPr>
            <w:r>
              <w:rPr>
                <w:sz w:val="20"/>
              </w:rPr>
              <w:t>Ag</w:t>
            </w:r>
            <w:r>
              <w:rPr>
                <w:spacing w:val="-2"/>
                <w:sz w:val="20"/>
              </w:rPr>
              <w:t xml:space="preserve"> </w:t>
            </w:r>
            <w:r>
              <w:rPr>
                <w:sz w:val="20"/>
              </w:rPr>
              <w:t>–</w:t>
            </w:r>
            <w:r>
              <w:rPr>
                <w:spacing w:val="-2"/>
                <w:sz w:val="20"/>
              </w:rPr>
              <w:t xml:space="preserve"> </w:t>
            </w:r>
            <w:r>
              <w:rPr>
                <w:sz w:val="20"/>
              </w:rPr>
              <w:t xml:space="preserve">Water </w:t>
            </w:r>
            <w:r>
              <w:rPr>
                <w:spacing w:val="-2"/>
                <w:sz w:val="20"/>
              </w:rPr>
              <w:t>Pumping</w:t>
            </w:r>
          </w:p>
        </w:tc>
        <w:tc>
          <w:tcPr>
            <w:tcW w:w="3089" w:type="dxa"/>
            <w:tcBorders>
              <w:bottom w:val="single" w:color="000000" w:sz="8" w:space="0"/>
            </w:tcBorders>
          </w:tcPr>
          <w:p w:rsidR="00C31389" w:rsidRDefault="00561FBD" w14:paraId="7E2DE303" w14:textId="77777777">
            <w:pPr>
              <w:pStyle w:val="TableParagraph"/>
              <w:spacing w:before="0" w:line="224" w:lineRule="exact"/>
              <w:ind w:right="537"/>
              <w:jc w:val="right"/>
              <w:rPr>
                <w:sz w:val="20"/>
              </w:rPr>
            </w:pPr>
            <w:r>
              <w:rPr>
                <w:spacing w:val="-5"/>
                <w:sz w:val="20"/>
              </w:rPr>
              <w:t>40%</w:t>
            </w:r>
          </w:p>
        </w:tc>
      </w:tr>
    </w:tbl>
    <w:p w:rsidR="00C31389" w:rsidRDefault="00561FBD" w14:paraId="3A721609" w14:textId="77777777">
      <w:pPr>
        <w:spacing w:before="70"/>
        <w:ind w:left="480"/>
        <w:jc w:val="both"/>
        <w:rPr>
          <w:i/>
          <w:sz w:val="18"/>
        </w:rPr>
      </w:pPr>
      <w:r>
        <w:rPr>
          <w:i/>
          <w:sz w:val="18"/>
        </w:rPr>
        <w:t>Source:</w:t>
      </w:r>
      <w:r>
        <w:rPr>
          <w:i/>
          <w:spacing w:val="-3"/>
          <w:sz w:val="18"/>
        </w:rPr>
        <w:t xml:space="preserve"> </w:t>
      </w:r>
      <w:r>
        <w:rPr>
          <w:i/>
          <w:sz w:val="18"/>
        </w:rPr>
        <w:t>2019</w:t>
      </w:r>
      <w:r>
        <w:rPr>
          <w:i/>
          <w:spacing w:val="-3"/>
          <w:sz w:val="18"/>
        </w:rPr>
        <w:t xml:space="preserve"> </w:t>
      </w:r>
      <w:r>
        <w:rPr>
          <w:i/>
          <w:sz w:val="18"/>
        </w:rPr>
        <w:t>Potential</w:t>
      </w:r>
      <w:r>
        <w:rPr>
          <w:i/>
          <w:spacing w:val="-3"/>
          <w:sz w:val="18"/>
        </w:rPr>
        <w:t xml:space="preserve"> </w:t>
      </w:r>
      <w:r>
        <w:rPr>
          <w:i/>
          <w:sz w:val="18"/>
        </w:rPr>
        <w:t>and</w:t>
      </w:r>
      <w:r>
        <w:rPr>
          <w:i/>
          <w:spacing w:val="-3"/>
          <w:sz w:val="18"/>
        </w:rPr>
        <w:t xml:space="preserve"> </w:t>
      </w:r>
      <w:r>
        <w:rPr>
          <w:i/>
          <w:sz w:val="18"/>
        </w:rPr>
        <w:t>Goals</w:t>
      </w:r>
      <w:r>
        <w:rPr>
          <w:i/>
          <w:spacing w:val="-3"/>
          <w:sz w:val="18"/>
        </w:rPr>
        <w:t xml:space="preserve"> </w:t>
      </w:r>
      <w:r>
        <w:rPr>
          <w:i/>
          <w:spacing w:val="-2"/>
          <w:sz w:val="18"/>
        </w:rPr>
        <w:t>Study</w:t>
      </w:r>
    </w:p>
    <w:p w:rsidR="00C31389" w:rsidRDefault="00C31389" w14:paraId="45C42A24" w14:textId="77777777">
      <w:pPr>
        <w:pStyle w:val="BodyText"/>
        <w:spacing w:before="9"/>
        <w:rPr>
          <w:i/>
          <w:sz w:val="20"/>
        </w:rPr>
      </w:pPr>
    </w:p>
    <w:p w:rsidR="00C31389" w:rsidRDefault="00561FBD" w14:paraId="11917CE0" w14:textId="77777777">
      <w:pPr>
        <w:pStyle w:val="BodyText"/>
        <w:ind w:left="480" w:right="445"/>
      </w:pPr>
      <w:r>
        <w:t>The</w:t>
      </w:r>
      <w:r>
        <w:rPr>
          <w:spacing w:val="-3"/>
        </w:rPr>
        <w:t xml:space="preserve"> </w:t>
      </w:r>
      <w:r>
        <w:t>starting</w:t>
      </w:r>
      <w:r>
        <w:rPr>
          <w:spacing w:val="-4"/>
        </w:rPr>
        <w:t xml:space="preserve"> </w:t>
      </w:r>
      <w:r>
        <w:t>saturation</w:t>
      </w:r>
      <w:r>
        <w:rPr>
          <w:spacing w:val="-3"/>
        </w:rPr>
        <w:t xml:space="preserve"> </w:t>
      </w:r>
      <w:r>
        <w:t>for</w:t>
      </w:r>
      <w:r>
        <w:rPr>
          <w:spacing w:val="-3"/>
        </w:rPr>
        <w:t xml:space="preserve"> </w:t>
      </w:r>
      <w:r>
        <w:t>all</w:t>
      </w:r>
      <w:r>
        <w:rPr>
          <w:spacing w:val="-3"/>
        </w:rPr>
        <w:t xml:space="preserve"> </w:t>
      </w:r>
      <w:r>
        <w:t>segments</w:t>
      </w:r>
      <w:r>
        <w:rPr>
          <w:spacing w:val="-3"/>
        </w:rPr>
        <w:t xml:space="preserve"> </w:t>
      </w:r>
      <w:r>
        <w:t>is</w:t>
      </w:r>
      <w:r>
        <w:rPr>
          <w:spacing w:val="-3"/>
        </w:rPr>
        <w:t xml:space="preserve"> </w:t>
      </w:r>
      <w:r>
        <w:t>estimated</w:t>
      </w:r>
      <w:r>
        <w:rPr>
          <w:spacing w:val="-3"/>
        </w:rPr>
        <w:t xml:space="preserve"> </w:t>
      </w:r>
      <w:r>
        <w:t>at</w:t>
      </w:r>
      <w:r>
        <w:rPr>
          <w:spacing w:val="-3"/>
        </w:rPr>
        <w:t xml:space="preserve"> </w:t>
      </w:r>
      <w:r>
        <w:t>1.5%</w:t>
      </w:r>
      <w:r>
        <w:rPr>
          <w:spacing w:val="-2"/>
        </w:rPr>
        <w:t xml:space="preserve"> </w:t>
      </w:r>
      <w:r>
        <w:t>in</w:t>
      </w:r>
      <w:r>
        <w:rPr>
          <w:spacing w:val="-3"/>
        </w:rPr>
        <w:t xml:space="preserve"> </w:t>
      </w:r>
      <w:r>
        <w:t>2017</w:t>
      </w:r>
      <w:r>
        <w:rPr>
          <w:spacing w:val="-3"/>
        </w:rPr>
        <w:t xml:space="preserve"> </w:t>
      </w:r>
      <w:r>
        <w:t>because</w:t>
      </w:r>
      <w:r>
        <w:rPr>
          <w:spacing w:val="-3"/>
        </w:rPr>
        <w:t xml:space="preserve"> </w:t>
      </w:r>
      <w:r>
        <w:t>savings</w:t>
      </w:r>
      <w:r>
        <w:rPr>
          <w:spacing w:val="-4"/>
        </w:rPr>
        <w:t xml:space="preserve"> </w:t>
      </w:r>
      <w:r>
        <w:t>have been occurring with RCx prior to SEM program rollout. For the 2023 analysis, the team revised</w:t>
      </w:r>
      <w:r>
        <w:rPr>
          <w:spacing w:val="-1"/>
        </w:rPr>
        <w:t xml:space="preserve"> </w:t>
      </w:r>
      <w:r>
        <w:t>the</w:t>
      </w:r>
      <w:r>
        <w:rPr>
          <w:spacing w:val="-2"/>
        </w:rPr>
        <w:t xml:space="preserve"> </w:t>
      </w:r>
      <w:r>
        <w:t>industrial</w:t>
      </w:r>
      <w:r>
        <w:rPr>
          <w:spacing w:val="-1"/>
        </w:rPr>
        <w:t xml:space="preserve"> </w:t>
      </w:r>
      <w:r>
        <w:t>and</w:t>
      </w:r>
      <w:r>
        <w:rPr>
          <w:spacing w:val="-1"/>
        </w:rPr>
        <w:t xml:space="preserve"> </w:t>
      </w:r>
      <w:r>
        <w:t>agriculture</w:t>
      </w:r>
      <w:r>
        <w:rPr>
          <w:spacing w:val="-1"/>
        </w:rPr>
        <w:t xml:space="preserve"> </w:t>
      </w:r>
      <w:r>
        <w:t>SEM</w:t>
      </w:r>
      <w:r>
        <w:rPr>
          <w:spacing w:val="-2"/>
        </w:rPr>
        <w:t xml:space="preserve"> </w:t>
      </w:r>
      <w:r>
        <w:t>penetration</w:t>
      </w:r>
      <w:r>
        <w:rPr>
          <w:spacing w:val="-1"/>
        </w:rPr>
        <w:t xml:space="preserve"> </w:t>
      </w:r>
      <w:r>
        <w:t>forecast</w:t>
      </w:r>
      <w:r>
        <w:rPr>
          <w:spacing w:val="-1"/>
        </w:rPr>
        <w:t xml:space="preserve"> </w:t>
      </w:r>
      <w:r>
        <w:t>methodology</w:t>
      </w:r>
      <w:r>
        <w:rPr>
          <w:spacing w:val="-1"/>
        </w:rPr>
        <w:t xml:space="preserve"> </w:t>
      </w:r>
      <w:r>
        <w:t>to</w:t>
      </w:r>
      <w:r>
        <w:rPr>
          <w:spacing w:val="-1"/>
        </w:rPr>
        <w:t xml:space="preserve"> </w:t>
      </w:r>
      <w:r>
        <w:t>use</w:t>
      </w:r>
      <w:r>
        <w:rPr>
          <w:spacing w:val="-1"/>
        </w:rPr>
        <w:t xml:space="preserve"> </w:t>
      </w:r>
      <w:r>
        <w:t>a</w:t>
      </w:r>
      <w:r>
        <w:rPr>
          <w:spacing w:val="-2"/>
        </w:rPr>
        <w:t xml:space="preserve"> </w:t>
      </w:r>
      <w:r>
        <w:t>linear forecast versus the</w:t>
      </w:r>
      <w:r>
        <w:t xml:space="preserve"> CAGR approach used in previous studies. The slope of the linear forecast is based on an analysis of SEM savings trends recorded in CEDARS for 2013 through 2021 and is forecast to be 21% year-over-year.</w:t>
      </w:r>
      <w:hyperlink w:history="1" w:anchor="_bookmark445">
        <w:r>
          <w:rPr>
            <w:position w:val="7"/>
            <w:sz w:val="14"/>
          </w:rPr>
          <w:t>177</w:t>
        </w:r>
      </w:hyperlink>
      <w:r>
        <w:rPr>
          <w:spacing w:val="33"/>
          <w:position w:val="7"/>
          <w:sz w:val="14"/>
        </w:rPr>
        <w:t xml:space="preserve"> </w:t>
      </w:r>
      <w:r>
        <w:t>This change in methodology resulted in SEM penetration forecasts of 6.1% in 2035.</w:t>
      </w:r>
    </w:p>
    <w:p w:rsidR="00C31389" w:rsidRDefault="00C31389" w14:paraId="15705008" w14:textId="77777777">
      <w:pPr>
        <w:pStyle w:val="BodyText"/>
        <w:spacing w:before="10"/>
        <w:rPr>
          <w:sz w:val="20"/>
        </w:rPr>
      </w:pPr>
    </w:p>
    <w:p w:rsidR="00C31389" w:rsidRDefault="00561FBD" w14:paraId="10BAEE4B" w14:textId="77777777">
      <w:pPr>
        <w:pStyle w:val="Heading7"/>
        <w:spacing w:before="1"/>
        <w:ind w:left="480"/>
      </w:pPr>
      <w:r>
        <w:rPr>
          <w:spacing w:val="-2"/>
        </w:rPr>
        <w:t>Savings</w:t>
      </w:r>
    </w:p>
    <w:p w:rsidR="00C31389" w:rsidRDefault="00C31389" w14:paraId="6E546D3D" w14:textId="77777777">
      <w:pPr>
        <w:pStyle w:val="BodyText"/>
        <w:spacing w:before="10"/>
        <w:rPr>
          <w:b/>
          <w:sz w:val="20"/>
        </w:rPr>
      </w:pPr>
    </w:p>
    <w:p w:rsidR="00C31389" w:rsidRDefault="00561FBD" w14:paraId="37EFADA1" w14:textId="77777777">
      <w:pPr>
        <w:pStyle w:val="BodyText"/>
        <w:ind w:left="480" w:right="418"/>
      </w:pPr>
      <w:r>
        <w:t>The savings forecast for SEM is an estimate of O&amp;M savings based on a literature review from</w:t>
      </w:r>
      <w:r>
        <w:rPr>
          <w:spacing w:val="-4"/>
        </w:rPr>
        <w:t xml:space="preserve"> </w:t>
      </w:r>
      <w:r>
        <w:t>previous</w:t>
      </w:r>
      <w:r>
        <w:rPr>
          <w:spacing w:val="-3"/>
        </w:rPr>
        <w:t xml:space="preserve"> </w:t>
      </w:r>
      <w:r>
        <w:t>potential</w:t>
      </w:r>
      <w:r>
        <w:rPr>
          <w:spacing w:val="-3"/>
        </w:rPr>
        <w:t xml:space="preserve"> </w:t>
      </w:r>
      <w:r>
        <w:t>and</w:t>
      </w:r>
      <w:r>
        <w:rPr>
          <w:spacing w:val="-3"/>
        </w:rPr>
        <w:t xml:space="preserve"> </w:t>
      </w:r>
      <w:r>
        <w:t>goals</w:t>
      </w:r>
      <w:r>
        <w:rPr>
          <w:spacing w:val="-3"/>
        </w:rPr>
        <w:t xml:space="preserve"> </w:t>
      </w:r>
      <w:r>
        <w:t>study</w:t>
      </w:r>
      <w:r>
        <w:rPr>
          <w:spacing w:val="-2"/>
        </w:rPr>
        <w:t xml:space="preserve"> </w:t>
      </w:r>
      <w:r>
        <w:t>iterations;</w:t>
      </w:r>
      <w:r>
        <w:rPr>
          <w:spacing w:val="-3"/>
        </w:rPr>
        <w:t xml:space="preserve"> </w:t>
      </w:r>
      <w:r>
        <w:t>this</w:t>
      </w:r>
      <w:r>
        <w:rPr>
          <w:spacing w:val="-3"/>
        </w:rPr>
        <w:t xml:space="preserve"> </w:t>
      </w:r>
      <w:r>
        <w:t>review</w:t>
      </w:r>
      <w:r>
        <w:rPr>
          <w:spacing w:val="-3"/>
        </w:rPr>
        <w:t xml:space="preserve"> </w:t>
      </w:r>
      <w:r>
        <w:t>indicated</w:t>
      </w:r>
      <w:r>
        <w:rPr>
          <w:spacing w:val="-3"/>
        </w:rPr>
        <w:t xml:space="preserve"> </w:t>
      </w:r>
      <w:r>
        <w:t>that</w:t>
      </w:r>
      <w:r>
        <w:rPr>
          <w:spacing w:val="-3"/>
        </w:rPr>
        <w:t xml:space="preserve"> </w:t>
      </w:r>
      <w:r>
        <w:t>an</w:t>
      </w:r>
      <w:r>
        <w:rPr>
          <w:spacing w:val="-3"/>
        </w:rPr>
        <w:t xml:space="preserve"> </w:t>
      </w:r>
      <w:r>
        <w:t>average</w:t>
      </w:r>
      <w:r>
        <w:rPr>
          <w:spacing w:val="-3"/>
        </w:rPr>
        <w:t xml:space="preserve"> </w:t>
      </w:r>
      <w:r>
        <w:t>UES for O&amp;M savings of 3.0% of annual sector-level consumption is appropriate for the industrial and</w:t>
      </w:r>
      <w:r>
        <w:rPr>
          <w:spacing w:val="-2"/>
        </w:rPr>
        <w:t xml:space="preserve"> </w:t>
      </w:r>
      <w:r>
        <w:t>agriculture</w:t>
      </w:r>
      <w:r>
        <w:rPr>
          <w:spacing w:val="-2"/>
        </w:rPr>
        <w:t xml:space="preserve"> </w:t>
      </w:r>
      <w:r>
        <w:t>sectors.</w:t>
      </w:r>
      <w:r>
        <w:rPr>
          <w:spacing w:val="-3"/>
        </w:rPr>
        <w:t xml:space="preserve"> </w:t>
      </w:r>
      <w:r>
        <w:t>Savings</w:t>
      </w:r>
      <w:r>
        <w:rPr>
          <w:spacing w:val="-2"/>
        </w:rPr>
        <w:t xml:space="preserve"> </w:t>
      </w:r>
      <w:r>
        <w:t>at</w:t>
      </w:r>
      <w:r>
        <w:rPr>
          <w:spacing w:val="-2"/>
        </w:rPr>
        <w:t xml:space="preserve"> </w:t>
      </w:r>
      <w:r>
        <w:t>the</w:t>
      </w:r>
      <w:r>
        <w:rPr>
          <w:spacing w:val="-2"/>
        </w:rPr>
        <w:t xml:space="preserve"> </w:t>
      </w:r>
      <w:r>
        <w:t>segment</w:t>
      </w:r>
      <w:r>
        <w:rPr>
          <w:spacing w:val="-2"/>
        </w:rPr>
        <w:t xml:space="preserve"> </w:t>
      </w:r>
      <w:r>
        <w:t>level</w:t>
      </w:r>
      <w:r>
        <w:rPr>
          <w:spacing w:val="-2"/>
        </w:rPr>
        <w:t xml:space="preserve"> </w:t>
      </w:r>
      <w:r>
        <w:t>will</w:t>
      </w:r>
      <w:r>
        <w:rPr>
          <w:spacing w:val="-3"/>
        </w:rPr>
        <w:t xml:space="preserve"> </w:t>
      </w:r>
      <w:r>
        <w:t>vary</w:t>
      </w:r>
      <w:r>
        <w:rPr>
          <w:spacing w:val="-2"/>
        </w:rPr>
        <w:t xml:space="preserve"> </w:t>
      </w:r>
      <w:r>
        <w:t>because</w:t>
      </w:r>
      <w:r>
        <w:rPr>
          <w:spacing w:val="-2"/>
        </w:rPr>
        <w:t xml:space="preserve"> </w:t>
      </w:r>
      <w:r>
        <w:t>SEM</w:t>
      </w:r>
      <w:r>
        <w:rPr>
          <w:spacing w:val="-3"/>
        </w:rPr>
        <w:t xml:space="preserve"> </w:t>
      </w:r>
      <w:r>
        <w:t>in</w:t>
      </w:r>
      <w:r>
        <w:rPr>
          <w:spacing w:val="-2"/>
        </w:rPr>
        <w:t xml:space="preserve"> </w:t>
      </w:r>
      <w:r>
        <w:t>the</w:t>
      </w:r>
      <w:r>
        <w:rPr>
          <w:spacing w:val="-2"/>
        </w:rPr>
        <w:t xml:space="preserve"> </w:t>
      </w:r>
      <w:r>
        <w:t>industrial and agriculture</w:t>
      </w:r>
      <w:r>
        <w:t xml:space="preserve"> sectors applies primarily to usage associated with machine drive, process heating, and process refrigeration. As such, the team calculated segment-specific UES values based on how much energy is consumed for these three uses.</w:t>
      </w:r>
    </w:p>
    <w:p w:rsidR="00C31389" w:rsidRDefault="00C31389" w14:paraId="00E4C5B2" w14:textId="77777777">
      <w:pPr>
        <w:pStyle w:val="BodyText"/>
        <w:spacing w:before="9"/>
        <w:rPr>
          <w:sz w:val="20"/>
        </w:rPr>
      </w:pPr>
    </w:p>
    <w:p w:rsidR="00C31389" w:rsidRDefault="00561FBD" w14:paraId="6380E6B9" w14:textId="77777777">
      <w:pPr>
        <w:pStyle w:val="BodyText"/>
        <w:ind w:left="480" w:right="479"/>
      </w:pPr>
      <w:hyperlink w:history="1" w:anchor="_bookmark444">
        <w:r>
          <w:t>Table D-19</w:t>
        </w:r>
      </w:hyperlink>
      <w:r>
        <w:t xml:space="preserve"> shows how usage varies by sector for the industrial segment; for example, 93% of petroleum segment consumption is accounted for by the end uses impacted by SEM, while only 39% of energy is consumed by these s</w:t>
      </w:r>
      <w:r>
        <w:t>ame end use categories in the textile segment. On average, these end uses account for 64% of total industrial sector usage. The Guidehouse team calculated a SEM segment savings adjustment factor by dividing the SEM-applicable segment consumption by the mar</w:t>
      </w:r>
      <w:r>
        <w:t>ket average consumption. For the petroleum sector, for example, the SEM-applicable segment consumption of 93% was divided by the industrial sector average consumption of 64% to yield an SEM segment UES adjustment</w:t>
      </w:r>
      <w:r>
        <w:rPr>
          <w:spacing w:val="-2"/>
        </w:rPr>
        <w:t xml:space="preserve"> </w:t>
      </w:r>
      <w:r>
        <w:t>factor</w:t>
      </w:r>
      <w:r>
        <w:rPr>
          <w:spacing w:val="-2"/>
        </w:rPr>
        <w:t xml:space="preserve"> </w:t>
      </w:r>
      <w:r>
        <w:t>of</w:t>
      </w:r>
      <w:r>
        <w:rPr>
          <w:spacing w:val="-2"/>
        </w:rPr>
        <w:t xml:space="preserve"> </w:t>
      </w:r>
      <w:r>
        <w:t>1.5</w:t>
      </w:r>
      <w:r>
        <w:rPr>
          <w:spacing w:val="-2"/>
        </w:rPr>
        <w:t xml:space="preserve"> </w:t>
      </w:r>
      <w:r>
        <w:t>for</w:t>
      </w:r>
      <w:r>
        <w:rPr>
          <w:spacing w:val="-2"/>
        </w:rPr>
        <w:t xml:space="preserve"> </w:t>
      </w:r>
      <w:r>
        <w:t>the</w:t>
      </w:r>
      <w:r>
        <w:rPr>
          <w:spacing w:val="-2"/>
        </w:rPr>
        <w:t xml:space="preserve"> </w:t>
      </w:r>
      <w:r>
        <w:t>petroleum</w:t>
      </w:r>
      <w:r>
        <w:rPr>
          <w:spacing w:val="-3"/>
        </w:rPr>
        <w:t xml:space="preserve"> </w:t>
      </w:r>
      <w:r>
        <w:t>segment.</w:t>
      </w:r>
      <w:r>
        <w:rPr>
          <w:spacing w:val="-2"/>
        </w:rPr>
        <w:t xml:space="preserve"> </w:t>
      </w:r>
      <w:r>
        <w:t>Th</w:t>
      </w:r>
      <w:r>
        <w:t>e</w:t>
      </w:r>
      <w:r>
        <w:rPr>
          <w:spacing w:val="-2"/>
        </w:rPr>
        <w:t xml:space="preserve"> </w:t>
      </w:r>
      <w:r>
        <w:t>Guidehouse</w:t>
      </w:r>
      <w:r>
        <w:rPr>
          <w:spacing w:val="-2"/>
        </w:rPr>
        <w:t xml:space="preserve"> </w:t>
      </w:r>
      <w:r>
        <w:t>team</w:t>
      </w:r>
      <w:r>
        <w:rPr>
          <w:spacing w:val="-3"/>
        </w:rPr>
        <w:t xml:space="preserve"> </w:t>
      </w:r>
      <w:r>
        <w:t>then</w:t>
      </w:r>
      <w:r>
        <w:rPr>
          <w:spacing w:val="-2"/>
        </w:rPr>
        <w:t xml:space="preserve"> </w:t>
      </w:r>
      <w:r>
        <w:t>calculated</w:t>
      </w:r>
      <w:r>
        <w:rPr>
          <w:spacing w:val="-2"/>
        </w:rPr>
        <w:t xml:space="preserve"> </w:t>
      </w:r>
      <w:r>
        <w:t>a SEM</w:t>
      </w:r>
      <w:r>
        <w:rPr>
          <w:spacing w:val="-3"/>
        </w:rPr>
        <w:t xml:space="preserve"> </w:t>
      </w:r>
      <w:r>
        <w:t>UES</w:t>
      </w:r>
      <w:r>
        <w:rPr>
          <w:spacing w:val="-2"/>
        </w:rPr>
        <w:t xml:space="preserve"> </w:t>
      </w:r>
      <w:r>
        <w:t>multiplier</w:t>
      </w:r>
      <w:r>
        <w:rPr>
          <w:spacing w:val="-3"/>
        </w:rPr>
        <w:t xml:space="preserve"> </w:t>
      </w:r>
      <w:r>
        <w:t>by</w:t>
      </w:r>
      <w:r>
        <w:rPr>
          <w:spacing w:val="-4"/>
        </w:rPr>
        <w:t xml:space="preserve"> </w:t>
      </w:r>
      <w:r>
        <w:t>multiplying</w:t>
      </w:r>
      <w:r>
        <w:rPr>
          <w:spacing w:val="-3"/>
        </w:rPr>
        <w:t xml:space="preserve"> </w:t>
      </w:r>
      <w:r>
        <w:t>the</w:t>
      </w:r>
      <w:r>
        <w:rPr>
          <w:spacing w:val="-3"/>
        </w:rPr>
        <w:t xml:space="preserve"> </w:t>
      </w:r>
      <w:r>
        <w:t>average</w:t>
      </w:r>
      <w:r>
        <w:rPr>
          <w:spacing w:val="-4"/>
        </w:rPr>
        <w:t xml:space="preserve"> </w:t>
      </w:r>
      <w:r>
        <w:t>SEM</w:t>
      </w:r>
      <w:r>
        <w:rPr>
          <w:spacing w:val="-4"/>
        </w:rPr>
        <w:t xml:space="preserve"> </w:t>
      </w:r>
      <w:r>
        <w:t>industrial</w:t>
      </w:r>
      <w:r>
        <w:rPr>
          <w:spacing w:val="-3"/>
        </w:rPr>
        <w:t xml:space="preserve"> </w:t>
      </w:r>
      <w:r>
        <w:t>sector</w:t>
      </w:r>
      <w:r>
        <w:rPr>
          <w:spacing w:val="-5"/>
        </w:rPr>
        <w:t xml:space="preserve"> </w:t>
      </w:r>
      <w:r>
        <w:t>savings</w:t>
      </w:r>
      <w:r>
        <w:rPr>
          <w:spacing w:val="-3"/>
        </w:rPr>
        <w:t xml:space="preserve"> </w:t>
      </w:r>
      <w:r>
        <w:t>of</w:t>
      </w:r>
      <w:r>
        <w:rPr>
          <w:spacing w:val="-3"/>
        </w:rPr>
        <w:t xml:space="preserve"> </w:t>
      </w:r>
      <w:r>
        <w:t>3.0%</w:t>
      </w:r>
      <w:r>
        <w:rPr>
          <w:spacing w:val="-2"/>
        </w:rPr>
        <w:t xml:space="preserve"> </w:t>
      </w:r>
      <w:r>
        <w:t>by</w:t>
      </w:r>
      <w:r>
        <w:rPr>
          <w:spacing w:val="-3"/>
        </w:rPr>
        <w:t xml:space="preserve"> </w:t>
      </w:r>
      <w:r>
        <w:t>the SEM</w:t>
      </w:r>
      <w:r>
        <w:rPr>
          <w:spacing w:val="-4"/>
        </w:rPr>
        <w:t xml:space="preserve"> </w:t>
      </w:r>
      <w:r>
        <w:t>segment</w:t>
      </w:r>
      <w:r>
        <w:rPr>
          <w:spacing w:val="-3"/>
        </w:rPr>
        <w:t xml:space="preserve"> </w:t>
      </w:r>
      <w:r>
        <w:t>savings</w:t>
      </w:r>
      <w:r>
        <w:rPr>
          <w:spacing w:val="-3"/>
        </w:rPr>
        <w:t xml:space="preserve"> </w:t>
      </w:r>
      <w:r>
        <w:t>adjustment</w:t>
      </w:r>
      <w:r>
        <w:rPr>
          <w:spacing w:val="-3"/>
        </w:rPr>
        <w:t xml:space="preserve"> </w:t>
      </w:r>
      <w:r>
        <w:t>factor.</w:t>
      </w:r>
      <w:r>
        <w:rPr>
          <w:spacing w:val="-3"/>
        </w:rPr>
        <w:t xml:space="preserve"> </w:t>
      </w:r>
      <w:r>
        <w:t>In</w:t>
      </w:r>
      <w:r>
        <w:rPr>
          <w:spacing w:val="-3"/>
        </w:rPr>
        <w:t xml:space="preserve"> </w:t>
      </w:r>
      <w:r>
        <w:t>this</w:t>
      </w:r>
      <w:r>
        <w:rPr>
          <w:spacing w:val="-4"/>
        </w:rPr>
        <w:t xml:space="preserve"> </w:t>
      </w:r>
      <w:r>
        <w:t>example,</w:t>
      </w:r>
      <w:r>
        <w:rPr>
          <w:spacing w:val="-3"/>
        </w:rPr>
        <w:t xml:space="preserve"> </w:t>
      </w:r>
      <w:r>
        <w:t>the</w:t>
      </w:r>
      <w:r>
        <w:rPr>
          <w:spacing w:val="-3"/>
        </w:rPr>
        <w:t xml:space="preserve"> </w:t>
      </w:r>
      <w:r>
        <w:t>average</w:t>
      </w:r>
      <w:r>
        <w:rPr>
          <w:spacing w:val="-3"/>
        </w:rPr>
        <w:t xml:space="preserve"> </w:t>
      </w:r>
      <w:r>
        <w:t>SEM</w:t>
      </w:r>
      <w:r>
        <w:rPr>
          <w:spacing w:val="-4"/>
        </w:rPr>
        <w:t xml:space="preserve"> </w:t>
      </w:r>
      <w:r>
        <w:t>industrial</w:t>
      </w:r>
      <w:r>
        <w:rPr>
          <w:spacing w:val="-3"/>
        </w:rPr>
        <w:t xml:space="preserve"> </w:t>
      </w:r>
      <w:r>
        <w:t xml:space="preserve">sector savings of 3.0% was multiplied by the UES adjustment factor of 1.5 for the petroleum segment, yielding a multiplier of 4.4%. </w:t>
      </w:r>
      <w:hyperlink w:history="1" w:anchor="_bookmark446">
        <w:r>
          <w:t>Table D-20</w:t>
        </w:r>
      </w:hyperlink>
      <w:r>
        <w:t xml:space="preserve"> provides the UES multipliers used to forecast na</w:t>
      </w:r>
      <w:r>
        <w:t>tural gas savings.</w:t>
      </w:r>
    </w:p>
    <w:p w:rsidR="00C31389" w:rsidRDefault="00C31389" w14:paraId="632035BA" w14:textId="77777777">
      <w:pPr>
        <w:pStyle w:val="BodyText"/>
        <w:spacing w:before="11"/>
        <w:rPr>
          <w:sz w:val="20"/>
        </w:rPr>
      </w:pPr>
    </w:p>
    <w:p w:rsidR="00C31389" w:rsidRDefault="00561FBD" w14:paraId="65BA02CD" w14:textId="77777777">
      <w:pPr>
        <w:pStyle w:val="Heading7"/>
        <w:ind w:left="398" w:right="338"/>
        <w:jc w:val="center"/>
      </w:pPr>
      <w:bookmarkStart w:name="_bookmark444" w:id="578"/>
      <w:bookmarkEnd w:id="578"/>
      <w:r>
        <w:t>Table</w:t>
      </w:r>
      <w:r>
        <w:rPr>
          <w:spacing w:val="-8"/>
        </w:rPr>
        <w:t xml:space="preserve"> </w:t>
      </w:r>
      <w:r>
        <w:t>D-19.</w:t>
      </w:r>
      <w:r>
        <w:rPr>
          <w:spacing w:val="-9"/>
        </w:rPr>
        <w:t xml:space="preserve"> </w:t>
      </w:r>
      <w:r>
        <w:t>Industrial</w:t>
      </w:r>
      <w:r>
        <w:rPr>
          <w:spacing w:val="-8"/>
        </w:rPr>
        <w:t xml:space="preserve"> </w:t>
      </w:r>
      <w:r>
        <w:t>SEM</w:t>
      </w:r>
      <w:r>
        <w:rPr>
          <w:spacing w:val="-8"/>
        </w:rPr>
        <w:t xml:space="preserve"> </w:t>
      </w:r>
      <w:r>
        <w:t>Electricity</w:t>
      </w:r>
      <w:r>
        <w:rPr>
          <w:spacing w:val="-7"/>
        </w:rPr>
        <w:t xml:space="preserve"> </w:t>
      </w:r>
      <w:r>
        <w:t>UES</w:t>
      </w:r>
      <w:r>
        <w:rPr>
          <w:spacing w:val="-8"/>
        </w:rPr>
        <w:t xml:space="preserve"> </w:t>
      </w:r>
      <w:r>
        <w:rPr>
          <w:spacing w:val="-2"/>
        </w:rPr>
        <w:t>Multipliers</w:t>
      </w:r>
    </w:p>
    <w:p w:rsidR="00C31389" w:rsidRDefault="00C31389" w14:paraId="2C0A5155" w14:textId="77777777">
      <w:pPr>
        <w:pStyle w:val="BodyText"/>
        <w:spacing w:before="7"/>
        <w:rPr>
          <w:b/>
          <w:sz w:val="9"/>
        </w:rPr>
      </w:pPr>
    </w:p>
    <w:tbl>
      <w:tblPr>
        <w:tblW w:w="0" w:type="auto"/>
        <w:tblInd w:w="260" w:type="dxa"/>
        <w:tblLayout w:type="fixed"/>
        <w:tblCellMar>
          <w:left w:w="0" w:type="dxa"/>
          <w:right w:w="0" w:type="dxa"/>
        </w:tblCellMar>
        <w:tblLook w:val="01E0" w:firstRow="1" w:lastRow="1" w:firstColumn="1" w:lastColumn="1" w:noHBand="0" w:noVBand="0"/>
      </w:tblPr>
      <w:tblGrid>
        <w:gridCol w:w="2015"/>
        <w:gridCol w:w="1262"/>
        <w:gridCol w:w="1046"/>
        <w:gridCol w:w="1041"/>
        <w:gridCol w:w="1562"/>
        <w:gridCol w:w="1367"/>
        <w:gridCol w:w="1164"/>
      </w:tblGrid>
      <w:tr w:rsidR="00C31389" w14:paraId="416F61D1" w14:textId="77777777">
        <w:trPr>
          <w:trHeight w:val="330"/>
        </w:trPr>
        <w:tc>
          <w:tcPr>
            <w:tcW w:w="5364" w:type="dxa"/>
            <w:gridSpan w:val="4"/>
            <w:shd w:val="clear" w:color="auto" w:fill="92D400"/>
          </w:tcPr>
          <w:p w:rsidR="00C31389" w:rsidRDefault="00561FBD" w14:paraId="22DF0212" w14:textId="77777777">
            <w:pPr>
              <w:pStyle w:val="TableParagraph"/>
              <w:ind w:left="2731"/>
              <w:rPr>
                <w:b/>
                <w:sz w:val="20"/>
              </w:rPr>
            </w:pPr>
            <w:r>
              <w:rPr>
                <w:b/>
                <w:sz w:val="20"/>
              </w:rPr>
              <w:t>SEM</w:t>
            </w:r>
            <w:r>
              <w:rPr>
                <w:b/>
                <w:spacing w:val="-5"/>
                <w:sz w:val="20"/>
              </w:rPr>
              <w:t xml:space="preserve"> </w:t>
            </w:r>
            <w:r>
              <w:rPr>
                <w:b/>
                <w:sz w:val="20"/>
              </w:rPr>
              <w:t>Target</w:t>
            </w:r>
            <w:r>
              <w:rPr>
                <w:b/>
                <w:spacing w:val="-3"/>
                <w:sz w:val="20"/>
              </w:rPr>
              <w:t xml:space="preserve"> </w:t>
            </w:r>
            <w:r>
              <w:rPr>
                <w:b/>
                <w:sz w:val="20"/>
              </w:rPr>
              <w:t>End</w:t>
            </w:r>
            <w:r>
              <w:rPr>
                <w:b/>
                <w:spacing w:val="-2"/>
                <w:sz w:val="20"/>
              </w:rPr>
              <w:t xml:space="preserve"> </w:t>
            </w:r>
            <w:r>
              <w:rPr>
                <w:b/>
                <w:spacing w:val="-4"/>
                <w:sz w:val="20"/>
              </w:rPr>
              <w:t>Uses</w:t>
            </w:r>
          </w:p>
        </w:tc>
        <w:tc>
          <w:tcPr>
            <w:tcW w:w="1562" w:type="dxa"/>
            <w:vMerge w:val="restart"/>
            <w:shd w:val="clear" w:color="auto" w:fill="92D400"/>
          </w:tcPr>
          <w:p w:rsidR="00C31389" w:rsidRDefault="00561FBD" w14:paraId="605F3E5C" w14:textId="77777777">
            <w:pPr>
              <w:pStyle w:val="TableParagraph"/>
              <w:spacing w:before="155" w:line="230" w:lineRule="exact"/>
              <w:ind w:left="523" w:right="515"/>
              <w:jc w:val="center"/>
              <w:rPr>
                <w:b/>
                <w:sz w:val="20"/>
              </w:rPr>
            </w:pPr>
            <w:r>
              <w:rPr>
                <w:b/>
                <w:spacing w:val="-4"/>
                <w:sz w:val="20"/>
              </w:rPr>
              <w:t>SEM-</w:t>
            </w:r>
          </w:p>
          <w:p w:rsidR="00C31389" w:rsidRDefault="00561FBD" w14:paraId="40E836C0" w14:textId="77777777">
            <w:pPr>
              <w:pStyle w:val="TableParagraph"/>
              <w:spacing w:before="0"/>
              <w:ind w:left="140" w:right="130" w:hanging="1"/>
              <w:jc w:val="center"/>
              <w:rPr>
                <w:b/>
                <w:sz w:val="20"/>
              </w:rPr>
            </w:pPr>
            <w:r>
              <w:rPr>
                <w:b/>
                <w:spacing w:val="-2"/>
                <w:sz w:val="20"/>
              </w:rPr>
              <w:t>Applicable Segment Consumption</w:t>
            </w:r>
          </w:p>
        </w:tc>
        <w:tc>
          <w:tcPr>
            <w:tcW w:w="1367" w:type="dxa"/>
            <w:vMerge w:val="restart"/>
            <w:shd w:val="clear" w:color="auto" w:fill="92D400"/>
          </w:tcPr>
          <w:p w:rsidR="00C31389" w:rsidRDefault="00561FBD" w14:paraId="278929BC" w14:textId="77777777">
            <w:pPr>
              <w:pStyle w:val="TableParagraph"/>
              <w:ind w:left="463" w:right="444"/>
              <w:jc w:val="center"/>
              <w:rPr>
                <w:b/>
                <w:sz w:val="20"/>
              </w:rPr>
            </w:pPr>
            <w:r>
              <w:rPr>
                <w:b/>
                <w:spacing w:val="-5"/>
                <w:sz w:val="20"/>
              </w:rPr>
              <w:t>SEM</w:t>
            </w:r>
          </w:p>
          <w:p w:rsidR="00C31389" w:rsidRDefault="00561FBD" w14:paraId="5412DDCC" w14:textId="77777777">
            <w:pPr>
              <w:pStyle w:val="TableParagraph"/>
              <w:spacing w:before="1"/>
              <w:ind w:left="141" w:right="121" w:firstLine="1"/>
              <w:jc w:val="center"/>
              <w:rPr>
                <w:b/>
                <w:sz w:val="20"/>
              </w:rPr>
            </w:pPr>
            <w:r>
              <w:rPr>
                <w:b/>
                <w:spacing w:val="-2"/>
                <w:sz w:val="20"/>
              </w:rPr>
              <w:t>Segment Savings Adjustment Factor</w:t>
            </w:r>
          </w:p>
        </w:tc>
        <w:tc>
          <w:tcPr>
            <w:tcW w:w="1164" w:type="dxa"/>
            <w:shd w:val="clear" w:color="auto" w:fill="92D400"/>
          </w:tcPr>
          <w:p w:rsidR="00C31389" w:rsidRDefault="00C31389" w14:paraId="72D3C667" w14:textId="77777777">
            <w:pPr>
              <w:pStyle w:val="TableParagraph"/>
              <w:spacing w:before="0"/>
              <w:rPr>
                <w:rFonts w:ascii="Times New Roman"/>
                <w:sz w:val="20"/>
              </w:rPr>
            </w:pPr>
          </w:p>
        </w:tc>
      </w:tr>
      <w:tr w:rsidR="00C31389" w14:paraId="4882769B" w14:textId="77777777">
        <w:trPr>
          <w:trHeight w:val="908"/>
        </w:trPr>
        <w:tc>
          <w:tcPr>
            <w:tcW w:w="2015" w:type="dxa"/>
            <w:shd w:val="clear" w:color="auto" w:fill="92D400"/>
          </w:tcPr>
          <w:p w:rsidR="00C31389" w:rsidRDefault="00561FBD" w14:paraId="69086744" w14:textId="77777777">
            <w:pPr>
              <w:pStyle w:val="TableParagraph"/>
              <w:spacing w:before="169"/>
              <w:ind w:left="129"/>
              <w:rPr>
                <w:b/>
                <w:sz w:val="20"/>
              </w:rPr>
            </w:pPr>
            <w:r>
              <w:rPr>
                <w:b/>
                <w:spacing w:val="-2"/>
                <w:sz w:val="20"/>
              </w:rPr>
              <w:t>Segment</w:t>
            </w:r>
          </w:p>
        </w:tc>
        <w:tc>
          <w:tcPr>
            <w:tcW w:w="1262" w:type="dxa"/>
            <w:shd w:val="clear" w:color="auto" w:fill="92D400"/>
          </w:tcPr>
          <w:p w:rsidR="00C31389" w:rsidRDefault="00C31389" w14:paraId="026E7B77" w14:textId="77777777">
            <w:pPr>
              <w:pStyle w:val="TableParagraph"/>
              <w:spacing w:before="7"/>
              <w:rPr>
                <w:b/>
                <w:sz w:val="18"/>
              </w:rPr>
            </w:pPr>
          </w:p>
          <w:p w:rsidR="00C31389" w:rsidRDefault="00561FBD" w14:paraId="63833CF3" w14:textId="77777777">
            <w:pPr>
              <w:pStyle w:val="TableParagraph"/>
              <w:spacing w:before="1"/>
              <w:ind w:left="413" w:right="137" w:hanging="95"/>
              <w:rPr>
                <w:b/>
                <w:sz w:val="20"/>
              </w:rPr>
            </w:pPr>
            <w:r>
              <w:rPr>
                <w:b/>
                <w:spacing w:val="-2"/>
                <w:sz w:val="20"/>
              </w:rPr>
              <w:t>Machine Drives</w:t>
            </w:r>
          </w:p>
        </w:tc>
        <w:tc>
          <w:tcPr>
            <w:tcW w:w="1046" w:type="dxa"/>
            <w:shd w:val="clear" w:color="auto" w:fill="92D400"/>
          </w:tcPr>
          <w:p w:rsidR="00C31389" w:rsidRDefault="00C31389" w14:paraId="3CC62360" w14:textId="77777777">
            <w:pPr>
              <w:pStyle w:val="TableParagraph"/>
              <w:spacing w:before="7"/>
              <w:rPr>
                <w:b/>
                <w:sz w:val="18"/>
              </w:rPr>
            </w:pPr>
          </w:p>
          <w:p w:rsidR="00C31389" w:rsidRDefault="00561FBD" w14:paraId="1847F657" w14:textId="77777777">
            <w:pPr>
              <w:pStyle w:val="TableParagraph"/>
              <w:spacing w:before="1"/>
              <w:ind w:left="317" w:right="118" w:hanging="174"/>
              <w:rPr>
                <w:b/>
                <w:sz w:val="20"/>
              </w:rPr>
            </w:pPr>
            <w:r>
              <w:rPr>
                <w:b/>
                <w:spacing w:val="-2"/>
                <w:sz w:val="20"/>
              </w:rPr>
              <w:t xml:space="preserve">Process </w:t>
            </w:r>
            <w:r>
              <w:rPr>
                <w:b/>
                <w:spacing w:val="-4"/>
                <w:sz w:val="20"/>
              </w:rPr>
              <w:t>Heat</w:t>
            </w:r>
          </w:p>
        </w:tc>
        <w:tc>
          <w:tcPr>
            <w:tcW w:w="1041" w:type="dxa"/>
            <w:shd w:val="clear" w:color="auto" w:fill="92D400"/>
          </w:tcPr>
          <w:p w:rsidR="00C31389" w:rsidRDefault="00561FBD" w14:paraId="1BC220A1" w14:textId="77777777">
            <w:pPr>
              <w:pStyle w:val="TableParagraph"/>
              <w:spacing w:before="99"/>
              <w:ind w:left="126" w:right="132"/>
              <w:jc w:val="center"/>
              <w:rPr>
                <w:b/>
                <w:sz w:val="20"/>
              </w:rPr>
            </w:pPr>
            <w:r>
              <w:rPr>
                <w:b/>
                <w:spacing w:val="-2"/>
                <w:sz w:val="20"/>
              </w:rPr>
              <w:t>Process Refriger ation</w:t>
            </w:r>
          </w:p>
        </w:tc>
        <w:tc>
          <w:tcPr>
            <w:tcW w:w="1562" w:type="dxa"/>
            <w:vMerge/>
            <w:tcBorders>
              <w:top w:val="nil"/>
            </w:tcBorders>
            <w:shd w:val="clear" w:color="auto" w:fill="92D400"/>
          </w:tcPr>
          <w:p w:rsidR="00C31389" w:rsidRDefault="00C31389" w14:paraId="016A7CBC" w14:textId="77777777">
            <w:pPr>
              <w:rPr>
                <w:sz w:val="2"/>
                <w:szCs w:val="2"/>
              </w:rPr>
            </w:pPr>
          </w:p>
        </w:tc>
        <w:tc>
          <w:tcPr>
            <w:tcW w:w="1367" w:type="dxa"/>
            <w:vMerge/>
            <w:tcBorders>
              <w:top w:val="nil"/>
            </w:tcBorders>
            <w:shd w:val="clear" w:color="auto" w:fill="92D400"/>
          </w:tcPr>
          <w:p w:rsidR="00C31389" w:rsidRDefault="00C31389" w14:paraId="6D3FED45" w14:textId="77777777">
            <w:pPr>
              <w:rPr>
                <w:sz w:val="2"/>
                <w:szCs w:val="2"/>
              </w:rPr>
            </w:pPr>
          </w:p>
        </w:tc>
        <w:tc>
          <w:tcPr>
            <w:tcW w:w="1164" w:type="dxa"/>
            <w:shd w:val="clear" w:color="auto" w:fill="92D400"/>
          </w:tcPr>
          <w:p w:rsidR="00C31389" w:rsidRDefault="00561FBD" w14:paraId="487E5A04" w14:textId="77777777">
            <w:pPr>
              <w:pStyle w:val="TableParagraph"/>
              <w:spacing w:before="54"/>
              <w:ind w:left="135"/>
              <w:rPr>
                <w:b/>
                <w:sz w:val="20"/>
              </w:rPr>
            </w:pPr>
            <w:r>
              <w:rPr>
                <w:b/>
                <w:sz w:val="20"/>
              </w:rPr>
              <w:t>SEM</w:t>
            </w:r>
            <w:r>
              <w:rPr>
                <w:b/>
                <w:spacing w:val="-5"/>
                <w:sz w:val="20"/>
              </w:rPr>
              <w:t xml:space="preserve"> UES</w:t>
            </w:r>
          </w:p>
          <w:p w:rsidR="00C31389" w:rsidRDefault="00561FBD" w14:paraId="32502AB0" w14:textId="77777777">
            <w:pPr>
              <w:pStyle w:val="TableParagraph"/>
              <w:spacing w:before="0"/>
              <w:ind w:left="141"/>
              <w:rPr>
                <w:b/>
                <w:sz w:val="20"/>
              </w:rPr>
            </w:pPr>
            <w:r>
              <w:rPr>
                <w:b/>
                <w:spacing w:val="-2"/>
                <w:sz w:val="20"/>
              </w:rPr>
              <w:t>Multiplier</w:t>
            </w:r>
          </w:p>
        </w:tc>
      </w:tr>
      <w:tr w:rsidR="00C31389" w14:paraId="30AF949A" w14:textId="77777777">
        <w:trPr>
          <w:trHeight w:val="309"/>
        </w:trPr>
        <w:tc>
          <w:tcPr>
            <w:tcW w:w="2015" w:type="dxa"/>
            <w:tcBorders>
              <w:bottom w:val="single" w:color="D9D9D9" w:sz="2" w:space="0"/>
            </w:tcBorders>
          </w:tcPr>
          <w:p w:rsidR="00C31389" w:rsidRDefault="00561FBD" w14:paraId="500CFBE3" w14:textId="77777777">
            <w:pPr>
              <w:pStyle w:val="TableParagraph"/>
              <w:ind w:left="129"/>
              <w:rPr>
                <w:sz w:val="20"/>
              </w:rPr>
            </w:pPr>
            <w:r>
              <w:rPr>
                <w:spacing w:val="-2"/>
                <w:sz w:val="20"/>
              </w:rPr>
              <w:t>Petroleum</w:t>
            </w:r>
          </w:p>
        </w:tc>
        <w:tc>
          <w:tcPr>
            <w:tcW w:w="1262" w:type="dxa"/>
            <w:tcBorders>
              <w:bottom w:val="single" w:color="D9D9D9" w:sz="2" w:space="0"/>
            </w:tcBorders>
          </w:tcPr>
          <w:p w:rsidR="00C31389" w:rsidRDefault="00561FBD" w14:paraId="1D281CAB" w14:textId="77777777">
            <w:pPr>
              <w:pStyle w:val="TableParagraph"/>
              <w:ind w:right="339"/>
              <w:jc w:val="right"/>
              <w:rPr>
                <w:sz w:val="20"/>
              </w:rPr>
            </w:pPr>
            <w:r>
              <w:rPr>
                <w:spacing w:val="-5"/>
                <w:sz w:val="20"/>
              </w:rPr>
              <w:t>88%</w:t>
            </w:r>
          </w:p>
        </w:tc>
        <w:tc>
          <w:tcPr>
            <w:tcW w:w="1046" w:type="dxa"/>
            <w:tcBorders>
              <w:bottom w:val="single" w:color="D9D9D9" w:sz="2" w:space="0"/>
            </w:tcBorders>
          </w:tcPr>
          <w:p w:rsidR="00C31389" w:rsidRDefault="00561FBD" w14:paraId="26E0807F" w14:textId="77777777">
            <w:pPr>
              <w:pStyle w:val="TableParagraph"/>
              <w:ind w:left="320" w:right="298"/>
              <w:jc w:val="center"/>
              <w:rPr>
                <w:sz w:val="20"/>
              </w:rPr>
            </w:pPr>
            <w:r>
              <w:rPr>
                <w:spacing w:val="-5"/>
                <w:sz w:val="20"/>
              </w:rPr>
              <w:t>0%</w:t>
            </w:r>
          </w:p>
        </w:tc>
        <w:tc>
          <w:tcPr>
            <w:tcW w:w="1041" w:type="dxa"/>
            <w:tcBorders>
              <w:bottom w:val="single" w:color="D9D9D9" w:sz="2" w:space="0"/>
            </w:tcBorders>
          </w:tcPr>
          <w:p w:rsidR="00C31389" w:rsidRDefault="00561FBD" w14:paraId="0DAE60B5" w14:textId="77777777">
            <w:pPr>
              <w:pStyle w:val="TableParagraph"/>
              <w:ind w:left="126" w:right="129"/>
              <w:jc w:val="center"/>
              <w:rPr>
                <w:sz w:val="20"/>
              </w:rPr>
            </w:pPr>
            <w:r>
              <w:rPr>
                <w:spacing w:val="-5"/>
                <w:sz w:val="20"/>
              </w:rPr>
              <w:t>6%</w:t>
            </w:r>
          </w:p>
        </w:tc>
        <w:tc>
          <w:tcPr>
            <w:tcW w:w="1562" w:type="dxa"/>
            <w:tcBorders>
              <w:bottom w:val="single" w:color="D9D9D9" w:sz="2" w:space="0"/>
            </w:tcBorders>
          </w:tcPr>
          <w:p w:rsidR="00C31389" w:rsidRDefault="00561FBD" w14:paraId="75C0A7B0" w14:textId="77777777">
            <w:pPr>
              <w:pStyle w:val="TableParagraph"/>
              <w:ind w:right="573"/>
              <w:jc w:val="right"/>
              <w:rPr>
                <w:sz w:val="20"/>
              </w:rPr>
            </w:pPr>
            <w:r>
              <w:rPr>
                <w:spacing w:val="-5"/>
                <w:sz w:val="20"/>
              </w:rPr>
              <w:t>93%</w:t>
            </w:r>
          </w:p>
        </w:tc>
        <w:tc>
          <w:tcPr>
            <w:tcW w:w="1367" w:type="dxa"/>
            <w:tcBorders>
              <w:bottom w:val="single" w:color="D9D9D9" w:sz="2" w:space="0"/>
            </w:tcBorders>
          </w:tcPr>
          <w:p w:rsidR="00C31389" w:rsidRDefault="00561FBD" w14:paraId="7AEE0405" w14:textId="77777777">
            <w:pPr>
              <w:pStyle w:val="TableParagraph"/>
              <w:ind w:left="462" w:right="444"/>
              <w:jc w:val="center"/>
              <w:rPr>
                <w:sz w:val="20"/>
              </w:rPr>
            </w:pPr>
            <w:r>
              <w:rPr>
                <w:spacing w:val="-5"/>
                <w:sz w:val="20"/>
              </w:rPr>
              <w:t>1.5</w:t>
            </w:r>
          </w:p>
        </w:tc>
        <w:tc>
          <w:tcPr>
            <w:tcW w:w="1164" w:type="dxa"/>
            <w:tcBorders>
              <w:bottom w:val="single" w:color="D9D9D9" w:sz="2" w:space="0"/>
            </w:tcBorders>
          </w:tcPr>
          <w:p w:rsidR="00C31389" w:rsidRDefault="00561FBD" w14:paraId="181D220A" w14:textId="77777777">
            <w:pPr>
              <w:pStyle w:val="TableParagraph"/>
              <w:ind w:left="346" w:right="338"/>
              <w:jc w:val="center"/>
              <w:rPr>
                <w:sz w:val="20"/>
              </w:rPr>
            </w:pPr>
            <w:r>
              <w:rPr>
                <w:spacing w:val="-4"/>
                <w:sz w:val="20"/>
              </w:rPr>
              <w:t>4.4%</w:t>
            </w:r>
          </w:p>
        </w:tc>
      </w:tr>
      <w:tr w:rsidR="00C31389" w14:paraId="2287E6D2" w14:textId="77777777">
        <w:trPr>
          <w:trHeight w:val="310"/>
        </w:trPr>
        <w:tc>
          <w:tcPr>
            <w:tcW w:w="2015" w:type="dxa"/>
            <w:tcBorders>
              <w:top w:val="single" w:color="D9D9D9" w:sz="2" w:space="0"/>
              <w:bottom w:val="single" w:color="D9D9D9" w:sz="2" w:space="0"/>
            </w:tcBorders>
          </w:tcPr>
          <w:p w:rsidR="00C31389" w:rsidRDefault="00561FBD" w14:paraId="5AE4AFE9" w14:textId="77777777">
            <w:pPr>
              <w:pStyle w:val="TableParagraph"/>
              <w:spacing w:before="41"/>
              <w:ind w:left="129"/>
              <w:rPr>
                <w:sz w:val="20"/>
              </w:rPr>
            </w:pPr>
            <w:r>
              <w:rPr>
                <w:spacing w:val="-2"/>
                <w:sz w:val="20"/>
              </w:rPr>
              <w:t>Stone-Glass-</w:t>
            </w:r>
            <w:r>
              <w:rPr>
                <w:spacing w:val="-4"/>
                <w:sz w:val="20"/>
              </w:rPr>
              <w:t>Clay</w:t>
            </w:r>
          </w:p>
        </w:tc>
        <w:tc>
          <w:tcPr>
            <w:tcW w:w="1262" w:type="dxa"/>
            <w:tcBorders>
              <w:top w:val="single" w:color="D9D9D9" w:sz="2" w:space="0"/>
              <w:bottom w:val="single" w:color="D9D9D9" w:sz="2" w:space="0"/>
            </w:tcBorders>
          </w:tcPr>
          <w:p w:rsidR="00C31389" w:rsidRDefault="00561FBD" w14:paraId="123D60ED" w14:textId="77777777">
            <w:pPr>
              <w:pStyle w:val="TableParagraph"/>
              <w:spacing w:before="41"/>
              <w:ind w:right="339"/>
              <w:jc w:val="right"/>
              <w:rPr>
                <w:sz w:val="20"/>
              </w:rPr>
            </w:pPr>
            <w:r>
              <w:rPr>
                <w:spacing w:val="-5"/>
                <w:sz w:val="20"/>
              </w:rPr>
              <w:t>61%</w:t>
            </w:r>
          </w:p>
        </w:tc>
        <w:tc>
          <w:tcPr>
            <w:tcW w:w="1046" w:type="dxa"/>
            <w:tcBorders>
              <w:top w:val="single" w:color="D9D9D9" w:sz="2" w:space="0"/>
              <w:bottom w:val="single" w:color="D9D9D9" w:sz="2" w:space="0"/>
            </w:tcBorders>
          </w:tcPr>
          <w:p w:rsidR="00C31389" w:rsidRDefault="00561FBD" w14:paraId="57BC316C" w14:textId="77777777">
            <w:pPr>
              <w:pStyle w:val="TableParagraph"/>
              <w:spacing w:before="41"/>
              <w:ind w:left="320" w:right="300"/>
              <w:jc w:val="center"/>
              <w:rPr>
                <w:sz w:val="20"/>
              </w:rPr>
            </w:pPr>
            <w:r>
              <w:rPr>
                <w:spacing w:val="-5"/>
                <w:sz w:val="20"/>
              </w:rPr>
              <w:t>24%</w:t>
            </w:r>
          </w:p>
        </w:tc>
        <w:tc>
          <w:tcPr>
            <w:tcW w:w="1041" w:type="dxa"/>
            <w:tcBorders>
              <w:top w:val="single" w:color="D9D9D9" w:sz="2" w:space="0"/>
              <w:bottom w:val="single" w:color="D9D9D9" w:sz="2" w:space="0"/>
            </w:tcBorders>
          </w:tcPr>
          <w:p w:rsidR="00C31389" w:rsidRDefault="00561FBD" w14:paraId="69C0E774" w14:textId="77777777">
            <w:pPr>
              <w:pStyle w:val="TableParagraph"/>
              <w:spacing w:before="41"/>
              <w:ind w:left="126" w:right="129"/>
              <w:jc w:val="center"/>
              <w:rPr>
                <w:sz w:val="20"/>
              </w:rPr>
            </w:pPr>
            <w:r>
              <w:rPr>
                <w:spacing w:val="-5"/>
                <w:sz w:val="20"/>
              </w:rPr>
              <w:t>1%</w:t>
            </w:r>
          </w:p>
        </w:tc>
        <w:tc>
          <w:tcPr>
            <w:tcW w:w="1562" w:type="dxa"/>
            <w:tcBorders>
              <w:top w:val="single" w:color="D9D9D9" w:sz="2" w:space="0"/>
              <w:bottom w:val="single" w:color="D9D9D9" w:sz="2" w:space="0"/>
            </w:tcBorders>
          </w:tcPr>
          <w:p w:rsidR="00C31389" w:rsidRDefault="00561FBD" w14:paraId="287C4A93" w14:textId="77777777">
            <w:pPr>
              <w:pStyle w:val="TableParagraph"/>
              <w:spacing w:before="41"/>
              <w:ind w:right="574"/>
              <w:jc w:val="right"/>
              <w:rPr>
                <w:sz w:val="20"/>
              </w:rPr>
            </w:pPr>
            <w:r>
              <w:rPr>
                <w:spacing w:val="-5"/>
                <w:sz w:val="20"/>
              </w:rPr>
              <w:t>85%</w:t>
            </w:r>
          </w:p>
        </w:tc>
        <w:tc>
          <w:tcPr>
            <w:tcW w:w="1367" w:type="dxa"/>
            <w:tcBorders>
              <w:top w:val="single" w:color="D9D9D9" w:sz="2" w:space="0"/>
              <w:bottom w:val="single" w:color="D9D9D9" w:sz="2" w:space="0"/>
            </w:tcBorders>
          </w:tcPr>
          <w:p w:rsidR="00C31389" w:rsidRDefault="00561FBD" w14:paraId="43459F6D" w14:textId="77777777">
            <w:pPr>
              <w:pStyle w:val="TableParagraph"/>
              <w:spacing w:before="41"/>
              <w:ind w:left="462" w:right="444"/>
              <w:jc w:val="center"/>
              <w:rPr>
                <w:sz w:val="20"/>
              </w:rPr>
            </w:pPr>
            <w:r>
              <w:rPr>
                <w:spacing w:val="-5"/>
                <w:sz w:val="20"/>
              </w:rPr>
              <w:t>1.3</w:t>
            </w:r>
          </w:p>
        </w:tc>
        <w:tc>
          <w:tcPr>
            <w:tcW w:w="1164" w:type="dxa"/>
            <w:tcBorders>
              <w:top w:val="single" w:color="D9D9D9" w:sz="2" w:space="0"/>
              <w:bottom w:val="single" w:color="D9D9D9" w:sz="2" w:space="0"/>
            </w:tcBorders>
          </w:tcPr>
          <w:p w:rsidR="00C31389" w:rsidRDefault="00561FBD" w14:paraId="6101F103" w14:textId="77777777">
            <w:pPr>
              <w:pStyle w:val="TableParagraph"/>
              <w:spacing w:before="41"/>
              <w:ind w:left="346" w:right="338"/>
              <w:jc w:val="center"/>
              <w:rPr>
                <w:sz w:val="20"/>
              </w:rPr>
            </w:pPr>
            <w:r>
              <w:rPr>
                <w:spacing w:val="-4"/>
                <w:sz w:val="20"/>
              </w:rPr>
              <w:t>4.0%</w:t>
            </w:r>
          </w:p>
        </w:tc>
      </w:tr>
      <w:tr w:rsidR="00C31389" w14:paraId="1610DC44" w14:textId="77777777">
        <w:trPr>
          <w:trHeight w:val="309"/>
        </w:trPr>
        <w:tc>
          <w:tcPr>
            <w:tcW w:w="2015" w:type="dxa"/>
            <w:tcBorders>
              <w:top w:val="single" w:color="D9D9D9" w:sz="2" w:space="0"/>
              <w:bottom w:val="single" w:color="D9D9D9" w:sz="2" w:space="0"/>
            </w:tcBorders>
          </w:tcPr>
          <w:p w:rsidR="00C31389" w:rsidRDefault="00561FBD" w14:paraId="52AEBAE3" w14:textId="77777777">
            <w:pPr>
              <w:pStyle w:val="TableParagraph"/>
              <w:ind w:left="129"/>
              <w:rPr>
                <w:sz w:val="20"/>
              </w:rPr>
            </w:pPr>
            <w:r>
              <w:rPr>
                <w:spacing w:val="-2"/>
                <w:sz w:val="20"/>
              </w:rPr>
              <w:t>Paper</w:t>
            </w:r>
          </w:p>
        </w:tc>
        <w:tc>
          <w:tcPr>
            <w:tcW w:w="1262" w:type="dxa"/>
            <w:tcBorders>
              <w:top w:val="single" w:color="D9D9D9" w:sz="2" w:space="0"/>
              <w:bottom w:val="single" w:color="D9D9D9" w:sz="2" w:space="0"/>
            </w:tcBorders>
          </w:tcPr>
          <w:p w:rsidR="00C31389" w:rsidRDefault="00561FBD" w14:paraId="144483F0" w14:textId="77777777">
            <w:pPr>
              <w:pStyle w:val="TableParagraph"/>
              <w:ind w:right="339"/>
              <w:jc w:val="right"/>
              <w:rPr>
                <w:sz w:val="20"/>
              </w:rPr>
            </w:pPr>
            <w:r>
              <w:rPr>
                <w:spacing w:val="-5"/>
                <w:sz w:val="20"/>
              </w:rPr>
              <w:t>77%</w:t>
            </w:r>
          </w:p>
        </w:tc>
        <w:tc>
          <w:tcPr>
            <w:tcW w:w="1046" w:type="dxa"/>
            <w:tcBorders>
              <w:top w:val="single" w:color="D9D9D9" w:sz="2" w:space="0"/>
              <w:bottom w:val="single" w:color="D9D9D9" w:sz="2" w:space="0"/>
            </w:tcBorders>
          </w:tcPr>
          <w:p w:rsidR="00C31389" w:rsidRDefault="00561FBD" w14:paraId="23865020" w14:textId="77777777">
            <w:pPr>
              <w:pStyle w:val="TableParagraph"/>
              <w:ind w:left="320" w:right="298"/>
              <w:jc w:val="center"/>
              <w:rPr>
                <w:sz w:val="20"/>
              </w:rPr>
            </w:pPr>
            <w:r>
              <w:rPr>
                <w:spacing w:val="-5"/>
                <w:sz w:val="20"/>
              </w:rPr>
              <w:t>4%</w:t>
            </w:r>
          </w:p>
        </w:tc>
        <w:tc>
          <w:tcPr>
            <w:tcW w:w="1041" w:type="dxa"/>
            <w:tcBorders>
              <w:top w:val="single" w:color="D9D9D9" w:sz="2" w:space="0"/>
              <w:bottom w:val="single" w:color="D9D9D9" w:sz="2" w:space="0"/>
            </w:tcBorders>
          </w:tcPr>
          <w:p w:rsidR="00C31389" w:rsidRDefault="00561FBD" w14:paraId="72BCAF78" w14:textId="77777777">
            <w:pPr>
              <w:pStyle w:val="TableParagraph"/>
              <w:ind w:left="126" w:right="129"/>
              <w:jc w:val="center"/>
              <w:rPr>
                <w:sz w:val="20"/>
              </w:rPr>
            </w:pPr>
            <w:r>
              <w:rPr>
                <w:spacing w:val="-5"/>
                <w:sz w:val="20"/>
              </w:rPr>
              <w:t>2%</w:t>
            </w:r>
          </w:p>
        </w:tc>
        <w:tc>
          <w:tcPr>
            <w:tcW w:w="1562" w:type="dxa"/>
            <w:tcBorders>
              <w:top w:val="single" w:color="D9D9D9" w:sz="2" w:space="0"/>
              <w:bottom w:val="single" w:color="D9D9D9" w:sz="2" w:space="0"/>
            </w:tcBorders>
          </w:tcPr>
          <w:p w:rsidR="00C31389" w:rsidRDefault="00561FBD" w14:paraId="4BA4723F" w14:textId="77777777">
            <w:pPr>
              <w:pStyle w:val="TableParagraph"/>
              <w:ind w:right="573"/>
              <w:jc w:val="right"/>
              <w:rPr>
                <w:sz w:val="20"/>
              </w:rPr>
            </w:pPr>
            <w:r>
              <w:rPr>
                <w:spacing w:val="-5"/>
                <w:sz w:val="20"/>
              </w:rPr>
              <w:t>82%</w:t>
            </w:r>
          </w:p>
        </w:tc>
        <w:tc>
          <w:tcPr>
            <w:tcW w:w="1367" w:type="dxa"/>
            <w:tcBorders>
              <w:top w:val="single" w:color="D9D9D9" w:sz="2" w:space="0"/>
              <w:bottom w:val="single" w:color="D9D9D9" w:sz="2" w:space="0"/>
            </w:tcBorders>
          </w:tcPr>
          <w:p w:rsidR="00C31389" w:rsidRDefault="00561FBD" w14:paraId="7EBFCB33" w14:textId="77777777">
            <w:pPr>
              <w:pStyle w:val="TableParagraph"/>
              <w:ind w:left="462" w:right="444"/>
              <w:jc w:val="center"/>
              <w:rPr>
                <w:sz w:val="20"/>
              </w:rPr>
            </w:pPr>
            <w:r>
              <w:rPr>
                <w:spacing w:val="-5"/>
                <w:sz w:val="20"/>
              </w:rPr>
              <w:t>1.3</w:t>
            </w:r>
          </w:p>
        </w:tc>
        <w:tc>
          <w:tcPr>
            <w:tcW w:w="1164" w:type="dxa"/>
            <w:tcBorders>
              <w:top w:val="single" w:color="D9D9D9" w:sz="2" w:space="0"/>
              <w:bottom w:val="single" w:color="D9D9D9" w:sz="2" w:space="0"/>
            </w:tcBorders>
          </w:tcPr>
          <w:p w:rsidR="00C31389" w:rsidRDefault="00561FBD" w14:paraId="1EE36E72" w14:textId="77777777">
            <w:pPr>
              <w:pStyle w:val="TableParagraph"/>
              <w:ind w:left="346" w:right="338"/>
              <w:jc w:val="center"/>
              <w:rPr>
                <w:sz w:val="20"/>
              </w:rPr>
            </w:pPr>
            <w:r>
              <w:rPr>
                <w:spacing w:val="-4"/>
                <w:sz w:val="20"/>
              </w:rPr>
              <w:t>3.9%</w:t>
            </w:r>
          </w:p>
        </w:tc>
      </w:tr>
      <w:tr w:rsidR="00C31389" w14:paraId="3A7362C4" w14:textId="77777777">
        <w:trPr>
          <w:trHeight w:val="310"/>
        </w:trPr>
        <w:tc>
          <w:tcPr>
            <w:tcW w:w="2015" w:type="dxa"/>
            <w:tcBorders>
              <w:top w:val="single" w:color="D9D9D9" w:sz="2" w:space="0"/>
              <w:bottom w:val="single" w:color="D9D9D9" w:sz="2" w:space="0"/>
            </w:tcBorders>
          </w:tcPr>
          <w:p w:rsidR="00C31389" w:rsidRDefault="00561FBD" w14:paraId="1FDECFCE" w14:textId="77777777">
            <w:pPr>
              <w:pStyle w:val="TableParagraph"/>
              <w:spacing w:before="41"/>
              <w:ind w:left="129"/>
              <w:rPr>
                <w:sz w:val="20"/>
              </w:rPr>
            </w:pPr>
            <w:r>
              <w:rPr>
                <w:spacing w:val="-4"/>
                <w:sz w:val="20"/>
              </w:rPr>
              <w:t>Food</w:t>
            </w:r>
          </w:p>
        </w:tc>
        <w:tc>
          <w:tcPr>
            <w:tcW w:w="1262" w:type="dxa"/>
            <w:tcBorders>
              <w:top w:val="single" w:color="D9D9D9" w:sz="2" w:space="0"/>
              <w:bottom w:val="single" w:color="D9D9D9" w:sz="2" w:space="0"/>
            </w:tcBorders>
          </w:tcPr>
          <w:p w:rsidR="00C31389" w:rsidRDefault="00561FBD" w14:paraId="41D6E708" w14:textId="77777777">
            <w:pPr>
              <w:pStyle w:val="TableParagraph"/>
              <w:spacing w:before="41"/>
              <w:ind w:right="339"/>
              <w:jc w:val="right"/>
              <w:rPr>
                <w:sz w:val="20"/>
              </w:rPr>
            </w:pPr>
            <w:r>
              <w:rPr>
                <w:spacing w:val="-5"/>
                <w:sz w:val="20"/>
              </w:rPr>
              <w:t>42%</w:t>
            </w:r>
          </w:p>
        </w:tc>
        <w:tc>
          <w:tcPr>
            <w:tcW w:w="1046" w:type="dxa"/>
            <w:tcBorders>
              <w:top w:val="single" w:color="D9D9D9" w:sz="2" w:space="0"/>
              <w:bottom w:val="single" w:color="D9D9D9" w:sz="2" w:space="0"/>
            </w:tcBorders>
          </w:tcPr>
          <w:p w:rsidR="00C31389" w:rsidRDefault="00561FBD" w14:paraId="6C69E589" w14:textId="77777777">
            <w:pPr>
              <w:pStyle w:val="TableParagraph"/>
              <w:spacing w:before="41"/>
              <w:ind w:left="320" w:right="299"/>
              <w:jc w:val="center"/>
              <w:rPr>
                <w:sz w:val="20"/>
              </w:rPr>
            </w:pPr>
            <w:r>
              <w:rPr>
                <w:spacing w:val="-5"/>
                <w:sz w:val="20"/>
              </w:rPr>
              <w:t>7%</w:t>
            </w:r>
          </w:p>
        </w:tc>
        <w:tc>
          <w:tcPr>
            <w:tcW w:w="1041" w:type="dxa"/>
            <w:tcBorders>
              <w:top w:val="single" w:color="D9D9D9" w:sz="2" w:space="0"/>
              <w:bottom w:val="single" w:color="D9D9D9" w:sz="2" w:space="0"/>
            </w:tcBorders>
          </w:tcPr>
          <w:p w:rsidR="00C31389" w:rsidRDefault="00561FBD" w14:paraId="3597AB7C" w14:textId="77777777">
            <w:pPr>
              <w:pStyle w:val="TableParagraph"/>
              <w:spacing w:before="41"/>
              <w:ind w:left="126" w:right="131"/>
              <w:jc w:val="center"/>
              <w:rPr>
                <w:sz w:val="20"/>
              </w:rPr>
            </w:pPr>
            <w:r>
              <w:rPr>
                <w:spacing w:val="-5"/>
                <w:sz w:val="20"/>
              </w:rPr>
              <w:t>29%</w:t>
            </w:r>
          </w:p>
        </w:tc>
        <w:tc>
          <w:tcPr>
            <w:tcW w:w="1562" w:type="dxa"/>
            <w:tcBorders>
              <w:top w:val="single" w:color="D9D9D9" w:sz="2" w:space="0"/>
              <w:bottom w:val="single" w:color="D9D9D9" w:sz="2" w:space="0"/>
            </w:tcBorders>
          </w:tcPr>
          <w:p w:rsidR="00C31389" w:rsidRDefault="00561FBD" w14:paraId="169A917C" w14:textId="77777777">
            <w:pPr>
              <w:pStyle w:val="TableParagraph"/>
              <w:spacing w:before="41"/>
              <w:ind w:right="574"/>
              <w:jc w:val="right"/>
              <w:rPr>
                <w:sz w:val="20"/>
              </w:rPr>
            </w:pPr>
            <w:r>
              <w:rPr>
                <w:spacing w:val="-5"/>
                <w:sz w:val="20"/>
              </w:rPr>
              <w:t>77%</w:t>
            </w:r>
          </w:p>
        </w:tc>
        <w:tc>
          <w:tcPr>
            <w:tcW w:w="1367" w:type="dxa"/>
            <w:tcBorders>
              <w:top w:val="single" w:color="D9D9D9" w:sz="2" w:space="0"/>
              <w:bottom w:val="single" w:color="D9D9D9" w:sz="2" w:space="0"/>
            </w:tcBorders>
          </w:tcPr>
          <w:p w:rsidR="00C31389" w:rsidRDefault="00561FBD" w14:paraId="42CC08EE" w14:textId="77777777">
            <w:pPr>
              <w:pStyle w:val="TableParagraph"/>
              <w:spacing w:before="41"/>
              <w:ind w:left="462" w:right="444"/>
              <w:jc w:val="center"/>
              <w:rPr>
                <w:sz w:val="20"/>
              </w:rPr>
            </w:pPr>
            <w:r>
              <w:rPr>
                <w:spacing w:val="-5"/>
                <w:sz w:val="20"/>
              </w:rPr>
              <w:t>1.2</w:t>
            </w:r>
          </w:p>
        </w:tc>
        <w:tc>
          <w:tcPr>
            <w:tcW w:w="1164" w:type="dxa"/>
            <w:tcBorders>
              <w:top w:val="single" w:color="D9D9D9" w:sz="2" w:space="0"/>
              <w:bottom w:val="single" w:color="D9D9D9" w:sz="2" w:space="0"/>
            </w:tcBorders>
          </w:tcPr>
          <w:p w:rsidR="00C31389" w:rsidRDefault="00561FBD" w14:paraId="287F65DC" w14:textId="77777777">
            <w:pPr>
              <w:pStyle w:val="TableParagraph"/>
              <w:spacing w:before="41"/>
              <w:ind w:left="346" w:right="338"/>
              <w:jc w:val="center"/>
              <w:rPr>
                <w:sz w:val="20"/>
              </w:rPr>
            </w:pPr>
            <w:r>
              <w:rPr>
                <w:spacing w:val="-4"/>
                <w:sz w:val="20"/>
              </w:rPr>
              <w:t>3.7%</w:t>
            </w:r>
          </w:p>
        </w:tc>
      </w:tr>
      <w:tr w:rsidR="00C31389" w14:paraId="2E499A92" w14:textId="77777777">
        <w:trPr>
          <w:trHeight w:val="310"/>
        </w:trPr>
        <w:tc>
          <w:tcPr>
            <w:tcW w:w="2015" w:type="dxa"/>
            <w:tcBorders>
              <w:top w:val="single" w:color="D9D9D9" w:sz="2" w:space="0"/>
              <w:bottom w:val="single" w:color="000000" w:sz="8" w:space="0"/>
            </w:tcBorders>
          </w:tcPr>
          <w:p w:rsidR="00C31389" w:rsidRDefault="00561FBD" w14:paraId="77A0DBBB" w14:textId="77777777">
            <w:pPr>
              <w:pStyle w:val="TableParagraph"/>
              <w:ind w:left="129"/>
              <w:rPr>
                <w:sz w:val="20"/>
              </w:rPr>
            </w:pPr>
            <w:r>
              <w:rPr>
                <w:spacing w:val="-2"/>
                <w:sz w:val="20"/>
              </w:rPr>
              <w:t>Plastics</w:t>
            </w:r>
          </w:p>
        </w:tc>
        <w:tc>
          <w:tcPr>
            <w:tcW w:w="1262" w:type="dxa"/>
            <w:tcBorders>
              <w:top w:val="single" w:color="D9D9D9" w:sz="2" w:space="0"/>
              <w:bottom w:val="single" w:color="000000" w:sz="8" w:space="0"/>
            </w:tcBorders>
          </w:tcPr>
          <w:p w:rsidR="00C31389" w:rsidRDefault="00561FBD" w14:paraId="711A8FAA" w14:textId="77777777">
            <w:pPr>
              <w:pStyle w:val="TableParagraph"/>
              <w:ind w:right="339"/>
              <w:jc w:val="right"/>
              <w:rPr>
                <w:sz w:val="20"/>
              </w:rPr>
            </w:pPr>
            <w:r>
              <w:rPr>
                <w:spacing w:val="-5"/>
                <w:sz w:val="20"/>
              </w:rPr>
              <w:t>51%</w:t>
            </w:r>
          </w:p>
        </w:tc>
        <w:tc>
          <w:tcPr>
            <w:tcW w:w="1046" w:type="dxa"/>
            <w:tcBorders>
              <w:top w:val="single" w:color="D9D9D9" w:sz="2" w:space="0"/>
              <w:bottom w:val="single" w:color="000000" w:sz="8" w:space="0"/>
            </w:tcBorders>
          </w:tcPr>
          <w:p w:rsidR="00C31389" w:rsidRDefault="00561FBD" w14:paraId="23065AFB" w14:textId="77777777">
            <w:pPr>
              <w:pStyle w:val="TableParagraph"/>
              <w:ind w:left="320" w:right="300"/>
              <w:jc w:val="center"/>
              <w:rPr>
                <w:sz w:val="20"/>
              </w:rPr>
            </w:pPr>
            <w:r>
              <w:rPr>
                <w:spacing w:val="-5"/>
                <w:sz w:val="20"/>
              </w:rPr>
              <w:t>15%</w:t>
            </w:r>
          </w:p>
        </w:tc>
        <w:tc>
          <w:tcPr>
            <w:tcW w:w="1041" w:type="dxa"/>
            <w:tcBorders>
              <w:top w:val="single" w:color="D9D9D9" w:sz="2" w:space="0"/>
              <w:bottom w:val="single" w:color="000000" w:sz="8" w:space="0"/>
            </w:tcBorders>
          </w:tcPr>
          <w:p w:rsidR="00C31389" w:rsidRDefault="00561FBD" w14:paraId="45DD0A27" w14:textId="77777777">
            <w:pPr>
              <w:pStyle w:val="TableParagraph"/>
              <w:ind w:left="126" w:right="131"/>
              <w:jc w:val="center"/>
              <w:rPr>
                <w:sz w:val="20"/>
              </w:rPr>
            </w:pPr>
            <w:r>
              <w:rPr>
                <w:spacing w:val="-5"/>
                <w:sz w:val="20"/>
              </w:rPr>
              <w:t>9%</w:t>
            </w:r>
          </w:p>
        </w:tc>
        <w:tc>
          <w:tcPr>
            <w:tcW w:w="1562" w:type="dxa"/>
            <w:tcBorders>
              <w:top w:val="single" w:color="D9D9D9" w:sz="2" w:space="0"/>
              <w:bottom w:val="single" w:color="000000" w:sz="8" w:space="0"/>
            </w:tcBorders>
          </w:tcPr>
          <w:p w:rsidR="00C31389" w:rsidRDefault="00561FBD" w14:paraId="4BDB5222" w14:textId="77777777">
            <w:pPr>
              <w:pStyle w:val="TableParagraph"/>
              <w:ind w:right="574"/>
              <w:jc w:val="right"/>
              <w:rPr>
                <w:sz w:val="20"/>
              </w:rPr>
            </w:pPr>
            <w:r>
              <w:rPr>
                <w:spacing w:val="-5"/>
                <w:sz w:val="20"/>
              </w:rPr>
              <w:t>75%</w:t>
            </w:r>
          </w:p>
        </w:tc>
        <w:tc>
          <w:tcPr>
            <w:tcW w:w="1367" w:type="dxa"/>
            <w:tcBorders>
              <w:top w:val="single" w:color="D9D9D9" w:sz="2" w:space="0"/>
              <w:bottom w:val="single" w:color="000000" w:sz="8" w:space="0"/>
            </w:tcBorders>
          </w:tcPr>
          <w:p w:rsidR="00C31389" w:rsidRDefault="00561FBD" w14:paraId="37EAC5A2" w14:textId="77777777">
            <w:pPr>
              <w:pStyle w:val="TableParagraph"/>
              <w:ind w:left="462" w:right="444"/>
              <w:jc w:val="center"/>
              <w:rPr>
                <w:sz w:val="20"/>
              </w:rPr>
            </w:pPr>
            <w:r>
              <w:rPr>
                <w:spacing w:val="-5"/>
                <w:sz w:val="20"/>
              </w:rPr>
              <w:t>1.2</w:t>
            </w:r>
          </w:p>
        </w:tc>
        <w:tc>
          <w:tcPr>
            <w:tcW w:w="1164" w:type="dxa"/>
            <w:tcBorders>
              <w:top w:val="single" w:color="D9D9D9" w:sz="2" w:space="0"/>
              <w:bottom w:val="single" w:color="000000" w:sz="8" w:space="0"/>
            </w:tcBorders>
          </w:tcPr>
          <w:p w:rsidR="00C31389" w:rsidRDefault="00561FBD" w14:paraId="44ACA52D" w14:textId="77777777">
            <w:pPr>
              <w:pStyle w:val="TableParagraph"/>
              <w:ind w:left="346" w:right="338"/>
              <w:jc w:val="center"/>
              <w:rPr>
                <w:sz w:val="20"/>
              </w:rPr>
            </w:pPr>
            <w:r>
              <w:rPr>
                <w:spacing w:val="-4"/>
                <w:sz w:val="20"/>
              </w:rPr>
              <w:t>3.6%</w:t>
            </w:r>
          </w:p>
        </w:tc>
      </w:tr>
    </w:tbl>
    <w:p w:rsidR="00C31389" w:rsidRDefault="00C31389" w14:paraId="58BBAA1B" w14:textId="77777777">
      <w:pPr>
        <w:pStyle w:val="BodyText"/>
        <w:rPr>
          <w:b/>
          <w:sz w:val="20"/>
        </w:rPr>
      </w:pPr>
    </w:p>
    <w:p w:rsidR="00C31389" w:rsidRDefault="00561FBD" w14:paraId="3279AA32" w14:textId="77777777">
      <w:pPr>
        <w:pStyle w:val="BodyText"/>
        <w:spacing w:before="5"/>
        <w:rPr>
          <w:b/>
          <w:sz w:val="12"/>
        </w:rPr>
      </w:pPr>
      <w:r>
        <w:rPr>
          <w:noProof/>
        </w:rPr>
        <mc:AlternateContent>
          <mc:Choice Requires="wps">
            <w:drawing>
              <wp:anchor distT="0" distB="0" distL="0" distR="0" simplePos="0" relativeHeight="487731200" behindDoc="1" locked="0" layoutInCell="1" allowOverlap="1" wp14:editId="45DE2753" wp14:anchorId="17196FAE">
                <wp:simplePos x="0" y="0"/>
                <wp:positionH relativeFrom="page">
                  <wp:posOffset>914400</wp:posOffset>
                </wp:positionH>
                <wp:positionV relativeFrom="paragraph">
                  <wp:posOffset>106184</wp:posOffset>
                </wp:positionV>
                <wp:extent cx="1828800" cy="6985"/>
                <wp:effectExtent l="0" t="0" r="0" b="0"/>
                <wp:wrapTopAndBottom/>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61" style="position:absolute;margin-left:1in;margin-top:8.35pt;width:2in;height:.55pt;z-index:-1558528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" w14:anchorId="0A251EC3">
                <v:path arrowok="t"/>
                <w10:wrap type="topAndBottom" anchorx="page"/>
              </v:shape>
            </w:pict>
          </mc:Fallback>
        </mc:AlternateContent>
      </w:r>
    </w:p>
    <w:p w:rsidR="00C31389" w:rsidRDefault="00561FBD" w14:paraId="00831895" w14:textId="77777777">
      <w:pPr>
        <w:spacing w:before="88"/>
        <w:ind w:left="480" w:right="439"/>
        <w:jc w:val="both"/>
        <w:rPr>
          <w:sz w:val="18"/>
        </w:rPr>
      </w:pPr>
      <w:bookmarkStart w:name="_bookmark445" w:id="579"/>
      <w:bookmarkEnd w:id="579"/>
      <w:r>
        <w:rPr>
          <w:position w:val="6"/>
          <w:sz w:val="12"/>
        </w:rPr>
        <w:t>177</w:t>
      </w:r>
      <w:r>
        <w:rPr>
          <w:spacing w:val="15"/>
          <w:position w:val="6"/>
          <w:sz w:val="12"/>
        </w:rPr>
        <w:t xml:space="preserve"> </w:t>
      </w:r>
      <w:r>
        <w:rPr>
          <w:sz w:val="18"/>
        </w:rPr>
        <w:t>The</w:t>
      </w:r>
      <w:r>
        <w:rPr>
          <w:spacing w:val="-3"/>
          <w:sz w:val="18"/>
        </w:rPr>
        <w:t xml:space="preserve"> </w:t>
      </w:r>
      <w:r>
        <w:rPr>
          <w:sz w:val="18"/>
        </w:rPr>
        <w:t>differences</w:t>
      </w:r>
      <w:r>
        <w:rPr>
          <w:spacing w:val="-2"/>
          <w:sz w:val="18"/>
        </w:rPr>
        <w:t xml:space="preserve"> </w:t>
      </w:r>
      <w:r>
        <w:rPr>
          <w:sz w:val="18"/>
        </w:rPr>
        <w:t>between</w:t>
      </w:r>
      <w:r>
        <w:rPr>
          <w:spacing w:val="-3"/>
          <w:sz w:val="18"/>
        </w:rPr>
        <w:t xml:space="preserve"> </w:t>
      </w:r>
      <w:r>
        <w:rPr>
          <w:sz w:val="18"/>
        </w:rPr>
        <w:t>reference</w:t>
      </w:r>
      <w:r>
        <w:rPr>
          <w:spacing w:val="-3"/>
          <w:sz w:val="18"/>
        </w:rPr>
        <w:t xml:space="preserve"> </w:t>
      </w:r>
      <w:r>
        <w:rPr>
          <w:sz w:val="18"/>
        </w:rPr>
        <w:t>and</w:t>
      </w:r>
      <w:r>
        <w:rPr>
          <w:spacing w:val="-3"/>
          <w:sz w:val="18"/>
        </w:rPr>
        <w:t xml:space="preserve"> </w:t>
      </w:r>
      <w:r>
        <w:rPr>
          <w:sz w:val="18"/>
        </w:rPr>
        <w:t>aggressive</w:t>
      </w:r>
      <w:r>
        <w:rPr>
          <w:spacing w:val="-3"/>
          <w:sz w:val="18"/>
        </w:rPr>
        <w:t xml:space="preserve"> </w:t>
      </w:r>
      <w:r>
        <w:rPr>
          <w:sz w:val="18"/>
        </w:rPr>
        <w:t>are</w:t>
      </w:r>
      <w:r>
        <w:rPr>
          <w:spacing w:val="-3"/>
          <w:sz w:val="18"/>
        </w:rPr>
        <w:t xml:space="preserve"> </w:t>
      </w:r>
      <w:r>
        <w:rPr>
          <w:sz w:val="18"/>
        </w:rPr>
        <w:t>the</w:t>
      </w:r>
      <w:r>
        <w:rPr>
          <w:spacing w:val="-3"/>
          <w:sz w:val="18"/>
        </w:rPr>
        <w:t xml:space="preserve"> </w:t>
      </w:r>
      <w:r>
        <w:rPr>
          <w:sz w:val="18"/>
        </w:rPr>
        <w:t>years</w:t>
      </w:r>
      <w:r>
        <w:rPr>
          <w:spacing w:val="-2"/>
          <w:sz w:val="18"/>
        </w:rPr>
        <w:t xml:space="preserve"> </w:t>
      </w:r>
      <w:r>
        <w:rPr>
          <w:sz w:val="18"/>
        </w:rPr>
        <w:t>used</w:t>
      </w:r>
      <w:r>
        <w:rPr>
          <w:spacing w:val="-3"/>
          <w:sz w:val="18"/>
        </w:rPr>
        <w:t xml:space="preserve"> </w:t>
      </w:r>
      <w:r>
        <w:rPr>
          <w:sz w:val="18"/>
        </w:rPr>
        <w:t>to</w:t>
      </w:r>
      <w:r>
        <w:rPr>
          <w:spacing w:val="-3"/>
          <w:sz w:val="18"/>
        </w:rPr>
        <w:t xml:space="preserve"> </w:t>
      </w:r>
      <w:r>
        <w:rPr>
          <w:sz w:val="18"/>
        </w:rPr>
        <w:t>calculate</w:t>
      </w:r>
      <w:r>
        <w:rPr>
          <w:spacing w:val="-3"/>
          <w:sz w:val="18"/>
        </w:rPr>
        <w:t xml:space="preserve"> </w:t>
      </w:r>
      <w:r>
        <w:rPr>
          <w:sz w:val="18"/>
        </w:rPr>
        <w:t>the</w:t>
      </w:r>
      <w:r>
        <w:rPr>
          <w:spacing w:val="-3"/>
          <w:sz w:val="18"/>
        </w:rPr>
        <w:t xml:space="preserve"> </w:t>
      </w:r>
      <w:r>
        <w:rPr>
          <w:sz w:val="18"/>
        </w:rPr>
        <w:t>average</w:t>
      </w:r>
      <w:r>
        <w:rPr>
          <w:spacing w:val="-3"/>
          <w:sz w:val="18"/>
        </w:rPr>
        <w:t xml:space="preserve"> </w:t>
      </w:r>
      <w:r>
        <w:rPr>
          <w:sz w:val="18"/>
        </w:rPr>
        <w:t>growth</w:t>
      </w:r>
      <w:r>
        <w:rPr>
          <w:spacing w:val="-3"/>
          <w:sz w:val="18"/>
        </w:rPr>
        <w:t xml:space="preserve"> </w:t>
      </w:r>
      <w:r>
        <w:rPr>
          <w:sz w:val="18"/>
        </w:rPr>
        <w:t>rate.</w:t>
      </w:r>
      <w:r>
        <w:rPr>
          <w:spacing w:val="-2"/>
          <w:sz w:val="18"/>
        </w:rPr>
        <w:t xml:space="preserve"> </w:t>
      </w:r>
      <w:r>
        <w:rPr>
          <w:sz w:val="18"/>
        </w:rPr>
        <w:t>In 2014,</w:t>
      </w:r>
      <w:r>
        <w:rPr>
          <w:spacing w:val="-1"/>
          <w:sz w:val="18"/>
        </w:rPr>
        <w:t xml:space="preserve"> </w:t>
      </w:r>
      <w:r>
        <w:rPr>
          <w:sz w:val="18"/>
        </w:rPr>
        <w:t>there</w:t>
      </w:r>
      <w:r>
        <w:rPr>
          <w:spacing w:val="-2"/>
          <w:sz w:val="18"/>
        </w:rPr>
        <w:t xml:space="preserve"> </w:t>
      </w:r>
      <w:r>
        <w:rPr>
          <w:sz w:val="18"/>
        </w:rPr>
        <w:t>was</w:t>
      </w:r>
      <w:r>
        <w:rPr>
          <w:spacing w:val="-1"/>
          <w:sz w:val="18"/>
        </w:rPr>
        <w:t xml:space="preserve"> </w:t>
      </w:r>
      <w:r>
        <w:rPr>
          <w:sz w:val="18"/>
        </w:rPr>
        <w:t>a</w:t>
      </w:r>
      <w:r>
        <w:rPr>
          <w:spacing w:val="-2"/>
          <w:sz w:val="18"/>
        </w:rPr>
        <w:t xml:space="preserve"> </w:t>
      </w:r>
      <w:r>
        <w:rPr>
          <w:sz w:val="18"/>
        </w:rPr>
        <w:t>73%</w:t>
      </w:r>
      <w:r>
        <w:rPr>
          <w:spacing w:val="-2"/>
          <w:sz w:val="18"/>
        </w:rPr>
        <w:t xml:space="preserve"> </w:t>
      </w:r>
      <w:r>
        <w:rPr>
          <w:sz w:val="18"/>
        </w:rPr>
        <w:t>increase</w:t>
      </w:r>
      <w:r>
        <w:rPr>
          <w:spacing w:val="-2"/>
          <w:sz w:val="18"/>
        </w:rPr>
        <w:t xml:space="preserve"> </w:t>
      </w:r>
      <w:r>
        <w:rPr>
          <w:sz w:val="18"/>
        </w:rPr>
        <w:t>in</w:t>
      </w:r>
      <w:r>
        <w:rPr>
          <w:spacing w:val="-2"/>
          <w:sz w:val="18"/>
        </w:rPr>
        <w:t xml:space="preserve"> </w:t>
      </w:r>
      <w:r>
        <w:rPr>
          <w:sz w:val="18"/>
        </w:rPr>
        <w:t>SEM</w:t>
      </w:r>
      <w:r>
        <w:rPr>
          <w:spacing w:val="-1"/>
          <w:sz w:val="18"/>
        </w:rPr>
        <w:t xml:space="preserve"> </w:t>
      </w:r>
      <w:r>
        <w:rPr>
          <w:sz w:val="18"/>
        </w:rPr>
        <w:t>(and</w:t>
      </w:r>
      <w:r>
        <w:rPr>
          <w:spacing w:val="-2"/>
          <w:sz w:val="18"/>
        </w:rPr>
        <w:t xml:space="preserve"> </w:t>
      </w:r>
      <w:r>
        <w:rPr>
          <w:sz w:val="18"/>
        </w:rPr>
        <w:t>RCx)</w:t>
      </w:r>
      <w:r>
        <w:rPr>
          <w:spacing w:val="-1"/>
          <w:sz w:val="18"/>
        </w:rPr>
        <w:t xml:space="preserve"> </w:t>
      </w:r>
      <w:r>
        <w:rPr>
          <w:sz w:val="18"/>
        </w:rPr>
        <w:t>savings.</w:t>
      </w:r>
      <w:r>
        <w:rPr>
          <w:spacing w:val="-1"/>
          <w:sz w:val="18"/>
        </w:rPr>
        <w:t xml:space="preserve"> </w:t>
      </w:r>
      <w:r>
        <w:rPr>
          <w:sz w:val="18"/>
        </w:rPr>
        <w:t>In</w:t>
      </w:r>
      <w:r>
        <w:rPr>
          <w:spacing w:val="-2"/>
          <w:sz w:val="18"/>
        </w:rPr>
        <w:t xml:space="preserve"> </w:t>
      </w:r>
      <w:r>
        <w:rPr>
          <w:sz w:val="18"/>
        </w:rPr>
        <w:t>2016,</w:t>
      </w:r>
      <w:r>
        <w:rPr>
          <w:spacing w:val="-1"/>
          <w:sz w:val="18"/>
        </w:rPr>
        <w:t xml:space="preserve"> </w:t>
      </w:r>
      <w:r>
        <w:rPr>
          <w:sz w:val="18"/>
        </w:rPr>
        <w:t>there was</w:t>
      </w:r>
      <w:r>
        <w:rPr>
          <w:spacing w:val="-1"/>
          <w:sz w:val="18"/>
        </w:rPr>
        <w:t xml:space="preserve"> </w:t>
      </w:r>
      <w:r>
        <w:rPr>
          <w:sz w:val="18"/>
        </w:rPr>
        <w:t>a</w:t>
      </w:r>
      <w:r>
        <w:rPr>
          <w:spacing w:val="-2"/>
          <w:sz w:val="18"/>
        </w:rPr>
        <w:t xml:space="preserve"> </w:t>
      </w:r>
      <w:r>
        <w:rPr>
          <w:sz w:val="18"/>
        </w:rPr>
        <w:t>33%</w:t>
      </w:r>
      <w:r>
        <w:rPr>
          <w:spacing w:val="-2"/>
          <w:sz w:val="18"/>
        </w:rPr>
        <w:t xml:space="preserve"> </w:t>
      </w:r>
      <w:r>
        <w:rPr>
          <w:sz w:val="18"/>
        </w:rPr>
        <w:t>decrease.</w:t>
      </w:r>
      <w:r>
        <w:rPr>
          <w:spacing w:val="-1"/>
          <w:sz w:val="18"/>
        </w:rPr>
        <w:t xml:space="preserve"> </w:t>
      </w:r>
      <w:r>
        <w:rPr>
          <w:sz w:val="18"/>
        </w:rPr>
        <w:t>The</w:t>
      </w:r>
      <w:r>
        <w:rPr>
          <w:spacing w:val="-2"/>
          <w:sz w:val="18"/>
        </w:rPr>
        <w:t xml:space="preserve"> </w:t>
      </w:r>
      <w:r>
        <w:rPr>
          <w:sz w:val="18"/>
        </w:rPr>
        <w:t>range</w:t>
      </w:r>
      <w:r>
        <w:rPr>
          <w:spacing w:val="-2"/>
          <w:sz w:val="18"/>
        </w:rPr>
        <w:t xml:space="preserve"> </w:t>
      </w:r>
      <w:r>
        <w:rPr>
          <w:sz w:val="18"/>
        </w:rPr>
        <w:t>from year to year is large. The resulting values is a best guess estimate.</w:t>
      </w:r>
    </w:p>
    <w:p w:rsidR="00C31389" w:rsidRDefault="00C31389" w14:paraId="4052CC7E" w14:textId="77777777">
      <w:pPr>
        <w:jc w:val="both"/>
        <w:rPr>
          <w:sz w:val="18"/>
        </w:rPr>
        <w:sectPr w:rsidR="00C31389">
          <w:pgSz w:w="11910" w:h="16840"/>
          <w:pgMar w:top="1660" w:right="1020" w:bottom="1120" w:left="960" w:header="397" w:footer="938" w:gutter="0"/>
          <w:cols w:space="720"/>
        </w:sectPr>
      </w:pPr>
    </w:p>
    <w:p w:rsidR="00C31389" w:rsidRDefault="00C31389" w14:paraId="437BD8BD" w14:textId="77777777">
      <w:pPr>
        <w:pStyle w:val="BodyText"/>
      </w:pPr>
    </w:p>
    <w:tbl>
      <w:tblPr>
        <w:tblW w:w="0" w:type="auto"/>
        <w:tblInd w:w="260" w:type="dxa"/>
        <w:tblLayout w:type="fixed"/>
        <w:tblCellMar>
          <w:left w:w="0" w:type="dxa"/>
          <w:right w:w="0" w:type="dxa"/>
        </w:tblCellMar>
        <w:tblLook w:val="01E0" w:firstRow="1" w:lastRow="1" w:firstColumn="1" w:lastColumn="1" w:noHBand="0" w:noVBand="0"/>
      </w:tblPr>
      <w:tblGrid>
        <w:gridCol w:w="2155"/>
        <w:gridCol w:w="1122"/>
        <w:gridCol w:w="1047"/>
        <w:gridCol w:w="1042"/>
        <w:gridCol w:w="1563"/>
        <w:gridCol w:w="1368"/>
        <w:gridCol w:w="1165"/>
      </w:tblGrid>
      <w:tr w:rsidR="00C31389" w14:paraId="68E7BC8D" w14:textId="77777777">
        <w:trPr>
          <w:trHeight w:val="252"/>
        </w:trPr>
        <w:tc>
          <w:tcPr>
            <w:tcW w:w="5366" w:type="dxa"/>
            <w:gridSpan w:val="4"/>
            <w:tcBorders>
              <w:top w:val="single" w:color="8B8B8B" w:sz="8" w:space="0"/>
            </w:tcBorders>
          </w:tcPr>
          <w:p w:rsidR="00C31389" w:rsidRDefault="00C31389" w14:paraId="01369D3C" w14:textId="77777777">
            <w:pPr>
              <w:pStyle w:val="TableParagraph"/>
              <w:spacing w:before="0"/>
              <w:rPr>
                <w:rFonts w:ascii="Times New Roman"/>
                <w:sz w:val="18"/>
              </w:rPr>
            </w:pPr>
          </w:p>
        </w:tc>
        <w:tc>
          <w:tcPr>
            <w:tcW w:w="1563" w:type="dxa"/>
            <w:tcBorders>
              <w:top w:val="single" w:color="8B8B8B" w:sz="8" w:space="0"/>
            </w:tcBorders>
          </w:tcPr>
          <w:p w:rsidR="00C31389" w:rsidRDefault="00C31389" w14:paraId="273AC0B8" w14:textId="77777777">
            <w:pPr>
              <w:pStyle w:val="TableParagraph"/>
              <w:spacing w:before="0"/>
              <w:rPr>
                <w:rFonts w:ascii="Times New Roman"/>
                <w:sz w:val="18"/>
              </w:rPr>
            </w:pPr>
          </w:p>
        </w:tc>
        <w:tc>
          <w:tcPr>
            <w:tcW w:w="1368" w:type="dxa"/>
            <w:tcBorders>
              <w:top w:val="single" w:color="8B8B8B" w:sz="8" w:space="0"/>
            </w:tcBorders>
          </w:tcPr>
          <w:p w:rsidR="00C31389" w:rsidRDefault="00C31389" w14:paraId="140015FC" w14:textId="77777777">
            <w:pPr>
              <w:pStyle w:val="TableParagraph"/>
              <w:spacing w:before="0"/>
              <w:rPr>
                <w:rFonts w:ascii="Times New Roman"/>
                <w:sz w:val="18"/>
              </w:rPr>
            </w:pPr>
          </w:p>
        </w:tc>
        <w:tc>
          <w:tcPr>
            <w:tcW w:w="1165" w:type="dxa"/>
            <w:tcBorders>
              <w:top w:val="single" w:color="8B8B8B" w:sz="8" w:space="0"/>
            </w:tcBorders>
          </w:tcPr>
          <w:p w:rsidR="00C31389" w:rsidRDefault="00C31389" w14:paraId="625819EE" w14:textId="77777777">
            <w:pPr>
              <w:pStyle w:val="TableParagraph"/>
              <w:spacing w:before="0"/>
              <w:rPr>
                <w:rFonts w:ascii="Times New Roman"/>
                <w:sz w:val="18"/>
              </w:rPr>
            </w:pPr>
          </w:p>
        </w:tc>
      </w:tr>
      <w:tr w:rsidR="00C31389" w14:paraId="5F8373F7" w14:textId="77777777">
        <w:trPr>
          <w:trHeight w:val="330"/>
        </w:trPr>
        <w:tc>
          <w:tcPr>
            <w:tcW w:w="5366" w:type="dxa"/>
            <w:gridSpan w:val="4"/>
            <w:shd w:val="clear" w:color="auto" w:fill="92D400"/>
          </w:tcPr>
          <w:p w:rsidR="00C31389" w:rsidRDefault="00561FBD" w14:paraId="1D3963C3" w14:textId="77777777">
            <w:pPr>
              <w:pStyle w:val="TableParagraph"/>
              <w:ind w:left="2731"/>
              <w:rPr>
                <w:b/>
                <w:sz w:val="20"/>
              </w:rPr>
            </w:pPr>
            <w:r>
              <w:rPr>
                <w:b/>
                <w:sz w:val="20"/>
              </w:rPr>
              <w:t>SEM</w:t>
            </w:r>
            <w:r>
              <w:rPr>
                <w:b/>
                <w:spacing w:val="-5"/>
                <w:sz w:val="20"/>
              </w:rPr>
              <w:t xml:space="preserve"> </w:t>
            </w:r>
            <w:r>
              <w:rPr>
                <w:b/>
                <w:sz w:val="20"/>
              </w:rPr>
              <w:t>Target</w:t>
            </w:r>
            <w:r>
              <w:rPr>
                <w:b/>
                <w:spacing w:val="-3"/>
                <w:sz w:val="20"/>
              </w:rPr>
              <w:t xml:space="preserve"> </w:t>
            </w:r>
            <w:r>
              <w:rPr>
                <w:b/>
                <w:sz w:val="20"/>
              </w:rPr>
              <w:t>End</w:t>
            </w:r>
            <w:r>
              <w:rPr>
                <w:b/>
                <w:spacing w:val="-2"/>
                <w:sz w:val="20"/>
              </w:rPr>
              <w:t xml:space="preserve"> </w:t>
            </w:r>
            <w:r>
              <w:rPr>
                <w:b/>
                <w:spacing w:val="-4"/>
                <w:sz w:val="20"/>
              </w:rPr>
              <w:t>Uses</w:t>
            </w:r>
          </w:p>
        </w:tc>
        <w:tc>
          <w:tcPr>
            <w:tcW w:w="1563" w:type="dxa"/>
            <w:vMerge w:val="restart"/>
            <w:shd w:val="clear" w:color="auto" w:fill="92D400"/>
          </w:tcPr>
          <w:p w:rsidR="00C31389" w:rsidRDefault="00561FBD" w14:paraId="3DB4F0F4" w14:textId="77777777">
            <w:pPr>
              <w:pStyle w:val="TableParagraph"/>
              <w:spacing w:before="155" w:line="230" w:lineRule="exact"/>
              <w:ind w:left="521" w:right="518"/>
              <w:jc w:val="center"/>
              <w:rPr>
                <w:b/>
                <w:sz w:val="20"/>
              </w:rPr>
            </w:pPr>
            <w:r>
              <w:rPr>
                <w:b/>
                <w:spacing w:val="-4"/>
                <w:sz w:val="20"/>
              </w:rPr>
              <w:t>SEM-</w:t>
            </w:r>
          </w:p>
          <w:p w:rsidR="00C31389" w:rsidRDefault="00561FBD" w14:paraId="618C948F" w14:textId="77777777">
            <w:pPr>
              <w:pStyle w:val="TableParagraph"/>
              <w:spacing w:before="0"/>
              <w:ind w:left="138" w:right="133" w:hanging="1"/>
              <w:jc w:val="center"/>
              <w:rPr>
                <w:b/>
                <w:sz w:val="20"/>
              </w:rPr>
            </w:pPr>
            <w:r>
              <w:rPr>
                <w:b/>
                <w:spacing w:val="-2"/>
                <w:sz w:val="20"/>
              </w:rPr>
              <w:t>Applicable Segment Consumption</w:t>
            </w:r>
          </w:p>
        </w:tc>
        <w:tc>
          <w:tcPr>
            <w:tcW w:w="1368" w:type="dxa"/>
            <w:vMerge w:val="restart"/>
            <w:shd w:val="clear" w:color="auto" w:fill="92D400"/>
          </w:tcPr>
          <w:p w:rsidR="00C31389" w:rsidRDefault="00561FBD" w14:paraId="692C1C92" w14:textId="77777777">
            <w:pPr>
              <w:pStyle w:val="TableParagraph"/>
              <w:ind w:left="460" w:right="448"/>
              <w:jc w:val="center"/>
              <w:rPr>
                <w:b/>
                <w:sz w:val="20"/>
              </w:rPr>
            </w:pPr>
            <w:r>
              <w:rPr>
                <w:b/>
                <w:spacing w:val="-5"/>
                <w:sz w:val="20"/>
              </w:rPr>
              <w:t>SEM</w:t>
            </w:r>
          </w:p>
          <w:p w:rsidR="00C31389" w:rsidRDefault="00561FBD" w14:paraId="5C50F916" w14:textId="77777777">
            <w:pPr>
              <w:pStyle w:val="TableParagraph"/>
              <w:spacing w:before="1"/>
              <w:ind w:left="138" w:right="125" w:firstLine="1"/>
              <w:jc w:val="center"/>
              <w:rPr>
                <w:b/>
                <w:sz w:val="20"/>
              </w:rPr>
            </w:pPr>
            <w:r>
              <w:rPr>
                <w:b/>
                <w:spacing w:val="-2"/>
                <w:sz w:val="20"/>
              </w:rPr>
              <w:t>Segment Savings Adjustment Factor</w:t>
            </w:r>
          </w:p>
        </w:tc>
        <w:tc>
          <w:tcPr>
            <w:tcW w:w="1165" w:type="dxa"/>
            <w:shd w:val="clear" w:color="auto" w:fill="92D400"/>
          </w:tcPr>
          <w:p w:rsidR="00C31389" w:rsidRDefault="00C31389" w14:paraId="297097FC" w14:textId="77777777">
            <w:pPr>
              <w:pStyle w:val="TableParagraph"/>
              <w:spacing w:before="0"/>
              <w:rPr>
                <w:rFonts w:ascii="Times New Roman"/>
                <w:sz w:val="20"/>
              </w:rPr>
            </w:pPr>
          </w:p>
        </w:tc>
      </w:tr>
      <w:tr w:rsidR="00C31389" w14:paraId="6382A024" w14:textId="77777777">
        <w:trPr>
          <w:trHeight w:val="908"/>
        </w:trPr>
        <w:tc>
          <w:tcPr>
            <w:tcW w:w="2155" w:type="dxa"/>
            <w:shd w:val="clear" w:color="auto" w:fill="92D400"/>
          </w:tcPr>
          <w:p w:rsidR="00C31389" w:rsidRDefault="00561FBD" w14:paraId="5104A744" w14:textId="77777777">
            <w:pPr>
              <w:pStyle w:val="TableParagraph"/>
              <w:spacing w:before="169"/>
              <w:ind w:left="129"/>
              <w:rPr>
                <w:b/>
                <w:sz w:val="20"/>
              </w:rPr>
            </w:pPr>
            <w:r>
              <w:rPr>
                <w:b/>
                <w:spacing w:val="-2"/>
                <w:sz w:val="20"/>
              </w:rPr>
              <w:t>Segment</w:t>
            </w:r>
          </w:p>
        </w:tc>
        <w:tc>
          <w:tcPr>
            <w:tcW w:w="1122" w:type="dxa"/>
            <w:shd w:val="clear" w:color="auto" w:fill="92D400"/>
          </w:tcPr>
          <w:p w:rsidR="00C31389" w:rsidRDefault="00C31389" w14:paraId="3A91C20E" w14:textId="77777777">
            <w:pPr>
              <w:pStyle w:val="TableParagraph"/>
              <w:spacing w:before="7"/>
              <w:rPr>
                <w:sz w:val="18"/>
              </w:rPr>
            </w:pPr>
          </w:p>
          <w:p w:rsidR="00C31389" w:rsidRDefault="00561FBD" w14:paraId="04CE7193" w14:textId="77777777">
            <w:pPr>
              <w:pStyle w:val="TableParagraph"/>
              <w:spacing w:before="1"/>
              <w:ind w:left="273" w:right="137" w:hanging="95"/>
              <w:rPr>
                <w:b/>
                <w:sz w:val="20"/>
              </w:rPr>
            </w:pPr>
            <w:r>
              <w:rPr>
                <w:b/>
                <w:spacing w:val="-2"/>
                <w:sz w:val="20"/>
              </w:rPr>
              <w:t>Machine Drives</w:t>
            </w:r>
          </w:p>
        </w:tc>
        <w:tc>
          <w:tcPr>
            <w:tcW w:w="1047" w:type="dxa"/>
            <w:shd w:val="clear" w:color="auto" w:fill="92D400"/>
          </w:tcPr>
          <w:p w:rsidR="00C31389" w:rsidRDefault="00C31389" w14:paraId="7EE7C9BF" w14:textId="77777777">
            <w:pPr>
              <w:pStyle w:val="TableParagraph"/>
              <w:spacing w:before="7"/>
              <w:rPr>
                <w:sz w:val="18"/>
              </w:rPr>
            </w:pPr>
          </w:p>
          <w:p w:rsidR="00C31389" w:rsidRDefault="00561FBD" w14:paraId="1D33B12E" w14:textId="77777777">
            <w:pPr>
              <w:pStyle w:val="TableParagraph"/>
              <w:spacing w:before="1"/>
              <w:ind w:left="317" w:right="119" w:hanging="174"/>
              <w:rPr>
                <w:b/>
                <w:sz w:val="20"/>
              </w:rPr>
            </w:pPr>
            <w:r>
              <w:rPr>
                <w:b/>
                <w:spacing w:val="-2"/>
                <w:sz w:val="20"/>
              </w:rPr>
              <w:t xml:space="preserve">Process </w:t>
            </w:r>
            <w:r>
              <w:rPr>
                <w:b/>
                <w:spacing w:val="-4"/>
                <w:sz w:val="20"/>
              </w:rPr>
              <w:t>Heat</w:t>
            </w:r>
          </w:p>
        </w:tc>
        <w:tc>
          <w:tcPr>
            <w:tcW w:w="1042" w:type="dxa"/>
            <w:shd w:val="clear" w:color="auto" w:fill="92D400"/>
          </w:tcPr>
          <w:p w:rsidR="00C31389" w:rsidRDefault="00561FBD" w14:paraId="6320F0E0" w14:textId="77777777">
            <w:pPr>
              <w:pStyle w:val="TableParagraph"/>
              <w:spacing w:before="99"/>
              <w:ind w:left="125" w:right="134"/>
              <w:jc w:val="center"/>
              <w:rPr>
                <w:b/>
                <w:sz w:val="20"/>
              </w:rPr>
            </w:pPr>
            <w:r>
              <w:rPr>
                <w:b/>
                <w:spacing w:val="-2"/>
                <w:sz w:val="20"/>
              </w:rPr>
              <w:t>Process Refriger ation</w:t>
            </w:r>
          </w:p>
        </w:tc>
        <w:tc>
          <w:tcPr>
            <w:tcW w:w="1563" w:type="dxa"/>
            <w:vMerge/>
            <w:tcBorders>
              <w:top w:val="nil"/>
            </w:tcBorders>
            <w:shd w:val="clear" w:color="auto" w:fill="92D400"/>
          </w:tcPr>
          <w:p w:rsidR="00C31389" w:rsidRDefault="00C31389" w14:paraId="01C59FF0" w14:textId="77777777">
            <w:pPr>
              <w:rPr>
                <w:sz w:val="2"/>
                <w:szCs w:val="2"/>
              </w:rPr>
            </w:pPr>
          </w:p>
        </w:tc>
        <w:tc>
          <w:tcPr>
            <w:tcW w:w="1368" w:type="dxa"/>
            <w:vMerge/>
            <w:tcBorders>
              <w:top w:val="nil"/>
            </w:tcBorders>
            <w:shd w:val="clear" w:color="auto" w:fill="92D400"/>
          </w:tcPr>
          <w:p w:rsidR="00C31389" w:rsidRDefault="00C31389" w14:paraId="15957682" w14:textId="77777777">
            <w:pPr>
              <w:rPr>
                <w:sz w:val="2"/>
                <w:szCs w:val="2"/>
              </w:rPr>
            </w:pPr>
          </w:p>
        </w:tc>
        <w:tc>
          <w:tcPr>
            <w:tcW w:w="1165" w:type="dxa"/>
            <w:shd w:val="clear" w:color="auto" w:fill="92D400"/>
          </w:tcPr>
          <w:p w:rsidR="00C31389" w:rsidRDefault="00561FBD" w14:paraId="21F0152C" w14:textId="77777777">
            <w:pPr>
              <w:pStyle w:val="TableParagraph"/>
              <w:spacing w:before="54"/>
              <w:ind w:left="131"/>
              <w:rPr>
                <w:b/>
                <w:sz w:val="20"/>
              </w:rPr>
            </w:pPr>
            <w:r>
              <w:rPr>
                <w:b/>
                <w:sz w:val="20"/>
              </w:rPr>
              <w:t>SEM</w:t>
            </w:r>
            <w:r>
              <w:rPr>
                <w:b/>
                <w:spacing w:val="-5"/>
                <w:sz w:val="20"/>
              </w:rPr>
              <w:t xml:space="preserve"> UES</w:t>
            </w:r>
          </w:p>
          <w:p w:rsidR="00C31389" w:rsidRDefault="00561FBD" w14:paraId="12690F74" w14:textId="77777777">
            <w:pPr>
              <w:pStyle w:val="TableParagraph"/>
              <w:spacing w:before="0"/>
              <w:ind w:left="137"/>
              <w:rPr>
                <w:b/>
                <w:sz w:val="20"/>
              </w:rPr>
            </w:pPr>
            <w:r>
              <w:rPr>
                <w:b/>
                <w:spacing w:val="-2"/>
                <w:sz w:val="20"/>
              </w:rPr>
              <w:t>Multiplier</w:t>
            </w:r>
          </w:p>
        </w:tc>
      </w:tr>
      <w:tr w:rsidR="00C31389" w14:paraId="2947DC50" w14:textId="77777777">
        <w:trPr>
          <w:trHeight w:val="304"/>
        </w:trPr>
        <w:tc>
          <w:tcPr>
            <w:tcW w:w="2155" w:type="dxa"/>
            <w:tcBorders>
              <w:bottom w:val="single" w:color="D9D9D9" w:sz="2" w:space="0"/>
            </w:tcBorders>
          </w:tcPr>
          <w:p w:rsidR="00C31389" w:rsidRDefault="00561FBD" w14:paraId="25467E77" w14:textId="77777777">
            <w:pPr>
              <w:pStyle w:val="TableParagraph"/>
              <w:spacing w:before="35"/>
              <w:ind w:left="129"/>
              <w:rPr>
                <w:sz w:val="20"/>
              </w:rPr>
            </w:pPr>
            <w:r>
              <w:rPr>
                <w:spacing w:val="-2"/>
                <w:sz w:val="20"/>
              </w:rPr>
              <w:t>Chemicals</w:t>
            </w:r>
          </w:p>
        </w:tc>
        <w:tc>
          <w:tcPr>
            <w:tcW w:w="1122" w:type="dxa"/>
            <w:tcBorders>
              <w:bottom w:val="single" w:color="D9D9D9" w:sz="2" w:space="0"/>
            </w:tcBorders>
          </w:tcPr>
          <w:p w:rsidR="00C31389" w:rsidRDefault="00561FBD" w14:paraId="1C6E5899" w14:textId="77777777">
            <w:pPr>
              <w:pStyle w:val="TableParagraph"/>
              <w:spacing w:before="35"/>
              <w:ind w:right="339"/>
              <w:jc w:val="right"/>
              <w:rPr>
                <w:sz w:val="20"/>
              </w:rPr>
            </w:pPr>
            <w:r>
              <w:rPr>
                <w:spacing w:val="-5"/>
                <w:sz w:val="20"/>
              </w:rPr>
              <w:t>61%</w:t>
            </w:r>
          </w:p>
        </w:tc>
        <w:tc>
          <w:tcPr>
            <w:tcW w:w="1047" w:type="dxa"/>
            <w:tcBorders>
              <w:bottom w:val="single" w:color="D9D9D9" w:sz="2" w:space="0"/>
            </w:tcBorders>
          </w:tcPr>
          <w:p w:rsidR="00C31389" w:rsidRDefault="00561FBD" w14:paraId="5049B65B" w14:textId="77777777">
            <w:pPr>
              <w:pStyle w:val="TableParagraph"/>
              <w:spacing w:before="35"/>
              <w:ind w:left="253" w:right="233"/>
              <w:jc w:val="center"/>
              <w:rPr>
                <w:sz w:val="20"/>
              </w:rPr>
            </w:pPr>
            <w:r>
              <w:rPr>
                <w:spacing w:val="-5"/>
                <w:sz w:val="20"/>
              </w:rPr>
              <w:t>5%</w:t>
            </w:r>
          </w:p>
        </w:tc>
        <w:tc>
          <w:tcPr>
            <w:tcW w:w="1042" w:type="dxa"/>
            <w:tcBorders>
              <w:bottom w:val="single" w:color="D9D9D9" w:sz="2" w:space="0"/>
            </w:tcBorders>
          </w:tcPr>
          <w:p w:rsidR="00C31389" w:rsidRDefault="00561FBD" w14:paraId="36E5938E" w14:textId="77777777">
            <w:pPr>
              <w:pStyle w:val="TableParagraph"/>
              <w:spacing w:before="35"/>
              <w:ind w:left="125" w:right="131"/>
              <w:jc w:val="center"/>
              <w:rPr>
                <w:sz w:val="20"/>
              </w:rPr>
            </w:pPr>
            <w:r>
              <w:rPr>
                <w:spacing w:val="-5"/>
                <w:sz w:val="20"/>
              </w:rPr>
              <w:t>9%</w:t>
            </w:r>
          </w:p>
        </w:tc>
        <w:tc>
          <w:tcPr>
            <w:tcW w:w="1563" w:type="dxa"/>
            <w:tcBorders>
              <w:bottom w:val="single" w:color="D9D9D9" w:sz="2" w:space="0"/>
            </w:tcBorders>
          </w:tcPr>
          <w:p w:rsidR="00C31389" w:rsidRDefault="00561FBD" w14:paraId="205A87E7" w14:textId="77777777">
            <w:pPr>
              <w:pStyle w:val="TableParagraph"/>
              <w:spacing w:before="35"/>
              <w:ind w:right="577"/>
              <w:jc w:val="right"/>
              <w:rPr>
                <w:sz w:val="20"/>
              </w:rPr>
            </w:pPr>
            <w:r>
              <w:rPr>
                <w:spacing w:val="-5"/>
                <w:sz w:val="20"/>
              </w:rPr>
              <w:t>74%</w:t>
            </w:r>
          </w:p>
        </w:tc>
        <w:tc>
          <w:tcPr>
            <w:tcW w:w="1368" w:type="dxa"/>
            <w:tcBorders>
              <w:bottom w:val="single" w:color="D9D9D9" w:sz="2" w:space="0"/>
            </w:tcBorders>
          </w:tcPr>
          <w:p w:rsidR="00C31389" w:rsidRDefault="00561FBD" w14:paraId="4C1C702D" w14:textId="77777777">
            <w:pPr>
              <w:pStyle w:val="TableParagraph"/>
              <w:spacing w:before="35"/>
              <w:ind w:left="537" w:right="526"/>
              <w:jc w:val="center"/>
              <w:rPr>
                <w:sz w:val="20"/>
              </w:rPr>
            </w:pPr>
            <w:r>
              <w:rPr>
                <w:spacing w:val="-5"/>
                <w:sz w:val="20"/>
              </w:rPr>
              <w:t>1.2</w:t>
            </w:r>
          </w:p>
        </w:tc>
        <w:tc>
          <w:tcPr>
            <w:tcW w:w="1165" w:type="dxa"/>
            <w:tcBorders>
              <w:bottom w:val="single" w:color="D9D9D9" w:sz="2" w:space="0"/>
            </w:tcBorders>
          </w:tcPr>
          <w:p w:rsidR="00C31389" w:rsidRDefault="00561FBD" w14:paraId="7A083E38" w14:textId="77777777">
            <w:pPr>
              <w:pStyle w:val="TableParagraph"/>
              <w:spacing w:before="35"/>
              <w:ind w:left="342" w:right="342"/>
              <w:jc w:val="center"/>
              <w:rPr>
                <w:sz w:val="20"/>
              </w:rPr>
            </w:pPr>
            <w:r>
              <w:rPr>
                <w:spacing w:val="-4"/>
                <w:sz w:val="20"/>
              </w:rPr>
              <w:t>3.5%</w:t>
            </w:r>
          </w:p>
        </w:tc>
      </w:tr>
      <w:tr w:rsidR="00C31389" w14:paraId="46F485E2" w14:textId="77777777">
        <w:trPr>
          <w:trHeight w:val="310"/>
        </w:trPr>
        <w:tc>
          <w:tcPr>
            <w:tcW w:w="2155" w:type="dxa"/>
            <w:tcBorders>
              <w:top w:val="single" w:color="D9D9D9" w:sz="2" w:space="0"/>
              <w:bottom w:val="single" w:color="D9D9D9" w:sz="2" w:space="0"/>
            </w:tcBorders>
          </w:tcPr>
          <w:p w:rsidR="00C31389" w:rsidRDefault="00561FBD" w14:paraId="44DBA72E" w14:textId="77777777">
            <w:pPr>
              <w:pStyle w:val="TableParagraph"/>
              <w:spacing w:before="41"/>
              <w:ind w:left="129"/>
              <w:rPr>
                <w:sz w:val="20"/>
              </w:rPr>
            </w:pPr>
            <w:r>
              <w:rPr>
                <w:sz w:val="20"/>
              </w:rPr>
              <w:t>Fabricated</w:t>
            </w:r>
            <w:r>
              <w:rPr>
                <w:spacing w:val="-6"/>
                <w:sz w:val="20"/>
              </w:rPr>
              <w:t xml:space="preserve"> </w:t>
            </w:r>
            <w:r>
              <w:rPr>
                <w:spacing w:val="-2"/>
                <w:sz w:val="20"/>
              </w:rPr>
              <w:t>Metals</w:t>
            </w:r>
          </w:p>
        </w:tc>
        <w:tc>
          <w:tcPr>
            <w:tcW w:w="1122" w:type="dxa"/>
            <w:tcBorders>
              <w:top w:val="single" w:color="D9D9D9" w:sz="2" w:space="0"/>
              <w:bottom w:val="single" w:color="D9D9D9" w:sz="2" w:space="0"/>
            </w:tcBorders>
          </w:tcPr>
          <w:p w:rsidR="00C31389" w:rsidRDefault="00561FBD" w14:paraId="39A95971" w14:textId="77777777">
            <w:pPr>
              <w:pStyle w:val="TableParagraph"/>
              <w:spacing w:before="41"/>
              <w:ind w:right="339"/>
              <w:jc w:val="right"/>
              <w:rPr>
                <w:sz w:val="20"/>
              </w:rPr>
            </w:pPr>
            <w:r>
              <w:rPr>
                <w:spacing w:val="-5"/>
                <w:sz w:val="20"/>
              </w:rPr>
              <w:t>49%</w:t>
            </w:r>
          </w:p>
        </w:tc>
        <w:tc>
          <w:tcPr>
            <w:tcW w:w="1047" w:type="dxa"/>
            <w:tcBorders>
              <w:top w:val="single" w:color="D9D9D9" w:sz="2" w:space="0"/>
              <w:bottom w:val="single" w:color="D9D9D9" w:sz="2" w:space="0"/>
            </w:tcBorders>
          </w:tcPr>
          <w:p w:rsidR="00C31389" w:rsidRDefault="00561FBD" w14:paraId="30D913B3" w14:textId="77777777">
            <w:pPr>
              <w:pStyle w:val="TableParagraph"/>
              <w:spacing w:before="41"/>
              <w:ind w:left="253" w:right="234"/>
              <w:jc w:val="center"/>
              <w:rPr>
                <w:sz w:val="20"/>
              </w:rPr>
            </w:pPr>
            <w:r>
              <w:rPr>
                <w:spacing w:val="-5"/>
                <w:sz w:val="20"/>
              </w:rPr>
              <w:t>20%</w:t>
            </w:r>
          </w:p>
        </w:tc>
        <w:tc>
          <w:tcPr>
            <w:tcW w:w="1042" w:type="dxa"/>
            <w:tcBorders>
              <w:top w:val="single" w:color="D9D9D9" w:sz="2" w:space="0"/>
              <w:bottom w:val="single" w:color="D9D9D9" w:sz="2" w:space="0"/>
            </w:tcBorders>
          </w:tcPr>
          <w:p w:rsidR="00C31389" w:rsidRDefault="00561FBD" w14:paraId="12D59717" w14:textId="77777777">
            <w:pPr>
              <w:pStyle w:val="TableParagraph"/>
              <w:spacing w:before="41"/>
              <w:ind w:left="125" w:right="133"/>
              <w:jc w:val="center"/>
              <w:rPr>
                <w:sz w:val="20"/>
              </w:rPr>
            </w:pPr>
            <w:r>
              <w:rPr>
                <w:spacing w:val="-5"/>
                <w:sz w:val="20"/>
              </w:rPr>
              <w:t>3%</w:t>
            </w:r>
          </w:p>
        </w:tc>
        <w:tc>
          <w:tcPr>
            <w:tcW w:w="1563" w:type="dxa"/>
            <w:tcBorders>
              <w:top w:val="single" w:color="D9D9D9" w:sz="2" w:space="0"/>
              <w:bottom w:val="single" w:color="D9D9D9" w:sz="2" w:space="0"/>
            </w:tcBorders>
          </w:tcPr>
          <w:p w:rsidR="00C31389" w:rsidRDefault="00561FBD" w14:paraId="271217C3" w14:textId="77777777">
            <w:pPr>
              <w:pStyle w:val="TableParagraph"/>
              <w:spacing w:before="41"/>
              <w:ind w:right="577"/>
              <w:jc w:val="right"/>
              <w:rPr>
                <w:sz w:val="20"/>
              </w:rPr>
            </w:pPr>
            <w:r>
              <w:rPr>
                <w:spacing w:val="-5"/>
                <w:sz w:val="20"/>
              </w:rPr>
              <w:t>72%</w:t>
            </w:r>
          </w:p>
        </w:tc>
        <w:tc>
          <w:tcPr>
            <w:tcW w:w="1368" w:type="dxa"/>
            <w:tcBorders>
              <w:top w:val="single" w:color="D9D9D9" w:sz="2" w:space="0"/>
              <w:bottom w:val="single" w:color="D9D9D9" w:sz="2" w:space="0"/>
            </w:tcBorders>
          </w:tcPr>
          <w:p w:rsidR="00C31389" w:rsidRDefault="00561FBD" w14:paraId="7C265579" w14:textId="77777777">
            <w:pPr>
              <w:pStyle w:val="TableParagraph"/>
              <w:spacing w:before="41"/>
              <w:ind w:left="537" w:right="526"/>
              <w:jc w:val="center"/>
              <w:rPr>
                <w:sz w:val="20"/>
              </w:rPr>
            </w:pPr>
            <w:r>
              <w:rPr>
                <w:spacing w:val="-5"/>
                <w:sz w:val="20"/>
              </w:rPr>
              <w:t>1.1</w:t>
            </w:r>
          </w:p>
        </w:tc>
        <w:tc>
          <w:tcPr>
            <w:tcW w:w="1165" w:type="dxa"/>
            <w:tcBorders>
              <w:top w:val="single" w:color="D9D9D9" w:sz="2" w:space="0"/>
              <w:bottom w:val="single" w:color="D9D9D9" w:sz="2" w:space="0"/>
            </w:tcBorders>
          </w:tcPr>
          <w:p w:rsidR="00C31389" w:rsidRDefault="00561FBD" w14:paraId="65AA07A7" w14:textId="77777777">
            <w:pPr>
              <w:pStyle w:val="TableParagraph"/>
              <w:spacing w:before="41"/>
              <w:ind w:left="342" w:right="342"/>
              <w:jc w:val="center"/>
              <w:rPr>
                <w:sz w:val="20"/>
              </w:rPr>
            </w:pPr>
            <w:r>
              <w:rPr>
                <w:spacing w:val="-4"/>
                <w:sz w:val="20"/>
              </w:rPr>
              <w:t>3.4%</w:t>
            </w:r>
          </w:p>
        </w:tc>
      </w:tr>
      <w:tr w:rsidR="00C31389" w14:paraId="66660A04" w14:textId="77777777">
        <w:trPr>
          <w:trHeight w:val="309"/>
        </w:trPr>
        <w:tc>
          <w:tcPr>
            <w:tcW w:w="2155" w:type="dxa"/>
            <w:tcBorders>
              <w:top w:val="single" w:color="D9D9D9" w:sz="2" w:space="0"/>
              <w:bottom w:val="single" w:color="D9D9D9" w:sz="2" w:space="0"/>
            </w:tcBorders>
          </w:tcPr>
          <w:p w:rsidR="00C31389" w:rsidRDefault="00561FBD" w14:paraId="2DC0FE61" w14:textId="77777777">
            <w:pPr>
              <w:pStyle w:val="TableParagraph"/>
              <w:ind w:left="129"/>
              <w:rPr>
                <w:sz w:val="20"/>
              </w:rPr>
            </w:pPr>
            <w:r>
              <w:rPr>
                <w:sz w:val="20"/>
              </w:rPr>
              <w:t>Printing</w:t>
            </w:r>
            <w:r>
              <w:rPr>
                <w:spacing w:val="-3"/>
                <w:sz w:val="20"/>
              </w:rPr>
              <w:t xml:space="preserve"> </w:t>
            </w:r>
            <w:r>
              <w:rPr>
                <w:sz w:val="20"/>
              </w:rPr>
              <w:t>&amp;</w:t>
            </w:r>
            <w:r>
              <w:rPr>
                <w:spacing w:val="-3"/>
                <w:sz w:val="20"/>
              </w:rPr>
              <w:t xml:space="preserve"> </w:t>
            </w:r>
            <w:r>
              <w:rPr>
                <w:spacing w:val="-2"/>
                <w:sz w:val="20"/>
              </w:rPr>
              <w:t>Publishing</w:t>
            </w:r>
          </w:p>
        </w:tc>
        <w:tc>
          <w:tcPr>
            <w:tcW w:w="1122" w:type="dxa"/>
            <w:tcBorders>
              <w:top w:val="single" w:color="D9D9D9" w:sz="2" w:space="0"/>
              <w:bottom w:val="single" w:color="D9D9D9" w:sz="2" w:space="0"/>
            </w:tcBorders>
          </w:tcPr>
          <w:p w:rsidR="00C31389" w:rsidRDefault="00561FBD" w14:paraId="5FEB8975" w14:textId="77777777">
            <w:pPr>
              <w:pStyle w:val="TableParagraph"/>
              <w:ind w:right="339"/>
              <w:jc w:val="right"/>
              <w:rPr>
                <w:sz w:val="20"/>
              </w:rPr>
            </w:pPr>
            <w:r>
              <w:rPr>
                <w:spacing w:val="-5"/>
                <w:sz w:val="20"/>
              </w:rPr>
              <w:t>52%</w:t>
            </w:r>
          </w:p>
        </w:tc>
        <w:tc>
          <w:tcPr>
            <w:tcW w:w="1047" w:type="dxa"/>
            <w:tcBorders>
              <w:top w:val="single" w:color="D9D9D9" w:sz="2" w:space="0"/>
              <w:bottom w:val="single" w:color="D9D9D9" w:sz="2" w:space="0"/>
            </w:tcBorders>
          </w:tcPr>
          <w:p w:rsidR="00C31389" w:rsidRDefault="00561FBD" w14:paraId="6A052C83" w14:textId="77777777">
            <w:pPr>
              <w:pStyle w:val="TableParagraph"/>
              <w:ind w:left="253" w:right="233"/>
              <w:jc w:val="center"/>
              <w:rPr>
                <w:sz w:val="20"/>
              </w:rPr>
            </w:pPr>
            <w:r>
              <w:rPr>
                <w:spacing w:val="-5"/>
                <w:sz w:val="20"/>
              </w:rPr>
              <w:t>2%</w:t>
            </w:r>
          </w:p>
        </w:tc>
        <w:tc>
          <w:tcPr>
            <w:tcW w:w="1042" w:type="dxa"/>
            <w:tcBorders>
              <w:top w:val="single" w:color="D9D9D9" w:sz="2" w:space="0"/>
              <w:bottom w:val="single" w:color="D9D9D9" w:sz="2" w:space="0"/>
            </w:tcBorders>
          </w:tcPr>
          <w:p w:rsidR="00C31389" w:rsidRDefault="00561FBD" w14:paraId="638983B7" w14:textId="77777777">
            <w:pPr>
              <w:pStyle w:val="TableParagraph"/>
              <w:ind w:left="125" w:right="131"/>
              <w:jc w:val="center"/>
              <w:rPr>
                <w:sz w:val="20"/>
              </w:rPr>
            </w:pPr>
            <w:r>
              <w:rPr>
                <w:spacing w:val="-5"/>
                <w:sz w:val="20"/>
              </w:rPr>
              <w:t>7%</w:t>
            </w:r>
          </w:p>
        </w:tc>
        <w:tc>
          <w:tcPr>
            <w:tcW w:w="1563" w:type="dxa"/>
            <w:tcBorders>
              <w:top w:val="single" w:color="D9D9D9" w:sz="2" w:space="0"/>
              <w:bottom w:val="single" w:color="D9D9D9" w:sz="2" w:space="0"/>
            </w:tcBorders>
          </w:tcPr>
          <w:p w:rsidR="00C31389" w:rsidRDefault="00561FBD" w14:paraId="2D8EF36D" w14:textId="77777777">
            <w:pPr>
              <w:pStyle w:val="TableParagraph"/>
              <w:ind w:right="577"/>
              <w:jc w:val="right"/>
              <w:rPr>
                <w:sz w:val="20"/>
              </w:rPr>
            </w:pPr>
            <w:r>
              <w:rPr>
                <w:spacing w:val="-5"/>
                <w:sz w:val="20"/>
              </w:rPr>
              <w:t>61%</w:t>
            </w:r>
          </w:p>
        </w:tc>
        <w:tc>
          <w:tcPr>
            <w:tcW w:w="1368" w:type="dxa"/>
            <w:tcBorders>
              <w:top w:val="single" w:color="D9D9D9" w:sz="2" w:space="0"/>
              <w:bottom w:val="single" w:color="D9D9D9" w:sz="2" w:space="0"/>
            </w:tcBorders>
          </w:tcPr>
          <w:p w:rsidR="00C31389" w:rsidRDefault="00561FBD" w14:paraId="601D5E4F" w14:textId="77777777">
            <w:pPr>
              <w:pStyle w:val="TableParagraph"/>
              <w:ind w:left="537" w:right="526"/>
              <w:jc w:val="center"/>
              <w:rPr>
                <w:sz w:val="20"/>
              </w:rPr>
            </w:pPr>
            <w:r>
              <w:rPr>
                <w:spacing w:val="-5"/>
                <w:sz w:val="20"/>
              </w:rPr>
              <w:t>1.0</w:t>
            </w:r>
          </w:p>
        </w:tc>
        <w:tc>
          <w:tcPr>
            <w:tcW w:w="1165" w:type="dxa"/>
            <w:tcBorders>
              <w:top w:val="single" w:color="D9D9D9" w:sz="2" w:space="0"/>
              <w:bottom w:val="single" w:color="D9D9D9" w:sz="2" w:space="0"/>
            </w:tcBorders>
          </w:tcPr>
          <w:p w:rsidR="00C31389" w:rsidRDefault="00561FBD" w14:paraId="61B7E200" w14:textId="77777777">
            <w:pPr>
              <w:pStyle w:val="TableParagraph"/>
              <w:ind w:left="342" w:right="342"/>
              <w:jc w:val="center"/>
              <w:rPr>
                <w:sz w:val="20"/>
              </w:rPr>
            </w:pPr>
            <w:r>
              <w:rPr>
                <w:spacing w:val="-4"/>
                <w:sz w:val="20"/>
              </w:rPr>
              <w:t>2.9%</w:t>
            </w:r>
          </w:p>
        </w:tc>
      </w:tr>
      <w:tr w:rsidR="00C31389" w14:paraId="0ABBF310" w14:textId="77777777">
        <w:trPr>
          <w:trHeight w:val="310"/>
        </w:trPr>
        <w:tc>
          <w:tcPr>
            <w:tcW w:w="2155" w:type="dxa"/>
            <w:tcBorders>
              <w:top w:val="single" w:color="D9D9D9" w:sz="2" w:space="0"/>
              <w:bottom w:val="single" w:color="D9D9D9" w:sz="2" w:space="0"/>
            </w:tcBorders>
          </w:tcPr>
          <w:p w:rsidR="00C31389" w:rsidRDefault="00561FBD" w14:paraId="739B2A7E" w14:textId="77777777">
            <w:pPr>
              <w:pStyle w:val="TableParagraph"/>
              <w:spacing w:before="41"/>
              <w:ind w:left="129"/>
              <w:rPr>
                <w:sz w:val="20"/>
              </w:rPr>
            </w:pPr>
            <w:r>
              <w:rPr>
                <w:sz w:val="20"/>
              </w:rPr>
              <w:t>Primary</w:t>
            </w:r>
            <w:r>
              <w:rPr>
                <w:spacing w:val="-4"/>
                <w:sz w:val="20"/>
              </w:rPr>
              <w:t xml:space="preserve"> </w:t>
            </w:r>
            <w:r>
              <w:rPr>
                <w:spacing w:val="-2"/>
                <w:sz w:val="20"/>
              </w:rPr>
              <w:t>Metals</w:t>
            </w:r>
          </w:p>
        </w:tc>
        <w:tc>
          <w:tcPr>
            <w:tcW w:w="1122" w:type="dxa"/>
            <w:tcBorders>
              <w:top w:val="single" w:color="D9D9D9" w:sz="2" w:space="0"/>
              <w:bottom w:val="single" w:color="D9D9D9" w:sz="2" w:space="0"/>
            </w:tcBorders>
          </w:tcPr>
          <w:p w:rsidR="00C31389" w:rsidRDefault="00561FBD" w14:paraId="22BA2B52" w14:textId="77777777">
            <w:pPr>
              <w:pStyle w:val="TableParagraph"/>
              <w:spacing w:before="41"/>
              <w:ind w:right="339"/>
              <w:jc w:val="right"/>
              <w:rPr>
                <w:sz w:val="20"/>
              </w:rPr>
            </w:pPr>
            <w:r>
              <w:rPr>
                <w:spacing w:val="-5"/>
                <w:sz w:val="20"/>
              </w:rPr>
              <w:t>29%</w:t>
            </w:r>
          </w:p>
        </w:tc>
        <w:tc>
          <w:tcPr>
            <w:tcW w:w="1047" w:type="dxa"/>
            <w:tcBorders>
              <w:top w:val="single" w:color="D9D9D9" w:sz="2" w:space="0"/>
              <w:bottom w:val="single" w:color="D9D9D9" w:sz="2" w:space="0"/>
            </w:tcBorders>
          </w:tcPr>
          <w:p w:rsidR="00C31389" w:rsidRDefault="00561FBD" w14:paraId="5B1CB2E4" w14:textId="77777777">
            <w:pPr>
              <w:pStyle w:val="TableParagraph"/>
              <w:spacing w:before="41"/>
              <w:ind w:left="253" w:right="234"/>
              <w:jc w:val="center"/>
              <w:rPr>
                <w:sz w:val="20"/>
              </w:rPr>
            </w:pPr>
            <w:r>
              <w:rPr>
                <w:spacing w:val="-5"/>
                <w:sz w:val="20"/>
              </w:rPr>
              <w:t>29%</w:t>
            </w:r>
          </w:p>
        </w:tc>
        <w:tc>
          <w:tcPr>
            <w:tcW w:w="1042" w:type="dxa"/>
            <w:tcBorders>
              <w:top w:val="single" w:color="D9D9D9" w:sz="2" w:space="0"/>
              <w:bottom w:val="single" w:color="D9D9D9" w:sz="2" w:space="0"/>
            </w:tcBorders>
          </w:tcPr>
          <w:p w:rsidR="00C31389" w:rsidRDefault="00561FBD" w14:paraId="7707C751" w14:textId="77777777">
            <w:pPr>
              <w:pStyle w:val="TableParagraph"/>
              <w:spacing w:before="41"/>
              <w:ind w:left="125" w:right="133"/>
              <w:jc w:val="center"/>
              <w:rPr>
                <w:sz w:val="20"/>
              </w:rPr>
            </w:pPr>
            <w:r>
              <w:rPr>
                <w:spacing w:val="-5"/>
                <w:sz w:val="20"/>
              </w:rPr>
              <w:t>1%</w:t>
            </w:r>
          </w:p>
        </w:tc>
        <w:tc>
          <w:tcPr>
            <w:tcW w:w="1563" w:type="dxa"/>
            <w:tcBorders>
              <w:top w:val="single" w:color="D9D9D9" w:sz="2" w:space="0"/>
              <w:bottom w:val="single" w:color="D9D9D9" w:sz="2" w:space="0"/>
            </w:tcBorders>
          </w:tcPr>
          <w:p w:rsidR="00C31389" w:rsidRDefault="00561FBD" w14:paraId="00765D40" w14:textId="77777777">
            <w:pPr>
              <w:pStyle w:val="TableParagraph"/>
              <w:spacing w:before="41"/>
              <w:ind w:right="577"/>
              <w:jc w:val="right"/>
              <w:rPr>
                <w:sz w:val="20"/>
              </w:rPr>
            </w:pPr>
            <w:r>
              <w:rPr>
                <w:spacing w:val="-5"/>
                <w:sz w:val="20"/>
              </w:rPr>
              <w:t>59%</w:t>
            </w:r>
          </w:p>
        </w:tc>
        <w:tc>
          <w:tcPr>
            <w:tcW w:w="1368" w:type="dxa"/>
            <w:tcBorders>
              <w:top w:val="single" w:color="D9D9D9" w:sz="2" w:space="0"/>
              <w:bottom w:val="single" w:color="D9D9D9" w:sz="2" w:space="0"/>
            </w:tcBorders>
          </w:tcPr>
          <w:p w:rsidR="00C31389" w:rsidRDefault="00561FBD" w14:paraId="57E4063D" w14:textId="77777777">
            <w:pPr>
              <w:pStyle w:val="TableParagraph"/>
              <w:spacing w:before="41"/>
              <w:ind w:left="537" w:right="526"/>
              <w:jc w:val="center"/>
              <w:rPr>
                <w:sz w:val="20"/>
              </w:rPr>
            </w:pPr>
            <w:r>
              <w:rPr>
                <w:spacing w:val="-5"/>
                <w:sz w:val="20"/>
              </w:rPr>
              <w:t>0.9</w:t>
            </w:r>
          </w:p>
        </w:tc>
        <w:tc>
          <w:tcPr>
            <w:tcW w:w="1165" w:type="dxa"/>
            <w:tcBorders>
              <w:top w:val="single" w:color="D9D9D9" w:sz="2" w:space="0"/>
              <w:bottom w:val="single" w:color="D9D9D9" w:sz="2" w:space="0"/>
            </w:tcBorders>
          </w:tcPr>
          <w:p w:rsidR="00C31389" w:rsidRDefault="00561FBD" w14:paraId="61D02F85" w14:textId="77777777">
            <w:pPr>
              <w:pStyle w:val="TableParagraph"/>
              <w:spacing w:before="41"/>
              <w:ind w:left="342" w:right="342"/>
              <w:jc w:val="center"/>
              <w:rPr>
                <w:sz w:val="20"/>
              </w:rPr>
            </w:pPr>
            <w:r>
              <w:rPr>
                <w:spacing w:val="-4"/>
                <w:sz w:val="20"/>
              </w:rPr>
              <w:t>2.8%</w:t>
            </w:r>
          </w:p>
        </w:tc>
      </w:tr>
      <w:tr w:rsidR="00C31389" w14:paraId="08A2BC8A" w14:textId="77777777">
        <w:trPr>
          <w:trHeight w:val="539"/>
        </w:trPr>
        <w:tc>
          <w:tcPr>
            <w:tcW w:w="2155" w:type="dxa"/>
            <w:tcBorders>
              <w:top w:val="single" w:color="D9D9D9" w:sz="2" w:space="0"/>
              <w:bottom w:val="single" w:color="D9D9D9" w:sz="2" w:space="0"/>
            </w:tcBorders>
          </w:tcPr>
          <w:p w:rsidR="00C31389" w:rsidRDefault="00561FBD" w14:paraId="676855F2" w14:textId="77777777">
            <w:pPr>
              <w:pStyle w:val="TableParagraph"/>
              <w:ind w:left="129"/>
              <w:rPr>
                <w:sz w:val="20"/>
              </w:rPr>
            </w:pPr>
            <w:r>
              <w:rPr>
                <w:spacing w:val="-2"/>
                <w:sz w:val="20"/>
              </w:rPr>
              <w:t>Transportation Equipment</w:t>
            </w:r>
          </w:p>
        </w:tc>
        <w:tc>
          <w:tcPr>
            <w:tcW w:w="1122" w:type="dxa"/>
            <w:tcBorders>
              <w:top w:val="single" w:color="D9D9D9" w:sz="2" w:space="0"/>
              <w:bottom w:val="single" w:color="D9D9D9" w:sz="2" w:space="0"/>
            </w:tcBorders>
          </w:tcPr>
          <w:p w:rsidR="00C31389" w:rsidRDefault="00561FBD" w14:paraId="28B61A67" w14:textId="77777777">
            <w:pPr>
              <w:pStyle w:val="TableParagraph"/>
              <w:spacing w:before="155"/>
              <w:ind w:right="339"/>
              <w:jc w:val="right"/>
              <w:rPr>
                <w:sz w:val="20"/>
              </w:rPr>
            </w:pPr>
            <w:r>
              <w:rPr>
                <w:spacing w:val="-5"/>
                <w:sz w:val="20"/>
              </w:rPr>
              <w:t>37%</w:t>
            </w:r>
          </w:p>
        </w:tc>
        <w:tc>
          <w:tcPr>
            <w:tcW w:w="1047" w:type="dxa"/>
            <w:tcBorders>
              <w:top w:val="single" w:color="D9D9D9" w:sz="2" w:space="0"/>
              <w:bottom w:val="single" w:color="D9D9D9" w:sz="2" w:space="0"/>
            </w:tcBorders>
          </w:tcPr>
          <w:p w:rsidR="00C31389" w:rsidRDefault="00561FBD" w14:paraId="6D1FB410" w14:textId="77777777">
            <w:pPr>
              <w:pStyle w:val="TableParagraph"/>
              <w:spacing w:before="155"/>
              <w:ind w:left="253" w:right="234"/>
              <w:jc w:val="center"/>
              <w:rPr>
                <w:sz w:val="20"/>
              </w:rPr>
            </w:pPr>
            <w:r>
              <w:rPr>
                <w:spacing w:val="-5"/>
                <w:sz w:val="20"/>
              </w:rPr>
              <w:t>13%</w:t>
            </w:r>
          </w:p>
        </w:tc>
        <w:tc>
          <w:tcPr>
            <w:tcW w:w="1042" w:type="dxa"/>
            <w:tcBorders>
              <w:top w:val="single" w:color="D9D9D9" w:sz="2" w:space="0"/>
              <w:bottom w:val="single" w:color="D9D9D9" w:sz="2" w:space="0"/>
            </w:tcBorders>
          </w:tcPr>
          <w:p w:rsidR="00C31389" w:rsidRDefault="00561FBD" w14:paraId="744BB110" w14:textId="77777777">
            <w:pPr>
              <w:pStyle w:val="TableParagraph"/>
              <w:spacing w:before="155"/>
              <w:ind w:left="125" w:right="131"/>
              <w:jc w:val="center"/>
              <w:rPr>
                <w:sz w:val="20"/>
              </w:rPr>
            </w:pPr>
            <w:r>
              <w:rPr>
                <w:spacing w:val="-5"/>
                <w:sz w:val="20"/>
              </w:rPr>
              <w:t>6%</w:t>
            </w:r>
          </w:p>
        </w:tc>
        <w:tc>
          <w:tcPr>
            <w:tcW w:w="1563" w:type="dxa"/>
            <w:tcBorders>
              <w:top w:val="single" w:color="D9D9D9" w:sz="2" w:space="0"/>
              <w:bottom w:val="single" w:color="D9D9D9" w:sz="2" w:space="0"/>
            </w:tcBorders>
          </w:tcPr>
          <w:p w:rsidR="00C31389" w:rsidRDefault="00561FBD" w14:paraId="16D49858" w14:textId="77777777">
            <w:pPr>
              <w:pStyle w:val="TableParagraph"/>
              <w:spacing w:before="155"/>
              <w:ind w:right="577"/>
              <w:jc w:val="right"/>
              <w:rPr>
                <w:sz w:val="20"/>
              </w:rPr>
            </w:pPr>
            <w:r>
              <w:rPr>
                <w:spacing w:val="-5"/>
                <w:sz w:val="20"/>
              </w:rPr>
              <w:t>56%</w:t>
            </w:r>
          </w:p>
        </w:tc>
        <w:tc>
          <w:tcPr>
            <w:tcW w:w="1368" w:type="dxa"/>
            <w:tcBorders>
              <w:top w:val="single" w:color="D9D9D9" w:sz="2" w:space="0"/>
              <w:bottom w:val="single" w:color="D9D9D9" w:sz="2" w:space="0"/>
            </w:tcBorders>
          </w:tcPr>
          <w:p w:rsidR="00C31389" w:rsidRDefault="00561FBD" w14:paraId="74E5203D" w14:textId="77777777">
            <w:pPr>
              <w:pStyle w:val="TableParagraph"/>
              <w:spacing w:before="155"/>
              <w:ind w:left="537" w:right="526"/>
              <w:jc w:val="center"/>
              <w:rPr>
                <w:sz w:val="20"/>
              </w:rPr>
            </w:pPr>
            <w:r>
              <w:rPr>
                <w:spacing w:val="-5"/>
                <w:sz w:val="20"/>
              </w:rPr>
              <w:t>0.9</w:t>
            </w:r>
          </w:p>
        </w:tc>
        <w:tc>
          <w:tcPr>
            <w:tcW w:w="1165" w:type="dxa"/>
            <w:tcBorders>
              <w:top w:val="single" w:color="D9D9D9" w:sz="2" w:space="0"/>
              <w:bottom w:val="single" w:color="D9D9D9" w:sz="2" w:space="0"/>
            </w:tcBorders>
          </w:tcPr>
          <w:p w:rsidR="00C31389" w:rsidRDefault="00561FBD" w14:paraId="1512ADD0" w14:textId="77777777">
            <w:pPr>
              <w:pStyle w:val="TableParagraph"/>
              <w:spacing w:before="155"/>
              <w:ind w:left="342" w:right="342"/>
              <w:jc w:val="center"/>
              <w:rPr>
                <w:sz w:val="20"/>
              </w:rPr>
            </w:pPr>
            <w:r>
              <w:rPr>
                <w:spacing w:val="-4"/>
                <w:sz w:val="20"/>
              </w:rPr>
              <w:t>2.7%</w:t>
            </w:r>
          </w:p>
        </w:tc>
      </w:tr>
      <w:tr w:rsidR="00C31389" w14:paraId="0EEBAE75" w14:textId="77777777">
        <w:trPr>
          <w:trHeight w:val="309"/>
        </w:trPr>
        <w:tc>
          <w:tcPr>
            <w:tcW w:w="2155" w:type="dxa"/>
            <w:tcBorders>
              <w:top w:val="single" w:color="D9D9D9" w:sz="2" w:space="0"/>
              <w:bottom w:val="single" w:color="D9D9D9" w:sz="2" w:space="0"/>
            </w:tcBorders>
          </w:tcPr>
          <w:p w:rsidR="00C31389" w:rsidRDefault="00561FBD" w14:paraId="6627A18B" w14:textId="77777777">
            <w:pPr>
              <w:pStyle w:val="TableParagraph"/>
              <w:ind w:left="129"/>
              <w:rPr>
                <w:sz w:val="20"/>
              </w:rPr>
            </w:pPr>
            <w:r>
              <w:rPr>
                <w:sz w:val="20"/>
              </w:rPr>
              <w:t>All</w:t>
            </w:r>
            <w:r>
              <w:rPr>
                <w:spacing w:val="-3"/>
                <w:sz w:val="20"/>
              </w:rPr>
              <w:t xml:space="preserve"> </w:t>
            </w:r>
            <w:r>
              <w:rPr>
                <w:sz w:val="20"/>
              </w:rPr>
              <w:t>Other</w:t>
            </w:r>
            <w:r>
              <w:rPr>
                <w:spacing w:val="-1"/>
                <w:sz w:val="20"/>
              </w:rPr>
              <w:t xml:space="preserve"> </w:t>
            </w:r>
            <w:r>
              <w:rPr>
                <w:spacing w:val="-2"/>
                <w:sz w:val="20"/>
              </w:rPr>
              <w:t>Industrial</w:t>
            </w:r>
          </w:p>
        </w:tc>
        <w:tc>
          <w:tcPr>
            <w:tcW w:w="1122" w:type="dxa"/>
            <w:tcBorders>
              <w:top w:val="single" w:color="D9D9D9" w:sz="2" w:space="0"/>
              <w:bottom w:val="single" w:color="D9D9D9" w:sz="2" w:space="0"/>
            </w:tcBorders>
          </w:tcPr>
          <w:p w:rsidR="00C31389" w:rsidRDefault="00561FBD" w14:paraId="196D402B" w14:textId="77777777">
            <w:pPr>
              <w:pStyle w:val="TableParagraph"/>
              <w:ind w:right="339"/>
              <w:jc w:val="right"/>
              <w:rPr>
                <w:sz w:val="20"/>
              </w:rPr>
            </w:pPr>
            <w:r>
              <w:rPr>
                <w:spacing w:val="-5"/>
                <w:sz w:val="20"/>
              </w:rPr>
              <w:t>33%</w:t>
            </w:r>
          </w:p>
        </w:tc>
        <w:tc>
          <w:tcPr>
            <w:tcW w:w="1047" w:type="dxa"/>
            <w:tcBorders>
              <w:top w:val="single" w:color="D9D9D9" w:sz="2" w:space="0"/>
              <w:bottom w:val="single" w:color="D9D9D9" w:sz="2" w:space="0"/>
            </w:tcBorders>
          </w:tcPr>
          <w:p w:rsidR="00C31389" w:rsidRDefault="00561FBD" w14:paraId="0F436FF7" w14:textId="77777777">
            <w:pPr>
              <w:pStyle w:val="TableParagraph"/>
              <w:ind w:left="253" w:right="232"/>
              <w:jc w:val="center"/>
              <w:rPr>
                <w:sz w:val="20"/>
              </w:rPr>
            </w:pPr>
            <w:r>
              <w:rPr>
                <w:spacing w:val="-5"/>
                <w:sz w:val="20"/>
              </w:rPr>
              <w:t>9%</w:t>
            </w:r>
          </w:p>
        </w:tc>
        <w:tc>
          <w:tcPr>
            <w:tcW w:w="1042" w:type="dxa"/>
            <w:tcBorders>
              <w:top w:val="single" w:color="D9D9D9" w:sz="2" w:space="0"/>
              <w:bottom w:val="single" w:color="D9D9D9" w:sz="2" w:space="0"/>
            </w:tcBorders>
          </w:tcPr>
          <w:p w:rsidR="00C31389" w:rsidRDefault="00561FBD" w14:paraId="292B0F01" w14:textId="77777777">
            <w:pPr>
              <w:pStyle w:val="TableParagraph"/>
              <w:ind w:left="125" w:right="131"/>
              <w:jc w:val="center"/>
              <w:rPr>
                <w:sz w:val="20"/>
              </w:rPr>
            </w:pPr>
            <w:r>
              <w:rPr>
                <w:spacing w:val="-5"/>
                <w:sz w:val="20"/>
              </w:rPr>
              <w:t>6%</w:t>
            </w:r>
          </w:p>
        </w:tc>
        <w:tc>
          <w:tcPr>
            <w:tcW w:w="1563" w:type="dxa"/>
            <w:tcBorders>
              <w:top w:val="single" w:color="D9D9D9" w:sz="2" w:space="0"/>
              <w:bottom w:val="single" w:color="D9D9D9" w:sz="2" w:space="0"/>
            </w:tcBorders>
          </w:tcPr>
          <w:p w:rsidR="00C31389" w:rsidRDefault="00561FBD" w14:paraId="73EB5CA5" w14:textId="77777777">
            <w:pPr>
              <w:pStyle w:val="TableParagraph"/>
              <w:ind w:right="576"/>
              <w:jc w:val="right"/>
              <w:rPr>
                <w:sz w:val="20"/>
              </w:rPr>
            </w:pPr>
            <w:r>
              <w:rPr>
                <w:spacing w:val="-5"/>
                <w:sz w:val="20"/>
              </w:rPr>
              <w:t>48%</w:t>
            </w:r>
          </w:p>
        </w:tc>
        <w:tc>
          <w:tcPr>
            <w:tcW w:w="1368" w:type="dxa"/>
            <w:tcBorders>
              <w:top w:val="single" w:color="D9D9D9" w:sz="2" w:space="0"/>
              <w:bottom w:val="single" w:color="D9D9D9" w:sz="2" w:space="0"/>
            </w:tcBorders>
          </w:tcPr>
          <w:p w:rsidR="00C31389" w:rsidRDefault="00561FBD" w14:paraId="274E2A7E" w14:textId="77777777">
            <w:pPr>
              <w:pStyle w:val="TableParagraph"/>
              <w:ind w:left="537" w:right="526"/>
              <w:jc w:val="center"/>
              <w:rPr>
                <w:sz w:val="20"/>
              </w:rPr>
            </w:pPr>
            <w:r>
              <w:rPr>
                <w:spacing w:val="-5"/>
                <w:sz w:val="20"/>
              </w:rPr>
              <w:t>0.8</w:t>
            </w:r>
          </w:p>
        </w:tc>
        <w:tc>
          <w:tcPr>
            <w:tcW w:w="1165" w:type="dxa"/>
            <w:tcBorders>
              <w:top w:val="single" w:color="D9D9D9" w:sz="2" w:space="0"/>
              <w:bottom w:val="single" w:color="D9D9D9" w:sz="2" w:space="0"/>
            </w:tcBorders>
          </w:tcPr>
          <w:p w:rsidR="00C31389" w:rsidRDefault="00561FBD" w14:paraId="7CC0E3AF" w14:textId="77777777">
            <w:pPr>
              <w:pStyle w:val="TableParagraph"/>
              <w:ind w:left="342" w:right="342"/>
              <w:jc w:val="center"/>
              <w:rPr>
                <w:sz w:val="20"/>
              </w:rPr>
            </w:pPr>
            <w:r>
              <w:rPr>
                <w:spacing w:val="-4"/>
                <w:sz w:val="20"/>
              </w:rPr>
              <w:t>2.3%</w:t>
            </w:r>
          </w:p>
        </w:tc>
      </w:tr>
      <w:tr w:rsidR="00C31389" w14:paraId="17CB1FE9" w14:textId="77777777">
        <w:trPr>
          <w:trHeight w:val="310"/>
        </w:trPr>
        <w:tc>
          <w:tcPr>
            <w:tcW w:w="2155" w:type="dxa"/>
            <w:tcBorders>
              <w:top w:val="single" w:color="D9D9D9" w:sz="2" w:space="0"/>
              <w:bottom w:val="single" w:color="D9D9D9" w:sz="2" w:space="0"/>
            </w:tcBorders>
          </w:tcPr>
          <w:p w:rsidR="00C31389" w:rsidRDefault="00561FBD" w14:paraId="029077FA" w14:textId="77777777">
            <w:pPr>
              <w:pStyle w:val="TableParagraph"/>
              <w:spacing w:before="41"/>
              <w:ind w:left="129"/>
              <w:rPr>
                <w:sz w:val="20"/>
              </w:rPr>
            </w:pPr>
            <w:r>
              <w:rPr>
                <w:sz w:val="20"/>
              </w:rPr>
              <w:t>Industrial</w:t>
            </w:r>
            <w:r>
              <w:rPr>
                <w:spacing w:val="-5"/>
                <w:sz w:val="20"/>
              </w:rPr>
              <w:t xml:space="preserve"> </w:t>
            </w:r>
            <w:r>
              <w:rPr>
                <w:spacing w:val="-2"/>
                <w:sz w:val="20"/>
              </w:rPr>
              <w:t>Machinery</w:t>
            </w:r>
          </w:p>
        </w:tc>
        <w:tc>
          <w:tcPr>
            <w:tcW w:w="1122" w:type="dxa"/>
            <w:tcBorders>
              <w:top w:val="single" w:color="D9D9D9" w:sz="2" w:space="0"/>
              <w:bottom w:val="single" w:color="D9D9D9" w:sz="2" w:space="0"/>
            </w:tcBorders>
          </w:tcPr>
          <w:p w:rsidR="00C31389" w:rsidRDefault="00561FBD" w14:paraId="7B577182" w14:textId="77777777">
            <w:pPr>
              <w:pStyle w:val="TableParagraph"/>
              <w:spacing w:before="41"/>
              <w:ind w:right="339"/>
              <w:jc w:val="right"/>
              <w:rPr>
                <w:sz w:val="20"/>
              </w:rPr>
            </w:pPr>
            <w:r>
              <w:rPr>
                <w:spacing w:val="-5"/>
                <w:sz w:val="20"/>
              </w:rPr>
              <w:t>33%</w:t>
            </w:r>
          </w:p>
        </w:tc>
        <w:tc>
          <w:tcPr>
            <w:tcW w:w="1047" w:type="dxa"/>
            <w:tcBorders>
              <w:top w:val="single" w:color="D9D9D9" w:sz="2" w:space="0"/>
              <w:bottom w:val="single" w:color="D9D9D9" w:sz="2" w:space="0"/>
            </w:tcBorders>
          </w:tcPr>
          <w:p w:rsidR="00C31389" w:rsidRDefault="00561FBD" w14:paraId="64AA7134" w14:textId="77777777">
            <w:pPr>
              <w:pStyle w:val="TableParagraph"/>
              <w:spacing w:before="41"/>
              <w:ind w:left="253" w:right="233"/>
              <w:jc w:val="center"/>
              <w:rPr>
                <w:sz w:val="20"/>
              </w:rPr>
            </w:pPr>
            <w:r>
              <w:rPr>
                <w:spacing w:val="-5"/>
                <w:sz w:val="20"/>
              </w:rPr>
              <w:t>9%</w:t>
            </w:r>
          </w:p>
        </w:tc>
        <w:tc>
          <w:tcPr>
            <w:tcW w:w="1042" w:type="dxa"/>
            <w:tcBorders>
              <w:top w:val="single" w:color="D9D9D9" w:sz="2" w:space="0"/>
              <w:bottom w:val="single" w:color="D9D9D9" w:sz="2" w:space="0"/>
            </w:tcBorders>
          </w:tcPr>
          <w:p w:rsidR="00C31389" w:rsidRDefault="00561FBD" w14:paraId="79C5B4B9" w14:textId="77777777">
            <w:pPr>
              <w:pStyle w:val="TableParagraph"/>
              <w:spacing w:before="41"/>
              <w:ind w:left="125" w:right="131"/>
              <w:jc w:val="center"/>
              <w:rPr>
                <w:sz w:val="20"/>
              </w:rPr>
            </w:pPr>
            <w:r>
              <w:rPr>
                <w:spacing w:val="-5"/>
                <w:sz w:val="20"/>
              </w:rPr>
              <w:t>6%</w:t>
            </w:r>
          </w:p>
        </w:tc>
        <w:tc>
          <w:tcPr>
            <w:tcW w:w="1563" w:type="dxa"/>
            <w:tcBorders>
              <w:top w:val="single" w:color="D9D9D9" w:sz="2" w:space="0"/>
              <w:bottom w:val="single" w:color="D9D9D9" w:sz="2" w:space="0"/>
            </w:tcBorders>
          </w:tcPr>
          <w:p w:rsidR="00C31389" w:rsidRDefault="00561FBD" w14:paraId="30B31F6F" w14:textId="77777777">
            <w:pPr>
              <w:pStyle w:val="TableParagraph"/>
              <w:spacing w:before="41"/>
              <w:ind w:right="577"/>
              <w:jc w:val="right"/>
              <w:rPr>
                <w:sz w:val="20"/>
              </w:rPr>
            </w:pPr>
            <w:r>
              <w:rPr>
                <w:spacing w:val="-5"/>
                <w:sz w:val="20"/>
              </w:rPr>
              <w:t>48%</w:t>
            </w:r>
          </w:p>
        </w:tc>
        <w:tc>
          <w:tcPr>
            <w:tcW w:w="1368" w:type="dxa"/>
            <w:tcBorders>
              <w:top w:val="single" w:color="D9D9D9" w:sz="2" w:space="0"/>
              <w:bottom w:val="single" w:color="D9D9D9" w:sz="2" w:space="0"/>
            </w:tcBorders>
          </w:tcPr>
          <w:p w:rsidR="00C31389" w:rsidRDefault="00561FBD" w14:paraId="62C9B379" w14:textId="77777777">
            <w:pPr>
              <w:pStyle w:val="TableParagraph"/>
              <w:spacing w:before="41"/>
              <w:ind w:left="537" w:right="526"/>
              <w:jc w:val="center"/>
              <w:rPr>
                <w:sz w:val="20"/>
              </w:rPr>
            </w:pPr>
            <w:r>
              <w:rPr>
                <w:spacing w:val="-5"/>
                <w:sz w:val="20"/>
              </w:rPr>
              <w:t>0.8</w:t>
            </w:r>
          </w:p>
        </w:tc>
        <w:tc>
          <w:tcPr>
            <w:tcW w:w="1165" w:type="dxa"/>
            <w:tcBorders>
              <w:top w:val="single" w:color="D9D9D9" w:sz="2" w:space="0"/>
              <w:bottom w:val="single" w:color="D9D9D9" w:sz="2" w:space="0"/>
            </w:tcBorders>
          </w:tcPr>
          <w:p w:rsidR="00C31389" w:rsidRDefault="00561FBD" w14:paraId="6EF7141A" w14:textId="77777777">
            <w:pPr>
              <w:pStyle w:val="TableParagraph"/>
              <w:spacing w:before="41"/>
              <w:ind w:left="342" w:right="342"/>
              <w:jc w:val="center"/>
              <w:rPr>
                <w:sz w:val="20"/>
              </w:rPr>
            </w:pPr>
            <w:r>
              <w:rPr>
                <w:spacing w:val="-4"/>
                <w:sz w:val="20"/>
              </w:rPr>
              <w:t>2.3%</w:t>
            </w:r>
          </w:p>
        </w:tc>
      </w:tr>
      <w:tr w:rsidR="00C31389" w14:paraId="508D0107" w14:textId="77777777">
        <w:trPr>
          <w:trHeight w:val="309"/>
        </w:trPr>
        <w:tc>
          <w:tcPr>
            <w:tcW w:w="2155" w:type="dxa"/>
            <w:tcBorders>
              <w:top w:val="single" w:color="D9D9D9" w:sz="2" w:space="0"/>
              <w:bottom w:val="single" w:color="D9D9D9" w:sz="2" w:space="0"/>
            </w:tcBorders>
          </w:tcPr>
          <w:p w:rsidR="00C31389" w:rsidRDefault="00561FBD" w14:paraId="6693E7DD" w14:textId="77777777">
            <w:pPr>
              <w:pStyle w:val="TableParagraph"/>
              <w:ind w:left="129"/>
              <w:rPr>
                <w:sz w:val="20"/>
              </w:rPr>
            </w:pPr>
            <w:r>
              <w:rPr>
                <w:sz w:val="20"/>
              </w:rPr>
              <w:t>Lumber</w:t>
            </w:r>
            <w:r>
              <w:rPr>
                <w:spacing w:val="-2"/>
                <w:sz w:val="20"/>
              </w:rPr>
              <w:t xml:space="preserve"> </w:t>
            </w:r>
            <w:r>
              <w:rPr>
                <w:sz w:val="20"/>
              </w:rPr>
              <w:t>&amp;</w:t>
            </w:r>
            <w:r>
              <w:rPr>
                <w:spacing w:val="-2"/>
                <w:sz w:val="20"/>
              </w:rPr>
              <w:t xml:space="preserve"> Furniture</w:t>
            </w:r>
          </w:p>
        </w:tc>
        <w:tc>
          <w:tcPr>
            <w:tcW w:w="1122" w:type="dxa"/>
            <w:tcBorders>
              <w:top w:val="single" w:color="D9D9D9" w:sz="2" w:space="0"/>
              <w:bottom w:val="single" w:color="D9D9D9" w:sz="2" w:space="0"/>
            </w:tcBorders>
          </w:tcPr>
          <w:p w:rsidR="00C31389" w:rsidRDefault="00561FBD" w14:paraId="5332E84B" w14:textId="77777777">
            <w:pPr>
              <w:pStyle w:val="TableParagraph"/>
              <w:ind w:right="339"/>
              <w:jc w:val="right"/>
              <w:rPr>
                <w:sz w:val="20"/>
              </w:rPr>
            </w:pPr>
            <w:r>
              <w:rPr>
                <w:spacing w:val="-5"/>
                <w:sz w:val="20"/>
              </w:rPr>
              <w:t>36%</w:t>
            </w:r>
          </w:p>
        </w:tc>
        <w:tc>
          <w:tcPr>
            <w:tcW w:w="1047" w:type="dxa"/>
            <w:tcBorders>
              <w:top w:val="single" w:color="D9D9D9" w:sz="2" w:space="0"/>
              <w:bottom w:val="single" w:color="D9D9D9" w:sz="2" w:space="0"/>
            </w:tcBorders>
          </w:tcPr>
          <w:p w:rsidR="00C31389" w:rsidRDefault="00561FBD" w14:paraId="63066B5F" w14:textId="77777777">
            <w:pPr>
              <w:pStyle w:val="TableParagraph"/>
              <w:ind w:left="253" w:right="232"/>
              <w:jc w:val="center"/>
              <w:rPr>
                <w:sz w:val="20"/>
              </w:rPr>
            </w:pPr>
            <w:r>
              <w:rPr>
                <w:spacing w:val="-5"/>
                <w:sz w:val="20"/>
              </w:rPr>
              <w:t>8%</w:t>
            </w:r>
          </w:p>
        </w:tc>
        <w:tc>
          <w:tcPr>
            <w:tcW w:w="1042" w:type="dxa"/>
            <w:tcBorders>
              <w:top w:val="single" w:color="D9D9D9" w:sz="2" w:space="0"/>
              <w:bottom w:val="single" w:color="D9D9D9" w:sz="2" w:space="0"/>
            </w:tcBorders>
          </w:tcPr>
          <w:p w:rsidR="00C31389" w:rsidRDefault="00561FBD" w14:paraId="08520B75" w14:textId="77777777">
            <w:pPr>
              <w:pStyle w:val="TableParagraph"/>
              <w:ind w:left="125" w:right="131"/>
              <w:jc w:val="center"/>
              <w:rPr>
                <w:sz w:val="20"/>
              </w:rPr>
            </w:pPr>
            <w:r>
              <w:rPr>
                <w:spacing w:val="-5"/>
                <w:sz w:val="20"/>
              </w:rPr>
              <w:t>4%</w:t>
            </w:r>
          </w:p>
        </w:tc>
        <w:tc>
          <w:tcPr>
            <w:tcW w:w="1563" w:type="dxa"/>
            <w:tcBorders>
              <w:top w:val="single" w:color="D9D9D9" w:sz="2" w:space="0"/>
              <w:bottom w:val="single" w:color="D9D9D9" w:sz="2" w:space="0"/>
            </w:tcBorders>
          </w:tcPr>
          <w:p w:rsidR="00C31389" w:rsidRDefault="00561FBD" w14:paraId="4E8E4937" w14:textId="77777777">
            <w:pPr>
              <w:pStyle w:val="TableParagraph"/>
              <w:ind w:right="576"/>
              <w:jc w:val="right"/>
              <w:rPr>
                <w:sz w:val="20"/>
              </w:rPr>
            </w:pPr>
            <w:r>
              <w:rPr>
                <w:spacing w:val="-5"/>
                <w:sz w:val="20"/>
              </w:rPr>
              <w:t>48%</w:t>
            </w:r>
          </w:p>
        </w:tc>
        <w:tc>
          <w:tcPr>
            <w:tcW w:w="1368" w:type="dxa"/>
            <w:tcBorders>
              <w:top w:val="single" w:color="D9D9D9" w:sz="2" w:space="0"/>
              <w:bottom w:val="single" w:color="D9D9D9" w:sz="2" w:space="0"/>
            </w:tcBorders>
          </w:tcPr>
          <w:p w:rsidR="00C31389" w:rsidRDefault="00561FBD" w14:paraId="439BA849" w14:textId="77777777">
            <w:pPr>
              <w:pStyle w:val="TableParagraph"/>
              <w:ind w:left="537" w:right="526"/>
              <w:jc w:val="center"/>
              <w:rPr>
                <w:sz w:val="20"/>
              </w:rPr>
            </w:pPr>
            <w:r>
              <w:rPr>
                <w:spacing w:val="-5"/>
                <w:sz w:val="20"/>
              </w:rPr>
              <w:t>0.7</w:t>
            </w:r>
          </w:p>
        </w:tc>
        <w:tc>
          <w:tcPr>
            <w:tcW w:w="1165" w:type="dxa"/>
            <w:tcBorders>
              <w:top w:val="single" w:color="D9D9D9" w:sz="2" w:space="0"/>
              <w:bottom w:val="single" w:color="D9D9D9" w:sz="2" w:space="0"/>
            </w:tcBorders>
          </w:tcPr>
          <w:p w:rsidR="00C31389" w:rsidRDefault="00561FBD" w14:paraId="4593C22D" w14:textId="77777777">
            <w:pPr>
              <w:pStyle w:val="TableParagraph"/>
              <w:ind w:left="342" w:right="342"/>
              <w:jc w:val="center"/>
              <w:rPr>
                <w:sz w:val="20"/>
              </w:rPr>
            </w:pPr>
            <w:r>
              <w:rPr>
                <w:spacing w:val="-4"/>
                <w:sz w:val="20"/>
              </w:rPr>
              <w:t>2.3%</w:t>
            </w:r>
          </w:p>
        </w:tc>
      </w:tr>
      <w:tr w:rsidR="00C31389" w14:paraId="75B224E8" w14:textId="77777777">
        <w:trPr>
          <w:trHeight w:val="310"/>
        </w:trPr>
        <w:tc>
          <w:tcPr>
            <w:tcW w:w="2155" w:type="dxa"/>
            <w:tcBorders>
              <w:top w:val="single" w:color="D9D9D9" w:sz="2" w:space="0"/>
              <w:bottom w:val="single" w:color="D9D9D9" w:sz="2" w:space="0"/>
            </w:tcBorders>
          </w:tcPr>
          <w:p w:rsidR="00C31389" w:rsidRDefault="00561FBD" w14:paraId="4C6D4AB9" w14:textId="77777777">
            <w:pPr>
              <w:pStyle w:val="TableParagraph"/>
              <w:spacing w:before="41"/>
              <w:ind w:left="129"/>
              <w:rPr>
                <w:sz w:val="20"/>
              </w:rPr>
            </w:pPr>
            <w:r>
              <w:rPr>
                <w:spacing w:val="-2"/>
                <w:sz w:val="20"/>
              </w:rPr>
              <w:t>Electronics</w:t>
            </w:r>
          </w:p>
        </w:tc>
        <w:tc>
          <w:tcPr>
            <w:tcW w:w="1122" w:type="dxa"/>
            <w:tcBorders>
              <w:top w:val="single" w:color="D9D9D9" w:sz="2" w:space="0"/>
              <w:bottom w:val="single" w:color="D9D9D9" w:sz="2" w:space="0"/>
            </w:tcBorders>
          </w:tcPr>
          <w:p w:rsidR="00C31389" w:rsidRDefault="00561FBD" w14:paraId="17D88B9A" w14:textId="77777777">
            <w:pPr>
              <w:pStyle w:val="TableParagraph"/>
              <w:spacing w:before="41"/>
              <w:ind w:right="339"/>
              <w:jc w:val="right"/>
              <w:rPr>
                <w:sz w:val="20"/>
              </w:rPr>
            </w:pPr>
            <w:r>
              <w:rPr>
                <w:spacing w:val="-5"/>
                <w:sz w:val="20"/>
              </w:rPr>
              <w:t>21%</w:t>
            </w:r>
          </w:p>
        </w:tc>
        <w:tc>
          <w:tcPr>
            <w:tcW w:w="1047" w:type="dxa"/>
            <w:tcBorders>
              <w:top w:val="single" w:color="D9D9D9" w:sz="2" w:space="0"/>
              <w:bottom w:val="single" w:color="D9D9D9" w:sz="2" w:space="0"/>
            </w:tcBorders>
          </w:tcPr>
          <w:p w:rsidR="00C31389" w:rsidRDefault="00561FBD" w14:paraId="6970581A" w14:textId="77777777">
            <w:pPr>
              <w:pStyle w:val="TableParagraph"/>
              <w:spacing w:before="41"/>
              <w:ind w:left="253" w:right="234"/>
              <w:jc w:val="center"/>
              <w:rPr>
                <w:sz w:val="20"/>
              </w:rPr>
            </w:pPr>
            <w:r>
              <w:rPr>
                <w:spacing w:val="-5"/>
                <w:sz w:val="20"/>
              </w:rPr>
              <w:t>12%</w:t>
            </w:r>
          </w:p>
        </w:tc>
        <w:tc>
          <w:tcPr>
            <w:tcW w:w="1042" w:type="dxa"/>
            <w:tcBorders>
              <w:top w:val="single" w:color="D9D9D9" w:sz="2" w:space="0"/>
              <w:bottom w:val="single" w:color="D9D9D9" w:sz="2" w:space="0"/>
            </w:tcBorders>
          </w:tcPr>
          <w:p w:rsidR="00C31389" w:rsidRDefault="00561FBD" w14:paraId="15F0D063" w14:textId="77777777">
            <w:pPr>
              <w:pStyle w:val="TableParagraph"/>
              <w:spacing w:before="41"/>
              <w:ind w:left="125" w:right="133"/>
              <w:jc w:val="center"/>
              <w:rPr>
                <w:sz w:val="20"/>
              </w:rPr>
            </w:pPr>
            <w:r>
              <w:rPr>
                <w:spacing w:val="-5"/>
                <w:sz w:val="20"/>
              </w:rPr>
              <w:t>12%</w:t>
            </w:r>
          </w:p>
        </w:tc>
        <w:tc>
          <w:tcPr>
            <w:tcW w:w="1563" w:type="dxa"/>
            <w:tcBorders>
              <w:top w:val="single" w:color="D9D9D9" w:sz="2" w:space="0"/>
              <w:bottom w:val="single" w:color="D9D9D9" w:sz="2" w:space="0"/>
            </w:tcBorders>
          </w:tcPr>
          <w:p w:rsidR="00C31389" w:rsidRDefault="00561FBD" w14:paraId="527731DE" w14:textId="77777777">
            <w:pPr>
              <w:pStyle w:val="TableParagraph"/>
              <w:spacing w:before="41"/>
              <w:ind w:right="577"/>
              <w:jc w:val="right"/>
              <w:rPr>
                <w:sz w:val="20"/>
              </w:rPr>
            </w:pPr>
            <w:r>
              <w:rPr>
                <w:spacing w:val="-5"/>
                <w:sz w:val="20"/>
              </w:rPr>
              <w:t>45%</w:t>
            </w:r>
          </w:p>
        </w:tc>
        <w:tc>
          <w:tcPr>
            <w:tcW w:w="1368" w:type="dxa"/>
            <w:tcBorders>
              <w:top w:val="single" w:color="D9D9D9" w:sz="2" w:space="0"/>
              <w:bottom w:val="single" w:color="D9D9D9" w:sz="2" w:space="0"/>
            </w:tcBorders>
          </w:tcPr>
          <w:p w:rsidR="00C31389" w:rsidRDefault="00561FBD" w14:paraId="41C0EB90" w14:textId="77777777">
            <w:pPr>
              <w:pStyle w:val="TableParagraph"/>
              <w:spacing w:before="41"/>
              <w:ind w:left="537" w:right="526"/>
              <w:jc w:val="center"/>
              <w:rPr>
                <w:sz w:val="20"/>
              </w:rPr>
            </w:pPr>
            <w:r>
              <w:rPr>
                <w:spacing w:val="-5"/>
                <w:sz w:val="20"/>
              </w:rPr>
              <w:t>0.7</w:t>
            </w:r>
          </w:p>
        </w:tc>
        <w:tc>
          <w:tcPr>
            <w:tcW w:w="1165" w:type="dxa"/>
            <w:tcBorders>
              <w:top w:val="single" w:color="D9D9D9" w:sz="2" w:space="0"/>
              <w:bottom w:val="single" w:color="D9D9D9" w:sz="2" w:space="0"/>
            </w:tcBorders>
          </w:tcPr>
          <w:p w:rsidR="00C31389" w:rsidRDefault="00561FBD" w14:paraId="2119CBF4" w14:textId="77777777">
            <w:pPr>
              <w:pStyle w:val="TableParagraph"/>
              <w:spacing w:before="41"/>
              <w:ind w:left="342" w:right="342"/>
              <w:jc w:val="center"/>
              <w:rPr>
                <w:sz w:val="20"/>
              </w:rPr>
            </w:pPr>
            <w:r>
              <w:rPr>
                <w:spacing w:val="-4"/>
                <w:sz w:val="20"/>
              </w:rPr>
              <w:t>2.2%</w:t>
            </w:r>
          </w:p>
        </w:tc>
      </w:tr>
      <w:tr w:rsidR="00C31389" w14:paraId="4717F178" w14:textId="77777777">
        <w:trPr>
          <w:trHeight w:val="310"/>
        </w:trPr>
        <w:tc>
          <w:tcPr>
            <w:tcW w:w="2155" w:type="dxa"/>
            <w:tcBorders>
              <w:top w:val="single" w:color="D9D9D9" w:sz="2" w:space="0"/>
              <w:bottom w:val="single" w:color="000000" w:sz="8" w:space="0"/>
            </w:tcBorders>
          </w:tcPr>
          <w:p w:rsidR="00C31389" w:rsidRDefault="00561FBD" w14:paraId="4E3ECD3E" w14:textId="77777777">
            <w:pPr>
              <w:pStyle w:val="TableParagraph"/>
              <w:ind w:left="129"/>
              <w:rPr>
                <w:sz w:val="20"/>
              </w:rPr>
            </w:pPr>
            <w:r>
              <w:rPr>
                <w:spacing w:val="-2"/>
                <w:sz w:val="20"/>
              </w:rPr>
              <w:t>Textiles</w:t>
            </w:r>
          </w:p>
        </w:tc>
        <w:tc>
          <w:tcPr>
            <w:tcW w:w="1122" w:type="dxa"/>
            <w:tcBorders>
              <w:top w:val="single" w:color="D9D9D9" w:sz="2" w:space="0"/>
              <w:bottom w:val="single" w:color="000000" w:sz="8" w:space="0"/>
            </w:tcBorders>
          </w:tcPr>
          <w:p w:rsidR="00C31389" w:rsidRDefault="00561FBD" w14:paraId="5A54B231" w14:textId="77777777">
            <w:pPr>
              <w:pStyle w:val="TableParagraph"/>
              <w:ind w:right="339"/>
              <w:jc w:val="right"/>
              <w:rPr>
                <w:sz w:val="20"/>
              </w:rPr>
            </w:pPr>
            <w:r>
              <w:rPr>
                <w:spacing w:val="-5"/>
                <w:sz w:val="20"/>
              </w:rPr>
              <w:t>31%</w:t>
            </w:r>
          </w:p>
        </w:tc>
        <w:tc>
          <w:tcPr>
            <w:tcW w:w="1047" w:type="dxa"/>
            <w:tcBorders>
              <w:top w:val="single" w:color="D9D9D9" w:sz="2" w:space="0"/>
              <w:bottom w:val="single" w:color="000000" w:sz="8" w:space="0"/>
            </w:tcBorders>
          </w:tcPr>
          <w:p w:rsidR="00C31389" w:rsidRDefault="00561FBD" w14:paraId="7E44E680" w14:textId="77777777">
            <w:pPr>
              <w:pStyle w:val="TableParagraph"/>
              <w:ind w:left="253" w:right="232"/>
              <w:jc w:val="center"/>
              <w:rPr>
                <w:sz w:val="20"/>
              </w:rPr>
            </w:pPr>
            <w:r>
              <w:rPr>
                <w:spacing w:val="-5"/>
                <w:sz w:val="20"/>
              </w:rPr>
              <w:t>5%</w:t>
            </w:r>
          </w:p>
        </w:tc>
        <w:tc>
          <w:tcPr>
            <w:tcW w:w="1042" w:type="dxa"/>
            <w:tcBorders>
              <w:top w:val="single" w:color="D9D9D9" w:sz="2" w:space="0"/>
              <w:bottom w:val="single" w:color="000000" w:sz="8" w:space="0"/>
            </w:tcBorders>
          </w:tcPr>
          <w:p w:rsidR="00C31389" w:rsidRDefault="00561FBD" w14:paraId="344BC180" w14:textId="77777777">
            <w:pPr>
              <w:pStyle w:val="TableParagraph"/>
              <w:ind w:left="125" w:right="131"/>
              <w:jc w:val="center"/>
              <w:rPr>
                <w:sz w:val="20"/>
              </w:rPr>
            </w:pPr>
            <w:r>
              <w:rPr>
                <w:spacing w:val="-5"/>
                <w:sz w:val="20"/>
              </w:rPr>
              <w:t>3%</w:t>
            </w:r>
          </w:p>
        </w:tc>
        <w:tc>
          <w:tcPr>
            <w:tcW w:w="1563" w:type="dxa"/>
            <w:tcBorders>
              <w:top w:val="single" w:color="D9D9D9" w:sz="2" w:space="0"/>
              <w:bottom w:val="single" w:color="000000" w:sz="8" w:space="0"/>
            </w:tcBorders>
          </w:tcPr>
          <w:p w:rsidR="00C31389" w:rsidRDefault="00561FBD" w14:paraId="594B0EDC" w14:textId="77777777">
            <w:pPr>
              <w:pStyle w:val="TableParagraph"/>
              <w:ind w:right="576"/>
              <w:jc w:val="right"/>
              <w:rPr>
                <w:sz w:val="20"/>
              </w:rPr>
            </w:pPr>
            <w:r>
              <w:rPr>
                <w:spacing w:val="-5"/>
                <w:sz w:val="20"/>
              </w:rPr>
              <w:t>39%</w:t>
            </w:r>
          </w:p>
        </w:tc>
        <w:tc>
          <w:tcPr>
            <w:tcW w:w="1368" w:type="dxa"/>
            <w:tcBorders>
              <w:top w:val="single" w:color="D9D9D9" w:sz="2" w:space="0"/>
              <w:bottom w:val="single" w:color="000000" w:sz="8" w:space="0"/>
            </w:tcBorders>
          </w:tcPr>
          <w:p w:rsidR="00C31389" w:rsidRDefault="00561FBD" w14:paraId="2F85F314" w14:textId="77777777">
            <w:pPr>
              <w:pStyle w:val="TableParagraph"/>
              <w:ind w:left="537" w:right="526"/>
              <w:jc w:val="center"/>
              <w:rPr>
                <w:sz w:val="20"/>
              </w:rPr>
            </w:pPr>
            <w:r>
              <w:rPr>
                <w:spacing w:val="-5"/>
                <w:sz w:val="20"/>
              </w:rPr>
              <w:t>0.6</w:t>
            </w:r>
          </w:p>
        </w:tc>
        <w:tc>
          <w:tcPr>
            <w:tcW w:w="1165" w:type="dxa"/>
            <w:tcBorders>
              <w:top w:val="single" w:color="D9D9D9" w:sz="2" w:space="0"/>
              <w:bottom w:val="single" w:color="000000" w:sz="8" w:space="0"/>
            </w:tcBorders>
          </w:tcPr>
          <w:p w:rsidR="00C31389" w:rsidRDefault="00561FBD" w14:paraId="40CB01FC" w14:textId="77777777">
            <w:pPr>
              <w:pStyle w:val="TableParagraph"/>
              <w:ind w:left="342" w:right="342"/>
              <w:jc w:val="center"/>
              <w:rPr>
                <w:sz w:val="20"/>
              </w:rPr>
            </w:pPr>
            <w:r>
              <w:rPr>
                <w:spacing w:val="-4"/>
                <w:sz w:val="20"/>
              </w:rPr>
              <w:t>1.9%</w:t>
            </w:r>
          </w:p>
        </w:tc>
      </w:tr>
    </w:tbl>
    <w:p w:rsidR="00C31389" w:rsidRDefault="00561FBD" w14:paraId="7C976906" w14:textId="77777777">
      <w:pPr>
        <w:spacing w:before="67"/>
        <w:ind w:left="480"/>
        <w:rPr>
          <w:i/>
          <w:sz w:val="18"/>
        </w:rPr>
      </w:pPr>
      <w:r>
        <w:rPr>
          <w:i/>
          <w:sz w:val="18"/>
        </w:rPr>
        <w:t>Source:</w:t>
      </w:r>
      <w:r>
        <w:rPr>
          <w:i/>
          <w:spacing w:val="-7"/>
          <w:sz w:val="18"/>
        </w:rPr>
        <w:t xml:space="preserve"> </w:t>
      </w:r>
      <w:r>
        <w:rPr>
          <w:i/>
          <w:sz w:val="18"/>
        </w:rPr>
        <w:t>Guidehouse</w:t>
      </w:r>
      <w:r>
        <w:rPr>
          <w:i/>
          <w:spacing w:val="-4"/>
          <w:sz w:val="18"/>
        </w:rPr>
        <w:t xml:space="preserve"> team</w:t>
      </w:r>
    </w:p>
    <w:p w:rsidR="00C31389" w:rsidRDefault="00C31389" w14:paraId="57A5029D" w14:textId="77777777">
      <w:pPr>
        <w:pStyle w:val="BodyText"/>
        <w:spacing w:before="10"/>
        <w:rPr>
          <w:i/>
          <w:sz w:val="20"/>
        </w:rPr>
      </w:pPr>
    </w:p>
    <w:p w:rsidR="00C31389" w:rsidRDefault="00561FBD" w14:paraId="70622F8D" w14:textId="77777777">
      <w:pPr>
        <w:pStyle w:val="Heading7"/>
        <w:ind w:left="398" w:right="339"/>
        <w:jc w:val="center"/>
      </w:pPr>
      <w:bookmarkStart w:name="_bookmark446" w:id="580"/>
      <w:bookmarkEnd w:id="580"/>
      <w:r>
        <w:t>Table</w:t>
      </w:r>
      <w:r>
        <w:rPr>
          <w:spacing w:val="-7"/>
        </w:rPr>
        <w:t xml:space="preserve"> </w:t>
      </w:r>
      <w:r>
        <w:t>D-20.</w:t>
      </w:r>
      <w:r>
        <w:rPr>
          <w:spacing w:val="-8"/>
        </w:rPr>
        <w:t xml:space="preserve"> </w:t>
      </w:r>
      <w:r>
        <w:t>Industrial</w:t>
      </w:r>
      <w:r>
        <w:rPr>
          <w:spacing w:val="-7"/>
        </w:rPr>
        <w:t xml:space="preserve"> </w:t>
      </w:r>
      <w:r>
        <w:t>SEM</w:t>
      </w:r>
      <w:r>
        <w:rPr>
          <w:spacing w:val="-7"/>
        </w:rPr>
        <w:t xml:space="preserve"> </w:t>
      </w:r>
      <w:r>
        <w:t>Natural</w:t>
      </w:r>
      <w:r>
        <w:rPr>
          <w:spacing w:val="-7"/>
        </w:rPr>
        <w:t xml:space="preserve"> </w:t>
      </w:r>
      <w:r>
        <w:t>Gas</w:t>
      </w:r>
      <w:r>
        <w:rPr>
          <w:spacing w:val="-7"/>
        </w:rPr>
        <w:t xml:space="preserve"> </w:t>
      </w:r>
      <w:r>
        <w:t>UES</w:t>
      </w:r>
      <w:r>
        <w:rPr>
          <w:spacing w:val="-7"/>
        </w:rPr>
        <w:t xml:space="preserve"> </w:t>
      </w:r>
      <w:r>
        <w:rPr>
          <w:spacing w:val="-2"/>
        </w:rPr>
        <w:t>Multipliers</w:t>
      </w:r>
    </w:p>
    <w:p w:rsidR="00C31389" w:rsidRDefault="00C31389" w14:paraId="01C7315B" w14:textId="77777777">
      <w:pPr>
        <w:pStyle w:val="BodyText"/>
        <w:spacing w:before="6"/>
        <w:rPr>
          <w:b/>
          <w:sz w:val="9"/>
        </w:rPr>
      </w:pPr>
    </w:p>
    <w:tbl>
      <w:tblPr>
        <w:tblW w:w="0" w:type="auto"/>
        <w:tblInd w:w="260" w:type="dxa"/>
        <w:tblLayout w:type="fixed"/>
        <w:tblCellMar>
          <w:left w:w="0" w:type="dxa"/>
          <w:right w:w="0" w:type="dxa"/>
        </w:tblCellMar>
        <w:tblLook w:val="01E0" w:firstRow="1" w:lastRow="1" w:firstColumn="1" w:lastColumn="1" w:noHBand="0" w:noVBand="0"/>
      </w:tblPr>
      <w:tblGrid>
        <w:gridCol w:w="2280"/>
        <w:gridCol w:w="1290"/>
        <w:gridCol w:w="1248"/>
        <w:gridCol w:w="1655"/>
        <w:gridCol w:w="1685"/>
        <w:gridCol w:w="1301"/>
      </w:tblGrid>
      <w:tr w:rsidR="00C31389" w14:paraId="30769143" w14:textId="77777777">
        <w:trPr>
          <w:trHeight w:val="273"/>
        </w:trPr>
        <w:tc>
          <w:tcPr>
            <w:tcW w:w="6473" w:type="dxa"/>
            <w:gridSpan w:val="4"/>
            <w:shd w:val="clear" w:color="auto" w:fill="92D400"/>
          </w:tcPr>
          <w:p w:rsidR="00C31389" w:rsidRDefault="00561FBD" w14:paraId="51BD30B9" w14:textId="77777777">
            <w:pPr>
              <w:pStyle w:val="TableParagraph"/>
              <w:spacing w:line="213" w:lineRule="exact"/>
              <w:ind w:left="3393"/>
              <w:rPr>
                <w:b/>
                <w:sz w:val="20"/>
              </w:rPr>
            </w:pPr>
            <w:r>
              <w:rPr>
                <w:b/>
                <w:sz w:val="20"/>
              </w:rPr>
              <w:t>SEM</w:t>
            </w:r>
            <w:r>
              <w:rPr>
                <w:b/>
                <w:spacing w:val="-5"/>
                <w:sz w:val="20"/>
              </w:rPr>
              <w:t xml:space="preserve"> </w:t>
            </w:r>
            <w:r>
              <w:rPr>
                <w:b/>
                <w:sz w:val="20"/>
              </w:rPr>
              <w:t>Target</w:t>
            </w:r>
            <w:r>
              <w:rPr>
                <w:b/>
                <w:spacing w:val="-3"/>
                <w:sz w:val="20"/>
              </w:rPr>
              <w:t xml:space="preserve"> </w:t>
            </w:r>
            <w:r>
              <w:rPr>
                <w:b/>
                <w:sz w:val="20"/>
              </w:rPr>
              <w:t>End</w:t>
            </w:r>
            <w:r>
              <w:rPr>
                <w:b/>
                <w:spacing w:val="-2"/>
                <w:sz w:val="20"/>
              </w:rPr>
              <w:t xml:space="preserve"> </w:t>
            </w:r>
            <w:r>
              <w:rPr>
                <w:b/>
                <w:spacing w:val="-4"/>
                <w:sz w:val="20"/>
              </w:rPr>
              <w:t>Uses</w:t>
            </w:r>
          </w:p>
        </w:tc>
        <w:tc>
          <w:tcPr>
            <w:tcW w:w="1685" w:type="dxa"/>
            <w:vMerge w:val="restart"/>
            <w:shd w:val="clear" w:color="auto" w:fill="92D400"/>
          </w:tcPr>
          <w:p w:rsidR="00C31389" w:rsidRDefault="00561FBD" w14:paraId="6202F9AE" w14:textId="77777777">
            <w:pPr>
              <w:pStyle w:val="TableParagraph"/>
              <w:ind w:left="176" w:right="172"/>
              <w:jc w:val="center"/>
              <w:rPr>
                <w:b/>
                <w:sz w:val="20"/>
              </w:rPr>
            </w:pPr>
            <w:r>
              <w:rPr>
                <w:b/>
                <w:sz w:val="20"/>
              </w:rPr>
              <w:t>SEM</w:t>
            </w:r>
            <w:r>
              <w:rPr>
                <w:b/>
                <w:spacing w:val="-14"/>
                <w:sz w:val="20"/>
              </w:rPr>
              <w:t xml:space="preserve"> </w:t>
            </w:r>
            <w:r>
              <w:rPr>
                <w:b/>
                <w:sz w:val="20"/>
              </w:rPr>
              <w:t xml:space="preserve">Segment </w:t>
            </w:r>
            <w:r>
              <w:rPr>
                <w:b/>
                <w:spacing w:val="-2"/>
                <w:sz w:val="20"/>
              </w:rPr>
              <w:t>Savings Adjustment Factor</w:t>
            </w:r>
          </w:p>
        </w:tc>
        <w:tc>
          <w:tcPr>
            <w:tcW w:w="1301" w:type="dxa"/>
            <w:shd w:val="clear" w:color="auto" w:fill="92D400"/>
          </w:tcPr>
          <w:p w:rsidR="00C31389" w:rsidRDefault="00C31389" w14:paraId="27317C34" w14:textId="77777777">
            <w:pPr>
              <w:pStyle w:val="TableParagraph"/>
              <w:spacing w:before="0"/>
              <w:rPr>
                <w:rFonts w:ascii="Times New Roman"/>
                <w:sz w:val="20"/>
              </w:rPr>
            </w:pPr>
          </w:p>
        </w:tc>
      </w:tr>
      <w:tr w:rsidR="00C31389" w14:paraId="2B67AEF1" w14:textId="77777777">
        <w:trPr>
          <w:trHeight w:val="736"/>
        </w:trPr>
        <w:tc>
          <w:tcPr>
            <w:tcW w:w="2280" w:type="dxa"/>
            <w:shd w:val="clear" w:color="auto" w:fill="92D400"/>
          </w:tcPr>
          <w:p w:rsidR="00C31389" w:rsidRDefault="00561FBD" w14:paraId="4FAF7DEC" w14:textId="77777777">
            <w:pPr>
              <w:pStyle w:val="TableParagraph"/>
              <w:spacing w:before="112"/>
              <w:ind w:left="175"/>
              <w:rPr>
                <w:b/>
                <w:sz w:val="20"/>
              </w:rPr>
            </w:pPr>
            <w:r>
              <w:rPr>
                <w:b/>
                <w:spacing w:val="-2"/>
                <w:sz w:val="20"/>
              </w:rPr>
              <w:t>Segment</w:t>
            </w:r>
          </w:p>
        </w:tc>
        <w:tc>
          <w:tcPr>
            <w:tcW w:w="1290" w:type="dxa"/>
            <w:shd w:val="clear" w:color="auto" w:fill="92D400"/>
          </w:tcPr>
          <w:p w:rsidR="00C31389" w:rsidRDefault="00561FBD" w14:paraId="1A7EA49F" w14:textId="77777777">
            <w:pPr>
              <w:pStyle w:val="TableParagraph"/>
              <w:spacing w:before="156"/>
              <w:ind w:left="352" w:right="226" w:hanging="95"/>
              <w:rPr>
                <w:b/>
                <w:sz w:val="20"/>
              </w:rPr>
            </w:pPr>
            <w:r>
              <w:rPr>
                <w:b/>
                <w:spacing w:val="-2"/>
                <w:sz w:val="20"/>
              </w:rPr>
              <w:t>Machine Drives</w:t>
            </w:r>
          </w:p>
        </w:tc>
        <w:tc>
          <w:tcPr>
            <w:tcW w:w="1248" w:type="dxa"/>
            <w:shd w:val="clear" w:color="auto" w:fill="92D400"/>
          </w:tcPr>
          <w:p w:rsidR="00C31389" w:rsidRDefault="00561FBD" w14:paraId="077E3218" w14:textId="77777777">
            <w:pPr>
              <w:pStyle w:val="TableParagraph"/>
              <w:spacing w:before="156"/>
              <w:ind w:left="405" w:right="232" w:hanging="174"/>
              <w:rPr>
                <w:b/>
                <w:sz w:val="20"/>
              </w:rPr>
            </w:pPr>
            <w:r>
              <w:rPr>
                <w:b/>
                <w:spacing w:val="-2"/>
                <w:sz w:val="20"/>
              </w:rPr>
              <w:t xml:space="preserve">Process </w:t>
            </w:r>
            <w:r>
              <w:rPr>
                <w:b/>
                <w:spacing w:val="-4"/>
                <w:sz w:val="20"/>
              </w:rPr>
              <w:t>Heat</w:t>
            </w:r>
          </w:p>
        </w:tc>
        <w:tc>
          <w:tcPr>
            <w:tcW w:w="1655" w:type="dxa"/>
            <w:shd w:val="clear" w:color="auto" w:fill="92D400"/>
          </w:tcPr>
          <w:p w:rsidR="00C31389" w:rsidRDefault="00561FBD" w14:paraId="0F547D64" w14:textId="77777777">
            <w:pPr>
              <w:pStyle w:val="TableParagraph"/>
              <w:spacing w:before="156"/>
              <w:ind w:left="238" w:firstLine="231"/>
              <w:rPr>
                <w:b/>
                <w:sz w:val="20"/>
              </w:rPr>
            </w:pPr>
            <w:r>
              <w:rPr>
                <w:b/>
                <w:spacing w:val="-2"/>
                <w:sz w:val="20"/>
              </w:rPr>
              <w:t>Process Refrigeration</w:t>
            </w:r>
          </w:p>
        </w:tc>
        <w:tc>
          <w:tcPr>
            <w:tcW w:w="1685" w:type="dxa"/>
            <w:vMerge/>
            <w:tcBorders>
              <w:top w:val="nil"/>
            </w:tcBorders>
            <w:shd w:val="clear" w:color="auto" w:fill="92D400"/>
          </w:tcPr>
          <w:p w:rsidR="00C31389" w:rsidRDefault="00C31389" w14:paraId="375B216C" w14:textId="77777777">
            <w:pPr>
              <w:rPr>
                <w:sz w:val="2"/>
                <w:szCs w:val="2"/>
              </w:rPr>
            </w:pPr>
          </w:p>
        </w:tc>
        <w:tc>
          <w:tcPr>
            <w:tcW w:w="1301" w:type="dxa"/>
            <w:shd w:val="clear" w:color="auto" w:fill="92D400"/>
          </w:tcPr>
          <w:p w:rsidR="00C31389" w:rsidRDefault="00561FBD" w14:paraId="3E1DF9A3" w14:textId="77777777">
            <w:pPr>
              <w:pStyle w:val="TableParagraph"/>
              <w:spacing w:before="0" w:line="227" w:lineRule="exact"/>
              <w:ind w:left="182"/>
              <w:rPr>
                <w:b/>
                <w:sz w:val="20"/>
              </w:rPr>
            </w:pPr>
            <w:r>
              <w:rPr>
                <w:b/>
                <w:sz w:val="20"/>
              </w:rPr>
              <w:t>SEM</w:t>
            </w:r>
            <w:r>
              <w:rPr>
                <w:b/>
                <w:spacing w:val="-5"/>
                <w:sz w:val="20"/>
              </w:rPr>
              <w:t xml:space="preserve"> UES</w:t>
            </w:r>
          </w:p>
          <w:p w:rsidR="00C31389" w:rsidRDefault="00561FBD" w14:paraId="1EFEAE0B" w14:textId="77777777">
            <w:pPr>
              <w:pStyle w:val="TableParagraph"/>
              <w:spacing w:before="0"/>
              <w:ind w:left="186"/>
              <w:rPr>
                <w:b/>
                <w:sz w:val="20"/>
              </w:rPr>
            </w:pPr>
            <w:r>
              <w:rPr>
                <w:b/>
                <w:spacing w:val="-2"/>
                <w:sz w:val="20"/>
              </w:rPr>
              <w:t>Multiplier</w:t>
            </w:r>
          </w:p>
        </w:tc>
      </w:tr>
      <w:tr w:rsidR="00C31389" w14:paraId="103366EE" w14:textId="77777777">
        <w:trPr>
          <w:trHeight w:val="309"/>
        </w:trPr>
        <w:tc>
          <w:tcPr>
            <w:tcW w:w="2280" w:type="dxa"/>
            <w:tcBorders>
              <w:bottom w:val="single" w:color="D9D9D9" w:sz="2" w:space="0"/>
            </w:tcBorders>
          </w:tcPr>
          <w:p w:rsidR="00C31389" w:rsidRDefault="00561FBD" w14:paraId="43AF3050" w14:textId="77777777">
            <w:pPr>
              <w:pStyle w:val="TableParagraph"/>
              <w:ind w:left="175"/>
              <w:rPr>
                <w:sz w:val="20"/>
              </w:rPr>
            </w:pPr>
            <w:r>
              <w:rPr>
                <w:spacing w:val="-2"/>
                <w:sz w:val="20"/>
              </w:rPr>
              <w:t>Petroleum</w:t>
            </w:r>
          </w:p>
        </w:tc>
        <w:tc>
          <w:tcPr>
            <w:tcW w:w="1290" w:type="dxa"/>
            <w:tcBorders>
              <w:bottom w:val="single" w:color="D9D9D9" w:sz="2" w:space="0"/>
            </w:tcBorders>
          </w:tcPr>
          <w:p w:rsidR="00C31389" w:rsidRDefault="00561FBD" w14:paraId="32DD41F5" w14:textId="77777777">
            <w:pPr>
              <w:pStyle w:val="TableParagraph"/>
              <w:ind w:right="427"/>
              <w:jc w:val="right"/>
              <w:rPr>
                <w:sz w:val="20"/>
              </w:rPr>
            </w:pPr>
            <w:r>
              <w:rPr>
                <w:spacing w:val="-5"/>
                <w:sz w:val="20"/>
              </w:rPr>
              <w:t>14%</w:t>
            </w:r>
          </w:p>
        </w:tc>
        <w:tc>
          <w:tcPr>
            <w:tcW w:w="1248" w:type="dxa"/>
            <w:tcBorders>
              <w:bottom w:val="single" w:color="D9D9D9" w:sz="2" w:space="0"/>
            </w:tcBorders>
          </w:tcPr>
          <w:p w:rsidR="00C31389" w:rsidRDefault="00561FBD" w14:paraId="6D38261F" w14:textId="77777777">
            <w:pPr>
              <w:pStyle w:val="TableParagraph"/>
              <w:ind w:left="358" w:right="359"/>
              <w:jc w:val="center"/>
              <w:rPr>
                <w:sz w:val="20"/>
              </w:rPr>
            </w:pPr>
            <w:r>
              <w:rPr>
                <w:spacing w:val="-5"/>
                <w:sz w:val="20"/>
              </w:rPr>
              <w:t>59%</w:t>
            </w:r>
          </w:p>
        </w:tc>
        <w:tc>
          <w:tcPr>
            <w:tcW w:w="1655" w:type="dxa"/>
            <w:tcBorders>
              <w:bottom w:val="single" w:color="D9D9D9" w:sz="2" w:space="0"/>
            </w:tcBorders>
          </w:tcPr>
          <w:p w:rsidR="00C31389" w:rsidRDefault="00561FBD" w14:paraId="1E1B7677" w14:textId="77777777">
            <w:pPr>
              <w:pStyle w:val="TableParagraph"/>
              <w:ind w:left="659"/>
              <w:rPr>
                <w:sz w:val="20"/>
              </w:rPr>
            </w:pPr>
            <w:r>
              <w:rPr>
                <w:spacing w:val="-5"/>
                <w:sz w:val="20"/>
              </w:rPr>
              <w:t>26%</w:t>
            </w:r>
          </w:p>
        </w:tc>
        <w:tc>
          <w:tcPr>
            <w:tcW w:w="1685" w:type="dxa"/>
            <w:tcBorders>
              <w:bottom w:val="single" w:color="D9D9D9" w:sz="2" w:space="0"/>
            </w:tcBorders>
          </w:tcPr>
          <w:p w:rsidR="00C31389" w:rsidRDefault="00561FBD" w14:paraId="1E9C68CE" w14:textId="77777777">
            <w:pPr>
              <w:pStyle w:val="TableParagraph"/>
              <w:ind w:left="173" w:right="172"/>
              <w:jc w:val="center"/>
              <w:rPr>
                <w:sz w:val="20"/>
              </w:rPr>
            </w:pPr>
            <w:r>
              <w:rPr>
                <w:spacing w:val="-5"/>
                <w:sz w:val="20"/>
              </w:rPr>
              <w:t>1.3</w:t>
            </w:r>
          </w:p>
        </w:tc>
        <w:tc>
          <w:tcPr>
            <w:tcW w:w="1301" w:type="dxa"/>
            <w:tcBorders>
              <w:bottom w:val="single" w:color="D9D9D9" w:sz="2" w:space="0"/>
            </w:tcBorders>
          </w:tcPr>
          <w:p w:rsidR="00C31389" w:rsidRDefault="00561FBD" w14:paraId="716D7BCD" w14:textId="77777777">
            <w:pPr>
              <w:pStyle w:val="TableParagraph"/>
              <w:ind w:left="279" w:right="314"/>
              <w:jc w:val="center"/>
              <w:rPr>
                <w:sz w:val="20"/>
              </w:rPr>
            </w:pPr>
            <w:r>
              <w:rPr>
                <w:spacing w:val="-2"/>
                <w:sz w:val="20"/>
              </w:rPr>
              <w:t>3.861%</w:t>
            </w:r>
          </w:p>
        </w:tc>
      </w:tr>
      <w:tr w:rsidR="00C31389" w14:paraId="266A60BA" w14:textId="77777777">
        <w:trPr>
          <w:trHeight w:val="310"/>
        </w:trPr>
        <w:tc>
          <w:tcPr>
            <w:tcW w:w="2280" w:type="dxa"/>
            <w:tcBorders>
              <w:top w:val="single" w:color="D9D9D9" w:sz="2" w:space="0"/>
              <w:bottom w:val="single" w:color="D9D9D9" w:sz="2" w:space="0"/>
            </w:tcBorders>
          </w:tcPr>
          <w:p w:rsidR="00C31389" w:rsidRDefault="00561FBD" w14:paraId="1F006AE4" w14:textId="77777777">
            <w:pPr>
              <w:pStyle w:val="TableParagraph"/>
              <w:ind w:left="175"/>
              <w:rPr>
                <w:sz w:val="20"/>
              </w:rPr>
            </w:pPr>
            <w:r>
              <w:rPr>
                <w:spacing w:val="-2"/>
                <w:sz w:val="20"/>
              </w:rPr>
              <w:t>Stone-Glass-</w:t>
            </w:r>
            <w:r>
              <w:rPr>
                <w:spacing w:val="-4"/>
                <w:sz w:val="20"/>
              </w:rPr>
              <w:t>Clay</w:t>
            </w:r>
          </w:p>
        </w:tc>
        <w:tc>
          <w:tcPr>
            <w:tcW w:w="1290" w:type="dxa"/>
            <w:tcBorders>
              <w:top w:val="single" w:color="D9D9D9" w:sz="2" w:space="0"/>
              <w:bottom w:val="single" w:color="D9D9D9" w:sz="2" w:space="0"/>
            </w:tcBorders>
          </w:tcPr>
          <w:p w:rsidR="00C31389" w:rsidRDefault="00561FBD" w14:paraId="6E1169AB" w14:textId="77777777">
            <w:pPr>
              <w:pStyle w:val="TableParagraph"/>
              <w:ind w:right="483"/>
              <w:jc w:val="right"/>
              <w:rPr>
                <w:sz w:val="20"/>
              </w:rPr>
            </w:pPr>
            <w:r>
              <w:rPr>
                <w:spacing w:val="-5"/>
                <w:sz w:val="20"/>
              </w:rPr>
              <w:t>1%</w:t>
            </w:r>
          </w:p>
        </w:tc>
        <w:tc>
          <w:tcPr>
            <w:tcW w:w="1248" w:type="dxa"/>
            <w:tcBorders>
              <w:top w:val="single" w:color="D9D9D9" w:sz="2" w:space="0"/>
              <w:bottom w:val="single" w:color="D9D9D9" w:sz="2" w:space="0"/>
            </w:tcBorders>
          </w:tcPr>
          <w:p w:rsidR="00C31389" w:rsidRDefault="00561FBD" w14:paraId="2D0FB1D8" w14:textId="77777777">
            <w:pPr>
              <w:pStyle w:val="TableParagraph"/>
              <w:ind w:left="358" w:right="360"/>
              <w:jc w:val="center"/>
              <w:rPr>
                <w:sz w:val="20"/>
              </w:rPr>
            </w:pPr>
            <w:r>
              <w:rPr>
                <w:spacing w:val="-5"/>
                <w:sz w:val="20"/>
              </w:rPr>
              <w:t>90%</w:t>
            </w:r>
          </w:p>
        </w:tc>
        <w:tc>
          <w:tcPr>
            <w:tcW w:w="1655" w:type="dxa"/>
            <w:tcBorders>
              <w:top w:val="single" w:color="D9D9D9" w:sz="2" w:space="0"/>
              <w:bottom w:val="single" w:color="D9D9D9" w:sz="2" w:space="0"/>
            </w:tcBorders>
          </w:tcPr>
          <w:p w:rsidR="00C31389" w:rsidRDefault="00561FBD" w14:paraId="4E267486" w14:textId="77777777">
            <w:pPr>
              <w:pStyle w:val="TableParagraph"/>
              <w:ind w:left="716"/>
              <w:rPr>
                <w:sz w:val="20"/>
              </w:rPr>
            </w:pPr>
            <w:r>
              <w:rPr>
                <w:spacing w:val="-5"/>
                <w:sz w:val="20"/>
              </w:rPr>
              <w:t>6%</w:t>
            </w:r>
          </w:p>
        </w:tc>
        <w:tc>
          <w:tcPr>
            <w:tcW w:w="1685" w:type="dxa"/>
            <w:tcBorders>
              <w:top w:val="single" w:color="D9D9D9" w:sz="2" w:space="0"/>
              <w:bottom w:val="single" w:color="D9D9D9" w:sz="2" w:space="0"/>
            </w:tcBorders>
          </w:tcPr>
          <w:p w:rsidR="00C31389" w:rsidRDefault="00561FBD" w14:paraId="34511657" w14:textId="77777777">
            <w:pPr>
              <w:pStyle w:val="TableParagraph"/>
              <w:ind w:left="173" w:right="172"/>
              <w:jc w:val="center"/>
              <w:rPr>
                <w:sz w:val="20"/>
              </w:rPr>
            </w:pPr>
            <w:r>
              <w:rPr>
                <w:spacing w:val="-5"/>
                <w:sz w:val="20"/>
              </w:rPr>
              <w:t>1.3</w:t>
            </w:r>
          </w:p>
        </w:tc>
        <w:tc>
          <w:tcPr>
            <w:tcW w:w="1301" w:type="dxa"/>
            <w:tcBorders>
              <w:top w:val="single" w:color="D9D9D9" w:sz="2" w:space="0"/>
              <w:bottom w:val="single" w:color="D9D9D9" w:sz="2" w:space="0"/>
            </w:tcBorders>
          </w:tcPr>
          <w:p w:rsidR="00C31389" w:rsidRDefault="00561FBD" w14:paraId="25D2E365" w14:textId="77777777">
            <w:pPr>
              <w:pStyle w:val="TableParagraph"/>
              <w:ind w:left="279" w:right="314"/>
              <w:jc w:val="center"/>
              <w:rPr>
                <w:sz w:val="20"/>
              </w:rPr>
            </w:pPr>
            <w:r>
              <w:rPr>
                <w:spacing w:val="-2"/>
                <w:sz w:val="20"/>
              </w:rPr>
              <w:t>3.765%</w:t>
            </w:r>
          </w:p>
        </w:tc>
      </w:tr>
      <w:tr w:rsidR="00C31389" w14:paraId="4DF413DD" w14:textId="77777777">
        <w:trPr>
          <w:trHeight w:val="309"/>
        </w:trPr>
        <w:tc>
          <w:tcPr>
            <w:tcW w:w="2280" w:type="dxa"/>
            <w:tcBorders>
              <w:top w:val="single" w:color="D9D9D9" w:sz="2" w:space="0"/>
              <w:bottom w:val="single" w:color="D9D9D9" w:sz="2" w:space="0"/>
            </w:tcBorders>
          </w:tcPr>
          <w:p w:rsidR="00C31389" w:rsidRDefault="00561FBD" w14:paraId="5A0D7A8A" w14:textId="77777777">
            <w:pPr>
              <w:pStyle w:val="TableParagraph"/>
              <w:ind w:left="175"/>
              <w:rPr>
                <w:sz w:val="20"/>
              </w:rPr>
            </w:pPr>
            <w:r>
              <w:rPr>
                <w:spacing w:val="-2"/>
                <w:sz w:val="20"/>
              </w:rPr>
              <w:t>Paper</w:t>
            </w:r>
          </w:p>
        </w:tc>
        <w:tc>
          <w:tcPr>
            <w:tcW w:w="1290" w:type="dxa"/>
            <w:tcBorders>
              <w:top w:val="single" w:color="D9D9D9" w:sz="2" w:space="0"/>
              <w:bottom w:val="single" w:color="D9D9D9" w:sz="2" w:space="0"/>
            </w:tcBorders>
          </w:tcPr>
          <w:p w:rsidR="00C31389" w:rsidRDefault="00561FBD" w14:paraId="5222D819" w14:textId="77777777">
            <w:pPr>
              <w:pStyle w:val="TableParagraph"/>
              <w:ind w:right="427"/>
              <w:jc w:val="right"/>
              <w:rPr>
                <w:sz w:val="20"/>
              </w:rPr>
            </w:pPr>
            <w:r>
              <w:rPr>
                <w:spacing w:val="-5"/>
                <w:sz w:val="20"/>
              </w:rPr>
              <w:t>25%</w:t>
            </w:r>
          </w:p>
        </w:tc>
        <w:tc>
          <w:tcPr>
            <w:tcW w:w="1248" w:type="dxa"/>
            <w:tcBorders>
              <w:top w:val="single" w:color="D9D9D9" w:sz="2" w:space="0"/>
              <w:bottom w:val="single" w:color="D9D9D9" w:sz="2" w:space="0"/>
            </w:tcBorders>
          </w:tcPr>
          <w:p w:rsidR="00C31389" w:rsidRDefault="00561FBD" w14:paraId="1DC91A5D" w14:textId="77777777">
            <w:pPr>
              <w:pStyle w:val="TableParagraph"/>
              <w:ind w:left="358" w:right="359"/>
              <w:jc w:val="center"/>
              <w:rPr>
                <w:sz w:val="20"/>
              </w:rPr>
            </w:pPr>
            <w:r>
              <w:rPr>
                <w:spacing w:val="-5"/>
                <w:sz w:val="20"/>
              </w:rPr>
              <w:t>26%</w:t>
            </w:r>
          </w:p>
        </w:tc>
        <w:tc>
          <w:tcPr>
            <w:tcW w:w="1655" w:type="dxa"/>
            <w:tcBorders>
              <w:top w:val="single" w:color="D9D9D9" w:sz="2" w:space="0"/>
              <w:bottom w:val="single" w:color="D9D9D9" w:sz="2" w:space="0"/>
            </w:tcBorders>
          </w:tcPr>
          <w:p w:rsidR="00C31389" w:rsidRDefault="00561FBD" w14:paraId="47052F1C" w14:textId="77777777">
            <w:pPr>
              <w:pStyle w:val="TableParagraph"/>
              <w:ind w:left="659"/>
              <w:rPr>
                <w:sz w:val="20"/>
              </w:rPr>
            </w:pPr>
            <w:r>
              <w:rPr>
                <w:spacing w:val="-5"/>
                <w:sz w:val="20"/>
              </w:rPr>
              <w:t>46%</w:t>
            </w:r>
          </w:p>
        </w:tc>
        <w:tc>
          <w:tcPr>
            <w:tcW w:w="1685" w:type="dxa"/>
            <w:tcBorders>
              <w:top w:val="single" w:color="D9D9D9" w:sz="2" w:space="0"/>
              <w:bottom w:val="single" w:color="D9D9D9" w:sz="2" w:space="0"/>
            </w:tcBorders>
          </w:tcPr>
          <w:p w:rsidR="00C31389" w:rsidRDefault="00561FBD" w14:paraId="2CED3065" w14:textId="77777777">
            <w:pPr>
              <w:pStyle w:val="TableParagraph"/>
              <w:ind w:left="173" w:right="172"/>
              <w:jc w:val="center"/>
              <w:rPr>
                <w:sz w:val="20"/>
              </w:rPr>
            </w:pPr>
            <w:r>
              <w:rPr>
                <w:spacing w:val="-5"/>
                <w:sz w:val="20"/>
              </w:rPr>
              <w:t>1.3</w:t>
            </w:r>
          </w:p>
        </w:tc>
        <w:tc>
          <w:tcPr>
            <w:tcW w:w="1301" w:type="dxa"/>
            <w:tcBorders>
              <w:top w:val="single" w:color="D9D9D9" w:sz="2" w:space="0"/>
              <w:bottom w:val="single" w:color="D9D9D9" w:sz="2" w:space="0"/>
            </w:tcBorders>
          </w:tcPr>
          <w:p w:rsidR="00C31389" w:rsidRDefault="00561FBD" w14:paraId="226669C3" w14:textId="77777777">
            <w:pPr>
              <w:pStyle w:val="TableParagraph"/>
              <w:ind w:left="279" w:right="314"/>
              <w:jc w:val="center"/>
              <w:rPr>
                <w:sz w:val="20"/>
              </w:rPr>
            </w:pPr>
            <w:r>
              <w:rPr>
                <w:spacing w:val="-2"/>
                <w:sz w:val="20"/>
              </w:rPr>
              <w:t>3.783%</w:t>
            </w:r>
          </w:p>
        </w:tc>
      </w:tr>
      <w:tr w:rsidR="00C31389" w14:paraId="29E28F70" w14:textId="77777777">
        <w:trPr>
          <w:trHeight w:val="310"/>
        </w:trPr>
        <w:tc>
          <w:tcPr>
            <w:tcW w:w="2280" w:type="dxa"/>
            <w:tcBorders>
              <w:top w:val="single" w:color="D9D9D9" w:sz="2" w:space="0"/>
              <w:bottom w:val="single" w:color="D9D9D9" w:sz="2" w:space="0"/>
            </w:tcBorders>
          </w:tcPr>
          <w:p w:rsidR="00C31389" w:rsidRDefault="00561FBD" w14:paraId="27AADDB4" w14:textId="77777777">
            <w:pPr>
              <w:pStyle w:val="TableParagraph"/>
              <w:ind w:left="175"/>
              <w:rPr>
                <w:sz w:val="20"/>
              </w:rPr>
            </w:pPr>
            <w:r>
              <w:rPr>
                <w:spacing w:val="-4"/>
                <w:sz w:val="20"/>
              </w:rPr>
              <w:t>Food</w:t>
            </w:r>
          </w:p>
        </w:tc>
        <w:tc>
          <w:tcPr>
            <w:tcW w:w="1290" w:type="dxa"/>
            <w:tcBorders>
              <w:top w:val="single" w:color="D9D9D9" w:sz="2" w:space="0"/>
              <w:bottom w:val="single" w:color="D9D9D9" w:sz="2" w:space="0"/>
            </w:tcBorders>
          </w:tcPr>
          <w:p w:rsidR="00C31389" w:rsidRDefault="00561FBD" w14:paraId="610802C1" w14:textId="77777777">
            <w:pPr>
              <w:pStyle w:val="TableParagraph"/>
              <w:ind w:right="428"/>
              <w:jc w:val="right"/>
              <w:rPr>
                <w:sz w:val="20"/>
              </w:rPr>
            </w:pPr>
            <w:r>
              <w:rPr>
                <w:spacing w:val="-5"/>
                <w:sz w:val="20"/>
              </w:rPr>
              <w:t>59%</w:t>
            </w:r>
          </w:p>
        </w:tc>
        <w:tc>
          <w:tcPr>
            <w:tcW w:w="1248" w:type="dxa"/>
            <w:tcBorders>
              <w:top w:val="single" w:color="D9D9D9" w:sz="2" w:space="0"/>
              <w:bottom w:val="single" w:color="D9D9D9" w:sz="2" w:space="0"/>
            </w:tcBorders>
          </w:tcPr>
          <w:p w:rsidR="00C31389" w:rsidRDefault="00561FBD" w14:paraId="0B5E8114" w14:textId="77777777">
            <w:pPr>
              <w:pStyle w:val="TableParagraph"/>
              <w:ind w:left="358" w:right="360"/>
              <w:jc w:val="center"/>
              <w:rPr>
                <w:sz w:val="20"/>
              </w:rPr>
            </w:pPr>
            <w:r>
              <w:rPr>
                <w:spacing w:val="-5"/>
                <w:sz w:val="20"/>
              </w:rPr>
              <w:t>28%</w:t>
            </w:r>
          </w:p>
        </w:tc>
        <w:tc>
          <w:tcPr>
            <w:tcW w:w="1655" w:type="dxa"/>
            <w:tcBorders>
              <w:top w:val="single" w:color="D9D9D9" w:sz="2" w:space="0"/>
              <w:bottom w:val="single" w:color="D9D9D9" w:sz="2" w:space="0"/>
            </w:tcBorders>
          </w:tcPr>
          <w:p w:rsidR="00C31389" w:rsidRDefault="00561FBD" w14:paraId="438AA35F" w14:textId="77777777">
            <w:pPr>
              <w:pStyle w:val="TableParagraph"/>
              <w:ind w:left="716"/>
              <w:rPr>
                <w:sz w:val="20"/>
              </w:rPr>
            </w:pPr>
            <w:r>
              <w:rPr>
                <w:spacing w:val="-5"/>
                <w:sz w:val="20"/>
              </w:rPr>
              <w:t>9%</w:t>
            </w:r>
          </w:p>
        </w:tc>
        <w:tc>
          <w:tcPr>
            <w:tcW w:w="1685" w:type="dxa"/>
            <w:tcBorders>
              <w:top w:val="single" w:color="D9D9D9" w:sz="2" w:space="0"/>
              <w:bottom w:val="single" w:color="D9D9D9" w:sz="2" w:space="0"/>
            </w:tcBorders>
          </w:tcPr>
          <w:p w:rsidR="00C31389" w:rsidRDefault="00561FBD" w14:paraId="38AA5BD0" w14:textId="77777777">
            <w:pPr>
              <w:pStyle w:val="TableParagraph"/>
              <w:ind w:left="173" w:right="172"/>
              <w:jc w:val="center"/>
              <w:rPr>
                <w:sz w:val="20"/>
              </w:rPr>
            </w:pPr>
            <w:r>
              <w:rPr>
                <w:spacing w:val="-5"/>
                <w:sz w:val="20"/>
              </w:rPr>
              <w:t>1.2</w:t>
            </w:r>
          </w:p>
        </w:tc>
        <w:tc>
          <w:tcPr>
            <w:tcW w:w="1301" w:type="dxa"/>
            <w:tcBorders>
              <w:top w:val="single" w:color="D9D9D9" w:sz="2" w:space="0"/>
              <w:bottom w:val="single" w:color="D9D9D9" w:sz="2" w:space="0"/>
            </w:tcBorders>
          </w:tcPr>
          <w:p w:rsidR="00C31389" w:rsidRDefault="00561FBD" w14:paraId="7A910E67" w14:textId="77777777">
            <w:pPr>
              <w:pStyle w:val="TableParagraph"/>
              <w:ind w:left="279" w:right="314"/>
              <w:jc w:val="center"/>
              <w:rPr>
                <w:sz w:val="20"/>
              </w:rPr>
            </w:pPr>
            <w:r>
              <w:rPr>
                <w:spacing w:val="-2"/>
                <w:sz w:val="20"/>
              </w:rPr>
              <w:t>3.713%</w:t>
            </w:r>
          </w:p>
        </w:tc>
      </w:tr>
      <w:tr w:rsidR="00C31389" w14:paraId="63B1E06C" w14:textId="77777777">
        <w:trPr>
          <w:trHeight w:val="309"/>
        </w:trPr>
        <w:tc>
          <w:tcPr>
            <w:tcW w:w="2280" w:type="dxa"/>
            <w:tcBorders>
              <w:top w:val="single" w:color="D9D9D9" w:sz="2" w:space="0"/>
              <w:bottom w:val="single" w:color="D9D9D9" w:sz="2" w:space="0"/>
            </w:tcBorders>
          </w:tcPr>
          <w:p w:rsidR="00C31389" w:rsidRDefault="00561FBD" w14:paraId="73A585A4" w14:textId="77777777">
            <w:pPr>
              <w:pStyle w:val="TableParagraph"/>
              <w:ind w:left="175"/>
              <w:rPr>
                <w:sz w:val="20"/>
              </w:rPr>
            </w:pPr>
            <w:r>
              <w:rPr>
                <w:spacing w:val="-2"/>
                <w:sz w:val="20"/>
              </w:rPr>
              <w:t>Plastics</w:t>
            </w:r>
          </w:p>
        </w:tc>
        <w:tc>
          <w:tcPr>
            <w:tcW w:w="1290" w:type="dxa"/>
            <w:tcBorders>
              <w:top w:val="single" w:color="D9D9D9" w:sz="2" w:space="0"/>
              <w:bottom w:val="single" w:color="D9D9D9" w:sz="2" w:space="0"/>
            </w:tcBorders>
          </w:tcPr>
          <w:p w:rsidR="00C31389" w:rsidRDefault="00561FBD" w14:paraId="3004C922" w14:textId="77777777">
            <w:pPr>
              <w:pStyle w:val="TableParagraph"/>
              <w:ind w:right="428"/>
              <w:jc w:val="right"/>
              <w:rPr>
                <w:sz w:val="20"/>
              </w:rPr>
            </w:pPr>
            <w:r>
              <w:rPr>
                <w:spacing w:val="-5"/>
                <w:sz w:val="20"/>
              </w:rPr>
              <w:t>46%</w:t>
            </w:r>
          </w:p>
        </w:tc>
        <w:tc>
          <w:tcPr>
            <w:tcW w:w="1248" w:type="dxa"/>
            <w:tcBorders>
              <w:top w:val="single" w:color="D9D9D9" w:sz="2" w:space="0"/>
              <w:bottom w:val="single" w:color="D9D9D9" w:sz="2" w:space="0"/>
            </w:tcBorders>
          </w:tcPr>
          <w:p w:rsidR="00C31389" w:rsidRDefault="00561FBD" w14:paraId="42A4EE33" w14:textId="77777777">
            <w:pPr>
              <w:pStyle w:val="TableParagraph"/>
              <w:ind w:left="358" w:right="360"/>
              <w:jc w:val="center"/>
              <w:rPr>
                <w:sz w:val="20"/>
              </w:rPr>
            </w:pPr>
            <w:r>
              <w:rPr>
                <w:spacing w:val="-5"/>
                <w:sz w:val="20"/>
              </w:rPr>
              <w:t>24%</w:t>
            </w:r>
          </w:p>
        </w:tc>
        <w:tc>
          <w:tcPr>
            <w:tcW w:w="1655" w:type="dxa"/>
            <w:tcBorders>
              <w:top w:val="single" w:color="D9D9D9" w:sz="2" w:space="0"/>
              <w:bottom w:val="single" w:color="D9D9D9" w:sz="2" w:space="0"/>
            </w:tcBorders>
          </w:tcPr>
          <w:p w:rsidR="00C31389" w:rsidRDefault="00561FBD" w14:paraId="4C52F3FE" w14:textId="77777777">
            <w:pPr>
              <w:pStyle w:val="TableParagraph"/>
              <w:ind w:left="659"/>
              <w:rPr>
                <w:sz w:val="20"/>
              </w:rPr>
            </w:pPr>
            <w:r>
              <w:rPr>
                <w:spacing w:val="-5"/>
                <w:sz w:val="20"/>
              </w:rPr>
              <w:t>11%</w:t>
            </w:r>
          </w:p>
        </w:tc>
        <w:tc>
          <w:tcPr>
            <w:tcW w:w="1685" w:type="dxa"/>
            <w:tcBorders>
              <w:top w:val="single" w:color="D9D9D9" w:sz="2" w:space="0"/>
              <w:bottom w:val="single" w:color="D9D9D9" w:sz="2" w:space="0"/>
            </w:tcBorders>
          </w:tcPr>
          <w:p w:rsidR="00C31389" w:rsidRDefault="00561FBD" w14:paraId="25672C78" w14:textId="77777777">
            <w:pPr>
              <w:pStyle w:val="TableParagraph"/>
              <w:ind w:left="173" w:right="172"/>
              <w:jc w:val="center"/>
              <w:rPr>
                <w:sz w:val="20"/>
              </w:rPr>
            </w:pPr>
            <w:r>
              <w:rPr>
                <w:spacing w:val="-5"/>
                <w:sz w:val="20"/>
              </w:rPr>
              <w:t>1.1</w:t>
            </w:r>
          </w:p>
        </w:tc>
        <w:tc>
          <w:tcPr>
            <w:tcW w:w="1301" w:type="dxa"/>
            <w:tcBorders>
              <w:top w:val="single" w:color="D9D9D9" w:sz="2" w:space="0"/>
              <w:bottom w:val="single" w:color="D9D9D9" w:sz="2" w:space="0"/>
            </w:tcBorders>
          </w:tcPr>
          <w:p w:rsidR="00C31389" w:rsidRDefault="00561FBD" w14:paraId="0221BF3B" w14:textId="77777777">
            <w:pPr>
              <w:pStyle w:val="TableParagraph"/>
              <w:ind w:left="278" w:right="314"/>
              <w:jc w:val="center"/>
              <w:rPr>
                <w:sz w:val="20"/>
              </w:rPr>
            </w:pPr>
            <w:r>
              <w:rPr>
                <w:spacing w:val="-2"/>
                <w:sz w:val="20"/>
              </w:rPr>
              <w:t>3.162%</w:t>
            </w:r>
          </w:p>
        </w:tc>
      </w:tr>
      <w:tr w:rsidR="00C31389" w14:paraId="32A2F8BB" w14:textId="77777777">
        <w:trPr>
          <w:trHeight w:val="310"/>
        </w:trPr>
        <w:tc>
          <w:tcPr>
            <w:tcW w:w="2280" w:type="dxa"/>
            <w:tcBorders>
              <w:top w:val="single" w:color="D9D9D9" w:sz="2" w:space="0"/>
              <w:bottom w:val="single" w:color="D9D9D9" w:sz="2" w:space="0"/>
            </w:tcBorders>
          </w:tcPr>
          <w:p w:rsidR="00C31389" w:rsidRDefault="00561FBD" w14:paraId="39FB6C99" w14:textId="77777777">
            <w:pPr>
              <w:pStyle w:val="TableParagraph"/>
              <w:ind w:left="175"/>
              <w:rPr>
                <w:sz w:val="20"/>
              </w:rPr>
            </w:pPr>
            <w:r>
              <w:rPr>
                <w:spacing w:val="-2"/>
                <w:sz w:val="20"/>
              </w:rPr>
              <w:t>Chemicals</w:t>
            </w:r>
          </w:p>
        </w:tc>
        <w:tc>
          <w:tcPr>
            <w:tcW w:w="1290" w:type="dxa"/>
            <w:tcBorders>
              <w:top w:val="single" w:color="D9D9D9" w:sz="2" w:space="0"/>
              <w:bottom w:val="single" w:color="D9D9D9" w:sz="2" w:space="0"/>
            </w:tcBorders>
          </w:tcPr>
          <w:p w:rsidR="00C31389" w:rsidRDefault="00561FBD" w14:paraId="7D82007F" w14:textId="77777777">
            <w:pPr>
              <w:pStyle w:val="TableParagraph"/>
              <w:ind w:right="428"/>
              <w:jc w:val="right"/>
              <w:rPr>
                <w:sz w:val="20"/>
              </w:rPr>
            </w:pPr>
            <w:r>
              <w:rPr>
                <w:spacing w:val="-5"/>
                <w:sz w:val="20"/>
              </w:rPr>
              <w:t>28%</w:t>
            </w:r>
          </w:p>
        </w:tc>
        <w:tc>
          <w:tcPr>
            <w:tcW w:w="1248" w:type="dxa"/>
            <w:tcBorders>
              <w:top w:val="single" w:color="D9D9D9" w:sz="2" w:space="0"/>
              <w:bottom w:val="single" w:color="D9D9D9" w:sz="2" w:space="0"/>
            </w:tcBorders>
          </w:tcPr>
          <w:p w:rsidR="00C31389" w:rsidRDefault="00561FBD" w14:paraId="7F59FCF2" w14:textId="77777777">
            <w:pPr>
              <w:pStyle w:val="TableParagraph"/>
              <w:ind w:left="358" w:right="360"/>
              <w:jc w:val="center"/>
              <w:rPr>
                <w:sz w:val="20"/>
              </w:rPr>
            </w:pPr>
            <w:r>
              <w:rPr>
                <w:spacing w:val="-5"/>
                <w:sz w:val="20"/>
              </w:rPr>
              <w:t>28%</w:t>
            </w:r>
          </w:p>
        </w:tc>
        <w:tc>
          <w:tcPr>
            <w:tcW w:w="1655" w:type="dxa"/>
            <w:tcBorders>
              <w:top w:val="single" w:color="D9D9D9" w:sz="2" w:space="0"/>
              <w:bottom w:val="single" w:color="D9D9D9" w:sz="2" w:space="0"/>
            </w:tcBorders>
          </w:tcPr>
          <w:p w:rsidR="00C31389" w:rsidRDefault="00561FBD" w14:paraId="3A49D703" w14:textId="77777777">
            <w:pPr>
              <w:pStyle w:val="TableParagraph"/>
              <w:ind w:left="660"/>
              <w:rPr>
                <w:sz w:val="20"/>
              </w:rPr>
            </w:pPr>
            <w:r>
              <w:rPr>
                <w:spacing w:val="-5"/>
                <w:sz w:val="20"/>
              </w:rPr>
              <w:t>43%</w:t>
            </w:r>
          </w:p>
        </w:tc>
        <w:tc>
          <w:tcPr>
            <w:tcW w:w="1685" w:type="dxa"/>
            <w:tcBorders>
              <w:top w:val="single" w:color="D9D9D9" w:sz="2" w:space="0"/>
              <w:bottom w:val="single" w:color="D9D9D9" w:sz="2" w:space="0"/>
            </w:tcBorders>
          </w:tcPr>
          <w:p w:rsidR="00C31389" w:rsidRDefault="00561FBD" w14:paraId="3DCA54BF" w14:textId="77777777">
            <w:pPr>
              <w:pStyle w:val="TableParagraph"/>
              <w:ind w:left="173" w:right="172"/>
              <w:jc w:val="center"/>
              <w:rPr>
                <w:sz w:val="20"/>
              </w:rPr>
            </w:pPr>
            <w:r>
              <w:rPr>
                <w:spacing w:val="-5"/>
                <w:sz w:val="20"/>
              </w:rPr>
              <w:t>1.3</w:t>
            </w:r>
          </w:p>
        </w:tc>
        <w:tc>
          <w:tcPr>
            <w:tcW w:w="1301" w:type="dxa"/>
            <w:tcBorders>
              <w:top w:val="single" w:color="D9D9D9" w:sz="2" w:space="0"/>
              <w:bottom w:val="single" w:color="D9D9D9" w:sz="2" w:space="0"/>
            </w:tcBorders>
          </w:tcPr>
          <w:p w:rsidR="00C31389" w:rsidRDefault="00561FBD" w14:paraId="1622083E" w14:textId="77777777">
            <w:pPr>
              <w:pStyle w:val="TableParagraph"/>
              <w:ind w:left="279" w:right="314"/>
              <w:jc w:val="center"/>
              <w:rPr>
                <w:sz w:val="20"/>
              </w:rPr>
            </w:pPr>
            <w:r>
              <w:rPr>
                <w:spacing w:val="-2"/>
                <w:sz w:val="20"/>
              </w:rPr>
              <w:t>3.834%</w:t>
            </w:r>
          </w:p>
        </w:tc>
      </w:tr>
      <w:tr w:rsidR="00C31389" w14:paraId="1395EA2F" w14:textId="77777777">
        <w:trPr>
          <w:trHeight w:val="309"/>
        </w:trPr>
        <w:tc>
          <w:tcPr>
            <w:tcW w:w="2280" w:type="dxa"/>
            <w:tcBorders>
              <w:top w:val="single" w:color="D9D9D9" w:sz="2" w:space="0"/>
              <w:bottom w:val="single" w:color="D9D9D9" w:sz="2" w:space="0"/>
            </w:tcBorders>
          </w:tcPr>
          <w:p w:rsidR="00C31389" w:rsidRDefault="00561FBD" w14:paraId="312CFF57" w14:textId="77777777">
            <w:pPr>
              <w:pStyle w:val="TableParagraph"/>
              <w:ind w:left="175"/>
              <w:rPr>
                <w:sz w:val="20"/>
              </w:rPr>
            </w:pPr>
            <w:r>
              <w:rPr>
                <w:sz w:val="20"/>
              </w:rPr>
              <w:t>Fabricated</w:t>
            </w:r>
            <w:r>
              <w:rPr>
                <w:spacing w:val="-6"/>
                <w:sz w:val="20"/>
              </w:rPr>
              <w:t xml:space="preserve"> </w:t>
            </w:r>
            <w:r>
              <w:rPr>
                <w:spacing w:val="-2"/>
                <w:sz w:val="20"/>
              </w:rPr>
              <w:t>Metals</w:t>
            </w:r>
          </w:p>
        </w:tc>
        <w:tc>
          <w:tcPr>
            <w:tcW w:w="1290" w:type="dxa"/>
            <w:tcBorders>
              <w:top w:val="single" w:color="D9D9D9" w:sz="2" w:space="0"/>
              <w:bottom w:val="single" w:color="D9D9D9" w:sz="2" w:space="0"/>
            </w:tcBorders>
          </w:tcPr>
          <w:p w:rsidR="00C31389" w:rsidRDefault="00561FBD" w14:paraId="264C8B8B" w14:textId="77777777">
            <w:pPr>
              <w:pStyle w:val="TableParagraph"/>
              <w:ind w:right="428"/>
              <w:jc w:val="right"/>
              <w:rPr>
                <w:sz w:val="20"/>
              </w:rPr>
            </w:pPr>
            <w:r>
              <w:rPr>
                <w:spacing w:val="-5"/>
                <w:sz w:val="20"/>
              </w:rPr>
              <w:t>15%</w:t>
            </w:r>
          </w:p>
        </w:tc>
        <w:tc>
          <w:tcPr>
            <w:tcW w:w="1248" w:type="dxa"/>
            <w:tcBorders>
              <w:top w:val="single" w:color="D9D9D9" w:sz="2" w:space="0"/>
              <w:bottom w:val="single" w:color="D9D9D9" w:sz="2" w:space="0"/>
            </w:tcBorders>
          </w:tcPr>
          <w:p w:rsidR="00C31389" w:rsidRDefault="00561FBD" w14:paraId="61920C4A" w14:textId="77777777">
            <w:pPr>
              <w:pStyle w:val="TableParagraph"/>
              <w:ind w:left="358" w:right="360"/>
              <w:jc w:val="center"/>
              <w:rPr>
                <w:sz w:val="20"/>
              </w:rPr>
            </w:pPr>
            <w:r>
              <w:rPr>
                <w:spacing w:val="-5"/>
                <w:sz w:val="20"/>
              </w:rPr>
              <w:t>65%</w:t>
            </w:r>
          </w:p>
        </w:tc>
        <w:tc>
          <w:tcPr>
            <w:tcW w:w="1655" w:type="dxa"/>
            <w:tcBorders>
              <w:top w:val="single" w:color="D9D9D9" w:sz="2" w:space="0"/>
              <w:bottom w:val="single" w:color="D9D9D9" w:sz="2" w:space="0"/>
            </w:tcBorders>
          </w:tcPr>
          <w:p w:rsidR="00C31389" w:rsidRDefault="00561FBD" w14:paraId="3AEE66F3" w14:textId="77777777">
            <w:pPr>
              <w:pStyle w:val="TableParagraph"/>
              <w:ind w:left="716"/>
              <w:rPr>
                <w:sz w:val="20"/>
              </w:rPr>
            </w:pPr>
            <w:r>
              <w:rPr>
                <w:spacing w:val="-5"/>
                <w:sz w:val="20"/>
              </w:rPr>
              <w:t>6%</w:t>
            </w:r>
          </w:p>
        </w:tc>
        <w:tc>
          <w:tcPr>
            <w:tcW w:w="1685" w:type="dxa"/>
            <w:tcBorders>
              <w:top w:val="single" w:color="D9D9D9" w:sz="2" w:space="0"/>
              <w:bottom w:val="single" w:color="D9D9D9" w:sz="2" w:space="0"/>
            </w:tcBorders>
          </w:tcPr>
          <w:p w:rsidR="00C31389" w:rsidRDefault="00561FBD" w14:paraId="66F0399D" w14:textId="77777777">
            <w:pPr>
              <w:pStyle w:val="TableParagraph"/>
              <w:ind w:left="173" w:right="172"/>
              <w:jc w:val="center"/>
              <w:rPr>
                <w:sz w:val="20"/>
              </w:rPr>
            </w:pPr>
            <w:r>
              <w:rPr>
                <w:spacing w:val="-5"/>
                <w:sz w:val="20"/>
              </w:rPr>
              <w:t>1.1</w:t>
            </w:r>
          </w:p>
        </w:tc>
        <w:tc>
          <w:tcPr>
            <w:tcW w:w="1301" w:type="dxa"/>
            <w:tcBorders>
              <w:top w:val="single" w:color="D9D9D9" w:sz="2" w:space="0"/>
              <w:bottom w:val="single" w:color="D9D9D9" w:sz="2" w:space="0"/>
            </w:tcBorders>
          </w:tcPr>
          <w:p w:rsidR="00C31389" w:rsidRDefault="00561FBD" w14:paraId="28DF24DD" w14:textId="77777777">
            <w:pPr>
              <w:pStyle w:val="TableParagraph"/>
              <w:ind w:left="278" w:right="314"/>
              <w:jc w:val="center"/>
              <w:rPr>
                <w:sz w:val="20"/>
              </w:rPr>
            </w:pPr>
            <w:r>
              <w:rPr>
                <w:spacing w:val="-2"/>
                <w:sz w:val="20"/>
              </w:rPr>
              <w:t>3.330%</w:t>
            </w:r>
          </w:p>
        </w:tc>
      </w:tr>
      <w:tr w:rsidR="00C31389" w14:paraId="20400DDE" w14:textId="77777777">
        <w:trPr>
          <w:trHeight w:val="310"/>
        </w:trPr>
        <w:tc>
          <w:tcPr>
            <w:tcW w:w="2280" w:type="dxa"/>
            <w:tcBorders>
              <w:top w:val="single" w:color="D9D9D9" w:sz="2" w:space="0"/>
              <w:bottom w:val="single" w:color="D9D9D9" w:sz="2" w:space="0"/>
            </w:tcBorders>
          </w:tcPr>
          <w:p w:rsidR="00C31389" w:rsidRDefault="00561FBD" w14:paraId="7945D3E1" w14:textId="77777777">
            <w:pPr>
              <w:pStyle w:val="TableParagraph"/>
              <w:ind w:left="175"/>
              <w:rPr>
                <w:sz w:val="20"/>
              </w:rPr>
            </w:pPr>
            <w:r>
              <w:rPr>
                <w:sz w:val="20"/>
              </w:rPr>
              <w:t>Printing</w:t>
            </w:r>
            <w:r>
              <w:rPr>
                <w:spacing w:val="-3"/>
                <w:sz w:val="20"/>
              </w:rPr>
              <w:t xml:space="preserve"> </w:t>
            </w:r>
            <w:r>
              <w:rPr>
                <w:sz w:val="20"/>
              </w:rPr>
              <w:t>&amp;</w:t>
            </w:r>
            <w:r>
              <w:rPr>
                <w:spacing w:val="-3"/>
                <w:sz w:val="20"/>
              </w:rPr>
              <w:t xml:space="preserve"> </w:t>
            </w:r>
            <w:r>
              <w:rPr>
                <w:spacing w:val="-2"/>
                <w:sz w:val="20"/>
              </w:rPr>
              <w:t>Publishing</w:t>
            </w:r>
          </w:p>
        </w:tc>
        <w:tc>
          <w:tcPr>
            <w:tcW w:w="1290" w:type="dxa"/>
            <w:tcBorders>
              <w:top w:val="single" w:color="D9D9D9" w:sz="2" w:space="0"/>
              <w:bottom w:val="single" w:color="D9D9D9" w:sz="2" w:space="0"/>
            </w:tcBorders>
          </w:tcPr>
          <w:p w:rsidR="00C31389" w:rsidRDefault="00561FBD" w14:paraId="06DE5188" w14:textId="77777777">
            <w:pPr>
              <w:pStyle w:val="TableParagraph"/>
              <w:ind w:right="428"/>
              <w:jc w:val="right"/>
              <w:rPr>
                <w:sz w:val="20"/>
              </w:rPr>
            </w:pPr>
            <w:r>
              <w:rPr>
                <w:spacing w:val="-5"/>
                <w:sz w:val="20"/>
              </w:rPr>
              <w:t>13%</w:t>
            </w:r>
          </w:p>
        </w:tc>
        <w:tc>
          <w:tcPr>
            <w:tcW w:w="1248" w:type="dxa"/>
            <w:tcBorders>
              <w:top w:val="single" w:color="D9D9D9" w:sz="2" w:space="0"/>
              <w:bottom w:val="single" w:color="D9D9D9" w:sz="2" w:space="0"/>
            </w:tcBorders>
          </w:tcPr>
          <w:p w:rsidR="00C31389" w:rsidRDefault="00561FBD" w14:paraId="19EA8C60" w14:textId="77777777">
            <w:pPr>
              <w:pStyle w:val="TableParagraph"/>
              <w:ind w:left="358" w:right="360"/>
              <w:jc w:val="center"/>
              <w:rPr>
                <w:sz w:val="20"/>
              </w:rPr>
            </w:pPr>
            <w:r>
              <w:rPr>
                <w:spacing w:val="-5"/>
                <w:sz w:val="20"/>
              </w:rPr>
              <w:t>64%</w:t>
            </w:r>
          </w:p>
        </w:tc>
        <w:tc>
          <w:tcPr>
            <w:tcW w:w="1655" w:type="dxa"/>
            <w:tcBorders>
              <w:top w:val="single" w:color="D9D9D9" w:sz="2" w:space="0"/>
              <w:bottom w:val="single" w:color="D9D9D9" w:sz="2" w:space="0"/>
            </w:tcBorders>
          </w:tcPr>
          <w:p w:rsidR="00C31389" w:rsidRDefault="00561FBD" w14:paraId="5617FAAB" w14:textId="77777777">
            <w:pPr>
              <w:pStyle w:val="TableParagraph"/>
              <w:ind w:left="716"/>
              <w:rPr>
                <w:sz w:val="20"/>
              </w:rPr>
            </w:pPr>
            <w:r>
              <w:rPr>
                <w:spacing w:val="-5"/>
                <w:sz w:val="20"/>
              </w:rPr>
              <w:t>5%</w:t>
            </w:r>
          </w:p>
        </w:tc>
        <w:tc>
          <w:tcPr>
            <w:tcW w:w="1685" w:type="dxa"/>
            <w:tcBorders>
              <w:top w:val="single" w:color="D9D9D9" w:sz="2" w:space="0"/>
              <w:bottom w:val="single" w:color="D9D9D9" w:sz="2" w:space="0"/>
            </w:tcBorders>
          </w:tcPr>
          <w:p w:rsidR="00C31389" w:rsidRDefault="00561FBD" w14:paraId="70F84A02" w14:textId="77777777">
            <w:pPr>
              <w:pStyle w:val="TableParagraph"/>
              <w:ind w:left="173" w:right="172"/>
              <w:jc w:val="center"/>
              <w:rPr>
                <w:sz w:val="20"/>
              </w:rPr>
            </w:pPr>
            <w:r>
              <w:rPr>
                <w:spacing w:val="-5"/>
                <w:sz w:val="20"/>
              </w:rPr>
              <w:t>1.1</w:t>
            </w:r>
          </w:p>
        </w:tc>
        <w:tc>
          <w:tcPr>
            <w:tcW w:w="1301" w:type="dxa"/>
            <w:tcBorders>
              <w:top w:val="single" w:color="D9D9D9" w:sz="2" w:space="0"/>
              <w:bottom w:val="single" w:color="D9D9D9" w:sz="2" w:space="0"/>
            </w:tcBorders>
          </w:tcPr>
          <w:p w:rsidR="00C31389" w:rsidRDefault="00561FBD" w14:paraId="003C3168" w14:textId="77777777">
            <w:pPr>
              <w:pStyle w:val="TableParagraph"/>
              <w:ind w:left="279" w:right="314"/>
              <w:jc w:val="center"/>
              <w:rPr>
                <w:sz w:val="20"/>
              </w:rPr>
            </w:pPr>
            <w:r>
              <w:rPr>
                <w:spacing w:val="-2"/>
                <w:sz w:val="20"/>
              </w:rPr>
              <w:t>3.199%</w:t>
            </w:r>
          </w:p>
        </w:tc>
      </w:tr>
      <w:tr w:rsidR="00C31389" w14:paraId="6EE6E58B" w14:textId="77777777">
        <w:trPr>
          <w:trHeight w:val="309"/>
        </w:trPr>
        <w:tc>
          <w:tcPr>
            <w:tcW w:w="2280" w:type="dxa"/>
            <w:tcBorders>
              <w:top w:val="single" w:color="D9D9D9" w:sz="2" w:space="0"/>
              <w:bottom w:val="single" w:color="D9D9D9" w:sz="2" w:space="0"/>
            </w:tcBorders>
          </w:tcPr>
          <w:p w:rsidR="00C31389" w:rsidRDefault="00561FBD" w14:paraId="5460C222" w14:textId="77777777">
            <w:pPr>
              <w:pStyle w:val="TableParagraph"/>
              <w:ind w:left="175"/>
              <w:rPr>
                <w:sz w:val="20"/>
              </w:rPr>
            </w:pPr>
            <w:r>
              <w:rPr>
                <w:sz w:val="20"/>
              </w:rPr>
              <w:t>Primary</w:t>
            </w:r>
            <w:r>
              <w:rPr>
                <w:spacing w:val="-4"/>
                <w:sz w:val="20"/>
              </w:rPr>
              <w:t xml:space="preserve"> </w:t>
            </w:r>
            <w:r>
              <w:rPr>
                <w:spacing w:val="-2"/>
                <w:sz w:val="20"/>
              </w:rPr>
              <w:t>Metals</w:t>
            </w:r>
          </w:p>
        </w:tc>
        <w:tc>
          <w:tcPr>
            <w:tcW w:w="1290" w:type="dxa"/>
            <w:tcBorders>
              <w:top w:val="single" w:color="D9D9D9" w:sz="2" w:space="0"/>
              <w:bottom w:val="single" w:color="D9D9D9" w:sz="2" w:space="0"/>
            </w:tcBorders>
          </w:tcPr>
          <w:p w:rsidR="00C31389" w:rsidRDefault="00561FBD" w14:paraId="1F047B54" w14:textId="77777777">
            <w:pPr>
              <w:pStyle w:val="TableParagraph"/>
              <w:ind w:right="483"/>
              <w:jc w:val="right"/>
              <w:rPr>
                <w:sz w:val="20"/>
              </w:rPr>
            </w:pPr>
            <w:r>
              <w:rPr>
                <w:spacing w:val="-5"/>
                <w:sz w:val="20"/>
              </w:rPr>
              <w:t>5%</w:t>
            </w:r>
          </w:p>
        </w:tc>
        <w:tc>
          <w:tcPr>
            <w:tcW w:w="1248" w:type="dxa"/>
            <w:tcBorders>
              <w:top w:val="single" w:color="D9D9D9" w:sz="2" w:space="0"/>
              <w:bottom w:val="single" w:color="D9D9D9" w:sz="2" w:space="0"/>
            </w:tcBorders>
          </w:tcPr>
          <w:p w:rsidR="00C31389" w:rsidRDefault="00561FBD" w14:paraId="09FC0B5A" w14:textId="77777777">
            <w:pPr>
              <w:pStyle w:val="TableParagraph"/>
              <w:ind w:left="358" w:right="359"/>
              <w:jc w:val="center"/>
              <w:rPr>
                <w:sz w:val="20"/>
              </w:rPr>
            </w:pPr>
            <w:r>
              <w:rPr>
                <w:spacing w:val="-5"/>
                <w:sz w:val="20"/>
              </w:rPr>
              <w:t>78%</w:t>
            </w:r>
          </w:p>
        </w:tc>
        <w:tc>
          <w:tcPr>
            <w:tcW w:w="1655" w:type="dxa"/>
            <w:tcBorders>
              <w:top w:val="single" w:color="D9D9D9" w:sz="2" w:space="0"/>
              <w:bottom w:val="single" w:color="D9D9D9" w:sz="2" w:space="0"/>
            </w:tcBorders>
          </w:tcPr>
          <w:p w:rsidR="00C31389" w:rsidRDefault="00561FBD" w14:paraId="254C3A43" w14:textId="77777777">
            <w:pPr>
              <w:pStyle w:val="TableParagraph"/>
              <w:ind w:left="659"/>
              <w:rPr>
                <w:sz w:val="20"/>
              </w:rPr>
            </w:pPr>
            <w:r>
              <w:rPr>
                <w:spacing w:val="-5"/>
                <w:sz w:val="20"/>
              </w:rPr>
              <w:t>10%</w:t>
            </w:r>
          </w:p>
        </w:tc>
        <w:tc>
          <w:tcPr>
            <w:tcW w:w="1685" w:type="dxa"/>
            <w:tcBorders>
              <w:top w:val="single" w:color="D9D9D9" w:sz="2" w:space="0"/>
              <w:bottom w:val="single" w:color="D9D9D9" w:sz="2" w:space="0"/>
            </w:tcBorders>
          </w:tcPr>
          <w:p w:rsidR="00C31389" w:rsidRDefault="00561FBD" w14:paraId="7863E983" w14:textId="77777777">
            <w:pPr>
              <w:pStyle w:val="TableParagraph"/>
              <w:ind w:left="173" w:right="172"/>
              <w:jc w:val="center"/>
              <w:rPr>
                <w:sz w:val="20"/>
              </w:rPr>
            </w:pPr>
            <w:r>
              <w:rPr>
                <w:spacing w:val="-5"/>
                <w:sz w:val="20"/>
              </w:rPr>
              <w:t>1.2</w:t>
            </w:r>
          </w:p>
        </w:tc>
        <w:tc>
          <w:tcPr>
            <w:tcW w:w="1301" w:type="dxa"/>
            <w:tcBorders>
              <w:top w:val="single" w:color="D9D9D9" w:sz="2" w:space="0"/>
              <w:bottom w:val="single" w:color="D9D9D9" w:sz="2" w:space="0"/>
            </w:tcBorders>
          </w:tcPr>
          <w:p w:rsidR="00C31389" w:rsidRDefault="00561FBD" w14:paraId="2C024A3E" w14:textId="77777777">
            <w:pPr>
              <w:pStyle w:val="TableParagraph"/>
              <w:ind w:left="279" w:right="314"/>
              <w:jc w:val="center"/>
              <w:rPr>
                <w:sz w:val="20"/>
              </w:rPr>
            </w:pPr>
            <w:r>
              <w:rPr>
                <w:spacing w:val="-2"/>
                <w:sz w:val="20"/>
              </w:rPr>
              <w:t>3.645%</w:t>
            </w:r>
          </w:p>
        </w:tc>
      </w:tr>
      <w:tr w:rsidR="00C31389" w14:paraId="52D1D37A" w14:textId="77777777">
        <w:trPr>
          <w:trHeight w:val="539"/>
        </w:trPr>
        <w:tc>
          <w:tcPr>
            <w:tcW w:w="2280" w:type="dxa"/>
            <w:tcBorders>
              <w:top w:val="single" w:color="D9D9D9" w:sz="2" w:space="0"/>
              <w:bottom w:val="single" w:color="D9D9D9" w:sz="2" w:space="0"/>
            </w:tcBorders>
          </w:tcPr>
          <w:p w:rsidR="00C31389" w:rsidRDefault="00561FBD" w14:paraId="2B00E81A" w14:textId="77777777">
            <w:pPr>
              <w:pStyle w:val="TableParagraph"/>
              <w:ind w:left="175"/>
              <w:rPr>
                <w:sz w:val="20"/>
              </w:rPr>
            </w:pPr>
            <w:r>
              <w:rPr>
                <w:spacing w:val="-2"/>
                <w:sz w:val="20"/>
              </w:rPr>
              <w:t>Transportation Equipment</w:t>
            </w:r>
          </w:p>
        </w:tc>
        <w:tc>
          <w:tcPr>
            <w:tcW w:w="1290" w:type="dxa"/>
            <w:tcBorders>
              <w:top w:val="single" w:color="D9D9D9" w:sz="2" w:space="0"/>
              <w:bottom w:val="single" w:color="D9D9D9" w:sz="2" w:space="0"/>
            </w:tcBorders>
          </w:tcPr>
          <w:p w:rsidR="00C31389" w:rsidRDefault="00561FBD" w14:paraId="5CD508C8" w14:textId="77777777">
            <w:pPr>
              <w:pStyle w:val="TableParagraph"/>
              <w:spacing w:before="155"/>
              <w:ind w:right="428"/>
              <w:jc w:val="right"/>
              <w:rPr>
                <w:sz w:val="20"/>
              </w:rPr>
            </w:pPr>
            <w:r>
              <w:rPr>
                <w:spacing w:val="-5"/>
                <w:sz w:val="20"/>
              </w:rPr>
              <w:t>15%</w:t>
            </w:r>
          </w:p>
        </w:tc>
        <w:tc>
          <w:tcPr>
            <w:tcW w:w="1248" w:type="dxa"/>
            <w:tcBorders>
              <w:top w:val="single" w:color="D9D9D9" w:sz="2" w:space="0"/>
              <w:bottom w:val="single" w:color="D9D9D9" w:sz="2" w:space="0"/>
            </w:tcBorders>
          </w:tcPr>
          <w:p w:rsidR="00C31389" w:rsidRDefault="00561FBD" w14:paraId="73BECA9A" w14:textId="77777777">
            <w:pPr>
              <w:pStyle w:val="TableParagraph"/>
              <w:spacing w:before="155"/>
              <w:ind w:left="358" w:right="360"/>
              <w:jc w:val="center"/>
              <w:rPr>
                <w:sz w:val="20"/>
              </w:rPr>
            </w:pPr>
            <w:r>
              <w:rPr>
                <w:spacing w:val="-5"/>
                <w:sz w:val="20"/>
              </w:rPr>
              <w:t>30%</w:t>
            </w:r>
          </w:p>
        </w:tc>
        <w:tc>
          <w:tcPr>
            <w:tcW w:w="1655" w:type="dxa"/>
            <w:tcBorders>
              <w:top w:val="single" w:color="D9D9D9" w:sz="2" w:space="0"/>
              <w:bottom w:val="single" w:color="D9D9D9" w:sz="2" w:space="0"/>
            </w:tcBorders>
          </w:tcPr>
          <w:p w:rsidR="00C31389" w:rsidRDefault="00561FBD" w14:paraId="796F7000" w14:textId="77777777">
            <w:pPr>
              <w:pStyle w:val="TableParagraph"/>
              <w:spacing w:before="155"/>
              <w:ind w:left="660"/>
              <w:rPr>
                <w:sz w:val="20"/>
              </w:rPr>
            </w:pPr>
            <w:r>
              <w:rPr>
                <w:spacing w:val="-5"/>
                <w:sz w:val="20"/>
              </w:rPr>
              <w:t>21%</w:t>
            </w:r>
          </w:p>
        </w:tc>
        <w:tc>
          <w:tcPr>
            <w:tcW w:w="1685" w:type="dxa"/>
            <w:tcBorders>
              <w:top w:val="single" w:color="D9D9D9" w:sz="2" w:space="0"/>
              <w:bottom w:val="single" w:color="D9D9D9" w:sz="2" w:space="0"/>
            </w:tcBorders>
          </w:tcPr>
          <w:p w:rsidR="00C31389" w:rsidRDefault="00561FBD" w14:paraId="4328AC28" w14:textId="77777777">
            <w:pPr>
              <w:pStyle w:val="TableParagraph"/>
              <w:spacing w:before="155"/>
              <w:ind w:left="173" w:right="172"/>
              <w:jc w:val="center"/>
              <w:rPr>
                <w:sz w:val="20"/>
              </w:rPr>
            </w:pPr>
            <w:r>
              <w:rPr>
                <w:spacing w:val="-5"/>
                <w:sz w:val="20"/>
              </w:rPr>
              <w:t>0.9</w:t>
            </w:r>
          </w:p>
        </w:tc>
        <w:tc>
          <w:tcPr>
            <w:tcW w:w="1301" w:type="dxa"/>
            <w:tcBorders>
              <w:top w:val="single" w:color="D9D9D9" w:sz="2" w:space="0"/>
              <w:bottom w:val="single" w:color="D9D9D9" w:sz="2" w:space="0"/>
            </w:tcBorders>
          </w:tcPr>
          <w:p w:rsidR="00C31389" w:rsidRDefault="00561FBD" w14:paraId="0A6153A0" w14:textId="77777777">
            <w:pPr>
              <w:pStyle w:val="TableParagraph"/>
              <w:spacing w:before="155"/>
              <w:ind w:left="279" w:right="314"/>
              <w:jc w:val="center"/>
              <w:rPr>
                <w:sz w:val="20"/>
              </w:rPr>
            </w:pPr>
            <w:r>
              <w:rPr>
                <w:spacing w:val="-2"/>
                <w:sz w:val="20"/>
              </w:rPr>
              <w:t>2.569%</w:t>
            </w:r>
          </w:p>
        </w:tc>
      </w:tr>
      <w:tr w:rsidR="00C31389" w14:paraId="7A235277" w14:textId="77777777">
        <w:trPr>
          <w:trHeight w:val="310"/>
        </w:trPr>
        <w:tc>
          <w:tcPr>
            <w:tcW w:w="2280" w:type="dxa"/>
            <w:tcBorders>
              <w:top w:val="single" w:color="D9D9D9" w:sz="2" w:space="0"/>
              <w:bottom w:val="single" w:color="D9D9D9" w:sz="2" w:space="0"/>
            </w:tcBorders>
          </w:tcPr>
          <w:p w:rsidR="00C31389" w:rsidRDefault="00561FBD" w14:paraId="56AACB8E" w14:textId="77777777">
            <w:pPr>
              <w:pStyle w:val="TableParagraph"/>
              <w:ind w:left="175"/>
              <w:rPr>
                <w:sz w:val="20"/>
              </w:rPr>
            </w:pPr>
            <w:r>
              <w:rPr>
                <w:sz w:val="20"/>
              </w:rPr>
              <w:t>All</w:t>
            </w:r>
            <w:r>
              <w:rPr>
                <w:spacing w:val="-3"/>
                <w:sz w:val="20"/>
              </w:rPr>
              <w:t xml:space="preserve"> </w:t>
            </w:r>
            <w:r>
              <w:rPr>
                <w:sz w:val="20"/>
              </w:rPr>
              <w:t>Other</w:t>
            </w:r>
            <w:r>
              <w:rPr>
                <w:spacing w:val="-1"/>
                <w:sz w:val="20"/>
              </w:rPr>
              <w:t xml:space="preserve"> </w:t>
            </w:r>
            <w:r>
              <w:rPr>
                <w:spacing w:val="-2"/>
                <w:sz w:val="20"/>
              </w:rPr>
              <w:t>Industrial</w:t>
            </w:r>
          </w:p>
        </w:tc>
        <w:tc>
          <w:tcPr>
            <w:tcW w:w="1290" w:type="dxa"/>
            <w:tcBorders>
              <w:top w:val="single" w:color="D9D9D9" w:sz="2" w:space="0"/>
              <w:bottom w:val="single" w:color="D9D9D9" w:sz="2" w:space="0"/>
            </w:tcBorders>
          </w:tcPr>
          <w:p w:rsidR="00C31389" w:rsidRDefault="00561FBD" w14:paraId="714FF76D" w14:textId="77777777">
            <w:pPr>
              <w:pStyle w:val="TableParagraph"/>
              <w:ind w:right="427"/>
              <w:jc w:val="right"/>
              <w:rPr>
                <w:sz w:val="20"/>
              </w:rPr>
            </w:pPr>
            <w:r>
              <w:rPr>
                <w:spacing w:val="-5"/>
                <w:sz w:val="20"/>
              </w:rPr>
              <w:t>16%</w:t>
            </w:r>
          </w:p>
        </w:tc>
        <w:tc>
          <w:tcPr>
            <w:tcW w:w="1248" w:type="dxa"/>
            <w:tcBorders>
              <w:top w:val="single" w:color="D9D9D9" w:sz="2" w:space="0"/>
              <w:bottom w:val="single" w:color="D9D9D9" w:sz="2" w:space="0"/>
            </w:tcBorders>
          </w:tcPr>
          <w:p w:rsidR="00C31389" w:rsidRDefault="00561FBD" w14:paraId="23D3FF92" w14:textId="77777777">
            <w:pPr>
              <w:pStyle w:val="TableParagraph"/>
              <w:ind w:left="358" w:right="359"/>
              <w:jc w:val="center"/>
              <w:rPr>
                <w:sz w:val="20"/>
              </w:rPr>
            </w:pPr>
            <w:r>
              <w:rPr>
                <w:spacing w:val="-5"/>
                <w:sz w:val="20"/>
              </w:rPr>
              <w:t>20%</w:t>
            </w:r>
          </w:p>
        </w:tc>
        <w:tc>
          <w:tcPr>
            <w:tcW w:w="1655" w:type="dxa"/>
            <w:tcBorders>
              <w:top w:val="single" w:color="D9D9D9" w:sz="2" w:space="0"/>
              <w:bottom w:val="single" w:color="D9D9D9" w:sz="2" w:space="0"/>
            </w:tcBorders>
          </w:tcPr>
          <w:p w:rsidR="00C31389" w:rsidRDefault="00561FBD" w14:paraId="170037F8" w14:textId="77777777">
            <w:pPr>
              <w:pStyle w:val="TableParagraph"/>
              <w:ind w:left="659"/>
              <w:rPr>
                <w:sz w:val="20"/>
              </w:rPr>
            </w:pPr>
            <w:r>
              <w:rPr>
                <w:spacing w:val="-5"/>
                <w:sz w:val="20"/>
              </w:rPr>
              <w:t>12%</w:t>
            </w:r>
          </w:p>
        </w:tc>
        <w:tc>
          <w:tcPr>
            <w:tcW w:w="1685" w:type="dxa"/>
            <w:tcBorders>
              <w:top w:val="single" w:color="D9D9D9" w:sz="2" w:space="0"/>
              <w:bottom w:val="single" w:color="D9D9D9" w:sz="2" w:space="0"/>
            </w:tcBorders>
          </w:tcPr>
          <w:p w:rsidR="00C31389" w:rsidRDefault="00561FBD" w14:paraId="7E6FD3D8" w14:textId="77777777">
            <w:pPr>
              <w:pStyle w:val="TableParagraph"/>
              <w:ind w:left="173" w:right="172"/>
              <w:jc w:val="center"/>
              <w:rPr>
                <w:sz w:val="20"/>
              </w:rPr>
            </w:pPr>
            <w:r>
              <w:rPr>
                <w:spacing w:val="-5"/>
                <w:sz w:val="20"/>
              </w:rPr>
              <w:t>0.6</w:t>
            </w:r>
          </w:p>
        </w:tc>
        <w:tc>
          <w:tcPr>
            <w:tcW w:w="1301" w:type="dxa"/>
            <w:tcBorders>
              <w:top w:val="single" w:color="D9D9D9" w:sz="2" w:space="0"/>
              <w:bottom w:val="single" w:color="D9D9D9" w:sz="2" w:space="0"/>
            </w:tcBorders>
          </w:tcPr>
          <w:p w:rsidR="00C31389" w:rsidRDefault="00561FBD" w14:paraId="231F12DC" w14:textId="77777777">
            <w:pPr>
              <w:pStyle w:val="TableParagraph"/>
              <w:ind w:left="279" w:right="314"/>
              <w:jc w:val="center"/>
              <w:rPr>
                <w:sz w:val="20"/>
              </w:rPr>
            </w:pPr>
            <w:r>
              <w:rPr>
                <w:spacing w:val="-2"/>
                <w:sz w:val="20"/>
              </w:rPr>
              <w:t>1.873%</w:t>
            </w:r>
          </w:p>
        </w:tc>
      </w:tr>
      <w:tr w:rsidR="00C31389" w14:paraId="19DCA4C1" w14:textId="77777777">
        <w:trPr>
          <w:trHeight w:val="309"/>
        </w:trPr>
        <w:tc>
          <w:tcPr>
            <w:tcW w:w="2280" w:type="dxa"/>
            <w:tcBorders>
              <w:top w:val="single" w:color="D9D9D9" w:sz="2" w:space="0"/>
              <w:bottom w:val="single" w:color="D9D9D9" w:sz="2" w:space="0"/>
            </w:tcBorders>
          </w:tcPr>
          <w:p w:rsidR="00C31389" w:rsidRDefault="00561FBD" w14:paraId="381FA98D" w14:textId="77777777">
            <w:pPr>
              <w:pStyle w:val="TableParagraph"/>
              <w:ind w:left="175"/>
              <w:rPr>
                <w:sz w:val="20"/>
              </w:rPr>
            </w:pPr>
            <w:r>
              <w:rPr>
                <w:sz w:val="20"/>
              </w:rPr>
              <w:t>Industrial</w:t>
            </w:r>
            <w:r>
              <w:rPr>
                <w:spacing w:val="-5"/>
                <w:sz w:val="20"/>
              </w:rPr>
              <w:t xml:space="preserve"> </w:t>
            </w:r>
            <w:r>
              <w:rPr>
                <w:spacing w:val="-2"/>
                <w:sz w:val="20"/>
              </w:rPr>
              <w:t>Machinery</w:t>
            </w:r>
          </w:p>
        </w:tc>
        <w:tc>
          <w:tcPr>
            <w:tcW w:w="1290" w:type="dxa"/>
            <w:tcBorders>
              <w:top w:val="single" w:color="D9D9D9" w:sz="2" w:space="0"/>
              <w:bottom w:val="single" w:color="D9D9D9" w:sz="2" w:space="0"/>
            </w:tcBorders>
          </w:tcPr>
          <w:p w:rsidR="00C31389" w:rsidRDefault="00561FBD" w14:paraId="31B845B0" w14:textId="77777777">
            <w:pPr>
              <w:pStyle w:val="TableParagraph"/>
              <w:ind w:right="428"/>
              <w:jc w:val="right"/>
              <w:rPr>
                <w:sz w:val="20"/>
              </w:rPr>
            </w:pPr>
            <w:r>
              <w:rPr>
                <w:spacing w:val="-5"/>
                <w:sz w:val="20"/>
              </w:rPr>
              <w:t>16%</w:t>
            </w:r>
          </w:p>
        </w:tc>
        <w:tc>
          <w:tcPr>
            <w:tcW w:w="1248" w:type="dxa"/>
            <w:tcBorders>
              <w:top w:val="single" w:color="D9D9D9" w:sz="2" w:space="0"/>
              <w:bottom w:val="single" w:color="D9D9D9" w:sz="2" w:space="0"/>
            </w:tcBorders>
          </w:tcPr>
          <w:p w:rsidR="00C31389" w:rsidRDefault="00561FBD" w14:paraId="05564503" w14:textId="77777777">
            <w:pPr>
              <w:pStyle w:val="TableParagraph"/>
              <w:ind w:left="358" w:right="360"/>
              <w:jc w:val="center"/>
              <w:rPr>
                <w:sz w:val="20"/>
              </w:rPr>
            </w:pPr>
            <w:r>
              <w:rPr>
                <w:spacing w:val="-5"/>
                <w:sz w:val="20"/>
              </w:rPr>
              <w:t>20%</w:t>
            </w:r>
          </w:p>
        </w:tc>
        <w:tc>
          <w:tcPr>
            <w:tcW w:w="1655" w:type="dxa"/>
            <w:tcBorders>
              <w:top w:val="single" w:color="D9D9D9" w:sz="2" w:space="0"/>
              <w:bottom w:val="single" w:color="D9D9D9" w:sz="2" w:space="0"/>
            </w:tcBorders>
          </w:tcPr>
          <w:p w:rsidR="00C31389" w:rsidRDefault="00561FBD" w14:paraId="59A22FEC" w14:textId="77777777">
            <w:pPr>
              <w:pStyle w:val="TableParagraph"/>
              <w:ind w:left="660"/>
              <w:rPr>
                <w:sz w:val="20"/>
              </w:rPr>
            </w:pPr>
            <w:r>
              <w:rPr>
                <w:spacing w:val="-5"/>
                <w:sz w:val="20"/>
              </w:rPr>
              <w:t>12%</w:t>
            </w:r>
          </w:p>
        </w:tc>
        <w:tc>
          <w:tcPr>
            <w:tcW w:w="1685" w:type="dxa"/>
            <w:tcBorders>
              <w:top w:val="single" w:color="D9D9D9" w:sz="2" w:space="0"/>
              <w:bottom w:val="single" w:color="D9D9D9" w:sz="2" w:space="0"/>
            </w:tcBorders>
          </w:tcPr>
          <w:p w:rsidR="00C31389" w:rsidRDefault="00561FBD" w14:paraId="3E15548A" w14:textId="77777777">
            <w:pPr>
              <w:pStyle w:val="TableParagraph"/>
              <w:ind w:left="173" w:right="172"/>
              <w:jc w:val="center"/>
              <w:rPr>
                <w:sz w:val="20"/>
              </w:rPr>
            </w:pPr>
            <w:r>
              <w:rPr>
                <w:spacing w:val="-5"/>
                <w:sz w:val="20"/>
              </w:rPr>
              <w:t>0.6</w:t>
            </w:r>
          </w:p>
        </w:tc>
        <w:tc>
          <w:tcPr>
            <w:tcW w:w="1301" w:type="dxa"/>
            <w:tcBorders>
              <w:top w:val="single" w:color="D9D9D9" w:sz="2" w:space="0"/>
              <w:bottom w:val="single" w:color="D9D9D9" w:sz="2" w:space="0"/>
            </w:tcBorders>
          </w:tcPr>
          <w:p w:rsidR="00C31389" w:rsidRDefault="00561FBD" w14:paraId="535909DF" w14:textId="77777777">
            <w:pPr>
              <w:pStyle w:val="TableParagraph"/>
              <w:ind w:left="279" w:right="314"/>
              <w:jc w:val="center"/>
              <w:rPr>
                <w:sz w:val="20"/>
              </w:rPr>
            </w:pPr>
            <w:r>
              <w:rPr>
                <w:spacing w:val="-2"/>
                <w:sz w:val="20"/>
              </w:rPr>
              <w:t>1.873%</w:t>
            </w:r>
          </w:p>
        </w:tc>
      </w:tr>
      <w:tr w:rsidR="00C31389" w14:paraId="218D41AF" w14:textId="77777777">
        <w:trPr>
          <w:trHeight w:val="310"/>
        </w:trPr>
        <w:tc>
          <w:tcPr>
            <w:tcW w:w="2280" w:type="dxa"/>
            <w:tcBorders>
              <w:top w:val="single" w:color="D9D9D9" w:sz="2" w:space="0"/>
              <w:bottom w:val="single" w:color="D9D9D9" w:sz="2" w:space="0"/>
            </w:tcBorders>
          </w:tcPr>
          <w:p w:rsidR="00C31389" w:rsidRDefault="00561FBD" w14:paraId="40A93370" w14:textId="77777777">
            <w:pPr>
              <w:pStyle w:val="TableParagraph"/>
              <w:ind w:left="175"/>
              <w:rPr>
                <w:sz w:val="20"/>
              </w:rPr>
            </w:pPr>
            <w:r>
              <w:rPr>
                <w:sz w:val="20"/>
              </w:rPr>
              <w:t>Lumber</w:t>
            </w:r>
            <w:r>
              <w:rPr>
                <w:spacing w:val="-2"/>
                <w:sz w:val="20"/>
              </w:rPr>
              <w:t xml:space="preserve"> </w:t>
            </w:r>
            <w:r>
              <w:rPr>
                <w:sz w:val="20"/>
              </w:rPr>
              <w:t>&amp;</w:t>
            </w:r>
            <w:r>
              <w:rPr>
                <w:spacing w:val="-2"/>
                <w:sz w:val="20"/>
              </w:rPr>
              <w:t xml:space="preserve"> Furniture</w:t>
            </w:r>
          </w:p>
        </w:tc>
        <w:tc>
          <w:tcPr>
            <w:tcW w:w="1290" w:type="dxa"/>
            <w:tcBorders>
              <w:top w:val="single" w:color="D9D9D9" w:sz="2" w:space="0"/>
              <w:bottom w:val="single" w:color="D9D9D9" w:sz="2" w:space="0"/>
            </w:tcBorders>
          </w:tcPr>
          <w:p w:rsidR="00C31389" w:rsidRDefault="00561FBD" w14:paraId="362739C9" w14:textId="77777777">
            <w:pPr>
              <w:pStyle w:val="TableParagraph"/>
              <w:ind w:right="427"/>
              <w:jc w:val="right"/>
              <w:rPr>
                <w:sz w:val="20"/>
              </w:rPr>
            </w:pPr>
            <w:r>
              <w:rPr>
                <w:spacing w:val="-5"/>
                <w:sz w:val="20"/>
              </w:rPr>
              <w:t>12%</w:t>
            </w:r>
          </w:p>
        </w:tc>
        <w:tc>
          <w:tcPr>
            <w:tcW w:w="1248" w:type="dxa"/>
            <w:tcBorders>
              <w:top w:val="single" w:color="D9D9D9" w:sz="2" w:space="0"/>
              <w:bottom w:val="single" w:color="D9D9D9" w:sz="2" w:space="0"/>
            </w:tcBorders>
          </w:tcPr>
          <w:p w:rsidR="00C31389" w:rsidRDefault="00561FBD" w14:paraId="19E0B5A7" w14:textId="77777777">
            <w:pPr>
              <w:pStyle w:val="TableParagraph"/>
              <w:ind w:left="358" w:right="359"/>
              <w:jc w:val="center"/>
              <w:rPr>
                <w:sz w:val="20"/>
              </w:rPr>
            </w:pPr>
            <w:r>
              <w:rPr>
                <w:spacing w:val="-5"/>
                <w:sz w:val="20"/>
              </w:rPr>
              <w:t>28%</w:t>
            </w:r>
          </w:p>
        </w:tc>
        <w:tc>
          <w:tcPr>
            <w:tcW w:w="1655" w:type="dxa"/>
            <w:tcBorders>
              <w:top w:val="single" w:color="D9D9D9" w:sz="2" w:space="0"/>
              <w:bottom w:val="single" w:color="D9D9D9" w:sz="2" w:space="0"/>
            </w:tcBorders>
          </w:tcPr>
          <w:p w:rsidR="00C31389" w:rsidRDefault="00561FBD" w14:paraId="5CA59524" w14:textId="77777777">
            <w:pPr>
              <w:pStyle w:val="TableParagraph"/>
              <w:ind w:left="659"/>
              <w:rPr>
                <w:sz w:val="20"/>
              </w:rPr>
            </w:pPr>
            <w:r>
              <w:rPr>
                <w:spacing w:val="-5"/>
                <w:sz w:val="20"/>
              </w:rPr>
              <w:t>12%</w:t>
            </w:r>
          </w:p>
        </w:tc>
        <w:tc>
          <w:tcPr>
            <w:tcW w:w="1685" w:type="dxa"/>
            <w:tcBorders>
              <w:top w:val="single" w:color="D9D9D9" w:sz="2" w:space="0"/>
              <w:bottom w:val="single" w:color="D9D9D9" w:sz="2" w:space="0"/>
            </w:tcBorders>
          </w:tcPr>
          <w:p w:rsidR="00C31389" w:rsidRDefault="00561FBD" w14:paraId="57577F3C" w14:textId="77777777">
            <w:pPr>
              <w:pStyle w:val="TableParagraph"/>
              <w:ind w:left="173" w:right="172"/>
              <w:jc w:val="center"/>
              <w:rPr>
                <w:sz w:val="20"/>
              </w:rPr>
            </w:pPr>
            <w:r>
              <w:rPr>
                <w:spacing w:val="-5"/>
                <w:sz w:val="20"/>
              </w:rPr>
              <w:t>0.7</w:t>
            </w:r>
          </w:p>
        </w:tc>
        <w:tc>
          <w:tcPr>
            <w:tcW w:w="1301" w:type="dxa"/>
            <w:tcBorders>
              <w:top w:val="single" w:color="D9D9D9" w:sz="2" w:space="0"/>
              <w:bottom w:val="single" w:color="D9D9D9" w:sz="2" w:space="0"/>
            </w:tcBorders>
          </w:tcPr>
          <w:p w:rsidR="00C31389" w:rsidRDefault="00561FBD" w14:paraId="52B915FC" w14:textId="77777777">
            <w:pPr>
              <w:pStyle w:val="TableParagraph"/>
              <w:ind w:left="279" w:right="314"/>
              <w:jc w:val="center"/>
              <w:rPr>
                <w:sz w:val="20"/>
              </w:rPr>
            </w:pPr>
            <w:r>
              <w:rPr>
                <w:spacing w:val="-2"/>
                <w:sz w:val="20"/>
              </w:rPr>
              <w:t>2.023%</w:t>
            </w:r>
          </w:p>
        </w:tc>
      </w:tr>
      <w:tr w:rsidR="00C31389" w14:paraId="123EFB0A" w14:textId="77777777">
        <w:trPr>
          <w:trHeight w:val="309"/>
        </w:trPr>
        <w:tc>
          <w:tcPr>
            <w:tcW w:w="2280" w:type="dxa"/>
            <w:tcBorders>
              <w:top w:val="single" w:color="D9D9D9" w:sz="2" w:space="0"/>
              <w:bottom w:val="single" w:color="D9D9D9" w:sz="2" w:space="0"/>
            </w:tcBorders>
          </w:tcPr>
          <w:p w:rsidR="00C31389" w:rsidRDefault="00561FBD" w14:paraId="431DA7F2" w14:textId="77777777">
            <w:pPr>
              <w:pStyle w:val="TableParagraph"/>
              <w:ind w:left="175"/>
              <w:rPr>
                <w:sz w:val="20"/>
              </w:rPr>
            </w:pPr>
            <w:r>
              <w:rPr>
                <w:spacing w:val="-2"/>
                <w:sz w:val="20"/>
              </w:rPr>
              <w:t>Electronics</w:t>
            </w:r>
          </w:p>
        </w:tc>
        <w:tc>
          <w:tcPr>
            <w:tcW w:w="1290" w:type="dxa"/>
            <w:tcBorders>
              <w:top w:val="single" w:color="D9D9D9" w:sz="2" w:space="0"/>
              <w:bottom w:val="single" w:color="D9D9D9" w:sz="2" w:space="0"/>
            </w:tcBorders>
          </w:tcPr>
          <w:p w:rsidR="00C31389" w:rsidRDefault="00561FBD" w14:paraId="63C0D2CB" w14:textId="77777777">
            <w:pPr>
              <w:pStyle w:val="TableParagraph"/>
              <w:ind w:right="428"/>
              <w:jc w:val="right"/>
              <w:rPr>
                <w:sz w:val="20"/>
              </w:rPr>
            </w:pPr>
            <w:r>
              <w:rPr>
                <w:spacing w:val="-5"/>
                <w:sz w:val="20"/>
              </w:rPr>
              <w:t>42%</w:t>
            </w:r>
          </w:p>
        </w:tc>
        <w:tc>
          <w:tcPr>
            <w:tcW w:w="1248" w:type="dxa"/>
            <w:tcBorders>
              <w:top w:val="single" w:color="D9D9D9" w:sz="2" w:space="0"/>
              <w:bottom w:val="single" w:color="D9D9D9" w:sz="2" w:space="0"/>
            </w:tcBorders>
          </w:tcPr>
          <w:p w:rsidR="00C31389" w:rsidRDefault="00561FBD" w14:paraId="77639474" w14:textId="77777777">
            <w:pPr>
              <w:pStyle w:val="TableParagraph"/>
              <w:ind w:left="358" w:right="360"/>
              <w:jc w:val="center"/>
              <w:rPr>
                <w:sz w:val="20"/>
              </w:rPr>
            </w:pPr>
            <w:r>
              <w:rPr>
                <w:spacing w:val="-5"/>
                <w:sz w:val="20"/>
              </w:rPr>
              <w:t>10%</w:t>
            </w:r>
          </w:p>
        </w:tc>
        <w:tc>
          <w:tcPr>
            <w:tcW w:w="1655" w:type="dxa"/>
            <w:tcBorders>
              <w:top w:val="single" w:color="D9D9D9" w:sz="2" w:space="0"/>
              <w:bottom w:val="single" w:color="D9D9D9" w:sz="2" w:space="0"/>
            </w:tcBorders>
          </w:tcPr>
          <w:p w:rsidR="00C31389" w:rsidRDefault="00561FBD" w14:paraId="424316C2" w14:textId="77777777">
            <w:pPr>
              <w:pStyle w:val="TableParagraph"/>
              <w:ind w:left="660"/>
              <w:rPr>
                <w:sz w:val="20"/>
              </w:rPr>
            </w:pPr>
            <w:r>
              <w:rPr>
                <w:spacing w:val="-5"/>
                <w:sz w:val="20"/>
              </w:rPr>
              <w:t>12%</w:t>
            </w:r>
          </w:p>
        </w:tc>
        <w:tc>
          <w:tcPr>
            <w:tcW w:w="1685" w:type="dxa"/>
            <w:tcBorders>
              <w:top w:val="single" w:color="D9D9D9" w:sz="2" w:space="0"/>
              <w:bottom w:val="single" w:color="D9D9D9" w:sz="2" w:space="0"/>
            </w:tcBorders>
          </w:tcPr>
          <w:p w:rsidR="00C31389" w:rsidRDefault="00561FBD" w14:paraId="22CCEA9E" w14:textId="77777777">
            <w:pPr>
              <w:pStyle w:val="TableParagraph"/>
              <w:ind w:left="173" w:right="172"/>
              <w:jc w:val="center"/>
              <w:rPr>
                <w:sz w:val="20"/>
              </w:rPr>
            </w:pPr>
            <w:r>
              <w:rPr>
                <w:spacing w:val="-5"/>
                <w:sz w:val="20"/>
              </w:rPr>
              <w:t>0.8</w:t>
            </w:r>
          </w:p>
        </w:tc>
        <w:tc>
          <w:tcPr>
            <w:tcW w:w="1301" w:type="dxa"/>
            <w:tcBorders>
              <w:top w:val="single" w:color="D9D9D9" w:sz="2" w:space="0"/>
              <w:bottom w:val="single" w:color="D9D9D9" w:sz="2" w:space="0"/>
            </w:tcBorders>
          </w:tcPr>
          <w:p w:rsidR="00C31389" w:rsidRDefault="00561FBD" w14:paraId="2A517695" w14:textId="77777777">
            <w:pPr>
              <w:pStyle w:val="TableParagraph"/>
              <w:ind w:left="279" w:right="314"/>
              <w:jc w:val="center"/>
              <w:rPr>
                <w:sz w:val="20"/>
              </w:rPr>
            </w:pPr>
            <w:r>
              <w:rPr>
                <w:spacing w:val="-2"/>
                <w:sz w:val="20"/>
              </w:rPr>
              <w:t>2.496%</w:t>
            </w:r>
          </w:p>
        </w:tc>
      </w:tr>
      <w:tr w:rsidR="00C31389" w14:paraId="3DF70821" w14:textId="77777777">
        <w:trPr>
          <w:trHeight w:val="310"/>
        </w:trPr>
        <w:tc>
          <w:tcPr>
            <w:tcW w:w="2280" w:type="dxa"/>
            <w:tcBorders>
              <w:top w:val="single" w:color="D9D9D9" w:sz="2" w:space="0"/>
              <w:bottom w:val="single" w:color="000000" w:sz="8" w:space="0"/>
            </w:tcBorders>
          </w:tcPr>
          <w:p w:rsidR="00C31389" w:rsidRDefault="00561FBD" w14:paraId="153157FF" w14:textId="77777777">
            <w:pPr>
              <w:pStyle w:val="TableParagraph"/>
              <w:ind w:left="175"/>
              <w:rPr>
                <w:sz w:val="20"/>
              </w:rPr>
            </w:pPr>
            <w:r>
              <w:rPr>
                <w:spacing w:val="-2"/>
                <w:sz w:val="20"/>
              </w:rPr>
              <w:t>Textiles</w:t>
            </w:r>
          </w:p>
        </w:tc>
        <w:tc>
          <w:tcPr>
            <w:tcW w:w="1290" w:type="dxa"/>
            <w:tcBorders>
              <w:top w:val="single" w:color="D9D9D9" w:sz="2" w:space="0"/>
              <w:bottom w:val="single" w:color="000000" w:sz="8" w:space="0"/>
            </w:tcBorders>
          </w:tcPr>
          <w:p w:rsidR="00C31389" w:rsidRDefault="00561FBD" w14:paraId="21098F4E" w14:textId="77777777">
            <w:pPr>
              <w:pStyle w:val="TableParagraph"/>
              <w:ind w:right="428"/>
              <w:jc w:val="right"/>
              <w:rPr>
                <w:sz w:val="20"/>
              </w:rPr>
            </w:pPr>
            <w:r>
              <w:rPr>
                <w:spacing w:val="-5"/>
                <w:sz w:val="20"/>
              </w:rPr>
              <w:t>18%</w:t>
            </w:r>
          </w:p>
        </w:tc>
        <w:tc>
          <w:tcPr>
            <w:tcW w:w="1248" w:type="dxa"/>
            <w:tcBorders>
              <w:top w:val="single" w:color="D9D9D9" w:sz="2" w:space="0"/>
              <w:bottom w:val="single" w:color="000000" w:sz="8" w:space="0"/>
            </w:tcBorders>
          </w:tcPr>
          <w:p w:rsidR="00C31389" w:rsidRDefault="00561FBD" w14:paraId="06CB699F" w14:textId="77777777">
            <w:pPr>
              <w:pStyle w:val="TableParagraph"/>
              <w:ind w:left="358" w:right="360"/>
              <w:jc w:val="center"/>
              <w:rPr>
                <w:sz w:val="20"/>
              </w:rPr>
            </w:pPr>
            <w:r>
              <w:rPr>
                <w:spacing w:val="-5"/>
                <w:sz w:val="20"/>
              </w:rPr>
              <w:t>19%</w:t>
            </w:r>
          </w:p>
        </w:tc>
        <w:tc>
          <w:tcPr>
            <w:tcW w:w="1655" w:type="dxa"/>
            <w:tcBorders>
              <w:top w:val="single" w:color="D9D9D9" w:sz="2" w:space="0"/>
              <w:bottom w:val="single" w:color="000000" w:sz="8" w:space="0"/>
            </w:tcBorders>
          </w:tcPr>
          <w:p w:rsidR="00C31389" w:rsidRDefault="00561FBD" w14:paraId="449FBAC6" w14:textId="77777777">
            <w:pPr>
              <w:pStyle w:val="TableParagraph"/>
              <w:ind w:left="659"/>
              <w:rPr>
                <w:sz w:val="20"/>
              </w:rPr>
            </w:pPr>
            <w:r>
              <w:rPr>
                <w:spacing w:val="-5"/>
                <w:sz w:val="20"/>
              </w:rPr>
              <w:t>13%</w:t>
            </w:r>
          </w:p>
        </w:tc>
        <w:tc>
          <w:tcPr>
            <w:tcW w:w="1685" w:type="dxa"/>
            <w:tcBorders>
              <w:top w:val="single" w:color="D9D9D9" w:sz="2" w:space="0"/>
              <w:bottom w:val="single" w:color="000000" w:sz="8" w:space="0"/>
            </w:tcBorders>
          </w:tcPr>
          <w:p w:rsidR="00C31389" w:rsidRDefault="00561FBD" w14:paraId="3ECD18BE" w14:textId="77777777">
            <w:pPr>
              <w:pStyle w:val="TableParagraph"/>
              <w:ind w:left="173" w:right="172"/>
              <w:jc w:val="center"/>
              <w:rPr>
                <w:sz w:val="20"/>
              </w:rPr>
            </w:pPr>
            <w:r>
              <w:rPr>
                <w:spacing w:val="-5"/>
                <w:sz w:val="20"/>
              </w:rPr>
              <w:t>0.6</w:t>
            </w:r>
          </w:p>
        </w:tc>
        <w:tc>
          <w:tcPr>
            <w:tcW w:w="1301" w:type="dxa"/>
            <w:tcBorders>
              <w:top w:val="single" w:color="D9D9D9" w:sz="2" w:space="0"/>
              <w:bottom w:val="single" w:color="000000" w:sz="8" w:space="0"/>
            </w:tcBorders>
          </w:tcPr>
          <w:p w:rsidR="00C31389" w:rsidRDefault="00561FBD" w14:paraId="5D3B108E" w14:textId="77777777">
            <w:pPr>
              <w:pStyle w:val="TableParagraph"/>
              <w:ind w:left="278" w:right="314"/>
              <w:jc w:val="center"/>
              <w:rPr>
                <w:sz w:val="20"/>
              </w:rPr>
            </w:pPr>
            <w:r>
              <w:rPr>
                <w:spacing w:val="-2"/>
                <w:sz w:val="20"/>
              </w:rPr>
              <w:t>1.947%</w:t>
            </w:r>
          </w:p>
        </w:tc>
      </w:tr>
    </w:tbl>
    <w:p w:rsidR="00C31389" w:rsidRDefault="00561FBD" w14:paraId="48FFAD15" w14:textId="77777777">
      <w:pPr>
        <w:spacing w:before="78"/>
        <w:ind w:left="480"/>
        <w:rPr>
          <w:i/>
          <w:sz w:val="18"/>
        </w:rPr>
      </w:pPr>
      <w:r>
        <w:rPr>
          <w:i/>
          <w:sz w:val="18"/>
        </w:rPr>
        <w:t>Source:</w:t>
      </w:r>
      <w:r>
        <w:rPr>
          <w:i/>
          <w:spacing w:val="-7"/>
          <w:sz w:val="18"/>
        </w:rPr>
        <w:t xml:space="preserve"> </w:t>
      </w:r>
      <w:r>
        <w:rPr>
          <w:i/>
          <w:sz w:val="18"/>
        </w:rPr>
        <w:t>Guidehouse</w:t>
      </w:r>
      <w:r>
        <w:rPr>
          <w:i/>
          <w:spacing w:val="-4"/>
          <w:sz w:val="18"/>
        </w:rPr>
        <w:t xml:space="preserve"> team</w:t>
      </w:r>
    </w:p>
    <w:p w:rsidR="00C31389" w:rsidRDefault="00C31389" w14:paraId="139FE954" w14:textId="77777777">
      <w:pPr>
        <w:pStyle w:val="BodyText"/>
        <w:spacing w:before="10"/>
        <w:rPr>
          <w:i/>
          <w:sz w:val="20"/>
        </w:rPr>
      </w:pPr>
    </w:p>
    <w:p w:rsidR="00C31389" w:rsidRDefault="00561FBD" w14:paraId="78C7082A" w14:textId="77777777">
      <w:pPr>
        <w:pStyle w:val="BodyText"/>
        <w:spacing w:before="1"/>
        <w:ind w:left="480" w:right="420"/>
      </w:pPr>
      <w:r>
        <w:t xml:space="preserve">The 2023 Study uses this same process to develop savings multipliers for the agriculture </w:t>
      </w:r>
      <w:r>
        <w:t>sector; however, because North American Industry Classification System (NAICS) codes associated with the agriculture sector were changed to align with the Integrated Energy Policy Report (IEPR) definition of the agriculture sector, the same level of data u</w:t>
      </w:r>
      <w:r>
        <w:t>sed in the industrial</w:t>
      </w:r>
      <w:r>
        <w:rPr>
          <w:spacing w:val="-4"/>
        </w:rPr>
        <w:t xml:space="preserve"> </w:t>
      </w:r>
      <w:r>
        <w:t>sector</w:t>
      </w:r>
      <w:r>
        <w:rPr>
          <w:spacing w:val="-3"/>
        </w:rPr>
        <w:t xml:space="preserve"> </w:t>
      </w:r>
      <w:r>
        <w:t>forecast</w:t>
      </w:r>
      <w:r>
        <w:rPr>
          <w:spacing w:val="-4"/>
        </w:rPr>
        <w:t xml:space="preserve"> </w:t>
      </w:r>
      <w:r>
        <w:t>was</w:t>
      </w:r>
      <w:r>
        <w:rPr>
          <w:spacing w:val="-3"/>
        </w:rPr>
        <w:t xml:space="preserve"> </w:t>
      </w:r>
      <w:r>
        <w:t>not</w:t>
      </w:r>
      <w:r>
        <w:rPr>
          <w:spacing w:val="-3"/>
        </w:rPr>
        <w:t xml:space="preserve"> </w:t>
      </w:r>
      <w:r>
        <w:t>available.</w:t>
      </w:r>
      <w:r>
        <w:rPr>
          <w:spacing w:val="-3"/>
        </w:rPr>
        <w:t xml:space="preserve"> </w:t>
      </w:r>
      <w:r>
        <w:t>As</w:t>
      </w:r>
      <w:r>
        <w:rPr>
          <w:spacing w:val="-4"/>
        </w:rPr>
        <w:t xml:space="preserve"> </w:t>
      </w:r>
      <w:r>
        <w:t>such,</w:t>
      </w:r>
      <w:r>
        <w:rPr>
          <w:spacing w:val="-3"/>
        </w:rPr>
        <w:t xml:space="preserve"> </w:t>
      </w:r>
      <w:r>
        <w:t>the</w:t>
      </w:r>
      <w:r>
        <w:rPr>
          <w:spacing w:val="-3"/>
        </w:rPr>
        <w:t xml:space="preserve"> </w:t>
      </w:r>
      <w:r>
        <w:t>Guidehouse</w:t>
      </w:r>
      <w:r>
        <w:rPr>
          <w:spacing w:val="-3"/>
        </w:rPr>
        <w:t xml:space="preserve"> </w:t>
      </w:r>
      <w:r>
        <w:t>team</w:t>
      </w:r>
      <w:r>
        <w:rPr>
          <w:spacing w:val="-4"/>
        </w:rPr>
        <w:t xml:space="preserve"> </w:t>
      </w:r>
      <w:r>
        <w:t>used</w:t>
      </w:r>
      <w:r>
        <w:rPr>
          <w:spacing w:val="-3"/>
        </w:rPr>
        <w:t xml:space="preserve"> </w:t>
      </w:r>
      <w:r>
        <w:t>the</w:t>
      </w:r>
      <w:r>
        <w:rPr>
          <w:spacing w:val="-3"/>
        </w:rPr>
        <w:t xml:space="preserve"> </w:t>
      </w:r>
      <w:r>
        <w:t>average</w:t>
      </w:r>
    </w:p>
    <w:p w:rsidR="00C31389" w:rsidRDefault="00C31389" w14:paraId="06912C7F" w14:textId="77777777">
      <w:pPr>
        <w:sectPr w:rsidR="00C31389">
          <w:headerReference w:type="default" r:id="rId294"/>
          <w:footerReference w:type="default" r:id="rId295"/>
          <w:pgSz w:w="11910" w:h="16840"/>
          <w:pgMar w:top="1380" w:right="1020" w:bottom="1120" w:left="960" w:header="397" w:footer="938" w:gutter="0"/>
          <w:cols w:space="720"/>
        </w:sectPr>
      </w:pPr>
    </w:p>
    <w:p w:rsidR="00C31389" w:rsidRDefault="00C31389" w14:paraId="0A64B3B8" w14:textId="77777777">
      <w:pPr>
        <w:pStyle w:val="BodyText"/>
        <w:spacing w:before="11"/>
        <w:rPr>
          <w:sz w:val="13"/>
        </w:rPr>
      </w:pPr>
    </w:p>
    <w:p w:rsidR="00C31389" w:rsidRDefault="00561FBD" w14:paraId="544F5A6E" w14:textId="77777777">
      <w:pPr>
        <w:pStyle w:val="BodyText"/>
        <w:spacing w:before="92"/>
        <w:ind w:left="480" w:right="505"/>
      </w:pPr>
      <w:r>
        <w:t xml:space="preserve">UES for O&amp;M savings of </w:t>
      </w:r>
      <w:r>
        <w:t>3.0% of annual sector-level consumption for most agriculture market</w:t>
      </w:r>
      <w:r>
        <w:rPr>
          <w:spacing w:val="-3"/>
        </w:rPr>
        <w:t xml:space="preserve"> </w:t>
      </w:r>
      <w:r>
        <w:t>segments</w:t>
      </w:r>
      <w:r>
        <w:rPr>
          <w:spacing w:val="-3"/>
        </w:rPr>
        <w:t xml:space="preserve"> </w:t>
      </w:r>
      <w:r>
        <w:t>and</w:t>
      </w:r>
      <w:r>
        <w:rPr>
          <w:spacing w:val="-3"/>
        </w:rPr>
        <w:t xml:space="preserve"> </w:t>
      </w:r>
      <w:r>
        <w:t>adjusted</w:t>
      </w:r>
      <w:r>
        <w:rPr>
          <w:spacing w:val="-3"/>
        </w:rPr>
        <w:t xml:space="preserve"> </w:t>
      </w:r>
      <w:r>
        <w:t>it</w:t>
      </w:r>
      <w:r>
        <w:rPr>
          <w:spacing w:val="-3"/>
        </w:rPr>
        <w:t xml:space="preserve"> </w:t>
      </w:r>
      <w:r>
        <w:t>for</w:t>
      </w:r>
      <w:r>
        <w:rPr>
          <w:spacing w:val="-4"/>
        </w:rPr>
        <w:t xml:space="preserve"> </w:t>
      </w:r>
      <w:r>
        <w:t>segments</w:t>
      </w:r>
      <w:r>
        <w:rPr>
          <w:spacing w:val="-3"/>
        </w:rPr>
        <w:t xml:space="preserve"> </w:t>
      </w:r>
      <w:r>
        <w:t>that</w:t>
      </w:r>
      <w:r>
        <w:rPr>
          <w:spacing w:val="-3"/>
        </w:rPr>
        <w:t xml:space="preserve"> </w:t>
      </w:r>
      <w:r>
        <w:t>are</w:t>
      </w:r>
      <w:r>
        <w:rPr>
          <w:spacing w:val="-3"/>
        </w:rPr>
        <w:t xml:space="preserve"> </w:t>
      </w:r>
      <w:r>
        <w:t>primarily</w:t>
      </w:r>
      <w:r>
        <w:rPr>
          <w:spacing w:val="-3"/>
        </w:rPr>
        <w:t xml:space="preserve"> </w:t>
      </w:r>
      <w:r>
        <w:t>large</w:t>
      </w:r>
      <w:r>
        <w:rPr>
          <w:spacing w:val="-3"/>
        </w:rPr>
        <w:t xml:space="preserve"> </w:t>
      </w:r>
      <w:r>
        <w:t>motor</w:t>
      </w:r>
      <w:r>
        <w:rPr>
          <w:spacing w:val="-3"/>
        </w:rPr>
        <w:t xml:space="preserve"> </w:t>
      </w:r>
      <w:r>
        <w:t>loads,</w:t>
      </w:r>
      <w:r>
        <w:rPr>
          <w:spacing w:val="-3"/>
        </w:rPr>
        <w:t xml:space="preserve"> </w:t>
      </w:r>
      <w:r>
        <w:t>such</w:t>
      </w:r>
      <w:r>
        <w:rPr>
          <w:spacing w:val="-3"/>
        </w:rPr>
        <w:t xml:space="preserve"> </w:t>
      </w:r>
      <w:r>
        <w:t xml:space="preserve">as municipal and irrigation water pumping, as </w:t>
      </w:r>
      <w:hyperlink w:history="1" w:anchor="_bookmark447">
        <w:r>
          <w:t>Table D-21</w:t>
        </w:r>
      </w:hyperlink>
      <w:r>
        <w:t xml:space="preserve"> shows.</w:t>
      </w:r>
    </w:p>
    <w:p w:rsidR="00C31389" w:rsidRDefault="00C31389" w14:paraId="034D1DD5" w14:textId="77777777">
      <w:pPr>
        <w:pStyle w:val="BodyText"/>
        <w:spacing w:before="10"/>
        <w:rPr>
          <w:sz w:val="20"/>
        </w:rPr>
      </w:pPr>
    </w:p>
    <w:p w:rsidR="00C31389" w:rsidRDefault="00561FBD" w14:paraId="407E2F1F" w14:textId="77777777">
      <w:pPr>
        <w:pStyle w:val="Heading7"/>
        <w:ind w:left="398" w:right="338"/>
        <w:jc w:val="center"/>
      </w:pPr>
      <w:bookmarkStart w:name="_bookmark447" w:id="581"/>
      <w:bookmarkEnd w:id="581"/>
      <w:r>
        <w:t>Table</w:t>
      </w:r>
      <w:r>
        <w:rPr>
          <w:spacing w:val="-8"/>
        </w:rPr>
        <w:t xml:space="preserve"> </w:t>
      </w:r>
      <w:r>
        <w:t>D-21.</w:t>
      </w:r>
      <w:r>
        <w:rPr>
          <w:spacing w:val="-9"/>
        </w:rPr>
        <w:t xml:space="preserve"> </w:t>
      </w:r>
      <w:r>
        <w:t>Agriculture</w:t>
      </w:r>
      <w:r>
        <w:rPr>
          <w:spacing w:val="-7"/>
        </w:rPr>
        <w:t xml:space="preserve"> </w:t>
      </w:r>
      <w:r>
        <w:t>SEM</w:t>
      </w:r>
      <w:r>
        <w:rPr>
          <w:spacing w:val="-8"/>
        </w:rPr>
        <w:t xml:space="preserve"> </w:t>
      </w:r>
      <w:r>
        <w:t>Electricity</w:t>
      </w:r>
      <w:r>
        <w:rPr>
          <w:spacing w:val="-7"/>
        </w:rPr>
        <w:t xml:space="preserve"> </w:t>
      </w:r>
      <w:r>
        <w:t>and</w:t>
      </w:r>
      <w:r>
        <w:rPr>
          <w:spacing w:val="-8"/>
        </w:rPr>
        <w:t xml:space="preserve"> </w:t>
      </w:r>
      <w:r>
        <w:t>Natural</w:t>
      </w:r>
      <w:r>
        <w:rPr>
          <w:spacing w:val="-8"/>
        </w:rPr>
        <w:t xml:space="preserve"> </w:t>
      </w:r>
      <w:r>
        <w:t>Gas</w:t>
      </w:r>
      <w:r>
        <w:rPr>
          <w:spacing w:val="-7"/>
        </w:rPr>
        <w:t xml:space="preserve"> </w:t>
      </w:r>
      <w:r>
        <w:t>UES</w:t>
      </w:r>
      <w:r>
        <w:rPr>
          <w:spacing w:val="-8"/>
        </w:rPr>
        <w:t xml:space="preserve"> </w:t>
      </w:r>
      <w:r>
        <w:rPr>
          <w:spacing w:val="-2"/>
        </w:rPr>
        <w:t>Multipliers</w:t>
      </w:r>
    </w:p>
    <w:p w:rsidR="00C31389" w:rsidRDefault="00C31389" w14:paraId="43E2A1B0" w14:textId="77777777">
      <w:pPr>
        <w:pStyle w:val="BodyText"/>
        <w:spacing w:before="7"/>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6188"/>
        <w:gridCol w:w="1341"/>
        <w:gridCol w:w="1847"/>
      </w:tblGrid>
      <w:tr w:rsidR="00C31389" w14:paraId="470CF1E5" w14:textId="77777777">
        <w:trPr>
          <w:trHeight w:val="549"/>
        </w:trPr>
        <w:tc>
          <w:tcPr>
            <w:tcW w:w="6188" w:type="dxa"/>
            <w:shd w:val="clear" w:color="auto" w:fill="92D400"/>
          </w:tcPr>
          <w:p w:rsidR="00C31389" w:rsidRDefault="00561FBD" w14:paraId="6861BD38" w14:textId="77777777">
            <w:pPr>
              <w:pStyle w:val="TableParagraph"/>
              <w:spacing w:before="155"/>
              <w:ind w:left="129"/>
              <w:rPr>
                <w:b/>
                <w:sz w:val="20"/>
              </w:rPr>
            </w:pPr>
            <w:r>
              <w:rPr>
                <w:b/>
                <w:spacing w:val="-2"/>
                <w:sz w:val="20"/>
              </w:rPr>
              <w:t>Segment</w:t>
            </w:r>
          </w:p>
        </w:tc>
        <w:tc>
          <w:tcPr>
            <w:tcW w:w="1341" w:type="dxa"/>
            <w:shd w:val="clear" w:color="auto" w:fill="92D400"/>
          </w:tcPr>
          <w:p w:rsidR="00C31389" w:rsidRDefault="00561FBD" w14:paraId="08A4F6D9" w14:textId="77777777">
            <w:pPr>
              <w:pStyle w:val="TableParagraph"/>
              <w:spacing w:before="155"/>
              <w:ind w:left="283" w:right="417"/>
              <w:jc w:val="center"/>
              <w:rPr>
                <w:b/>
                <w:sz w:val="20"/>
              </w:rPr>
            </w:pPr>
            <w:r>
              <w:rPr>
                <w:b/>
                <w:spacing w:val="-4"/>
                <w:sz w:val="20"/>
              </w:rPr>
              <w:t>Fuel</w:t>
            </w:r>
          </w:p>
        </w:tc>
        <w:tc>
          <w:tcPr>
            <w:tcW w:w="1847" w:type="dxa"/>
            <w:shd w:val="clear" w:color="auto" w:fill="92D400"/>
          </w:tcPr>
          <w:p w:rsidR="00C31389" w:rsidRDefault="00561FBD" w14:paraId="3B9E8CB8" w14:textId="77777777">
            <w:pPr>
              <w:pStyle w:val="TableParagraph"/>
              <w:ind w:left="430"/>
              <w:rPr>
                <w:b/>
                <w:sz w:val="20"/>
              </w:rPr>
            </w:pPr>
            <w:r>
              <w:rPr>
                <w:b/>
                <w:sz w:val="20"/>
              </w:rPr>
              <w:t>SEM</w:t>
            </w:r>
            <w:r>
              <w:rPr>
                <w:b/>
                <w:spacing w:val="-5"/>
                <w:sz w:val="20"/>
              </w:rPr>
              <w:t xml:space="preserve"> UES</w:t>
            </w:r>
          </w:p>
          <w:p w:rsidR="00C31389" w:rsidRDefault="00561FBD" w14:paraId="4C8936ED" w14:textId="77777777">
            <w:pPr>
              <w:pStyle w:val="TableParagraph"/>
              <w:spacing w:before="1"/>
              <w:ind w:left="436"/>
              <w:rPr>
                <w:b/>
                <w:sz w:val="20"/>
              </w:rPr>
            </w:pPr>
            <w:r>
              <w:rPr>
                <w:b/>
                <w:spacing w:val="-2"/>
                <w:sz w:val="20"/>
              </w:rPr>
              <w:t>Multiplier</w:t>
            </w:r>
          </w:p>
        </w:tc>
      </w:tr>
      <w:tr w:rsidR="00C31389" w14:paraId="591AD230" w14:textId="77777777">
        <w:trPr>
          <w:trHeight w:val="310"/>
        </w:trPr>
        <w:tc>
          <w:tcPr>
            <w:tcW w:w="6188" w:type="dxa"/>
            <w:tcBorders>
              <w:bottom w:val="single" w:color="D9D9D9" w:sz="2" w:space="0"/>
            </w:tcBorders>
          </w:tcPr>
          <w:p w:rsidR="00C31389" w:rsidRDefault="00561FBD" w14:paraId="56A8C930" w14:textId="77777777">
            <w:pPr>
              <w:pStyle w:val="TableParagraph"/>
              <w:spacing w:before="41"/>
              <w:ind w:left="129"/>
              <w:rPr>
                <w:sz w:val="20"/>
              </w:rPr>
            </w:pPr>
            <w:r>
              <w:rPr>
                <w:sz w:val="20"/>
              </w:rPr>
              <w:t>Ag</w:t>
            </w:r>
            <w:r>
              <w:rPr>
                <w:spacing w:val="-4"/>
                <w:sz w:val="20"/>
              </w:rPr>
              <w:t xml:space="preserve"> </w:t>
            </w:r>
            <w:r>
              <w:rPr>
                <w:sz w:val="20"/>
              </w:rPr>
              <w:t>–</w:t>
            </w:r>
            <w:r>
              <w:rPr>
                <w:spacing w:val="-4"/>
                <w:sz w:val="20"/>
              </w:rPr>
              <w:t xml:space="preserve"> </w:t>
            </w:r>
            <w:r>
              <w:rPr>
                <w:sz w:val="20"/>
              </w:rPr>
              <w:t>Irrigated</w:t>
            </w:r>
            <w:r>
              <w:rPr>
                <w:spacing w:val="-5"/>
                <w:sz w:val="20"/>
              </w:rPr>
              <w:t xml:space="preserve"> </w:t>
            </w:r>
            <w:r>
              <w:rPr>
                <w:sz w:val="20"/>
              </w:rPr>
              <w:t>Agriculture,</w:t>
            </w:r>
            <w:r>
              <w:rPr>
                <w:spacing w:val="-4"/>
                <w:sz w:val="20"/>
              </w:rPr>
              <w:t xml:space="preserve"> </w:t>
            </w:r>
            <w:r>
              <w:rPr>
                <w:sz w:val="20"/>
              </w:rPr>
              <w:t>Vineyards,</w:t>
            </w:r>
            <w:r>
              <w:rPr>
                <w:spacing w:val="-4"/>
                <w:sz w:val="20"/>
              </w:rPr>
              <w:t xml:space="preserve"> </w:t>
            </w:r>
            <w:r>
              <w:rPr>
                <w:sz w:val="20"/>
              </w:rPr>
              <w:t>Forestry,</w:t>
            </w:r>
            <w:r>
              <w:rPr>
                <w:spacing w:val="-4"/>
                <w:sz w:val="20"/>
              </w:rPr>
              <w:t xml:space="preserve"> </w:t>
            </w:r>
            <w:r>
              <w:rPr>
                <w:sz w:val="20"/>
              </w:rPr>
              <w:t>and</w:t>
            </w:r>
            <w:r>
              <w:rPr>
                <w:spacing w:val="-4"/>
                <w:sz w:val="20"/>
              </w:rPr>
              <w:t xml:space="preserve"> </w:t>
            </w:r>
            <w:r>
              <w:rPr>
                <w:spacing w:val="-2"/>
                <w:sz w:val="20"/>
              </w:rPr>
              <w:t>Greenhouses</w:t>
            </w:r>
          </w:p>
        </w:tc>
        <w:tc>
          <w:tcPr>
            <w:tcW w:w="1341" w:type="dxa"/>
            <w:tcBorders>
              <w:bottom w:val="single" w:color="D9D9D9" w:sz="2" w:space="0"/>
            </w:tcBorders>
          </w:tcPr>
          <w:p w:rsidR="00C31389" w:rsidRDefault="00561FBD" w14:paraId="243B1EF7" w14:textId="77777777">
            <w:pPr>
              <w:pStyle w:val="TableParagraph"/>
              <w:spacing w:before="41"/>
              <w:ind w:left="283" w:right="417"/>
              <w:jc w:val="center"/>
              <w:rPr>
                <w:sz w:val="20"/>
              </w:rPr>
            </w:pPr>
            <w:r>
              <w:rPr>
                <w:spacing w:val="-5"/>
                <w:sz w:val="20"/>
              </w:rPr>
              <w:t>kWh</w:t>
            </w:r>
          </w:p>
        </w:tc>
        <w:tc>
          <w:tcPr>
            <w:tcW w:w="1847" w:type="dxa"/>
            <w:tcBorders>
              <w:bottom w:val="single" w:color="D9D9D9" w:sz="2" w:space="0"/>
            </w:tcBorders>
          </w:tcPr>
          <w:p w:rsidR="00C31389" w:rsidRDefault="00561FBD" w14:paraId="0B1FAC1F" w14:textId="77777777">
            <w:pPr>
              <w:pStyle w:val="TableParagraph"/>
              <w:spacing w:before="41"/>
              <w:ind w:left="652"/>
              <w:rPr>
                <w:sz w:val="20"/>
              </w:rPr>
            </w:pPr>
            <w:r>
              <w:rPr>
                <w:spacing w:val="-4"/>
                <w:sz w:val="20"/>
              </w:rPr>
              <w:t>3.1%</w:t>
            </w:r>
          </w:p>
        </w:tc>
      </w:tr>
      <w:tr w:rsidR="00C31389" w14:paraId="779A4D52" w14:textId="77777777">
        <w:trPr>
          <w:trHeight w:val="309"/>
        </w:trPr>
        <w:tc>
          <w:tcPr>
            <w:tcW w:w="6188" w:type="dxa"/>
            <w:tcBorders>
              <w:top w:val="single" w:color="D9D9D9" w:sz="2" w:space="0"/>
              <w:bottom w:val="single" w:color="D9D9D9" w:sz="2" w:space="0"/>
            </w:tcBorders>
          </w:tcPr>
          <w:p w:rsidR="00C31389" w:rsidRDefault="00561FBD" w14:paraId="74FE6CBA" w14:textId="77777777">
            <w:pPr>
              <w:pStyle w:val="TableParagraph"/>
              <w:ind w:left="129"/>
              <w:rPr>
                <w:sz w:val="20"/>
              </w:rPr>
            </w:pPr>
            <w:r>
              <w:rPr>
                <w:sz w:val="20"/>
              </w:rPr>
              <w:t>Ag</w:t>
            </w:r>
            <w:r>
              <w:rPr>
                <w:spacing w:val="-3"/>
                <w:sz w:val="20"/>
              </w:rPr>
              <w:t xml:space="preserve"> </w:t>
            </w:r>
            <w:r>
              <w:rPr>
                <w:sz w:val="20"/>
              </w:rPr>
              <w:t>–</w:t>
            </w:r>
            <w:r>
              <w:rPr>
                <w:spacing w:val="-3"/>
                <w:sz w:val="20"/>
              </w:rPr>
              <w:t xml:space="preserve"> </w:t>
            </w:r>
            <w:r>
              <w:rPr>
                <w:sz w:val="20"/>
              </w:rPr>
              <w:t>Dairies,</w:t>
            </w:r>
            <w:r>
              <w:rPr>
                <w:spacing w:val="-4"/>
                <w:sz w:val="20"/>
              </w:rPr>
              <w:t xml:space="preserve"> </w:t>
            </w:r>
            <w:r>
              <w:rPr>
                <w:sz w:val="20"/>
              </w:rPr>
              <w:t>Fishing,</w:t>
            </w:r>
            <w:r>
              <w:rPr>
                <w:spacing w:val="-3"/>
                <w:sz w:val="20"/>
              </w:rPr>
              <w:t xml:space="preserve"> </w:t>
            </w:r>
            <w:r>
              <w:rPr>
                <w:sz w:val="20"/>
              </w:rPr>
              <w:t>and</w:t>
            </w:r>
            <w:r>
              <w:rPr>
                <w:spacing w:val="-3"/>
                <w:sz w:val="20"/>
              </w:rPr>
              <w:t xml:space="preserve"> </w:t>
            </w:r>
            <w:r>
              <w:rPr>
                <w:spacing w:val="-2"/>
                <w:sz w:val="20"/>
              </w:rPr>
              <w:t>Hunting</w:t>
            </w:r>
          </w:p>
        </w:tc>
        <w:tc>
          <w:tcPr>
            <w:tcW w:w="1341" w:type="dxa"/>
            <w:tcBorders>
              <w:top w:val="single" w:color="D9D9D9" w:sz="2" w:space="0"/>
              <w:bottom w:val="single" w:color="D9D9D9" w:sz="2" w:space="0"/>
            </w:tcBorders>
          </w:tcPr>
          <w:p w:rsidR="00C31389" w:rsidRDefault="00561FBD" w14:paraId="5F9E0DFC" w14:textId="77777777">
            <w:pPr>
              <w:pStyle w:val="TableParagraph"/>
              <w:ind w:left="283" w:right="417"/>
              <w:jc w:val="center"/>
              <w:rPr>
                <w:sz w:val="20"/>
              </w:rPr>
            </w:pPr>
            <w:r>
              <w:rPr>
                <w:spacing w:val="-5"/>
                <w:sz w:val="20"/>
              </w:rPr>
              <w:t>kWh</w:t>
            </w:r>
          </w:p>
        </w:tc>
        <w:tc>
          <w:tcPr>
            <w:tcW w:w="1847" w:type="dxa"/>
            <w:tcBorders>
              <w:top w:val="single" w:color="D9D9D9" w:sz="2" w:space="0"/>
              <w:bottom w:val="single" w:color="D9D9D9" w:sz="2" w:space="0"/>
            </w:tcBorders>
          </w:tcPr>
          <w:p w:rsidR="00C31389" w:rsidRDefault="00561FBD" w14:paraId="4D8B6479" w14:textId="77777777">
            <w:pPr>
              <w:pStyle w:val="TableParagraph"/>
              <w:ind w:left="652"/>
              <w:rPr>
                <w:sz w:val="20"/>
              </w:rPr>
            </w:pPr>
            <w:r>
              <w:rPr>
                <w:spacing w:val="-4"/>
                <w:sz w:val="20"/>
              </w:rPr>
              <w:t>3.1%</w:t>
            </w:r>
          </w:p>
        </w:tc>
      </w:tr>
      <w:tr w:rsidR="00C31389" w14:paraId="6E780EE7" w14:textId="77777777">
        <w:trPr>
          <w:trHeight w:val="310"/>
        </w:trPr>
        <w:tc>
          <w:tcPr>
            <w:tcW w:w="6188" w:type="dxa"/>
            <w:tcBorders>
              <w:top w:val="single" w:color="D9D9D9" w:sz="2" w:space="0"/>
              <w:bottom w:val="single" w:color="D9D9D9" w:sz="2" w:space="0"/>
            </w:tcBorders>
          </w:tcPr>
          <w:p w:rsidR="00C31389" w:rsidRDefault="00561FBD" w14:paraId="75953B0C" w14:textId="77777777">
            <w:pPr>
              <w:pStyle w:val="TableParagraph"/>
              <w:ind w:left="129"/>
              <w:rPr>
                <w:sz w:val="20"/>
              </w:rPr>
            </w:pPr>
            <w:r>
              <w:rPr>
                <w:sz w:val="20"/>
              </w:rPr>
              <w:t>Ag</w:t>
            </w:r>
            <w:r>
              <w:rPr>
                <w:spacing w:val="-2"/>
                <w:sz w:val="20"/>
              </w:rPr>
              <w:t xml:space="preserve"> </w:t>
            </w:r>
            <w:r>
              <w:rPr>
                <w:sz w:val="20"/>
              </w:rPr>
              <w:t>–</w:t>
            </w:r>
            <w:r>
              <w:rPr>
                <w:spacing w:val="-2"/>
                <w:sz w:val="20"/>
              </w:rPr>
              <w:t xml:space="preserve"> </w:t>
            </w:r>
            <w:r>
              <w:rPr>
                <w:sz w:val="20"/>
              </w:rPr>
              <w:t>Water</w:t>
            </w:r>
            <w:r>
              <w:rPr>
                <w:spacing w:val="-1"/>
                <w:sz w:val="20"/>
              </w:rPr>
              <w:t xml:space="preserve"> </w:t>
            </w:r>
            <w:r>
              <w:rPr>
                <w:spacing w:val="-2"/>
                <w:sz w:val="20"/>
              </w:rPr>
              <w:t>Pumping</w:t>
            </w:r>
          </w:p>
        </w:tc>
        <w:tc>
          <w:tcPr>
            <w:tcW w:w="1341" w:type="dxa"/>
            <w:tcBorders>
              <w:top w:val="single" w:color="D9D9D9" w:sz="2" w:space="0"/>
              <w:bottom w:val="single" w:color="D9D9D9" w:sz="2" w:space="0"/>
            </w:tcBorders>
          </w:tcPr>
          <w:p w:rsidR="00C31389" w:rsidRDefault="00561FBD" w14:paraId="790729BA" w14:textId="77777777">
            <w:pPr>
              <w:pStyle w:val="TableParagraph"/>
              <w:ind w:left="283" w:right="417"/>
              <w:jc w:val="center"/>
              <w:rPr>
                <w:sz w:val="20"/>
              </w:rPr>
            </w:pPr>
            <w:r>
              <w:rPr>
                <w:spacing w:val="-5"/>
                <w:sz w:val="20"/>
              </w:rPr>
              <w:t>kWh</w:t>
            </w:r>
          </w:p>
        </w:tc>
        <w:tc>
          <w:tcPr>
            <w:tcW w:w="1847" w:type="dxa"/>
            <w:tcBorders>
              <w:top w:val="single" w:color="D9D9D9" w:sz="2" w:space="0"/>
              <w:bottom w:val="single" w:color="D9D9D9" w:sz="2" w:space="0"/>
            </w:tcBorders>
          </w:tcPr>
          <w:p w:rsidR="00C31389" w:rsidRDefault="00561FBD" w14:paraId="22D8B3D7" w14:textId="77777777">
            <w:pPr>
              <w:pStyle w:val="TableParagraph"/>
              <w:ind w:left="652"/>
              <w:rPr>
                <w:sz w:val="20"/>
              </w:rPr>
            </w:pPr>
            <w:r>
              <w:rPr>
                <w:spacing w:val="-4"/>
                <w:sz w:val="20"/>
              </w:rPr>
              <w:t>3.9%</w:t>
            </w:r>
          </w:p>
        </w:tc>
      </w:tr>
      <w:tr w:rsidR="00C31389" w14:paraId="71794ED2" w14:textId="77777777">
        <w:trPr>
          <w:trHeight w:val="309"/>
        </w:trPr>
        <w:tc>
          <w:tcPr>
            <w:tcW w:w="6188" w:type="dxa"/>
            <w:tcBorders>
              <w:top w:val="single" w:color="D9D9D9" w:sz="2" w:space="0"/>
              <w:bottom w:val="single" w:color="D9D9D9" w:sz="2" w:space="0"/>
            </w:tcBorders>
          </w:tcPr>
          <w:p w:rsidR="00C31389" w:rsidRDefault="00561FBD" w14:paraId="0EE09EEB" w14:textId="77777777">
            <w:pPr>
              <w:pStyle w:val="TableParagraph"/>
              <w:ind w:left="129"/>
              <w:rPr>
                <w:sz w:val="20"/>
              </w:rPr>
            </w:pPr>
            <w:r>
              <w:rPr>
                <w:sz w:val="20"/>
              </w:rPr>
              <w:t>Ag</w:t>
            </w:r>
            <w:r>
              <w:rPr>
                <w:spacing w:val="-6"/>
                <w:sz w:val="20"/>
              </w:rPr>
              <w:t xml:space="preserve"> </w:t>
            </w:r>
            <w:r>
              <w:rPr>
                <w:sz w:val="20"/>
              </w:rPr>
              <w:t>–</w:t>
            </w:r>
            <w:r>
              <w:rPr>
                <w:spacing w:val="-4"/>
                <w:sz w:val="20"/>
              </w:rPr>
              <w:t xml:space="preserve"> </w:t>
            </w:r>
            <w:r>
              <w:rPr>
                <w:sz w:val="20"/>
              </w:rPr>
              <w:t>Irrigated</w:t>
            </w:r>
            <w:r>
              <w:rPr>
                <w:spacing w:val="-4"/>
                <w:sz w:val="20"/>
              </w:rPr>
              <w:t xml:space="preserve"> </w:t>
            </w:r>
            <w:r>
              <w:rPr>
                <w:sz w:val="20"/>
              </w:rPr>
              <w:t>Agriculture,</w:t>
            </w:r>
            <w:r>
              <w:rPr>
                <w:spacing w:val="-5"/>
                <w:sz w:val="20"/>
              </w:rPr>
              <w:t xml:space="preserve"> </w:t>
            </w:r>
            <w:r>
              <w:rPr>
                <w:sz w:val="20"/>
              </w:rPr>
              <w:t>Vineyards,</w:t>
            </w:r>
            <w:r>
              <w:rPr>
                <w:spacing w:val="-3"/>
                <w:sz w:val="20"/>
              </w:rPr>
              <w:t xml:space="preserve"> </w:t>
            </w:r>
            <w:r>
              <w:rPr>
                <w:sz w:val="20"/>
              </w:rPr>
              <w:t>Forestry,</w:t>
            </w:r>
            <w:r>
              <w:rPr>
                <w:spacing w:val="-4"/>
                <w:sz w:val="20"/>
              </w:rPr>
              <w:t xml:space="preserve"> </w:t>
            </w:r>
            <w:r>
              <w:rPr>
                <w:sz w:val="20"/>
              </w:rPr>
              <w:t>and</w:t>
            </w:r>
            <w:r>
              <w:rPr>
                <w:spacing w:val="-4"/>
                <w:sz w:val="20"/>
              </w:rPr>
              <w:t xml:space="preserve"> </w:t>
            </w:r>
            <w:r>
              <w:rPr>
                <w:spacing w:val="-2"/>
                <w:sz w:val="20"/>
              </w:rPr>
              <w:t>Greenhouses</w:t>
            </w:r>
          </w:p>
        </w:tc>
        <w:tc>
          <w:tcPr>
            <w:tcW w:w="1341" w:type="dxa"/>
            <w:tcBorders>
              <w:top w:val="single" w:color="D9D9D9" w:sz="2" w:space="0"/>
              <w:bottom w:val="single" w:color="D9D9D9" w:sz="2" w:space="0"/>
            </w:tcBorders>
          </w:tcPr>
          <w:p w:rsidR="00C31389" w:rsidRDefault="00561FBD" w14:paraId="5A3D5F88" w14:textId="77777777">
            <w:pPr>
              <w:pStyle w:val="TableParagraph"/>
              <w:ind w:left="284" w:right="417"/>
              <w:jc w:val="center"/>
              <w:rPr>
                <w:sz w:val="20"/>
              </w:rPr>
            </w:pPr>
            <w:r>
              <w:rPr>
                <w:spacing w:val="-2"/>
                <w:sz w:val="20"/>
              </w:rPr>
              <w:t>therms</w:t>
            </w:r>
          </w:p>
        </w:tc>
        <w:tc>
          <w:tcPr>
            <w:tcW w:w="1847" w:type="dxa"/>
            <w:tcBorders>
              <w:top w:val="single" w:color="D9D9D9" w:sz="2" w:space="0"/>
              <w:bottom w:val="single" w:color="D9D9D9" w:sz="2" w:space="0"/>
            </w:tcBorders>
          </w:tcPr>
          <w:p w:rsidR="00C31389" w:rsidRDefault="00561FBD" w14:paraId="7F86CD27" w14:textId="77777777">
            <w:pPr>
              <w:pStyle w:val="TableParagraph"/>
              <w:ind w:left="652"/>
              <w:rPr>
                <w:sz w:val="20"/>
              </w:rPr>
            </w:pPr>
            <w:r>
              <w:rPr>
                <w:spacing w:val="-4"/>
                <w:sz w:val="20"/>
              </w:rPr>
              <w:t>3.0%</w:t>
            </w:r>
          </w:p>
        </w:tc>
      </w:tr>
      <w:tr w:rsidR="00C31389" w14:paraId="67B315CD" w14:textId="77777777">
        <w:trPr>
          <w:trHeight w:val="310"/>
        </w:trPr>
        <w:tc>
          <w:tcPr>
            <w:tcW w:w="6188" w:type="dxa"/>
            <w:tcBorders>
              <w:top w:val="single" w:color="D9D9D9" w:sz="2" w:space="0"/>
              <w:bottom w:val="single" w:color="000000" w:sz="8" w:space="0"/>
            </w:tcBorders>
          </w:tcPr>
          <w:p w:rsidR="00C31389" w:rsidRDefault="00561FBD" w14:paraId="55D1BFA8" w14:textId="77777777">
            <w:pPr>
              <w:pStyle w:val="TableParagraph"/>
              <w:ind w:left="129"/>
              <w:rPr>
                <w:sz w:val="20"/>
              </w:rPr>
            </w:pPr>
            <w:r>
              <w:rPr>
                <w:sz w:val="20"/>
              </w:rPr>
              <w:t>Ag</w:t>
            </w:r>
            <w:r>
              <w:rPr>
                <w:spacing w:val="-3"/>
                <w:sz w:val="20"/>
              </w:rPr>
              <w:t xml:space="preserve"> </w:t>
            </w:r>
            <w:r>
              <w:rPr>
                <w:sz w:val="20"/>
              </w:rPr>
              <w:t>–</w:t>
            </w:r>
            <w:r>
              <w:rPr>
                <w:spacing w:val="-3"/>
                <w:sz w:val="20"/>
              </w:rPr>
              <w:t xml:space="preserve"> </w:t>
            </w:r>
            <w:r>
              <w:rPr>
                <w:sz w:val="20"/>
              </w:rPr>
              <w:t>Dairies,</w:t>
            </w:r>
            <w:r>
              <w:rPr>
                <w:spacing w:val="-4"/>
                <w:sz w:val="20"/>
              </w:rPr>
              <w:t xml:space="preserve"> </w:t>
            </w:r>
            <w:r>
              <w:rPr>
                <w:sz w:val="20"/>
              </w:rPr>
              <w:t>Fishing,</w:t>
            </w:r>
            <w:r>
              <w:rPr>
                <w:spacing w:val="-3"/>
                <w:sz w:val="20"/>
              </w:rPr>
              <w:t xml:space="preserve"> </w:t>
            </w:r>
            <w:r>
              <w:rPr>
                <w:sz w:val="20"/>
              </w:rPr>
              <w:t>and</w:t>
            </w:r>
            <w:r>
              <w:rPr>
                <w:spacing w:val="-3"/>
                <w:sz w:val="20"/>
              </w:rPr>
              <w:t xml:space="preserve"> </w:t>
            </w:r>
            <w:r>
              <w:rPr>
                <w:spacing w:val="-2"/>
                <w:sz w:val="20"/>
              </w:rPr>
              <w:t>Hunting</w:t>
            </w:r>
          </w:p>
        </w:tc>
        <w:tc>
          <w:tcPr>
            <w:tcW w:w="1341" w:type="dxa"/>
            <w:tcBorders>
              <w:top w:val="single" w:color="D9D9D9" w:sz="2" w:space="0"/>
              <w:bottom w:val="single" w:color="000000" w:sz="8" w:space="0"/>
            </w:tcBorders>
          </w:tcPr>
          <w:p w:rsidR="00C31389" w:rsidRDefault="00561FBD" w14:paraId="6AB26320" w14:textId="77777777">
            <w:pPr>
              <w:pStyle w:val="TableParagraph"/>
              <w:ind w:left="284" w:right="417"/>
              <w:jc w:val="center"/>
              <w:rPr>
                <w:sz w:val="20"/>
              </w:rPr>
            </w:pPr>
            <w:r>
              <w:rPr>
                <w:spacing w:val="-2"/>
                <w:sz w:val="20"/>
              </w:rPr>
              <w:t>therms</w:t>
            </w:r>
          </w:p>
        </w:tc>
        <w:tc>
          <w:tcPr>
            <w:tcW w:w="1847" w:type="dxa"/>
            <w:tcBorders>
              <w:top w:val="single" w:color="D9D9D9" w:sz="2" w:space="0"/>
              <w:bottom w:val="single" w:color="000000" w:sz="8" w:space="0"/>
            </w:tcBorders>
          </w:tcPr>
          <w:p w:rsidR="00C31389" w:rsidRDefault="00561FBD" w14:paraId="5891AD52" w14:textId="77777777">
            <w:pPr>
              <w:pStyle w:val="TableParagraph"/>
              <w:ind w:left="652"/>
              <w:rPr>
                <w:sz w:val="20"/>
              </w:rPr>
            </w:pPr>
            <w:r>
              <w:rPr>
                <w:spacing w:val="-4"/>
                <w:sz w:val="20"/>
              </w:rPr>
              <w:t>3.0%</w:t>
            </w:r>
          </w:p>
        </w:tc>
      </w:tr>
    </w:tbl>
    <w:p w:rsidR="00C31389" w:rsidRDefault="00561FBD" w14:paraId="5C5852B5" w14:textId="77777777">
      <w:pPr>
        <w:spacing w:before="72"/>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4369BF8C" w14:textId="77777777">
      <w:pPr>
        <w:pStyle w:val="BodyText"/>
        <w:spacing w:before="10"/>
        <w:rPr>
          <w:i/>
          <w:sz w:val="20"/>
        </w:rPr>
      </w:pPr>
    </w:p>
    <w:p w:rsidR="00C31389" w:rsidRDefault="00561FBD" w14:paraId="4AE636E0" w14:textId="77777777">
      <w:pPr>
        <w:pStyle w:val="BodyText"/>
        <w:spacing w:before="1"/>
        <w:ind w:left="479" w:right="418"/>
      </w:pPr>
      <w:r>
        <w:t>The</w:t>
      </w:r>
      <w:r>
        <w:rPr>
          <w:spacing w:val="-3"/>
        </w:rPr>
        <w:t xml:space="preserve"> </w:t>
      </w:r>
      <w:r>
        <w:t>analysis</w:t>
      </w:r>
      <w:r>
        <w:rPr>
          <w:spacing w:val="-3"/>
        </w:rPr>
        <w:t xml:space="preserve"> </w:t>
      </w:r>
      <w:r>
        <w:t>uses</w:t>
      </w:r>
      <w:r>
        <w:rPr>
          <w:spacing w:val="-3"/>
        </w:rPr>
        <w:t xml:space="preserve"> </w:t>
      </w:r>
      <w:r>
        <w:t>the</w:t>
      </w:r>
      <w:r>
        <w:rPr>
          <w:spacing w:val="-3"/>
        </w:rPr>
        <w:t xml:space="preserve"> </w:t>
      </w:r>
      <w:r>
        <w:t>SEM</w:t>
      </w:r>
      <w:r>
        <w:rPr>
          <w:spacing w:val="-4"/>
        </w:rPr>
        <w:t xml:space="preserve"> </w:t>
      </w:r>
      <w:r>
        <w:t>UES</w:t>
      </w:r>
      <w:r>
        <w:rPr>
          <w:spacing w:val="-2"/>
        </w:rPr>
        <w:t xml:space="preserve"> </w:t>
      </w:r>
      <w:r>
        <w:t>multiplier</w:t>
      </w:r>
      <w:r>
        <w:rPr>
          <w:spacing w:val="-3"/>
        </w:rPr>
        <w:t xml:space="preserve"> </w:t>
      </w:r>
      <w:r>
        <w:t>to</w:t>
      </w:r>
      <w:r>
        <w:rPr>
          <w:spacing w:val="-3"/>
        </w:rPr>
        <w:t xml:space="preserve"> </w:t>
      </w:r>
      <w:r>
        <w:t>forecast</w:t>
      </w:r>
      <w:r>
        <w:rPr>
          <w:spacing w:val="-3"/>
        </w:rPr>
        <w:t xml:space="preserve"> </w:t>
      </w:r>
      <w:r>
        <w:t>segment-level</w:t>
      </w:r>
      <w:r>
        <w:rPr>
          <w:spacing w:val="-3"/>
        </w:rPr>
        <w:t xml:space="preserve"> </w:t>
      </w:r>
      <w:r>
        <w:t>potential</w:t>
      </w:r>
      <w:r>
        <w:rPr>
          <w:spacing w:val="-3"/>
        </w:rPr>
        <w:t xml:space="preserve"> </w:t>
      </w:r>
      <w:r>
        <w:t>net</w:t>
      </w:r>
      <w:r>
        <w:rPr>
          <w:spacing w:val="-3"/>
        </w:rPr>
        <w:t xml:space="preserve"> </w:t>
      </w:r>
      <w:r>
        <w:t xml:space="preserve">savings using </w:t>
      </w:r>
      <w:hyperlink w:history="1" w:anchor="_bookmark448">
        <w:r>
          <w:t>Equation D-5</w:t>
        </w:r>
      </w:hyperlink>
      <w:r>
        <w:t>.</w:t>
      </w:r>
    </w:p>
    <w:p w:rsidR="00C31389" w:rsidRDefault="00C31389" w14:paraId="7CD4011E" w14:textId="77777777">
      <w:pPr>
        <w:pStyle w:val="BodyText"/>
        <w:spacing w:before="10"/>
        <w:rPr>
          <w:sz w:val="20"/>
        </w:rPr>
      </w:pPr>
    </w:p>
    <w:p w:rsidR="00C31389" w:rsidRDefault="00561FBD" w14:paraId="6C3BE29E" w14:textId="77777777">
      <w:pPr>
        <w:pStyle w:val="Heading7"/>
        <w:ind w:left="398" w:right="339"/>
        <w:jc w:val="center"/>
      </w:pPr>
      <w:bookmarkStart w:name="_bookmark448" w:id="582"/>
      <w:bookmarkEnd w:id="582"/>
      <w:r>
        <w:t>Equation</w:t>
      </w:r>
      <w:r>
        <w:rPr>
          <w:spacing w:val="-10"/>
        </w:rPr>
        <w:t xml:space="preserve"> </w:t>
      </w:r>
      <w:r>
        <w:t>D-5.</w:t>
      </w:r>
      <w:r>
        <w:rPr>
          <w:spacing w:val="-9"/>
        </w:rPr>
        <w:t xml:space="preserve"> </w:t>
      </w:r>
      <w:r>
        <w:t>SEM</w:t>
      </w:r>
      <w:r>
        <w:rPr>
          <w:spacing w:val="-10"/>
        </w:rPr>
        <w:t xml:space="preserve"> </w:t>
      </w:r>
      <w:r>
        <w:t>Segment-Level</w:t>
      </w:r>
      <w:r>
        <w:rPr>
          <w:spacing w:val="-9"/>
        </w:rPr>
        <w:t xml:space="preserve"> </w:t>
      </w:r>
      <w:r>
        <w:rPr>
          <w:spacing w:val="-2"/>
        </w:rPr>
        <w:t>Savings</w:t>
      </w:r>
    </w:p>
    <w:p w:rsidR="00C31389" w:rsidRDefault="00561FBD" w14:paraId="5071B804" w14:textId="77777777">
      <w:pPr>
        <w:pStyle w:val="Heading6"/>
        <w:spacing w:before="118" w:line="230" w:lineRule="auto"/>
        <w:ind w:left="2433" w:right="2283" w:firstLine="356"/>
        <w:rPr>
          <w:sz w:val="14"/>
        </w:rPr>
      </w:pPr>
      <w:r>
        <w:t>SEM Segment-Level EE Net Savings Potential = SEM</w:t>
      </w:r>
      <w:r>
        <w:rPr>
          <w:spacing w:val="-13"/>
        </w:rPr>
        <w:t xml:space="preserve"> </w:t>
      </w:r>
      <w:r>
        <w:t>UES</w:t>
      </w:r>
      <w:r>
        <w:rPr>
          <w:spacing w:val="-13"/>
        </w:rPr>
        <w:t xml:space="preserve"> </w:t>
      </w:r>
      <w:r>
        <w:t>Multiplier</w:t>
      </w:r>
      <w:r>
        <w:rPr>
          <w:spacing w:val="-12"/>
        </w:rPr>
        <w:t xml:space="preserve"> </w:t>
      </w:r>
      <w:r>
        <w:t>x</w:t>
      </w:r>
      <w:r>
        <w:rPr>
          <w:spacing w:val="-13"/>
        </w:rPr>
        <w:t xml:space="preserve"> </w:t>
      </w:r>
      <w:r>
        <w:t>Annual</w:t>
      </w:r>
      <w:r>
        <w:rPr>
          <w:spacing w:val="-13"/>
        </w:rPr>
        <w:t xml:space="preserve"> </w:t>
      </w:r>
      <w:r>
        <w:t>Segment</w:t>
      </w:r>
      <w:r>
        <w:rPr>
          <w:spacing w:val="-12"/>
        </w:rPr>
        <w:t xml:space="preserve"> </w:t>
      </w:r>
      <w:r>
        <w:t>Consumption</w:t>
      </w:r>
      <w:r>
        <w:rPr>
          <w:position w:val="5"/>
          <w:sz w:val="14"/>
        </w:rPr>
        <w:t>1</w:t>
      </w:r>
      <w:hyperlink w:history="1" w:anchor="_bookmark449">
        <w:r>
          <w:rPr>
            <w:position w:val="5"/>
            <w:sz w:val="14"/>
          </w:rPr>
          <w:t>78</w:t>
        </w:r>
      </w:hyperlink>
    </w:p>
    <w:p w:rsidR="00C31389" w:rsidRDefault="00C31389" w14:paraId="35AD4B98" w14:textId="77777777">
      <w:pPr>
        <w:pStyle w:val="BodyText"/>
        <w:spacing w:before="5"/>
        <w:rPr>
          <w:rFonts w:ascii="Cambria"/>
          <w:i/>
          <w:sz w:val="20"/>
        </w:rPr>
      </w:pPr>
    </w:p>
    <w:p w:rsidR="00C31389" w:rsidRDefault="00561FBD" w14:paraId="5439CD66" w14:textId="77777777">
      <w:pPr>
        <w:pStyle w:val="BodyText"/>
        <w:ind w:left="480" w:right="418"/>
      </w:pPr>
      <w:r>
        <w:t>The</w:t>
      </w:r>
      <w:r>
        <w:rPr>
          <w:spacing w:val="-4"/>
        </w:rPr>
        <w:t xml:space="preserve"> </w:t>
      </w:r>
      <w:r>
        <w:t>model</w:t>
      </w:r>
      <w:r>
        <w:rPr>
          <w:spacing w:val="-4"/>
        </w:rPr>
        <w:t xml:space="preserve"> </w:t>
      </w:r>
      <w:r>
        <w:t>holds</w:t>
      </w:r>
      <w:r>
        <w:rPr>
          <w:spacing w:val="-4"/>
        </w:rPr>
        <w:t xml:space="preserve"> </w:t>
      </w:r>
      <w:r>
        <w:t>the</w:t>
      </w:r>
      <w:r>
        <w:rPr>
          <w:spacing w:val="-4"/>
        </w:rPr>
        <w:t xml:space="preserve"> </w:t>
      </w:r>
      <w:r>
        <w:t>industrial</w:t>
      </w:r>
      <w:r>
        <w:rPr>
          <w:spacing w:val="-4"/>
        </w:rPr>
        <w:t xml:space="preserve"> </w:t>
      </w:r>
      <w:r>
        <w:t>and</w:t>
      </w:r>
      <w:r>
        <w:rPr>
          <w:spacing w:val="-4"/>
        </w:rPr>
        <w:t xml:space="preserve"> </w:t>
      </w:r>
      <w:r>
        <w:t>agriculture</w:t>
      </w:r>
      <w:r>
        <w:rPr>
          <w:spacing w:val="-3"/>
        </w:rPr>
        <w:t xml:space="preserve"> </w:t>
      </w:r>
      <w:r>
        <w:t>segment</w:t>
      </w:r>
      <w:r>
        <w:rPr>
          <w:spacing w:val="-4"/>
        </w:rPr>
        <w:t xml:space="preserve"> </w:t>
      </w:r>
      <w:r>
        <w:t>UES</w:t>
      </w:r>
      <w:r>
        <w:rPr>
          <w:spacing w:val="-3"/>
        </w:rPr>
        <w:t xml:space="preserve"> </w:t>
      </w:r>
      <w:r>
        <w:t>multiplier</w:t>
      </w:r>
      <w:r>
        <w:rPr>
          <w:spacing w:val="-4"/>
        </w:rPr>
        <w:t xml:space="preserve"> </w:t>
      </w:r>
      <w:r>
        <w:t>constant</w:t>
      </w:r>
      <w:r>
        <w:rPr>
          <w:spacing w:val="-4"/>
        </w:rPr>
        <w:t xml:space="preserve"> </w:t>
      </w:r>
      <w:r>
        <w:t>throughout the forecast horizon.</w:t>
      </w:r>
    </w:p>
    <w:p w:rsidR="00C31389" w:rsidRDefault="00C31389" w14:paraId="4889B153" w14:textId="77777777">
      <w:pPr>
        <w:pStyle w:val="BodyText"/>
        <w:spacing w:before="10"/>
        <w:rPr>
          <w:sz w:val="20"/>
        </w:rPr>
      </w:pPr>
    </w:p>
    <w:p w:rsidR="00C31389" w:rsidRDefault="00561FBD" w14:paraId="65648CE0" w14:textId="77777777">
      <w:pPr>
        <w:pStyle w:val="Heading7"/>
        <w:ind w:left="480"/>
      </w:pPr>
      <w:r>
        <w:rPr>
          <w:spacing w:val="-4"/>
        </w:rPr>
        <w:t>Cost</w:t>
      </w:r>
    </w:p>
    <w:p w:rsidR="00C31389" w:rsidRDefault="00C31389" w14:paraId="5D7D5167" w14:textId="77777777">
      <w:pPr>
        <w:pStyle w:val="BodyText"/>
        <w:spacing w:before="10"/>
        <w:rPr>
          <w:b/>
          <w:sz w:val="20"/>
        </w:rPr>
      </w:pPr>
    </w:p>
    <w:p w:rsidR="00C31389" w:rsidRDefault="00561FBD" w14:paraId="2BA8C911" w14:textId="77777777">
      <w:pPr>
        <w:pStyle w:val="BodyText"/>
        <w:spacing w:before="1"/>
        <w:ind w:left="479" w:right="418"/>
      </w:pPr>
      <w:r>
        <w:t>Costs for electricity and natural gas savings are estima</w:t>
      </w:r>
      <w:r>
        <w:t>ted at $0.023/kWh and $0.27/therm and</w:t>
      </w:r>
      <w:r>
        <w:rPr>
          <w:spacing w:val="-3"/>
        </w:rPr>
        <w:t xml:space="preserve"> </w:t>
      </w:r>
      <w:r>
        <w:t>are</w:t>
      </w:r>
      <w:r>
        <w:rPr>
          <w:spacing w:val="-3"/>
        </w:rPr>
        <w:t xml:space="preserve"> </w:t>
      </w:r>
      <w:r>
        <w:t>applied</w:t>
      </w:r>
      <w:r>
        <w:rPr>
          <w:spacing w:val="-3"/>
        </w:rPr>
        <w:t xml:space="preserve"> </w:t>
      </w:r>
      <w:r>
        <w:t>consistently</w:t>
      </w:r>
      <w:r>
        <w:rPr>
          <w:spacing w:val="-3"/>
        </w:rPr>
        <w:t xml:space="preserve"> </w:t>
      </w:r>
      <w:r>
        <w:t>by</w:t>
      </w:r>
      <w:r>
        <w:rPr>
          <w:spacing w:val="-3"/>
        </w:rPr>
        <w:t xml:space="preserve"> </w:t>
      </w:r>
      <w:r>
        <w:t>building</w:t>
      </w:r>
      <w:r>
        <w:rPr>
          <w:spacing w:val="-3"/>
        </w:rPr>
        <w:t xml:space="preserve"> </w:t>
      </w:r>
      <w:r>
        <w:t>and</w:t>
      </w:r>
      <w:r>
        <w:rPr>
          <w:spacing w:val="-3"/>
        </w:rPr>
        <w:t xml:space="preserve"> </w:t>
      </w:r>
      <w:r>
        <w:t>fuel</w:t>
      </w:r>
      <w:r>
        <w:rPr>
          <w:spacing w:val="-3"/>
        </w:rPr>
        <w:t xml:space="preserve"> </w:t>
      </w:r>
      <w:r>
        <w:t>type</w:t>
      </w:r>
      <w:r>
        <w:rPr>
          <w:spacing w:val="-3"/>
        </w:rPr>
        <w:t xml:space="preserve"> </w:t>
      </w:r>
      <w:r>
        <w:t>across</w:t>
      </w:r>
      <w:r>
        <w:rPr>
          <w:spacing w:val="-4"/>
        </w:rPr>
        <w:t xml:space="preserve"> </w:t>
      </w:r>
      <w:r>
        <w:t>utilities.</w:t>
      </w:r>
      <w:r>
        <w:rPr>
          <w:spacing w:val="-3"/>
        </w:rPr>
        <w:t xml:space="preserve"> </w:t>
      </w:r>
      <w:r>
        <w:t>Costs</w:t>
      </w:r>
      <w:r>
        <w:rPr>
          <w:spacing w:val="-3"/>
        </w:rPr>
        <w:t xml:space="preserve"> </w:t>
      </w:r>
      <w:r>
        <w:t>are</w:t>
      </w:r>
      <w:r>
        <w:rPr>
          <w:spacing w:val="-3"/>
        </w:rPr>
        <w:t xml:space="preserve"> </w:t>
      </w:r>
      <w:r>
        <w:t>based</w:t>
      </w:r>
      <w:r>
        <w:rPr>
          <w:spacing w:val="-4"/>
        </w:rPr>
        <w:t xml:space="preserve"> </w:t>
      </w:r>
      <w:r>
        <w:t>on</w:t>
      </w:r>
      <w:r>
        <w:rPr>
          <w:spacing w:val="-3"/>
        </w:rPr>
        <w:t xml:space="preserve"> </w:t>
      </w:r>
      <w:r>
        <w:t>an analysis of the 2021 CEDARS Claims data. These costs are lower than those for emerging technology</w:t>
      </w:r>
      <w:r>
        <w:rPr>
          <w:spacing w:val="-4"/>
        </w:rPr>
        <w:t xml:space="preserve"> </w:t>
      </w:r>
      <w:r>
        <w:t>and</w:t>
      </w:r>
      <w:r>
        <w:rPr>
          <w:spacing w:val="-3"/>
        </w:rPr>
        <w:t xml:space="preserve"> </w:t>
      </w:r>
      <w:r>
        <w:t>generic</w:t>
      </w:r>
      <w:r>
        <w:rPr>
          <w:spacing w:val="-4"/>
        </w:rPr>
        <w:t xml:space="preserve"> </w:t>
      </w:r>
      <w:r>
        <w:t>custom</w:t>
      </w:r>
      <w:r>
        <w:rPr>
          <w:spacing w:val="-4"/>
        </w:rPr>
        <w:t xml:space="preserve"> </w:t>
      </w:r>
      <w:r>
        <w:t>type</w:t>
      </w:r>
      <w:r>
        <w:rPr>
          <w:spacing w:val="-4"/>
        </w:rPr>
        <w:t xml:space="preserve"> </w:t>
      </w:r>
      <w:r>
        <w:t>measures,</w:t>
      </w:r>
      <w:r>
        <w:rPr>
          <w:spacing w:val="-3"/>
        </w:rPr>
        <w:t xml:space="preserve"> </w:t>
      </w:r>
      <w:r>
        <w:t>reflecting</w:t>
      </w:r>
      <w:r>
        <w:rPr>
          <w:spacing w:val="-3"/>
        </w:rPr>
        <w:t xml:space="preserve"> </w:t>
      </w:r>
      <w:r>
        <w:t>that</w:t>
      </w:r>
      <w:r>
        <w:rPr>
          <w:spacing w:val="-3"/>
        </w:rPr>
        <w:t xml:space="preserve"> </w:t>
      </w:r>
      <w:r>
        <w:t>SEM</w:t>
      </w:r>
      <w:r>
        <w:rPr>
          <w:spacing w:val="-4"/>
        </w:rPr>
        <w:t xml:space="preserve"> </w:t>
      </w:r>
      <w:r>
        <w:t>savings</w:t>
      </w:r>
      <w:r>
        <w:rPr>
          <w:spacing w:val="-3"/>
        </w:rPr>
        <w:t xml:space="preserve"> </w:t>
      </w:r>
      <w:r>
        <w:t>are</w:t>
      </w:r>
      <w:r>
        <w:rPr>
          <w:spacing w:val="-3"/>
        </w:rPr>
        <w:t xml:space="preserve"> </w:t>
      </w:r>
      <w:r>
        <w:t>O&amp;M</w:t>
      </w:r>
      <w:r>
        <w:rPr>
          <w:spacing w:val="-3"/>
        </w:rPr>
        <w:t xml:space="preserve"> </w:t>
      </w:r>
      <w:r>
        <w:t>based and do not include rebate measures for large capital investments.</w:t>
      </w:r>
    </w:p>
    <w:p w:rsidR="00C31389" w:rsidRDefault="00C31389" w14:paraId="05365331" w14:textId="77777777">
      <w:pPr>
        <w:pStyle w:val="BodyText"/>
        <w:rPr>
          <w:sz w:val="20"/>
        </w:rPr>
      </w:pPr>
    </w:p>
    <w:p w:rsidR="00C31389" w:rsidRDefault="00C31389" w14:paraId="10223341" w14:textId="77777777">
      <w:pPr>
        <w:pStyle w:val="BodyText"/>
        <w:rPr>
          <w:sz w:val="20"/>
        </w:rPr>
      </w:pPr>
    </w:p>
    <w:p w:rsidR="00C31389" w:rsidRDefault="00C31389" w14:paraId="0B14FDCA" w14:textId="77777777">
      <w:pPr>
        <w:pStyle w:val="BodyText"/>
        <w:rPr>
          <w:sz w:val="20"/>
        </w:rPr>
      </w:pPr>
    </w:p>
    <w:p w:rsidR="00C31389" w:rsidRDefault="00C31389" w14:paraId="3F58D233" w14:textId="77777777">
      <w:pPr>
        <w:pStyle w:val="BodyText"/>
        <w:rPr>
          <w:sz w:val="20"/>
        </w:rPr>
      </w:pPr>
    </w:p>
    <w:p w:rsidR="00C31389" w:rsidRDefault="00C31389" w14:paraId="4D84C19F" w14:textId="77777777">
      <w:pPr>
        <w:pStyle w:val="BodyText"/>
        <w:rPr>
          <w:sz w:val="20"/>
        </w:rPr>
      </w:pPr>
    </w:p>
    <w:p w:rsidR="00C31389" w:rsidRDefault="00C31389" w14:paraId="7904DB75" w14:textId="77777777">
      <w:pPr>
        <w:pStyle w:val="BodyText"/>
        <w:rPr>
          <w:sz w:val="20"/>
        </w:rPr>
      </w:pPr>
    </w:p>
    <w:p w:rsidR="00C31389" w:rsidRDefault="00C31389" w14:paraId="4A640A85" w14:textId="77777777">
      <w:pPr>
        <w:pStyle w:val="BodyText"/>
        <w:rPr>
          <w:sz w:val="20"/>
        </w:rPr>
      </w:pPr>
    </w:p>
    <w:p w:rsidR="00C31389" w:rsidRDefault="00C31389" w14:paraId="7AF46342" w14:textId="77777777">
      <w:pPr>
        <w:pStyle w:val="BodyText"/>
        <w:rPr>
          <w:sz w:val="20"/>
        </w:rPr>
      </w:pPr>
    </w:p>
    <w:p w:rsidR="00C31389" w:rsidRDefault="00C31389" w14:paraId="0C90DE1B" w14:textId="77777777">
      <w:pPr>
        <w:pStyle w:val="BodyText"/>
        <w:rPr>
          <w:sz w:val="20"/>
        </w:rPr>
      </w:pPr>
    </w:p>
    <w:p w:rsidR="00C31389" w:rsidRDefault="00C31389" w14:paraId="2CA5607E" w14:textId="77777777">
      <w:pPr>
        <w:pStyle w:val="BodyText"/>
        <w:rPr>
          <w:sz w:val="20"/>
        </w:rPr>
      </w:pPr>
    </w:p>
    <w:p w:rsidR="00C31389" w:rsidRDefault="00C31389" w14:paraId="5F737B77" w14:textId="77777777">
      <w:pPr>
        <w:pStyle w:val="BodyText"/>
        <w:rPr>
          <w:sz w:val="20"/>
        </w:rPr>
      </w:pPr>
    </w:p>
    <w:p w:rsidR="00C31389" w:rsidRDefault="00C31389" w14:paraId="6C547F2F" w14:textId="77777777">
      <w:pPr>
        <w:pStyle w:val="BodyText"/>
        <w:rPr>
          <w:sz w:val="20"/>
        </w:rPr>
      </w:pPr>
    </w:p>
    <w:p w:rsidR="00C31389" w:rsidRDefault="00C31389" w14:paraId="00A0310E" w14:textId="77777777">
      <w:pPr>
        <w:pStyle w:val="BodyText"/>
        <w:rPr>
          <w:sz w:val="20"/>
        </w:rPr>
      </w:pPr>
    </w:p>
    <w:p w:rsidR="00C31389" w:rsidRDefault="00C31389" w14:paraId="1C8686AF" w14:textId="77777777">
      <w:pPr>
        <w:pStyle w:val="BodyText"/>
        <w:rPr>
          <w:sz w:val="20"/>
        </w:rPr>
      </w:pPr>
    </w:p>
    <w:p w:rsidR="00C31389" w:rsidRDefault="00C31389" w14:paraId="6FE99B93" w14:textId="77777777">
      <w:pPr>
        <w:pStyle w:val="BodyText"/>
        <w:rPr>
          <w:sz w:val="20"/>
        </w:rPr>
      </w:pPr>
    </w:p>
    <w:p w:rsidR="00C31389" w:rsidRDefault="00C31389" w14:paraId="70023DFD" w14:textId="77777777">
      <w:pPr>
        <w:pStyle w:val="BodyText"/>
        <w:rPr>
          <w:sz w:val="20"/>
        </w:rPr>
      </w:pPr>
    </w:p>
    <w:p w:rsidR="00C31389" w:rsidRDefault="00C31389" w14:paraId="21110494" w14:textId="77777777">
      <w:pPr>
        <w:pStyle w:val="BodyText"/>
        <w:rPr>
          <w:sz w:val="20"/>
        </w:rPr>
      </w:pPr>
    </w:p>
    <w:p w:rsidR="00C31389" w:rsidRDefault="00C31389" w14:paraId="24E96A60" w14:textId="77777777">
      <w:pPr>
        <w:pStyle w:val="BodyText"/>
        <w:rPr>
          <w:sz w:val="20"/>
        </w:rPr>
      </w:pPr>
    </w:p>
    <w:p w:rsidR="00C31389" w:rsidRDefault="00C31389" w14:paraId="29A298BA" w14:textId="77777777">
      <w:pPr>
        <w:pStyle w:val="BodyText"/>
        <w:rPr>
          <w:sz w:val="20"/>
        </w:rPr>
      </w:pPr>
    </w:p>
    <w:p w:rsidR="00C31389" w:rsidRDefault="00561FBD" w14:paraId="5DC9E5B8" w14:textId="77777777">
      <w:pPr>
        <w:pStyle w:val="BodyText"/>
        <w:spacing w:before="9"/>
        <w:rPr>
          <w:sz w:val="29"/>
        </w:rPr>
      </w:pPr>
      <w:r>
        <w:rPr>
          <w:noProof/>
        </w:rPr>
        <mc:AlternateContent>
          <mc:Choice Requires="wps">
            <w:drawing>
              <wp:anchor distT="0" distB="0" distL="0" distR="0" simplePos="0" relativeHeight="487731712" behindDoc="1" locked="0" layoutInCell="1" allowOverlap="1" wp14:editId="2A8CF02A" wp14:anchorId="76976F12">
                <wp:simplePos x="0" y="0"/>
                <wp:positionH relativeFrom="page">
                  <wp:posOffset>914400</wp:posOffset>
                </wp:positionH>
                <wp:positionV relativeFrom="paragraph">
                  <wp:posOffset>232730</wp:posOffset>
                </wp:positionV>
                <wp:extent cx="1828800" cy="6985"/>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73" style="position:absolute;margin-left:1in;margin-top:18.35pt;width:2in;height:.55pt;z-index:-1558476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" w14:anchorId="66E07BC0">
                <v:path arrowok="t"/>
                <w10:wrap type="topAndBottom" anchorx="page"/>
              </v:shape>
            </w:pict>
          </mc:Fallback>
        </mc:AlternateContent>
      </w:r>
    </w:p>
    <w:p w:rsidR="00C31389" w:rsidRDefault="00561FBD" w14:paraId="257EAEFE" w14:textId="77777777">
      <w:pPr>
        <w:spacing w:before="89"/>
        <w:ind w:left="480"/>
        <w:rPr>
          <w:sz w:val="18"/>
        </w:rPr>
      </w:pPr>
      <w:bookmarkStart w:name="_bookmark449" w:id="583"/>
      <w:bookmarkEnd w:id="583"/>
      <w:r>
        <w:rPr>
          <w:position w:val="6"/>
          <w:sz w:val="12"/>
        </w:rPr>
        <w:t>178</w:t>
      </w:r>
      <w:r>
        <w:rPr>
          <w:spacing w:val="13"/>
          <w:position w:val="6"/>
          <w:sz w:val="12"/>
        </w:rPr>
        <w:t xml:space="preserve"> </w:t>
      </w:r>
      <w:r>
        <w:rPr>
          <w:sz w:val="18"/>
        </w:rPr>
        <w:t>Electric</w:t>
      </w:r>
      <w:r>
        <w:rPr>
          <w:spacing w:val="-2"/>
          <w:sz w:val="18"/>
        </w:rPr>
        <w:t xml:space="preserve"> </w:t>
      </w:r>
      <w:r>
        <w:rPr>
          <w:sz w:val="18"/>
        </w:rPr>
        <w:t>(GWh)</w:t>
      </w:r>
      <w:r>
        <w:rPr>
          <w:spacing w:val="-2"/>
          <w:sz w:val="18"/>
        </w:rPr>
        <w:t xml:space="preserve"> </w:t>
      </w:r>
      <w:r>
        <w:rPr>
          <w:sz w:val="18"/>
        </w:rPr>
        <w:t>and</w:t>
      </w:r>
      <w:r>
        <w:rPr>
          <w:spacing w:val="-3"/>
          <w:sz w:val="18"/>
        </w:rPr>
        <w:t xml:space="preserve"> </w:t>
      </w:r>
      <w:r>
        <w:rPr>
          <w:sz w:val="18"/>
        </w:rPr>
        <w:t>natural</w:t>
      </w:r>
      <w:r>
        <w:rPr>
          <w:spacing w:val="-2"/>
          <w:sz w:val="18"/>
        </w:rPr>
        <w:t xml:space="preserve"> </w:t>
      </w:r>
      <w:r>
        <w:rPr>
          <w:sz w:val="18"/>
        </w:rPr>
        <w:t>gas</w:t>
      </w:r>
      <w:r>
        <w:rPr>
          <w:spacing w:val="-2"/>
          <w:sz w:val="18"/>
        </w:rPr>
        <w:t xml:space="preserve"> </w:t>
      </w:r>
      <w:r>
        <w:rPr>
          <w:sz w:val="18"/>
        </w:rPr>
        <w:t>(therms)</w:t>
      </w:r>
      <w:r>
        <w:rPr>
          <w:spacing w:val="-1"/>
          <w:sz w:val="18"/>
        </w:rPr>
        <w:t xml:space="preserve"> </w:t>
      </w:r>
      <w:r>
        <w:rPr>
          <w:sz w:val="18"/>
        </w:rPr>
        <w:t>consumption</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2019</w:t>
      </w:r>
      <w:r>
        <w:rPr>
          <w:spacing w:val="-3"/>
          <w:sz w:val="18"/>
        </w:rPr>
        <w:t xml:space="preserve"> </w:t>
      </w:r>
      <w:r>
        <w:rPr>
          <w:sz w:val="18"/>
        </w:rPr>
        <w:t>IEPR</w:t>
      </w:r>
      <w:r>
        <w:rPr>
          <w:spacing w:val="-1"/>
          <w:sz w:val="18"/>
        </w:rPr>
        <w:t xml:space="preserve"> </w:t>
      </w:r>
      <w:r>
        <w:rPr>
          <w:spacing w:val="-2"/>
          <w:sz w:val="18"/>
        </w:rPr>
        <w:t>forecast.</w:t>
      </w:r>
    </w:p>
    <w:p w:rsidR="00C31389" w:rsidRDefault="00C31389" w14:paraId="080C1660" w14:textId="77777777">
      <w:pPr>
        <w:rPr>
          <w:sz w:val="18"/>
        </w:rPr>
        <w:sectPr w:rsidR="00C31389">
          <w:headerReference w:type="default" r:id="rId296"/>
          <w:footerReference w:type="default" r:id="rId297"/>
          <w:pgSz w:w="11910" w:h="16840"/>
          <w:pgMar w:top="1660" w:right="1020" w:bottom="1120" w:left="960" w:header="397" w:footer="938" w:gutter="0"/>
          <w:cols w:space="720"/>
        </w:sectPr>
      </w:pPr>
    </w:p>
    <w:p w:rsidR="00C31389" w:rsidRDefault="00C31389" w14:paraId="52C31B05" w14:textId="77777777">
      <w:pPr>
        <w:pStyle w:val="BodyText"/>
        <w:spacing w:before="7"/>
        <w:rPr>
          <w:sz w:val="24"/>
        </w:rPr>
      </w:pPr>
    </w:p>
    <w:p w:rsidR="00C31389" w:rsidRDefault="00561FBD" w14:paraId="21F066DC" w14:textId="77777777">
      <w:pPr>
        <w:spacing w:before="90"/>
        <w:ind w:left="2370" w:right="418" w:hanging="1891"/>
        <w:rPr>
          <w:b/>
          <w:sz w:val="32"/>
        </w:rPr>
      </w:pPr>
      <w:bookmarkStart w:name="Appendix_E._Industrial_and_Agriculture_S" w:id="584"/>
      <w:bookmarkStart w:name="_bookmark450" w:id="585"/>
      <w:bookmarkEnd w:id="584"/>
      <w:bookmarkEnd w:id="585"/>
      <w:r>
        <w:rPr>
          <w:b/>
          <w:sz w:val="32"/>
        </w:rPr>
        <w:t>Appendix</w:t>
      </w:r>
      <w:r>
        <w:rPr>
          <w:b/>
          <w:spacing w:val="-5"/>
          <w:sz w:val="32"/>
        </w:rPr>
        <w:t xml:space="preserve"> </w:t>
      </w:r>
      <w:r>
        <w:rPr>
          <w:b/>
          <w:sz w:val="32"/>
        </w:rPr>
        <w:t>E.</w:t>
      </w:r>
      <w:r>
        <w:rPr>
          <w:b/>
          <w:spacing w:val="-6"/>
          <w:sz w:val="32"/>
        </w:rPr>
        <w:t xml:space="preserve"> </w:t>
      </w:r>
      <w:r>
        <w:rPr>
          <w:b/>
          <w:sz w:val="32"/>
        </w:rPr>
        <w:t>Industrial</w:t>
      </w:r>
      <w:r>
        <w:rPr>
          <w:b/>
          <w:spacing w:val="-6"/>
          <w:sz w:val="32"/>
        </w:rPr>
        <w:t xml:space="preserve"> </w:t>
      </w:r>
      <w:r>
        <w:rPr>
          <w:b/>
          <w:sz w:val="32"/>
        </w:rPr>
        <w:t>and</w:t>
      </w:r>
      <w:r>
        <w:rPr>
          <w:b/>
          <w:spacing w:val="-16"/>
          <w:sz w:val="32"/>
        </w:rPr>
        <w:t xml:space="preserve"> </w:t>
      </w:r>
      <w:r>
        <w:rPr>
          <w:b/>
          <w:sz w:val="32"/>
        </w:rPr>
        <w:t>Agriculture</w:t>
      </w:r>
      <w:r>
        <w:rPr>
          <w:b/>
          <w:spacing w:val="-6"/>
          <w:sz w:val="32"/>
        </w:rPr>
        <w:t xml:space="preserve"> </w:t>
      </w:r>
      <w:r>
        <w:rPr>
          <w:b/>
          <w:sz w:val="32"/>
        </w:rPr>
        <w:t>Sectors</w:t>
      </w:r>
      <w:r>
        <w:rPr>
          <w:b/>
          <w:spacing w:val="-6"/>
          <w:sz w:val="32"/>
        </w:rPr>
        <w:t xml:space="preserve"> </w:t>
      </w:r>
      <w:r>
        <w:rPr>
          <w:b/>
          <w:sz w:val="32"/>
        </w:rPr>
        <w:t>– Characterized Measures</w:t>
      </w:r>
    </w:p>
    <w:p w:rsidR="00C31389" w:rsidRDefault="00C31389" w14:paraId="1EA6C9CF" w14:textId="77777777">
      <w:pPr>
        <w:pStyle w:val="BodyText"/>
        <w:spacing w:before="3"/>
        <w:rPr>
          <w:b/>
          <w:sz w:val="31"/>
        </w:rPr>
      </w:pPr>
    </w:p>
    <w:p w:rsidR="00C31389" w:rsidRDefault="00561FBD" w14:paraId="7F98D367" w14:textId="77777777">
      <w:pPr>
        <w:pStyle w:val="BodyText"/>
        <w:ind w:left="479" w:right="462"/>
      </w:pPr>
      <w:r>
        <w:t xml:space="preserve">This appendix provides additional detail and data for the </w:t>
      </w:r>
      <w:r>
        <w:t>industrial and agriculture sectors. Industrial</w:t>
      </w:r>
      <w:r>
        <w:rPr>
          <w:spacing w:val="-3"/>
        </w:rPr>
        <w:t xml:space="preserve"> </w:t>
      </w:r>
      <w:r>
        <w:t>and</w:t>
      </w:r>
      <w:r>
        <w:rPr>
          <w:spacing w:val="-3"/>
        </w:rPr>
        <w:t xml:space="preserve"> </w:t>
      </w:r>
      <w:r>
        <w:t>agriculture</w:t>
      </w:r>
      <w:r>
        <w:rPr>
          <w:spacing w:val="-4"/>
        </w:rPr>
        <w:t xml:space="preserve"> </w:t>
      </w:r>
      <w:r>
        <w:t>building</w:t>
      </w:r>
      <w:r>
        <w:rPr>
          <w:spacing w:val="-3"/>
        </w:rPr>
        <w:t xml:space="preserve"> </w:t>
      </w:r>
      <w:r>
        <w:t>types</w:t>
      </w:r>
      <w:r>
        <w:rPr>
          <w:spacing w:val="-3"/>
        </w:rPr>
        <w:t xml:space="preserve"> </w:t>
      </w:r>
      <w:r>
        <w:t>are</w:t>
      </w:r>
      <w:r>
        <w:rPr>
          <w:spacing w:val="-3"/>
        </w:rPr>
        <w:t xml:space="preserve"> </w:t>
      </w:r>
      <w:r>
        <w:t>classified</w:t>
      </w:r>
      <w:r>
        <w:rPr>
          <w:spacing w:val="-3"/>
        </w:rPr>
        <w:t xml:space="preserve"> </w:t>
      </w:r>
      <w:r>
        <w:t>by</w:t>
      </w:r>
      <w:r>
        <w:rPr>
          <w:spacing w:val="-3"/>
        </w:rPr>
        <w:t xml:space="preserve"> </w:t>
      </w:r>
      <w:r>
        <w:t>grouping</w:t>
      </w:r>
      <w:r>
        <w:rPr>
          <w:spacing w:val="-3"/>
        </w:rPr>
        <w:t xml:space="preserve"> </w:t>
      </w:r>
      <w:r>
        <w:t>buildings</w:t>
      </w:r>
      <w:r>
        <w:rPr>
          <w:spacing w:val="-3"/>
        </w:rPr>
        <w:t xml:space="preserve"> </w:t>
      </w:r>
      <w:r>
        <w:t>in</w:t>
      </w:r>
      <w:r>
        <w:rPr>
          <w:spacing w:val="-3"/>
        </w:rPr>
        <w:t xml:space="preserve"> </w:t>
      </w:r>
      <w:r>
        <w:t>NAICS</w:t>
      </w:r>
      <w:r>
        <w:rPr>
          <w:spacing w:val="-3"/>
        </w:rPr>
        <w:t xml:space="preserve"> </w:t>
      </w:r>
      <w:r>
        <w:t xml:space="preserve">codes. </w:t>
      </w:r>
      <w:hyperlink w:history="1" w:anchor="_bookmark451">
        <w:r>
          <w:t>Table E-1</w:t>
        </w:r>
      </w:hyperlink>
      <w:r>
        <w:t xml:space="preserve"> references the building types used in this study with their associated NAICS </w:t>
      </w:r>
      <w:r>
        <w:rPr>
          <w:spacing w:val="-2"/>
        </w:rPr>
        <w:t>codes.</w:t>
      </w:r>
    </w:p>
    <w:p w:rsidR="00C31389" w:rsidRDefault="00C31389" w14:paraId="24F30204" w14:textId="77777777">
      <w:pPr>
        <w:pStyle w:val="BodyText"/>
        <w:spacing w:before="11"/>
        <w:rPr>
          <w:sz w:val="20"/>
        </w:rPr>
      </w:pPr>
    </w:p>
    <w:p w:rsidR="00C31389" w:rsidRDefault="00561FBD" w14:paraId="19A12700" w14:textId="77777777">
      <w:pPr>
        <w:pStyle w:val="Heading7"/>
        <w:ind w:left="398" w:right="340"/>
        <w:jc w:val="center"/>
      </w:pPr>
      <w:bookmarkStart w:name="_bookmark451" w:id="586"/>
      <w:bookmarkEnd w:id="586"/>
      <w:r>
        <w:t>Table</w:t>
      </w:r>
      <w:r>
        <w:rPr>
          <w:spacing w:val="-9"/>
        </w:rPr>
        <w:t xml:space="preserve"> </w:t>
      </w:r>
      <w:r>
        <w:t>E-1.</w:t>
      </w:r>
      <w:r>
        <w:rPr>
          <w:spacing w:val="-9"/>
        </w:rPr>
        <w:t xml:space="preserve"> </w:t>
      </w:r>
      <w:r>
        <w:t>Industrial</w:t>
      </w:r>
      <w:r>
        <w:rPr>
          <w:spacing w:val="-9"/>
        </w:rPr>
        <w:t xml:space="preserve"> </w:t>
      </w:r>
      <w:r>
        <w:t>and</w:t>
      </w:r>
      <w:r>
        <w:rPr>
          <w:spacing w:val="-9"/>
        </w:rPr>
        <w:t xml:space="preserve"> </w:t>
      </w:r>
      <w:r>
        <w:t>Agriculture</w:t>
      </w:r>
      <w:r>
        <w:rPr>
          <w:spacing w:val="-9"/>
        </w:rPr>
        <w:t xml:space="preserve"> </w:t>
      </w:r>
      <w:r>
        <w:t>Subsector</w:t>
      </w:r>
      <w:r>
        <w:rPr>
          <w:spacing w:val="-9"/>
        </w:rPr>
        <w:t xml:space="preserve"> </w:t>
      </w:r>
      <w:r>
        <w:t>NAICS</w:t>
      </w:r>
      <w:r>
        <w:rPr>
          <w:spacing w:val="-8"/>
        </w:rPr>
        <w:t xml:space="preserve"> </w:t>
      </w:r>
      <w:r>
        <w:rPr>
          <w:spacing w:val="-2"/>
        </w:rPr>
        <w:t>Mapping</w:t>
      </w:r>
    </w:p>
    <w:p w:rsidR="00C31389" w:rsidRDefault="00C31389" w14:paraId="5661F2C8" w14:textId="77777777">
      <w:pPr>
        <w:pStyle w:val="BodyText"/>
        <w:spacing w:before="6"/>
        <w:rPr>
          <w:b/>
          <w:sz w:val="9"/>
        </w:rPr>
      </w:pPr>
    </w:p>
    <w:tbl>
      <w:tblPr>
        <w:tblW w:w="0" w:type="auto"/>
        <w:tblInd w:w="1308" w:type="dxa"/>
        <w:tblLayout w:type="fixed"/>
        <w:tblCellMar>
          <w:left w:w="0" w:type="dxa"/>
          <w:right w:w="0" w:type="dxa"/>
        </w:tblCellMar>
        <w:tblLook w:val="01E0" w:firstRow="1" w:lastRow="1" w:firstColumn="1" w:lastColumn="1" w:noHBand="0" w:noVBand="0"/>
      </w:tblPr>
      <w:tblGrid>
        <w:gridCol w:w="1305"/>
        <w:gridCol w:w="3904"/>
        <w:gridCol w:w="2168"/>
      </w:tblGrid>
      <w:tr w:rsidR="00C31389" w14:paraId="0742034D" w14:textId="77777777">
        <w:trPr>
          <w:trHeight w:val="320"/>
        </w:trPr>
        <w:tc>
          <w:tcPr>
            <w:tcW w:w="1305" w:type="dxa"/>
            <w:shd w:val="clear" w:color="auto" w:fill="92D400"/>
          </w:tcPr>
          <w:p w:rsidR="00C31389" w:rsidRDefault="00561FBD" w14:paraId="06ABBCF3" w14:textId="77777777">
            <w:pPr>
              <w:pStyle w:val="TableParagraph"/>
              <w:ind w:left="122"/>
              <w:rPr>
                <w:b/>
                <w:sz w:val="20"/>
              </w:rPr>
            </w:pPr>
            <w:r>
              <w:rPr>
                <w:b/>
                <w:spacing w:val="-2"/>
                <w:sz w:val="20"/>
              </w:rPr>
              <w:t>Sector</w:t>
            </w:r>
          </w:p>
        </w:tc>
        <w:tc>
          <w:tcPr>
            <w:tcW w:w="3904" w:type="dxa"/>
            <w:shd w:val="clear" w:color="auto" w:fill="92D400"/>
          </w:tcPr>
          <w:p w:rsidR="00C31389" w:rsidRDefault="00561FBD" w14:paraId="057C6509" w14:textId="77777777">
            <w:pPr>
              <w:pStyle w:val="TableParagraph"/>
              <w:ind w:left="114"/>
              <w:rPr>
                <w:b/>
                <w:sz w:val="20"/>
              </w:rPr>
            </w:pPr>
            <w:r>
              <w:rPr>
                <w:b/>
                <w:sz w:val="20"/>
              </w:rPr>
              <w:t>Subsector</w:t>
            </w:r>
            <w:r>
              <w:rPr>
                <w:b/>
                <w:spacing w:val="-6"/>
                <w:sz w:val="20"/>
              </w:rPr>
              <w:t xml:space="preserve"> </w:t>
            </w:r>
            <w:r>
              <w:rPr>
                <w:b/>
                <w:sz w:val="20"/>
              </w:rPr>
              <w:t>(Building</w:t>
            </w:r>
            <w:r>
              <w:rPr>
                <w:b/>
                <w:spacing w:val="-6"/>
                <w:sz w:val="20"/>
              </w:rPr>
              <w:t xml:space="preserve"> </w:t>
            </w:r>
            <w:r>
              <w:rPr>
                <w:b/>
                <w:spacing w:val="-4"/>
                <w:sz w:val="20"/>
              </w:rPr>
              <w:t>Type)</w:t>
            </w:r>
          </w:p>
        </w:tc>
        <w:tc>
          <w:tcPr>
            <w:tcW w:w="2168" w:type="dxa"/>
            <w:shd w:val="clear" w:color="auto" w:fill="92D400"/>
          </w:tcPr>
          <w:p w:rsidR="00C31389" w:rsidRDefault="00561FBD" w14:paraId="103CCAF0" w14:textId="77777777">
            <w:pPr>
              <w:pStyle w:val="TableParagraph"/>
              <w:ind w:left="140"/>
              <w:rPr>
                <w:b/>
                <w:sz w:val="20"/>
              </w:rPr>
            </w:pPr>
            <w:r>
              <w:rPr>
                <w:b/>
                <w:spacing w:val="-2"/>
                <w:sz w:val="20"/>
              </w:rPr>
              <w:t>NAICS</w:t>
            </w:r>
          </w:p>
        </w:tc>
      </w:tr>
      <w:tr w:rsidR="00C31389" w14:paraId="3E0FE25D" w14:textId="77777777">
        <w:trPr>
          <w:trHeight w:val="309"/>
        </w:trPr>
        <w:tc>
          <w:tcPr>
            <w:tcW w:w="1305" w:type="dxa"/>
          </w:tcPr>
          <w:p w:rsidR="00C31389" w:rsidRDefault="00C31389" w14:paraId="0A855799" w14:textId="77777777">
            <w:pPr>
              <w:pStyle w:val="TableParagraph"/>
              <w:spacing w:before="0"/>
              <w:rPr>
                <w:rFonts w:ascii="Times New Roman"/>
                <w:sz w:val="20"/>
              </w:rPr>
            </w:pPr>
          </w:p>
        </w:tc>
        <w:tc>
          <w:tcPr>
            <w:tcW w:w="3904" w:type="dxa"/>
            <w:tcBorders>
              <w:bottom w:val="single" w:color="D9D9D9" w:sz="2" w:space="0"/>
            </w:tcBorders>
          </w:tcPr>
          <w:p w:rsidR="00C31389" w:rsidRDefault="00561FBD" w14:paraId="387E4C05" w14:textId="77777777">
            <w:pPr>
              <w:pStyle w:val="TableParagraph"/>
              <w:ind w:left="114"/>
              <w:rPr>
                <w:sz w:val="20"/>
              </w:rPr>
            </w:pPr>
            <w:r>
              <w:rPr>
                <w:spacing w:val="-2"/>
                <w:sz w:val="20"/>
              </w:rPr>
              <w:t>Chemicals</w:t>
            </w:r>
          </w:p>
        </w:tc>
        <w:tc>
          <w:tcPr>
            <w:tcW w:w="2168" w:type="dxa"/>
            <w:tcBorders>
              <w:bottom w:val="single" w:color="D9D9D9" w:sz="2" w:space="0"/>
            </w:tcBorders>
          </w:tcPr>
          <w:p w:rsidR="00C31389" w:rsidRDefault="00561FBD" w14:paraId="60372193" w14:textId="77777777">
            <w:pPr>
              <w:pStyle w:val="TableParagraph"/>
              <w:ind w:left="140"/>
              <w:rPr>
                <w:sz w:val="20"/>
              </w:rPr>
            </w:pPr>
            <w:r>
              <w:rPr>
                <w:spacing w:val="-5"/>
                <w:sz w:val="20"/>
              </w:rPr>
              <w:t>325</w:t>
            </w:r>
          </w:p>
        </w:tc>
      </w:tr>
      <w:tr w:rsidR="00C31389" w14:paraId="51020D9D" w14:textId="77777777">
        <w:trPr>
          <w:trHeight w:val="310"/>
        </w:trPr>
        <w:tc>
          <w:tcPr>
            <w:tcW w:w="1305" w:type="dxa"/>
          </w:tcPr>
          <w:p w:rsidR="00C31389" w:rsidRDefault="00C31389" w14:paraId="026BDB16"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7EC09189" w14:textId="77777777">
            <w:pPr>
              <w:pStyle w:val="TableParagraph"/>
              <w:ind w:left="114"/>
              <w:rPr>
                <w:sz w:val="20"/>
              </w:rPr>
            </w:pPr>
            <w:r>
              <w:rPr>
                <w:spacing w:val="-2"/>
                <w:sz w:val="20"/>
              </w:rPr>
              <w:t>Electronics</w:t>
            </w:r>
          </w:p>
        </w:tc>
        <w:tc>
          <w:tcPr>
            <w:tcW w:w="2168" w:type="dxa"/>
            <w:tcBorders>
              <w:top w:val="single" w:color="D9D9D9" w:sz="2" w:space="0"/>
              <w:bottom w:val="single" w:color="D9D9D9" w:sz="2" w:space="0"/>
            </w:tcBorders>
          </w:tcPr>
          <w:p w:rsidR="00C31389" w:rsidRDefault="00561FBD" w14:paraId="3C9C3DF7" w14:textId="77777777">
            <w:pPr>
              <w:pStyle w:val="TableParagraph"/>
              <w:ind w:left="140"/>
              <w:rPr>
                <w:sz w:val="20"/>
              </w:rPr>
            </w:pPr>
            <w:r>
              <w:rPr>
                <w:sz w:val="20"/>
              </w:rPr>
              <w:t>334x,</w:t>
            </w:r>
            <w:r>
              <w:rPr>
                <w:spacing w:val="-5"/>
                <w:sz w:val="20"/>
              </w:rPr>
              <w:t xml:space="preserve"> 335</w:t>
            </w:r>
          </w:p>
        </w:tc>
      </w:tr>
      <w:tr w:rsidR="00C31389" w14:paraId="4DEF7E94" w14:textId="77777777">
        <w:trPr>
          <w:trHeight w:val="309"/>
        </w:trPr>
        <w:tc>
          <w:tcPr>
            <w:tcW w:w="1305" w:type="dxa"/>
          </w:tcPr>
          <w:p w:rsidR="00C31389" w:rsidRDefault="00C31389" w14:paraId="56D1148E"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2E0E613B" w14:textId="77777777">
            <w:pPr>
              <w:pStyle w:val="TableParagraph"/>
              <w:ind w:left="114"/>
              <w:rPr>
                <w:sz w:val="20"/>
              </w:rPr>
            </w:pPr>
            <w:r>
              <w:rPr>
                <w:sz w:val="20"/>
              </w:rPr>
              <w:t>Fabricated</w:t>
            </w:r>
            <w:r>
              <w:rPr>
                <w:spacing w:val="-6"/>
                <w:sz w:val="20"/>
              </w:rPr>
              <w:t xml:space="preserve"> </w:t>
            </w:r>
            <w:r>
              <w:rPr>
                <w:spacing w:val="-2"/>
                <w:sz w:val="20"/>
              </w:rPr>
              <w:t>Metals</w:t>
            </w:r>
          </w:p>
        </w:tc>
        <w:tc>
          <w:tcPr>
            <w:tcW w:w="2168" w:type="dxa"/>
            <w:tcBorders>
              <w:top w:val="single" w:color="D9D9D9" w:sz="2" w:space="0"/>
              <w:bottom w:val="single" w:color="D9D9D9" w:sz="2" w:space="0"/>
            </w:tcBorders>
          </w:tcPr>
          <w:p w:rsidR="00C31389" w:rsidRDefault="00561FBD" w14:paraId="78B4DF82" w14:textId="77777777">
            <w:pPr>
              <w:pStyle w:val="TableParagraph"/>
              <w:ind w:left="140"/>
              <w:rPr>
                <w:sz w:val="20"/>
              </w:rPr>
            </w:pPr>
            <w:r>
              <w:rPr>
                <w:spacing w:val="-5"/>
                <w:sz w:val="20"/>
              </w:rPr>
              <w:t>332</w:t>
            </w:r>
          </w:p>
        </w:tc>
      </w:tr>
      <w:tr w:rsidR="00C31389" w14:paraId="0206C773" w14:textId="77777777">
        <w:trPr>
          <w:trHeight w:val="310"/>
        </w:trPr>
        <w:tc>
          <w:tcPr>
            <w:tcW w:w="1305" w:type="dxa"/>
          </w:tcPr>
          <w:p w:rsidR="00C31389" w:rsidRDefault="00C31389" w14:paraId="77D7D372"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2DD7BAE5" w14:textId="77777777">
            <w:pPr>
              <w:pStyle w:val="TableParagraph"/>
              <w:ind w:left="114"/>
              <w:rPr>
                <w:sz w:val="20"/>
              </w:rPr>
            </w:pPr>
            <w:r>
              <w:rPr>
                <w:spacing w:val="-4"/>
                <w:sz w:val="20"/>
              </w:rPr>
              <w:t>Food</w:t>
            </w:r>
          </w:p>
        </w:tc>
        <w:tc>
          <w:tcPr>
            <w:tcW w:w="2168" w:type="dxa"/>
            <w:tcBorders>
              <w:top w:val="single" w:color="D9D9D9" w:sz="2" w:space="0"/>
              <w:bottom w:val="single" w:color="D9D9D9" w:sz="2" w:space="0"/>
            </w:tcBorders>
          </w:tcPr>
          <w:p w:rsidR="00C31389" w:rsidRDefault="00561FBD" w14:paraId="4829AE0B" w14:textId="77777777">
            <w:pPr>
              <w:pStyle w:val="TableParagraph"/>
              <w:ind w:left="140"/>
              <w:rPr>
                <w:sz w:val="20"/>
              </w:rPr>
            </w:pPr>
            <w:r>
              <w:rPr>
                <w:sz w:val="20"/>
              </w:rPr>
              <w:t>311x,</w:t>
            </w:r>
            <w:r>
              <w:rPr>
                <w:spacing w:val="-5"/>
                <w:sz w:val="20"/>
              </w:rPr>
              <w:t xml:space="preserve"> 312</w:t>
            </w:r>
          </w:p>
        </w:tc>
      </w:tr>
      <w:tr w:rsidR="00C31389" w14:paraId="49D00892" w14:textId="77777777">
        <w:trPr>
          <w:trHeight w:val="309"/>
        </w:trPr>
        <w:tc>
          <w:tcPr>
            <w:tcW w:w="1305" w:type="dxa"/>
          </w:tcPr>
          <w:p w:rsidR="00C31389" w:rsidRDefault="00C31389" w14:paraId="591E2605"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74A58434" w14:textId="77777777">
            <w:pPr>
              <w:pStyle w:val="TableParagraph"/>
              <w:ind w:left="114"/>
              <w:rPr>
                <w:sz w:val="20"/>
              </w:rPr>
            </w:pPr>
            <w:r>
              <w:rPr>
                <w:sz w:val="20"/>
              </w:rPr>
              <w:t>Industrial</w:t>
            </w:r>
            <w:r>
              <w:rPr>
                <w:spacing w:val="-5"/>
                <w:sz w:val="20"/>
              </w:rPr>
              <w:t xml:space="preserve"> </w:t>
            </w:r>
            <w:r>
              <w:rPr>
                <w:spacing w:val="-2"/>
                <w:sz w:val="20"/>
              </w:rPr>
              <w:t>Machinery</w:t>
            </w:r>
          </w:p>
        </w:tc>
        <w:tc>
          <w:tcPr>
            <w:tcW w:w="2168" w:type="dxa"/>
            <w:tcBorders>
              <w:top w:val="single" w:color="D9D9D9" w:sz="2" w:space="0"/>
              <w:bottom w:val="single" w:color="D9D9D9" w:sz="2" w:space="0"/>
            </w:tcBorders>
          </w:tcPr>
          <w:p w:rsidR="00C31389" w:rsidRDefault="00561FBD" w14:paraId="0CCDAF70" w14:textId="77777777">
            <w:pPr>
              <w:pStyle w:val="TableParagraph"/>
              <w:ind w:left="140"/>
              <w:rPr>
                <w:sz w:val="20"/>
              </w:rPr>
            </w:pPr>
            <w:r>
              <w:rPr>
                <w:spacing w:val="-5"/>
                <w:sz w:val="20"/>
              </w:rPr>
              <w:t>333</w:t>
            </w:r>
          </w:p>
        </w:tc>
      </w:tr>
      <w:tr w:rsidR="00C31389" w14:paraId="3C408D84" w14:textId="77777777">
        <w:trPr>
          <w:trHeight w:val="310"/>
        </w:trPr>
        <w:tc>
          <w:tcPr>
            <w:tcW w:w="1305" w:type="dxa"/>
          </w:tcPr>
          <w:p w:rsidR="00C31389" w:rsidRDefault="00C31389" w14:paraId="4CE59B4F"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1F841079" w14:textId="77777777">
            <w:pPr>
              <w:pStyle w:val="TableParagraph"/>
              <w:ind w:left="114"/>
              <w:rPr>
                <w:sz w:val="20"/>
              </w:rPr>
            </w:pPr>
            <w:r>
              <w:rPr>
                <w:sz w:val="20"/>
              </w:rPr>
              <w:t>Lumber</w:t>
            </w:r>
            <w:r>
              <w:rPr>
                <w:spacing w:val="-2"/>
                <w:sz w:val="20"/>
              </w:rPr>
              <w:t xml:space="preserve"> </w:t>
            </w:r>
            <w:r>
              <w:rPr>
                <w:sz w:val="20"/>
              </w:rPr>
              <w:t>&amp;</w:t>
            </w:r>
            <w:r>
              <w:rPr>
                <w:spacing w:val="-2"/>
                <w:sz w:val="20"/>
              </w:rPr>
              <w:t xml:space="preserve"> Furniture</w:t>
            </w:r>
          </w:p>
        </w:tc>
        <w:tc>
          <w:tcPr>
            <w:tcW w:w="2168" w:type="dxa"/>
            <w:tcBorders>
              <w:top w:val="single" w:color="D9D9D9" w:sz="2" w:space="0"/>
              <w:bottom w:val="single" w:color="D9D9D9" w:sz="2" w:space="0"/>
            </w:tcBorders>
          </w:tcPr>
          <w:p w:rsidR="00C31389" w:rsidRDefault="00561FBD" w14:paraId="2878C594" w14:textId="77777777">
            <w:pPr>
              <w:pStyle w:val="TableParagraph"/>
              <w:ind w:left="140"/>
              <w:rPr>
                <w:sz w:val="20"/>
              </w:rPr>
            </w:pPr>
            <w:r>
              <w:rPr>
                <w:sz w:val="20"/>
              </w:rPr>
              <w:t>337,</w:t>
            </w:r>
            <w:r>
              <w:rPr>
                <w:spacing w:val="-1"/>
                <w:sz w:val="20"/>
              </w:rPr>
              <w:t xml:space="preserve"> </w:t>
            </w:r>
            <w:r>
              <w:rPr>
                <w:sz w:val="20"/>
              </w:rPr>
              <w:t>321,</w:t>
            </w:r>
            <w:r>
              <w:rPr>
                <w:spacing w:val="-1"/>
                <w:sz w:val="20"/>
              </w:rPr>
              <w:t xml:space="preserve"> </w:t>
            </w:r>
            <w:r>
              <w:rPr>
                <w:spacing w:val="-4"/>
                <w:sz w:val="20"/>
              </w:rPr>
              <w:t>1133</w:t>
            </w:r>
          </w:p>
        </w:tc>
      </w:tr>
      <w:tr w:rsidR="00C31389" w14:paraId="625ABFA1" w14:textId="77777777">
        <w:trPr>
          <w:trHeight w:val="309"/>
        </w:trPr>
        <w:tc>
          <w:tcPr>
            <w:tcW w:w="1305" w:type="dxa"/>
          </w:tcPr>
          <w:p w:rsidR="00C31389" w:rsidRDefault="00C31389" w14:paraId="1381D720"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772695C0" w14:textId="77777777">
            <w:pPr>
              <w:pStyle w:val="TableParagraph"/>
              <w:ind w:left="114"/>
              <w:rPr>
                <w:sz w:val="20"/>
              </w:rPr>
            </w:pPr>
            <w:r>
              <w:rPr>
                <w:spacing w:val="-2"/>
                <w:sz w:val="20"/>
              </w:rPr>
              <w:t>Paper</w:t>
            </w:r>
          </w:p>
        </w:tc>
        <w:tc>
          <w:tcPr>
            <w:tcW w:w="2168" w:type="dxa"/>
            <w:tcBorders>
              <w:top w:val="single" w:color="D9D9D9" w:sz="2" w:space="0"/>
              <w:bottom w:val="single" w:color="D9D9D9" w:sz="2" w:space="0"/>
            </w:tcBorders>
          </w:tcPr>
          <w:p w:rsidR="00C31389" w:rsidRDefault="00561FBD" w14:paraId="1E4BF09F" w14:textId="77777777">
            <w:pPr>
              <w:pStyle w:val="TableParagraph"/>
              <w:ind w:left="140"/>
              <w:rPr>
                <w:sz w:val="20"/>
              </w:rPr>
            </w:pPr>
            <w:r>
              <w:rPr>
                <w:spacing w:val="-4"/>
                <w:sz w:val="20"/>
              </w:rPr>
              <w:t>322x</w:t>
            </w:r>
          </w:p>
        </w:tc>
      </w:tr>
      <w:tr w:rsidR="00C31389" w14:paraId="109BABD4" w14:textId="77777777">
        <w:trPr>
          <w:trHeight w:val="310"/>
        </w:trPr>
        <w:tc>
          <w:tcPr>
            <w:tcW w:w="1305" w:type="dxa"/>
          </w:tcPr>
          <w:p w:rsidR="00C31389" w:rsidRDefault="00561FBD" w14:paraId="4E766259" w14:textId="77777777">
            <w:pPr>
              <w:pStyle w:val="TableParagraph"/>
              <w:ind w:left="122"/>
              <w:rPr>
                <w:b/>
                <w:sz w:val="20"/>
              </w:rPr>
            </w:pPr>
            <w:r>
              <w:rPr>
                <w:b/>
                <w:spacing w:val="-2"/>
                <w:sz w:val="20"/>
              </w:rPr>
              <w:t>Industrial</w:t>
            </w:r>
          </w:p>
        </w:tc>
        <w:tc>
          <w:tcPr>
            <w:tcW w:w="3904" w:type="dxa"/>
            <w:tcBorders>
              <w:top w:val="single" w:color="D9D9D9" w:sz="2" w:space="0"/>
              <w:bottom w:val="single" w:color="D9D9D9" w:sz="2" w:space="0"/>
            </w:tcBorders>
          </w:tcPr>
          <w:p w:rsidR="00C31389" w:rsidRDefault="00561FBD" w14:paraId="2EA7C886" w14:textId="77777777">
            <w:pPr>
              <w:pStyle w:val="TableParagraph"/>
              <w:ind w:left="114"/>
              <w:rPr>
                <w:sz w:val="20"/>
              </w:rPr>
            </w:pPr>
            <w:r>
              <w:rPr>
                <w:spacing w:val="-2"/>
                <w:sz w:val="20"/>
              </w:rPr>
              <w:t>Petroleum</w:t>
            </w:r>
          </w:p>
        </w:tc>
        <w:tc>
          <w:tcPr>
            <w:tcW w:w="2168" w:type="dxa"/>
            <w:tcBorders>
              <w:top w:val="single" w:color="D9D9D9" w:sz="2" w:space="0"/>
              <w:bottom w:val="single" w:color="D9D9D9" w:sz="2" w:space="0"/>
            </w:tcBorders>
          </w:tcPr>
          <w:p w:rsidR="00C31389" w:rsidRDefault="00561FBD" w14:paraId="75C48E80" w14:textId="77777777">
            <w:pPr>
              <w:pStyle w:val="TableParagraph"/>
              <w:ind w:left="140"/>
              <w:rPr>
                <w:sz w:val="20"/>
              </w:rPr>
            </w:pPr>
            <w:r>
              <w:rPr>
                <w:spacing w:val="-5"/>
                <w:sz w:val="20"/>
              </w:rPr>
              <w:t>324</w:t>
            </w:r>
          </w:p>
        </w:tc>
      </w:tr>
      <w:tr w:rsidR="00C31389" w14:paraId="16D9535A" w14:textId="77777777">
        <w:trPr>
          <w:trHeight w:val="309"/>
        </w:trPr>
        <w:tc>
          <w:tcPr>
            <w:tcW w:w="1305" w:type="dxa"/>
          </w:tcPr>
          <w:p w:rsidR="00C31389" w:rsidRDefault="00C31389" w14:paraId="3F1BAA13"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23586E60" w14:textId="77777777">
            <w:pPr>
              <w:pStyle w:val="TableParagraph"/>
              <w:ind w:left="114"/>
              <w:rPr>
                <w:sz w:val="20"/>
              </w:rPr>
            </w:pPr>
            <w:r>
              <w:rPr>
                <w:spacing w:val="-2"/>
                <w:sz w:val="20"/>
              </w:rPr>
              <w:t>Plastics</w:t>
            </w:r>
          </w:p>
        </w:tc>
        <w:tc>
          <w:tcPr>
            <w:tcW w:w="2168" w:type="dxa"/>
            <w:tcBorders>
              <w:top w:val="single" w:color="D9D9D9" w:sz="2" w:space="0"/>
              <w:bottom w:val="single" w:color="D9D9D9" w:sz="2" w:space="0"/>
            </w:tcBorders>
          </w:tcPr>
          <w:p w:rsidR="00C31389" w:rsidRDefault="00561FBD" w14:paraId="128F19B1" w14:textId="77777777">
            <w:pPr>
              <w:pStyle w:val="TableParagraph"/>
              <w:ind w:left="140"/>
              <w:rPr>
                <w:sz w:val="20"/>
              </w:rPr>
            </w:pPr>
            <w:r>
              <w:rPr>
                <w:spacing w:val="-5"/>
                <w:sz w:val="20"/>
              </w:rPr>
              <w:t>326</w:t>
            </w:r>
          </w:p>
        </w:tc>
      </w:tr>
      <w:tr w:rsidR="00C31389" w14:paraId="2F2301AC" w14:textId="77777777">
        <w:trPr>
          <w:trHeight w:val="310"/>
        </w:trPr>
        <w:tc>
          <w:tcPr>
            <w:tcW w:w="1305" w:type="dxa"/>
          </w:tcPr>
          <w:p w:rsidR="00C31389" w:rsidRDefault="00C31389" w14:paraId="2A5F5214"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25DC8D74" w14:textId="77777777">
            <w:pPr>
              <w:pStyle w:val="TableParagraph"/>
              <w:ind w:left="114"/>
              <w:rPr>
                <w:sz w:val="20"/>
              </w:rPr>
            </w:pPr>
            <w:r>
              <w:rPr>
                <w:sz w:val="20"/>
              </w:rPr>
              <w:t>Primary</w:t>
            </w:r>
            <w:r>
              <w:rPr>
                <w:spacing w:val="-4"/>
                <w:sz w:val="20"/>
              </w:rPr>
              <w:t xml:space="preserve"> </w:t>
            </w:r>
            <w:r>
              <w:rPr>
                <w:spacing w:val="-2"/>
                <w:sz w:val="20"/>
              </w:rPr>
              <w:t>Metals</w:t>
            </w:r>
          </w:p>
        </w:tc>
        <w:tc>
          <w:tcPr>
            <w:tcW w:w="2168" w:type="dxa"/>
            <w:tcBorders>
              <w:top w:val="single" w:color="D9D9D9" w:sz="2" w:space="0"/>
              <w:bottom w:val="single" w:color="D9D9D9" w:sz="2" w:space="0"/>
            </w:tcBorders>
          </w:tcPr>
          <w:p w:rsidR="00C31389" w:rsidRDefault="00561FBD" w14:paraId="192B59DC" w14:textId="77777777">
            <w:pPr>
              <w:pStyle w:val="TableParagraph"/>
              <w:ind w:left="140"/>
              <w:rPr>
                <w:sz w:val="20"/>
              </w:rPr>
            </w:pPr>
            <w:r>
              <w:rPr>
                <w:spacing w:val="-5"/>
                <w:sz w:val="20"/>
              </w:rPr>
              <w:t>331</w:t>
            </w:r>
          </w:p>
        </w:tc>
      </w:tr>
      <w:tr w:rsidR="00C31389" w14:paraId="7184B8FC" w14:textId="77777777">
        <w:trPr>
          <w:trHeight w:val="309"/>
        </w:trPr>
        <w:tc>
          <w:tcPr>
            <w:tcW w:w="1305" w:type="dxa"/>
          </w:tcPr>
          <w:p w:rsidR="00C31389" w:rsidRDefault="00C31389" w14:paraId="6D03F887"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4C62331A" w14:textId="77777777">
            <w:pPr>
              <w:pStyle w:val="TableParagraph"/>
              <w:ind w:left="114"/>
              <w:rPr>
                <w:sz w:val="20"/>
              </w:rPr>
            </w:pPr>
            <w:r>
              <w:rPr>
                <w:sz w:val="20"/>
              </w:rPr>
              <w:t>Printing</w:t>
            </w:r>
            <w:r>
              <w:rPr>
                <w:spacing w:val="-3"/>
                <w:sz w:val="20"/>
              </w:rPr>
              <w:t xml:space="preserve"> </w:t>
            </w:r>
            <w:r>
              <w:rPr>
                <w:sz w:val="20"/>
              </w:rPr>
              <w:t>&amp;</w:t>
            </w:r>
            <w:r>
              <w:rPr>
                <w:spacing w:val="-3"/>
                <w:sz w:val="20"/>
              </w:rPr>
              <w:t xml:space="preserve"> </w:t>
            </w:r>
            <w:r>
              <w:rPr>
                <w:spacing w:val="-2"/>
                <w:sz w:val="20"/>
              </w:rPr>
              <w:t>Publishing</w:t>
            </w:r>
          </w:p>
        </w:tc>
        <w:tc>
          <w:tcPr>
            <w:tcW w:w="2168" w:type="dxa"/>
            <w:tcBorders>
              <w:top w:val="single" w:color="D9D9D9" w:sz="2" w:space="0"/>
              <w:bottom w:val="single" w:color="D9D9D9" w:sz="2" w:space="0"/>
            </w:tcBorders>
          </w:tcPr>
          <w:p w:rsidR="00C31389" w:rsidRDefault="00561FBD" w14:paraId="6E4F4130" w14:textId="77777777">
            <w:pPr>
              <w:pStyle w:val="TableParagraph"/>
              <w:ind w:left="140"/>
              <w:rPr>
                <w:sz w:val="20"/>
              </w:rPr>
            </w:pPr>
            <w:r>
              <w:rPr>
                <w:sz w:val="20"/>
              </w:rPr>
              <w:t>323,</w:t>
            </w:r>
            <w:r>
              <w:rPr>
                <w:spacing w:val="-1"/>
                <w:sz w:val="20"/>
              </w:rPr>
              <w:t xml:space="preserve"> </w:t>
            </w:r>
            <w:r>
              <w:rPr>
                <w:sz w:val="20"/>
              </w:rPr>
              <w:t>511,</w:t>
            </w:r>
            <w:r>
              <w:rPr>
                <w:spacing w:val="-1"/>
                <w:sz w:val="20"/>
              </w:rPr>
              <w:t xml:space="preserve"> </w:t>
            </w:r>
            <w:r>
              <w:rPr>
                <w:spacing w:val="-5"/>
                <w:sz w:val="20"/>
              </w:rPr>
              <w:t>516</w:t>
            </w:r>
          </w:p>
        </w:tc>
      </w:tr>
      <w:tr w:rsidR="00C31389" w14:paraId="3CB0E73F" w14:textId="77777777">
        <w:trPr>
          <w:trHeight w:val="310"/>
        </w:trPr>
        <w:tc>
          <w:tcPr>
            <w:tcW w:w="1305" w:type="dxa"/>
          </w:tcPr>
          <w:p w:rsidR="00C31389" w:rsidRDefault="00C31389" w14:paraId="0BB980C7"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668E150D" w14:textId="77777777">
            <w:pPr>
              <w:pStyle w:val="TableParagraph"/>
              <w:ind w:left="114"/>
              <w:rPr>
                <w:sz w:val="20"/>
              </w:rPr>
            </w:pPr>
            <w:r>
              <w:rPr>
                <w:spacing w:val="-2"/>
                <w:sz w:val="20"/>
              </w:rPr>
              <w:t>Stone-Glass-</w:t>
            </w:r>
            <w:r>
              <w:rPr>
                <w:spacing w:val="-4"/>
                <w:sz w:val="20"/>
              </w:rPr>
              <w:t>Clay</w:t>
            </w:r>
          </w:p>
        </w:tc>
        <w:tc>
          <w:tcPr>
            <w:tcW w:w="2168" w:type="dxa"/>
            <w:tcBorders>
              <w:top w:val="single" w:color="D9D9D9" w:sz="2" w:space="0"/>
              <w:bottom w:val="single" w:color="D9D9D9" w:sz="2" w:space="0"/>
            </w:tcBorders>
          </w:tcPr>
          <w:p w:rsidR="00C31389" w:rsidRDefault="00561FBD" w14:paraId="73CA8DDA" w14:textId="77777777">
            <w:pPr>
              <w:pStyle w:val="TableParagraph"/>
              <w:ind w:left="140"/>
              <w:rPr>
                <w:sz w:val="20"/>
              </w:rPr>
            </w:pPr>
            <w:r>
              <w:rPr>
                <w:spacing w:val="-4"/>
                <w:sz w:val="20"/>
              </w:rPr>
              <w:t>327x</w:t>
            </w:r>
          </w:p>
        </w:tc>
      </w:tr>
      <w:tr w:rsidR="00C31389" w14:paraId="27901833" w14:textId="77777777">
        <w:trPr>
          <w:trHeight w:val="309"/>
        </w:trPr>
        <w:tc>
          <w:tcPr>
            <w:tcW w:w="1305" w:type="dxa"/>
          </w:tcPr>
          <w:p w:rsidR="00C31389" w:rsidRDefault="00C31389" w14:paraId="69A429E3"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59E7C6AD" w14:textId="77777777">
            <w:pPr>
              <w:pStyle w:val="TableParagraph"/>
              <w:ind w:left="114"/>
              <w:rPr>
                <w:sz w:val="20"/>
              </w:rPr>
            </w:pPr>
            <w:r>
              <w:rPr>
                <w:spacing w:val="-2"/>
                <w:sz w:val="20"/>
              </w:rPr>
              <w:t>Textiles</w:t>
            </w:r>
          </w:p>
        </w:tc>
        <w:tc>
          <w:tcPr>
            <w:tcW w:w="2168" w:type="dxa"/>
            <w:tcBorders>
              <w:top w:val="single" w:color="D9D9D9" w:sz="2" w:space="0"/>
              <w:bottom w:val="single" w:color="D9D9D9" w:sz="2" w:space="0"/>
            </w:tcBorders>
          </w:tcPr>
          <w:p w:rsidR="00C31389" w:rsidRDefault="00561FBD" w14:paraId="2BBDB331" w14:textId="77777777">
            <w:pPr>
              <w:pStyle w:val="TableParagraph"/>
              <w:ind w:left="140"/>
              <w:rPr>
                <w:sz w:val="20"/>
              </w:rPr>
            </w:pPr>
            <w:r>
              <w:rPr>
                <w:sz w:val="20"/>
              </w:rPr>
              <w:t>313,</w:t>
            </w:r>
            <w:r>
              <w:rPr>
                <w:spacing w:val="-3"/>
                <w:sz w:val="20"/>
              </w:rPr>
              <w:t xml:space="preserve"> </w:t>
            </w:r>
            <w:r>
              <w:rPr>
                <w:sz w:val="20"/>
              </w:rPr>
              <w:t>314,</w:t>
            </w:r>
            <w:r>
              <w:rPr>
                <w:spacing w:val="-2"/>
                <w:sz w:val="20"/>
              </w:rPr>
              <w:t xml:space="preserve"> </w:t>
            </w:r>
            <w:r>
              <w:rPr>
                <w:sz w:val="20"/>
              </w:rPr>
              <w:t>315,</w:t>
            </w:r>
            <w:r>
              <w:rPr>
                <w:spacing w:val="-2"/>
                <w:sz w:val="20"/>
              </w:rPr>
              <w:t xml:space="preserve"> </w:t>
            </w:r>
            <w:r>
              <w:rPr>
                <w:spacing w:val="-5"/>
                <w:sz w:val="20"/>
              </w:rPr>
              <w:t>316</w:t>
            </w:r>
          </w:p>
        </w:tc>
      </w:tr>
      <w:tr w:rsidR="00C31389" w14:paraId="045041D1" w14:textId="77777777">
        <w:trPr>
          <w:trHeight w:val="310"/>
        </w:trPr>
        <w:tc>
          <w:tcPr>
            <w:tcW w:w="1305" w:type="dxa"/>
          </w:tcPr>
          <w:p w:rsidR="00C31389" w:rsidRDefault="00C31389" w14:paraId="5DFD153F"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5124FEFB" w14:textId="77777777">
            <w:pPr>
              <w:pStyle w:val="TableParagraph"/>
              <w:ind w:left="114"/>
              <w:rPr>
                <w:sz w:val="20"/>
              </w:rPr>
            </w:pPr>
            <w:r>
              <w:rPr>
                <w:sz w:val="20"/>
              </w:rPr>
              <w:t>Transportation</w:t>
            </w:r>
            <w:r>
              <w:rPr>
                <w:spacing w:val="-10"/>
                <w:sz w:val="20"/>
              </w:rPr>
              <w:t xml:space="preserve"> </w:t>
            </w:r>
            <w:r>
              <w:rPr>
                <w:spacing w:val="-2"/>
                <w:sz w:val="20"/>
              </w:rPr>
              <w:t>Equipment</w:t>
            </w:r>
          </w:p>
        </w:tc>
        <w:tc>
          <w:tcPr>
            <w:tcW w:w="2168" w:type="dxa"/>
            <w:tcBorders>
              <w:top w:val="single" w:color="D9D9D9" w:sz="2" w:space="0"/>
              <w:bottom w:val="single" w:color="D9D9D9" w:sz="2" w:space="0"/>
            </w:tcBorders>
          </w:tcPr>
          <w:p w:rsidR="00C31389" w:rsidRDefault="00561FBD" w14:paraId="1356CF02" w14:textId="77777777">
            <w:pPr>
              <w:pStyle w:val="TableParagraph"/>
              <w:ind w:left="140"/>
              <w:rPr>
                <w:sz w:val="20"/>
              </w:rPr>
            </w:pPr>
            <w:r>
              <w:rPr>
                <w:spacing w:val="-5"/>
                <w:sz w:val="20"/>
              </w:rPr>
              <w:t>336</w:t>
            </w:r>
          </w:p>
        </w:tc>
      </w:tr>
      <w:tr w:rsidR="00C31389" w14:paraId="576C151B" w14:textId="77777777">
        <w:trPr>
          <w:trHeight w:val="309"/>
        </w:trPr>
        <w:tc>
          <w:tcPr>
            <w:tcW w:w="1305" w:type="dxa"/>
            <w:tcBorders>
              <w:bottom w:val="single" w:color="000000" w:sz="4" w:space="0"/>
            </w:tcBorders>
          </w:tcPr>
          <w:p w:rsidR="00C31389" w:rsidRDefault="00C31389" w14:paraId="15F9AA59" w14:textId="77777777">
            <w:pPr>
              <w:pStyle w:val="TableParagraph"/>
              <w:spacing w:before="0"/>
              <w:rPr>
                <w:rFonts w:ascii="Times New Roman"/>
                <w:sz w:val="20"/>
              </w:rPr>
            </w:pPr>
          </w:p>
        </w:tc>
        <w:tc>
          <w:tcPr>
            <w:tcW w:w="3904" w:type="dxa"/>
            <w:tcBorders>
              <w:top w:val="single" w:color="D9D9D9" w:sz="2" w:space="0"/>
              <w:bottom w:val="single" w:color="000000" w:sz="4" w:space="0"/>
            </w:tcBorders>
          </w:tcPr>
          <w:p w:rsidR="00C31389" w:rsidRDefault="00561FBD" w14:paraId="2608CD62" w14:textId="77777777">
            <w:pPr>
              <w:pStyle w:val="TableParagraph"/>
              <w:ind w:left="114"/>
              <w:rPr>
                <w:sz w:val="20"/>
              </w:rPr>
            </w:pPr>
            <w:r>
              <w:rPr>
                <w:sz w:val="20"/>
              </w:rPr>
              <w:t>All</w:t>
            </w:r>
            <w:r>
              <w:rPr>
                <w:spacing w:val="-3"/>
                <w:sz w:val="20"/>
              </w:rPr>
              <w:t xml:space="preserve"> </w:t>
            </w:r>
            <w:r>
              <w:rPr>
                <w:sz w:val="20"/>
              </w:rPr>
              <w:t>Other</w:t>
            </w:r>
            <w:r>
              <w:rPr>
                <w:spacing w:val="-1"/>
                <w:sz w:val="20"/>
              </w:rPr>
              <w:t xml:space="preserve"> </w:t>
            </w:r>
            <w:r>
              <w:rPr>
                <w:spacing w:val="-2"/>
                <w:sz w:val="20"/>
              </w:rPr>
              <w:t>Industrial</w:t>
            </w:r>
          </w:p>
        </w:tc>
        <w:tc>
          <w:tcPr>
            <w:tcW w:w="2168" w:type="dxa"/>
            <w:tcBorders>
              <w:top w:val="single" w:color="D9D9D9" w:sz="2" w:space="0"/>
              <w:bottom w:val="single" w:color="000000" w:sz="4" w:space="0"/>
            </w:tcBorders>
          </w:tcPr>
          <w:p w:rsidR="00C31389" w:rsidRDefault="00561FBD" w14:paraId="3ABBF328" w14:textId="77777777">
            <w:pPr>
              <w:pStyle w:val="TableParagraph"/>
              <w:ind w:left="140"/>
              <w:rPr>
                <w:sz w:val="20"/>
              </w:rPr>
            </w:pPr>
            <w:r>
              <w:rPr>
                <w:spacing w:val="-5"/>
                <w:sz w:val="20"/>
              </w:rPr>
              <w:t>339</w:t>
            </w:r>
          </w:p>
        </w:tc>
      </w:tr>
      <w:tr w:rsidR="00C31389" w14:paraId="7785E2B3" w14:textId="77777777">
        <w:trPr>
          <w:trHeight w:val="310"/>
        </w:trPr>
        <w:tc>
          <w:tcPr>
            <w:tcW w:w="1305" w:type="dxa"/>
            <w:tcBorders>
              <w:top w:val="single" w:color="000000" w:sz="4" w:space="0"/>
              <w:bottom w:val="single" w:color="D9D9D9" w:sz="2" w:space="0"/>
            </w:tcBorders>
          </w:tcPr>
          <w:p w:rsidR="00C31389" w:rsidRDefault="00561FBD" w14:paraId="687282E6" w14:textId="77777777">
            <w:pPr>
              <w:pStyle w:val="TableParagraph"/>
              <w:ind w:left="122"/>
              <w:rPr>
                <w:b/>
                <w:sz w:val="20"/>
              </w:rPr>
            </w:pPr>
            <w:r>
              <w:rPr>
                <w:b/>
                <w:spacing w:val="-2"/>
                <w:sz w:val="20"/>
              </w:rPr>
              <w:t>Agriculture</w:t>
            </w:r>
          </w:p>
        </w:tc>
        <w:tc>
          <w:tcPr>
            <w:tcW w:w="3904" w:type="dxa"/>
            <w:tcBorders>
              <w:top w:val="single" w:color="000000" w:sz="4" w:space="0"/>
              <w:bottom w:val="single" w:color="D9D9D9" w:sz="2" w:space="0"/>
            </w:tcBorders>
          </w:tcPr>
          <w:p w:rsidR="00C31389" w:rsidRDefault="00561FBD" w14:paraId="0C14A672" w14:textId="77777777">
            <w:pPr>
              <w:pStyle w:val="TableParagraph"/>
              <w:ind w:left="114"/>
              <w:rPr>
                <w:sz w:val="20"/>
              </w:rPr>
            </w:pPr>
            <w:r>
              <w:rPr>
                <w:sz w:val="20"/>
              </w:rPr>
              <w:t>Dairies,</w:t>
            </w:r>
            <w:r>
              <w:rPr>
                <w:spacing w:val="-5"/>
                <w:sz w:val="20"/>
              </w:rPr>
              <w:t xml:space="preserve"> </w:t>
            </w:r>
            <w:r>
              <w:rPr>
                <w:sz w:val="20"/>
              </w:rPr>
              <w:t>Fishing,</w:t>
            </w:r>
            <w:r>
              <w:rPr>
                <w:spacing w:val="-3"/>
                <w:sz w:val="20"/>
              </w:rPr>
              <w:t xml:space="preserve"> </w:t>
            </w:r>
            <w:r>
              <w:rPr>
                <w:sz w:val="20"/>
              </w:rPr>
              <w:t>and</w:t>
            </w:r>
            <w:r>
              <w:rPr>
                <w:spacing w:val="-3"/>
                <w:sz w:val="20"/>
              </w:rPr>
              <w:t xml:space="preserve"> </w:t>
            </w:r>
            <w:r>
              <w:rPr>
                <w:spacing w:val="-2"/>
                <w:sz w:val="20"/>
              </w:rPr>
              <w:t>Hunting</w:t>
            </w:r>
          </w:p>
        </w:tc>
        <w:tc>
          <w:tcPr>
            <w:tcW w:w="2168" w:type="dxa"/>
            <w:tcBorders>
              <w:top w:val="single" w:color="000000" w:sz="4" w:space="0"/>
              <w:bottom w:val="single" w:color="D9D9D9" w:sz="2" w:space="0"/>
            </w:tcBorders>
          </w:tcPr>
          <w:p w:rsidR="00C31389" w:rsidRDefault="00561FBD" w14:paraId="0F4224AE" w14:textId="77777777">
            <w:pPr>
              <w:pStyle w:val="TableParagraph"/>
              <w:ind w:left="140"/>
              <w:rPr>
                <w:sz w:val="20"/>
              </w:rPr>
            </w:pPr>
            <w:r>
              <w:rPr>
                <w:sz w:val="20"/>
              </w:rPr>
              <w:t>112,</w:t>
            </w:r>
            <w:r>
              <w:rPr>
                <w:spacing w:val="-1"/>
                <w:sz w:val="20"/>
              </w:rPr>
              <w:t xml:space="preserve"> </w:t>
            </w:r>
            <w:r>
              <w:rPr>
                <w:spacing w:val="-5"/>
                <w:sz w:val="20"/>
              </w:rPr>
              <w:t>114</w:t>
            </w:r>
          </w:p>
        </w:tc>
      </w:tr>
      <w:tr w:rsidR="00C31389" w14:paraId="711916C1" w14:textId="77777777">
        <w:trPr>
          <w:trHeight w:val="539"/>
        </w:trPr>
        <w:tc>
          <w:tcPr>
            <w:tcW w:w="1305" w:type="dxa"/>
            <w:tcBorders>
              <w:top w:val="single" w:color="D9D9D9" w:sz="2" w:space="0"/>
              <w:bottom w:val="single" w:color="D9D9D9" w:sz="2" w:space="0"/>
            </w:tcBorders>
          </w:tcPr>
          <w:p w:rsidR="00C31389" w:rsidRDefault="00C31389" w14:paraId="6656F5C5" w14:textId="77777777">
            <w:pPr>
              <w:pStyle w:val="TableParagraph"/>
              <w:spacing w:before="0"/>
              <w:rPr>
                <w:rFonts w:ascii="Times New Roman"/>
                <w:sz w:val="20"/>
              </w:rPr>
            </w:pPr>
          </w:p>
        </w:tc>
        <w:tc>
          <w:tcPr>
            <w:tcW w:w="3904" w:type="dxa"/>
            <w:tcBorders>
              <w:top w:val="single" w:color="D9D9D9" w:sz="2" w:space="0"/>
              <w:bottom w:val="single" w:color="D9D9D9" w:sz="2" w:space="0"/>
            </w:tcBorders>
          </w:tcPr>
          <w:p w:rsidR="00C31389" w:rsidRDefault="00561FBD" w14:paraId="311F7370" w14:textId="77777777">
            <w:pPr>
              <w:pStyle w:val="TableParagraph"/>
              <w:ind w:left="114"/>
              <w:rPr>
                <w:sz w:val="20"/>
              </w:rPr>
            </w:pPr>
            <w:r>
              <w:rPr>
                <w:sz w:val="20"/>
              </w:rPr>
              <w:t>Irrigated</w:t>
            </w:r>
            <w:r>
              <w:rPr>
                <w:spacing w:val="-12"/>
                <w:sz w:val="20"/>
              </w:rPr>
              <w:t xml:space="preserve"> </w:t>
            </w:r>
            <w:r>
              <w:rPr>
                <w:sz w:val="20"/>
              </w:rPr>
              <w:t>Agriculture,</w:t>
            </w:r>
            <w:r>
              <w:rPr>
                <w:spacing w:val="-13"/>
                <w:sz w:val="20"/>
              </w:rPr>
              <w:t xml:space="preserve"> </w:t>
            </w:r>
            <w:r>
              <w:rPr>
                <w:sz w:val="20"/>
              </w:rPr>
              <w:t>Vineyards,</w:t>
            </w:r>
            <w:r>
              <w:rPr>
                <w:spacing w:val="-12"/>
                <w:sz w:val="20"/>
              </w:rPr>
              <w:t xml:space="preserve"> </w:t>
            </w:r>
            <w:r>
              <w:rPr>
                <w:sz w:val="20"/>
              </w:rPr>
              <w:t>Forestry, and Greenhouses</w:t>
            </w:r>
          </w:p>
        </w:tc>
        <w:tc>
          <w:tcPr>
            <w:tcW w:w="2168" w:type="dxa"/>
            <w:tcBorders>
              <w:top w:val="single" w:color="D9D9D9" w:sz="2" w:space="0"/>
              <w:bottom w:val="single" w:color="D9D9D9" w:sz="2" w:space="0"/>
            </w:tcBorders>
          </w:tcPr>
          <w:p w:rsidR="00C31389" w:rsidRDefault="00561FBD" w14:paraId="1E9C669B" w14:textId="77777777">
            <w:pPr>
              <w:pStyle w:val="TableParagraph"/>
              <w:spacing w:before="155"/>
              <w:ind w:left="140"/>
              <w:rPr>
                <w:sz w:val="20"/>
              </w:rPr>
            </w:pPr>
            <w:r>
              <w:rPr>
                <w:sz w:val="20"/>
              </w:rPr>
              <w:t>111,</w:t>
            </w:r>
            <w:r>
              <w:rPr>
                <w:spacing w:val="-1"/>
                <w:sz w:val="20"/>
              </w:rPr>
              <w:t xml:space="preserve"> </w:t>
            </w:r>
            <w:r>
              <w:rPr>
                <w:spacing w:val="-5"/>
                <w:sz w:val="20"/>
              </w:rPr>
              <w:t>113</w:t>
            </w:r>
          </w:p>
        </w:tc>
      </w:tr>
      <w:tr w:rsidR="00C31389" w14:paraId="67636D90" w14:textId="77777777">
        <w:trPr>
          <w:trHeight w:val="310"/>
        </w:trPr>
        <w:tc>
          <w:tcPr>
            <w:tcW w:w="1305" w:type="dxa"/>
            <w:tcBorders>
              <w:top w:val="single" w:color="D9D9D9" w:sz="2" w:space="0"/>
              <w:bottom w:val="single" w:color="000000" w:sz="8" w:space="0"/>
            </w:tcBorders>
          </w:tcPr>
          <w:p w:rsidR="00C31389" w:rsidRDefault="00C31389" w14:paraId="6A8AF122" w14:textId="77777777">
            <w:pPr>
              <w:pStyle w:val="TableParagraph"/>
              <w:spacing w:before="0"/>
              <w:rPr>
                <w:rFonts w:ascii="Times New Roman"/>
                <w:sz w:val="20"/>
              </w:rPr>
            </w:pPr>
          </w:p>
        </w:tc>
        <w:tc>
          <w:tcPr>
            <w:tcW w:w="3904" w:type="dxa"/>
            <w:tcBorders>
              <w:top w:val="single" w:color="D9D9D9" w:sz="2" w:space="0"/>
              <w:bottom w:val="single" w:color="000000" w:sz="8" w:space="0"/>
            </w:tcBorders>
          </w:tcPr>
          <w:p w:rsidR="00C31389" w:rsidRDefault="00561FBD" w14:paraId="6F518B7A" w14:textId="77777777">
            <w:pPr>
              <w:pStyle w:val="TableParagraph"/>
              <w:ind w:left="114"/>
              <w:rPr>
                <w:sz w:val="20"/>
              </w:rPr>
            </w:pPr>
            <w:r>
              <w:rPr>
                <w:sz w:val="20"/>
              </w:rPr>
              <w:t>Water</w:t>
            </w:r>
            <w:r>
              <w:rPr>
                <w:spacing w:val="-3"/>
                <w:sz w:val="20"/>
              </w:rPr>
              <w:t xml:space="preserve"> </w:t>
            </w:r>
            <w:r>
              <w:rPr>
                <w:spacing w:val="-2"/>
                <w:sz w:val="20"/>
              </w:rPr>
              <w:t>Pumping</w:t>
            </w:r>
          </w:p>
        </w:tc>
        <w:tc>
          <w:tcPr>
            <w:tcW w:w="2168" w:type="dxa"/>
            <w:tcBorders>
              <w:top w:val="single" w:color="D9D9D9" w:sz="2" w:space="0"/>
              <w:bottom w:val="single" w:color="000000" w:sz="8" w:space="0"/>
            </w:tcBorders>
          </w:tcPr>
          <w:p w:rsidR="00C31389" w:rsidRDefault="00561FBD" w14:paraId="2660B744" w14:textId="77777777">
            <w:pPr>
              <w:pStyle w:val="TableParagraph"/>
              <w:ind w:left="140"/>
              <w:rPr>
                <w:sz w:val="20"/>
              </w:rPr>
            </w:pPr>
            <w:r>
              <w:rPr>
                <w:spacing w:val="-5"/>
                <w:sz w:val="20"/>
              </w:rPr>
              <w:t>221</w:t>
            </w:r>
          </w:p>
        </w:tc>
      </w:tr>
    </w:tbl>
    <w:p w:rsidR="00C31389" w:rsidRDefault="00561FBD" w14:paraId="6C6F208D" w14:textId="77777777">
      <w:pPr>
        <w:spacing w:before="79"/>
        <w:ind w:left="480"/>
        <w:rPr>
          <w:i/>
          <w:sz w:val="18"/>
        </w:rPr>
      </w:pPr>
      <w:r>
        <w:rPr>
          <w:i/>
          <w:sz w:val="18"/>
        </w:rPr>
        <w:t>Source:</w:t>
      </w:r>
      <w:r>
        <w:rPr>
          <w:i/>
          <w:spacing w:val="-6"/>
          <w:sz w:val="18"/>
        </w:rPr>
        <w:t xml:space="preserve"> </w:t>
      </w:r>
      <w:r>
        <w:rPr>
          <w:i/>
          <w:sz w:val="18"/>
        </w:rPr>
        <w:t>Guidehouse</w:t>
      </w:r>
      <w:r>
        <w:rPr>
          <w:i/>
          <w:spacing w:val="-4"/>
          <w:sz w:val="18"/>
        </w:rPr>
        <w:t xml:space="preserve"> team</w:t>
      </w:r>
    </w:p>
    <w:p w:rsidR="00C31389" w:rsidRDefault="00C31389" w14:paraId="7E40A8FF" w14:textId="77777777">
      <w:pPr>
        <w:pStyle w:val="BodyText"/>
        <w:spacing w:before="9"/>
        <w:rPr>
          <w:i/>
          <w:sz w:val="20"/>
        </w:rPr>
      </w:pPr>
    </w:p>
    <w:p w:rsidR="00C31389" w:rsidRDefault="00561FBD" w14:paraId="11A02E82" w14:textId="77777777">
      <w:pPr>
        <w:pStyle w:val="ListParagraph"/>
        <w:numPr>
          <w:ilvl w:val="1"/>
          <w:numId w:val="14"/>
        </w:numPr>
        <w:tabs>
          <w:tab w:val="left" w:pos="976"/>
        </w:tabs>
        <w:ind w:left="976" w:hanging="496"/>
        <w:rPr>
          <w:b/>
          <w:sz w:val="28"/>
        </w:rPr>
      </w:pPr>
      <w:bookmarkStart w:name="E.1_Industrial" w:id="587"/>
      <w:bookmarkStart w:name="_bookmark452" w:id="588"/>
      <w:bookmarkEnd w:id="587"/>
      <w:bookmarkEnd w:id="588"/>
      <w:r>
        <w:rPr>
          <w:b/>
          <w:spacing w:val="-2"/>
          <w:sz w:val="28"/>
        </w:rPr>
        <w:t>Industrial</w:t>
      </w:r>
    </w:p>
    <w:p w:rsidR="00C31389" w:rsidRDefault="00561FBD" w14:paraId="4924EC0C" w14:textId="77777777">
      <w:pPr>
        <w:pStyle w:val="BodyText"/>
        <w:spacing w:before="241"/>
        <w:ind w:left="480" w:right="615"/>
      </w:pPr>
      <w:hyperlink w:history="1" w:anchor="_bookmark453">
        <w:r>
          <w:t>Table</w:t>
        </w:r>
        <w:r>
          <w:rPr>
            <w:spacing w:val="-3"/>
          </w:rPr>
          <w:t xml:space="preserve"> </w:t>
        </w:r>
        <w:r>
          <w:t>E-2</w:t>
        </w:r>
      </w:hyperlink>
      <w:r>
        <w:rPr>
          <w:spacing w:val="-3"/>
        </w:rPr>
        <w:t xml:space="preserve"> </w:t>
      </w:r>
      <w:r>
        <w:t>displays</w:t>
      </w:r>
      <w:r>
        <w:rPr>
          <w:spacing w:val="-3"/>
        </w:rPr>
        <w:t xml:space="preserve"> </w:t>
      </w:r>
      <w:r>
        <w:t>the</w:t>
      </w:r>
      <w:r>
        <w:rPr>
          <w:spacing w:val="-3"/>
        </w:rPr>
        <w:t xml:space="preserve"> </w:t>
      </w:r>
      <w:r>
        <w:t>industrial</w:t>
      </w:r>
      <w:r>
        <w:rPr>
          <w:spacing w:val="-3"/>
        </w:rPr>
        <w:t xml:space="preserve"> </w:t>
      </w:r>
      <w:r>
        <w:t>measure</w:t>
      </w:r>
      <w:r>
        <w:rPr>
          <w:spacing w:val="-3"/>
        </w:rPr>
        <w:t xml:space="preserve"> </w:t>
      </w:r>
      <w:r>
        <w:t>list</w:t>
      </w:r>
      <w:r>
        <w:rPr>
          <w:spacing w:val="-3"/>
        </w:rPr>
        <w:t xml:space="preserve"> </w:t>
      </w:r>
      <w:r>
        <w:t>used</w:t>
      </w:r>
      <w:r>
        <w:rPr>
          <w:spacing w:val="-3"/>
        </w:rPr>
        <w:t xml:space="preserve"> </w:t>
      </w:r>
      <w:r>
        <w:t>in</w:t>
      </w:r>
      <w:r>
        <w:rPr>
          <w:spacing w:val="-3"/>
        </w:rPr>
        <w:t xml:space="preserve"> </w:t>
      </w:r>
      <w:r>
        <w:t>the</w:t>
      </w:r>
      <w:r>
        <w:rPr>
          <w:spacing w:val="-3"/>
        </w:rPr>
        <w:t xml:space="preserve"> </w:t>
      </w:r>
      <w:r>
        <w:t>PG</w:t>
      </w:r>
      <w:r>
        <w:rPr>
          <w:spacing w:val="-3"/>
        </w:rPr>
        <w:t xml:space="preserve"> </w:t>
      </w:r>
      <w:r>
        <w:t>Model</w:t>
      </w:r>
      <w:r>
        <w:rPr>
          <w:spacing w:val="-3"/>
        </w:rPr>
        <w:t xml:space="preserve"> </w:t>
      </w:r>
      <w:r>
        <w:t>using</w:t>
      </w:r>
      <w:r>
        <w:rPr>
          <w:spacing w:val="-3"/>
        </w:rPr>
        <w:t xml:space="preserve"> </w:t>
      </w:r>
      <w:r>
        <w:t>the</w:t>
      </w:r>
      <w:r>
        <w:rPr>
          <w:spacing w:val="-3"/>
        </w:rPr>
        <w:t xml:space="preserve"> </w:t>
      </w:r>
      <w:r>
        <w:t>diffusion model. Generic measures apply to all subsectors. Specific measures for a particular subsector are noted within the measure name.</w:t>
      </w:r>
    </w:p>
    <w:p w:rsidR="00C31389" w:rsidRDefault="00C31389" w14:paraId="28805264" w14:textId="77777777">
      <w:pPr>
        <w:pStyle w:val="BodyText"/>
        <w:spacing w:before="10"/>
        <w:rPr>
          <w:sz w:val="20"/>
        </w:rPr>
      </w:pPr>
    </w:p>
    <w:p w:rsidR="00C31389" w:rsidRDefault="00561FBD" w14:paraId="5DE58B7C" w14:textId="77777777">
      <w:pPr>
        <w:pStyle w:val="Heading7"/>
        <w:ind w:left="398" w:right="340"/>
        <w:jc w:val="center"/>
      </w:pPr>
      <w:bookmarkStart w:name="_bookmark453" w:id="589"/>
      <w:bookmarkEnd w:id="589"/>
      <w:r>
        <w:t>Table</w:t>
      </w:r>
      <w:r>
        <w:rPr>
          <w:spacing w:val="-10"/>
        </w:rPr>
        <w:t xml:space="preserve"> </w:t>
      </w:r>
      <w:r>
        <w:t>E-2.</w:t>
      </w:r>
      <w:r>
        <w:rPr>
          <w:spacing w:val="-10"/>
        </w:rPr>
        <w:t xml:space="preserve"> </w:t>
      </w:r>
      <w:r>
        <w:t>I</w:t>
      </w:r>
      <w:r>
        <w:t>ndustrial</w:t>
      </w:r>
      <w:r>
        <w:rPr>
          <w:spacing w:val="-9"/>
        </w:rPr>
        <w:t xml:space="preserve"> </w:t>
      </w:r>
      <w:r>
        <w:t>Sector</w:t>
      </w:r>
      <w:r>
        <w:rPr>
          <w:spacing w:val="-11"/>
        </w:rPr>
        <w:t xml:space="preserve"> </w:t>
      </w:r>
      <w:r>
        <w:t>Characterized</w:t>
      </w:r>
      <w:r>
        <w:rPr>
          <w:spacing w:val="-9"/>
        </w:rPr>
        <w:t xml:space="preserve"> </w:t>
      </w:r>
      <w:r>
        <w:t>Custom</w:t>
      </w:r>
      <w:r>
        <w:rPr>
          <w:spacing w:val="-10"/>
        </w:rPr>
        <w:t xml:space="preserve"> </w:t>
      </w:r>
      <w:r>
        <w:rPr>
          <w:spacing w:val="-2"/>
        </w:rPr>
        <w:t>Measures</w:t>
      </w:r>
    </w:p>
    <w:p w:rsidR="00C31389" w:rsidRDefault="00C31389" w14:paraId="4A2506FD" w14:textId="77777777">
      <w:pPr>
        <w:pStyle w:val="BodyText"/>
        <w:spacing w:before="7"/>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2307"/>
        <w:gridCol w:w="1581"/>
        <w:gridCol w:w="5481"/>
      </w:tblGrid>
      <w:tr w:rsidR="00C31389" w14:paraId="268AAEA3" w14:textId="77777777">
        <w:trPr>
          <w:trHeight w:val="612"/>
        </w:trPr>
        <w:tc>
          <w:tcPr>
            <w:tcW w:w="2307" w:type="dxa"/>
            <w:shd w:val="clear" w:color="auto" w:fill="92D400"/>
          </w:tcPr>
          <w:p w:rsidR="00C31389" w:rsidRDefault="00561FBD" w14:paraId="0989E3D1" w14:textId="77777777">
            <w:pPr>
              <w:pStyle w:val="TableParagraph"/>
              <w:spacing w:before="187"/>
              <w:ind w:left="124"/>
              <w:rPr>
                <w:b/>
                <w:sz w:val="20"/>
              </w:rPr>
            </w:pPr>
            <w:r>
              <w:rPr>
                <w:b/>
                <w:sz w:val="20"/>
              </w:rPr>
              <w:t>Measure</w:t>
            </w:r>
            <w:r>
              <w:rPr>
                <w:b/>
                <w:spacing w:val="-7"/>
                <w:sz w:val="20"/>
              </w:rPr>
              <w:t xml:space="preserve"> </w:t>
            </w:r>
            <w:r>
              <w:rPr>
                <w:b/>
                <w:spacing w:val="-4"/>
                <w:sz w:val="20"/>
              </w:rPr>
              <w:t>Name</w:t>
            </w:r>
          </w:p>
        </w:tc>
        <w:tc>
          <w:tcPr>
            <w:tcW w:w="1581" w:type="dxa"/>
            <w:shd w:val="clear" w:color="auto" w:fill="92D400"/>
          </w:tcPr>
          <w:p w:rsidR="00C31389" w:rsidRDefault="00561FBD" w14:paraId="09F57C7B" w14:textId="77777777">
            <w:pPr>
              <w:pStyle w:val="TableParagraph"/>
              <w:spacing w:before="71"/>
              <w:ind w:left="247" w:right="463"/>
              <w:rPr>
                <w:b/>
                <w:sz w:val="20"/>
              </w:rPr>
            </w:pPr>
            <w:r>
              <w:rPr>
                <w:b/>
                <w:sz w:val="20"/>
              </w:rPr>
              <w:t xml:space="preserve">End Use </w:t>
            </w:r>
            <w:r>
              <w:rPr>
                <w:b/>
                <w:spacing w:val="-2"/>
                <w:sz w:val="20"/>
              </w:rPr>
              <w:t>Category</w:t>
            </w:r>
          </w:p>
        </w:tc>
        <w:tc>
          <w:tcPr>
            <w:tcW w:w="5481" w:type="dxa"/>
            <w:shd w:val="clear" w:color="auto" w:fill="92D400"/>
          </w:tcPr>
          <w:p w:rsidR="00C31389" w:rsidRDefault="00561FBD" w14:paraId="29B52CF6" w14:textId="77777777">
            <w:pPr>
              <w:pStyle w:val="TableParagraph"/>
              <w:spacing w:before="187"/>
              <w:ind w:left="466"/>
              <w:rPr>
                <w:b/>
                <w:sz w:val="20"/>
              </w:rPr>
            </w:pPr>
            <w:r>
              <w:rPr>
                <w:b/>
                <w:spacing w:val="-2"/>
                <w:sz w:val="20"/>
              </w:rPr>
              <w:t>Description</w:t>
            </w:r>
          </w:p>
        </w:tc>
      </w:tr>
      <w:tr w:rsidR="00C31389" w14:paraId="6A09B7A6" w14:textId="77777777">
        <w:trPr>
          <w:trHeight w:val="850"/>
        </w:trPr>
        <w:tc>
          <w:tcPr>
            <w:tcW w:w="2307" w:type="dxa"/>
            <w:tcBorders>
              <w:bottom w:val="single" w:color="000000" w:sz="8" w:space="0"/>
            </w:tcBorders>
          </w:tcPr>
          <w:p w:rsidR="00C31389" w:rsidRDefault="00561FBD" w14:paraId="315A71D1" w14:textId="77777777">
            <w:pPr>
              <w:pStyle w:val="TableParagraph"/>
              <w:spacing w:before="80"/>
              <w:ind w:left="124"/>
              <w:rPr>
                <w:sz w:val="20"/>
              </w:rPr>
            </w:pPr>
            <w:r>
              <w:rPr>
                <w:sz w:val="20"/>
              </w:rPr>
              <w:t>HVAC Equipment Upgrade</w:t>
            </w:r>
            <w:r>
              <w:rPr>
                <w:spacing w:val="-14"/>
                <w:sz w:val="20"/>
              </w:rPr>
              <w:t xml:space="preserve"> </w:t>
            </w:r>
            <w:r>
              <w:rPr>
                <w:sz w:val="20"/>
              </w:rPr>
              <w:t>(Electric</w:t>
            </w:r>
            <w:r>
              <w:rPr>
                <w:spacing w:val="-14"/>
                <w:sz w:val="20"/>
              </w:rPr>
              <w:t xml:space="preserve"> </w:t>
            </w:r>
            <w:r>
              <w:rPr>
                <w:sz w:val="20"/>
              </w:rPr>
              <w:t xml:space="preserve">and </w:t>
            </w:r>
            <w:r>
              <w:rPr>
                <w:spacing w:val="-4"/>
                <w:sz w:val="20"/>
              </w:rPr>
              <w:t>Gas)</w:t>
            </w:r>
          </w:p>
        </w:tc>
        <w:tc>
          <w:tcPr>
            <w:tcW w:w="1581" w:type="dxa"/>
            <w:tcBorders>
              <w:bottom w:val="single" w:color="000000" w:sz="8" w:space="0"/>
            </w:tcBorders>
          </w:tcPr>
          <w:p w:rsidR="00C31389" w:rsidRDefault="00C31389" w14:paraId="75CD2727" w14:textId="77777777">
            <w:pPr>
              <w:pStyle w:val="TableParagraph"/>
              <w:spacing w:before="11"/>
              <w:rPr>
                <w:b/>
                <w:sz w:val="26"/>
              </w:rPr>
            </w:pPr>
          </w:p>
          <w:p w:rsidR="00C31389" w:rsidRDefault="00561FBD" w14:paraId="5A640744" w14:textId="77777777">
            <w:pPr>
              <w:pStyle w:val="TableParagraph"/>
              <w:spacing w:before="0"/>
              <w:ind w:left="247"/>
              <w:rPr>
                <w:sz w:val="20"/>
              </w:rPr>
            </w:pPr>
            <w:r>
              <w:rPr>
                <w:spacing w:val="-4"/>
                <w:sz w:val="20"/>
              </w:rPr>
              <w:t>HVAC</w:t>
            </w:r>
          </w:p>
        </w:tc>
        <w:tc>
          <w:tcPr>
            <w:tcW w:w="5481" w:type="dxa"/>
            <w:tcBorders>
              <w:bottom w:val="single" w:color="000000" w:sz="8" w:space="0"/>
            </w:tcBorders>
          </w:tcPr>
          <w:p w:rsidR="00C31389" w:rsidRDefault="00561FBD" w14:paraId="4A779E89" w14:textId="77777777">
            <w:pPr>
              <w:pStyle w:val="TableParagraph"/>
              <w:spacing w:before="195"/>
              <w:ind w:left="466"/>
              <w:rPr>
                <w:sz w:val="20"/>
              </w:rPr>
            </w:pPr>
            <w:r>
              <w:rPr>
                <w:sz w:val="20"/>
              </w:rPr>
              <w:t>Upgrades</w:t>
            </w:r>
            <w:r>
              <w:rPr>
                <w:spacing w:val="-5"/>
                <w:sz w:val="20"/>
              </w:rPr>
              <w:t xml:space="preserve"> </w:t>
            </w:r>
            <w:r>
              <w:rPr>
                <w:sz w:val="20"/>
              </w:rPr>
              <w:t>to</w:t>
            </w:r>
            <w:r>
              <w:rPr>
                <w:spacing w:val="-7"/>
                <w:sz w:val="20"/>
              </w:rPr>
              <w:t xml:space="preserve"> </w:t>
            </w:r>
            <w:r>
              <w:rPr>
                <w:sz w:val="20"/>
              </w:rPr>
              <w:t>electric</w:t>
            </w:r>
            <w:r>
              <w:rPr>
                <w:spacing w:val="-5"/>
                <w:sz w:val="20"/>
              </w:rPr>
              <w:t xml:space="preserve"> </w:t>
            </w:r>
            <w:r>
              <w:rPr>
                <w:sz w:val="20"/>
              </w:rPr>
              <w:t>and</w:t>
            </w:r>
            <w:r>
              <w:rPr>
                <w:spacing w:val="-6"/>
                <w:sz w:val="20"/>
              </w:rPr>
              <w:t xml:space="preserve"> </w:t>
            </w:r>
            <w:r>
              <w:rPr>
                <w:sz w:val="20"/>
              </w:rPr>
              <w:t>gas</w:t>
            </w:r>
            <w:r>
              <w:rPr>
                <w:spacing w:val="-5"/>
                <w:sz w:val="20"/>
              </w:rPr>
              <w:t xml:space="preserve"> </w:t>
            </w:r>
            <w:r>
              <w:rPr>
                <w:sz w:val="20"/>
              </w:rPr>
              <w:t>HVAC</w:t>
            </w:r>
            <w:r>
              <w:rPr>
                <w:spacing w:val="-5"/>
                <w:sz w:val="20"/>
              </w:rPr>
              <w:t xml:space="preserve"> </w:t>
            </w:r>
            <w:r>
              <w:rPr>
                <w:sz w:val="20"/>
              </w:rPr>
              <w:t>equipment</w:t>
            </w:r>
            <w:r>
              <w:rPr>
                <w:spacing w:val="-6"/>
                <w:sz w:val="20"/>
              </w:rPr>
              <w:t xml:space="preserve"> </w:t>
            </w:r>
            <w:r>
              <w:rPr>
                <w:sz w:val="20"/>
              </w:rPr>
              <w:t>(using better than code EE rating).</w:t>
            </w:r>
          </w:p>
        </w:tc>
      </w:tr>
    </w:tbl>
    <w:p w:rsidR="00C31389" w:rsidRDefault="00C31389" w14:paraId="11D738E5" w14:textId="77777777">
      <w:pPr>
        <w:rPr>
          <w:sz w:val="20"/>
        </w:rPr>
        <w:sectPr w:rsidR="00C31389">
          <w:headerReference w:type="default" r:id="rId298"/>
          <w:footerReference w:type="default" r:id="rId299"/>
          <w:pgSz w:w="11910" w:h="16840"/>
          <w:pgMar w:top="1660" w:right="1020" w:bottom="1120" w:left="960" w:header="397" w:footer="938" w:gutter="0"/>
          <w:pgNumType w:start="1"/>
          <w:cols w:space="720"/>
        </w:sectPr>
      </w:pPr>
    </w:p>
    <w:p w:rsidR="00C31389" w:rsidRDefault="00C31389" w14:paraId="08AE57A7" w14:textId="77777777">
      <w:pPr>
        <w:pStyle w:val="BodyText"/>
        <w:rPr>
          <w:b/>
        </w:rPr>
      </w:pPr>
    </w:p>
    <w:tbl>
      <w:tblPr>
        <w:tblW w:w="0" w:type="auto"/>
        <w:tblInd w:w="306" w:type="dxa"/>
        <w:tblLayout w:type="fixed"/>
        <w:tblCellMar>
          <w:left w:w="0" w:type="dxa"/>
          <w:right w:w="0" w:type="dxa"/>
        </w:tblCellMar>
        <w:tblLook w:val="01E0" w:firstRow="1" w:lastRow="1" w:firstColumn="1" w:lastColumn="1" w:noHBand="0" w:noVBand="0"/>
      </w:tblPr>
      <w:tblGrid>
        <w:gridCol w:w="2402"/>
        <w:gridCol w:w="1792"/>
        <w:gridCol w:w="5181"/>
      </w:tblGrid>
      <w:tr w:rsidR="00C31389" w14:paraId="14BE65A9" w14:textId="77777777">
        <w:trPr>
          <w:trHeight w:val="252"/>
        </w:trPr>
        <w:tc>
          <w:tcPr>
            <w:tcW w:w="2402" w:type="dxa"/>
            <w:tcBorders>
              <w:top w:val="single" w:color="8B8B8B" w:sz="8" w:space="0"/>
            </w:tcBorders>
          </w:tcPr>
          <w:p w:rsidR="00C31389" w:rsidRDefault="00C31389" w14:paraId="23654676" w14:textId="77777777">
            <w:pPr>
              <w:pStyle w:val="TableParagraph"/>
              <w:spacing w:before="0"/>
              <w:rPr>
                <w:rFonts w:ascii="Times New Roman"/>
                <w:sz w:val="18"/>
              </w:rPr>
            </w:pPr>
          </w:p>
        </w:tc>
        <w:tc>
          <w:tcPr>
            <w:tcW w:w="1792" w:type="dxa"/>
            <w:tcBorders>
              <w:top w:val="single" w:color="8B8B8B" w:sz="8" w:space="0"/>
            </w:tcBorders>
          </w:tcPr>
          <w:p w:rsidR="00C31389" w:rsidRDefault="00C31389" w14:paraId="7F4CD775" w14:textId="77777777">
            <w:pPr>
              <w:pStyle w:val="TableParagraph"/>
              <w:spacing w:before="0"/>
              <w:rPr>
                <w:rFonts w:ascii="Times New Roman"/>
                <w:sz w:val="18"/>
              </w:rPr>
            </w:pPr>
          </w:p>
        </w:tc>
        <w:tc>
          <w:tcPr>
            <w:tcW w:w="5181" w:type="dxa"/>
            <w:tcBorders>
              <w:top w:val="single" w:color="8B8B8B" w:sz="8" w:space="0"/>
            </w:tcBorders>
          </w:tcPr>
          <w:p w:rsidR="00C31389" w:rsidRDefault="00C31389" w14:paraId="41F2A55B" w14:textId="77777777">
            <w:pPr>
              <w:pStyle w:val="TableParagraph"/>
              <w:spacing w:before="0"/>
              <w:rPr>
                <w:rFonts w:ascii="Times New Roman"/>
                <w:sz w:val="18"/>
              </w:rPr>
            </w:pPr>
          </w:p>
        </w:tc>
      </w:tr>
      <w:tr w:rsidR="00C31389" w14:paraId="14A706E2" w14:textId="77777777">
        <w:trPr>
          <w:trHeight w:val="611"/>
        </w:trPr>
        <w:tc>
          <w:tcPr>
            <w:tcW w:w="2402" w:type="dxa"/>
            <w:shd w:val="clear" w:color="auto" w:fill="92D400"/>
          </w:tcPr>
          <w:p w:rsidR="00C31389" w:rsidRDefault="00561FBD" w14:paraId="674EB073" w14:textId="77777777">
            <w:pPr>
              <w:pStyle w:val="TableParagraph"/>
              <w:spacing w:before="187"/>
              <w:ind w:left="129"/>
              <w:rPr>
                <w:b/>
                <w:sz w:val="20"/>
              </w:rPr>
            </w:pPr>
            <w:r>
              <w:rPr>
                <w:b/>
                <w:sz w:val="20"/>
              </w:rPr>
              <w:t>Measure</w:t>
            </w:r>
            <w:r>
              <w:rPr>
                <w:b/>
                <w:spacing w:val="-7"/>
                <w:sz w:val="20"/>
              </w:rPr>
              <w:t xml:space="preserve"> </w:t>
            </w:r>
            <w:r>
              <w:rPr>
                <w:b/>
                <w:spacing w:val="-4"/>
                <w:sz w:val="20"/>
              </w:rPr>
              <w:t>Name</w:t>
            </w:r>
          </w:p>
        </w:tc>
        <w:tc>
          <w:tcPr>
            <w:tcW w:w="1792" w:type="dxa"/>
            <w:shd w:val="clear" w:color="auto" w:fill="92D400"/>
          </w:tcPr>
          <w:p w:rsidR="00C31389" w:rsidRDefault="00561FBD" w14:paraId="50D4247C" w14:textId="77777777">
            <w:pPr>
              <w:pStyle w:val="TableParagraph"/>
              <w:spacing w:before="71"/>
              <w:ind w:left="157" w:right="3"/>
              <w:rPr>
                <w:b/>
                <w:sz w:val="20"/>
              </w:rPr>
            </w:pPr>
            <w:r>
              <w:rPr>
                <w:b/>
                <w:sz w:val="20"/>
              </w:rPr>
              <w:t xml:space="preserve">End Use </w:t>
            </w:r>
            <w:r>
              <w:rPr>
                <w:b/>
                <w:spacing w:val="-2"/>
                <w:sz w:val="20"/>
              </w:rPr>
              <w:t>Category</w:t>
            </w:r>
          </w:p>
        </w:tc>
        <w:tc>
          <w:tcPr>
            <w:tcW w:w="5181" w:type="dxa"/>
            <w:shd w:val="clear" w:color="auto" w:fill="92D400"/>
          </w:tcPr>
          <w:p w:rsidR="00C31389" w:rsidRDefault="00561FBD" w14:paraId="75889AC9" w14:textId="77777777">
            <w:pPr>
              <w:pStyle w:val="TableParagraph"/>
              <w:spacing w:before="187"/>
              <w:ind w:left="165"/>
              <w:rPr>
                <w:b/>
                <w:sz w:val="20"/>
              </w:rPr>
            </w:pPr>
            <w:r>
              <w:rPr>
                <w:b/>
                <w:spacing w:val="-2"/>
                <w:sz w:val="20"/>
              </w:rPr>
              <w:t>Description</w:t>
            </w:r>
          </w:p>
        </w:tc>
      </w:tr>
      <w:tr w:rsidR="00C31389" w14:paraId="40DF8484" w14:textId="77777777">
        <w:trPr>
          <w:trHeight w:val="615"/>
        </w:trPr>
        <w:tc>
          <w:tcPr>
            <w:tcW w:w="2402" w:type="dxa"/>
            <w:tcBorders>
              <w:bottom w:val="single" w:color="D9D9D9" w:sz="2" w:space="0"/>
            </w:tcBorders>
          </w:tcPr>
          <w:p w:rsidR="00C31389" w:rsidRDefault="00561FBD" w14:paraId="66BFDB4C" w14:textId="77777777">
            <w:pPr>
              <w:pStyle w:val="TableParagraph"/>
              <w:spacing w:before="190"/>
              <w:ind w:left="129"/>
              <w:rPr>
                <w:sz w:val="20"/>
              </w:rPr>
            </w:pPr>
            <w:r>
              <w:rPr>
                <w:sz w:val="20"/>
              </w:rPr>
              <w:t>EE</w:t>
            </w:r>
            <w:r>
              <w:rPr>
                <w:spacing w:val="-4"/>
                <w:sz w:val="20"/>
              </w:rPr>
              <w:t xml:space="preserve"> </w:t>
            </w:r>
            <w:r>
              <w:rPr>
                <w:spacing w:val="-2"/>
                <w:sz w:val="20"/>
              </w:rPr>
              <w:t>Lighting</w:t>
            </w:r>
          </w:p>
        </w:tc>
        <w:tc>
          <w:tcPr>
            <w:tcW w:w="1792" w:type="dxa"/>
            <w:tcBorders>
              <w:bottom w:val="single" w:color="D9D9D9" w:sz="2" w:space="0"/>
            </w:tcBorders>
          </w:tcPr>
          <w:p w:rsidR="00C31389" w:rsidRDefault="00561FBD" w14:paraId="694CF296" w14:textId="77777777">
            <w:pPr>
              <w:pStyle w:val="TableParagraph"/>
              <w:spacing w:before="190"/>
              <w:ind w:left="157"/>
              <w:rPr>
                <w:sz w:val="20"/>
              </w:rPr>
            </w:pPr>
            <w:r>
              <w:rPr>
                <w:spacing w:val="-2"/>
                <w:sz w:val="20"/>
              </w:rPr>
              <w:t>Lighting</w:t>
            </w:r>
          </w:p>
        </w:tc>
        <w:tc>
          <w:tcPr>
            <w:tcW w:w="5181" w:type="dxa"/>
            <w:tcBorders>
              <w:bottom w:val="single" w:color="D9D9D9" w:sz="2" w:space="0"/>
            </w:tcBorders>
          </w:tcPr>
          <w:p w:rsidR="00C31389" w:rsidRDefault="00561FBD" w14:paraId="4803479F" w14:textId="77777777">
            <w:pPr>
              <w:pStyle w:val="TableParagraph"/>
              <w:spacing w:before="76"/>
              <w:ind w:left="165"/>
              <w:rPr>
                <w:sz w:val="20"/>
              </w:rPr>
            </w:pPr>
            <w:r>
              <w:rPr>
                <w:sz w:val="20"/>
              </w:rPr>
              <w:t>Lighting</w:t>
            </w:r>
            <w:r>
              <w:rPr>
                <w:spacing w:val="-7"/>
                <w:sz w:val="20"/>
              </w:rPr>
              <w:t xml:space="preserve"> </w:t>
            </w:r>
            <w:r>
              <w:rPr>
                <w:sz w:val="20"/>
              </w:rPr>
              <w:t>controls</w:t>
            </w:r>
            <w:r>
              <w:rPr>
                <w:spacing w:val="-6"/>
                <w:sz w:val="20"/>
              </w:rPr>
              <w:t xml:space="preserve"> </w:t>
            </w:r>
            <w:r>
              <w:rPr>
                <w:sz w:val="20"/>
              </w:rPr>
              <w:t>and</w:t>
            </w:r>
            <w:r>
              <w:rPr>
                <w:spacing w:val="-6"/>
                <w:sz w:val="20"/>
              </w:rPr>
              <w:t xml:space="preserve"> </w:t>
            </w:r>
            <w:r>
              <w:rPr>
                <w:sz w:val="20"/>
              </w:rPr>
              <w:t>early</w:t>
            </w:r>
            <w:r>
              <w:rPr>
                <w:spacing w:val="-6"/>
                <w:sz w:val="20"/>
              </w:rPr>
              <w:t xml:space="preserve"> </w:t>
            </w:r>
            <w:r>
              <w:rPr>
                <w:sz w:val="20"/>
              </w:rPr>
              <w:t>retirement</w:t>
            </w:r>
            <w:r>
              <w:rPr>
                <w:spacing w:val="-6"/>
                <w:sz w:val="20"/>
              </w:rPr>
              <w:t xml:space="preserve"> </w:t>
            </w:r>
            <w:r>
              <w:rPr>
                <w:sz w:val="20"/>
              </w:rPr>
              <w:t>potential</w:t>
            </w:r>
            <w:r>
              <w:rPr>
                <w:spacing w:val="-6"/>
                <w:sz w:val="20"/>
              </w:rPr>
              <w:t xml:space="preserve"> </w:t>
            </w:r>
            <w:r>
              <w:rPr>
                <w:sz w:val="20"/>
              </w:rPr>
              <w:t>to</w:t>
            </w:r>
            <w:r>
              <w:rPr>
                <w:spacing w:val="-6"/>
                <w:sz w:val="20"/>
              </w:rPr>
              <w:t xml:space="preserve"> </w:t>
            </w:r>
            <w:r>
              <w:rPr>
                <w:sz w:val="20"/>
              </w:rPr>
              <w:t xml:space="preserve">LED </w:t>
            </w:r>
            <w:r>
              <w:rPr>
                <w:spacing w:val="-2"/>
                <w:sz w:val="20"/>
              </w:rPr>
              <w:t>fixtures.</w:t>
            </w:r>
          </w:p>
        </w:tc>
      </w:tr>
      <w:tr w:rsidR="00C31389" w14:paraId="6BDAB105" w14:textId="77777777">
        <w:trPr>
          <w:trHeight w:val="1540"/>
        </w:trPr>
        <w:tc>
          <w:tcPr>
            <w:tcW w:w="2402" w:type="dxa"/>
            <w:tcBorders>
              <w:top w:val="single" w:color="D9D9D9" w:sz="2" w:space="0"/>
              <w:bottom w:val="single" w:color="D9D9D9" w:sz="2" w:space="0"/>
            </w:tcBorders>
          </w:tcPr>
          <w:p w:rsidR="00C31389" w:rsidRDefault="00C31389" w14:paraId="59EB890E" w14:textId="77777777">
            <w:pPr>
              <w:pStyle w:val="TableParagraph"/>
              <w:spacing w:before="0"/>
              <w:rPr>
                <w:b/>
              </w:rPr>
            </w:pPr>
          </w:p>
          <w:p w:rsidR="00C31389" w:rsidRDefault="00C31389" w14:paraId="3BF5B467" w14:textId="77777777">
            <w:pPr>
              <w:pStyle w:val="TableParagraph"/>
              <w:spacing w:before="0"/>
              <w:rPr>
                <w:b/>
              </w:rPr>
            </w:pPr>
          </w:p>
          <w:p w:rsidR="00C31389" w:rsidRDefault="00561FBD" w14:paraId="5C16B6D9" w14:textId="77777777">
            <w:pPr>
              <w:pStyle w:val="TableParagraph"/>
              <w:spacing w:before="150"/>
              <w:ind w:left="129"/>
              <w:rPr>
                <w:sz w:val="20"/>
              </w:rPr>
            </w:pPr>
            <w:r>
              <w:rPr>
                <w:sz w:val="20"/>
              </w:rPr>
              <w:t>Compressed</w:t>
            </w:r>
            <w:r>
              <w:rPr>
                <w:spacing w:val="-8"/>
                <w:sz w:val="20"/>
              </w:rPr>
              <w:t xml:space="preserve"> </w:t>
            </w:r>
            <w:r>
              <w:rPr>
                <w:spacing w:val="-5"/>
                <w:sz w:val="20"/>
              </w:rPr>
              <w:t>Air</w:t>
            </w:r>
          </w:p>
        </w:tc>
        <w:tc>
          <w:tcPr>
            <w:tcW w:w="1792" w:type="dxa"/>
            <w:tcBorders>
              <w:top w:val="single" w:color="D9D9D9" w:sz="2" w:space="0"/>
              <w:bottom w:val="single" w:color="D9D9D9" w:sz="2" w:space="0"/>
            </w:tcBorders>
          </w:tcPr>
          <w:p w:rsidR="00C31389" w:rsidRDefault="00C31389" w14:paraId="6E717E18" w14:textId="77777777">
            <w:pPr>
              <w:pStyle w:val="TableParagraph"/>
              <w:spacing w:before="0"/>
              <w:rPr>
                <w:b/>
              </w:rPr>
            </w:pPr>
          </w:p>
          <w:p w:rsidR="00C31389" w:rsidRDefault="00C31389" w14:paraId="12FF41B4" w14:textId="77777777">
            <w:pPr>
              <w:pStyle w:val="TableParagraph"/>
              <w:spacing w:before="0"/>
              <w:rPr>
                <w:b/>
              </w:rPr>
            </w:pPr>
          </w:p>
          <w:p w:rsidR="00C31389" w:rsidRDefault="00561FBD" w14:paraId="658847EB" w14:textId="77777777">
            <w:pPr>
              <w:pStyle w:val="TableParagraph"/>
              <w:spacing w:before="150"/>
              <w:ind w:left="157"/>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D9D9D9" w:sz="2" w:space="0"/>
            </w:tcBorders>
          </w:tcPr>
          <w:p w:rsidR="00C31389" w:rsidRDefault="00561FBD" w14:paraId="383BDEAF" w14:textId="77777777">
            <w:pPr>
              <w:pStyle w:val="TableParagraph"/>
              <w:spacing w:before="80"/>
              <w:ind w:left="165" w:right="163"/>
              <w:rPr>
                <w:sz w:val="20"/>
              </w:rPr>
            </w:pPr>
            <w:r>
              <w:rPr>
                <w:sz w:val="20"/>
              </w:rPr>
              <w:t xml:space="preserve">Air compressor adjustments such as pressure reduction, staging, system controls, and leak identification and repair. Variable frequency drive (VFD) controls on air compressors to allow for </w:t>
            </w:r>
            <w:r>
              <w:rPr>
                <w:sz w:val="20"/>
              </w:rPr>
              <w:t>loading/unloading</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compressed</w:t>
            </w:r>
            <w:r>
              <w:rPr>
                <w:spacing w:val="-6"/>
                <w:sz w:val="20"/>
              </w:rPr>
              <w:t xml:space="preserve"> </w:t>
            </w:r>
            <w:r>
              <w:rPr>
                <w:sz w:val="20"/>
              </w:rPr>
              <w:t>air</w:t>
            </w:r>
            <w:r>
              <w:rPr>
                <w:spacing w:val="-5"/>
                <w:sz w:val="20"/>
              </w:rPr>
              <w:t xml:space="preserve"> </w:t>
            </w:r>
            <w:r>
              <w:rPr>
                <w:sz w:val="20"/>
              </w:rPr>
              <w:t>system</w:t>
            </w:r>
            <w:r>
              <w:rPr>
                <w:spacing w:val="-6"/>
                <w:sz w:val="20"/>
              </w:rPr>
              <w:t xml:space="preserve"> </w:t>
            </w:r>
            <w:r>
              <w:rPr>
                <w:sz w:val="20"/>
              </w:rPr>
              <w:t>and</w:t>
            </w:r>
            <w:r>
              <w:rPr>
                <w:spacing w:val="-6"/>
                <w:sz w:val="20"/>
              </w:rPr>
              <w:t xml:space="preserve"> </w:t>
            </w:r>
            <w:r>
              <w:rPr>
                <w:sz w:val="20"/>
              </w:rPr>
              <w:t>to replace any inefficient throttling devices.</w:t>
            </w:r>
          </w:p>
        </w:tc>
      </w:tr>
      <w:tr w:rsidR="00C31389" w14:paraId="76EDEEB0" w14:textId="77777777">
        <w:trPr>
          <w:trHeight w:val="619"/>
        </w:trPr>
        <w:tc>
          <w:tcPr>
            <w:tcW w:w="2402" w:type="dxa"/>
            <w:tcBorders>
              <w:top w:val="single" w:color="D9D9D9" w:sz="2" w:space="0"/>
              <w:bottom w:val="single" w:color="D9D9D9" w:sz="2" w:space="0"/>
            </w:tcBorders>
          </w:tcPr>
          <w:p w:rsidR="00C31389" w:rsidRDefault="00561FBD" w14:paraId="3FC5F7AA" w14:textId="77777777">
            <w:pPr>
              <w:pStyle w:val="TableParagraph"/>
              <w:spacing w:before="195"/>
              <w:ind w:left="129"/>
              <w:rPr>
                <w:sz w:val="20"/>
              </w:rPr>
            </w:pPr>
            <w:r>
              <w:rPr>
                <w:sz w:val="20"/>
              </w:rPr>
              <w:t>Fan</w:t>
            </w:r>
            <w:r>
              <w:rPr>
                <w:spacing w:val="-2"/>
                <w:sz w:val="20"/>
              </w:rPr>
              <w:t xml:space="preserve"> </w:t>
            </w:r>
            <w:r>
              <w:rPr>
                <w:spacing w:val="-5"/>
                <w:sz w:val="20"/>
              </w:rPr>
              <w:t>VFD</w:t>
            </w:r>
          </w:p>
        </w:tc>
        <w:tc>
          <w:tcPr>
            <w:tcW w:w="1792" w:type="dxa"/>
            <w:tcBorders>
              <w:top w:val="single" w:color="D9D9D9" w:sz="2" w:space="0"/>
              <w:bottom w:val="single" w:color="D9D9D9" w:sz="2" w:space="0"/>
            </w:tcBorders>
          </w:tcPr>
          <w:p w:rsidR="00C31389" w:rsidRDefault="00561FBD" w14:paraId="28BB0F7F" w14:textId="77777777">
            <w:pPr>
              <w:pStyle w:val="TableParagraph"/>
              <w:spacing w:before="195"/>
              <w:ind w:left="157"/>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D9D9D9" w:sz="2" w:space="0"/>
            </w:tcBorders>
          </w:tcPr>
          <w:p w:rsidR="00C31389" w:rsidRDefault="00561FBD" w14:paraId="2B4E53B4" w14:textId="77777777">
            <w:pPr>
              <w:pStyle w:val="TableParagraph"/>
              <w:spacing w:before="80"/>
              <w:ind w:left="165"/>
              <w:rPr>
                <w:sz w:val="20"/>
              </w:rPr>
            </w:pPr>
            <w:r>
              <w:rPr>
                <w:sz w:val="20"/>
              </w:rPr>
              <w:t>VFD</w:t>
            </w:r>
            <w:r>
              <w:rPr>
                <w:spacing w:val="-4"/>
                <w:sz w:val="20"/>
              </w:rPr>
              <w:t xml:space="preserve"> </w:t>
            </w:r>
            <w:r>
              <w:rPr>
                <w:sz w:val="20"/>
              </w:rPr>
              <w:t>controls</w:t>
            </w:r>
            <w:r>
              <w:rPr>
                <w:spacing w:val="-5"/>
                <w:sz w:val="20"/>
              </w:rPr>
              <w:t xml:space="preserve"> </w:t>
            </w:r>
            <w:r>
              <w:rPr>
                <w:sz w:val="20"/>
              </w:rPr>
              <w:t>on</w:t>
            </w:r>
            <w:r>
              <w:rPr>
                <w:spacing w:val="-5"/>
                <w:sz w:val="20"/>
              </w:rPr>
              <w:t xml:space="preserve"> </w:t>
            </w:r>
            <w:r>
              <w:rPr>
                <w:sz w:val="20"/>
              </w:rPr>
              <w:t>fans</w:t>
            </w:r>
            <w:r>
              <w:rPr>
                <w:spacing w:val="-5"/>
                <w:sz w:val="20"/>
              </w:rPr>
              <w:t xml:space="preserve"> </w:t>
            </w:r>
            <w:r>
              <w:rPr>
                <w:sz w:val="20"/>
              </w:rPr>
              <w:t>(not</w:t>
            </w:r>
            <w:r>
              <w:rPr>
                <w:spacing w:val="-5"/>
                <w:sz w:val="20"/>
              </w:rPr>
              <w:t xml:space="preserve"> </w:t>
            </w:r>
            <w:r>
              <w:rPr>
                <w:sz w:val="20"/>
              </w:rPr>
              <w:t>including</w:t>
            </w:r>
            <w:r>
              <w:rPr>
                <w:spacing w:val="-6"/>
                <w:sz w:val="20"/>
              </w:rPr>
              <w:t xml:space="preserve"> </w:t>
            </w:r>
            <w:r>
              <w:rPr>
                <w:sz w:val="20"/>
              </w:rPr>
              <w:t>HVAC</w:t>
            </w:r>
            <w:r>
              <w:rPr>
                <w:spacing w:val="-4"/>
                <w:sz w:val="20"/>
              </w:rPr>
              <w:t xml:space="preserve"> </w:t>
            </w:r>
            <w:r>
              <w:rPr>
                <w:sz w:val="20"/>
              </w:rPr>
              <w:t>fans)</w:t>
            </w:r>
            <w:r>
              <w:rPr>
                <w:spacing w:val="-4"/>
                <w:sz w:val="20"/>
              </w:rPr>
              <w:t xml:space="preserve"> </w:t>
            </w:r>
            <w:r>
              <w:rPr>
                <w:sz w:val="20"/>
              </w:rPr>
              <w:t>to</w:t>
            </w:r>
            <w:r>
              <w:rPr>
                <w:spacing w:val="-5"/>
                <w:sz w:val="20"/>
              </w:rPr>
              <w:t xml:space="preserve"> </w:t>
            </w:r>
            <w:r>
              <w:rPr>
                <w:sz w:val="20"/>
              </w:rPr>
              <w:t>take advantage of partial load conditions.</w:t>
            </w:r>
          </w:p>
        </w:tc>
      </w:tr>
      <w:tr w:rsidR="00C31389" w14:paraId="6869C730" w14:textId="77777777">
        <w:trPr>
          <w:trHeight w:val="620"/>
        </w:trPr>
        <w:tc>
          <w:tcPr>
            <w:tcW w:w="2402" w:type="dxa"/>
            <w:tcBorders>
              <w:top w:val="single" w:color="D9D9D9" w:sz="2" w:space="0"/>
              <w:bottom w:val="single" w:color="D9D9D9" w:sz="2" w:space="0"/>
            </w:tcBorders>
          </w:tcPr>
          <w:p w:rsidR="00C31389" w:rsidRDefault="00561FBD" w14:paraId="20EACF06" w14:textId="77777777">
            <w:pPr>
              <w:pStyle w:val="TableParagraph"/>
              <w:spacing w:before="195"/>
              <w:ind w:left="129"/>
              <w:rPr>
                <w:sz w:val="20"/>
              </w:rPr>
            </w:pPr>
            <w:r>
              <w:rPr>
                <w:sz w:val="20"/>
              </w:rPr>
              <w:t>Pump</w:t>
            </w:r>
            <w:r>
              <w:rPr>
                <w:spacing w:val="-5"/>
                <w:sz w:val="20"/>
              </w:rPr>
              <w:t xml:space="preserve"> </w:t>
            </w:r>
            <w:r>
              <w:rPr>
                <w:spacing w:val="-2"/>
                <w:sz w:val="20"/>
              </w:rPr>
              <w:t>Upgrades</w:t>
            </w:r>
          </w:p>
        </w:tc>
        <w:tc>
          <w:tcPr>
            <w:tcW w:w="1792" w:type="dxa"/>
            <w:tcBorders>
              <w:top w:val="single" w:color="D9D9D9" w:sz="2" w:space="0"/>
              <w:bottom w:val="single" w:color="D9D9D9" w:sz="2" w:space="0"/>
            </w:tcBorders>
          </w:tcPr>
          <w:p w:rsidR="00C31389" w:rsidRDefault="00561FBD" w14:paraId="6B14E109" w14:textId="77777777">
            <w:pPr>
              <w:pStyle w:val="TableParagraph"/>
              <w:spacing w:before="195"/>
              <w:ind w:left="157"/>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D9D9D9" w:sz="2" w:space="0"/>
            </w:tcBorders>
          </w:tcPr>
          <w:p w:rsidR="00C31389" w:rsidRDefault="00561FBD" w14:paraId="1B09F787" w14:textId="77777777">
            <w:pPr>
              <w:pStyle w:val="TableParagraph"/>
              <w:spacing w:before="81"/>
              <w:ind w:left="165" w:right="219"/>
              <w:rPr>
                <w:sz w:val="20"/>
              </w:rPr>
            </w:pPr>
            <w:r>
              <w:rPr>
                <w:sz w:val="20"/>
              </w:rPr>
              <w:t>Proper</w:t>
            </w:r>
            <w:r>
              <w:rPr>
                <w:spacing w:val="-5"/>
                <w:sz w:val="20"/>
              </w:rPr>
              <w:t xml:space="preserve"> </w:t>
            </w:r>
            <w:r>
              <w:rPr>
                <w:sz w:val="20"/>
              </w:rPr>
              <w:t>sizing</w:t>
            </w:r>
            <w:r>
              <w:rPr>
                <w:spacing w:val="-7"/>
                <w:sz w:val="20"/>
              </w:rPr>
              <w:t xml:space="preserve"> </w:t>
            </w:r>
            <w:r>
              <w:rPr>
                <w:sz w:val="20"/>
              </w:rPr>
              <w:t>and</w:t>
            </w:r>
            <w:r>
              <w:rPr>
                <w:spacing w:val="-6"/>
                <w:sz w:val="20"/>
              </w:rPr>
              <w:t xml:space="preserve"> </w:t>
            </w:r>
            <w:r>
              <w:rPr>
                <w:sz w:val="20"/>
              </w:rPr>
              <w:t>operation</w:t>
            </w:r>
            <w:r>
              <w:rPr>
                <w:spacing w:val="-7"/>
                <w:sz w:val="20"/>
              </w:rPr>
              <w:t xml:space="preserve"> </w:t>
            </w:r>
            <w:r>
              <w:rPr>
                <w:sz w:val="20"/>
              </w:rPr>
              <w:t>of</w:t>
            </w:r>
            <w:r>
              <w:rPr>
                <w:spacing w:val="-6"/>
                <w:sz w:val="20"/>
              </w:rPr>
              <w:t xml:space="preserve"> </w:t>
            </w:r>
            <w:r>
              <w:rPr>
                <w:sz w:val="20"/>
              </w:rPr>
              <w:t>pumps</w:t>
            </w:r>
            <w:r>
              <w:rPr>
                <w:spacing w:val="-5"/>
                <w:sz w:val="20"/>
              </w:rPr>
              <w:t xml:space="preserve"> </w:t>
            </w:r>
            <w:r>
              <w:rPr>
                <w:sz w:val="20"/>
              </w:rPr>
              <w:t>to</w:t>
            </w:r>
            <w:r>
              <w:rPr>
                <w:spacing w:val="-6"/>
                <w:sz w:val="20"/>
              </w:rPr>
              <w:t xml:space="preserve"> </w:t>
            </w:r>
            <w:r>
              <w:rPr>
                <w:sz w:val="20"/>
              </w:rPr>
              <w:t>increase pump efficiency.</w:t>
            </w:r>
          </w:p>
        </w:tc>
      </w:tr>
      <w:tr w:rsidR="00C31389" w14:paraId="0DB95D68" w14:textId="77777777">
        <w:trPr>
          <w:trHeight w:val="620"/>
        </w:trPr>
        <w:tc>
          <w:tcPr>
            <w:tcW w:w="2402" w:type="dxa"/>
            <w:tcBorders>
              <w:top w:val="single" w:color="D9D9D9" w:sz="2" w:space="0"/>
              <w:bottom w:val="single" w:color="D9D9D9" w:sz="2" w:space="0"/>
            </w:tcBorders>
          </w:tcPr>
          <w:p w:rsidR="00C31389" w:rsidRDefault="00561FBD" w14:paraId="3D0B71C7" w14:textId="77777777">
            <w:pPr>
              <w:pStyle w:val="TableParagraph"/>
              <w:spacing w:before="195"/>
              <w:ind w:left="129"/>
              <w:rPr>
                <w:sz w:val="20"/>
              </w:rPr>
            </w:pPr>
            <w:r>
              <w:rPr>
                <w:sz w:val="20"/>
              </w:rPr>
              <w:t>Energy</w:t>
            </w:r>
            <w:r>
              <w:rPr>
                <w:spacing w:val="-5"/>
                <w:sz w:val="20"/>
              </w:rPr>
              <w:t xml:space="preserve"> </w:t>
            </w:r>
            <w:r>
              <w:rPr>
                <w:sz w:val="20"/>
              </w:rPr>
              <w:t>Efficient</w:t>
            </w:r>
            <w:r>
              <w:rPr>
                <w:spacing w:val="-4"/>
                <w:sz w:val="20"/>
              </w:rPr>
              <w:t xml:space="preserve"> </w:t>
            </w:r>
            <w:r>
              <w:rPr>
                <w:spacing w:val="-2"/>
                <w:sz w:val="20"/>
              </w:rPr>
              <w:t>Aerator</w:t>
            </w:r>
          </w:p>
        </w:tc>
        <w:tc>
          <w:tcPr>
            <w:tcW w:w="1792" w:type="dxa"/>
            <w:tcBorders>
              <w:top w:val="single" w:color="D9D9D9" w:sz="2" w:space="0"/>
              <w:bottom w:val="single" w:color="D9D9D9" w:sz="2" w:space="0"/>
            </w:tcBorders>
          </w:tcPr>
          <w:p w:rsidR="00C31389" w:rsidRDefault="00561FBD" w14:paraId="7B18A400" w14:textId="77777777">
            <w:pPr>
              <w:pStyle w:val="TableParagraph"/>
              <w:spacing w:before="195"/>
              <w:ind w:left="157"/>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D9D9D9" w:sz="2" w:space="0"/>
            </w:tcBorders>
          </w:tcPr>
          <w:p w:rsidR="00C31389" w:rsidRDefault="00561FBD" w14:paraId="7B58837D" w14:textId="77777777">
            <w:pPr>
              <w:pStyle w:val="TableParagraph"/>
              <w:spacing w:before="80"/>
              <w:ind w:left="165"/>
              <w:rPr>
                <w:sz w:val="20"/>
              </w:rPr>
            </w:pPr>
            <w:r>
              <w:rPr>
                <w:sz w:val="20"/>
              </w:rPr>
              <w:t>Replacing</w:t>
            </w:r>
            <w:r>
              <w:rPr>
                <w:spacing w:val="-8"/>
                <w:sz w:val="20"/>
              </w:rPr>
              <w:t xml:space="preserve"> </w:t>
            </w:r>
            <w:r>
              <w:rPr>
                <w:sz w:val="20"/>
              </w:rPr>
              <w:t>existing</w:t>
            </w:r>
            <w:r>
              <w:rPr>
                <w:spacing w:val="-8"/>
                <w:sz w:val="20"/>
              </w:rPr>
              <w:t xml:space="preserve"> </w:t>
            </w:r>
            <w:r>
              <w:rPr>
                <w:sz w:val="20"/>
              </w:rPr>
              <w:t>inefficient</w:t>
            </w:r>
            <w:r>
              <w:rPr>
                <w:spacing w:val="-8"/>
                <w:sz w:val="20"/>
              </w:rPr>
              <w:t xml:space="preserve"> </w:t>
            </w:r>
            <w:r>
              <w:rPr>
                <w:sz w:val="20"/>
              </w:rPr>
              <w:t>aerators</w:t>
            </w:r>
            <w:r>
              <w:rPr>
                <w:spacing w:val="-7"/>
                <w:sz w:val="20"/>
              </w:rPr>
              <w:t xml:space="preserve"> </w:t>
            </w:r>
            <w:r>
              <w:rPr>
                <w:sz w:val="20"/>
              </w:rPr>
              <w:t>on</w:t>
            </w:r>
            <w:r>
              <w:rPr>
                <w:spacing w:val="-8"/>
                <w:sz w:val="20"/>
              </w:rPr>
              <w:t xml:space="preserve"> </w:t>
            </w:r>
            <w:r>
              <w:rPr>
                <w:sz w:val="20"/>
              </w:rPr>
              <w:t>wastewater systems with higher efficiency aerator technologies.</w:t>
            </w:r>
          </w:p>
        </w:tc>
      </w:tr>
      <w:tr w:rsidR="00C31389" w14:paraId="7CC36135" w14:textId="77777777">
        <w:trPr>
          <w:trHeight w:val="620"/>
        </w:trPr>
        <w:tc>
          <w:tcPr>
            <w:tcW w:w="2402" w:type="dxa"/>
            <w:tcBorders>
              <w:top w:val="single" w:color="D9D9D9" w:sz="2" w:space="0"/>
              <w:bottom w:val="single" w:color="D9D9D9" w:sz="2" w:space="0"/>
            </w:tcBorders>
          </w:tcPr>
          <w:p w:rsidR="00C31389" w:rsidRDefault="00561FBD" w14:paraId="1B411029" w14:textId="77777777">
            <w:pPr>
              <w:pStyle w:val="TableParagraph"/>
              <w:spacing w:before="195"/>
              <w:ind w:left="129"/>
              <w:rPr>
                <w:sz w:val="20"/>
              </w:rPr>
            </w:pPr>
            <w:r>
              <w:rPr>
                <w:sz w:val="20"/>
              </w:rPr>
              <w:t>Motor</w:t>
            </w:r>
            <w:r>
              <w:rPr>
                <w:spacing w:val="-2"/>
                <w:sz w:val="20"/>
              </w:rPr>
              <w:t xml:space="preserve"> </w:t>
            </w:r>
            <w:r>
              <w:rPr>
                <w:spacing w:val="-5"/>
                <w:sz w:val="20"/>
              </w:rPr>
              <w:t>VFD</w:t>
            </w:r>
          </w:p>
        </w:tc>
        <w:tc>
          <w:tcPr>
            <w:tcW w:w="1792" w:type="dxa"/>
            <w:tcBorders>
              <w:top w:val="single" w:color="D9D9D9" w:sz="2" w:space="0"/>
              <w:bottom w:val="single" w:color="D9D9D9" w:sz="2" w:space="0"/>
            </w:tcBorders>
          </w:tcPr>
          <w:p w:rsidR="00C31389" w:rsidRDefault="00561FBD" w14:paraId="2A15C345" w14:textId="77777777">
            <w:pPr>
              <w:pStyle w:val="TableParagraph"/>
              <w:spacing w:before="195"/>
              <w:ind w:left="157"/>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D9D9D9" w:sz="2" w:space="0"/>
            </w:tcBorders>
          </w:tcPr>
          <w:p w:rsidR="00C31389" w:rsidRDefault="00561FBD" w14:paraId="1FF107C2" w14:textId="77777777">
            <w:pPr>
              <w:pStyle w:val="TableParagraph"/>
              <w:spacing w:before="80"/>
              <w:ind w:left="165"/>
              <w:rPr>
                <w:sz w:val="20"/>
              </w:rPr>
            </w:pPr>
            <w:r>
              <w:rPr>
                <w:sz w:val="20"/>
              </w:rPr>
              <w:t>VFD</w:t>
            </w:r>
            <w:r>
              <w:rPr>
                <w:spacing w:val="-4"/>
                <w:sz w:val="20"/>
              </w:rPr>
              <w:t xml:space="preserve"> </w:t>
            </w:r>
            <w:r>
              <w:rPr>
                <w:sz w:val="20"/>
              </w:rPr>
              <w:t>controls</w:t>
            </w:r>
            <w:r>
              <w:rPr>
                <w:spacing w:val="-5"/>
                <w:sz w:val="20"/>
              </w:rPr>
              <w:t xml:space="preserve"> </w:t>
            </w:r>
            <w:r>
              <w:rPr>
                <w:sz w:val="20"/>
              </w:rPr>
              <w:t>on</w:t>
            </w:r>
            <w:r>
              <w:rPr>
                <w:spacing w:val="-5"/>
                <w:sz w:val="20"/>
              </w:rPr>
              <w:t xml:space="preserve"> </w:t>
            </w:r>
            <w:r>
              <w:rPr>
                <w:sz w:val="20"/>
              </w:rPr>
              <w:t>process</w:t>
            </w:r>
            <w:r>
              <w:rPr>
                <w:spacing w:val="-4"/>
                <w:sz w:val="20"/>
              </w:rPr>
              <w:t xml:space="preserve"> </w:t>
            </w:r>
            <w:r>
              <w:rPr>
                <w:sz w:val="20"/>
              </w:rPr>
              <w:t>motors</w:t>
            </w:r>
            <w:r>
              <w:rPr>
                <w:spacing w:val="-5"/>
                <w:sz w:val="20"/>
              </w:rPr>
              <w:t xml:space="preserve"> </w:t>
            </w:r>
            <w:r>
              <w:rPr>
                <w:sz w:val="20"/>
              </w:rPr>
              <w:t>to</w:t>
            </w:r>
            <w:r>
              <w:rPr>
                <w:spacing w:val="-5"/>
                <w:sz w:val="20"/>
              </w:rPr>
              <w:t xml:space="preserve"> </w:t>
            </w:r>
            <w:r>
              <w:rPr>
                <w:sz w:val="20"/>
              </w:rPr>
              <w:t>take</w:t>
            </w:r>
            <w:r>
              <w:rPr>
                <w:spacing w:val="-6"/>
                <w:sz w:val="20"/>
              </w:rPr>
              <w:t xml:space="preserve"> </w:t>
            </w:r>
            <w:r>
              <w:rPr>
                <w:sz w:val="20"/>
              </w:rPr>
              <w:t>advantage</w:t>
            </w:r>
            <w:r>
              <w:rPr>
                <w:spacing w:val="-5"/>
                <w:sz w:val="20"/>
              </w:rPr>
              <w:t xml:space="preserve"> </w:t>
            </w:r>
            <w:r>
              <w:rPr>
                <w:sz w:val="20"/>
              </w:rPr>
              <w:t>of partial load conditions.</w:t>
            </w:r>
          </w:p>
        </w:tc>
      </w:tr>
      <w:tr w:rsidR="00C31389" w14:paraId="167B6ABD" w14:textId="77777777">
        <w:trPr>
          <w:trHeight w:val="620"/>
        </w:trPr>
        <w:tc>
          <w:tcPr>
            <w:tcW w:w="2402" w:type="dxa"/>
            <w:tcBorders>
              <w:top w:val="single" w:color="D9D9D9" w:sz="2" w:space="0"/>
              <w:bottom w:val="single" w:color="D9D9D9" w:sz="2" w:space="0"/>
            </w:tcBorders>
          </w:tcPr>
          <w:p w:rsidR="00C31389" w:rsidRDefault="00561FBD" w14:paraId="6E75363F" w14:textId="77777777">
            <w:pPr>
              <w:pStyle w:val="TableParagraph"/>
              <w:spacing w:before="195"/>
              <w:ind w:left="129"/>
              <w:rPr>
                <w:sz w:val="20"/>
              </w:rPr>
            </w:pPr>
            <w:r>
              <w:rPr>
                <w:sz w:val="20"/>
              </w:rPr>
              <w:t>Pump</w:t>
            </w:r>
            <w:r>
              <w:rPr>
                <w:spacing w:val="-5"/>
                <w:sz w:val="20"/>
              </w:rPr>
              <w:t xml:space="preserve"> VFD</w:t>
            </w:r>
          </w:p>
        </w:tc>
        <w:tc>
          <w:tcPr>
            <w:tcW w:w="1792" w:type="dxa"/>
            <w:tcBorders>
              <w:top w:val="single" w:color="D9D9D9" w:sz="2" w:space="0"/>
              <w:bottom w:val="single" w:color="D9D9D9" w:sz="2" w:space="0"/>
            </w:tcBorders>
          </w:tcPr>
          <w:p w:rsidR="00C31389" w:rsidRDefault="00561FBD" w14:paraId="21AF02CE" w14:textId="77777777">
            <w:pPr>
              <w:pStyle w:val="TableParagraph"/>
              <w:spacing w:before="195"/>
              <w:ind w:left="157"/>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D9D9D9" w:sz="2" w:space="0"/>
            </w:tcBorders>
          </w:tcPr>
          <w:p w:rsidR="00C31389" w:rsidRDefault="00561FBD" w14:paraId="520B4C50" w14:textId="77777777">
            <w:pPr>
              <w:pStyle w:val="TableParagraph"/>
              <w:spacing w:before="80"/>
              <w:ind w:left="165" w:right="163"/>
              <w:rPr>
                <w:sz w:val="20"/>
              </w:rPr>
            </w:pPr>
            <w:r>
              <w:rPr>
                <w:sz w:val="20"/>
              </w:rPr>
              <w:t>VFD</w:t>
            </w:r>
            <w:r>
              <w:rPr>
                <w:spacing w:val="-4"/>
                <w:sz w:val="20"/>
              </w:rPr>
              <w:t xml:space="preserve"> </w:t>
            </w:r>
            <w:r>
              <w:rPr>
                <w:sz w:val="20"/>
              </w:rPr>
              <w:t>controls</w:t>
            </w:r>
            <w:r>
              <w:rPr>
                <w:spacing w:val="-5"/>
                <w:sz w:val="20"/>
              </w:rPr>
              <w:t xml:space="preserve"> </w:t>
            </w:r>
            <w:r>
              <w:rPr>
                <w:sz w:val="20"/>
              </w:rPr>
              <w:t>on</w:t>
            </w:r>
            <w:r>
              <w:rPr>
                <w:spacing w:val="-5"/>
                <w:sz w:val="20"/>
              </w:rPr>
              <w:t xml:space="preserve"> </w:t>
            </w:r>
            <w:r>
              <w:rPr>
                <w:sz w:val="20"/>
              </w:rPr>
              <w:t>pumps</w:t>
            </w:r>
            <w:r>
              <w:rPr>
                <w:spacing w:val="-4"/>
                <w:sz w:val="20"/>
              </w:rPr>
              <w:t xml:space="preserve"> </w:t>
            </w:r>
            <w:r>
              <w:rPr>
                <w:sz w:val="20"/>
              </w:rPr>
              <w:t>to</w:t>
            </w:r>
            <w:r>
              <w:rPr>
                <w:spacing w:val="-5"/>
                <w:sz w:val="20"/>
              </w:rPr>
              <w:t xml:space="preserve"> </w:t>
            </w:r>
            <w:r>
              <w:rPr>
                <w:sz w:val="20"/>
              </w:rPr>
              <w:t>take</w:t>
            </w:r>
            <w:r>
              <w:rPr>
                <w:spacing w:val="-5"/>
                <w:sz w:val="20"/>
              </w:rPr>
              <w:t xml:space="preserve"> </w:t>
            </w:r>
            <w:r>
              <w:rPr>
                <w:sz w:val="20"/>
              </w:rPr>
              <w:t>advantage</w:t>
            </w:r>
            <w:r>
              <w:rPr>
                <w:spacing w:val="-5"/>
                <w:sz w:val="20"/>
              </w:rPr>
              <w:t xml:space="preserve"> </w:t>
            </w:r>
            <w:r>
              <w:rPr>
                <w:sz w:val="20"/>
              </w:rPr>
              <w:t>of</w:t>
            </w:r>
            <w:r>
              <w:rPr>
                <w:spacing w:val="-5"/>
                <w:sz w:val="20"/>
              </w:rPr>
              <w:t xml:space="preserve"> </w:t>
            </w:r>
            <w:r>
              <w:rPr>
                <w:sz w:val="20"/>
              </w:rPr>
              <w:t>partial load conditions.</w:t>
            </w:r>
          </w:p>
        </w:tc>
      </w:tr>
      <w:tr w:rsidR="00C31389" w14:paraId="4C3C5B11" w14:textId="77777777">
        <w:trPr>
          <w:trHeight w:val="618"/>
        </w:trPr>
        <w:tc>
          <w:tcPr>
            <w:tcW w:w="2402" w:type="dxa"/>
            <w:tcBorders>
              <w:top w:val="single" w:color="D9D9D9" w:sz="2" w:space="0"/>
              <w:bottom w:val="single" w:color="D9D9D9" w:sz="2" w:space="0"/>
            </w:tcBorders>
          </w:tcPr>
          <w:p w:rsidR="00C31389" w:rsidRDefault="00561FBD" w14:paraId="17BA87B0" w14:textId="77777777">
            <w:pPr>
              <w:pStyle w:val="TableParagraph"/>
              <w:spacing w:before="80"/>
              <w:ind w:left="129"/>
              <w:rPr>
                <w:sz w:val="20"/>
              </w:rPr>
            </w:pPr>
            <w:r>
              <w:rPr>
                <w:sz w:val="20"/>
              </w:rPr>
              <w:t>Boiler</w:t>
            </w:r>
            <w:r>
              <w:rPr>
                <w:spacing w:val="-14"/>
                <w:sz w:val="20"/>
              </w:rPr>
              <w:t xml:space="preserve"> </w:t>
            </w:r>
            <w:r>
              <w:rPr>
                <w:sz w:val="20"/>
              </w:rPr>
              <w:t>Controls</w:t>
            </w:r>
            <w:r>
              <w:rPr>
                <w:spacing w:val="-14"/>
                <w:sz w:val="20"/>
              </w:rPr>
              <w:t xml:space="preserve"> </w:t>
            </w:r>
            <w:r>
              <w:rPr>
                <w:sz w:val="20"/>
              </w:rPr>
              <w:t xml:space="preserve">and </w:t>
            </w:r>
            <w:r>
              <w:rPr>
                <w:spacing w:val="-2"/>
                <w:sz w:val="20"/>
              </w:rPr>
              <w:t>Optimization</w:t>
            </w:r>
          </w:p>
        </w:tc>
        <w:tc>
          <w:tcPr>
            <w:tcW w:w="1792" w:type="dxa"/>
            <w:tcBorders>
              <w:top w:val="single" w:color="D9D9D9" w:sz="2" w:space="0"/>
              <w:bottom w:val="single" w:color="D9D9D9" w:sz="2" w:space="0"/>
            </w:tcBorders>
          </w:tcPr>
          <w:p w:rsidR="00C31389" w:rsidRDefault="00561FBD" w14:paraId="69F43929" w14:textId="77777777">
            <w:pPr>
              <w:pStyle w:val="TableParagraph"/>
              <w:spacing w:before="195"/>
              <w:ind w:left="157"/>
              <w:rPr>
                <w:sz w:val="20"/>
              </w:rPr>
            </w:pPr>
            <w:r>
              <w:rPr>
                <w:sz w:val="20"/>
              </w:rPr>
              <w:t>Process</w:t>
            </w:r>
            <w:r>
              <w:rPr>
                <w:spacing w:val="-5"/>
                <w:sz w:val="20"/>
              </w:rPr>
              <w:t xml:space="preserve"> </w:t>
            </w:r>
            <w:r>
              <w:rPr>
                <w:spacing w:val="-2"/>
                <w:sz w:val="20"/>
              </w:rPr>
              <w:t>Heating</w:t>
            </w:r>
          </w:p>
        </w:tc>
        <w:tc>
          <w:tcPr>
            <w:tcW w:w="5181" w:type="dxa"/>
            <w:tcBorders>
              <w:top w:val="single" w:color="D9D9D9" w:sz="2" w:space="0"/>
              <w:bottom w:val="single" w:color="D9D9D9" w:sz="2" w:space="0"/>
            </w:tcBorders>
          </w:tcPr>
          <w:p w:rsidR="00C31389" w:rsidRDefault="00561FBD" w14:paraId="5941CC02" w14:textId="77777777">
            <w:pPr>
              <w:pStyle w:val="TableParagraph"/>
              <w:spacing w:before="80"/>
              <w:ind w:left="165"/>
              <w:rPr>
                <w:sz w:val="20"/>
              </w:rPr>
            </w:pPr>
            <w:r>
              <w:rPr>
                <w:sz w:val="20"/>
              </w:rPr>
              <w:t xml:space="preserve">Pressure reduction, leak reduction, steam trap </w:t>
            </w:r>
            <w:r>
              <w:rPr>
                <w:sz w:val="20"/>
              </w:rPr>
              <w:t>maintenance,</w:t>
            </w:r>
            <w:r>
              <w:rPr>
                <w:spacing w:val="-8"/>
                <w:sz w:val="20"/>
              </w:rPr>
              <w:t xml:space="preserve"> </w:t>
            </w:r>
            <w:r>
              <w:rPr>
                <w:sz w:val="20"/>
              </w:rPr>
              <w:t>and</w:t>
            </w:r>
            <w:r>
              <w:rPr>
                <w:spacing w:val="-8"/>
                <w:sz w:val="20"/>
              </w:rPr>
              <w:t xml:space="preserve"> </w:t>
            </w:r>
            <w:r>
              <w:rPr>
                <w:sz w:val="20"/>
              </w:rPr>
              <w:t>advanced</w:t>
            </w:r>
            <w:r>
              <w:rPr>
                <w:spacing w:val="-8"/>
                <w:sz w:val="20"/>
              </w:rPr>
              <w:t xml:space="preserve"> </w:t>
            </w:r>
            <w:r>
              <w:rPr>
                <w:sz w:val="20"/>
              </w:rPr>
              <w:t>controls</w:t>
            </w:r>
            <w:r>
              <w:rPr>
                <w:spacing w:val="-7"/>
                <w:sz w:val="20"/>
              </w:rPr>
              <w:t xml:space="preserve"> </w:t>
            </w:r>
            <w:r>
              <w:rPr>
                <w:sz w:val="20"/>
              </w:rPr>
              <w:t>on</w:t>
            </w:r>
            <w:r>
              <w:rPr>
                <w:spacing w:val="-8"/>
                <w:sz w:val="20"/>
              </w:rPr>
              <w:t xml:space="preserve"> </w:t>
            </w:r>
            <w:r>
              <w:rPr>
                <w:sz w:val="20"/>
              </w:rPr>
              <w:t>boilers.</w:t>
            </w:r>
          </w:p>
        </w:tc>
      </w:tr>
      <w:tr w:rsidR="00C31389" w14:paraId="6CA1CAE9" w14:textId="77777777">
        <w:trPr>
          <w:trHeight w:val="850"/>
        </w:trPr>
        <w:tc>
          <w:tcPr>
            <w:tcW w:w="2402" w:type="dxa"/>
            <w:tcBorders>
              <w:top w:val="single" w:color="D9D9D9" w:sz="2" w:space="0"/>
              <w:bottom w:val="single" w:color="D9D9D9" w:sz="2" w:space="0"/>
            </w:tcBorders>
          </w:tcPr>
          <w:p w:rsidR="00C31389" w:rsidRDefault="00C31389" w14:paraId="427E7C0F" w14:textId="77777777">
            <w:pPr>
              <w:pStyle w:val="TableParagraph"/>
              <w:spacing w:before="11"/>
              <w:rPr>
                <w:b/>
                <w:sz w:val="26"/>
              </w:rPr>
            </w:pPr>
          </w:p>
          <w:p w:rsidR="00C31389" w:rsidRDefault="00561FBD" w14:paraId="096A1FF9" w14:textId="77777777">
            <w:pPr>
              <w:pStyle w:val="TableParagraph"/>
              <w:spacing w:before="0"/>
              <w:ind w:left="129"/>
              <w:rPr>
                <w:sz w:val="20"/>
              </w:rPr>
            </w:pPr>
            <w:r>
              <w:rPr>
                <w:sz w:val="20"/>
              </w:rPr>
              <w:t>Process</w:t>
            </w:r>
            <w:r>
              <w:rPr>
                <w:spacing w:val="-5"/>
                <w:sz w:val="20"/>
              </w:rPr>
              <w:t xml:space="preserve"> </w:t>
            </w:r>
            <w:r>
              <w:rPr>
                <w:spacing w:val="-4"/>
                <w:sz w:val="20"/>
              </w:rPr>
              <w:t>Heat</w:t>
            </w:r>
          </w:p>
        </w:tc>
        <w:tc>
          <w:tcPr>
            <w:tcW w:w="1792" w:type="dxa"/>
            <w:tcBorders>
              <w:top w:val="single" w:color="D9D9D9" w:sz="2" w:space="0"/>
              <w:bottom w:val="single" w:color="D9D9D9" w:sz="2" w:space="0"/>
            </w:tcBorders>
          </w:tcPr>
          <w:p w:rsidR="00C31389" w:rsidRDefault="00C31389" w14:paraId="475942BD" w14:textId="77777777">
            <w:pPr>
              <w:pStyle w:val="TableParagraph"/>
              <w:spacing w:before="11"/>
              <w:rPr>
                <w:b/>
                <w:sz w:val="26"/>
              </w:rPr>
            </w:pPr>
          </w:p>
          <w:p w:rsidR="00C31389" w:rsidRDefault="00561FBD" w14:paraId="466217BD" w14:textId="77777777">
            <w:pPr>
              <w:pStyle w:val="TableParagraph"/>
              <w:spacing w:before="0"/>
              <w:ind w:left="157"/>
              <w:rPr>
                <w:sz w:val="20"/>
              </w:rPr>
            </w:pPr>
            <w:r>
              <w:rPr>
                <w:sz w:val="20"/>
              </w:rPr>
              <w:t>Process</w:t>
            </w:r>
            <w:r>
              <w:rPr>
                <w:spacing w:val="-5"/>
                <w:sz w:val="20"/>
              </w:rPr>
              <w:t xml:space="preserve"> </w:t>
            </w:r>
            <w:r>
              <w:rPr>
                <w:spacing w:val="-2"/>
                <w:sz w:val="20"/>
              </w:rPr>
              <w:t>Heating</w:t>
            </w:r>
          </w:p>
        </w:tc>
        <w:tc>
          <w:tcPr>
            <w:tcW w:w="5181" w:type="dxa"/>
            <w:tcBorders>
              <w:top w:val="single" w:color="D9D9D9" w:sz="2" w:space="0"/>
              <w:bottom w:val="single" w:color="D9D9D9" w:sz="2" w:space="0"/>
            </w:tcBorders>
          </w:tcPr>
          <w:p w:rsidR="00C31389" w:rsidRDefault="00561FBD" w14:paraId="3C3587A6" w14:textId="77777777">
            <w:pPr>
              <w:pStyle w:val="TableParagraph"/>
              <w:spacing w:before="81"/>
              <w:ind w:left="165"/>
              <w:rPr>
                <w:sz w:val="20"/>
              </w:rPr>
            </w:pPr>
            <w:r>
              <w:rPr>
                <w:sz w:val="20"/>
              </w:rPr>
              <w:t>Upgrades and add-ons to gas furnaces and ovens, including</w:t>
            </w:r>
            <w:r>
              <w:rPr>
                <w:spacing w:val="-7"/>
                <w:sz w:val="20"/>
              </w:rPr>
              <w:t xml:space="preserve"> </w:t>
            </w:r>
            <w:r>
              <w:rPr>
                <w:sz w:val="20"/>
              </w:rPr>
              <w:t>infrared,</w:t>
            </w:r>
            <w:r>
              <w:rPr>
                <w:spacing w:val="-7"/>
                <w:sz w:val="20"/>
              </w:rPr>
              <w:t xml:space="preserve"> </w:t>
            </w:r>
            <w:r>
              <w:rPr>
                <w:sz w:val="20"/>
              </w:rPr>
              <w:t>furnace</w:t>
            </w:r>
            <w:r>
              <w:rPr>
                <w:spacing w:val="-8"/>
                <w:sz w:val="20"/>
              </w:rPr>
              <w:t xml:space="preserve"> </w:t>
            </w:r>
            <w:r>
              <w:rPr>
                <w:sz w:val="20"/>
              </w:rPr>
              <w:t>configuration,</w:t>
            </w:r>
            <w:r>
              <w:rPr>
                <w:spacing w:val="-7"/>
                <w:sz w:val="20"/>
              </w:rPr>
              <w:t xml:space="preserve"> </w:t>
            </w:r>
            <w:r>
              <w:rPr>
                <w:sz w:val="20"/>
              </w:rPr>
              <w:t>and</w:t>
            </w:r>
            <w:r>
              <w:rPr>
                <w:spacing w:val="-7"/>
                <w:sz w:val="20"/>
              </w:rPr>
              <w:t xml:space="preserve"> </w:t>
            </w:r>
            <w:r>
              <w:rPr>
                <w:sz w:val="20"/>
              </w:rPr>
              <w:t xml:space="preserve">advanced </w:t>
            </w:r>
            <w:r>
              <w:rPr>
                <w:spacing w:val="-2"/>
                <w:sz w:val="20"/>
              </w:rPr>
              <w:t>controls.</w:t>
            </w:r>
          </w:p>
        </w:tc>
      </w:tr>
      <w:tr w:rsidR="00C31389" w14:paraId="2BE4FC20" w14:textId="77777777">
        <w:trPr>
          <w:trHeight w:val="849"/>
        </w:trPr>
        <w:tc>
          <w:tcPr>
            <w:tcW w:w="2402" w:type="dxa"/>
            <w:tcBorders>
              <w:top w:val="single" w:color="D9D9D9" w:sz="2" w:space="0"/>
              <w:bottom w:val="single" w:color="D9D9D9" w:sz="2" w:space="0"/>
            </w:tcBorders>
          </w:tcPr>
          <w:p w:rsidR="00C31389" w:rsidRDefault="00C31389" w14:paraId="15F24428" w14:textId="77777777">
            <w:pPr>
              <w:pStyle w:val="TableParagraph"/>
              <w:spacing w:before="11"/>
              <w:rPr>
                <w:b/>
                <w:sz w:val="26"/>
              </w:rPr>
            </w:pPr>
          </w:p>
          <w:p w:rsidR="00C31389" w:rsidRDefault="00561FBD" w14:paraId="0A2D8196" w14:textId="77777777">
            <w:pPr>
              <w:pStyle w:val="TableParagraph"/>
              <w:spacing w:before="0"/>
              <w:ind w:left="129"/>
              <w:rPr>
                <w:sz w:val="20"/>
              </w:rPr>
            </w:pPr>
            <w:r>
              <w:rPr>
                <w:sz w:val="20"/>
              </w:rPr>
              <w:t>Heat</w:t>
            </w:r>
            <w:r>
              <w:rPr>
                <w:spacing w:val="-1"/>
                <w:sz w:val="20"/>
              </w:rPr>
              <w:t xml:space="preserve"> </w:t>
            </w:r>
            <w:r>
              <w:rPr>
                <w:spacing w:val="-2"/>
                <w:sz w:val="20"/>
              </w:rPr>
              <w:t>Recovery</w:t>
            </w:r>
          </w:p>
        </w:tc>
        <w:tc>
          <w:tcPr>
            <w:tcW w:w="1792" w:type="dxa"/>
            <w:tcBorders>
              <w:top w:val="single" w:color="D9D9D9" w:sz="2" w:space="0"/>
              <w:bottom w:val="single" w:color="D9D9D9" w:sz="2" w:space="0"/>
            </w:tcBorders>
          </w:tcPr>
          <w:p w:rsidR="00C31389" w:rsidRDefault="00C31389" w14:paraId="0ED0FCCF" w14:textId="77777777">
            <w:pPr>
              <w:pStyle w:val="TableParagraph"/>
              <w:spacing w:before="11"/>
              <w:rPr>
                <w:b/>
                <w:sz w:val="26"/>
              </w:rPr>
            </w:pPr>
          </w:p>
          <w:p w:rsidR="00C31389" w:rsidRDefault="00561FBD" w14:paraId="027F5636" w14:textId="77777777">
            <w:pPr>
              <w:pStyle w:val="TableParagraph"/>
              <w:spacing w:before="0"/>
              <w:ind w:left="157"/>
              <w:rPr>
                <w:sz w:val="20"/>
              </w:rPr>
            </w:pPr>
            <w:r>
              <w:rPr>
                <w:sz w:val="20"/>
              </w:rPr>
              <w:t>Process</w:t>
            </w:r>
            <w:r>
              <w:rPr>
                <w:spacing w:val="-5"/>
                <w:sz w:val="20"/>
              </w:rPr>
              <w:t xml:space="preserve"> </w:t>
            </w:r>
            <w:r>
              <w:rPr>
                <w:spacing w:val="-2"/>
                <w:sz w:val="20"/>
              </w:rPr>
              <w:t>Heating</w:t>
            </w:r>
          </w:p>
        </w:tc>
        <w:tc>
          <w:tcPr>
            <w:tcW w:w="5181" w:type="dxa"/>
            <w:tcBorders>
              <w:top w:val="single" w:color="D9D9D9" w:sz="2" w:space="0"/>
              <w:bottom w:val="single" w:color="D9D9D9" w:sz="2" w:space="0"/>
            </w:tcBorders>
          </w:tcPr>
          <w:p w:rsidR="00C31389" w:rsidRDefault="00561FBD" w14:paraId="6A1B1441" w14:textId="77777777">
            <w:pPr>
              <w:pStyle w:val="TableParagraph"/>
              <w:spacing w:before="80"/>
              <w:ind w:left="165" w:right="163"/>
              <w:rPr>
                <w:sz w:val="20"/>
              </w:rPr>
            </w:pPr>
            <w:r>
              <w:rPr>
                <w:sz w:val="20"/>
              </w:rPr>
              <w:t xml:space="preserve">Capturing waste heat </w:t>
            </w:r>
            <w:r>
              <w:rPr>
                <w:sz w:val="20"/>
              </w:rPr>
              <w:t>produced primarily from gas boilers</w:t>
            </w:r>
            <w:r>
              <w:rPr>
                <w:spacing w:val="-4"/>
                <w:sz w:val="20"/>
              </w:rPr>
              <w:t xml:space="preserve"> </w:t>
            </w:r>
            <w:r>
              <w:rPr>
                <w:sz w:val="20"/>
              </w:rPr>
              <w:t>and</w:t>
            </w:r>
            <w:r>
              <w:rPr>
                <w:spacing w:val="-5"/>
                <w:sz w:val="20"/>
              </w:rPr>
              <w:t xml:space="preserve"> </w:t>
            </w:r>
            <w:r>
              <w:rPr>
                <w:sz w:val="20"/>
              </w:rPr>
              <w:t>using</w:t>
            </w:r>
            <w:r>
              <w:rPr>
                <w:spacing w:val="-5"/>
                <w:sz w:val="20"/>
              </w:rPr>
              <w:t xml:space="preserve"> </w:t>
            </w:r>
            <w:r>
              <w:rPr>
                <w:sz w:val="20"/>
              </w:rPr>
              <w:t>it</w:t>
            </w:r>
            <w:r>
              <w:rPr>
                <w:spacing w:val="-5"/>
                <w:sz w:val="20"/>
              </w:rPr>
              <w:t xml:space="preserve"> </w:t>
            </w:r>
            <w:r>
              <w:rPr>
                <w:sz w:val="20"/>
              </w:rPr>
              <w:t>in</w:t>
            </w:r>
            <w:r>
              <w:rPr>
                <w:spacing w:val="-5"/>
                <w:sz w:val="20"/>
              </w:rPr>
              <w:t xml:space="preserve"> </w:t>
            </w:r>
            <w:r>
              <w:rPr>
                <w:sz w:val="20"/>
              </w:rPr>
              <w:t>other</w:t>
            </w:r>
            <w:r>
              <w:rPr>
                <w:spacing w:val="-4"/>
                <w:sz w:val="20"/>
              </w:rPr>
              <w:t xml:space="preserve"> </w:t>
            </w:r>
            <w:r>
              <w:rPr>
                <w:sz w:val="20"/>
              </w:rPr>
              <w:t>phases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industrial </w:t>
            </w:r>
            <w:r>
              <w:rPr>
                <w:spacing w:val="-2"/>
                <w:sz w:val="20"/>
              </w:rPr>
              <w:t>process.</w:t>
            </w:r>
          </w:p>
        </w:tc>
      </w:tr>
      <w:tr w:rsidR="00C31389" w14:paraId="516A1F88" w14:textId="77777777">
        <w:trPr>
          <w:trHeight w:val="620"/>
        </w:trPr>
        <w:tc>
          <w:tcPr>
            <w:tcW w:w="2402" w:type="dxa"/>
            <w:tcBorders>
              <w:top w:val="single" w:color="D9D9D9" w:sz="2" w:space="0"/>
              <w:bottom w:val="single" w:color="D9D9D9" w:sz="2" w:space="0"/>
            </w:tcBorders>
          </w:tcPr>
          <w:p w:rsidR="00C31389" w:rsidRDefault="00561FBD" w14:paraId="0AA9216F" w14:textId="77777777">
            <w:pPr>
              <w:pStyle w:val="TableParagraph"/>
              <w:spacing w:before="195"/>
              <w:ind w:left="129"/>
              <w:rPr>
                <w:sz w:val="20"/>
              </w:rPr>
            </w:pPr>
            <w:r>
              <w:rPr>
                <w:spacing w:val="-2"/>
                <w:sz w:val="20"/>
              </w:rPr>
              <w:t>Insulation</w:t>
            </w:r>
          </w:p>
        </w:tc>
        <w:tc>
          <w:tcPr>
            <w:tcW w:w="1792" w:type="dxa"/>
            <w:tcBorders>
              <w:top w:val="single" w:color="D9D9D9" w:sz="2" w:space="0"/>
              <w:bottom w:val="single" w:color="D9D9D9" w:sz="2" w:space="0"/>
            </w:tcBorders>
          </w:tcPr>
          <w:p w:rsidR="00C31389" w:rsidRDefault="00561FBD" w14:paraId="15744F95" w14:textId="77777777">
            <w:pPr>
              <w:pStyle w:val="TableParagraph"/>
              <w:spacing w:before="195"/>
              <w:ind w:left="157"/>
              <w:rPr>
                <w:sz w:val="20"/>
              </w:rPr>
            </w:pPr>
            <w:r>
              <w:rPr>
                <w:sz w:val="20"/>
              </w:rPr>
              <w:t>Process</w:t>
            </w:r>
            <w:r>
              <w:rPr>
                <w:spacing w:val="-5"/>
                <w:sz w:val="20"/>
              </w:rPr>
              <w:t xml:space="preserve"> </w:t>
            </w:r>
            <w:r>
              <w:rPr>
                <w:spacing w:val="-2"/>
                <w:sz w:val="20"/>
              </w:rPr>
              <w:t>Heating</w:t>
            </w:r>
          </w:p>
        </w:tc>
        <w:tc>
          <w:tcPr>
            <w:tcW w:w="5181" w:type="dxa"/>
            <w:tcBorders>
              <w:top w:val="single" w:color="D9D9D9" w:sz="2" w:space="0"/>
              <w:bottom w:val="single" w:color="D9D9D9" w:sz="2" w:space="0"/>
            </w:tcBorders>
          </w:tcPr>
          <w:p w:rsidR="00C31389" w:rsidRDefault="00561FBD" w14:paraId="2A1DB9B5" w14:textId="77777777">
            <w:pPr>
              <w:pStyle w:val="TableParagraph"/>
              <w:spacing w:before="81"/>
              <w:ind w:left="165"/>
              <w:rPr>
                <w:sz w:val="20"/>
              </w:rPr>
            </w:pPr>
            <w:r>
              <w:rPr>
                <w:sz w:val="20"/>
              </w:rPr>
              <w:t>Insulation</w:t>
            </w:r>
            <w:r>
              <w:rPr>
                <w:spacing w:val="-7"/>
                <w:sz w:val="20"/>
              </w:rPr>
              <w:t xml:space="preserve"> </w:t>
            </w:r>
            <w:r>
              <w:rPr>
                <w:sz w:val="20"/>
              </w:rPr>
              <w:t>or</w:t>
            </w:r>
            <w:r>
              <w:rPr>
                <w:spacing w:val="-6"/>
                <w:sz w:val="20"/>
              </w:rPr>
              <w:t xml:space="preserve"> </w:t>
            </w:r>
            <w:r>
              <w:rPr>
                <w:sz w:val="20"/>
              </w:rPr>
              <w:t>improved</w:t>
            </w:r>
            <w:r>
              <w:rPr>
                <w:spacing w:val="-7"/>
                <w:sz w:val="20"/>
              </w:rPr>
              <w:t xml:space="preserve"> </w:t>
            </w:r>
            <w:r>
              <w:rPr>
                <w:sz w:val="20"/>
              </w:rPr>
              <w:t>insulation</w:t>
            </w:r>
            <w:r>
              <w:rPr>
                <w:spacing w:val="-7"/>
                <w:sz w:val="20"/>
              </w:rPr>
              <w:t xml:space="preserve"> </w:t>
            </w:r>
            <w:r>
              <w:rPr>
                <w:sz w:val="20"/>
              </w:rPr>
              <w:t>on</w:t>
            </w:r>
            <w:r>
              <w:rPr>
                <w:spacing w:val="-7"/>
                <w:sz w:val="20"/>
              </w:rPr>
              <w:t xml:space="preserve"> </w:t>
            </w:r>
            <w:r>
              <w:rPr>
                <w:sz w:val="20"/>
              </w:rPr>
              <w:t>boiler</w:t>
            </w:r>
            <w:r>
              <w:rPr>
                <w:spacing w:val="-6"/>
                <w:sz w:val="20"/>
              </w:rPr>
              <w:t xml:space="preserve"> </w:t>
            </w:r>
            <w:r>
              <w:rPr>
                <w:sz w:val="20"/>
              </w:rPr>
              <w:t>equipment, storage tanks, and other process piping.</w:t>
            </w:r>
          </w:p>
        </w:tc>
      </w:tr>
      <w:tr w:rsidR="00C31389" w14:paraId="21E62F88" w14:textId="77777777">
        <w:trPr>
          <w:trHeight w:val="850"/>
        </w:trPr>
        <w:tc>
          <w:tcPr>
            <w:tcW w:w="2402" w:type="dxa"/>
            <w:tcBorders>
              <w:top w:val="single" w:color="D9D9D9" w:sz="2" w:space="0"/>
              <w:bottom w:val="single" w:color="D9D9D9" w:sz="2" w:space="0"/>
            </w:tcBorders>
          </w:tcPr>
          <w:p w:rsidR="00C31389" w:rsidRDefault="00C31389" w14:paraId="6F4888E2" w14:textId="77777777">
            <w:pPr>
              <w:pStyle w:val="TableParagraph"/>
              <w:spacing w:before="11"/>
              <w:rPr>
                <w:b/>
                <w:sz w:val="26"/>
              </w:rPr>
            </w:pPr>
          </w:p>
          <w:p w:rsidR="00C31389" w:rsidRDefault="00561FBD" w14:paraId="4CB83632" w14:textId="77777777">
            <w:pPr>
              <w:pStyle w:val="TableParagraph"/>
              <w:spacing w:before="0"/>
              <w:ind w:left="129"/>
              <w:rPr>
                <w:sz w:val="20"/>
              </w:rPr>
            </w:pPr>
            <w:r>
              <w:rPr>
                <w:spacing w:val="-2"/>
                <w:sz w:val="20"/>
              </w:rPr>
              <w:t>Chiller</w:t>
            </w:r>
          </w:p>
        </w:tc>
        <w:tc>
          <w:tcPr>
            <w:tcW w:w="1792" w:type="dxa"/>
            <w:tcBorders>
              <w:top w:val="single" w:color="D9D9D9" w:sz="2" w:space="0"/>
              <w:bottom w:val="single" w:color="D9D9D9" w:sz="2" w:space="0"/>
            </w:tcBorders>
          </w:tcPr>
          <w:p w:rsidR="00C31389" w:rsidRDefault="00561FBD" w14:paraId="5203EBD0" w14:textId="77777777">
            <w:pPr>
              <w:pStyle w:val="TableParagraph"/>
              <w:spacing w:before="195"/>
              <w:ind w:left="157" w:right="3"/>
              <w:rPr>
                <w:sz w:val="20"/>
              </w:rPr>
            </w:pPr>
            <w:r>
              <w:rPr>
                <w:spacing w:val="-2"/>
                <w:sz w:val="20"/>
              </w:rPr>
              <w:t xml:space="preserve">Process </w:t>
            </w:r>
            <w:r>
              <w:rPr>
                <w:spacing w:val="-2"/>
                <w:sz w:val="20"/>
              </w:rPr>
              <w:t>Refrigeration</w:t>
            </w:r>
          </w:p>
        </w:tc>
        <w:tc>
          <w:tcPr>
            <w:tcW w:w="5181" w:type="dxa"/>
            <w:tcBorders>
              <w:top w:val="single" w:color="D9D9D9" w:sz="2" w:space="0"/>
              <w:bottom w:val="single" w:color="D9D9D9" w:sz="2" w:space="0"/>
            </w:tcBorders>
          </w:tcPr>
          <w:p w:rsidR="00C31389" w:rsidRDefault="00561FBD" w14:paraId="7B7A679F" w14:textId="77777777">
            <w:pPr>
              <w:pStyle w:val="TableParagraph"/>
              <w:spacing w:before="80"/>
              <w:ind w:left="165"/>
              <w:rPr>
                <w:sz w:val="20"/>
              </w:rPr>
            </w:pPr>
            <w:r>
              <w:rPr>
                <w:sz w:val="20"/>
              </w:rPr>
              <w:t>Chiller</w:t>
            </w:r>
            <w:r>
              <w:rPr>
                <w:spacing w:val="-7"/>
                <w:sz w:val="20"/>
              </w:rPr>
              <w:t xml:space="preserve"> </w:t>
            </w:r>
            <w:r>
              <w:rPr>
                <w:sz w:val="20"/>
              </w:rPr>
              <w:t>upgrades</w:t>
            </w:r>
            <w:r>
              <w:rPr>
                <w:spacing w:val="-7"/>
                <w:sz w:val="20"/>
              </w:rPr>
              <w:t xml:space="preserve"> </w:t>
            </w:r>
            <w:r>
              <w:rPr>
                <w:sz w:val="20"/>
              </w:rPr>
              <w:t>including</w:t>
            </w:r>
            <w:r>
              <w:rPr>
                <w:spacing w:val="-9"/>
                <w:sz w:val="20"/>
              </w:rPr>
              <w:t xml:space="preserve"> </w:t>
            </w:r>
            <w:r>
              <w:rPr>
                <w:sz w:val="20"/>
              </w:rPr>
              <w:t>advanced</w:t>
            </w:r>
            <w:r>
              <w:rPr>
                <w:spacing w:val="-9"/>
                <w:sz w:val="20"/>
              </w:rPr>
              <w:t xml:space="preserve"> </w:t>
            </w:r>
            <w:r>
              <w:rPr>
                <w:sz w:val="20"/>
              </w:rPr>
              <w:t>controls,</w:t>
            </w:r>
            <w:r>
              <w:rPr>
                <w:spacing w:val="-8"/>
                <w:sz w:val="20"/>
              </w:rPr>
              <w:t xml:space="preserve"> </w:t>
            </w:r>
            <w:r>
              <w:rPr>
                <w:sz w:val="20"/>
              </w:rPr>
              <w:t xml:space="preserve">higher efficiency equipment, and overall system efficiency </w:t>
            </w:r>
            <w:r>
              <w:rPr>
                <w:spacing w:val="-2"/>
                <w:sz w:val="20"/>
              </w:rPr>
              <w:t>improvements.</w:t>
            </w:r>
          </w:p>
        </w:tc>
      </w:tr>
      <w:tr w:rsidR="00C31389" w14:paraId="1CFAAFD2" w14:textId="77777777">
        <w:trPr>
          <w:trHeight w:val="849"/>
        </w:trPr>
        <w:tc>
          <w:tcPr>
            <w:tcW w:w="2402" w:type="dxa"/>
            <w:tcBorders>
              <w:top w:val="single" w:color="D9D9D9" w:sz="2" w:space="0"/>
              <w:bottom w:val="single" w:color="D9D9D9" w:sz="2" w:space="0"/>
            </w:tcBorders>
          </w:tcPr>
          <w:p w:rsidR="00C31389" w:rsidRDefault="00C31389" w14:paraId="16BA361F" w14:textId="77777777">
            <w:pPr>
              <w:pStyle w:val="TableParagraph"/>
              <w:spacing w:before="10"/>
              <w:rPr>
                <w:b/>
                <w:sz w:val="26"/>
              </w:rPr>
            </w:pPr>
          </w:p>
          <w:p w:rsidR="00C31389" w:rsidRDefault="00561FBD" w14:paraId="00BB0235" w14:textId="77777777">
            <w:pPr>
              <w:pStyle w:val="TableParagraph"/>
              <w:spacing w:before="0"/>
              <w:ind w:left="129"/>
              <w:rPr>
                <w:sz w:val="20"/>
              </w:rPr>
            </w:pPr>
            <w:r>
              <w:rPr>
                <w:spacing w:val="-2"/>
                <w:sz w:val="20"/>
              </w:rPr>
              <w:t>Refrigeration</w:t>
            </w:r>
          </w:p>
        </w:tc>
        <w:tc>
          <w:tcPr>
            <w:tcW w:w="1792" w:type="dxa"/>
            <w:tcBorders>
              <w:top w:val="single" w:color="D9D9D9" w:sz="2" w:space="0"/>
              <w:bottom w:val="single" w:color="D9D9D9" w:sz="2" w:space="0"/>
            </w:tcBorders>
          </w:tcPr>
          <w:p w:rsidR="00C31389" w:rsidRDefault="00561FBD" w14:paraId="21504E8C" w14:textId="77777777">
            <w:pPr>
              <w:pStyle w:val="TableParagraph"/>
              <w:spacing w:before="195"/>
              <w:ind w:left="157" w:right="3"/>
              <w:rPr>
                <w:sz w:val="20"/>
              </w:rPr>
            </w:pPr>
            <w:r>
              <w:rPr>
                <w:spacing w:val="-2"/>
                <w:sz w:val="20"/>
              </w:rPr>
              <w:t>Process Refrigeration</w:t>
            </w:r>
          </w:p>
        </w:tc>
        <w:tc>
          <w:tcPr>
            <w:tcW w:w="5181" w:type="dxa"/>
            <w:tcBorders>
              <w:top w:val="single" w:color="D9D9D9" w:sz="2" w:space="0"/>
              <w:bottom w:val="single" w:color="D9D9D9" w:sz="2" w:space="0"/>
            </w:tcBorders>
          </w:tcPr>
          <w:p w:rsidR="00C31389" w:rsidRDefault="00561FBD" w14:paraId="20E2198B" w14:textId="77777777">
            <w:pPr>
              <w:pStyle w:val="TableParagraph"/>
              <w:spacing w:before="80"/>
              <w:ind w:left="165"/>
              <w:rPr>
                <w:sz w:val="20"/>
              </w:rPr>
            </w:pPr>
            <w:r>
              <w:rPr>
                <w:sz w:val="20"/>
              </w:rPr>
              <w:t>Advanced</w:t>
            </w:r>
            <w:r>
              <w:rPr>
                <w:spacing w:val="-8"/>
                <w:sz w:val="20"/>
              </w:rPr>
              <w:t xml:space="preserve"> </w:t>
            </w:r>
            <w:r>
              <w:rPr>
                <w:sz w:val="20"/>
              </w:rPr>
              <w:t>controls</w:t>
            </w:r>
            <w:r>
              <w:rPr>
                <w:spacing w:val="-7"/>
                <w:sz w:val="20"/>
              </w:rPr>
              <w:t xml:space="preserve"> </w:t>
            </w:r>
            <w:r>
              <w:rPr>
                <w:sz w:val="20"/>
              </w:rPr>
              <w:t>on</w:t>
            </w:r>
            <w:r>
              <w:rPr>
                <w:spacing w:val="-8"/>
                <w:sz w:val="20"/>
              </w:rPr>
              <w:t xml:space="preserve"> </w:t>
            </w:r>
            <w:r>
              <w:rPr>
                <w:sz w:val="20"/>
              </w:rPr>
              <w:t>refrigeration</w:t>
            </w:r>
            <w:r>
              <w:rPr>
                <w:spacing w:val="-8"/>
                <w:sz w:val="20"/>
              </w:rPr>
              <w:t xml:space="preserve"> </w:t>
            </w:r>
            <w:r>
              <w:rPr>
                <w:sz w:val="20"/>
              </w:rPr>
              <w:t>systems</w:t>
            </w:r>
            <w:r>
              <w:rPr>
                <w:spacing w:val="-7"/>
                <w:sz w:val="20"/>
              </w:rPr>
              <w:t xml:space="preserve"> </w:t>
            </w:r>
            <w:r>
              <w:rPr>
                <w:sz w:val="20"/>
              </w:rPr>
              <w:t>including floating head controls, evaporat</w:t>
            </w:r>
            <w:r>
              <w:rPr>
                <w:sz w:val="20"/>
              </w:rPr>
              <w:t>or fan controls, and condenser controls.</w:t>
            </w:r>
          </w:p>
        </w:tc>
      </w:tr>
      <w:tr w:rsidR="00C31389" w14:paraId="3735A00F" w14:textId="77777777">
        <w:trPr>
          <w:trHeight w:val="1999"/>
        </w:trPr>
        <w:tc>
          <w:tcPr>
            <w:tcW w:w="2402" w:type="dxa"/>
            <w:tcBorders>
              <w:top w:val="single" w:color="D9D9D9" w:sz="2" w:space="0"/>
              <w:bottom w:val="single" w:color="000000" w:sz="8" w:space="0"/>
            </w:tcBorders>
          </w:tcPr>
          <w:p w:rsidR="00C31389" w:rsidRDefault="00C31389" w14:paraId="5837BD9A" w14:textId="77777777">
            <w:pPr>
              <w:pStyle w:val="TableParagraph"/>
              <w:spacing w:before="0"/>
              <w:rPr>
                <w:b/>
              </w:rPr>
            </w:pPr>
          </w:p>
          <w:p w:rsidR="00C31389" w:rsidRDefault="00C31389" w14:paraId="6D71A8E1" w14:textId="77777777">
            <w:pPr>
              <w:pStyle w:val="TableParagraph"/>
              <w:spacing w:before="0"/>
              <w:rPr>
                <w:b/>
              </w:rPr>
            </w:pPr>
          </w:p>
          <w:p w:rsidR="00C31389" w:rsidRDefault="00C31389" w14:paraId="3C689F7F" w14:textId="77777777">
            <w:pPr>
              <w:pStyle w:val="TableParagraph"/>
              <w:spacing w:before="10"/>
              <w:rPr>
                <w:b/>
              </w:rPr>
            </w:pPr>
          </w:p>
          <w:p w:rsidR="00C31389" w:rsidRDefault="00561FBD" w14:paraId="14BBAA60" w14:textId="77777777">
            <w:pPr>
              <w:pStyle w:val="TableParagraph"/>
              <w:spacing w:before="1"/>
              <w:ind w:left="129"/>
              <w:rPr>
                <w:sz w:val="20"/>
              </w:rPr>
            </w:pPr>
            <w:r>
              <w:rPr>
                <w:sz w:val="20"/>
              </w:rPr>
              <w:t>Food</w:t>
            </w:r>
            <w:r>
              <w:rPr>
                <w:spacing w:val="-14"/>
                <w:sz w:val="20"/>
              </w:rPr>
              <w:t xml:space="preserve"> </w:t>
            </w:r>
            <w:r>
              <w:rPr>
                <w:sz w:val="20"/>
              </w:rPr>
              <w:t>Processing</w:t>
            </w:r>
            <w:r>
              <w:rPr>
                <w:spacing w:val="-14"/>
                <w:sz w:val="20"/>
              </w:rPr>
              <w:t xml:space="preserve"> </w:t>
            </w:r>
            <w:r>
              <w:rPr>
                <w:sz w:val="20"/>
              </w:rPr>
              <w:t xml:space="preserve">Heat </w:t>
            </w:r>
            <w:r>
              <w:rPr>
                <w:spacing w:val="-2"/>
                <w:sz w:val="20"/>
              </w:rPr>
              <w:t>Recovery</w:t>
            </w:r>
          </w:p>
        </w:tc>
        <w:tc>
          <w:tcPr>
            <w:tcW w:w="1792" w:type="dxa"/>
            <w:tcBorders>
              <w:top w:val="single" w:color="D9D9D9" w:sz="2" w:space="0"/>
              <w:bottom w:val="single" w:color="000000" w:sz="8" w:space="0"/>
            </w:tcBorders>
          </w:tcPr>
          <w:p w:rsidR="00C31389" w:rsidRDefault="00C31389" w14:paraId="7E83D32D" w14:textId="77777777">
            <w:pPr>
              <w:pStyle w:val="TableParagraph"/>
              <w:spacing w:before="0"/>
              <w:rPr>
                <w:b/>
              </w:rPr>
            </w:pPr>
          </w:p>
          <w:p w:rsidR="00C31389" w:rsidRDefault="00C31389" w14:paraId="22496F4B" w14:textId="77777777">
            <w:pPr>
              <w:pStyle w:val="TableParagraph"/>
              <w:spacing w:before="0"/>
              <w:rPr>
                <w:b/>
              </w:rPr>
            </w:pPr>
          </w:p>
          <w:p w:rsidR="00C31389" w:rsidRDefault="00C31389" w14:paraId="763F5327" w14:textId="77777777">
            <w:pPr>
              <w:pStyle w:val="TableParagraph"/>
              <w:spacing w:before="11"/>
              <w:rPr>
                <w:b/>
                <w:sz w:val="32"/>
              </w:rPr>
            </w:pPr>
          </w:p>
          <w:p w:rsidR="00C31389" w:rsidRDefault="00561FBD" w14:paraId="7666073C" w14:textId="77777777">
            <w:pPr>
              <w:pStyle w:val="TableParagraph"/>
              <w:spacing w:before="0"/>
              <w:ind w:left="157"/>
              <w:rPr>
                <w:sz w:val="20"/>
              </w:rPr>
            </w:pPr>
            <w:r>
              <w:rPr>
                <w:sz w:val="20"/>
              </w:rPr>
              <w:t>Process</w:t>
            </w:r>
            <w:r>
              <w:rPr>
                <w:spacing w:val="-5"/>
                <w:sz w:val="20"/>
              </w:rPr>
              <w:t xml:space="preserve"> </w:t>
            </w:r>
            <w:r>
              <w:rPr>
                <w:spacing w:val="-2"/>
                <w:sz w:val="20"/>
              </w:rPr>
              <w:t>Heating</w:t>
            </w:r>
          </w:p>
        </w:tc>
        <w:tc>
          <w:tcPr>
            <w:tcW w:w="5181" w:type="dxa"/>
            <w:tcBorders>
              <w:top w:val="single" w:color="D9D9D9" w:sz="2" w:space="0"/>
              <w:bottom w:val="single" w:color="000000" w:sz="8" w:space="0"/>
            </w:tcBorders>
          </w:tcPr>
          <w:p w:rsidR="00C31389" w:rsidRDefault="00561FBD" w14:paraId="4330839B" w14:textId="77777777">
            <w:pPr>
              <w:pStyle w:val="TableParagraph"/>
              <w:spacing w:before="80"/>
              <w:ind w:left="165" w:right="142"/>
              <w:rPr>
                <w:sz w:val="20"/>
              </w:rPr>
            </w:pPr>
            <w:r>
              <w:rPr>
                <w:sz w:val="20"/>
              </w:rPr>
              <w:t xml:space="preserve">Includes low cost boiler EE improvements such as measuring boiler system performance based on condensate return, improving insulation of the boiler system and </w:t>
            </w:r>
            <w:r>
              <w:rPr>
                <w:sz w:val="20"/>
              </w:rPr>
              <w:t>loops, boiler controls, and boiler system tune-ups. The measure also includes opportunities for heat recovery via heat exchangers from process heat (e.g.,</w:t>
            </w:r>
            <w:r>
              <w:rPr>
                <w:spacing w:val="-6"/>
                <w:sz w:val="20"/>
              </w:rPr>
              <w:t xml:space="preserve"> </w:t>
            </w:r>
            <w:r>
              <w:rPr>
                <w:sz w:val="20"/>
              </w:rPr>
              <w:t>used</w:t>
            </w:r>
            <w:r>
              <w:rPr>
                <w:spacing w:val="-6"/>
                <w:sz w:val="20"/>
              </w:rPr>
              <w:t xml:space="preserve"> </w:t>
            </w:r>
            <w:r>
              <w:rPr>
                <w:sz w:val="20"/>
              </w:rPr>
              <w:t>in</w:t>
            </w:r>
            <w:r>
              <w:rPr>
                <w:spacing w:val="-6"/>
                <w:sz w:val="20"/>
              </w:rPr>
              <w:t xml:space="preserve"> </w:t>
            </w:r>
            <w:r>
              <w:rPr>
                <w:sz w:val="20"/>
              </w:rPr>
              <w:t>canning</w:t>
            </w:r>
            <w:r>
              <w:rPr>
                <w:spacing w:val="-6"/>
                <w:sz w:val="20"/>
              </w:rPr>
              <w:t xml:space="preserve"> </w:t>
            </w:r>
            <w:r>
              <w:rPr>
                <w:sz w:val="20"/>
              </w:rPr>
              <w:t>tomatoes),</w:t>
            </w:r>
            <w:r>
              <w:rPr>
                <w:spacing w:val="-8"/>
                <w:sz w:val="20"/>
              </w:rPr>
              <w:t xml:space="preserve"> </w:t>
            </w:r>
            <w:r>
              <w:rPr>
                <w:sz w:val="20"/>
              </w:rPr>
              <w:t>compressors,</w:t>
            </w:r>
            <w:r>
              <w:rPr>
                <w:spacing w:val="-6"/>
                <w:sz w:val="20"/>
              </w:rPr>
              <w:t xml:space="preserve"> </w:t>
            </w:r>
            <w:r>
              <w:rPr>
                <w:sz w:val="20"/>
              </w:rPr>
              <w:t>boilers, and hot water systems.</w:t>
            </w:r>
          </w:p>
        </w:tc>
      </w:tr>
    </w:tbl>
    <w:p w:rsidR="00C31389" w:rsidRDefault="00C31389" w14:paraId="1F4A359E" w14:textId="77777777">
      <w:pPr>
        <w:rPr>
          <w:sz w:val="20"/>
        </w:rPr>
        <w:sectPr w:rsidR="00C31389">
          <w:headerReference w:type="default" r:id="rId300"/>
          <w:footerReference w:type="default" r:id="rId301"/>
          <w:pgSz w:w="11910" w:h="16840"/>
          <w:pgMar w:top="1380" w:right="1020" w:bottom="1120" w:left="960" w:header="397" w:footer="938" w:gutter="0"/>
          <w:cols w:space="720"/>
        </w:sectPr>
      </w:pPr>
    </w:p>
    <w:p w:rsidR="00C31389" w:rsidRDefault="00C31389" w14:paraId="7CF7C3E3" w14:textId="77777777">
      <w:pPr>
        <w:pStyle w:val="BodyText"/>
        <w:rPr>
          <w:b/>
        </w:rPr>
      </w:pPr>
    </w:p>
    <w:tbl>
      <w:tblPr>
        <w:tblW w:w="0" w:type="auto"/>
        <w:tblInd w:w="306" w:type="dxa"/>
        <w:tblLayout w:type="fixed"/>
        <w:tblCellMar>
          <w:left w:w="0" w:type="dxa"/>
          <w:right w:w="0" w:type="dxa"/>
        </w:tblCellMar>
        <w:tblLook w:val="01E0" w:firstRow="1" w:lastRow="1" w:firstColumn="1" w:lastColumn="1" w:noHBand="0" w:noVBand="0"/>
      </w:tblPr>
      <w:tblGrid>
        <w:gridCol w:w="2401"/>
        <w:gridCol w:w="1792"/>
        <w:gridCol w:w="5181"/>
      </w:tblGrid>
      <w:tr w:rsidR="00C31389" w14:paraId="35DE883F" w14:textId="77777777">
        <w:trPr>
          <w:trHeight w:val="252"/>
        </w:trPr>
        <w:tc>
          <w:tcPr>
            <w:tcW w:w="2401" w:type="dxa"/>
            <w:tcBorders>
              <w:top w:val="single" w:color="8B8B8B" w:sz="8" w:space="0"/>
            </w:tcBorders>
          </w:tcPr>
          <w:p w:rsidR="00C31389" w:rsidRDefault="00C31389" w14:paraId="4822E555" w14:textId="77777777">
            <w:pPr>
              <w:pStyle w:val="TableParagraph"/>
              <w:spacing w:before="0"/>
              <w:rPr>
                <w:rFonts w:ascii="Times New Roman"/>
                <w:sz w:val="18"/>
              </w:rPr>
            </w:pPr>
          </w:p>
        </w:tc>
        <w:tc>
          <w:tcPr>
            <w:tcW w:w="1792" w:type="dxa"/>
            <w:tcBorders>
              <w:top w:val="single" w:color="8B8B8B" w:sz="8" w:space="0"/>
            </w:tcBorders>
          </w:tcPr>
          <w:p w:rsidR="00C31389" w:rsidRDefault="00C31389" w14:paraId="7DC4D01B" w14:textId="77777777">
            <w:pPr>
              <w:pStyle w:val="TableParagraph"/>
              <w:spacing w:before="0"/>
              <w:rPr>
                <w:rFonts w:ascii="Times New Roman"/>
                <w:sz w:val="18"/>
              </w:rPr>
            </w:pPr>
          </w:p>
        </w:tc>
        <w:tc>
          <w:tcPr>
            <w:tcW w:w="5181" w:type="dxa"/>
            <w:tcBorders>
              <w:top w:val="single" w:color="8B8B8B" w:sz="8" w:space="0"/>
            </w:tcBorders>
          </w:tcPr>
          <w:p w:rsidR="00C31389" w:rsidRDefault="00C31389" w14:paraId="0270A109" w14:textId="77777777">
            <w:pPr>
              <w:pStyle w:val="TableParagraph"/>
              <w:spacing w:before="0"/>
              <w:rPr>
                <w:rFonts w:ascii="Times New Roman"/>
                <w:sz w:val="18"/>
              </w:rPr>
            </w:pPr>
          </w:p>
        </w:tc>
      </w:tr>
      <w:tr w:rsidR="00C31389" w14:paraId="5DAEC5AF" w14:textId="77777777">
        <w:trPr>
          <w:trHeight w:val="611"/>
        </w:trPr>
        <w:tc>
          <w:tcPr>
            <w:tcW w:w="2401" w:type="dxa"/>
            <w:shd w:val="clear" w:color="auto" w:fill="92D400"/>
          </w:tcPr>
          <w:p w:rsidR="00C31389" w:rsidRDefault="00561FBD" w14:paraId="351DB8A6" w14:textId="77777777">
            <w:pPr>
              <w:pStyle w:val="TableParagraph"/>
              <w:spacing w:before="187"/>
              <w:ind w:left="129"/>
              <w:rPr>
                <w:b/>
                <w:sz w:val="20"/>
              </w:rPr>
            </w:pPr>
            <w:r>
              <w:rPr>
                <w:b/>
                <w:sz w:val="20"/>
              </w:rPr>
              <w:t>Measure</w:t>
            </w:r>
            <w:r>
              <w:rPr>
                <w:b/>
                <w:spacing w:val="-7"/>
                <w:sz w:val="20"/>
              </w:rPr>
              <w:t xml:space="preserve"> </w:t>
            </w:r>
            <w:r>
              <w:rPr>
                <w:b/>
                <w:spacing w:val="-4"/>
                <w:sz w:val="20"/>
              </w:rPr>
              <w:t>Name</w:t>
            </w:r>
          </w:p>
        </w:tc>
        <w:tc>
          <w:tcPr>
            <w:tcW w:w="1792" w:type="dxa"/>
            <w:shd w:val="clear" w:color="auto" w:fill="92D400"/>
          </w:tcPr>
          <w:p w:rsidR="00C31389" w:rsidRDefault="00561FBD" w14:paraId="50418807" w14:textId="77777777">
            <w:pPr>
              <w:pStyle w:val="TableParagraph"/>
              <w:spacing w:before="71"/>
              <w:ind w:left="158" w:right="3"/>
              <w:rPr>
                <w:b/>
                <w:sz w:val="20"/>
              </w:rPr>
            </w:pPr>
            <w:r>
              <w:rPr>
                <w:b/>
                <w:sz w:val="20"/>
              </w:rPr>
              <w:t xml:space="preserve">End Use </w:t>
            </w:r>
            <w:r>
              <w:rPr>
                <w:b/>
                <w:spacing w:val="-2"/>
                <w:sz w:val="20"/>
              </w:rPr>
              <w:t>Category</w:t>
            </w:r>
          </w:p>
        </w:tc>
        <w:tc>
          <w:tcPr>
            <w:tcW w:w="5181" w:type="dxa"/>
            <w:shd w:val="clear" w:color="auto" w:fill="92D400"/>
          </w:tcPr>
          <w:p w:rsidR="00C31389" w:rsidRDefault="00561FBD" w14:paraId="7D0C5892" w14:textId="77777777">
            <w:pPr>
              <w:pStyle w:val="TableParagraph"/>
              <w:spacing w:before="187"/>
              <w:ind w:left="166"/>
              <w:rPr>
                <w:b/>
                <w:sz w:val="20"/>
              </w:rPr>
            </w:pPr>
            <w:r>
              <w:rPr>
                <w:b/>
                <w:spacing w:val="-2"/>
                <w:sz w:val="20"/>
              </w:rPr>
              <w:t>Description</w:t>
            </w:r>
          </w:p>
        </w:tc>
      </w:tr>
      <w:tr w:rsidR="00C31389" w14:paraId="2844C508" w14:textId="77777777">
        <w:trPr>
          <w:trHeight w:val="1766"/>
        </w:trPr>
        <w:tc>
          <w:tcPr>
            <w:tcW w:w="2401" w:type="dxa"/>
            <w:tcBorders>
              <w:bottom w:val="single" w:color="D9D9D9" w:sz="2" w:space="0"/>
            </w:tcBorders>
          </w:tcPr>
          <w:p w:rsidR="00C31389" w:rsidRDefault="00C31389" w14:paraId="14E2B31A" w14:textId="77777777">
            <w:pPr>
              <w:pStyle w:val="TableParagraph"/>
              <w:spacing w:before="0"/>
              <w:rPr>
                <w:b/>
              </w:rPr>
            </w:pPr>
          </w:p>
          <w:p w:rsidR="00C31389" w:rsidRDefault="00C31389" w14:paraId="57FDAED5" w14:textId="77777777">
            <w:pPr>
              <w:pStyle w:val="TableParagraph"/>
              <w:spacing w:before="7"/>
              <w:rPr>
                <w:b/>
                <w:sz w:val="24"/>
              </w:rPr>
            </w:pPr>
          </w:p>
          <w:p w:rsidR="00C31389" w:rsidRDefault="00561FBD" w14:paraId="3A28F8AC" w14:textId="77777777">
            <w:pPr>
              <w:pStyle w:val="TableParagraph"/>
              <w:spacing w:before="0"/>
              <w:ind w:left="129" w:right="765"/>
              <w:rPr>
                <w:sz w:val="20"/>
              </w:rPr>
            </w:pPr>
            <w:r>
              <w:rPr>
                <w:sz w:val="20"/>
              </w:rPr>
              <w:t>Food</w:t>
            </w:r>
            <w:r>
              <w:rPr>
                <w:spacing w:val="-14"/>
                <w:sz w:val="20"/>
              </w:rPr>
              <w:t xml:space="preserve"> </w:t>
            </w:r>
            <w:r>
              <w:rPr>
                <w:sz w:val="20"/>
              </w:rPr>
              <w:t xml:space="preserve">Processing </w:t>
            </w:r>
            <w:r>
              <w:rPr>
                <w:spacing w:val="-2"/>
                <w:sz w:val="20"/>
              </w:rPr>
              <w:t>Refrigeration Optimization</w:t>
            </w:r>
          </w:p>
        </w:tc>
        <w:tc>
          <w:tcPr>
            <w:tcW w:w="1792" w:type="dxa"/>
            <w:tcBorders>
              <w:bottom w:val="single" w:color="D9D9D9" w:sz="2" w:space="0"/>
            </w:tcBorders>
          </w:tcPr>
          <w:p w:rsidR="00C31389" w:rsidRDefault="00C31389" w14:paraId="50D8A969" w14:textId="77777777">
            <w:pPr>
              <w:pStyle w:val="TableParagraph"/>
              <w:spacing w:before="0"/>
              <w:rPr>
                <w:b/>
              </w:rPr>
            </w:pPr>
          </w:p>
          <w:p w:rsidR="00C31389" w:rsidRDefault="00C31389" w14:paraId="22E81390" w14:textId="77777777">
            <w:pPr>
              <w:pStyle w:val="TableParagraph"/>
              <w:spacing w:before="0"/>
              <w:rPr>
                <w:b/>
              </w:rPr>
            </w:pPr>
          </w:p>
          <w:p w:rsidR="00C31389" w:rsidRDefault="00561FBD" w14:paraId="3C433CCD" w14:textId="77777777">
            <w:pPr>
              <w:pStyle w:val="TableParagraph"/>
              <w:spacing w:before="145"/>
              <w:ind w:left="158" w:right="3"/>
              <w:rPr>
                <w:sz w:val="20"/>
              </w:rPr>
            </w:pPr>
            <w:r>
              <w:rPr>
                <w:spacing w:val="-2"/>
                <w:sz w:val="20"/>
              </w:rPr>
              <w:t>Process Refrigeration</w:t>
            </w:r>
          </w:p>
        </w:tc>
        <w:tc>
          <w:tcPr>
            <w:tcW w:w="5181" w:type="dxa"/>
            <w:tcBorders>
              <w:bottom w:val="single" w:color="D9D9D9" w:sz="2" w:space="0"/>
            </w:tcBorders>
          </w:tcPr>
          <w:p w:rsidR="00C31389" w:rsidRDefault="00561FBD" w14:paraId="7A8054DE" w14:textId="77777777">
            <w:pPr>
              <w:pStyle w:val="TableParagraph"/>
              <w:spacing w:before="76"/>
              <w:ind w:left="166" w:right="163"/>
              <w:rPr>
                <w:sz w:val="20"/>
              </w:rPr>
            </w:pPr>
            <w:r>
              <w:rPr>
                <w:sz w:val="20"/>
              </w:rPr>
              <w:t>Includes</w:t>
            </w:r>
            <w:r>
              <w:rPr>
                <w:spacing w:val="-4"/>
                <w:sz w:val="20"/>
              </w:rPr>
              <w:t xml:space="preserve"> </w:t>
            </w:r>
            <w:r>
              <w:rPr>
                <w:sz w:val="20"/>
              </w:rPr>
              <w:t>a</w:t>
            </w:r>
            <w:r>
              <w:rPr>
                <w:spacing w:val="-6"/>
                <w:sz w:val="20"/>
              </w:rPr>
              <w:t xml:space="preserve"> </w:t>
            </w:r>
            <w:r>
              <w:rPr>
                <w:sz w:val="20"/>
              </w:rPr>
              <w:t>variety</w:t>
            </w:r>
            <w:r>
              <w:rPr>
                <w:spacing w:val="-4"/>
                <w:sz w:val="20"/>
              </w:rPr>
              <w:t xml:space="preserve"> </w:t>
            </w:r>
            <w:r>
              <w:rPr>
                <w:sz w:val="20"/>
              </w:rPr>
              <w:t>of</w:t>
            </w:r>
            <w:r>
              <w:rPr>
                <w:spacing w:val="-5"/>
                <w:sz w:val="20"/>
              </w:rPr>
              <w:t xml:space="preserve"> </w:t>
            </w:r>
            <w:r>
              <w:rPr>
                <w:sz w:val="20"/>
              </w:rPr>
              <w:t>smaller</w:t>
            </w:r>
            <w:r>
              <w:rPr>
                <w:spacing w:val="-4"/>
                <w:sz w:val="20"/>
              </w:rPr>
              <w:t xml:space="preserve"> </w:t>
            </w:r>
            <w:r>
              <w:rPr>
                <w:sz w:val="20"/>
              </w:rPr>
              <w:t>measures</w:t>
            </w:r>
            <w:r>
              <w:rPr>
                <w:spacing w:val="-4"/>
                <w:sz w:val="20"/>
              </w:rPr>
              <w:t xml:space="preserve"> </w:t>
            </w:r>
            <w:r>
              <w:rPr>
                <w:sz w:val="20"/>
              </w:rPr>
              <w:t>to</w:t>
            </w:r>
            <w:r>
              <w:rPr>
                <w:spacing w:val="-5"/>
                <w:sz w:val="20"/>
              </w:rPr>
              <w:t xml:space="preserve"> </w:t>
            </w:r>
            <w:r>
              <w:rPr>
                <w:sz w:val="20"/>
              </w:rPr>
              <w:t>improve</w:t>
            </w:r>
            <w:r>
              <w:rPr>
                <w:spacing w:val="-5"/>
                <w:sz w:val="20"/>
              </w:rPr>
              <w:t xml:space="preserve"> </w:t>
            </w:r>
            <w:r>
              <w:rPr>
                <w:sz w:val="20"/>
              </w:rPr>
              <w:t>the EE of refrigeration systems, mostly through controls. These include head pressure adjustments, suction pressure adjustments, sequencing of refrigeration compressors, temperature adjustments, improving insulation, adding VFDs</w:t>
            </w:r>
            <w:r>
              <w:rPr>
                <w:sz w:val="20"/>
              </w:rPr>
              <w:t xml:space="preserve"> to compressors, and the installation of new more EE compressors.</w:t>
            </w:r>
          </w:p>
        </w:tc>
      </w:tr>
      <w:tr w:rsidR="00C31389" w14:paraId="213A5F01" w14:textId="77777777">
        <w:trPr>
          <w:trHeight w:val="1769"/>
        </w:trPr>
        <w:tc>
          <w:tcPr>
            <w:tcW w:w="2401" w:type="dxa"/>
            <w:tcBorders>
              <w:top w:val="single" w:color="D9D9D9" w:sz="2" w:space="0"/>
              <w:bottom w:val="single" w:color="D9D9D9" w:sz="2" w:space="0"/>
            </w:tcBorders>
          </w:tcPr>
          <w:p w:rsidR="00C31389" w:rsidRDefault="00C31389" w14:paraId="71478B76" w14:textId="77777777">
            <w:pPr>
              <w:pStyle w:val="TableParagraph"/>
              <w:spacing w:before="0"/>
              <w:rPr>
                <w:b/>
              </w:rPr>
            </w:pPr>
          </w:p>
          <w:p w:rsidR="00C31389" w:rsidRDefault="00C31389" w14:paraId="60BE199D" w14:textId="77777777">
            <w:pPr>
              <w:pStyle w:val="TableParagraph"/>
              <w:spacing w:before="0"/>
              <w:rPr>
                <w:b/>
              </w:rPr>
            </w:pPr>
          </w:p>
          <w:p w:rsidR="00C31389" w:rsidRDefault="00C31389" w14:paraId="77E97DAA" w14:textId="77777777">
            <w:pPr>
              <w:pStyle w:val="TableParagraph"/>
              <w:spacing w:before="10"/>
              <w:rPr>
                <w:b/>
              </w:rPr>
            </w:pPr>
          </w:p>
          <w:p w:rsidR="00C31389" w:rsidRDefault="00561FBD" w14:paraId="5386D699" w14:textId="77777777">
            <w:pPr>
              <w:pStyle w:val="TableParagraph"/>
              <w:spacing w:before="1"/>
              <w:ind w:left="129"/>
              <w:rPr>
                <w:sz w:val="20"/>
              </w:rPr>
            </w:pPr>
            <w:r>
              <w:rPr>
                <w:sz w:val="20"/>
              </w:rPr>
              <w:t>Food</w:t>
            </w:r>
            <w:r>
              <w:rPr>
                <w:spacing w:val="-7"/>
                <w:sz w:val="20"/>
              </w:rPr>
              <w:t xml:space="preserve"> </w:t>
            </w:r>
            <w:r>
              <w:rPr>
                <w:sz w:val="20"/>
              </w:rPr>
              <w:t>Processing</w:t>
            </w:r>
            <w:r>
              <w:rPr>
                <w:spacing w:val="-4"/>
                <w:sz w:val="20"/>
              </w:rPr>
              <w:t xml:space="preserve"> VFDs</w:t>
            </w:r>
          </w:p>
        </w:tc>
        <w:tc>
          <w:tcPr>
            <w:tcW w:w="1792" w:type="dxa"/>
            <w:tcBorders>
              <w:top w:val="single" w:color="D9D9D9" w:sz="2" w:space="0"/>
              <w:bottom w:val="single" w:color="D9D9D9" w:sz="2" w:space="0"/>
            </w:tcBorders>
          </w:tcPr>
          <w:p w:rsidR="00C31389" w:rsidRDefault="00C31389" w14:paraId="76E37E86" w14:textId="77777777">
            <w:pPr>
              <w:pStyle w:val="TableParagraph"/>
              <w:spacing w:before="0"/>
              <w:rPr>
                <w:b/>
              </w:rPr>
            </w:pPr>
          </w:p>
          <w:p w:rsidR="00C31389" w:rsidRDefault="00C31389" w14:paraId="1079DDCF" w14:textId="77777777">
            <w:pPr>
              <w:pStyle w:val="TableParagraph"/>
              <w:spacing w:before="0"/>
              <w:rPr>
                <w:b/>
              </w:rPr>
            </w:pPr>
          </w:p>
          <w:p w:rsidR="00C31389" w:rsidRDefault="00C31389" w14:paraId="2E3EFCE2" w14:textId="77777777">
            <w:pPr>
              <w:pStyle w:val="TableParagraph"/>
              <w:spacing w:before="10"/>
              <w:rPr>
                <w:b/>
              </w:rPr>
            </w:pPr>
          </w:p>
          <w:p w:rsidR="00C31389" w:rsidRDefault="00561FBD" w14:paraId="417823CC" w14:textId="77777777">
            <w:pPr>
              <w:pStyle w:val="TableParagraph"/>
              <w:spacing w:before="1"/>
              <w:ind w:left="158"/>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D9D9D9" w:sz="2" w:space="0"/>
            </w:tcBorders>
          </w:tcPr>
          <w:p w:rsidR="00C31389" w:rsidRDefault="00561FBD" w14:paraId="39021DB4" w14:textId="77777777">
            <w:pPr>
              <w:pStyle w:val="TableParagraph"/>
              <w:spacing w:before="80"/>
              <w:ind w:left="166" w:right="163"/>
              <w:rPr>
                <w:sz w:val="20"/>
              </w:rPr>
            </w:pPr>
            <w:r>
              <w:rPr>
                <w:sz w:val="20"/>
              </w:rPr>
              <w:t>The installation of VFDs on pumps and motors produces</w:t>
            </w:r>
            <w:r>
              <w:rPr>
                <w:spacing w:val="-5"/>
                <w:sz w:val="20"/>
              </w:rPr>
              <w:t xml:space="preserve"> </w:t>
            </w:r>
            <w:r>
              <w:rPr>
                <w:sz w:val="20"/>
              </w:rPr>
              <w:t>energy</w:t>
            </w:r>
            <w:r>
              <w:rPr>
                <w:spacing w:val="-6"/>
                <w:sz w:val="20"/>
              </w:rPr>
              <w:t xml:space="preserve"> </w:t>
            </w:r>
            <w:r>
              <w:rPr>
                <w:sz w:val="20"/>
              </w:rPr>
              <w:t>savings</w:t>
            </w:r>
            <w:r>
              <w:rPr>
                <w:spacing w:val="-5"/>
                <w:sz w:val="20"/>
              </w:rPr>
              <w:t xml:space="preserve"> </w:t>
            </w:r>
            <w:r>
              <w:rPr>
                <w:sz w:val="20"/>
              </w:rPr>
              <w:t>because</w:t>
            </w:r>
            <w:r>
              <w:rPr>
                <w:spacing w:val="-6"/>
                <w:sz w:val="20"/>
              </w:rPr>
              <w:t xml:space="preserve"> </w:t>
            </w:r>
            <w:r>
              <w:rPr>
                <w:sz w:val="20"/>
              </w:rPr>
              <w:t>many</w:t>
            </w:r>
            <w:r>
              <w:rPr>
                <w:spacing w:val="-6"/>
                <w:sz w:val="20"/>
              </w:rPr>
              <w:t xml:space="preserve"> </w:t>
            </w:r>
            <w:r>
              <w:rPr>
                <w:sz w:val="20"/>
              </w:rPr>
              <w:t>motors</w:t>
            </w:r>
            <w:r>
              <w:rPr>
                <w:spacing w:val="-5"/>
                <w:sz w:val="20"/>
              </w:rPr>
              <w:t xml:space="preserve"> </w:t>
            </w:r>
            <w:r>
              <w:rPr>
                <w:sz w:val="20"/>
              </w:rPr>
              <w:t>in</w:t>
            </w:r>
            <w:r>
              <w:rPr>
                <w:spacing w:val="-6"/>
                <w:sz w:val="20"/>
              </w:rPr>
              <w:t xml:space="preserve"> </w:t>
            </w:r>
            <w:r>
              <w:rPr>
                <w:sz w:val="20"/>
              </w:rPr>
              <w:t xml:space="preserve">this subsector operate well below the design load. </w:t>
            </w:r>
            <w:r>
              <w:rPr>
                <w:sz w:val="20"/>
              </w:rPr>
              <w:t>This is especially true for facilities that have large seasonal swings in production. VFD savings can also be further enhanced by moving to smart controls. However, expertise in complex controls systems is needed.</w:t>
            </w:r>
          </w:p>
        </w:tc>
      </w:tr>
      <w:tr w:rsidR="00C31389" w14:paraId="4C80C40D" w14:textId="77777777">
        <w:trPr>
          <w:trHeight w:val="1539"/>
        </w:trPr>
        <w:tc>
          <w:tcPr>
            <w:tcW w:w="2401" w:type="dxa"/>
            <w:tcBorders>
              <w:top w:val="single" w:color="D9D9D9" w:sz="2" w:space="0"/>
              <w:bottom w:val="single" w:color="D9D9D9" w:sz="2" w:space="0"/>
            </w:tcBorders>
          </w:tcPr>
          <w:p w:rsidR="00C31389" w:rsidRDefault="00C31389" w14:paraId="575B7052" w14:textId="77777777">
            <w:pPr>
              <w:pStyle w:val="TableParagraph"/>
              <w:spacing w:before="0"/>
              <w:rPr>
                <w:b/>
              </w:rPr>
            </w:pPr>
          </w:p>
          <w:p w:rsidR="00C31389" w:rsidRDefault="00C31389" w14:paraId="69F0D426" w14:textId="77777777">
            <w:pPr>
              <w:pStyle w:val="TableParagraph"/>
              <w:spacing w:before="10"/>
              <w:rPr>
                <w:b/>
                <w:sz w:val="24"/>
              </w:rPr>
            </w:pPr>
          </w:p>
          <w:p w:rsidR="00C31389" w:rsidRDefault="00561FBD" w14:paraId="5707B841" w14:textId="77777777">
            <w:pPr>
              <w:pStyle w:val="TableParagraph"/>
              <w:spacing w:before="0"/>
              <w:ind w:left="129"/>
              <w:rPr>
                <w:sz w:val="20"/>
              </w:rPr>
            </w:pPr>
            <w:r>
              <w:rPr>
                <w:spacing w:val="-2"/>
                <w:sz w:val="20"/>
              </w:rPr>
              <w:t>Electronics Retrocommissioning</w:t>
            </w:r>
            <w:hyperlink w:history="1" w:anchor="_bookmark454">
              <w:r>
                <w:rPr>
                  <w:spacing w:val="-2"/>
                  <w:sz w:val="20"/>
                  <w:vertAlign w:val="superscript"/>
                </w:rPr>
                <w:t>179</w:t>
              </w:r>
            </w:hyperlink>
          </w:p>
        </w:tc>
        <w:tc>
          <w:tcPr>
            <w:tcW w:w="1792" w:type="dxa"/>
            <w:tcBorders>
              <w:top w:val="single" w:color="D9D9D9" w:sz="2" w:space="0"/>
              <w:bottom w:val="single" w:color="D9D9D9" w:sz="2" w:space="0"/>
            </w:tcBorders>
          </w:tcPr>
          <w:p w:rsidR="00C31389" w:rsidRDefault="00C31389" w14:paraId="5E347884" w14:textId="77777777">
            <w:pPr>
              <w:pStyle w:val="TableParagraph"/>
              <w:spacing w:before="0"/>
              <w:rPr>
                <w:b/>
              </w:rPr>
            </w:pPr>
          </w:p>
          <w:p w:rsidR="00C31389" w:rsidRDefault="00C31389" w14:paraId="1E00572B" w14:textId="77777777">
            <w:pPr>
              <w:pStyle w:val="TableParagraph"/>
              <w:spacing w:before="0"/>
              <w:rPr>
                <w:b/>
              </w:rPr>
            </w:pPr>
          </w:p>
          <w:p w:rsidR="00C31389" w:rsidRDefault="00561FBD" w14:paraId="0E1CBFBA" w14:textId="77777777">
            <w:pPr>
              <w:pStyle w:val="TableParagraph"/>
              <w:spacing w:before="148"/>
              <w:ind w:left="158"/>
              <w:rPr>
                <w:sz w:val="20"/>
              </w:rPr>
            </w:pPr>
            <w:r>
              <w:rPr>
                <w:sz w:val="20"/>
              </w:rPr>
              <w:t>Whole</w:t>
            </w:r>
            <w:r>
              <w:rPr>
                <w:spacing w:val="-5"/>
                <w:sz w:val="20"/>
              </w:rPr>
              <w:t xml:space="preserve"> </w:t>
            </w:r>
            <w:r>
              <w:rPr>
                <w:spacing w:val="-2"/>
                <w:sz w:val="20"/>
              </w:rPr>
              <w:t>Facility</w:t>
            </w:r>
          </w:p>
        </w:tc>
        <w:tc>
          <w:tcPr>
            <w:tcW w:w="5181" w:type="dxa"/>
            <w:tcBorders>
              <w:top w:val="single" w:color="D9D9D9" w:sz="2" w:space="0"/>
              <w:bottom w:val="single" w:color="D9D9D9" w:sz="2" w:space="0"/>
            </w:tcBorders>
          </w:tcPr>
          <w:p w:rsidR="00C31389" w:rsidRDefault="00561FBD" w14:paraId="7FF3F166" w14:textId="77777777">
            <w:pPr>
              <w:pStyle w:val="TableParagraph"/>
              <w:spacing w:before="80"/>
              <w:ind w:left="166" w:right="120"/>
              <w:rPr>
                <w:sz w:val="20"/>
              </w:rPr>
            </w:pPr>
            <w:r>
              <w:rPr>
                <w:sz w:val="20"/>
              </w:rPr>
              <w:t>Retrocommissioning (RCx) involves making low and no-cost</w:t>
            </w:r>
            <w:r>
              <w:rPr>
                <w:spacing w:val="-7"/>
                <w:sz w:val="20"/>
              </w:rPr>
              <w:t xml:space="preserve"> </w:t>
            </w:r>
            <w:r>
              <w:rPr>
                <w:sz w:val="20"/>
              </w:rPr>
              <w:t>energy</w:t>
            </w:r>
            <w:r>
              <w:rPr>
                <w:spacing w:val="-6"/>
                <w:sz w:val="20"/>
              </w:rPr>
              <w:t xml:space="preserve"> </w:t>
            </w:r>
            <w:r>
              <w:rPr>
                <w:sz w:val="20"/>
              </w:rPr>
              <w:t>performance</w:t>
            </w:r>
            <w:r>
              <w:rPr>
                <w:spacing w:val="-7"/>
                <w:sz w:val="20"/>
              </w:rPr>
              <w:t xml:space="preserve"> </w:t>
            </w:r>
            <w:r>
              <w:rPr>
                <w:sz w:val="20"/>
              </w:rPr>
              <w:t>improvements</w:t>
            </w:r>
            <w:r>
              <w:rPr>
                <w:spacing w:val="-6"/>
                <w:sz w:val="20"/>
              </w:rPr>
              <w:t xml:space="preserve"> </w:t>
            </w:r>
            <w:r>
              <w:rPr>
                <w:sz w:val="20"/>
              </w:rPr>
              <w:t>to</w:t>
            </w:r>
            <w:r>
              <w:rPr>
                <w:spacing w:val="-7"/>
                <w:sz w:val="20"/>
              </w:rPr>
              <w:t xml:space="preserve"> </w:t>
            </w:r>
            <w:r>
              <w:rPr>
                <w:sz w:val="20"/>
              </w:rPr>
              <w:t>a</w:t>
            </w:r>
            <w:r>
              <w:rPr>
                <w:spacing w:val="-7"/>
                <w:sz w:val="20"/>
              </w:rPr>
              <w:t xml:space="preserve"> </w:t>
            </w:r>
            <w:r>
              <w:rPr>
                <w:sz w:val="20"/>
              </w:rPr>
              <w:t xml:space="preserve">system or process, resulting in short payback periods. Typical activities </w:t>
            </w:r>
            <w:r>
              <w:rPr>
                <w:sz w:val="20"/>
              </w:rPr>
              <w:t>include reviewing trend data within the building automation systems, performing functional testing, and identifying control enhancements.</w:t>
            </w:r>
          </w:p>
        </w:tc>
      </w:tr>
      <w:tr w:rsidR="00C31389" w14:paraId="0D823937" w14:textId="77777777">
        <w:trPr>
          <w:trHeight w:val="1539"/>
        </w:trPr>
        <w:tc>
          <w:tcPr>
            <w:tcW w:w="2401" w:type="dxa"/>
            <w:tcBorders>
              <w:top w:val="single" w:color="D9D9D9" w:sz="2" w:space="0"/>
              <w:bottom w:val="single" w:color="D9D9D9" w:sz="2" w:space="0"/>
            </w:tcBorders>
          </w:tcPr>
          <w:p w:rsidR="00C31389" w:rsidRDefault="00C31389" w14:paraId="02EDF314" w14:textId="77777777">
            <w:pPr>
              <w:pStyle w:val="TableParagraph"/>
              <w:spacing w:before="0"/>
              <w:rPr>
                <w:b/>
              </w:rPr>
            </w:pPr>
          </w:p>
          <w:p w:rsidR="00C31389" w:rsidRDefault="00C31389" w14:paraId="7D92FD42" w14:textId="77777777">
            <w:pPr>
              <w:pStyle w:val="TableParagraph"/>
              <w:spacing w:before="10"/>
              <w:rPr>
                <w:b/>
                <w:sz w:val="24"/>
              </w:rPr>
            </w:pPr>
          </w:p>
          <w:p w:rsidR="00C31389" w:rsidRDefault="00561FBD" w14:paraId="0B0AD99F" w14:textId="77777777">
            <w:pPr>
              <w:pStyle w:val="TableParagraph"/>
              <w:spacing w:before="0"/>
              <w:ind w:left="129"/>
              <w:rPr>
                <w:sz w:val="20"/>
              </w:rPr>
            </w:pPr>
            <w:r>
              <w:rPr>
                <w:sz w:val="20"/>
              </w:rPr>
              <w:t>Electronics</w:t>
            </w:r>
            <w:r>
              <w:rPr>
                <w:spacing w:val="-14"/>
                <w:sz w:val="20"/>
              </w:rPr>
              <w:t xml:space="preserve"> </w:t>
            </w:r>
            <w:r>
              <w:rPr>
                <w:sz w:val="20"/>
              </w:rPr>
              <w:t>Chiller</w:t>
            </w:r>
            <w:r>
              <w:rPr>
                <w:spacing w:val="-14"/>
                <w:sz w:val="20"/>
              </w:rPr>
              <w:t xml:space="preserve"> </w:t>
            </w:r>
            <w:r>
              <w:rPr>
                <w:sz w:val="20"/>
              </w:rPr>
              <w:t xml:space="preserve">Plant </w:t>
            </w:r>
            <w:r>
              <w:rPr>
                <w:spacing w:val="-2"/>
                <w:sz w:val="20"/>
              </w:rPr>
              <w:t>Optimization</w:t>
            </w:r>
          </w:p>
        </w:tc>
        <w:tc>
          <w:tcPr>
            <w:tcW w:w="1792" w:type="dxa"/>
            <w:tcBorders>
              <w:top w:val="single" w:color="D9D9D9" w:sz="2" w:space="0"/>
              <w:bottom w:val="single" w:color="D9D9D9" w:sz="2" w:space="0"/>
            </w:tcBorders>
          </w:tcPr>
          <w:p w:rsidR="00C31389" w:rsidRDefault="00C31389" w14:paraId="3A4B70EB" w14:textId="77777777">
            <w:pPr>
              <w:pStyle w:val="TableParagraph"/>
              <w:spacing w:before="0"/>
              <w:rPr>
                <w:b/>
              </w:rPr>
            </w:pPr>
          </w:p>
          <w:p w:rsidR="00C31389" w:rsidRDefault="00C31389" w14:paraId="7B37BE23" w14:textId="77777777">
            <w:pPr>
              <w:pStyle w:val="TableParagraph"/>
              <w:spacing w:before="0"/>
              <w:rPr>
                <w:b/>
              </w:rPr>
            </w:pPr>
          </w:p>
          <w:p w:rsidR="00C31389" w:rsidRDefault="00561FBD" w14:paraId="24862B98" w14:textId="77777777">
            <w:pPr>
              <w:pStyle w:val="TableParagraph"/>
              <w:spacing w:before="148"/>
              <w:ind w:left="158"/>
              <w:rPr>
                <w:sz w:val="20"/>
              </w:rPr>
            </w:pPr>
            <w:r>
              <w:rPr>
                <w:spacing w:val="-4"/>
                <w:sz w:val="20"/>
              </w:rPr>
              <w:t>HVAC</w:t>
            </w:r>
          </w:p>
        </w:tc>
        <w:tc>
          <w:tcPr>
            <w:tcW w:w="5181" w:type="dxa"/>
            <w:tcBorders>
              <w:top w:val="single" w:color="D9D9D9" w:sz="2" w:space="0"/>
              <w:bottom w:val="single" w:color="D9D9D9" w:sz="2" w:space="0"/>
            </w:tcBorders>
          </w:tcPr>
          <w:p w:rsidR="00C31389" w:rsidRDefault="00561FBD" w14:paraId="4A4328D4" w14:textId="77777777">
            <w:pPr>
              <w:pStyle w:val="TableParagraph"/>
              <w:spacing w:before="80"/>
              <w:ind w:left="166" w:right="163"/>
              <w:rPr>
                <w:sz w:val="20"/>
              </w:rPr>
            </w:pPr>
            <w:r>
              <w:rPr>
                <w:sz w:val="20"/>
              </w:rPr>
              <w:t>Chilled</w:t>
            </w:r>
            <w:r>
              <w:rPr>
                <w:spacing w:val="-6"/>
                <w:sz w:val="20"/>
              </w:rPr>
              <w:t xml:space="preserve"> </w:t>
            </w:r>
            <w:r>
              <w:rPr>
                <w:sz w:val="20"/>
              </w:rPr>
              <w:t>water</w:t>
            </w:r>
            <w:r>
              <w:rPr>
                <w:spacing w:val="-4"/>
                <w:sz w:val="20"/>
              </w:rPr>
              <w:t xml:space="preserve"> </w:t>
            </w:r>
            <w:r>
              <w:rPr>
                <w:sz w:val="20"/>
              </w:rPr>
              <w:t>plant</w:t>
            </w:r>
            <w:r>
              <w:rPr>
                <w:spacing w:val="-5"/>
                <w:sz w:val="20"/>
              </w:rPr>
              <w:t xml:space="preserve"> </w:t>
            </w:r>
            <w:r>
              <w:rPr>
                <w:sz w:val="20"/>
              </w:rPr>
              <w:t>optimization</w:t>
            </w:r>
            <w:r>
              <w:rPr>
                <w:spacing w:val="-5"/>
                <w:sz w:val="20"/>
              </w:rPr>
              <w:t xml:space="preserve"> </w:t>
            </w:r>
            <w:r>
              <w:rPr>
                <w:sz w:val="20"/>
              </w:rPr>
              <w:t>consists</w:t>
            </w:r>
            <w:r>
              <w:rPr>
                <w:spacing w:val="-5"/>
                <w:sz w:val="20"/>
              </w:rPr>
              <w:t xml:space="preserve"> </w:t>
            </w:r>
            <w:r>
              <w:rPr>
                <w:sz w:val="20"/>
              </w:rPr>
              <w:t>of</w:t>
            </w:r>
            <w:r>
              <w:rPr>
                <w:spacing w:val="-5"/>
                <w:sz w:val="20"/>
              </w:rPr>
              <w:t xml:space="preserve"> </w:t>
            </w:r>
            <w:r>
              <w:rPr>
                <w:sz w:val="20"/>
              </w:rPr>
              <w:t>adding</w:t>
            </w:r>
            <w:r>
              <w:rPr>
                <w:spacing w:val="-5"/>
                <w:sz w:val="20"/>
              </w:rPr>
              <w:t xml:space="preserve"> </w:t>
            </w:r>
            <w:r>
              <w:rPr>
                <w:sz w:val="20"/>
              </w:rPr>
              <w:t>or updating hardw</w:t>
            </w:r>
            <w:r>
              <w:rPr>
                <w:sz w:val="20"/>
              </w:rPr>
              <w:t>are and control sequences to an existing chilled water system to reduce the energy consumption associated with the chiller plant as a whole, which can consist of chillers, pumps, and cooling tower fans.</w:t>
            </w:r>
          </w:p>
        </w:tc>
      </w:tr>
      <w:tr w:rsidR="00C31389" w14:paraId="4A5B03F5" w14:textId="77777777">
        <w:trPr>
          <w:trHeight w:val="2459"/>
        </w:trPr>
        <w:tc>
          <w:tcPr>
            <w:tcW w:w="2401" w:type="dxa"/>
            <w:tcBorders>
              <w:top w:val="single" w:color="D9D9D9" w:sz="2" w:space="0"/>
              <w:bottom w:val="single" w:color="D9D9D9" w:sz="2" w:space="0"/>
            </w:tcBorders>
          </w:tcPr>
          <w:p w:rsidR="00C31389" w:rsidRDefault="00C31389" w14:paraId="57D9B18B" w14:textId="77777777">
            <w:pPr>
              <w:pStyle w:val="TableParagraph"/>
              <w:spacing w:before="0"/>
              <w:rPr>
                <w:b/>
              </w:rPr>
            </w:pPr>
          </w:p>
          <w:p w:rsidR="00C31389" w:rsidRDefault="00C31389" w14:paraId="557D1509" w14:textId="77777777">
            <w:pPr>
              <w:pStyle w:val="TableParagraph"/>
              <w:spacing w:before="0"/>
              <w:rPr>
                <w:b/>
              </w:rPr>
            </w:pPr>
          </w:p>
          <w:p w:rsidR="00C31389" w:rsidRDefault="00C31389" w14:paraId="3A9CD78E" w14:textId="77777777">
            <w:pPr>
              <w:pStyle w:val="TableParagraph"/>
              <w:spacing w:before="0"/>
              <w:rPr>
                <w:b/>
              </w:rPr>
            </w:pPr>
          </w:p>
          <w:p w:rsidR="00C31389" w:rsidRDefault="00C31389" w14:paraId="2E0641E5" w14:textId="77777777">
            <w:pPr>
              <w:pStyle w:val="TableParagraph"/>
              <w:spacing w:before="11"/>
              <w:rPr>
                <w:b/>
                <w:sz w:val="20"/>
              </w:rPr>
            </w:pPr>
          </w:p>
          <w:p w:rsidR="00C31389" w:rsidRDefault="00561FBD" w14:paraId="411AC9D4" w14:textId="77777777">
            <w:pPr>
              <w:pStyle w:val="TableParagraph"/>
              <w:spacing w:before="0"/>
              <w:ind w:left="129" w:right="91"/>
              <w:rPr>
                <w:sz w:val="20"/>
              </w:rPr>
            </w:pPr>
            <w:r>
              <w:rPr>
                <w:sz w:val="20"/>
              </w:rPr>
              <w:t>Electronics Low Pressure</w:t>
            </w:r>
            <w:r>
              <w:rPr>
                <w:spacing w:val="-14"/>
                <w:sz w:val="20"/>
              </w:rPr>
              <w:t xml:space="preserve"> </w:t>
            </w:r>
            <w:r>
              <w:rPr>
                <w:sz w:val="20"/>
              </w:rPr>
              <w:t>Drop</w:t>
            </w:r>
            <w:r>
              <w:rPr>
                <w:spacing w:val="-14"/>
                <w:sz w:val="20"/>
              </w:rPr>
              <w:t xml:space="preserve"> </w:t>
            </w:r>
            <w:r>
              <w:rPr>
                <w:sz w:val="20"/>
              </w:rPr>
              <w:t>Filters</w:t>
            </w:r>
          </w:p>
        </w:tc>
        <w:tc>
          <w:tcPr>
            <w:tcW w:w="1792" w:type="dxa"/>
            <w:tcBorders>
              <w:top w:val="single" w:color="D9D9D9" w:sz="2" w:space="0"/>
              <w:bottom w:val="single" w:color="D9D9D9" w:sz="2" w:space="0"/>
            </w:tcBorders>
          </w:tcPr>
          <w:p w:rsidR="00C31389" w:rsidRDefault="00C31389" w14:paraId="3BBDA97A" w14:textId="77777777">
            <w:pPr>
              <w:pStyle w:val="TableParagraph"/>
              <w:spacing w:before="0"/>
              <w:rPr>
                <w:b/>
              </w:rPr>
            </w:pPr>
          </w:p>
          <w:p w:rsidR="00C31389" w:rsidRDefault="00C31389" w14:paraId="761B7087" w14:textId="77777777">
            <w:pPr>
              <w:pStyle w:val="TableParagraph"/>
              <w:spacing w:before="0"/>
              <w:rPr>
                <w:b/>
              </w:rPr>
            </w:pPr>
          </w:p>
          <w:p w:rsidR="00C31389" w:rsidRDefault="00C31389" w14:paraId="15B8E8A0" w14:textId="77777777">
            <w:pPr>
              <w:pStyle w:val="TableParagraph"/>
              <w:spacing w:before="0"/>
              <w:rPr>
                <w:b/>
              </w:rPr>
            </w:pPr>
          </w:p>
          <w:p w:rsidR="00C31389" w:rsidRDefault="00C31389" w14:paraId="71C10615" w14:textId="77777777">
            <w:pPr>
              <w:pStyle w:val="TableParagraph"/>
              <w:spacing w:before="0"/>
              <w:rPr>
                <w:b/>
                <w:sz w:val="31"/>
              </w:rPr>
            </w:pPr>
          </w:p>
          <w:p w:rsidR="00C31389" w:rsidRDefault="00561FBD" w14:paraId="15134A2B" w14:textId="77777777">
            <w:pPr>
              <w:pStyle w:val="TableParagraph"/>
              <w:spacing w:before="0"/>
              <w:ind w:left="158"/>
              <w:rPr>
                <w:sz w:val="20"/>
              </w:rPr>
            </w:pPr>
            <w:r>
              <w:rPr>
                <w:spacing w:val="-4"/>
                <w:sz w:val="20"/>
              </w:rPr>
              <w:t>HVAC</w:t>
            </w:r>
          </w:p>
        </w:tc>
        <w:tc>
          <w:tcPr>
            <w:tcW w:w="5181" w:type="dxa"/>
            <w:tcBorders>
              <w:top w:val="single" w:color="D9D9D9" w:sz="2" w:space="0"/>
              <w:bottom w:val="single" w:color="D9D9D9" w:sz="2" w:space="0"/>
            </w:tcBorders>
          </w:tcPr>
          <w:p w:rsidR="00C31389" w:rsidRDefault="00561FBD" w14:paraId="201114E3" w14:textId="77777777">
            <w:pPr>
              <w:pStyle w:val="TableParagraph"/>
              <w:spacing w:before="81"/>
              <w:ind w:left="166" w:right="151"/>
              <w:rPr>
                <w:sz w:val="20"/>
              </w:rPr>
            </w:pPr>
            <w:r>
              <w:rPr>
                <w:sz w:val="20"/>
              </w:rPr>
              <w:t>The cleanrooms in electronics manufacturing facilities use many filters to purify the air. If these filters get too clogged, they can cause the fans that drive the airflow in</w:t>
            </w:r>
            <w:r>
              <w:rPr>
                <w:spacing w:val="-5"/>
                <w:sz w:val="20"/>
              </w:rPr>
              <w:t xml:space="preserve"> </w:t>
            </w:r>
            <w:r>
              <w:rPr>
                <w:sz w:val="20"/>
              </w:rPr>
              <w:t>the</w:t>
            </w:r>
            <w:r>
              <w:rPr>
                <w:spacing w:val="-5"/>
                <w:sz w:val="20"/>
              </w:rPr>
              <w:t xml:space="preserve"> </w:t>
            </w:r>
            <w:r>
              <w:rPr>
                <w:sz w:val="20"/>
              </w:rPr>
              <w:t>cleanrooms</w:t>
            </w:r>
            <w:r>
              <w:rPr>
                <w:spacing w:val="-4"/>
                <w:sz w:val="20"/>
              </w:rPr>
              <w:t xml:space="preserve"> </w:t>
            </w:r>
            <w:r>
              <w:rPr>
                <w:sz w:val="20"/>
              </w:rPr>
              <w:t>to</w:t>
            </w:r>
            <w:r>
              <w:rPr>
                <w:spacing w:val="-5"/>
                <w:sz w:val="20"/>
              </w:rPr>
              <w:t xml:space="preserve"> </w:t>
            </w:r>
            <w:r>
              <w:rPr>
                <w:sz w:val="20"/>
              </w:rPr>
              <w:t>work</w:t>
            </w:r>
            <w:r>
              <w:rPr>
                <w:spacing w:val="-4"/>
                <w:sz w:val="20"/>
              </w:rPr>
              <w:t xml:space="preserve"> </w:t>
            </w:r>
            <w:r>
              <w:rPr>
                <w:sz w:val="20"/>
              </w:rPr>
              <w:t>harder.</w:t>
            </w:r>
            <w:r>
              <w:rPr>
                <w:spacing w:val="-5"/>
                <w:sz w:val="20"/>
              </w:rPr>
              <w:t xml:space="preserve"> </w:t>
            </w:r>
            <w:r>
              <w:rPr>
                <w:sz w:val="20"/>
              </w:rPr>
              <w:t>Lower</w:t>
            </w:r>
            <w:r>
              <w:rPr>
                <w:spacing w:val="-4"/>
                <w:sz w:val="20"/>
              </w:rPr>
              <w:t xml:space="preserve"> </w:t>
            </w:r>
            <w:r>
              <w:rPr>
                <w:sz w:val="20"/>
              </w:rPr>
              <w:t>pressure</w:t>
            </w:r>
            <w:r>
              <w:rPr>
                <w:spacing w:val="-5"/>
                <w:sz w:val="20"/>
              </w:rPr>
              <w:t xml:space="preserve"> </w:t>
            </w:r>
            <w:r>
              <w:rPr>
                <w:sz w:val="20"/>
              </w:rPr>
              <w:t>drop filters have greater dirt</w:t>
            </w:r>
            <w:r>
              <w:rPr>
                <w:sz w:val="20"/>
              </w:rPr>
              <w:t xml:space="preserve"> holding capacity than standard filters because</w:t>
            </w:r>
            <w:r>
              <w:rPr>
                <w:spacing w:val="-1"/>
                <w:sz w:val="20"/>
              </w:rPr>
              <w:t xml:space="preserve"> </w:t>
            </w:r>
            <w:r>
              <w:rPr>
                <w:sz w:val="20"/>
              </w:rPr>
              <w:t>of</w:t>
            </w:r>
            <w:r>
              <w:rPr>
                <w:spacing w:val="-2"/>
                <w:sz w:val="20"/>
              </w:rPr>
              <w:t xml:space="preserve"> </w:t>
            </w:r>
            <w:r>
              <w:rPr>
                <w:sz w:val="20"/>
              </w:rPr>
              <w:t>their greater media</w:t>
            </w:r>
            <w:r>
              <w:rPr>
                <w:spacing w:val="-1"/>
                <w:sz w:val="20"/>
              </w:rPr>
              <w:t xml:space="preserve"> </w:t>
            </w:r>
            <w:r>
              <w:rPr>
                <w:sz w:val="20"/>
              </w:rPr>
              <w:t>surface</w:t>
            </w:r>
            <w:r>
              <w:rPr>
                <w:spacing w:val="-1"/>
                <w:sz w:val="20"/>
              </w:rPr>
              <w:t xml:space="preserve"> </w:t>
            </w:r>
            <w:r>
              <w:rPr>
                <w:sz w:val="20"/>
              </w:rPr>
              <w:t>area</w:t>
            </w:r>
            <w:r>
              <w:rPr>
                <w:spacing w:val="-1"/>
                <w:sz w:val="20"/>
              </w:rPr>
              <w:t xml:space="preserve"> </w:t>
            </w:r>
            <w:r>
              <w:rPr>
                <w:sz w:val="20"/>
              </w:rPr>
              <w:t>with deeper-pleated filters and closer pleat spacing. This greater dirt holding capacity reduces filter pressure drop and results in less fan energy use for the same airflo</w:t>
            </w:r>
            <w:r>
              <w:rPr>
                <w:sz w:val="20"/>
              </w:rPr>
              <w:t>w rate.</w:t>
            </w:r>
          </w:p>
        </w:tc>
      </w:tr>
      <w:tr w:rsidR="00C31389" w14:paraId="43D3F9EF" w14:textId="77777777">
        <w:trPr>
          <w:trHeight w:val="620"/>
        </w:trPr>
        <w:tc>
          <w:tcPr>
            <w:tcW w:w="2401" w:type="dxa"/>
            <w:tcBorders>
              <w:top w:val="single" w:color="D9D9D9" w:sz="2" w:space="0"/>
              <w:bottom w:val="single" w:color="D9D9D9" w:sz="2" w:space="0"/>
            </w:tcBorders>
          </w:tcPr>
          <w:p w:rsidR="00C31389" w:rsidRDefault="00561FBD" w14:paraId="20B3B063" w14:textId="77777777">
            <w:pPr>
              <w:pStyle w:val="TableParagraph"/>
              <w:spacing w:before="81"/>
              <w:ind w:left="129"/>
              <w:rPr>
                <w:sz w:val="20"/>
              </w:rPr>
            </w:pPr>
            <w:r>
              <w:rPr>
                <w:sz w:val="20"/>
              </w:rPr>
              <w:t>Chem</w:t>
            </w:r>
            <w:r>
              <w:rPr>
                <w:spacing w:val="-14"/>
                <w:sz w:val="20"/>
              </w:rPr>
              <w:t xml:space="preserve"> </w:t>
            </w:r>
            <w:r>
              <w:rPr>
                <w:sz w:val="20"/>
              </w:rPr>
              <w:t>Manf</w:t>
            </w:r>
            <w:r>
              <w:rPr>
                <w:spacing w:val="-14"/>
                <w:sz w:val="20"/>
              </w:rPr>
              <w:t xml:space="preserve"> </w:t>
            </w:r>
            <w:r>
              <w:rPr>
                <w:sz w:val="20"/>
              </w:rPr>
              <w:t xml:space="preserve">Heat </w:t>
            </w:r>
            <w:r>
              <w:rPr>
                <w:spacing w:val="-2"/>
                <w:sz w:val="20"/>
              </w:rPr>
              <w:t>Recovery</w:t>
            </w:r>
          </w:p>
        </w:tc>
        <w:tc>
          <w:tcPr>
            <w:tcW w:w="1792" w:type="dxa"/>
            <w:tcBorders>
              <w:top w:val="single" w:color="D9D9D9" w:sz="2" w:space="0"/>
              <w:bottom w:val="single" w:color="D9D9D9" w:sz="2" w:space="0"/>
            </w:tcBorders>
          </w:tcPr>
          <w:p w:rsidR="00C31389" w:rsidRDefault="00561FBD" w14:paraId="28828C66" w14:textId="77777777">
            <w:pPr>
              <w:pStyle w:val="TableParagraph"/>
              <w:spacing w:before="195"/>
              <w:ind w:left="158"/>
              <w:rPr>
                <w:sz w:val="20"/>
              </w:rPr>
            </w:pPr>
            <w:r>
              <w:rPr>
                <w:sz w:val="20"/>
              </w:rPr>
              <w:t>Process</w:t>
            </w:r>
            <w:r>
              <w:rPr>
                <w:spacing w:val="-5"/>
                <w:sz w:val="20"/>
              </w:rPr>
              <w:t xml:space="preserve"> </w:t>
            </w:r>
            <w:r>
              <w:rPr>
                <w:spacing w:val="-2"/>
                <w:sz w:val="20"/>
              </w:rPr>
              <w:t>Heating</w:t>
            </w:r>
          </w:p>
        </w:tc>
        <w:tc>
          <w:tcPr>
            <w:tcW w:w="5181" w:type="dxa"/>
            <w:tcBorders>
              <w:top w:val="single" w:color="D9D9D9" w:sz="2" w:space="0"/>
              <w:bottom w:val="single" w:color="D9D9D9" w:sz="2" w:space="0"/>
            </w:tcBorders>
          </w:tcPr>
          <w:p w:rsidR="00C31389" w:rsidRDefault="00561FBD" w14:paraId="3350F501" w14:textId="77777777">
            <w:pPr>
              <w:pStyle w:val="TableParagraph"/>
              <w:spacing w:before="81"/>
              <w:ind w:left="166" w:right="219"/>
              <w:rPr>
                <w:sz w:val="20"/>
              </w:rPr>
            </w:pPr>
            <w:r>
              <w:rPr>
                <w:sz w:val="20"/>
              </w:rPr>
              <w:t>Includes</w:t>
            </w:r>
            <w:r>
              <w:rPr>
                <w:spacing w:val="-6"/>
                <w:sz w:val="20"/>
              </w:rPr>
              <w:t xml:space="preserve"> </w:t>
            </w:r>
            <w:r>
              <w:rPr>
                <w:sz w:val="20"/>
              </w:rPr>
              <w:t>the</w:t>
            </w:r>
            <w:r>
              <w:rPr>
                <w:spacing w:val="-6"/>
                <w:sz w:val="20"/>
              </w:rPr>
              <w:t xml:space="preserve"> </w:t>
            </w:r>
            <w:r>
              <w:rPr>
                <w:sz w:val="20"/>
              </w:rPr>
              <w:t>installation</w:t>
            </w:r>
            <w:r>
              <w:rPr>
                <w:spacing w:val="-6"/>
                <w:sz w:val="20"/>
              </w:rPr>
              <w:t xml:space="preserve"> </w:t>
            </w:r>
            <w:r>
              <w:rPr>
                <w:sz w:val="20"/>
              </w:rPr>
              <w:t>of</w:t>
            </w:r>
            <w:r>
              <w:rPr>
                <w:spacing w:val="-6"/>
                <w:sz w:val="20"/>
              </w:rPr>
              <w:t xml:space="preserve"> </w:t>
            </w:r>
            <w:r>
              <w:rPr>
                <w:sz w:val="20"/>
              </w:rPr>
              <w:t>heat</w:t>
            </w:r>
            <w:r>
              <w:rPr>
                <w:spacing w:val="-6"/>
                <w:sz w:val="20"/>
              </w:rPr>
              <w:t xml:space="preserve"> </w:t>
            </w:r>
            <w:r>
              <w:rPr>
                <w:sz w:val="20"/>
              </w:rPr>
              <w:t>exchangers,</w:t>
            </w:r>
            <w:r>
              <w:rPr>
                <w:spacing w:val="-6"/>
                <w:sz w:val="20"/>
              </w:rPr>
              <w:t xml:space="preserve"> </w:t>
            </w:r>
            <w:r>
              <w:rPr>
                <w:sz w:val="20"/>
              </w:rPr>
              <w:t>also known as economizers.</w:t>
            </w:r>
          </w:p>
        </w:tc>
      </w:tr>
      <w:tr w:rsidR="00C31389" w14:paraId="79AE5714" w14:textId="77777777">
        <w:trPr>
          <w:trHeight w:val="1000"/>
        </w:trPr>
        <w:tc>
          <w:tcPr>
            <w:tcW w:w="2401" w:type="dxa"/>
            <w:tcBorders>
              <w:top w:val="single" w:color="D9D9D9" w:sz="2" w:space="0"/>
              <w:bottom w:val="single" w:color="D9D9D9" w:sz="2" w:space="0"/>
            </w:tcBorders>
          </w:tcPr>
          <w:p w:rsidR="00C31389" w:rsidRDefault="00C31389" w14:paraId="3628261C" w14:textId="77777777">
            <w:pPr>
              <w:pStyle w:val="TableParagraph"/>
              <w:spacing w:before="6"/>
              <w:rPr>
                <w:b/>
                <w:sz w:val="23"/>
              </w:rPr>
            </w:pPr>
          </w:p>
          <w:p w:rsidR="00C31389" w:rsidRDefault="00561FBD" w14:paraId="3D4AC34F" w14:textId="77777777">
            <w:pPr>
              <w:pStyle w:val="TableParagraph"/>
              <w:spacing w:before="0"/>
              <w:ind w:left="129"/>
              <w:rPr>
                <w:sz w:val="20"/>
              </w:rPr>
            </w:pPr>
            <w:r>
              <w:rPr>
                <w:sz w:val="20"/>
              </w:rPr>
              <w:t>Chem</w:t>
            </w:r>
            <w:r>
              <w:rPr>
                <w:spacing w:val="-14"/>
                <w:sz w:val="20"/>
              </w:rPr>
              <w:t xml:space="preserve"> </w:t>
            </w:r>
            <w:r>
              <w:rPr>
                <w:sz w:val="20"/>
              </w:rPr>
              <w:t>Manf</w:t>
            </w:r>
            <w:r>
              <w:rPr>
                <w:spacing w:val="-14"/>
                <w:sz w:val="20"/>
              </w:rPr>
              <w:t xml:space="preserve"> </w:t>
            </w:r>
            <w:r>
              <w:rPr>
                <w:sz w:val="20"/>
              </w:rPr>
              <w:t xml:space="preserve">Advance </w:t>
            </w:r>
            <w:r>
              <w:rPr>
                <w:spacing w:val="-2"/>
                <w:sz w:val="20"/>
              </w:rPr>
              <w:t>Automation</w:t>
            </w:r>
            <w:hyperlink w:history="1" w:anchor="_bookmark455">
              <w:r>
                <w:rPr>
                  <w:spacing w:val="-2"/>
                  <w:sz w:val="20"/>
                  <w:vertAlign w:val="superscript"/>
                </w:rPr>
                <w:t>180</w:t>
              </w:r>
            </w:hyperlink>
          </w:p>
        </w:tc>
        <w:tc>
          <w:tcPr>
            <w:tcW w:w="1792" w:type="dxa"/>
            <w:tcBorders>
              <w:top w:val="single" w:color="D9D9D9" w:sz="2" w:space="0"/>
              <w:bottom w:val="single" w:color="D9D9D9" w:sz="2" w:space="0"/>
            </w:tcBorders>
          </w:tcPr>
          <w:p w:rsidR="00C31389" w:rsidRDefault="00C31389" w14:paraId="78337DF2" w14:textId="77777777">
            <w:pPr>
              <w:pStyle w:val="TableParagraph"/>
              <w:spacing w:before="0"/>
              <w:rPr>
                <w:b/>
              </w:rPr>
            </w:pPr>
          </w:p>
          <w:p w:rsidR="00C31389" w:rsidRDefault="00561FBD" w14:paraId="6A739B5B" w14:textId="77777777">
            <w:pPr>
              <w:pStyle w:val="TableParagraph"/>
              <w:spacing w:before="131"/>
              <w:ind w:left="158"/>
              <w:rPr>
                <w:sz w:val="20"/>
              </w:rPr>
            </w:pPr>
            <w:r>
              <w:rPr>
                <w:sz w:val="20"/>
              </w:rPr>
              <w:t>Whole</w:t>
            </w:r>
            <w:r>
              <w:rPr>
                <w:spacing w:val="-5"/>
                <w:sz w:val="20"/>
              </w:rPr>
              <w:t xml:space="preserve"> </w:t>
            </w:r>
            <w:r>
              <w:rPr>
                <w:spacing w:val="-2"/>
                <w:sz w:val="20"/>
              </w:rPr>
              <w:t>Facility</w:t>
            </w:r>
          </w:p>
        </w:tc>
        <w:tc>
          <w:tcPr>
            <w:tcW w:w="5181" w:type="dxa"/>
            <w:tcBorders>
              <w:top w:val="single" w:color="D9D9D9" w:sz="2" w:space="0"/>
              <w:bottom w:val="single" w:color="D9D9D9" w:sz="2" w:space="0"/>
            </w:tcBorders>
          </w:tcPr>
          <w:p w:rsidR="00C31389" w:rsidRDefault="00561FBD" w14:paraId="701BE85E" w14:textId="77777777">
            <w:pPr>
              <w:pStyle w:val="TableParagraph"/>
              <w:ind w:left="166"/>
              <w:rPr>
                <w:sz w:val="20"/>
              </w:rPr>
            </w:pPr>
            <w:r>
              <w:rPr>
                <w:sz w:val="20"/>
              </w:rPr>
              <w:t>Includes</w:t>
            </w:r>
            <w:r>
              <w:rPr>
                <w:spacing w:val="-3"/>
                <w:sz w:val="20"/>
              </w:rPr>
              <w:t xml:space="preserve"> </w:t>
            </w:r>
            <w:r>
              <w:rPr>
                <w:sz w:val="20"/>
              </w:rPr>
              <w:t>diverse</w:t>
            </w:r>
            <w:r>
              <w:rPr>
                <w:spacing w:val="-5"/>
                <w:sz w:val="20"/>
              </w:rPr>
              <w:t xml:space="preserve"> </w:t>
            </w:r>
            <w:r>
              <w:rPr>
                <w:sz w:val="20"/>
              </w:rPr>
              <w:t>set</w:t>
            </w:r>
            <w:r>
              <w:rPr>
                <w:spacing w:val="-4"/>
                <w:sz w:val="20"/>
              </w:rPr>
              <w:t xml:space="preserve"> </w:t>
            </w:r>
            <w:r>
              <w:rPr>
                <w:sz w:val="20"/>
              </w:rPr>
              <w:t>of</w:t>
            </w:r>
            <w:r>
              <w:rPr>
                <w:spacing w:val="-4"/>
                <w:sz w:val="20"/>
              </w:rPr>
              <w:t xml:space="preserve"> </w:t>
            </w:r>
            <w:r>
              <w:rPr>
                <w:sz w:val="20"/>
              </w:rPr>
              <w:t>measures</w:t>
            </w:r>
            <w:r>
              <w:rPr>
                <w:spacing w:val="-3"/>
                <w:sz w:val="20"/>
              </w:rPr>
              <w:t xml:space="preserve"> </w:t>
            </w:r>
            <w:r>
              <w:rPr>
                <w:sz w:val="20"/>
              </w:rPr>
              <w:t>such</w:t>
            </w:r>
            <w:r>
              <w:rPr>
                <w:spacing w:val="-5"/>
                <w:sz w:val="20"/>
              </w:rPr>
              <w:t xml:space="preserve"> </w:t>
            </w:r>
            <w:r>
              <w:rPr>
                <w:sz w:val="20"/>
              </w:rPr>
              <w:t>as:</w:t>
            </w:r>
            <w:r>
              <w:rPr>
                <w:spacing w:val="-5"/>
                <w:sz w:val="20"/>
              </w:rPr>
              <w:t xml:space="preserve"> </w:t>
            </w:r>
            <w:r>
              <w:rPr>
                <w:sz w:val="20"/>
              </w:rPr>
              <w:t>plant-wide monitoring</w:t>
            </w:r>
            <w:r>
              <w:rPr>
                <w:spacing w:val="-5"/>
                <w:sz w:val="20"/>
              </w:rPr>
              <w:t xml:space="preserve"> </w:t>
            </w:r>
            <w:r>
              <w:rPr>
                <w:sz w:val="20"/>
              </w:rPr>
              <w:t>and</w:t>
            </w:r>
            <w:r>
              <w:rPr>
                <w:spacing w:val="-5"/>
                <w:sz w:val="20"/>
              </w:rPr>
              <w:t xml:space="preserve"> </w:t>
            </w:r>
            <w:r>
              <w:rPr>
                <w:sz w:val="20"/>
              </w:rPr>
              <w:t>automated</w:t>
            </w:r>
            <w:r>
              <w:rPr>
                <w:spacing w:val="-6"/>
                <w:sz w:val="20"/>
              </w:rPr>
              <w:t xml:space="preserve"> </w:t>
            </w:r>
            <w:r>
              <w:rPr>
                <w:sz w:val="20"/>
              </w:rPr>
              <w:t>control</w:t>
            </w:r>
            <w:r>
              <w:rPr>
                <w:spacing w:val="-5"/>
                <w:sz w:val="20"/>
              </w:rPr>
              <w:t xml:space="preserve"> </w:t>
            </w:r>
            <w:r>
              <w:rPr>
                <w:sz w:val="20"/>
              </w:rPr>
              <w:t>systems;</w:t>
            </w:r>
            <w:r>
              <w:rPr>
                <w:spacing w:val="-6"/>
                <w:sz w:val="20"/>
              </w:rPr>
              <w:t xml:space="preserve"> </w:t>
            </w:r>
            <w:r>
              <w:rPr>
                <w:sz w:val="20"/>
              </w:rPr>
              <w:t>fuel</w:t>
            </w:r>
            <w:r>
              <w:rPr>
                <w:spacing w:val="-5"/>
                <w:sz w:val="20"/>
              </w:rPr>
              <w:t xml:space="preserve"> </w:t>
            </w:r>
            <w:r>
              <w:rPr>
                <w:sz w:val="20"/>
              </w:rPr>
              <w:t>to</w:t>
            </w:r>
            <w:r>
              <w:rPr>
                <w:spacing w:val="-5"/>
                <w:sz w:val="20"/>
              </w:rPr>
              <w:t xml:space="preserve"> </w:t>
            </w:r>
            <w:r>
              <w:rPr>
                <w:sz w:val="20"/>
              </w:rPr>
              <w:t>air controls for combustion systems; and variable flow primary loop systems for cooling.</w:t>
            </w:r>
          </w:p>
        </w:tc>
      </w:tr>
      <w:tr w:rsidR="00C31389" w14:paraId="79D2FBD3" w14:textId="77777777">
        <w:trPr>
          <w:trHeight w:val="619"/>
        </w:trPr>
        <w:tc>
          <w:tcPr>
            <w:tcW w:w="2401" w:type="dxa"/>
            <w:tcBorders>
              <w:top w:val="single" w:color="D9D9D9" w:sz="2" w:space="0"/>
              <w:bottom w:val="single" w:color="000000" w:sz="8" w:space="0"/>
            </w:tcBorders>
          </w:tcPr>
          <w:p w:rsidR="00C31389" w:rsidRDefault="00561FBD" w14:paraId="304FA110" w14:textId="77777777">
            <w:pPr>
              <w:pStyle w:val="TableParagraph"/>
              <w:spacing w:before="195"/>
              <w:ind w:left="129"/>
              <w:rPr>
                <w:sz w:val="20"/>
              </w:rPr>
            </w:pPr>
            <w:r>
              <w:rPr>
                <w:sz w:val="20"/>
              </w:rPr>
              <w:t>Chem</w:t>
            </w:r>
            <w:r>
              <w:rPr>
                <w:spacing w:val="-2"/>
                <w:sz w:val="20"/>
              </w:rPr>
              <w:t xml:space="preserve"> </w:t>
            </w:r>
            <w:r>
              <w:rPr>
                <w:sz w:val="20"/>
              </w:rPr>
              <w:t>Manf</w:t>
            </w:r>
            <w:r>
              <w:rPr>
                <w:spacing w:val="-2"/>
                <w:sz w:val="20"/>
              </w:rPr>
              <w:t xml:space="preserve"> </w:t>
            </w:r>
            <w:r>
              <w:rPr>
                <w:spacing w:val="-4"/>
                <w:sz w:val="20"/>
              </w:rPr>
              <w:t>VFDs</w:t>
            </w:r>
          </w:p>
        </w:tc>
        <w:tc>
          <w:tcPr>
            <w:tcW w:w="1792" w:type="dxa"/>
            <w:tcBorders>
              <w:top w:val="single" w:color="D9D9D9" w:sz="2" w:space="0"/>
              <w:bottom w:val="single" w:color="000000" w:sz="8" w:space="0"/>
            </w:tcBorders>
          </w:tcPr>
          <w:p w:rsidR="00C31389" w:rsidRDefault="00561FBD" w14:paraId="79E2B3F5" w14:textId="77777777">
            <w:pPr>
              <w:pStyle w:val="TableParagraph"/>
              <w:spacing w:before="195"/>
              <w:ind w:left="158"/>
              <w:rPr>
                <w:sz w:val="20"/>
              </w:rPr>
            </w:pPr>
            <w:r>
              <w:rPr>
                <w:sz w:val="20"/>
              </w:rPr>
              <w:t>Machine</w:t>
            </w:r>
            <w:r>
              <w:rPr>
                <w:spacing w:val="-6"/>
                <w:sz w:val="20"/>
              </w:rPr>
              <w:t xml:space="preserve"> </w:t>
            </w:r>
            <w:r>
              <w:rPr>
                <w:spacing w:val="-2"/>
                <w:sz w:val="20"/>
              </w:rPr>
              <w:t>Drive</w:t>
            </w:r>
          </w:p>
        </w:tc>
        <w:tc>
          <w:tcPr>
            <w:tcW w:w="5181" w:type="dxa"/>
            <w:tcBorders>
              <w:top w:val="single" w:color="D9D9D9" w:sz="2" w:space="0"/>
              <w:bottom w:val="single" w:color="000000" w:sz="8" w:space="0"/>
            </w:tcBorders>
          </w:tcPr>
          <w:p w:rsidR="00C31389" w:rsidRDefault="00561FBD" w14:paraId="091EB358" w14:textId="77777777">
            <w:pPr>
              <w:pStyle w:val="TableParagraph"/>
              <w:spacing w:before="80"/>
              <w:ind w:left="166" w:right="163"/>
              <w:rPr>
                <w:sz w:val="20"/>
              </w:rPr>
            </w:pPr>
            <w:r>
              <w:rPr>
                <w:sz w:val="20"/>
              </w:rPr>
              <w:t>Includes</w:t>
            </w:r>
            <w:r>
              <w:rPr>
                <w:spacing w:val="-6"/>
                <w:sz w:val="20"/>
              </w:rPr>
              <w:t xml:space="preserve"> </w:t>
            </w:r>
            <w:r>
              <w:rPr>
                <w:sz w:val="20"/>
              </w:rPr>
              <w:t>replacing</w:t>
            </w:r>
            <w:r>
              <w:rPr>
                <w:spacing w:val="-7"/>
                <w:sz w:val="20"/>
              </w:rPr>
              <w:t xml:space="preserve"> </w:t>
            </w:r>
            <w:r>
              <w:rPr>
                <w:sz w:val="20"/>
              </w:rPr>
              <w:t>constant</w:t>
            </w:r>
            <w:r>
              <w:rPr>
                <w:spacing w:val="-7"/>
                <w:sz w:val="20"/>
              </w:rPr>
              <w:t xml:space="preserve"> </w:t>
            </w:r>
            <w:r>
              <w:rPr>
                <w:sz w:val="20"/>
              </w:rPr>
              <w:t>speed</w:t>
            </w:r>
            <w:r>
              <w:rPr>
                <w:spacing w:val="-7"/>
                <w:sz w:val="20"/>
              </w:rPr>
              <w:t xml:space="preserve"> </w:t>
            </w:r>
            <w:r>
              <w:rPr>
                <w:sz w:val="20"/>
              </w:rPr>
              <w:t>drives</w:t>
            </w:r>
            <w:r>
              <w:rPr>
                <w:spacing w:val="-6"/>
                <w:sz w:val="20"/>
              </w:rPr>
              <w:t xml:space="preserve"> </w:t>
            </w:r>
            <w:r>
              <w:rPr>
                <w:sz w:val="20"/>
              </w:rPr>
              <w:t>and</w:t>
            </w:r>
            <w:r>
              <w:rPr>
                <w:spacing w:val="-7"/>
                <w:sz w:val="20"/>
              </w:rPr>
              <w:t xml:space="preserve"> </w:t>
            </w:r>
            <w:r>
              <w:rPr>
                <w:sz w:val="20"/>
              </w:rPr>
              <w:t>single stage systems with multi-stage systems.</w:t>
            </w:r>
          </w:p>
        </w:tc>
      </w:tr>
    </w:tbl>
    <w:p w:rsidR="00C31389" w:rsidRDefault="00C31389" w14:paraId="2E13CB15" w14:textId="77777777">
      <w:pPr>
        <w:pStyle w:val="BodyText"/>
        <w:rPr>
          <w:b/>
          <w:sz w:val="20"/>
        </w:rPr>
      </w:pPr>
    </w:p>
    <w:p w:rsidR="00C31389" w:rsidRDefault="00561FBD" w14:paraId="4862C12A" w14:textId="77777777">
      <w:pPr>
        <w:pStyle w:val="BodyText"/>
        <w:rPr>
          <w:b/>
          <w:sz w:val="21"/>
        </w:rPr>
      </w:pPr>
      <w:r>
        <w:rPr>
          <w:noProof/>
        </w:rPr>
        <mc:AlternateContent>
          <mc:Choice Requires="wps">
            <w:drawing>
              <wp:anchor distT="0" distB="0" distL="0" distR="0" simplePos="0" relativeHeight="487732224" behindDoc="1" locked="0" layoutInCell="1" allowOverlap="1" wp14:editId="4B59146A" wp14:anchorId="7BE64103">
                <wp:simplePos x="0" y="0"/>
                <wp:positionH relativeFrom="page">
                  <wp:posOffset>914400</wp:posOffset>
                </wp:positionH>
                <wp:positionV relativeFrom="paragraph">
                  <wp:posOffset>169049</wp:posOffset>
                </wp:positionV>
                <wp:extent cx="1828800" cy="6985"/>
                <wp:effectExtent l="0" t="0" r="0" b="0"/>
                <wp:wrapTopAndBottom/>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85" style="position:absolute;margin-left:1in;margin-top:13.3pt;width:2in;height:.55pt;z-index:-15584256;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" w14:anchorId="681E1776">
                <v:path arrowok="t"/>
                <w10:wrap type="topAndBottom" anchorx="page"/>
              </v:shape>
            </w:pict>
          </mc:Fallback>
        </mc:AlternateContent>
      </w:r>
    </w:p>
    <w:p w:rsidR="00C31389" w:rsidRDefault="00561FBD" w14:paraId="0F994E9D" w14:textId="77777777">
      <w:pPr>
        <w:spacing w:before="88"/>
        <w:ind w:left="480" w:right="418"/>
        <w:rPr>
          <w:sz w:val="18"/>
        </w:rPr>
      </w:pPr>
      <w:bookmarkStart w:name="_bookmark454" w:id="590"/>
      <w:bookmarkEnd w:id="590"/>
      <w:r>
        <w:rPr>
          <w:position w:val="6"/>
          <w:sz w:val="12"/>
        </w:rPr>
        <w:t>179</w:t>
      </w:r>
      <w:r>
        <w:rPr>
          <w:spacing w:val="15"/>
          <w:position w:val="6"/>
          <w:sz w:val="12"/>
        </w:rPr>
        <w:t xml:space="preserve"> </w:t>
      </w:r>
      <w:r>
        <w:rPr>
          <w:sz w:val="18"/>
        </w:rPr>
        <w:t>There</w:t>
      </w:r>
      <w:r>
        <w:rPr>
          <w:spacing w:val="-3"/>
          <w:sz w:val="18"/>
        </w:rPr>
        <w:t xml:space="preserve"> </w:t>
      </w:r>
      <w:r>
        <w:rPr>
          <w:sz w:val="18"/>
        </w:rPr>
        <w:t>may</w:t>
      </w:r>
      <w:r>
        <w:rPr>
          <w:spacing w:val="-2"/>
          <w:sz w:val="18"/>
        </w:rPr>
        <w:t xml:space="preserve"> </w:t>
      </w:r>
      <w:r>
        <w:rPr>
          <w:sz w:val="18"/>
        </w:rPr>
        <w:t>be</w:t>
      </w:r>
      <w:r>
        <w:rPr>
          <w:spacing w:val="-1"/>
          <w:sz w:val="18"/>
        </w:rPr>
        <w:t xml:space="preserve"> </w:t>
      </w:r>
      <w:r>
        <w:rPr>
          <w:sz w:val="18"/>
        </w:rPr>
        <w:t>overlap</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SEM-like</w:t>
      </w:r>
      <w:r>
        <w:rPr>
          <w:spacing w:val="-3"/>
          <w:sz w:val="18"/>
        </w:rPr>
        <w:t xml:space="preserve"> </w:t>
      </w:r>
      <w:r>
        <w:rPr>
          <w:sz w:val="18"/>
        </w:rPr>
        <w:t>industrial</w:t>
      </w:r>
      <w:r>
        <w:rPr>
          <w:spacing w:val="-2"/>
          <w:sz w:val="18"/>
        </w:rPr>
        <w:t xml:space="preserve"> </w:t>
      </w:r>
      <w:r>
        <w:rPr>
          <w:sz w:val="18"/>
        </w:rPr>
        <w:t>measure</w:t>
      </w:r>
      <w:r>
        <w:rPr>
          <w:spacing w:val="-3"/>
          <w:sz w:val="18"/>
        </w:rPr>
        <w:t xml:space="preserve"> </w:t>
      </w:r>
      <w:r>
        <w:rPr>
          <w:sz w:val="18"/>
        </w:rPr>
        <w:t>with</w:t>
      </w:r>
      <w:r>
        <w:rPr>
          <w:spacing w:val="-3"/>
          <w:sz w:val="18"/>
        </w:rPr>
        <w:t xml:space="preserve"> </w:t>
      </w:r>
      <w:r>
        <w:rPr>
          <w:sz w:val="18"/>
        </w:rPr>
        <w:t>RCx;</w:t>
      </w:r>
      <w:r>
        <w:rPr>
          <w:spacing w:val="-2"/>
          <w:sz w:val="18"/>
        </w:rPr>
        <w:t xml:space="preserve"> </w:t>
      </w:r>
      <w:r>
        <w:rPr>
          <w:sz w:val="18"/>
        </w:rPr>
        <w:t>however,</w:t>
      </w:r>
      <w:r>
        <w:rPr>
          <w:spacing w:val="-2"/>
          <w:sz w:val="18"/>
        </w:rPr>
        <w:t xml:space="preserve"> </w:t>
      </w:r>
      <w:r>
        <w:rPr>
          <w:sz w:val="18"/>
        </w:rPr>
        <w:t>the</w:t>
      </w:r>
      <w:r>
        <w:rPr>
          <w:spacing w:val="-3"/>
          <w:sz w:val="18"/>
        </w:rPr>
        <w:t xml:space="preserve"> </w:t>
      </w:r>
      <w:r>
        <w:rPr>
          <w:sz w:val="18"/>
        </w:rPr>
        <w:t>Industrial</w:t>
      </w:r>
      <w:r>
        <w:rPr>
          <w:spacing w:val="-2"/>
          <w:sz w:val="18"/>
        </w:rPr>
        <w:t xml:space="preserve"> </w:t>
      </w:r>
      <w:r>
        <w:rPr>
          <w:sz w:val="18"/>
        </w:rPr>
        <w:t>and</w:t>
      </w:r>
      <w:r>
        <w:rPr>
          <w:spacing w:val="-3"/>
          <w:sz w:val="18"/>
        </w:rPr>
        <w:t xml:space="preserve"> </w:t>
      </w:r>
      <w:r>
        <w:rPr>
          <w:sz w:val="18"/>
        </w:rPr>
        <w:t xml:space="preserve">Agriculture Market Study </w:t>
      </w:r>
      <w:r>
        <w:rPr>
          <w:sz w:val="18"/>
        </w:rPr>
        <w:t>provided specific characterization to quantify the measure under characterized custom.</w:t>
      </w:r>
    </w:p>
    <w:p w:rsidR="00C31389" w:rsidRDefault="00561FBD" w14:paraId="07699529" w14:textId="77777777">
      <w:pPr>
        <w:spacing w:before="35"/>
        <w:ind w:left="480" w:right="418"/>
        <w:rPr>
          <w:sz w:val="18"/>
        </w:rPr>
      </w:pPr>
      <w:bookmarkStart w:name="_bookmark455" w:id="591"/>
      <w:bookmarkEnd w:id="591"/>
      <w:r>
        <w:rPr>
          <w:position w:val="6"/>
          <w:sz w:val="12"/>
        </w:rPr>
        <w:t>180</w:t>
      </w:r>
      <w:r>
        <w:rPr>
          <w:spacing w:val="15"/>
          <w:position w:val="6"/>
          <w:sz w:val="12"/>
        </w:rPr>
        <w:t xml:space="preserve"> </w:t>
      </w:r>
      <w:r>
        <w:rPr>
          <w:sz w:val="18"/>
        </w:rPr>
        <w:t>There</w:t>
      </w:r>
      <w:r>
        <w:rPr>
          <w:spacing w:val="-3"/>
          <w:sz w:val="18"/>
        </w:rPr>
        <w:t xml:space="preserve"> </w:t>
      </w:r>
      <w:r>
        <w:rPr>
          <w:sz w:val="18"/>
        </w:rPr>
        <w:t>may</w:t>
      </w:r>
      <w:r>
        <w:rPr>
          <w:spacing w:val="-2"/>
          <w:sz w:val="18"/>
        </w:rPr>
        <w:t xml:space="preserve"> </w:t>
      </w:r>
      <w:r>
        <w:rPr>
          <w:sz w:val="18"/>
        </w:rPr>
        <w:t>be</w:t>
      </w:r>
      <w:r>
        <w:rPr>
          <w:spacing w:val="-1"/>
          <w:sz w:val="18"/>
        </w:rPr>
        <w:t xml:space="preserve"> </w:t>
      </w:r>
      <w:r>
        <w:rPr>
          <w:sz w:val="18"/>
        </w:rPr>
        <w:t>overlap</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SEM-like</w:t>
      </w:r>
      <w:r>
        <w:rPr>
          <w:spacing w:val="-3"/>
          <w:sz w:val="18"/>
        </w:rPr>
        <w:t xml:space="preserve"> </w:t>
      </w:r>
      <w:r>
        <w:rPr>
          <w:sz w:val="18"/>
        </w:rPr>
        <w:t>industrial</w:t>
      </w:r>
      <w:r>
        <w:rPr>
          <w:spacing w:val="-2"/>
          <w:sz w:val="18"/>
        </w:rPr>
        <w:t xml:space="preserve"> </w:t>
      </w:r>
      <w:r>
        <w:rPr>
          <w:sz w:val="18"/>
        </w:rPr>
        <w:t>measure</w:t>
      </w:r>
      <w:r>
        <w:rPr>
          <w:spacing w:val="-3"/>
          <w:sz w:val="18"/>
        </w:rPr>
        <w:t xml:space="preserve"> </w:t>
      </w:r>
      <w:r>
        <w:rPr>
          <w:sz w:val="18"/>
        </w:rPr>
        <w:t>with</w:t>
      </w:r>
      <w:r>
        <w:rPr>
          <w:spacing w:val="-3"/>
          <w:sz w:val="18"/>
        </w:rPr>
        <w:t xml:space="preserve"> </w:t>
      </w:r>
      <w:r>
        <w:rPr>
          <w:sz w:val="18"/>
        </w:rPr>
        <w:t>RCx;</w:t>
      </w:r>
      <w:r>
        <w:rPr>
          <w:spacing w:val="-2"/>
          <w:sz w:val="18"/>
        </w:rPr>
        <w:t xml:space="preserve"> </w:t>
      </w:r>
      <w:r>
        <w:rPr>
          <w:sz w:val="18"/>
        </w:rPr>
        <w:t>however,</w:t>
      </w:r>
      <w:r>
        <w:rPr>
          <w:spacing w:val="-2"/>
          <w:sz w:val="18"/>
        </w:rPr>
        <w:t xml:space="preserve"> </w:t>
      </w:r>
      <w:r>
        <w:rPr>
          <w:sz w:val="18"/>
        </w:rPr>
        <w:t>the</w:t>
      </w:r>
      <w:r>
        <w:rPr>
          <w:spacing w:val="-3"/>
          <w:sz w:val="18"/>
        </w:rPr>
        <w:t xml:space="preserve"> </w:t>
      </w:r>
      <w:r>
        <w:rPr>
          <w:sz w:val="18"/>
        </w:rPr>
        <w:t>Industrial</w:t>
      </w:r>
      <w:r>
        <w:rPr>
          <w:spacing w:val="-2"/>
          <w:sz w:val="18"/>
        </w:rPr>
        <w:t xml:space="preserve"> </w:t>
      </w:r>
      <w:r>
        <w:rPr>
          <w:sz w:val="18"/>
        </w:rPr>
        <w:t>and</w:t>
      </w:r>
      <w:r>
        <w:rPr>
          <w:spacing w:val="-3"/>
          <w:sz w:val="18"/>
        </w:rPr>
        <w:t xml:space="preserve"> </w:t>
      </w:r>
      <w:r>
        <w:rPr>
          <w:sz w:val="18"/>
        </w:rPr>
        <w:t>Agriculture Market Study provided specific characterization to quanti</w:t>
      </w:r>
      <w:r>
        <w:rPr>
          <w:sz w:val="18"/>
        </w:rPr>
        <w:t>fy the measure under characterized custom.</w:t>
      </w:r>
    </w:p>
    <w:p w:rsidR="00C31389" w:rsidRDefault="00C31389" w14:paraId="788BFB3E" w14:textId="77777777">
      <w:pPr>
        <w:rPr>
          <w:sz w:val="18"/>
        </w:rPr>
        <w:sectPr w:rsidR="00C31389">
          <w:pgSz w:w="11910" w:h="16840"/>
          <w:pgMar w:top="1380" w:right="1020" w:bottom="1120" w:left="960" w:header="397" w:footer="938" w:gutter="0"/>
          <w:cols w:space="720"/>
        </w:sectPr>
      </w:pPr>
    </w:p>
    <w:p w:rsidR="00C31389" w:rsidRDefault="00C31389" w14:paraId="2D325FF4" w14:textId="77777777">
      <w:pPr>
        <w:pStyle w:val="BodyText"/>
      </w:pPr>
    </w:p>
    <w:p w:rsidR="00C31389" w:rsidRDefault="00C31389" w14:paraId="5B7F0765" w14:textId="77777777">
      <w:pPr>
        <w:pStyle w:val="BodyText"/>
        <w:spacing w:before="9"/>
        <w:rPr>
          <w:sz w:val="13"/>
        </w:rPr>
      </w:pPr>
    </w:p>
    <w:p w:rsidR="00C31389" w:rsidRDefault="00561FBD" w14:paraId="334B9060" w14:textId="77777777">
      <w:pPr>
        <w:spacing w:before="94"/>
        <w:ind w:left="480"/>
        <w:rPr>
          <w:i/>
          <w:sz w:val="18"/>
        </w:rPr>
      </w:pPr>
      <w:r>
        <w:rPr>
          <w:i/>
          <w:sz w:val="18"/>
        </w:rPr>
        <w:t>Source:</w:t>
      </w:r>
      <w:r>
        <w:rPr>
          <w:i/>
          <w:spacing w:val="-6"/>
          <w:sz w:val="18"/>
        </w:rPr>
        <w:t xml:space="preserve"> </w:t>
      </w:r>
      <w:r>
        <w:rPr>
          <w:i/>
          <w:sz w:val="18"/>
        </w:rPr>
        <w:t>Guidehouse</w:t>
      </w:r>
      <w:r>
        <w:rPr>
          <w:i/>
          <w:spacing w:val="-4"/>
          <w:sz w:val="18"/>
        </w:rPr>
        <w:t xml:space="preserve"> team</w:t>
      </w:r>
    </w:p>
    <w:p w:rsidR="00C31389" w:rsidRDefault="00C31389" w14:paraId="74EE7A47" w14:textId="77777777">
      <w:pPr>
        <w:pStyle w:val="BodyText"/>
        <w:spacing w:before="9"/>
        <w:rPr>
          <w:i/>
          <w:sz w:val="20"/>
        </w:rPr>
      </w:pPr>
    </w:p>
    <w:p w:rsidR="00C31389" w:rsidRDefault="00561FBD" w14:paraId="7BD5F9F7" w14:textId="77777777">
      <w:pPr>
        <w:pStyle w:val="ListParagraph"/>
        <w:numPr>
          <w:ilvl w:val="1"/>
          <w:numId w:val="14"/>
        </w:numPr>
        <w:tabs>
          <w:tab w:val="left" w:pos="976"/>
        </w:tabs>
        <w:ind w:left="976" w:hanging="496"/>
        <w:rPr>
          <w:b/>
          <w:sz w:val="28"/>
        </w:rPr>
      </w:pPr>
      <w:bookmarkStart w:name="E.2_Agriculture" w:id="592"/>
      <w:bookmarkStart w:name="_bookmark456" w:id="593"/>
      <w:bookmarkEnd w:id="592"/>
      <w:bookmarkEnd w:id="593"/>
      <w:r>
        <w:rPr>
          <w:b/>
          <w:spacing w:val="-2"/>
          <w:sz w:val="28"/>
        </w:rPr>
        <w:t>Agriculture</w:t>
      </w:r>
    </w:p>
    <w:p w:rsidR="00C31389" w:rsidRDefault="00561FBD" w14:paraId="5AE36274" w14:textId="77777777">
      <w:pPr>
        <w:pStyle w:val="BodyText"/>
        <w:spacing w:before="241"/>
        <w:ind w:left="480" w:right="615" w:hanging="1"/>
      </w:pPr>
      <w:hyperlink w:history="1" w:anchor="_bookmark457">
        <w:r>
          <w:t>Table</w:t>
        </w:r>
        <w:r>
          <w:rPr>
            <w:spacing w:val="-3"/>
          </w:rPr>
          <w:t xml:space="preserve"> </w:t>
        </w:r>
        <w:r>
          <w:t>E-3</w:t>
        </w:r>
      </w:hyperlink>
      <w:r>
        <w:rPr>
          <w:spacing w:val="-3"/>
        </w:rPr>
        <w:t xml:space="preserve"> </w:t>
      </w:r>
      <w:r>
        <w:t>displays</w:t>
      </w:r>
      <w:r>
        <w:rPr>
          <w:spacing w:val="-3"/>
        </w:rPr>
        <w:t xml:space="preserve"> </w:t>
      </w:r>
      <w:r>
        <w:t>the</w:t>
      </w:r>
      <w:r>
        <w:rPr>
          <w:spacing w:val="-3"/>
        </w:rPr>
        <w:t xml:space="preserve"> </w:t>
      </w:r>
      <w:r>
        <w:t>agriculture</w:t>
      </w:r>
      <w:r>
        <w:rPr>
          <w:spacing w:val="-3"/>
        </w:rPr>
        <w:t xml:space="preserve"> </w:t>
      </w:r>
      <w:r>
        <w:t>measure</w:t>
      </w:r>
      <w:r>
        <w:rPr>
          <w:spacing w:val="-3"/>
        </w:rPr>
        <w:t xml:space="preserve"> </w:t>
      </w:r>
      <w:r>
        <w:t>list</w:t>
      </w:r>
      <w:r>
        <w:rPr>
          <w:spacing w:val="-4"/>
        </w:rPr>
        <w:t xml:space="preserve"> </w:t>
      </w:r>
      <w:r>
        <w:t>used</w:t>
      </w:r>
      <w:r>
        <w:rPr>
          <w:spacing w:val="-3"/>
        </w:rPr>
        <w:t xml:space="preserve"> </w:t>
      </w:r>
      <w:r>
        <w:t>in</w:t>
      </w:r>
      <w:r>
        <w:rPr>
          <w:spacing w:val="-3"/>
        </w:rPr>
        <w:t xml:space="preserve"> </w:t>
      </w:r>
      <w:r>
        <w:t>the</w:t>
      </w:r>
      <w:r>
        <w:rPr>
          <w:spacing w:val="-2"/>
        </w:rPr>
        <w:t xml:space="preserve"> </w:t>
      </w:r>
      <w:r>
        <w:t>PG</w:t>
      </w:r>
      <w:r>
        <w:rPr>
          <w:spacing w:val="-4"/>
        </w:rPr>
        <w:t xml:space="preserve"> </w:t>
      </w:r>
      <w:r>
        <w:t>Model</w:t>
      </w:r>
      <w:r>
        <w:rPr>
          <w:spacing w:val="-3"/>
        </w:rPr>
        <w:t xml:space="preserve"> </w:t>
      </w:r>
      <w:r>
        <w:t>using</w:t>
      </w:r>
      <w:r>
        <w:rPr>
          <w:spacing w:val="-3"/>
        </w:rPr>
        <w:t xml:space="preserve"> </w:t>
      </w:r>
      <w:r>
        <w:t>a</w:t>
      </w:r>
      <w:r>
        <w:rPr>
          <w:spacing w:val="-3"/>
        </w:rPr>
        <w:t xml:space="preserve"> </w:t>
      </w:r>
      <w:r>
        <w:t>diffusion model. Generic measures apply to all subsectors. Specific measures for a particular subsector are noted within the measure name.</w:t>
      </w:r>
    </w:p>
    <w:p w:rsidR="00C31389" w:rsidRDefault="00C31389" w14:paraId="6044E15E" w14:textId="77777777">
      <w:pPr>
        <w:pStyle w:val="BodyText"/>
        <w:spacing w:before="10"/>
        <w:rPr>
          <w:sz w:val="20"/>
        </w:rPr>
      </w:pPr>
    </w:p>
    <w:p w:rsidR="00C31389" w:rsidRDefault="00561FBD" w14:paraId="4D86BC33" w14:textId="77777777">
      <w:pPr>
        <w:pStyle w:val="Heading7"/>
        <w:spacing w:before="1"/>
        <w:ind w:left="0" w:right="1685"/>
        <w:jc w:val="right"/>
      </w:pPr>
      <w:bookmarkStart w:name="_bookmark457" w:id="594"/>
      <w:bookmarkEnd w:id="594"/>
      <w:r>
        <w:t>Table</w:t>
      </w:r>
      <w:r>
        <w:rPr>
          <w:spacing w:val="-10"/>
        </w:rPr>
        <w:t xml:space="preserve"> </w:t>
      </w:r>
      <w:r>
        <w:t>E-3.</w:t>
      </w:r>
      <w:r>
        <w:rPr>
          <w:spacing w:val="-11"/>
        </w:rPr>
        <w:t xml:space="preserve"> </w:t>
      </w:r>
      <w:r>
        <w:t>Ag</w:t>
      </w:r>
      <w:r>
        <w:t>riculture</w:t>
      </w:r>
      <w:r>
        <w:rPr>
          <w:spacing w:val="-9"/>
        </w:rPr>
        <w:t xml:space="preserve"> </w:t>
      </w:r>
      <w:r>
        <w:t>Sector</w:t>
      </w:r>
      <w:r>
        <w:rPr>
          <w:spacing w:val="-11"/>
        </w:rPr>
        <w:t xml:space="preserve"> </w:t>
      </w:r>
      <w:r>
        <w:t>Characterized</w:t>
      </w:r>
      <w:r>
        <w:rPr>
          <w:spacing w:val="-10"/>
        </w:rPr>
        <w:t xml:space="preserve"> </w:t>
      </w:r>
      <w:r>
        <w:t>Custom</w:t>
      </w:r>
      <w:r>
        <w:rPr>
          <w:spacing w:val="-10"/>
        </w:rPr>
        <w:t xml:space="preserve"> </w:t>
      </w:r>
      <w:r>
        <w:rPr>
          <w:spacing w:val="-2"/>
        </w:rPr>
        <w:t>Measures</w:t>
      </w:r>
    </w:p>
    <w:p w:rsidR="00C31389" w:rsidRDefault="00C31389" w14:paraId="44EEBD54" w14:textId="77777777">
      <w:pPr>
        <w:pStyle w:val="BodyText"/>
        <w:spacing w:before="7"/>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2434"/>
        <w:gridCol w:w="1715"/>
        <w:gridCol w:w="5226"/>
      </w:tblGrid>
      <w:tr w:rsidR="00C31389" w14:paraId="4420F53C" w14:textId="77777777">
        <w:trPr>
          <w:trHeight w:val="611"/>
        </w:trPr>
        <w:tc>
          <w:tcPr>
            <w:tcW w:w="2434" w:type="dxa"/>
            <w:shd w:val="clear" w:color="auto" w:fill="92D400"/>
          </w:tcPr>
          <w:p w:rsidR="00C31389" w:rsidRDefault="00561FBD" w14:paraId="15E22053" w14:textId="77777777">
            <w:pPr>
              <w:pStyle w:val="TableParagraph"/>
              <w:spacing w:before="187"/>
              <w:ind w:left="129"/>
              <w:rPr>
                <w:b/>
                <w:sz w:val="20"/>
              </w:rPr>
            </w:pPr>
            <w:r>
              <w:rPr>
                <w:b/>
                <w:sz w:val="20"/>
              </w:rPr>
              <w:t>Measure</w:t>
            </w:r>
            <w:r>
              <w:rPr>
                <w:b/>
                <w:spacing w:val="-7"/>
                <w:sz w:val="20"/>
              </w:rPr>
              <w:t xml:space="preserve"> </w:t>
            </w:r>
            <w:r>
              <w:rPr>
                <w:b/>
                <w:spacing w:val="-4"/>
                <w:sz w:val="20"/>
              </w:rPr>
              <w:t>Name</w:t>
            </w:r>
          </w:p>
        </w:tc>
        <w:tc>
          <w:tcPr>
            <w:tcW w:w="1715" w:type="dxa"/>
            <w:shd w:val="clear" w:color="auto" w:fill="92D400"/>
          </w:tcPr>
          <w:p w:rsidR="00C31389" w:rsidRDefault="00561FBD" w14:paraId="1EFEDDB5" w14:textId="77777777">
            <w:pPr>
              <w:pStyle w:val="TableParagraph"/>
              <w:spacing w:before="71"/>
              <w:ind w:left="125"/>
              <w:rPr>
                <w:b/>
                <w:sz w:val="20"/>
              </w:rPr>
            </w:pPr>
            <w:r>
              <w:rPr>
                <w:b/>
                <w:sz w:val="20"/>
              </w:rPr>
              <w:t xml:space="preserve">End Use </w:t>
            </w:r>
            <w:r>
              <w:rPr>
                <w:b/>
                <w:spacing w:val="-2"/>
                <w:sz w:val="20"/>
              </w:rPr>
              <w:t>Category</w:t>
            </w:r>
          </w:p>
        </w:tc>
        <w:tc>
          <w:tcPr>
            <w:tcW w:w="5226" w:type="dxa"/>
            <w:shd w:val="clear" w:color="auto" w:fill="92D400"/>
          </w:tcPr>
          <w:p w:rsidR="00C31389" w:rsidRDefault="00561FBD" w14:paraId="328C1C28" w14:textId="77777777">
            <w:pPr>
              <w:pStyle w:val="TableParagraph"/>
              <w:spacing w:before="187"/>
              <w:ind w:left="120"/>
              <w:rPr>
                <w:b/>
                <w:sz w:val="20"/>
              </w:rPr>
            </w:pPr>
            <w:r>
              <w:rPr>
                <w:b/>
                <w:spacing w:val="-2"/>
                <w:sz w:val="20"/>
              </w:rPr>
              <w:t>Description</w:t>
            </w:r>
          </w:p>
        </w:tc>
      </w:tr>
      <w:tr w:rsidR="00C31389" w14:paraId="2603F9DB" w14:textId="77777777">
        <w:trPr>
          <w:trHeight w:val="850"/>
        </w:trPr>
        <w:tc>
          <w:tcPr>
            <w:tcW w:w="2434" w:type="dxa"/>
            <w:tcBorders>
              <w:bottom w:val="single" w:color="D9D9D9" w:sz="2" w:space="0"/>
            </w:tcBorders>
          </w:tcPr>
          <w:p w:rsidR="00C31389" w:rsidRDefault="00561FBD" w14:paraId="3F6CDC4F" w14:textId="77777777">
            <w:pPr>
              <w:pStyle w:val="TableParagraph"/>
              <w:spacing w:before="80"/>
              <w:ind w:left="129" w:right="231"/>
              <w:rPr>
                <w:sz w:val="20"/>
              </w:rPr>
            </w:pPr>
            <w:r>
              <w:rPr>
                <w:sz w:val="20"/>
              </w:rPr>
              <w:t>HVAC</w:t>
            </w:r>
            <w:r>
              <w:rPr>
                <w:spacing w:val="-14"/>
                <w:sz w:val="20"/>
              </w:rPr>
              <w:t xml:space="preserve"> </w:t>
            </w:r>
            <w:r>
              <w:rPr>
                <w:sz w:val="20"/>
              </w:rPr>
              <w:t>Ventilation</w:t>
            </w:r>
            <w:r>
              <w:rPr>
                <w:spacing w:val="-14"/>
                <w:sz w:val="20"/>
              </w:rPr>
              <w:t xml:space="preserve"> </w:t>
            </w:r>
            <w:r>
              <w:rPr>
                <w:sz w:val="20"/>
              </w:rPr>
              <w:t xml:space="preserve">(Fan </w:t>
            </w:r>
            <w:r>
              <w:rPr>
                <w:spacing w:val="-2"/>
                <w:sz w:val="20"/>
              </w:rPr>
              <w:t>Ventilation Improvement)</w:t>
            </w:r>
          </w:p>
        </w:tc>
        <w:tc>
          <w:tcPr>
            <w:tcW w:w="1715" w:type="dxa"/>
            <w:tcBorders>
              <w:bottom w:val="single" w:color="D9D9D9" w:sz="2" w:space="0"/>
            </w:tcBorders>
          </w:tcPr>
          <w:p w:rsidR="00C31389" w:rsidRDefault="00C31389" w14:paraId="4E4C908D" w14:textId="77777777">
            <w:pPr>
              <w:pStyle w:val="TableParagraph"/>
              <w:spacing w:before="11"/>
              <w:rPr>
                <w:b/>
                <w:sz w:val="26"/>
              </w:rPr>
            </w:pPr>
          </w:p>
          <w:p w:rsidR="00C31389" w:rsidRDefault="00561FBD" w14:paraId="6A52407F" w14:textId="77777777">
            <w:pPr>
              <w:pStyle w:val="TableParagraph"/>
              <w:spacing w:before="0"/>
              <w:ind w:left="125"/>
              <w:rPr>
                <w:sz w:val="20"/>
              </w:rPr>
            </w:pPr>
            <w:r>
              <w:rPr>
                <w:spacing w:val="-4"/>
                <w:sz w:val="20"/>
              </w:rPr>
              <w:t>HVAC</w:t>
            </w:r>
          </w:p>
        </w:tc>
        <w:tc>
          <w:tcPr>
            <w:tcW w:w="5226" w:type="dxa"/>
            <w:tcBorders>
              <w:bottom w:val="single" w:color="D9D9D9" w:sz="2" w:space="0"/>
            </w:tcBorders>
          </w:tcPr>
          <w:p w:rsidR="00C31389" w:rsidRDefault="00561FBD" w14:paraId="708128B7" w14:textId="77777777">
            <w:pPr>
              <w:pStyle w:val="TableParagraph"/>
              <w:spacing w:before="80"/>
              <w:ind w:left="120" w:right="209"/>
              <w:rPr>
                <w:sz w:val="20"/>
              </w:rPr>
            </w:pPr>
            <w:r>
              <w:rPr>
                <w:sz w:val="20"/>
              </w:rPr>
              <w:t>Upgrade to more efficient fans, temperature and humidity</w:t>
            </w:r>
            <w:r>
              <w:rPr>
                <w:spacing w:val="-8"/>
                <w:sz w:val="20"/>
              </w:rPr>
              <w:t xml:space="preserve"> </w:t>
            </w:r>
            <w:r>
              <w:rPr>
                <w:sz w:val="20"/>
              </w:rPr>
              <w:t>controls,</w:t>
            </w:r>
            <w:r>
              <w:rPr>
                <w:spacing w:val="-8"/>
                <w:sz w:val="20"/>
              </w:rPr>
              <w:t xml:space="preserve"> </w:t>
            </w:r>
            <w:r>
              <w:rPr>
                <w:sz w:val="20"/>
              </w:rPr>
              <w:t>VFDs</w:t>
            </w:r>
            <w:r>
              <w:rPr>
                <w:spacing w:val="-8"/>
                <w:sz w:val="20"/>
              </w:rPr>
              <w:t xml:space="preserve"> </w:t>
            </w:r>
            <w:r>
              <w:rPr>
                <w:sz w:val="20"/>
              </w:rPr>
              <w:t>(includes</w:t>
            </w:r>
            <w:r>
              <w:rPr>
                <w:spacing w:val="-8"/>
                <w:sz w:val="20"/>
              </w:rPr>
              <w:t xml:space="preserve"> </w:t>
            </w:r>
            <w:r>
              <w:rPr>
                <w:sz w:val="20"/>
              </w:rPr>
              <w:t>post-harvest</w:t>
            </w:r>
            <w:r>
              <w:rPr>
                <w:spacing w:val="-8"/>
                <w:sz w:val="20"/>
              </w:rPr>
              <w:t xml:space="preserve"> </w:t>
            </w:r>
            <w:r>
              <w:rPr>
                <w:sz w:val="20"/>
              </w:rPr>
              <w:t xml:space="preserve">process fan </w:t>
            </w:r>
            <w:r>
              <w:rPr>
                <w:sz w:val="20"/>
              </w:rPr>
              <w:t>aeration improvements).</w:t>
            </w:r>
          </w:p>
        </w:tc>
      </w:tr>
      <w:tr w:rsidR="00C31389" w14:paraId="39EFD3D9" w14:textId="77777777">
        <w:trPr>
          <w:trHeight w:val="849"/>
        </w:trPr>
        <w:tc>
          <w:tcPr>
            <w:tcW w:w="2434" w:type="dxa"/>
            <w:tcBorders>
              <w:top w:val="single" w:color="D9D9D9" w:sz="2" w:space="0"/>
              <w:bottom w:val="single" w:color="D9D9D9" w:sz="2" w:space="0"/>
            </w:tcBorders>
          </w:tcPr>
          <w:p w:rsidR="00C31389" w:rsidRDefault="00561FBD" w14:paraId="01950654" w14:textId="77777777">
            <w:pPr>
              <w:pStyle w:val="TableParagraph"/>
              <w:spacing w:before="195"/>
              <w:ind w:left="129" w:right="231"/>
              <w:rPr>
                <w:sz w:val="20"/>
              </w:rPr>
            </w:pPr>
            <w:r>
              <w:rPr>
                <w:sz w:val="20"/>
              </w:rPr>
              <w:t>HVAC</w:t>
            </w:r>
            <w:r>
              <w:rPr>
                <w:spacing w:val="-14"/>
                <w:sz w:val="20"/>
              </w:rPr>
              <w:t xml:space="preserve"> </w:t>
            </w:r>
            <w:r>
              <w:rPr>
                <w:sz w:val="20"/>
              </w:rPr>
              <w:t>Chiller</w:t>
            </w:r>
            <w:r>
              <w:rPr>
                <w:spacing w:val="-14"/>
                <w:sz w:val="20"/>
              </w:rPr>
              <w:t xml:space="preserve"> </w:t>
            </w:r>
            <w:r>
              <w:rPr>
                <w:sz w:val="20"/>
              </w:rPr>
              <w:t xml:space="preserve">Water </w:t>
            </w:r>
            <w:r>
              <w:rPr>
                <w:spacing w:val="-2"/>
                <w:sz w:val="20"/>
              </w:rPr>
              <w:t>Cooled</w:t>
            </w:r>
          </w:p>
        </w:tc>
        <w:tc>
          <w:tcPr>
            <w:tcW w:w="1715" w:type="dxa"/>
            <w:tcBorders>
              <w:top w:val="single" w:color="D9D9D9" w:sz="2" w:space="0"/>
              <w:bottom w:val="single" w:color="D9D9D9" w:sz="2" w:space="0"/>
            </w:tcBorders>
          </w:tcPr>
          <w:p w:rsidR="00C31389" w:rsidRDefault="00C31389" w14:paraId="4D2067BB" w14:textId="77777777">
            <w:pPr>
              <w:pStyle w:val="TableParagraph"/>
              <w:spacing w:before="11"/>
              <w:rPr>
                <w:b/>
                <w:sz w:val="26"/>
              </w:rPr>
            </w:pPr>
          </w:p>
          <w:p w:rsidR="00C31389" w:rsidRDefault="00561FBD" w14:paraId="6F385902" w14:textId="77777777">
            <w:pPr>
              <w:pStyle w:val="TableParagraph"/>
              <w:spacing w:before="0"/>
              <w:ind w:left="125"/>
              <w:rPr>
                <w:sz w:val="20"/>
              </w:rPr>
            </w:pPr>
            <w:r>
              <w:rPr>
                <w:spacing w:val="-4"/>
                <w:sz w:val="20"/>
              </w:rPr>
              <w:t>HVAC</w:t>
            </w:r>
          </w:p>
        </w:tc>
        <w:tc>
          <w:tcPr>
            <w:tcW w:w="5226" w:type="dxa"/>
            <w:tcBorders>
              <w:top w:val="single" w:color="D9D9D9" w:sz="2" w:space="0"/>
              <w:bottom w:val="single" w:color="D9D9D9" w:sz="2" w:space="0"/>
            </w:tcBorders>
          </w:tcPr>
          <w:p w:rsidR="00C31389" w:rsidRDefault="00561FBD" w14:paraId="5FBB927E" w14:textId="77777777">
            <w:pPr>
              <w:pStyle w:val="TableParagraph"/>
              <w:spacing w:before="80"/>
              <w:ind w:left="120"/>
              <w:rPr>
                <w:sz w:val="20"/>
              </w:rPr>
            </w:pPr>
            <w:r>
              <w:rPr>
                <w:sz w:val="20"/>
              </w:rPr>
              <w:t>Chiller</w:t>
            </w:r>
            <w:r>
              <w:rPr>
                <w:spacing w:val="-7"/>
                <w:sz w:val="20"/>
              </w:rPr>
              <w:t xml:space="preserve"> </w:t>
            </w:r>
            <w:r>
              <w:rPr>
                <w:sz w:val="20"/>
              </w:rPr>
              <w:t>upgrades</w:t>
            </w:r>
            <w:r>
              <w:rPr>
                <w:spacing w:val="-7"/>
                <w:sz w:val="20"/>
              </w:rPr>
              <w:t xml:space="preserve"> </w:t>
            </w:r>
            <w:r>
              <w:rPr>
                <w:sz w:val="20"/>
              </w:rPr>
              <w:t>including</w:t>
            </w:r>
            <w:r>
              <w:rPr>
                <w:spacing w:val="-9"/>
                <w:sz w:val="20"/>
              </w:rPr>
              <w:t xml:space="preserve"> </w:t>
            </w:r>
            <w:r>
              <w:rPr>
                <w:sz w:val="20"/>
              </w:rPr>
              <w:t>advanced</w:t>
            </w:r>
            <w:r>
              <w:rPr>
                <w:spacing w:val="-9"/>
                <w:sz w:val="20"/>
              </w:rPr>
              <w:t xml:space="preserve"> </w:t>
            </w:r>
            <w:r>
              <w:rPr>
                <w:sz w:val="20"/>
              </w:rPr>
              <w:t>controls,</w:t>
            </w:r>
            <w:r>
              <w:rPr>
                <w:spacing w:val="-8"/>
                <w:sz w:val="20"/>
              </w:rPr>
              <w:t xml:space="preserve"> </w:t>
            </w:r>
            <w:r>
              <w:rPr>
                <w:sz w:val="20"/>
              </w:rPr>
              <w:t xml:space="preserve">higher efficiency equipment, and overall system efficiency </w:t>
            </w:r>
            <w:r>
              <w:rPr>
                <w:spacing w:val="-2"/>
                <w:sz w:val="20"/>
              </w:rPr>
              <w:t>improvements.</w:t>
            </w:r>
          </w:p>
        </w:tc>
      </w:tr>
      <w:tr w:rsidR="00C31389" w14:paraId="0B16A6FD" w14:textId="77777777">
        <w:trPr>
          <w:trHeight w:val="620"/>
        </w:trPr>
        <w:tc>
          <w:tcPr>
            <w:tcW w:w="2434" w:type="dxa"/>
            <w:tcBorders>
              <w:top w:val="single" w:color="D9D9D9" w:sz="2" w:space="0"/>
              <w:bottom w:val="single" w:color="D9D9D9" w:sz="2" w:space="0"/>
            </w:tcBorders>
          </w:tcPr>
          <w:p w:rsidR="00C31389" w:rsidRDefault="00561FBD" w14:paraId="409F1123" w14:textId="77777777">
            <w:pPr>
              <w:pStyle w:val="TableParagraph"/>
              <w:spacing w:before="195"/>
              <w:ind w:left="129"/>
              <w:rPr>
                <w:sz w:val="20"/>
              </w:rPr>
            </w:pPr>
            <w:r>
              <w:rPr>
                <w:sz w:val="20"/>
              </w:rPr>
              <w:t>Ag</w:t>
            </w:r>
            <w:r>
              <w:rPr>
                <w:spacing w:val="-6"/>
                <w:sz w:val="20"/>
              </w:rPr>
              <w:t xml:space="preserve"> </w:t>
            </w:r>
            <w:r>
              <w:rPr>
                <w:sz w:val="20"/>
              </w:rPr>
              <w:t>Irrigation</w:t>
            </w:r>
            <w:r>
              <w:rPr>
                <w:spacing w:val="-4"/>
                <w:sz w:val="20"/>
              </w:rPr>
              <w:t xml:space="preserve"> Pump</w:t>
            </w:r>
          </w:p>
        </w:tc>
        <w:tc>
          <w:tcPr>
            <w:tcW w:w="1715" w:type="dxa"/>
            <w:tcBorders>
              <w:top w:val="single" w:color="D9D9D9" w:sz="2" w:space="0"/>
              <w:bottom w:val="single" w:color="D9D9D9" w:sz="2" w:space="0"/>
            </w:tcBorders>
          </w:tcPr>
          <w:p w:rsidR="00C31389" w:rsidRDefault="00561FBD" w14:paraId="3161355F" w14:textId="77777777">
            <w:pPr>
              <w:pStyle w:val="TableParagraph"/>
              <w:spacing w:before="195"/>
              <w:ind w:left="125"/>
              <w:rPr>
                <w:sz w:val="20"/>
              </w:rPr>
            </w:pPr>
            <w:r>
              <w:rPr>
                <w:sz w:val="20"/>
              </w:rPr>
              <w:t>Machine</w:t>
            </w:r>
            <w:r>
              <w:rPr>
                <w:spacing w:val="-6"/>
                <w:sz w:val="20"/>
              </w:rPr>
              <w:t xml:space="preserve"> </w:t>
            </w:r>
            <w:r>
              <w:rPr>
                <w:spacing w:val="-2"/>
                <w:sz w:val="20"/>
              </w:rPr>
              <w:t>Drive</w:t>
            </w:r>
          </w:p>
        </w:tc>
        <w:tc>
          <w:tcPr>
            <w:tcW w:w="5226" w:type="dxa"/>
            <w:tcBorders>
              <w:top w:val="single" w:color="D9D9D9" w:sz="2" w:space="0"/>
              <w:bottom w:val="single" w:color="D9D9D9" w:sz="2" w:space="0"/>
            </w:tcBorders>
          </w:tcPr>
          <w:p w:rsidR="00C31389" w:rsidRDefault="00561FBD" w14:paraId="79494630" w14:textId="77777777">
            <w:pPr>
              <w:pStyle w:val="TableParagraph"/>
              <w:spacing w:before="80"/>
              <w:ind w:left="120"/>
              <w:rPr>
                <w:sz w:val="20"/>
              </w:rPr>
            </w:pPr>
            <w:r>
              <w:rPr>
                <w:sz w:val="20"/>
              </w:rPr>
              <w:t>Irrigation-specific</w:t>
            </w:r>
            <w:r>
              <w:rPr>
                <w:spacing w:val="-9"/>
                <w:sz w:val="20"/>
              </w:rPr>
              <w:t xml:space="preserve"> </w:t>
            </w:r>
            <w:r>
              <w:rPr>
                <w:sz w:val="20"/>
              </w:rPr>
              <w:t>pump</w:t>
            </w:r>
            <w:r>
              <w:rPr>
                <w:spacing w:val="-10"/>
                <w:sz w:val="20"/>
              </w:rPr>
              <w:t xml:space="preserve"> </w:t>
            </w:r>
            <w:r>
              <w:rPr>
                <w:sz w:val="20"/>
              </w:rPr>
              <w:t>improvement,</w:t>
            </w:r>
            <w:r>
              <w:rPr>
                <w:spacing w:val="-10"/>
                <w:sz w:val="20"/>
              </w:rPr>
              <w:t xml:space="preserve"> </w:t>
            </w:r>
            <w:r>
              <w:rPr>
                <w:sz w:val="20"/>
              </w:rPr>
              <w:t>maintenance,</w:t>
            </w:r>
            <w:r>
              <w:rPr>
                <w:spacing w:val="-10"/>
                <w:sz w:val="20"/>
              </w:rPr>
              <w:t xml:space="preserve"> </w:t>
            </w:r>
            <w:r>
              <w:rPr>
                <w:sz w:val="20"/>
              </w:rPr>
              <w:t>and replacement designed to increase pump efficiency.</w:t>
            </w:r>
          </w:p>
        </w:tc>
      </w:tr>
      <w:tr w:rsidR="00C31389" w14:paraId="7B6661F3" w14:textId="77777777">
        <w:trPr>
          <w:trHeight w:val="620"/>
        </w:trPr>
        <w:tc>
          <w:tcPr>
            <w:tcW w:w="2434" w:type="dxa"/>
            <w:tcBorders>
              <w:top w:val="single" w:color="D9D9D9" w:sz="2" w:space="0"/>
              <w:bottom w:val="single" w:color="D9D9D9" w:sz="2" w:space="0"/>
            </w:tcBorders>
          </w:tcPr>
          <w:p w:rsidR="00C31389" w:rsidRDefault="00561FBD" w14:paraId="7F10DBA6" w14:textId="77777777">
            <w:pPr>
              <w:pStyle w:val="TableParagraph"/>
              <w:spacing w:before="195"/>
              <w:ind w:left="129"/>
              <w:rPr>
                <w:sz w:val="20"/>
              </w:rPr>
            </w:pPr>
            <w:r>
              <w:rPr>
                <w:sz w:val="20"/>
              </w:rPr>
              <w:t>Ag</w:t>
            </w:r>
            <w:r>
              <w:rPr>
                <w:spacing w:val="-3"/>
                <w:sz w:val="20"/>
              </w:rPr>
              <w:t xml:space="preserve"> </w:t>
            </w:r>
            <w:r>
              <w:rPr>
                <w:sz w:val="20"/>
              </w:rPr>
              <w:t>Pump</w:t>
            </w:r>
            <w:r>
              <w:rPr>
                <w:spacing w:val="-2"/>
                <w:sz w:val="20"/>
              </w:rPr>
              <w:t xml:space="preserve"> </w:t>
            </w:r>
            <w:r>
              <w:rPr>
                <w:spacing w:val="-5"/>
                <w:sz w:val="20"/>
              </w:rPr>
              <w:t>VFD</w:t>
            </w:r>
          </w:p>
        </w:tc>
        <w:tc>
          <w:tcPr>
            <w:tcW w:w="1715" w:type="dxa"/>
            <w:tcBorders>
              <w:top w:val="single" w:color="D9D9D9" w:sz="2" w:space="0"/>
              <w:bottom w:val="single" w:color="D9D9D9" w:sz="2" w:space="0"/>
            </w:tcBorders>
          </w:tcPr>
          <w:p w:rsidR="00C31389" w:rsidRDefault="00561FBD" w14:paraId="44C761CC" w14:textId="77777777">
            <w:pPr>
              <w:pStyle w:val="TableParagraph"/>
              <w:spacing w:before="195"/>
              <w:ind w:left="125"/>
              <w:rPr>
                <w:sz w:val="20"/>
              </w:rPr>
            </w:pPr>
            <w:r>
              <w:rPr>
                <w:sz w:val="20"/>
              </w:rPr>
              <w:t>Machine</w:t>
            </w:r>
            <w:r>
              <w:rPr>
                <w:spacing w:val="-6"/>
                <w:sz w:val="20"/>
              </w:rPr>
              <w:t xml:space="preserve"> </w:t>
            </w:r>
            <w:r>
              <w:rPr>
                <w:spacing w:val="-2"/>
                <w:sz w:val="20"/>
              </w:rPr>
              <w:t>Drive</w:t>
            </w:r>
          </w:p>
        </w:tc>
        <w:tc>
          <w:tcPr>
            <w:tcW w:w="5226" w:type="dxa"/>
            <w:tcBorders>
              <w:top w:val="single" w:color="D9D9D9" w:sz="2" w:space="0"/>
              <w:bottom w:val="single" w:color="D9D9D9" w:sz="2" w:space="0"/>
            </w:tcBorders>
          </w:tcPr>
          <w:p w:rsidR="00C31389" w:rsidRDefault="00561FBD" w14:paraId="2FFF9791" w14:textId="77777777">
            <w:pPr>
              <w:pStyle w:val="TableParagraph"/>
              <w:spacing w:before="80"/>
              <w:ind w:left="120" w:right="209"/>
              <w:rPr>
                <w:sz w:val="20"/>
              </w:rPr>
            </w:pPr>
            <w:r>
              <w:rPr>
                <w:sz w:val="20"/>
              </w:rPr>
              <w:t>VFD</w:t>
            </w:r>
            <w:r>
              <w:rPr>
                <w:spacing w:val="-7"/>
                <w:sz w:val="20"/>
              </w:rPr>
              <w:t xml:space="preserve"> </w:t>
            </w:r>
            <w:r>
              <w:rPr>
                <w:sz w:val="20"/>
              </w:rPr>
              <w:t>for</w:t>
            </w:r>
            <w:r>
              <w:rPr>
                <w:spacing w:val="-7"/>
                <w:sz w:val="20"/>
              </w:rPr>
              <w:t xml:space="preserve"> </w:t>
            </w:r>
            <w:r>
              <w:rPr>
                <w:sz w:val="20"/>
              </w:rPr>
              <w:t>irrigation-specific</w:t>
            </w:r>
            <w:r>
              <w:rPr>
                <w:spacing w:val="-7"/>
                <w:sz w:val="20"/>
              </w:rPr>
              <w:t xml:space="preserve"> </w:t>
            </w:r>
            <w:r>
              <w:rPr>
                <w:sz w:val="20"/>
              </w:rPr>
              <w:t>pumps</w:t>
            </w:r>
            <w:r>
              <w:rPr>
                <w:spacing w:val="-8"/>
                <w:sz w:val="20"/>
              </w:rPr>
              <w:t xml:space="preserve"> </w:t>
            </w:r>
            <w:r>
              <w:rPr>
                <w:sz w:val="20"/>
              </w:rPr>
              <w:t>(well,</w:t>
            </w:r>
            <w:r>
              <w:rPr>
                <w:spacing w:val="-8"/>
                <w:sz w:val="20"/>
              </w:rPr>
              <w:t xml:space="preserve"> </w:t>
            </w:r>
            <w:r>
              <w:rPr>
                <w:sz w:val="20"/>
              </w:rPr>
              <w:t>irrigation, booster, etc.).</w:t>
            </w:r>
          </w:p>
        </w:tc>
      </w:tr>
      <w:tr w:rsidR="00C31389" w14:paraId="66E19990" w14:textId="77777777">
        <w:trPr>
          <w:trHeight w:val="620"/>
        </w:trPr>
        <w:tc>
          <w:tcPr>
            <w:tcW w:w="2434" w:type="dxa"/>
            <w:tcBorders>
              <w:top w:val="single" w:color="D9D9D9" w:sz="2" w:space="0"/>
              <w:bottom w:val="single" w:color="D9D9D9" w:sz="2" w:space="0"/>
            </w:tcBorders>
          </w:tcPr>
          <w:p w:rsidR="00C31389" w:rsidRDefault="00561FBD" w14:paraId="21C8A409" w14:textId="77777777">
            <w:pPr>
              <w:pStyle w:val="TableParagraph"/>
              <w:spacing w:before="195"/>
              <w:ind w:left="129"/>
              <w:rPr>
                <w:sz w:val="20"/>
              </w:rPr>
            </w:pPr>
            <w:r>
              <w:rPr>
                <w:sz w:val="20"/>
              </w:rPr>
              <w:t>Low</w:t>
            </w:r>
            <w:r>
              <w:rPr>
                <w:spacing w:val="-3"/>
                <w:sz w:val="20"/>
              </w:rPr>
              <w:t xml:space="preserve"> </w:t>
            </w:r>
            <w:r>
              <w:rPr>
                <w:sz w:val="20"/>
              </w:rPr>
              <w:t>Pressure</w:t>
            </w:r>
            <w:r>
              <w:rPr>
                <w:spacing w:val="-4"/>
                <w:sz w:val="20"/>
              </w:rPr>
              <w:t xml:space="preserve"> </w:t>
            </w:r>
            <w:r>
              <w:rPr>
                <w:spacing w:val="-2"/>
                <w:sz w:val="20"/>
              </w:rPr>
              <w:t>Irrigation</w:t>
            </w:r>
          </w:p>
        </w:tc>
        <w:tc>
          <w:tcPr>
            <w:tcW w:w="1715" w:type="dxa"/>
            <w:tcBorders>
              <w:top w:val="single" w:color="D9D9D9" w:sz="2" w:space="0"/>
              <w:bottom w:val="single" w:color="D9D9D9" w:sz="2" w:space="0"/>
            </w:tcBorders>
          </w:tcPr>
          <w:p w:rsidR="00C31389" w:rsidRDefault="00561FBD" w14:paraId="2949B162" w14:textId="77777777">
            <w:pPr>
              <w:pStyle w:val="TableParagraph"/>
              <w:spacing w:before="195"/>
              <w:ind w:left="125"/>
              <w:rPr>
                <w:sz w:val="20"/>
              </w:rPr>
            </w:pPr>
            <w:r>
              <w:rPr>
                <w:sz w:val="20"/>
              </w:rPr>
              <w:t>Machine</w:t>
            </w:r>
            <w:r>
              <w:rPr>
                <w:spacing w:val="-6"/>
                <w:sz w:val="20"/>
              </w:rPr>
              <w:t xml:space="preserve"> </w:t>
            </w:r>
            <w:r>
              <w:rPr>
                <w:spacing w:val="-2"/>
                <w:sz w:val="20"/>
              </w:rPr>
              <w:t>Drive</w:t>
            </w:r>
          </w:p>
        </w:tc>
        <w:tc>
          <w:tcPr>
            <w:tcW w:w="5226" w:type="dxa"/>
            <w:tcBorders>
              <w:top w:val="single" w:color="D9D9D9" w:sz="2" w:space="0"/>
              <w:bottom w:val="single" w:color="D9D9D9" w:sz="2" w:space="0"/>
            </w:tcBorders>
          </w:tcPr>
          <w:p w:rsidR="00C31389" w:rsidRDefault="00561FBD" w14:paraId="0B26B45A" w14:textId="77777777">
            <w:pPr>
              <w:pStyle w:val="TableParagraph"/>
              <w:spacing w:before="80"/>
              <w:ind w:left="120" w:right="209"/>
              <w:rPr>
                <w:sz w:val="20"/>
              </w:rPr>
            </w:pPr>
            <w:r>
              <w:rPr>
                <w:sz w:val="20"/>
              </w:rPr>
              <w:t>Conversion</w:t>
            </w:r>
            <w:r>
              <w:rPr>
                <w:spacing w:val="-7"/>
                <w:sz w:val="20"/>
              </w:rPr>
              <w:t xml:space="preserve"> </w:t>
            </w:r>
            <w:r>
              <w:rPr>
                <w:sz w:val="20"/>
              </w:rPr>
              <w:t>from</w:t>
            </w:r>
            <w:r>
              <w:rPr>
                <w:spacing w:val="-7"/>
                <w:sz w:val="20"/>
              </w:rPr>
              <w:t xml:space="preserve"> </w:t>
            </w:r>
            <w:r>
              <w:rPr>
                <w:sz w:val="20"/>
              </w:rPr>
              <w:t>high</w:t>
            </w:r>
            <w:r>
              <w:rPr>
                <w:spacing w:val="-7"/>
                <w:sz w:val="20"/>
              </w:rPr>
              <w:t xml:space="preserve"> </w:t>
            </w:r>
            <w:r>
              <w:rPr>
                <w:sz w:val="20"/>
              </w:rPr>
              <w:t>to</w:t>
            </w:r>
            <w:r>
              <w:rPr>
                <w:spacing w:val="-7"/>
                <w:sz w:val="20"/>
              </w:rPr>
              <w:t xml:space="preserve"> </w:t>
            </w:r>
            <w:r>
              <w:rPr>
                <w:sz w:val="20"/>
              </w:rPr>
              <w:t>low</w:t>
            </w:r>
            <w:r>
              <w:rPr>
                <w:spacing w:val="-6"/>
                <w:sz w:val="20"/>
              </w:rPr>
              <w:t xml:space="preserve"> </w:t>
            </w:r>
            <w:r>
              <w:rPr>
                <w:sz w:val="20"/>
              </w:rPr>
              <w:t>pressure</w:t>
            </w:r>
            <w:r>
              <w:rPr>
                <w:spacing w:val="-7"/>
                <w:sz w:val="20"/>
              </w:rPr>
              <w:t xml:space="preserve"> </w:t>
            </w:r>
            <w:r>
              <w:rPr>
                <w:sz w:val="20"/>
              </w:rPr>
              <w:t>irrigation (sprinkler to drip, low pressure nozzles, etc.).</w:t>
            </w:r>
          </w:p>
        </w:tc>
      </w:tr>
      <w:tr w:rsidR="00C31389" w14:paraId="79DB6D0E" w14:textId="77777777">
        <w:trPr>
          <w:trHeight w:val="618"/>
        </w:trPr>
        <w:tc>
          <w:tcPr>
            <w:tcW w:w="2434" w:type="dxa"/>
            <w:tcBorders>
              <w:top w:val="single" w:color="D9D9D9" w:sz="2" w:space="0"/>
              <w:bottom w:val="single" w:color="D9D9D9" w:sz="2" w:space="0"/>
            </w:tcBorders>
          </w:tcPr>
          <w:p w:rsidR="00C31389" w:rsidRDefault="00561FBD" w14:paraId="77CD2457" w14:textId="77777777">
            <w:pPr>
              <w:pStyle w:val="TableParagraph"/>
              <w:spacing w:before="80"/>
              <w:ind w:left="129"/>
              <w:rPr>
                <w:sz w:val="20"/>
              </w:rPr>
            </w:pPr>
            <w:r>
              <w:rPr>
                <w:sz w:val="20"/>
              </w:rPr>
              <w:t>Ag</w:t>
            </w:r>
            <w:r>
              <w:rPr>
                <w:spacing w:val="-10"/>
                <w:sz w:val="20"/>
              </w:rPr>
              <w:t xml:space="preserve"> </w:t>
            </w:r>
            <w:r>
              <w:rPr>
                <w:sz w:val="20"/>
              </w:rPr>
              <w:t>Pump</w:t>
            </w:r>
            <w:r>
              <w:rPr>
                <w:spacing w:val="-10"/>
                <w:sz w:val="20"/>
              </w:rPr>
              <w:t xml:space="preserve"> </w:t>
            </w:r>
            <w:r>
              <w:rPr>
                <w:sz w:val="20"/>
              </w:rPr>
              <w:t>Retrofit</w:t>
            </w:r>
            <w:r>
              <w:rPr>
                <w:spacing w:val="-10"/>
                <w:sz w:val="20"/>
              </w:rPr>
              <w:t xml:space="preserve"> </w:t>
            </w:r>
            <w:r>
              <w:rPr>
                <w:sz w:val="20"/>
              </w:rPr>
              <w:t>–</w:t>
            </w:r>
            <w:r>
              <w:rPr>
                <w:spacing w:val="-10"/>
                <w:sz w:val="20"/>
              </w:rPr>
              <w:t xml:space="preserve"> </w:t>
            </w:r>
            <w:r>
              <w:rPr>
                <w:sz w:val="20"/>
              </w:rPr>
              <w:t xml:space="preserve">Non- </w:t>
            </w:r>
            <w:r>
              <w:rPr>
                <w:spacing w:val="-2"/>
                <w:sz w:val="20"/>
              </w:rPr>
              <w:t>Irrigation</w:t>
            </w:r>
          </w:p>
        </w:tc>
        <w:tc>
          <w:tcPr>
            <w:tcW w:w="1715" w:type="dxa"/>
            <w:tcBorders>
              <w:top w:val="single" w:color="D9D9D9" w:sz="2" w:space="0"/>
              <w:bottom w:val="single" w:color="D9D9D9" w:sz="2" w:space="0"/>
            </w:tcBorders>
          </w:tcPr>
          <w:p w:rsidR="00C31389" w:rsidRDefault="00561FBD" w14:paraId="13F8278D" w14:textId="77777777">
            <w:pPr>
              <w:pStyle w:val="TableParagraph"/>
              <w:spacing w:before="195"/>
              <w:ind w:left="125"/>
              <w:rPr>
                <w:sz w:val="20"/>
              </w:rPr>
            </w:pPr>
            <w:r>
              <w:rPr>
                <w:sz w:val="20"/>
              </w:rPr>
              <w:t>Machine</w:t>
            </w:r>
            <w:r>
              <w:rPr>
                <w:spacing w:val="-6"/>
                <w:sz w:val="20"/>
              </w:rPr>
              <w:t xml:space="preserve"> </w:t>
            </w:r>
            <w:r>
              <w:rPr>
                <w:spacing w:val="-2"/>
                <w:sz w:val="20"/>
              </w:rPr>
              <w:t>Drive</w:t>
            </w:r>
          </w:p>
        </w:tc>
        <w:tc>
          <w:tcPr>
            <w:tcW w:w="5226" w:type="dxa"/>
            <w:tcBorders>
              <w:top w:val="single" w:color="D9D9D9" w:sz="2" w:space="0"/>
              <w:bottom w:val="single" w:color="D9D9D9" w:sz="2" w:space="0"/>
            </w:tcBorders>
          </w:tcPr>
          <w:p w:rsidR="00C31389" w:rsidRDefault="00561FBD" w14:paraId="32120F23" w14:textId="77777777">
            <w:pPr>
              <w:pStyle w:val="TableParagraph"/>
              <w:spacing w:before="80"/>
              <w:ind w:left="120" w:right="787"/>
              <w:rPr>
                <w:sz w:val="20"/>
              </w:rPr>
            </w:pPr>
            <w:r>
              <w:rPr>
                <w:sz w:val="20"/>
              </w:rPr>
              <w:t>Pump</w:t>
            </w:r>
            <w:r>
              <w:rPr>
                <w:spacing w:val="-6"/>
                <w:sz w:val="20"/>
              </w:rPr>
              <w:t xml:space="preserve"> </w:t>
            </w:r>
            <w:r>
              <w:rPr>
                <w:sz w:val="20"/>
              </w:rPr>
              <w:t>retrofits</w:t>
            </w:r>
            <w:r>
              <w:rPr>
                <w:spacing w:val="-5"/>
                <w:sz w:val="20"/>
              </w:rPr>
              <w:t xml:space="preserve"> </w:t>
            </w:r>
            <w:r>
              <w:rPr>
                <w:sz w:val="20"/>
              </w:rPr>
              <w:t>geared</w:t>
            </w:r>
            <w:r>
              <w:rPr>
                <w:spacing w:val="-6"/>
                <w:sz w:val="20"/>
              </w:rPr>
              <w:t xml:space="preserve"> </w:t>
            </w:r>
            <w:r>
              <w:rPr>
                <w:sz w:val="20"/>
              </w:rPr>
              <w:t>to</w:t>
            </w:r>
            <w:r>
              <w:rPr>
                <w:spacing w:val="-6"/>
                <w:sz w:val="20"/>
              </w:rPr>
              <w:t xml:space="preserve"> </w:t>
            </w:r>
            <w:r>
              <w:rPr>
                <w:sz w:val="20"/>
              </w:rPr>
              <w:t>all</w:t>
            </w:r>
            <w:r>
              <w:rPr>
                <w:spacing w:val="-6"/>
                <w:sz w:val="20"/>
              </w:rPr>
              <w:t xml:space="preserve"> </w:t>
            </w:r>
            <w:r>
              <w:rPr>
                <w:sz w:val="20"/>
              </w:rPr>
              <w:t>other</w:t>
            </w:r>
            <w:r>
              <w:rPr>
                <w:spacing w:val="-5"/>
                <w:sz w:val="20"/>
              </w:rPr>
              <w:t xml:space="preserve"> </w:t>
            </w:r>
            <w:r>
              <w:rPr>
                <w:sz w:val="20"/>
              </w:rPr>
              <w:t>pumps</w:t>
            </w:r>
            <w:r>
              <w:rPr>
                <w:spacing w:val="-6"/>
                <w:sz w:val="20"/>
              </w:rPr>
              <w:t xml:space="preserve"> </w:t>
            </w:r>
            <w:r>
              <w:rPr>
                <w:sz w:val="20"/>
              </w:rPr>
              <w:t>besides irrigation-specific pumps.</w:t>
            </w:r>
          </w:p>
        </w:tc>
      </w:tr>
      <w:tr w:rsidR="00C31389" w14:paraId="5F0A4235" w14:textId="77777777">
        <w:trPr>
          <w:trHeight w:val="389"/>
        </w:trPr>
        <w:tc>
          <w:tcPr>
            <w:tcW w:w="2434" w:type="dxa"/>
            <w:tcBorders>
              <w:top w:val="single" w:color="D9D9D9" w:sz="2" w:space="0"/>
              <w:bottom w:val="single" w:color="D9D9D9" w:sz="2" w:space="0"/>
            </w:tcBorders>
          </w:tcPr>
          <w:p w:rsidR="00C31389" w:rsidRDefault="00561FBD" w14:paraId="71F3ACE4" w14:textId="77777777">
            <w:pPr>
              <w:pStyle w:val="TableParagraph"/>
              <w:spacing w:before="81"/>
              <w:ind w:left="129"/>
              <w:rPr>
                <w:sz w:val="20"/>
              </w:rPr>
            </w:pPr>
            <w:r>
              <w:rPr>
                <w:sz w:val="20"/>
              </w:rPr>
              <w:t>Ag</w:t>
            </w:r>
            <w:r>
              <w:rPr>
                <w:spacing w:val="-2"/>
                <w:sz w:val="20"/>
              </w:rPr>
              <w:t xml:space="preserve"> </w:t>
            </w:r>
            <w:r>
              <w:rPr>
                <w:sz w:val="20"/>
              </w:rPr>
              <w:t>Pump</w:t>
            </w:r>
            <w:r>
              <w:rPr>
                <w:spacing w:val="-2"/>
                <w:sz w:val="20"/>
              </w:rPr>
              <w:t xml:space="preserve"> </w:t>
            </w:r>
            <w:r>
              <w:rPr>
                <w:sz w:val="20"/>
              </w:rPr>
              <w:t>VFD</w:t>
            </w:r>
            <w:r>
              <w:rPr>
                <w:spacing w:val="-1"/>
                <w:sz w:val="20"/>
              </w:rPr>
              <w:t xml:space="preserve"> </w:t>
            </w:r>
            <w:r>
              <w:rPr>
                <w:sz w:val="20"/>
              </w:rPr>
              <w:t>–</w:t>
            </w:r>
            <w:r>
              <w:rPr>
                <w:spacing w:val="-2"/>
                <w:sz w:val="20"/>
              </w:rPr>
              <w:t xml:space="preserve"> Dairy</w:t>
            </w:r>
          </w:p>
        </w:tc>
        <w:tc>
          <w:tcPr>
            <w:tcW w:w="1715" w:type="dxa"/>
            <w:tcBorders>
              <w:top w:val="single" w:color="D9D9D9" w:sz="2" w:space="0"/>
              <w:bottom w:val="single" w:color="D9D9D9" w:sz="2" w:space="0"/>
            </w:tcBorders>
          </w:tcPr>
          <w:p w:rsidR="00C31389" w:rsidRDefault="00561FBD" w14:paraId="2C3C9BF1" w14:textId="77777777">
            <w:pPr>
              <w:pStyle w:val="TableParagraph"/>
              <w:spacing w:before="81"/>
              <w:ind w:left="125"/>
              <w:rPr>
                <w:sz w:val="20"/>
              </w:rPr>
            </w:pPr>
            <w:r>
              <w:rPr>
                <w:sz w:val="20"/>
              </w:rPr>
              <w:t>Machine</w:t>
            </w:r>
            <w:r>
              <w:rPr>
                <w:spacing w:val="-6"/>
                <w:sz w:val="20"/>
              </w:rPr>
              <w:t xml:space="preserve"> </w:t>
            </w:r>
            <w:r>
              <w:rPr>
                <w:spacing w:val="-2"/>
                <w:sz w:val="20"/>
              </w:rPr>
              <w:t>Drive</w:t>
            </w:r>
          </w:p>
        </w:tc>
        <w:tc>
          <w:tcPr>
            <w:tcW w:w="5226" w:type="dxa"/>
            <w:tcBorders>
              <w:top w:val="single" w:color="D9D9D9" w:sz="2" w:space="0"/>
              <w:bottom w:val="single" w:color="D9D9D9" w:sz="2" w:space="0"/>
            </w:tcBorders>
          </w:tcPr>
          <w:p w:rsidR="00C31389" w:rsidRDefault="00561FBD" w14:paraId="2C3742CB" w14:textId="77777777">
            <w:pPr>
              <w:pStyle w:val="TableParagraph"/>
              <w:spacing w:before="81"/>
              <w:ind w:left="120"/>
              <w:rPr>
                <w:sz w:val="20"/>
              </w:rPr>
            </w:pPr>
            <w:r>
              <w:rPr>
                <w:sz w:val="20"/>
              </w:rPr>
              <w:t>VFD</w:t>
            </w:r>
            <w:r>
              <w:rPr>
                <w:spacing w:val="-4"/>
                <w:sz w:val="20"/>
              </w:rPr>
              <w:t xml:space="preserve"> </w:t>
            </w:r>
            <w:r>
              <w:rPr>
                <w:sz w:val="20"/>
              </w:rPr>
              <w:t>for</w:t>
            </w:r>
            <w:r>
              <w:rPr>
                <w:spacing w:val="-4"/>
                <w:sz w:val="20"/>
              </w:rPr>
              <w:t xml:space="preserve"> </w:t>
            </w:r>
            <w:r>
              <w:rPr>
                <w:sz w:val="20"/>
              </w:rPr>
              <w:t>dairy-specific</w:t>
            </w:r>
            <w:r>
              <w:rPr>
                <w:spacing w:val="-4"/>
                <w:sz w:val="20"/>
              </w:rPr>
              <w:t xml:space="preserve"> </w:t>
            </w:r>
            <w:r>
              <w:rPr>
                <w:sz w:val="20"/>
              </w:rPr>
              <w:t>pumps</w:t>
            </w:r>
            <w:r>
              <w:rPr>
                <w:spacing w:val="-4"/>
                <w:sz w:val="20"/>
              </w:rPr>
              <w:t xml:space="preserve"> </w:t>
            </w:r>
            <w:r>
              <w:rPr>
                <w:sz w:val="20"/>
              </w:rPr>
              <w:t>(vacuum,</w:t>
            </w:r>
            <w:r>
              <w:rPr>
                <w:spacing w:val="-5"/>
                <w:sz w:val="20"/>
              </w:rPr>
              <w:t xml:space="preserve"> </w:t>
            </w:r>
            <w:r>
              <w:rPr>
                <w:sz w:val="20"/>
              </w:rPr>
              <w:t>transfer,</w:t>
            </w:r>
            <w:r>
              <w:rPr>
                <w:spacing w:val="-4"/>
                <w:sz w:val="20"/>
              </w:rPr>
              <w:t xml:space="preserve"> etc.)</w:t>
            </w:r>
          </w:p>
        </w:tc>
      </w:tr>
      <w:tr w:rsidR="00C31389" w14:paraId="0D050427" w14:textId="77777777">
        <w:trPr>
          <w:trHeight w:val="620"/>
        </w:trPr>
        <w:tc>
          <w:tcPr>
            <w:tcW w:w="2434" w:type="dxa"/>
            <w:tcBorders>
              <w:top w:val="single" w:color="D9D9D9" w:sz="2" w:space="0"/>
              <w:bottom w:val="single" w:color="D9D9D9" w:sz="2" w:space="0"/>
            </w:tcBorders>
          </w:tcPr>
          <w:p w:rsidR="00C31389" w:rsidRDefault="00561FBD" w14:paraId="279ACAA4" w14:textId="77777777">
            <w:pPr>
              <w:pStyle w:val="TableParagraph"/>
              <w:spacing w:before="81"/>
              <w:ind w:left="129" w:right="465"/>
              <w:rPr>
                <w:sz w:val="20"/>
              </w:rPr>
            </w:pPr>
            <w:r>
              <w:rPr>
                <w:sz w:val="20"/>
              </w:rPr>
              <w:t>Process</w:t>
            </w:r>
            <w:r>
              <w:rPr>
                <w:spacing w:val="-14"/>
                <w:sz w:val="20"/>
              </w:rPr>
              <w:t xml:space="preserve"> </w:t>
            </w:r>
            <w:r>
              <w:rPr>
                <w:sz w:val="20"/>
              </w:rPr>
              <w:t xml:space="preserve">Wastewater </w:t>
            </w:r>
            <w:r>
              <w:rPr>
                <w:spacing w:val="-2"/>
                <w:sz w:val="20"/>
              </w:rPr>
              <w:t>Aerator</w:t>
            </w:r>
          </w:p>
        </w:tc>
        <w:tc>
          <w:tcPr>
            <w:tcW w:w="1715" w:type="dxa"/>
            <w:tcBorders>
              <w:top w:val="single" w:color="D9D9D9" w:sz="2" w:space="0"/>
              <w:bottom w:val="single" w:color="D9D9D9" w:sz="2" w:space="0"/>
            </w:tcBorders>
          </w:tcPr>
          <w:p w:rsidR="00C31389" w:rsidRDefault="00561FBD" w14:paraId="785CB1D1" w14:textId="77777777">
            <w:pPr>
              <w:pStyle w:val="TableParagraph"/>
              <w:spacing w:before="195"/>
              <w:ind w:left="125"/>
              <w:rPr>
                <w:sz w:val="20"/>
              </w:rPr>
            </w:pPr>
            <w:r>
              <w:rPr>
                <w:sz w:val="20"/>
              </w:rPr>
              <w:t>Machine</w:t>
            </w:r>
            <w:r>
              <w:rPr>
                <w:spacing w:val="-6"/>
                <w:sz w:val="20"/>
              </w:rPr>
              <w:t xml:space="preserve"> </w:t>
            </w:r>
            <w:r>
              <w:rPr>
                <w:spacing w:val="-2"/>
                <w:sz w:val="20"/>
              </w:rPr>
              <w:t>Drive</w:t>
            </w:r>
          </w:p>
        </w:tc>
        <w:tc>
          <w:tcPr>
            <w:tcW w:w="5226" w:type="dxa"/>
            <w:tcBorders>
              <w:top w:val="single" w:color="D9D9D9" w:sz="2" w:space="0"/>
              <w:bottom w:val="single" w:color="D9D9D9" w:sz="2" w:space="0"/>
            </w:tcBorders>
          </w:tcPr>
          <w:p w:rsidR="00C31389" w:rsidRDefault="00561FBD" w14:paraId="171EA0A1" w14:textId="77777777">
            <w:pPr>
              <w:pStyle w:val="TableParagraph"/>
              <w:spacing w:before="81"/>
              <w:ind w:left="120"/>
              <w:rPr>
                <w:sz w:val="20"/>
              </w:rPr>
            </w:pPr>
            <w:r>
              <w:rPr>
                <w:sz w:val="20"/>
              </w:rPr>
              <w:t>Replacing</w:t>
            </w:r>
            <w:r>
              <w:rPr>
                <w:spacing w:val="-8"/>
                <w:sz w:val="20"/>
              </w:rPr>
              <w:t xml:space="preserve"> </w:t>
            </w:r>
            <w:r>
              <w:rPr>
                <w:sz w:val="20"/>
              </w:rPr>
              <w:t>existing</w:t>
            </w:r>
            <w:r>
              <w:rPr>
                <w:spacing w:val="-8"/>
                <w:sz w:val="20"/>
              </w:rPr>
              <w:t xml:space="preserve"> </w:t>
            </w:r>
            <w:r>
              <w:rPr>
                <w:sz w:val="20"/>
              </w:rPr>
              <w:t>inefficient</w:t>
            </w:r>
            <w:r>
              <w:rPr>
                <w:spacing w:val="-8"/>
                <w:sz w:val="20"/>
              </w:rPr>
              <w:t xml:space="preserve"> </w:t>
            </w:r>
            <w:r>
              <w:rPr>
                <w:sz w:val="20"/>
              </w:rPr>
              <w:t>aerators</w:t>
            </w:r>
            <w:r>
              <w:rPr>
                <w:spacing w:val="-7"/>
                <w:sz w:val="20"/>
              </w:rPr>
              <w:t xml:space="preserve"> </w:t>
            </w:r>
            <w:r>
              <w:rPr>
                <w:sz w:val="20"/>
              </w:rPr>
              <w:t>on</w:t>
            </w:r>
            <w:r>
              <w:rPr>
                <w:spacing w:val="-8"/>
                <w:sz w:val="20"/>
              </w:rPr>
              <w:t xml:space="preserve"> </w:t>
            </w:r>
            <w:r>
              <w:rPr>
                <w:sz w:val="20"/>
              </w:rPr>
              <w:t>wastewater systems with higher efficiency aerator technologies.</w:t>
            </w:r>
          </w:p>
        </w:tc>
      </w:tr>
      <w:tr w:rsidR="00C31389" w14:paraId="799D940D" w14:textId="77777777">
        <w:trPr>
          <w:trHeight w:val="620"/>
        </w:trPr>
        <w:tc>
          <w:tcPr>
            <w:tcW w:w="2434" w:type="dxa"/>
            <w:tcBorders>
              <w:top w:val="single" w:color="D9D9D9" w:sz="2" w:space="0"/>
              <w:bottom w:val="single" w:color="D9D9D9" w:sz="2" w:space="0"/>
            </w:tcBorders>
          </w:tcPr>
          <w:p w:rsidR="00C31389" w:rsidRDefault="00561FBD" w14:paraId="147D0079" w14:textId="77777777">
            <w:pPr>
              <w:pStyle w:val="TableParagraph"/>
              <w:spacing w:before="80"/>
              <w:ind w:left="129" w:right="853"/>
              <w:rPr>
                <w:sz w:val="20"/>
              </w:rPr>
            </w:pPr>
            <w:r>
              <w:rPr>
                <w:sz w:val="20"/>
              </w:rPr>
              <w:t>Exterior</w:t>
            </w:r>
            <w:r>
              <w:rPr>
                <w:spacing w:val="-14"/>
                <w:sz w:val="20"/>
              </w:rPr>
              <w:t xml:space="preserve"> </w:t>
            </w:r>
            <w:r>
              <w:rPr>
                <w:sz w:val="20"/>
              </w:rPr>
              <w:t xml:space="preserve">Lighting </w:t>
            </w:r>
            <w:r>
              <w:rPr>
                <w:spacing w:val="-2"/>
                <w:sz w:val="20"/>
              </w:rPr>
              <w:t>Upgrades</w:t>
            </w:r>
          </w:p>
        </w:tc>
        <w:tc>
          <w:tcPr>
            <w:tcW w:w="1715" w:type="dxa"/>
            <w:tcBorders>
              <w:top w:val="single" w:color="D9D9D9" w:sz="2" w:space="0"/>
              <w:bottom w:val="single" w:color="D9D9D9" w:sz="2" w:space="0"/>
            </w:tcBorders>
          </w:tcPr>
          <w:p w:rsidR="00C31389" w:rsidRDefault="00561FBD" w14:paraId="1A87CD31" w14:textId="77777777">
            <w:pPr>
              <w:pStyle w:val="TableParagraph"/>
              <w:spacing w:before="195"/>
              <w:ind w:left="125"/>
              <w:rPr>
                <w:sz w:val="20"/>
              </w:rPr>
            </w:pPr>
            <w:r>
              <w:rPr>
                <w:spacing w:val="-2"/>
                <w:sz w:val="20"/>
              </w:rPr>
              <w:t>Lighting</w:t>
            </w:r>
            <w:hyperlink w:history="1" w:anchor="_bookmark458">
              <w:r>
                <w:rPr>
                  <w:spacing w:val="-2"/>
                  <w:sz w:val="20"/>
                  <w:vertAlign w:val="superscript"/>
                </w:rPr>
                <w:t>181</w:t>
              </w:r>
            </w:hyperlink>
          </w:p>
        </w:tc>
        <w:tc>
          <w:tcPr>
            <w:tcW w:w="5226" w:type="dxa"/>
            <w:tcBorders>
              <w:top w:val="single" w:color="D9D9D9" w:sz="2" w:space="0"/>
              <w:bottom w:val="single" w:color="D9D9D9" w:sz="2" w:space="0"/>
            </w:tcBorders>
          </w:tcPr>
          <w:p w:rsidR="00C31389" w:rsidRDefault="00561FBD" w14:paraId="66D7A338" w14:textId="77777777">
            <w:pPr>
              <w:pStyle w:val="TableParagraph"/>
              <w:spacing w:before="80"/>
              <w:ind w:left="120"/>
              <w:rPr>
                <w:sz w:val="20"/>
              </w:rPr>
            </w:pPr>
            <w:r>
              <w:rPr>
                <w:sz w:val="20"/>
              </w:rPr>
              <w:t>Includes</w:t>
            </w:r>
            <w:r>
              <w:rPr>
                <w:spacing w:val="-6"/>
                <w:sz w:val="20"/>
              </w:rPr>
              <w:t xml:space="preserve"> </w:t>
            </w:r>
            <w:r>
              <w:rPr>
                <w:sz w:val="20"/>
              </w:rPr>
              <w:t>typical</w:t>
            </w:r>
            <w:r>
              <w:rPr>
                <w:spacing w:val="-7"/>
                <w:sz w:val="20"/>
              </w:rPr>
              <w:t xml:space="preserve"> </w:t>
            </w:r>
            <w:r>
              <w:rPr>
                <w:sz w:val="20"/>
              </w:rPr>
              <w:t>commercial</w:t>
            </w:r>
            <w:r>
              <w:rPr>
                <w:spacing w:val="-7"/>
                <w:sz w:val="20"/>
              </w:rPr>
              <w:t xml:space="preserve"> </w:t>
            </w:r>
            <w:r>
              <w:rPr>
                <w:sz w:val="20"/>
              </w:rPr>
              <w:t>and</w:t>
            </w:r>
            <w:r>
              <w:rPr>
                <w:spacing w:val="-7"/>
                <w:sz w:val="20"/>
              </w:rPr>
              <w:t xml:space="preserve"> </w:t>
            </w:r>
            <w:r>
              <w:rPr>
                <w:sz w:val="20"/>
              </w:rPr>
              <w:t>industrial</w:t>
            </w:r>
            <w:r>
              <w:rPr>
                <w:spacing w:val="-7"/>
                <w:sz w:val="20"/>
              </w:rPr>
              <w:t xml:space="preserve"> </w:t>
            </w:r>
            <w:r>
              <w:rPr>
                <w:sz w:val="20"/>
              </w:rPr>
              <w:t>exterior</w:t>
            </w:r>
            <w:r>
              <w:rPr>
                <w:spacing w:val="-6"/>
                <w:sz w:val="20"/>
              </w:rPr>
              <w:t xml:space="preserve"> </w:t>
            </w:r>
            <w:r>
              <w:rPr>
                <w:sz w:val="20"/>
              </w:rPr>
              <w:t>LED lighting measures and exterior security lights.</w:t>
            </w:r>
          </w:p>
        </w:tc>
      </w:tr>
      <w:tr w:rsidR="00C31389" w14:paraId="70CE52E0" w14:textId="77777777">
        <w:trPr>
          <w:trHeight w:val="620"/>
        </w:trPr>
        <w:tc>
          <w:tcPr>
            <w:tcW w:w="2434" w:type="dxa"/>
            <w:tcBorders>
              <w:top w:val="single" w:color="D9D9D9" w:sz="2" w:space="0"/>
              <w:bottom w:val="single" w:color="D9D9D9" w:sz="2" w:space="0"/>
            </w:tcBorders>
          </w:tcPr>
          <w:p w:rsidR="00C31389" w:rsidRDefault="00561FBD" w14:paraId="2D45A877" w14:textId="77777777">
            <w:pPr>
              <w:pStyle w:val="TableParagraph"/>
              <w:spacing w:before="80"/>
              <w:ind w:left="129"/>
              <w:rPr>
                <w:sz w:val="20"/>
              </w:rPr>
            </w:pPr>
            <w:r>
              <w:rPr>
                <w:sz w:val="20"/>
              </w:rPr>
              <w:t>Horticulture</w:t>
            </w:r>
            <w:r>
              <w:rPr>
                <w:spacing w:val="-14"/>
                <w:sz w:val="20"/>
              </w:rPr>
              <w:t xml:space="preserve"> </w:t>
            </w:r>
            <w:r>
              <w:rPr>
                <w:sz w:val="20"/>
              </w:rPr>
              <w:t>Interior</w:t>
            </w:r>
            <w:r>
              <w:rPr>
                <w:spacing w:val="-14"/>
                <w:sz w:val="20"/>
              </w:rPr>
              <w:t xml:space="preserve"> </w:t>
            </w:r>
            <w:r>
              <w:rPr>
                <w:sz w:val="20"/>
              </w:rPr>
              <w:t>LED Grow Lighting</w:t>
            </w:r>
          </w:p>
        </w:tc>
        <w:tc>
          <w:tcPr>
            <w:tcW w:w="1715" w:type="dxa"/>
            <w:tcBorders>
              <w:top w:val="single" w:color="D9D9D9" w:sz="2" w:space="0"/>
              <w:bottom w:val="single" w:color="D9D9D9" w:sz="2" w:space="0"/>
            </w:tcBorders>
          </w:tcPr>
          <w:p w:rsidR="00C31389" w:rsidRDefault="00561FBD" w14:paraId="645CACE1" w14:textId="77777777">
            <w:pPr>
              <w:pStyle w:val="TableParagraph"/>
              <w:spacing w:before="195"/>
              <w:ind w:left="125"/>
              <w:rPr>
                <w:sz w:val="20"/>
              </w:rPr>
            </w:pPr>
            <w:r>
              <w:rPr>
                <w:spacing w:val="-2"/>
                <w:sz w:val="20"/>
              </w:rPr>
              <w:t>Lighting</w:t>
            </w:r>
          </w:p>
        </w:tc>
        <w:tc>
          <w:tcPr>
            <w:tcW w:w="5226" w:type="dxa"/>
            <w:tcBorders>
              <w:top w:val="single" w:color="D9D9D9" w:sz="2" w:space="0"/>
              <w:bottom w:val="single" w:color="D9D9D9" w:sz="2" w:space="0"/>
            </w:tcBorders>
          </w:tcPr>
          <w:p w:rsidR="00C31389" w:rsidRDefault="00561FBD" w14:paraId="526110CC" w14:textId="77777777">
            <w:pPr>
              <w:pStyle w:val="TableParagraph"/>
              <w:spacing w:before="80"/>
              <w:ind w:left="120" w:right="209"/>
              <w:rPr>
                <w:sz w:val="20"/>
              </w:rPr>
            </w:pPr>
            <w:r>
              <w:rPr>
                <w:sz w:val="20"/>
              </w:rPr>
              <w:t>Indoor</w:t>
            </w:r>
            <w:r>
              <w:rPr>
                <w:spacing w:val="-5"/>
                <w:sz w:val="20"/>
              </w:rPr>
              <w:t xml:space="preserve"> </w:t>
            </w:r>
            <w:r>
              <w:rPr>
                <w:sz w:val="20"/>
              </w:rPr>
              <w:t>LED</w:t>
            </w:r>
            <w:r>
              <w:rPr>
                <w:spacing w:val="-5"/>
                <w:sz w:val="20"/>
              </w:rPr>
              <w:t xml:space="preserve"> </w:t>
            </w:r>
            <w:r>
              <w:rPr>
                <w:sz w:val="20"/>
              </w:rPr>
              <w:t>lamps</w:t>
            </w:r>
            <w:r>
              <w:rPr>
                <w:spacing w:val="-5"/>
                <w:sz w:val="20"/>
              </w:rPr>
              <w:t xml:space="preserve"> </w:t>
            </w:r>
            <w:r>
              <w:rPr>
                <w:sz w:val="20"/>
              </w:rPr>
              <w:t>and</w:t>
            </w:r>
            <w:r>
              <w:rPr>
                <w:spacing w:val="-6"/>
                <w:sz w:val="20"/>
              </w:rPr>
              <w:t xml:space="preserve"> </w:t>
            </w:r>
            <w:r>
              <w:rPr>
                <w:sz w:val="20"/>
              </w:rPr>
              <w:t>fixtures</w:t>
            </w:r>
            <w:r>
              <w:rPr>
                <w:spacing w:val="-5"/>
                <w:sz w:val="20"/>
              </w:rPr>
              <w:t xml:space="preserve"> </w:t>
            </w:r>
            <w:r>
              <w:rPr>
                <w:sz w:val="20"/>
              </w:rPr>
              <w:t>used</w:t>
            </w:r>
            <w:r>
              <w:rPr>
                <w:spacing w:val="-6"/>
                <w:sz w:val="20"/>
              </w:rPr>
              <w:t xml:space="preserve"> </w:t>
            </w:r>
            <w:r>
              <w:rPr>
                <w:sz w:val="20"/>
              </w:rPr>
              <w:t>for</w:t>
            </w:r>
            <w:r>
              <w:rPr>
                <w:spacing w:val="-5"/>
                <w:sz w:val="20"/>
              </w:rPr>
              <w:t xml:space="preserve"> </w:t>
            </w:r>
            <w:r>
              <w:rPr>
                <w:sz w:val="20"/>
              </w:rPr>
              <w:t>growing</w:t>
            </w:r>
            <w:r>
              <w:rPr>
                <w:spacing w:val="-6"/>
                <w:sz w:val="20"/>
              </w:rPr>
              <w:t xml:space="preserve"> </w:t>
            </w:r>
            <w:r>
              <w:rPr>
                <w:sz w:val="20"/>
              </w:rPr>
              <w:t>a variety of plants.</w:t>
            </w:r>
          </w:p>
        </w:tc>
      </w:tr>
      <w:tr w:rsidR="00C31389" w14:paraId="3CBBA215" w14:textId="77777777">
        <w:trPr>
          <w:trHeight w:val="849"/>
        </w:trPr>
        <w:tc>
          <w:tcPr>
            <w:tcW w:w="2434" w:type="dxa"/>
            <w:tcBorders>
              <w:top w:val="single" w:color="D9D9D9" w:sz="2" w:space="0"/>
              <w:bottom w:val="single" w:color="D9D9D9" w:sz="2" w:space="0"/>
            </w:tcBorders>
          </w:tcPr>
          <w:p w:rsidR="00C31389" w:rsidRDefault="00561FBD" w14:paraId="364E4360" w14:textId="77777777">
            <w:pPr>
              <w:pStyle w:val="TableParagraph"/>
              <w:spacing w:before="195"/>
              <w:ind w:left="129" w:right="231"/>
              <w:rPr>
                <w:sz w:val="20"/>
              </w:rPr>
            </w:pPr>
            <w:r>
              <w:rPr>
                <w:sz w:val="20"/>
              </w:rPr>
              <w:t>Interior Lighting Upgrades</w:t>
            </w:r>
            <w:r>
              <w:rPr>
                <w:spacing w:val="-14"/>
                <w:sz w:val="20"/>
              </w:rPr>
              <w:t xml:space="preserve"> </w:t>
            </w:r>
            <w:r>
              <w:rPr>
                <w:sz w:val="20"/>
              </w:rPr>
              <w:t>–</w:t>
            </w:r>
            <w:r>
              <w:rPr>
                <w:spacing w:val="-14"/>
                <w:sz w:val="20"/>
              </w:rPr>
              <w:t xml:space="preserve"> </w:t>
            </w:r>
            <w:r>
              <w:rPr>
                <w:sz w:val="20"/>
              </w:rPr>
              <w:t>LED</w:t>
            </w:r>
          </w:p>
        </w:tc>
        <w:tc>
          <w:tcPr>
            <w:tcW w:w="1715" w:type="dxa"/>
            <w:tcBorders>
              <w:top w:val="single" w:color="D9D9D9" w:sz="2" w:space="0"/>
              <w:bottom w:val="single" w:color="D9D9D9" w:sz="2" w:space="0"/>
            </w:tcBorders>
          </w:tcPr>
          <w:p w:rsidR="00C31389" w:rsidRDefault="00C31389" w14:paraId="737B9835" w14:textId="77777777">
            <w:pPr>
              <w:pStyle w:val="TableParagraph"/>
              <w:spacing w:before="11"/>
              <w:rPr>
                <w:b/>
                <w:sz w:val="26"/>
              </w:rPr>
            </w:pPr>
          </w:p>
          <w:p w:rsidR="00C31389" w:rsidRDefault="00561FBD" w14:paraId="678B1D64" w14:textId="77777777">
            <w:pPr>
              <w:pStyle w:val="TableParagraph"/>
              <w:spacing w:before="0"/>
              <w:ind w:left="125"/>
              <w:rPr>
                <w:sz w:val="20"/>
              </w:rPr>
            </w:pPr>
            <w:r>
              <w:rPr>
                <w:spacing w:val="-2"/>
                <w:sz w:val="20"/>
              </w:rPr>
              <w:t>Lighting</w:t>
            </w:r>
          </w:p>
        </w:tc>
        <w:tc>
          <w:tcPr>
            <w:tcW w:w="5226" w:type="dxa"/>
            <w:tcBorders>
              <w:top w:val="single" w:color="D9D9D9" w:sz="2" w:space="0"/>
              <w:bottom w:val="single" w:color="D9D9D9" w:sz="2" w:space="0"/>
            </w:tcBorders>
          </w:tcPr>
          <w:p w:rsidR="00C31389" w:rsidRDefault="00561FBD" w14:paraId="5EF37425" w14:textId="77777777">
            <w:pPr>
              <w:pStyle w:val="TableParagraph"/>
              <w:spacing w:before="80"/>
              <w:ind w:left="120" w:right="278"/>
              <w:jc w:val="both"/>
              <w:rPr>
                <w:sz w:val="20"/>
              </w:rPr>
            </w:pPr>
            <w:r>
              <w:rPr>
                <w:sz w:val="20"/>
              </w:rPr>
              <w:t>Includes</w:t>
            </w:r>
            <w:r>
              <w:rPr>
                <w:spacing w:val="-6"/>
                <w:sz w:val="20"/>
              </w:rPr>
              <w:t xml:space="preserve"> </w:t>
            </w:r>
            <w:r>
              <w:rPr>
                <w:sz w:val="20"/>
              </w:rPr>
              <w:t>typical</w:t>
            </w:r>
            <w:r>
              <w:rPr>
                <w:spacing w:val="-7"/>
                <w:sz w:val="20"/>
              </w:rPr>
              <w:t xml:space="preserve"> </w:t>
            </w:r>
            <w:r>
              <w:rPr>
                <w:sz w:val="20"/>
              </w:rPr>
              <w:t>commercial</w:t>
            </w:r>
            <w:r>
              <w:rPr>
                <w:spacing w:val="-7"/>
                <w:sz w:val="20"/>
              </w:rPr>
              <w:t xml:space="preserve"> </w:t>
            </w:r>
            <w:r>
              <w:rPr>
                <w:sz w:val="20"/>
              </w:rPr>
              <w:t>and</w:t>
            </w:r>
            <w:r>
              <w:rPr>
                <w:spacing w:val="-7"/>
                <w:sz w:val="20"/>
              </w:rPr>
              <w:t xml:space="preserve"> </w:t>
            </w:r>
            <w:r>
              <w:rPr>
                <w:sz w:val="20"/>
              </w:rPr>
              <w:t>industrial</w:t>
            </w:r>
            <w:r>
              <w:rPr>
                <w:spacing w:val="-7"/>
                <w:sz w:val="20"/>
              </w:rPr>
              <w:t xml:space="preserve"> </w:t>
            </w:r>
            <w:r>
              <w:rPr>
                <w:sz w:val="20"/>
              </w:rPr>
              <w:t>LED</w:t>
            </w:r>
            <w:r>
              <w:rPr>
                <w:spacing w:val="-6"/>
                <w:sz w:val="20"/>
              </w:rPr>
              <w:t xml:space="preserve"> </w:t>
            </w:r>
            <w:r>
              <w:rPr>
                <w:sz w:val="20"/>
              </w:rPr>
              <w:t>lighting measures</w:t>
            </w:r>
            <w:r>
              <w:rPr>
                <w:spacing w:val="-6"/>
                <w:sz w:val="20"/>
              </w:rPr>
              <w:t xml:space="preserve"> </w:t>
            </w:r>
            <w:r>
              <w:rPr>
                <w:sz w:val="20"/>
              </w:rPr>
              <w:t>and</w:t>
            </w:r>
            <w:r>
              <w:rPr>
                <w:spacing w:val="-7"/>
                <w:sz w:val="20"/>
              </w:rPr>
              <w:t xml:space="preserve"> </w:t>
            </w:r>
            <w:r>
              <w:rPr>
                <w:sz w:val="20"/>
              </w:rPr>
              <w:t>applications</w:t>
            </w:r>
            <w:r>
              <w:rPr>
                <w:spacing w:val="-7"/>
                <w:sz w:val="20"/>
              </w:rPr>
              <w:t xml:space="preserve"> </w:t>
            </w:r>
            <w:r>
              <w:rPr>
                <w:sz w:val="20"/>
              </w:rPr>
              <w:t>as</w:t>
            </w:r>
            <w:r>
              <w:rPr>
                <w:spacing w:val="-6"/>
                <w:sz w:val="20"/>
              </w:rPr>
              <w:t xml:space="preserve"> </w:t>
            </w:r>
            <w:r>
              <w:rPr>
                <w:sz w:val="20"/>
              </w:rPr>
              <w:t>well</w:t>
            </w:r>
            <w:r>
              <w:rPr>
                <w:spacing w:val="-7"/>
                <w:sz w:val="20"/>
              </w:rPr>
              <w:t xml:space="preserve"> </w:t>
            </w:r>
            <w:r>
              <w:rPr>
                <w:sz w:val="20"/>
              </w:rPr>
              <w:t>as</w:t>
            </w:r>
            <w:r>
              <w:rPr>
                <w:spacing w:val="-6"/>
                <w:sz w:val="20"/>
              </w:rPr>
              <w:t xml:space="preserve"> </w:t>
            </w:r>
            <w:r>
              <w:rPr>
                <w:sz w:val="20"/>
              </w:rPr>
              <w:t xml:space="preserve">agriculture-rated LEDs for animal health and </w:t>
            </w:r>
            <w:r>
              <w:rPr>
                <w:sz w:val="20"/>
              </w:rPr>
              <w:t>animal-specific purposes.</w:t>
            </w:r>
          </w:p>
        </w:tc>
      </w:tr>
      <w:tr w:rsidR="00C31389" w14:paraId="48A1D19E" w14:textId="77777777">
        <w:trPr>
          <w:trHeight w:val="620"/>
        </w:trPr>
        <w:tc>
          <w:tcPr>
            <w:tcW w:w="2434" w:type="dxa"/>
            <w:tcBorders>
              <w:top w:val="single" w:color="D9D9D9" w:sz="2" w:space="0"/>
              <w:bottom w:val="single" w:color="D9D9D9" w:sz="2" w:space="0"/>
            </w:tcBorders>
          </w:tcPr>
          <w:p w:rsidR="00C31389" w:rsidRDefault="00561FBD" w14:paraId="0545D606" w14:textId="77777777">
            <w:pPr>
              <w:pStyle w:val="TableParagraph"/>
              <w:spacing w:before="81"/>
              <w:ind w:left="129" w:right="231"/>
              <w:rPr>
                <w:sz w:val="20"/>
              </w:rPr>
            </w:pPr>
            <w:r>
              <w:rPr>
                <w:sz w:val="20"/>
              </w:rPr>
              <w:t>Interior Lighting Upgrades</w:t>
            </w:r>
            <w:r>
              <w:rPr>
                <w:spacing w:val="-14"/>
                <w:sz w:val="20"/>
              </w:rPr>
              <w:t xml:space="preserve"> </w:t>
            </w:r>
            <w:r>
              <w:rPr>
                <w:sz w:val="20"/>
              </w:rPr>
              <w:t>–</w:t>
            </w:r>
            <w:r>
              <w:rPr>
                <w:spacing w:val="-14"/>
                <w:sz w:val="20"/>
              </w:rPr>
              <w:t xml:space="preserve"> </w:t>
            </w:r>
            <w:r>
              <w:rPr>
                <w:sz w:val="20"/>
              </w:rPr>
              <w:t>Non-LED</w:t>
            </w:r>
          </w:p>
        </w:tc>
        <w:tc>
          <w:tcPr>
            <w:tcW w:w="1715" w:type="dxa"/>
            <w:tcBorders>
              <w:top w:val="single" w:color="D9D9D9" w:sz="2" w:space="0"/>
              <w:bottom w:val="single" w:color="D9D9D9" w:sz="2" w:space="0"/>
            </w:tcBorders>
          </w:tcPr>
          <w:p w:rsidR="00C31389" w:rsidRDefault="00561FBD" w14:paraId="63306836" w14:textId="77777777">
            <w:pPr>
              <w:pStyle w:val="TableParagraph"/>
              <w:spacing w:before="195"/>
              <w:ind w:left="125"/>
              <w:rPr>
                <w:sz w:val="20"/>
              </w:rPr>
            </w:pPr>
            <w:r>
              <w:rPr>
                <w:spacing w:val="-2"/>
                <w:sz w:val="20"/>
              </w:rPr>
              <w:t>Lighting</w:t>
            </w:r>
          </w:p>
        </w:tc>
        <w:tc>
          <w:tcPr>
            <w:tcW w:w="5226" w:type="dxa"/>
            <w:tcBorders>
              <w:top w:val="single" w:color="D9D9D9" w:sz="2" w:space="0"/>
              <w:bottom w:val="single" w:color="D9D9D9" w:sz="2" w:space="0"/>
            </w:tcBorders>
          </w:tcPr>
          <w:p w:rsidR="00C31389" w:rsidRDefault="00561FBD" w14:paraId="531ADD1F" w14:textId="77777777">
            <w:pPr>
              <w:pStyle w:val="TableParagraph"/>
              <w:spacing w:before="81"/>
              <w:ind w:left="120"/>
              <w:rPr>
                <w:sz w:val="20"/>
              </w:rPr>
            </w:pPr>
            <w:r>
              <w:rPr>
                <w:sz w:val="20"/>
              </w:rPr>
              <w:t>Includes</w:t>
            </w:r>
            <w:r>
              <w:rPr>
                <w:spacing w:val="-7"/>
                <w:sz w:val="20"/>
              </w:rPr>
              <w:t xml:space="preserve"> </w:t>
            </w:r>
            <w:r>
              <w:rPr>
                <w:sz w:val="20"/>
              </w:rPr>
              <w:t>typical</w:t>
            </w:r>
            <w:r>
              <w:rPr>
                <w:spacing w:val="-8"/>
                <w:sz w:val="20"/>
              </w:rPr>
              <w:t xml:space="preserve"> </w:t>
            </w:r>
            <w:r>
              <w:rPr>
                <w:sz w:val="20"/>
              </w:rPr>
              <w:t>commercial</w:t>
            </w:r>
            <w:r>
              <w:rPr>
                <w:spacing w:val="-8"/>
                <w:sz w:val="20"/>
              </w:rPr>
              <w:t xml:space="preserve"> </w:t>
            </w:r>
            <w:r>
              <w:rPr>
                <w:sz w:val="20"/>
              </w:rPr>
              <w:t>and</w:t>
            </w:r>
            <w:r>
              <w:rPr>
                <w:spacing w:val="-8"/>
                <w:sz w:val="20"/>
              </w:rPr>
              <w:t xml:space="preserve"> </w:t>
            </w:r>
            <w:r>
              <w:rPr>
                <w:sz w:val="20"/>
              </w:rPr>
              <w:t>industrial</w:t>
            </w:r>
            <w:r>
              <w:rPr>
                <w:spacing w:val="-8"/>
                <w:sz w:val="20"/>
              </w:rPr>
              <w:t xml:space="preserve"> </w:t>
            </w:r>
            <w:r>
              <w:rPr>
                <w:sz w:val="20"/>
              </w:rPr>
              <w:t>non-LED lighting measures and applications.</w:t>
            </w:r>
          </w:p>
        </w:tc>
      </w:tr>
      <w:tr w:rsidR="00C31389" w14:paraId="4DF610CA" w14:textId="77777777">
        <w:trPr>
          <w:trHeight w:val="389"/>
        </w:trPr>
        <w:tc>
          <w:tcPr>
            <w:tcW w:w="2434" w:type="dxa"/>
            <w:tcBorders>
              <w:top w:val="single" w:color="D9D9D9" w:sz="2" w:space="0"/>
              <w:bottom w:val="single" w:color="D9D9D9" w:sz="2" w:space="0"/>
            </w:tcBorders>
          </w:tcPr>
          <w:p w:rsidR="00C31389" w:rsidRDefault="00561FBD" w14:paraId="02F36EB2" w14:textId="77777777">
            <w:pPr>
              <w:pStyle w:val="TableParagraph"/>
              <w:spacing w:before="80"/>
              <w:ind w:left="129"/>
              <w:rPr>
                <w:sz w:val="20"/>
              </w:rPr>
            </w:pPr>
            <w:r>
              <w:rPr>
                <w:sz w:val="20"/>
              </w:rPr>
              <w:t>Lighting</w:t>
            </w:r>
            <w:r>
              <w:rPr>
                <w:spacing w:val="-5"/>
                <w:sz w:val="20"/>
              </w:rPr>
              <w:t xml:space="preserve"> </w:t>
            </w:r>
            <w:r>
              <w:rPr>
                <w:spacing w:val="-2"/>
                <w:sz w:val="20"/>
              </w:rPr>
              <w:t>Controls</w:t>
            </w:r>
          </w:p>
        </w:tc>
        <w:tc>
          <w:tcPr>
            <w:tcW w:w="1715" w:type="dxa"/>
            <w:tcBorders>
              <w:top w:val="single" w:color="D9D9D9" w:sz="2" w:space="0"/>
              <w:bottom w:val="single" w:color="D9D9D9" w:sz="2" w:space="0"/>
            </w:tcBorders>
          </w:tcPr>
          <w:p w:rsidR="00C31389" w:rsidRDefault="00561FBD" w14:paraId="4FEA6367" w14:textId="77777777">
            <w:pPr>
              <w:pStyle w:val="TableParagraph"/>
              <w:spacing w:before="80"/>
              <w:ind w:left="125"/>
              <w:rPr>
                <w:sz w:val="20"/>
              </w:rPr>
            </w:pPr>
            <w:r>
              <w:rPr>
                <w:spacing w:val="-2"/>
                <w:sz w:val="20"/>
              </w:rPr>
              <w:t>Lighting</w:t>
            </w:r>
          </w:p>
        </w:tc>
        <w:tc>
          <w:tcPr>
            <w:tcW w:w="5226" w:type="dxa"/>
            <w:tcBorders>
              <w:top w:val="single" w:color="D9D9D9" w:sz="2" w:space="0"/>
              <w:bottom w:val="single" w:color="D9D9D9" w:sz="2" w:space="0"/>
            </w:tcBorders>
          </w:tcPr>
          <w:p w:rsidR="00C31389" w:rsidRDefault="00561FBD" w14:paraId="6DF43DDC" w14:textId="77777777">
            <w:pPr>
              <w:pStyle w:val="TableParagraph"/>
              <w:spacing w:before="80"/>
              <w:ind w:left="120"/>
              <w:rPr>
                <w:sz w:val="20"/>
              </w:rPr>
            </w:pPr>
            <w:r>
              <w:rPr>
                <w:sz w:val="20"/>
              </w:rPr>
              <w:t>Occupancy</w:t>
            </w:r>
            <w:r>
              <w:rPr>
                <w:spacing w:val="-8"/>
                <w:sz w:val="20"/>
              </w:rPr>
              <w:t xml:space="preserve"> </w:t>
            </w:r>
            <w:r>
              <w:rPr>
                <w:sz w:val="20"/>
              </w:rPr>
              <w:t>sensors,</w:t>
            </w:r>
            <w:r>
              <w:rPr>
                <w:spacing w:val="-7"/>
                <w:sz w:val="20"/>
              </w:rPr>
              <w:t xml:space="preserve"> </w:t>
            </w:r>
            <w:r>
              <w:rPr>
                <w:sz w:val="20"/>
              </w:rPr>
              <w:t>photocells/timers,</w:t>
            </w:r>
            <w:r>
              <w:rPr>
                <w:spacing w:val="-7"/>
                <w:sz w:val="20"/>
              </w:rPr>
              <w:t xml:space="preserve"> </w:t>
            </w:r>
            <w:r>
              <w:rPr>
                <w:spacing w:val="-4"/>
                <w:sz w:val="20"/>
              </w:rPr>
              <w:t>etc.</w:t>
            </w:r>
          </w:p>
        </w:tc>
      </w:tr>
      <w:tr w:rsidR="00C31389" w14:paraId="7220E59A" w14:textId="77777777">
        <w:trPr>
          <w:trHeight w:val="1080"/>
        </w:trPr>
        <w:tc>
          <w:tcPr>
            <w:tcW w:w="2434" w:type="dxa"/>
            <w:tcBorders>
              <w:top w:val="single" w:color="D9D9D9" w:sz="2" w:space="0"/>
              <w:bottom w:val="single" w:color="000000" w:sz="8" w:space="0"/>
            </w:tcBorders>
          </w:tcPr>
          <w:p w:rsidR="00C31389" w:rsidRDefault="00C31389" w14:paraId="73EEF690" w14:textId="77777777">
            <w:pPr>
              <w:pStyle w:val="TableParagraph"/>
              <w:spacing w:before="11"/>
              <w:rPr>
                <w:b/>
                <w:sz w:val="26"/>
              </w:rPr>
            </w:pPr>
          </w:p>
          <w:p w:rsidR="00C31389" w:rsidRDefault="00561FBD" w14:paraId="3175E2B5" w14:textId="77777777">
            <w:pPr>
              <w:pStyle w:val="TableParagraph"/>
              <w:spacing w:before="0"/>
              <w:ind w:left="129" w:right="420"/>
              <w:rPr>
                <w:sz w:val="20"/>
              </w:rPr>
            </w:pPr>
            <w:r>
              <w:rPr>
                <w:sz w:val="20"/>
              </w:rPr>
              <w:t>Greenhouse</w:t>
            </w:r>
            <w:r>
              <w:rPr>
                <w:spacing w:val="-14"/>
                <w:sz w:val="20"/>
              </w:rPr>
              <w:t xml:space="preserve"> </w:t>
            </w:r>
            <w:r>
              <w:rPr>
                <w:sz w:val="20"/>
              </w:rPr>
              <w:t>Process Heating</w:t>
            </w:r>
            <w:r>
              <w:rPr>
                <w:spacing w:val="-7"/>
                <w:sz w:val="20"/>
              </w:rPr>
              <w:t xml:space="preserve"> </w:t>
            </w:r>
            <w:r>
              <w:rPr>
                <w:spacing w:val="-2"/>
                <w:sz w:val="20"/>
              </w:rPr>
              <w:t>Optimization</w:t>
            </w:r>
          </w:p>
        </w:tc>
        <w:tc>
          <w:tcPr>
            <w:tcW w:w="1715" w:type="dxa"/>
            <w:tcBorders>
              <w:top w:val="single" w:color="D9D9D9" w:sz="2" w:space="0"/>
              <w:bottom w:val="single" w:color="000000" w:sz="8" w:space="0"/>
            </w:tcBorders>
          </w:tcPr>
          <w:p w:rsidR="00C31389" w:rsidRDefault="00C31389" w14:paraId="1286FEEA" w14:textId="77777777">
            <w:pPr>
              <w:pStyle w:val="TableParagraph"/>
              <w:spacing w:before="0"/>
              <w:rPr>
                <w:b/>
              </w:rPr>
            </w:pPr>
          </w:p>
          <w:p w:rsidR="00C31389" w:rsidRDefault="00561FBD" w14:paraId="5FEE2395" w14:textId="77777777">
            <w:pPr>
              <w:pStyle w:val="TableParagraph"/>
              <w:spacing w:before="172"/>
              <w:ind w:left="125"/>
              <w:rPr>
                <w:sz w:val="20"/>
              </w:rPr>
            </w:pPr>
            <w:r>
              <w:rPr>
                <w:sz w:val="20"/>
              </w:rPr>
              <w:t>Process</w:t>
            </w:r>
            <w:r>
              <w:rPr>
                <w:spacing w:val="-5"/>
                <w:sz w:val="20"/>
              </w:rPr>
              <w:t xml:space="preserve"> </w:t>
            </w:r>
            <w:r>
              <w:rPr>
                <w:spacing w:val="-2"/>
                <w:sz w:val="20"/>
              </w:rPr>
              <w:t>Heating</w:t>
            </w:r>
          </w:p>
        </w:tc>
        <w:tc>
          <w:tcPr>
            <w:tcW w:w="5226" w:type="dxa"/>
            <w:tcBorders>
              <w:top w:val="single" w:color="D9D9D9" w:sz="2" w:space="0"/>
              <w:bottom w:val="single" w:color="000000" w:sz="8" w:space="0"/>
            </w:tcBorders>
          </w:tcPr>
          <w:p w:rsidR="00C31389" w:rsidRDefault="00561FBD" w14:paraId="4DD7FD65" w14:textId="77777777">
            <w:pPr>
              <w:pStyle w:val="TableParagraph"/>
              <w:spacing w:before="80"/>
              <w:ind w:left="120"/>
              <w:rPr>
                <w:sz w:val="20"/>
              </w:rPr>
            </w:pPr>
            <w:r>
              <w:rPr>
                <w:sz w:val="20"/>
              </w:rPr>
              <w:t>Heating optimization and equipment improvements for greenhouses (unit to bench heating conversion, boiler improvement</w:t>
            </w:r>
            <w:r>
              <w:rPr>
                <w:spacing w:val="-9"/>
                <w:sz w:val="20"/>
              </w:rPr>
              <w:t xml:space="preserve"> </w:t>
            </w:r>
            <w:r>
              <w:rPr>
                <w:sz w:val="20"/>
              </w:rPr>
              <w:t>measures,</w:t>
            </w:r>
            <w:r>
              <w:rPr>
                <w:spacing w:val="-9"/>
                <w:sz w:val="20"/>
              </w:rPr>
              <w:t xml:space="preserve"> </w:t>
            </w:r>
            <w:r>
              <w:rPr>
                <w:sz w:val="20"/>
              </w:rPr>
              <w:t>dynamic</w:t>
            </w:r>
            <w:r>
              <w:rPr>
                <w:spacing w:val="-9"/>
                <w:sz w:val="20"/>
              </w:rPr>
              <w:t xml:space="preserve"> </w:t>
            </w:r>
            <w:r>
              <w:rPr>
                <w:sz w:val="20"/>
              </w:rPr>
              <w:t>temperature</w:t>
            </w:r>
            <w:r>
              <w:rPr>
                <w:spacing w:val="-9"/>
                <w:sz w:val="20"/>
              </w:rPr>
              <w:t xml:space="preserve"> </w:t>
            </w:r>
            <w:r>
              <w:rPr>
                <w:sz w:val="20"/>
              </w:rPr>
              <w:t xml:space="preserve">controls, </w:t>
            </w:r>
            <w:r>
              <w:rPr>
                <w:spacing w:val="-2"/>
                <w:sz w:val="20"/>
              </w:rPr>
              <w:t>etc.).</w:t>
            </w:r>
          </w:p>
        </w:tc>
      </w:tr>
    </w:tbl>
    <w:p w:rsidR="00C31389" w:rsidRDefault="00C31389" w14:paraId="731543F2" w14:textId="77777777">
      <w:pPr>
        <w:pStyle w:val="BodyText"/>
        <w:rPr>
          <w:b/>
          <w:sz w:val="20"/>
        </w:rPr>
      </w:pPr>
    </w:p>
    <w:p w:rsidR="00C31389" w:rsidRDefault="00C31389" w14:paraId="11DC96A0" w14:textId="77777777">
      <w:pPr>
        <w:pStyle w:val="BodyText"/>
        <w:rPr>
          <w:b/>
          <w:sz w:val="20"/>
        </w:rPr>
      </w:pPr>
    </w:p>
    <w:p w:rsidR="00C31389" w:rsidRDefault="00561FBD" w14:paraId="568B2767" w14:textId="77777777">
      <w:pPr>
        <w:pStyle w:val="BodyText"/>
        <w:spacing w:before="10"/>
        <w:rPr>
          <w:b/>
          <w:sz w:val="18"/>
        </w:rPr>
      </w:pPr>
      <w:r>
        <w:rPr>
          <w:noProof/>
        </w:rPr>
        <mc:AlternateContent>
          <mc:Choice Requires="wps">
            <w:drawing>
              <wp:anchor distT="0" distB="0" distL="0" distR="0" simplePos="0" relativeHeight="487733248" behindDoc="1" locked="0" layoutInCell="1" allowOverlap="1" wp14:editId="239FAEA1" wp14:anchorId="676833FF">
                <wp:simplePos x="0" y="0"/>
                <wp:positionH relativeFrom="page">
                  <wp:posOffset>914400</wp:posOffset>
                </wp:positionH>
                <wp:positionV relativeFrom="paragraph">
                  <wp:posOffset>153435</wp:posOffset>
                </wp:positionV>
                <wp:extent cx="1828800" cy="6985"/>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88" style="position:absolute;margin-left:1in;margin-top:12.1pt;width:2in;height:.55pt;z-index:-15583232;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" w14:anchorId="7903677B">
                <v:path arrowok="t"/>
                <w10:wrap type="topAndBottom" anchorx="page"/>
              </v:shape>
            </w:pict>
          </mc:Fallback>
        </mc:AlternateContent>
      </w:r>
    </w:p>
    <w:p w:rsidR="00C31389" w:rsidRDefault="00561FBD" w14:paraId="33738BDC" w14:textId="77777777">
      <w:pPr>
        <w:spacing w:before="89"/>
        <w:ind w:right="1590"/>
        <w:jc w:val="right"/>
        <w:rPr>
          <w:sz w:val="18"/>
        </w:rPr>
      </w:pPr>
      <w:bookmarkStart w:name="_bookmark458" w:id="595"/>
      <w:bookmarkEnd w:id="595"/>
      <w:r>
        <w:rPr>
          <w:position w:val="6"/>
          <w:sz w:val="12"/>
        </w:rPr>
        <w:t>181</w:t>
      </w:r>
      <w:r>
        <w:rPr>
          <w:spacing w:val="12"/>
          <w:position w:val="6"/>
          <w:sz w:val="12"/>
        </w:rPr>
        <w:t xml:space="preserve"> </w:t>
      </w:r>
      <w:r>
        <w:rPr>
          <w:sz w:val="18"/>
        </w:rPr>
        <w:t>All</w:t>
      </w:r>
      <w:r>
        <w:rPr>
          <w:spacing w:val="-2"/>
          <w:sz w:val="18"/>
        </w:rPr>
        <w:t xml:space="preserve"> </w:t>
      </w:r>
      <w:r>
        <w:rPr>
          <w:sz w:val="18"/>
        </w:rPr>
        <w:t>lighting</w:t>
      </w:r>
      <w:r>
        <w:rPr>
          <w:spacing w:val="-4"/>
          <w:sz w:val="18"/>
        </w:rPr>
        <w:t xml:space="preserve"> </w:t>
      </w:r>
      <w:r>
        <w:rPr>
          <w:sz w:val="18"/>
        </w:rPr>
        <w:t>considers</w:t>
      </w:r>
      <w:r>
        <w:rPr>
          <w:spacing w:val="-2"/>
          <w:sz w:val="18"/>
        </w:rPr>
        <w:t xml:space="preserve"> </w:t>
      </w:r>
      <w:r>
        <w:rPr>
          <w:sz w:val="18"/>
        </w:rPr>
        <w:t>the</w:t>
      </w:r>
      <w:r>
        <w:rPr>
          <w:spacing w:val="-3"/>
          <w:sz w:val="18"/>
        </w:rPr>
        <w:t xml:space="preserve"> </w:t>
      </w:r>
      <w:r>
        <w:rPr>
          <w:sz w:val="18"/>
        </w:rPr>
        <w:t>LED</w:t>
      </w:r>
      <w:r>
        <w:rPr>
          <w:spacing w:val="-2"/>
          <w:sz w:val="18"/>
        </w:rPr>
        <w:t xml:space="preserve"> </w:t>
      </w:r>
      <w:r>
        <w:rPr>
          <w:sz w:val="18"/>
        </w:rPr>
        <w:t>baseline</w:t>
      </w:r>
      <w:r>
        <w:rPr>
          <w:spacing w:val="-1"/>
          <w:sz w:val="18"/>
        </w:rPr>
        <w:t xml:space="preserve"> </w:t>
      </w:r>
      <w:r>
        <w:rPr>
          <w:sz w:val="18"/>
        </w:rPr>
        <w:t>and</w:t>
      </w:r>
      <w:r>
        <w:rPr>
          <w:spacing w:val="-3"/>
          <w:sz w:val="18"/>
        </w:rPr>
        <w:t xml:space="preserve"> </w:t>
      </w:r>
      <w:r>
        <w:rPr>
          <w:sz w:val="18"/>
        </w:rPr>
        <w:t>efficient</w:t>
      </w:r>
      <w:r>
        <w:rPr>
          <w:spacing w:val="-3"/>
          <w:sz w:val="18"/>
        </w:rPr>
        <w:t xml:space="preserve"> </w:t>
      </w:r>
      <w:r>
        <w:rPr>
          <w:sz w:val="18"/>
        </w:rPr>
        <w:t>changes</w:t>
      </w:r>
      <w:r>
        <w:rPr>
          <w:spacing w:val="-2"/>
          <w:sz w:val="18"/>
        </w:rPr>
        <w:t xml:space="preserve"> </w:t>
      </w:r>
      <w:r>
        <w:rPr>
          <w:sz w:val="18"/>
        </w:rPr>
        <w:t>reflected</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commercial</w:t>
      </w:r>
      <w:r>
        <w:rPr>
          <w:spacing w:val="-2"/>
          <w:sz w:val="18"/>
        </w:rPr>
        <w:t xml:space="preserve"> sector.</w:t>
      </w:r>
    </w:p>
    <w:p w:rsidR="00C31389" w:rsidRDefault="00C31389" w14:paraId="72C950E8" w14:textId="77777777">
      <w:pPr>
        <w:jc w:val="right"/>
        <w:rPr>
          <w:sz w:val="18"/>
        </w:rPr>
        <w:sectPr w:rsidR="00C31389">
          <w:pgSz w:w="11910" w:h="16840"/>
          <w:pgMar w:top="1380" w:right="1020" w:bottom="1120" w:left="960" w:header="397" w:footer="938" w:gutter="0"/>
          <w:cols w:space="720"/>
        </w:sectPr>
      </w:pPr>
    </w:p>
    <w:p w:rsidR="00C31389" w:rsidRDefault="00C31389" w14:paraId="3031DA41"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2418"/>
        <w:gridCol w:w="1731"/>
        <w:gridCol w:w="5226"/>
      </w:tblGrid>
      <w:tr w:rsidR="00C31389" w14:paraId="71617358" w14:textId="77777777">
        <w:trPr>
          <w:trHeight w:val="252"/>
        </w:trPr>
        <w:tc>
          <w:tcPr>
            <w:tcW w:w="2418" w:type="dxa"/>
            <w:tcBorders>
              <w:top w:val="single" w:color="8B8B8B" w:sz="8" w:space="0"/>
            </w:tcBorders>
          </w:tcPr>
          <w:p w:rsidR="00C31389" w:rsidRDefault="00C31389" w14:paraId="038EC0C4" w14:textId="77777777">
            <w:pPr>
              <w:pStyle w:val="TableParagraph"/>
              <w:spacing w:before="0"/>
              <w:rPr>
                <w:rFonts w:ascii="Times New Roman"/>
                <w:sz w:val="18"/>
              </w:rPr>
            </w:pPr>
          </w:p>
        </w:tc>
        <w:tc>
          <w:tcPr>
            <w:tcW w:w="1731" w:type="dxa"/>
            <w:tcBorders>
              <w:top w:val="single" w:color="8B8B8B" w:sz="8" w:space="0"/>
            </w:tcBorders>
          </w:tcPr>
          <w:p w:rsidR="00C31389" w:rsidRDefault="00C31389" w14:paraId="1685C7D1" w14:textId="77777777">
            <w:pPr>
              <w:pStyle w:val="TableParagraph"/>
              <w:spacing w:before="0"/>
              <w:rPr>
                <w:rFonts w:ascii="Times New Roman"/>
                <w:sz w:val="18"/>
              </w:rPr>
            </w:pPr>
          </w:p>
        </w:tc>
        <w:tc>
          <w:tcPr>
            <w:tcW w:w="5226" w:type="dxa"/>
            <w:tcBorders>
              <w:top w:val="single" w:color="8B8B8B" w:sz="8" w:space="0"/>
            </w:tcBorders>
          </w:tcPr>
          <w:p w:rsidR="00C31389" w:rsidRDefault="00C31389" w14:paraId="254F61A3" w14:textId="77777777">
            <w:pPr>
              <w:pStyle w:val="TableParagraph"/>
              <w:spacing w:before="0"/>
              <w:rPr>
                <w:rFonts w:ascii="Times New Roman"/>
                <w:sz w:val="18"/>
              </w:rPr>
            </w:pPr>
          </w:p>
        </w:tc>
      </w:tr>
      <w:tr w:rsidR="00C31389" w14:paraId="6DFD8EBB" w14:textId="77777777">
        <w:trPr>
          <w:trHeight w:val="611"/>
        </w:trPr>
        <w:tc>
          <w:tcPr>
            <w:tcW w:w="2418" w:type="dxa"/>
            <w:shd w:val="clear" w:color="auto" w:fill="92D400"/>
          </w:tcPr>
          <w:p w:rsidR="00C31389" w:rsidRDefault="00561FBD" w14:paraId="4292DB99" w14:textId="77777777">
            <w:pPr>
              <w:pStyle w:val="TableParagraph"/>
              <w:spacing w:before="187"/>
              <w:ind w:left="129"/>
              <w:rPr>
                <w:b/>
                <w:sz w:val="20"/>
              </w:rPr>
            </w:pPr>
            <w:r>
              <w:rPr>
                <w:b/>
                <w:sz w:val="20"/>
              </w:rPr>
              <w:t>Measure</w:t>
            </w:r>
            <w:r>
              <w:rPr>
                <w:b/>
                <w:spacing w:val="-7"/>
                <w:sz w:val="20"/>
              </w:rPr>
              <w:t xml:space="preserve"> </w:t>
            </w:r>
            <w:r>
              <w:rPr>
                <w:b/>
                <w:spacing w:val="-4"/>
                <w:sz w:val="20"/>
              </w:rPr>
              <w:t>Name</w:t>
            </w:r>
          </w:p>
        </w:tc>
        <w:tc>
          <w:tcPr>
            <w:tcW w:w="1731" w:type="dxa"/>
            <w:shd w:val="clear" w:color="auto" w:fill="92D400"/>
          </w:tcPr>
          <w:p w:rsidR="00C31389" w:rsidRDefault="00561FBD" w14:paraId="16FF5453" w14:textId="77777777">
            <w:pPr>
              <w:pStyle w:val="TableParagraph"/>
              <w:spacing w:before="71"/>
              <w:ind w:left="141"/>
              <w:rPr>
                <w:b/>
                <w:sz w:val="20"/>
              </w:rPr>
            </w:pPr>
            <w:r>
              <w:rPr>
                <w:b/>
                <w:sz w:val="20"/>
              </w:rPr>
              <w:t xml:space="preserve">End Use </w:t>
            </w:r>
            <w:r>
              <w:rPr>
                <w:b/>
                <w:spacing w:val="-2"/>
                <w:sz w:val="20"/>
              </w:rPr>
              <w:t>Category</w:t>
            </w:r>
          </w:p>
        </w:tc>
        <w:tc>
          <w:tcPr>
            <w:tcW w:w="5226" w:type="dxa"/>
            <w:shd w:val="clear" w:color="auto" w:fill="92D400"/>
          </w:tcPr>
          <w:p w:rsidR="00C31389" w:rsidRDefault="00561FBD" w14:paraId="5C52C287" w14:textId="77777777">
            <w:pPr>
              <w:pStyle w:val="TableParagraph"/>
              <w:spacing w:before="187"/>
              <w:ind w:left="120"/>
              <w:rPr>
                <w:b/>
                <w:sz w:val="20"/>
              </w:rPr>
            </w:pPr>
            <w:r>
              <w:rPr>
                <w:b/>
                <w:spacing w:val="-2"/>
                <w:sz w:val="20"/>
              </w:rPr>
              <w:t>Description</w:t>
            </w:r>
          </w:p>
        </w:tc>
      </w:tr>
      <w:tr w:rsidR="00C31389" w14:paraId="54D6AE6B" w14:textId="77777777">
        <w:trPr>
          <w:trHeight w:val="845"/>
        </w:trPr>
        <w:tc>
          <w:tcPr>
            <w:tcW w:w="2418" w:type="dxa"/>
            <w:tcBorders>
              <w:bottom w:val="single" w:color="D9D9D9" w:sz="2" w:space="0"/>
            </w:tcBorders>
          </w:tcPr>
          <w:p w:rsidR="00C31389" w:rsidRDefault="00561FBD" w14:paraId="33598608" w14:textId="77777777">
            <w:pPr>
              <w:pStyle w:val="TableParagraph"/>
              <w:spacing w:before="190"/>
              <w:ind w:left="129" w:right="681"/>
              <w:rPr>
                <w:sz w:val="20"/>
              </w:rPr>
            </w:pPr>
            <w:r>
              <w:rPr>
                <w:sz w:val="20"/>
              </w:rPr>
              <w:t>Greenhouse</w:t>
            </w:r>
            <w:r>
              <w:rPr>
                <w:spacing w:val="-14"/>
                <w:sz w:val="20"/>
              </w:rPr>
              <w:t xml:space="preserve"> </w:t>
            </w:r>
            <w:r>
              <w:rPr>
                <w:sz w:val="20"/>
              </w:rPr>
              <w:t xml:space="preserve">Shell </w:t>
            </w:r>
            <w:r>
              <w:rPr>
                <w:spacing w:val="-2"/>
                <w:sz w:val="20"/>
              </w:rPr>
              <w:t>Improvements</w:t>
            </w:r>
          </w:p>
        </w:tc>
        <w:tc>
          <w:tcPr>
            <w:tcW w:w="1731" w:type="dxa"/>
            <w:tcBorders>
              <w:bottom w:val="single" w:color="D9D9D9" w:sz="2" w:space="0"/>
            </w:tcBorders>
          </w:tcPr>
          <w:p w:rsidR="00C31389" w:rsidRDefault="00C31389" w14:paraId="0C77C28B" w14:textId="77777777">
            <w:pPr>
              <w:pStyle w:val="TableParagraph"/>
              <w:spacing w:before="6"/>
              <w:rPr>
                <w:sz w:val="26"/>
              </w:rPr>
            </w:pPr>
          </w:p>
          <w:p w:rsidR="00C31389" w:rsidRDefault="00561FBD" w14:paraId="696EF59B" w14:textId="77777777">
            <w:pPr>
              <w:pStyle w:val="TableParagraph"/>
              <w:spacing w:before="0"/>
              <w:ind w:left="130" w:right="111"/>
              <w:jc w:val="center"/>
              <w:rPr>
                <w:sz w:val="20"/>
              </w:rPr>
            </w:pPr>
            <w:r>
              <w:rPr>
                <w:sz w:val="20"/>
              </w:rPr>
              <w:t>Process</w:t>
            </w:r>
            <w:r>
              <w:rPr>
                <w:spacing w:val="-5"/>
                <w:sz w:val="20"/>
              </w:rPr>
              <w:t xml:space="preserve"> </w:t>
            </w:r>
            <w:r>
              <w:rPr>
                <w:spacing w:val="-2"/>
                <w:sz w:val="20"/>
              </w:rPr>
              <w:t>Heating</w:t>
            </w:r>
          </w:p>
        </w:tc>
        <w:tc>
          <w:tcPr>
            <w:tcW w:w="5226" w:type="dxa"/>
            <w:tcBorders>
              <w:bottom w:val="single" w:color="D9D9D9" w:sz="2" w:space="0"/>
            </w:tcBorders>
          </w:tcPr>
          <w:p w:rsidR="00C31389" w:rsidRDefault="00561FBD" w14:paraId="60D13477" w14:textId="77777777">
            <w:pPr>
              <w:pStyle w:val="TableParagraph"/>
              <w:spacing w:before="76"/>
              <w:ind w:left="120" w:right="209"/>
              <w:rPr>
                <w:sz w:val="20"/>
              </w:rPr>
            </w:pPr>
            <w:r>
              <w:rPr>
                <w:sz w:val="20"/>
              </w:rPr>
              <w:t>Heating</w:t>
            </w:r>
            <w:r>
              <w:rPr>
                <w:spacing w:val="-10"/>
                <w:sz w:val="20"/>
              </w:rPr>
              <w:t xml:space="preserve"> </w:t>
            </w:r>
            <w:r>
              <w:rPr>
                <w:sz w:val="20"/>
              </w:rPr>
              <w:t>optimization</w:t>
            </w:r>
            <w:r>
              <w:rPr>
                <w:spacing w:val="-10"/>
                <w:sz w:val="20"/>
              </w:rPr>
              <w:t xml:space="preserve"> </w:t>
            </w:r>
            <w:r>
              <w:rPr>
                <w:sz w:val="20"/>
              </w:rPr>
              <w:t>improvements</w:t>
            </w:r>
            <w:r>
              <w:rPr>
                <w:spacing w:val="-9"/>
                <w:sz w:val="20"/>
              </w:rPr>
              <w:t xml:space="preserve"> </w:t>
            </w:r>
            <w:r>
              <w:rPr>
                <w:sz w:val="20"/>
              </w:rPr>
              <w:t>for</w:t>
            </w:r>
            <w:r>
              <w:rPr>
                <w:spacing w:val="-9"/>
                <w:sz w:val="20"/>
              </w:rPr>
              <w:t xml:space="preserve"> </w:t>
            </w:r>
            <w:r>
              <w:rPr>
                <w:sz w:val="20"/>
              </w:rPr>
              <w:t xml:space="preserve">greenhouses centered around shell </w:t>
            </w:r>
            <w:r>
              <w:rPr>
                <w:sz w:val="20"/>
              </w:rPr>
              <w:t>improvements (thermal and shade curtains, insulation upgrades, film, etc.).</w:t>
            </w:r>
          </w:p>
        </w:tc>
      </w:tr>
      <w:tr w:rsidR="00C31389" w14:paraId="3E0CB985" w14:textId="77777777">
        <w:trPr>
          <w:trHeight w:val="849"/>
        </w:trPr>
        <w:tc>
          <w:tcPr>
            <w:tcW w:w="2418" w:type="dxa"/>
            <w:tcBorders>
              <w:top w:val="single" w:color="D9D9D9" w:sz="2" w:space="0"/>
              <w:bottom w:val="single" w:color="D9D9D9" w:sz="2" w:space="0"/>
            </w:tcBorders>
          </w:tcPr>
          <w:p w:rsidR="00C31389" w:rsidRDefault="00561FBD" w14:paraId="4AEE1C02" w14:textId="77777777">
            <w:pPr>
              <w:pStyle w:val="TableParagraph"/>
              <w:spacing w:before="195"/>
              <w:ind w:left="129" w:right="349"/>
              <w:rPr>
                <w:sz w:val="20"/>
              </w:rPr>
            </w:pPr>
            <w:r>
              <w:rPr>
                <w:sz w:val="20"/>
              </w:rPr>
              <w:t>Post-Harvest</w:t>
            </w:r>
            <w:r>
              <w:rPr>
                <w:spacing w:val="-14"/>
                <w:sz w:val="20"/>
              </w:rPr>
              <w:t xml:space="preserve"> </w:t>
            </w:r>
            <w:r>
              <w:rPr>
                <w:sz w:val="20"/>
              </w:rPr>
              <w:t xml:space="preserve">Process </w:t>
            </w:r>
            <w:r>
              <w:rPr>
                <w:spacing w:val="-2"/>
                <w:sz w:val="20"/>
              </w:rPr>
              <w:t>Improvements</w:t>
            </w:r>
          </w:p>
        </w:tc>
        <w:tc>
          <w:tcPr>
            <w:tcW w:w="1731" w:type="dxa"/>
            <w:tcBorders>
              <w:top w:val="single" w:color="D9D9D9" w:sz="2" w:space="0"/>
              <w:bottom w:val="single" w:color="D9D9D9" w:sz="2" w:space="0"/>
            </w:tcBorders>
          </w:tcPr>
          <w:p w:rsidR="00C31389" w:rsidRDefault="00C31389" w14:paraId="2BB54A1A" w14:textId="77777777">
            <w:pPr>
              <w:pStyle w:val="TableParagraph"/>
              <w:spacing w:before="11"/>
              <w:rPr>
                <w:sz w:val="26"/>
              </w:rPr>
            </w:pPr>
          </w:p>
          <w:p w:rsidR="00C31389" w:rsidRDefault="00561FBD" w14:paraId="64E884F6" w14:textId="77777777">
            <w:pPr>
              <w:pStyle w:val="TableParagraph"/>
              <w:spacing w:before="0"/>
              <w:ind w:left="130" w:right="110"/>
              <w:jc w:val="center"/>
              <w:rPr>
                <w:sz w:val="20"/>
              </w:rPr>
            </w:pPr>
            <w:r>
              <w:rPr>
                <w:sz w:val="20"/>
              </w:rPr>
              <w:t>Process</w:t>
            </w:r>
            <w:r>
              <w:rPr>
                <w:spacing w:val="-5"/>
                <w:sz w:val="20"/>
              </w:rPr>
              <w:t xml:space="preserve"> </w:t>
            </w:r>
            <w:r>
              <w:rPr>
                <w:spacing w:val="-2"/>
                <w:sz w:val="20"/>
              </w:rPr>
              <w:t>Heating</w:t>
            </w:r>
          </w:p>
        </w:tc>
        <w:tc>
          <w:tcPr>
            <w:tcW w:w="5226" w:type="dxa"/>
            <w:tcBorders>
              <w:top w:val="single" w:color="D9D9D9" w:sz="2" w:space="0"/>
              <w:bottom w:val="single" w:color="D9D9D9" w:sz="2" w:space="0"/>
            </w:tcBorders>
          </w:tcPr>
          <w:p w:rsidR="00C31389" w:rsidRDefault="00561FBD" w14:paraId="4741B014" w14:textId="77777777">
            <w:pPr>
              <w:pStyle w:val="TableParagraph"/>
              <w:spacing w:before="80"/>
              <w:ind w:left="120" w:right="509"/>
              <w:jc w:val="both"/>
              <w:rPr>
                <w:sz w:val="20"/>
              </w:rPr>
            </w:pPr>
            <w:r>
              <w:rPr>
                <w:sz w:val="20"/>
              </w:rPr>
              <w:t>Gas</w:t>
            </w:r>
            <w:r>
              <w:rPr>
                <w:spacing w:val="-4"/>
                <w:sz w:val="20"/>
              </w:rPr>
              <w:t xml:space="preserve"> </w:t>
            </w:r>
            <w:r>
              <w:rPr>
                <w:sz w:val="20"/>
              </w:rPr>
              <w:t>improvements</w:t>
            </w:r>
            <w:r>
              <w:rPr>
                <w:spacing w:val="-4"/>
                <w:sz w:val="20"/>
              </w:rPr>
              <w:t xml:space="preserve"> </w:t>
            </w:r>
            <w:r>
              <w:rPr>
                <w:sz w:val="20"/>
              </w:rPr>
              <w:t>to</w:t>
            </w:r>
            <w:r>
              <w:rPr>
                <w:spacing w:val="-5"/>
                <w:sz w:val="20"/>
              </w:rPr>
              <w:t xml:space="preserve"> </w:t>
            </w:r>
            <w:r>
              <w:rPr>
                <w:sz w:val="20"/>
              </w:rPr>
              <w:t>post-harvesting</w:t>
            </w:r>
            <w:r>
              <w:rPr>
                <w:spacing w:val="-5"/>
                <w:sz w:val="20"/>
              </w:rPr>
              <w:t xml:space="preserve"> </w:t>
            </w:r>
            <w:r>
              <w:rPr>
                <w:sz w:val="20"/>
              </w:rPr>
              <w:t>such</w:t>
            </w:r>
            <w:r>
              <w:rPr>
                <w:spacing w:val="-5"/>
                <w:sz w:val="20"/>
              </w:rPr>
              <w:t xml:space="preserve"> </w:t>
            </w:r>
            <w:r>
              <w:rPr>
                <w:sz w:val="20"/>
              </w:rPr>
              <w:t>as</w:t>
            </w:r>
            <w:r>
              <w:rPr>
                <w:spacing w:val="-4"/>
                <w:sz w:val="20"/>
              </w:rPr>
              <w:t xml:space="preserve"> </w:t>
            </w:r>
            <w:r>
              <w:rPr>
                <w:sz w:val="20"/>
              </w:rPr>
              <w:t>more efficient</w:t>
            </w:r>
            <w:r>
              <w:rPr>
                <w:spacing w:val="-6"/>
                <w:sz w:val="20"/>
              </w:rPr>
              <w:t xml:space="preserve"> </w:t>
            </w:r>
            <w:r>
              <w:rPr>
                <w:sz w:val="20"/>
              </w:rPr>
              <w:t>heated</w:t>
            </w:r>
            <w:r>
              <w:rPr>
                <w:spacing w:val="-6"/>
                <w:sz w:val="20"/>
              </w:rPr>
              <w:t xml:space="preserve"> </w:t>
            </w:r>
            <w:r>
              <w:rPr>
                <w:sz w:val="20"/>
              </w:rPr>
              <w:t>grain</w:t>
            </w:r>
            <w:r>
              <w:rPr>
                <w:spacing w:val="-6"/>
                <w:sz w:val="20"/>
              </w:rPr>
              <w:t xml:space="preserve"> </w:t>
            </w:r>
            <w:r>
              <w:rPr>
                <w:sz w:val="20"/>
              </w:rPr>
              <w:t>drying,</w:t>
            </w:r>
            <w:r>
              <w:rPr>
                <w:spacing w:val="-6"/>
                <w:sz w:val="20"/>
              </w:rPr>
              <w:t xml:space="preserve"> </w:t>
            </w:r>
            <w:r>
              <w:rPr>
                <w:sz w:val="20"/>
              </w:rPr>
              <w:t>heat</w:t>
            </w:r>
            <w:r>
              <w:rPr>
                <w:spacing w:val="-6"/>
                <w:sz w:val="20"/>
              </w:rPr>
              <w:t xml:space="preserve"> </w:t>
            </w:r>
            <w:r>
              <w:rPr>
                <w:sz w:val="20"/>
              </w:rPr>
              <w:t>recovery,</w:t>
            </w:r>
            <w:r>
              <w:rPr>
                <w:spacing w:val="-6"/>
                <w:sz w:val="20"/>
              </w:rPr>
              <w:t xml:space="preserve"> </w:t>
            </w:r>
            <w:r>
              <w:rPr>
                <w:sz w:val="20"/>
              </w:rPr>
              <w:t xml:space="preserve">process </w:t>
            </w:r>
            <w:r>
              <w:rPr>
                <w:spacing w:val="-2"/>
                <w:sz w:val="20"/>
              </w:rPr>
              <w:t>controls.</w:t>
            </w:r>
          </w:p>
        </w:tc>
      </w:tr>
      <w:tr w:rsidR="00C31389" w14:paraId="43DF5DFD" w14:textId="77777777">
        <w:trPr>
          <w:trHeight w:val="620"/>
        </w:trPr>
        <w:tc>
          <w:tcPr>
            <w:tcW w:w="2418" w:type="dxa"/>
            <w:tcBorders>
              <w:top w:val="single" w:color="D9D9D9" w:sz="2" w:space="0"/>
              <w:bottom w:val="single" w:color="D9D9D9" w:sz="2" w:space="0"/>
            </w:tcBorders>
          </w:tcPr>
          <w:p w:rsidR="00C31389" w:rsidRDefault="00561FBD" w14:paraId="0935FD62" w14:textId="77777777">
            <w:pPr>
              <w:pStyle w:val="TableParagraph"/>
              <w:spacing w:before="81"/>
              <w:ind w:left="129"/>
              <w:rPr>
                <w:sz w:val="20"/>
              </w:rPr>
            </w:pPr>
            <w:r>
              <w:rPr>
                <w:sz w:val="20"/>
              </w:rPr>
              <w:t>Pipe</w:t>
            </w:r>
            <w:r>
              <w:rPr>
                <w:spacing w:val="-14"/>
                <w:sz w:val="20"/>
              </w:rPr>
              <w:t xml:space="preserve"> </w:t>
            </w:r>
            <w:r>
              <w:rPr>
                <w:sz w:val="20"/>
              </w:rPr>
              <w:t>Insulation</w:t>
            </w:r>
            <w:r>
              <w:rPr>
                <w:spacing w:val="-14"/>
                <w:sz w:val="20"/>
              </w:rPr>
              <w:t xml:space="preserve"> </w:t>
            </w:r>
            <w:r>
              <w:rPr>
                <w:sz w:val="20"/>
              </w:rPr>
              <w:t xml:space="preserve">Hot </w:t>
            </w:r>
            <w:r>
              <w:rPr>
                <w:spacing w:val="-2"/>
                <w:sz w:val="20"/>
              </w:rPr>
              <w:t>Application</w:t>
            </w:r>
          </w:p>
        </w:tc>
        <w:tc>
          <w:tcPr>
            <w:tcW w:w="1731" w:type="dxa"/>
            <w:tcBorders>
              <w:top w:val="single" w:color="D9D9D9" w:sz="2" w:space="0"/>
              <w:bottom w:val="single" w:color="D9D9D9" w:sz="2" w:space="0"/>
            </w:tcBorders>
          </w:tcPr>
          <w:p w:rsidR="00C31389" w:rsidRDefault="00561FBD" w14:paraId="774658D0" w14:textId="77777777">
            <w:pPr>
              <w:pStyle w:val="TableParagraph"/>
              <w:spacing w:before="195"/>
              <w:ind w:left="130" w:right="110"/>
              <w:jc w:val="center"/>
              <w:rPr>
                <w:sz w:val="20"/>
              </w:rPr>
            </w:pPr>
            <w:r>
              <w:rPr>
                <w:sz w:val="20"/>
              </w:rPr>
              <w:t>Process</w:t>
            </w:r>
            <w:r>
              <w:rPr>
                <w:spacing w:val="-5"/>
                <w:sz w:val="20"/>
              </w:rPr>
              <w:t xml:space="preserve"> </w:t>
            </w:r>
            <w:r>
              <w:rPr>
                <w:spacing w:val="-2"/>
                <w:sz w:val="20"/>
              </w:rPr>
              <w:t>Heating</w:t>
            </w:r>
          </w:p>
        </w:tc>
        <w:tc>
          <w:tcPr>
            <w:tcW w:w="5226" w:type="dxa"/>
            <w:tcBorders>
              <w:top w:val="single" w:color="D9D9D9" w:sz="2" w:space="0"/>
              <w:bottom w:val="single" w:color="D9D9D9" w:sz="2" w:space="0"/>
            </w:tcBorders>
          </w:tcPr>
          <w:p w:rsidR="00C31389" w:rsidRDefault="00561FBD" w14:paraId="60CA16F3" w14:textId="77777777">
            <w:pPr>
              <w:pStyle w:val="TableParagraph"/>
              <w:spacing w:before="81"/>
              <w:ind w:left="120"/>
              <w:rPr>
                <w:sz w:val="20"/>
              </w:rPr>
            </w:pPr>
            <w:r>
              <w:rPr>
                <w:sz w:val="20"/>
              </w:rPr>
              <w:t>Insulation</w:t>
            </w:r>
            <w:r>
              <w:rPr>
                <w:spacing w:val="-7"/>
                <w:sz w:val="20"/>
              </w:rPr>
              <w:t xml:space="preserve"> </w:t>
            </w:r>
            <w:r>
              <w:rPr>
                <w:sz w:val="20"/>
              </w:rPr>
              <w:t>or</w:t>
            </w:r>
            <w:r>
              <w:rPr>
                <w:spacing w:val="-6"/>
                <w:sz w:val="20"/>
              </w:rPr>
              <w:t xml:space="preserve"> </w:t>
            </w:r>
            <w:r>
              <w:rPr>
                <w:sz w:val="20"/>
              </w:rPr>
              <w:t>improved</w:t>
            </w:r>
            <w:r>
              <w:rPr>
                <w:spacing w:val="-7"/>
                <w:sz w:val="20"/>
              </w:rPr>
              <w:t xml:space="preserve"> </w:t>
            </w:r>
            <w:r>
              <w:rPr>
                <w:sz w:val="20"/>
              </w:rPr>
              <w:t>insulation</w:t>
            </w:r>
            <w:r>
              <w:rPr>
                <w:spacing w:val="-7"/>
                <w:sz w:val="20"/>
              </w:rPr>
              <w:t xml:space="preserve"> </w:t>
            </w:r>
            <w:r>
              <w:rPr>
                <w:sz w:val="20"/>
              </w:rPr>
              <w:t>on</w:t>
            </w:r>
            <w:r>
              <w:rPr>
                <w:spacing w:val="-7"/>
                <w:sz w:val="20"/>
              </w:rPr>
              <w:t xml:space="preserve"> </w:t>
            </w:r>
            <w:r>
              <w:rPr>
                <w:sz w:val="20"/>
              </w:rPr>
              <w:t>boiler</w:t>
            </w:r>
            <w:r>
              <w:rPr>
                <w:spacing w:val="-6"/>
                <w:sz w:val="20"/>
              </w:rPr>
              <w:t xml:space="preserve"> </w:t>
            </w:r>
            <w:r>
              <w:rPr>
                <w:sz w:val="20"/>
              </w:rPr>
              <w:t>equipment, storage tanks, and other process piping.</w:t>
            </w:r>
          </w:p>
        </w:tc>
      </w:tr>
      <w:tr w:rsidR="00C31389" w14:paraId="21AF3054" w14:textId="77777777">
        <w:trPr>
          <w:trHeight w:val="620"/>
        </w:trPr>
        <w:tc>
          <w:tcPr>
            <w:tcW w:w="2418" w:type="dxa"/>
            <w:tcBorders>
              <w:top w:val="single" w:color="D9D9D9" w:sz="2" w:space="0"/>
              <w:bottom w:val="single" w:color="D9D9D9" w:sz="2" w:space="0"/>
            </w:tcBorders>
          </w:tcPr>
          <w:p w:rsidR="00C31389" w:rsidRDefault="00561FBD" w14:paraId="6B259A75" w14:textId="77777777">
            <w:pPr>
              <w:pStyle w:val="TableParagraph"/>
              <w:spacing w:before="80"/>
              <w:ind w:left="129" w:right="359"/>
              <w:rPr>
                <w:sz w:val="20"/>
              </w:rPr>
            </w:pPr>
            <w:r>
              <w:rPr>
                <w:sz w:val="20"/>
              </w:rPr>
              <w:t>Process</w:t>
            </w:r>
            <w:r>
              <w:rPr>
                <w:spacing w:val="-14"/>
                <w:sz w:val="20"/>
              </w:rPr>
              <w:t xml:space="preserve"> </w:t>
            </w:r>
            <w:r>
              <w:rPr>
                <w:sz w:val="20"/>
              </w:rPr>
              <w:t>Refrigeration Retrofit – Dairy</w:t>
            </w:r>
          </w:p>
        </w:tc>
        <w:tc>
          <w:tcPr>
            <w:tcW w:w="1731" w:type="dxa"/>
            <w:tcBorders>
              <w:top w:val="single" w:color="D9D9D9" w:sz="2" w:space="0"/>
              <w:bottom w:val="single" w:color="D9D9D9" w:sz="2" w:space="0"/>
            </w:tcBorders>
          </w:tcPr>
          <w:p w:rsidR="00C31389" w:rsidRDefault="00561FBD" w14:paraId="1CA37BC2" w14:textId="77777777">
            <w:pPr>
              <w:pStyle w:val="TableParagraph"/>
              <w:spacing w:before="80"/>
              <w:ind w:left="141"/>
              <w:rPr>
                <w:sz w:val="20"/>
              </w:rPr>
            </w:pPr>
            <w:r>
              <w:rPr>
                <w:spacing w:val="-2"/>
                <w:sz w:val="20"/>
              </w:rPr>
              <w:t>Process Refrigeration</w:t>
            </w:r>
          </w:p>
        </w:tc>
        <w:tc>
          <w:tcPr>
            <w:tcW w:w="5226" w:type="dxa"/>
            <w:tcBorders>
              <w:top w:val="single" w:color="D9D9D9" w:sz="2" w:space="0"/>
              <w:bottom w:val="single" w:color="D9D9D9" w:sz="2" w:space="0"/>
            </w:tcBorders>
          </w:tcPr>
          <w:p w:rsidR="00C31389" w:rsidRDefault="00561FBD" w14:paraId="46CF81B1" w14:textId="77777777">
            <w:pPr>
              <w:pStyle w:val="TableParagraph"/>
              <w:spacing w:before="80"/>
              <w:ind w:left="120"/>
              <w:rPr>
                <w:sz w:val="20"/>
              </w:rPr>
            </w:pPr>
            <w:r>
              <w:rPr>
                <w:sz w:val="20"/>
              </w:rPr>
              <w:t>Refrigeration</w:t>
            </w:r>
            <w:r>
              <w:rPr>
                <w:spacing w:val="-8"/>
                <w:sz w:val="20"/>
              </w:rPr>
              <w:t xml:space="preserve"> </w:t>
            </w:r>
            <w:r>
              <w:rPr>
                <w:sz w:val="20"/>
              </w:rPr>
              <w:t>improvements</w:t>
            </w:r>
            <w:r>
              <w:rPr>
                <w:spacing w:val="-6"/>
                <w:sz w:val="20"/>
              </w:rPr>
              <w:t xml:space="preserve"> </w:t>
            </w:r>
            <w:r>
              <w:rPr>
                <w:sz w:val="20"/>
              </w:rPr>
              <w:t>to</w:t>
            </w:r>
            <w:r>
              <w:rPr>
                <w:spacing w:val="-7"/>
                <w:sz w:val="20"/>
              </w:rPr>
              <w:t xml:space="preserve"> </w:t>
            </w:r>
            <w:r>
              <w:rPr>
                <w:sz w:val="20"/>
              </w:rPr>
              <w:t>process</w:t>
            </w:r>
            <w:r>
              <w:rPr>
                <w:spacing w:val="-6"/>
                <w:sz w:val="20"/>
              </w:rPr>
              <w:t xml:space="preserve"> </w:t>
            </w:r>
            <w:r>
              <w:rPr>
                <w:sz w:val="20"/>
              </w:rPr>
              <w:t>milk</w:t>
            </w:r>
            <w:r>
              <w:rPr>
                <w:spacing w:val="-6"/>
                <w:sz w:val="20"/>
              </w:rPr>
              <w:t xml:space="preserve"> </w:t>
            </w:r>
            <w:r>
              <w:rPr>
                <w:sz w:val="20"/>
              </w:rPr>
              <w:t>cooling</w:t>
            </w:r>
            <w:r>
              <w:rPr>
                <w:spacing w:val="-7"/>
                <w:sz w:val="20"/>
              </w:rPr>
              <w:t xml:space="preserve"> </w:t>
            </w:r>
            <w:r>
              <w:rPr>
                <w:sz w:val="20"/>
              </w:rPr>
              <w:t>on dairies (plate coolers, scroll compressors).</w:t>
            </w:r>
          </w:p>
        </w:tc>
      </w:tr>
      <w:tr w:rsidR="00C31389" w14:paraId="13A74E56" w14:textId="77777777">
        <w:trPr>
          <w:trHeight w:val="1079"/>
        </w:trPr>
        <w:tc>
          <w:tcPr>
            <w:tcW w:w="2418" w:type="dxa"/>
            <w:tcBorders>
              <w:top w:val="single" w:color="D9D9D9" w:sz="2" w:space="0"/>
              <w:bottom w:val="single" w:color="D9D9D9" w:sz="2" w:space="0"/>
            </w:tcBorders>
          </w:tcPr>
          <w:p w:rsidR="00C31389" w:rsidRDefault="00561FBD" w14:paraId="58DDD5DD" w14:textId="77777777">
            <w:pPr>
              <w:pStyle w:val="TableParagraph"/>
              <w:spacing w:before="195"/>
              <w:ind w:left="129" w:right="349"/>
              <w:rPr>
                <w:sz w:val="20"/>
              </w:rPr>
            </w:pPr>
            <w:r>
              <w:rPr>
                <w:sz w:val="20"/>
              </w:rPr>
              <w:t>Refrigeration Retrofit (Refrigeration</w:t>
            </w:r>
            <w:r>
              <w:rPr>
                <w:spacing w:val="-14"/>
                <w:sz w:val="20"/>
              </w:rPr>
              <w:t xml:space="preserve"> </w:t>
            </w:r>
            <w:r>
              <w:rPr>
                <w:sz w:val="20"/>
              </w:rPr>
              <w:t xml:space="preserve">System </w:t>
            </w:r>
            <w:r>
              <w:rPr>
                <w:spacing w:val="-2"/>
                <w:sz w:val="20"/>
              </w:rPr>
              <w:t>Optimization)</w:t>
            </w:r>
          </w:p>
        </w:tc>
        <w:tc>
          <w:tcPr>
            <w:tcW w:w="1731" w:type="dxa"/>
            <w:tcBorders>
              <w:top w:val="single" w:color="D9D9D9" w:sz="2" w:space="0"/>
              <w:bottom w:val="single" w:color="D9D9D9" w:sz="2" w:space="0"/>
            </w:tcBorders>
          </w:tcPr>
          <w:p w:rsidR="00C31389" w:rsidRDefault="00C31389" w14:paraId="516266D6" w14:textId="77777777">
            <w:pPr>
              <w:pStyle w:val="TableParagraph"/>
              <w:spacing w:before="11"/>
              <w:rPr>
                <w:sz w:val="26"/>
              </w:rPr>
            </w:pPr>
          </w:p>
          <w:p w:rsidR="00C31389" w:rsidRDefault="00561FBD" w14:paraId="470FFAA1" w14:textId="77777777">
            <w:pPr>
              <w:pStyle w:val="TableParagraph"/>
              <w:spacing w:before="0"/>
              <w:ind w:left="141"/>
              <w:rPr>
                <w:sz w:val="20"/>
              </w:rPr>
            </w:pPr>
            <w:r>
              <w:rPr>
                <w:spacing w:val="-2"/>
                <w:sz w:val="20"/>
              </w:rPr>
              <w:t>Process Refrigeration</w:t>
            </w:r>
          </w:p>
        </w:tc>
        <w:tc>
          <w:tcPr>
            <w:tcW w:w="5226" w:type="dxa"/>
            <w:tcBorders>
              <w:top w:val="single" w:color="D9D9D9" w:sz="2" w:space="0"/>
              <w:bottom w:val="single" w:color="D9D9D9" w:sz="2" w:space="0"/>
            </w:tcBorders>
          </w:tcPr>
          <w:p w:rsidR="00C31389" w:rsidRDefault="00561FBD" w14:paraId="4B0ED8FD" w14:textId="77777777">
            <w:pPr>
              <w:pStyle w:val="TableParagraph"/>
              <w:spacing w:before="80"/>
              <w:ind w:left="120"/>
              <w:rPr>
                <w:sz w:val="20"/>
              </w:rPr>
            </w:pPr>
            <w:r>
              <w:rPr>
                <w:sz w:val="20"/>
              </w:rPr>
              <w:t>Includes</w:t>
            </w:r>
            <w:r>
              <w:rPr>
                <w:spacing w:val="-7"/>
                <w:sz w:val="20"/>
              </w:rPr>
              <w:t xml:space="preserve"> </w:t>
            </w:r>
            <w:r>
              <w:rPr>
                <w:sz w:val="20"/>
              </w:rPr>
              <w:t>typical</w:t>
            </w:r>
            <w:r>
              <w:rPr>
                <w:spacing w:val="-8"/>
                <w:sz w:val="20"/>
              </w:rPr>
              <w:t xml:space="preserve"> </w:t>
            </w:r>
            <w:r>
              <w:rPr>
                <w:sz w:val="20"/>
              </w:rPr>
              <w:t>commercial</w:t>
            </w:r>
            <w:r>
              <w:rPr>
                <w:spacing w:val="-8"/>
                <w:sz w:val="20"/>
              </w:rPr>
              <w:t xml:space="preserve"> </w:t>
            </w:r>
            <w:r>
              <w:rPr>
                <w:sz w:val="20"/>
              </w:rPr>
              <w:t>and</w:t>
            </w:r>
            <w:r>
              <w:rPr>
                <w:spacing w:val="-8"/>
                <w:sz w:val="20"/>
              </w:rPr>
              <w:t xml:space="preserve"> </w:t>
            </w:r>
            <w:r>
              <w:rPr>
                <w:sz w:val="20"/>
              </w:rPr>
              <w:t>industrial</w:t>
            </w:r>
            <w:r>
              <w:rPr>
                <w:spacing w:val="-8"/>
                <w:sz w:val="20"/>
              </w:rPr>
              <w:t xml:space="preserve"> </w:t>
            </w:r>
            <w:r>
              <w:rPr>
                <w:sz w:val="20"/>
              </w:rPr>
              <w:t>refrigeration improvements to cold storage areas (floating head pressure c</w:t>
            </w:r>
            <w:r>
              <w:rPr>
                <w:sz w:val="20"/>
              </w:rPr>
              <w:t>ontrols, evaporator fan controls, evaporator fans, etc.).</w:t>
            </w:r>
          </w:p>
        </w:tc>
      </w:tr>
      <w:tr w:rsidR="00C31389" w14:paraId="706E9753" w14:textId="77777777">
        <w:trPr>
          <w:trHeight w:val="1769"/>
        </w:trPr>
        <w:tc>
          <w:tcPr>
            <w:tcW w:w="2418" w:type="dxa"/>
            <w:tcBorders>
              <w:top w:val="single" w:color="D9D9D9" w:sz="2" w:space="0"/>
              <w:bottom w:val="single" w:color="D9D9D9" w:sz="2" w:space="0"/>
            </w:tcBorders>
          </w:tcPr>
          <w:p w:rsidR="00C31389" w:rsidRDefault="00C31389" w14:paraId="1474E65A" w14:textId="77777777">
            <w:pPr>
              <w:pStyle w:val="TableParagraph"/>
              <w:spacing w:before="0"/>
            </w:pPr>
          </w:p>
          <w:p w:rsidR="00C31389" w:rsidRDefault="00C31389" w14:paraId="63B5CB82" w14:textId="77777777">
            <w:pPr>
              <w:pStyle w:val="TableParagraph"/>
              <w:spacing w:before="0"/>
            </w:pPr>
          </w:p>
          <w:p w:rsidR="00C31389" w:rsidRDefault="00561FBD" w14:paraId="504D18A3" w14:textId="77777777">
            <w:pPr>
              <w:pStyle w:val="TableParagraph"/>
              <w:spacing w:before="148"/>
              <w:ind w:left="129"/>
              <w:rPr>
                <w:sz w:val="20"/>
              </w:rPr>
            </w:pPr>
            <w:r>
              <w:rPr>
                <w:sz w:val="20"/>
              </w:rPr>
              <w:t>Dairies Refrigeration System</w:t>
            </w:r>
            <w:r>
              <w:rPr>
                <w:spacing w:val="-14"/>
                <w:sz w:val="20"/>
              </w:rPr>
              <w:t xml:space="preserve"> </w:t>
            </w:r>
            <w:r>
              <w:rPr>
                <w:sz w:val="20"/>
              </w:rPr>
              <w:t>Heat</w:t>
            </w:r>
            <w:r>
              <w:rPr>
                <w:spacing w:val="-14"/>
                <w:sz w:val="20"/>
              </w:rPr>
              <w:t xml:space="preserve"> </w:t>
            </w:r>
            <w:r>
              <w:rPr>
                <w:sz w:val="20"/>
              </w:rPr>
              <w:t>Recovery</w:t>
            </w:r>
          </w:p>
        </w:tc>
        <w:tc>
          <w:tcPr>
            <w:tcW w:w="1731" w:type="dxa"/>
            <w:tcBorders>
              <w:top w:val="single" w:color="D9D9D9" w:sz="2" w:space="0"/>
              <w:bottom w:val="single" w:color="D9D9D9" w:sz="2" w:space="0"/>
            </w:tcBorders>
          </w:tcPr>
          <w:p w:rsidR="00C31389" w:rsidRDefault="00C31389" w14:paraId="38B6F9F6" w14:textId="77777777">
            <w:pPr>
              <w:pStyle w:val="TableParagraph"/>
              <w:spacing w:before="0"/>
            </w:pPr>
          </w:p>
          <w:p w:rsidR="00C31389" w:rsidRDefault="00C31389" w14:paraId="5EA0168D" w14:textId="77777777">
            <w:pPr>
              <w:pStyle w:val="TableParagraph"/>
              <w:spacing w:before="0"/>
            </w:pPr>
          </w:p>
          <w:p w:rsidR="00C31389" w:rsidRDefault="00C31389" w14:paraId="3E8E044D" w14:textId="77777777">
            <w:pPr>
              <w:pStyle w:val="TableParagraph"/>
              <w:spacing w:before="10"/>
            </w:pPr>
          </w:p>
          <w:p w:rsidR="00C31389" w:rsidRDefault="00561FBD" w14:paraId="6947D915" w14:textId="77777777">
            <w:pPr>
              <w:pStyle w:val="TableParagraph"/>
              <w:spacing w:before="1"/>
              <w:ind w:left="130" w:right="110"/>
              <w:jc w:val="center"/>
              <w:rPr>
                <w:sz w:val="20"/>
              </w:rPr>
            </w:pPr>
            <w:r>
              <w:rPr>
                <w:sz w:val="20"/>
              </w:rPr>
              <w:t>Process</w:t>
            </w:r>
            <w:r>
              <w:rPr>
                <w:spacing w:val="-5"/>
                <w:sz w:val="20"/>
              </w:rPr>
              <w:t xml:space="preserve"> </w:t>
            </w:r>
            <w:r>
              <w:rPr>
                <w:spacing w:val="-2"/>
                <w:sz w:val="20"/>
              </w:rPr>
              <w:t>Heating</w:t>
            </w:r>
          </w:p>
        </w:tc>
        <w:tc>
          <w:tcPr>
            <w:tcW w:w="5226" w:type="dxa"/>
            <w:tcBorders>
              <w:top w:val="single" w:color="D9D9D9" w:sz="2" w:space="0"/>
              <w:bottom w:val="single" w:color="D9D9D9" w:sz="2" w:space="0"/>
            </w:tcBorders>
          </w:tcPr>
          <w:p w:rsidR="00C31389" w:rsidRDefault="00561FBD" w14:paraId="045FF60A" w14:textId="77777777">
            <w:pPr>
              <w:pStyle w:val="TableParagraph"/>
              <w:spacing w:before="80"/>
              <w:ind w:left="120" w:right="128"/>
              <w:rPr>
                <w:sz w:val="20"/>
              </w:rPr>
            </w:pPr>
            <w:r>
              <w:rPr>
                <w:sz w:val="20"/>
              </w:rPr>
              <w:t>Dairy refrigeration systems keep raw milk cool and the heat</w:t>
            </w:r>
            <w:r>
              <w:rPr>
                <w:spacing w:val="-6"/>
                <w:sz w:val="20"/>
              </w:rPr>
              <w:t xml:space="preserve"> </w:t>
            </w:r>
            <w:r>
              <w:rPr>
                <w:sz w:val="20"/>
              </w:rPr>
              <w:t>removed</w:t>
            </w:r>
            <w:r>
              <w:rPr>
                <w:spacing w:val="-7"/>
                <w:sz w:val="20"/>
              </w:rPr>
              <w:t xml:space="preserve"> </w:t>
            </w:r>
            <w:r>
              <w:rPr>
                <w:sz w:val="20"/>
              </w:rPr>
              <w:t>by</w:t>
            </w:r>
            <w:r>
              <w:rPr>
                <w:spacing w:val="-5"/>
                <w:sz w:val="20"/>
              </w:rPr>
              <w:t xml:space="preserve"> </w:t>
            </w:r>
            <w:r>
              <w:rPr>
                <w:sz w:val="20"/>
              </w:rPr>
              <w:t>these</w:t>
            </w:r>
            <w:r>
              <w:rPr>
                <w:spacing w:val="-6"/>
                <w:sz w:val="20"/>
              </w:rPr>
              <w:t xml:space="preserve"> </w:t>
            </w:r>
            <w:r>
              <w:rPr>
                <w:sz w:val="20"/>
              </w:rPr>
              <w:t>refrigeration</w:t>
            </w:r>
            <w:r>
              <w:rPr>
                <w:spacing w:val="-6"/>
                <w:sz w:val="20"/>
              </w:rPr>
              <w:t xml:space="preserve"> </w:t>
            </w:r>
            <w:r>
              <w:rPr>
                <w:sz w:val="20"/>
              </w:rPr>
              <w:t>systems</w:t>
            </w:r>
            <w:r>
              <w:rPr>
                <w:spacing w:val="-5"/>
                <w:sz w:val="20"/>
              </w:rPr>
              <w:t xml:space="preserve"> </w:t>
            </w:r>
            <w:r>
              <w:rPr>
                <w:sz w:val="20"/>
              </w:rPr>
              <w:t>is</w:t>
            </w:r>
            <w:r>
              <w:rPr>
                <w:spacing w:val="-5"/>
                <w:sz w:val="20"/>
              </w:rPr>
              <w:t xml:space="preserve"> </w:t>
            </w:r>
            <w:r>
              <w:rPr>
                <w:sz w:val="20"/>
              </w:rPr>
              <w:t xml:space="preserve">typically rejected to the </w:t>
            </w:r>
            <w:r>
              <w:rPr>
                <w:sz w:val="20"/>
              </w:rPr>
              <w:t>environment. Installation of a heat recovery system (a heat exchanger on the condensing unit) allows waste heat to be recovered for pre-heating water for cleaning processes, which is another large energy use on a dairy farm.</w:t>
            </w:r>
          </w:p>
        </w:tc>
      </w:tr>
      <w:tr w:rsidR="00C31389" w14:paraId="04BE452D" w14:textId="77777777">
        <w:trPr>
          <w:trHeight w:val="2229"/>
        </w:trPr>
        <w:tc>
          <w:tcPr>
            <w:tcW w:w="2418" w:type="dxa"/>
            <w:tcBorders>
              <w:top w:val="single" w:color="D9D9D9" w:sz="2" w:space="0"/>
              <w:bottom w:val="single" w:color="D9D9D9" w:sz="2" w:space="0"/>
            </w:tcBorders>
          </w:tcPr>
          <w:p w:rsidR="00C31389" w:rsidRDefault="00C31389" w14:paraId="5DB0461C" w14:textId="77777777">
            <w:pPr>
              <w:pStyle w:val="TableParagraph"/>
              <w:spacing w:before="0"/>
            </w:pPr>
          </w:p>
          <w:p w:rsidR="00C31389" w:rsidRDefault="00C31389" w14:paraId="4E7E7CDC" w14:textId="77777777">
            <w:pPr>
              <w:pStyle w:val="TableParagraph"/>
              <w:spacing w:before="0"/>
            </w:pPr>
          </w:p>
          <w:p w:rsidR="00C31389" w:rsidRDefault="00C31389" w14:paraId="6588D1D8" w14:textId="77777777">
            <w:pPr>
              <w:pStyle w:val="TableParagraph"/>
              <w:spacing w:before="0"/>
            </w:pPr>
          </w:p>
          <w:p w:rsidR="00C31389" w:rsidRDefault="00C31389" w14:paraId="4CE74813" w14:textId="77777777">
            <w:pPr>
              <w:pStyle w:val="TableParagraph"/>
              <w:spacing w:before="11"/>
              <w:rPr>
                <w:sz w:val="20"/>
              </w:rPr>
            </w:pPr>
          </w:p>
          <w:p w:rsidR="00C31389" w:rsidRDefault="00561FBD" w14:paraId="5FC4DD5D" w14:textId="77777777">
            <w:pPr>
              <w:pStyle w:val="TableParagraph"/>
              <w:spacing w:before="0"/>
              <w:ind w:left="129"/>
              <w:rPr>
                <w:sz w:val="20"/>
              </w:rPr>
            </w:pPr>
            <w:r>
              <w:rPr>
                <w:sz w:val="20"/>
              </w:rPr>
              <w:t>Dairies</w:t>
            </w:r>
            <w:r>
              <w:rPr>
                <w:spacing w:val="-5"/>
                <w:sz w:val="20"/>
              </w:rPr>
              <w:t xml:space="preserve"> </w:t>
            </w:r>
            <w:r>
              <w:rPr>
                <w:sz w:val="20"/>
              </w:rPr>
              <w:t>VFDs</w:t>
            </w:r>
            <w:r>
              <w:rPr>
                <w:spacing w:val="-3"/>
                <w:sz w:val="20"/>
              </w:rPr>
              <w:t xml:space="preserve"> </w:t>
            </w:r>
            <w:r>
              <w:rPr>
                <w:sz w:val="20"/>
              </w:rPr>
              <w:t>on</w:t>
            </w:r>
            <w:r>
              <w:rPr>
                <w:spacing w:val="-2"/>
                <w:sz w:val="20"/>
              </w:rPr>
              <w:t xml:space="preserve"> </w:t>
            </w:r>
            <w:r>
              <w:rPr>
                <w:spacing w:val="-4"/>
                <w:sz w:val="20"/>
              </w:rPr>
              <w:t>Pumps</w:t>
            </w:r>
          </w:p>
        </w:tc>
        <w:tc>
          <w:tcPr>
            <w:tcW w:w="1731" w:type="dxa"/>
            <w:tcBorders>
              <w:top w:val="single" w:color="D9D9D9" w:sz="2" w:space="0"/>
              <w:bottom w:val="single" w:color="D9D9D9" w:sz="2" w:space="0"/>
            </w:tcBorders>
          </w:tcPr>
          <w:p w:rsidR="00C31389" w:rsidRDefault="00C31389" w14:paraId="1E6D182C" w14:textId="77777777">
            <w:pPr>
              <w:pStyle w:val="TableParagraph"/>
              <w:spacing w:before="0"/>
            </w:pPr>
          </w:p>
          <w:p w:rsidR="00C31389" w:rsidRDefault="00C31389" w14:paraId="5A450C3A" w14:textId="77777777">
            <w:pPr>
              <w:pStyle w:val="TableParagraph"/>
              <w:spacing w:before="0"/>
            </w:pPr>
          </w:p>
          <w:p w:rsidR="00C31389" w:rsidRDefault="00C31389" w14:paraId="25F2E869" w14:textId="77777777">
            <w:pPr>
              <w:pStyle w:val="TableParagraph"/>
              <w:spacing w:before="0"/>
            </w:pPr>
          </w:p>
          <w:p w:rsidR="00C31389" w:rsidRDefault="00C31389" w14:paraId="72CAC7BA" w14:textId="77777777">
            <w:pPr>
              <w:pStyle w:val="TableParagraph"/>
              <w:spacing w:before="11"/>
              <w:rPr>
                <w:sz w:val="20"/>
              </w:rPr>
            </w:pPr>
          </w:p>
          <w:p w:rsidR="00C31389" w:rsidRDefault="00561FBD" w14:paraId="685D24A0" w14:textId="77777777">
            <w:pPr>
              <w:pStyle w:val="TableParagraph"/>
              <w:spacing w:before="0"/>
              <w:ind w:left="44" w:right="111"/>
              <w:jc w:val="center"/>
              <w:rPr>
                <w:sz w:val="20"/>
              </w:rPr>
            </w:pPr>
            <w:r>
              <w:rPr>
                <w:sz w:val="20"/>
              </w:rPr>
              <w:t>Machine</w:t>
            </w:r>
            <w:r>
              <w:rPr>
                <w:spacing w:val="-6"/>
                <w:sz w:val="20"/>
              </w:rPr>
              <w:t xml:space="preserve"> </w:t>
            </w:r>
            <w:r>
              <w:rPr>
                <w:spacing w:val="-2"/>
                <w:sz w:val="20"/>
              </w:rPr>
              <w:t>Drives</w:t>
            </w:r>
          </w:p>
        </w:tc>
        <w:tc>
          <w:tcPr>
            <w:tcW w:w="5226" w:type="dxa"/>
            <w:tcBorders>
              <w:top w:val="single" w:color="D9D9D9" w:sz="2" w:space="0"/>
              <w:bottom w:val="single" w:color="D9D9D9" w:sz="2" w:space="0"/>
            </w:tcBorders>
          </w:tcPr>
          <w:p w:rsidR="00C31389" w:rsidRDefault="00561FBD" w14:paraId="58530A48" w14:textId="77777777">
            <w:pPr>
              <w:pStyle w:val="TableParagraph"/>
              <w:spacing w:before="80"/>
              <w:ind w:left="120" w:right="209"/>
              <w:rPr>
                <w:sz w:val="20"/>
              </w:rPr>
            </w:pPr>
            <w:r>
              <w:rPr>
                <w:sz w:val="20"/>
              </w:rPr>
              <w:t>The</w:t>
            </w:r>
            <w:r>
              <w:rPr>
                <w:spacing w:val="-6"/>
                <w:sz w:val="20"/>
              </w:rPr>
              <w:t xml:space="preserve"> </w:t>
            </w:r>
            <w:r>
              <w:rPr>
                <w:sz w:val="20"/>
              </w:rPr>
              <w:t>milking</w:t>
            </w:r>
            <w:r>
              <w:rPr>
                <w:spacing w:val="-6"/>
                <w:sz w:val="20"/>
              </w:rPr>
              <w:t xml:space="preserve"> </w:t>
            </w:r>
            <w:r>
              <w:rPr>
                <w:sz w:val="20"/>
              </w:rPr>
              <w:t>and</w:t>
            </w:r>
            <w:r>
              <w:rPr>
                <w:spacing w:val="-6"/>
                <w:sz w:val="20"/>
              </w:rPr>
              <w:t xml:space="preserve"> </w:t>
            </w:r>
            <w:r>
              <w:rPr>
                <w:sz w:val="20"/>
              </w:rPr>
              <w:t>collection</w:t>
            </w:r>
            <w:r>
              <w:rPr>
                <w:spacing w:val="-6"/>
                <w:sz w:val="20"/>
              </w:rPr>
              <w:t xml:space="preserve"> </w:t>
            </w:r>
            <w:r>
              <w:rPr>
                <w:sz w:val="20"/>
              </w:rPr>
              <w:t>system</w:t>
            </w:r>
            <w:r>
              <w:rPr>
                <w:spacing w:val="-6"/>
                <w:sz w:val="20"/>
              </w:rPr>
              <w:t xml:space="preserve"> </w:t>
            </w:r>
            <w:r>
              <w:rPr>
                <w:sz w:val="20"/>
              </w:rPr>
              <w:t>pumps</w:t>
            </w:r>
            <w:r>
              <w:rPr>
                <w:spacing w:val="-5"/>
                <w:sz w:val="20"/>
              </w:rPr>
              <w:t xml:space="preserve"> </w:t>
            </w:r>
            <w:r>
              <w:rPr>
                <w:sz w:val="20"/>
              </w:rPr>
              <w:t>milk</w:t>
            </w:r>
            <w:r>
              <w:rPr>
                <w:spacing w:val="-5"/>
                <w:sz w:val="20"/>
              </w:rPr>
              <w:t xml:space="preserve"> </w:t>
            </w:r>
            <w:r>
              <w:rPr>
                <w:sz w:val="20"/>
              </w:rPr>
              <w:t xml:space="preserve">through the milking system from cow to cooling tank. Current practice is a constant speed pump with a manually adjusted orifice to maximize the vacuum level in the system. As a result, </w:t>
            </w:r>
            <w:r>
              <w:rPr>
                <w:sz w:val="20"/>
              </w:rPr>
              <w:t>systems typically run well below capacity, wasting most of the pump motor’s power. A VFD</w:t>
            </w:r>
            <w:r>
              <w:rPr>
                <w:spacing w:val="-3"/>
                <w:sz w:val="20"/>
              </w:rPr>
              <w:t xml:space="preserve"> </w:t>
            </w:r>
            <w:r>
              <w:rPr>
                <w:sz w:val="20"/>
              </w:rPr>
              <w:t>allows</w:t>
            </w:r>
            <w:r>
              <w:rPr>
                <w:spacing w:val="-3"/>
                <w:sz w:val="20"/>
              </w:rPr>
              <w:t xml:space="preserve"> </w:t>
            </w:r>
            <w:r>
              <w:rPr>
                <w:sz w:val="20"/>
              </w:rPr>
              <w:t>the</w:t>
            </w:r>
            <w:r>
              <w:rPr>
                <w:spacing w:val="-4"/>
                <w:sz w:val="20"/>
              </w:rPr>
              <w:t xml:space="preserve"> </w:t>
            </w:r>
            <w:r>
              <w:rPr>
                <w:sz w:val="20"/>
              </w:rPr>
              <w:t>system</w:t>
            </w:r>
            <w:r>
              <w:rPr>
                <w:spacing w:val="-4"/>
                <w:sz w:val="20"/>
              </w:rPr>
              <w:t xml:space="preserve"> </w:t>
            </w:r>
            <w:r>
              <w:rPr>
                <w:sz w:val="20"/>
              </w:rPr>
              <w:t>to</w:t>
            </w:r>
            <w:r>
              <w:rPr>
                <w:spacing w:val="-4"/>
                <w:sz w:val="20"/>
              </w:rPr>
              <w:t xml:space="preserve"> </w:t>
            </w:r>
            <w:r>
              <w:rPr>
                <w:sz w:val="20"/>
              </w:rPr>
              <w:t>adjust</w:t>
            </w:r>
            <w:r>
              <w:rPr>
                <w:spacing w:val="-4"/>
                <w:sz w:val="20"/>
              </w:rPr>
              <w:t xml:space="preserve"> </w:t>
            </w:r>
            <w:r>
              <w:rPr>
                <w:sz w:val="20"/>
              </w:rPr>
              <w:t>vacuum</w:t>
            </w:r>
            <w:r>
              <w:rPr>
                <w:spacing w:val="-4"/>
                <w:sz w:val="20"/>
              </w:rPr>
              <w:t xml:space="preserve"> </w:t>
            </w:r>
            <w:r>
              <w:rPr>
                <w:sz w:val="20"/>
              </w:rPr>
              <w:t>levels</w:t>
            </w:r>
            <w:r>
              <w:rPr>
                <w:spacing w:val="-3"/>
                <w:sz w:val="20"/>
              </w:rPr>
              <w:t xml:space="preserve"> </w:t>
            </w:r>
            <w:r>
              <w:rPr>
                <w:sz w:val="20"/>
              </w:rPr>
              <w:t>on</w:t>
            </w:r>
            <w:r>
              <w:rPr>
                <w:spacing w:val="-4"/>
                <w:sz w:val="20"/>
              </w:rPr>
              <w:t xml:space="preserve"> </w:t>
            </w:r>
            <w:r>
              <w:rPr>
                <w:sz w:val="20"/>
              </w:rPr>
              <w:t xml:space="preserve">the fly, reducing pump power when not under full load </w:t>
            </w:r>
            <w:r>
              <w:rPr>
                <w:spacing w:val="-2"/>
                <w:sz w:val="20"/>
              </w:rPr>
              <w:t>conditions.</w:t>
            </w:r>
          </w:p>
        </w:tc>
      </w:tr>
      <w:tr w:rsidR="00C31389" w14:paraId="2B37B6AC" w14:textId="77777777">
        <w:trPr>
          <w:trHeight w:val="1310"/>
        </w:trPr>
        <w:tc>
          <w:tcPr>
            <w:tcW w:w="2418" w:type="dxa"/>
            <w:tcBorders>
              <w:top w:val="single" w:color="D9D9D9" w:sz="2" w:space="0"/>
              <w:bottom w:val="single" w:color="D9D9D9" w:sz="2" w:space="0"/>
            </w:tcBorders>
          </w:tcPr>
          <w:p w:rsidR="00C31389" w:rsidRDefault="00C31389" w14:paraId="12707ABC" w14:textId="77777777">
            <w:pPr>
              <w:pStyle w:val="TableParagraph"/>
              <w:spacing w:before="0"/>
            </w:pPr>
          </w:p>
          <w:p w:rsidR="00C31389" w:rsidRDefault="00561FBD" w14:paraId="0021384C" w14:textId="77777777">
            <w:pPr>
              <w:pStyle w:val="TableParagraph"/>
              <w:spacing w:before="172"/>
              <w:ind w:left="129"/>
              <w:rPr>
                <w:sz w:val="20"/>
              </w:rPr>
            </w:pPr>
            <w:r>
              <w:rPr>
                <w:sz w:val="20"/>
              </w:rPr>
              <w:t>Dairies</w:t>
            </w:r>
            <w:r>
              <w:rPr>
                <w:spacing w:val="-12"/>
                <w:sz w:val="20"/>
              </w:rPr>
              <w:t xml:space="preserve"> </w:t>
            </w:r>
            <w:r>
              <w:rPr>
                <w:sz w:val="20"/>
              </w:rPr>
              <w:t>EE</w:t>
            </w:r>
            <w:r>
              <w:rPr>
                <w:spacing w:val="-13"/>
                <w:sz w:val="20"/>
              </w:rPr>
              <w:t xml:space="preserve"> </w:t>
            </w:r>
            <w:r>
              <w:rPr>
                <w:sz w:val="20"/>
              </w:rPr>
              <w:t>Fans</w:t>
            </w:r>
            <w:r>
              <w:rPr>
                <w:spacing w:val="-12"/>
                <w:sz w:val="20"/>
              </w:rPr>
              <w:t xml:space="preserve"> </w:t>
            </w:r>
            <w:r>
              <w:rPr>
                <w:sz w:val="20"/>
              </w:rPr>
              <w:t xml:space="preserve">and </w:t>
            </w:r>
            <w:r>
              <w:rPr>
                <w:spacing w:val="-2"/>
                <w:sz w:val="20"/>
              </w:rPr>
              <w:t>Ventilation</w:t>
            </w:r>
          </w:p>
        </w:tc>
        <w:tc>
          <w:tcPr>
            <w:tcW w:w="1731" w:type="dxa"/>
            <w:tcBorders>
              <w:top w:val="single" w:color="D9D9D9" w:sz="2" w:space="0"/>
              <w:bottom w:val="single" w:color="D9D9D9" w:sz="2" w:space="0"/>
            </w:tcBorders>
          </w:tcPr>
          <w:p w:rsidR="00C31389" w:rsidRDefault="00C31389" w14:paraId="15795F5A" w14:textId="77777777">
            <w:pPr>
              <w:pStyle w:val="TableParagraph"/>
              <w:spacing w:before="0"/>
            </w:pPr>
          </w:p>
          <w:p w:rsidR="00C31389" w:rsidRDefault="00C31389" w14:paraId="6C4BCBD2" w14:textId="77777777">
            <w:pPr>
              <w:pStyle w:val="TableParagraph"/>
              <w:spacing w:before="0"/>
              <w:rPr>
                <w:sz w:val="25"/>
              </w:rPr>
            </w:pPr>
          </w:p>
          <w:p w:rsidR="00C31389" w:rsidRDefault="00561FBD" w14:paraId="32D7347A" w14:textId="77777777">
            <w:pPr>
              <w:pStyle w:val="TableParagraph"/>
              <w:spacing w:before="0"/>
              <w:ind w:left="44" w:right="111"/>
              <w:jc w:val="center"/>
              <w:rPr>
                <w:sz w:val="20"/>
              </w:rPr>
            </w:pPr>
            <w:r>
              <w:rPr>
                <w:sz w:val="20"/>
              </w:rPr>
              <w:t>Machine</w:t>
            </w:r>
            <w:r>
              <w:rPr>
                <w:spacing w:val="-6"/>
                <w:sz w:val="20"/>
              </w:rPr>
              <w:t xml:space="preserve"> </w:t>
            </w:r>
            <w:r>
              <w:rPr>
                <w:spacing w:val="-2"/>
                <w:sz w:val="20"/>
              </w:rPr>
              <w:t>Drives</w:t>
            </w:r>
          </w:p>
        </w:tc>
        <w:tc>
          <w:tcPr>
            <w:tcW w:w="5226" w:type="dxa"/>
            <w:tcBorders>
              <w:top w:val="single" w:color="D9D9D9" w:sz="2" w:space="0"/>
              <w:bottom w:val="single" w:color="D9D9D9" w:sz="2" w:space="0"/>
            </w:tcBorders>
          </w:tcPr>
          <w:p w:rsidR="00C31389" w:rsidRDefault="00561FBD" w14:paraId="0504FBAC" w14:textId="77777777">
            <w:pPr>
              <w:pStyle w:val="TableParagraph"/>
              <w:spacing w:before="81"/>
              <w:ind w:left="120" w:right="209"/>
              <w:rPr>
                <w:sz w:val="20"/>
              </w:rPr>
            </w:pPr>
            <w:r>
              <w:rPr>
                <w:sz w:val="20"/>
              </w:rPr>
              <w:t>High efficiency fan blades are made from lighter materials and reduce overall power consumption. A variety</w:t>
            </w:r>
            <w:r>
              <w:rPr>
                <w:spacing w:val="-4"/>
                <w:sz w:val="20"/>
              </w:rPr>
              <w:t xml:space="preserve"> </w:t>
            </w:r>
            <w:r>
              <w:rPr>
                <w:sz w:val="20"/>
              </w:rPr>
              <w:t>of</w:t>
            </w:r>
            <w:r>
              <w:rPr>
                <w:spacing w:val="-5"/>
                <w:sz w:val="20"/>
              </w:rPr>
              <w:t xml:space="preserve"> </w:t>
            </w:r>
            <w:r>
              <w:rPr>
                <w:sz w:val="20"/>
              </w:rPr>
              <w:t>fan</w:t>
            </w:r>
            <w:r>
              <w:rPr>
                <w:spacing w:val="-5"/>
                <w:sz w:val="20"/>
              </w:rPr>
              <w:t xml:space="preserve"> </w:t>
            </w:r>
            <w:r>
              <w:rPr>
                <w:sz w:val="20"/>
              </w:rPr>
              <w:t>sizes</w:t>
            </w:r>
            <w:r>
              <w:rPr>
                <w:spacing w:val="-4"/>
                <w:sz w:val="20"/>
              </w:rPr>
              <w:t xml:space="preserve"> </w:t>
            </w:r>
            <w:r>
              <w:rPr>
                <w:sz w:val="20"/>
              </w:rPr>
              <w:t>are</w:t>
            </w:r>
            <w:r>
              <w:rPr>
                <w:spacing w:val="-5"/>
                <w:sz w:val="20"/>
              </w:rPr>
              <w:t xml:space="preserve"> </w:t>
            </w:r>
            <w:r>
              <w:rPr>
                <w:sz w:val="20"/>
              </w:rPr>
              <w:t>now</w:t>
            </w:r>
            <w:r>
              <w:rPr>
                <w:spacing w:val="-5"/>
                <w:sz w:val="20"/>
              </w:rPr>
              <w:t xml:space="preserve"> </w:t>
            </w:r>
            <w:r>
              <w:rPr>
                <w:sz w:val="20"/>
              </w:rPr>
              <w:t>available,</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 xml:space="preserve">experts said this was a newer market that was expanding </w:t>
            </w:r>
            <w:r>
              <w:rPr>
                <w:spacing w:val="-2"/>
                <w:sz w:val="20"/>
              </w:rPr>
              <w:t>quickly.</w:t>
            </w:r>
          </w:p>
        </w:tc>
      </w:tr>
      <w:tr w:rsidR="00C31389" w14:paraId="37CF0FCB" w14:textId="77777777">
        <w:trPr>
          <w:trHeight w:val="1540"/>
        </w:trPr>
        <w:tc>
          <w:tcPr>
            <w:tcW w:w="2418" w:type="dxa"/>
            <w:tcBorders>
              <w:top w:val="single" w:color="D9D9D9" w:sz="2" w:space="0"/>
              <w:bottom w:val="single" w:color="000000" w:sz="8" w:space="0"/>
            </w:tcBorders>
          </w:tcPr>
          <w:p w:rsidR="00C31389" w:rsidRDefault="00C31389" w14:paraId="1367BF60" w14:textId="77777777">
            <w:pPr>
              <w:pStyle w:val="TableParagraph"/>
              <w:spacing w:before="0"/>
            </w:pPr>
          </w:p>
          <w:p w:rsidR="00C31389" w:rsidRDefault="00C31389" w14:paraId="0E258604" w14:textId="77777777">
            <w:pPr>
              <w:pStyle w:val="TableParagraph"/>
              <w:spacing w:before="0"/>
              <w:rPr>
                <w:sz w:val="25"/>
              </w:rPr>
            </w:pPr>
          </w:p>
          <w:p w:rsidR="00C31389" w:rsidRDefault="00561FBD" w14:paraId="50930D83" w14:textId="77777777">
            <w:pPr>
              <w:pStyle w:val="TableParagraph"/>
              <w:spacing w:before="0"/>
              <w:ind w:left="129"/>
              <w:rPr>
                <w:sz w:val="20"/>
              </w:rPr>
            </w:pPr>
            <w:r>
              <w:rPr>
                <w:sz w:val="20"/>
              </w:rPr>
              <w:t>Water</w:t>
            </w:r>
            <w:r>
              <w:rPr>
                <w:spacing w:val="-14"/>
                <w:sz w:val="20"/>
              </w:rPr>
              <w:t xml:space="preserve"> </w:t>
            </w:r>
            <w:r>
              <w:rPr>
                <w:sz w:val="20"/>
              </w:rPr>
              <w:t>Pumping</w:t>
            </w:r>
            <w:r>
              <w:rPr>
                <w:spacing w:val="-14"/>
                <w:sz w:val="20"/>
              </w:rPr>
              <w:t xml:space="preserve"> </w:t>
            </w:r>
            <w:r>
              <w:rPr>
                <w:sz w:val="20"/>
              </w:rPr>
              <w:t xml:space="preserve">Efficient Pumps and </w:t>
            </w:r>
            <w:r>
              <w:rPr>
                <w:sz w:val="20"/>
              </w:rPr>
              <w:t>Motors</w:t>
            </w:r>
          </w:p>
        </w:tc>
        <w:tc>
          <w:tcPr>
            <w:tcW w:w="1731" w:type="dxa"/>
            <w:tcBorders>
              <w:top w:val="single" w:color="D9D9D9" w:sz="2" w:space="0"/>
              <w:bottom w:val="single" w:color="000000" w:sz="8" w:space="0"/>
            </w:tcBorders>
          </w:tcPr>
          <w:p w:rsidR="00C31389" w:rsidRDefault="00C31389" w14:paraId="347A2E10" w14:textId="77777777">
            <w:pPr>
              <w:pStyle w:val="TableParagraph"/>
              <w:spacing w:before="0"/>
            </w:pPr>
          </w:p>
          <w:p w:rsidR="00C31389" w:rsidRDefault="00C31389" w14:paraId="4E45DCA0" w14:textId="77777777">
            <w:pPr>
              <w:pStyle w:val="TableParagraph"/>
              <w:spacing w:before="0"/>
            </w:pPr>
          </w:p>
          <w:p w:rsidR="00C31389" w:rsidRDefault="00561FBD" w14:paraId="692DC488" w14:textId="77777777">
            <w:pPr>
              <w:pStyle w:val="TableParagraph"/>
              <w:spacing w:before="150"/>
              <w:ind w:left="44" w:right="111"/>
              <w:jc w:val="center"/>
              <w:rPr>
                <w:sz w:val="20"/>
              </w:rPr>
            </w:pPr>
            <w:r>
              <w:rPr>
                <w:sz w:val="20"/>
              </w:rPr>
              <w:t>Machine</w:t>
            </w:r>
            <w:r>
              <w:rPr>
                <w:spacing w:val="-6"/>
                <w:sz w:val="20"/>
              </w:rPr>
              <w:t xml:space="preserve"> </w:t>
            </w:r>
            <w:r>
              <w:rPr>
                <w:spacing w:val="-2"/>
                <w:sz w:val="20"/>
              </w:rPr>
              <w:t>Drives</w:t>
            </w:r>
          </w:p>
        </w:tc>
        <w:tc>
          <w:tcPr>
            <w:tcW w:w="5226" w:type="dxa"/>
            <w:tcBorders>
              <w:top w:val="single" w:color="D9D9D9" w:sz="2" w:space="0"/>
              <w:bottom w:val="single" w:color="000000" w:sz="8" w:space="0"/>
            </w:tcBorders>
          </w:tcPr>
          <w:p w:rsidR="00C31389" w:rsidRDefault="00561FBD" w14:paraId="1BD99084" w14:textId="77777777">
            <w:pPr>
              <w:pStyle w:val="TableParagraph"/>
              <w:spacing w:before="80"/>
              <w:ind w:left="120" w:right="209"/>
              <w:rPr>
                <w:sz w:val="20"/>
              </w:rPr>
            </w:pPr>
            <w:r>
              <w:rPr>
                <w:sz w:val="20"/>
              </w:rPr>
              <w:t>Premium</w:t>
            </w:r>
            <w:r>
              <w:rPr>
                <w:spacing w:val="-6"/>
                <w:sz w:val="20"/>
              </w:rPr>
              <w:t xml:space="preserve"> </w:t>
            </w:r>
            <w:r>
              <w:rPr>
                <w:sz w:val="20"/>
              </w:rPr>
              <w:t>efficiency</w:t>
            </w:r>
            <w:r>
              <w:rPr>
                <w:spacing w:val="-5"/>
                <w:sz w:val="20"/>
              </w:rPr>
              <w:t xml:space="preserve"> </w:t>
            </w:r>
            <w:r>
              <w:rPr>
                <w:sz w:val="20"/>
              </w:rPr>
              <w:t>motors</w:t>
            </w:r>
            <w:r>
              <w:rPr>
                <w:spacing w:val="-6"/>
                <w:sz w:val="20"/>
              </w:rPr>
              <w:t xml:space="preserve"> </w:t>
            </w:r>
            <w:r>
              <w:rPr>
                <w:sz w:val="20"/>
              </w:rPr>
              <w:t>offered</w:t>
            </w:r>
            <w:r>
              <w:rPr>
                <w:spacing w:val="-7"/>
                <w:sz w:val="20"/>
              </w:rPr>
              <w:t xml:space="preserve"> </w:t>
            </w:r>
            <w:r>
              <w:rPr>
                <w:sz w:val="20"/>
              </w:rPr>
              <w:t>savings</w:t>
            </w:r>
            <w:r>
              <w:rPr>
                <w:spacing w:val="-5"/>
                <w:sz w:val="20"/>
              </w:rPr>
              <w:t xml:space="preserve"> </w:t>
            </w:r>
            <w:r>
              <w:rPr>
                <w:sz w:val="20"/>
              </w:rPr>
              <w:t>upward</w:t>
            </w:r>
            <w:r>
              <w:rPr>
                <w:spacing w:val="-6"/>
                <w:sz w:val="20"/>
              </w:rPr>
              <w:t xml:space="preserve"> </w:t>
            </w:r>
            <w:r>
              <w:rPr>
                <w:sz w:val="20"/>
              </w:rPr>
              <w:t>of 4% when compared to standard efficiency motors.</w:t>
            </w:r>
          </w:p>
          <w:p w:rsidR="00C31389" w:rsidRDefault="00561FBD" w14:paraId="0489DC24" w14:textId="77777777">
            <w:pPr>
              <w:pStyle w:val="TableParagraph"/>
              <w:spacing w:before="1"/>
              <w:ind w:left="120" w:right="209"/>
              <w:rPr>
                <w:sz w:val="20"/>
              </w:rPr>
            </w:pPr>
            <w:r>
              <w:rPr>
                <w:sz w:val="20"/>
              </w:rPr>
              <w:t>When comparing premium efficiency motors to the motors</w:t>
            </w:r>
            <w:r>
              <w:rPr>
                <w:spacing w:val="-4"/>
                <w:sz w:val="20"/>
              </w:rPr>
              <w:t xml:space="preserve"> </w:t>
            </w:r>
            <w:r>
              <w:rPr>
                <w:sz w:val="20"/>
              </w:rPr>
              <w:t>that</w:t>
            </w:r>
            <w:r>
              <w:rPr>
                <w:spacing w:val="-5"/>
                <w:sz w:val="20"/>
              </w:rPr>
              <w:t xml:space="preserve"> </w:t>
            </w:r>
            <w:r>
              <w:rPr>
                <w:sz w:val="20"/>
              </w:rPr>
              <w:t>are</w:t>
            </w:r>
            <w:r>
              <w:rPr>
                <w:spacing w:val="-5"/>
                <w:sz w:val="20"/>
              </w:rPr>
              <w:t xml:space="preserve"> </w:t>
            </w:r>
            <w:r>
              <w:rPr>
                <w:sz w:val="20"/>
              </w:rPr>
              <w:t>installed,</w:t>
            </w:r>
            <w:r>
              <w:rPr>
                <w:spacing w:val="-5"/>
                <w:sz w:val="20"/>
              </w:rPr>
              <w:t xml:space="preserve"> </w:t>
            </w:r>
            <w:r>
              <w:rPr>
                <w:sz w:val="20"/>
              </w:rPr>
              <w:t>a</w:t>
            </w:r>
            <w:r>
              <w:rPr>
                <w:spacing w:val="-7"/>
                <w:sz w:val="20"/>
              </w:rPr>
              <w:t xml:space="preserve"> </w:t>
            </w:r>
            <w:r>
              <w:rPr>
                <w:sz w:val="20"/>
              </w:rPr>
              <w:t>large</w:t>
            </w:r>
            <w:r>
              <w:rPr>
                <w:spacing w:val="-5"/>
                <w:sz w:val="20"/>
              </w:rPr>
              <w:t xml:space="preserve"> </w:t>
            </w:r>
            <w:r>
              <w:rPr>
                <w:sz w:val="20"/>
              </w:rPr>
              <w:t>quantity</w:t>
            </w:r>
            <w:r>
              <w:rPr>
                <w:spacing w:val="-4"/>
                <w:sz w:val="20"/>
              </w:rPr>
              <w:t xml:space="preserve"> </w:t>
            </w:r>
            <w:r>
              <w:rPr>
                <w:sz w:val="20"/>
              </w:rPr>
              <w:t>of</w:t>
            </w:r>
            <w:r>
              <w:rPr>
                <w:spacing w:val="-5"/>
                <w:sz w:val="20"/>
              </w:rPr>
              <w:t xml:space="preserve"> </w:t>
            </w:r>
            <w:r>
              <w:rPr>
                <w:sz w:val="20"/>
              </w:rPr>
              <w:t xml:space="preserve">savings could be realized from the </w:t>
            </w:r>
            <w:r>
              <w:rPr>
                <w:sz w:val="20"/>
              </w:rPr>
              <w:t>installation of premium efficient motors.</w:t>
            </w:r>
          </w:p>
        </w:tc>
      </w:tr>
    </w:tbl>
    <w:p w:rsidR="00C31389" w:rsidRDefault="00C31389" w14:paraId="1D9DB9DC" w14:textId="77777777">
      <w:pPr>
        <w:rPr>
          <w:sz w:val="20"/>
        </w:rPr>
        <w:sectPr w:rsidR="00C31389">
          <w:pgSz w:w="11910" w:h="16840"/>
          <w:pgMar w:top="1380" w:right="1020" w:bottom="1120" w:left="960" w:header="397" w:footer="938" w:gutter="0"/>
          <w:cols w:space="720"/>
        </w:sectPr>
      </w:pPr>
    </w:p>
    <w:p w:rsidR="00C31389" w:rsidRDefault="00C31389" w14:paraId="46F001F7"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2429"/>
        <w:gridCol w:w="1720"/>
        <w:gridCol w:w="5226"/>
      </w:tblGrid>
      <w:tr w:rsidR="00C31389" w14:paraId="76AC7CC6" w14:textId="77777777">
        <w:trPr>
          <w:trHeight w:val="252"/>
        </w:trPr>
        <w:tc>
          <w:tcPr>
            <w:tcW w:w="2429" w:type="dxa"/>
            <w:tcBorders>
              <w:top w:val="single" w:color="8B8B8B" w:sz="8" w:space="0"/>
            </w:tcBorders>
          </w:tcPr>
          <w:p w:rsidR="00C31389" w:rsidRDefault="00C31389" w14:paraId="008840CB" w14:textId="77777777">
            <w:pPr>
              <w:pStyle w:val="TableParagraph"/>
              <w:spacing w:before="0"/>
              <w:rPr>
                <w:rFonts w:ascii="Times New Roman"/>
                <w:sz w:val="18"/>
              </w:rPr>
            </w:pPr>
          </w:p>
        </w:tc>
        <w:tc>
          <w:tcPr>
            <w:tcW w:w="1720" w:type="dxa"/>
            <w:tcBorders>
              <w:top w:val="single" w:color="8B8B8B" w:sz="8" w:space="0"/>
            </w:tcBorders>
          </w:tcPr>
          <w:p w:rsidR="00C31389" w:rsidRDefault="00C31389" w14:paraId="062A59FB" w14:textId="77777777">
            <w:pPr>
              <w:pStyle w:val="TableParagraph"/>
              <w:spacing w:before="0"/>
              <w:rPr>
                <w:rFonts w:ascii="Times New Roman"/>
                <w:sz w:val="18"/>
              </w:rPr>
            </w:pPr>
          </w:p>
        </w:tc>
        <w:tc>
          <w:tcPr>
            <w:tcW w:w="5226" w:type="dxa"/>
            <w:tcBorders>
              <w:top w:val="single" w:color="8B8B8B" w:sz="8" w:space="0"/>
            </w:tcBorders>
          </w:tcPr>
          <w:p w:rsidR="00C31389" w:rsidRDefault="00C31389" w14:paraId="21CAA86F" w14:textId="77777777">
            <w:pPr>
              <w:pStyle w:val="TableParagraph"/>
              <w:spacing w:before="0"/>
              <w:rPr>
                <w:rFonts w:ascii="Times New Roman"/>
                <w:sz w:val="18"/>
              </w:rPr>
            </w:pPr>
          </w:p>
        </w:tc>
      </w:tr>
      <w:tr w:rsidR="00C31389" w14:paraId="37D11597" w14:textId="77777777">
        <w:trPr>
          <w:trHeight w:val="611"/>
        </w:trPr>
        <w:tc>
          <w:tcPr>
            <w:tcW w:w="2429" w:type="dxa"/>
            <w:shd w:val="clear" w:color="auto" w:fill="92D400"/>
          </w:tcPr>
          <w:p w:rsidR="00C31389" w:rsidRDefault="00561FBD" w14:paraId="523BBFA9" w14:textId="77777777">
            <w:pPr>
              <w:pStyle w:val="TableParagraph"/>
              <w:spacing w:before="187"/>
              <w:ind w:left="129"/>
              <w:rPr>
                <w:b/>
                <w:sz w:val="20"/>
              </w:rPr>
            </w:pPr>
            <w:r>
              <w:rPr>
                <w:b/>
                <w:sz w:val="20"/>
              </w:rPr>
              <w:t>Measure</w:t>
            </w:r>
            <w:r>
              <w:rPr>
                <w:b/>
                <w:spacing w:val="-7"/>
                <w:sz w:val="20"/>
              </w:rPr>
              <w:t xml:space="preserve"> </w:t>
            </w:r>
            <w:r>
              <w:rPr>
                <w:b/>
                <w:spacing w:val="-4"/>
                <w:sz w:val="20"/>
              </w:rPr>
              <w:t>Name</w:t>
            </w:r>
          </w:p>
        </w:tc>
        <w:tc>
          <w:tcPr>
            <w:tcW w:w="1720" w:type="dxa"/>
            <w:shd w:val="clear" w:color="auto" w:fill="92D400"/>
          </w:tcPr>
          <w:p w:rsidR="00C31389" w:rsidRDefault="00561FBD" w14:paraId="5934A510" w14:textId="77777777">
            <w:pPr>
              <w:pStyle w:val="TableParagraph"/>
              <w:spacing w:before="71"/>
              <w:ind w:left="130"/>
              <w:rPr>
                <w:b/>
                <w:sz w:val="20"/>
              </w:rPr>
            </w:pPr>
            <w:r>
              <w:rPr>
                <w:b/>
                <w:sz w:val="20"/>
              </w:rPr>
              <w:t xml:space="preserve">End Use </w:t>
            </w:r>
            <w:r>
              <w:rPr>
                <w:b/>
                <w:spacing w:val="-2"/>
                <w:sz w:val="20"/>
              </w:rPr>
              <w:t>Category</w:t>
            </w:r>
          </w:p>
        </w:tc>
        <w:tc>
          <w:tcPr>
            <w:tcW w:w="5226" w:type="dxa"/>
            <w:shd w:val="clear" w:color="auto" w:fill="92D400"/>
          </w:tcPr>
          <w:p w:rsidR="00C31389" w:rsidRDefault="00561FBD" w14:paraId="53AD3B84" w14:textId="77777777">
            <w:pPr>
              <w:pStyle w:val="TableParagraph"/>
              <w:spacing w:before="187"/>
              <w:ind w:left="120"/>
              <w:rPr>
                <w:b/>
                <w:sz w:val="20"/>
              </w:rPr>
            </w:pPr>
            <w:r>
              <w:rPr>
                <w:b/>
                <w:spacing w:val="-2"/>
                <w:sz w:val="20"/>
              </w:rPr>
              <w:t>Description</w:t>
            </w:r>
          </w:p>
        </w:tc>
      </w:tr>
      <w:tr w:rsidR="00C31389" w14:paraId="29B8D3A6" w14:textId="77777777">
        <w:trPr>
          <w:trHeight w:val="2835"/>
        </w:trPr>
        <w:tc>
          <w:tcPr>
            <w:tcW w:w="2429" w:type="dxa"/>
            <w:tcBorders>
              <w:bottom w:val="single" w:color="D9D9D9" w:sz="2" w:space="0"/>
            </w:tcBorders>
          </w:tcPr>
          <w:p w:rsidR="00C31389" w:rsidRDefault="00C31389" w14:paraId="6B360524" w14:textId="77777777">
            <w:pPr>
              <w:pStyle w:val="TableParagraph"/>
              <w:spacing w:before="0"/>
            </w:pPr>
          </w:p>
          <w:p w:rsidR="00C31389" w:rsidRDefault="00C31389" w14:paraId="12701444" w14:textId="77777777">
            <w:pPr>
              <w:pStyle w:val="TableParagraph"/>
              <w:spacing w:before="0"/>
            </w:pPr>
          </w:p>
          <w:p w:rsidR="00C31389" w:rsidRDefault="00C31389" w14:paraId="70C6349D" w14:textId="77777777">
            <w:pPr>
              <w:pStyle w:val="TableParagraph"/>
              <w:spacing w:before="0"/>
            </w:pPr>
          </w:p>
          <w:p w:rsidR="00C31389" w:rsidRDefault="00C31389" w14:paraId="7EDD68E9" w14:textId="77777777">
            <w:pPr>
              <w:pStyle w:val="TableParagraph"/>
              <w:spacing w:before="0"/>
            </w:pPr>
          </w:p>
          <w:p w:rsidR="00C31389" w:rsidRDefault="00561FBD" w14:paraId="0F0EB8D8" w14:textId="77777777">
            <w:pPr>
              <w:pStyle w:val="TableParagraph"/>
              <w:spacing w:before="174"/>
              <w:ind w:left="129"/>
              <w:rPr>
                <w:sz w:val="20"/>
              </w:rPr>
            </w:pPr>
            <w:r>
              <w:rPr>
                <w:sz w:val="20"/>
              </w:rPr>
              <w:t>Water</w:t>
            </w:r>
            <w:r>
              <w:rPr>
                <w:spacing w:val="-14"/>
                <w:sz w:val="20"/>
              </w:rPr>
              <w:t xml:space="preserve"> </w:t>
            </w:r>
            <w:r>
              <w:rPr>
                <w:sz w:val="20"/>
              </w:rPr>
              <w:t>Pumping</w:t>
            </w:r>
            <w:r>
              <w:rPr>
                <w:spacing w:val="-14"/>
                <w:sz w:val="20"/>
              </w:rPr>
              <w:t xml:space="preserve"> </w:t>
            </w:r>
            <w:r>
              <w:rPr>
                <w:sz w:val="20"/>
              </w:rPr>
              <w:t>Sensors and Controls</w:t>
            </w:r>
          </w:p>
        </w:tc>
        <w:tc>
          <w:tcPr>
            <w:tcW w:w="1720" w:type="dxa"/>
            <w:tcBorders>
              <w:bottom w:val="single" w:color="D9D9D9" w:sz="2" w:space="0"/>
            </w:tcBorders>
          </w:tcPr>
          <w:p w:rsidR="00C31389" w:rsidRDefault="00C31389" w14:paraId="42D5F63C" w14:textId="77777777">
            <w:pPr>
              <w:pStyle w:val="TableParagraph"/>
              <w:spacing w:before="0"/>
            </w:pPr>
          </w:p>
          <w:p w:rsidR="00C31389" w:rsidRDefault="00C31389" w14:paraId="25542561" w14:textId="77777777">
            <w:pPr>
              <w:pStyle w:val="TableParagraph"/>
              <w:spacing w:before="0"/>
            </w:pPr>
          </w:p>
          <w:p w:rsidR="00C31389" w:rsidRDefault="00C31389" w14:paraId="282ABBF4" w14:textId="77777777">
            <w:pPr>
              <w:pStyle w:val="TableParagraph"/>
              <w:spacing w:before="0"/>
            </w:pPr>
          </w:p>
          <w:p w:rsidR="00C31389" w:rsidRDefault="00C31389" w14:paraId="0A793E96" w14:textId="77777777">
            <w:pPr>
              <w:pStyle w:val="TableParagraph"/>
              <w:spacing w:before="0"/>
            </w:pPr>
          </w:p>
          <w:p w:rsidR="00C31389" w:rsidRDefault="00C31389" w14:paraId="6862A3C8" w14:textId="77777777">
            <w:pPr>
              <w:pStyle w:val="TableParagraph"/>
              <w:spacing w:before="1"/>
              <w:rPr>
                <w:sz w:val="25"/>
              </w:rPr>
            </w:pPr>
          </w:p>
          <w:p w:rsidR="00C31389" w:rsidRDefault="00561FBD" w14:paraId="2B321EB4" w14:textId="77777777">
            <w:pPr>
              <w:pStyle w:val="TableParagraph"/>
              <w:spacing w:before="0"/>
              <w:ind w:left="130"/>
              <w:rPr>
                <w:sz w:val="20"/>
              </w:rPr>
            </w:pPr>
            <w:r>
              <w:rPr>
                <w:sz w:val="20"/>
              </w:rPr>
              <w:t>Machine</w:t>
            </w:r>
            <w:r>
              <w:rPr>
                <w:spacing w:val="-6"/>
                <w:sz w:val="20"/>
              </w:rPr>
              <w:t xml:space="preserve"> </w:t>
            </w:r>
            <w:r>
              <w:rPr>
                <w:spacing w:val="-2"/>
                <w:sz w:val="20"/>
              </w:rPr>
              <w:t>Drives</w:t>
            </w:r>
          </w:p>
        </w:tc>
        <w:tc>
          <w:tcPr>
            <w:tcW w:w="5226" w:type="dxa"/>
            <w:tcBorders>
              <w:bottom w:val="single" w:color="D9D9D9" w:sz="2" w:space="0"/>
            </w:tcBorders>
          </w:tcPr>
          <w:p w:rsidR="00C31389" w:rsidRDefault="00561FBD" w14:paraId="3CD09A36" w14:textId="77777777">
            <w:pPr>
              <w:pStyle w:val="TableParagraph"/>
              <w:spacing w:before="37"/>
              <w:ind w:left="120" w:right="128"/>
              <w:rPr>
                <w:sz w:val="20"/>
              </w:rPr>
            </w:pPr>
            <w:r>
              <w:rPr>
                <w:sz w:val="20"/>
              </w:rPr>
              <w:t xml:space="preserve">Irrigation often is done manually and based on rule of thumb, as farmers know, on </w:t>
            </w:r>
            <w:r>
              <w:rPr>
                <w:sz w:val="20"/>
              </w:rPr>
              <w:t>average, how many acre feet of water a certain crop needs and adjust their pumping schedule to fit that demand. In these cases, crops</w:t>
            </w:r>
            <w:r>
              <w:rPr>
                <w:spacing w:val="-4"/>
                <w:sz w:val="20"/>
              </w:rPr>
              <w:t xml:space="preserve"> </w:t>
            </w:r>
            <w:r>
              <w:rPr>
                <w:sz w:val="20"/>
              </w:rPr>
              <w:t>are</w:t>
            </w:r>
            <w:r>
              <w:rPr>
                <w:spacing w:val="-5"/>
                <w:sz w:val="20"/>
              </w:rPr>
              <w:t xml:space="preserve"> </w:t>
            </w:r>
            <w:r>
              <w:rPr>
                <w:sz w:val="20"/>
              </w:rPr>
              <w:t>often</w:t>
            </w:r>
            <w:r>
              <w:rPr>
                <w:spacing w:val="-5"/>
                <w:sz w:val="20"/>
              </w:rPr>
              <w:t xml:space="preserve"> </w:t>
            </w:r>
            <w:r>
              <w:rPr>
                <w:sz w:val="20"/>
              </w:rPr>
              <w:t>over-</w:t>
            </w:r>
            <w:r>
              <w:rPr>
                <w:spacing w:val="-5"/>
                <w:sz w:val="20"/>
              </w:rPr>
              <w:t xml:space="preserve"> </w:t>
            </w:r>
            <w:r>
              <w:rPr>
                <w:sz w:val="20"/>
              </w:rPr>
              <w:t>or</w:t>
            </w:r>
            <w:r>
              <w:rPr>
                <w:spacing w:val="-4"/>
                <w:sz w:val="20"/>
              </w:rPr>
              <w:t xml:space="preserve"> </w:t>
            </w:r>
            <w:r>
              <w:rPr>
                <w:sz w:val="20"/>
              </w:rPr>
              <w:t>under-irrigated,</w:t>
            </w:r>
            <w:r>
              <w:rPr>
                <w:spacing w:val="-5"/>
                <w:sz w:val="20"/>
              </w:rPr>
              <w:t xml:space="preserve"> </w:t>
            </w:r>
            <w:r>
              <w:rPr>
                <w:sz w:val="20"/>
              </w:rPr>
              <w:t>which</w:t>
            </w:r>
            <w:r>
              <w:rPr>
                <w:spacing w:val="-5"/>
                <w:sz w:val="20"/>
              </w:rPr>
              <w:t xml:space="preserve"> </w:t>
            </w:r>
            <w:r>
              <w:rPr>
                <w:sz w:val="20"/>
              </w:rPr>
              <w:t>can</w:t>
            </w:r>
            <w:r>
              <w:rPr>
                <w:spacing w:val="-5"/>
                <w:sz w:val="20"/>
              </w:rPr>
              <w:t xml:space="preserve"> </w:t>
            </w:r>
            <w:r>
              <w:rPr>
                <w:sz w:val="20"/>
              </w:rPr>
              <w:t>have a negative impact on the crop’s yield and the pump’s energy consumption. Use of sensors to monitor soil moisture content would help avoid over or underwatering. It would also minimize energy costs associated with pumping because a control system would</w:t>
            </w:r>
            <w:r>
              <w:rPr>
                <w:sz w:val="20"/>
              </w:rPr>
              <w:t xml:space="preserve"> optimize operation and reduce water and energy </w:t>
            </w:r>
            <w:r>
              <w:rPr>
                <w:spacing w:val="-2"/>
                <w:sz w:val="20"/>
              </w:rPr>
              <w:t>consumption.</w:t>
            </w:r>
          </w:p>
        </w:tc>
      </w:tr>
      <w:tr w:rsidR="00C31389" w14:paraId="5941B3AD" w14:textId="77777777">
        <w:trPr>
          <w:trHeight w:val="3530"/>
        </w:trPr>
        <w:tc>
          <w:tcPr>
            <w:tcW w:w="2429" w:type="dxa"/>
            <w:tcBorders>
              <w:top w:val="single" w:color="D9D9D9" w:sz="2" w:space="0"/>
              <w:bottom w:val="single" w:color="D9D9D9" w:sz="2" w:space="0"/>
            </w:tcBorders>
          </w:tcPr>
          <w:p w:rsidR="00C31389" w:rsidRDefault="00C31389" w14:paraId="329C4C77" w14:textId="77777777">
            <w:pPr>
              <w:pStyle w:val="TableParagraph"/>
              <w:spacing w:before="0"/>
            </w:pPr>
          </w:p>
          <w:p w:rsidR="00C31389" w:rsidRDefault="00C31389" w14:paraId="312E3DCF" w14:textId="77777777">
            <w:pPr>
              <w:pStyle w:val="TableParagraph"/>
              <w:spacing w:before="0"/>
            </w:pPr>
          </w:p>
          <w:p w:rsidR="00C31389" w:rsidRDefault="00C31389" w14:paraId="5605FA1A" w14:textId="77777777">
            <w:pPr>
              <w:pStyle w:val="TableParagraph"/>
              <w:spacing w:before="0"/>
            </w:pPr>
          </w:p>
          <w:p w:rsidR="00C31389" w:rsidRDefault="00C31389" w14:paraId="3E58915C" w14:textId="77777777">
            <w:pPr>
              <w:pStyle w:val="TableParagraph"/>
              <w:spacing w:before="0"/>
            </w:pPr>
          </w:p>
          <w:p w:rsidR="00C31389" w:rsidRDefault="00C31389" w14:paraId="66CD4F0F" w14:textId="77777777">
            <w:pPr>
              <w:pStyle w:val="TableParagraph"/>
              <w:spacing w:before="0"/>
            </w:pPr>
          </w:p>
          <w:p w:rsidR="00C31389" w:rsidRDefault="00561FBD" w14:paraId="6D5EEE14" w14:textId="77777777">
            <w:pPr>
              <w:pStyle w:val="TableParagraph"/>
              <w:spacing w:before="155"/>
              <w:ind w:left="129" w:right="895"/>
              <w:jc w:val="both"/>
              <w:rPr>
                <w:sz w:val="20"/>
              </w:rPr>
            </w:pPr>
            <w:r>
              <w:rPr>
                <w:sz w:val="20"/>
              </w:rPr>
              <w:t>Water</w:t>
            </w:r>
            <w:r>
              <w:rPr>
                <w:spacing w:val="-14"/>
                <w:sz w:val="20"/>
              </w:rPr>
              <w:t xml:space="preserve"> </w:t>
            </w:r>
            <w:r>
              <w:rPr>
                <w:sz w:val="20"/>
              </w:rPr>
              <w:t xml:space="preserve">Pumping </w:t>
            </w:r>
            <w:r>
              <w:rPr>
                <w:spacing w:val="-2"/>
                <w:sz w:val="20"/>
              </w:rPr>
              <w:t>Comprehensive Program</w:t>
            </w:r>
          </w:p>
        </w:tc>
        <w:tc>
          <w:tcPr>
            <w:tcW w:w="1720" w:type="dxa"/>
            <w:tcBorders>
              <w:top w:val="single" w:color="D9D9D9" w:sz="2" w:space="0"/>
              <w:bottom w:val="single" w:color="D9D9D9" w:sz="2" w:space="0"/>
            </w:tcBorders>
          </w:tcPr>
          <w:p w:rsidR="00C31389" w:rsidRDefault="00C31389" w14:paraId="6DE06A3A" w14:textId="77777777">
            <w:pPr>
              <w:pStyle w:val="TableParagraph"/>
              <w:spacing w:before="0"/>
            </w:pPr>
          </w:p>
          <w:p w:rsidR="00C31389" w:rsidRDefault="00C31389" w14:paraId="555821BD" w14:textId="77777777">
            <w:pPr>
              <w:pStyle w:val="TableParagraph"/>
              <w:spacing w:before="0"/>
            </w:pPr>
          </w:p>
          <w:p w:rsidR="00C31389" w:rsidRDefault="00C31389" w14:paraId="31133471" w14:textId="77777777">
            <w:pPr>
              <w:pStyle w:val="TableParagraph"/>
              <w:spacing w:before="0"/>
            </w:pPr>
          </w:p>
          <w:p w:rsidR="00C31389" w:rsidRDefault="00C31389" w14:paraId="48CF924A" w14:textId="77777777">
            <w:pPr>
              <w:pStyle w:val="TableParagraph"/>
              <w:spacing w:before="0"/>
            </w:pPr>
          </w:p>
          <w:p w:rsidR="00C31389" w:rsidRDefault="00C31389" w14:paraId="5E2C0669" w14:textId="77777777">
            <w:pPr>
              <w:pStyle w:val="TableParagraph"/>
              <w:spacing w:before="0"/>
            </w:pPr>
          </w:p>
          <w:p w:rsidR="00C31389" w:rsidRDefault="00C31389" w14:paraId="59FEC8B4" w14:textId="77777777">
            <w:pPr>
              <w:pStyle w:val="TableParagraph"/>
              <w:spacing w:before="0"/>
            </w:pPr>
          </w:p>
          <w:p w:rsidR="00C31389" w:rsidRDefault="00561FBD" w14:paraId="1E668413" w14:textId="77777777">
            <w:pPr>
              <w:pStyle w:val="TableParagraph"/>
              <w:spacing w:before="131"/>
              <w:ind w:left="130"/>
              <w:rPr>
                <w:sz w:val="20"/>
              </w:rPr>
            </w:pPr>
            <w:r>
              <w:rPr>
                <w:sz w:val="20"/>
              </w:rPr>
              <w:t>Machine</w:t>
            </w:r>
            <w:r>
              <w:rPr>
                <w:spacing w:val="-6"/>
                <w:sz w:val="20"/>
              </w:rPr>
              <w:t xml:space="preserve"> </w:t>
            </w:r>
            <w:r>
              <w:rPr>
                <w:spacing w:val="-2"/>
                <w:sz w:val="20"/>
              </w:rPr>
              <w:t>Drives</w:t>
            </w:r>
          </w:p>
        </w:tc>
        <w:tc>
          <w:tcPr>
            <w:tcW w:w="5226" w:type="dxa"/>
            <w:tcBorders>
              <w:top w:val="single" w:color="D9D9D9" w:sz="2" w:space="0"/>
              <w:bottom w:val="single" w:color="D9D9D9" w:sz="2" w:space="0"/>
            </w:tcBorders>
          </w:tcPr>
          <w:p w:rsidR="00C31389" w:rsidRDefault="00561FBD" w14:paraId="5DE588D8" w14:textId="77777777">
            <w:pPr>
              <w:pStyle w:val="TableParagraph"/>
              <w:ind w:left="120" w:right="209"/>
              <w:rPr>
                <w:sz w:val="20"/>
              </w:rPr>
            </w:pPr>
            <w:r>
              <w:rPr>
                <w:sz w:val="20"/>
              </w:rPr>
              <w:t>The irrigation system is made up of three parts: pump/well</w:t>
            </w:r>
            <w:r>
              <w:rPr>
                <w:spacing w:val="-8"/>
                <w:sz w:val="20"/>
              </w:rPr>
              <w:t xml:space="preserve"> </w:t>
            </w:r>
            <w:r>
              <w:rPr>
                <w:sz w:val="20"/>
              </w:rPr>
              <w:t>hydraulics,</w:t>
            </w:r>
            <w:r>
              <w:rPr>
                <w:spacing w:val="-8"/>
                <w:sz w:val="20"/>
              </w:rPr>
              <w:t xml:space="preserve"> </w:t>
            </w:r>
            <w:r>
              <w:rPr>
                <w:sz w:val="20"/>
              </w:rPr>
              <w:t>electric</w:t>
            </w:r>
            <w:r>
              <w:rPr>
                <w:spacing w:val="-7"/>
                <w:sz w:val="20"/>
              </w:rPr>
              <w:t xml:space="preserve"> </w:t>
            </w:r>
            <w:r>
              <w:rPr>
                <w:sz w:val="20"/>
              </w:rPr>
              <w:t>to</w:t>
            </w:r>
            <w:r>
              <w:rPr>
                <w:spacing w:val="-8"/>
                <w:sz w:val="20"/>
              </w:rPr>
              <w:t xml:space="preserve"> </w:t>
            </w:r>
            <w:r>
              <w:rPr>
                <w:sz w:val="20"/>
              </w:rPr>
              <w:t>hydraulics</w:t>
            </w:r>
            <w:r>
              <w:rPr>
                <w:spacing w:val="-8"/>
                <w:sz w:val="20"/>
              </w:rPr>
              <w:t xml:space="preserve"> </w:t>
            </w:r>
            <w:r>
              <w:rPr>
                <w:sz w:val="20"/>
              </w:rPr>
              <w:t>conversion, and</w:t>
            </w:r>
            <w:r>
              <w:rPr>
                <w:spacing w:val="-6"/>
                <w:sz w:val="20"/>
              </w:rPr>
              <w:t xml:space="preserve"> </w:t>
            </w:r>
            <w:r>
              <w:rPr>
                <w:sz w:val="20"/>
              </w:rPr>
              <w:t>the</w:t>
            </w:r>
            <w:r>
              <w:rPr>
                <w:spacing w:val="-6"/>
                <w:sz w:val="20"/>
              </w:rPr>
              <w:t xml:space="preserve"> </w:t>
            </w:r>
            <w:r>
              <w:rPr>
                <w:sz w:val="20"/>
              </w:rPr>
              <w:t>discharge</w:t>
            </w:r>
            <w:r>
              <w:rPr>
                <w:spacing w:val="-6"/>
                <w:sz w:val="20"/>
              </w:rPr>
              <w:t xml:space="preserve"> </w:t>
            </w:r>
            <w:r>
              <w:rPr>
                <w:sz w:val="20"/>
              </w:rPr>
              <w:t>or</w:t>
            </w:r>
            <w:r>
              <w:rPr>
                <w:spacing w:val="-5"/>
                <w:sz w:val="20"/>
              </w:rPr>
              <w:t xml:space="preserve"> </w:t>
            </w:r>
            <w:r>
              <w:rPr>
                <w:sz w:val="20"/>
              </w:rPr>
              <w:t>water</w:t>
            </w:r>
            <w:r>
              <w:rPr>
                <w:spacing w:val="-7"/>
                <w:sz w:val="20"/>
              </w:rPr>
              <w:t xml:space="preserve"> </w:t>
            </w:r>
            <w:r>
              <w:rPr>
                <w:sz w:val="20"/>
              </w:rPr>
              <w:t>distribution</w:t>
            </w:r>
            <w:r>
              <w:rPr>
                <w:spacing w:val="-6"/>
                <w:sz w:val="20"/>
              </w:rPr>
              <w:t xml:space="preserve"> </w:t>
            </w:r>
            <w:r>
              <w:rPr>
                <w:sz w:val="20"/>
              </w:rPr>
              <w:t>system.</w:t>
            </w:r>
            <w:r>
              <w:rPr>
                <w:spacing w:val="-6"/>
                <w:sz w:val="20"/>
              </w:rPr>
              <w:t xml:space="preserve"> </w:t>
            </w:r>
            <w:r>
              <w:rPr>
                <w:sz w:val="20"/>
              </w:rPr>
              <w:t>Studies show that improving pumping efficiency can reduce energy consumption by 19%-34%, on average.</w:t>
            </w:r>
          </w:p>
          <w:p w:rsidR="00C31389" w:rsidRDefault="00561FBD" w14:paraId="49BFAC4C" w14:textId="77777777">
            <w:pPr>
              <w:pStyle w:val="TableParagraph"/>
              <w:spacing w:before="1"/>
              <w:ind w:left="120" w:right="209"/>
              <w:rPr>
                <w:sz w:val="20"/>
              </w:rPr>
            </w:pPr>
            <w:r>
              <w:rPr>
                <w:sz w:val="20"/>
              </w:rPr>
              <w:t>However,</w:t>
            </w:r>
            <w:r>
              <w:rPr>
                <w:spacing w:val="-5"/>
                <w:sz w:val="20"/>
              </w:rPr>
              <w:t xml:space="preserve"> </w:t>
            </w:r>
            <w:r>
              <w:rPr>
                <w:sz w:val="20"/>
              </w:rPr>
              <w:t>when</w:t>
            </w:r>
            <w:r>
              <w:rPr>
                <w:spacing w:val="-5"/>
                <w:sz w:val="20"/>
              </w:rPr>
              <w:t xml:space="preserve"> </w:t>
            </w:r>
            <w:r>
              <w:rPr>
                <w:sz w:val="20"/>
              </w:rPr>
              <w:t>such</w:t>
            </w:r>
            <w:r>
              <w:rPr>
                <w:spacing w:val="-5"/>
                <w:sz w:val="20"/>
              </w:rPr>
              <w:t xml:space="preserve"> </w:t>
            </w:r>
            <w:r>
              <w:rPr>
                <w:sz w:val="20"/>
              </w:rPr>
              <w:t>a</w:t>
            </w:r>
            <w:r>
              <w:rPr>
                <w:spacing w:val="-5"/>
                <w:sz w:val="20"/>
              </w:rPr>
              <w:t xml:space="preserve"> </w:t>
            </w:r>
            <w:r>
              <w:rPr>
                <w:sz w:val="20"/>
              </w:rPr>
              <w:t>measure</w:t>
            </w:r>
            <w:r>
              <w:rPr>
                <w:spacing w:val="-5"/>
                <w:sz w:val="20"/>
              </w:rPr>
              <w:t xml:space="preserve"> </w:t>
            </w:r>
            <w:r>
              <w:rPr>
                <w:sz w:val="20"/>
              </w:rPr>
              <w:t>is</w:t>
            </w:r>
            <w:r>
              <w:rPr>
                <w:spacing w:val="-4"/>
                <w:sz w:val="20"/>
              </w:rPr>
              <w:t xml:space="preserve"> </w:t>
            </w:r>
            <w:r>
              <w:rPr>
                <w:sz w:val="20"/>
              </w:rPr>
              <w:t>implemented</w:t>
            </w:r>
            <w:r>
              <w:rPr>
                <w:spacing w:val="-5"/>
                <w:sz w:val="20"/>
              </w:rPr>
              <w:t xml:space="preserve"> </w:t>
            </w:r>
            <w:r>
              <w:rPr>
                <w:sz w:val="20"/>
              </w:rPr>
              <w:t>on</w:t>
            </w:r>
            <w:r>
              <w:rPr>
                <w:spacing w:val="-5"/>
                <w:sz w:val="20"/>
              </w:rPr>
              <w:t xml:space="preserve"> </w:t>
            </w:r>
            <w:r>
              <w:rPr>
                <w:sz w:val="20"/>
              </w:rPr>
              <w:t>its own within such a closely knitted system, it may just shift inefficiencies to</w:t>
            </w:r>
            <w:r>
              <w:rPr>
                <w:sz w:val="20"/>
              </w:rPr>
              <w:t xml:space="preserve"> the next part of the system. For example, an EE motor or pump will not work as intended if that piece of equipment is still expected to meet a high discharge pressure on a system that overirrigates</w:t>
            </w:r>
            <w:r>
              <w:rPr>
                <w:spacing w:val="-1"/>
                <w:sz w:val="20"/>
              </w:rPr>
              <w:t xml:space="preserve"> </w:t>
            </w:r>
            <w:r>
              <w:rPr>
                <w:sz w:val="20"/>
              </w:rPr>
              <w:t>because</w:t>
            </w:r>
            <w:r>
              <w:rPr>
                <w:spacing w:val="-1"/>
                <w:sz w:val="20"/>
              </w:rPr>
              <w:t xml:space="preserve"> </w:t>
            </w:r>
            <w:r>
              <w:rPr>
                <w:sz w:val="20"/>
              </w:rPr>
              <w:t>no</w:t>
            </w:r>
            <w:r>
              <w:rPr>
                <w:spacing w:val="-2"/>
                <w:sz w:val="20"/>
              </w:rPr>
              <w:t xml:space="preserve"> </w:t>
            </w:r>
            <w:r>
              <w:rPr>
                <w:sz w:val="20"/>
              </w:rPr>
              <w:t>moisture</w:t>
            </w:r>
            <w:r>
              <w:rPr>
                <w:spacing w:val="-1"/>
                <w:sz w:val="20"/>
              </w:rPr>
              <w:t xml:space="preserve"> </w:t>
            </w:r>
            <w:r>
              <w:rPr>
                <w:sz w:val="20"/>
              </w:rPr>
              <w:t>sensors have</w:t>
            </w:r>
            <w:r>
              <w:rPr>
                <w:spacing w:val="-1"/>
                <w:sz w:val="20"/>
              </w:rPr>
              <w:t xml:space="preserve"> </w:t>
            </w:r>
            <w:r>
              <w:rPr>
                <w:sz w:val="20"/>
              </w:rPr>
              <w:t>been deployed or the wat</w:t>
            </w:r>
            <w:r>
              <w:rPr>
                <w:sz w:val="20"/>
              </w:rPr>
              <w:t>er is being distributed through an old, inefficient, and leaking aluminum pipe system instead of a more efficient yellow mine system.</w:t>
            </w:r>
          </w:p>
        </w:tc>
      </w:tr>
      <w:tr w:rsidR="00C31389" w14:paraId="6276BE88" w14:textId="77777777">
        <w:trPr>
          <w:trHeight w:val="1769"/>
        </w:trPr>
        <w:tc>
          <w:tcPr>
            <w:tcW w:w="2429" w:type="dxa"/>
            <w:tcBorders>
              <w:top w:val="single" w:color="D9D9D9" w:sz="2" w:space="0"/>
              <w:bottom w:val="single" w:color="D9D9D9" w:sz="2" w:space="0"/>
            </w:tcBorders>
          </w:tcPr>
          <w:p w:rsidR="00C31389" w:rsidRDefault="00C31389" w14:paraId="4896EC68" w14:textId="77777777">
            <w:pPr>
              <w:pStyle w:val="TableParagraph"/>
              <w:spacing w:before="0"/>
            </w:pPr>
          </w:p>
          <w:p w:rsidR="00C31389" w:rsidRDefault="00C31389" w14:paraId="60F83596" w14:textId="77777777">
            <w:pPr>
              <w:pStyle w:val="TableParagraph"/>
              <w:spacing w:before="0"/>
            </w:pPr>
          </w:p>
          <w:p w:rsidR="00C31389" w:rsidRDefault="00C31389" w14:paraId="2D2C933C" w14:textId="77777777">
            <w:pPr>
              <w:pStyle w:val="TableParagraph"/>
              <w:spacing w:before="10"/>
            </w:pPr>
          </w:p>
          <w:p w:rsidR="00C31389" w:rsidRDefault="00561FBD" w14:paraId="2219332D" w14:textId="77777777">
            <w:pPr>
              <w:pStyle w:val="TableParagraph"/>
              <w:spacing w:before="1"/>
              <w:ind w:left="129"/>
              <w:rPr>
                <w:sz w:val="20"/>
              </w:rPr>
            </w:pPr>
            <w:r>
              <w:rPr>
                <w:sz w:val="20"/>
              </w:rPr>
              <w:t>LED</w:t>
            </w:r>
            <w:r>
              <w:rPr>
                <w:spacing w:val="-1"/>
                <w:sz w:val="20"/>
              </w:rPr>
              <w:t xml:space="preserve"> </w:t>
            </w:r>
            <w:r>
              <w:rPr>
                <w:sz w:val="20"/>
              </w:rPr>
              <w:t>Grow</w:t>
            </w:r>
            <w:r>
              <w:rPr>
                <w:spacing w:val="-1"/>
                <w:sz w:val="20"/>
              </w:rPr>
              <w:t xml:space="preserve"> </w:t>
            </w:r>
            <w:r>
              <w:rPr>
                <w:spacing w:val="-2"/>
                <w:sz w:val="20"/>
              </w:rPr>
              <w:t>Lights</w:t>
            </w:r>
          </w:p>
        </w:tc>
        <w:tc>
          <w:tcPr>
            <w:tcW w:w="1720" w:type="dxa"/>
            <w:tcBorders>
              <w:top w:val="single" w:color="D9D9D9" w:sz="2" w:space="0"/>
              <w:bottom w:val="single" w:color="D9D9D9" w:sz="2" w:space="0"/>
            </w:tcBorders>
          </w:tcPr>
          <w:p w:rsidR="00C31389" w:rsidRDefault="00C31389" w14:paraId="3BCCF8AD" w14:textId="77777777">
            <w:pPr>
              <w:pStyle w:val="TableParagraph"/>
              <w:spacing w:before="0"/>
            </w:pPr>
          </w:p>
          <w:p w:rsidR="00C31389" w:rsidRDefault="00C31389" w14:paraId="416CC895" w14:textId="77777777">
            <w:pPr>
              <w:pStyle w:val="TableParagraph"/>
              <w:spacing w:before="0"/>
            </w:pPr>
          </w:p>
          <w:p w:rsidR="00C31389" w:rsidRDefault="00C31389" w14:paraId="0557DDC4" w14:textId="77777777">
            <w:pPr>
              <w:pStyle w:val="TableParagraph"/>
              <w:spacing w:before="10"/>
            </w:pPr>
          </w:p>
          <w:p w:rsidR="00C31389" w:rsidRDefault="00561FBD" w14:paraId="16E34F52" w14:textId="77777777">
            <w:pPr>
              <w:pStyle w:val="TableParagraph"/>
              <w:spacing w:before="1"/>
              <w:ind w:left="130"/>
              <w:rPr>
                <w:sz w:val="20"/>
              </w:rPr>
            </w:pPr>
            <w:r>
              <w:rPr>
                <w:spacing w:val="-2"/>
                <w:sz w:val="20"/>
              </w:rPr>
              <w:t>Lighting</w:t>
            </w:r>
          </w:p>
        </w:tc>
        <w:tc>
          <w:tcPr>
            <w:tcW w:w="5226" w:type="dxa"/>
            <w:tcBorders>
              <w:top w:val="single" w:color="D9D9D9" w:sz="2" w:space="0"/>
              <w:bottom w:val="single" w:color="D9D9D9" w:sz="2" w:space="0"/>
            </w:tcBorders>
          </w:tcPr>
          <w:p w:rsidR="00C31389" w:rsidRDefault="00561FBD" w14:paraId="2966A939" w14:textId="77777777">
            <w:pPr>
              <w:pStyle w:val="TableParagraph"/>
              <w:spacing w:before="80"/>
              <w:ind w:left="120" w:right="128"/>
              <w:rPr>
                <w:sz w:val="20"/>
              </w:rPr>
            </w:pPr>
            <w:r>
              <w:rPr>
                <w:sz w:val="20"/>
              </w:rPr>
              <w:t xml:space="preserve">Lighting loads in a greenhouse vary with location and type of crop being </w:t>
            </w:r>
            <w:r>
              <w:rPr>
                <w:sz w:val="20"/>
              </w:rPr>
              <w:t>cultivated. Greenhouses growing vegetables or other high value crops do not have significant</w:t>
            </w:r>
            <w:r>
              <w:rPr>
                <w:spacing w:val="-7"/>
                <w:sz w:val="20"/>
              </w:rPr>
              <w:t xml:space="preserve"> </w:t>
            </w:r>
            <w:r>
              <w:rPr>
                <w:sz w:val="20"/>
              </w:rPr>
              <w:t>lighting</w:t>
            </w:r>
            <w:r>
              <w:rPr>
                <w:spacing w:val="-7"/>
                <w:sz w:val="20"/>
              </w:rPr>
              <w:t xml:space="preserve"> </w:t>
            </w:r>
            <w:r>
              <w:rPr>
                <w:sz w:val="20"/>
              </w:rPr>
              <w:t>loads.</w:t>
            </w:r>
            <w:r>
              <w:rPr>
                <w:spacing w:val="-8"/>
                <w:sz w:val="20"/>
              </w:rPr>
              <w:t xml:space="preserve"> </w:t>
            </w:r>
            <w:r>
              <w:rPr>
                <w:sz w:val="20"/>
              </w:rPr>
              <w:t>Cannabis</w:t>
            </w:r>
            <w:r>
              <w:rPr>
                <w:spacing w:val="-6"/>
                <w:sz w:val="20"/>
              </w:rPr>
              <w:t xml:space="preserve"> </w:t>
            </w:r>
            <w:r>
              <w:rPr>
                <w:sz w:val="20"/>
              </w:rPr>
              <w:t>greenhouses</w:t>
            </w:r>
            <w:r>
              <w:rPr>
                <w:spacing w:val="-6"/>
                <w:sz w:val="20"/>
              </w:rPr>
              <w:t xml:space="preserve"> </w:t>
            </w:r>
            <w:r>
              <w:rPr>
                <w:sz w:val="20"/>
              </w:rPr>
              <w:t>have</w:t>
            </w:r>
            <w:r>
              <w:rPr>
                <w:spacing w:val="-7"/>
                <w:sz w:val="20"/>
              </w:rPr>
              <w:t xml:space="preserve"> </w:t>
            </w:r>
            <w:r>
              <w:rPr>
                <w:sz w:val="20"/>
              </w:rPr>
              <w:t>a considerably large lighting load. Market saturation and adoption</w:t>
            </w:r>
            <w:r>
              <w:rPr>
                <w:spacing w:val="-1"/>
                <w:sz w:val="20"/>
              </w:rPr>
              <w:t xml:space="preserve"> </w:t>
            </w:r>
            <w:r>
              <w:rPr>
                <w:sz w:val="20"/>
              </w:rPr>
              <w:t>depend</w:t>
            </w:r>
            <w:r>
              <w:rPr>
                <w:spacing w:val="-1"/>
                <w:sz w:val="20"/>
              </w:rPr>
              <w:t xml:space="preserve"> </w:t>
            </w:r>
            <w:r>
              <w:rPr>
                <w:sz w:val="20"/>
              </w:rPr>
              <w:t>on</w:t>
            </w:r>
            <w:r>
              <w:rPr>
                <w:spacing w:val="-1"/>
                <w:sz w:val="20"/>
              </w:rPr>
              <w:t xml:space="preserve"> </w:t>
            </w:r>
            <w:r>
              <w:rPr>
                <w:sz w:val="20"/>
              </w:rPr>
              <w:t>multiple</w:t>
            </w:r>
            <w:r>
              <w:rPr>
                <w:spacing w:val="-1"/>
                <w:sz w:val="20"/>
              </w:rPr>
              <w:t xml:space="preserve"> </w:t>
            </w:r>
            <w:r>
              <w:rPr>
                <w:sz w:val="20"/>
              </w:rPr>
              <w:t>factors such</w:t>
            </w:r>
            <w:r>
              <w:rPr>
                <w:spacing w:val="-1"/>
                <w:sz w:val="20"/>
              </w:rPr>
              <w:t xml:space="preserve"> </w:t>
            </w:r>
            <w:r>
              <w:rPr>
                <w:sz w:val="20"/>
              </w:rPr>
              <w:t>as crop</w:t>
            </w:r>
            <w:r>
              <w:rPr>
                <w:spacing w:val="-1"/>
                <w:sz w:val="20"/>
              </w:rPr>
              <w:t xml:space="preserve"> </w:t>
            </w:r>
            <w:r>
              <w:rPr>
                <w:sz w:val="20"/>
              </w:rPr>
              <w:t>being cultivat</w:t>
            </w:r>
            <w:r>
              <w:rPr>
                <w:sz w:val="20"/>
              </w:rPr>
              <w:t>ed, geography, and greenhouse size.</w:t>
            </w:r>
          </w:p>
        </w:tc>
      </w:tr>
      <w:tr w:rsidR="00C31389" w14:paraId="1DAEEBEC" w14:textId="77777777">
        <w:trPr>
          <w:trHeight w:val="2459"/>
        </w:trPr>
        <w:tc>
          <w:tcPr>
            <w:tcW w:w="2429" w:type="dxa"/>
            <w:tcBorders>
              <w:top w:val="single" w:color="D9D9D9" w:sz="2" w:space="0"/>
              <w:bottom w:val="single" w:color="D9D9D9" w:sz="2" w:space="0"/>
            </w:tcBorders>
          </w:tcPr>
          <w:p w:rsidR="00C31389" w:rsidRDefault="00C31389" w14:paraId="0078448C" w14:textId="77777777">
            <w:pPr>
              <w:pStyle w:val="TableParagraph"/>
              <w:spacing w:before="0"/>
            </w:pPr>
          </w:p>
          <w:p w:rsidR="00C31389" w:rsidRDefault="00C31389" w14:paraId="20EA59DF" w14:textId="77777777">
            <w:pPr>
              <w:pStyle w:val="TableParagraph"/>
              <w:spacing w:before="0"/>
            </w:pPr>
          </w:p>
          <w:p w:rsidR="00C31389" w:rsidRDefault="00C31389" w14:paraId="59867D87" w14:textId="77777777">
            <w:pPr>
              <w:pStyle w:val="TableParagraph"/>
              <w:spacing w:before="0"/>
            </w:pPr>
          </w:p>
          <w:p w:rsidR="00C31389" w:rsidRDefault="00C31389" w14:paraId="178A8E42" w14:textId="77777777">
            <w:pPr>
              <w:pStyle w:val="TableParagraph"/>
              <w:spacing w:before="10"/>
              <w:rPr>
                <w:sz w:val="30"/>
              </w:rPr>
            </w:pPr>
          </w:p>
          <w:p w:rsidR="00C31389" w:rsidRDefault="00561FBD" w14:paraId="39802C7B" w14:textId="77777777">
            <w:pPr>
              <w:pStyle w:val="TableParagraph"/>
              <w:spacing w:before="0"/>
              <w:ind w:left="129"/>
              <w:rPr>
                <w:sz w:val="20"/>
              </w:rPr>
            </w:pPr>
            <w:r>
              <w:rPr>
                <w:sz w:val="20"/>
              </w:rPr>
              <w:t>EE</w:t>
            </w:r>
            <w:r>
              <w:rPr>
                <w:spacing w:val="-2"/>
                <w:sz w:val="20"/>
              </w:rPr>
              <w:t xml:space="preserve"> </w:t>
            </w:r>
            <w:r>
              <w:rPr>
                <w:spacing w:val="-4"/>
                <w:sz w:val="20"/>
              </w:rPr>
              <w:t>HVAC</w:t>
            </w:r>
          </w:p>
        </w:tc>
        <w:tc>
          <w:tcPr>
            <w:tcW w:w="1720" w:type="dxa"/>
            <w:tcBorders>
              <w:top w:val="single" w:color="D9D9D9" w:sz="2" w:space="0"/>
              <w:bottom w:val="single" w:color="D9D9D9" w:sz="2" w:space="0"/>
            </w:tcBorders>
          </w:tcPr>
          <w:p w:rsidR="00C31389" w:rsidRDefault="00C31389" w14:paraId="05372E7F" w14:textId="77777777">
            <w:pPr>
              <w:pStyle w:val="TableParagraph"/>
              <w:spacing w:before="0"/>
            </w:pPr>
          </w:p>
          <w:p w:rsidR="00C31389" w:rsidRDefault="00C31389" w14:paraId="30FF8060" w14:textId="77777777">
            <w:pPr>
              <w:pStyle w:val="TableParagraph"/>
              <w:spacing w:before="0"/>
            </w:pPr>
          </w:p>
          <w:p w:rsidR="00C31389" w:rsidRDefault="00C31389" w14:paraId="54ECAC3B" w14:textId="77777777">
            <w:pPr>
              <w:pStyle w:val="TableParagraph"/>
              <w:spacing w:before="0"/>
            </w:pPr>
          </w:p>
          <w:p w:rsidR="00C31389" w:rsidRDefault="00C31389" w14:paraId="1698269B" w14:textId="77777777">
            <w:pPr>
              <w:pStyle w:val="TableParagraph"/>
              <w:spacing w:before="10"/>
              <w:rPr>
                <w:sz w:val="30"/>
              </w:rPr>
            </w:pPr>
          </w:p>
          <w:p w:rsidR="00C31389" w:rsidRDefault="00561FBD" w14:paraId="660DD39C" w14:textId="77777777">
            <w:pPr>
              <w:pStyle w:val="TableParagraph"/>
              <w:spacing w:before="0"/>
              <w:ind w:left="130"/>
              <w:rPr>
                <w:sz w:val="20"/>
              </w:rPr>
            </w:pPr>
            <w:r>
              <w:rPr>
                <w:spacing w:val="-4"/>
                <w:sz w:val="20"/>
              </w:rPr>
              <w:t>HVAC</w:t>
            </w:r>
          </w:p>
        </w:tc>
        <w:tc>
          <w:tcPr>
            <w:tcW w:w="5226" w:type="dxa"/>
            <w:tcBorders>
              <w:top w:val="single" w:color="D9D9D9" w:sz="2" w:space="0"/>
              <w:bottom w:val="single" w:color="D9D9D9" w:sz="2" w:space="0"/>
            </w:tcBorders>
          </w:tcPr>
          <w:p w:rsidR="00C31389" w:rsidRDefault="00561FBD" w14:paraId="3B7BF691" w14:textId="77777777">
            <w:pPr>
              <w:pStyle w:val="TableParagraph"/>
              <w:spacing w:before="80"/>
              <w:ind w:left="120" w:right="101"/>
              <w:rPr>
                <w:sz w:val="20"/>
              </w:rPr>
            </w:pPr>
            <w:r>
              <w:rPr>
                <w:sz w:val="20"/>
              </w:rPr>
              <w:t>Conventional</w:t>
            </w:r>
            <w:r>
              <w:rPr>
                <w:spacing w:val="-8"/>
                <w:sz w:val="20"/>
              </w:rPr>
              <w:t xml:space="preserve"> </w:t>
            </w:r>
            <w:r>
              <w:rPr>
                <w:sz w:val="20"/>
              </w:rPr>
              <w:t>greenhouse</w:t>
            </w:r>
            <w:r>
              <w:rPr>
                <w:spacing w:val="-7"/>
                <w:sz w:val="20"/>
              </w:rPr>
              <w:t xml:space="preserve"> </w:t>
            </w:r>
            <w:r>
              <w:rPr>
                <w:sz w:val="20"/>
              </w:rPr>
              <w:t>HVAC</w:t>
            </w:r>
            <w:r>
              <w:rPr>
                <w:spacing w:val="-6"/>
                <w:sz w:val="20"/>
              </w:rPr>
              <w:t xml:space="preserve"> </w:t>
            </w:r>
            <w:r>
              <w:rPr>
                <w:sz w:val="20"/>
              </w:rPr>
              <w:t>systems</w:t>
            </w:r>
            <w:r>
              <w:rPr>
                <w:spacing w:val="-6"/>
                <w:sz w:val="20"/>
              </w:rPr>
              <w:t xml:space="preserve"> </w:t>
            </w:r>
            <w:r>
              <w:rPr>
                <w:sz w:val="20"/>
              </w:rPr>
              <w:t>are</w:t>
            </w:r>
            <w:r>
              <w:rPr>
                <w:spacing w:val="-7"/>
                <w:sz w:val="20"/>
              </w:rPr>
              <w:t xml:space="preserve"> </w:t>
            </w:r>
            <w:r>
              <w:rPr>
                <w:sz w:val="20"/>
              </w:rPr>
              <w:t>not</w:t>
            </w:r>
            <w:r>
              <w:rPr>
                <w:spacing w:val="-8"/>
                <w:sz w:val="20"/>
              </w:rPr>
              <w:t xml:space="preserve"> </w:t>
            </w:r>
            <w:r>
              <w:rPr>
                <w:sz w:val="20"/>
              </w:rPr>
              <w:t xml:space="preserve">ideally suited for greenhouse applications, especially in the cannabis subsector because they are designed for a different purpose—comfort cooling for </w:t>
            </w:r>
            <w:r>
              <w:rPr>
                <w:sz w:val="20"/>
              </w:rPr>
              <w:t>people loads rather than plant loads. Additionally, psychrometric requirements of the cannabis plant typically require the HVAC system to operate at different conditions than what they normally operate at because plants need different</w:t>
            </w:r>
            <w:r>
              <w:rPr>
                <w:spacing w:val="-5"/>
                <w:sz w:val="20"/>
              </w:rPr>
              <w:t xml:space="preserve"> </w:t>
            </w:r>
            <w:r>
              <w:rPr>
                <w:sz w:val="20"/>
              </w:rPr>
              <w:t>internal</w:t>
            </w:r>
            <w:r>
              <w:rPr>
                <w:spacing w:val="-5"/>
                <w:sz w:val="20"/>
              </w:rPr>
              <w:t xml:space="preserve"> </w:t>
            </w:r>
            <w:r>
              <w:rPr>
                <w:sz w:val="20"/>
              </w:rPr>
              <w:t>climate</w:t>
            </w:r>
            <w:r>
              <w:rPr>
                <w:spacing w:val="-6"/>
                <w:sz w:val="20"/>
              </w:rPr>
              <w:t xml:space="preserve"> </w:t>
            </w:r>
            <w:r>
              <w:rPr>
                <w:sz w:val="20"/>
              </w:rPr>
              <w:t>cond</w:t>
            </w:r>
            <w:r>
              <w:rPr>
                <w:sz w:val="20"/>
              </w:rPr>
              <w:t>itions</w:t>
            </w:r>
            <w:r>
              <w:rPr>
                <w:spacing w:val="-4"/>
                <w:sz w:val="20"/>
              </w:rPr>
              <w:t xml:space="preserve"> </w:t>
            </w:r>
            <w:r>
              <w:rPr>
                <w:sz w:val="20"/>
              </w:rPr>
              <w:t>compared</w:t>
            </w:r>
            <w:r>
              <w:rPr>
                <w:spacing w:val="-5"/>
                <w:sz w:val="20"/>
              </w:rPr>
              <w:t xml:space="preserve"> </w:t>
            </w:r>
            <w:r>
              <w:rPr>
                <w:sz w:val="20"/>
              </w:rPr>
              <w:t>to</w:t>
            </w:r>
            <w:r>
              <w:rPr>
                <w:spacing w:val="-5"/>
                <w:sz w:val="20"/>
              </w:rPr>
              <w:t xml:space="preserve"> </w:t>
            </w:r>
            <w:r>
              <w:rPr>
                <w:sz w:val="20"/>
              </w:rPr>
              <w:t>comfort cooling for humans.</w:t>
            </w:r>
          </w:p>
        </w:tc>
      </w:tr>
      <w:tr w:rsidR="00C31389" w14:paraId="7E327F02" w14:textId="77777777">
        <w:trPr>
          <w:trHeight w:val="1540"/>
        </w:trPr>
        <w:tc>
          <w:tcPr>
            <w:tcW w:w="2429" w:type="dxa"/>
            <w:tcBorders>
              <w:top w:val="single" w:color="D9D9D9" w:sz="2" w:space="0"/>
              <w:bottom w:val="single" w:color="000000" w:sz="8" w:space="0"/>
            </w:tcBorders>
          </w:tcPr>
          <w:p w:rsidR="00C31389" w:rsidRDefault="00C31389" w14:paraId="5A9D8F01" w14:textId="77777777">
            <w:pPr>
              <w:pStyle w:val="TableParagraph"/>
              <w:spacing w:before="0"/>
            </w:pPr>
          </w:p>
          <w:p w:rsidR="00C31389" w:rsidRDefault="00C31389" w14:paraId="69840422" w14:textId="77777777">
            <w:pPr>
              <w:pStyle w:val="TableParagraph"/>
              <w:spacing w:before="0"/>
            </w:pPr>
          </w:p>
          <w:p w:rsidR="00C31389" w:rsidRDefault="00561FBD" w14:paraId="089F8657" w14:textId="77777777">
            <w:pPr>
              <w:pStyle w:val="TableParagraph"/>
              <w:spacing w:before="148"/>
              <w:ind w:left="129"/>
              <w:rPr>
                <w:sz w:val="20"/>
              </w:rPr>
            </w:pPr>
            <w:r>
              <w:rPr>
                <w:sz w:val="20"/>
              </w:rPr>
              <w:t>Energy</w:t>
            </w:r>
            <w:r>
              <w:rPr>
                <w:spacing w:val="-3"/>
                <w:sz w:val="20"/>
              </w:rPr>
              <w:t xml:space="preserve"> </w:t>
            </w:r>
            <w:r>
              <w:rPr>
                <w:spacing w:val="-2"/>
                <w:sz w:val="20"/>
              </w:rPr>
              <w:t>Curtains</w:t>
            </w:r>
          </w:p>
        </w:tc>
        <w:tc>
          <w:tcPr>
            <w:tcW w:w="1720" w:type="dxa"/>
            <w:tcBorders>
              <w:top w:val="single" w:color="D9D9D9" w:sz="2" w:space="0"/>
              <w:bottom w:val="single" w:color="000000" w:sz="8" w:space="0"/>
            </w:tcBorders>
          </w:tcPr>
          <w:p w:rsidR="00C31389" w:rsidRDefault="00C31389" w14:paraId="6AF15FFD" w14:textId="77777777">
            <w:pPr>
              <w:pStyle w:val="TableParagraph"/>
              <w:spacing w:before="0"/>
            </w:pPr>
          </w:p>
          <w:p w:rsidR="00C31389" w:rsidRDefault="00C31389" w14:paraId="48FC6971" w14:textId="77777777">
            <w:pPr>
              <w:pStyle w:val="TableParagraph"/>
              <w:spacing w:before="0"/>
            </w:pPr>
          </w:p>
          <w:p w:rsidR="00C31389" w:rsidRDefault="00561FBD" w14:paraId="1665E9B2" w14:textId="77777777">
            <w:pPr>
              <w:pStyle w:val="TableParagraph"/>
              <w:spacing w:before="148"/>
              <w:ind w:left="130"/>
              <w:rPr>
                <w:sz w:val="20"/>
              </w:rPr>
            </w:pPr>
            <w:r>
              <w:rPr>
                <w:sz w:val="20"/>
              </w:rPr>
              <w:t>Process</w:t>
            </w:r>
            <w:r>
              <w:rPr>
                <w:spacing w:val="-5"/>
                <w:sz w:val="20"/>
              </w:rPr>
              <w:t xml:space="preserve"> </w:t>
            </w:r>
            <w:r>
              <w:rPr>
                <w:spacing w:val="-2"/>
                <w:sz w:val="20"/>
              </w:rPr>
              <w:t>Heating</w:t>
            </w:r>
          </w:p>
        </w:tc>
        <w:tc>
          <w:tcPr>
            <w:tcW w:w="5226" w:type="dxa"/>
            <w:tcBorders>
              <w:top w:val="single" w:color="D9D9D9" w:sz="2" w:space="0"/>
              <w:bottom w:val="single" w:color="000000" w:sz="8" w:space="0"/>
            </w:tcBorders>
          </w:tcPr>
          <w:p w:rsidR="00C31389" w:rsidRDefault="00561FBD" w14:paraId="5EC31CBE" w14:textId="77777777">
            <w:pPr>
              <w:pStyle w:val="TableParagraph"/>
              <w:spacing w:before="80"/>
              <w:ind w:left="120" w:right="209"/>
              <w:rPr>
                <w:sz w:val="20"/>
              </w:rPr>
            </w:pPr>
            <w:r>
              <w:rPr>
                <w:sz w:val="20"/>
              </w:rPr>
              <w:t>Energy curtain would be more effective in realizing energy savings by reducing heat loss to the external environment</w:t>
            </w:r>
            <w:r>
              <w:rPr>
                <w:spacing w:val="-8"/>
                <w:sz w:val="20"/>
              </w:rPr>
              <w:t xml:space="preserve"> </w:t>
            </w:r>
            <w:r>
              <w:rPr>
                <w:sz w:val="20"/>
              </w:rPr>
              <w:t>compared</w:t>
            </w:r>
            <w:r>
              <w:rPr>
                <w:spacing w:val="-6"/>
                <w:sz w:val="20"/>
              </w:rPr>
              <w:t xml:space="preserve"> </w:t>
            </w:r>
            <w:r>
              <w:rPr>
                <w:sz w:val="20"/>
              </w:rPr>
              <w:t>to</w:t>
            </w:r>
            <w:r>
              <w:rPr>
                <w:spacing w:val="-6"/>
                <w:sz w:val="20"/>
              </w:rPr>
              <w:t xml:space="preserve"> </w:t>
            </w:r>
            <w:r>
              <w:rPr>
                <w:sz w:val="20"/>
              </w:rPr>
              <w:t>installing</w:t>
            </w:r>
            <w:r>
              <w:rPr>
                <w:spacing w:val="-6"/>
                <w:sz w:val="20"/>
              </w:rPr>
              <w:t xml:space="preserve"> </w:t>
            </w:r>
            <w:r>
              <w:rPr>
                <w:sz w:val="20"/>
              </w:rPr>
              <w:t>a</w:t>
            </w:r>
            <w:r>
              <w:rPr>
                <w:spacing w:val="-6"/>
                <w:sz w:val="20"/>
              </w:rPr>
              <w:t xml:space="preserve"> </w:t>
            </w:r>
            <w:r>
              <w:rPr>
                <w:sz w:val="20"/>
              </w:rPr>
              <w:t>higher</w:t>
            </w:r>
            <w:r>
              <w:rPr>
                <w:spacing w:val="-6"/>
                <w:sz w:val="20"/>
              </w:rPr>
              <w:t xml:space="preserve"> </w:t>
            </w:r>
            <w:r>
              <w:rPr>
                <w:sz w:val="20"/>
              </w:rPr>
              <w:t xml:space="preserve">efficiency </w:t>
            </w:r>
            <w:r>
              <w:rPr>
                <w:sz w:val="20"/>
              </w:rPr>
              <w:t>heating system like a condensing boiler. The energy curtain would have a lower initial cost and a shorter payback period than the boiler.</w:t>
            </w:r>
          </w:p>
        </w:tc>
      </w:tr>
    </w:tbl>
    <w:p w:rsidR="00C31389" w:rsidRDefault="00561FBD" w14:paraId="723F75B2" w14:textId="77777777">
      <w:pPr>
        <w:spacing w:before="64"/>
        <w:ind w:left="480"/>
        <w:rPr>
          <w:i/>
          <w:sz w:val="18"/>
        </w:rPr>
      </w:pPr>
      <w:r>
        <w:rPr>
          <w:i/>
          <w:sz w:val="18"/>
        </w:rPr>
        <w:t>Source:</w:t>
      </w:r>
      <w:r>
        <w:rPr>
          <w:i/>
          <w:spacing w:val="-6"/>
          <w:sz w:val="18"/>
        </w:rPr>
        <w:t xml:space="preserve"> </w:t>
      </w:r>
      <w:r>
        <w:rPr>
          <w:i/>
          <w:sz w:val="18"/>
        </w:rPr>
        <w:t>Guidehouse</w:t>
      </w:r>
      <w:r>
        <w:rPr>
          <w:i/>
          <w:spacing w:val="-4"/>
          <w:sz w:val="18"/>
        </w:rPr>
        <w:t xml:space="preserve"> team</w:t>
      </w:r>
    </w:p>
    <w:p w:rsidR="00C31389" w:rsidRDefault="00C31389" w14:paraId="0793252E" w14:textId="77777777">
      <w:pPr>
        <w:rPr>
          <w:sz w:val="18"/>
        </w:rPr>
        <w:sectPr w:rsidR="00C31389">
          <w:pgSz w:w="11910" w:h="16840"/>
          <w:pgMar w:top="1380" w:right="1020" w:bottom="1120" w:left="960" w:header="397" w:footer="938" w:gutter="0"/>
          <w:cols w:space="720"/>
        </w:sectPr>
      </w:pPr>
    </w:p>
    <w:p w:rsidR="00C31389" w:rsidRDefault="00C31389" w14:paraId="3305FE66" w14:textId="77777777">
      <w:pPr>
        <w:pStyle w:val="BodyText"/>
        <w:rPr>
          <w:i/>
        </w:rPr>
      </w:pPr>
    </w:p>
    <w:p w:rsidR="00C31389" w:rsidRDefault="00C31389" w14:paraId="1D8EA34F" w14:textId="77777777">
      <w:pPr>
        <w:pStyle w:val="BodyText"/>
        <w:rPr>
          <w:i/>
          <w:sz w:val="20"/>
        </w:rPr>
      </w:pPr>
    </w:p>
    <w:p w:rsidR="00C31389" w:rsidRDefault="00C31389" w14:paraId="041BCC58" w14:textId="77777777">
      <w:pPr>
        <w:pStyle w:val="BodyText"/>
        <w:spacing w:before="4"/>
        <w:rPr>
          <w:i/>
          <w:sz w:val="25"/>
        </w:rPr>
      </w:pPr>
    </w:p>
    <w:p w:rsidR="00C31389" w:rsidRDefault="00561FBD" w14:paraId="397AF9C0" w14:textId="77777777">
      <w:pPr>
        <w:spacing w:before="90"/>
        <w:ind w:left="480"/>
        <w:rPr>
          <w:b/>
          <w:sz w:val="32"/>
        </w:rPr>
      </w:pPr>
      <w:bookmarkStart w:name="Appendix_F.__Codes_and_Standards" w:id="596"/>
      <w:bookmarkStart w:name="_bookmark460" w:id="597"/>
      <w:bookmarkEnd w:id="596"/>
      <w:bookmarkEnd w:id="597"/>
      <w:r>
        <w:rPr>
          <w:b/>
          <w:sz w:val="32"/>
        </w:rPr>
        <w:t>Appendix</w:t>
      </w:r>
      <w:r>
        <w:rPr>
          <w:b/>
          <w:spacing w:val="-3"/>
          <w:sz w:val="32"/>
        </w:rPr>
        <w:t xml:space="preserve"> </w:t>
      </w:r>
      <w:r>
        <w:rPr>
          <w:b/>
          <w:sz w:val="32"/>
        </w:rPr>
        <w:t>F.</w:t>
      </w:r>
      <w:r>
        <w:rPr>
          <w:b/>
          <w:spacing w:val="37"/>
          <w:w w:val="150"/>
          <w:sz w:val="32"/>
        </w:rPr>
        <w:t xml:space="preserve"> </w:t>
      </w:r>
      <w:bookmarkStart w:name="_bookmark459" w:id="598"/>
      <w:bookmarkEnd w:id="598"/>
      <w:r>
        <w:rPr>
          <w:b/>
          <w:sz w:val="32"/>
        </w:rPr>
        <w:t>Codes</w:t>
      </w:r>
      <w:r>
        <w:rPr>
          <w:b/>
          <w:spacing w:val="-3"/>
          <w:sz w:val="32"/>
        </w:rPr>
        <w:t xml:space="preserve"> </w:t>
      </w:r>
      <w:r>
        <w:rPr>
          <w:b/>
          <w:sz w:val="32"/>
        </w:rPr>
        <w:t>and</w:t>
      </w:r>
      <w:r>
        <w:rPr>
          <w:b/>
          <w:spacing w:val="-4"/>
          <w:sz w:val="32"/>
        </w:rPr>
        <w:t xml:space="preserve"> </w:t>
      </w:r>
      <w:r>
        <w:rPr>
          <w:b/>
          <w:spacing w:val="-2"/>
          <w:sz w:val="32"/>
        </w:rPr>
        <w:t>Standards</w:t>
      </w:r>
    </w:p>
    <w:p w:rsidR="00C31389" w:rsidRDefault="00C31389" w14:paraId="3DCC13EA" w14:textId="77777777">
      <w:pPr>
        <w:pStyle w:val="BodyText"/>
        <w:spacing w:before="4"/>
        <w:rPr>
          <w:b/>
          <w:sz w:val="31"/>
        </w:rPr>
      </w:pPr>
    </w:p>
    <w:p w:rsidR="00C31389" w:rsidRDefault="00561FBD" w14:paraId="5924D7B1" w14:textId="77777777">
      <w:pPr>
        <w:pStyle w:val="BodyText"/>
        <w:spacing w:before="1"/>
        <w:ind w:left="480"/>
      </w:pPr>
      <w:hyperlink w:history="1" w:anchor="_bookmark461">
        <w:r>
          <w:t>Table</w:t>
        </w:r>
        <w:r>
          <w:rPr>
            <w:spacing w:val="-6"/>
          </w:rPr>
          <w:t xml:space="preserve"> </w:t>
        </w:r>
        <w:r>
          <w:t>F-1</w:t>
        </w:r>
      </w:hyperlink>
      <w:r>
        <w:rPr>
          <w:spacing w:val="-5"/>
        </w:rPr>
        <w:t xml:space="preserve"> </w:t>
      </w:r>
      <w:r>
        <w:t>describes</w:t>
      </w:r>
      <w:r>
        <w:rPr>
          <w:spacing w:val="-6"/>
        </w:rPr>
        <w:t xml:space="preserve"> </w:t>
      </w:r>
      <w:r>
        <w:t>the</w:t>
      </w:r>
      <w:r>
        <w:rPr>
          <w:spacing w:val="-6"/>
        </w:rPr>
        <w:t xml:space="preserve"> </w:t>
      </w:r>
      <w:r>
        <w:t>list</w:t>
      </w:r>
      <w:r>
        <w:rPr>
          <w:spacing w:val="-6"/>
        </w:rPr>
        <w:t xml:space="preserve"> </w:t>
      </w:r>
      <w:r>
        <w:t>of</w:t>
      </w:r>
      <w:r>
        <w:rPr>
          <w:spacing w:val="-6"/>
        </w:rPr>
        <w:t xml:space="preserve"> </w:t>
      </w:r>
      <w:r>
        <w:t>codes</w:t>
      </w:r>
      <w:r>
        <w:rPr>
          <w:spacing w:val="-7"/>
        </w:rPr>
        <w:t xml:space="preserve"> </w:t>
      </w:r>
      <w:r>
        <w:t>and</w:t>
      </w:r>
      <w:r>
        <w:rPr>
          <w:spacing w:val="-5"/>
        </w:rPr>
        <w:t xml:space="preserve"> </w:t>
      </w:r>
      <w:r>
        <w:t>standards</w:t>
      </w:r>
      <w:r>
        <w:rPr>
          <w:spacing w:val="-6"/>
        </w:rPr>
        <w:t xml:space="preserve"> </w:t>
      </w:r>
      <w:r>
        <w:t>(C&amp;S)</w:t>
      </w:r>
      <w:r>
        <w:rPr>
          <w:spacing w:val="-5"/>
        </w:rPr>
        <w:t xml:space="preserve"> </w:t>
      </w:r>
      <w:r>
        <w:t>accounted</w:t>
      </w:r>
      <w:r>
        <w:rPr>
          <w:spacing w:val="-6"/>
        </w:rPr>
        <w:t xml:space="preserve"> </w:t>
      </w:r>
      <w:r>
        <w:t>for</w:t>
      </w:r>
      <w:r>
        <w:rPr>
          <w:spacing w:val="-5"/>
        </w:rPr>
        <w:t xml:space="preserve"> </w:t>
      </w:r>
      <w:r>
        <w:t>in</w:t>
      </w:r>
      <w:r>
        <w:rPr>
          <w:spacing w:val="-5"/>
        </w:rPr>
        <w:t xml:space="preserve"> </w:t>
      </w:r>
      <w:r>
        <w:t>the</w:t>
      </w:r>
      <w:r>
        <w:rPr>
          <w:spacing w:val="-6"/>
        </w:rPr>
        <w:t xml:space="preserve"> </w:t>
      </w:r>
      <w:r>
        <w:rPr>
          <w:spacing w:val="-2"/>
        </w:rPr>
        <w:t>model.</w:t>
      </w:r>
    </w:p>
    <w:p w:rsidR="00C31389" w:rsidRDefault="00C31389" w14:paraId="7573796A" w14:textId="77777777">
      <w:pPr>
        <w:pStyle w:val="BodyText"/>
        <w:spacing w:before="8"/>
        <w:rPr>
          <w:sz w:val="20"/>
        </w:rPr>
      </w:pPr>
    </w:p>
    <w:p w:rsidR="00C31389" w:rsidRDefault="00561FBD" w14:paraId="6A05C8B9" w14:textId="77777777">
      <w:pPr>
        <w:pStyle w:val="Heading7"/>
        <w:spacing w:before="1"/>
        <w:ind w:left="398" w:right="339"/>
        <w:jc w:val="center"/>
      </w:pPr>
      <w:bookmarkStart w:name="_bookmark461" w:id="599"/>
      <w:bookmarkEnd w:id="599"/>
      <w:r>
        <w:t>Table</w:t>
      </w:r>
      <w:r>
        <w:rPr>
          <w:spacing w:val="-5"/>
        </w:rPr>
        <w:t xml:space="preserve"> </w:t>
      </w:r>
      <w:r>
        <w:t>F-1.</w:t>
      </w:r>
      <w:r>
        <w:rPr>
          <w:spacing w:val="-5"/>
        </w:rPr>
        <w:t xml:space="preserve"> </w:t>
      </w:r>
      <w:r>
        <w:t>C&amp;S</w:t>
      </w:r>
      <w:r>
        <w:rPr>
          <w:spacing w:val="-4"/>
        </w:rPr>
        <w:t xml:space="preserve"> </w:t>
      </w:r>
      <w:r>
        <w:t>in</w:t>
      </w:r>
      <w:r>
        <w:rPr>
          <w:spacing w:val="-5"/>
        </w:rPr>
        <w:t xml:space="preserve"> </w:t>
      </w:r>
      <w:r>
        <w:t>the</w:t>
      </w:r>
      <w:r>
        <w:rPr>
          <w:spacing w:val="-3"/>
        </w:rPr>
        <w:t xml:space="preserve"> </w:t>
      </w:r>
      <w:r>
        <w:rPr>
          <w:spacing w:val="-2"/>
        </w:rPr>
        <w:t>Model</w:t>
      </w:r>
    </w:p>
    <w:p w:rsidR="00C31389" w:rsidRDefault="00C31389" w14:paraId="7AF24CBA" w14:textId="77777777">
      <w:pPr>
        <w:pStyle w:val="BodyText"/>
        <w:spacing w:before="7"/>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23"/>
        <w:gridCol w:w="1224"/>
        <w:gridCol w:w="1394"/>
        <w:gridCol w:w="1565"/>
      </w:tblGrid>
      <w:tr w:rsidR="00C31389" w14:paraId="3F135F9C" w14:textId="77777777">
        <w:trPr>
          <w:trHeight w:val="549"/>
        </w:trPr>
        <w:tc>
          <w:tcPr>
            <w:tcW w:w="1367" w:type="dxa"/>
            <w:shd w:val="clear" w:color="auto" w:fill="92D400"/>
          </w:tcPr>
          <w:p w:rsidR="00C31389" w:rsidRDefault="00561FBD" w14:paraId="3C766E83" w14:textId="77777777">
            <w:pPr>
              <w:pStyle w:val="TableParagraph"/>
              <w:spacing w:before="155"/>
              <w:ind w:left="129"/>
              <w:rPr>
                <w:b/>
                <w:sz w:val="20"/>
              </w:rPr>
            </w:pPr>
            <w:r>
              <w:rPr>
                <w:b/>
                <w:spacing w:val="-2"/>
                <w:sz w:val="20"/>
              </w:rPr>
              <w:t>Regulation</w:t>
            </w:r>
          </w:p>
        </w:tc>
        <w:tc>
          <w:tcPr>
            <w:tcW w:w="3823" w:type="dxa"/>
            <w:shd w:val="clear" w:color="auto" w:fill="92D400"/>
          </w:tcPr>
          <w:p w:rsidR="00C31389" w:rsidRDefault="00561FBD" w14:paraId="267A63A5"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224" w:type="dxa"/>
            <w:shd w:val="clear" w:color="auto" w:fill="92D400"/>
          </w:tcPr>
          <w:p w:rsidR="00C31389" w:rsidRDefault="00561FBD" w14:paraId="404D726E" w14:textId="77777777">
            <w:pPr>
              <w:pStyle w:val="TableParagraph"/>
              <w:ind w:left="254" w:hanging="238"/>
              <w:rPr>
                <w:b/>
                <w:sz w:val="20"/>
              </w:rPr>
            </w:pPr>
            <w:r>
              <w:rPr>
                <w:b/>
                <w:spacing w:val="-2"/>
                <w:sz w:val="20"/>
              </w:rPr>
              <w:t>Compliance Rate</w:t>
            </w:r>
            <w:hyperlink w:history="1" w:anchor="_bookmark462">
              <w:r>
                <w:rPr>
                  <w:b/>
                  <w:spacing w:val="-2"/>
                  <w:sz w:val="20"/>
                  <w:vertAlign w:val="superscript"/>
                </w:rPr>
                <w:t>182</w:t>
              </w:r>
            </w:hyperlink>
          </w:p>
        </w:tc>
        <w:tc>
          <w:tcPr>
            <w:tcW w:w="1394" w:type="dxa"/>
            <w:shd w:val="clear" w:color="auto" w:fill="92D400"/>
          </w:tcPr>
          <w:p w:rsidR="00C31389" w:rsidRDefault="00561FBD" w14:paraId="762BB65B" w14:textId="77777777">
            <w:pPr>
              <w:pStyle w:val="TableParagraph"/>
              <w:ind w:left="538" w:hanging="202"/>
              <w:rPr>
                <w:b/>
                <w:sz w:val="20"/>
              </w:rPr>
            </w:pPr>
            <w:r>
              <w:rPr>
                <w:b/>
                <w:spacing w:val="-2"/>
                <w:sz w:val="20"/>
              </w:rPr>
              <w:t xml:space="preserve">Effective </w:t>
            </w:r>
            <w:r>
              <w:rPr>
                <w:b/>
                <w:spacing w:val="-4"/>
                <w:sz w:val="20"/>
              </w:rPr>
              <w:t>Date</w:t>
            </w:r>
          </w:p>
        </w:tc>
        <w:tc>
          <w:tcPr>
            <w:tcW w:w="1565" w:type="dxa"/>
            <w:shd w:val="clear" w:color="auto" w:fill="92D400"/>
          </w:tcPr>
          <w:p w:rsidR="00C31389" w:rsidRDefault="00561FBD" w14:paraId="05FFBD72" w14:textId="77777777">
            <w:pPr>
              <w:pStyle w:val="TableParagraph"/>
              <w:spacing w:before="155"/>
              <w:ind w:left="187" w:right="150"/>
              <w:jc w:val="center"/>
              <w:rPr>
                <w:b/>
                <w:sz w:val="20"/>
              </w:rPr>
            </w:pPr>
            <w:r>
              <w:rPr>
                <w:b/>
                <w:sz w:val="20"/>
              </w:rPr>
              <w:t>Policy</w:t>
            </w:r>
            <w:r>
              <w:rPr>
                <w:b/>
                <w:spacing w:val="-5"/>
                <w:sz w:val="20"/>
              </w:rPr>
              <w:t xml:space="preserve"> </w:t>
            </w:r>
            <w:r>
              <w:rPr>
                <w:b/>
                <w:spacing w:val="-4"/>
                <w:sz w:val="20"/>
              </w:rPr>
              <w:t>View</w:t>
            </w:r>
          </w:p>
        </w:tc>
      </w:tr>
      <w:tr w:rsidR="00C31389" w14:paraId="2CEF41D3" w14:textId="77777777">
        <w:trPr>
          <w:trHeight w:val="541"/>
        </w:trPr>
        <w:tc>
          <w:tcPr>
            <w:tcW w:w="1367" w:type="dxa"/>
            <w:tcBorders>
              <w:bottom w:val="single" w:color="D9D9D9" w:sz="2" w:space="0"/>
            </w:tcBorders>
          </w:tcPr>
          <w:p w:rsidR="00C31389" w:rsidRDefault="00561FBD" w14:paraId="6547A90E"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bottom w:val="single" w:color="D9D9D9" w:sz="2" w:space="0"/>
            </w:tcBorders>
          </w:tcPr>
          <w:p w:rsidR="00C31389" w:rsidRDefault="00561FBD" w14:paraId="092D5F92" w14:textId="77777777">
            <w:pPr>
              <w:pStyle w:val="TableParagraph"/>
              <w:spacing w:before="41"/>
              <w:ind w:left="202" w:right="427"/>
              <w:rPr>
                <w:sz w:val="20"/>
              </w:rPr>
            </w:pPr>
            <w:r>
              <w:rPr>
                <w:sz w:val="20"/>
              </w:rPr>
              <w:t>2005</w:t>
            </w:r>
            <w:r>
              <w:rPr>
                <w:spacing w:val="-12"/>
                <w:sz w:val="20"/>
              </w:rPr>
              <w:t xml:space="preserve"> </w:t>
            </w:r>
            <w:r>
              <w:rPr>
                <w:sz w:val="20"/>
              </w:rPr>
              <w:t>T-20:</w:t>
            </w:r>
            <w:r>
              <w:rPr>
                <w:spacing w:val="-12"/>
                <w:sz w:val="20"/>
              </w:rPr>
              <w:t xml:space="preserve"> </w:t>
            </w:r>
            <w:r>
              <w:rPr>
                <w:sz w:val="20"/>
              </w:rPr>
              <w:t>Commercial</w:t>
            </w:r>
            <w:r>
              <w:rPr>
                <w:spacing w:val="-13"/>
                <w:sz w:val="20"/>
              </w:rPr>
              <w:t xml:space="preserve"> </w:t>
            </w:r>
            <w:r>
              <w:rPr>
                <w:sz w:val="20"/>
              </w:rPr>
              <w:t>Dishwasher Pre-Rinse Spray Valves</w:t>
            </w:r>
          </w:p>
        </w:tc>
        <w:tc>
          <w:tcPr>
            <w:tcW w:w="1224" w:type="dxa"/>
            <w:tcBorders>
              <w:bottom w:val="single" w:color="D9D9D9" w:sz="2" w:space="0"/>
            </w:tcBorders>
          </w:tcPr>
          <w:p w:rsidR="00C31389" w:rsidRDefault="00561FBD" w14:paraId="2CB82394" w14:textId="77777777">
            <w:pPr>
              <w:pStyle w:val="TableParagraph"/>
              <w:spacing w:before="155"/>
              <w:ind w:left="328"/>
              <w:rPr>
                <w:sz w:val="20"/>
              </w:rPr>
            </w:pPr>
            <w:r>
              <w:rPr>
                <w:spacing w:val="-4"/>
                <w:sz w:val="20"/>
              </w:rPr>
              <w:t>100%</w:t>
            </w:r>
          </w:p>
        </w:tc>
        <w:tc>
          <w:tcPr>
            <w:tcW w:w="1394" w:type="dxa"/>
            <w:tcBorders>
              <w:bottom w:val="single" w:color="D9D9D9" w:sz="2" w:space="0"/>
            </w:tcBorders>
          </w:tcPr>
          <w:p w:rsidR="00C31389" w:rsidRDefault="00561FBD" w14:paraId="2F39BFCE" w14:textId="77777777">
            <w:pPr>
              <w:pStyle w:val="TableParagraph"/>
              <w:spacing w:before="155"/>
              <w:ind w:right="245"/>
              <w:jc w:val="right"/>
              <w:rPr>
                <w:sz w:val="20"/>
              </w:rPr>
            </w:pPr>
            <w:r>
              <w:rPr>
                <w:spacing w:val="-2"/>
                <w:sz w:val="20"/>
              </w:rPr>
              <w:t>1/1/2006</w:t>
            </w:r>
          </w:p>
        </w:tc>
        <w:tc>
          <w:tcPr>
            <w:tcW w:w="1565" w:type="dxa"/>
            <w:tcBorders>
              <w:bottom w:val="single" w:color="D9D9D9" w:sz="2" w:space="0"/>
            </w:tcBorders>
          </w:tcPr>
          <w:p w:rsidR="00C31389" w:rsidRDefault="00561FBD" w14:paraId="55800FE9" w14:textId="77777777">
            <w:pPr>
              <w:pStyle w:val="TableParagraph"/>
              <w:spacing w:before="155"/>
              <w:ind w:left="187" w:right="150"/>
              <w:jc w:val="center"/>
              <w:rPr>
                <w:sz w:val="20"/>
              </w:rPr>
            </w:pPr>
            <w:r>
              <w:rPr>
                <w:spacing w:val="-2"/>
                <w:sz w:val="20"/>
              </w:rPr>
              <w:t>On-the-books</w:t>
            </w:r>
          </w:p>
        </w:tc>
      </w:tr>
      <w:tr w:rsidR="00C31389" w14:paraId="5A7562B5" w14:textId="77777777">
        <w:trPr>
          <w:trHeight w:val="539"/>
        </w:trPr>
        <w:tc>
          <w:tcPr>
            <w:tcW w:w="1367" w:type="dxa"/>
            <w:tcBorders>
              <w:top w:val="single" w:color="D9D9D9" w:sz="2" w:space="0"/>
              <w:bottom w:val="single" w:color="D9D9D9" w:sz="2" w:space="0"/>
            </w:tcBorders>
          </w:tcPr>
          <w:p w:rsidR="00C31389" w:rsidRDefault="00561FBD" w14:paraId="71BD0FDE" w14:textId="77777777">
            <w:pPr>
              <w:pStyle w:val="TableParagraph"/>
              <w:spacing w:before="154"/>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7D16BE24" w14:textId="77777777">
            <w:pPr>
              <w:pStyle w:val="TableParagraph"/>
              <w:ind w:left="202"/>
              <w:rPr>
                <w:sz w:val="20"/>
              </w:rPr>
            </w:pPr>
            <w:r>
              <w:rPr>
                <w:sz w:val="20"/>
              </w:rPr>
              <w:t>2005</w:t>
            </w:r>
            <w:r>
              <w:rPr>
                <w:spacing w:val="-12"/>
                <w:sz w:val="20"/>
              </w:rPr>
              <w:t xml:space="preserve"> </w:t>
            </w:r>
            <w:r>
              <w:rPr>
                <w:sz w:val="20"/>
              </w:rPr>
              <w:t>T-20:</w:t>
            </w:r>
            <w:r>
              <w:rPr>
                <w:spacing w:val="-12"/>
                <w:sz w:val="20"/>
              </w:rPr>
              <w:t xml:space="preserve"> </w:t>
            </w:r>
            <w:r>
              <w:rPr>
                <w:sz w:val="20"/>
              </w:rPr>
              <w:t>Commercial</w:t>
            </w:r>
            <w:r>
              <w:rPr>
                <w:spacing w:val="-13"/>
                <w:sz w:val="20"/>
              </w:rPr>
              <w:t xml:space="preserve"> </w:t>
            </w:r>
            <w:r>
              <w:rPr>
                <w:sz w:val="20"/>
              </w:rPr>
              <w:t>Refrigeration Equipment, Solid Door</w:t>
            </w:r>
          </w:p>
        </w:tc>
        <w:tc>
          <w:tcPr>
            <w:tcW w:w="1224" w:type="dxa"/>
            <w:tcBorders>
              <w:top w:val="single" w:color="D9D9D9" w:sz="2" w:space="0"/>
              <w:bottom w:val="single" w:color="D9D9D9" w:sz="2" w:space="0"/>
            </w:tcBorders>
          </w:tcPr>
          <w:p w:rsidR="00C31389" w:rsidRDefault="00561FBD" w14:paraId="6C896D14" w14:textId="77777777">
            <w:pPr>
              <w:pStyle w:val="TableParagraph"/>
              <w:spacing w:before="154"/>
              <w:ind w:left="383"/>
              <w:rPr>
                <w:sz w:val="20"/>
              </w:rPr>
            </w:pPr>
            <w:r>
              <w:rPr>
                <w:spacing w:val="-5"/>
                <w:sz w:val="20"/>
              </w:rPr>
              <w:t>70%</w:t>
            </w:r>
          </w:p>
        </w:tc>
        <w:tc>
          <w:tcPr>
            <w:tcW w:w="1394" w:type="dxa"/>
            <w:tcBorders>
              <w:top w:val="single" w:color="D9D9D9" w:sz="2" w:space="0"/>
              <w:bottom w:val="single" w:color="D9D9D9" w:sz="2" w:space="0"/>
            </w:tcBorders>
          </w:tcPr>
          <w:p w:rsidR="00C31389" w:rsidRDefault="00561FBD" w14:paraId="6F2A77CC" w14:textId="77777777">
            <w:pPr>
              <w:pStyle w:val="TableParagraph"/>
              <w:spacing w:before="154"/>
              <w:ind w:right="245"/>
              <w:jc w:val="right"/>
              <w:rPr>
                <w:sz w:val="20"/>
              </w:rPr>
            </w:pPr>
            <w:r>
              <w:rPr>
                <w:spacing w:val="-2"/>
                <w:sz w:val="20"/>
              </w:rPr>
              <w:t>1/1/2008</w:t>
            </w:r>
          </w:p>
        </w:tc>
        <w:tc>
          <w:tcPr>
            <w:tcW w:w="1565" w:type="dxa"/>
            <w:tcBorders>
              <w:top w:val="single" w:color="D9D9D9" w:sz="2" w:space="0"/>
              <w:bottom w:val="single" w:color="D9D9D9" w:sz="2" w:space="0"/>
            </w:tcBorders>
          </w:tcPr>
          <w:p w:rsidR="00C31389" w:rsidRDefault="00561FBD" w14:paraId="4B42BDBA" w14:textId="77777777">
            <w:pPr>
              <w:pStyle w:val="TableParagraph"/>
              <w:spacing w:before="154"/>
              <w:ind w:left="187" w:right="150"/>
              <w:jc w:val="center"/>
              <w:rPr>
                <w:sz w:val="20"/>
              </w:rPr>
            </w:pPr>
            <w:r>
              <w:rPr>
                <w:spacing w:val="-2"/>
                <w:sz w:val="20"/>
              </w:rPr>
              <w:t>On-the-books</w:t>
            </w:r>
          </w:p>
        </w:tc>
      </w:tr>
      <w:tr w:rsidR="00C31389" w14:paraId="1A1EF51F" w14:textId="77777777">
        <w:trPr>
          <w:trHeight w:val="539"/>
        </w:trPr>
        <w:tc>
          <w:tcPr>
            <w:tcW w:w="1367" w:type="dxa"/>
            <w:tcBorders>
              <w:top w:val="single" w:color="D9D9D9" w:sz="2" w:space="0"/>
              <w:bottom w:val="single" w:color="D9D9D9" w:sz="2" w:space="0"/>
            </w:tcBorders>
          </w:tcPr>
          <w:p w:rsidR="00C31389" w:rsidRDefault="00561FBD" w14:paraId="6458A74C"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3816FDE1" w14:textId="77777777">
            <w:pPr>
              <w:pStyle w:val="TableParagraph"/>
              <w:ind w:left="202" w:right="427"/>
              <w:rPr>
                <w:sz w:val="20"/>
              </w:rPr>
            </w:pPr>
            <w:r>
              <w:rPr>
                <w:sz w:val="20"/>
              </w:rPr>
              <w:t>2005</w:t>
            </w:r>
            <w:r>
              <w:rPr>
                <w:spacing w:val="-10"/>
                <w:sz w:val="20"/>
              </w:rPr>
              <w:t xml:space="preserve"> </w:t>
            </w:r>
            <w:r>
              <w:rPr>
                <w:sz w:val="20"/>
              </w:rPr>
              <w:t>T-20:</w:t>
            </w:r>
            <w:r>
              <w:rPr>
                <w:spacing w:val="-10"/>
                <w:sz w:val="20"/>
              </w:rPr>
              <w:t xml:space="preserve"> </w:t>
            </w:r>
            <w:r>
              <w:rPr>
                <w:sz w:val="20"/>
              </w:rPr>
              <w:t>Consumer</w:t>
            </w:r>
            <w:r>
              <w:rPr>
                <w:spacing w:val="-9"/>
                <w:sz w:val="20"/>
              </w:rPr>
              <w:t xml:space="preserve"> </w:t>
            </w:r>
            <w:r>
              <w:rPr>
                <w:sz w:val="20"/>
              </w:rPr>
              <w:t>Electronics</w:t>
            </w:r>
            <w:r>
              <w:rPr>
                <w:spacing w:val="-10"/>
                <w:sz w:val="20"/>
              </w:rPr>
              <w:t xml:space="preserve"> </w:t>
            </w:r>
            <w:r>
              <w:rPr>
                <w:sz w:val="20"/>
              </w:rPr>
              <w:t xml:space="preserve">- </w:t>
            </w:r>
            <w:r>
              <w:rPr>
                <w:spacing w:val="-4"/>
                <w:sz w:val="20"/>
              </w:rPr>
              <w:t>DVDs</w:t>
            </w:r>
          </w:p>
        </w:tc>
        <w:tc>
          <w:tcPr>
            <w:tcW w:w="1224" w:type="dxa"/>
            <w:tcBorders>
              <w:top w:val="single" w:color="D9D9D9" w:sz="2" w:space="0"/>
              <w:bottom w:val="single" w:color="D9D9D9" w:sz="2" w:space="0"/>
            </w:tcBorders>
          </w:tcPr>
          <w:p w:rsidR="00C31389" w:rsidRDefault="00561FBD" w14:paraId="65167076" w14:textId="77777777">
            <w:pPr>
              <w:pStyle w:val="TableParagraph"/>
              <w:spacing w:before="155"/>
              <w:ind w:left="384"/>
              <w:rPr>
                <w:sz w:val="20"/>
              </w:rPr>
            </w:pPr>
            <w:r>
              <w:rPr>
                <w:spacing w:val="-5"/>
                <w:sz w:val="20"/>
              </w:rPr>
              <w:t>31%</w:t>
            </w:r>
          </w:p>
        </w:tc>
        <w:tc>
          <w:tcPr>
            <w:tcW w:w="1394" w:type="dxa"/>
            <w:tcBorders>
              <w:top w:val="single" w:color="D9D9D9" w:sz="2" w:space="0"/>
              <w:bottom w:val="single" w:color="D9D9D9" w:sz="2" w:space="0"/>
            </w:tcBorders>
          </w:tcPr>
          <w:p w:rsidR="00C31389" w:rsidRDefault="00561FBD" w14:paraId="28E542E6"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7E4437D5" w14:textId="77777777">
            <w:pPr>
              <w:pStyle w:val="TableParagraph"/>
              <w:spacing w:before="155"/>
              <w:ind w:left="187" w:right="150"/>
              <w:jc w:val="center"/>
              <w:rPr>
                <w:sz w:val="20"/>
              </w:rPr>
            </w:pPr>
            <w:r>
              <w:rPr>
                <w:spacing w:val="-2"/>
                <w:sz w:val="20"/>
              </w:rPr>
              <w:t>On-the-books</w:t>
            </w:r>
          </w:p>
        </w:tc>
      </w:tr>
      <w:tr w:rsidR="00C31389" w14:paraId="69BF3D68" w14:textId="77777777">
        <w:trPr>
          <w:trHeight w:val="539"/>
        </w:trPr>
        <w:tc>
          <w:tcPr>
            <w:tcW w:w="1367" w:type="dxa"/>
            <w:tcBorders>
              <w:top w:val="single" w:color="D9D9D9" w:sz="2" w:space="0"/>
              <w:bottom w:val="single" w:color="D9D9D9" w:sz="2" w:space="0"/>
            </w:tcBorders>
          </w:tcPr>
          <w:p w:rsidR="00C31389" w:rsidRDefault="00561FBD" w14:paraId="30AE5ACA"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2BDDB786" w14:textId="77777777">
            <w:pPr>
              <w:pStyle w:val="TableParagraph"/>
              <w:ind w:left="202" w:right="427"/>
              <w:rPr>
                <w:sz w:val="20"/>
              </w:rPr>
            </w:pPr>
            <w:r>
              <w:rPr>
                <w:sz w:val="20"/>
              </w:rPr>
              <w:t>2005</w:t>
            </w:r>
            <w:r>
              <w:rPr>
                <w:spacing w:val="-10"/>
                <w:sz w:val="20"/>
              </w:rPr>
              <w:t xml:space="preserve"> </w:t>
            </w:r>
            <w:r>
              <w:rPr>
                <w:sz w:val="20"/>
              </w:rPr>
              <w:t>T-20:</w:t>
            </w:r>
            <w:r>
              <w:rPr>
                <w:spacing w:val="-10"/>
                <w:sz w:val="20"/>
              </w:rPr>
              <w:t xml:space="preserve"> </w:t>
            </w:r>
            <w:r>
              <w:rPr>
                <w:sz w:val="20"/>
              </w:rPr>
              <w:t>Consumer</w:t>
            </w:r>
            <w:r>
              <w:rPr>
                <w:spacing w:val="-9"/>
                <w:sz w:val="20"/>
              </w:rPr>
              <w:t xml:space="preserve"> </w:t>
            </w:r>
            <w:r>
              <w:rPr>
                <w:sz w:val="20"/>
              </w:rPr>
              <w:t>Electronics</w:t>
            </w:r>
            <w:r>
              <w:rPr>
                <w:spacing w:val="-10"/>
                <w:sz w:val="20"/>
              </w:rPr>
              <w:t xml:space="preserve"> </w:t>
            </w:r>
            <w:r>
              <w:rPr>
                <w:sz w:val="20"/>
              </w:rPr>
              <w:t xml:space="preserve">- </w:t>
            </w:r>
            <w:r>
              <w:rPr>
                <w:spacing w:val="-4"/>
                <w:sz w:val="20"/>
              </w:rPr>
              <w:t>TVs</w:t>
            </w:r>
          </w:p>
        </w:tc>
        <w:tc>
          <w:tcPr>
            <w:tcW w:w="1224" w:type="dxa"/>
            <w:tcBorders>
              <w:top w:val="single" w:color="D9D9D9" w:sz="2" w:space="0"/>
              <w:bottom w:val="single" w:color="D9D9D9" w:sz="2" w:space="0"/>
            </w:tcBorders>
          </w:tcPr>
          <w:p w:rsidR="00C31389" w:rsidRDefault="00561FBD" w14:paraId="73D655BC" w14:textId="77777777">
            <w:pPr>
              <w:pStyle w:val="TableParagraph"/>
              <w:spacing w:before="155"/>
              <w:ind w:left="383"/>
              <w:rPr>
                <w:sz w:val="20"/>
              </w:rPr>
            </w:pPr>
            <w:r>
              <w:rPr>
                <w:spacing w:val="-5"/>
                <w:sz w:val="20"/>
              </w:rPr>
              <w:t>96%</w:t>
            </w:r>
          </w:p>
        </w:tc>
        <w:tc>
          <w:tcPr>
            <w:tcW w:w="1394" w:type="dxa"/>
            <w:tcBorders>
              <w:top w:val="single" w:color="D9D9D9" w:sz="2" w:space="0"/>
              <w:bottom w:val="single" w:color="D9D9D9" w:sz="2" w:space="0"/>
            </w:tcBorders>
          </w:tcPr>
          <w:p w:rsidR="00C31389" w:rsidRDefault="00561FBD" w14:paraId="00A40722" w14:textId="77777777">
            <w:pPr>
              <w:pStyle w:val="TableParagraph"/>
              <w:spacing w:before="155"/>
              <w:ind w:right="245"/>
              <w:jc w:val="right"/>
              <w:rPr>
                <w:sz w:val="20"/>
              </w:rPr>
            </w:pPr>
            <w:r>
              <w:rPr>
                <w:spacing w:val="-2"/>
                <w:sz w:val="20"/>
              </w:rPr>
              <w:t>1/1/2007</w:t>
            </w:r>
          </w:p>
        </w:tc>
        <w:tc>
          <w:tcPr>
            <w:tcW w:w="1565" w:type="dxa"/>
            <w:tcBorders>
              <w:top w:val="single" w:color="D9D9D9" w:sz="2" w:space="0"/>
              <w:bottom w:val="single" w:color="D9D9D9" w:sz="2" w:space="0"/>
            </w:tcBorders>
          </w:tcPr>
          <w:p w:rsidR="00C31389" w:rsidRDefault="00561FBD" w14:paraId="2FB26451" w14:textId="77777777">
            <w:pPr>
              <w:pStyle w:val="TableParagraph"/>
              <w:spacing w:before="155"/>
              <w:ind w:left="187" w:right="150"/>
              <w:jc w:val="center"/>
              <w:rPr>
                <w:sz w:val="20"/>
              </w:rPr>
            </w:pPr>
            <w:r>
              <w:rPr>
                <w:spacing w:val="-2"/>
                <w:sz w:val="20"/>
              </w:rPr>
              <w:t>On-the-books</w:t>
            </w:r>
          </w:p>
        </w:tc>
      </w:tr>
      <w:tr w:rsidR="00C31389" w14:paraId="4C4A42AB" w14:textId="77777777">
        <w:trPr>
          <w:trHeight w:val="539"/>
        </w:trPr>
        <w:tc>
          <w:tcPr>
            <w:tcW w:w="1367" w:type="dxa"/>
            <w:tcBorders>
              <w:top w:val="single" w:color="D9D9D9" w:sz="2" w:space="0"/>
              <w:bottom w:val="single" w:color="D9D9D9" w:sz="2" w:space="0"/>
            </w:tcBorders>
          </w:tcPr>
          <w:p w:rsidR="00C31389" w:rsidRDefault="00561FBD" w14:paraId="68A3BD25"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6C9C2E6C" w14:textId="77777777">
            <w:pPr>
              <w:pStyle w:val="TableParagraph"/>
              <w:ind w:left="202" w:right="427"/>
              <w:rPr>
                <w:sz w:val="20"/>
              </w:rPr>
            </w:pPr>
            <w:r>
              <w:rPr>
                <w:sz w:val="20"/>
              </w:rPr>
              <w:t>2005</w:t>
            </w:r>
            <w:r>
              <w:rPr>
                <w:spacing w:val="-9"/>
                <w:sz w:val="20"/>
              </w:rPr>
              <w:t xml:space="preserve"> </w:t>
            </w:r>
            <w:r>
              <w:rPr>
                <w:sz w:val="20"/>
              </w:rPr>
              <w:t>T-20:</w:t>
            </w:r>
            <w:r>
              <w:rPr>
                <w:spacing w:val="-9"/>
                <w:sz w:val="20"/>
              </w:rPr>
              <w:t xml:space="preserve"> </w:t>
            </w:r>
            <w:r>
              <w:rPr>
                <w:sz w:val="20"/>
              </w:rPr>
              <w:t>General</w:t>
            </w:r>
            <w:r>
              <w:rPr>
                <w:spacing w:val="-9"/>
                <w:sz w:val="20"/>
              </w:rPr>
              <w:t xml:space="preserve"> </w:t>
            </w:r>
            <w:r>
              <w:rPr>
                <w:sz w:val="20"/>
              </w:rPr>
              <w:t>Service Incandescent</w:t>
            </w:r>
            <w:r>
              <w:rPr>
                <w:spacing w:val="-7"/>
                <w:sz w:val="20"/>
              </w:rPr>
              <w:t xml:space="preserve"> </w:t>
            </w:r>
            <w:r>
              <w:rPr>
                <w:sz w:val="20"/>
              </w:rPr>
              <w:t>Lamps,</w:t>
            </w:r>
            <w:r>
              <w:rPr>
                <w:spacing w:val="-4"/>
                <w:sz w:val="20"/>
              </w:rPr>
              <w:t xml:space="preserve"> </w:t>
            </w:r>
            <w:r>
              <w:rPr>
                <w:sz w:val="20"/>
              </w:rPr>
              <w:t>Tier</w:t>
            </w:r>
            <w:r>
              <w:rPr>
                <w:spacing w:val="-5"/>
                <w:sz w:val="20"/>
              </w:rPr>
              <w:t xml:space="preserve"> </w:t>
            </w:r>
            <w:r>
              <w:rPr>
                <w:spacing w:val="-10"/>
                <w:sz w:val="20"/>
              </w:rPr>
              <w:t>1</w:t>
            </w:r>
          </w:p>
        </w:tc>
        <w:tc>
          <w:tcPr>
            <w:tcW w:w="1224" w:type="dxa"/>
            <w:tcBorders>
              <w:top w:val="single" w:color="D9D9D9" w:sz="2" w:space="0"/>
              <w:bottom w:val="single" w:color="D9D9D9" w:sz="2" w:space="0"/>
            </w:tcBorders>
          </w:tcPr>
          <w:p w:rsidR="00C31389" w:rsidRDefault="00561FBD" w14:paraId="3EADDA59" w14:textId="77777777">
            <w:pPr>
              <w:pStyle w:val="TableParagraph"/>
              <w:spacing w:before="155"/>
              <w:ind w:left="383"/>
              <w:rPr>
                <w:sz w:val="20"/>
              </w:rPr>
            </w:pPr>
            <w:r>
              <w:rPr>
                <w:spacing w:val="-5"/>
                <w:sz w:val="20"/>
              </w:rPr>
              <w:t>69%</w:t>
            </w:r>
          </w:p>
        </w:tc>
        <w:tc>
          <w:tcPr>
            <w:tcW w:w="1394" w:type="dxa"/>
            <w:tcBorders>
              <w:top w:val="single" w:color="D9D9D9" w:sz="2" w:space="0"/>
              <w:bottom w:val="single" w:color="D9D9D9" w:sz="2" w:space="0"/>
            </w:tcBorders>
          </w:tcPr>
          <w:p w:rsidR="00C31389" w:rsidRDefault="00561FBD" w14:paraId="2E9E5E93" w14:textId="77777777">
            <w:pPr>
              <w:pStyle w:val="TableParagraph"/>
              <w:spacing w:before="155"/>
              <w:ind w:right="245"/>
              <w:jc w:val="right"/>
              <w:rPr>
                <w:sz w:val="20"/>
              </w:rPr>
            </w:pPr>
            <w:r>
              <w:rPr>
                <w:spacing w:val="-2"/>
                <w:sz w:val="20"/>
              </w:rPr>
              <w:t>1/1/2007</w:t>
            </w:r>
          </w:p>
        </w:tc>
        <w:tc>
          <w:tcPr>
            <w:tcW w:w="1565" w:type="dxa"/>
            <w:tcBorders>
              <w:top w:val="single" w:color="D9D9D9" w:sz="2" w:space="0"/>
              <w:bottom w:val="single" w:color="D9D9D9" w:sz="2" w:space="0"/>
            </w:tcBorders>
          </w:tcPr>
          <w:p w:rsidR="00C31389" w:rsidRDefault="00561FBD" w14:paraId="0C9F09DE" w14:textId="77777777">
            <w:pPr>
              <w:pStyle w:val="TableParagraph"/>
              <w:spacing w:before="155"/>
              <w:ind w:left="187" w:right="150"/>
              <w:jc w:val="center"/>
              <w:rPr>
                <w:sz w:val="20"/>
              </w:rPr>
            </w:pPr>
            <w:r>
              <w:rPr>
                <w:spacing w:val="-2"/>
                <w:sz w:val="20"/>
              </w:rPr>
              <w:t>On-the-books</w:t>
            </w:r>
          </w:p>
        </w:tc>
      </w:tr>
      <w:tr w:rsidR="00C31389" w14:paraId="465C8BCD" w14:textId="77777777">
        <w:trPr>
          <w:trHeight w:val="539"/>
        </w:trPr>
        <w:tc>
          <w:tcPr>
            <w:tcW w:w="1367" w:type="dxa"/>
            <w:tcBorders>
              <w:top w:val="single" w:color="D9D9D9" w:sz="2" w:space="0"/>
              <w:bottom w:val="single" w:color="D9D9D9" w:sz="2" w:space="0"/>
            </w:tcBorders>
          </w:tcPr>
          <w:p w:rsidR="00C31389" w:rsidRDefault="00561FBD" w14:paraId="57EC7CBA"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2679C6E9" w14:textId="77777777">
            <w:pPr>
              <w:pStyle w:val="TableParagraph"/>
              <w:ind w:left="202" w:right="427"/>
              <w:rPr>
                <w:sz w:val="20"/>
              </w:rPr>
            </w:pPr>
            <w:r>
              <w:rPr>
                <w:sz w:val="20"/>
              </w:rPr>
              <w:t>2005</w:t>
            </w:r>
            <w:r>
              <w:rPr>
                <w:spacing w:val="-10"/>
                <w:sz w:val="20"/>
              </w:rPr>
              <w:t xml:space="preserve"> </w:t>
            </w:r>
            <w:r>
              <w:rPr>
                <w:sz w:val="20"/>
              </w:rPr>
              <w:t>T-20:</w:t>
            </w:r>
            <w:r>
              <w:rPr>
                <w:spacing w:val="-10"/>
                <w:sz w:val="20"/>
              </w:rPr>
              <w:t xml:space="preserve"> </w:t>
            </w:r>
            <w:r>
              <w:rPr>
                <w:sz w:val="20"/>
              </w:rPr>
              <w:t>Hot</w:t>
            </w:r>
            <w:r>
              <w:rPr>
                <w:spacing w:val="-10"/>
                <w:sz w:val="20"/>
              </w:rPr>
              <w:t xml:space="preserve"> </w:t>
            </w:r>
            <w:r>
              <w:rPr>
                <w:sz w:val="20"/>
              </w:rPr>
              <w:t>Food</w:t>
            </w:r>
            <w:r>
              <w:rPr>
                <w:spacing w:val="-10"/>
                <w:sz w:val="20"/>
              </w:rPr>
              <w:t xml:space="preserve"> </w:t>
            </w:r>
            <w:r>
              <w:rPr>
                <w:sz w:val="20"/>
              </w:rPr>
              <w:t xml:space="preserve">Holding </w:t>
            </w:r>
            <w:r>
              <w:rPr>
                <w:spacing w:val="-2"/>
                <w:sz w:val="20"/>
              </w:rPr>
              <w:t>Cabinets</w:t>
            </w:r>
          </w:p>
        </w:tc>
        <w:tc>
          <w:tcPr>
            <w:tcW w:w="1224" w:type="dxa"/>
            <w:tcBorders>
              <w:top w:val="single" w:color="D9D9D9" w:sz="2" w:space="0"/>
              <w:bottom w:val="single" w:color="D9D9D9" w:sz="2" w:space="0"/>
            </w:tcBorders>
          </w:tcPr>
          <w:p w:rsidR="00C31389" w:rsidRDefault="00561FBD" w14:paraId="28D09C3B" w14:textId="77777777">
            <w:pPr>
              <w:pStyle w:val="TableParagraph"/>
              <w:spacing w:before="155"/>
              <w:ind w:left="383"/>
              <w:rPr>
                <w:sz w:val="20"/>
              </w:rPr>
            </w:pPr>
            <w:r>
              <w:rPr>
                <w:spacing w:val="-5"/>
                <w:sz w:val="20"/>
              </w:rPr>
              <w:t>70%</w:t>
            </w:r>
          </w:p>
        </w:tc>
        <w:tc>
          <w:tcPr>
            <w:tcW w:w="1394" w:type="dxa"/>
            <w:tcBorders>
              <w:top w:val="single" w:color="D9D9D9" w:sz="2" w:space="0"/>
              <w:bottom w:val="single" w:color="D9D9D9" w:sz="2" w:space="0"/>
            </w:tcBorders>
          </w:tcPr>
          <w:p w:rsidR="00C31389" w:rsidRDefault="00561FBD" w14:paraId="66065720"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1C4962B5" w14:textId="77777777">
            <w:pPr>
              <w:pStyle w:val="TableParagraph"/>
              <w:spacing w:before="155"/>
              <w:ind w:left="187" w:right="150"/>
              <w:jc w:val="center"/>
              <w:rPr>
                <w:sz w:val="20"/>
              </w:rPr>
            </w:pPr>
            <w:r>
              <w:rPr>
                <w:spacing w:val="-2"/>
                <w:sz w:val="20"/>
              </w:rPr>
              <w:t>On-the-books</w:t>
            </w:r>
          </w:p>
        </w:tc>
      </w:tr>
      <w:tr w:rsidR="00C31389" w14:paraId="1055C1E6" w14:textId="77777777">
        <w:trPr>
          <w:trHeight w:val="310"/>
        </w:trPr>
        <w:tc>
          <w:tcPr>
            <w:tcW w:w="1367" w:type="dxa"/>
            <w:tcBorders>
              <w:top w:val="single" w:color="D9D9D9" w:sz="2" w:space="0"/>
              <w:bottom w:val="single" w:color="D9D9D9" w:sz="2" w:space="0"/>
            </w:tcBorders>
          </w:tcPr>
          <w:p w:rsidR="00C31389" w:rsidRDefault="00561FBD" w14:paraId="676C0D57" w14:textId="77777777">
            <w:pPr>
              <w:pStyle w:val="TableParagraph"/>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3748A297" w14:textId="77777777">
            <w:pPr>
              <w:pStyle w:val="TableParagraph"/>
              <w:ind w:left="202"/>
              <w:rPr>
                <w:sz w:val="20"/>
              </w:rPr>
            </w:pPr>
            <w:r>
              <w:rPr>
                <w:sz w:val="20"/>
              </w:rPr>
              <w:t>2005</w:t>
            </w:r>
            <w:r>
              <w:rPr>
                <w:spacing w:val="-4"/>
                <w:sz w:val="20"/>
              </w:rPr>
              <w:t xml:space="preserve"> </w:t>
            </w:r>
            <w:r>
              <w:rPr>
                <w:sz w:val="20"/>
              </w:rPr>
              <w:t>T-20:</w:t>
            </w:r>
            <w:r>
              <w:rPr>
                <w:spacing w:val="-4"/>
                <w:sz w:val="20"/>
              </w:rPr>
              <w:t xml:space="preserve"> </w:t>
            </w:r>
            <w:r>
              <w:rPr>
                <w:sz w:val="20"/>
              </w:rPr>
              <w:t>Portable</w:t>
            </w:r>
            <w:r>
              <w:rPr>
                <w:spacing w:val="-4"/>
                <w:sz w:val="20"/>
              </w:rPr>
              <w:t xml:space="preserve"> </w:t>
            </w:r>
            <w:r>
              <w:rPr>
                <w:sz w:val="20"/>
              </w:rPr>
              <w:t>Electric</w:t>
            </w:r>
            <w:r>
              <w:rPr>
                <w:spacing w:val="-3"/>
                <w:sz w:val="20"/>
              </w:rPr>
              <w:t xml:space="preserve"> </w:t>
            </w:r>
            <w:r>
              <w:rPr>
                <w:spacing w:val="-4"/>
                <w:sz w:val="20"/>
              </w:rPr>
              <w:t>Spas</w:t>
            </w:r>
          </w:p>
        </w:tc>
        <w:tc>
          <w:tcPr>
            <w:tcW w:w="1224" w:type="dxa"/>
            <w:tcBorders>
              <w:top w:val="single" w:color="D9D9D9" w:sz="2" w:space="0"/>
              <w:bottom w:val="single" w:color="D9D9D9" w:sz="2" w:space="0"/>
            </w:tcBorders>
          </w:tcPr>
          <w:p w:rsidR="00C31389" w:rsidRDefault="00561FBD" w14:paraId="7892487A" w14:textId="77777777">
            <w:pPr>
              <w:pStyle w:val="TableParagraph"/>
              <w:ind w:left="383"/>
              <w:rPr>
                <w:sz w:val="20"/>
              </w:rPr>
            </w:pPr>
            <w:r>
              <w:rPr>
                <w:spacing w:val="-5"/>
                <w:sz w:val="20"/>
              </w:rPr>
              <w:t>70%</w:t>
            </w:r>
          </w:p>
        </w:tc>
        <w:tc>
          <w:tcPr>
            <w:tcW w:w="1394" w:type="dxa"/>
            <w:tcBorders>
              <w:top w:val="single" w:color="D9D9D9" w:sz="2" w:space="0"/>
              <w:bottom w:val="single" w:color="D9D9D9" w:sz="2" w:space="0"/>
            </w:tcBorders>
          </w:tcPr>
          <w:p w:rsidR="00C31389" w:rsidRDefault="00561FBD" w14:paraId="1EF3776B" w14:textId="77777777">
            <w:pPr>
              <w:pStyle w:val="TableParagraph"/>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7D390A86" w14:textId="77777777">
            <w:pPr>
              <w:pStyle w:val="TableParagraph"/>
              <w:ind w:left="187" w:right="150"/>
              <w:jc w:val="center"/>
              <w:rPr>
                <w:sz w:val="20"/>
              </w:rPr>
            </w:pPr>
            <w:r>
              <w:rPr>
                <w:spacing w:val="-2"/>
                <w:sz w:val="20"/>
              </w:rPr>
              <w:t>On-the-books</w:t>
            </w:r>
          </w:p>
        </w:tc>
      </w:tr>
      <w:tr w:rsidR="00C31389" w14:paraId="5AC78862" w14:textId="77777777">
        <w:trPr>
          <w:trHeight w:val="769"/>
        </w:trPr>
        <w:tc>
          <w:tcPr>
            <w:tcW w:w="1367" w:type="dxa"/>
            <w:tcBorders>
              <w:top w:val="single" w:color="D9D9D9" w:sz="2" w:space="0"/>
              <w:bottom w:val="single" w:color="D9D9D9" w:sz="2" w:space="0"/>
            </w:tcBorders>
          </w:tcPr>
          <w:p w:rsidR="00C31389" w:rsidRDefault="00C31389" w14:paraId="44FC5AEA" w14:textId="77777777">
            <w:pPr>
              <w:pStyle w:val="TableParagraph"/>
              <w:spacing w:before="5"/>
              <w:rPr>
                <w:b/>
                <w:sz w:val="23"/>
              </w:rPr>
            </w:pPr>
          </w:p>
          <w:p w:rsidR="00C31389" w:rsidRDefault="00561FBD" w14:paraId="20388BFE" w14:textId="77777777">
            <w:pPr>
              <w:pStyle w:val="TableParagraph"/>
              <w:spacing w:before="0"/>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345F3F9A" w14:textId="77777777">
            <w:pPr>
              <w:pStyle w:val="TableParagraph"/>
              <w:ind w:left="202" w:right="427"/>
              <w:rPr>
                <w:sz w:val="20"/>
              </w:rPr>
            </w:pPr>
            <w:r>
              <w:rPr>
                <w:sz w:val="20"/>
              </w:rPr>
              <w:t>2005</w:t>
            </w:r>
            <w:r>
              <w:rPr>
                <w:spacing w:val="-7"/>
                <w:sz w:val="20"/>
              </w:rPr>
              <w:t xml:space="preserve"> </w:t>
            </w:r>
            <w:r>
              <w:rPr>
                <w:sz w:val="20"/>
              </w:rPr>
              <w:t>T-20:</w:t>
            </w:r>
            <w:r>
              <w:rPr>
                <w:spacing w:val="-7"/>
                <w:sz w:val="20"/>
              </w:rPr>
              <w:t xml:space="preserve"> </w:t>
            </w:r>
            <w:r>
              <w:rPr>
                <w:sz w:val="20"/>
              </w:rPr>
              <w:t>Pulse</w:t>
            </w:r>
            <w:r>
              <w:rPr>
                <w:spacing w:val="-7"/>
                <w:sz w:val="20"/>
              </w:rPr>
              <w:t xml:space="preserve"> </w:t>
            </w:r>
            <w:r>
              <w:rPr>
                <w:sz w:val="20"/>
              </w:rPr>
              <w:t>Start</w:t>
            </w:r>
            <w:r>
              <w:rPr>
                <w:spacing w:val="-7"/>
                <w:sz w:val="20"/>
              </w:rPr>
              <w:t xml:space="preserve"> </w:t>
            </w:r>
            <w:r>
              <w:rPr>
                <w:sz w:val="20"/>
              </w:rPr>
              <w:t>Metal</w:t>
            </w:r>
            <w:r>
              <w:rPr>
                <w:spacing w:val="-7"/>
                <w:sz w:val="20"/>
              </w:rPr>
              <w:t xml:space="preserve"> </w:t>
            </w:r>
            <w:r>
              <w:rPr>
                <w:sz w:val="20"/>
              </w:rPr>
              <w:t xml:space="preserve">Halide HID Luminaires, Tier 1(Vertical </w:t>
            </w:r>
            <w:r>
              <w:rPr>
                <w:spacing w:val="-2"/>
                <w:sz w:val="20"/>
              </w:rPr>
              <w:t>Lamps)</w:t>
            </w:r>
          </w:p>
        </w:tc>
        <w:tc>
          <w:tcPr>
            <w:tcW w:w="1224" w:type="dxa"/>
            <w:tcBorders>
              <w:top w:val="single" w:color="D9D9D9" w:sz="2" w:space="0"/>
              <w:bottom w:val="single" w:color="D9D9D9" w:sz="2" w:space="0"/>
            </w:tcBorders>
          </w:tcPr>
          <w:p w:rsidR="00C31389" w:rsidRDefault="00C31389" w14:paraId="4517D6DB" w14:textId="77777777">
            <w:pPr>
              <w:pStyle w:val="TableParagraph"/>
              <w:spacing w:before="5"/>
              <w:rPr>
                <w:b/>
                <w:sz w:val="23"/>
              </w:rPr>
            </w:pPr>
          </w:p>
          <w:p w:rsidR="00C31389" w:rsidRDefault="00561FBD" w14:paraId="3E9A5637" w14:textId="77777777">
            <w:pPr>
              <w:pStyle w:val="TableParagraph"/>
              <w:spacing w:before="0"/>
              <w:ind w:left="328"/>
              <w:rPr>
                <w:sz w:val="20"/>
              </w:rPr>
            </w:pPr>
            <w:r>
              <w:rPr>
                <w:spacing w:val="-4"/>
                <w:sz w:val="20"/>
              </w:rPr>
              <w:t>100%</w:t>
            </w:r>
          </w:p>
        </w:tc>
        <w:tc>
          <w:tcPr>
            <w:tcW w:w="1394" w:type="dxa"/>
            <w:tcBorders>
              <w:top w:val="single" w:color="D9D9D9" w:sz="2" w:space="0"/>
              <w:bottom w:val="single" w:color="D9D9D9" w:sz="2" w:space="0"/>
            </w:tcBorders>
          </w:tcPr>
          <w:p w:rsidR="00C31389" w:rsidRDefault="00C31389" w14:paraId="41EA60D6" w14:textId="77777777">
            <w:pPr>
              <w:pStyle w:val="TableParagraph"/>
              <w:spacing w:before="5"/>
              <w:rPr>
                <w:b/>
                <w:sz w:val="23"/>
              </w:rPr>
            </w:pPr>
          </w:p>
          <w:p w:rsidR="00C31389" w:rsidRDefault="00561FBD" w14:paraId="5791B7F3" w14:textId="77777777">
            <w:pPr>
              <w:pStyle w:val="TableParagraph"/>
              <w:spacing w:before="0"/>
              <w:ind w:right="245"/>
              <w:jc w:val="right"/>
              <w:rPr>
                <w:sz w:val="20"/>
              </w:rPr>
            </w:pPr>
            <w:r>
              <w:rPr>
                <w:spacing w:val="-2"/>
                <w:sz w:val="20"/>
              </w:rPr>
              <w:t>1/1/2007</w:t>
            </w:r>
          </w:p>
        </w:tc>
        <w:tc>
          <w:tcPr>
            <w:tcW w:w="1565" w:type="dxa"/>
            <w:tcBorders>
              <w:top w:val="single" w:color="D9D9D9" w:sz="2" w:space="0"/>
              <w:bottom w:val="single" w:color="D9D9D9" w:sz="2" w:space="0"/>
            </w:tcBorders>
          </w:tcPr>
          <w:p w:rsidR="00C31389" w:rsidRDefault="00C31389" w14:paraId="0C4AC6B0" w14:textId="77777777">
            <w:pPr>
              <w:pStyle w:val="TableParagraph"/>
              <w:spacing w:before="5"/>
              <w:rPr>
                <w:b/>
                <w:sz w:val="23"/>
              </w:rPr>
            </w:pPr>
          </w:p>
          <w:p w:rsidR="00C31389" w:rsidRDefault="00561FBD" w14:paraId="2BB50683" w14:textId="77777777">
            <w:pPr>
              <w:pStyle w:val="TableParagraph"/>
              <w:spacing w:before="0"/>
              <w:ind w:left="187" w:right="150"/>
              <w:jc w:val="center"/>
              <w:rPr>
                <w:sz w:val="20"/>
              </w:rPr>
            </w:pPr>
            <w:r>
              <w:rPr>
                <w:spacing w:val="-2"/>
                <w:sz w:val="20"/>
              </w:rPr>
              <w:t>On-the-books</w:t>
            </w:r>
          </w:p>
        </w:tc>
      </w:tr>
      <w:tr w:rsidR="00C31389" w14:paraId="6A62EFDF" w14:textId="77777777">
        <w:trPr>
          <w:trHeight w:val="540"/>
        </w:trPr>
        <w:tc>
          <w:tcPr>
            <w:tcW w:w="1367" w:type="dxa"/>
            <w:tcBorders>
              <w:top w:val="single" w:color="D9D9D9" w:sz="2" w:space="0"/>
              <w:bottom w:val="single" w:color="D9D9D9" w:sz="2" w:space="0"/>
            </w:tcBorders>
          </w:tcPr>
          <w:p w:rsidR="00C31389" w:rsidRDefault="00561FBD" w14:paraId="33C80BAB"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1C746076" w14:textId="77777777">
            <w:pPr>
              <w:pStyle w:val="TableParagraph"/>
              <w:spacing w:before="41"/>
              <w:ind w:left="202"/>
              <w:rPr>
                <w:sz w:val="20"/>
              </w:rPr>
            </w:pPr>
            <w:r>
              <w:rPr>
                <w:sz w:val="20"/>
              </w:rPr>
              <w:t>2005</w:t>
            </w:r>
            <w:r>
              <w:rPr>
                <w:spacing w:val="-13"/>
                <w:sz w:val="20"/>
              </w:rPr>
              <w:t xml:space="preserve"> </w:t>
            </w:r>
            <w:r>
              <w:rPr>
                <w:sz w:val="20"/>
              </w:rPr>
              <w:t>T-20:</w:t>
            </w:r>
            <w:r>
              <w:rPr>
                <w:spacing w:val="-13"/>
                <w:sz w:val="20"/>
              </w:rPr>
              <w:t xml:space="preserve"> </w:t>
            </w:r>
            <w:r>
              <w:rPr>
                <w:sz w:val="20"/>
              </w:rPr>
              <w:t>Refrigerated</w:t>
            </w:r>
            <w:r>
              <w:rPr>
                <w:spacing w:val="-13"/>
                <w:sz w:val="20"/>
              </w:rPr>
              <w:t xml:space="preserve"> </w:t>
            </w:r>
            <w:r>
              <w:rPr>
                <w:sz w:val="20"/>
              </w:rPr>
              <w:t>Beverage Vending Machines</w:t>
            </w:r>
          </w:p>
        </w:tc>
        <w:tc>
          <w:tcPr>
            <w:tcW w:w="1224" w:type="dxa"/>
            <w:tcBorders>
              <w:top w:val="single" w:color="D9D9D9" w:sz="2" w:space="0"/>
              <w:bottom w:val="single" w:color="D9D9D9" w:sz="2" w:space="0"/>
            </w:tcBorders>
          </w:tcPr>
          <w:p w:rsidR="00C31389" w:rsidRDefault="00561FBD" w14:paraId="37A55154" w14:textId="77777777">
            <w:pPr>
              <w:pStyle w:val="TableParagraph"/>
              <w:spacing w:before="155"/>
              <w:ind w:left="383"/>
              <w:rPr>
                <w:sz w:val="20"/>
              </w:rPr>
            </w:pPr>
            <w:r>
              <w:rPr>
                <w:spacing w:val="-5"/>
                <w:sz w:val="20"/>
              </w:rPr>
              <w:t>37%</w:t>
            </w:r>
          </w:p>
        </w:tc>
        <w:tc>
          <w:tcPr>
            <w:tcW w:w="1394" w:type="dxa"/>
            <w:tcBorders>
              <w:top w:val="single" w:color="D9D9D9" w:sz="2" w:space="0"/>
              <w:bottom w:val="single" w:color="D9D9D9" w:sz="2" w:space="0"/>
            </w:tcBorders>
          </w:tcPr>
          <w:p w:rsidR="00C31389" w:rsidRDefault="00561FBD" w14:paraId="5C2DE1C6" w14:textId="77777777">
            <w:pPr>
              <w:pStyle w:val="TableParagraph"/>
              <w:spacing w:before="155"/>
              <w:ind w:right="245"/>
              <w:jc w:val="right"/>
              <w:rPr>
                <w:sz w:val="20"/>
              </w:rPr>
            </w:pPr>
            <w:r>
              <w:rPr>
                <w:spacing w:val="-2"/>
                <w:sz w:val="20"/>
              </w:rPr>
              <w:t>7/1/2008</w:t>
            </w:r>
          </w:p>
        </w:tc>
        <w:tc>
          <w:tcPr>
            <w:tcW w:w="1565" w:type="dxa"/>
            <w:tcBorders>
              <w:top w:val="single" w:color="D9D9D9" w:sz="2" w:space="0"/>
              <w:bottom w:val="single" w:color="D9D9D9" w:sz="2" w:space="0"/>
            </w:tcBorders>
          </w:tcPr>
          <w:p w:rsidR="00C31389" w:rsidRDefault="00561FBD" w14:paraId="673B5619" w14:textId="77777777">
            <w:pPr>
              <w:pStyle w:val="TableParagraph"/>
              <w:spacing w:before="155"/>
              <w:ind w:left="187" w:right="150"/>
              <w:jc w:val="center"/>
              <w:rPr>
                <w:sz w:val="20"/>
              </w:rPr>
            </w:pPr>
            <w:r>
              <w:rPr>
                <w:spacing w:val="-2"/>
                <w:sz w:val="20"/>
              </w:rPr>
              <w:t>On-the-books</w:t>
            </w:r>
          </w:p>
        </w:tc>
      </w:tr>
      <w:tr w:rsidR="00C31389" w14:paraId="374C5922" w14:textId="77777777">
        <w:trPr>
          <w:trHeight w:val="539"/>
        </w:trPr>
        <w:tc>
          <w:tcPr>
            <w:tcW w:w="1367" w:type="dxa"/>
            <w:tcBorders>
              <w:top w:val="single" w:color="D9D9D9" w:sz="2" w:space="0"/>
              <w:bottom w:val="single" w:color="D9D9D9" w:sz="2" w:space="0"/>
            </w:tcBorders>
          </w:tcPr>
          <w:p w:rsidR="00C31389" w:rsidRDefault="00561FBD" w14:paraId="70992257"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3DC745C3" w14:textId="77777777">
            <w:pPr>
              <w:pStyle w:val="TableParagraph"/>
              <w:ind w:left="202" w:right="76"/>
              <w:rPr>
                <w:sz w:val="20"/>
              </w:rPr>
            </w:pPr>
            <w:r>
              <w:rPr>
                <w:sz w:val="20"/>
              </w:rPr>
              <w:t>2005</w:t>
            </w:r>
            <w:r>
              <w:rPr>
                <w:spacing w:val="-9"/>
                <w:sz w:val="20"/>
              </w:rPr>
              <w:t xml:space="preserve"> </w:t>
            </w:r>
            <w:r>
              <w:rPr>
                <w:sz w:val="20"/>
              </w:rPr>
              <w:t>T-20:</w:t>
            </w:r>
            <w:r>
              <w:rPr>
                <w:spacing w:val="-9"/>
                <w:sz w:val="20"/>
              </w:rPr>
              <w:t xml:space="preserve"> </w:t>
            </w:r>
            <w:r>
              <w:rPr>
                <w:sz w:val="20"/>
              </w:rPr>
              <w:t>Residential</w:t>
            </w:r>
            <w:r>
              <w:rPr>
                <w:spacing w:val="-9"/>
                <w:sz w:val="20"/>
              </w:rPr>
              <w:t xml:space="preserve"> </w:t>
            </w:r>
            <w:r>
              <w:rPr>
                <w:sz w:val="20"/>
              </w:rPr>
              <w:t>Pool</w:t>
            </w:r>
            <w:r>
              <w:rPr>
                <w:spacing w:val="-9"/>
                <w:sz w:val="20"/>
              </w:rPr>
              <w:t xml:space="preserve"> </w:t>
            </w:r>
            <w:r>
              <w:rPr>
                <w:sz w:val="20"/>
              </w:rPr>
              <w:t>Pumps, High Eff Motor, Tier 1</w:t>
            </w:r>
          </w:p>
        </w:tc>
        <w:tc>
          <w:tcPr>
            <w:tcW w:w="1224" w:type="dxa"/>
            <w:tcBorders>
              <w:top w:val="single" w:color="D9D9D9" w:sz="2" w:space="0"/>
              <w:bottom w:val="single" w:color="D9D9D9" w:sz="2" w:space="0"/>
            </w:tcBorders>
          </w:tcPr>
          <w:p w:rsidR="00C31389" w:rsidRDefault="00561FBD" w14:paraId="20CC21E2" w14:textId="77777777">
            <w:pPr>
              <w:pStyle w:val="TableParagraph"/>
              <w:spacing w:before="155"/>
              <w:ind w:left="328"/>
              <w:rPr>
                <w:sz w:val="20"/>
              </w:rPr>
            </w:pPr>
            <w:r>
              <w:rPr>
                <w:spacing w:val="-4"/>
                <w:sz w:val="20"/>
              </w:rPr>
              <w:t>100%</w:t>
            </w:r>
          </w:p>
        </w:tc>
        <w:tc>
          <w:tcPr>
            <w:tcW w:w="1394" w:type="dxa"/>
            <w:tcBorders>
              <w:top w:val="single" w:color="D9D9D9" w:sz="2" w:space="0"/>
              <w:bottom w:val="single" w:color="D9D9D9" w:sz="2" w:space="0"/>
            </w:tcBorders>
          </w:tcPr>
          <w:p w:rsidR="00C31389" w:rsidRDefault="00561FBD" w14:paraId="523C9EFC"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7AAC191D" w14:textId="77777777">
            <w:pPr>
              <w:pStyle w:val="TableParagraph"/>
              <w:spacing w:before="155"/>
              <w:ind w:left="187" w:right="150"/>
              <w:jc w:val="center"/>
              <w:rPr>
                <w:sz w:val="20"/>
              </w:rPr>
            </w:pPr>
            <w:r>
              <w:rPr>
                <w:spacing w:val="-2"/>
                <w:sz w:val="20"/>
              </w:rPr>
              <w:t>On-the-books</w:t>
            </w:r>
          </w:p>
        </w:tc>
      </w:tr>
      <w:tr w:rsidR="00C31389" w14:paraId="1359E53B" w14:textId="77777777">
        <w:trPr>
          <w:trHeight w:val="539"/>
        </w:trPr>
        <w:tc>
          <w:tcPr>
            <w:tcW w:w="1367" w:type="dxa"/>
            <w:tcBorders>
              <w:top w:val="single" w:color="D9D9D9" w:sz="2" w:space="0"/>
              <w:bottom w:val="single" w:color="D9D9D9" w:sz="2" w:space="0"/>
            </w:tcBorders>
          </w:tcPr>
          <w:p w:rsidR="00C31389" w:rsidRDefault="00561FBD" w14:paraId="070440E7"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493A7F56" w14:textId="77777777">
            <w:pPr>
              <w:pStyle w:val="TableParagraph"/>
              <w:ind w:left="202"/>
              <w:rPr>
                <w:sz w:val="20"/>
              </w:rPr>
            </w:pPr>
            <w:r>
              <w:rPr>
                <w:sz w:val="20"/>
              </w:rPr>
              <w:t>2005</w:t>
            </w:r>
            <w:r>
              <w:rPr>
                <w:spacing w:val="-8"/>
                <w:sz w:val="20"/>
              </w:rPr>
              <w:t xml:space="preserve"> </w:t>
            </w:r>
            <w:r>
              <w:rPr>
                <w:sz w:val="20"/>
              </w:rPr>
              <w:t>T-20:</w:t>
            </w:r>
            <w:r>
              <w:rPr>
                <w:spacing w:val="-8"/>
                <w:sz w:val="20"/>
              </w:rPr>
              <w:t xml:space="preserve"> </w:t>
            </w:r>
            <w:r>
              <w:rPr>
                <w:sz w:val="20"/>
              </w:rPr>
              <w:t>Unit</w:t>
            </w:r>
            <w:r>
              <w:rPr>
                <w:spacing w:val="-8"/>
                <w:sz w:val="20"/>
              </w:rPr>
              <w:t xml:space="preserve"> </w:t>
            </w:r>
            <w:r>
              <w:rPr>
                <w:sz w:val="20"/>
              </w:rPr>
              <w:t>Heaters</w:t>
            </w:r>
            <w:r>
              <w:rPr>
                <w:spacing w:val="-7"/>
                <w:sz w:val="20"/>
              </w:rPr>
              <w:t xml:space="preserve"> </w:t>
            </w:r>
            <w:r>
              <w:rPr>
                <w:sz w:val="20"/>
              </w:rPr>
              <w:t>and</w:t>
            </w:r>
            <w:r>
              <w:rPr>
                <w:spacing w:val="-8"/>
                <w:sz w:val="20"/>
              </w:rPr>
              <w:t xml:space="preserve"> </w:t>
            </w:r>
            <w:r>
              <w:rPr>
                <w:sz w:val="20"/>
              </w:rPr>
              <w:t xml:space="preserve">Duct </w:t>
            </w:r>
            <w:r>
              <w:rPr>
                <w:spacing w:val="-2"/>
                <w:sz w:val="20"/>
              </w:rPr>
              <w:t>Furnaces</w:t>
            </w:r>
          </w:p>
        </w:tc>
        <w:tc>
          <w:tcPr>
            <w:tcW w:w="1224" w:type="dxa"/>
            <w:tcBorders>
              <w:top w:val="single" w:color="D9D9D9" w:sz="2" w:space="0"/>
              <w:bottom w:val="single" w:color="D9D9D9" w:sz="2" w:space="0"/>
            </w:tcBorders>
          </w:tcPr>
          <w:p w:rsidR="00C31389" w:rsidRDefault="00561FBD" w14:paraId="6433E087" w14:textId="77777777">
            <w:pPr>
              <w:pStyle w:val="TableParagraph"/>
              <w:spacing w:before="155"/>
              <w:ind w:left="328"/>
              <w:rPr>
                <w:sz w:val="20"/>
              </w:rPr>
            </w:pPr>
            <w:r>
              <w:rPr>
                <w:spacing w:val="-4"/>
                <w:sz w:val="20"/>
              </w:rPr>
              <w:t>100%</w:t>
            </w:r>
          </w:p>
        </w:tc>
        <w:tc>
          <w:tcPr>
            <w:tcW w:w="1394" w:type="dxa"/>
            <w:tcBorders>
              <w:top w:val="single" w:color="D9D9D9" w:sz="2" w:space="0"/>
              <w:bottom w:val="single" w:color="D9D9D9" w:sz="2" w:space="0"/>
            </w:tcBorders>
          </w:tcPr>
          <w:p w:rsidR="00C31389" w:rsidRDefault="00561FBD" w14:paraId="35399687"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7D5079B4" w14:textId="77777777">
            <w:pPr>
              <w:pStyle w:val="TableParagraph"/>
              <w:spacing w:before="155"/>
              <w:ind w:left="187" w:right="150"/>
              <w:jc w:val="center"/>
              <w:rPr>
                <w:sz w:val="20"/>
              </w:rPr>
            </w:pPr>
            <w:r>
              <w:rPr>
                <w:spacing w:val="-2"/>
                <w:sz w:val="20"/>
              </w:rPr>
              <w:t>On-the-books</w:t>
            </w:r>
          </w:p>
        </w:tc>
      </w:tr>
      <w:tr w:rsidR="00C31389" w14:paraId="34B23377" w14:textId="77777777">
        <w:trPr>
          <w:trHeight w:val="539"/>
        </w:trPr>
        <w:tc>
          <w:tcPr>
            <w:tcW w:w="1367" w:type="dxa"/>
            <w:tcBorders>
              <w:top w:val="single" w:color="D9D9D9" w:sz="2" w:space="0"/>
              <w:bottom w:val="single" w:color="D9D9D9" w:sz="2" w:space="0"/>
            </w:tcBorders>
          </w:tcPr>
          <w:p w:rsidR="00C31389" w:rsidRDefault="00561FBD" w14:paraId="7ABBBF34"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0FA325A1" w14:textId="77777777">
            <w:pPr>
              <w:pStyle w:val="TableParagraph"/>
              <w:ind w:left="202"/>
              <w:rPr>
                <w:sz w:val="20"/>
              </w:rPr>
            </w:pPr>
            <w:r>
              <w:rPr>
                <w:sz w:val="20"/>
              </w:rPr>
              <w:t>2005</w:t>
            </w:r>
            <w:r>
              <w:rPr>
                <w:spacing w:val="-9"/>
                <w:sz w:val="20"/>
              </w:rPr>
              <w:t xml:space="preserve"> </w:t>
            </w:r>
            <w:r>
              <w:rPr>
                <w:sz w:val="20"/>
              </w:rPr>
              <w:t>T-20:</w:t>
            </w:r>
            <w:r>
              <w:rPr>
                <w:spacing w:val="-9"/>
                <w:sz w:val="20"/>
              </w:rPr>
              <w:t xml:space="preserve"> </w:t>
            </w:r>
            <w:r>
              <w:rPr>
                <w:sz w:val="20"/>
              </w:rPr>
              <w:t>Walk-In</w:t>
            </w:r>
            <w:r>
              <w:rPr>
                <w:spacing w:val="-10"/>
                <w:sz w:val="20"/>
              </w:rPr>
              <w:t xml:space="preserve"> </w:t>
            </w:r>
            <w:r>
              <w:rPr>
                <w:sz w:val="20"/>
              </w:rPr>
              <w:t>Refrigerators</w:t>
            </w:r>
            <w:r>
              <w:rPr>
                <w:spacing w:val="-9"/>
                <w:sz w:val="20"/>
              </w:rPr>
              <w:t xml:space="preserve"> </w:t>
            </w:r>
            <w:r>
              <w:rPr>
                <w:sz w:val="20"/>
              </w:rPr>
              <w:t xml:space="preserve">/ </w:t>
            </w:r>
            <w:r>
              <w:rPr>
                <w:spacing w:val="-2"/>
                <w:sz w:val="20"/>
              </w:rPr>
              <w:t>Freezers</w:t>
            </w:r>
          </w:p>
        </w:tc>
        <w:tc>
          <w:tcPr>
            <w:tcW w:w="1224" w:type="dxa"/>
            <w:tcBorders>
              <w:top w:val="single" w:color="D9D9D9" w:sz="2" w:space="0"/>
              <w:bottom w:val="single" w:color="D9D9D9" w:sz="2" w:space="0"/>
            </w:tcBorders>
          </w:tcPr>
          <w:p w:rsidR="00C31389" w:rsidRDefault="00561FBD" w14:paraId="00E74F29" w14:textId="77777777">
            <w:pPr>
              <w:pStyle w:val="TableParagraph"/>
              <w:spacing w:before="155"/>
              <w:ind w:left="383"/>
              <w:rPr>
                <w:sz w:val="20"/>
              </w:rPr>
            </w:pPr>
            <w:r>
              <w:rPr>
                <w:spacing w:val="-5"/>
                <w:sz w:val="20"/>
              </w:rPr>
              <w:t>91%</w:t>
            </w:r>
          </w:p>
        </w:tc>
        <w:tc>
          <w:tcPr>
            <w:tcW w:w="1394" w:type="dxa"/>
            <w:tcBorders>
              <w:top w:val="single" w:color="D9D9D9" w:sz="2" w:space="0"/>
              <w:bottom w:val="single" w:color="D9D9D9" w:sz="2" w:space="0"/>
            </w:tcBorders>
          </w:tcPr>
          <w:p w:rsidR="00C31389" w:rsidRDefault="00561FBD" w14:paraId="44D477D0" w14:textId="77777777">
            <w:pPr>
              <w:pStyle w:val="TableParagraph"/>
              <w:spacing w:before="155"/>
              <w:ind w:right="190"/>
              <w:jc w:val="right"/>
              <w:rPr>
                <w:sz w:val="20"/>
              </w:rPr>
            </w:pPr>
            <w:r>
              <w:rPr>
                <w:spacing w:val="-2"/>
                <w:sz w:val="20"/>
              </w:rPr>
              <w:t>10/1/2006</w:t>
            </w:r>
          </w:p>
        </w:tc>
        <w:tc>
          <w:tcPr>
            <w:tcW w:w="1565" w:type="dxa"/>
            <w:tcBorders>
              <w:top w:val="single" w:color="D9D9D9" w:sz="2" w:space="0"/>
              <w:bottom w:val="single" w:color="D9D9D9" w:sz="2" w:space="0"/>
            </w:tcBorders>
          </w:tcPr>
          <w:p w:rsidR="00C31389" w:rsidRDefault="00561FBD" w14:paraId="26054EF1" w14:textId="77777777">
            <w:pPr>
              <w:pStyle w:val="TableParagraph"/>
              <w:spacing w:before="155"/>
              <w:ind w:left="187" w:right="150"/>
              <w:jc w:val="center"/>
              <w:rPr>
                <w:sz w:val="20"/>
              </w:rPr>
            </w:pPr>
            <w:r>
              <w:rPr>
                <w:spacing w:val="-2"/>
                <w:sz w:val="20"/>
              </w:rPr>
              <w:t>On-the-books</w:t>
            </w:r>
          </w:p>
        </w:tc>
      </w:tr>
      <w:tr w:rsidR="00C31389" w14:paraId="1792F55A" w14:textId="77777777">
        <w:trPr>
          <w:trHeight w:val="309"/>
        </w:trPr>
        <w:tc>
          <w:tcPr>
            <w:tcW w:w="1367" w:type="dxa"/>
            <w:tcBorders>
              <w:top w:val="single" w:color="D9D9D9" w:sz="2" w:space="0"/>
              <w:bottom w:val="single" w:color="D9D9D9" w:sz="2" w:space="0"/>
            </w:tcBorders>
          </w:tcPr>
          <w:p w:rsidR="00C31389" w:rsidRDefault="00561FBD" w14:paraId="336D33BF" w14:textId="77777777">
            <w:pPr>
              <w:pStyle w:val="TableParagraph"/>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7F670637" w14:textId="77777777">
            <w:pPr>
              <w:pStyle w:val="TableParagraph"/>
              <w:ind w:left="202"/>
              <w:rPr>
                <w:sz w:val="20"/>
              </w:rPr>
            </w:pPr>
            <w:r>
              <w:rPr>
                <w:sz w:val="20"/>
              </w:rPr>
              <w:t>2005</w:t>
            </w:r>
            <w:r>
              <w:rPr>
                <w:spacing w:val="-3"/>
                <w:sz w:val="20"/>
              </w:rPr>
              <w:t xml:space="preserve"> </w:t>
            </w:r>
            <w:r>
              <w:rPr>
                <w:sz w:val="20"/>
              </w:rPr>
              <w:t>T-20:</w:t>
            </w:r>
            <w:r>
              <w:rPr>
                <w:spacing w:val="-2"/>
                <w:sz w:val="20"/>
              </w:rPr>
              <w:t xml:space="preserve"> </w:t>
            </w:r>
            <w:r>
              <w:rPr>
                <w:sz w:val="20"/>
              </w:rPr>
              <w:t>Water</w:t>
            </w:r>
            <w:r>
              <w:rPr>
                <w:spacing w:val="-1"/>
                <w:sz w:val="20"/>
              </w:rPr>
              <w:t xml:space="preserve"> </w:t>
            </w:r>
            <w:r>
              <w:rPr>
                <w:spacing w:val="-2"/>
                <w:sz w:val="20"/>
              </w:rPr>
              <w:t>Dispensers</w:t>
            </w:r>
          </w:p>
        </w:tc>
        <w:tc>
          <w:tcPr>
            <w:tcW w:w="1224" w:type="dxa"/>
            <w:tcBorders>
              <w:top w:val="single" w:color="D9D9D9" w:sz="2" w:space="0"/>
              <w:bottom w:val="single" w:color="D9D9D9" w:sz="2" w:space="0"/>
            </w:tcBorders>
          </w:tcPr>
          <w:p w:rsidR="00C31389" w:rsidRDefault="00561FBD" w14:paraId="2E667866" w14:textId="77777777">
            <w:pPr>
              <w:pStyle w:val="TableParagraph"/>
              <w:ind w:left="384"/>
              <w:rPr>
                <w:sz w:val="20"/>
              </w:rPr>
            </w:pPr>
            <w:r>
              <w:rPr>
                <w:spacing w:val="-5"/>
                <w:sz w:val="20"/>
              </w:rPr>
              <w:t>70%</w:t>
            </w:r>
          </w:p>
        </w:tc>
        <w:tc>
          <w:tcPr>
            <w:tcW w:w="1394" w:type="dxa"/>
            <w:tcBorders>
              <w:top w:val="single" w:color="D9D9D9" w:sz="2" w:space="0"/>
              <w:bottom w:val="single" w:color="D9D9D9" w:sz="2" w:space="0"/>
            </w:tcBorders>
          </w:tcPr>
          <w:p w:rsidR="00C31389" w:rsidRDefault="00561FBD" w14:paraId="2C25A3D1" w14:textId="77777777">
            <w:pPr>
              <w:pStyle w:val="TableParagraph"/>
              <w:ind w:right="245"/>
              <w:jc w:val="right"/>
              <w:rPr>
                <w:sz w:val="20"/>
              </w:rPr>
            </w:pPr>
            <w:r>
              <w:rPr>
                <w:spacing w:val="-2"/>
                <w:sz w:val="20"/>
              </w:rPr>
              <w:t>1/1/2010</w:t>
            </w:r>
          </w:p>
        </w:tc>
        <w:tc>
          <w:tcPr>
            <w:tcW w:w="1565" w:type="dxa"/>
            <w:tcBorders>
              <w:top w:val="single" w:color="D9D9D9" w:sz="2" w:space="0"/>
              <w:bottom w:val="single" w:color="D9D9D9" w:sz="2" w:space="0"/>
            </w:tcBorders>
          </w:tcPr>
          <w:p w:rsidR="00C31389" w:rsidRDefault="00561FBD" w14:paraId="3B0A5CB2" w14:textId="77777777">
            <w:pPr>
              <w:pStyle w:val="TableParagraph"/>
              <w:ind w:left="187" w:right="150"/>
              <w:jc w:val="center"/>
              <w:rPr>
                <w:sz w:val="20"/>
              </w:rPr>
            </w:pPr>
            <w:r>
              <w:rPr>
                <w:spacing w:val="-2"/>
                <w:sz w:val="20"/>
              </w:rPr>
              <w:t>On-the-books</w:t>
            </w:r>
          </w:p>
        </w:tc>
      </w:tr>
      <w:tr w:rsidR="00C31389" w14:paraId="6F9B73EA" w14:textId="77777777">
        <w:trPr>
          <w:trHeight w:val="540"/>
        </w:trPr>
        <w:tc>
          <w:tcPr>
            <w:tcW w:w="1367" w:type="dxa"/>
            <w:tcBorders>
              <w:top w:val="single" w:color="D9D9D9" w:sz="2" w:space="0"/>
              <w:bottom w:val="single" w:color="D9D9D9" w:sz="2" w:space="0"/>
            </w:tcBorders>
          </w:tcPr>
          <w:p w:rsidR="00C31389" w:rsidRDefault="00561FBD" w14:paraId="7BDB4B9E"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26F0E902" w14:textId="77777777">
            <w:pPr>
              <w:pStyle w:val="TableParagraph"/>
              <w:spacing w:before="41"/>
              <w:ind w:left="202" w:right="427"/>
              <w:rPr>
                <w:sz w:val="20"/>
              </w:rPr>
            </w:pPr>
            <w:r>
              <w:rPr>
                <w:sz w:val="20"/>
              </w:rPr>
              <w:t>2005 T-20: Large Packaged Commercial</w:t>
            </w:r>
            <w:r>
              <w:rPr>
                <w:spacing w:val="-14"/>
                <w:sz w:val="20"/>
              </w:rPr>
              <w:t xml:space="preserve"> </w:t>
            </w:r>
            <w:r>
              <w:rPr>
                <w:sz w:val="20"/>
              </w:rPr>
              <w:t>Air-Conditioners,</w:t>
            </w:r>
            <w:r>
              <w:rPr>
                <w:spacing w:val="-13"/>
                <w:sz w:val="20"/>
              </w:rPr>
              <w:t xml:space="preserve"> </w:t>
            </w:r>
            <w:r>
              <w:rPr>
                <w:sz w:val="20"/>
              </w:rPr>
              <w:t>Tier</w:t>
            </w:r>
            <w:r>
              <w:rPr>
                <w:spacing w:val="-12"/>
                <w:sz w:val="20"/>
              </w:rPr>
              <w:t xml:space="preserve"> </w:t>
            </w:r>
            <w:r>
              <w:rPr>
                <w:sz w:val="20"/>
              </w:rPr>
              <w:t>1</w:t>
            </w:r>
          </w:p>
        </w:tc>
        <w:tc>
          <w:tcPr>
            <w:tcW w:w="1224" w:type="dxa"/>
            <w:tcBorders>
              <w:top w:val="single" w:color="D9D9D9" w:sz="2" w:space="0"/>
              <w:bottom w:val="single" w:color="D9D9D9" w:sz="2" w:space="0"/>
            </w:tcBorders>
          </w:tcPr>
          <w:p w:rsidR="00C31389" w:rsidRDefault="00561FBD" w14:paraId="0327A7E7" w14:textId="77777777">
            <w:pPr>
              <w:pStyle w:val="TableParagraph"/>
              <w:spacing w:before="155"/>
              <w:ind w:left="383"/>
              <w:rPr>
                <w:sz w:val="20"/>
              </w:rPr>
            </w:pPr>
            <w:r>
              <w:rPr>
                <w:spacing w:val="-5"/>
                <w:sz w:val="20"/>
              </w:rPr>
              <w:t>70%</w:t>
            </w:r>
          </w:p>
        </w:tc>
        <w:tc>
          <w:tcPr>
            <w:tcW w:w="1394" w:type="dxa"/>
            <w:tcBorders>
              <w:top w:val="single" w:color="D9D9D9" w:sz="2" w:space="0"/>
              <w:bottom w:val="single" w:color="D9D9D9" w:sz="2" w:space="0"/>
            </w:tcBorders>
          </w:tcPr>
          <w:p w:rsidR="00C31389" w:rsidRDefault="00561FBD" w14:paraId="236108E9"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5C9F8AC4" w14:textId="77777777">
            <w:pPr>
              <w:pStyle w:val="TableParagraph"/>
              <w:spacing w:before="155"/>
              <w:ind w:left="187" w:right="150"/>
              <w:jc w:val="center"/>
              <w:rPr>
                <w:sz w:val="20"/>
              </w:rPr>
            </w:pPr>
            <w:r>
              <w:rPr>
                <w:spacing w:val="-2"/>
                <w:sz w:val="20"/>
              </w:rPr>
              <w:t>On-the-books</w:t>
            </w:r>
          </w:p>
        </w:tc>
      </w:tr>
      <w:tr w:rsidR="00C31389" w14:paraId="08D9BE57" w14:textId="77777777">
        <w:trPr>
          <w:trHeight w:val="539"/>
        </w:trPr>
        <w:tc>
          <w:tcPr>
            <w:tcW w:w="1367" w:type="dxa"/>
            <w:tcBorders>
              <w:top w:val="single" w:color="D9D9D9" w:sz="2" w:space="0"/>
              <w:bottom w:val="single" w:color="D9D9D9" w:sz="2" w:space="0"/>
            </w:tcBorders>
          </w:tcPr>
          <w:p w:rsidR="00C31389" w:rsidRDefault="00561FBD" w14:paraId="39BADBBC"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508C7B5C" w14:textId="77777777">
            <w:pPr>
              <w:pStyle w:val="TableParagraph"/>
              <w:ind w:left="202"/>
              <w:rPr>
                <w:sz w:val="20"/>
              </w:rPr>
            </w:pPr>
            <w:r>
              <w:rPr>
                <w:sz w:val="20"/>
              </w:rPr>
              <w:t>2005</w:t>
            </w:r>
            <w:r>
              <w:rPr>
                <w:spacing w:val="-12"/>
                <w:sz w:val="20"/>
              </w:rPr>
              <w:t xml:space="preserve"> </w:t>
            </w:r>
            <w:r>
              <w:rPr>
                <w:sz w:val="20"/>
              </w:rPr>
              <w:t>T-20:</w:t>
            </w:r>
            <w:r>
              <w:rPr>
                <w:spacing w:val="-12"/>
                <w:sz w:val="20"/>
              </w:rPr>
              <w:t xml:space="preserve"> </w:t>
            </w:r>
            <w:r>
              <w:rPr>
                <w:sz w:val="20"/>
              </w:rPr>
              <w:t>Commercial</w:t>
            </w:r>
            <w:r>
              <w:rPr>
                <w:spacing w:val="-13"/>
                <w:sz w:val="20"/>
              </w:rPr>
              <w:t xml:space="preserve"> </w:t>
            </w:r>
            <w:r>
              <w:rPr>
                <w:sz w:val="20"/>
              </w:rPr>
              <w:t>Refrigeration Equipment, Transparent Door</w:t>
            </w:r>
          </w:p>
        </w:tc>
        <w:tc>
          <w:tcPr>
            <w:tcW w:w="1224" w:type="dxa"/>
            <w:tcBorders>
              <w:top w:val="single" w:color="D9D9D9" w:sz="2" w:space="0"/>
              <w:bottom w:val="single" w:color="D9D9D9" w:sz="2" w:space="0"/>
            </w:tcBorders>
          </w:tcPr>
          <w:p w:rsidR="00C31389" w:rsidRDefault="00561FBD" w14:paraId="38655DE0" w14:textId="77777777">
            <w:pPr>
              <w:pStyle w:val="TableParagraph"/>
              <w:spacing w:before="155"/>
              <w:ind w:left="383"/>
              <w:rPr>
                <w:sz w:val="20"/>
              </w:rPr>
            </w:pPr>
            <w:r>
              <w:rPr>
                <w:spacing w:val="-5"/>
                <w:sz w:val="20"/>
              </w:rPr>
              <w:t>70%</w:t>
            </w:r>
          </w:p>
        </w:tc>
        <w:tc>
          <w:tcPr>
            <w:tcW w:w="1394" w:type="dxa"/>
            <w:tcBorders>
              <w:top w:val="single" w:color="D9D9D9" w:sz="2" w:space="0"/>
              <w:bottom w:val="single" w:color="D9D9D9" w:sz="2" w:space="0"/>
            </w:tcBorders>
          </w:tcPr>
          <w:p w:rsidR="00C31389" w:rsidRDefault="00561FBD" w14:paraId="23CF31F8"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5EBCB788" w14:textId="77777777">
            <w:pPr>
              <w:pStyle w:val="TableParagraph"/>
              <w:spacing w:before="155"/>
              <w:ind w:left="187" w:right="150"/>
              <w:jc w:val="center"/>
              <w:rPr>
                <w:sz w:val="20"/>
              </w:rPr>
            </w:pPr>
            <w:r>
              <w:rPr>
                <w:spacing w:val="-2"/>
                <w:sz w:val="20"/>
              </w:rPr>
              <w:t>On-the-books</w:t>
            </w:r>
          </w:p>
        </w:tc>
      </w:tr>
      <w:tr w:rsidR="00C31389" w14:paraId="3CA51514" w14:textId="77777777">
        <w:trPr>
          <w:trHeight w:val="539"/>
        </w:trPr>
        <w:tc>
          <w:tcPr>
            <w:tcW w:w="1367" w:type="dxa"/>
            <w:tcBorders>
              <w:top w:val="single" w:color="D9D9D9" w:sz="2" w:space="0"/>
              <w:bottom w:val="single" w:color="D9D9D9" w:sz="2" w:space="0"/>
            </w:tcBorders>
          </w:tcPr>
          <w:p w:rsidR="00C31389" w:rsidRDefault="00561FBD" w14:paraId="2467D298"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3E06D388" w14:textId="77777777">
            <w:pPr>
              <w:pStyle w:val="TableParagraph"/>
              <w:ind w:left="202" w:right="427"/>
              <w:rPr>
                <w:sz w:val="20"/>
              </w:rPr>
            </w:pPr>
            <w:r>
              <w:rPr>
                <w:sz w:val="20"/>
              </w:rPr>
              <w:t>2005</w:t>
            </w:r>
            <w:r>
              <w:rPr>
                <w:spacing w:val="-10"/>
                <w:sz w:val="20"/>
              </w:rPr>
              <w:t xml:space="preserve"> </w:t>
            </w:r>
            <w:r>
              <w:rPr>
                <w:sz w:val="20"/>
              </w:rPr>
              <w:t>T-20:</w:t>
            </w:r>
            <w:r>
              <w:rPr>
                <w:spacing w:val="-10"/>
                <w:sz w:val="20"/>
              </w:rPr>
              <w:t xml:space="preserve"> </w:t>
            </w:r>
            <w:r>
              <w:rPr>
                <w:sz w:val="20"/>
              </w:rPr>
              <w:t>Consumer</w:t>
            </w:r>
            <w:r>
              <w:rPr>
                <w:spacing w:val="-9"/>
                <w:sz w:val="20"/>
              </w:rPr>
              <w:t xml:space="preserve"> </w:t>
            </w:r>
            <w:r>
              <w:rPr>
                <w:sz w:val="20"/>
              </w:rPr>
              <w:t>Electronics</w:t>
            </w:r>
            <w:r>
              <w:rPr>
                <w:spacing w:val="-10"/>
                <w:sz w:val="20"/>
              </w:rPr>
              <w:t xml:space="preserve"> </w:t>
            </w:r>
            <w:r>
              <w:rPr>
                <w:sz w:val="20"/>
              </w:rPr>
              <w:t>- Audio Players</w:t>
            </w:r>
          </w:p>
        </w:tc>
        <w:tc>
          <w:tcPr>
            <w:tcW w:w="1224" w:type="dxa"/>
            <w:tcBorders>
              <w:top w:val="single" w:color="D9D9D9" w:sz="2" w:space="0"/>
              <w:bottom w:val="single" w:color="D9D9D9" w:sz="2" w:space="0"/>
            </w:tcBorders>
          </w:tcPr>
          <w:p w:rsidR="00C31389" w:rsidRDefault="00561FBD" w14:paraId="26EDD8BB" w14:textId="77777777">
            <w:pPr>
              <w:pStyle w:val="TableParagraph"/>
              <w:spacing w:before="155"/>
              <w:ind w:left="328"/>
              <w:rPr>
                <w:sz w:val="20"/>
              </w:rPr>
            </w:pPr>
            <w:r>
              <w:rPr>
                <w:spacing w:val="-4"/>
                <w:sz w:val="20"/>
              </w:rPr>
              <w:t>100%</w:t>
            </w:r>
          </w:p>
        </w:tc>
        <w:tc>
          <w:tcPr>
            <w:tcW w:w="1394" w:type="dxa"/>
            <w:tcBorders>
              <w:top w:val="single" w:color="D9D9D9" w:sz="2" w:space="0"/>
              <w:bottom w:val="single" w:color="D9D9D9" w:sz="2" w:space="0"/>
            </w:tcBorders>
          </w:tcPr>
          <w:p w:rsidR="00C31389" w:rsidRDefault="00561FBD" w14:paraId="0DA04CFD"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59B62B39" w14:textId="77777777">
            <w:pPr>
              <w:pStyle w:val="TableParagraph"/>
              <w:spacing w:before="155"/>
              <w:ind w:left="187" w:right="150"/>
              <w:jc w:val="center"/>
              <w:rPr>
                <w:sz w:val="20"/>
              </w:rPr>
            </w:pPr>
            <w:r>
              <w:rPr>
                <w:spacing w:val="-2"/>
                <w:sz w:val="20"/>
              </w:rPr>
              <w:t>On-the-books</w:t>
            </w:r>
          </w:p>
        </w:tc>
      </w:tr>
      <w:tr w:rsidR="00C31389" w14:paraId="701578C9" w14:textId="77777777">
        <w:trPr>
          <w:trHeight w:val="539"/>
        </w:trPr>
        <w:tc>
          <w:tcPr>
            <w:tcW w:w="1367" w:type="dxa"/>
            <w:tcBorders>
              <w:top w:val="single" w:color="D9D9D9" w:sz="2" w:space="0"/>
              <w:bottom w:val="single" w:color="D9D9D9" w:sz="2" w:space="0"/>
            </w:tcBorders>
          </w:tcPr>
          <w:p w:rsidR="00C31389" w:rsidRDefault="00561FBD" w14:paraId="24268545"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D9D9D9" w:sz="2" w:space="0"/>
            </w:tcBorders>
          </w:tcPr>
          <w:p w:rsidR="00C31389" w:rsidRDefault="00561FBD" w14:paraId="74D37C35" w14:textId="77777777">
            <w:pPr>
              <w:pStyle w:val="TableParagraph"/>
              <w:ind w:left="202" w:right="76"/>
              <w:rPr>
                <w:sz w:val="20"/>
              </w:rPr>
            </w:pPr>
            <w:r>
              <w:rPr>
                <w:sz w:val="20"/>
              </w:rPr>
              <w:t>2005</w:t>
            </w:r>
            <w:r>
              <w:rPr>
                <w:spacing w:val="-9"/>
                <w:sz w:val="20"/>
              </w:rPr>
              <w:t xml:space="preserve"> </w:t>
            </w:r>
            <w:r>
              <w:rPr>
                <w:sz w:val="20"/>
              </w:rPr>
              <w:t>T-20:</w:t>
            </w:r>
            <w:r>
              <w:rPr>
                <w:spacing w:val="-9"/>
                <w:sz w:val="20"/>
              </w:rPr>
              <w:t xml:space="preserve"> </w:t>
            </w:r>
            <w:r>
              <w:rPr>
                <w:sz w:val="20"/>
              </w:rPr>
              <w:t>External</w:t>
            </w:r>
            <w:r>
              <w:rPr>
                <w:spacing w:val="-9"/>
                <w:sz w:val="20"/>
              </w:rPr>
              <w:t xml:space="preserve"> </w:t>
            </w:r>
            <w:r>
              <w:rPr>
                <w:sz w:val="20"/>
              </w:rPr>
              <w:t>Power</w:t>
            </w:r>
            <w:r>
              <w:rPr>
                <w:spacing w:val="-10"/>
                <w:sz w:val="20"/>
              </w:rPr>
              <w:t xml:space="preserve"> </w:t>
            </w:r>
            <w:r>
              <w:rPr>
                <w:sz w:val="20"/>
              </w:rPr>
              <w:t>Supplies, Tier 1</w:t>
            </w:r>
          </w:p>
        </w:tc>
        <w:tc>
          <w:tcPr>
            <w:tcW w:w="1224" w:type="dxa"/>
            <w:tcBorders>
              <w:top w:val="single" w:color="D9D9D9" w:sz="2" w:space="0"/>
              <w:bottom w:val="single" w:color="D9D9D9" w:sz="2" w:space="0"/>
            </w:tcBorders>
          </w:tcPr>
          <w:p w:rsidR="00C31389" w:rsidRDefault="00561FBD" w14:paraId="7050FCC7" w14:textId="77777777">
            <w:pPr>
              <w:pStyle w:val="TableParagraph"/>
              <w:spacing w:before="155"/>
              <w:ind w:left="328"/>
              <w:rPr>
                <w:sz w:val="20"/>
              </w:rPr>
            </w:pPr>
            <w:r>
              <w:rPr>
                <w:spacing w:val="-4"/>
                <w:sz w:val="20"/>
              </w:rPr>
              <w:t>100%</w:t>
            </w:r>
          </w:p>
        </w:tc>
        <w:tc>
          <w:tcPr>
            <w:tcW w:w="1394" w:type="dxa"/>
            <w:tcBorders>
              <w:top w:val="single" w:color="D9D9D9" w:sz="2" w:space="0"/>
              <w:bottom w:val="single" w:color="D9D9D9" w:sz="2" w:space="0"/>
            </w:tcBorders>
          </w:tcPr>
          <w:p w:rsidR="00C31389" w:rsidRDefault="00561FBD" w14:paraId="6DFE647D"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D9D9D9" w:sz="2" w:space="0"/>
            </w:tcBorders>
          </w:tcPr>
          <w:p w:rsidR="00C31389" w:rsidRDefault="00561FBD" w14:paraId="5361F589" w14:textId="77777777">
            <w:pPr>
              <w:pStyle w:val="TableParagraph"/>
              <w:spacing w:before="155"/>
              <w:ind w:left="187" w:right="150"/>
              <w:jc w:val="center"/>
              <w:rPr>
                <w:sz w:val="20"/>
              </w:rPr>
            </w:pPr>
            <w:r>
              <w:rPr>
                <w:spacing w:val="-2"/>
                <w:sz w:val="20"/>
              </w:rPr>
              <w:t>On-the-books</w:t>
            </w:r>
          </w:p>
        </w:tc>
      </w:tr>
      <w:tr w:rsidR="00C31389" w14:paraId="24C5425F" w14:textId="77777777">
        <w:trPr>
          <w:trHeight w:val="540"/>
        </w:trPr>
        <w:tc>
          <w:tcPr>
            <w:tcW w:w="1367" w:type="dxa"/>
            <w:tcBorders>
              <w:top w:val="single" w:color="D9D9D9" w:sz="2" w:space="0"/>
              <w:bottom w:val="single" w:color="000000" w:sz="8" w:space="0"/>
            </w:tcBorders>
          </w:tcPr>
          <w:p w:rsidR="00C31389" w:rsidRDefault="00561FBD" w14:paraId="02C7A611"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23" w:type="dxa"/>
            <w:tcBorders>
              <w:top w:val="single" w:color="D9D9D9" w:sz="2" w:space="0"/>
              <w:bottom w:val="single" w:color="000000" w:sz="8" w:space="0"/>
            </w:tcBorders>
          </w:tcPr>
          <w:p w:rsidR="00C31389" w:rsidRDefault="00561FBD" w14:paraId="403A9525" w14:textId="77777777">
            <w:pPr>
              <w:pStyle w:val="TableParagraph"/>
              <w:ind w:left="202"/>
              <w:rPr>
                <w:sz w:val="20"/>
              </w:rPr>
            </w:pPr>
            <w:r>
              <w:rPr>
                <w:sz w:val="20"/>
              </w:rPr>
              <w:t>2005</w:t>
            </w:r>
            <w:r>
              <w:rPr>
                <w:spacing w:val="-9"/>
                <w:sz w:val="20"/>
              </w:rPr>
              <w:t xml:space="preserve"> </w:t>
            </w:r>
            <w:r>
              <w:rPr>
                <w:sz w:val="20"/>
              </w:rPr>
              <w:t>T-20:</w:t>
            </w:r>
            <w:r>
              <w:rPr>
                <w:spacing w:val="-9"/>
                <w:sz w:val="20"/>
              </w:rPr>
              <w:t xml:space="preserve"> </w:t>
            </w:r>
            <w:r>
              <w:rPr>
                <w:sz w:val="20"/>
              </w:rPr>
              <w:t>Commercial</w:t>
            </w:r>
            <w:r>
              <w:rPr>
                <w:spacing w:val="-9"/>
                <w:sz w:val="20"/>
              </w:rPr>
              <w:t xml:space="preserve"> </w:t>
            </w:r>
            <w:r>
              <w:rPr>
                <w:sz w:val="20"/>
              </w:rPr>
              <w:t>Ice</w:t>
            </w:r>
            <w:r>
              <w:rPr>
                <w:spacing w:val="-9"/>
                <w:sz w:val="20"/>
              </w:rPr>
              <w:t xml:space="preserve"> </w:t>
            </w:r>
            <w:r>
              <w:rPr>
                <w:sz w:val="20"/>
              </w:rPr>
              <w:t xml:space="preserve">Maker </w:t>
            </w:r>
            <w:r>
              <w:rPr>
                <w:spacing w:val="-2"/>
                <w:sz w:val="20"/>
              </w:rPr>
              <w:t>Equipment</w:t>
            </w:r>
          </w:p>
        </w:tc>
        <w:tc>
          <w:tcPr>
            <w:tcW w:w="1224" w:type="dxa"/>
            <w:tcBorders>
              <w:top w:val="single" w:color="D9D9D9" w:sz="2" w:space="0"/>
              <w:bottom w:val="single" w:color="000000" w:sz="8" w:space="0"/>
            </w:tcBorders>
          </w:tcPr>
          <w:p w:rsidR="00C31389" w:rsidRDefault="00561FBD" w14:paraId="22788469" w14:textId="77777777">
            <w:pPr>
              <w:pStyle w:val="TableParagraph"/>
              <w:spacing w:before="155"/>
              <w:ind w:left="383"/>
              <w:rPr>
                <w:sz w:val="20"/>
              </w:rPr>
            </w:pPr>
            <w:r>
              <w:rPr>
                <w:spacing w:val="-5"/>
                <w:sz w:val="20"/>
              </w:rPr>
              <w:t>70%</w:t>
            </w:r>
          </w:p>
        </w:tc>
        <w:tc>
          <w:tcPr>
            <w:tcW w:w="1394" w:type="dxa"/>
            <w:tcBorders>
              <w:top w:val="single" w:color="D9D9D9" w:sz="2" w:space="0"/>
              <w:bottom w:val="single" w:color="000000" w:sz="8" w:space="0"/>
            </w:tcBorders>
          </w:tcPr>
          <w:p w:rsidR="00C31389" w:rsidRDefault="00561FBD" w14:paraId="047C8411" w14:textId="77777777">
            <w:pPr>
              <w:pStyle w:val="TableParagraph"/>
              <w:spacing w:before="155"/>
              <w:ind w:right="245"/>
              <w:jc w:val="right"/>
              <w:rPr>
                <w:sz w:val="20"/>
              </w:rPr>
            </w:pPr>
            <w:r>
              <w:rPr>
                <w:spacing w:val="-2"/>
                <w:sz w:val="20"/>
              </w:rPr>
              <w:t>1/1/2006</w:t>
            </w:r>
          </w:p>
        </w:tc>
        <w:tc>
          <w:tcPr>
            <w:tcW w:w="1565" w:type="dxa"/>
            <w:tcBorders>
              <w:top w:val="single" w:color="D9D9D9" w:sz="2" w:space="0"/>
              <w:bottom w:val="single" w:color="000000" w:sz="8" w:space="0"/>
            </w:tcBorders>
          </w:tcPr>
          <w:p w:rsidR="00C31389" w:rsidRDefault="00561FBD" w14:paraId="37E34470" w14:textId="77777777">
            <w:pPr>
              <w:pStyle w:val="TableParagraph"/>
              <w:spacing w:before="155"/>
              <w:ind w:left="187" w:right="150"/>
              <w:jc w:val="center"/>
              <w:rPr>
                <w:sz w:val="20"/>
              </w:rPr>
            </w:pPr>
            <w:r>
              <w:rPr>
                <w:spacing w:val="-2"/>
                <w:sz w:val="20"/>
              </w:rPr>
              <w:t>On-the-books</w:t>
            </w:r>
          </w:p>
        </w:tc>
      </w:tr>
    </w:tbl>
    <w:p w:rsidR="00C31389" w:rsidRDefault="00C31389" w14:paraId="3E900D81" w14:textId="77777777">
      <w:pPr>
        <w:pStyle w:val="BodyText"/>
        <w:rPr>
          <w:b/>
          <w:sz w:val="20"/>
        </w:rPr>
      </w:pPr>
    </w:p>
    <w:p w:rsidR="00C31389" w:rsidRDefault="00C31389" w14:paraId="3762E348" w14:textId="77777777">
      <w:pPr>
        <w:pStyle w:val="BodyText"/>
        <w:rPr>
          <w:b/>
          <w:sz w:val="20"/>
        </w:rPr>
      </w:pPr>
    </w:p>
    <w:p w:rsidR="00C31389" w:rsidRDefault="00561FBD" w14:paraId="67B61DB1" w14:textId="77777777">
      <w:pPr>
        <w:pStyle w:val="BodyText"/>
        <w:spacing w:before="10"/>
        <w:rPr>
          <w:b/>
          <w:sz w:val="13"/>
        </w:rPr>
      </w:pPr>
      <w:r>
        <w:rPr>
          <w:noProof/>
        </w:rPr>
        <mc:AlternateContent>
          <mc:Choice Requires="wps">
            <w:drawing>
              <wp:anchor distT="0" distB="0" distL="0" distR="0" simplePos="0" relativeHeight="487734272" behindDoc="1" locked="0" layoutInCell="1" allowOverlap="1" wp14:editId="07F50453" wp14:anchorId="434D4FA3">
                <wp:simplePos x="0" y="0"/>
                <wp:positionH relativeFrom="page">
                  <wp:posOffset>914400</wp:posOffset>
                </wp:positionH>
                <wp:positionV relativeFrom="paragraph">
                  <wp:posOffset>116864</wp:posOffset>
                </wp:positionV>
                <wp:extent cx="1828800" cy="6985"/>
                <wp:effectExtent l="0" t="0" r="0" b="0"/>
                <wp:wrapTopAndBottom/>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96" style="position:absolute;margin-left:1in;margin-top:9.2pt;width:2in;height:.55pt;z-index:-1558220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" w14:anchorId="399B1217">
                <v:path arrowok="t"/>
                <w10:wrap type="topAndBottom" anchorx="page"/>
              </v:shape>
            </w:pict>
          </mc:Fallback>
        </mc:AlternateContent>
      </w:r>
    </w:p>
    <w:p w:rsidR="00C31389" w:rsidRDefault="00561FBD" w14:paraId="509DF5A7" w14:textId="77777777">
      <w:pPr>
        <w:spacing w:before="88"/>
        <w:ind w:left="480" w:right="418"/>
        <w:rPr>
          <w:sz w:val="18"/>
        </w:rPr>
      </w:pPr>
      <w:bookmarkStart w:name="_bookmark462" w:id="600"/>
      <w:bookmarkEnd w:id="600"/>
      <w:r>
        <w:rPr>
          <w:position w:val="6"/>
          <w:sz w:val="12"/>
        </w:rPr>
        <w:t>182</w:t>
      </w:r>
      <w:r>
        <w:rPr>
          <w:spacing w:val="24"/>
          <w:position w:val="6"/>
          <w:sz w:val="12"/>
        </w:rPr>
        <w:t xml:space="preserve"> </w:t>
      </w:r>
      <w:r>
        <w:rPr>
          <w:sz w:val="18"/>
        </w:rPr>
        <w:t xml:space="preserve">Compliance rates are specific to 2022 for electric energy </w:t>
      </w:r>
      <w:r>
        <w:rPr>
          <w:sz w:val="18"/>
        </w:rPr>
        <w:t>savings. Full details are available in the model. Standards</w:t>
      </w:r>
      <w:r>
        <w:rPr>
          <w:spacing w:val="-3"/>
          <w:sz w:val="18"/>
        </w:rPr>
        <w:t xml:space="preserve"> </w:t>
      </w:r>
      <w:r>
        <w:rPr>
          <w:sz w:val="18"/>
        </w:rPr>
        <w:t>included</w:t>
      </w:r>
      <w:r>
        <w:rPr>
          <w:spacing w:val="-4"/>
          <w:sz w:val="18"/>
        </w:rPr>
        <w:t xml:space="preserve"> </w:t>
      </w:r>
      <w:r>
        <w:rPr>
          <w:sz w:val="18"/>
        </w:rPr>
        <w:t>in</w:t>
      </w:r>
      <w:r>
        <w:rPr>
          <w:spacing w:val="-4"/>
          <w:sz w:val="18"/>
        </w:rPr>
        <w:t xml:space="preserve"> </w:t>
      </w:r>
      <w:r>
        <w:rPr>
          <w:sz w:val="18"/>
        </w:rPr>
        <w:t>Integrated</w:t>
      </w:r>
      <w:r>
        <w:rPr>
          <w:spacing w:val="-4"/>
          <w:sz w:val="18"/>
        </w:rPr>
        <w:t xml:space="preserve"> </w:t>
      </w:r>
      <w:r>
        <w:rPr>
          <w:sz w:val="18"/>
        </w:rPr>
        <w:t>Standards</w:t>
      </w:r>
      <w:r>
        <w:rPr>
          <w:spacing w:val="-2"/>
          <w:sz w:val="18"/>
        </w:rPr>
        <w:t xml:space="preserve"> </w:t>
      </w:r>
      <w:r>
        <w:rPr>
          <w:sz w:val="18"/>
        </w:rPr>
        <w:t>Savings</w:t>
      </w:r>
      <w:r>
        <w:rPr>
          <w:spacing w:val="-3"/>
          <w:sz w:val="18"/>
        </w:rPr>
        <w:t xml:space="preserve"> </w:t>
      </w:r>
      <w:r>
        <w:rPr>
          <w:sz w:val="18"/>
        </w:rPr>
        <w:t>Model</w:t>
      </w:r>
      <w:r>
        <w:rPr>
          <w:spacing w:val="-2"/>
          <w:sz w:val="18"/>
        </w:rPr>
        <w:t xml:space="preserve"> </w:t>
      </w:r>
      <w:r>
        <w:rPr>
          <w:sz w:val="18"/>
        </w:rPr>
        <w:t>(ISSM)</w:t>
      </w:r>
      <w:r>
        <w:rPr>
          <w:spacing w:val="-3"/>
          <w:sz w:val="18"/>
        </w:rPr>
        <w:t xml:space="preserve"> </w:t>
      </w:r>
      <w:r>
        <w:rPr>
          <w:sz w:val="18"/>
        </w:rPr>
        <w:t>data</w:t>
      </w:r>
      <w:r>
        <w:rPr>
          <w:spacing w:val="-4"/>
          <w:sz w:val="18"/>
        </w:rPr>
        <w:t xml:space="preserve"> </w:t>
      </w:r>
      <w:r>
        <w:rPr>
          <w:sz w:val="18"/>
        </w:rPr>
        <w:t>had</w:t>
      </w:r>
      <w:r>
        <w:rPr>
          <w:spacing w:val="-4"/>
          <w:sz w:val="18"/>
        </w:rPr>
        <w:t xml:space="preserve"> </w:t>
      </w:r>
      <w:r>
        <w:rPr>
          <w:sz w:val="18"/>
        </w:rPr>
        <w:t>varying</w:t>
      </w:r>
      <w:r>
        <w:rPr>
          <w:spacing w:val="-4"/>
          <w:sz w:val="18"/>
        </w:rPr>
        <w:t xml:space="preserve"> </w:t>
      </w:r>
      <w:r>
        <w:rPr>
          <w:sz w:val="18"/>
        </w:rPr>
        <w:t>compliance</w:t>
      </w:r>
      <w:r>
        <w:rPr>
          <w:spacing w:val="-4"/>
          <w:sz w:val="18"/>
        </w:rPr>
        <w:t xml:space="preserve"> </w:t>
      </w:r>
      <w:r>
        <w:rPr>
          <w:sz w:val="18"/>
        </w:rPr>
        <w:t>values</w:t>
      </w:r>
      <w:r>
        <w:rPr>
          <w:spacing w:val="-3"/>
          <w:sz w:val="18"/>
        </w:rPr>
        <w:t xml:space="preserve"> </w:t>
      </w:r>
      <w:r>
        <w:rPr>
          <w:sz w:val="18"/>
        </w:rPr>
        <w:t>for</w:t>
      </w:r>
      <w:r>
        <w:rPr>
          <w:spacing w:val="-3"/>
          <w:sz w:val="18"/>
        </w:rPr>
        <w:t xml:space="preserve"> </w:t>
      </w:r>
      <w:r>
        <w:rPr>
          <w:sz w:val="18"/>
        </w:rPr>
        <w:t>each year in the analysis.</w:t>
      </w:r>
    </w:p>
    <w:p w:rsidR="00C31389" w:rsidRDefault="00C31389" w14:paraId="56E5E627" w14:textId="77777777">
      <w:pPr>
        <w:rPr>
          <w:sz w:val="18"/>
        </w:rPr>
        <w:sectPr w:rsidR="00C31389">
          <w:headerReference w:type="default" r:id="rId302"/>
          <w:footerReference w:type="default" r:id="rId303"/>
          <w:pgSz w:w="11910" w:h="16840"/>
          <w:pgMar w:top="1380" w:right="1020" w:bottom="1120" w:left="960" w:header="397" w:footer="938" w:gutter="0"/>
          <w:pgNumType w:start="1"/>
          <w:cols w:space="720"/>
        </w:sectPr>
      </w:pPr>
    </w:p>
    <w:p w:rsidR="00C31389" w:rsidRDefault="00C31389" w14:paraId="4CBB41E1"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57"/>
        <w:gridCol w:w="1205"/>
        <w:gridCol w:w="1368"/>
        <w:gridCol w:w="1581"/>
      </w:tblGrid>
      <w:tr w:rsidR="00C31389" w14:paraId="2C2EAC61" w14:textId="77777777">
        <w:trPr>
          <w:trHeight w:val="252"/>
        </w:trPr>
        <w:tc>
          <w:tcPr>
            <w:tcW w:w="1367" w:type="dxa"/>
            <w:tcBorders>
              <w:top w:val="single" w:color="8B8B8B" w:sz="8" w:space="0"/>
            </w:tcBorders>
          </w:tcPr>
          <w:p w:rsidR="00C31389" w:rsidRDefault="00C31389" w14:paraId="46DB3B2A" w14:textId="77777777">
            <w:pPr>
              <w:pStyle w:val="TableParagraph"/>
              <w:spacing w:before="0"/>
              <w:rPr>
                <w:rFonts w:ascii="Times New Roman"/>
                <w:sz w:val="18"/>
              </w:rPr>
            </w:pPr>
          </w:p>
        </w:tc>
        <w:tc>
          <w:tcPr>
            <w:tcW w:w="3857" w:type="dxa"/>
            <w:tcBorders>
              <w:top w:val="single" w:color="8B8B8B" w:sz="8" w:space="0"/>
            </w:tcBorders>
          </w:tcPr>
          <w:p w:rsidR="00C31389" w:rsidRDefault="00C31389" w14:paraId="63799FB5" w14:textId="77777777">
            <w:pPr>
              <w:pStyle w:val="TableParagraph"/>
              <w:spacing w:before="0"/>
              <w:rPr>
                <w:rFonts w:ascii="Times New Roman"/>
                <w:sz w:val="18"/>
              </w:rPr>
            </w:pPr>
          </w:p>
        </w:tc>
        <w:tc>
          <w:tcPr>
            <w:tcW w:w="1205" w:type="dxa"/>
            <w:tcBorders>
              <w:top w:val="single" w:color="8B8B8B" w:sz="8" w:space="0"/>
            </w:tcBorders>
          </w:tcPr>
          <w:p w:rsidR="00C31389" w:rsidRDefault="00C31389" w14:paraId="4BF0E0B5" w14:textId="77777777">
            <w:pPr>
              <w:pStyle w:val="TableParagraph"/>
              <w:spacing w:before="0"/>
              <w:rPr>
                <w:rFonts w:ascii="Times New Roman"/>
                <w:sz w:val="18"/>
              </w:rPr>
            </w:pPr>
          </w:p>
        </w:tc>
        <w:tc>
          <w:tcPr>
            <w:tcW w:w="1368" w:type="dxa"/>
            <w:tcBorders>
              <w:top w:val="single" w:color="8B8B8B" w:sz="8" w:space="0"/>
            </w:tcBorders>
          </w:tcPr>
          <w:p w:rsidR="00C31389" w:rsidRDefault="00C31389" w14:paraId="72E9668E" w14:textId="77777777">
            <w:pPr>
              <w:pStyle w:val="TableParagraph"/>
              <w:spacing w:before="0"/>
              <w:rPr>
                <w:rFonts w:ascii="Times New Roman"/>
                <w:sz w:val="18"/>
              </w:rPr>
            </w:pPr>
          </w:p>
        </w:tc>
        <w:tc>
          <w:tcPr>
            <w:tcW w:w="1581" w:type="dxa"/>
            <w:tcBorders>
              <w:top w:val="single" w:color="8B8B8B" w:sz="8" w:space="0"/>
            </w:tcBorders>
          </w:tcPr>
          <w:p w:rsidR="00C31389" w:rsidRDefault="00C31389" w14:paraId="7F103784" w14:textId="77777777">
            <w:pPr>
              <w:pStyle w:val="TableParagraph"/>
              <w:spacing w:before="0"/>
              <w:rPr>
                <w:rFonts w:ascii="Times New Roman"/>
                <w:sz w:val="18"/>
              </w:rPr>
            </w:pPr>
          </w:p>
        </w:tc>
      </w:tr>
      <w:tr w:rsidR="00C31389" w14:paraId="4CC7F4DD" w14:textId="77777777">
        <w:trPr>
          <w:trHeight w:val="549"/>
        </w:trPr>
        <w:tc>
          <w:tcPr>
            <w:tcW w:w="1367" w:type="dxa"/>
            <w:shd w:val="clear" w:color="auto" w:fill="92D400"/>
          </w:tcPr>
          <w:p w:rsidR="00C31389" w:rsidRDefault="00561FBD" w14:paraId="1597CE99" w14:textId="77777777">
            <w:pPr>
              <w:pStyle w:val="TableParagraph"/>
              <w:spacing w:before="155"/>
              <w:ind w:left="129"/>
              <w:rPr>
                <w:b/>
                <w:sz w:val="20"/>
              </w:rPr>
            </w:pPr>
            <w:r>
              <w:rPr>
                <w:b/>
                <w:spacing w:val="-2"/>
                <w:sz w:val="20"/>
              </w:rPr>
              <w:t>Regulation</w:t>
            </w:r>
          </w:p>
        </w:tc>
        <w:tc>
          <w:tcPr>
            <w:tcW w:w="3857" w:type="dxa"/>
            <w:shd w:val="clear" w:color="auto" w:fill="92D400"/>
          </w:tcPr>
          <w:p w:rsidR="00C31389" w:rsidRDefault="00561FBD" w14:paraId="7BDD7063"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205" w:type="dxa"/>
            <w:shd w:val="clear" w:color="auto" w:fill="92D400"/>
          </w:tcPr>
          <w:p w:rsidR="00C31389" w:rsidRDefault="00561FBD" w14:paraId="792D77A1" w14:textId="77777777">
            <w:pPr>
              <w:pStyle w:val="TableParagraph"/>
              <w:ind w:left="220" w:hanging="238"/>
              <w:rPr>
                <w:b/>
                <w:sz w:val="20"/>
              </w:rPr>
            </w:pPr>
            <w:r>
              <w:rPr>
                <w:b/>
                <w:spacing w:val="-2"/>
                <w:sz w:val="20"/>
              </w:rPr>
              <w:t>Compliance Rate</w:t>
            </w:r>
            <w:hyperlink w:history="1" w:anchor="_bookmark462">
              <w:r>
                <w:rPr>
                  <w:b/>
                  <w:spacing w:val="-2"/>
                  <w:sz w:val="20"/>
                  <w:vertAlign w:val="superscript"/>
                </w:rPr>
                <w:t>182</w:t>
              </w:r>
            </w:hyperlink>
          </w:p>
        </w:tc>
        <w:tc>
          <w:tcPr>
            <w:tcW w:w="1368" w:type="dxa"/>
            <w:shd w:val="clear" w:color="auto" w:fill="92D400"/>
          </w:tcPr>
          <w:p w:rsidR="00C31389" w:rsidRDefault="00561FBD" w14:paraId="60534A75" w14:textId="77777777">
            <w:pPr>
              <w:pStyle w:val="TableParagraph"/>
              <w:ind w:left="523" w:hanging="202"/>
              <w:rPr>
                <w:b/>
                <w:sz w:val="20"/>
              </w:rPr>
            </w:pPr>
            <w:r>
              <w:rPr>
                <w:b/>
                <w:spacing w:val="-2"/>
                <w:sz w:val="20"/>
              </w:rPr>
              <w:t xml:space="preserve">Effective </w:t>
            </w:r>
            <w:r>
              <w:rPr>
                <w:b/>
                <w:spacing w:val="-4"/>
                <w:sz w:val="20"/>
              </w:rPr>
              <w:t>Date</w:t>
            </w:r>
          </w:p>
        </w:tc>
        <w:tc>
          <w:tcPr>
            <w:tcW w:w="1581" w:type="dxa"/>
            <w:shd w:val="clear" w:color="auto" w:fill="92D400"/>
          </w:tcPr>
          <w:p w:rsidR="00C31389" w:rsidRDefault="00561FBD" w14:paraId="765C44CA" w14:textId="77777777">
            <w:pPr>
              <w:pStyle w:val="TableParagraph"/>
              <w:spacing w:before="155"/>
              <w:ind w:left="198" w:right="155"/>
              <w:jc w:val="center"/>
              <w:rPr>
                <w:b/>
                <w:sz w:val="20"/>
              </w:rPr>
            </w:pPr>
            <w:r>
              <w:rPr>
                <w:b/>
                <w:sz w:val="20"/>
              </w:rPr>
              <w:t>Policy</w:t>
            </w:r>
            <w:r>
              <w:rPr>
                <w:b/>
                <w:spacing w:val="-5"/>
                <w:sz w:val="20"/>
              </w:rPr>
              <w:t xml:space="preserve"> </w:t>
            </w:r>
            <w:r>
              <w:rPr>
                <w:b/>
                <w:spacing w:val="-4"/>
                <w:sz w:val="20"/>
              </w:rPr>
              <w:t>View</w:t>
            </w:r>
          </w:p>
        </w:tc>
      </w:tr>
      <w:tr w:rsidR="00C31389" w14:paraId="0EF6FE2B" w14:textId="77777777">
        <w:trPr>
          <w:trHeight w:val="535"/>
        </w:trPr>
        <w:tc>
          <w:tcPr>
            <w:tcW w:w="1367" w:type="dxa"/>
            <w:tcBorders>
              <w:bottom w:val="single" w:color="D9D9D9" w:sz="2" w:space="0"/>
            </w:tcBorders>
          </w:tcPr>
          <w:p w:rsidR="00C31389" w:rsidRDefault="00561FBD" w14:paraId="2E09A950" w14:textId="77777777">
            <w:pPr>
              <w:pStyle w:val="TableParagraph"/>
              <w:spacing w:before="151"/>
              <w:ind w:left="129"/>
              <w:rPr>
                <w:sz w:val="20"/>
              </w:rPr>
            </w:pPr>
            <w:r>
              <w:rPr>
                <w:sz w:val="20"/>
              </w:rPr>
              <w:t>2005</w:t>
            </w:r>
            <w:r>
              <w:rPr>
                <w:spacing w:val="-3"/>
                <w:sz w:val="20"/>
              </w:rPr>
              <w:t xml:space="preserve"> </w:t>
            </w:r>
            <w:r>
              <w:rPr>
                <w:sz w:val="20"/>
              </w:rPr>
              <w:t>T-</w:t>
            </w:r>
            <w:r>
              <w:rPr>
                <w:spacing w:val="-5"/>
                <w:sz w:val="20"/>
              </w:rPr>
              <w:t>20</w:t>
            </w:r>
          </w:p>
        </w:tc>
        <w:tc>
          <w:tcPr>
            <w:tcW w:w="3857" w:type="dxa"/>
            <w:tcBorders>
              <w:bottom w:val="single" w:color="D9D9D9" w:sz="2" w:space="0"/>
            </w:tcBorders>
          </w:tcPr>
          <w:p w:rsidR="00C31389" w:rsidRDefault="00561FBD" w14:paraId="43B13289" w14:textId="77777777">
            <w:pPr>
              <w:pStyle w:val="TableParagraph"/>
              <w:spacing w:before="35"/>
              <w:ind w:left="202"/>
              <w:rPr>
                <w:sz w:val="20"/>
              </w:rPr>
            </w:pPr>
            <w:r>
              <w:rPr>
                <w:sz w:val="20"/>
              </w:rPr>
              <w:t>2005</w:t>
            </w:r>
            <w:r>
              <w:rPr>
                <w:spacing w:val="-10"/>
                <w:sz w:val="20"/>
              </w:rPr>
              <w:t xml:space="preserve"> </w:t>
            </w:r>
            <w:r>
              <w:rPr>
                <w:sz w:val="20"/>
              </w:rPr>
              <w:t>T-20:</w:t>
            </w:r>
            <w:r>
              <w:rPr>
                <w:spacing w:val="-10"/>
                <w:sz w:val="20"/>
              </w:rPr>
              <w:t xml:space="preserve"> </w:t>
            </w:r>
            <w:r>
              <w:rPr>
                <w:sz w:val="20"/>
              </w:rPr>
              <w:t>Modular</w:t>
            </w:r>
            <w:r>
              <w:rPr>
                <w:spacing w:val="-9"/>
                <w:sz w:val="20"/>
              </w:rPr>
              <w:t xml:space="preserve"> </w:t>
            </w:r>
            <w:r>
              <w:rPr>
                <w:sz w:val="20"/>
              </w:rPr>
              <w:t>Furniture</w:t>
            </w:r>
            <w:r>
              <w:rPr>
                <w:spacing w:val="-10"/>
                <w:sz w:val="20"/>
              </w:rPr>
              <w:t xml:space="preserve"> </w:t>
            </w:r>
            <w:r>
              <w:rPr>
                <w:sz w:val="20"/>
              </w:rPr>
              <w:t>Task Lighting Fixtures</w:t>
            </w:r>
          </w:p>
        </w:tc>
        <w:tc>
          <w:tcPr>
            <w:tcW w:w="1205" w:type="dxa"/>
            <w:tcBorders>
              <w:bottom w:val="single" w:color="D9D9D9" w:sz="2" w:space="0"/>
            </w:tcBorders>
          </w:tcPr>
          <w:p w:rsidR="00C31389" w:rsidRDefault="00561FBD" w14:paraId="7FEC8EC1" w14:textId="77777777">
            <w:pPr>
              <w:pStyle w:val="TableParagraph"/>
              <w:spacing w:before="151"/>
              <w:ind w:left="350"/>
              <w:rPr>
                <w:sz w:val="20"/>
              </w:rPr>
            </w:pPr>
            <w:r>
              <w:rPr>
                <w:spacing w:val="-5"/>
                <w:sz w:val="20"/>
              </w:rPr>
              <w:t>70%</w:t>
            </w:r>
          </w:p>
        </w:tc>
        <w:tc>
          <w:tcPr>
            <w:tcW w:w="1368" w:type="dxa"/>
            <w:tcBorders>
              <w:bottom w:val="single" w:color="D9D9D9" w:sz="2" w:space="0"/>
            </w:tcBorders>
          </w:tcPr>
          <w:p w:rsidR="00C31389" w:rsidRDefault="00561FBD" w14:paraId="312D6BEA" w14:textId="77777777">
            <w:pPr>
              <w:pStyle w:val="TableParagraph"/>
              <w:spacing w:before="151"/>
              <w:ind w:right="234"/>
              <w:jc w:val="right"/>
              <w:rPr>
                <w:sz w:val="20"/>
              </w:rPr>
            </w:pPr>
            <w:r>
              <w:rPr>
                <w:spacing w:val="-2"/>
                <w:sz w:val="20"/>
              </w:rPr>
              <w:t>1/1/2006</w:t>
            </w:r>
          </w:p>
        </w:tc>
        <w:tc>
          <w:tcPr>
            <w:tcW w:w="1581" w:type="dxa"/>
            <w:tcBorders>
              <w:bottom w:val="single" w:color="D9D9D9" w:sz="2" w:space="0"/>
            </w:tcBorders>
          </w:tcPr>
          <w:p w:rsidR="00C31389" w:rsidRDefault="00561FBD" w14:paraId="3691B5C4" w14:textId="77777777">
            <w:pPr>
              <w:pStyle w:val="TableParagraph"/>
              <w:spacing w:before="151"/>
              <w:ind w:left="198" w:right="155"/>
              <w:jc w:val="center"/>
              <w:rPr>
                <w:sz w:val="20"/>
              </w:rPr>
            </w:pPr>
            <w:r>
              <w:rPr>
                <w:spacing w:val="-2"/>
                <w:sz w:val="20"/>
              </w:rPr>
              <w:t>On-the-books</w:t>
            </w:r>
          </w:p>
        </w:tc>
      </w:tr>
      <w:tr w:rsidR="00C31389" w14:paraId="6A46ABE3" w14:textId="77777777">
        <w:trPr>
          <w:trHeight w:val="539"/>
        </w:trPr>
        <w:tc>
          <w:tcPr>
            <w:tcW w:w="1367" w:type="dxa"/>
            <w:tcBorders>
              <w:top w:val="single" w:color="D9D9D9" w:sz="2" w:space="0"/>
              <w:bottom w:val="single" w:color="D9D9D9" w:sz="2" w:space="0"/>
            </w:tcBorders>
          </w:tcPr>
          <w:p w:rsidR="00C31389" w:rsidRDefault="00561FBD" w14:paraId="3481628E"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20</w:t>
            </w:r>
          </w:p>
        </w:tc>
        <w:tc>
          <w:tcPr>
            <w:tcW w:w="3857" w:type="dxa"/>
            <w:tcBorders>
              <w:top w:val="single" w:color="D9D9D9" w:sz="2" w:space="0"/>
              <w:bottom w:val="single" w:color="D9D9D9" w:sz="2" w:space="0"/>
            </w:tcBorders>
          </w:tcPr>
          <w:p w:rsidR="00C31389" w:rsidRDefault="00561FBD" w14:paraId="62AEBE7F" w14:textId="77777777">
            <w:pPr>
              <w:pStyle w:val="TableParagraph"/>
              <w:ind w:left="202" w:right="448"/>
              <w:rPr>
                <w:sz w:val="20"/>
              </w:rPr>
            </w:pPr>
            <w:r>
              <w:rPr>
                <w:sz w:val="20"/>
              </w:rPr>
              <w:t>2005</w:t>
            </w:r>
            <w:r>
              <w:rPr>
                <w:spacing w:val="-7"/>
                <w:sz w:val="20"/>
              </w:rPr>
              <w:t xml:space="preserve"> </w:t>
            </w:r>
            <w:r>
              <w:rPr>
                <w:sz w:val="20"/>
              </w:rPr>
              <w:t>T-20:</w:t>
            </w:r>
            <w:r>
              <w:rPr>
                <w:spacing w:val="-7"/>
                <w:sz w:val="20"/>
              </w:rPr>
              <w:t xml:space="preserve"> </w:t>
            </w:r>
            <w:r>
              <w:rPr>
                <w:sz w:val="20"/>
              </w:rPr>
              <w:t>Pulse</w:t>
            </w:r>
            <w:r>
              <w:rPr>
                <w:spacing w:val="-7"/>
                <w:sz w:val="20"/>
              </w:rPr>
              <w:t xml:space="preserve"> </w:t>
            </w:r>
            <w:r>
              <w:rPr>
                <w:sz w:val="20"/>
              </w:rPr>
              <w:t>Start</w:t>
            </w:r>
            <w:r>
              <w:rPr>
                <w:spacing w:val="-7"/>
                <w:sz w:val="20"/>
              </w:rPr>
              <w:t xml:space="preserve"> </w:t>
            </w:r>
            <w:r>
              <w:rPr>
                <w:sz w:val="20"/>
              </w:rPr>
              <w:t>Metal</w:t>
            </w:r>
            <w:r>
              <w:rPr>
                <w:spacing w:val="-7"/>
                <w:sz w:val="20"/>
              </w:rPr>
              <w:t xml:space="preserve"> </w:t>
            </w:r>
            <w:r>
              <w:rPr>
                <w:sz w:val="20"/>
              </w:rPr>
              <w:t>Halide HID</w:t>
            </w:r>
            <w:r>
              <w:rPr>
                <w:spacing w:val="-3"/>
                <w:sz w:val="20"/>
              </w:rPr>
              <w:t xml:space="preserve"> </w:t>
            </w:r>
            <w:r>
              <w:rPr>
                <w:sz w:val="20"/>
              </w:rPr>
              <w:t>Luminaires,</w:t>
            </w:r>
            <w:r>
              <w:rPr>
                <w:spacing w:val="-4"/>
                <w:sz w:val="20"/>
              </w:rPr>
              <w:t xml:space="preserve"> </w:t>
            </w:r>
            <w:r>
              <w:rPr>
                <w:sz w:val="20"/>
              </w:rPr>
              <w:t>Tier</w:t>
            </w:r>
            <w:r>
              <w:rPr>
                <w:spacing w:val="-2"/>
                <w:sz w:val="20"/>
              </w:rPr>
              <w:t xml:space="preserve"> </w:t>
            </w:r>
            <w:r>
              <w:rPr>
                <w:sz w:val="20"/>
              </w:rPr>
              <w:t>2(All</w:t>
            </w:r>
            <w:r>
              <w:rPr>
                <w:spacing w:val="-4"/>
                <w:sz w:val="20"/>
              </w:rPr>
              <w:t xml:space="preserve"> </w:t>
            </w:r>
            <w:r>
              <w:rPr>
                <w:sz w:val="20"/>
              </w:rPr>
              <w:t>other</w:t>
            </w:r>
            <w:r>
              <w:rPr>
                <w:spacing w:val="-2"/>
                <w:sz w:val="20"/>
              </w:rPr>
              <w:t xml:space="preserve"> </w:t>
            </w:r>
            <w:r>
              <w:rPr>
                <w:spacing w:val="-5"/>
                <w:sz w:val="20"/>
              </w:rPr>
              <w:t>MH</w:t>
            </w:r>
          </w:p>
        </w:tc>
        <w:tc>
          <w:tcPr>
            <w:tcW w:w="1205" w:type="dxa"/>
            <w:tcBorders>
              <w:top w:val="single" w:color="D9D9D9" w:sz="2" w:space="0"/>
              <w:bottom w:val="single" w:color="D9D9D9" w:sz="2" w:space="0"/>
            </w:tcBorders>
          </w:tcPr>
          <w:p w:rsidR="00C31389" w:rsidRDefault="00561FBD" w14:paraId="64CEF0F7" w14:textId="77777777">
            <w:pPr>
              <w:pStyle w:val="TableParagraph"/>
              <w:spacing w:before="155"/>
              <w:ind w:left="294"/>
              <w:rPr>
                <w:sz w:val="20"/>
              </w:rPr>
            </w:pPr>
            <w:r>
              <w:rPr>
                <w:spacing w:val="-4"/>
                <w:sz w:val="20"/>
              </w:rPr>
              <w:t>100%</w:t>
            </w:r>
          </w:p>
        </w:tc>
        <w:tc>
          <w:tcPr>
            <w:tcW w:w="1368" w:type="dxa"/>
            <w:tcBorders>
              <w:top w:val="single" w:color="D9D9D9" w:sz="2" w:space="0"/>
              <w:bottom w:val="single" w:color="D9D9D9" w:sz="2" w:space="0"/>
            </w:tcBorders>
          </w:tcPr>
          <w:p w:rsidR="00C31389" w:rsidRDefault="00561FBD" w14:paraId="71FF23F8"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6413E50A" w14:textId="77777777">
            <w:pPr>
              <w:pStyle w:val="TableParagraph"/>
              <w:spacing w:before="155"/>
              <w:ind w:left="198" w:right="155"/>
              <w:jc w:val="center"/>
              <w:rPr>
                <w:sz w:val="20"/>
              </w:rPr>
            </w:pPr>
            <w:r>
              <w:rPr>
                <w:spacing w:val="-2"/>
                <w:sz w:val="20"/>
              </w:rPr>
              <w:t>On-the-books</w:t>
            </w:r>
          </w:p>
        </w:tc>
      </w:tr>
      <w:tr w:rsidR="00C31389" w14:paraId="283CA2F4" w14:textId="77777777">
        <w:trPr>
          <w:trHeight w:val="539"/>
        </w:trPr>
        <w:tc>
          <w:tcPr>
            <w:tcW w:w="1367" w:type="dxa"/>
            <w:tcBorders>
              <w:top w:val="single" w:color="D9D9D9" w:sz="2" w:space="0"/>
              <w:bottom w:val="single" w:color="D9D9D9" w:sz="2" w:space="0"/>
            </w:tcBorders>
          </w:tcPr>
          <w:p w:rsidR="00C31389" w:rsidRDefault="00561FBD" w14:paraId="343D1BF3"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2766161E" w14:textId="77777777">
            <w:pPr>
              <w:pStyle w:val="TableParagraph"/>
              <w:ind w:left="202" w:right="448"/>
              <w:rPr>
                <w:sz w:val="20"/>
              </w:rPr>
            </w:pPr>
            <w:r>
              <w:rPr>
                <w:sz w:val="20"/>
              </w:rPr>
              <w:t>2005</w:t>
            </w:r>
            <w:r>
              <w:rPr>
                <w:spacing w:val="-9"/>
                <w:sz w:val="20"/>
              </w:rPr>
              <w:t xml:space="preserve"> </w:t>
            </w:r>
            <w:r>
              <w:rPr>
                <w:sz w:val="20"/>
              </w:rPr>
              <w:t>T-24:</w:t>
            </w:r>
            <w:r>
              <w:rPr>
                <w:spacing w:val="-9"/>
                <w:sz w:val="20"/>
              </w:rPr>
              <w:t xml:space="preserve"> </w:t>
            </w:r>
            <w:r>
              <w:rPr>
                <w:sz w:val="20"/>
              </w:rPr>
              <w:t>Bi-level</w:t>
            </w:r>
            <w:r>
              <w:rPr>
                <w:spacing w:val="-9"/>
                <w:sz w:val="20"/>
              </w:rPr>
              <w:t xml:space="preserve"> </w:t>
            </w:r>
            <w:r>
              <w:rPr>
                <w:sz w:val="20"/>
              </w:rPr>
              <w:t>lighting</w:t>
            </w:r>
            <w:r>
              <w:rPr>
                <w:spacing w:val="-10"/>
                <w:sz w:val="20"/>
              </w:rPr>
              <w:t xml:space="preserve"> </w:t>
            </w:r>
            <w:r>
              <w:rPr>
                <w:sz w:val="20"/>
              </w:rPr>
              <w:t xml:space="preserve">control </w:t>
            </w:r>
            <w:r>
              <w:rPr>
                <w:spacing w:val="-2"/>
                <w:sz w:val="20"/>
              </w:rPr>
              <w:t>credits</w:t>
            </w:r>
          </w:p>
        </w:tc>
        <w:tc>
          <w:tcPr>
            <w:tcW w:w="1205" w:type="dxa"/>
            <w:tcBorders>
              <w:top w:val="single" w:color="D9D9D9" w:sz="2" w:space="0"/>
              <w:bottom w:val="single" w:color="D9D9D9" w:sz="2" w:space="0"/>
            </w:tcBorders>
          </w:tcPr>
          <w:p w:rsidR="00C31389" w:rsidRDefault="00561FBD" w14:paraId="126B3266" w14:textId="77777777">
            <w:pPr>
              <w:pStyle w:val="TableParagraph"/>
              <w:spacing w:before="155"/>
              <w:ind w:left="350"/>
              <w:rPr>
                <w:sz w:val="20"/>
              </w:rPr>
            </w:pPr>
            <w:r>
              <w:rPr>
                <w:spacing w:val="-5"/>
                <w:sz w:val="20"/>
              </w:rPr>
              <w:t>79%</w:t>
            </w:r>
          </w:p>
        </w:tc>
        <w:tc>
          <w:tcPr>
            <w:tcW w:w="1368" w:type="dxa"/>
            <w:tcBorders>
              <w:top w:val="single" w:color="D9D9D9" w:sz="2" w:space="0"/>
              <w:bottom w:val="single" w:color="D9D9D9" w:sz="2" w:space="0"/>
            </w:tcBorders>
          </w:tcPr>
          <w:p w:rsidR="00C31389" w:rsidRDefault="00561FBD" w14:paraId="3579410E" w14:textId="77777777">
            <w:pPr>
              <w:pStyle w:val="TableParagraph"/>
              <w:spacing w:before="155"/>
              <w:ind w:right="234"/>
              <w:jc w:val="right"/>
              <w:rPr>
                <w:sz w:val="20"/>
              </w:rPr>
            </w:pPr>
            <w:r>
              <w:rPr>
                <w:spacing w:val="-2"/>
                <w:sz w:val="20"/>
              </w:rPr>
              <w:t>1/1/2008</w:t>
            </w:r>
          </w:p>
        </w:tc>
        <w:tc>
          <w:tcPr>
            <w:tcW w:w="1581" w:type="dxa"/>
            <w:tcBorders>
              <w:top w:val="single" w:color="D9D9D9" w:sz="2" w:space="0"/>
              <w:bottom w:val="single" w:color="D9D9D9" w:sz="2" w:space="0"/>
            </w:tcBorders>
          </w:tcPr>
          <w:p w:rsidR="00C31389" w:rsidRDefault="00561FBD" w14:paraId="07C1934D" w14:textId="77777777">
            <w:pPr>
              <w:pStyle w:val="TableParagraph"/>
              <w:spacing w:before="155"/>
              <w:ind w:left="198" w:right="155"/>
              <w:jc w:val="center"/>
              <w:rPr>
                <w:sz w:val="20"/>
              </w:rPr>
            </w:pPr>
            <w:r>
              <w:rPr>
                <w:spacing w:val="-2"/>
                <w:sz w:val="20"/>
              </w:rPr>
              <w:t>On-the-books</w:t>
            </w:r>
          </w:p>
        </w:tc>
      </w:tr>
      <w:tr w:rsidR="00C31389" w14:paraId="24F56532" w14:textId="77777777">
        <w:trPr>
          <w:trHeight w:val="539"/>
        </w:trPr>
        <w:tc>
          <w:tcPr>
            <w:tcW w:w="1367" w:type="dxa"/>
            <w:tcBorders>
              <w:top w:val="single" w:color="D9D9D9" w:sz="2" w:space="0"/>
              <w:bottom w:val="single" w:color="D9D9D9" w:sz="2" w:space="0"/>
            </w:tcBorders>
          </w:tcPr>
          <w:p w:rsidR="00C31389" w:rsidRDefault="00561FBD" w14:paraId="39442409"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06274C5B" w14:textId="77777777">
            <w:pPr>
              <w:pStyle w:val="TableParagraph"/>
              <w:ind w:left="202"/>
              <w:rPr>
                <w:sz w:val="20"/>
              </w:rPr>
            </w:pPr>
            <w:r>
              <w:rPr>
                <w:sz w:val="20"/>
              </w:rPr>
              <w:t>2005</w:t>
            </w:r>
            <w:r>
              <w:rPr>
                <w:spacing w:val="-4"/>
                <w:sz w:val="20"/>
              </w:rPr>
              <w:t xml:space="preserve"> </w:t>
            </w:r>
            <w:r>
              <w:rPr>
                <w:sz w:val="20"/>
              </w:rPr>
              <w:t>T-24:</w:t>
            </w:r>
            <w:r>
              <w:rPr>
                <w:spacing w:val="-3"/>
                <w:sz w:val="20"/>
              </w:rPr>
              <w:t xml:space="preserve"> </w:t>
            </w:r>
            <w:r>
              <w:rPr>
                <w:sz w:val="20"/>
              </w:rPr>
              <w:t>Composite</w:t>
            </w:r>
            <w:r>
              <w:rPr>
                <w:spacing w:val="-3"/>
                <w:sz w:val="20"/>
              </w:rPr>
              <w:t xml:space="preserve"> </w:t>
            </w:r>
            <w:r>
              <w:rPr>
                <w:sz w:val="20"/>
              </w:rPr>
              <w:t>for</w:t>
            </w:r>
            <w:r>
              <w:rPr>
                <w:spacing w:val="-4"/>
                <w:sz w:val="20"/>
              </w:rPr>
              <w:t xml:space="preserve"> </w:t>
            </w:r>
            <w:r>
              <w:rPr>
                <w:spacing w:val="-2"/>
                <w:sz w:val="20"/>
              </w:rPr>
              <w:t>Remainder</w:t>
            </w:r>
          </w:p>
          <w:p w:rsidR="00C31389" w:rsidRDefault="00561FBD" w14:paraId="2CA905CB" w14:textId="77777777">
            <w:pPr>
              <w:pStyle w:val="TableParagraph"/>
              <w:spacing w:before="0"/>
              <w:ind w:left="202"/>
              <w:rPr>
                <w:sz w:val="20"/>
              </w:rPr>
            </w:pPr>
            <w:r>
              <w:rPr>
                <w:sz w:val="20"/>
              </w:rPr>
              <w:t>-</w:t>
            </w:r>
            <w:r>
              <w:rPr>
                <w:spacing w:val="-4"/>
                <w:sz w:val="20"/>
              </w:rPr>
              <w:t xml:space="preserve"> </w:t>
            </w:r>
            <w:r>
              <w:rPr>
                <w:sz w:val="20"/>
              </w:rPr>
              <w:t>Non-</w:t>
            </w:r>
            <w:r>
              <w:rPr>
                <w:spacing w:val="-5"/>
                <w:sz w:val="20"/>
              </w:rPr>
              <w:t>Res</w:t>
            </w:r>
          </w:p>
        </w:tc>
        <w:tc>
          <w:tcPr>
            <w:tcW w:w="1205" w:type="dxa"/>
            <w:tcBorders>
              <w:top w:val="single" w:color="D9D9D9" w:sz="2" w:space="0"/>
              <w:bottom w:val="single" w:color="D9D9D9" w:sz="2" w:space="0"/>
            </w:tcBorders>
          </w:tcPr>
          <w:p w:rsidR="00C31389" w:rsidRDefault="00561FBD" w14:paraId="6B500234" w14:textId="77777777">
            <w:pPr>
              <w:pStyle w:val="TableParagraph"/>
              <w:spacing w:before="155"/>
              <w:ind w:left="350"/>
              <w:rPr>
                <w:sz w:val="20"/>
              </w:rPr>
            </w:pPr>
            <w:r>
              <w:rPr>
                <w:spacing w:val="-5"/>
                <w:sz w:val="20"/>
              </w:rPr>
              <w:t>85%</w:t>
            </w:r>
          </w:p>
        </w:tc>
        <w:tc>
          <w:tcPr>
            <w:tcW w:w="1368" w:type="dxa"/>
            <w:tcBorders>
              <w:top w:val="single" w:color="D9D9D9" w:sz="2" w:space="0"/>
              <w:bottom w:val="single" w:color="D9D9D9" w:sz="2" w:space="0"/>
            </w:tcBorders>
          </w:tcPr>
          <w:p w:rsidR="00C31389" w:rsidRDefault="00561FBD" w14:paraId="77716D56"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557C8489" w14:textId="77777777">
            <w:pPr>
              <w:pStyle w:val="TableParagraph"/>
              <w:spacing w:before="155"/>
              <w:ind w:left="198" w:right="155"/>
              <w:jc w:val="center"/>
              <w:rPr>
                <w:sz w:val="20"/>
              </w:rPr>
            </w:pPr>
            <w:r>
              <w:rPr>
                <w:spacing w:val="-2"/>
                <w:sz w:val="20"/>
              </w:rPr>
              <w:t>On-the-books</w:t>
            </w:r>
          </w:p>
        </w:tc>
      </w:tr>
      <w:tr w:rsidR="00C31389" w14:paraId="6824FEC7" w14:textId="77777777">
        <w:trPr>
          <w:trHeight w:val="541"/>
        </w:trPr>
        <w:tc>
          <w:tcPr>
            <w:tcW w:w="1367" w:type="dxa"/>
            <w:tcBorders>
              <w:top w:val="single" w:color="D9D9D9" w:sz="2" w:space="0"/>
              <w:bottom w:val="single" w:color="D9D9D9" w:sz="2" w:space="0"/>
            </w:tcBorders>
          </w:tcPr>
          <w:p w:rsidR="00C31389" w:rsidRDefault="00561FBD" w14:paraId="7537F871"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7F42F99D" w14:textId="77777777">
            <w:pPr>
              <w:pStyle w:val="TableParagraph"/>
              <w:spacing w:before="41"/>
              <w:ind w:left="202"/>
              <w:rPr>
                <w:sz w:val="20"/>
              </w:rPr>
            </w:pPr>
            <w:r>
              <w:rPr>
                <w:sz w:val="20"/>
              </w:rPr>
              <w:t>2005</w:t>
            </w:r>
            <w:r>
              <w:rPr>
                <w:spacing w:val="-4"/>
                <w:sz w:val="20"/>
              </w:rPr>
              <w:t xml:space="preserve"> </w:t>
            </w:r>
            <w:r>
              <w:rPr>
                <w:sz w:val="20"/>
              </w:rPr>
              <w:t>T-24:</w:t>
            </w:r>
            <w:r>
              <w:rPr>
                <w:spacing w:val="-3"/>
                <w:sz w:val="20"/>
              </w:rPr>
              <w:t xml:space="preserve"> </w:t>
            </w:r>
            <w:r>
              <w:rPr>
                <w:sz w:val="20"/>
              </w:rPr>
              <w:t>Composite</w:t>
            </w:r>
            <w:r>
              <w:rPr>
                <w:spacing w:val="-3"/>
                <w:sz w:val="20"/>
              </w:rPr>
              <w:t xml:space="preserve"> </w:t>
            </w:r>
            <w:r>
              <w:rPr>
                <w:sz w:val="20"/>
              </w:rPr>
              <w:t>for</w:t>
            </w:r>
            <w:r>
              <w:rPr>
                <w:spacing w:val="-4"/>
                <w:sz w:val="20"/>
              </w:rPr>
              <w:t xml:space="preserve"> </w:t>
            </w:r>
            <w:r>
              <w:rPr>
                <w:spacing w:val="-2"/>
                <w:sz w:val="20"/>
              </w:rPr>
              <w:t>Remainder</w:t>
            </w:r>
          </w:p>
          <w:p w:rsidR="00C31389" w:rsidRDefault="00561FBD" w14:paraId="476EF1E6" w14:textId="77777777">
            <w:pPr>
              <w:pStyle w:val="TableParagraph"/>
              <w:spacing w:before="1"/>
              <w:ind w:left="202"/>
              <w:rPr>
                <w:sz w:val="20"/>
              </w:rPr>
            </w:pPr>
            <w:r>
              <w:rPr>
                <w:sz w:val="20"/>
              </w:rPr>
              <w:t>-</w:t>
            </w:r>
            <w:r>
              <w:rPr>
                <w:spacing w:val="-1"/>
                <w:sz w:val="20"/>
              </w:rPr>
              <w:t xml:space="preserve"> </w:t>
            </w:r>
            <w:r>
              <w:rPr>
                <w:spacing w:val="-5"/>
                <w:sz w:val="20"/>
              </w:rPr>
              <w:t>Res</w:t>
            </w:r>
          </w:p>
        </w:tc>
        <w:tc>
          <w:tcPr>
            <w:tcW w:w="1205" w:type="dxa"/>
            <w:tcBorders>
              <w:top w:val="single" w:color="D9D9D9" w:sz="2" w:space="0"/>
              <w:bottom w:val="single" w:color="D9D9D9" w:sz="2" w:space="0"/>
            </w:tcBorders>
          </w:tcPr>
          <w:p w:rsidR="00C31389" w:rsidRDefault="00561FBD" w14:paraId="0642D3C2" w14:textId="77777777">
            <w:pPr>
              <w:pStyle w:val="TableParagraph"/>
              <w:spacing w:before="155"/>
              <w:ind w:left="294"/>
              <w:rPr>
                <w:sz w:val="20"/>
              </w:rPr>
            </w:pPr>
            <w:r>
              <w:rPr>
                <w:spacing w:val="-4"/>
                <w:sz w:val="20"/>
              </w:rPr>
              <w:t>120%</w:t>
            </w:r>
          </w:p>
        </w:tc>
        <w:tc>
          <w:tcPr>
            <w:tcW w:w="1368" w:type="dxa"/>
            <w:tcBorders>
              <w:top w:val="single" w:color="D9D9D9" w:sz="2" w:space="0"/>
              <w:bottom w:val="single" w:color="D9D9D9" w:sz="2" w:space="0"/>
            </w:tcBorders>
          </w:tcPr>
          <w:p w:rsidR="00C31389" w:rsidRDefault="00561FBD" w14:paraId="4CC26CBA"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59D1FEB3" w14:textId="77777777">
            <w:pPr>
              <w:pStyle w:val="TableParagraph"/>
              <w:spacing w:before="155"/>
              <w:ind w:left="198" w:right="155"/>
              <w:jc w:val="center"/>
              <w:rPr>
                <w:sz w:val="20"/>
              </w:rPr>
            </w:pPr>
            <w:r>
              <w:rPr>
                <w:spacing w:val="-2"/>
                <w:sz w:val="20"/>
              </w:rPr>
              <w:t>On-the-books</w:t>
            </w:r>
          </w:p>
        </w:tc>
      </w:tr>
      <w:tr w:rsidR="00C31389" w14:paraId="63FC787B" w14:textId="77777777">
        <w:trPr>
          <w:trHeight w:val="309"/>
        </w:trPr>
        <w:tc>
          <w:tcPr>
            <w:tcW w:w="1367" w:type="dxa"/>
            <w:tcBorders>
              <w:top w:val="single" w:color="D9D9D9" w:sz="2" w:space="0"/>
              <w:bottom w:val="single" w:color="D9D9D9" w:sz="2" w:space="0"/>
            </w:tcBorders>
          </w:tcPr>
          <w:p w:rsidR="00C31389" w:rsidRDefault="00561FBD" w14:paraId="6E4F0BC1" w14:textId="77777777">
            <w:pPr>
              <w:pStyle w:val="TableParagraph"/>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6982E7CB" w14:textId="77777777">
            <w:pPr>
              <w:pStyle w:val="TableParagraph"/>
              <w:ind w:left="202"/>
              <w:rPr>
                <w:sz w:val="20"/>
              </w:rPr>
            </w:pPr>
            <w:r>
              <w:rPr>
                <w:sz w:val="20"/>
              </w:rPr>
              <w:t>2005</w:t>
            </w:r>
            <w:r>
              <w:rPr>
                <w:spacing w:val="-2"/>
                <w:sz w:val="20"/>
              </w:rPr>
              <w:t xml:space="preserve"> </w:t>
            </w:r>
            <w:r>
              <w:rPr>
                <w:sz w:val="20"/>
              </w:rPr>
              <w:t>T-24:</w:t>
            </w:r>
            <w:r>
              <w:rPr>
                <w:spacing w:val="-2"/>
                <w:sz w:val="20"/>
              </w:rPr>
              <w:t xml:space="preserve"> </w:t>
            </w:r>
            <w:r>
              <w:rPr>
                <w:sz w:val="20"/>
              </w:rPr>
              <w:t>Cool</w:t>
            </w:r>
            <w:r>
              <w:rPr>
                <w:spacing w:val="-2"/>
                <w:sz w:val="20"/>
              </w:rPr>
              <w:t xml:space="preserve"> </w:t>
            </w:r>
            <w:r>
              <w:rPr>
                <w:spacing w:val="-4"/>
                <w:sz w:val="20"/>
              </w:rPr>
              <w:t>roofs</w:t>
            </w:r>
          </w:p>
        </w:tc>
        <w:tc>
          <w:tcPr>
            <w:tcW w:w="1205" w:type="dxa"/>
            <w:tcBorders>
              <w:top w:val="single" w:color="D9D9D9" w:sz="2" w:space="0"/>
              <w:bottom w:val="single" w:color="D9D9D9" w:sz="2" w:space="0"/>
            </w:tcBorders>
          </w:tcPr>
          <w:p w:rsidR="00C31389" w:rsidRDefault="00561FBD" w14:paraId="5E033A2D" w14:textId="77777777">
            <w:pPr>
              <w:pStyle w:val="TableParagraph"/>
              <w:ind w:left="350"/>
              <w:rPr>
                <w:sz w:val="20"/>
              </w:rPr>
            </w:pPr>
            <w:r>
              <w:rPr>
                <w:spacing w:val="-5"/>
                <w:sz w:val="20"/>
              </w:rPr>
              <w:t>75%</w:t>
            </w:r>
          </w:p>
        </w:tc>
        <w:tc>
          <w:tcPr>
            <w:tcW w:w="1368" w:type="dxa"/>
            <w:tcBorders>
              <w:top w:val="single" w:color="D9D9D9" w:sz="2" w:space="0"/>
              <w:bottom w:val="single" w:color="D9D9D9" w:sz="2" w:space="0"/>
            </w:tcBorders>
          </w:tcPr>
          <w:p w:rsidR="00C31389" w:rsidRDefault="00561FBD" w14:paraId="3CDBAB9C" w14:textId="77777777">
            <w:pPr>
              <w:pStyle w:val="TableParagraph"/>
              <w:ind w:right="234"/>
              <w:jc w:val="right"/>
              <w:rPr>
                <w:sz w:val="20"/>
              </w:rPr>
            </w:pPr>
            <w:r>
              <w:rPr>
                <w:spacing w:val="-2"/>
                <w:sz w:val="20"/>
              </w:rPr>
              <w:t>1/1/2008</w:t>
            </w:r>
          </w:p>
        </w:tc>
        <w:tc>
          <w:tcPr>
            <w:tcW w:w="1581" w:type="dxa"/>
            <w:tcBorders>
              <w:top w:val="single" w:color="D9D9D9" w:sz="2" w:space="0"/>
              <w:bottom w:val="single" w:color="D9D9D9" w:sz="2" w:space="0"/>
            </w:tcBorders>
          </w:tcPr>
          <w:p w:rsidR="00C31389" w:rsidRDefault="00561FBD" w14:paraId="525362A7" w14:textId="77777777">
            <w:pPr>
              <w:pStyle w:val="TableParagraph"/>
              <w:ind w:left="198" w:right="155"/>
              <w:jc w:val="center"/>
              <w:rPr>
                <w:sz w:val="20"/>
              </w:rPr>
            </w:pPr>
            <w:r>
              <w:rPr>
                <w:spacing w:val="-2"/>
                <w:sz w:val="20"/>
              </w:rPr>
              <w:t>On-the-books</w:t>
            </w:r>
          </w:p>
        </w:tc>
      </w:tr>
      <w:tr w:rsidR="00C31389" w14:paraId="555E5AC5" w14:textId="77777777">
        <w:trPr>
          <w:trHeight w:val="310"/>
        </w:trPr>
        <w:tc>
          <w:tcPr>
            <w:tcW w:w="1367" w:type="dxa"/>
            <w:tcBorders>
              <w:top w:val="single" w:color="D9D9D9" w:sz="2" w:space="0"/>
              <w:bottom w:val="single" w:color="D9D9D9" w:sz="2" w:space="0"/>
            </w:tcBorders>
          </w:tcPr>
          <w:p w:rsidR="00C31389" w:rsidRDefault="00561FBD" w14:paraId="67A70263" w14:textId="77777777">
            <w:pPr>
              <w:pStyle w:val="TableParagraph"/>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0D138BE6" w14:textId="77777777">
            <w:pPr>
              <w:pStyle w:val="TableParagraph"/>
              <w:ind w:left="202"/>
              <w:rPr>
                <w:sz w:val="20"/>
              </w:rPr>
            </w:pPr>
            <w:r>
              <w:rPr>
                <w:sz w:val="20"/>
              </w:rPr>
              <w:t>2005</w:t>
            </w:r>
            <w:r>
              <w:rPr>
                <w:spacing w:val="-3"/>
                <w:sz w:val="20"/>
              </w:rPr>
              <w:t xml:space="preserve"> </w:t>
            </w:r>
            <w:r>
              <w:rPr>
                <w:sz w:val="20"/>
              </w:rPr>
              <w:t>T-24:</w:t>
            </w:r>
            <w:r>
              <w:rPr>
                <w:spacing w:val="-4"/>
                <w:sz w:val="20"/>
              </w:rPr>
              <w:t xml:space="preserve"> </w:t>
            </w:r>
            <w:r>
              <w:rPr>
                <w:sz w:val="20"/>
              </w:rPr>
              <w:t>Cooling</w:t>
            </w:r>
            <w:r>
              <w:rPr>
                <w:spacing w:val="-3"/>
                <w:sz w:val="20"/>
              </w:rPr>
              <w:t xml:space="preserve"> </w:t>
            </w:r>
            <w:r>
              <w:rPr>
                <w:sz w:val="20"/>
              </w:rPr>
              <w:t>tower</w:t>
            </w:r>
            <w:r>
              <w:rPr>
                <w:spacing w:val="-3"/>
                <w:sz w:val="20"/>
              </w:rPr>
              <w:t xml:space="preserve"> </w:t>
            </w:r>
            <w:r>
              <w:rPr>
                <w:spacing w:val="-2"/>
                <w:sz w:val="20"/>
              </w:rPr>
              <w:t>applications</w:t>
            </w:r>
          </w:p>
        </w:tc>
        <w:tc>
          <w:tcPr>
            <w:tcW w:w="1205" w:type="dxa"/>
            <w:tcBorders>
              <w:top w:val="single" w:color="D9D9D9" w:sz="2" w:space="0"/>
              <w:bottom w:val="single" w:color="D9D9D9" w:sz="2" w:space="0"/>
            </w:tcBorders>
          </w:tcPr>
          <w:p w:rsidR="00C31389" w:rsidRDefault="00561FBD" w14:paraId="41EABAAA" w14:textId="77777777">
            <w:pPr>
              <w:pStyle w:val="TableParagraph"/>
              <w:ind w:left="350"/>
              <w:rPr>
                <w:sz w:val="20"/>
              </w:rPr>
            </w:pPr>
            <w:r>
              <w:rPr>
                <w:spacing w:val="-5"/>
                <w:sz w:val="20"/>
              </w:rPr>
              <w:t>88%</w:t>
            </w:r>
          </w:p>
        </w:tc>
        <w:tc>
          <w:tcPr>
            <w:tcW w:w="1368" w:type="dxa"/>
            <w:tcBorders>
              <w:top w:val="single" w:color="D9D9D9" w:sz="2" w:space="0"/>
              <w:bottom w:val="single" w:color="D9D9D9" w:sz="2" w:space="0"/>
            </w:tcBorders>
          </w:tcPr>
          <w:p w:rsidR="00C31389" w:rsidRDefault="00561FBD" w14:paraId="6507E9DE" w14:textId="77777777">
            <w:pPr>
              <w:pStyle w:val="TableParagraph"/>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7BA3C8E1" w14:textId="77777777">
            <w:pPr>
              <w:pStyle w:val="TableParagraph"/>
              <w:ind w:left="198" w:right="155"/>
              <w:jc w:val="center"/>
              <w:rPr>
                <w:sz w:val="20"/>
              </w:rPr>
            </w:pPr>
            <w:r>
              <w:rPr>
                <w:spacing w:val="-2"/>
                <w:sz w:val="20"/>
              </w:rPr>
              <w:t>On-the-books</w:t>
            </w:r>
          </w:p>
        </w:tc>
      </w:tr>
      <w:tr w:rsidR="00C31389" w14:paraId="7867F1EF" w14:textId="77777777">
        <w:trPr>
          <w:trHeight w:val="309"/>
        </w:trPr>
        <w:tc>
          <w:tcPr>
            <w:tcW w:w="1367" w:type="dxa"/>
            <w:tcBorders>
              <w:top w:val="single" w:color="D9D9D9" w:sz="2" w:space="0"/>
              <w:bottom w:val="single" w:color="D9D9D9" w:sz="2" w:space="0"/>
            </w:tcBorders>
          </w:tcPr>
          <w:p w:rsidR="00C31389" w:rsidRDefault="00561FBD" w14:paraId="1FCD1B4C" w14:textId="77777777">
            <w:pPr>
              <w:pStyle w:val="TableParagraph"/>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1A9D0362" w14:textId="77777777">
            <w:pPr>
              <w:pStyle w:val="TableParagraph"/>
              <w:ind w:left="202"/>
              <w:rPr>
                <w:sz w:val="20"/>
              </w:rPr>
            </w:pPr>
            <w:r>
              <w:rPr>
                <w:sz w:val="20"/>
              </w:rPr>
              <w:t>2005</w:t>
            </w:r>
            <w:r>
              <w:rPr>
                <w:spacing w:val="-2"/>
                <w:sz w:val="20"/>
              </w:rPr>
              <w:t xml:space="preserve"> </w:t>
            </w:r>
            <w:r>
              <w:rPr>
                <w:sz w:val="20"/>
              </w:rPr>
              <w:t>T-24:</w:t>
            </w:r>
            <w:r>
              <w:rPr>
                <w:spacing w:val="-2"/>
                <w:sz w:val="20"/>
              </w:rPr>
              <w:t xml:space="preserve"> </w:t>
            </w:r>
            <w:r>
              <w:rPr>
                <w:sz w:val="20"/>
              </w:rPr>
              <w:t>Duct</w:t>
            </w:r>
            <w:r>
              <w:rPr>
                <w:spacing w:val="-2"/>
                <w:sz w:val="20"/>
              </w:rPr>
              <w:t xml:space="preserve"> improvement</w:t>
            </w:r>
          </w:p>
        </w:tc>
        <w:tc>
          <w:tcPr>
            <w:tcW w:w="1205" w:type="dxa"/>
            <w:tcBorders>
              <w:top w:val="single" w:color="D9D9D9" w:sz="2" w:space="0"/>
              <w:bottom w:val="single" w:color="D9D9D9" w:sz="2" w:space="0"/>
            </w:tcBorders>
          </w:tcPr>
          <w:p w:rsidR="00C31389" w:rsidRDefault="00561FBD" w14:paraId="1497991A" w14:textId="77777777">
            <w:pPr>
              <w:pStyle w:val="TableParagraph"/>
              <w:ind w:left="350"/>
              <w:rPr>
                <w:sz w:val="20"/>
              </w:rPr>
            </w:pPr>
            <w:r>
              <w:rPr>
                <w:spacing w:val="-5"/>
                <w:sz w:val="20"/>
              </w:rPr>
              <w:t>59%</w:t>
            </w:r>
          </w:p>
        </w:tc>
        <w:tc>
          <w:tcPr>
            <w:tcW w:w="1368" w:type="dxa"/>
            <w:tcBorders>
              <w:top w:val="single" w:color="D9D9D9" w:sz="2" w:space="0"/>
              <w:bottom w:val="single" w:color="D9D9D9" w:sz="2" w:space="0"/>
            </w:tcBorders>
          </w:tcPr>
          <w:p w:rsidR="00C31389" w:rsidRDefault="00561FBD" w14:paraId="16D92D66" w14:textId="77777777">
            <w:pPr>
              <w:pStyle w:val="TableParagraph"/>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24AF6950" w14:textId="77777777">
            <w:pPr>
              <w:pStyle w:val="TableParagraph"/>
              <w:ind w:left="198" w:right="155"/>
              <w:jc w:val="center"/>
              <w:rPr>
                <w:sz w:val="20"/>
              </w:rPr>
            </w:pPr>
            <w:r>
              <w:rPr>
                <w:spacing w:val="-2"/>
                <w:sz w:val="20"/>
              </w:rPr>
              <w:t>On-the-books</w:t>
            </w:r>
          </w:p>
        </w:tc>
      </w:tr>
      <w:tr w:rsidR="00C31389" w14:paraId="728254A1" w14:textId="77777777">
        <w:trPr>
          <w:trHeight w:val="539"/>
        </w:trPr>
        <w:tc>
          <w:tcPr>
            <w:tcW w:w="1367" w:type="dxa"/>
            <w:tcBorders>
              <w:top w:val="single" w:color="D9D9D9" w:sz="2" w:space="0"/>
              <w:bottom w:val="single" w:color="D9D9D9" w:sz="2" w:space="0"/>
            </w:tcBorders>
          </w:tcPr>
          <w:p w:rsidR="00C31389" w:rsidRDefault="00561FBD" w14:paraId="46B94FCA"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4E36DCDC" w14:textId="77777777">
            <w:pPr>
              <w:pStyle w:val="TableParagraph"/>
              <w:ind w:left="202" w:right="448"/>
              <w:rPr>
                <w:sz w:val="20"/>
              </w:rPr>
            </w:pPr>
            <w:r>
              <w:rPr>
                <w:sz w:val="20"/>
              </w:rPr>
              <w:t>2005</w:t>
            </w:r>
            <w:r>
              <w:rPr>
                <w:spacing w:val="-9"/>
                <w:sz w:val="20"/>
              </w:rPr>
              <w:t xml:space="preserve"> </w:t>
            </w:r>
            <w:r>
              <w:rPr>
                <w:sz w:val="20"/>
              </w:rPr>
              <w:t>T-24:</w:t>
            </w:r>
            <w:r>
              <w:rPr>
                <w:spacing w:val="-9"/>
                <w:sz w:val="20"/>
              </w:rPr>
              <w:t xml:space="preserve"> </w:t>
            </w:r>
            <w:r>
              <w:rPr>
                <w:sz w:val="20"/>
              </w:rPr>
              <w:t>Duct</w:t>
            </w:r>
            <w:r>
              <w:rPr>
                <w:spacing w:val="-9"/>
                <w:sz w:val="20"/>
              </w:rPr>
              <w:t xml:space="preserve"> </w:t>
            </w:r>
            <w:r>
              <w:rPr>
                <w:sz w:val="20"/>
              </w:rPr>
              <w:t>testing/sealing</w:t>
            </w:r>
            <w:r>
              <w:rPr>
                <w:spacing w:val="-9"/>
                <w:sz w:val="20"/>
              </w:rPr>
              <w:t xml:space="preserve"> </w:t>
            </w:r>
            <w:r>
              <w:rPr>
                <w:sz w:val="20"/>
              </w:rPr>
              <w:t>in new commercial buildings</w:t>
            </w:r>
          </w:p>
        </w:tc>
        <w:tc>
          <w:tcPr>
            <w:tcW w:w="1205" w:type="dxa"/>
            <w:tcBorders>
              <w:top w:val="single" w:color="D9D9D9" w:sz="2" w:space="0"/>
              <w:bottom w:val="single" w:color="D9D9D9" w:sz="2" w:space="0"/>
            </w:tcBorders>
          </w:tcPr>
          <w:p w:rsidR="00C31389" w:rsidRDefault="00561FBD" w14:paraId="29C3D404" w14:textId="77777777">
            <w:pPr>
              <w:pStyle w:val="TableParagraph"/>
              <w:spacing w:before="155"/>
              <w:ind w:left="350"/>
              <w:rPr>
                <w:sz w:val="20"/>
              </w:rPr>
            </w:pPr>
            <w:r>
              <w:rPr>
                <w:spacing w:val="-5"/>
                <w:sz w:val="20"/>
              </w:rPr>
              <w:t>82%</w:t>
            </w:r>
          </w:p>
        </w:tc>
        <w:tc>
          <w:tcPr>
            <w:tcW w:w="1368" w:type="dxa"/>
            <w:tcBorders>
              <w:top w:val="single" w:color="D9D9D9" w:sz="2" w:space="0"/>
              <w:bottom w:val="single" w:color="D9D9D9" w:sz="2" w:space="0"/>
            </w:tcBorders>
          </w:tcPr>
          <w:p w:rsidR="00C31389" w:rsidRDefault="00561FBD" w14:paraId="58A96D1A"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76CB5B81" w14:textId="77777777">
            <w:pPr>
              <w:pStyle w:val="TableParagraph"/>
              <w:spacing w:before="155"/>
              <w:ind w:left="198" w:right="155"/>
              <w:jc w:val="center"/>
              <w:rPr>
                <w:sz w:val="20"/>
              </w:rPr>
            </w:pPr>
            <w:r>
              <w:rPr>
                <w:spacing w:val="-2"/>
                <w:sz w:val="20"/>
              </w:rPr>
              <w:t>On-the-books</w:t>
            </w:r>
          </w:p>
        </w:tc>
      </w:tr>
      <w:tr w:rsidR="00C31389" w14:paraId="1908F83D" w14:textId="77777777">
        <w:trPr>
          <w:trHeight w:val="539"/>
        </w:trPr>
        <w:tc>
          <w:tcPr>
            <w:tcW w:w="1367" w:type="dxa"/>
            <w:tcBorders>
              <w:top w:val="single" w:color="D9D9D9" w:sz="2" w:space="0"/>
              <w:bottom w:val="single" w:color="D9D9D9" w:sz="2" w:space="0"/>
            </w:tcBorders>
          </w:tcPr>
          <w:p w:rsidR="00C31389" w:rsidRDefault="00561FBD" w14:paraId="0CF58C91"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431E55B1" w14:textId="77777777">
            <w:pPr>
              <w:pStyle w:val="TableParagraph"/>
              <w:ind w:left="202" w:right="448"/>
              <w:rPr>
                <w:sz w:val="20"/>
              </w:rPr>
            </w:pPr>
            <w:r>
              <w:rPr>
                <w:sz w:val="20"/>
              </w:rPr>
              <w:t>2005</w:t>
            </w:r>
            <w:r>
              <w:rPr>
                <w:spacing w:val="-10"/>
                <w:sz w:val="20"/>
              </w:rPr>
              <w:t xml:space="preserve"> </w:t>
            </w:r>
            <w:r>
              <w:rPr>
                <w:sz w:val="20"/>
              </w:rPr>
              <w:t>T-24:</w:t>
            </w:r>
            <w:r>
              <w:rPr>
                <w:spacing w:val="-10"/>
                <w:sz w:val="20"/>
              </w:rPr>
              <w:t xml:space="preserve"> </w:t>
            </w:r>
            <w:r>
              <w:rPr>
                <w:sz w:val="20"/>
              </w:rPr>
              <w:t>Ducts</w:t>
            </w:r>
            <w:r>
              <w:rPr>
                <w:spacing w:val="-9"/>
                <w:sz w:val="20"/>
              </w:rPr>
              <w:t xml:space="preserve"> </w:t>
            </w:r>
            <w:r>
              <w:rPr>
                <w:sz w:val="20"/>
              </w:rPr>
              <w:t>in</w:t>
            </w:r>
            <w:r>
              <w:rPr>
                <w:spacing w:val="-10"/>
                <w:sz w:val="20"/>
              </w:rPr>
              <w:t xml:space="preserve"> </w:t>
            </w:r>
            <w:r>
              <w:rPr>
                <w:sz w:val="20"/>
              </w:rPr>
              <w:t>existing commercial buildings</w:t>
            </w:r>
          </w:p>
        </w:tc>
        <w:tc>
          <w:tcPr>
            <w:tcW w:w="1205" w:type="dxa"/>
            <w:tcBorders>
              <w:top w:val="single" w:color="D9D9D9" w:sz="2" w:space="0"/>
              <w:bottom w:val="single" w:color="D9D9D9" w:sz="2" w:space="0"/>
            </w:tcBorders>
          </w:tcPr>
          <w:p w:rsidR="00C31389" w:rsidRDefault="00561FBD" w14:paraId="7DCA37EC" w14:textId="77777777">
            <w:pPr>
              <w:pStyle w:val="TableParagraph"/>
              <w:spacing w:before="155"/>
              <w:ind w:left="350"/>
              <w:rPr>
                <w:sz w:val="20"/>
              </w:rPr>
            </w:pPr>
            <w:r>
              <w:rPr>
                <w:spacing w:val="-5"/>
                <w:sz w:val="20"/>
              </w:rPr>
              <w:t>75%</w:t>
            </w:r>
          </w:p>
        </w:tc>
        <w:tc>
          <w:tcPr>
            <w:tcW w:w="1368" w:type="dxa"/>
            <w:tcBorders>
              <w:top w:val="single" w:color="D9D9D9" w:sz="2" w:space="0"/>
              <w:bottom w:val="single" w:color="D9D9D9" w:sz="2" w:space="0"/>
            </w:tcBorders>
          </w:tcPr>
          <w:p w:rsidR="00C31389" w:rsidRDefault="00561FBD" w14:paraId="51D043A8"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3DC065AA" w14:textId="77777777">
            <w:pPr>
              <w:pStyle w:val="TableParagraph"/>
              <w:spacing w:before="155"/>
              <w:ind w:left="198" w:right="155"/>
              <w:jc w:val="center"/>
              <w:rPr>
                <w:sz w:val="20"/>
              </w:rPr>
            </w:pPr>
            <w:r>
              <w:rPr>
                <w:spacing w:val="-2"/>
                <w:sz w:val="20"/>
              </w:rPr>
              <w:t>On-the-books</w:t>
            </w:r>
          </w:p>
        </w:tc>
      </w:tr>
      <w:tr w:rsidR="00C31389" w14:paraId="5AD45B97" w14:textId="77777777">
        <w:trPr>
          <w:trHeight w:val="539"/>
        </w:trPr>
        <w:tc>
          <w:tcPr>
            <w:tcW w:w="1367" w:type="dxa"/>
            <w:tcBorders>
              <w:top w:val="single" w:color="D9D9D9" w:sz="2" w:space="0"/>
              <w:bottom w:val="single" w:color="D9D9D9" w:sz="2" w:space="0"/>
            </w:tcBorders>
          </w:tcPr>
          <w:p w:rsidR="00C31389" w:rsidRDefault="00561FBD" w14:paraId="0827E899"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7E12DE0A" w14:textId="77777777">
            <w:pPr>
              <w:pStyle w:val="TableParagraph"/>
              <w:ind w:left="202"/>
              <w:rPr>
                <w:sz w:val="20"/>
              </w:rPr>
            </w:pPr>
            <w:r>
              <w:rPr>
                <w:sz w:val="20"/>
              </w:rPr>
              <w:t>2005</w:t>
            </w:r>
            <w:r>
              <w:rPr>
                <w:spacing w:val="-10"/>
                <w:sz w:val="20"/>
              </w:rPr>
              <w:t xml:space="preserve"> </w:t>
            </w:r>
            <w:r>
              <w:rPr>
                <w:sz w:val="20"/>
              </w:rPr>
              <w:t>T-24:</w:t>
            </w:r>
            <w:r>
              <w:rPr>
                <w:spacing w:val="-10"/>
                <w:sz w:val="20"/>
              </w:rPr>
              <w:t xml:space="preserve"> </w:t>
            </w:r>
            <w:r>
              <w:rPr>
                <w:sz w:val="20"/>
              </w:rPr>
              <w:t>Lighting</w:t>
            </w:r>
            <w:r>
              <w:rPr>
                <w:spacing w:val="-10"/>
                <w:sz w:val="20"/>
              </w:rPr>
              <w:t xml:space="preserve"> </w:t>
            </w:r>
            <w:r>
              <w:rPr>
                <w:sz w:val="20"/>
              </w:rPr>
              <w:t>controls</w:t>
            </w:r>
            <w:r>
              <w:rPr>
                <w:spacing w:val="-9"/>
                <w:sz w:val="20"/>
              </w:rPr>
              <w:t xml:space="preserve"> </w:t>
            </w:r>
            <w:r>
              <w:rPr>
                <w:sz w:val="20"/>
              </w:rPr>
              <w:t xml:space="preserve">under </w:t>
            </w:r>
            <w:r>
              <w:rPr>
                <w:spacing w:val="-2"/>
                <w:sz w:val="20"/>
              </w:rPr>
              <w:t>skylights</w:t>
            </w:r>
          </w:p>
        </w:tc>
        <w:tc>
          <w:tcPr>
            <w:tcW w:w="1205" w:type="dxa"/>
            <w:tcBorders>
              <w:top w:val="single" w:color="D9D9D9" w:sz="2" w:space="0"/>
              <w:bottom w:val="single" w:color="D9D9D9" w:sz="2" w:space="0"/>
            </w:tcBorders>
          </w:tcPr>
          <w:p w:rsidR="00C31389" w:rsidRDefault="00561FBD" w14:paraId="34DD2922" w14:textId="77777777">
            <w:pPr>
              <w:pStyle w:val="TableParagraph"/>
              <w:spacing w:before="155"/>
              <w:ind w:left="391" w:right="493"/>
              <w:jc w:val="center"/>
              <w:rPr>
                <w:sz w:val="20"/>
              </w:rPr>
            </w:pPr>
            <w:r>
              <w:rPr>
                <w:spacing w:val="-5"/>
                <w:sz w:val="20"/>
              </w:rPr>
              <w:t>8%</w:t>
            </w:r>
          </w:p>
        </w:tc>
        <w:tc>
          <w:tcPr>
            <w:tcW w:w="1368" w:type="dxa"/>
            <w:tcBorders>
              <w:top w:val="single" w:color="D9D9D9" w:sz="2" w:space="0"/>
              <w:bottom w:val="single" w:color="D9D9D9" w:sz="2" w:space="0"/>
            </w:tcBorders>
          </w:tcPr>
          <w:p w:rsidR="00C31389" w:rsidRDefault="00561FBD" w14:paraId="237FCECD"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792D52F4" w14:textId="77777777">
            <w:pPr>
              <w:pStyle w:val="TableParagraph"/>
              <w:spacing w:before="155"/>
              <w:ind w:left="198" w:right="155"/>
              <w:jc w:val="center"/>
              <w:rPr>
                <w:sz w:val="20"/>
              </w:rPr>
            </w:pPr>
            <w:r>
              <w:rPr>
                <w:spacing w:val="-2"/>
                <w:sz w:val="20"/>
              </w:rPr>
              <w:t>On-the-books</w:t>
            </w:r>
          </w:p>
        </w:tc>
      </w:tr>
      <w:tr w:rsidR="00C31389" w14:paraId="7DCD2BC9" w14:textId="77777777">
        <w:trPr>
          <w:trHeight w:val="310"/>
        </w:trPr>
        <w:tc>
          <w:tcPr>
            <w:tcW w:w="1367" w:type="dxa"/>
            <w:tcBorders>
              <w:top w:val="single" w:color="D9D9D9" w:sz="2" w:space="0"/>
              <w:bottom w:val="single" w:color="D9D9D9" w:sz="2" w:space="0"/>
            </w:tcBorders>
          </w:tcPr>
          <w:p w:rsidR="00C31389" w:rsidRDefault="00561FBD" w14:paraId="1FCAA0ED" w14:textId="77777777">
            <w:pPr>
              <w:pStyle w:val="TableParagraph"/>
              <w:spacing w:before="41"/>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3B8C5B3F" w14:textId="77777777">
            <w:pPr>
              <w:pStyle w:val="TableParagraph"/>
              <w:spacing w:before="41"/>
              <w:ind w:left="202"/>
              <w:rPr>
                <w:sz w:val="20"/>
              </w:rPr>
            </w:pPr>
            <w:r>
              <w:rPr>
                <w:sz w:val="20"/>
              </w:rPr>
              <w:t>2005</w:t>
            </w:r>
            <w:r>
              <w:rPr>
                <w:spacing w:val="-5"/>
                <w:sz w:val="20"/>
              </w:rPr>
              <w:t xml:space="preserve"> </w:t>
            </w:r>
            <w:r>
              <w:rPr>
                <w:sz w:val="20"/>
              </w:rPr>
              <w:t>T-24:</w:t>
            </w:r>
            <w:r>
              <w:rPr>
                <w:spacing w:val="-4"/>
                <w:sz w:val="20"/>
              </w:rPr>
              <w:t xml:space="preserve"> </w:t>
            </w:r>
            <w:r>
              <w:rPr>
                <w:sz w:val="20"/>
              </w:rPr>
              <w:t>Multifamily</w:t>
            </w:r>
            <w:r>
              <w:rPr>
                <w:spacing w:val="-3"/>
                <w:sz w:val="20"/>
              </w:rPr>
              <w:t xml:space="preserve"> </w:t>
            </w:r>
            <w:r>
              <w:rPr>
                <w:sz w:val="20"/>
              </w:rPr>
              <w:t>Water</w:t>
            </w:r>
            <w:r>
              <w:rPr>
                <w:spacing w:val="-3"/>
                <w:sz w:val="20"/>
              </w:rPr>
              <w:t xml:space="preserve"> </w:t>
            </w:r>
            <w:r>
              <w:rPr>
                <w:spacing w:val="-2"/>
                <w:sz w:val="20"/>
              </w:rPr>
              <w:t>Heating</w:t>
            </w:r>
          </w:p>
        </w:tc>
        <w:tc>
          <w:tcPr>
            <w:tcW w:w="1205" w:type="dxa"/>
            <w:tcBorders>
              <w:top w:val="single" w:color="D9D9D9" w:sz="2" w:space="0"/>
              <w:bottom w:val="single" w:color="D9D9D9" w:sz="2" w:space="0"/>
            </w:tcBorders>
          </w:tcPr>
          <w:p w:rsidR="00C31389" w:rsidRDefault="00561FBD" w14:paraId="12954DBE" w14:textId="77777777">
            <w:pPr>
              <w:pStyle w:val="TableParagraph"/>
              <w:spacing w:before="41"/>
              <w:ind w:left="350"/>
              <w:rPr>
                <w:sz w:val="20"/>
              </w:rPr>
            </w:pPr>
            <w:r>
              <w:rPr>
                <w:spacing w:val="-5"/>
                <w:sz w:val="20"/>
              </w:rPr>
              <w:t>78%</w:t>
            </w:r>
          </w:p>
        </w:tc>
        <w:tc>
          <w:tcPr>
            <w:tcW w:w="1368" w:type="dxa"/>
            <w:tcBorders>
              <w:top w:val="single" w:color="D9D9D9" w:sz="2" w:space="0"/>
              <w:bottom w:val="single" w:color="D9D9D9" w:sz="2" w:space="0"/>
            </w:tcBorders>
          </w:tcPr>
          <w:p w:rsidR="00C31389" w:rsidRDefault="00561FBD" w14:paraId="04D41AF0" w14:textId="77777777">
            <w:pPr>
              <w:pStyle w:val="TableParagraph"/>
              <w:spacing w:before="41"/>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581A2368" w14:textId="77777777">
            <w:pPr>
              <w:pStyle w:val="TableParagraph"/>
              <w:spacing w:before="41"/>
              <w:ind w:left="198" w:right="155"/>
              <w:jc w:val="center"/>
              <w:rPr>
                <w:sz w:val="20"/>
              </w:rPr>
            </w:pPr>
            <w:r>
              <w:rPr>
                <w:spacing w:val="-2"/>
                <w:sz w:val="20"/>
              </w:rPr>
              <w:t>On-the-books</w:t>
            </w:r>
          </w:p>
        </w:tc>
      </w:tr>
      <w:tr w:rsidR="00C31389" w14:paraId="1C109FCD" w14:textId="77777777">
        <w:trPr>
          <w:trHeight w:val="309"/>
        </w:trPr>
        <w:tc>
          <w:tcPr>
            <w:tcW w:w="1367" w:type="dxa"/>
            <w:tcBorders>
              <w:top w:val="single" w:color="D9D9D9" w:sz="2" w:space="0"/>
              <w:bottom w:val="single" w:color="D9D9D9" w:sz="2" w:space="0"/>
            </w:tcBorders>
          </w:tcPr>
          <w:p w:rsidR="00C31389" w:rsidRDefault="00561FBD" w14:paraId="4315CA83" w14:textId="77777777">
            <w:pPr>
              <w:pStyle w:val="TableParagraph"/>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3606CD3F" w14:textId="77777777">
            <w:pPr>
              <w:pStyle w:val="TableParagraph"/>
              <w:ind w:left="202"/>
              <w:rPr>
                <w:sz w:val="20"/>
              </w:rPr>
            </w:pPr>
            <w:r>
              <w:rPr>
                <w:sz w:val="20"/>
              </w:rPr>
              <w:t>2005</w:t>
            </w:r>
            <w:r>
              <w:rPr>
                <w:spacing w:val="-4"/>
                <w:sz w:val="20"/>
              </w:rPr>
              <w:t xml:space="preserve"> </w:t>
            </w:r>
            <w:r>
              <w:rPr>
                <w:sz w:val="20"/>
              </w:rPr>
              <w:t>T-24:</w:t>
            </w:r>
            <w:r>
              <w:rPr>
                <w:spacing w:val="-3"/>
                <w:sz w:val="20"/>
              </w:rPr>
              <w:t xml:space="preserve"> </w:t>
            </w:r>
            <w:r>
              <w:rPr>
                <w:sz w:val="20"/>
              </w:rPr>
              <w:t>Relocatable</w:t>
            </w:r>
            <w:r>
              <w:rPr>
                <w:spacing w:val="-4"/>
                <w:sz w:val="20"/>
              </w:rPr>
              <w:t xml:space="preserve"> </w:t>
            </w:r>
            <w:r>
              <w:rPr>
                <w:spacing w:val="-2"/>
                <w:sz w:val="20"/>
              </w:rPr>
              <w:t>classrooms</w:t>
            </w:r>
          </w:p>
        </w:tc>
        <w:tc>
          <w:tcPr>
            <w:tcW w:w="1205" w:type="dxa"/>
            <w:tcBorders>
              <w:top w:val="single" w:color="D9D9D9" w:sz="2" w:space="0"/>
              <w:bottom w:val="single" w:color="D9D9D9" w:sz="2" w:space="0"/>
            </w:tcBorders>
          </w:tcPr>
          <w:p w:rsidR="00C31389" w:rsidRDefault="00561FBD" w14:paraId="3DFCB291" w14:textId="77777777">
            <w:pPr>
              <w:pStyle w:val="TableParagraph"/>
              <w:ind w:left="294"/>
              <w:rPr>
                <w:sz w:val="20"/>
              </w:rPr>
            </w:pPr>
            <w:r>
              <w:rPr>
                <w:spacing w:val="-4"/>
                <w:sz w:val="20"/>
              </w:rPr>
              <w:t>100%</w:t>
            </w:r>
          </w:p>
        </w:tc>
        <w:tc>
          <w:tcPr>
            <w:tcW w:w="1368" w:type="dxa"/>
            <w:tcBorders>
              <w:top w:val="single" w:color="D9D9D9" w:sz="2" w:space="0"/>
              <w:bottom w:val="single" w:color="D9D9D9" w:sz="2" w:space="0"/>
            </w:tcBorders>
          </w:tcPr>
          <w:p w:rsidR="00C31389" w:rsidRDefault="00561FBD" w14:paraId="225B45DC" w14:textId="77777777">
            <w:pPr>
              <w:pStyle w:val="TableParagraph"/>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2293D2F4" w14:textId="77777777">
            <w:pPr>
              <w:pStyle w:val="TableParagraph"/>
              <w:ind w:left="198" w:right="155"/>
              <w:jc w:val="center"/>
              <w:rPr>
                <w:sz w:val="20"/>
              </w:rPr>
            </w:pPr>
            <w:r>
              <w:rPr>
                <w:spacing w:val="-2"/>
                <w:sz w:val="20"/>
              </w:rPr>
              <w:t>On-the-books</w:t>
            </w:r>
          </w:p>
        </w:tc>
      </w:tr>
      <w:tr w:rsidR="00C31389" w14:paraId="11A06DC8" w14:textId="77777777">
        <w:trPr>
          <w:trHeight w:val="310"/>
        </w:trPr>
        <w:tc>
          <w:tcPr>
            <w:tcW w:w="1367" w:type="dxa"/>
            <w:tcBorders>
              <w:top w:val="single" w:color="D9D9D9" w:sz="2" w:space="0"/>
              <w:bottom w:val="single" w:color="D9D9D9" w:sz="2" w:space="0"/>
            </w:tcBorders>
          </w:tcPr>
          <w:p w:rsidR="00C31389" w:rsidRDefault="00561FBD" w14:paraId="44CF480D" w14:textId="77777777">
            <w:pPr>
              <w:pStyle w:val="TableParagraph"/>
              <w:spacing w:before="41"/>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5F0BE6A0" w14:textId="77777777">
            <w:pPr>
              <w:pStyle w:val="TableParagraph"/>
              <w:spacing w:before="41"/>
              <w:ind w:left="202"/>
              <w:rPr>
                <w:sz w:val="20"/>
              </w:rPr>
            </w:pPr>
            <w:r>
              <w:rPr>
                <w:sz w:val="20"/>
              </w:rPr>
              <w:t>2005</w:t>
            </w:r>
            <w:r>
              <w:rPr>
                <w:spacing w:val="-4"/>
                <w:sz w:val="20"/>
              </w:rPr>
              <w:t xml:space="preserve"> </w:t>
            </w:r>
            <w:r>
              <w:rPr>
                <w:sz w:val="20"/>
              </w:rPr>
              <w:t>T-24:</w:t>
            </w:r>
            <w:r>
              <w:rPr>
                <w:spacing w:val="-4"/>
                <w:sz w:val="20"/>
              </w:rPr>
              <w:t xml:space="preserve"> </w:t>
            </w:r>
            <w:r>
              <w:rPr>
                <w:sz w:val="20"/>
              </w:rPr>
              <w:t>Res.</w:t>
            </w:r>
            <w:r>
              <w:rPr>
                <w:spacing w:val="-4"/>
                <w:sz w:val="20"/>
              </w:rPr>
              <w:t xml:space="preserve"> </w:t>
            </w:r>
            <w:r>
              <w:rPr>
                <w:sz w:val="20"/>
              </w:rPr>
              <w:t>Hardwired</w:t>
            </w:r>
            <w:r>
              <w:rPr>
                <w:spacing w:val="-3"/>
                <w:sz w:val="20"/>
              </w:rPr>
              <w:t xml:space="preserve"> </w:t>
            </w:r>
            <w:r>
              <w:rPr>
                <w:spacing w:val="-2"/>
                <w:sz w:val="20"/>
              </w:rPr>
              <w:t>lighting</w:t>
            </w:r>
          </w:p>
        </w:tc>
        <w:tc>
          <w:tcPr>
            <w:tcW w:w="1205" w:type="dxa"/>
            <w:tcBorders>
              <w:top w:val="single" w:color="D9D9D9" w:sz="2" w:space="0"/>
              <w:bottom w:val="single" w:color="D9D9D9" w:sz="2" w:space="0"/>
            </w:tcBorders>
          </w:tcPr>
          <w:p w:rsidR="00C31389" w:rsidRDefault="00561FBD" w14:paraId="669B6209" w14:textId="77777777">
            <w:pPr>
              <w:pStyle w:val="TableParagraph"/>
              <w:spacing w:before="41"/>
              <w:ind w:left="294"/>
              <w:rPr>
                <w:sz w:val="20"/>
              </w:rPr>
            </w:pPr>
            <w:r>
              <w:rPr>
                <w:spacing w:val="-4"/>
                <w:sz w:val="20"/>
              </w:rPr>
              <w:t>113%</w:t>
            </w:r>
          </w:p>
        </w:tc>
        <w:tc>
          <w:tcPr>
            <w:tcW w:w="1368" w:type="dxa"/>
            <w:tcBorders>
              <w:top w:val="single" w:color="D9D9D9" w:sz="2" w:space="0"/>
              <w:bottom w:val="single" w:color="D9D9D9" w:sz="2" w:space="0"/>
            </w:tcBorders>
          </w:tcPr>
          <w:p w:rsidR="00C31389" w:rsidRDefault="00561FBD" w14:paraId="720CF245" w14:textId="77777777">
            <w:pPr>
              <w:pStyle w:val="TableParagraph"/>
              <w:spacing w:before="41"/>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75B73CB2" w14:textId="77777777">
            <w:pPr>
              <w:pStyle w:val="TableParagraph"/>
              <w:spacing w:before="41"/>
              <w:ind w:left="198" w:right="155"/>
              <w:jc w:val="center"/>
              <w:rPr>
                <w:sz w:val="20"/>
              </w:rPr>
            </w:pPr>
            <w:r>
              <w:rPr>
                <w:spacing w:val="-2"/>
                <w:sz w:val="20"/>
              </w:rPr>
              <w:t>On-the-books</w:t>
            </w:r>
          </w:p>
        </w:tc>
      </w:tr>
      <w:tr w:rsidR="00C31389" w14:paraId="1A7061FA" w14:textId="77777777">
        <w:trPr>
          <w:trHeight w:val="539"/>
        </w:trPr>
        <w:tc>
          <w:tcPr>
            <w:tcW w:w="1367" w:type="dxa"/>
            <w:tcBorders>
              <w:top w:val="single" w:color="D9D9D9" w:sz="2" w:space="0"/>
              <w:bottom w:val="single" w:color="D9D9D9" w:sz="2" w:space="0"/>
            </w:tcBorders>
          </w:tcPr>
          <w:p w:rsidR="00C31389" w:rsidRDefault="00561FBD" w14:paraId="52A04189"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68FF013B" w14:textId="77777777">
            <w:pPr>
              <w:pStyle w:val="TableParagraph"/>
              <w:ind w:left="202" w:right="389"/>
              <w:rPr>
                <w:sz w:val="20"/>
              </w:rPr>
            </w:pPr>
            <w:r>
              <w:rPr>
                <w:sz w:val="20"/>
              </w:rPr>
              <w:t>2005</w:t>
            </w:r>
            <w:r>
              <w:rPr>
                <w:spacing w:val="-13"/>
                <w:sz w:val="20"/>
              </w:rPr>
              <w:t xml:space="preserve"> </w:t>
            </w:r>
            <w:r>
              <w:rPr>
                <w:sz w:val="20"/>
              </w:rPr>
              <w:t>T-24:</w:t>
            </w:r>
            <w:r>
              <w:rPr>
                <w:spacing w:val="-13"/>
                <w:sz w:val="20"/>
              </w:rPr>
              <w:t xml:space="preserve"> </w:t>
            </w:r>
            <w:r>
              <w:rPr>
                <w:sz w:val="20"/>
              </w:rPr>
              <w:t>Time</w:t>
            </w:r>
            <w:r>
              <w:rPr>
                <w:spacing w:val="-13"/>
                <w:sz w:val="20"/>
              </w:rPr>
              <w:t xml:space="preserve"> </w:t>
            </w:r>
            <w:r>
              <w:rPr>
                <w:sz w:val="20"/>
              </w:rPr>
              <w:t xml:space="preserve">dependent </w:t>
            </w:r>
            <w:r>
              <w:rPr>
                <w:sz w:val="20"/>
              </w:rPr>
              <w:t>valuation, Nonresidential</w:t>
            </w:r>
          </w:p>
        </w:tc>
        <w:tc>
          <w:tcPr>
            <w:tcW w:w="1205" w:type="dxa"/>
            <w:tcBorders>
              <w:top w:val="single" w:color="D9D9D9" w:sz="2" w:space="0"/>
              <w:bottom w:val="single" w:color="D9D9D9" w:sz="2" w:space="0"/>
            </w:tcBorders>
          </w:tcPr>
          <w:p w:rsidR="00C31389" w:rsidRDefault="00561FBD" w14:paraId="19DF13D2" w14:textId="77777777">
            <w:pPr>
              <w:pStyle w:val="TableParagraph"/>
              <w:spacing w:before="155"/>
              <w:ind w:left="391" w:right="493"/>
              <w:jc w:val="center"/>
              <w:rPr>
                <w:sz w:val="20"/>
              </w:rPr>
            </w:pPr>
            <w:r>
              <w:rPr>
                <w:spacing w:val="-5"/>
                <w:sz w:val="20"/>
              </w:rPr>
              <w:t>0%</w:t>
            </w:r>
          </w:p>
        </w:tc>
        <w:tc>
          <w:tcPr>
            <w:tcW w:w="1368" w:type="dxa"/>
            <w:tcBorders>
              <w:top w:val="single" w:color="D9D9D9" w:sz="2" w:space="0"/>
              <w:bottom w:val="single" w:color="D9D9D9" w:sz="2" w:space="0"/>
            </w:tcBorders>
          </w:tcPr>
          <w:p w:rsidR="00C31389" w:rsidRDefault="00561FBD" w14:paraId="1E081B89"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38150BBF" w14:textId="77777777">
            <w:pPr>
              <w:pStyle w:val="TableParagraph"/>
              <w:spacing w:before="155"/>
              <w:ind w:left="198" w:right="155"/>
              <w:jc w:val="center"/>
              <w:rPr>
                <w:sz w:val="20"/>
              </w:rPr>
            </w:pPr>
            <w:r>
              <w:rPr>
                <w:spacing w:val="-2"/>
                <w:sz w:val="20"/>
              </w:rPr>
              <w:t>On-the-books</w:t>
            </w:r>
          </w:p>
        </w:tc>
      </w:tr>
      <w:tr w:rsidR="00C31389" w14:paraId="058CF80A" w14:textId="77777777">
        <w:trPr>
          <w:trHeight w:val="539"/>
        </w:trPr>
        <w:tc>
          <w:tcPr>
            <w:tcW w:w="1367" w:type="dxa"/>
            <w:tcBorders>
              <w:top w:val="single" w:color="D9D9D9" w:sz="2" w:space="0"/>
              <w:bottom w:val="single" w:color="D9D9D9" w:sz="2" w:space="0"/>
            </w:tcBorders>
          </w:tcPr>
          <w:p w:rsidR="00C31389" w:rsidRDefault="00561FBD" w14:paraId="646B6126"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067AEAE4" w14:textId="77777777">
            <w:pPr>
              <w:pStyle w:val="TableParagraph"/>
              <w:ind w:left="202" w:right="389"/>
              <w:rPr>
                <w:sz w:val="20"/>
              </w:rPr>
            </w:pPr>
            <w:r>
              <w:rPr>
                <w:sz w:val="20"/>
              </w:rPr>
              <w:t>2005</w:t>
            </w:r>
            <w:r>
              <w:rPr>
                <w:spacing w:val="-13"/>
                <w:sz w:val="20"/>
              </w:rPr>
              <w:t xml:space="preserve"> </w:t>
            </w:r>
            <w:r>
              <w:rPr>
                <w:sz w:val="20"/>
              </w:rPr>
              <w:t>T-24:</w:t>
            </w:r>
            <w:r>
              <w:rPr>
                <w:spacing w:val="-13"/>
                <w:sz w:val="20"/>
              </w:rPr>
              <w:t xml:space="preserve"> </w:t>
            </w:r>
            <w:r>
              <w:rPr>
                <w:sz w:val="20"/>
              </w:rPr>
              <w:t>Time</w:t>
            </w:r>
            <w:r>
              <w:rPr>
                <w:spacing w:val="-13"/>
                <w:sz w:val="20"/>
              </w:rPr>
              <w:t xml:space="preserve"> </w:t>
            </w:r>
            <w:r>
              <w:rPr>
                <w:sz w:val="20"/>
              </w:rPr>
              <w:t>dependent valuation, Residential</w:t>
            </w:r>
          </w:p>
        </w:tc>
        <w:tc>
          <w:tcPr>
            <w:tcW w:w="1205" w:type="dxa"/>
            <w:tcBorders>
              <w:top w:val="single" w:color="D9D9D9" w:sz="2" w:space="0"/>
              <w:bottom w:val="single" w:color="D9D9D9" w:sz="2" w:space="0"/>
            </w:tcBorders>
          </w:tcPr>
          <w:p w:rsidR="00C31389" w:rsidRDefault="00561FBD" w14:paraId="3491D883" w14:textId="77777777">
            <w:pPr>
              <w:pStyle w:val="TableParagraph"/>
              <w:spacing w:before="155"/>
              <w:ind w:left="391" w:right="493"/>
              <w:jc w:val="center"/>
              <w:rPr>
                <w:sz w:val="20"/>
              </w:rPr>
            </w:pPr>
            <w:r>
              <w:rPr>
                <w:spacing w:val="-5"/>
                <w:sz w:val="20"/>
              </w:rPr>
              <w:t>0%</w:t>
            </w:r>
          </w:p>
        </w:tc>
        <w:tc>
          <w:tcPr>
            <w:tcW w:w="1368" w:type="dxa"/>
            <w:tcBorders>
              <w:top w:val="single" w:color="D9D9D9" w:sz="2" w:space="0"/>
              <w:bottom w:val="single" w:color="D9D9D9" w:sz="2" w:space="0"/>
            </w:tcBorders>
          </w:tcPr>
          <w:p w:rsidR="00C31389" w:rsidRDefault="00561FBD" w14:paraId="5A2BEF75"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628E3B7C" w14:textId="77777777">
            <w:pPr>
              <w:pStyle w:val="TableParagraph"/>
              <w:spacing w:before="155"/>
              <w:ind w:left="198" w:right="155"/>
              <w:jc w:val="center"/>
              <w:rPr>
                <w:sz w:val="20"/>
              </w:rPr>
            </w:pPr>
            <w:r>
              <w:rPr>
                <w:spacing w:val="-2"/>
                <w:sz w:val="20"/>
              </w:rPr>
              <w:t>On-the-books</w:t>
            </w:r>
          </w:p>
        </w:tc>
      </w:tr>
      <w:tr w:rsidR="00C31389" w14:paraId="2488359B" w14:textId="77777777">
        <w:trPr>
          <w:trHeight w:val="539"/>
        </w:trPr>
        <w:tc>
          <w:tcPr>
            <w:tcW w:w="1367" w:type="dxa"/>
            <w:tcBorders>
              <w:top w:val="single" w:color="D9D9D9" w:sz="2" w:space="0"/>
              <w:bottom w:val="single" w:color="D9D9D9" w:sz="2" w:space="0"/>
            </w:tcBorders>
          </w:tcPr>
          <w:p w:rsidR="00C31389" w:rsidRDefault="00561FBD" w14:paraId="0C145201"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029AB6F3" w14:textId="77777777">
            <w:pPr>
              <w:pStyle w:val="TableParagraph"/>
              <w:ind w:left="202"/>
              <w:rPr>
                <w:sz w:val="20"/>
              </w:rPr>
            </w:pPr>
            <w:r>
              <w:rPr>
                <w:sz w:val="20"/>
              </w:rPr>
              <w:t>2005</w:t>
            </w:r>
            <w:r>
              <w:rPr>
                <w:spacing w:val="-8"/>
                <w:sz w:val="20"/>
              </w:rPr>
              <w:t xml:space="preserve"> </w:t>
            </w:r>
            <w:r>
              <w:rPr>
                <w:sz w:val="20"/>
              </w:rPr>
              <w:t>T-24:</w:t>
            </w:r>
            <w:r>
              <w:rPr>
                <w:spacing w:val="-8"/>
                <w:sz w:val="20"/>
              </w:rPr>
              <w:t xml:space="preserve"> </w:t>
            </w:r>
            <w:r>
              <w:rPr>
                <w:sz w:val="20"/>
              </w:rPr>
              <w:t>Whole</w:t>
            </w:r>
            <w:r>
              <w:rPr>
                <w:spacing w:val="-8"/>
                <w:sz w:val="20"/>
              </w:rPr>
              <w:t xml:space="preserve"> </w:t>
            </w:r>
            <w:r>
              <w:rPr>
                <w:sz w:val="20"/>
              </w:rPr>
              <w:t>Building</w:t>
            </w:r>
            <w:r>
              <w:rPr>
                <w:spacing w:val="-8"/>
                <w:sz w:val="20"/>
              </w:rPr>
              <w:t xml:space="preserve"> </w:t>
            </w:r>
            <w:r>
              <w:rPr>
                <w:sz w:val="20"/>
              </w:rPr>
              <w:t>-</w:t>
            </w:r>
            <w:r>
              <w:rPr>
                <w:spacing w:val="-8"/>
                <w:sz w:val="20"/>
              </w:rPr>
              <w:t xml:space="preserve"> </w:t>
            </w:r>
            <w:r>
              <w:rPr>
                <w:sz w:val="20"/>
              </w:rPr>
              <w:t>Non-Res New Construction (Electric)</w:t>
            </w:r>
          </w:p>
        </w:tc>
        <w:tc>
          <w:tcPr>
            <w:tcW w:w="1205" w:type="dxa"/>
            <w:tcBorders>
              <w:top w:val="single" w:color="D9D9D9" w:sz="2" w:space="0"/>
              <w:bottom w:val="single" w:color="D9D9D9" w:sz="2" w:space="0"/>
            </w:tcBorders>
          </w:tcPr>
          <w:p w:rsidR="00C31389" w:rsidRDefault="00561FBD" w14:paraId="04693FCE" w14:textId="77777777">
            <w:pPr>
              <w:pStyle w:val="TableParagraph"/>
              <w:spacing w:before="155"/>
              <w:ind w:left="391" w:right="493"/>
              <w:jc w:val="center"/>
              <w:rPr>
                <w:sz w:val="20"/>
              </w:rPr>
            </w:pPr>
            <w:r>
              <w:rPr>
                <w:spacing w:val="-5"/>
                <w:sz w:val="20"/>
              </w:rPr>
              <w:t>0%</w:t>
            </w:r>
          </w:p>
        </w:tc>
        <w:tc>
          <w:tcPr>
            <w:tcW w:w="1368" w:type="dxa"/>
            <w:tcBorders>
              <w:top w:val="single" w:color="D9D9D9" w:sz="2" w:space="0"/>
              <w:bottom w:val="single" w:color="D9D9D9" w:sz="2" w:space="0"/>
            </w:tcBorders>
          </w:tcPr>
          <w:p w:rsidR="00C31389" w:rsidRDefault="00561FBD" w14:paraId="54C165CE"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1A6B6180" w14:textId="77777777">
            <w:pPr>
              <w:pStyle w:val="TableParagraph"/>
              <w:spacing w:before="155"/>
              <w:ind w:left="198" w:right="155"/>
              <w:jc w:val="center"/>
              <w:rPr>
                <w:sz w:val="20"/>
              </w:rPr>
            </w:pPr>
            <w:r>
              <w:rPr>
                <w:spacing w:val="-2"/>
                <w:sz w:val="20"/>
              </w:rPr>
              <w:t>On-the-books</w:t>
            </w:r>
          </w:p>
        </w:tc>
      </w:tr>
      <w:tr w:rsidR="00C31389" w14:paraId="58A5DD4E" w14:textId="77777777">
        <w:trPr>
          <w:trHeight w:val="539"/>
        </w:trPr>
        <w:tc>
          <w:tcPr>
            <w:tcW w:w="1367" w:type="dxa"/>
            <w:tcBorders>
              <w:top w:val="single" w:color="D9D9D9" w:sz="2" w:space="0"/>
              <w:bottom w:val="single" w:color="D9D9D9" w:sz="2" w:space="0"/>
            </w:tcBorders>
          </w:tcPr>
          <w:p w:rsidR="00C31389" w:rsidRDefault="00561FBD" w14:paraId="187D4770"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192A5C25" w14:textId="77777777">
            <w:pPr>
              <w:pStyle w:val="TableParagraph"/>
              <w:ind w:left="202"/>
              <w:rPr>
                <w:sz w:val="20"/>
              </w:rPr>
            </w:pPr>
            <w:r>
              <w:rPr>
                <w:sz w:val="20"/>
              </w:rPr>
              <w:t>2005</w:t>
            </w:r>
            <w:r>
              <w:rPr>
                <w:spacing w:val="-8"/>
                <w:sz w:val="20"/>
              </w:rPr>
              <w:t xml:space="preserve"> </w:t>
            </w:r>
            <w:r>
              <w:rPr>
                <w:sz w:val="20"/>
              </w:rPr>
              <w:t>T-24:</w:t>
            </w:r>
            <w:r>
              <w:rPr>
                <w:spacing w:val="-8"/>
                <w:sz w:val="20"/>
              </w:rPr>
              <w:t xml:space="preserve"> </w:t>
            </w:r>
            <w:r>
              <w:rPr>
                <w:sz w:val="20"/>
              </w:rPr>
              <w:t>Whole</w:t>
            </w:r>
            <w:r>
              <w:rPr>
                <w:spacing w:val="-8"/>
                <w:sz w:val="20"/>
              </w:rPr>
              <w:t xml:space="preserve"> </w:t>
            </w:r>
            <w:r>
              <w:rPr>
                <w:sz w:val="20"/>
              </w:rPr>
              <w:t>Building</w:t>
            </w:r>
            <w:r>
              <w:rPr>
                <w:spacing w:val="-8"/>
                <w:sz w:val="20"/>
              </w:rPr>
              <w:t xml:space="preserve"> </w:t>
            </w:r>
            <w:r>
              <w:rPr>
                <w:sz w:val="20"/>
              </w:rPr>
              <w:t>-</w:t>
            </w:r>
            <w:r>
              <w:rPr>
                <w:spacing w:val="-8"/>
                <w:sz w:val="20"/>
              </w:rPr>
              <w:t xml:space="preserve"> </w:t>
            </w:r>
            <w:r>
              <w:rPr>
                <w:sz w:val="20"/>
              </w:rPr>
              <w:t>Non-Res New Construction (Gas)</w:t>
            </w:r>
          </w:p>
        </w:tc>
        <w:tc>
          <w:tcPr>
            <w:tcW w:w="1205" w:type="dxa"/>
            <w:tcBorders>
              <w:top w:val="single" w:color="D9D9D9" w:sz="2" w:space="0"/>
              <w:bottom w:val="single" w:color="D9D9D9" w:sz="2" w:space="0"/>
            </w:tcBorders>
          </w:tcPr>
          <w:p w:rsidR="00C31389" w:rsidRDefault="00561FBD" w14:paraId="091DC3B9" w14:textId="77777777">
            <w:pPr>
              <w:pStyle w:val="TableParagraph"/>
              <w:spacing w:before="155"/>
              <w:ind w:left="391" w:right="493"/>
              <w:jc w:val="center"/>
              <w:rPr>
                <w:sz w:val="20"/>
              </w:rPr>
            </w:pPr>
            <w:r>
              <w:rPr>
                <w:spacing w:val="-5"/>
                <w:sz w:val="20"/>
              </w:rPr>
              <w:t>0%</w:t>
            </w:r>
          </w:p>
        </w:tc>
        <w:tc>
          <w:tcPr>
            <w:tcW w:w="1368" w:type="dxa"/>
            <w:tcBorders>
              <w:top w:val="single" w:color="D9D9D9" w:sz="2" w:space="0"/>
              <w:bottom w:val="single" w:color="D9D9D9" w:sz="2" w:space="0"/>
            </w:tcBorders>
          </w:tcPr>
          <w:p w:rsidR="00C31389" w:rsidRDefault="00561FBD" w14:paraId="55EA403C"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16AF2833" w14:textId="77777777">
            <w:pPr>
              <w:pStyle w:val="TableParagraph"/>
              <w:spacing w:before="155"/>
              <w:ind w:left="198" w:right="155"/>
              <w:jc w:val="center"/>
              <w:rPr>
                <w:sz w:val="20"/>
              </w:rPr>
            </w:pPr>
            <w:r>
              <w:rPr>
                <w:spacing w:val="-2"/>
                <w:sz w:val="20"/>
              </w:rPr>
              <w:t>On-the-books</w:t>
            </w:r>
          </w:p>
        </w:tc>
      </w:tr>
      <w:tr w:rsidR="00C31389" w14:paraId="7AED02FB" w14:textId="77777777">
        <w:trPr>
          <w:trHeight w:val="541"/>
        </w:trPr>
        <w:tc>
          <w:tcPr>
            <w:tcW w:w="1367" w:type="dxa"/>
            <w:tcBorders>
              <w:top w:val="single" w:color="D9D9D9" w:sz="2" w:space="0"/>
              <w:bottom w:val="single" w:color="D9D9D9" w:sz="2" w:space="0"/>
            </w:tcBorders>
          </w:tcPr>
          <w:p w:rsidR="00C31389" w:rsidRDefault="00561FBD" w14:paraId="6E27DCB0"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0A4A4699" w14:textId="77777777">
            <w:pPr>
              <w:pStyle w:val="TableParagraph"/>
              <w:spacing w:before="41"/>
              <w:ind w:left="202"/>
              <w:rPr>
                <w:sz w:val="20"/>
              </w:rPr>
            </w:pPr>
            <w:r>
              <w:rPr>
                <w:sz w:val="20"/>
              </w:rPr>
              <w:t>2005</w:t>
            </w:r>
            <w:r>
              <w:rPr>
                <w:spacing w:val="-7"/>
                <w:sz w:val="20"/>
              </w:rPr>
              <w:t xml:space="preserve"> </w:t>
            </w:r>
            <w:r>
              <w:rPr>
                <w:sz w:val="20"/>
              </w:rPr>
              <w:t>T-24:</w:t>
            </w:r>
            <w:r>
              <w:rPr>
                <w:spacing w:val="-7"/>
                <w:sz w:val="20"/>
              </w:rPr>
              <w:t xml:space="preserve"> </w:t>
            </w:r>
            <w:r>
              <w:rPr>
                <w:sz w:val="20"/>
              </w:rPr>
              <w:t>Whole</w:t>
            </w:r>
            <w:r>
              <w:rPr>
                <w:spacing w:val="-7"/>
                <w:sz w:val="20"/>
              </w:rPr>
              <w:t xml:space="preserve"> </w:t>
            </w:r>
            <w:r>
              <w:rPr>
                <w:sz w:val="20"/>
              </w:rPr>
              <w:t>Building</w:t>
            </w:r>
            <w:r>
              <w:rPr>
                <w:spacing w:val="-7"/>
                <w:sz w:val="20"/>
              </w:rPr>
              <w:t xml:space="preserve"> </w:t>
            </w:r>
            <w:r>
              <w:rPr>
                <w:sz w:val="20"/>
              </w:rPr>
              <w:t>-</w:t>
            </w:r>
            <w:r>
              <w:rPr>
                <w:spacing w:val="-7"/>
                <w:sz w:val="20"/>
              </w:rPr>
              <w:t xml:space="preserve"> </w:t>
            </w:r>
            <w:r>
              <w:rPr>
                <w:sz w:val="20"/>
              </w:rPr>
              <w:t>Res</w:t>
            </w:r>
            <w:r>
              <w:rPr>
                <w:spacing w:val="-6"/>
                <w:sz w:val="20"/>
              </w:rPr>
              <w:t xml:space="preserve"> </w:t>
            </w:r>
            <w:r>
              <w:rPr>
                <w:sz w:val="20"/>
              </w:rPr>
              <w:t>New Construction (Electric)</w:t>
            </w:r>
          </w:p>
        </w:tc>
        <w:tc>
          <w:tcPr>
            <w:tcW w:w="1205" w:type="dxa"/>
            <w:tcBorders>
              <w:top w:val="single" w:color="D9D9D9" w:sz="2" w:space="0"/>
              <w:bottom w:val="single" w:color="D9D9D9" w:sz="2" w:space="0"/>
            </w:tcBorders>
          </w:tcPr>
          <w:p w:rsidR="00C31389" w:rsidRDefault="00561FBD" w14:paraId="5E831C65" w14:textId="77777777">
            <w:pPr>
              <w:pStyle w:val="TableParagraph"/>
              <w:spacing w:before="155"/>
              <w:ind w:left="294"/>
              <w:rPr>
                <w:sz w:val="20"/>
              </w:rPr>
            </w:pPr>
            <w:r>
              <w:rPr>
                <w:spacing w:val="-4"/>
                <w:sz w:val="20"/>
              </w:rPr>
              <w:t>120%</w:t>
            </w:r>
          </w:p>
        </w:tc>
        <w:tc>
          <w:tcPr>
            <w:tcW w:w="1368" w:type="dxa"/>
            <w:tcBorders>
              <w:top w:val="single" w:color="D9D9D9" w:sz="2" w:space="0"/>
              <w:bottom w:val="single" w:color="D9D9D9" w:sz="2" w:space="0"/>
            </w:tcBorders>
          </w:tcPr>
          <w:p w:rsidR="00C31389" w:rsidRDefault="00561FBD" w14:paraId="66E52D19"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01001332" w14:textId="77777777">
            <w:pPr>
              <w:pStyle w:val="TableParagraph"/>
              <w:spacing w:before="155"/>
              <w:ind w:left="198" w:right="155"/>
              <w:jc w:val="center"/>
              <w:rPr>
                <w:sz w:val="20"/>
              </w:rPr>
            </w:pPr>
            <w:r>
              <w:rPr>
                <w:spacing w:val="-2"/>
                <w:sz w:val="20"/>
              </w:rPr>
              <w:t>On-the-books</w:t>
            </w:r>
          </w:p>
        </w:tc>
      </w:tr>
      <w:tr w:rsidR="00C31389" w14:paraId="50BBE40F" w14:textId="77777777">
        <w:trPr>
          <w:trHeight w:val="539"/>
        </w:trPr>
        <w:tc>
          <w:tcPr>
            <w:tcW w:w="1367" w:type="dxa"/>
            <w:tcBorders>
              <w:top w:val="single" w:color="D9D9D9" w:sz="2" w:space="0"/>
              <w:bottom w:val="single" w:color="D9D9D9" w:sz="2" w:space="0"/>
            </w:tcBorders>
          </w:tcPr>
          <w:p w:rsidR="00C31389" w:rsidRDefault="00561FBD" w14:paraId="719862A0" w14:textId="77777777">
            <w:pPr>
              <w:pStyle w:val="TableParagraph"/>
              <w:spacing w:before="155"/>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7E0C7AD9" w14:textId="77777777">
            <w:pPr>
              <w:pStyle w:val="TableParagraph"/>
              <w:ind w:left="202"/>
              <w:rPr>
                <w:sz w:val="20"/>
              </w:rPr>
            </w:pPr>
            <w:r>
              <w:rPr>
                <w:sz w:val="20"/>
              </w:rPr>
              <w:t>2005</w:t>
            </w:r>
            <w:r>
              <w:rPr>
                <w:spacing w:val="-7"/>
                <w:sz w:val="20"/>
              </w:rPr>
              <w:t xml:space="preserve"> </w:t>
            </w:r>
            <w:r>
              <w:rPr>
                <w:sz w:val="20"/>
              </w:rPr>
              <w:t>T-24:</w:t>
            </w:r>
            <w:r>
              <w:rPr>
                <w:spacing w:val="-7"/>
                <w:sz w:val="20"/>
              </w:rPr>
              <w:t xml:space="preserve"> </w:t>
            </w:r>
            <w:r>
              <w:rPr>
                <w:sz w:val="20"/>
              </w:rPr>
              <w:t>Whole</w:t>
            </w:r>
            <w:r>
              <w:rPr>
                <w:spacing w:val="-7"/>
                <w:sz w:val="20"/>
              </w:rPr>
              <w:t xml:space="preserve"> </w:t>
            </w:r>
            <w:r>
              <w:rPr>
                <w:sz w:val="20"/>
              </w:rPr>
              <w:t>Building</w:t>
            </w:r>
            <w:r>
              <w:rPr>
                <w:spacing w:val="-7"/>
                <w:sz w:val="20"/>
              </w:rPr>
              <w:t xml:space="preserve"> </w:t>
            </w:r>
            <w:r>
              <w:rPr>
                <w:sz w:val="20"/>
              </w:rPr>
              <w:t>-</w:t>
            </w:r>
            <w:r>
              <w:rPr>
                <w:spacing w:val="-7"/>
                <w:sz w:val="20"/>
              </w:rPr>
              <w:t xml:space="preserve"> </w:t>
            </w:r>
            <w:r>
              <w:rPr>
                <w:sz w:val="20"/>
              </w:rPr>
              <w:t>Res</w:t>
            </w:r>
            <w:r>
              <w:rPr>
                <w:spacing w:val="-6"/>
                <w:sz w:val="20"/>
              </w:rPr>
              <w:t xml:space="preserve"> </w:t>
            </w:r>
            <w:r>
              <w:rPr>
                <w:sz w:val="20"/>
              </w:rPr>
              <w:t>New Construction (Gas)</w:t>
            </w:r>
          </w:p>
        </w:tc>
        <w:tc>
          <w:tcPr>
            <w:tcW w:w="1205" w:type="dxa"/>
            <w:tcBorders>
              <w:top w:val="single" w:color="D9D9D9" w:sz="2" w:space="0"/>
              <w:bottom w:val="single" w:color="D9D9D9" w:sz="2" w:space="0"/>
            </w:tcBorders>
          </w:tcPr>
          <w:p w:rsidR="00C31389" w:rsidRDefault="00561FBD" w14:paraId="3FD1D83C" w14:textId="77777777">
            <w:pPr>
              <w:pStyle w:val="TableParagraph"/>
              <w:spacing w:before="155"/>
              <w:ind w:left="294"/>
              <w:rPr>
                <w:sz w:val="20"/>
              </w:rPr>
            </w:pPr>
            <w:r>
              <w:rPr>
                <w:spacing w:val="-4"/>
                <w:sz w:val="20"/>
              </w:rPr>
              <w:t>235%</w:t>
            </w:r>
          </w:p>
        </w:tc>
        <w:tc>
          <w:tcPr>
            <w:tcW w:w="1368" w:type="dxa"/>
            <w:tcBorders>
              <w:top w:val="single" w:color="D9D9D9" w:sz="2" w:space="0"/>
              <w:bottom w:val="single" w:color="D9D9D9" w:sz="2" w:space="0"/>
            </w:tcBorders>
          </w:tcPr>
          <w:p w:rsidR="00C31389" w:rsidRDefault="00561FBD" w14:paraId="706143F2"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5E78860F" w14:textId="77777777">
            <w:pPr>
              <w:pStyle w:val="TableParagraph"/>
              <w:spacing w:before="155"/>
              <w:ind w:left="198" w:right="155"/>
              <w:jc w:val="center"/>
              <w:rPr>
                <w:sz w:val="20"/>
              </w:rPr>
            </w:pPr>
            <w:r>
              <w:rPr>
                <w:spacing w:val="-2"/>
                <w:sz w:val="20"/>
              </w:rPr>
              <w:t>On-the-books</w:t>
            </w:r>
          </w:p>
        </w:tc>
      </w:tr>
      <w:tr w:rsidR="00C31389" w14:paraId="40A7D9C9" w14:textId="77777777">
        <w:trPr>
          <w:trHeight w:val="309"/>
        </w:trPr>
        <w:tc>
          <w:tcPr>
            <w:tcW w:w="1367" w:type="dxa"/>
            <w:tcBorders>
              <w:top w:val="single" w:color="D9D9D9" w:sz="2" w:space="0"/>
              <w:bottom w:val="single" w:color="D9D9D9" w:sz="2" w:space="0"/>
            </w:tcBorders>
          </w:tcPr>
          <w:p w:rsidR="00C31389" w:rsidRDefault="00561FBD" w14:paraId="532901E5" w14:textId="77777777">
            <w:pPr>
              <w:pStyle w:val="TableParagraph"/>
              <w:ind w:left="129"/>
              <w:rPr>
                <w:sz w:val="20"/>
              </w:rPr>
            </w:pPr>
            <w:r>
              <w:rPr>
                <w:sz w:val="20"/>
              </w:rPr>
              <w:t>2005</w:t>
            </w:r>
            <w:r>
              <w:rPr>
                <w:spacing w:val="-3"/>
                <w:sz w:val="20"/>
              </w:rPr>
              <w:t xml:space="preserve"> </w:t>
            </w:r>
            <w:r>
              <w:rPr>
                <w:sz w:val="20"/>
              </w:rPr>
              <w:t>T-</w:t>
            </w:r>
            <w:r>
              <w:rPr>
                <w:spacing w:val="-5"/>
                <w:sz w:val="20"/>
              </w:rPr>
              <w:t>24</w:t>
            </w:r>
          </w:p>
        </w:tc>
        <w:tc>
          <w:tcPr>
            <w:tcW w:w="3857" w:type="dxa"/>
            <w:tcBorders>
              <w:top w:val="single" w:color="D9D9D9" w:sz="2" w:space="0"/>
              <w:bottom w:val="single" w:color="D9D9D9" w:sz="2" w:space="0"/>
            </w:tcBorders>
          </w:tcPr>
          <w:p w:rsidR="00C31389" w:rsidRDefault="00561FBD" w14:paraId="673A7DFD" w14:textId="77777777">
            <w:pPr>
              <w:pStyle w:val="TableParagraph"/>
              <w:ind w:left="202"/>
              <w:rPr>
                <w:sz w:val="20"/>
              </w:rPr>
            </w:pPr>
            <w:r>
              <w:rPr>
                <w:sz w:val="20"/>
              </w:rPr>
              <w:t>2005</w:t>
            </w:r>
            <w:r>
              <w:rPr>
                <w:spacing w:val="-3"/>
                <w:sz w:val="20"/>
              </w:rPr>
              <w:t xml:space="preserve"> </w:t>
            </w:r>
            <w:r>
              <w:rPr>
                <w:sz w:val="20"/>
              </w:rPr>
              <w:t>T-24:</w:t>
            </w:r>
            <w:r>
              <w:rPr>
                <w:spacing w:val="-3"/>
                <w:sz w:val="20"/>
              </w:rPr>
              <w:t xml:space="preserve"> </w:t>
            </w:r>
            <w:r>
              <w:rPr>
                <w:sz w:val="20"/>
              </w:rPr>
              <w:t>Window</w:t>
            </w:r>
            <w:r>
              <w:rPr>
                <w:spacing w:val="-2"/>
                <w:sz w:val="20"/>
              </w:rPr>
              <w:t xml:space="preserve"> replacement</w:t>
            </w:r>
          </w:p>
        </w:tc>
        <w:tc>
          <w:tcPr>
            <w:tcW w:w="1205" w:type="dxa"/>
            <w:tcBorders>
              <w:top w:val="single" w:color="D9D9D9" w:sz="2" w:space="0"/>
              <w:bottom w:val="single" w:color="D9D9D9" w:sz="2" w:space="0"/>
            </w:tcBorders>
          </w:tcPr>
          <w:p w:rsidR="00C31389" w:rsidRDefault="00561FBD" w14:paraId="4A003DE8" w14:textId="77777777">
            <w:pPr>
              <w:pStyle w:val="TableParagraph"/>
              <w:ind w:left="350"/>
              <w:rPr>
                <w:sz w:val="20"/>
              </w:rPr>
            </w:pPr>
            <w:r>
              <w:rPr>
                <w:spacing w:val="-5"/>
                <w:sz w:val="20"/>
              </w:rPr>
              <w:t>80%</w:t>
            </w:r>
          </w:p>
        </w:tc>
        <w:tc>
          <w:tcPr>
            <w:tcW w:w="1368" w:type="dxa"/>
            <w:tcBorders>
              <w:top w:val="single" w:color="D9D9D9" w:sz="2" w:space="0"/>
              <w:bottom w:val="single" w:color="D9D9D9" w:sz="2" w:space="0"/>
            </w:tcBorders>
          </w:tcPr>
          <w:p w:rsidR="00C31389" w:rsidRDefault="00561FBD" w14:paraId="0653D5CF" w14:textId="77777777">
            <w:pPr>
              <w:pStyle w:val="TableParagraph"/>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593E2896" w14:textId="77777777">
            <w:pPr>
              <w:pStyle w:val="TableParagraph"/>
              <w:ind w:left="198" w:right="155"/>
              <w:jc w:val="center"/>
              <w:rPr>
                <w:sz w:val="20"/>
              </w:rPr>
            </w:pPr>
            <w:r>
              <w:rPr>
                <w:spacing w:val="-2"/>
                <w:sz w:val="20"/>
              </w:rPr>
              <w:t>On-the-books</w:t>
            </w:r>
          </w:p>
        </w:tc>
      </w:tr>
      <w:tr w:rsidR="00C31389" w14:paraId="675B7D9E" w14:textId="77777777">
        <w:trPr>
          <w:trHeight w:val="539"/>
        </w:trPr>
        <w:tc>
          <w:tcPr>
            <w:tcW w:w="1367" w:type="dxa"/>
            <w:tcBorders>
              <w:top w:val="single" w:color="D9D9D9" w:sz="2" w:space="0"/>
              <w:bottom w:val="single" w:color="D9D9D9" w:sz="2" w:space="0"/>
            </w:tcBorders>
          </w:tcPr>
          <w:p w:rsidR="00C31389" w:rsidRDefault="00561FBD" w14:paraId="025ABEF4" w14:textId="77777777">
            <w:pPr>
              <w:pStyle w:val="TableParagraph"/>
              <w:spacing w:before="155"/>
              <w:ind w:left="129"/>
              <w:rPr>
                <w:sz w:val="20"/>
              </w:rPr>
            </w:pPr>
            <w:r>
              <w:rPr>
                <w:sz w:val="20"/>
              </w:rPr>
              <w:t>2006</w:t>
            </w:r>
            <w:r>
              <w:rPr>
                <w:spacing w:val="-3"/>
                <w:sz w:val="20"/>
              </w:rPr>
              <w:t xml:space="preserve"> </w:t>
            </w:r>
            <w:r>
              <w:rPr>
                <w:sz w:val="20"/>
              </w:rPr>
              <w:t>T-</w:t>
            </w:r>
            <w:r>
              <w:rPr>
                <w:spacing w:val="-5"/>
                <w:sz w:val="20"/>
              </w:rPr>
              <w:t>20</w:t>
            </w:r>
          </w:p>
        </w:tc>
        <w:tc>
          <w:tcPr>
            <w:tcW w:w="3857" w:type="dxa"/>
            <w:tcBorders>
              <w:top w:val="single" w:color="D9D9D9" w:sz="2" w:space="0"/>
              <w:bottom w:val="single" w:color="D9D9D9" w:sz="2" w:space="0"/>
            </w:tcBorders>
          </w:tcPr>
          <w:p w:rsidR="00C31389" w:rsidRDefault="00561FBD" w14:paraId="6E5C3C54" w14:textId="77777777">
            <w:pPr>
              <w:pStyle w:val="TableParagraph"/>
              <w:ind w:left="202" w:right="448"/>
              <w:rPr>
                <w:sz w:val="20"/>
              </w:rPr>
            </w:pPr>
            <w:r>
              <w:rPr>
                <w:sz w:val="20"/>
              </w:rPr>
              <w:t>2006 T-20: General Service Incandescent</w:t>
            </w:r>
            <w:r>
              <w:rPr>
                <w:spacing w:val="-11"/>
                <w:sz w:val="20"/>
              </w:rPr>
              <w:t xml:space="preserve"> </w:t>
            </w:r>
            <w:r>
              <w:rPr>
                <w:sz w:val="20"/>
              </w:rPr>
              <w:t>Lamps,</w:t>
            </w:r>
            <w:r>
              <w:rPr>
                <w:spacing w:val="-9"/>
                <w:sz w:val="20"/>
              </w:rPr>
              <w:t xml:space="preserve"> </w:t>
            </w:r>
            <w:r>
              <w:rPr>
                <w:sz w:val="20"/>
              </w:rPr>
              <w:t>Tier</w:t>
            </w:r>
            <w:r>
              <w:rPr>
                <w:spacing w:val="-10"/>
                <w:sz w:val="20"/>
              </w:rPr>
              <w:t xml:space="preserve"> </w:t>
            </w:r>
            <w:r>
              <w:rPr>
                <w:sz w:val="20"/>
              </w:rPr>
              <w:t>2</w:t>
            </w:r>
            <w:r>
              <w:rPr>
                <w:spacing w:val="-9"/>
                <w:sz w:val="20"/>
              </w:rPr>
              <w:t xml:space="preserve"> </w:t>
            </w:r>
            <w:r>
              <w:rPr>
                <w:sz w:val="20"/>
              </w:rPr>
              <w:t>#1</w:t>
            </w:r>
          </w:p>
        </w:tc>
        <w:tc>
          <w:tcPr>
            <w:tcW w:w="1205" w:type="dxa"/>
            <w:tcBorders>
              <w:top w:val="single" w:color="D9D9D9" w:sz="2" w:space="0"/>
              <w:bottom w:val="single" w:color="D9D9D9" w:sz="2" w:space="0"/>
            </w:tcBorders>
          </w:tcPr>
          <w:p w:rsidR="00C31389" w:rsidRDefault="00561FBD" w14:paraId="63834A5E" w14:textId="77777777">
            <w:pPr>
              <w:pStyle w:val="TableParagraph"/>
              <w:spacing w:before="155"/>
              <w:ind w:left="350"/>
              <w:rPr>
                <w:sz w:val="20"/>
              </w:rPr>
            </w:pPr>
            <w:r>
              <w:rPr>
                <w:spacing w:val="-5"/>
                <w:sz w:val="20"/>
              </w:rPr>
              <w:t>87%</w:t>
            </w:r>
          </w:p>
        </w:tc>
        <w:tc>
          <w:tcPr>
            <w:tcW w:w="1368" w:type="dxa"/>
            <w:tcBorders>
              <w:top w:val="single" w:color="D9D9D9" w:sz="2" w:space="0"/>
              <w:bottom w:val="single" w:color="D9D9D9" w:sz="2" w:space="0"/>
            </w:tcBorders>
          </w:tcPr>
          <w:p w:rsidR="00C31389" w:rsidRDefault="00561FBD" w14:paraId="3EC8DFA0"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3B37D10C" w14:textId="77777777">
            <w:pPr>
              <w:pStyle w:val="TableParagraph"/>
              <w:spacing w:before="155"/>
              <w:ind w:left="198" w:right="155"/>
              <w:jc w:val="center"/>
              <w:rPr>
                <w:sz w:val="20"/>
              </w:rPr>
            </w:pPr>
            <w:r>
              <w:rPr>
                <w:spacing w:val="-2"/>
                <w:sz w:val="20"/>
              </w:rPr>
              <w:t>On-the-books</w:t>
            </w:r>
          </w:p>
        </w:tc>
      </w:tr>
      <w:tr w:rsidR="00C31389" w14:paraId="5184ABBE" w14:textId="77777777">
        <w:trPr>
          <w:trHeight w:val="539"/>
        </w:trPr>
        <w:tc>
          <w:tcPr>
            <w:tcW w:w="1367" w:type="dxa"/>
            <w:tcBorders>
              <w:top w:val="single" w:color="D9D9D9" w:sz="2" w:space="0"/>
              <w:bottom w:val="single" w:color="D9D9D9" w:sz="2" w:space="0"/>
            </w:tcBorders>
          </w:tcPr>
          <w:p w:rsidR="00C31389" w:rsidRDefault="00561FBD" w14:paraId="3BEF0272" w14:textId="77777777">
            <w:pPr>
              <w:pStyle w:val="TableParagraph"/>
              <w:spacing w:before="155"/>
              <w:ind w:left="129"/>
              <w:rPr>
                <w:sz w:val="20"/>
              </w:rPr>
            </w:pPr>
            <w:r>
              <w:rPr>
                <w:sz w:val="20"/>
              </w:rPr>
              <w:t>2006</w:t>
            </w:r>
            <w:r>
              <w:rPr>
                <w:spacing w:val="-3"/>
                <w:sz w:val="20"/>
              </w:rPr>
              <w:t xml:space="preserve"> </w:t>
            </w:r>
            <w:r>
              <w:rPr>
                <w:sz w:val="20"/>
              </w:rPr>
              <w:t>T-</w:t>
            </w:r>
            <w:r>
              <w:rPr>
                <w:spacing w:val="-5"/>
                <w:sz w:val="20"/>
              </w:rPr>
              <w:t>20</w:t>
            </w:r>
          </w:p>
        </w:tc>
        <w:tc>
          <w:tcPr>
            <w:tcW w:w="3857" w:type="dxa"/>
            <w:tcBorders>
              <w:top w:val="single" w:color="D9D9D9" w:sz="2" w:space="0"/>
              <w:bottom w:val="single" w:color="D9D9D9" w:sz="2" w:space="0"/>
            </w:tcBorders>
          </w:tcPr>
          <w:p w:rsidR="00C31389" w:rsidRDefault="00561FBD" w14:paraId="5B3DA668" w14:textId="77777777">
            <w:pPr>
              <w:pStyle w:val="TableParagraph"/>
              <w:ind w:left="202" w:right="448"/>
              <w:rPr>
                <w:sz w:val="20"/>
              </w:rPr>
            </w:pPr>
            <w:r>
              <w:rPr>
                <w:sz w:val="20"/>
              </w:rPr>
              <w:t>2006 T-20: General Service Incandescent</w:t>
            </w:r>
            <w:r>
              <w:rPr>
                <w:spacing w:val="-11"/>
                <w:sz w:val="20"/>
              </w:rPr>
              <w:t xml:space="preserve"> </w:t>
            </w:r>
            <w:r>
              <w:rPr>
                <w:sz w:val="20"/>
              </w:rPr>
              <w:t>Lamps,</w:t>
            </w:r>
            <w:r>
              <w:rPr>
                <w:spacing w:val="-9"/>
                <w:sz w:val="20"/>
              </w:rPr>
              <w:t xml:space="preserve"> </w:t>
            </w:r>
            <w:r>
              <w:rPr>
                <w:sz w:val="20"/>
              </w:rPr>
              <w:t>Tier</w:t>
            </w:r>
            <w:r>
              <w:rPr>
                <w:spacing w:val="-10"/>
                <w:sz w:val="20"/>
              </w:rPr>
              <w:t xml:space="preserve"> </w:t>
            </w:r>
            <w:r>
              <w:rPr>
                <w:sz w:val="20"/>
              </w:rPr>
              <w:t>2</w:t>
            </w:r>
            <w:r>
              <w:rPr>
                <w:spacing w:val="-9"/>
                <w:sz w:val="20"/>
              </w:rPr>
              <w:t xml:space="preserve"> </w:t>
            </w:r>
            <w:r>
              <w:rPr>
                <w:sz w:val="20"/>
              </w:rPr>
              <w:t>#2</w:t>
            </w:r>
          </w:p>
        </w:tc>
        <w:tc>
          <w:tcPr>
            <w:tcW w:w="1205" w:type="dxa"/>
            <w:tcBorders>
              <w:top w:val="single" w:color="D9D9D9" w:sz="2" w:space="0"/>
              <w:bottom w:val="single" w:color="D9D9D9" w:sz="2" w:space="0"/>
            </w:tcBorders>
          </w:tcPr>
          <w:p w:rsidR="00C31389" w:rsidRDefault="00561FBD" w14:paraId="6725B933" w14:textId="77777777">
            <w:pPr>
              <w:pStyle w:val="TableParagraph"/>
              <w:spacing w:before="155"/>
              <w:ind w:left="350"/>
              <w:rPr>
                <w:sz w:val="20"/>
              </w:rPr>
            </w:pPr>
            <w:r>
              <w:rPr>
                <w:spacing w:val="-5"/>
                <w:sz w:val="20"/>
              </w:rPr>
              <w:t>87%</w:t>
            </w:r>
          </w:p>
        </w:tc>
        <w:tc>
          <w:tcPr>
            <w:tcW w:w="1368" w:type="dxa"/>
            <w:tcBorders>
              <w:top w:val="single" w:color="D9D9D9" w:sz="2" w:space="0"/>
              <w:bottom w:val="single" w:color="D9D9D9" w:sz="2" w:space="0"/>
            </w:tcBorders>
          </w:tcPr>
          <w:p w:rsidR="00C31389" w:rsidRDefault="00561FBD" w14:paraId="2D3EB611" w14:textId="77777777">
            <w:pPr>
              <w:pStyle w:val="TableParagraph"/>
              <w:spacing w:before="155"/>
              <w:ind w:right="234"/>
              <w:jc w:val="right"/>
              <w:rPr>
                <w:sz w:val="20"/>
              </w:rPr>
            </w:pPr>
            <w:r>
              <w:rPr>
                <w:spacing w:val="-2"/>
                <w:sz w:val="20"/>
              </w:rPr>
              <w:t>1/1/2006</w:t>
            </w:r>
          </w:p>
        </w:tc>
        <w:tc>
          <w:tcPr>
            <w:tcW w:w="1581" w:type="dxa"/>
            <w:tcBorders>
              <w:top w:val="single" w:color="D9D9D9" w:sz="2" w:space="0"/>
              <w:bottom w:val="single" w:color="D9D9D9" w:sz="2" w:space="0"/>
            </w:tcBorders>
          </w:tcPr>
          <w:p w:rsidR="00C31389" w:rsidRDefault="00561FBD" w14:paraId="59DB6A2A" w14:textId="77777777">
            <w:pPr>
              <w:pStyle w:val="TableParagraph"/>
              <w:spacing w:before="155"/>
              <w:ind w:left="198" w:right="155"/>
              <w:jc w:val="center"/>
              <w:rPr>
                <w:sz w:val="20"/>
              </w:rPr>
            </w:pPr>
            <w:r>
              <w:rPr>
                <w:spacing w:val="-2"/>
                <w:sz w:val="20"/>
              </w:rPr>
              <w:t>On-the-books</w:t>
            </w:r>
          </w:p>
        </w:tc>
      </w:tr>
      <w:tr w:rsidR="00C31389" w14:paraId="748F3343" w14:textId="77777777">
        <w:trPr>
          <w:trHeight w:val="541"/>
        </w:trPr>
        <w:tc>
          <w:tcPr>
            <w:tcW w:w="1367" w:type="dxa"/>
            <w:tcBorders>
              <w:top w:val="single" w:color="D9D9D9" w:sz="2" w:space="0"/>
              <w:bottom w:val="single" w:color="D9D9D9" w:sz="2" w:space="0"/>
            </w:tcBorders>
          </w:tcPr>
          <w:p w:rsidR="00C31389" w:rsidRDefault="00561FBD" w14:paraId="69BD73BC" w14:textId="77777777">
            <w:pPr>
              <w:pStyle w:val="TableParagraph"/>
              <w:spacing w:before="155"/>
              <w:ind w:left="129"/>
              <w:rPr>
                <w:sz w:val="20"/>
              </w:rPr>
            </w:pPr>
            <w:r>
              <w:rPr>
                <w:sz w:val="20"/>
              </w:rPr>
              <w:t>2006</w:t>
            </w:r>
            <w:r>
              <w:rPr>
                <w:spacing w:val="-3"/>
                <w:sz w:val="20"/>
              </w:rPr>
              <w:t xml:space="preserve"> </w:t>
            </w:r>
            <w:r>
              <w:rPr>
                <w:sz w:val="20"/>
              </w:rPr>
              <w:t>T-</w:t>
            </w:r>
            <w:r>
              <w:rPr>
                <w:spacing w:val="-5"/>
                <w:sz w:val="20"/>
              </w:rPr>
              <w:t>20</w:t>
            </w:r>
          </w:p>
        </w:tc>
        <w:tc>
          <w:tcPr>
            <w:tcW w:w="3857" w:type="dxa"/>
            <w:tcBorders>
              <w:top w:val="single" w:color="D9D9D9" w:sz="2" w:space="0"/>
              <w:bottom w:val="single" w:color="D9D9D9" w:sz="2" w:space="0"/>
            </w:tcBorders>
          </w:tcPr>
          <w:p w:rsidR="00C31389" w:rsidRDefault="00561FBD" w14:paraId="240DD9BA" w14:textId="77777777">
            <w:pPr>
              <w:pStyle w:val="TableParagraph"/>
              <w:spacing w:before="41"/>
              <w:ind w:left="202" w:right="448"/>
              <w:rPr>
                <w:sz w:val="20"/>
              </w:rPr>
            </w:pPr>
            <w:r>
              <w:rPr>
                <w:sz w:val="20"/>
              </w:rPr>
              <w:t>2006 T-20: General Service Incandescent</w:t>
            </w:r>
            <w:r>
              <w:rPr>
                <w:spacing w:val="-11"/>
                <w:sz w:val="20"/>
              </w:rPr>
              <w:t xml:space="preserve"> </w:t>
            </w:r>
            <w:r>
              <w:rPr>
                <w:sz w:val="20"/>
              </w:rPr>
              <w:t>Lamps,</w:t>
            </w:r>
            <w:r>
              <w:rPr>
                <w:spacing w:val="-9"/>
                <w:sz w:val="20"/>
              </w:rPr>
              <w:t xml:space="preserve"> </w:t>
            </w:r>
            <w:r>
              <w:rPr>
                <w:sz w:val="20"/>
              </w:rPr>
              <w:t>Tier</w:t>
            </w:r>
            <w:r>
              <w:rPr>
                <w:spacing w:val="-10"/>
                <w:sz w:val="20"/>
              </w:rPr>
              <w:t xml:space="preserve"> </w:t>
            </w:r>
            <w:r>
              <w:rPr>
                <w:sz w:val="20"/>
              </w:rPr>
              <w:t>2</w:t>
            </w:r>
            <w:r>
              <w:rPr>
                <w:spacing w:val="-9"/>
                <w:sz w:val="20"/>
              </w:rPr>
              <w:t xml:space="preserve"> </w:t>
            </w:r>
            <w:r>
              <w:rPr>
                <w:sz w:val="20"/>
              </w:rPr>
              <w:t>#3</w:t>
            </w:r>
          </w:p>
        </w:tc>
        <w:tc>
          <w:tcPr>
            <w:tcW w:w="1205" w:type="dxa"/>
            <w:tcBorders>
              <w:top w:val="single" w:color="D9D9D9" w:sz="2" w:space="0"/>
              <w:bottom w:val="single" w:color="D9D9D9" w:sz="2" w:space="0"/>
            </w:tcBorders>
          </w:tcPr>
          <w:p w:rsidR="00C31389" w:rsidRDefault="00561FBD" w14:paraId="426673A9" w14:textId="77777777">
            <w:pPr>
              <w:pStyle w:val="TableParagraph"/>
              <w:spacing w:before="155"/>
              <w:ind w:left="350"/>
              <w:rPr>
                <w:sz w:val="20"/>
              </w:rPr>
            </w:pPr>
            <w:r>
              <w:rPr>
                <w:spacing w:val="-5"/>
                <w:sz w:val="20"/>
              </w:rPr>
              <w:t>89%</w:t>
            </w:r>
          </w:p>
        </w:tc>
        <w:tc>
          <w:tcPr>
            <w:tcW w:w="1368" w:type="dxa"/>
            <w:tcBorders>
              <w:top w:val="single" w:color="D9D9D9" w:sz="2" w:space="0"/>
              <w:bottom w:val="single" w:color="D9D9D9" w:sz="2" w:space="0"/>
            </w:tcBorders>
          </w:tcPr>
          <w:p w:rsidR="00C31389" w:rsidRDefault="00561FBD" w14:paraId="6F6FF1FC" w14:textId="77777777">
            <w:pPr>
              <w:pStyle w:val="TableParagraph"/>
              <w:spacing w:before="155"/>
              <w:ind w:right="234"/>
              <w:jc w:val="right"/>
              <w:rPr>
                <w:sz w:val="20"/>
              </w:rPr>
            </w:pPr>
            <w:r>
              <w:rPr>
                <w:spacing w:val="-2"/>
                <w:sz w:val="20"/>
              </w:rPr>
              <w:t>1/8/2008</w:t>
            </w:r>
          </w:p>
        </w:tc>
        <w:tc>
          <w:tcPr>
            <w:tcW w:w="1581" w:type="dxa"/>
            <w:tcBorders>
              <w:top w:val="single" w:color="D9D9D9" w:sz="2" w:space="0"/>
              <w:bottom w:val="single" w:color="D9D9D9" w:sz="2" w:space="0"/>
            </w:tcBorders>
          </w:tcPr>
          <w:p w:rsidR="00C31389" w:rsidRDefault="00561FBD" w14:paraId="34A33759" w14:textId="77777777">
            <w:pPr>
              <w:pStyle w:val="TableParagraph"/>
              <w:spacing w:before="155"/>
              <w:ind w:left="198" w:right="155"/>
              <w:jc w:val="center"/>
              <w:rPr>
                <w:sz w:val="20"/>
              </w:rPr>
            </w:pPr>
            <w:r>
              <w:rPr>
                <w:spacing w:val="-2"/>
                <w:sz w:val="20"/>
              </w:rPr>
              <w:t>On-the-books</w:t>
            </w:r>
          </w:p>
        </w:tc>
      </w:tr>
      <w:tr w:rsidR="00C31389" w14:paraId="58C0CD59" w14:textId="77777777">
        <w:trPr>
          <w:trHeight w:val="539"/>
        </w:trPr>
        <w:tc>
          <w:tcPr>
            <w:tcW w:w="1367" w:type="dxa"/>
            <w:tcBorders>
              <w:top w:val="single" w:color="D9D9D9" w:sz="2" w:space="0"/>
              <w:bottom w:val="single" w:color="D9D9D9" w:sz="2" w:space="0"/>
            </w:tcBorders>
          </w:tcPr>
          <w:p w:rsidR="00C31389" w:rsidRDefault="00561FBD" w14:paraId="34AE7AB1" w14:textId="77777777">
            <w:pPr>
              <w:pStyle w:val="TableParagraph"/>
              <w:spacing w:before="155"/>
              <w:ind w:left="129"/>
              <w:rPr>
                <w:sz w:val="20"/>
              </w:rPr>
            </w:pPr>
            <w:r>
              <w:rPr>
                <w:sz w:val="20"/>
              </w:rPr>
              <w:t>2006</w:t>
            </w:r>
            <w:r>
              <w:rPr>
                <w:spacing w:val="-3"/>
                <w:sz w:val="20"/>
              </w:rPr>
              <w:t xml:space="preserve"> </w:t>
            </w:r>
            <w:r>
              <w:rPr>
                <w:sz w:val="20"/>
              </w:rPr>
              <w:t>T-</w:t>
            </w:r>
            <w:r>
              <w:rPr>
                <w:spacing w:val="-5"/>
                <w:sz w:val="20"/>
              </w:rPr>
              <w:t>20</w:t>
            </w:r>
          </w:p>
        </w:tc>
        <w:tc>
          <w:tcPr>
            <w:tcW w:w="3857" w:type="dxa"/>
            <w:tcBorders>
              <w:top w:val="single" w:color="D9D9D9" w:sz="2" w:space="0"/>
              <w:bottom w:val="single" w:color="D9D9D9" w:sz="2" w:space="0"/>
            </w:tcBorders>
          </w:tcPr>
          <w:p w:rsidR="00C31389" w:rsidRDefault="00561FBD" w14:paraId="24A59AC4" w14:textId="77777777">
            <w:pPr>
              <w:pStyle w:val="TableParagraph"/>
              <w:ind w:left="202" w:right="448"/>
              <w:rPr>
                <w:sz w:val="20"/>
              </w:rPr>
            </w:pPr>
            <w:r>
              <w:rPr>
                <w:sz w:val="20"/>
              </w:rPr>
              <w:t>2006</w:t>
            </w:r>
            <w:r>
              <w:rPr>
                <w:spacing w:val="-9"/>
                <w:sz w:val="20"/>
              </w:rPr>
              <w:t xml:space="preserve"> </w:t>
            </w:r>
            <w:r>
              <w:rPr>
                <w:sz w:val="20"/>
              </w:rPr>
              <w:t>T-20:</w:t>
            </w:r>
            <w:r>
              <w:rPr>
                <w:spacing w:val="-9"/>
                <w:sz w:val="20"/>
              </w:rPr>
              <w:t xml:space="preserve"> </w:t>
            </w:r>
            <w:r>
              <w:rPr>
                <w:sz w:val="20"/>
              </w:rPr>
              <w:t>Residential</w:t>
            </w:r>
            <w:r>
              <w:rPr>
                <w:spacing w:val="-9"/>
                <w:sz w:val="20"/>
              </w:rPr>
              <w:t xml:space="preserve"> </w:t>
            </w:r>
            <w:r>
              <w:rPr>
                <w:sz w:val="20"/>
              </w:rPr>
              <w:t>Pool</w:t>
            </w:r>
            <w:r>
              <w:rPr>
                <w:spacing w:val="-9"/>
                <w:sz w:val="20"/>
              </w:rPr>
              <w:t xml:space="preserve"> </w:t>
            </w:r>
            <w:r>
              <w:rPr>
                <w:sz w:val="20"/>
              </w:rPr>
              <w:t>Pumps, 2-speed Motors, Tier 2</w:t>
            </w:r>
          </w:p>
        </w:tc>
        <w:tc>
          <w:tcPr>
            <w:tcW w:w="1205" w:type="dxa"/>
            <w:tcBorders>
              <w:top w:val="single" w:color="D9D9D9" w:sz="2" w:space="0"/>
              <w:bottom w:val="single" w:color="D9D9D9" w:sz="2" w:space="0"/>
            </w:tcBorders>
          </w:tcPr>
          <w:p w:rsidR="00C31389" w:rsidRDefault="00561FBD" w14:paraId="002F091B" w14:textId="77777777">
            <w:pPr>
              <w:pStyle w:val="TableParagraph"/>
              <w:spacing w:before="155"/>
              <w:ind w:left="350"/>
              <w:rPr>
                <w:sz w:val="20"/>
              </w:rPr>
            </w:pPr>
            <w:r>
              <w:rPr>
                <w:spacing w:val="-5"/>
                <w:sz w:val="20"/>
              </w:rPr>
              <w:t>86%</w:t>
            </w:r>
          </w:p>
        </w:tc>
        <w:tc>
          <w:tcPr>
            <w:tcW w:w="1368" w:type="dxa"/>
            <w:tcBorders>
              <w:top w:val="single" w:color="D9D9D9" w:sz="2" w:space="0"/>
              <w:bottom w:val="single" w:color="D9D9D9" w:sz="2" w:space="0"/>
            </w:tcBorders>
          </w:tcPr>
          <w:p w:rsidR="00C31389" w:rsidRDefault="00561FBD" w14:paraId="277CF141" w14:textId="77777777">
            <w:pPr>
              <w:pStyle w:val="TableParagraph"/>
              <w:spacing w:before="155"/>
              <w:ind w:right="234"/>
              <w:jc w:val="right"/>
              <w:rPr>
                <w:sz w:val="20"/>
              </w:rPr>
            </w:pPr>
            <w:r>
              <w:rPr>
                <w:spacing w:val="-2"/>
                <w:sz w:val="20"/>
              </w:rPr>
              <w:t>1/8/2008</w:t>
            </w:r>
          </w:p>
        </w:tc>
        <w:tc>
          <w:tcPr>
            <w:tcW w:w="1581" w:type="dxa"/>
            <w:tcBorders>
              <w:top w:val="single" w:color="D9D9D9" w:sz="2" w:space="0"/>
              <w:bottom w:val="single" w:color="D9D9D9" w:sz="2" w:space="0"/>
            </w:tcBorders>
          </w:tcPr>
          <w:p w:rsidR="00C31389" w:rsidRDefault="00561FBD" w14:paraId="7F40170A" w14:textId="77777777">
            <w:pPr>
              <w:pStyle w:val="TableParagraph"/>
              <w:spacing w:before="155"/>
              <w:ind w:left="198" w:right="155"/>
              <w:jc w:val="center"/>
              <w:rPr>
                <w:sz w:val="20"/>
              </w:rPr>
            </w:pPr>
            <w:r>
              <w:rPr>
                <w:spacing w:val="-2"/>
                <w:sz w:val="20"/>
              </w:rPr>
              <w:t>On-the-books</w:t>
            </w:r>
          </w:p>
        </w:tc>
      </w:tr>
      <w:tr w:rsidR="00C31389" w14:paraId="0ED9EDC7" w14:textId="77777777">
        <w:trPr>
          <w:trHeight w:val="769"/>
        </w:trPr>
        <w:tc>
          <w:tcPr>
            <w:tcW w:w="1367" w:type="dxa"/>
            <w:tcBorders>
              <w:top w:val="single" w:color="D9D9D9" w:sz="2" w:space="0"/>
              <w:bottom w:val="single" w:color="000000" w:sz="8" w:space="0"/>
            </w:tcBorders>
          </w:tcPr>
          <w:p w:rsidR="00C31389" w:rsidRDefault="00C31389" w14:paraId="7792ACC4" w14:textId="77777777">
            <w:pPr>
              <w:pStyle w:val="TableParagraph"/>
              <w:spacing w:before="6"/>
              <w:rPr>
                <w:sz w:val="23"/>
              </w:rPr>
            </w:pPr>
          </w:p>
          <w:p w:rsidR="00C31389" w:rsidRDefault="00561FBD" w14:paraId="50FAC873" w14:textId="77777777">
            <w:pPr>
              <w:pStyle w:val="TableParagraph"/>
              <w:spacing w:before="0"/>
              <w:ind w:left="129"/>
              <w:rPr>
                <w:sz w:val="20"/>
              </w:rPr>
            </w:pPr>
            <w:r>
              <w:rPr>
                <w:sz w:val="20"/>
              </w:rPr>
              <w:t>2006</w:t>
            </w:r>
            <w:r>
              <w:rPr>
                <w:spacing w:val="-3"/>
                <w:sz w:val="20"/>
              </w:rPr>
              <w:t xml:space="preserve"> </w:t>
            </w:r>
            <w:r>
              <w:rPr>
                <w:sz w:val="20"/>
              </w:rPr>
              <w:t>T-</w:t>
            </w:r>
            <w:r>
              <w:rPr>
                <w:spacing w:val="-5"/>
                <w:sz w:val="20"/>
              </w:rPr>
              <w:t>20</w:t>
            </w:r>
          </w:p>
        </w:tc>
        <w:tc>
          <w:tcPr>
            <w:tcW w:w="3857" w:type="dxa"/>
            <w:tcBorders>
              <w:top w:val="single" w:color="D9D9D9" w:sz="2" w:space="0"/>
              <w:bottom w:val="single" w:color="000000" w:sz="8" w:space="0"/>
            </w:tcBorders>
          </w:tcPr>
          <w:p w:rsidR="00C31389" w:rsidRDefault="00561FBD" w14:paraId="3FE8B753" w14:textId="77777777">
            <w:pPr>
              <w:pStyle w:val="TableParagraph"/>
              <w:ind w:left="202"/>
              <w:rPr>
                <w:sz w:val="20"/>
              </w:rPr>
            </w:pPr>
            <w:r>
              <w:rPr>
                <w:sz w:val="20"/>
              </w:rPr>
              <w:t>2006</w:t>
            </w:r>
            <w:r>
              <w:rPr>
                <w:spacing w:val="-2"/>
                <w:sz w:val="20"/>
              </w:rPr>
              <w:t xml:space="preserve"> </w:t>
            </w:r>
            <w:r>
              <w:rPr>
                <w:sz w:val="20"/>
              </w:rPr>
              <w:t>T-20:</w:t>
            </w:r>
            <w:r>
              <w:rPr>
                <w:spacing w:val="-2"/>
                <w:sz w:val="20"/>
              </w:rPr>
              <w:t xml:space="preserve"> </w:t>
            </w:r>
            <w:r>
              <w:rPr>
                <w:sz w:val="20"/>
              </w:rPr>
              <w:t>BR,</w:t>
            </w:r>
            <w:r>
              <w:rPr>
                <w:spacing w:val="-2"/>
                <w:sz w:val="20"/>
              </w:rPr>
              <w:t xml:space="preserve"> </w:t>
            </w:r>
            <w:r>
              <w:rPr>
                <w:sz w:val="20"/>
              </w:rPr>
              <w:t>ER</w:t>
            </w:r>
            <w:r>
              <w:rPr>
                <w:spacing w:val="-1"/>
                <w:sz w:val="20"/>
              </w:rPr>
              <w:t xml:space="preserve"> </w:t>
            </w:r>
            <w:r>
              <w:rPr>
                <w:sz w:val="20"/>
              </w:rPr>
              <w:t>and</w:t>
            </w:r>
            <w:r>
              <w:rPr>
                <w:spacing w:val="-1"/>
                <w:sz w:val="20"/>
              </w:rPr>
              <w:t xml:space="preserve"> </w:t>
            </w:r>
            <w:r>
              <w:rPr>
                <w:spacing w:val="-5"/>
                <w:sz w:val="20"/>
              </w:rPr>
              <w:t>R20</w:t>
            </w:r>
          </w:p>
          <w:p w:rsidR="00C31389" w:rsidRDefault="00561FBD" w14:paraId="5DCDB2EF" w14:textId="77777777">
            <w:pPr>
              <w:pStyle w:val="TableParagraph"/>
              <w:spacing w:before="0"/>
              <w:ind w:left="202"/>
              <w:rPr>
                <w:sz w:val="20"/>
              </w:rPr>
            </w:pPr>
            <w:r>
              <w:rPr>
                <w:sz w:val="20"/>
              </w:rPr>
              <w:t>Incandescent</w:t>
            </w:r>
            <w:r>
              <w:rPr>
                <w:spacing w:val="-14"/>
                <w:sz w:val="20"/>
              </w:rPr>
              <w:t xml:space="preserve"> </w:t>
            </w:r>
            <w:r>
              <w:rPr>
                <w:sz w:val="20"/>
              </w:rPr>
              <w:t>Reflector</w:t>
            </w:r>
            <w:r>
              <w:rPr>
                <w:spacing w:val="-14"/>
                <w:sz w:val="20"/>
              </w:rPr>
              <w:t xml:space="preserve"> </w:t>
            </w:r>
            <w:r>
              <w:rPr>
                <w:sz w:val="20"/>
              </w:rPr>
              <w:t xml:space="preserve">Lamps: </w:t>
            </w:r>
            <w:r>
              <w:rPr>
                <w:spacing w:val="-2"/>
                <w:sz w:val="20"/>
              </w:rPr>
              <w:t>Commercial</w:t>
            </w:r>
          </w:p>
        </w:tc>
        <w:tc>
          <w:tcPr>
            <w:tcW w:w="1205" w:type="dxa"/>
            <w:tcBorders>
              <w:top w:val="single" w:color="D9D9D9" w:sz="2" w:space="0"/>
              <w:bottom w:val="single" w:color="000000" w:sz="8" w:space="0"/>
            </w:tcBorders>
          </w:tcPr>
          <w:p w:rsidR="00C31389" w:rsidRDefault="00C31389" w14:paraId="3756551D" w14:textId="77777777">
            <w:pPr>
              <w:pStyle w:val="TableParagraph"/>
              <w:spacing w:before="6"/>
              <w:rPr>
                <w:sz w:val="23"/>
              </w:rPr>
            </w:pPr>
          </w:p>
          <w:p w:rsidR="00C31389" w:rsidRDefault="00561FBD" w14:paraId="060C0EA8" w14:textId="77777777">
            <w:pPr>
              <w:pStyle w:val="TableParagraph"/>
              <w:spacing w:before="0"/>
              <w:ind w:left="350"/>
              <w:rPr>
                <w:sz w:val="20"/>
              </w:rPr>
            </w:pPr>
            <w:r>
              <w:rPr>
                <w:spacing w:val="-5"/>
                <w:sz w:val="20"/>
              </w:rPr>
              <w:t>82%</w:t>
            </w:r>
          </w:p>
        </w:tc>
        <w:tc>
          <w:tcPr>
            <w:tcW w:w="1368" w:type="dxa"/>
            <w:tcBorders>
              <w:top w:val="single" w:color="D9D9D9" w:sz="2" w:space="0"/>
              <w:bottom w:val="single" w:color="000000" w:sz="8" w:space="0"/>
            </w:tcBorders>
          </w:tcPr>
          <w:p w:rsidR="00C31389" w:rsidRDefault="00C31389" w14:paraId="179B03B2" w14:textId="77777777">
            <w:pPr>
              <w:pStyle w:val="TableParagraph"/>
              <w:spacing w:before="6"/>
              <w:rPr>
                <w:sz w:val="23"/>
              </w:rPr>
            </w:pPr>
          </w:p>
          <w:p w:rsidR="00C31389" w:rsidRDefault="00561FBD" w14:paraId="30E99423" w14:textId="77777777">
            <w:pPr>
              <w:pStyle w:val="TableParagraph"/>
              <w:spacing w:before="0"/>
              <w:ind w:right="234"/>
              <w:jc w:val="right"/>
              <w:rPr>
                <w:sz w:val="20"/>
              </w:rPr>
            </w:pPr>
            <w:r>
              <w:rPr>
                <w:spacing w:val="-2"/>
                <w:sz w:val="20"/>
              </w:rPr>
              <w:t>1/1/2008</w:t>
            </w:r>
          </w:p>
        </w:tc>
        <w:tc>
          <w:tcPr>
            <w:tcW w:w="1581" w:type="dxa"/>
            <w:tcBorders>
              <w:top w:val="single" w:color="D9D9D9" w:sz="2" w:space="0"/>
              <w:bottom w:val="single" w:color="000000" w:sz="8" w:space="0"/>
            </w:tcBorders>
          </w:tcPr>
          <w:p w:rsidR="00C31389" w:rsidRDefault="00C31389" w14:paraId="0BE4DFB4" w14:textId="77777777">
            <w:pPr>
              <w:pStyle w:val="TableParagraph"/>
              <w:spacing w:before="6"/>
              <w:rPr>
                <w:sz w:val="23"/>
              </w:rPr>
            </w:pPr>
          </w:p>
          <w:p w:rsidR="00C31389" w:rsidRDefault="00561FBD" w14:paraId="6666BFD3" w14:textId="77777777">
            <w:pPr>
              <w:pStyle w:val="TableParagraph"/>
              <w:spacing w:before="0"/>
              <w:ind w:left="198" w:right="155"/>
              <w:jc w:val="center"/>
              <w:rPr>
                <w:sz w:val="20"/>
              </w:rPr>
            </w:pPr>
            <w:r>
              <w:rPr>
                <w:spacing w:val="-2"/>
                <w:sz w:val="20"/>
              </w:rPr>
              <w:t>On-the-books</w:t>
            </w:r>
          </w:p>
        </w:tc>
      </w:tr>
    </w:tbl>
    <w:p w:rsidR="00C31389" w:rsidRDefault="00C31389" w14:paraId="5983A2E3" w14:textId="77777777">
      <w:pPr>
        <w:jc w:val="center"/>
        <w:rPr>
          <w:sz w:val="20"/>
        </w:rPr>
        <w:sectPr w:rsidR="00C31389">
          <w:pgSz w:w="11910" w:h="16840"/>
          <w:pgMar w:top="1380" w:right="1020" w:bottom="1120" w:left="960" w:header="397" w:footer="938" w:gutter="0"/>
          <w:cols w:space="720"/>
        </w:sectPr>
      </w:pPr>
    </w:p>
    <w:p w:rsidR="00C31389" w:rsidRDefault="00C31389" w14:paraId="2A0CD621"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51"/>
        <w:gridCol w:w="1196"/>
        <w:gridCol w:w="1394"/>
        <w:gridCol w:w="1565"/>
      </w:tblGrid>
      <w:tr w:rsidR="00C31389" w14:paraId="5F992556" w14:textId="77777777">
        <w:trPr>
          <w:trHeight w:val="252"/>
        </w:trPr>
        <w:tc>
          <w:tcPr>
            <w:tcW w:w="1367" w:type="dxa"/>
            <w:tcBorders>
              <w:top w:val="single" w:color="8B8B8B" w:sz="8" w:space="0"/>
            </w:tcBorders>
          </w:tcPr>
          <w:p w:rsidR="00C31389" w:rsidRDefault="00C31389" w14:paraId="497F6689" w14:textId="77777777">
            <w:pPr>
              <w:pStyle w:val="TableParagraph"/>
              <w:spacing w:before="0"/>
              <w:rPr>
                <w:rFonts w:ascii="Times New Roman"/>
                <w:sz w:val="18"/>
              </w:rPr>
            </w:pPr>
          </w:p>
        </w:tc>
        <w:tc>
          <w:tcPr>
            <w:tcW w:w="3851" w:type="dxa"/>
            <w:tcBorders>
              <w:top w:val="single" w:color="8B8B8B" w:sz="8" w:space="0"/>
            </w:tcBorders>
          </w:tcPr>
          <w:p w:rsidR="00C31389" w:rsidRDefault="00C31389" w14:paraId="378D789A" w14:textId="77777777">
            <w:pPr>
              <w:pStyle w:val="TableParagraph"/>
              <w:spacing w:before="0"/>
              <w:rPr>
                <w:rFonts w:ascii="Times New Roman"/>
                <w:sz w:val="18"/>
              </w:rPr>
            </w:pPr>
          </w:p>
        </w:tc>
        <w:tc>
          <w:tcPr>
            <w:tcW w:w="1196" w:type="dxa"/>
            <w:tcBorders>
              <w:top w:val="single" w:color="8B8B8B" w:sz="8" w:space="0"/>
            </w:tcBorders>
          </w:tcPr>
          <w:p w:rsidR="00C31389" w:rsidRDefault="00C31389" w14:paraId="495875D3" w14:textId="77777777">
            <w:pPr>
              <w:pStyle w:val="TableParagraph"/>
              <w:spacing w:before="0"/>
              <w:rPr>
                <w:rFonts w:ascii="Times New Roman"/>
                <w:sz w:val="18"/>
              </w:rPr>
            </w:pPr>
          </w:p>
        </w:tc>
        <w:tc>
          <w:tcPr>
            <w:tcW w:w="1394" w:type="dxa"/>
            <w:tcBorders>
              <w:top w:val="single" w:color="8B8B8B" w:sz="8" w:space="0"/>
            </w:tcBorders>
          </w:tcPr>
          <w:p w:rsidR="00C31389" w:rsidRDefault="00C31389" w14:paraId="61ACFD3C" w14:textId="77777777">
            <w:pPr>
              <w:pStyle w:val="TableParagraph"/>
              <w:spacing w:before="0"/>
              <w:rPr>
                <w:rFonts w:ascii="Times New Roman"/>
                <w:sz w:val="18"/>
              </w:rPr>
            </w:pPr>
          </w:p>
        </w:tc>
        <w:tc>
          <w:tcPr>
            <w:tcW w:w="1565" w:type="dxa"/>
            <w:tcBorders>
              <w:top w:val="single" w:color="8B8B8B" w:sz="8" w:space="0"/>
            </w:tcBorders>
          </w:tcPr>
          <w:p w:rsidR="00C31389" w:rsidRDefault="00C31389" w14:paraId="447BE1FB" w14:textId="77777777">
            <w:pPr>
              <w:pStyle w:val="TableParagraph"/>
              <w:spacing w:before="0"/>
              <w:rPr>
                <w:rFonts w:ascii="Times New Roman"/>
                <w:sz w:val="18"/>
              </w:rPr>
            </w:pPr>
          </w:p>
        </w:tc>
      </w:tr>
      <w:tr w:rsidR="00C31389" w14:paraId="11021AAC" w14:textId="77777777">
        <w:trPr>
          <w:trHeight w:val="549"/>
        </w:trPr>
        <w:tc>
          <w:tcPr>
            <w:tcW w:w="1367" w:type="dxa"/>
            <w:shd w:val="clear" w:color="auto" w:fill="92D400"/>
          </w:tcPr>
          <w:p w:rsidR="00C31389" w:rsidRDefault="00561FBD" w14:paraId="113A3534" w14:textId="77777777">
            <w:pPr>
              <w:pStyle w:val="TableParagraph"/>
              <w:spacing w:before="155"/>
              <w:ind w:left="129"/>
              <w:rPr>
                <w:b/>
                <w:sz w:val="20"/>
              </w:rPr>
            </w:pPr>
            <w:r>
              <w:rPr>
                <w:b/>
                <w:spacing w:val="-2"/>
                <w:sz w:val="20"/>
              </w:rPr>
              <w:t>Regulation</w:t>
            </w:r>
          </w:p>
        </w:tc>
        <w:tc>
          <w:tcPr>
            <w:tcW w:w="3851" w:type="dxa"/>
            <w:shd w:val="clear" w:color="auto" w:fill="92D400"/>
          </w:tcPr>
          <w:p w:rsidR="00C31389" w:rsidRDefault="00561FBD" w14:paraId="0117C105"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96" w:type="dxa"/>
            <w:shd w:val="clear" w:color="auto" w:fill="92D400"/>
          </w:tcPr>
          <w:p w:rsidR="00C31389" w:rsidRDefault="00561FBD" w14:paraId="075487FB" w14:textId="77777777">
            <w:pPr>
              <w:pStyle w:val="TableParagraph"/>
              <w:ind w:left="226" w:hanging="238"/>
              <w:rPr>
                <w:b/>
                <w:sz w:val="20"/>
              </w:rPr>
            </w:pPr>
            <w:r>
              <w:rPr>
                <w:b/>
                <w:spacing w:val="-2"/>
                <w:sz w:val="20"/>
              </w:rPr>
              <w:t>Compliance Rate</w:t>
            </w:r>
            <w:hyperlink w:history="1" w:anchor="_bookmark462">
              <w:r>
                <w:rPr>
                  <w:b/>
                  <w:spacing w:val="-2"/>
                  <w:sz w:val="20"/>
                  <w:vertAlign w:val="superscript"/>
                </w:rPr>
                <w:t>182</w:t>
              </w:r>
            </w:hyperlink>
          </w:p>
        </w:tc>
        <w:tc>
          <w:tcPr>
            <w:tcW w:w="1394" w:type="dxa"/>
            <w:shd w:val="clear" w:color="auto" w:fill="92D400"/>
          </w:tcPr>
          <w:p w:rsidR="00C31389" w:rsidRDefault="00561FBD" w14:paraId="50F14D46" w14:textId="77777777">
            <w:pPr>
              <w:pStyle w:val="TableParagraph"/>
              <w:ind w:left="538" w:hanging="202"/>
              <w:rPr>
                <w:b/>
                <w:sz w:val="20"/>
              </w:rPr>
            </w:pPr>
            <w:r>
              <w:rPr>
                <w:b/>
                <w:spacing w:val="-2"/>
                <w:sz w:val="20"/>
              </w:rPr>
              <w:t xml:space="preserve">Effective </w:t>
            </w:r>
            <w:r>
              <w:rPr>
                <w:b/>
                <w:spacing w:val="-4"/>
                <w:sz w:val="20"/>
              </w:rPr>
              <w:t>Date</w:t>
            </w:r>
          </w:p>
        </w:tc>
        <w:tc>
          <w:tcPr>
            <w:tcW w:w="1565" w:type="dxa"/>
            <w:shd w:val="clear" w:color="auto" w:fill="92D400"/>
          </w:tcPr>
          <w:p w:rsidR="00C31389" w:rsidRDefault="00561FBD" w14:paraId="542E5866" w14:textId="77777777">
            <w:pPr>
              <w:pStyle w:val="TableParagraph"/>
              <w:spacing w:before="155"/>
              <w:ind w:left="187" w:right="150"/>
              <w:jc w:val="center"/>
              <w:rPr>
                <w:b/>
                <w:sz w:val="20"/>
              </w:rPr>
            </w:pPr>
            <w:r>
              <w:rPr>
                <w:b/>
                <w:sz w:val="20"/>
              </w:rPr>
              <w:t>Policy</w:t>
            </w:r>
            <w:r>
              <w:rPr>
                <w:b/>
                <w:spacing w:val="-5"/>
                <w:sz w:val="20"/>
              </w:rPr>
              <w:t xml:space="preserve"> </w:t>
            </w:r>
            <w:r>
              <w:rPr>
                <w:b/>
                <w:spacing w:val="-4"/>
                <w:sz w:val="20"/>
              </w:rPr>
              <w:t>View</w:t>
            </w:r>
          </w:p>
        </w:tc>
      </w:tr>
      <w:tr w:rsidR="00C31389" w14:paraId="2762FED4" w14:textId="77777777">
        <w:trPr>
          <w:trHeight w:val="765"/>
        </w:trPr>
        <w:tc>
          <w:tcPr>
            <w:tcW w:w="1367" w:type="dxa"/>
            <w:tcBorders>
              <w:bottom w:val="single" w:color="D9D9D9" w:sz="2" w:space="0"/>
            </w:tcBorders>
          </w:tcPr>
          <w:p w:rsidR="00C31389" w:rsidRDefault="00C31389" w14:paraId="18C5F541" w14:textId="77777777">
            <w:pPr>
              <w:pStyle w:val="TableParagraph"/>
              <w:spacing w:before="1"/>
              <w:rPr>
                <w:sz w:val="23"/>
              </w:rPr>
            </w:pPr>
          </w:p>
          <w:p w:rsidR="00C31389" w:rsidRDefault="00561FBD" w14:paraId="7D5E7E00" w14:textId="77777777">
            <w:pPr>
              <w:pStyle w:val="TableParagraph"/>
              <w:spacing w:before="0"/>
              <w:ind w:left="129"/>
              <w:rPr>
                <w:sz w:val="20"/>
              </w:rPr>
            </w:pPr>
            <w:r>
              <w:rPr>
                <w:sz w:val="20"/>
              </w:rPr>
              <w:t>2006</w:t>
            </w:r>
            <w:r>
              <w:rPr>
                <w:spacing w:val="-3"/>
                <w:sz w:val="20"/>
              </w:rPr>
              <w:t xml:space="preserve"> </w:t>
            </w:r>
            <w:r>
              <w:rPr>
                <w:sz w:val="20"/>
              </w:rPr>
              <w:t>T-</w:t>
            </w:r>
            <w:r>
              <w:rPr>
                <w:spacing w:val="-5"/>
                <w:sz w:val="20"/>
              </w:rPr>
              <w:t>20</w:t>
            </w:r>
          </w:p>
        </w:tc>
        <w:tc>
          <w:tcPr>
            <w:tcW w:w="3851" w:type="dxa"/>
            <w:tcBorders>
              <w:bottom w:val="single" w:color="D9D9D9" w:sz="2" w:space="0"/>
            </w:tcBorders>
          </w:tcPr>
          <w:p w:rsidR="00C31389" w:rsidRDefault="00561FBD" w14:paraId="2D14B977" w14:textId="77777777">
            <w:pPr>
              <w:pStyle w:val="TableParagraph"/>
              <w:spacing w:before="35"/>
              <w:ind w:left="202"/>
              <w:rPr>
                <w:sz w:val="20"/>
              </w:rPr>
            </w:pPr>
            <w:r>
              <w:rPr>
                <w:sz w:val="20"/>
              </w:rPr>
              <w:t>2006</w:t>
            </w:r>
            <w:r>
              <w:rPr>
                <w:spacing w:val="-2"/>
                <w:sz w:val="20"/>
              </w:rPr>
              <w:t xml:space="preserve"> </w:t>
            </w:r>
            <w:r>
              <w:rPr>
                <w:sz w:val="20"/>
              </w:rPr>
              <w:t>T-20:</w:t>
            </w:r>
            <w:r>
              <w:rPr>
                <w:spacing w:val="-2"/>
                <w:sz w:val="20"/>
              </w:rPr>
              <w:t xml:space="preserve"> </w:t>
            </w:r>
            <w:r>
              <w:rPr>
                <w:sz w:val="20"/>
              </w:rPr>
              <w:t>BR,</w:t>
            </w:r>
            <w:r>
              <w:rPr>
                <w:spacing w:val="-2"/>
                <w:sz w:val="20"/>
              </w:rPr>
              <w:t xml:space="preserve"> </w:t>
            </w:r>
            <w:r>
              <w:rPr>
                <w:sz w:val="20"/>
              </w:rPr>
              <w:t>ER</w:t>
            </w:r>
            <w:r>
              <w:rPr>
                <w:spacing w:val="-1"/>
                <w:sz w:val="20"/>
              </w:rPr>
              <w:t xml:space="preserve"> </w:t>
            </w:r>
            <w:r>
              <w:rPr>
                <w:sz w:val="20"/>
              </w:rPr>
              <w:t>and</w:t>
            </w:r>
            <w:r>
              <w:rPr>
                <w:spacing w:val="-1"/>
                <w:sz w:val="20"/>
              </w:rPr>
              <w:t xml:space="preserve"> </w:t>
            </w:r>
            <w:r>
              <w:rPr>
                <w:spacing w:val="-5"/>
                <w:sz w:val="20"/>
              </w:rPr>
              <w:t>R20</w:t>
            </w:r>
          </w:p>
          <w:p w:rsidR="00C31389" w:rsidRDefault="00561FBD" w14:paraId="0F1BE0A0" w14:textId="77777777">
            <w:pPr>
              <w:pStyle w:val="TableParagraph"/>
              <w:spacing w:before="1"/>
              <w:ind w:left="202"/>
              <w:rPr>
                <w:sz w:val="20"/>
              </w:rPr>
            </w:pPr>
            <w:r>
              <w:rPr>
                <w:sz w:val="20"/>
              </w:rPr>
              <w:t>Incandescent</w:t>
            </w:r>
            <w:r>
              <w:rPr>
                <w:spacing w:val="-14"/>
                <w:sz w:val="20"/>
              </w:rPr>
              <w:t xml:space="preserve"> </w:t>
            </w:r>
            <w:r>
              <w:rPr>
                <w:sz w:val="20"/>
              </w:rPr>
              <w:t>Reflector</w:t>
            </w:r>
            <w:r>
              <w:rPr>
                <w:spacing w:val="-14"/>
                <w:sz w:val="20"/>
              </w:rPr>
              <w:t xml:space="preserve"> </w:t>
            </w:r>
            <w:r>
              <w:rPr>
                <w:sz w:val="20"/>
              </w:rPr>
              <w:t xml:space="preserve">Lamps: </w:t>
            </w:r>
            <w:r>
              <w:rPr>
                <w:spacing w:val="-2"/>
                <w:sz w:val="20"/>
              </w:rPr>
              <w:t>Residential</w:t>
            </w:r>
          </w:p>
        </w:tc>
        <w:tc>
          <w:tcPr>
            <w:tcW w:w="1196" w:type="dxa"/>
            <w:tcBorders>
              <w:bottom w:val="single" w:color="D9D9D9" w:sz="2" w:space="0"/>
            </w:tcBorders>
          </w:tcPr>
          <w:p w:rsidR="00C31389" w:rsidRDefault="00C31389" w14:paraId="3B851E29" w14:textId="77777777">
            <w:pPr>
              <w:pStyle w:val="TableParagraph"/>
              <w:spacing w:before="1"/>
              <w:rPr>
                <w:sz w:val="23"/>
              </w:rPr>
            </w:pPr>
          </w:p>
          <w:p w:rsidR="00C31389" w:rsidRDefault="00561FBD" w14:paraId="7CE2E208" w14:textId="77777777">
            <w:pPr>
              <w:pStyle w:val="TableParagraph"/>
              <w:spacing w:before="0"/>
              <w:ind w:left="355"/>
              <w:rPr>
                <w:sz w:val="20"/>
              </w:rPr>
            </w:pPr>
            <w:r>
              <w:rPr>
                <w:spacing w:val="-5"/>
                <w:sz w:val="20"/>
              </w:rPr>
              <w:t>82%</w:t>
            </w:r>
          </w:p>
        </w:tc>
        <w:tc>
          <w:tcPr>
            <w:tcW w:w="1394" w:type="dxa"/>
            <w:tcBorders>
              <w:bottom w:val="single" w:color="D9D9D9" w:sz="2" w:space="0"/>
            </w:tcBorders>
          </w:tcPr>
          <w:p w:rsidR="00C31389" w:rsidRDefault="00C31389" w14:paraId="270656A0" w14:textId="77777777">
            <w:pPr>
              <w:pStyle w:val="TableParagraph"/>
              <w:spacing w:before="1"/>
              <w:rPr>
                <w:sz w:val="23"/>
              </w:rPr>
            </w:pPr>
          </w:p>
          <w:p w:rsidR="00C31389" w:rsidRDefault="00561FBD" w14:paraId="39360C92" w14:textId="77777777">
            <w:pPr>
              <w:pStyle w:val="TableParagraph"/>
              <w:spacing w:before="0"/>
              <w:ind w:right="245"/>
              <w:jc w:val="right"/>
              <w:rPr>
                <w:sz w:val="20"/>
              </w:rPr>
            </w:pPr>
            <w:r>
              <w:rPr>
                <w:spacing w:val="-2"/>
                <w:sz w:val="20"/>
              </w:rPr>
              <w:t>1/1/2008</w:t>
            </w:r>
          </w:p>
        </w:tc>
        <w:tc>
          <w:tcPr>
            <w:tcW w:w="1565" w:type="dxa"/>
            <w:tcBorders>
              <w:bottom w:val="single" w:color="D9D9D9" w:sz="2" w:space="0"/>
            </w:tcBorders>
          </w:tcPr>
          <w:p w:rsidR="00C31389" w:rsidRDefault="00C31389" w14:paraId="698D0BB6" w14:textId="77777777">
            <w:pPr>
              <w:pStyle w:val="TableParagraph"/>
              <w:spacing w:before="1"/>
              <w:rPr>
                <w:sz w:val="23"/>
              </w:rPr>
            </w:pPr>
          </w:p>
          <w:p w:rsidR="00C31389" w:rsidRDefault="00561FBD" w14:paraId="63073AAE" w14:textId="77777777">
            <w:pPr>
              <w:pStyle w:val="TableParagraph"/>
              <w:spacing w:before="0"/>
              <w:ind w:left="187" w:right="150"/>
              <w:jc w:val="center"/>
              <w:rPr>
                <w:sz w:val="20"/>
              </w:rPr>
            </w:pPr>
            <w:r>
              <w:rPr>
                <w:spacing w:val="-2"/>
                <w:sz w:val="20"/>
              </w:rPr>
              <w:t>On-the-books</w:t>
            </w:r>
          </w:p>
        </w:tc>
      </w:tr>
      <w:tr w:rsidR="00C31389" w14:paraId="603B400D" w14:textId="77777777">
        <w:trPr>
          <w:trHeight w:val="539"/>
        </w:trPr>
        <w:tc>
          <w:tcPr>
            <w:tcW w:w="1367" w:type="dxa"/>
            <w:tcBorders>
              <w:top w:val="single" w:color="D9D9D9" w:sz="2" w:space="0"/>
              <w:bottom w:val="single" w:color="D9D9D9" w:sz="2" w:space="0"/>
            </w:tcBorders>
          </w:tcPr>
          <w:p w:rsidR="00C31389" w:rsidRDefault="00561FBD" w14:paraId="1BD6C7C9" w14:textId="77777777">
            <w:pPr>
              <w:pStyle w:val="TableParagraph"/>
              <w:spacing w:before="155"/>
              <w:ind w:left="129"/>
              <w:rPr>
                <w:sz w:val="20"/>
              </w:rPr>
            </w:pPr>
            <w:r>
              <w:rPr>
                <w:sz w:val="20"/>
              </w:rPr>
              <w:t>2006</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19BB2969" w14:textId="77777777">
            <w:pPr>
              <w:pStyle w:val="TableParagraph"/>
              <w:ind w:left="202" w:right="352"/>
              <w:rPr>
                <w:sz w:val="20"/>
              </w:rPr>
            </w:pPr>
            <w:r>
              <w:rPr>
                <w:sz w:val="20"/>
              </w:rPr>
              <w:t>2005</w:t>
            </w:r>
            <w:r>
              <w:rPr>
                <w:spacing w:val="-9"/>
                <w:sz w:val="20"/>
              </w:rPr>
              <w:t xml:space="preserve"> </w:t>
            </w:r>
            <w:r>
              <w:rPr>
                <w:sz w:val="20"/>
              </w:rPr>
              <w:t>T-20:</w:t>
            </w:r>
            <w:r>
              <w:rPr>
                <w:spacing w:val="-9"/>
                <w:sz w:val="20"/>
              </w:rPr>
              <w:t xml:space="preserve"> </w:t>
            </w:r>
            <w:r>
              <w:rPr>
                <w:sz w:val="20"/>
              </w:rPr>
              <w:t>External</w:t>
            </w:r>
            <w:r>
              <w:rPr>
                <w:spacing w:val="-9"/>
                <w:sz w:val="20"/>
              </w:rPr>
              <w:t xml:space="preserve"> </w:t>
            </w:r>
            <w:r>
              <w:rPr>
                <w:sz w:val="20"/>
              </w:rPr>
              <w:t>Power</w:t>
            </w:r>
            <w:r>
              <w:rPr>
                <w:spacing w:val="-10"/>
                <w:sz w:val="20"/>
              </w:rPr>
              <w:t xml:space="preserve"> </w:t>
            </w:r>
            <w:r>
              <w:rPr>
                <w:sz w:val="20"/>
              </w:rPr>
              <w:t>Supplies, Tier 2</w:t>
            </w:r>
          </w:p>
        </w:tc>
        <w:tc>
          <w:tcPr>
            <w:tcW w:w="1196" w:type="dxa"/>
            <w:tcBorders>
              <w:top w:val="single" w:color="D9D9D9" w:sz="2" w:space="0"/>
              <w:bottom w:val="single" w:color="D9D9D9" w:sz="2" w:space="0"/>
            </w:tcBorders>
          </w:tcPr>
          <w:p w:rsidR="00C31389" w:rsidRDefault="00561FBD" w14:paraId="3C306E3F" w14:textId="77777777">
            <w:pPr>
              <w:pStyle w:val="TableParagraph"/>
              <w:spacing w:before="155"/>
              <w:ind w:left="355"/>
              <w:rPr>
                <w:sz w:val="20"/>
              </w:rPr>
            </w:pPr>
            <w:r>
              <w:rPr>
                <w:spacing w:val="-5"/>
                <w:sz w:val="20"/>
              </w:rPr>
              <w:t>99%</w:t>
            </w:r>
          </w:p>
        </w:tc>
        <w:tc>
          <w:tcPr>
            <w:tcW w:w="1394" w:type="dxa"/>
            <w:tcBorders>
              <w:top w:val="single" w:color="D9D9D9" w:sz="2" w:space="0"/>
              <w:bottom w:val="single" w:color="D9D9D9" w:sz="2" w:space="0"/>
            </w:tcBorders>
          </w:tcPr>
          <w:p w:rsidR="00C31389" w:rsidRDefault="00561FBD" w14:paraId="29023D35" w14:textId="77777777">
            <w:pPr>
              <w:pStyle w:val="TableParagraph"/>
              <w:spacing w:before="155"/>
              <w:ind w:right="245"/>
              <w:jc w:val="right"/>
              <w:rPr>
                <w:sz w:val="20"/>
              </w:rPr>
            </w:pPr>
            <w:r>
              <w:rPr>
                <w:spacing w:val="-2"/>
                <w:sz w:val="20"/>
              </w:rPr>
              <w:t>1/1/2008</w:t>
            </w:r>
          </w:p>
        </w:tc>
        <w:tc>
          <w:tcPr>
            <w:tcW w:w="1565" w:type="dxa"/>
            <w:tcBorders>
              <w:top w:val="single" w:color="D9D9D9" w:sz="2" w:space="0"/>
              <w:bottom w:val="single" w:color="D9D9D9" w:sz="2" w:space="0"/>
            </w:tcBorders>
          </w:tcPr>
          <w:p w:rsidR="00C31389" w:rsidRDefault="00561FBD" w14:paraId="55F2D752" w14:textId="77777777">
            <w:pPr>
              <w:pStyle w:val="TableParagraph"/>
              <w:spacing w:before="155"/>
              <w:ind w:left="187" w:right="150"/>
              <w:jc w:val="center"/>
              <w:rPr>
                <w:sz w:val="20"/>
              </w:rPr>
            </w:pPr>
            <w:r>
              <w:rPr>
                <w:spacing w:val="-2"/>
                <w:sz w:val="20"/>
              </w:rPr>
              <w:t>On-the-books</w:t>
            </w:r>
          </w:p>
        </w:tc>
      </w:tr>
      <w:tr w:rsidR="00C31389" w14:paraId="2CAE38E8" w14:textId="77777777">
        <w:trPr>
          <w:trHeight w:val="539"/>
        </w:trPr>
        <w:tc>
          <w:tcPr>
            <w:tcW w:w="1367" w:type="dxa"/>
            <w:tcBorders>
              <w:top w:val="single" w:color="D9D9D9" w:sz="2" w:space="0"/>
              <w:bottom w:val="single" w:color="D9D9D9" w:sz="2" w:space="0"/>
            </w:tcBorders>
          </w:tcPr>
          <w:p w:rsidR="00C31389" w:rsidRDefault="00561FBD" w14:paraId="5C1515B4" w14:textId="77777777">
            <w:pPr>
              <w:pStyle w:val="TableParagraph"/>
              <w:spacing w:before="155"/>
              <w:ind w:left="129"/>
              <w:rPr>
                <w:sz w:val="20"/>
              </w:rPr>
            </w:pPr>
            <w:r>
              <w:rPr>
                <w:sz w:val="20"/>
              </w:rPr>
              <w:t>2006</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2FEE7235" w14:textId="77777777">
            <w:pPr>
              <w:pStyle w:val="TableParagraph"/>
              <w:ind w:left="202" w:right="352"/>
              <w:rPr>
                <w:sz w:val="20"/>
              </w:rPr>
            </w:pPr>
            <w:r>
              <w:rPr>
                <w:sz w:val="20"/>
              </w:rPr>
              <w:t>2005 T-20: Large Packaged Commercial</w:t>
            </w:r>
            <w:r>
              <w:rPr>
                <w:spacing w:val="-14"/>
                <w:sz w:val="20"/>
              </w:rPr>
              <w:t xml:space="preserve"> </w:t>
            </w:r>
            <w:r>
              <w:rPr>
                <w:sz w:val="20"/>
              </w:rPr>
              <w:t>Air-Conditioners,</w:t>
            </w:r>
            <w:r>
              <w:rPr>
                <w:spacing w:val="-13"/>
                <w:sz w:val="20"/>
              </w:rPr>
              <w:t xml:space="preserve"> </w:t>
            </w:r>
            <w:r>
              <w:rPr>
                <w:sz w:val="20"/>
              </w:rPr>
              <w:t>Tier</w:t>
            </w:r>
            <w:r>
              <w:rPr>
                <w:spacing w:val="-12"/>
                <w:sz w:val="20"/>
              </w:rPr>
              <w:t xml:space="preserve"> </w:t>
            </w:r>
            <w:r>
              <w:rPr>
                <w:sz w:val="20"/>
              </w:rPr>
              <w:t>2</w:t>
            </w:r>
          </w:p>
        </w:tc>
        <w:tc>
          <w:tcPr>
            <w:tcW w:w="1196" w:type="dxa"/>
            <w:tcBorders>
              <w:top w:val="single" w:color="D9D9D9" w:sz="2" w:space="0"/>
              <w:bottom w:val="single" w:color="D9D9D9" w:sz="2" w:space="0"/>
            </w:tcBorders>
          </w:tcPr>
          <w:p w:rsidR="00C31389" w:rsidRDefault="00561FBD" w14:paraId="69A03098" w14:textId="77777777">
            <w:pPr>
              <w:pStyle w:val="TableParagraph"/>
              <w:spacing w:before="155"/>
              <w:ind w:left="355"/>
              <w:rPr>
                <w:sz w:val="20"/>
              </w:rPr>
            </w:pPr>
            <w:r>
              <w:rPr>
                <w:spacing w:val="-5"/>
                <w:sz w:val="20"/>
              </w:rPr>
              <w:t>70%</w:t>
            </w:r>
          </w:p>
        </w:tc>
        <w:tc>
          <w:tcPr>
            <w:tcW w:w="1394" w:type="dxa"/>
            <w:tcBorders>
              <w:top w:val="single" w:color="D9D9D9" w:sz="2" w:space="0"/>
              <w:bottom w:val="single" w:color="D9D9D9" w:sz="2" w:space="0"/>
            </w:tcBorders>
          </w:tcPr>
          <w:p w:rsidR="00C31389" w:rsidRDefault="00561FBD" w14:paraId="41753326" w14:textId="77777777">
            <w:pPr>
              <w:pStyle w:val="TableParagraph"/>
              <w:spacing w:before="155"/>
              <w:ind w:right="245"/>
              <w:jc w:val="right"/>
              <w:rPr>
                <w:sz w:val="20"/>
              </w:rPr>
            </w:pPr>
            <w:r>
              <w:rPr>
                <w:spacing w:val="-2"/>
                <w:sz w:val="20"/>
              </w:rPr>
              <w:t>1/1/2008</w:t>
            </w:r>
          </w:p>
        </w:tc>
        <w:tc>
          <w:tcPr>
            <w:tcW w:w="1565" w:type="dxa"/>
            <w:tcBorders>
              <w:top w:val="single" w:color="D9D9D9" w:sz="2" w:space="0"/>
              <w:bottom w:val="single" w:color="D9D9D9" w:sz="2" w:space="0"/>
            </w:tcBorders>
          </w:tcPr>
          <w:p w:rsidR="00C31389" w:rsidRDefault="00561FBD" w14:paraId="48382347" w14:textId="77777777">
            <w:pPr>
              <w:pStyle w:val="TableParagraph"/>
              <w:spacing w:before="155"/>
              <w:ind w:left="187" w:right="150"/>
              <w:jc w:val="center"/>
              <w:rPr>
                <w:sz w:val="20"/>
              </w:rPr>
            </w:pPr>
            <w:r>
              <w:rPr>
                <w:spacing w:val="-2"/>
                <w:sz w:val="20"/>
              </w:rPr>
              <w:t>On-the-books</w:t>
            </w:r>
          </w:p>
        </w:tc>
      </w:tr>
      <w:tr w:rsidR="00C31389" w14:paraId="6B6294DE" w14:textId="77777777">
        <w:trPr>
          <w:trHeight w:val="309"/>
        </w:trPr>
        <w:tc>
          <w:tcPr>
            <w:tcW w:w="1367" w:type="dxa"/>
            <w:tcBorders>
              <w:top w:val="single" w:color="D9D9D9" w:sz="2" w:space="0"/>
              <w:bottom w:val="single" w:color="D9D9D9" w:sz="2" w:space="0"/>
            </w:tcBorders>
          </w:tcPr>
          <w:p w:rsidR="00C31389" w:rsidRDefault="00561FBD" w14:paraId="32C9D527" w14:textId="77777777">
            <w:pPr>
              <w:pStyle w:val="TableParagraph"/>
              <w:ind w:left="129"/>
              <w:rPr>
                <w:sz w:val="20"/>
              </w:rPr>
            </w:pPr>
            <w:r>
              <w:rPr>
                <w:sz w:val="20"/>
              </w:rPr>
              <w:t>2006</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04030DD7" w14:textId="77777777">
            <w:pPr>
              <w:pStyle w:val="TableParagraph"/>
              <w:ind w:left="202"/>
              <w:rPr>
                <w:sz w:val="20"/>
              </w:rPr>
            </w:pPr>
            <w:r>
              <w:rPr>
                <w:sz w:val="20"/>
              </w:rPr>
              <w:t>2008</w:t>
            </w:r>
            <w:r>
              <w:rPr>
                <w:spacing w:val="-4"/>
                <w:sz w:val="20"/>
              </w:rPr>
              <w:t xml:space="preserve"> </w:t>
            </w:r>
            <w:r>
              <w:rPr>
                <w:sz w:val="20"/>
              </w:rPr>
              <w:t>T-20:</w:t>
            </w:r>
            <w:r>
              <w:rPr>
                <w:spacing w:val="-3"/>
                <w:sz w:val="20"/>
              </w:rPr>
              <w:t xml:space="preserve"> </w:t>
            </w:r>
            <w:r>
              <w:rPr>
                <w:sz w:val="20"/>
              </w:rPr>
              <w:t>Metal</w:t>
            </w:r>
            <w:r>
              <w:rPr>
                <w:spacing w:val="-3"/>
                <w:sz w:val="20"/>
              </w:rPr>
              <w:t xml:space="preserve"> </w:t>
            </w:r>
            <w:r>
              <w:rPr>
                <w:sz w:val="20"/>
              </w:rPr>
              <w:t>Halide</w:t>
            </w:r>
            <w:r>
              <w:rPr>
                <w:spacing w:val="-3"/>
                <w:sz w:val="20"/>
              </w:rPr>
              <w:t xml:space="preserve"> </w:t>
            </w:r>
            <w:r>
              <w:rPr>
                <w:spacing w:val="-2"/>
                <w:sz w:val="20"/>
              </w:rPr>
              <w:t>Fixtures</w:t>
            </w:r>
          </w:p>
        </w:tc>
        <w:tc>
          <w:tcPr>
            <w:tcW w:w="1196" w:type="dxa"/>
            <w:tcBorders>
              <w:top w:val="single" w:color="D9D9D9" w:sz="2" w:space="0"/>
              <w:bottom w:val="single" w:color="D9D9D9" w:sz="2" w:space="0"/>
            </w:tcBorders>
          </w:tcPr>
          <w:p w:rsidR="00C31389" w:rsidRDefault="00561FBD" w14:paraId="0436AE53" w14:textId="77777777">
            <w:pPr>
              <w:pStyle w:val="TableParagraph"/>
              <w:ind w:left="355"/>
              <w:rPr>
                <w:sz w:val="20"/>
              </w:rPr>
            </w:pPr>
            <w:r>
              <w:rPr>
                <w:spacing w:val="-5"/>
                <w:sz w:val="20"/>
              </w:rPr>
              <w:t>95%</w:t>
            </w:r>
          </w:p>
        </w:tc>
        <w:tc>
          <w:tcPr>
            <w:tcW w:w="1394" w:type="dxa"/>
            <w:tcBorders>
              <w:top w:val="single" w:color="D9D9D9" w:sz="2" w:space="0"/>
              <w:bottom w:val="single" w:color="D9D9D9" w:sz="2" w:space="0"/>
            </w:tcBorders>
          </w:tcPr>
          <w:p w:rsidR="00C31389" w:rsidRDefault="00561FBD" w14:paraId="40CA68FD" w14:textId="77777777">
            <w:pPr>
              <w:pStyle w:val="TableParagraph"/>
              <w:ind w:right="245"/>
              <w:jc w:val="right"/>
              <w:rPr>
                <w:sz w:val="20"/>
              </w:rPr>
            </w:pPr>
            <w:r>
              <w:rPr>
                <w:spacing w:val="-2"/>
                <w:sz w:val="20"/>
              </w:rPr>
              <w:t>1/1/2011</w:t>
            </w:r>
          </w:p>
        </w:tc>
        <w:tc>
          <w:tcPr>
            <w:tcW w:w="1565" w:type="dxa"/>
            <w:tcBorders>
              <w:top w:val="single" w:color="D9D9D9" w:sz="2" w:space="0"/>
              <w:bottom w:val="single" w:color="D9D9D9" w:sz="2" w:space="0"/>
            </w:tcBorders>
          </w:tcPr>
          <w:p w:rsidR="00C31389" w:rsidRDefault="00561FBD" w14:paraId="302A8CA6" w14:textId="77777777">
            <w:pPr>
              <w:pStyle w:val="TableParagraph"/>
              <w:ind w:left="187" w:right="150"/>
              <w:jc w:val="center"/>
              <w:rPr>
                <w:sz w:val="20"/>
              </w:rPr>
            </w:pPr>
            <w:r>
              <w:rPr>
                <w:spacing w:val="-2"/>
                <w:sz w:val="20"/>
              </w:rPr>
              <w:t>On-the-books</w:t>
            </w:r>
          </w:p>
        </w:tc>
      </w:tr>
      <w:tr w:rsidR="00C31389" w14:paraId="19EAD69B" w14:textId="77777777">
        <w:trPr>
          <w:trHeight w:val="310"/>
        </w:trPr>
        <w:tc>
          <w:tcPr>
            <w:tcW w:w="1367" w:type="dxa"/>
            <w:tcBorders>
              <w:top w:val="single" w:color="D9D9D9" w:sz="2" w:space="0"/>
              <w:bottom w:val="single" w:color="D9D9D9" w:sz="2" w:space="0"/>
            </w:tcBorders>
          </w:tcPr>
          <w:p w:rsidR="00C31389" w:rsidRDefault="00561FBD" w14:paraId="3FF5FD50" w14:textId="77777777">
            <w:pPr>
              <w:pStyle w:val="TableParagraph"/>
              <w:spacing w:before="41"/>
              <w:ind w:left="129"/>
              <w:rPr>
                <w:sz w:val="20"/>
              </w:rPr>
            </w:pPr>
            <w:r>
              <w:rPr>
                <w:sz w:val="20"/>
              </w:rPr>
              <w:t>2006</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5B03B8DB" w14:textId="77777777">
            <w:pPr>
              <w:pStyle w:val="TableParagraph"/>
              <w:spacing w:before="41"/>
              <w:ind w:left="202"/>
              <w:rPr>
                <w:sz w:val="20"/>
              </w:rPr>
            </w:pPr>
            <w:r>
              <w:rPr>
                <w:sz w:val="20"/>
              </w:rPr>
              <w:t>2008</w:t>
            </w:r>
            <w:r>
              <w:rPr>
                <w:spacing w:val="-4"/>
                <w:sz w:val="20"/>
              </w:rPr>
              <w:t xml:space="preserve"> </w:t>
            </w:r>
            <w:r>
              <w:rPr>
                <w:sz w:val="20"/>
              </w:rPr>
              <w:t>T-20:</w:t>
            </w:r>
            <w:r>
              <w:rPr>
                <w:spacing w:val="-3"/>
                <w:sz w:val="20"/>
              </w:rPr>
              <w:t xml:space="preserve"> </w:t>
            </w:r>
            <w:r>
              <w:rPr>
                <w:sz w:val="20"/>
              </w:rPr>
              <w:t>Portable</w:t>
            </w:r>
            <w:r>
              <w:rPr>
                <w:spacing w:val="-4"/>
                <w:sz w:val="20"/>
              </w:rPr>
              <w:t xml:space="preserve"> </w:t>
            </w:r>
            <w:r>
              <w:rPr>
                <w:sz w:val="20"/>
              </w:rPr>
              <w:t>Lighting</w:t>
            </w:r>
            <w:r>
              <w:rPr>
                <w:spacing w:val="-3"/>
                <w:sz w:val="20"/>
              </w:rPr>
              <w:t xml:space="preserve"> </w:t>
            </w:r>
            <w:r>
              <w:rPr>
                <w:spacing w:val="-2"/>
                <w:sz w:val="20"/>
              </w:rPr>
              <w:t>Fixtures</w:t>
            </w:r>
          </w:p>
        </w:tc>
        <w:tc>
          <w:tcPr>
            <w:tcW w:w="1196" w:type="dxa"/>
            <w:tcBorders>
              <w:top w:val="single" w:color="D9D9D9" w:sz="2" w:space="0"/>
              <w:bottom w:val="single" w:color="D9D9D9" w:sz="2" w:space="0"/>
            </w:tcBorders>
          </w:tcPr>
          <w:p w:rsidR="00C31389" w:rsidRDefault="00561FBD" w14:paraId="38D79EBF" w14:textId="77777777">
            <w:pPr>
              <w:pStyle w:val="TableParagraph"/>
              <w:spacing w:before="41"/>
              <w:ind w:left="356"/>
              <w:rPr>
                <w:sz w:val="20"/>
              </w:rPr>
            </w:pPr>
            <w:r>
              <w:rPr>
                <w:spacing w:val="-5"/>
                <w:sz w:val="20"/>
              </w:rPr>
              <w:t>93%</w:t>
            </w:r>
          </w:p>
        </w:tc>
        <w:tc>
          <w:tcPr>
            <w:tcW w:w="1394" w:type="dxa"/>
            <w:tcBorders>
              <w:top w:val="single" w:color="D9D9D9" w:sz="2" w:space="0"/>
              <w:bottom w:val="single" w:color="D9D9D9" w:sz="2" w:space="0"/>
            </w:tcBorders>
          </w:tcPr>
          <w:p w:rsidR="00C31389" w:rsidRDefault="00561FBD" w14:paraId="42F1E286" w14:textId="77777777">
            <w:pPr>
              <w:pStyle w:val="TableParagraph"/>
              <w:spacing w:before="41"/>
              <w:ind w:right="245"/>
              <w:jc w:val="right"/>
              <w:rPr>
                <w:sz w:val="20"/>
              </w:rPr>
            </w:pPr>
            <w:r>
              <w:rPr>
                <w:spacing w:val="-2"/>
                <w:sz w:val="20"/>
              </w:rPr>
              <w:t>1/1/2013</w:t>
            </w:r>
          </w:p>
        </w:tc>
        <w:tc>
          <w:tcPr>
            <w:tcW w:w="1565" w:type="dxa"/>
            <w:tcBorders>
              <w:top w:val="single" w:color="D9D9D9" w:sz="2" w:space="0"/>
              <w:bottom w:val="single" w:color="D9D9D9" w:sz="2" w:space="0"/>
            </w:tcBorders>
          </w:tcPr>
          <w:p w:rsidR="00C31389" w:rsidRDefault="00561FBD" w14:paraId="548C000D" w14:textId="77777777">
            <w:pPr>
              <w:pStyle w:val="TableParagraph"/>
              <w:spacing w:before="41"/>
              <w:ind w:left="187" w:right="150"/>
              <w:jc w:val="center"/>
              <w:rPr>
                <w:sz w:val="20"/>
              </w:rPr>
            </w:pPr>
            <w:r>
              <w:rPr>
                <w:spacing w:val="-2"/>
                <w:sz w:val="20"/>
              </w:rPr>
              <w:t>On-the-books</w:t>
            </w:r>
          </w:p>
        </w:tc>
      </w:tr>
      <w:tr w:rsidR="00C31389" w14:paraId="1187E8EB" w14:textId="77777777">
        <w:trPr>
          <w:trHeight w:val="539"/>
        </w:trPr>
        <w:tc>
          <w:tcPr>
            <w:tcW w:w="1367" w:type="dxa"/>
            <w:tcBorders>
              <w:top w:val="single" w:color="D9D9D9" w:sz="2" w:space="0"/>
              <w:bottom w:val="single" w:color="D9D9D9" w:sz="2" w:space="0"/>
            </w:tcBorders>
          </w:tcPr>
          <w:p w:rsidR="00C31389" w:rsidRDefault="00561FBD" w14:paraId="6137B0A7" w14:textId="77777777">
            <w:pPr>
              <w:pStyle w:val="TableParagraph"/>
              <w:spacing w:before="155"/>
              <w:ind w:left="129"/>
              <w:rPr>
                <w:sz w:val="20"/>
              </w:rPr>
            </w:pPr>
            <w:r>
              <w:rPr>
                <w:sz w:val="20"/>
              </w:rPr>
              <w:t>2008</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3080E749" w14:textId="77777777">
            <w:pPr>
              <w:pStyle w:val="TableParagraph"/>
              <w:ind w:left="202"/>
              <w:rPr>
                <w:sz w:val="20"/>
              </w:rPr>
            </w:pPr>
            <w:r>
              <w:rPr>
                <w:sz w:val="20"/>
              </w:rPr>
              <w:t>2008</w:t>
            </w:r>
            <w:r>
              <w:rPr>
                <w:spacing w:val="-4"/>
                <w:sz w:val="20"/>
              </w:rPr>
              <w:t xml:space="preserve"> </w:t>
            </w:r>
            <w:r>
              <w:rPr>
                <w:sz w:val="20"/>
              </w:rPr>
              <w:t>T-20:</w:t>
            </w:r>
            <w:r>
              <w:rPr>
                <w:spacing w:val="-3"/>
                <w:sz w:val="20"/>
              </w:rPr>
              <w:t xml:space="preserve"> </w:t>
            </w:r>
            <w:r>
              <w:rPr>
                <w:sz w:val="20"/>
              </w:rPr>
              <w:t>General</w:t>
            </w:r>
            <w:r>
              <w:rPr>
                <w:spacing w:val="-4"/>
                <w:sz w:val="20"/>
              </w:rPr>
              <w:t xml:space="preserve"> </w:t>
            </w:r>
            <w:r>
              <w:rPr>
                <w:sz w:val="20"/>
              </w:rPr>
              <w:t>Purpose</w:t>
            </w:r>
            <w:r>
              <w:rPr>
                <w:spacing w:val="-3"/>
                <w:sz w:val="20"/>
              </w:rPr>
              <w:t xml:space="preserve"> </w:t>
            </w:r>
            <w:r>
              <w:rPr>
                <w:spacing w:val="-2"/>
                <w:sz w:val="20"/>
              </w:rPr>
              <w:t>Lighting</w:t>
            </w:r>
          </w:p>
          <w:p w:rsidR="00C31389" w:rsidRDefault="00561FBD" w14:paraId="5C35B595" w14:textId="77777777">
            <w:pPr>
              <w:pStyle w:val="TableParagraph"/>
              <w:spacing w:before="0"/>
              <w:ind w:left="202"/>
              <w:rPr>
                <w:sz w:val="20"/>
              </w:rPr>
            </w:pPr>
            <w:r>
              <w:rPr>
                <w:sz w:val="20"/>
              </w:rPr>
              <w:t>--</w:t>
            </w:r>
            <w:r>
              <w:rPr>
                <w:spacing w:val="-1"/>
                <w:sz w:val="20"/>
              </w:rPr>
              <w:t xml:space="preserve"> </w:t>
            </w:r>
            <w:r>
              <w:rPr>
                <w:sz w:val="20"/>
              </w:rPr>
              <w:t>100</w:t>
            </w:r>
            <w:r>
              <w:rPr>
                <w:spacing w:val="-2"/>
                <w:sz w:val="20"/>
              </w:rPr>
              <w:t xml:space="preserve"> </w:t>
            </w:r>
            <w:r>
              <w:rPr>
                <w:spacing w:val="-4"/>
                <w:sz w:val="20"/>
              </w:rPr>
              <w:t>watt</w:t>
            </w:r>
          </w:p>
        </w:tc>
        <w:tc>
          <w:tcPr>
            <w:tcW w:w="1196" w:type="dxa"/>
            <w:tcBorders>
              <w:top w:val="single" w:color="D9D9D9" w:sz="2" w:space="0"/>
              <w:bottom w:val="single" w:color="D9D9D9" w:sz="2" w:space="0"/>
            </w:tcBorders>
          </w:tcPr>
          <w:p w:rsidR="00C31389" w:rsidRDefault="00561FBD" w14:paraId="1383FBB5" w14:textId="77777777">
            <w:pPr>
              <w:pStyle w:val="TableParagraph"/>
              <w:spacing w:before="155"/>
              <w:ind w:left="355"/>
              <w:rPr>
                <w:sz w:val="20"/>
              </w:rPr>
            </w:pPr>
            <w:r>
              <w:rPr>
                <w:spacing w:val="-5"/>
                <w:sz w:val="20"/>
              </w:rPr>
              <w:t>88%</w:t>
            </w:r>
          </w:p>
        </w:tc>
        <w:tc>
          <w:tcPr>
            <w:tcW w:w="1394" w:type="dxa"/>
            <w:tcBorders>
              <w:top w:val="single" w:color="D9D9D9" w:sz="2" w:space="0"/>
              <w:bottom w:val="single" w:color="D9D9D9" w:sz="2" w:space="0"/>
            </w:tcBorders>
          </w:tcPr>
          <w:p w:rsidR="00C31389" w:rsidRDefault="00561FBD" w14:paraId="495C1BC8" w14:textId="77777777">
            <w:pPr>
              <w:pStyle w:val="TableParagraph"/>
              <w:spacing w:before="155"/>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6DA29701" w14:textId="77777777">
            <w:pPr>
              <w:pStyle w:val="TableParagraph"/>
              <w:spacing w:before="155"/>
              <w:ind w:left="187" w:right="150"/>
              <w:jc w:val="center"/>
              <w:rPr>
                <w:sz w:val="20"/>
              </w:rPr>
            </w:pPr>
            <w:r>
              <w:rPr>
                <w:spacing w:val="-2"/>
                <w:sz w:val="20"/>
              </w:rPr>
              <w:t>On-the-books</w:t>
            </w:r>
          </w:p>
        </w:tc>
      </w:tr>
      <w:tr w:rsidR="00C31389" w14:paraId="431851E9" w14:textId="77777777">
        <w:trPr>
          <w:trHeight w:val="539"/>
        </w:trPr>
        <w:tc>
          <w:tcPr>
            <w:tcW w:w="1367" w:type="dxa"/>
            <w:tcBorders>
              <w:top w:val="single" w:color="D9D9D9" w:sz="2" w:space="0"/>
              <w:bottom w:val="single" w:color="D9D9D9" w:sz="2" w:space="0"/>
            </w:tcBorders>
          </w:tcPr>
          <w:p w:rsidR="00C31389" w:rsidRDefault="00561FBD" w14:paraId="25FF340C" w14:textId="77777777">
            <w:pPr>
              <w:pStyle w:val="TableParagraph"/>
              <w:spacing w:before="155"/>
              <w:ind w:left="129"/>
              <w:rPr>
                <w:sz w:val="20"/>
              </w:rPr>
            </w:pPr>
            <w:r>
              <w:rPr>
                <w:sz w:val="20"/>
              </w:rPr>
              <w:t>2008</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4A7C7E6F" w14:textId="77777777">
            <w:pPr>
              <w:pStyle w:val="TableParagraph"/>
              <w:ind w:left="202"/>
              <w:rPr>
                <w:sz w:val="20"/>
              </w:rPr>
            </w:pPr>
            <w:r>
              <w:rPr>
                <w:sz w:val="20"/>
              </w:rPr>
              <w:t>2008</w:t>
            </w:r>
            <w:r>
              <w:rPr>
                <w:spacing w:val="-4"/>
                <w:sz w:val="20"/>
              </w:rPr>
              <w:t xml:space="preserve"> </w:t>
            </w:r>
            <w:r>
              <w:rPr>
                <w:sz w:val="20"/>
              </w:rPr>
              <w:t>T-20:</w:t>
            </w:r>
            <w:r>
              <w:rPr>
                <w:spacing w:val="-3"/>
                <w:sz w:val="20"/>
              </w:rPr>
              <w:t xml:space="preserve"> </w:t>
            </w:r>
            <w:r>
              <w:rPr>
                <w:sz w:val="20"/>
              </w:rPr>
              <w:t>General</w:t>
            </w:r>
            <w:r>
              <w:rPr>
                <w:spacing w:val="-4"/>
                <w:sz w:val="20"/>
              </w:rPr>
              <w:t xml:space="preserve"> </w:t>
            </w:r>
            <w:r>
              <w:rPr>
                <w:sz w:val="20"/>
              </w:rPr>
              <w:t>Purpose</w:t>
            </w:r>
            <w:r>
              <w:rPr>
                <w:spacing w:val="-3"/>
                <w:sz w:val="20"/>
              </w:rPr>
              <w:t xml:space="preserve"> </w:t>
            </w:r>
            <w:r>
              <w:rPr>
                <w:spacing w:val="-2"/>
                <w:sz w:val="20"/>
              </w:rPr>
              <w:t>Lighting</w:t>
            </w:r>
          </w:p>
          <w:p w:rsidR="00C31389" w:rsidRDefault="00561FBD" w14:paraId="250B4C81" w14:textId="77777777">
            <w:pPr>
              <w:pStyle w:val="TableParagraph"/>
              <w:spacing w:before="0"/>
              <w:ind w:left="202"/>
              <w:rPr>
                <w:sz w:val="20"/>
              </w:rPr>
            </w:pPr>
            <w:r>
              <w:rPr>
                <w:sz w:val="20"/>
              </w:rPr>
              <w:t>-- 75</w:t>
            </w:r>
            <w:r>
              <w:rPr>
                <w:spacing w:val="-2"/>
                <w:sz w:val="20"/>
              </w:rPr>
              <w:t xml:space="preserve"> </w:t>
            </w:r>
            <w:r>
              <w:rPr>
                <w:spacing w:val="-4"/>
                <w:sz w:val="20"/>
              </w:rPr>
              <w:t>watt</w:t>
            </w:r>
          </w:p>
        </w:tc>
        <w:tc>
          <w:tcPr>
            <w:tcW w:w="1196" w:type="dxa"/>
            <w:tcBorders>
              <w:top w:val="single" w:color="D9D9D9" w:sz="2" w:space="0"/>
              <w:bottom w:val="single" w:color="D9D9D9" w:sz="2" w:space="0"/>
            </w:tcBorders>
          </w:tcPr>
          <w:p w:rsidR="00C31389" w:rsidRDefault="00561FBD" w14:paraId="3D82C515" w14:textId="77777777">
            <w:pPr>
              <w:pStyle w:val="TableParagraph"/>
              <w:spacing w:before="155"/>
              <w:ind w:left="355"/>
              <w:rPr>
                <w:sz w:val="20"/>
              </w:rPr>
            </w:pPr>
            <w:r>
              <w:rPr>
                <w:spacing w:val="-5"/>
                <w:sz w:val="20"/>
              </w:rPr>
              <w:t>40%</w:t>
            </w:r>
          </w:p>
        </w:tc>
        <w:tc>
          <w:tcPr>
            <w:tcW w:w="1394" w:type="dxa"/>
            <w:tcBorders>
              <w:top w:val="single" w:color="D9D9D9" w:sz="2" w:space="0"/>
              <w:bottom w:val="single" w:color="D9D9D9" w:sz="2" w:space="0"/>
            </w:tcBorders>
          </w:tcPr>
          <w:p w:rsidR="00C31389" w:rsidRDefault="00561FBD" w14:paraId="5CCF96C3" w14:textId="77777777">
            <w:pPr>
              <w:pStyle w:val="TableParagraph"/>
              <w:spacing w:before="155"/>
              <w:ind w:right="245"/>
              <w:jc w:val="right"/>
              <w:rPr>
                <w:sz w:val="20"/>
              </w:rPr>
            </w:pPr>
            <w:r>
              <w:rPr>
                <w:spacing w:val="-2"/>
                <w:sz w:val="20"/>
              </w:rPr>
              <w:t>1/1/2013</w:t>
            </w:r>
          </w:p>
        </w:tc>
        <w:tc>
          <w:tcPr>
            <w:tcW w:w="1565" w:type="dxa"/>
            <w:tcBorders>
              <w:top w:val="single" w:color="D9D9D9" w:sz="2" w:space="0"/>
              <w:bottom w:val="single" w:color="D9D9D9" w:sz="2" w:space="0"/>
            </w:tcBorders>
          </w:tcPr>
          <w:p w:rsidR="00C31389" w:rsidRDefault="00561FBD" w14:paraId="22D79268" w14:textId="77777777">
            <w:pPr>
              <w:pStyle w:val="TableParagraph"/>
              <w:spacing w:before="155"/>
              <w:ind w:left="187" w:right="150"/>
              <w:jc w:val="center"/>
              <w:rPr>
                <w:sz w:val="20"/>
              </w:rPr>
            </w:pPr>
            <w:r>
              <w:rPr>
                <w:spacing w:val="-2"/>
                <w:sz w:val="20"/>
              </w:rPr>
              <w:t>On-the-books</w:t>
            </w:r>
          </w:p>
        </w:tc>
      </w:tr>
      <w:tr w:rsidR="00C31389" w14:paraId="48863734" w14:textId="77777777">
        <w:trPr>
          <w:trHeight w:val="539"/>
        </w:trPr>
        <w:tc>
          <w:tcPr>
            <w:tcW w:w="1367" w:type="dxa"/>
            <w:tcBorders>
              <w:top w:val="single" w:color="D9D9D9" w:sz="2" w:space="0"/>
              <w:bottom w:val="single" w:color="D9D9D9" w:sz="2" w:space="0"/>
            </w:tcBorders>
          </w:tcPr>
          <w:p w:rsidR="00C31389" w:rsidRDefault="00561FBD" w14:paraId="170B1EFB" w14:textId="77777777">
            <w:pPr>
              <w:pStyle w:val="TableParagraph"/>
              <w:spacing w:before="155"/>
              <w:ind w:left="129"/>
              <w:rPr>
                <w:sz w:val="20"/>
              </w:rPr>
            </w:pPr>
            <w:r>
              <w:rPr>
                <w:sz w:val="20"/>
              </w:rPr>
              <w:t>2008</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20B033AA" w14:textId="77777777">
            <w:pPr>
              <w:pStyle w:val="TableParagraph"/>
              <w:ind w:left="202"/>
              <w:rPr>
                <w:sz w:val="20"/>
              </w:rPr>
            </w:pPr>
            <w:r>
              <w:rPr>
                <w:sz w:val="20"/>
              </w:rPr>
              <w:t>2008</w:t>
            </w:r>
            <w:r>
              <w:rPr>
                <w:spacing w:val="-4"/>
                <w:sz w:val="20"/>
              </w:rPr>
              <w:t xml:space="preserve"> </w:t>
            </w:r>
            <w:r>
              <w:rPr>
                <w:sz w:val="20"/>
              </w:rPr>
              <w:t>T-20:</w:t>
            </w:r>
            <w:r>
              <w:rPr>
                <w:spacing w:val="-3"/>
                <w:sz w:val="20"/>
              </w:rPr>
              <w:t xml:space="preserve"> </w:t>
            </w:r>
            <w:r>
              <w:rPr>
                <w:sz w:val="20"/>
              </w:rPr>
              <w:t>General</w:t>
            </w:r>
            <w:r>
              <w:rPr>
                <w:spacing w:val="-4"/>
                <w:sz w:val="20"/>
              </w:rPr>
              <w:t xml:space="preserve"> </w:t>
            </w:r>
            <w:r>
              <w:rPr>
                <w:sz w:val="20"/>
              </w:rPr>
              <w:t>Purpose</w:t>
            </w:r>
            <w:r>
              <w:rPr>
                <w:spacing w:val="-3"/>
                <w:sz w:val="20"/>
              </w:rPr>
              <w:t xml:space="preserve"> </w:t>
            </w:r>
            <w:r>
              <w:rPr>
                <w:spacing w:val="-2"/>
                <w:sz w:val="20"/>
              </w:rPr>
              <w:t>Lighting</w:t>
            </w:r>
          </w:p>
          <w:p w:rsidR="00C31389" w:rsidRDefault="00561FBD" w14:paraId="22BAC83E" w14:textId="77777777">
            <w:pPr>
              <w:pStyle w:val="TableParagraph"/>
              <w:spacing w:before="0"/>
              <w:ind w:left="202"/>
              <w:rPr>
                <w:sz w:val="20"/>
              </w:rPr>
            </w:pPr>
            <w:r>
              <w:rPr>
                <w:sz w:val="20"/>
              </w:rPr>
              <w:t>--</w:t>
            </w:r>
            <w:r>
              <w:rPr>
                <w:spacing w:val="-1"/>
                <w:sz w:val="20"/>
              </w:rPr>
              <w:t xml:space="preserve"> </w:t>
            </w:r>
            <w:r>
              <w:rPr>
                <w:sz w:val="20"/>
              </w:rPr>
              <w:t>60</w:t>
            </w:r>
            <w:r>
              <w:rPr>
                <w:spacing w:val="-1"/>
                <w:sz w:val="20"/>
              </w:rPr>
              <w:t xml:space="preserve"> </w:t>
            </w:r>
            <w:r>
              <w:rPr>
                <w:sz w:val="20"/>
              </w:rPr>
              <w:t>and</w:t>
            </w:r>
            <w:r>
              <w:rPr>
                <w:spacing w:val="-2"/>
                <w:sz w:val="20"/>
              </w:rPr>
              <w:t xml:space="preserve"> </w:t>
            </w:r>
            <w:r>
              <w:rPr>
                <w:sz w:val="20"/>
              </w:rPr>
              <w:t>40</w:t>
            </w:r>
            <w:r>
              <w:rPr>
                <w:spacing w:val="-2"/>
                <w:sz w:val="20"/>
              </w:rPr>
              <w:t xml:space="preserve"> </w:t>
            </w:r>
            <w:r>
              <w:rPr>
                <w:spacing w:val="-4"/>
                <w:sz w:val="20"/>
              </w:rPr>
              <w:t>watt</w:t>
            </w:r>
          </w:p>
        </w:tc>
        <w:tc>
          <w:tcPr>
            <w:tcW w:w="1196" w:type="dxa"/>
            <w:tcBorders>
              <w:top w:val="single" w:color="D9D9D9" w:sz="2" w:space="0"/>
              <w:bottom w:val="single" w:color="D9D9D9" w:sz="2" w:space="0"/>
            </w:tcBorders>
          </w:tcPr>
          <w:p w:rsidR="00C31389" w:rsidRDefault="00561FBD" w14:paraId="72A0B0F0" w14:textId="77777777">
            <w:pPr>
              <w:pStyle w:val="TableParagraph"/>
              <w:spacing w:before="155"/>
              <w:ind w:left="355"/>
              <w:rPr>
                <w:sz w:val="20"/>
              </w:rPr>
            </w:pPr>
            <w:r>
              <w:rPr>
                <w:spacing w:val="-5"/>
                <w:sz w:val="20"/>
              </w:rPr>
              <w:t>85%</w:t>
            </w:r>
          </w:p>
        </w:tc>
        <w:tc>
          <w:tcPr>
            <w:tcW w:w="1394" w:type="dxa"/>
            <w:tcBorders>
              <w:top w:val="single" w:color="D9D9D9" w:sz="2" w:space="0"/>
              <w:bottom w:val="single" w:color="D9D9D9" w:sz="2" w:space="0"/>
            </w:tcBorders>
          </w:tcPr>
          <w:p w:rsidR="00C31389" w:rsidRDefault="00561FBD" w14:paraId="19B0CCCB" w14:textId="77777777">
            <w:pPr>
              <w:pStyle w:val="TableParagraph"/>
              <w:spacing w:before="155"/>
              <w:ind w:right="245"/>
              <w:jc w:val="right"/>
              <w:rPr>
                <w:sz w:val="20"/>
              </w:rPr>
            </w:pPr>
            <w:r>
              <w:rPr>
                <w:spacing w:val="-2"/>
                <w:sz w:val="20"/>
              </w:rPr>
              <w:t>7/1/2014</w:t>
            </w:r>
          </w:p>
        </w:tc>
        <w:tc>
          <w:tcPr>
            <w:tcW w:w="1565" w:type="dxa"/>
            <w:tcBorders>
              <w:top w:val="single" w:color="D9D9D9" w:sz="2" w:space="0"/>
              <w:bottom w:val="single" w:color="D9D9D9" w:sz="2" w:space="0"/>
            </w:tcBorders>
          </w:tcPr>
          <w:p w:rsidR="00C31389" w:rsidRDefault="00561FBD" w14:paraId="2EAD46E9" w14:textId="77777777">
            <w:pPr>
              <w:pStyle w:val="TableParagraph"/>
              <w:spacing w:before="155"/>
              <w:ind w:left="187" w:right="150"/>
              <w:jc w:val="center"/>
              <w:rPr>
                <w:sz w:val="20"/>
              </w:rPr>
            </w:pPr>
            <w:r>
              <w:rPr>
                <w:spacing w:val="-2"/>
                <w:sz w:val="20"/>
              </w:rPr>
              <w:t>On-the-books</w:t>
            </w:r>
          </w:p>
        </w:tc>
      </w:tr>
      <w:tr w:rsidR="00C31389" w14:paraId="1E7A0017" w14:textId="77777777">
        <w:trPr>
          <w:trHeight w:val="310"/>
        </w:trPr>
        <w:tc>
          <w:tcPr>
            <w:tcW w:w="1367" w:type="dxa"/>
            <w:tcBorders>
              <w:top w:val="single" w:color="D9D9D9" w:sz="2" w:space="0"/>
              <w:bottom w:val="single" w:color="D9D9D9" w:sz="2" w:space="0"/>
            </w:tcBorders>
          </w:tcPr>
          <w:p w:rsidR="00C31389" w:rsidRDefault="00561FBD" w14:paraId="6000A892" w14:textId="77777777">
            <w:pPr>
              <w:pStyle w:val="TableParagraph"/>
              <w:spacing w:before="41"/>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144FCB59" w14:textId="77777777">
            <w:pPr>
              <w:pStyle w:val="TableParagraph"/>
              <w:spacing w:before="41"/>
              <w:ind w:left="202"/>
              <w:rPr>
                <w:sz w:val="20"/>
              </w:rPr>
            </w:pPr>
            <w:r>
              <w:rPr>
                <w:sz w:val="20"/>
              </w:rPr>
              <w:t>2008</w:t>
            </w:r>
            <w:r>
              <w:rPr>
                <w:spacing w:val="-4"/>
                <w:sz w:val="20"/>
              </w:rPr>
              <w:t xml:space="preserve"> </w:t>
            </w:r>
            <w:r>
              <w:rPr>
                <w:sz w:val="20"/>
              </w:rPr>
              <w:t>T-24:</w:t>
            </w:r>
            <w:r>
              <w:rPr>
                <w:spacing w:val="-4"/>
                <w:sz w:val="20"/>
              </w:rPr>
              <w:t xml:space="preserve"> </w:t>
            </w:r>
            <w:r>
              <w:rPr>
                <w:sz w:val="20"/>
              </w:rPr>
              <w:t>Residential</w:t>
            </w:r>
            <w:r>
              <w:rPr>
                <w:spacing w:val="-3"/>
                <w:sz w:val="20"/>
              </w:rPr>
              <w:t xml:space="preserve"> </w:t>
            </w:r>
            <w:r>
              <w:rPr>
                <w:spacing w:val="-2"/>
                <w:sz w:val="20"/>
              </w:rPr>
              <w:t>Fenestration</w:t>
            </w:r>
          </w:p>
        </w:tc>
        <w:tc>
          <w:tcPr>
            <w:tcW w:w="1196" w:type="dxa"/>
            <w:tcBorders>
              <w:top w:val="single" w:color="D9D9D9" w:sz="2" w:space="0"/>
              <w:bottom w:val="single" w:color="D9D9D9" w:sz="2" w:space="0"/>
            </w:tcBorders>
          </w:tcPr>
          <w:p w:rsidR="00C31389" w:rsidRDefault="00561FBD" w14:paraId="5438D4CC" w14:textId="77777777">
            <w:pPr>
              <w:pStyle w:val="TableParagraph"/>
              <w:spacing w:before="41"/>
              <w:ind w:left="356"/>
              <w:rPr>
                <w:sz w:val="20"/>
              </w:rPr>
            </w:pPr>
            <w:r>
              <w:rPr>
                <w:spacing w:val="-5"/>
                <w:sz w:val="20"/>
              </w:rPr>
              <w:t>83%</w:t>
            </w:r>
          </w:p>
        </w:tc>
        <w:tc>
          <w:tcPr>
            <w:tcW w:w="1394" w:type="dxa"/>
            <w:tcBorders>
              <w:top w:val="single" w:color="D9D9D9" w:sz="2" w:space="0"/>
              <w:bottom w:val="single" w:color="D9D9D9" w:sz="2" w:space="0"/>
            </w:tcBorders>
          </w:tcPr>
          <w:p w:rsidR="00C31389" w:rsidRDefault="00561FBD" w14:paraId="23486A2E" w14:textId="77777777">
            <w:pPr>
              <w:pStyle w:val="TableParagraph"/>
              <w:spacing w:before="41"/>
              <w:ind w:right="245"/>
              <w:jc w:val="right"/>
              <w:rPr>
                <w:sz w:val="20"/>
              </w:rPr>
            </w:pPr>
            <w:r>
              <w:rPr>
                <w:spacing w:val="-2"/>
                <w:sz w:val="20"/>
              </w:rPr>
              <w:t>1/1/2012</w:t>
            </w:r>
          </w:p>
        </w:tc>
        <w:tc>
          <w:tcPr>
            <w:tcW w:w="1565" w:type="dxa"/>
            <w:tcBorders>
              <w:top w:val="single" w:color="D9D9D9" w:sz="2" w:space="0"/>
              <w:bottom w:val="single" w:color="D9D9D9" w:sz="2" w:space="0"/>
            </w:tcBorders>
          </w:tcPr>
          <w:p w:rsidR="00C31389" w:rsidRDefault="00561FBD" w14:paraId="2C1E38E9" w14:textId="77777777">
            <w:pPr>
              <w:pStyle w:val="TableParagraph"/>
              <w:spacing w:before="41"/>
              <w:ind w:left="187" w:right="150"/>
              <w:jc w:val="center"/>
              <w:rPr>
                <w:sz w:val="20"/>
              </w:rPr>
            </w:pPr>
            <w:r>
              <w:rPr>
                <w:spacing w:val="-2"/>
                <w:sz w:val="20"/>
              </w:rPr>
              <w:t>On-the-books</w:t>
            </w:r>
          </w:p>
        </w:tc>
      </w:tr>
      <w:tr w:rsidR="00C31389" w14:paraId="419815D1" w14:textId="77777777">
        <w:trPr>
          <w:trHeight w:val="539"/>
        </w:trPr>
        <w:tc>
          <w:tcPr>
            <w:tcW w:w="1367" w:type="dxa"/>
            <w:tcBorders>
              <w:top w:val="single" w:color="D9D9D9" w:sz="2" w:space="0"/>
              <w:bottom w:val="single" w:color="D9D9D9" w:sz="2" w:space="0"/>
            </w:tcBorders>
          </w:tcPr>
          <w:p w:rsidR="00C31389" w:rsidRDefault="00561FBD" w14:paraId="496223BC" w14:textId="77777777">
            <w:pPr>
              <w:pStyle w:val="TableParagraph"/>
              <w:spacing w:before="155"/>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5501B1AC" w14:textId="77777777">
            <w:pPr>
              <w:pStyle w:val="TableParagraph"/>
              <w:ind w:left="202" w:right="352"/>
              <w:rPr>
                <w:sz w:val="20"/>
              </w:rPr>
            </w:pPr>
            <w:r>
              <w:rPr>
                <w:sz w:val="20"/>
              </w:rPr>
              <w:t>2008</w:t>
            </w:r>
            <w:r>
              <w:rPr>
                <w:spacing w:val="-12"/>
                <w:sz w:val="20"/>
              </w:rPr>
              <w:t xml:space="preserve"> </w:t>
            </w:r>
            <w:r>
              <w:rPr>
                <w:sz w:val="20"/>
              </w:rPr>
              <w:t>T-24:</w:t>
            </w:r>
            <w:r>
              <w:rPr>
                <w:spacing w:val="-12"/>
                <w:sz w:val="20"/>
              </w:rPr>
              <w:t xml:space="preserve"> </w:t>
            </w:r>
            <w:r>
              <w:rPr>
                <w:sz w:val="20"/>
              </w:rPr>
              <w:t>Residential</w:t>
            </w:r>
            <w:r>
              <w:rPr>
                <w:spacing w:val="-12"/>
                <w:sz w:val="20"/>
              </w:rPr>
              <w:t xml:space="preserve"> </w:t>
            </w:r>
            <w:r>
              <w:rPr>
                <w:sz w:val="20"/>
              </w:rPr>
              <w:t xml:space="preserve">Swimming </w:t>
            </w:r>
            <w:r>
              <w:rPr>
                <w:spacing w:val="-4"/>
                <w:sz w:val="20"/>
              </w:rPr>
              <w:t>pool</w:t>
            </w:r>
          </w:p>
        </w:tc>
        <w:tc>
          <w:tcPr>
            <w:tcW w:w="1196" w:type="dxa"/>
            <w:tcBorders>
              <w:top w:val="single" w:color="D9D9D9" w:sz="2" w:space="0"/>
              <w:bottom w:val="single" w:color="D9D9D9" w:sz="2" w:space="0"/>
            </w:tcBorders>
          </w:tcPr>
          <w:p w:rsidR="00C31389" w:rsidRDefault="00561FBD" w14:paraId="3D09ED2D" w14:textId="77777777">
            <w:pPr>
              <w:pStyle w:val="TableParagraph"/>
              <w:spacing w:before="155"/>
              <w:ind w:left="355"/>
              <w:rPr>
                <w:sz w:val="20"/>
              </w:rPr>
            </w:pPr>
            <w:r>
              <w:rPr>
                <w:spacing w:val="-5"/>
                <w:sz w:val="20"/>
              </w:rPr>
              <w:t>83%</w:t>
            </w:r>
          </w:p>
        </w:tc>
        <w:tc>
          <w:tcPr>
            <w:tcW w:w="1394" w:type="dxa"/>
            <w:tcBorders>
              <w:top w:val="single" w:color="D9D9D9" w:sz="2" w:space="0"/>
              <w:bottom w:val="single" w:color="D9D9D9" w:sz="2" w:space="0"/>
            </w:tcBorders>
          </w:tcPr>
          <w:p w:rsidR="00C31389" w:rsidRDefault="00561FBD" w14:paraId="40DC9B15" w14:textId="77777777">
            <w:pPr>
              <w:pStyle w:val="TableParagraph"/>
              <w:spacing w:before="155"/>
              <w:ind w:right="245"/>
              <w:jc w:val="right"/>
              <w:rPr>
                <w:sz w:val="20"/>
              </w:rPr>
            </w:pPr>
            <w:r>
              <w:rPr>
                <w:spacing w:val="-2"/>
                <w:sz w:val="20"/>
              </w:rPr>
              <w:t>1/1/2010</w:t>
            </w:r>
          </w:p>
        </w:tc>
        <w:tc>
          <w:tcPr>
            <w:tcW w:w="1565" w:type="dxa"/>
            <w:tcBorders>
              <w:top w:val="single" w:color="D9D9D9" w:sz="2" w:space="0"/>
              <w:bottom w:val="single" w:color="D9D9D9" w:sz="2" w:space="0"/>
            </w:tcBorders>
          </w:tcPr>
          <w:p w:rsidR="00C31389" w:rsidRDefault="00561FBD" w14:paraId="6A365642" w14:textId="77777777">
            <w:pPr>
              <w:pStyle w:val="TableParagraph"/>
              <w:spacing w:before="155"/>
              <w:ind w:left="187" w:right="150"/>
              <w:jc w:val="center"/>
              <w:rPr>
                <w:sz w:val="20"/>
              </w:rPr>
            </w:pPr>
            <w:r>
              <w:rPr>
                <w:spacing w:val="-2"/>
                <w:sz w:val="20"/>
              </w:rPr>
              <w:t>On-the-books</w:t>
            </w:r>
          </w:p>
        </w:tc>
      </w:tr>
      <w:tr w:rsidR="00C31389" w14:paraId="036AE1B1" w14:textId="77777777">
        <w:trPr>
          <w:trHeight w:val="309"/>
        </w:trPr>
        <w:tc>
          <w:tcPr>
            <w:tcW w:w="1367" w:type="dxa"/>
            <w:tcBorders>
              <w:top w:val="single" w:color="D9D9D9" w:sz="2" w:space="0"/>
              <w:bottom w:val="single" w:color="D9D9D9" w:sz="2" w:space="0"/>
            </w:tcBorders>
          </w:tcPr>
          <w:p w:rsidR="00C31389" w:rsidRDefault="00561FBD" w14:paraId="0289C5BA"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7A731907" w14:textId="77777777">
            <w:pPr>
              <w:pStyle w:val="TableParagraph"/>
              <w:ind w:left="202"/>
              <w:rPr>
                <w:sz w:val="20"/>
              </w:rPr>
            </w:pPr>
            <w:r>
              <w:rPr>
                <w:sz w:val="20"/>
              </w:rPr>
              <w:t>2008</w:t>
            </w:r>
            <w:r>
              <w:rPr>
                <w:spacing w:val="-3"/>
                <w:sz w:val="20"/>
              </w:rPr>
              <w:t xml:space="preserve"> </w:t>
            </w:r>
            <w:r>
              <w:rPr>
                <w:sz w:val="20"/>
              </w:rPr>
              <w:t>T-24:</w:t>
            </w:r>
            <w:r>
              <w:rPr>
                <w:spacing w:val="-2"/>
                <w:sz w:val="20"/>
              </w:rPr>
              <w:t xml:space="preserve"> </w:t>
            </w:r>
            <w:r>
              <w:rPr>
                <w:sz w:val="20"/>
              </w:rPr>
              <w:t>CfR</w:t>
            </w:r>
            <w:r>
              <w:rPr>
                <w:spacing w:val="-2"/>
                <w:sz w:val="20"/>
              </w:rPr>
              <w:t xml:space="preserve"> </w:t>
            </w:r>
            <w:r>
              <w:rPr>
                <w:sz w:val="20"/>
              </w:rPr>
              <w:t>HVAC</w:t>
            </w:r>
            <w:r>
              <w:rPr>
                <w:spacing w:val="-1"/>
                <w:sz w:val="20"/>
              </w:rPr>
              <w:t xml:space="preserve"> </w:t>
            </w:r>
            <w:r>
              <w:rPr>
                <w:spacing w:val="-2"/>
                <w:sz w:val="20"/>
              </w:rPr>
              <w:t>Efficiency</w:t>
            </w:r>
          </w:p>
        </w:tc>
        <w:tc>
          <w:tcPr>
            <w:tcW w:w="1196" w:type="dxa"/>
            <w:tcBorders>
              <w:top w:val="single" w:color="D9D9D9" w:sz="2" w:space="0"/>
              <w:bottom w:val="single" w:color="D9D9D9" w:sz="2" w:space="0"/>
            </w:tcBorders>
          </w:tcPr>
          <w:p w:rsidR="00C31389" w:rsidRDefault="00561FBD" w14:paraId="2C94250C" w14:textId="77777777">
            <w:pPr>
              <w:pStyle w:val="TableParagraph"/>
              <w:ind w:left="300"/>
              <w:rPr>
                <w:sz w:val="20"/>
              </w:rPr>
            </w:pPr>
            <w:r>
              <w:rPr>
                <w:spacing w:val="-4"/>
                <w:sz w:val="20"/>
              </w:rPr>
              <w:t>397%</w:t>
            </w:r>
          </w:p>
        </w:tc>
        <w:tc>
          <w:tcPr>
            <w:tcW w:w="1394" w:type="dxa"/>
            <w:tcBorders>
              <w:top w:val="single" w:color="D9D9D9" w:sz="2" w:space="0"/>
              <w:bottom w:val="single" w:color="D9D9D9" w:sz="2" w:space="0"/>
            </w:tcBorders>
          </w:tcPr>
          <w:p w:rsidR="00C31389" w:rsidRDefault="00561FBD" w14:paraId="4A5DFF5F" w14:textId="77777777">
            <w:pPr>
              <w:pStyle w:val="TableParagraph"/>
              <w:ind w:right="245"/>
              <w:jc w:val="right"/>
              <w:rPr>
                <w:sz w:val="20"/>
              </w:rPr>
            </w:pPr>
            <w:r>
              <w:rPr>
                <w:spacing w:val="-2"/>
                <w:sz w:val="20"/>
              </w:rPr>
              <w:t>1/1/2010</w:t>
            </w:r>
          </w:p>
        </w:tc>
        <w:tc>
          <w:tcPr>
            <w:tcW w:w="1565" w:type="dxa"/>
            <w:tcBorders>
              <w:top w:val="single" w:color="D9D9D9" w:sz="2" w:space="0"/>
              <w:bottom w:val="single" w:color="D9D9D9" w:sz="2" w:space="0"/>
            </w:tcBorders>
          </w:tcPr>
          <w:p w:rsidR="00C31389" w:rsidRDefault="00561FBD" w14:paraId="131ABA54" w14:textId="77777777">
            <w:pPr>
              <w:pStyle w:val="TableParagraph"/>
              <w:ind w:left="187" w:right="150"/>
              <w:jc w:val="center"/>
              <w:rPr>
                <w:sz w:val="20"/>
              </w:rPr>
            </w:pPr>
            <w:r>
              <w:rPr>
                <w:spacing w:val="-2"/>
                <w:sz w:val="20"/>
              </w:rPr>
              <w:t>On-the-books</w:t>
            </w:r>
          </w:p>
        </w:tc>
      </w:tr>
      <w:tr w:rsidR="00C31389" w14:paraId="111FEFCB" w14:textId="77777777">
        <w:trPr>
          <w:trHeight w:val="541"/>
        </w:trPr>
        <w:tc>
          <w:tcPr>
            <w:tcW w:w="1367" w:type="dxa"/>
            <w:tcBorders>
              <w:top w:val="single" w:color="D9D9D9" w:sz="2" w:space="0"/>
              <w:bottom w:val="single" w:color="D9D9D9" w:sz="2" w:space="0"/>
            </w:tcBorders>
          </w:tcPr>
          <w:p w:rsidR="00C31389" w:rsidRDefault="00561FBD" w14:paraId="3660E71E" w14:textId="77777777">
            <w:pPr>
              <w:pStyle w:val="TableParagraph"/>
              <w:spacing w:before="155"/>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3E8F3CFF" w14:textId="77777777">
            <w:pPr>
              <w:pStyle w:val="TableParagraph"/>
              <w:spacing w:before="41"/>
              <w:ind w:left="202" w:right="352"/>
              <w:rPr>
                <w:sz w:val="20"/>
              </w:rPr>
            </w:pPr>
            <w:r>
              <w:rPr>
                <w:sz w:val="20"/>
              </w:rPr>
              <w:t>2008</w:t>
            </w:r>
            <w:r>
              <w:rPr>
                <w:spacing w:val="-8"/>
                <w:sz w:val="20"/>
              </w:rPr>
              <w:t xml:space="preserve"> </w:t>
            </w:r>
            <w:r>
              <w:rPr>
                <w:sz w:val="20"/>
              </w:rPr>
              <w:t>T-24:</w:t>
            </w:r>
            <w:r>
              <w:rPr>
                <w:spacing w:val="-8"/>
                <w:sz w:val="20"/>
              </w:rPr>
              <w:t xml:space="preserve"> </w:t>
            </w:r>
            <w:r>
              <w:rPr>
                <w:sz w:val="20"/>
              </w:rPr>
              <w:t>CfR</w:t>
            </w:r>
            <w:r>
              <w:rPr>
                <w:spacing w:val="-7"/>
                <w:sz w:val="20"/>
              </w:rPr>
              <w:t xml:space="preserve"> </w:t>
            </w:r>
            <w:r>
              <w:rPr>
                <w:sz w:val="20"/>
              </w:rPr>
              <w:t>IL</w:t>
            </w:r>
            <w:r>
              <w:rPr>
                <w:spacing w:val="-8"/>
                <w:sz w:val="20"/>
              </w:rPr>
              <w:t xml:space="preserve"> </w:t>
            </w:r>
            <w:r>
              <w:rPr>
                <w:sz w:val="20"/>
              </w:rPr>
              <w:t>Area</w:t>
            </w:r>
            <w:r>
              <w:rPr>
                <w:spacing w:val="-8"/>
                <w:sz w:val="20"/>
              </w:rPr>
              <w:t xml:space="preserve"> </w:t>
            </w:r>
            <w:r>
              <w:rPr>
                <w:sz w:val="20"/>
              </w:rPr>
              <w:t xml:space="preserve">Category </w:t>
            </w:r>
            <w:r>
              <w:rPr>
                <w:spacing w:val="-2"/>
                <w:sz w:val="20"/>
              </w:rPr>
              <w:t>Method</w:t>
            </w:r>
          </w:p>
        </w:tc>
        <w:tc>
          <w:tcPr>
            <w:tcW w:w="1196" w:type="dxa"/>
            <w:tcBorders>
              <w:top w:val="single" w:color="D9D9D9" w:sz="2" w:space="0"/>
              <w:bottom w:val="single" w:color="D9D9D9" w:sz="2" w:space="0"/>
            </w:tcBorders>
          </w:tcPr>
          <w:p w:rsidR="00C31389" w:rsidRDefault="00561FBD" w14:paraId="1823C6F9" w14:textId="77777777">
            <w:pPr>
              <w:pStyle w:val="TableParagraph"/>
              <w:spacing w:before="155"/>
              <w:ind w:left="300"/>
              <w:rPr>
                <w:sz w:val="20"/>
              </w:rPr>
            </w:pPr>
            <w:r>
              <w:rPr>
                <w:spacing w:val="-4"/>
                <w:sz w:val="20"/>
              </w:rPr>
              <w:t>569%</w:t>
            </w:r>
          </w:p>
        </w:tc>
        <w:tc>
          <w:tcPr>
            <w:tcW w:w="1394" w:type="dxa"/>
            <w:tcBorders>
              <w:top w:val="single" w:color="D9D9D9" w:sz="2" w:space="0"/>
              <w:bottom w:val="single" w:color="D9D9D9" w:sz="2" w:space="0"/>
            </w:tcBorders>
          </w:tcPr>
          <w:p w:rsidR="00C31389" w:rsidRDefault="00561FBD" w14:paraId="2F950B1C" w14:textId="77777777">
            <w:pPr>
              <w:pStyle w:val="TableParagraph"/>
              <w:spacing w:before="155"/>
              <w:ind w:right="245"/>
              <w:jc w:val="right"/>
              <w:rPr>
                <w:sz w:val="20"/>
              </w:rPr>
            </w:pPr>
            <w:r>
              <w:rPr>
                <w:spacing w:val="-2"/>
                <w:sz w:val="20"/>
              </w:rPr>
              <w:t>9/1/2010</w:t>
            </w:r>
          </w:p>
        </w:tc>
        <w:tc>
          <w:tcPr>
            <w:tcW w:w="1565" w:type="dxa"/>
            <w:tcBorders>
              <w:top w:val="single" w:color="D9D9D9" w:sz="2" w:space="0"/>
              <w:bottom w:val="single" w:color="D9D9D9" w:sz="2" w:space="0"/>
            </w:tcBorders>
          </w:tcPr>
          <w:p w:rsidR="00C31389" w:rsidRDefault="00561FBD" w14:paraId="03D8040C" w14:textId="77777777">
            <w:pPr>
              <w:pStyle w:val="TableParagraph"/>
              <w:spacing w:before="155"/>
              <w:ind w:left="187" w:right="150"/>
              <w:jc w:val="center"/>
              <w:rPr>
                <w:sz w:val="20"/>
              </w:rPr>
            </w:pPr>
            <w:r>
              <w:rPr>
                <w:spacing w:val="-2"/>
                <w:sz w:val="20"/>
              </w:rPr>
              <w:t>On-the-books</w:t>
            </w:r>
          </w:p>
        </w:tc>
      </w:tr>
      <w:tr w:rsidR="00C31389" w14:paraId="0DE00FAD" w14:textId="77777777">
        <w:trPr>
          <w:trHeight w:val="539"/>
        </w:trPr>
        <w:tc>
          <w:tcPr>
            <w:tcW w:w="1367" w:type="dxa"/>
            <w:tcBorders>
              <w:top w:val="single" w:color="D9D9D9" w:sz="2" w:space="0"/>
              <w:bottom w:val="single" w:color="D9D9D9" w:sz="2" w:space="0"/>
            </w:tcBorders>
          </w:tcPr>
          <w:p w:rsidR="00C31389" w:rsidRDefault="00561FBD" w14:paraId="113EF167" w14:textId="77777777">
            <w:pPr>
              <w:pStyle w:val="TableParagraph"/>
              <w:spacing w:before="155"/>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36BFA7CD" w14:textId="77777777">
            <w:pPr>
              <w:pStyle w:val="TableParagraph"/>
              <w:ind w:left="202"/>
              <w:rPr>
                <w:sz w:val="20"/>
              </w:rPr>
            </w:pPr>
            <w:r>
              <w:rPr>
                <w:sz w:val="20"/>
              </w:rPr>
              <w:t>2008</w:t>
            </w:r>
            <w:r>
              <w:rPr>
                <w:spacing w:val="-8"/>
                <w:sz w:val="20"/>
              </w:rPr>
              <w:t xml:space="preserve"> </w:t>
            </w:r>
            <w:r>
              <w:rPr>
                <w:sz w:val="20"/>
              </w:rPr>
              <w:t>T-24:</w:t>
            </w:r>
            <w:r>
              <w:rPr>
                <w:spacing w:val="-8"/>
                <w:sz w:val="20"/>
              </w:rPr>
              <w:t xml:space="preserve"> </w:t>
            </w:r>
            <w:r>
              <w:rPr>
                <w:sz w:val="20"/>
              </w:rPr>
              <w:t>CfR</w:t>
            </w:r>
            <w:r>
              <w:rPr>
                <w:spacing w:val="-7"/>
                <w:sz w:val="20"/>
              </w:rPr>
              <w:t xml:space="preserve"> </w:t>
            </w:r>
            <w:r>
              <w:rPr>
                <w:sz w:val="20"/>
              </w:rPr>
              <w:t>IL</w:t>
            </w:r>
            <w:r>
              <w:rPr>
                <w:spacing w:val="-8"/>
                <w:sz w:val="20"/>
              </w:rPr>
              <w:t xml:space="preserve"> </w:t>
            </w:r>
            <w:r>
              <w:rPr>
                <w:sz w:val="20"/>
              </w:rPr>
              <w:t>Complete</w:t>
            </w:r>
            <w:r>
              <w:rPr>
                <w:spacing w:val="-8"/>
                <w:sz w:val="20"/>
              </w:rPr>
              <w:t xml:space="preserve"> </w:t>
            </w:r>
            <w:r>
              <w:rPr>
                <w:sz w:val="20"/>
              </w:rPr>
              <w:t xml:space="preserve">Building </w:t>
            </w:r>
            <w:r>
              <w:rPr>
                <w:spacing w:val="-2"/>
                <w:sz w:val="20"/>
              </w:rPr>
              <w:t>Method</w:t>
            </w:r>
          </w:p>
        </w:tc>
        <w:tc>
          <w:tcPr>
            <w:tcW w:w="1196" w:type="dxa"/>
            <w:tcBorders>
              <w:top w:val="single" w:color="D9D9D9" w:sz="2" w:space="0"/>
              <w:bottom w:val="single" w:color="D9D9D9" w:sz="2" w:space="0"/>
            </w:tcBorders>
          </w:tcPr>
          <w:p w:rsidR="00C31389" w:rsidRDefault="00561FBD" w14:paraId="719543D4" w14:textId="77777777">
            <w:pPr>
              <w:pStyle w:val="TableParagraph"/>
              <w:spacing w:before="155"/>
              <w:ind w:left="300"/>
              <w:rPr>
                <w:sz w:val="20"/>
              </w:rPr>
            </w:pPr>
            <w:r>
              <w:rPr>
                <w:spacing w:val="-4"/>
                <w:sz w:val="20"/>
              </w:rPr>
              <w:t>571%</w:t>
            </w:r>
          </w:p>
        </w:tc>
        <w:tc>
          <w:tcPr>
            <w:tcW w:w="1394" w:type="dxa"/>
            <w:tcBorders>
              <w:top w:val="single" w:color="D9D9D9" w:sz="2" w:space="0"/>
              <w:bottom w:val="single" w:color="D9D9D9" w:sz="2" w:space="0"/>
            </w:tcBorders>
          </w:tcPr>
          <w:p w:rsidR="00C31389" w:rsidRDefault="00561FBD" w14:paraId="06580C7D" w14:textId="77777777">
            <w:pPr>
              <w:pStyle w:val="TableParagraph"/>
              <w:spacing w:before="155"/>
              <w:ind w:right="245"/>
              <w:jc w:val="right"/>
              <w:rPr>
                <w:sz w:val="20"/>
              </w:rPr>
            </w:pPr>
            <w:r>
              <w:rPr>
                <w:spacing w:val="-2"/>
                <w:sz w:val="20"/>
              </w:rPr>
              <w:t>9/1/2010</w:t>
            </w:r>
          </w:p>
        </w:tc>
        <w:tc>
          <w:tcPr>
            <w:tcW w:w="1565" w:type="dxa"/>
            <w:tcBorders>
              <w:top w:val="single" w:color="D9D9D9" w:sz="2" w:space="0"/>
              <w:bottom w:val="single" w:color="D9D9D9" w:sz="2" w:space="0"/>
            </w:tcBorders>
          </w:tcPr>
          <w:p w:rsidR="00C31389" w:rsidRDefault="00561FBD" w14:paraId="7AE3BD3F" w14:textId="77777777">
            <w:pPr>
              <w:pStyle w:val="TableParagraph"/>
              <w:spacing w:before="155"/>
              <w:ind w:left="187" w:right="150"/>
              <w:jc w:val="center"/>
              <w:rPr>
                <w:sz w:val="20"/>
              </w:rPr>
            </w:pPr>
            <w:r>
              <w:rPr>
                <w:spacing w:val="-2"/>
                <w:sz w:val="20"/>
              </w:rPr>
              <w:t>On-the-books</w:t>
            </w:r>
          </w:p>
        </w:tc>
      </w:tr>
      <w:tr w:rsidR="00C31389" w14:paraId="2996EF19" w14:textId="77777777">
        <w:trPr>
          <w:trHeight w:val="309"/>
        </w:trPr>
        <w:tc>
          <w:tcPr>
            <w:tcW w:w="1367" w:type="dxa"/>
            <w:tcBorders>
              <w:top w:val="single" w:color="D9D9D9" w:sz="2" w:space="0"/>
              <w:bottom w:val="single" w:color="D9D9D9" w:sz="2" w:space="0"/>
            </w:tcBorders>
          </w:tcPr>
          <w:p w:rsidR="00C31389" w:rsidRDefault="00561FBD" w14:paraId="67C62800"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37F98522" w14:textId="77777777">
            <w:pPr>
              <w:pStyle w:val="TableParagraph"/>
              <w:ind w:left="202"/>
              <w:rPr>
                <w:sz w:val="20"/>
              </w:rPr>
            </w:pPr>
            <w:r>
              <w:rPr>
                <w:sz w:val="20"/>
              </w:rPr>
              <w:t>2008</w:t>
            </w:r>
            <w:r>
              <w:rPr>
                <w:spacing w:val="-3"/>
                <w:sz w:val="20"/>
              </w:rPr>
              <w:t xml:space="preserve"> </w:t>
            </w:r>
            <w:r>
              <w:rPr>
                <w:sz w:val="20"/>
              </w:rPr>
              <w:t>T-24:</w:t>
            </w:r>
            <w:r>
              <w:rPr>
                <w:spacing w:val="-3"/>
                <w:sz w:val="20"/>
              </w:rPr>
              <w:t xml:space="preserve"> </w:t>
            </w:r>
            <w:r>
              <w:rPr>
                <w:sz w:val="20"/>
              </w:rPr>
              <w:t>CfR</w:t>
            </w:r>
            <w:r>
              <w:rPr>
                <w:spacing w:val="-1"/>
                <w:sz w:val="20"/>
              </w:rPr>
              <w:t xml:space="preserve"> </w:t>
            </w:r>
            <w:r>
              <w:rPr>
                <w:sz w:val="20"/>
              </w:rPr>
              <w:t>IL</w:t>
            </w:r>
            <w:r>
              <w:rPr>
                <w:spacing w:val="-3"/>
                <w:sz w:val="20"/>
              </w:rPr>
              <w:t xml:space="preserve"> </w:t>
            </w:r>
            <w:r>
              <w:rPr>
                <w:sz w:val="20"/>
              </w:rPr>
              <w:t>Egress</w:t>
            </w:r>
            <w:r>
              <w:rPr>
                <w:spacing w:val="-2"/>
                <w:sz w:val="20"/>
              </w:rPr>
              <w:t xml:space="preserve"> Control</w:t>
            </w:r>
          </w:p>
        </w:tc>
        <w:tc>
          <w:tcPr>
            <w:tcW w:w="1196" w:type="dxa"/>
            <w:tcBorders>
              <w:top w:val="single" w:color="D9D9D9" w:sz="2" w:space="0"/>
              <w:bottom w:val="single" w:color="D9D9D9" w:sz="2" w:space="0"/>
            </w:tcBorders>
          </w:tcPr>
          <w:p w:rsidR="00C31389" w:rsidRDefault="00561FBD" w14:paraId="7A7529DD" w14:textId="77777777">
            <w:pPr>
              <w:pStyle w:val="TableParagraph"/>
              <w:ind w:left="300"/>
              <w:rPr>
                <w:sz w:val="20"/>
              </w:rPr>
            </w:pPr>
            <w:r>
              <w:rPr>
                <w:spacing w:val="-4"/>
                <w:sz w:val="20"/>
              </w:rPr>
              <w:t>397%</w:t>
            </w:r>
          </w:p>
        </w:tc>
        <w:tc>
          <w:tcPr>
            <w:tcW w:w="1394" w:type="dxa"/>
            <w:tcBorders>
              <w:top w:val="single" w:color="D9D9D9" w:sz="2" w:space="0"/>
              <w:bottom w:val="single" w:color="D9D9D9" w:sz="2" w:space="0"/>
            </w:tcBorders>
          </w:tcPr>
          <w:p w:rsidR="00C31389" w:rsidRDefault="00561FBD" w14:paraId="7BD3EC2E" w14:textId="77777777">
            <w:pPr>
              <w:pStyle w:val="TableParagraph"/>
              <w:ind w:right="245"/>
              <w:jc w:val="right"/>
              <w:rPr>
                <w:sz w:val="20"/>
              </w:rPr>
            </w:pPr>
            <w:r>
              <w:rPr>
                <w:spacing w:val="-2"/>
                <w:sz w:val="20"/>
              </w:rPr>
              <w:t>9/1/2010</w:t>
            </w:r>
          </w:p>
        </w:tc>
        <w:tc>
          <w:tcPr>
            <w:tcW w:w="1565" w:type="dxa"/>
            <w:tcBorders>
              <w:top w:val="single" w:color="D9D9D9" w:sz="2" w:space="0"/>
              <w:bottom w:val="single" w:color="D9D9D9" w:sz="2" w:space="0"/>
            </w:tcBorders>
          </w:tcPr>
          <w:p w:rsidR="00C31389" w:rsidRDefault="00561FBD" w14:paraId="0C18AC4E" w14:textId="77777777">
            <w:pPr>
              <w:pStyle w:val="TableParagraph"/>
              <w:ind w:left="187" w:right="150"/>
              <w:jc w:val="center"/>
              <w:rPr>
                <w:sz w:val="20"/>
              </w:rPr>
            </w:pPr>
            <w:r>
              <w:rPr>
                <w:spacing w:val="-2"/>
                <w:sz w:val="20"/>
              </w:rPr>
              <w:t>On-the-books</w:t>
            </w:r>
          </w:p>
        </w:tc>
      </w:tr>
      <w:tr w:rsidR="00C31389" w14:paraId="6D010337" w14:textId="77777777">
        <w:trPr>
          <w:trHeight w:val="310"/>
        </w:trPr>
        <w:tc>
          <w:tcPr>
            <w:tcW w:w="1367" w:type="dxa"/>
            <w:tcBorders>
              <w:top w:val="single" w:color="D9D9D9" w:sz="2" w:space="0"/>
              <w:bottom w:val="single" w:color="D9D9D9" w:sz="2" w:space="0"/>
            </w:tcBorders>
          </w:tcPr>
          <w:p w:rsidR="00C31389" w:rsidRDefault="00561FBD" w14:paraId="1E5F65DB"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4CD338E2" w14:textId="77777777">
            <w:pPr>
              <w:pStyle w:val="TableParagraph"/>
              <w:ind w:left="202"/>
              <w:rPr>
                <w:sz w:val="20"/>
              </w:rPr>
            </w:pPr>
            <w:r>
              <w:rPr>
                <w:sz w:val="20"/>
              </w:rPr>
              <w:t>2008</w:t>
            </w:r>
            <w:r>
              <w:rPr>
                <w:spacing w:val="-3"/>
                <w:sz w:val="20"/>
              </w:rPr>
              <w:t xml:space="preserve"> </w:t>
            </w:r>
            <w:r>
              <w:rPr>
                <w:sz w:val="20"/>
              </w:rPr>
              <w:t>T-24:</w:t>
            </w:r>
            <w:r>
              <w:rPr>
                <w:spacing w:val="-3"/>
                <w:sz w:val="20"/>
              </w:rPr>
              <w:t xml:space="preserve"> </w:t>
            </w:r>
            <w:r>
              <w:rPr>
                <w:sz w:val="20"/>
              </w:rPr>
              <w:t>CfR</w:t>
            </w:r>
            <w:r>
              <w:rPr>
                <w:spacing w:val="-1"/>
                <w:sz w:val="20"/>
              </w:rPr>
              <w:t xml:space="preserve"> </w:t>
            </w:r>
            <w:r>
              <w:rPr>
                <w:sz w:val="20"/>
              </w:rPr>
              <w:t>Res</w:t>
            </w:r>
            <w:r>
              <w:rPr>
                <w:spacing w:val="-2"/>
                <w:sz w:val="20"/>
              </w:rPr>
              <w:t xml:space="preserve"> </w:t>
            </w:r>
            <w:r>
              <w:rPr>
                <w:sz w:val="20"/>
              </w:rPr>
              <w:t>Central</w:t>
            </w:r>
            <w:r>
              <w:rPr>
                <w:spacing w:val="-3"/>
                <w:sz w:val="20"/>
              </w:rPr>
              <w:t xml:space="preserve"> </w:t>
            </w:r>
            <w:r>
              <w:rPr>
                <w:sz w:val="20"/>
              </w:rPr>
              <w:t>Fan</w:t>
            </w:r>
            <w:r>
              <w:rPr>
                <w:spacing w:val="-2"/>
                <w:sz w:val="20"/>
              </w:rPr>
              <w:t xml:space="preserve"> </w:t>
            </w:r>
            <w:r>
              <w:rPr>
                <w:spacing w:val="-5"/>
                <w:sz w:val="20"/>
              </w:rPr>
              <w:t>WL</w:t>
            </w:r>
          </w:p>
        </w:tc>
        <w:tc>
          <w:tcPr>
            <w:tcW w:w="1196" w:type="dxa"/>
            <w:tcBorders>
              <w:top w:val="single" w:color="D9D9D9" w:sz="2" w:space="0"/>
              <w:bottom w:val="single" w:color="D9D9D9" w:sz="2" w:space="0"/>
            </w:tcBorders>
          </w:tcPr>
          <w:p w:rsidR="00C31389" w:rsidRDefault="00561FBD" w14:paraId="5E3A0407" w14:textId="77777777">
            <w:pPr>
              <w:pStyle w:val="TableParagraph"/>
              <w:ind w:left="356"/>
              <w:rPr>
                <w:sz w:val="20"/>
              </w:rPr>
            </w:pPr>
            <w:r>
              <w:rPr>
                <w:spacing w:val="-5"/>
                <w:sz w:val="20"/>
              </w:rPr>
              <w:t>83%</w:t>
            </w:r>
          </w:p>
        </w:tc>
        <w:tc>
          <w:tcPr>
            <w:tcW w:w="1394" w:type="dxa"/>
            <w:tcBorders>
              <w:top w:val="single" w:color="D9D9D9" w:sz="2" w:space="0"/>
              <w:bottom w:val="single" w:color="D9D9D9" w:sz="2" w:space="0"/>
            </w:tcBorders>
          </w:tcPr>
          <w:p w:rsidR="00C31389" w:rsidRDefault="00561FBD" w14:paraId="72B956C8" w14:textId="77777777">
            <w:pPr>
              <w:pStyle w:val="TableParagraph"/>
              <w:ind w:right="245"/>
              <w:jc w:val="right"/>
              <w:rPr>
                <w:sz w:val="20"/>
              </w:rPr>
            </w:pPr>
            <w:r>
              <w:rPr>
                <w:spacing w:val="-2"/>
                <w:sz w:val="20"/>
              </w:rPr>
              <w:t>9/1/2010</w:t>
            </w:r>
          </w:p>
        </w:tc>
        <w:tc>
          <w:tcPr>
            <w:tcW w:w="1565" w:type="dxa"/>
            <w:tcBorders>
              <w:top w:val="single" w:color="D9D9D9" w:sz="2" w:space="0"/>
              <w:bottom w:val="single" w:color="D9D9D9" w:sz="2" w:space="0"/>
            </w:tcBorders>
          </w:tcPr>
          <w:p w:rsidR="00C31389" w:rsidRDefault="00561FBD" w14:paraId="4B43397B" w14:textId="77777777">
            <w:pPr>
              <w:pStyle w:val="TableParagraph"/>
              <w:ind w:left="187" w:right="150"/>
              <w:jc w:val="center"/>
              <w:rPr>
                <w:sz w:val="20"/>
              </w:rPr>
            </w:pPr>
            <w:r>
              <w:rPr>
                <w:spacing w:val="-2"/>
                <w:sz w:val="20"/>
              </w:rPr>
              <w:t>On-the-books</w:t>
            </w:r>
          </w:p>
        </w:tc>
      </w:tr>
      <w:tr w:rsidR="00C31389" w14:paraId="34F444AE" w14:textId="77777777">
        <w:trPr>
          <w:trHeight w:val="309"/>
        </w:trPr>
        <w:tc>
          <w:tcPr>
            <w:tcW w:w="1367" w:type="dxa"/>
            <w:tcBorders>
              <w:top w:val="single" w:color="D9D9D9" w:sz="2" w:space="0"/>
              <w:bottom w:val="single" w:color="D9D9D9" w:sz="2" w:space="0"/>
            </w:tcBorders>
          </w:tcPr>
          <w:p w:rsidR="00C31389" w:rsidRDefault="00561FBD" w14:paraId="5AE54585"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28A8F8ED" w14:textId="77777777">
            <w:pPr>
              <w:pStyle w:val="TableParagraph"/>
              <w:ind w:left="202"/>
              <w:rPr>
                <w:sz w:val="20"/>
              </w:rPr>
            </w:pPr>
            <w:r>
              <w:rPr>
                <w:sz w:val="20"/>
              </w:rPr>
              <w:t>2008</w:t>
            </w:r>
            <w:r>
              <w:rPr>
                <w:spacing w:val="-3"/>
                <w:sz w:val="20"/>
              </w:rPr>
              <w:t xml:space="preserve"> </w:t>
            </w:r>
            <w:r>
              <w:rPr>
                <w:sz w:val="20"/>
              </w:rPr>
              <w:t>T-24:</w:t>
            </w:r>
            <w:r>
              <w:rPr>
                <w:spacing w:val="-2"/>
                <w:sz w:val="20"/>
              </w:rPr>
              <w:t xml:space="preserve"> </w:t>
            </w:r>
            <w:r>
              <w:rPr>
                <w:sz w:val="20"/>
              </w:rPr>
              <w:t>CfR</w:t>
            </w:r>
            <w:r>
              <w:rPr>
                <w:spacing w:val="-2"/>
                <w:sz w:val="20"/>
              </w:rPr>
              <w:t xml:space="preserve"> </w:t>
            </w:r>
            <w:r>
              <w:rPr>
                <w:sz w:val="20"/>
              </w:rPr>
              <w:t>Res</w:t>
            </w:r>
            <w:r>
              <w:rPr>
                <w:spacing w:val="-1"/>
                <w:sz w:val="20"/>
              </w:rPr>
              <w:t xml:space="preserve"> </w:t>
            </w:r>
            <w:r>
              <w:rPr>
                <w:sz w:val="20"/>
              </w:rPr>
              <w:t>Cool</w:t>
            </w:r>
            <w:r>
              <w:rPr>
                <w:spacing w:val="-2"/>
                <w:sz w:val="20"/>
              </w:rPr>
              <w:t xml:space="preserve"> </w:t>
            </w:r>
            <w:r>
              <w:rPr>
                <w:spacing w:val="-4"/>
                <w:sz w:val="20"/>
              </w:rPr>
              <w:t>Roofs</w:t>
            </w:r>
          </w:p>
        </w:tc>
        <w:tc>
          <w:tcPr>
            <w:tcW w:w="1196" w:type="dxa"/>
            <w:tcBorders>
              <w:top w:val="single" w:color="D9D9D9" w:sz="2" w:space="0"/>
              <w:bottom w:val="single" w:color="D9D9D9" w:sz="2" w:space="0"/>
            </w:tcBorders>
          </w:tcPr>
          <w:p w:rsidR="00C31389" w:rsidRDefault="00561FBD" w14:paraId="75626E5E" w14:textId="77777777">
            <w:pPr>
              <w:pStyle w:val="TableParagraph"/>
              <w:ind w:left="355"/>
              <w:rPr>
                <w:sz w:val="20"/>
              </w:rPr>
            </w:pPr>
            <w:r>
              <w:rPr>
                <w:spacing w:val="-5"/>
                <w:sz w:val="20"/>
              </w:rPr>
              <w:t>83%</w:t>
            </w:r>
          </w:p>
        </w:tc>
        <w:tc>
          <w:tcPr>
            <w:tcW w:w="1394" w:type="dxa"/>
            <w:tcBorders>
              <w:top w:val="single" w:color="D9D9D9" w:sz="2" w:space="0"/>
              <w:bottom w:val="single" w:color="D9D9D9" w:sz="2" w:space="0"/>
            </w:tcBorders>
          </w:tcPr>
          <w:p w:rsidR="00C31389" w:rsidRDefault="00561FBD" w14:paraId="5C30F6EB" w14:textId="77777777">
            <w:pPr>
              <w:pStyle w:val="TableParagraph"/>
              <w:ind w:right="245"/>
              <w:jc w:val="right"/>
              <w:rPr>
                <w:sz w:val="20"/>
              </w:rPr>
            </w:pPr>
            <w:r>
              <w:rPr>
                <w:spacing w:val="-2"/>
                <w:sz w:val="20"/>
              </w:rPr>
              <w:t>9/1/2010</w:t>
            </w:r>
          </w:p>
        </w:tc>
        <w:tc>
          <w:tcPr>
            <w:tcW w:w="1565" w:type="dxa"/>
            <w:tcBorders>
              <w:top w:val="single" w:color="D9D9D9" w:sz="2" w:space="0"/>
              <w:bottom w:val="single" w:color="D9D9D9" w:sz="2" w:space="0"/>
            </w:tcBorders>
          </w:tcPr>
          <w:p w:rsidR="00C31389" w:rsidRDefault="00561FBD" w14:paraId="5D7D8F6E" w14:textId="77777777">
            <w:pPr>
              <w:pStyle w:val="TableParagraph"/>
              <w:ind w:left="187" w:right="150"/>
              <w:jc w:val="center"/>
              <w:rPr>
                <w:sz w:val="20"/>
              </w:rPr>
            </w:pPr>
            <w:r>
              <w:rPr>
                <w:spacing w:val="-2"/>
                <w:sz w:val="20"/>
              </w:rPr>
              <w:t>On-the-books</w:t>
            </w:r>
          </w:p>
        </w:tc>
      </w:tr>
      <w:tr w:rsidR="00C31389" w14:paraId="0FE06BD9" w14:textId="77777777">
        <w:trPr>
          <w:trHeight w:val="310"/>
        </w:trPr>
        <w:tc>
          <w:tcPr>
            <w:tcW w:w="1367" w:type="dxa"/>
            <w:tcBorders>
              <w:top w:val="single" w:color="D9D9D9" w:sz="2" w:space="0"/>
              <w:bottom w:val="single" w:color="D9D9D9" w:sz="2" w:space="0"/>
            </w:tcBorders>
          </w:tcPr>
          <w:p w:rsidR="00C31389" w:rsidRDefault="00561FBD" w14:paraId="19FB9943"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64334ED8" w14:textId="77777777">
            <w:pPr>
              <w:pStyle w:val="TableParagraph"/>
              <w:ind w:left="202"/>
              <w:rPr>
                <w:sz w:val="20"/>
              </w:rPr>
            </w:pPr>
            <w:r>
              <w:rPr>
                <w:sz w:val="20"/>
              </w:rPr>
              <w:t>2008</w:t>
            </w:r>
            <w:r>
              <w:rPr>
                <w:spacing w:val="-3"/>
                <w:sz w:val="20"/>
              </w:rPr>
              <w:t xml:space="preserve"> </w:t>
            </w:r>
            <w:r>
              <w:rPr>
                <w:sz w:val="20"/>
              </w:rPr>
              <w:t>T-24:</w:t>
            </w:r>
            <w:r>
              <w:rPr>
                <w:spacing w:val="-3"/>
                <w:sz w:val="20"/>
              </w:rPr>
              <w:t xml:space="preserve"> </w:t>
            </w:r>
            <w:r>
              <w:rPr>
                <w:sz w:val="20"/>
              </w:rPr>
              <w:t>MF</w:t>
            </w:r>
            <w:r>
              <w:rPr>
                <w:spacing w:val="-3"/>
                <w:sz w:val="20"/>
              </w:rPr>
              <w:t xml:space="preserve"> </w:t>
            </w:r>
            <w:r>
              <w:rPr>
                <w:sz w:val="20"/>
              </w:rPr>
              <w:t>Water</w:t>
            </w:r>
            <w:r>
              <w:rPr>
                <w:spacing w:val="-2"/>
                <w:sz w:val="20"/>
              </w:rPr>
              <w:t xml:space="preserve"> </w:t>
            </w:r>
            <w:r>
              <w:rPr>
                <w:sz w:val="20"/>
              </w:rPr>
              <w:t>heating</w:t>
            </w:r>
            <w:r>
              <w:rPr>
                <w:spacing w:val="-3"/>
                <w:sz w:val="20"/>
              </w:rPr>
              <w:t xml:space="preserve"> </w:t>
            </w:r>
            <w:r>
              <w:rPr>
                <w:spacing w:val="-2"/>
                <w:sz w:val="20"/>
              </w:rPr>
              <w:t>control</w:t>
            </w:r>
          </w:p>
        </w:tc>
        <w:tc>
          <w:tcPr>
            <w:tcW w:w="1196" w:type="dxa"/>
            <w:tcBorders>
              <w:top w:val="single" w:color="D9D9D9" w:sz="2" w:space="0"/>
              <w:bottom w:val="single" w:color="D9D9D9" w:sz="2" w:space="0"/>
            </w:tcBorders>
          </w:tcPr>
          <w:p w:rsidR="00C31389" w:rsidRDefault="00561FBD" w14:paraId="1F649474" w14:textId="77777777">
            <w:pPr>
              <w:pStyle w:val="TableParagraph"/>
              <w:ind w:left="397" w:right="478"/>
              <w:jc w:val="center"/>
              <w:rPr>
                <w:sz w:val="20"/>
              </w:rPr>
            </w:pPr>
            <w:r>
              <w:rPr>
                <w:spacing w:val="-5"/>
                <w:sz w:val="20"/>
              </w:rPr>
              <w:t>0%</w:t>
            </w:r>
          </w:p>
        </w:tc>
        <w:tc>
          <w:tcPr>
            <w:tcW w:w="1394" w:type="dxa"/>
            <w:tcBorders>
              <w:top w:val="single" w:color="D9D9D9" w:sz="2" w:space="0"/>
              <w:bottom w:val="single" w:color="D9D9D9" w:sz="2" w:space="0"/>
            </w:tcBorders>
          </w:tcPr>
          <w:p w:rsidR="00C31389" w:rsidRDefault="00561FBD" w14:paraId="709FF3C4" w14:textId="77777777">
            <w:pPr>
              <w:pStyle w:val="TableParagraph"/>
              <w:ind w:right="245"/>
              <w:jc w:val="right"/>
              <w:rPr>
                <w:sz w:val="20"/>
              </w:rPr>
            </w:pPr>
            <w:r>
              <w:rPr>
                <w:spacing w:val="-2"/>
                <w:sz w:val="20"/>
              </w:rPr>
              <w:t>9/1/2010</w:t>
            </w:r>
          </w:p>
        </w:tc>
        <w:tc>
          <w:tcPr>
            <w:tcW w:w="1565" w:type="dxa"/>
            <w:tcBorders>
              <w:top w:val="single" w:color="D9D9D9" w:sz="2" w:space="0"/>
              <w:bottom w:val="single" w:color="D9D9D9" w:sz="2" w:space="0"/>
            </w:tcBorders>
          </w:tcPr>
          <w:p w:rsidR="00C31389" w:rsidRDefault="00561FBD" w14:paraId="435786F0" w14:textId="77777777">
            <w:pPr>
              <w:pStyle w:val="TableParagraph"/>
              <w:ind w:left="187" w:right="150"/>
              <w:jc w:val="center"/>
              <w:rPr>
                <w:sz w:val="20"/>
              </w:rPr>
            </w:pPr>
            <w:r>
              <w:rPr>
                <w:spacing w:val="-2"/>
                <w:sz w:val="20"/>
              </w:rPr>
              <w:t>On-the-books</w:t>
            </w:r>
          </w:p>
        </w:tc>
      </w:tr>
      <w:tr w:rsidR="00C31389" w14:paraId="1DD7F864" w14:textId="77777777">
        <w:trPr>
          <w:trHeight w:val="309"/>
        </w:trPr>
        <w:tc>
          <w:tcPr>
            <w:tcW w:w="1367" w:type="dxa"/>
            <w:tcBorders>
              <w:top w:val="single" w:color="D9D9D9" w:sz="2" w:space="0"/>
              <w:bottom w:val="single" w:color="D9D9D9" w:sz="2" w:space="0"/>
            </w:tcBorders>
          </w:tcPr>
          <w:p w:rsidR="00C31389" w:rsidRDefault="00561FBD" w14:paraId="2F962253"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2DAF905D" w14:textId="77777777">
            <w:pPr>
              <w:pStyle w:val="TableParagraph"/>
              <w:ind w:left="202"/>
              <w:rPr>
                <w:sz w:val="20"/>
              </w:rPr>
            </w:pPr>
            <w:r>
              <w:rPr>
                <w:sz w:val="20"/>
              </w:rPr>
              <w:t>2008</w:t>
            </w:r>
            <w:r>
              <w:rPr>
                <w:spacing w:val="-3"/>
                <w:sz w:val="20"/>
              </w:rPr>
              <w:t xml:space="preserve"> </w:t>
            </w:r>
            <w:r>
              <w:rPr>
                <w:sz w:val="20"/>
              </w:rPr>
              <w:t>T-24:</w:t>
            </w:r>
            <w:r>
              <w:rPr>
                <w:spacing w:val="-2"/>
                <w:sz w:val="20"/>
              </w:rPr>
              <w:t xml:space="preserve"> </w:t>
            </w:r>
            <w:r>
              <w:rPr>
                <w:sz w:val="20"/>
              </w:rPr>
              <w:t>Cool</w:t>
            </w:r>
            <w:r>
              <w:rPr>
                <w:spacing w:val="-2"/>
                <w:sz w:val="20"/>
              </w:rPr>
              <w:t xml:space="preserve"> </w:t>
            </w:r>
            <w:r>
              <w:rPr>
                <w:sz w:val="20"/>
              </w:rPr>
              <w:t>Roof</w:t>
            </w:r>
            <w:r>
              <w:rPr>
                <w:spacing w:val="-2"/>
                <w:sz w:val="20"/>
              </w:rPr>
              <w:t xml:space="preserve"> Expansion</w:t>
            </w:r>
          </w:p>
        </w:tc>
        <w:tc>
          <w:tcPr>
            <w:tcW w:w="1196" w:type="dxa"/>
            <w:tcBorders>
              <w:top w:val="single" w:color="D9D9D9" w:sz="2" w:space="0"/>
              <w:bottom w:val="single" w:color="D9D9D9" w:sz="2" w:space="0"/>
            </w:tcBorders>
          </w:tcPr>
          <w:p w:rsidR="00C31389" w:rsidRDefault="00561FBD" w14:paraId="4341FAD4" w14:textId="77777777">
            <w:pPr>
              <w:pStyle w:val="TableParagraph"/>
              <w:ind w:left="300"/>
              <w:rPr>
                <w:sz w:val="20"/>
              </w:rPr>
            </w:pPr>
            <w:r>
              <w:rPr>
                <w:spacing w:val="-4"/>
                <w:sz w:val="20"/>
              </w:rPr>
              <w:t>253%</w:t>
            </w:r>
          </w:p>
        </w:tc>
        <w:tc>
          <w:tcPr>
            <w:tcW w:w="1394" w:type="dxa"/>
            <w:tcBorders>
              <w:top w:val="single" w:color="D9D9D9" w:sz="2" w:space="0"/>
              <w:bottom w:val="single" w:color="D9D9D9" w:sz="2" w:space="0"/>
            </w:tcBorders>
          </w:tcPr>
          <w:p w:rsidR="00C31389" w:rsidRDefault="00561FBD" w14:paraId="554075F3"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24F9CA70" w14:textId="77777777">
            <w:pPr>
              <w:pStyle w:val="TableParagraph"/>
              <w:ind w:left="187" w:right="150"/>
              <w:jc w:val="center"/>
              <w:rPr>
                <w:sz w:val="20"/>
              </w:rPr>
            </w:pPr>
            <w:r>
              <w:rPr>
                <w:spacing w:val="-2"/>
                <w:sz w:val="20"/>
              </w:rPr>
              <w:t>On-the-books</w:t>
            </w:r>
          </w:p>
        </w:tc>
      </w:tr>
      <w:tr w:rsidR="00C31389" w14:paraId="7AF64391" w14:textId="77777777">
        <w:trPr>
          <w:trHeight w:val="310"/>
        </w:trPr>
        <w:tc>
          <w:tcPr>
            <w:tcW w:w="1367" w:type="dxa"/>
            <w:tcBorders>
              <w:top w:val="single" w:color="D9D9D9" w:sz="2" w:space="0"/>
              <w:bottom w:val="single" w:color="D9D9D9" w:sz="2" w:space="0"/>
            </w:tcBorders>
          </w:tcPr>
          <w:p w:rsidR="00C31389" w:rsidRDefault="00561FBD" w14:paraId="0160D5AB"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7AF1C394" w14:textId="77777777">
            <w:pPr>
              <w:pStyle w:val="TableParagraph"/>
              <w:ind w:left="202"/>
              <w:rPr>
                <w:sz w:val="20"/>
              </w:rPr>
            </w:pPr>
            <w:r>
              <w:rPr>
                <w:sz w:val="20"/>
              </w:rPr>
              <w:t>2008</w:t>
            </w:r>
            <w:r>
              <w:rPr>
                <w:spacing w:val="-4"/>
                <w:sz w:val="20"/>
              </w:rPr>
              <w:t xml:space="preserve"> </w:t>
            </w:r>
            <w:r>
              <w:rPr>
                <w:sz w:val="20"/>
              </w:rPr>
              <w:t>T-24:</w:t>
            </w:r>
            <w:r>
              <w:rPr>
                <w:spacing w:val="-2"/>
                <w:sz w:val="20"/>
              </w:rPr>
              <w:t xml:space="preserve"> </w:t>
            </w:r>
            <w:r>
              <w:rPr>
                <w:sz w:val="20"/>
              </w:rPr>
              <w:t>DDC</w:t>
            </w:r>
            <w:r>
              <w:rPr>
                <w:spacing w:val="-1"/>
                <w:sz w:val="20"/>
              </w:rPr>
              <w:t xml:space="preserve"> </w:t>
            </w:r>
            <w:r>
              <w:rPr>
                <w:sz w:val="20"/>
              </w:rPr>
              <w:t>to</w:t>
            </w:r>
            <w:r>
              <w:rPr>
                <w:spacing w:val="-2"/>
                <w:sz w:val="20"/>
              </w:rPr>
              <w:t xml:space="preserve"> </w:t>
            </w:r>
            <w:r>
              <w:rPr>
                <w:spacing w:val="-4"/>
                <w:sz w:val="20"/>
              </w:rPr>
              <w:t>Zone</w:t>
            </w:r>
          </w:p>
        </w:tc>
        <w:tc>
          <w:tcPr>
            <w:tcW w:w="1196" w:type="dxa"/>
            <w:tcBorders>
              <w:top w:val="single" w:color="D9D9D9" w:sz="2" w:space="0"/>
              <w:bottom w:val="single" w:color="D9D9D9" w:sz="2" w:space="0"/>
            </w:tcBorders>
          </w:tcPr>
          <w:p w:rsidR="00C31389" w:rsidRDefault="00561FBD" w14:paraId="27E90964" w14:textId="77777777">
            <w:pPr>
              <w:pStyle w:val="TableParagraph"/>
              <w:ind w:left="300"/>
              <w:rPr>
                <w:sz w:val="20"/>
              </w:rPr>
            </w:pPr>
            <w:r>
              <w:rPr>
                <w:spacing w:val="-4"/>
                <w:sz w:val="20"/>
              </w:rPr>
              <w:t>397%</w:t>
            </w:r>
          </w:p>
        </w:tc>
        <w:tc>
          <w:tcPr>
            <w:tcW w:w="1394" w:type="dxa"/>
            <w:tcBorders>
              <w:top w:val="single" w:color="D9D9D9" w:sz="2" w:space="0"/>
              <w:bottom w:val="single" w:color="D9D9D9" w:sz="2" w:space="0"/>
            </w:tcBorders>
          </w:tcPr>
          <w:p w:rsidR="00C31389" w:rsidRDefault="00561FBD" w14:paraId="321A13AD"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2D719F3A" w14:textId="77777777">
            <w:pPr>
              <w:pStyle w:val="TableParagraph"/>
              <w:ind w:left="187" w:right="150"/>
              <w:jc w:val="center"/>
              <w:rPr>
                <w:sz w:val="20"/>
              </w:rPr>
            </w:pPr>
            <w:r>
              <w:rPr>
                <w:spacing w:val="-2"/>
                <w:sz w:val="20"/>
              </w:rPr>
              <w:t>On-the-books</w:t>
            </w:r>
          </w:p>
        </w:tc>
      </w:tr>
      <w:tr w:rsidR="00C31389" w14:paraId="76983276" w14:textId="77777777">
        <w:trPr>
          <w:trHeight w:val="309"/>
        </w:trPr>
        <w:tc>
          <w:tcPr>
            <w:tcW w:w="1367" w:type="dxa"/>
            <w:tcBorders>
              <w:top w:val="single" w:color="D9D9D9" w:sz="2" w:space="0"/>
              <w:bottom w:val="single" w:color="D9D9D9" w:sz="2" w:space="0"/>
            </w:tcBorders>
          </w:tcPr>
          <w:p w:rsidR="00C31389" w:rsidRDefault="00561FBD" w14:paraId="548B072A"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749EA8E7" w14:textId="77777777">
            <w:pPr>
              <w:pStyle w:val="TableParagraph"/>
              <w:ind w:left="202"/>
              <w:rPr>
                <w:sz w:val="20"/>
              </w:rPr>
            </w:pPr>
            <w:r>
              <w:rPr>
                <w:sz w:val="20"/>
              </w:rPr>
              <w:t>2008</w:t>
            </w:r>
            <w:r>
              <w:rPr>
                <w:spacing w:val="-3"/>
                <w:sz w:val="20"/>
              </w:rPr>
              <w:t xml:space="preserve"> </w:t>
            </w:r>
            <w:r>
              <w:rPr>
                <w:sz w:val="20"/>
              </w:rPr>
              <w:t>T-24:</w:t>
            </w:r>
            <w:r>
              <w:rPr>
                <w:spacing w:val="-2"/>
                <w:sz w:val="20"/>
              </w:rPr>
              <w:t xml:space="preserve"> </w:t>
            </w:r>
            <w:r>
              <w:rPr>
                <w:sz w:val="20"/>
              </w:rPr>
              <w:t>DR</w:t>
            </w:r>
            <w:r>
              <w:rPr>
                <w:spacing w:val="-2"/>
                <w:sz w:val="20"/>
              </w:rPr>
              <w:t xml:space="preserve"> </w:t>
            </w:r>
            <w:r>
              <w:rPr>
                <w:sz w:val="20"/>
              </w:rPr>
              <w:t>Indoor</w:t>
            </w:r>
            <w:r>
              <w:rPr>
                <w:spacing w:val="-1"/>
                <w:sz w:val="20"/>
              </w:rPr>
              <w:t xml:space="preserve"> </w:t>
            </w:r>
            <w:r>
              <w:rPr>
                <w:spacing w:val="-2"/>
                <w:sz w:val="20"/>
              </w:rPr>
              <w:t>Lighting</w:t>
            </w:r>
          </w:p>
        </w:tc>
        <w:tc>
          <w:tcPr>
            <w:tcW w:w="1196" w:type="dxa"/>
            <w:tcBorders>
              <w:top w:val="single" w:color="D9D9D9" w:sz="2" w:space="0"/>
              <w:bottom w:val="single" w:color="D9D9D9" w:sz="2" w:space="0"/>
            </w:tcBorders>
          </w:tcPr>
          <w:p w:rsidR="00C31389" w:rsidRDefault="00561FBD" w14:paraId="05C28D2C" w14:textId="77777777">
            <w:pPr>
              <w:pStyle w:val="TableParagraph"/>
              <w:ind w:left="300"/>
              <w:rPr>
                <w:sz w:val="20"/>
              </w:rPr>
            </w:pPr>
            <w:r>
              <w:rPr>
                <w:spacing w:val="-4"/>
                <w:sz w:val="20"/>
              </w:rPr>
              <w:t>397%</w:t>
            </w:r>
          </w:p>
        </w:tc>
        <w:tc>
          <w:tcPr>
            <w:tcW w:w="1394" w:type="dxa"/>
            <w:tcBorders>
              <w:top w:val="single" w:color="D9D9D9" w:sz="2" w:space="0"/>
              <w:bottom w:val="single" w:color="D9D9D9" w:sz="2" w:space="0"/>
            </w:tcBorders>
          </w:tcPr>
          <w:p w:rsidR="00C31389" w:rsidRDefault="00561FBD" w14:paraId="13AE9027"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2ADCE05E" w14:textId="77777777">
            <w:pPr>
              <w:pStyle w:val="TableParagraph"/>
              <w:ind w:left="187" w:right="150"/>
              <w:jc w:val="center"/>
              <w:rPr>
                <w:sz w:val="20"/>
              </w:rPr>
            </w:pPr>
            <w:r>
              <w:rPr>
                <w:spacing w:val="-2"/>
                <w:sz w:val="20"/>
              </w:rPr>
              <w:t>On-the-books</w:t>
            </w:r>
          </w:p>
        </w:tc>
      </w:tr>
      <w:tr w:rsidR="00C31389" w14:paraId="3E31AB19" w14:textId="77777777">
        <w:trPr>
          <w:trHeight w:val="310"/>
        </w:trPr>
        <w:tc>
          <w:tcPr>
            <w:tcW w:w="1367" w:type="dxa"/>
            <w:tcBorders>
              <w:top w:val="single" w:color="D9D9D9" w:sz="2" w:space="0"/>
              <w:bottom w:val="single" w:color="D9D9D9" w:sz="2" w:space="0"/>
            </w:tcBorders>
          </w:tcPr>
          <w:p w:rsidR="00C31389" w:rsidRDefault="00561FBD" w14:paraId="47D4E189"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4CDD2A99" w14:textId="77777777">
            <w:pPr>
              <w:pStyle w:val="TableParagraph"/>
              <w:ind w:left="202"/>
              <w:rPr>
                <w:sz w:val="20"/>
              </w:rPr>
            </w:pPr>
            <w:r>
              <w:rPr>
                <w:sz w:val="20"/>
              </w:rPr>
              <w:t>2008</w:t>
            </w:r>
            <w:r>
              <w:rPr>
                <w:spacing w:val="-3"/>
                <w:sz w:val="20"/>
              </w:rPr>
              <w:t xml:space="preserve"> </w:t>
            </w:r>
            <w:r>
              <w:rPr>
                <w:sz w:val="20"/>
              </w:rPr>
              <w:t>T-24:</w:t>
            </w:r>
            <w:r>
              <w:rPr>
                <w:spacing w:val="-3"/>
                <w:sz w:val="20"/>
              </w:rPr>
              <w:t xml:space="preserve"> </w:t>
            </w:r>
            <w:r>
              <w:rPr>
                <w:sz w:val="20"/>
              </w:rPr>
              <w:t>Envelope</w:t>
            </w:r>
            <w:r>
              <w:rPr>
                <w:spacing w:val="-2"/>
                <w:sz w:val="20"/>
              </w:rPr>
              <w:t xml:space="preserve"> insulation</w:t>
            </w:r>
          </w:p>
        </w:tc>
        <w:tc>
          <w:tcPr>
            <w:tcW w:w="1196" w:type="dxa"/>
            <w:tcBorders>
              <w:top w:val="single" w:color="D9D9D9" w:sz="2" w:space="0"/>
              <w:bottom w:val="single" w:color="D9D9D9" w:sz="2" w:space="0"/>
            </w:tcBorders>
          </w:tcPr>
          <w:p w:rsidR="00C31389" w:rsidRDefault="00561FBD" w14:paraId="5BB803A6" w14:textId="77777777">
            <w:pPr>
              <w:pStyle w:val="TableParagraph"/>
              <w:ind w:left="300"/>
              <w:rPr>
                <w:sz w:val="20"/>
              </w:rPr>
            </w:pPr>
            <w:r>
              <w:rPr>
                <w:spacing w:val="-4"/>
                <w:sz w:val="20"/>
              </w:rPr>
              <w:t>123%</w:t>
            </w:r>
          </w:p>
        </w:tc>
        <w:tc>
          <w:tcPr>
            <w:tcW w:w="1394" w:type="dxa"/>
            <w:tcBorders>
              <w:top w:val="single" w:color="D9D9D9" w:sz="2" w:space="0"/>
              <w:bottom w:val="single" w:color="D9D9D9" w:sz="2" w:space="0"/>
            </w:tcBorders>
          </w:tcPr>
          <w:p w:rsidR="00C31389" w:rsidRDefault="00561FBD" w14:paraId="3D70EFDD"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30AED517" w14:textId="77777777">
            <w:pPr>
              <w:pStyle w:val="TableParagraph"/>
              <w:ind w:left="187" w:right="150"/>
              <w:jc w:val="center"/>
              <w:rPr>
                <w:sz w:val="20"/>
              </w:rPr>
            </w:pPr>
            <w:r>
              <w:rPr>
                <w:spacing w:val="-2"/>
                <w:sz w:val="20"/>
              </w:rPr>
              <w:t>On-the-books</w:t>
            </w:r>
          </w:p>
        </w:tc>
      </w:tr>
      <w:tr w:rsidR="00C31389" w14:paraId="781A8DCD" w14:textId="77777777">
        <w:trPr>
          <w:trHeight w:val="309"/>
        </w:trPr>
        <w:tc>
          <w:tcPr>
            <w:tcW w:w="1367" w:type="dxa"/>
            <w:tcBorders>
              <w:top w:val="single" w:color="D9D9D9" w:sz="2" w:space="0"/>
              <w:bottom w:val="single" w:color="D9D9D9" w:sz="2" w:space="0"/>
            </w:tcBorders>
          </w:tcPr>
          <w:p w:rsidR="00C31389" w:rsidRDefault="00561FBD" w14:paraId="127DAC76"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7A4DDE31" w14:textId="77777777">
            <w:pPr>
              <w:pStyle w:val="TableParagraph"/>
              <w:ind w:left="202"/>
              <w:rPr>
                <w:sz w:val="20"/>
              </w:rPr>
            </w:pPr>
            <w:r>
              <w:rPr>
                <w:sz w:val="20"/>
              </w:rPr>
              <w:t>2008</w:t>
            </w:r>
            <w:r>
              <w:rPr>
                <w:spacing w:val="-3"/>
                <w:sz w:val="20"/>
              </w:rPr>
              <w:t xml:space="preserve"> </w:t>
            </w:r>
            <w:r>
              <w:rPr>
                <w:sz w:val="20"/>
              </w:rPr>
              <w:t>T-24:</w:t>
            </w:r>
            <w:r>
              <w:rPr>
                <w:spacing w:val="-3"/>
                <w:sz w:val="20"/>
              </w:rPr>
              <w:t xml:space="preserve"> </w:t>
            </w:r>
            <w:r>
              <w:rPr>
                <w:sz w:val="20"/>
              </w:rPr>
              <w:t>Outdoor</w:t>
            </w:r>
            <w:r>
              <w:rPr>
                <w:spacing w:val="-1"/>
                <w:sz w:val="20"/>
              </w:rPr>
              <w:t xml:space="preserve"> </w:t>
            </w:r>
            <w:r>
              <w:rPr>
                <w:spacing w:val="-2"/>
                <w:sz w:val="20"/>
              </w:rPr>
              <w:t>Lighting</w:t>
            </w:r>
          </w:p>
        </w:tc>
        <w:tc>
          <w:tcPr>
            <w:tcW w:w="1196" w:type="dxa"/>
            <w:tcBorders>
              <w:top w:val="single" w:color="D9D9D9" w:sz="2" w:space="0"/>
              <w:bottom w:val="single" w:color="D9D9D9" w:sz="2" w:space="0"/>
            </w:tcBorders>
          </w:tcPr>
          <w:p w:rsidR="00C31389" w:rsidRDefault="00561FBD" w14:paraId="1851E7E7" w14:textId="77777777">
            <w:pPr>
              <w:pStyle w:val="TableParagraph"/>
              <w:ind w:left="355"/>
              <w:rPr>
                <w:sz w:val="20"/>
              </w:rPr>
            </w:pPr>
            <w:r>
              <w:rPr>
                <w:spacing w:val="-5"/>
                <w:sz w:val="20"/>
              </w:rPr>
              <w:t>83%</w:t>
            </w:r>
          </w:p>
        </w:tc>
        <w:tc>
          <w:tcPr>
            <w:tcW w:w="1394" w:type="dxa"/>
            <w:tcBorders>
              <w:top w:val="single" w:color="D9D9D9" w:sz="2" w:space="0"/>
              <w:bottom w:val="single" w:color="D9D9D9" w:sz="2" w:space="0"/>
            </w:tcBorders>
          </w:tcPr>
          <w:p w:rsidR="00C31389" w:rsidRDefault="00561FBD" w14:paraId="193A4430" w14:textId="77777777">
            <w:pPr>
              <w:pStyle w:val="TableParagraph"/>
              <w:ind w:right="245"/>
              <w:jc w:val="right"/>
              <w:rPr>
                <w:sz w:val="20"/>
              </w:rPr>
            </w:pPr>
            <w:r>
              <w:rPr>
                <w:spacing w:val="-2"/>
                <w:sz w:val="20"/>
              </w:rPr>
              <w:t>9/1/2010</w:t>
            </w:r>
          </w:p>
        </w:tc>
        <w:tc>
          <w:tcPr>
            <w:tcW w:w="1565" w:type="dxa"/>
            <w:tcBorders>
              <w:top w:val="single" w:color="D9D9D9" w:sz="2" w:space="0"/>
              <w:bottom w:val="single" w:color="D9D9D9" w:sz="2" w:space="0"/>
            </w:tcBorders>
          </w:tcPr>
          <w:p w:rsidR="00C31389" w:rsidRDefault="00561FBD" w14:paraId="6B56B2E9" w14:textId="77777777">
            <w:pPr>
              <w:pStyle w:val="TableParagraph"/>
              <w:ind w:left="187" w:right="150"/>
              <w:jc w:val="center"/>
              <w:rPr>
                <w:sz w:val="20"/>
              </w:rPr>
            </w:pPr>
            <w:r>
              <w:rPr>
                <w:spacing w:val="-2"/>
                <w:sz w:val="20"/>
              </w:rPr>
              <w:t>On-the-books</w:t>
            </w:r>
          </w:p>
        </w:tc>
      </w:tr>
      <w:tr w:rsidR="00C31389" w14:paraId="5D816D31" w14:textId="77777777">
        <w:trPr>
          <w:trHeight w:val="310"/>
        </w:trPr>
        <w:tc>
          <w:tcPr>
            <w:tcW w:w="1367" w:type="dxa"/>
            <w:tcBorders>
              <w:top w:val="single" w:color="D9D9D9" w:sz="2" w:space="0"/>
              <w:bottom w:val="single" w:color="D9D9D9" w:sz="2" w:space="0"/>
            </w:tcBorders>
          </w:tcPr>
          <w:p w:rsidR="00C31389" w:rsidRDefault="00561FBD" w14:paraId="2DBEE6BD"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0FA69E7B" w14:textId="77777777">
            <w:pPr>
              <w:pStyle w:val="TableParagraph"/>
              <w:ind w:left="202"/>
              <w:rPr>
                <w:sz w:val="20"/>
              </w:rPr>
            </w:pPr>
            <w:r>
              <w:rPr>
                <w:sz w:val="20"/>
              </w:rPr>
              <w:t>2008</w:t>
            </w:r>
            <w:r>
              <w:rPr>
                <w:spacing w:val="-3"/>
                <w:sz w:val="20"/>
              </w:rPr>
              <w:t xml:space="preserve"> </w:t>
            </w:r>
            <w:r>
              <w:rPr>
                <w:sz w:val="20"/>
              </w:rPr>
              <w:t>T-24:</w:t>
            </w:r>
            <w:r>
              <w:rPr>
                <w:spacing w:val="-3"/>
                <w:sz w:val="20"/>
              </w:rPr>
              <w:t xml:space="preserve"> </w:t>
            </w:r>
            <w:r>
              <w:rPr>
                <w:sz w:val="20"/>
              </w:rPr>
              <w:t>Outdoor</w:t>
            </w:r>
            <w:r>
              <w:rPr>
                <w:spacing w:val="-2"/>
                <w:sz w:val="20"/>
              </w:rPr>
              <w:t xml:space="preserve"> Signs</w:t>
            </w:r>
          </w:p>
        </w:tc>
        <w:tc>
          <w:tcPr>
            <w:tcW w:w="1196" w:type="dxa"/>
            <w:tcBorders>
              <w:top w:val="single" w:color="D9D9D9" w:sz="2" w:space="0"/>
              <w:bottom w:val="single" w:color="D9D9D9" w:sz="2" w:space="0"/>
            </w:tcBorders>
          </w:tcPr>
          <w:p w:rsidR="00C31389" w:rsidRDefault="00561FBD" w14:paraId="061A828B" w14:textId="77777777">
            <w:pPr>
              <w:pStyle w:val="TableParagraph"/>
              <w:ind w:left="356"/>
              <w:rPr>
                <w:sz w:val="20"/>
              </w:rPr>
            </w:pPr>
            <w:r>
              <w:rPr>
                <w:spacing w:val="-5"/>
                <w:sz w:val="20"/>
              </w:rPr>
              <w:t>83%</w:t>
            </w:r>
          </w:p>
        </w:tc>
        <w:tc>
          <w:tcPr>
            <w:tcW w:w="1394" w:type="dxa"/>
            <w:tcBorders>
              <w:top w:val="single" w:color="D9D9D9" w:sz="2" w:space="0"/>
              <w:bottom w:val="single" w:color="D9D9D9" w:sz="2" w:space="0"/>
            </w:tcBorders>
          </w:tcPr>
          <w:p w:rsidR="00C31389" w:rsidRDefault="00561FBD" w14:paraId="420EC844"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4C25B444" w14:textId="77777777">
            <w:pPr>
              <w:pStyle w:val="TableParagraph"/>
              <w:ind w:left="187" w:right="150"/>
              <w:jc w:val="center"/>
              <w:rPr>
                <w:sz w:val="20"/>
              </w:rPr>
            </w:pPr>
            <w:r>
              <w:rPr>
                <w:spacing w:val="-2"/>
                <w:sz w:val="20"/>
              </w:rPr>
              <w:t>On-the-books</w:t>
            </w:r>
          </w:p>
        </w:tc>
      </w:tr>
      <w:tr w:rsidR="00C31389" w14:paraId="0209410B" w14:textId="77777777">
        <w:trPr>
          <w:trHeight w:val="309"/>
        </w:trPr>
        <w:tc>
          <w:tcPr>
            <w:tcW w:w="1367" w:type="dxa"/>
            <w:tcBorders>
              <w:top w:val="single" w:color="D9D9D9" w:sz="2" w:space="0"/>
              <w:bottom w:val="single" w:color="D9D9D9" w:sz="2" w:space="0"/>
            </w:tcBorders>
          </w:tcPr>
          <w:p w:rsidR="00C31389" w:rsidRDefault="00561FBD" w14:paraId="4946DE7F"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3ED284FB" w14:textId="77777777">
            <w:pPr>
              <w:pStyle w:val="TableParagraph"/>
              <w:ind w:left="202"/>
              <w:rPr>
                <w:sz w:val="20"/>
              </w:rPr>
            </w:pPr>
            <w:r>
              <w:rPr>
                <w:sz w:val="20"/>
              </w:rPr>
              <w:t>2008</w:t>
            </w:r>
            <w:r>
              <w:rPr>
                <w:spacing w:val="-4"/>
                <w:sz w:val="20"/>
              </w:rPr>
              <w:t xml:space="preserve"> </w:t>
            </w:r>
            <w:r>
              <w:rPr>
                <w:sz w:val="20"/>
              </w:rPr>
              <w:t>T-24:</w:t>
            </w:r>
            <w:r>
              <w:rPr>
                <w:spacing w:val="-4"/>
                <w:sz w:val="20"/>
              </w:rPr>
              <w:t xml:space="preserve"> </w:t>
            </w:r>
            <w:r>
              <w:rPr>
                <w:sz w:val="20"/>
              </w:rPr>
              <w:t>Overall</w:t>
            </w:r>
            <w:r>
              <w:rPr>
                <w:spacing w:val="-4"/>
                <w:sz w:val="20"/>
              </w:rPr>
              <w:t xml:space="preserve"> </w:t>
            </w:r>
            <w:r>
              <w:rPr>
                <w:sz w:val="20"/>
              </w:rPr>
              <w:t>Envelope</w:t>
            </w:r>
            <w:r>
              <w:rPr>
                <w:spacing w:val="-3"/>
                <w:sz w:val="20"/>
              </w:rPr>
              <w:t xml:space="preserve"> </w:t>
            </w:r>
            <w:r>
              <w:rPr>
                <w:spacing w:val="-2"/>
                <w:sz w:val="20"/>
              </w:rPr>
              <w:t>Tradeoff</w:t>
            </w:r>
          </w:p>
        </w:tc>
        <w:tc>
          <w:tcPr>
            <w:tcW w:w="1196" w:type="dxa"/>
            <w:tcBorders>
              <w:top w:val="single" w:color="D9D9D9" w:sz="2" w:space="0"/>
              <w:bottom w:val="single" w:color="D9D9D9" w:sz="2" w:space="0"/>
            </w:tcBorders>
          </w:tcPr>
          <w:p w:rsidR="00C31389" w:rsidRDefault="00561FBD" w14:paraId="2D4458AB" w14:textId="77777777">
            <w:pPr>
              <w:pStyle w:val="TableParagraph"/>
              <w:ind w:left="300"/>
              <w:rPr>
                <w:sz w:val="20"/>
              </w:rPr>
            </w:pPr>
            <w:r>
              <w:rPr>
                <w:spacing w:val="-4"/>
                <w:sz w:val="20"/>
              </w:rPr>
              <w:t>397%</w:t>
            </w:r>
          </w:p>
        </w:tc>
        <w:tc>
          <w:tcPr>
            <w:tcW w:w="1394" w:type="dxa"/>
            <w:tcBorders>
              <w:top w:val="single" w:color="D9D9D9" w:sz="2" w:space="0"/>
              <w:bottom w:val="single" w:color="D9D9D9" w:sz="2" w:space="0"/>
            </w:tcBorders>
          </w:tcPr>
          <w:p w:rsidR="00C31389" w:rsidRDefault="00561FBD" w14:paraId="320A568A"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51A6AB5F" w14:textId="77777777">
            <w:pPr>
              <w:pStyle w:val="TableParagraph"/>
              <w:ind w:left="187" w:right="150"/>
              <w:jc w:val="center"/>
              <w:rPr>
                <w:sz w:val="20"/>
              </w:rPr>
            </w:pPr>
            <w:r>
              <w:rPr>
                <w:spacing w:val="-2"/>
                <w:sz w:val="20"/>
              </w:rPr>
              <w:t>On-the-books</w:t>
            </w:r>
          </w:p>
        </w:tc>
      </w:tr>
      <w:tr w:rsidR="00C31389" w14:paraId="2D440E45" w14:textId="77777777">
        <w:trPr>
          <w:trHeight w:val="310"/>
        </w:trPr>
        <w:tc>
          <w:tcPr>
            <w:tcW w:w="1367" w:type="dxa"/>
            <w:tcBorders>
              <w:top w:val="single" w:color="D9D9D9" w:sz="2" w:space="0"/>
              <w:bottom w:val="single" w:color="D9D9D9" w:sz="2" w:space="0"/>
            </w:tcBorders>
          </w:tcPr>
          <w:p w:rsidR="00C31389" w:rsidRDefault="00561FBD" w14:paraId="3810FB31"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7E81697B" w14:textId="77777777">
            <w:pPr>
              <w:pStyle w:val="TableParagraph"/>
              <w:ind w:left="202"/>
              <w:rPr>
                <w:sz w:val="20"/>
              </w:rPr>
            </w:pPr>
            <w:r>
              <w:rPr>
                <w:sz w:val="20"/>
              </w:rPr>
              <w:t>2008</w:t>
            </w:r>
            <w:r>
              <w:rPr>
                <w:spacing w:val="-4"/>
                <w:sz w:val="20"/>
              </w:rPr>
              <w:t xml:space="preserve"> </w:t>
            </w:r>
            <w:r>
              <w:rPr>
                <w:sz w:val="20"/>
              </w:rPr>
              <w:t>T-24:</w:t>
            </w:r>
            <w:r>
              <w:rPr>
                <w:spacing w:val="-4"/>
                <w:sz w:val="20"/>
              </w:rPr>
              <w:t xml:space="preserve"> </w:t>
            </w:r>
            <w:r>
              <w:rPr>
                <w:sz w:val="20"/>
              </w:rPr>
              <w:t>Refrigerated</w:t>
            </w:r>
            <w:r>
              <w:rPr>
                <w:spacing w:val="-4"/>
                <w:sz w:val="20"/>
              </w:rPr>
              <w:t xml:space="preserve"> </w:t>
            </w:r>
            <w:r>
              <w:rPr>
                <w:spacing w:val="-2"/>
                <w:sz w:val="20"/>
              </w:rPr>
              <w:t>warehouses</w:t>
            </w:r>
          </w:p>
        </w:tc>
        <w:tc>
          <w:tcPr>
            <w:tcW w:w="1196" w:type="dxa"/>
            <w:tcBorders>
              <w:top w:val="single" w:color="D9D9D9" w:sz="2" w:space="0"/>
              <w:bottom w:val="single" w:color="D9D9D9" w:sz="2" w:space="0"/>
            </w:tcBorders>
          </w:tcPr>
          <w:p w:rsidR="00C31389" w:rsidRDefault="00561FBD" w14:paraId="45B88CFE" w14:textId="77777777">
            <w:pPr>
              <w:pStyle w:val="TableParagraph"/>
              <w:ind w:left="356"/>
              <w:rPr>
                <w:sz w:val="20"/>
              </w:rPr>
            </w:pPr>
            <w:r>
              <w:rPr>
                <w:spacing w:val="-5"/>
                <w:sz w:val="20"/>
              </w:rPr>
              <w:t>83%</w:t>
            </w:r>
          </w:p>
        </w:tc>
        <w:tc>
          <w:tcPr>
            <w:tcW w:w="1394" w:type="dxa"/>
            <w:tcBorders>
              <w:top w:val="single" w:color="D9D9D9" w:sz="2" w:space="0"/>
              <w:bottom w:val="single" w:color="D9D9D9" w:sz="2" w:space="0"/>
            </w:tcBorders>
          </w:tcPr>
          <w:p w:rsidR="00C31389" w:rsidRDefault="00561FBD" w14:paraId="5405C91C"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7D011308" w14:textId="77777777">
            <w:pPr>
              <w:pStyle w:val="TableParagraph"/>
              <w:ind w:left="187" w:right="150"/>
              <w:jc w:val="center"/>
              <w:rPr>
                <w:sz w:val="20"/>
              </w:rPr>
            </w:pPr>
            <w:r>
              <w:rPr>
                <w:spacing w:val="-2"/>
                <w:sz w:val="20"/>
              </w:rPr>
              <w:t>On-the-books</w:t>
            </w:r>
          </w:p>
        </w:tc>
      </w:tr>
      <w:tr w:rsidR="00C31389" w14:paraId="1ED3FF7C" w14:textId="77777777">
        <w:trPr>
          <w:trHeight w:val="309"/>
        </w:trPr>
        <w:tc>
          <w:tcPr>
            <w:tcW w:w="1367" w:type="dxa"/>
            <w:tcBorders>
              <w:top w:val="single" w:color="D9D9D9" w:sz="2" w:space="0"/>
              <w:bottom w:val="single" w:color="D9D9D9" w:sz="2" w:space="0"/>
            </w:tcBorders>
          </w:tcPr>
          <w:p w:rsidR="00C31389" w:rsidRDefault="00561FBD" w14:paraId="26E44A5B"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1F053E02" w14:textId="77777777">
            <w:pPr>
              <w:pStyle w:val="TableParagraph"/>
              <w:ind w:left="202"/>
              <w:rPr>
                <w:sz w:val="20"/>
              </w:rPr>
            </w:pPr>
            <w:r>
              <w:rPr>
                <w:sz w:val="20"/>
              </w:rPr>
              <w:t>2008</w:t>
            </w:r>
            <w:r>
              <w:rPr>
                <w:spacing w:val="-2"/>
                <w:sz w:val="20"/>
              </w:rPr>
              <w:t xml:space="preserve"> </w:t>
            </w:r>
            <w:r>
              <w:rPr>
                <w:sz w:val="20"/>
              </w:rPr>
              <w:t>T-24:</w:t>
            </w:r>
            <w:r>
              <w:rPr>
                <w:spacing w:val="-2"/>
                <w:sz w:val="20"/>
              </w:rPr>
              <w:t xml:space="preserve"> Sidelighting</w:t>
            </w:r>
          </w:p>
        </w:tc>
        <w:tc>
          <w:tcPr>
            <w:tcW w:w="1196" w:type="dxa"/>
            <w:tcBorders>
              <w:top w:val="single" w:color="D9D9D9" w:sz="2" w:space="0"/>
              <w:bottom w:val="single" w:color="D9D9D9" w:sz="2" w:space="0"/>
            </w:tcBorders>
          </w:tcPr>
          <w:p w:rsidR="00C31389" w:rsidRDefault="00561FBD" w14:paraId="27288801" w14:textId="77777777">
            <w:pPr>
              <w:pStyle w:val="TableParagraph"/>
              <w:ind w:left="300"/>
              <w:rPr>
                <w:sz w:val="20"/>
              </w:rPr>
            </w:pPr>
            <w:r>
              <w:rPr>
                <w:spacing w:val="-4"/>
                <w:sz w:val="20"/>
              </w:rPr>
              <w:t>397%</w:t>
            </w:r>
          </w:p>
        </w:tc>
        <w:tc>
          <w:tcPr>
            <w:tcW w:w="1394" w:type="dxa"/>
            <w:tcBorders>
              <w:top w:val="single" w:color="D9D9D9" w:sz="2" w:space="0"/>
              <w:bottom w:val="single" w:color="D9D9D9" w:sz="2" w:space="0"/>
            </w:tcBorders>
          </w:tcPr>
          <w:p w:rsidR="00C31389" w:rsidRDefault="00561FBD" w14:paraId="58F64775"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7B203D13" w14:textId="77777777">
            <w:pPr>
              <w:pStyle w:val="TableParagraph"/>
              <w:ind w:left="187" w:right="150"/>
              <w:jc w:val="center"/>
              <w:rPr>
                <w:sz w:val="20"/>
              </w:rPr>
            </w:pPr>
            <w:r>
              <w:rPr>
                <w:spacing w:val="-2"/>
                <w:sz w:val="20"/>
              </w:rPr>
              <w:t>On-the-books</w:t>
            </w:r>
          </w:p>
        </w:tc>
      </w:tr>
      <w:tr w:rsidR="00C31389" w14:paraId="386DE77A" w14:textId="77777777">
        <w:trPr>
          <w:trHeight w:val="309"/>
        </w:trPr>
        <w:tc>
          <w:tcPr>
            <w:tcW w:w="1367" w:type="dxa"/>
            <w:tcBorders>
              <w:top w:val="single" w:color="D9D9D9" w:sz="2" w:space="0"/>
              <w:bottom w:val="single" w:color="D9D9D9" w:sz="2" w:space="0"/>
            </w:tcBorders>
          </w:tcPr>
          <w:p w:rsidR="00C31389" w:rsidRDefault="00561FBD" w14:paraId="45FCFC02"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155CA8E7" w14:textId="77777777">
            <w:pPr>
              <w:pStyle w:val="TableParagraph"/>
              <w:ind w:left="202"/>
              <w:rPr>
                <w:sz w:val="20"/>
              </w:rPr>
            </w:pPr>
            <w:r>
              <w:rPr>
                <w:sz w:val="20"/>
              </w:rPr>
              <w:t>2008</w:t>
            </w:r>
            <w:r>
              <w:rPr>
                <w:spacing w:val="-3"/>
                <w:sz w:val="20"/>
              </w:rPr>
              <w:t xml:space="preserve"> </w:t>
            </w:r>
            <w:r>
              <w:rPr>
                <w:sz w:val="20"/>
              </w:rPr>
              <w:t>T-24:</w:t>
            </w:r>
            <w:r>
              <w:rPr>
                <w:spacing w:val="-3"/>
                <w:sz w:val="20"/>
              </w:rPr>
              <w:t xml:space="preserve"> </w:t>
            </w:r>
            <w:r>
              <w:rPr>
                <w:sz w:val="20"/>
              </w:rPr>
              <w:t>Site</w:t>
            </w:r>
            <w:r>
              <w:rPr>
                <w:spacing w:val="-3"/>
                <w:sz w:val="20"/>
              </w:rPr>
              <w:t xml:space="preserve"> </w:t>
            </w:r>
            <w:r>
              <w:rPr>
                <w:sz w:val="20"/>
              </w:rPr>
              <w:t>Built</w:t>
            </w:r>
            <w:r>
              <w:rPr>
                <w:spacing w:val="-3"/>
                <w:sz w:val="20"/>
              </w:rPr>
              <w:t xml:space="preserve"> </w:t>
            </w:r>
            <w:r>
              <w:rPr>
                <w:spacing w:val="-2"/>
                <w:sz w:val="20"/>
              </w:rPr>
              <w:t>Fenestration</w:t>
            </w:r>
          </w:p>
        </w:tc>
        <w:tc>
          <w:tcPr>
            <w:tcW w:w="1196" w:type="dxa"/>
            <w:tcBorders>
              <w:top w:val="single" w:color="D9D9D9" w:sz="2" w:space="0"/>
              <w:bottom w:val="single" w:color="D9D9D9" w:sz="2" w:space="0"/>
            </w:tcBorders>
          </w:tcPr>
          <w:p w:rsidR="00C31389" w:rsidRDefault="00561FBD" w14:paraId="1EC86708" w14:textId="77777777">
            <w:pPr>
              <w:pStyle w:val="TableParagraph"/>
              <w:ind w:left="355"/>
              <w:rPr>
                <w:sz w:val="20"/>
              </w:rPr>
            </w:pPr>
            <w:r>
              <w:rPr>
                <w:spacing w:val="-5"/>
                <w:sz w:val="20"/>
              </w:rPr>
              <w:t>83%</w:t>
            </w:r>
          </w:p>
        </w:tc>
        <w:tc>
          <w:tcPr>
            <w:tcW w:w="1394" w:type="dxa"/>
            <w:tcBorders>
              <w:top w:val="single" w:color="D9D9D9" w:sz="2" w:space="0"/>
              <w:bottom w:val="single" w:color="D9D9D9" w:sz="2" w:space="0"/>
            </w:tcBorders>
          </w:tcPr>
          <w:p w:rsidR="00C31389" w:rsidRDefault="00561FBD" w14:paraId="092571D4" w14:textId="77777777">
            <w:pPr>
              <w:pStyle w:val="TableParagraph"/>
              <w:ind w:right="245"/>
              <w:jc w:val="right"/>
              <w:rPr>
                <w:sz w:val="20"/>
              </w:rPr>
            </w:pPr>
            <w:r>
              <w:rPr>
                <w:spacing w:val="-2"/>
                <w:sz w:val="20"/>
              </w:rPr>
              <w:t>7/1/2010</w:t>
            </w:r>
          </w:p>
        </w:tc>
        <w:tc>
          <w:tcPr>
            <w:tcW w:w="1565" w:type="dxa"/>
            <w:tcBorders>
              <w:top w:val="single" w:color="D9D9D9" w:sz="2" w:space="0"/>
              <w:bottom w:val="single" w:color="D9D9D9" w:sz="2" w:space="0"/>
            </w:tcBorders>
          </w:tcPr>
          <w:p w:rsidR="00C31389" w:rsidRDefault="00561FBD" w14:paraId="7C8C9646" w14:textId="77777777">
            <w:pPr>
              <w:pStyle w:val="TableParagraph"/>
              <w:ind w:left="187" w:right="150"/>
              <w:jc w:val="center"/>
              <w:rPr>
                <w:sz w:val="20"/>
              </w:rPr>
            </w:pPr>
            <w:r>
              <w:rPr>
                <w:spacing w:val="-2"/>
                <w:sz w:val="20"/>
              </w:rPr>
              <w:t>On-the-books</w:t>
            </w:r>
          </w:p>
        </w:tc>
      </w:tr>
      <w:tr w:rsidR="00C31389" w14:paraId="20C577D0" w14:textId="77777777">
        <w:trPr>
          <w:trHeight w:val="310"/>
        </w:trPr>
        <w:tc>
          <w:tcPr>
            <w:tcW w:w="1367" w:type="dxa"/>
            <w:tcBorders>
              <w:top w:val="single" w:color="D9D9D9" w:sz="2" w:space="0"/>
              <w:bottom w:val="single" w:color="D9D9D9" w:sz="2" w:space="0"/>
            </w:tcBorders>
          </w:tcPr>
          <w:p w:rsidR="00C31389" w:rsidRDefault="00561FBD" w14:paraId="6B560A76" w14:textId="77777777">
            <w:pPr>
              <w:pStyle w:val="TableParagraph"/>
              <w:spacing w:before="41"/>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5EDC3438" w14:textId="77777777">
            <w:pPr>
              <w:pStyle w:val="TableParagraph"/>
              <w:spacing w:before="41"/>
              <w:ind w:left="202"/>
              <w:rPr>
                <w:sz w:val="20"/>
              </w:rPr>
            </w:pPr>
            <w:r>
              <w:rPr>
                <w:sz w:val="20"/>
              </w:rPr>
              <w:t>2008</w:t>
            </w:r>
            <w:r>
              <w:rPr>
                <w:spacing w:val="-2"/>
                <w:sz w:val="20"/>
              </w:rPr>
              <w:t xml:space="preserve"> </w:t>
            </w:r>
            <w:r>
              <w:rPr>
                <w:sz w:val="20"/>
              </w:rPr>
              <w:t>T-24:</w:t>
            </w:r>
            <w:r>
              <w:rPr>
                <w:spacing w:val="-2"/>
                <w:sz w:val="20"/>
              </w:rPr>
              <w:t xml:space="preserve"> Skylighting</w:t>
            </w:r>
          </w:p>
        </w:tc>
        <w:tc>
          <w:tcPr>
            <w:tcW w:w="1196" w:type="dxa"/>
            <w:tcBorders>
              <w:top w:val="single" w:color="D9D9D9" w:sz="2" w:space="0"/>
              <w:bottom w:val="single" w:color="D9D9D9" w:sz="2" w:space="0"/>
            </w:tcBorders>
          </w:tcPr>
          <w:p w:rsidR="00C31389" w:rsidRDefault="00561FBD" w14:paraId="40CC4327" w14:textId="77777777">
            <w:pPr>
              <w:pStyle w:val="TableParagraph"/>
              <w:spacing w:before="41"/>
              <w:ind w:left="300"/>
              <w:rPr>
                <w:sz w:val="20"/>
              </w:rPr>
            </w:pPr>
            <w:r>
              <w:rPr>
                <w:spacing w:val="-4"/>
                <w:sz w:val="20"/>
              </w:rPr>
              <w:t>397%</w:t>
            </w:r>
          </w:p>
        </w:tc>
        <w:tc>
          <w:tcPr>
            <w:tcW w:w="1394" w:type="dxa"/>
            <w:tcBorders>
              <w:top w:val="single" w:color="D9D9D9" w:sz="2" w:space="0"/>
              <w:bottom w:val="single" w:color="D9D9D9" w:sz="2" w:space="0"/>
            </w:tcBorders>
          </w:tcPr>
          <w:p w:rsidR="00C31389" w:rsidRDefault="00561FBD" w14:paraId="7738FDD7" w14:textId="77777777">
            <w:pPr>
              <w:pStyle w:val="TableParagraph"/>
              <w:spacing w:before="41"/>
              <w:ind w:right="245"/>
              <w:jc w:val="right"/>
              <w:rPr>
                <w:sz w:val="20"/>
              </w:rPr>
            </w:pPr>
            <w:r>
              <w:rPr>
                <w:spacing w:val="-2"/>
                <w:sz w:val="20"/>
              </w:rPr>
              <w:t>7/1/2010</w:t>
            </w:r>
          </w:p>
        </w:tc>
        <w:tc>
          <w:tcPr>
            <w:tcW w:w="1565" w:type="dxa"/>
            <w:tcBorders>
              <w:top w:val="single" w:color="D9D9D9" w:sz="2" w:space="0"/>
              <w:bottom w:val="single" w:color="D9D9D9" w:sz="2" w:space="0"/>
            </w:tcBorders>
          </w:tcPr>
          <w:p w:rsidR="00C31389" w:rsidRDefault="00561FBD" w14:paraId="606F16AB" w14:textId="77777777">
            <w:pPr>
              <w:pStyle w:val="TableParagraph"/>
              <w:spacing w:before="41"/>
              <w:ind w:left="187" w:right="150"/>
              <w:jc w:val="center"/>
              <w:rPr>
                <w:sz w:val="20"/>
              </w:rPr>
            </w:pPr>
            <w:r>
              <w:rPr>
                <w:spacing w:val="-2"/>
                <w:sz w:val="20"/>
              </w:rPr>
              <w:t>On-the-books</w:t>
            </w:r>
          </w:p>
        </w:tc>
      </w:tr>
      <w:tr w:rsidR="00C31389" w14:paraId="35381EF6" w14:textId="77777777">
        <w:trPr>
          <w:trHeight w:val="309"/>
        </w:trPr>
        <w:tc>
          <w:tcPr>
            <w:tcW w:w="1367" w:type="dxa"/>
            <w:tcBorders>
              <w:top w:val="single" w:color="D9D9D9" w:sz="2" w:space="0"/>
              <w:bottom w:val="single" w:color="D9D9D9" w:sz="2" w:space="0"/>
            </w:tcBorders>
          </w:tcPr>
          <w:p w:rsidR="00C31389" w:rsidRDefault="00561FBD" w14:paraId="52922A4C" w14:textId="77777777">
            <w:pPr>
              <w:pStyle w:val="TableParagraph"/>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4C6D873E" w14:textId="77777777">
            <w:pPr>
              <w:pStyle w:val="TableParagraph"/>
              <w:ind w:left="202"/>
              <w:rPr>
                <w:sz w:val="20"/>
              </w:rPr>
            </w:pPr>
            <w:r>
              <w:rPr>
                <w:sz w:val="20"/>
              </w:rPr>
              <w:t>2008</w:t>
            </w:r>
            <w:r>
              <w:rPr>
                <w:spacing w:val="-4"/>
                <w:sz w:val="20"/>
              </w:rPr>
              <w:t xml:space="preserve"> </w:t>
            </w:r>
            <w:r>
              <w:rPr>
                <w:sz w:val="20"/>
              </w:rPr>
              <w:t>T-24:</w:t>
            </w:r>
            <w:r>
              <w:rPr>
                <w:spacing w:val="-4"/>
                <w:sz w:val="20"/>
              </w:rPr>
              <w:t xml:space="preserve"> </w:t>
            </w:r>
            <w:r>
              <w:rPr>
                <w:sz w:val="20"/>
              </w:rPr>
              <w:t>Tailored</w:t>
            </w:r>
            <w:r>
              <w:rPr>
                <w:spacing w:val="-4"/>
                <w:sz w:val="20"/>
              </w:rPr>
              <w:t xml:space="preserve"> </w:t>
            </w:r>
            <w:r>
              <w:rPr>
                <w:sz w:val="20"/>
              </w:rPr>
              <w:t>Indoor</w:t>
            </w:r>
            <w:r>
              <w:rPr>
                <w:spacing w:val="-4"/>
                <w:sz w:val="20"/>
              </w:rPr>
              <w:t xml:space="preserve"> </w:t>
            </w:r>
            <w:r>
              <w:rPr>
                <w:spacing w:val="-2"/>
                <w:sz w:val="20"/>
              </w:rPr>
              <w:t>lighting</w:t>
            </w:r>
          </w:p>
        </w:tc>
        <w:tc>
          <w:tcPr>
            <w:tcW w:w="1196" w:type="dxa"/>
            <w:tcBorders>
              <w:top w:val="single" w:color="D9D9D9" w:sz="2" w:space="0"/>
              <w:bottom w:val="single" w:color="D9D9D9" w:sz="2" w:space="0"/>
            </w:tcBorders>
          </w:tcPr>
          <w:p w:rsidR="00C31389" w:rsidRDefault="00561FBD" w14:paraId="20EA2300" w14:textId="77777777">
            <w:pPr>
              <w:pStyle w:val="TableParagraph"/>
              <w:ind w:left="300"/>
              <w:rPr>
                <w:sz w:val="20"/>
              </w:rPr>
            </w:pPr>
            <w:r>
              <w:rPr>
                <w:spacing w:val="-4"/>
                <w:sz w:val="20"/>
              </w:rPr>
              <w:t>573%</w:t>
            </w:r>
          </w:p>
        </w:tc>
        <w:tc>
          <w:tcPr>
            <w:tcW w:w="1394" w:type="dxa"/>
            <w:tcBorders>
              <w:top w:val="single" w:color="D9D9D9" w:sz="2" w:space="0"/>
              <w:bottom w:val="single" w:color="D9D9D9" w:sz="2" w:space="0"/>
            </w:tcBorders>
          </w:tcPr>
          <w:p w:rsidR="00C31389" w:rsidRDefault="00561FBD" w14:paraId="514D89CC"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26AC25F0" w14:textId="77777777">
            <w:pPr>
              <w:pStyle w:val="TableParagraph"/>
              <w:ind w:left="187" w:right="150"/>
              <w:jc w:val="center"/>
              <w:rPr>
                <w:sz w:val="20"/>
              </w:rPr>
            </w:pPr>
            <w:r>
              <w:rPr>
                <w:spacing w:val="-2"/>
                <w:sz w:val="20"/>
              </w:rPr>
              <w:t>On-the-books</w:t>
            </w:r>
          </w:p>
        </w:tc>
      </w:tr>
      <w:tr w:rsidR="00C31389" w14:paraId="73AAE2A4" w14:textId="77777777">
        <w:trPr>
          <w:trHeight w:val="310"/>
        </w:trPr>
        <w:tc>
          <w:tcPr>
            <w:tcW w:w="1367" w:type="dxa"/>
            <w:tcBorders>
              <w:top w:val="single" w:color="D9D9D9" w:sz="2" w:space="0"/>
              <w:bottom w:val="single" w:color="D9D9D9" w:sz="2" w:space="0"/>
            </w:tcBorders>
          </w:tcPr>
          <w:p w:rsidR="00C31389" w:rsidRDefault="00561FBD" w14:paraId="450894BD" w14:textId="77777777">
            <w:pPr>
              <w:pStyle w:val="TableParagraph"/>
              <w:spacing w:before="41"/>
              <w:ind w:left="129"/>
              <w:rPr>
                <w:sz w:val="20"/>
              </w:rPr>
            </w:pPr>
            <w:r>
              <w:rPr>
                <w:sz w:val="20"/>
              </w:rPr>
              <w:t>2008</w:t>
            </w:r>
            <w:r>
              <w:rPr>
                <w:spacing w:val="-3"/>
                <w:sz w:val="20"/>
              </w:rPr>
              <w:t xml:space="preserve"> </w:t>
            </w:r>
            <w:r>
              <w:rPr>
                <w:sz w:val="20"/>
              </w:rPr>
              <w:t>T-</w:t>
            </w:r>
            <w:r>
              <w:rPr>
                <w:spacing w:val="-5"/>
                <w:sz w:val="20"/>
              </w:rPr>
              <w:t>24</w:t>
            </w:r>
          </w:p>
        </w:tc>
        <w:tc>
          <w:tcPr>
            <w:tcW w:w="3851" w:type="dxa"/>
            <w:tcBorders>
              <w:top w:val="single" w:color="D9D9D9" w:sz="2" w:space="0"/>
              <w:bottom w:val="single" w:color="D9D9D9" w:sz="2" w:space="0"/>
            </w:tcBorders>
          </w:tcPr>
          <w:p w:rsidR="00C31389" w:rsidRDefault="00561FBD" w14:paraId="753EFA89" w14:textId="77777777">
            <w:pPr>
              <w:pStyle w:val="TableParagraph"/>
              <w:spacing w:before="41"/>
              <w:ind w:left="202"/>
              <w:rPr>
                <w:sz w:val="20"/>
              </w:rPr>
            </w:pPr>
            <w:r>
              <w:rPr>
                <w:sz w:val="20"/>
              </w:rPr>
              <w:t>2008</w:t>
            </w:r>
            <w:r>
              <w:rPr>
                <w:spacing w:val="-3"/>
                <w:sz w:val="20"/>
              </w:rPr>
              <w:t xml:space="preserve"> </w:t>
            </w:r>
            <w:r>
              <w:rPr>
                <w:sz w:val="20"/>
              </w:rPr>
              <w:t>T-24:</w:t>
            </w:r>
            <w:r>
              <w:rPr>
                <w:spacing w:val="-3"/>
                <w:sz w:val="20"/>
              </w:rPr>
              <w:t xml:space="preserve"> </w:t>
            </w:r>
            <w:r>
              <w:rPr>
                <w:sz w:val="20"/>
              </w:rPr>
              <w:t>TDV</w:t>
            </w:r>
            <w:r>
              <w:rPr>
                <w:spacing w:val="-3"/>
                <w:sz w:val="20"/>
              </w:rPr>
              <w:t xml:space="preserve"> </w:t>
            </w:r>
            <w:r>
              <w:rPr>
                <w:sz w:val="20"/>
              </w:rPr>
              <w:t>Lighting</w:t>
            </w:r>
            <w:r>
              <w:rPr>
                <w:spacing w:val="-3"/>
                <w:sz w:val="20"/>
              </w:rPr>
              <w:t xml:space="preserve"> </w:t>
            </w:r>
            <w:r>
              <w:rPr>
                <w:spacing w:val="-2"/>
                <w:sz w:val="20"/>
              </w:rPr>
              <w:t>Controls</w:t>
            </w:r>
          </w:p>
        </w:tc>
        <w:tc>
          <w:tcPr>
            <w:tcW w:w="1196" w:type="dxa"/>
            <w:tcBorders>
              <w:top w:val="single" w:color="D9D9D9" w:sz="2" w:space="0"/>
              <w:bottom w:val="single" w:color="D9D9D9" w:sz="2" w:space="0"/>
            </w:tcBorders>
          </w:tcPr>
          <w:p w:rsidR="00C31389" w:rsidRDefault="00561FBD" w14:paraId="0C1E5ED8" w14:textId="77777777">
            <w:pPr>
              <w:pStyle w:val="TableParagraph"/>
              <w:spacing w:before="41"/>
              <w:ind w:left="397" w:right="478"/>
              <w:jc w:val="center"/>
              <w:rPr>
                <w:sz w:val="20"/>
              </w:rPr>
            </w:pPr>
            <w:r>
              <w:rPr>
                <w:spacing w:val="-5"/>
                <w:sz w:val="20"/>
              </w:rPr>
              <w:t>0%</w:t>
            </w:r>
          </w:p>
        </w:tc>
        <w:tc>
          <w:tcPr>
            <w:tcW w:w="1394" w:type="dxa"/>
            <w:tcBorders>
              <w:top w:val="single" w:color="D9D9D9" w:sz="2" w:space="0"/>
              <w:bottom w:val="single" w:color="D9D9D9" w:sz="2" w:space="0"/>
            </w:tcBorders>
          </w:tcPr>
          <w:p w:rsidR="00C31389" w:rsidRDefault="00561FBD" w14:paraId="04294EBA" w14:textId="77777777">
            <w:pPr>
              <w:pStyle w:val="TableParagraph"/>
              <w:spacing w:before="41"/>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3FBDE945" w14:textId="77777777">
            <w:pPr>
              <w:pStyle w:val="TableParagraph"/>
              <w:spacing w:before="41"/>
              <w:ind w:left="187" w:right="150"/>
              <w:jc w:val="center"/>
              <w:rPr>
                <w:sz w:val="20"/>
              </w:rPr>
            </w:pPr>
            <w:r>
              <w:rPr>
                <w:spacing w:val="-2"/>
                <w:sz w:val="20"/>
              </w:rPr>
              <w:t>On-the-books</w:t>
            </w:r>
          </w:p>
        </w:tc>
      </w:tr>
      <w:tr w:rsidR="00C31389" w14:paraId="05F0161C" w14:textId="77777777">
        <w:trPr>
          <w:trHeight w:val="309"/>
        </w:trPr>
        <w:tc>
          <w:tcPr>
            <w:tcW w:w="1367" w:type="dxa"/>
            <w:tcBorders>
              <w:top w:val="single" w:color="D9D9D9" w:sz="2" w:space="0"/>
              <w:bottom w:val="single" w:color="D9D9D9" w:sz="2" w:space="0"/>
            </w:tcBorders>
          </w:tcPr>
          <w:p w:rsidR="00C31389" w:rsidRDefault="00561FBD" w14:paraId="7DC5A0F7" w14:textId="77777777">
            <w:pPr>
              <w:pStyle w:val="TableParagraph"/>
              <w:ind w:left="129"/>
              <w:rPr>
                <w:sz w:val="20"/>
              </w:rPr>
            </w:pPr>
            <w:r>
              <w:rPr>
                <w:sz w:val="20"/>
              </w:rPr>
              <w:t>2009</w:t>
            </w:r>
            <w:r>
              <w:rPr>
                <w:spacing w:val="-3"/>
                <w:sz w:val="20"/>
              </w:rPr>
              <w:t xml:space="preserve"> </w:t>
            </w:r>
            <w:r>
              <w:rPr>
                <w:sz w:val="20"/>
              </w:rPr>
              <w:t>T-</w:t>
            </w:r>
            <w:r>
              <w:rPr>
                <w:spacing w:val="-5"/>
                <w:sz w:val="20"/>
              </w:rPr>
              <w:t>20</w:t>
            </w:r>
          </w:p>
        </w:tc>
        <w:tc>
          <w:tcPr>
            <w:tcW w:w="3851" w:type="dxa"/>
            <w:tcBorders>
              <w:top w:val="single" w:color="D9D9D9" w:sz="2" w:space="0"/>
              <w:bottom w:val="single" w:color="D9D9D9" w:sz="2" w:space="0"/>
            </w:tcBorders>
          </w:tcPr>
          <w:p w:rsidR="00C31389" w:rsidRDefault="00561FBD" w14:paraId="21BD1972" w14:textId="77777777">
            <w:pPr>
              <w:pStyle w:val="TableParagraph"/>
              <w:ind w:left="202"/>
              <w:rPr>
                <w:sz w:val="20"/>
              </w:rPr>
            </w:pPr>
            <w:r>
              <w:rPr>
                <w:sz w:val="20"/>
              </w:rPr>
              <w:t>2009</w:t>
            </w:r>
            <w:r>
              <w:rPr>
                <w:spacing w:val="-4"/>
                <w:sz w:val="20"/>
              </w:rPr>
              <w:t xml:space="preserve"> </w:t>
            </w:r>
            <w:r>
              <w:rPr>
                <w:sz w:val="20"/>
              </w:rPr>
              <w:t>T-20:</w:t>
            </w:r>
            <w:r>
              <w:rPr>
                <w:spacing w:val="-3"/>
                <w:sz w:val="20"/>
              </w:rPr>
              <w:t xml:space="preserve"> </w:t>
            </w:r>
            <w:r>
              <w:rPr>
                <w:sz w:val="20"/>
              </w:rPr>
              <w:t>Televisions</w:t>
            </w:r>
            <w:r>
              <w:rPr>
                <w:spacing w:val="-4"/>
                <w:sz w:val="20"/>
              </w:rPr>
              <w:t xml:space="preserve"> </w:t>
            </w:r>
            <w:r>
              <w:rPr>
                <w:sz w:val="20"/>
              </w:rPr>
              <w:t>-</w:t>
            </w:r>
            <w:r>
              <w:rPr>
                <w:spacing w:val="-2"/>
                <w:sz w:val="20"/>
              </w:rPr>
              <w:t xml:space="preserve"> </w:t>
            </w:r>
            <w:r>
              <w:rPr>
                <w:sz w:val="20"/>
              </w:rPr>
              <w:t>Tier</w:t>
            </w:r>
            <w:r>
              <w:rPr>
                <w:spacing w:val="-2"/>
                <w:sz w:val="20"/>
              </w:rPr>
              <w:t xml:space="preserve"> </w:t>
            </w:r>
            <w:r>
              <w:rPr>
                <w:spacing w:val="-10"/>
                <w:sz w:val="20"/>
              </w:rPr>
              <w:t>1</w:t>
            </w:r>
          </w:p>
        </w:tc>
        <w:tc>
          <w:tcPr>
            <w:tcW w:w="1196" w:type="dxa"/>
            <w:tcBorders>
              <w:top w:val="single" w:color="D9D9D9" w:sz="2" w:space="0"/>
              <w:bottom w:val="single" w:color="D9D9D9" w:sz="2" w:space="0"/>
            </w:tcBorders>
          </w:tcPr>
          <w:p w:rsidR="00C31389" w:rsidRDefault="00561FBD" w14:paraId="6E85EBAD" w14:textId="77777777">
            <w:pPr>
              <w:pStyle w:val="TableParagraph"/>
              <w:ind w:left="355"/>
              <w:rPr>
                <w:sz w:val="20"/>
              </w:rPr>
            </w:pPr>
            <w:r>
              <w:rPr>
                <w:spacing w:val="-5"/>
                <w:sz w:val="20"/>
              </w:rPr>
              <w:t>98%</w:t>
            </w:r>
          </w:p>
        </w:tc>
        <w:tc>
          <w:tcPr>
            <w:tcW w:w="1394" w:type="dxa"/>
            <w:tcBorders>
              <w:top w:val="single" w:color="D9D9D9" w:sz="2" w:space="0"/>
              <w:bottom w:val="single" w:color="D9D9D9" w:sz="2" w:space="0"/>
            </w:tcBorders>
          </w:tcPr>
          <w:p w:rsidR="00C31389" w:rsidRDefault="00561FBD" w14:paraId="22AF2DB5" w14:textId="77777777">
            <w:pPr>
              <w:pStyle w:val="TableParagraph"/>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357934EC" w14:textId="77777777">
            <w:pPr>
              <w:pStyle w:val="TableParagraph"/>
              <w:ind w:left="187" w:right="150"/>
              <w:jc w:val="center"/>
              <w:rPr>
                <w:sz w:val="20"/>
              </w:rPr>
            </w:pPr>
            <w:r>
              <w:rPr>
                <w:spacing w:val="-2"/>
                <w:sz w:val="20"/>
              </w:rPr>
              <w:t>On-the-books</w:t>
            </w:r>
          </w:p>
        </w:tc>
      </w:tr>
      <w:tr w:rsidR="00C31389" w14:paraId="35215E54" w14:textId="77777777">
        <w:trPr>
          <w:trHeight w:val="311"/>
        </w:trPr>
        <w:tc>
          <w:tcPr>
            <w:tcW w:w="1367" w:type="dxa"/>
            <w:tcBorders>
              <w:top w:val="single" w:color="D9D9D9" w:sz="2" w:space="0"/>
              <w:bottom w:val="single" w:color="000000" w:sz="8" w:space="0"/>
            </w:tcBorders>
          </w:tcPr>
          <w:p w:rsidR="00C31389" w:rsidRDefault="00561FBD" w14:paraId="668CD183" w14:textId="77777777">
            <w:pPr>
              <w:pStyle w:val="TableParagraph"/>
              <w:spacing w:before="41"/>
              <w:ind w:left="129"/>
              <w:rPr>
                <w:sz w:val="20"/>
              </w:rPr>
            </w:pPr>
            <w:r>
              <w:rPr>
                <w:sz w:val="20"/>
              </w:rPr>
              <w:t>2009</w:t>
            </w:r>
            <w:r>
              <w:rPr>
                <w:spacing w:val="-3"/>
                <w:sz w:val="20"/>
              </w:rPr>
              <w:t xml:space="preserve"> </w:t>
            </w:r>
            <w:r>
              <w:rPr>
                <w:sz w:val="20"/>
              </w:rPr>
              <w:t>T-</w:t>
            </w:r>
            <w:r>
              <w:rPr>
                <w:spacing w:val="-5"/>
                <w:sz w:val="20"/>
              </w:rPr>
              <w:t>20</w:t>
            </w:r>
          </w:p>
        </w:tc>
        <w:tc>
          <w:tcPr>
            <w:tcW w:w="3851" w:type="dxa"/>
            <w:tcBorders>
              <w:top w:val="single" w:color="D9D9D9" w:sz="2" w:space="0"/>
              <w:bottom w:val="single" w:color="000000" w:sz="8" w:space="0"/>
            </w:tcBorders>
          </w:tcPr>
          <w:p w:rsidR="00C31389" w:rsidRDefault="00561FBD" w14:paraId="434E8846" w14:textId="77777777">
            <w:pPr>
              <w:pStyle w:val="TableParagraph"/>
              <w:spacing w:before="41"/>
              <w:ind w:left="202"/>
              <w:rPr>
                <w:sz w:val="20"/>
              </w:rPr>
            </w:pPr>
            <w:r>
              <w:rPr>
                <w:sz w:val="20"/>
              </w:rPr>
              <w:t>2009</w:t>
            </w:r>
            <w:r>
              <w:rPr>
                <w:spacing w:val="-4"/>
                <w:sz w:val="20"/>
              </w:rPr>
              <w:t xml:space="preserve"> </w:t>
            </w:r>
            <w:r>
              <w:rPr>
                <w:sz w:val="20"/>
              </w:rPr>
              <w:t>T-20:</w:t>
            </w:r>
            <w:r>
              <w:rPr>
                <w:spacing w:val="-3"/>
                <w:sz w:val="20"/>
              </w:rPr>
              <w:t xml:space="preserve"> </w:t>
            </w:r>
            <w:r>
              <w:rPr>
                <w:sz w:val="20"/>
              </w:rPr>
              <w:t>Televisions</w:t>
            </w:r>
            <w:r>
              <w:rPr>
                <w:spacing w:val="-4"/>
                <w:sz w:val="20"/>
              </w:rPr>
              <w:t xml:space="preserve"> </w:t>
            </w:r>
            <w:r>
              <w:rPr>
                <w:sz w:val="20"/>
              </w:rPr>
              <w:t>-</w:t>
            </w:r>
            <w:r>
              <w:rPr>
                <w:spacing w:val="-3"/>
                <w:sz w:val="20"/>
              </w:rPr>
              <w:t xml:space="preserve"> </w:t>
            </w:r>
            <w:r>
              <w:rPr>
                <w:sz w:val="20"/>
              </w:rPr>
              <w:t>Tier</w:t>
            </w:r>
            <w:r>
              <w:rPr>
                <w:spacing w:val="-2"/>
                <w:sz w:val="20"/>
              </w:rPr>
              <w:t xml:space="preserve"> </w:t>
            </w:r>
            <w:r>
              <w:rPr>
                <w:spacing w:val="-10"/>
                <w:sz w:val="20"/>
              </w:rPr>
              <w:t>2</w:t>
            </w:r>
          </w:p>
        </w:tc>
        <w:tc>
          <w:tcPr>
            <w:tcW w:w="1196" w:type="dxa"/>
            <w:tcBorders>
              <w:top w:val="single" w:color="D9D9D9" w:sz="2" w:space="0"/>
              <w:bottom w:val="single" w:color="000000" w:sz="8" w:space="0"/>
            </w:tcBorders>
          </w:tcPr>
          <w:p w:rsidR="00C31389" w:rsidRDefault="00561FBD" w14:paraId="36CEBEAC" w14:textId="77777777">
            <w:pPr>
              <w:pStyle w:val="TableParagraph"/>
              <w:spacing w:before="41"/>
              <w:ind w:left="355"/>
              <w:rPr>
                <w:sz w:val="20"/>
              </w:rPr>
            </w:pPr>
            <w:r>
              <w:rPr>
                <w:spacing w:val="-5"/>
                <w:sz w:val="20"/>
              </w:rPr>
              <w:t>99%</w:t>
            </w:r>
          </w:p>
        </w:tc>
        <w:tc>
          <w:tcPr>
            <w:tcW w:w="1394" w:type="dxa"/>
            <w:tcBorders>
              <w:top w:val="single" w:color="D9D9D9" w:sz="2" w:space="0"/>
              <w:bottom w:val="single" w:color="000000" w:sz="8" w:space="0"/>
            </w:tcBorders>
          </w:tcPr>
          <w:p w:rsidR="00C31389" w:rsidRDefault="00561FBD" w14:paraId="34758CC6" w14:textId="77777777">
            <w:pPr>
              <w:pStyle w:val="TableParagraph"/>
              <w:spacing w:before="41"/>
              <w:ind w:right="245"/>
              <w:jc w:val="right"/>
              <w:rPr>
                <w:sz w:val="20"/>
              </w:rPr>
            </w:pPr>
            <w:r>
              <w:rPr>
                <w:spacing w:val="-2"/>
                <w:sz w:val="20"/>
              </w:rPr>
              <w:t>7/1/2014</w:t>
            </w:r>
          </w:p>
        </w:tc>
        <w:tc>
          <w:tcPr>
            <w:tcW w:w="1565" w:type="dxa"/>
            <w:tcBorders>
              <w:top w:val="single" w:color="D9D9D9" w:sz="2" w:space="0"/>
              <w:bottom w:val="single" w:color="000000" w:sz="8" w:space="0"/>
            </w:tcBorders>
          </w:tcPr>
          <w:p w:rsidR="00C31389" w:rsidRDefault="00561FBD" w14:paraId="1CA65BED" w14:textId="77777777">
            <w:pPr>
              <w:pStyle w:val="TableParagraph"/>
              <w:spacing w:before="41"/>
              <w:ind w:left="187" w:right="150"/>
              <w:jc w:val="center"/>
              <w:rPr>
                <w:sz w:val="20"/>
              </w:rPr>
            </w:pPr>
            <w:r>
              <w:rPr>
                <w:spacing w:val="-2"/>
                <w:sz w:val="20"/>
              </w:rPr>
              <w:t>On-the-books</w:t>
            </w:r>
          </w:p>
        </w:tc>
      </w:tr>
    </w:tbl>
    <w:p w:rsidR="00C31389" w:rsidRDefault="00C31389" w14:paraId="5C2C7E14" w14:textId="77777777">
      <w:pPr>
        <w:jc w:val="center"/>
        <w:rPr>
          <w:sz w:val="20"/>
        </w:rPr>
        <w:sectPr w:rsidR="00C31389">
          <w:pgSz w:w="11910" w:h="16840"/>
          <w:pgMar w:top="1380" w:right="1020" w:bottom="1120" w:left="960" w:header="397" w:footer="938" w:gutter="0"/>
          <w:cols w:space="720"/>
        </w:sectPr>
      </w:pPr>
    </w:p>
    <w:p w:rsidR="00C31389" w:rsidRDefault="00C31389" w14:paraId="31ED9CA2"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73"/>
        <w:gridCol w:w="1189"/>
        <w:gridCol w:w="1368"/>
        <w:gridCol w:w="1581"/>
      </w:tblGrid>
      <w:tr w:rsidR="00C31389" w14:paraId="5AF1068C" w14:textId="77777777">
        <w:trPr>
          <w:trHeight w:val="252"/>
        </w:trPr>
        <w:tc>
          <w:tcPr>
            <w:tcW w:w="1367" w:type="dxa"/>
            <w:tcBorders>
              <w:top w:val="single" w:color="8B8B8B" w:sz="8" w:space="0"/>
            </w:tcBorders>
          </w:tcPr>
          <w:p w:rsidR="00C31389" w:rsidRDefault="00C31389" w14:paraId="039EC4C1" w14:textId="77777777">
            <w:pPr>
              <w:pStyle w:val="TableParagraph"/>
              <w:spacing w:before="0"/>
              <w:rPr>
                <w:rFonts w:ascii="Times New Roman"/>
                <w:sz w:val="18"/>
              </w:rPr>
            </w:pPr>
          </w:p>
        </w:tc>
        <w:tc>
          <w:tcPr>
            <w:tcW w:w="3873" w:type="dxa"/>
            <w:tcBorders>
              <w:top w:val="single" w:color="8B8B8B" w:sz="8" w:space="0"/>
            </w:tcBorders>
          </w:tcPr>
          <w:p w:rsidR="00C31389" w:rsidRDefault="00C31389" w14:paraId="7CEEC1AE" w14:textId="77777777">
            <w:pPr>
              <w:pStyle w:val="TableParagraph"/>
              <w:spacing w:before="0"/>
              <w:rPr>
                <w:rFonts w:ascii="Times New Roman"/>
                <w:sz w:val="18"/>
              </w:rPr>
            </w:pPr>
          </w:p>
        </w:tc>
        <w:tc>
          <w:tcPr>
            <w:tcW w:w="1189" w:type="dxa"/>
            <w:tcBorders>
              <w:top w:val="single" w:color="8B8B8B" w:sz="8" w:space="0"/>
            </w:tcBorders>
          </w:tcPr>
          <w:p w:rsidR="00C31389" w:rsidRDefault="00C31389" w14:paraId="6E89186F" w14:textId="77777777">
            <w:pPr>
              <w:pStyle w:val="TableParagraph"/>
              <w:spacing w:before="0"/>
              <w:rPr>
                <w:rFonts w:ascii="Times New Roman"/>
                <w:sz w:val="18"/>
              </w:rPr>
            </w:pPr>
          </w:p>
        </w:tc>
        <w:tc>
          <w:tcPr>
            <w:tcW w:w="1368" w:type="dxa"/>
            <w:tcBorders>
              <w:top w:val="single" w:color="8B8B8B" w:sz="8" w:space="0"/>
            </w:tcBorders>
          </w:tcPr>
          <w:p w:rsidR="00C31389" w:rsidRDefault="00C31389" w14:paraId="1C7B4DA4" w14:textId="77777777">
            <w:pPr>
              <w:pStyle w:val="TableParagraph"/>
              <w:spacing w:before="0"/>
              <w:rPr>
                <w:rFonts w:ascii="Times New Roman"/>
                <w:sz w:val="18"/>
              </w:rPr>
            </w:pPr>
          </w:p>
        </w:tc>
        <w:tc>
          <w:tcPr>
            <w:tcW w:w="1581" w:type="dxa"/>
            <w:tcBorders>
              <w:top w:val="single" w:color="8B8B8B" w:sz="8" w:space="0"/>
            </w:tcBorders>
          </w:tcPr>
          <w:p w:rsidR="00C31389" w:rsidRDefault="00C31389" w14:paraId="415E5509" w14:textId="77777777">
            <w:pPr>
              <w:pStyle w:val="TableParagraph"/>
              <w:spacing w:before="0"/>
              <w:rPr>
                <w:rFonts w:ascii="Times New Roman"/>
                <w:sz w:val="18"/>
              </w:rPr>
            </w:pPr>
          </w:p>
        </w:tc>
      </w:tr>
      <w:tr w:rsidR="00C31389" w14:paraId="2A94FA07" w14:textId="77777777">
        <w:trPr>
          <w:trHeight w:val="549"/>
        </w:trPr>
        <w:tc>
          <w:tcPr>
            <w:tcW w:w="1367" w:type="dxa"/>
            <w:shd w:val="clear" w:color="auto" w:fill="92D400"/>
          </w:tcPr>
          <w:p w:rsidR="00C31389" w:rsidRDefault="00561FBD" w14:paraId="6B94FF40" w14:textId="77777777">
            <w:pPr>
              <w:pStyle w:val="TableParagraph"/>
              <w:spacing w:before="155"/>
              <w:ind w:left="129"/>
              <w:rPr>
                <w:b/>
                <w:sz w:val="20"/>
              </w:rPr>
            </w:pPr>
            <w:r>
              <w:rPr>
                <w:b/>
                <w:spacing w:val="-2"/>
                <w:sz w:val="20"/>
              </w:rPr>
              <w:t>Regulation</w:t>
            </w:r>
          </w:p>
        </w:tc>
        <w:tc>
          <w:tcPr>
            <w:tcW w:w="3873" w:type="dxa"/>
            <w:shd w:val="clear" w:color="auto" w:fill="92D400"/>
          </w:tcPr>
          <w:p w:rsidR="00C31389" w:rsidRDefault="00561FBD" w14:paraId="4E1124A6"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89" w:type="dxa"/>
            <w:shd w:val="clear" w:color="auto" w:fill="92D400"/>
          </w:tcPr>
          <w:p w:rsidR="00C31389" w:rsidRDefault="00561FBD" w14:paraId="02B7CB73" w14:textId="77777777">
            <w:pPr>
              <w:pStyle w:val="TableParagraph"/>
              <w:ind w:left="204" w:hanging="238"/>
              <w:rPr>
                <w:b/>
                <w:sz w:val="20"/>
              </w:rPr>
            </w:pPr>
            <w:r>
              <w:rPr>
                <w:b/>
                <w:spacing w:val="-2"/>
                <w:sz w:val="20"/>
              </w:rPr>
              <w:t>Compliance Rate</w:t>
            </w:r>
            <w:hyperlink w:history="1" w:anchor="_bookmark462">
              <w:r>
                <w:rPr>
                  <w:b/>
                  <w:spacing w:val="-2"/>
                  <w:sz w:val="20"/>
                  <w:vertAlign w:val="superscript"/>
                </w:rPr>
                <w:t>182</w:t>
              </w:r>
            </w:hyperlink>
          </w:p>
        </w:tc>
        <w:tc>
          <w:tcPr>
            <w:tcW w:w="1368" w:type="dxa"/>
            <w:shd w:val="clear" w:color="auto" w:fill="92D400"/>
          </w:tcPr>
          <w:p w:rsidR="00C31389" w:rsidRDefault="00561FBD" w14:paraId="6004B7C4" w14:textId="77777777">
            <w:pPr>
              <w:pStyle w:val="TableParagraph"/>
              <w:ind w:left="523" w:hanging="202"/>
              <w:rPr>
                <w:b/>
                <w:sz w:val="20"/>
              </w:rPr>
            </w:pPr>
            <w:r>
              <w:rPr>
                <w:b/>
                <w:spacing w:val="-2"/>
                <w:sz w:val="20"/>
              </w:rPr>
              <w:t xml:space="preserve">Effective </w:t>
            </w:r>
            <w:r>
              <w:rPr>
                <w:b/>
                <w:spacing w:val="-4"/>
                <w:sz w:val="20"/>
              </w:rPr>
              <w:t>Date</w:t>
            </w:r>
          </w:p>
        </w:tc>
        <w:tc>
          <w:tcPr>
            <w:tcW w:w="1581" w:type="dxa"/>
            <w:shd w:val="clear" w:color="auto" w:fill="92D400"/>
          </w:tcPr>
          <w:p w:rsidR="00C31389" w:rsidRDefault="00561FBD" w14:paraId="300AD4DD" w14:textId="77777777">
            <w:pPr>
              <w:pStyle w:val="TableParagraph"/>
              <w:spacing w:before="155"/>
              <w:ind w:left="198" w:right="155"/>
              <w:jc w:val="center"/>
              <w:rPr>
                <w:b/>
                <w:sz w:val="20"/>
              </w:rPr>
            </w:pPr>
            <w:r>
              <w:rPr>
                <w:b/>
                <w:sz w:val="20"/>
              </w:rPr>
              <w:t>Policy</w:t>
            </w:r>
            <w:r>
              <w:rPr>
                <w:b/>
                <w:spacing w:val="-5"/>
                <w:sz w:val="20"/>
              </w:rPr>
              <w:t xml:space="preserve"> </w:t>
            </w:r>
            <w:r>
              <w:rPr>
                <w:b/>
                <w:spacing w:val="-4"/>
                <w:sz w:val="20"/>
              </w:rPr>
              <w:t>View</w:t>
            </w:r>
          </w:p>
        </w:tc>
      </w:tr>
      <w:tr w:rsidR="00C31389" w14:paraId="7B559E11" w14:textId="77777777">
        <w:trPr>
          <w:trHeight w:val="994"/>
        </w:trPr>
        <w:tc>
          <w:tcPr>
            <w:tcW w:w="1367" w:type="dxa"/>
            <w:tcBorders>
              <w:bottom w:val="single" w:color="D9D9D9" w:sz="2" w:space="0"/>
            </w:tcBorders>
          </w:tcPr>
          <w:p w:rsidR="00C31389" w:rsidRDefault="00C31389" w14:paraId="3048ACEB" w14:textId="77777777">
            <w:pPr>
              <w:pStyle w:val="TableParagraph"/>
              <w:spacing w:before="0"/>
            </w:pPr>
          </w:p>
          <w:p w:rsidR="00C31389" w:rsidRDefault="00561FBD" w14:paraId="6F1E8D0F" w14:textId="77777777">
            <w:pPr>
              <w:pStyle w:val="TableParagraph"/>
              <w:spacing w:before="128"/>
              <w:ind w:left="129"/>
              <w:rPr>
                <w:sz w:val="20"/>
              </w:rPr>
            </w:pPr>
            <w:r>
              <w:rPr>
                <w:sz w:val="20"/>
              </w:rPr>
              <w:t>2011</w:t>
            </w:r>
            <w:r>
              <w:rPr>
                <w:spacing w:val="-3"/>
                <w:sz w:val="20"/>
              </w:rPr>
              <w:t xml:space="preserve"> </w:t>
            </w:r>
            <w:r>
              <w:rPr>
                <w:sz w:val="20"/>
              </w:rPr>
              <w:t>T-</w:t>
            </w:r>
            <w:r>
              <w:rPr>
                <w:spacing w:val="-5"/>
                <w:sz w:val="20"/>
              </w:rPr>
              <w:t>20</w:t>
            </w:r>
          </w:p>
        </w:tc>
        <w:tc>
          <w:tcPr>
            <w:tcW w:w="3873" w:type="dxa"/>
            <w:tcBorders>
              <w:bottom w:val="single" w:color="D9D9D9" w:sz="2" w:space="0"/>
            </w:tcBorders>
          </w:tcPr>
          <w:p w:rsidR="00C31389" w:rsidRDefault="00561FBD" w14:paraId="0216628D" w14:textId="77777777">
            <w:pPr>
              <w:pStyle w:val="TableParagraph"/>
              <w:spacing w:before="35"/>
              <w:ind w:left="202" w:right="382"/>
              <w:rPr>
                <w:sz w:val="20"/>
              </w:rPr>
            </w:pPr>
            <w:r>
              <w:rPr>
                <w:sz w:val="20"/>
              </w:rPr>
              <w:t>2011</w:t>
            </w:r>
            <w:r>
              <w:rPr>
                <w:spacing w:val="-8"/>
                <w:sz w:val="20"/>
              </w:rPr>
              <w:t xml:space="preserve"> </w:t>
            </w:r>
            <w:r>
              <w:rPr>
                <w:sz w:val="20"/>
              </w:rPr>
              <w:t>T-20:</w:t>
            </w:r>
            <w:r>
              <w:rPr>
                <w:spacing w:val="-8"/>
                <w:sz w:val="20"/>
              </w:rPr>
              <w:t xml:space="preserve"> </w:t>
            </w:r>
            <w:r>
              <w:rPr>
                <w:sz w:val="20"/>
              </w:rPr>
              <w:t>Small</w:t>
            </w:r>
            <w:r>
              <w:rPr>
                <w:spacing w:val="-8"/>
                <w:sz w:val="20"/>
              </w:rPr>
              <w:t xml:space="preserve"> </w:t>
            </w:r>
            <w:r>
              <w:rPr>
                <w:sz w:val="20"/>
              </w:rPr>
              <w:t>Battery</w:t>
            </w:r>
            <w:r>
              <w:rPr>
                <w:spacing w:val="-8"/>
                <w:sz w:val="20"/>
              </w:rPr>
              <w:t xml:space="preserve"> </w:t>
            </w:r>
            <w:r>
              <w:rPr>
                <w:sz w:val="20"/>
              </w:rPr>
              <w:t>Chargers</w:t>
            </w:r>
            <w:r>
              <w:rPr>
                <w:spacing w:val="-8"/>
                <w:sz w:val="20"/>
              </w:rPr>
              <w:t xml:space="preserve"> </w:t>
            </w:r>
            <w:r>
              <w:rPr>
                <w:sz w:val="20"/>
              </w:rPr>
              <w:t xml:space="preserve">– Tier 1 (consumer with no USB charger or USB charger &lt;20 watt- </w:t>
            </w:r>
            <w:r>
              <w:rPr>
                <w:spacing w:val="-2"/>
                <w:sz w:val="20"/>
              </w:rPr>
              <w:t>hours)</w:t>
            </w:r>
          </w:p>
        </w:tc>
        <w:tc>
          <w:tcPr>
            <w:tcW w:w="1189" w:type="dxa"/>
            <w:tcBorders>
              <w:bottom w:val="single" w:color="D9D9D9" w:sz="2" w:space="0"/>
            </w:tcBorders>
          </w:tcPr>
          <w:p w:rsidR="00C31389" w:rsidRDefault="00C31389" w14:paraId="2FCF767E" w14:textId="77777777">
            <w:pPr>
              <w:pStyle w:val="TableParagraph"/>
              <w:spacing w:before="0"/>
            </w:pPr>
          </w:p>
          <w:p w:rsidR="00C31389" w:rsidRDefault="00561FBD" w14:paraId="45018D40" w14:textId="77777777">
            <w:pPr>
              <w:pStyle w:val="TableParagraph"/>
              <w:spacing w:before="128"/>
              <w:ind w:left="333"/>
              <w:rPr>
                <w:sz w:val="20"/>
              </w:rPr>
            </w:pPr>
            <w:r>
              <w:rPr>
                <w:spacing w:val="-5"/>
                <w:sz w:val="20"/>
              </w:rPr>
              <w:t>90%</w:t>
            </w:r>
          </w:p>
        </w:tc>
        <w:tc>
          <w:tcPr>
            <w:tcW w:w="1368" w:type="dxa"/>
            <w:tcBorders>
              <w:bottom w:val="single" w:color="D9D9D9" w:sz="2" w:space="0"/>
            </w:tcBorders>
          </w:tcPr>
          <w:p w:rsidR="00C31389" w:rsidRDefault="00C31389" w14:paraId="6794BA0C" w14:textId="77777777">
            <w:pPr>
              <w:pStyle w:val="TableParagraph"/>
              <w:spacing w:before="0"/>
            </w:pPr>
          </w:p>
          <w:p w:rsidR="00C31389" w:rsidRDefault="00561FBD" w14:paraId="4FB24A7B" w14:textId="77777777">
            <w:pPr>
              <w:pStyle w:val="TableParagraph"/>
              <w:spacing w:before="128"/>
              <w:ind w:right="234"/>
              <w:jc w:val="right"/>
              <w:rPr>
                <w:sz w:val="20"/>
              </w:rPr>
            </w:pPr>
            <w:r>
              <w:rPr>
                <w:spacing w:val="-2"/>
                <w:sz w:val="20"/>
              </w:rPr>
              <w:t>7/1/2014</w:t>
            </w:r>
          </w:p>
        </w:tc>
        <w:tc>
          <w:tcPr>
            <w:tcW w:w="1581" w:type="dxa"/>
            <w:tcBorders>
              <w:bottom w:val="single" w:color="D9D9D9" w:sz="2" w:space="0"/>
            </w:tcBorders>
          </w:tcPr>
          <w:p w:rsidR="00C31389" w:rsidRDefault="00C31389" w14:paraId="05E02EA6" w14:textId="77777777">
            <w:pPr>
              <w:pStyle w:val="TableParagraph"/>
              <w:spacing w:before="0"/>
            </w:pPr>
          </w:p>
          <w:p w:rsidR="00C31389" w:rsidRDefault="00561FBD" w14:paraId="046A413E" w14:textId="77777777">
            <w:pPr>
              <w:pStyle w:val="TableParagraph"/>
              <w:spacing w:before="128"/>
              <w:ind w:left="198" w:right="155"/>
              <w:jc w:val="center"/>
              <w:rPr>
                <w:sz w:val="20"/>
              </w:rPr>
            </w:pPr>
            <w:r>
              <w:rPr>
                <w:spacing w:val="-2"/>
                <w:sz w:val="20"/>
              </w:rPr>
              <w:t>On-the-books</w:t>
            </w:r>
          </w:p>
        </w:tc>
      </w:tr>
      <w:tr w:rsidR="00C31389" w14:paraId="30B3D929" w14:textId="77777777">
        <w:trPr>
          <w:trHeight w:val="540"/>
        </w:trPr>
        <w:tc>
          <w:tcPr>
            <w:tcW w:w="1367" w:type="dxa"/>
            <w:tcBorders>
              <w:top w:val="single" w:color="D9D9D9" w:sz="2" w:space="0"/>
              <w:bottom w:val="single" w:color="D9D9D9" w:sz="2" w:space="0"/>
            </w:tcBorders>
          </w:tcPr>
          <w:p w:rsidR="00C31389" w:rsidRDefault="00561FBD" w14:paraId="1E9DFB5F" w14:textId="77777777">
            <w:pPr>
              <w:pStyle w:val="TableParagraph"/>
              <w:spacing w:before="155"/>
              <w:ind w:left="129"/>
              <w:rPr>
                <w:sz w:val="20"/>
              </w:rPr>
            </w:pPr>
            <w:r>
              <w:rPr>
                <w:sz w:val="20"/>
              </w:rPr>
              <w:t>2011</w:t>
            </w:r>
            <w:r>
              <w:rPr>
                <w:spacing w:val="-3"/>
                <w:sz w:val="20"/>
              </w:rPr>
              <w:t xml:space="preserve"> </w:t>
            </w:r>
            <w:r>
              <w:rPr>
                <w:sz w:val="20"/>
              </w:rPr>
              <w:t>T-</w:t>
            </w:r>
            <w:r>
              <w:rPr>
                <w:spacing w:val="-5"/>
                <w:sz w:val="20"/>
              </w:rPr>
              <w:t>20</w:t>
            </w:r>
          </w:p>
        </w:tc>
        <w:tc>
          <w:tcPr>
            <w:tcW w:w="3873" w:type="dxa"/>
            <w:tcBorders>
              <w:top w:val="single" w:color="D9D9D9" w:sz="2" w:space="0"/>
              <w:bottom w:val="single" w:color="D9D9D9" w:sz="2" w:space="0"/>
            </w:tcBorders>
          </w:tcPr>
          <w:p w:rsidR="00C31389" w:rsidRDefault="00561FBD" w14:paraId="2DC13578" w14:textId="77777777">
            <w:pPr>
              <w:pStyle w:val="TableParagraph"/>
              <w:spacing w:before="41"/>
              <w:ind w:left="202"/>
              <w:rPr>
                <w:sz w:val="20"/>
              </w:rPr>
            </w:pPr>
            <w:r>
              <w:rPr>
                <w:sz w:val="20"/>
              </w:rPr>
              <w:t>2011</w:t>
            </w:r>
            <w:r>
              <w:rPr>
                <w:spacing w:val="-3"/>
                <w:sz w:val="20"/>
              </w:rPr>
              <w:t xml:space="preserve"> </w:t>
            </w:r>
            <w:r>
              <w:rPr>
                <w:sz w:val="20"/>
              </w:rPr>
              <w:t>T-20:</w:t>
            </w:r>
            <w:r>
              <w:rPr>
                <w:spacing w:val="-3"/>
                <w:sz w:val="20"/>
              </w:rPr>
              <w:t xml:space="preserve"> </w:t>
            </w:r>
            <w:r>
              <w:rPr>
                <w:sz w:val="20"/>
              </w:rPr>
              <w:t>Large</w:t>
            </w:r>
            <w:r>
              <w:rPr>
                <w:spacing w:val="-3"/>
                <w:sz w:val="20"/>
              </w:rPr>
              <w:t xml:space="preserve"> </w:t>
            </w:r>
            <w:r>
              <w:rPr>
                <w:sz w:val="20"/>
              </w:rPr>
              <w:t>Battery</w:t>
            </w:r>
            <w:r>
              <w:rPr>
                <w:spacing w:val="-3"/>
                <w:sz w:val="20"/>
              </w:rPr>
              <w:t xml:space="preserve"> </w:t>
            </w:r>
            <w:r>
              <w:rPr>
                <w:spacing w:val="-2"/>
                <w:sz w:val="20"/>
              </w:rPr>
              <w:t>Chargers</w:t>
            </w:r>
          </w:p>
          <w:p w:rsidR="00C31389" w:rsidRDefault="00561FBD" w14:paraId="682CFAC8" w14:textId="77777777">
            <w:pPr>
              <w:pStyle w:val="TableParagraph"/>
              <w:spacing w:before="1"/>
              <w:ind w:left="202"/>
              <w:rPr>
                <w:sz w:val="20"/>
              </w:rPr>
            </w:pPr>
            <w:r>
              <w:rPr>
                <w:sz w:val="20"/>
              </w:rPr>
              <w:t>(≥2kW</w:t>
            </w:r>
            <w:r>
              <w:rPr>
                <w:spacing w:val="-4"/>
                <w:sz w:val="20"/>
              </w:rPr>
              <w:t xml:space="preserve"> </w:t>
            </w:r>
            <w:r>
              <w:rPr>
                <w:sz w:val="20"/>
              </w:rPr>
              <w:t>rated</w:t>
            </w:r>
            <w:r>
              <w:rPr>
                <w:spacing w:val="-3"/>
                <w:sz w:val="20"/>
              </w:rPr>
              <w:t xml:space="preserve"> </w:t>
            </w:r>
            <w:r>
              <w:rPr>
                <w:spacing w:val="-2"/>
                <w:sz w:val="20"/>
              </w:rPr>
              <w:t>input)</w:t>
            </w:r>
          </w:p>
        </w:tc>
        <w:tc>
          <w:tcPr>
            <w:tcW w:w="1189" w:type="dxa"/>
            <w:tcBorders>
              <w:top w:val="single" w:color="D9D9D9" w:sz="2" w:space="0"/>
              <w:bottom w:val="single" w:color="D9D9D9" w:sz="2" w:space="0"/>
            </w:tcBorders>
          </w:tcPr>
          <w:p w:rsidR="00C31389" w:rsidRDefault="00561FBD" w14:paraId="209DC1B8" w14:textId="77777777">
            <w:pPr>
              <w:pStyle w:val="TableParagraph"/>
              <w:spacing w:before="155"/>
              <w:ind w:left="333"/>
              <w:rPr>
                <w:sz w:val="20"/>
              </w:rPr>
            </w:pPr>
            <w:r>
              <w:rPr>
                <w:spacing w:val="-5"/>
                <w:sz w:val="20"/>
              </w:rPr>
              <w:t>78%</w:t>
            </w:r>
          </w:p>
        </w:tc>
        <w:tc>
          <w:tcPr>
            <w:tcW w:w="1368" w:type="dxa"/>
            <w:tcBorders>
              <w:top w:val="single" w:color="D9D9D9" w:sz="2" w:space="0"/>
              <w:bottom w:val="single" w:color="D9D9D9" w:sz="2" w:space="0"/>
            </w:tcBorders>
          </w:tcPr>
          <w:p w:rsidR="00C31389" w:rsidRDefault="00561FBD" w14:paraId="5F1D7B5F"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0912C8F3" w14:textId="77777777">
            <w:pPr>
              <w:pStyle w:val="TableParagraph"/>
              <w:spacing w:before="155"/>
              <w:ind w:left="198" w:right="155"/>
              <w:jc w:val="center"/>
              <w:rPr>
                <w:sz w:val="20"/>
              </w:rPr>
            </w:pPr>
            <w:r>
              <w:rPr>
                <w:spacing w:val="-2"/>
                <w:sz w:val="20"/>
              </w:rPr>
              <w:t>On-the-books</w:t>
            </w:r>
          </w:p>
        </w:tc>
      </w:tr>
      <w:tr w:rsidR="00C31389" w14:paraId="7F23C76B" w14:textId="77777777">
        <w:trPr>
          <w:trHeight w:val="769"/>
        </w:trPr>
        <w:tc>
          <w:tcPr>
            <w:tcW w:w="1367" w:type="dxa"/>
            <w:tcBorders>
              <w:top w:val="single" w:color="D9D9D9" w:sz="2" w:space="0"/>
              <w:bottom w:val="single" w:color="D9D9D9" w:sz="2" w:space="0"/>
            </w:tcBorders>
          </w:tcPr>
          <w:p w:rsidR="00C31389" w:rsidRDefault="00C31389" w14:paraId="7E9ECD49" w14:textId="77777777">
            <w:pPr>
              <w:pStyle w:val="TableParagraph"/>
              <w:spacing w:before="5"/>
              <w:rPr>
                <w:sz w:val="23"/>
              </w:rPr>
            </w:pPr>
          </w:p>
          <w:p w:rsidR="00C31389" w:rsidRDefault="00561FBD" w14:paraId="2D367018" w14:textId="77777777">
            <w:pPr>
              <w:pStyle w:val="TableParagraph"/>
              <w:spacing w:before="0"/>
              <w:ind w:left="129"/>
              <w:rPr>
                <w:sz w:val="20"/>
              </w:rPr>
            </w:pPr>
            <w:r>
              <w:rPr>
                <w:sz w:val="20"/>
              </w:rPr>
              <w:t>2011</w:t>
            </w:r>
            <w:r>
              <w:rPr>
                <w:spacing w:val="-3"/>
                <w:sz w:val="20"/>
              </w:rPr>
              <w:t xml:space="preserve"> </w:t>
            </w:r>
            <w:r>
              <w:rPr>
                <w:sz w:val="20"/>
              </w:rPr>
              <w:t>T-</w:t>
            </w:r>
            <w:r>
              <w:rPr>
                <w:spacing w:val="-5"/>
                <w:sz w:val="20"/>
              </w:rPr>
              <w:t>20</w:t>
            </w:r>
          </w:p>
        </w:tc>
        <w:tc>
          <w:tcPr>
            <w:tcW w:w="3873" w:type="dxa"/>
            <w:tcBorders>
              <w:top w:val="single" w:color="D9D9D9" w:sz="2" w:space="0"/>
              <w:bottom w:val="single" w:color="D9D9D9" w:sz="2" w:space="0"/>
            </w:tcBorders>
          </w:tcPr>
          <w:p w:rsidR="00C31389" w:rsidRDefault="00561FBD" w14:paraId="1C7704E3" w14:textId="77777777">
            <w:pPr>
              <w:pStyle w:val="TableParagraph"/>
              <w:ind w:left="202" w:right="382"/>
              <w:rPr>
                <w:sz w:val="20"/>
              </w:rPr>
            </w:pPr>
            <w:r>
              <w:rPr>
                <w:sz w:val="20"/>
              </w:rPr>
              <w:t>2011</w:t>
            </w:r>
            <w:r>
              <w:rPr>
                <w:spacing w:val="-8"/>
                <w:sz w:val="20"/>
              </w:rPr>
              <w:t xml:space="preserve"> </w:t>
            </w:r>
            <w:r>
              <w:rPr>
                <w:sz w:val="20"/>
              </w:rPr>
              <w:t>T-20:</w:t>
            </w:r>
            <w:r>
              <w:rPr>
                <w:spacing w:val="-8"/>
                <w:sz w:val="20"/>
              </w:rPr>
              <w:t xml:space="preserve"> </w:t>
            </w:r>
            <w:r>
              <w:rPr>
                <w:sz w:val="20"/>
              </w:rPr>
              <w:t>Small</w:t>
            </w:r>
            <w:r>
              <w:rPr>
                <w:spacing w:val="-8"/>
                <w:sz w:val="20"/>
              </w:rPr>
              <w:t xml:space="preserve"> </w:t>
            </w:r>
            <w:r>
              <w:rPr>
                <w:sz w:val="20"/>
              </w:rPr>
              <w:t>Battery</w:t>
            </w:r>
            <w:r>
              <w:rPr>
                <w:spacing w:val="-8"/>
                <w:sz w:val="20"/>
              </w:rPr>
              <w:t xml:space="preserve"> </w:t>
            </w:r>
            <w:r>
              <w:rPr>
                <w:sz w:val="20"/>
              </w:rPr>
              <w:t>Chargers</w:t>
            </w:r>
            <w:r>
              <w:rPr>
                <w:spacing w:val="-8"/>
                <w:sz w:val="20"/>
              </w:rPr>
              <w:t xml:space="preserve"> </w:t>
            </w:r>
            <w:r>
              <w:rPr>
                <w:sz w:val="20"/>
              </w:rPr>
              <w:t>– Tier 2 (consumer with USB charger</w:t>
            </w:r>
          </w:p>
          <w:p w:rsidR="00C31389" w:rsidRDefault="00561FBD" w14:paraId="1D034CD6" w14:textId="77777777">
            <w:pPr>
              <w:pStyle w:val="TableParagraph"/>
              <w:spacing w:before="0" w:line="230" w:lineRule="exact"/>
              <w:ind w:left="202"/>
              <w:rPr>
                <w:sz w:val="20"/>
              </w:rPr>
            </w:pPr>
            <w:r>
              <w:rPr>
                <w:sz w:val="20"/>
              </w:rPr>
              <w:t>≥20</w:t>
            </w:r>
            <w:r>
              <w:rPr>
                <w:spacing w:val="-6"/>
                <w:sz w:val="20"/>
              </w:rPr>
              <w:t xml:space="preserve"> </w:t>
            </w:r>
            <w:r>
              <w:rPr>
                <w:sz w:val="20"/>
              </w:rPr>
              <w:t>watt-</w:t>
            </w:r>
            <w:r>
              <w:rPr>
                <w:spacing w:val="-2"/>
                <w:sz w:val="20"/>
              </w:rPr>
              <w:t>hours)</w:t>
            </w:r>
          </w:p>
        </w:tc>
        <w:tc>
          <w:tcPr>
            <w:tcW w:w="1189" w:type="dxa"/>
            <w:tcBorders>
              <w:top w:val="single" w:color="D9D9D9" w:sz="2" w:space="0"/>
              <w:bottom w:val="single" w:color="D9D9D9" w:sz="2" w:space="0"/>
            </w:tcBorders>
          </w:tcPr>
          <w:p w:rsidR="00C31389" w:rsidRDefault="00C31389" w14:paraId="22A77573" w14:textId="77777777">
            <w:pPr>
              <w:pStyle w:val="TableParagraph"/>
              <w:spacing w:before="5"/>
              <w:rPr>
                <w:sz w:val="23"/>
              </w:rPr>
            </w:pPr>
          </w:p>
          <w:p w:rsidR="00C31389" w:rsidRDefault="00561FBD" w14:paraId="0D51901A" w14:textId="77777777">
            <w:pPr>
              <w:pStyle w:val="TableParagraph"/>
              <w:spacing w:before="0"/>
              <w:ind w:left="333"/>
              <w:rPr>
                <w:sz w:val="20"/>
              </w:rPr>
            </w:pPr>
            <w:r>
              <w:rPr>
                <w:spacing w:val="-5"/>
                <w:sz w:val="20"/>
              </w:rPr>
              <w:t>88%</w:t>
            </w:r>
          </w:p>
        </w:tc>
        <w:tc>
          <w:tcPr>
            <w:tcW w:w="1368" w:type="dxa"/>
            <w:tcBorders>
              <w:top w:val="single" w:color="D9D9D9" w:sz="2" w:space="0"/>
              <w:bottom w:val="single" w:color="D9D9D9" w:sz="2" w:space="0"/>
            </w:tcBorders>
          </w:tcPr>
          <w:p w:rsidR="00C31389" w:rsidRDefault="00C31389" w14:paraId="0D11E853" w14:textId="77777777">
            <w:pPr>
              <w:pStyle w:val="TableParagraph"/>
              <w:spacing w:before="5"/>
              <w:rPr>
                <w:sz w:val="23"/>
              </w:rPr>
            </w:pPr>
          </w:p>
          <w:p w:rsidR="00C31389" w:rsidRDefault="00561FBD" w14:paraId="030A7872" w14:textId="77777777">
            <w:pPr>
              <w:pStyle w:val="TableParagraph"/>
              <w:spacing w:before="0"/>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C31389" w14:paraId="43BB5B0C" w14:textId="77777777">
            <w:pPr>
              <w:pStyle w:val="TableParagraph"/>
              <w:spacing w:before="5"/>
              <w:rPr>
                <w:sz w:val="23"/>
              </w:rPr>
            </w:pPr>
          </w:p>
          <w:p w:rsidR="00C31389" w:rsidRDefault="00561FBD" w14:paraId="05A0A698" w14:textId="77777777">
            <w:pPr>
              <w:pStyle w:val="TableParagraph"/>
              <w:spacing w:before="0"/>
              <w:ind w:left="198" w:right="155"/>
              <w:jc w:val="center"/>
              <w:rPr>
                <w:sz w:val="20"/>
              </w:rPr>
            </w:pPr>
            <w:r>
              <w:rPr>
                <w:spacing w:val="-2"/>
                <w:sz w:val="20"/>
              </w:rPr>
              <w:t>On-the-books</w:t>
            </w:r>
          </w:p>
        </w:tc>
      </w:tr>
      <w:tr w:rsidR="00C31389" w14:paraId="201C5686" w14:textId="77777777">
        <w:trPr>
          <w:trHeight w:val="539"/>
        </w:trPr>
        <w:tc>
          <w:tcPr>
            <w:tcW w:w="1367" w:type="dxa"/>
            <w:tcBorders>
              <w:top w:val="single" w:color="D9D9D9" w:sz="2" w:space="0"/>
              <w:bottom w:val="single" w:color="D9D9D9" w:sz="2" w:space="0"/>
            </w:tcBorders>
          </w:tcPr>
          <w:p w:rsidR="00C31389" w:rsidRDefault="00561FBD" w14:paraId="1AA64889" w14:textId="77777777">
            <w:pPr>
              <w:pStyle w:val="TableParagraph"/>
              <w:spacing w:before="155"/>
              <w:ind w:left="129"/>
              <w:rPr>
                <w:sz w:val="20"/>
              </w:rPr>
            </w:pPr>
            <w:r>
              <w:rPr>
                <w:sz w:val="20"/>
              </w:rPr>
              <w:t>2011</w:t>
            </w:r>
            <w:r>
              <w:rPr>
                <w:spacing w:val="-3"/>
                <w:sz w:val="20"/>
              </w:rPr>
              <w:t xml:space="preserve"> </w:t>
            </w:r>
            <w:r>
              <w:rPr>
                <w:sz w:val="20"/>
              </w:rPr>
              <w:t>T-</w:t>
            </w:r>
            <w:r>
              <w:rPr>
                <w:spacing w:val="-5"/>
                <w:sz w:val="20"/>
              </w:rPr>
              <w:t>20</w:t>
            </w:r>
          </w:p>
        </w:tc>
        <w:tc>
          <w:tcPr>
            <w:tcW w:w="3873" w:type="dxa"/>
            <w:tcBorders>
              <w:top w:val="single" w:color="D9D9D9" w:sz="2" w:space="0"/>
              <w:bottom w:val="single" w:color="D9D9D9" w:sz="2" w:space="0"/>
            </w:tcBorders>
          </w:tcPr>
          <w:p w:rsidR="00C31389" w:rsidRDefault="00561FBD" w14:paraId="78398290" w14:textId="77777777">
            <w:pPr>
              <w:pStyle w:val="TableParagraph"/>
              <w:ind w:left="202" w:right="382"/>
              <w:rPr>
                <w:sz w:val="20"/>
              </w:rPr>
            </w:pPr>
            <w:r>
              <w:rPr>
                <w:sz w:val="20"/>
              </w:rPr>
              <w:t>2011</w:t>
            </w:r>
            <w:r>
              <w:rPr>
                <w:spacing w:val="-8"/>
                <w:sz w:val="20"/>
              </w:rPr>
              <w:t xml:space="preserve"> </w:t>
            </w:r>
            <w:r>
              <w:rPr>
                <w:sz w:val="20"/>
              </w:rPr>
              <w:t>T-20:</w:t>
            </w:r>
            <w:r>
              <w:rPr>
                <w:spacing w:val="-8"/>
                <w:sz w:val="20"/>
              </w:rPr>
              <w:t xml:space="preserve"> </w:t>
            </w:r>
            <w:r>
              <w:rPr>
                <w:sz w:val="20"/>
              </w:rPr>
              <w:t>Small</w:t>
            </w:r>
            <w:r>
              <w:rPr>
                <w:spacing w:val="-8"/>
                <w:sz w:val="20"/>
              </w:rPr>
              <w:t xml:space="preserve"> </w:t>
            </w:r>
            <w:r>
              <w:rPr>
                <w:sz w:val="20"/>
              </w:rPr>
              <w:t>Battery</w:t>
            </w:r>
            <w:r>
              <w:rPr>
                <w:spacing w:val="-8"/>
                <w:sz w:val="20"/>
              </w:rPr>
              <w:t xml:space="preserve"> </w:t>
            </w:r>
            <w:r>
              <w:rPr>
                <w:sz w:val="20"/>
              </w:rPr>
              <w:t>Chargers</w:t>
            </w:r>
            <w:r>
              <w:rPr>
                <w:spacing w:val="-8"/>
                <w:sz w:val="20"/>
              </w:rPr>
              <w:t xml:space="preserve"> </w:t>
            </w:r>
            <w:r>
              <w:rPr>
                <w:sz w:val="20"/>
              </w:rPr>
              <w:t xml:space="preserve">– Tier 3 </w:t>
            </w:r>
            <w:r>
              <w:rPr>
                <w:sz w:val="20"/>
              </w:rPr>
              <w:t>(non-consumer)</w:t>
            </w:r>
          </w:p>
        </w:tc>
        <w:tc>
          <w:tcPr>
            <w:tcW w:w="1189" w:type="dxa"/>
            <w:tcBorders>
              <w:top w:val="single" w:color="D9D9D9" w:sz="2" w:space="0"/>
              <w:bottom w:val="single" w:color="D9D9D9" w:sz="2" w:space="0"/>
            </w:tcBorders>
          </w:tcPr>
          <w:p w:rsidR="00C31389" w:rsidRDefault="00561FBD" w14:paraId="5152C380" w14:textId="77777777">
            <w:pPr>
              <w:pStyle w:val="TableParagraph"/>
              <w:spacing w:before="155"/>
              <w:ind w:left="333"/>
              <w:rPr>
                <w:sz w:val="20"/>
              </w:rPr>
            </w:pPr>
            <w:r>
              <w:rPr>
                <w:spacing w:val="-5"/>
                <w:sz w:val="20"/>
              </w:rPr>
              <w:t>85%</w:t>
            </w:r>
          </w:p>
        </w:tc>
        <w:tc>
          <w:tcPr>
            <w:tcW w:w="1368" w:type="dxa"/>
            <w:tcBorders>
              <w:top w:val="single" w:color="D9D9D9" w:sz="2" w:space="0"/>
              <w:bottom w:val="single" w:color="D9D9D9" w:sz="2" w:space="0"/>
            </w:tcBorders>
          </w:tcPr>
          <w:p w:rsidR="00C31389" w:rsidRDefault="00561FBD" w14:paraId="6F22E2A2" w14:textId="77777777">
            <w:pPr>
              <w:pStyle w:val="TableParagraph"/>
              <w:spacing w:before="155"/>
              <w:ind w:right="234"/>
              <w:jc w:val="right"/>
              <w:rPr>
                <w:sz w:val="20"/>
              </w:rPr>
            </w:pPr>
            <w:r>
              <w:rPr>
                <w:spacing w:val="-2"/>
                <w:sz w:val="20"/>
              </w:rPr>
              <w:t>10/01/20</w:t>
            </w:r>
          </w:p>
        </w:tc>
        <w:tc>
          <w:tcPr>
            <w:tcW w:w="1581" w:type="dxa"/>
            <w:tcBorders>
              <w:top w:val="single" w:color="D9D9D9" w:sz="2" w:space="0"/>
              <w:bottom w:val="single" w:color="D9D9D9" w:sz="2" w:space="0"/>
            </w:tcBorders>
          </w:tcPr>
          <w:p w:rsidR="00C31389" w:rsidRDefault="00561FBD" w14:paraId="285D5897" w14:textId="77777777">
            <w:pPr>
              <w:pStyle w:val="TableParagraph"/>
              <w:spacing w:before="155"/>
              <w:ind w:left="198" w:right="155"/>
              <w:jc w:val="center"/>
              <w:rPr>
                <w:sz w:val="20"/>
              </w:rPr>
            </w:pPr>
            <w:r>
              <w:rPr>
                <w:spacing w:val="-2"/>
                <w:sz w:val="20"/>
              </w:rPr>
              <w:t>On-the-books</w:t>
            </w:r>
          </w:p>
        </w:tc>
      </w:tr>
      <w:tr w:rsidR="00C31389" w14:paraId="1716F1D5" w14:textId="77777777">
        <w:trPr>
          <w:trHeight w:val="540"/>
        </w:trPr>
        <w:tc>
          <w:tcPr>
            <w:tcW w:w="1367" w:type="dxa"/>
            <w:tcBorders>
              <w:top w:val="single" w:color="D9D9D9" w:sz="2" w:space="0"/>
              <w:bottom w:val="single" w:color="D9D9D9" w:sz="2" w:space="0"/>
            </w:tcBorders>
          </w:tcPr>
          <w:p w:rsidR="00C31389" w:rsidRDefault="00561FBD" w14:paraId="7A3018F6"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223A7DBF" w14:textId="77777777">
            <w:pPr>
              <w:pStyle w:val="TableParagraph"/>
              <w:spacing w:before="41"/>
              <w:ind w:left="202" w:right="382"/>
              <w:rPr>
                <w:sz w:val="20"/>
              </w:rPr>
            </w:pPr>
            <w:r>
              <w:rPr>
                <w:sz w:val="20"/>
              </w:rPr>
              <w:t>2013</w:t>
            </w:r>
            <w:r>
              <w:rPr>
                <w:spacing w:val="-14"/>
                <w:sz w:val="20"/>
              </w:rPr>
              <w:t xml:space="preserve"> </w:t>
            </w:r>
            <w:r>
              <w:rPr>
                <w:sz w:val="20"/>
              </w:rPr>
              <w:t>T-24:</w:t>
            </w:r>
            <w:r>
              <w:rPr>
                <w:spacing w:val="-14"/>
                <w:sz w:val="20"/>
              </w:rPr>
              <w:t xml:space="preserve"> </w:t>
            </w:r>
            <w:r>
              <w:rPr>
                <w:sz w:val="20"/>
              </w:rPr>
              <w:t xml:space="preserve">NRA-Envelope-Cool </w:t>
            </w:r>
            <w:r>
              <w:rPr>
                <w:spacing w:val="-2"/>
                <w:sz w:val="20"/>
              </w:rPr>
              <w:t>Roofs</w:t>
            </w:r>
          </w:p>
        </w:tc>
        <w:tc>
          <w:tcPr>
            <w:tcW w:w="1189" w:type="dxa"/>
            <w:tcBorders>
              <w:top w:val="single" w:color="D9D9D9" w:sz="2" w:space="0"/>
              <w:bottom w:val="single" w:color="D9D9D9" w:sz="2" w:space="0"/>
            </w:tcBorders>
          </w:tcPr>
          <w:p w:rsidR="00C31389" w:rsidRDefault="00561FBD" w14:paraId="38F6BCEA"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6CBA1D25"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3AFD00DD" w14:textId="77777777">
            <w:pPr>
              <w:pStyle w:val="TableParagraph"/>
              <w:spacing w:before="155"/>
              <w:ind w:left="198" w:right="155"/>
              <w:jc w:val="center"/>
              <w:rPr>
                <w:sz w:val="20"/>
              </w:rPr>
            </w:pPr>
            <w:r>
              <w:rPr>
                <w:spacing w:val="-2"/>
                <w:sz w:val="20"/>
              </w:rPr>
              <w:t>On-the-books</w:t>
            </w:r>
          </w:p>
        </w:tc>
      </w:tr>
      <w:tr w:rsidR="00C31389" w14:paraId="643FAA7D" w14:textId="77777777">
        <w:trPr>
          <w:trHeight w:val="539"/>
        </w:trPr>
        <w:tc>
          <w:tcPr>
            <w:tcW w:w="1367" w:type="dxa"/>
            <w:tcBorders>
              <w:top w:val="single" w:color="D9D9D9" w:sz="2" w:space="0"/>
              <w:bottom w:val="single" w:color="D9D9D9" w:sz="2" w:space="0"/>
            </w:tcBorders>
          </w:tcPr>
          <w:p w:rsidR="00C31389" w:rsidRDefault="00561FBD" w14:paraId="66484028"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7CD23F2E" w14:textId="77777777">
            <w:pPr>
              <w:pStyle w:val="TableParagraph"/>
              <w:ind w:left="202"/>
              <w:rPr>
                <w:sz w:val="20"/>
              </w:rPr>
            </w:pPr>
            <w:r>
              <w:rPr>
                <w:sz w:val="20"/>
              </w:rPr>
              <w:t>2013</w:t>
            </w:r>
            <w:r>
              <w:rPr>
                <w:spacing w:val="-5"/>
                <w:sz w:val="20"/>
              </w:rPr>
              <w:t xml:space="preserve"> </w:t>
            </w:r>
            <w:r>
              <w:rPr>
                <w:sz w:val="20"/>
              </w:rPr>
              <w:t>T-24:</w:t>
            </w:r>
            <w:r>
              <w:rPr>
                <w:spacing w:val="-4"/>
                <w:sz w:val="20"/>
              </w:rPr>
              <w:t xml:space="preserve"> </w:t>
            </w:r>
            <w:r>
              <w:rPr>
                <w:sz w:val="20"/>
              </w:rPr>
              <w:t>NRA-HVAC-</w:t>
            </w:r>
            <w:r>
              <w:rPr>
                <w:spacing w:val="-2"/>
                <w:sz w:val="20"/>
              </w:rPr>
              <w:t>Equipment</w:t>
            </w:r>
          </w:p>
          <w:p w:rsidR="00C31389" w:rsidRDefault="00561FBD" w14:paraId="28CEC332" w14:textId="77777777">
            <w:pPr>
              <w:pStyle w:val="TableParagraph"/>
              <w:spacing w:before="0"/>
              <w:ind w:left="202"/>
              <w:rPr>
                <w:sz w:val="20"/>
              </w:rPr>
            </w:pPr>
            <w:r>
              <w:rPr>
                <w:spacing w:val="-2"/>
                <w:sz w:val="20"/>
              </w:rPr>
              <w:t>Efficiency</w:t>
            </w:r>
          </w:p>
        </w:tc>
        <w:tc>
          <w:tcPr>
            <w:tcW w:w="1189" w:type="dxa"/>
            <w:tcBorders>
              <w:top w:val="single" w:color="D9D9D9" w:sz="2" w:space="0"/>
              <w:bottom w:val="single" w:color="D9D9D9" w:sz="2" w:space="0"/>
            </w:tcBorders>
          </w:tcPr>
          <w:p w:rsidR="00C31389" w:rsidRDefault="00561FBD" w14:paraId="1F2315D4"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2009367E"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1C7C3666" w14:textId="77777777">
            <w:pPr>
              <w:pStyle w:val="TableParagraph"/>
              <w:spacing w:before="155"/>
              <w:ind w:left="198" w:right="155"/>
              <w:jc w:val="center"/>
              <w:rPr>
                <w:sz w:val="20"/>
              </w:rPr>
            </w:pPr>
            <w:r>
              <w:rPr>
                <w:spacing w:val="-2"/>
                <w:sz w:val="20"/>
              </w:rPr>
              <w:t>On-the-books</w:t>
            </w:r>
          </w:p>
        </w:tc>
      </w:tr>
      <w:tr w:rsidR="00C31389" w14:paraId="3B21E093" w14:textId="77777777">
        <w:trPr>
          <w:trHeight w:val="539"/>
        </w:trPr>
        <w:tc>
          <w:tcPr>
            <w:tcW w:w="1367" w:type="dxa"/>
            <w:tcBorders>
              <w:top w:val="single" w:color="D9D9D9" w:sz="2" w:space="0"/>
              <w:bottom w:val="single" w:color="D9D9D9" w:sz="2" w:space="0"/>
            </w:tcBorders>
          </w:tcPr>
          <w:p w:rsidR="00C31389" w:rsidRDefault="00561FBD" w14:paraId="797C6987"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34E9645E"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NRA-Lighting-Alterations- Existing Measures</w:t>
            </w:r>
          </w:p>
        </w:tc>
        <w:tc>
          <w:tcPr>
            <w:tcW w:w="1189" w:type="dxa"/>
            <w:tcBorders>
              <w:top w:val="single" w:color="D9D9D9" w:sz="2" w:space="0"/>
              <w:bottom w:val="single" w:color="D9D9D9" w:sz="2" w:space="0"/>
            </w:tcBorders>
          </w:tcPr>
          <w:p w:rsidR="00C31389" w:rsidRDefault="00561FBD" w14:paraId="78BC3B98" w14:textId="77777777">
            <w:pPr>
              <w:pStyle w:val="TableParagraph"/>
              <w:spacing w:before="155"/>
              <w:ind w:left="333"/>
              <w:rPr>
                <w:sz w:val="20"/>
              </w:rPr>
            </w:pPr>
            <w:r>
              <w:rPr>
                <w:spacing w:val="-5"/>
                <w:sz w:val="20"/>
              </w:rPr>
              <w:t>91%</w:t>
            </w:r>
          </w:p>
        </w:tc>
        <w:tc>
          <w:tcPr>
            <w:tcW w:w="1368" w:type="dxa"/>
            <w:tcBorders>
              <w:top w:val="single" w:color="D9D9D9" w:sz="2" w:space="0"/>
              <w:bottom w:val="single" w:color="D9D9D9" w:sz="2" w:space="0"/>
            </w:tcBorders>
          </w:tcPr>
          <w:p w:rsidR="00C31389" w:rsidRDefault="00561FBD" w14:paraId="68472110"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0BCC63EB" w14:textId="77777777">
            <w:pPr>
              <w:pStyle w:val="TableParagraph"/>
              <w:spacing w:before="155"/>
              <w:ind w:left="198" w:right="155"/>
              <w:jc w:val="center"/>
              <w:rPr>
                <w:sz w:val="20"/>
              </w:rPr>
            </w:pPr>
            <w:r>
              <w:rPr>
                <w:spacing w:val="-2"/>
                <w:sz w:val="20"/>
              </w:rPr>
              <w:t>On-the-books</w:t>
            </w:r>
          </w:p>
        </w:tc>
      </w:tr>
      <w:tr w:rsidR="00C31389" w14:paraId="0EFEA3D1" w14:textId="77777777">
        <w:trPr>
          <w:trHeight w:val="539"/>
        </w:trPr>
        <w:tc>
          <w:tcPr>
            <w:tcW w:w="1367" w:type="dxa"/>
            <w:tcBorders>
              <w:top w:val="single" w:color="D9D9D9" w:sz="2" w:space="0"/>
              <w:bottom w:val="single" w:color="D9D9D9" w:sz="2" w:space="0"/>
            </w:tcBorders>
          </w:tcPr>
          <w:p w:rsidR="00C31389" w:rsidRDefault="00561FBD" w14:paraId="1DB135B4"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32660D1D" w14:textId="77777777">
            <w:pPr>
              <w:pStyle w:val="TableParagraph"/>
              <w:ind w:left="202" w:right="28"/>
              <w:rPr>
                <w:sz w:val="20"/>
              </w:rPr>
            </w:pPr>
            <w:r>
              <w:rPr>
                <w:sz w:val="20"/>
              </w:rPr>
              <w:t>2013</w:t>
            </w:r>
            <w:r>
              <w:rPr>
                <w:spacing w:val="-14"/>
                <w:sz w:val="20"/>
              </w:rPr>
              <w:t xml:space="preserve"> </w:t>
            </w:r>
            <w:r>
              <w:rPr>
                <w:sz w:val="20"/>
              </w:rPr>
              <w:t>T-24:</w:t>
            </w:r>
            <w:r>
              <w:rPr>
                <w:spacing w:val="-14"/>
                <w:sz w:val="20"/>
              </w:rPr>
              <w:t xml:space="preserve"> </w:t>
            </w:r>
            <w:r>
              <w:rPr>
                <w:sz w:val="20"/>
              </w:rPr>
              <w:t>NRA-Lighting-Alterations- New Measures</w:t>
            </w:r>
          </w:p>
        </w:tc>
        <w:tc>
          <w:tcPr>
            <w:tcW w:w="1189" w:type="dxa"/>
            <w:tcBorders>
              <w:top w:val="single" w:color="D9D9D9" w:sz="2" w:space="0"/>
              <w:bottom w:val="single" w:color="D9D9D9" w:sz="2" w:space="0"/>
            </w:tcBorders>
          </w:tcPr>
          <w:p w:rsidR="00C31389" w:rsidRDefault="00561FBD" w14:paraId="1011D965" w14:textId="77777777">
            <w:pPr>
              <w:pStyle w:val="TableParagraph"/>
              <w:spacing w:before="155"/>
              <w:ind w:left="333"/>
              <w:rPr>
                <w:sz w:val="20"/>
              </w:rPr>
            </w:pPr>
            <w:r>
              <w:rPr>
                <w:spacing w:val="-5"/>
                <w:sz w:val="20"/>
              </w:rPr>
              <w:t>91%</w:t>
            </w:r>
          </w:p>
        </w:tc>
        <w:tc>
          <w:tcPr>
            <w:tcW w:w="1368" w:type="dxa"/>
            <w:tcBorders>
              <w:top w:val="single" w:color="D9D9D9" w:sz="2" w:space="0"/>
              <w:bottom w:val="single" w:color="D9D9D9" w:sz="2" w:space="0"/>
            </w:tcBorders>
          </w:tcPr>
          <w:p w:rsidR="00C31389" w:rsidRDefault="00561FBD" w14:paraId="17CDB296"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4948F57D" w14:textId="77777777">
            <w:pPr>
              <w:pStyle w:val="TableParagraph"/>
              <w:spacing w:before="155"/>
              <w:ind w:left="198" w:right="155"/>
              <w:jc w:val="center"/>
              <w:rPr>
                <w:sz w:val="20"/>
              </w:rPr>
            </w:pPr>
            <w:r>
              <w:rPr>
                <w:spacing w:val="-2"/>
                <w:sz w:val="20"/>
              </w:rPr>
              <w:t>On-the-books</w:t>
            </w:r>
          </w:p>
        </w:tc>
      </w:tr>
      <w:tr w:rsidR="00C31389" w14:paraId="11AF9075" w14:textId="77777777">
        <w:trPr>
          <w:trHeight w:val="539"/>
        </w:trPr>
        <w:tc>
          <w:tcPr>
            <w:tcW w:w="1367" w:type="dxa"/>
            <w:tcBorders>
              <w:top w:val="single" w:color="D9D9D9" w:sz="2" w:space="0"/>
              <w:bottom w:val="single" w:color="D9D9D9" w:sz="2" w:space="0"/>
            </w:tcBorders>
          </w:tcPr>
          <w:p w:rsidR="00C31389" w:rsidRDefault="00561FBD" w14:paraId="59DF2F83"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622EA355" w14:textId="77777777">
            <w:pPr>
              <w:pStyle w:val="TableParagraph"/>
              <w:ind w:left="202" w:right="382"/>
              <w:rPr>
                <w:sz w:val="20"/>
              </w:rPr>
            </w:pPr>
            <w:r>
              <w:rPr>
                <w:sz w:val="20"/>
              </w:rPr>
              <w:t>2013</w:t>
            </w:r>
            <w:r>
              <w:rPr>
                <w:spacing w:val="-14"/>
                <w:sz w:val="20"/>
              </w:rPr>
              <w:t xml:space="preserve"> </w:t>
            </w:r>
            <w:r>
              <w:rPr>
                <w:sz w:val="20"/>
              </w:rPr>
              <w:t>T-24:</w:t>
            </w:r>
            <w:r>
              <w:rPr>
                <w:spacing w:val="-14"/>
                <w:sz w:val="20"/>
              </w:rPr>
              <w:t xml:space="preserve"> </w:t>
            </w:r>
            <w:r>
              <w:rPr>
                <w:sz w:val="20"/>
              </w:rPr>
              <w:t>NRA-Lighting-Egress Lighting Control</w:t>
            </w:r>
          </w:p>
        </w:tc>
        <w:tc>
          <w:tcPr>
            <w:tcW w:w="1189" w:type="dxa"/>
            <w:tcBorders>
              <w:top w:val="single" w:color="D9D9D9" w:sz="2" w:space="0"/>
              <w:bottom w:val="single" w:color="D9D9D9" w:sz="2" w:space="0"/>
            </w:tcBorders>
          </w:tcPr>
          <w:p w:rsidR="00C31389" w:rsidRDefault="00561FBD" w14:paraId="323CDF8D" w14:textId="77777777">
            <w:pPr>
              <w:pStyle w:val="TableParagraph"/>
              <w:spacing w:before="155"/>
              <w:ind w:left="334"/>
              <w:rPr>
                <w:sz w:val="20"/>
              </w:rPr>
            </w:pPr>
            <w:r>
              <w:rPr>
                <w:spacing w:val="-5"/>
                <w:sz w:val="20"/>
              </w:rPr>
              <w:t>91%</w:t>
            </w:r>
          </w:p>
        </w:tc>
        <w:tc>
          <w:tcPr>
            <w:tcW w:w="1368" w:type="dxa"/>
            <w:tcBorders>
              <w:top w:val="single" w:color="D9D9D9" w:sz="2" w:space="0"/>
              <w:bottom w:val="single" w:color="D9D9D9" w:sz="2" w:space="0"/>
            </w:tcBorders>
          </w:tcPr>
          <w:p w:rsidR="00C31389" w:rsidRDefault="00561FBD" w14:paraId="6458FEBC"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45315C52" w14:textId="77777777">
            <w:pPr>
              <w:pStyle w:val="TableParagraph"/>
              <w:spacing w:before="155"/>
              <w:ind w:left="198" w:right="155"/>
              <w:jc w:val="center"/>
              <w:rPr>
                <w:sz w:val="20"/>
              </w:rPr>
            </w:pPr>
            <w:r>
              <w:rPr>
                <w:spacing w:val="-2"/>
                <w:sz w:val="20"/>
              </w:rPr>
              <w:t>On-the-books</w:t>
            </w:r>
          </w:p>
        </w:tc>
      </w:tr>
      <w:tr w:rsidR="00C31389" w14:paraId="3F3420AB" w14:textId="77777777">
        <w:trPr>
          <w:trHeight w:val="539"/>
        </w:trPr>
        <w:tc>
          <w:tcPr>
            <w:tcW w:w="1367" w:type="dxa"/>
            <w:tcBorders>
              <w:top w:val="single" w:color="D9D9D9" w:sz="2" w:space="0"/>
              <w:bottom w:val="single" w:color="D9D9D9" w:sz="2" w:space="0"/>
            </w:tcBorders>
          </w:tcPr>
          <w:p w:rsidR="00C31389" w:rsidRDefault="00561FBD" w14:paraId="174583BE"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60DBBC14" w14:textId="77777777">
            <w:pPr>
              <w:pStyle w:val="TableParagraph"/>
              <w:ind w:left="202" w:right="382"/>
              <w:rPr>
                <w:sz w:val="20"/>
              </w:rPr>
            </w:pPr>
            <w:r>
              <w:rPr>
                <w:sz w:val="20"/>
              </w:rPr>
              <w:t>2013</w:t>
            </w:r>
            <w:r>
              <w:rPr>
                <w:spacing w:val="-14"/>
                <w:sz w:val="20"/>
              </w:rPr>
              <w:t xml:space="preserve"> </w:t>
            </w:r>
            <w:r>
              <w:rPr>
                <w:sz w:val="20"/>
              </w:rPr>
              <w:t>T-24:</w:t>
            </w:r>
            <w:r>
              <w:rPr>
                <w:spacing w:val="-14"/>
                <w:sz w:val="20"/>
              </w:rPr>
              <w:t xml:space="preserve"> </w:t>
            </w:r>
            <w:r>
              <w:rPr>
                <w:sz w:val="20"/>
              </w:rPr>
              <w:t xml:space="preserve">NRA-Lighting-Hotel </w:t>
            </w:r>
            <w:r>
              <w:rPr>
                <w:spacing w:val="-2"/>
                <w:sz w:val="20"/>
              </w:rPr>
              <w:t>Corridors</w:t>
            </w:r>
          </w:p>
        </w:tc>
        <w:tc>
          <w:tcPr>
            <w:tcW w:w="1189" w:type="dxa"/>
            <w:tcBorders>
              <w:top w:val="single" w:color="D9D9D9" w:sz="2" w:space="0"/>
              <w:bottom w:val="single" w:color="D9D9D9" w:sz="2" w:space="0"/>
            </w:tcBorders>
          </w:tcPr>
          <w:p w:rsidR="00C31389" w:rsidRDefault="00561FBD" w14:paraId="68CB43F9" w14:textId="77777777">
            <w:pPr>
              <w:pStyle w:val="TableParagraph"/>
              <w:spacing w:before="155"/>
              <w:ind w:left="333"/>
              <w:rPr>
                <w:sz w:val="20"/>
              </w:rPr>
            </w:pPr>
            <w:r>
              <w:rPr>
                <w:spacing w:val="-5"/>
                <w:sz w:val="20"/>
              </w:rPr>
              <w:t>91%</w:t>
            </w:r>
          </w:p>
        </w:tc>
        <w:tc>
          <w:tcPr>
            <w:tcW w:w="1368" w:type="dxa"/>
            <w:tcBorders>
              <w:top w:val="single" w:color="D9D9D9" w:sz="2" w:space="0"/>
              <w:bottom w:val="single" w:color="D9D9D9" w:sz="2" w:space="0"/>
            </w:tcBorders>
          </w:tcPr>
          <w:p w:rsidR="00C31389" w:rsidRDefault="00561FBD" w14:paraId="58FB9932"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47310907" w14:textId="77777777">
            <w:pPr>
              <w:pStyle w:val="TableParagraph"/>
              <w:spacing w:before="155"/>
              <w:ind w:left="198" w:right="155"/>
              <w:jc w:val="center"/>
              <w:rPr>
                <w:sz w:val="20"/>
              </w:rPr>
            </w:pPr>
            <w:r>
              <w:rPr>
                <w:spacing w:val="-2"/>
                <w:sz w:val="20"/>
              </w:rPr>
              <w:t>On-the-books</w:t>
            </w:r>
          </w:p>
        </w:tc>
      </w:tr>
      <w:tr w:rsidR="00C31389" w14:paraId="1C7D8EBB" w14:textId="77777777">
        <w:trPr>
          <w:trHeight w:val="539"/>
        </w:trPr>
        <w:tc>
          <w:tcPr>
            <w:tcW w:w="1367" w:type="dxa"/>
            <w:tcBorders>
              <w:top w:val="single" w:color="D9D9D9" w:sz="2" w:space="0"/>
              <w:bottom w:val="single" w:color="D9D9D9" w:sz="2" w:space="0"/>
            </w:tcBorders>
          </w:tcPr>
          <w:p w:rsidR="00C31389" w:rsidRDefault="00561FBD" w14:paraId="4DD612C4"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289AD075" w14:textId="77777777">
            <w:pPr>
              <w:pStyle w:val="TableParagraph"/>
              <w:ind w:left="202"/>
              <w:rPr>
                <w:sz w:val="20"/>
              </w:rPr>
            </w:pPr>
            <w:r>
              <w:rPr>
                <w:sz w:val="20"/>
              </w:rPr>
              <w:t>2013</w:t>
            </w:r>
            <w:r>
              <w:rPr>
                <w:spacing w:val="-13"/>
                <w:sz w:val="20"/>
              </w:rPr>
              <w:t xml:space="preserve"> </w:t>
            </w:r>
            <w:r>
              <w:rPr>
                <w:sz w:val="20"/>
              </w:rPr>
              <w:t>T-24:</w:t>
            </w:r>
            <w:r>
              <w:rPr>
                <w:spacing w:val="-13"/>
                <w:sz w:val="20"/>
              </w:rPr>
              <w:t xml:space="preserve"> </w:t>
            </w:r>
            <w:r>
              <w:rPr>
                <w:sz w:val="20"/>
              </w:rPr>
              <w:t>NRA-Lighting-MF</w:t>
            </w:r>
            <w:r>
              <w:rPr>
                <w:spacing w:val="-13"/>
                <w:sz w:val="20"/>
              </w:rPr>
              <w:t xml:space="preserve"> </w:t>
            </w:r>
            <w:r>
              <w:rPr>
                <w:sz w:val="20"/>
              </w:rPr>
              <w:t xml:space="preserve">Building </w:t>
            </w:r>
            <w:r>
              <w:rPr>
                <w:spacing w:val="-2"/>
                <w:sz w:val="20"/>
              </w:rPr>
              <w:t>Corridors</w:t>
            </w:r>
          </w:p>
        </w:tc>
        <w:tc>
          <w:tcPr>
            <w:tcW w:w="1189" w:type="dxa"/>
            <w:tcBorders>
              <w:top w:val="single" w:color="D9D9D9" w:sz="2" w:space="0"/>
              <w:bottom w:val="single" w:color="D9D9D9" w:sz="2" w:space="0"/>
            </w:tcBorders>
          </w:tcPr>
          <w:p w:rsidR="00C31389" w:rsidRDefault="00561FBD" w14:paraId="563BD784" w14:textId="77777777">
            <w:pPr>
              <w:pStyle w:val="TableParagraph"/>
              <w:spacing w:before="155"/>
              <w:ind w:left="333"/>
              <w:rPr>
                <w:sz w:val="20"/>
              </w:rPr>
            </w:pPr>
            <w:r>
              <w:rPr>
                <w:spacing w:val="-5"/>
                <w:sz w:val="20"/>
              </w:rPr>
              <w:t>91%</w:t>
            </w:r>
          </w:p>
        </w:tc>
        <w:tc>
          <w:tcPr>
            <w:tcW w:w="1368" w:type="dxa"/>
            <w:tcBorders>
              <w:top w:val="single" w:color="D9D9D9" w:sz="2" w:space="0"/>
              <w:bottom w:val="single" w:color="D9D9D9" w:sz="2" w:space="0"/>
            </w:tcBorders>
          </w:tcPr>
          <w:p w:rsidR="00C31389" w:rsidRDefault="00561FBD" w14:paraId="50C7D9F0"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1E00B71D" w14:textId="77777777">
            <w:pPr>
              <w:pStyle w:val="TableParagraph"/>
              <w:spacing w:before="155"/>
              <w:ind w:left="198" w:right="155"/>
              <w:jc w:val="center"/>
              <w:rPr>
                <w:sz w:val="20"/>
              </w:rPr>
            </w:pPr>
            <w:r>
              <w:rPr>
                <w:spacing w:val="-2"/>
                <w:sz w:val="20"/>
              </w:rPr>
              <w:t>On-the-books</w:t>
            </w:r>
          </w:p>
        </w:tc>
      </w:tr>
      <w:tr w:rsidR="00C31389" w14:paraId="7FAFF772" w14:textId="77777777">
        <w:trPr>
          <w:trHeight w:val="539"/>
        </w:trPr>
        <w:tc>
          <w:tcPr>
            <w:tcW w:w="1367" w:type="dxa"/>
            <w:tcBorders>
              <w:top w:val="single" w:color="D9D9D9" w:sz="2" w:space="0"/>
              <w:bottom w:val="single" w:color="D9D9D9" w:sz="2" w:space="0"/>
            </w:tcBorders>
          </w:tcPr>
          <w:p w:rsidR="00C31389" w:rsidRDefault="00561FBD" w14:paraId="17D96272"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09A25FF9" w14:textId="77777777">
            <w:pPr>
              <w:pStyle w:val="TableParagraph"/>
              <w:spacing w:before="41"/>
              <w:ind w:left="202" w:right="382"/>
              <w:rPr>
                <w:sz w:val="20"/>
              </w:rPr>
            </w:pPr>
            <w:r>
              <w:rPr>
                <w:sz w:val="20"/>
              </w:rPr>
              <w:t>2013 T-24: NRA-Lighting- Warehouses</w:t>
            </w:r>
            <w:r>
              <w:rPr>
                <w:spacing w:val="-14"/>
                <w:sz w:val="20"/>
              </w:rPr>
              <w:t xml:space="preserve"> </w:t>
            </w:r>
            <w:r>
              <w:rPr>
                <w:sz w:val="20"/>
              </w:rPr>
              <w:t>and</w:t>
            </w:r>
            <w:r>
              <w:rPr>
                <w:spacing w:val="-14"/>
                <w:sz w:val="20"/>
              </w:rPr>
              <w:t xml:space="preserve"> </w:t>
            </w:r>
            <w:r>
              <w:rPr>
                <w:sz w:val="20"/>
              </w:rPr>
              <w:t>Libraries</w:t>
            </w:r>
          </w:p>
        </w:tc>
        <w:tc>
          <w:tcPr>
            <w:tcW w:w="1189" w:type="dxa"/>
            <w:tcBorders>
              <w:top w:val="single" w:color="D9D9D9" w:sz="2" w:space="0"/>
              <w:bottom w:val="single" w:color="D9D9D9" w:sz="2" w:space="0"/>
            </w:tcBorders>
          </w:tcPr>
          <w:p w:rsidR="00C31389" w:rsidRDefault="00561FBD" w14:paraId="35487B8B" w14:textId="77777777">
            <w:pPr>
              <w:pStyle w:val="TableParagraph"/>
              <w:spacing w:before="155"/>
              <w:ind w:left="333"/>
              <w:rPr>
                <w:sz w:val="20"/>
              </w:rPr>
            </w:pPr>
            <w:r>
              <w:rPr>
                <w:spacing w:val="-5"/>
                <w:sz w:val="20"/>
              </w:rPr>
              <w:t>91%</w:t>
            </w:r>
          </w:p>
        </w:tc>
        <w:tc>
          <w:tcPr>
            <w:tcW w:w="1368" w:type="dxa"/>
            <w:tcBorders>
              <w:top w:val="single" w:color="D9D9D9" w:sz="2" w:space="0"/>
              <w:bottom w:val="single" w:color="D9D9D9" w:sz="2" w:space="0"/>
            </w:tcBorders>
          </w:tcPr>
          <w:p w:rsidR="00C31389" w:rsidRDefault="00561FBD" w14:paraId="38B86428"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14E71226" w14:textId="77777777">
            <w:pPr>
              <w:pStyle w:val="TableParagraph"/>
              <w:spacing w:before="155"/>
              <w:ind w:left="198" w:right="155"/>
              <w:jc w:val="center"/>
              <w:rPr>
                <w:sz w:val="20"/>
              </w:rPr>
            </w:pPr>
            <w:r>
              <w:rPr>
                <w:spacing w:val="-2"/>
                <w:sz w:val="20"/>
              </w:rPr>
              <w:t>On-the-books</w:t>
            </w:r>
          </w:p>
        </w:tc>
      </w:tr>
      <w:tr w:rsidR="00C31389" w14:paraId="354A8E7C" w14:textId="77777777">
        <w:trPr>
          <w:trHeight w:val="540"/>
        </w:trPr>
        <w:tc>
          <w:tcPr>
            <w:tcW w:w="1367" w:type="dxa"/>
            <w:tcBorders>
              <w:top w:val="single" w:color="D9D9D9" w:sz="2" w:space="0"/>
              <w:bottom w:val="single" w:color="D9D9D9" w:sz="2" w:space="0"/>
            </w:tcBorders>
          </w:tcPr>
          <w:p w:rsidR="00C31389" w:rsidRDefault="00561FBD" w14:paraId="1CB4C0BC"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5D52AA90" w14:textId="77777777">
            <w:pPr>
              <w:pStyle w:val="TableParagraph"/>
              <w:spacing w:before="41"/>
              <w:ind w:left="202" w:right="382"/>
              <w:rPr>
                <w:sz w:val="20"/>
              </w:rPr>
            </w:pPr>
            <w:r>
              <w:rPr>
                <w:sz w:val="20"/>
              </w:rPr>
              <w:t>2013</w:t>
            </w:r>
            <w:r>
              <w:rPr>
                <w:spacing w:val="-14"/>
                <w:sz w:val="20"/>
              </w:rPr>
              <w:t xml:space="preserve"> </w:t>
            </w:r>
            <w:r>
              <w:rPr>
                <w:sz w:val="20"/>
              </w:rPr>
              <w:t>T-24:</w:t>
            </w:r>
            <w:r>
              <w:rPr>
                <w:spacing w:val="-14"/>
                <w:sz w:val="20"/>
              </w:rPr>
              <w:t xml:space="preserve"> </w:t>
            </w:r>
            <w:r>
              <w:rPr>
                <w:sz w:val="20"/>
              </w:rPr>
              <w:t xml:space="preserve">NRA-Process-Air </w:t>
            </w:r>
            <w:r>
              <w:rPr>
                <w:spacing w:val="-2"/>
                <w:sz w:val="20"/>
              </w:rPr>
              <w:t>Compressors</w:t>
            </w:r>
          </w:p>
        </w:tc>
        <w:tc>
          <w:tcPr>
            <w:tcW w:w="1189" w:type="dxa"/>
            <w:tcBorders>
              <w:top w:val="single" w:color="D9D9D9" w:sz="2" w:space="0"/>
              <w:bottom w:val="single" w:color="D9D9D9" w:sz="2" w:space="0"/>
            </w:tcBorders>
          </w:tcPr>
          <w:p w:rsidR="00C31389" w:rsidRDefault="00561FBD" w14:paraId="47662DFA"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35FEBD97"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08BC27AB" w14:textId="77777777">
            <w:pPr>
              <w:pStyle w:val="TableParagraph"/>
              <w:spacing w:before="155"/>
              <w:ind w:left="198" w:right="155"/>
              <w:jc w:val="center"/>
              <w:rPr>
                <w:sz w:val="20"/>
              </w:rPr>
            </w:pPr>
            <w:r>
              <w:rPr>
                <w:spacing w:val="-2"/>
                <w:sz w:val="20"/>
              </w:rPr>
              <w:t>On-the-books</w:t>
            </w:r>
          </w:p>
        </w:tc>
      </w:tr>
      <w:tr w:rsidR="00C31389" w14:paraId="05A1D5F0" w14:textId="77777777">
        <w:trPr>
          <w:trHeight w:val="309"/>
        </w:trPr>
        <w:tc>
          <w:tcPr>
            <w:tcW w:w="1367" w:type="dxa"/>
            <w:tcBorders>
              <w:top w:val="single" w:color="D9D9D9" w:sz="2" w:space="0"/>
              <w:bottom w:val="single" w:color="D9D9D9" w:sz="2" w:space="0"/>
            </w:tcBorders>
          </w:tcPr>
          <w:p w:rsidR="00C31389" w:rsidRDefault="00561FBD" w14:paraId="0848E9D7"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703F98D2" w14:textId="77777777">
            <w:pPr>
              <w:pStyle w:val="TableParagraph"/>
              <w:ind w:left="202"/>
              <w:rPr>
                <w:sz w:val="20"/>
              </w:rPr>
            </w:pPr>
            <w:r>
              <w:rPr>
                <w:sz w:val="20"/>
              </w:rPr>
              <w:t>2013</w:t>
            </w:r>
            <w:r>
              <w:rPr>
                <w:spacing w:val="-3"/>
                <w:sz w:val="20"/>
              </w:rPr>
              <w:t xml:space="preserve"> </w:t>
            </w:r>
            <w:r>
              <w:rPr>
                <w:sz w:val="20"/>
              </w:rPr>
              <w:t>T-24:</w:t>
            </w:r>
            <w:r>
              <w:rPr>
                <w:spacing w:val="-4"/>
                <w:sz w:val="20"/>
              </w:rPr>
              <w:t xml:space="preserve"> </w:t>
            </w:r>
            <w:r>
              <w:rPr>
                <w:sz w:val="20"/>
              </w:rPr>
              <w:t>RA-MF</w:t>
            </w:r>
            <w:r>
              <w:rPr>
                <w:spacing w:val="-3"/>
                <w:sz w:val="20"/>
              </w:rPr>
              <w:t xml:space="preserve"> </w:t>
            </w:r>
            <w:r>
              <w:rPr>
                <w:sz w:val="20"/>
              </w:rPr>
              <w:t>Whole</w:t>
            </w:r>
            <w:r>
              <w:rPr>
                <w:spacing w:val="-3"/>
                <w:sz w:val="20"/>
              </w:rPr>
              <w:t xml:space="preserve"> </w:t>
            </w:r>
            <w:r>
              <w:rPr>
                <w:spacing w:val="-2"/>
                <w:sz w:val="20"/>
              </w:rPr>
              <w:t>Building</w:t>
            </w:r>
          </w:p>
        </w:tc>
        <w:tc>
          <w:tcPr>
            <w:tcW w:w="1189" w:type="dxa"/>
            <w:tcBorders>
              <w:top w:val="single" w:color="D9D9D9" w:sz="2" w:space="0"/>
              <w:bottom w:val="single" w:color="D9D9D9" w:sz="2" w:space="0"/>
            </w:tcBorders>
          </w:tcPr>
          <w:p w:rsidR="00C31389" w:rsidRDefault="00561FBD" w14:paraId="52D6A793" w14:textId="77777777">
            <w:pPr>
              <w:pStyle w:val="TableParagraph"/>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0FE792D7" w14:textId="77777777">
            <w:pPr>
              <w:pStyle w:val="TableParagraph"/>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41F8ECD1" w14:textId="77777777">
            <w:pPr>
              <w:pStyle w:val="TableParagraph"/>
              <w:ind w:left="198" w:right="155"/>
              <w:jc w:val="center"/>
              <w:rPr>
                <w:sz w:val="20"/>
              </w:rPr>
            </w:pPr>
            <w:r>
              <w:rPr>
                <w:spacing w:val="-2"/>
                <w:sz w:val="20"/>
              </w:rPr>
              <w:t>On-the-books</w:t>
            </w:r>
          </w:p>
        </w:tc>
      </w:tr>
      <w:tr w:rsidR="00C31389" w14:paraId="707B459F" w14:textId="77777777">
        <w:trPr>
          <w:trHeight w:val="310"/>
        </w:trPr>
        <w:tc>
          <w:tcPr>
            <w:tcW w:w="1367" w:type="dxa"/>
            <w:tcBorders>
              <w:top w:val="single" w:color="D9D9D9" w:sz="2" w:space="0"/>
              <w:bottom w:val="single" w:color="D9D9D9" w:sz="2" w:space="0"/>
            </w:tcBorders>
          </w:tcPr>
          <w:p w:rsidR="00C31389" w:rsidRDefault="00561FBD" w14:paraId="2C98FAA8"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03D4C7CA" w14:textId="77777777">
            <w:pPr>
              <w:pStyle w:val="TableParagraph"/>
              <w:ind w:left="202"/>
              <w:rPr>
                <w:sz w:val="20"/>
              </w:rPr>
            </w:pPr>
            <w:r>
              <w:rPr>
                <w:sz w:val="20"/>
              </w:rPr>
              <w:t>2013</w:t>
            </w:r>
            <w:r>
              <w:rPr>
                <w:spacing w:val="-3"/>
                <w:sz w:val="20"/>
              </w:rPr>
              <w:t xml:space="preserve"> </w:t>
            </w:r>
            <w:r>
              <w:rPr>
                <w:sz w:val="20"/>
              </w:rPr>
              <w:t>T-24:</w:t>
            </w:r>
            <w:r>
              <w:rPr>
                <w:spacing w:val="-3"/>
                <w:sz w:val="20"/>
              </w:rPr>
              <w:t xml:space="preserve"> </w:t>
            </w:r>
            <w:r>
              <w:rPr>
                <w:sz w:val="20"/>
              </w:rPr>
              <w:t>RA-SF</w:t>
            </w:r>
            <w:r>
              <w:rPr>
                <w:spacing w:val="-3"/>
                <w:sz w:val="20"/>
              </w:rPr>
              <w:t xml:space="preserve"> </w:t>
            </w:r>
            <w:r>
              <w:rPr>
                <w:sz w:val="20"/>
              </w:rPr>
              <w:t>Whole</w:t>
            </w:r>
            <w:r>
              <w:rPr>
                <w:spacing w:val="-2"/>
                <w:sz w:val="20"/>
              </w:rPr>
              <w:t xml:space="preserve"> Building</w:t>
            </w:r>
          </w:p>
        </w:tc>
        <w:tc>
          <w:tcPr>
            <w:tcW w:w="1189" w:type="dxa"/>
            <w:tcBorders>
              <w:top w:val="single" w:color="D9D9D9" w:sz="2" w:space="0"/>
              <w:bottom w:val="single" w:color="D9D9D9" w:sz="2" w:space="0"/>
            </w:tcBorders>
          </w:tcPr>
          <w:p w:rsidR="00C31389" w:rsidRDefault="00561FBD" w14:paraId="1501522C" w14:textId="77777777">
            <w:pPr>
              <w:pStyle w:val="TableParagraph"/>
              <w:ind w:left="334"/>
              <w:rPr>
                <w:sz w:val="20"/>
              </w:rPr>
            </w:pPr>
            <w:r>
              <w:rPr>
                <w:spacing w:val="-5"/>
                <w:sz w:val="20"/>
              </w:rPr>
              <w:t>67%</w:t>
            </w:r>
          </w:p>
        </w:tc>
        <w:tc>
          <w:tcPr>
            <w:tcW w:w="1368" w:type="dxa"/>
            <w:tcBorders>
              <w:top w:val="single" w:color="D9D9D9" w:sz="2" w:space="0"/>
              <w:bottom w:val="single" w:color="D9D9D9" w:sz="2" w:space="0"/>
            </w:tcBorders>
          </w:tcPr>
          <w:p w:rsidR="00C31389" w:rsidRDefault="00561FBD" w14:paraId="6EBA27E4" w14:textId="77777777">
            <w:pPr>
              <w:pStyle w:val="TableParagraph"/>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769941B9" w14:textId="77777777">
            <w:pPr>
              <w:pStyle w:val="TableParagraph"/>
              <w:ind w:left="198" w:right="155"/>
              <w:jc w:val="center"/>
              <w:rPr>
                <w:sz w:val="20"/>
              </w:rPr>
            </w:pPr>
            <w:r>
              <w:rPr>
                <w:spacing w:val="-2"/>
                <w:sz w:val="20"/>
              </w:rPr>
              <w:t>On-the-books</w:t>
            </w:r>
          </w:p>
        </w:tc>
      </w:tr>
      <w:tr w:rsidR="00C31389" w14:paraId="3EFC5F4E" w14:textId="77777777">
        <w:trPr>
          <w:trHeight w:val="539"/>
        </w:trPr>
        <w:tc>
          <w:tcPr>
            <w:tcW w:w="1367" w:type="dxa"/>
            <w:tcBorders>
              <w:top w:val="single" w:color="D9D9D9" w:sz="2" w:space="0"/>
              <w:bottom w:val="single" w:color="D9D9D9" w:sz="2" w:space="0"/>
            </w:tcBorders>
          </w:tcPr>
          <w:p w:rsidR="00C31389" w:rsidRDefault="00561FBD" w14:paraId="442AE8DC"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3D3422C1" w14:textId="77777777">
            <w:pPr>
              <w:pStyle w:val="TableParagraph"/>
              <w:ind w:left="202"/>
              <w:rPr>
                <w:sz w:val="20"/>
              </w:rPr>
            </w:pPr>
            <w:r>
              <w:rPr>
                <w:sz w:val="20"/>
              </w:rPr>
              <w:t>2013</w:t>
            </w:r>
            <w:r>
              <w:rPr>
                <w:spacing w:val="-3"/>
                <w:sz w:val="20"/>
              </w:rPr>
              <w:t xml:space="preserve"> </w:t>
            </w:r>
            <w:r>
              <w:rPr>
                <w:sz w:val="20"/>
              </w:rPr>
              <w:t>T-24:</w:t>
            </w:r>
            <w:r>
              <w:rPr>
                <w:spacing w:val="-2"/>
                <w:sz w:val="20"/>
              </w:rPr>
              <w:t xml:space="preserve"> </w:t>
            </w:r>
            <w:r>
              <w:rPr>
                <w:sz w:val="20"/>
              </w:rPr>
              <w:t>RNC-DHW</w:t>
            </w:r>
            <w:r>
              <w:rPr>
                <w:spacing w:val="-2"/>
                <w:sz w:val="20"/>
              </w:rPr>
              <w:t xml:space="preserve"> </w:t>
            </w:r>
            <w:r>
              <w:rPr>
                <w:sz w:val="20"/>
              </w:rPr>
              <w:t>-</w:t>
            </w:r>
            <w:r>
              <w:rPr>
                <w:spacing w:val="-2"/>
                <w:sz w:val="20"/>
              </w:rPr>
              <w:t xml:space="preserve"> </w:t>
            </w:r>
            <w:r>
              <w:rPr>
                <w:spacing w:val="-4"/>
                <w:sz w:val="20"/>
              </w:rPr>
              <w:t>High</w:t>
            </w:r>
          </w:p>
          <w:p w:rsidR="00C31389" w:rsidRDefault="00561FBD" w14:paraId="14260FFF" w14:textId="77777777">
            <w:pPr>
              <w:pStyle w:val="TableParagraph"/>
              <w:spacing w:before="0"/>
              <w:ind w:left="202"/>
              <w:rPr>
                <w:sz w:val="20"/>
              </w:rPr>
            </w:pPr>
            <w:r>
              <w:rPr>
                <w:sz w:val="20"/>
              </w:rPr>
              <w:t>Efficiency</w:t>
            </w:r>
            <w:r>
              <w:rPr>
                <w:spacing w:val="-5"/>
                <w:sz w:val="20"/>
              </w:rPr>
              <w:t xml:space="preserve"> </w:t>
            </w:r>
            <w:r>
              <w:rPr>
                <w:sz w:val="20"/>
              </w:rPr>
              <w:t>Water</w:t>
            </w:r>
            <w:r>
              <w:rPr>
                <w:spacing w:val="-4"/>
                <w:sz w:val="20"/>
              </w:rPr>
              <w:t xml:space="preserve"> </w:t>
            </w:r>
            <w:r>
              <w:rPr>
                <w:sz w:val="20"/>
              </w:rPr>
              <w:t>Heater</w:t>
            </w:r>
            <w:r>
              <w:rPr>
                <w:spacing w:val="-4"/>
                <w:sz w:val="20"/>
              </w:rPr>
              <w:t xml:space="preserve"> </w:t>
            </w:r>
            <w:r>
              <w:rPr>
                <w:spacing w:val="-2"/>
                <w:sz w:val="20"/>
              </w:rPr>
              <w:t>Ready</w:t>
            </w:r>
          </w:p>
        </w:tc>
        <w:tc>
          <w:tcPr>
            <w:tcW w:w="1189" w:type="dxa"/>
            <w:tcBorders>
              <w:top w:val="single" w:color="D9D9D9" w:sz="2" w:space="0"/>
              <w:bottom w:val="single" w:color="D9D9D9" w:sz="2" w:space="0"/>
            </w:tcBorders>
          </w:tcPr>
          <w:p w:rsidR="00C31389" w:rsidRDefault="00561FBD" w14:paraId="134060DD"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27D0ACBE"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0B7FC02E" w14:textId="77777777">
            <w:pPr>
              <w:pStyle w:val="TableParagraph"/>
              <w:spacing w:before="155"/>
              <w:ind w:left="198" w:right="155"/>
              <w:jc w:val="center"/>
              <w:rPr>
                <w:sz w:val="20"/>
              </w:rPr>
            </w:pPr>
            <w:r>
              <w:rPr>
                <w:spacing w:val="-2"/>
                <w:sz w:val="20"/>
              </w:rPr>
              <w:t>On-the-books</w:t>
            </w:r>
          </w:p>
        </w:tc>
      </w:tr>
      <w:tr w:rsidR="00C31389" w14:paraId="06AB650B" w14:textId="77777777">
        <w:trPr>
          <w:trHeight w:val="539"/>
        </w:trPr>
        <w:tc>
          <w:tcPr>
            <w:tcW w:w="1367" w:type="dxa"/>
            <w:tcBorders>
              <w:top w:val="single" w:color="D9D9D9" w:sz="2" w:space="0"/>
              <w:bottom w:val="single" w:color="D9D9D9" w:sz="2" w:space="0"/>
            </w:tcBorders>
          </w:tcPr>
          <w:p w:rsidR="00C31389" w:rsidRDefault="00561FBD" w14:paraId="72E10ED2"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3F02862D" w14:textId="77777777">
            <w:pPr>
              <w:pStyle w:val="TableParagraph"/>
              <w:ind w:left="202"/>
              <w:rPr>
                <w:sz w:val="20"/>
              </w:rPr>
            </w:pPr>
            <w:r>
              <w:rPr>
                <w:sz w:val="20"/>
              </w:rPr>
              <w:t>2013</w:t>
            </w:r>
            <w:r>
              <w:rPr>
                <w:spacing w:val="-3"/>
                <w:sz w:val="20"/>
              </w:rPr>
              <w:t xml:space="preserve"> </w:t>
            </w:r>
            <w:r>
              <w:rPr>
                <w:sz w:val="20"/>
              </w:rPr>
              <w:t>T-24:</w:t>
            </w:r>
            <w:r>
              <w:rPr>
                <w:spacing w:val="-3"/>
                <w:sz w:val="20"/>
              </w:rPr>
              <w:t xml:space="preserve"> </w:t>
            </w:r>
            <w:r>
              <w:rPr>
                <w:sz w:val="20"/>
              </w:rPr>
              <w:t>RNC-DHW</w:t>
            </w:r>
            <w:r>
              <w:rPr>
                <w:spacing w:val="-2"/>
                <w:sz w:val="20"/>
              </w:rPr>
              <w:t xml:space="preserve"> </w:t>
            </w:r>
            <w:r>
              <w:rPr>
                <w:sz w:val="20"/>
              </w:rPr>
              <w:t>-</w:t>
            </w:r>
            <w:r>
              <w:rPr>
                <w:spacing w:val="-3"/>
                <w:sz w:val="20"/>
              </w:rPr>
              <w:t xml:space="preserve"> </w:t>
            </w:r>
            <w:r>
              <w:rPr>
                <w:sz w:val="20"/>
              </w:rPr>
              <w:t>Solar</w:t>
            </w:r>
            <w:r>
              <w:rPr>
                <w:spacing w:val="-1"/>
                <w:sz w:val="20"/>
              </w:rPr>
              <w:t xml:space="preserve"> </w:t>
            </w:r>
            <w:r>
              <w:rPr>
                <w:spacing w:val="-5"/>
                <w:sz w:val="20"/>
              </w:rPr>
              <w:t>for</w:t>
            </w:r>
          </w:p>
          <w:p w:rsidR="00C31389" w:rsidRDefault="00561FBD" w14:paraId="5EE237CD" w14:textId="77777777">
            <w:pPr>
              <w:pStyle w:val="TableParagraph"/>
              <w:spacing w:before="0"/>
              <w:ind w:left="202"/>
              <w:rPr>
                <w:sz w:val="20"/>
              </w:rPr>
            </w:pPr>
            <w:r>
              <w:rPr>
                <w:sz w:val="20"/>
              </w:rPr>
              <w:t>Electrically</w:t>
            </w:r>
            <w:r>
              <w:rPr>
                <w:spacing w:val="-6"/>
                <w:sz w:val="20"/>
              </w:rPr>
              <w:t xml:space="preserve"> </w:t>
            </w:r>
            <w:r>
              <w:rPr>
                <w:sz w:val="20"/>
              </w:rPr>
              <w:t>Heated</w:t>
            </w:r>
            <w:r>
              <w:rPr>
                <w:spacing w:val="-5"/>
                <w:sz w:val="20"/>
              </w:rPr>
              <w:t xml:space="preserve"> </w:t>
            </w:r>
            <w:r>
              <w:rPr>
                <w:spacing w:val="-4"/>
                <w:sz w:val="20"/>
              </w:rPr>
              <w:t>Homes</w:t>
            </w:r>
          </w:p>
        </w:tc>
        <w:tc>
          <w:tcPr>
            <w:tcW w:w="1189" w:type="dxa"/>
            <w:tcBorders>
              <w:top w:val="single" w:color="D9D9D9" w:sz="2" w:space="0"/>
              <w:bottom w:val="single" w:color="D9D9D9" w:sz="2" w:space="0"/>
            </w:tcBorders>
          </w:tcPr>
          <w:p w:rsidR="00C31389" w:rsidRDefault="00561FBD" w14:paraId="278389F1"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7C4FAD8D"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17C1F39C" w14:textId="77777777">
            <w:pPr>
              <w:pStyle w:val="TableParagraph"/>
              <w:spacing w:before="155"/>
              <w:ind w:left="198" w:right="155"/>
              <w:jc w:val="center"/>
              <w:rPr>
                <w:sz w:val="20"/>
              </w:rPr>
            </w:pPr>
            <w:r>
              <w:rPr>
                <w:spacing w:val="-2"/>
                <w:sz w:val="20"/>
              </w:rPr>
              <w:t>On-the-books</w:t>
            </w:r>
          </w:p>
        </w:tc>
      </w:tr>
      <w:tr w:rsidR="00C31389" w14:paraId="295B33A0" w14:textId="77777777">
        <w:trPr>
          <w:trHeight w:val="309"/>
        </w:trPr>
        <w:tc>
          <w:tcPr>
            <w:tcW w:w="1367" w:type="dxa"/>
            <w:tcBorders>
              <w:top w:val="single" w:color="D9D9D9" w:sz="2" w:space="0"/>
              <w:bottom w:val="single" w:color="D9D9D9" w:sz="2" w:space="0"/>
            </w:tcBorders>
          </w:tcPr>
          <w:p w:rsidR="00C31389" w:rsidRDefault="00561FBD" w14:paraId="78500167"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3052C547" w14:textId="77777777">
            <w:pPr>
              <w:pStyle w:val="TableParagraph"/>
              <w:ind w:left="202"/>
              <w:rPr>
                <w:sz w:val="20"/>
              </w:rPr>
            </w:pPr>
            <w:r>
              <w:rPr>
                <w:sz w:val="20"/>
              </w:rPr>
              <w:t>2013</w:t>
            </w:r>
            <w:r>
              <w:rPr>
                <w:spacing w:val="-4"/>
                <w:sz w:val="20"/>
              </w:rPr>
              <w:t xml:space="preserve"> </w:t>
            </w:r>
            <w:r>
              <w:rPr>
                <w:sz w:val="20"/>
              </w:rPr>
              <w:t>T-24:</w:t>
            </w:r>
            <w:r>
              <w:rPr>
                <w:spacing w:val="-3"/>
                <w:sz w:val="20"/>
              </w:rPr>
              <w:t xml:space="preserve"> </w:t>
            </w:r>
            <w:r>
              <w:rPr>
                <w:sz w:val="20"/>
              </w:rPr>
              <w:t>RNC-DHW-SF</w:t>
            </w:r>
            <w:r>
              <w:rPr>
                <w:spacing w:val="-4"/>
                <w:sz w:val="20"/>
              </w:rPr>
              <w:t xml:space="preserve"> </w:t>
            </w:r>
            <w:r>
              <w:rPr>
                <w:spacing w:val="-5"/>
                <w:sz w:val="20"/>
              </w:rPr>
              <w:t>DHW</w:t>
            </w:r>
          </w:p>
        </w:tc>
        <w:tc>
          <w:tcPr>
            <w:tcW w:w="1189" w:type="dxa"/>
            <w:tcBorders>
              <w:top w:val="single" w:color="D9D9D9" w:sz="2" w:space="0"/>
              <w:bottom w:val="single" w:color="D9D9D9" w:sz="2" w:space="0"/>
            </w:tcBorders>
          </w:tcPr>
          <w:p w:rsidR="00C31389" w:rsidRDefault="00561FBD" w14:paraId="72670E2E" w14:textId="77777777">
            <w:pPr>
              <w:pStyle w:val="TableParagraph"/>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7697EF4C" w14:textId="77777777">
            <w:pPr>
              <w:pStyle w:val="TableParagraph"/>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3DC428BA" w14:textId="77777777">
            <w:pPr>
              <w:pStyle w:val="TableParagraph"/>
              <w:ind w:left="198" w:right="155"/>
              <w:jc w:val="center"/>
              <w:rPr>
                <w:sz w:val="20"/>
              </w:rPr>
            </w:pPr>
            <w:r>
              <w:rPr>
                <w:spacing w:val="-2"/>
                <w:sz w:val="20"/>
              </w:rPr>
              <w:t>On-the-books</w:t>
            </w:r>
          </w:p>
        </w:tc>
      </w:tr>
      <w:tr w:rsidR="00C31389" w14:paraId="0B849F15" w14:textId="77777777">
        <w:trPr>
          <w:trHeight w:val="539"/>
        </w:trPr>
        <w:tc>
          <w:tcPr>
            <w:tcW w:w="1367" w:type="dxa"/>
            <w:tcBorders>
              <w:top w:val="single" w:color="D9D9D9" w:sz="2" w:space="0"/>
              <w:bottom w:val="single" w:color="D9D9D9" w:sz="2" w:space="0"/>
            </w:tcBorders>
          </w:tcPr>
          <w:p w:rsidR="00C31389" w:rsidRDefault="00561FBD" w14:paraId="2AD8429D"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4580516F"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RNC-Envelope-Advanced </w:t>
            </w:r>
            <w:r>
              <w:rPr>
                <w:spacing w:val="-2"/>
                <w:sz w:val="20"/>
              </w:rPr>
              <w:t>Envelope</w:t>
            </w:r>
          </w:p>
        </w:tc>
        <w:tc>
          <w:tcPr>
            <w:tcW w:w="1189" w:type="dxa"/>
            <w:tcBorders>
              <w:top w:val="single" w:color="D9D9D9" w:sz="2" w:space="0"/>
              <w:bottom w:val="single" w:color="D9D9D9" w:sz="2" w:space="0"/>
            </w:tcBorders>
          </w:tcPr>
          <w:p w:rsidR="00C31389" w:rsidRDefault="00561FBD" w14:paraId="66C0E557"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112B2887"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3FBE886D" w14:textId="77777777">
            <w:pPr>
              <w:pStyle w:val="TableParagraph"/>
              <w:spacing w:before="155"/>
              <w:ind w:left="198" w:right="155"/>
              <w:jc w:val="center"/>
              <w:rPr>
                <w:sz w:val="20"/>
              </w:rPr>
            </w:pPr>
            <w:r>
              <w:rPr>
                <w:spacing w:val="-2"/>
                <w:sz w:val="20"/>
              </w:rPr>
              <w:t>On-the-books</w:t>
            </w:r>
          </w:p>
        </w:tc>
      </w:tr>
      <w:tr w:rsidR="00C31389" w14:paraId="0191B225" w14:textId="77777777">
        <w:trPr>
          <w:trHeight w:val="540"/>
        </w:trPr>
        <w:tc>
          <w:tcPr>
            <w:tcW w:w="1367" w:type="dxa"/>
            <w:tcBorders>
              <w:top w:val="single" w:color="D9D9D9" w:sz="2" w:space="0"/>
              <w:bottom w:val="single" w:color="D9D9D9" w:sz="2" w:space="0"/>
            </w:tcBorders>
          </w:tcPr>
          <w:p w:rsidR="00C31389" w:rsidRDefault="00561FBD" w14:paraId="79D7A82A"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615B54A8" w14:textId="77777777">
            <w:pPr>
              <w:pStyle w:val="TableParagraph"/>
              <w:spacing w:before="41"/>
              <w:ind w:left="202" w:right="207"/>
              <w:rPr>
                <w:sz w:val="20"/>
              </w:rPr>
            </w:pPr>
            <w:r>
              <w:rPr>
                <w:sz w:val="20"/>
              </w:rPr>
              <w:t>2013</w:t>
            </w:r>
            <w:r>
              <w:rPr>
                <w:spacing w:val="-14"/>
                <w:sz w:val="20"/>
              </w:rPr>
              <w:t xml:space="preserve"> </w:t>
            </w:r>
            <w:r>
              <w:rPr>
                <w:sz w:val="20"/>
              </w:rPr>
              <w:t>T-24:</w:t>
            </w:r>
            <w:r>
              <w:rPr>
                <w:spacing w:val="-14"/>
                <w:sz w:val="20"/>
              </w:rPr>
              <w:t xml:space="preserve"> </w:t>
            </w:r>
            <w:r>
              <w:rPr>
                <w:sz w:val="20"/>
              </w:rPr>
              <w:t xml:space="preserve">RNC-Envelope- </w:t>
            </w:r>
            <w:r>
              <w:rPr>
                <w:spacing w:val="-2"/>
                <w:sz w:val="20"/>
              </w:rPr>
              <w:t>Fenestration</w:t>
            </w:r>
          </w:p>
        </w:tc>
        <w:tc>
          <w:tcPr>
            <w:tcW w:w="1189" w:type="dxa"/>
            <w:tcBorders>
              <w:top w:val="single" w:color="D9D9D9" w:sz="2" w:space="0"/>
              <w:bottom w:val="single" w:color="D9D9D9" w:sz="2" w:space="0"/>
            </w:tcBorders>
          </w:tcPr>
          <w:p w:rsidR="00C31389" w:rsidRDefault="00561FBD" w14:paraId="07CBA58C" w14:textId="77777777">
            <w:pPr>
              <w:pStyle w:val="TableParagraph"/>
              <w:spacing w:before="155"/>
              <w:ind w:left="333"/>
              <w:rPr>
                <w:sz w:val="20"/>
              </w:rPr>
            </w:pPr>
            <w:r>
              <w:rPr>
                <w:spacing w:val="-5"/>
                <w:sz w:val="20"/>
              </w:rPr>
              <w:t>47%</w:t>
            </w:r>
          </w:p>
        </w:tc>
        <w:tc>
          <w:tcPr>
            <w:tcW w:w="1368" w:type="dxa"/>
            <w:tcBorders>
              <w:top w:val="single" w:color="D9D9D9" w:sz="2" w:space="0"/>
              <w:bottom w:val="single" w:color="D9D9D9" w:sz="2" w:space="0"/>
            </w:tcBorders>
          </w:tcPr>
          <w:p w:rsidR="00C31389" w:rsidRDefault="00561FBD" w14:paraId="2A9AB0A5"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0B777A0B" w14:textId="77777777">
            <w:pPr>
              <w:pStyle w:val="TableParagraph"/>
              <w:spacing w:before="155"/>
              <w:ind w:left="198" w:right="155"/>
              <w:jc w:val="center"/>
              <w:rPr>
                <w:sz w:val="20"/>
              </w:rPr>
            </w:pPr>
            <w:r>
              <w:rPr>
                <w:spacing w:val="-2"/>
                <w:sz w:val="20"/>
              </w:rPr>
              <w:t>On-the-books</w:t>
            </w:r>
          </w:p>
        </w:tc>
      </w:tr>
      <w:tr w:rsidR="00C31389" w14:paraId="730ED3D4" w14:textId="77777777">
        <w:trPr>
          <w:trHeight w:val="539"/>
        </w:trPr>
        <w:tc>
          <w:tcPr>
            <w:tcW w:w="1367" w:type="dxa"/>
            <w:tcBorders>
              <w:top w:val="single" w:color="D9D9D9" w:sz="2" w:space="0"/>
              <w:bottom w:val="single" w:color="D9D9D9" w:sz="2" w:space="0"/>
            </w:tcBorders>
          </w:tcPr>
          <w:p w:rsidR="00C31389" w:rsidRDefault="00561FBD" w14:paraId="4D6BE71E"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3F8E5426" w14:textId="77777777">
            <w:pPr>
              <w:pStyle w:val="TableParagraph"/>
              <w:ind w:left="202" w:right="382"/>
              <w:rPr>
                <w:sz w:val="20"/>
              </w:rPr>
            </w:pPr>
            <w:r>
              <w:rPr>
                <w:sz w:val="20"/>
              </w:rPr>
              <w:t>2013</w:t>
            </w:r>
            <w:r>
              <w:rPr>
                <w:spacing w:val="-14"/>
                <w:sz w:val="20"/>
              </w:rPr>
              <w:t xml:space="preserve"> </w:t>
            </w:r>
            <w:r>
              <w:rPr>
                <w:sz w:val="20"/>
              </w:rPr>
              <w:t>T-24:</w:t>
            </w:r>
            <w:r>
              <w:rPr>
                <w:spacing w:val="-14"/>
                <w:sz w:val="20"/>
              </w:rPr>
              <w:t xml:space="preserve"> </w:t>
            </w:r>
            <w:r>
              <w:rPr>
                <w:sz w:val="20"/>
              </w:rPr>
              <w:t xml:space="preserve">RNC-Envelope-Roof </w:t>
            </w:r>
            <w:r>
              <w:rPr>
                <w:spacing w:val="-2"/>
                <w:sz w:val="20"/>
              </w:rPr>
              <w:t>Envelope</w:t>
            </w:r>
          </w:p>
        </w:tc>
        <w:tc>
          <w:tcPr>
            <w:tcW w:w="1189" w:type="dxa"/>
            <w:tcBorders>
              <w:top w:val="single" w:color="D9D9D9" w:sz="2" w:space="0"/>
              <w:bottom w:val="single" w:color="D9D9D9" w:sz="2" w:space="0"/>
            </w:tcBorders>
          </w:tcPr>
          <w:p w:rsidR="00C31389" w:rsidRDefault="00561FBD" w14:paraId="523F0A79"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5781A789"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24051BF9" w14:textId="77777777">
            <w:pPr>
              <w:pStyle w:val="TableParagraph"/>
              <w:spacing w:before="155"/>
              <w:ind w:left="198" w:right="155"/>
              <w:jc w:val="center"/>
              <w:rPr>
                <w:sz w:val="20"/>
              </w:rPr>
            </w:pPr>
            <w:r>
              <w:rPr>
                <w:spacing w:val="-2"/>
                <w:sz w:val="20"/>
              </w:rPr>
              <w:t>On-the-books</w:t>
            </w:r>
          </w:p>
        </w:tc>
      </w:tr>
      <w:tr w:rsidR="00C31389" w14:paraId="500D822D" w14:textId="77777777">
        <w:trPr>
          <w:trHeight w:val="539"/>
        </w:trPr>
        <w:tc>
          <w:tcPr>
            <w:tcW w:w="1367" w:type="dxa"/>
            <w:tcBorders>
              <w:top w:val="single" w:color="D9D9D9" w:sz="2" w:space="0"/>
              <w:bottom w:val="single" w:color="D9D9D9" w:sz="2" w:space="0"/>
            </w:tcBorders>
          </w:tcPr>
          <w:p w:rsidR="00C31389" w:rsidRDefault="00561FBD" w14:paraId="1AE16AF2"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54D0945D" w14:textId="77777777">
            <w:pPr>
              <w:pStyle w:val="TableParagraph"/>
              <w:ind w:left="202" w:right="382"/>
              <w:rPr>
                <w:sz w:val="20"/>
              </w:rPr>
            </w:pPr>
            <w:r>
              <w:rPr>
                <w:sz w:val="20"/>
              </w:rPr>
              <w:t>2013</w:t>
            </w:r>
            <w:r>
              <w:rPr>
                <w:spacing w:val="-14"/>
                <w:sz w:val="20"/>
              </w:rPr>
              <w:t xml:space="preserve"> </w:t>
            </w:r>
            <w:r>
              <w:rPr>
                <w:sz w:val="20"/>
              </w:rPr>
              <w:t>T-24:</w:t>
            </w:r>
            <w:r>
              <w:rPr>
                <w:spacing w:val="-14"/>
                <w:sz w:val="20"/>
              </w:rPr>
              <w:t xml:space="preserve"> </w:t>
            </w:r>
            <w:r>
              <w:rPr>
                <w:sz w:val="20"/>
              </w:rPr>
              <w:t xml:space="preserve">RNC-Envelope-Wall </w:t>
            </w:r>
            <w:r>
              <w:rPr>
                <w:spacing w:val="-2"/>
                <w:sz w:val="20"/>
              </w:rPr>
              <w:t>Insulation</w:t>
            </w:r>
          </w:p>
        </w:tc>
        <w:tc>
          <w:tcPr>
            <w:tcW w:w="1189" w:type="dxa"/>
            <w:tcBorders>
              <w:top w:val="single" w:color="D9D9D9" w:sz="2" w:space="0"/>
              <w:bottom w:val="single" w:color="D9D9D9" w:sz="2" w:space="0"/>
            </w:tcBorders>
          </w:tcPr>
          <w:p w:rsidR="00C31389" w:rsidRDefault="00561FBD" w14:paraId="60D89471" w14:textId="77777777">
            <w:pPr>
              <w:pStyle w:val="TableParagraph"/>
              <w:spacing w:before="155"/>
              <w:ind w:left="333"/>
              <w:rPr>
                <w:sz w:val="20"/>
              </w:rPr>
            </w:pPr>
            <w:r>
              <w:rPr>
                <w:spacing w:val="-5"/>
                <w:sz w:val="20"/>
              </w:rPr>
              <w:t>76%</w:t>
            </w:r>
          </w:p>
        </w:tc>
        <w:tc>
          <w:tcPr>
            <w:tcW w:w="1368" w:type="dxa"/>
            <w:tcBorders>
              <w:top w:val="single" w:color="D9D9D9" w:sz="2" w:space="0"/>
              <w:bottom w:val="single" w:color="D9D9D9" w:sz="2" w:space="0"/>
            </w:tcBorders>
          </w:tcPr>
          <w:p w:rsidR="00C31389" w:rsidRDefault="00561FBD" w14:paraId="6FC39907"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3DD2838D" w14:textId="77777777">
            <w:pPr>
              <w:pStyle w:val="TableParagraph"/>
              <w:spacing w:before="155"/>
              <w:ind w:left="198" w:right="155"/>
              <w:jc w:val="center"/>
              <w:rPr>
                <w:sz w:val="20"/>
              </w:rPr>
            </w:pPr>
            <w:r>
              <w:rPr>
                <w:spacing w:val="-2"/>
                <w:sz w:val="20"/>
              </w:rPr>
              <w:t>On-the-books</w:t>
            </w:r>
          </w:p>
        </w:tc>
      </w:tr>
      <w:tr w:rsidR="00C31389" w14:paraId="38F42B10" w14:textId="77777777">
        <w:trPr>
          <w:trHeight w:val="539"/>
        </w:trPr>
        <w:tc>
          <w:tcPr>
            <w:tcW w:w="1367" w:type="dxa"/>
            <w:tcBorders>
              <w:top w:val="single" w:color="D9D9D9" w:sz="2" w:space="0"/>
              <w:bottom w:val="single" w:color="D9D9D9" w:sz="2" w:space="0"/>
            </w:tcBorders>
          </w:tcPr>
          <w:p w:rsidR="00C31389" w:rsidRDefault="00561FBD" w14:paraId="3147DCE7"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D9D9D9" w:sz="2" w:space="0"/>
            </w:tcBorders>
          </w:tcPr>
          <w:p w:rsidR="00C31389" w:rsidRDefault="00561FBD" w14:paraId="2CF25A9E" w14:textId="77777777">
            <w:pPr>
              <w:pStyle w:val="TableParagraph"/>
              <w:ind w:left="202"/>
              <w:rPr>
                <w:sz w:val="20"/>
              </w:rPr>
            </w:pPr>
            <w:r>
              <w:rPr>
                <w:sz w:val="20"/>
              </w:rPr>
              <w:t>2013</w:t>
            </w:r>
            <w:r>
              <w:rPr>
                <w:spacing w:val="-9"/>
                <w:sz w:val="20"/>
              </w:rPr>
              <w:t xml:space="preserve"> </w:t>
            </w:r>
            <w:r>
              <w:rPr>
                <w:sz w:val="20"/>
              </w:rPr>
              <w:t>T-24:</w:t>
            </w:r>
            <w:r>
              <w:rPr>
                <w:spacing w:val="-9"/>
                <w:sz w:val="20"/>
              </w:rPr>
              <w:t xml:space="preserve"> </w:t>
            </w:r>
            <w:r>
              <w:rPr>
                <w:sz w:val="20"/>
              </w:rPr>
              <w:t>RNC-HVAC</w:t>
            </w:r>
            <w:r>
              <w:rPr>
                <w:spacing w:val="-9"/>
                <w:sz w:val="20"/>
              </w:rPr>
              <w:t xml:space="preserve"> </w:t>
            </w:r>
            <w:r>
              <w:rPr>
                <w:sz w:val="20"/>
              </w:rPr>
              <w:t>-</w:t>
            </w:r>
            <w:r>
              <w:rPr>
                <w:spacing w:val="-10"/>
                <w:sz w:val="20"/>
              </w:rPr>
              <w:t xml:space="preserve"> </w:t>
            </w:r>
            <w:r>
              <w:rPr>
                <w:sz w:val="20"/>
              </w:rPr>
              <w:t xml:space="preserve">Refrigerant </w:t>
            </w:r>
            <w:r>
              <w:rPr>
                <w:spacing w:val="-2"/>
                <w:sz w:val="20"/>
              </w:rPr>
              <w:t>Charge</w:t>
            </w:r>
          </w:p>
        </w:tc>
        <w:tc>
          <w:tcPr>
            <w:tcW w:w="1189" w:type="dxa"/>
            <w:tcBorders>
              <w:top w:val="single" w:color="D9D9D9" w:sz="2" w:space="0"/>
              <w:bottom w:val="single" w:color="D9D9D9" w:sz="2" w:space="0"/>
            </w:tcBorders>
          </w:tcPr>
          <w:p w:rsidR="00C31389" w:rsidRDefault="00561FBD" w14:paraId="688B2AED" w14:textId="77777777">
            <w:pPr>
              <w:pStyle w:val="TableParagraph"/>
              <w:spacing w:before="155"/>
              <w:ind w:left="333"/>
              <w:rPr>
                <w:sz w:val="20"/>
              </w:rPr>
            </w:pPr>
            <w:r>
              <w:rPr>
                <w:spacing w:val="-5"/>
                <w:sz w:val="20"/>
              </w:rPr>
              <w:t>83%</w:t>
            </w:r>
          </w:p>
        </w:tc>
        <w:tc>
          <w:tcPr>
            <w:tcW w:w="1368" w:type="dxa"/>
            <w:tcBorders>
              <w:top w:val="single" w:color="D9D9D9" w:sz="2" w:space="0"/>
              <w:bottom w:val="single" w:color="D9D9D9" w:sz="2" w:space="0"/>
            </w:tcBorders>
          </w:tcPr>
          <w:p w:rsidR="00C31389" w:rsidRDefault="00561FBD" w14:paraId="3DFAA389" w14:textId="77777777">
            <w:pPr>
              <w:pStyle w:val="TableParagraph"/>
              <w:spacing w:before="155"/>
              <w:ind w:right="234"/>
              <w:jc w:val="right"/>
              <w:rPr>
                <w:sz w:val="20"/>
              </w:rPr>
            </w:pPr>
            <w:r>
              <w:rPr>
                <w:spacing w:val="-2"/>
                <w:sz w:val="20"/>
              </w:rPr>
              <w:t>4/1/2015</w:t>
            </w:r>
          </w:p>
        </w:tc>
        <w:tc>
          <w:tcPr>
            <w:tcW w:w="1581" w:type="dxa"/>
            <w:tcBorders>
              <w:top w:val="single" w:color="D9D9D9" w:sz="2" w:space="0"/>
              <w:bottom w:val="single" w:color="D9D9D9" w:sz="2" w:space="0"/>
            </w:tcBorders>
          </w:tcPr>
          <w:p w:rsidR="00C31389" w:rsidRDefault="00561FBD" w14:paraId="536085A7" w14:textId="77777777">
            <w:pPr>
              <w:pStyle w:val="TableParagraph"/>
              <w:spacing w:before="155"/>
              <w:ind w:left="198" w:right="155"/>
              <w:jc w:val="center"/>
              <w:rPr>
                <w:sz w:val="20"/>
              </w:rPr>
            </w:pPr>
            <w:r>
              <w:rPr>
                <w:spacing w:val="-2"/>
                <w:sz w:val="20"/>
              </w:rPr>
              <w:t>On-the-books</w:t>
            </w:r>
          </w:p>
        </w:tc>
      </w:tr>
      <w:tr w:rsidR="00C31389" w14:paraId="1B76F0A9" w14:textId="77777777">
        <w:trPr>
          <w:trHeight w:val="310"/>
        </w:trPr>
        <w:tc>
          <w:tcPr>
            <w:tcW w:w="1367" w:type="dxa"/>
            <w:tcBorders>
              <w:top w:val="single" w:color="D9D9D9" w:sz="2" w:space="0"/>
              <w:bottom w:val="single" w:color="000000" w:sz="8" w:space="0"/>
            </w:tcBorders>
          </w:tcPr>
          <w:p w:rsidR="00C31389" w:rsidRDefault="00561FBD" w14:paraId="0A24E506"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73" w:type="dxa"/>
            <w:tcBorders>
              <w:top w:val="single" w:color="D9D9D9" w:sz="2" w:space="0"/>
              <w:bottom w:val="single" w:color="000000" w:sz="8" w:space="0"/>
            </w:tcBorders>
          </w:tcPr>
          <w:p w:rsidR="00C31389" w:rsidRDefault="00561FBD" w14:paraId="4472D359" w14:textId="77777777">
            <w:pPr>
              <w:pStyle w:val="TableParagraph"/>
              <w:ind w:left="202"/>
              <w:rPr>
                <w:sz w:val="20"/>
              </w:rPr>
            </w:pPr>
            <w:r>
              <w:rPr>
                <w:sz w:val="20"/>
              </w:rPr>
              <w:t>2013</w:t>
            </w:r>
            <w:r>
              <w:rPr>
                <w:spacing w:val="-5"/>
                <w:sz w:val="20"/>
              </w:rPr>
              <w:t xml:space="preserve"> </w:t>
            </w:r>
            <w:r>
              <w:rPr>
                <w:sz w:val="20"/>
              </w:rPr>
              <w:t>T-24:</w:t>
            </w:r>
            <w:r>
              <w:rPr>
                <w:spacing w:val="-5"/>
                <w:sz w:val="20"/>
              </w:rPr>
              <w:t xml:space="preserve"> </w:t>
            </w:r>
            <w:r>
              <w:rPr>
                <w:sz w:val="20"/>
              </w:rPr>
              <w:t>RNC-HVAC-</w:t>
            </w:r>
            <w:r>
              <w:rPr>
                <w:spacing w:val="-4"/>
                <w:sz w:val="20"/>
              </w:rPr>
              <w:t>Duct</w:t>
            </w:r>
          </w:p>
        </w:tc>
        <w:tc>
          <w:tcPr>
            <w:tcW w:w="1189" w:type="dxa"/>
            <w:tcBorders>
              <w:top w:val="single" w:color="D9D9D9" w:sz="2" w:space="0"/>
              <w:bottom w:val="single" w:color="000000" w:sz="8" w:space="0"/>
            </w:tcBorders>
          </w:tcPr>
          <w:p w:rsidR="00C31389" w:rsidRDefault="00561FBD" w14:paraId="0422D1B5" w14:textId="77777777">
            <w:pPr>
              <w:pStyle w:val="TableParagraph"/>
              <w:ind w:left="333"/>
              <w:rPr>
                <w:sz w:val="20"/>
              </w:rPr>
            </w:pPr>
            <w:r>
              <w:rPr>
                <w:spacing w:val="-5"/>
                <w:sz w:val="20"/>
              </w:rPr>
              <w:t>68%</w:t>
            </w:r>
          </w:p>
        </w:tc>
        <w:tc>
          <w:tcPr>
            <w:tcW w:w="1368" w:type="dxa"/>
            <w:tcBorders>
              <w:top w:val="single" w:color="D9D9D9" w:sz="2" w:space="0"/>
              <w:bottom w:val="single" w:color="000000" w:sz="8" w:space="0"/>
            </w:tcBorders>
          </w:tcPr>
          <w:p w:rsidR="00C31389" w:rsidRDefault="00561FBD" w14:paraId="46D3AE19" w14:textId="77777777">
            <w:pPr>
              <w:pStyle w:val="TableParagraph"/>
              <w:ind w:right="234"/>
              <w:jc w:val="right"/>
              <w:rPr>
                <w:sz w:val="20"/>
              </w:rPr>
            </w:pPr>
            <w:r>
              <w:rPr>
                <w:spacing w:val="-2"/>
                <w:sz w:val="20"/>
              </w:rPr>
              <w:t>4/1/2015</w:t>
            </w:r>
          </w:p>
        </w:tc>
        <w:tc>
          <w:tcPr>
            <w:tcW w:w="1581" w:type="dxa"/>
            <w:tcBorders>
              <w:top w:val="single" w:color="D9D9D9" w:sz="2" w:space="0"/>
              <w:bottom w:val="single" w:color="000000" w:sz="8" w:space="0"/>
            </w:tcBorders>
          </w:tcPr>
          <w:p w:rsidR="00C31389" w:rsidRDefault="00561FBD" w14:paraId="41CAC867" w14:textId="77777777">
            <w:pPr>
              <w:pStyle w:val="TableParagraph"/>
              <w:ind w:left="198" w:right="155"/>
              <w:jc w:val="center"/>
              <w:rPr>
                <w:sz w:val="20"/>
              </w:rPr>
            </w:pPr>
            <w:r>
              <w:rPr>
                <w:spacing w:val="-2"/>
                <w:sz w:val="20"/>
              </w:rPr>
              <w:t>On-the-books</w:t>
            </w:r>
          </w:p>
        </w:tc>
      </w:tr>
    </w:tbl>
    <w:p w:rsidR="00C31389" w:rsidRDefault="00C31389" w14:paraId="3CFB43AF" w14:textId="77777777">
      <w:pPr>
        <w:jc w:val="center"/>
        <w:rPr>
          <w:sz w:val="20"/>
        </w:rPr>
        <w:sectPr w:rsidR="00C31389">
          <w:pgSz w:w="11910" w:h="16840"/>
          <w:pgMar w:top="1380" w:right="1020" w:bottom="1120" w:left="960" w:header="397" w:footer="938" w:gutter="0"/>
          <w:cols w:space="720"/>
        </w:sectPr>
      </w:pPr>
    </w:p>
    <w:p w:rsidR="00C31389" w:rsidRDefault="00C31389" w14:paraId="0E606492"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84"/>
        <w:gridCol w:w="1178"/>
        <w:gridCol w:w="1367"/>
        <w:gridCol w:w="1580"/>
      </w:tblGrid>
      <w:tr w:rsidR="00C31389" w14:paraId="2A73008D" w14:textId="77777777">
        <w:trPr>
          <w:trHeight w:val="252"/>
        </w:trPr>
        <w:tc>
          <w:tcPr>
            <w:tcW w:w="1367" w:type="dxa"/>
            <w:tcBorders>
              <w:top w:val="single" w:color="8B8B8B" w:sz="8" w:space="0"/>
            </w:tcBorders>
          </w:tcPr>
          <w:p w:rsidR="00C31389" w:rsidRDefault="00C31389" w14:paraId="22FF0045" w14:textId="77777777">
            <w:pPr>
              <w:pStyle w:val="TableParagraph"/>
              <w:spacing w:before="0"/>
              <w:rPr>
                <w:rFonts w:ascii="Times New Roman"/>
                <w:sz w:val="18"/>
              </w:rPr>
            </w:pPr>
          </w:p>
        </w:tc>
        <w:tc>
          <w:tcPr>
            <w:tcW w:w="3884" w:type="dxa"/>
            <w:tcBorders>
              <w:top w:val="single" w:color="8B8B8B" w:sz="8" w:space="0"/>
            </w:tcBorders>
          </w:tcPr>
          <w:p w:rsidR="00C31389" w:rsidRDefault="00C31389" w14:paraId="2BBA18A1" w14:textId="77777777">
            <w:pPr>
              <w:pStyle w:val="TableParagraph"/>
              <w:spacing w:before="0"/>
              <w:rPr>
                <w:rFonts w:ascii="Times New Roman"/>
                <w:sz w:val="18"/>
              </w:rPr>
            </w:pPr>
          </w:p>
        </w:tc>
        <w:tc>
          <w:tcPr>
            <w:tcW w:w="1178" w:type="dxa"/>
            <w:tcBorders>
              <w:top w:val="single" w:color="8B8B8B" w:sz="8" w:space="0"/>
            </w:tcBorders>
          </w:tcPr>
          <w:p w:rsidR="00C31389" w:rsidRDefault="00C31389" w14:paraId="1D4FAFDB" w14:textId="77777777">
            <w:pPr>
              <w:pStyle w:val="TableParagraph"/>
              <w:spacing w:before="0"/>
              <w:rPr>
                <w:rFonts w:ascii="Times New Roman"/>
                <w:sz w:val="18"/>
              </w:rPr>
            </w:pPr>
          </w:p>
        </w:tc>
        <w:tc>
          <w:tcPr>
            <w:tcW w:w="1367" w:type="dxa"/>
            <w:tcBorders>
              <w:top w:val="single" w:color="8B8B8B" w:sz="8" w:space="0"/>
            </w:tcBorders>
          </w:tcPr>
          <w:p w:rsidR="00C31389" w:rsidRDefault="00C31389" w14:paraId="151A3675" w14:textId="77777777">
            <w:pPr>
              <w:pStyle w:val="TableParagraph"/>
              <w:spacing w:before="0"/>
              <w:rPr>
                <w:rFonts w:ascii="Times New Roman"/>
                <w:sz w:val="18"/>
              </w:rPr>
            </w:pPr>
          </w:p>
        </w:tc>
        <w:tc>
          <w:tcPr>
            <w:tcW w:w="1580" w:type="dxa"/>
            <w:tcBorders>
              <w:top w:val="single" w:color="8B8B8B" w:sz="8" w:space="0"/>
            </w:tcBorders>
          </w:tcPr>
          <w:p w:rsidR="00C31389" w:rsidRDefault="00C31389" w14:paraId="29A7EE70" w14:textId="77777777">
            <w:pPr>
              <w:pStyle w:val="TableParagraph"/>
              <w:spacing w:before="0"/>
              <w:rPr>
                <w:rFonts w:ascii="Times New Roman"/>
                <w:sz w:val="18"/>
              </w:rPr>
            </w:pPr>
          </w:p>
        </w:tc>
      </w:tr>
      <w:tr w:rsidR="00C31389" w14:paraId="4D30F777" w14:textId="77777777">
        <w:trPr>
          <w:trHeight w:val="549"/>
        </w:trPr>
        <w:tc>
          <w:tcPr>
            <w:tcW w:w="1367" w:type="dxa"/>
            <w:shd w:val="clear" w:color="auto" w:fill="92D400"/>
          </w:tcPr>
          <w:p w:rsidR="00C31389" w:rsidRDefault="00561FBD" w14:paraId="18E8EE1A" w14:textId="77777777">
            <w:pPr>
              <w:pStyle w:val="TableParagraph"/>
              <w:spacing w:before="155"/>
              <w:ind w:left="129"/>
              <w:rPr>
                <w:b/>
                <w:sz w:val="20"/>
              </w:rPr>
            </w:pPr>
            <w:r>
              <w:rPr>
                <w:b/>
                <w:spacing w:val="-2"/>
                <w:sz w:val="20"/>
              </w:rPr>
              <w:t>Regulation</w:t>
            </w:r>
          </w:p>
        </w:tc>
        <w:tc>
          <w:tcPr>
            <w:tcW w:w="3884" w:type="dxa"/>
            <w:shd w:val="clear" w:color="auto" w:fill="92D400"/>
          </w:tcPr>
          <w:p w:rsidR="00C31389" w:rsidRDefault="00561FBD" w14:paraId="3B031CDC"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78" w:type="dxa"/>
            <w:shd w:val="clear" w:color="auto" w:fill="92D400"/>
          </w:tcPr>
          <w:p w:rsidR="00C31389" w:rsidRDefault="00561FBD" w14:paraId="0176ED5B" w14:textId="77777777">
            <w:pPr>
              <w:pStyle w:val="TableParagraph"/>
              <w:ind w:left="193" w:hanging="238"/>
              <w:rPr>
                <w:b/>
                <w:sz w:val="20"/>
              </w:rPr>
            </w:pPr>
            <w:r>
              <w:rPr>
                <w:b/>
                <w:spacing w:val="-2"/>
                <w:sz w:val="20"/>
              </w:rPr>
              <w:t>Compliance Rate</w:t>
            </w:r>
            <w:hyperlink w:history="1" w:anchor="_bookmark462">
              <w:r>
                <w:rPr>
                  <w:b/>
                  <w:spacing w:val="-2"/>
                  <w:sz w:val="20"/>
                  <w:vertAlign w:val="superscript"/>
                </w:rPr>
                <w:t>182</w:t>
              </w:r>
            </w:hyperlink>
          </w:p>
        </w:tc>
        <w:tc>
          <w:tcPr>
            <w:tcW w:w="1367" w:type="dxa"/>
            <w:shd w:val="clear" w:color="auto" w:fill="92D400"/>
          </w:tcPr>
          <w:p w:rsidR="00C31389" w:rsidRDefault="00561FBD" w14:paraId="4A7C6FD5" w14:textId="77777777">
            <w:pPr>
              <w:pStyle w:val="TableParagraph"/>
              <w:ind w:left="523" w:hanging="202"/>
              <w:rPr>
                <w:b/>
                <w:sz w:val="20"/>
              </w:rPr>
            </w:pPr>
            <w:r>
              <w:rPr>
                <w:b/>
                <w:spacing w:val="-2"/>
                <w:sz w:val="20"/>
              </w:rPr>
              <w:t xml:space="preserve">Effective </w:t>
            </w:r>
            <w:r>
              <w:rPr>
                <w:b/>
                <w:spacing w:val="-4"/>
                <w:sz w:val="20"/>
              </w:rPr>
              <w:t>Date</w:t>
            </w:r>
          </w:p>
        </w:tc>
        <w:tc>
          <w:tcPr>
            <w:tcW w:w="1580" w:type="dxa"/>
            <w:shd w:val="clear" w:color="auto" w:fill="92D400"/>
          </w:tcPr>
          <w:p w:rsidR="00C31389" w:rsidRDefault="00561FBD" w14:paraId="22DB2BED" w14:textId="77777777">
            <w:pPr>
              <w:pStyle w:val="TableParagraph"/>
              <w:spacing w:before="155"/>
              <w:ind w:left="198" w:right="152"/>
              <w:jc w:val="center"/>
              <w:rPr>
                <w:b/>
                <w:sz w:val="20"/>
              </w:rPr>
            </w:pPr>
            <w:r>
              <w:rPr>
                <w:b/>
                <w:sz w:val="20"/>
              </w:rPr>
              <w:t>Policy</w:t>
            </w:r>
            <w:r>
              <w:rPr>
                <w:b/>
                <w:spacing w:val="-5"/>
                <w:sz w:val="20"/>
              </w:rPr>
              <w:t xml:space="preserve"> </w:t>
            </w:r>
            <w:r>
              <w:rPr>
                <w:b/>
                <w:spacing w:val="-4"/>
                <w:sz w:val="20"/>
              </w:rPr>
              <w:t>View</w:t>
            </w:r>
          </w:p>
        </w:tc>
      </w:tr>
      <w:tr w:rsidR="00C31389" w14:paraId="4D8AADB5" w14:textId="77777777">
        <w:trPr>
          <w:trHeight w:val="535"/>
        </w:trPr>
        <w:tc>
          <w:tcPr>
            <w:tcW w:w="1367" w:type="dxa"/>
            <w:tcBorders>
              <w:bottom w:val="single" w:color="D9D9D9" w:sz="2" w:space="0"/>
            </w:tcBorders>
          </w:tcPr>
          <w:p w:rsidR="00C31389" w:rsidRDefault="00561FBD" w14:paraId="6A927E4C" w14:textId="77777777">
            <w:pPr>
              <w:pStyle w:val="TableParagraph"/>
              <w:spacing w:before="151"/>
              <w:ind w:left="129"/>
              <w:rPr>
                <w:sz w:val="20"/>
              </w:rPr>
            </w:pPr>
            <w:r>
              <w:rPr>
                <w:sz w:val="20"/>
              </w:rPr>
              <w:t>2013</w:t>
            </w:r>
            <w:r>
              <w:rPr>
                <w:spacing w:val="-3"/>
                <w:sz w:val="20"/>
              </w:rPr>
              <w:t xml:space="preserve"> </w:t>
            </w:r>
            <w:r>
              <w:rPr>
                <w:sz w:val="20"/>
              </w:rPr>
              <w:t>T-</w:t>
            </w:r>
            <w:r>
              <w:rPr>
                <w:spacing w:val="-5"/>
                <w:sz w:val="20"/>
              </w:rPr>
              <w:t>24</w:t>
            </w:r>
          </w:p>
        </w:tc>
        <w:tc>
          <w:tcPr>
            <w:tcW w:w="3884" w:type="dxa"/>
            <w:tcBorders>
              <w:bottom w:val="single" w:color="D9D9D9" w:sz="2" w:space="0"/>
            </w:tcBorders>
          </w:tcPr>
          <w:p w:rsidR="00C31389" w:rsidRDefault="00561FBD" w14:paraId="1104234C" w14:textId="77777777">
            <w:pPr>
              <w:pStyle w:val="TableParagraph"/>
              <w:spacing w:before="35"/>
              <w:ind w:left="202"/>
              <w:rPr>
                <w:sz w:val="20"/>
              </w:rPr>
            </w:pPr>
            <w:r>
              <w:rPr>
                <w:sz w:val="20"/>
              </w:rPr>
              <w:t>2013</w:t>
            </w:r>
            <w:r>
              <w:rPr>
                <w:spacing w:val="-5"/>
                <w:sz w:val="20"/>
              </w:rPr>
              <w:t xml:space="preserve"> </w:t>
            </w:r>
            <w:r>
              <w:rPr>
                <w:sz w:val="20"/>
              </w:rPr>
              <w:t>T-24:</w:t>
            </w:r>
            <w:r>
              <w:rPr>
                <w:spacing w:val="-4"/>
                <w:sz w:val="20"/>
              </w:rPr>
              <w:t xml:space="preserve"> </w:t>
            </w:r>
            <w:r>
              <w:rPr>
                <w:sz w:val="20"/>
              </w:rPr>
              <w:t>RNC-HVAC-Whole</w:t>
            </w:r>
            <w:r>
              <w:rPr>
                <w:spacing w:val="-4"/>
                <w:sz w:val="20"/>
              </w:rPr>
              <w:t xml:space="preserve"> House</w:t>
            </w:r>
          </w:p>
          <w:p w:rsidR="00C31389" w:rsidRDefault="00561FBD" w14:paraId="66CACD7C" w14:textId="77777777">
            <w:pPr>
              <w:pStyle w:val="TableParagraph"/>
              <w:spacing w:before="1"/>
              <w:ind w:left="202"/>
              <w:rPr>
                <w:sz w:val="20"/>
              </w:rPr>
            </w:pPr>
            <w:r>
              <w:rPr>
                <w:spacing w:val="-4"/>
                <w:sz w:val="20"/>
              </w:rPr>
              <w:t>Fans</w:t>
            </w:r>
          </w:p>
        </w:tc>
        <w:tc>
          <w:tcPr>
            <w:tcW w:w="1178" w:type="dxa"/>
            <w:tcBorders>
              <w:bottom w:val="single" w:color="D9D9D9" w:sz="2" w:space="0"/>
            </w:tcBorders>
          </w:tcPr>
          <w:p w:rsidR="00C31389" w:rsidRDefault="00561FBD" w14:paraId="0D39F4B4" w14:textId="77777777">
            <w:pPr>
              <w:pStyle w:val="TableParagraph"/>
              <w:spacing w:before="151"/>
              <w:ind w:right="451"/>
              <w:jc w:val="right"/>
              <w:rPr>
                <w:sz w:val="20"/>
              </w:rPr>
            </w:pPr>
            <w:r>
              <w:rPr>
                <w:spacing w:val="-5"/>
                <w:sz w:val="20"/>
              </w:rPr>
              <w:t>59%</w:t>
            </w:r>
          </w:p>
        </w:tc>
        <w:tc>
          <w:tcPr>
            <w:tcW w:w="1367" w:type="dxa"/>
            <w:tcBorders>
              <w:bottom w:val="single" w:color="D9D9D9" w:sz="2" w:space="0"/>
            </w:tcBorders>
          </w:tcPr>
          <w:p w:rsidR="00C31389" w:rsidRDefault="00561FBD" w14:paraId="036D4B07" w14:textId="77777777">
            <w:pPr>
              <w:pStyle w:val="TableParagraph"/>
              <w:spacing w:before="151"/>
              <w:ind w:right="233"/>
              <w:jc w:val="right"/>
              <w:rPr>
                <w:sz w:val="20"/>
              </w:rPr>
            </w:pPr>
            <w:r>
              <w:rPr>
                <w:spacing w:val="-2"/>
                <w:sz w:val="20"/>
              </w:rPr>
              <w:t>4/1/2015</w:t>
            </w:r>
          </w:p>
        </w:tc>
        <w:tc>
          <w:tcPr>
            <w:tcW w:w="1580" w:type="dxa"/>
            <w:tcBorders>
              <w:bottom w:val="single" w:color="D9D9D9" w:sz="2" w:space="0"/>
            </w:tcBorders>
          </w:tcPr>
          <w:p w:rsidR="00C31389" w:rsidRDefault="00561FBD" w14:paraId="12E3F069" w14:textId="77777777">
            <w:pPr>
              <w:pStyle w:val="TableParagraph"/>
              <w:spacing w:before="151"/>
              <w:ind w:left="198" w:right="152"/>
              <w:jc w:val="center"/>
              <w:rPr>
                <w:sz w:val="20"/>
              </w:rPr>
            </w:pPr>
            <w:r>
              <w:rPr>
                <w:spacing w:val="-2"/>
                <w:sz w:val="20"/>
              </w:rPr>
              <w:t>On-the-books</w:t>
            </w:r>
          </w:p>
        </w:tc>
      </w:tr>
      <w:tr w:rsidR="00C31389" w14:paraId="64E5EBCF" w14:textId="77777777">
        <w:trPr>
          <w:trHeight w:val="310"/>
        </w:trPr>
        <w:tc>
          <w:tcPr>
            <w:tcW w:w="1367" w:type="dxa"/>
            <w:tcBorders>
              <w:top w:val="single" w:color="D9D9D9" w:sz="2" w:space="0"/>
              <w:bottom w:val="single" w:color="D9D9D9" w:sz="2" w:space="0"/>
            </w:tcBorders>
          </w:tcPr>
          <w:p w:rsidR="00C31389" w:rsidRDefault="00561FBD" w14:paraId="5C36D01E"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3DDB0729" w14:textId="77777777">
            <w:pPr>
              <w:pStyle w:val="TableParagraph"/>
              <w:ind w:left="202"/>
              <w:rPr>
                <w:sz w:val="20"/>
              </w:rPr>
            </w:pPr>
            <w:r>
              <w:rPr>
                <w:sz w:val="20"/>
              </w:rPr>
              <w:t>2013</w:t>
            </w:r>
            <w:r>
              <w:rPr>
                <w:spacing w:val="-5"/>
                <w:sz w:val="20"/>
              </w:rPr>
              <w:t xml:space="preserve"> </w:t>
            </w:r>
            <w:r>
              <w:rPr>
                <w:sz w:val="20"/>
              </w:rPr>
              <w:t>T-24:</w:t>
            </w:r>
            <w:r>
              <w:rPr>
                <w:spacing w:val="-5"/>
                <w:sz w:val="20"/>
              </w:rPr>
              <w:t xml:space="preserve"> </w:t>
            </w:r>
            <w:r>
              <w:rPr>
                <w:sz w:val="20"/>
              </w:rPr>
              <w:t>RNC-HVAC-Zoned</w:t>
            </w:r>
            <w:r>
              <w:rPr>
                <w:spacing w:val="-4"/>
                <w:sz w:val="20"/>
              </w:rPr>
              <w:t xml:space="preserve"> </w:t>
            </w:r>
            <w:r>
              <w:rPr>
                <w:spacing w:val="-5"/>
                <w:sz w:val="20"/>
              </w:rPr>
              <w:t>AC</w:t>
            </w:r>
          </w:p>
        </w:tc>
        <w:tc>
          <w:tcPr>
            <w:tcW w:w="1178" w:type="dxa"/>
            <w:tcBorders>
              <w:top w:val="single" w:color="D9D9D9" w:sz="2" w:space="0"/>
              <w:bottom w:val="single" w:color="D9D9D9" w:sz="2" w:space="0"/>
            </w:tcBorders>
          </w:tcPr>
          <w:p w:rsidR="00C31389" w:rsidRDefault="00561FBD" w14:paraId="16AE77D4" w14:textId="77777777">
            <w:pPr>
              <w:pStyle w:val="TableParagraph"/>
              <w:ind w:right="451"/>
              <w:jc w:val="right"/>
              <w:rPr>
                <w:sz w:val="20"/>
              </w:rPr>
            </w:pPr>
            <w:r>
              <w:rPr>
                <w:spacing w:val="-5"/>
                <w:sz w:val="20"/>
              </w:rPr>
              <w:t>42%</w:t>
            </w:r>
          </w:p>
        </w:tc>
        <w:tc>
          <w:tcPr>
            <w:tcW w:w="1367" w:type="dxa"/>
            <w:tcBorders>
              <w:top w:val="single" w:color="D9D9D9" w:sz="2" w:space="0"/>
              <w:bottom w:val="single" w:color="D9D9D9" w:sz="2" w:space="0"/>
            </w:tcBorders>
          </w:tcPr>
          <w:p w:rsidR="00C31389" w:rsidRDefault="00561FBD" w14:paraId="3E37C1E1" w14:textId="77777777">
            <w:pPr>
              <w:pStyle w:val="TableParagraph"/>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7C15A19D" w14:textId="77777777">
            <w:pPr>
              <w:pStyle w:val="TableParagraph"/>
              <w:ind w:left="198" w:right="152"/>
              <w:jc w:val="center"/>
              <w:rPr>
                <w:sz w:val="20"/>
              </w:rPr>
            </w:pPr>
            <w:r>
              <w:rPr>
                <w:spacing w:val="-2"/>
                <w:sz w:val="20"/>
              </w:rPr>
              <w:t>On-the-books</w:t>
            </w:r>
          </w:p>
        </w:tc>
      </w:tr>
      <w:tr w:rsidR="00C31389" w14:paraId="456592D5" w14:textId="77777777">
        <w:trPr>
          <w:trHeight w:val="309"/>
        </w:trPr>
        <w:tc>
          <w:tcPr>
            <w:tcW w:w="1367" w:type="dxa"/>
            <w:tcBorders>
              <w:top w:val="single" w:color="D9D9D9" w:sz="2" w:space="0"/>
              <w:bottom w:val="single" w:color="D9D9D9" w:sz="2" w:space="0"/>
            </w:tcBorders>
          </w:tcPr>
          <w:p w:rsidR="00C31389" w:rsidRDefault="00561FBD" w14:paraId="63945411"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4C69F148" w14:textId="77777777">
            <w:pPr>
              <w:pStyle w:val="TableParagraph"/>
              <w:ind w:left="202"/>
              <w:rPr>
                <w:sz w:val="20"/>
              </w:rPr>
            </w:pPr>
            <w:r>
              <w:rPr>
                <w:sz w:val="20"/>
              </w:rPr>
              <w:t>2013</w:t>
            </w:r>
            <w:r>
              <w:rPr>
                <w:spacing w:val="-3"/>
                <w:sz w:val="20"/>
              </w:rPr>
              <w:t xml:space="preserve"> </w:t>
            </w:r>
            <w:r>
              <w:rPr>
                <w:sz w:val="20"/>
              </w:rPr>
              <w:t>T-24:</w:t>
            </w:r>
            <w:r>
              <w:rPr>
                <w:spacing w:val="-3"/>
                <w:sz w:val="20"/>
              </w:rPr>
              <w:t xml:space="preserve"> </w:t>
            </w:r>
            <w:r>
              <w:rPr>
                <w:sz w:val="20"/>
              </w:rPr>
              <w:t>RNC-</w:t>
            </w:r>
            <w:r>
              <w:rPr>
                <w:spacing w:val="-2"/>
                <w:sz w:val="20"/>
              </w:rPr>
              <w:t>Lighting</w:t>
            </w:r>
          </w:p>
        </w:tc>
        <w:tc>
          <w:tcPr>
            <w:tcW w:w="1178" w:type="dxa"/>
            <w:tcBorders>
              <w:top w:val="single" w:color="D9D9D9" w:sz="2" w:space="0"/>
              <w:bottom w:val="single" w:color="D9D9D9" w:sz="2" w:space="0"/>
            </w:tcBorders>
          </w:tcPr>
          <w:p w:rsidR="00C31389" w:rsidRDefault="00561FBD" w14:paraId="175A4095" w14:textId="77777777">
            <w:pPr>
              <w:pStyle w:val="TableParagraph"/>
              <w:ind w:right="507"/>
              <w:jc w:val="right"/>
              <w:rPr>
                <w:sz w:val="20"/>
              </w:rPr>
            </w:pPr>
            <w:r>
              <w:rPr>
                <w:spacing w:val="-5"/>
                <w:sz w:val="20"/>
              </w:rPr>
              <w:t>0%</w:t>
            </w:r>
          </w:p>
        </w:tc>
        <w:tc>
          <w:tcPr>
            <w:tcW w:w="1367" w:type="dxa"/>
            <w:tcBorders>
              <w:top w:val="single" w:color="D9D9D9" w:sz="2" w:space="0"/>
              <w:bottom w:val="single" w:color="D9D9D9" w:sz="2" w:space="0"/>
            </w:tcBorders>
          </w:tcPr>
          <w:p w:rsidR="00C31389" w:rsidRDefault="00561FBD" w14:paraId="7C6C5D68" w14:textId="77777777">
            <w:pPr>
              <w:pStyle w:val="TableParagraph"/>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64485158" w14:textId="77777777">
            <w:pPr>
              <w:pStyle w:val="TableParagraph"/>
              <w:ind w:left="198" w:right="152"/>
              <w:jc w:val="center"/>
              <w:rPr>
                <w:sz w:val="20"/>
              </w:rPr>
            </w:pPr>
            <w:r>
              <w:rPr>
                <w:spacing w:val="-2"/>
                <w:sz w:val="20"/>
              </w:rPr>
              <w:t>On-the-books</w:t>
            </w:r>
          </w:p>
        </w:tc>
      </w:tr>
      <w:tr w:rsidR="00C31389" w14:paraId="611F8C3A" w14:textId="77777777">
        <w:trPr>
          <w:trHeight w:val="310"/>
        </w:trPr>
        <w:tc>
          <w:tcPr>
            <w:tcW w:w="1367" w:type="dxa"/>
            <w:tcBorders>
              <w:top w:val="single" w:color="D9D9D9" w:sz="2" w:space="0"/>
              <w:bottom w:val="single" w:color="D9D9D9" w:sz="2" w:space="0"/>
            </w:tcBorders>
          </w:tcPr>
          <w:p w:rsidR="00C31389" w:rsidRDefault="00561FBD" w14:paraId="64BEC480"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05855B83" w14:textId="77777777">
            <w:pPr>
              <w:pStyle w:val="TableParagraph"/>
              <w:ind w:left="202"/>
              <w:rPr>
                <w:sz w:val="20"/>
              </w:rPr>
            </w:pPr>
            <w:r>
              <w:rPr>
                <w:sz w:val="20"/>
              </w:rPr>
              <w:t>2013</w:t>
            </w:r>
            <w:r>
              <w:rPr>
                <w:spacing w:val="-3"/>
                <w:sz w:val="20"/>
              </w:rPr>
              <w:t xml:space="preserve"> </w:t>
            </w:r>
            <w:r>
              <w:rPr>
                <w:sz w:val="20"/>
              </w:rPr>
              <w:t>T-24:</w:t>
            </w:r>
            <w:r>
              <w:rPr>
                <w:spacing w:val="-3"/>
                <w:sz w:val="20"/>
              </w:rPr>
              <w:t xml:space="preserve"> </w:t>
            </w:r>
            <w:r>
              <w:rPr>
                <w:sz w:val="20"/>
              </w:rPr>
              <w:t>RNC-SF</w:t>
            </w:r>
            <w:r>
              <w:rPr>
                <w:spacing w:val="-3"/>
                <w:sz w:val="20"/>
              </w:rPr>
              <w:t xml:space="preserve"> </w:t>
            </w:r>
            <w:r>
              <w:rPr>
                <w:sz w:val="20"/>
              </w:rPr>
              <w:t>Whole</w:t>
            </w:r>
            <w:r>
              <w:rPr>
                <w:spacing w:val="-3"/>
                <w:sz w:val="20"/>
              </w:rPr>
              <w:t xml:space="preserve"> </w:t>
            </w:r>
            <w:r>
              <w:rPr>
                <w:spacing w:val="-2"/>
                <w:sz w:val="20"/>
              </w:rPr>
              <w:t>Building</w:t>
            </w:r>
          </w:p>
        </w:tc>
        <w:tc>
          <w:tcPr>
            <w:tcW w:w="1178" w:type="dxa"/>
            <w:tcBorders>
              <w:top w:val="single" w:color="D9D9D9" w:sz="2" w:space="0"/>
              <w:bottom w:val="single" w:color="D9D9D9" w:sz="2" w:space="0"/>
            </w:tcBorders>
          </w:tcPr>
          <w:p w:rsidR="00C31389" w:rsidRDefault="00561FBD" w14:paraId="6814717A" w14:textId="77777777">
            <w:pPr>
              <w:pStyle w:val="TableParagraph"/>
              <w:ind w:right="451"/>
              <w:jc w:val="right"/>
              <w:rPr>
                <w:sz w:val="20"/>
              </w:rPr>
            </w:pPr>
            <w:r>
              <w:rPr>
                <w:spacing w:val="-5"/>
                <w:sz w:val="20"/>
              </w:rPr>
              <w:t>67%</w:t>
            </w:r>
          </w:p>
        </w:tc>
        <w:tc>
          <w:tcPr>
            <w:tcW w:w="1367" w:type="dxa"/>
            <w:tcBorders>
              <w:top w:val="single" w:color="D9D9D9" w:sz="2" w:space="0"/>
              <w:bottom w:val="single" w:color="D9D9D9" w:sz="2" w:space="0"/>
            </w:tcBorders>
          </w:tcPr>
          <w:p w:rsidR="00C31389" w:rsidRDefault="00561FBD" w14:paraId="73523AB2" w14:textId="77777777">
            <w:pPr>
              <w:pStyle w:val="TableParagraph"/>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34A2B5A7" w14:textId="77777777">
            <w:pPr>
              <w:pStyle w:val="TableParagraph"/>
              <w:ind w:left="198" w:right="152"/>
              <w:jc w:val="center"/>
              <w:rPr>
                <w:sz w:val="20"/>
              </w:rPr>
            </w:pPr>
            <w:r>
              <w:rPr>
                <w:spacing w:val="-2"/>
                <w:sz w:val="20"/>
              </w:rPr>
              <w:t>On-the-books</w:t>
            </w:r>
          </w:p>
        </w:tc>
      </w:tr>
      <w:tr w:rsidR="00C31389" w14:paraId="50AB2205" w14:textId="77777777">
        <w:trPr>
          <w:trHeight w:val="539"/>
        </w:trPr>
        <w:tc>
          <w:tcPr>
            <w:tcW w:w="1367" w:type="dxa"/>
            <w:tcBorders>
              <w:top w:val="single" w:color="D9D9D9" w:sz="2" w:space="0"/>
              <w:bottom w:val="single" w:color="D9D9D9" w:sz="2" w:space="0"/>
            </w:tcBorders>
          </w:tcPr>
          <w:p w:rsidR="00C31389" w:rsidRDefault="00561FBD" w14:paraId="12536EA1"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25C7DCFF" w14:textId="77777777">
            <w:pPr>
              <w:pStyle w:val="TableParagraph"/>
              <w:ind w:left="202" w:right="338"/>
              <w:rPr>
                <w:sz w:val="20"/>
              </w:rPr>
            </w:pPr>
            <w:r>
              <w:rPr>
                <w:sz w:val="20"/>
              </w:rPr>
              <w:t>2013</w:t>
            </w:r>
            <w:r>
              <w:rPr>
                <w:spacing w:val="-8"/>
                <w:sz w:val="20"/>
              </w:rPr>
              <w:t xml:space="preserve"> </w:t>
            </w:r>
            <w:r>
              <w:rPr>
                <w:sz w:val="20"/>
              </w:rPr>
              <w:t>T-24:</w:t>
            </w:r>
            <w:r>
              <w:rPr>
                <w:spacing w:val="-8"/>
                <w:sz w:val="20"/>
              </w:rPr>
              <w:t xml:space="preserve"> </w:t>
            </w:r>
            <w:r>
              <w:rPr>
                <w:sz w:val="20"/>
              </w:rPr>
              <w:t>RNC-Solar</w:t>
            </w:r>
            <w:r>
              <w:rPr>
                <w:spacing w:val="-7"/>
                <w:sz w:val="20"/>
              </w:rPr>
              <w:t xml:space="preserve"> </w:t>
            </w:r>
            <w:r>
              <w:rPr>
                <w:sz w:val="20"/>
              </w:rPr>
              <w:t>-</w:t>
            </w:r>
            <w:r>
              <w:rPr>
                <w:spacing w:val="-8"/>
                <w:sz w:val="20"/>
              </w:rPr>
              <w:t xml:space="preserve"> </w:t>
            </w:r>
            <w:r>
              <w:rPr>
                <w:sz w:val="20"/>
              </w:rPr>
              <w:t>Solar</w:t>
            </w:r>
            <w:r>
              <w:rPr>
                <w:spacing w:val="-7"/>
                <w:sz w:val="20"/>
              </w:rPr>
              <w:t xml:space="preserve"> </w:t>
            </w:r>
            <w:r>
              <w:rPr>
                <w:sz w:val="20"/>
              </w:rPr>
              <w:t>Ready &amp; Oriented Homes</w:t>
            </w:r>
          </w:p>
        </w:tc>
        <w:tc>
          <w:tcPr>
            <w:tcW w:w="1178" w:type="dxa"/>
            <w:tcBorders>
              <w:top w:val="single" w:color="D9D9D9" w:sz="2" w:space="0"/>
              <w:bottom w:val="single" w:color="D9D9D9" w:sz="2" w:space="0"/>
            </w:tcBorders>
          </w:tcPr>
          <w:p w:rsidR="00C31389" w:rsidRDefault="00561FBD" w14:paraId="7F75F98D"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6BF38B09" w14:textId="77777777">
            <w:pPr>
              <w:pStyle w:val="TableParagraph"/>
              <w:spacing w:before="155"/>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7929B900" w14:textId="77777777">
            <w:pPr>
              <w:pStyle w:val="TableParagraph"/>
              <w:spacing w:before="155"/>
              <w:ind w:left="198" w:right="152"/>
              <w:jc w:val="center"/>
              <w:rPr>
                <w:sz w:val="20"/>
              </w:rPr>
            </w:pPr>
            <w:r>
              <w:rPr>
                <w:spacing w:val="-2"/>
                <w:sz w:val="20"/>
              </w:rPr>
              <w:t>On-the-books</w:t>
            </w:r>
          </w:p>
        </w:tc>
      </w:tr>
      <w:tr w:rsidR="00C31389" w14:paraId="653F66F1" w14:textId="77777777">
        <w:trPr>
          <w:trHeight w:val="539"/>
        </w:trPr>
        <w:tc>
          <w:tcPr>
            <w:tcW w:w="1367" w:type="dxa"/>
            <w:tcBorders>
              <w:top w:val="single" w:color="D9D9D9" w:sz="2" w:space="0"/>
              <w:bottom w:val="single" w:color="D9D9D9" w:sz="2" w:space="0"/>
            </w:tcBorders>
          </w:tcPr>
          <w:p w:rsidR="00C31389" w:rsidRDefault="00561FBD" w14:paraId="5044FEBF"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01EDB291" w14:textId="77777777">
            <w:pPr>
              <w:pStyle w:val="TableParagraph"/>
              <w:ind w:left="202"/>
              <w:rPr>
                <w:sz w:val="20"/>
              </w:rPr>
            </w:pPr>
            <w:r>
              <w:rPr>
                <w:sz w:val="20"/>
              </w:rPr>
              <w:t>2013</w:t>
            </w:r>
            <w:r>
              <w:rPr>
                <w:spacing w:val="-3"/>
                <w:sz w:val="20"/>
              </w:rPr>
              <w:t xml:space="preserve"> </w:t>
            </w:r>
            <w:r>
              <w:rPr>
                <w:sz w:val="20"/>
              </w:rPr>
              <w:t>T-24:</w:t>
            </w:r>
            <w:r>
              <w:rPr>
                <w:spacing w:val="-2"/>
                <w:sz w:val="20"/>
              </w:rPr>
              <w:t xml:space="preserve"> </w:t>
            </w:r>
            <w:r>
              <w:rPr>
                <w:sz w:val="20"/>
              </w:rPr>
              <w:t>NRNC-DHW</w:t>
            </w:r>
            <w:r>
              <w:rPr>
                <w:spacing w:val="-4"/>
                <w:sz w:val="20"/>
              </w:rPr>
              <w:t xml:space="preserve"> </w:t>
            </w:r>
            <w:r>
              <w:rPr>
                <w:sz w:val="20"/>
              </w:rPr>
              <w:t>-</w:t>
            </w:r>
            <w:r>
              <w:rPr>
                <w:spacing w:val="-2"/>
                <w:sz w:val="20"/>
              </w:rPr>
              <w:t xml:space="preserve"> </w:t>
            </w:r>
            <w:r>
              <w:rPr>
                <w:sz w:val="20"/>
              </w:rPr>
              <w:t>Hotel</w:t>
            </w:r>
            <w:r>
              <w:rPr>
                <w:spacing w:val="-2"/>
                <w:sz w:val="20"/>
              </w:rPr>
              <w:t xml:space="preserve"> </w:t>
            </w:r>
            <w:r>
              <w:rPr>
                <w:spacing w:val="-5"/>
                <w:sz w:val="20"/>
              </w:rPr>
              <w:t>DHW</w:t>
            </w:r>
          </w:p>
          <w:p w:rsidR="00C31389" w:rsidRDefault="00561FBD" w14:paraId="16E81B9A" w14:textId="77777777">
            <w:pPr>
              <w:pStyle w:val="TableParagraph"/>
              <w:spacing w:before="0"/>
              <w:ind w:left="202"/>
              <w:rPr>
                <w:sz w:val="20"/>
              </w:rPr>
            </w:pPr>
            <w:r>
              <w:rPr>
                <w:sz w:val="20"/>
              </w:rPr>
              <w:t>Control</w:t>
            </w:r>
            <w:r>
              <w:rPr>
                <w:spacing w:val="-2"/>
                <w:sz w:val="20"/>
              </w:rPr>
              <w:t xml:space="preserve"> </w:t>
            </w:r>
            <w:r>
              <w:rPr>
                <w:sz w:val="20"/>
              </w:rPr>
              <w:t>and</w:t>
            </w:r>
            <w:r>
              <w:rPr>
                <w:spacing w:val="-2"/>
                <w:sz w:val="20"/>
              </w:rPr>
              <w:t xml:space="preserve"> Solar</w:t>
            </w:r>
          </w:p>
        </w:tc>
        <w:tc>
          <w:tcPr>
            <w:tcW w:w="1178" w:type="dxa"/>
            <w:tcBorders>
              <w:top w:val="single" w:color="D9D9D9" w:sz="2" w:space="0"/>
              <w:bottom w:val="single" w:color="D9D9D9" w:sz="2" w:space="0"/>
            </w:tcBorders>
          </w:tcPr>
          <w:p w:rsidR="00C31389" w:rsidRDefault="00561FBD" w14:paraId="61779BE4"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44A46C78" w14:textId="77777777">
            <w:pPr>
              <w:pStyle w:val="TableParagraph"/>
              <w:spacing w:before="155"/>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72E20DFC" w14:textId="77777777">
            <w:pPr>
              <w:pStyle w:val="TableParagraph"/>
              <w:spacing w:before="155"/>
              <w:ind w:left="198" w:right="152"/>
              <w:jc w:val="center"/>
              <w:rPr>
                <w:sz w:val="20"/>
              </w:rPr>
            </w:pPr>
            <w:r>
              <w:rPr>
                <w:spacing w:val="-2"/>
                <w:sz w:val="20"/>
              </w:rPr>
              <w:t>On-the-books</w:t>
            </w:r>
          </w:p>
        </w:tc>
      </w:tr>
      <w:tr w:rsidR="00C31389" w14:paraId="0CD318B0" w14:textId="77777777">
        <w:trPr>
          <w:trHeight w:val="539"/>
        </w:trPr>
        <w:tc>
          <w:tcPr>
            <w:tcW w:w="1367" w:type="dxa"/>
            <w:tcBorders>
              <w:top w:val="single" w:color="D9D9D9" w:sz="2" w:space="0"/>
              <w:bottom w:val="single" w:color="D9D9D9" w:sz="2" w:space="0"/>
            </w:tcBorders>
          </w:tcPr>
          <w:p w:rsidR="00C31389" w:rsidRDefault="00561FBD" w14:paraId="4C5D290E"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2CFCE171" w14:textId="77777777">
            <w:pPr>
              <w:pStyle w:val="TableParagraph"/>
              <w:ind w:left="202"/>
              <w:rPr>
                <w:sz w:val="20"/>
              </w:rPr>
            </w:pPr>
            <w:r>
              <w:rPr>
                <w:sz w:val="20"/>
              </w:rPr>
              <w:t>2013</w:t>
            </w:r>
            <w:r>
              <w:rPr>
                <w:spacing w:val="-5"/>
                <w:sz w:val="20"/>
              </w:rPr>
              <w:t xml:space="preserve"> </w:t>
            </w:r>
            <w:r>
              <w:rPr>
                <w:sz w:val="20"/>
              </w:rPr>
              <w:t>T-24:</w:t>
            </w:r>
            <w:r>
              <w:rPr>
                <w:spacing w:val="-4"/>
                <w:sz w:val="20"/>
              </w:rPr>
              <w:t xml:space="preserve"> </w:t>
            </w:r>
            <w:r>
              <w:rPr>
                <w:sz w:val="20"/>
              </w:rPr>
              <w:t>NRNC-DHW-Solar</w:t>
            </w:r>
            <w:r>
              <w:rPr>
                <w:spacing w:val="-3"/>
                <w:sz w:val="20"/>
              </w:rPr>
              <w:t xml:space="preserve"> </w:t>
            </w:r>
            <w:r>
              <w:rPr>
                <w:spacing w:val="-4"/>
                <w:sz w:val="20"/>
              </w:rPr>
              <w:t>Water</w:t>
            </w:r>
          </w:p>
          <w:p w:rsidR="00C31389" w:rsidRDefault="00561FBD" w14:paraId="7C618057" w14:textId="77777777">
            <w:pPr>
              <w:pStyle w:val="TableParagraph"/>
              <w:spacing w:before="0"/>
              <w:ind w:left="202"/>
              <w:rPr>
                <w:sz w:val="20"/>
              </w:rPr>
            </w:pPr>
            <w:r>
              <w:rPr>
                <w:spacing w:val="-2"/>
                <w:sz w:val="20"/>
              </w:rPr>
              <w:t>Heating</w:t>
            </w:r>
          </w:p>
        </w:tc>
        <w:tc>
          <w:tcPr>
            <w:tcW w:w="1178" w:type="dxa"/>
            <w:tcBorders>
              <w:top w:val="single" w:color="D9D9D9" w:sz="2" w:space="0"/>
              <w:bottom w:val="single" w:color="D9D9D9" w:sz="2" w:space="0"/>
            </w:tcBorders>
          </w:tcPr>
          <w:p w:rsidR="00C31389" w:rsidRDefault="00561FBD" w14:paraId="43859712"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770164FA" w14:textId="77777777">
            <w:pPr>
              <w:pStyle w:val="TableParagraph"/>
              <w:spacing w:before="155"/>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0B8BCA0D" w14:textId="77777777">
            <w:pPr>
              <w:pStyle w:val="TableParagraph"/>
              <w:spacing w:before="155"/>
              <w:ind w:left="198" w:right="152"/>
              <w:jc w:val="center"/>
              <w:rPr>
                <w:sz w:val="20"/>
              </w:rPr>
            </w:pPr>
            <w:r>
              <w:rPr>
                <w:spacing w:val="-2"/>
                <w:sz w:val="20"/>
              </w:rPr>
              <w:t>On-the-books</w:t>
            </w:r>
          </w:p>
        </w:tc>
      </w:tr>
      <w:tr w:rsidR="00C31389" w14:paraId="0F6F4715" w14:textId="77777777">
        <w:trPr>
          <w:trHeight w:val="539"/>
        </w:trPr>
        <w:tc>
          <w:tcPr>
            <w:tcW w:w="1367" w:type="dxa"/>
            <w:tcBorders>
              <w:top w:val="single" w:color="D9D9D9" w:sz="2" w:space="0"/>
              <w:bottom w:val="single" w:color="D9D9D9" w:sz="2" w:space="0"/>
            </w:tcBorders>
          </w:tcPr>
          <w:p w:rsidR="00C31389" w:rsidRDefault="00561FBD" w14:paraId="1966C1C0"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1623A3DE" w14:textId="77777777">
            <w:pPr>
              <w:pStyle w:val="TableParagraph"/>
              <w:ind w:left="202" w:right="338"/>
              <w:rPr>
                <w:sz w:val="20"/>
              </w:rPr>
            </w:pPr>
            <w:r>
              <w:rPr>
                <w:sz w:val="20"/>
              </w:rPr>
              <w:t>2013</w:t>
            </w:r>
            <w:r>
              <w:rPr>
                <w:spacing w:val="-14"/>
                <w:sz w:val="20"/>
              </w:rPr>
              <w:t xml:space="preserve"> </w:t>
            </w:r>
            <w:r>
              <w:rPr>
                <w:sz w:val="20"/>
              </w:rPr>
              <w:t>T-24:</w:t>
            </w:r>
            <w:r>
              <w:rPr>
                <w:spacing w:val="-14"/>
                <w:sz w:val="20"/>
              </w:rPr>
              <w:t xml:space="preserve"> </w:t>
            </w:r>
            <w:r>
              <w:rPr>
                <w:sz w:val="20"/>
              </w:rPr>
              <w:t xml:space="preserve">NRNC-Envelope-Cool </w:t>
            </w:r>
            <w:r>
              <w:rPr>
                <w:spacing w:val="-2"/>
                <w:sz w:val="20"/>
              </w:rPr>
              <w:t>Roofs</w:t>
            </w:r>
          </w:p>
        </w:tc>
        <w:tc>
          <w:tcPr>
            <w:tcW w:w="1178" w:type="dxa"/>
            <w:tcBorders>
              <w:top w:val="single" w:color="D9D9D9" w:sz="2" w:space="0"/>
              <w:bottom w:val="single" w:color="D9D9D9" w:sz="2" w:space="0"/>
            </w:tcBorders>
          </w:tcPr>
          <w:p w:rsidR="00C31389" w:rsidRDefault="00561FBD" w14:paraId="70522934"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1B039A84" w14:textId="77777777">
            <w:pPr>
              <w:pStyle w:val="TableParagraph"/>
              <w:spacing w:before="155"/>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744B7FB5" w14:textId="77777777">
            <w:pPr>
              <w:pStyle w:val="TableParagraph"/>
              <w:spacing w:before="155"/>
              <w:ind w:left="198" w:right="152"/>
              <w:jc w:val="center"/>
              <w:rPr>
                <w:sz w:val="20"/>
              </w:rPr>
            </w:pPr>
            <w:r>
              <w:rPr>
                <w:spacing w:val="-2"/>
                <w:sz w:val="20"/>
              </w:rPr>
              <w:t>On-the-books</w:t>
            </w:r>
          </w:p>
        </w:tc>
      </w:tr>
      <w:tr w:rsidR="00C31389" w14:paraId="1BA2707B" w14:textId="77777777">
        <w:trPr>
          <w:trHeight w:val="539"/>
        </w:trPr>
        <w:tc>
          <w:tcPr>
            <w:tcW w:w="1367" w:type="dxa"/>
            <w:tcBorders>
              <w:top w:val="single" w:color="D9D9D9" w:sz="2" w:space="0"/>
              <w:bottom w:val="single" w:color="D9D9D9" w:sz="2" w:space="0"/>
            </w:tcBorders>
          </w:tcPr>
          <w:p w:rsidR="00C31389" w:rsidRDefault="00561FBD" w14:paraId="3B069BB7"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07907FF8" w14:textId="77777777">
            <w:pPr>
              <w:pStyle w:val="TableParagraph"/>
              <w:ind w:left="202" w:right="338"/>
              <w:rPr>
                <w:sz w:val="20"/>
              </w:rPr>
            </w:pPr>
            <w:r>
              <w:rPr>
                <w:sz w:val="20"/>
              </w:rPr>
              <w:t>2013</w:t>
            </w:r>
            <w:r>
              <w:rPr>
                <w:spacing w:val="-14"/>
                <w:sz w:val="20"/>
              </w:rPr>
              <w:t xml:space="preserve"> </w:t>
            </w:r>
            <w:r>
              <w:rPr>
                <w:sz w:val="20"/>
              </w:rPr>
              <w:t>T-24:</w:t>
            </w:r>
            <w:r>
              <w:rPr>
                <w:spacing w:val="-14"/>
                <w:sz w:val="20"/>
              </w:rPr>
              <w:t xml:space="preserve"> </w:t>
            </w:r>
            <w:r>
              <w:rPr>
                <w:sz w:val="20"/>
              </w:rPr>
              <w:t xml:space="preserve">NRNC-Envelope- </w:t>
            </w:r>
            <w:r>
              <w:rPr>
                <w:spacing w:val="-2"/>
                <w:sz w:val="20"/>
              </w:rPr>
              <w:t>Fenestration</w:t>
            </w:r>
          </w:p>
        </w:tc>
        <w:tc>
          <w:tcPr>
            <w:tcW w:w="1178" w:type="dxa"/>
            <w:tcBorders>
              <w:top w:val="single" w:color="D9D9D9" w:sz="2" w:space="0"/>
              <w:bottom w:val="single" w:color="D9D9D9" w:sz="2" w:space="0"/>
            </w:tcBorders>
          </w:tcPr>
          <w:p w:rsidR="00C31389" w:rsidRDefault="00561FBD" w14:paraId="4D8A0151"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4261716B" w14:textId="77777777">
            <w:pPr>
              <w:pStyle w:val="TableParagraph"/>
              <w:spacing w:before="155"/>
              <w:ind w:right="233"/>
              <w:jc w:val="right"/>
              <w:rPr>
                <w:sz w:val="20"/>
              </w:rPr>
            </w:pPr>
            <w:r>
              <w:rPr>
                <w:spacing w:val="-2"/>
                <w:sz w:val="20"/>
              </w:rPr>
              <w:t>7/1/2014</w:t>
            </w:r>
          </w:p>
        </w:tc>
        <w:tc>
          <w:tcPr>
            <w:tcW w:w="1580" w:type="dxa"/>
            <w:tcBorders>
              <w:top w:val="single" w:color="D9D9D9" w:sz="2" w:space="0"/>
              <w:bottom w:val="single" w:color="D9D9D9" w:sz="2" w:space="0"/>
            </w:tcBorders>
          </w:tcPr>
          <w:p w:rsidR="00C31389" w:rsidRDefault="00561FBD" w14:paraId="2F48EC6A" w14:textId="77777777">
            <w:pPr>
              <w:pStyle w:val="TableParagraph"/>
              <w:spacing w:before="155"/>
              <w:ind w:left="198" w:right="152"/>
              <w:jc w:val="center"/>
              <w:rPr>
                <w:sz w:val="20"/>
              </w:rPr>
            </w:pPr>
            <w:r>
              <w:rPr>
                <w:spacing w:val="-2"/>
                <w:sz w:val="20"/>
              </w:rPr>
              <w:t>On-the-books</w:t>
            </w:r>
          </w:p>
        </w:tc>
      </w:tr>
      <w:tr w:rsidR="00C31389" w14:paraId="573348B8" w14:textId="77777777">
        <w:trPr>
          <w:trHeight w:val="539"/>
        </w:trPr>
        <w:tc>
          <w:tcPr>
            <w:tcW w:w="1367" w:type="dxa"/>
            <w:tcBorders>
              <w:top w:val="single" w:color="D9D9D9" w:sz="2" w:space="0"/>
              <w:bottom w:val="single" w:color="D9D9D9" w:sz="2" w:space="0"/>
            </w:tcBorders>
          </w:tcPr>
          <w:p w:rsidR="00C31389" w:rsidRDefault="00561FBD" w14:paraId="41C1ED95"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47C4513C"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NRNC-HVAC-Acceptance </w:t>
            </w:r>
            <w:r>
              <w:rPr>
                <w:spacing w:val="-2"/>
                <w:sz w:val="20"/>
              </w:rPr>
              <w:t>Requirements</w:t>
            </w:r>
          </w:p>
        </w:tc>
        <w:tc>
          <w:tcPr>
            <w:tcW w:w="1178" w:type="dxa"/>
            <w:tcBorders>
              <w:top w:val="single" w:color="D9D9D9" w:sz="2" w:space="0"/>
              <w:bottom w:val="single" w:color="D9D9D9" w:sz="2" w:space="0"/>
            </w:tcBorders>
          </w:tcPr>
          <w:p w:rsidR="00C31389" w:rsidRDefault="00561FBD" w14:paraId="516D380C"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660C089D" w14:textId="77777777">
            <w:pPr>
              <w:pStyle w:val="TableParagraph"/>
              <w:spacing w:before="155"/>
              <w:ind w:right="233"/>
              <w:jc w:val="right"/>
              <w:rPr>
                <w:sz w:val="20"/>
              </w:rPr>
            </w:pPr>
            <w:r>
              <w:rPr>
                <w:spacing w:val="-2"/>
                <w:sz w:val="20"/>
              </w:rPr>
              <w:t>7/1/2014</w:t>
            </w:r>
          </w:p>
        </w:tc>
        <w:tc>
          <w:tcPr>
            <w:tcW w:w="1580" w:type="dxa"/>
            <w:tcBorders>
              <w:top w:val="single" w:color="D9D9D9" w:sz="2" w:space="0"/>
              <w:bottom w:val="single" w:color="D9D9D9" w:sz="2" w:space="0"/>
            </w:tcBorders>
          </w:tcPr>
          <w:p w:rsidR="00C31389" w:rsidRDefault="00561FBD" w14:paraId="76B34A38" w14:textId="77777777">
            <w:pPr>
              <w:pStyle w:val="TableParagraph"/>
              <w:spacing w:before="155"/>
              <w:ind w:left="198" w:right="152"/>
              <w:jc w:val="center"/>
              <w:rPr>
                <w:sz w:val="20"/>
              </w:rPr>
            </w:pPr>
            <w:r>
              <w:rPr>
                <w:spacing w:val="-2"/>
                <w:sz w:val="20"/>
              </w:rPr>
              <w:t>On-the-books</w:t>
            </w:r>
          </w:p>
        </w:tc>
      </w:tr>
      <w:tr w:rsidR="00C31389" w14:paraId="06B0C1D0" w14:textId="77777777">
        <w:trPr>
          <w:trHeight w:val="539"/>
        </w:trPr>
        <w:tc>
          <w:tcPr>
            <w:tcW w:w="1367" w:type="dxa"/>
            <w:tcBorders>
              <w:top w:val="single" w:color="D9D9D9" w:sz="2" w:space="0"/>
              <w:bottom w:val="single" w:color="D9D9D9" w:sz="2" w:space="0"/>
            </w:tcBorders>
          </w:tcPr>
          <w:p w:rsidR="00C31389" w:rsidRDefault="00561FBD" w14:paraId="657996C7"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049A4BA1" w14:textId="77777777">
            <w:pPr>
              <w:pStyle w:val="TableParagraph"/>
              <w:ind w:left="202"/>
              <w:rPr>
                <w:sz w:val="20"/>
              </w:rPr>
            </w:pPr>
            <w:r>
              <w:rPr>
                <w:sz w:val="20"/>
              </w:rPr>
              <w:t>2013</w:t>
            </w:r>
            <w:r>
              <w:rPr>
                <w:spacing w:val="-6"/>
                <w:sz w:val="20"/>
              </w:rPr>
              <w:t xml:space="preserve"> </w:t>
            </w:r>
            <w:r>
              <w:rPr>
                <w:sz w:val="20"/>
              </w:rPr>
              <w:t>T-24:</w:t>
            </w:r>
            <w:r>
              <w:rPr>
                <w:spacing w:val="-6"/>
                <w:sz w:val="20"/>
              </w:rPr>
              <w:t xml:space="preserve"> </w:t>
            </w:r>
            <w:r>
              <w:rPr>
                <w:sz w:val="20"/>
              </w:rPr>
              <w:t>NRNC-HVAC-Chiller</w:t>
            </w:r>
            <w:r>
              <w:rPr>
                <w:spacing w:val="-4"/>
                <w:sz w:val="20"/>
              </w:rPr>
              <w:t xml:space="preserve"> </w:t>
            </w:r>
            <w:r>
              <w:rPr>
                <w:spacing w:val="-5"/>
                <w:sz w:val="20"/>
              </w:rPr>
              <w:t>Min</w:t>
            </w:r>
          </w:p>
          <w:p w:rsidR="00C31389" w:rsidRDefault="00561FBD" w14:paraId="2E541237" w14:textId="77777777">
            <w:pPr>
              <w:pStyle w:val="TableParagraph"/>
              <w:spacing w:before="0"/>
              <w:ind w:left="202"/>
              <w:rPr>
                <w:sz w:val="20"/>
              </w:rPr>
            </w:pPr>
            <w:r>
              <w:rPr>
                <w:spacing w:val="-2"/>
                <w:sz w:val="20"/>
              </w:rPr>
              <w:t>Efficiency</w:t>
            </w:r>
          </w:p>
        </w:tc>
        <w:tc>
          <w:tcPr>
            <w:tcW w:w="1178" w:type="dxa"/>
            <w:tcBorders>
              <w:top w:val="single" w:color="D9D9D9" w:sz="2" w:space="0"/>
              <w:bottom w:val="single" w:color="D9D9D9" w:sz="2" w:space="0"/>
            </w:tcBorders>
          </w:tcPr>
          <w:p w:rsidR="00C31389" w:rsidRDefault="00561FBD" w14:paraId="6A4BA0B1"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7260A8E6"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013C7067" w14:textId="77777777">
            <w:pPr>
              <w:pStyle w:val="TableParagraph"/>
              <w:spacing w:before="155"/>
              <w:ind w:left="198" w:right="152"/>
              <w:jc w:val="center"/>
              <w:rPr>
                <w:sz w:val="20"/>
              </w:rPr>
            </w:pPr>
            <w:r>
              <w:rPr>
                <w:spacing w:val="-2"/>
                <w:sz w:val="20"/>
              </w:rPr>
              <w:t>On-the-books</w:t>
            </w:r>
          </w:p>
        </w:tc>
      </w:tr>
      <w:tr w:rsidR="00C31389" w14:paraId="2806D8A3" w14:textId="77777777">
        <w:trPr>
          <w:trHeight w:val="541"/>
        </w:trPr>
        <w:tc>
          <w:tcPr>
            <w:tcW w:w="1367" w:type="dxa"/>
            <w:tcBorders>
              <w:top w:val="single" w:color="D9D9D9" w:sz="2" w:space="0"/>
              <w:bottom w:val="single" w:color="D9D9D9" w:sz="2" w:space="0"/>
            </w:tcBorders>
          </w:tcPr>
          <w:p w:rsidR="00C31389" w:rsidRDefault="00561FBD" w14:paraId="46080A5A"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3D81F01B" w14:textId="77777777">
            <w:pPr>
              <w:pStyle w:val="TableParagraph"/>
              <w:spacing w:before="41"/>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NRNC-HVAC-Commercial </w:t>
            </w:r>
            <w:r>
              <w:rPr>
                <w:spacing w:val="-2"/>
                <w:sz w:val="20"/>
              </w:rPr>
              <w:t>Boilers</w:t>
            </w:r>
          </w:p>
        </w:tc>
        <w:tc>
          <w:tcPr>
            <w:tcW w:w="1178" w:type="dxa"/>
            <w:tcBorders>
              <w:top w:val="single" w:color="D9D9D9" w:sz="2" w:space="0"/>
              <w:bottom w:val="single" w:color="D9D9D9" w:sz="2" w:space="0"/>
            </w:tcBorders>
          </w:tcPr>
          <w:p w:rsidR="00C31389" w:rsidRDefault="00561FBD" w14:paraId="3CE51007"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3AA4BCAD" w14:textId="77777777">
            <w:pPr>
              <w:pStyle w:val="TableParagraph"/>
              <w:spacing w:before="155"/>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5CE71469" w14:textId="77777777">
            <w:pPr>
              <w:pStyle w:val="TableParagraph"/>
              <w:spacing w:before="155"/>
              <w:ind w:left="198" w:right="152"/>
              <w:jc w:val="center"/>
              <w:rPr>
                <w:sz w:val="20"/>
              </w:rPr>
            </w:pPr>
            <w:r>
              <w:rPr>
                <w:spacing w:val="-2"/>
                <w:sz w:val="20"/>
              </w:rPr>
              <w:t>On-the-books</w:t>
            </w:r>
          </w:p>
        </w:tc>
      </w:tr>
      <w:tr w:rsidR="00C31389" w14:paraId="52AAAA77" w14:textId="77777777">
        <w:trPr>
          <w:trHeight w:val="539"/>
        </w:trPr>
        <w:tc>
          <w:tcPr>
            <w:tcW w:w="1367" w:type="dxa"/>
            <w:tcBorders>
              <w:top w:val="single" w:color="D9D9D9" w:sz="2" w:space="0"/>
              <w:bottom w:val="single" w:color="D9D9D9" w:sz="2" w:space="0"/>
            </w:tcBorders>
          </w:tcPr>
          <w:p w:rsidR="00C31389" w:rsidRDefault="00561FBD" w14:paraId="29B1AC8C"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20354DB4" w14:textId="77777777">
            <w:pPr>
              <w:pStyle w:val="TableParagraph"/>
              <w:ind w:left="202"/>
              <w:rPr>
                <w:sz w:val="20"/>
              </w:rPr>
            </w:pPr>
            <w:r>
              <w:rPr>
                <w:sz w:val="20"/>
              </w:rPr>
              <w:t>2013</w:t>
            </w:r>
            <w:r>
              <w:rPr>
                <w:spacing w:val="-6"/>
                <w:sz w:val="20"/>
              </w:rPr>
              <w:t xml:space="preserve"> </w:t>
            </w:r>
            <w:r>
              <w:rPr>
                <w:sz w:val="20"/>
              </w:rPr>
              <w:t>T-24:</w:t>
            </w:r>
            <w:r>
              <w:rPr>
                <w:spacing w:val="-5"/>
                <w:sz w:val="20"/>
              </w:rPr>
              <w:t xml:space="preserve"> </w:t>
            </w:r>
            <w:r>
              <w:rPr>
                <w:sz w:val="20"/>
              </w:rPr>
              <w:t>NRNC-HVAC-</w:t>
            </w:r>
            <w:r>
              <w:rPr>
                <w:spacing w:val="-2"/>
                <w:sz w:val="20"/>
              </w:rPr>
              <w:t>Cooling</w:t>
            </w:r>
          </w:p>
          <w:p w:rsidR="00C31389" w:rsidRDefault="00561FBD" w14:paraId="37F2B9DF" w14:textId="77777777">
            <w:pPr>
              <w:pStyle w:val="TableParagraph"/>
              <w:spacing w:before="0"/>
              <w:ind w:left="202"/>
              <w:rPr>
                <w:sz w:val="20"/>
              </w:rPr>
            </w:pPr>
            <w:r>
              <w:rPr>
                <w:sz w:val="20"/>
              </w:rPr>
              <w:t>Towers</w:t>
            </w:r>
            <w:r>
              <w:rPr>
                <w:spacing w:val="-2"/>
                <w:sz w:val="20"/>
              </w:rPr>
              <w:t xml:space="preserve"> Water</w:t>
            </w:r>
          </w:p>
        </w:tc>
        <w:tc>
          <w:tcPr>
            <w:tcW w:w="1178" w:type="dxa"/>
            <w:tcBorders>
              <w:top w:val="single" w:color="D9D9D9" w:sz="2" w:space="0"/>
              <w:bottom w:val="single" w:color="D9D9D9" w:sz="2" w:space="0"/>
            </w:tcBorders>
          </w:tcPr>
          <w:p w:rsidR="00C31389" w:rsidRDefault="00561FBD" w14:paraId="75D184CA"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01E01EFD"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0E118F14" w14:textId="77777777">
            <w:pPr>
              <w:pStyle w:val="TableParagraph"/>
              <w:spacing w:before="155"/>
              <w:ind w:left="198" w:right="152"/>
              <w:jc w:val="center"/>
              <w:rPr>
                <w:sz w:val="20"/>
              </w:rPr>
            </w:pPr>
            <w:r>
              <w:rPr>
                <w:spacing w:val="-2"/>
                <w:sz w:val="20"/>
              </w:rPr>
              <w:t>On-the-books</w:t>
            </w:r>
          </w:p>
        </w:tc>
      </w:tr>
      <w:tr w:rsidR="00C31389" w14:paraId="31743CF0" w14:textId="77777777">
        <w:trPr>
          <w:trHeight w:val="539"/>
        </w:trPr>
        <w:tc>
          <w:tcPr>
            <w:tcW w:w="1367" w:type="dxa"/>
            <w:tcBorders>
              <w:top w:val="single" w:color="D9D9D9" w:sz="2" w:space="0"/>
              <w:bottom w:val="single" w:color="D9D9D9" w:sz="2" w:space="0"/>
            </w:tcBorders>
          </w:tcPr>
          <w:p w:rsidR="00C31389" w:rsidRDefault="00561FBD" w14:paraId="785A6A8C"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3FB67C76" w14:textId="77777777">
            <w:pPr>
              <w:pStyle w:val="TableParagraph"/>
              <w:ind w:left="202"/>
              <w:rPr>
                <w:sz w:val="20"/>
              </w:rPr>
            </w:pPr>
            <w:r>
              <w:rPr>
                <w:sz w:val="20"/>
              </w:rPr>
              <w:t>2013</w:t>
            </w:r>
            <w:r>
              <w:rPr>
                <w:spacing w:val="-8"/>
                <w:sz w:val="20"/>
              </w:rPr>
              <w:t xml:space="preserve"> </w:t>
            </w:r>
            <w:r>
              <w:rPr>
                <w:sz w:val="20"/>
              </w:rPr>
              <w:t>T-24:</w:t>
            </w:r>
            <w:r>
              <w:rPr>
                <w:spacing w:val="-5"/>
                <w:sz w:val="20"/>
              </w:rPr>
              <w:t xml:space="preserve"> </w:t>
            </w:r>
            <w:r>
              <w:rPr>
                <w:sz w:val="20"/>
              </w:rPr>
              <w:t>NRNC-HVAC-</w:t>
            </w:r>
            <w:r>
              <w:rPr>
                <w:spacing w:val="-4"/>
                <w:sz w:val="20"/>
              </w:rPr>
              <w:t>Evap</w:t>
            </w:r>
          </w:p>
          <w:p w:rsidR="00C31389" w:rsidRDefault="00561FBD" w14:paraId="56D1A198" w14:textId="77777777">
            <w:pPr>
              <w:pStyle w:val="TableParagraph"/>
              <w:spacing w:before="0"/>
              <w:ind w:left="202"/>
              <w:rPr>
                <w:sz w:val="20"/>
              </w:rPr>
            </w:pPr>
            <w:r>
              <w:rPr>
                <w:sz w:val="20"/>
              </w:rPr>
              <w:t>Cooling</w:t>
            </w:r>
            <w:r>
              <w:rPr>
                <w:spacing w:val="-4"/>
                <w:sz w:val="20"/>
              </w:rPr>
              <w:t xml:space="preserve"> </w:t>
            </w:r>
            <w:r>
              <w:rPr>
                <w:spacing w:val="-2"/>
                <w:sz w:val="20"/>
              </w:rPr>
              <w:t>Credit</w:t>
            </w:r>
          </w:p>
        </w:tc>
        <w:tc>
          <w:tcPr>
            <w:tcW w:w="1178" w:type="dxa"/>
            <w:tcBorders>
              <w:top w:val="single" w:color="D9D9D9" w:sz="2" w:space="0"/>
              <w:bottom w:val="single" w:color="D9D9D9" w:sz="2" w:space="0"/>
            </w:tcBorders>
          </w:tcPr>
          <w:p w:rsidR="00C31389" w:rsidRDefault="00561FBD" w14:paraId="43311F2F"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4E86152E"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08E76E04" w14:textId="77777777">
            <w:pPr>
              <w:pStyle w:val="TableParagraph"/>
              <w:spacing w:before="155"/>
              <w:ind w:left="198" w:right="152"/>
              <w:jc w:val="center"/>
              <w:rPr>
                <w:sz w:val="20"/>
              </w:rPr>
            </w:pPr>
            <w:r>
              <w:rPr>
                <w:spacing w:val="-2"/>
                <w:sz w:val="20"/>
              </w:rPr>
              <w:t>On-the-books</w:t>
            </w:r>
          </w:p>
        </w:tc>
      </w:tr>
      <w:tr w:rsidR="00C31389" w14:paraId="57817CF8" w14:textId="77777777">
        <w:trPr>
          <w:trHeight w:val="539"/>
        </w:trPr>
        <w:tc>
          <w:tcPr>
            <w:tcW w:w="1367" w:type="dxa"/>
            <w:tcBorders>
              <w:top w:val="single" w:color="D9D9D9" w:sz="2" w:space="0"/>
              <w:bottom w:val="single" w:color="D9D9D9" w:sz="2" w:space="0"/>
            </w:tcBorders>
          </w:tcPr>
          <w:p w:rsidR="00C31389" w:rsidRDefault="00561FBD" w14:paraId="5352807A"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1F17B87E" w14:textId="77777777">
            <w:pPr>
              <w:pStyle w:val="TableParagraph"/>
              <w:ind w:left="202"/>
              <w:rPr>
                <w:sz w:val="20"/>
              </w:rPr>
            </w:pPr>
            <w:r>
              <w:rPr>
                <w:sz w:val="20"/>
              </w:rPr>
              <w:t>2013</w:t>
            </w:r>
            <w:r>
              <w:rPr>
                <w:spacing w:val="-6"/>
                <w:sz w:val="20"/>
              </w:rPr>
              <w:t xml:space="preserve"> </w:t>
            </w:r>
            <w:r>
              <w:rPr>
                <w:sz w:val="20"/>
              </w:rPr>
              <w:t>T-24:</w:t>
            </w:r>
            <w:r>
              <w:rPr>
                <w:spacing w:val="-4"/>
                <w:sz w:val="20"/>
              </w:rPr>
              <w:t xml:space="preserve"> </w:t>
            </w:r>
            <w:r>
              <w:rPr>
                <w:sz w:val="20"/>
              </w:rPr>
              <w:t>NRNC-HVAC-Fan</w:t>
            </w:r>
            <w:r>
              <w:rPr>
                <w:spacing w:val="-4"/>
                <w:sz w:val="20"/>
              </w:rPr>
              <w:t xml:space="preserve"> </w:t>
            </w:r>
            <w:r>
              <w:rPr>
                <w:spacing w:val="-2"/>
                <w:sz w:val="20"/>
              </w:rPr>
              <w:t>Control</w:t>
            </w:r>
          </w:p>
          <w:p w:rsidR="00C31389" w:rsidRDefault="00561FBD" w14:paraId="6C0D6A06" w14:textId="77777777">
            <w:pPr>
              <w:pStyle w:val="TableParagraph"/>
              <w:spacing w:before="0"/>
              <w:ind w:left="202"/>
              <w:rPr>
                <w:sz w:val="20"/>
              </w:rPr>
            </w:pPr>
            <w:r>
              <w:rPr>
                <w:sz w:val="20"/>
              </w:rPr>
              <w:t>&amp;</w:t>
            </w:r>
            <w:r>
              <w:rPr>
                <w:spacing w:val="-1"/>
                <w:sz w:val="20"/>
              </w:rPr>
              <w:t xml:space="preserve"> </w:t>
            </w:r>
            <w:r>
              <w:rPr>
                <w:spacing w:val="-2"/>
                <w:sz w:val="20"/>
              </w:rPr>
              <w:t>Economizers</w:t>
            </w:r>
          </w:p>
        </w:tc>
        <w:tc>
          <w:tcPr>
            <w:tcW w:w="1178" w:type="dxa"/>
            <w:tcBorders>
              <w:top w:val="single" w:color="D9D9D9" w:sz="2" w:space="0"/>
              <w:bottom w:val="single" w:color="D9D9D9" w:sz="2" w:space="0"/>
            </w:tcBorders>
          </w:tcPr>
          <w:p w:rsidR="00C31389" w:rsidRDefault="00561FBD" w14:paraId="59A9677B"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52F3CAE6"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6DBBC500" w14:textId="77777777">
            <w:pPr>
              <w:pStyle w:val="TableParagraph"/>
              <w:spacing w:before="155"/>
              <w:ind w:left="198" w:right="152"/>
              <w:jc w:val="center"/>
              <w:rPr>
                <w:sz w:val="20"/>
              </w:rPr>
            </w:pPr>
            <w:r>
              <w:rPr>
                <w:spacing w:val="-2"/>
                <w:sz w:val="20"/>
              </w:rPr>
              <w:t>On-the-books</w:t>
            </w:r>
          </w:p>
        </w:tc>
      </w:tr>
      <w:tr w:rsidR="00C31389" w14:paraId="41EC8197" w14:textId="77777777">
        <w:trPr>
          <w:trHeight w:val="539"/>
        </w:trPr>
        <w:tc>
          <w:tcPr>
            <w:tcW w:w="1367" w:type="dxa"/>
            <w:tcBorders>
              <w:top w:val="single" w:color="D9D9D9" w:sz="2" w:space="0"/>
              <w:bottom w:val="single" w:color="D9D9D9" w:sz="2" w:space="0"/>
            </w:tcBorders>
          </w:tcPr>
          <w:p w:rsidR="00C31389" w:rsidRDefault="00561FBD" w14:paraId="1DA42C8F"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3E4E2418" w14:textId="77777777">
            <w:pPr>
              <w:pStyle w:val="TableParagraph"/>
              <w:ind w:left="202"/>
              <w:rPr>
                <w:sz w:val="20"/>
              </w:rPr>
            </w:pPr>
            <w:r>
              <w:rPr>
                <w:sz w:val="20"/>
              </w:rPr>
              <w:t>2013</w:t>
            </w:r>
            <w:r>
              <w:rPr>
                <w:spacing w:val="-6"/>
                <w:sz w:val="20"/>
              </w:rPr>
              <w:t xml:space="preserve"> </w:t>
            </w:r>
            <w:r>
              <w:rPr>
                <w:sz w:val="20"/>
              </w:rPr>
              <w:t>T-24:</w:t>
            </w:r>
            <w:r>
              <w:rPr>
                <w:spacing w:val="-5"/>
                <w:sz w:val="20"/>
              </w:rPr>
              <w:t xml:space="preserve"> </w:t>
            </w:r>
            <w:r>
              <w:rPr>
                <w:sz w:val="20"/>
              </w:rPr>
              <w:t>NRNC-HVAC-</w:t>
            </w:r>
            <w:r>
              <w:rPr>
                <w:spacing w:val="-2"/>
                <w:sz w:val="20"/>
              </w:rPr>
              <w:t>Garage</w:t>
            </w:r>
          </w:p>
          <w:p w:rsidR="00C31389" w:rsidRDefault="00561FBD" w14:paraId="56CB84C2" w14:textId="77777777">
            <w:pPr>
              <w:pStyle w:val="TableParagraph"/>
              <w:spacing w:before="0"/>
              <w:ind w:left="202"/>
              <w:rPr>
                <w:sz w:val="20"/>
              </w:rPr>
            </w:pPr>
            <w:r>
              <w:rPr>
                <w:spacing w:val="-2"/>
                <w:sz w:val="20"/>
              </w:rPr>
              <w:t>Exhaust</w:t>
            </w:r>
          </w:p>
        </w:tc>
        <w:tc>
          <w:tcPr>
            <w:tcW w:w="1178" w:type="dxa"/>
            <w:tcBorders>
              <w:top w:val="single" w:color="D9D9D9" w:sz="2" w:space="0"/>
              <w:bottom w:val="single" w:color="D9D9D9" w:sz="2" w:space="0"/>
            </w:tcBorders>
          </w:tcPr>
          <w:p w:rsidR="00C31389" w:rsidRDefault="00561FBD" w14:paraId="58B0F0B9"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170FD8C7"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55FC0F87" w14:textId="77777777">
            <w:pPr>
              <w:pStyle w:val="TableParagraph"/>
              <w:spacing w:before="155"/>
              <w:ind w:left="198" w:right="152"/>
              <w:jc w:val="center"/>
              <w:rPr>
                <w:sz w:val="20"/>
              </w:rPr>
            </w:pPr>
            <w:r>
              <w:rPr>
                <w:spacing w:val="-2"/>
                <w:sz w:val="20"/>
              </w:rPr>
              <w:t>On-the-books</w:t>
            </w:r>
          </w:p>
        </w:tc>
      </w:tr>
      <w:tr w:rsidR="00C31389" w14:paraId="3067BD4C" w14:textId="77777777">
        <w:trPr>
          <w:trHeight w:val="539"/>
        </w:trPr>
        <w:tc>
          <w:tcPr>
            <w:tcW w:w="1367" w:type="dxa"/>
            <w:tcBorders>
              <w:top w:val="single" w:color="D9D9D9" w:sz="2" w:space="0"/>
              <w:bottom w:val="single" w:color="D9D9D9" w:sz="2" w:space="0"/>
            </w:tcBorders>
          </w:tcPr>
          <w:p w:rsidR="00C31389" w:rsidRDefault="00561FBD" w14:paraId="293445A3"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55605881" w14:textId="77777777">
            <w:pPr>
              <w:pStyle w:val="TableParagraph"/>
              <w:ind w:left="202"/>
              <w:rPr>
                <w:sz w:val="20"/>
              </w:rPr>
            </w:pPr>
            <w:r>
              <w:rPr>
                <w:sz w:val="20"/>
              </w:rPr>
              <w:t>2013</w:t>
            </w:r>
            <w:r>
              <w:rPr>
                <w:spacing w:val="-8"/>
                <w:sz w:val="20"/>
              </w:rPr>
              <w:t xml:space="preserve"> </w:t>
            </w:r>
            <w:r>
              <w:rPr>
                <w:sz w:val="20"/>
              </w:rPr>
              <w:t>T-24:</w:t>
            </w:r>
            <w:r>
              <w:rPr>
                <w:spacing w:val="-5"/>
                <w:sz w:val="20"/>
              </w:rPr>
              <w:t xml:space="preserve"> </w:t>
            </w:r>
            <w:r>
              <w:rPr>
                <w:sz w:val="20"/>
              </w:rPr>
              <w:t>NRNC-HVAC-</w:t>
            </w:r>
            <w:r>
              <w:rPr>
                <w:spacing w:val="-2"/>
                <w:sz w:val="20"/>
              </w:rPr>
              <w:t>Guest</w:t>
            </w:r>
          </w:p>
          <w:p w:rsidR="00C31389" w:rsidRDefault="00561FBD" w14:paraId="6C3021FB" w14:textId="77777777">
            <w:pPr>
              <w:pStyle w:val="TableParagraph"/>
              <w:spacing w:before="0"/>
              <w:ind w:left="202"/>
              <w:rPr>
                <w:sz w:val="20"/>
              </w:rPr>
            </w:pPr>
            <w:r>
              <w:rPr>
                <w:sz w:val="20"/>
              </w:rPr>
              <w:t>Room</w:t>
            </w:r>
            <w:r>
              <w:rPr>
                <w:spacing w:val="-2"/>
                <w:sz w:val="20"/>
              </w:rPr>
              <w:t xml:space="preserve"> </w:t>
            </w:r>
            <w:r>
              <w:rPr>
                <w:sz w:val="20"/>
              </w:rPr>
              <w:t xml:space="preserve">OC </w:t>
            </w:r>
            <w:r>
              <w:rPr>
                <w:spacing w:val="-2"/>
                <w:sz w:val="20"/>
              </w:rPr>
              <w:t>Controls</w:t>
            </w:r>
          </w:p>
        </w:tc>
        <w:tc>
          <w:tcPr>
            <w:tcW w:w="1178" w:type="dxa"/>
            <w:tcBorders>
              <w:top w:val="single" w:color="D9D9D9" w:sz="2" w:space="0"/>
              <w:bottom w:val="single" w:color="D9D9D9" w:sz="2" w:space="0"/>
            </w:tcBorders>
          </w:tcPr>
          <w:p w:rsidR="00C31389" w:rsidRDefault="00561FBD" w14:paraId="0D948137"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152DC52B"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17F1C037" w14:textId="77777777">
            <w:pPr>
              <w:pStyle w:val="TableParagraph"/>
              <w:spacing w:before="155"/>
              <w:ind w:left="198" w:right="152"/>
              <w:jc w:val="center"/>
              <w:rPr>
                <w:sz w:val="20"/>
              </w:rPr>
            </w:pPr>
            <w:r>
              <w:rPr>
                <w:spacing w:val="-2"/>
                <w:sz w:val="20"/>
              </w:rPr>
              <w:t>On-the-books</w:t>
            </w:r>
          </w:p>
        </w:tc>
      </w:tr>
      <w:tr w:rsidR="00C31389" w14:paraId="1D6190DB" w14:textId="77777777">
        <w:trPr>
          <w:trHeight w:val="539"/>
        </w:trPr>
        <w:tc>
          <w:tcPr>
            <w:tcW w:w="1367" w:type="dxa"/>
            <w:tcBorders>
              <w:top w:val="single" w:color="D9D9D9" w:sz="2" w:space="0"/>
              <w:bottom w:val="single" w:color="D9D9D9" w:sz="2" w:space="0"/>
            </w:tcBorders>
          </w:tcPr>
          <w:p w:rsidR="00C31389" w:rsidRDefault="00561FBD" w14:paraId="16D5D2BF"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24029D77" w14:textId="77777777">
            <w:pPr>
              <w:pStyle w:val="TableParagraph"/>
              <w:ind w:left="202"/>
              <w:rPr>
                <w:sz w:val="20"/>
              </w:rPr>
            </w:pPr>
            <w:r>
              <w:rPr>
                <w:sz w:val="20"/>
              </w:rPr>
              <w:t>2013</w:t>
            </w:r>
            <w:r>
              <w:rPr>
                <w:spacing w:val="-8"/>
                <w:sz w:val="20"/>
              </w:rPr>
              <w:t xml:space="preserve"> </w:t>
            </w:r>
            <w:r>
              <w:rPr>
                <w:sz w:val="20"/>
              </w:rPr>
              <w:t>T-24:</w:t>
            </w:r>
            <w:r>
              <w:rPr>
                <w:spacing w:val="-5"/>
                <w:sz w:val="20"/>
              </w:rPr>
              <w:t xml:space="preserve"> </w:t>
            </w:r>
            <w:r>
              <w:rPr>
                <w:sz w:val="20"/>
              </w:rPr>
              <w:t>NRNC-HVAC-</w:t>
            </w:r>
            <w:r>
              <w:rPr>
                <w:spacing w:val="-4"/>
                <w:sz w:val="20"/>
              </w:rPr>
              <w:t>HVAC</w:t>
            </w:r>
          </w:p>
          <w:p w:rsidR="00C31389" w:rsidRDefault="00561FBD" w14:paraId="135F9AED" w14:textId="77777777">
            <w:pPr>
              <w:pStyle w:val="TableParagraph"/>
              <w:spacing w:before="0"/>
              <w:ind w:left="202"/>
              <w:rPr>
                <w:sz w:val="20"/>
              </w:rPr>
            </w:pPr>
            <w:r>
              <w:rPr>
                <w:sz w:val="20"/>
              </w:rPr>
              <w:t>Controls</w:t>
            </w:r>
            <w:r>
              <w:rPr>
                <w:spacing w:val="-3"/>
                <w:sz w:val="20"/>
              </w:rPr>
              <w:t xml:space="preserve"> </w:t>
            </w:r>
            <w:r>
              <w:rPr>
                <w:sz w:val="20"/>
              </w:rPr>
              <w:t>and</w:t>
            </w:r>
            <w:r>
              <w:rPr>
                <w:spacing w:val="-4"/>
                <w:sz w:val="20"/>
              </w:rPr>
              <w:t xml:space="preserve"> </w:t>
            </w:r>
            <w:r>
              <w:rPr>
                <w:spacing w:val="-2"/>
                <w:sz w:val="20"/>
              </w:rPr>
              <w:t>Economizers</w:t>
            </w:r>
          </w:p>
        </w:tc>
        <w:tc>
          <w:tcPr>
            <w:tcW w:w="1178" w:type="dxa"/>
            <w:tcBorders>
              <w:top w:val="single" w:color="D9D9D9" w:sz="2" w:space="0"/>
              <w:bottom w:val="single" w:color="D9D9D9" w:sz="2" w:space="0"/>
            </w:tcBorders>
          </w:tcPr>
          <w:p w:rsidR="00C31389" w:rsidRDefault="00561FBD" w14:paraId="55C72E85"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5550758A"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0ABA0514" w14:textId="77777777">
            <w:pPr>
              <w:pStyle w:val="TableParagraph"/>
              <w:spacing w:before="155"/>
              <w:ind w:left="198" w:right="152"/>
              <w:jc w:val="center"/>
              <w:rPr>
                <w:sz w:val="20"/>
              </w:rPr>
            </w:pPr>
            <w:r>
              <w:rPr>
                <w:spacing w:val="-2"/>
                <w:sz w:val="20"/>
              </w:rPr>
              <w:t>On-the-books</w:t>
            </w:r>
          </w:p>
        </w:tc>
      </w:tr>
      <w:tr w:rsidR="00C31389" w14:paraId="774ED388" w14:textId="77777777">
        <w:trPr>
          <w:trHeight w:val="540"/>
        </w:trPr>
        <w:tc>
          <w:tcPr>
            <w:tcW w:w="1367" w:type="dxa"/>
            <w:tcBorders>
              <w:top w:val="single" w:color="D9D9D9" w:sz="2" w:space="0"/>
              <w:bottom w:val="single" w:color="D9D9D9" w:sz="2" w:space="0"/>
            </w:tcBorders>
          </w:tcPr>
          <w:p w:rsidR="00C31389" w:rsidRDefault="00561FBD" w14:paraId="42FEEB10"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488CA5EB" w14:textId="77777777">
            <w:pPr>
              <w:pStyle w:val="TableParagraph"/>
              <w:spacing w:before="41"/>
              <w:ind w:left="202"/>
              <w:rPr>
                <w:sz w:val="20"/>
              </w:rPr>
            </w:pPr>
            <w:r>
              <w:rPr>
                <w:sz w:val="20"/>
              </w:rPr>
              <w:t>2013</w:t>
            </w:r>
            <w:r>
              <w:rPr>
                <w:spacing w:val="-6"/>
                <w:sz w:val="20"/>
              </w:rPr>
              <w:t xml:space="preserve"> </w:t>
            </w:r>
            <w:r>
              <w:rPr>
                <w:sz w:val="20"/>
              </w:rPr>
              <w:t>T-24:</w:t>
            </w:r>
            <w:r>
              <w:rPr>
                <w:spacing w:val="-5"/>
                <w:sz w:val="20"/>
              </w:rPr>
              <w:t xml:space="preserve"> </w:t>
            </w:r>
            <w:r>
              <w:rPr>
                <w:sz w:val="20"/>
              </w:rPr>
              <w:t>NRNC-HVAC-</w:t>
            </w:r>
            <w:r>
              <w:rPr>
                <w:spacing w:val="-2"/>
                <w:sz w:val="20"/>
              </w:rPr>
              <w:t>Kitchen</w:t>
            </w:r>
          </w:p>
          <w:p w:rsidR="00C31389" w:rsidRDefault="00561FBD" w14:paraId="56C611CB" w14:textId="77777777">
            <w:pPr>
              <w:pStyle w:val="TableParagraph"/>
              <w:spacing w:before="1"/>
              <w:ind w:left="202"/>
              <w:rPr>
                <w:sz w:val="20"/>
              </w:rPr>
            </w:pPr>
            <w:r>
              <w:rPr>
                <w:spacing w:val="-2"/>
                <w:sz w:val="20"/>
              </w:rPr>
              <w:t>Ventilation</w:t>
            </w:r>
          </w:p>
        </w:tc>
        <w:tc>
          <w:tcPr>
            <w:tcW w:w="1178" w:type="dxa"/>
            <w:tcBorders>
              <w:top w:val="single" w:color="D9D9D9" w:sz="2" w:space="0"/>
              <w:bottom w:val="single" w:color="D9D9D9" w:sz="2" w:space="0"/>
            </w:tcBorders>
          </w:tcPr>
          <w:p w:rsidR="00C31389" w:rsidRDefault="00561FBD" w14:paraId="07A58865"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746E3087"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4248A0D5" w14:textId="77777777">
            <w:pPr>
              <w:pStyle w:val="TableParagraph"/>
              <w:spacing w:before="155"/>
              <w:ind w:left="198" w:right="152"/>
              <w:jc w:val="center"/>
              <w:rPr>
                <w:sz w:val="20"/>
              </w:rPr>
            </w:pPr>
            <w:r>
              <w:rPr>
                <w:spacing w:val="-2"/>
                <w:sz w:val="20"/>
              </w:rPr>
              <w:t>On-the-books</w:t>
            </w:r>
          </w:p>
        </w:tc>
      </w:tr>
      <w:tr w:rsidR="00C31389" w14:paraId="38FD7500" w14:textId="77777777">
        <w:trPr>
          <w:trHeight w:val="539"/>
        </w:trPr>
        <w:tc>
          <w:tcPr>
            <w:tcW w:w="1367" w:type="dxa"/>
            <w:tcBorders>
              <w:top w:val="single" w:color="D9D9D9" w:sz="2" w:space="0"/>
              <w:bottom w:val="single" w:color="D9D9D9" w:sz="2" w:space="0"/>
            </w:tcBorders>
          </w:tcPr>
          <w:p w:rsidR="00C31389" w:rsidRDefault="00561FBD" w14:paraId="2616058A"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35DF3FCC"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NRNC-HVAC-Laboratory </w:t>
            </w:r>
            <w:r>
              <w:rPr>
                <w:spacing w:val="-2"/>
                <w:sz w:val="20"/>
              </w:rPr>
              <w:t>Exhaust</w:t>
            </w:r>
          </w:p>
        </w:tc>
        <w:tc>
          <w:tcPr>
            <w:tcW w:w="1178" w:type="dxa"/>
            <w:tcBorders>
              <w:top w:val="single" w:color="D9D9D9" w:sz="2" w:space="0"/>
              <w:bottom w:val="single" w:color="D9D9D9" w:sz="2" w:space="0"/>
            </w:tcBorders>
          </w:tcPr>
          <w:p w:rsidR="00C31389" w:rsidRDefault="00561FBD" w14:paraId="509F4595"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093D421E"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0E1E3C56" w14:textId="77777777">
            <w:pPr>
              <w:pStyle w:val="TableParagraph"/>
              <w:spacing w:before="155"/>
              <w:ind w:left="198" w:right="152"/>
              <w:jc w:val="center"/>
              <w:rPr>
                <w:sz w:val="20"/>
              </w:rPr>
            </w:pPr>
            <w:r>
              <w:rPr>
                <w:spacing w:val="-2"/>
                <w:sz w:val="20"/>
              </w:rPr>
              <w:t>On-the-books</w:t>
            </w:r>
          </w:p>
        </w:tc>
      </w:tr>
      <w:tr w:rsidR="00C31389" w14:paraId="3CFBA569" w14:textId="77777777">
        <w:trPr>
          <w:trHeight w:val="539"/>
        </w:trPr>
        <w:tc>
          <w:tcPr>
            <w:tcW w:w="1367" w:type="dxa"/>
            <w:tcBorders>
              <w:top w:val="single" w:color="D9D9D9" w:sz="2" w:space="0"/>
              <w:bottom w:val="single" w:color="D9D9D9" w:sz="2" w:space="0"/>
            </w:tcBorders>
          </w:tcPr>
          <w:p w:rsidR="00C31389" w:rsidRDefault="00561FBD" w14:paraId="6E7E5EF5"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010DD4AB" w14:textId="77777777">
            <w:pPr>
              <w:pStyle w:val="TableParagraph"/>
              <w:ind w:left="202"/>
              <w:rPr>
                <w:sz w:val="20"/>
              </w:rPr>
            </w:pPr>
            <w:r>
              <w:rPr>
                <w:sz w:val="20"/>
              </w:rPr>
              <w:t>2013</w:t>
            </w:r>
            <w:r>
              <w:rPr>
                <w:spacing w:val="-6"/>
                <w:sz w:val="20"/>
              </w:rPr>
              <w:t xml:space="preserve"> </w:t>
            </w:r>
            <w:r>
              <w:rPr>
                <w:sz w:val="20"/>
              </w:rPr>
              <w:t>T-24:</w:t>
            </w:r>
            <w:r>
              <w:rPr>
                <w:spacing w:val="-6"/>
                <w:sz w:val="20"/>
              </w:rPr>
              <w:t xml:space="preserve"> </w:t>
            </w:r>
            <w:r>
              <w:rPr>
                <w:sz w:val="20"/>
              </w:rPr>
              <w:t>NRNC-HVAC-Low-</w:t>
            </w:r>
            <w:r>
              <w:rPr>
                <w:spacing w:val="-4"/>
                <w:sz w:val="20"/>
              </w:rPr>
              <w:t>Temp</w:t>
            </w:r>
          </w:p>
          <w:p w:rsidR="00C31389" w:rsidRDefault="00561FBD" w14:paraId="0AA45ABF" w14:textId="77777777">
            <w:pPr>
              <w:pStyle w:val="TableParagraph"/>
              <w:spacing w:before="0"/>
              <w:ind w:left="202"/>
              <w:rPr>
                <w:sz w:val="20"/>
              </w:rPr>
            </w:pPr>
            <w:r>
              <w:rPr>
                <w:sz w:val="20"/>
              </w:rPr>
              <w:t>Radiant</w:t>
            </w:r>
            <w:r>
              <w:rPr>
                <w:spacing w:val="-3"/>
                <w:sz w:val="20"/>
              </w:rPr>
              <w:t xml:space="preserve"> </w:t>
            </w:r>
            <w:r>
              <w:rPr>
                <w:spacing w:val="-2"/>
                <w:sz w:val="20"/>
              </w:rPr>
              <w:t>Cooling</w:t>
            </w:r>
          </w:p>
        </w:tc>
        <w:tc>
          <w:tcPr>
            <w:tcW w:w="1178" w:type="dxa"/>
            <w:tcBorders>
              <w:top w:val="single" w:color="D9D9D9" w:sz="2" w:space="0"/>
              <w:bottom w:val="single" w:color="D9D9D9" w:sz="2" w:space="0"/>
            </w:tcBorders>
          </w:tcPr>
          <w:p w:rsidR="00C31389" w:rsidRDefault="00561FBD" w14:paraId="5E3A14D2"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753DB3E9" w14:textId="77777777">
            <w:pPr>
              <w:pStyle w:val="TableParagraph"/>
              <w:spacing w:before="155"/>
              <w:ind w:right="234"/>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5B2BDE4A" w14:textId="77777777">
            <w:pPr>
              <w:pStyle w:val="TableParagraph"/>
              <w:spacing w:before="155"/>
              <w:ind w:left="197" w:right="152"/>
              <w:jc w:val="center"/>
              <w:rPr>
                <w:sz w:val="20"/>
              </w:rPr>
            </w:pPr>
            <w:r>
              <w:rPr>
                <w:spacing w:val="-2"/>
                <w:sz w:val="20"/>
              </w:rPr>
              <w:t>On-the-books</w:t>
            </w:r>
          </w:p>
        </w:tc>
      </w:tr>
      <w:tr w:rsidR="00C31389" w14:paraId="77097ECE" w14:textId="77777777">
        <w:trPr>
          <w:trHeight w:val="539"/>
        </w:trPr>
        <w:tc>
          <w:tcPr>
            <w:tcW w:w="1367" w:type="dxa"/>
            <w:tcBorders>
              <w:top w:val="single" w:color="D9D9D9" w:sz="2" w:space="0"/>
              <w:bottom w:val="single" w:color="D9D9D9" w:sz="2" w:space="0"/>
            </w:tcBorders>
          </w:tcPr>
          <w:p w:rsidR="00C31389" w:rsidRDefault="00561FBD" w14:paraId="1D056F89"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74948BB2" w14:textId="77777777">
            <w:pPr>
              <w:pStyle w:val="TableParagraph"/>
              <w:ind w:left="202"/>
              <w:rPr>
                <w:sz w:val="20"/>
              </w:rPr>
            </w:pPr>
            <w:r>
              <w:rPr>
                <w:sz w:val="20"/>
              </w:rPr>
              <w:t>2013</w:t>
            </w:r>
            <w:r>
              <w:rPr>
                <w:spacing w:val="-6"/>
                <w:sz w:val="20"/>
              </w:rPr>
              <w:t xml:space="preserve"> </w:t>
            </w:r>
            <w:r>
              <w:rPr>
                <w:sz w:val="20"/>
              </w:rPr>
              <w:t>T-24:</w:t>
            </w:r>
            <w:r>
              <w:rPr>
                <w:spacing w:val="-5"/>
                <w:sz w:val="20"/>
              </w:rPr>
              <w:t xml:space="preserve"> </w:t>
            </w:r>
            <w:r>
              <w:rPr>
                <w:sz w:val="20"/>
              </w:rPr>
              <w:t>NRNC-HVAC-</w:t>
            </w:r>
            <w:r>
              <w:rPr>
                <w:spacing w:val="-2"/>
                <w:sz w:val="20"/>
              </w:rPr>
              <w:t>Occupant</w:t>
            </w:r>
          </w:p>
          <w:p w:rsidR="00C31389" w:rsidRDefault="00561FBD" w14:paraId="01C01CF6" w14:textId="77777777">
            <w:pPr>
              <w:pStyle w:val="TableParagraph"/>
              <w:spacing w:before="0"/>
              <w:ind w:left="202"/>
              <w:rPr>
                <w:sz w:val="20"/>
              </w:rPr>
            </w:pPr>
            <w:r>
              <w:rPr>
                <w:sz w:val="20"/>
              </w:rPr>
              <w:t>Controlled</w:t>
            </w:r>
            <w:r>
              <w:rPr>
                <w:spacing w:val="-5"/>
                <w:sz w:val="20"/>
              </w:rPr>
              <w:t xml:space="preserve"> </w:t>
            </w:r>
            <w:r>
              <w:rPr>
                <w:sz w:val="20"/>
              </w:rPr>
              <w:t>Smart</w:t>
            </w:r>
            <w:r>
              <w:rPr>
                <w:spacing w:val="-4"/>
                <w:sz w:val="20"/>
              </w:rPr>
              <w:t xml:space="preserve"> </w:t>
            </w:r>
            <w:r>
              <w:rPr>
                <w:spacing w:val="-2"/>
                <w:sz w:val="20"/>
              </w:rPr>
              <w:t>Thermostats</w:t>
            </w:r>
          </w:p>
        </w:tc>
        <w:tc>
          <w:tcPr>
            <w:tcW w:w="1178" w:type="dxa"/>
            <w:tcBorders>
              <w:top w:val="single" w:color="D9D9D9" w:sz="2" w:space="0"/>
              <w:bottom w:val="single" w:color="D9D9D9" w:sz="2" w:space="0"/>
            </w:tcBorders>
          </w:tcPr>
          <w:p w:rsidR="00C31389" w:rsidRDefault="00561FBD" w14:paraId="4223AF0E"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6DFF93F0"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00DB4598" w14:textId="77777777">
            <w:pPr>
              <w:pStyle w:val="TableParagraph"/>
              <w:spacing w:before="155"/>
              <w:ind w:left="198" w:right="152"/>
              <w:jc w:val="center"/>
              <w:rPr>
                <w:sz w:val="20"/>
              </w:rPr>
            </w:pPr>
            <w:r>
              <w:rPr>
                <w:spacing w:val="-2"/>
                <w:sz w:val="20"/>
              </w:rPr>
              <w:t>On-the-books</w:t>
            </w:r>
          </w:p>
        </w:tc>
      </w:tr>
      <w:tr w:rsidR="00C31389" w14:paraId="201994AC" w14:textId="77777777">
        <w:trPr>
          <w:trHeight w:val="309"/>
        </w:trPr>
        <w:tc>
          <w:tcPr>
            <w:tcW w:w="1367" w:type="dxa"/>
            <w:tcBorders>
              <w:top w:val="single" w:color="D9D9D9" w:sz="2" w:space="0"/>
              <w:bottom w:val="single" w:color="D9D9D9" w:sz="2" w:space="0"/>
            </w:tcBorders>
          </w:tcPr>
          <w:p w:rsidR="00C31389" w:rsidRDefault="00561FBD" w14:paraId="42529395"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74F48BF9" w14:textId="77777777">
            <w:pPr>
              <w:pStyle w:val="TableParagraph"/>
              <w:ind w:left="202"/>
              <w:rPr>
                <w:sz w:val="20"/>
              </w:rPr>
            </w:pPr>
            <w:r>
              <w:rPr>
                <w:sz w:val="20"/>
              </w:rPr>
              <w:t>2013</w:t>
            </w:r>
            <w:r>
              <w:rPr>
                <w:spacing w:val="-6"/>
                <w:sz w:val="20"/>
              </w:rPr>
              <w:t xml:space="preserve"> </w:t>
            </w:r>
            <w:r>
              <w:rPr>
                <w:sz w:val="20"/>
              </w:rPr>
              <w:t>T-24:</w:t>
            </w:r>
            <w:r>
              <w:rPr>
                <w:spacing w:val="-5"/>
                <w:sz w:val="20"/>
              </w:rPr>
              <w:t xml:space="preserve"> </w:t>
            </w:r>
            <w:r>
              <w:rPr>
                <w:sz w:val="20"/>
              </w:rPr>
              <w:t>NRNC-HVAC-Outside</w:t>
            </w:r>
            <w:r>
              <w:rPr>
                <w:spacing w:val="-5"/>
                <w:sz w:val="20"/>
              </w:rPr>
              <w:t xml:space="preserve"> Air</w:t>
            </w:r>
          </w:p>
        </w:tc>
        <w:tc>
          <w:tcPr>
            <w:tcW w:w="1178" w:type="dxa"/>
            <w:tcBorders>
              <w:top w:val="single" w:color="D9D9D9" w:sz="2" w:space="0"/>
              <w:bottom w:val="single" w:color="D9D9D9" w:sz="2" w:space="0"/>
            </w:tcBorders>
          </w:tcPr>
          <w:p w:rsidR="00C31389" w:rsidRDefault="00561FBD" w14:paraId="64AACF48" w14:textId="77777777">
            <w:pPr>
              <w:pStyle w:val="TableParagraph"/>
              <w:ind w:right="451"/>
              <w:jc w:val="right"/>
              <w:rPr>
                <w:sz w:val="20"/>
              </w:rPr>
            </w:pPr>
            <w:r>
              <w:rPr>
                <w:spacing w:val="-5"/>
                <w:sz w:val="20"/>
              </w:rPr>
              <w:t>83%</w:t>
            </w:r>
          </w:p>
        </w:tc>
        <w:tc>
          <w:tcPr>
            <w:tcW w:w="1367" w:type="dxa"/>
            <w:tcBorders>
              <w:top w:val="single" w:color="D9D9D9" w:sz="2" w:space="0"/>
              <w:bottom w:val="single" w:color="D9D9D9" w:sz="2" w:space="0"/>
            </w:tcBorders>
          </w:tcPr>
          <w:p w:rsidR="00C31389" w:rsidRDefault="00561FBD" w14:paraId="07DEF8DE" w14:textId="77777777">
            <w:pPr>
              <w:pStyle w:val="TableParagraph"/>
              <w:ind w:right="233"/>
              <w:jc w:val="right"/>
              <w:rPr>
                <w:sz w:val="20"/>
              </w:rPr>
            </w:pPr>
            <w:r>
              <w:rPr>
                <w:spacing w:val="-2"/>
                <w:sz w:val="20"/>
              </w:rPr>
              <w:t>1/1/2015</w:t>
            </w:r>
          </w:p>
        </w:tc>
        <w:tc>
          <w:tcPr>
            <w:tcW w:w="1580" w:type="dxa"/>
            <w:tcBorders>
              <w:top w:val="single" w:color="D9D9D9" w:sz="2" w:space="0"/>
              <w:bottom w:val="single" w:color="D9D9D9" w:sz="2" w:space="0"/>
            </w:tcBorders>
          </w:tcPr>
          <w:p w:rsidR="00C31389" w:rsidRDefault="00561FBD" w14:paraId="0FFE0BDB" w14:textId="77777777">
            <w:pPr>
              <w:pStyle w:val="TableParagraph"/>
              <w:ind w:left="198" w:right="152"/>
              <w:jc w:val="center"/>
              <w:rPr>
                <w:sz w:val="20"/>
              </w:rPr>
            </w:pPr>
            <w:r>
              <w:rPr>
                <w:spacing w:val="-2"/>
                <w:sz w:val="20"/>
              </w:rPr>
              <w:t>On-the-books</w:t>
            </w:r>
          </w:p>
        </w:tc>
      </w:tr>
      <w:tr w:rsidR="00C31389" w14:paraId="6A968A49" w14:textId="77777777">
        <w:trPr>
          <w:trHeight w:val="540"/>
        </w:trPr>
        <w:tc>
          <w:tcPr>
            <w:tcW w:w="1367" w:type="dxa"/>
            <w:tcBorders>
              <w:top w:val="single" w:color="D9D9D9" w:sz="2" w:space="0"/>
              <w:bottom w:val="single" w:color="D9D9D9" w:sz="2" w:space="0"/>
            </w:tcBorders>
          </w:tcPr>
          <w:p w:rsidR="00C31389" w:rsidRDefault="00561FBD" w14:paraId="1069423C"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D9D9D9" w:sz="2" w:space="0"/>
            </w:tcBorders>
          </w:tcPr>
          <w:p w:rsidR="00C31389" w:rsidRDefault="00561FBD" w14:paraId="311EB0AB" w14:textId="77777777">
            <w:pPr>
              <w:pStyle w:val="TableParagraph"/>
              <w:spacing w:before="41"/>
              <w:ind w:left="202"/>
              <w:rPr>
                <w:sz w:val="20"/>
              </w:rPr>
            </w:pPr>
            <w:r>
              <w:rPr>
                <w:sz w:val="20"/>
              </w:rPr>
              <w:t>2013</w:t>
            </w:r>
            <w:r>
              <w:rPr>
                <w:spacing w:val="-6"/>
                <w:sz w:val="20"/>
              </w:rPr>
              <w:t xml:space="preserve"> </w:t>
            </w:r>
            <w:r>
              <w:rPr>
                <w:sz w:val="20"/>
              </w:rPr>
              <w:t>T-24:</w:t>
            </w:r>
            <w:r>
              <w:rPr>
                <w:spacing w:val="-5"/>
                <w:sz w:val="20"/>
              </w:rPr>
              <w:t xml:space="preserve"> </w:t>
            </w:r>
            <w:r>
              <w:rPr>
                <w:sz w:val="20"/>
              </w:rPr>
              <w:t>NRNC-HVAC-</w:t>
            </w:r>
            <w:r>
              <w:rPr>
                <w:spacing w:val="-2"/>
                <w:sz w:val="20"/>
              </w:rPr>
              <w:t>Reduced</w:t>
            </w:r>
          </w:p>
          <w:p w:rsidR="00C31389" w:rsidRDefault="00561FBD" w14:paraId="016C64CB" w14:textId="77777777">
            <w:pPr>
              <w:pStyle w:val="TableParagraph"/>
              <w:spacing w:before="1"/>
              <w:ind w:left="202"/>
              <w:rPr>
                <w:sz w:val="20"/>
              </w:rPr>
            </w:pPr>
            <w:r>
              <w:rPr>
                <w:spacing w:val="-2"/>
                <w:sz w:val="20"/>
              </w:rPr>
              <w:t>Reheat</w:t>
            </w:r>
          </w:p>
        </w:tc>
        <w:tc>
          <w:tcPr>
            <w:tcW w:w="1178" w:type="dxa"/>
            <w:tcBorders>
              <w:top w:val="single" w:color="D9D9D9" w:sz="2" w:space="0"/>
              <w:bottom w:val="single" w:color="D9D9D9" w:sz="2" w:space="0"/>
            </w:tcBorders>
          </w:tcPr>
          <w:p w:rsidR="00C31389" w:rsidRDefault="00561FBD" w14:paraId="36637CF7" w14:textId="77777777">
            <w:pPr>
              <w:pStyle w:val="TableParagraph"/>
              <w:spacing w:before="155"/>
              <w:ind w:right="451"/>
              <w:jc w:val="right"/>
              <w:rPr>
                <w:sz w:val="20"/>
              </w:rPr>
            </w:pPr>
            <w:r>
              <w:rPr>
                <w:spacing w:val="-5"/>
                <w:sz w:val="20"/>
              </w:rPr>
              <w:t>93%</w:t>
            </w:r>
          </w:p>
        </w:tc>
        <w:tc>
          <w:tcPr>
            <w:tcW w:w="1367" w:type="dxa"/>
            <w:tcBorders>
              <w:top w:val="single" w:color="D9D9D9" w:sz="2" w:space="0"/>
              <w:bottom w:val="single" w:color="D9D9D9" w:sz="2" w:space="0"/>
            </w:tcBorders>
          </w:tcPr>
          <w:p w:rsidR="00C31389" w:rsidRDefault="00561FBD" w14:paraId="21BDD292" w14:textId="77777777">
            <w:pPr>
              <w:pStyle w:val="TableParagraph"/>
              <w:spacing w:before="155"/>
              <w:ind w:right="233"/>
              <w:jc w:val="right"/>
              <w:rPr>
                <w:sz w:val="20"/>
              </w:rPr>
            </w:pPr>
            <w:r>
              <w:rPr>
                <w:spacing w:val="-2"/>
                <w:sz w:val="20"/>
              </w:rPr>
              <w:t>4/1/2015</w:t>
            </w:r>
          </w:p>
        </w:tc>
        <w:tc>
          <w:tcPr>
            <w:tcW w:w="1580" w:type="dxa"/>
            <w:tcBorders>
              <w:top w:val="single" w:color="D9D9D9" w:sz="2" w:space="0"/>
              <w:bottom w:val="single" w:color="D9D9D9" w:sz="2" w:space="0"/>
            </w:tcBorders>
          </w:tcPr>
          <w:p w:rsidR="00C31389" w:rsidRDefault="00561FBD" w14:paraId="0A43EAE2" w14:textId="77777777">
            <w:pPr>
              <w:pStyle w:val="TableParagraph"/>
              <w:spacing w:before="155"/>
              <w:ind w:left="198" w:right="152"/>
              <w:jc w:val="center"/>
              <w:rPr>
                <w:sz w:val="20"/>
              </w:rPr>
            </w:pPr>
            <w:r>
              <w:rPr>
                <w:spacing w:val="-2"/>
                <w:sz w:val="20"/>
              </w:rPr>
              <w:t>On-the-books</w:t>
            </w:r>
          </w:p>
        </w:tc>
      </w:tr>
      <w:tr w:rsidR="00C31389" w14:paraId="323D3228" w14:textId="77777777">
        <w:trPr>
          <w:trHeight w:val="539"/>
        </w:trPr>
        <w:tc>
          <w:tcPr>
            <w:tcW w:w="1367" w:type="dxa"/>
            <w:tcBorders>
              <w:top w:val="single" w:color="D9D9D9" w:sz="2" w:space="0"/>
              <w:bottom w:val="single" w:color="000000" w:sz="8" w:space="0"/>
            </w:tcBorders>
          </w:tcPr>
          <w:p w:rsidR="00C31389" w:rsidRDefault="00561FBD" w14:paraId="2C43F67A"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84" w:type="dxa"/>
            <w:tcBorders>
              <w:top w:val="single" w:color="D9D9D9" w:sz="2" w:space="0"/>
              <w:bottom w:val="single" w:color="000000" w:sz="8" w:space="0"/>
            </w:tcBorders>
          </w:tcPr>
          <w:p w:rsidR="00C31389" w:rsidRDefault="00561FBD" w14:paraId="465365A2" w14:textId="77777777">
            <w:pPr>
              <w:pStyle w:val="TableParagraph"/>
              <w:ind w:left="202"/>
              <w:rPr>
                <w:sz w:val="20"/>
              </w:rPr>
            </w:pPr>
            <w:r>
              <w:rPr>
                <w:sz w:val="20"/>
              </w:rPr>
              <w:t>2013</w:t>
            </w:r>
            <w:r>
              <w:rPr>
                <w:spacing w:val="-7"/>
                <w:sz w:val="20"/>
              </w:rPr>
              <w:t xml:space="preserve"> </w:t>
            </w:r>
            <w:r>
              <w:rPr>
                <w:sz w:val="20"/>
              </w:rPr>
              <w:t>T-24:</w:t>
            </w:r>
            <w:r>
              <w:rPr>
                <w:spacing w:val="-5"/>
                <w:sz w:val="20"/>
              </w:rPr>
              <w:t xml:space="preserve"> </w:t>
            </w:r>
            <w:r>
              <w:rPr>
                <w:sz w:val="20"/>
              </w:rPr>
              <w:t>NRNC-HVAC-Small</w:t>
            </w:r>
            <w:r>
              <w:rPr>
                <w:spacing w:val="-5"/>
                <w:sz w:val="20"/>
              </w:rPr>
              <w:t xml:space="preserve"> ECM</w:t>
            </w:r>
          </w:p>
          <w:p w:rsidR="00C31389" w:rsidRDefault="00561FBD" w14:paraId="086EE45A" w14:textId="77777777">
            <w:pPr>
              <w:pStyle w:val="TableParagraph"/>
              <w:spacing w:before="0"/>
              <w:ind w:left="202"/>
              <w:rPr>
                <w:sz w:val="20"/>
              </w:rPr>
            </w:pPr>
            <w:r>
              <w:rPr>
                <w:spacing w:val="-2"/>
                <w:sz w:val="20"/>
              </w:rPr>
              <w:t>Motor</w:t>
            </w:r>
          </w:p>
        </w:tc>
        <w:tc>
          <w:tcPr>
            <w:tcW w:w="1178" w:type="dxa"/>
            <w:tcBorders>
              <w:top w:val="single" w:color="D9D9D9" w:sz="2" w:space="0"/>
              <w:bottom w:val="single" w:color="000000" w:sz="8" w:space="0"/>
            </w:tcBorders>
          </w:tcPr>
          <w:p w:rsidR="00C31389" w:rsidRDefault="00561FBD" w14:paraId="213B04C6" w14:textId="77777777">
            <w:pPr>
              <w:pStyle w:val="TableParagraph"/>
              <w:spacing w:before="155"/>
              <w:ind w:right="451"/>
              <w:jc w:val="right"/>
              <w:rPr>
                <w:sz w:val="20"/>
              </w:rPr>
            </w:pPr>
            <w:r>
              <w:rPr>
                <w:spacing w:val="-5"/>
                <w:sz w:val="20"/>
              </w:rPr>
              <w:t>83%</w:t>
            </w:r>
          </w:p>
        </w:tc>
        <w:tc>
          <w:tcPr>
            <w:tcW w:w="1367" w:type="dxa"/>
            <w:tcBorders>
              <w:top w:val="single" w:color="D9D9D9" w:sz="2" w:space="0"/>
              <w:bottom w:val="single" w:color="000000" w:sz="8" w:space="0"/>
            </w:tcBorders>
          </w:tcPr>
          <w:p w:rsidR="00C31389" w:rsidRDefault="00561FBD" w14:paraId="7032DC9E" w14:textId="77777777">
            <w:pPr>
              <w:pStyle w:val="TableParagraph"/>
              <w:spacing w:before="155"/>
              <w:ind w:right="233"/>
              <w:jc w:val="right"/>
              <w:rPr>
                <w:sz w:val="20"/>
              </w:rPr>
            </w:pPr>
            <w:r>
              <w:rPr>
                <w:spacing w:val="-2"/>
                <w:sz w:val="20"/>
              </w:rPr>
              <w:t>1/1/2015</w:t>
            </w:r>
          </w:p>
        </w:tc>
        <w:tc>
          <w:tcPr>
            <w:tcW w:w="1580" w:type="dxa"/>
            <w:tcBorders>
              <w:top w:val="single" w:color="D9D9D9" w:sz="2" w:space="0"/>
              <w:bottom w:val="single" w:color="000000" w:sz="8" w:space="0"/>
            </w:tcBorders>
          </w:tcPr>
          <w:p w:rsidR="00C31389" w:rsidRDefault="00561FBD" w14:paraId="6A469E8B" w14:textId="77777777">
            <w:pPr>
              <w:pStyle w:val="TableParagraph"/>
              <w:spacing w:before="155"/>
              <w:ind w:left="198" w:right="152"/>
              <w:jc w:val="center"/>
              <w:rPr>
                <w:sz w:val="20"/>
              </w:rPr>
            </w:pPr>
            <w:r>
              <w:rPr>
                <w:spacing w:val="-2"/>
                <w:sz w:val="20"/>
              </w:rPr>
              <w:t>On-the-books</w:t>
            </w:r>
          </w:p>
        </w:tc>
      </w:tr>
    </w:tbl>
    <w:p w:rsidR="00C31389" w:rsidRDefault="00C31389" w14:paraId="70BA0571" w14:textId="77777777">
      <w:pPr>
        <w:jc w:val="center"/>
        <w:rPr>
          <w:sz w:val="20"/>
        </w:rPr>
        <w:sectPr w:rsidR="00C31389">
          <w:pgSz w:w="11910" w:h="16840"/>
          <w:pgMar w:top="1380" w:right="1020" w:bottom="1120" w:left="960" w:header="397" w:footer="938" w:gutter="0"/>
          <w:cols w:space="720"/>
        </w:sectPr>
      </w:pPr>
    </w:p>
    <w:p w:rsidR="00C31389" w:rsidRDefault="00C31389" w14:paraId="2B6FA2E2"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61"/>
        <w:gridCol w:w="1200"/>
        <w:gridCol w:w="1367"/>
        <w:gridCol w:w="1580"/>
      </w:tblGrid>
      <w:tr w:rsidR="00C31389" w14:paraId="3AEF455C" w14:textId="77777777">
        <w:trPr>
          <w:trHeight w:val="252"/>
        </w:trPr>
        <w:tc>
          <w:tcPr>
            <w:tcW w:w="1367" w:type="dxa"/>
            <w:tcBorders>
              <w:top w:val="single" w:color="8B8B8B" w:sz="8" w:space="0"/>
            </w:tcBorders>
          </w:tcPr>
          <w:p w:rsidR="00C31389" w:rsidRDefault="00C31389" w14:paraId="74C8820E" w14:textId="77777777">
            <w:pPr>
              <w:pStyle w:val="TableParagraph"/>
              <w:spacing w:before="0"/>
              <w:rPr>
                <w:rFonts w:ascii="Times New Roman"/>
                <w:sz w:val="18"/>
              </w:rPr>
            </w:pPr>
          </w:p>
        </w:tc>
        <w:tc>
          <w:tcPr>
            <w:tcW w:w="3861" w:type="dxa"/>
            <w:tcBorders>
              <w:top w:val="single" w:color="8B8B8B" w:sz="8" w:space="0"/>
            </w:tcBorders>
          </w:tcPr>
          <w:p w:rsidR="00C31389" w:rsidRDefault="00C31389" w14:paraId="4B3237A4" w14:textId="77777777">
            <w:pPr>
              <w:pStyle w:val="TableParagraph"/>
              <w:spacing w:before="0"/>
              <w:rPr>
                <w:rFonts w:ascii="Times New Roman"/>
                <w:sz w:val="18"/>
              </w:rPr>
            </w:pPr>
          </w:p>
        </w:tc>
        <w:tc>
          <w:tcPr>
            <w:tcW w:w="1200" w:type="dxa"/>
            <w:tcBorders>
              <w:top w:val="single" w:color="8B8B8B" w:sz="8" w:space="0"/>
            </w:tcBorders>
          </w:tcPr>
          <w:p w:rsidR="00C31389" w:rsidRDefault="00C31389" w14:paraId="608D5F6D" w14:textId="77777777">
            <w:pPr>
              <w:pStyle w:val="TableParagraph"/>
              <w:spacing w:before="0"/>
              <w:rPr>
                <w:rFonts w:ascii="Times New Roman"/>
                <w:sz w:val="18"/>
              </w:rPr>
            </w:pPr>
          </w:p>
        </w:tc>
        <w:tc>
          <w:tcPr>
            <w:tcW w:w="1367" w:type="dxa"/>
            <w:tcBorders>
              <w:top w:val="single" w:color="8B8B8B" w:sz="8" w:space="0"/>
            </w:tcBorders>
          </w:tcPr>
          <w:p w:rsidR="00C31389" w:rsidRDefault="00C31389" w14:paraId="2A92B210" w14:textId="77777777">
            <w:pPr>
              <w:pStyle w:val="TableParagraph"/>
              <w:spacing w:before="0"/>
              <w:rPr>
                <w:rFonts w:ascii="Times New Roman"/>
                <w:sz w:val="18"/>
              </w:rPr>
            </w:pPr>
          </w:p>
        </w:tc>
        <w:tc>
          <w:tcPr>
            <w:tcW w:w="1580" w:type="dxa"/>
            <w:tcBorders>
              <w:top w:val="single" w:color="8B8B8B" w:sz="8" w:space="0"/>
            </w:tcBorders>
          </w:tcPr>
          <w:p w:rsidR="00C31389" w:rsidRDefault="00C31389" w14:paraId="58C5E501" w14:textId="77777777">
            <w:pPr>
              <w:pStyle w:val="TableParagraph"/>
              <w:spacing w:before="0"/>
              <w:rPr>
                <w:rFonts w:ascii="Times New Roman"/>
                <w:sz w:val="18"/>
              </w:rPr>
            </w:pPr>
          </w:p>
        </w:tc>
      </w:tr>
      <w:tr w:rsidR="00C31389" w14:paraId="19FAFFE0" w14:textId="77777777">
        <w:trPr>
          <w:trHeight w:val="549"/>
        </w:trPr>
        <w:tc>
          <w:tcPr>
            <w:tcW w:w="1367" w:type="dxa"/>
            <w:shd w:val="clear" w:color="auto" w:fill="92D400"/>
          </w:tcPr>
          <w:p w:rsidR="00C31389" w:rsidRDefault="00561FBD" w14:paraId="0844A6C7" w14:textId="77777777">
            <w:pPr>
              <w:pStyle w:val="TableParagraph"/>
              <w:spacing w:before="155"/>
              <w:ind w:left="129"/>
              <w:rPr>
                <w:b/>
                <w:sz w:val="20"/>
              </w:rPr>
            </w:pPr>
            <w:r>
              <w:rPr>
                <w:b/>
                <w:spacing w:val="-2"/>
                <w:sz w:val="20"/>
              </w:rPr>
              <w:t>Regulation</w:t>
            </w:r>
          </w:p>
        </w:tc>
        <w:tc>
          <w:tcPr>
            <w:tcW w:w="3861" w:type="dxa"/>
            <w:shd w:val="clear" w:color="auto" w:fill="92D400"/>
          </w:tcPr>
          <w:p w:rsidR="00C31389" w:rsidRDefault="00561FBD" w14:paraId="4CBED74A"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200" w:type="dxa"/>
            <w:shd w:val="clear" w:color="auto" w:fill="92D400"/>
          </w:tcPr>
          <w:p w:rsidR="00C31389" w:rsidRDefault="00561FBD" w14:paraId="50561829" w14:textId="77777777">
            <w:pPr>
              <w:pStyle w:val="TableParagraph"/>
              <w:ind w:left="216" w:right="12" w:hanging="238"/>
              <w:rPr>
                <w:b/>
                <w:sz w:val="20"/>
              </w:rPr>
            </w:pPr>
            <w:r>
              <w:rPr>
                <w:b/>
                <w:spacing w:val="-2"/>
                <w:sz w:val="20"/>
              </w:rPr>
              <w:t>Compliance Rate</w:t>
            </w:r>
            <w:hyperlink w:history="1" w:anchor="_bookmark462">
              <w:r>
                <w:rPr>
                  <w:b/>
                  <w:spacing w:val="-2"/>
                  <w:sz w:val="20"/>
                  <w:vertAlign w:val="superscript"/>
                </w:rPr>
                <w:t>182</w:t>
              </w:r>
            </w:hyperlink>
          </w:p>
        </w:tc>
        <w:tc>
          <w:tcPr>
            <w:tcW w:w="1367" w:type="dxa"/>
            <w:shd w:val="clear" w:color="auto" w:fill="92D400"/>
          </w:tcPr>
          <w:p w:rsidR="00C31389" w:rsidRDefault="00561FBD" w14:paraId="11E9B46A" w14:textId="77777777">
            <w:pPr>
              <w:pStyle w:val="TableParagraph"/>
              <w:ind w:left="524" w:hanging="202"/>
              <w:rPr>
                <w:b/>
                <w:sz w:val="20"/>
              </w:rPr>
            </w:pPr>
            <w:r>
              <w:rPr>
                <w:b/>
                <w:spacing w:val="-2"/>
                <w:sz w:val="20"/>
              </w:rPr>
              <w:t xml:space="preserve">Effective </w:t>
            </w:r>
            <w:r>
              <w:rPr>
                <w:b/>
                <w:spacing w:val="-4"/>
                <w:sz w:val="20"/>
              </w:rPr>
              <w:t>Date</w:t>
            </w:r>
          </w:p>
        </w:tc>
        <w:tc>
          <w:tcPr>
            <w:tcW w:w="1580" w:type="dxa"/>
            <w:shd w:val="clear" w:color="auto" w:fill="92D400"/>
          </w:tcPr>
          <w:p w:rsidR="00C31389" w:rsidRDefault="00561FBD" w14:paraId="4DBAFFFA" w14:textId="77777777">
            <w:pPr>
              <w:pStyle w:val="TableParagraph"/>
              <w:spacing w:before="155"/>
              <w:ind w:left="198" w:right="150"/>
              <w:jc w:val="center"/>
              <w:rPr>
                <w:b/>
                <w:sz w:val="20"/>
              </w:rPr>
            </w:pPr>
            <w:r>
              <w:rPr>
                <w:b/>
                <w:sz w:val="20"/>
              </w:rPr>
              <w:t>Policy</w:t>
            </w:r>
            <w:r>
              <w:rPr>
                <w:b/>
                <w:spacing w:val="-5"/>
                <w:sz w:val="20"/>
              </w:rPr>
              <w:t xml:space="preserve"> </w:t>
            </w:r>
            <w:r>
              <w:rPr>
                <w:b/>
                <w:spacing w:val="-4"/>
                <w:sz w:val="20"/>
              </w:rPr>
              <w:t>View</w:t>
            </w:r>
          </w:p>
        </w:tc>
      </w:tr>
      <w:tr w:rsidR="00C31389" w14:paraId="1D326BBD" w14:textId="77777777">
        <w:trPr>
          <w:trHeight w:val="535"/>
        </w:trPr>
        <w:tc>
          <w:tcPr>
            <w:tcW w:w="1367" w:type="dxa"/>
            <w:tcBorders>
              <w:bottom w:val="single" w:color="D9D9D9" w:sz="2" w:space="0"/>
            </w:tcBorders>
          </w:tcPr>
          <w:p w:rsidR="00C31389" w:rsidRDefault="00561FBD" w14:paraId="4D36F6FC" w14:textId="77777777">
            <w:pPr>
              <w:pStyle w:val="TableParagraph"/>
              <w:spacing w:before="151"/>
              <w:ind w:left="129"/>
              <w:rPr>
                <w:sz w:val="20"/>
              </w:rPr>
            </w:pPr>
            <w:r>
              <w:rPr>
                <w:sz w:val="20"/>
              </w:rPr>
              <w:t>2013</w:t>
            </w:r>
            <w:r>
              <w:rPr>
                <w:spacing w:val="-3"/>
                <w:sz w:val="20"/>
              </w:rPr>
              <w:t xml:space="preserve"> </w:t>
            </w:r>
            <w:r>
              <w:rPr>
                <w:sz w:val="20"/>
              </w:rPr>
              <w:t>T-</w:t>
            </w:r>
            <w:r>
              <w:rPr>
                <w:spacing w:val="-5"/>
                <w:sz w:val="20"/>
              </w:rPr>
              <w:t>24</w:t>
            </w:r>
          </w:p>
        </w:tc>
        <w:tc>
          <w:tcPr>
            <w:tcW w:w="3861" w:type="dxa"/>
            <w:tcBorders>
              <w:bottom w:val="single" w:color="D9D9D9" w:sz="2" w:space="0"/>
            </w:tcBorders>
          </w:tcPr>
          <w:p w:rsidR="00C31389" w:rsidRDefault="00561FBD" w14:paraId="50AE0DBE" w14:textId="77777777">
            <w:pPr>
              <w:pStyle w:val="TableParagraph"/>
              <w:spacing w:before="35"/>
              <w:ind w:left="202"/>
              <w:rPr>
                <w:sz w:val="20"/>
              </w:rPr>
            </w:pPr>
            <w:r>
              <w:rPr>
                <w:sz w:val="20"/>
              </w:rPr>
              <w:t>2013</w:t>
            </w:r>
            <w:r>
              <w:rPr>
                <w:spacing w:val="-7"/>
                <w:sz w:val="20"/>
              </w:rPr>
              <w:t xml:space="preserve"> </w:t>
            </w:r>
            <w:r>
              <w:rPr>
                <w:sz w:val="20"/>
              </w:rPr>
              <w:t>T-24:</w:t>
            </w:r>
            <w:r>
              <w:rPr>
                <w:spacing w:val="-5"/>
                <w:sz w:val="20"/>
              </w:rPr>
              <w:t xml:space="preserve"> </w:t>
            </w:r>
            <w:r>
              <w:rPr>
                <w:sz w:val="20"/>
              </w:rPr>
              <w:t>NRNC-HVAC-Water</w:t>
            </w:r>
            <w:r>
              <w:rPr>
                <w:spacing w:val="-4"/>
                <w:sz w:val="20"/>
              </w:rPr>
              <w:t xml:space="preserve"> </w:t>
            </w:r>
            <w:r>
              <w:rPr>
                <w:spacing w:val="-10"/>
                <w:sz w:val="20"/>
              </w:rPr>
              <w:t>&amp;</w:t>
            </w:r>
          </w:p>
          <w:p w:rsidR="00C31389" w:rsidRDefault="00561FBD" w14:paraId="405216F4" w14:textId="77777777">
            <w:pPr>
              <w:pStyle w:val="TableParagraph"/>
              <w:spacing w:before="1"/>
              <w:ind w:left="202"/>
              <w:rPr>
                <w:sz w:val="20"/>
              </w:rPr>
            </w:pPr>
            <w:r>
              <w:rPr>
                <w:sz w:val="20"/>
              </w:rPr>
              <w:t>Space</w:t>
            </w:r>
            <w:r>
              <w:rPr>
                <w:spacing w:val="-5"/>
                <w:sz w:val="20"/>
              </w:rPr>
              <w:t xml:space="preserve"> </w:t>
            </w:r>
            <w:r>
              <w:rPr>
                <w:sz w:val="20"/>
              </w:rPr>
              <w:t>Heating</w:t>
            </w:r>
            <w:r>
              <w:rPr>
                <w:spacing w:val="-3"/>
                <w:sz w:val="20"/>
              </w:rPr>
              <w:t xml:space="preserve"> </w:t>
            </w:r>
            <w:r>
              <w:rPr>
                <w:spacing w:val="-5"/>
                <w:sz w:val="20"/>
              </w:rPr>
              <w:t>ACM</w:t>
            </w:r>
          </w:p>
        </w:tc>
        <w:tc>
          <w:tcPr>
            <w:tcW w:w="1200" w:type="dxa"/>
            <w:tcBorders>
              <w:bottom w:val="single" w:color="D9D9D9" w:sz="2" w:space="0"/>
            </w:tcBorders>
          </w:tcPr>
          <w:p w:rsidR="00C31389" w:rsidRDefault="00561FBD" w14:paraId="28475BD2" w14:textId="77777777">
            <w:pPr>
              <w:pStyle w:val="TableParagraph"/>
              <w:spacing w:before="151"/>
              <w:ind w:left="345"/>
              <w:rPr>
                <w:sz w:val="20"/>
              </w:rPr>
            </w:pPr>
            <w:r>
              <w:rPr>
                <w:spacing w:val="-5"/>
                <w:sz w:val="20"/>
              </w:rPr>
              <w:t>83%</w:t>
            </w:r>
          </w:p>
        </w:tc>
        <w:tc>
          <w:tcPr>
            <w:tcW w:w="1367" w:type="dxa"/>
            <w:tcBorders>
              <w:bottom w:val="single" w:color="D9D9D9" w:sz="2" w:space="0"/>
            </w:tcBorders>
          </w:tcPr>
          <w:p w:rsidR="00C31389" w:rsidRDefault="00561FBD" w14:paraId="549A3E36" w14:textId="77777777">
            <w:pPr>
              <w:pStyle w:val="TableParagraph"/>
              <w:spacing w:before="151"/>
              <w:ind w:right="232"/>
              <w:jc w:val="right"/>
              <w:rPr>
                <w:sz w:val="20"/>
              </w:rPr>
            </w:pPr>
            <w:r>
              <w:rPr>
                <w:spacing w:val="-2"/>
                <w:sz w:val="20"/>
              </w:rPr>
              <w:t>1/1/2015</w:t>
            </w:r>
          </w:p>
        </w:tc>
        <w:tc>
          <w:tcPr>
            <w:tcW w:w="1580" w:type="dxa"/>
            <w:tcBorders>
              <w:bottom w:val="single" w:color="D9D9D9" w:sz="2" w:space="0"/>
            </w:tcBorders>
          </w:tcPr>
          <w:p w:rsidR="00C31389" w:rsidRDefault="00561FBD" w14:paraId="3C517CED" w14:textId="77777777">
            <w:pPr>
              <w:pStyle w:val="TableParagraph"/>
              <w:spacing w:before="151"/>
              <w:ind w:left="198" w:right="150"/>
              <w:jc w:val="center"/>
              <w:rPr>
                <w:sz w:val="20"/>
              </w:rPr>
            </w:pPr>
            <w:r>
              <w:rPr>
                <w:spacing w:val="-2"/>
                <w:sz w:val="20"/>
              </w:rPr>
              <w:t>On-the-books</w:t>
            </w:r>
          </w:p>
        </w:tc>
      </w:tr>
      <w:tr w:rsidR="00C31389" w14:paraId="4F746464" w14:textId="77777777">
        <w:trPr>
          <w:trHeight w:val="539"/>
        </w:trPr>
        <w:tc>
          <w:tcPr>
            <w:tcW w:w="1367" w:type="dxa"/>
            <w:tcBorders>
              <w:top w:val="single" w:color="D9D9D9" w:sz="2" w:space="0"/>
              <w:bottom w:val="single" w:color="D9D9D9" w:sz="2" w:space="0"/>
            </w:tcBorders>
          </w:tcPr>
          <w:p w:rsidR="00C31389" w:rsidRDefault="00561FBD" w14:paraId="325BEAC2"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0B49D7B1" w14:textId="77777777">
            <w:pPr>
              <w:pStyle w:val="TableParagraph"/>
              <w:ind w:left="202" w:right="349"/>
              <w:rPr>
                <w:sz w:val="20"/>
              </w:rPr>
            </w:pPr>
            <w:r>
              <w:rPr>
                <w:sz w:val="20"/>
              </w:rPr>
              <w:t>2013</w:t>
            </w:r>
            <w:r>
              <w:rPr>
                <w:spacing w:val="-14"/>
                <w:sz w:val="20"/>
              </w:rPr>
              <w:t xml:space="preserve"> </w:t>
            </w:r>
            <w:r>
              <w:rPr>
                <w:sz w:val="20"/>
              </w:rPr>
              <w:t>T-24:</w:t>
            </w:r>
            <w:r>
              <w:rPr>
                <w:spacing w:val="-14"/>
                <w:sz w:val="20"/>
              </w:rPr>
              <w:t xml:space="preserve"> </w:t>
            </w:r>
            <w:r>
              <w:rPr>
                <w:sz w:val="20"/>
              </w:rPr>
              <w:t>NRNC-Lighting- Controllable Lighting</w:t>
            </w:r>
          </w:p>
        </w:tc>
        <w:tc>
          <w:tcPr>
            <w:tcW w:w="1200" w:type="dxa"/>
            <w:tcBorders>
              <w:top w:val="single" w:color="D9D9D9" w:sz="2" w:space="0"/>
              <w:bottom w:val="single" w:color="D9D9D9" w:sz="2" w:space="0"/>
            </w:tcBorders>
          </w:tcPr>
          <w:p w:rsidR="00C31389" w:rsidRDefault="00561FBD" w14:paraId="2AE45228" w14:textId="77777777">
            <w:pPr>
              <w:pStyle w:val="TableParagraph"/>
              <w:spacing w:before="155"/>
              <w:ind w:left="346"/>
              <w:rPr>
                <w:sz w:val="20"/>
              </w:rPr>
            </w:pPr>
            <w:r>
              <w:rPr>
                <w:spacing w:val="-5"/>
                <w:sz w:val="20"/>
              </w:rPr>
              <w:t>83%</w:t>
            </w:r>
          </w:p>
        </w:tc>
        <w:tc>
          <w:tcPr>
            <w:tcW w:w="1367" w:type="dxa"/>
            <w:tcBorders>
              <w:top w:val="single" w:color="D9D9D9" w:sz="2" w:space="0"/>
              <w:bottom w:val="single" w:color="D9D9D9" w:sz="2" w:space="0"/>
            </w:tcBorders>
          </w:tcPr>
          <w:p w:rsidR="00C31389" w:rsidRDefault="00561FBD" w14:paraId="14308C7F" w14:textId="77777777">
            <w:pPr>
              <w:pStyle w:val="TableParagraph"/>
              <w:spacing w:before="155"/>
              <w:ind w:right="232"/>
              <w:jc w:val="right"/>
              <w:rPr>
                <w:sz w:val="20"/>
              </w:rPr>
            </w:pPr>
            <w:r>
              <w:rPr>
                <w:spacing w:val="-2"/>
                <w:sz w:val="20"/>
              </w:rPr>
              <w:t>01/01/19</w:t>
            </w:r>
          </w:p>
        </w:tc>
        <w:tc>
          <w:tcPr>
            <w:tcW w:w="1580" w:type="dxa"/>
            <w:tcBorders>
              <w:top w:val="single" w:color="D9D9D9" w:sz="2" w:space="0"/>
              <w:bottom w:val="single" w:color="D9D9D9" w:sz="2" w:space="0"/>
            </w:tcBorders>
          </w:tcPr>
          <w:p w:rsidR="00C31389" w:rsidRDefault="00561FBD" w14:paraId="258A8DF3" w14:textId="77777777">
            <w:pPr>
              <w:pStyle w:val="TableParagraph"/>
              <w:spacing w:before="155"/>
              <w:ind w:left="198" w:right="150"/>
              <w:jc w:val="center"/>
              <w:rPr>
                <w:sz w:val="20"/>
              </w:rPr>
            </w:pPr>
            <w:r>
              <w:rPr>
                <w:spacing w:val="-2"/>
                <w:sz w:val="20"/>
              </w:rPr>
              <w:t>On-the-books</w:t>
            </w:r>
          </w:p>
        </w:tc>
      </w:tr>
      <w:tr w:rsidR="00C31389" w14:paraId="556B2950" w14:textId="77777777">
        <w:trPr>
          <w:trHeight w:val="539"/>
        </w:trPr>
        <w:tc>
          <w:tcPr>
            <w:tcW w:w="1367" w:type="dxa"/>
            <w:tcBorders>
              <w:top w:val="single" w:color="D9D9D9" w:sz="2" w:space="0"/>
              <w:bottom w:val="single" w:color="D9D9D9" w:sz="2" w:space="0"/>
            </w:tcBorders>
          </w:tcPr>
          <w:p w:rsidR="00C31389" w:rsidRDefault="00561FBD" w14:paraId="3F3C2440"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01476F84" w14:textId="77777777">
            <w:pPr>
              <w:pStyle w:val="TableParagraph"/>
              <w:ind w:left="202" w:right="349"/>
              <w:rPr>
                <w:sz w:val="20"/>
              </w:rPr>
            </w:pPr>
            <w:r>
              <w:rPr>
                <w:sz w:val="20"/>
              </w:rPr>
              <w:t>2013</w:t>
            </w:r>
            <w:r>
              <w:rPr>
                <w:spacing w:val="-14"/>
                <w:sz w:val="20"/>
              </w:rPr>
              <w:t xml:space="preserve"> </w:t>
            </w:r>
            <w:r>
              <w:rPr>
                <w:sz w:val="20"/>
              </w:rPr>
              <w:t>T-24:</w:t>
            </w:r>
            <w:r>
              <w:rPr>
                <w:spacing w:val="-14"/>
                <w:sz w:val="20"/>
              </w:rPr>
              <w:t xml:space="preserve"> </w:t>
            </w:r>
            <w:r>
              <w:rPr>
                <w:sz w:val="20"/>
              </w:rPr>
              <w:t xml:space="preserve">NRNC-Lighting- </w:t>
            </w:r>
            <w:r>
              <w:rPr>
                <w:spacing w:val="-2"/>
                <w:sz w:val="20"/>
              </w:rPr>
              <w:t>Daylighting</w:t>
            </w:r>
          </w:p>
        </w:tc>
        <w:tc>
          <w:tcPr>
            <w:tcW w:w="1200" w:type="dxa"/>
            <w:tcBorders>
              <w:top w:val="single" w:color="D9D9D9" w:sz="2" w:space="0"/>
              <w:bottom w:val="single" w:color="D9D9D9" w:sz="2" w:space="0"/>
            </w:tcBorders>
          </w:tcPr>
          <w:p w:rsidR="00C31389" w:rsidRDefault="00561FBD" w14:paraId="2C8DBA46" w14:textId="77777777">
            <w:pPr>
              <w:pStyle w:val="TableParagraph"/>
              <w:spacing w:before="155"/>
              <w:ind w:left="345"/>
              <w:rPr>
                <w:sz w:val="20"/>
              </w:rPr>
            </w:pPr>
            <w:r>
              <w:rPr>
                <w:spacing w:val="-5"/>
                <w:sz w:val="20"/>
              </w:rPr>
              <w:t>93%</w:t>
            </w:r>
          </w:p>
        </w:tc>
        <w:tc>
          <w:tcPr>
            <w:tcW w:w="1367" w:type="dxa"/>
            <w:tcBorders>
              <w:top w:val="single" w:color="D9D9D9" w:sz="2" w:space="0"/>
              <w:bottom w:val="single" w:color="D9D9D9" w:sz="2" w:space="0"/>
            </w:tcBorders>
          </w:tcPr>
          <w:p w:rsidR="00C31389" w:rsidRDefault="00561FBD" w14:paraId="542FE66C" w14:textId="77777777">
            <w:pPr>
              <w:pStyle w:val="TableParagraph"/>
              <w:spacing w:before="155"/>
              <w:ind w:right="232"/>
              <w:jc w:val="right"/>
              <w:rPr>
                <w:sz w:val="20"/>
              </w:rPr>
            </w:pPr>
            <w:r>
              <w:rPr>
                <w:spacing w:val="-2"/>
                <w:sz w:val="20"/>
              </w:rPr>
              <w:t>07/01/21</w:t>
            </w:r>
          </w:p>
        </w:tc>
        <w:tc>
          <w:tcPr>
            <w:tcW w:w="1580" w:type="dxa"/>
            <w:tcBorders>
              <w:top w:val="single" w:color="D9D9D9" w:sz="2" w:space="0"/>
              <w:bottom w:val="single" w:color="D9D9D9" w:sz="2" w:space="0"/>
            </w:tcBorders>
          </w:tcPr>
          <w:p w:rsidR="00C31389" w:rsidRDefault="00561FBD" w14:paraId="4CA79E27" w14:textId="77777777">
            <w:pPr>
              <w:pStyle w:val="TableParagraph"/>
              <w:spacing w:before="155"/>
              <w:ind w:left="198" w:right="150"/>
              <w:jc w:val="center"/>
              <w:rPr>
                <w:sz w:val="20"/>
              </w:rPr>
            </w:pPr>
            <w:r>
              <w:rPr>
                <w:spacing w:val="-2"/>
                <w:sz w:val="20"/>
              </w:rPr>
              <w:t>On-the-books</w:t>
            </w:r>
          </w:p>
        </w:tc>
      </w:tr>
      <w:tr w:rsidR="00C31389" w14:paraId="79931D02" w14:textId="77777777">
        <w:trPr>
          <w:trHeight w:val="539"/>
        </w:trPr>
        <w:tc>
          <w:tcPr>
            <w:tcW w:w="1367" w:type="dxa"/>
            <w:tcBorders>
              <w:top w:val="single" w:color="D9D9D9" w:sz="2" w:space="0"/>
              <w:bottom w:val="single" w:color="D9D9D9" w:sz="2" w:space="0"/>
            </w:tcBorders>
          </w:tcPr>
          <w:p w:rsidR="00C31389" w:rsidRDefault="00561FBD" w14:paraId="0B1CD887"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6CAB6D2F" w14:textId="77777777">
            <w:pPr>
              <w:pStyle w:val="TableParagraph"/>
              <w:ind w:left="202"/>
              <w:rPr>
                <w:sz w:val="20"/>
              </w:rPr>
            </w:pPr>
            <w:r>
              <w:rPr>
                <w:sz w:val="20"/>
              </w:rPr>
              <w:t>2013</w:t>
            </w:r>
            <w:r>
              <w:rPr>
                <w:spacing w:val="-7"/>
                <w:sz w:val="20"/>
              </w:rPr>
              <w:t xml:space="preserve"> </w:t>
            </w:r>
            <w:r>
              <w:rPr>
                <w:sz w:val="20"/>
              </w:rPr>
              <w:t>T-24:</w:t>
            </w:r>
            <w:r>
              <w:rPr>
                <w:spacing w:val="-7"/>
                <w:sz w:val="20"/>
              </w:rPr>
              <w:t xml:space="preserve"> </w:t>
            </w:r>
            <w:r>
              <w:rPr>
                <w:sz w:val="20"/>
              </w:rPr>
              <w:t>NRNC-Lighting-</w:t>
            </w:r>
            <w:r>
              <w:rPr>
                <w:spacing w:val="-5"/>
                <w:sz w:val="20"/>
              </w:rPr>
              <w:t>DR</w:t>
            </w:r>
          </w:p>
          <w:p w:rsidR="00C31389" w:rsidRDefault="00561FBD" w14:paraId="0788A27B" w14:textId="77777777">
            <w:pPr>
              <w:pStyle w:val="TableParagraph"/>
              <w:spacing w:before="0"/>
              <w:ind w:left="202"/>
              <w:rPr>
                <w:sz w:val="20"/>
              </w:rPr>
            </w:pPr>
            <w:r>
              <w:rPr>
                <w:sz w:val="20"/>
              </w:rPr>
              <w:t>Lighting</w:t>
            </w:r>
            <w:r>
              <w:rPr>
                <w:spacing w:val="-5"/>
                <w:sz w:val="20"/>
              </w:rPr>
              <w:t xml:space="preserve"> </w:t>
            </w:r>
            <w:r>
              <w:rPr>
                <w:spacing w:val="-2"/>
                <w:sz w:val="20"/>
              </w:rPr>
              <w:t>Controls</w:t>
            </w:r>
          </w:p>
        </w:tc>
        <w:tc>
          <w:tcPr>
            <w:tcW w:w="1200" w:type="dxa"/>
            <w:tcBorders>
              <w:top w:val="single" w:color="D9D9D9" w:sz="2" w:space="0"/>
              <w:bottom w:val="single" w:color="D9D9D9" w:sz="2" w:space="0"/>
            </w:tcBorders>
          </w:tcPr>
          <w:p w:rsidR="00C31389" w:rsidRDefault="00561FBD" w14:paraId="1FCE0CA5"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3EC7E61D" w14:textId="77777777">
            <w:pPr>
              <w:pStyle w:val="TableParagraph"/>
              <w:spacing w:before="155"/>
              <w:ind w:right="232"/>
              <w:jc w:val="right"/>
              <w:rPr>
                <w:sz w:val="20"/>
              </w:rPr>
            </w:pPr>
            <w:r>
              <w:rPr>
                <w:spacing w:val="-2"/>
                <w:sz w:val="20"/>
              </w:rPr>
              <w:t>01/01/19</w:t>
            </w:r>
          </w:p>
        </w:tc>
        <w:tc>
          <w:tcPr>
            <w:tcW w:w="1580" w:type="dxa"/>
            <w:tcBorders>
              <w:top w:val="single" w:color="D9D9D9" w:sz="2" w:space="0"/>
              <w:bottom w:val="single" w:color="D9D9D9" w:sz="2" w:space="0"/>
            </w:tcBorders>
          </w:tcPr>
          <w:p w:rsidR="00C31389" w:rsidRDefault="00561FBD" w14:paraId="15D3CE04" w14:textId="77777777">
            <w:pPr>
              <w:pStyle w:val="TableParagraph"/>
              <w:spacing w:before="155"/>
              <w:ind w:left="198" w:right="150"/>
              <w:jc w:val="center"/>
              <w:rPr>
                <w:sz w:val="20"/>
              </w:rPr>
            </w:pPr>
            <w:r>
              <w:rPr>
                <w:spacing w:val="-2"/>
                <w:sz w:val="20"/>
              </w:rPr>
              <w:t>On-the-books</w:t>
            </w:r>
          </w:p>
        </w:tc>
      </w:tr>
      <w:tr w:rsidR="00C31389" w14:paraId="70725CA7" w14:textId="77777777">
        <w:trPr>
          <w:trHeight w:val="541"/>
        </w:trPr>
        <w:tc>
          <w:tcPr>
            <w:tcW w:w="1367" w:type="dxa"/>
            <w:tcBorders>
              <w:top w:val="single" w:color="D9D9D9" w:sz="2" w:space="0"/>
              <w:bottom w:val="single" w:color="D9D9D9" w:sz="2" w:space="0"/>
            </w:tcBorders>
          </w:tcPr>
          <w:p w:rsidR="00C31389" w:rsidRDefault="00561FBD" w14:paraId="1BCCC05A"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18FC0275" w14:textId="77777777">
            <w:pPr>
              <w:pStyle w:val="TableParagraph"/>
              <w:spacing w:before="41"/>
              <w:ind w:left="202"/>
              <w:rPr>
                <w:sz w:val="20"/>
              </w:rPr>
            </w:pPr>
            <w:r>
              <w:rPr>
                <w:sz w:val="20"/>
              </w:rPr>
              <w:t>2013</w:t>
            </w:r>
            <w:r>
              <w:rPr>
                <w:spacing w:val="-14"/>
                <w:sz w:val="20"/>
              </w:rPr>
              <w:t xml:space="preserve"> </w:t>
            </w:r>
            <w:r>
              <w:rPr>
                <w:sz w:val="20"/>
              </w:rPr>
              <w:t>T-24:</w:t>
            </w:r>
            <w:r>
              <w:rPr>
                <w:spacing w:val="-14"/>
                <w:sz w:val="20"/>
              </w:rPr>
              <w:t xml:space="preserve"> </w:t>
            </w:r>
            <w:r>
              <w:rPr>
                <w:sz w:val="20"/>
              </w:rPr>
              <w:t>NRNC-Lighting-Egress Lighting Control</w:t>
            </w:r>
          </w:p>
        </w:tc>
        <w:tc>
          <w:tcPr>
            <w:tcW w:w="1200" w:type="dxa"/>
            <w:tcBorders>
              <w:top w:val="single" w:color="D9D9D9" w:sz="2" w:space="0"/>
              <w:bottom w:val="single" w:color="D9D9D9" w:sz="2" w:space="0"/>
            </w:tcBorders>
          </w:tcPr>
          <w:p w:rsidR="00C31389" w:rsidRDefault="00561FBD" w14:paraId="16F6FA1B"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1BE588BF" w14:textId="77777777">
            <w:pPr>
              <w:pStyle w:val="TableParagraph"/>
              <w:spacing w:before="155"/>
              <w:ind w:right="232"/>
              <w:jc w:val="right"/>
              <w:rPr>
                <w:sz w:val="20"/>
              </w:rPr>
            </w:pPr>
            <w:r>
              <w:rPr>
                <w:spacing w:val="-2"/>
                <w:sz w:val="20"/>
              </w:rPr>
              <w:t>07/01/19</w:t>
            </w:r>
          </w:p>
        </w:tc>
        <w:tc>
          <w:tcPr>
            <w:tcW w:w="1580" w:type="dxa"/>
            <w:tcBorders>
              <w:top w:val="single" w:color="D9D9D9" w:sz="2" w:space="0"/>
              <w:bottom w:val="single" w:color="D9D9D9" w:sz="2" w:space="0"/>
            </w:tcBorders>
          </w:tcPr>
          <w:p w:rsidR="00C31389" w:rsidRDefault="00561FBD" w14:paraId="4FBBBDEF" w14:textId="77777777">
            <w:pPr>
              <w:pStyle w:val="TableParagraph"/>
              <w:spacing w:before="155"/>
              <w:ind w:left="198" w:right="150"/>
              <w:jc w:val="center"/>
              <w:rPr>
                <w:sz w:val="20"/>
              </w:rPr>
            </w:pPr>
            <w:r>
              <w:rPr>
                <w:spacing w:val="-2"/>
                <w:sz w:val="20"/>
              </w:rPr>
              <w:t>On-the-books</w:t>
            </w:r>
          </w:p>
        </w:tc>
      </w:tr>
      <w:tr w:rsidR="00C31389" w14:paraId="2AD7CF37" w14:textId="77777777">
        <w:trPr>
          <w:trHeight w:val="539"/>
        </w:trPr>
        <w:tc>
          <w:tcPr>
            <w:tcW w:w="1367" w:type="dxa"/>
            <w:tcBorders>
              <w:top w:val="single" w:color="D9D9D9" w:sz="2" w:space="0"/>
              <w:bottom w:val="single" w:color="D9D9D9" w:sz="2" w:space="0"/>
            </w:tcBorders>
          </w:tcPr>
          <w:p w:rsidR="00C31389" w:rsidRDefault="00561FBD" w14:paraId="6E5962E8"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76346260" w14:textId="77777777">
            <w:pPr>
              <w:pStyle w:val="TableParagraph"/>
              <w:ind w:left="202" w:right="349"/>
              <w:rPr>
                <w:sz w:val="20"/>
              </w:rPr>
            </w:pPr>
            <w:r>
              <w:rPr>
                <w:sz w:val="20"/>
              </w:rPr>
              <w:t>2013</w:t>
            </w:r>
            <w:r>
              <w:rPr>
                <w:spacing w:val="-14"/>
                <w:sz w:val="20"/>
              </w:rPr>
              <w:t xml:space="preserve"> </w:t>
            </w:r>
            <w:r>
              <w:rPr>
                <w:sz w:val="20"/>
              </w:rPr>
              <w:t>T-24:</w:t>
            </w:r>
            <w:r>
              <w:rPr>
                <w:spacing w:val="-14"/>
                <w:sz w:val="20"/>
              </w:rPr>
              <w:t xml:space="preserve"> </w:t>
            </w:r>
            <w:r>
              <w:rPr>
                <w:sz w:val="20"/>
              </w:rPr>
              <w:t xml:space="preserve">NRNC-Lighting-Hotel </w:t>
            </w:r>
            <w:r>
              <w:rPr>
                <w:spacing w:val="-2"/>
                <w:sz w:val="20"/>
              </w:rPr>
              <w:t>Corridors</w:t>
            </w:r>
          </w:p>
        </w:tc>
        <w:tc>
          <w:tcPr>
            <w:tcW w:w="1200" w:type="dxa"/>
            <w:tcBorders>
              <w:top w:val="single" w:color="D9D9D9" w:sz="2" w:space="0"/>
              <w:bottom w:val="single" w:color="D9D9D9" w:sz="2" w:space="0"/>
            </w:tcBorders>
          </w:tcPr>
          <w:p w:rsidR="00C31389" w:rsidRDefault="00561FBD" w14:paraId="52AF0611"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1F88AA7F" w14:textId="77777777">
            <w:pPr>
              <w:pStyle w:val="TableParagraph"/>
              <w:spacing w:before="155"/>
              <w:ind w:right="232"/>
              <w:jc w:val="right"/>
              <w:rPr>
                <w:sz w:val="20"/>
              </w:rPr>
            </w:pPr>
            <w:r>
              <w:rPr>
                <w:spacing w:val="-2"/>
                <w:sz w:val="20"/>
              </w:rPr>
              <w:t>07/01/19</w:t>
            </w:r>
          </w:p>
        </w:tc>
        <w:tc>
          <w:tcPr>
            <w:tcW w:w="1580" w:type="dxa"/>
            <w:tcBorders>
              <w:top w:val="single" w:color="D9D9D9" w:sz="2" w:space="0"/>
              <w:bottom w:val="single" w:color="D9D9D9" w:sz="2" w:space="0"/>
            </w:tcBorders>
          </w:tcPr>
          <w:p w:rsidR="00C31389" w:rsidRDefault="00561FBD" w14:paraId="59018853" w14:textId="77777777">
            <w:pPr>
              <w:pStyle w:val="TableParagraph"/>
              <w:spacing w:before="155"/>
              <w:ind w:left="198" w:right="150"/>
              <w:jc w:val="center"/>
              <w:rPr>
                <w:sz w:val="20"/>
              </w:rPr>
            </w:pPr>
            <w:r>
              <w:rPr>
                <w:spacing w:val="-2"/>
                <w:sz w:val="20"/>
              </w:rPr>
              <w:t>On-the-books</w:t>
            </w:r>
          </w:p>
        </w:tc>
      </w:tr>
      <w:tr w:rsidR="00C31389" w14:paraId="5AA15A12" w14:textId="77777777">
        <w:trPr>
          <w:trHeight w:val="539"/>
        </w:trPr>
        <w:tc>
          <w:tcPr>
            <w:tcW w:w="1367" w:type="dxa"/>
            <w:tcBorders>
              <w:top w:val="single" w:color="D9D9D9" w:sz="2" w:space="0"/>
              <w:bottom w:val="single" w:color="D9D9D9" w:sz="2" w:space="0"/>
            </w:tcBorders>
          </w:tcPr>
          <w:p w:rsidR="00C31389" w:rsidRDefault="00561FBD" w14:paraId="34353C82"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795F24A9" w14:textId="77777777">
            <w:pPr>
              <w:pStyle w:val="TableParagraph"/>
              <w:ind w:left="202" w:right="349"/>
              <w:rPr>
                <w:sz w:val="20"/>
              </w:rPr>
            </w:pPr>
            <w:r>
              <w:rPr>
                <w:sz w:val="20"/>
              </w:rPr>
              <w:t>2013</w:t>
            </w:r>
            <w:r>
              <w:rPr>
                <w:spacing w:val="-14"/>
                <w:sz w:val="20"/>
              </w:rPr>
              <w:t xml:space="preserve"> </w:t>
            </w:r>
            <w:r>
              <w:rPr>
                <w:sz w:val="20"/>
              </w:rPr>
              <w:t>T-24:</w:t>
            </w:r>
            <w:r>
              <w:rPr>
                <w:spacing w:val="-14"/>
                <w:sz w:val="20"/>
              </w:rPr>
              <w:t xml:space="preserve"> </w:t>
            </w:r>
            <w:r>
              <w:rPr>
                <w:sz w:val="20"/>
              </w:rPr>
              <w:t>NRNC-Lighting-Indoor Lighting Controls</w:t>
            </w:r>
          </w:p>
        </w:tc>
        <w:tc>
          <w:tcPr>
            <w:tcW w:w="1200" w:type="dxa"/>
            <w:tcBorders>
              <w:top w:val="single" w:color="D9D9D9" w:sz="2" w:space="0"/>
              <w:bottom w:val="single" w:color="D9D9D9" w:sz="2" w:space="0"/>
            </w:tcBorders>
          </w:tcPr>
          <w:p w:rsidR="00C31389" w:rsidRDefault="00561FBD" w14:paraId="520E54A4" w14:textId="77777777">
            <w:pPr>
              <w:pStyle w:val="TableParagraph"/>
              <w:spacing w:before="155"/>
              <w:ind w:left="345"/>
              <w:rPr>
                <w:sz w:val="20"/>
              </w:rPr>
            </w:pPr>
            <w:r>
              <w:rPr>
                <w:spacing w:val="-5"/>
                <w:sz w:val="20"/>
              </w:rPr>
              <w:t>93%</w:t>
            </w:r>
          </w:p>
        </w:tc>
        <w:tc>
          <w:tcPr>
            <w:tcW w:w="1367" w:type="dxa"/>
            <w:tcBorders>
              <w:top w:val="single" w:color="D9D9D9" w:sz="2" w:space="0"/>
              <w:bottom w:val="single" w:color="D9D9D9" w:sz="2" w:space="0"/>
            </w:tcBorders>
          </w:tcPr>
          <w:p w:rsidR="00C31389" w:rsidRDefault="00561FBD" w14:paraId="0AD1EB20"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3235F268" w14:textId="77777777">
            <w:pPr>
              <w:pStyle w:val="TableParagraph"/>
              <w:spacing w:before="155"/>
              <w:ind w:left="198" w:right="150"/>
              <w:jc w:val="center"/>
              <w:rPr>
                <w:sz w:val="20"/>
              </w:rPr>
            </w:pPr>
            <w:r>
              <w:rPr>
                <w:spacing w:val="-2"/>
                <w:sz w:val="20"/>
              </w:rPr>
              <w:t>On-the-books</w:t>
            </w:r>
          </w:p>
        </w:tc>
      </w:tr>
      <w:tr w:rsidR="00C31389" w14:paraId="23537D5C" w14:textId="77777777">
        <w:trPr>
          <w:trHeight w:val="539"/>
        </w:trPr>
        <w:tc>
          <w:tcPr>
            <w:tcW w:w="1367" w:type="dxa"/>
            <w:tcBorders>
              <w:top w:val="single" w:color="D9D9D9" w:sz="2" w:space="0"/>
              <w:bottom w:val="single" w:color="D9D9D9" w:sz="2" w:space="0"/>
            </w:tcBorders>
          </w:tcPr>
          <w:p w:rsidR="00C31389" w:rsidRDefault="00561FBD" w14:paraId="7B0939A8"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2BF5C90F" w14:textId="77777777">
            <w:pPr>
              <w:pStyle w:val="TableParagraph"/>
              <w:ind w:left="202"/>
              <w:rPr>
                <w:sz w:val="20"/>
              </w:rPr>
            </w:pPr>
            <w:r>
              <w:rPr>
                <w:sz w:val="20"/>
              </w:rPr>
              <w:t>2013</w:t>
            </w:r>
            <w:r>
              <w:rPr>
                <w:spacing w:val="-7"/>
                <w:sz w:val="20"/>
              </w:rPr>
              <w:t xml:space="preserve"> </w:t>
            </w:r>
            <w:r>
              <w:rPr>
                <w:sz w:val="20"/>
              </w:rPr>
              <w:t>T-24:</w:t>
            </w:r>
            <w:r>
              <w:rPr>
                <w:spacing w:val="-7"/>
                <w:sz w:val="20"/>
              </w:rPr>
              <w:t xml:space="preserve"> </w:t>
            </w:r>
            <w:r>
              <w:rPr>
                <w:sz w:val="20"/>
              </w:rPr>
              <w:t>NRNC-Lighting-</w:t>
            </w:r>
            <w:r>
              <w:rPr>
                <w:spacing w:val="-5"/>
                <w:sz w:val="20"/>
              </w:rPr>
              <w:t>MF</w:t>
            </w:r>
          </w:p>
          <w:p w:rsidR="00C31389" w:rsidRDefault="00561FBD" w14:paraId="0F2F1500" w14:textId="77777777">
            <w:pPr>
              <w:pStyle w:val="TableParagraph"/>
              <w:spacing w:before="0"/>
              <w:ind w:left="202"/>
              <w:rPr>
                <w:sz w:val="20"/>
              </w:rPr>
            </w:pPr>
            <w:r>
              <w:rPr>
                <w:sz w:val="20"/>
              </w:rPr>
              <w:t>Building</w:t>
            </w:r>
            <w:r>
              <w:rPr>
                <w:spacing w:val="-5"/>
                <w:sz w:val="20"/>
              </w:rPr>
              <w:t xml:space="preserve"> </w:t>
            </w:r>
            <w:r>
              <w:rPr>
                <w:spacing w:val="-2"/>
                <w:sz w:val="20"/>
              </w:rPr>
              <w:t>Corridors</w:t>
            </w:r>
          </w:p>
        </w:tc>
        <w:tc>
          <w:tcPr>
            <w:tcW w:w="1200" w:type="dxa"/>
            <w:tcBorders>
              <w:top w:val="single" w:color="D9D9D9" w:sz="2" w:space="0"/>
              <w:bottom w:val="single" w:color="D9D9D9" w:sz="2" w:space="0"/>
            </w:tcBorders>
          </w:tcPr>
          <w:p w:rsidR="00C31389" w:rsidRDefault="00561FBD" w14:paraId="1C455E98"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2C4AAC89"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47C9C9E7" w14:textId="77777777">
            <w:pPr>
              <w:pStyle w:val="TableParagraph"/>
              <w:spacing w:before="155"/>
              <w:ind w:left="198" w:right="150"/>
              <w:jc w:val="center"/>
              <w:rPr>
                <w:sz w:val="20"/>
              </w:rPr>
            </w:pPr>
            <w:r>
              <w:rPr>
                <w:spacing w:val="-2"/>
                <w:sz w:val="20"/>
              </w:rPr>
              <w:t>On-the-books</w:t>
            </w:r>
          </w:p>
        </w:tc>
      </w:tr>
      <w:tr w:rsidR="00C31389" w14:paraId="35C7D894" w14:textId="77777777">
        <w:trPr>
          <w:trHeight w:val="539"/>
        </w:trPr>
        <w:tc>
          <w:tcPr>
            <w:tcW w:w="1367" w:type="dxa"/>
            <w:tcBorders>
              <w:top w:val="single" w:color="D9D9D9" w:sz="2" w:space="0"/>
              <w:bottom w:val="single" w:color="D9D9D9" w:sz="2" w:space="0"/>
            </w:tcBorders>
          </w:tcPr>
          <w:p w:rsidR="00C31389" w:rsidRDefault="00561FBD" w14:paraId="54FCEF1D"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066E0A53" w14:textId="77777777">
            <w:pPr>
              <w:pStyle w:val="TableParagraph"/>
              <w:ind w:left="202" w:right="349"/>
              <w:rPr>
                <w:sz w:val="20"/>
              </w:rPr>
            </w:pPr>
            <w:r>
              <w:rPr>
                <w:sz w:val="20"/>
              </w:rPr>
              <w:t>2013</w:t>
            </w:r>
            <w:r>
              <w:rPr>
                <w:spacing w:val="-14"/>
                <w:sz w:val="20"/>
              </w:rPr>
              <w:t xml:space="preserve"> </w:t>
            </w:r>
            <w:r>
              <w:rPr>
                <w:sz w:val="20"/>
              </w:rPr>
              <w:t>T-24:</w:t>
            </w:r>
            <w:r>
              <w:rPr>
                <w:spacing w:val="-14"/>
                <w:sz w:val="20"/>
              </w:rPr>
              <w:t xml:space="preserve"> </w:t>
            </w:r>
            <w:r>
              <w:rPr>
                <w:sz w:val="20"/>
              </w:rPr>
              <w:t>NRNC-Lighting-Office Plug Load Control</w:t>
            </w:r>
          </w:p>
        </w:tc>
        <w:tc>
          <w:tcPr>
            <w:tcW w:w="1200" w:type="dxa"/>
            <w:tcBorders>
              <w:top w:val="single" w:color="D9D9D9" w:sz="2" w:space="0"/>
              <w:bottom w:val="single" w:color="D9D9D9" w:sz="2" w:space="0"/>
            </w:tcBorders>
          </w:tcPr>
          <w:p w:rsidR="00C31389" w:rsidRDefault="00561FBD" w14:paraId="468EBD03"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6CF5F208"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325303DC" w14:textId="77777777">
            <w:pPr>
              <w:pStyle w:val="TableParagraph"/>
              <w:spacing w:before="155"/>
              <w:ind w:left="198" w:right="150"/>
              <w:jc w:val="center"/>
              <w:rPr>
                <w:sz w:val="20"/>
              </w:rPr>
            </w:pPr>
            <w:r>
              <w:rPr>
                <w:spacing w:val="-2"/>
                <w:sz w:val="20"/>
              </w:rPr>
              <w:t>On-the-books</w:t>
            </w:r>
          </w:p>
        </w:tc>
      </w:tr>
      <w:tr w:rsidR="00C31389" w14:paraId="514411ED" w14:textId="77777777">
        <w:trPr>
          <w:trHeight w:val="539"/>
        </w:trPr>
        <w:tc>
          <w:tcPr>
            <w:tcW w:w="1367" w:type="dxa"/>
            <w:tcBorders>
              <w:top w:val="single" w:color="D9D9D9" w:sz="2" w:space="0"/>
              <w:bottom w:val="single" w:color="D9D9D9" w:sz="2" w:space="0"/>
            </w:tcBorders>
          </w:tcPr>
          <w:p w:rsidR="00C31389" w:rsidRDefault="00561FBD" w14:paraId="4ECC6E72"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13B5EC99"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NRNC-Lighting-Outdoor Lighting &amp; Controls</w:t>
            </w:r>
          </w:p>
        </w:tc>
        <w:tc>
          <w:tcPr>
            <w:tcW w:w="1200" w:type="dxa"/>
            <w:tcBorders>
              <w:top w:val="single" w:color="D9D9D9" w:sz="2" w:space="0"/>
              <w:bottom w:val="single" w:color="D9D9D9" w:sz="2" w:space="0"/>
            </w:tcBorders>
          </w:tcPr>
          <w:p w:rsidR="00C31389" w:rsidRDefault="00561FBD" w14:paraId="4542739C"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215A1332"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179F31BE" w14:textId="77777777">
            <w:pPr>
              <w:pStyle w:val="TableParagraph"/>
              <w:spacing w:before="155"/>
              <w:ind w:left="198" w:right="150"/>
              <w:jc w:val="center"/>
              <w:rPr>
                <w:sz w:val="20"/>
              </w:rPr>
            </w:pPr>
            <w:r>
              <w:rPr>
                <w:spacing w:val="-2"/>
                <w:sz w:val="20"/>
              </w:rPr>
              <w:t>On-the-books</w:t>
            </w:r>
          </w:p>
        </w:tc>
      </w:tr>
      <w:tr w:rsidR="00C31389" w14:paraId="321B181A" w14:textId="77777777">
        <w:trPr>
          <w:trHeight w:val="539"/>
        </w:trPr>
        <w:tc>
          <w:tcPr>
            <w:tcW w:w="1367" w:type="dxa"/>
            <w:tcBorders>
              <w:top w:val="single" w:color="D9D9D9" w:sz="2" w:space="0"/>
              <w:bottom w:val="single" w:color="D9D9D9" w:sz="2" w:space="0"/>
            </w:tcBorders>
          </w:tcPr>
          <w:p w:rsidR="00C31389" w:rsidRDefault="00561FBD" w14:paraId="3B708B03"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6791CABA"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NRNC-Lighting-Parking </w:t>
            </w:r>
            <w:r>
              <w:rPr>
                <w:spacing w:val="-2"/>
                <w:sz w:val="20"/>
              </w:rPr>
              <w:t>Garage</w:t>
            </w:r>
          </w:p>
        </w:tc>
        <w:tc>
          <w:tcPr>
            <w:tcW w:w="1200" w:type="dxa"/>
            <w:tcBorders>
              <w:top w:val="single" w:color="D9D9D9" w:sz="2" w:space="0"/>
              <w:bottom w:val="single" w:color="D9D9D9" w:sz="2" w:space="0"/>
            </w:tcBorders>
          </w:tcPr>
          <w:p w:rsidR="00C31389" w:rsidRDefault="00561FBD" w14:paraId="5F1B3D33"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3307C27E"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4BBD2401" w14:textId="77777777">
            <w:pPr>
              <w:pStyle w:val="TableParagraph"/>
              <w:spacing w:before="155"/>
              <w:ind w:left="198" w:right="150"/>
              <w:jc w:val="center"/>
              <w:rPr>
                <w:sz w:val="20"/>
              </w:rPr>
            </w:pPr>
            <w:r>
              <w:rPr>
                <w:spacing w:val="-2"/>
                <w:sz w:val="20"/>
              </w:rPr>
              <w:t>On-the-books</w:t>
            </w:r>
          </w:p>
        </w:tc>
      </w:tr>
      <w:tr w:rsidR="00C31389" w14:paraId="001D495C" w14:textId="77777777">
        <w:trPr>
          <w:trHeight w:val="310"/>
        </w:trPr>
        <w:tc>
          <w:tcPr>
            <w:tcW w:w="1367" w:type="dxa"/>
            <w:tcBorders>
              <w:top w:val="single" w:color="D9D9D9" w:sz="2" w:space="0"/>
              <w:bottom w:val="single" w:color="D9D9D9" w:sz="2" w:space="0"/>
            </w:tcBorders>
          </w:tcPr>
          <w:p w:rsidR="00C31389" w:rsidRDefault="00561FBD" w14:paraId="547859D6" w14:textId="77777777">
            <w:pPr>
              <w:pStyle w:val="TableParagraph"/>
              <w:spacing w:before="41"/>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281B5005" w14:textId="77777777">
            <w:pPr>
              <w:pStyle w:val="TableParagraph"/>
              <w:spacing w:before="41"/>
              <w:ind w:left="202"/>
              <w:rPr>
                <w:sz w:val="20"/>
              </w:rPr>
            </w:pPr>
            <w:r>
              <w:rPr>
                <w:sz w:val="20"/>
              </w:rPr>
              <w:t>2013</w:t>
            </w:r>
            <w:r>
              <w:rPr>
                <w:spacing w:val="-7"/>
                <w:sz w:val="20"/>
              </w:rPr>
              <w:t xml:space="preserve"> </w:t>
            </w:r>
            <w:r>
              <w:rPr>
                <w:sz w:val="20"/>
              </w:rPr>
              <w:t>T-24:</w:t>
            </w:r>
            <w:r>
              <w:rPr>
                <w:spacing w:val="-7"/>
                <w:sz w:val="20"/>
              </w:rPr>
              <w:t xml:space="preserve"> </w:t>
            </w:r>
            <w:r>
              <w:rPr>
                <w:sz w:val="20"/>
              </w:rPr>
              <w:t>NRNC-Lighting-</w:t>
            </w:r>
            <w:r>
              <w:rPr>
                <w:spacing w:val="-2"/>
                <w:sz w:val="20"/>
              </w:rPr>
              <w:t>Retail</w:t>
            </w:r>
          </w:p>
        </w:tc>
        <w:tc>
          <w:tcPr>
            <w:tcW w:w="1200" w:type="dxa"/>
            <w:tcBorders>
              <w:top w:val="single" w:color="D9D9D9" w:sz="2" w:space="0"/>
              <w:bottom w:val="single" w:color="D9D9D9" w:sz="2" w:space="0"/>
            </w:tcBorders>
          </w:tcPr>
          <w:p w:rsidR="00C31389" w:rsidRDefault="00561FBD" w14:paraId="3AD98B29" w14:textId="77777777">
            <w:pPr>
              <w:pStyle w:val="TableParagraph"/>
              <w:spacing w:before="41"/>
              <w:ind w:left="345"/>
              <w:rPr>
                <w:sz w:val="20"/>
              </w:rPr>
            </w:pPr>
            <w:r>
              <w:rPr>
                <w:spacing w:val="-5"/>
                <w:sz w:val="20"/>
              </w:rPr>
              <w:t>93%</w:t>
            </w:r>
          </w:p>
        </w:tc>
        <w:tc>
          <w:tcPr>
            <w:tcW w:w="1367" w:type="dxa"/>
            <w:tcBorders>
              <w:top w:val="single" w:color="D9D9D9" w:sz="2" w:space="0"/>
              <w:bottom w:val="single" w:color="D9D9D9" w:sz="2" w:space="0"/>
            </w:tcBorders>
          </w:tcPr>
          <w:p w:rsidR="00C31389" w:rsidRDefault="00561FBD" w14:paraId="46BC7857" w14:textId="77777777">
            <w:pPr>
              <w:pStyle w:val="TableParagraph"/>
              <w:spacing w:before="41"/>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47617048" w14:textId="77777777">
            <w:pPr>
              <w:pStyle w:val="TableParagraph"/>
              <w:spacing w:before="41"/>
              <w:ind w:left="198" w:right="150"/>
              <w:jc w:val="center"/>
              <w:rPr>
                <w:sz w:val="20"/>
              </w:rPr>
            </w:pPr>
            <w:r>
              <w:rPr>
                <w:spacing w:val="-2"/>
                <w:sz w:val="20"/>
              </w:rPr>
              <w:t>On-the-books</w:t>
            </w:r>
          </w:p>
        </w:tc>
      </w:tr>
      <w:tr w:rsidR="00C31389" w14:paraId="11704D5A" w14:textId="77777777">
        <w:trPr>
          <w:trHeight w:val="539"/>
        </w:trPr>
        <w:tc>
          <w:tcPr>
            <w:tcW w:w="1367" w:type="dxa"/>
            <w:tcBorders>
              <w:top w:val="single" w:color="D9D9D9" w:sz="2" w:space="0"/>
              <w:bottom w:val="single" w:color="D9D9D9" w:sz="2" w:space="0"/>
            </w:tcBorders>
          </w:tcPr>
          <w:p w:rsidR="00C31389" w:rsidRDefault="00561FBD" w14:paraId="7E9401AB"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0F11069F" w14:textId="77777777">
            <w:pPr>
              <w:pStyle w:val="TableParagraph"/>
              <w:ind w:left="202" w:right="349"/>
              <w:rPr>
                <w:sz w:val="20"/>
              </w:rPr>
            </w:pPr>
            <w:r>
              <w:rPr>
                <w:sz w:val="20"/>
              </w:rPr>
              <w:t>2013</w:t>
            </w:r>
            <w:r>
              <w:rPr>
                <w:spacing w:val="-14"/>
                <w:sz w:val="20"/>
              </w:rPr>
              <w:t xml:space="preserve"> </w:t>
            </w:r>
            <w:r>
              <w:rPr>
                <w:sz w:val="20"/>
              </w:rPr>
              <w:t>T-24:</w:t>
            </w:r>
            <w:r>
              <w:rPr>
                <w:spacing w:val="-14"/>
                <w:sz w:val="20"/>
              </w:rPr>
              <w:t xml:space="preserve"> </w:t>
            </w:r>
            <w:r>
              <w:rPr>
                <w:sz w:val="20"/>
              </w:rPr>
              <w:t>NRNC-Lighting- Warehouses and Libraries</w:t>
            </w:r>
          </w:p>
        </w:tc>
        <w:tc>
          <w:tcPr>
            <w:tcW w:w="1200" w:type="dxa"/>
            <w:tcBorders>
              <w:top w:val="single" w:color="D9D9D9" w:sz="2" w:space="0"/>
              <w:bottom w:val="single" w:color="D9D9D9" w:sz="2" w:space="0"/>
            </w:tcBorders>
          </w:tcPr>
          <w:p w:rsidR="00C31389" w:rsidRDefault="00561FBD" w14:paraId="1B37A940"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4164CB86"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52E0B443" w14:textId="77777777">
            <w:pPr>
              <w:pStyle w:val="TableParagraph"/>
              <w:spacing w:before="155"/>
              <w:ind w:left="198" w:right="150"/>
              <w:jc w:val="center"/>
              <w:rPr>
                <w:sz w:val="20"/>
              </w:rPr>
            </w:pPr>
            <w:r>
              <w:rPr>
                <w:spacing w:val="-2"/>
                <w:sz w:val="20"/>
              </w:rPr>
              <w:t>On-the-books</w:t>
            </w:r>
          </w:p>
        </w:tc>
      </w:tr>
      <w:tr w:rsidR="00C31389" w14:paraId="6EED3F65" w14:textId="77777777">
        <w:trPr>
          <w:trHeight w:val="539"/>
        </w:trPr>
        <w:tc>
          <w:tcPr>
            <w:tcW w:w="1367" w:type="dxa"/>
            <w:tcBorders>
              <w:top w:val="single" w:color="D9D9D9" w:sz="2" w:space="0"/>
              <w:bottom w:val="single" w:color="D9D9D9" w:sz="2" w:space="0"/>
            </w:tcBorders>
          </w:tcPr>
          <w:p w:rsidR="00C31389" w:rsidRDefault="00561FBD" w14:paraId="1C543576"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6593B972"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NRNC-Process-Air </w:t>
            </w:r>
            <w:r>
              <w:rPr>
                <w:spacing w:val="-2"/>
                <w:sz w:val="20"/>
              </w:rPr>
              <w:t>Compressors</w:t>
            </w:r>
          </w:p>
        </w:tc>
        <w:tc>
          <w:tcPr>
            <w:tcW w:w="1200" w:type="dxa"/>
            <w:tcBorders>
              <w:top w:val="single" w:color="D9D9D9" w:sz="2" w:space="0"/>
              <w:bottom w:val="single" w:color="D9D9D9" w:sz="2" w:space="0"/>
            </w:tcBorders>
          </w:tcPr>
          <w:p w:rsidR="00C31389" w:rsidRDefault="00561FBD" w14:paraId="6F3E327D" w14:textId="77777777">
            <w:pPr>
              <w:pStyle w:val="TableParagraph"/>
              <w:spacing w:before="155"/>
              <w:ind w:left="346"/>
              <w:rPr>
                <w:sz w:val="20"/>
              </w:rPr>
            </w:pPr>
            <w:r>
              <w:rPr>
                <w:spacing w:val="-5"/>
                <w:sz w:val="20"/>
              </w:rPr>
              <w:t>83%</w:t>
            </w:r>
          </w:p>
        </w:tc>
        <w:tc>
          <w:tcPr>
            <w:tcW w:w="1367" w:type="dxa"/>
            <w:tcBorders>
              <w:top w:val="single" w:color="D9D9D9" w:sz="2" w:space="0"/>
              <w:bottom w:val="single" w:color="D9D9D9" w:sz="2" w:space="0"/>
            </w:tcBorders>
          </w:tcPr>
          <w:p w:rsidR="00C31389" w:rsidRDefault="00561FBD" w14:paraId="4023CAB7"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38249823" w14:textId="77777777">
            <w:pPr>
              <w:pStyle w:val="TableParagraph"/>
              <w:spacing w:before="155"/>
              <w:ind w:left="198" w:right="150"/>
              <w:jc w:val="center"/>
              <w:rPr>
                <w:sz w:val="20"/>
              </w:rPr>
            </w:pPr>
            <w:r>
              <w:rPr>
                <w:spacing w:val="-2"/>
                <w:sz w:val="20"/>
              </w:rPr>
              <w:t>On-the-books</w:t>
            </w:r>
          </w:p>
        </w:tc>
      </w:tr>
      <w:tr w:rsidR="00C31389" w14:paraId="414A4593" w14:textId="77777777">
        <w:trPr>
          <w:trHeight w:val="539"/>
        </w:trPr>
        <w:tc>
          <w:tcPr>
            <w:tcW w:w="1367" w:type="dxa"/>
            <w:tcBorders>
              <w:top w:val="single" w:color="D9D9D9" w:sz="2" w:space="0"/>
              <w:bottom w:val="single" w:color="D9D9D9" w:sz="2" w:space="0"/>
            </w:tcBorders>
          </w:tcPr>
          <w:p w:rsidR="00C31389" w:rsidRDefault="00561FBD" w14:paraId="1EA5E6E0"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5D96E97A" w14:textId="77777777">
            <w:pPr>
              <w:pStyle w:val="TableParagraph"/>
              <w:ind w:left="202" w:right="349"/>
              <w:rPr>
                <w:sz w:val="20"/>
              </w:rPr>
            </w:pPr>
            <w:r>
              <w:rPr>
                <w:sz w:val="20"/>
              </w:rPr>
              <w:t>2013</w:t>
            </w:r>
            <w:r>
              <w:rPr>
                <w:spacing w:val="-14"/>
                <w:sz w:val="20"/>
              </w:rPr>
              <w:t xml:space="preserve"> </w:t>
            </w:r>
            <w:r>
              <w:rPr>
                <w:sz w:val="20"/>
              </w:rPr>
              <w:t>T-24:</w:t>
            </w:r>
            <w:r>
              <w:rPr>
                <w:spacing w:val="-14"/>
                <w:sz w:val="20"/>
              </w:rPr>
              <w:t xml:space="preserve"> </w:t>
            </w:r>
            <w:r>
              <w:rPr>
                <w:sz w:val="20"/>
              </w:rPr>
              <w:t xml:space="preserve">NRNC-Process-Data </w:t>
            </w:r>
            <w:r>
              <w:rPr>
                <w:spacing w:val="-2"/>
                <w:sz w:val="20"/>
              </w:rPr>
              <w:t>Centers</w:t>
            </w:r>
          </w:p>
        </w:tc>
        <w:tc>
          <w:tcPr>
            <w:tcW w:w="1200" w:type="dxa"/>
            <w:tcBorders>
              <w:top w:val="single" w:color="D9D9D9" w:sz="2" w:space="0"/>
              <w:bottom w:val="single" w:color="D9D9D9" w:sz="2" w:space="0"/>
            </w:tcBorders>
          </w:tcPr>
          <w:p w:rsidR="00C31389" w:rsidRDefault="00561FBD" w14:paraId="0187DFD1"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54A1F704"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648E4718" w14:textId="77777777">
            <w:pPr>
              <w:pStyle w:val="TableParagraph"/>
              <w:spacing w:before="155"/>
              <w:ind w:left="198" w:right="150"/>
              <w:jc w:val="center"/>
              <w:rPr>
                <w:sz w:val="20"/>
              </w:rPr>
            </w:pPr>
            <w:r>
              <w:rPr>
                <w:spacing w:val="-2"/>
                <w:sz w:val="20"/>
              </w:rPr>
              <w:t>On-the-books</w:t>
            </w:r>
          </w:p>
        </w:tc>
      </w:tr>
      <w:tr w:rsidR="00C31389" w14:paraId="3F144B8E" w14:textId="77777777">
        <w:trPr>
          <w:trHeight w:val="539"/>
        </w:trPr>
        <w:tc>
          <w:tcPr>
            <w:tcW w:w="1367" w:type="dxa"/>
            <w:tcBorders>
              <w:top w:val="single" w:color="D9D9D9" w:sz="2" w:space="0"/>
              <w:bottom w:val="single" w:color="D9D9D9" w:sz="2" w:space="0"/>
            </w:tcBorders>
          </w:tcPr>
          <w:p w:rsidR="00C31389" w:rsidRDefault="00561FBD" w14:paraId="595BFAC8"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38B0B774"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NRNC-Process-Process </w:t>
            </w:r>
            <w:r>
              <w:rPr>
                <w:spacing w:val="-2"/>
                <w:sz w:val="20"/>
              </w:rPr>
              <w:t>Boilers</w:t>
            </w:r>
          </w:p>
        </w:tc>
        <w:tc>
          <w:tcPr>
            <w:tcW w:w="1200" w:type="dxa"/>
            <w:tcBorders>
              <w:top w:val="single" w:color="D9D9D9" w:sz="2" w:space="0"/>
              <w:bottom w:val="single" w:color="D9D9D9" w:sz="2" w:space="0"/>
            </w:tcBorders>
          </w:tcPr>
          <w:p w:rsidR="00C31389" w:rsidRDefault="00561FBD" w14:paraId="6E7AAD16" w14:textId="77777777">
            <w:pPr>
              <w:pStyle w:val="TableParagraph"/>
              <w:spacing w:before="155"/>
              <w:ind w:left="346"/>
              <w:rPr>
                <w:sz w:val="20"/>
              </w:rPr>
            </w:pPr>
            <w:r>
              <w:rPr>
                <w:spacing w:val="-5"/>
                <w:sz w:val="20"/>
              </w:rPr>
              <w:t>83%</w:t>
            </w:r>
          </w:p>
        </w:tc>
        <w:tc>
          <w:tcPr>
            <w:tcW w:w="1367" w:type="dxa"/>
            <w:tcBorders>
              <w:top w:val="single" w:color="D9D9D9" w:sz="2" w:space="0"/>
              <w:bottom w:val="single" w:color="D9D9D9" w:sz="2" w:space="0"/>
            </w:tcBorders>
          </w:tcPr>
          <w:p w:rsidR="00C31389" w:rsidRDefault="00561FBD" w14:paraId="734F1DEC"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3D3BED88" w14:textId="77777777">
            <w:pPr>
              <w:pStyle w:val="TableParagraph"/>
              <w:spacing w:before="155"/>
              <w:ind w:left="198" w:right="150"/>
              <w:jc w:val="center"/>
              <w:rPr>
                <w:sz w:val="20"/>
              </w:rPr>
            </w:pPr>
            <w:r>
              <w:rPr>
                <w:spacing w:val="-2"/>
                <w:sz w:val="20"/>
              </w:rPr>
              <w:t>On-the-books</w:t>
            </w:r>
          </w:p>
        </w:tc>
      </w:tr>
      <w:tr w:rsidR="00C31389" w14:paraId="0C96607C" w14:textId="77777777">
        <w:trPr>
          <w:trHeight w:val="540"/>
        </w:trPr>
        <w:tc>
          <w:tcPr>
            <w:tcW w:w="1367" w:type="dxa"/>
            <w:tcBorders>
              <w:top w:val="single" w:color="D9D9D9" w:sz="2" w:space="0"/>
              <w:bottom w:val="single" w:color="D9D9D9" w:sz="2" w:space="0"/>
            </w:tcBorders>
          </w:tcPr>
          <w:p w:rsidR="00C31389" w:rsidRDefault="00561FBD" w14:paraId="08A35590"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7D163A05" w14:textId="77777777">
            <w:pPr>
              <w:pStyle w:val="TableParagraph"/>
              <w:spacing w:before="41"/>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NRNC-Refrigeration- </w:t>
            </w:r>
            <w:r>
              <w:rPr>
                <w:spacing w:val="-2"/>
                <w:sz w:val="20"/>
              </w:rPr>
              <w:t>Supermarket</w:t>
            </w:r>
          </w:p>
        </w:tc>
        <w:tc>
          <w:tcPr>
            <w:tcW w:w="1200" w:type="dxa"/>
            <w:tcBorders>
              <w:top w:val="single" w:color="D9D9D9" w:sz="2" w:space="0"/>
              <w:bottom w:val="single" w:color="D9D9D9" w:sz="2" w:space="0"/>
            </w:tcBorders>
          </w:tcPr>
          <w:p w:rsidR="00C31389" w:rsidRDefault="00561FBD" w14:paraId="58BCC14F"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5C50D854" w14:textId="77777777">
            <w:pPr>
              <w:pStyle w:val="TableParagraph"/>
              <w:spacing w:before="155"/>
              <w:ind w:right="232"/>
              <w:jc w:val="right"/>
              <w:rPr>
                <w:sz w:val="20"/>
              </w:rPr>
            </w:pPr>
            <w:r>
              <w:rPr>
                <w:spacing w:val="-2"/>
                <w:sz w:val="20"/>
              </w:rPr>
              <w:t>1/1/2017</w:t>
            </w:r>
          </w:p>
        </w:tc>
        <w:tc>
          <w:tcPr>
            <w:tcW w:w="1580" w:type="dxa"/>
            <w:tcBorders>
              <w:top w:val="single" w:color="D9D9D9" w:sz="2" w:space="0"/>
              <w:bottom w:val="single" w:color="D9D9D9" w:sz="2" w:space="0"/>
            </w:tcBorders>
          </w:tcPr>
          <w:p w:rsidR="00C31389" w:rsidRDefault="00561FBD" w14:paraId="2487E62F" w14:textId="77777777">
            <w:pPr>
              <w:pStyle w:val="TableParagraph"/>
              <w:spacing w:before="155"/>
              <w:ind w:left="198" w:right="150"/>
              <w:jc w:val="center"/>
              <w:rPr>
                <w:sz w:val="20"/>
              </w:rPr>
            </w:pPr>
            <w:r>
              <w:rPr>
                <w:spacing w:val="-2"/>
                <w:sz w:val="20"/>
              </w:rPr>
              <w:t>On-the-books</w:t>
            </w:r>
          </w:p>
        </w:tc>
      </w:tr>
      <w:tr w:rsidR="00C31389" w14:paraId="4C1FD6FB" w14:textId="77777777">
        <w:trPr>
          <w:trHeight w:val="539"/>
        </w:trPr>
        <w:tc>
          <w:tcPr>
            <w:tcW w:w="1367" w:type="dxa"/>
            <w:tcBorders>
              <w:top w:val="single" w:color="D9D9D9" w:sz="2" w:space="0"/>
              <w:bottom w:val="single" w:color="D9D9D9" w:sz="2" w:space="0"/>
            </w:tcBorders>
          </w:tcPr>
          <w:p w:rsidR="00C31389" w:rsidRDefault="00561FBD" w14:paraId="00002C7F"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21B7C780" w14:textId="77777777">
            <w:pPr>
              <w:pStyle w:val="TableParagraph"/>
              <w:ind w:left="202"/>
              <w:rPr>
                <w:sz w:val="20"/>
              </w:rPr>
            </w:pPr>
            <w:r>
              <w:rPr>
                <w:sz w:val="20"/>
              </w:rPr>
              <w:t>2013</w:t>
            </w:r>
            <w:r>
              <w:rPr>
                <w:spacing w:val="-14"/>
                <w:sz w:val="20"/>
              </w:rPr>
              <w:t xml:space="preserve"> </w:t>
            </w:r>
            <w:r>
              <w:rPr>
                <w:sz w:val="20"/>
              </w:rPr>
              <w:t>T-24:</w:t>
            </w:r>
            <w:r>
              <w:rPr>
                <w:spacing w:val="-14"/>
                <w:sz w:val="20"/>
              </w:rPr>
              <w:t xml:space="preserve"> </w:t>
            </w:r>
            <w:r>
              <w:rPr>
                <w:sz w:val="20"/>
              </w:rPr>
              <w:t xml:space="preserve">NRNC-Refrigeration- </w:t>
            </w:r>
            <w:r>
              <w:rPr>
                <w:spacing w:val="-2"/>
                <w:sz w:val="20"/>
              </w:rPr>
              <w:t>Warehouse</w:t>
            </w:r>
          </w:p>
        </w:tc>
        <w:tc>
          <w:tcPr>
            <w:tcW w:w="1200" w:type="dxa"/>
            <w:tcBorders>
              <w:top w:val="single" w:color="D9D9D9" w:sz="2" w:space="0"/>
              <w:bottom w:val="single" w:color="D9D9D9" w:sz="2" w:space="0"/>
            </w:tcBorders>
          </w:tcPr>
          <w:p w:rsidR="00C31389" w:rsidRDefault="00561FBD" w14:paraId="226D384B" w14:textId="77777777">
            <w:pPr>
              <w:pStyle w:val="TableParagraph"/>
              <w:spacing w:before="155"/>
              <w:ind w:left="346"/>
              <w:rPr>
                <w:sz w:val="20"/>
              </w:rPr>
            </w:pPr>
            <w:r>
              <w:rPr>
                <w:spacing w:val="-5"/>
                <w:sz w:val="20"/>
              </w:rPr>
              <w:t>83%</w:t>
            </w:r>
          </w:p>
        </w:tc>
        <w:tc>
          <w:tcPr>
            <w:tcW w:w="1367" w:type="dxa"/>
            <w:tcBorders>
              <w:top w:val="single" w:color="D9D9D9" w:sz="2" w:space="0"/>
              <w:bottom w:val="single" w:color="D9D9D9" w:sz="2" w:space="0"/>
            </w:tcBorders>
          </w:tcPr>
          <w:p w:rsidR="00C31389" w:rsidRDefault="00561FBD" w14:paraId="53155EC0" w14:textId="77777777">
            <w:pPr>
              <w:pStyle w:val="TableParagraph"/>
              <w:spacing w:before="155"/>
              <w:ind w:right="232"/>
              <w:jc w:val="right"/>
              <w:rPr>
                <w:sz w:val="20"/>
              </w:rPr>
            </w:pPr>
            <w:r>
              <w:rPr>
                <w:spacing w:val="-2"/>
                <w:sz w:val="20"/>
              </w:rPr>
              <w:t>01/01/23</w:t>
            </w:r>
          </w:p>
        </w:tc>
        <w:tc>
          <w:tcPr>
            <w:tcW w:w="1580" w:type="dxa"/>
            <w:tcBorders>
              <w:top w:val="single" w:color="D9D9D9" w:sz="2" w:space="0"/>
              <w:bottom w:val="single" w:color="D9D9D9" w:sz="2" w:space="0"/>
            </w:tcBorders>
          </w:tcPr>
          <w:p w:rsidR="00C31389" w:rsidRDefault="00561FBD" w14:paraId="75E0CCDB" w14:textId="77777777">
            <w:pPr>
              <w:pStyle w:val="TableParagraph"/>
              <w:spacing w:before="155"/>
              <w:ind w:left="198" w:right="150"/>
              <w:jc w:val="center"/>
              <w:rPr>
                <w:sz w:val="20"/>
              </w:rPr>
            </w:pPr>
            <w:r>
              <w:rPr>
                <w:spacing w:val="-2"/>
                <w:sz w:val="20"/>
              </w:rPr>
              <w:t>On-the-books</w:t>
            </w:r>
          </w:p>
        </w:tc>
      </w:tr>
      <w:tr w:rsidR="00C31389" w14:paraId="0B0FCE8A" w14:textId="77777777">
        <w:trPr>
          <w:trHeight w:val="309"/>
        </w:trPr>
        <w:tc>
          <w:tcPr>
            <w:tcW w:w="1367" w:type="dxa"/>
            <w:tcBorders>
              <w:top w:val="single" w:color="D9D9D9" w:sz="2" w:space="0"/>
              <w:bottom w:val="single" w:color="D9D9D9" w:sz="2" w:space="0"/>
            </w:tcBorders>
          </w:tcPr>
          <w:p w:rsidR="00C31389" w:rsidRDefault="00561FBD" w14:paraId="7C874AE6"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6D515316" w14:textId="77777777">
            <w:pPr>
              <w:pStyle w:val="TableParagraph"/>
              <w:ind w:left="202"/>
              <w:rPr>
                <w:sz w:val="20"/>
              </w:rPr>
            </w:pPr>
            <w:r>
              <w:rPr>
                <w:sz w:val="20"/>
              </w:rPr>
              <w:t>2013</w:t>
            </w:r>
            <w:r>
              <w:rPr>
                <w:spacing w:val="-5"/>
                <w:sz w:val="20"/>
              </w:rPr>
              <w:t xml:space="preserve"> </w:t>
            </w:r>
            <w:r>
              <w:rPr>
                <w:sz w:val="20"/>
              </w:rPr>
              <w:t>T-24:</w:t>
            </w:r>
            <w:r>
              <w:rPr>
                <w:spacing w:val="-5"/>
                <w:sz w:val="20"/>
              </w:rPr>
              <w:t xml:space="preserve"> </w:t>
            </w:r>
            <w:r>
              <w:rPr>
                <w:sz w:val="20"/>
              </w:rPr>
              <w:t>NRNC-Solar-Solar</w:t>
            </w:r>
            <w:r>
              <w:rPr>
                <w:spacing w:val="-3"/>
                <w:sz w:val="20"/>
              </w:rPr>
              <w:t xml:space="preserve"> </w:t>
            </w:r>
            <w:r>
              <w:rPr>
                <w:spacing w:val="-4"/>
                <w:sz w:val="20"/>
              </w:rPr>
              <w:t>Ready</w:t>
            </w:r>
          </w:p>
        </w:tc>
        <w:tc>
          <w:tcPr>
            <w:tcW w:w="1200" w:type="dxa"/>
            <w:tcBorders>
              <w:top w:val="single" w:color="D9D9D9" w:sz="2" w:space="0"/>
              <w:bottom w:val="single" w:color="D9D9D9" w:sz="2" w:space="0"/>
            </w:tcBorders>
          </w:tcPr>
          <w:p w:rsidR="00C31389" w:rsidRDefault="00561FBD" w14:paraId="63ED64CE" w14:textId="77777777">
            <w:pPr>
              <w:pStyle w:val="TableParagraph"/>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25412FBE" w14:textId="77777777">
            <w:pPr>
              <w:pStyle w:val="TableParagraph"/>
              <w:ind w:right="232"/>
              <w:jc w:val="right"/>
              <w:rPr>
                <w:sz w:val="20"/>
              </w:rPr>
            </w:pPr>
            <w:r>
              <w:rPr>
                <w:spacing w:val="-2"/>
                <w:sz w:val="20"/>
              </w:rPr>
              <w:t>02/01/20</w:t>
            </w:r>
          </w:p>
        </w:tc>
        <w:tc>
          <w:tcPr>
            <w:tcW w:w="1580" w:type="dxa"/>
            <w:tcBorders>
              <w:top w:val="single" w:color="D9D9D9" w:sz="2" w:space="0"/>
              <w:bottom w:val="single" w:color="D9D9D9" w:sz="2" w:space="0"/>
            </w:tcBorders>
          </w:tcPr>
          <w:p w:rsidR="00C31389" w:rsidRDefault="00561FBD" w14:paraId="50D15DFF" w14:textId="77777777">
            <w:pPr>
              <w:pStyle w:val="TableParagraph"/>
              <w:ind w:left="198" w:right="150"/>
              <w:jc w:val="center"/>
              <w:rPr>
                <w:sz w:val="20"/>
              </w:rPr>
            </w:pPr>
            <w:r>
              <w:rPr>
                <w:spacing w:val="-2"/>
                <w:sz w:val="20"/>
              </w:rPr>
              <w:t>On-the-books</w:t>
            </w:r>
          </w:p>
        </w:tc>
      </w:tr>
      <w:tr w:rsidR="00C31389" w14:paraId="153188B5" w14:textId="77777777">
        <w:trPr>
          <w:trHeight w:val="310"/>
        </w:trPr>
        <w:tc>
          <w:tcPr>
            <w:tcW w:w="1367" w:type="dxa"/>
            <w:tcBorders>
              <w:top w:val="single" w:color="D9D9D9" w:sz="2" w:space="0"/>
              <w:bottom w:val="single" w:color="D9D9D9" w:sz="2" w:space="0"/>
            </w:tcBorders>
          </w:tcPr>
          <w:p w:rsidR="00C31389" w:rsidRDefault="00561FBD" w14:paraId="787341DF"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78B2FB9F" w14:textId="77777777">
            <w:pPr>
              <w:pStyle w:val="TableParagraph"/>
              <w:ind w:left="202"/>
              <w:rPr>
                <w:sz w:val="20"/>
              </w:rPr>
            </w:pPr>
            <w:r>
              <w:rPr>
                <w:sz w:val="20"/>
              </w:rPr>
              <w:t>2013</w:t>
            </w:r>
            <w:r>
              <w:rPr>
                <w:spacing w:val="-4"/>
                <w:sz w:val="20"/>
              </w:rPr>
              <w:t xml:space="preserve"> </w:t>
            </w:r>
            <w:r>
              <w:rPr>
                <w:sz w:val="20"/>
              </w:rPr>
              <w:t>T-24:</w:t>
            </w:r>
            <w:r>
              <w:rPr>
                <w:spacing w:val="-4"/>
                <w:sz w:val="20"/>
              </w:rPr>
              <w:t xml:space="preserve"> </w:t>
            </w:r>
            <w:r>
              <w:rPr>
                <w:sz w:val="20"/>
              </w:rPr>
              <w:t>NRNC-Whole</w:t>
            </w:r>
            <w:r>
              <w:rPr>
                <w:spacing w:val="-4"/>
                <w:sz w:val="20"/>
              </w:rPr>
              <w:t xml:space="preserve"> </w:t>
            </w:r>
            <w:r>
              <w:rPr>
                <w:spacing w:val="-2"/>
                <w:sz w:val="20"/>
              </w:rPr>
              <w:t>Building</w:t>
            </w:r>
          </w:p>
        </w:tc>
        <w:tc>
          <w:tcPr>
            <w:tcW w:w="1200" w:type="dxa"/>
            <w:tcBorders>
              <w:top w:val="single" w:color="D9D9D9" w:sz="2" w:space="0"/>
              <w:bottom w:val="single" w:color="D9D9D9" w:sz="2" w:space="0"/>
            </w:tcBorders>
          </w:tcPr>
          <w:p w:rsidR="00C31389" w:rsidRDefault="00561FBD" w14:paraId="056C0D75" w14:textId="77777777">
            <w:pPr>
              <w:pStyle w:val="TableParagraph"/>
              <w:ind w:left="346"/>
              <w:rPr>
                <w:sz w:val="20"/>
              </w:rPr>
            </w:pPr>
            <w:r>
              <w:rPr>
                <w:spacing w:val="-5"/>
                <w:sz w:val="20"/>
              </w:rPr>
              <w:t>93%</w:t>
            </w:r>
          </w:p>
        </w:tc>
        <w:tc>
          <w:tcPr>
            <w:tcW w:w="1367" w:type="dxa"/>
            <w:tcBorders>
              <w:top w:val="single" w:color="D9D9D9" w:sz="2" w:space="0"/>
              <w:bottom w:val="single" w:color="D9D9D9" w:sz="2" w:space="0"/>
            </w:tcBorders>
          </w:tcPr>
          <w:p w:rsidR="00C31389" w:rsidRDefault="00561FBD" w14:paraId="1D4CFD60" w14:textId="77777777">
            <w:pPr>
              <w:pStyle w:val="TableParagraph"/>
              <w:ind w:right="232"/>
              <w:jc w:val="right"/>
              <w:rPr>
                <w:sz w:val="20"/>
              </w:rPr>
            </w:pPr>
            <w:r>
              <w:rPr>
                <w:spacing w:val="-2"/>
                <w:sz w:val="20"/>
              </w:rPr>
              <w:t>06/01/19</w:t>
            </w:r>
          </w:p>
        </w:tc>
        <w:tc>
          <w:tcPr>
            <w:tcW w:w="1580" w:type="dxa"/>
            <w:tcBorders>
              <w:top w:val="single" w:color="D9D9D9" w:sz="2" w:space="0"/>
              <w:bottom w:val="single" w:color="D9D9D9" w:sz="2" w:space="0"/>
            </w:tcBorders>
          </w:tcPr>
          <w:p w:rsidR="00C31389" w:rsidRDefault="00561FBD" w14:paraId="2DA1045F" w14:textId="77777777">
            <w:pPr>
              <w:pStyle w:val="TableParagraph"/>
              <w:ind w:left="198" w:right="150"/>
              <w:jc w:val="center"/>
              <w:rPr>
                <w:sz w:val="20"/>
              </w:rPr>
            </w:pPr>
            <w:r>
              <w:rPr>
                <w:spacing w:val="-2"/>
                <w:sz w:val="20"/>
              </w:rPr>
              <w:t>On-the-books</w:t>
            </w:r>
          </w:p>
        </w:tc>
      </w:tr>
      <w:tr w:rsidR="00C31389" w14:paraId="729FDA5E" w14:textId="77777777">
        <w:trPr>
          <w:trHeight w:val="539"/>
        </w:trPr>
        <w:tc>
          <w:tcPr>
            <w:tcW w:w="1367" w:type="dxa"/>
            <w:tcBorders>
              <w:top w:val="single" w:color="D9D9D9" w:sz="2" w:space="0"/>
              <w:bottom w:val="single" w:color="D9D9D9" w:sz="2" w:space="0"/>
            </w:tcBorders>
          </w:tcPr>
          <w:p w:rsidR="00C31389" w:rsidRDefault="00561FBD" w14:paraId="28563337" w14:textId="77777777">
            <w:pPr>
              <w:pStyle w:val="TableParagraph"/>
              <w:spacing w:before="155"/>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0DF785F2" w14:textId="77777777">
            <w:pPr>
              <w:pStyle w:val="TableParagraph"/>
              <w:ind w:left="202"/>
              <w:rPr>
                <w:sz w:val="20"/>
              </w:rPr>
            </w:pPr>
            <w:r>
              <w:rPr>
                <w:sz w:val="20"/>
              </w:rPr>
              <w:t>2013</w:t>
            </w:r>
            <w:r>
              <w:rPr>
                <w:spacing w:val="-3"/>
                <w:sz w:val="20"/>
              </w:rPr>
              <w:t xml:space="preserve"> </w:t>
            </w:r>
            <w:r>
              <w:rPr>
                <w:sz w:val="20"/>
              </w:rPr>
              <w:t>T-24:</w:t>
            </w:r>
            <w:r>
              <w:rPr>
                <w:spacing w:val="-3"/>
                <w:sz w:val="20"/>
              </w:rPr>
              <w:t xml:space="preserve"> </w:t>
            </w:r>
            <w:r>
              <w:rPr>
                <w:sz w:val="20"/>
              </w:rPr>
              <w:t>RNC-DHW</w:t>
            </w:r>
            <w:r>
              <w:rPr>
                <w:spacing w:val="-1"/>
                <w:sz w:val="20"/>
              </w:rPr>
              <w:t xml:space="preserve"> </w:t>
            </w:r>
            <w:r>
              <w:rPr>
                <w:sz w:val="20"/>
              </w:rPr>
              <w:t>-</w:t>
            </w:r>
            <w:r>
              <w:rPr>
                <w:spacing w:val="-3"/>
                <w:sz w:val="20"/>
              </w:rPr>
              <w:t xml:space="preserve"> </w:t>
            </w:r>
            <w:r>
              <w:rPr>
                <w:sz w:val="20"/>
              </w:rPr>
              <w:t>MF</w:t>
            </w:r>
            <w:r>
              <w:rPr>
                <w:spacing w:val="-2"/>
                <w:sz w:val="20"/>
              </w:rPr>
              <w:t xml:space="preserve"> </w:t>
            </w:r>
            <w:r>
              <w:rPr>
                <w:spacing w:val="-5"/>
                <w:sz w:val="20"/>
              </w:rPr>
              <w:t>DHW</w:t>
            </w:r>
          </w:p>
          <w:p w:rsidR="00C31389" w:rsidRDefault="00561FBD" w14:paraId="6BDA5AE5" w14:textId="77777777">
            <w:pPr>
              <w:pStyle w:val="TableParagraph"/>
              <w:spacing w:before="0"/>
              <w:ind w:left="202"/>
              <w:rPr>
                <w:sz w:val="20"/>
              </w:rPr>
            </w:pPr>
            <w:r>
              <w:rPr>
                <w:sz w:val="20"/>
              </w:rPr>
              <w:t>Control</w:t>
            </w:r>
            <w:r>
              <w:rPr>
                <w:spacing w:val="-2"/>
                <w:sz w:val="20"/>
              </w:rPr>
              <w:t xml:space="preserve"> </w:t>
            </w:r>
            <w:r>
              <w:rPr>
                <w:sz w:val="20"/>
              </w:rPr>
              <w:t>and</w:t>
            </w:r>
            <w:r>
              <w:rPr>
                <w:spacing w:val="-2"/>
                <w:sz w:val="20"/>
              </w:rPr>
              <w:t xml:space="preserve"> Solar</w:t>
            </w:r>
          </w:p>
        </w:tc>
        <w:tc>
          <w:tcPr>
            <w:tcW w:w="1200" w:type="dxa"/>
            <w:tcBorders>
              <w:top w:val="single" w:color="D9D9D9" w:sz="2" w:space="0"/>
              <w:bottom w:val="single" w:color="D9D9D9" w:sz="2" w:space="0"/>
            </w:tcBorders>
          </w:tcPr>
          <w:p w:rsidR="00C31389" w:rsidRDefault="00561FBD" w14:paraId="32DDF60F" w14:textId="77777777">
            <w:pPr>
              <w:pStyle w:val="TableParagraph"/>
              <w:spacing w:before="155"/>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08356276" w14:textId="77777777">
            <w:pPr>
              <w:pStyle w:val="TableParagraph"/>
              <w:spacing w:before="155"/>
              <w:ind w:right="232"/>
              <w:jc w:val="right"/>
              <w:rPr>
                <w:sz w:val="20"/>
              </w:rPr>
            </w:pPr>
            <w:r>
              <w:rPr>
                <w:spacing w:val="-2"/>
                <w:sz w:val="20"/>
              </w:rPr>
              <w:t>06/01/19</w:t>
            </w:r>
          </w:p>
        </w:tc>
        <w:tc>
          <w:tcPr>
            <w:tcW w:w="1580" w:type="dxa"/>
            <w:tcBorders>
              <w:top w:val="single" w:color="D9D9D9" w:sz="2" w:space="0"/>
              <w:bottom w:val="single" w:color="D9D9D9" w:sz="2" w:space="0"/>
            </w:tcBorders>
          </w:tcPr>
          <w:p w:rsidR="00C31389" w:rsidRDefault="00561FBD" w14:paraId="030F0783" w14:textId="77777777">
            <w:pPr>
              <w:pStyle w:val="TableParagraph"/>
              <w:spacing w:before="155"/>
              <w:ind w:left="198" w:right="150"/>
              <w:jc w:val="center"/>
              <w:rPr>
                <w:sz w:val="20"/>
              </w:rPr>
            </w:pPr>
            <w:r>
              <w:rPr>
                <w:spacing w:val="-2"/>
                <w:sz w:val="20"/>
              </w:rPr>
              <w:t>On-the-books</w:t>
            </w:r>
          </w:p>
        </w:tc>
      </w:tr>
      <w:tr w:rsidR="00C31389" w14:paraId="2AF91C06" w14:textId="77777777">
        <w:trPr>
          <w:trHeight w:val="309"/>
        </w:trPr>
        <w:tc>
          <w:tcPr>
            <w:tcW w:w="1367" w:type="dxa"/>
            <w:tcBorders>
              <w:top w:val="single" w:color="D9D9D9" w:sz="2" w:space="0"/>
              <w:bottom w:val="single" w:color="D9D9D9" w:sz="2" w:space="0"/>
            </w:tcBorders>
          </w:tcPr>
          <w:p w:rsidR="00C31389" w:rsidRDefault="00561FBD" w14:paraId="798947AD" w14:textId="77777777">
            <w:pPr>
              <w:pStyle w:val="TableParagraph"/>
              <w:ind w:left="129"/>
              <w:rPr>
                <w:sz w:val="20"/>
              </w:rPr>
            </w:pPr>
            <w:r>
              <w:rPr>
                <w:sz w:val="20"/>
              </w:rPr>
              <w:t>2013</w:t>
            </w:r>
            <w:r>
              <w:rPr>
                <w:spacing w:val="-3"/>
                <w:sz w:val="20"/>
              </w:rPr>
              <w:t xml:space="preserve"> </w:t>
            </w:r>
            <w:r>
              <w:rPr>
                <w:sz w:val="20"/>
              </w:rPr>
              <w:t>T-</w:t>
            </w:r>
            <w:r>
              <w:rPr>
                <w:spacing w:val="-5"/>
                <w:sz w:val="20"/>
              </w:rPr>
              <w:t>24</w:t>
            </w:r>
          </w:p>
        </w:tc>
        <w:tc>
          <w:tcPr>
            <w:tcW w:w="3861" w:type="dxa"/>
            <w:tcBorders>
              <w:top w:val="single" w:color="D9D9D9" w:sz="2" w:space="0"/>
              <w:bottom w:val="single" w:color="D9D9D9" w:sz="2" w:space="0"/>
            </w:tcBorders>
          </w:tcPr>
          <w:p w:rsidR="00C31389" w:rsidRDefault="00561FBD" w14:paraId="228FAE9C" w14:textId="77777777">
            <w:pPr>
              <w:pStyle w:val="TableParagraph"/>
              <w:ind w:left="202"/>
              <w:rPr>
                <w:sz w:val="20"/>
              </w:rPr>
            </w:pPr>
            <w:r>
              <w:rPr>
                <w:sz w:val="20"/>
              </w:rPr>
              <w:t>2013</w:t>
            </w:r>
            <w:r>
              <w:rPr>
                <w:spacing w:val="-3"/>
                <w:sz w:val="20"/>
              </w:rPr>
              <w:t xml:space="preserve"> </w:t>
            </w:r>
            <w:r>
              <w:rPr>
                <w:sz w:val="20"/>
              </w:rPr>
              <w:t>T-24:</w:t>
            </w:r>
            <w:r>
              <w:rPr>
                <w:spacing w:val="-3"/>
                <w:sz w:val="20"/>
              </w:rPr>
              <w:t xml:space="preserve"> </w:t>
            </w:r>
            <w:r>
              <w:rPr>
                <w:sz w:val="20"/>
              </w:rPr>
              <w:t>RNC-MF</w:t>
            </w:r>
            <w:r>
              <w:rPr>
                <w:spacing w:val="-4"/>
                <w:sz w:val="20"/>
              </w:rPr>
              <w:t xml:space="preserve"> </w:t>
            </w:r>
            <w:r>
              <w:rPr>
                <w:sz w:val="20"/>
              </w:rPr>
              <w:t>Whole</w:t>
            </w:r>
            <w:r>
              <w:rPr>
                <w:spacing w:val="-2"/>
                <w:sz w:val="20"/>
              </w:rPr>
              <w:t xml:space="preserve"> Building</w:t>
            </w:r>
          </w:p>
        </w:tc>
        <w:tc>
          <w:tcPr>
            <w:tcW w:w="1200" w:type="dxa"/>
            <w:tcBorders>
              <w:top w:val="single" w:color="D9D9D9" w:sz="2" w:space="0"/>
              <w:bottom w:val="single" w:color="D9D9D9" w:sz="2" w:space="0"/>
            </w:tcBorders>
          </w:tcPr>
          <w:p w:rsidR="00C31389" w:rsidRDefault="00561FBD" w14:paraId="7D2A6CC3" w14:textId="77777777">
            <w:pPr>
              <w:pStyle w:val="TableParagraph"/>
              <w:ind w:left="345"/>
              <w:rPr>
                <w:sz w:val="20"/>
              </w:rPr>
            </w:pPr>
            <w:r>
              <w:rPr>
                <w:spacing w:val="-5"/>
                <w:sz w:val="20"/>
              </w:rPr>
              <w:t>83%</w:t>
            </w:r>
          </w:p>
        </w:tc>
        <w:tc>
          <w:tcPr>
            <w:tcW w:w="1367" w:type="dxa"/>
            <w:tcBorders>
              <w:top w:val="single" w:color="D9D9D9" w:sz="2" w:space="0"/>
              <w:bottom w:val="single" w:color="D9D9D9" w:sz="2" w:space="0"/>
            </w:tcBorders>
          </w:tcPr>
          <w:p w:rsidR="00C31389" w:rsidRDefault="00561FBD" w14:paraId="5F9B69BA" w14:textId="77777777">
            <w:pPr>
              <w:pStyle w:val="TableParagraph"/>
              <w:ind w:right="232"/>
              <w:jc w:val="right"/>
              <w:rPr>
                <w:sz w:val="20"/>
              </w:rPr>
            </w:pPr>
            <w:r>
              <w:rPr>
                <w:spacing w:val="-2"/>
                <w:sz w:val="20"/>
              </w:rPr>
              <w:t>01/01/22</w:t>
            </w:r>
          </w:p>
        </w:tc>
        <w:tc>
          <w:tcPr>
            <w:tcW w:w="1580" w:type="dxa"/>
            <w:tcBorders>
              <w:top w:val="single" w:color="D9D9D9" w:sz="2" w:space="0"/>
              <w:bottom w:val="single" w:color="D9D9D9" w:sz="2" w:space="0"/>
            </w:tcBorders>
          </w:tcPr>
          <w:p w:rsidR="00C31389" w:rsidRDefault="00561FBD" w14:paraId="6833EC32" w14:textId="77777777">
            <w:pPr>
              <w:pStyle w:val="TableParagraph"/>
              <w:ind w:left="198" w:right="150"/>
              <w:jc w:val="center"/>
              <w:rPr>
                <w:sz w:val="20"/>
              </w:rPr>
            </w:pPr>
            <w:r>
              <w:rPr>
                <w:spacing w:val="-2"/>
                <w:sz w:val="20"/>
              </w:rPr>
              <w:t>On-the-books</w:t>
            </w:r>
          </w:p>
        </w:tc>
      </w:tr>
      <w:tr w:rsidR="00C31389" w14:paraId="6C2168E1" w14:textId="77777777">
        <w:trPr>
          <w:trHeight w:val="770"/>
        </w:trPr>
        <w:tc>
          <w:tcPr>
            <w:tcW w:w="1367" w:type="dxa"/>
            <w:tcBorders>
              <w:top w:val="single" w:color="D9D9D9" w:sz="2" w:space="0"/>
              <w:bottom w:val="single" w:color="D9D9D9" w:sz="2" w:space="0"/>
            </w:tcBorders>
          </w:tcPr>
          <w:p w:rsidR="00C31389" w:rsidRDefault="00C31389" w14:paraId="31B4CE33" w14:textId="77777777">
            <w:pPr>
              <w:pStyle w:val="TableParagraph"/>
              <w:spacing w:before="6"/>
              <w:rPr>
                <w:sz w:val="23"/>
              </w:rPr>
            </w:pPr>
          </w:p>
          <w:p w:rsidR="00C31389" w:rsidRDefault="00561FBD" w14:paraId="005740F7" w14:textId="77777777">
            <w:pPr>
              <w:pStyle w:val="TableParagraph"/>
              <w:spacing w:before="0"/>
              <w:ind w:left="129"/>
              <w:rPr>
                <w:sz w:val="20"/>
              </w:rPr>
            </w:pPr>
            <w:r>
              <w:rPr>
                <w:sz w:val="20"/>
              </w:rPr>
              <w:t>2015</w:t>
            </w:r>
            <w:r>
              <w:rPr>
                <w:spacing w:val="-3"/>
                <w:sz w:val="20"/>
              </w:rPr>
              <w:t xml:space="preserve"> </w:t>
            </w:r>
            <w:r>
              <w:rPr>
                <w:sz w:val="20"/>
              </w:rPr>
              <w:t>T-</w:t>
            </w:r>
            <w:r>
              <w:rPr>
                <w:spacing w:val="-5"/>
                <w:sz w:val="20"/>
              </w:rPr>
              <w:t>20</w:t>
            </w:r>
          </w:p>
        </w:tc>
        <w:tc>
          <w:tcPr>
            <w:tcW w:w="3861" w:type="dxa"/>
            <w:tcBorders>
              <w:top w:val="single" w:color="D9D9D9" w:sz="2" w:space="0"/>
              <w:bottom w:val="single" w:color="D9D9D9" w:sz="2" w:space="0"/>
            </w:tcBorders>
          </w:tcPr>
          <w:p w:rsidR="00C31389" w:rsidRDefault="00561FBD" w14:paraId="2E63ED51" w14:textId="77777777">
            <w:pPr>
              <w:pStyle w:val="TableParagraph"/>
              <w:ind w:left="202"/>
              <w:rPr>
                <w:sz w:val="20"/>
              </w:rPr>
            </w:pPr>
            <w:r>
              <w:rPr>
                <w:sz w:val="20"/>
              </w:rPr>
              <w:t>T-20:</w:t>
            </w:r>
            <w:r>
              <w:rPr>
                <w:spacing w:val="-4"/>
                <w:sz w:val="20"/>
              </w:rPr>
              <w:t xml:space="preserve"> </w:t>
            </w:r>
            <w:r>
              <w:rPr>
                <w:sz w:val="20"/>
              </w:rPr>
              <w:t>Residential</w:t>
            </w:r>
            <w:r>
              <w:rPr>
                <w:spacing w:val="-3"/>
                <w:sz w:val="20"/>
              </w:rPr>
              <w:t xml:space="preserve"> </w:t>
            </w:r>
            <w:r>
              <w:rPr>
                <w:sz w:val="20"/>
              </w:rPr>
              <w:t>Faucets</w:t>
            </w:r>
            <w:r>
              <w:rPr>
                <w:spacing w:val="-4"/>
                <w:sz w:val="20"/>
              </w:rPr>
              <w:t xml:space="preserve"> </w:t>
            </w:r>
            <w:r>
              <w:rPr>
                <w:sz w:val="20"/>
              </w:rPr>
              <w:t>&amp;</w:t>
            </w:r>
            <w:r>
              <w:rPr>
                <w:spacing w:val="-3"/>
                <w:sz w:val="20"/>
              </w:rPr>
              <w:t xml:space="preserve"> </w:t>
            </w:r>
            <w:r>
              <w:rPr>
                <w:spacing w:val="-2"/>
                <w:sz w:val="20"/>
              </w:rPr>
              <w:t>Aerators</w:t>
            </w:r>
          </w:p>
          <w:p w:rsidR="00C31389" w:rsidRDefault="00561FBD" w14:paraId="4A940EFF" w14:textId="77777777">
            <w:pPr>
              <w:pStyle w:val="TableParagraph"/>
              <w:spacing w:before="0"/>
              <w:ind w:left="202" w:right="63"/>
              <w:rPr>
                <w:sz w:val="20"/>
              </w:rPr>
            </w:pPr>
            <w:r>
              <w:rPr>
                <w:sz w:val="20"/>
              </w:rPr>
              <w:t>-</w:t>
            </w:r>
            <w:r>
              <w:rPr>
                <w:spacing w:val="-7"/>
                <w:sz w:val="20"/>
              </w:rPr>
              <w:t xml:space="preserve"> </w:t>
            </w:r>
            <w:r>
              <w:rPr>
                <w:sz w:val="20"/>
              </w:rPr>
              <w:t>Lavatory</w:t>
            </w:r>
            <w:r>
              <w:rPr>
                <w:spacing w:val="-6"/>
                <w:sz w:val="20"/>
              </w:rPr>
              <w:t xml:space="preserve"> </w:t>
            </w:r>
            <w:r>
              <w:rPr>
                <w:sz w:val="20"/>
              </w:rPr>
              <w:t>w/</w:t>
            </w:r>
            <w:r>
              <w:rPr>
                <w:spacing w:val="-9"/>
                <w:sz w:val="20"/>
              </w:rPr>
              <w:t xml:space="preserve"> </w:t>
            </w:r>
            <w:r>
              <w:rPr>
                <w:sz w:val="20"/>
              </w:rPr>
              <w:t>Electric</w:t>
            </w:r>
            <w:r>
              <w:rPr>
                <w:spacing w:val="-6"/>
                <w:sz w:val="20"/>
              </w:rPr>
              <w:t xml:space="preserve"> </w:t>
            </w:r>
            <w:r>
              <w:rPr>
                <w:sz w:val="20"/>
              </w:rPr>
              <w:t>Water</w:t>
            </w:r>
            <w:r>
              <w:rPr>
                <w:spacing w:val="-6"/>
                <w:sz w:val="20"/>
              </w:rPr>
              <w:t xml:space="preserve"> </w:t>
            </w:r>
            <w:r>
              <w:rPr>
                <w:sz w:val="20"/>
              </w:rPr>
              <w:t>Heating</w:t>
            </w:r>
            <w:r>
              <w:rPr>
                <w:spacing w:val="-7"/>
                <w:sz w:val="20"/>
              </w:rPr>
              <w:t xml:space="preserve"> </w:t>
            </w:r>
            <w:r>
              <w:rPr>
                <w:sz w:val="20"/>
              </w:rPr>
              <w:t>- Tier 1</w:t>
            </w:r>
          </w:p>
        </w:tc>
        <w:tc>
          <w:tcPr>
            <w:tcW w:w="1200" w:type="dxa"/>
            <w:tcBorders>
              <w:top w:val="single" w:color="D9D9D9" w:sz="2" w:space="0"/>
              <w:bottom w:val="single" w:color="D9D9D9" w:sz="2" w:space="0"/>
            </w:tcBorders>
          </w:tcPr>
          <w:p w:rsidR="00C31389" w:rsidRDefault="00C31389" w14:paraId="2D103B4F" w14:textId="77777777">
            <w:pPr>
              <w:pStyle w:val="TableParagraph"/>
              <w:spacing w:before="6"/>
              <w:rPr>
                <w:sz w:val="23"/>
              </w:rPr>
            </w:pPr>
          </w:p>
          <w:p w:rsidR="00C31389" w:rsidRDefault="00561FBD" w14:paraId="62C0040A" w14:textId="77777777">
            <w:pPr>
              <w:pStyle w:val="TableParagraph"/>
              <w:spacing w:before="0"/>
              <w:ind w:left="345"/>
              <w:rPr>
                <w:sz w:val="20"/>
              </w:rPr>
            </w:pPr>
            <w:r>
              <w:rPr>
                <w:spacing w:val="-5"/>
                <w:sz w:val="20"/>
              </w:rPr>
              <w:t>89%</w:t>
            </w:r>
          </w:p>
        </w:tc>
        <w:tc>
          <w:tcPr>
            <w:tcW w:w="1367" w:type="dxa"/>
            <w:tcBorders>
              <w:top w:val="single" w:color="D9D9D9" w:sz="2" w:space="0"/>
              <w:bottom w:val="single" w:color="D9D9D9" w:sz="2" w:space="0"/>
            </w:tcBorders>
          </w:tcPr>
          <w:p w:rsidR="00C31389" w:rsidRDefault="00C31389" w14:paraId="7B67D244" w14:textId="77777777">
            <w:pPr>
              <w:pStyle w:val="TableParagraph"/>
              <w:spacing w:before="6"/>
              <w:rPr>
                <w:sz w:val="23"/>
              </w:rPr>
            </w:pPr>
          </w:p>
          <w:p w:rsidR="00C31389" w:rsidRDefault="00561FBD" w14:paraId="58FA645A" w14:textId="77777777">
            <w:pPr>
              <w:pStyle w:val="TableParagraph"/>
              <w:spacing w:before="0"/>
              <w:ind w:right="232"/>
              <w:jc w:val="right"/>
              <w:rPr>
                <w:sz w:val="20"/>
              </w:rPr>
            </w:pPr>
            <w:r>
              <w:rPr>
                <w:spacing w:val="-2"/>
                <w:sz w:val="20"/>
              </w:rPr>
              <w:t>02/01/20</w:t>
            </w:r>
          </w:p>
        </w:tc>
        <w:tc>
          <w:tcPr>
            <w:tcW w:w="1580" w:type="dxa"/>
            <w:tcBorders>
              <w:top w:val="single" w:color="D9D9D9" w:sz="2" w:space="0"/>
              <w:bottom w:val="single" w:color="D9D9D9" w:sz="2" w:space="0"/>
            </w:tcBorders>
          </w:tcPr>
          <w:p w:rsidR="00C31389" w:rsidRDefault="00C31389" w14:paraId="18E8AF08" w14:textId="77777777">
            <w:pPr>
              <w:pStyle w:val="TableParagraph"/>
              <w:spacing w:before="6"/>
              <w:rPr>
                <w:sz w:val="23"/>
              </w:rPr>
            </w:pPr>
          </w:p>
          <w:p w:rsidR="00C31389" w:rsidRDefault="00561FBD" w14:paraId="318F93AF" w14:textId="77777777">
            <w:pPr>
              <w:pStyle w:val="TableParagraph"/>
              <w:spacing w:before="0"/>
              <w:ind w:left="198" w:right="150"/>
              <w:jc w:val="center"/>
              <w:rPr>
                <w:sz w:val="20"/>
              </w:rPr>
            </w:pPr>
            <w:r>
              <w:rPr>
                <w:spacing w:val="-2"/>
                <w:sz w:val="20"/>
              </w:rPr>
              <w:t>On-the-books</w:t>
            </w:r>
          </w:p>
        </w:tc>
      </w:tr>
      <w:tr w:rsidR="00C31389" w14:paraId="7A4EFEC9" w14:textId="77777777">
        <w:trPr>
          <w:trHeight w:val="771"/>
        </w:trPr>
        <w:tc>
          <w:tcPr>
            <w:tcW w:w="1367" w:type="dxa"/>
            <w:tcBorders>
              <w:top w:val="single" w:color="D9D9D9" w:sz="2" w:space="0"/>
              <w:bottom w:val="single" w:color="000000" w:sz="8" w:space="0"/>
            </w:tcBorders>
          </w:tcPr>
          <w:p w:rsidR="00C31389" w:rsidRDefault="00C31389" w14:paraId="58C16471" w14:textId="77777777">
            <w:pPr>
              <w:pStyle w:val="TableParagraph"/>
              <w:spacing w:before="6"/>
              <w:rPr>
                <w:sz w:val="23"/>
              </w:rPr>
            </w:pPr>
          </w:p>
          <w:p w:rsidR="00C31389" w:rsidRDefault="00561FBD" w14:paraId="0E3721B0" w14:textId="77777777">
            <w:pPr>
              <w:pStyle w:val="TableParagraph"/>
              <w:spacing w:before="0"/>
              <w:ind w:left="129"/>
              <w:rPr>
                <w:sz w:val="20"/>
              </w:rPr>
            </w:pPr>
            <w:r>
              <w:rPr>
                <w:sz w:val="20"/>
              </w:rPr>
              <w:t>2015</w:t>
            </w:r>
            <w:r>
              <w:rPr>
                <w:spacing w:val="-3"/>
                <w:sz w:val="20"/>
              </w:rPr>
              <w:t xml:space="preserve"> </w:t>
            </w:r>
            <w:r>
              <w:rPr>
                <w:sz w:val="20"/>
              </w:rPr>
              <w:t>T-</w:t>
            </w:r>
            <w:r>
              <w:rPr>
                <w:spacing w:val="-5"/>
                <w:sz w:val="20"/>
              </w:rPr>
              <w:t>20</w:t>
            </w:r>
          </w:p>
        </w:tc>
        <w:tc>
          <w:tcPr>
            <w:tcW w:w="3861" w:type="dxa"/>
            <w:tcBorders>
              <w:top w:val="single" w:color="D9D9D9" w:sz="2" w:space="0"/>
              <w:bottom w:val="single" w:color="000000" w:sz="8" w:space="0"/>
            </w:tcBorders>
          </w:tcPr>
          <w:p w:rsidR="00C31389" w:rsidRDefault="00561FBD" w14:paraId="74142038" w14:textId="77777777">
            <w:pPr>
              <w:pStyle w:val="TableParagraph"/>
              <w:ind w:left="202"/>
              <w:rPr>
                <w:sz w:val="20"/>
              </w:rPr>
            </w:pPr>
            <w:r>
              <w:rPr>
                <w:sz w:val="20"/>
              </w:rPr>
              <w:t>T-20:</w:t>
            </w:r>
            <w:r>
              <w:rPr>
                <w:spacing w:val="-4"/>
                <w:sz w:val="20"/>
              </w:rPr>
              <w:t xml:space="preserve"> </w:t>
            </w:r>
            <w:r>
              <w:rPr>
                <w:sz w:val="20"/>
              </w:rPr>
              <w:t>Residential</w:t>
            </w:r>
            <w:r>
              <w:rPr>
                <w:spacing w:val="-3"/>
                <w:sz w:val="20"/>
              </w:rPr>
              <w:t xml:space="preserve"> </w:t>
            </w:r>
            <w:r>
              <w:rPr>
                <w:sz w:val="20"/>
              </w:rPr>
              <w:t>Faucets</w:t>
            </w:r>
            <w:r>
              <w:rPr>
                <w:spacing w:val="-4"/>
                <w:sz w:val="20"/>
              </w:rPr>
              <w:t xml:space="preserve"> </w:t>
            </w:r>
            <w:r>
              <w:rPr>
                <w:sz w:val="20"/>
              </w:rPr>
              <w:t>&amp;</w:t>
            </w:r>
            <w:r>
              <w:rPr>
                <w:spacing w:val="-3"/>
                <w:sz w:val="20"/>
              </w:rPr>
              <w:t xml:space="preserve"> </w:t>
            </w:r>
            <w:r>
              <w:rPr>
                <w:spacing w:val="-2"/>
                <w:sz w:val="20"/>
              </w:rPr>
              <w:t>Aerators</w:t>
            </w:r>
          </w:p>
          <w:p w:rsidR="00C31389" w:rsidRDefault="00561FBD" w14:paraId="432508E4" w14:textId="77777777">
            <w:pPr>
              <w:pStyle w:val="TableParagraph"/>
              <w:spacing w:before="0"/>
              <w:ind w:left="202" w:right="349"/>
              <w:rPr>
                <w:sz w:val="20"/>
              </w:rPr>
            </w:pPr>
            <w:r>
              <w:rPr>
                <w:sz w:val="20"/>
              </w:rPr>
              <w:t>-</w:t>
            </w:r>
            <w:r>
              <w:rPr>
                <w:spacing w:val="-8"/>
                <w:sz w:val="20"/>
              </w:rPr>
              <w:t xml:space="preserve"> </w:t>
            </w:r>
            <w:r>
              <w:rPr>
                <w:sz w:val="20"/>
              </w:rPr>
              <w:t>Lavatory</w:t>
            </w:r>
            <w:r>
              <w:rPr>
                <w:spacing w:val="-7"/>
                <w:sz w:val="20"/>
              </w:rPr>
              <w:t xml:space="preserve"> </w:t>
            </w:r>
            <w:r>
              <w:rPr>
                <w:sz w:val="20"/>
              </w:rPr>
              <w:t>w/</w:t>
            </w:r>
            <w:r>
              <w:rPr>
                <w:spacing w:val="-10"/>
                <w:sz w:val="20"/>
              </w:rPr>
              <w:t xml:space="preserve"> </w:t>
            </w:r>
            <w:r>
              <w:rPr>
                <w:sz w:val="20"/>
              </w:rPr>
              <w:t>Natural</w:t>
            </w:r>
            <w:r>
              <w:rPr>
                <w:spacing w:val="-8"/>
                <w:sz w:val="20"/>
              </w:rPr>
              <w:t xml:space="preserve"> </w:t>
            </w:r>
            <w:r>
              <w:rPr>
                <w:sz w:val="20"/>
              </w:rPr>
              <w:t>Gas</w:t>
            </w:r>
            <w:r>
              <w:rPr>
                <w:spacing w:val="-7"/>
                <w:sz w:val="20"/>
              </w:rPr>
              <w:t xml:space="preserve"> </w:t>
            </w:r>
            <w:r>
              <w:rPr>
                <w:sz w:val="20"/>
              </w:rPr>
              <w:t>Water Heating - Tier 1</w:t>
            </w:r>
          </w:p>
        </w:tc>
        <w:tc>
          <w:tcPr>
            <w:tcW w:w="1200" w:type="dxa"/>
            <w:tcBorders>
              <w:top w:val="single" w:color="D9D9D9" w:sz="2" w:space="0"/>
              <w:bottom w:val="single" w:color="000000" w:sz="8" w:space="0"/>
            </w:tcBorders>
          </w:tcPr>
          <w:p w:rsidR="00C31389" w:rsidRDefault="00C31389" w14:paraId="7ED2F91A" w14:textId="77777777">
            <w:pPr>
              <w:pStyle w:val="TableParagraph"/>
              <w:spacing w:before="6"/>
              <w:rPr>
                <w:sz w:val="23"/>
              </w:rPr>
            </w:pPr>
          </w:p>
          <w:p w:rsidR="00C31389" w:rsidRDefault="00561FBD" w14:paraId="7EAB5852" w14:textId="77777777">
            <w:pPr>
              <w:pStyle w:val="TableParagraph"/>
              <w:spacing w:before="0"/>
              <w:ind w:left="345"/>
              <w:rPr>
                <w:sz w:val="20"/>
              </w:rPr>
            </w:pPr>
            <w:r>
              <w:rPr>
                <w:spacing w:val="-5"/>
                <w:sz w:val="20"/>
              </w:rPr>
              <w:t>89%</w:t>
            </w:r>
          </w:p>
        </w:tc>
        <w:tc>
          <w:tcPr>
            <w:tcW w:w="1367" w:type="dxa"/>
            <w:tcBorders>
              <w:top w:val="single" w:color="D9D9D9" w:sz="2" w:space="0"/>
              <w:bottom w:val="single" w:color="000000" w:sz="8" w:space="0"/>
            </w:tcBorders>
          </w:tcPr>
          <w:p w:rsidR="00C31389" w:rsidRDefault="00C31389" w14:paraId="0E6847FD" w14:textId="77777777">
            <w:pPr>
              <w:pStyle w:val="TableParagraph"/>
              <w:spacing w:before="6"/>
              <w:rPr>
                <w:sz w:val="23"/>
              </w:rPr>
            </w:pPr>
          </w:p>
          <w:p w:rsidR="00C31389" w:rsidRDefault="00561FBD" w14:paraId="519E74AC" w14:textId="77777777">
            <w:pPr>
              <w:pStyle w:val="TableParagraph"/>
              <w:spacing w:before="0"/>
              <w:ind w:right="232"/>
              <w:jc w:val="right"/>
              <w:rPr>
                <w:sz w:val="20"/>
              </w:rPr>
            </w:pPr>
            <w:r>
              <w:rPr>
                <w:spacing w:val="-2"/>
                <w:sz w:val="20"/>
              </w:rPr>
              <w:t>02/01/20</w:t>
            </w:r>
          </w:p>
        </w:tc>
        <w:tc>
          <w:tcPr>
            <w:tcW w:w="1580" w:type="dxa"/>
            <w:tcBorders>
              <w:top w:val="single" w:color="D9D9D9" w:sz="2" w:space="0"/>
              <w:bottom w:val="single" w:color="000000" w:sz="8" w:space="0"/>
            </w:tcBorders>
          </w:tcPr>
          <w:p w:rsidR="00C31389" w:rsidRDefault="00C31389" w14:paraId="46EEDA6D" w14:textId="77777777">
            <w:pPr>
              <w:pStyle w:val="TableParagraph"/>
              <w:spacing w:before="6"/>
              <w:rPr>
                <w:sz w:val="23"/>
              </w:rPr>
            </w:pPr>
          </w:p>
          <w:p w:rsidR="00C31389" w:rsidRDefault="00561FBD" w14:paraId="543E6FAC" w14:textId="77777777">
            <w:pPr>
              <w:pStyle w:val="TableParagraph"/>
              <w:spacing w:before="0"/>
              <w:ind w:left="198" w:right="150"/>
              <w:jc w:val="center"/>
              <w:rPr>
                <w:sz w:val="20"/>
              </w:rPr>
            </w:pPr>
            <w:r>
              <w:rPr>
                <w:spacing w:val="-2"/>
                <w:sz w:val="20"/>
              </w:rPr>
              <w:t>On-the-books</w:t>
            </w:r>
          </w:p>
        </w:tc>
      </w:tr>
    </w:tbl>
    <w:p w:rsidR="00C31389" w:rsidRDefault="00C31389" w14:paraId="4391550A" w14:textId="77777777">
      <w:pPr>
        <w:jc w:val="center"/>
        <w:rPr>
          <w:sz w:val="20"/>
        </w:rPr>
        <w:sectPr w:rsidR="00C31389">
          <w:pgSz w:w="11910" w:h="16840"/>
          <w:pgMar w:top="1380" w:right="1020" w:bottom="1120" w:left="960" w:header="397" w:footer="938" w:gutter="0"/>
          <w:cols w:space="720"/>
        </w:sectPr>
      </w:pPr>
    </w:p>
    <w:p w:rsidR="00C31389" w:rsidRDefault="00C31389" w14:paraId="39782964"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34"/>
        <w:gridCol w:w="1227"/>
        <w:gridCol w:w="1367"/>
        <w:gridCol w:w="1580"/>
      </w:tblGrid>
      <w:tr w:rsidR="00C31389" w14:paraId="2674EAD9" w14:textId="77777777">
        <w:trPr>
          <w:trHeight w:val="252"/>
        </w:trPr>
        <w:tc>
          <w:tcPr>
            <w:tcW w:w="1367" w:type="dxa"/>
            <w:tcBorders>
              <w:top w:val="single" w:color="8B8B8B" w:sz="8" w:space="0"/>
            </w:tcBorders>
          </w:tcPr>
          <w:p w:rsidR="00C31389" w:rsidRDefault="00C31389" w14:paraId="51D8A31D" w14:textId="77777777">
            <w:pPr>
              <w:pStyle w:val="TableParagraph"/>
              <w:spacing w:before="0"/>
              <w:rPr>
                <w:rFonts w:ascii="Times New Roman"/>
                <w:sz w:val="18"/>
              </w:rPr>
            </w:pPr>
          </w:p>
        </w:tc>
        <w:tc>
          <w:tcPr>
            <w:tcW w:w="3834" w:type="dxa"/>
            <w:tcBorders>
              <w:top w:val="single" w:color="8B8B8B" w:sz="8" w:space="0"/>
            </w:tcBorders>
          </w:tcPr>
          <w:p w:rsidR="00C31389" w:rsidRDefault="00C31389" w14:paraId="7EF67BCE" w14:textId="77777777">
            <w:pPr>
              <w:pStyle w:val="TableParagraph"/>
              <w:spacing w:before="0"/>
              <w:rPr>
                <w:rFonts w:ascii="Times New Roman"/>
                <w:sz w:val="18"/>
              </w:rPr>
            </w:pPr>
          </w:p>
        </w:tc>
        <w:tc>
          <w:tcPr>
            <w:tcW w:w="1227" w:type="dxa"/>
            <w:tcBorders>
              <w:top w:val="single" w:color="8B8B8B" w:sz="8" w:space="0"/>
            </w:tcBorders>
          </w:tcPr>
          <w:p w:rsidR="00C31389" w:rsidRDefault="00C31389" w14:paraId="50F879BB" w14:textId="77777777">
            <w:pPr>
              <w:pStyle w:val="TableParagraph"/>
              <w:spacing w:before="0"/>
              <w:rPr>
                <w:rFonts w:ascii="Times New Roman"/>
                <w:sz w:val="18"/>
              </w:rPr>
            </w:pPr>
          </w:p>
        </w:tc>
        <w:tc>
          <w:tcPr>
            <w:tcW w:w="1367" w:type="dxa"/>
            <w:tcBorders>
              <w:top w:val="single" w:color="8B8B8B" w:sz="8" w:space="0"/>
            </w:tcBorders>
          </w:tcPr>
          <w:p w:rsidR="00C31389" w:rsidRDefault="00C31389" w14:paraId="6762EA5A" w14:textId="77777777">
            <w:pPr>
              <w:pStyle w:val="TableParagraph"/>
              <w:spacing w:before="0"/>
              <w:rPr>
                <w:rFonts w:ascii="Times New Roman"/>
                <w:sz w:val="18"/>
              </w:rPr>
            </w:pPr>
          </w:p>
        </w:tc>
        <w:tc>
          <w:tcPr>
            <w:tcW w:w="1580" w:type="dxa"/>
            <w:tcBorders>
              <w:top w:val="single" w:color="8B8B8B" w:sz="8" w:space="0"/>
            </w:tcBorders>
          </w:tcPr>
          <w:p w:rsidR="00C31389" w:rsidRDefault="00C31389" w14:paraId="58C55C5B" w14:textId="77777777">
            <w:pPr>
              <w:pStyle w:val="TableParagraph"/>
              <w:spacing w:before="0"/>
              <w:rPr>
                <w:rFonts w:ascii="Times New Roman"/>
                <w:sz w:val="18"/>
              </w:rPr>
            </w:pPr>
          </w:p>
        </w:tc>
      </w:tr>
      <w:tr w:rsidR="00C31389" w14:paraId="35643AAB" w14:textId="77777777">
        <w:trPr>
          <w:trHeight w:val="549"/>
        </w:trPr>
        <w:tc>
          <w:tcPr>
            <w:tcW w:w="1367" w:type="dxa"/>
            <w:shd w:val="clear" w:color="auto" w:fill="92D400"/>
          </w:tcPr>
          <w:p w:rsidR="00C31389" w:rsidRDefault="00561FBD" w14:paraId="6E624DDD" w14:textId="77777777">
            <w:pPr>
              <w:pStyle w:val="TableParagraph"/>
              <w:spacing w:before="155"/>
              <w:ind w:left="129"/>
              <w:rPr>
                <w:b/>
                <w:sz w:val="20"/>
              </w:rPr>
            </w:pPr>
            <w:r>
              <w:rPr>
                <w:b/>
                <w:spacing w:val="-2"/>
                <w:sz w:val="20"/>
              </w:rPr>
              <w:t>Regulation</w:t>
            </w:r>
          </w:p>
        </w:tc>
        <w:tc>
          <w:tcPr>
            <w:tcW w:w="3834" w:type="dxa"/>
            <w:shd w:val="clear" w:color="auto" w:fill="92D400"/>
          </w:tcPr>
          <w:p w:rsidR="00C31389" w:rsidRDefault="00561FBD" w14:paraId="4C51F89E"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227" w:type="dxa"/>
            <w:shd w:val="clear" w:color="auto" w:fill="92D400"/>
          </w:tcPr>
          <w:p w:rsidR="00C31389" w:rsidRDefault="00561FBD" w14:paraId="7FBB9D70" w14:textId="77777777">
            <w:pPr>
              <w:pStyle w:val="TableParagraph"/>
              <w:ind w:left="243" w:hanging="238"/>
              <w:rPr>
                <w:b/>
                <w:sz w:val="20"/>
              </w:rPr>
            </w:pPr>
            <w:r>
              <w:rPr>
                <w:b/>
                <w:spacing w:val="-2"/>
                <w:sz w:val="20"/>
              </w:rPr>
              <w:t>Compliance Rate</w:t>
            </w:r>
            <w:hyperlink w:history="1" w:anchor="_bookmark462">
              <w:r>
                <w:rPr>
                  <w:b/>
                  <w:spacing w:val="-2"/>
                  <w:sz w:val="20"/>
                  <w:vertAlign w:val="superscript"/>
                </w:rPr>
                <w:t>182</w:t>
              </w:r>
            </w:hyperlink>
          </w:p>
        </w:tc>
        <w:tc>
          <w:tcPr>
            <w:tcW w:w="1367" w:type="dxa"/>
            <w:shd w:val="clear" w:color="auto" w:fill="92D400"/>
          </w:tcPr>
          <w:p w:rsidR="00C31389" w:rsidRDefault="00561FBD" w14:paraId="5B93BBEF" w14:textId="77777777">
            <w:pPr>
              <w:pStyle w:val="TableParagraph"/>
              <w:ind w:left="524" w:hanging="202"/>
              <w:rPr>
                <w:b/>
                <w:sz w:val="20"/>
              </w:rPr>
            </w:pPr>
            <w:r>
              <w:rPr>
                <w:b/>
                <w:spacing w:val="-2"/>
                <w:sz w:val="20"/>
              </w:rPr>
              <w:t xml:space="preserve">Effective </w:t>
            </w:r>
            <w:r>
              <w:rPr>
                <w:b/>
                <w:spacing w:val="-4"/>
                <w:sz w:val="20"/>
              </w:rPr>
              <w:t>Date</w:t>
            </w:r>
          </w:p>
        </w:tc>
        <w:tc>
          <w:tcPr>
            <w:tcW w:w="1580" w:type="dxa"/>
            <w:shd w:val="clear" w:color="auto" w:fill="92D400"/>
          </w:tcPr>
          <w:p w:rsidR="00C31389" w:rsidRDefault="00561FBD" w14:paraId="4D9DAF8B" w14:textId="77777777">
            <w:pPr>
              <w:pStyle w:val="TableParagraph"/>
              <w:spacing w:before="155"/>
              <w:ind w:left="198" w:right="150"/>
              <w:jc w:val="center"/>
              <w:rPr>
                <w:b/>
                <w:sz w:val="20"/>
              </w:rPr>
            </w:pPr>
            <w:r>
              <w:rPr>
                <w:b/>
                <w:sz w:val="20"/>
              </w:rPr>
              <w:t>Policy</w:t>
            </w:r>
            <w:r>
              <w:rPr>
                <w:b/>
                <w:spacing w:val="-5"/>
                <w:sz w:val="20"/>
              </w:rPr>
              <w:t xml:space="preserve"> </w:t>
            </w:r>
            <w:r>
              <w:rPr>
                <w:b/>
                <w:spacing w:val="-4"/>
                <w:sz w:val="20"/>
              </w:rPr>
              <w:t>View</w:t>
            </w:r>
          </w:p>
        </w:tc>
      </w:tr>
      <w:tr w:rsidR="00C31389" w14:paraId="07303BA4" w14:textId="77777777">
        <w:trPr>
          <w:trHeight w:val="304"/>
        </w:trPr>
        <w:tc>
          <w:tcPr>
            <w:tcW w:w="1367" w:type="dxa"/>
            <w:tcBorders>
              <w:bottom w:val="single" w:color="D9D9D9" w:sz="2" w:space="0"/>
            </w:tcBorders>
          </w:tcPr>
          <w:p w:rsidR="00C31389" w:rsidRDefault="00561FBD" w14:paraId="612B7D6C" w14:textId="77777777">
            <w:pPr>
              <w:pStyle w:val="TableParagraph"/>
              <w:spacing w:before="35"/>
              <w:ind w:left="129"/>
              <w:rPr>
                <w:sz w:val="20"/>
              </w:rPr>
            </w:pPr>
            <w:r>
              <w:rPr>
                <w:sz w:val="20"/>
              </w:rPr>
              <w:t>2016</w:t>
            </w:r>
            <w:r>
              <w:rPr>
                <w:spacing w:val="-3"/>
                <w:sz w:val="20"/>
              </w:rPr>
              <w:t xml:space="preserve"> </w:t>
            </w:r>
            <w:r>
              <w:rPr>
                <w:sz w:val="20"/>
              </w:rPr>
              <w:t>T-</w:t>
            </w:r>
            <w:r>
              <w:rPr>
                <w:spacing w:val="-5"/>
                <w:sz w:val="20"/>
              </w:rPr>
              <w:t>20</w:t>
            </w:r>
          </w:p>
        </w:tc>
        <w:tc>
          <w:tcPr>
            <w:tcW w:w="3834" w:type="dxa"/>
            <w:tcBorders>
              <w:bottom w:val="single" w:color="D9D9D9" w:sz="2" w:space="0"/>
            </w:tcBorders>
          </w:tcPr>
          <w:p w:rsidR="00C31389" w:rsidRDefault="00561FBD" w14:paraId="5C778720" w14:textId="77777777">
            <w:pPr>
              <w:pStyle w:val="TableParagraph"/>
              <w:spacing w:before="35"/>
              <w:ind w:left="202"/>
              <w:rPr>
                <w:sz w:val="20"/>
              </w:rPr>
            </w:pPr>
            <w:r>
              <w:rPr>
                <w:sz w:val="20"/>
              </w:rPr>
              <w:t>T-20:</w:t>
            </w:r>
            <w:r>
              <w:rPr>
                <w:spacing w:val="-5"/>
                <w:sz w:val="20"/>
              </w:rPr>
              <w:t xml:space="preserve"> </w:t>
            </w:r>
            <w:r>
              <w:rPr>
                <w:sz w:val="20"/>
              </w:rPr>
              <w:t>Commercial</w:t>
            </w:r>
            <w:r>
              <w:rPr>
                <w:spacing w:val="-4"/>
                <w:sz w:val="20"/>
              </w:rPr>
              <w:t xml:space="preserve"> </w:t>
            </w:r>
            <w:r>
              <w:rPr>
                <w:spacing w:val="-2"/>
                <w:sz w:val="20"/>
              </w:rPr>
              <w:t>Toilets</w:t>
            </w:r>
          </w:p>
        </w:tc>
        <w:tc>
          <w:tcPr>
            <w:tcW w:w="1227" w:type="dxa"/>
            <w:tcBorders>
              <w:bottom w:val="single" w:color="D9D9D9" w:sz="2" w:space="0"/>
            </w:tcBorders>
          </w:tcPr>
          <w:p w:rsidR="00C31389" w:rsidRDefault="00561FBD" w14:paraId="7087D03B" w14:textId="77777777">
            <w:pPr>
              <w:pStyle w:val="TableParagraph"/>
              <w:spacing w:before="35"/>
              <w:ind w:left="372"/>
              <w:rPr>
                <w:sz w:val="20"/>
              </w:rPr>
            </w:pPr>
            <w:r>
              <w:rPr>
                <w:spacing w:val="-5"/>
                <w:sz w:val="20"/>
              </w:rPr>
              <w:t>85%</w:t>
            </w:r>
          </w:p>
        </w:tc>
        <w:tc>
          <w:tcPr>
            <w:tcW w:w="1367" w:type="dxa"/>
            <w:tcBorders>
              <w:bottom w:val="single" w:color="D9D9D9" w:sz="2" w:space="0"/>
            </w:tcBorders>
          </w:tcPr>
          <w:p w:rsidR="00C31389" w:rsidRDefault="00561FBD" w14:paraId="254C6012" w14:textId="77777777">
            <w:pPr>
              <w:pStyle w:val="TableParagraph"/>
              <w:spacing w:before="35"/>
              <w:ind w:right="232"/>
              <w:jc w:val="right"/>
              <w:rPr>
                <w:sz w:val="20"/>
              </w:rPr>
            </w:pPr>
            <w:r>
              <w:rPr>
                <w:spacing w:val="-2"/>
                <w:sz w:val="20"/>
              </w:rPr>
              <w:t>02/01/20</w:t>
            </w:r>
          </w:p>
        </w:tc>
        <w:tc>
          <w:tcPr>
            <w:tcW w:w="1580" w:type="dxa"/>
            <w:tcBorders>
              <w:bottom w:val="single" w:color="D9D9D9" w:sz="2" w:space="0"/>
            </w:tcBorders>
          </w:tcPr>
          <w:p w:rsidR="00C31389" w:rsidRDefault="00561FBD" w14:paraId="7E0E5718" w14:textId="77777777">
            <w:pPr>
              <w:pStyle w:val="TableParagraph"/>
              <w:spacing w:before="35"/>
              <w:ind w:left="198" w:right="150"/>
              <w:jc w:val="center"/>
              <w:rPr>
                <w:sz w:val="20"/>
              </w:rPr>
            </w:pPr>
            <w:r>
              <w:rPr>
                <w:spacing w:val="-2"/>
                <w:sz w:val="20"/>
              </w:rPr>
              <w:t>On-the-books</w:t>
            </w:r>
          </w:p>
        </w:tc>
      </w:tr>
      <w:tr w:rsidR="00C31389" w14:paraId="2979B004" w14:textId="77777777">
        <w:trPr>
          <w:trHeight w:val="310"/>
        </w:trPr>
        <w:tc>
          <w:tcPr>
            <w:tcW w:w="1367" w:type="dxa"/>
            <w:tcBorders>
              <w:top w:val="single" w:color="D9D9D9" w:sz="2" w:space="0"/>
              <w:bottom w:val="single" w:color="D9D9D9" w:sz="2" w:space="0"/>
            </w:tcBorders>
          </w:tcPr>
          <w:p w:rsidR="00C31389" w:rsidRDefault="00561FBD" w14:paraId="606CC93C" w14:textId="77777777">
            <w:pPr>
              <w:pStyle w:val="TableParagraph"/>
              <w:spacing w:before="41"/>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4870E7A6" w14:textId="77777777">
            <w:pPr>
              <w:pStyle w:val="TableParagraph"/>
              <w:spacing w:before="41"/>
              <w:ind w:left="202"/>
              <w:rPr>
                <w:sz w:val="20"/>
              </w:rPr>
            </w:pPr>
            <w:r>
              <w:rPr>
                <w:sz w:val="20"/>
              </w:rPr>
              <w:t>T-20:</w:t>
            </w:r>
            <w:r>
              <w:rPr>
                <w:spacing w:val="-4"/>
                <w:sz w:val="20"/>
              </w:rPr>
              <w:t xml:space="preserve"> </w:t>
            </w:r>
            <w:r>
              <w:rPr>
                <w:sz w:val="20"/>
              </w:rPr>
              <w:t>Public</w:t>
            </w:r>
            <w:r>
              <w:rPr>
                <w:spacing w:val="-2"/>
                <w:sz w:val="20"/>
              </w:rPr>
              <w:t xml:space="preserve"> </w:t>
            </w:r>
            <w:r>
              <w:rPr>
                <w:sz w:val="20"/>
              </w:rPr>
              <w:t>Lavatory</w:t>
            </w:r>
            <w:r>
              <w:rPr>
                <w:spacing w:val="-2"/>
                <w:sz w:val="20"/>
              </w:rPr>
              <w:t xml:space="preserve"> Faucets</w:t>
            </w:r>
          </w:p>
        </w:tc>
        <w:tc>
          <w:tcPr>
            <w:tcW w:w="1227" w:type="dxa"/>
            <w:tcBorders>
              <w:top w:val="single" w:color="D9D9D9" w:sz="2" w:space="0"/>
              <w:bottom w:val="single" w:color="D9D9D9" w:sz="2" w:space="0"/>
            </w:tcBorders>
          </w:tcPr>
          <w:p w:rsidR="00C31389" w:rsidRDefault="00561FBD" w14:paraId="2E73B7E1" w14:textId="77777777">
            <w:pPr>
              <w:pStyle w:val="TableParagraph"/>
              <w:spacing w:before="41"/>
              <w:ind w:left="414" w:right="492"/>
              <w:jc w:val="center"/>
              <w:rPr>
                <w:sz w:val="20"/>
              </w:rPr>
            </w:pPr>
            <w:r>
              <w:rPr>
                <w:spacing w:val="-5"/>
                <w:sz w:val="20"/>
              </w:rPr>
              <w:t>0%</w:t>
            </w:r>
          </w:p>
        </w:tc>
        <w:tc>
          <w:tcPr>
            <w:tcW w:w="1367" w:type="dxa"/>
            <w:tcBorders>
              <w:top w:val="single" w:color="D9D9D9" w:sz="2" w:space="0"/>
              <w:bottom w:val="single" w:color="D9D9D9" w:sz="2" w:space="0"/>
            </w:tcBorders>
          </w:tcPr>
          <w:p w:rsidR="00C31389" w:rsidRDefault="00561FBD" w14:paraId="2861EDC9" w14:textId="77777777">
            <w:pPr>
              <w:pStyle w:val="TableParagraph"/>
              <w:spacing w:before="41"/>
              <w:ind w:right="232"/>
              <w:jc w:val="right"/>
              <w:rPr>
                <w:sz w:val="20"/>
              </w:rPr>
            </w:pPr>
            <w:r>
              <w:rPr>
                <w:spacing w:val="-2"/>
                <w:sz w:val="20"/>
              </w:rPr>
              <w:t>02/01/20</w:t>
            </w:r>
          </w:p>
        </w:tc>
        <w:tc>
          <w:tcPr>
            <w:tcW w:w="1580" w:type="dxa"/>
            <w:tcBorders>
              <w:top w:val="single" w:color="D9D9D9" w:sz="2" w:space="0"/>
              <w:bottom w:val="single" w:color="D9D9D9" w:sz="2" w:space="0"/>
            </w:tcBorders>
          </w:tcPr>
          <w:p w:rsidR="00C31389" w:rsidRDefault="00561FBD" w14:paraId="4FEBF097" w14:textId="77777777">
            <w:pPr>
              <w:pStyle w:val="TableParagraph"/>
              <w:spacing w:before="41"/>
              <w:ind w:left="198" w:right="150"/>
              <w:jc w:val="center"/>
              <w:rPr>
                <w:sz w:val="20"/>
              </w:rPr>
            </w:pPr>
            <w:r>
              <w:rPr>
                <w:spacing w:val="-2"/>
                <w:sz w:val="20"/>
              </w:rPr>
              <w:t>On-the-books</w:t>
            </w:r>
          </w:p>
        </w:tc>
      </w:tr>
      <w:tr w:rsidR="00C31389" w14:paraId="78F1118B" w14:textId="77777777">
        <w:trPr>
          <w:trHeight w:val="539"/>
        </w:trPr>
        <w:tc>
          <w:tcPr>
            <w:tcW w:w="1367" w:type="dxa"/>
            <w:tcBorders>
              <w:top w:val="single" w:color="D9D9D9" w:sz="2" w:space="0"/>
              <w:bottom w:val="single" w:color="D9D9D9" w:sz="2" w:space="0"/>
            </w:tcBorders>
          </w:tcPr>
          <w:p w:rsidR="00C31389" w:rsidRDefault="00561FBD" w14:paraId="3C625728"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23B65ADF" w14:textId="77777777">
            <w:pPr>
              <w:pStyle w:val="TableParagraph"/>
              <w:ind w:left="202"/>
              <w:rPr>
                <w:sz w:val="20"/>
              </w:rPr>
            </w:pPr>
            <w:r>
              <w:rPr>
                <w:sz w:val="20"/>
              </w:rPr>
              <w:t>T-20:</w:t>
            </w:r>
            <w:r>
              <w:rPr>
                <w:spacing w:val="-4"/>
                <w:sz w:val="20"/>
              </w:rPr>
              <w:t xml:space="preserve"> </w:t>
            </w:r>
            <w:r>
              <w:rPr>
                <w:sz w:val="20"/>
              </w:rPr>
              <w:t>Residential</w:t>
            </w:r>
            <w:r>
              <w:rPr>
                <w:spacing w:val="-3"/>
                <w:sz w:val="20"/>
              </w:rPr>
              <w:t xml:space="preserve"> </w:t>
            </w:r>
            <w:r>
              <w:rPr>
                <w:sz w:val="20"/>
              </w:rPr>
              <w:t>Faucets</w:t>
            </w:r>
            <w:r>
              <w:rPr>
                <w:spacing w:val="-4"/>
                <w:sz w:val="20"/>
              </w:rPr>
              <w:t xml:space="preserve"> </w:t>
            </w:r>
            <w:r>
              <w:rPr>
                <w:sz w:val="20"/>
              </w:rPr>
              <w:t>&amp;</w:t>
            </w:r>
            <w:r>
              <w:rPr>
                <w:spacing w:val="-3"/>
                <w:sz w:val="20"/>
              </w:rPr>
              <w:t xml:space="preserve"> </w:t>
            </w:r>
            <w:r>
              <w:rPr>
                <w:spacing w:val="-2"/>
                <w:sz w:val="20"/>
              </w:rPr>
              <w:t>Aerators</w:t>
            </w:r>
          </w:p>
          <w:p w:rsidR="00C31389" w:rsidRDefault="00561FBD" w14:paraId="25C8DF7A" w14:textId="77777777">
            <w:pPr>
              <w:pStyle w:val="TableParagraph"/>
              <w:spacing w:before="0"/>
              <w:ind w:left="202"/>
              <w:rPr>
                <w:sz w:val="20"/>
              </w:rPr>
            </w:pPr>
            <w:r>
              <w:rPr>
                <w:sz w:val="20"/>
              </w:rPr>
              <w:t>-</w:t>
            </w:r>
            <w:r>
              <w:rPr>
                <w:spacing w:val="-4"/>
                <w:sz w:val="20"/>
              </w:rPr>
              <w:t xml:space="preserve"> </w:t>
            </w:r>
            <w:r>
              <w:rPr>
                <w:sz w:val="20"/>
              </w:rPr>
              <w:t>Kitchen</w:t>
            </w:r>
            <w:r>
              <w:rPr>
                <w:spacing w:val="-4"/>
                <w:sz w:val="20"/>
              </w:rPr>
              <w:t xml:space="preserve"> </w:t>
            </w:r>
            <w:r>
              <w:rPr>
                <w:sz w:val="20"/>
              </w:rPr>
              <w:t>w/</w:t>
            </w:r>
            <w:r>
              <w:rPr>
                <w:spacing w:val="-3"/>
                <w:sz w:val="20"/>
              </w:rPr>
              <w:t xml:space="preserve"> </w:t>
            </w:r>
            <w:r>
              <w:rPr>
                <w:sz w:val="20"/>
              </w:rPr>
              <w:t>Electric</w:t>
            </w:r>
            <w:r>
              <w:rPr>
                <w:spacing w:val="-2"/>
                <w:sz w:val="20"/>
              </w:rPr>
              <w:t xml:space="preserve"> </w:t>
            </w:r>
            <w:r>
              <w:rPr>
                <w:sz w:val="20"/>
              </w:rPr>
              <w:t>Water</w:t>
            </w:r>
            <w:r>
              <w:rPr>
                <w:spacing w:val="-2"/>
                <w:sz w:val="20"/>
              </w:rPr>
              <w:t xml:space="preserve"> Heating</w:t>
            </w:r>
          </w:p>
        </w:tc>
        <w:tc>
          <w:tcPr>
            <w:tcW w:w="1227" w:type="dxa"/>
            <w:tcBorders>
              <w:top w:val="single" w:color="D9D9D9" w:sz="2" w:space="0"/>
              <w:bottom w:val="single" w:color="D9D9D9" w:sz="2" w:space="0"/>
            </w:tcBorders>
          </w:tcPr>
          <w:p w:rsidR="00C31389" w:rsidRDefault="00561FBD" w14:paraId="26320338" w14:textId="77777777">
            <w:pPr>
              <w:pStyle w:val="TableParagraph"/>
              <w:spacing w:before="155"/>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67B24226" w14:textId="77777777">
            <w:pPr>
              <w:pStyle w:val="TableParagraph"/>
              <w:spacing w:before="155"/>
              <w:ind w:right="232"/>
              <w:jc w:val="right"/>
              <w:rPr>
                <w:sz w:val="20"/>
              </w:rPr>
            </w:pPr>
            <w:r>
              <w:rPr>
                <w:spacing w:val="-2"/>
                <w:sz w:val="20"/>
              </w:rPr>
              <w:t>02/01/20</w:t>
            </w:r>
          </w:p>
        </w:tc>
        <w:tc>
          <w:tcPr>
            <w:tcW w:w="1580" w:type="dxa"/>
            <w:tcBorders>
              <w:top w:val="single" w:color="D9D9D9" w:sz="2" w:space="0"/>
              <w:bottom w:val="single" w:color="D9D9D9" w:sz="2" w:space="0"/>
            </w:tcBorders>
          </w:tcPr>
          <w:p w:rsidR="00C31389" w:rsidRDefault="00561FBD" w14:paraId="3CA09E98" w14:textId="77777777">
            <w:pPr>
              <w:pStyle w:val="TableParagraph"/>
              <w:spacing w:before="155"/>
              <w:ind w:left="198" w:right="150"/>
              <w:jc w:val="center"/>
              <w:rPr>
                <w:sz w:val="20"/>
              </w:rPr>
            </w:pPr>
            <w:r>
              <w:rPr>
                <w:spacing w:val="-2"/>
                <w:sz w:val="20"/>
              </w:rPr>
              <w:t>On-the-books</w:t>
            </w:r>
          </w:p>
        </w:tc>
      </w:tr>
      <w:tr w:rsidR="00C31389" w14:paraId="40B716F6" w14:textId="77777777">
        <w:trPr>
          <w:trHeight w:val="770"/>
        </w:trPr>
        <w:tc>
          <w:tcPr>
            <w:tcW w:w="1367" w:type="dxa"/>
            <w:tcBorders>
              <w:top w:val="single" w:color="D9D9D9" w:sz="2" w:space="0"/>
              <w:bottom w:val="single" w:color="D9D9D9" w:sz="2" w:space="0"/>
            </w:tcBorders>
          </w:tcPr>
          <w:p w:rsidR="00C31389" w:rsidRDefault="00C31389" w14:paraId="533B0A04" w14:textId="77777777">
            <w:pPr>
              <w:pStyle w:val="TableParagraph"/>
              <w:spacing w:before="6"/>
              <w:rPr>
                <w:sz w:val="23"/>
              </w:rPr>
            </w:pPr>
          </w:p>
          <w:p w:rsidR="00C31389" w:rsidRDefault="00561FBD" w14:paraId="1AFC137F"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5384B305" w14:textId="77777777">
            <w:pPr>
              <w:pStyle w:val="TableParagraph"/>
              <w:ind w:left="202"/>
              <w:rPr>
                <w:sz w:val="20"/>
              </w:rPr>
            </w:pPr>
            <w:r>
              <w:rPr>
                <w:sz w:val="20"/>
              </w:rPr>
              <w:t>T-20:</w:t>
            </w:r>
            <w:r>
              <w:rPr>
                <w:spacing w:val="-4"/>
                <w:sz w:val="20"/>
              </w:rPr>
              <w:t xml:space="preserve"> </w:t>
            </w:r>
            <w:r>
              <w:rPr>
                <w:sz w:val="20"/>
              </w:rPr>
              <w:t>Residential</w:t>
            </w:r>
            <w:r>
              <w:rPr>
                <w:spacing w:val="-3"/>
                <w:sz w:val="20"/>
              </w:rPr>
              <w:t xml:space="preserve"> </w:t>
            </w:r>
            <w:r>
              <w:rPr>
                <w:sz w:val="20"/>
              </w:rPr>
              <w:t>Faucets</w:t>
            </w:r>
            <w:r>
              <w:rPr>
                <w:spacing w:val="-4"/>
                <w:sz w:val="20"/>
              </w:rPr>
              <w:t xml:space="preserve"> </w:t>
            </w:r>
            <w:r>
              <w:rPr>
                <w:sz w:val="20"/>
              </w:rPr>
              <w:t>&amp;</w:t>
            </w:r>
            <w:r>
              <w:rPr>
                <w:spacing w:val="-3"/>
                <w:sz w:val="20"/>
              </w:rPr>
              <w:t xml:space="preserve"> </w:t>
            </w:r>
            <w:r>
              <w:rPr>
                <w:spacing w:val="-2"/>
                <w:sz w:val="20"/>
              </w:rPr>
              <w:t>Aerators</w:t>
            </w:r>
          </w:p>
          <w:p w:rsidR="00C31389" w:rsidRDefault="00561FBD" w14:paraId="24D4B663" w14:textId="77777777">
            <w:pPr>
              <w:pStyle w:val="TableParagraph"/>
              <w:spacing w:before="0"/>
              <w:ind w:left="202" w:right="271"/>
              <w:rPr>
                <w:sz w:val="20"/>
              </w:rPr>
            </w:pPr>
            <w:r>
              <w:rPr>
                <w:sz w:val="20"/>
              </w:rPr>
              <w:t>-</w:t>
            </w:r>
            <w:r>
              <w:rPr>
                <w:spacing w:val="-8"/>
                <w:sz w:val="20"/>
              </w:rPr>
              <w:t xml:space="preserve"> </w:t>
            </w:r>
            <w:r>
              <w:rPr>
                <w:sz w:val="20"/>
              </w:rPr>
              <w:t>Kitchen</w:t>
            </w:r>
            <w:r>
              <w:rPr>
                <w:spacing w:val="-9"/>
                <w:sz w:val="20"/>
              </w:rPr>
              <w:t xml:space="preserve"> </w:t>
            </w:r>
            <w:r>
              <w:rPr>
                <w:sz w:val="20"/>
              </w:rPr>
              <w:t>w/</w:t>
            </w:r>
            <w:r>
              <w:rPr>
                <w:spacing w:val="-8"/>
                <w:sz w:val="20"/>
              </w:rPr>
              <w:t xml:space="preserve"> </w:t>
            </w:r>
            <w:r>
              <w:rPr>
                <w:sz w:val="20"/>
              </w:rPr>
              <w:t>Natural</w:t>
            </w:r>
            <w:r>
              <w:rPr>
                <w:spacing w:val="-8"/>
                <w:sz w:val="20"/>
              </w:rPr>
              <w:t xml:space="preserve"> </w:t>
            </w:r>
            <w:r>
              <w:rPr>
                <w:sz w:val="20"/>
              </w:rPr>
              <w:t>Gas</w:t>
            </w:r>
            <w:r>
              <w:rPr>
                <w:spacing w:val="-7"/>
                <w:sz w:val="20"/>
              </w:rPr>
              <w:t xml:space="preserve"> </w:t>
            </w:r>
            <w:r>
              <w:rPr>
                <w:sz w:val="20"/>
              </w:rPr>
              <w:t xml:space="preserve">Water </w:t>
            </w:r>
            <w:r>
              <w:rPr>
                <w:spacing w:val="-2"/>
                <w:sz w:val="20"/>
              </w:rPr>
              <w:t>Heating</w:t>
            </w:r>
          </w:p>
        </w:tc>
        <w:tc>
          <w:tcPr>
            <w:tcW w:w="1227" w:type="dxa"/>
            <w:tcBorders>
              <w:top w:val="single" w:color="D9D9D9" w:sz="2" w:space="0"/>
              <w:bottom w:val="single" w:color="D9D9D9" w:sz="2" w:space="0"/>
            </w:tcBorders>
          </w:tcPr>
          <w:p w:rsidR="00C31389" w:rsidRDefault="00C31389" w14:paraId="0F65B934" w14:textId="77777777">
            <w:pPr>
              <w:pStyle w:val="TableParagraph"/>
              <w:spacing w:before="6"/>
              <w:rPr>
                <w:sz w:val="23"/>
              </w:rPr>
            </w:pPr>
          </w:p>
          <w:p w:rsidR="00C31389" w:rsidRDefault="00561FBD" w14:paraId="4C7EAD12" w14:textId="77777777">
            <w:pPr>
              <w:pStyle w:val="TableParagraph"/>
              <w:spacing w:before="0"/>
              <w:ind w:left="372"/>
              <w:rPr>
                <w:sz w:val="20"/>
              </w:rPr>
            </w:pPr>
            <w:r>
              <w:rPr>
                <w:spacing w:val="-5"/>
                <w:sz w:val="20"/>
              </w:rPr>
              <w:t>85%</w:t>
            </w:r>
          </w:p>
        </w:tc>
        <w:tc>
          <w:tcPr>
            <w:tcW w:w="1367" w:type="dxa"/>
            <w:tcBorders>
              <w:top w:val="single" w:color="D9D9D9" w:sz="2" w:space="0"/>
              <w:bottom w:val="single" w:color="D9D9D9" w:sz="2" w:space="0"/>
            </w:tcBorders>
          </w:tcPr>
          <w:p w:rsidR="00C31389" w:rsidRDefault="00C31389" w14:paraId="32C279AF" w14:textId="77777777">
            <w:pPr>
              <w:pStyle w:val="TableParagraph"/>
              <w:spacing w:before="6"/>
              <w:rPr>
                <w:sz w:val="23"/>
              </w:rPr>
            </w:pPr>
          </w:p>
          <w:p w:rsidR="00C31389" w:rsidRDefault="00561FBD" w14:paraId="69C308DC" w14:textId="77777777">
            <w:pPr>
              <w:pStyle w:val="TableParagraph"/>
              <w:spacing w:before="0"/>
              <w:ind w:right="232"/>
              <w:jc w:val="right"/>
              <w:rPr>
                <w:sz w:val="20"/>
              </w:rPr>
            </w:pPr>
            <w:r>
              <w:rPr>
                <w:spacing w:val="-2"/>
                <w:sz w:val="20"/>
              </w:rPr>
              <w:t>02/01/20</w:t>
            </w:r>
          </w:p>
        </w:tc>
        <w:tc>
          <w:tcPr>
            <w:tcW w:w="1580" w:type="dxa"/>
            <w:tcBorders>
              <w:top w:val="single" w:color="D9D9D9" w:sz="2" w:space="0"/>
              <w:bottom w:val="single" w:color="D9D9D9" w:sz="2" w:space="0"/>
            </w:tcBorders>
          </w:tcPr>
          <w:p w:rsidR="00C31389" w:rsidRDefault="00C31389" w14:paraId="7A37DB67" w14:textId="77777777">
            <w:pPr>
              <w:pStyle w:val="TableParagraph"/>
              <w:spacing w:before="6"/>
              <w:rPr>
                <w:sz w:val="23"/>
              </w:rPr>
            </w:pPr>
          </w:p>
          <w:p w:rsidR="00C31389" w:rsidRDefault="00561FBD" w14:paraId="4BE8E572" w14:textId="77777777">
            <w:pPr>
              <w:pStyle w:val="TableParagraph"/>
              <w:spacing w:before="0"/>
              <w:ind w:left="198" w:right="150"/>
              <w:jc w:val="center"/>
              <w:rPr>
                <w:sz w:val="20"/>
              </w:rPr>
            </w:pPr>
            <w:r>
              <w:rPr>
                <w:spacing w:val="-2"/>
                <w:sz w:val="20"/>
              </w:rPr>
              <w:t>On-the-books</w:t>
            </w:r>
          </w:p>
        </w:tc>
      </w:tr>
      <w:tr w:rsidR="00C31389" w14:paraId="37A1EB71" w14:textId="77777777">
        <w:trPr>
          <w:trHeight w:val="309"/>
        </w:trPr>
        <w:tc>
          <w:tcPr>
            <w:tcW w:w="1367" w:type="dxa"/>
            <w:tcBorders>
              <w:top w:val="single" w:color="D9D9D9" w:sz="2" w:space="0"/>
              <w:bottom w:val="single" w:color="D9D9D9" w:sz="2" w:space="0"/>
            </w:tcBorders>
          </w:tcPr>
          <w:p w:rsidR="00C31389" w:rsidRDefault="00561FBD" w14:paraId="4AF8BF52" w14:textId="77777777">
            <w:pPr>
              <w:pStyle w:val="TableParagraph"/>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43D09278" w14:textId="77777777">
            <w:pPr>
              <w:pStyle w:val="TableParagraph"/>
              <w:ind w:left="202"/>
              <w:rPr>
                <w:sz w:val="20"/>
              </w:rPr>
            </w:pPr>
            <w:r>
              <w:rPr>
                <w:sz w:val="20"/>
              </w:rPr>
              <w:t>T-20:</w:t>
            </w:r>
            <w:r>
              <w:rPr>
                <w:spacing w:val="-5"/>
                <w:sz w:val="20"/>
              </w:rPr>
              <w:t xml:space="preserve"> </w:t>
            </w:r>
            <w:r>
              <w:rPr>
                <w:sz w:val="20"/>
              </w:rPr>
              <w:t>Residential</w:t>
            </w:r>
            <w:r>
              <w:rPr>
                <w:spacing w:val="-4"/>
                <w:sz w:val="20"/>
              </w:rPr>
              <w:t xml:space="preserve"> </w:t>
            </w:r>
            <w:r>
              <w:rPr>
                <w:spacing w:val="-2"/>
                <w:sz w:val="20"/>
              </w:rPr>
              <w:t>Toilets</w:t>
            </w:r>
          </w:p>
        </w:tc>
        <w:tc>
          <w:tcPr>
            <w:tcW w:w="1227" w:type="dxa"/>
            <w:tcBorders>
              <w:top w:val="single" w:color="D9D9D9" w:sz="2" w:space="0"/>
              <w:bottom w:val="single" w:color="D9D9D9" w:sz="2" w:space="0"/>
            </w:tcBorders>
          </w:tcPr>
          <w:p w:rsidR="00C31389" w:rsidRDefault="00561FBD" w14:paraId="338FCBBA" w14:textId="77777777">
            <w:pPr>
              <w:pStyle w:val="TableParagraph"/>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2E877903" w14:textId="77777777">
            <w:pPr>
              <w:pStyle w:val="TableParagraph"/>
              <w:ind w:right="232"/>
              <w:jc w:val="right"/>
              <w:rPr>
                <w:sz w:val="20"/>
              </w:rPr>
            </w:pPr>
            <w:r>
              <w:rPr>
                <w:spacing w:val="-2"/>
                <w:sz w:val="20"/>
              </w:rPr>
              <w:t>02/01/20</w:t>
            </w:r>
          </w:p>
        </w:tc>
        <w:tc>
          <w:tcPr>
            <w:tcW w:w="1580" w:type="dxa"/>
            <w:tcBorders>
              <w:top w:val="single" w:color="D9D9D9" w:sz="2" w:space="0"/>
              <w:bottom w:val="single" w:color="D9D9D9" w:sz="2" w:space="0"/>
            </w:tcBorders>
          </w:tcPr>
          <w:p w:rsidR="00C31389" w:rsidRDefault="00561FBD" w14:paraId="1E3A24C9" w14:textId="77777777">
            <w:pPr>
              <w:pStyle w:val="TableParagraph"/>
              <w:ind w:left="198" w:right="150"/>
              <w:jc w:val="center"/>
              <w:rPr>
                <w:sz w:val="20"/>
              </w:rPr>
            </w:pPr>
            <w:r>
              <w:rPr>
                <w:spacing w:val="-2"/>
                <w:sz w:val="20"/>
              </w:rPr>
              <w:t>On-the-books</w:t>
            </w:r>
          </w:p>
        </w:tc>
      </w:tr>
      <w:tr w:rsidR="00C31389" w14:paraId="31CB18A0" w14:textId="77777777">
        <w:trPr>
          <w:trHeight w:val="310"/>
        </w:trPr>
        <w:tc>
          <w:tcPr>
            <w:tcW w:w="1367" w:type="dxa"/>
            <w:tcBorders>
              <w:top w:val="single" w:color="D9D9D9" w:sz="2" w:space="0"/>
              <w:bottom w:val="single" w:color="D9D9D9" w:sz="2" w:space="0"/>
            </w:tcBorders>
          </w:tcPr>
          <w:p w:rsidR="00C31389" w:rsidRDefault="00561FBD" w14:paraId="59D21F46" w14:textId="77777777">
            <w:pPr>
              <w:pStyle w:val="TableParagraph"/>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6D06965F" w14:textId="77777777">
            <w:pPr>
              <w:pStyle w:val="TableParagraph"/>
              <w:ind w:left="202"/>
              <w:rPr>
                <w:sz w:val="20"/>
              </w:rPr>
            </w:pPr>
            <w:r>
              <w:rPr>
                <w:sz w:val="20"/>
              </w:rPr>
              <w:t>T-20:</w:t>
            </w:r>
            <w:r>
              <w:rPr>
                <w:spacing w:val="-1"/>
                <w:sz w:val="20"/>
              </w:rPr>
              <w:t xml:space="preserve"> </w:t>
            </w:r>
            <w:r>
              <w:rPr>
                <w:spacing w:val="-2"/>
                <w:sz w:val="20"/>
              </w:rPr>
              <w:t>Urinals</w:t>
            </w:r>
          </w:p>
        </w:tc>
        <w:tc>
          <w:tcPr>
            <w:tcW w:w="1227" w:type="dxa"/>
            <w:tcBorders>
              <w:top w:val="single" w:color="D9D9D9" w:sz="2" w:space="0"/>
              <w:bottom w:val="single" w:color="D9D9D9" w:sz="2" w:space="0"/>
            </w:tcBorders>
          </w:tcPr>
          <w:p w:rsidR="00C31389" w:rsidRDefault="00561FBD" w14:paraId="30C3A177" w14:textId="77777777">
            <w:pPr>
              <w:pStyle w:val="TableParagraph"/>
              <w:ind w:left="372"/>
              <w:rPr>
                <w:sz w:val="20"/>
              </w:rPr>
            </w:pPr>
            <w:r>
              <w:rPr>
                <w:spacing w:val="-5"/>
                <w:sz w:val="20"/>
              </w:rPr>
              <w:t>76%</w:t>
            </w:r>
          </w:p>
        </w:tc>
        <w:tc>
          <w:tcPr>
            <w:tcW w:w="1367" w:type="dxa"/>
            <w:tcBorders>
              <w:top w:val="single" w:color="D9D9D9" w:sz="2" w:space="0"/>
              <w:bottom w:val="single" w:color="D9D9D9" w:sz="2" w:space="0"/>
            </w:tcBorders>
          </w:tcPr>
          <w:p w:rsidR="00C31389" w:rsidRDefault="00561FBD" w14:paraId="5C161BE2" w14:textId="77777777">
            <w:pPr>
              <w:pStyle w:val="TableParagraph"/>
              <w:ind w:right="232"/>
              <w:jc w:val="right"/>
              <w:rPr>
                <w:sz w:val="20"/>
              </w:rPr>
            </w:pPr>
            <w:r>
              <w:rPr>
                <w:spacing w:val="-2"/>
                <w:sz w:val="20"/>
              </w:rPr>
              <w:t>10/01/20</w:t>
            </w:r>
          </w:p>
        </w:tc>
        <w:tc>
          <w:tcPr>
            <w:tcW w:w="1580" w:type="dxa"/>
            <w:tcBorders>
              <w:top w:val="single" w:color="D9D9D9" w:sz="2" w:space="0"/>
              <w:bottom w:val="single" w:color="D9D9D9" w:sz="2" w:space="0"/>
            </w:tcBorders>
          </w:tcPr>
          <w:p w:rsidR="00C31389" w:rsidRDefault="00561FBD" w14:paraId="57389C25" w14:textId="77777777">
            <w:pPr>
              <w:pStyle w:val="TableParagraph"/>
              <w:ind w:left="198" w:right="150"/>
              <w:jc w:val="center"/>
              <w:rPr>
                <w:sz w:val="20"/>
              </w:rPr>
            </w:pPr>
            <w:r>
              <w:rPr>
                <w:spacing w:val="-2"/>
                <w:sz w:val="20"/>
              </w:rPr>
              <w:t>On-the-books</w:t>
            </w:r>
          </w:p>
        </w:tc>
      </w:tr>
      <w:tr w:rsidR="00C31389" w14:paraId="7F0BC769" w14:textId="77777777">
        <w:trPr>
          <w:trHeight w:val="309"/>
        </w:trPr>
        <w:tc>
          <w:tcPr>
            <w:tcW w:w="1367" w:type="dxa"/>
            <w:tcBorders>
              <w:top w:val="single" w:color="D9D9D9" w:sz="2" w:space="0"/>
              <w:bottom w:val="single" w:color="D9D9D9" w:sz="2" w:space="0"/>
            </w:tcBorders>
          </w:tcPr>
          <w:p w:rsidR="00C31389" w:rsidRDefault="00561FBD" w14:paraId="577C7C27" w14:textId="77777777">
            <w:pPr>
              <w:pStyle w:val="TableParagraph"/>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5DB3CFB0" w14:textId="77777777">
            <w:pPr>
              <w:pStyle w:val="TableParagraph"/>
              <w:ind w:left="202"/>
              <w:rPr>
                <w:sz w:val="20"/>
              </w:rPr>
            </w:pPr>
            <w:r>
              <w:rPr>
                <w:sz w:val="20"/>
              </w:rPr>
              <w:t>T-20:</w:t>
            </w:r>
            <w:r>
              <w:rPr>
                <w:spacing w:val="-5"/>
                <w:sz w:val="20"/>
              </w:rPr>
              <w:t xml:space="preserve"> </w:t>
            </w:r>
            <w:r>
              <w:rPr>
                <w:sz w:val="20"/>
              </w:rPr>
              <w:t>Dimming</w:t>
            </w:r>
            <w:r>
              <w:rPr>
                <w:spacing w:val="-5"/>
                <w:sz w:val="20"/>
              </w:rPr>
              <w:t xml:space="preserve"> </w:t>
            </w:r>
            <w:r>
              <w:rPr>
                <w:spacing w:val="-2"/>
                <w:sz w:val="20"/>
              </w:rPr>
              <w:t>Ballasts</w:t>
            </w:r>
          </w:p>
        </w:tc>
        <w:tc>
          <w:tcPr>
            <w:tcW w:w="1227" w:type="dxa"/>
            <w:tcBorders>
              <w:top w:val="single" w:color="D9D9D9" w:sz="2" w:space="0"/>
              <w:bottom w:val="single" w:color="D9D9D9" w:sz="2" w:space="0"/>
            </w:tcBorders>
          </w:tcPr>
          <w:p w:rsidR="00C31389" w:rsidRDefault="00561FBD" w14:paraId="563385E0" w14:textId="77777777">
            <w:pPr>
              <w:pStyle w:val="TableParagraph"/>
              <w:ind w:left="372"/>
              <w:rPr>
                <w:sz w:val="20"/>
              </w:rPr>
            </w:pPr>
            <w:r>
              <w:rPr>
                <w:spacing w:val="-5"/>
                <w:sz w:val="20"/>
              </w:rPr>
              <w:t>83%</w:t>
            </w:r>
          </w:p>
        </w:tc>
        <w:tc>
          <w:tcPr>
            <w:tcW w:w="1367" w:type="dxa"/>
            <w:tcBorders>
              <w:top w:val="single" w:color="D9D9D9" w:sz="2" w:space="0"/>
              <w:bottom w:val="single" w:color="D9D9D9" w:sz="2" w:space="0"/>
            </w:tcBorders>
          </w:tcPr>
          <w:p w:rsidR="00C31389" w:rsidRDefault="00561FBD" w14:paraId="11A3D4A5" w14:textId="77777777">
            <w:pPr>
              <w:pStyle w:val="TableParagraph"/>
              <w:ind w:right="232"/>
              <w:jc w:val="right"/>
              <w:rPr>
                <w:sz w:val="20"/>
              </w:rPr>
            </w:pPr>
            <w:r>
              <w:rPr>
                <w:spacing w:val="-2"/>
                <w:sz w:val="20"/>
              </w:rPr>
              <w:t>10/01/20</w:t>
            </w:r>
          </w:p>
        </w:tc>
        <w:tc>
          <w:tcPr>
            <w:tcW w:w="1580" w:type="dxa"/>
            <w:tcBorders>
              <w:top w:val="single" w:color="D9D9D9" w:sz="2" w:space="0"/>
              <w:bottom w:val="single" w:color="D9D9D9" w:sz="2" w:space="0"/>
            </w:tcBorders>
          </w:tcPr>
          <w:p w:rsidR="00C31389" w:rsidRDefault="00561FBD" w14:paraId="5521717E" w14:textId="77777777">
            <w:pPr>
              <w:pStyle w:val="TableParagraph"/>
              <w:ind w:left="198" w:right="150"/>
              <w:jc w:val="center"/>
              <w:rPr>
                <w:sz w:val="20"/>
              </w:rPr>
            </w:pPr>
            <w:r>
              <w:rPr>
                <w:spacing w:val="-2"/>
                <w:sz w:val="20"/>
              </w:rPr>
              <w:t>On-the-books</w:t>
            </w:r>
          </w:p>
        </w:tc>
      </w:tr>
      <w:tr w:rsidR="00C31389" w14:paraId="085D8C50" w14:textId="77777777">
        <w:trPr>
          <w:trHeight w:val="770"/>
        </w:trPr>
        <w:tc>
          <w:tcPr>
            <w:tcW w:w="1367" w:type="dxa"/>
            <w:tcBorders>
              <w:top w:val="single" w:color="D9D9D9" w:sz="2" w:space="0"/>
              <w:bottom w:val="single" w:color="D9D9D9" w:sz="2" w:space="0"/>
            </w:tcBorders>
          </w:tcPr>
          <w:p w:rsidR="00C31389" w:rsidRDefault="00C31389" w14:paraId="01EE02C8" w14:textId="77777777">
            <w:pPr>
              <w:pStyle w:val="TableParagraph"/>
              <w:spacing w:before="6"/>
              <w:rPr>
                <w:sz w:val="23"/>
              </w:rPr>
            </w:pPr>
          </w:p>
          <w:p w:rsidR="00C31389" w:rsidRDefault="00561FBD" w14:paraId="22ED5B0B"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06CA8B2B" w14:textId="77777777">
            <w:pPr>
              <w:pStyle w:val="TableParagraph"/>
              <w:ind w:left="202"/>
              <w:rPr>
                <w:sz w:val="20"/>
              </w:rPr>
            </w:pPr>
            <w:r>
              <w:rPr>
                <w:sz w:val="20"/>
              </w:rPr>
              <w:t>T-20:</w:t>
            </w:r>
            <w:r>
              <w:rPr>
                <w:spacing w:val="-4"/>
                <w:sz w:val="20"/>
              </w:rPr>
              <w:t xml:space="preserve"> </w:t>
            </w:r>
            <w:r>
              <w:rPr>
                <w:sz w:val="20"/>
              </w:rPr>
              <w:t>Residential</w:t>
            </w:r>
            <w:r>
              <w:rPr>
                <w:spacing w:val="-3"/>
                <w:sz w:val="20"/>
              </w:rPr>
              <w:t xml:space="preserve"> </w:t>
            </w:r>
            <w:r>
              <w:rPr>
                <w:sz w:val="20"/>
              </w:rPr>
              <w:t>Faucets</w:t>
            </w:r>
            <w:r>
              <w:rPr>
                <w:spacing w:val="-4"/>
                <w:sz w:val="20"/>
              </w:rPr>
              <w:t xml:space="preserve"> </w:t>
            </w:r>
            <w:r>
              <w:rPr>
                <w:sz w:val="20"/>
              </w:rPr>
              <w:t>&amp;</w:t>
            </w:r>
            <w:r>
              <w:rPr>
                <w:spacing w:val="-3"/>
                <w:sz w:val="20"/>
              </w:rPr>
              <w:t xml:space="preserve"> </w:t>
            </w:r>
            <w:r>
              <w:rPr>
                <w:spacing w:val="-2"/>
                <w:sz w:val="20"/>
              </w:rPr>
              <w:t>Aerators</w:t>
            </w:r>
          </w:p>
          <w:p w:rsidR="00C31389" w:rsidRDefault="00561FBD" w14:paraId="2349B6C2" w14:textId="77777777">
            <w:pPr>
              <w:pStyle w:val="TableParagraph"/>
              <w:spacing w:before="0"/>
              <w:ind w:left="202" w:right="271"/>
              <w:rPr>
                <w:sz w:val="20"/>
              </w:rPr>
            </w:pPr>
            <w:r>
              <w:rPr>
                <w:sz w:val="20"/>
              </w:rPr>
              <w:t>-</w:t>
            </w:r>
            <w:r>
              <w:rPr>
                <w:spacing w:val="-7"/>
                <w:sz w:val="20"/>
              </w:rPr>
              <w:t xml:space="preserve"> </w:t>
            </w:r>
            <w:r>
              <w:rPr>
                <w:sz w:val="20"/>
              </w:rPr>
              <w:t>Lavatory</w:t>
            </w:r>
            <w:r>
              <w:rPr>
                <w:spacing w:val="-6"/>
                <w:sz w:val="20"/>
              </w:rPr>
              <w:t xml:space="preserve"> </w:t>
            </w:r>
            <w:r>
              <w:rPr>
                <w:sz w:val="20"/>
              </w:rPr>
              <w:t>w/</w:t>
            </w:r>
            <w:r>
              <w:rPr>
                <w:spacing w:val="-9"/>
                <w:sz w:val="20"/>
              </w:rPr>
              <w:t xml:space="preserve"> </w:t>
            </w:r>
            <w:r>
              <w:rPr>
                <w:sz w:val="20"/>
              </w:rPr>
              <w:t>Electric</w:t>
            </w:r>
            <w:r>
              <w:rPr>
                <w:spacing w:val="-6"/>
                <w:sz w:val="20"/>
              </w:rPr>
              <w:t xml:space="preserve"> </w:t>
            </w:r>
            <w:r>
              <w:rPr>
                <w:sz w:val="20"/>
              </w:rPr>
              <w:t>Water</w:t>
            </w:r>
            <w:r>
              <w:rPr>
                <w:spacing w:val="-6"/>
                <w:sz w:val="20"/>
              </w:rPr>
              <w:t xml:space="preserve"> </w:t>
            </w:r>
            <w:r>
              <w:rPr>
                <w:sz w:val="20"/>
              </w:rPr>
              <w:t>Heating</w:t>
            </w:r>
            <w:r>
              <w:rPr>
                <w:spacing w:val="-7"/>
                <w:sz w:val="20"/>
              </w:rPr>
              <w:t xml:space="preserve"> </w:t>
            </w:r>
            <w:r>
              <w:rPr>
                <w:sz w:val="20"/>
              </w:rPr>
              <w:t>- Tier 2</w:t>
            </w:r>
          </w:p>
        </w:tc>
        <w:tc>
          <w:tcPr>
            <w:tcW w:w="1227" w:type="dxa"/>
            <w:tcBorders>
              <w:top w:val="single" w:color="D9D9D9" w:sz="2" w:space="0"/>
              <w:bottom w:val="single" w:color="D9D9D9" w:sz="2" w:space="0"/>
            </w:tcBorders>
          </w:tcPr>
          <w:p w:rsidR="00C31389" w:rsidRDefault="00C31389" w14:paraId="5DF4E48D" w14:textId="77777777">
            <w:pPr>
              <w:pStyle w:val="TableParagraph"/>
              <w:spacing w:before="6"/>
              <w:rPr>
                <w:sz w:val="23"/>
              </w:rPr>
            </w:pPr>
          </w:p>
          <w:p w:rsidR="00C31389" w:rsidRDefault="00561FBD" w14:paraId="16F0D848" w14:textId="77777777">
            <w:pPr>
              <w:pStyle w:val="TableParagraph"/>
              <w:spacing w:before="0"/>
              <w:ind w:left="317"/>
              <w:rPr>
                <w:sz w:val="20"/>
              </w:rPr>
            </w:pPr>
            <w:r>
              <w:rPr>
                <w:spacing w:val="-4"/>
                <w:sz w:val="20"/>
              </w:rPr>
              <w:t>100%</w:t>
            </w:r>
          </w:p>
        </w:tc>
        <w:tc>
          <w:tcPr>
            <w:tcW w:w="1367" w:type="dxa"/>
            <w:tcBorders>
              <w:top w:val="single" w:color="D9D9D9" w:sz="2" w:space="0"/>
              <w:bottom w:val="single" w:color="D9D9D9" w:sz="2" w:space="0"/>
            </w:tcBorders>
          </w:tcPr>
          <w:p w:rsidR="00C31389" w:rsidRDefault="00C31389" w14:paraId="30A5FA94" w14:textId="77777777">
            <w:pPr>
              <w:pStyle w:val="TableParagraph"/>
              <w:spacing w:before="6"/>
              <w:rPr>
                <w:sz w:val="23"/>
              </w:rPr>
            </w:pPr>
          </w:p>
          <w:p w:rsidR="00C31389" w:rsidRDefault="00561FBD" w14:paraId="6A8AD0FC" w14:textId="77777777">
            <w:pPr>
              <w:pStyle w:val="TableParagraph"/>
              <w:spacing w:before="0"/>
              <w:ind w:right="232"/>
              <w:jc w:val="right"/>
              <w:rPr>
                <w:sz w:val="20"/>
              </w:rPr>
            </w:pPr>
            <w:r>
              <w:rPr>
                <w:spacing w:val="-2"/>
                <w:sz w:val="20"/>
              </w:rPr>
              <w:t>10/01/20</w:t>
            </w:r>
          </w:p>
        </w:tc>
        <w:tc>
          <w:tcPr>
            <w:tcW w:w="1580" w:type="dxa"/>
            <w:tcBorders>
              <w:top w:val="single" w:color="D9D9D9" w:sz="2" w:space="0"/>
              <w:bottom w:val="single" w:color="D9D9D9" w:sz="2" w:space="0"/>
            </w:tcBorders>
          </w:tcPr>
          <w:p w:rsidR="00C31389" w:rsidRDefault="00C31389" w14:paraId="6A804FDA" w14:textId="77777777">
            <w:pPr>
              <w:pStyle w:val="TableParagraph"/>
              <w:spacing w:before="6"/>
              <w:rPr>
                <w:sz w:val="23"/>
              </w:rPr>
            </w:pPr>
          </w:p>
          <w:p w:rsidR="00C31389" w:rsidRDefault="00561FBD" w14:paraId="57844525" w14:textId="77777777">
            <w:pPr>
              <w:pStyle w:val="TableParagraph"/>
              <w:spacing w:before="0"/>
              <w:ind w:left="198" w:right="150"/>
              <w:jc w:val="center"/>
              <w:rPr>
                <w:sz w:val="20"/>
              </w:rPr>
            </w:pPr>
            <w:r>
              <w:rPr>
                <w:spacing w:val="-2"/>
                <w:sz w:val="20"/>
              </w:rPr>
              <w:t>On-the-books</w:t>
            </w:r>
          </w:p>
        </w:tc>
      </w:tr>
      <w:tr w:rsidR="00C31389" w14:paraId="61E4A708" w14:textId="77777777">
        <w:trPr>
          <w:trHeight w:val="770"/>
        </w:trPr>
        <w:tc>
          <w:tcPr>
            <w:tcW w:w="1367" w:type="dxa"/>
            <w:tcBorders>
              <w:top w:val="single" w:color="D9D9D9" w:sz="2" w:space="0"/>
              <w:bottom w:val="single" w:color="D9D9D9" w:sz="2" w:space="0"/>
            </w:tcBorders>
          </w:tcPr>
          <w:p w:rsidR="00C31389" w:rsidRDefault="00C31389" w14:paraId="07DC93CF" w14:textId="77777777">
            <w:pPr>
              <w:pStyle w:val="TableParagraph"/>
              <w:spacing w:before="6"/>
              <w:rPr>
                <w:sz w:val="23"/>
              </w:rPr>
            </w:pPr>
          </w:p>
          <w:p w:rsidR="00C31389" w:rsidRDefault="00561FBD" w14:paraId="341F2F43"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2B64E69F" w14:textId="77777777">
            <w:pPr>
              <w:pStyle w:val="TableParagraph"/>
              <w:ind w:left="202"/>
              <w:rPr>
                <w:sz w:val="20"/>
              </w:rPr>
            </w:pPr>
            <w:r>
              <w:rPr>
                <w:sz w:val="20"/>
              </w:rPr>
              <w:t>T-20:</w:t>
            </w:r>
            <w:r>
              <w:rPr>
                <w:spacing w:val="-4"/>
                <w:sz w:val="20"/>
              </w:rPr>
              <w:t xml:space="preserve"> </w:t>
            </w:r>
            <w:r>
              <w:rPr>
                <w:sz w:val="20"/>
              </w:rPr>
              <w:t>Residential</w:t>
            </w:r>
            <w:r>
              <w:rPr>
                <w:spacing w:val="-3"/>
                <w:sz w:val="20"/>
              </w:rPr>
              <w:t xml:space="preserve"> </w:t>
            </w:r>
            <w:r>
              <w:rPr>
                <w:sz w:val="20"/>
              </w:rPr>
              <w:t>Faucets</w:t>
            </w:r>
            <w:r>
              <w:rPr>
                <w:spacing w:val="-4"/>
                <w:sz w:val="20"/>
              </w:rPr>
              <w:t xml:space="preserve"> </w:t>
            </w:r>
            <w:r>
              <w:rPr>
                <w:sz w:val="20"/>
              </w:rPr>
              <w:t>&amp;</w:t>
            </w:r>
            <w:r>
              <w:rPr>
                <w:spacing w:val="-3"/>
                <w:sz w:val="20"/>
              </w:rPr>
              <w:t xml:space="preserve"> </w:t>
            </w:r>
            <w:r>
              <w:rPr>
                <w:spacing w:val="-2"/>
                <w:sz w:val="20"/>
              </w:rPr>
              <w:t>Aerators</w:t>
            </w:r>
          </w:p>
          <w:p w:rsidR="00C31389" w:rsidRDefault="00561FBD" w14:paraId="58F02DF6" w14:textId="77777777">
            <w:pPr>
              <w:pStyle w:val="TableParagraph"/>
              <w:spacing w:before="0"/>
              <w:ind w:left="202" w:right="271"/>
              <w:rPr>
                <w:sz w:val="20"/>
              </w:rPr>
            </w:pPr>
            <w:r>
              <w:rPr>
                <w:sz w:val="20"/>
              </w:rPr>
              <w:t>-</w:t>
            </w:r>
            <w:r>
              <w:rPr>
                <w:spacing w:val="-8"/>
                <w:sz w:val="20"/>
              </w:rPr>
              <w:t xml:space="preserve"> </w:t>
            </w:r>
            <w:r>
              <w:rPr>
                <w:sz w:val="20"/>
              </w:rPr>
              <w:t>Lavatory</w:t>
            </w:r>
            <w:r>
              <w:rPr>
                <w:spacing w:val="-7"/>
                <w:sz w:val="20"/>
              </w:rPr>
              <w:t xml:space="preserve"> </w:t>
            </w:r>
            <w:r>
              <w:rPr>
                <w:sz w:val="20"/>
              </w:rPr>
              <w:t>w/</w:t>
            </w:r>
            <w:r>
              <w:rPr>
                <w:spacing w:val="-10"/>
                <w:sz w:val="20"/>
              </w:rPr>
              <w:t xml:space="preserve"> </w:t>
            </w:r>
            <w:r>
              <w:rPr>
                <w:sz w:val="20"/>
              </w:rPr>
              <w:t>Natural</w:t>
            </w:r>
            <w:r>
              <w:rPr>
                <w:spacing w:val="-8"/>
                <w:sz w:val="20"/>
              </w:rPr>
              <w:t xml:space="preserve"> </w:t>
            </w:r>
            <w:r>
              <w:rPr>
                <w:sz w:val="20"/>
              </w:rPr>
              <w:t>Gas</w:t>
            </w:r>
            <w:r>
              <w:rPr>
                <w:spacing w:val="-7"/>
                <w:sz w:val="20"/>
              </w:rPr>
              <w:t xml:space="preserve"> </w:t>
            </w:r>
            <w:r>
              <w:rPr>
                <w:sz w:val="20"/>
              </w:rPr>
              <w:t>Water Heating - Tier 2</w:t>
            </w:r>
          </w:p>
        </w:tc>
        <w:tc>
          <w:tcPr>
            <w:tcW w:w="1227" w:type="dxa"/>
            <w:tcBorders>
              <w:top w:val="single" w:color="D9D9D9" w:sz="2" w:space="0"/>
              <w:bottom w:val="single" w:color="D9D9D9" w:sz="2" w:space="0"/>
            </w:tcBorders>
          </w:tcPr>
          <w:p w:rsidR="00C31389" w:rsidRDefault="00C31389" w14:paraId="11202C28" w14:textId="77777777">
            <w:pPr>
              <w:pStyle w:val="TableParagraph"/>
              <w:spacing w:before="6"/>
              <w:rPr>
                <w:sz w:val="23"/>
              </w:rPr>
            </w:pPr>
          </w:p>
          <w:p w:rsidR="00C31389" w:rsidRDefault="00561FBD" w14:paraId="1A4AC2B1" w14:textId="77777777">
            <w:pPr>
              <w:pStyle w:val="TableParagraph"/>
              <w:spacing w:before="0"/>
              <w:ind w:left="317"/>
              <w:rPr>
                <w:sz w:val="20"/>
              </w:rPr>
            </w:pPr>
            <w:r>
              <w:rPr>
                <w:spacing w:val="-4"/>
                <w:sz w:val="20"/>
              </w:rPr>
              <w:t>100%</w:t>
            </w:r>
          </w:p>
        </w:tc>
        <w:tc>
          <w:tcPr>
            <w:tcW w:w="1367" w:type="dxa"/>
            <w:tcBorders>
              <w:top w:val="single" w:color="D9D9D9" w:sz="2" w:space="0"/>
              <w:bottom w:val="single" w:color="D9D9D9" w:sz="2" w:space="0"/>
            </w:tcBorders>
          </w:tcPr>
          <w:p w:rsidR="00C31389" w:rsidRDefault="00C31389" w14:paraId="411BB0B4" w14:textId="77777777">
            <w:pPr>
              <w:pStyle w:val="TableParagraph"/>
              <w:spacing w:before="6"/>
              <w:rPr>
                <w:sz w:val="23"/>
              </w:rPr>
            </w:pPr>
          </w:p>
          <w:p w:rsidR="00C31389" w:rsidRDefault="00561FBD" w14:paraId="5E56D044" w14:textId="77777777">
            <w:pPr>
              <w:pStyle w:val="TableParagraph"/>
              <w:spacing w:before="0"/>
              <w:ind w:right="232"/>
              <w:jc w:val="right"/>
              <w:rPr>
                <w:sz w:val="20"/>
              </w:rPr>
            </w:pPr>
            <w:r>
              <w:rPr>
                <w:spacing w:val="-2"/>
                <w:sz w:val="20"/>
              </w:rPr>
              <w:t>10/01/20</w:t>
            </w:r>
          </w:p>
        </w:tc>
        <w:tc>
          <w:tcPr>
            <w:tcW w:w="1580" w:type="dxa"/>
            <w:tcBorders>
              <w:top w:val="single" w:color="D9D9D9" w:sz="2" w:space="0"/>
              <w:bottom w:val="single" w:color="D9D9D9" w:sz="2" w:space="0"/>
            </w:tcBorders>
          </w:tcPr>
          <w:p w:rsidR="00C31389" w:rsidRDefault="00C31389" w14:paraId="4380A99A" w14:textId="77777777">
            <w:pPr>
              <w:pStyle w:val="TableParagraph"/>
              <w:spacing w:before="6"/>
              <w:rPr>
                <w:sz w:val="23"/>
              </w:rPr>
            </w:pPr>
          </w:p>
          <w:p w:rsidR="00C31389" w:rsidRDefault="00561FBD" w14:paraId="39F75E2D" w14:textId="77777777">
            <w:pPr>
              <w:pStyle w:val="TableParagraph"/>
              <w:spacing w:before="0"/>
              <w:ind w:left="198" w:right="150"/>
              <w:jc w:val="center"/>
              <w:rPr>
                <w:sz w:val="20"/>
              </w:rPr>
            </w:pPr>
            <w:r>
              <w:rPr>
                <w:spacing w:val="-2"/>
                <w:sz w:val="20"/>
              </w:rPr>
              <w:t>On-the-books</w:t>
            </w:r>
          </w:p>
        </w:tc>
      </w:tr>
      <w:tr w:rsidR="00C31389" w14:paraId="149A6B06" w14:textId="77777777">
        <w:trPr>
          <w:trHeight w:val="539"/>
        </w:trPr>
        <w:tc>
          <w:tcPr>
            <w:tcW w:w="1367" w:type="dxa"/>
            <w:tcBorders>
              <w:top w:val="single" w:color="D9D9D9" w:sz="2" w:space="0"/>
              <w:bottom w:val="single" w:color="D9D9D9" w:sz="2" w:space="0"/>
            </w:tcBorders>
          </w:tcPr>
          <w:p w:rsidR="00C31389" w:rsidRDefault="00561FBD" w14:paraId="1BE8D113"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4DA98059" w14:textId="77777777">
            <w:pPr>
              <w:pStyle w:val="TableParagraph"/>
              <w:ind w:left="202" w:right="355"/>
              <w:rPr>
                <w:sz w:val="20"/>
              </w:rPr>
            </w:pPr>
            <w:r>
              <w:rPr>
                <w:sz w:val="20"/>
              </w:rPr>
              <w:t>T-20:</w:t>
            </w:r>
            <w:r>
              <w:rPr>
                <w:spacing w:val="-10"/>
                <w:sz w:val="20"/>
              </w:rPr>
              <w:t xml:space="preserve"> </w:t>
            </w:r>
            <w:r>
              <w:rPr>
                <w:sz w:val="20"/>
              </w:rPr>
              <w:t>Showerheads</w:t>
            </w:r>
            <w:r>
              <w:rPr>
                <w:spacing w:val="-9"/>
                <w:sz w:val="20"/>
              </w:rPr>
              <w:t xml:space="preserve"> </w:t>
            </w:r>
            <w:r>
              <w:rPr>
                <w:sz w:val="20"/>
              </w:rPr>
              <w:t>-</w:t>
            </w:r>
            <w:r>
              <w:rPr>
                <w:spacing w:val="-10"/>
                <w:sz w:val="20"/>
              </w:rPr>
              <w:t xml:space="preserve"> </w:t>
            </w:r>
            <w:r>
              <w:rPr>
                <w:sz w:val="20"/>
              </w:rPr>
              <w:t>w/</w:t>
            </w:r>
            <w:r>
              <w:rPr>
                <w:spacing w:val="-10"/>
                <w:sz w:val="20"/>
              </w:rPr>
              <w:t xml:space="preserve"> </w:t>
            </w:r>
            <w:r>
              <w:rPr>
                <w:sz w:val="20"/>
              </w:rPr>
              <w:t>Electric Water Heaters - Tier 1</w:t>
            </w:r>
          </w:p>
        </w:tc>
        <w:tc>
          <w:tcPr>
            <w:tcW w:w="1227" w:type="dxa"/>
            <w:tcBorders>
              <w:top w:val="single" w:color="D9D9D9" w:sz="2" w:space="0"/>
              <w:bottom w:val="single" w:color="D9D9D9" w:sz="2" w:space="0"/>
            </w:tcBorders>
          </w:tcPr>
          <w:p w:rsidR="00C31389" w:rsidRDefault="00561FBD" w14:paraId="7AADA3E1" w14:textId="77777777">
            <w:pPr>
              <w:pStyle w:val="TableParagraph"/>
              <w:spacing w:before="155"/>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7274EEDD" w14:textId="77777777">
            <w:pPr>
              <w:pStyle w:val="TableParagraph"/>
              <w:spacing w:before="155"/>
              <w:ind w:right="232"/>
              <w:jc w:val="right"/>
              <w:rPr>
                <w:sz w:val="20"/>
              </w:rPr>
            </w:pPr>
            <w:r>
              <w:rPr>
                <w:spacing w:val="-2"/>
                <w:sz w:val="20"/>
              </w:rPr>
              <w:t>10/01/20</w:t>
            </w:r>
          </w:p>
        </w:tc>
        <w:tc>
          <w:tcPr>
            <w:tcW w:w="1580" w:type="dxa"/>
            <w:tcBorders>
              <w:top w:val="single" w:color="D9D9D9" w:sz="2" w:space="0"/>
              <w:bottom w:val="single" w:color="D9D9D9" w:sz="2" w:space="0"/>
            </w:tcBorders>
          </w:tcPr>
          <w:p w:rsidR="00C31389" w:rsidRDefault="00561FBD" w14:paraId="0AFC8581" w14:textId="77777777">
            <w:pPr>
              <w:pStyle w:val="TableParagraph"/>
              <w:spacing w:before="155"/>
              <w:ind w:left="198" w:right="150"/>
              <w:jc w:val="center"/>
              <w:rPr>
                <w:sz w:val="20"/>
              </w:rPr>
            </w:pPr>
            <w:r>
              <w:rPr>
                <w:spacing w:val="-2"/>
                <w:sz w:val="20"/>
              </w:rPr>
              <w:t>On-the-books</w:t>
            </w:r>
          </w:p>
        </w:tc>
      </w:tr>
      <w:tr w:rsidR="00C31389" w14:paraId="7987FC84" w14:textId="77777777">
        <w:trPr>
          <w:trHeight w:val="539"/>
        </w:trPr>
        <w:tc>
          <w:tcPr>
            <w:tcW w:w="1367" w:type="dxa"/>
            <w:tcBorders>
              <w:top w:val="single" w:color="D9D9D9" w:sz="2" w:space="0"/>
              <w:bottom w:val="single" w:color="D9D9D9" w:sz="2" w:space="0"/>
            </w:tcBorders>
          </w:tcPr>
          <w:p w:rsidR="00C31389" w:rsidRDefault="00561FBD" w14:paraId="030891C3"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7ACC8B60" w14:textId="77777777">
            <w:pPr>
              <w:pStyle w:val="TableParagraph"/>
              <w:ind w:left="202"/>
              <w:rPr>
                <w:sz w:val="20"/>
              </w:rPr>
            </w:pPr>
            <w:r>
              <w:rPr>
                <w:sz w:val="20"/>
              </w:rPr>
              <w:t>T-20:</w:t>
            </w:r>
            <w:r>
              <w:rPr>
                <w:spacing w:val="-8"/>
                <w:sz w:val="20"/>
              </w:rPr>
              <w:t xml:space="preserve"> </w:t>
            </w:r>
            <w:r>
              <w:rPr>
                <w:sz w:val="20"/>
              </w:rPr>
              <w:t>Showerheads</w:t>
            </w:r>
            <w:r>
              <w:rPr>
                <w:spacing w:val="-7"/>
                <w:sz w:val="20"/>
              </w:rPr>
              <w:t xml:space="preserve"> </w:t>
            </w:r>
            <w:r>
              <w:rPr>
                <w:sz w:val="20"/>
              </w:rPr>
              <w:t>-</w:t>
            </w:r>
            <w:r>
              <w:rPr>
                <w:spacing w:val="-8"/>
                <w:sz w:val="20"/>
              </w:rPr>
              <w:t xml:space="preserve"> </w:t>
            </w:r>
            <w:r>
              <w:rPr>
                <w:sz w:val="20"/>
              </w:rPr>
              <w:t>w/</w:t>
            </w:r>
            <w:r>
              <w:rPr>
                <w:spacing w:val="-8"/>
                <w:sz w:val="20"/>
              </w:rPr>
              <w:t xml:space="preserve"> </w:t>
            </w:r>
            <w:r>
              <w:rPr>
                <w:sz w:val="20"/>
              </w:rPr>
              <w:t>Natural</w:t>
            </w:r>
            <w:r>
              <w:rPr>
                <w:spacing w:val="-8"/>
                <w:sz w:val="20"/>
              </w:rPr>
              <w:t xml:space="preserve"> </w:t>
            </w:r>
            <w:r>
              <w:rPr>
                <w:sz w:val="20"/>
              </w:rPr>
              <w:t xml:space="preserve">Gas </w:t>
            </w:r>
            <w:r>
              <w:rPr>
                <w:sz w:val="20"/>
              </w:rPr>
              <w:t>Water Heaters - Tier 1</w:t>
            </w:r>
          </w:p>
        </w:tc>
        <w:tc>
          <w:tcPr>
            <w:tcW w:w="1227" w:type="dxa"/>
            <w:tcBorders>
              <w:top w:val="single" w:color="D9D9D9" w:sz="2" w:space="0"/>
              <w:bottom w:val="single" w:color="D9D9D9" w:sz="2" w:space="0"/>
            </w:tcBorders>
          </w:tcPr>
          <w:p w:rsidR="00C31389" w:rsidRDefault="00561FBD" w14:paraId="140BE228" w14:textId="77777777">
            <w:pPr>
              <w:pStyle w:val="TableParagraph"/>
              <w:spacing w:before="155"/>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26EFE1E3" w14:textId="77777777">
            <w:pPr>
              <w:pStyle w:val="TableParagraph"/>
              <w:spacing w:before="155"/>
              <w:ind w:right="232"/>
              <w:jc w:val="right"/>
              <w:rPr>
                <w:sz w:val="20"/>
              </w:rPr>
            </w:pPr>
            <w:r>
              <w:rPr>
                <w:spacing w:val="-2"/>
                <w:sz w:val="20"/>
              </w:rPr>
              <w:t>10/01/20</w:t>
            </w:r>
          </w:p>
        </w:tc>
        <w:tc>
          <w:tcPr>
            <w:tcW w:w="1580" w:type="dxa"/>
            <w:tcBorders>
              <w:top w:val="single" w:color="D9D9D9" w:sz="2" w:space="0"/>
              <w:bottom w:val="single" w:color="D9D9D9" w:sz="2" w:space="0"/>
            </w:tcBorders>
          </w:tcPr>
          <w:p w:rsidR="00C31389" w:rsidRDefault="00561FBD" w14:paraId="5BB994A2" w14:textId="77777777">
            <w:pPr>
              <w:pStyle w:val="TableParagraph"/>
              <w:spacing w:before="155"/>
              <w:ind w:left="198" w:right="150"/>
              <w:jc w:val="center"/>
              <w:rPr>
                <w:sz w:val="20"/>
              </w:rPr>
            </w:pPr>
            <w:r>
              <w:rPr>
                <w:spacing w:val="-2"/>
                <w:sz w:val="20"/>
              </w:rPr>
              <w:t>On-the-books</w:t>
            </w:r>
          </w:p>
        </w:tc>
      </w:tr>
      <w:tr w:rsidR="00C31389" w14:paraId="36F02EDA" w14:textId="77777777">
        <w:trPr>
          <w:trHeight w:val="310"/>
        </w:trPr>
        <w:tc>
          <w:tcPr>
            <w:tcW w:w="1367" w:type="dxa"/>
            <w:tcBorders>
              <w:top w:val="single" w:color="D9D9D9" w:sz="2" w:space="0"/>
              <w:bottom w:val="single" w:color="D9D9D9" w:sz="2" w:space="0"/>
            </w:tcBorders>
          </w:tcPr>
          <w:p w:rsidR="00C31389" w:rsidRDefault="00561FBD" w14:paraId="70EF42D8" w14:textId="77777777">
            <w:pPr>
              <w:pStyle w:val="TableParagraph"/>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25E45214" w14:textId="77777777">
            <w:pPr>
              <w:pStyle w:val="TableParagraph"/>
              <w:ind w:left="202"/>
              <w:rPr>
                <w:sz w:val="20"/>
              </w:rPr>
            </w:pPr>
            <w:r>
              <w:rPr>
                <w:sz w:val="20"/>
              </w:rPr>
              <w:t>2016</w:t>
            </w:r>
            <w:r>
              <w:rPr>
                <w:spacing w:val="-3"/>
                <w:sz w:val="20"/>
              </w:rPr>
              <w:t xml:space="preserve"> </w:t>
            </w:r>
            <w:r>
              <w:rPr>
                <w:sz w:val="20"/>
              </w:rPr>
              <w:t>T-20:</w:t>
            </w:r>
            <w:r>
              <w:rPr>
                <w:spacing w:val="-2"/>
                <w:sz w:val="20"/>
              </w:rPr>
              <w:t xml:space="preserve"> </w:t>
            </w:r>
            <w:r>
              <w:rPr>
                <w:sz w:val="20"/>
              </w:rPr>
              <w:t>LED</w:t>
            </w:r>
            <w:r>
              <w:rPr>
                <w:spacing w:val="-2"/>
                <w:sz w:val="20"/>
              </w:rPr>
              <w:t xml:space="preserve"> </w:t>
            </w:r>
            <w:r>
              <w:rPr>
                <w:sz w:val="20"/>
              </w:rPr>
              <w:t>Quality</w:t>
            </w:r>
            <w:r>
              <w:rPr>
                <w:spacing w:val="-3"/>
                <w:sz w:val="20"/>
              </w:rPr>
              <w:t xml:space="preserve"> </w:t>
            </w:r>
            <w:r>
              <w:rPr>
                <w:sz w:val="20"/>
              </w:rPr>
              <w:t>-</w:t>
            </w:r>
            <w:r>
              <w:rPr>
                <w:spacing w:val="-3"/>
                <w:sz w:val="20"/>
              </w:rPr>
              <w:t xml:space="preserve"> </w:t>
            </w:r>
            <w:r>
              <w:rPr>
                <w:sz w:val="20"/>
              </w:rPr>
              <w:t>Tier</w:t>
            </w:r>
            <w:r>
              <w:rPr>
                <w:spacing w:val="-1"/>
                <w:sz w:val="20"/>
              </w:rPr>
              <w:t xml:space="preserve"> </w:t>
            </w:r>
            <w:r>
              <w:rPr>
                <w:spacing w:val="-10"/>
                <w:sz w:val="20"/>
              </w:rPr>
              <w:t>2</w:t>
            </w:r>
          </w:p>
        </w:tc>
        <w:tc>
          <w:tcPr>
            <w:tcW w:w="1227" w:type="dxa"/>
            <w:tcBorders>
              <w:top w:val="single" w:color="D9D9D9" w:sz="2" w:space="0"/>
              <w:bottom w:val="single" w:color="D9D9D9" w:sz="2" w:space="0"/>
            </w:tcBorders>
          </w:tcPr>
          <w:p w:rsidR="00C31389" w:rsidRDefault="00561FBD" w14:paraId="432D9B9D" w14:textId="77777777">
            <w:pPr>
              <w:pStyle w:val="TableParagraph"/>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47B7A16A" w14:textId="77777777">
            <w:pPr>
              <w:pStyle w:val="TableParagraph"/>
              <w:ind w:right="232"/>
              <w:jc w:val="right"/>
              <w:rPr>
                <w:sz w:val="20"/>
              </w:rPr>
            </w:pPr>
            <w:r>
              <w:rPr>
                <w:spacing w:val="-2"/>
                <w:sz w:val="20"/>
              </w:rPr>
              <w:t>01/15/21</w:t>
            </w:r>
          </w:p>
        </w:tc>
        <w:tc>
          <w:tcPr>
            <w:tcW w:w="1580" w:type="dxa"/>
            <w:tcBorders>
              <w:top w:val="single" w:color="D9D9D9" w:sz="2" w:space="0"/>
              <w:bottom w:val="single" w:color="D9D9D9" w:sz="2" w:space="0"/>
            </w:tcBorders>
          </w:tcPr>
          <w:p w:rsidR="00C31389" w:rsidRDefault="00561FBD" w14:paraId="6AB82F01" w14:textId="77777777">
            <w:pPr>
              <w:pStyle w:val="TableParagraph"/>
              <w:ind w:left="198" w:right="150"/>
              <w:jc w:val="center"/>
              <w:rPr>
                <w:sz w:val="20"/>
              </w:rPr>
            </w:pPr>
            <w:r>
              <w:rPr>
                <w:spacing w:val="-2"/>
                <w:sz w:val="20"/>
              </w:rPr>
              <w:t>On-the-books</w:t>
            </w:r>
          </w:p>
        </w:tc>
      </w:tr>
      <w:tr w:rsidR="00C31389" w14:paraId="6F41797C" w14:textId="77777777">
        <w:trPr>
          <w:trHeight w:val="309"/>
        </w:trPr>
        <w:tc>
          <w:tcPr>
            <w:tcW w:w="1367" w:type="dxa"/>
            <w:tcBorders>
              <w:top w:val="single" w:color="D9D9D9" w:sz="2" w:space="0"/>
              <w:bottom w:val="single" w:color="D9D9D9" w:sz="2" w:space="0"/>
            </w:tcBorders>
          </w:tcPr>
          <w:p w:rsidR="00C31389" w:rsidRDefault="00561FBD" w14:paraId="374233D8" w14:textId="77777777">
            <w:pPr>
              <w:pStyle w:val="TableParagraph"/>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01CBA65C" w14:textId="77777777">
            <w:pPr>
              <w:pStyle w:val="TableParagraph"/>
              <w:ind w:left="202"/>
              <w:rPr>
                <w:sz w:val="20"/>
              </w:rPr>
            </w:pPr>
            <w:r>
              <w:rPr>
                <w:sz w:val="20"/>
              </w:rPr>
              <w:t>2016</w:t>
            </w:r>
            <w:r>
              <w:rPr>
                <w:spacing w:val="-3"/>
                <w:sz w:val="20"/>
              </w:rPr>
              <w:t xml:space="preserve"> </w:t>
            </w:r>
            <w:r>
              <w:rPr>
                <w:sz w:val="20"/>
              </w:rPr>
              <w:t>T-20:</w:t>
            </w:r>
            <w:r>
              <w:rPr>
                <w:spacing w:val="-3"/>
                <w:sz w:val="20"/>
              </w:rPr>
              <w:t xml:space="preserve"> </w:t>
            </w:r>
            <w:r>
              <w:rPr>
                <w:sz w:val="20"/>
              </w:rPr>
              <w:t>Computers</w:t>
            </w:r>
            <w:r>
              <w:rPr>
                <w:spacing w:val="-3"/>
                <w:sz w:val="20"/>
              </w:rPr>
              <w:t xml:space="preserve"> </w:t>
            </w:r>
            <w:r>
              <w:rPr>
                <w:sz w:val="20"/>
              </w:rPr>
              <w:t>-</w:t>
            </w:r>
            <w:r>
              <w:rPr>
                <w:spacing w:val="-3"/>
                <w:sz w:val="20"/>
              </w:rPr>
              <w:t xml:space="preserve"> </w:t>
            </w:r>
            <w:r>
              <w:rPr>
                <w:spacing w:val="-2"/>
                <w:sz w:val="20"/>
              </w:rPr>
              <w:t>Notebooks</w:t>
            </w:r>
          </w:p>
        </w:tc>
        <w:tc>
          <w:tcPr>
            <w:tcW w:w="1227" w:type="dxa"/>
            <w:tcBorders>
              <w:top w:val="single" w:color="D9D9D9" w:sz="2" w:space="0"/>
              <w:bottom w:val="single" w:color="D9D9D9" w:sz="2" w:space="0"/>
            </w:tcBorders>
          </w:tcPr>
          <w:p w:rsidR="00C31389" w:rsidRDefault="00561FBD" w14:paraId="7CB9D66F" w14:textId="77777777">
            <w:pPr>
              <w:pStyle w:val="TableParagraph"/>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00645751" w14:textId="77777777">
            <w:pPr>
              <w:pStyle w:val="TableParagraph"/>
              <w:ind w:right="232"/>
              <w:jc w:val="right"/>
              <w:rPr>
                <w:sz w:val="20"/>
              </w:rPr>
            </w:pPr>
            <w:r>
              <w:rPr>
                <w:spacing w:val="-2"/>
                <w:sz w:val="20"/>
              </w:rPr>
              <w:t>01/15/21</w:t>
            </w:r>
          </w:p>
        </w:tc>
        <w:tc>
          <w:tcPr>
            <w:tcW w:w="1580" w:type="dxa"/>
            <w:tcBorders>
              <w:top w:val="single" w:color="D9D9D9" w:sz="2" w:space="0"/>
              <w:bottom w:val="single" w:color="D9D9D9" w:sz="2" w:space="0"/>
            </w:tcBorders>
          </w:tcPr>
          <w:p w:rsidR="00C31389" w:rsidRDefault="00561FBD" w14:paraId="247673B4" w14:textId="77777777">
            <w:pPr>
              <w:pStyle w:val="TableParagraph"/>
              <w:ind w:left="198" w:right="150"/>
              <w:jc w:val="center"/>
              <w:rPr>
                <w:sz w:val="20"/>
              </w:rPr>
            </w:pPr>
            <w:r>
              <w:rPr>
                <w:spacing w:val="-2"/>
                <w:sz w:val="20"/>
              </w:rPr>
              <w:t>On-the-books</w:t>
            </w:r>
          </w:p>
        </w:tc>
      </w:tr>
      <w:tr w:rsidR="00C31389" w14:paraId="341909EB" w14:textId="77777777">
        <w:trPr>
          <w:trHeight w:val="539"/>
        </w:trPr>
        <w:tc>
          <w:tcPr>
            <w:tcW w:w="1367" w:type="dxa"/>
            <w:tcBorders>
              <w:top w:val="single" w:color="D9D9D9" w:sz="2" w:space="0"/>
              <w:bottom w:val="single" w:color="D9D9D9" w:sz="2" w:space="0"/>
            </w:tcBorders>
          </w:tcPr>
          <w:p w:rsidR="00C31389" w:rsidRDefault="00561FBD" w14:paraId="3DDE8202"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1C2E593A" w14:textId="77777777">
            <w:pPr>
              <w:pStyle w:val="TableParagraph"/>
              <w:ind w:left="202" w:right="271"/>
              <w:rPr>
                <w:sz w:val="20"/>
              </w:rPr>
            </w:pPr>
            <w:r>
              <w:rPr>
                <w:sz w:val="20"/>
              </w:rPr>
              <w:t>2016</w:t>
            </w:r>
            <w:r>
              <w:rPr>
                <w:spacing w:val="-8"/>
                <w:sz w:val="20"/>
              </w:rPr>
              <w:t xml:space="preserve"> </w:t>
            </w:r>
            <w:r>
              <w:rPr>
                <w:sz w:val="20"/>
              </w:rPr>
              <w:t>T-20:</w:t>
            </w:r>
            <w:r>
              <w:rPr>
                <w:spacing w:val="-8"/>
                <w:sz w:val="20"/>
              </w:rPr>
              <w:t xml:space="preserve"> </w:t>
            </w:r>
            <w:r>
              <w:rPr>
                <w:sz w:val="20"/>
              </w:rPr>
              <w:t>Computers</w:t>
            </w:r>
            <w:r>
              <w:rPr>
                <w:spacing w:val="-8"/>
                <w:sz w:val="20"/>
              </w:rPr>
              <w:t xml:space="preserve"> </w:t>
            </w:r>
            <w:r>
              <w:rPr>
                <w:sz w:val="20"/>
              </w:rPr>
              <w:t>-</w:t>
            </w:r>
            <w:r>
              <w:rPr>
                <w:spacing w:val="-9"/>
                <w:sz w:val="20"/>
              </w:rPr>
              <w:t xml:space="preserve"> </w:t>
            </w:r>
            <w:r>
              <w:rPr>
                <w:sz w:val="20"/>
              </w:rPr>
              <w:t>Desktops</w:t>
            </w:r>
            <w:r>
              <w:rPr>
                <w:spacing w:val="-7"/>
                <w:sz w:val="20"/>
              </w:rPr>
              <w:t xml:space="preserve"> </w:t>
            </w:r>
            <w:r>
              <w:rPr>
                <w:sz w:val="20"/>
              </w:rPr>
              <w:t>- Tier 1</w:t>
            </w:r>
          </w:p>
        </w:tc>
        <w:tc>
          <w:tcPr>
            <w:tcW w:w="1227" w:type="dxa"/>
            <w:tcBorders>
              <w:top w:val="single" w:color="D9D9D9" w:sz="2" w:space="0"/>
              <w:bottom w:val="single" w:color="D9D9D9" w:sz="2" w:space="0"/>
            </w:tcBorders>
          </w:tcPr>
          <w:p w:rsidR="00C31389" w:rsidRDefault="00561FBD" w14:paraId="3921B906" w14:textId="77777777">
            <w:pPr>
              <w:pStyle w:val="TableParagraph"/>
              <w:spacing w:before="155"/>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5DC3E26F" w14:textId="77777777">
            <w:pPr>
              <w:pStyle w:val="TableParagraph"/>
              <w:spacing w:before="155"/>
              <w:ind w:right="232"/>
              <w:jc w:val="right"/>
              <w:rPr>
                <w:sz w:val="20"/>
              </w:rPr>
            </w:pPr>
            <w:r>
              <w:rPr>
                <w:spacing w:val="-2"/>
                <w:sz w:val="20"/>
              </w:rPr>
              <w:t>09/23/19</w:t>
            </w:r>
          </w:p>
        </w:tc>
        <w:tc>
          <w:tcPr>
            <w:tcW w:w="1580" w:type="dxa"/>
            <w:tcBorders>
              <w:top w:val="single" w:color="D9D9D9" w:sz="2" w:space="0"/>
              <w:bottom w:val="single" w:color="D9D9D9" w:sz="2" w:space="0"/>
            </w:tcBorders>
          </w:tcPr>
          <w:p w:rsidR="00C31389" w:rsidRDefault="00561FBD" w14:paraId="3ED2B290" w14:textId="77777777">
            <w:pPr>
              <w:pStyle w:val="TableParagraph"/>
              <w:spacing w:before="155"/>
              <w:ind w:left="198" w:right="151"/>
              <w:jc w:val="center"/>
              <w:rPr>
                <w:sz w:val="20"/>
              </w:rPr>
            </w:pPr>
            <w:r>
              <w:rPr>
                <w:spacing w:val="-2"/>
                <w:sz w:val="20"/>
              </w:rPr>
              <w:t>On-the-books</w:t>
            </w:r>
          </w:p>
        </w:tc>
      </w:tr>
      <w:tr w:rsidR="00C31389" w14:paraId="6CC276B4" w14:textId="77777777">
        <w:trPr>
          <w:trHeight w:val="539"/>
        </w:trPr>
        <w:tc>
          <w:tcPr>
            <w:tcW w:w="1367" w:type="dxa"/>
            <w:tcBorders>
              <w:top w:val="single" w:color="D9D9D9" w:sz="2" w:space="0"/>
              <w:bottom w:val="single" w:color="D9D9D9" w:sz="2" w:space="0"/>
            </w:tcBorders>
          </w:tcPr>
          <w:p w:rsidR="00C31389" w:rsidRDefault="00561FBD" w14:paraId="3F9E3A69"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3433B745" w14:textId="77777777">
            <w:pPr>
              <w:pStyle w:val="TableParagraph"/>
              <w:ind w:left="202" w:right="271"/>
              <w:rPr>
                <w:sz w:val="20"/>
              </w:rPr>
            </w:pPr>
            <w:r>
              <w:rPr>
                <w:sz w:val="20"/>
              </w:rPr>
              <w:t>2016</w:t>
            </w:r>
            <w:r>
              <w:rPr>
                <w:spacing w:val="-8"/>
                <w:sz w:val="20"/>
              </w:rPr>
              <w:t xml:space="preserve"> </w:t>
            </w:r>
            <w:r>
              <w:rPr>
                <w:sz w:val="20"/>
              </w:rPr>
              <w:t>T-20:</w:t>
            </w:r>
            <w:r>
              <w:rPr>
                <w:spacing w:val="-8"/>
                <w:sz w:val="20"/>
              </w:rPr>
              <w:t xml:space="preserve"> </w:t>
            </w:r>
            <w:r>
              <w:rPr>
                <w:sz w:val="20"/>
              </w:rPr>
              <w:t>Computers</w:t>
            </w:r>
            <w:r>
              <w:rPr>
                <w:spacing w:val="-8"/>
                <w:sz w:val="20"/>
              </w:rPr>
              <w:t xml:space="preserve"> </w:t>
            </w:r>
            <w:r>
              <w:rPr>
                <w:sz w:val="20"/>
              </w:rPr>
              <w:t>-</w:t>
            </w:r>
            <w:r>
              <w:rPr>
                <w:spacing w:val="-9"/>
                <w:sz w:val="20"/>
              </w:rPr>
              <w:t xml:space="preserve"> </w:t>
            </w:r>
            <w:r>
              <w:rPr>
                <w:sz w:val="20"/>
              </w:rPr>
              <w:t>Desktops</w:t>
            </w:r>
            <w:r>
              <w:rPr>
                <w:spacing w:val="-7"/>
                <w:sz w:val="20"/>
              </w:rPr>
              <w:t xml:space="preserve"> </w:t>
            </w:r>
            <w:r>
              <w:rPr>
                <w:sz w:val="20"/>
              </w:rPr>
              <w:t>- Tier 2</w:t>
            </w:r>
          </w:p>
        </w:tc>
        <w:tc>
          <w:tcPr>
            <w:tcW w:w="1227" w:type="dxa"/>
            <w:tcBorders>
              <w:top w:val="single" w:color="D9D9D9" w:sz="2" w:space="0"/>
              <w:bottom w:val="single" w:color="D9D9D9" w:sz="2" w:space="0"/>
            </w:tcBorders>
          </w:tcPr>
          <w:p w:rsidR="00C31389" w:rsidRDefault="00561FBD" w14:paraId="3F0AA5D6" w14:textId="77777777">
            <w:pPr>
              <w:pStyle w:val="TableParagraph"/>
              <w:spacing w:before="155"/>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1688DF6E" w14:textId="77777777">
            <w:pPr>
              <w:pStyle w:val="TableParagraph"/>
              <w:spacing w:before="155"/>
              <w:ind w:right="232"/>
              <w:jc w:val="right"/>
              <w:rPr>
                <w:sz w:val="20"/>
              </w:rPr>
            </w:pPr>
            <w:r>
              <w:rPr>
                <w:spacing w:val="-2"/>
                <w:sz w:val="20"/>
              </w:rPr>
              <w:t>10/28/19</w:t>
            </w:r>
          </w:p>
        </w:tc>
        <w:tc>
          <w:tcPr>
            <w:tcW w:w="1580" w:type="dxa"/>
            <w:tcBorders>
              <w:top w:val="single" w:color="D9D9D9" w:sz="2" w:space="0"/>
              <w:bottom w:val="single" w:color="D9D9D9" w:sz="2" w:space="0"/>
            </w:tcBorders>
          </w:tcPr>
          <w:p w:rsidR="00C31389" w:rsidRDefault="00561FBD" w14:paraId="1BF04CE4" w14:textId="77777777">
            <w:pPr>
              <w:pStyle w:val="TableParagraph"/>
              <w:spacing w:before="155"/>
              <w:ind w:left="198" w:right="150"/>
              <w:jc w:val="center"/>
              <w:rPr>
                <w:sz w:val="20"/>
              </w:rPr>
            </w:pPr>
            <w:r>
              <w:rPr>
                <w:spacing w:val="-2"/>
                <w:sz w:val="20"/>
              </w:rPr>
              <w:t>On-the-books</w:t>
            </w:r>
          </w:p>
        </w:tc>
      </w:tr>
      <w:tr w:rsidR="00C31389" w14:paraId="7D605163" w14:textId="77777777">
        <w:trPr>
          <w:trHeight w:val="310"/>
        </w:trPr>
        <w:tc>
          <w:tcPr>
            <w:tcW w:w="1367" w:type="dxa"/>
            <w:tcBorders>
              <w:top w:val="single" w:color="D9D9D9" w:sz="2" w:space="0"/>
              <w:bottom w:val="single" w:color="D9D9D9" w:sz="2" w:space="0"/>
            </w:tcBorders>
          </w:tcPr>
          <w:p w:rsidR="00C31389" w:rsidRDefault="00561FBD" w14:paraId="7B50DA36" w14:textId="77777777">
            <w:pPr>
              <w:pStyle w:val="TableParagraph"/>
              <w:spacing w:before="41"/>
              <w:ind w:left="129"/>
              <w:rPr>
                <w:sz w:val="20"/>
              </w:rPr>
            </w:pPr>
            <w:r>
              <w:rPr>
                <w:sz w:val="20"/>
              </w:rPr>
              <w:t>2016</w:t>
            </w:r>
            <w:r>
              <w:rPr>
                <w:spacing w:val="-3"/>
                <w:sz w:val="20"/>
              </w:rPr>
              <w:t xml:space="preserve"> </w:t>
            </w:r>
            <w:r>
              <w:rPr>
                <w:sz w:val="20"/>
              </w:rPr>
              <w:t>T-</w:t>
            </w:r>
            <w:r>
              <w:rPr>
                <w:spacing w:val="-5"/>
                <w:sz w:val="20"/>
              </w:rPr>
              <w:t>20</w:t>
            </w:r>
          </w:p>
        </w:tc>
        <w:tc>
          <w:tcPr>
            <w:tcW w:w="3834" w:type="dxa"/>
            <w:tcBorders>
              <w:top w:val="single" w:color="D9D9D9" w:sz="2" w:space="0"/>
              <w:bottom w:val="single" w:color="D9D9D9" w:sz="2" w:space="0"/>
            </w:tcBorders>
          </w:tcPr>
          <w:p w:rsidR="00C31389" w:rsidRDefault="00561FBD" w14:paraId="67D04F83" w14:textId="77777777">
            <w:pPr>
              <w:pStyle w:val="TableParagraph"/>
              <w:spacing w:before="41"/>
              <w:ind w:left="202"/>
              <w:rPr>
                <w:sz w:val="20"/>
              </w:rPr>
            </w:pPr>
            <w:r>
              <w:rPr>
                <w:sz w:val="20"/>
              </w:rPr>
              <w:t>2016</w:t>
            </w:r>
            <w:r>
              <w:rPr>
                <w:spacing w:val="-3"/>
                <w:sz w:val="20"/>
              </w:rPr>
              <w:t xml:space="preserve"> </w:t>
            </w:r>
            <w:r>
              <w:rPr>
                <w:sz w:val="20"/>
              </w:rPr>
              <w:t>T-20:</w:t>
            </w:r>
            <w:r>
              <w:rPr>
                <w:spacing w:val="-3"/>
                <w:sz w:val="20"/>
              </w:rPr>
              <w:t xml:space="preserve"> </w:t>
            </w:r>
            <w:r>
              <w:rPr>
                <w:sz w:val="20"/>
              </w:rPr>
              <w:t>Displays</w:t>
            </w:r>
            <w:r>
              <w:rPr>
                <w:spacing w:val="-2"/>
                <w:sz w:val="20"/>
              </w:rPr>
              <w:t xml:space="preserve"> </w:t>
            </w:r>
            <w:r>
              <w:rPr>
                <w:sz w:val="20"/>
              </w:rPr>
              <w:t>-</w:t>
            </w:r>
            <w:r>
              <w:rPr>
                <w:spacing w:val="-3"/>
                <w:sz w:val="20"/>
              </w:rPr>
              <w:t xml:space="preserve"> </w:t>
            </w:r>
            <w:r>
              <w:rPr>
                <w:spacing w:val="-2"/>
                <w:sz w:val="20"/>
              </w:rPr>
              <w:t>Monitors</w:t>
            </w:r>
          </w:p>
        </w:tc>
        <w:tc>
          <w:tcPr>
            <w:tcW w:w="1227" w:type="dxa"/>
            <w:tcBorders>
              <w:top w:val="single" w:color="D9D9D9" w:sz="2" w:space="0"/>
              <w:bottom w:val="single" w:color="D9D9D9" w:sz="2" w:space="0"/>
            </w:tcBorders>
          </w:tcPr>
          <w:p w:rsidR="00C31389" w:rsidRDefault="00561FBD" w14:paraId="3D874535" w14:textId="77777777">
            <w:pPr>
              <w:pStyle w:val="TableParagraph"/>
              <w:spacing w:before="41"/>
              <w:ind w:left="372"/>
              <w:rPr>
                <w:sz w:val="20"/>
              </w:rPr>
            </w:pPr>
            <w:r>
              <w:rPr>
                <w:spacing w:val="-5"/>
                <w:sz w:val="20"/>
              </w:rPr>
              <w:t>85%</w:t>
            </w:r>
          </w:p>
        </w:tc>
        <w:tc>
          <w:tcPr>
            <w:tcW w:w="1367" w:type="dxa"/>
            <w:tcBorders>
              <w:top w:val="single" w:color="D9D9D9" w:sz="2" w:space="0"/>
              <w:bottom w:val="single" w:color="D9D9D9" w:sz="2" w:space="0"/>
            </w:tcBorders>
          </w:tcPr>
          <w:p w:rsidR="00C31389" w:rsidRDefault="00561FBD" w14:paraId="0976DC52" w14:textId="77777777">
            <w:pPr>
              <w:pStyle w:val="TableParagraph"/>
              <w:spacing w:before="41"/>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2FEEF601" w14:textId="77777777">
            <w:pPr>
              <w:pStyle w:val="TableParagraph"/>
              <w:spacing w:before="41"/>
              <w:ind w:left="198" w:right="150"/>
              <w:jc w:val="center"/>
              <w:rPr>
                <w:sz w:val="20"/>
              </w:rPr>
            </w:pPr>
            <w:r>
              <w:rPr>
                <w:spacing w:val="-2"/>
                <w:sz w:val="20"/>
              </w:rPr>
              <w:t>On-the-books</w:t>
            </w:r>
          </w:p>
        </w:tc>
      </w:tr>
      <w:tr w:rsidR="00C31389" w14:paraId="6AE1083A" w14:textId="77777777">
        <w:trPr>
          <w:trHeight w:val="539"/>
        </w:trPr>
        <w:tc>
          <w:tcPr>
            <w:tcW w:w="1367" w:type="dxa"/>
            <w:tcBorders>
              <w:top w:val="single" w:color="D9D9D9" w:sz="2" w:space="0"/>
              <w:bottom w:val="single" w:color="D9D9D9" w:sz="2" w:space="0"/>
            </w:tcBorders>
          </w:tcPr>
          <w:p w:rsidR="00C31389" w:rsidRDefault="00561FBD" w14:paraId="731F38AD"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D9D9D9" w:sz="2" w:space="0"/>
            </w:tcBorders>
          </w:tcPr>
          <w:p w:rsidR="00C31389" w:rsidRDefault="00561FBD" w14:paraId="0FCE2C7A" w14:textId="77777777">
            <w:pPr>
              <w:pStyle w:val="TableParagraph"/>
              <w:ind w:left="202"/>
              <w:rPr>
                <w:sz w:val="20"/>
              </w:rPr>
            </w:pPr>
            <w:r>
              <w:rPr>
                <w:sz w:val="20"/>
              </w:rPr>
              <w:t>2016</w:t>
            </w:r>
            <w:r>
              <w:rPr>
                <w:spacing w:val="-12"/>
                <w:sz w:val="20"/>
              </w:rPr>
              <w:t xml:space="preserve"> </w:t>
            </w:r>
            <w:r>
              <w:rPr>
                <w:sz w:val="20"/>
              </w:rPr>
              <w:t>T-24:</w:t>
            </w:r>
            <w:r>
              <w:rPr>
                <w:spacing w:val="-12"/>
                <w:sz w:val="20"/>
              </w:rPr>
              <w:t xml:space="preserve"> </w:t>
            </w:r>
            <w:r>
              <w:rPr>
                <w:sz w:val="20"/>
              </w:rPr>
              <w:t>Nonresidential</w:t>
            </w:r>
            <w:r>
              <w:rPr>
                <w:spacing w:val="-14"/>
                <w:sz w:val="20"/>
              </w:rPr>
              <w:t xml:space="preserve"> </w:t>
            </w:r>
            <w:r>
              <w:rPr>
                <w:sz w:val="20"/>
              </w:rPr>
              <w:t>Lighting- Alterations (Units = sq ft)</w:t>
            </w:r>
          </w:p>
        </w:tc>
        <w:tc>
          <w:tcPr>
            <w:tcW w:w="1227" w:type="dxa"/>
            <w:tcBorders>
              <w:top w:val="single" w:color="D9D9D9" w:sz="2" w:space="0"/>
              <w:bottom w:val="single" w:color="D9D9D9" w:sz="2" w:space="0"/>
            </w:tcBorders>
          </w:tcPr>
          <w:p w:rsidR="00C31389" w:rsidRDefault="00561FBD" w14:paraId="738CFFE3" w14:textId="77777777">
            <w:pPr>
              <w:pStyle w:val="TableParagraph"/>
              <w:spacing w:before="155"/>
              <w:ind w:left="372"/>
              <w:rPr>
                <w:sz w:val="20"/>
              </w:rPr>
            </w:pPr>
            <w:r>
              <w:rPr>
                <w:spacing w:val="-5"/>
                <w:sz w:val="20"/>
              </w:rPr>
              <w:t>97%</w:t>
            </w:r>
          </w:p>
        </w:tc>
        <w:tc>
          <w:tcPr>
            <w:tcW w:w="1367" w:type="dxa"/>
            <w:tcBorders>
              <w:top w:val="single" w:color="D9D9D9" w:sz="2" w:space="0"/>
              <w:bottom w:val="single" w:color="D9D9D9" w:sz="2" w:space="0"/>
            </w:tcBorders>
          </w:tcPr>
          <w:p w:rsidR="00C31389" w:rsidRDefault="00561FBD" w14:paraId="034190D1" w14:textId="77777777">
            <w:pPr>
              <w:pStyle w:val="TableParagraph"/>
              <w:spacing w:before="155"/>
              <w:ind w:right="232"/>
              <w:jc w:val="right"/>
              <w:rPr>
                <w:sz w:val="20"/>
              </w:rPr>
            </w:pPr>
            <w:r>
              <w:rPr>
                <w:spacing w:val="-2"/>
                <w:sz w:val="20"/>
              </w:rPr>
              <w:t>07/01/20</w:t>
            </w:r>
          </w:p>
        </w:tc>
        <w:tc>
          <w:tcPr>
            <w:tcW w:w="1580" w:type="dxa"/>
            <w:tcBorders>
              <w:top w:val="single" w:color="D9D9D9" w:sz="2" w:space="0"/>
              <w:bottom w:val="single" w:color="D9D9D9" w:sz="2" w:space="0"/>
            </w:tcBorders>
          </w:tcPr>
          <w:p w:rsidR="00C31389" w:rsidRDefault="00561FBD" w14:paraId="055D6464" w14:textId="77777777">
            <w:pPr>
              <w:pStyle w:val="TableParagraph"/>
              <w:spacing w:before="155"/>
              <w:ind w:left="198" w:right="150"/>
              <w:jc w:val="center"/>
              <w:rPr>
                <w:sz w:val="20"/>
              </w:rPr>
            </w:pPr>
            <w:r>
              <w:rPr>
                <w:spacing w:val="-2"/>
                <w:sz w:val="20"/>
              </w:rPr>
              <w:t>On-the-books</w:t>
            </w:r>
          </w:p>
        </w:tc>
      </w:tr>
      <w:tr w:rsidR="00C31389" w14:paraId="7CDB2C13" w14:textId="77777777">
        <w:trPr>
          <w:trHeight w:val="770"/>
        </w:trPr>
        <w:tc>
          <w:tcPr>
            <w:tcW w:w="1367" w:type="dxa"/>
            <w:tcBorders>
              <w:top w:val="single" w:color="D9D9D9" w:sz="2" w:space="0"/>
              <w:bottom w:val="single" w:color="D9D9D9" w:sz="2" w:space="0"/>
            </w:tcBorders>
          </w:tcPr>
          <w:p w:rsidR="00C31389" w:rsidRDefault="00C31389" w14:paraId="560576DF" w14:textId="77777777">
            <w:pPr>
              <w:pStyle w:val="TableParagraph"/>
              <w:spacing w:before="6"/>
              <w:rPr>
                <w:sz w:val="23"/>
              </w:rPr>
            </w:pPr>
          </w:p>
          <w:p w:rsidR="00C31389" w:rsidRDefault="00561FBD" w14:paraId="2AAE239A"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D9D9D9" w:sz="2" w:space="0"/>
            </w:tcBorders>
          </w:tcPr>
          <w:p w:rsidR="00C31389" w:rsidRDefault="00561FBD" w14:paraId="75989592" w14:textId="77777777">
            <w:pPr>
              <w:pStyle w:val="TableParagraph"/>
              <w:ind w:left="202" w:right="355"/>
              <w:rPr>
                <w:sz w:val="20"/>
              </w:rPr>
            </w:pPr>
            <w:r>
              <w:rPr>
                <w:sz w:val="20"/>
              </w:rPr>
              <w:t>2016 T-24: Non-Residential New Construction-Whole</w:t>
            </w:r>
            <w:r>
              <w:rPr>
                <w:spacing w:val="-13"/>
                <w:sz w:val="20"/>
              </w:rPr>
              <w:t xml:space="preserve"> </w:t>
            </w:r>
            <w:r>
              <w:rPr>
                <w:sz w:val="20"/>
              </w:rPr>
              <w:t>Building</w:t>
            </w:r>
            <w:r>
              <w:rPr>
                <w:spacing w:val="-13"/>
                <w:sz w:val="20"/>
              </w:rPr>
              <w:t xml:space="preserve"> </w:t>
            </w:r>
            <w:r>
              <w:rPr>
                <w:sz w:val="20"/>
              </w:rPr>
              <w:t>(Units</w:t>
            </w:r>
            <w:r>
              <w:rPr>
                <w:spacing w:val="-12"/>
                <w:sz w:val="20"/>
              </w:rPr>
              <w:t xml:space="preserve"> </w:t>
            </w:r>
            <w:r>
              <w:rPr>
                <w:sz w:val="20"/>
              </w:rPr>
              <w:t>= sq ft)</w:t>
            </w:r>
          </w:p>
        </w:tc>
        <w:tc>
          <w:tcPr>
            <w:tcW w:w="1227" w:type="dxa"/>
            <w:tcBorders>
              <w:top w:val="single" w:color="D9D9D9" w:sz="2" w:space="0"/>
              <w:bottom w:val="single" w:color="D9D9D9" w:sz="2" w:space="0"/>
            </w:tcBorders>
          </w:tcPr>
          <w:p w:rsidR="00C31389" w:rsidRDefault="00C31389" w14:paraId="79AEFEF1" w14:textId="77777777">
            <w:pPr>
              <w:pStyle w:val="TableParagraph"/>
              <w:spacing w:before="6"/>
              <w:rPr>
                <w:sz w:val="23"/>
              </w:rPr>
            </w:pPr>
          </w:p>
          <w:p w:rsidR="00C31389" w:rsidRDefault="00561FBD" w14:paraId="49775BF6" w14:textId="77777777">
            <w:pPr>
              <w:pStyle w:val="TableParagraph"/>
              <w:spacing w:before="0"/>
              <w:ind w:left="372"/>
              <w:rPr>
                <w:sz w:val="20"/>
              </w:rPr>
            </w:pPr>
            <w:r>
              <w:rPr>
                <w:spacing w:val="-5"/>
                <w:sz w:val="20"/>
              </w:rPr>
              <w:t>96%</w:t>
            </w:r>
          </w:p>
        </w:tc>
        <w:tc>
          <w:tcPr>
            <w:tcW w:w="1367" w:type="dxa"/>
            <w:tcBorders>
              <w:top w:val="single" w:color="D9D9D9" w:sz="2" w:space="0"/>
              <w:bottom w:val="single" w:color="D9D9D9" w:sz="2" w:space="0"/>
            </w:tcBorders>
          </w:tcPr>
          <w:p w:rsidR="00C31389" w:rsidRDefault="00C31389" w14:paraId="030FC250" w14:textId="77777777">
            <w:pPr>
              <w:pStyle w:val="TableParagraph"/>
              <w:spacing w:before="6"/>
              <w:rPr>
                <w:sz w:val="23"/>
              </w:rPr>
            </w:pPr>
          </w:p>
          <w:p w:rsidR="00C31389" w:rsidRDefault="00561FBD" w14:paraId="0E9E37A7" w14:textId="77777777">
            <w:pPr>
              <w:pStyle w:val="TableParagraph"/>
              <w:spacing w:before="0"/>
              <w:ind w:right="232"/>
              <w:jc w:val="right"/>
              <w:rPr>
                <w:sz w:val="20"/>
              </w:rPr>
            </w:pPr>
            <w:r>
              <w:rPr>
                <w:spacing w:val="-2"/>
                <w:sz w:val="20"/>
              </w:rPr>
              <w:t>07/01/20</w:t>
            </w:r>
          </w:p>
        </w:tc>
        <w:tc>
          <w:tcPr>
            <w:tcW w:w="1580" w:type="dxa"/>
            <w:tcBorders>
              <w:top w:val="single" w:color="D9D9D9" w:sz="2" w:space="0"/>
              <w:bottom w:val="single" w:color="D9D9D9" w:sz="2" w:space="0"/>
            </w:tcBorders>
          </w:tcPr>
          <w:p w:rsidR="00C31389" w:rsidRDefault="00C31389" w14:paraId="66C9CB2C" w14:textId="77777777">
            <w:pPr>
              <w:pStyle w:val="TableParagraph"/>
              <w:spacing w:before="6"/>
              <w:rPr>
                <w:sz w:val="23"/>
              </w:rPr>
            </w:pPr>
          </w:p>
          <w:p w:rsidR="00C31389" w:rsidRDefault="00561FBD" w14:paraId="66844F18" w14:textId="77777777">
            <w:pPr>
              <w:pStyle w:val="TableParagraph"/>
              <w:spacing w:before="0"/>
              <w:ind w:left="198" w:right="150"/>
              <w:jc w:val="center"/>
              <w:rPr>
                <w:sz w:val="20"/>
              </w:rPr>
            </w:pPr>
            <w:r>
              <w:rPr>
                <w:spacing w:val="-2"/>
                <w:sz w:val="20"/>
              </w:rPr>
              <w:t>On-the-books</w:t>
            </w:r>
          </w:p>
        </w:tc>
      </w:tr>
      <w:tr w:rsidR="00C31389" w14:paraId="3BA891ED" w14:textId="77777777">
        <w:trPr>
          <w:trHeight w:val="539"/>
        </w:trPr>
        <w:tc>
          <w:tcPr>
            <w:tcW w:w="1367" w:type="dxa"/>
            <w:tcBorders>
              <w:top w:val="single" w:color="D9D9D9" w:sz="2" w:space="0"/>
              <w:bottom w:val="single" w:color="D9D9D9" w:sz="2" w:space="0"/>
            </w:tcBorders>
          </w:tcPr>
          <w:p w:rsidR="00C31389" w:rsidRDefault="00561FBD" w14:paraId="7F36C55E"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D9D9D9" w:sz="2" w:space="0"/>
            </w:tcBorders>
          </w:tcPr>
          <w:p w:rsidR="00C31389" w:rsidRDefault="00561FBD" w14:paraId="733E99B6" w14:textId="77777777">
            <w:pPr>
              <w:pStyle w:val="TableParagraph"/>
              <w:ind w:left="202"/>
              <w:rPr>
                <w:sz w:val="20"/>
              </w:rPr>
            </w:pPr>
            <w:r>
              <w:rPr>
                <w:sz w:val="20"/>
              </w:rPr>
              <w:t>2016</w:t>
            </w:r>
            <w:r>
              <w:rPr>
                <w:spacing w:val="-5"/>
                <w:sz w:val="20"/>
              </w:rPr>
              <w:t xml:space="preserve"> </w:t>
            </w:r>
            <w:r>
              <w:rPr>
                <w:sz w:val="20"/>
              </w:rPr>
              <w:t>T-24:</w:t>
            </w:r>
            <w:r>
              <w:rPr>
                <w:spacing w:val="-4"/>
                <w:sz w:val="20"/>
              </w:rPr>
              <w:t xml:space="preserve"> </w:t>
            </w:r>
            <w:r>
              <w:rPr>
                <w:sz w:val="20"/>
              </w:rPr>
              <w:t>NRA-HVAC-</w:t>
            </w:r>
            <w:r>
              <w:rPr>
                <w:spacing w:val="-2"/>
                <w:sz w:val="20"/>
              </w:rPr>
              <w:t>ASHRAE</w:t>
            </w:r>
          </w:p>
          <w:p w:rsidR="00C31389" w:rsidRDefault="00561FBD" w14:paraId="439BD0FB" w14:textId="77777777">
            <w:pPr>
              <w:pStyle w:val="TableParagraph"/>
              <w:spacing w:before="0"/>
              <w:ind w:left="202"/>
              <w:rPr>
                <w:sz w:val="20"/>
              </w:rPr>
            </w:pPr>
            <w:r>
              <w:rPr>
                <w:sz w:val="20"/>
              </w:rPr>
              <w:t>Equipment</w:t>
            </w:r>
            <w:r>
              <w:rPr>
                <w:spacing w:val="-6"/>
                <w:sz w:val="20"/>
              </w:rPr>
              <w:t xml:space="preserve"> </w:t>
            </w:r>
            <w:r>
              <w:rPr>
                <w:spacing w:val="-2"/>
                <w:sz w:val="20"/>
              </w:rPr>
              <w:t>Efficiency</w:t>
            </w:r>
          </w:p>
        </w:tc>
        <w:tc>
          <w:tcPr>
            <w:tcW w:w="1227" w:type="dxa"/>
            <w:tcBorders>
              <w:top w:val="single" w:color="D9D9D9" w:sz="2" w:space="0"/>
              <w:bottom w:val="single" w:color="D9D9D9" w:sz="2" w:space="0"/>
            </w:tcBorders>
          </w:tcPr>
          <w:p w:rsidR="00C31389" w:rsidRDefault="00561FBD" w14:paraId="4BACFC62" w14:textId="77777777">
            <w:pPr>
              <w:pStyle w:val="TableParagraph"/>
              <w:spacing w:before="155"/>
              <w:ind w:left="372"/>
              <w:rPr>
                <w:sz w:val="20"/>
              </w:rPr>
            </w:pPr>
            <w:r>
              <w:rPr>
                <w:spacing w:val="-5"/>
                <w:sz w:val="20"/>
              </w:rPr>
              <w:t>95%</w:t>
            </w:r>
          </w:p>
        </w:tc>
        <w:tc>
          <w:tcPr>
            <w:tcW w:w="1367" w:type="dxa"/>
            <w:tcBorders>
              <w:top w:val="single" w:color="D9D9D9" w:sz="2" w:space="0"/>
              <w:bottom w:val="single" w:color="D9D9D9" w:sz="2" w:space="0"/>
            </w:tcBorders>
          </w:tcPr>
          <w:p w:rsidR="00C31389" w:rsidRDefault="00561FBD" w14:paraId="465B1537" w14:textId="77777777">
            <w:pPr>
              <w:pStyle w:val="TableParagraph"/>
              <w:spacing w:before="155"/>
              <w:ind w:right="232"/>
              <w:jc w:val="right"/>
              <w:rPr>
                <w:sz w:val="20"/>
              </w:rPr>
            </w:pPr>
            <w:r>
              <w:rPr>
                <w:spacing w:val="-2"/>
                <w:sz w:val="20"/>
              </w:rPr>
              <w:t>07/01/20</w:t>
            </w:r>
          </w:p>
        </w:tc>
        <w:tc>
          <w:tcPr>
            <w:tcW w:w="1580" w:type="dxa"/>
            <w:tcBorders>
              <w:top w:val="single" w:color="D9D9D9" w:sz="2" w:space="0"/>
              <w:bottom w:val="single" w:color="D9D9D9" w:sz="2" w:space="0"/>
            </w:tcBorders>
          </w:tcPr>
          <w:p w:rsidR="00C31389" w:rsidRDefault="00561FBD" w14:paraId="2F49C21D" w14:textId="77777777">
            <w:pPr>
              <w:pStyle w:val="TableParagraph"/>
              <w:spacing w:before="155"/>
              <w:ind w:left="198" w:right="150"/>
              <w:jc w:val="center"/>
              <w:rPr>
                <w:sz w:val="20"/>
              </w:rPr>
            </w:pPr>
            <w:r>
              <w:rPr>
                <w:spacing w:val="-2"/>
                <w:sz w:val="20"/>
              </w:rPr>
              <w:t>On-the-books</w:t>
            </w:r>
          </w:p>
        </w:tc>
      </w:tr>
      <w:tr w:rsidR="00C31389" w14:paraId="5B5A7F6D" w14:textId="77777777">
        <w:trPr>
          <w:trHeight w:val="539"/>
        </w:trPr>
        <w:tc>
          <w:tcPr>
            <w:tcW w:w="1367" w:type="dxa"/>
            <w:tcBorders>
              <w:top w:val="single" w:color="D9D9D9" w:sz="2" w:space="0"/>
              <w:bottom w:val="single" w:color="D9D9D9" w:sz="2" w:space="0"/>
            </w:tcBorders>
          </w:tcPr>
          <w:p w:rsidR="00C31389" w:rsidRDefault="00561FBD" w14:paraId="4CF2FE33"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D9D9D9" w:sz="2" w:space="0"/>
            </w:tcBorders>
          </w:tcPr>
          <w:p w:rsidR="00C31389" w:rsidRDefault="00561FBD" w14:paraId="210EC0D9" w14:textId="77777777">
            <w:pPr>
              <w:pStyle w:val="TableParagraph"/>
              <w:ind w:left="202"/>
              <w:rPr>
                <w:sz w:val="20"/>
              </w:rPr>
            </w:pPr>
            <w:r>
              <w:rPr>
                <w:sz w:val="20"/>
              </w:rPr>
              <w:t>2016</w:t>
            </w:r>
            <w:r>
              <w:rPr>
                <w:spacing w:val="-5"/>
                <w:sz w:val="20"/>
              </w:rPr>
              <w:t xml:space="preserve"> </w:t>
            </w:r>
            <w:r>
              <w:rPr>
                <w:sz w:val="20"/>
              </w:rPr>
              <w:t>T-24:</w:t>
            </w:r>
            <w:r>
              <w:rPr>
                <w:spacing w:val="-4"/>
                <w:sz w:val="20"/>
              </w:rPr>
              <w:t xml:space="preserve"> </w:t>
            </w:r>
            <w:r>
              <w:rPr>
                <w:sz w:val="20"/>
              </w:rPr>
              <w:t>NRA-HVAC-</w:t>
            </w:r>
            <w:r>
              <w:rPr>
                <w:spacing w:val="-2"/>
                <w:sz w:val="20"/>
              </w:rPr>
              <w:t>ASHRAE</w:t>
            </w:r>
          </w:p>
          <w:p w:rsidR="00C31389" w:rsidRDefault="00561FBD" w14:paraId="4E0901E6" w14:textId="77777777">
            <w:pPr>
              <w:pStyle w:val="TableParagraph"/>
              <w:spacing w:before="0"/>
              <w:ind w:left="202"/>
              <w:rPr>
                <w:sz w:val="20"/>
              </w:rPr>
            </w:pPr>
            <w:r>
              <w:rPr>
                <w:spacing w:val="-2"/>
                <w:sz w:val="20"/>
              </w:rPr>
              <w:t>Measure-</w:t>
            </w:r>
            <w:r>
              <w:rPr>
                <w:spacing w:val="-5"/>
                <w:sz w:val="20"/>
              </w:rPr>
              <w:t>DDC</w:t>
            </w:r>
          </w:p>
        </w:tc>
        <w:tc>
          <w:tcPr>
            <w:tcW w:w="1227" w:type="dxa"/>
            <w:tcBorders>
              <w:top w:val="single" w:color="D9D9D9" w:sz="2" w:space="0"/>
              <w:bottom w:val="single" w:color="D9D9D9" w:sz="2" w:space="0"/>
            </w:tcBorders>
          </w:tcPr>
          <w:p w:rsidR="00C31389" w:rsidRDefault="00561FBD" w14:paraId="4A9AAFD1" w14:textId="77777777">
            <w:pPr>
              <w:pStyle w:val="TableParagraph"/>
              <w:spacing w:before="155"/>
              <w:ind w:left="372"/>
              <w:rPr>
                <w:sz w:val="20"/>
              </w:rPr>
            </w:pPr>
            <w:r>
              <w:rPr>
                <w:spacing w:val="-5"/>
                <w:sz w:val="20"/>
              </w:rPr>
              <w:t>95%</w:t>
            </w:r>
          </w:p>
        </w:tc>
        <w:tc>
          <w:tcPr>
            <w:tcW w:w="1367" w:type="dxa"/>
            <w:tcBorders>
              <w:top w:val="single" w:color="D9D9D9" w:sz="2" w:space="0"/>
              <w:bottom w:val="single" w:color="D9D9D9" w:sz="2" w:space="0"/>
            </w:tcBorders>
          </w:tcPr>
          <w:p w:rsidR="00C31389" w:rsidRDefault="00561FBD" w14:paraId="2B57C7E8" w14:textId="77777777">
            <w:pPr>
              <w:pStyle w:val="TableParagraph"/>
              <w:spacing w:before="155"/>
              <w:ind w:right="232"/>
              <w:jc w:val="right"/>
              <w:rPr>
                <w:sz w:val="20"/>
              </w:rPr>
            </w:pPr>
            <w:r>
              <w:rPr>
                <w:spacing w:val="-2"/>
                <w:sz w:val="20"/>
              </w:rPr>
              <w:t>01/21/20</w:t>
            </w:r>
          </w:p>
        </w:tc>
        <w:tc>
          <w:tcPr>
            <w:tcW w:w="1580" w:type="dxa"/>
            <w:tcBorders>
              <w:top w:val="single" w:color="D9D9D9" w:sz="2" w:space="0"/>
              <w:bottom w:val="single" w:color="D9D9D9" w:sz="2" w:space="0"/>
            </w:tcBorders>
          </w:tcPr>
          <w:p w:rsidR="00C31389" w:rsidRDefault="00561FBD" w14:paraId="619CE718" w14:textId="77777777">
            <w:pPr>
              <w:pStyle w:val="TableParagraph"/>
              <w:spacing w:before="155"/>
              <w:ind w:left="198" w:right="150"/>
              <w:jc w:val="center"/>
              <w:rPr>
                <w:sz w:val="20"/>
              </w:rPr>
            </w:pPr>
            <w:r>
              <w:rPr>
                <w:spacing w:val="-2"/>
                <w:sz w:val="20"/>
              </w:rPr>
              <w:t>On-the-books</w:t>
            </w:r>
          </w:p>
        </w:tc>
      </w:tr>
      <w:tr w:rsidR="00C31389" w14:paraId="71664C60" w14:textId="77777777">
        <w:trPr>
          <w:trHeight w:val="539"/>
        </w:trPr>
        <w:tc>
          <w:tcPr>
            <w:tcW w:w="1367" w:type="dxa"/>
            <w:tcBorders>
              <w:top w:val="single" w:color="D9D9D9" w:sz="2" w:space="0"/>
              <w:bottom w:val="single" w:color="D9D9D9" w:sz="2" w:space="0"/>
            </w:tcBorders>
          </w:tcPr>
          <w:p w:rsidR="00C31389" w:rsidRDefault="00561FBD" w14:paraId="39D74E2B"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D9D9D9" w:sz="2" w:space="0"/>
            </w:tcBorders>
          </w:tcPr>
          <w:p w:rsidR="00C31389" w:rsidRDefault="00561FBD" w14:paraId="13DE8BBC" w14:textId="77777777">
            <w:pPr>
              <w:pStyle w:val="TableParagraph"/>
              <w:ind w:left="202"/>
              <w:rPr>
                <w:sz w:val="20"/>
              </w:rPr>
            </w:pPr>
            <w:r>
              <w:rPr>
                <w:sz w:val="20"/>
              </w:rPr>
              <w:t>2016</w:t>
            </w:r>
            <w:r>
              <w:rPr>
                <w:spacing w:val="-7"/>
                <w:sz w:val="20"/>
              </w:rPr>
              <w:t xml:space="preserve"> </w:t>
            </w:r>
            <w:r>
              <w:rPr>
                <w:sz w:val="20"/>
              </w:rPr>
              <w:t>T-24:</w:t>
            </w:r>
            <w:r>
              <w:rPr>
                <w:spacing w:val="-6"/>
                <w:sz w:val="20"/>
              </w:rPr>
              <w:t xml:space="preserve"> </w:t>
            </w:r>
            <w:r>
              <w:rPr>
                <w:sz w:val="20"/>
              </w:rPr>
              <w:t>NRA-Lighting-</w:t>
            </w:r>
            <w:r>
              <w:rPr>
                <w:spacing w:val="-2"/>
                <w:sz w:val="20"/>
              </w:rPr>
              <w:t>ASHRAE</w:t>
            </w:r>
          </w:p>
          <w:p w:rsidR="00C31389" w:rsidRDefault="00561FBD" w14:paraId="5BA3630B" w14:textId="77777777">
            <w:pPr>
              <w:pStyle w:val="TableParagraph"/>
              <w:spacing w:before="0"/>
              <w:ind w:left="202"/>
              <w:rPr>
                <w:sz w:val="20"/>
              </w:rPr>
            </w:pPr>
            <w:r>
              <w:rPr>
                <w:sz w:val="20"/>
              </w:rPr>
              <w:t>Elevator</w:t>
            </w:r>
            <w:r>
              <w:rPr>
                <w:spacing w:val="-4"/>
                <w:sz w:val="20"/>
              </w:rPr>
              <w:t xml:space="preserve"> </w:t>
            </w:r>
            <w:r>
              <w:rPr>
                <w:sz w:val="20"/>
              </w:rPr>
              <w:t>Lighting</w:t>
            </w:r>
            <w:r>
              <w:rPr>
                <w:spacing w:val="-4"/>
                <w:sz w:val="20"/>
              </w:rPr>
              <w:t xml:space="preserve"> </w:t>
            </w:r>
            <w:r>
              <w:rPr>
                <w:sz w:val="20"/>
              </w:rPr>
              <w:t>&amp;</w:t>
            </w:r>
            <w:r>
              <w:rPr>
                <w:spacing w:val="-3"/>
                <w:sz w:val="20"/>
              </w:rPr>
              <w:t xml:space="preserve"> </w:t>
            </w:r>
            <w:r>
              <w:rPr>
                <w:spacing w:val="-2"/>
                <w:sz w:val="20"/>
              </w:rPr>
              <w:t>Ventilation</w:t>
            </w:r>
          </w:p>
        </w:tc>
        <w:tc>
          <w:tcPr>
            <w:tcW w:w="1227" w:type="dxa"/>
            <w:tcBorders>
              <w:top w:val="single" w:color="D9D9D9" w:sz="2" w:space="0"/>
              <w:bottom w:val="single" w:color="D9D9D9" w:sz="2" w:space="0"/>
            </w:tcBorders>
          </w:tcPr>
          <w:p w:rsidR="00C31389" w:rsidRDefault="00561FBD" w14:paraId="261B7C3B" w14:textId="77777777">
            <w:pPr>
              <w:pStyle w:val="TableParagraph"/>
              <w:spacing w:before="155"/>
              <w:ind w:left="372"/>
              <w:rPr>
                <w:sz w:val="20"/>
              </w:rPr>
            </w:pPr>
            <w:r>
              <w:rPr>
                <w:spacing w:val="-5"/>
                <w:sz w:val="20"/>
              </w:rPr>
              <w:t>95%</w:t>
            </w:r>
          </w:p>
        </w:tc>
        <w:tc>
          <w:tcPr>
            <w:tcW w:w="1367" w:type="dxa"/>
            <w:tcBorders>
              <w:top w:val="single" w:color="D9D9D9" w:sz="2" w:space="0"/>
              <w:bottom w:val="single" w:color="D9D9D9" w:sz="2" w:space="0"/>
            </w:tcBorders>
          </w:tcPr>
          <w:p w:rsidR="00C31389" w:rsidRDefault="00561FBD" w14:paraId="0779B81B" w14:textId="77777777">
            <w:pPr>
              <w:pStyle w:val="TableParagraph"/>
              <w:spacing w:before="155"/>
              <w:ind w:right="232"/>
              <w:jc w:val="right"/>
              <w:rPr>
                <w:sz w:val="20"/>
              </w:rPr>
            </w:pPr>
            <w:r>
              <w:rPr>
                <w:spacing w:val="-2"/>
                <w:sz w:val="20"/>
              </w:rPr>
              <w:t>01/21/20</w:t>
            </w:r>
          </w:p>
        </w:tc>
        <w:tc>
          <w:tcPr>
            <w:tcW w:w="1580" w:type="dxa"/>
            <w:tcBorders>
              <w:top w:val="single" w:color="D9D9D9" w:sz="2" w:space="0"/>
              <w:bottom w:val="single" w:color="D9D9D9" w:sz="2" w:space="0"/>
            </w:tcBorders>
          </w:tcPr>
          <w:p w:rsidR="00C31389" w:rsidRDefault="00561FBD" w14:paraId="6398A106" w14:textId="77777777">
            <w:pPr>
              <w:pStyle w:val="TableParagraph"/>
              <w:spacing w:before="155"/>
              <w:ind w:left="198" w:right="150"/>
              <w:jc w:val="center"/>
              <w:rPr>
                <w:sz w:val="20"/>
              </w:rPr>
            </w:pPr>
            <w:r>
              <w:rPr>
                <w:spacing w:val="-2"/>
                <w:sz w:val="20"/>
              </w:rPr>
              <w:t>On-the-books</w:t>
            </w:r>
          </w:p>
        </w:tc>
      </w:tr>
      <w:tr w:rsidR="00C31389" w14:paraId="198714F9" w14:textId="77777777">
        <w:trPr>
          <w:trHeight w:val="539"/>
        </w:trPr>
        <w:tc>
          <w:tcPr>
            <w:tcW w:w="1367" w:type="dxa"/>
            <w:tcBorders>
              <w:top w:val="single" w:color="D9D9D9" w:sz="2" w:space="0"/>
              <w:bottom w:val="single" w:color="D9D9D9" w:sz="2" w:space="0"/>
            </w:tcBorders>
          </w:tcPr>
          <w:p w:rsidR="00C31389" w:rsidRDefault="00561FBD" w14:paraId="7C8CFFF9"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D9D9D9" w:sz="2" w:space="0"/>
            </w:tcBorders>
          </w:tcPr>
          <w:p w:rsidR="00C31389" w:rsidRDefault="00561FBD" w14:paraId="4844F276" w14:textId="77777777">
            <w:pPr>
              <w:pStyle w:val="TableParagraph"/>
              <w:ind w:left="202"/>
              <w:rPr>
                <w:sz w:val="20"/>
              </w:rPr>
            </w:pPr>
            <w:r>
              <w:rPr>
                <w:sz w:val="20"/>
              </w:rPr>
              <w:t>2016</w:t>
            </w:r>
            <w:r>
              <w:rPr>
                <w:spacing w:val="-14"/>
                <w:sz w:val="20"/>
              </w:rPr>
              <w:t xml:space="preserve"> </w:t>
            </w:r>
            <w:r>
              <w:rPr>
                <w:sz w:val="20"/>
              </w:rPr>
              <w:t>T-24:</w:t>
            </w:r>
            <w:r>
              <w:rPr>
                <w:spacing w:val="-14"/>
                <w:sz w:val="20"/>
              </w:rPr>
              <w:t xml:space="preserve"> </w:t>
            </w:r>
            <w:r>
              <w:rPr>
                <w:sz w:val="20"/>
              </w:rPr>
              <w:t>NRA-Lighting-Outdoor Lighting Controls (unit = control)</w:t>
            </w:r>
          </w:p>
        </w:tc>
        <w:tc>
          <w:tcPr>
            <w:tcW w:w="1227" w:type="dxa"/>
            <w:tcBorders>
              <w:top w:val="single" w:color="D9D9D9" w:sz="2" w:space="0"/>
              <w:bottom w:val="single" w:color="D9D9D9" w:sz="2" w:space="0"/>
            </w:tcBorders>
          </w:tcPr>
          <w:p w:rsidR="00C31389" w:rsidRDefault="00561FBD" w14:paraId="18166E37" w14:textId="77777777">
            <w:pPr>
              <w:pStyle w:val="TableParagraph"/>
              <w:spacing w:before="155"/>
              <w:ind w:left="372"/>
              <w:rPr>
                <w:sz w:val="20"/>
              </w:rPr>
            </w:pPr>
            <w:r>
              <w:rPr>
                <w:spacing w:val="-5"/>
                <w:sz w:val="20"/>
              </w:rPr>
              <w:t>95%</w:t>
            </w:r>
          </w:p>
        </w:tc>
        <w:tc>
          <w:tcPr>
            <w:tcW w:w="1367" w:type="dxa"/>
            <w:tcBorders>
              <w:top w:val="single" w:color="D9D9D9" w:sz="2" w:space="0"/>
              <w:bottom w:val="single" w:color="D9D9D9" w:sz="2" w:space="0"/>
            </w:tcBorders>
          </w:tcPr>
          <w:p w:rsidR="00C31389" w:rsidRDefault="00561FBD" w14:paraId="2F8EE330" w14:textId="77777777">
            <w:pPr>
              <w:pStyle w:val="TableParagraph"/>
              <w:spacing w:before="155"/>
              <w:ind w:right="232"/>
              <w:jc w:val="right"/>
              <w:rPr>
                <w:sz w:val="20"/>
              </w:rPr>
            </w:pPr>
            <w:r>
              <w:rPr>
                <w:spacing w:val="-2"/>
                <w:sz w:val="20"/>
              </w:rPr>
              <w:t>01/27/20</w:t>
            </w:r>
          </w:p>
        </w:tc>
        <w:tc>
          <w:tcPr>
            <w:tcW w:w="1580" w:type="dxa"/>
            <w:tcBorders>
              <w:top w:val="single" w:color="D9D9D9" w:sz="2" w:space="0"/>
              <w:bottom w:val="single" w:color="D9D9D9" w:sz="2" w:space="0"/>
            </w:tcBorders>
          </w:tcPr>
          <w:p w:rsidR="00C31389" w:rsidRDefault="00561FBD" w14:paraId="17AE6C8D" w14:textId="77777777">
            <w:pPr>
              <w:pStyle w:val="TableParagraph"/>
              <w:spacing w:before="155"/>
              <w:ind w:left="198" w:right="150"/>
              <w:jc w:val="center"/>
              <w:rPr>
                <w:sz w:val="20"/>
              </w:rPr>
            </w:pPr>
            <w:r>
              <w:rPr>
                <w:spacing w:val="-2"/>
                <w:sz w:val="20"/>
              </w:rPr>
              <w:t>On-the-books</w:t>
            </w:r>
          </w:p>
        </w:tc>
      </w:tr>
      <w:tr w:rsidR="00C31389" w14:paraId="686B03FB" w14:textId="77777777">
        <w:trPr>
          <w:trHeight w:val="539"/>
        </w:trPr>
        <w:tc>
          <w:tcPr>
            <w:tcW w:w="1367" w:type="dxa"/>
            <w:tcBorders>
              <w:top w:val="single" w:color="D9D9D9" w:sz="2" w:space="0"/>
              <w:bottom w:val="single" w:color="D9D9D9" w:sz="2" w:space="0"/>
            </w:tcBorders>
          </w:tcPr>
          <w:p w:rsidR="00C31389" w:rsidRDefault="00561FBD" w14:paraId="6E3C4D53" w14:textId="77777777">
            <w:pPr>
              <w:pStyle w:val="TableParagraph"/>
              <w:spacing w:before="155"/>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D9D9D9" w:sz="2" w:space="0"/>
            </w:tcBorders>
          </w:tcPr>
          <w:p w:rsidR="00C31389" w:rsidRDefault="00561FBD" w14:paraId="1A6F6430" w14:textId="77777777">
            <w:pPr>
              <w:pStyle w:val="TableParagraph"/>
              <w:ind w:left="202"/>
              <w:rPr>
                <w:sz w:val="20"/>
              </w:rPr>
            </w:pPr>
            <w:r>
              <w:rPr>
                <w:sz w:val="20"/>
              </w:rPr>
              <w:t>2016</w:t>
            </w:r>
            <w:r>
              <w:rPr>
                <w:spacing w:val="-6"/>
                <w:sz w:val="20"/>
              </w:rPr>
              <w:t xml:space="preserve"> </w:t>
            </w:r>
            <w:r>
              <w:rPr>
                <w:sz w:val="20"/>
              </w:rPr>
              <w:t>T-24:</w:t>
            </w:r>
            <w:r>
              <w:rPr>
                <w:spacing w:val="-5"/>
                <w:sz w:val="20"/>
              </w:rPr>
              <w:t xml:space="preserve"> </w:t>
            </w:r>
            <w:r>
              <w:rPr>
                <w:sz w:val="20"/>
              </w:rPr>
              <w:t>NRA-Process-</w:t>
            </w:r>
            <w:r>
              <w:rPr>
                <w:spacing w:val="-2"/>
                <w:sz w:val="20"/>
              </w:rPr>
              <w:t>ASHRAE</w:t>
            </w:r>
          </w:p>
          <w:p w:rsidR="00C31389" w:rsidRDefault="00561FBD" w14:paraId="3E6342CE" w14:textId="77777777">
            <w:pPr>
              <w:pStyle w:val="TableParagraph"/>
              <w:spacing w:before="0"/>
              <w:ind w:left="202"/>
              <w:rPr>
                <w:sz w:val="20"/>
              </w:rPr>
            </w:pPr>
            <w:r>
              <w:rPr>
                <w:sz w:val="20"/>
              </w:rPr>
              <w:t>Measure-Escalator</w:t>
            </w:r>
            <w:r>
              <w:rPr>
                <w:spacing w:val="-6"/>
                <w:sz w:val="20"/>
              </w:rPr>
              <w:t xml:space="preserve"> </w:t>
            </w:r>
            <w:r>
              <w:rPr>
                <w:sz w:val="20"/>
              </w:rPr>
              <w:t>Speed</w:t>
            </w:r>
            <w:r>
              <w:rPr>
                <w:spacing w:val="-7"/>
                <w:sz w:val="20"/>
              </w:rPr>
              <w:t xml:space="preserve"> </w:t>
            </w:r>
            <w:r>
              <w:rPr>
                <w:spacing w:val="-2"/>
                <w:sz w:val="20"/>
              </w:rPr>
              <w:t>Control</w:t>
            </w:r>
          </w:p>
        </w:tc>
        <w:tc>
          <w:tcPr>
            <w:tcW w:w="1227" w:type="dxa"/>
            <w:tcBorders>
              <w:top w:val="single" w:color="D9D9D9" w:sz="2" w:space="0"/>
              <w:bottom w:val="single" w:color="D9D9D9" w:sz="2" w:space="0"/>
            </w:tcBorders>
          </w:tcPr>
          <w:p w:rsidR="00C31389" w:rsidRDefault="00561FBD" w14:paraId="0106A99D" w14:textId="77777777">
            <w:pPr>
              <w:pStyle w:val="TableParagraph"/>
              <w:spacing w:before="155"/>
              <w:ind w:left="372"/>
              <w:rPr>
                <w:sz w:val="20"/>
              </w:rPr>
            </w:pPr>
            <w:r>
              <w:rPr>
                <w:spacing w:val="-5"/>
                <w:sz w:val="20"/>
              </w:rPr>
              <w:t>95%</w:t>
            </w:r>
          </w:p>
        </w:tc>
        <w:tc>
          <w:tcPr>
            <w:tcW w:w="1367" w:type="dxa"/>
            <w:tcBorders>
              <w:top w:val="single" w:color="D9D9D9" w:sz="2" w:space="0"/>
              <w:bottom w:val="single" w:color="D9D9D9" w:sz="2" w:space="0"/>
            </w:tcBorders>
          </w:tcPr>
          <w:p w:rsidR="00C31389" w:rsidRDefault="00561FBD" w14:paraId="77A5982A" w14:textId="77777777">
            <w:pPr>
              <w:pStyle w:val="TableParagraph"/>
              <w:spacing w:before="155"/>
              <w:ind w:right="232"/>
              <w:jc w:val="right"/>
              <w:rPr>
                <w:sz w:val="20"/>
              </w:rPr>
            </w:pPr>
            <w:r>
              <w:rPr>
                <w:spacing w:val="-2"/>
                <w:sz w:val="20"/>
              </w:rPr>
              <w:t>07/19/21</w:t>
            </w:r>
          </w:p>
        </w:tc>
        <w:tc>
          <w:tcPr>
            <w:tcW w:w="1580" w:type="dxa"/>
            <w:tcBorders>
              <w:top w:val="single" w:color="D9D9D9" w:sz="2" w:space="0"/>
              <w:bottom w:val="single" w:color="D9D9D9" w:sz="2" w:space="0"/>
            </w:tcBorders>
          </w:tcPr>
          <w:p w:rsidR="00C31389" w:rsidRDefault="00561FBD" w14:paraId="26CB82F0" w14:textId="77777777">
            <w:pPr>
              <w:pStyle w:val="TableParagraph"/>
              <w:spacing w:before="155"/>
              <w:ind w:left="198" w:right="150"/>
              <w:jc w:val="center"/>
              <w:rPr>
                <w:sz w:val="20"/>
              </w:rPr>
            </w:pPr>
            <w:r>
              <w:rPr>
                <w:spacing w:val="-2"/>
                <w:sz w:val="20"/>
              </w:rPr>
              <w:t>On-the-books</w:t>
            </w:r>
          </w:p>
        </w:tc>
      </w:tr>
      <w:tr w:rsidR="00C31389" w14:paraId="2DA5DE18" w14:textId="77777777">
        <w:trPr>
          <w:trHeight w:val="771"/>
        </w:trPr>
        <w:tc>
          <w:tcPr>
            <w:tcW w:w="1367" w:type="dxa"/>
            <w:tcBorders>
              <w:top w:val="single" w:color="D9D9D9" w:sz="2" w:space="0"/>
              <w:bottom w:val="single" w:color="000000" w:sz="8" w:space="0"/>
            </w:tcBorders>
          </w:tcPr>
          <w:p w:rsidR="00C31389" w:rsidRDefault="00C31389" w14:paraId="6C84A95E" w14:textId="77777777">
            <w:pPr>
              <w:pStyle w:val="TableParagraph"/>
              <w:spacing w:before="6"/>
              <w:rPr>
                <w:sz w:val="23"/>
              </w:rPr>
            </w:pPr>
          </w:p>
          <w:p w:rsidR="00C31389" w:rsidRDefault="00561FBD" w14:paraId="38627EA6"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24</w:t>
            </w:r>
          </w:p>
        </w:tc>
        <w:tc>
          <w:tcPr>
            <w:tcW w:w="3834" w:type="dxa"/>
            <w:tcBorders>
              <w:top w:val="single" w:color="D9D9D9" w:sz="2" w:space="0"/>
              <w:bottom w:val="single" w:color="000000" w:sz="8" w:space="0"/>
            </w:tcBorders>
          </w:tcPr>
          <w:p w:rsidR="00C31389" w:rsidRDefault="00561FBD" w14:paraId="35A177C1" w14:textId="77777777">
            <w:pPr>
              <w:pStyle w:val="TableParagraph"/>
              <w:spacing w:before="41"/>
              <w:ind w:left="202" w:right="271"/>
              <w:rPr>
                <w:sz w:val="20"/>
              </w:rPr>
            </w:pPr>
            <w:r>
              <w:rPr>
                <w:sz w:val="20"/>
              </w:rPr>
              <w:t>2016 T-24: Residential Alterations- Multifamily</w:t>
            </w:r>
            <w:r>
              <w:rPr>
                <w:spacing w:val="-7"/>
                <w:sz w:val="20"/>
              </w:rPr>
              <w:t xml:space="preserve"> </w:t>
            </w:r>
            <w:r>
              <w:rPr>
                <w:sz w:val="20"/>
              </w:rPr>
              <w:t>Whole</w:t>
            </w:r>
            <w:r>
              <w:rPr>
                <w:spacing w:val="-8"/>
                <w:sz w:val="20"/>
              </w:rPr>
              <w:t xml:space="preserve"> </w:t>
            </w:r>
            <w:r>
              <w:rPr>
                <w:sz w:val="20"/>
              </w:rPr>
              <w:t>Building</w:t>
            </w:r>
            <w:r>
              <w:rPr>
                <w:spacing w:val="-8"/>
                <w:sz w:val="20"/>
              </w:rPr>
              <w:t xml:space="preserve"> </w:t>
            </w:r>
            <w:r>
              <w:rPr>
                <w:sz w:val="20"/>
              </w:rPr>
              <w:t>(Units</w:t>
            </w:r>
            <w:r>
              <w:rPr>
                <w:spacing w:val="-7"/>
                <w:sz w:val="20"/>
              </w:rPr>
              <w:t xml:space="preserve"> </w:t>
            </w:r>
            <w:r>
              <w:rPr>
                <w:sz w:val="20"/>
              </w:rPr>
              <w:t>=</w:t>
            </w:r>
            <w:r>
              <w:rPr>
                <w:spacing w:val="-7"/>
                <w:sz w:val="20"/>
              </w:rPr>
              <w:t xml:space="preserve"> </w:t>
            </w:r>
            <w:r>
              <w:rPr>
                <w:sz w:val="20"/>
              </w:rPr>
              <w:t># of dwellings)</w:t>
            </w:r>
          </w:p>
        </w:tc>
        <w:tc>
          <w:tcPr>
            <w:tcW w:w="1227" w:type="dxa"/>
            <w:tcBorders>
              <w:top w:val="single" w:color="D9D9D9" w:sz="2" w:space="0"/>
              <w:bottom w:val="single" w:color="000000" w:sz="8" w:space="0"/>
            </w:tcBorders>
          </w:tcPr>
          <w:p w:rsidR="00C31389" w:rsidRDefault="00C31389" w14:paraId="0E7BEB9A" w14:textId="77777777">
            <w:pPr>
              <w:pStyle w:val="TableParagraph"/>
              <w:spacing w:before="6"/>
              <w:rPr>
                <w:sz w:val="23"/>
              </w:rPr>
            </w:pPr>
          </w:p>
          <w:p w:rsidR="00C31389" w:rsidRDefault="00561FBD" w14:paraId="430A272C" w14:textId="77777777">
            <w:pPr>
              <w:pStyle w:val="TableParagraph"/>
              <w:spacing w:before="0"/>
              <w:ind w:left="373"/>
              <w:rPr>
                <w:sz w:val="20"/>
              </w:rPr>
            </w:pPr>
            <w:r>
              <w:rPr>
                <w:spacing w:val="-5"/>
                <w:sz w:val="20"/>
              </w:rPr>
              <w:t>95%</w:t>
            </w:r>
          </w:p>
        </w:tc>
        <w:tc>
          <w:tcPr>
            <w:tcW w:w="1367" w:type="dxa"/>
            <w:tcBorders>
              <w:top w:val="single" w:color="D9D9D9" w:sz="2" w:space="0"/>
              <w:bottom w:val="single" w:color="000000" w:sz="8" w:space="0"/>
            </w:tcBorders>
          </w:tcPr>
          <w:p w:rsidR="00C31389" w:rsidRDefault="00C31389" w14:paraId="778D8D9C" w14:textId="77777777">
            <w:pPr>
              <w:pStyle w:val="TableParagraph"/>
              <w:spacing w:before="6"/>
              <w:rPr>
                <w:sz w:val="23"/>
              </w:rPr>
            </w:pPr>
          </w:p>
          <w:p w:rsidR="00C31389" w:rsidRDefault="00561FBD" w14:paraId="0C7E9695" w14:textId="77777777">
            <w:pPr>
              <w:pStyle w:val="TableParagraph"/>
              <w:spacing w:before="0"/>
              <w:ind w:right="232"/>
              <w:jc w:val="right"/>
              <w:rPr>
                <w:sz w:val="20"/>
              </w:rPr>
            </w:pPr>
            <w:r>
              <w:rPr>
                <w:spacing w:val="-2"/>
                <w:sz w:val="20"/>
              </w:rPr>
              <w:t>06/13/19</w:t>
            </w:r>
          </w:p>
        </w:tc>
        <w:tc>
          <w:tcPr>
            <w:tcW w:w="1580" w:type="dxa"/>
            <w:tcBorders>
              <w:top w:val="single" w:color="D9D9D9" w:sz="2" w:space="0"/>
              <w:bottom w:val="single" w:color="000000" w:sz="8" w:space="0"/>
            </w:tcBorders>
          </w:tcPr>
          <w:p w:rsidR="00C31389" w:rsidRDefault="00C31389" w14:paraId="6F637DCF" w14:textId="77777777">
            <w:pPr>
              <w:pStyle w:val="TableParagraph"/>
              <w:spacing w:before="6"/>
              <w:rPr>
                <w:sz w:val="23"/>
              </w:rPr>
            </w:pPr>
          </w:p>
          <w:p w:rsidR="00C31389" w:rsidRDefault="00561FBD" w14:paraId="56DE6A6E" w14:textId="77777777">
            <w:pPr>
              <w:pStyle w:val="TableParagraph"/>
              <w:spacing w:before="0"/>
              <w:ind w:left="198" w:right="150"/>
              <w:jc w:val="center"/>
              <w:rPr>
                <w:sz w:val="20"/>
              </w:rPr>
            </w:pPr>
            <w:r>
              <w:rPr>
                <w:spacing w:val="-2"/>
                <w:sz w:val="20"/>
              </w:rPr>
              <w:t>On-the-books</w:t>
            </w:r>
          </w:p>
        </w:tc>
      </w:tr>
    </w:tbl>
    <w:p w:rsidR="00C31389" w:rsidRDefault="00C31389" w14:paraId="4F461A48" w14:textId="77777777">
      <w:pPr>
        <w:jc w:val="center"/>
        <w:rPr>
          <w:sz w:val="20"/>
        </w:rPr>
        <w:sectPr w:rsidR="00C31389">
          <w:pgSz w:w="11910" w:h="16840"/>
          <w:pgMar w:top="1380" w:right="1020" w:bottom="1120" w:left="960" w:header="397" w:footer="938" w:gutter="0"/>
          <w:cols w:space="720"/>
        </w:sectPr>
      </w:pPr>
    </w:p>
    <w:p w:rsidR="00C31389" w:rsidRDefault="00C31389" w14:paraId="4F6B14A5"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48"/>
        <w:gridCol w:w="1213"/>
        <w:gridCol w:w="1367"/>
        <w:gridCol w:w="1580"/>
      </w:tblGrid>
      <w:tr w:rsidR="00C31389" w14:paraId="692CDB5E" w14:textId="77777777">
        <w:trPr>
          <w:trHeight w:val="252"/>
        </w:trPr>
        <w:tc>
          <w:tcPr>
            <w:tcW w:w="1367" w:type="dxa"/>
            <w:tcBorders>
              <w:top w:val="single" w:color="8B8B8B" w:sz="8" w:space="0"/>
            </w:tcBorders>
          </w:tcPr>
          <w:p w:rsidR="00C31389" w:rsidRDefault="00C31389" w14:paraId="5A03EBA3" w14:textId="77777777">
            <w:pPr>
              <w:pStyle w:val="TableParagraph"/>
              <w:spacing w:before="0"/>
              <w:rPr>
                <w:rFonts w:ascii="Times New Roman"/>
                <w:sz w:val="18"/>
              </w:rPr>
            </w:pPr>
          </w:p>
        </w:tc>
        <w:tc>
          <w:tcPr>
            <w:tcW w:w="3848" w:type="dxa"/>
            <w:tcBorders>
              <w:top w:val="single" w:color="8B8B8B" w:sz="8" w:space="0"/>
            </w:tcBorders>
          </w:tcPr>
          <w:p w:rsidR="00C31389" w:rsidRDefault="00C31389" w14:paraId="6373A30E" w14:textId="77777777">
            <w:pPr>
              <w:pStyle w:val="TableParagraph"/>
              <w:spacing w:before="0"/>
              <w:rPr>
                <w:rFonts w:ascii="Times New Roman"/>
                <w:sz w:val="18"/>
              </w:rPr>
            </w:pPr>
          </w:p>
        </w:tc>
        <w:tc>
          <w:tcPr>
            <w:tcW w:w="1213" w:type="dxa"/>
            <w:tcBorders>
              <w:top w:val="single" w:color="8B8B8B" w:sz="8" w:space="0"/>
            </w:tcBorders>
          </w:tcPr>
          <w:p w:rsidR="00C31389" w:rsidRDefault="00C31389" w14:paraId="66433DEE" w14:textId="77777777">
            <w:pPr>
              <w:pStyle w:val="TableParagraph"/>
              <w:spacing w:before="0"/>
              <w:rPr>
                <w:rFonts w:ascii="Times New Roman"/>
                <w:sz w:val="18"/>
              </w:rPr>
            </w:pPr>
          </w:p>
        </w:tc>
        <w:tc>
          <w:tcPr>
            <w:tcW w:w="1367" w:type="dxa"/>
            <w:tcBorders>
              <w:top w:val="single" w:color="8B8B8B" w:sz="8" w:space="0"/>
            </w:tcBorders>
          </w:tcPr>
          <w:p w:rsidR="00C31389" w:rsidRDefault="00C31389" w14:paraId="3CABB83D" w14:textId="77777777">
            <w:pPr>
              <w:pStyle w:val="TableParagraph"/>
              <w:spacing w:before="0"/>
              <w:rPr>
                <w:rFonts w:ascii="Times New Roman"/>
                <w:sz w:val="18"/>
              </w:rPr>
            </w:pPr>
          </w:p>
        </w:tc>
        <w:tc>
          <w:tcPr>
            <w:tcW w:w="1580" w:type="dxa"/>
            <w:tcBorders>
              <w:top w:val="single" w:color="8B8B8B" w:sz="8" w:space="0"/>
            </w:tcBorders>
          </w:tcPr>
          <w:p w:rsidR="00C31389" w:rsidRDefault="00C31389" w14:paraId="22C7E1C4" w14:textId="77777777">
            <w:pPr>
              <w:pStyle w:val="TableParagraph"/>
              <w:spacing w:before="0"/>
              <w:rPr>
                <w:rFonts w:ascii="Times New Roman"/>
                <w:sz w:val="18"/>
              </w:rPr>
            </w:pPr>
          </w:p>
        </w:tc>
      </w:tr>
      <w:tr w:rsidR="00C31389" w14:paraId="6B481889" w14:textId="77777777">
        <w:trPr>
          <w:trHeight w:val="549"/>
        </w:trPr>
        <w:tc>
          <w:tcPr>
            <w:tcW w:w="1367" w:type="dxa"/>
            <w:shd w:val="clear" w:color="auto" w:fill="92D400"/>
          </w:tcPr>
          <w:p w:rsidR="00C31389" w:rsidRDefault="00561FBD" w14:paraId="78E883B4" w14:textId="77777777">
            <w:pPr>
              <w:pStyle w:val="TableParagraph"/>
              <w:spacing w:before="155"/>
              <w:ind w:left="129"/>
              <w:rPr>
                <w:b/>
                <w:sz w:val="20"/>
              </w:rPr>
            </w:pPr>
            <w:r>
              <w:rPr>
                <w:b/>
                <w:spacing w:val="-2"/>
                <w:sz w:val="20"/>
              </w:rPr>
              <w:t>Regulation</w:t>
            </w:r>
          </w:p>
        </w:tc>
        <w:tc>
          <w:tcPr>
            <w:tcW w:w="3848" w:type="dxa"/>
            <w:shd w:val="clear" w:color="auto" w:fill="92D400"/>
          </w:tcPr>
          <w:p w:rsidR="00C31389" w:rsidRDefault="00561FBD" w14:paraId="0B119970"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213" w:type="dxa"/>
            <w:shd w:val="clear" w:color="auto" w:fill="92D400"/>
          </w:tcPr>
          <w:p w:rsidR="00C31389" w:rsidRDefault="00561FBD" w14:paraId="3D3819B5" w14:textId="77777777">
            <w:pPr>
              <w:pStyle w:val="TableParagraph"/>
              <w:ind w:left="229" w:hanging="238"/>
              <w:rPr>
                <w:b/>
                <w:sz w:val="20"/>
              </w:rPr>
            </w:pPr>
            <w:r>
              <w:rPr>
                <w:b/>
                <w:spacing w:val="-2"/>
                <w:sz w:val="20"/>
              </w:rPr>
              <w:t>Compliance Rate</w:t>
            </w:r>
            <w:hyperlink w:history="1" w:anchor="_bookmark462">
              <w:r>
                <w:rPr>
                  <w:b/>
                  <w:spacing w:val="-2"/>
                  <w:sz w:val="20"/>
                  <w:vertAlign w:val="superscript"/>
                </w:rPr>
                <w:t>182</w:t>
              </w:r>
            </w:hyperlink>
          </w:p>
        </w:tc>
        <w:tc>
          <w:tcPr>
            <w:tcW w:w="1367" w:type="dxa"/>
            <w:shd w:val="clear" w:color="auto" w:fill="92D400"/>
          </w:tcPr>
          <w:p w:rsidR="00C31389" w:rsidRDefault="00561FBD" w14:paraId="2C3EFB30" w14:textId="77777777">
            <w:pPr>
              <w:pStyle w:val="TableParagraph"/>
              <w:ind w:left="524" w:hanging="202"/>
              <w:rPr>
                <w:b/>
                <w:sz w:val="20"/>
              </w:rPr>
            </w:pPr>
            <w:r>
              <w:rPr>
                <w:b/>
                <w:spacing w:val="-2"/>
                <w:sz w:val="20"/>
              </w:rPr>
              <w:t xml:space="preserve">Effective </w:t>
            </w:r>
            <w:r>
              <w:rPr>
                <w:b/>
                <w:spacing w:val="-4"/>
                <w:sz w:val="20"/>
              </w:rPr>
              <w:t>Date</w:t>
            </w:r>
          </w:p>
        </w:tc>
        <w:tc>
          <w:tcPr>
            <w:tcW w:w="1580" w:type="dxa"/>
            <w:shd w:val="clear" w:color="auto" w:fill="92D400"/>
          </w:tcPr>
          <w:p w:rsidR="00C31389" w:rsidRDefault="00561FBD" w14:paraId="07373064" w14:textId="77777777">
            <w:pPr>
              <w:pStyle w:val="TableParagraph"/>
              <w:spacing w:before="155"/>
              <w:ind w:left="198" w:right="150"/>
              <w:jc w:val="center"/>
              <w:rPr>
                <w:b/>
                <w:sz w:val="20"/>
              </w:rPr>
            </w:pPr>
            <w:r>
              <w:rPr>
                <w:b/>
                <w:sz w:val="20"/>
              </w:rPr>
              <w:t>Policy</w:t>
            </w:r>
            <w:r>
              <w:rPr>
                <w:b/>
                <w:spacing w:val="-5"/>
                <w:sz w:val="20"/>
              </w:rPr>
              <w:t xml:space="preserve"> </w:t>
            </w:r>
            <w:r>
              <w:rPr>
                <w:b/>
                <w:spacing w:val="-4"/>
                <w:sz w:val="20"/>
              </w:rPr>
              <w:t>View</w:t>
            </w:r>
          </w:p>
        </w:tc>
      </w:tr>
      <w:tr w:rsidR="00C31389" w14:paraId="35A10C89" w14:textId="77777777">
        <w:trPr>
          <w:trHeight w:val="765"/>
        </w:trPr>
        <w:tc>
          <w:tcPr>
            <w:tcW w:w="1367" w:type="dxa"/>
            <w:tcBorders>
              <w:bottom w:val="single" w:color="D9D9D9" w:sz="2" w:space="0"/>
            </w:tcBorders>
          </w:tcPr>
          <w:p w:rsidR="00C31389" w:rsidRDefault="00C31389" w14:paraId="47E2200D" w14:textId="77777777">
            <w:pPr>
              <w:pStyle w:val="TableParagraph"/>
              <w:spacing w:before="1"/>
              <w:rPr>
                <w:sz w:val="23"/>
              </w:rPr>
            </w:pPr>
          </w:p>
          <w:p w:rsidR="00C31389" w:rsidRDefault="00561FBD" w14:paraId="48F47C4C"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24</w:t>
            </w:r>
          </w:p>
        </w:tc>
        <w:tc>
          <w:tcPr>
            <w:tcW w:w="3848" w:type="dxa"/>
            <w:tcBorders>
              <w:bottom w:val="single" w:color="D9D9D9" w:sz="2" w:space="0"/>
            </w:tcBorders>
          </w:tcPr>
          <w:p w:rsidR="00C31389" w:rsidRDefault="00561FBD" w14:paraId="665146D3" w14:textId="77777777">
            <w:pPr>
              <w:pStyle w:val="TableParagraph"/>
              <w:spacing w:before="35"/>
              <w:ind w:left="202" w:right="293"/>
              <w:rPr>
                <w:sz w:val="20"/>
              </w:rPr>
            </w:pPr>
            <w:r>
              <w:rPr>
                <w:sz w:val="20"/>
              </w:rPr>
              <w:t>2016 T-24: Residential Alterations- Single</w:t>
            </w:r>
            <w:r>
              <w:rPr>
                <w:spacing w:val="-8"/>
                <w:sz w:val="20"/>
              </w:rPr>
              <w:t xml:space="preserve"> </w:t>
            </w:r>
            <w:r>
              <w:rPr>
                <w:sz w:val="20"/>
              </w:rPr>
              <w:t>Family</w:t>
            </w:r>
            <w:r>
              <w:rPr>
                <w:spacing w:val="-8"/>
                <w:sz w:val="20"/>
              </w:rPr>
              <w:t xml:space="preserve"> </w:t>
            </w:r>
            <w:r>
              <w:rPr>
                <w:sz w:val="20"/>
              </w:rPr>
              <w:t>Whole</w:t>
            </w:r>
            <w:r>
              <w:rPr>
                <w:spacing w:val="-8"/>
                <w:sz w:val="20"/>
              </w:rPr>
              <w:t xml:space="preserve"> </w:t>
            </w:r>
            <w:r>
              <w:rPr>
                <w:sz w:val="20"/>
              </w:rPr>
              <w:t>Building</w:t>
            </w:r>
            <w:r>
              <w:rPr>
                <w:spacing w:val="-8"/>
                <w:sz w:val="20"/>
              </w:rPr>
              <w:t xml:space="preserve"> </w:t>
            </w:r>
            <w:r>
              <w:rPr>
                <w:sz w:val="20"/>
              </w:rPr>
              <w:t>(Units</w:t>
            </w:r>
            <w:r>
              <w:rPr>
                <w:spacing w:val="-7"/>
                <w:sz w:val="20"/>
              </w:rPr>
              <w:t xml:space="preserve"> </w:t>
            </w:r>
            <w:r>
              <w:rPr>
                <w:sz w:val="20"/>
              </w:rPr>
              <w:t>= # of homes)</w:t>
            </w:r>
          </w:p>
        </w:tc>
        <w:tc>
          <w:tcPr>
            <w:tcW w:w="1213" w:type="dxa"/>
            <w:tcBorders>
              <w:bottom w:val="single" w:color="D9D9D9" w:sz="2" w:space="0"/>
            </w:tcBorders>
          </w:tcPr>
          <w:p w:rsidR="00C31389" w:rsidRDefault="00C31389" w14:paraId="5716F6F9" w14:textId="77777777">
            <w:pPr>
              <w:pStyle w:val="TableParagraph"/>
              <w:spacing w:before="1"/>
              <w:rPr>
                <w:sz w:val="23"/>
              </w:rPr>
            </w:pPr>
          </w:p>
          <w:p w:rsidR="00C31389" w:rsidRDefault="00561FBD" w14:paraId="270DA4FF" w14:textId="77777777">
            <w:pPr>
              <w:pStyle w:val="TableParagraph"/>
              <w:spacing w:before="0"/>
              <w:ind w:left="358"/>
              <w:rPr>
                <w:sz w:val="20"/>
              </w:rPr>
            </w:pPr>
            <w:r>
              <w:rPr>
                <w:spacing w:val="-5"/>
                <w:sz w:val="20"/>
              </w:rPr>
              <w:t>95%</w:t>
            </w:r>
          </w:p>
        </w:tc>
        <w:tc>
          <w:tcPr>
            <w:tcW w:w="1367" w:type="dxa"/>
            <w:tcBorders>
              <w:bottom w:val="single" w:color="D9D9D9" w:sz="2" w:space="0"/>
            </w:tcBorders>
          </w:tcPr>
          <w:p w:rsidR="00C31389" w:rsidRDefault="00C31389" w14:paraId="517F8BC0" w14:textId="77777777">
            <w:pPr>
              <w:pStyle w:val="TableParagraph"/>
              <w:spacing w:before="1"/>
              <w:rPr>
                <w:sz w:val="23"/>
              </w:rPr>
            </w:pPr>
          </w:p>
          <w:p w:rsidR="00C31389" w:rsidRDefault="00561FBD" w14:paraId="252118AC" w14:textId="77777777">
            <w:pPr>
              <w:pStyle w:val="TableParagraph"/>
              <w:spacing w:before="0"/>
              <w:ind w:right="232"/>
              <w:jc w:val="right"/>
              <w:rPr>
                <w:sz w:val="20"/>
              </w:rPr>
            </w:pPr>
            <w:r>
              <w:rPr>
                <w:spacing w:val="-2"/>
                <w:sz w:val="20"/>
              </w:rPr>
              <w:t>07/03/19</w:t>
            </w:r>
          </w:p>
        </w:tc>
        <w:tc>
          <w:tcPr>
            <w:tcW w:w="1580" w:type="dxa"/>
            <w:tcBorders>
              <w:bottom w:val="single" w:color="D9D9D9" w:sz="2" w:space="0"/>
            </w:tcBorders>
          </w:tcPr>
          <w:p w:rsidR="00C31389" w:rsidRDefault="00C31389" w14:paraId="01BC42C0" w14:textId="77777777">
            <w:pPr>
              <w:pStyle w:val="TableParagraph"/>
              <w:spacing w:before="1"/>
              <w:rPr>
                <w:sz w:val="23"/>
              </w:rPr>
            </w:pPr>
          </w:p>
          <w:p w:rsidR="00C31389" w:rsidRDefault="00561FBD" w14:paraId="2E595F12" w14:textId="77777777">
            <w:pPr>
              <w:pStyle w:val="TableParagraph"/>
              <w:spacing w:before="0"/>
              <w:ind w:left="198" w:right="150"/>
              <w:jc w:val="center"/>
              <w:rPr>
                <w:sz w:val="20"/>
              </w:rPr>
            </w:pPr>
            <w:r>
              <w:rPr>
                <w:spacing w:val="-2"/>
                <w:sz w:val="20"/>
              </w:rPr>
              <w:t>On-the-books</w:t>
            </w:r>
          </w:p>
        </w:tc>
      </w:tr>
      <w:tr w:rsidR="00C31389" w14:paraId="7AFA062F" w14:textId="77777777">
        <w:trPr>
          <w:trHeight w:val="770"/>
        </w:trPr>
        <w:tc>
          <w:tcPr>
            <w:tcW w:w="1367" w:type="dxa"/>
            <w:tcBorders>
              <w:top w:val="single" w:color="D9D9D9" w:sz="2" w:space="0"/>
              <w:bottom w:val="single" w:color="D9D9D9" w:sz="2" w:space="0"/>
            </w:tcBorders>
          </w:tcPr>
          <w:p w:rsidR="00C31389" w:rsidRDefault="00C31389" w14:paraId="7E6AA9D3" w14:textId="77777777">
            <w:pPr>
              <w:pStyle w:val="TableParagraph"/>
              <w:spacing w:before="6"/>
              <w:rPr>
                <w:sz w:val="23"/>
              </w:rPr>
            </w:pPr>
          </w:p>
          <w:p w:rsidR="00C31389" w:rsidRDefault="00561FBD" w14:paraId="5D01FD7C"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30666560" w14:textId="77777777">
            <w:pPr>
              <w:pStyle w:val="TableParagraph"/>
              <w:ind w:left="202" w:right="847"/>
              <w:rPr>
                <w:sz w:val="20"/>
              </w:rPr>
            </w:pPr>
            <w:r>
              <w:rPr>
                <w:sz w:val="20"/>
              </w:rPr>
              <w:t xml:space="preserve">2016 T-24: Residential New </w:t>
            </w:r>
            <w:r>
              <w:rPr>
                <w:sz w:val="20"/>
              </w:rPr>
              <w:t>Construction-Multifamily Whole Building</w:t>
            </w:r>
            <w:r>
              <w:rPr>
                <w:spacing w:val="-8"/>
                <w:sz w:val="20"/>
              </w:rPr>
              <w:t xml:space="preserve"> </w:t>
            </w:r>
            <w:r>
              <w:rPr>
                <w:sz w:val="20"/>
              </w:rPr>
              <w:t>(Units</w:t>
            </w:r>
            <w:r>
              <w:rPr>
                <w:spacing w:val="-7"/>
                <w:sz w:val="20"/>
              </w:rPr>
              <w:t xml:space="preserve"> </w:t>
            </w:r>
            <w:r>
              <w:rPr>
                <w:sz w:val="20"/>
              </w:rPr>
              <w:t>=</w:t>
            </w:r>
            <w:r>
              <w:rPr>
                <w:spacing w:val="-7"/>
                <w:sz w:val="20"/>
              </w:rPr>
              <w:t xml:space="preserve"> </w:t>
            </w:r>
            <w:r>
              <w:rPr>
                <w:sz w:val="20"/>
              </w:rPr>
              <w:t>#</w:t>
            </w:r>
            <w:r>
              <w:rPr>
                <w:spacing w:val="-8"/>
                <w:sz w:val="20"/>
              </w:rPr>
              <w:t xml:space="preserve"> </w:t>
            </w:r>
            <w:r>
              <w:rPr>
                <w:sz w:val="20"/>
              </w:rPr>
              <w:t>of</w:t>
            </w:r>
            <w:r>
              <w:rPr>
                <w:spacing w:val="-8"/>
                <w:sz w:val="20"/>
              </w:rPr>
              <w:t xml:space="preserve"> </w:t>
            </w:r>
            <w:r>
              <w:rPr>
                <w:sz w:val="20"/>
              </w:rPr>
              <w:t>dwellings)</w:t>
            </w:r>
          </w:p>
        </w:tc>
        <w:tc>
          <w:tcPr>
            <w:tcW w:w="1213" w:type="dxa"/>
            <w:tcBorders>
              <w:top w:val="single" w:color="D9D9D9" w:sz="2" w:space="0"/>
              <w:bottom w:val="single" w:color="D9D9D9" w:sz="2" w:space="0"/>
            </w:tcBorders>
          </w:tcPr>
          <w:p w:rsidR="00C31389" w:rsidRDefault="00C31389" w14:paraId="634BD9DB" w14:textId="77777777">
            <w:pPr>
              <w:pStyle w:val="TableParagraph"/>
              <w:spacing w:before="6"/>
              <w:rPr>
                <w:sz w:val="23"/>
              </w:rPr>
            </w:pPr>
          </w:p>
          <w:p w:rsidR="00C31389" w:rsidRDefault="00561FBD" w14:paraId="6FF1996C" w14:textId="77777777">
            <w:pPr>
              <w:pStyle w:val="TableParagraph"/>
              <w:spacing w:before="0"/>
              <w:ind w:left="359"/>
              <w:rPr>
                <w:sz w:val="20"/>
              </w:rPr>
            </w:pPr>
            <w:r>
              <w:rPr>
                <w:spacing w:val="-5"/>
                <w:sz w:val="20"/>
              </w:rPr>
              <w:t>95%</w:t>
            </w:r>
          </w:p>
        </w:tc>
        <w:tc>
          <w:tcPr>
            <w:tcW w:w="1367" w:type="dxa"/>
            <w:tcBorders>
              <w:top w:val="single" w:color="D9D9D9" w:sz="2" w:space="0"/>
              <w:bottom w:val="single" w:color="D9D9D9" w:sz="2" w:space="0"/>
            </w:tcBorders>
          </w:tcPr>
          <w:p w:rsidR="00C31389" w:rsidRDefault="00C31389" w14:paraId="2297AF89" w14:textId="77777777">
            <w:pPr>
              <w:pStyle w:val="TableParagraph"/>
              <w:spacing w:before="6"/>
              <w:rPr>
                <w:sz w:val="23"/>
              </w:rPr>
            </w:pPr>
          </w:p>
          <w:p w:rsidR="00C31389" w:rsidRDefault="00561FBD" w14:paraId="3035D271" w14:textId="77777777">
            <w:pPr>
              <w:pStyle w:val="TableParagraph"/>
              <w:spacing w:before="0"/>
              <w:ind w:right="232"/>
              <w:jc w:val="right"/>
              <w:rPr>
                <w:sz w:val="20"/>
              </w:rPr>
            </w:pPr>
            <w:r>
              <w:rPr>
                <w:spacing w:val="-2"/>
                <w:sz w:val="20"/>
              </w:rPr>
              <w:t>01/28/19</w:t>
            </w:r>
          </w:p>
        </w:tc>
        <w:tc>
          <w:tcPr>
            <w:tcW w:w="1580" w:type="dxa"/>
            <w:tcBorders>
              <w:top w:val="single" w:color="D9D9D9" w:sz="2" w:space="0"/>
              <w:bottom w:val="single" w:color="D9D9D9" w:sz="2" w:space="0"/>
            </w:tcBorders>
          </w:tcPr>
          <w:p w:rsidR="00C31389" w:rsidRDefault="00C31389" w14:paraId="1BD71152" w14:textId="77777777">
            <w:pPr>
              <w:pStyle w:val="TableParagraph"/>
              <w:spacing w:before="6"/>
              <w:rPr>
                <w:sz w:val="23"/>
              </w:rPr>
            </w:pPr>
          </w:p>
          <w:p w:rsidR="00C31389" w:rsidRDefault="00561FBD" w14:paraId="24C02938" w14:textId="77777777">
            <w:pPr>
              <w:pStyle w:val="TableParagraph"/>
              <w:spacing w:before="0"/>
              <w:ind w:left="198" w:right="150"/>
              <w:jc w:val="center"/>
              <w:rPr>
                <w:sz w:val="20"/>
              </w:rPr>
            </w:pPr>
            <w:r>
              <w:rPr>
                <w:spacing w:val="-2"/>
                <w:sz w:val="20"/>
              </w:rPr>
              <w:t>On-the-books</w:t>
            </w:r>
          </w:p>
        </w:tc>
      </w:tr>
      <w:tr w:rsidR="00C31389" w14:paraId="0F46AE8A" w14:textId="77777777">
        <w:trPr>
          <w:trHeight w:val="769"/>
        </w:trPr>
        <w:tc>
          <w:tcPr>
            <w:tcW w:w="1367" w:type="dxa"/>
            <w:tcBorders>
              <w:top w:val="single" w:color="D9D9D9" w:sz="2" w:space="0"/>
              <w:bottom w:val="single" w:color="D9D9D9" w:sz="2" w:space="0"/>
            </w:tcBorders>
          </w:tcPr>
          <w:p w:rsidR="00C31389" w:rsidRDefault="00C31389" w14:paraId="64CC25CB" w14:textId="77777777">
            <w:pPr>
              <w:pStyle w:val="TableParagraph"/>
              <w:spacing w:before="5"/>
              <w:rPr>
                <w:sz w:val="23"/>
              </w:rPr>
            </w:pPr>
          </w:p>
          <w:p w:rsidR="00C31389" w:rsidRDefault="00561FBD" w14:paraId="06D2CC2B" w14:textId="77777777">
            <w:pPr>
              <w:pStyle w:val="TableParagraph"/>
              <w:spacing w:before="0"/>
              <w:ind w:left="129"/>
              <w:rPr>
                <w:sz w:val="20"/>
              </w:rPr>
            </w:pPr>
            <w:r>
              <w:rPr>
                <w:sz w:val="20"/>
              </w:rPr>
              <w:t>2016</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5FEF44EB" w14:textId="77777777">
            <w:pPr>
              <w:pStyle w:val="TableParagraph"/>
              <w:ind w:left="202" w:right="345"/>
              <w:rPr>
                <w:sz w:val="20"/>
              </w:rPr>
            </w:pPr>
            <w:r>
              <w:rPr>
                <w:sz w:val="20"/>
              </w:rPr>
              <w:t>2016 T-24: Residential New Construction-Whole</w:t>
            </w:r>
            <w:r>
              <w:rPr>
                <w:spacing w:val="-14"/>
                <w:sz w:val="20"/>
              </w:rPr>
              <w:t xml:space="preserve"> </w:t>
            </w:r>
            <w:r>
              <w:rPr>
                <w:sz w:val="20"/>
              </w:rPr>
              <w:t>Building</w:t>
            </w:r>
            <w:r>
              <w:rPr>
                <w:spacing w:val="-14"/>
                <w:sz w:val="20"/>
              </w:rPr>
              <w:t xml:space="preserve"> </w:t>
            </w:r>
            <w:r>
              <w:rPr>
                <w:sz w:val="20"/>
              </w:rPr>
              <w:t>(units=# of homes)</w:t>
            </w:r>
          </w:p>
        </w:tc>
        <w:tc>
          <w:tcPr>
            <w:tcW w:w="1213" w:type="dxa"/>
            <w:tcBorders>
              <w:top w:val="single" w:color="D9D9D9" w:sz="2" w:space="0"/>
              <w:bottom w:val="single" w:color="D9D9D9" w:sz="2" w:space="0"/>
            </w:tcBorders>
          </w:tcPr>
          <w:p w:rsidR="00C31389" w:rsidRDefault="00C31389" w14:paraId="7933C728" w14:textId="77777777">
            <w:pPr>
              <w:pStyle w:val="TableParagraph"/>
              <w:spacing w:before="5"/>
              <w:rPr>
                <w:sz w:val="23"/>
              </w:rPr>
            </w:pPr>
          </w:p>
          <w:p w:rsidR="00C31389" w:rsidRDefault="00561FBD" w14:paraId="526C36ED" w14:textId="77777777">
            <w:pPr>
              <w:pStyle w:val="TableParagraph"/>
              <w:spacing w:before="0"/>
              <w:ind w:left="303"/>
              <w:rPr>
                <w:sz w:val="20"/>
              </w:rPr>
            </w:pPr>
            <w:r>
              <w:rPr>
                <w:spacing w:val="-4"/>
                <w:sz w:val="20"/>
              </w:rPr>
              <w:t>100%</w:t>
            </w:r>
          </w:p>
        </w:tc>
        <w:tc>
          <w:tcPr>
            <w:tcW w:w="1367" w:type="dxa"/>
            <w:tcBorders>
              <w:top w:val="single" w:color="D9D9D9" w:sz="2" w:space="0"/>
              <w:bottom w:val="single" w:color="D9D9D9" w:sz="2" w:space="0"/>
            </w:tcBorders>
          </w:tcPr>
          <w:p w:rsidR="00C31389" w:rsidRDefault="00C31389" w14:paraId="1C84036F" w14:textId="77777777">
            <w:pPr>
              <w:pStyle w:val="TableParagraph"/>
              <w:spacing w:before="5"/>
              <w:rPr>
                <w:sz w:val="23"/>
              </w:rPr>
            </w:pPr>
          </w:p>
          <w:p w:rsidR="00C31389" w:rsidRDefault="00561FBD" w14:paraId="0F846AEE" w14:textId="77777777">
            <w:pPr>
              <w:pStyle w:val="TableParagraph"/>
              <w:spacing w:before="0"/>
              <w:ind w:right="232"/>
              <w:jc w:val="right"/>
              <w:rPr>
                <w:sz w:val="20"/>
              </w:rPr>
            </w:pPr>
            <w:r>
              <w:rPr>
                <w:spacing w:val="-2"/>
                <w:sz w:val="20"/>
              </w:rPr>
              <w:t>01/08/19</w:t>
            </w:r>
          </w:p>
        </w:tc>
        <w:tc>
          <w:tcPr>
            <w:tcW w:w="1580" w:type="dxa"/>
            <w:tcBorders>
              <w:top w:val="single" w:color="D9D9D9" w:sz="2" w:space="0"/>
              <w:bottom w:val="single" w:color="D9D9D9" w:sz="2" w:space="0"/>
            </w:tcBorders>
          </w:tcPr>
          <w:p w:rsidR="00C31389" w:rsidRDefault="00C31389" w14:paraId="6606E960" w14:textId="77777777">
            <w:pPr>
              <w:pStyle w:val="TableParagraph"/>
              <w:spacing w:before="5"/>
              <w:rPr>
                <w:sz w:val="23"/>
              </w:rPr>
            </w:pPr>
          </w:p>
          <w:p w:rsidR="00C31389" w:rsidRDefault="00561FBD" w14:paraId="3233FB91" w14:textId="77777777">
            <w:pPr>
              <w:pStyle w:val="TableParagraph"/>
              <w:spacing w:before="0"/>
              <w:ind w:left="198" w:right="150"/>
              <w:jc w:val="center"/>
              <w:rPr>
                <w:sz w:val="20"/>
              </w:rPr>
            </w:pPr>
            <w:r>
              <w:rPr>
                <w:spacing w:val="-2"/>
                <w:sz w:val="20"/>
              </w:rPr>
              <w:t>On-the-books</w:t>
            </w:r>
          </w:p>
        </w:tc>
      </w:tr>
      <w:tr w:rsidR="00C31389" w14:paraId="4D7934E3" w14:textId="77777777">
        <w:trPr>
          <w:trHeight w:val="539"/>
        </w:trPr>
        <w:tc>
          <w:tcPr>
            <w:tcW w:w="1367" w:type="dxa"/>
            <w:tcBorders>
              <w:top w:val="single" w:color="D9D9D9" w:sz="2" w:space="0"/>
              <w:bottom w:val="single" w:color="D9D9D9" w:sz="2" w:space="0"/>
            </w:tcBorders>
          </w:tcPr>
          <w:p w:rsidR="00C31389" w:rsidRDefault="00561FBD" w14:paraId="25A294D7" w14:textId="77777777">
            <w:pPr>
              <w:pStyle w:val="TableParagraph"/>
              <w:spacing w:before="155"/>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6934B220" w14:textId="77777777">
            <w:pPr>
              <w:pStyle w:val="TableParagraph"/>
              <w:ind w:left="202" w:right="293"/>
              <w:rPr>
                <w:sz w:val="20"/>
              </w:rPr>
            </w:pPr>
            <w:r>
              <w:rPr>
                <w:sz w:val="20"/>
              </w:rPr>
              <w:t>T-20:</w:t>
            </w:r>
            <w:r>
              <w:rPr>
                <w:spacing w:val="-9"/>
                <w:sz w:val="20"/>
              </w:rPr>
              <w:t xml:space="preserve"> </w:t>
            </w:r>
            <w:r>
              <w:rPr>
                <w:sz w:val="20"/>
              </w:rPr>
              <w:t>Computers</w:t>
            </w:r>
            <w:r>
              <w:rPr>
                <w:spacing w:val="-10"/>
                <w:sz w:val="20"/>
              </w:rPr>
              <w:t xml:space="preserve"> </w:t>
            </w:r>
            <w:r>
              <w:rPr>
                <w:sz w:val="20"/>
              </w:rPr>
              <w:t>-</w:t>
            </w:r>
            <w:r>
              <w:rPr>
                <w:spacing w:val="-9"/>
                <w:sz w:val="20"/>
              </w:rPr>
              <w:t xml:space="preserve"> </w:t>
            </w:r>
            <w:r>
              <w:rPr>
                <w:sz w:val="20"/>
              </w:rPr>
              <w:t>Small</w:t>
            </w:r>
            <w:r>
              <w:rPr>
                <w:spacing w:val="-9"/>
                <w:sz w:val="20"/>
              </w:rPr>
              <w:t xml:space="preserve"> </w:t>
            </w:r>
            <w:r>
              <w:rPr>
                <w:sz w:val="20"/>
              </w:rPr>
              <w:t xml:space="preserve">Scale </w:t>
            </w:r>
            <w:r>
              <w:rPr>
                <w:spacing w:val="-2"/>
                <w:sz w:val="20"/>
              </w:rPr>
              <w:t>Servers</w:t>
            </w:r>
          </w:p>
        </w:tc>
        <w:tc>
          <w:tcPr>
            <w:tcW w:w="1213" w:type="dxa"/>
            <w:tcBorders>
              <w:top w:val="single" w:color="D9D9D9" w:sz="2" w:space="0"/>
              <w:bottom w:val="single" w:color="D9D9D9" w:sz="2" w:space="0"/>
            </w:tcBorders>
          </w:tcPr>
          <w:p w:rsidR="00C31389" w:rsidRDefault="00561FBD" w14:paraId="25A27468"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64587A25" w14:textId="77777777">
            <w:pPr>
              <w:pStyle w:val="TableParagraph"/>
              <w:spacing w:before="155"/>
              <w:ind w:right="232"/>
              <w:jc w:val="right"/>
              <w:rPr>
                <w:sz w:val="20"/>
              </w:rPr>
            </w:pPr>
            <w:r>
              <w:rPr>
                <w:spacing w:val="-2"/>
                <w:sz w:val="20"/>
              </w:rPr>
              <w:t>04/01/20</w:t>
            </w:r>
          </w:p>
        </w:tc>
        <w:tc>
          <w:tcPr>
            <w:tcW w:w="1580" w:type="dxa"/>
            <w:tcBorders>
              <w:top w:val="single" w:color="D9D9D9" w:sz="2" w:space="0"/>
              <w:bottom w:val="single" w:color="D9D9D9" w:sz="2" w:space="0"/>
            </w:tcBorders>
          </w:tcPr>
          <w:p w:rsidR="00C31389" w:rsidRDefault="00561FBD" w14:paraId="3152B868" w14:textId="77777777">
            <w:pPr>
              <w:pStyle w:val="TableParagraph"/>
              <w:spacing w:before="155"/>
              <w:ind w:left="198" w:right="150"/>
              <w:jc w:val="center"/>
              <w:rPr>
                <w:sz w:val="20"/>
              </w:rPr>
            </w:pPr>
            <w:r>
              <w:rPr>
                <w:spacing w:val="-2"/>
                <w:sz w:val="20"/>
              </w:rPr>
              <w:t>On-the-books</w:t>
            </w:r>
          </w:p>
        </w:tc>
      </w:tr>
      <w:tr w:rsidR="00C31389" w14:paraId="7E339028" w14:textId="77777777">
        <w:trPr>
          <w:trHeight w:val="310"/>
        </w:trPr>
        <w:tc>
          <w:tcPr>
            <w:tcW w:w="1367" w:type="dxa"/>
            <w:tcBorders>
              <w:top w:val="single" w:color="D9D9D9" w:sz="2" w:space="0"/>
              <w:bottom w:val="single" w:color="D9D9D9" w:sz="2" w:space="0"/>
            </w:tcBorders>
          </w:tcPr>
          <w:p w:rsidR="00C31389" w:rsidRDefault="00561FBD" w14:paraId="3DEED0C4" w14:textId="77777777">
            <w:pPr>
              <w:pStyle w:val="TableParagraph"/>
              <w:spacing w:before="41"/>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0DCBC30D" w14:textId="77777777">
            <w:pPr>
              <w:pStyle w:val="TableParagraph"/>
              <w:spacing w:before="41"/>
              <w:ind w:left="202"/>
              <w:rPr>
                <w:sz w:val="20"/>
              </w:rPr>
            </w:pPr>
            <w:r>
              <w:rPr>
                <w:sz w:val="20"/>
              </w:rPr>
              <w:t>T-20:</w:t>
            </w:r>
            <w:r>
              <w:rPr>
                <w:spacing w:val="-5"/>
                <w:sz w:val="20"/>
              </w:rPr>
              <w:t xml:space="preserve"> </w:t>
            </w:r>
            <w:r>
              <w:rPr>
                <w:sz w:val="20"/>
              </w:rPr>
              <w:t>Computers</w:t>
            </w:r>
            <w:r>
              <w:rPr>
                <w:spacing w:val="-3"/>
                <w:sz w:val="20"/>
              </w:rPr>
              <w:t xml:space="preserve"> </w:t>
            </w:r>
            <w:r>
              <w:rPr>
                <w:sz w:val="20"/>
              </w:rPr>
              <w:t>-</w:t>
            </w:r>
            <w:r>
              <w:rPr>
                <w:spacing w:val="-2"/>
                <w:sz w:val="20"/>
              </w:rPr>
              <w:t xml:space="preserve"> Workstations</w:t>
            </w:r>
          </w:p>
        </w:tc>
        <w:tc>
          <w:tcPr>
            <w:tcW w:w="1213" w:type="dxa"/>
            <w:tcBorders>
              <w:top w:val="single" w:color="D9D9D9" w:sz="2" w:space="0"/>
              <w:bottom w:val="single" w:color="D9D9D9" w:sz="2" w:space="0"/>
            </w:tcBorders>
          </w:tcPr>
          <w:p w:rsidR="00C31389" w:rsidRDefault="00561FBD" w14:paraId="5D068703" w14:textId="77777777">
            <w:pPr>
              <w:pStyle w:val="TableParagraph"/>
              <w:spacing w:before="41"/>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5E766E42" w14:textId="77777777">
            <w:pPr>
              <w:pStyle w:val="TableParagraph"/>
              <w:spacing w:before="41"/>
              <w:ind w:right="232"/>
              <w:jc w:val="right"/>
              <w:rPr>
                <w:sz w:val="20"/>
              </w:rPr>
            </w:pPr>
            <w:r>
              <w:rPr>
                <w:spacing w:val="-2"/>
                <w:sz w:val="20"/>
              </w:rPr>
              <w:t>04/01/20</w:t>
            </w:r>
          </w:p>
        </w:tc>
        <w:tc>
          <w:tcPr>
            <w:tcW w:w="1580" w:type="dxa"/>
            <w:tcBorders>
              <w:top w:val="single" w:color="D9D9D9" w:sz="2" w:space="0"/>
              <w:bottom w:val="single" w:color="D9D9D9" w:sz="2" w:space="0"/>
            </w:tcBorders>
          </w:tcPr>
          <w:p w:rsidR="00C31389" w:rsidRDefault="00561FBD" w14:paraId="0070B099" w14:textId="77777777">
            <w:pPr>
              <w:pStyle w:val="TableParagraph"/>
              <w:spacing w:before="41"/>
              <w:ind w:left="198" w:right="150"/>
              <w:jc w:val="center"/>
              <w:rPr>
                <w:sz w:val="20"/>
              </w:rPr>
            </w:pPr>
            <w:r>
              <w:rPr>
                <w:spacing w:val="-2"/>
                <w:sz w:val="20"/>
              </w:rPr>
              <w:t>On-the-books</w:t>
            </w:r>
          </w:p>
        </w:tc>
      </w:tr>
      <w:tr w:rsidR="00C31389" w14:paraId="6D4BEFAE" w14:textId="77777777">
        <w:trPr>
          <w:trHeight w:val="309"/>
        </w:trPr>
        <w:tc>
          <w:tcPr>
            <w:tcW w:w="1367" w:type="dxa"/>
            <w:tcBorders>
              <w:top w:val="single" w:color="D9D9D9" w:sz="2" w:space="0"/>
              <w:bottom w:val="single" w:color="D9D9D9" w:sz="2" w:space="0"/>
            </w:tcBorders>
          </w:tcPr>
          <w:p w:rsidR="00C31389" w:rsidRDefault="00561FBD" w14:paraId="1B2E3FAD" w14:textId="77777777">
            <w:pPr>
              <w:pStyle w:val="TableParagraph"/>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584D9980" w14:textId="77777777">
            <w:pPr>
              <w:pStyle w:val="TableParagraph"/>
              <w:ind w:left="202"/>
              <w:rPr>
                <w:sz w:val="20"/>
              </w:rPr>
            </w:pPr>
            <w:r>
              <w:rPr>
                <w:sz w:val="20"/>
              </w:rPr>
              <w:t>T-20:</w:t>
            </w:r>
            <w:r>
              <w:rPr>
                <w:spacing w:val="-3"/>
                <w:sz w:val="20"/>
              </w:rPr>
              <w:t xml:space="preserve"> </w:t>
            </w:r>
            <w:r>
              <w:rPr>
                <w:sz w:val="20"/>
              </w:rPr>
              <w:t>GSLs</w:t>
            </w:r>
            <w:r>
              <w:rPr>
                <w:spacing w:val="-2"/>
                <w:sz w:val="20"/>
              </w:rPr>
              <w:t xml:space="preserve"> </w:t>
            </w:r>
            <w:r>
              <w:rPr>
                <w:sz w:val="20"/>
              </w:rPr>
              <w:t>-</w:t>
            </w:r>
            <w:r>
              <w:rPr>
                <w:spacing w:val="-4"/>
                <w:sz w:val="20"/>
              </w:rPr>
              <w:t xml:space="preserve"> </w:t>
            </w:r>
            <w:r>
              <w:rPr>
                <w:sz w:val="20"/>
              </w:rPr>
              <w:t>Original</w:t>
            </w:r>
            <w:r>
              <w:rPr>
                <w:spacing w:val="-3"/>
                <w:sz w:val="20"/>
              </w:rPr>
              <w:t xml:space="preserve"> </w:t>
            </w:r>
            <w:r>
              <w:rPr>
                <w:sz w:val="20"/>
              </w:rPr>
              <w:t>Scope</w:t>
            </w:r>
            <w:r>
              <w:rPr>
                <w:spacing w:val="-3"/>
                <w:sz w:val="20"/>
              </w:rPr>
              <w:t xml:space="preserve"> </w:t>
            </w:r>
            <w:r>
              <w:rPr>
                <w:sz w:val="20"/>
              </w:rPr>
              <w:t>-</w:t>
            </w:r>
            <w:r>
              <w:rPr>
                <w:spacing w:val="-3"/>
                <w:sz w:val="20"/>
              </w:rPr>
              <w:t xml:space="preserve"> </w:t>
            </w:r>
            <w:r>
              <w:rPr>
                <w:sz w:val="20"/>
              </w:rPr>
              <w:t>Tier</w:t>
            </w:r>
            <w:r>
              <w:rPr>
                <w:spacing w:val="-1"/>
                <w:sz w:val="20"/>
              </w:rPr>
              <w:t xml:space="preserve"> </w:t>
            </w:r>
            <w:r>
              <w:rPr>
                <w:spacing w:val="-10"/>
                <w:sz w:val="20"/>
              </w:rPr>
              <w:t>2</w:t>
            </w:r>
          </w:p>
        </w:tc>
        <w:tc>
          <w:tcPr>
            <w:tcW w:w="1213" w:type="dxa"/>
            <w:tcBorders>
              <w:top w:val="single" w:color="D9D9D9" w:sz="2" w:space="0"/>
              <w:bottom w:val="single" w:color="D9D9D9" w:sz="2" w:space="0"/>
            </w:tcBorders>
          </w:tcPr>
          <w:p w:rsidR="00C31389" w:rsidRDefault="00561FBD" w14:paraId="3406B28B" w14:textId="77777777">
            <w:pPr>
              <w:pStyle w:val="TableParagraph"/>
              <w:ind w:left="303"/>
              <w:rPr>
                <w:sz w:val="20"/>
              </w:rPr>
            </w:pPr>
            <w:r>
              <w:rPr>
                <w:spacing w:val="-4"/>
                <w:sz w:val="20"/>
              </w:rPr>
              <w:t>100%</w:t>
            </w:r>
          </w:p>
        </w:tc>
        <w:tc>
          <w:tcPr>
            <w:tcW w:w="1367" w:type="dxa"/>
            <w:tcBorders>
              <w:top w:val="single" w:color="D9D9D9" w:sz="2" w:space="0"/>
              <w:bottom w:val="single" w:color="D9D9D9" w:sz="2" w:space="0"/>
            </w:tcBorders>
          </w:tcPr>
          <w:p w:rsidR="00C31389" w:rsidRDefault="00561FBD" w14:paraId="7FFC5FAD" w14:textId="77777777">
            <w:pPr>
              <w:pStyle w:val="TableParagraph"/>
              <w:ind w:right="232"/>
              <w:jc w:val="right"/>
              <w:rPr>
                <w:sz w:val="20"/>
              </w:rPr>
            </w:pPr>
            <w:r>
              <w:rPr>
                <w:spacing w:val="-2"/>
                <w:sz w:val="20"/>
              </w:rPr>
              <w:t>04/01/20</w:t>
            </w:r>
          </w:p>
        </w:tc>
        <w:tc>
          <w:tcPr>
            <w:tcW w:w="1580" w:type="dxa"/>
            <w:tcBorders>
              <w:top w:val="single" w:color="D9D9D9" w:sz="2" w:space="0"/>
              <w:bottom w:val="single" w:color="D9D9D9" w:sz="2" w:space="0"/>
            </w:tcBorders>
          </w:tcPr>
          <w:p w:rsidR="00C31389" w:rsidRDefault="00561FBD" w14:paraId="0FEF603E" w14:textId="77777777">
            <w:pPr>
              <w:pStyle w:val="TableParagraph"/>
              <w:ind w:left="198" w:right="150"/>
              <w:jc w:val="center"/>
              <w:rPr>
                <w:sz w:val="20"/>
              </w:rPr>
            </w:pPr>
            <w:r>
              <w:rPr>
                <w:spacing w:val="-2"/>
                <w:sz w:val="20"/>
              </w:rPr>
              <w:t>On-the-books</w:t>
            </w:r>
          </w:p>
        </w:tc>
      </w:tr>
      <w:tr w:rsidR="00C31389" w14:paraId="338B5D38" w14:textId="77777777">
        <w:trPr>
          <w:trHeight w:val="310"/>
        </w:trPr>
        <w:tc>
          <w:tcPr>
            <w:tcW w:w="1367" w:type="dxa"/>
            <w:tcBorders>
              <w:top w:val="single" w:color="D9D9D9" w:sz="2" w:space="0"/>
              <w:bottom w:val="single" w:color="D9D9D9" w:sz="2" w:space="0"/>
            </w:tcBorders>
          </w:tcPr>
          <w:p w:rsidR="00C31389" w:rsidRDefault="00561FBD" w14:paraId="1536D927" w14:textId="77777777">
            <w:pPr>
              <w:pStyle w:val="TableParagraph"/>
              <w:spacing w:before="41"/>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74357938" w14:textId="77777777">
            <w:pPr>
              <w:pStyle w:val="TableParagraph"/>
              <w:spacing w:before="41"/>
              <w:ind w:left="202"/>
              <w:rPr>
                <w:sz w:val="20"/>
              </w:rPr>
            </w:pPr>
            <w:r>
              <w:rPr>
                <w:sz w:val="20"/>
              </w:rPr>
              <w:t>T-20:</w:t>
            </w:r>
            <w:r>
              <w:rPr>
                <w:spacing w:val="-5"/>
                <w:sz w:val="20"/>
              </w:rPr>
              <w:t xml:space="preserve"> </w:t>
            </w:r>
            <w:r>
              <w:rPr>
                <w:sz w:val="20"/>
              </w:rPr>
              <w:t>LED</w:t>
            </w:r>
            <w:r>
              <w:rPr>
                <w:spacing w:val="-1"/>
                <w:sz w:val="20"/>
              </w:rPr>
              <w:t xml:space="preserve"> </w:t>
            </w:r>
            <w:r>
              <w:rPr>
                <w:sz w:val="20"/>
              </w:rPr>
              <w:t>Lamps</w:t>
            </w:r>
            <w:r>
              <w:rPr>
                <w:spacing w:val="-2"/>
                <w:sz w:val="20"/>
              </w:rPr>
              <w:t xml:space="preserve"> </w:t>
            </w:r>
            <w:r>
              <w:rPr>
                <w:sz w:val="20"/>
              </w:rPr>
              <w:t>-</w:t>
            </w:r>
            <w:r>
              <w:rPr>
                <w:spacing w:val="-2"/>
                <w:sz w:val="20"/>
              </w:rPr>
              <w:t xml:space="preserve"> </w:t>
            </w:r>
            <w:r>
              <w:rPr>
                <w:sz w:val="20"/>
              </w:rPr>
              <w:t>Tier</w:t>
            </w:r>
            <w:r>
              <w:rPr>
                <w:spacing w:val="-1"/>
                <w:sz w:val="20"/>
              </w:rPr>
              <w:t xml:space="preserve"> </w:t>
            </w:r>
            <w:r>
              <w:rPr>
                <w:spacing w:val="-10"/>
                <w:sz w:val="20"/>
              </w:rPr>
              <w:t>1</w:t>
            </w:r>
          </w:p>
        </w:tc>
        <w:tc>
          <w:tcPr>
            <w:tcW w:w="1213" w:type="dxa"/>
            <w:tcBorders>
              <w:top w:val="single" w:color="D9D9D9" w:sz="2" w:space="0"/>
              <w:bottom w:val="single" w:color="D9D9D9" w:sz="2" w:space="0"/>
            </w:tcBorders>
          </w:tcPr>
          <w:p w:rsidR="00C31389" w:rsidRDefault="00561FBD" w14:paraId="42784132" w14:textId="77777777">
            <w:pPr>
              <w:pStyle w:val="TableParagraph"/>
              <w:spacing w:before="41"/>
              <w:ind w:left="358"/>
              <w:rPr>
                <w:sz w:val="20"/>
              </w:rPr>
            </w:pPr>
            <w:r>
              <w:rPr>
                <w:spacing w:val="-5"/>
                <w:sz w:val="20"/>
              </w:rPr>
              <w:t>99%</w:t>
            </w:r>
          </w:p>
        </w:tc>
        <w:tc>
          <w:tcPr>
            <w:tcW w:w="1367" w:type="dxa"/>
            <w:tcBorders>
              <w:top w:val="single" w:color="D9D9D9" w:sz="2" w:space="0"/>
              <w:bottom w:val="single" w:color="D9D9D9" w:sz="2" w:space="0"/>
            </w:tcBorders>
          </w:tcPr>
          <w:p w:rsidR="00C31389" w:rsidRDefault="00561FBD" w14:paraId="1A69EBB7" w14:textId="77777777">
            <w:pPr>
              <w:pStyle w:val="TableParagraph"/>
              <w:spacing w:before="41"/>
              <w:ind w:right="232"/>
              <w:jc w:val="right"/>
              <w:rPr>
                <w:sz w:val="20"/>
              </w:rPr>
            </w:pPr>
            <w:r>
              <w:rPr>
                <w:spacing w:val="-2"/>
                <w:sz w:val="20"/>
              </w:rPr>
              <w:t>09/01/20</w:t>
            </w:r>
          </w:p>
        </w:tc>
        <w:tc>
          <w:tcPr>
            <w:tcW w:w="1580" w:type="dxa"/>
            <w:tcBorders>
              <w:top w:val="single" w:color="D9D9D9" w:sz="2" w:space="0"/>
              <w:bottom w:val="single" w:color="D9D9D9" w:sz="2" w:space="0"/>
            </w:tcBorders>
          </w:tcPr>
          <w:p w:rsidR="00C31389" w:rsidRDefault="00561FBD" w14:paraId="6C848912" w14:textId="77777777">
            <w:pPr>
              <w:pStyle w:val="TableParagraph"/>
              <w:spacing w:before="41"/>
              <w:ind w:left="198" w:right="150"/>
              <w:jc w:val="center"/>
              <w:rPr>
                <w:sz w:val="20"/>
              </w:rPr>
            </w:pPr>
            <w:r>
              <w:rPr>
                <w:spacing w:val="-2"/>
                <w:sz w:val="20"/>
              </w:rPr>
              <w:t>On-the-books</w:t>
            </w:r>
          </w:p>
        </w:tc>
      </w:tr>
      <w:tr w:rsidR="00C31389" w14:paraId="3926A608" w14:textId="77777777">
        <w:trPr>
          <w:trHeight w:val="539"/>
        </w:trPr>
        <w:tc>
          <w:tcPr>
            <w:tcW w:w="1367" w:type="dxa"/>
            <w:tcBorders>
              <w:top w:val="single" w:color="D9D9D9" w:sz="2" w:space="0"/>
              <w:bottom w:val="single" w:color="D9D9D9" w:sz="2" w:space="0"/>
            </w:tcBorders>
          </w:tcPr>
          <w:p w:rsidR="00C31389" w:rsidRDefault="00561FBD" w14:paraId="0483F38E" w14:textId="77777777">
            <w:pPr>
              <w:pStyle w:val="TableParagraph"/>
              <w:spacing w:before="155"/>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552349A1" w14:textId="77777777">
            <w:pPr>
              <w:pStyle w:val="TableParagraph"/>
              <w:ind w:left="202" w:right="293"/>
              <w:rPr>
                <w:sz w:val="20"/>
              </w:rPr>
            </w:pPr>
            <w:r>
              <w:rPr>
                <w:sz w:val="20"/>
              </w:rPr>
              <w:t>T-20:</w:t>
            </w:r>
            <w:r>
              <w:rPr>
                <w:spacing w:val="-12"/>
                <w:sz w:val="20"/>
              </w:rPr>
              <w:t xml:space="preserve"> </w:t>
            </w:r>
            <w:r>
              <w:rPr>
                <w:sz w:val="20"/>
              </w:rPr>
              <w:t>Small</w:t>
            </w:r>
            <w:r>
              <w:rPr>
                <w:spacing w:val="-12"/>
                <w:sz w:val="20"/>
              </w:rPr>
              <w:t xml:space="preserve"> </w:t>
            </w:r>
            <w:r>
              <w:rPr>
                <w:sz w:val="20"/>
              </w:rPr>
              <w:t>Diameter</w:t>
            </w:r>
            <w:r>
              <w:rPr>
                <w:spacing w:val="-13"/>
                <w:sz w:val="20"/>
              </w:rPr>
              <w:t xml:space="preserve"> </w:t>
            </w:r>
            <w:r>
              <w:rPr>
                <w:sz w:val="20"/>
              </w:rPr>
              <w:t xml:space="preserve">Directional </w:t>
            </w:r>
            <w:r>
              <w:rPr>
                <w:spacing w:val="-2"/>
                <w:sz w:val="20"/>
              </w:rPr>
              <w:t>Lamps</w:t>
            </w:r>
          </w:p>
        </w:tc>
        <w:tc>
          <w:tcPr>
            <w:tcW w:w="1213" w:type="dxa"/>
            <w:tcBorders>
              <w:top w:val="single" w:color="D9D9D9" w:sz="2" w:space="0"/>
              <w:bottom w:val="single" w:color="D9D9D9" w:sz="2" w:space="0"/>
            </w:tcBorders>
          </w:tcPr>
          <w:p w:rsidR="00C31389" w:rsidRDefault="00561FBD" w14:paraId="45CC846C" w14:textId="77777777">
            <w:pPr>
              <w:pStyle w:val="TableParagraph"/>
              <w:spacing w:before="155"/>
              <w:ind w:left="359"/>
              <w:rPr>
                <w:sz w:val="20"/>
              </w:rPr>
            </w:pPr>
            <w:r>
              <w:rPr>
                <w:spacing w:val="-5"/>
                <w:sz w:val="20"/>
              </w:rPr>
              <w:t>67%</w:t>
            </w:r>
          </w:p>
        </w:tc>
        <w:tc>
          <w:tcPr>
            <w:tcW w:w="1367" w:type="dxa"/>
            <w:tcBorders>
              <w:top w:val="single" w:color="D9D9D9" w:sz="2" w:space="0"/>
              <w:bottom w:val="single" w:color="D9D9D9" w:sz="2" w:space="0"/>
            </w:tcBorders>
          </w:tcPr>
          <w:p w:rsidR="00C31389" w:rsidRDefault="00561FBD" w14:paraId="52010264" w14:textId="77777777">
            <w:pPr>
              <w:pStyle w:val="TableParagraph"/>
              <w:spacing w:before="155"/>
              <w:ind w:right="232"/>
              <w:jc w:val="right"/>
              <w:rPr>
                <w:sz w:val="20"/>
              </w:rPr>
            </w:pPr>
            <w:r>
              <w:rPr>
                <w:spacing w:val="-2"/>
                <w:sz w:val="20"/>
              </w:rPr>
              <w:t>09/01/20</w:t>
            </w:r>
          </w:p>
        </w:tc>
        <w:tc>
          <w:tcPr>
            <w:tcW w:w="1580" w:type="dxa"/>
            <w:tcBorders>
              <w:top w:val="single" w:color="D9D9D9" w:sz="2" w:space="0"/>
              <w:bottom w:val="single" w:color="D9D9D9" w:sz="2" w:space="0"/>
            </w:tcBorders>
          </w:tcPr>
          <w:p w:rsidR="00C31389" w:rsidRDefault="00561FBD" w14:paraId="0BC5AA65" w14:textId="77777777">
            <w:pPr>
              <w:pStyle w:val="TableParagraph"/>
              <w:spacing w:before="155"/>
              <w:ind w:left="198" w:right="150"/>
              <w:jc w:val="center"/>
              <w:rPr>
                <w:sz w:val="20"/>
              </w:rPr>
            </w:pPr>
            <w:r>
              <w:rPr>
                <w:spacing w:val="-2"/>
                <w:sz w:val="20"/>
              </w:rPr>
              <w:t>On-the-books</w:t>
            </w:r>
          </w:p>
        </w:tc>
      </w:tr>
      <w:tr w:rsidR="00C31389" w14:paraId="6090B105" w14:textId="77777777">
        <w:trPr>
          <w:trHeight w:val="539"/>
        </w:trPr>
        <w:tc>
          <w:tcPr>
            <w:tcW w:w="1367" w:type="dxa"/>
            <w:tcBorders>
              <w:top w:val="single" w:color="D9D9D9" w:sz="2" w:space="0"/>
              <w:bottom w:val="single" w:color="D9D9D9" w:sz="2" w:space="0"/>
            </w:tcBorders>
          </w:tcPr>
          <w:p w:rsidR="00C31389" w:rsidRDefault="00561FBD" w14:paraId="1ABC435F" w14:textId="77777777">
            <w:pPr>
              <w:pStyle w:val="TableParagraph"/>
              <w:spacing w:before="155"/>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43714B69" w14:textId="77777777">
            <w:pPr>
              <w:pStyle w:val="TableParagraph"/>
              <w:ind w:left="202" w:right="337"/>
              <w:rPr>
                <w:sz w:val="20"/>
              </w:rPr>
            </w:pPr>
            <w:r>
              <w:rPr>
                <w:sz w:val="20"/>
              </w:rPr>
              <w:t>T-20:</w:t>
            </w:r>
            <w:r>
              <w:rPr>
                <w:spacing w:val="-10"/>
                <w:sz w:val="20"/>
              </w:rPr>
              <w:t xml:space="preserve"> </w:t>
            </w:r>
            <w:r>
              <w:rPr>
                <w:sz w:val="20"/>
              </w:rPr>
              <w:t>Showerheads</w:t>
            </w:r>
            <w:r>
              <w:rPr>
                <w:spacing w:val="-9"/>
                <w:sz w:val="20"/>
              </w:rPr>
              <w:t xml:space="preserve"> </w:t>
            </w:r>
            <w:r>
              <w:rPr>
                <w:sz w:val="20"/>
              </w:rPr>
              <w:t>-</w:t>
            </w:r>
            <w:r>
              <w:rPr>
                <w:spacing w:val="-10"/>
                <w:sz w:val="20"/>
              </w:rPr>
              <w:t xml:space="preserve"> </w:t>
            </w:r>
            <w:r>
              <w:rPr>
                <w:sz w:val="20"/>
              </w:rPr>
              <w:t>w/</w:t>
            </w:r>
            <w:r>
              <w:rPr>
                <w:spacing w:val="-10"/>
                <w:sz w:val="20"/>
              </w:rPr>
              <w:t xml:space="preserve"> </w:t>
            </w:r>
            <w:r>
              <w:rPr>
                <w:sz w:val="20"/>
              </w:rPr>
              <w:t>Electric Water Heaters - Tier 2</w:t>
            </w:r>
          </w:p>
        </w:tc>
        <w:tc>
          <w:tcPr>
            <w:tcW w:w="1213" w:type="dxa"/>
            <w:tcBorders>
              <w:top w:val="single" w:color="D9D9D9" w:sz="2" w:space="0"/>
              <w:bottom w:val="single" w:color="D9D9D9" w:sz="2" w:space="0"/>
            </w:tcBorders>
          </w:tcPr>
          <w:p w:rsidR="00C31389" w:rsidRDefault="00561FBD" w14:paraId="6C66C1F3" w14:textId="77777777">
            <w:pPr>
              <w:pStyle w:val="TableParagraph"/>
              <w:spacing w:before="155"/>
              <w:ind w:left="358"/>
              <w:rPr>
                <w:sz w:val="20"/>
              </w:rPr>
            </w:pPr>
            <w:r>
              <w:rPr>
                <w:spacing w:val="-5"/>
                <w:sz w:val="20"/>
              </w:rPr>
              <w:t>70%</w:t>
            </w:r>
          </w:p>
        </w:tc>
        <w:tc>
          <w:tcPr>
            <w:tcW w:w="1367" w:type="dxa"/>
            <w:tcBorders>
              <w:top w:val="single" w:color="D9D9D9" w:sz="2" w:space="0"/>
              <w:bottom w:val="single" w:color="D9D9D9" w:sz="2" w:space="0"/>
            </w:tcBorders>
          </w:tcPr>
          <w:p w:rsidR="00C31389" w:rsidRDefault="00561FBD" w14:paraId="3D2B7A11" w14:textId="77777777">
            <w:pPr>
              <w:pStyle w:val="TableParagraph"/>
              <w:spacing w:before="155"/>
              <w:ind w:right="232"/>
              <w:jc w:val="right"/>
              <w:rPr>
                <w:sz w:val="20"/>
              </w:rPr>
            </w:pPr>
            <w:r>
              <w:rPr>
                <w:spacing w:val="-2"/>
                <w:sz w:val="20"/>
              </w:rPr>
              <w:t>07/01/20</w:t>
            </w:r>
          </w:p>
        </w:tc>
        <w:tc>
          <w:tcPr>
            <w:tcW w:w="1580" w:type="dxa"/>
            <w:tcBorders>
              <w:top w:val="single" w:color="D9D9D9" w:sz="2" w:space="0"/>
              <w:bottom w:val="single" w:color="D9D9D9" w:sz="2" w:space="0"/>
            </w:tcBorders>
          </w:tcPr>
          <w:p w:rsidR="00C31389" w:rsidRDefault="00561FBD" w14:paraId="47F6C281" w14:textId="77777777">
            <w:pPr>
              <w:pStyle w:val="TableParagraph"/>
              <w:spacing w:before="155"/>
              <w:ind w:left="198" w:right="150"/>
              <w:jc w:val="center"/>
              <w:rPr>
                <w:sz w:val="20"/>
              </w:rPr>
            </w:pPr>
            <w:r>
              <w:rPr>
                <w:spacing w:val="-2"/>
                <w:sz w:val="20"/>
              </w:rPr>
              <w:t>On-the-books</w:t>
            </w:r>
          </w:p>
        </w:tc>
      </w:tr>
      <w:tr w:rsidR="00C31389" w14:paraId="168912F9" w14:textId="77777777">
        <w:trPr>
          <w:trHeight w:val="539"/>
        </w:trPr>
        <w:tc>
          <w:tcPr>
            <w:tcW w:w="1367" w:type="dxa"/>
            <w:tcBorders>
              <w:top w:val="single" w:color="D9D9D9" w:sz="2" w:space="0"/>
              <w:bottom w:val="single" w:color="D9D9D9" w:sz="2" w:space="0"/>
            </w:tcBorders>
          </w:tcPr>
          <w:p w:rsidR="00C31389" w:rsidRDefault="00561FBD" w14:paraId="29E3E4B5" w14:textId="77777777">
            <w:pPr>
              <w:pStyle w:val="TableParagraph"/>
              <w:spacing w:before="155"/>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26C9D011" w14:textId="77777777">
            <w:pPr>
              <w:pStyle w:val="TableParagraph"/>
              <w:ind w:left="202"/>
              <w:rPr>
                <w:sz w:val="20"/>
              </w:rPr>
            </w:pPr>
            <w:r>
              <w:rPr>
                <w:sz w:val="20"/>
              </w:rPr>
              <w:t>T-20:</w:t>
            </w:r>
            <w:r>
              <w:rPr>
                <w:spacing w:val="-8"/>
                <w:sz w:val="20"/>
              </w:rPr>
              <w:t xml:space="preserve"> </w:t>
            </w:r>
            <w:r>
              <w:rPr>
                <w:sz w:val="20"/>
              </w:rPr>
              <w:t>Showerheads</w:t>
            </w:r>
            <w:r>
              <w:rPr>
                <w:spacing w:val="-7"/>
                <w:sz w:val="20"/>
              </w:rPr>
              <w:t xml:space="preserve"> </w:t>
            </w:r>
            <w:r>
              <w:rPr>
                <w:sz w:val="20"/>
              </w:rPr>
              <w:t>-</w:t>
            </w:r>
            <w:r>
              <w:rPr>
                <w:spacing w:val="-8"/>
                <w:sz w:val="20"/>
              </w:rPr>
              <w:t xml:space="preserve"> </w:t>
            </w:r>
            <w:r>
              <w:rPr>
                <w:sz w:val="20"/>
              </w:rPr>
              <w:t>w/</w:t>
            </w:r>
            <w:r>
              <w:rPr>
                <w:spacing w:val="-8"/>
                <w:sz w:val="20"/>
              </w:rPr>
              <w:t xml:space="preserve"> </w:t>
            </w:r>
            <w:r>
              <w:rPr>
                <w:sz w:val="20"/>
              </w:rPr>
              <w:t>Natural</w:t>
            </w:r>
            <w:r>
              <w:rPr>
                <w:spacing w:val="-8"/>
                <w:sz w:val="20"/>
              </w:rPr>
              <w:t xml:space="preserve"> </w:t>
            </w:r>
            <w:r>
              <w:rPr>
                <w:sz w:val="20"/>
              </w:rPr>
              <w:t>Gas Water Heaters - Tier 2</w:t>
            </w:r>
          </w:p>
        </w:tc>
        <w:tc>
          <w:tcPr>
            <w:tcW w:w="1213" w:type="dxa"/>
            <w:tcBorders>
              <w:top w:val="single" w:color="D9D9D9" w:sz="2" w:space="0"/>
              <w:bottom w:val="single" w:color="D9D9D9" w:sz="2" w:space="0"/>
            </w:tcBorders>
          </w:tcPr>
          <w:p w:rsidR="00C31389" w:rsidRDefault="00561FBD" w14:paraId="273FEDA0" w14:textId="77777777">
            <w:pPr>
              <w:pStyle w:val="TableParagraph"/>
              <w:spacing w:before="155"/>
              <w:ind w:left="358"/>
              <w:rPr>
                <w:sz w:val="20"/>
              </w:rPr>
            </w:pPr>
            <w:r>
              <w:rPr>
                <w:spacing w:val="-5"/>
                <w:sz w:val="20"/>
              </w:rPr>
              <w:t>70%</w:t>
            </w:r>
          </w:p>
        </w:tc>
        <w:tc>
          <w:tcPr>
            <w:tcW w:w="1367" w:type="dxa"/>
            <w:tcBorders>
              <w:top w:val="single" w:color="D9D9D9" w:sz="2" w:space="0"/>
              <w:bottom w:val="single" w:color="D9D9D9" w:sz="2" w:space="0"/>
            </w:tcBorders>
          </w:tcPr>
          <w:p w:rsidR="00C31389" w:rsidRDefault="00561FBD" w14:paraId="5A8BD79C" w14:textId="77777777">
            <w:pPr>
              <w:pStyle w:val="TableParagraph"/>
              <w:spacing w:before="155"/>
              <w:ind w:right="232"/>
              <w:jc w:val="right"/>
              <w:rPr>
                <w:sz w:val="20"/>
              </w:rPr>
            </w:pPr>
            <w:r>
              <w:rPr>
                <w:spacing w:val="-2"/>
                <w:sz w:val="20"/>
              </w:rPr>
              <w:t>07/01/20</w:t>
            </w:r>
          </w:p>
        </w:tc>
        <w:tc>
          <w:tcPr>
            <w:tcW w:w="1580" w:type="dxa"/>
            <w:tcBorders>
              <w:top w:val="single" w:color="D9D9D9" w:sz="2" w:space="0"/>
              <w:bottom w:val="single" w:color="D9D9D9" w:sz="2" w:space="0"/>
            </w:tcBorders>
          </w:tcPr>
          <w:p w:rsidR="00C31389" w:rsidRDefault="00561FBD" w14:paraId="41DB5643" w14:textId="77777777">
            <w:pPr>
              <w:pStyle w:val="TableParagraph"/>
              <w:spacing w:before="155"/>
              <w:ind w:left="198" w:right="150"/>
              <w:jc w:val="center"/>
              <w:rPr>
                <w:sz w:val="20"/>
              </w:rPr>
            </w:pPr>
            <w:r>
              <w:rPr>
                <w:spacing w:val="-2"/>
                <w:sz w:val="20"/>
              </w:rPr>
              <w:t>On-the-books</w:t>
            </w:r>
          </w:p>
        </w:tc>
      </w:tr>
      <w:tr w:rsidR="00C31389" w14:paraId="1B6E5F63" w14:textId="77777777">
        <w:trPr>
          <w:trHeight w:val="539"/>
        </w:trPr>
        <w:tc>
          <w:tcPr>
            <w:tcW w:w="1367" w:type="dxa"/>
            <w:tcBorders>
              <w:top w:val="single" w:color="D9D9D9" w:sz="2" w:space="0"/>
              <w:bottom w:val="single" w:color="D9D9D9" w:sz="2" w:space="0"/>
            </w:tcBorders>
          </w:tcPr>
          <w:p w:rsidR="00C31389" w:rsidRDefault="00561FBD" w14:paraId="23A98AA3" w14:textId="77777777">
            <w:pPr>
              <w:pStyle w:val="TableParagraph"/>
              <w:spacing w:before="155"/>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3A386130" w14:textId="77777777">
            <w:pPr>
              <w:pStyle w:val="TableParagraph"/>
              <w:ind w:left="202"/>
              <w:rPr>
                <w:sz w:val="20"/>
              </w:rPr>
            </w:pPr>
            <w:r>
              <w:rPr>
                <w:sz w:val="20"/>
              </w:rPr>
              <w:t>2018</w:t>
            </w:r>
            <w:r>
              <w:rPr>
                <w:spacing w:val="-8"/>
                <w:sz w:val="20"/>
              </w:rPr>
              <w:t xml:space="preserve"> </w:t>
            </w:r>
            <w:r>
              <w:rPr>
                <w:sz w:val="20"/>
              </w:rPr>
              <w:t>T-20:</w:t>
            </w:r>
            <w:r>
              <w:rPr>
                <w:spacing w:val="-8"/>
                <w:sz w:val="20"/>
              </w:rPr>
              <w:t xml:space="preserve"> </w:t>
            </w:r>
            <w:r>
              <w:rPr>
                <w:sz w:val="20"/>
              </w:rPr>
              <w:t>Portable</w:t>
            </w:r>
            <w:r>
              <w:rPr>
                <w:spacing w:val="-8"/>
                <w:sz w:val="20"/>
              </w:rPr>
              <w:t xml:space="preserve"> </w:t>
            </w:r>
            <w:r>
              <w:rPr>
                <w:sz w:val="20"/>
              </w:rPr>
              <w:t>Electric</w:t>
            </w:r>
            <w:r>
              <w:rPr>
                <w:spacing w:val="-7"/>
                <w:sz w:val="20"/>
              </w:rPr>
              <w:t xml:space="preserve"> </w:t>
            </w:r>
            <w:r>
              <w:rPr>
                <w:sz w:val="20"/>
              </w:rPr>
              <w:t>Spas</w:t>
            </w:r>
            <w:r>
              <w:rPr>
                <w:spacing w:val="-9"/>
                <w:sz w:val="20"/>
              </w:rPr>
              <w:t xml:space="preserve"> </w:t>
            </w:r>
            <w:r>
              <w:rPr>
                <w:sz w:val="20"/>
              </w:rPr>
              <w:t xml:space="preserve">- </w:t>
            </w:r>
            <w:r>
              <w:rPr>
                <w:spacing w:val="-2"/>
                <w:sz w:val="20"/>
              </w:rPr>
              <w:t>Inflatable</w:t>
            </w:r>
          </w:p>
        </w:tc>
        <w:tc>
          <w:tcPr>
            <w:tcW w:w="1213" w:type="dxa"/>
            <w:tcBorders>
              <w:top w:val="single" w:color="D9D9D9" w:sz="2" w:space="0"/>
              <w:bottom w:val="single" w:color="D9D9D9" w:sz="2" w:space="0"/>
            </w:tcBorders>
          </w:tcPr>
          <w:p w:rsidR="00C31389" w:rsidRDefault="00561FBD" w14:paraId="1FF53D57"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1E3EF059"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6F975395" w14:textId="77777777">
            <w:pPr>
              <w:pStyle w:val="TableParagraph"/>
              <w:spacing w:before="155"/>
              <w:ind w:left="198" w:right="150"/>
              <w:jc w:val="center"/>
              <w:rPr>
                <w:sz w:val="20"/>
              </w:rPr>
            </w:pPr>
            <w:r>
              <w:rPr>
                <w:spacing w:val="-2"/>
                <w:sz w:val="20"/>
              </w:rPr>
              <w:t>On-the-books</w:t>
            </w:r>
          </w:p>
        </w:tc>
      </w:tr>
      <w:tr w:rsidR="00C31389" w14:paraId="1D6ABA0C" w14:textId="77777777">
        <w:trPr>
          <w:trHeight w:val="540"/>
        </w:trPr>
        <w:tc>
          <w:tcPr>
            <w:tcW w:w="1367" w:type="dxa"/>
            <w:tcBorders>
              <w:top w:val="single" w:color="D9D9D9" w:sz="2" w:space="0"/>
              <w:bottom w:val="single" w:color="D9D9D9" w:sz="2" w:space="0"/>
            </w:tcBorders>
          </w:tcPr>
          <w:p w:rsidR="00C31389" w:rsidRDefault="00561FBD" w14:paraId="744E0DF0" w14:textId="77777777">
            <w:pPr>
              <w:pStyle w:val="TableParagraph"/>
              <w:spacing w:before="155"/>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71799A22" w14:textId="77777777">
            <w:pPr>
              <w:pStyle w:val="TableParagraph"/>
              <w:spacing w:before="41"/>
              <w:ind w:left="202" w:right="293"/>
              <w:rPr>
                <w:sz w:val="20"/>
              </w:rPr>
            </w:pPr>
            <w:r>
              <w:rPr>
                <w:sz w:val="20"/>
              </w:rPr>
              <w:t>2018</w:t>
            </w:r>
            <w:r>
              <w:rPr>
                <w:spacing w:val="-8"/>
                <w:sz w:val="20"/>
              </w:rPr>
              <w:t xml:space="preserve"> </w:t>
            </w:r>
            <w:r>
              <w:rPr>
                <w:sz w:val="20"/>
              </w:rPr>
              <w:t>T-20:</w:t>
            </w:r>
            <w:r>
              <w:rPr>
                <w:spacing w:val="-8"/>
                <w:sz w:val="20"/>
              </w:rPr>
              <w:t xml:space="preserve"> </w:t>
            </w:r>
            <w:r>
              <w:rPr>
                <w:sz w:val="20"/>
              </w:rPr>
              <w:t>Portable</w:t>
            </w:r>
            <w:r>
              <w:rPr>
                <w:spacing w:val="-8"/>
                <w:sz w:val="20"/>
              </w:rPr>
              <w:t xml:space="preserve"> </w:t>
            </w:r>
            <w:r>
              <w:rPr>
                <w:sz w:val="20"/>
              </w:rPr>
              <w:t>Electric</w:t>
            </w:r>
            <w:r>
              <w:rPr>
                <w:spacing w:val="-7"/>
                <w:sz w:val="20"/>
              </w:rPr>
              <w:t xml:space="preserve"> </w:t>
            </w:r>
            <w:r>
              <w:rPr>
                <w:sz w:val="20"/>
              </w:rPr>
              <w:t>Spas</w:t>
            </w:r>
            <w:r>
              <w:rPr>
                <w:spacing w:val="-9"/>
                <w:sz w:val="20"/>
              </w:rPr>
              <w:t xml:space="preserve"> </w:t>
            </w:r>
            <w:r>
              <w:rPr>
                <w:sz w:val="20"/>
              </w:rPr>
              <w:t xml:space="preserve">- </w:t>
            </w:r>
            <w:r>
              <w:rPr>
                <w:spacing w:val="-2"/>
                <w:sz w:val="20"/>
              </w:rPr>
              <w:t>Rigid</w:t>
            </w:r>
          </w:p>
        </w:tc>
        <w:tc>
          <w:tcPr>
            <w:tcW w:w="1213" w:type="dxa"/>
            <w:tcBorders>
              <w:top w:val="single" w:color="D9D9D9" w:sz="2" w:space="0"/>
              <w:bottom w:val="single" w:color="D9D9D9" w:sz="2" w:space="0"/>
            </w:tcBorders>
          </w:tcPr>
          <w:p w:rsidR="00C31389" w:rsidRDefault="00561FBD" w14:paraId="611B048F"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648AC5AD"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3ACE74FC" w14:textId="77777777">
            <w:pPr>
              <w:pStyle w:val="TableParagraph"/>
              <w:spacing w:before="155"/>
              <w:ind w:left="198" w:right="150"/>
              <w:jc w:val="center"/>
              <w:rPr>
                <w:sz w:val="20"/>
              </w:rPr>
            </w:pPr>
            <w:r>
              <w:rPr>
                <w:spacing w:val="-2"/>
                <w:sz w:val="20"/>
              </w:rPr>
              <w:t>On-the-books</w:t>
            </w:r>
          </w:p>
        </w:tc>
      </w:tr>
      <w:tr w:rsidR="00C31389" w14:paraId="06DDCBC8" w14:textId="77777777">
        <w:trPr>
          <w:trHeight w:val="309"/>
        </w:trPr>
        <w:tc>
          <w:tcPr>
            <w:tcW w:w="1367" w:type="dxa"/>
            <w:tcBorders>
              <w:top w:val="single" w:color="D9D9D9" w:sz="2" w:space="0"/>
              <w:bottom w:val="single" w:color="D9D9D9" w:sz="2" w:space="0"/>
            </w:tcBorders>
          </w:tcPr>
          <w:p w:rsidR="00C31389" w:rsidRDefault="00561FBD" w14:paraId="22701150" w14:textId="77777777">
            <w:pPr>
              <w:pStyle w:val="TableParagraph"/>
              <w:ind w:left="129"/>
              <w:rPr>
                <w:sz w:val="20"/>
              </w:rPr>
            </w:pPr>
            <w:r>
              <w:rPr>
                <w:sz w:val="20"/>
              </w:rPr>
              <w:t>2018</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4054F152" w14:textId="77777777">
            <w:pPr>
              <w:pStyle w:val="TableParagraph"/>
              <w:ind w:left="202"/>
              <w:rPr>
                <w:sz w:val="20"/>
              </w:rPr>
            </w:pPr>
            <w:r>
              <w:rPr>
                <w:sz w:val="20"/>
              </w:rPr>
              <w:t>2018</w:t>
            </w:r>
            <w:r>
              <w:rPr>
                <w:spacing w:val="-3"/>
                <w:sz w:val="20"/>
              </w:rPr>
              <w:t xml:space="preserve"> </w:t>
            </w:r>
            <w:r>
              <w:rPr>
                <w:sz w:val="20"/>
              </w:rPr>
              <w:t>T-20:</w:t>
            </w:r>
            <w:r>
              <w:rPr>
                <w:spacing w:val="-3"/>
                <w:sz w:val="20"/>
              </w:rPr>
              <w:t xml:space="preserve"> </w:t>
            </w:r>
            <w:r>
              <w:rPr>
                <w:sz w:val="20"/>
              </w:rPr>
              <w:t>Portable</w:t>
            </w:r>
            <w:r>
              <w:rPr>
                <w:spacing w:val="-2"/>
                <w:sz w:val="20"/>
              </w:rPr>
              <w:t xml:space="preserve"> </w:t>
            </w:r>
            <w:r>
              <w:rPr>
                <w:spacing w:val="-5"/>
                <w:sz w:val="20"/>
              </w:rPr>
              <w:t>ACs</w:t>
            </w:r>
          </w:p>
        </w:tc>
        <w:tc>
          <w:tcPr>
            <w:tcW w:w="1213" w:type="dxa"/>
            <w:tcBorders>
              <w:top w:val="single" w:color="D9D9D9" w:sz="2" w:space="0"/>
              <w:bottom w:val="single" w:color="D9D9D9" w:sz="2" w:space="0"/>
            </w:tcBorders>
          </w:tcPr>
          <w:p w:rsidR="00C31389" w:rsidRDefault="00561FBD" w14:paraId="15BAA6AA" w14:textId="77777777">
            <w:pPr>
              <w:pStyle w:val="TableParagraph"/>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3498935D" w14:textId="77777777">
            <w:pPr>
              <w:pStyle w:val="TableParagraph"/>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5C5A14D3" w14:textId="77777777">
            <w:pPr>
              <w:pStyle w:val="TableParagraph"/>
              <w:ind w:left="198" w:right="150"/>
              <w:jc w:val="center"/>
              <w:rPr>
                <w:sz w:val="20"/>
              </w:rPr>
            </w:pPr>
            <w:r>
              <w:rPr>
                <w:spacing w:val="-2"/>
                <w:sz w:val="20"/>
              </w:rPr>
              <w:t>On-the-books</w:t>
            </w:r>
          </w:p>
        </w:tc>
      </w:tr>
      <w:tr w:rsidR="00C31389" w14:paraId="6A9FF00F" w14:textId="77777777">
        <w:trPr>
          <w:trHeight w:val="539"/>
        </w:trPr>
        <w:tc>
          <w:tcPr>
            <w:tcW w:w="1367" w:type="dxa"/>
            <w:tcBorders>
              <w:top w:val="single" w:color="D9D9D9" w:sz="2" w:space="0"/>
              <w:bottom w:val="single" w:color="D9D9D9" w:sz="2" w:space="0"/>
            </w:tcBorders>
          </w:tcPr>
          <w:p w:rsidR="00C31389" w:rsidRDefault="00561FBD" w14:paraId="05DF6511"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6634F37F" w14:textId="77777777">
            <w:pPr>
              <w:pStyle w:val="TableParagraph"/>
              <w:ind w:left="202"/>
              <w:rPr>
                <w:sz w:val="20"/>
              </w:rPr>
            </w:pPr>
            <w:r>
              <w:rPr>
                <w:sz w:val="20"/>
              </w:rPr>
              <w:t>2019</w:t>
            </w:r>
            <w:r>
              <w:rPr>
                <w:spacing w:val="-8"/>
                <w:sz w:val="20"/>
              </w:rPr>
              <w:t xml:space="preserve"> </w:t>
            </w:r>
            <w:r>
              <w:rPr>
                <w:sz w:val="20"/>
              </w:rPr>
              <w:t>T-20:</w:t>
            </w:r>
            <w:r>
              <w:rPr>
                <w:spacing w:val="-8"/>
                <w:sz w:val="20"/>
              </w:rPr>
              <w:t xml:space="preserve"> </w:t>
            </w:r>
            <w:r>
              <w:rPr>
                <w:sz w:val="20"/>
              </w:rPr>
              <w:t>General</w:t>
            </w:r>
            <w:r>
              <w:rPr>
                <w:spacing w:val="-8"/>
                <w:sz w:val="20"/>
              </w:rPr>
              <w:t xml:space="preserve"> </w:t>
            </w:r>
            <w:r>
              <w:rPr>
                <w:sz w:val="20"/>
              </w:rPr>
              <w:t>Service</w:t>
            </w:r>
            <w:r>
              <w:rPr>
                <w:spacing w:val="-8"/>
                <w:sz w:val="20"/>
              </w:rPr>
              <w:t xml:space="preserve"> </w:t>
            </w:r>
            <w:r>
              <w:rPr>
                <w:sz w:val="20"/>
              </w:rPr>
              <w:t>Lamps</w:t>
            </w:r>
            <w:r>
              <w:rPr>
                <w:spacing w:val="-8"/>
                <w:sz w:val="20"/>
              </w:rPr>
              <w:t xml:space="preserve"> </w:t>
            </w:r>
            <w:r>
              <w:rPr>
                <w:sz w:val="20"/>
              </w:rPr>
              <w:t>- Expanded Scope</w:t>
            </w:r>
          </w:p>
        </w:tc>
        <w:tc>
          <w:tcPr>
            <w:tcW w:w="1213" w:type="dxa"/>
            <w:tcBorders>
              <w:top w:val="single" w:color="D9D9D9" w:sz="2" w:space="0"/>
              <w:bottom w:val="single" w:color="D9D9D9" w:sz="2" w:space="0"/>
            </w:tcBorders>
          </w:tcPr>
          <w:p w:rsidR="00C31389" w:rsidRDefault="00561FBD" w14:paraId="186E436E"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591D82D7"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5C314E91" w14:textId="77777777">
            <w:pPr>
              <w:pStyle w:val="TableParagraph"/>
              <w:spacing w:before="155"/>
              <w:ind w:left="198" w:right="150"/>
              <w:jc w:val="center"/>
              <w:rPr>
                <w:sz w:val="20"/>
              </w:rPr>
            </w:pPr>
            <w:r>
              <w:rPr>
                <w:spacing w:val="-2"/>
                <w:sz w:val="20"/>
              </w:rPr>
              <w:t>On-the-books</w:t>
            </w:r>
          </w:p>
        </w:tc>
      </w:tr>
      <w:tr w:rsidR="00C31389" w14:paraId="1E8FBA92" w14:textId="77777777">
        <w:trPr>
          <w:trHeight w:val="539"/>
        </w:trPr>
        <w:tc>
          <w:tcPr>
            <w:tcW w:w="1367" w:type="dxa"/>
            <w:tcBorders>
              <w:top w:val="single" w:color="D9D9D9" w:sz="2" w:space="0"/>
              <w:bottom w:val="single" w:color="D9D9D9" w:sz="2" w:space="0"/>
            </w:tcBorders>
          </w:tcPr>
          <w:p w:rsidR="00C31389" w:rsidRDefault="00561FBD" w14:paraId="14C9520F"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0A5DBE6D" w14:textId="77777777">
            <w:pPr>
              <w:pStyle w:val="TableParagraph"/>
              <w:ind w:left="202"/>
              <w:rPr>
                <w:sz w:val="20"/>
              </w:rPr>
            </w:pPr>
            <w:r>
              <w:rPr>
                <w:sz w:val="20"/>
              </w:rPr>
              <w:t>2019</w:t>
            </w:r>
            <w:r>
              <w:rPr>
                <w:spacing w:val="-12"/>
                <w:sz w:val="20"/>
              </w:rPr>
              <w:t xml:space="preserve"> </w:t>
            </w:r>
            <w:r>
              <w:rPr>
                <w:sz w:val="20"/>
              </w:rPr>
              <w:t>T-20:</w:t>
            </w:r>
            <w:r>
              <w:rPr>
                <w:spacing w:val="-12"/>
                <w:sz w:val="20"/>
              </w:rPr>
              <w:t xml:space="preserve"> </w:t>
            </w:r>
            <w:r>
              <w:rPr>
                <w:sz w:val="20"/>
              </w:rPr>
              <w:t>Replacement</w:t>
            </w:r>
            <w:r>
              <w:rPr>
                <w:spacing w:val="-12"/>
                <w:sz w:val="20"/>
              </w:rPr>
              <w:t xml:space="preserve"> </w:t>
            </w:r>
            <w:r>
              <w:rPr>
                <w:sz w:val="20"/>
              </w:rPr>
              <w:t>Dedicated- Purpose Pool Pump Motors</w:t>
            </w:r>
          </w:p>
        </w:tc>
        <w:tc>
          <w:tcPr>
            <w:tcW w:w="1213" w:type="dxa"/>
            <w:tcBorders>
              <w:top w:val="single" w:color="D9D9D9" w:sz="2" w:space="0"/>
              <w:bottom w:val="single" w:color="D9D9D9" w:sz="2" w:space="0"/>
            </w:tcBorders>
          </w:tcPr>
          <w:p w:rsidR="00C31389" w:rsidRDefault="00561FBD" w14:paraId="495F1F2F"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613C21C4"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5AE85848" w14:textId="77777777">
            <w:pPr>
              <w:pStyle w:val="TableParagraph"/>
              <w:spacing w:before="155"/>
              <w:ind w:left="198" w:right="150"/>
              <w:jc w:val="center"/>
              <w:rPr>
                <w:sz w:val="20"/>
              </w:rPr>
            </w:pPr>
            <w:r>
              <w:rPr>
                <w:spacing w:val="-2"/>
                <w:sz w:val="20"/>
              </w:rPr>
              <w:t>On-the-books</w:t>
            </w:r>
          </w:p>
        </w:tc>
      </w:tr>
      <w:tr w:rsidR="00C31389" w14:paraId="3F25B32B" w14:textId="77777777">
        <w:trPr>
          <w:trHeight w:val="310"/>
        </w:trPr>
        <w:tc>
          <w:tcPr>
            <w:tcW w:w="1367" w:type="dxa"/>
            <w:tcBorders>
              <w:top w:val="single" w:color="D9D9D9" w:sz="2" w:space="0"/>
              <w:bottom w:val="single" w:color="D9D9D9" w:sz="2" w:space="0"/>
            </w:tcBorders>
          </w:tcPr>
          <w:p w:rsidR="00C31389" w:rsidRDefault="00561FBD" w14:paraId="0AF5228C" w14:textId="77777777">
            <w:pPr>
              <w:pStyle w:val="TableParagraph"/>
              <w:ind w:left="129"/>
              <w:rPr>
                <w:sz w:val="20"/>
              </w:rPr>
            </w:pPr>
            <w:r>
              <w:rPr>
                <w:sz w:val="20"/>
              </w:rPr>
              <w:t>2019</w:t>
            </w:r>
            <w:r>
              <w:rPr>
                <w:spacing w:val="-3"/>
                <w:sz w:val="20"/>
              </w:rPr>
              <w:t xml:space="preserve"> </w:t>
            </w:r>
            <w:r>
              <w:rPr>
                <w:sz w:val="20"/>
              </w:rPr>
              <w:t>T-</w:t>
            </w:r>
            <w:r>
              <w:rPr>
                <w:spacing w:val="-5"/>
                <w:sz w:val="20"/>
              </w:rPr>
              <w:t>20</w:t>
            </w:r>
          </w:p>
        </w:tc>
        <w:tc>
          <w:tcPr>
            <w:tcW w:w="3848" w:type="dxa"/>
            <w:tcBorders>
              <w:top w:val="single" w:color="D9D9D9" w:sz="2" w:space="0"/>
              <w:bottom w:val="single" w:color="D9D9D9" w:sz="2" w:space="0"/>
            </w:tcBorders>
          </w:tcPr>
          <w:p w:rsidR="00C31389" w:rsidRDefault="00561FBD" w14:paraId="793B0E7A" w14:textId="77777777">
            <w:pPr>
              <w:pStyle w:val="TableParagraph"/>
              <w:ind w:left="202"/>
              <w:rPr>
                <w:sz w:val="20"/>
              </w:rPr>
            </w:pPr>
            <w:r>
              <w:rPr>
                <w:sz w:val="20"/>
              </w:rPr>
              <w:t>2019</w:t>
            </w:r>
            <w:r>
              <w:rPr>
                <w:spacing w:val="-2"/>
                <w:sz w:val="20"/>
              </w:rPr>
              <w:t xml:space="preserve"> </w:t>
            </w:r>
            <w:r>
              <w:rPr>
                <w:sz w:val="20"/>
              </w:rPr>
              <w:t>T-20:</w:t>
            </w:r>
            <w:r>
              <w:rPr>
                <w:spacing w:val="-2"/>
                <w:sz w:val="20"/>
              </w:rPr>
              <w:t xml:space="preserve"> Compressors</w:t>
            </w:r>
          </w:p>
        </w:tc>
        <w:tc>
          <w:tcPr>
            <w:tcW w:w="1213" w:type="dxa"/>
            <w:tcBorders>
              <w:top w:val="single" w:color="D9D9D9" w:sz="2" w:space="0"/>
              <w:bottom w:val="single" w:color="D9D9D9" w:sz="2" w:space="0"/>
            </w:tcBorders>
          </w:tcPr>
          <w:p w:rsidR="00C31389" w:rsidRDefault="00561FBD" w14:paraId="69A7524F" w14:textId="77777777">
            <w:pPr>
              <w:pStyle w:val="TableParagraph"/>
              <w:ind w:left="359"/>
              <w:rPr>
                <w:sz w:val="20"/>
              </w:rPr>
            </w:pPr>
            <w:r>
              <w:rPr>
                <w:spacing w:val="-5"/>
                <w:sz w:val="20"/>
              </w:rPr>
              <w:t>85%</w:t>
            </w:r>
          </w:p>
        </w:tc>
        <w:tc>
          <w:tcPr>
            <w:tcW w:w="1367" w:type="dxa"/>
            <w:tcBorders>
              <w:top w:val="single" w:color="D9D9D9" w:sz="2" w:space="0"/>
              <w:bottom w:val="single" w:color="D9D9D9" w:sz="2" w:space="0"/>
            </w:tcBorders>
          </w:tcPr>
          <w:p w:rsidR="00C31389" w:rsidRDefault="00561FBD" w14:paraId="530D816E" w14:textId="77777777">
            <w:pPr>
              <w:pStyle w:val="TableParagraph"/>
              <w:ind w:right="232"/>
              <w:jc w:val="right"/>
              <w:rPr>
                <w:sz w:val="20"/>
              </w:rPr>
            </w:pPr>
            <w:r>
              <w:rPr>
                <w:spacing w:val="-2"/>
                <w:sz w:val="20"/>
              </w:rPr>
              <w:t>09/01/23</w:t>
            </w:r>
          </w:p>
        </w:tc>
        <w:tc>
          <w:tcPr>
            <w:tcW w:w="1580" w:type="dxa"/>
            <w:tcBorders>
              <w:top w:val="single" w:color="D9D9D9" w:sz="2" w:space="0"/>
              <w:bottom w:val="single" w:color="D9D9D9" w:sz="2" w:space="0"/>
            </w:tcBorders>
          </w:tcPr>
          <w:p w:rsidR="00C31389" w:rsidRDefault="00561FBD" w14:paraId="482B45E8" w14:textId="77777777">
            <w:pPr>
              <w:pStyle w:val="TableParagraph"/>
              <w:ind w:left="198" w:right="150"/>
              <w:jc w:val="center"/>
              <w:rPr>
                <w:sz w:val="20"/>
              </w:rPr>
            </w:pPr>
            <w:r>
              <w:rPr>
                <w:spacing w:val="-2"/>
                <w:sz w:val="20"/>
              </w:rPr>
              <w:t>On-the-books</w:t>
            </w:r>
          </w:p>
        </w:tc>
      </w:tr>
      <w:tr w:rsidR="00C31389" w14:paraId="1A48BA7D" w14:textId="77777777">
        <w:trPr>
          <w:trHeight w:val="539"/>
        </w:trPr>
        <w:tc>
          <w:tcPr>
            <w:tcW w:w="1367" w:type="dxa"/>
            <w:tcBorders>
              <w:top w:val="single" w:color="D9D9D9" w:sz="2" w:space="0"/>
              <w:bottom w:val="single" w:color="D9D9D9" w:sz="2" w:space="0"/>
            </w:tcBorders>
          </w:tcPr>
          <w:p w:rsidR="00C31389" w:rsidRDefault="00561FBD" w14:paraId="245742F4"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42B0454F" w14:textId="77777777">
            <w:pPr>
              <w:pStyle w:val="TableParagraph"/>
              <w:ind w:left="202" w:right="337"/>
              <w:rPr>
                <w:sz w:val="20"/>
              </w:rPr>
            </w:pPr>
            <w:r>
              <w:rPr>
                <w:sz w:val="20"/>
              </w:rPr>
              <w:t>2019</w:t>
            </w:r>
            <w:r>
              <w:rPr>
                <w:spacing w:val="-12"/>
                <w:sz w:val="20"/>
              </w:rPr>
              <w:t xml:space="preserve"> </w:t>
            </w:r>
            <w:r>
              <w:rPr>
                <w:sz w:val="20"/>
              </w:rPr>
              <w:t>T-24:</w:t>
            </w:r>
            <w:r>
              <w:rPr>
                <w:spacing w:val="-12"/>
                <w:sz w:val="20"/>
              </w:rPr>
              <w:t xml:space="preserve"> </w:t>
            </w:r>
            <w:r>
              <w:rPr>
                <w:sz w:val="20"/>
              </w:rPr>
              <w:t>NRA-Indoor</w:t>
            </w:r>
            <w:r>
              <w:rPr>
                <w:spacing w:val="-12"/>
                <w:sz w:val="20"/>
              </w:rPr>
              <w:t xml:space="preserve"> </w:t>
            </w:r>
            <w:r>
              <w:rPr>
                <w:sz w:val="20"/>
              </w:rPr>
              <w:t>Lighting- Alterations (Control)</w:t>
            </w:r>
          </w:p>
        </w:tc>
        <w:tc>
          <w:tcPr>
            <w:tcW w:w="1213" w:type="dxa"/>
            <w:tcBorders>
              <w:top w:val="single" w:color="D9D9D9" w:sz="2" w:space="0"/>
              <w:bottom w:val="single" w:color="D9D9D9" w:sz="2" w:space="0"/>
            </w:tcBorders>
          </w:tcPr>
          <w:p w:rsidR="00C31389" w:rsidRDefault="00561FBD" w14:paraId="7F5FCA27"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18DB2DEF"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2B7DF5BA" w14:textId="77777777">
            <w:pPr>
              <w:pStyle w:val="TableParagraph"/>
              <w:spacing w:before="155"/>
              <w:ind w:left="198" w:right="150"/>
              <w:jc w:val="center"/>
              <w:rPr>
                <w:sz w:val="20"/>
              </w:rPr>
            </w:pPr>
            <w:r>
              <w:rPr>
                <w:spacing w:val="-2"/>
                <w:sz w:val="20"/>
              </w:rPr>
              <w:t>On-the-books</w:t>
            </w:r>
          </w:p>
        </w:tc>
      </w:tr>
      <w:tr w:rsidR="00C31389" w14:paraId="5A9CED0F" w14:textId="77777777">
        <w:trPr>
          <w:trHeight w:val="539"/>
        </w:trPr>
        <w:tc>
          <w:tcPr>
            <w:tcW w:w="1367" w:type="dxa"/>
            <w:tcBorders>
              <w:top w:val="single" w:color="D9D9D9" w:sz="2" w:space="0"/>
              <w:bottom w:val="single" w:color="D9D9D9" w:sz="2" w:space="0"/>
            </w:tcBorders>
          </w:tcPr>
          <w:p w:rsidR="00C31389" w:rsidRDefault="00561FBD" w14:paraId="7326FFAF"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3A2BD835" w14:textId="77777777">
            <w:pPr>
              <w:pStyle w:val="TableParagraph"/>
              <w:ind w:left="202" w:right="337"/>
              <w:rPr>
                <w:sz w:val="20"/>
              </w:rPr>
            </w:pPr>
            <w:r>
              <w:rPr>
                <w:sz w:val="20"/>
              </w:rPr>
              <w:t>2019</w:t>
            </w:r>
            <w:r>
              <w:rPr>
                <w:spacing w:val="-12"/>
                <w:sz w:val="20"/>
              </w:rPr>
              <w:t xml:space="preserve"> </w:t>
            </w:r>
            <w:r>
              <w:rPr>
                <w:sz w:val="20"/>
              </w:rPr>
              <w:t>T-24:</w:t>
            </w:r>
            <w:r>
              <w:rPr>
                <w:spacing w:val="-12"/>
                <w:sz w:val="20"/>
              </w:rPr>
              <w:t xml:space="preserve"> </w:t>
            </w:r>
            <w:r>
              <w:rPr>
                <w:sz w:val="20"/>
              </w:rPr>
              <w:t>NRA-Indoor</w:t>
            </w:r>
            <w:r>
              <w:rPr>
                <w:spacing w:val="-12"/>
                <w:sz w:val="20"/>
              </w:rPr>
              <w:t xml:space="preserve"> </w:t>
            </w:r>
            <w:r>
              <w:rPr>
                <w:sz w:val="20"/>
              </w:rPr>
              <w:t>Lighting- Alterations (LPD)</w:t>
            </w:r>
          </w:p>
        </w:tc>
        <w:tc>
          <w:tcPr>
            <w:tcW w:w="1213" w:type="dxa"/>
            <w:tcBorders>
              <w:top w:val="single" w:color="D9D9D9" w:sz="2" w:space="0"/>
              <w:bottom w:val="single" w:color="D9D9D9" w:sz="2" w:space="0"/>
            </w:tcBorders>
          </w:tcPr>
          <w:p w:rsidR="00C31389" w:rsidRDefault="00561FBD" w14:paraId="3F123801"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38FB5488"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1CE6BAE7" w14:textId="77777777">
            <w:pPr>
              <w:pStyle w:val="TableParagraph"/>
              <w:spacing w:before="155"/>
              <w:ind w:left="198" w:right="150"/>
              <w:jc w:val="center"/>
              <w:rPr>
                <w:sz w:val="20"/>
              </w:rPr>
            </w:pPr>
            <w:r>
              <w:rPr>
                <w:spacing w:val="-2"/>
                <w:sz w:val="20"/>
              </w:rPr>
              <w:t>On-the-books</w:t>
            </w:r>
          </w:p>
        </w:tc>
      </w:tr>
      <w:tr w:rsidR="00C31389" w14:paraId="264A7934" w14:textId="77777777">
        <w:trPr>
          <w:trHeight w:val="539"/>
        </w:trPr>
        <w:tc>
          <w:tcPr>
            <w:tcW w:w="1367" w:type="dxa"/>
            <w:tcBorders>
              <w:top w:val="single" w:color="D9D9D9" w:sz="2" w:space="0"/>
              <w:bottom w:val="single" w:color="D9D9D9" w:sz="2" w:space="0"/>
            </w:tcBorders>
          </w:tcPr>
          <w:p w:rsidR="00C31389" w:rsidRDefault="00561FBD" w14:paraId="513F3AAE"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01BB0413" w14:textId="77777777">
            <w:pPr>
              <w:pStyle w:val="TableParagraph"/>
              <w:ind w:left="202" w:right="293"/>
              <w:rPr>
                <w:sz w:val="20"/>
              </w:rPr>
            </w:pPr>
            <w:r>
              <w:rPr>
                <w:sz w:val="20"/>
              </w:rPr>
              <w:t>2019</w:t>
            </w:r>
            <w:r>
              <w:rPr>
                <w:spacing w:val="-13"/>
                <w:sz w:val="20"/>
              </w:rPr>
              <w:t xml:space="preserve"> </w:t>
            </w:r>
            <w:r>
              <w:rPr>
                <w:sz w:val="20"/>
              </w:rPr>
              <w:t>T-24:</w:t>
            </w:r>
            <w:r>
              <w:rPr>
                <w:spacing w:val="-13"/>
                <w:sz w:val="20"/>
              </w:rPr>
              <w:t xml:space="preserve"> </w:t>
            </w:r>
            <w:r>
              <w:rPr>
                <w:sz w:val="20"/>
              </w:rPr>
              <w:t>NRA-Indoor</w:t>
            </w:r>
            <w:r>
              <w:rPr>
                <w:spacing w:val="-12"/>
                <w:sz w:val="20"/>
              </w:rPr>
              <w:t xml:space="preserve"> </w:t>
            </w:r>
            <w:r>
              <w:rPr>
                <w:sz w:val="20"/>
              </w:rPr>
              <w:t xml:space="preserve">Lighting-New </w:t>
            </w:r>
            <w:r>
              <w:rPr>
                <w:spacing w:val="-4"/>
                <w:sz w:val="20"/>
              </w:rPr>
              <w:t>LPD</w:t>
            </w:r>
          </w:p>
        </w:tc>
        <w:tc>
          <w:tcPr>
            <w:tcW w:w="1213" w:type="dxa"/>
            <w:tcBorders>
              <w:top w:val="single" w:color="D9D9D9" w:sz="2" w:space="0"/>
              <w:bottom w:val="single" w:color="D9D9D9" w:sz="2" w:space="0"/>
            </w:tcBorders>
          </w:tcPr>
          <w:p w:rsidR="00C31389" w:rsidRDefault="00561FBD" w14:paraId="7E97FEBA"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28141DC2"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26C67385" w14:textId="77777777">
            <w:pPr>
              <w:pStyle w:val="TableParagraph"/>
              <w:spacing w:before="155"/>
              <w:ind w:left="198" w:right="150"/>
              <w:jc w:val="center"/>
              <w:rPr>
                <w:sz w:val="20"/>
              </w:rPr>
            </w:pPr>
            <w:r>
              <w:rPr>
                <w:spacing w:val="-2"/>
                <w:sz w:val="20"/>
              </w:rPr>
              <w:t>On-the-books</w:t>
            </w:r>
          </w:p>
        </w:tc>
      </w:tr>
      <w:tr w:rsidR="00C31389" w14:paraId="5E7955A3" w14:textId="77777777">
        <w:trPr>
          <w:trHeight w:val="539"/>
        </w:trPr>
        <w:tc>
          <w:tcPr>
            <w:tcW w:w="1367" w:type="dxa"/>
            <w:tcBorders>
              <w:top w:val="single" w:color="D9D9D9" w:sz="2" w:space="0"/>
              <w:bottom w:val="single" w:color="D9D9D9" w:sz="2" w:space="0"/>
            </w:tcBorders>
          </w:tcPr>
          <w:p w:rsidR="00C31389" w:rsidRDefault="00561FBD" w14:paraId="12188919"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52504951" w14:textId="77777777">
            <w:pPr>
              <w:pStyle w:val="TableParagraph"/>
              <w:ind w:left="202"/>
              <w:rPr>
                <w:sz w:val="20"/>
              </w:rPr>
            </w:pPr>
            <w:r>
              <w:rPr>
                <w:sz w:val="20"/>
              </w:rPr>
              <w:t>2019</w:t>
            </w:r>
            <w:r>
              <w:rPr>
                <w:spacing w:val="-13"/>
                <w:sz w:val="20"/>
              </w:rPr>
              <w:t xml:space="preserve"> </w:t>
            </w:r>
            <w:r>
              <w:rPr>
                <w:sz w:val="20"/>
              </w:rPr>
              <w:t>T-24:</w:t>
            </w:r>
            <w:r>
              <w:rPr>
                <w:spacing w:val="-13"/>
                <w:sz w:val="20"/>
              </w:rPr>
              <w:t xml:space="preserve"> </w:t>
            </w:r>
            <w:r>
              <w:rPr>
                <w:sz w:val="20"/>
              </w:rPr>
              <w:t>NRA-Indoor</w:t>
            </w:r>
            <w:r>
              <w:rPr>
                <w:spacing w:val="-12"/>
                <w:sz w:val="20"/>
              </w:rPr>
              <w:t xml:space="preserve"> </w:t>
            </w:r>
            <w:r>
              <w:rPr>
                <w:sz w:val="20"/>
              </w:rPr>
              <w:t xml:space="preserve">Lighting-New </w:t>
            </w:r>
            <w:r>
              <w:rPr>
                <w:spacing w:val="-2"/>
                <w:sz w:val="20"/>
              </w:rPr>
              <w:t>Controls</w:t>
            </w:r>
          </w:p>
        </w:tc>
        <w:tc>
          <w:tcPr>
            <w:tcW w:w="1213" w:type="dxa"/>
            <w:tcBorders>
              <w:top w:val="single" w:color="D9D9D9" w:sz="2" w:space="0"/>
              <w:bottom w:val="single" w:color="D9D9D9" w:sz="2" w:space="0"/>
            </w:tcBorders>
          </w:tcPr>
          <w:p w:rsidR="00C31389" w:rsidRDefault="00561FBD" w14:paraId="6D197BF8"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05B5C73E"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29A9499A" w14:textId="77777777">
            <w:pPr>
              <w:pStyle w:val="TableParagraph"/>
              <w:spacing w:before="155"/>
              <w:ind w:left="198" w:right="150"/>
              <w:jc w:val="center"/>
              <w:rPr>
                <w:sz w:val="20"/>
              </w:rPr>
            </w:pPr>
            <w:r>
              <w:rPr>
                <w:spacing w:val="-2"/>
                <w:sz w:val="20"/>
              </w:rPr>
              <w:t>On-the-books</w:t>
            </w:r>
          </w:p>
        </w:tc>
      </w:tr>
      <w:tr w:rsidR="00C31389" w14:paraId="5AD791CA" w14:textId="77777777">
        <w:trPr>
          <w:trHeight w:val="539"/>
        </w:trPr>
        <w:tc>
          <w:tcPr>
            <w:tcW w:w="1367" w:type="dxa"/>
            <w:tcBorders>
              <w:top w:val="single" w:color="D9D9D9" w:sz="2" w:space="0"/>
              <w:bottom w:val="single" w:color="D9D9D9" w:sz="2" w:space="0"/>
            </w:tcBorders>
          </w:tcPr>
          <w:p w:rsidR="00C31389" w:rsidRDefault="00561FBD" w14:paraId="6FD72CFF"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2CE62A39" w14:textId="77777777">
            <w:pPr>
              <w:pStyle w:val="TableParagraph"/>
              <w:ind w:left="202" w:right="293"/>
              <w:rPr>
                <w:sz w:val="20"/>
              </w:rPr>
            </w:pPr>
            <w:r>
              <w:rPr>
                <w:sz w:val="20"/>
              </w:rPr>
              <w:t>2019</w:t>
            </w:r>
            <w:r>
              <w:rPr>
                <w:spacing w:val="-13"/>
                <w:sz w:val="20"/>
              </w:rPr>
              <w:t xml:space="preserve"> </w:t>
            </w:r>
            <w:r>
              <w:rPr>
                <w:sz w:val="20"/>
              </w:rPr>
              <w:t>T-24:</w:t>
            </w:r>
            <w:r>
              <w:rPr>
                <w:spacing w:val="-13"/>
                <w:sz w:val="20"/>
              </w:rPr>
              <w:t xml:space="preserve"> </w:t>
            </w:r>
            <w:r>
              <w:rPr>
                <w:sz w:val="20"/>
              </w:rPr>
              <w:t>NRA-Outdoor</w:t>
            </w:r>
            <w:r>
              <w:rPr>
                <w:spacing w:val="-12"/>
                <w:sz w:val="20"/>
              </w:rPr>
              <w:t xml:space="preserve"> </w:t>
            </w:r>
            <w:r>
              <w:rPr>
                <w:sz w:val="20"/>
              </w:rPr>
              <w:t>Lighting- LPA (General Hardscape)</w:t>
            </w:r>
          </w:p>
        </w:tc>
        <w:tc>
          <w:tcPr>
            <w:tcW w:w="1213" w:type="dxa"/>
            <w:tcBorders>
              <w:top w:val="single" w:color="D9D9D9" w:sz="2" w:space="0"/>
              <w:bottom w:val="single" w:color="D9D9D9" w:sz="2" w:space="0"/>
            </w:tcBorders>
          </w:tcPr>
          <w:p w:rsidR="00C31389" w:rsidRDefault="00561FBD" w14:paraId="14EEA2A7"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21E2A142"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0E512A7C" w14:textId="77777777">
            <w:pPr>
              <w:pStyle w:val="TableParagraph"/>
              <w:spacing w:before="155"/>
              <w:ind w:left="198" w:right="150"/>
              <w:jc w:val="center"/>
              <w:rPr>
                <w:sz w:val="20"/>
              </w:rPr>
            </w:pPr>
            <w:r>
              <w:rPr>
                <w:spacing w:val="-2"/>
                <w:sz w:val="20"/>
              </w:rPr>
              <w:t>On-the-books</w:t>
            </w:r>
          </w:p>
        </w:tc>
      </w:tr>
      <w:tr w:rsidR="00C31389" w14:paraId="0DE73E51" w14:textId="77777777">
        <w:trPr>
          <w:trHeight w:val="540"/>
        </w:trPr>
        <w:tc>
          <w:tcPr>
            <w:tcW w:w="1367" w:type="dxa"/>
            <w:tcBorders>
              <w:top w:val="single" w:color="D9D9D9" w:sz="2" w:space="0"/>
              <w:bottom w:val="single" w:color="D9D9D9" w:sz="2" w:space="0"/>
            </w:tcBorders>
          </w:tcPr>
          <w:p w:rsidR="00C31389" w:rsidRDefault="00561FBD" w14:paraId="1B00DBCF"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0AFD5D7C" w14:textId="77777777">
            <w:pPr>
              <w:pStyle w:val="TableParagraph"/>
              <w:spacing w:before="41"/>
              <w:ind w:left="202" w:right="293"/>
              <w:rPr>
                <w:sz w:val="20"/>
              </w:rPr>
            </w:pPr>
            <w:r>
              <w:rPr>
                <w:sz w:val="20"/>
              </w:rPr>
              <w:t>2019</w:t>
            </w:r>
            <w:r>
              <w:rPr>
                <w:spacing w:val="-13"/>
                <w:sz w:val="20"/>
              </w:rPr>
              <w:t xml:space="preserve"> </w:t>
            </w:r>
            <w:r>
              <w:rPr>
                <w:sz w:val="20"/>
              </w:rPr>
              <w:t>T-24:</w:t>
            </w:r>
            <w:r>
              <w:rPr>
                <w:spacing w:val="-13"/>
                <w:sz w:val="20"/>
              </w:rPr>
              <w:t xml:space="preserve"> </w:t>
            </w:r>
            <w:r>
              <w:rPr>
                <w:sz w:val="20"/>
              </w:rPr>
              <w:t>NRA-Outdoor</w:t>
            </w:r>
            <w:r>
              <w:rPr>
                <w:spacing w:val="-12"/>
                <w:sz w:val="20"/>
              </w:rPr>
              <w:t xml:space="preserve"> </w:t>
            </w:r>
            <w:r>
              <w:rPr>
                <w:sz w:val="20"/>
              </w:rPr>
              <w:t>Lighting- LPA (Specific Applications)</w:t>
            </w:r>
          </w:p>
        </w:tc>
        <w:tc>
          <w:tcPr>
            <w:tcW w:w="1213" w:type="dxa"/>
            <w:tcBorders>
              <w:top w:val="single" w:color="D9D9D9" w:sz="2" w:space="0"/>
              <w:bottom w:val="single" w:color="D9D9D9" w:sz="2" w:space="0"/>
            </w:tcBorders>
          </w:tcPr>
          <w:p w:rsidR="00C31389" w:rsidRDefault="00561FBD" w14:paraId="34F803E3"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29B9EAE4"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5C74F4FC" w14:textId="77777777">
            <w:pPr>
              <w:pStyle w:val="TableParagraph"/>
              <w:spacing w:before="155"/>
              <w:ind w:left="198" w:right="150"/>
              <w:jc w:val="center"/>
              <w:rPr>
                <w:sz w:val="20"/>
              </w:rPr>
            </w:pPr>
            <w:r>
              <w:rPr>
                <w:spacing w:val="-2"/>
                <w:sz w:val="20"/>
              </w:rPr>
              <w:t>On-the-books</w:t>
            </w:r>
          </w:p>
        </w:tc>
      </w:tr>
      <w:tr w:rsidR="00C31389" w14:paraId="12A51495" w14:textId="77777777">
        <w:trPr>
          <w:trHeight w:val="539"/>
        </w:trPr>
        <w:tc>
          <w:tcPr>
            <w:tcW w:w="1367" w:type="dxa"/>
            <w:tcBorders>
              <w:top w:val="single" w:color="D9D9D9" w:sz="2" w:space="0"/>
              <w:bottom w:val="single" w:color="D9D9D9" w:sz="2" w:space="0"/>
            </w:tcBorders>
          </w:tcPr>
          <w:p w:rsidR="00C31389" w:rsidRDefault="00561FBD" w14:paraId="7B4E69F0"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D9D9D9" w:sz="2" w:space="0"/>
            </w:tcBorders>
          </w:tcPr>
          <w:p w:rsidR="00C31389" w:rsidRDefault="00561FBD" w14:paraId="0A430517" w14:textId="77777777">
            <w:pPr>
              <w:pStyle w:val="TableParagraph"/>
              <w:ind w:left="202"/>
              <w:rPr>
                <w:sz w:val="20"/>
              </w:rPr>
            </w:pPr>
            <w:r>
              <w:rPr>
                <w:sz w:val="20"/>
              </w:rPr>
              <w:t>2019</w:t>
            </w:r>
            <w:r>
              <w:rPr>
                <w:spacing w:val="-13"/>
                <w:sz w:val="20"/>
              </w:rPr>
              <w:t xml:space="preserve"> </w:t>
            </w:r>
            <w:r>
              <w:rPr>
                <w:sz w:val="20"/>
              </w:rPr>
              <w:t>T-24:</w:t>
            </w:r>
            <w:r>
              <w:rPr>
                <w:spacing w:val="-13"/>
                <w:sz w:val="20"/>
              </w:rPr>
              <w:t xml:space="preserve"> </w:t>
            </w:r>
            <w:r>
              <w:rPr>
                <w:sz w:val="20"/>
              </w:rPr>
              <w:t>NRA-Outdoor</w:t>
            </w:r>
            <w:r>
              <w:rPr>
                <w:spacing w:val="-12"/>
                <w:sz w:val="20"/>
              </w:rPr>
              <w:t xml:space="preserve"> </w:t>
            </w:r>
            <w:r>
              <w:rPr>
                <w:sz w:val="20"/>
              </w:rPr>
              <w:t xml:space="preserve">Lighting- </w:t>
            </w:r>
            <w:r>
              <w:rPr>
                <w:spacing w:val="-2"/>
                <w:sz w:val="20"/>
              </w:rPr>
              <w:t>Controls</w:t>
            </w:r>
          </w:p>
        </w:tc>
        <w:tc>
          <w:tcPr>
            <w:tcW w:w="1213" w:type="dxa"/>
            <w:tcBorders>
              <w:top w:val="single" w:color="D9D9D9" w:sz="2" w:space="0"/>
              <w:bottom w:val="single" w:color="D9D9D9" w:sz="2" w:space="0"/>
            </w:tcBorders>
          </w:tcPr>
          <w:p w:rsidR="00C31389" w:rsidRDefault="00561FBD" w14:paraId="48270238" w14:textId="77777777">
            <w:pPr>
              <w:pStyle w:val="TableParagraph"/>
              <w:spacing w:before="155"/>
              <w:ind w:left="358"/>
              <w:rPr>
                <w:sz w:val="20"/>
              </w:rPr>
            </w:pPr>
            <w:r>
              <w:rPr>
                <w:spacing w:val="-5"/>
                <w:sz w:val="20"/>
              </w:rPr>
              <w:t>85%</w:t>
            </w:r>
          </w:p>
        </w:tc>
        <w:tc>
          <w:tcPr>
            <w:tcW w:w="1367" w:type="dxa"/>
            <w:tcBorders>
              <w:top w:val="single" w:color="D9D9D9" w:sz="2" w:space="0"/>
              <w:bottom w:val="single" w:color="D9D9D9" w:sz="2" w:space="0"/>
            </w:tcBorders>
          </w:tcPr>
          <w:p w:rsidR="00C31389" w:rsidRDefault="00561FBD" w14:paraId="1B8D0765"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0C617A7F" w14:textId="77777777">
            <w:pPr>
              <w:pStyle w:val="TableParagraph"/>
              <w:spacing w:before="155"/>
              <w:ind w:left="198" w:right="150"/>
              <w:jc w:val="center"/>
              <w:rPr>
                <w:sz w:val="20"/>
              </w:rPr>
            </w:pPr>
            <w:r>
              <w:rPr>
                <w:spacing w:val="-2"/>
                <w:sz w:val="20"/>
              </w:rPr>
              <w:t>On-the-books</w:t>
            </w:r>
          </w:p>
        </w:tc>
      </w:tr>
      <w:tr w:rsidR="00C31389" w14:paraId="08DF9023" w14:textId="77777777">
        <w:trPr>
          <w:trHeight w:val="540"/>
        </w:trPr>
        <w:tc>
          <w:tcPr>
            <w:tcW w:w="1367" w:type="dxa"/>
            <w:tcBorders>
              <w:top w:val="single" w:color="D9D9D9" w:sz="2" w:space="0"/>
              <w:bottom w:val="single" w:color="000000" w:sz="8" w:space="0"/>
            </w:tcBorders>
          </w:tcPr>
          <w:p w:rsidR="00C31389" w:rsidRDefault="00561FBD" w14:paraId="621365AE"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8" w:type="dxa"/>
            <w:tcBorders>
              <w:top w:val="single" w:color="D9D9D9" w:sz="2" w:space="0"/>
              <w:bottom w:val="single" w:color="000000" w:sz="8" w:space="0"/>
            </w:tcBorders>
          </w:tcPr>
          <w:p w:rsidR="00C31389" w:rsidRDefault="00561FBD" w14:paraId="1D309DFA" w14:textId="77777777">
            <w:pPr>
              <w:pStyle w:val="TableParagraph"/>
              <w:ind w:left="202"/>
              <w:rPr>
                <w:sz w:val="20"/>
              </w:rPr>
            </w:pPr>
            <w:r>
              <w:rPr>
                <w:sz w:val="20"/>
              </w:rPr>
              <w:t>2019</w:t>
            </w:r>
            <w:r>
              <w:rPr>
                <w:spacing w:val="-5"/>
                <w:sz w:val="20"/>
              </w:rPr>
              <w:t xml:space="preserve"> </w:t>
            </w:r>
            <w:r>
              <w:rPr>
                <w:sz w:val="20"/>
              </w:rPr>
              <w:t>T-24:</w:t>
            </w:r>
            <w:r>
              <w:rPr>
                <w:spacing w:val="-5"/>
                <w:sz w:val="20"/>
              </w:rPr>
              <w:t xml:space="preserve"> </w:t>
            </w:r>
            <w:r>
              <w:rPr>
                <w:sz w:val="20"/>
              </w:rPr>
              <w:t>NRA-MECH-</w:t>
            </w:r>
            <w:r>
              <w:rPr>
                <w:spacing w:val="-2"/>
                <w:sz w:val="20"/>
              </w:rPr>
              <w:t>ASHRAE</w:t>
            </w:r>
          </w:p>
          <w:p w:rsidR="00C31389" w:rsidRDefault="00561FBD" w14:paraId="6D294A85" w14:textId="77777777">
            <w:pPr>
              <w:pStyle w:val="TableParagraph"/>
              <w:spacing w:before="0"/>
              <w:ind w:left="202"/>
              <w:rPr>
                <w:sz w:val="20"/>
              </w:rPr>
            </w:pPr>
            <w:r>
              <w:rPr>
                <w:spacing w:val="-4"/>
                <w:sz w:val="20"/>
              </w:rPr>
              <w:t>90.1</w:t>
            </w:r>
          </w:p>
        </w:tc>
        <w:tc>
          <w:tcPr>
            <w:tcW w:w="1213" w:type="dxa"/>
            <w:tcBorders>
              <w:top w:val="single" w:color="D9D9D9" w:sz="2" w:space="0"/>
              <w:bottom w:val="single" w:color="000000" w:sz="8" w:space="0"/>
            </w:tcBorders>
          </w:tcPr>
          <w:p w:rsidR="00C31389" w:rsidRDefault="00561FBD" w14:paraId="641CD430" w14:textId="77777777">
            <w:pPr>
              <w:pStyle w:val="TableParagraph"/>
              <w:spacing w:before="155"/>
              <w:ind w:left="358"/>
              <w:rPr>
                <w:sz w:val="20"/>
              </w:rPr>
            </w:pPr>
            <w:r>
              <w:rPr>
                <w:spacing w:val="-5"/>
                <w:sz w:val="20"/>
              </w:rPr>
              <w:t>85%</w:t>
            </w:r>
          </w:p>
        </w:tc>
        <w:tc>
          <w:tcPr>
            <w:tcW w:w="1367" w:type="dxa"/>
            <w:tcBorders>
              <w:top w:val="single" w:color="D9D9D9" w:sz="2" w:space="0"/>
              <w:bottom w:val="single" w:color="000000" w:sz="8" w:space="0"/>
            </w:tcBorders>
          </w:tcPr>
          <w:p w:rsidR="00C31389" w:rsidRDefault="00561FBD" w14:paraId="410529A7" w14:textId="77777777">
            <w:pPr>
              <w:pStyle w:val="TableParagraph"/>
              <w:spacing w:before="155"/>
              <w:ind w:right="232"/>
              <w:jc w:val="right"/>
              <w:rPr>
                <w:sz w:val="20"/>
              </w:rPr>
            </w:pPr>
            <w:r>
              <w:rPr>
                <w:spacing w:val="-2"/>
                <w:sz w:val="20"/>
              </w:rPr>
              <w:t>02/01/23</w:t>
            </w:r>
          </w:p>
        </w:tc>
        <w:tc>
          <w:tcPr>
            <w:tcW w:w="1580" w:type="dxa"/>
            <w:tcBorders>
              <w:top w:val="single" w:color="D9D9D9" w:sz="2" w:space="0"/>
              <w:bottom w:val="single" w:color="000000" w:sz="8" w:space="0"/>
            </w:tcBorders>
          </w:tcPr>
          <w:p w:rsidR="00C31389" w:rsidRDefault="00561FBD" w14:paraId="7E1BBAF0" w14:textId="77777777">
            <w:pPr>
              <w:pStyle w:val="TableParagraph"/>
              <w:spacing w:before="155"/>
              <w:ind w:left="198" w:right="150"/>
              <w:jc w:val="center"/>
              <w:rPr>
                <w:sz w:val="20"/>
              </w:rPr>
            </w:pPr>
            <w:r>
              <w:rPr>
                <w:spacing w:val="-2"/>
                <w:sz w:val="20"/>
              </w:rPr>
              <w:t>On-the-books</w:t>
            </w:r>
          </w:p>
        </w:tc>
      </w:tr>
    </w:tbl>
    <w:p w:rsidR="00C31389" w:rsidRDefault="00C31389" w14:paraId="03A94771" w14:textId="77777777">
      <w:pPr>
        <w:jc w:val="center"/>
        <w:rPr>
          <w:sz w:val="20"/>
        </w:rPr>
        <w:sectPr w:rsidR="00C31389">
          <w:pgSz w:w="11910" w:h="16840"/>
          <w:pgMar w:top="1380" w:right="1020" w:bottom="1120" w:left="960" w:header="397" w:footer="938" w:gutter="0"/>
          <w:cols w:space="720"/>
        </w:sectPr>
      </w:pPr>
    </w:p>
    <w:p w:rsidR="00C31389" w:rsidRDefault="00C31389" w14:paraId="10265A6C"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40"/>
        <w:gridCol w:w="1222"/>
        <w:gridCol w:w="1368"/>
        <w:gridCol w:w="1581"/>
      </w:tblGrid>
      <w:tr w:rsidR="00C31389" w14:paraId="5A09030B" w14:textId="77777777">
        <w:trPr>
          <w:trHeight w:val="252"/>
        </w:trPr>
        <w:tc>
          <w:tcPr>
            <w:tcW w:w="1367" w:type="dxa"/>
            <w:tcBorders>
              <w:top w:val="single" w:color="8B8B8B" w:sz="8" w:space="0"/>
            </w:tcBorders>
          </w:tcPr>
          <w:p w:rsidR="00C31389" w:rsidRDefault="00C31389" w14:paraId="2A67A6B2" w14:textId="77777777">
            <w:pPr>
              <w:pStyle w:val="TableParagraph"/>
              <w:spacing w:before="0"/>
              <w:rPr>
                <w:rFonts w:ascii="Times New Roman"/>
                <w:sz w:val="18"/>
              </w:rPr>
            </w:pPr>
          </w:p>
        </w:tc>
        <w:tc>
          <w:tcPr>
            <w:tcW w:w="3840" w:type="dxa"/>
            <w:tcBorders>
              <w:top w:val="single" w:color="8B8B8B" w:sz="8" w:space="0"/>
            </w:tcBorders>
          </w:tcPr>
          <w:p w:rsidR="00C31389" w:rsidRDefault="00C31389" w14:paraId="6572BCC0" w14:textId="77777777">
            <w:pPr>
              <w:pStyle w:val="TableParagraph"/>
              <w:spacing w:before="0"/>
              <w:rPr>
                <w:rFonts w:ascii="Times New Roman"/>
                <w:sz w:val="18"/>
              </w:rPr>
            </w:pPr>
          </w:p>
        </w:tc>
        <w:tc>
          <w:tcPr>
            <w:tcW w:w="1222" w:type="dxa"/>
            <w:tcBorders>
              <w:top w:val="single" w:color="8B8B8B" w:sz="8" w:space="0"/>
            </w:tcBorders>
          </w:tcPr>
          <w:p w:rsidR="00C31389" w:rsidRDefault="00C31389" w14:paraId="7DBFF387" w14:textId="77777777">
            <w:pPr>
              <w:pStyle w:val="TableParagraph"/>
              <w:spacing w:before="0"/>
              <w:rPr>
                <w:rFonts w:ascii="Times New Roman"/>
                <w:sz w:val="18"/>
              </w:rPr>
            </w:pPr>
          </w:p>
        </w:tc>
        <w:tc>
          <w:tcPr>
            <w:tcW w:w="1368" w:type="dxa"/>
            <w:tcBorders>
              <w:top w:val="single" w:color="8B8B8B" w:sz="8" w:space="0"/>
            </w:tcBorders>
          </w:tcPr>
          <w:p w:rsidR="00C31389" w:rsidRDefault="00C31389" w14:paraId="47EE83D2" w14:textId="77777777">
            <w:pPr>
              <w:pStyle w:val="TableParagraph"/>
              <w:spacing w:before="0"/>
              <w:rPr>
                <w:rFonts w:ascii="Times New Roman"/>
                <w:sz w:val="18"/>
              </w:rPr>
            </w:pPr>
          </w:p>
        </w:tc>
        <w:tc>
          <w:tcPr>
            <w:tcW w:w="1581" w:type="dxa"/>
            <w:tcBorders>
              <w:top w:val="single" w:color="8B8B8B" w:sz="8" w:space="0"/>
            </w:tcBorders>
          </w:tcPr>
          <w:p w:rsidR="00C31389" w:rsidRDefault="00C31389" w14:paraId="2443D9D8" w14:textId="77777777">
            <w:pPr>
              <w:pStyle w:val="TableParagraph"/>
              <w:spacing w:before="0"/>
              <w:rPr>
                <w:rFonts w:ascii="Times New Roman"/>
                <w:sz w:val="18"/>
              </w:rPr>
            </w:pPr>
          </w:p>
        </w:tc>
      </w:tr>
      <w:tr w:rsidR="00C31389" w14:paraId="5175AFE0" w14:textId="77777777">
        <w:trPr>
          <w:trHeight w:val="549"/>
        </w:trPr>
        <w:tc>
          <w:tcPr>
            <w:tcW w:w="1367" w:type="dxa"/>
            <w:shd w:val="clear" w:color="auto" w:fill="92D400"/>
          </w:tcPr>
          <w:p w:rsidR="00C31389" w:rsidRDefault="00561FBD" w14:paraId="26C69317" w14:textId="77777777">
            <w:pPr>
              <w:pStyle w:val="TableParagraph"/>
              <w:spacing w:before="155"/>
              <w:ind w:left="129"/>
              <w:rPr>
                <w:b/>
                <w:sz w:val="20"/>
              </w:rPr>
            </w:pPr>
            <w:r>
              <w:rPr>
                <w:b/>
                <w:spacing w:val="-2"/>
                <w:sz w:val="20"/>
              </w:rPr>
              <w:t>Regulation</w:t>
            </w:r>
          </w:p>
        </w:tc>
        <w:tc>
          <w:tcPr>
            <w:tcW w:w="3840" w:type="dxa"/>
            <w:shd w:val="clear" w:color="auto" w:fill="92D400"/>
          </w:tcPr>
          <w:p w:rsidR="00C31389" w:rsidRDefault="00561FBD" w14:paraId="2B05A7E2"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222" w:type="dxa"/>
            <w:shd w:val="clear" w:color="auto" w:fill="92D400"/>
          </w:tcPr>
          <w:p w:rsidR="00C31389" w:rsidRDefault="00561FBD" w14:paraId="13064A5E" w14:textId="77777777">
            <w:pPr>
              <w:pStyle w:val="TableParagraph"/>
              <w:ind w:left="237" w:hanging="238"/>
              <w:rPr>
                <w:b/>
                <w:sz w:val="20"/>
              </w:rPr>
            </w:pPr>
            <w:r>
              <w:rPr>
                <w:b/>
                <w:spacing w:val="-2"/>
                <w:sz w:val="20"/>
              </w:rPr>
              <w:t>Compliance Rate</w:t>
            </w:r>
            <w:hyperlink w:history="1" w:anchor="_bookmark462">
              <w:r>
                <w:rPr>
                  <w:b/>
                  <w:spacing w:val="-2"/>
                  <w:sz w:val="20"/>
                  <w:vertAlign w:val="superscript"/>
                </w:rPr>
                <w:t>182</w:t>
              </w:r>
            </w:hyperlink>
          </w:p>
        </w:tc>
        <w:tc>
          <w:tcPr>
            <w:tcW w:w="1368" w:type="dxa"/>
            <w:shd w:val="clear" w:color="auto" w:fill="92D400"/>
          </w:tcPr>
          <w:p w:rsidR="00C31389" w:rsidRDefault="00561FBD" w14:paraId="735FB3A4" w14:textId="77777777">
            <w:pPr>
              <w:pStyle w:val="TableParagraph"/>
              <w:ind w:left="523" w:hanging="202"/>
              <w:rPr>
                <w:b/>
                <w:sz w:val="20"/>
              </w:rPr>
            </w:pPr>
            <w:r>
              <w:rPr>
                <w:b/>
                <w:spacing w:val="-2"/>
                <w:sz w:val="20"/>
              </w:rPr>
              <w:t xml:space="preserve">Effective </w:t>
            </w:r>
            <w:r>
              <w:rPr>
                <w:b/>
                <w:spacing w:val="-4"/>
                <w:sz w:val="20"/>
              </w:rPr>
              <w:t>Date</w:t>
            </w:r>
          </w:p>
        </w:tc>
        <w:tc>
          <w:tcPr>
            <w:tcW w:w="1581" w:type="dxa"/>
            <w:shd w:val="clear" w:color="auto" w:fill="92D400"/>
          </w:tcPr>
          <w:p w:rsidR="00C31389" w:rsidRDefault="00561FBD" w14:paraId="397B7CF6" w14:textId="77777777">
            <w:pPr>
              <w:pStyle w:val="TableParagraph"/>
              <w:spacing w:before="155"/>
              <w:ind w:left="198" w:right="155"/>
              <w:jc w:val="center"/>
              <w:rPr>
                <w:b/>
                <w:sz w:val="20"/>
              </w:rPr>
            </w:pPr>
            <w:r>
              <w:rPr>
                <w:b/>
                <w:sz w:val="20"/>
              </w:rPr>
              <w:t>Policy</w:t>
            </w:r>
            <w:r>
              <w:rPr>
                <w:b/>
                <w:spacing w:val="-5"/>
                <w:sz w:val="20"/>
              </w:rPr>
              <w:t xml:space="preserve"> </w:t>
            </w:r>
            <w:r>
              <w:rPr>
                <w:b/>
                <w:spacing w:val="-4"/>
                <w:sz w:val="20"/>
              </w:rPr>
              <w:t>View</w:t>
            </w:r>
          </w:p>
        </w:tc>
      </w:tr>
      <w:tr w:rsidR="00C31389" w14:paraId="3FD0AF7C" w14:textId="77777777">
        <w:trPr>
          <w:trHeight w:val="535"/>
        </w:trPr>
        <w:tc>
          <w:tcPr>
            <w:tcW w:w="1367" w:type="dxa"/>
            <w:tcBorders>
              <w:bottom w:val="single" w:color="D9D9D9" w:sz="2" w:space="0"/>
            </w:tcBorders>
          </w:tcPr>
          <w:p w:rsidR="00C31389" w:rsidRDefault="00561FBD" w14:paraId="2AE8FB4B" w14:textId="77777777">
            <w:pPr>
              <w:pStyle w:val="TableParagraph"/>
              <w:spacing w:before="151"/>
              <w:ind w:left="129"/>
              <w:rPr>
                <w:sz w:val="20"/>
              </w:rPr>
            </w:pPr>
            <w:r>
              <w:rPr>
                <w:sz w:val="20"/>
              </w:rPr>
              <w:t>2019</w:t>
            </w:r>
            <w:r>
              <w:rPr>
                <w:spacing w:val="-3"/>
                <w:sz w:val="20"/>
              </w:rPr>
              <w:t xml:space="preserve"> </w:t>
            </w:r>
            <w:r>
              <w:rPr>
                <w:sz w:val="20"/>
              </w:rPr>
              <w:t>T-</w:t>
            </w:r>
            <w:r>
              <w:rPr>
                <w:spacing w:val="-5"/>
                <w:sz w:val="20"/>
              </w:rPr>
              <w:t>24</w:t>
            </w:r>
          </w:p>
        </w:tc>
        <w:tc>
          <w:tcPr>
            <w:tcW w:w="3840" w:type="dxa"/>
            <w:tcBorders>
              <w:bottom w:val="single" w:color="D9D9D9" w:sz="2" w:space="0"/>
            </w:tcBorders>
          </w:tcPr>
          <w:p w:rsidR="00C31389" w:rsidRDefault="00561FBD" w14:paraId="46FD3AB2" w14:textId="77777777">
            <w:pPr>
              <w:pStyle w:val="TableParagraph"/>
              <w:spacing w:before="35"/>
              <w:ind w:left="202"/>
              <w:rPr>
                <w:sz w:val="20"/>
              </w:rPr>
            </w:pPr>
            <w:r>
              <w:rPr>
                <w:sz w:val="20"/>
              </w:rPr>
              <w:t>2019</w:t>
            </w:r>
            <w:r>
              <w:rPr>
                <w:spacing w:val="-5"/>
                <w:sz w:val="20"/>
              </w:rPr>
              <w:t xml:space="preserve"> </w:t>
            </w:r>
            <w:r>
              <w:rPr>
                <w:sz w:val="20"/>
              </w:rPr>
              <w:t>T-24:</w:t>
            </w:r>
            <w:r>
              <w:rPr>
                <w:spacing w:val="-5"/>
                <w:sz w:val="20"/>
              </w:rPr>
              <w:t xml:space="preserve"> </w:t>
            </w:r>
            <w:r>
              <w:rPr>
                <w:sz w:val="20"/>
              </w:rPr>
              <w:t>NRA-MECH-</w:t>
            </w:r>
            <w:r>
              <w:rPr>
                <w:spacing w:val="-2"/>
                <w:sz w:val="20"/>
              </w:rPr>
              <w:t>Cooling</w:t>
            </w:r>
          </w:p>
          <w:p w:rsidR="00C31389" w:rsidRDefault="00561FBD" w14:paraId="7BC19F51" w14:textId="77777777">
            <w:pPr>
              <w:pStyle w:val="TableParagraph"/>
              <w:spacing w:before="1"/>
              <w:ind w:left="202"/>
              <w:rPr>
                <w:sz w:val="20"/>
              </w:rPr>
            </w:pPr>
            <w:r>
              <w:rPr>
                <w:spacing w:val="-2"/>
                <w:sz w:val="20"/>
              </w:rPr>
              <w:t>Towers</w:t>
            </w:r>
          </w:p>
        </w:tc>
        <w:tc>
          <w:tcPr>
            <w:tcW w:w="1222" w:type="dxa"/>
            <w:tcBorders>
              <w:bottom w:val="single" w:color="D9D9D9" w:sz="2" w:space="0"/>
            </w:tcBorders>
          </w:tcPr>
          <w:p w:rsidR="00C31389" w:rsidRDefault="00561FBD" w14:paraId="4E09F2C4" w14:textId="77777777">
            <w:pPr>
              <w:pStyle w:val="TableParagraph"/>
              <w:spacing w:before="151"/>
              <w:ind w:left="367"/>
              <w:rPr>
                <w:sz w:val="20"/>
              </w:rPr>
            </w:pPr>
            <w:r>
              <w:rPr>
                <w:spacing w:val="-5"/>
                <w:sz w:val="20"/>
              </w:rPr>
              <w:t>85%</w:t>
            </w:r>
          </w:p>
        </w:tc>
        <w:tc>
          <w:tcPr>
            <w:tcW w:w="1368" w:type="dxa"/>
            <w:tcBorders>
              <w:bottom w:val="single" w:color="D9D9D9" w:sz="2" w:space="0"/>
            </w:tcBorders>
          </w:tcPr>
          <w:p w:rsidR="00C31389" w:rsidRDefault="00561FBD" w14:paraId="6EB32B48" w14:textId="77777777">
            <w:pPr>
              <w:pStyle w:val="TableParagraph"/>
              <w:spacing w:before="151"/>
              <w:ind w:right="234"/>
              <w:jc w:val="right"/>
              <w:rPr>
                <w:sz w:val="20"/>
              </w:rPr>
            </w:pPr>
            <w:r>
              <w:rPr>
                <w:spacing w:val="-2"/>
                <w:sz w:val="20"/>
              </w:rPr>
              <w:t>02/01/23</w:t>
            </w:r>
          </w:p>
        </w:tc>
        <w:tc>
          <w:tcPr>
            <w:tcW w:w="1581" w:type="dxa"/>
            <w:tcBorders>
              <w:bottom w:val="single" w:color="D9D9D9" w:sz="2" w:space="0"/>
            </w:tcBorders>
          </w:tcPr>
          <w:p w:rsidR="00C31389" w:rsidRDefault="00561FBD" w14:paraId="6A906071" w14:textId="77777777">
            <w:pPr>
              <w:pStyle w:val="TableParagraph"/>
              <w:spacing w:before="151"/>
              <w:ind w:left="198" w:right="155"/>
              <w:jc w:val="center"/>
              <w:rPr>
                <w:sz w:val="20"/>
              </w:rPr>
            </w:pPr>
            <w:r>
              <w:rPr>
                <w:spacing w:val="-2"/>
                <w:sz w:val="20"/>
              </w:rPr>
              <w:t>On-the-books</w:t>
            </w:r>
          </w:p>
        </w:tc>
      </w:tr>
      <w:tr w:rsidR="00C31389" w14:paraId="3D8FD558" w14:textId="77777777">
        <w:trPr>
          <w:trHeight w:val="539"/>
        </w:trPr>
        <w:tc>
          <w:tcPr>
            <w:tcW w:w="1367" w:type="dxa"/>
            <w:tcBorders>
              <w:top w:val="single" w:color="D9D9D9" w:sz="2" w:space="0"/>
              <w:bottom w:val="single" w:color="D9D9D9" w:sz="2" w:space="0"/>
            </w:tcBorders>
          </w:tcPr>
          <w:p w:rsidR="00C31389" w:rsidRDefault="00561FBD" w14:paraId="43E8F91F"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5BA9E244" w14:textId="77777777">
            <w:pPr>
              <w:pStyle w:val="TableParagraph"/>
              <w:ind w:left="202"/>
              <w:rPr>
                <w:sz w:val="20"/>
              </w:rPr>
            </w:pPr>
            <w:r>
              <w:rPr>
                <w:sz w:val="20"/>
              </w:rPr>
              <w:t>2019</w:t>
            </w:r>
            <w:r>
              <w:rPr>
                <w:spacing w:val="-4"/>
                <w:sz w:val="20"/>
              </w:rPr>
              <w:t xml:space="preserve"> </w:t>
            </w:r>
            <w:r>
              <w:rPr>
                <w:sz w:val="20"/>
              </w:rPr>
              <w:t>T-24:</w:t>
            </w:r>
            <w:r>
              <w:rPr>
                <w:spacing w:val="-4"/>
                <w:sz w:val="20"/>
              </w:rPr>
              <w:t xml:space="preserve"> </w:t>
            </w:r>
            <w:r>
              <w:rPr>
                <w:sz w:val="20"/>
              </w:rPr>
              <w:t>NRA-MECH-HE</w:t>
            </w:r>
            <w:r>
              <w:rPr>
                <w:spacing w:val="-4"/>
                <w:sz w:val="20"/>
              </w:rPr>
              <w:t xml:space="preserve"> Fume</w:t>
            </w:r>
          </w:p>
          <w:p w:rsidR="00C31389" w:rsidRDefault="00561FBD" w14:paraId="1F5A39E6" w14:textId="77777777">
            <w:pPr>
              <w:pStyle w:val="TableParagraph"/>
              <w:spacing w:before="0"/>
              <w:ind w:left="202"/>
              <w:rPr>
                <w:sz w:val="20"/>
              </w:rPr>
            </w:pPr>
            <w:r>
              <w:rPr>
                <w:sz w:val="20"/>
              </w:rPr>
              <w:t>Hoods</w:t>
            </w:r>
            <w:r>
              <w:rPr>
                <w:spacing w:val="-2"/>
                <w:sz w:val="20"/>
              </w:rPr>
              <w:t xml:space="preserve"> </w:t>
            </w:r>
            <w:r>
              <w:rPr>
                <w:sz w:val="20"/>
              </w:rPr>
              <w:t>in</w:t>
            </w:r>
            <w:r>
              <w:rPr>
                <w:spacing w:val="-3"/>
                <w:sz w:val="20"/>
              </w:rPr>
              <w:t xml:space="preserve"> </w:t>
            </w:r>
            <w:r>
              <w:rPr>
                <w:sz w:val="20"/>
              </w:rPr>
              <w:t>Lab</w:t>
            </w:r>
            <w:r>
              <w:rPr>
                <w:spacing w:val="-3"/>
                <w:sz w:val="20"/>
              </w:rPr>
              <w:t xml:space="preserve"> </w:t>
            </w:r>
            <w:r>
              <w:rPr>
                <w:spacing w:val="-2"/>
                <w:sz w:val="20"/>
              </w:rPr>
              <w:t>Spaces</w:t>
            </w:r>
          </w:p>
        </w:tc>
        <w:tc>
          <w:tcPr>
            <w:tcW w:w="1222" w:type="dxa"/>
            <w:tcBorders>
              <w:top w:val="single" w:color="D9D9D9" w:sz="2" w:space="0"/>
              <w:bottom w:val="single" w:color="D9D9D9" w:sz="2" w:space="0"/>
            </w:tcBorders>
          </w:tcPr>
          <w:p w:rsidR="00C31389" w:rsidRDefault="00561FBD" w14:paraId="636BF54F" w14:textId="77777777">
            <w:pPr>
              <w:pStyle w:val="TableParagraph"/>
              <w:spacing w:before="155"/>
              <w:ind w:left="366"/>
              <w:rPr>
                <w:sz w:val="20"/>
              </w:rPr>
            </w:pPr>
            <w:r>
              <w:rPr>
                <w:spacing w:val="-5"/>
                <w:sz w:val="20"/>
              </w:rPr>
              <w:t>85%</w:t>
            </w:r>
          </w:p>
        </w:tc>
        <w:tc>
          <w:tcPr>
            <w:tcW w:w="1368" w:type="dxa"/>
            <w:tcBorders>
              <w:top w:val="single" w:color="D9D9D9" w:sz="2" w:space="0"/>
              <w:bottom w:val="single" w:color="D9D9D9" w:sz="2" w:space="0"/>
            </w:tcBorders>
          </w:tcPr>
          <w:p w:rsidR="00C31389" w:rsidRDefault="00561FBD" w14:paraId="3FAEBFDA"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2E02D41B" w14:textId="77777777">
            <w:pPr>
              <w:pStyle w:val="TableParagraph"/>
              <w:spacing w:before="155"/>
              <w:ind w:left="198" w:right="155"/>
              <w:jc w:val="center"/>
              <w:rPr>
                <w:sz w:val="20"/>
              </w:rPr>
            </w:pPr>
            <w:r>
              <w:rPr>
                <w:spacing w:val="-2"/>
                <w:sz w:val="20"/>
              </w:rPr>
              <w:t>On-the-books</w:t>
            </w:r>
          </w:p>
        </w:tc>
      </w:tr>
      <w:tr w:rsidR="00C31389" w14:paraId="434083DD" w14:textId="77777777">
        <w:trPr>
          <w:trHeight w:val="539"/>
        </w:trPr>
        <w:tc>
          <w:tcPr>
            <w:tcW w:w="1367" w:type="dxa"/>
            <w:tcBorders>
              <w:top w:val="single" w:color="D9D9D9" w:sz="2" w:space="0"/>
              <w:bottom w:val="single" w:color="D9D9D9" w:sz="2" w:space="0"/>
            </w:tcBorders>
          </w:tcPr>
          <w:p w:rsidR="00C31389" w:rsidRDefault="00561FBD" w14:paraId="51F85A06"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3FA275D7" w14:textId="77777777">
            <w:pPr>
              <w:pStyle w:val="TableParagraph"/>
              <w:ind w:left="202"/>
              <w:rPr>
                <w:sz w:val="20"/>
              </w:rPr>
            </w:pPr>
            <w:r>
              <w:rPr>
                <w:sz w:val="20"/>
              </w:rPr>
              <w:t>2019</w:t>
            </w:r>
            <w:r>
              <w:rPr>
                <w:spacing w:val="-5"/>
                <w:sz w:val="20"/>
              </w:rPr>
              <w:t xml:space="preserve"> </w:t>
            </w:r>
            <w:r>
              <w:rPr>
                <w:sz w:val="20"/>
              </w:rPr>
              <w:t>T-24:</w:t>
            </w:r>
            <w:r>
              <w:rPr>
                <w:spacing w:val="-5"/>
                <w:sz w:val="20"/>
              </w:rPr>
              <w:t xml:space="preserve"> </w:t>
            </w:r>
            <w:r>
              <w:rPr>
                <w:sz w:val="20"/>
              </w:rPr>
              <w:t>NRA-MECH-</w:t>
            </w:r>
            <w:r>
              <w:rPr>
                <w:spacing w:val="-2"/>
                <w:sz w:val="20"/>
              </w:rPr>
              <w:t>Variable</w:t>
            </w:r>
          </w:p>
          <w:p w:rsidR="00C31389" w:rsidRDefault="00561FBD" w14:paraId="568F94E4" w14:textId="77777777">
            <w:pPr>
              <w:pStyle w:val="TableParagraph"/>
              <w:spacing w:before="0"/>
              <w:ind w:left="202"/>
              <w:rPr>
                <w:sz w:val="20"/>
              </w:rPr>
            </w:pPr>
            <w:r>
              <w:rPr>
                <w:sz w:val="20"/>
              </w:rPr>
              <w:t>Exhaust</w:t>
            </w:r>
            <w:r>
              <w:rPr>
                <w:spacing w:val="-5"/>
                <w:sz w:val="20"/>
              </w:rPr>
              <w:t xml:space="preserve"> </w:t>
            </w:r>
            <w:r>
              <w:rPr>
                <w:sz w:val="20"/>
              </w:rPr>
              <w:t>Flow</w:t>
            </w:r>
            <w:r>
              <w:rPr>
                <w:spacing w:val="-4"/>
                <w:sz w:val="20"/>
              </w:rPr>
              <w:t xml:space="preserve"> </w:t>
            </w:r>
            <w:r>
              <w:rPr>
                <w:spacing w:val="-2"/>
                <w:sz w:val="20"/>
              </w:rPr>
              <w:t>Control</w:t>
            </w:r>
          </w:p>
        </w:tc>
        <w:tc>
          <w:tcPr>
            <w:tcW w:w="1222" w:type="dxa"/>
            <w:tcBorders>
              <w:top w:val="single" w:color="D9D9D9" w:sz="2" w:space="0"/>
              <w:bottom w:val="single" w:color="D9D9D9" w:sz="2" w:space="0"/>
            </w:tcBorders>
          </w:tcPr>
          <w:p w:rsidR="00C31389" w:rsidRDefault="00561FBD" w14:paraId="5D4FDC39"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5BC0580A"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7CFE4F98" w14:textId="77777777">
            <w:pPr>
              <w:pStyle w:val="TableParagraph"/>
              <w:spacing w:before="155"/>
              <w:ind w:left="198" w:right="155"/>
              <w:jc w:val="center"/>
              <w:rPr>
                <w:sz w:val="20"/>
              </w:rPr>
            </w:pPr>
            <w:r>
              <w:rPr>
                <w:spacing w:val="-2"/>
                <w:sz w:val="20"/>
              </w:rPr>
              <w:t>On-the-books</w:t>
            </w:r>
          </w:p>
        </w:tc>
      </w:tr>
      <w:tr w:rsidR="00C31389" w14:paraId="1595FD0E" w14:textId="77777777">
        <w:trPr>
          <w:trHeight w:val="539"/>
        </w:trPr>
        <w:tc>
          <w:tcPr>
            <w:tcW w:w="1367" w:type="dxa"/>
            <w:tcBorders>
              <w:top w:val="single" w:color="D9D9D9" w:sz="2" w:space="0"/>
              <w:bottom w:val="single" w:color="D9D9D9" w:sz="2" w:space="0"/>
            </w:tcBorders>
          </w:tcPr>
          <w:p w:rsidR="00C31389" w:rsidRDefault="00561FBD" w14:paraId="1D0F82B0"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771565C3" w14:textId="77777777">
            <w:pPr>
              <w:pStyle w:val="TableParagraph"/>
              <w:ind w:left="202" w:right="311"/>
              <w:rPr>
                <w:sz w:val="20"/>
              </w:rPr>
            </w:pPr>
            <w:r>
              <w:rPr>
                <w:sz w:val="20"/>
              </w:rPr>
              <w:t>2019</w:t>
            </w:r>
            <w:r>
              <w:rPr>
                <w:spacing w:val="-13"/>
                <w:sz w:val="20"/>
              </w:rPr>
              <w:t xml:space="preserve"> </w:t>
            </w:r>
            <w:r>
              <w:rPr>
                <w:sz w:val="20"/>
              </w:rPr>
              <w:t>T-24:</w:t>
            </w:r>
            <w:r>
              <w:rPr>
                <w:spacing w:val="-13"/>
                <w:sz w:val="20"/>
              </w:rPr>
              <w:t xml:space="preserve"> </w:t>
            </w:r>
            <w:r>
              <w:rPr>
                <w:sz w:val="20"/>
              </w:rPr>
              <w:t>NRNC-Indoor</w:t>
            </w:r>
            <w:r>
              <w:rPr>
                <w:spacing w:val="-13"/>
                <w:sz w:val="20"/>
              </w:rPr>
              <w:t xml:space="preserve"> </w:t>
            </w:r>
            <w:r>
              <w:rPr>
                <w:sz w:val="20"/>
              </w:rPr>
              <w:t xml:space="preserve">Lighting- </w:t>
            </w:r>
            <w:r>
              <w:rPr>
                <w:spacing w:val="-4"/>
                <w:sz w:val="20"/>
              </w:rPr>
              <w:t>LPD</w:t>
            </w:r>
          </w:p>
        </w:tc>
        <w:tc>
          <w:tcPr>
            <w:tcW w:w="1222" w:type="dxa"/>
            <w:tcBorders>
              <w:top w:val="single" w:color="D9D9D9" w:sz="2" w:space="0"/>
              <w:bottom w:val="single" w:color="D9D9D9" w:sz="2" w:space="0"/>
            </w:tcBorders>
          </w:tcPr>
          <w:p w:rsidR="00C31389" w:rsidRDefault="00561FBD" w14:paraId="0AEDE327"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633005A4"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44554071" w14:textId="77777777">
            <w:pPr>
              <w:pStyle w:val="TableParagraph"/>
              <w:spacing w:before="155"/>
              <w:ind w:left="198" w:right="155"/>
              <w:jc w:val="center"/>
              <w:rPr>
                <w:sz w:val="20"/>
              </w:rPr>
            </w:pPr>
            <w:r>
              <w:rPr>
                <w:spacing w:val="-2"/>
                <w:sz w:val="20"/>
              </w:rPr>
              <w:t>On-the-books</w:t>
            </w:r>
          </w:p>
        </w:tc>
      </w:tr>
      <w:tr w:rsidR="00C31389" w14:paraId="065B6E0E" w14:textId="77777777">
        <w:trPr>
          <w:trHeight w:val="541"/>
        </w:trPr>
        <w:tc>
          <w:tcPr>
            <w:tcW w:w="1367" w:type="dxa"/>
            <w:tcBorders>
              <w:top w:val="single" w:color="D9D9D9" w:sz="2" w:space="0"/>
              <w:bottom w:val="single" w:color="D9D9D9" w:sz="2" w:space="0"/>
            </w:tcBorders>
          </w:tcPr>
          <w:p w:rsidR="00C31389" w:rsidRDefault="00561FBD" w14:paraId="3619B8EF"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13D8812B" w14:textId="77777777">
            <w:pPr>
              <w:pStyle w:val="TableParagraph"/>
              <w:spacing w:before="41"/>
              <w:ind w:left="202"/>
              <w:rPr>
                <w:sz w:val="20"/>
              </w:rPr>
            </w:pPr>
            <w:r>
              <w:rPr>
                <w:sz w:val="20"/>
              </w:rPr>
              <w:t>2019</w:t>
            </w:r>
            <w:r>
              <w:rPr>
                <w:spacing w:val="-13"/>
                <w:sz w:val="20"/>
              </w:rPr>
              <w:t xml:space="preserve"> </w:t>
            </w:r>
            <w:r>
              <w:rPr>
                <w:sz w:val="20"/>
              </w:rPr>
              <w:t>T-24:</w:t>
            </w:r>
            <w:r>
              <w:rPr>
                <w:spacing w:val="-13"/>
                <w:sz w:val="20"/>
              </w:rPr>
              <w:t xml:space="preserve"> </w:t>
            </w:r>
            <w:r>
              <w:rPr>
                <w:sz w:val="20"/>
              </w:rPr>
              <w:t>NRNC-Indoor</w:t>
            </w:r>
            <w:r>
              <w:rPr>
                <w:spacing w:val="-13"/>
                <w:sz w:val="20"/>
              </w:rPr>
              <w:t xml:space="preserve"> </w:t>
            </w:r>
            <w:r>
              <w:rPr>
                <w:sz w:val="20"/>
              </w:rPr>
              <w:t xml:space="preserve">Lighting- </w:t>
            </w:r>
            <w:r>
              <w:rPr>
                <w:spacing w:val="-2"/>
                <w:sz w:val="20"/>
              </w:rPr>
              <w:t>Controls</w:t>
            </w:r>
          </w:p>
        </w:tc>
        <w:tc>
          <w:tcPr>
            <w:tcW w:w="1222" w:type="dxa"/>
            <w:tcBorders>
              <w:top w:val="single" w:color="D9D9D9" w:sz="2" w:space="0"/>
              <w:bottom w:val="single" w:color="D9D9D9" w:sz="2" w:space="0"/>
            </w:tcBorders>
          </w:tcPr>
          <w:p w:rsidR="00C31389" w:rsidRDefault="00561FBD" w14:paraId="73E00803"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74A06089"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47A454F1" w14:textId="77777777">
            <w:pPr>
              <w:pStyle w:val="TableParagraph"/>
              <w:spacing w:before="155"/>
              <w:ind w:left="198" w:right="155"/>
              <w:jc w:val="center"/>
              <w:rPr>
                <w:sz w:val="20"/>
              </w:rPr>
            </w:pPr>
            <w:r>
              <w:rPr>
                <w:spacing w:val="-2"/>
                <w:sz w:val="20"/>
              </w:rPr>
              <w:t>On-the-books</w:t>
            </w:r>
          </w:p>
        </w:tc>
      </w:tr>
      <w:tr w:rsidR="00C31389" w14:paraId="58D609B9" w14:textId="77777777">
        <w:trPr>
          <w:trHeight w:val="539"/>
        </w:trPr>
        <w:tc>
          <w:tcPr>
            <w:tcW w:w="1367" w:type="dxa"/>
            <w:tcBorders>
              <w:top w:val="single" w:color="D9D9D9" w:sz="2" w:space="0"/>
              <w:bottom w:val="single" w:color="D9D9D9" w:sz="2" w:space="0"/>
            </w:tcBorders>
          </w:tcPr>
          <w:p w:rsidR="00C31389" w:rsidRDefault="00561FBD" w14:paraId="7C99D404"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3467A1DA" w14:textId="77777777">
            <w:pPr>
              <w:pStyle w:val="TableParagraph"/>
              <w:ind w:left="202" w:right="311"/>
              <w:rPr>
                <w:sz w:val="20"/>
              </w:rPr>
            </w:pPr>
            <w:r>
              <w:rPr>
                <w:sz w:val="20"/>
              </w:rPr>
              <w:t>2019</w:t>
            </w:r>
            <w:r>
              <w:rPr>
                <w:spacing w:val="-10"/>
                <w:sz w:val="20"/>
              </w:rPr>
              <w:t xml:space="preserve"> </w:t>
            </w:r>
            <w:r>
              <w:rPr>
                <w:sz w:val="20"/>
              </w:rPr>
              <w:t>T-24:</w:t>
            </w:r>
            <w:r>
              <w:rPr>
                <w:spacing w:val="-10"/>
                <w:sz w:val="20"/>
              </w:rPr>
              <w:t xml:space="preserve"> </w:t>
            </w:r>
            <w:r>
              <w:rPr>
                <w:sz w:val="20"/>
              </w:rPr>
              <w:t>NRNC-</w:t>
            </w:r>
            <w:r>
              <w:rPr>
                <w:spacing w:val="-10"/>
                <w:sz w:val="20"/>
              </w:rPr>
              <w:t xml:space="preserve"> </w:t>
            </w:r>
            <w:r>
              <w:rPr>
                <w:sz w:val="20"/>
              </w:rPr>
              <w:t>Outdoor</w:t>
            </w:r>
            <w:r>
              <w:rPr>
                <w:spacing w:val="-9"/>
                <w:sz w:val="20"/>
              </w:rPr>
              <w:t xml:space="preserve"> </w:t>
            </w:r>
            <w:r>
              <w:rPr>
                <w:sz w:val="20"/>
              </w:rPr>
              <w:t>Lighting- LPA (General Hardscape)</w:t>
            </w:r>
          </w:p>
        </w:tc>
        <w:tc>
          <w:tcPr>
            <w:tcW w:w="1222" w:type="dxa"/>
            <w:tcBorders>
              <w:top w:val="single" w:color="D9D9D9" w:sz="2" w:space="0"/>
              <w:bottom w:val="single" w:color="D9D9D9" w:sz="2" w:space="0"/>
            </w:tcBorders>
          </w:tcPr>
          <w:p w:rsidR="00C31389" w:rsidRDefault="00561FBD" w14:paraId="06B9008A" w14:textId="77777777">
            <w:pPr>
              <w:pStyle w:val="TableParagraph"/>
              <w:spacing w:before="155"/>
              <w:ind w:left="366"/>
              <w:rPr>
                <w:sz w:val="20"/>
              </w:rPr>
            </w:pPr>
            <w:r>
              <w:rPr>
                <w:spacing w:val="-5"/>
                <w:sz w:val="20"/>
              </w:rPr>
              <w:t>85%</w:t>
            </w:r>
          </w:p>
        </w:tc>
        <w:tc>
          <w:tcPr>
            <w:tcW w:w="1368" w:type="dxa"/>
            <w:tcBorders>
              <w:top w:val="single" w:color="D9D9D9" w:sz="2" w:space="0"/>
              <w:bottom w:val="single" w:color="D9D9D9" w:sz="2" w:space="0"/>
            </w:tcBorders>
          </w:tcPr>
          <w:p w:rsidR="00C31389" w:rsidRDefault="00561FBD" w14:paraId="02566788"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47CE8520" w14:textId="77777777">
            <w:pPr>
              <w:pStyle w:val="TableParagraph"/>
              <w:spacing w:before="155"/>
              <w:ind w:left="198" w:right="155"/>
              <w:jc w:val="center"/>
              <w:rPr>
                <w:sz w:val="20"/>
              </w:rPr>
            </w:pPr>
            <w:r>
              <w:rPr>
                <w:spacing w:val="-2"/>
                <w:sz w:val="20"/>
              </w:rPr>
              <w:t>On-the-books</w:t>
            </w:r>
          </w:p>
        </w:tc>
      </w:tr>
      <w:tr w:rsidR="00C31389" w14:paraId="7342F957" w14:textId="77777777">
        <w:trPr>
          <w:trHeight w:val="539"/>
        </w:trPr>
        <w:tc>
          <w:tcPr>
            <w:tcW w:w="1367" w:type="dxa"/>
            <w:tcBorders>
              <w:top w:val="single" w:color="D9D9D9" w:sz="2" w:space="0"/>
              <w:bottom w:val="single" w:color="D9D9D9" w:sz="2" w:space="0"/>
            </w:tcBorders>
          </w:tcPr>
          <w:p w:rsidR="00C31389" w:rsidRDefault="00561FBD" w14:paraId="263FDAAC"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7AB4B180" w14:textId="77777777">
            <w:pPr>
              <w:pStyle w:val="TableParagraph"/>
              <w:ind w:left="202" w:right="311"/>
              <w:rPr>
                <w:sz w:val="20"/>
              </w:rPr>
            </w:pPr>
            <w:r>
              <w:rPr>
                <w:sz w:val="20"/>
              </w:rPr>
              <w:t>2019</w:t>
            </w:r>
            <w:r>
              <w:rPr>
                <w:spacing w:val="-10"/>
                <w:sz w:val="20"/>
              </w:rPr>
              <w:t xml:space="preserve"> </w:t>
            </w:r>
            <w:r>
              <w:rPr>
                <w:sz w:val="20"/>
              </w:rPr>
              <w:t>T-24:</w:t>
            </w:r>
            <w:r>
              <w:rPr>
                <w:spacing w:val="-10"/>
                <w:sz w:val="20"/>
              </w:rPr>
              <w:t xml:space="preserve"> </w:t>
            </w:r>
            <w:r>
              <w:rPr>
                <w:sz w:val="20"/>
              </w:rPr>
              <w:t>NRNC-</w:t>
            </w:r>
            <w:r>
              <w:rPr>
                <w:spacing w:val="-10"/>
                <w:sz w:val="20"/>
              </w:rPr>
              <w:t xml:space="preserve"> </w:t>
            </w:r>
            <w:r>
              <w:rPr>
                <w:sz w:val="20"/>
              </w:rPr>
              <w:t>Outdoor</w:t>
            </w:r>
            <w:r>
              <w:rPr>
                <w:spacing w:val="-9"/>
                <w:sz w:val="20"/>
              </w:rPr>
              <w:t xml:space="preserve"> </w:t>
            </w:r>
            <w:r>
              <w:rPr>
                <w:sz w:val="20"/>
              </w:rPr>
              <w:t>Lighting- LPA (Specific Applications)</w:t>
            </w:r>
          </w:p>
        </w:tc>
        <w:tc>
          <w:tcPr>
            <w:tcW w:w="1222" w:type="dxa"/>
            <w:tcBorders>
              <w:top w:val="single" w:color="D9D9D9" w:sz="2" w:space="0"/>
              <w:bottom w:val="single" w:color="D9D9D9" w:sz="2" w:space="0"/>
            </w:tcBorders>
          </w:tcPr>
          <w:p w:rsidR="00C31389" w:rsidRDefault="00561FBD" w14:paraId="010A8479"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0B88CAEF"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19DDF66A" w14:textId="77777777">
            <w:pPr>
              <w:pStyle w:val="TableParagraph"/>
              <w:spacing w:before="155"/>
              <w:ind w:left="198" w:right="155"/>
              <w:jc w:val="center"/>
              <w:rPr>
                <w:sz w:val="20"/>
              </w:rPr>
            </w:pPr>
            <w:r>
              <w:rPr>
                <w:spacing w:val="-2"/>
                <w:sz w:val="20"/>
              </w:rPr>
              <w:t>On-the-books</w:t>
            </w:r>
          </w:p>
        </w:tc>
      </w:tr>
      <w:tr w:rsidR="00C31389" w14:paraId="4C6E02C9" w14:textId="77777777">
        <w:trPr>
          <w:trHeight w:val="539"/>
        </w:trPr>
        <w:tc>
          <w:tcPr>
            <w:tcW w:w="1367" w:type="dxa"/>
            <w:tcBorders>
              <w:top w:val="single" w:color="D9D9D9" w:sz="2" w:space="0"/>
              <w:bottom w:val="single" w:color="D9D9D9" w:sz="2" w:space="0"/>
            </w:tcBorders>
          </w:tcPr>
          <w:p w:rsidR="00C31389" w:rsidRDefault="00561FBD" w14:paraId="6B6462F8"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0535BCF5" w14:textId="77777777">
            <w:pPr>
              <w:pStyle w:val="TableParagraph"/>
              <w:ind w:left="202"/>
              <w:rPr>
                <w:sz w:val="20"/>
              </w:rPr>
            </w:pPr>
            <w:r>
              <w:rPr>
                <w:sz w:val="20"/>
              </w:rPr>
              <w:t>2019</w:t>
            </w:r>
            <w:r>
              <w:rPr>
                <w:spacing w:val="-12"/>
                <w:sz w:val="20"/>
              </w:rPr>
              <w:t xml:space="preserve"> </w:t>
            </w:r>
            <w:r>
              <w:rPr>
                <w:sz w:val="20"/>
              </w:rPr>
              <w:t>T-24:</w:t>
            </w:r>
            <w:r>
              <w:rPr>
                <w:spacing w:val="-12"/>
                <w:sz w:val="20"/>
              </w:rPr>
              <w:t xml:space="preserve"> </w:t>
            </w:r>
            <w:r>
              <w:rPr>
                <w:sz w:val="20"/>
              </w:rPr>
              <w:t>NRNC-Outdoor</w:t>
            </w:r>
            <w:r>
              <w:rPr>
                <w:spacing w:val="-13"/>
                <w:sz w:val="20"/>
              </w:rPr>
              <w:t xml:space="preserve"> </w:t>
            </w:r>
            <w:r>
              <w:rPr>
                <w:sz w:val="20"/>
              </w:rPr>
              <w:t xml:space="preserve">Lighting- </w:t>
            </w:r>
            <w:r>
              <w:rPr>
                <w:spacing w:val="-2"/>
                <w:sz w:val="20"/>
              </w:rPr>
              <w:t>Controls</w:t>
            </w:r>
          </w:p>
        </w:tc>
        <w:tc>
          <w:tcPr>
            <w:tcW w:w="1222" w:type="dxa"/>
            <w:tcBorders>
              <w:top w:val="single" w:color="D9D9D9" w:sz="2" w:space="0"/>
              <w:bottom w:val="single" w:color="D9D9D9" w:sz="2" w:space="0"/>
            </w:tcBorders>
          </w:tcPr>
          <w:p w:rsidR="00C31389" w:rsidRDefault="00561FBD" w14:paraId="799EB607"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58BA1F21"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7749271A" w14:textId="77777777">
            <w:pPr>
              <w:pStyle w:val="TableParagraph"/>
              <w:spacing w:before="155"/>
              <w:ind w:left="198" w:right="155"/>
              <w:jc w:val="center"/>
              <w:rPr>
                <w:sz w:val="20"/>
              </w:rPr>
            </w:pPr>
            <w:r>
              <w:rPr>
                <w:spacing w:val="-2"/>
                <w:sz w:val="20"/>
              </w:rPr>
              <w:t>On-the-books</w:t>
            </w:r>
          </w:p>
        </w:tc>
      </w:tr>
      <w:tr w:rsidR="00C31389" w14:paraId="1D2531B3" w14:textId="77777777">
        <w:trPr>
          <w:trHeight w:val="539"/>
        </w:trPr>
        <w:tc>
          <w:tcPr>
            <w:tcW w:w="1367" w:type="dxa"/>
            <w:tcBorders>
              <w:top w:val="single" w:color="D9D9D9" w:sz="2" w:space="0"/>
              <w:bottom w:val="single" w:color="D9D9D9" w:sz="2" w:space="0"/>
            </w:tcBorders>
          </w:tcPr>
          <w:p w:rsidR="00C31389" w:rsidRDefault="00561FBD" w14:paraId="336DBA0E"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1387672E" w14:textId="77777777">
            <w:pPr>
              <w:pStyle w:val="TableParagraph"/>
              <w:ind w:left="202" w:right="311"/>
              <w:rPr>
                <w:sz w:val="20"/>
              </w:rPr>
            </w:pPr>
            <w:r>
              <w:rPr>
                <w:sz w:val="20"/>
              </w:rPr>
              <w:t>2019</w:t>
            </w:r>
            <w:r>
              <w:rPr>
                <w:spacing w:val="-14"/>
                <w:sz w:val="20"/>
              </w:rPr>
              <w:t xml:space="preserve"> </w:t>
            </w:r>
            <w:r>
              <w:rPr>
                <w:sz w:val="20"/>
              </w:rPr>
              <w:t>T-24:</w:t>
            </w:r>
            <w:r>
              <w:rPr>
                <w:spacing w:val="-14"/>
                <w:sz w:val="20"/>
              </w:rPr>
              <w:t xml:space="preserve"> </w:t>
            </w:r>
            <w:r>
              <w:rPr>
                <w:sz w:val="20"/>
              </w:rPr>
              <w:t xml:space="preserve">NRNC-Envelope-Dock </w:t>
            </w:r>
            <w:r>
              <w:rPr>
                <w:spacing w:val="-2"/>
                <w:sz w:val="20"/>
              </w:rPr>
              <w:t>Seals</w:t>
            </w:r>
          </w:p>
        </w:tc>
        <w:tc>
          <w:tcPr>
            <w:tcW w:w="1222" w:type="dxa"/>
            <w:tcBorders>
              <w:top w:val="single" w:color="D9D9D9" w:sz="2" w:space="0"/>
              <w:bottom w:val="single" w:color="D9D9D9" w:sz="2" w:space="0"/>
            </w:tcBorders>
          </w:tcPr>
          <w:p w:rsidR="00C31389" w:rsidRDefault="00561FBD" w14:paraId="4C8E1D1D"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02FFAD5E" w14:textId="77777777">
            <w:pPr>
              <w:pStyle w:val="TableParagraph"/>
              <w:spacing w:before="155"/>
              <w:ind w:right="234"/>
              <w:jc w:val="right"/>
              <w:rPr>
                <w:sz w:val="20"/>
              </w:rPr>
            </w:pPr>
            <w:r>
              <w:rPr>
                <w:spacing w:val="-2"/>
                <w:sz w:val="20"/>
              </w:rPr>
              <w:t>02/01/23</w:t>
            </w:r>
          </w:p>
        </w:tc>
        <w:tc>
          <w:tcPr>
            <w:tcW w:w="1581" w:type="dxa"/>
            <w:tcBorders>
              <w:top w:val="single" w:color="D9D9D9" w:sz="2" w:space="0"/>
              <w:bottom w:val="single" w:color="D9D9D9" w:sz="2" w:space="0"/>
            </w:tcBorders>
          </w:tcPr>
          <w:p w:rsidR="00C31389" w:rsidRDefault="00561FBD" w14:paraId="25AA9BBC" w14:textId="77777777">
            <w:pPr>
              <w:pStyle w:val="TableParagraph"/>
              <w:spacing w:before="155"/>
              <w:ind w:left="198" w:right="155"/>
              <w:jc w:val="center"/>
              <w:rPr>
                <w:sz w:val="20"/>
              </w:rPr>
            </w:pPr>
            <w:r>
              <w:rPr>
                <w:spacing w:val="-2"/>
                <w:sz w:val="20"/>
              </w:rPr>
              <w:t>On-the-books</w:t>
            </w:r>
          </w:p>
        </w:tc>
      </w:tr>
      <w:tr w:rsidR="00C31389" w14:paraId="59B1E511" w14:textId="77777777">
        <w:trPr>
          <w:trHeight w:val="539"/>
        </w:trPr>
        <w:tc>
          <w:tcPr>
            <w:tcW w:w="1367" w:type="dxa"/>
            <w:tcBorders>
              <w:top w:val="single" w:color="D9D9D9" w:sz="2" w:space="0"/>
              <w:bottom w:val="single" w:color="D9D9D9" w:sz="2" w:space="0"/>
            </w:tcBorders>
          </w:tcPr>
          <w:p w:rsidR="00C31389" w:rsidRDefault="00561FBD" w14:paraId="36F06590"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3F750E5E" w14:textId="77777777">
            <w:pPr>
              <w:pStyle w:val="TableParagraph"/>
              <w:ind w:left="202"/>
              <w:rPr>
                <w:sz w:val="20"/>
              </w:rPr>
            </w:pPr>
            <w:r>
              <w:rPr>
                <w:sz w:val="20"/>
              </w:rPr>
              <w:t>2019</w:t>
            </w:r>
            <w:r>
              <w:rPr>
                <w:spacing w:val="-6"/>
                <w:sz w:val="20"/>
              </w:rPr>
              <w:t xml:space="preserve"> </w:t>
            </w:r>
            <w:r>
              <w:rPr>
                <w:sz w:val="20"/>
              </w:rPr>
              <w:t>T-24:</w:t>
            </w:r>
            <w:r>
              <w:rPr>
                <w:spacing w:val="-5"/>
                <w:sz w:val="20"/>
              </w:rPr>
              <w:t xml:space="preserve"> </w:t>
            </w:r>
            <w:r>
              <w:rPr>
                <w:sz w:val="20"/>
              </w:rPr>
              <w:t>NRNC-MECH-</w:t>
            </w:r>
            <w:r>
              <w:rPr>
                <w:spacing w:val="-2"/>
                <w:sz w:val="20"/>
              </w:rPr>
              <w:t>Adiabatic</w:t>
            </w:r>
          </w:p>
          <w:p w:rsidR="00C31389" w:rsidRDefault="00561FBD" w14:paraId="08B509D0" w14:textId="77777777">
            <w:pPr>
              <w:pStyle w:val="TableParagraph"/>
              <w:spacing w:before="0"/>
              <w:ind w:left="202"/>
              <w:rPr>
                <w:sz w:val="20"/>
              </w:rPr>
            </w:pPr>
            <w:r>
              <w:rPr>
                <w:sz w:val="20"/>
              </w:rPr>
              <w:t>Condensers</w:t>
            </w:r>
            <w:r>
              <w:rPr>
                <w:spacing w:val="-4"/>
                <w:sz w:val="20"/>
              </w:rPr>
              <w:t xml:space="preserve"> </w:t>
            </w:r>
            <w:r>
              <w:rPr>
                <w:sz w:val="20"/>
              </w:rPr>
              <w:t>for</w:t>
            </w:r>
            <w:r>
              <w:rPr>
                <w:spacing w:val="-4"/>
                <w:sz w:val="20"/>
              </w:rPr>
              <w:t xml:space="preserve"> </w:t>
            </w:r>
            <w:r>
              <w:rPr>
                <w:spacing w:val="-2"/>
                <w:sz w:val="20"/>
              </w:rPr>
              <w:t>Refrigeration</w:t>
            </w:r>
          </w:p>
        </w:tc>
        <w:tc>
          <w:tcPr>
            <w:tcW w:w="1222" w:type="dxa"/>
            <w:tcBorders>
              <w:top w:val="single" w:color="D9D9D9" w:sz="2" w:space="0"/>
              <w:bottom w:val="single" w:color="D9D9D9" w:sz="2" w:space="0"/>
            </w:tcBorders>
          </w:tcPr>
          <w:p w:rsidR="00C31389" w:rsidRDefault="00561FBD" w14:paraId="244625FD" w14:textId="77777777">
            <w:pPr>
              <w:pStyle w:val="TableParagraph"/>
              <w:spacing w:before="155"/>
              <w:ind w:left="366"/>
              <w:rPr>
                <w:sz w:val="20"/>
              </w:rPr>
            </w:pPr>
            <w:r>
              <w:rPr>
                <w:spacing w:val="-5"/>
                <w:sz w:val="20"/>
              </w:rPr>
              <w:t>85%</w:t>
            </w:r>
          </w:p>
        </w:tc>
        <w:tc>
          <w:tcPr>
            <w:tcW w:w="1368" w:type="dxa"/>
            <w:tcBorders>
              <w:top w:val="single" w:color="D9D9D9" w:sz="2" w:space="0"/>
              <w:bottom w:val="single" w:color="D9D9D9" w:sz="2" w:space="0"/>
            </w:tcBorders>
          </w:tcPr>
          <w:p w:rsidR="00C31389" w:rsidRDefault="00561FBD" w14:paraId="322C21F1"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621EFBE2" w14:textId="77777777">
            <w:pPr>
              <w:pStyle w:val="TableParagraph"/>
              <w:spacing w:before="155"/>
              <w:ind w:left="198" w:right="155"/>
              <w:jc w:val="center"/>
              <w:rPr>
                <w:sz w:val="20"/>
              </w:rPr>
            </w:pPr>
            <w:r>
              <w:rPr>
                <w:spacing w:val="-2"/>
                <w:sz w:val="20"/>
              </w:rPr>
              <w:t>On-the-books</w:t>
            </w:r>
          </w:p>
        </w:tc>
      </w:tr>
      <w:tr w:rsidR="00C31389" w14:paraId="58C49B19" w14:textId="77777777">
        <w:trPr>
          <w:trHeight w:val="539"/>
        </w:trPr>
        <w:tc>
          <w:tcPr>
            <w:tcW w:w="1367" w:type="dxa"/>
            <w:tcBorders>
              <w:top w:val="single" w:color="D9D9D9" w:sz="2" w:space="0"/>
              <w:bottom w:val="single" w:color="D9D9D9" w:sz="2" w:space="0"/>
            </w:tcBorders>
          </w:tcPr>
          <w:p w:rsidR="00C31389" w:rsidRDefault="00561FBD" w14:paraId="18ADA075"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57F175D4" w14:textId="77777777">
            <w:pPr>
              <w:pStyle w:val="TableParagraph"/>
              <w:ind w:left="202"/>
              <w:rPr>
                <w:sz w:val="20"/>
              </w:rPr>
            </w:pPr>
            <w:r>
              <w:rPr>
                <w:sz w:val="20"/>
              </w:rPr>
              <w:t>2019</w:t>
            </w:r>
            <w:r>
              <w:rPr>
                <w:spacing w:val="-6"/>
                <w:sz w:val="20"/>
              </w:rPr>
              <w:t xml:space="preserve"> </w:t>
            </w:r>
            <w:r>
              <w:rPr>
                <w:sz w:val="20"/>
              </w:rPr>
              <w:t>T-24:</w:t>
            </w:r>
            <w:r>
              <w:rPr>
                <w:spacing w:val="-5"/>
                <w:sz w:val="20"/>
              </w:rPr>
              <w:t xml:space="preserve"> </w:t>
            </w:r>
            <w:r>
              <w:rPr>
                <w:sz w:val="20"/>
              </w:rPr>
              <w:t>NRNC-MECH-</w:t>
            </w:r>
            <w:r>
              <w:rPr>
                <w:spacing w:val="-2"/>
                <w:sz w:val="20"/>
              </w:rPr>
              <w:t>ASHRAE</w:t>
            </w:r>
          </w:p>
          <w:p w:rsidR="00C31389" w:rsidRDefault="00561FBD" w14:paraId="6542313C" w14:textId="77777777">
            <w:pPr>
              <w:pStyle w:val="TableParagraph"/>
              <w:spacing w:before="0"/>
              <w:ind w:left="202"/>
              <w:rPr>
                <w:sz w:val="20"/>
              </w:rPr>
            </w:pPr>
            <w:r>
              <w:rPr>
                <w:spacing w:val="-4"/>
                <w:sz w:val="20"/>
              </w:rPr>
              <w:t>90.1</w:t>
            </w:r>
          </w:p>
        </w:tc>
        <w:tc>
          <w:tcPr>
            <w:tcW w:w="1222" w:type="dxa"/>
            <w:tcBorders>
              <w:top w:val="single" w:color="D9D9D9" w:sz="2" w:space="0"/>
              <w:bottom w:val="single" w:color="D9D9D9" w:sz="2" w:space="0"/>
            </w:tcBorders>
          </w:tcPr>
          <w:p w:rsidR="00C31389" w:rsidRDefault="00561FBD" w14:paraId="3767C83A"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23793575"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7C04A1EA" w14:textId="77777777">
            <w:pPr>
              <w:pStyle w:val="TableParagraph"/>
              <w:spacing w:before="155"/>
              <w:ind w:left="198" w:right="155"/>
              <w:jc w:val="center"/>
              <w:rPr>
                <w:sz w:val="20"/>
              </w:rPr>
            </w:pPr>
            <w:r>
              <w:rPr>
                <w:spacing w:val="-2"/>
                <w:sz w:val="20"/>
              </w:rPr>
              <w:t>On-the-books</w:t>
            </w:r>
          </w:p>
        </w:tc>
      </w:tr>
      <w:tr w:rsidR="00C31389" w14:paraId="748F70E9" w14:textId="77777777">
        <w:trPr>
          <w:trHeight w:val="540"/>
        </w:trPr>
        <w:tc>
          <w:tcPr>
            <w:tcW w:w="1367" w:type="dxa"/>
            <w:tcBorders>
              <w:top w:val="single" w:color="D9D9D9" w:sz="2" w:space="0"/>
              <w:bottom w:val="single" w:color="D9D9D9" w:sz="2" w:space="0"/>
            </w:tcBorders>
          </w:tcPr>
          <w:p w:rsidR="00C31389" w:rsidRDefault="00561FBD" w14:paraId="097EE920"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64C21856" w14:textId="77777777">
            <w:pPr>
              <w:pStyle w:val="TableParagraph"/>
              <w:spacing w:before="41"/>
              <w:ind w:left="202"/>
              <w:rPr>
                <w:sz w:val="20"/>
              </w:rPr>
            </w:pPr>
            <w:r>
              <w:rPr>
                <w:sz w:val="20"/>
              </w:rPr>
              <w:t>2019</w:t>
            </w:r>
            <w:r>
              <w:rPr>
                <w:spacing w:val="-6"/>
                <w:sz w:val="20"/>
              </w:rPr>
              <w:t xml:space="preserve"> </w:t>
            </w:r>
            <w:r>
              <w:rPr>
                <w:sz w:val="20"/>
              </w:rPr>
              <w:t>T-24:</w:t>
            </w:r>
            <w:r>
              <w:rPr>
                <w:spacing w:val="-5"/>
                <w:sz w:val="20"/>
              </w:rPr>
              <w:t xml:space="preserve"> </w:t>
            </w:r>
            <w:r>
              <w:rPr>
                <w:sz w:val="20"/>
              </w:rPr>
              <w:t>NRNC-MECH-</w:t>
            </w:r>
            <w:r>
              <w:rPr>
                <w:spacing w:val="-2"/>
                <w:sz w:val="20"/>
              </w:rPr>
              <w:t>Cooling</w:t>
            </w:r>
          </w:p>
          <w:p w:rsidR="00C31389" w:rsidRDefault="00561FBD" w14:paraId="052C7F6D" w14:textId="77777777">
            <w:pPr>
              <w:pStyle w:val="TableParagraph"/>
              <w:spacing w:before="1"/>
              <w:ind w:left="202"/>
              <w:rPr>
                <w:sz w:val="20"/>
              </w:rPr>
            </w:pPr>
            <w:r>
              <w:rPr>
                <w:spacing w:val="-2"/>
                <w:sz w:val="20"/>
              </w:rPr>
              <w:t>Towers</w:t>
            </w:r>
          </w:p>
        </w:tc>
        <w:tc>
          <w:tcPr>
            <w:tcW w:w="1222" w:type="dxa"/>
            <w:tcBorders>
              <w:top w:val="single" w:color="D9D9D9" w:sz="2" w:space="0"/>
              <w:bottom w:val="single" w:color="D9D9D9" w:sz="2" w:space="0"/>
            </w:tcBorders>
          </w:tcPr>
          <w:p w:rsidR="00C31389" w:rsidRDefault="00561FBD" w14:paraId="17212675" w14:textId="77777777">
            <w:pPr>
              <w:pStyle w:val="TableParagraph"/>
              <w:spacing w:before="155"/>
              <w:ind w:left="366"/>
              <w:rPr>
                <w:sz w:val="20"/>
              </w:rPr>
            </w:pPr>
            <w:r>
              <w:rPr>
                <w:spacing w:val="-5"/>
                <w:sz w:val="20"/>
              </w:rPr>
              <w:t>85%</w:t>
            </w:r>
          </w:p>
        </w:tc>
        <w:tc>
          <w:tcPr>
            <w:tcW w:w="1368" w:type="dxa"/>
            <w:tcBorders>
              <w:top w:val="single" w:color="D9D9D9" w:sz="2" w:space="0"/>
              <w:bottom w:val="single" w:color="D9D9D9" w:sz="2" w:space="0"/>
            </w:tcBorders>
          </w:tcPr>
          <w:p w:rsidR="00C31389" w:rsidRDefault="00561FBD" w14:paraId="6DCD1045"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6EF628FD" w14:textId="77777777">
            <w:pPr>
              <w:pStyle w:val="TableParagraph"/>
              <w:spacing w:before="155"/>
              <w:ind w:left="198" w:right="155"/>
              <w:jc w:val="center"/>
              <w:rPr>
                <w:sz w:val="20"/>
              </w:rPr>
            </w:pPr>
            <w:r>
              <w:rPr>
                <w:spacing w:val="-2"/>
                <w:sz w:val="20"/>
              </w:rPr>
              <w:t>On-the-books</w:t>
            </w:r>
          </w:p>
        </w:tc>
      </w:tr>
      <w:tr w:rsidR="00C31389" w14:paraId="73EBB113" w14:textId="77777777">
        <w:trPr>
          <w:trHeight w:val="539"/>
        </w:trPr>
        <w:tc>
          <w:tcPr>
            <w:tcW w:w="1367" w:type="dxa"/>
            <w:tcBorders>
              <w:top w:val="single" w:color="D9D9D9" w:sz="2" w:space="0"/>
              <w:bottom w:val="single" w:color="D9D9D9" w:sz="2" w:space="0"/>
            </w:tcBorders>
          </w:tcPr>
          <w:p w:rsidR="00C31389" w:rsidRDefault="00561FBD" w14:paraId="3DEB965A"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11F3D057" w14:textId="77777777">
            <w:pPr>
              <w:pStyle w:val="TableParagraph"/>
              <w:ind w:left="202"/>
              <w:rPr>
                <w:sz w:val="20"/>
              </w:rPr>
            </w:pPr>
            <w:r>
              <w:rPr>
                <w:sz w:val="20"/>
              </w:rPr>
              <w:t>2019</w:t>
            </w:r>
            <w:r>
              <w:rPr>
                <w:spacing w:val="-4"/>
                <w:sz w:val="20"/>
              </w:rPr>
              <w:t xml:space="preserve"> </w:t>
            </w:r>
            <w:r>
              <w:rPr>
                <w:sz w:val="20"/>
              </w:rPr>
              <w:t>T-24:</w:t>
            </w:r>
            <w:r>
              <w:rPr>
                <w:spacing w:val="-3"/>
                <w:sz w:val="20"/>
              </w:rPr>
              <w:t xml:space="preserve"> </w:t>
            </w:r>
            <w:r>
              <w:rPr>
                <w:sz w:val="20"/>
              </w:rPr>
              <w:t>NRNC-</w:t>
            </w:r>
            <w:r>
              <w:rPr>
                <w:spacing w:val="-4"/>
                <w:sz w:val="20"/>
              </w:rPr>
              <w:t>MECH-</w:t>
            </w:r>
          </w:p>
          <w:p w:rsidR="00C31389" w:rsidRDefault="00561FBD" w14:paraId="518C64AF" w14:textId="77777777">
            <w:pPr>
              <w:pStyle w:val="TableParagraph"/>
              <w:spacing w:before="0"/>
              <w:ind w:left="202"/>
              <w:rPr>
                <w:sz w:val="20"/>
              </w:rPr>
            </w:pPr>
            <w:r>
              <w:rPr>
                <w:sz w:val="20"/>
              </w:rPr>
              <w:t>Economizer</w:t>
            </w:r>
            <w:r>
              <w:rPr>
                <w:spacing w:val="-8"/>
                <w:sz w:val="20"/>
              </w:rPr>
              <w:t xml:space="preserve"> </w:t>
            </w:r>
            <w:r>
              <w:rPr>
                <w:spacing w:val="-5"/>
                <w:sz w:val="20"/>
              </w:rPr>
              <w:t>FDD</w:t>
            </w:r>
          </w:p>
        </w:tc>
        <w:tc>
          <w:tcPr>
            <w:tcW w:w="1222" w:type="dxa"/>
            <w:tcBorders>
              <w:top w:val="single" w:color="D9D9D9" w:sz="2" w:space="0"/>
              <w:bottom w:val="single" w:color="D9D9D9" w:sz="2" w:space="0"/>
            </w:tcBorders>
          </w:tcPr>
          <w:p w:rsidR="00C31389" w:rsidRDefault="00561FBD" w14:paraId="11FF6791"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0E34DEED"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1D58D4E2" w14:textId="77777777">
            <w:pPr>
              <w:pStyle w:val="TableParagraph"/>
              <w:spacing w:before="155"/>
              <w:ind w:left="198" w:right="155"/>
              <w:jc w:val="center"/>
              <w:rPr>
                <w:sz w:val="20"/>
              </w:rPr>
            </w:pPr>
            <w:r>
              <w:rPr>
                <w:spacing w:val="-2"/>
                <w:sz w:val="20"/>
              </w:rPr>
              <w:t>On-the-books</w:t>
            </w:r>
          </w:p>
        </w:tc>
      </w:tr>
      <w:tr w:rsidR="00C31389" w14:paraId="714B483B" w14:textId="77777777">
        <w:trPr>
          <w:trHeight w:val="539"/>
        </w:trPr>
        <w:tc>
          <w:tcPr>
            <w:tcW w:w="1367" w:type="dxa"/>
            <w:tcBorders>
              <w:top w:val="single" w:color="D9D9D9" w:sz="2" w:space="0"/>
              <w:bottom w:val="single" w:color="D9D9D9" w:sz="2" w:space="0"/>
            </w:tcBorders>
          </w:tcPr>
          <w:p w:rsidR="00C31389" w:rsidRDefault="00561FBD" w14:paraId="33F510FA"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5B991006" w14:textId="77777777">
            <w:pPr>
              <w:pStyle w:val="TableParagraph"/>
              <w:ind w:left="202"/>
              <w:rPr>
                <w:sz w:val="20"/>
              </w:rPr>
            </w:pPr>
            <w:r>
              <w:rPr>
                <w:sz w:val="20"/>
              </w:rPr>
              <w:t>2019</w:t>
            </w:r>
            <w:r>
              <w:rPr>
                <w:spacing w:val="-4"/>
                <w:sz w:val="20"/>
              </w:rPr>
              <w:t xml:space="preserve"> </w:t>
            </w:r>
            <w:r>
              <w:rPr>
                <w:sz w:val="20"/>
              </w:rPr>
              <w:t>T-24:</w:t>
            </w:r>
            <w:r>
              <w:rPr>
                <w:spacing w:val="-4"/>
                <w:sz w:val="20"/>
              </w:rPr>
              <w:t xml:space="preserve"> </w:t>
            </w:r>
            <w:r>
              <w:rPr>
                <w:sz w:val="20"/>
              </w:rPr>
              <w:t>NRNC-MECH-HE</w:t>
            </w:r>
            <w:r>
              <w:rPr>
                <w:spacing w:val="-4"/>
                <w:sz w:val="20"/>
              </w:rPr>
              <w:t xml:space="preserve"> Fume</w:t>
            </w:r>
          </w:p>
          <w:p w:rsidR="00C31389" w:rsidRDefault="00561FBD" w14:paraId="1A08A1C8" w14:textId="77777777">
            <w:pPr>
              <w:pStyle w:val="TableParagraph"/>
              <w:spacing w:before="0"/>
              <w:ind w:left="202"/>
              <w:rPr>
                <w:sz w:val="20"/>
              </w:rPr>
            </w:pPr>
            <w:r>
              <w:rPr>
                <w:sz w:val="20"/>
              </w:rPr>
              <w:t>Hoods</w:t>
            </w:r>
            <w:r>
              <w:rPr>
                <w:spacing w:val="-2"/>
                <w:sz w:val="20"/>
              </w:rPr>
              <w:t xml:space="preserve"> </w:t>
            </w:r>
            <w:r>
              <w:rPr>
                <w:sz w:val="20"/>
              </w:rPr>
              <w:t>in</w:t>
            </w:r>
            <w:r>
              <w:rPr>
                <w:spacing w:val="-3"/>
                <w:sz w:val="20"/>
              </w:rPr>
              <w:t xml:space="preserve"> </w:t>
            </w:r>
            <w:r>
              <w:rPr>
                <w:sz w:val="20"/>
              </w:rPr>
              <w:t>Lab</w:t>
            </w:r>
            <w:r>
              <w:rPr>
                <w:spacing w:val="-3"/>
                <w:sz w:val="20"/>
              </w:rPr>
              <w:t xml:space="preserve"> </w:t>
            </w:r>
            <w:r>
              <w:rPr>
                <w:spacing w:val="-2"/>
                <w:sz w:val="20"/>
              </w:rPr>
              <w:t>Spaces</w:t>
            </w:r>
          </w:p>
        </w:tc>
        <w:tc>
          <w:tcPr>
            <w:tcW w:w="1222" w:type="dxa"/>
            <w:tcBorders>
              <w:top w:val="single" w:color="D9D9D9" w:sz="2" w:space="0"/>
              <w:bottom w:val="single" w:color="D9D9D9" w:sz="2" w:space="0"/>
            </w:tcBorders>
          </w:tcPr>
          <w:p w:rsidR="00C31389" w:rsidRDefault="00561FBD" w14:paraId="583322D6" w14:textId="77777777">
            <w:pPr>
              <w:pStyle w:val="TableParagraph"/>
              <w:spacing w:before="155"/>
              <w:ind w:left="366"/>
              <w:rPr>
                <w:sz w:val="20"/>
              </w:rPr>
            </w:pPr>
            <w:r>
              <w:rPr>
                <w:spacing w:val="-5"/>
                <w:sz w:val="20"/>
              </w:rPr>
              <w:t>85%</w:t>
            </w:r>
          </w:p>
        </w:tc>
        <w:tc>
          <w:tcPr>
            <w:tcW w:w="1368" w:type="dxa"/>
            <w:tcBorders>
              <w:top w:val="single" w:color="D9D9D9" w:sz="2" w:space="0"/>
              <w:bottom w:val="single" w:color="D9D9D9" w:sz="2" w:space="0"/>
            </w:tcBorders>
          </w:tcPr>
          <w:p w:rsidR="00C31389" w:rsidRDefault="00561FBD" w14:paraId="3CCC59E3"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06A133C2" w14:textId="77777777">
            <w:pPr>
              <w:pStyle w:val="TableParagraph"/>
              <w:spacing w:before="155"/>
              <w:ind w:left="198" w:right="155"/>
              <w:jc w:val="center"/>
              <w:rPr>
                <w:sz w:val="20"/>
              </w:rPr>
            </w:pPr>
            <w:r>
              <w:rPr>
                <w:spacing w:val="-2"/>
                <w:sz w:val="20"/>
              </w:rPr>
              <w:t>On-the-books</w:t>
            </w:r>
          </w:p>
        </w:tc>
      </w:tr>
      <w:tr w:rsidR="00C31389" w14:paraId="379B0FC9" w14:textId="77777777">
        <w:trPr>
          <w:trHeight w:val="539"/>
        </w:trPr>
        <w:tc>
          <w:tcPr>
            <w:tcW w:w="1367" w:type="dxa"/>
            <w:tcBorders>
              <w:top w:val="single" w:color="D9D9D9" w:sz="2" w:space="0"/>
              <w:bottom w:val="single" w:color="D9D9D9" w:sz="2" w:space="0"/>
            </w:tcBorders>
          </w:tcPr>
          <w:p w:rsidR="00C31389" w:rsidRDefault="00561FBD" w14:paraId="701EE675"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6C7C0D6A" w14:textId="77777777">
            <w:pPr>
              <w:pStyle w:val="TableParagraph"/>
              <w:ind w:left="202"/>
              <w:rPr>
                <w:sz w:val="20"/>
              </w:rPr>
            </w:pPr>
            <w:r>
              <w:rPr>
                <w:sz w:val="20"/>
              </w:rPr>
              <w:t>2019</w:t>
            </w:r>
            <w:r>
              <w:rPr>
                <w:spacing w:val="-6"/>
                <w:sz w:val="20"/>
              </w:rPr>
              <w:t xml:space="preserve"> </w:t>
            </w:r>
            <w:r>
              <w:rPr>
                <w:sz w:val="20"/>
              </w:rPr>
              <w:t>T-24:</w:t>
            </w:r>
            <w:r>
              <w:rPr>
                <w:spacing w:val="-5"/>
                <w:sz w:val="20"/>
              </w:rPr>
              <w:t xml:space="preserve"> </w:t>
            </w:r>
            <w:r>
              <w:rPr>
                <w:sz w:val="20"/>
              </w:rPr>
              <w:t>NRNC-MECH-</w:t>
            </w:r>
            <w:r>
              <w:rPr>
                <w:spacing w:val="-2"/>
                <w:sz w:val="20"/>
              </w:rPr>
              <w:t>Variable</w:t>
            </w:r>
          </w:p>
          <w:p w:rsidR="00C31389" w:rsidRDefault="00561FBD" w14:paraId="6E1B7F89" w14:textId="77777777">
            <w:pPr>
              <w:pStyle w:val="TableParagraph"/>
              <w:spacing w:before="0"/>
              <w:ind w:left="202"/>
              <w:rPr>
                <w:sz w:val="20"/>
              </w:rPr>
            </w:pPr>
            <w:r>
              <w:rPr>
                <w:sz w:val="20"/>
              </w:rPr>
              <w:t>Exhaust</w:t>
            </w:r>
            <w:r>
              <w:rPr>
                <w:spacing w:val="-5"/>
                <w:sz w:val="20"/>
              </w:rPr>
              <w:t xml:space="preserve"> </w:t>
            </w:r>
            <w:r>
              <w:rPr>
                <w:sz w:val="20"/>
              </w:rPr>
              <w:t>Flow</w:t>
            </w:r>
            <w:r>
              <w:rPr>
                <w:spacing w:val="-4"/>
                <w:sz w:val="20"/>
              </w:rPr>
              <w:t xml:space="preserve"> </w:t>
            </w:r>
            <w:r>
              <w:rPr>
                <w:spacing w:val="-2"/>
                <w:sz w:val="20"/>
              </w:rPr>
              <w:t>Control</w:t>
            </w:r>
          </w:p>
        </w:tc>
        <w:tc>
          <w:tcPr>
            <w:tcW w:w="1222" w:type="dxa"/>
            <w:tcBorders>
              <w:top w:val="single" w:color="D9D9D9" w:sz="2" w:space="0"/>
              <w:bottom w:val="single" w:color="D9D9D9" w:sz="2" w:space="0"/>
            </w:tcBorders>
          </w:tcPr>
          <w:p w:rsidR="00C31389" w:rsidRDefault="00561FBD" w14:paraId="2FF8977E"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6ED885D3"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0392F3AE" w14:textId="77777777">
            <w:pPr>
              <w:pStyle w:val="TableParagraph"/>
              <w:spacing w:before="155"/>
              <w:ind w:left="198" w:right="155"/>
              <w:jc w:val="center"/>
              <w:rPr>
                <w:sz w:val="20"/>
              </w:rPr>
            </w:pPr>
            <w:r>
              <w:rPr>
                <w:spacing w:val="-2"/>
                <w:sz w:val="20"/>
              </w:rPr>
              <w:t>On-the-books</w:t>
            </w:r>
          </w:p>
        </w:tc>
      </w:tr>
      <w:tr w:rsidR="00C31389" w14:paraId="67CE42A0" w14:textId="77777777">
        <w:trPr>
          <w:trHeight w:val="539"/>
        </w:trPr>
        <w:tc>
          <w:tcPr>
            <w:tcW w:w="1367" w:type="dxa"/>
            <w:tcBorders>
              <w:top w:val="single" w:color="D9D9D9" w:sz="2" w:space="0"/>
              <w:bottom w:val="single" w:color="D9D9D9" w:sz="2" w:space="0"/>
            </w:tcBorders>
          </w:tcPr>
          <w:p w:rsidR="00C31389" w:rsidRDefault="00561FBD" w14:paraId="52B966FD"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2DB0D100" w14:textId="77777777">
            <w:pPr>
              <w:pStyle w:val="TableParagraph"/>
              <w:ind w:left="202" w:right="311"/>
              <w:rPr>
                <w:sz w:val="20"/>
              </w:rPr>
            </w:pPr>
            <w:r>
              <w:rPr>
                <w:sz w:val="20"/>
              </w:rPr>
              <w:t>2019</w:t>
            </w:r>
            <w:r>
              <w:rPr>
                <w:spacing w:val="-14"/>
                <w:sz w:val="20"/>
              </w:rPr>
              <w:t xml:space="preserve"> </w:t>
            </w:r>
            <w:r>
              <w:rPr>
                <w:sz w:val="20"/>
              </w:rPr>
              <w:t>T-24:</w:t>
            </w:r>
            <w:r>
              <w:rPr>
                <w:spacing w:val="-14"/>
                <w:sz w:val="20"/>
              </w:rPr>
              <w:t xml:space="preserve"> </w:t>
            </w:r>
            <w:r>
              <w:rPr>
                <w:sz w:val="20"/>
              </w:rPr>
              <w:t>NRNC-MECH-Ventilation &amp; IAQ</w:t>
            </w:r>
          </w:p>
        </w:tc>
        <w:tc>
          <w:tcPr>
            <w:tcW w:w="1222" w:type="dxa"/>
            <w:tcBorders>
              <w:top w:val="single" w:color="D9D9D9" w:sz="2" w:space="0"/>
              <w:bottom w:val="single" w:color="D9D9D9" w:sz="2" w:space="0"/>
            </w:tcBorders>
          </w:tcPr>
          <w:p w:rsidR="00C31389" w:rsidRDefault="00561FBD" w14:paraId="734EC5B6" w14:textId="77777777">
            <w:pPr>
              <w:pStyle w:val="TableParagraph"/>
              <w:spacing w:before="155"/>
              <w:ind w:left="366"/>
              <w:rPr>
                <w:sz w:val="20"/>
              </w:rPr>
            </w:pPr>
            <w:r>
              <w:rPr>
                <w:spacing w:val="-5"/>
                <w:sz w:val="20"/>
              </w:rPr>
              <w:t>85%</w:t>
            </w:r>
          </w:p>
        </w:tc>
        <w:tc>
          <w:tcPr>
            <w:tcW w:w="1368" w:type="dxa"/>
            <w:tcBorders>
              <w:top w:val="single" w:color="D9D9D9" w:sz="2" w:space="0"/>
              <w:bottom w:val="single" w:color="D9D9D9" w:sz="2" w:space="0"/>
            </w:tcBorders>
          </w:tcPr>
          <w:p w:rsidR="00C31389" w:rsidRDefault="00561FBD" w14:paraId="3003D9B8"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1EC43266" w14:textId="77777777">
            <w:pPr>
              <w:pStyle w:val="TableParagraph"/>
              <w:spacing w:before="155"/>
              <w:ind w:left="198" w:right="155"/>
              <w:jc w:val="center"/>
              <w:rPr>
                <w:sz w:val="20"/>
              </w:rPr>
            </w:pPr>
            <w:r>
              <w:rPr>
                <w:spacing w:val="-2"/>
                <w:sz w:val="20"/>
              </w:rPr>
              <w:t>On-the-books</w:t>
            </w:r>
          </w:p>
        </w:tc>
      </w:tr>
      <w:tr w:rsidR="00C31389" w14:paraId="6C972F56" w14:textId="77777777">
        <w:trPr>
          <w:trHeight w:val="539"/>
        </w:trPr>
        <w:tc>
          <w:tcPr>
            <w:tcW w:w="1367" w:type="dxa"/>
            <w:tcBorders>
              <w:top w:val="single" w:color="D9D9D9" w:sz="2" w:space="0"/>
              <w:bottom w:val="single" w:color="D9D9D9" w:sz="2" w:space="0"/>
            </w:tcBorders>
          </w:tcPr>
          <w:p w:rsidR="00C31389" w:rsidRDefault="00561FBD" w14:paraId="6EDEF094"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79C052A7" w14:textId="77777777">
            <w:pPr>
              <w:pStyle w:val="TableParagraph"/>
              <w:ind w:left="202"/>
              <w:rPr>
                <w:sz w:val="20"/>
              </w:rPr>
            </w:pPr>
            <w:r>
              <w:rPr>
                <w:sz w:val="20"/>
              </w:rPr>
              <w:t>2019</w:t>
            </w:r>
            <w:r>
              <w:rPr>
                <w:spacing w:val="-14"/>
                <w:sz w:val="20"/>
              </w:rPr>
              <w:t xml:space="preserve"> </w:t>
            </w:r>
            <w:r>
              <w:rPr>
                <w:sz w:val="20"/>
              </w:rPr>
              <w:t>T-24:</w:t>
            </w:r>
            <w:r>
              <w:rPr>
                <w:spacing w:val="-14"/>
                <w:sz w:val="20"/>
              </w:rPr>
              <w:t xml:space="preserve"> </w:t>
            </w:r>
            <w:r>
              <w:rPr>
                <w:sz w:val="20"/>
              </w:rPr>
              <w:t>RNC(SF)-Envelope-High Performance Attics</w:t>
            </w:r>
          </w:p>
        </w:tc>
        <w:tc>
          <w:tcPr>
            <w:tcW w:w="1222" w:type="dxa"/>
            <w:tcBorders>
              <w:top w:val="single" w:color="D9D9D9" w:sz="2" w:space="0"/>
              <w:bottom w:val="single" w:color="D9D9D9" w:sz="2" w:space="0"/>
            </w:tcBorders>
          </w:tcPr>
          <w:p w:rsidR="00C31389" w:rsidRDefault="00561FBD" w14:paraId="622FB84B"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5BBDF72D"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21C062B3" w14:textId="77777777">
            <w:pPr>
              <w:pStyle w:val="TableParagraph"/>
              <w:spacing w:before="155"/>
              <w:ind w:left="198" w:right="155"/>
              <w:jc w:val="center"/>
              <w:rPr>
                <w:sz w:val="20"/>
              </w:rPr>
            </w:pPr>
            <w:r>
              <w:rPr>
                <w:spacing w:val="-2"/>
                <w:sz w:val="20"/>
              </w:rPr>
              <w:t>On-the-books</w:t>
            </w:r>
          </w:p>
        </w:tc>
      </w:tr>
      <w:tr w:rsidR="00C31389" w14:paraId="755BF3A0" w14:textId="77777777">
        <w:trPr>
          <w:trHeight w:val="539"/>
        </w:trPr>
        <w:tc>
          <w:tcPr>
            <w:tcW w:w="1367" w:type="dxa"/>
            <w:tcBorders>
              <w:top w:val="single" w:color="D9D9D9" w:sz="2" w:space="0"/>
              <w:bottom w:val="single" w:color="D9D9D9" w:sz="2" w:space="0"/>
            </w:tcBorders>
          </w:tcPr>
          <w:p w:rsidR="00C31389" w:rsidRDefault="00561FBD" w14:paraId="7EFFECED"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3B313583" w14:textId="77777777">
            <w:pPr>
              <w:pStyle w:val="TableParagraph"/>
              <w:ind w:left="202"/>
              <w:rPr>
                <w:sz w:val="20"/>
              </w:rPr>
            </w:pPr>
            <w:r>
              <w:rPr>
                <w:sz w:val="20"/>
              </w:rPr>
              <w:t>2019</w:t>
            </w:r>
            <w:r>
              <w:rPr>
                <w:spacing w:val="-14"/>
                <w:sz w:val="20"/>
              </w:rPr>
              <w:t xml:space="preserve"> </w:t>
            </w:r>
            <w:r>
              <w:rPr>
                <w:sz w:val="20"/>
              </w:rPr>
              <w:t>T-24:</w:t>
            </w:r>
            <w:r>
              <w:rPr>
                <w:spacing w:val="-14"/>
                <w:sz w:val="20"/>
              </w:rPr>
              <w:t xml:space="preserve"> </w:t>
            </w:r>
            <w:r>
              <w:rPr>
                <w:sz w:val="20"/>
              </w:rPr>
              <w:t>RNC(SF)-Envelope-High Performance Walls</w:t>
            </w:r>
          </w:p>
        </w:tc>
        <w:tc>
          <w:tcPr>
            <w:tcW w:w="1222" w:type="dxa"/>
            <w:tcBorders>
              <w:top w:val="single" w:color="D9D9D9" w:sz="2" w:space="0"/>
              <w:bottom w:val="single" w:color="D9D9D9" w:sz="2" w:space="0"/>
            </w:tcBorders>
          </w:tcPr>
          <w:p w:rsidR="00C31389" w:rsidRDefault="00561FBD" w14:paraId="69DEAE57"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1ED331F3"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272FF1CC" w14:textId="77777777">
            <w:pPr>
              <w:pStyle w:val="TableParagraph"/>
              <w:spacing w:before="155"/>
              <w:ind w:left="198" w:right="155"/>
              <w:jc w:val="center"/>
              <w:rPr>
                <w:sz w:val="20"/>
              </w:rPr>
            </w:pPr>
            <w:r>
              <w:rPr>
                <w:spacing w:val="-2"/>
                <w:sz w:val="20"/>
              </w:rPr>
              <w:t>On-the-books</w:t>
            </w:r>
          </w:p>
        </w:tc>
      </w:tr>
      <w:tr w:rsidR="00C31389" w14:paraId="3A325461" w14:textId="77777777">
        <w:trPr>
          <w:trHeight w:val="310"/>
        </w:trPr>
        <w:tc>
          <w:tcPr>
            <w:tcW w:w="1367" w:type="dxa"/>
            <w:tcBorders>
              <w:top w:val="single" w:color="D9D9D9" w:sz="2" w:space="0"/>
              <w:bottom w:val="single" w:color="D9D9D9" w:sz="2" w:space="0"/>
            </w:tcBorders>
          </w:tcPr>
          <w:p w:rsidR="00C31389" w:rsidRDefault="00561FBD" w14:paraId="639E3D21" w14:textId="77777777">
            <w:pPr>
              <w:pStyle w:val="TableParagraph"/>
              <w:spacing w:before="41"/>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489C0C81" w14:textId="77777777">
            <w:pPr>
              <w:pStyle w:val="TableParagraph"/>
              <w:spacing w:before="41"/>
              <w:ind w:left="202"/>
              <w:rPr>
                <w:sz w:val="20"/>
              </w:rPr>
            </w:pPr>
            <w:r>
              <w:rPr>
                <w:sz w:val="20"/>
              </w:rPr>
              <w:t>2019</w:t>
            </w:r>
            <w:r>
              <w:rPr>
                <w:spacing w:val="-7"/>
                <w:sz w:val="20"/>
              </w:rPr>
              <w:t xml:space="preserve"> </w:t>
            </w:r>
            <w:r>
              <w:rPr>
                <w:sz w:val="20"/>
              </w:rPr>
              <w:t>T-24:</w:t>
            </w:r>
            <w:r>
              <w:rPr>
                <w:spacing w:val="-7"/>
                <w:sz w:val="20"/>
              </w:rPr>
              <w:t xml:space="preserve"> </w:t>
            </w:r>
            <w:r>
              <w:rPr>
                <w:sz w:val="20"/>
              </w:rPr>
              <w:t>RNC(SF)-Envelope-</w:t>
            </w:r>
            <w:r>
              <w:rPr>
                <w:spacing w:val="-5"/>
                <w:sz w:val="20"/>
              </w:rPr>
              <w:t>QII</w:t>
            </w:r>
          </w:p>
        </w:tc>
        <w:tc>
          <w:tcPr>
            <w:tcW w:w="1222" w:type="dxa"/>
            <w:tcBorders>
              <w:top w:val="single" w:color="D9D9D9" w:sz="2" w:space="0"/>
              <w:bottom w:val="single" w:color="D9D9D9" w:sz="2" w:space="0"/>
            </w:tcBorders>
          </w:tcPr>
          <w:p w:rsidR="00C31389" w:rsidRDefault="00561FBD" w14:paraId="259891D3" w14:textId="77777777">
            <w:pPr>
              <w:pStyle w:val="TableParagraph"/>
              <w:spacing w:before="41"/>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691F00C6" w14:textId="77777777">
            <w:pPr>
              <w:pStyle w:val="TableParagraph"/>
              <w:spacing w:before="41"/>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656DA3D0" w14:textId="77777777">
            <w:pPr>
              <w:pStyle w:val="TableParagraph"/>
              <w:spacing w:before="41"/>
              <w:ind w:left="198" w:right="155"/>
              <w:jc w:val="center"/>
              <w:rPr>
                <w:sz w:val="20"/>
              </w:rPr>
            </w:pPr>
            <w:r>
              <w:rPr>
                <w:spacing w:val="-2"/>
                <w:sz w:val="20"/>
              </w:rPr>
              <w:t>On-the-books</w:t>
            </w:r>
          </w:p>
        </w:tc>
      </w:tr>
      <w:tr w:rsidR="00C31389" w14:paraId="15117C24" w14:textId="77777777">
        <w:trPr>
          <w:trHeight w:val="539"/>
        </w:trPr>
        <w:tc>
          <w:tcPr>
            <w:tcW w:w="1367" w:type="dxa"/>
            <w:tcBorders>
              <w:top w:val="single" w:color="D9D9D9" w:sz="2" w:space="0"/>
              <w:bottom w:val="single" w:color="D9D9D9" w:sz="2" w:space="0"/>
            </w:tcBorders>
          </w:tcPr>
          <w:p w:rsidR="00C31389" w:rsidRDefault="00561FBD" w14:paraId="37DBE3B5"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09BB61C3" w14:textId="77777777">
            <w:pPr>
              <w:pStyle w:val="TableParagraph"/>
              <w:ind w:left="202"/>
              <w:rPr>
                <w:sz w:val="20"/>
              </w:rPr>
            </w:pPr>
            <w:r>
              <w:rPr>
                <w:sz w:val="20"/>
              </w:rPr>
              <w:t>2019</w:t>
            </w:r>
            <w:r>
              <w:rPr>
                <w:spacing w:val="-4"/>
                <w:sz w:val="20"/>
              </w:rPr>
              <w:t xml:space="preserve"> </w:t>
            </w:r>
            <w:r>
              <w:rPr>
                <w:sz w:val="20"/>
              </w:rPr>
              <w:t>T-24:</w:t>
            </w:r>
            <w:r>
              <w:rPr>
                <w:spacing w:val="-4"/>
                <w:sz w:val="20"/>
              </w:rPr>
              <w:t xml:space="preserve"> </w:t>
            </w:r>
            <w:r>
              <w:rPr>
                <w:sz w:val="20"/>
              </w:rPr>
              <w:t>RNC(SF)-</w:t>
            </w:r>
            <w:r>
              <w:rPr>
                <w:spacing w:val="-2"/>
                <w:sz w:val="20"/>
              </w:rPr>
              <w:t>Envelope-</w:t>
            </w:r>
          </w:p>
          <w:p w:rsidR="00C31389" w:rsidRDefault="00561FBD" w14:paraId="74A2227F" w14:textId="77777777">
            <w:pPr>
              <w:pStyle w:val="TableParagraph"/>
              <w:spacing w:before="0"/>
              <w:ind w:left="202"/>
              <w:rPr>
                <w:sz w:val="20"/>
              </w:rPr>
            </w:pPr>
            <w:r>
              <w:rPr>
                <w:sz w:val="20"/>
              </w:rPr>
              <w:t>Windows</w:t>
            </w:r>
            <w:r>
              <w:rPr>
                <w:spacing w:val="-4"/>
                <w:sz w:val="20"/>
              </w:rPr>
              <w:t xml:space="preserve"> </w:t>
            </w:r>
            <w:r>
              <w:rPr>
                <w:sz w:val="20"/>
              </w:rPr>
              <w:t>and</w:t>
            </w:r>
            <w:r>
              <w:rPr>
                <w:spacing w:val="-4"/>
                <w:sz w:val="20"/>
              </w:rPr>
              <w:t xml:space="preserve"> Doors</w:t>
            </w:r>
          </w:p>
        </w:tc>
        <w:tc>
          <w:tcPr>
            <w:tcW w:w="1222" w:type="dxa"/>
            <w:tcBorders>
              <w:top w:val="single" w:color="D9D9D9" w:sz="2" w:space="0"/>
              <w:bottom w:val="single" w:color="D9D9D9" w:sz="2" w:space="0"/>
            </w:tcBorders>
          </w:tcPr>
          <w:p w:rsidR="00C31389" w:rsidRDefault="00561FBD" w14:paraId="0B1245DF"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570F267F"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7B44AF99" w14:textId="77777777">
            <w:pPr>
              <w:pStyle w:val="TableParagraph"/>
              <w:spacing w:before="155"/>
              <w:ind w:left="198" w:right="155"/>
              <w:jc w:val="center"/>
              <w:rPr>
                <w:sz w:val="20"/>
              </w:rPr>
            </w:pPr>
            <w:r>
              <w:rPr>
                <w:spacing w:val="-2"/>
                <w:sz w:val="20"/>
              </w:rPr>
              <w:t>On-the-books</w:t>
            </w:r>
          </w:p>
        </w:tc>
      </w:tr>
      <w:tr w:rsidR="00C31389" w14:paraId="00F8A535" w14:textId="77777777">
        <w:trPr>
          <w:trHeight w:val="539"/>
        </w:trPr>
        <w:tc>
          <w:tcPr>
            <w:tcW w:w="1367" w:type="dxa"/>
            <w:tcBorders>
              <w:top w:val="single" w:color="D9D9D9" w:sz="2" w:space="0"/>
              <w:bottom w:val="single" w:color="D9D9D9" w:sz="2" w:space="0"/>
            </w:tcBorders>
          </w:tcPr>
          <w:p w:rsidR="00C31389" w:rsidRDefault="00561FBD" w14:paraId="5AD438C8"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1A934A58" w14:textId="77777777">
            <w:pPr>
              <w:pStyle w:val="TableParagraph"/>
              <w:ind w:left="202"/>
              <w:rPr>
                <w:sz w:val="20"/>
              </w:rPr>
            </w:pPr>
            <w:r>
              <w:rPr>
                <w:sz w:val="20"/>
              </w:rPr>
              <w:t>2019</w:t>
            </w:r>
            <w:r>
              <w:rPr>
                <w:spacing w:val="-14"/>
                <w:sz w:val="20"/>
              </w:rPr>
              <w:t xml:space="preserve"> </w:t>
            </w:r>
            <w:r>
              <w:rPr>
                <w:sz w:val="20"/>
              </w:rPr>
              <w:t>T-24:</w:t>
            </w:r>
            <w:r>
              <w:rPr>
                <w:spacing w:val="-14"/>
                <w:sz w:val="20"/>
              </w:rPr>
              <w:t xml:space="preserve"> </w:t>
            </w:r>
            <w:r>
              <w:rPr>
                <w:sz w:val="20"/>
              </w:rPr>
              <w:t xml:space="preserve">RNC(SF)-MECH-Quality </w:t>
            </w:r>
            <w:r>
              <w:rPr>
                <w:spacing w:val="-4"/>
                <w:sz w:val="20"/>
              </w:rPr>
              <w:t>HVAC</w:t>
            </w:r>
          </w:p>
        </w:tc>
        <w:tc>
          <w:tcPr>
            <w:tcW w:w="1222" w:type="dxa"/>
            <w:tcBorders>
              <w:top w:val="single" w:color="D9D9D9" w:sz="2" w:space="0"/>
              <w:bottom w:val="single" w:color="D9D9D9" w:sz="2" w:space="0"/>
            </w:tcBorders>
          </w:tcPr>
          <w:p w:rsidR="00C31389" w:rsidRDefault="00561FBD" w14:paraId="1F97C4D9" w14:textId="77777777">
            <w:pPr>
              <w:pStyle w:val="TableParagraph"/>
              <w:spacing w:before="155"/>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1C67791F"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489E6E42" w14:textId="77777777">
            <w:pPr>
              <w:pStyle w:val="TableParagraph"/>
              <w:spacing w:before="155"/>
              <w:ind w:left="198" w:right="155"/>
              <w:jc w:val="center"/>
              <w:rPr>
                <w:sz w:val="20"/>
              </w:rPr>
            </w:pPr>
            <w:r>
              <w:rPr>
                <w:spacing w:val="-2"/>
                <w:sz w:val="20"/>
              </w:rPr>
              <w:t>On-the-books</w:t>
            </w:r>
          </w:p>
        </w:tc>
      </w:tr>
      <w:tr w:rsidR="00C31389" w14:paraId="6225CC7D" w14:textId="77777777">
        <w:trPr>
          <w:trHeight w:val="539"/>
        </w:trPr>
        <w:tc>
          <w:tcPr>
            <w:tcW w:w="1367" w:type="dxa"/>
            <w:tcBorders>
              <w:top w:val="single" w:color="D9D9D9" w:sz="2" w:space="0"/>
              <w:bottom w:val="single" w:color="D9D9D9" w:sz="2" w:space="0"/>
            </w:tcBorders>
          </w:tcPr>
          <w:p w:rsidR="00C31389" w:rsidRDefault="00561FBD" w14:paraId="5DE6A3D1"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7427604A" w14:textId="77777777">
            <w:pPr>
              <w:pStyle w:val="TableParagraph"/>
              <w:ind w:left="202"/>
              <w:rPr>
                <w:sz w:val="20"/>
              </w:rPr>
            </w:pPr>
            <w:r>
              <w:rPr>
                <w:sz w:val="20"/>
              </w:rPr>
              <w:t>2019</w:t>
            </w:r>
            <w:r>
              <w:rPr>
                <w:spacing w:val="-14"/>
                <w:sz w:val="20"/>
              </w:rPr>
              <w:t xml:space="preserve"> </w:t>
            </w:r>
            <w:r>
              <w:rPr>
                <w:sz w:val="20"/>
              </w:rPr>
              <w:t>T-24:</w:t>
            </w:r>
            <w:r>
              <w:rPr>
                <w:spacing w:val="-14"/>
                <w:sz w:val="20"/>
              </w:rPr>
              <w:t xml:space="preserve"> </w:t>
            </w:r>
            <w:r>
              <w:rPr>
                <w:sz w:val="20"/>
              </w:rPr>
              <w:t>RNC(MF)-Envelope-High Performance Attics</w:t>
            </w:r>
          </w:p>
        </w:tc>
        <w:tc>
          <w:tcPr>
            <w:tcW w:w="1222" w:type="dxa"/>
            <w:tcBorders>
              <w:top w:val="single" w:color="D9D9D9" w:sz="2" w:space="0"/>
              <w:bottom w:val="single" w:color="D9D9D9" w:sz="2" w:space="0"/>
            </w:tcBorders>
          </w:tcPr>
          <w:p w:rsidR="00C31389" w:rsidRDefault="00561FBD" w14:paraId="25A5FA9C" w14:textId="77777777">
            <w:pPr>
              <w:pStyle w:val="TableParagraph"/>
              <w:spacing w:before="155"/>
              <w:ind w:left="366"/>
              <w:rPr>
                <w:sz w:val="20"/>
              </w:rPr>
            </w:pPr>
            <w:r>
              <w:rPr>
                <w:spacing w:val="-5"/>
                <w:sz w:val="20"/>
              </w:rPr>
              <w:t>85%</w:t>
            </w:r>
          </w:p>
        </w:tc>
        <w:tc>
          <w:tcPr>
            <w:tcW w:w="1368" w:type="dxa"/>
            <w:tcBorders>
              <w:top w:val="single" w:color="D9D9D9" w:sz="2" w:space="0"/>
              <w:bottom w:val="single" w:color="D9D9D9" w:sz="2" w:space="0"/>
            </w:tcBorders>
          </w:tcPr>
          <w:p w:rsidR="00C31389" w:rsidRDefault="00561FBD" w14:paraId="6B8BF2BC"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72EBFBBF" w14:textId="77777777">
            <w:pPr>
              <w:pStyle w:val="TableParagraph"/>
              <w:spacing w:before="155"/>
              <w:ind w:left="198" w:right="155"/>
              <w:jc w:val="center"/>
              <w:rPr>
                <w:sz w:val="20"/>
              </w:rPr>
            </w:pPr>
            <w:r>
              <w:rPr>
                <w:spacing w:val="-2"/>
                <w:sz w:val="20"/>
              </w:rPr>
              <w:t>On-the-books</w:t>
            </w:r>
          </w:p>
        </w:tc>
      </w:tr>
      <w:tr w:rsidR="00C31389" w14:paraId="73F32392" w14:textId="77777777">
        <w:trPr>
          <w:trHeight w:val="310"/>
        </w:trPr>
        <w:tc>
          <w:tcPr>
            <w:tcW w:w="1367" w:type="dxa"/>
            <w:tcBorders>
              <w:top w:val="single" w:color="D9D9D9" w:sz="2" w:space="0"/>
              <w:bottom w:val="single" w:color="D9D9D9" w:sz="2" w:space="0"/>
            </w:tcBorders>
          </w:tcPr>
          <w:p w:rsidR="00C31389" w:rsidRDefault="00561FBD" w14:paraId="5F22CC39" w14:textId="77777777">
            <w:pPr>
              <w:pStyle w:val="TableParagraph"/>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5501875D" w14:textId="77777777">
            <w:pPr>
              <w:pStyle w:val="TableParagraph"/>
              <w:ind w:left="202"/>
              <w:rPr>
                <w:sz w:val="20"/>
              </w:rPr>
            </w:pPr>
            <w:r>
              <w:rPr>
                <w:sz w:val="20"/>
              </w:rPr>
              <w:t>2019</w:t>
            </w:r>
            <w:r>
              <w:rPr>
                <w:spacing w:val="-8"/>
                <w:sz w:val="20"/>
              </w:rPr>
              <w:t xml:space="preserve"> </w:t>
            </w:r>
            <w:r>
              <w:rPr>
                <w:sz w:val="20"/>
              </w:rPr>
              <w:t>T-24:</w:t>
            </w:r>
            <w:r>
              <w:rPr>
                <w:spacing w:val="-8"/>
                <w:sz w:val="20"/>
              </w:rPr>
              <w:t xml:space="preserve"> </w:t>
            </w:r>
            <w:r>
              <w:rPr>
                <w:sz w:val="20"/>
              </w:rPr>
              <w:t>RNC(MF)-Envelope-</w:t>
            </w:r>
            <w:r>
              <w:rPr>
                <w:spacing w:val="-5"/>
                <w:sz w:val="20"/>
              </w:rPr>
              <w:t>QII</w:t>
            </w:r>
          </w:p>
        </w:tc>
        <w:tc>
          <w:tcPr>
            <w:tcW w:w="1222" w:type="dxa"/>
            <w:tcBorders>
              <w:top w:val="single" w:color="D9D9D9" w:sz="2" w:space="0"/>
              <w:bottom w:val="single" w:color="D9D9D9" w:sz="2" w:space="0"/>
            </w:tcBorders>
          </w:tcPr>
          <w:p w:rsidR="00C31389" w:rsidRDefault="00561FBD" w14:paraId="36B2E0C3" w14:textId="77777777">
            <w:pPr>
              <w:pStyle w:val="TableParagraph"/>
              <w:ind w:left="367"/>
              <w:rPr>
                <w:sz w:val="20"/>
              </w:rPr>
            </w:pPr>
            <w:r>
              <w:rPr>
                <w:spacing w:val="-5"/>
                <w:sz w:val="20"/>
              </w:rPr>
              <w:t>85%</w:t>
            </w:r>
          </w:p>
        </w:tc>
        <w:tc>
          <w:tcPr>
            <w:tcW w:w="1368" w:type="dxa"/>
            <w:tcBorders>
              <w:top w:val="single" w:color="D9D9D9" w:sz="2" w:space="0"/>
              <w:bottom w:val="single" w:color="D9D9D9" w:sz="2" w:space="0"/>
            </w:tcBorders>
          </w:tcPr>
          <w:p w:rsidR="00C31389" w:rsidRDefault="00561FBD" w14:paraId="07657ADA" w14:textId="77777777">
            <w:pPr>
              <w:pStyle w:val="TableParagraph"/>
              <w:ind w:right="234"/>
              <w:jc w:val="right"/>
              <w:rPr>
                <w:sz w:val="20"/>
              </w:rPr>
            </w:pPr>
            <w:r>
              <w:rPr>
                <w:spacing w:val="-2"/>
                <w:sz w:val="20"/>
              </w:rPr>
              <w:t>10/01/23</w:t>
            </w:r>
          </w:p>
        </w:tc>
        <w:tc>
          <w:tcPr>
            <w:tcW w:w="1581" w:type="dxa"/>
            <w:tcBorders>
              <w:top w:val="single" w:color="D9D9D9" w:sz="2" w:space="0"/>
              <w:bottom w:val="single" w:color="D9D9D9" w:sz="2" w:space="0"/>
            </w:tcBorders>
          </w:tcPr>
          <w:p w:rsidR="00C31389" w:rsidRDefault="00561FBD" w14:paraId="5B26A0C9" w14:textId="77777777">
            <w:pPr>
              <w:pStyle w:val="TableParagraph"/>
              <w:ind w:left="198" w:right="155"/>
              <w:jc w:val="center"/>
              <w:rPr>
                <w:sz w:val="20"/>
              </w:rPr>
            </w:pPr>
            <w:r>
              <w:rPr>
                <w:spacing w:val="-2"/>
                <w:sz w:val="20"/>
              </w:rPr>
              <w:t>On-the-books</w:t>
            </w:r>
          </w:p>
        </w:tc>
      </w:tr>
      <w:tr w:rsidR="00C31389" w14:paraId="41B4F670" w14:textId="77777777">
        <w:trPr>
          <w:trHeight w:val="540"/>
        </w:trPr>
        <w:tc>
          <w:tcPr>
            <w:tcW w:w="1367" w:type="dxa"/>
            <w:tcBorders>
              <w:top w:val="single" w:color="D9D9D9" w:sz="2" w:space="0"/>
              <w:bottom w:val="single" w:color="000000" w:sz="8" w:space="0"/>
            </w:tcBorders>
          </w:tcPr>
          <w:p w:rsidR="00C31389" w:rsidRDefault="00561FBD" w14:paraId="51A88F19"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40" w:type="dxa"/>
            <w:tcBorders>
              <w:top w:val="single" w:color="D9D9D9" w:sz="2" w:space="0"/>
              <w:bottom w:val="single" w:color="000000" w:sz="8" w:space="0"/>
            </w:tcBorders>
          </w:tcPr>
          <w:p w:rsidR="00C31389" w:rsidRDefault="00561FBD" w14:paraId="4A86A40C" w14:textId="77777777">
            <w:pPr>
              <w:pStyle w:val="TableParagraph"/>
              <w:ind w:left="202"/>
              <w:rPr>
                <w:sz w:val="20"/>
              </w:rPr>
            </w:pPr>
            <w:r>
              <w:rPr>
                <w:sz w:val="20"/>
              </w:rPr>
              <w:t>2019</w:t>
            </w:r>
            <w:r>
              <w:rPr>
                <w:spacing w:val="-5"/>
                <w:sz w:val="20"/>
              </w:rPr>
              <w:t xml:space="preserve"> </w:t>
            </w:r>
            <w:r>
              <w:rPr>
                <w:sz w:val="20"/>
              </w:rPr>
              <w:t>T-24:</w:t>
            </w:r>
            <w:r>
              <w:rPr>
                <w:spacing w:val="-4"/>
                <w:sz w:val="20"/>
              </w:rPr>
              <w:t xml:space="preserve"> </w:t>
            </w:r>
            <w:r>
              <w:rPr>
                <w:sz w:val="20"/>
              </w:rPr>
              <w:t>RNC(MF)-</w:t>
            </w:r>
            <w:r>
              <w:rPr>
                <w:spacing w:val="-2"/>
                <w:sz w:val="20"/>
              </w:rPr>
              <w:t>Envelope-</w:t>
            </w:r>
          </w:p>
          <w:p w:rsidR="00C31389" w:rsidRDefault="00561FBD" w14:paraId="2A5044C4" w14:textId="77777777">
            <w:pPr>
              <w:pStyle w:val="TableParagraph"/>
              <w:spacing w:before="0"/>
              <w:ind w:left="202"/>
              <w:rPr>
                <w:sz w:val="20"/>
              </w:rPr>
            </w:pPr>
            <w:r>
              <w:rPr>
                <w:sz w:val="20"/>
              </w:rPr>
              <w:t>Windows</w:t>
            </w:r>
            <w:r>
              <w:rPr>
                <w:spacing w:val="-4"/>
                <w:sz w:val="20"/>
              </w:rPr>
              <w:t xml:space="preserve"> </w:t>
            </w:r>
            <w:r>
              <w:rPr>
                <w:sz w:val="20"/>
              </w:rPr>
              <w:t>and</w:t>
            </w:r>
            <w:r>
              <w:rPr>
                <w:spacing w:val="-4"/>
                <w:sz w:val="20"/>
              </w:rPr>
              <w:t xml:space="preserve"> Doors</w:t>
            </w:r>
          </w:p>
        </w:tc>
        <w:tc>
          <w:tcPr>
            <w:tcW w:w="1222" w:type="dxa"/>
            <w:tcBorders>
              <w:top w:val="single" w:color="D9D9D9" w:sz="2" w:space="0"/>
              <w:bottom w:val="single" w:color="000000" w:sz="8" w:space="0"/>
            </w:tcBorders>
          </w:tcPr>
          <w:p w:rsidR="00C31389" w:rsidRDefault="00561FBD" w14:paraId="646AD5F6" w14:textId="77777777">
            <w:pPr>
              <w:pStyle w:val="TableParagraph"/>
              <w:spacing w:before="155"/>
              <w:ind w:left="367"/>
              <w:rPr>
                <w:sz w:val="20"/>
              </w:rPr>
            </w:pPr>
            <w:r>
              <w:rPr>
                <w:spacing w:val="-5"/>
                <w:sz w:val="20"/>
              </w:rPr>
              <w:t>85%</w:t>
            </w:r>
          </w:p>
        </w:tc>
        <w:tc>
          <w:tcPr>
            <w:tcW w:w="1368" w:type="dxa"/>
            <w:tcBorders>
              <w:top w:val="single" w:color="D9D9D9" w:sz="2" w:space="0"/>
              <w:bottom w:val="single" w:color="000000" w:sz="8" w:space="0"/>
            </w:tcBorders>
          </w:tcPr>
          <w:p w:rsidR="00C31389" w:rsidRDefault="00561FBD" w14:paraId="719F387F" w14:textId="77777777">
            <w:pPr>
              <w:pStyle w:val="TableParagraph"/>
              <w:spacing w:before="155"/>
              <w:ind w:right="234"/>
              <w:jc w:val="right"/>
              <w:rPr>
                <w:sz w:val="20"/>
              </w:rPr>
            </w:pPr>
            <w:r>
              <w:rPr>
                <w:spacing w:val="-2"/>
                <w:sz w:val="20"/>
              </w:rPr>
              <w:t>10/01/23</w:t>
            </w:r>
          </w:p>
        </w:tc>
        <w:tc>
          <w:tcPr>
            <w:tcW w:w="1581" w:type="dxa"/>
            <w:tcBorders>
              <w:top w:val="single" w:color="D9D9D9" w:sz="2" w:space="0"/>
              <w:bottom w:val="single" w:color="000000" w:sz="8" w:space="0"/>
            </w:tcBorders>
          </w:tcPr>
          <w:p w:rsidR="00C31389" w:rsidRDefault="00561FBD" w14:paraId="04476331" w14:textId="77777777">
            <w:pPr>
              <w:pStyle w:val="TableParagraph"/>
              <w:spacing w:before="155"/>
              <w:ind w:left="198" w:right="155"/>
              <w:jc w:val="center"/>
              <w:rPr>
                <w:sz w:val="20"/>
              </w:rPr>
            </w:pPr>
            <w:r>
              <w:rPr>
                <w:spacing w:val="-2"/>
                <w:sz w:val="20"/>
              </w:rPr>
              <w:t>On-the-books</w:t>
            </w:r>
          </w:p>
        </w:tc>
      </w:tr>
    </w:tbl>
    <w:p w:rsidR="00C31389" w:rsidRDefault="00C31389" w14:paraId="565F03E6" w14:textId="77777777">
      <w:pPr>
        <w:jc w:val="center"/>
        <w:rPr>
          <w:sz w:val="20"/>
        </w:rPr>
        <w:sectPr w:rsidR="00C31389">
          <w:pgSz w:w="11910" w:h="16840"/>
          <w:pgMar w:top="1380" w:right="1020" w:bottom="1120" w:left="960" w:header="397" w:footer="938" w:gutter="0"/>
          <w:cols w:space="720"/>
        </w:sectPr>
      </w:pPr>
    </w:p>
    <w:p w:rsidR="00C31389" w:rsidRDefault="00C31389" w14:paraId="162566E6"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79"/>
        <w:gridCol w:w="1183"/>
        <w:gridCol w:w="1367"/>
        <w:gridCol w:w="1580"/>
      </w:tblGrid>
      <w:tr w:rsidR="00C31389" w14:paraId="5526472B" w14:textId="77777777">
        <w:trPr>
          <w:trHeight w:val="252"/>
        </w:trPr>
        <w:tc>
          <w:tcPr>
            <w:tcW w:w="1367" w:type="dxa"/>
            <w:tcBorders>
              <w:top w:val="single" w:color="8B8B8B" w:sz="8" w:space="0"/>
            </w:tcBorders>
          </w:tcPr>
          <w:p w:rsidR="00C31389" w:rsidRDefault="00C31389" w14:paraId="33E93EF3" w14:textId="77777777">
            <w:pPr>
              <w:pStyle w:val="TableParagraph"/>
              <w:spacing w:before="0"/>
              <w:rPr>
                <w:rFonts w:ascii="Times New Roman"/>
                <w:sz w:val="18"/>
              </w:rPr>
            </w:pPr>
          </w:p>
        </w:tc>
        <w:tc>
          <w:tcPr>
            <w:tcW w:w="3879" w:type="dxa"/>
            <w:tcBorders>
              <w:top w:val="single" w:color="8B8B8B" w:sz="8" w:space="0"/>
            </w:tcBorders>
          </w:tcPr>
          <w:p w:rsidR="00C31389" w:rsidRDefault="00C31389" w14:paraId="1620CF5D" w14:textId="77777777">
            <w:pPr>
              <w:pStyle w:val="TableParagraph"/>
              <w:spacing w:before="0"/>
              <w:rPr>
                <w:rFonts w:ascii="Times New Roman"/>
                <w:sz w:val="18"/>
              </w:rPr>
            </w:pPr>
          </w:p>
        </w:tc>
        <w:tc>
          <w:tcPr>
            <w:tcW w:w="1183" w:type="dxa"/>
            <w:tcBorders>
              <w:top w:val="single" w:color="8B8B8B" w:sz="8" w:space="0"/>
            </w:tcBorders>
          </w:tcPr>
          <w:p w:rsidR="00C31389" w:rsidRDefault="00C31389" w14:paraId="03BFE985" w14:textId="77777777">
            <w:pPr>
              <w:pStyle w:val="TableParagraph"/>
              <w:spacing w:before="0"/>
              <w:rPr>
                <w:rFonts w:ascii="Times New Roman"/>
                <w:sz w:val="18"/>
              </w:rPr>
            </w:pPr>
          </w:p>
        </w:tc>
        <w:tc>
          <w:tcPr>
            <w:tcW w:w="1367" w:type="dxa"/>
            <w:tcBorders>
              <w:top w:val="single" w:color="8B8B8B" w:sz="8" w:space="0"/>
            </w:tcBorders>
          </w:tcPr>
          <w:p w:rsidR="00C31389" w:rsidRDefault="00C31389" w14:paraId="746E58C6" w14:textId="77777777">
            <w:pPr>
              <w:pStyle w:val="TableParagraph"/>
              <w:spacing w:before="0"/>
              <w:rPr>
                <w:rFonts w:ascii="Times New Roman"/>
                <w:sz w:val="18"/>
              </w:rPr>
            </w:pPr>
          </w:p>
        </w:tc>
        <w:tc>
          <w:tcPr>
            <w:tcW w:w="1580" w:type="dxa"/>
            <w:tcBorders>
              <w:top w:val="single" w:color="8B8B8B" w:sz="8" w:space="0"/>
            </w:tcBorders>
          </w:tcPr>
          <w:p w:rsidR="00C31389" w:rsidRDefault="00C31389" w14:paraId="48508C61" w14:textId="77777777">
            <w:pPr>
              <w:pStyle w:val="TableParagraph"/>
              <w:spacing w:before="0"/>
              <w:rPr>
                <w:rFonts w:ascii="Times New Roman"/>
                <w:sz w:val="18"/>
              </w:rPr>
            </w:pPr>
          </w:p>
        </w:tc>
      </w:tr>
      <w:tr w:rsidR="00C31389" w14:paraId="31F481E2" w14:textId="77777777">
        <w:trPr>
          <w:trHeight w:val="549"/>
        </w:trPr>
        <w:tc>
          <w:tcPr>
            <w:tcW w:w="1367" w:type="dxa"/>
            <w:shd w:val="clear" w:color="auto" w:fill="92D400"/>
          </w:tcPr>
          <w:p w:rsidR="00C31389" w:rsidRDefault="00561FBD" w14:paraId="388525F9" w14:textId="77777777">
            <w:pPr>
              <w:pStyle w:val="TableParagraph"/>
              <w:spacing w:before="155"/>
              <w:ind w:left="129"/>
              <w:rPr>
                <w:b/>
                <w:sz w:val="20"/>
              </w:rPr>
            </w:pPr>
            <w:r>
              <w:rPr>
                <w:b/>
                <w:spacing w:val="-2"/>
                <w:sz w:val="20"/>
              </w:rPr>
              <w:t>Regulation</w:t>
            </w:r>
          </w:p>
        </w:tc>
        <w:tc>
          <w:tcPr>
            <w:tcW w:w="3879" w:type="dxa"/>
            <w:shd w:val="clear" w:color="auto" w:fill="92D400"/>
          </w:tcPr>
          <w:p w:rsidR="00C31389" w:rsidRDefault="00561FBD" w14:paraId="670E83C4"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83" w:type="dxa"/>
            <w:shd w:val="clear" w:color="auto" w:fill="92D400"/>
          </w:tcPr>
          <w:p w:rsidR="00C31389" w:rsidRDefault="00561FBD" w14:paraId="32E1ECE4" w14:textId="77777777">
            <w:pPr>
              <w:pStyle w:val="TableParagraph"/>
              <w:ind w:left="198" w:hanging="238"/>
              <w:rPr>
                <w:b/>
                <w:sz w:val="20"/>
              </w:rPr>
            </w:pPr>
            <w:r>
              <w:rPr>
                <w:b/>
                <w:spacing w:val="-2"/>
                <w:sz w:val="20"/>
              </w:rPr>
              <w:t>Compliance Rate</w:t>
            </w:r>
            <w:hyperlink w:history="1" w:anchor="_bookmark462">
              <w:r>
                <w:rPr>
                  <w:b/>
                  <w:spacing w:val="-2"/>
                  <w:sz w:val="20"/>
                  <w:vertAlign w:val="superscript"/>
                </w:rPr>
                <w:t>182</w:t>
              </w:r>
            </w:hyperlink>
          </w:p>
        </w:tc>
        <w:tc>
          <w:tcPr>
            <w:tcW w:w="1367" w:type="dxa"/>
            <w:shd w:val="clear" w:color="auto" w:fill="92D400"/>
          </w:tcPr>
          <w:p w:rsidR="00C31389" w:rsidRDefault="00561FBD" w14:paraId="2049B5E1" w14:textId="77777777">
            <w:pPr>
              <w:pStyle w:val="TableParagraph"/>
              <w:ind w:left="523" w:hanging="202"/>
              <w:rPr>
                <w:b/>
                <w:sz w:val="20"/>
              </w:rPr>
            </w:pPr>
            <w:r>
              <w:rPr>
                <w:b/>
                <w:spacing w:val="-2"/>
                <w:sz w:val="20"/>
              </w:rPr>
              <w:t xml:space="preserve">Effective </w:t>
            </w:r>
            <w:r>
              <w:rPr>
                <w:b/>
                <w:spacing w:val="-4"/>
                <w:sz w:val="20"/>
              </w:rPr>
              <w:t>Date</w:t>
            </w:r>
          </w:p>
        </w:tc>
        <w:tc>
          <w:tcPr>
            <w:tcW w:w="1580" w:type="dxa"/>
            <w:shd w:val="clear" w:color="auto" w:fill="92D400"/>
          </w:tcPr>
          <w:p w:rsidR="00C31389" w:rsidRDefault="00561FBD" w14:paraId="46D3446A" w14:textId="77777777">
            <w:pPr>
              <w:pStyle w:val="TableParagraph"/>
              <w:spacing w:before="155"/>
              <w:ind w:left="198" w:right="152"/>
              <w:jc w:val="center"/>
              <w:rPr>
                <w:b/>
                <w:sz w:val="20"/>
              </w:rPr>
            </w:pPr>
            <w:r>
              <w:rPr>
                <w:b/>
                <w:sz w:val="20"/>
              </w:rPr>
              <w:t>Policy</w:t>
            </w:r>
            <w:r>
              <w:rPr>
                <w:b/>
                <w:spacing w:val="-5"/>
                <w:sz w:val="20"/>
              </w:rPr>
              <w:t xml:space="preserve"> </w:t>
            </w:r>
            <w:r>
              <w:rPr>
                <w:b/>
                <w:spacing w:val="-4"/>
                <w:sz w:val="20"/>
              </w:rPr>
              <w:t>View</w:t>
            </w:r>
          </w:p>
        </w:tc>
      </w:tr>
      <w:tr w:rsidR="00C31389" w14:paraId="732EF514" w14:textId="77777777">
        <w:trPr>
          <w:trHeight w:val="535"/>
        </w:trPr>
        <w:tc>
          <w:tcPr>
            <w:tcW w:w="1367" w:type="dxa"/>
            <w:tcBorders>
              <w:bottom w:val="single" w:color="D9D9D9" w:sz="2" w:space="0"/>
            </w:tcBorders>
          </w:tcPr>
          <w:p w:rsidR="00C31389" w:rsidRDefault="00561FBD" w14:paraId="0C2779BF" w14:textId="77777777">
            <w:pPr>
              <w:pStyle w:val="TableParagraph"/>
              <w:spacing w:before="151"/>
              <w:ind w:left="129"/>
              <w:rPr>
                <w:sz w:val="20"/>
              </w:rPr>
            </w:pPr>
            <w:r>
              <w:rPr>
                <w:sz w:val="20"/>
              </w:rPr>
              <w:t>2019</w:t>
            </w:r>
            <w:r>
              <w:rPr>
                <w:spacing w:val="-3"/>
                <w:sz w:val="20"/>
              </w:rPr>
              <w:t xml:space="preserve"> </w:t>
            </w:r>
            <w:r>
              <w:rPr>
                <w:sz w:val="20"/>
              </w:rPr>
              <w:t>T-</w:t>
            </w:r>
            <w:r>
              <w:rPr>
                <w:spacing w:val="-5"/>
                <w:sz w:val="20"/>
              </w:rPr>
              <w:t>24</w:t>
            </w:r>
          </w:p>
        </w:tc>
        <w:tc>
          <w:tcPr>
            <w:tcW w:w="3879" w:type="dxa"/>
            <w:tcBorders>
              <w:bottom w:val="single" w:color="D9D9D9" w:sz="2" w:space="0"/>
            </w:tcBorders>
          </w:tcPr>
          <w:p w:rsidR="00C31389" w:rsidRDefault="00561FBD" w14:paraId="6176422B" w14:textId="77777777">
            <w:pPr>
              <w:pStyle w:val="TableParagraph"/>
              <w:spacing w:before="35"/>
              <w:ind w:left="202"/>
              <w:rPr>
                <w:sz w:val="20"/>
              </w:rPr>
            </w:pPr>
            <w:r>
              <w:rPr>
                <w:sz w:val="20"/>
              </w:rPr>
              <w:t>2019</w:t>
            </w:r>
            <w:r>
              <w:rPr>
                <w:spacing w:val="-14"/>
                <w:sz w:val="20"/>
              </w:rPr>
              <w:t xml:space="preserve"> </w:t>
            </w:r>
            <w:r>
              <w:rPr>
                <w:sz w:val="20"/>
              </w:rPr>
              <w:t>T-24:</w:t>
            </w:r>
            <w:r>
              <w:rPr>
                <w:spacing w:val="-14"/>
                <w:sz w:val="20"/>
              </w:rPr>
              <w:t xml:space="preserve"> </w:t>
            </w:r>
            <w:r>
              <w:rPr>
                <w:sz w:val="20"/>
              </w:rPr>
              <w:t xml:space="preserve">RNC(MF)-MECH-Quality </w:t>
            </w:r>
            <w:r>
              <w:rPr>
                <w:spacing w:val="-4"/>
                <w:sz w:val="20"/>
              </w:rPr>
              <w:t>HVAC</w:t>
            </w:r>
          </w:p>
        </w:tc>
        <w:tc>
          <w:tcPr>
            <w:tcW w:w="1183" w:type="dxa"/>
            <w:tcBorders>
              <w:bottom w:val="single" w:color="D9D9D9" w:sz="2" w:space="0"/>
            </w:tcBorders>
          </w:tcPr>
          <w:p w:rsidR="00C31389" w:rsidRDefault="00561FBD" w14:paraId="10D544CA" w14:textId="77777777">
            <w:pPr>
              <w:pStyle w:val="TableParagraph"/>
              <w:spacing w:before="151"/>
              <w:ind w:left="327"/>
              <w:rPr>
                <w:sz w:val="20"/>
              </w:rPr>
            </w:pPr>
            <w:r>
              <w:rPr>
                <w:spacing w:val="-5"/>
                <w:sz w:val="20"/>
              </w:rPr>
              <w:t>85%</w:t>
            </w:r>
          </w:p>
        </w:tc>
        <w:tc>
          <w:tcPr>
            <w:tcW w:w="1367" w:type="dxa"/>
            <w:tcBorders>
              <w:bottom w:val="single" w:color="D9D9D9" w:sz="2" w:space="0"/>
            </w:tcBorders>
          </w:tcPr>
          <w:p w:rsidR="00C31389" w:rsidRDefault="00561FBD" w14:paraId="60BCB2B4" w14:textId="77777777">
            <w:pPr>
              <w:pStyle w:val="TableParagraph"/>
              <w:spacing w:before="151"/>
              <w:ind w:right="233"/>
              <w:jc w:val="right"/>
              <w:rPr>
                <w:sz w:val="20"/>
              </w:rPr>
            </w:pPr>
            <w:r>
              <w:rPr>
                <w:spacing w:val="-2"/>
                <w:sz w:val="20"/>
              </w:rPr>
              <w:t>10/01/23</w:t>
            </w:r>
          </w:p>
        </w:tc>
        <w:tc>
          <w:tcPr>
            <w:tcW w:w="1580" w:type="dxa"/>
            <w:tcBorders>
              <w:bottom w:val="single" w:color="D9D9D9" w:sz="2" w:space="0"/>
            </w:tcBorders>
          </w:tcPr>
          <w:p w:rsidR="00C31389" w:rsidRDefault="00561FBD" w14:paraId="42207B82" w14:textId="77777777">
            <w:pPr>
              <w:pStyle w:val="TableParagraph"/>
              <w:spacing w:before="151"/>
              <w:ind w:left="198" w:right="152"/>
              <w:jc w:val="center"/>
              <w:rPr>
                <w:sz w:val="20"/>
              </w:rPr>
            </w:pPr>
            <w:r>
              <w:rPr>
                <w:spacing w:val="-2"/>
                <w:sz w:val="20"/>
              </w:rPr>
              <w:t>On-the-books</w:t>
            </w:r>
          </w:p>
        </w:tc>
      </w:tr>
      <w:tr w:rsidR="00C31389" w14:paraId="2FE51DF5" w14:textId="77777777">
        <w:trPr>
          <w:trHeight w:val="539"/>
        </w:trPr>
        <w:tc>
          <w:tcPr>
            <w:tcW w:w="1367" w:type="dxa"/>
            <w:tcBorders>
              <w:top w:val="single" w:color="D9D9D9" w:sz="2" w:space="0"/>
              <w:bottom w:val="single" w:color="D9D9D9" w:sz="2" w:space="0"/>
            </w:tcBorders>
          </w:tcPr>
          <w:p w:rsidR="00C31389" w:rsidRDefault="00561FBD" w14:paraId="6B7CEBB6"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326B913D" w14:textId="77777777">
            <w:pPr>
              <w:pStyle w:val="TableParagraph"/>
              <w:ind w:left="202"/>
              <w:rPr>
                <w:sz w:val="20"/>
              </w:rPr>
            </w:pPr>
            <w:r>
              <w:rPr>
                <w:sz w:val="20"/>
              </w:rPr>
              <w:t>2019</w:t>
            </w:r>
            <w:r>
              <w:rPr>
                <w:spacing w:val="-14"/>
                <w:sz w:val="20"/>
              </w:rPr>
              <w:t xml:space="preserve"> </w:t>
            </w:r>
            <w:r>
              <w:rPr>
                <w:sz w:val="20"/>
              </w:rPr>
              <w:t>T-24:</w:t>
            </w:r>
            <w:r>
              <w:rPr>
                <w:spacing w:val="-14"/>
                <w:sz w:val="20"/>
              </w:rPr>
              <w:t xml:space="preserve"> </w:t>
            </w:r>
            <w:r>
              <w:rPr>
                <w:sz w:val="20"/>
              </w:rPr>
              <w:t>RA(SF)-Envelope-High Performance Walls</w:t>
            </w:r>
          </w:p>
        </w:tc>
        <w:tc>
          <w:tcPr>
            <w:tcW w:w="1183" w:type="dxa"/>
            <w:tcBorders>
              <w:top w:val="single" w:color="D9D9D9" w:sz="2" w:space="0"/>
              <w:bottom w:val="single" w:color="D9D9D9" w:sz="2" w:space="0"/>
            </w:tcBorders>
          </w:tcPr>
          <w:p w:rsidR="00C31389" w:rsidRDefault="00561FBD" w14:paraId="63AFAF31" w14:textId="77777777">
            <w:pPr>
              <w:pStyle w:val="TableParagraph"/>
              <w:spacing w:before="155"/>
              <w:ind w:left="328"/>
              <w:rPr>
                <w:sz w:val="20"/>
              </w:rPr>
            </w:pPr>
            <w:r>
              <w:rPr>
                <w:spacing w:val="-5"/>
                <w:sz w:val="20"/>
              </w:rPr>
              <w:t>85%</w:t>
            </w:r>
          </w:p>
        </w:tc>
        <w:tc>
          <w:tcPr>
            <w:tcW w:w="1367" w:type="dxa"/>
            <w:tcBorders>
              <w:top w:val="single" w:color="D9D9D9" w:sz="2" w:space="0"/>
              <w:bottom w:val="single" w:color="D9D9D9" w:sz="2" w:space="0"/>
            </w:tcBorders>
          </w:tcPr>
          <w:p w:rsidR="00C31389" w:rsidRDefault="00561FBD" w14:paraId="65E0E96D"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0067F9C1" w14:textId="77777777">
            <w:pPr>
              <w:pStyle w:val="TableParagraph"/>
              <w:spacing w:before="155"/>
              <w:ind w:left="198" w:right="152"/>
              <w:jc w:val="center"/>
              <w:rPr>
                <w:sz w:val="20"/>
              </w:rPr>
            </w:pPr>
            <w:r>
              <w:rPr>
                <w:spacing w:val="-2"/>
                <w:sz w:val="20"/>
              </w:rPr>
              <w:t>On-the-books</w:t>
            </w:r>
          </w:p>
        </w:tc>
      </w:tr>
      <w:tr w:rsidR="00C31389" w14:paraId="12231526" w14:textId="77777777">
        <w:trPr>
          <w:trHeight w:val="310"/>
        </w:trPr>
        <w:tc>
          <w:tcPr>
            <w:tcW w:w="1367" w:type="dxa"/>
            <w:tcBorders>
              <w:top w:val="single" w:color="D9D9D9" w:sz="2" w:space="0"/>
              <w:bottom w:val="single" w:color="D9D9D9" w:sz="2" w:space="0"/>
            </w:tcBorders>
          </w:tcPr>
          <w:p w:rsidR="00C31389" w:rsidRDefault="00561FBD" w14:paraId="03BB065E" w14:textId="77777777">
            <w:pPr>
              <w:pStyle w:val="TableParagraph"/>
              <w:ind w:left="129"/>
              <w:rPr>
                <w:sz w:val="20"/>
              </w:rPr>
            </w:pPr>
            <w:r>
              <w:rPr>
                <w:sz w:val="20"/>
              </w:rPr>
              <w:t>2019</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38EFF527" w14:textId="77777777">
            <w:pPr>
              <w:pStyle w:val="TableParagraph"/>
              <w:ind w:left="202"/>
              <w:rPr>
                <w:sz w:val="20"/>
              </w:rPr>
            </w:pPr>
            <w:r>
              <w:rPr>
                <w:sz w:val="20"/>
              </w:rPr>
              <w:t>2019</w:t>
            </w:r>
            <w:r>
              <w:rPr>
                <w:spacing w:val="-7"/>
                <w:sz w:val="20"/>
              </w:rPr>
              <w:t xml:space="preserve"> </w:t>
            </w:r>
            <w:r>
              <w:rPr>
                <w:sz w:val="20"/>
              </w:rPr>
              <w:t>T-24:</w:t>
            </w:r>
            <w:r>
              <w:rPr>
                <w:spacing w:val="-6"/>
                <w:sz w:val="20"/>
              </w:rPr>
              <w:t xml:space="preserve"> </w:t>
            </w:r>
            <w:r>
              <w:rPr>
                <w:sz w:val="20"/>
              </w:rPr>
              <w:t>RA(SF)-Envelope-</w:t>
            </w:r>
            <w:r>
              <w:rPr>
                <w:spacing w:val="-5"/>
                <w:sz w:val="20"/>
              </w:rPr>
              <w:t>QII</w:t>
            </w:r>
          </w:p>
        </w:tc>
        <w:tc>
          <w:tcPr>
            <w:tcW w:w="1183" w:type="dxa"/>
            <w:tcBorders>
              <w:top w:val="single" w:color="D9D9D9" w:sz="2" w:space="0"/>
              <w:bottom w:val="single" w:color="D9D9D9" w:sz="2" w:space="0"/>
            </w:tcBorders>
          </w:tcPr>
          <w:p w:rsidR="00C31389" w:rsidRDefault="00561FBD" w14:paraId="689CAB10" w14:textId="77777777">
            <w:pPr>
              <w:pStyle w:val="TableParagraph"/>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5D5B731B" w14:textId="77777777">
            <w:pPr>
              <w:pStyle w:val="TableParagraph"/>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185BBB09" w14:textId="77777777">
            <w:pPr>
              <w:pStyle w:val="TableParagraph"/>
              <w:ind w:left="198" w:right="152"/>
              <w:jc w:val="center"/>
              <w:rPr>
                <w:sz w:val="20"/>
              </w:rPr>
            </w:pPr>
            <w:r>
              <w:rPr>
                <w:spacing w:val="-2"/>
                <w:sz w:val="20"/>
              </w:rPr>
              <w:t>On-the-books</w:t>
            </w:r>
          </w:p>
        </w:tc>
      </w:tr>
      <w:tr w:rsidR="00C31389" w14:paraId="020D1236" w14:textId="77777777">
        <w:trPr>
          <w:trHeight w:val="539"/>
        </w:trPr>
        <w:tc>
          <w:tcPr>
            <w:tcW w:w="1367" w:type="dxa"/>
            <w:tcBorders>
              <w:top w:val="single" w:color="D9D9D9" w:sz="2" w:space="0"/>
              <w:bottom w:val="single" w:color="D9D9D9" w:sz="2" w:space="0"/>
            </w:tcBorders>
          </w:tcPr>
          <w:p w:rsidR="00C31389" w:rsidRDefault="00561FBD" w14:paraId="66EF1437"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CE771C5" w14:textId="77777777">
            <w:pPr>
              <w:pStyle w:val="TableParagraph"/>
              <w:ind w:left="202"/>
              <w:rPr>
                <w:sz w:val="20"/>
              </w:rPr>
            </w:pPr>
            <w:r>
              <w:rPr>
                <w:sz w:val="20"/>
              </w:rPr>
              <w:t>2019</w:t>
            </w:r>
            <w:r>
              <w:rPr>
                <w:spacing w:val="-4"/>
                <w:sz w:val="20"/>
              </w:rPr>
              <w:t xml:space="preserve"> </w:t>
            </w:r>
            <w:r>
              <w:rPr>
                <w:sz w:val="20"/>
              </w:rPr>
              <w:t>T-24:</w:t>
            </w:r>
            <w:r>
              <w:rPr>
                <w:spacing w:val="-3"/>
                <w:sz w:val="20"/>
              </w:rPr>
              <w:t xml:space="preserve"> </w:t>
            </w:r>
            <w:r>
              <w:rPr>
                <w:sz w:val="20"/>
              </w:rPr>
              <w:t>RA(SF)-</w:t>
            </w:r>
            <w:r>
              <w:rPr>
                <w:spacing w:val="-2"/>
                <w:sz w:val="20"/>
              </w:rPr>
              <w:t>Envelope-</w:t>
            </w:r>
          </w:p>
          <w:p w:rsidR="00C31389" w:rsidRDefault="00561FBD" w14:paraId="56049311" w14:textId="77777777">
            <w:pPr>
              <w:pStyle w:val="TableParagraph"/>
              <w:spacing w:before="0"/>
              <w:ind w:left="202"/>
              <w:rPr>
                <w:sz w:val="20"/>
              </w:rPr>
            </w:pPr>
            <w:r>
              <w:rPr>
                <w:sz w:val="20"/>
              </w:rPr>
              <w:t>Windows</w:t>
            </w:r>
            <w:r>
              <w:rPr>
                <w:spacing w:val="-4"/>
                <w:sz w:val="20"/>
              </w:rPr>
              <w:t xml:space="preserve"> </w:t>
            </w:r>
            <w:r>
              <w:rPr>
                <w:sz w:val="20"/>
              </w:rPr>
              <w:t>and</w:t>
            </w:r>
            <w:r>
              <w:rPr>
                <w:spacing w:val="-4"/>
                <w:sz w:val="20"/>
              </w:rPr>
              <w:t xml:space="preserve"> Doors</w:t>
            </w:r>
          </w:p>
        </w:tc>
        <w:tc>
          <w:tcPr>
            <w:tcW w:w="1183" w:type="dxa"/>
            <w:tcBorders>
              <w:top w:val="single" w:color="D9D9D9" w:sz="2" w:space="0"/>
              <w:bottom w:val="single" w:color="D9D9D9" w:sz="2" w:space="0"/>
            </w:tcBorders>
          </w:tcPr>
          <w:p w:rsidR="00C31389" w:rsidRDefault="00561FBD" w14:paraId="088AE0CD" w14:textId="77777777">
            <w:pPr>
              <w:pStyle w:val="TableParagraph"/>
              <w:spacing w:before="155"/>
              <w:ind w:left="328"/>
              <w:rPr>
                <w:sz w:val="20"/>
              </w:rPr>
            </w:pPr>
            <w:r>
              <w:rPr>
                <w:spacing w:val="-5"/>
                <w:sz w:val="20"/>
              </w:rPr>
              <w:t>85%</w:t>
            </w:r>
          </w:p>
        </w:tc>
        <w:tc>
          <w:tcPr>
            <w:tcW w:w="1367" w:type="dxa"/>
            <w:tcBorders>
              <w:top w:val="single" w:color="D9D9D9" w:sz="2" w:space="0"/>
              <w:bottom w:val="single" w:color="D9D9D9" w:sz="2" w:space="0"/>
            </w:tcBorders>
          </w:tcPr>
          <w:p w:rsidR="00C31389" w:rsidRDefault="00561FBD" w14:paraId="52DEC1FB"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46C4AC26" w14:textId="77777777">
            <w:pPr>
              <w:pStyle w:val="TableParagraph"/>
              <w:spacing w:before="155"/>
              <w:ind w:left="198" w:right="152"/>
              <w:jc w:val="center"/>
              <w:rPr>
                <w:sz w:val="20"/>
              </w:rPr>
            </w:pPr>
            <w:r>
              <w:rPr>
                <w:spacing w:val="-2"/>
                <w:sz w:val="20"/>
              </w:rPr>
              <w:t>On-the-books</w:t>
            </w:r>
          </w:p>
        </w:tc>
      </w:tr>
      <w:tr w:rsidR="00C31389" w14:paraId="28F9DB8A" w14:textId="77777777">
        <w:trPr>
          <w:trHeight w:val="539"/>
        </w:trPr>
        <w:tc>
          <w:tcPr>
            <w:tcW w:w="1367" w:type="dxa"/>
            <w:tcBorders>
              <w:top w:val="single" w:color="D9D9D9" w:sz="2" w:space="0"/>
              <w:bottom w:val="single" w:color="D9D9D9" w:sz="2" w:space="0"/>
            </w:tcBorders>
          </w:tcPr>
          <w:p w:rsidR="00C31389" w:rsidRDefault="00561FBD" w14:paraId="4A806461"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3A97B103" w14:textId="77777777">
            <w:pPr>
              <w:pStyle w:val="TableParagraph"/>
              <w:ind w:left="202" w:right="392"/>
              <w:rPr>
                <w:sz w:val="20"/>
              </w:rPr>
            </w:pPr>
            <w:r>
              <w:rPr>
                <w:sz w:val="20"/>
              </w:rPr>
              <w:t>2019</w:t>
            </w:r>
            <w:r>
              <w:rPr>
                <w:spacing w:val="-14"/>
                <w:sz w:val="20"/>
              </w:rPr>
              <w:t xml:space="preserve"> </w:t>
            </w:r>
            <w:r>
              <w:rPr>
                <w:sz w:val="20"/>
              </w:rPr>
              <w:t>T-24:</w:t>
            </w:r>
            <w:r>
              <w:rPr>
                <w:spacing w:val="-14"/>
                <w:sz w:val="20"/>
              </w:rPr>
              <w:t xml:space="preserve"> </w:t>
            </w:r>
            <w:r>
              <w:rPr>
                <w:sz w:val="20"/>
              </w:rPr>
              <w:t xml:space="preserve">RA(SF)-MECH-Quality </w:t>
            </w:r>
            <w:r>
              <w:rPr>
                <w:spacing w:val="-4"/>
                <w:sz w:val="20"/>
              </w:rPr>
              <w:t>HVAC</w:t>
            </w:r>
          </w:p>
        </w:tc>
        <w:tc>
          <w:tcPr>
            <w:tcW w:w="1183" w:type="dxa"/>
            <w:tcBorders>
              <w:top w:val="single" w:color="D9D9D9" w:sz="2" w:space="0"/>
              <w:bottom w:val="single" w:color="D9D9D9" w:sz="2" w:space="0"/>
            </w:tcBorders>
          </w:tcPr>
          <w:p w:rsidR="00C31389" w:rsidRDefault="00561FBD" w14:paraId="686E8D6A"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743406BA"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0AF30B01" w14:textId="77777777">
            <w:pPr>
              <w:pStyle w:val="TableParagraph"/>
              <w:spacing w:before="155"/>
              <w:ind w:left="198" w:right="152"/>
              <w:jc w:val="center"/>
              <w:rPr>
                <w:sz w:val="20"/>
              </w:rPr>
            </w:pPr>
            <w:r>
              <w:rPr>
                <w:spacing w:val="-2"/>
                <w:sz w:val="20"/>
              </w:rPr>
              <w:t>On-the-books</w:t>
            </w:r>
          </w:p>
        </w:tc>
      </w:tr>
      <w:tr w:rsidR="00C31389" w14:paraId="7705EACD" w14:textId="77777777">
        <w:trPr>
          <w:trHeight w:val="309"/>
        </w:trPr>
        <w:tc>
          <w:tcPr>
            <w:tcW w:w="1367" w:type="dxa"/>
            <w:tcBorders>
              <w:top w:val="single" w:color="D9D9D9" w:sz="2" w:space="0"/>
              <w:bottom w:val="single" w:color="D9D9D9" w:sz="2" w:space="0"/>
            </w:tcBorders>
          </w:tcPr>
          <w:p w:rsidR="00C31389" w:rsidRDefault="00561FBD" w14:paraId="1467FD20" w14:textId="77777777">
            <w:pPr>
              <w:pStyle w:val="TableParagraph"/>
              <w:ind w:left="129"/>
              <w:rPr>
                <w:sz w:val="20"/>
              </w:rPr>
            </w:pPr>
            <w:r>
              <w:rPr>
                <w:sz w:val="20"/>
              </w:rPr>
              <w:t>2019</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4666CBE" w14:textId="77777777">
            <w:pPr>
              <w:pStyle w:val="TableParagraph"/>
              <w:ind w:left="202"/>
              <w:rPr>
                <w:sz w:val="20"/>
              </w:rPr>
            </w:pPr>
            <w:r>
              <w:rPr>
                <w:sz w:val="20"/>
              </w:rPr>
              <w:t>2019</w:t>
            </w:r>
            <w:r>
              <w:rPr>
                <w:spacing w:val="-7"/>
                <w:sz w:val="20"/>
              </w:rPr>
              <w:t xml:space="preserve"> </w:t>
            </w:r>
            <w:r>
              <w:rPr>
                <w:sz w:val="20"/>
              </w:rPr>
              <w:t>T-24:</w:t>
            </w:r>
            <w:r>
              <w:rPr>
                <w:spacing w:val="-7"/>
                <w:sz w:val="20"/>
              </w:rPr>
              <w:t xml:space="preserve"> </w:t>
            </w:r>
            <w:r>
              <w:rPr>
                <w:sz w:val="20"/>
              </w:rPr>
              <w:t>RA(MF)-Envelope-</w:t>
            </w:r>
            <w:r>
              <w:rPr>
                <w:spacing w:val="-5"/>
                <w:sz w:val="20"/>
              </w:rPr>
              <w:t>QII</w:t>
            </w:r>
          </w:p>
        </w:tc>
        <w:tc>
          <w:tcPr>
            <w:tcW w:w="1183" w:type="dxa"/>
            <w:tcBorders>
              <w:top w:val="single" w:color="D9D9D9" w:sz="2" w:space="0"/>
              <w:bottom w:val="single" w:color="D9D9D9" w:sz="2" w:space="0"/>
            </w:tcBorders>
          </w:tcPr>
          <w:p w:rsidR="00C31389" w:rsidRDefault="00561FBD" w14:paraId="1866B71A" w14:textId="77777777">
            <w:pPr>
              <w:pStyle w:val="TableParagraph"/>
              <w:ind w:left="328"/>
              <w:rPr>
                <w:sz w:val="20"/>
              </w:rPr>
            </w:pPr>
            <w:r>
              <w:rPr>
                <w:spacing w:val="-5"/>
                <w:sz w:val="20"/>
              </w:rPr>
              <w:t>85%</w:t>
            </w:r>
          </w:p>
        </w:tc>
        <w:tc>
          <w:tcPr>
            <w:tcW w:w="1367" w:type="dxa"/>
            <w:tcBorders>
              <w:top w:val="single" w:color="D9D9D9" w:sz="2" w:space="0"/>
              <w:bottom w:val="single" w:color="D9D9D9" w:sz="2" w:space="0"/>
            </w:tcBorders>
          </w:tcPr>
          <w:p w:rsidR="00C31389" w:rsidRDefault="00561FBD" w14:paraId="378B2083" w14:textId="77777777">
            <w:pPr>
              <w:pStyle w:val="TableParagraph"/>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6F6B00AD" w14:textId="77777777">
            <w:pPr>
              <w:pStyle w:val="TableParagraph"/>
              <w:ind w:left="198" w:right="152"/>
              <w:jc w:val="center"/>
              <w:rPr>
                <w:sz w:val="20"/>
              </w:rPr>
            </w:pPr>
            <w:r>
              <w:rPr>
                <w:spacing w:val="-2"/>
                <w:sz w:val="20"/>
              </w:rPr>
              <w:t>On-the-books</w:t>
            </w:r>
          </w:p>
        </w:tc>
      </w:tr>
      <w:tr w:rsidR="00C31389" w14:paraId="04B861D8" w14:textId="77777777">
        <w:trPr>
          <w:trHeight w:val="541"/>
        </w:trPr>
        <w:tc>
          <w:tcPr>
            <w:tcW w:w="1367" w:type="dxa"/>
            <w:tcBorders>
              <w:top w:val="single" w:color="D9D9D9" w:sz="2" w:space="0"/>
              <w:bottom w:val="single" w:color="D9D9D9" w:sz="2" w:space="0"/>
            </w:tcBorders>
          </w:tcPr>
          <w:p w:rsidR="00C31389" w:rsidRDefault="00561FBD" w14:paraId="390DA15A"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5AF3BC4E" w14:textId="77777777">
            <w:pPr>
              <w:pStyle w:val="TableParagraph"/>
              <w:spacing w:before="41"/>
              <w:ind w:left="202"/>
              <w:rPr>
                <w:sz w:val="20"/>
              </w:rPr>
            </w:pPr>
            <w:r>
              <w:rPr>
                <w:sz w:val="20"/>
              </w:rPr>
              <w:t>2019</w:t>
            </w:r>
            <w:r>
              <w:rPr>
                <w:spacing w:val="-5"/>
                <w:sz w:val="20"/>
              </w:rPr>
              <w:t xml:space="preserve"> </w:t>
            </w:r>
            <w:r>
              <w:rPr>
                <w:sz w:val="20"/>
              </w:rPr>
              <w:t>T-24:</w:t>
            </w:r>
            <w:r>
              <w:rPr>
                <w:spacing w:val="-4"/>
                <w:sz w:val="20"/>
              </w:rPr>
              <w:t xml:space="preserve"> </w:t>
            </w:r>
            <w:r>
              <w:rPr>
                <w:sz w:val="20"/>
              </w:rPr>
              <w:t>RA(MF)-</w:t>
            </w:r>
            <w:r>
              <w:rPr>
                <w:spacing w:val="-2"/>
                <w:sz w:val="20"/>
              </w:rPr>
              <w:t>Envelope-</w:t>
            </w:r>
          </w:p>
          <w:p w:rsidR="00C31389" w:rsidRDefault="00561FBD" w14:paraId="538BE888" w14:textId="77777777">
            <w:pPr>
              <w:pStyle w:val="TableParagraph"/>
              <w:spacing w:before="1"/>
              <w:ind w:left="202"/>
              <w:rPr>
                <w:sz w:val="20"/>
              </w:rPr>
            </w:pPr>
            <w:r>
              <w:rPr>
                <w:sz w:val="20"/>
              </w:rPr>
              <w:t>Windows</w:t>
            </w:r>
            <w:r>
              <w:rPr>
                <w:spacing w:val="-4"/>
                <w:sz w:val="20"/>
              </w:rPr>
              <w:t xml:space="preserve"> </w:t>
            </w:r>
            <w:r>
              <w:rPr>
                <w:sz w:val="20"/>
              </w:rPr>
              <w:t>and</w:t>
            </w:r>
            <w:r>
              <w:rPr>
                <w:spacing w:val="-4"/>
                <w:sz w:val="20"/>
              </w:rPr>
              <w:t xml:space="preserve"> Doors</w:t>
            </w:r>
          </w:p>
        </w:tc>
        <w:tc>
          <w:tcPr>
            <w:tcW w:w="1183" w:type="dxa"/>
            <w:tcBorders>
              <w:top w:val="single" w:color="D9D9D9" w:sz="2" w:space="0"/>
              <w:bottom w:val="single" w:color="D9D9D9" w:sz="2" w:space="0"/>
            </w:tcBorders>
          </w:tcPr>
          <w:p w:rsidR="00C31389" w:rsidRDefault="00561FBD" w14:paraId="39648E56"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61B5466B"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025B5429" w14:textId="77777777">
            <w:pPr>
              <w:pStyle w:val="TableParagraph"/>
              <w:spacing w:before="155"/>
              <w:ind w:left="198" w:right="152"/>
              <w:jc w:val="center"/>
              <w:rPr>
                <w:sz w:val="20"/>
              </w:rPr>
            </w:pPr>
            <w:r>
              <w:rPr>
                <w:spacing w:val="-2"/>
                <w:sz w:val="20"/>
              </w:rPr>
              <w:t>On-the-books</w:t>
            </w:r>
          </w:p>
        </w:tc>
      </w:tr>
      <w:tr w:rsidR="00C31389" w14:paraId="50C1FE98" w14:textId="77777777">
        <w:trPr>
          <w:trHeight w:val="539"/>
        </w:trPr>
        <w:tc>
          <w:tcPr>
            <w:tcW w:w="1367" w:type="dxa"/>
            <w:tcBorders>
              <w:top w:val="single" w:color="D9D9D9" w:sz="2" w:space="0"/>
              <w:bottom w:val="single" w:color="D9D9D9" w:sz="2" w:space="0"/>
            </w:tcBorders>
          </w:tcPr>
          <w:p w:rsidR="00C31389" w:rsidRDefault="00561FBD" w14:paraId="308E50BF" w14:textId="77777777">
            <w:pPr>
              <w:pStyle w:val="TableParagraph"/>
              <w:spacing w:before="155"/>
              <w:ind w:left="129"/>
              <w:rPr>
                <w:sz w:val="20"/>
              </w:rPr>
            </w:pPr>
            <w:r>
              <w:rPr>
                <w:sz w:val="20"/>
              </w:rPr>
              <w:t>2019</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5EBC7F79" w14:textId="77777777">
            <w:pPr>
              <w:pStyle w:val="TableParagraph"/>
              <w:ind w:left="202" w:right="392"/>
              <w:rPr>
                <w:sz w:val="20"/>
              </w:rPr>
            </w:pPr>
            <w:r>
              <w:rPr>
                <w:sz w:val="20"/>
              </w:rPr>
              <w:t>2019</w:t>
            </w:r>
            <w:r>
              <w:rPr>
                <w:spacing w:val="-14"/>
                <w:sz w:val="20"/>
              </w:rPr>
              <w:t xml:space="preserve"> </w:t>
            </w:r>
            <w:r>
              <w:rPr>
                <w:sz w:val="20"/>
              </w:rPr>
              <w:t>T-24:</w:t>
            </w:r>
            <w:r>
              <w:rPr>
                <w:spacing w:val="-14"/>
                <w:sz w:val="20"/>
              </w:rPr>
              <w:t xml:space="preserve"> </w:t>
            </w:r>
            <w:r>
              <w:rPr>
                <w:sz w:val="20"/>
              </w:rPr>
              <w:t xml:space="preserve">RA(MF)-MECH-Quality </w:t>
            </w:r>
            <w:r>
              <w:rPr>
                <w:spacing w:val="-4"/>
                <w:sz w:val="20"/>
              </w:rPr>
              <w:t>HVAC</w:t>
            </w:r>
          </w:p>
        </w:tc>
        <w:tc>
          <w:tcPr>
            <w:tcW w:w="1183" w:type="dxa"/>
            <w:tcBorders>
              <w:top w:val="single" w:color="D9D9D9" w:sz="2" w:space="0"/>
              <w:bottom w:val="single" w:color="D9D9D9" w:sz="2" w:space="0"/>
            </w:tcBorders>
          </w:tcPr>
          <w:p w:rsidR="00C31389" w:rsidRDefault="00561FBD" w14:paraId="00733C96"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5FE7E669"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5E7F3285" w14:textId="77777777">
            <w:pPr>
              <w:pStyle w:val="TableParagraph"/>
              <w:spacing w:before="155"/>
              <w:ind w:left="198" w:right="152"/>
              <w:jc w:val="center"/>
              <w:rPr>
                <w:sz w:val="20"/>
              </w:rPr>
            </w:pPr>
            <w:r>
              <w:rPr>
                <w:spacing w:val="-2"/>
                <w:sz w:val="20"/>
              </w:rPr>
              <w:t>On-the-books</w:t>
            </w:r>
          </w:p>
        </w:tc>
      </w:tr>
      <w:tr w:rsidR="00C31389" w14:paraId="21C0C7CB" w14:textId="77777777">
        <w:trPr>
          <w:trHeight w:val="539"/>
        </w:trPr>
        <w:tc>
          <w:tcPr>
            <w:tcW w:w="1367" w:type="dxa"/>
            <w:tcBorders>
              <w:top w:val="single" w:color="D9D9D9" w:sz="2" w:space="0"/>
              <w:bottom w:val="single" w:color="D9D9D9" w:sz="2" w:space="0"/>
            </w:tcBorders>
          </w:tcPr>
          <w:p w:rsidR="00C31389" w:rsidRDefault="00561FBD" w14:paraId="3D50E4BC"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6363E021" w14:textId="77777777">
            <w:pPr>
              <w:pStyle w:val="TableParagraph"/>
              <w:ind w:left="202" w:right="392"/>
              <w:rPr>
                <w:sz w:val="20"/>
              </w:rPr>
            </w:pPr>
            <w:r>
              <w:rPr>
                <w:sz w:val="20"/>
              </w:rPr>
              <w:t>2022</w:t>
            </w:r>
            <w:r>
              <w:rPr>
                <w:spacing w:val="-7"/>
                <w:sz w:val="20"/>
              </w:rPr>
              <w:t xml:space="preserve"> </w:t>
            </w:r>
            <w:r>
              <w:rPr>
                <w:sz w:val="20"/>
              </w:rPr>
              <w:t>T-24:</w:t>
            </w:r>
            <w:r>
              <w:rPr>
                <w:spacing w:val="-7"/>
                <w:sz w:val="20"/>
              </w:rPr>
              <w:t xml:space="preserve"> </w:t>
            </w:r>
            <w:r>
              <w:rPr>
                <w:sz w:val="20"/>
              </w:rPr>
              <w:t>NRA</w:t>
            </w:r>
            <w:r>
              <w:rPr>
                <w:spacing w:val="-7"/>
                <w:sz w:val="20"/>
              </w:rPr>
              <w:t xml:space="preserve"> </w:t>
            </w:r>
            <w:r>
              <w:rPr>
                <w:sz w:val="20"/>
              </w:rPr>
              <w:t>-</w:t>
            </w:r>
            <w:r>
              <w:rPr>
                <w:spacing w:val="-6"/>
                <w:sz w:val="20"/>
              </w:rPr>
              <w:t xml:space="preserve"> </w:t>
            </w:r>
            <w:r>
              <w:rPr>
                <w:sz w:val="20"/>
              </w:rPr>
              <w:t>Air</w:t>
            </w:r>
            <w:r>
              <w:rPr>
                <w:spacing w:val="-6"/>
                <w:sz w:val="20"/>
              </w:rPr>
              <w:t xml:space="preserve"> </w:t>
            </w:r>
            <w:r>
              <w:rPr>
                <w:sz w:val="20"/>
              </w:rPr>
              <w:t>Distribution</w:t>
            </w:r>
            <w:r>
              <w:rPr>
                <w:spacing w:val="-7"/>
                <w:sz w:val="20"/>
              </w:rPr>
              <w:t xml:space="preserve"> </w:t>
            </w:r>
            <w:r>
              <w:rPr>
                <w:sz w:val="20"/>
              </w:rPr>
              <w:t>- Duct Leakage Testing</w:t>
            </w:r>
          </w:p>
        </w:tc>
        <w:tc>
          <w:tcPr>
            <w:tcW w:w="1183" w:type="dxa"/>
            <w:tcBorders>
              <w:top w:val="single" w:color="D9D9D9" w:sz="2" w:space="0"/>
              <w:bottom w:val="single" w:color="D9D9D9" w:sz="2" w:space="0"/>
            </w:tcBorders>
          </w:tcPr>
          <w:p w:rsidR="00C31389" w:rsidRDefault="00561FBD" w14:paraId="099A380B"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7C64C09B"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403DE681" w14:textId="77777777">
            <w:pPr>
              <w:pStyle w:val="TableParagraph"/>
              <w:spacing w:before="155"/>
              <w:ind w:left="198" w:right="152"/>
              <w:jc w:val="center"/>
              <w:rPr>
                <w:sz w:val="20"/>
              </w:rPr>
            </w:pPr>
            <w:r>
              <w:rPr>
                <w:spacing w:val="-2"/>
                <w:sz w:val="20"/>
              </w:rPr>
              <w:t>On-the-books</w:t>
            </w:r>
          </w:p>
        </w:tc>
      </w:tr>
      <w:tr w:rsidR="00C31389" w14:paraId="35C71CE3" w14:textId="77777777">
        <w:trPr>
          <w:trHeight w:val="539"/>
        </w:trPr>
        <w:tc>
          <w:tcPr>
            <w:tcW w:w="1367" w:type="dxa"/>
            <w:tcBorders>
              <w:top w:val="single" w:color="D9D9D9" w:sz="2" w:space="0"/>
              <w:bottom w:val="single" w:color="D9D9D9" w:sz="2" w:space="0"/>
            </w:tcBorders>
          </w:tcPr>
          <w:p w:rsidR="00C31389" w:rsidRDefault="00561FBD" w14:paraId="7BBD83EB"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307AD205" w14:textId="77777777">
            <w:pPr>
              <w:pStyle w:val="TableParagraph"/>
              <w:ind w:left="202" w:right="392"/>
              <w:rPr>
                <w:sz w:val="20"/>
              </w:rPr>
            </w:pPr>
            <w:r>
              <w:rPr>
                <w:sz w:val="20"/>
              </w:rPr>
              <w:t>2022</w:t>
            </w:r>
            <w:r>
              <w:rPr>
                <w:spacing w:val="-7"/>
                <w:sz w:val="20"/>
              </w:rPr>
              <w:t xml:space="preserve"> </w:t>
            </w:r>
            <w:r>
              <w:rPr>
                <w:sz w:val="20"/>
              </w:rPr>
              <w:t>T-24:</w:t>
            </w:r>
            <w:r>
              <w:rPr>
                <w:spacing w:val="-7"/>
                <w:sz w:val="20"/>
              </w:rPr>
              <w:t xml:space="preserve"> </w:t>
            </w:r>
            <w:r>
              <w:rPr>
                <w:sz w:val="20"/>
              </w:rPr>
              <w:t>NRA</w:t>
            </w:r>
            <w:r>
              <w:rPr>
                <w:spacing w:val="-7"/>
                <w:sz w:val="20"/>
              </w:rPr>
              <w:t xml:space="preserve"> </w:t>
            </w:r>
            <w:r>
              <w:rPr>
                <w:sz w:val="20"/>
              </w:rPr>
              <w:t>-</w:t>
            </w:r>
            <w:r>
              <w:rPr>
                <w:spacing w:val="-7"/>
                <w:sz w:val="20"/>
              </w:rPr>
              <w:t xml:space="preserve"> </w:t>
            </w:r>
            <w:r>
              <w:rPr>
                <w:sz w:val="20"/>
              </w:rPr>
              <w:t>Air</w:t>
            </w:r>
            <w:r>
              <w:rPr>
                <w:spacing w:val="-6"/>
                <w:sz w:val="20"/>
              </w:rPr>
              <w:t xml:space="preserve"> </w:t>
            </w:r>
            <w:r>
              <w:rPr>
                <w:sz w:val="20"/>
              </w:rPr>
              <w:t>Distribution</w:t>
            </w:r>
            <w:r>
              <w:rPr>
                <w:spacing w:val="-7"/>
                <w:sz w:val="20"/>
              </w:rPr>
              <w:t xml:space="preserve"> </w:t>
            </w:r>
            <w:r>
              <w:rPr>
                <w:sz w:val="20"/>
              </w:rPr>
              <w:t>- Fan Energy Index</w:t>
            </w:r>
          </w:p>
        </w:tc>
        <w:tc>
          <w:tcPr>
            <w:tcW w:w="1183" w:type="dxa"/>
            <w:tcBorders>
              <w:top w:val="single" w:color="D9D9D9" w:sz="2" w:space="0"/>
              <w:bottom w:val="single" w:color="D9D9D9" w:sz="2" w:space="0"/>
            </w:tcBorders>
          </w:tcPr>
          <w:p w:rsidR="00C31389" w:rsidRDefault="00561FBD" w14:paraId="72D7E933"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601A2C22"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671BEFB0" w14:textId="77777777">
            <w:pPr>
              <w:pStyle w:val="TableParagraph"/>
              <w:spacing w:before="155"/>
              <w:ind w:left="197" w:right="152"/>
              <w:jc w:val="center"/>
              <w:rPr>
                <w:sz w:val="20"/>
              </w:rPr>
            </w:pPr>
            <w:r>
              <w:rPr>
                <w:spacing w:val="-2"/>
                <w:sz w:val="20"/>
              </w:rPr>
              <w:t>On-the-books</w:t>
            </w:r>
          </w:p>
        </w:tc>
      </w:tr>
      <w:tr w:rsidR="00C31389" w14:paraId="3C7558E3" w14:textId="77777777">
        <w:trPr>
          <w:trHeight w:val="539"/>
        </w:trPr>
        <w:tc>
          <w:tcPr>
            <w:tcW w:w="1367" w:type="dxa"/>
            <w:tcBorders>
              <w:top w:val="single" w:color="D9D9D9" w:sz="2" w:space="0"/>
              <w:bottom w:val="single" w:color="D9D9D9" w:sz="2" w:space="0"/>
            </w:tcBorders>
          </w:tcPr>
          <w:p w:rsidR="00C31389" w:rsidRDefault="00561FBD" w14:paraId="32AC0429"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0C286E9E" w14:textId="77777777">
            <w:pPr>
              <w:pStyle w:val="TableParagraph"/>
              <w:ind w:left="202" w:right="392"/>
              <w:rPr>
                <w:sz w:val="20"/>
              </w:rPr>
            </w:pPr>
            <w:r>
              <w:rPr>
                <w:sz w:val="20"/>
              </w:rPr>
              <w:t>2022</w:t>
            </w:r>
            <w:r>
              <w:rPr>
                <w:spacing w:val="-7"/>
                <w:sz w:val="20"/>
              </w:rPr>
              <w:t xml:space="preserve"> </w:t>
            </w:r>
            <w:r>
              <w:rPr>
                <w:sz w:val="20"/>
              </w:rPr>
              <w:t>T-24:</w:t>
            </w:r>
            <w:r>
              <w:rPr>
                <w:spacing w:val="-7"/>
                <w:sz w:val="20"/>
              </w:rPr>
              <w:t xml:space="preserve"> </w:t>
            </w:r>
            <w:r>
              <w:rPr>
                <w:sz w:val="20"/>
              </w:rPr>
              <w:t>NRA</w:t>
            </w:r>
            <w:r>
              <w:rPr>
                <w:spacing w:val="-7"/>
                <w:sz w:val="20"/>
              </w:rPr>
              <w:t xml:space="preserve"> </w:t>
            </w:r>
            <w:r>
              <w:rPr>
                <w:sz w:val="20"/>
              </w:rPr>
              <w:t>-</w:t>
            </w:r>
            <w:r>
              <w:rPr>
                <w:spacing w:val="-7"/>
                <w:sz w:val="20"/>
              </w:rPr>
              <w:t xml:space="preserve"> </w:t>
            </w:r>
            <w:r>
              <w:rPr>
                <w:sz w:val="20"/>
              </w:rPr>
              <w:t>Air</w:t>
            </w:r>
            <w:r>
              <w:rPr>
                <w:spacing w:val="-6"/>
                <w:sz w:val="20"/>
              </w:rPr>
              <w:t xml:space="preserve"> </w:t>
            </w:r>
            <w:r>
              <w:rPr>
                <w:sz w:val="20"/>
              </w:rPr>
              <w:t>Distribution</w:t>
            </w:r>
            <w:r>
              <w:rPr>
                <w:spacing w:val="-7"/>
                <w:sz w:val="20"/>
              </w:rPr>
              <w:t xml:space="preserve"> </w:t>
            </w:r>
            <w:r>
              <w:rPr>
                <w:sz w:val="20"/>
              </w:rPr>
              <w:t>- Fan Power Budget</w:t>
            </w:r>
          </w:p>
        </w:tc>
        <w:tc>
          <w:tcPr>
            <w:tcW w:w="1183" w:type="dxa"/>
            <w:tcBorders>
              <w:top w:val="single" w:color="D9D9D9" w:sz="2" w:space="0"/>
              <w:bottom w:val="single" w:color="D9D9D9" w:sz="2" w:space="0"/>
            </w:tcBorders>
          </w:tcPr>
          <w:p w:rsidR="00C31389" w:rsidRDefault="00561FBD" w14:paraId="06284F16"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536EAE7F"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58291E1E" w14:textId="77777777">
            <w:pPr>
              <w:pStyle w:val="TableParagraph"/>
              <w:spacing w:before="155"/>
              <w:ind w:left="198" w:right="152"/>
              <w:jc w:val="center"/>
              <w:rPr>
                <w:sz w:val="20"/>
              </w:rPr>
            </w:pPr>
            <w:r>
              <w:rPr>
                <w:spacing w:val="-2"/>
                <w:sz w:val="20"/>
              </w:rPr>
              <w:t>On-the-books</w:t>
            </w:r>
          </w:p>
        </w:tc>
      </w:tr>
      <w:tr w:rsidR="00C31389" w14:paraId="559F3559" w14:textId="77777777">
        <w:trPr>
          <w:trHeight w:val="770"/>
        </w:trPr>
        <w:tc>
          <w:tcPr>
            <w:tcW w:w="1367" w:type="dxa"/>
            <w:tcBorders>
              <w:top w:val="single" w:color="D9D9D9" w:sz="2" w:space="0"/>
              <w:bottom w:val="single" w:color="D9D9D9" w:sz="2" w:space="0"/>
            </w:tcBorders>
          </w:tcPr>
          <w:p w:rsidR="00C31389" w:rsidRDefault="00C31389" w14:paraId="7CDFDD32" w14:textId="77777777">
            <w:pPr>
              <w:pStyle w:val="TableParagraph"/>
              <w:spacing w:before="6"/>
              <w:rPr>
                <w:sz w:val="23"/>
              </w:rPr>
            </w:pPr>
          </w:p>
          <w:p w:rsidR="00C31389" w:rsidRDefault="00561FBD" w14:paraId="3335B41C"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2E4B7435" w14:textId="77777777">
            <w:pPr>
              <w:pStyle w:val="TableParagraph"/>
              <w:ind w:left="202" w:right="327"/>
              <w:rPr>
                <w:sz w:val="20"/>
              </w:rPr>
            </w:pPr>
            <w:r>
              <w:rPr>
                <w:sz w:val="20"/>
              </w:rPr>
              <w:t>2022</w:t>
            </w:r>
            <w:r>
              <w:rPr>
                <w:spacing w:val="-7"/>
                <w:sz w:val="20"/>
              </w:rPr>
              <w:t xml:space="preserve"> </w:t>
            </w:r>
            <w:r>
              <w:rPr>
                <w:sz w:val="20"/>
              </w:rPr>
              <w:t>T-24:</w:t>
            </w:r>
            <w:r>
              <w:rPr>
                <w:spacing w:val="-7"/>
                <w:sz w:val="20"/>
              </w:rPr>
              <w:t xml:space="preserve"> </w:t>
            </w:r>
            <w:r>
              <w:rPr>
                <w:sz w:val="20"/>
              </w:rPr>
              <w:t>NRA</w:t>
            </w:r>
            <w:r>
              <w:rPr>
                <w:spacing w:val="-7"/>
                <w:sz w:val="20"/>
              </w:rPr>
              <w:t xml:space="preserve"> </w:t>
            </w:r>
            <w:r>
              <w:rPr>
                <w:sz w:val="20"/>
              </w:rPr>
              <w:t>-</w:t>
            </w:r>
            <w:r>
              <w:rPr>
                <w:spacing w:val="-7"/>
                <w:sz w:val="20"/>
              </w:rPr>
              <w:t xml:space="preserve"> </w:t>
            </w:r>
            <w:r>
              <w:rPr>
                <w:sz w:val="20"/>
              </w:rPr>
              <w:t>Boilers</w:t>
            </w:r>
            <w:r>
              <w:rPr>
                <w:spacing w:val="-7"/>
                <w:sz w:val="20"/>
              </w:rPr>
              <w:t xml:space="preserve"> </w:t>
            </w:r>
            <w:r>
              <w:rPr>
                <w:sz w:val="20"/>
              </w:rPr>
              <w:t>and</w:t>
            </w:r>
            <w:r>
              <w:rPr>
                <w:spacing w:val="-7"/>
                <w:sz w:val="20"/>
              </w:rPr>
              <w:t xml:space="preserve"> </w:t>
            </w:r>
            <w:r>
              <w:rPr>
                <w:sz w:val="20"/>
              </w:rPr>
              <w:t xml:space="preserve">Service Water Heating - Oxygen </w:t>
            </w:r>
            <w:r>
              <w:rPr>
                <w:spacing w:val="-2"/>
                <w:sz w:val="20"/>
              </w:rPr>
              <w:t>Concentration</w:t>
            </w:r>
          </w:p>
        </w:tc>
        <w:tc>
          <w:tcPr>
            <w:tcW w:w="1183" w:type="dxa"/>
            <w:tcBorders>
              <w:top w:val="single" w:color="D9D9D9" w:sz="2" w:space="0"/>
              <w:bottom w:val="single" w:color="D9D9D9" w:sz="2" w:space="0"/>
            </w:tcBorders>
          </w:tcPr>
          <w:p w:rsidR="00C31389" w:rsidRDefault="00C31389" w14:paraId="1FB5ED86" w14:textId="77777777">
            <w:pPr>
              <w:pStyle w:val="TableParagraph"/>
              <w:spacing w:before="6"/>
              <w:rPr>
                <w:sz w:val="23"/>
              </w:rPr>
            </w:pPr>
          </w:p>
          <w:p w:rsidR="00C31389" w:rsidRDefault="00561FBD" w14:paraId="2165E01C" w14:textId="77777777">
            <w:pPr>
              <w:pStyle w:val="TableParagraph"/>
              <w:spacing w:before="0"/>
              <w:ind w:left="327"/>
              <w:rPr>
                <w:sz w:val="20"/>
              </w:rPr>
            </w:pPr>
            <w:r>
              <w:rPr>
                <w:spacing w:val="-5"/>
                <w:sz w:val="20"/>
              </w:rPr>
              <w:t>85%</w:t>
            </w:r>
          </w:p>
        </w:tc>
        <w:tc>
          <w:tcPr>
            <w:tcW w:w="1367" w:type="dxa"/>
            <w:tcBorders>
              <w:top w:val="single" w:color="D9D9D9" w:sz="2" w:space="0"/>
              <w:bottom w:val="single" w:color="D9D9D9" w:sz="2" w:space="0"/>
            </w:tcBorders>
          </w:tcPr>
          <w:p w:rsidR="00C31389" w:rsidRDefault="00C31389" w14:paraId="5C534F03" w14:textId="77777777">
            <w:pPr>
              <w:pStyle w:val="TableParagraph"/>
              <w:spacing w:before="6"/>
              <w:rPr>
                <w:sz w:val="23"/>
              </w:rPr>
            </w:pPr>
          </w:p>
          <w:p w:rsidR="00C31389" w:rsidRDefault="00561FBD" w14:paraId="030B12D1" w14:textId="77777777">
            <w:pPr>
              <w:pStyle w:val="TableParagraph"/>
              <w:spacing w:before="0"/>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C31389" w14:paraId="5ADD7E8B" w14:textId="77777777">
            <w:pPr>
              <w:pStyle w:val="TableParagraph"/>
              <w:spacing w:before="6"/>
              <w:rPr>
                <w:sz w:val="23"/>
              </w:rPr>
            </w:pPr>
          </w:p>
          <w:p w:rsidR="00C31389" w:rsidRDefault="00561FBD" w14:paraId="7E4C7130" w14:textId="77777777">
            <w:pPr>
              <w:pStyle w:val="TableParagraph"/>
              <w:spacing w:before="0"/>
              <w:ind w:left="198" w:right="152"/>
              <w:jc w:val="center"/>
              <w:rPr>
                <w:sz w:val="20"/>
              </w:rPr>
            </w:pPr>
            <w:r>
              <w:rPr>
                <w:spacing w:val="-2"/>
                <w:sz w:val="20"/>
              </w:rPr>
              <w:t>On-the-books</w:t>
            </w:r>
          </w:p>
        </w:tc>
      </w:tr>
      <w:tr w:rsidR="00C31389" w14:paraId="50D29617" w14:textId="77777777">
        <w:trPr>
          <w:trHeight w:val="539"/>
        </w:trPr>
        <w:tc>
          <w:tcPr>
            <w:tcW w:w="1367" w:type="dxa"/>
            <w:tcBorders>
              <w:top w:val="single" w:color="D9D9D9" w:sz="2" w:space="0"/>
              <w:bottom w:val="single" w:color="D9D9D9" w:sz="2" w:space="0"/>
            </w:tcBorders>
          </w:tcPr>
          <w:p w:rsidR="00C31389" w:rsidRDefault="00561FBD" w14:paraId="57CE7B5C"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275F6512"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NRA</w:t>
            </w:r>
            <w:r>
              <w:rPr>
                <w:spacing w:val="-8"/>
                <w:sz w:val="20"/>
              </w:rPr>
              <w:t xml:space="preserve"> </w:t>
            </w:r>
            <w:r>
              <w:rPr>
                <w:sz w:val="20"/>
              </w:rPr>
              <w:t>-</w:t>
            </w:r>
            <w:r>
              <w:rPr>
                <w:spacing w:val="-8"/>
                <w:sz w:val="20"/>
              </w:rPr>
              <w:t xml:space="preserve"> </w:t>
            </w:r>
            <w:r>
              <w:rPr>
                <w:sz w:val="20"/>
              </w:rPr>
              <w:t>Compressed</w:t>
            </w:r>
            <w:r>
              <w:rPr>
                <w:spacing w:val="-8"/>
                <w:sz w:val="20"/>
              </w:rPr>
              <w:t xml:space="preserve"> </w:t>
            </w:r>
            <w:r>
              <w:rPr>
                <w:sz w:val="20"/>
              </w:rPr>
              <w:t>Air Systems - Monitoring</w:t>
            </w:r>
          </w:p>
        </w:tc>
        <w:tc>
          <w:tcPr>
            <w:tcW w:w="1183" w:type="dxa"/>
            <w:tcBorders>
              <w:top w:val="single" w:color="D9D9D9" w:sz="2" w:space="0"/>
              <w:bottom w:val="single" w:color="D9D9D9" w:sz="2" w:space="0"/>
            </w:tcBorders>
          </w:tcPr>
          <w:p w:rsidR="00C31389" w:rsidRDefault="00561FBD" w14:paraId="11B5258E"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6D6E6D09" w14:textId="77777777">
            <w:pPr>
              <w:pStyle w:val="TableParagraph"/>
              <w:spacing w:before="155"/>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561FBD" w14:paraId="4059D1CE" w14:textId="77777777">
            <w:pPr>
              <w:pStyle w:val="TableParagraph"/>
              <w:spacing w:before="155"/>
              <w:ind w:left="198" w:right="152"/>
              <w:jc w:val="center"/>
              <w:rPr>
                <w:sz w:val="20"/>
              </w:rPr>
            </w:pPr>
            <w:r>
              <w:rPr>
                <w:spacing w:val="-2"/>
                <w:sz w:val="20"/>
              </w:rPr>
              <w:t>On-the-books</w:t>
            </w:r>
          </w:p>
        </w:tc>
      </w:tr>
      <w:tr w:rsidR="00C31389" w14:paraId="6EB2676C" w14:textId="77777777">
        <w:trPr>
          <w:trHeight w:val="770"/>
        </w:trPr>
        <w:tc>
          <w:tcPr>
            <w:tcW w:w="1367" w:type="dxa"/>
            <w:tcBorders>
              <w:top w:val="single" w:color="D9D9D9" w:sz="2" w:space="0"/>
              <w:bottom w:val="single" w:color="D9D9D9" w:sz="2" w:space="0"/>
            </w:tcBorders>
          </w:tcPr>
          <w:p w:rsidR="00C31389" w:rsidRDefault="00C31389" w14:paraId="39D4CA6C" w14:textId="77777777">
            <w:pPr>
              <w:pStyle w:val="TableParagraph"/>
              <w:spacing w:before="6"/>
              <w:rPr>
                <w:sz w:val="23"/>
              </w:rPr>
            </w:pPr>
          </w:p>
          <w:p w:rsidR="00C31389" w:rsidRDefault="00561FBD" w14:paraId="33665173"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74F75CD" w14:textId="77777777">
            <w:pPr>
              <w:pStyle w:val="TableParagraph"/>
              <w:ind w:left="202" w:right="392"/>
              <w:rPr>
                <w:sz w:val="20"/>
              </w:rPr>
            </w:pPr>
            <w:r>
              <w:rPr>
                <w:sz w:val="20"/>
              </w:rPr>
              <w:t>2022</w:t>
            </w:r>
            <w:r>
              <w:rPr>
                <w:spacing w:val="-8"/>
                <w:sz w:val="20"/>
              </w:rPr>
              <w:t xml:space="preserve"> </w:t>
            </w:r>
            <w:r>
              <w:rPr>
                <w:sz w:val="20"/>
              </w:rPr>
              <w:t>T-24:</w:t>
            </w:r>
            <w:r>
              <w:rPr>
                <w:spacing w:val="-8"/>
                <w:sz w:val="20"/>
              </w:rPr>
              <w:t xml:space="preserve"> </w:t>
            </w:r>
            <w:r>
              <w:rPr>
                <w:sz w:val="20"/>
              </w:rPr>
              <w:t>NRA</w:t>
            </w:r>
            <w:r>
              <w:rPr>
                <w:spacing w:val="-8"/>
                <w:sz w:val="20"/>
              </w:rPr>
              <w:t xml:space="preserve"> </w:t>
            </w:r>
            <w:r>
              <w:rPr>
                <w:sz w:val="20"/>
              </w:rPr>
              <w:t>-</w:t>
            </w:r>
            <w:r>
              <w:rPr>
                <w:spacing w:val="-8"/>
                <w:sz w:val="20"/>
              </w:rPr>
              <w:t xml:space="preserve"> </w:t>
            </w:r>
            <w:r>
              <w:rPr>
                <w:sz w:val="20"/>
              </w:rPr>
              <w:t>Computer</w:t>
            </w:r>
            <w:r>
              <w:rPr>
                <w:spacing w:val="-7"/>
                <w:sz w:val="20"/>
              </w:rPr>
              <w:t xml:space="preserve"> </w:t>
            </w:r>
            <w:r>
              <w:rPr>
                <w:sz w:val="20"/>
              </w:rPr>
              <w:t xml:space="preserve">Room Efficiency - </w:t>
            </w:r>
            <w:r>
              <w:rPr>
                <w:sz w:val="20"/>
              </w:rPr>
              <w:t>Uninterruptible Power Supply Efficiency</w:t>
            </w:r>
          </w:p>
        </w:tc>
        <w:tc>
          <w:tcPr>
            <w:tcW w:w="1183" w:type="dxa"/>
            <w:tcBorders>
              <w:top w:val="single" w:color="D9D9D9" w:sz="2" w:space="0"/>
              <w:bottom w:val="single" w:color="D9D9D9" w:sz="2" w:space="0"/>
            </w:tcBorders>
          </w:tcPr>
          <w:p w:rsidR="00C31389" w:rsidRDefault="00C31389" w14:paraId="3E672F2F" w14:textId="77777777">
            <w:pPr>
              <w:pStyle w:val="TableParagraph"/>
              <w:spacing w:before="6"/>
              <w:rPr>
                <w:sz w:val="23"/>
              </w:rPr>
            </w:pPr>
          </w:p>
          <w:p w:rsidR="00C31389" w:rsidRDefault="00561FBD" w14:paraId="178A05B4" w14:textId="77777777">
            <w:pPr>
              <w:pStyle w:val="TableParagraph"/>
              <w:spacing w:before="0"/>
              <w:ind w:left="327"/>
              <w:rPr>
                <w:sz w:val="20"/>
              </w:rPr>
            </w:pPr>
            <w:r>
              <w:rPr>
                <w:spacing w:val="-5"/>
                <w:sz w:val="20"/>
              </w:rPr>
              <w:t>85%</w:t>
            </w:r>
          </w:p>
        </w:tc>
        <w:tc>
          <w:tcPr>
            <w:tcW w:w="1367" w:type="dxa"/>
            <w:tcBorders>
              <w:top w:val="single" w:color="D9D9D9" w:sz="2" w:space="0"/>
              <w:bottom w:val="single" w:color="D9D9D9" w:sz="2" w:space="0"/>
            </w:tcBorders>
          </w:tcPr>
          <w:p w:rsidR="00C31389" w:rsidRDefault="00C31389" w14:paraId="250985E3" w14:textId="77777777">
            <w:pPr>
              <w:pStyle w:val="TableParagraph"/>
              <w:spacing w:before="6"/>
              <w:rPr>
                <w:sz w:val="23"/>
              </w:rPr>
            </w:pPr>
          </w:p>
          <w:p w:rsidR="00C31389" w:rsidRDefault="00561FBD" w14:paraId="7962117B" w14:textId="77777777">
            <w:pPr>
              <w:pStyle w:val="TableParagraph"/>
              <w:spacing w:before="0"/>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C31389" w14:paraId="4245887B" w14:textId="77777777">
            <w:pPr>
              <w:pStyle w:val="TableParagraph"/>
              <w:spacing w:before="6"/>
              <w:rPr>
                <w:sz w:val="23"/>
              </w:rPr>
            </w:pPr>
          </w:p>
          <w:p w:rsidR="00C31389" w:rsidRDefault="00561FBD" w14:paraId="0091A6A3" w14:textId="77777777">
            <w:pPr>
              <w:pStyle w:val="TableParagraph"/>
              <w:spacing w:before="0"/>
              <w:ind w:left="197" w:right="152"/>
              <w:jc w:val="center"/>
              <w:rPr>
                <w:sz w:val="20"/>
              </w:rPr>
            </w:pPr>
            <w:r>
              <w:rPr>
                <w:spacing w:val="-2"/>
                <w:sz w:val="20"/>
              </w:rPr>
              <w:t>On-the-books</w:t>
            </w:r>
          </w:p>
        </w:tc>
      </w:tr>
      <w:tr w:rsidR="00C31389" w14:paraId="48C71D80" w14:textId="77777777">
        <w:trPr>
          <w:trHeight w:val="770"/>
        </w:trPr>
        <w:tc>
          <w:tcPr>
            <w:tcW w:w="1367" w:type="dxa"/>
            <w:tcBorders>
              <w:top w:val="single" w:color="D9D9D9" w:sz="2" w:space="0"/>
              <w:bottom w:val="single" w:color="D9D9D9" w:sz="2" w:space="0"/>
            </w:tcBorders>
          </w:tcPr>
          <w:p w:rsidR="00C31389" w:rsidRDefault="00C31389" w14:paraId="4D367A85" w14:textId="77777777">
            <w:pPr>
              <w:pStyle w:val="TableParagraph"/>
              <w:spacing w:before="6"/>
              <w:rPr>
                <w:sz w:val="23"/>
              </w:rPr>
            </w:pPr>
          </w:p>
          <w:p w:rsidR="00C31389" w:rsidRDefault="00561FBD" w14:paraId="3E070F11"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2FD9D558" w14:textId="77777777">
            <w:pPr>
              <w:pStyle w:val="TableParagraph"/>
              <w:ind w:left="202" w:right="392"/>
              <w:rPr>
                <w:sz w:val="20"/>
              </w:rPr>
            </w:pPr>
            <w:r>
              <w:rPr>
                <w:sz w:val="20"/>
              </w:rPr>
              <w:t>2022 T-24: NRA - Controlled Environment</w:t>
            </w:r>
            <w:r>
              <w:rPr>
                <w:spacing w:val="-13"/>
                <w:sz w:val="20"/>
              </w:rPr>
              <w:t xml:space="preserve"> </w:t>
            </w:r>
            <w:r>
              <w:rPr>
                <w:sz w:val="20"/>
              </w:rPr>
              <w:t>Horticulture</w:t>
            </w:r>
            <w:r>
              <w:rPr>
                <w:spacing w:val="-13"/>
                <w:sz w:val="20"/>
              </w:rPr>
              <w:t xml:space="preserve"> </w:t>
            </w:r>
            <w:r>
              <w:rPr>
                <w:sz w:val="20"/>
              </w:rPr>
              <w:t>-</w:t>
            </w:r>
            <w:r>
              <w:rPr>
                <w:spacing w:val="-13"/>
                <w:sz w:val="20"/>
              </w:rPr>
              <w:t xml:space="preserve"> </w:t>
            </w:r>
            <w:r>
              <w:rPr>
                <w:sz w:val="20"/>
              </w:rPr>
              <w:t xml:space="preserve">Efficient </w:t>
            </w:r>
            <w:r>
              <w:rPr>
                <w:spacing w:val="-2"/>
                <w:sz w:val="20"/>
              </w:rPr>
              <w:t>Dehumidification</w:t>
            </w:r>
          </w:p>
        </w:tc>
        <w:tc>
          <w:tcPr>
            <w:tcW w:w="1183" w:type="dxa"/>
            <w:tcBorders>
              <w:top w:val="single" w:color="D9D9D9" w:sz="2" w:space="0"/>
              <w:bottom w:val="single" w:color="D9D9D9" w:sz="2" w:space="0"/>
            </w:tcBorders>
          </w:tcPr>
          <w:p w:rsidR="00C31389" w:rsidRDefault="00C31389" w14:paraId="52DA6676" w14:textId="77777777">
            <w:pPr>
              <w:pStyle w:val="TableParagraph"/>
              <w:spacing w:before="6"/>
              <w:rPr>
                <w:sz w:val="23"/>
              </w:rPr>
            </w:pPr>
          </w:p>
          <w:p w:rsidR="00C31389" w:rsidRDefault="00561FBD" w14:paraId="1F99A060" w14:textId="77777777">
            <w:pPr>
              <w:pStyle w:val="TableParagraph"/>
              <w:spacing w:before="0"/>
              <w:ind w:left="327"/>
              <w:rPr>
                <w:sz w:val="20"/>
              </w:rPr>
            </w:pPr>
            <w:r>
              <w:rPr>
                <w:spacing w:val="-5"/>
                <w:sz w:val="20"/>
              </w:rPr>
              <w:t>85%</w:t>
            </w:r>
          </w:p>
        </w:tc>
        <w:tc>
          <w:tcPr>
            <w:tcW w:w="1367" w:type="dxa"/>
            <w:tcBorders>
              <w:top w:val="single" w:color="D9D9D9" w:sz="2" w:space="0"/>
              <w:bottom w:val="single" w:color="D9D9D9" w:sz="2" w:space="0"/>
            </w:tcBorders>
          </w:tcPr>
          <w:p w:rsidR="00C31389" w:rsidRDefault="00C31389" w14:paraId="63AA3EBE" w14:textId="77777777">
            <w:pPr>
              <w:pStyle w:val="TableParagraph"/>
              <w:spacing w:before="6"/>
              <w:rPr>
                <w:sz w:val="23"/>
              </w:rPr>
            </w:pPr>
          </w:p>
          <w:p w:rsidR="00C31389" w:rsidRDefault="00561FBD" w14:paraId="1535DDE3" w14:textId="77777777">
            <w:pPr>
              <w:pStyle w:val="TableParagraph"/>
              <w:spacing w:before="0"/>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C31389" w14:paraId="4E8DFF4B" w14:textId="77777777">
            <w:pPr>
              <w:pStyle w:val="TableParagraph"/>
              <w:spacing w:before="6"/>
              <w:rPr>
                <w:sz w:val="23"/>
              </w:rPr>
            </w:pPr>
          </w:p>
          <w:p w:rsidR="00C31389" w:rsidRDefault="00561FBD" w14:paraId="3887B212" w14:textId="77777777">
            <w:pPr>
              <w:pStyle w:val="TableParagraph"/>
              <w:spacing w:before="0"/>
              <w:ind w:left="198" w:right="152"/>
              <w:jc w:val="center"/>
              <w:rPr>
                <w:sz w:val="20"/>
              </w:rPr>
            </w:pPr>
            <w:r>
              <w:rPr>
                <w:spacing w:val="-2"/>
                <w:sz w:val="20"/>
              </w:rPr>
              <w:t>On-the-books</w:t>
            </w:r>
          </w:p>
        </w:tc>
      </w:tr>
      <w:tr w:rsidR="00C31389" w14:paraId="6EE77FD2" w14:textId="77777777">
        <w:trPr>
          <w:trHeight w:val="768"/>
        </w:trPr>
        <w:tc>
          <w:tcPr>
            <w:tcW w:w="1367" w:type="dxa"/>
            <w:tcBorders>
              <w:top w:val="single" w:color="D9D9D9" w:sz="2" w:space="0"/>
              <w:bottom w:val="single" w:color="D9D9D9" w:sz="2" w:space="0"/>
            </w:tcBorders>
          </w:tcPr>
          <w:p w:rsidR="00C31389" w:rsidRDefault="00C31389" w14:paraId="19C3A3D9" w14:textId="77777777">
            <w:pPr>
              <w:pStyle w:val="TableParagraph"/>
              <w:spacing w:before="5"/>
              <w:rPr>
                <w:sz w:val="23"/>
              </w:rPr>
            </w:pPr>
          </w:p>
          <w:p w:rsidR="00C31389" w:rsidRDefault="00561FBD" w14:paraId="01718857"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B88102C" w14:textId="77777777">
            <w:pPr>
              <w:pStyle w:val="TableParagraph"/>
              <w:ind w:left="202" w:right="392"/>
              <w:rPr>
                <w:sz w:val="20"/>
              </w:rPr>
            </w:pPr>
            <w:r>
              <w:rPr>
                <w:sz w:val="20"/>
              </w:rPr>
              <w:t>2022 T-24: NRA - Controlled Environment</w:t>
            </w:r>
            <w:r>
              <w:rPr>
                <w:spacing w:val="-12"/>
                <w:sz w:val="20"/>
              </w:rPr>
              <w:t xml:space="preserve"> </w:t>
            </w:r>
            <w:r>
              <w:rPr>
                <w:sz w:val="20"/>
              </w:rPr>
              <w:t>Horticulture</w:t>
            </w:r>
            <w:r>
              <w:rPr>
                <w:spacing w:val="-12"/>
                <w:sz w:val="20"/>
              </w:rPr>
              <w:t xml:space="preserve"> </w:t>
            </w:r>
            <w:r>
              <w:rPr>
                <w:sz w:val="20"/>
              </w:rPr>
              <w:t>-</w:t>
            </w:r>
            <w:r>
              <w:rPr>
                <w:spacing w:val="-13"/>
                <w:sz w:val="20"/>
              </w:rPr>
              <w:t xml:space="preserve"> </w:t>
            </w:r>
            <w:r>
              <w:rPr>
                <w:sz w:val="20"/>
              </w:rPr>
              <w:t xml:space="preserve">Lighting </w:t>
            </w:r>
            <w:r>
              <w:rPr>
                <w:spacing w:val="-2"/>
                <w:sz w:val="20"/>
              </w:rPr>
              <w:t>Efficacy</w:t>
            </w:r>
          </w:p>
        </w:tc>
        <w:tc>
          <w:tcPr>
            <w:tcW w:w="1183" w:type="dxa"/>
            <w:tcBorders>
              <w:top w:val="single" w:color="D9D9D9" w:sz="2" w:space="0"/>
              <w:bottom w:val="single" w:color="D9D9D9" w:sz="2" w:space="0"/>
            </w:tcBorders>
          </w:tcPr>
          <w:p w:rsidR="00C31389" w:rsidRDefault="00C31389" w14:paraId="2DE16C63" w14:textId="77777777">
            <w:pPr>
              <w:pStyle w:val="TableParagraph"/>
              <w:spacing w:before="5"/>
              <w:rPr>
                <w:sz w:val="23"/>
              </w:rPr>
            </w:pPr>
          </w:p>
          <w:p w:rsidR="00C31389" w:rsidRDefault="00561FBD" w14:paraId="3C07CF7B" w14:textId="77777777">
            <w:pPr>
              <w:pStyle w:val="TableParagraph"/>
              <w:spacing w:before="0"/>
              <w:ind w:left="327"/>
              <w:rPr>
                <w:sz w:val="20"/>
              </w:rPr>
            </w:pPr>
            <w:r>
              <w:rPr>
                <w:spacing w:val="-5"/>
                <w:sz w:val="20"/>
              </w:rPr>
              <w:t>85%</w:t>
            </w:r>
          </w:p>
        </w:tc>
        <w:tc>
          <w:tcPr>
            <w:tcW w:w="1367" w:type="dxa"/>
            <w:tcBorders>
              <w:top w:val="single" w:color="D9D9D9" w:sz="2" w:space="0"/>
              <w:bottom w:val="single" w:color="D9D9D9" w:sz="2" w:space="0"/>
            </w:tcBorders>
          </w:tcPr>
          <w:p w:rsidR="00C31389" w:rsidRDefault="00C31389" w14:paraId="12AF8065" w14:textId="77777777">
            <w:pPr>
              <w:pStyle w:val="TableParagraph"/>
              <w:spacing w:before="5"/>
              <w:rPr>
                <w:sz w:val="23"/>
              </w:rPr>
            </w:pPr>
          </w:p>
          <w:p w:rsidR="00C31389" w:rsidRDefault="00561FBD" w14:paraId="71DD6CF1" w14:textId="77777777">
            <w:pPr>
              <w:pStyle w:val="TableParagraph"/>
              <w:spacing w:before="0"/>
              <w:ind w:right="233"/>
              <w:jc w:val="right"/>
              <w:rPr>
                <w:sz w:val="20"/>
              </w:rPr>
            </w:pPr>
            <w:r>
              <w:rPr>
                <w:spacing w:val="-2"/>
                <w:sz w:val="20"/>
              </w:rPr>
              <w:t>10/01/23</w:t>
            </w:r>
          </w:p>
        </w:tc>
        <w:tc>
          <w:tcPr>
            <w:tcW w:w="1580" w:type="dxa"/>
            <w:tcBorders>
              <w:top w:val="single" w:color="D9D9D9" w:sz="2" w:space="0"/>
              <w:bottom w:val="single" w:color="D9D9D9" w:sz="2" w:space="0"/>
            </w:tcBorders>
          </w:tcPr>
          <w:p w:rsidR="00C31389" w:rsidRDefault="00C31389" w14:paraId="56A959FA" w14:textId="77777777">
            <w:pPr>
              <w:pStyle w:val="TableParagraph"/>
              <w:spacing w:before="5"/>
              <w:rPr>
                <w:sz w:val="23"/>
              </w:rPr>
            </w:pPr>
          </w:p>
          <w:p w:rsidR="00C31389" w:rsidRDefault="00561FBD" w14:paraId="39EDB28C" w14:textId="77777777">
            <w:pPr>
              <w:pStyle w:val="TableParagraph"/>
              <w:spacing w:before="0"/>
              <w:ind w:left="197" w:right="152"/>
              <w:jc w:val="center"/>
              <w:rPr>
                <w:sz w:val="20"/>
              </w:rPr>
            </w:pPr>
            <w:r>
              <w:rPr>
                <w:spacing w:val="-2"/>
                <w:sz w:val="20"/>
              </w:rPr>
              <w:t>On-the-books</w:t>
            </w:r>
          </w:p>
        </w:tc>
      </w:tr>
      <w:tr w:rsidR="00C31389" w14:paraId="4B36F169" w14:textId="77777777">
        <w:trPr>
          <w:trHeight w:val="541"/>
        </w:trPr>
        <w:tc>
          <w:tcPr>
            <w:tcW w:w="1367" w:type="dxa"/>
            <w:tcBorders>
              <w:top w:val="single" w:color="D9D9D9" w:sz="2" w:space="0"/>
              <w:bottom w:val="single" w:color="D9D9D9" w:sz="2" w:space="0"/>
            </w:tcBorders>
          </w:tcPr>
          <w:p w:rsidR="00C31389" w:rsidRDefault="00561FBD" w14:paraId="421F88C2"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4ECE62DA" w14:textId="77777777">
            <w:pPr>
              <w:pStyle w:val="TableParagraph"/>
              <w:spacing w:before="41"/>
              <w:ind w:left="202" w:right="392"/>
              <w:rPr>
                <w:sz w:val="20"/>
              </w:rPr>
            </w:pPr>
            <w:r>
              <w:rPr>
                <w:sz w:val="20"/>
              </w:rPr>
              <w:t>2022 T-24: NRA - Daylighting - Automatic</w:t>
            </w:r>
            <w:r>
              <w:rPr>
                <w:spacing w:val="-9"/>
                <w:sz w:val="20"/>
              </w:rPr>
              <w:t xml:space="preserve"> </w:t>
            </w:r>
            <w:r>
              <w:rPr>
                <w:sz w:val="20"/>
              </w:rPr>
              <w:t>Daylight</w:t>
            </w:r>
            <w:r>
              <w:rPr>
                <w:spacing w:val="-10"/>
                <w:sz w:val="20"/>
              </w:rPr>
              <w:t xml:space="preserve"> </w:t>
            </w:r>
            <w:r>
              <w:rPr>
                <w:sz w:val="20"/>
              </w:rPr>
              <w:t>Dimming</w:t>
            </w:r>
            <w:r>
              <w:rPr>
                <w:spacing w:val="-10"/>
                <w:sz w:val="20"/>
              </w:rPr>
              <w:t xml:space="preserve"> </w:t>
            </w:r>
            <w:r>
              <w:rPr>
                <w:sz w:val="20"/>
              </w:rPr>
              <w:t>to</w:t>
            </w:r>
            <w:r>
              <w:rPr>
                <w:spacing w:val="-10"/>
                <w:sz w:val="20"/>
              </w:rPr>
              <w:t xml:space="preserve"> </w:t>
            </w:r>
            <w:r>
              <w:rPr>
                <w:sz w:val="20"/>
              </w:rPr>
              <w:t>10%</w:t>
            </w:r>
          </w:p>
        </w:tc>
        <w:tc>
          <w:tcPr>
            <w:tcW w:w="1183" w:type="dxa"/>
            <w:tcBorders>
              <w:top w:val="single" w:color="D9D9D9" w:sz="2" w:space="0"/>
              <w:bottom w:val="single" w:color="D9D9D9" w:sz="2" w:space="0"/>
            </w:tcBorders>
          </w:tcPr>
          <w:p w:rsidR="00C31389" w:rsidRDefault="00561FBD" w14:paraId="5EB32002"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18DFCC43" w14:textId="77777777">
            <w:pPr>
              <w:pStyle w:val="TableParagraph"/>
              <w:spacing w:before="155"/>
              <w:ind w:right="233"/>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5CABF084" w14:textId="77777777">
            <w:pPr>
              <w:pStyle w:val="TableParagraph"/>
              <w:spacing w:before="155"/>
              <w:ind w:left="198" w:right="152"/>
              <w:jc w:val="center"/>
              <w:rPr>
                <w:sz w:val="20"/>
              </w:rPr>
            </w:pPr>
            <w:r>
              <w:rPr>
                <w:spacing w:val="-2"/>
                <w:sz w:val="20"/>
              </w:rPr>
              <w:t>On-the-books</w:t>
            </w:r>
          </w:p>
        </w:tc>
      </w:tr>
      <w:tr w:rsidR="00C31389" w14:paraId="354E44A3" w14:textId="77777777">
        <w:trPr>
          <w:trHeight w:val="539"/>
        </w:trPr>
        <w:tc>
          <w:tcPr>
            <w:tcW w:w="1367" w:type="dxa"/>
            <w:tcBorders>
              <w:top w:val="single" w:color="D9D9D9" w:sz="2" w:space="0"/>
              <w:bottom w:val="single" w:color="D9D9D9" w:sz="2" w:space="0"/>
            </w:tcBorders>
          </w:tcPr>
          <w:p w:rsidR="00C31389" w:rsidRDefault="00561FBD" w14:paraId="15D833D8"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2249B21F" w14:textId="77777777">
            <w:pPr>
              <w:pStyle w:val="TableParagraph"/>
              <w:ind w:left="202" w:right="392"/>
              <w:rPr>
                <w:sz w:val="20"/>
              </w:rPr>
            </w:pPr>
            <w:r>
              <w:rPr>
                <w:sz w:val="20"/>
              </w:rPr>
              <w:t>2022</w:t>
            </w:r>
            <w:r>
              <w:rPr>
                <w:spacing w:val="-6"/>
                <w:sz w:val="20"/>
              </w:rPr>
              <w:t xml:space="preserve"> </w:t>
            </w:r>
            <w:r>
              <w:rPr>
                <w:sz w:val="20"/>
              </w:rPr>
              <w:t>T-24:</w:t>
            </w:r>
            <w:r>
              <w:rPr>
                <w:spacing w:val="-6"/>
                <w:sz w:val="20"/>
              </w:rPr>
              <w:t xml:space="preserve"> </w:t>
            </w:r>
            <w:r>
              <w:rPr>
                <w:sz w:val="20"/>
              </w:rPr>
              <w:t>NRA</w:t>
            </w:r>
            <w:r>
              <w:rPr>
                <w:spacing w:val="-6"/>
                <w:sz w:val="20"/>
              </w:rPr>
              <w:t xml:space="preserve"> </w:t>
            </w:r>
            <w:r>
              <w:rPr>
                <w:sz w:val="20"/>
              </w:rPr>
              <w:t>-</w:t>
            </w:r>
            <w:r>
              <w:rPr>
                <w:spacing w:val="-6"/>
                <w:sz w:val="20"/>
              </w:rPr>
              <w:t xml:space="preserve"> </w:t>
            </w:r>
            <w:r>
              <w:rPr>
                <w:sz w:val="20"/>
              </w:rPr>
              <w:t>Envelope</w:t>
            </w:r>
            <w:r>
              <w:rPr>
                <w:spacing w:val="-6"/>
                <w:sz w:val="20"/>
              </w:rPr>
              <w:t xml:space="preserve"> </w:t>
            </w:r>
            <w:r>
              <w:rPr>
                <w:sz w:val="20"/>
              </w:rPr>
              <w:t>-</w:t>
            </w:r>
            <w:r>
              <w:rPr>
                <w:spacing w:val="-6"/>
                <w:sz w:val="20"/>
              </w:rPr>
              <w:t xml:space="preserve"> </w:t>
            </w:r>
            <w:r>
              <w:rPr>
                <w:sz w:val="20"/>
              </w:rPr>
              <w:t>Cool Roofs: Steep-Sloped</w:t>
            </w:r>
          </w:p>
        </w:tc>
        <w:tc>
          <w:tcPr>
            <w:tcW w:w="1183" w:type="dxa"/>
            <w:tcBorders>
              <w:top w:val="single" w:color="D9D9D9" w:sz="2" w:space="0"/>
              <w:bottom w:val="single" w:color="D9D9D9" w:sz="2" w:space="0"/>
            </w:tcBorders>
          </w:tcPr>
          <w:p w:rsidR="00C31389" w:rsidRDefault="00561FBD" w14:paraId="00432223"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2A814825" w14:textId="77777777">
            <w:pPr>
              <w:pStyle w:val="TableParagraph"/>
              <w:spacing w:before="155"/>
              <w:ind w:right="233"/>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3CB98C75" w14:textId="77777777">
            <w:pPr>
              <w:pStyle w:val="TableParagraph"/>
              <w:spacing w:before="155"/>
              <w:ind w:left="197" w:right="152"/>
              <w:jc w:val="center"/>
              <w:rPr>
                <w:sz w:val="20"/>
              </w:rPr>
            </w:pPr>
            <w:r>
              <w:rPr>
                <w:spacing w:val="-2"/>
                <w:sz w:val="20"/>
              </w:rPr>
              <w:t>On-the-books</w:t>
            </w:r>
          </w:p>
        </w:tc>
      </w:tr>
      <w:tr w:rsidR="00C31389" w14:paraId="59A5ABD0" w14:textId="77777777">
        <w:trPr>
          <w:trHeight w:val="539"/>
        </w:trPr>
        <w:tc>
          <w:tcPr>
            <w:tcW w:w="1367" w:type="dxa"/>
            <w:tcBorders>
              <w:top w:val="single" w:color="D9D9D9" w:sz="2" w:space="0"/>
              <w:bottom w:val="single" w:color="D9D9D9" w:sz="2" w:space="0"/>
            </w:tcBorders>
          </w:tcPr>
          <w:p w:rsidR="00C31389" w:rsidRDefault="00561FBD" w14:paraId="16ABFCC8"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5F0D36C8" w14:textId="77777777">
            <w:pPr>
              <w:pStyle w:val="TableParagraph"/>
              <w:ind w:left="202"/>
              <w:rPr>
                <w:sz w:val="20"/>
              </w:rPr>
            </w:pPr>
            <w:r>
              <w:rPr>
                <w:sz w:val="20"/>
              </w:rPr>
              <w:t>2022</w:t>
            </w:r>
            <w:r>
              <w:rPr>
                <w:spacing w:val="-6"/>
                <w:sz w:val="20"/>
              </w:rPr>
              <w:t xml:space="preserve"> </w:t>
            </w:r>
            <w:r>
              <w:rPr>
                <w:sz w:val="20"/>
              </w:rPr>
              <w:t>T-24:</w:t>
            </w:r>
            <w:r>
              <w:rPr>
                <w:spacing w:val="-6"/>
                <w:sz w:val="20"/>
              </w:rPr>
              <w:t xml:space="preserve"> </w:t>
            </w:r>
            <w:r>
              <w:rPr>
                <w:sz w:val="20"/>
              </w:rPr>
              <w:t>NRA</w:t>
            </w:r>
            <w:r>
              <w:rPr>
                <w:spacing w:val="-6"/>
                <w:sz w:val="20"/>
              </w:rPr>
              <w:t xml:space="preserve"> </w:t>
            </w:r>
            <w:r>
              <w:rPr>
                <w:sz w:val="20"/>
              </w:rPr>
              <w:t>-</w:t>
            </w:r>
            <w:r>
              <w:rPr>
                <w:spacing w:val="-6"/>
                <w:sz w:val="20"/>
              </w:rPr>
              <w:t xml:space="preserve"> </w:t>
            </w:r>
            <w:r>
              <w:rPr>
                <w:sz w:val="20"/>
              </w:rPr>
              <w:t>Envelope</w:t>
            </w:r>
            <w:r>
              <w:rPr>
                <w:spacing w:val="-6"/>
                <w:sz w:val="20"/>
              </w:rPr>
              <w:t xml:space="preserve"> </w:t>
            </w:r>
            <w:r>
              <w:rPr>
                <w:sz w:val="20"/>
              </w:rPr>
              <w:t>-</w:t>
            </w:r>
            <w:r>
              <w:rPr>
                <w:spacing w:val="-6"/>
                <w:sz w:val="20"/>
              </w:rPr>
              <w:t xml:space="preserve"> </w:t>
            </w:r>
            <w:r>
              <w:rPr>
                <w:sz w:val="20"/>
              </w:rPr>
              <w:t xml:space="preserve">Roof </w:t>
            </w:r>
            <w:r>
              <w:rPr>
                <w:spacing w:val="-2"/>
                <w:sz w:val="20"/>
              </w:rPr>
              <w:t>Recovers</w:t>
            </w:r>
          </w:p>
        </w:tc>
        <w:tc>
          <w:tcPr>
            <w:tcW w:w="1183" w:type="dxa"/>
            <w:tcBorders>
              <w:top w:val="single" w:color="D9D9D9" w:sz="2" w:space="0"/>
              <w:bottom w:val="single" w:color="D9D9D9" w:sz="2" w:space="0"/>
            </w:tcBorders>
          </w:tcPr>
          <w:p w:rsidR="00C31389" w:rsidRDefault="00561FBD" w14:paraId="18FB845B"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0411478B" w14:textId="77777777">
            <w:pPr>
              <w:pStyle w:val="TableParagraph"/>
              <w:spacing w:before="155"/>
              <w:ind w:right="233"/>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25F2409E" w14:textId="77777777">
            <w:pPr>
              <w:pStyle w:val="TableParagraph"/>
              <w:spacing w:before="155"/>
              <w:ind w:left="198" w:right="152"/>
              <w:jc w:val="center"/>
              <w:rPr>
                <w:sz w:val="20"/>
              </w:rPr>
            </w:pPr>
            <w:r>
              <w:rPr>
                <w:spacing w:val="-2"/>
                <w:sz w:val="20"/>
              </w:rPr>
              <w:t>On-the-books</w:t>
            </w:r>
          </w:p>
        </w:tc>
      </w:tr>
      <w:tr w:rsidR="00C31389" w14:paraId="45EE348B" w14:textId="77777777">
        <w:trPr>
          <w:trHeight w:val="539"/>
        </w:trPr>
        <w:tc>
          <w:tcPr>
            <w:tcW w:w="1367" w:type="dxa"/>
            <w:tcBorders>
              <w:top w:val="single" w:color="D9D9D9" w:sz="2" w:space="0"/>
              <w:bottom w:val="single" w:color="D9D9D9" w:sz="2" w:space="0"/>
            </w:tcBorders>
          </w:tcPr>
          <w:p w:rsidR="00C31389" w:rsidRDefault="00561FBD" w14:paraId="43BD302A"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4BEDA0C9" w14:textId="77777777">
            <w:pPr>
              <w:pStyle w:val="TableParagraph"/>
              <w:ind w:left="202"/>
              <w:rPr>
                <w:sz w:val="20"/>
              </w:rPr>
            </w:pPr>
            <w:r>
              <w:rPr>
                <w:sz w:val="20"/>
              </w:rPr>
              <w:t>2022</w:t>
            </w:r>
            <w:r>
              <w:rPr>
                <w:spacing w:val="-7"/>
                <w:sz w:val="20"/>
              </w:rPr>
              <w:t xml:space="preserve"> </w:t>
            </w:r>
            <w:r>
              <w:rPr>
                <w:sz w:val="20"/>
              </w:rPr>
              <w:t>T-24:</w:t>
            </w:r>
            <w:r>
              <w:rPr>
                <w:spacing w:val="-7"/>
                <w:sz w:val="20"/>
              </w:rPr>
              <w:t xml:space="preserve"> </w:t>
            </w:r>
            <w:r>
              <w:rPr>
                <w:sz w:val="20"/>
              </w:rPr>
              <w:t>NRA</w:t>
            </w:r>
            <w:r>
              <w:rPr>
                <w:spacing w:val="-7"/>
                <w:sz w:val="20"/>
              </w:rPr>
              <w:t xml:space="preserve"> </w:t>
            </w:r>
            <w:r>
              <w:rPr>
                <w:sz w:val="20"/>
              </w:rPr>
              <w:t>-</w:t>
            </w:r>
            <w:r>
              <w:rPr>
                <w:spacing w:val="-7"/>
                <w:sz w:val="20"/>
              </w:rPr>
              <w:t xml:space="preserve"> </w:t>
            </w:r>
            <w:r>
              <w:rPr>
                <w:sz w:val="20"/>
              </w:rPr>
              <w:t>Envelope</w:t>
            </w:r>
            <w:r>
              <w:rPr>
                <w:spacing w:val="-7"/>
                <w:sz w:val="20"/>
              </w:rPr>
              <w:t xml:space="preserve"> </w:t>
            </w:r>
            <w:r>
              <w:rPr>
                <w:sz w:val="20"/>
              </w:rPr>
              <w:t>-</w:t>
            </w:r>
            <w:r>
              <w:rPr>
                <w:spacing w:val="-7"/>
                <w:sz w:val="20"/>
              </w:rPr>
              <w:t xml:space="preserve"> </w:t>
            </w:r>
            <w:r>
              <w:rPr>
                <w:sz w:val="20"/>
              </w:rPr>
              <w:t xml:space="preserve">Roof </w:t>
            </w:r>
            <w:r>
              <w:rPr>
                <w:spacing w:val="-2"/>
                <w:sz w:val="20"/>
              </w:rPr>
              <w:t>Replacements</w:t>
            </w:r>
          </w:p>
        </w:tc>
        <w:tc>
          <w:tcPr>
            <w:tcW w:w="1183" w:type="dxa"/>
            <w:tcBorders>
              <w:top w:val="single" w:color="D9D9D9" w:sz="2" w:space="0"/>
              <w:bottom w:val="single" w:color="D9D9D9" w:sz="2" w:space="0"/>
            </w:tcBorders>
          </w:tcPr>
          <w:p w:rsidR="00C31389" w:rsidRDefault="00561FBD" w14:paraId="763E1D93" w14:textId="77777777">
            <w:pPr>
              <w:pStyle w:val="TableParagraph"/>
              <w:spacing w:before="155"/>
              <w:ind w:left="327"/>
              <w:rPr>
                <w:sz w:val="20"/>
              </w:rPr>
            </w:pPr>
            <w:r>
              <w:rPr>
                <w:spacing w:val="-5"/>
                <w:sz w:val="20"/>
              </w:rPr>
              <w:t>85%</w:t>
            </w:r>
          </w:p>
        </w:tc>
        <w:tc>
          <w:tcPr>
            <w:tcW w:w="1367" w:type="dxa"/>
            <w:tcBorders>
              <w:top w:val="single" w:color="D9D9D9" w:sz="2" w:space="0"/>
              <w:bottom w:val="single" w:color="D9D9D9" w:sz="2" w:space="0"/>
            </w:tcBorders>
          </w:tcPr>
          <w:p w:rsidR="00C31389" w:rsidRDefault="00561FBD" w14:paraId="48019972" w14:textId="77777777">
            <w:pPr>
              <w:pStyle w:val="TableParagraph"/>
              <w:spacing w:before="155"/>
              <w:ind w:right="233"/>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561FBD" w14:paraId="00688CCD" w14:textId="77777777">
            <w:pPr>
              <w:pStyle w:val="TableParagraph"/>
              <w:spacing w:before="155"/>
              <w:ind w:left="197" w:right="152"/>
              <w:jc w:val="center"/>
              <w:rPr>
                <w:sz w:val="20"/>
              </w:rPr>
            </w:pPr>
            <w:r>
              <w:rPr>
                <w:spacing w:val="-2"/>
                <w:sz w:val="20"/>
              </w:rPr>
              <w:t>On-the-books</w:t>
            </w:r>
          </w:p>
        </w:tc>
      </w:tr>
      <w:tr w:rsidR="00C31389" w14:paraId="4A446381" w14:textId="77777777">
        <w:trPr>
          <w:trHeight w:val="770"/>
        </w:trPr>
        <w:tc>
          <w:tcPr>
            <w:tcW w:w="1367" w:type="dxa"/>
            <w:tcBorders>
              <w:top w:val="single" w:color="D9D9D9" w:sz="2" w:space="0"/>
              <w:bottom w:val="single" w:color="D9D9D9" w:sz="2" w:space="0"/>
            </w:tcBorders>
          </w:tcPr>
          <w:p w:rsidR="00C31389" w:rsidRDefault="00C31389" w14:paraId="5E628872" w14:textId="77777777">
            <w:pPr>
              <w:pStyle w:val="TableParagraph"/>
              <w:spacing w:before="6"/>
              <w:rPr>
                <w:sz w:val="23"/>
              </w:rPr>
            </w:pPr>
          </w:p>
          <w:p w:rsidR="00C31389" w:rsidRDefault="00561FBD" w14:paraId="05195E60"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39463E00" w14:textId="77777777">
            <w:pPr>
              <w:pStyle w:val="TableParagraph"/>
              <w:ind w:left="202" w:right="392"/>
              <w:rPr>
                <w:sz w:val="20"/>
              </w:rPr>
            </w:pPr>
            <w:r>
              <w:rPr>
                <w:sz w:val="20"/>
              </w:rPr>
              <w:t>2022</w:t>
            </w:r>
            <w:r>
              <w:rPr>
                <w:spacing w:val="-6"/>
                <w:sz w:val="20"/>
              </w:rPr>
              <w:t xml:space="preserve"> </w:t>
            </w:r>
            <w:r>
              <w:rPr>
                <w:sz w:val="20"/>
              </w:rPr>
              <w:t>T-24:</w:t>
            </w:r>
            <w:r>
              <w:rPr>
                <w:spacing w:val="-6"/>
                <w:sz w:val="20"/>
              </w:rPr>
              <w:t xml:space="preserve"> </w:t>
            </w:r>
            <w:r>
              <w:rPr>
                <w:sz w:val="20"/>
              </w:rPr>
              <w:t>NRA</w:t>
            </w:r>
            <w:r>
              <w:rPr>
                <w:spacing w:val="-6"/>
                <w:sz w:val="20"/>
              </w:rPr>
              <w:t xml:space="preserve"> </w:t>
            </w:r>
            <w:r>
              <w:rPr>
                <w:sz w:val="20"/>
              </w:rPr>
              <w:t>-</w:t>
            </w:r>
            <w:r>
              <w:rPr>
                <w:spacing w:val="-6"/>
                <w:sz w:val="20"/>
              </w:rPr>
              <w:t xml:space="preserve"> </w:t>
            </w:r>
            <w:r>
              <w:rPr>
                <w:sz w:val="20"/>
              </w:rPr>
              <w:t>Grid</w:t>
            </w:r>
            <w:r>
              <w:rPr>
                <w:spacing w:val="-6"/>
                <w:sz w:val="20"/>
              </w:rPr>
              <w:t xml:space="preserve"> </w:t>
            </w:r>
            <w:r>
              <w:rPr>
                <w:sz w:val="20"/>
              </w:rPr>
              <w:t>Integration</w:t>
            </w:r>
            <w:r>
              <w:rPr>
                <w:spacing w:val="-7"/>
                <w:sz w:val="20"/>
              </w:rPr>
              <w:t xml:space="preserve"> </w:t>
            </w:r>
            <w:r>
              <w:rPr>
                <w:sz w:val="20"/>
              </w:rPr>
              <w:t xml:space="preserve">- Demand Responsive Lighting </w:t>
            </w:r>
            <w:r>
              <w:rPr>
                <w:spacing w:val="-2"/>
                <w:sz w:val="20"/>
              </w:rPr>
              <w:t>Systems</w:t>
            </w:r>
          </w:p>
        </w:tc>
        <w:tc>
          <w:tcPr>
            <w:tcW w:w="1183" w:type="dxa"/>
            <w:tcBorders>
              <w:top w:val="single" w:color="D9D9D9" w:sz="2" w:space="0"/>
              <w:bottom w:val="single" w:color="D9D9D9" w:sz="2" w:space="0"/>
            </w:tcBorders>
          </w:tcPr>
          <w:p w:rsidR="00C31389" w:rsidRDefault="00C31389" w14:paraId="56C55785" w14:textId="77777777">
            <w:pPr>
              <w:pStyle w:val="TableParagraph"/>
              <w:spacing w:before="6"/>
              <w:rPr>
                <w:sz w:val="23"/>
              </w:rPr>
            </w:pPr>
          </w:p>
          <w:p w:rsidR="00C31389" w:rsidRDefault="00561FBD" w14:paraId="6BBB7B21" w14:textId="77777777">
            <w:pPr>
              <w:pStyle w:val="TableParagraph"/>
              <w:spacing w:before="0"/>
              <w:ind w:left="327"/>
              <w:rPr>
                <w:sz w:val="20"/>
              </w:rPr>
            </w:pPr>
            <w:r>
              <w:rPr>
                <w:spacing w:val="-5"/>
                <w:sz w:val="20"/>
              </w:rPr>
              <w:t>85%</w:t>
            </w:r>
          </w:p>
        </w:tc>
        <w:tc>
          <w:tcPr>
            <w:tcW w:w="1367" w:type="dxa"/>
            <w:tcBorders>
              <w:top w:val="single" w:color="D9D9D9" w:sz="2" w:space="0"/>
              <w:bottom w:val="single" w:color="D9D9D9" w:sz="2" w:space="0"/>
            </w:tcBorders>
          </w:tcPr>
          <w:p w:rsidR="00C31389" w:rsidRDefault="00C31389" w14:paraId="126F9DD2" w14:textId="77777777">
            <w:pPr>
              <w:pStyle w:val="TableParagraph"/>
              <w:spacing w:before="6"/>
              <w:rPr>
                <w:sz w:val="23"/>
              </w:rPr>
            </w:pPr>
          </w:p>
          <w:p w:rsidR="00C31389" w:rsidRDefault="00561FBD" w14:paraId="5F064C71" w14:textId="77777777">
            <w:pPr>
              <w:pStyle w:val="TableParagraph"/>
              <w:spacing w:before="0"/>
              <w:ind w:right="233"/>
              <w:jc w:val="right"/>
              <w:rPr>
                <w:sz w:val="20"/>
              </w:rPr>
            </w:pPr>
            <w:r>
              <w:rPr>
                <w:spacing w:val="-2"/>
                <w:sz w:val="20"/>
              </w:rPr>
              <w:t>02/01/23</w:t>
            </w:r>
          </w:p>
        </w:tc>
        <w:tc>
          <w:tcPr>
            <w:tcW w:w="1580" w:type="dxa"/>
            <w:tcBorders>
              <w:top w:val="single" w:color="D9D9D9" w:sz="2" w:space="0"/>
              <w:bottom w:val="single" w:color="D9D9D9" w:sz="2" w:space="0"/>
            </w:tcBorders>
          </w:tcPr>
          <w:p w:rsidR="00C31389" w:rsidRDefault="00C31389" w14:paraId="0FAF6C03" w14:textId="77777777">
            <w:pPr>
              <w:pStyle w:val="TableParagraph"/>
              <w:spacing w:before="6"/>
              <w:rPr>
                <w:sz w:val="23"/>
              </w:rPr>
            </w:pPr>
          </w:p>
          <w:p w:rsidR="00C31389" w:rsidRDefault="00561FBD" w14:paraId="57CF6436" w14:textId="77777777">
            <w:pPr>
              <w:pStyle w:val="TableParagraph"/>
              <w:spacing w:before="0"/>
              <w:ind w:left="198" w:right="152"/>
              <w:jc w:val="center"/>
              <w:rPr>
                <w:sz w:val="20"/>
              </w:rPr>
            </w:pPr>
            <w:r>
              <w:rPr>
                <w:spacing w:val="-2"/>
                <w:sz w:val="20"/>
              </w:rPr>
              <w:t>On-the-books</w:t>
            </w:r>
          </w:p>
        </w:tc>
      </w:tr>
      <w:tr w:rsidR="00C31389" w14:paraId="0E09B90B" w14:textId="77777777">
        <w:trPr>
          <w:trHeight w:val="540"/>
        </w:trPr>
        <w:tc>
          <w:tcPr>
            <w:tcW w:w="1367" w:type="dxa"/>
            <w:tcBorders>
              <w:top w:val="single" w:color="D9D9D9" w:sz="2" w:space="0"/>
              <w:bottom w:val="single" w:color="000000" w:sz="8" w:space="0"/>
            </w:tcBorders>
          </w:tcPr>
          <w:p w:rsidR="00C31389" w:rsidRDefault="00561FBD" w14:paraId="3CAA1751"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000000" w:sz="8" w:space="0"/>
            </w:tcBorders>
          </w:tcPr>
          <w:p w:rsidR="00C31389" w:rsidRDefault="00561FBD" w14:paraId="644D54E4" w14:textId="77777777">
            <w:pPr>
              <w:pStyle w:val="TableParagraph"/>
              <w:ind w:left="202"/>
              <w:rPr>
                <w:sz w:val="20"/>
              </w:rPr>
            </w:pPr>
            <w:r>
              <w:rPr>
                <w:sz w:val="20"/>
              </w:rPr>
              <w:t>2022</w:t>
            </w:r>
            <w:r>
              <w:rPr>
                <w:spacing w:val="-3"/>
                <w:sz w:val="20"/>
              </w:rPr>
              <w:t xml:space="preserve"> </w:t>
            </w:r>
            <w:r>
              <w:rPr>
                <w:sz w:val="20"/>
              </w:rPr>
              <w:t>T-24:</w:t>
            </w:r>
            <w:r>
              <w:rPr>
                <w:spacing w:val="-2"/>
                <w:sz w:val="20"/>
              </w:rPr>
              <w:t xml:space="preserve"> </w:t>
            </w:r>
            <w:r>
              <w:rPr>
                <w:sz w:val="20"/>
              </w:rPr>
              <w:t>NRA</w:t>
            </w:r>
            <w:r>
              <w:rPr>
                <w:spacing w:val="-3"/>
                <w:sz w:val="20"/>
              </w:rPr>
              <w:t xml:space="preserve"> </w:t>
            </w:r>
            <w:r>
              <w:rPr>
                <w:sz w:val="20"/>
              </w:rPr>
              <w:t>-</w:t>
            </w:r>
            <w:r>
              <w:rPr>
                <w:spacing w:val="-2"/>
                <w:sz w:val="20"/>
              </w:rPr>
              <w:t xml:space="preserve"> </w:t>
            </w:r>
            <w:r>
              <w:rPr>
                <w:sz w:val="20"/>
              </w:rPr>
              <w:t>HVAC</w:t>
            </w:r>
            <w:r>
              <w:rPr>
                <w:spacing w:val="-4"/>
                <w:sz w:val="20"/>
              </w:rPr>
              <w:t xml:space="preserve"> </w:t>
            </w:r>
            <w:r>
              <w:rPr>
                <w:sz w:val="20"/>
              </w:rPr>
              <w:t>Controls</w:t>
            </w:r>
            <w:r>
              <w:rPr>
                <w:spacing w:val="-1"/>
                <w:sz w:val="20"/>
              </w:rPr>
              <w:t xml:space="preserve"> </w:t>
            </w:r>
            <w:r>
              <w:rPr>
                <w:spacing w:val="-10"/>
                <w:sz w:val="20"/>
              </w:rPr>
              <w:t>-</w:t>
            </w:r>
          </w:p>
          <w:p w:rsidR="00C31389" w:rsidRDefault="00561FBD" w14:paraId="05BEA033" w14:textId="77777777">
            <w:pPr>
              <w:pStyle w:val="TableParagraph"/>
              <w:spacing w:before="0"/>
              <w:ind w:left="202"/>
              <w:rPr>
                <w:sz w:val="20"/>
              </w:rPr>
            </w:pPr>
            <w:r>
              <w:rPr>
                <w:sz w:val="20"/>
              </w:rPr>
              <w:t>Dedicated</w:t>
            </w:r>
            <w:r>
              <w:rPr>
                <w:spacing w:val="-5"/>
                <w:sz w:val="20"/>
              </w:rPr>
              <w:t xml:space="preserve"> </w:t>
            </w:r>
            <w:r>
              <w:rPr>
                <w:sz w:val="20"/>
              </w:rPr>
              <w:t>Outdoor</w:t>
            </w:r>
            <w:r>
              <w:rPr>
                <w:spacing w:val="-3"/>
                <w:sz w:val="20"/>
              </w:rPr>
              <w:t xml:space="preserve"> </w:t>
            </w:r>
            <w:r>
              <w:rPr>
                <w:sz w:val="20"/>
              </w:rPr>
              <w:t>Air</w:t>
            </w:r>
            <w:r>
              <w:rPr>
                <w:spacing w:val="-3"/>
                <w:sz w:val="20"/>
              </w:rPr>
              <w:t xml:space="preserve"> </w:t>
            </w:r>
            <w:r>
              <w:rPr>
                <w:spacing w:val="-2"/>
                <w:sz w:val="20"/>
              </w:rPr>
              <w:t>Systems</w:t>
            </w:r>
          </w:p>
        </w:tc>
        <w:tc>
          <w:tcPr>
            <w:tcW w:w="1183" w:type="dxa"/>
            <w:tcBorders>
              <w:top w:val="single" w:color="D9D9D9" w:sz="2" w:space="0"/>
              <w:bottom w:val="single" w:color="000000" w:sz="8" w:space="0"/>
            </w:tcBorders>
          </w:tcPr>
          <w:p w:rsidR="00C31389" w:rsidRDefault="00561FBD" w14:paraId="7D14712E" w14:textId="77777777">
            <w:pPr>
              <w:pStyle w:val="TableParagraph"/>
              <w:spacing w:before="155"/>
              <w:ind w:left="327"/>
              <w:rPr>
                <w:sz w:val="20"/>
              </w:rPr>
            </w:pPr>
            <w:r>
              <w:rPr>
                <w:spacing w:val="-5"/>
                <w:sz w:val="20"/>
              </w:rPr>
              <w:t>85%</w:t>
            </w:r>
          </w:p>
        </w:tc>
        <w:tc>
          <w:tcPr>
            <w:tcW w:w="1367" w:type="dxa"/>
            <w:tcBorders>
              <w:top w:val="single" w:color="D9D9D9" w:sz="2" w:space="0"/>
              <w:bottom w:val="single" w:color="000000" w:sz="8" w:space="0"/>
            </w:tcBorders>
          </w:tcPr>
          <w:p w:rsidR="00C31389" w:rsidRDefault="00561FBD" w14:paraId="1446FBCF" w14:textId="77777777">
            <w:pPr>
              <w:pStyle w:val="TableParagraph"/>
              <w:spacing w:before="155"/>
              <w:ind w:right="233"/>
              <w:jc w:val="right"/>
              <w:rPr>
                <w:sz w:val="20"/>
              </w:rPr>
            </w:pPr>
            <w:r>
              <w:rPr>
                <w:spacing w:val="-2"/>
                <w:sz w:val="20"/>
              </w:rPr>
              <w:t>02/01/23</w:t>
            </w:r>
          </w:p>
        </w:tc>
        <w:tc>
          <w:tcPr>
            <w:tcW w:w="1580" w:type="dxa"/>
            <w:tcBorders>
              <w:top w:val="single" w:color="D9D9D9" w:sz="2" w:space="0"/>
              <w:bottom w:val="single" w:color="000000" w:sz="8" w:space="0"/>
            </w:tcBorders>
          </w:tcPr>
          <w:p w:rsidR="00C31389" w:rsidRDefault="00561FBD" w14:paraId="0236DEB0" w14:textId="77777777">
            <w:pPr>
              <w:pStyle w:val="TableParagraph"/>
              <w:spacing w:before="155"/>
              <w:ind w:left="198" w:right="152"/>
              <w:jc w:val="center"/>
              <w:rPr>
                <w:sz w:val="20"/>
              </w:rPr>
            </w:pPr>
            <w:r>
              <w:rPr>
                <w:spacing w:val="-2"/>
                <w:sz w:val="20"/>
              </w:rPr>
              <w:t>On-the-books</w:t>
            </w:r>
          </w:p>
        </w:tc>
      </w:tr>
    </w:tbl>
    <w:p w:rsidR="00C31389" w:rsidRDefault="00C31389" w14:paraId="260C89D5" w14:textId="77777777">
      <w:pPr>
        <w:jc w:val="center"/>
        <w:rPr>
          <w:sz w:val="20"/>
        </w:rPr>
        <w:sectPr w:rsidR="00C31389">
          <w:pgSz w:w="11910" w:h="16840"/>
          <w:pgMar w:top="1380" w:right="1020" w:bottom="1120" w:left="960" w:header="397" w:footer="938" w:gutter="0"/>
          <w:cols w:space="720"/>
        </w:sectPr>
      </w:pPr>
    </w:p>
    <w:p w:rsidR="00C31389" w:rsidRDefault="00C31389" w14:paraId="4A1068A6"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89"/>
        <w:gridCol w:w="1131"/>
        <w:gridCol w:w="1451"/>
        <w:gridCol w:w="1538"/>
      </w:tblGrid>
      <w:tr w:rsidR="00C31389" w14:paraId="541B5C7B" w14:textId="77777777">
        <w:trPr>
          <w:trHeight w:val="252"/>
        </w:trPr>
        <w:tc>
          <w:tcPr>
            <w:tcW w:w="1367" w:type="dxa"/>
            <w:tcBorders>
              <w:top w:val="single" w:color="8B8B8B" w:sz="8" w:space="0"/>
            </w:tcBorders>
          </w:tcPr>
          <w:p w:rsidR="00C31389" w:rsidRDefault="00C31389" w14:paraId="728B91F3" w14:textId="77777777">
            <w:pPr>
              <w:pStyle w:val="TableParagraph"/>
              <w:spacing w:before="0"/>
              <w:rPr>
                <w:rFonts w:ascii="Times New Roman"/>
                <w:sz w:val="18"/>
              </w:rPr>
            </w:pPr>
          </w:p>
        </w:tc>
        <w:tc>
          <w:tcPr>
            <w:tcW w:w="3889" w:type="dxa"/>
            <w:tcBorders>
              <w:top w:val="single" w:color="8B8B8B" w:sz="8" w:space="0"/>
            </w:tcBorders>
          </w:tcPr>
          <w:p w:rsidR="00C31389" w:rsidRDefault="00C31389" w14:paraId="6F6B1BD3" w14:textId="77777777">
            <w:pPr>
              <w:pStyle w:val="TableParagraph"/>
              <w:spacing w:before="0"/>
              <w:rPr>
                <w:rFonts w:ascii="Times New Roman"/>
                <w:sz w:val="18"/>
              </w:rPr>
            </w:pPr>
          </w:p>
        </w:tc>
        <w:tc>
          <w:tcPr>
            <w:tcW w:w="1131" w:type="dxa"/>
            <w:tcBorders>
              <w:top w:val="single" w:color="8B8B8B" w:sz="8" w:space="0"/>
            </w:tcBorders>
          </w:tcPr>
          <w:p w:rsidR="00C31389" w:rsidRDefault="00C31389" w14:paraId="7B1753ED" w14:textId="77777777">
            <w:pPr>
              <w:pStyle w:val="TableParagraph"/>
              <w:spacing w:before="0"/>
              <w:rPr>
                <w:rFonts w:ascii="Times New Roman"/>
                <w:sz w:val="18"/>
              </w:rPr>
            </w:pPr>
          </w:p>
        </w:tc>
        <w:tc>
          <w:tcPr>
            <w:tcW w:w="1451" w:type="dxa"/>
            <w:tcBorders>
              <w:top w:val="single" w:color="8B8B8B" w:sz="8" w:space="0"/>
            </w:tcBorders>
          </w:tcPr>
          <w:p w:rsidR="00C31389" w:rsidRDefault="00C31389" w14:paraId="48FBA90D" w14:textId="77777777">
            <w:pPr>
              <w:pStyle w:val="TableParagraph"/>
              <w:spacing w:before="0"/>
              <w:rPr>
                <w:rFonts w:ascii="Times New Roman"/>
                <w:sz w:val="18"/>
              </w:rPr>
            </w:pPr>
          </w:p>
        </w:tc>
        <w:tc>
          <w:tcPr>
            <w:tcW w:w="1538" w:type="dxa"/>
            <w:tcBorders>
              <w:top w:val="single" w:color="8B8B8B" w:sz="8" w:space="0"/>
            </w:tcBorders>
          </w:tcPr>
          <w:p w:rsidR="00C31389" w:rsidRDefault="00C31389" w14:paraId="79913E99" w14:textId="77777777">
            <w:pPr>
              <w:pStyle w:val="TableParagraph"/>
              <w:spacing w:before="0"/>
              <w:rPr>
                <w:rFonts w:ascii="Times New Roman"/>
                <w:sz w:val="18"/>
              </w:rPr>
            </w:pPr>
          </w:p>
        </w:tc>
      </w:tr>
      <w:tr w:rsidR="00C31389" w14:paraId="6C12A0BA" w14:textId="77777777">
        <w:trPr>
          <w:trHeight w:val="549"/>
        </w:trPr>
        <w:tc>
          <w:tcPr>
            <w:tcW w:w="1367" w:type="dxa"/>
            <w:shd w:val="clear" w:color="auto" w:fill="92D400"/>
          </w:tcPr>
          <w:p w:rsidR="00C31389" w:rsidRDefault="00561FBD" w14:paraId="38B7BFEA" w14:textId="77777777">
            <w:pPr>
              <w:pStyle w:val="TableParagraph"/>
              <w:spacing w:before="155"/>
              <w:ind w:left="129"/>
              <w:rPr>
                <w:b/>
                <w:sz w:val="20"/>
              </w:rPr>
            </w:pPr>
            <w:r>
              <w:rPr>
                <w:b/>
                <w:spacing w:val="-2"/>
                <w:sz w:val="20"/>
              </w:rPr>
              <w:t>Regulation</w:t>
            </w:r>
          </w:p>
        </w:tc>
        <w:tc>
          <w:tcPr>
            <w:tcW w:w="3889" w:type="dxa"/>
            <w:shd w:val="clear" w:color="auto" w:fill="92D400"/>
          </w:tcPr>
          <w:p w:rsidR="00C31389" w:rsidRDefault="00561FBD" w14:paraId="7C4A36B1"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31" w:type="dxa"/>
            <w:shd w:val="clear" w:color="auto" w:fill="92D400"/>
          </w:tcPr>
          <w:p w:rsidR="00C31389" w:rsidRDefault="00561FBD" w14:paraId="46211777" w14:textId="77777777">
            <w:pPr>
              <w:pStyle w:val="TableParagraph"/>
              <w:ind w:left="188" w:hanging="238"/>
              <w:rPr>
                <w:b/>
                <w:sz w:val="20"/>
              </w:rPr>
            </w:pPr>
            <w:r>
              <w:rPr>
                <w:b/>
                <w:spacing w:val="-2"/>
                <w:sz w:val="20"/>
              </w:rPr>
              <w:t>Compliance Rate</w:t>
            </w:r>
            <w:hyperlink w:history="1" w:anchor="_bookmark462">
              <w:r>
                <w:rPr>
                  <w:b/>
                  <w:spacing w:val="-2"/>
                  <w:sz w:val="20"/>
                  <w:vertAlign w:val="superscript"/>
                </w:rPr>
                <w:t>182</w:t>
              </w:r>
            </w:hyperlink>
          </w:p>
        </w:tc>
        <w:tc>
          <w:tcPr>
            <w:tcW w:w="1451" w:type="dxa"/>
            <w:shd w:val="clear" w:color="auto" w:fill="92D400"/>
          </w:tcPr>
          <w:p w:rsidR="00C31389" w:rsidRDefault="00561FBD" w14:paraId="7E8E111C" w14:textId="77777777">
            <w:pPr>
              <w:pStyle w:val="TableParagraph"/>
              <w:ind w:left="565" w:hanging="202"/>
              <w:rPr>
                <w:b/>
                <w:sz w:val="20"/>
              </w:rPr>
            </w:pPr>
            <w:r>
              <w:rPr>
                <w:b/>
                <w:spacing w:val="-2"/>
                <w:sz w:val="20"/>
              </w:rPr>
              <w:t xml:space="preserve">Effective </w:t>
            </w:r>
            <w:r>
              <w:rPr>
                <w:b/>
                <w:spacing w:val="-4"/>
                <w:sz w:val="20"/>
              </w:rPr>
              <w:t>Date</w:t>
            </w:r>
          </w:p>
        </w:tc>
        <w:tc>
          <w:tcPr>
            <w:tcW w:w="1538" w:type="dxa"/>
            <w:shd w:val="clear" w:color="auto" w:fill="92D400"/>
          </w:tcPr>
          <w:p w:rsidR="00C31389" w:rsidRDefault="00561FBD" w14:paraId="2B335A0E" w14:textId="77777777">
            <w:pPr>
              <w:pStyle w:val="TableParagraph"/>
              <w:spacing w:before="155"/>
              <w:ind w:left="221"/>
              <w:rPr>
                <w:b/>
                <w:sz w:val="20"/>
              </w:rPr>
            </w:pPr>
            <w:r>
              <w:rPr>
                <w:b/>
                <w:sz w:val="20"/>
              </w:rPr>
              <w:t>Policy</w:t>
            </w:r>
            <w:r>
              <w:rPr>
                <w:b/>
                <w:spacing w:val="-5"/>
                <w:sz w:val="20"/>
              </w:rPr>
              <w:t xml:space="preserve"> </w:t>
            </w:r>
            <w:r>
              <w:rPr>
                <w:b/>
                <w:spacing w:val="-4"/>
                <w:sz w:val="20"/>
              </w:rPr>
              <w:t>View</w:t>
            </w:r>
          </w:p>
        </w:tc>
      </w:tr>
      <w:tr w:rsidR="00C31389" w14:paraId="47AC8666" w14:textId="77777777">
        <w:trPr>
          <w:trHeight w:val="535"/>
        </w:trPr>
        <w:tc>
          <w:tcPr>
            <w:tcW w:w="1367" w:type="dxa"/>
            <w:tcBorders>
              <w:bottom w:val="single" w:color="D9D9D9" w:sz="2" w:space="0"/>
            </w:tcBorders>
          </w:tcPr>
          <w:p w:rsidR="00C31389" w:rsidRDefault="00561FBD" w14:paraId="21ACF104" w14:textId="77777777">
            <w:pPr>
              <w:pStyle w:val="TableParagraph"/>
              <w:spacing w:before="151"/>
              <w:ind w:left="129"/>
              <w:rPr>
                <w:sz w:val="20"/>
              </w:rPr>
            </w:pPr>
            <w:r>
              <w:rPr>
                <w:sz w:val="20"/>
              </w:rPr>
              <w:t>2022</w:t>
            </w:r>
            <w:r>
              <w:rPr>
                <w:spacing w:val="-3"/>
                <w:sz w:val="20"/>
              </w:rPr>
              <w:t xml:space="preserve"> </w:t>
            </w:r>
            <w:r>
              <w:rPr>
                <w:sz w:val="20"/>
              </w:rPr>
              <w:t>T-</w:t>
            </w:r>
            <w:r>
              <w:rPr>
                <w:spacing w:val="-5"/>
                <w:sz w:val="20"/>
              </w:rPr>
              <w:t>24</w:t>
            </w:r>
          </w:p>
        </w:tc>
        <w:tc>
          <w:tcPr>
            <w:tcW w:w="3889" w:type="dxa"/>
            <w:tcBorders>
              <w:bottom w:val="single" w:color="D9D9D9" w:sz="2" w:space="0"/>
            </w:tcBorders>
          </w:tcPr>
          <w:p w:rsidR="00C31389" w:rsidRDefault="00561FBD" w14:paraId="02A6DA3C" w14:textId="77777777">
            <w:pPr>
              <w:pStyle w:val="TableParagraph"/>
              <w:spacing w:before="35"/>
              <w:ind w:left="202"/>
              <w:rPr>
                <w:sz w:val="20"/>
              </w:rPr>
            </w:pPr>
            <w:r>
              <w:rPr>
                <w:sz w:val="20"/>
              </w:rPr>
              <w:t>2022</w:t>
            </w:r>
            <w:r>
              <w:rPr>
                <w:spacing w:val="-3"/>
                <w:sz w:val="20"/>
              </w:rPr>
              <w:t xml:space="preserve"> </w:t>
            </w:r>
            <w:r>
              <w:rPr>
                <w:sz w:val="20"/>
              </w:rPr>
              <w:t>T-24:</w:t>
            </w:r>
            <w:r>
              <w:rPr>
                <w:spacing w:val="-2"/>
                <w:sz w:val="20"/>
              </w:rPr>
              <w:t xml:space="preserve"> </w:t>
            </w:r>
            <w:r>
              <w:rPr>
                <w:sz w:val="20"/>
              </w:rPr>
              <w:t>NRA</w:t>
            </w:r>
            <w:r>
              <w:rPr>
                <w:spacing w:val="-3"/>
                <w:sz w:val="20"/>
              </w:rPr>
              <w:t xml:space="preserve"> </w:t>
            </w:r>
            <w:r>
              <w:rPr>
                <w:sz w:val="20"/>
              </w:rPr>
              <w:t>-</w:t>
            </w:r>
            <w:r>
              <w:rPr>
                <w:spacing w:val="-1"/>
                <w:sz w:val="20"/>
              </w:rPr>
              <w:t xml:space="preserve"> </w:t>
            </w:r>
            <w:r>
              <w:rPr>
                <w:sz w:val="20"/>
              </w:rPr>
              <w:t>HVAC</w:t>
            </w:r>
            <w:r>
              <w:rPr>
                <w:spacing w:val="-4"/>
                <w:sz w:val="20"/>
              </w:rPr>
              <w:t xml:space="preserve"> </w:t>
            </w:r>
            <w:r>
              <w:rPr>
                <w:sz w:val="20"/>
              </w:rPr>
              <w:t>Controls</w:t>
            </w:r>
            <w:r>
              <w:rPr>
                <w:spacing w:val="-1"/>
                <w:sz w:val="20"/>
              </w:rPr>
              <w:t xml:space="preserve"> </w:t>
            </w:r>
            <w:r>
              <w:rPr>
                <w:spacing w:val="-10"/>
                <w:sz w:val="20"/>
              </w:rPr>
              <w:t>-</w:t>
            </w:r>
          </w:p>
          <w:p w:rsidR="00C31389" w:rsidRDefault="00561FBD" w14:paraId="560ED09D" w14:textId="77777777">
            <w:pPr>
              <w:pStyle w:val="TableParagraph"/>
              <w:spacing w:before="1"/>
              <w:ind w:left="202"/>
              <w:rPr>
                <w:sz w:val="20"/>
              </w:rPr>
            </w:pPr>
            <w:r>
              <w:rPr>
                <w:sz w:val="20"/>
              </w:rPr>
              <w:t>Exhaust</w:t>
            </w:r>
            <w:r>
              <w:rPr>
                <w:spacing w:val="-3"/>
                <w:sz w:val="20"/>
              </w:rPr>
              <w:t xml:space="preserve"> </w:t>
            </w:r>
            <w:r>
              <w:rPr>
                <w:sz w:val="20"/>
              </w:rPr>
              <w:t>Air</w:t>
            </w:r>
            <w:r>
              <w:rPr>
                <w:spacing w:val="-3"/>
                <w:sz w:val="20"/>
              </w:rPr>
              <w:t xml:space="preserve"> </w:t>
            </w:r>
            <w:r>
              <w:rPr>
                <w:sz w:val="20"/>
              </w:rPr>
              <w:t>Heat</w:t>
            </w:r>
            <w:r>
              <w:rPr>
                <w:spacing w:val="-2"/>
                <w:sz w:val="20"/>
              </w:rPr>
              <w:t xml:space="preserve"> Recovery</w:t>
            </w:r>
          </w:p>
        </w:tc>
        <w:tc>
          <w:tcPr>
            <w:tcW w:w="1131" w:type="dxa"/>
            <w:tcBorders>
              <w:bottom w:val="single" w:color="D9D9D9" w:sz="2" w:space="0"/>
            </w:tcBorders>
          </w:tcPr>
          <w:p w:rsidR="00C31389" w:rsidRDefault="00561FBD" w14:paraId="1166064F" w14:textId="77777777">
            <w:pPr>
              <w:pStyle w:val="TableParagraph"/>
              <w:spacing w:before="151"/>
              <w:ind w:left="317"/>
              <w:rPr>
                <w:sz w:val="20"/>
              </w:rPr>
            </w:pPr>
            <w:r>
              <w:rPr>
                <w:spacing w:val="-5"/>
                <w:sz w:val="20"/>
              </w:rPr>
              <w:t>85%</w:t>
            </w:r>
          </w:p>
        </w:tc>
        <w:tc>
          <w:tcPr>
            <w:tcW w:w="1451" w:type="dxa"/>
            <w:tcBorders>
              <w:bottom w:val="single" w:color="D9D9D9" w:sz="2" w:space="0"/>
            </w:tcBorders>
          </w:tcPr>
          <w:p w:rsidR="00C31389" w:rsidRDefault="00561FBD" w14:paraId="120CC511" w14:textId="77777777">
            <w:pPr>
              <w:pStyle w:val="TableParagraph"/>
              <w:spacing w:before="151"/>
              <w:ind w:left="271" w:right="156"/>
              <w:jc w:val="center"/>
              <w:rPr>
                <w:sz w:val="20"/>
              </w:rPr>
            </w:pPr>
            <w:r>
              <w:rPr>
                <w:spacing w:val="-2"/>
                <w:sz w:val="20"/>
              </w:rPr>
              <w:t>02/01/23</w:t>
            </w:r>
          </w:p>
        </w:tc>
        <w:tc>
          <w:tcPr>
            <w:tcW w:w="1538" w:type="dxa"/>
            <w:tcBorders>
              <w:bottom w:val="single" w:color="D9D9D9" w:sz="2" w:space="0"/>
            </w:tcBorders>
          </w:tcPr>
          <w:p w:rsidR="00C31389" w:rsidRDefault="00561FBD" w14:paraId="0EF0D1C7" w14:textId="77777777">
            <w:pPr>
              <w:pStyle w:val="TableParagraph"/>
              <w:spacing w:before="151"/>
              <w:ind w:left="164"/>
              <w:rPr>
                <w:sz w:val="20"/>
              </w:rPr>
            </w:pPr>
            <w:r>
              <w:rPr>
                <w:spacing w:val="-2"/>
                <w:sz w:val="20"/>
              </w:rPr>
              <w:t>On-the-books</w:t>
            </w:r>
          </w:p>
        </w:tc>
      </w:tr>
      <w:tr w:rsidR="00C31389" w14:paraId="340B736C" w14:textId="77777777">
        <w:trPr>
          <w:trHeight w:val="539"/>
        </w:trPr>
        <w:tc>
          <w:tcPr>
            <w:tcW w:w="1367" w:type="dxa"/>
            <w:tcBorders>
              <w:top w:val="single" w:color="D9D9D9" w:sz="2" w:space="0"/>
              <w:bottom w:val="single" w:color="D9D9D9" w:sz="2" w:space="0"/>
            </w:tcBorders>
          </w:tcPr>
          <w:p w:rsidR="00C31389" w:rsidRDefault="00561FBD" w14:paraId="40ACDF5B"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430179E7" w14:textId="77777777">
            <w:pPr>
              <w:pStyle w:val="TableParagraph"/>
              <w:ind w:left="202"/>
              <w:rPr>
                <w:sz w:val="20"/>
              </w:rPr>
            </w:pPr>
            <w:r>
              <w:rPr>
                <w:sz w:val="20"/>
              </w:rPr>
              <w:t>2022</w:t>
            </w:r>
            <w:r>
              <w:rPr>
                <w:spacing w:val="-3"/>
                <w:sz w:val="20"/>
              </w:rPr>
              <w:t xml:space="preserve"> </w:t>
            </w:r>
            <w:r>
              <w:rPr>
                <w:sz w:val="20"/>
              </w:rPr>
              <w:t>T-24:</w:t>
            </w:r>
            <w:r>
              <w:rPr>
                <w:spacing w:val="-2"/>
                <w:sz w:val="20"/>
              </w:rPr>
              <w:t xml:space="preserve"> </w:t>
            </w:r>
            <w:r>
              <w:rPr>
                <w:sz w:val="20"/>
              </w:rPr>
              <w:t>NRA</w:t>
            </w:r>
            <w:r>
              <w:rPr>
                <w:spacing w:val="-3"/>
                <w:sz w:val="20"/>
              </w:rPr>
              <w:t xml:space="preserve"> </w:t>
            </w:r>
            <w:r>
              <w:rPr>
                <w:sz w:val="20"/>
              </w:rPr>
              <w:t>-</w:t>
            </w:r>
            <w:r>
              <w:rPr>
                <w:spacing w:val="-2"/>
                <w:sz w:val="20"/>
              </w:rPr>
              <w:t xml:space="preserve"> </w:t>
            </w:r>
            <w:r>
              <w:rPr>
                <w:sz w:val="20"/>
              </w:rPr>
              <w:t>HVAC</w:t>
            </w:r>
            <w:r>
              <w:rPr>
                <w:spacing w:val="-4"/>
                <w:sz w:val="20"/>
              </w:rPr>
              <w:t xml:space="preserve"> </w:t>
            </w:r>
            <w:r>
              <w:rPr>
                <w:sz w:val="20"/>
              </w:rPr>
              <w:t>Controls</w:t>
            </w:r>
            <w:r>
              <w:rPr>
                <w:spacing w:val="-1"/>
                <w:sz w:val="20"/>
              </w:rPr>
              <w:t xml:space="preserve"> </w:t>
            </w:r>
            <w:r>
              <w:rPr>
                <w:spacing w:val="-10"/>
                <w:sz w:val="20"/>
              </w:rPr>
              <w:t>-</w:t>
            </w:r>
          </w:p>
          <w:p w:rsidR="00C31389" w:rsidRDefault="00561FBD" w14:paraId="2AAE7693" w14:textId="77777777">
            <w:pPr>
              <w:pStyle w:val="TableParagraph"/>
              <w:spacing w:before="0"/>
              <w:ind w:left="202"/>
              <w:rPr>
                <w:sz w:val="20"/>
              </w:rPr>
            </w:pPr>
            <w:r>
              <w:rPr>
                <w:sz w:val="20"/>
              </w:rPr>
              <w:t>Expand</w:t>
            </w:r>
            <w:r>
              <w:rPr>
                <w:spacing w:val="-7"/>
                <w:sz w:val="20"/>
              </w:rPr>
              <w:t xml:space="preserve"> </w:t>
            </w:r>
            <w:r>
              <w:rPr>
                <w:sz w:val="20"/>
              </w:rPr>
              <w:t>Economizer</w:t>
            </w:r>
            <w:r>
              <w:rPr>
                <w:spacing w:val="-6"/>
                <w:sz w:val="20"/>
              </w:rPr>
              <w:t xml:space="preserve"> </w:t>
            </w:r>
            <w:r>
              <w:rPr>
                <w:spacing w:val="-2"/>
                <w:sz w:val="20"/>
              </w:rPr>
              <w:t>Requirements</w:t>
            </w:r>
          </w:p>
        </w:tc>
        <w:tc>
          <w:tcPr>
            <w:tcW w:w="1131" w:type="dxa"/>
            <w:tcBorders>
              <w:top w:val="single" w:color="D9D9D9" w:sz="2" w:space="0"/>
              <w:bottom w:val="single" w:color="D9D9D9" w:sz="2" w:space="0"/>
            </w:tcBorders>
          </w:tcPr>
          <w:p w:rsidR="00C31389" w:rsidRDefault="00561FBD" w14:paraId="0207AF36"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7BD95ADE" w14:textId="77777777">
            <w:pPr>
              <w:pStyle w:val="TableParagraph"/>
              <w:spacing w:before="155"/>
              <w:ind w:left="271" w:right="156"/>
              <w:jc w:val="center"/>
              <w:rPr>
                <w:sz w:val="20"/>
              </w:rPr>
            </w:pPr>
            <w:r>
              <w:rPr>
                <w:spacing w:val="-2"/>
                <w:sz w:val="20"/>
              </w:rPr>
              <w:t>02/01/23</w:t>
            </w:r>
          </w:p>
        </w:tc>
        <w:tc>
          <w:tcPr>
            <w:tcW w:w="1538" w:type="dxa"/>
            <w:tcBorders>
              <w:top w:val="single" w:color="D9D9D9" w:sz="2" w:space="0"/>
              <w:bottom w:val="single" w:color="D9D9D9" w:sz="2" w:space="0"/>
            </w:tcBorders>
          </w:tcPr>
          <w:p w:rsidR="00C31389" w:rsidRDefault="00561FBD" w14:paraId="5C7FF5F4" w14:textId="77777777">
            <w:pPr>
              <w:pStyle w:val="TableParagraph"/>
              <w:spacing w:before="155"/>
              <w:ind w:left="164"/>
              <w:rPr>
                <w:sz w:val="20"/>
              </w:rPr>
            </w:pPr>
            <w:r>
              <w:rPr>
                <w:spacing w:val="-2"/>
                <w:sz w:val="20"/>
              </w:rPr>
              <w:t>On-the-books</w:t>
            </w:r>
          </w:p>
        </w:tc>
      </w:tr>
      <w:tr w:rsidR="00C31389" w14:paraId="184EF73D" w14:textId="77777777">
        <w:trPr>
          <w:trHeight w:val="539"/>
        </w:trPr>
        <w:tc>
          <w:tcPr>
            <w:tcW w:w="1367" w:type="dxa"/>
            <w:tcBorders>
              <w:top w:val="single" w:color="D9D9D9" w:sz="2" w:space="0"/>
              <w:bottom w:val="single" w:color="D9D9D9" w:sz="2" w:space="0"/>
            </w:tcBorders>
          </w:tcPr>
          <w:p w:rsidR="00C31389" w:rsidRDefault="00561FBD" w14:paraId="3657D1A6"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621297DB" w14:textId="77777777">
            <w:pPr>
              <w:pStyle w:val="TableParagraph"/>
              <w:ind w:left="202"/>
              <w:rPr>
                <w:sz w:val="20"/>
              </w:rPr>
            </w:pPr>
            <w:r>
              <w:rPr>
                <w:sz w:val="20"/>
              </w:rPr>
              <w:t>2022</w:t>
            </w:r>
            <w:r>
              <w:rPr>
                <w:spacing w:val="-3"/>
                <w:sz w:val="20"/>
              </w:rPr>
              <w:t xml:space="preserve"> </w:t>
            </w:r>
            <w:r>
              <w:rPr>
                <w:sz w:val="20"/>
              </w:rPr>
              <w:t>T-24:</w:t>
            </w:r>
            <w:r>
              <w:rPr>
                <w:spacing w:val="-2"/>
                <w:sz w:val="20"/>
              </w:rPr>
              <w:t xml:space="preserve"> </w:t>
            </w:r>
            <w:r>
              <w:rPr>
                <w:sz w:val="20"/>
              </w:rPr>
              <w:t>NRA</w:t>
            </w:r>
            <w:r>
              <w:rPr>
                <w:spacing w:val="-3"/>
                <w:sz w:val="20"/>
              </w:rPr>
              <w:t xml:space="preserve"> </w:t>
            </w:r>
            <w:r>
              <w:rPr>
                <w:sz w:val="20"/>
              </w:rPr>
              <w:t>-</w:t>
            </w:r>
            <w:r>
              <w:rPr>
                <w:spacing w:val="-2"/>
                <w:sz w:val="20"/>
              </w:rPr>
              <w:t xml:space="preserve"> </w:t>
            </w:r>
            <w:r>
              <w:rPr>
                <w:sz w:val="20"/>
              </w:rPr>
              <w:t>HVAC</w:t>
            </w:r>
            <w:r>
              <w:rPr>
                <w:spacing w:val="-4"/>
                <w:sz w:val="20"/>
              </w:rPr>
              <w:t xml:space="preserve"> </w:t>
            </w:r>
            <w:r>
              <w:rPr>
                <w:sz w:val="20"/>
              </w:rPr>
              <w:t>Controls</w:t>
            </w:r>
            <w:r>
              <w:rPr>
                <w:spacing w:val="-1"/>
                <w:sz w:val="20"/>
              </w:rPr>
              <w:t xml:space="preserve"> </w:t>
            </w:r>
            <w:r>
              <w:rPr>
                <w:spacing w:val="-10"/>
                <w:sz w:val="20"/>
              </w:rPr>
              <w:t>-</w:t>
            </w:r>
          </w:p>
          <w:p w:rsidR="00C31389" w:rsidRDefault="00561FBD" w14:paraId="7E58A27E" w14:textId="77777777">
            <w:pPr>
              <w:pStyle w:val="TableParagraph"/>
              <w:spacing w:before="0"/>
              <w:ind w:left="202"/>
              <w:rPr>
                <w:sz w:val="20"/>
              </w:rPr>
            </w:pPr>
            <w:r>
              <w:rPr>
                <w:sz w:val="20"/>
              </w:rPr>
              <w:t>VAV</w:t>
            </w:r>
            <w:r>
              <w:rPr>
                <w:spacing w:val="-3"/>
                <w:sz w:val="20"/>
              </w:rPr>
              <w:t xml:space="preserve"> </w:t>
            </w:r>
            <w:r>
              <w:rPr>
                <w:sz w:val="20"/>
              </w:rPr>
              <w:t>Deadband</w:t>
            </w:r>
            <w:r>
              <w:rPr>
                <w:spacing w:val="-3"/>
                <w:sz w:val="20"/>
              </w:rPr>
              <w:t xml:space="preserve"> </w:t>
            </w:r>
            <w:r>
              <w:rPr>
                <w:spacing w:val="-2"/>
                <w:sz w:val="20"/>
              </w:rPr>
              <w:t>Airflow</w:t>
            </w:r>
          </w:p>
        </w:tc>
        <w:tc>
          <w:tcPr>
            <w:tcW w:w="1131" w:type="dxa"/>
            <w:tcBorders>
              <w:top w:val="single" w:color="D9D9D9" w:sz="2" w:space="0"/>
              <w:bottom w:val="single" w:color="D9D9D9" w:sz="2" w:space="0"/>
            </w:tcBorders>
          </w:tcPr>
          <w:p w:rsidR="00C31389" w:rsidRDefault="00561FBD" w14:paraId="295EB83B"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31CE7E09" w14:textId="77777777">
            <w:pPr>
              <w:pStyle w:val="TableParagraph"/>
              <w:spacing w:before="155"/>
              <w:ind w:left="271" w:right="156"/>
              <w:jc w:val="center"/>
              <w:rPr>
                <w:sz w:val="20"/>
              </w:rPr>
            </w:pPr>
            <w:r>
              <w:rPr>
                <w:spacing w:val="-2"/>
                <w:sz w:val="20"/>
              </w:rPr>
              <w:t>01/10/25</w:t>
            </w:r>
          </w:p>
        </w:tc>
        <w:tc>
          <w:tcPr>
            <w:tcW w:w="1538" w:type="dxa"/>
            <w:tcBorders>
              <w:top w:val="single" w:color="D9D9D9" w:sz="2" w:space="0"/>
              <w:bottom w:val="single" w:color="D9D9D9" w:sz="2" w:space="0"/>
            </w:tcBorders>
          </w:tcPr>
          <w:p w:rsidR="00C31389" w:rsidRDefault="00561FBD" w14:paraId="59C5E780" w14:textId="77777777">
            <w:pPr>
              <w:pStyle w:val="TableParagraph"/>
              <w:spacing w:before="155"/>
              <w:ind w:left="164"/>
              <w:rPr>
                <w:sz w:val="20"/>
              </w:rPr>
            </w:pPr>
            <w:r>
              <w:rPr>
                <w:spacing w:val="-2"/>
                <w:sz w:val="20"/>
              </w:rPr>
              <w:t>On-the-books</w:t>
            </w:r>
          </w:p>
        </w:tc>
      </w:tr>
      <w:tr w:rsidR="00C31389" w14:paraId="71A983C5" w14:textId="77777777">
        <w:trPr>
          <w:trHeight w:val="539"/>
        </w:trPr>
        <w:tc>
          <w:tcPr>
            <w:tcW w:w="1367" w:type="dxa"/>
            <w:tcBorders>
              <w:top w:val="single" w:color="D9D9D9" w:sz="2" w:space="0"/>
              <w:bottom w:val="single" w:color="D9D9D9" w:sz="2" w:space="0"/>
            </w:tcBorders>
          </w:tcPr>
          <w:p w:rsidR="00C31389" w:rsidRDefault="00561FBD" w14:paraId="286F9B8E"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5CAF597F" w14:textId="77777777">
            <w:pPr>
              <w:pStyle w:val="TableParagraph"/>
              <w:ind w:left="202"/>
              <w:rPr>
                <w:sz w:val="20"/>
              </w:rPr>
            </w:pPr>
            <w:r>
              <w:rPr>
                <w:sz w:val="20"/>
              </w:rPr>
              <w:t>2022</w:t>
            </w:r>
            <w:r>
              <w:rPr>
                <w:spacing w:val="-6"/>
                <w:sz w:val="20"/>
              </w:rPr>
              <w:t xml:space="preserve"> </w:t>
            </w:r>
            <w:r>
              <w:rPr>
                <w:sz w:val="20"/>
              </w:rPr>
              <w:t>T-24:</w:t>
            </w:r>
            <w:r>
              <w:rPr>
                <w:spacing w:val="-6"/>
                <w:sz w:val="20"/>
              </w:rPr>
              <w:t xml:space="preserve"> </w:t>
            </w:r>
            <w:r>
              <w:rPr>
                <w:sz w:val="20"/>
              </w:rPr>
              <w:t>NRA</w:t>
            </w:r>
            <w:r>
              <w:rPr>
                <w:spacing w:val="-6"/>
                <w:sz w:val="20"/>
              </w:rPr>
              <w:t xml:space="preserve"> </w:t>
            </w:r>
            <w:r>
              <w:rPr>
                <w:sz w:val="20"/>
              </w:rPr>
              <w:t>-</w:t>
            </w:r>
            <w:r>
              <w:rPr>
                <w:spacing w:val="-6"/>
                <w:sz w:val="20"/>
              </w:rPr>
              <w:t xml:space="preserve"> </w:t>
            </w:r>
            <w:r>
              <w:rPr>
                <w:sz w:val="20"/>
              </w:rPr>
              <w:t>Indoor</w:t>
            </w:r>
            <w:r>
              <w:rPr>
                <w:spacing w:val="-5"/>
                <w:sz w:val="20"/>
              </w:rPr>
              <w:t xml:space="preserve"> </w:t>
            </w:r>
            <w:r>
              <w:rPr>
                <w:sz w:val="20"/>
              </w:rPr>
              <w:t>Lighting</w:t>
            </w:r>
            <w:r>
              <w:rPr>
                <w:spacing w:val="40"/>
                <w:sz w:val="20"/>
              </w:rPr>
              <w:t xml:space="preserve"> </w:t>
            </w:r>
            <w:r>
              <w:rPr>
                <w:sz w:val="20"/>
              </w:rPr>
              <w:t>- Lighting Power Densities</w:t>
            </w:r>
          </w:p>
        </w:tc>
        <w:tc>
          <w:tcPr>
            <w:tcW w:w="1131" w:type="dxa"/>
            <w:tcBorders>
              <w:top w:val="single" w:color="D9D9D9" w:sz="2" w:space="0"/>
              <w:bottom w:val="single" w:color="D9D9D9" w:sz="2" w:space="0"/>
            </w:tcBorders>
          </w:tcPr>
          <w:p w:rsidR="00C31389" w:rsidRDefault="00561FBD" w14:paraId="4E093ED8"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53BCB8E9" w14:textId="77777777">
            <w:pPr>
              <w:pStyle w:val="TableParagraph"/>
              <w:spacing w:before="155"/>
              <w:ind w:left="271" w:right="156"/>
              <w:jc w:val="center"/>
              <w:rPr>
                <w:sz w:val="20"/>
              </w:rPr>
            </w:pPr>
            <w:r>
              <w:rPr>
                <w:spacing w:val="-2"/>
                <w:sz w:val="20"/>
              </w:rPr>
              <w:t>01/10/23</w:t>
            </w:r>
          </w:p>
        </w:tc>
        <w:tc>
          <w:tcPr>
            <w:tcW w:w="1538" w:type="dxa"/>
            <w:tcBorders>
              <w:top w:val="single" w:color="D9D9D9" w:sz="2" w:space="0"/>
              <w:bottom w:val="single" w:color="D9D9D9" w:sz="2" w:space="0"/>
            </w:tcBorders>
          </w:tcPr>
          <w:p w:rsidR="00C31389" w:rsidRDefault="00561FBD" w14:paraId="0A0EB7B0" w14:textId="77777777">
            <w:pPr>
              <w:pStyle w:val="TableParagraph"/>
              <w:spacing w:before="155"/>
              <w:ind w:left="164"/>
              <w:rPr>
                <w:sz w:val="20"/>
              </w:rPr>
            </w:pPr>
            <w:r>
              <w:rPr>
                <w:spacing w:val="-2"/>
                <w:sz w:val="20"/>
              </w:rPr>
              <w:t>On-the-books</w:t>
            </w:r>
          </w:p>
        </w:tc>
      </w:tr>
      <w:tr w:rsidR="00C31389" w14:paraId="03D1F372" w14:textId="77777777">
        <w:trPr>
          <w:trHeight w:val="770"/>
        </w:trPr>
        <w:tc>
          <w:tcPr>
            <w:tcW w:w="1367" w:type="dxa"/>
            <w:tcBorders>
              <w:top w:val="single" w:color="D9D9D9" w:sz="2" w:space="0"/>
              <w:bottom w:val="single" w:color="D9D9D9" w:sz="2" w:space="0"/>
            </w:tcBorders>
          </w:tcPr>
          <w:p w:rsidR="00C31389" w:rsidRDefault="00C31389" w14:paraId="0F311C8C" w14:textId="77777777">
            <w:pPr>
              <w:pStyle w:val="TableParagraph"/>
              <w:spacing w:before="6"/>
              <w:rPr>
                <w:sz w:val="23"/>
              </w:rPr>
            </w:pPr>
          </w:p>
          <w:p w:rsidR="00C31389" w:rsidRDefault="00561FBD" w14:paraId="6A20E3A0"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0AC956E2" w14:textId="77777777">
            <w:pPr>
              <w:pStyle w:val="TableParagraph"/>
              <w:spacing w:before="41"/>
              <w:ind w:left="202" w:right="560"/>
              <w:rPr>
                <w:sz w:val="20"/>
              </w:rPr>
            </w:pPr>
            <w:r>
              <w:rPr>
                <w:sz w:val="20"/>
              </w:rPr>
              <w:t>2022</w:t>
            </w:r>
            <w:r>
              <w:rPr>
                <w:spacing w:val="-6"/>
                <w:sz w:val="20"/>
              </w:rPr>
              <w:t xml:space="preserve"> </w:t>
            </w:r>
            <w:r>
              <w:rPr>
                <w:sz w:val="20"/>
              </w:rPr>
              <w:t>T-24:</w:t>
            </w:r>
            <w:r>
              <w:rPr>
                <w:spacing w:val="-6"/>
                <w:sz w:val="20"/>
              </w:rPr>
              <w:t xml:space="preserve"> </w:t>
            </w:r>
            <w:r>
              <w:rPr>
                <w:sz w:val="20"/>
              </w:rPr>
              <w:t>NRA</w:t>
            </w:r>
            <w:r>
              <w:rPr>
                <w:spacing w:val="-6"/>
                <w:sz w:val="20"/>
              </w:rPr>
              <w:t xml:space="preserve"> </w:t>
            </w:r>
            <w:r>
              <w:rPr>
                <w:sz w:val="20"/>
              </w:rPr>
              <w:t>-</w:t>
            </w:r>
            <w:r>
              <w:rPr>
                <w:spacing w:val="-6"/>
                <w:sz w:val="20"/>
              </w:rPr>
              <w:t xml:space="preserve"> </w:t>
            </w:r>
            <w:r>
              <w:rPr>
                <w:sz w:val="20"/>
              </w:rPr>
              <w:t>Indoor</w:t>
            </w:r>
            <w:r>
              <w:rPr>
                <w:spacing w:val="-5"/>
                <w:sz w:val="20"/>
              </w:rPr>
              <w:t xml:space="preserve"> </w:t>
            </w:r>
            <w:r>
              <w:rPr>
                <w:sz w:val="20"/>
              </w:rPr>
              <w:t>Lighting</w:t>
            </w:r>
            <w:r>
              <w:rPr>
                <w:spacing w:val="40"/>
                <w:sz w:val="20"/>
              </w:rPr>
              <w:t xml:space="preserve"> </w:t>
            </w:r>
            <w:r>
              <w:rPr>
                <w:sz w:val="20"/>
              </w:rPr>
              <w:t>- Multi-zone Occupancy Sensing in Large Offices</w:t>
            </w:r>
          </w:p>
        </w:tc>
        <w:tc>
          <w:tcPr>
            <w:tcW w:w="1131" w:type="dxa"/>
            <w:tcBorders>
              <w:top w:val="single" w:color="D9D9D9" w:sz="2" w:space="0"/>
              <w:bottom w:val="single" w:color="D9D9D9" w:sz="2" w:space="0"/>
            </w:tcBorders>
          </w:tcPr>
          <w:p w:rsidR="00C31389" w:rsidRDefault="00C31389" w14:paraId="6916C2D6" w14:textId="77777777">
            <w:pPr>
              <w:pStyle w:val="TableParagraph"/>
              <w:spacing w:before="6"/>
              <w:rPr>
                <w:sz w:val="23"/>
              </w:rPr>
            </w:pPr>
          </w:p>
          <w:p w:rsidR="00C31389" w:rsidRDefault="00561FBD" w14:paraId="293D886D" w14:textId="77777777">
            <w:pPr>
              <w:pStyle w:val="TableParagraph"/>
              <w:spacing w:before="0"/>
              <w:ind w:left="317"/>
              <w:rPr>
                <w:sz w:val="20"/>
              </w:rPr>
            </w:pPr>
            <w:r>
              <w:rPr>
                <w:spacing w:val="-5"/>
                <w:sz w:val="20"/>
              </w:rPr>
              <w:t>85%</w:t>
            </w:r>
          </w:p>
        </w:tc>
        <w:tc>
          <w:tcPr>
            <w:tcW w:w="1451" w:type="dxa"/>
            <w:tcBorders>
              <w:top w:val="single" w:color="D9D9D9" w:sz="2" w:space="0"/>
              <w:bottom w:val="single" w:color="D9D9D9" w:sz="2" w:space="0"/>
            </w:tcBorders>
          </w:tcPr>
          <w:p w:rsidR="00C31389" w:rsidRDefault="00C31389" w14:paraId="38A77AAA" w14:textId="77777777">
            <w:pPr>
              <w:pStyle w:val="TableParagraph"/>
              <w:spacing w:before="6"/>
              <w:rPr>
                <w:sz w:val="23"/>
              </w:rPr>
            </w:pPr>
          </w:p>
          <w:p w:rsidR="00C31389" w:rsidRDefault="00561FBD" w14:paraId="0C19A706" w14:textId="77777777">
            <w:pPr>
              <w:pStyle w:val="TableParagraph"/>
              <w:spacing w:before="0"/>
              <w:ind w:left="271" w:right="156"/>
              <w:jc w:val="center"/>
              <w:rPr>
                <w:sz w:val="20"/>
              </w:rPr>
            </w:pPr>
            <w:r>
              <w:rPr>
                <w:spacing w:val="-2"/>
                <w:sz w:val="20"/>
              </w:rPr>
              <w:t>03/10/25</w:t>
            </w:r>
          </w:p>
        </w:tc>
        <w:tc>
          <w:tcPr>
            <w:tcW w:w="1538" w:type="dxa"/>
            <w:tcBorders>
              <w:top w:val="single" w:color="D9D9D9" w:sz="2" w:space="0"/>
              <w:bottom w:val="single" w:color="D9D9D9" w:sz="2" w:space="0"/>
            </w:tcBorders>
          </w:tcPr>
          <w:p w:rsidR="00C31389" w:rsidRDefault="00C31389" w14:paraId="4F294DCC" w14:textId="77777777">
            <w:pPr>
              <w:pStyle w:val="TableParagraph"/>
              <w:spacing w:before="6"/>
              <w:rPr>
                <w:sz w:val="23"/>
              </w:rPr>
            </w:pPr>
          </w:p>
          <w:p w:rsidR="00C31389" w:rsidRDefault="00561FBD" w14:paraId="7E9A62EC" w14:textId="77777777">
            <w:pPr>
              <w:pStyle w:val="TableParagraph"/>
              <w:spacing w:before="0"/>
              <w:ind w:left="164"/>
              <w:rPr>
                <w:sz w:val="20"/>
              </w:rPr>
            </w:pPr>
            <w:r>
              <w:rPr>
                <w:spacing w:val="-2"/>
                <w:sz w:val="20"/>
              </w:rPr>
              <w:t>On-the-books</w:t>
            </w:r>
          </w:p>
        </w:tc>
      </w:tr>
      <w:tr w:rsidR="00C31389" w14:paraId="766DBC61" w14:textId="77777777">
        <w:trPr>
          <w:trHeight w:val="770"/>
        </w:trPr>
        <w:tc>
          <w:tcPr>
            <w:tcW w:w="1367" w:type="dxa"/>
            <w:tcBorders>
              <w:top w:val="single" w:color="D9D9D9" w:sz="2" w:space="0"/>
              <w:bottom w:val="single" w:color="D9D9D9" w:sz="2" w:space="0"/>
            </w:tcBorders>
          </w:tcPr>
          <w:p w:rsidR="00C31389" w:rsidRDefault="00C31389" w14:paraId="28750BB2" w14:textId="77777777">
            <w:pPr>
              <w:pStyle w:val="TableParagraph"/>
              <w:spacing w:before="6"/>
              <w:rPr>
                <w:sz w:val="23"/>
              </w:rPr>
            </w:pPr>
          </w:p>
          <w:p w:rsidR="00C31389" w:rsidRDefault="00561FBD" w14:paraId="2D4E76BE"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362E3103" w14:textId="77777777">
            <w:pPr>
              <w:pStyle w:val="TableParagraph"/>
              <w:ind w:left="202" w:right="316"/>
              <w:rPr>
                <w:sz w:val="20"/>
              </w:rPr>
            </w:pPr>
            <w:r>
              <w:rPr>
                <w:sz w:val="20"/>
              </w:rPr>
              <w:t>2022</w:t>
            </w:r>
            <w:r>
              <w:rPr>
                <w:spacing w:val="-6"/>
                <w:sz w:val="20"/>
              </w:rPr>
              <w:t xml:space="preserve"> </w:t>
            </w:r>
            <w:r>
              <w:rPr>
                <w:sz w:val="20"/>
              </w:rPr>
              <w:t>T-24:</w:t>
            </w:r>
            <w:r>
              <w:rPr>
                <w:spacing w:val="-6"/>
                <w:sz w:val="20"/>
              </w:rPr>
              <w:t xml:space="preserve"> </w:t>
            </w:r>
            <w:r>
              <w:rPr>
                <w:sz w:val="20"/>
              </w:rPr>
              <w:t>NRA</w:t>
            </w:r>
            <w:r>
              <w:rPr>
                <w:spacing w:val="-6"/>
                <w:sz w:val="20"/>
              </w:rPr>
              <w:t xml:space="preserve"> </w:t>
            </w:r>
            <w:r>
              <w:rPr>
                <w:sz w:val="20"/>
              </w:rPr>
              <w:t>-</w:t>
            </w:r>
            <w:r>
              <w:rPr>
                <w:spacing w:val="-6"/>
                <w:sz w:val="20"/>
              </w:rPr>
              <w:t xml:space="preserve"> </w:t>
            </w:r>
            <w:r>
              <w:rPr>
                <w:sz w:val="20"/>
              </w:rPr>
              <w:t>Outdoor</w:t>
            </w:r>
            <w:r>
              <w:rPr>
                <w:spacing w:val="-7"/>
                <w:sz w:val="20"/>
              </w:rPr>
              <w:t xml:space="preserve"> </w:t>
            </w:r>
            <w:r>
              <w:rPr>
                <w:sz w:val="20"/>
              </w:rPr>
              <w:t>Lighting</w:t>
            </w:r>
            <w:r>
              <w:rPr>
                <w:spacing w:val="-6"/>
                <w:sz w:val="20"/>
              </w:rPr>
              <w:t xml:space="preserve"> </w:t>
            </w:r>
            <w:r>
              <w:rPr>
                <w:sz w:val="20"/>
              </w:rPr>
              <w:t>- Lighting Power Allowances for General Hardscapes</w:t>
            </w:r>
          </w:p>
        </w:tc>
        <w:tc>
          <w:tcPr>
            <w:tcW w:w="1131" w:type="dxa"/>
            <w:tcBorders>
              <w:top w:val="single" w:color="D9D9D9" w:sz="2" w:space="0"/>
              <w:bottom w:val="single" w:color="D9D9D9" w:sz="2" w:space="0"/>
            </w:tcBorders>
          </w:tcPr>
          <w:p w:rsidR="00C31389" w:rsidRDefault="00C31389" w14:paraId="251B1FB3" w14:textId="77777777">
            <w:pPr>
              <w:pStyle w:val="TableParagraph"/>
              <w:spacing w:before="6"/>
              <w:rPr>
                <w:sz w:val="23"/>
              </w:rPr>
            </w:pPr>
          </w:p>
          <w:p w:rsidR="00C31389" w:rsidRDefault="00561FBD" w14:paraId="1C9BE72D" w14:textId="77777777">
            <w:pPr>
              <w:pStyle w:val="TableParagraph"/>
              <w:spacing w:before="0"/>
              <w:ind w:left="317"/>
              <w:rPr>
                <w:sz w:val="20"/>
              </w:rPr>
            </w:pPr>
            <w:r>
              <w:rPr>
                <w:spacing w:val="-5"/>
                <w:sz w:val="20"/>
              </w:rPr>
              <w:t>85%</w:t>
            </w:r>
          </w:p>
        </w:tc>
        <w:tc>
          <w:tcPr>
            <w:tcW w:w="1451" w:type="dxa"/>
            <w:tcBorders>
              <w:top w:val="single" w:color="D9D9D9" w:sz="2" w:space="0"/>
              <w:bottom w:val="single" w:color="D9D9D9" w:sz="2" w:space="0"/>
            </w:tcBorders>
          </w:tcPr>
          <w:p w:rsidR="00C31389" w:rsidRDefault="00C31389" w14:paraId="24007853" w14:textId="77777777">
            <w:pPr>
              <w:pStyle w:val="TableParagraph"/>
              <w:spacing w:before="6"/>
              <w:rPr>
                <w:sz w:val="23"/>
              </w:rPr>
            </w:pPr>
          </w:p>
          <w:p w:rsidR="00C31389" w:rsidRDefault="00561FBD" w14:paraId="4114CCDD" w14:textId="77777777">
            <w:pPr>
              <w:pStyle w:val="TableParagraph"/>
              <w:spacing w:before="0"/>
              <w:ind w:left="271" w:right="156"/>
              <w:jc w:val="center"/>
              <w:rPr>
                <w:sz w:val="20"/>
              </w:rPr>
            </w:pPr>
            <w:r>
              <w:rPr>
                <w:spacing w:val="-2"/>
                <w:sz w:val="20"/>
              </w:rPr>
              <w:t>01/01/23</w:t>
            </w:r>
          </w:p>
        </w:tc>
        <w:tc>
          <w:tcPr>
            <w:tcW w:w="1538" w:type="dxa"/>
            <w:tcBorders>
              <w:top w:val="single" w:color="D9D9D9" w:sz="2" w:space="0"/>
              <w:bottom w:val="single" w:color="D9D9D9" w:sz="2" w:space="0"/>
            </w:tcBorders>
          </w:tcPr>
          <w:p w:rsidR="00C31389" w:rsidRDefault="00C31389" w14:paraId="5604036A" w14:textId="77777777">
            <w:pPr>
              <w:pStyle w:val="TableParagraph"/>
              <w:spacing w:before="6"/>
              <w:rPr>
                <w:sz w:val="23"/>
              </w:rPr>
            </w:pPr>
          </w:p>
          <w:p w:rsidR="00C31389" w:rsidRDefault="00561FBD" w14:paraId="7303DE22" w14:textId="77777777">
            <w:pPr>
              <w:pStyle w:val="TableParagraph"/>
              <w:spacing w:before="0"/>
              <w:ind w:left="164"/>
              <w:rPr>
                <w:sz w:val="20"/>
              </w:rPr>
            </w:pPr>
            <w:r>
              <w:rPr>
                <w:spacing w:val="-2"/>
                <w:sz w:val="20"/>
              </w:rPr>
              <w:t>On-the-books</w:t>
            </w:r>
          </w:p>
        </w:tc>
      </w:tr>
      <w:tr w:rsidR="00C31389" w14:paraId="3883ED05" w14:textId="77777777">
        <w:trPr>
          <w:trHeight w:val="539"/>
        </w:trPr>
        <w:tc>
          <w:tcPr>
            <w:tcW w:w="1367" w:type="dxa"/>
            <w:tcBorders>
              <w:top w:val="single" w:color="D9D9D9" w:sz="2" w:space="0"/>
              <w:bottom w:val="single" w:color="D9D9D9" w:sz="2" w:space="0"/>
            </w:tcBorders>
          </w:tcPr>
          <w:p w:rsidR="00C31389" w:rsidRDefault="00561FBD" w14:paraId="6AE0C328"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4BABC15A" w14:textId="77777777">
            <w:pPr>
              <w:pStyle w:val="TableParagraph"/>
              <w:ind w:left="202"/>
              <w:rPr>
                <w:sz w:val="20"/>
              </w:rPr>
            </w:pPr>
            <w:r>
              <w:rPr>
                <w:sz w:val="20"/>
              </w:rPr>
              <w:t>2022</w:t>
            </w:r>
            <w:r>
              <w:rPr>
                <w:spacing w:val="-6"/>
                <w:sz w:val="20"/>
              </w:rPr>
              <w:t xml:space="preserve"> </w:t>
            </w:r>
            <w:r>
              <w:rPr>
                <w:sz w:val="20"/>
              </w:rPr>
              <w:t>T-24:</w:t>
            </w:r>
            <w:r>
              <w:rPr>
                <w:spacing w:val="-6"/>
                <w:sz w:val="20"/>
              </w:rPr>
              <w:t xml:space="preserve"> </w:t>
            </w:r>
            <w:r>
              <w:rPr>
                <w:sz w:val="20"/>
              </w:rPr>
              <w:t>NRA</w:t>
            </w:r>
            <w:r>
              <w:rPr>
                <w:spacing w:val="-6"/>
                <w:sz w:val="20"/>
              </w:rPr>
              <w:t xml:space="preserve"> </w:t>
            </w:r>
            <w:r>
              <w:rPr>
                <w:sz w:val="20"/>
              </w:rPr>
              <w:t>-</w:t>
            </w:r>
            <w:r>
              <w:rPr>
                <w:spacing w:val="-6"/>
                <w:sz w:val="20"/>
              </w:rPr>
              <w:t xml:space="preserve"> </w:t>
            </w:r>
            <w:r>
              <w:rPr>
                <w:sz w:val="20"/>
              </w:rPr>
              <w:t>Outdoor</w:t>
            </w:r>
            <w:r>
              <w:rPr>
                <w:spacing w:val="-7"/>
                <w:sz w:val="20"/>
              </w:rPr>
              <w:t xml:space="preserve"> </w:t>
            </w:r>
            <w:r>
              <w:rPr>
                <w:sz w:val="20"/>
              </w:rPr>
              <w:t>Lighting</w:t>
            </w:r>
            <w:r>
              <w:rPr>
                <w:spacing w:val="-6"/>
                <w:sz w:val="20"/>
              </w:rPr>
              <w:t xml:space="preserve"> </w:t>
            </w:r>
            <w:r>
              <w:rPr>
                <w:sz w:val="20"/>
              </w:rPr>
              <w:t>- Lighting Zone Reclassification</w:t>
            </w:r>
          </w:p>
        </w:tc>
        <w:tc>
          <w:tcPr>
            <w:tcW w:w="1131" w:type="dxa"/>
            <w:tcBorders>
              <w:top w:val="single" w:color="D9D9D9" w:sz="2" w:space="0"/>
              <w:bottom w:val="single" w:color="D9D9D9" w:sz="2" w:space="0"/>
            </w:tcBorders>
          </w:tcPr>
          <w:p w:rsidR="00C31389" w:rsidRDefault="00561FBD" w14:paraId="17258239"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15018719" w14:textId="77777777">
            <w:pPr>
              <w:pStyle w:val="TableParagraph"/>
              <w:spacing w:before="155"/>
              <w:ind w:left="271" w:right="156"/>
              <w:jc w:val="center"/>
              <w:rPr>
                <w:sz w:val="20"/>
              </w:rPr>
            </w:pPr>
            <w:r>
              <w:rPr>
                <w:spacing w:val="-2"/>
                <w:sz w:val="20"/>
              </w:rPr>
              <w:t>01/10/22</w:t>
            </w:r>
          </w:p>
        </w:tc>
        <w:tc>
          <w:tcPr>
            <w:tcW w:w="1538" w:type="dxa"/>
            <w:tcBorders>
              <w:top w:val="single" w:color="D9D9D9" w:sz="2" w:space="0"/>
              <w:bottom w:val="single" w:color="D9D9D9" w:sz="2" w:space="0"/>
            </w:tcBorders>
          </w:tcPr>
          <w:p w:rsidR="00C31389" w:rsidRDefault="00561FBD" w14:paraId="76A87B02" w14:textId="77777777">
            <w:pPr>
              <w:pStyle w:val="TableParagraph"/>
              <w:spacing w:before="155"/>
              <w:ind w:left="164"/>
              <w:rPr>
                <w:sz w:val="20"/>
              </w:rPr>
            </w:pPr>
            <w:r>
              <w:rPr>
                <w:spacing w:val="-2"/>
                <w:sz w:val="20"/>
              </w:rPr>
              <w:t>On-the-books</w:t>
            </w:r>
          </w:p>
        </w:tc>
      </w:tr>
      <w:tr w:rsidR="00C31389" w14:paraId="1B41408C" w14:textId="77777777">
        <w:trPr>
          <w:trHeight w:val="770"/>
        </w:trPr>
        <w:tc>
          <w:tcPr>
            <w:tcW w:w="1367" w:type="dxa"/>
            <w:tcBorders>
              <w:top w:val="single" w:color="D9D9D9" w:sz="2" w:space="0"/>
              <w:bottom w:val="single" w:color="D9D9D9" w:sz="2" w:space="0"/>
            </w:tcBorders>
          </w:tcPr>
          <w:p w:rsidR="00C31389" w:rsidRDefault="00C31389" w14:paraId="3828A4DF" w14:textId="77777777">
            <w:pPr>
              <w:pStyle w:val="TableParagraph"/>
              <w:spacing w:before="6"/>
              <w:rPr>
                <w:sz w:val="23"/>
              </w:rPr>
            </w:pPr>
          </w:p>
          <w:p w:rsidR="00C31389" w:rsidRDefault="00561FBD" w14:paraId="0A49C081"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4A6ABEE6" w14:textId="77777777">
            <w:pPr>
              <w:pStyle w:val="TableParagraph"/>
              <w:ind w:left="202" w:right="316"/>
              <w:jc w:val="both"/>
              <w:rPr>
                <w:sz w:val="20"/>
              </w:rPr>
            </w:pPr>
            <w:r>
              <w:rPr>
                <w:sz w:val="20"/>
              </w:rPr>
              <w:t>2022</w:t>
            </w:r>
            <w:r>
              <w:rPr>
                <w:spacing w:val="-5"/>
                <w:sz w:val="20"/>
              </w:rPr>
              <w:t xml:space="preserve"> </w:t>
            </w:r>
            <w:r>
              <w:rPr>
                <w:sz w:val="20"/>
              </w:rPr>
              <w:t>T-24:</w:t>
            </w:r>
            <w:r>
              <w:rPr>
                <w:spacing w:val="-5"/>
                <w:sz w:val="20"/>
              </w:rPr>
              <w:t xml:space="preserve"> </w:t>
            </w:r>
            <w:r>
              <w:rPr>
                <w:sz w:val="20"/>
              </w:rPr>
              <w:t>NRA</w:t>
            </w:r>
            <w:r>
              <w:rPr>
                <w:spacing w:val="-5"/>
                <w:sz w:val="20"/>
              </w:rPr>
              <w:t xml:space="preserve"> </w:t>
            </w:r>
            <w:r>
              <w:rPr>
                <w:sz w:val="20"/>
              </w:rPr>
              <w:t>-</w:t>
            </w:r>
            <w:r>
              <w:rPr>
                <w:spacing w:val="-5"/>
                <w:sz w:val="20"/>
              </w:rPr>
              <w:t xml:space="preserve"> </w:t>
            </w:r>
            <w:r>
              <w:rPr>
                <w:sz w:val="20"/>
              </w:rPr>
              <w:t>Reduce</w:t>
            </w:r>
            <w:r>
              <w:rPr>
                <w:spacing w:val="-6"/>
                <w:sz w:val="20"/>
              </w:rPr>
              <w:t xml:space="preserve"> </w:t>
            </w:r>
            <w:r>
              <w:rPr>
                <w:sz w:val="20"/>
              </w:rPr>
              <w:t>Infiltration</w:t>
            </w:r>
            <w:r>
              <w:rPr>
                <w:spacing w:val="-5"/>
                <w:sz w:val="20"/>
              </w:rPr>
              <w:t xml:space="preserve"> </w:t>
            </w:r>
            <w:r>
              <w:rPr>
                <w:sz w:val="20"/>
              </w:rPr>
              <w:t>- Require</w:t>
            </w:r>
            <w:r>
              <w:rPr>
                <w:spacing w:val="-8"/>
                <w:sz w:val="20"/>
              </w:rPr>
              <w:t xml:space="preserve"> </w:t>
            </w:r>
            <w:r>
              <w:rPr>
                <w:sz w:val="20"/>
              </w:rPr>
              <w:t>air</w:t>
            </w:r>
            <w:r>
              <w:rPr>
                <w:spacing w:val="-7"/>
                <w:sz w:val="20"/>
              </w:rPr>
              <w:t xml:space="preserve"> </w:t>
            </w:r>
            <w:r>
              <w:rPr>
                <w:sz w:val="20"/>
              </w:rPr>
              <w:t>barrier</w:t>
            </w:r>
            <w:r>
              <w:rPr>
                <w:spacing w:val="-7"/>
                <w:sz w:val="20"/>
              </w:rPr>
              <w:t xml:space="preserve"> </w:t>
            </w:r>
            <w:r>
              <w:rPr>
                <w:sz w:val="20"/>
              </w:rPr>
              <w:t>where</w:t>
            </w:r>
            <w:r>
              <w:rPr>
                <w:spacing w:val="-9"/>
                <w:sz w:val="20"/>
              </w:rPr>
              <w:t xml:space="preserve"> </w:t>
            </w:r>
            <w:r>
              <w:rPr>
                <w:sz w:val="20"/>
              </w:rPr>
              <w:t>not</w:t>
            </w:r>
            <w:r>
              <w:rPr>
                <w:spacing w:val="-8"/>
                <w:sz w:val="20"/>
              </w:rPr>
              <w:t xml:space="preserve"> </w:t>
            </w:r>
            <w:r>
              <w:rPr>
                <w:sz w:val="20"/>
              </w:rPr>
              <w:t xml:space="preserve">currently </w:t>
            </w:r>
            <w:r>
              <w:rPr>
                <w:spacing w:val="-2"/>
                <w:sz w:val="20"/>
              </w:rPr>
              <w:t>required</w:t>
            </w:r>
          </w:p>
        </w:tc>
        <w:tc>
          <w:tcPr>
            <w:tcW w:w="1131" w:type="dxa"/>
            <w:tcBorders>
              <w:top w:val="single" w:color="D9D9D9" w:sz="2" w:space="0"/>
              <w:bottom w:val="single" w:color="D9D9D9" w:sz="2" w:space="0"/>
            </w:tcBorders>
          </w:tcPr>
          <w:p w:rsidR="00C31389" w:rsidRDefault="00C31389" w14:paraId="7C2A5392" w14:textId="77777777">
            <w:pPr>
              <w:pStyle w:val="TableParagraph"/>
              <w:spacing w:before="6"/>
              <w:rPr>
                <w:sz w:val="23"/>
              </w:rPr>
            </w:pPr>
          </w:p>
          <w:p w:rsidR="00C31389" w:rsidRDefault="00561FBD" w14:paraId="7ED4F5F5" w14:textId="77777777">
            <w:pPr>
              <w:pStyle w:val="TableParagraph"/>
              <w:spacing w:before="0"/>
              <w:ind w:left="317"/>
              <w:rPr>
                <w:sz w:val="20"/>
              </w:rPr>
            </w:pPr>
            <w:r>
              <w:rPr>
                <w:spacing w:val="-5"/>
                <w:sz w:val="20"/>
              </w:rPr>
              <w:t>85%</w:t>
            </w:r>
          </w:p>
        </w:tc>
        <w:tc>
          <w:tcPr>
            <w:tcW w:w="1451" w:type="dxa"/>
            <w:tcBorders>
              <w:top w:val="single" w:color="D9D9D9" w:sz="2" w:space="0"/>
              <w:bottom w:val="single" w:color="D9D9D9" w:sz="2" w:space="0"/>
            </w:tcBorders>
          </w:tcPr>
          <w:p w:rsidR="00C31389" w:rsidRDefault="00C31389" w14:paraId="4AECA3D3" w14:textId="77777777">
            <w:pPr>
              <w:pStyle w:val="TableParagraph"/>
              <w:spacing w:before="6"/>
              <w:rPr>
                <w:sz w:val="23"/>
              </w:rPr>
            </w:pPr>
          </w:p>
          <w:p w:rsidR="00C31389" w:rsidRDefault="00561FBD" w14:paraId="7355BE2D" w14:textId="77777777">
            <w:pPr>
              <w:pStyle w:val="TableParagraph"/>
              <w:spacing w:before="0"/>
              <w:ind w:left="271" w:right="157"/>
              <w:jc w:val="center"/>
              <w:rPr>
                <w:sz w:val="20"/>
              </w:rPr>
            </w:pPr>
            <w:r>
              <w:rPr>
                <w:spacing w:val="-2"/>
                <w:sz w:val="20"/>
              </w:rPr>
              <w:t>3/2/2012</w:t>
            </w:r>
          </w:p>
        </w:tc>
        <w:tc>
          <w:tcPr>
            <w:tcW w:w="1538" w:type="dxa"/>
            <w:tcBorders>
              <w:top w:val="single" w:color="D9D9D9" w:sz="2" w:space="0"/>
              <w:bottom w:val="single" w:color="D9D9D9" w:sz="2" w:space="0"/>
            </w:tcBorders>
          </w:tcPr>
          <w:p w:rsidR="00C31389" w:rsidRDefault="00C31389" w14:paraId="3B6DAD19" w14:textId="77777777">
            <w:pPr>
              <w:pStyle w:val="TableParagraph"/>
              <w:spacing w:before="6"/>
              <w:rPr>
                <w:sz w:val="23"/>
              </w:rPr>
            </w:pPr>
          </w:p>
          <w:p w:rsidR="00C31389" w:rsidRDefault="00561FBD" w14:paraId="79966F85" w14:textId="77777777">
            <w:pPr>
              <w:pStyle w:val="TableParagraph"/>
              <w:spacing w:before="0"/>
              <w:ind w:left="164"/>
              <w:rPr>
                <w:sz w:val="20"/>
              </w:rPr>
            </w:pPr>
            <w:r>
              <w:rPr>
                <w:spacing w:val="-2"/>
                <w:sz w:val="20"/>
              </w:rPr>
              <w:t>On-the-books</w:t>
            </w:r>
          </w:p>
        </w:tc>
      </w:tr>
      <w:tr w:rsidR="00C31389" w14:paraId="3FAC7D42" w14:textId="77777777">
        <w:trPr>
          <w:trHeight w:val="770"/>
        </w:trPr>
        <w:tc>
          <w:tcPr>
            <w:tcW w:w="1367" w:type="dxa"/>
            <w:tcBorders>
              <w:top w:val="single" w:color="D9D9D9" w:sz="2" w:space="0"/>
              <w:bottom w:val="single" w:color="D9D9D9" w:sz="2" w:space="0"/>
            </w:tcBorders>
          </w:tcPr>
          <w:p w:rsidR="00C31389" w:rsidRDefault="00C31389" w14:paraId="3155FED2" w14:textId="77777777">
            <w:pPr>
              <w:pStyle w:val="TableParagraph"/>
              <w:spacing w:before="6"/>
              <w:rPr>
                <w:sz w:val="23"/>
              </w:rPr>
            </w:pPr>
          </w:p>
          <w:p w:rsidR="00C31389" w:rsidRDefault="00561FBD" w14:paraId="4B1D8E76"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47EF2C58" w14:textId="77777777">
            <w:pPr>
              <w:pStyle w:val="TableParagraph"/>
              <w:ind w:left="202" w:right="316"/>
              <w:rPr>
                <w:sz w:val="20"/>
              </w:rPr>
            </w:pPr>
            <w:r>
              <w:rPr>
                <w:sz w:val="20"/>
              </w:rPr>
              <w:t xml:space="preserve">2022 T-24: NRA - </w:t>
            </w:r>
            <w:r>
              <w:rPr>
                <w:sz w:val="20"/>
              </w:rPr>
              <w:t>Refrigeration System</w:t>
            </w:r>
            <w:r>
              <w:rPr>
                <w:spacing w:val="-9"/>
                <w:sz w:val="20"/>
              </w:rPr>
              <w:t xml:space="preserve"> </w:t>
            </w:r>
            <w:r>
              <w:rPr>
                <w:sz w:val="20"/>
              </w:rPr>
              <w:t>-</w:t>
            </w:r>
            <w:r>
              <w:rPr>
                <w:spacing w:val="-8"/>
                <w:sz w:val="20"/>
              </w:rPr>
              <w:t xml:space="preserve"> </w:t>
            </w:r>
            <w:r>
              <w:rPr>
                <w:sz w:val="20"/>
              </w:rPr>
              <w:t>Automatic</w:t>
            </w:r>
            <w:r>
              <w:rPr>
                <w:spacing w:val="-7"/>
                <w:sz w:val="20"/>
              </w:rPr>
              <w:t xml:space="preserve"> </w:t>
            </w:r>
            <w:r>
              <w:rPr>
                <w:sz w:val="20"/>
              </w:rPr>
              <w:t>Door</w:t>
            </w:r>
            <w:r>
              <w:rPr>
                <w:spacing w:val="-7"/>
                <w:sz w:val="20"/>
              </w:rPr>
              <w:t xml:space="preserve"> </w:t>
            </w:r>
            <w:r>
              <w:rPr>
                <w:sz w:val="20"/>
              </w:rPr>
              <w:t>Closers</w:t>
            </w:r>
            <w:r>
              <w:rPr>
                <w:spacing w:val="-8"/>
                <w:sz w:val="20"/>
              </w:rPr>
              <w:t xml:space="preserve"> </w:t>
            </w:r>
            <w:r>
              <w:rPr>
                <w:sz w:val="20"/>
              </w:rPr>
              <w:t>for Refrigerated Spaces</w:t>
            </w:r>
          </w:p>
        </w:tc>
        <w:tc>
          <w:tcPr>
            <w:tcW w:w="1131" w:type="dxa"/>
            <w:tcBorders>
              <w:top w:val="single" w:color="D9D9D9" w:sz="2" w:space="0"/>
              <w:bottom w:val="single" w:color="D9D9D9" w:sz="2" w:space="0"/>
            </w:tcBorders>
          </w:tcPr>
          <w:p w:rsidR="00C31389" w:rsidRDefault="00C31389" w14:paraId="3D84FFE4" w14:textId="77777777">
            <w:pPr>
              <w:pStyle w:val="TableParagraph"/>
              <w:spacing w:before="6"/>
              <w:rPr>
                <w:sz w:val="23"/>
              </w:rPr>
            </w:pPr>
          </w:p>
          <w:p w:rsidR="00C31389" w:rsidRDefault="00561FBD" w14:paraId="32599217" w14:textId="77777777">
            <w:pPr>
              <w:pStyle w:val="TableParagraph"/>
              <w:spacing w:before="0"/>
              <w:ind w:left="317"/>
              <w:rPr>
                <w:sz w:val="20"/>
              </w:rPr>
            </w:pPr>
            <w:r>
              <w:rPr>
                <w:spacing w:val="-5"/>
                <w:sz w:val="20"/>
              </w:rPr>
              <w:t>85%</w:t>
            </w:r>
          </w:p>
        </w:tc>
        <w:tc>
          <w:tcPr>
            <w:tcW w:w="1451" w:type="dxa"/>
            <w:tcBorders>
              <w:top w:val="single" w:color="D9D9D9" w:sz="2" w:space="0"/>
              <w:bottom w:val="single" w:color="D9D9D9" w:sz="2" w:space="0"/>
            </w:tcBorders>
          </w:tcPr>
          <w:p w:rsidR="00C31389" w:rsidRDefault="00C31389" w14:paraId="3146420A" w14:textId="77777777">
            <w:pPr>
              <w:pStyle w:val="TableParagraph"/>
              <w:spacing w:before="6"/>
              <w:rPr>
                <w:sz w:val="23"/>
              </w:rPr>
            </w:pPr>
          </w:p>
          <w:p w:rsidR="00C31389" w:rsidRDefault="00561FBD" w14:paraId="6F60509F" w14:textId="77777777">
            <w:pPr>
              <w:pStyle w:val="TableParagraph"/>
              <w:spacing w:before="0"/>
              <w:ind w:left="271" w:right="156"/>
              <w:jc w:val="center"/>
              <w:rPr>
                <w:sz w:val="20"/>
              </w:rPr>
            </w:pPr>
            <w:r>
              <w:rPr>
                <w:spacing w:val="-2"/>
                <w:sz w:val="20"/>
              </w:rPr>
              <w:t>1/1/2017</w:t>
            </w:r>
          </w:p>
        </w:tc>
        <w:tc>
          <w:tcPr>
            <w:tcW w:w="1538" w:type="dxa"/>
            <w:tcBorders>
              <w:top w:val="single" w:color="D9D9D9" w:sz="2" w:space="0"/>
              <w:bottom w:val="single" w:color="D9D9D9" w:sz="2" w:space="0"/>
            </w:tcBorders>
          </w:tcPr>
          <w:p w:rsidR="00C31389" w:rsidRDefault="00C31389" w14:paraId="5D01DF8B" w14:textId="77777777">
            <w:pPr>
              <w:pStyle w:val="TableParagraph"/>
              <w:spacing w:before="6"/>
              <w:rPr>
                <w:sz w:val="23"/>
              </w:rPr>
            </w:pPr>
          </w:p>
          <w:p w:rsidR="00C31389" w:rsidRDefault="00561FBD" w14:paraId="2BE9B409" w14:textId="77777777">
            <w:pPr>
              <w:pStyle w:val="TableParagraph"/>
              <w:spacing w:before="0"/>
              <w:ind w:left="164"/>
              <w:rPr>
                <w:sz w:val="20"/>
              </w:rPr>
            </w:pPr>
            <w:r>
              <w:rPr>
                <w:spacing w:val="-2"/>
                <w:sz w:val="20"/>
              </w:rPr>
              <w:t>On-the-books</w:t>
            </w:r>
          </w:p>
        </w:tc>
      </w:tr>
      <w:tr w:rsidR="00C31389" w14:paraId="7F4FFE94" w14:textId="77777777">
        <w:trPr>
          <w:trHeight w:val="539"/>
        </w:trPr>
        <w:tc>
          <w:tcPr>
            <w:tcW w:w="1367" w:type="dxa"/>
            <w:tcBorders>
              <w:top w:val="single" w:color="D9D9D9" w:sz="2" w:space="0"/>
              <w:bottom w:val="single" w:color="D9D9D9" w:sz="2" w:space="0"/>
            </w:tcBorders>
          </w:tcPr>
          <w:p w:rsidR="00C31389" w:rsidRDefault="00561FBD" w14:paraId="574E2B76"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6CE62994" w14:textId="77777777">
            <w:pPr>
              <w:pStyle w:val="TableParagraph"/>
              <w:ind w:left="202" w:right="316"/>
              <w:rPr>
                <w:sz w:val="20"/>
              </w:rPr>
            </w:pPr>
            <w:r>
              <w:rPr>
                <w:sz w:val="20"/>
              </w:rPr>
              <w:t>2022</w:t>
            </w:r>
            <w:r>
              <w:rPr>
                <w:spacing w:val="-7"/>
                <w:sz w:val="20"/>
              </w:rPr>
              <w:t xml:space="preserve"> </w:t>
            </w:r>
            <w:r>
              <w:rPr>
                <w:sz w:val="20"/>
              </w:rPr>
              <w:t>T-24:</w:t>
            </w:r>
            <w:r>
              <w:rPr>
                <w:spacing w:val="-7"/>
                <w:sz w:val="20"/>
              </w:rPr>
              <w:t xml:space="preserve"> </w:t>
            </w:r>
            <w:r>
              <w:rPr>
                <w:sz w:val="20"/>
              </w:rPr>
              <w:t>NRNC</w:t>
            </w:r>
            <w:r>
              <w:rPr>
                <w:spacing w:val="-6"/>
                <w:sz w:val="20"/>
              </w:rPr>
              <w:t xml:space="preserve"> </w:t>
            </w:r>
            <w:r>
              <w:rPr>
                <w:sz w:val="20"/>
              </w:rPr>
              <w:t>-</w:t>
            </w:r>
            <w:r>
              <w:rPr>
                <w:spacing w:val="-7"/>
                <w:sz w:val="20"/>
              </w:rPr>
              <w:t xml:space="preserve"> </w:t>
            </w:r>
            <w:r>
              <w:rPr>
                <w:sz w:val="20"/>
              </w:rPr>
              <w:t>Air</w:t>
            </w:r>
            <w:r>
              <w:rPr>
                <w:spacing w:val="-6"/>
                <w:sz w:val="20"/>
              </w:rPr>
              <w:t xml:space="preserve"> </w:t>
            </w:r>
            <w:r>
              <w:rPr>
                <w:sz w:val="20"/>
              </w:rPr>
              <w:t>Distribution</w:t>
            </w:r>
            <w:r>
              <w:rPr>
                <w:spacing w:val="-7"/>
                <w:sz w:val="20"/>
              </w:rPr>
              <w:t xml:space="preserve"> </w:t>
            </w:r>
            <w:r>
              <w:rPr>
                <w:sz w:val="20"/>
              </w:rPr>
              <w:t>- Duct Leakage Testing</w:t>
            </w:r>
          </w:p>
        </w:tc>
        <w:tc>
          <w:tcPr>
            <w:tcW w:w="1131" w:type="dxa"/>
            <w:tcBorders>
              <w:top w:val="single" w:color="D9D9D9" w:sz="2" w:space="0"/>
              <w:bottom w:val="single" w:color="D9D9D9" w:sz="2" w:space="0"/>
            </w:tcBorders>
          </w:tcPr>
          <w:p w:rsidR="00C31389" w:rsidRDefault="00561FBD" w14:paraId="54D5F931"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2FC5B254" w14:textId="77777777">
            <w:pPr>
              <w:pStyle w:val="TableParagraph"/>
              <w:spacing w:before="155"/>
              <w:ind w:left="271" w:right="157"/>
              <w:jc w:val="center"/>
              <w:rPr>
                <w:sz w:val="20"/>
              </w:rPr>
            </w:pPr>
            <w:r>
              <w:rPr>
                <w:spacing w:val="-2"/>
                <w:sz w:val="20"/>
              </w:rPr>
              <w:t>1/1/2018</w:t>
            </w:r>
          </w:p>
        </w:tc>
        <w:tc>
          <w:tcPr>
            <w:tcW w:w="1538" w:type="dxa"/>
            <w:tcBorders>
              <w:top w:val="single" w:color="D9D9D9" w:sz="2" w:space="0"/>
              <w:bottom w:val="single" w:color="D9D9D9" w:sz="2" w:space="0"/>
            </w:tcBorders>
          </w:tcPr>
          <w:p w:rsidR="00C31389" w:rsidRDefault="00561FBD" w14:paraId="4E571F13" w14:textId="77777777">
            <w:pPr>
              <w:pStyle w:val="TableParagraph"/>
              <w:spacing w:before="155"/>
              <w:ind w:left="164"/>
              <w:rPr>
                <w:sz w:val="20"/>
              </w:rPr>
            </w:pPr>
            <w:r>
              <w:rPr>
                <w:spacing w:val="-2"/>
                <w:sz w:val="20"/>
              </w:rPr>
              <w:t>On-the-books</w:t>
            </w:r>
          </w:p>
        </w:tc>
      </w:tr>
      <w:tr w:rsidR="00C31389" w14:paraId="6192FA06" w14:textId="77777777">
        <w:trPr>
          <w:trHeight w:val="539"/>
        </w:trPr>
        <w:tc>
          <w:tcPr>
            <w:tcW w:w="1367" w:type="dxa"/>
            <w:tcBorders>
              <w:top w:val="single" w:color="D9D9D9" w:sz="2" w:space="0"/>
              <w:bottom w:val="single" w:color="D9D9D9" w:sz="2" w:space="0"/>
            </w:tcBorders>
          </w:tcPr>
          <w:p w:rsidR="00C31389" w:rsidRDefault="00561FBD" w14:paraId="3AE67C6F"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37409427" w14:textId="77777777">
            <w:pPr>
              <w:pStyle w:val="TableParagraph"/>
              <w:ind w:left="202" w:right="316"/>
              <w:rPr>
                <w:sz w:val="20"/>
              </w:rPr>
            </w:pPr>
            <w:r>
              <w:rPr>
                <w:sz w:val="20"/>
              </w:rPr>
              <w:t>2022</w:t>
            </w:r>
            <w:r>
              <w:rPr>
                <w:spacing w:val="-7"/>
                <w:sz w:val="20"/>
              </w:rPr>
              <w:t xml:space="preserve"> </w:t>
            </w:r>
            <w:r>
              <w:rPr>
                <w:sz w:val="20"/>
              </w:rPr>
              <w:t>T-24:</w:t>
            </w:r>
            <w:r>
              <w:rPr>
                <w:spacing w:val="-7"/>
                <w:sz w:val="20"/>
              </w:rPr>
              <w:t xml:space="preserve"> </w:t>
            </w:r>
            <w:r>
              <w:rPr>
                <w:sz w:val="20"/>
              </w:rPr>
              <w:t>NRNC</w:t>
            </w:r>
            <w:r>
              <w:rPr>
                <w:spacing w:val="-6"/>
                <w:sz w:val="20"/>
              </w:rPr>
              <w:t xml:space="preserve"> </w:t>
            </w:r>
            <w:r>
              <w:rPr>
                <w:sz w:val="20"/>
              </w:rPr>
              <w:t>-</w:t>
            </w:r>
            <w:r>
              <w:rPr>
                <w:spacing w:val="-7"/>
                <w:sz w:val="20"/>
              </w:rPr>
              <w:t xml:space="preserve"> </w:t>
            </w:r>
            <w:r>
              <w:rPr>
                <w:sz w:val="20"/>
              </w:rPr>
              <w:t>Air</w:t>
            </w:r>
            <w:r>
              <w:rPr>
                <w:spacing w:val="-6"/>
                <w:sz w:val="20"/>
              </w:rPr>
              <w:t xml:space="preserve"> </w:t>
            </w:r>
            <w:r>
              <w:rPr>
                <w:sz w:val="20"/>
              </w:rPr>
              <w:t>Distribution</w:t>
            </w:r>
            <w:r>
              <w:rPr>
                <w:spacing w:val="-7"/>
                <w:sz w:val="20"/>
              </w:rPr>
              <w:t xml:space="preserve"> </w:t>
            </w:r>
            <w:r>
              <w:rPr>
                <w:sz w:val="20"/>
              </w:rPr>
              <w:t xml:space="preserve">- Fan </w:t>
            </w:r>
            <w:r>
              <w:rPr>
                <w:sz w:val="20"/>
              </w:rPr>
              <w:t>Energy Index</w:t>
            </w:r>
          </w:p>
        </w:tc>
        <w:tc>
          <w:tcPr>
            <w:tcW w:w="1131" w:type="dxa"/>
            <w:tcBorders>
              <w:top w:val="single" w:color="D9D9D9" w:sz="2" w:space="0"/>
              <w:bottom w:val="single" w:color="D9D9D9" w:sz="2" w:space="0"/>
            </w:tcBorders>
          </w:tcPr>
          <w:p w:rsidR="00C31389" w:rsidRDefault="00561FBD" w14:paraId="4380703D"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315EA65C" w14:textId="77777777">
            <w:pPr>
              <w:pStyle w:val="TableParagraph"/>
              <w:spacing w:before="155"/>
              <w:ind w:left="271" w:right="156"/>
              <w:jc w:val="center"/>
              <w:rPr>
                <w:sz w:val="20"/>
              </w:rPr>
            </w:pPr>
            <w:r>
              <w:rPr>
                <w:spacing w:val="-2"/>
                <w:sz w:val="20"/>
              </w:rPr>
              <w:t>1/1/2018</w:t>
            </w:r>
          </w:p>
        </w:tc>
        <w:tc>
          <w:tcPr>
            <w:tcW w:w="1538" w:type="dxa"/>
            <w:tcBorders>
              <w:top w:val="single" w:color="D9D9D9" w:sz="2" w:space="0"/>
              <w:bottom w:val="single" w:color="D9D9D9" w:sz="2" w:space="0"/>
            </w:tcBorders>
          </w:tcPr>
          <w:p w:rsidR="00C31389" w:rsidRDefault="00561FBD" w14:paraId="1720D4DE" w14:textId="77777777">
            <w:pPr>
              <w:pStyle w:val="TableParagraph"/>
              <w:spacing w:before="155"/>
              <w:ind w:left="164"/>
              <w:rPr>
                <w:sz w:val="20"/>
              </w:rPr>
            </w:pPr>
            <w:r>
              <w:rPr>
                <w:spacing w:val="-2"/>
                <w:sz w:val="20"/>
              </w:rPr>
              <w:t>On-the-books</w:t>
            </w:r>
          </w:p>
        </w:tc>
      </w:tr>
      <w:tr w:rsidR="00C31389" w14:paraId="2662A30C" w14:textId="77777777">
        <w:trPr>
          <w:trHeight w:val="539"/>
        </w:trPr>
        <w:tc>
          <w:tcPr>
            <w:tcW w:w="1367" w:type="dxa"/>
            <w:tcBorders>
              <w:top w:val="single" w:color="D9D9D9" w:sz="2" w:space="0"/>
              <w:bottom w:val="single" w:color="D9D9D9" w:sz="2" w:space="0"/>
            </w:tcBorders>
          </w:tcPr>
          <w:p w:rsidR="00C31389" w:rsidRDefault="00561FBD" w14:paraId="5E8EACEB"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228C8D10" w14:textId="77777777">
            <w:pPr>
              <w:pStyle w:val="TableParagraph"/>
              <w:ind w:left="202" w:right="316"/>
              <w:rPr>
                <w:sz w:val="20"/>
              </w:rPr>
            </w:pPr>
            <w:r>
              <w:rPr>
                <w:sz w:val="20"/>
              </w:rPr>
              <w:t>2022</w:t>
            </w:r>
            <w:r>
              <w:rPr>
                <w:spacing w:val="-7"/>
                <w:sz w:val="20"/>
              </w:rPr>
              <w:t xml:space="preserve"> </w:t>
            </w:r>
            <w:r>
              <w:rPr>
                <w:sz w:val="20"/>
              </w:rPr>
              <w:t>T-24:</w:t>
            </w:r>
            <w:r>
              <w:rPr>
                <w:spacing w:val="-7"/>
                <w:sz w:val="20"/>
              </w:rPr>
              <w:t xml:space="preserve"> </w:t>
            </w:r>
            <w:r>
              <w:rPr>
                <w:sz w:val="20"/>
              </w:rPr>
              <w:t>NRNC</w:t>
            </w:r>
            <w:r>
              <w:rPr>
                <w:spacing w:val="-6"/>
                <w:sz w:val="20"/>
              </w:rPr>
              <w:t xml:space="preserve"> </w:t>
            </w:r>
            <w:r>
              <w:rPr>
                <w:sz w:val="20"/>
              </w:rPr>
              <w:t>-</w:t>
            </w:r>
            <w:r>
              <w:rPr>
                <w:spacing w:val="-7"/>
                <w:sz w:val="20"/>
              </w:rPr>
              <w:t xml:space="preserve"> </w:t>
            </w:r>
            <w:r>
              <w:rPr>
                <w:sz w:val="20"/>
              </w:rPr>
              <w:t>Air</w:t>
            </w:r>
            <w:r>
              <w:rPr>
                <w:spacing w:val="-6"/>
                <w:sz w:val="20"/>
              </w:rPr>
              <w:t xml:space="preserve"> </w:t>
            </w:r>
            <w:r>
              <w:rPr>
                <w:sz w:val="20"/>
              </w:rPr>
              <w:t>Distribution</w:t>
            </w:r>
            <w:r>
              <w:rPr>
                <w:spacing w:val="-7"/>
                <w:sz w:val="20"/>
              </w:rPr>
              <w:t xml:space="preserve"> </w:t>
            </w:r>
            <w:r>
              <w:rPr>
                <w:sz w:val="20"/>
              </w:rPr>
              <w:t>- Fan Power Budget</w:t>
            </w:r>
          </w:p>
        </w:tc>
        <w:tc>
          <w:tcPr>
            <w:tcW w:w="1131" w:type="dxa"/>
            <w:tcBorders>
              <w:top w:val="single" w:color="D9D9D9" w:sz="2" w:space="0"/>
              <w:bottom w:val="single" w:color="D9D9D9" w:sz="2" w:space="0"/>
            </w:tcBorders>
          </w:tcPr>
          <w:p w:rsidR="00C31389" w:rsidRDefault="00561FBD" w14:paraId="050C628D"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472D767E" w14:textId="77777777">
            <w:pPr>
              <w:pStyle w:val="TableParagraph"/>
              <w:spacing w:before="155"/>
              <w:ind w:left="271" w:right="157"/>
              <w:jc w:val="center"/>
              <w:rPr>
                <w:sz w:val="20"/>
              </w:rPr>
            </w:pPr>
            <w:r>
              <w:rPr>
                <w:spacing w:val="-2"/>
                <w:sz w:val="20"/>
              </w:rPr>
              <w:t>1/8/2013</w:t>
            </w:r>
          </w:p>
        </w:tc>
        <w:tc>
          <w:tcPr>
            <w:tcW w:w="1538" w:type="dxa"/>
            <w:tcBorders>
              <w:top w:val="single" w:color="D9D9D9" w:sz="2" w:space="0"/>
              <w:bottom w:val="single" w:color="D9D9D9" w:sz="2" w:space="0"/>
            </w:tcBorders>
          </w:tcPr>
          <w:p w:rsidR="00C31389" w:rsidRDefault="00561FBD" w14:paraId="36278D40" w14:textId="77777777">
            <w:pPr>
              <w:pStyle w:val="TableParagraph"/>
              <w:spacing w:before="155"/>
              <w:ind w:left="164"/>
              <w:rPr>
                <w:sz w:val="20"/>
              </w:rPr>
            </w:pPr>
            <w:r>
              <w:rPr>
                <w:spacing w:val="-2"/>
                <w:sz w:val="20"/>
              </w:rPr>
              <w:t>On-the-books</w:t>
            </w:r>
          </w:p>
        </w:tc>
      </w:tr>
      <w:tr w:rsidR="00C31389" w14:paraId="4C5C34B1" w14:textId="77777777">
        <w:trPr>
          <w:trHeight w:val="770"/>
        </w:trPr>
        <w:tc>
          <w:tcPr>
            <w:tcW w:w="1367" w:type="dxa"/>
            <w:tcBorders>
              <w:top w:val="single" w:color="D9D9D9" w:sz="2" w:space="0"/>
              <w:bottom w:val="single" w:color="D9D9D9" w:sz="2" w:space="0"/>
            </w:tcBorders>
          </w:tcPr>
          <w:p w:rsidR="00C31389" w:rsidRDefault="00C31389" w14:paraId="3115D22F" w14:textId="77777777">
            <w:pPr>
              <w:pStyle w:val="TableParagraph"/>
              <w:spacing w:before="6"/>
              <w:rPr>
                <w:sz w:val="23"/>
              </w:rPr>
            </w:pPr>
          </w:p>
          <w:p w:rsidR="00C31389" w:rsidRDefault="00561FBD" w14:paraId="2D2D3236"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39EC12FD" w14:textId="77777777">
            <w:pPr>
              <w:pStyle w:val="TableParagraph"/>
              <w:ind w:left="202" w:right="560"/>
              <w:rPr>
                <w:sz w:val="20"/>
              </w:rPr>
            </w:pPr>
            <w:r>
              <w:rPr>
                <w:sz w:val="20"/>
              </w:rPr>
              <w:t>2022 T-24: NRNC - Boilers and Service</w:t>
            </w:r>
            <w:r>
              <w:rPr>
                <w:spacing w:val="-9"/>
                <w:sz w:val="20"/>
              </w:rPr>
              <w:t xml:space="preserve"> </w:t>
            </w:r>
            <w:r>
              <w:rPr>
                <w:sz w:val="20"/>
              </w:rPr>
              <w:t>Water</w:t>
            </w:r>
            <w:r>
              <w:rPr>
                <w:spacing w:val="-7"/>
                <w:sz w:val="20"/>
              </w:rPr>
              <w:t xml:space="preserve"> </w:t>
            </w:r>
            <w:r>
              <w:rPr>
                <w:sz w:val="20"/>
              </w:rPr>
              <w:t>Heating</w:t>
            </w:r>
            <w:r>
              <w:rPr>
                <w:spacing w:val="-8"/>
                <w:sz w:val="20"/>
              </w:rPr>
              <w:t xml:space="preserve"> </w:t>
            </w:r>
            <w:r>
              <w:rPr>
                <w:sz w:val="20"/>
              </w:rPr>
              <w:t>-</w:t>
            </w:r>
            <w:r>
              <w:rPr>
                <w:spacing w:val="-8"/>
                <w:sz w:val="20"/>
              </w:rPr>
              <w:t xml:space="preserve"> </w:t>
            </w:r>
            <w:r>
              <w:rPr>
                <w:sz w:val="20"/>
              </w:rPr>
              <w:t>Gas</w:t>
            </w:r>
            <w:r>
              <w:rPr>
                <w:spacing w:val="-7"/>
                <w:sz w:val="20"/>
              </w:rPr>
              <w:t xml:space="preserve"> </w:t>
            </w:r>
            <w:r>
              <w:rPr>
                <w:sz w:val="20"/>
              </w:rPr>
              <w:t xml:space="preserve">Boiler </w:t>
            </w:r>
            <w:r>
              <w:rPr>
                <w:spacing w:val="-2"/>
                <w:sz w:val="20"/>
              </w:rPr>
              <w:t>Systems</w:t>
            </w:r>
          </w:p>
        </w:tc>
        <w:tc>
          <w:tcPr>
            <w:tcW w:w="1131" w:type="dxa"/>
            <w:tcBorders>
              <w:top w:val="single" w:color="D9D9D9" w:sz="2" w:space="0"/>
              <w:bottom w:val="single" w:color="D9D9D9" w:sz="2" w:space="0"/>
            </w:tcBorders>
          </w:tcPr>
          <w:p w:rsidR="00C31389" w:rsidRDefault="00C31389" w14:paraId="30A157CA" w14:textId="77777777">
            <w:pPr>
              <w:pStyle w:val="TableParagraph"/>
              <w:spacing w:before="6"/>
              <w:rPr>
                <w:sz w:val="23"/>
              </w:rPr>
            </w:pPr>
          </w:p>
          <w:p w:rsidR="00C31389" w:rsidRDefault="00561FBD" w14:paraId="38B1BF18" w14:textId="77777777">
            <w:pPr>
              <w:pStyle w:val="TableParagraph"/>
              <w:spacing w:before="0"/>
              <w:ind w:left="317"/>
              <w:rPr>
                <w:sz w:val="20"/>
              </w:rPr>
            </w:pPr>
            <w:r>
              <w:rPr>
                <w:spacing w:val="-5"/>
                <w:sz w:val="20"/>
              </w:rPr>
              <w:t>85%</w:t>
            </w:r>
          </w:p>
        </w:tc>
        <w:tc>
          <w:tcPr>
            <w:tcW w:w="1451" w:type="dxa"/>
            <w:tcBorders>
              <w:top w:val="single" w:color="D9D9D9" w:sz="2" w:space="0"/>
              <w:bottom w:val="single" w:color="D9D9D9" w:sz="2" w:space="0"/>
            </w:tcBorders>
          </w:tcPr>
          <w:p w:rsidR="00C31389" w:rsidRDefault="00C31389" w14:paraId="15FCC5FA" w14:textId="77777777">
            <w:pPr>
              <w:pStyle w:val="TableParagraph"/>
              <w:spacing w:before="6"/>
              <w:rPr>
                <w:sz w:val="23"/>
              </w:rPr>
            </w:pPr>
          </w:p>
          <w:p w:rsidR="00C31389" w:rsidRDefault="00561FBD" w14:paraId="1D43BB86" w14:textId="77777777">
            <w:pPr>
              <w:pStyle w:val="TableParagraph"/>
              <w:spacing w:before="0"/>
              <w:ind w:left="271" w:right="156"/>
              <w:jc w:val="center"/>
              <w:rPr>
                <w:sz w:val="20"/>
              </w:rPr>
            </w:pPr>
            <w:r>
              <w:rPr>
                <w:spacing w:val="-2"/>
                <w:sz w:val="20"/>
              </w:rPr>
              <w:t>1/28/2018</w:t>
            </w:r>
          </w:p>
        </w:tc>
        <w:tc>
          <w:tcPr>
            <w:tcW w:w="1538" w:type="dxa"/>
            <w:tcBorders>
              <w:top w:val="single" w:color="D9D9D9" w:sz="2" w:space="0"/>
              <w:bottom w:val="single" w:color="D9D9D9" w:sz="2" w:space="0"/>
            </w:tcBorders>
          </w:tcPr>
          <w:p w:rsidR="00C31389" w:rsidRDefault="00C31389" w14:paraId="4A7DC3E5" w14:textId="77777777">
            <w:pPr>
              <w:pStyle w:val="TableParagraph"/>
              <w:spacing w:before="6"/>
              <w:rPr>
                <w:sz w:val="23"/>
              </w:rPr>
            </w:pPr>
          </w:p>
          <w:p w:rsidR="00C31389" w:rsidRDefault="00561FBD" w14:paraId="55D0F537" w14:textId="77777777">
            <w:pPr>
              <w:pStyle w:val="TableParagraph"/>
              <w:spacing w:before="0"/>
              <w:ind w:left="164"/>
              <w:rPr>
                <w:sz w:val="20"/>
              </w:rPr>
            </w:pPr>
            <w:r>
              <w:rPr>
                <w:spacing w:val="-2"/>
                <w:sz w:val="20"/>
              </w:rPr>
              <w:t>On-the-books</w:t>
            </w:r>
          </w:p>
        </w:tc>
      </w:tr>
      <w:tr w:rsidR="00C31389" w14:paraId="6B462540" w14:textId="77777777">
        <w:trPr>
          <w:trHeight w:val="770"/>
        </w:trPr>
        <w:tc>
          <w:tcPr>
            <w:tcW w:w="1367" w:type="dxa"/>
            <w:tcBorders>
              <w:top w:val="single" w:color="D9D9D9" w:sz="2" w:space="0"/>
              <w:bottom w:val="single" w:color="D9D9D9" w:sz="2" w:space="0"/>
            </w:tcBorders>
          </w:tcPr>
          <w:p w:rsidR="00C31389" w:rsidRDefault="00C31389" w14:paraId="085E51DB" w14:textId="77777777">
            <w:pPr>
              <w:pStyle w:val="TableParagraph"/>
              <w:spacing w:before="6"/>
              <w:rPr>
                <w:sz w:val="23"/>
              </w:rPr>
            </w:pPr>
          </w:p>
          <w:p w:rsidR="00C31389" w:rsidRDefault="00561FBD" w14:paraId="2576F316"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5F585321" w14:textId="77777777">
            <w:pPr>
              <w:pStyle w:val="TableParagraph"/>
              <w:ind w:left="202" w:right="316"/>
              <w:rPr>
                <w:sz w:val="20"/>
              </w:rPr>
            </w:pPr>
            <w:r>
              <w:rPr>
                <w:sz w:val="20"/>
              </w:rPr>
              <w:t>2022 T-24: NRNC - Boilers and Service</w:t>
            </w:r>
            <w:r>
              <w:rPr>
                <w:spacing w:val="-9"/>
                <w:sz w:val="20"/>
              </w:rPr>
              <w:t xml:space="preserve"> </w:t>
            </w:r>
            <w:r>
              <w:rPr>
                <w:sz w:val="20"/>
              </w:rPr>
              <w:t>Water</w:t>
            </w:r>
            <w:r>
              <w:rPr>
                <w:spacing w:val="-7"/>
                <w:sz w:val="20"/>
              </w:rPr>
              <w:t xml:space="preserve"> </w:t>
            </w:r>
            <w:r>
              <w:rPr>
                <w:sz w:val="20"/>
              </w:rPr>
              <w:t>Heating</w:t>
            </w:r>
            <w:r>
              <w:rPr>
                <w:spacing w:val="-8"/>
                <w:sz w:val="20"/>
              </w:rPr>
              <w:t xml:space="preserve"> </w:t>
            </w:r>
            <w:r>
              <w:rPr>
                <w:sz w:val="20"/>
              </w:rPr>
              <w:t>-</w:t>
            </w:r>
            <w:r>
              <w:rPr>
                <w:spacing w:val="-8"/>
                <w:sz w:val="20"/>
              </w:rPr>
              <w:t xml:space="preserve"> </w:t>
            </w:r>
            <w:r>
              <w:rPr>
                <w:sz w:val="20"/>
              </w:rPr>
              <w:t>Gas</w:t>
            </w:r>
            <w:r>
              <w:rPr>
                <w:spacing w:val="-7"/>
                <w:sz w:val="20"/>
              </w:rPr>
              <w:t xml:space="preserve"> </w:t>
            </w:r>
            <w:r>
              <w:rPr>
                <w:sz w:val="20"/>
              </w:rPr>
              <w:t>Service Water Heating</w:t>
            </w:r>
          </w:p>
        </w:tc>
        <w:tc>
          <w:tcPr>
            <w:tcW w:w="1131" w:type="dxa"/>
            <w:tcBorders>
              <w:top w:val="single" w:color="D9D9D9" w:sz="2" w:space="0"/>
              <w:bottom w:val="single" w:color="D9D9D9" w:sz="2" w:space="0"/>
            </w:tcBorders>
          </w:tcPr>
          <w:p w:rsidR="00C31389" w:rsidRDefault="00C31389" w14:paraId="5A7A0569" w14:textId="77777777">
            <w:pPr>
              <w:pStyle w:val="TableParagraph"/>
              <w:spacing w:before="6"/>
              <w:rPr>
                <w:sz w:val="23"/>
              </w:rPr>
            </w:pPr>
          </w:p>
          <w:p w:rsidR="00C31389" w:rsidRDefault="00561FBD" w14:paraId="162E609E" w14:textId="77777777">
            <w:pPr>
              <w:pStyle w:val="TableParagraph"/>
              <w:spacing w:before="0"/>
              <w:ind w:left="317"/>
              <w:rPr>
                <w:sz w:val="20"/>
              </w:rPr>
            </w:pPr>
            <w:r>
              <w:rPr>
                <w:spacing w:val="-5"/>
                <w:sz w:val="20"/>
              </w:rPr>
              <w:t>85%</w:t>
            </w:r>
          </w:p>
        </w:tc>
        <w:tc>
          <w:tcPr>
            <w:tcW w:w="1451" w:type="dxa"/>
            <w:tcBorders>
              <w:top w:val="single" w:color="D9D9D9" w:sz="2" w:space="0"/>
              <w:bottom w:val="single" w:color="D9D9D9" w:sz="2" w:space="0"/>
            </w:tcBorders>
          </w:tcPr>
          <w:p w:rsidR="00C31389" w:rsidRDefault="00C31389" w14:paraId="0C3D4E37" w14:textId="77777777">
            <w:pPr>
              <w:pStyle w:val="TableParagraph"/>
              <w:spacing w:before="6"/>
              <w:rPr>
                <w:sz w:val="23"/>
              </w:rPr>
            </w:pPr>
          </w:p>
          <w:p w:rsidR="00C31389" w:rsidRDefault="00561FBD" w14:paraId="26EE4C07" w14:textId="77777777">
            <w:pPr>
              <w:pStyle w:val="TableParagraph"/>
              <w:spacing w:before="0"/>
              <w:ind w:left="271" w:right="157"/>
              <w:jc w:val="center"/>
              <w:rPr>
                <w:sz w:val="20"/>
              </w:rPr>
            </w:pPr>
            <w:r>
              <w:rPr>
                <w:spacing w:val="-2"/>
                <w:sz w:val="20"/>
              </w:rPr>
              <w:t>1/1/2012</w:t>
            </w:r>
          </w:p>
        </w:tc>
        <w:tc>
          <w:tcPr>
            <w:tcW w:w="1538" w:type="dxa"/>
            <w:tcBorders>
              <w:top w:val="single" w:color="D9D9D9" w:sz="2" w:space="0"/>
              <w:bottom w:val="single" w:color="D9D9D9" w:sz="2" w:space="0"/>
            </w:tcBorders>
          </w:tcPr>
          <w:p w:rsidR="00C31389" w:rsidRDefault="00C31389" w14:paraId="1EE77D4A" w14:textId="77777777">
            <w:pPr>
              <w:pStyle w:val="TableParagraph"/>
              <w:spacing w:before="6"/>
              <w:rPr>
                <w:sz w:val="23"/>
              </w:rPr>
            </w:pPr>
          </w:p>
          <w:p w:rsidR="00C31389" w:rsidRDefault="00561FBD" w14:paraId="31BE4412" w14:textId="77777777">
            <w:pPr>
              <w:pStyle w:val="TableParagraph"/>
              <w:spacing w:before="0"/>
              <w:ind w:left="164"/>
              <w:rPr>
                <w:sz w:val="20"/>
              </w:rPr>
            </w:pPr>
            <w:r>
              <w:rPr>
                <w:spacing w:val="-2"/>
                <w:sz w:val="20"/>
              </w:rPr>
              <w:t>On-the-books</w:t>
            </w:r>
          </w:p>
        </w:tc>
      </w:tr>
      <w:tr w:rsidR="00C31389" w14:paraId="00F4E517" w14:textId="77777777">
        <w:trPr>
          <w:trHeight w:val="768"/>
        </w:trPr>
        <w:tc>
          <w:tcPr>
            <w:tcW w:w="1367" w:type="dxa"/>
            <w:tcBorders>
              <w:top w:val="single" w:color="D9D9D9" w:sz="2" w:space="0"/>
              <w:bottom w:val="single" w:color="D9D9D9" w:sz="2" w:space="0"/>
            </w:tcBorders>
          </w:tcPr>
          <w:p w:rsidR="00C31389" w:rsidRDefault="00C31389" w14:paraId="7D1009B9" w14:textId="77777777">
            <w:pPr>
              <w:pStyle w:val="TableParagraph"/>
              <w:spacing w:before="6"/>
              <w:rPr>
                <w:sz w:val="23"/>
              </w:rPr>
            </w:pPr>
          </w:p>
          <w:p w:rsidR="00C31389" w:rsidRDefault="00561FBD" w14:paraId="6B51F99D"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42E1DC2B" w14:textId="77777777">
            <w:pPr>
              <w:pStyle w:val="TableParagraph"/>
              <w:ind w:left="202" w:right="560"/>
              <w:rPr>
                <w:sz w:val="20"/>
              </w:rPr>
            </w:pPr>
            <w:r>
              <w:rPr>
                <w:sz w:val="20"/>
              </w:rPr>
              <w:t>2022 T-24: NRNC - Boilers and Service</w:t>
            </w:r>
            <w:r>
              <w:rPr>
                <w:spacing w:val="-11"/>
                <w:sz w:val="20"/>
              </w:rPr>
              <w:t xml:space="preserve"> </w:t>
            </w:r>
            <w:r>
              <w:rPr>
                <w:sz w:val="20"/>
              </w:rPr>
              <w:t>Water</w:t>
            </w:r>
            <w:r>
              <w:rPr>
                <w:spacing w:val="-9"/>
                <w:sz w:val="20"/>
              </w:rPr>
              <w:t xml:space="preserve"> </w:t>
            </w:r>
            <w:r>
              <w:rPr>
                <w:sz w:val="20"/>
              </w:rPr>
              <w:t>Heating</w:t>
            </w:r>
            <w:r>
              <w:rPr>
                <w:spacing w:val="-10"/>
                <w:sz w:val="20"/>
              </w:rPr>
              <w:t xml:space="preserve"> </w:t>
            </w:r>
            <w:r>
              <w:rPr>
                <w:sz w:val="20"/>
              </w:rPr>
              <w:t>-</w:t>
            </w:r>
            <w:r>
              <w:rPr>
                <w:spacing w:val="-10"/>
                <w:sz w:val="20"/>
              </w:rPr>
              <w:t xml:space="preserve"> </w:t>
            </w:r>
            <w:r>
              <w:rPr>
                <w:sz w:val="20"/>
              </w:rPr>
              <w:t>Process Boiler Oxygen Concentration</w:t>
            </w:r>
          </w:p>
        </w:tc>
        <w:tc>
          <w:tcPr>
            <w:tcW w:w="1131" w:type="dxa"/>
            <w:tcBorders>
              <w:top w:val="single" w:color="D9D9D9" w:sz="2" w:space="0"/>
              <w:bottom w:val="single" w:color="D9D9D9" w:sz="2" w:space="0"/>
            </w:tcBorders>
          </w:tcPr>
          <w:p w:rsidR="00C31389" w:rsidRDefault="00C31389" w14:paraId="6DC83942" w14:textId="77777777">
            <w:pPr>
              <w:pStyle w:val="TableParagraph"/>
              <w:spacing w:before="6"/>
              <w:rPr>
                <w:sz w:val="23"/>
              </w:rPr>
            </w:pPr>
          </w:p>
          <w:p w:rsidR="00C31389" w:rsidRDefault="00561FBD" w14:paraId="35497870" w14:textId="77777777">
            <w:pPr>
              <w:pStyle w:val="TableParagraph"/>
              <w:spacing w:before="0"/>
              <w:ind w:left="317"/>
              <w:rPr>
                <w:sz w:val="20"/>
              </w:rPr>
            </w:pPr>
            <w:r>
              <w:rPr>
                <w:spacing w:val="-5"/>
                <w:sz w:val="20"/>
              </w:rPr>
              <w:t>85%</w:t>
            </w:r>
          </w:p>
        </w:tc>
        <w:tc>
          <w:tcPr>
            <w:tcW w:w="1451" w:type="dxa"/>
            <w:tcBorders>
              <w:top w:val="single" w:color="D9D9D9" w:sz="2" w:space="0"/>
              <w:bottom w:val="single" w:color="D9D9D9" w:sz="2" w:space="0"/>
            </w:tcBorders>
          </w:tcPr>
          <w:p w:rsidR="00C31389" w:rsidRDefault="00C31389" w14:paraId="5E9E240C" w14:textId="77777777">
            <w:pPr>
              <w:pStyle w:val="TableParagraph"/>
              <w:spacing w:before="6"/>
              <w:rPr>
                <w:sz w:val="23"/>
              </w:rPr>
            </w:pPr>
          </w:p>
          <w:p w:rsidR="00C31389" w:rsidRDefault="00561FBD" w14:paraId="73D9C582" w14:textId="77777777">
            <w:pPr>
              <w:pStyle w:val="TableParagraph"/>
              <w:spacing w:before="0"/>
              <w:ind w:left="271" w:right="156"/>
              <w:jc w:val="center"/>
              <w:rPr>
                <w:sz w:val="20"/>
              </w:rPr>
            </w:pPr>
            <w:r>
              <w:rPr>
                <w:spacing w:val="-2"/>
                <w:sz w:val="20"/>
              </w:rPr>
              <w:t>3/27/2017</w:t>
            </w:r>
          </w:p>
        </w:tc>
        <w:tc>
          <w:tcPr>
            <w:tcW w:w="1538" w:type="dxa"/>
            <w:tcBorders>
              <w:top w:val="single" w:color="D9D9D9" w:sz="2" w:space="0"/>
              <w:bottom w:val="single" w:color="D9D9D9" w:sz="2" w:space="0"/>
            </w:tcBorders>
          </w:tcPr>
          <w:p w:rsidR="00C31389" w:rsidRDefault="00C31389" w14:paraId="047B14AD" w14:textId="77777777">
            <w:pPr>
              <w:pStyle w:val="TableParagraph"/>
              <w:spacing w:before="6"/>
              <w:rPr>
                <w:sz w:val="23"/>
              </w:rPr>
            </w:pPr>
          </w:p>
          <w:p w:rsidR="00C31389" w:rsidRDefault="00561FBD" w14:paraId="00D4DB7C" w14:textId="77777777">
            <w:pPr>
              <w:pStyle w:val="TableParagraph"/>
              <w:spacing w:before="0"/>
              <w:ind w:left="164"/>
              <w:rPr>
                <w:sz w:val="20"/>
              </w:rPr>
            </w:pPr>
            <w:r>
              <w:rPr>
                <w:spacing w:val="-2"/>
                <w:sz w:val="20"/>
              </w:rPr>
              <w:t>On-the-books</w:t>
            </w:r>
          </w:p>
        </w:tc>
      </w:tr>
      <w:tr w:rsidR="00C31389" w14:paraId="3FB5ED48" w14:textId="77777777">
        <w:trPr>
          <w:trHeight w:val="541"/>
        </w:trPr>
        <w:tc>
          <w:tcPr>
            <w:tcW w:w="1367" w:type="dxa"/>
            <w:tcBorders>
              <w:top w:val="single" w:color="D9D9D9" w:sz="2" w:space="0"/>
              <w:bottom w:val="single" w:color="D9D9D9" w:sz="2" w:space="0"/>
            </w:tcBorders>
          </w:tcPr>
          <w:p w:rsidR="00C31389" w:rsidRDefault="00561FBD" w14:paraId="4E0549F2"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3BF29CCB" w14:textId="77777777">
            <w:pPr>
              <w:pStyle w:val="TableParagraph"/>
              <w:spacing w:before="41"/>
              <w:ind w:left="202"/>
              <w:rPr>
                <w:sz w:val="20"/>
              </w:rPr>
            </w:pPr>
            <w:r>
              <w:rPr>
                <w:sz w:val="20"/>
              </w:rPr>
              <w:t>2022</w:t>
            </w:r>
            <w:r>
              <w:rPr>
                <w:spacing w:val="-8"/>
                <w:sz w:val="20"/>
              </w:rPr>
              <w:t xml:space="preserve"> </w:t>
            </w:r>
            <w:r>
              <w:rPr>
                <w:sz w:val="20"/>
              </w:rPr>
              <w:t>T-24:</w:t>
            </w:r>
            <w:r>
              <w:rPr>
                <w:spacing w:val="-8"/>
                <w:sz w:val="20"/>
              </w:rPr>
              <w:t xml:space="preserve"> </w:t>
            </w:r>
            <w:r>
              <w:rPr>
                <w:sz w:val="20"/>
              </w:rPr>
              <w:t>NRNC</w:t>
            </w:r>
            <w:r>
              <w:rPr>
                <w:spacing w:val="-7"/>
                <w:sz w:val="20"/>
              </w:rPr>
              <w:t xml:space="preserve"> </w:t>
            </w:r>
            <w:r>
              <w:rPr>
                <w:sz w:val="20"/>
              </w:rPr>
              <w:t>-</w:t>
            </w:r>
            <w:r>
              <w:rPr>
                <w:spacing w:val="-8"/>
                <w:sz w:val="20"/>
              </w:rPr>
              <w:t xml:space="preserve"> </w:t>
            </w:r>
            <w:r>
              <w:rPr>
                <w:sz w:val="20"/>
              </w:rPr>
              <w:t>Compressed</w:t>
            </w:r>
            <w:r>
              <w:rPr>
                <w:spacing w:val="-8"/>
                <w:sz w:val="20"/>
              </w:rPr>
              <w:t xml:space="preserve"> </w:t>
            </w:r>
            <w:r>
              <w:rPr>
                <w:sz w:val="20"/>
              </w:rPr>
              <w:t>Air Systems - Leak Testing</w:t>
            </w:r>
          </w:p>
        </w:tc>
        <w:tc>
          <w:tcPr>
            <w:tcW w:w="1131" w:type="dxa"/>
            <w:tcBorders>
              <w:top w:val="single" w:color="D9D9D9" w:sz="2" w:space="0"/>
              <w:bottom w:val="single" w:color="D9D9D9" w:sz="2" w:space="0"/>
            </w:tcBorders>
          </w:tcPr>
          <w:p w:rsidR="00C31389" w:rsidRDefault="00561FBD" w14:paraId="6575FB19"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7A2EE8BD" w14:textId="77777777">
            <w:pPr>
              <w:pStyle w:val="TableParagraph"/>
              <w:spacing w:before="155"/>
              <w:ind w:left="271" w:right="158"/>
              <w:jc w:val="center"/>
              <w:rPr>
                <w:sz w:val="20"/>
              </w:rPr>
            </w:pPr>
            <w:r>
              <w:rPr>
                <w:spacing w:val="-2"/>
                <w:sz w:val="20"/>
              </w:rPr>
              <w:t>10/29/2013</w:t>
            </w:r>
          </w:p>
        </w:tc>
        <w:tc>
          <w:tcPr>
            <w:tcW w:w="1538" w:type="dxa"/>
            <w:tcBorders>
              <w:top w:val="single" w:color="D9D9D9" w:sz="2" w:space="0"/>
              <w:bottom w:val="single" w:color="D9D9D9" w:sz="2" w:space="0"/>
            </w:tcBorders>
          </w:tcPr>
          <w:p w:rsidR="00C31389" w:rsidRDefault="00561FBD" w14:paraId="74A381C2" w14:textId="77777777">
            <w:pPr>
              <w:pStyle w:val="TableParagraph"/>
              <w:spacing w:before="155"/>
              <w:ind w:left="164"/>
              <w:rPr>
                <w:sz w:val="20"/>
              </w:rPr>
            </w:pPr>
            <w:r>
              <w:rPr>
                <w:spacing w:val="-2"/>
                <w:sz w:val="20"/>
              </w:rPr>
              <w:t>On-the-books</w:t>
            </w:r>
          </w:p>
        </w:tc>
      </w:tr>
      <w:tr w:rsidR="00C31389" w14:paraId="4A890E34" w14:textId="77777777">
        <w:trPr>
          <w:trHeight w:val="539"/>
        </w:trPr>
        <w:tc>
          <w:tcPr>
            <w:tcW w:w="1367" w:type="dxa"/>
            <w:tcBorders>
              <w:top w:val="single" w:color="D9D9D9" w:sz="2" w:space="0"/>
              <w:bottom w:val="single" w:color="D9D9D9" w:sz="2" w:space="0"/>
            </w:tcBorders>
          </w:tcPr>
          <w:p w:rsidR="00C31389" w:rsidRDefault="00561FBD" w14:paraId="415CBC19"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1DA8D5DD"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NRNC</w:t>
            </w:r>
            <w:r>
              <w:rPr>
                <w:spacing w:val="-7"/>
                <w:sz w:val="20"/>
              </w:rPr>
              <w:t xml:space="preserve"> </w:t>
            </w:r>
            <w:r>
              <w:rPr>
                <w:sz w:val="20"/>
              </w:rPr>
              <w:t>-</w:t>
            </w:r>
            <w:r>
              <w:rPr>
                <w:spacing w:val="-8"/>
                <w:sz w:val="20"/>
              </w:rPr>
              <w:t xml:space="preserve"> </w:t>
            </w:r>
            <w:r>
              <w:rPr>
                <w:sz w:val="20"/>
              </w:rPr>
              <w:t>Compressed</w:t>
            </w:r>
            <w:r>
              <w:rPr>
                <w:spacing w:val="-8"/>
                <w:sz w:val="20"/>
              </w:rPr>
              <w:t xml:space="preserve"> </w:t>
            </w:r>
            <w:r>
              <w:rPr>
                <w:sz w:val="20"/>
              </w:rPr>
              <w:t>Air Systems - Monitoring</w:t>
            </w:r>
          </w:p>
        </w:tc>
        <w:tc>
          <w:tcPr>
            <w:tcW w:w="1131" w:type="dxa"/>
            <w:tcBorders>
              <w:top w:val="single" w:color="D9D9D9" w:sz="2" w:space="0"/>
              <w:bottom w:val="single" w:color="D9D9D9" w:sz="2" w:space="0"/>
            </w:tcBorders>
          </w:tcPr>
          <w:p w:rsidR="00C31389" w:rsidRDefault="00561FBD" w14:paraId="71213D66"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233D6226" w14:textId="77777777">
            <w:pPr>
              <w:pStyle w:val="TableParagraph"/>
              <w:spacing w:before="155"/>
              <w:ind w:left="271" w:right="156"/>
              <w:jc w:val="center"/>
              <w:rPr>
                <w:sz w:val="20"/>
              </w:rPr>
            </w:pPr>
            <w:r>
              <w:rPr>
                <w:spacing w:val="-2"/>
                <w:sz w:val="20"/>
              </w:rPr>
              <w:t>1/1/2016</w:t>
            </w:r>
          </w:p>
        </w:tc>
        <w:tc>
          <w:tcPr>
            <w:tcW w:w="1538" w:type="dxa"/>
            <w:tcBorders>
              <w:top w:val="single" w:color="D9D9D9" w:sz="2" w:space="0"/>
              <w:bottom w:val="single" w:color="D9D9D9" w:sz="2" w:space="0"/>
            </w:tcBorders>
          </w:tcPr>
          <w:p w:rsidR="00C31389" w:rsidRDefault="00561FBD" w14:paraId="04EB1B75" w14:textId="77777777">
            <w:pPr>
              <w:pStyle w:val="TableParagraph"/>
              <w:spacing w:before="155"/>
              <w:ind w:left="164"/>
              <w:rPr>
                <w:sz w:val="20"/>
              </w:rPr>
            </w:pPr>
            <w:r>
              <w:rPr>
                <w:spacing w:val="-2"/>
                <w:sz w:val="20"/>
              </w:rPr>
              <w:t>On-the-books</w:t>
            </w:r>
          </w:p>
        </w:tc>
      </w:tr>
      <w:tr w:rsidR="00C31389" w14:paraId="31045166" w14:textId="77777777">
        <w:trPr>
          <w:trHeight w:val="539"/>
        </w:trPr>
        <w:tc>
          <w:tcPr>
            <w:tcW w:w="1367" w:type="dxa"/>
            <w:tcBorders>
              <w:top w:val="single" w:color="D9D9D9" w:sz="2" w:space="0"/>
              <w:bottom w:val="single" w:color="D9D9D9" w:sz="2" w:space="0"/>
            </w:tcBorders>
          </w:tcPr>
          <w:p w:rsidR="00C31389" w:rsidRDefault="00561FBD" w14:paraId="06F2AB4C"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D9D9D9" w:sz="2" w:space="0"/>
            </w:tcBorders>
          </w:tcPr>
          <w:p w:rsidR="00C31389" w:rsidRDefault="00561FBD" w14:paraId="26A24440"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NRNC</w:t>
            </w:r>
            <w:r>
              <w:rPr>
                <w:spacing w:val="-7"/>
                <w:sz w:val="20"/>
              </w:rPr>
              <w:t xml:space="preserve"> </w:t>
            </w:r>
            <w:r>
              <w:rPr>
                <w:sz w:val="20"/>
              </w:rPr>
              <w:t>-</w:t>
            </w:r>
            <w:r>
              <w:rPr>
                <w:spacing w:val="-8"/>
                <w:sz w:val="20"/>
              </w:rPr>
              <w:t xml:space="preserve"> </w:t>
            </w:r>
            <w:r>
              <w:rPr>
                <w:sz w:val="20"/>
              </w:rPr>
              <w:t>Compressed</w:t>
            </w:r>
            <w:r>
              <w:rPr>
                <w:spacing w:val="-8"/>
                <w:sz w:val="20"/>
              </w:rPr>
              <w:t xml:space="preserve"> </w:t>
            </w:r>
            <w:r>
              <w:rPr>
                <w:sz w:val="20"/>
              </w:rPr>
              <w:t>Air Systems - Pipe Sizing</w:t>
            </w:r>
          </w:p>
        </w:tc>
        <w:tc>
          <w:tcPr>
            <w:tcW w:w="1131" w:type="dxa"/>
            <w:tcBorders>
              <w:top w:val="single" w:color="D9D9D9" w:sz="2" w:space="0"/>
              <w:bottom w:val="single" w:color="D9D9D9" w:sz="2" w:space="0"/>
            </w:tcBorders>
          </w:tcPr>
          <w:p w:rsidR="00C31389" w:rsidRDefault="00561FBD" w14:paraId="3A210339" w14:textId="77777777">
            <w:pPr>
              <w:pStyle w:val="TableParagraph"/>
              <w:spacing w:before="155"/>
              <w:ind w:left="317"/>
              <w:rPr>
                <w:sz w:val="20"/>
              </w:rPr>
            </w:pPr>
            <w:r>
              <w:rPr>
                <w:spacing w:val="-5"/>
                <w:sz w:val="20"/>
              </w:rPr>
              <w:t>85%</w:t>
            </w:r>
          </w:p>
        </w:tc>
        <w:tc>
          <w:tcPr>
            <w:tcW w:w="1451" w:type="dxa"/>
            <w:tcBorders>
              <w:top w:val="single" w:color="D9D9D9" w:sz="2" w:space="0"/>
              <w:bottom w:val="single" w:color="D9D9D9" w:sz="2" w:space="0"/>
            </w:tcBorders>
          </w:tcPr>
          <w:p w:rsidR="00C31389" w:rsidRDefault="00561FBD" w14:paraId="1F856F7C" w14:textId="77777777">
            <w:pPr>
              <w:pStyle w:val="TableParagraph"/>
              <w:spacing w:before="155"/>
              <w:ind w:left="271" w:right="157"/>
              <w:jc w:val="center"/>
              <w:rPr>
                <w:sz w:val="20"/>
              </w:rPr>
            </w:pPr>
            <w:r>
              <w:rPr>
                <w:spacing w:val="-2"/>
                <w:sz w:val="20"/>
              </w:rPr>
              <w:t>6/1/2016</w:t>
            </w:r>
          </w:p>
        </w:tc>
        <w:tc>
          <w:tcPr>
            <w:tcW w:w="1538" w:type="dxa"/>
            <w:tcBorders>
              <w:top w:val="single" w:color="D9D9D9" w:sz="2" w:space="0"/>
              <w:bottom w:val="single" w:color="D9D9D9" w:sz="2" w:space="0"/>
            </w:tcBorders>
          </w:tcPr>
          <w:p w:rsidR="00C31389" w:rsidRDefault="00561FBD" w14:paraId="5D12B05A" w14:textId="77777777">
            <w:pPr>
              <w:pStyle w:val="TableParagraph"/>
              <w:spacing w:before="155"/>
              <w:ind w:left="164"/>
              <w:rPr>
                <w:sz w:val="20"/>
              </w:rPr>
            </w:pPr>
            <w:r>
              <w:rPr>
                <w:spacing w:val="-2"/>
                <w:sz w:val="20"/>
              </w:rPr>
              <w:t>On-the-books</w:t>
            </w:r>
          </w:p>
        </w:tc>
      </w:tr>
      <w:tr w:rsidR="00C31389" w14:paraId="790C17CE" w14:textId="77777777">
        <w:trPr>
          <w:trHeight w:val="769"/>
        </w:trPr>
        <w:tc>
          <w:tcPr>
            <w:tcW w:w="1367" w:type="dxa"/>
            <w:tcBorders>
              <w:top w:val="single" w:color="D9D9D9" w:sz="2" w:space="0"/>
              <w:bottom w:val="single" w:color="000000" w:sz="8" w:space="0"/>
            </w:tcBorders>
          </w:tcPr>
          <w:p w:rsidR="00C31389" w:rsidRDefault="00C31389" w14:paraId="0DB394B1" w14:textId="77777777">
            <w:pPr>
              <w:pStyle w:val="TableParagraph"/>
              <w:spacing w:before="6"/>
              <w:rPr>
                <w:sz w:val="23"/>
              </w:rPr>
            </w:pPr>
          </w:p>
          <w:p w:rsidR="00C31389" w:rsidRDefault="00561FBD" w14:paraId="3D5C0D96"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89" w:type="dxa"/>
            <w:tcBorders>
              <w:top w:val="single" w:color="D9D9D9" w:sz="2" w:space="0"/>
              <w:bottom w:val="single" w:color="000000" w:sz="8" w:space="0"/>
            </w:tcBorders>
          </w:tcPr>
          <w:p w:rsidR="00C31389" w:rsidRDefault="00561FBD" w14:paraId="0F8211AE"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NRNC</w:t>
            </w:r>
            <w:r>
              <w:rPr>
                <w:spacing w:val="-7"/>
                <w:sz w:val="20"/>
              </w:rPr>
              <w:t xml:space="preserve"> </w:t>
            </w:r>
            <w:r>
              <w:rPr>
                <w:sz w:val="20"/>
              </w:rPr>
              <w:t>-</w:t>
            </w:r>
            <w:r>
              <w:rPr>
                <w:spacing w:val="-8"/>
                <w:sz w:val="20"/>
              </w:rPr>
              <w:t xml:space="preserve"> </w:t>
            </w:r>
            <w:r>
              <w:rPr>
                <w:sz w:val="20"/>
              </w:rPr>
              <w:t>Computer</w:t>
            </w:r>
            <w:r>
              <w:rPr>
                <w:spacing w:val="-7"/>
                <w:sz w:val="20"/>
              </w:rPr>
              <w:t xml:space="preserve"> </w:t>
            </w:r>
            <w:r>
              <w:rPr>
                <w:sz w:val="20"/>
              </w:rPr>
              <w:t>Room Efficiency - Increased Temperature Thresholds for Economizers</w:t>
            </w:r>
          </w:p>
        </w:tc>
        <w:tc>
          <w:tcPr>
            <w:tcW w:w="1131" w:type="dxa"/>
            <w:tcBorders>
              <w:top w:val="single" w:color="D9D9D9" w:sz="2" w:space="0"/>
              <w:bottom w:val="single" w:color="000000" w:sz="8" w:space="0"/>
            </w:tcBorders>
          </w:tcPr>
          <w:p w:rsidR="00C31389" w:rsidRDefault="00C31389" w14:paraId="0BED000E" w14:textId="77777777">
            <w:pPr>
              <w:pStyle w:val="TableParagraph"/>
              <w:spacing w:before="6"/>
              <w:rPr>
                <w:sz w:val="23"/>
              </w:rPr>
            </w:pPr>
          </w:p>
          <w:p w:rsidR="00C31389" w:rsidRDefault="00561FBD" w14:paraId="1E27C346" w14:textId="77777777">
            <w:pPr>
              <w:pStyle w:val="TableParagraph"/>
              <w:spacing w:before="0"/>
              <w:ind w:left="317"/>
              <w:rPr>
                <w:sz w:val="20"/>
              </w:rPr>
            </w:pPr>
            <w:r>
              <w:rPr>
                <w:spacing w:val="-5"/>
                <w:sz w:val="20"/>
              </w:rPr>
              <w:t>85%</w:t>
            </w:r>
          </w:p>
        </w:tc>
        <w:tc>
          <w:tcPr>
            <w:tcW w:w="1451" w:type="dxa"/>
            <w:tcBorders>
              <w:top w:val="single" w:color="D9D9D9" w:sz="2" w:space="0"/>
              <w:bottom w:val="single" w:color="000000" w:sz="8" w:space="0"/>
            </w:tcBorders>
          </w:tcPr>
          <w:p w:rsidR="00C31389" w:rsidRDefault="00C31389" w14:paraId="767B1205" w14:textId="77777777">
            <w:pPr>
              <w:pStyle w:val="TableParagraph"/>
              <w:spacing w:before="6"/>
              <w:rPr>
                <w:sz w:val="23"/>
              </w:rPr>
            </w:pPr>
          </w:p>
          <w:p w:rsidR="00C31389" w:rsidRDefault="00561FBD" w14:paraId="6A6F2F7E" w14:textId="77777777">
            <w:pPr>
              <w:pStyle w:val="TableParagraph"/>
              <w:spacing w:before="0"/>
              <w:ind w:left="271" w:right="156"/>
              <w:jc w:val="center"/>
              <w:rPr>
                <w:sz w:val="20"/>
              </w:rPr>
            </w:pPr>
            <w:r>
              <w:rPr>
                <w:spacing w:val="-2"/>
                <w:sz w:val="20"/>
              </w:rPr>
              <w:t>12/1/2010</w:t>
            </w:r>
          </w:p>
        </w:tc>
        <w:tc>
          <w:tcPr>
            <w:tcW w:w="1538" w:type="dxa"/>
            <w:tcBorders>
              <w:top w:val="single" w:color="D9D9D9" w:sz="2" w:space="0"/>
              <w:bottom w:val="single" w:color="000000" w:sz="8" w:space="0"/>
            </w:tcBorders>
          </w:tcPr>
          <w:p w:rsidR="00C31389" w:rsidRDefault="00C31389" w14:paraId="467DE158" w14:textId="77777777">
            <w:pPr>
              <w:pStyle w:val="TableParagraph"/>
              <w:spacing w:before="6"/>
              <w:rPr>
                <w:sz w:val="23"/>
              </w:rPr>
            </w:pPr>
          </w:p>
          <w:p w:rsidR="00C31389" w:rsidRDefault="00561FBD" w14:paraId="663ACE60" w14:textId="77777777">
            <w:pPr>
              <w:pStyle w:val="TableParagraph"/>
              <w:spacing w:before="0"/>
              <w:ind w:left="164"/>
              <w:rPr>
                <w:sz w:val="20"/>
              </w:rPr>
            </w:pPr>
            <w:r>
              <w:rPr>
                <w:spacing w:val="-2"/>
                <w:sz w:val="20"/>
              </w:rPr>
              <w:t>On-the-books</w:t>
            </w:r>
          </w:p>
        </w:tc>
      </w:tr>
    </w:tbl>
    <w:p w:rsidR="00C31389" w:rsidRDefault="00C31389" w14:paraId="5FFA3F5B" w14:textId="77777777">
      <w:pPr>
        <w:rPr>
          <w:sz w:val="20"/>
        </w:rPr>
        <w:sectPr w:rsidR="00C31389">
          <w:pgSz w:w="11910" w:h="16840"/>
          <w:pgMar w:top="1380" w:right="1020" w:bottom="1120" w:left="960" w:header="397" w:footer="938" w:gutter="0"/>
          <w:cols w:space="720"/>
        </w:sectPr>
      </w:pPr>
    </w:p>
    <w:p w:rsidR="00C31389" w:rsidRDefault="00C31389" w14:paraId="1E5D7A46"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45"/>
        <w:gridCol w:w="1175"/>
        <w:gridCol w:w="1451"/>
        <w:gridCol w:w="1539"/>
      </w:tblGrid>
      <w:tr w:rsidR="00C31389" w14:paraId="16537883" w14:textId="77777777">
        <w:trPr>
          <w:trHeight w:val="252"/>
        </w:trPr>
        <w:tc>
          <w:tcPr>
            <w:tcW w:w="1367" w:type="dxa"/>
            <w:tcBorders>
              <w:top w:val="single" w:color="8B8B8B" w:sz="8" w:space="0"/>
            </w:tcBorders>
          </w:tcPr>
          <w:p w:rsidR="00C31389" w:rsidRDefault="00C31389" w14:paraId="03289EB5" w14:textId="77777777">
            <w:pPr>
              <w:pStyle w:val="TableParagraph"/>
              <w:spacing w:before="0"/>
              <w:rPr>
                <w:rFonts w:ascii="Times New Roman"/>
                <w:sz w:val="18"/>
              </w:rPr>
            </w:pPr>
          </w:p>
        </w:tc>
        <w:tc>
          <w:tcPr>
            <w:tcW w:w="3845" w:type="dxa"/>
            <w:tcBorders>
              <w:top w:val="single" w:color="8B8B8B" w:sz="8" w:space="0"/>
            </w:tcBorders>
          </w:tcPr>
          <w:p w:rsidR="00C31389" w:rsidRDefault="00C31389" w14:paraId="485D3FF9" w14:textId="77777777">
            <w:pPr>
              <w:pStyle w:val="TableParagraph"/>
              <w:spacing w:before="0"/>
              <w:rPr>
                <w:rFonts w:ascii="Times New Roman"/>
                <w:sz w:val="18"/>
              </w:rPr>
            </w:pPr>
          </w:p>
        </w:tc>
        <w:tc>
          <w:tcPr>
            <w:tcW w:w="1175" w:type="dxa"/>
            <w:tcBorders>
              <w:top w:val="single" w:color="8B8B8B" w:sz="8" w:space="0"/>
            </w:tcBorders>
          </w:tcPr>
          <w:p w:rsidR="00C31389" w:rsidRDefault="00C31389" w14:paraId="3C6C1278" w14:textId="77777777">
            <w:pPr>
              <w:pStyle w:val="TableParagraph"/>
              <w:spacing w:before="0"/>
              <w:rPr>
                <w:rFonts w:ascii="Times New Roman"/>
                <w:sz w:val="18"/>
              </w:rPr>
            </w:pPr>
          </w:p>
        </w:tc>
        <w:tc>
          <w:tcPr>
            <w:tcW w:w="1451" w:type="dxa"/>
            <w:tcBorders>
              <w:top w:val="single" w:color="8B8B8B" w:sz="8" w:space="0"/>
            </w:tcBorders>
          </w:tcPr>
          <w:p w:rsidR="00C31389" w:rsidRDefault="00C31389" w14:paraId="190D5C5D" w14:textId="77777777">
            <w:pPr>
              <w:pStyle w:val="TableParagraph"/>
              <w:spacing w:before="0"/>
              <w:rPr>
                <w:rFonts w:ascii="Times New Roman"/>
                <w:sz w:val="18"/>
              </w:rPr>
            </w:pPr>
          </w:p>
        </w:tc>
        <w:tc>
          <w:tcPr>
            <w:tcW w:w="1539" w:type="dxa"/>
            <w:tcBorders>
              <w:top w:val="single" w:color="8B8B8B" w:sz="8" w:space="0"/>
            </w:tcBorders>
          </w:tcPr>
          <w:p w:rsidR="00C31389" w:rsidRDefault="00C31389" w14:paraId="309D1C4D" w14:textId="77777777">
            <w:pPr>
              <w:pStyle w:val="TableParagraph"/>
              <w:spacing w:before="0"/>
              <w:rPr>
                <w:rFonts w:ascii="Times New Roman"/>
                <w:sz w:val="18"/>
              </w:rPr>
            </w:pPr>
          </w:p>
        </w:tc>
      </w:tr>
      <w:tr w:rsidR="00C31389" w14:paraId="1DF60D6A" w14:textId="77777777">
        <w:trPr>
          <w:trHeight w:val="549"/>
        </w:trPr>
        <w:tc>
          <w:tcPr>
            <w:tcW w:w="1367" w:type="dxa"/>
            <w:shd w:val="clear" w:color="auto" w:fill="92D400"/>
          </w:tcPr>
          <w:p w:rsidR="00C31389" w:rsidRDefault="00561FBD" w14:paraId="1B42F875" w14:textId="77777777">
            <w:pPr>
              <w:pStyle w:val="TableParagraph"/>
              <w:spacing w:before="155"/>
              <w:ind w:left="129"/>
              <w:rPr>
                <w:b/>
                <w:sz w:val="20"/>
              </w:rPr>
            </w:pPr>
            <w:r>
              <w:rPr>
                <w:b/>
                <w:spacing w:val="-2"/>
                <w:sz w:val="20"/>
              </w:rPr>
              <w:t>Regulation</w:t>
            </w:r>
          </w:p>
        </w:tc>
        <w:tc>
          <w:tcPr>
            <w:tcW w:w="3845" w:type="dxa"/>
            <w:shd w:val="clear" w:color="auto" w:fill="92D400"/>
          </w:tcPr>
          <w:p w:rsidR="00C31389" w:rsidRDefault="00561FBD" w14:paraId="73426330"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75" w:type="dxa"/>
            <w:shd w:val="clear" w:color="auto" w:fill="92D400"/>
          </w:tcPr>
          <w:p w:rsidR="00C31389" w:rsidRDefault="00561FBD" w14:paraId="54E41B9A" w14:textId="77777777">
            <w:pPr>
              <w:pStyle w:val="TableParagraph"/>
              <w:ind w:left="232" w:hanging="238"/>
              <w:rPr>
                <w:b/>
                <w:sz w:val="20"/>
              </w:rPr>
            </w:pPr>
            <w:r>
              <w:rPr>
                <w:b/>
                <w:spacing w:val="-2"/>
                <w:sz w:val="20"/>
              </w:rPr>
              <w:t>Compliance Rate</w:t>
            </w:r>
            <w:hyperlink w:history="1" w:anchor="_bookmark462">
              <w:r>
                <w:rPr>
                  <w:b/>
                  <w:spacing w:val="-2"/>
                  <w:sz w:val="20"/>
                  <w:vertAlign w:val="superscript"/>
                </w:rPr>
                <w:t>182</w:t>
              </w:r>
            </w:hyperlink>
          </w:p>
        </w:tc>
        <w:tc>
          <w:tcPr>
            <w:tcW w:w="1451" w:type="dxa"/>
            <w:shd w:val="clear" w:color="auto" w:fill="92D400"/>
          </w:tcPr>
          <w:p w:rsidR="00C31389" w:rsidRDefault="00561FBD" w14:paraId="4E03C3D4" w14:textId="77777777">
            <w:pPr>
              <w:pStyle w:val="TableParagraph"/>
              <w:ind w:left="565" w:hanging="202"/>
              <w:rPr>
                <w:b/>
                <w:sz w:val="20"/>
              </w:rPr>
            </w:pPr>
            <w:r>
              <w:rPr>
                <w:b/>
                <w:spacing w:val="-2"/>
                <w:sz w:val="20"/>
              </w:rPr>
              <w:t xml:space="preserve">Effective </w:t>
            </w:r>
            <w:r>
              <w:rPr>
                <w:b/>
                <w:spacing w:val="-4"/>
                <w:sz w:val="20"/>
              </w:rPr>
              <w:t>Date</w:t>
            </w:r>
          </w:p>
        </w:tc>
        <w:tc>
          <w:tcPr>
            <w:tcW w:w="1539" w:type="dxa"/>
            <w:shd w:val="clear" w:color="auto" w:fill="92D400"/>
          </w:tcPr>
          <w:p w:rsidR="00C31389" w:rsidRDefault="00561FBD" w14:paraId="017C708A" w14:textId="77777777">
            <w:pPr>
              <w:pStyle w:val="TableParagraph"/>
              <w:spacing w:before="155"/>
              <w:ind w:left="221"/>
              <w:rPr>
                <w:b/>
                <w:sz w:val="20"/>
              </w:rPr>
            </w:pPr>
            <w:r>
              <w:rPr>
                <w:b/>
                <w:sz w:val="20"/>
              </w:rPr>
              <w:t>Policy</w:t>
            </w:r>
            <w:r>
              <w:rPr>
                <w:b/>
                <w:spacing w:val="-5"/>
                <w:sz w:val="20"/>
              </w:rPr>
              <w:t xml:space="preserve"> </w:t>
            </w:r>
            <w:r>
              <w:rPr>
                <w:b/>
                <w:spacing w:val="-4"/>
                <w:sz w:val="20"/>
              </w:rPr>
              <w:t>View</w:t>
            </w:r>
          </w:p>
        </w:tc>
      </w:tr>
      <w:tr w:rsidR="00C31389" w14:paraId="5E930AE5" w14:textId="77777777">
        <w:trPr>
          <w:trHeight w:val="765"/>
        </w:trPr>
        <w:tc>
          <w:tcPr>
            <w:tcW w:w="1367" w:type="dxa"/>
            <w:tcBorders>
              <w:bottom w:val="single" w:color="D9D9D9" w:sz="2" w:space="0"/>
            </w:tcBorders>
          </w:tcPr>
          <w:p w:rsidR="00C31389" w:rsidRDefault="00C31389" w14:paraId="036D6697" w14:textId="77777777">
            <w:pPr>
              <w:pStyle w:val="TableParagraph"/>
              <w:spacing w:before="1"/>
              <w:rPr>
                <w:sz w:val="23"/>
              </w:rPr>
            </w:pPr>
          </w:p>
          <w:p w:rsidR="00C31389" w:rsidRDefault="00561FBD" w14:paraId="17056DFC"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bottom w:val="single" w:color="D9D9D9" w:sz="2" w:space="0"/>
            </w:tcBorders>
          </w:tcPr>
          <w:p w:rsidR="00C31389" w:rsidRDefault="00561FBD" w14:paraId="46592471" w14:textId="77777777">
            <w:pPr>
              <w:pStyle w:val="TableParagraph"/>
              <w:spacing w:before="35"/>
              <w:ind w:left="202" w:right="360"/>
              <w:rPr>
                <w:sz w:val="20"/>
              </w:rPr>
            </w:pPr>
            <w:r>
              <w:rPr>
                <w:sz w:val="20"/>
              </w:rPr>
              <w:t>2022</w:t>
            </w:r>
            <w:r>
              <w:rPr>
                <w:spacing w:val="-8"/>
                <w:sz w:val="20"/>
              </w:rPr>
              <w:t xml:space="preserve"> </w:t>
            </w:r>
            <w:r>
              <w:rPr>
                <w:sz w:val="20"/>
              </w:rPr>
              <w:t>T-24:</w:t>
            </w:r>
            <w:r>
              <w:rPr>
                <w:spacing w:val="-8"/>
                <w:sz w:val="20"/>
              </w:rPr>
              <w:t xml:space="preserve"> </w:t>
            </w:r>
            <w:r>
              <w:rPr>
                <w:sz w:val="20"/>
              </w:rPr>
              <w:t>NRNC</w:t>
            </w:r>
            <w:r>
              <w:rPr>
                <w:spacing w:val="-7"/>
                <w:sz w:val="20"/>
              </w:rPr>
              <w:t xml:space="preserve"> </w:t>
            </w:r>
            <w:r>
              <w:rPr>
                <w:sz w:val="20"/>
              </w:rPr>
              <w:t>-</w:t>
            </w:r>
            <w:r>
              <w:rPr>
                <w:spacing w:val="-7"/>
                <w:sz w:val="20"/>
              </w:rPr>
              <w:t xml:space="preserve"> </w:t>
            </w:r>
            <w:r>
              <w:rPr>
                <w:sz w:val="20"/>
              </w:rPr>
              <w:t>Computer</w:t>
            </w:r>
            <w:r>
              <w:rPr>
                <w:spacing w:val="-7"/>
                <w:sz w:val="20"/>
              </w:rPr>
              <w:t xml:space="preserve"> </w:t>
            </w:r>
            <w:r>
              <w:rPr>
                <w:sz w:val="20"/>
              </w:rPr>
              <w:t>Room Efficiency - Uninterruptible Power Supply Efficiency</w:t>
            </w:r>
          </w:p>
        </w:tc>
        <w:tc>
          <w:tcPr>
            <w:tcW w:w="1175" w:type="dxa"/>
            <w:tcBorders>
              <w:bottom w:val="single" w:color="D9D9D9" w:sz="2" w:space="0"/>
            </w:tcBorders>
          </w:tcPr>
          <w:p w:rsidR="00C31389" w:rsidRDefault="00C31389" w14:paraId="64D7D49C" w14:textId="77777777">
            <w:pPr>
              <w:pStyle w:val="TableParagraph"/>
              <w:spacing w:before="1"/>
              <w:rPr>
                <w:sz w:val="23"/>
              </w:rPr>
            </w:pPr>
          </w:p>
          <w:p w:rsidR="00C31389" w:rsidRDefault="00561FBD" w14:paraId="470446D4" w14:textId="77777777">
            <w:pPr>
              <w:pStyle w:val="TableParagraph"/>
              <w:spacing w:before="0"/>
              <w:ind w:left="362"/>
              <w:rPr>
                <w:sz w:val="20"/>
              </w:rPr>
            </w:pPr>
            <w:r>
              <w:rPr>
                <w:spacing w:val="-5"/>
                <w:sz w:val="20"/>
              </w:rPr>
              <w:t>85%</w:t>
            </w:r>
          </w:p>
        </w:tc>
        <w:tc>
          <w:tcPr>
            <w:tcW w:w="1451" w:type="dxa"/>
            <w:tcBorders>
              <w:bottom w:val="single" w:color="D9D9D9" w:sz="2" w:space="0"/>
            </w:tcBorders>
          </w:tcPr>
          <w:p w:rsidR="00C31389" w:rsidRDefault="00C31389" w14:paraId="0A1E0AE9" w14:textId="77777777">
            <w:pPr>
              <w:pStyle w:val="TableParagraph"/>
              <w:spacing w:before="1"/>
              <w:rPr>
                <w:sz w:val="23"/>
              </w:rPr>
            </w:pPr>
          </w:p>
          <w:p w:rsidR="00C31389" w:rsidRDefault="00561FBD" w14:paraId="3D954298" w14:textId="77777777">
            <w:pPr>
              <w:pStyle w:val="TableParagraph"/>
              <w:spacing w:before="0"/>
              <w:ind w:left="271" w:right="156"/>
              <w:jc w:val="center"/>
              <w:rPr>
                <w:sz w:val="20"/>
              </w:rPr>
            </w:pPr>
            <w:r>
              <w:rPr>
                <w:spacing w:val="-2"/>
                <w:sz w:val="20"/>
              </w:rPr>
              <w:t>2/10/2016</w:t>
            </w:r>
          </w:p>
        </w:tc>
        <w:tc>
          <w:tcPr>
            <w:tcW w:w="1539" w:type="dxa"/>
            <w:tcBorders>
              <w:bottom w:val="single" w:color="D9D9D9" w:sz="2" w:space="0"/>
            </w:tcBorders>
          </w:tcPr>
          <w:p w:rsidR="00C31389" w:rsidRDefault="00C31389" w14:paraId="222892AB" w14:textId="77777777">
            <w:pPr>
              <w:pStyle w:val="TableParagraph"/>
              <w:spacing w:before="1"/>
              <w:rPr>
                <w:sz w:val="23"/>
              </w:rPr>
            </w:pPr>
          </w:p>
          <w:p w:rsidR="00C31389" w:rsidRDefault="00561FBD" w14:paraId="098F6E9C" w14:textId="77777777">
            <w:pPr>
              <w:pStyle w:val="TableParagraph"/>
              <w:spacing w:before="0"/>
              <w:ind w:left="164"/>
              <w:rPr>
                <w:sz w:val="20"/>
              </w:rPr>
            </w:pPr>
            <w:r>
              <w:rPr>
                <w:spacing w:val="-2"/>
                <w:sz w:val="20"/>
              </w:rPr>
              <w:t>On-the-books</w:t>
            </w:r>
          </w:p>
        </w:tc>
      </w:tr>
      <w:tr w:rsidR="00C31389" w14:paraId="7226007B" w14:textId="77777777">
        <w:trPr>
          <w:trHeight w:val="770"/>
        </w:trPr>
        <w:tc>
          <w:tcPr>
            <w:tcW w:w="1367" w:type="dxa"/>
            <w:tcBorders>
              <w:top w:val="single" w:color="D9D9D9" w:sz="2" w:space="0"/>
              <w:bottom w:val="single" w:color="D9D9D9" w:sz="2" w:space="0"/>
            </w:tcBorders>
          </w:tcPr>
          <w:p w:rsidR="00C31389" w:rsidRDefault="00C31389" w14:paraId="4A15E42F" w14:textId="77777777">
            <w:pPr>
              <w:pStyle w:val="TableParagraph"/>
              <w:spacing w:before="6"/>
              <w:rPr>
                <w:sz w:val="23"/>
              </w:rPr>
            </w:pPr>
          </w:p>
          <w:p w:rsidR="00C31389" w:rsidRDefault="00561FBD" w14:paraId="44DFB59E"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5547405E" w14:textId="77777777">
            <w:pPr>
              <w:pStyle w:val="TableParagraph"/>
              <w:ind w:left="202"/>
              <w:rPr>
                <w:sz w:val="20"/>
              </w:rPr>
            </w:pPr>
            <w:r>
              <w:rPr>
                <w:sz w:val="20"/>
              </w:rPr>
              <w:t xml:space="preserve">2022 T-24: NRNC - </w:t>
            </w:r>
            <w:r>
              <w:rPr>
                <w:sz w:val="20"/>
              </w:rPr>
              <w:t>Controlled Environment</w:t>
            </w:r>
            <w:r>
              <w:rPr>
                <w:spacing w:val="-13"/>
                <w:sz w:val="20"/>
              </w:rPr>
              <w:t xml:space="preserve"> </w:t>
            </w:r>
            <w:r>
              <w:rPr>
                <w:sz w:val="20"/>
              </w:rPr>
              <w:t>Horticulture</w:t>
            </w:r>
            <w:r>
              <w:rPr>
                <w:spacing w:val="-13"/>
                <w:sz w:val="20"/>
              </w:rPr>
              <w:t xml:space="preserve"> </w:t>
            </w:r>
            <w:r>
              <w:rPr>
                <w:sz w:val="20"/>
              </w:rPr>
              <w:t>-</w:t>
            </w:r>
            <w:r>
              <w:rPr>
                <w:spacing w:val="-13"/>
                <w:sz w:val="20"/>
              </w:rPr>
              <w:t xml:space="preserve"> </w:t>
            </w:r>
            <w:r>
              <w:rPr>
                <w:sz w:val="20"/>
              </w:rPr>
              <w:t xml:space="preserve">Efficient </w:t>
            </w:r>
            <w:r>
              <w:rPr>
                <w:spacing w:val="-2"/>
                <w:sz w:val="20"/>
              </w:rPr>
              <w:t>Dehumidification</w:t>
            </w:r>
          </w:p>
        </w:tc>
        <w:tc>
          <w:tcPr>
            <w:tcW w:w="1175" w:type="dxa"/>
            <w:tcBorders>
              <w:top w:val="single" w:color="D9D9D9" w:sz="2" w:space="0"/>
              <w:bottom w:val="single" w:color="D9D9D9" w:sz="2" w:space="0"/>
            </w:tcBorders>
          </w:tcPr>
          <w:p w:rsidR="00C31389" w:rsidRDefault="00C31389" w14:paraId="297D4B6A" w14:textId="77777777">
            <w:pPr>
              <w:pStyle w:val="TableParagraph"/>
              <w:spacing w:before="6"/>
              <w:rPr>
                <w:sz w:val="23"/>
              </w:rPr>
            </w:pPr>
          </w:p>
          <w:p w:rsidR="00C31389" w:rsidRDefault="00561FBD" w14:paraId="46C2DF40" w14:textId="77777777">
            <w:pPr>
              <w:pStyle w:val="TableParagraph"/>
              <w:spacing w:before="0"/>
              <w:ind w:left="362"/>
              <w:rPr>
                <w:sz w:val="20"/>
              </w:rPr>
            </w:pPr>
            <w:r>
              <w:rPr>
                <w:spacing w:val="-5"/>
                <w:sz w:val="20"/>
              </w:rPr>
              <w:t>85%</w:t>
            </w:r>
          </w:p>
        </w:tc>
        <w:tc>
          <w:tcPr>
            <w:tcW w:w="1451" w:type="dxa"/>
            <w:tcBorders>
              <w:top w:val="single" w:color="D9D9D9" w:sz="2" w:space="0"/>
              <w:bottom w:val="single" w:color="D9D9D9" w:sz="2" w:space="0"/>
            </w:tcBorders>
          </w:tcPr>
          <w:p w:rsidR="00C31389" w:rsidRDefault="00C31389" w14:paraId="3CFB6780" w14:textId="77777777">
            <w:pPr>
              <w:pStyle w:val="TableParagraph"/>
              <w:spacing w:before="6"/>
              <w:rPr>
                <w:sz w:val="23"/>
              </w:rPr>
            </w:pPr>
          </w:p>
          <w:p w:rsidR="00C31389" w:rsidRDefault="00561FBD" w14:paraId="13BE7DC2" w14:textId="77777777">
            <w:pPr>
              <w:pStyle w:val="TableParagraph"/>
              <w:spacing w:before="0"/>
              <w:ind w:left="271" w:right="157"/>
              <w:jc w:val="center"/>
              <w:rPr>
                <w:sz w:val="20"/>
              </w:rPr>
            </w:pPr>
            <w:r>
              <w:rPr>
                <w:spacing w:val="-2"/>
                <w:sz w:val="20"/>
              </w:rPr>
              <w:t>11/14/2014</w:t>
            </w:r>
          </w:p>
        </w:tc>
        <w:tc>
          <w:tcPr>
            <w:tcW w:w="1539" w:type="dxa"/>
            <w:tcBorders>
              <w:top w:val="single" w:color="D9D9D9" w:sz="2" w:space="0"/>
              <w:bottom w:val="single" w:color="D9D9D9" w:sz="2" w:space="0"/>
            </w:tcBorders>
          </w:tcPr>
          <w:p w:rsidR="00C31389" w:rsidRDefault="00C31389" w14:paraId="0DEB304E" w14:textId="77777777">
            <w:pPr>
              <w:pStyle w:val="TableParagraph"/>
              <w:spacing w:before="6"/>
              <w:rPr>
                <w:sz w:val="23"/>
              </w:rPr>
            </w:pPr>
          </w:p>
          <w:p w:rsidR="00C31389" w:rsidRDefault="00561FBD" w14:paraId="12A8D5FD" w14:textId="77777777">
            <w:pPr>
              <w:pStyle w:val="TableParagraph"/>
              <w:spacing w:before="0"/>
              <w:ind w:left="164"/>
              <w:rPr>
                <w:sz w:val="20"/>
              </w:rPr>
            </w:pPr>
            <w:r>
              <w:rPr>
                <w:spacing w:val="-2"/>
                <w:sz w:val="20"/>
              </w:rPr>
              <w:t>On-the-books</w:t>
            </w:r>
          </w:p>
        </w:tc>
      </w:tr>
      <w:tr w:rsidR="00C31389" w14:paraId="5B238CB0" w14:textId="77777777">
        <w:trPr>
          <w:trHeight w:val="769"/>
        </w:trPr>
        <w:tc>
          <w:tcPr>
            <w:tcW w:w="1367" w:type="dxa"/>
            <w:tcBorders>
              <w:top w:val="single" w:color="D9D9D9" w:sz="2" w:space="0"/>
              <w:bottom w:val="single" w:color="D9D9D9" w:sz="2" w:space="0"/>
            </w:tcBorders>
          </w:tcPr>
          <w:p w:rsidR="00C31389" w:rsidRDefault="00C31389" w14:paraId="36ED6A04" w14:textId="77777777">
            <w:pPr>
              <w:pStyle w:val="TableParagraph"/>
              <w:spacing w:before="5"/>
              <w:rPr>
                <w:sz w:val="23"/>
              </w:rPr>
            </w:pPr>
          </w:p>
          <w:p w:rsidR="00C31389" w:rsidRDefault="00561FBD" w14:paraId="4D08F4B1"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6BA010F3" w14:textId="77777777">
            <w:pPr>
              <w:pStyle w:val="TableParagraph"/>
              <w:ind w:left="202"/>
              <w:rPr>
                <w:sz w:val="20"/>
              </w:rPr>
            </w:pPr>
            <w:r>
              <w:rPr>
                <w:sz w:val="20"/>
              </w:rPr>
              <w:t>2022 T-24: NRNC - Controlled Environment</w:t>
            </w:r>
            <w:r>
              <w:rPr>
                <w:spacing w:val="-12"/>
                <w:sz w:val="20"/>
              </w:rPr>
              <w:t xml:space="preserve"> </w:t>
            </w:r>
            <w:r>
              <w:rPr>
                <w:sz w:val="20"/>
              </w:rPr>
              <w:t>Horticulture</w:t>
            </w:r>
            <w:r>
              <w:rPr>
                <w:spacing w:val="-12"/>
                <w:sz w:val="20"/>
              </w:rPr>
              <w:t xml:space="preserve"> </w:t>
            </w:r>
            <w:r>
              <w:rPr>
                <w:sz w:val="20"/>
              </w:rPr>
              <w:t>-</w:t>
            </w:r>
            <w:r>
              <w:rPr>
                <w:spacing w:val="-13"/>
                <w:sz w:val="20"/>
              </w:rPr>
              <w:t xml:space="preserve"> </w:t>
            </w:r>
            <w:r>
              <w:rPr>
                <w:sz w:val="20"/>
              </w:rPr>
              <w:t xml:space="preserve">Lighting </w:t>
            </w:r>
            <w:r>
              <w:rPr>
                <w:spacing w:val="-2"/>
                <w:sz w:val="20"/>
              </w:rPr>
              <w:t>Efficacy</w:t>
            </w:r>
          </w:p>
        </w:tc>
        <w:tc>
          <w:tcPr>
            <w:tcW w:w="1175" w:type="dxa"/>
            <w:tcBorders>
              <w:top w:val="single" w:color="D9D9D9" w:sz="2" w:space="0"/>
              <w:bottom w:val="single" w:color="D9D9D9" w:sz="2" w:space="0"/>
            </w:tcBorders>
          </w:tcPr>
          <w:p w:rsidR="00C31389" w:rsidRDefault="00C31389" w14:paraId="76B734A2" w14:textId="77777777">
            <w:pPr>
              <w:pStyle w:val="TableParagraph"/>
              <w:spacing w:before="5"/>
              <w:rPr>
                <w:sz w:val="23"/>
              </w:rPr>
            </w:pPr>
          </w:p>
          <w:p w:rsidR="00C31389" w:rsidRDefault="00561FBD" w14:paraId="6D6B1C84" w14:textId="77777777">
            <w:pPr>
              <w:pStyle w:val="TableParagraph"/>
              <w:spacing w:before="0"/>
              <w:ind w:left="362"/>
              <w:rPr>
                <w:sz w:val="20"/>
              </w:rPr>
            </w:pPr>
            <w:r>
              <w:rPr>
                <w:spacing w:val="-5"/>
                <w:sz w:val="20"/>
              </w:rPr>
              <w:t>85%</w:t>
            </w:r>
          </w:p>
        </w:tc>
        <w:tc>
          <w:tcPr>
            <w:tcW w:w="1451" w:type="dxa"/>
            <w:tcBorders>
              <w:top w:val="single" w:color="D9D9D9" w:sz="2" w:space="0"/>
              <w:bottom w:val="single" w:color="D9D9D9" w:sz="2" w:space="0"/>
            </w:tcBorders>
          </w:tcPr>
          <w:p w:rsidR="00C31389" w:rsidRDefault="00C31389" w14:paraId="4131E2EC" w14:textId="77777777">
            <w:pPr>
              <w:pStyle w:val="TableParagraph"/>
              <w:spacing w:before="5"/>
              <w:rPr>
                <w:sz w:val="23"/>
              </w:rPr>
            </w:pPr>
          </w:p>
          <w:p w:rsidR="00C31389" w:rsidRDefault="00561FBD" w14:paraId="31DB5206" w14:textId="77777777">
            <w:pPr>
              <w:pStyle w:val="TableParagraph"/>
              <w:spacing w:before="0"/>
              <w:ind w:left="271" w:right="156"/>
              <w:jc w:val="center"/>
              <w:rPr>
                <w:sz w:val="20"/>
              </w:rPr>
            </w:pPr>
            <w:r>
              <w:rPr>
                <w:spacing w:val="-2"/>
                <w:sz w:val="20"/>
              </w:rPr>
              <w:t>7/14/2012</w:t>
            </w:r>
          </w:p>
        </w:tc>
        <w:tc>
          <w:tcPr>
            <w:tcW w:w="1539" w:type="dxa"/>
            <w:tcBorders>
              <w:top w:val="single" w:color="D9D9D9" w:sz="2" w:space="0"/>
              <w:bottom w:val="single" w:color="D9D9D9" w:sz="2" w:space="0"/>
            </w:tcBorders>
          </w:tcPr>
          <w:p w:rsidR="00C31389" w:rsidRDefault="00C31389" w14:paraId="45E6854C" w14:textId="77777777">
            <w:pPr>
              <w:pStyle w:val="TableParagraph"/>
              <w:spacing w:before="5"/>
              <w:rPr>
                <w:sz w:val="23"/>
              </w:rPr>
            </w:pPr>
          </w:p>
          <w:p w:rsidR="00C31389" w:rsidRDefault="00561FBD" w14:paraId="37949BA3" w14:textId="77777777">
            <w:pPr>
              <w:pStyle w:val="TableParagraph"/>
              <w:spacing w:before="0"/>
              <w:ind w:left="164"/>
              <w:rPr>
                <w:sz w:val="20"/>
              </w:rPr>
            </w:pPr>
            <w:r>
              <w:rPr>
                <w:spacing w:val="-2"/>
                <w:sz w:val="20"/>
              </w:rPr>
              <w:t>On-the-books</w:t>
            </w:r>
          </w:p>
        </w:tc>
      </w:tr>
      <w:tr w:rsidR="00C31389" w14:paraId="005C3C4F" w14:textId="77777777">
        <w:trPr>
          <w:trHeight w:val="539"/>
        </w:trPr>
        <w:tc>
          <w:tcPr>
            <w:tcW w:w="1367" w:type="dxa"/>
            <w:tcBorders>
              <w:top w:val="single" w:color="D9D9D9" w:sz="2" w:space="0"/>
              <w:bottom w:val="single" w:color="D9D9D9" w:sz="2" w:space="0"/>
            </w:tcBorders>
          </w:tcPr>
          <w:p w:rsidR="00C31389" w:rsidRDefault="00561FBD" w14:paraId="7DD918EC"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0C9DFF89" w14:textId="77777777">
            <w:pPr>
              <w:pStyle w:val="TableParagraph"/>
              <w:ind w:left="202"/>
              <w:rPr>
                <w:sz w:val="20"/>
              </w:rPr>
            </w:pPr>
            <w:r>
              <w:rPr>
                <w:sz w:val="20"/>
              </w:rPr>
              <w:t xml:space="preserve">2022 T-24: NRNC - </w:t>
            </w:r>
            <w:r>
              <w:rPr>
                <w:sz w:val="20"/>
              </w:rPr>
              <w:t>Daylighting - Automatic</w:t>
            </w:r>
            <w:r>
              <w:rPr>
                <w:spacing w:val="-9"/>
                <w:sz w:val="20"/>
              </w:rPr>
              <w:t xml:space="preserve"> </w:t>
            </w:r>
            <w:r>
              <w:rPr>
                <w:sz w:val="20"/>
              </w:rPr>
              <w:t>Daylight</w:t>
            </w:r>
            <w:r>
              <w:rPr>
                <w:spacing w:val="-10"/>
                <w:sz w:val="20"/>
              </w:rPr>
              <w:t xml:space="preserve"> </w:t>
            </w:r>
            <w:r>
              <w:rPr>
                <w:sz w:val="20"/>
              </w:rPr>
              <w:t>Dimming</w:t>
            </w:r>
            <w:r>
              <w:rPr>
                <w:spacing w:val="-10"/>
                <w:sz w:val="20"/>
              </w:rPr>
              <w:t xml:space="preserve"> </w:t>
            </w:r>
            <w:r>
              <w:rPr>
                <w:sz w:val="20"/>
              </w:rPr>
              <w:t>to</w:t>
            </w:r>
            <w:r>
              <w:rPr>
                <w:spacing w:val="-10"/>
                <w:sz w:val="20"/>
              </w:rPr>
              <w:t xml:space="preserve"> </w:t>
            </w:r>
            <w:r>
              <w:rPr>
                <w:sz w:val="20"/>
              </w:rPr>
              <w:t>10%</w:t>
            </w:r>
          </w:p>
        </w:tc>
        <w:tc>
          <w:tcPr>
            <w:tcW w:w="1175" w:type="dxa"/>
            <w:tcBorders>
              <w:top w:val="single" w:color="D9D9D9" w:sz="2" w:space="0"/>
              <w:bottom w:val="single" w:color="D9D9D9" w:sz="2" w:space="0"/>
            </w:tcBorders>
          </w:tcPr>
          <w:p w:rsidR="00C31389" w:rsidRDefault="00561FBD" w14:paraId="2460F088" w14:textId="77777777">
            <w:pPr>
              <w:pStyle w:val="TableParagraph"/>
              <w:spacing w:before="155"/>
              <w:ind w:left="362"/>
              <w:rPr>
                <w:sz w:val="20"/>
              </w:rPr>
            </w:pPr>
            <w:r>
              <w:rPr>
                <w:spacing w:val="-5"/>
                <w:sz w:val="20"/>
              </w:rPr>
              <w:t>85%</w:t>
            </w:r>
          </w:p>
        </w:tc>
        <w:tc>
          <w:tcPr>
            <w:tcW w:w="1451" w:type="dxa"/>
            <w:tcBorders>
              <w:top w:val="single" w:color="D9D9D9" w:sz="2" w:space="0"/>
              <w:bottom w:val="single" w:color="D9D9D9" w:sz="2" w:space="0"/>
            </w:tcBorders>
          </w:tcPr>
          <w:p w:rsidR="00C31389" w:rsidRDefault="00561FBD" w14:paraId="35F84901" w14:textId="77777777">
            <w:pPr>
              <w:pStyle w:val="TableParagraph"/>
              <w:spacing w:before="155"/>
              <w:ind w:left="271" w:right="156"/>
              <w:jc w:val="center"/>
              <w:rPr>
                <w:sz w:val="20"/>
              </w:rPr>
            </w:pPr>
            <w:r>
              <w:rPr>
                <w:spacing w:val="-2"/>
                <w:sz w:val="20"/>
              </w:rPr>
              <w:t>1/26/2018</w:t>
            </w:r>
          </w:p>
        </w:tc>
        <w:tc>
          <w:tcPr>
            <w:tcW w:w="1539" w:type="dxa"/>
            <w:tcBorders>
              <w:top w:val="single" w:color="D9D9D9" w:sz="2" w:space="0"/>
              <w:bottom w:val="single" w:color="D9D9D9" w:sz="2" w:space="0"/>
            </w:tcBorders>
          </w:tcPr>
          <w:p w:rsidR="00C31389" w:rsidRDefault="00561FBD" w14:paraId="11157CAA" w14:textId="77777777">
            <w:pPr>
              <w:pStyle w:val="TableParagraph"/>
              <w:spacing w:before="155"/>
              <w:ind w:left="164"/>
              <w:rPr>
                <w:sz w:val="20"/>
              </w:rPr>
            </w:pPr>
            <w:r>
              <w:rPr>
                <w:spacing w:val="-2"/>
                <w:sz w:val="20"/>
              </w:rPr>
              <w:t>On-the-books</w:t>
            </w:r>
          </w:p>
        </w:tc>
      </w:tr>
      <w:tr w:rsidR="00C31389" w14:paraId="5F104C71" w14:textId="77777777">
        <w:trPr>
          <w:trHeight w:val="540"/>
        </w:trPr>
        <w:tc>
          <w:tcPr>
            <w:tcW w:w="1367" w:type="dxa"/>
            <w:tcBorders>
              <w:top w:val="single" w:color="D9D9D9" w:sz="2" w:space="0"/>
              <w:bottom w:val="single" w:color="D9D9D9" w:sz="2" w:space="0"/>
            </w:tcBorders>
          </w:tcPr>
          <w:p w:rsidR="00C31389" w:rsidRDefault="00561FBD" w14:paraId="6D825F2A"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3D89BE81" w14:textId="77777777">
            <w:pPr>
              <w:pStyle w:val="TableParagraph"/>
              <w:spacing w:before="41"/>
              <w:ind w:left="202"/>
              <w:rPr>
                <w:sz w:val="20"/>
              </w:rPr>
            </w:pPr>
            <w:r>
              <w:rPr>
                <w:sz w:val="20"/>
              </w:rPr>
              <w:t>2022</w:t>
            </w:r>
            <w:r>
              <w:rPr>
                <w:spacing w:val="-7"/>
                <w:sz w:val="20"/>
              </w:rPr>
              <w:t xml:space="preserve"> </w:t>
            </w:r>
            <w:r>
              <w:rPr>
                <w:sz w:val="20"/>
              </w:rPr>
              <w:t>T-24:</w:t>
            </w:r>
            <w:r>
              <w:rPr>
                <w:spacing w:val="-7"/>
                <w:sz w:val="20"/>
              </w:rPr>
              <w:t xml:space="preserve"> </w:t>
            </w:r>
            <w:r>
              <w:rPr>
                <w:sz w:val="20"/>
              </w:rPr>
              <w:t>NRNC</w:t>
            </w:r>
            <w:r>
              <w:rPr>
                <w:spacing w:val="-6"/>
                <w:sz w:val="20"/>
              </w:rPr>
              <w:t xml:space="preserve"> </w:t>
            </w:r>
            <w:r>
              <w:rPr>
                <w:sz w:val="20"/>
              </w:rPr>
              <w:t>-</w:t>
            </w:r>
            <w:r>
              <w:rPr>
                <w:spacing w:val="-7"/>
                <w:sz w:val="20"/>
              </w:rPr>
              <w:t xml:space="preserve"> </w:t>
            </w:r>
            <w:r>
              <w:rPr>
                <w:sz w:val="20"/>
              </w:rPr>
              <w:t>Envelope</w:t>
            </w:r>
            <w:r>
              <w:rPr>
                <w:spacing w:val="-7"/>
                <w:sz w:val="20"/>
              </w:rPr>
              <w:t xml:space="preserve"> </w:t>
            </w:r>
            <w:r>
              <w:rPr>
                <w:sz w:val="20"/>
              </w:rPr>
              <w:t>-</w:t>
            </w:r>
            <w:r>
              <w:rPr>
                <w:spacing w:val="-7"/>
                <w:sz w:val="20"/>
              </w:rPr>
              <w:t xml:space="preserve"> </w:t>
            </w:r>
            <w:r>
              <w:rPr>
                <w:sz w:val="20"/>
              </w:rPr>
              <w:t>Cool Roofs: Steep-Sloped</w:t>
            </w:r>
          </w:p>
        </w:tc>
        <w:tc>
          <w:tcPr>
            <w:tcW w:w="1175" w:type="dxa"/>
            <w:tcBorders>
              <w:top w:val="single" w:color="D9D9D9" w:sz="2" w:space="0"/>
              <w:bottom w:val="single" w:color="D9D9D9" w:sz="2" w:space="0"/>
            </w:tcBorders>
          </w:tcPr>
          <w:p w:rsidR="00C31389" w:rsidRDefault="00561FBD" w14:paraId="685E2078" w14:textId="77777777">
            <w:pPr>
              <w:pStyle w:val="TableParagraph"/>
              <w:spacing w:before="155"/>
              <w:ind w:left="361"/>
              <w:rPr>
                <w:sz w:val="20"/>
              </w:rPr>
            </w:pPr>
            <w:r>
              <w:rPr>
                <w:spacing w:val="-5"/>
                <w:sz w:val="20"/>
              </w:rPr>
              <w:t>85%</w:t>
            </w:r>
          </w:p>
        </w:tc>
        <w:tc>
          <w:tcPr>
            <w:tcW w:w="1451" w:type="dxa"/>
            <w:tcBorders>
              <w:top w:val="single" w:color="D9D9D9" w:sz="2" w:space="0"/>
              <w:bottom w:val="single" w:color="D9D9D9" w:sz="2" w:space="0"/>
            </w:tcBorders>
          </w:tcPr>
          <w:p w:rsidR="00C31389" w:rsidRDefault="00561FBD" w14:paraId="7E1091FA" w14:textId="77777777">
            <w:pPr>
              <w:pStyle w:val="TableParagraph"/>
              <w:spacing w:before="155"/>
              <w:ind w:left="271" w:right="157"/>
              <w:jc w:val="center"/>
              <w:rPr>
                <w:sz w:val="20"/>
              </w:rPr>
            </w:pPr>
            <w:r>
              <w:rPr>
                <w:spacing w:val="-2"/>
                <w:sz w:val="20"/>
              </w:rPr>
              <w:t>7/14/2012</w:t>
            </w:r>
          </w:p>
        </w:tc>
        <w:tc>
          <w:tcPr>
            <w:tcW w:w="1539" w:type="dxa"/>
            <w:tcBorders>
              <w:top w:val="single" w:color="D9D9D9" w:sz="2" w:space="0"/>
              <w:bottom w:val="single" w:color="D9D9D9" w:sz="2" w:space="0"/>
            </w:tcBorders>
          </w:tcPr>
          <w:p w:rsidR="00C31389" w:rsidRDefault="00561FBD" w14:paraId="5CBD23B9" w14:textId="77777777">
            <w:pPr>
              <w:pStyle w:val="TableParagraph"/>
              <w:spacing w:before="155"/>
              <w:ind w:left="164"/>
              <w:rPr>
                <w:sz w:val="20"/>
              </w:rPr>
            </w:pPr>
            <w:r>
              <w:rPr>
                <w:spacing w:val="-2"/>
                <w:sz w:val="20"/>
              </w:rPr>
              <w:t>On-the-books</w:t>
            </w:r>
          </w:p>
        </w:tc>
      </w:tr>
      <w:tr w:rsidR="00C31389" w14:paraId="1B6AE83C" w14:textId="77777777">
        <w:trPr>
          <w:trHeight w:val="539"/>
        </w:trPr>
        <w:tc>
          <w:tcPr>
            <w:tcW w:w="1367" w:type="dxa"/>
            <w:tcBorders>
              <w:top w:val="single" w:color="D9D9D9" w:sz="2" w:space="0"/>
              <w:bottom w:val="single" w:color="D9D9D9" w:sz="2" w:space="0"/>
            </w:tcBorders>
          </w:tcPr>
          <w:p w:rsidR="00C31389" w:rsidRDefault="00561FBD" w14:paraId="0F517BE5"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440AC8CC" w14:textId="77777777">
            <w:pPr>
              <w:pStyle w:val="TableParagraph"/>
              <w:ind w:left="202"/>
              <w:rPr>
                <w:sz w:val="20"/>
              </w:rPr>
            </w:pPr>
            <w:r>
              <w:rPr>
                <w:sz w:val="20"/>
              </w:rPr>
              <w:t>2022</w:t>
            </w:r>
            <w:r>
              <w:rPr>
                <w:spacing w:val="-7"/>
                <w:sz w:val="20"/>
              </w:rPr>
              <w:t xml:space="preserve"> </w:t>
            </w:r>
            <w:r>
              <w:rPr>
                <w:sz w:val="20"/>
              </w:rPr>
              <w:t>T-24:</w:t>
            </w:r>
            <w:r>
              <w:rPr>
                <w:spacing w:val="-7"/>
                <w:sz w:val="20"/>
              </w:rPr>
              <w:t xml:space="preserve"> </w:t>
            </w:r>
            <w:r>
              <w:rPr>
                <w:sz w:val="20"/>
              </w:rPr>
              <w:t>NRNC</w:t>
            </w:r>
            <w:r>
              <w:rPr>
                <w:spacing w:val="-6"/>
                <w:sz w:val="20"/>
              </w:rPr>
              <w:t xml:space="preserve"> </w:t>
            </w:r>
            <w:r>
              <w:rPr>
                <w:sz w:val="20"/>
              </w:rPr>
              <w:t>-</w:t>
            </w:r>
            <w:r>
              <w:rPr>
                <w:spacing w:val="-7"/>
                <w:sz w:val="20"/>
              </w:rPr>
              <w:t xml:space="preserve"> </w:t>
            </w:r>
            <w:r>
              <w:rPr>
                <w:sz w:val="20"/>
              </w:rPr>
              <w:t>Envelope</w:t>
            </w:r>
            <w:r>
              <w:rPr>
                <w:spacing w:val="-7"/>
                <w:sz w:val="20"/>
              </w:rPr>
              <w:t xml:space="preserve"> </w:t>
            </w:r>
            <w:r>
              <w:rPr>
                <w:sz w:val="20"/>
              </w:rPr>
              <w:t>-</w:t>
            </w:r>
            <w:r>
              <w:rPr>
                <w:spacing w:val="-7"/>
                <w:sz w:val="20"/>
              </w:rPr>
              <w:t xml:space="preserve"> </w:t>
            </w:r>
            <w:r>
              <w:rPr>
                <w:sz w:val="20"/>
              </w:rPr>
              <w:t>High Performance Windows</w:t>
            </w:r>
          </w:p>
        </w:tc>
        <w:tc>
          <w:tcPr>
            <w:tcW w:w="1175" w:type="dxa"/>
            <w:tcBorders>
              <w:top w:val="single" w:color="D9D9D9" w:sz="2" w:space="0"/>
              <w:bottom w:val="single" w:color="D9D9D9" w:sz="2" w:space="0"/>
            </w:tcBorders>
          </w:tcPr>
          <w:p w:rsidR="00C31389" w:rsidRDefault="00561FBD" w14:paraId="6CC61452" w14:textId="77777777">
            <w:pPr>
              <w:pStyle w:val="TableParagraph"/>
              <w:spacing w:before="155"/>
              <w:ind w:left="362"/>
              <w:rPr>
                <w:sz w:val="20"/>
              </w:rPr>
            </w:pPr>
            <w:r>
              <w:rPr>
                <w:spacing w:val="-5"/>
                <w:sz w:val="20"/>
              </w:rPr>
              <w:t>85%</w:t>
            </w:r>
          </w:p>
        </w:tc>
        <w:tc>
          <w:tcPr>
            <w:tcW w:w="1451" w:type="dxa"/>
            <w:tcBorders>
              <w:top w:val="single" w:color="D9D9D9" w:sz="2" w:space="0"/>
              <w:bottom w:val="single" w:color="D9D9D9" w:sz="2" w:space="0"/>
            </w:tcBorders>
          </w:tcPr>
          <w:p w:rsidR="00C31389" w:rsidRDefault="00561FBD" w14:paraId="0606824E" w14:textId="77777777">
            <w:pPr>
              <w:pStyle w:val="TableParagraph"/>
              <w:spacing w:before="155"/>
              <w:ind w:left="271" w:right="156"/>
              <w:jc w:val="center"/>
              <w:rPr>
                <w:sz w:val="20"/>
              </w:rPr>
            </w:pPr>
            <w:r>
              <w:rPr>
                <w:spacing w:val="-2"/>
                <w:sz w:val="20"/>
              </w:rPr>
              <w:t>6/1/2014</w:t>
            </w:r>
          </w:p>
        </w:tc>
        <w:tc>
          <w:tcPr>
            <w:tcW w:w="1539" w:type="dxa"/>
            <w:tcBorders>
              <w:top w:val="single" w:color="D9D9D9" w:sz="2" w:space="0"/>
              <w:bottom w:val="single" w:color="D9D9D9" w:sz="2" w:space="0"/>
            </w:tcBorders>
          </w:tcPr>
          <w:p w:rsidR="00C31389" w:rsidRDefault="00561FBD" w14:paraId="42C1AF32" w14:textId="77777777">
            <w:pPr>
              <w:pStyle w:val="TableParagraph"/>
              <w:spacing w:before="155"/>
              <w:ind w:left="164"/>
              <w:rPr>
                <w:sz w:val="20"/>
              </w:rPr>
            </w:pPr>
            <w:r>
              <w:rPr>
                <w:spacing w:val="-2"/>
                <w:sz w:val="20"/>
              </w:rPr>
              <w:t>On-the-books</w:t>
            </w:r>
          </w:p>
        </w:tc>
      </w:tr>
      <w:tr w:rsidR="00C31389" w14:paraId="51BA05A1" w14:textId="77777777">
        <w:trPr>
          <w:trHeight w:val="539"/>
        </w:trPr>
        <w:tc>
          <w:tcPr>
            <w:tcW w:w="1367" w:type="dxa"/>
            <w:tcBorders>
              <w:top w:val="single" w:color="D9D9D9" w:sz="2" w:space="0"/>
              <w:bottom w:val="single" w:color="D9D9D9" w:sz="2" w:space="0"/>
            </w:tcBorders>
          </w:tcPr>
          <w:p w:rsidR="00C31389" w:rsidRDefault="00561FBD" w14:paraId="6F5BFBD1"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36D87FB5" w14:textId="77777777">
            <w:pPr>
              <w:pStyle w:val="TableParagraph"/>
              <w:ind w:left="202" w:right="360"/>
              <w:rPr>
                <w:sz w:val="20"/>
              </w:rPr>
            </w:pPr>
            <w:r>
              <w:rPr>
                <w:sz w:val="20"/>
              </w:rPr>
              <w:t>2022</w:t>
            </w:r>
            <w:r>
              <w:rPr>
                <w:spacing w:val="-8"/>
                <w:sz w:val="20"/>
              </w:rPr>
              <w:t xml:space="preserve"> </w:t>
            </w:r>
            <w:r>
              <w:rPr>
                <w:sz w:val="20"/>
              </w:rPr>
              <w:t>T-24:</w:t>
            </w:r>
            <w:r>
              <w:rPr>
                <w:spacing w:val="-8"/>
                <w:sz w:val="20"/>
              </w:rPr>
              <w:t xml:space="preserve"> </w:t>
            </w:r>
            <w:r>
              <w:rPr>
                <w:sz w:val="20"/>
              </w:rPr>
              <w:t>NRNC</w:t>
            </w:r>
            <w:r>
              <w:rPr>
                <w:spacing w:val="-7"/>
                <w:sz w:val="20"/>
              </w:rPr>
              <w:t xml:space="preserve"> </w:t>
            </w:r>
            <w:r>
              <w:rPr>
                <w:sz w:val="20"/>
              </w:rPr>
              <w:t>-</w:t>
            </w:r>
            <w:r>
              <w:rPr>
                <w:spacing w:val="-7"/>
                <w:sz w:val="20"/>
              </w:rPr>
              <w:t xml:space="preserve"> </w:t>
            </w:r>
            <w:r>
              <w:rPr>
                <w:sz w:val="20"/>
              </w:rPr>
              <w:t>Envelope</w:t>
            </w:r>
            <w:r>
              <w:rPr>
                <w:spacing w:val="-8"/>
                <w:sz w:val="20"/>
              </w:rPr>
              <w:t xml:space="preserve"> </w:t>
            </w:r>
            <w:r>
              <w:rPr>
                <w:sz w:val="20"/>
              </w:rPr>
              <w:t>- Opaque Envelope</w:t>
            </w:r>
          </w:p>
        </w:tc>
        <w:tc>
          <w:tcPr>
            <w:tcW w:w="1175" w:type="dxa"/>
            <w:tcBorders>
              <w:top w:val="single" w:color="D9D9D9" w:sz="2" w:space="0"/>
              <w:bottom w:val="single" w:color="D9D9D9" w:sz="2" w:space="0"/>
            </w:tcBorders>
          </w:tcPr>
          <w:p w:rsidR="00C31389" w:rsidRDefault="00561FBD" w14:paraId="2AA8031E" w14:textId="77777777">
            <w:pPr>
              <w:pStyle w:val="TableParagraph"/>
              <w:spacing w:before="155"/>
              <w:ind w:left="362"/>
              <w:rPr>
                <w:sz w:val="20"/>
              </w:rPr>
            </w:pPr>
            <w:r>
              <w:rPr>
                <w:spacing w:val="-5"/>
                <w:sz w:val="20"/>
              </w:rPr>
              <w:t>85%</w:t>
            </w:r>
          </w:p>
        </w:tc>
        <w:tc>
          <w:tcPr>
            <w:tcW w:w="1451" w:type="dxa"/>
            <w:tcBorders>
              <w:top w:val="single" w:color="D9D9D9" w:sz="2" w:space="0"/>
              <w:bottom w:val="single" w:color="D9D9D9" w:sz="2" w:space="0"/>
            </w:tcBorders>
          </w:tcPr>
          <w:p w:rsidR="00C31389" w:rsidRDefault="00561FBD" w14:paraId="0A8C70DD" w14:textId="77777777">
            <w:pPr>
              <w:pStyle w:val="TableParagraph"/>
              <w:spacing w:before="155"/>
              <w:ind w:left="271" w:right="156"/>
              <w:jc w:val="center"/>
              <w:rPr>
                <w:sz w:val="20"/>
              </w:rPr>
            </w:pPr>
            <w:r>
              <w:rPr>
                <w:spacing w:val="-2"/>
                <w:sz w:val="20"/>
              </w:rPr>
              <w:t>2/10/2017</w:t>
            </w:r>
          </w:p>
        </w:tc>
        <w:tc>
          <w:tcPr>
            <w:tcW w:w="1539" w:type="dxa"/>
            <w:tcBorders>
              <w:top w:val="single" w:color="D9D9D9" w:sz="2" w:space="0"/>
              <w:bottom w:val="single" w:color="D9D9D9" w:sz="2" w:space="0"/>
            </w:tcBorders>
          </w:tcPr>
          <w:p w:rsidR="00C31389" w:rsidRDefault="00561FBD" w14:paraId="48D29564" w14:textId="77777777">
            <w:pPr>
              <w:pStyle w:val="TableParagraph"/>
              <w:spacing w:before="155"/>
              <w:ind w:left="164"/>
              <w:rPr>
                <w:sz w:val="20"/>
              </w:rPr>
            </w:pPr>
            <w:r>
              <w:rPr>
                <w:spacing w:val="-2"/>
                <w:sz w:val="20"/>
              </w:rPr>
              <w:t>On-the-books</w:t>
            </w:r>
          </w:p>
        </w:tc>
      </w:tr>
      <w:tr w:rsidR="00C31389" w14:paraId="73C5A21F" w14:textId="77777777">
        <w:trPr>
          <w:trHeight w:val="770"/>
        </w:trPr>
        <w:tc>
          <w:tcPr>
            <w:tcW w:w="1367" w:type="dxa"/>
            <w:tcBorders>
              <w:top w:val="single" w:color="D9D9D9" w:sz="2" w:space="0"/>
              <w:bottom w:val="single" w:color="D9D9D9" w:sz="2" w:space="0"/>
            </w:tcBorders>
          </w:tcPr>
          <w:p w:rsidR="00C31389" w:rsidRDefault="00C31389" w14:paraId="6876C555" w14:textId="77777777">
            <w:pPr>
              <w:pStyle w:val="TableParagraph"/>
              <w:spacing w:before="6"/>
              <w:rPr>
                <w:sz w:val="23"/>
              </w:rPr>
            </w:pPr>
          </w:p>
          <w:p w:rsidR="00C31389" w:rsidRDefault="00561FBD" w14:paraId="2F7D3189"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70E21E92" w14:textId="77777777">
            <w:pPr>
              <w:pStyle w:val="TableParagraph"/>
              <w:ind w:left="202" w:right="360"/>
              <w:rPr>
                <w:sz w:val="20"/>
              </w:rPr>
            </w:pPr>
            <w:r>
              <w:rPr>
                <w:sz w:val="20"/>
              </w:rPr>
              <w:t>2022</w:t>
            </w:r>
            <w:r>
              <w:rPr>
                <w:spacing w:val="-7"/>
                <w:sz w:val="20"/>
              </w:rPr>
              <w:t xml:space="preserve"> </w:t>
            </w:r>
            <w:r>
              <w:rPr>
                <w:sz w:val="20"/>
              </w:rPr>
              <w:t>T-24:</w:t>
            </w:r>
            <w:r>
              <w:rPr>
                <w:spacing w:val="-7"/>
                <w:sz w:val="20"/>
              </w:rPr>
              <w:t xml:space="preserve"> </w:t>
            </w:r>
            <w:r>
              <w:rPr>
                <w:sz w:val="20"/>
              </w:rPr>
              <w:t>NRNC</w:t>
            </w:r>
            <w:r>
              <w:rPr>
                <w:spacing w:val="-6"/>
                <w:sz w:val="20"/>
              </w:rPr>
              <w:t xml:space="preserve"> </w:t>
            </w:r>
            <w:r>
              <w:rPr>
                <w:sz w:val="20"/>
              </w:rPr>
              <w:t>-</w:t>
            </w:r>
            <w:r>
              <w:rPr>
                <w:spacing w:val="-7"/>
                <w:sz w:val="20"/>
              </w:rPr>
              <w:t xml:space="preserve"> </w:t>
            </w:r>
            <w:r>
              <w:rPr>
                <w:sz w:val="20"/>
              </w:rPr>
              <w:t>Grid</w:t>
            </w:r>
            <w:r>
              <w:rPr>
                <w:spacing w:val="-7"/>
                <w:sz w:val="20"/>
              </w:rPr>
              <w:t xml:space="preserve"> </w:t>
            </w:r>
            <w:r>
              <w:rPr>
                <w:sz w:val="20"/>
              </w:rPr>
              <w:t>Integration</w:t>
            </w:r>
            <w:r>
              <w:rPr>
                <w:spacing w:val="-8"/>
                <w:sz w:val="20"/>
              </w:rPr>
              <w:t xml:space="preserve"> </w:t>
            </w:r>
            <w:r>
              <w:rPr>
                <w:sz w:val="20"/>
              </w:rPr>
              <w:t xml:space="preserve">- Demand Responsive Lighting </w:t>
            </w:r>
            <w:r>
              <w:rPr>
                <w:spacing w:val="-2"/>
                <w:sz w:val="20"/>
              </w:rPr>
              <w:t>Systems</w:t>
            </w:r>
          </w:p>
        </w:tc>
        <w:tc>
          <w:tcPr>
            <w:tcW w:w="1175" w:type="dxa"/>
            <w:tcBorders>
              <w:top w:val="single" w:color="D9D9D9" w:sz="2" w:space="0"/>
              <w:bottom w:val="single" w:color="D9D9D9" w:sz="2" w:space="0"/>
            </w:tcBorders>
          </w:tcPr>
          <w:p w:rsidR="00C31389" w:rsidRDefault="00C31389" w14:paraId="2DBBC405" w14:textId="77777777">
            <w:pPr>
              <w:pStyle w:val="TableParagraph"/>
              <w:spacing w:before="6"/>
              <w:rPr>
                <w:sz w:val="23"/>
              </w:rPr>
            </w:pPr>
          </w:p>
          <w:p w:rsidR="00C31389" w:rsidRDefault="00561FBD" w14:paraId="175BCCC2" w14:textId="77777777">
            <w:pPr>
              <w:pStyle w:val="TableParagraph"/>
              <w:spacing w:before="0"/>
              <w:ind w:left="362"/>
              <w:rPr>
                <w:sz w:val="20"/>
              </w:rPr>
            </w:pPr>
            <w:r>
              <w:rPr>
                <w:spacing w:val="-5"/>
                <w:sz w:val="20"/>
              </w:rPr>
              <w:t>85%</w:t>
            </w:r>
          </w:p>
        </w:tc>
        <w:tc>
          <w:tcPr>
            <w:tcW w:w="1451" w:type="dxa"/>
            <w:tcBorders>
              <w:top w:val="single" w:color="D9D9D9" w:sz="2" w:space="0"/>
              <w:bottom w:val="single" w:color="D9D9D9" w:sz="2" w:space="0"/>
            </w:tcBorders>
          </w:tcPr>
          <w:p w:rsidR="00C31389" w:rsidRDefault="00C31389" w14:paraId="37CAF941" w14:textId="77777777">
            <w:pPr>
              <w:pStyle w:val="TableParagraph"/>
              <w:spacing w:before="6"/>
              <w:rPr>
                <w:sz w:val="23"/>
              </w:rPr>
            </w:pPr>
          </w:p>
          <w:p w:rsidR="00C31389" w:rsidRDefault="00561FBD" w14:paraId="00C91719" w14:textId="77777777">
            <w:pPr>
              <w:pStyle w:val="TableParagraph"/>
              <w:spacing w:before="0"/>
              <w:ind w:left="271" w:right="156"/>
              <w:jc w:val="center"/>
              <w:rPr>
                <w:sz w:val="20"/>
              </w:rPr>
            </w:pPr>
            <w:r>
              <w:rPr>
                <w:spacing w:val="-2"/>
                <w:sz w:val="20"/>
              </w:rPr>
              <w:t>6/17/2016</w:t>
            </w:r>
          </w:p>
        </w:tc>
        <w:tc>
          <w:tcPr>
            <w:tcW w:w="1539" w:type="dxa"/>
            <w:tcBorders>
              <w:top w:val="single" w:color="D9D9D9" w:sz="2" w:space="0"/>
              <w:bottom w:val="single" w:color="D9D9D9" w:sz="2" w:space="0"/>
            </w:tcBorders>
          </w:tcPr>
          <w:p w:rsidR="00C31389" w:rsidRDefault="00C31389" w14:paraId="3D87BD73" w14:textId="77777777">
            <w:pPr>
              <w:pStyle w:val="TableParagraph"/>
              <w:spacing w:before="6"/>
              <w:rPr>
                <w:sz w:val="23"/>
              </w:rPr>
            </w:pPr>
          </w:p>
          <w:p w:rsidR="00C31389" w:rsidRDefault="00561FBD" w14:paraId="1B7BB46E" w14:textId="77777777">
            <w:pPr>
              <w:pStyle w:val="TableParagraph"/>
              <w:spacing w:before="0"/>
              <w:ind w:left="164"/>
              <w:rPr>
                <w:sz w:val="20"/>
              </w:rPr>
            </w:pPr>
            <w:r>
              <w:rPr>
                <w:spacing w:val="-2"/>
                <w:sz w:val="20"/>
              </w:rPr>
              <w:t>On-the-books</w:t>
            </w:r>
          </w:p>
        </w:tc>
      </w:tr>
      <w:tr w:rsidR="00C31389" w14:paraId="091297B5" w14:textId="77777777">
        <w:trPr>
          <w:trHeight w:val="539"/>
        </w:trPr>
        <w:tc>
          <w:tcPr>
            <w:tcW w:w="1367" w:type="dxa"/>
            <w:tcBorders>
              <w:top w:val="single" w:color="D9D9D9" w:sz="2" w:space="0"/>
              <w:bottom w:val="single" w:color="D9D9D9" w:sz="2" w:space="0"/>
            </w:tcBorders>
          </w:tcPr>
          <w:p w:rsidR="00C31389" w:rsidRDefault="00561FBD" w14:paraId="7FE96802"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38481288" w14:textId="77777777">
            <w:pPr>
              <w:pStyle w:val="TableParagraph"/>
              <w:ind w:left="202"/>
              <w:rPr>
                <w:sz w:val="20"/>
              </w:rPr>
            </w:pPr>
            <w:r>
              <w:rPr>
                <w:sz w:val="20"/>
              </w:rPr>
              <w:t>2022</w:t>
            </w:r>
            <w:r>
              <w:rPr>
                <w:spacing w:val="-3"/>
                <w:sz w:val="20"/>
              </w:rPr>
              <w:t xml:space="preserve"> </w:t>
            </w:r>
            <w:r>
              <w:rPr>
                <w:sz w:val="20"/>
              </w:rPr>
              <w:t>T-24:</w:t>
            </w:r>
            <w:r>
              <w:rPr>
                <w:spacing w:val="-3"/>
                <w:sz w:val="20"/>
              </w:rPr>
              <w:t xml:space="preserve"> </w:t>
            </w:r>
            <w:r>
              <w:rPr>
                <w:sz w:val="20"/>
              </w:rPr>
              <w:t>NRNC</w:t>
            </w:r>
            <w:r>
              <w:rPr>
                <w:spacing w:val="-1"/>
                <w:sz w:val="20"/>
              </w:rPr>
              <w:t xml:space="preserve"> </w:t>
            </w:r>
            <w:r>
              <w:rPr>
                <w:sz w:val="20"/>
              </w:rPr>
              <w:t>-</w:t>
            </w:r>
            <w:r>
              <w:rPr>
                <w:spacing w:val="-2"/>
                <w:sz w:val="20"/>
              </w:rPr>
              <w:t xml:space="preserve"> </w:t>
            </w:r>
            <w:r>
              <w:rPr>
                <w:sz w:val="20"/>
              </w:rPr>
              <w:t>HVAC</w:t>
            </w:r>
            <w:r>
              <w:rPr>
                <w:spacing w:val="-2"/>
                <w:sz w:val="20"/>
              </w:rPr>
              <w:t xml:space="preserve"> </w:t>
            </w:r>
            <w:r>
              <w:rPr>
                <w:sz w:val="20"/>
              </w:rPr>
              <w:t>Controls</w:t>
            </w:r>
            <w:r>
              <w:rPr>
                <w:spacing w:val="-3"/>
                <w:sz w:val="20"/>
              </w:rPr>
              <w:t xml:space="preserve"> </w:t>
            </w:r>
            <w:r>
              <w:rPr>
                <w:spacing w:val="-10"/>
                <w:sz w:val="20"/>
              </w:rPr>
              <w:t>-</w:t>
            </w:r>
          </w:p>
          <w:p w:rsidR="00C31389" w:rsidRDefault="00561FBD" w14:paraId="3FFBC459" w14:textId="77777777">
            <w:pPr>
              <w:pStyle w:val="TableParagraph"/>
              <w:spacing w:before="0"/>
              <w:ind w:left="202"/>
              <w:rPr>
                <w:sz w:val="20"/>
              </w:rPr>
            </w:pPr>
            <w:r>
              <w:rPr>
                <w:sz w:val="20"/>
              </w:rPr>
              <w:t>Dedicated</w:t>
            </w:r>
            <w:r>
              <w:rPr>
                <w:spacing w:val="-5"/>
                <w:sz w:val="20"/>
              </w:rPr>
              <w:t xml:space="preserve"> </w:t>
            </w:r>
            <w:r>
              <w:rPr>
                <w:sz w:val="20"/>
              </w:rPr>
              <w:t>Outdoor</w:t>
            </w:r>
            <w:r>
              <w:rPr>
                <w:spacing w:val="-3"/>
                <w:sz w:val="20"/>
              </w:rPr>
              <w:t xml:space="preserve"> </w:t>
            </w:r>
            <w:r>
              <w:rPr>
                <w:sz w:val="20"/>
              </w:rPr>
              <w:t>Air</w:t>
            </w:r>
            <w:r>
              <w:rPr>
                <w:spacing w:val="-3"/>
                <w:sz w:val="20"/>
              </w:rPr>
              <w:t xml:space="preserve"> </w:t>
            </w:r>
            <w:r>
              <w:rPr>
                <w:spacing w:val="-2"/>
                <w:sz w:val="20"/>
              </w:rPr>
              <w:t>Systems</w:t>
            </w:r>
          </w:p>
        </w:tc>
        <w:tc>
          <w:tcPr>
            <w:tcW w:w="1175" w:type="dxa"/>
            <w:tcBorders>
              <w:top w:val="single" w:color="D9D9D9" w:sz="2" w:space="0"/>
              <w:bottom w:val="single" w:color="D9D9D9" w:sz="2" w:space="0"/>
            </w:tcBorders>
          </w:tcPr>
          <w:p w:rsidR="00C31389" w:rsidRDefault="00561FBD" w14:paraId="38A8551C" w14:textId="77777777">
            <w:pPr>
              <w:pStyle w:val="TableParagraph"/>
              <w:spacing w:before="155"/>
              <w:ind w:left="362"/>
              <w:rPr>
                <w:sz w:val="20"/>
              </w:rPr>
            </w:pPr>
            <w:r>
              <w:rPr>
                <w:spacing w:val="-5"/>
                <w:sz w:val="20"/>
              </w:rPr>
              <w:t>85%</w:t>
            </w:r>
          </w:p>
        </w:tc>
        <w:tc>
          <w:tcPr>
            <w:tcW w:w="1451" w:type="dxa"/>
            <w:tcBorders>
              <w:top w:val="single" w:color="D9D9D9" w:sz="2" w:space="0"/>
              <w:bottom w:val="single" w:color="D9D9D9" w:sz="2" w:space="0"/>
            </w:tcBorders>
          </w:tcPr>
          <w:p w:rsidR="00C31389" w:rsidRDefault="00561FBD" w14:paraId="2CD5F7A7" w14:textId="77777777">
            <w:pPr>
              <w:pStyle w:val="TableParagraph"/>
              <w:spacing w:before="155"/>
              <w:ind w:left="271" w:right="156"/>
              <w:jc w:val="center"/>
              <w:rPr>
                <w:sz w:val="20"/>
              </w:rPr>
            </w:pPr>
            <w:r>
              <w:rPr>
                <w:spacing w:val="-2"/>
                <w:sz w:val="20"/>
              </w:rPr>
              <w:t>8/31/2011</w:t>
            </w:r>
          </w:p>
        </w:tc>
        <w:tc>
          <w:tcPr>
            <w:tcW w:w="1539" w:type="dxa"/>
            <w:tcBorders>
              <w:top w:val="single" w:color="D9D9D9" w:sz="2" w:space="0"/>
              <w:bottom w:val="single" w:color="D9D9D9" w:sz="2" w:space="0"/>
            </w:tcBorders>
          </w:tcPr>
          <w:p w:rsidR="00C31389" w:rsidRDefault="00561FBD" w14:paraId="278A8B66" w14:textId="77777777">
            <w:pPr>
              <w:pStyle w:val="TableParagraph"/>
              <w:spacing w:before="155"/>
              <w:ind w:left="164"/>
              <w:rPr>
                <w:sz w:val="20"/>
              </w:rPr>
            </w:pPr>
            <w:r>
              <w:rPr>
                <w:spacing w:val="-2"/>
                <w:sz w:val="20"/>
              </w:rPr>
              <w:t>On-the-books</w:t>
            </w:r>
          </w:p>
        </w:tc>
      </w:tr>
      <w:tr w:rsidR="00C31389" w14:paraId="05DFAC8B" w14:textId="77777777">
        <w:trPr>
          <w:trHeight w:val="539"/>
        </w:trPr>
        <w:tc>
          <w:tcPr>
            <w:tcW w:w="1367" w:type="dxa"/>
            <w:tcBorders>
              <w:top w:val="single" w:color="D9D9D9" w:sz="2" w:space="0"/>
              <w:bottom w:val="single" w:color="D9D9D9" w:sz="2" w:space="0"/>
            </w:tcBorders>
          </w:tcPr>
          <w:p w:rsidR="00C31389" w:rsidRDefault="00561FBD" w14:paraId="2952B174"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646E798B" w14:textId="77777777">
            <w:pPr>
              <w:pStyle w:val="TableParagraph"/>
              <w:ind w:left="202"/>
              <w:rPr>
                <w:sz w:val="20"/>
              </w:rPr>
            </w:pPr>
            <w:r>
              <w:rPr>
                <w:sz w:val="20"/>
              </w:rPr>
              <w:t>2022</w:t>
            </w:r>
            <w:r>
              <w:rPr>
                <w:spacing w:val="-5"/>
                <w:sz w:val="20"/>
              </w:rPr>
              <w:t xml:space="preserve"> </w:t>
            </w:r>
            <w:r>
              <w:rPr>
                <w:sz w:val="20"/>
              </w:rPr>
              <w:t>T-24:</w:t>
            </w:r>
            <w:r>
              <w:rPr>
                <w:spacing w:val="-3"/>
                <w:sz w:val="20"/>
              </w:rPr>
              <w:t xml:space="preserve"> </w:t>
            </w:r>
            <w:r>
              <w:rPr>
                <w:sz w:val="20"/>
              </w:rPr>
              <w:t>NRNC</w:t>
            </w:r>
            <w:r>
              <w:rPr>
                <w:spacing w:val="-2"/>
                <w:sz w:val="20"/>
              </w:rPr>
              <w:t xml:space="preserve"> </w:t>
            </w:r>
            <w:r>
              <w:rPr>
                <w:sz w:val="20"/>
              </w:rPr>
              <w:t>-</w:t>
            </w:r>
            <w:r>
              <w:rPr>
                <w:spacing w:val="-2"/>
                <w:sz w:val="20"/>
              </w:rPr>
              <w:t xml:space="preserve"> </w:t>
            </w:r>
            <w:r>
              <w:rPr>
                <w:sz w:val="20"/>
              </w:rPr>
              <w:t>HVAC</w:t>
            </w:r>
            <w:r>
              <w:rPr>
                <w:spacing w:val="-2"/>
                <w:sz w:val="20"/>
              </w:rPr>
              <w:t xml:space="preserve"> </w:t>
            </w:r>
            <w:r>
              <w:rPr>
                <w:sz w:val="20"/>
              </w:rPr>
              <w:t>Controls</w:t>
            </w:r>
            <w:r>
              <w:rPr>
                <w:spacing w:val="-3"/>
                <w:sz w:val="20"/>
              </w:rPr>
              <w:t xml:space="preserve"> </w:t>
            </w:r>
            <w:r>
              <w:rPr>
                <w:spacing w:val="-10"/>
                <w:sz w:val="20"/>
              </w:rPr>
              <w:t>-</w:t>
            </w:r>
          </w:p>
          <w:p w:rsidR="00C31389" w:rsidRDefault="00561FBD" w14:paraId="7D39B17E" w14:textId="77777777">
            <w:pPr>
              <w:pStyle w:val="TableParagraph"/>
              <w:spacing w:before="0"/>
              <w:ind w:left="202"/>
              <w:rPr>
                <w:sz w:val="20"/>
              </w:rPr>
            </w:pPr>
            <w:r>
              <w:rPr>
                <w:sz w:val="20"/>
              </w:rPr>
              <w:t>Exhaust</w:t>
            </w:r>
            <w:r>
              <w:rPr>
                <w:spacing w:val="-3"/>
                <w:sz w:val="20"/>
              </w:rPr>
              <w:t xml:space="preserve"> </w:t>
            </w:r>
            <w:r>
              <w:rPr>
                <w:sz w:val="20"/>
              </w:rPr>
              <w:t>Air</w:t>
            </w:r>
            <w:r>
              <w:rPr>
                <w:spacing w:val="-3"/>
                <w:sz w:val="20"/>
              </w:rPr>
              <w:t xml:space="preserve"> </w:t>
            </w:r>
            <w:r>
              <w:rPr>
                <w:sz w:val="20"/>
              </w:rPr>
              <w:t>Heat</w:t>
            </w:r>
            <w:r>
              <w:rPr>
                <w:spacing w:val="-2"/>
                <w:sz w:val="20"/>
              </w:rPr>
              <w:t xml:space="preserve"> Recovery</w:t>
            </w:r>
          </w:p>
        </w:tc>
        <w:tc>
          <w:tcPr>
            <w:tcW w:w="1175" w:type="dxa"/>
            <w:tcBorders>
              <w:top w:val="single" w:color="D9D9D9" w:sz="2" w:space="0"/>
              <w:bottom w:val="single" w:color="D9D9D9" w:sz="2" w:space="0"/>
            </w:tcBorders>
          </w:tcPr>
          <w:p w:rsidR="00C31389" w:rsidRDefault="00561FBD" w14:paraId="295B3379" w14:textId="77777777">
            <w:pPr>
              <w:pStyle w:val="TableParagraph"/>
              <w:spacing w:before="155"/>
              <w:ind w:left="362"/>
              <w:rPr>
                <w:sz w:val="20"/>
              </w:rPr>
            </w:pPr>
            <w:r>
              <w:rPr>
                <w:spacing w:val="-5"/>
                <w:sz w:val="20"/>
              </w:rPr>
              <w:t>85%</w:t>
            </w:r>
          </w:p>
        </w:tc>
        <w:tc>
          <w:tcPr>
            <w:tcW w:w="1451" w:type="dxa"/>
            <w:tcBorders>
              <w:top w:val="single" w:color="D9D9D9" w:sz="2" w:space="0"/>
              <w:bottom w:val="single" w:color="D9D9D9" w:sz="2" w:space="0"/>
            </w:tcBorders>
          </w:tcPr>
          <w:p w:rsidR="00C31389" w:rsidRDefault="00561FBD" w14:paraId="2AD276CF" w14:textId="77777777">
            <w:pPr>
              <w:pStyle w:val="TableParagraph"/>
              <w:spacing w:before="155"/>
              <w:ind w:left="271" w:right="156"/>
              <w:jc w:val="center"/>
              <w:rPr>
                <w:sz w:val="20"/>
              </w:rPr>
            </w:pPr>
            <w:r>
              <w:rPr>
                <w:spacing w:val="-2"/>
                <w:sz w:val="20"/>
              </w:rPr>
              <w:t>1/1/2015</w:t>
            </w:r>
          </w:p>
        </w:tc>
        <w:tc>
          <w:tcPr>
            <w:tcW w:w="1539" w:type="dxa"/>
            <w:tcBorders>
              <w:top w:val="single" w:color="D9D9D9" w:sz="2" w:space="0"/>
              <w:bottom w:val="single" w:color="D9D9D9" w:sz="2" w:space="0"/>
            </w:tcBorders>
          </w:tcPr>
          <w:p w:rsidR="00C31389" w:rsidRDefault="00561FBD" w14:paraId="6724B279" w14:textId="77777777">
            <w:pPr>
              <w:pStyle w:val="TableParagraph"/>
              <w:spacing w:before="155"/>
              <w:ind w:left="164"/>
              <w:rPr>
                <w:sz w:val="20"/>
              </w:rPr>
            </w:pPr>
            <w:r>
              <w:rPr>
                <w:spacing w:val="-2"/>
                <w:sz w:val="20"/>
              </w:rPr>
              <w:t>On-the-books</w:t>
            </w:r>
          </w:p>
        </w:tc>
      </w:tr>
      <w:tr w:rsidR="00C31389" w14:paraId="55993D75" w14:textId="77777777">
        <w:trPr>
          <w:trHeight w:val="539"/>
        </w:trPr>
        <w:tc>
          <w:tcPr>
            <w:tcW w:w="1367" w:type="dxa"/>
            <w:tcBorders>
              <w:top w:val="single" w:color="D9D9D9" w:sz="2" w:space="0"/>
              <w:bottom w:val="single" w:color="D9D9D9" w:sz="2" w:space="0"/>
            </w:tcBorders>
          </w:tcPr>
          <w:p w:rsidR="00C31389" w:rsidRDefault="00561FBD" w14:paraId="70EB0924"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03CA9036" w14:textId="77777777">
            <w:pPr>
              <w:pStyle w:val="TableParagraph"/>
              <w:ind w:left="202"/>
              <w:rPr>
                <w:sz w:val="20"/>
              </w:rPr>
            </w:pPr>
            <w:r>
              <w:rPr>
                <w:sz w:val="20"/>
              </w:rPr>
              <w:t>2022</w:t>
            </w:r>
            <w:r>
              <w:rPr>
                <w:spacing w:val="-5"/>
                <w:sz w:val="20"/>
              </w:rPr>
              <w:t xml:space="preserve"> </w:t>
            </w:r>
            <w:r>
              <w:rPr>
                <w:sz w:val="20"/>
              </w:rPr>
              <w:t>T-24:</w:t>
            </w:r>
            <w:r>
              <w:rPr>
                <w:spacing w:val="-3"/>
                <w:sz w:val="20"/>
              </w:rPr>
              <w:t xml:space="preserve"> </w:t>
            </w:r>
            <w:r>
              <w:rPr>
                <w:sz w:val="20"/>
              </w:rPr>
              <w:t>NRNC</w:t>
            </w:r>
            <w:r>
              <w:rPr>
                <w:spacing w:val="-2"/>
                <w:sz w:val="20"/>
              </w:rPr>
              <w:t xml:space="preserve"> </w:t>
            </w:r>
            <w:r>
              <w:rPr>
                <w:sz w:val="20"/>
              </w:rPr>
              <w:t>-</w:t>
            </w:r>
            <w:r>
              <w:rPr>
                <w:spacing w:val="-2"/>
                <w:sz w:val="20"/>
              </w:rPr>
              <w:t xml:space="preserve"> </w:t>
            </w:r>
            <w:r>
              <w:rPr>
                <w:sz w:val="20"/>
              </w:rPr>
              <w:t>HVAC</w:t>
            </w:r>
            <w:r>
              <w:rPr>
                <w:spacing w:val="-2"/>
                <w:sz w:val="20"/>
              </w:rPr>
              <w:t xml:space="preserve"> </w:t>
            </w:r>
            <w:r>
              <w:rPr>
                <w:sz w:val="20"/>
              </w:rPr>
              <w:t>Controls</w:t>
            </w:r>
            <w:r>
              <w:rPr>
                <w:spacing w:val="-3"/>
                <w:sz w:val="20"/>
              </w:rPr>
              <w:t xml:space="preserve"> </w:t>
            </w:r>
            <w:r>
              <w:rPr>
                <w:spacing w:val="-10"/>
                <w:sz w:val="20"/>
              </w:rPr>
              <w:t>-</w:t>
            </w:r>
          </w:p>
          <w:p w:rsidR="00C31389" w:rsidRDefault="00561FBD" w14:paraId="0D0B0AE9" w14:textId="77777777">
            <w:pPr>
              <w:pStyle w:val="TableParagraph"/>
              <w:spacing w:before="0"/>
              <w:ind w:left="202"/>
              <w:rPr>
                <w:sz w:val="20"/>
              </w:rPr>
            </w:pPr>
            <w:r>
              <w:rPr>
                <w:sz w:val="20"/>
              </w:rPr>
              <w:t>Expand</w:t>
            </w:r>
            <w:r>
              <w:rPr>
                <w:spacing w:val="-7"/>
                <w:sz w:val="20"/>
              </w:rPr>
              <w:t xml:space="preserve"> </w:t>
            </w:r>
            <w:r>
              <w:rPr>
                <w:sz w:val="20"/>
              </w:rPr>
              <w:t>Economizer</w:t>
            </w:r>
            <w:r>
              <w:rPr>
                <w:spacing w:val="-6"/>
                <w:sz w:val="20"/>
              </w:rPr>
              <w:t xml:space="preserve"> </w:t>
            </w:r>
            <w:r>
              <w:rPr>
                <w:spacing w:val="-2"/>
                <w:sz w:val="20"/>
              </w:rPr>
              <w:t>Requirements</w:t>
            </w:r>
          </w:p>
        </w:tc>
        <w:tc>
          <w:tcPr>
            <w:tcW w:w="1175" w:type="dxa"/>
            <w:tcBorders>
              <w:top w:val="single" w:color="D9D9D9" w:sz="2" w:space="0"/>
              <w:bottom w:val="single" w:color="D9D9D9" w:sz="2" w:space="0"/>
            </w:tcBorders>
          </w:tcPr>
          <w:p w:rsidR="00C31389" w:rsidRDefault="00561FBD" w14:paraId="7BAE5552" w14:textId="77777777">
            <w:pPr>
              <w:pStyle w:val="TableParagraph"/>
              <w:spacing w:before="155"/>
              <w:ind w:left="361"/>
              <w:rPr>
                <w:sz w:val="20"/>
              </w:rPr>
            </w:pPr>
            <w:r>
              <w:rPr>
                <w:spacing w:val="-5"/>
                <w:sz w:val="20"/>
              </w:rPr>
              <w:t>85%</w:t>
            </w:r>
          </w:p>
        </w:tc>
        <w:tc>
          <w:tcPr>
            <w:tcW w:w="1451" w:type="dxa"/>
            <w:tcBorders>
              <w:top w:val="single" w:color="D9D9D9" w:sz="2" w:space="0"/>
              <w:bottom w:val="single" w:color="D9D9D9" w:sz="2" w:space="0"/>
            </w:tcBorders>
          </w:tcPr>
          <w:p w:rsidR="00C31389" w:rsidRDefault="00561FBD" w14:paraId="6A0C3255" w14:textId="77777777">
            <w:pPr>
              <w:pStyle w:val="TableParagraph"/>
              <w:spacing w:before="155"/>
              <w:ind w:left="271" w:right="156"/>
              <w:jc w:val="center"/>
              <w:rPr>
                <w:sz w:val="20"/>
              </w:rPr>
            </w:pPr>
            <w:r>
              <w:rPr>
                <w:spacing w:val="-2"/>
                <w:sz w:val="20"/>
              </w:rPr>
              <w:t>1/15/2015</w:t>
            </w:r>
          </w:p>
        </w:tc>
        <w:tc>
          <w:tcPr>
            <w:tcW w:w="1539" w:type="dxa"/>
            <w:tcBorders>
              <w:top w:val="single" w:color="D9D9D9" w:sz="2" w:space="0"/>
              <w:bottom w:val="single" w:color="D9D9D9" w:sz="2" w:space="0"/>
            </w:tcBorders>
          </w:tcPr>
          <w:p w:rsidR="00C31389" w:rsidRDefault="00561FBD" w14:paraId="70F3D758" w14:textId="77777777">
            <w:pPr>
              <w:pStyle w:val="TableParagraph"/>
              <w:spacing w:before="155"/>
              <w:ind w:left="164"/>
              <w:rPr>
                <w:sz w:val="20"/>
              </w:rPr>
            </w:pPr>
            <w:r>
              <w:rPr>
                <w:spacing w:val="-2"/>
                <w:sz w:val="20"/>
              </w:rPr>
              <w:t>On-the-books</w:t>
            </w:r>
          </w:p>
        </w:tc>
      </w:tr>
      <w:tr w:rsidR="00C31389" w14:paraId="114FD19C" w14:textId="77777777">
        <w:trPr>
          <w:trHeight w:val="539"/>
        </w:trPr>
        <w:tc>
          <w:tcPr>
            <w:tcW w:w="1367" w:type="dxa"/>
            <w:tcBorders>
              <w:top w:val="single" w:color="D9D9D9" w:sz="2" w:space="0"/>
              <w:bottom w:val="single" w:color="D9D9D9" w:sz="2" w:space="0"/>
            </w:tcBorders>
          </w:tcPr>
          <w:p w:rsidR="00C31389" w:rsidRDefault="00561FBD" w14:paraId="72D7A052"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552E5C6E" w14:textId="77777777">
            <w:pPr>
              <w:pStyle w:val="TableParagraph"/>
              <w:ind w:left="202"/>
              <w:rPr>
                <w:sz w:val="20"/>
              </w:rPr>
            </w:pPr>
            <w:r>
              <w:rPr>
                <w:sz w:val="20"/>
              </w:rPr>
              <w:t>2022</w:t>
            </w:r>
            <w:r>
              <w:rPr>
                <w:spacing w:val="-5"/>
                <w:sz w:val="20"/>
              </w:rPr>
              <w:t xml:space="preserve"> </w:t>
            </w:r>
            <w:r>
              <w:rPr>
                <w:sz w:val="20"/>
              </w:rPr>
              <w:t>T-24:</w:t>
            </w:r>
            <w:r>
              <w:rPr>
                <w:spacing w:val="-3"/>
                <w:sz w:val="20"/>
              </w:rPr>
              <w:t xml:space="preserve"> </w:t>
            </w:r>
            <w:r>
              <w:rPr>
                <w:sz w:val="20"/>
              </w:rPr>
              <w:t>NRNC</w:t>
            </w:r>
            <w:r>
              <w:rPr>
                <w:spacing w:val="-2"/>
                <w:sz w:val="20"/>
              </w:rPr>
              <w:t xml:space="preserve"> </w:t>
            </w:r>
            <w:r>
              <w:rPr>
                <w:sz w:val="20"/>
              </w:rPr>
              <w:t>-</w:t>
            </w:r>
            <w:r>
              <w:rPr>
                <w:spacing w:val="-2"/>
                <w:sz w:val="20"/>
              </w:rPr>
              <w:t xml:space="preserve"> </w:t>
            </w:r>
            <w:r>
              <w:rPr>
                <w:sz w:val="20"/>
              </w:rPr>
              <w:t>HVAC</w:t>
            </w:r>
            <w:r>
              <w:rPr>
                <w:spacing w:val="-2"/>
                <w:sz w:val="20"/>
              </w:rPr>
              <w:t xml:space="preserve"> </w:t>
            </w:r>
            <w:r>
              <w:rPr>
                <w:sz w:val="20"/>
              </w:rPr>
              <w:t>Controls</w:t>
            </w:r>
            <w:r>
              <w:rPr>
                <w:spacing w:val="-3"/>
                <w:sz w:val="20"/>
              </w:rPr>
              <w:t xml:space="preserve"> </w:t>
            </w:r>
            <w:r>
              <w:rPr>
                <w:spacing w:val="-10"/>
                <w:sz w:val="20"/>
              </w:rPr>
              <w:t>-</w:t>
            </w:r>
          </w:p>
          <w:p w:rsidR="00C31389" w:rsidRDefault="00561FBD" w14:paraId="6E9CBE80" w14:textId="77777777">
            <w:pPr>
              <w:pStyle w:val="TableParagraph"/>
              <w:spacing w:before="0"/>
              <w:ind w:left="202"/>
              <w:rPr>
                <w:sz w:val="20"/>
              </w:rPr>
            </w:pPr>
            <w:r>
              <w:rPr>
                <w:sz w:val="20"/>
              </w:rPr>
              <w:t>VAV</w:t>
            </w:r>
            <w:r>
              <w:rPr>
                <w:spacing w:val="-3"/>
                <w:sz w:val="20"/>
              </w:rPr>
              <w:t xml:space="preserve"> </w:t>
            </w:r>
            <w:r>
              <w:rPr>
                <w:sz w:val="20"/>
              </w:rPr>
              <w:t>Deadband</w:t>
            </w:r>
            <w:r>
              <w:rPr>
                <w:spacing w:val="-3"/>
                <w:sz w:val="20"/>
              </w:rPr>
              <w:t xml:space="preserve"> </w:t>
            </w:r>
            <w:r>
              <w:rPr>
                <w:spacing w:val="-2"/>
                <w:sz w:val="20"/>
              </w:rPr>
              <w:t>Airflow</w:t>
            </w:r>
          </w:p>
        </w:tc>
        <w:tc>
          <w:tcPr>
            <w:tcW w:w="1175" w:type="dxa"/>
            <w:tcBorders>
              <w:top w:val="single" w:color="D9D9D9" w:sz="2" w:space="0"/>
              <w:bottom w:val="single" w:color="D9D9D9" w:sz="2" w:space="0"/>
            </w:tcBorders>
          </w:tcPr>
          <w:p w:rsidR="00C31389" w:rsidRDefault="00561FBD" w14:paraId="0E452CD7" w14:textId="77777777">
            <w:pPr>
              <w:pStyle w:val="TableParagraph"/>
              <w:spacing w:before="155"/>
              <w:ind w:left="362"/>
              <w:rPr>
                <w:sz w:val="20"/>
              </w:rPr>
            </w:pPr>
            <w:r>
              <w:rPr>
                <w:spacing w:val="-5"/>
                <w:sz w:val="20"/>
              </w:rPr>
              <w:t>85%</w:t>
            </w:r>
          </w:p>
        </w:tc>
        <w:tc>
          <w:tcPr>
            <w:tcW w:w="1451" w:type="dxa"/>
            <w:tcBorders>
              <w:top w:val="single" w:color="D9D9D9" w:sz="2" w:space="0"/>
              <w:bottom w:val="single" w:color="D9D9D9" w:sz="2" w:space="0"/>
            </w:tcBorders>
          </w:tcPr>
          <w:p w:rsidR="00C31389" w:rsidRDefault="00561FBD" w14:paraId="0ED5DCCB" w14:textId="77777777">
            <w:pPr>
              <w:pStyle w:val="TableParagraph"/>
              <w:spacing w:before="155"/>
              <w:ind w:left="271" w:right="156"/>
              <w:jc w:val="center"/>
              <w:rPr>
                <w:sz w:val="20"/>
              </w:rPr>
            </w:pPr>
            <w:r>
              <w:rPr>
                <w:spacing w:val="-2"/>
                <w:sz w:val="20"/>
              </w:rPr>
              <w:t>1/1/2018</w:t>
            </w:r>
          </w:p>
        </w:tc>
        <w:tc>
          <w:tcPr>
            <w:tcW w:w="1539" w:type="dxa"/>
            <w:tcBorders>
              <w:top w:val="single" w:color="D9D9D9" w:sz="2" w:space="0"/>
              <w:bottom w:val="single" w:color="D9D9D9" w:sz="2" w:space="0"/>
            </w:tcBorders>
          </w:tcPr>
          <w:p w:rsidR="00C31389" w:rsidRDefault="00561FBD" w14:paraId="3D84236D" w14:textId="77777777">
            <w:pPr>
              <w:pStyle w:val="TableParagraph"/>
              <w:spacing w:before="155"/>
              <w:ind w:left="164"/>
              <w:rPr>
                <w:sz w:val="20"/>
              </w:rPr>
            </w:pPr>
            <w:r>
              <w:rPr>
                <w:spacing w:val="-2"/>
                <w:sz w:val="20"/>
              </w:rPr>
              <w:t>On-the-books</w:t>
            </w:r>
          </w:p>
        </w:tc>
      </w:tr>
      <w:tr w:rsidR="00C31389" w14:paraId="1782DE3F" w14:textId="77777777">
        <w:trPr>
          <w:trHeight w:val="539"/>
        </w:trPr>
        <w:tc>
          <w:tcPr>
            <w:tcW w:w="1367" w:type="dxa"/>
            <w:tcBorders>
              <w:top w:val="single" w:color="D9D9D9" w:sz="2" w:space="0"/>
              <w:bottom w:val="single" w:color="D9D9D9" w:sz="2" w:space="0"/>
            </w:tcBorders>
          </w:tcPr>
          <w:p w:rsidR="00C31389" w:rsidRDefault="00561FBD" w14:paraId="3E290C50"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47CA2D35" w14:textId="77777777">
            <w:pPr>
              <w:pStyle w:val="TableParagraph"/>
              <w:ind w:left="202"/>
              <w:rPr>
                <w:sz w:val="20"/>
              </w:rPr>
            </w:pPr>
            <w:r>
              <w:rPr>
                <w:sz w:val="20"/>
              </w:rPr>
              <w:t>2022</w:t>
            </w:r>
            <w:r>
              <w:rPr>
                <w:spacing w:val="-6"/>
                <w:sz w:val="20"/>
              </w:rPr>
              <w:t xml:space="preserve"> </w:t>
            </w:r>
            <w:r>
              <w:rPr>
                <w:sz w:val="20"/>
              </w:rPr>
              <w:t>T-24:</w:t>
            </w:r>
            <w:r>
              <w:rPr>
                <w:spacing w:val="-6"/>
                <w:sz w:val="20"/>
              </w:rPr>
              <w:t xml:space="preserve"> </w:t>
            </w:r>
            <w:r>
              <w:rPr>
                <w:sz w:val="20"/>
              </w:rPr>
              <w:t>NRNC</w:t>
            </w:r>
            <w:r>
              <w:rPr>
                <w:spacing w:val="-5"/>
                <w:sz w:val="20"/>
              </w:rPr>
              <w:t xml:space="preserve"> </w:t>
            </w:r>
            <w:r>
              <w:rPr>
                <w:sz w:val="20"/>
              </w:rPr>
              <w:t>-</w:t>
            </w:r>
            <w:r>
              <w:rPr>
                <w:spacing w:val="-6"/>
                <w:sz w:val="20"/>
              </w:rPr>
              <w:t xml:space="preserve"> </w:t>
            </w:r>
            <w:r>
              <w:rPr>
                <w:sz w:val="20"/>
              </w:rPr>
              <w:t>Indoor</w:t>
            </w:r>
            <w:r>
              <w:rPr>
                <w:spacing w:val="-7"/>
                <w:sz w:val="20"/>
              </w:rPr>
              <w:t xml:space="preserve"> </w:t>
            </w:r>
            <w:r>
              <w:rPr>
                <w:sz w:val="20"/>
              </w:rPr>
              <w:t>Lighting</w:t>
            </w:r>
            <w:r>
              <w:rPr>
                <w:spacing w:val="40"/>
                <w:sz w:val="20"/>
              </w:rPr>
              <w:t xml:space="preserve"> </w:t>
            </w:r>
            <w:r>
              <w:rPr>
                <w:sz w:val="20"/>
              </w:rPr>
              <w:t>- Lighting Power Densities</w:t>
            </w:r>
          </w:p>
        </w:tc>
        <w:tc>
          <w:tcPr>
            <w:tcW w:w="1175" w:type="dxa"/>
            <w:tcBorders>
              <w:top w:val="single" w:color="D9D9D9" w:sz="2" w:space="0"/>
              <w:bottom w:val="single" w:color="D9D9D9" w:sz="2" w:space="0"/>
            </w:tcBorders>
          </w:tcPr>
          <w:p w:rsidR="00C31389" w:rsidRDefault="00561FBD" w14:paraId="3235236B" w14:textId="77777777">
            <w:pPr>
              <w:pStyle w:val="TableParagraph"/>
              <w:spacing w:before="155"/>
              <w:ind w:left="362"/>
              <w:rPr>
                <w:sz w:val="20"/>
              </w:rPr>
            </w:pPr>
            <w:r>
              <w:rPr>
                <w:spacing w:val="-5"/>
                <w:sz w:val="20"/>
              </w:rPr>
              <w:t>85%</w:t>
            </w:r>
          </w:p>
        </w:tc>
        <w:tc>
          <w:tcPr>
            <w:tcW w:w="1451" w:type="dxa"/>
            <w:tcBorders>
              <w:top w:val="single" w:color="D9D9D9" w:sz="2" w:space="0"/>
              <w:bottom w:val="single" w:color="D9D9D9" w:sz="2" w:space="0"/>
            </w:tcBorders>
          </w:tcPr>
          <w:p w:rsidR="00C31389" w:rsidRDefault="00561FBD" w14:paraId="3B9C9F8E" w14:textId="77777777">
            <w:pPr>
              <w:pStyle w:val="TableParagraph"/>
              <w:spacing w:before="155"/>
              <w:ind w:left="271" w:right="156"/>
              <w:jc w:val="center"/>
              <w:rPr>
                <w:sz w:val="20"/>
              </w:rPr>
            </w:pPr>
            <w:r>
              <w:rPr>
                <w:spacing w:val="-2"/>
                <w:sz w:val="20"/>
              </w:rPr>
              <w:t>3/7/2015</w:t>
            </w:r>
          </w:p>
        </w:tc>
        <w:tc>
          <w:tcPr>
            <w:tcW w:w="1539" w:type="dxa"/>
            <w:tcBorders>
              <w:top w:val="single" w:color="D9D9D9" w:sz="2" w:space="0"/>
              <w:bottom w:val="single" w:color="D9D9D9" w:sz="2" w:space="0"/>
            </w:tcBorders>
          </w:tcPr>
          <w:p w:rsidR="00C31389" w:rsidRDefault="00561FBD" w14:paraId="02A1E2B5" w14:textId="77777777">
            <w:pPr>
              <w:pStyle w:val="TableParagraph"/>
              <w:spacing w:before="155"/>
              <w:ind w:left="164"/>
              <w:rPr>
                <w:sz w:val="20"/>
              </w:rPr>
            </w:pPr>
            <w:r>
              <w:rPr>
                <w:spacing w:val="-2"/>
                <w:sz w:val="20"/>
              </w:rPr>
              <w:t>On-the-books</w:t>
            </w:r>
          </w:p>
        </w:tc>
      </w:tr>
      <w:tr w:rsidR="00C31389" w14:paraId="62EF43C4" w14:textId="77777777">
        <w:trPr>
          <w:trHeight w:val="770"/>
        </w:trPr>
        <w:tc>
          <w:tcPr>
            <w:tcW w:w="1367" w:type="dxa"/>
            <w:tcBorders>
              <w:top w:val="single" w:color="D9D9D9" w:sz="2" w:space="0"/>
              <w:bottom w:val="single" w:color="D9D9D9" w:sz="2" w:space="0"/>
            </w:tcBorders>
          </w:tcPr>
          <w:p w:rsidR="00C31389" w:rsidRDefault="00C31389" w14:paraId="1294DBFA" w14:textId="77777777">
            <w:pPr>
              <w:pStyle w:val="TableParagraph"/>
              <w:spacing w:before="6"/>
              <w:rPr>
                <w:sz w:val="23"/>
              </w:rPr>
            </w:pPr>
          </w:p>
          <w:p w:rsidR="00C31389" w:rsidRDefault="00561FBD" w14:paraId="73C7BC11"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5086C57F" w14:textId="77777777">
            <w:pPr>
              <w:pStyle w:val="TableParagraph"/>
              <w:ind w:left="202" w:right="360"/>
              <w:rPr>
                <w:sz w:val="20"/>
              </w:rPr>
            </w:pPr>
            <w:r>
              <w:rPr>
                <w:sz w:val="20"/>
              </w:rPr>
              <w:t>2022</w:t>
            </w:r>
            <w:r>
              <w:rPr>
                <w:spacing w:val="-6"/>
                <w:sz w:val="20"/>
              </w:rPr>
              <w:t xml:space="preserve"> </w:t>
            </w:r>
            <w:r>
              <w:rPr>
                <w:sz w:val="20"/>
              </w:rPr>
              <w:t>T-24:</w:t>
            </w:r>
            <w:r>
              <w:rPr>
                <w:spacing w:val="-6"/>
                <w:sz w:val="20"/>
              </w:rPr>
              <w:t xml:space="preserve"> </w:t>
            </w:r>
            <w:r>
              <w:rPr>
                <w:sz w:val="20"/>
              </w:rPr>
              <w:t>NRNC</w:t>
            </w:r>
            <w:r>
              <w:rPr>
                <w:spacing w:val="-5"/>
                <w:sz w:val="20"/>
              </w:rPr>
              <w:t xml:space="preserve"> </w:t>
            </w:r>
            <w:r>
              <w:rPr>
                <w:sz w:val="20"/>
              </w:rPr>
              <w:t>-</w:t>
            </w:r>
            <w:r>
              <w:rPr>
                <w:spacing w:val="-6"/>
                <w:sz w:val="20"/>
              </w:rPr>
              <w:t xml:space="preserve"> </w:t>
            </w:r>
            <w:r>
              <w:rPr>
                <w:sz w:val="20"/>
              </w:rPr>
              <w:t>Indoor</w:t>
            </w:r>
            <w:r>
              <w:rPr>
                <w:spacing w:val="-7"/>
                <w:sz w:val="20"/>
              </w:rPr>
              <w:t xml:space="preserve"> </w:t>
            </w:r>
            <w:r>
              <w:rPr>
                <w:sz w:val="20"/>
              </w:rPr>
              <w:t>Lighting</w:t>
            </w:r>
            <w:r>
              <w:rPr>
                <w:spacing w:val="40"/>
                <w:sz w:val="20"/>
              </w:rPr>
              <w:t xml:space="preserve"> </w:t>
            </w:r>
            <w:r>
              <w:rPr>
                <w:sz w:val="20"/>
              </w:rPr>
              <w:t>- Multi-zone Occupancy Sensing in Large Offices</w:t>
            </w:r>
          </w:p>
        </w:tc>
        <w:tc>
          <w:tcPr>
            <w:tcW w:w="1175" w:type="dxa"/>
            <w:tcBorders>
              <w:top w:val="single" w:color="D9D9D9" w:sz="2" w:space="0"/>
              <w:bottom w:val="single" w:color="D9D9D9" w:sz="2" w:space="0"/>
            </w:tcBorders>
          </w:tcPr>
          <w:p w:rsidR="00C31389" w:rsidRDefault="00C31389" w14:paraId="5D537393" w14:textId="77777777">
            <w:pPr>
              <w:pStyle w:val="TableParagraph"/>
              <w:spacing w:before="6"/>
              <w:rPr>
                <w:sz w:val="23"/>
              </w:rPr>
            </w:pPr>
          </w:p>
          <w:p w:rsidR="00C31389" w:rsidRDefault="00561FBD" w14:paraId="6585B175" w14:textId="77777777">
            <w:pPr>
              <w:pStyle w:val="TableParagraph"/>
              <w:spacing w:before="0"/>
              <w:ind w:left="362"/>
              <w:rPr>
                <w:sz w:val="20"/>
              </w:rPr>
            </w:pPr>
            <w:r>
              <w:rPr>
                <w:spacing w:val="-5"/>
                <w:sz w:val="20"/>
              </w:rPr>
              <w:t>85%</w:t>
            </w:r>
          </w:p>
        </w:tc>
        <w:tc>
          <w:tcPr>
            <w:tcW w:w="1451" w:type="dxa"/>
            <w:tcBorders>
              <w:top w:val="single" w:color="D9D9D9" w:sz="2" w:space="0"/>
              <w:bottom w:val="single" w:color="D9D9D9" w:sz="2" w:space="0"/>
            </w:tcBorders>
          </w:tcPr>
          <w:p w:rsidR="00C31389" w:rsidRDefault="00C31389" w14:paraId="54F5B44A" w14:textId="77777777">
            <w:pPr>
              <w:pStyle w:val="TableParagraph"/>
              <w:spacing w:before="6"/>
              <w:rPr>
                <w:sz w:val="23"/>
              </w:rPr>
            </w:pPr>
          </w:p>
          <w:p w:rsidR="00C31389" w:rsidRDefault="00561FBD" w14:paraId="71124C1A" w14:textId="77777777">
            <w:pPr>
              <w:pStyle w:val="TableParagraph"/>
              <w:spacing w:before="0"/>
              <w:ind w:left="271" w:right="156"/>
              <w:jc w:val="center"/>
              <w:rPr>
                <w:sz w:val="20"/>
              </w:rPr>
            </w:pPr>
            <w:r>
              <w:rPr>
                <w:spacing w:val="-2"/>
                <w:sz w:val="20"/>
              </w:rPr>
              <w:t>3/7/2015</w:t>
            </w:r>
          </w:p>
        </w:tc>
        <w:tc>
          <w:tcPr>
            <w:tcW w:w="1539" w:type="dxa"/>
            <w:tcBorders>
              <w:top w:val="single" w:color="D9D9D9" w:sz="2" w:space="0"/>
              <w:bottom w:val="single" w:color="D9D9D9" w:sz="2" w:space="0"/>
            </w:tcBorders>
          </w:tcPr>
          <w:p w:rsidR="00C31389" w:rsidRDefault="00C31389" w14:paraId="65FE7DC0" w14:textId="77777777">
            <w:pPr>
              <w:pStyle w:val="TableParagraph"/>
              <w:spacing w:before="6"/>
              <w:rPr>
                <w:sz w:val="23"/>
              </w:rPr>
            </w:pPr>
          </w:p>
          <w:p w:rsidR="00C31389" w:rsidRDefault="00561FBD" w14:paraId="6F2B15C6" w14:textId="77777777">
            <w:pPr>
              <w:pStyle w:val="TableParagraph"/>
              <w:spacing w:before="0"/>
              <w:ind w:left="164"/>
              <w:rPr>
                <w:sz w:val="20"/>
              </w:rPr>
            </w:pPr>
            <w:r>
              <w:rPr>
                <w:spacing w:val="-2"/>
                <w:sz w:val="20"/>
              </w:rPr>
              <w:t>On-the-books</w:t>
            </w:r>
          </w:p>
        </w:tc>
      </w:tr>
      <w:tr w:rsidR="00C31389" w14:paraId="4B14CB5B" w14:textId="77777777">
        <w:trPr>
          <w:trHeight w:val="770"/>
        </w:trPr>
        <w:tc>
          <w:tcPr>
            <w:tcW w:w="1367" w:type="dxa"/>
            <w:tcBorders>
              <w:top w:val="single" w:color="D9D9D9" w:sz="2" w:space="0"/>
              <w:bottom w:val="single" w:color="D9D9D9" w:sz="2" w:space="0"/>
            </w:tcBorders>
          </w:tcPr>
          <w:p w:rsidR="00C31389" w:rsidRDefault="00C31389" w14:paraId="10079358" w14:textId="77777777">
            <w:pPr>
              <w:pStyle w:val="TableParagraph"/>
              <w:spacing w:before="6"/>
              <w:rPr>
                <w:sz w:val="23"/>
              </w:rPr>
            </w:pPr>
          </w:p>
          <w:p w:rsidR="00C31389" w:rsidRDefault="00561FBD" w14:paraId="0DAC41FB"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246BF7B4" w14:textId="77777777">
            <w:pPr>
              <w:pStyle w:val="TableParagraph"/>
              <w:ind w:left="202"/>
              <w:rPr>
                <w:sz w:val="20"/>
              </w:rPr>
            </w:pPr>
            <w:r>
              <w:rPr>
                <w:sz w:val="20"/>
              </w:rPr>
              <w:t>2022</w:t>
            </w:r>
            <w:r>
              <w:rPr>
                <w:spacing w:val="-3"/>
                <w:sz w:val="20"/>
              </w:rPr>
              <w:t xml:space="preserve"> </w:t>
            </w:r>
            <w:r>
              <w:rPr>
                <w:sz w:val="20"/>
              </w:rPr>
              <w:t>T-24:</w:t>
            </w:r>
            <w:r>
              <w:rPr>
                <w:spacing w:val="-3"/>
                <w:sz w:val="20"/>
              </w:rPr>
              <w:t xml:space="preserve"> </w:t>
            </w:r>
            <w:r>
              <w:rPr>
                <w:sz w:val="20"/>
              </w:rPr>
              <w:t>NRNC</w:t>
            </w:r>
            <w:r>
              <w:rPr>
                <w:spacing w:val="-2"/>
                <w:sz w:val="20"/>
              </w:rPr>
              <w:t xml:space="preserve"> </w:t>
            </w:r>
            <w:r>
              <w:rPr>
                <w:sz w:val="20"/>
              </w:rPr>
              <w:t>-</w:t>
            </w:r>
            <w:r>
              <w:rPr>
                <w:spacing w:val="-3"/>
                <w:sz w:val="20"/>
              </w:rPr>
              <w:t xml:space="preserve"> </w:t>
            </w:r>
            <w:r>
              <w:rPr>
                <w:sz w:val="20"/>
              </w:rPr>
              <w:t>Outdoor</w:t>
            </w:r>
            <w:r>
              <w:rPr>
                <w:spacing w:val="-1"/>
                <w:sz w:val="20"/>
              </w:rPr>
              <w:t xml:space="preserve"> </w:t>
            </w:r>
            <w:r>
              <w:rPr>
                <w:spacing w:val="-2"/>
                <w:sz w:val="20"/>
              </w:rPr>
              <w:t>Lighting</w:t>
            </w:r>
          </w:p>
          <w:p w:rsidR="00C31389" w:rsidRDefault="00561FBD" w14:paraId="5D0A6CBC" w14:textId="77777777">
            <w:pPr>
              <w:pStyle w:val="TableParagraph"/>
              <w:spacing w:before="0"/>
              <w:ind w:left="202"/>
              <w:rPr>
                <w:sz w:val="20"/>
              </w:rPr>
            </w:pPr>
            <w:r>
              <w:rPr>
                <w:sz w:val="20"/>
              </w:rPr>
              <w:t>- Nonresidential Lighting Power Allowances</w:t>
            </w:r>
            <w:r>
              <w:rPr>
                <w:spacing w:val="-12"/>
                <w:sz w:val="20"/>
              </w:rPr>
              <w:t xml:space="preserve"> </w:t>
            </w:r>
            <w:r>
              <w:rPr>
                <w:sz w:val="20"/>
              </w:rPr>
              <w:t>for</w:t>
            </w:r>
            <w:r>
              <w:rPr>
                <w:spacing w:val="-12"/>
                <w:sz w:val="20"/>
              </w:rPr>
              <w:t xml:space="preserve"> </w:t>
            </w:r>
            <w:r>
              <w:rPr>
                <w:sz w:val="20"/>
              </w:rPr>
              <w:t>General</w:t>
            </w:r>
            <w:r>
              <w:rPr>
                <w:spacing w:val="-13"/>
                <w:sz w:val="20"/>
              </w:rPr>
              <w:t xml:space="preserve"> </w:t>
            </w:r>
            <w:r>
              <w:rPr>
                <w:sz w:val="20"/>
              </w:rPr>
              <w:t>Hardscapes</w:t>
            </w:r>
          </w:p>
        </w:tc>
        <w:tc>
          <w:tcPr>
            <w:tcW w:w="1175" w:type="dxa"/>
            <w:tcBorders>
              <w:top w:val="single" w:color="D9D9D9" w:sz="2" w:space="0"/>
              <w:bottom w:val="single" w:color="D9D9D9" w:sz="2" w:space="0"/>
            </w:tcBorders>
          </w:tcPr>
          <w:p w:rsidR="00C31389" w:rsidRDefault="00C31389" w14:paraId="73FA58E9" w14:textId="77777777">
            <w:pPr>
              <w:pStyle w:val="TableParagraph"/>
              <w:spacing w:before="6"/>
              <w:rPr>
                <w:sz w:val="23"/>
              </w:rPr>
            </w:pPr>
          </w:p>
          <w:p w:rsidR="00C31389" w:rsidRDefault="00561FBD" w14:paraId="6631E312" w14:textId="77777777">
            <w:pPr>
              <w:pStyle w:val="TableParagraph"/>
              <w:spacing w:before="0"/>
              <w:ind w:left="361"/>
              <w:rPr>
                <w:sz w:val="20"/>
              </w:rPr>
            </w:pPr>
            <w:r>
              <w:rPr>
                <w:spacing w:val="-5"/>
                <w:sz w:val="20"/>
              </w:rPr>
              <w:t>85%</w:t>
            </w:r>
          </w:p>
        </w:tc>
        <w:tc>
          <w:tcPr>
            <w:tcW w:w="1451" w:type="dxa"/>
            <w:tcBorders>
              <w:top w:val="single" w:color="D9D9D9" w:sz="2" w:space="0"/>
              <w:bottom w:val="single" w:color="D9D9D9" w:sz="2" w:space="0"/>
            </w:tcBorders>
          </w:tcPr>
          <w:p w:rsidR="00C31389" w:rsidRDefault="00C31389" w14:paraId="22E11045" w14:textId="77777777">
            <w:pPr>
              <w:pStyle w:val="TableParagraph"/>
              <w:spacing w:before="6"/>
              <w:rPr>
                <w:sz w:val="23"/>
              </w:rPr>
            </w:pPr>
          </w:p>
          <w:p w:rsidR="00C31389" w:rsidRDefault="00561FBD" w14:paraId="2F39DBAB" w14:textId="77777777">
            <w:pPr>
              <w:pStyle w:val="TableParagraph"/>
              <w:spacing w:before="0"/>
              <w:ind w:left="271" w:right="157"/>
              <w:jc w:val="center"/>
              <w:rPr>
                <w:sz w:val="20"/>
              </w:rPr>
            </w:pPr>
            <w:r>
              <w:rPr>
                <w:spacing w:val="-2"/>
                <w:sz w:val="20"/>
              </w:rPr>
              <w:t>4/16/2013</w:t>
            </w:r>
          </w:p>
        </w:tc>
        <w:tc>
          <w:tcPr>
            <w:tcW w:w="1539" w:type="dxa"/>
            <w:tcBorders>
              <w:top w:val="single" w:color="D9D9D9" w:sz="2" w:space="0"/>
              <w:bottom w:val="single" w:color="D9D9D9" w:sz="2" w:space="0"/>
            </w:tcBorders>
          </w:tcPr>
          <w:p w:rsidR="00C31389" w:rsidRDefault="00C31389" w14:paraId="59ACF63A" w14:textId="77777777">
            <w:pPr>
              <w:pStyle w:val="TableParagraph"/>
              <w:spacing w:before="6"/>
              <w:rPr>
                <w:sz w:val="23"/>
              </w:rPr>
            </w:pPr>
          </w:p>
          <w:p w:rsidR="00C31389" w:rsidRDefault="00561FBD" w14:paraId="5B6EF75F" w14:textId="77777777">
            <w:pPr>
              <w:pStyle w:val="TableParagraph"/>
              <w:spacing w:before="0"/>
              <w:ind w:left="164"/>
              <w:rPr>
                <w:sz w:val="20"/>
              </w:rPr>
            </w:pPr>
            <w:r>
              <w:rPr>
                <w:spacing w:val="-2"/>
                <w:sz w:val="20"/>
              </w:rPr>
              <w:t>On-the-books</w:t>
            </w:r>
          </w:p>
        </w:tc>
      </w:tr>
      <w:tr w:rsidR="00C31389" w14:paraId="0A86E60F" w14:textId="77777777">
        <w:trPr>
          <w:trHeight w:val="770"/>
        </w:trPr>
        <w:tc>
          <w:tcPr>
            <w:tcW w:w="1367" w:type="dxa"/>
            <w:tcBorders>
              <w:top w:val="single" w:color="D9D9D9" w:sz="2" w:space="0"/>
              <w:bottom w:val="single" w:color="D9D9D9" w:sz="2" w:space="0"/>
            </w:tcBorders>
          </w:tcPr>
          <w:p w:rsidR="00C31389" w:rsidRDefault="00C31389" w14:paraId="77CA45B6" w14:textId="77777777">
            <w:pPr>
              <w:pStyle w:val="TableParagraph"/>
              <w:spacing w:before="6"/>
              <w:rPr>
                <w:sz w:val="23"/>
              </w:rPr>
            </w:pPr>
          </w:p>
          <w:p w:rsidR="00C31389" w:rsidRDefault="00561FBD" w14:paraId="25E14749"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4E789236" w14:textId="77777777">
            <w:pPr>
              <w:pStyle w:val="TableParagraph"/>
              <w:ind w:left="202"/>
              <w:rPr>
                <w:sz w:val="20"/>
              </w:rPr>
            </w:pPr>
            <w:r>
              <w:rPr>
                <w:sz w:val="20"/>
              </w:rPr>
              <w:t>2022</w:t>
            </w:r>
            <w:r>
              <w:rPr>
                <w:spacing w:val="-3"/>
                <w:sz w:val="20"/>
              </w:rPr>
              <w:t xml:space="preserve"> </w:t>
            </w:r>
            <w:r>
              <w:rPr>
                <w:sz w:val="20"/>
              </w:rPr>
              <w:t>T-24:</w:t>
            </w:r>
            <w:r>
              <w:rPr>
                <w:spacing w:val="-3"/>
                <w:sz w:val="20"/>
              </w:rPr>
              <w:t xml:space="preserve"> </w:t>
            </w:r>
            <w:r>
              <w:rPr>
                <w:sz w:val="20"/>
              </w:rPr>
              <w:t>NRNC</w:t>
            </w:r>
            <w:r>
              <w:rPr>
                <w:spacing w:val="-2"/>
                <w:sz w:val="20"/>
              </w:rPr>
              <w:t xml:space="preserve"> </w:t>
            </w:r>
            <w:r>
              <w:rPr>
                <w:sz w:val="20"/>
              </w:rPr>
              <w:t>-</w:t>
            </w:r>
            <w:r>
              <w:rPr>
                <w:spacing w:val="-3"/>
                <w:sz w:val="20"/>
              </w:rPr>
              <w:t xml:space="preserve"> </w:t>
            </w:r>
            <w:r>
              <w:rPr>
                <w:sz w:val="20"/>
              </w:rPr>
              <w:t>Outdoor</w:t>
            </w:r>
            <w:r>
              <w:rPr>
                <w:spacing w:val="-1"/>
                <w:sz w:val="20"/>
              </w:rPr>
              <w:t xml:space="preserve"> </w:t>
            </w:r>
            <w:r>
              <w:rPr>
                <w:spacing w:val="-2"/>
                <w:sz w:val="20"/>
              </w:rPr>
              <w:t>Lighting</w:t>
            </w:r>
          </w:p>
          <w:p w:rsidR="00C31389" w:rsidRDefault="00561FBD" w14:paraId="028E0188" w14:textId="77777777">
            <w:pPr>
              <w:pStyle w:val="TableParagraph"/>
              <w:spacing w:before="0"/>
              <w:ind w:left="202"/>
              <w:rPr>
                <w:sz w:val="20"/>
              </w:rPr>
            </w:pPr>
            <w:r>
              <w:rPr>
                <w:sz w:val="20"/>
              </w:rPr>
              <w:t>-</w:t>
            </w:r>
            <w:r>
              <w:rPr>
                <w:spacing w:val="-13"/>
                <w:sz w:val="20"/>
              </w:rPr>
              <w:t xml:space="preserve"> </w:t>
            </w:r>
            <w:r>
              <w:rPr>
                <w:sz w:val="20"/>
              </w:rPr>
              <w:t>Nonresidential</w:t>
            </w:r>
            <w:r>
              <w:rPr>
                <w:spacing w:val="-13"/>
                <w:sz w:val="20"/>
              </w:rPr>
              <w:t xml:space="preserve"> </w:t>
            </w:r>
            <w:r>
              <w:rPr>
                <w:sz w:val="20"/>
              </w:rPr>
              <w:t>Lighting</w:t>
            </w:r>
            <w:r>
              <w:rPr>
                <w:spacing w:val="-13"/>
                <w:sz w:val="20"/>
              </w:rPr>
              <w:t xml:space="preserve"> </w:t>
            </w:r>
            <w:r>
              <w:rPr>
                <w:sz w:val="20"/>
              </w:rPr>
              <w:t xml:space="preserve">Zone </w:t>
            </w:r>
            <w:r>
              <w:rPr>
                <w:spacing w:val="-2"/>
                <w:sz w:val="20"/>
              </w:rPr>
              <w:t>Reclassification</w:t>
            </w:r>
          </w:p>
        </w:tc>
        <w:tc>
          <w:tcPr>
            <w:tcW w:w="1175" w:type="dxa"/>
            <w:tcBorders>
              <w:top w:val="single" w:color="D9D9D9" w:sz="2" w:space="0"/>
              <w:bottom w:val="single" w:color="D9D9D9" w:sz="2" w:space="0"/>
            </w:tcBorders>
          </w:tcPr>
          <w:p w:rsidR="00C31389" w:rsidRDefault="00C31389" w14:paraId="1CDD5EB4" w14:textId="77777777">
            <w:pPr>
              <w:pStyle w:val="TableParagraph"/>
              <w:spacing w:before="6"/>
              <w:rPr>
                <w:sz w:val="23"/>
              </w:rPr>
            </w:pPr>
          </w:p>
          <w:p w:rsidR="00C31389" w:rsidRDefault="00561FBD" w14:paraId="7386DDE1" w14:textId="77777777">
            <w:pPr>
              <w:pStyle w:val="TableParagraph"/>
              <w:spacing w:before="0"/>
              <w:ind w:left="362"/>
              <w:rPr>
                <w:sz w:val="20"/>
              </w:rPr>
            </w:pPr>
            <w:r>
              <w:rPr>
                <w:spacing w:val="-5"/>
                <w:sz w:val="20"/>
              </w:rPr>
              <w:t>85%</w:t>
            </w:r>
          </w:p>
        </w:tc>
        <w:tc>
          <w:tcPr>
            <w:tcW w:w="1451" w:type="dxa"/>
            <w:tcBorders>
              <w:top w:val="single" w:color="D9D9D9" w:sz="2" w:space="0"/>
              <w:bottom w:val="single" w:color="D9D9D9" w:sz="2" w:space="0"/>
            </w:tcBorders>
          </w:tcPr>
          <w:p w:rsidR="00C31389" w:rsidRDefault="00C31389" w14:paraId="17FB0451" w14:textId="77777777">
            <w:pPr>
              <w:pStyle w:val="TableParagraph"/>
              <w:spacing w:before="6"/>
              <w:rPr>
                <w:sz w:val="23"/>
              </w:rPr>
            </w:pPr>
          </w:p>
          <w:p w:rsidR="00C31389" w:rsidRDefault="00561FBD" w14:paraId="13E14968" w14:textId="77777777">
            <w:pPr>
              <w:pStyle w:val="TableParagraph"/>
              <w:spacing w:before="0"/>
              <w:ind w:left="271" w:right="156"/>
              <w:jc w:val="center"/>
              <w:rPr>
                <w:sz w:val="20"/>
              </w:rPr>
            </w:pPr>
            <w:r>
              <w:rPr>
                <w:spacing w:val="-2"/>
                <w:sz w:val="20"/>
              </w:rPr>
              <w:t>5/30/2013</w:t>
            </w:r>
          </w:p>
        </w:tc>
        <w:tc>
          <w:tcPr>
            <w:tcW w:w="1539" w:type="dxa"/>
            <w:tcBorders>
              <w:top w:val="single" w:color="D9D9D9" w:sz="2" w:space="0"/>
              <w:bottom w:val="single" w:color="D9D9D9" w:sz="2" w:space="0"/>
            </w:tcBorders>
          </w:tcPr>
          <w:p w:rsidR="00C31389" w:rsidRDefault="00C31389" w14:paraId="44C9D42D" w14:textId="77777777">
            <w:pPr>
              <w:pStyle w:val="TableParagraph"/>
              <w:spacing w:before="6"/>
              <w:rPr>
                <w:sz w:val="23"/>
              </w:rPr>
            </w:pPr>
          </w:p>
          <w:p w:rsidR="00C31389" w:rsidRDefault="00561FBD" w14:paraId="0DDDA16F" w14:textId="77777777">
            <w:pPr>
              <w:pStyle w:val="TableParagraph"/>
              <w:spacing w:before="0"/>
              <w:ind w:left="164"/>
              <w:rPr>
                <w:sz w:val="20"/>
              </w:rPr>
            </w:pPr>
            <w:r>
              <w:rPr>
                <w:spacing w:val="-2"/>
                <w:sz w:val="20"/>
              </w:rPr>
              <w:t>On-the-books</w:t>
            </w:r>
          </w:p>
        </w:tc>
      </w:tr>
      <w:tr w:rsidR="00C31389" w14:paraId="21B213C4" w14:textId="77777777">
        <w:trPr>
          <w:trHeight w:val="768"/>
        </w:trPr>
        <w:tc>
          <w:tcPr>
            <w:tcW w:w="1367" w:type="dxa"/>
            <w:tcBorders>
              <w:top w:val="single" w:color="D9D9D9" w:sz="2" w:space="0"/>
              <w:bottom w:val="single" w:color="D9D9D9" w:sz="2" w:space="0"/>
            </w:tcBorders>
          </w:tcPr>
          <w:p w:rsidR="00C31389" w:rsidRDefault="00C31389" w14:paraId="743492E8" w14:textId="77777777">
            <w:pPr>
              <w:pStyle w:val="TableParagraph"/>
              <w:spacing w:before="5"/>
              <w:rPr>
                <w:sz w:val="23"/>
              </w:rPr>
            </w:pPr>
          </w:p>
          <w:p w:rsidR="00C31389" w:rsidRDefault="00561FBD" w14:paraId="1FF4B6BC"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0A1305DE" w14:textId="77777777">
            <w:pPr>
              <w:pStyle w:val="TableParagraph"/>
              <w:spacing w:line="230" w:lineRule="exact"/>
              <w:ind w:left="202"/>
              <w:rPr>
                <w:sz w:val="20"/>
              </w:rPr>
            </w:pPr>
            <w:r>
              <w:rPr>
                <w:sz w:val="20"/>
              </w:rPr>
              <w:t>2022</w:t>
            </w:r>
            <w:r>
              <w:rPr>
                <w:spacing w:val="-2"/>
                <w:sz w:val="20"/>
              </w:rPr>
              <w:t xml:space="preserve"> </w:t>
            </w:r>
            <w:r>
              <w:rPr>
                <w:sz w:val="20"/>
              </w:rPr>
              <w:t>T-24:</w:t>
            </w:r>
            <w:r>
              <w:rPr>
                <w:spacing w:val="-2"/>
                <w:sz w:val="20"/>
              </w:rPr>
              <w:t xml:space="preserve"> </w:t>
            </w:r>
            <w:r>
              <w:rPr>
                <w:sz w:val="20"/>
              </w:rPr>
              <w:t>NRNC</w:t>
            </w:r>
            <w:r>
              <w:rPr>
                <w:spacing w:val="-1"/>
                <w:sz w:val="20"/>
              </w:rPr>
              <w:t xml:space="preserve"> </w:t>
            </w:r>
            <w:r>
              <w:rPr>
                <w:sz w:val="20"/>
              </w:rPr>
              <w:t>-</w:t>
            </w:r>
            <w:r>
              <w:rPr>
                <w:spacing w:val="-2"/>
                <w:sz w:val="20"/>
              </w:rPr>
              <w:t xml:space="preserve"> Reduce</w:t>
            </w:r>
          </w:p>
          <w:p w:rsidR="00C31389" w:rsidRDefault="00561FBD" w14:paraId="16D4D8A3" w14:textId="77777777">
            <w:pPr>
              <w:pStyle w:val="TableParagraph"/>
              <w:spacing w:before="0"/>
              <w:ind w:left="202" w:right="166" w:hanging="1"/>
              <w:rPr>
                <w:sz w:val="20"/>
              </w:rPr>
            </w:pPr>
            <w:r>
              <w:rPr>
                <w:sz w:val="20"/>
              </w:rPr>
              <w:t>Infiltration</w:t>
            </w:r>
            <w:r>
              <w:rPr>
                <w:spacing w:val="-7"/>
                <w:sz w:val="20"/>
              </w:rPr>
              <w:t xml:space="preserve"> </w:t>
            </w:r>
            <w:r>
              <w:rPr>
                <w:sz w:val="20"/>
              </w:rPr>
              <w:t>-</w:t>
            </w:r>
            <w:r>
              <w:rPr>
                <w:spacing w:val="-8"/>
                <w:sz w:val="20"/>
              </w:rPr>
              <w:t xml:space="preserve"> </w:t>
            </w:r>
            <w:r>
              <w:rPr>
                <w:sz w:val="20"/>
              </w:rPr>
              <w:t>Require</w:t>
            </w:r>
            <w:r>
              <w:rPr>
                <w:spacing w:val="-7"/>
                <w:sz w:val="20"/>
              </w:rPr>
              <w:t xml:space="preserve"> </w:t>
            </w:r>
            <w:r>
              <w:rPr>
                <w:sz w:val="20"/>
              </w:rPr>
              <w:t>air</w:t>
            </w:r>
            <w:r>
              <w:rPr>
                <w:spacing w:val="-7"/>
                <w:sz w:val="20"/>
              </w:rPr>
              <w:t xml:space="preserve"> </w:t>
            </w:r>
            <w:r>
              <w:rPr>
                <w:sz w:val="20"/>
              </w:rPr>
              <w:t>barrier</w:t>
            </w:r>
            <w:r>
              <w:rPr>
                <w:spacing w:val="-8"/>
                <w:sz w:val="20"/>
              </w:rPr>
              <w:t xml:space="preserve"> </w:t>
            </w:r>
            <w:r>
              <w:rPr>
                <w:sz w:val="20"/>
              </w:rPr>
              <w:t>where not currently required</w:t>
            </w:r>
          </w:p>
        </w:tc>
        <w:tc>
          <w:tcPr>
            <w:tcW w:w="1175" w:type="dxa"/>
            <w:tcBorders>
              <w:top w:val="single" w:color="D9D9D9" w:sz="2" w:space="0"/>
              <w:bottom w:val="single" w:color="D9D9D9" w:sz="2" w:space="0"/>
            </w:tcBorders>
          </w:tcPr>
          <w:p w:rsidR="00C31389" w:rsidRDefault="00C31389" w14:paraId="7E87A786" w14:textId="77777777">
            <w:pPr>
              <w:pStyle w:val="TableParagraph"/>
              <w:spacing w:before="5"/>
              <w:rPr>
                <w:sz w:val="23"/>
              </w:rPr>
            </w:pPr>
          </w:p>
          <w:p w:rsidR="00C31389" w:rsidRDefault="00561FBD" w14:paraId="3532B65E" w14:textId="77777777">
            <w:pPr>
              <w:pStyle w:val="TableParagraph"/>
              <w:spacing w:before="0"/>
              <w:ind w:left="362"/>
              <w:rPr>
                <w:sz w:val="20"/>
              </w:rPr>
            </w:pPr>
            <w:r>
              <w:rPr>
                <w:spacing w:val="-5"/>
                <w:sz w:val="20"/>
              </w:rPr>
              <w:t>85%</w:t>
            </w:r>
          </w:p>
        </w:tc>
        <w:tc>
          <w:tcPr>
            <w:tcW w:w="1451" w:type="dxa"/>
            <w:tcBorders>
              <w:top w:val="single" w:color="D9D9D9" w:sz="2" w:space="0"/>
              <w:bottom w:val="single" w:color="D9D9D9" w:sz="2" w:space="0"/>
            </w:tcBorders>
          </w:tcPr>
          <w:p w:rsidR="00C31389" w:rsidRDefault="00C31389" w14:paraId="758B0332" w14:textId="77777777">
            <w:pPr>
              <w:pStyle w:val="TableParagraph"/>
              <w:spacing w:before="5"/>
              <w:rPr>
                <w:sz w:val="23"/>
              </w:rPr>
            </w:pPr>
          </w:p>
          <w:p w:rsidR="00C31389" w:rsidRDefault="00561FBD" w14:paraId="71068734" w14:textId="77777777">
            <w:pPr>
              <w:pStyle w:val="TableParagraph"/>
              <w:spacing w:before="0"/>
              <w:ind w:left="271" w:right="156"/>
              <w:jc w:val="center"/>
              <w:rPr>
                <w:sz w:val="20"/>
              </w:rPr>
            </w:pPr>
            <w:r>
              <w:rPr>
                <w:spacing w:val="-2"/>
                <w:sz w:val="20"/>
              </w:rPr>
              <w:t>4/9/2012</w:t>
            </w:r>
          </w:p>
        </w:tc>
        <w:tc>
          <w:tcPr>
            <w:tcW w:w="1539" w:type="dxa"/>
            <w:tcBorders>
              <w:top w:val="single" w:color="D9D9D9" w:sz="2" w:space="0"/>
              <w:bottom w:val="single" w:color="D9D9D9" w:sz="2" w:space="0"/>
            </w:tcBorders>
          </w:tcPr>
          <w:p w:rsidR="00C31389" w:rsidRDefault="00C31389" w14:paraId="227DC16A" w14:textId="77777777">
            <w:pPr>
              <w:pStyle w:val="TableParagraph"/>
              <w:spacing w:before="5"/>
              <w:rPr>
                <w:sz w:val="23"/>
              </w:rPr>
            </w:pPr>
          </w:p>
          <w:p w:rsidR="00C31389" w:rsidRDefault="00561FBD" w14:paraId="4D71CC29" w14:textId="77777777">
            <w:pPr>
              <w:pStyle w:val="TableParagraph"/>
              <w:spacing w:before="0"/>
              <w:ind w:left="164"/>
              <w:rPr>
                <w:sz w:val="20"/>
              </w:rPr>
            </w:pPr>
            <w:r>
              <w:rPr>
                <w:spacing w:val="-2"/>
                <w:sz w:val="20"/>
              </w:rPr>
              <w:t>On-the-books</w:t>
            </w:r>
          </w:p>
        </w:tc>
      </w:tr>
      <w:tr w:rsidR="00C31389" w14:paraId="44096060" w14:textId="77777777">
        <w:trPr>
          <w:trHeight w:val="770"/>
        </w:trPr>
        <w:tc>
          <w:tcPr>
            <w:tcW w:w="1367" w:type="dxa"/>
            <w:tcBorders>
              <w:top w:val="single" w:color="D9D9D9" w:sz="2" w:space="0"/>
              <w:bottom w:val="single" w:color="D9D9D9" w:sz="2" w:space="0"/>
            </w:tcBorders>
          </w:tcPr>
          <w:p w:rsidR="00C31389" w:rsidRDefault="00C31389" w14:paraId="47AD1BFF" w14:textId="77777777">
            <w:pPr>
              <w:pStyle w:val="TableParagraph"/>
              <w:spacing w:before="6"/>
              <w:rPr>
                <w:sz w:val="23"/>
              </w:rPr>
            </w:pPr>
          </w:p>
          <w:p w:rsidR="00C31389" w:rsidRDefault="00561FBD" w14:paraId="5717DEA7"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D9D9D9" w:sz="2" w:space="0"/>
            </w:tcBorders>
          </w:tcPr>
          <w:p w:rsidR="00C31389" w:rsidRDefault="00561FBD" w14:paraId="49C57E6A" w14:textId="77777777">
            <w:pPr>
              <w:pStyle w:val="TableParagraph"/>
              <w:spacing w:before="41"/>
              <w:ind w:left="202" w:right="360"/>
              <w:rPr>
                <w:sz w:val="20"/>
              </w:rPr>
            </w:pPr>
            <w:r>
              <w:rPr>
                <w:sz w:val="20"/>
              </w:rPr>
              <w:t xml:space="preserve">2022 </w:t>
            </w:r>
            <w:r>
              <w:rPr>
                <w:sz w:val="20"/>
              </w:rPr>
              <w:t>T-24: NRNC - Refrigeration System</w:t>
            </w:r>
            <w:r>
              <w:rPr>
                <w:spacing w:val="-9"/>
                <w:sz w:val="20"/>
              </w:rPr>
              <w:t xml:space="preserve"> </w:t>
            </w:r>
            <w:r>
              <w:rPr>
                <w:sz w:val="20"/>
              </w:rPr>
              <w:t>-</w:t>
            </w:r>
            <w:r>
              <w:rPr>
                <w:spacing w:val="-8"/>
                <w:sz w:val="20"/>
              </w:rPr>
              <w:t xml:space="preserve"> </w:t>
            </w:r>
            <w:r>
              <w:rPr>
                <w:sz w:val="20"/>
              </w:rPr>
              <w:t>Automatic</w:t>
            </w:r>
            <w:r>
              <w:rPr>
                <w:spacing w:val="-7"/>
                <w:sz w:val="20"/>
              </w:rPr>
              <w:t xml:space="preserve"> </w:t>
            </w:r>
            <w:r>
              <w:rPr>
                <w:sz w:val="20"/>
              </w:rPr>
              <w:t>Door</w:t>
            </w:r>
            <w:r>
              <w:rPr>
                <w:spacing w:val="-7"/>
                <w:sz w:val="20"/>
              </w:rPr>
              <w:t xml:space="preserve"> </w:t>
            </w:r>
            <w:r>
              <w:rPr>
                <w:sz w:val="20"/>
              </w:rPr>
              <w:t>Closers</w:t>
            </w:r>
            <w:r>
              <w:rPr>
                <w:spacing w:val="-8"/>
                <w:sz w:val="20"/>
              </w:rPr>
              <w:t xml:space="preserve"> </w:t>
            </w:r>
            <w:r>
              <w:rPr>
                <w:sz w:val="20"/>
              </w:rPr>
              <w:t>for Refrigerated Spaces</w:t>
            </w:r>
          </w:p>
        </w:tc>
        <w:tc>
          <w:tcPr>
            <w:tcW w:w="1175" w:type="dxa"/>
            <w:tcBorders>
              <w:top w:val="single" w:color="D9D9D9" w:sz="2" w:space="0"/>
              <w:bottom w:val="single" w:color="D9D9D9" w:sz="2" w:space="0"/>
            </w:tcBorders>
          </w:tcPr>
          <w:p w:rsidR="00C31389" w:rsidRDefault="00C31389" w14:paraId="388F88DE" w14:textId="77777777">
            <w:pPr>
              <w:pStyle w:val="TableParagraph"/>
              <w:spacing w:before="6"/>
              <w:rPr>
                <w:sz w:val="23"/>
              </w:rPr>
            </w:pPr>
          </w:p>
          <w:p w:rsidR="00C31389" w:rsidRDefault="00561FBD" w14:paraId="758276C0" w14:textId="77777777">
            <w:pPr>
              <w:pStyle w:val="TableParagraph"/>
              <w:spacing w:before="0"/>
              <w:ind w:left="362"/>
              <w:rPr>
                <w:sz w:val="20"/>
              </w:rPr>
            </w:pPr>
            <w:r>
              <w:rPr>
                <w:spacing w:val="-5"/>
                <w:sz w:val="20"/>
              </w:rPr>
              <w:t>85%</w:t>
            </w:r>
          </w:p>
        </w:tc>
        <w:tc>
          <w:tcPr>
            <w:tcW w:w="1451" w:type="dxa"/>
            <w:tcBorders>
              <w:top w:val="single" w:color="D9D9D9" w:sz="2" w:space="0"/>
              <w:bottom w:val="single" w:color="D9D9D9" w:sz="2" w:space="0"/>
            </w:tcBorders>
          </w:tcPr>
          <w:p w:rsidR="00C31389" w:rsidRDefault="00C31389" w14:paraId="2912963E" w14:textId="77777777">
            <w:pPr>
              <w:pStyle w:val="TableParagraph"/>
              <w:spacing w:before="6"/>
              <w:rPr>
                <w:sz w:val="23"/>
              </w:rPr>
            </w:pPr>
          </w:p>
          <w:p w:rsidR="00C31389" w:rsidRDefault="00561FBD" w14:paraId="491A90FB" w14:textId="77777777">
            <w:pPr>
              <w:pStyle w:val="TableParagraph"/>
              <w:spacing w:before="0"/>
              <w:ind w:left="271" w:right="156"/>
              <w:jc w:val="center"/>
              <w:rPr>
                <w:sz w:val="20"/>
              </w:rPr>
            </w:pPr>
            <w:r>
              <w:rPr>
                <w:spacing w:val="-2"/>
                <w:sz w:val="20"/>
              </w:rPr>
              <w:t>4/16/2015</w:t>
            </w:r>
          </w:p>
        </w:tc>
        <w:tc>
          <w:tcPr>
            <w:tcW w:w="1539" w:type="dxa"/>
            <w:tcBorders>
              <w:top w:val="single" w:color="D9D9D9" w:sz="2" w:space="0"/>
              <w:bottom w:val="single" w:color="D9D9D9" w:sz="2" w:space="0"/>
            </w:tcBorders>
          </w:tcPr>
          <w:p w:rsidR="00C31389" w:rsidRDefault="00C31389" w14:paraId="1B38B977" w14:textId="77777777">
            <w:pPr>
              <w:pStyle w:val="TableParagraph"/>
              <w:spacing w:before="6"/>
              <w:rPr>
                <w:sz w:val="23"/>
              </w:rPr>
            </w:pPr>
          </w:p>
          <w:p w:rsidR="00C31389" w:rsidRDefault="00561FBD" w14:paraId="6A2FBA42" w14:textId="77777777">
            <w:pPr>
              <w:pStyle w:val="TableParagraph"/>
              <w:spacing w:before="0"/>
              <w:ind w:left="164"/>
              <w:rPr>
                <w:sz w:val="20"/>
              </w:rPr>
            </w:pPr>
            <w:r>
              <w:rPr>
                <w:spacing w:val="-2"/>
                <w:sz w:val="20"/>
              </w:rPr>
              <w:t>On-the-books</w:t>
            </w:r>
          </w:p>
        </w:tc>
      </w:tr>
      <w:tr w:rsidR="00C31389" w14:paraId="7729FD80" w14:textId="77777777">
        <w:trPr>
          <w:trHeight w:val="1000"/>
        </w:trPr>
        <w:tc>
          <w:tcPr>
            <w:tcW w:w="1367" w:type="dxa"/>
            <w:tcBorders>
              <w:top w:val="single" w:color="D9D9D9" w:sz="2" w:space="0"/>
              <w:bottom w:val="single" w:color="000000" w:sz="8" w:space="0"/>
            </w:tcBorders>
          </w:tcPr>
          <w:p w:rsidR="00C31389" w:rsidRDefault="00C31389" w14:paraId="36C31A04" w14:textId="77777777">
            <w:pPr>
              <w:pStyle w:val="TableParagraph"/>
              <w:spacing w:before="0"/>
            </w:pPr>
          </w:p>
          <w:p w:rsidR="00C31389" w:rsidRDefault="00561FBD" w14:paraId="75C9EECE" w14:textId="77777777">
            <w:pPr>
              <w:pStyle w:val="TableParagraph"/>
              <w:spacing w:before="133"/>
              <w:ind w:left="129"/>
              <w:rPr>
                <w:sz w:val="20"/>
              </w:rPr>
            </w:pPr>
            <w:r>
              <w:rPr>
                <w:sz w:val="20"/>
              </w:rPr>
              <w:t>2022</w:t>
            </w:r>
            <w:r>
              <w:rPr>
                <w:spacing w:val="-3"/>
                <w:sz w:val="20"/>
              </w:rPr>
              <w:t xml:space="preserve"> </w:t>
            </w:r>
            <w:r>
              <w:rPr>
                <w:sz w:val="20"/>
              </w:rPr>
              <w:t>T-</w:t>
            </w:r>
            <w:r>
              <w:rPr>
                <w:spacing w:val="-5"/>
                <w:sz w:val="20"/>
              </w:rPr>
              <w:t>24</w:t>
            </w:r>
          </w:p>
        </w:tc>
        <w:tc>
          <w:tcPr>
            <w:tcW w:w="3845" w:type="dxa"/>
            <w:tcBorders>
              <w:top w:val="single" w:color="D9D9D9" w:sz="2" w:space="0"/>
              <w:bottom w:val="single" w:color="000000" w:sz="8" w:space="0"/>
            </w:tcBorders>
          </w:tcPr>
          <w:p w:rsidR="00C31389" w:rsidRDefault="00561FBD" w14:paraId="5EDB4F7E" w14:textId="77777777">
            <w:pPr>
              <w:pStyle w:val="TableParagraph"/>
              <w:ind w:left="202" w:right="360"/>
              <w:rPr>
                <w:sz w:val="20"/>
              </w:rPr>
            </w:pPr>
            <w:r>
              <w:rPr>
                <w:sz w:val="20"/>
              </w:rPr>
              <w:t>2022 T-24: NRNC - Refrigeration System - Design and Control Requirements</w:t>
            </w:r>
            <w:r>
              <w:rPr>
                <w:spacing w:val="-12"/>
                <w:sz w:val="20"/>
              </w:rPr>
              <w:t xml:space="preserve"> </w:t>
            </w:r>
            <w:r>
              <w:rPr>
                <w:sz w:val="20"/>
              </w:rPr>
              <w:t>for</w:t>
            </w:r>
            <w:r>
              <w:rPr>
                <w:spacing w:val="-12"/>
                <w:sz w:val="20"/>
              </w:rPr>
              <w:t xml:space="preserve"> </w:t>
            </w:r>
            <w:r>
              <w:rPr>
                <w:sz w:val="20"/>
              </w:rPr>
              <w:t>Transcritical</w:t>
            </w:r>
            <w:r>
              <w:rPr>
                <w:spacing w:val="-13"/>
                <w:sz w:val="20"/>
              </w:rPr>
              <w:t xml:space="preserve"> </w:t>
            </w:r>
            <w:r>
              <w:rPr>
                <w:sz w:val="20"/>
              </w:rPr>
              <w:t xml:space="preserve">CO2 Systems - Adiabatic </w:t>
            </w:r>
            <w:r>
              <w:rPr>
                <w:sz w:val="20"/>
              </w:rPr>
              <w:t>Condenser</w:t>
            </w:r>
          </w:p>
        </w:tc>
        <w:tc>
          <w:tcPr>
            <w:tcW w:w="1175" w:type="dxa"/>
            <w:tcBorders>
              <w:top w:val="single" w:color="D9D9D9" w:sz="2" w:space="0"/>
              <w:bottom w:val="single" w:color="000000" w:sz="8" w:space="0"/>
            </w:tcBorders>
          </w:tcPr>
          <w:p w:rsidR="00C31389" w:rsidRDefault="00C31389" w14:paraId="1E857BF4" w14:textId="77777777">
            <w:pPr>
              <w:pStyle w:val="TableParagraph"/>
              <w:spacing w:before="0"/>
            </w:pPr>
          </w:p>
          <w:p w:rsidR="00C31389" w:rsidRDefault="00561FBD" w14:paraId="01F0F7B1" w14:textId="77777777">
            <w:pPr>
              <w:pStyle w:val="TableParagraph"/>
              <w:spacing w:before="133"/>
              <w:ind w:left="361"/>
              <w:rPr>
                <w:sz w:val="20"/>
              </w:rPr>
            </w:pPr>
            <w:r>
              <w:rPr>
                <w:spacing w:val="-5"/>
                <w:sz w:val="20"/>
              </w:rPr>
              <w:t>85%</w:t>
            </w:r>
          </w:p>
        </w:tc>
        <w:tc>
          <w:tcPr>
            <w:tcW w:w="1451" w:type="dxa"/>
            <w:tcBorders>
              <w:top w:val="single" w:color="D9D9D9" w:sz="2" w:space="0"/>
              <w:bottom w:val="single" w:color="000000" w:sz="8" w:space="0"/>
            </w:tcBorders>
          </w:tcPr>
          <w:p w:rsidR="00C31389" w:rsidRDefault="00C31389" w14:paraId="145AEFAF" w14:textId="77777777">
            <w:pPr>
              <w:pStyle w:val="TableParagraph"/>
              <w:spacing w:before="0"/>
            </w:pPr>
          </w:p>
          <w:p w:rsidR="00C31389" w:rsidRDefault="00561FBD" w14:paraId="7FA9D0C2" w14:textId="77777777">
            <w:pPr>
              <w:pStyle w:val="TableParagraph"/>
              <w:spacing w:before="133"/>
              <w:ind w:left="271" w:right="157"/>
              <w:jc w:val="center"/>
              <w:rPr>
                <w:sz w:val="20"/>
              </w:rPr>
            </w:pPr>
            <w:r>
              <w:rPr>
                <w:spacing w:val="-2"/>
                <w:sz w:val="20"/>
              </w:rPr>
              <w:t>4/16/2015</w:t>
            </w:r>
          </w:p>
        </w:tc>
        <w:tc>
          <w:tcPr>
            <w:tcW w:w="1539" w:type="dxa"/>
            <w:tcBorders>
              <w:top w:val="single" w:color="D9D9D9" w:sz="2" w:space="0"/>
              <w:bottom w:val="single" w:color="000000" w:sz="8" w:space="0"/>
            </w:tcBorders>
          </w:tcPr>
          <w:p w:rsidR="00C31389" w:rsidRDefault="00C31389" w14:paraId="30BA9E8F" w14:textId="77777777">
            <w:pPr>
              <w:pStyle w:val="TableParagraph"/>
              <w:spacing w:before="0"/>
            </w:pPr>
          </w:p>
          <w:p w:rsidR="00C31389" w:rsidRDefault="00561FBD" w14:paraId="0261A600" w14:textId="77777777">
            <w:pPr>
              <w:pStyle w:val="TableParagraph"/>
              <w:spacing w:before="133"/>
              <w:ind w:left="164"/>
              <w:rPr>
                <w:sz w:val="20"/>
              </w:rPr>
            </w:pPr>
            <w:r>
              <w:rPr>
                <w:spacing w:val="-2"/>
                <w:sz w:val="20"/>
              </w:rPr>
              <w:t>On-the-books</w:t>
            </w:r>
          </w:p>
        </w:tc>
      </w:tr>
    </w:tbl>
    <w:p w:rsidR="00C31389" w:rsidRDefault="00C31389" w14:paraId="20EF1DDA" w14:textId="77777777">
      <w:pPr>
        <w:rPr>
          <w:sz w:val="20"/>
        </w:rPr>
        <w:sectPr w:rsidR="00C31389">
          <w:pgSz w:w="11910" w:h="16840"/>
          <w:pgMar w:top="1380" w:right="1020" w:bottom="1120" w:left="960" w:header="397" w:footer="938" w:gutter="0"/>
          <w:cols w:space="720"/>
        </w:sectPr>
      </w:pPr>
    </w:p>
    <w:p w:rsidR="00C31389" w:rsidRDefault="00C31389" w14:paraId="1058F277"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79"/>
        <w:gridCol w:w="1169"/>
        <w:gridCol w:w="1395"/>
        <w:gridCol w:w="1566"/>
      </w:tblGrid>
      <w:tr w:rsidR="00C31389" w14:paraId="28C85E28" w14:textId="77777777">
        <w:trPr>
          <w:trHeight w:val="252"/>
        </w:trPr>
        <w:tc>
          <w:tcPr>
            <w:tcW w:w="1367" w:type="dxa"/>
            <w:tcBorders>
              <w:top w:val="single" w:color="8B8B8B" w:sz="8" w:space="0"/>
            </w:tcBorders>
          </w:tcPr>
          <w:p w:rsidR="00C31389" w:rsidRDefault="00C31389" w14:paraId="3F5A7089" w14:textId="77777777">
            <w:pPr>
              <w:pStyle w:val="TableParagraph"/>
              <w:spacing w:before="0"/>
              <w:rPr>
                <w:rFonts w:ascii="Times New Roman"/>
                <w:sz w:val="18"/>
              </w:rPr>
            </w:pPr>
          </w:p>
        </w:tc>
        <w:tc>
          <w:tcPr>
            <w:tcW w:w="3879" w:type="dxa"/>
            <w:tcBorders>
              <w:top w:val="single" w:color="8B8B8B" w:sz="8" w:space="0"/>
            </w:tcBorders>
          </w:tcPr>
          <w:p w:rsidR="00C31389" w:rsidRDefault="00C31389" w14:paraId="0B9BFF2E" w14:textId="77777777">
            <w:pPr>
              <w:pStyle w:val="TableParagraph"/>
              <w:spacing w:before="0"/>
              <w:rPr>
                <w:rFonts w:ascii="Times New Roman"/>
                <w:sz w:val="18"/>
              </w:rPr>
            </w:pPr>
          </w:p>
        </w:tc>
        <w:tc>
          <w:tcPr>
            <w:tcW w:w="1169" w:type="dxa"/>
            <w:tcBorders>
              <w:top w:val="single" w:color="8B8B8B" w:sz="8" w:space="0"/>
            </w:tcBorders>
          </w:tcPr>
          <w:p w:rsidR="00C31389" w:rsidRDefault="00C31389" w14:paraId="7A993F28" w14:textId="77777777">
            <w:pPr>
              <w:pStyle w:val="TableParagraph"/>
              <w:spacing w:before="0"/>
              <w:rPr>
                <w:rFonts w:ascii="Times New Roman"/>
                <w:sz w:val="18"/>
              </w:rPr>
            </w:pPr>
          </w:p>
        </w:tc>
        <w:tc>
          <w:tcPr>
            <w:tcW w:w="1395" w:type="dxa"/>
            <w:tcBorders>
              <w:top w:val="single" w:color="8B8B8B" w:sz="8" w:space="0"/>
            </w:tcBorders>
          </w:tcPr>
          <w:p w:rsidR="00C31389" w:rsidRDefault="00C31389" w14:paraId="6418CB41" w14:textId="77777777">
            <w:pPr>
              <w:pStyle w:val="TableParagraph"/>
              <w:spacing w:before="0"/>
              <w:rPr>
                <w:rFonts w:ascii="Times New Roman"/>
                <w:sz w:val="18"/>
              </w:rPr>
            </w:pPr>
          </w:p>
        </w:tc>
        <w:tc>
          <w:tcPr>
            <w:tcW w:w="1566" w:type="dxa"/>
            <w:tcBorders>
              <w:top w:val="single" w:color="8B8B8B" w:sz="8" w:space="0"/>
            </w:tcBorders>
          </w:tcPr>
          <w:p w:rsidR="00C31389" w:rsidRDefault="00C31389" w14:paraId="263A61D8" w14:textId="77777777">
            <w:pPr>
              <w:pStyle w:val="TableParagraph"/>
              <w:spacing w:before="0"/>
              <w:rPr>
                <w:rFonts w:ascii="Times New Roman"/>
                <w:sz w:val="18"/>
              </w:rPr>
            </w:pPr>
          </w:p>
        </w:tc>
      </w:tr>
      <w:tr w:rsidR="00C31389" w14:paraId="5CB5BD3B" w14:textId="77777777">
        <w:trPr>
          <w:trHeight w:val="549"/>
        </w:trPr>
        <w:tc>
          <w:tcPr>
            <w:tcW w:w="1367" w:type="dxa"/>
            <w:shd w:val="clear" w:color="auto" w:fill="92D400"/>
          </w:tcPr>
          <w:p w:rsidR="00C31389" w:rsidRDefault="00561FBD" w14:paraId="29D0F156" w14:textId="77777777">
            <w:pPr>
              <w:pStyle w:val="TableParagraph"/>
              <w:spacing w:before="155"/>
              <w:ind w:left="129"/>
              <w:rPr>
                <w:b/>
                <w:sz w:val="20"/>
              </w:rPr>
            </w:pPr>
            <w:r>
              <w:rPr>
                <w:b/>
                <w:spacing w:val="-2"/>
                <w:sz w:val="20"/>
              </w:rPr>
              <w:t>Regulation</w:t>
            </w:r>
          </w:p>
        </w:tc>
        <w:tc>
          <w:tcPr>
            <w:tcW w:w="3879" w:type="dxa"/>
            <w:shd w:val="clear" w:color="auto" w:fill="92D400"/>
          </w:tcPr>
          <w:p w:rsidR="00C31389" w:rsidRDefault="00561FBD" w14:paraId="4FC72AB0"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69" w:type="dxa"/>
            <w:shd w:val="clear" w:color="auto" w:fill="92D400"/>
          </w:tcPr>
          <w:p w:rsidR="00C31389" w:rsidRDefault="00561FBD" w14:paraId="26BD6F7D" w14:textId="77777777">
            <w:pPr>
              <w:pStyle w:val="TableParagraph"/>
              <w:ind w:left="198" w:hanging="238"/>
              <w:rPr>
                <w:b/>
                <w:sz w:val="20"/>
              </w:rPr>
            </w:pPr>
            <w:r>
              <w:rPr>
                <w:b/>
                <w:spacing w:val="-2"/>
                <w:sz w:val="20"/>
              </w:rPr>
              <w:t>Compliance Rate</w:t>
            </w:r>
            <w:hyperlink w:history="1" w:anchor="_bookmark462">
              <w:r>
                <w:rPr>
                  <w:b/>
                  <w:spacing w:val="-2"/>
                  <w:sz w:val="20"/>
                  <w:vertAlign w:val="superscript"/>
                </w:rPr>
                <w:t>182</w:t>
              </w:r>
            </w:hyperlink>
          </w:p>
        </w:tc>
        <w:tc>
          <w:tcPr>
            <w:tcW w:w="1395" w:type="dxa"/>
            <w:shd w:val="clear" w:color="auto" w:fill="92D400"/>
          </w:tcPr>
          <w:p w:rsidR="00C31389" w:rsidRDefault="00561FBD" w14:paraId="4C6AE82C" w14:textId="77777777">
            <w:pPr>
              <w:pStyle w:val="TableParagraph"/>
              <w:ind w:left="537" w:hanging="202"/>
              <w:rPr>
                <w:b/>
                <w:sz w:val="20"/>
              </w:rPr>
            </w:pPr>
            <w:r>
              <w:rPr>
                <w:b/>
                <w:spacing w:val="-2"/>
                <w:sz w:val="20"/>
              </w:rPr>
              <w:t xml:space="preserve">Effective </w:t>
            </w:r>
            <w:r>
              <w:rPr>
                <w:b/>
                <w:spacing w:val="-4"/>
                <w:sz w:val="20"/>
              </w:rPr>
              <w:t>Date</w:t>
            </w:r>
          </w:p>
        </w:tc>
        <w:tc>
          <w:tcPr>
            <w:tcW w:w="1566" w:type="dxa"/>
            <w:shd w:val="clear" w:color="auto" w:fill="92D400"/>
          </w:tcPr>
          <w:p w:rsidR="00C31389" w:rsidRDefault="00561FBD" w14:paraId="3C59D10D" w14:textId="77777777">
            <w:pPr>
              <w:pStyle w:val="TableParagraph"/>
              <w:spacing w:before="155"/>
              <w:ind w:left="184" w:right="152"/>
              <w:jc w:val="center"/>
              <w:rPr>
                <w:b/>
                <w:sz w:val="20"/>
              </w:rPr>
            </w:pPr>
            <w:r>
              <w:rPr>
                <w:b/>
                <w:sz w:val="20"/>
              </w:rPr>
              <w:t>Policy</w:t>
            </w:r>
            <w:r>
              <w:rPr>
                <w:b/>
                <w:spacing w:val="-5"/>
                <w:sz w:val="20"/>
              </w:rPr>
              <w:t xml:space="preserve"> </w:t>
            </w:r>
            <w:r>
              <w:rPr>
                <w:b/>
                <w:spacing w:val="-4"/>
                <w:sz w:val="20"/>
              </w:rPr>
              <w:t>View</w:t>
            </w:r>
          </w:p>
        </w:tc>
      </w:tr>
      <w:tr w:rsidR="00C31389" w14:paraId="171FEEE1" w14:textId="77777777">
        <w:trPr>
          <w:trHeight w:val="535"/>
        </w:trPr>
        <w:tc>
          <w:tcPr>
            <w:tcW w:w="1367" w:type="dxa"/>
            <w:tcBorders>
              <w:bottom w:val="single" w:color="D9D9D9" w:sz="2" w:space="0"/>
            </w:tcBorders>
          </w:tcPr>
          <w:p w:rsidR="00C31389" w:rsidRDefault="00561FBD" w14:paraId="432974A6" w14:textId="77777777">
            <w:pPr>
              <w:pStyle w:val="TableParagraph"/>
              <w:spacing w:before="151"/>
              <w:ind w:left="129"/>
              <w:rPr>
                <w:sz w:val="20"/>
              </w:rPr>
            </w:pPr>
            <w:r>
              <w:rPr>
                <w:sz w:val="20"/>
              </w:rPr>
              <w:t>2022</w:t>
            </w:r>
            <w:r>
              <w:rPr>
                <w:spacing w:val="-3"/>
                <w:sz w:val="20"/>
              </w:rPr>
              <w:t xml:space="preserve"> </w:t>
            </w:r>
            <w:r>
              <w:rPr>
                <w:sz w:val="20"/>
              </w:rPr>
              <w:t>T-</w:t>
            </w:r>
            <w:r>
              <w:rPr>
                <w:spacing w:val="-5"/>
                <w:sz w:val="20"/>
              </w:rPr>
              <w:t>24</w:t>
            </w:r>
          </w:p>
        </w:tc>
        <w:tc>
          <w:tcPr>
            <w:tcW w:w="3879" w:type="dxa"/>
            <w:tcBorders>
              <w:bottom w:val="single" w:color="D9D9D9" w:sz="2" w:space="0"/>
            </w:tcBorders>
          </w:tcPr>
          <w:p w:rsidR="00C31389" w:rsidRDefault="00561FBD" w14:paraId="286CD395" w14:textId="77777777">
            <w:pPr>
              <w:pStyle w:val="TableParagraph"/>
              <w:spacing w:before="35"/>
              <w:ind w:left="202" w:right="392"/>
              <w:rPr>
                <w:sz w:val="20"/>
              </w:rPr>
            </w:pPr>
            <w:r>
              <w:rPr>
                <w:sz w:val="20"/>
              </w:rPr>
              <w:t>2022</w:t>
            </w:r>
            <w:r>
              <w:rPr>
                <w:spacing w:val="-7"/>
                <w:sz w:val="20"/>
              </w:rPr>
              <w:t xml:space="preserve"> </w:t>
            </w:r>
            <w:r>
              <w:rPr>
                <w:sz w:val="20"/>
              </w:rPr>
              <w:t>T-24:</w:t>
            </w:r>
            <w:r>
              <w:rPr>
                <w:spacing w:val="-7"/>
                <w:sz w:val="20"/>
              </w:rPr>
              <w:t xml:space="preserve"> </w:t>
            </w:r>
            <w:r>
              <w:rPr>
                <w:sz w:val="20"/>
              </w:rPr>
              <w:t>NRNC</w:t>
            </w:r>
            <w:r>
              <w:rPr>
                <w:spacing w:val="-6"/>
                <w:sz w:val="20"/>
              </w:rPr>
              <w:t xml:space="preserve"> </w:t>
            </w:r>
            <w:r>
              <w:rPr>
                <w:sz w:val="20"/>
              </w:rPr>
              <w:t>-</w:t>
            </w:r>
            <w:r>
              <w:rPr>
                <w:spacing w:val="-6"/>
                <w:sz w:val="20"/>
              </w:rPr>
              <w:t xml:space="preserve"> </w:t>
            </w:r>
            <w:r>
              <w:rPr>
                <w:sz w:val="20"/>
              </w:rPr>
              <w:t>Steam</w:t>
            </w:r>
            <w:r>
              <w:rPr>
                <w:spacing w:val="-7"/>
                <w:sz w:val="20"/>
              </w:rPr>
              <w:t xml:space="preserve"> </w:t>
            </w:r>
            <w:r>
              <w:rPr>
                <w:sz w:val="20"/>
              </w:rPr>
              <w:t>Trap</w:t>
            </w:r>
            <w:r>
              <w:rPr>
                <w:spacing w:val="-7"/>
                <w:sz w:val="20"/>
              </w:rPr>
              <w:t xml:space="preserve"> </w:t>
            </w:r>
            <w:r>
              <w:rPr>
                <w:sz w:val="20"/>
              </w:rPr>
              <w:t xml:space="preserve">- </w:t>
            </w:r>
            <w:r>
              <w:rPr>
                <w:spacing w:val="-4"/>
                <w:sz w:val="20"/>
              </w:rPr>
              <w:t>FDD</w:t>
            </w:r>
          </w:p>
        </w:tc>
        <w:tc>
          <w:tcPr>
            <w:tcW w:w="1169" w:type="dxa"/>
            <w:tcBorders>
              <w:bottom w:val="single" w:color="D9D9D9" w:sz="2" w:space="0"/>
            </w:tcBorders>
          </w:tcPr>
          <w:p w:rsidR="00C31389" w:rsidRDefault="00561FBD" w14:paraId="71FDB558" w14:textId="77777777">
            <w:pPr>
              <w:pStyle w:val="TableParagraph"/>
              <w:spacing w:before="151"/>
              <w:ind w:left="327"/>
              <w:rPr>
                <w:sz w:val="20"/>
              </w:rPr>
            </w:pPr>
            <w:r>
              <w:rPr>
                <w:spacing w:val="-5"/>
                <w:sz w:val="20"/>
              </w:rPr>
              <w:t>85%</w:t>
            </w:r>
          </w:p>
        </w:tc>
        <w:tc>
          <w:tcPr>
            <w:tcW w:w="1395" w:type="dxa"/>
            <w:tcBorders>
              <w:bottom w:val="single" w:color="D9D9D9" w:sz="2" w:space="0"/>
            </w:tcBorders>
          </w:tcPr>
          <w:p w:rsidR="00C31389" w:rsidRDefault="00561FBD" w14:paraId="2D22F658" w14:textId="77777777">
            <w:pPr>
              <w:pStyle w:val="TableParagraph"/>
              <w:spacing w:before="151"/>
              <w:ind w:right="192"/>
              <w:jc w:val="right"/>
              <w:rPr>
                <w:sz w:val="20"/>
              </w:rPr>
            </w:pPr>
            <w:r>
              <w:rPr>
                <w:spacing w:val="-2"/>
                <w:sz w:val="20"/>
              </w:rPr>
              <w:t>4/16/2015</w:t>
            </w:r>
          </w:p>
        </w:tc>
        <w:tc>
          <w:tcPr>
            <w:tcW w:w="1566" w:type="dxa"/>
            <w:tcBorders>
              <w:bottom w:val="single" w:color="D9D9D9" w:sz="2" w:space="0"/>
            </w:tcBorders>
          </w:tcPr>
          <w:p w:rsidR="00C31389" w:rsidRDefault="00561FBD" w14:paraId="31514DBC" w14:textId="77777777">
            <w:pPr>
              <w:pStyle w:val="TableParagraph"/>
              <w:spacing w:before="151"/>
              <w:ind w:left="184" w:right="152"/>
              <w:jc w:val="center"/>
              <w:rPr>
                <w:sz w:val="20"/>
              </w:rPr>
            </w:pPr>
            <w:r>
              <w:rPr>
                <w:spacing w:val="-2"/>
                <w:sz w:val="20"/>
              </w:rPr>
              <w:t>On-the-books</w:t>
            </w:r>
          </w:p>
        </w:tc>
      </w:tr>
      <w:tr w:rsidR="00C31389" w14:paraId="080F3340" w14:textId="77777777">
        <w:trPr>
          <w:trHeight w:val="539"/>
        </w:trPr>
        <w:tc>
          <w:tcPr>
            <w:tcW w:w="1367" w:type="dxa"/>
            <w:tcBorders>
              <w:top w:val="single" w:color="D9D9D9" w:sz="2" w:space="0"/>
              <w:bottom w:val="single" w:color="D9D9D9" w:sz="2" w:space="0"/>
            </w:tcBorders>
          </w:tcPr>
          <w:p w:rsidR="00C31389" w:rsidRDefault="00561FBD" w14:paraId="3F1BEF73"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2DBDF415" w14:textId="77777777">
            <w:pPr>
              <w:pStyle w:val="TableParagraph"/>
              <w:ind w:left="202"/>
              <w:rPr>
                <w:sz w:val="20"/>
              </w:rPr>
            </w:pPr>
            <w:r>
              <w:rPr>
                <w:sz w:val="20"/>
              </w:rPr>
              <w:t>2022</w:t>
            </w:r>
            <w:r>
              <w:rPr>
                <w:spacing w:val="-2"/>
                <w:sz w:val="20"/>
              </w:rPr>
              <w:t xml:space="preserve"> </w:t>
            </w:r>
            <w:r>
              <w:rPr>
                <w:sz w:val="20"/>
              </w:rPr>
              <w:t>T-24:</w:t>
            </w:r>
            <w:r>
              <w:rPr>
                <w:spacing w:val="-2"/>
                <w:sz w:val="20"/>
              </w:rPr>
              <w:t xml:space="preserve"> </w:t>
            </w:r>
            <w:r>
              <w:rPr>
                <w:sz w:val="20"/>
              </w:rPr>
              <w:t>NRNC</w:t>
            </w:r>
            <w:r>
              <w:rPr>
                <w:spacing w:val="-2"/>
                <w:sz w:val="20"/>
              </w:rPr>
              <w:t xml:space="preserve"> </w:t>
            </w:r>
            <w:r>
              <w:rPr>
                <w:sz w:val="20"/>
              </w:rPr>
              <w:t>-</w:t>
            </w:r>
            <w:r>
              <w:rPr>
                <w:spacing w:val="-2"/>
                <w:sz w:val="20"/>
              </w:rPr>
              <w:t xml:space="preserve"> </w:t>
            </w:r>
            <w:r>
              <w:rPr>
                <w:sz w:val="20"/>
              </w:rPr>
              <w:t>Steam</w:t>
            </w:r>
            <w:r>
              <w:rPr>
                <w:spacing w:val="-2"/>
                <w:sz w:val="20"/>
              </w:rPr>
              <w:t xml:space="preserve"> </w:t>
            </w:r>
            <w:r>
              <w:rPr>
                <w:sz w:val="20"/>
              </w:rPr>
              <w:t>Trap</w:t>
            </w:r>
            <w:r>
              <w:rPr>
                <w:spacing w:val="-2"/>
                <w:sz w:val="20"/>
              </w:rPr>
              <w:t xml:space="preserve"> </w:t>
            </w:r>
            <w:r>
              <w:rPr>
                <w:spacing w:val="-10"/>
                <w:sz w:val="20"/>
              </w:rPr>
              <w:t>-</w:t>
            </w:r>
          </w:p>
          <w:p w:rsidR="00C31389" w:rsidRDefault="00561FBD" w14:paraId="6B499348" w14:textId="77777777">
            <w:pPr>
              <w:pStyle w:val="TableParagraph"/>
              <w:spacing w:before="0"/>
              <w:ind w:left="202"/>
              <w:rPr>
                <w:sz w:val="20"/>
              </w:rPr>
            </w:pPr>
            <w:r>
              <w:rPr>
                <w:spacing w:val="-2"/>
                <w:sz w:val="20"/>
              </w:rPr>
              <w:t>Strainers</w:t>
            </w:r>
          </w:p>
        </w:tc>
        <w:tc>
          <w:tcPr>
            <w:tcW w:w="1169" w:type="dxa"/>
            <w:tcBorders>
              <w:top w:val="single" w:color="D9D9D9" w:sz="2" w:space="0"/>
              <w:bottom w:val="single" w:color="D9D9D9" w:sz="2" w:space="0"/>
            </w:tcBorders>
          </w:tcPr>
          <w:p w:rsidR="00C31389" w:rsidRDefault="00561FBD" w14:paraId="00A42034"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337425DC" w14:textId="77777777">
            <w:pPr>
              <w:pStyle w:val="TableParagraph"/>
              <w:spacing w:before="155"/>
              <w:ind w:right="192"/>
              <w:jc w:val="right"/>
              <w:rPr>
                <w:sz w:val="20"/>
              </w:rPr>
            </w:pPr>
            <w:r>
              <w:rPr>
                <w:spacing w:val="-2"/>
                <w:sz w:val="20"/>
              </w:rPr>
              <w:t>4/16/2015</w:t>
            </w:r>
          </w:p>
        </w:tc>
        <w:tc>
          <w:tcPr>
            <w:tcW w:w="1566" w:type="dxa"/>
            <w:tcBorders>
              <w:top w:val="single" w:color="D9D9D9" w:sz="2" w:space="0"/>
              <w:bottom w:val="single" w:color="D9D9D9" w:sz="2" w:space="0"/>
            </w:tcBorders>
          </w:tcPr>
          <w:p w:rsidR="00C31389" w:rsidRDefault="00561FBD" w14:paraId="09DD40E4" w14:textId="77777777">
            <w:pPr>
              <w:pStyle w:val="TableParagraph"/>
              <w:spacing w:before="155"/>
              <w:ind w:left="184" w:right="153"/>
              <w:jc w:val="center"/>
              <w:rPr>
                <w:sz w:val="20"/>
              </w:rPr>
            </w:pPr>
            <w:r>
              <w:rPr>
                <w:spacing w:val="-2"/>
                <w:sz w:val="20"/>
              </w:rPr>
              <w:t>On-the-books</w:t>
            </w:r>
          </w:p>
        </w:tc>
      </w:tr>
      <w:tr w:rsidR="00C31389" w14:paraId="47405123" w14:textId="77777777">
        <w:trPr>
          <w:trHeight w:val="539"/>
        </w:trPr>
        <w:tc>
          <w:tcPr>
            <w:tcW w:w="1367" w:type="dxa"/>
            <w:tcBorders>
              <w:top w:val="single" w:color="D9D9D9" w:sz="2" w:space="0"/>
              <w:bottom w:val="single" w:color="D9D9D9" w:sz="2" w:space="0"/>
            </w:tcBorders>
          </w:tcPr>
          <w:p w:rsidR="00C31389" w:rsidRDefault="00561FBD" w14:paraId="4A2DD3DC"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5B258A8E" w14:textId="77777777">
            <w:pPr>
              <w:pStyle w:val="TableParagraph"/>
              <w:ind w:left="202"/>
              <w:rPr>
                <w:sz w:val="20"/>
              </w:rPr>
            </w:pPr>
            <w:r>
              <w:rPr>
                <w:sz w:val="20"/>
              </w:rPr>
              <w:t>2022</w:t>
            </w:r>
            <w:r>
              <w:rPr>
                <w:spacing w:val="-6"/>
                <w:sz w:val="20"/>
              </w:rPr>
              <w:t xml:space="preserve"> </w:t>
            </w:r>
            <w:r>
              <w:rPr>
                <w:sz w:val="20"/>
              </w:rPr>
              <w:t>T-24:</w:t>
            </w:r>
            <w:r>
              <w:rPr>
                <w:spacing w:val="-6"/>
                <w:sz w:val="20"/>
              </w:rPr>
              <w:t xml:space="preserve"> </w:t>
            </w:r>
            <w:r>
              <w:rPr>
                <w:sz w:val="20"/>
              </w:rPr>
              <w:t>SFAA</w:t>
            </w:r>
            <w:r>
              <w:rPr>
                <w:spacing w:val="-6"/>
                <w:sz w:val="20"/>
              </w:rPr>
              <w:t xml:space="preserve"> </w:t>
            </w:r>
            <w:r>
              <w:rPr>
                <w:sz w:val="20"/>
              </w:rPr>
              <w:t>-</w:t>
            </w:r>
            <w:r>
              <w:rPr>
                <w:spacing w:val="-6"/>
                <w:sz w:val="20"/>
              </w:rPr>
              <w:t xml:space="preserve"> </w:t>
            </w:r>
            <w:r>
              <w:rPr>
                <w:sz w:val="20"/>
              </w:rPr>
              <w:t>Cool</w:t>
            </w:r>
            <w:r>
              <w:rPr>
                <w:spacing w:val="-6"/>
                <w:sz w:val="20"/>
              </w:rPr>
              <w:t xml:space="preserve"> </w:t>
            </w:r>
            <w:r>
              <w:rPr>
                <w:sz w:val="20"/>
              </w:rPr>
              <w:t>roof</w:t>
            </w:r>
            <w:r>
              <w:rPr>
                <w:spacing w:val="-6"/>
                <w:sz w:val="20"/>
              </w:rPr>
              <w:t xml:space="preserve"> </w:t>
            </w:r>
            <w:r>
              <w:rPr>
                <w:sz w:val="20"/>
              </w:rPr>
              <w:t>for</w:t>
            </w:r>
            <w:r>
              <w:rPr>
                <w:spacing w:val="-6"/>
                <w:sz w:val="20"/>
              </w:rPr>
              <w:t xml:space="preserve"> </w:t>
            </w:r>
            <w:r>
              <w:rPr>
                <w:sz w:val="20"/>
              </w:rPr>
              <w:t>low- sloped roof</w:t>
            </w:r>
          </w:p>
        </w:tc>
        <w:tc>
          <w:tcPr>
            <w:tcW w:w="1169" w:type="dxa"/>
            <w:tcBorders>
              <w:top w:val="single" w:color="D9D9D9" w:sz="2" w:space="0"/>
              <w:bottom w:val="single" w:color="D9D9D9" w:sz="2" w:space="0"/>
            </w:tcBorders>
          </w:tcPr>
          <w:p w:rsidR="00C31389" w:rsidRDefault="00561FBD" w14:paraId="4A4153D5"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473A01F2" w14:textId="77777777">
            <w:pPr>
              <w:pStyle w:val="TableParagraph"/>
              <w:spacing w:before="155"/>
              <w:ind w:right="192"/>
              <w:jc w:val="right"/>
              <w:rPr>
                <w:sz w:val="20"/>
              </w:rPr>
            </w:pPr>
            <w:r>
              <w:rPr>
                <w:spacing w:val="-2"/>
                <w:sz w:val="20"/>
              </w:rPr>
              <w:t>4/16/2013</w:t>
            </w:r>
          </w:p>
        </w:tc>
        <w:tc>
          <w:tcPr>
            <w:tcW w:w="1566" w:type="dxa"/>
            <w:tcBorders>
              <w:top w:val="single" w:color="D9D9D9" w:sz="2" w:space="0"/>
              <w:bottom w:val="single" w:color="D9D9D9" w:sz="2" w:space="0"/>
            </w:tcBorders>
          </w:tcPr>
          <w:p w:rsidR="00C31389" w:rsidRDefault="00561FBD" w14:paraId="17698C84" w14:textId="77777777">
            <w:pPr>
              <w:pStyle w:val="TableParagraph"/>
              <w:spacing w:before="155"/>
              <w:ind w:left="184" w:right="152"/>
              <w:jc w:val="center"/>
              <w:rPr>
                <w:sz w:val="20"/>
              </w:rPr>
            </w:pPr>
            <w:r>
              <w:rPr>
                <w:spacing w:val="-2"/>
                <w:sz w:val="20"/>
              </w:rPr>
              <w:t>On-the-books</w:t>
            </w:r>
          </w:p>
        </w:tc>
      </w:tr>
      <w:tr w:rsidR="00C31389" w14:paraId="197BE52A" w14:textId="77777777">
        <w:trPr>
          <w:trHeight w:val="539"/>
        </w:trPr>
        <w:tc>
          <w:tcPr>
            <w:tcW w:w="1367" w:type="dxa"/>
            <w:tcBorders>
              <w:top w:val="single" w:color="D9D9D9" w:sz="2" w:space="0"/>
              <w:bottom w:val="single" w:color="D9D9D9" w:sz="2" w:space="0"/>
            </w:tcBorders>
          </w:tcPr>
          <w:p w:rsidR="00C31389" w:rsidRDefault="00561FBD" w14:paraId="09757380"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9DCA96C" w14:textId="77777777">
            <w:pPr>
              <w:pStyle w:val="TableParagraph"/>
              <w:ind w:left="202" w:right="851"/>
              <w:rPr>
                <w:sz w:val="20"/>
              </w:rPr>
            </w:pPr>
            <w:r>
              <w:rPr>
                <w:sz w:val="20"/>
              </w:rPr>
              <w:t>2022</w:t>
            </w:r>
            <w:r>
              <w:rPr>
                <w:spacing w:val="-7"/>
                <w:sz w:val="20"/>
              </w:rPr>
              <w:t xml:space="preserve"> </w:t>
            </w:r>
            <w:r>
              <w:rPr>
                <w:sz w:val="20"/>
              </w:rPr>
              <w:t>T-24:</w:t>
            </w:r>
            <w:r>
              <w:rPr>
                <w:spacing w:val="-7"/>
                <w:sz w:val="20"/>
              </w:rPr>
              <w:t xml:space="preserve"> </w:t>
            </w:r>
            <w:r>
              <w:rPr>
                <w:sz w:val="20"/>
              </w:rPr>
              <w:t>SFAA</w:t>
            </w:r>
            <w:r>
              <w:rPr>
                <w:spacing w:val="-7"/>
                <w:sz w:val="20"/>
              </w:rPr>
              <w:t xml:space="preserve"> </w:t>
            </w:r>
            <w:r>
              <w:rPr>
                <w:sz w:val="20"/>
              </w:rPr>
              <w:t>-</w:t>
            </w:r>
            <w:r>
              <w:rPr>
                <w:spacing w:val="-7"/>
                <w:sz w:val="20"/>
              </w:rPr>
              <w:t xml:space="preserve"> </w:t>
            </w:r>
            <w:r>
              <w:rPr>
                <w:sz w:val="20"/>
              </w:rPr>
              <w:t>Cool</w:t>
            </w:r>
            <w:r>
              <w:rPr>
                <w:spacing w:val="-7"/>
                <w:sz w:val="20"/>
              </w:rPr>
              <w:t xml:space="preserve"> </w:t>
            </w:r>
            <w:r>
              <w:rPr>
                <w:sz w:val="20"/>
              </w:rPr>
              <w:t>roof</w:t>
            </w:r>
            <w:r>
              <w:rPr>
                <w:spacing w:val="-7"/>
                <w:sz w:val="20"/>
              </w:rPr>
              <w:t xml:space="preserve"> </w:t>
            </w:r>
            <w:r>
              <w:rPr>
                <w:sz w:val="20"/>
              </w:rPr>
              <w:t>for steep-sloped roofs</w:t>
            </w:r>
          </w:p>
        </w:tc>
        <w:tc>
          <w:tcPr>
            <w:tcW w:w="1169" w:type="dxa"/>
            <w:tcBorders>
              <w:top w:val="single" w:color="D9D9D9" w:sz="2" w:space="0"/>
              <w:bottom w:val="single" w:color="D9D9D9" w:sz="2" w:space="0"/>
            </w:tcBorders>
          </w:tcPr>
          <w:p w:rsidR="00C31389" w:rsidRDefault="00561FBD" w14:paraId="215C8FB8"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77024681" w14:textId="77777777">
            <w:pPr>
              <w:pStyle w:val="TableParagraph"/>
              <w:spacing w:before="155"/>
              <w:ind w:right="192"/>
              <w:jc w:val="right"/>
              <w:rPr>
                <w:sz w:val="20"/>
              </w:rPr>
            </w:pPr>
            <w:r>
              <w:rPr>
                <w:spacing w:val="-2"/>
                <w:sz w:val="20"/>
              </w:rPr>
              <w:t>9/15/2014</w:t>
            </w:r>
          </w:p>
        </w:tc>
        <w:tc>
          <w:tcPr>
            <w:tcW w:w="1566" w:type="dxa"/>
            <w:tcBorders>
              <w:top w:val="single" w:color="D9D9D9" w:sz="2" w:space="0"/>
              <w:bottom w:val="single" w:color="D9D9D9" w:sz="2" w:space="0"/>
            </w:tcBorders>
          </w:tcPr>
          <w:p w:rsidR="00C31389" w:rsidRDefault="00561FBD" w14:paraId="2D57B9B3" w14:textId="77777777">
            <w:pPr>
              <w:pStyle w:val="TableParagraph"/>
              <w:spacing w:before="155"/>
              <w:ind w:left="184" w:right="153"/>
              <w:jc w:val="center"/>
              <w:rPr>
                <w:sz w:val="20"/>
              </w:rPr>
            </w:pPr>
            <w:r>
              <w:rPr>
                <w:spacing w:val="-2"/>
                <w:sz w:val="20"/>
              </w:rPr>
              <w:t>On-the-books</w:t>
            </w:r>
          </w:p>
        </w:tc>
      </w:tr>
      <w:tr w:rsidR="00C31389" w14:paraId="38577DB9" w14:textId="77777777">
        <w:trPr>
          <w:trHeight w:val="541"/>
        </w:trPr>
        <w:tc>
          <w:tcPr>
            <w:tcW w:w="1367" w:type="dxa"/>
            <w:tcBorders>
              <w:top w:val="single" w:color="D9D9D9" w:sz="2" w:space="0"/>
              <w:bottom w:val="single" w:color="D9D9D9" w:sz="2" w:space="0"/>
            </w:tcBorders>
          </w:tcPr>
          <w:p w:rsidR="00C31389" w:rsidRDefault="00561FBD" w14:paraId="41134DA1"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1C95FD5F" w14:textId="77777777">
            <w:pPr>
              <w:pStyle w:val="TableParagraph"/>
              <w:spacing w:before="41"/>
              <w:ind w:left="202"/>
              <w:rPr>
                <w:sz w:val="20"/>
              </w:rPr>
            </w:pPr>
            <w:r>
              <w:rPr>
                <w:sz w:val="20"/>
              </w:rPr>
              <w:t>2022</w:t>
            </w:r>
            <w:r>
              <w:rPr>
                <w:spacing w:val="-7"/>
                <w:sz w:val="20"/>
              </w:rPr>
              <w:t xml:space="preserve"> </w:t>
            </w:r>
            <w:r>
              <w:rPr>
                <w:sz w:val="20"/>
              </w:rPr>
              <w:t>T-24:</w:t>
            </w:r>
            <w:r>
              <w:rPr>
                <w:spacing w:val="-7"/>
                <w:sz w:val="20"/>
              </w:rPr>
              <w:t xml:space="preserve"> </w:t>
            </w:r>
            <w:r>
              <w:rPr>
                <w:sz w:val="20"/>
              </w:rPr>
              <w:t>SFAA</w:t>
            </w:r>
            <w:r>
              <w:rPr>
                <w:spacing w:val="-7"/>
                <w:sz w:val="20"/>
              </w:rPr>
              <w:t xml:space="preserve"> </w:t>
            </w:r>
            <w:r>
              <w:rPr>
                <w:sz w:val="20"/>
              </w:rPr>
              <w:t>-</w:t>
            </w:r>
            <w:r>
              <w:rPr>
                <w:spacing w:val="-7"/>
                <w:sz w:val="20"/>
              </w:rPr>
              <w:t xml:space="preserve"> </w:t>
            </w:r>
            <w:r>
              <w:rPr>
                <w:sz w:val="20"/>
              </w:rPr>
              <w:t>Electric</w:t>
            </w:r>
            <w:r>
              <w:rPr>
                <w:spacing w:val="-7"/>
                <w:sz w:val="20"/>
              </w:rPr>
              <w:t xml:space="preserve"> </w:t>
            </w:r>
            <w:r>
              <w:rPr>
                <w:sz w:val="20"/>
              </w:rPr>
              <w:t>resistance space heating</w:t>
            </w:r>
          </w:p>
        </w:tc>
        <w:tc>
          <w:tcPr>
            <w:tcW w:w="1169" w:type="dxa"/>
            <w:tcBorders>
              <w:top w:val="single" w:color="D9D9D9" w:sz="2" w:space="0"/>
              <w:bottom w:val="single" w:color="D9D9D9" w:sz="2" w:space="0"/>
            </w:tcBorders>
          </w:tcPr>
          <w:p w:rsidR="00C31389" w:rsidRDefault="00561FBD" w14:paraId="4125DDDC"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64BD0B2D" w14:textId="77777777">
            <w:pPr>
              <w:pStyle w:val="TableParagraph"/>
              <w:spacing w:before="155"/>
              <w:ind w:right="247"/>
              <w:jc w:val="right"/>
              <w:rPr>
                <w:sz w:val="20"/>
              </w:rPr>
            </w:pPr>
            <w:r>
              <w:rPr>
                <w:spacing w:val="-2"/>
                <w:sz w:val="20"/>
              </w:rPr>
              <w:t>6/1/2014</w:t>
            </w:r>
          </w:p>
        </w:tc>
        <w:tc>
          <w:tcPr>
            <w:tcW w:w="1566" w:type="dxa"/>
            <w:tcBorders>
              <w:top w:val="single" w:color="D9D9D9" w:sz="2" w:space="0"/>
              <w:bottom w:val="single" w:color="D9D9D9" w:sz="2" w:space="0"/>
            </w:tcBorders>
          </w:tcPr>
          <w:p w:rsidR="00C31389" w:rsidRDefault="00561FBD" w14:paraId="43629769" w14:textId="77777777">
            <w:pPr>
              <w:pStyle w:val="TableParagraph"/>
              <w:spacing w:before="155"/>
              <w:ind w:left="184" w:right="152"/>
              <w:jc w:val="center"/>
              <w:rPr>
                <w:sz w:val="20"/>
              </w:rPr>
            </w:pPr>
            <w:r>
              <w:rPr>
                <w:spacing w:val="-2"/>
                <w:sz w:val="20"/>
              </w:rPr>
              <w:t>On-the-books</w:t>
            </w:r>
          </w:p>
        </w:tc>
      </w:tr>
      <w:tr w:rsidR="00C31389" w14:paraId="76DD6B1C" w14:textId="77777777">
        <w:trPr>
          <w:trHeight w:val="539"/>
        </w:trPr>
        <w:tc>
          <w:tcPr>
            <w:tcW w:w="1367" w:type="dxa"/>
            <w:tcBorders>
              <w:top w:val="single" w:color="D9D9D9" w:sz="2" w:space="0"/>
              <w:bottom w:val="single" w:color="D9D9D9" w:sz="2" w:space="0"/>
            </w:tcBorders>
          </w:tcPr>
          <w:p w:rsidR="00C31389" w:rsidRDefault="00561FBD" w14:paraId="0F7EEF3D"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13ACA026"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SFAA</w:t>
            </w:r>
            <w:r>
              <w:rPr>
                <w:spacing w:val="-8"/>
                <w:sz w:val="20"/>
              </w:rPr>
              <w:t xml:space="preserve"> </w:t>
            </w:r>
            <w:r>
              <w:rPr>
                <w:sz w:val="20"/>
              </w:rPr>
              <w:t>-</w:t>
            </w:r>
            <w:r>
              <w:rPr>
                <w:spacing w:val="-8"/>
                <w:sz w:val="20"/>
              </w:rPr>
              <w:t xml:space="preserve"> </w:t>
            </w:r>
            <w:r>
              <w:rPr>
                <w:sz w:val="20"/>
              </w:rPr>
              <w:t>Prescriptive</w:t>
            </w:r>
            <w:r>
              <w:rPr>
                <w:spacing w:val="-8"/>
                <w:sz w:val="20"/>
              </w:rPr>
              <w:t xml:space="preserve"> </w:t>
            </w:r>
            <w:r>
              <w:rPr>
                <w:sz w:val="20"/>
              </w:rPr>
              <w:t>attic insulation for additions</w:t>
            </w:r>
          </w:p>
        </w:tc>
        <w:tc>
          <w:tcPr>
            <w:tcW w:w="1169" w:type="dxa"/>
            <w:tcBorders>
              <w:top w:val="single" w:color="D9D9D9" w:sz="2" w:space="0"/>
              <w:bottom w:val="single" w:color="D9D9D9" w:sz="2" w:space="0"/>
            </w:tcBorders>
          </w:tcPr>
          <w:p w:rsidR="00C31389" w:rsidRDefault="00561FBD" w14:paraId="608892FE"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727BF529" w14:textId="77777777">
            <w:pPr>
              <w:pStyle w:val="TableParagraph"/>
              <w:spacing w:before="155"/>
              <w:ind w:right="192"/>
              <w:jc w:val="right"/>
              <w:rPr>
                <w:sz w:val="20"/>
              </w:rPr>
            </w:pPr>
            <w:r>
              <w:rPr>
                <w:spacing w:val="-2"/>
                <w:sz w:val="20"/>
              </w:rPr>
              <w:t>10/9/2015</w:t>
            </w:r>
          </w:p>
        </w:tc>
        <w:tc>
          <w:tcPr>
            <w:tcW w:w="1566" w:type="dxa"/>
            <w:tcBorders>
              <w:top w:val="single" w:color="D9D9D9" w:sz="2" w:space="0"/>
              <w:bottom w:val="single" w:color="D9D9D9" w:sz="2" w:space="0"/>
            </w:tcBorders>
          </w:tcPr>
          <w:p w:rsidR="00C31389" w:rsidRDefault="00561FBD" w14:paraId="18790C66" w14:textId="77777777">
            <w:pPr>
              <w:pStyle w:val="TableParagraph"/>
              <w:spacing w:before="155"/>
              <w:ind w:left="184" w:right="152"/>
              <w:jc w:val="center"/>
              <w:rPr>
                <w:sz w:val="20"/>
              </w:rPr>
            </w:pPr>
            <w:r>
              <w:rPr>
                <w:spacing w:val="-2"/>
                <w:sz w:val="20"/>
              </w:rPr>
              <w:t>On-the-books</w:t>
            </w:r>
          </w:p>
        </w:tc>
      </w:tr>
      <w:tr w:rsidR="00C31389" w14:paraId="47630292" w14:textId="77777777">
        <w:trPr>
          <w:trHeight w:val="539"/>
        </w:trPr>
        <w:tc>
          <w:tcPr>
            <w:tcW w:w="1367" w:type="dxa"/>
            <w:tcBorders>
              <w:top w:val="single" w:color="D9D9D9" w:sz="2" w:space="0"/>
              <w:bottom w:val="single" w:color="D9D9D9" w:sz="2" w:space="0"/>
            </w:tcBorders>
          </w:tcPr>
          <w:p w:rsidR="00C31389" w:rsidRDefault="00561FBD" w14:paraId="27630B02"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1DAA0CB1"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SFAA</w:t>
            </w:r>
            <w:r>
              <w:rPr>
                <w:spacing w:val="-8"/>
                <w:sz w:val="20"/>
              </w:rPr>
              <w:t xml:space="preserve"> </w:t>
            </w:r>
            <w:r>
              <w:rPr>
                <w:sz w:val="20"/>
              </w:rPr>
              <w:t>-</w:t>
            </w:r>
            <w:r>
              <w:rPr>
                <w:spacing w:val="-8"/>
                <w:sz w:val="20"/>
              </w:rPr>
              <w:t xml:space="preserve"> </w:t>
            </w:r>
            <w:r>
              <w:rPr>
                <w:sz w:val="20"/>
              </w:rPr>
              <w:t>Prescriptive</w:t>
            </w:r>
            <w:r>
              <w:rPr>
                <w:spacing w:val="-8"/>
                <w:sz w:val="20"/>
              </w:rPr>
              <w:t xml:space="preserve"> </w:t>
            </w:r>
            <w:r>
              <w:rPr>
                <w:sz w:val="20"/>
              </w:rPr>
              <w:t>attic insulation for alterations</w:t>
            </w:r>
          </w:p>
        </w:tc>
        <w:tc>
          <w:tcPr>
            <w:tcW w:w="1169" w:type="dxa"/>
            <w:tcBorders>
              <w:top w:val="single" w:color="D9D9D9" w:sz="2" w:space="0"/>
              <w:bottom w:val="single" w:color="D9D9D9" w:sz="2" w:space="0"/>
            </w:tcBorders>
          </w:tcPr>
          <w:p w:rsidR="00C31389" w:rsidRDefault="00561FBD" w14:paraId="1FB5A849"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1705C506" w14:textId="77777777">
            <w:pPr>
              <w:pStyle w:val="TableParagraph"/>
              <w:spacing w:before="155"/>
              <w:ind w:right="247"/>
              <w:jc w:val="right"/>
              <w:rPr>
                <w:sz w:val="20"/>
              </w:rPr>
            </w:pPr>
            <w:r>
              <w:rPr>
                <w:spacing w:val="-2"/>
                <w:sz w:val="20"/>
              </w:rPr>
              <w:t>6/1/2013</w:t>
            </w:r>
          </w:p>
        </w:tc>
        <w:tc>
          <w:tcPr>
            <w:tcW w:w="1566" w:type="dxa"/>
            <w:tcBorders>
              <w:top w:val="single" w:color="D9D9D9" w:sz="2" w:space="0"/>
              <w:bottom w:val="single" w:color="D9D9D9" w:sz="2" w:space="0"/>
            </w:tcBorders>
          </w:tcPr>
          <w:p w:rsidR="00C31389" w:rsidRDefault="00561FBD" w14:paraId="53643C1D" w14:textId="77777777">
            <w:pPr>
              <w:pStyle w:val="TableParagraph"/>
              <w:spacing w:before="155"/>
              <w:ind w:left="184" w:right="152"/>
              <w:jc w:val="center"/>
              <w:rPr>
                <w:sz w:val="20"/>
              </w:rPr>
            </w:pPr>
            <w:r>
              <w:rPr>
                <w:spacing w:val="-2"/>
                <w:sz w:val="20"/>
              </w:rPr>
              <w:t>On-the-books</w:t>
            </w:r>
          </w:p>
        </w:tc>
      </w:tr>
      <w:tr w:rsidR="00C31389" w14:paraId="2798C825" w14:textId="77777777">
        <w:trPr>
          <w:trHeight w:val="539"/>
        </w:trPr>
        <w:tc>
          <w:tcPr>
            <w:tcW w:w="1367" w:type="dxa"/>
            <w:tcBorders>
              <w:top w:val="single" w:color="D9D9D9" w:sz="2" w:space="0"/>
              <w:bottom w:val="single" w:color="D9D9D9" w:sz="2" w:space="0"/>
            </w:tcBorders>
          </w:tcPr>
          <w:p w:rsidR="00C31389" w:rsidRDefault="00561FBD" w14:paraId="3C66734E"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41625020"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SFAA</w:t>
            </w:r>
            <w:r>
              <w:rPr>
                <w:spacing w:val="-8"/>
                <w:sz w:val="20"/>
              </w:rPr>
              <w:t xml:space="preserve"> </w:t>
            </w:r>
            <w:r>
              <w:rPr>
                <w:sz w:val="20"/>
              </w:rPr>
              <w:t>-</w:t>
            </w:r>
            <w:r>
              <w:rPr>
                <w:spacing w:val="-8"/>
                <w:sz w:val="20"/>
              </w:rPr>
              <w:t xml:space="preserve"> </w:t>
            </w:r>
            <w:r>
              <w:rPr>
                <w:sz w:val="20"/>
              </w:rPr>
              <w:t>Prescriptive</w:t>
            </w:r>
            <w:r>
              <w:rPr>
                <w:spacing w:val="-8"/>
                <w:sz w:val="20"/>
              </w:rPr>
              <w:t xml:space="preserve"> </w:t>
            </w:r>
            <w:r>
              <w:rPr>
                <w:sz w:val="20"/>
              </w:rPr>
              <w:t xml:space="preserve">duct </w:t>
            </w:r>
            <w:r>
              <w:rPr>
                <w:spacing w:val="-2"/>
                <w:sz w:val="20"/>
              </w:rPr>
              <w:t>insulation</w:t>
            </w:r>
          </w:p>
        </w:tc>
        <w:tc>
          <w:tcPr>
            <w:tcW w:w="1169" w:type="dxa"/>
            <w:tcBorders>
              <w:top w:val="single" w:color="D9D9D9" w:sz="2" w:space="0"/>
              <w:bottom w:val="single" w:color="D9D9D9" w:sz="2" w:space="0"/>
            </w:tcBorders>
          </w:tcPr>
          <w:p w:rsidR="00C31389" w:rsidRDefault="00561FBD" w14:paraId="73A8BED4"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2BADB7BD" w14:textId="77777777">
            <w:pPr>
              <w:pStyle w:val="TableParagraph"/>
              <w:spacing w:before="155"/>
              <w:ind w:right="247"/>
              <w:jc w:val="right"/>
              <w:rPr>
                <w:sz w:val="20"/>
              </w:rPr>
            </w:pPr>
            <w:r>
              <w:rPr>
                <w:spacing w:val="-2"/>
                <w:sz w:val="20"/>
              </w:rPr>
              <w:t>3/9/2015</w:t>
            </w:r>
          </w:p>
        </w:tc>
        <w:tc>
          <w:tcPr>
            <w:tcW w:w="1566" w:type="dxa"/>
            <w:tcBorders>
              <w:top w:val="single" w:color="D9D9D9" w:sz="2" w:space="0"/>
              <w:bottom w:val="single" w:color="D9D9D9" w:sz="2" w:space="0"/>
            </w:tcBorders>
          </w:tcPr>
          <w:p w:rsidR="00C31389" w:rsidRDefault="00561FBD" w14:paraId="426E96B7" w14:textId="77777777">
            <w:pPr>
              <w:pStyle w:val="TableParagraph"/>
              <w:spacing w:before="155"/>
              <w:ind w:left="184" w:right="152"/>
              <w:jc w:val="center"/>
              <w:rPr>
                <w:sz w:val="20"/>
              </w:rPr>
            </w:pPr>
            <w:r>
              <w:rPr>
                <w:spacing w:val="-2"/>
                <w:sz w:val="20"/>
              </w:rPr>
              <w:t>On-the-books</w:t>
            </w:r>
          </w:p>
        </w:tc>
      </w:tr>
      <w:tr w:rsidR="00C31389" w14:paraId="04FD1C22" w14:textId="77777777">
        <w:trPr>
          <w:trHeight w:val="539"/>
        </w:trPr>
        <w:tc>
          <w:tcPr>
            <w:tcW w:w="1367" w:type="dxa"/>
            <w:tcBorders>
              <w:top w:val="single" w:color="D9D9D9" w:sz="2" w:space="0"/>
              <w:bottom w:val="single" w:color="D9D9D9" w:sz="2" w:space="0"/>
            </w:tcBorders>
          </w:tcPr>
          <w:p w:rsidR="00C31389" w:rsidRDefault="00561FBD" w14:paraId="2B42E8DE"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40EC53AE"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SFAA</w:t>
            </w:r>
            <w:r>
              <w:rPr>
                <w:spacing w:val="-8"/>
                <w:sz w:val="20"/>
              </w:rPr>
              <w:t xml:space="preserve"> </w:t>
            </w:r>
            <w:r>
              <w:rPr>
                <w:sz w:val="20"/>
              </w:rPr>
              <w:t>-</w:t>
            </w:r>
            <w:r>
              <w:rPr>
                <w:spacing w:val="-8"/>
                <w:sz w:val="20"/>
              </w:rPr>
              <w:t xml:space="preserve"> </w:t>
            </w:r>
            <w:r>
              <w:rPr>
                <w:sz w:val="20"/>
              </w:rPr>
              <w:t>Prescriptive</w:t>
            </w:r>
            <w:r>
              <w:rPr>
                <w:spacing w:val="-8"/>
                <w:sz w:val="20"/>
              </w:rPr>
              <w:t xml:space="preserve"> </w:t>
            </w:r>
            <w:r>
              <w:rPr>
                <w:sz w:val="20"/>
              </w:rPr>
              <w:t xml:space="preserve">duct </w:t>
            </w:r>
            <w:r>
              <w:rPr>
                <w:spacing w:val="-2"/>
                <w:sz w:val="20"/>
              </w:rPr>
              <w:t>sealing</w:t>
            </w:r>
          </w:p>
        </w:tc>
        <w:tc>
          <w:tcPr>
            <w:tcW w:w="1169" w:type="dxa"/>
            <w:tcBorders>
              <w:top w:val="single" w:color="D9D9D9" w:sz="2" w:space="0"/>
              <w:bottom w:val="single" w:color="D9D9D9" w:sz="2" w:space="0"/>
            </w:tcBorders>
          </w:tcPr>
          <w:p w:rsidR="00C31389" w:rsidRDefault="00561FBD" w14:paraId="45531B8B"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20547B77" w14:textId="77777777">
            <w:pPr>
              <w:pStyle w:val="TableParagraph"/>
              <w:spacing w:before="155"/>
              <w:ind w:right="247"/>
              <w:jc w:val="right"/>
              <w:rPr>
                <w:sz w:val="20"/>
              </w:rPr>
            </w:pPr>
            <w:r>
              <w:rPr>
                <w:spacing w:val="-2"/>
                <w:sz w:val="20"/>
              </w:rPr>
              <w:t>6/5/2017</w:t>
            </w:r>
          </w:p>
        </w:tc>
        <w:tc>
          <w:tcPr>
            <w:tcW w:w="1566" w:type="dxa"/>
            <w:tcBorders>
              <w:top w:val="single" w:color="D9D9D9" w:sz="2" w:space="0"/>
              <w:bottom w:val="single" w:color="D9D9D9" w:sz="2" w:space="0"/>
            </w:tcBorders>
          </w:tcPr>
          <w:p w:rsidR="00C31389" w:rsidRDefault="00561FBD" w14:paraId="64114125" w14:textId="77777777">
            <w:pPr>
              <w:pStyle w:val="TableParagraph"/>
              <w:spacing w:before="155"/>
              <w:ind w:left="184" w:right="152"/>
              <w:jc w:val="center"/>
              <w:rPr>
                <w:sz w:val="20"/>
              </w:rPr>
            </w:pPr>
            <w:r>
              <w:rPr>
                <w:spacing w:val="-2"/>
                <w:sz w:val="20"/>
              </w:rPr>
              <w:t>On-the-books</w:t>
            </w:r>
          </w:p>
        </w:tc>
      </w:tr>
      <w:tr w:rsidR="00C31389" w14:paraId="2F5A56F9" w14:textId="77777777">
        <w:trPr>
          <w:trHeight w:val="539"/>
        </w:trPr>
        <w:tc>
          <w:tcPr>
            <w:tcW w:w="1367" w:type="dxa"/>
            <w:tcBorders>
              <w:top w:val="single" w:color="D9D9D9" w:sz="2" w:space="0"/>
              <w:bottom w:val="single" w:color="D9D9D9" w:sz="2" w:space="0"/>
            </w:tcBorders>
          </w:tcPr>
          <w:p w:rsidR="00C31389" w:rsidRDefault="00561FBD" w14:paraId="7D2D0935"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43C733AF" w14:textId="77777777">
            <w:pPr>
              <w:pStyle w:val="TableParagraph"/>
              <w:ind w:left="202" w:right="392"/>
              <w:rPr>
                <w:sz w:val="20"/>
              </w:rPr>
            </w:pPr>
            <w:r>
              <w:rPr>
                <w:sz w:val="20"/>
              </w:rPr>
              <w:t>2022</w:t>
            </w:r>
            <w:r>
              <w:rPr>
                <w:spacing w:val="-4"/>
                <w:sz w:val="20"/>
              </w:rPr>
              <w:t xml:space="preserve"> </w:t>
            </w:r>
            <w:r>
              <w:rPr>
                <w:sz w:val="20"/>
              </w:rPr>
              <w:t>T-24:</w:t>
            </w:r>
            <w:r>
              <w:rPr>
                <w:spacing w:val="-4"/>
                <w:sz w:val="20"/>
              </w:rPr>
              <w:t xml:space="preserve"> </w:t>
            </w:r>
            <w:r>
              <w:rPr>
                <w:sz w:val="20"/>
              </w:rPr>
              <w:t>SFAA</w:t>
            </w:r>
            <w:r>
              <w:rPr>
                <w:spacing w:val="-4"/>
                <w:sz w:val="20"/>
              </w:rPr>
              <w:t xml:space="preserve"> </w:t>
            </w:r>
            <w:r>
              <w:rPr>
                <w:sz w:val="20"/>
              </w:rPr>
              <w:t>-</w:t>
            </w:r>
            <w:r>
              <w:rPr>
                <w:spacing w:val="-4"/>
                <w:sz w:val="20"/>
              </w:rPr>
              <w:t xml:space="preserve"> </w:t>
            </w:r>
            <w:r>
              <w:rPr>
                <w:sz w:val="20"/>
              </w:rPr>
              <w:t>Roof</w:t>
            </w:r>
            <w:r>
              <w:rPr>
                <w:spacing w:val="-4"/>
                <w:sz w:val="20"/>
              </w:rPr>
              <w:t xml:space="preserve"> </w:t>
            </w:r>
            <w:r>
              <w:rPr>
                <w:sz w:val="20"/>
              </w:rPr>
              <w:t>deck insulation</w:t>
            </w:r>
            <w:r>
              <w:rPr>
                <w:spacing w:val="-5"/>
                <w:sz w:val="20"/>
              </w:rPr>
              <w:t xml:space="preserve"> </w:t>
            </w:r>
            <w:r>
              <w:rPr>
                <w:sz w:val="20"/>
              </w:rPr>
              <w:t>for</w:t>
            </w:r>
            <w:r>
              <w:rPr>
                <w:spacing w:val="-6"/>
                <w:sz w:val="20"/>
              </w:rPr>
              <w:t xml:space="preserve"> </w:t>
            </w:r>
            <w:r>
              <w:rPr>
                <w:sz w:val="20"/>
              </w:rPr>
              <w:t>low-sloped</w:t>
            </w:r>
            <w:r>
              <w:rPr>
                <w:spacing w:val="-5"/>
                <w:sz w:val="20"/>
              </w:rPr>
              <w:t xml:space="preserve"> </w:t>
            </w:r>
            <w:r>
              <w:rPr>
                <w:spacing w:val="-4"/>
                <w:sz w:val="20"/>
              </w:rPr>
              <w:t>roofs</w:t>
            </w:r>
          </w:p>
        </w:tc>
        <w:tc>
          <w:tcPr>
            <w:tcW w:w="1169" w:type="dxa"/>
            <w:tcBorders>
              <w:top w:val="single" w:color="D9D9D9" w:sz="2" w:space="0"/>
              <w:bottom w:val="single" w:color="D9D9D9" w:sz="2" w:space="0"/>
            </w:tcBorders>
          </w:tcPr>
          <w:p w:rsidR="00C31389" w:rsidRDefault="00561FBD" w14:paraId="4C169D1C"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1A962187" w14:textId="77777777">
            <w:pPr>
              <w:pStyle w:val="TableParagraph"/>
              <w:spacing w:before="155"/>
              <w:ind w:right="248"/>
              <w:jc w:val="right"/>
              <w:rPr>
                <w:sz w:val="20"/>
              </w:rPr>
            </w:pPr>
            <w:r>
              <w:rPr>
                <w:spacing w:val="-2"/>
                <w:sz w:val="20"/>
              </w:rPr>
              <w:t>1/1/2016</w:t>
            </w:r>
          </w:p>
        </w:tc>
        <w:tc>
          <w:tcPr>
            <w:tcW w:w="1566" w:type="dxa"/>
            <w:tcBorders>
              <w:top w:val="single" w:color="D9D9D9" w:sz="2" w:space="0"/>
              <w:bottom w:val="single" w:color="D9D9D9" w:sz="2" w:space="0"/>
            </w:tcBorders>
          </w:tcPr>
          <w:p w:rsidR="00C31389" w:rsidRDefault="00561FBD" w14:paraId="0C90F02B" w14:textId="77777777">
            <w:pPr>
              <w:pStyle w:val="TableParagraph"/>
              <w:spacing w:before="155"/>
              <w:ind w:left="184" w:right="153"/>
              <w:jc w:val="center"/>
              <w:rPr>
                <w:sz w:val="20"/>
              </w:rPr>
            </w:pPr>
            <w:r>
              <w:rPr>
                <w:spacing w:val="-2"/>
                <w:sz w:val="20"/>
              </w:rPr>
              <w:t>On-the-books</w:t>
            </w:r>
          </w:p>
        </w:tc>
      </w:tr>
      <w:tr w:rsidR="00C31389" w14:paraId="4616B54F" w14:textId="77777777">
        <w:trPr>
          <w:trHeight w:val="539"/>
        </w:trPr>
        <w:tc>
          <w:tcPr>
            <w:tcW w:w="1367" w:type="dxa"/>
            <w:tcBorders>
              <w:top w:val="single" w:color="D9D9D9" w:sz="2" w:space="0"/>
              <w:bottom w:val="single" w:color="D9D9D9" w:sz="2" w:space="0"/>
            </w:tcBorders>
          </w:tcPr>
          <w:p w:rsidR="00C31389" w:rsidRDefault="00561FBD" w14:paraId="37C74E86"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41C29C4" w14:textId="77777777">
            <w:pPr>
              <w:pStyle w:val="TableParagraph"/>
              <w:ind w:left="202"/>
              <w:rPr>
                <w:sz w:val="20"/>
              </w:rPr>
            </w:pPr>
            <w:r>
              <w:rPr>
                <w:sz w:val="20"/>
              </w:rPr>
              <w:t>2022</w:t>
            </w:r>
            <w:r>
              <w:rPr>
                <w:spacing w:val="-7"/>
                <w:sz w:val="20"/>
              </w:rPr>
              <w:t xml:space="preserve"> </w:t>
            </w:r>
            <w:r>
              <w:rPr>
                <w:sz w:val="20"/>
              </w:rPr>
              <w:t>T-24:</w:t>
            </w:r>
            <w:r>
              <w:rPr>
                <w:spacing w:val="-7"/>
                <w:sz w:val="20"/>
              </w:rPr>
              <w:t xml:space="preserve"> </w:t>
            </w:r>
            <w:r>
              <w:rPr>
                <w:sz w:val="20"/>
              </w:rPr>
              <w:t>MFA</w:t>
            </w:r>
            <w:r>
              <w:rPr>
                <w:spacing w:val="-7"/>
                <w:sz w:val="20"/>
              </w:rPr>
              <w:t xml:space="preserve"> </w:t>
            </w:r>
            <w:r>
              <w:rPr>
                <w:sz w:val="20"/>
              </w:rPr>
              <w:t>-</w:t>
            </w:r>
            <w:r>
              <w:rPr>
                <w:spacing w:val="-7"/>
                <w:sz w:val="20"/>
              </w:rPr>
              <w:t xml:space="preserve"> </w:t>
            </w:r>
            <w:r>
              <w:rPr>
                <w:sz w:val="20"/>
              </w:rPr>
              <w:t>Outdoor</w:t>
            </w:r>
            <w:r>
              <w:rPr>
                <w:spacing w:val="-6"/>
                <w:sz w:val="20"/>
              </w:rPr>
              <w:t xml:space="preserve"> </w:t>
            </w:r>
            <w:r>
              <w:rPr>
                <w:sz w:val="20"/>
              </w:rPr>
              <w:t>Lighting</w:t>
            </w:r>
            <w:r>
              <w:rPr>
                <w:spacing w:val="-7"/>
                <w:sz w:val="20"/>
              </w:rPr>
              <w:t xml:space="preserve"> </w:t>
            </w:r>
            <w:r>
              <w:rPr>
                <w:sz w:val="20"/>
              </w:rPr>
              <w:t xml:space="preserve">- </w:t>
            </w:r>
            <w:r>
              <w:rPr>
                <w:sz w:val="20"/>
              </w:rPr>
              <w:t>Power Allowances</w:t>
            </w:r>
          </w:p>
        </w:tc>
        <w:tc>
          <w:tcPr>
            <w:tcW w:w="1169" w:type="dxa"/>
            <w:tcBorders>
              <w:top w:val="single" w:color="D9D9D9" w:sz="2" w:space="0"/>
              <w:bottom w:val="single" w:color="D9D9D9" w:sz="2" w:space="0"/>
            </w:tcBorders>
          </w:tcPr>
          <w:p w:rsidR="00C31389" w:rsidRDefault="00561FBD" w14:paraId="777B4228"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4EA5DF68" w14:textId="77777777">
            <w:pPr>
              <w:pStyle w:val="TableParagraph"/>
              <w:spacing w:before="155"/>
              <w:ind w:right="247"/>
              <w:jc w:val="right"/>
              <w:rPr>
                <w:sz w:val="20"/>
              </w:rPr>
            </w:pPr>
            <w:r>
              <w:rPr>
                <w:spacing w:val="-2"/>
                <w:sz w:val="20"/>
              </w:rPr>
              <w:t>1/1/2018</w:t>
            </w:r>
          </w:p>
        </w:tc>
        <w:tc>
          <w:tcPr>
            <w:tcW w:w="1566" w:type="dxa"/>
            <w:tcBorders>
              <w:top w:val="single" w:color="D9D9D9" w:sz="2" w:space="0"/>
              <w:bottom w:val="single" w:color="D9D9D9" w:sz="2" w:space="0"/>
            </w:tcBorders>
          </w:tcPr>
          <w:p w:rsidR="00C31389" w:rsidRDefault="00561FBD" w14:paraId="4C7881C1" w14:textId="77777777">
            <w:pPr>
              <w:pStyle w:val="TableParagraph"/>
              <w:spacing w:before="155"/>
              <w:ind w:left="184" w:right="152"/>
              <w:jc w:val="center"/>
              <w:rPr>
                <w:sz w:val="20"/>
              </w:rPr>
            </w:pPr>
            <w:r>
              <w:rPr>
                <w:spacing w:val="-2"/>
                <w:sz w:val="20"/>
              </w:rPr>
              <w:t>On-the-books</w:t>
            </w:r>
          </w:p>
        </w:tc>
      </w:tr>
      <w:tr w:rsidR="00C31389" w14:paraId="40EE2236" w14:textId="77777777">
        <w:trPr>
          <w:trHeight w:val="540"/>
        </w:trPr>
        <w:tc>
          <w:tcPr>
            <w:tcW w:w="1367" w:type="dxa"/>
            <w:tcBorders>
              <w:top w:val="single" w:color="D9D9D9" w:sz="2" w:space="0"/>
              <w:bottom w:val="single" w:color="D9D9D9" w:sz="2" w:space="0"/>
            </w:tcBorders>
          </w:tcPr>
          <w:p w:rsidR="00C31389" w:rsidRDefault="00561FBD" w14:paraId="70367CA0"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557F9A9" w14:textId="77777777">
            <w:pPr>
              <w:pStyle w:val="TableParagraph"/>
              <w:spacing w:before="41"/>
              <w:ind w:left="202" w:right="392"/>
              <w:rPr>
                <w:sz w:val="20"/>
              </w:rPr>
            </w:pPr>
            <w:r>
              <w:rPr>
                <w:sz w:val="20"/>
              </w:rPr>
              <w:t>2022</w:t>
            </w:r>
            <w:r>
              <w:rPr>
                <w:spacing w:val="-8"/>
                <w:sz w:val="20"/>
              </w:rPr>
              <w:t xml:space="preserve"> </w:t>
            </w:r>
            <w:r>
              <w:rPr>
                <w:sz w:val="20"/>
              </w:rPr>
              <w:t>T-24:</w:t>
            </w:r>
            <w:r>
              <w:rPr>
                <w:spacing w:val="-8"/>
                <w:sz w:val="20"/>
              </w:rPr>
              <w:t xml:space="preserve"> </w:t>
            </w:r>
            <w:r>
              <w:rPr>
                <w:sz w:val="20"/>
              </w:rPr>
              <w:t>MFA</w:t>
            </w:r>
            <w:r>
              <w:rPr>
                <w:spacing w:val="-8"/>
                <w:sz w:val="20"/>
              </w:rPr>
              <w:t xml:space="preserve"> </w:t>
            </w:r>
            <w:r>
              <w:rPr>
                <w:sz w:val="20"/>
              </w:rPr>
              <w:t>-</w:t>
            </w:r>
            <w:r>
              <w:rPr>
                <w:spacing w:val="-8"/>
                <w:sz w:val="20"/>
              </w:rPr>
              <w:t xml:space="preserve"> </w:t>
            </w:r>
            <w:r>
              <w:rPr>
                <w:sz w:val="20"/>
              </w:rPr>
              <w:t>Restructuring</w:t>
            </w:r>
            <w:r>
              <w:rPr>
                <w:spacing w:val="-8"/>
                <w:sz w:val="20"/>
              </w:rPr>
              <w:t xml:space="preserve"> </w:t>
            </w:r>
            <w:r>
              <w:rPr>
                <w:sz w:val="20"/>
              </w:rPr>
              <w:t>- Airflow and Fan Watt Draw</w:t>
            </w:r>
          </w:p>
        </w:tc>
        <w:tc>
          <w:tcPr>
            <w:tcW w:w="1169" w:type="dxa"/>
            <w:tcBorders>
              <w:top w:val="single" w:color="D9D9D9" w:sz="2" w:space="0"/>
              <w:bottom w:val="single" w:color="D9D9D9" w:sz="2" w:space="0"/>
            </w:tcBorders>
          </w:tcPr>
          <w:p w:rsidR="00C31389" w:rsidRDefault="00561FBD" w14:paraId="4B11CC31"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04D36120" w14:textId="77777777">
            <w:pPr>
              <w:pStyle w:val="TableParagraph"/>
              <w:spacing w:before="155"/>
              <w:ind w:right="247"/>
              <w:jc w:val="right"/>
              <w:rPr>
                <w:sz w:val="20"/>
              </w:rPr>
            </w:pPr>
            <w:r>
              <w:rPr>
                <w:spacing w:val="-2"/>
                <w:sz w:val="20"/>
              </w:rPr>
              <w:t>1/1/2018</w:t>
            </w:r>
          </w:p>
        </w:tc>
        <w:tc>
          <w:tcPr>
            <w:tcW w:w="1566" w:type="dxa"/>
            <w:tcBorders>
              <w:top w:val="single" w:color="D9D9D9" w:sz="2" w:space="0"/>
              <w:bottom w:val="single" w:color="D9D9D9" w:sz="2" w:space="0"/>
            </w:tcBorders>
          </w:tcPr>
          <w:p w:rsidR="00C31389" w:rsidRDefault="00561FBD" w14:paraId="3C41BCA0" w14:textId="77777777">
            <w:pPr>
              <w:pStyle w:val="TableParagraph"/>
              <w:spacing w:before="155"/>
              <w:ind w:left="184" w:right="152"/>
              <w:jc w:val="center"/>
              <w:rPr>
                <w:sz w:val="20"/>
              </w:rPr>
            </w:pPr>
            <w:r>
              <w:rPr>
                <w:spacing w:val="-2"/>
                <w:sz w:val="20"/>
              </w:rPr>
              <w:t>On-the-books</w:t>
            </w:r>
          </w:p>
        </w:tc>
      </w:tr>
      <w:tr w:rsidR="00C31389" w14:paraId="58D13BDF" w14:textId="77777777">
        <w:trPr>
          <w:trHeight w:val="539"/>
        </w:trPr>
        <w:tc>
          <w:tcPr>
            <w:tcW w:w="1367" w:type="dxa"/>
            <w:tcBorders>
              <w:top w:val="single" w:color="D9D9D9" w:sz="2" w:space="0"/>
              <w:bottom w:val="single" w:color="D9D9D9" w:sz="2" w:space="0"/>
            </w:tcBorders>
          </w:tcPr>
          <w:p w:rsidR="00C31389" w:rsidRDefault="00561FBD" w14:paraId="0AA35487"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36EE6987" w14:textId="77777777">
            <w:pPr>
              <w:pStyle w:val="TableParagraph"/>
              <w:ind w:left="202" w:right="392"/>
              <w:rPr>
                <w:sz w:val="20"/>
              </w:rPr>
            </w:pPr>
            <w:r>
              <w:rPr>
                <w:sz w:val="20"/>
              </w:rPr>
              <w:t>2022</w:t>
            </w:r>
            <w:r>
              <w:rPr>
                <w:spacing w:val="-8"/>
                <w:sz w:val="20"/>
              </w:rPr>
              <w:t xml:space="preserve"> </w:t>
            </w:r>
            <w:r>
              <w:rPr>
                <w:sz w:val="20"/>
              </w:rPr>
              <w:t>T-24:</w:t>
            </w:r>
            <w:r>
              <w:rPr>
                <w:spacing w:val="-8"/>
                <w:sz w:val="20"/>
              </w:rPr>
              <w:t xml:space="preserve"> </w:t>
            </w:r>
            <w:r>
              <w:rPr>
                <w:sz w:val="20"/>
              </w:rPr>
              <w:t>MFA</w:t>
            </w:r>
            <w:r>
              <w:rPr>
                <w:spacing w:val="-8"/>
                <w:sz w:val="20"/>
              </w:rPr>
              <w:t xml:space="preserve"> </w:t>
            </w:r>
            <w:r>
              <w:rPr>
                <w:sz w:val="20"/>
              </w:rPr>
              <w:t>-</w:t>
            </w:r>
            <w:r>
              <w:rPr>
                <w:spacing w:val="-7"/>
                <w:sz w:val="20"/>
              </w:rPr>
              <w:t xml:space="preserve"> </w:t>
            </w:r>
            <w:r>
              <w:rPr>
                <w:sz w:val="20"/>
              </w:rPr>
              <w:t>Restructuring</w:t>
            </w:r>
            <w:r>
              <w:rPr>
                <w:spacing w:val="-9"/>
                <w:sz w:val="20"/>
              </w:rPr>
              <w:t xml:space="preserve"> </w:t>
            </w:r>
            <w:r>
              <w:rPr>
                <w:sz w:val="20"/>
              </w:rPr>
              <w:t>- Duct Sealing and Testing</w:t>
            </w:r>
          </w:p>
        </w:tc>
        <w:tc>
          <w:tcPr>
            <w:tcW w:w="1169" w:type="dxa"/>
            <w:tcBorders>
              <w:top w:val="single" w:color="D9D9D9" w:sz="2" w:space="0"/>
              <w:bottom w:val="single" w:color="D9D9D9" w:sz="2" w:space="0"/>
            </w:tcBorders>
          </w:tcPr>
          <w:p w:rsidR="00C31389" w:rsidRDefault="00561FBD" w14:paraId="73533981"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5AD2056B" w14:textId="77777777">
            <w:pPr>
              <w:pStyle w:val="TableParagraph"/>
              <w:spacing w:before="155"/>
              <w:ind w:right="247"/>
              <w:jc w:val="right"/>
              <w:rPr>
                <w:sz w:val="20"/>
              </w:rPr>
            </w:pPr>
            <w:r>
              <w:rPr>
                <w:spacing w:val="-2"/>
                <w:sz w:val="20"/>
              </w:rPr>
              <w:t>7/1/2016</w:t>
            </w:r>
          </w:p>
        </w:tc>
        <w:tc>
          <w:tcPr>
            <w:tcW w:w="1566" w:type="dxa"/>
            <w:tcBorders>
              <w:top w:val="single" w:color="D9D9D9" w:sz="2" w:space="0"/>
              <w:bottom w:val="single" w:color="D9D9D9" w:sz="2" w:space="0"/>
            </w:tcBorders>
          </w:tcPr>
          <w:p w:rsidR="00C31389" w:rsidRDefault="00561FBD" w14:paraId="4626C7F1" w14:textId="77777777">
            <w:pPr>
              <w:pStyle w:val="TableParagraph"/>
              <w:spacing w:before="155"/>
              <w:ind w:left="184" w:right="152"/>
              <w:jc w:val="center"/>
              <w:rPr>
                <w:sz w:val="20"/>
              </w:rPr>
            </w:pPr>
            <w:r>
              <w:rPr>
                <w:spacing w:val="-2"/>
                <w:sz w:val="20"/>
              </w:rPr>
              <w:t>On-the-books</w:t>
            </w:r>
          </w:p>
        </w:tc>
      </w:tr>
      <w:tr w:rsidR="00C31389" w14:paraId="3EB3170E" w14:textId="77777777">
        <w:trPr>
          <w:trHeight w:val="539"/>
        </w:trPr>
        <w:tc>
          <w:tcPr>
            <w:tcW w:w="1367" w:type="dxa"/>
            <w:tcBorders>
              <w:top w:val="single" w:color="D9D9D9" w:sz="2" w:space="0"/>
              <w:bottom w:val="single" w:color="D9D9D9" w:sz="2" w:space="0"/>
            </w:tcBorders>
          </w:tcPr>
          <w:p w:rsidR="00C31389" w:rsidRDefault="00561FBD" w14:paraId="6DF2B340"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12D384E8"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MFA</w:t>
            </w:r>
            <w:r>
              <w:rPr>
                <w:spacing w:val="-8"/>
                <w:sz w:val="20"/>
              </w:rPr>
              <w:t xml:space="preserve"> </w:t>
            </w:r>
            <w:r>
              <w:rPr>
                <w:sz w:val="20"/>
              </w:rPr>
              <w:t>-</w:t>
            </w:r>
            <w:r>
              <w:rPr>
                <w:spacing w:val="-8"/>
                <w:sz w:val="20"/>
              </w:rPr>
              <w:t xml:space="preserve"> </w:t>
            </w:r>
            <w:r>
              <w:rPr>
                <w:sz w:val="20"/>
              </w:rPr>
              <w:t>Restructuring</w:t>
            </w:r>
            <w:r>
              <w:rPr>
                <w:spacing w:val="-8"/>
                <w:sz w:val="20"/>
              </w:rPr>
              <w:t xml:space="preserve"> </w:t>
            </w:r>
            <w:r>
              <w:rPr>
                <w:sz w:val="20"/>
              </w:rPr>
              <w:t>- Fenestration Properties</w:t>
            </w:r>
          </w:p>
        </w:tc>
        <w:tc>
          <w:tcPr>
            <w:tcW w:w="1169" w:type="dxa"/>
            <w:tcBorders>
              <w:top w:val="single" w:color="D9D9D9" w:sz="2" w:space="0"/>
              <w:bottom w:val="single" w:color="D9D9D9" w:sz="2" w:space="0"/>
            </w:tcBorders>
          </w:tcPr>
          <w:p w:rsidR="00C31389" w:rsidRDefault="00561FBD" w14:paraId="579E6610"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72BE4CF9" w14:textId="77777777">
            <w:pPr>
              <w:pStyle w:val="TableParagraph"/>
              <w:spacing w:before="155"/>
              <w:ind w:right="247"/>
              <w:jc w:val="right"/>
              <w:rPr>
                <w:sz w:val="20"/>
              </w:rPr>
            </w:pPr>
            <w:r>
              <w:rPr>
                <w:spacing w:val="-2"/>
                <w:sz w:val="20"/>
              </w:rPr>
              <w:t>1/1/2018</w:t>
            </w:r>
          </w:p>
        </w:tc>
        <w:tc>
          <w:tcPr>
            <w:tcW w:w="1566" w:type="dxa"/>
            <w:tcBorders>
              <w:top w:val="single" w:color="D9D9D9" w:sz="2" w:space="0"/>
              <w:bottom w:val="single" w:color="D9D9D9" w:sz="2" w:space="0"/>
            </w:tcBorders>
          </w:tcPr>
          <w:p w:rsidR="00C31389" w:rsidRDefault="00561FBD" w14:paraId="099BF282" w14:textId="77777777">
            <w:pPr>
              <w:pStyle w:val="TableParagraph"/>
              <w:spacing w:before="155"/>
              <w:ind w:left="184" w:right="152"/>
              <w:jc w:val="center"/>
              <w:rPr>
                <w:sz w:val="20"/>
              </w:rPr>
            </w:pPr>
            <w:r>
              <w:rPr>
                <w:spacing w:val="-2"/>
                <w:sz w:val="20"/>
              </w:rPr>
              <w:t>On-the-books</w:t>
            </w:r>
          </w:p>
        </w:tc>
      </w:tr>
      <w:tr w:rsidR="00C31389" w14:paraId="04703E60" w14:textId="77777777">
        <w:trPr>
          <w:trHeight w:val="539"/>
        </w:trPr>
        <w:tc>
          <w:tcPr>
            <w:tcW w:w="1367" w:type="dxa"/>
            <w:tcBorders>
              <w:top w:val="single" w:color="D9D9D9" w:sz="2" w:space="0"/>
              <w:bottom w:val="single" w:color="D9D9D9" w:sz="2" w:space="0"/>
            </w:tcBorders>
          </w:tcPr>
          <w:p w:rsidR="00C31389" w:rsidRDefault="00561FBD" w14:paraId="778845E8"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41EEBC9C"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MFA</w:t>
            </w:r>
            <w:r>
              <w:rPr>
                <w:spacing w:val="-8"/>
                <w:sz w:val="20"/>
              </w:rPr>
              <w:t xml:space="preserve"> </w:t>
            </w:r>
            <w:r>
              <w:rPr>
                <w:sz w:val="20"/>
              </w:rPr>
              <w:t>-</w:t>
            </w:r>
            <w:r>
              <w:rPr>
                <w:spacing w:val="-8"/>
                <w:sz w:val="20"/>
              </w:rPr>
              <w:t xml:space="preserve"> </w:t>
            </w:r>
            <w:r>
              <w:rPr>
                <w:sz w:val="20"/>
              </w:rPr>
              <w:t>Restructuring</w:t>
            </w:r>
            <w:r>
              <w:rPr>
                <w:spacing w:val="-8"/>
                <w:sz w:val="20"/>
              </w:rPr>
              <w:t xml:space="preserve"> </w:t>
            </w:r>
            <w:r>
              <w:rPr>
                <w:sz w:val="20"/>
              </w:rPr>
              <w:t>- Refrigerant Charge Verification</w:t>
            </w:r>
          </w:p>
        </w:tc>
        <w:tc>
          <w:tcPr>
            <w:tcW w:w="1169" w:type="dxa"/>
            <w:tcBorders>
              <w:top w:val="single" w:color="D9D9D9" w:sz="2" w:space="0"/>
              <w:bottom w:val="single" w:color="D9D9D9" w:sz="2" w:space="0"/>
            </w:tcBorders>
          </w:tcPr>
          <w:p w:rsidR="00C31389" w:rsidRDefault="00561FBD" w14:paraId="7EC672BA"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1E2C4368" w14:textId="77777777">
            <w:pPr>
              <w:pStyle w:val="TableParagraph"/>
              <w:spacing w:before="155"/>
              <w:ind w:right="247"/>
              <w:jc w:val="right"/>
              <w:rPr>
                <w:sz w:val="20"/>
              </w:rPr>
            </w:pPr>
            <w:r>
              <w:rPr>
                <w:spacing w:val="-2"/>
                <w:sz w:val="20"/>
              </w:rPr>
              <w:t>1/1/2018</w:t>
            </w:r>
          </w:p>
        </w:tc>
        <w:tc>
          <w:tcPr>
            <w:tcW w:w="1566" w:type="dxa"/>
            <w:tcBorders>
              <w:top w:val="single" w:color="D9D9D9" w:sz="2" w:space="0"/>
              <w:bottom w:val="single" w:color="D9D9D9" w:sz="2" w:space="0"/>
            </w:tcBorders>
          </w:tcPr>
          <w:p w:rsidR="00C31389" w:rsidRDefault="00561FBD" w14:paraId="2322ADBF" w14:textId="77777777">
            <w:pPr>
              <w:pStyle w:val="TableParagraph"/>
              <w:spacing w:before="155"/>
              <w:ind w:left="184" w:right="152"/>
              <w:jc w:val="center"/>
              <w:rPr>
                <w:sz w:val="20"/>
              </w:rPr>
            </w:pPr>
            <w:r>
              <w:rPr>
                <w:spacing w:val="-2"/>
                <w:sz w:val="20"/>
              </w:rPr>
              <w:t>On-the-books</w:t>
            </w:r>
          </w:p>
        </w:tc>
      </w:tr>
      <w:tr w:rsidR="00C31389" w14:paraId="654146FA" w14:textId="77777777">
        <w:trPr>
          <w:trHeight w:val="539"/>
        </w:trPr>
        <w:tc>
          <w:tcPr>
            <w:tcW w:w="1367" w:type="dxa"/>
            <w:tcBorders>
              <w:top w:val="single" w:color="D9D9D9" w:sz="2" w:space="0"/>
              <w:bottom w:val="single" w:color="D9D9D9" w:sz="2" w:space="0"/>
            </w:tcBorders>
          </w:tcPr>
          <w:p w:rsidR="00C31389" w:rsidRDefault="00561FBD" w14:paraId="61158F03"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131C5164" w14:textId="77777777">
            <w:pPr>
              <w:pStyle w:val="TableParagraph"/>
              <w:ind w:left="202" w:right="392"/>
              <w:rPr>
                <w:sz w:val="20"/>
              </w:rPr>
            </w:pPr>
            <w:r>
              <w:rPr>
                <w:sz w:val="20"/>
              </w:rPr>
              <w:t>2022</w:t>
            </w:r>
            <w:r>
              <w:rPr>
                <w:spacing w:val="-8"/>
                <w:sz w:val="20"/>
              </w:rPr>
              <w:t xml:space="preserve"> </w:t>
            </w:r>
            <w:r>
              <w:rPr>
                <w:sz w:val="20"/>
              </w:rPr>
              <w:t>T-24:</w:t>
            </w:r>
            <w:r>
              <w:rPr>
                <w:spacing w:val="-8"/>
                <w:sz w:val="20"/>
              </w:rPr>
              <w:t xml:space="preserve"> </w:t>
            </w:r>
            <w:r>
              <w:rPr>
                <w:sz w:val="20"/>
              </w:rPr>
              <w:t>MFA</w:t>
            </w:r>
            <w:r>
              <w:rPr>
                <w:spacing w:val="-8"/>
                <w:sz w:val="20"/>
              </w:rPr>
              <w:t xml:space="preserve"> </w:t>
            </w:r>
            <w:r>
              <w:rPr>
                <w:sz w:val="20"/>
              </w:rPr>
              <w:t>-</w:t>
            </w:r>
            <w:r>
              <w:rPr>
                <w:spacing w:val="-8"/>
                <w:sz w:val="20"/>
              </w:rPr>
              <w:t xml:space="preserve"> </w:t>
            </w:r>
            <w:r>
              <w:rPr>
                <w:sz w:val="20"/>
              </w:rPr>
              <w:t>Restructuring</w:t>
            </w:r>
            <w:r>
              <w:rPr>
                <w:spacing w:val="-8"/>
                <w:sz w:val="20"/>
              </w:rPr>
              <w:t xml:space="preserve"> </w:t>
            </w:r>
            <w:r>
              <w:rPr>
                <w:sz w:val="20"/>
              </w:rPr>
              <w:t>- Roof Assemblies</w:t>
            </w:r>
          </w:p>
        </w:tc>
        <w:tc>
          <w:tcPr>
            <w:tcW w:w="1169" w:type="dxa"/>
            <w:tcBorders>
              <w:top w:val="single" w:color="D9D9D9" w:sz="2" w:space="0"/>
              <w:bottom w:val="single" w:color="D9D9D9" w:sz="2" w:space="0"/>
            </w:tcBorders>
          </w:tcPr>
          <w:p w:rsidR="00C31389" w:rsidRDefault="00561FBD" w14:paraId="406B2100" w14:textId="77777777">
            <w:pPr>
              <w:pStyle w:val="TableParagraph"/>
              <w:spacing w:before="155"/>
              <w:ind w:left="327"/>
              <w:rPr>
                <w:sz w:val="20"/>
              </w:rPr>
            </w:pPr>
            <w:r>
              <w:rPr>
                <w:spacing w:val="-5"/>
                <w:sz w:val="20"/>
              </w:rPr>
              <w:t>85%</w:t>
            </w:r>
          </w:p>
        </w:tc>
        <w:tc>
          <w:tcPr>
            <w:tcW w:w="1395" w:type="dxa"/>
            <w:tcBorders>
              <w:top w:val="single" w:color="D9D9D9" w:sz="2" w:space="0"/>
              <w:bottom w:val="single" w:color="D9D9D9" w:sz="2" w:space="0"/>
            </w:tcBorders>
          </w:tcPr>
          <w:p w:rsidR="00C31389" w:rsidRDefault="00561FBD" w14:paraId="68DDD543" w14:textId="77777777">
            <w:pPr>
              <w:pStyle w:val="TableParagraph"/>
              <w:spacing w:before="155"/>
              <w:ind w:right="247"/>
              <w:jc w:val="right"/>
              <w:rPr>
                <w:sz w:val="20"/>
              </w:rPr>
            </w:pPr>
            <w:r>
              <w:rPr>
                <w:spacing w:val="-2"/>
                <w:sz w:val="20"/>
              </w:rPr>
              <w:t>1/1/2016</w:t>
            </w:r>
          </w:p>
        </w:tc>
        <w:tc>
          <w:tcPr>
            <w:tcW w:w="1566" w:type="dxa"/>
            <w:tcBorders>
              <w:top w:val="single" w:color="D9D9D9" w:sz="2" w:space="0"/>
              <w:bottom w:val="single" w:color="D9D9D9" w:sz="2" w:space="0"/>
            </w:tcBorders>
          </w:tcPr>
          <w:p w:rsidR="00C31389" w:rsidRDefault="00561FBD" w14:paraId="214B6A7F" w14:textId="77777777">
            <w:pPr>
              <w:pStyle w:val="TableParagraph"/>
              <w:spacing w:before="155"/>
              <w:ind w:left="184" w:right="152"/>
              <w:jc w:val="center"/>
              <w:rPr>
                <w:sz w:val="20"/>
              </w:rPr>
            </w:pPr>
            <w:r>
              <w:rPr>
                <w:spacing w:val="-2"/>
                <w:sz w:val="20"/>
              </w:rPr>
              <w:t>On-the-books</w:t>
            </w:r>
          </w:p>
        </w:tc>
      </w:tr>
      <w:tr w:rsidR="00C31389" w14:paraId="37915925" w14:textId="77777777">
        <w:trPr>
          <w:trHeight w:val="770"/>
        </w:trPr>
        <w:tc>
          <w:tcPr>
            <w:tcW w:w="1367" w:type="dxa"/>
            <w:tcBorders>
              <w:top w:val="single" w:color="D9D9D9" w:sz="2" w:space="0"/>
              <w:bottom w:val="single" w:color="D9D9D9" w:sz="2" w:space="0"/>
            </w:tcBorders>
          </w:tcPr>
          <w:p w:rsidR="00C31389" w:rsidRDefault="00C31389" w14:paraId="144CD18B" w14:textId="77777777">
            <w:pPr>
              <w:pStyle w:val="TableParagraph"/>
              <w:spacing w:before="6"/>
              <w:rPr>
                <w:sz w:val="23"/>
              </w:rPr>
            </w:pPr>
          </w:p>
          <w:p w:rsidR="00C31389" w:rsidRDefault="00561FBD" w14:paraId="620F8A79"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09404104" w14:textId="77777777">
            <w:pPr>
              <w:pStyle w:val="TableParagraph"/>
              <w:ind w:left="202" w:right="327"/>
              <w:rPr>
                <w:sz w:val="20"/>
              </w:rPr>
            </w:pPr>
            <w:r>
              <w:rPr>
                <w:sz w:val="20"/>
              </w:rPr>
              <w:t>2022 T-24: MFNC - All Electric Package</w:t>
            </w:r>
            <w:r>
              <w:rPr>
                <w:spacing w:val="-10"/>
                <w:sz w:val="20"/>
              </w:rPr>
              <w:t xml:space="preserve"> </w:t>
            </w:r>
            <w:r>
              <w:rPr>
                <w:sz w:val="20"/>
              </w:rPr>
              <w:t>-</w:t>
            </w:r>
            <w:r>
              <w:rPr>
                <w:spacing w:val="-9"/>
                <w:sz w:val="20"/>
              </w:rPr>
              <w:t xml:space="preserve"> </w:t>
            </w:r>
            <w:r>
              <w:rPr>
                <w:sz w:val="20"/>
              </w:rPr>
              <w:t>Prescriptive</w:t>
            </w:r>
            <w:r>
              <w:rPr>
                <w:spacing w:val="-9"/>
                <w:sz w:val="20"/>
              </w:rPr>
              <w:t xml:space="preserve"> </w:t>
            </w:r>
            <w:r>
              <w:rPr>
                <w:sz w:val="20"/>
              </w:rPr>
              <w:t>Alternative</w:t>
            </w:r>
            <w:r>
              <w:rPr>
                <w:spacing w:val="-9"/>
                <w:sz w:val="20"/>
              </w:rPr>
              <w:t xml:space="preserve"> </w:t>
            </w:r>
            <w:r>
              <w:rPr>
                <w:sz w:val="20"/>
              </w:rPr>
              <w:t>for Central HPWH</w:t>
            </w:r>
          </w:p>
        </w:tc>
        <w:tc>
          <w:tcPr>
            <w:tcW w:w="1169" w:type="dxa"/>
            <w:tcBorders>
              <w:top w:val="single" w:color="D9D9D9" w:sz="2" w:space="0"/>
              <w:bottom w:val="single" w:color="D9D9D9" w:sz="2" w:space="0"/>
            </w:tcBorders>
          </w:tcPr>
          <w:p w:rsidR="00C31389" w:rsidRDefault="00C31389" w14:paraId="010AF001" w14:textId="77777777">
            <w:pPr>
              <w:pStyle w:val="TableParagraph"/>
              <w:spacing w:before="6"/>
              <w:rPr>
                <w:sz w:val="23"/>
              </w:rPr>
            </w:pPr>
          </w:p>
          <w:p w:rsidR="00C31389" w:rsidRDefault="00561FBD" w14:paraId="1BA5F6A9" w14:textId="77777777">
            <w:pPr>
              <w:pStyle w:val="TableParagraph"/>
              <w:spacing w:before="0"/>
              <w:ind w:left="327"/>
              <w:rPr>
                <w:sz w:val="20"/>
              </w:rPr>
            </w:pPr>
            <w:r>
              <w:rPr>
                <w:spacing w:val="-5"/>
                <w:sz w:val="20"/>
              </w:rPr>
              <w:t>85%</w:t>
            </w:r>
          </w:p>
        </w:tc>
        <w:tc>
          <w:tcPr>
            <w:tcW w:w="1395" w:type="dxa"/>
            <w:tcBorders>
              <w:top w:val="single" w:color="D9D9D9" w:sz="2" w:space="0"/>
              <w:bottom w:val="single" w:color="D9D9D9" w:sz="2" w:space="0"/>
            </w:tcBorders>
          </w:tcPr>
          <w:p w:rsidR="00C31389" w:rsidRDefault="00C31389" w14:paraId="48F46FE3" w14:textId="77777777">
            <w:pPr>
              <w:pStyle w:val="TableParagraph"/>
              <w:spacing w:before="6"/>
              <w:rPr>
                <w:sz w:val="23"/>
              </w:rPr>
            </w:pPr>
          </w:p>
          <w:p w:rsidR="00C31389" w:rsidRDefault="00561FBD" w14:paraId="6475292C" w14:textId="77777777">
            <w:pPr>
              <w:pStyle w:val="TableParagraph"/>
              <w:spacing w:before="0"/>
              <w:ind w:right="247"/>
              <w:jc w:val="right"/>
              <w:rPr>
                <w:sz w:val="20"/>
              </w:rPr>
            </w:pPr>
            <w:r>
              <w:rPr>
                <w:spacing w:val="-2"/>
                <w:sz w:val="20"/>
              </w:rPr>
              <w:t>1/1/2016</w:t>
            </w:r>
          </w:p>
        </w:tc>
        <w:tc>
          <w:tcPr>
            <w:tcW w:w="1566" w:type="dxa"/>
            <w:tcBorders>
              <w:top w:val="single" w:color="D9D9D9" w:sz="2" w:space="0"/>
              <w:bottom w:val="single" w:color="D9D9D9" w:sz="2" w:space="0"/>
            </w:tcBorders>
          </w:tcPr>
          <w:p w:rsidR="00C31389" w:rsidRDefault="00C31389" w14:paraId="7DB96D13" w14:textId="77777777">
            <w:pPr>
              <w:pStyle w:val="TableParagraph"/>
              <w:spacing w:before="6"/>
              <w:rPr>
                <w:sz w:val="23"/>
              </w:rPr>
            </w:pPr>
          </w:p>
          <w:p w:rsidR="00C31389" w:rsidRDefault="00561FBD" w14:paraId="4D9A67EA" w14:textId="77777777">
            <w:pPr>
              <w:pStyle w:val="TableParagraph"/>
              <w:spacing w:before="0"/>
              <w:ind w:left="184" w:right="152"/>
              <w:jc w:val="center"/>
              <w:rPr>
                <w:sz w:val="20"/>
              </w:rPr>
            </w:pPr>
            <w:r>
              <w:rPr>
                <w:spacing w:val="-2"/>
                <w:sz w:val="20"/>
              </w:rPr>
              <w:t>On-the-books</w:t>
            </w:r>
          </w:p>
        </w:tc>
      </w:tr>
      <w:tr w:rsidR="00C31389" w14:paraId="46524A9C" w14:textId="77777777">
        <w:trPr>
          <w:trHeight w:val="999"/>
        </w:trPr>
        <w:tc>
          <w:tcPr>
            <w:tcW w:w="1367" w:type="dxa"/>
            <w:tcBorders>
              <w:top w:val="single" w:color="D9D9D9" w:sz="2" w:space="0"/>
              <w:bottom w:val="single" w:color="D9D9D9" w:sz="2" w:space="0"/>
            </w:tcBorders>
          </w:tcPr>
          <w:p w:rsidR="00C31389" w:rsidRDefault="00C31389" w14:paraId="5E15B1D0" w14:textId="77777777">
            <w:pPr>
              <w:pStyle w:val="TableParagraph"/>
              <w:spacing w:before="0"/>
            </w:pPr>
          </w:p>
          <w:p w:rsidR="00C31389" w:rsidRDefault="00561FBD" w14:paraId="01535C72" w14:textId="77777777">
            <w:pPr>
              <w:pStyle w:val="TableParagraph"/>
              <w:spacing w:before="133"/>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760E39C2" w14:textId="77777777">
            <w:pPr>
              <w:pStyle w:val="TableParagraph"/>
              <w:ind w:left="202" w:right="392"/>
              <w:rPr>
                <w:sz w:val="20"/>
              </w:rPr>
            </w:pPr>
            <w:r>
              <w:rPr>
                <w:sz w:val="20"/>
              </w:rPr>
              <w:t>2022 T-24: MFNC - All Electric Package</w:t>
            </w:r>
            <w:r>
              <w:rPr>
                <w:spacing w:val="-8"/>
                <w:sz w:val="20"/>
              </w:rPr>
              <w:t xml:space="preserve"> </w:t>
            </w:r>
            <w:r>
              <w:rPr>
                <w:sz w:val="20"/>
              </w:rPr>
              <w:t>-</w:t>
            </w:r>
            <w:r>
              <w:rPr>
                <w:spacing w:val="-7"/>
                <w:sz w:val="20"/>
              </w:rPr>
              <w:t xml:space="preserve"> </w:t>
            </w:r>
            <w:r>
              <w:rPr>
                <w:sz w:val="20"/>
              </w:rPr>
              <w:t>Single</w:t>
            </w:r>
            <w:r>
              <w:rPr>
                <w:spacing w:val="-7"/>
                <w:sz w:val="20"/>
              </w:rPr>
              <w:t xml:space="preserve"> </w:t>
            </w:r>
            <w:r>
              <w:rPr>
                <w:sz w:val="20"/>
              </w:rPr>
              <w:t>Zone</w:t>
            </w:r>
            <w:r>
              <w:rPr>
                <w:spacing w:val="-7"/>
                <w:sz w:val="20"/>
              </w:rPr>
              <w:t xml:space="preserve"> </w:t>
            </w:r>
            <w:r>
              <w:rPr>
                <w:sz w:val="20"/>
              </w:rPr>
              <w:t>Heat</w:t>
            </w:r>
            <w:r>
              <w:rPr>
                <w:spacing w:val="-7"/>
                <w:sz w:val="20"/>
              </w:rPr>
              <w:t xml:space="preserve"> </w:t>
            </w:r>
            <w:r>
              <w:rPr>
                <w:sz w:val="20"/>
              </w:rPr>
              <w:t>Pump Electric</w:t>
            </w:r>
            <w:r>
              <w:rPr>
                <w:spacing w:val="-9"/>
                <w:sz w:val="20"/>
              </w:rPr>
              <w:t xml:space="preserve"> </w:t>
            </w:r>
            <w:r>
              <w:rPr>
                <w:sz w:val="20"/>
              </w:rPr>
              <w:t>Space</w:t>
            </w:r>
            <w:r>
              <w:rPr>
                <w:spacing w:val="-10"/>
                <w:sz w:val="20"/>
              </w:rPr>
              <w:t xml:space="preserve"> </w:t>
            </w:r>
            <w:r>
              <w:rPr>
                <w:sz w:val="20"/>
              </w:rPr>
              <w:t>Heating</w:t>
            </w:r>
            <w:r>
              <w:rPr>
                <w:spacing w:val="-10"/>
                <w:sz w:val="20"/>
              </w:rPr>
              <w:t xml:space="preserve"> </w:t>
            </w:r>
            <w:r>
              <w:rPr>
                <w:sz w:val="20"/>
              </w:rPr>
              <w:t>for</w:t>
            </w:r>
            <w:r>
              <w:rPr>
                <w:spacing w:val="-9"/>
                <w:sz w:val="20"/>
              </w:rPr>
              <w:t xml:space="preserve"> </w:t>
            </w:r>
            <w:r>
              <w:rPr>
                <w:sz w:val="20"/>
              </w:rPr>
              <w:t>Mid-rise and High-rise MF</w:t>
            </w:r>
          </w:p>
        </w:tc>
        <w:tc>
          <w:tcPr>
            <w:tcW w:w="1169" w:type="dxa"/>
            <w:tcBorders>
              <w:top w:val="single" w:color="D9D9D9" w:sz="2" w:space="0"/>
              <w:bottom w:val="single" w:color="D9D9D9" w:sz="2" w:space="0"/>
            </w:tcBorders>
          </w:tcPr>
          <w:p w:rsidR="00C31389" w:rsidRDefault="00C31389" w14:paraId="1ACAB819" w14:textId="77777777">
            <w:pPr>
              <w:pStyle w:val="TableParagraph"/>
              <w:spacing w:before="0"/>
            </w:pPr>
          </w:p>
          <w:p w:rsidR="00C31389" w:rsidRDefault="00561FBD" w14:paraId="6E055665" w14:textId="77777777">
            <w:pPr>
              <w:pStyle w:val="TableParagraph"/>
              <w:spacing w:before="133"/>
              <w:ind w:left="327"/>
              <w:rPr>
                <w:sz w:val="20"/>
              </w:rPr>
            </w:pPr>
            <w:r>
              <w:rPr>
                <w:spacing w:val="-5"/>
                <w:sz w:val="20"/>
              </w:rPr>
              <w:t>85%</w:t>
            </w:r>
          </w:p>
        </w:tc>
        <w:tc>
          <w:tcPr>
            <w:tcW w:w="1395" w:type="dxa"/>
            <w:tcBorders>
              <w:top w:val="single" w:color="D9D9D9" w:sz="2" w:space="0"/>
              <w:bottom w:val="single" w:color="D9D9D9" w:sz="2" w:space="0"/>
            </w:tcBorders>
          </w:tcPr>
          <w:p w:rsidR="00C31389" w:rsidRDefault="00C31389" w14:paraId="5DD04D30" w14:textId="77777777">
            <w:pPr>
              <w:pStyle w:val="TableParagraph"/>
              <w:spacing w:before="0"/>
            </w:pPr>
          </w:p>
          <w:p w:rsidR="00C31389" w:rsidRDefault="00561FBD" w14:paraId="1B2E04E1" w14:textId="77777777">
            <w:pPr>
              <w:pStyle w:val="TableParagraph"/>
              <w:spacing w:before="133"/>
              <w:ind w:right="248"/>
              <w:jc w:val="right"/>
              <w:rPr>
                <w:sz w:val="20"/>
              </w:rPr>
            </w:pPr>
            <w:r>
              <w:rPr>
                <w:spacing w:val="-2"/>
                <w:sz w:val="20"/>
              </w:rPr>
              <w:t>1/1/2016</w:t>
            </w:r>
          </w:p>
        </w:tc>
        <w:tc>
          <w:tcPr>
            <w:tcW w:w="1566" w:type="dxa"/>
            <w:tcBorders>
              <w:top w:val="single" w:color="D9D9D9" w:sz="2" w:space="0"/>
              <w:bottom w:val="single" w:color="D9D9D9" w:sz="2" w:space="0"/>
            </w:tcBorders>
          </w:tcPr>
          <w:p w:rsidR="00C31389" w:rsidRDefault="00C31389" w14:paraId="4F7DE86E" w14:textId="77777777">
            <w:pPr>
              <w:pStyle w:val="TableParagraph"/>
              <w:spacing w:before="0"/>
            </w:pPr>
          </w:p>
          <w:p w:rsidR="00C31389" w:rsidRDefault="00561FBD" w14:paraId="2C4AA2BF" w14:textId="77777777">
            <w:pPr>
              <w:pStyle w:val="TableParagraph"/>
              <w:spacing w:before="133"/>
              <w:ind w:left="184" w:right="153"/>
              <w:jc w:val="center"/>
              <w:rPr>
                <w:sz w:val="20"/>
              </w:rPr>
            </w:pPr>
            <w:r>
              <w:rPr>
                <w:spacing w:val="-2"/>
                <w:sz w:val="20"/>
              </w:rPr>
              <w:t>On-the-books</w:t>
            </w:r>
          </w:p>
        </w:tc>
      </w:tr>
      <w:tr w:rsidR="00C31389" w14:paraId="1DC67FEC" w14:textId="77777777">
        <w:trPr>
          <w:trHeight w:val="770"/>
        </w:trPr>
        <w:tc>
          <w:tcPr>
            <w:tcW w:w="1367" w:type="dxa"/>
            <w:tcBorders>
              <w:top w:val="single" w:color="D9D9D9" w:sz="2" w:space="0"/>
              <w:bottom w:val="single" w:color="D9D9D9" w:sz="2" w:space="0"/>
            </w:tcBorders>
          </w:tcPr>
          <w:p w:rsidR="00C31389" w:rsidRDefault="00C31389" w14:paraId="5E05189D" w14:textId="77777777">
            <w:pPr>
              <w:pStyle w:val="TableParagraph"/>
              <w:spacing w:before="6"/>
              <w:rPr>
                <w:sz w:val="23"/>
              </w:rPr>
            </w:pPr>
          </w:p>
          <w:p w:rsidR="00C31389" w:rsidRDefault="00561FBD" w14:paraId="048E25FE"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5C54246A" w14:textId="77777777">
            <w:pPr>
              <w:pStyle w:val="TableParagraph"/>
              <w:ind w:left="202" w:right="392"/>
              <w:rPr>
                <w:sz w:val="20"/>
              </w:rPr>
            </w:pPr>
            <w:r>
              <w:rPr>
                <w:sz w:val="20"/>
              </w:rPr>
              <w:t>2022 T-24: MFNC - Boilers and Service</w:t>
            </w:r>
            <w:r>
              <w:rPr>
                <w:spacing w:val="-9"/>
                <w:sz w:val="20"/>
              </w:rPr>
              <w:t xml:space="preserve"> </w:t>
            </w:r>
            <w:r>
              <w:rPr>
                <w:sz w:val="20"/>
              </w:rPr>
              <w:t>Water</w:t>
            </w:r>
            <w:r>
              <w:rPr>
                <w:spacing w:val="-7"/>
                <w:sz w:val="20"/>
              </w:rPr>
              <w:t xml:space="preserve"> </w:t>
            </w:r>
            <w:r>
              <w:rPr>
                <w:sz w:val="20"/>
              </w:rPr>
              <w:t>Heating</w:t>
            </w:r>
            <w:r>
              <w:rPr>
                <w:spacing w:val="-8"/>
                <w:sz w:val="20"/>
              </w:rPr>
              <w:t xml:space="preserve"> </w:t>
            </w:r>
            <w:r>
              <w:rPr>
                <w:sz w:val="20"/>
              </w:rPr>
              <w:t>-</w:t>
            </w:r>
            <w:r>
              <w:rPr>
                <w:spacing w:val="-8"/>
                <w:sz w:val="20"/>
              </w:rPr>
              <w:t xml:space="preserve"> </w:t>
            </w:r>
            <w:r>
              <w:rPr>
                <w:sz w:val="20"/>
              </w:rPr>
              <w:t>Gas</w:t>
            </w:r>
            <w:r>
              <w:rPr>
                <w:spacing w:val="-7"/>
                <w:sz w:val="20"/>
              </w:rPr>
              <w:t xml:space="preserve"> </w:t>
            </w:r>
            <w:r>
              <w:rPr>
                <w:sz w:val="20"/>
              </w:rPr>
              <w:t>Service Water Heating</w:t>
            </w:r>
          </w:p>
        </w:tc>
        <w:tc>
          <w:tcPr>
            <w:tcW w:w="1169" w:type="dxa"/>
            <w:tcBorders>
              <w:top w:val="single" w:color="D9D9D9" w:sz="2" w:space="0"/>
              <w:bottom w:val="single" w:color="D9D9D9" w:sz="2" w:space="0"/>
            </w:tcBorders>
          </w:tcPr>
          <w:p w:rsidR="00C31389" w:rsidRDefault="00C31389" w14:paraId="2305D79E" w14:textId="77777777">
            <w:pPr>
              <w:pStyle w:val="TableParagraph"/>
              <w:spacing w:before="6"/>
              <w:rPr>
                <w:sz w:val="23"/>
              </w:rPr>
            </w:pPr>
          </w:p>
          <w:p w:rsidR="00C31389" w:rsidRDefault="00561FBD" w14:paraId="322D8B76" w14:textId="77777777">
            <w:pPr>
              <w:pStyle w:val="TableParagraph"/>
              <w:spacing w:before="0"/>
              <w:ind w:left="327"/>
              <w:rPr>
                <w:sz w:val="20"/>
              </w:rPr>
            </w:pPr>
            <w:r>
              <w:rPr>
                <w:spacing w:val="-5"/>
                <w:sz w:val="20"/>
              </w:rPr>
              <w:t>85%</w:t>
            </w:r>
          </w:p>
        </w:tc>
        <w:tc>
          <w:tcPr>
            <w:tcW w:w="1395" w:type="dxa"/>
            <w:tcBorders>
              <w:top w:val="single" w:color="D9D9D9" w:sz="2" w:space="0"/>
              <w:bottom w:val="single" w:color="D9D9D9" w:sz="2" w:space="0"/>
            </w:tcBorders>
          </w:tcPr>
          <w:p w:rsidR="00C31389" w:rsidRDefault="00C31389" w14:paraId="184BF726" w14:textId="77777777">
            <w:pPr>
              <w:pStyle w:val="TableParagraph"/>
              <w:spacing w:before="6"/>
              <w:rPr>
                <w:sz w:val="23"/>
              </w:rPr>
            </w:pPr>
          </w:p>
          <w:p w:rsidR="00C31389" w:rsidRDefault="00561FBD" w14:paraId="35553902" w14:textId="77777777">
            <w:pPr>
              <w:pStyle w:val="TableParagraph"/>
              <w:spacing w:before="0"/>
              <w:ind w:right="247"/>
              <w:jc w:val="right"/>
              <w:rPr>
                <w:sz w:val="20"/>
              </w:rPr>
            </w:pPr>
            <w:r>
              <w:rPr>
                <w:spacing w:val="-2"/>
                <w:sz w:val="20"/>
              </w:rPr>
              <w:t>9/1/2015</w:t>
            </w:r>
          </w:p>
        </w:tc>
        <w:tc>
          <w:tcPr>
            <w:tcW w:w="1566" w:type="dxa"/>
            <w:tcBorders>
              <w:top w:val="single" w:color="D9D9D9" w:sz="2" w:space="0"/>
              <w:bottom w:val="single" w:color="D9D9D9" w:sz="2" w:space="0"/>
            </w:tcBorders>
          </w:tcPr>
          <w:p w:rsidR="00C31389" w:rsidRDefault="00C31389" w14:paraId="2178D127" w14:textId="77777777">
            <w:pPr>
              <w:pStyle w:val="TableParagraph"/>
              <w:spacing w:before="6"/>
              <w:rPr>
                <w:sz w:val="23"/>
              </w:rPr>
            </w:pPr>
          </w:p>
          <w:p w:rsidR="00C31389" w:rsidRDefault="00561FBD" w14:paraId="32FC8D53" w14:textId="77777777">
            <w:pPr>
              <w:pStyle w:val="TableParagraph"/>
              <w:spacing w:before="0"/>
              <w:ind w:left="184" w:right="152"/>
              <w:jc w:val="center"/>
              <w:rPr>
                <w:sz w:val="20"/>
              </w:rPr>
            </w:pPr>
            <w:r>
              <w:rPr>
                <w:spacing w:val="-2"/>
                <w:sz w:val="20"/>
              </w:rPr>
              <w:t>On-the-books</w:t>
            </w:r>
          </w:p>
        </w:tc>
      </w:tr>
      <w:tr w:rsidR="00C31389" w14:paraId="199DB549" w14:textId="77777777">
        <w:trPr>
          <w:trHeight w:val="770"/>
        </w:trPr>
        <w:tc>
          <w:tcPr>
            <w:tcW w:w="1367" w:type="dxa"/>
            <w:tcBorders>
              <w:top w:val="single" w:color="D9D9D9" w:sz="2" w:space="0"/>
              <w:bottom w:val="single" w:color="D9D9D9" w:sz="2" w:space="0"/>
            </w:tcBorders>
          </w:tcPr>
          <w:p w:rsidR="00C31389" w:rsidRDefault="00C31389" w14:paraId="6326413F" w14:textId="77777777">
            <w:pPr>
              <w:pStyle w:val="TableParagraph"/>
              <w:spacing w:before="6"/>
              <w:rPr>
                <w:sz w:val="23"/>
              </w:rPr>
            </w:pPr>
          </w:p>
          <w:p w:rsidR="00C31389" w:rsidRDefault="00561FBD" w14:paraId="4DA1F6C9" w14:textId="77777777">
            <w:pPr>
              <w:pStyle w:val="TableParagraph"/>
              <w:spacing w:before="0"/>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D9D9D9" w:sz="2" w:space="0"/>
            </w:tcBorders>
          </w:tcPr>
          <w:p w:rsidR="00C31389" w:rsidRDefault="00561FBD" w14:paraId="5985623F" w14:textId="77777777">
            <w:pPr>
              <w:pStyle w:val="TableParagraph"/>
              <w:ind w:left="202" w:right="392"/>
              <w:rPr>
                <w:sz w:val="20"/>
              </w:rPr>
            </w:pPr>
            <w:r>
              <w:rPr>
                <w:sz w:val="20"/>
              </w:rPr>
              <w:t>2022 T-24: MFNC - Domestic Hot Water</w:t>
            </w:r>
            <w:r>
              <w:rPr>
                <w:spacing w:val="-7"/>
                <w:sz w:val="20"/>
              </w:rPr>
              <w:t xml:space="preserve"> </w:t>
            </w:r>
            <w:r>
              <w:rPr>
                <w:sz w:val="20"/>
              </w:rPr>
              <w:t>-</w:t>
            </w:r>
            <w:r>
              <w:rPr>
                <w:spacing w:val="-8"/>
                <w:sz w:val="20"/>
              </w:rPr>
              <w:t xml:space="preserve"> </w:t>
            </w:r>
            <w:r>
              <w:rPr>
                <w:sz w:val="20"/>
              </w:rPr>
              <w:t>Increased</w:t>
            </w:r>
            <w:r>
              <w:rPr>
                <w:spacing w:val="-8"/>
                <w:sz w:val="20"/>
              </w:rPr>
              <w:t xml:space="preserve"> </w:t>
            </w:r>
            <w:r>
              <w:rPr>
                <w:sz w:val="20"/>
              </w:rPr>
              <w:t>Insulation</w:t>
            </w:r>
            <w:r>
              <w:rPr>
                <w:spacing w:val="-8"/>
                <w:sz w:val="20"/>
              </w:rPr>
              <w:t xml:space="preserve"> </w:t>
            </w:r>
            <w:r>
              <w:rPr>
                <w:sz w:val="20"/>
              </w:rPr>
              <w:t>for</w:t>
            </w:r>
            <w:r>
              <w:rPr>
                <w:spacing w:val="-7"/>
                <w:sz w:val="20"/>
              </w:rPr>
              <w:t xml:space="preserve"> </w:t>
            </w:r>
            <w:r>
              <w:rPr>
                <w:sz w:val="20"/>
              </w:rPr>
              <w:t>Hot Water Distribution</w:t>
            </w:r>
          </w:p>
        </w:tc>
        <w:tc>
          <w:tcPr>
            <w:tcW w:w="1169" w:type="dxa"/>
            <w:tcBorders>
              <w:top w:val="single" w:color="D9D9D9" w:sz="2" w:space="0"/>
              <w:bottom w:val="single" w:color="D9D9D9" w:sz="2" w:space="0"/>
            </w:tcBorders>
          </w:tcPr>
          <w:p w:rsidR="00C31389" w:rsidRDefault="00C31389" w14:paraId="6D16F3EF" w14:textId="77777777">
            <w:pPr>
              <w:pStyle w:val="TableParagraph"/>
              <w:spacing w:before="6"/>
              <w:rPr>
                <w:sz w:val="23"/>
              </w:rPr>
            </w:pPr>
          </w:p>
          <w:p w:rsidR="00C31389" w:rsidRDefault="00561FBD" w14:paraId="24990AFE" w14:textId="77777777">
            <w:pPr>
              <w:pStyle w:val="TableParagraph"/>
              <w:spacing w:before="0"/>
              <w:ind w:left="327"/>
              <w:rPr>
                <w:sz w:val="20"/>
              </w:rPr>
            </w:pPr>
            <w:r>
              <w:rPr>
                <w:spacing w:val="-5"/>
                <w:sz w:val="20"/>
              </w:rPr>
              <w:t>85%</w:t>
            </w:r>
          </w:p>
        </w:tc>
        <w:tc>
          <w:tcPr>
            <w:tcW w:w="1395" w:type="dxa"/>
            <w:tcBorders>
              <w:top w:val="single" w:color="D9D9D9" w:sz="2" w:space="0"/>
              <w:bottom w:val="single" w:color="D9D9D9" w:sz="2" w:space="0"/>
            </w:tcBorders>
          </w:tcPr>
          <w:p w:rsidR="00C31389" w:rsidRDefault="00C31389" w14:paraId="1E476CCB" w14:textId="77777777">
            <w:pPr>
              <w:pStyle w:val="TableParagraph"/>
              <w:spacing w:before="6"/>
              <w:rPr>
                <w:sz w:val="23"/>
              </w:rPr>
            </w:pPr>
          </w:p>
          <w:p w:rsidR="00C31389" w:rsidRDefault="00561FBD" w14:paraId="35257C44" w14:textId="77777777">
            <w:pPr>
              <w:pStyle w:val="TableParagraph"/>
              <w:spacing w:before="0"/>
              <w:ind w:right="248"/>
              <w:jc w:val="right"/>
              <w:rPr>
                <w:sz w:val="20"/>
              </w:rPr>
            </w:pPr>
            <w:r>
              <w:rPr>
                <w:spacing w:val="-2"/>
                <w:sz w:val="20"/>
              </w:rPr>
              <w:t>7/1/2016</w:t>
            </w:r>
          </w:p>
        </w:tc>
        <w:tc>
          <w:tcPr>
            <w:tcW w:w="1566" w:type="dxa"/>
            <w:tcBorders>
              <w:top w:val="single" w:color="D9D9D9" w:sz="2" w:space="0"/>
              <w:bottom w:val="single" w:color="D9D9D9" w:sz="2" w:space="0"/>
            </w:tcBorders>
          </w:tcPr>
          <w:p w:rsidR="00C31389" w:rsidRDefault="00C31389" w14:paraId="7A1D1258" w14:textId="77777777">
            <w:pPr>
              <w:pStyle w:val="TableParagraph"/>
              <w:spacing w:before="6"/>
              <w:rPr>
                <w:sz w:val="23"/>
              </w:rPr>
            </w:pPr>
          </w:p>
          <w:p w:rsidR="00C31389" w:rsidRDefault="00561FBD" w14:paraId="4855AB69" w14:textId="77777777">
            <w:pPr>
              <w:pStyle w:val="TableParagraph"/>
              <w:spacing w:before="0"/>
              <w:ind w:left="184" w:right="153"/>
              <w:jc w:val="center"/>
              <w:rPr>
                <w:sz w:val="20"/>
              </w:rPr>
            </w:pPr>
            <w:r>
              <w:rPr>
                <w:spacing w:val="-2"/>
                <w:sz w:val="20"/>
              </w:rPr>
              <w:t>On-the-books</w:t>
            </w:r>
          </w:p>
        </w:tc>
      </w:tr>
      <w:tr w:rsidR="00C31389" w14:paraId="24F87DC6" w14:textId="77777777">
        <w:trPr>
          <w:trHeight w:val="540"/>
        </w:trPr>
        <w:tc>
          <w:tcPr>
            <w:tcW w:w="1367" w:type="dxa"/>
            <w:tcBorders>
              <w:top w:val="single" w:color="D9D9D9" w:sz="2" w:space="0"/>
              <w:bottom w:val="single" w:color="000000" w:sz="8" w:space="0"/>
            </w:tcBorders>
          </w:tcPr>
          <w:p w:rsidR="00C31389" w:rsidRDefault="00561FBD" w14:paraId="524078B3"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79" w:type="dxa"/>
            <w:tcBorders>
              <w:top w:val="single" w:color="D9D9D9" w:sz="2" w:space="0"/>
              <w:bottom w:val="single" w:color="000000" w:sz="8" w:space="0"/>
            </w:tcBorders>
          </w:tcPr>
          <w:p w:rsidR="00C31389" w:rsidRDefault="00561FBD" w14:paraId="0E635A4D" w14:textId="77777777">
            <w:pPr>
              <w:pStyle w:val="TableParagraph"/>
              <w:ind w:left="202"/>
              <w:rPr>
                <w:sz w:val="20"/>
              </w:rPr>
            </w:pPr>
            <w:r>
              <w:rPr>
                <w:sz w:val="20"/>
              </w:rPr>
              <w:t>2022</w:t>
            </w:r>
            <w:r>
              <w:rPr>
                <w:spacing w:val="-3"/>
                <w:sz w:val="20"/>
              </w:rPr>
              <w:t xml:space="preserve"> </w:t>
            </w:r>
            <w:r>
              <w:rPr>
                <w:sz w:val="20"/>
              </w:rPr>
              <w:t>T-24:</w:t>
            </w:r>
            <w:r>
              <w:rPr>
                <w:spacing w:val="-2"/>
                <w:sz w:val="20"/>
              </w:rPr>
              <w:t xml:space="preserve"> </w:t>
            </w:r>
            <w:r>
              <w:rPr>
                <w:sz w:val="20"/>
              </w:rPr>
              <w:t>MFNC</w:t>
            </w:r>
            <w:r>
              <w:rPr>
                <w:spacing w:val="-4"/>
                <w:sz w:val="20"/>
              </w:rPr>
              <w:t xml:space="preserve"> </w:t>
            </w:r>
            <w:r>
              <w:rPr>
                <w:sz w:val="20"/>
              </w:rPr>
              <w:t>-</w:t>
            </w:r>
            <w:r>
              <w:rPr>
                <w:spacing w:val="-2"/>
                <w:sz w:val="20"/>
              </w:rPr>
              <w:t xml:space="preserve"> </w:t>
            </w:r>
            <w:r>
              <w:rPr>
                <w:sz w:val="20"/>
              </w:rPr>
              <w:t>Indoor</w:t>
            </w:r>
            <w:r>
              <w:rPr>
                <w:spacing w:val="-4"/>
                <w:sz w:val="20"/>
              </w:rPr>
              <w:t xml:space="preserve"> </w:t>
            </w:r>
            <w:r>
              <w:rPr>
                <w:sz w:val="20"/>
              </w:rPr>
              <w:t>Air</w:t>
            </w:r>
            <w:r>
              <w:rPr>
                <w:spacing w:val="-1"/>
                <w:sz w:val="20"/>
              </w:rPr>
              <w:t xml:space="preserve"> </w:t>
            </w:r>
            <w:r>
              <w:rPr>
                <w:spacing w:val="-2"/>
                <w:sz w:val="20"/>
              </w:rPr>
              <w:t>Quality</w:t>
            </w:r>
          </w:p>
          <w:p w:rsidR="00C31389" w:rsidRDefault="00561FBD" w14:paraId="148BE556" w14:textId="77777777">
            <w:pPr>
              <w:pStyle w:val="TableParagraph"/>
              <w:spacing w:before="0"/>
              <w:ind w:left="202"/>
              <w:rPr>
                <w:sz w:val="20"/>
              </w:rPr>
            </w:pPr>
            <w:r>
              <w:rPr>
                <w:sz w:val="20"/>
              </w:rPr>
              <w:t>-</w:t>
            </w:r>
            <w:r>
              <w:rPr>
                <w:spacing w:val="-4"/>
                <w:sz w:val="20"/>
              </w:rPr>
              <w:t xml:space="preserve"> </w:t>
            </w:r>
            <w:r>
              <w:rPr>
                <w:sz w:val="20"/>
              </w:rPr>
              <w:t>Central</w:t>
            </w:r>
            <w:r>
              <w:rPr>
                <w:spacing w:val="-4"/>
                <w:sz w:val="20"/>
              </w:rPr>
              <w:t xml:space="preserve"> </w:t>
            </w:r>
            <w:r>
              <w:rPr>
                <w:sz w:val="20"/>
              </w:rPr>
              <w:t>Ventilation</w:t>
            </w:r>
            <w:r>
              <w:rPr>
                <w:spacing w:val="-4"/>
                <w:sz w:val="20"/>
              </w:rPr>
              <w:t xml:space="preserve"> </w:t>
            </w:r>
            <w:r>
              <w:rPr>
                <w:sz w:val="20"/>
              </w:rPr>
              <w:t>Duct</w:t>
            </w:r>
            <w:r>
              <w:rPr>
                <w:spacing w:val="-4"/>
                <w:sz w:val="20"/>
              </w:rPr>
              <w:t xml:space="preserve"> </w:t>
            </w:r>
            <w:r>
              <w:rPr>
                <w:spacing w:val="-2"/>
                <w:sz w:val="20"/>
              </w:rPr>
              <w:t>Sealing</w:t>
            </w:r>
          </w:p>
        </w:tc>
        <w:tc>
          <w:tcPr>
            <w:tcW w:w="1169" w:type="dxa"/>
            <w:tcBorders>
              <w:top w:val="single" w:color="D9D9D9" w:sz="2" w:space="0"/>
              <w:bottom w:val="single" w:color="000000" w:sz="8" w:space="0"/>
            </w:tcBorders>
          </w:tcPr>
          <w:p w:rsidR="00C31389" w:rsidRDefault="00561FBD" w14:paraId="55E9D1E8" w14:textId="77777777">
            <w:pPr>
              <w:pStyle w:val="TableParagraph"/>
              <w:spacing w:before="155"/>
              <w:ind w:left="327"/>
              <w:rPr>
                <w:sz w:val="20"/>
              </w:rPr>
            </w:pPr>
            <w:r>
              <w:rPr>
                <w:spacing w:val="-5"/>
                <w:sz w:val="20"/>
              </w:rPr>
              <w:t>85%</w:t>
            </w:r>
          </w:p>
        </w:tc>
        <w:tc>
          <w:tcPr>
            <w:tcW w:w="1395" w:type="dxa"/>
            <w:tcBorders>
              <w:top w:val="single" w:color="D9D9D9" w:sz="2" w:space="0"/>
              <w:bottom w:val="single" w:color="000000" w:sz="8" w:space="0"/>
            </w:tcBorders>
          </w:tcPr>
          <w:p w:rsidR="00C31389" w:rsidRDefault="00561FBD" w14:paraId="06269DEE" w14:textId="77777777">
            <w:pPr>
              <w:pStyle w:val="TableParagraph"/>
              <w:spacing w:before="155"/>
              <w:ind w:right="247"/>
              <w:jc w:val="right"/>
              <w:rPr>
                <w:sz w:val="20"/>
              </w:rPr>
            </w:pPr>
            <w:r>
              <w:rPr>
                <w:spacing w:val="-2"/>
                <w:sz w:val="20"/>
              </w:rPr>
              <w:t>9/1/2015</w:t>
            </w:r>
          </w:p>
        </w:tc>
        <w:tc>
          <w:tcPr>
            <w:tcW w:w="1566" w:type="dxa"/>
            <w:tcBorders>
              <w:top w:val="single" w:color="D9D9D9" w:sz="2" w:space="0"/>
              <w:bottom w:val="single" w:color="000000" w:sz="8" w:space="0"/>
            </w:tcBorders>
          </w:tcPr>
          <w:p w:rsidR="00C31389" w:rsidRDefault="00561FBD" w14:paraId="1285757A" w14:textId="77777777">
            <w:pPr>
              <w:pStyle w:val="TableParagraph"/>
              <w:spacing w:before="155"/>
              <w:ind w:left="184" w:right="152"/>
              <w:jc w:val="center"/>
              <w:rPr>
                <w:sz w:val="20"/>
              </w:rPr>
            </w:pPr>
            <w:r>
              <w:rPr>
                <w:spacing w:val="-2"/>
                <w:sz w:val="20"/>
              </w:rPr>
              <w:t>On-the-books</w:t>
            </w:r>
          </w:p>
        </w:tc>
      </w:tr>
    </w:tbl>
    <w:p w:rsidR="00C31389" w:rsidRDefault="00C31389" w14:paraId="6BFDCE19" w14:textId="77777777">
      <w:pPr>
        <w:jc w:val="center"/>
        <w:rPr>
          <w:sz w:val="20"/>
        </w:rPr>
        <w:sectPr w:rsidR="00C31389">
          <w:pgSz w:w="11910" w:h="16840"/>
          <w:pgMar w:top="1380" w:right="1020" w:bottom="1120" w:left="960" w:header="397" w:footer="938" w:gutter="0"/>
          <w:cols w:space="720"/>
        </w:sectPr>
      </w:pPr>
    </w:p>
    <w:p w:rsidR="00C31389" w:rsidRDefault="00C31389" w14:paraId="02D885A1"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40"/>
        <w:gridCol w:w="1207"/>
        <w:gridCol w:w="1394"/>
        <w:gridCol w:w="1565"/>
      </w:tblGrid>
      <w:tr w:rsidR="00C31389" w14:paraId="3091C028" w14:textId="77777777">
        <w:trPr>
          <w:trHeight w:val="252"/>
        </w:trPr>
        <w:tc>
          <w:tcPr>
            <w:tcW w:w="1367" w:type="dxa"/>
            <w:tcBorders>
              <w:top w:val="single" w:color="8B8B8B" w:sz="8" w:space="0"/>
            </w:tcBorders>
          </w:tcPr>
          <w:p w:rsidR="00C31389" w:rsidRDefault="00C31389" w14:paraId="478B1E5F" w14:textId="77777777">
            <w:pPr>
              <w:pStyle w:val="TableParagraph"/>
              <w:spacing w:before="0"/>
              <w:rPr>
                <w:rFonts w:ascii="Times New Roman"/>
                <w:sz w:val="18"/>
              </w:rPr>
            </w:pPr>
          </w:p>
        </w:tc>
        <w:tc>
          <w:tcPr>
            <w:tcW w:w="3840" w:type="dxa"/>
            <w:tcBorders>
              <w:top w:val="single" w:color="8B8B8B" w:sz="8" w:space="0"/>
            </w:tcBorders>
          </w:tcPr>
          <w:p w:rsidR="00C31389" w:rsidRDefault="00C31389" w14:paraId="3F18F4C9" w14:textId="77777777">
            <w:pPr>
              <w:pStyle w:val="TableParagraph"/>
              <w:spacing w:before="0"/>
              <w:rPr>
                <w:rFonts w:ascii="Times New Roman"/>
                <w:sz w:val="18"/>
              </w:rPr>
            </w:pPr>
          </w:p>
        </w:tc>
        <w:tc>
          <w:tcPr>
            <w:tcW w:w="1207" w:type="dxa"/>
            <w:tcBorders>
              <w:top w:val="single" w:color="8B8B8B" w:sz="8" w:space="0"/>
            </w:tcBorders>
          </w:tcPr>
          <w:p w:rsidR="00C31389" w:rsidRDefault="00C31389" w14:paraId="3B739E6F" w14:textId="77777777">
            <w:pPr>
              <w:pStyle w:val="TableParagraph"/>
              <w:spacing w:before="0"/>
              <w:rPr>
                <w:rFonts w:ascii="Times New Roman"/>
                <w:sz w:val="18"/>
              </w:rPr>
            </w:pPr>
          </w:p>
        </w:tc>
        <w:tc>
          <w:tcPr>
            <w:tcW w:w="1394" w:type="dxa"/>
            <w:tcBorders>
              <w:top w:val="single" w:color="8B8B8B" w:sz="8" w:space="0"/>
            </w:tcBorders>
          </w:tcPr>
          <w:p w:rsidR="00C31389" w:rsidRDefault="00C31389" w14:paraId="5D91D2E0" w14:textId="77777777">
            <w:pPr>
              <w:pStyle w:val="TableParagraph"/>
              <w:spacing w:before="0"/>
              <w:rPr>
                <w:rFonts w:ascii="Times New Roman"/>
                <w:sz w:val="18"/>
              </w:rPr>
            </w:pPr>
          </w:p>
        </w:tc>
        <w:tc>
          <w:tcPr>
            <w:tcW w:w="1565" w:type="dxa"/>
            <w:tcBorders>
              <w:top w:val="single" w:color="8B8B8B" w:sz="8" w:space="0"/>
            </w:tcBorders>
          </w:tcPr>
          <w:p w:rsidR="00C31389" w:rsidRDefault="00C31389" w14:paraId="3E53D150" w14:textId="77777777">
            <w:pPr>
              <w:pStyle w:val="TableParagraph"/>
              <w:spacing w:before="0"/>
              <w:rPr>
                <w:rFonts w:ascii="Times New Roman"/>
                <w:sz w:val="18"/>
              </w:rPr>
            </w:pPr>
          </w:p>
        </w:tc>
      </w:tr>
      <w:tr w:rsidR="00C31389" w14:paraId="2A305215" w14:textId="77777777">
        <w:trPr>
          <w:trHeight w:val="549"/>
        </w:trPr>
        <w:tc>
          <w:tcPr>
            <w:tcW w:w="1367" w:type="dxa"/>
            <w:shd w:val="clear" w:color="auto" w:fill="92D400"/>
          </w:tcPr>
          <w:p w:rsidR="00C31389" w:rsidRDefault="00561FBD" w14:paraId="62858D0E" w14:textId="77777777">
            <w:pPr>
              <w:pStyle w:val="TableParagraph"/>
              <w:spacing w:before="155"/>
              <w:ind w:left="129"/>
              <w:rPr>
                <w:b/>
                <w:sz w:val="20"/>
              </w:rPr>
            </w:pPr>
            <w:r>
              <w:rPr>
                <w:b/>
                <w:spacing w:val="-2"/>
                <w:sz w:val="20"/>
              </w:rPr>
              <w:t>Regulation</w:t>
            </w:r>
          </w:p>
        </w:tc>
        <w:tc>
          <w:tcPr>
            <w:tcW w:w="3840" w:type="dxa"/>
            <w:shd w:val="clear" w:color="auto" w:fill="92D400"/>
          </w:tcPr>
          <w:p w:rsidR="00C31389" w:rsidRDefault="00561FBD" w14:paraId="388139B6"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207" w:type="dxa"/>
            <w:shd w:val="clear" w:color="auto" w:fill="92D400"/>
          </w:tcPr>
          <w:p w:rsidR="00C31389" w:rsidRDefault="00561FBD" w14:paraId="508FDCF9" w14:textId="77777777">
            <w:pPr>
              <w:pStyle w:val="TableParagraph"/>
              <w:ind w:left="237" w:right="22" w:hanging="238"/>
              <w:rPr>
                <w:b/>
                <w:sz w:val="20"/>
              </w:rPr>
            </w:pPr>
            <w:r>
              <w:rPr>
                <w:b/>
                <w:spacing w:val="-2"/>
                <w:sz w:val="20"/>
              </w:rPr>
              <w:t>Compliance Rate</w:t>
            </w:r>
            <w:hyperlink w:history="1" w:anchor="_bookmark462">
              <w:r>
                <w:rPr>
                  <w:b/>
                  <w:spacing w:val="-2"/>
                  <w:sz w:val="20"/>
                  <w:vertAlign w:val="superscript"/>
                </w:rPr>
                <w:t>182</w:t>
              </w:r>
            </w:hyperlink>
          </w:p>
        </w:tc>
        <w:tc>
          <w:tcPr>
            <w:tcW w:w="1394" w:type="dxa"/>
            <w:shd w:val="clear" w:color="auto" w:fill="92D400"/>
          </w:tcPr>
          <w:p w:rsidR="00C31389" w:rsidRDefault="00561FBD" w14:paraId="3A1D1ED7" w14:textId="77777777">
            <w:pPr>
              <w:pStyle w:val="TableParagraph"/>
              <w:ind w:left="538" w:hanging="202"/>
              <w:rPr>
                <w:b/>
                <w:sz w:val="20"/>
              </w:rPr>
            </w:pPr>
            <w:r>
              <w:rPr>
                <w:b/>
                <w:spacing w:val="-2"/>
                <w:sz w:val="20"/>
              </w:rPr>
              <w:t xml:space="preserve">Effective </w:t>
            </w:r>
            <w:r>
              <w:rPr>
                <w:b/>
                <w:spacing w:val="-4"/>
                <w:sz w:val="20"/>
              </w:rPr>
              <w:t>Date</w:t>
            </w:r>
          </w:p>
        </w:tc>
        <w:tc>
          <w:tcPr>
            <w:tcW w:w="1565" w:type="dxa"/>
            <w:shd w:val="clear" w:color="auto" w:fill="92D400"/>
          </w:tcPr>
          <w:p w:rsidR="00C31389" w:rsidRDefault="00561FBD" w14:paraId="0A34E48B" w14:textId="77777777">
            <w:pPr>
              <w:pStyle w:val="TableParagraph"/>
              <w:spacing w:before="155"/>
              <w:ind w:left="187" w:right="150"/>
              <w:jc w:val="center"/>
              <w:rPr>
                <w:b/>
                <w:sz w:val="20"/>
              </w:rPr>
            </w:pPr>
            <w:r>
              <w:rPr>
                <w:b/>
                <w:sz w:val="20"/>
              </w:rPr>
              <w:t>Policy</w:t>
            </w:r>
            <w:r>
              <w:rPr>
                <w:b/>
                <w:spacing w:val="-5"/>
                <w:sz w:val="20"/>
              </w:rPr>
              <w:t xml:space="preserve"> </w:t>
            </w:r>
            <w:r>
              <w:rPr>
                <w:b/>
                <w:spacing w:val="-4"/>
                <w:sz w:val="20"/>
              </w:rPr>
              <w:t>View</w:t>
            </w:r>
          </w:p>
        </w:tc>
      </w:tr>
      <w:tr w:rsidR="00C31389" w14:paraId="65BA25B9" w14:textId="77777777">
        <w:trPr>
          <w:trHeight w:val="535"/>
        </w:trPr>
        <w:tc>
          <w:tcPr>
            <w:tcW w:w="1367" w:type="dxa"/>
            <w:tcBorders>
              <w:bottom w:val="single" w:color="D9D9D9" w:sz="2" w:space="0"/>
            </w:tcBorders>
          </w:tcPr>
          <w:p w:rsidR="00C31389" w:rsidRDefault="00561FBD" w14:paraId="1AC9C234" w14:textId="77777777">
            <w:pPr>
              <w:pStyle w:val="TableParagraph"/>
              <w:spacing w:before="151"/>
              <w:ind w:left="129"/>
              <w:rPr>
                <w:sz w:val="20"/>
              </w:rPr>
            </w:pPr>
            <w:r>
              <w:rPr>
                <w:sz w:val="20"/>
              </w:rPr>
              <w:t>2022</w:t>
            </w:r>
            <w:r>
              <w:rPr>
                <w:spacing w:val="-3"/>
                <w:sz w:val="20"/>
              </w:rPr>
              <w:t xml:space="preserve"> </w:t>
            </w:r>
            <w:r>
              <w:rPr>
                <w:sz w:val="20"/>
              </w:rPr>
              <w:t>T-</w:t>
            </w:r>
            <w:r>
              <w:rPr>
                <w:spacing w:val="-5"/>
                <w:sz w:val="20"/>
              </w:rPr>
              <w:t>24</w:t>
            </w:r>
          </w:p>
        </w:tc>
        <w:tc>
          <w:tcPr>
            <w:tcW w:w="3840" w:type="dxa"/>
            <w:tcBorders>
              <w:bottom w:val="single" w:color="D9D9D9" w:sz="2" w:space="0"/>
            </w:tcBorders>
          </w:tcPr>
          <w:p w:rsidR="00C31389" w:rsidRDefault="00561FBD" w14:paraId="492BFECF" w14:textId="77777777">
            <w:pPr>
              <w:pStyle w:val="TableParagraph"/>
              <w:spacing w:before="35"/>
              <w:ind w:left="202"/>
              <w:rPr>
                <w:sz w:val="20"/>
              </w:rPr>
            </w:pPr>
            <w:r>
              <w:rPr>
                <w:sz w:val="20"/>
              </w:rPr>
              <w:t>2022</w:t>
            </w:r>
            <w:r>
              <w:rPr>
                <w:spacing w:val="-3"/>
                <w:sz w:val="20"/>
              </w:rPr>
              <w:t xml:space="preserve"> </w:t>
            </w:r>
            <w:r>
              <w:rPr>
                <w:sz w:val="20"/>
              </w:rPr>
              <w:t>T-24:</w:t>
            </w:r>
            <w:r>
              <w:rPr>
                <w:spacing w:val="-2"/>
                <w:sz w:val="20"/>
              </w:rPr>
              <w:t xml:space="preserve"> </w:t>
            </w:r>
            <w:r>
              <w:rPr>
                <w:sz w:val="20"/>
              </w:rPr>
              <w:t>MFNC</w:t>
            </w:r>
            <w:r>
              <w:rPr>
                <w:spacing w:val="-4"/>
                <w:sz w:val="20"/>
              </w:rPr>
              <w:t xml:space="preserve"> </w:t>
            </w:r>
            <w:r>
              <w:rPr>
                <w:sz w:val="20"/>
              </w:rPr>
              <w:t>-</w:t>
            </w:r>
            <w:r>
              <w:rPr>
                <w:spacing w:val="-1"/>
                <w:sz w:val="20"/>
              </w:rPr>
              <w:t xml:space="preserve"> </w:t>
            </w:r>
            <w:r>
              <w:rPr>
                <w:sz w:val="20"/>
              </w:rPr>
              <w:t>Indoor</w:t>
            </w:r>
            <w:r>
              <w:rPr>
                <w:spacing w:val="-4"/>
                <w:sz w:val="20"/>
              </w:rPr>
              <w:t xml:space="preserve"> </w:t>
            </w:r>
            <w:r>
              <w:rPr>
                <w:sz w:val="20"/>
              </w:rPr>
              <w:t>Air</w:t>
            </w:r>
            <w:r>
              <w:rPr>
                <w:spacing w:val="-1"/>
                <w:sz w:val="20"/>
              </w:rPr>
              <w:t xml:space="preserve"> </w:t>
            </w:r>
            <w:r>
              <w:rPr>
                <w:spacing w:val="-2"/>
                <w:sz w:val="20"/>
              </w:rPr>
              <w:t>Quality</w:t>
            </w:r>
          </w:p>
          <w:p w:rsidR="00C31389" w:rsidRDefault="00561FBD" w14:paraId="37DB34B3" w14:textId="77777777">
            <w:pPr>
              <w:pStyle w:val="TableParagraph"/>
              <w:spacing w:before="1"/>
              <w:ind w:left="202"/>
              <w:rPr>
                <w:sz w:val="20"/>
              </w:rPr>
            </w:pPr>
            <w:r>
              <w:rPr>
                <w:sz w:val="20"/>
              </w:rPr>
              <w:t>-</w:t>
            </w:r>
            <w:r>
              <w:rPr>
                <w:spacing w:val="-4"/>
                <w:sz w:val="20"/>
              </w:rPr>
              <w:t xml:space="preserve"> </w:t>
            </w:r>
            <w:r>
              <w:rPr>
                <w:sz w:val="20"/>
              </w:rPr>
              <w:t>Heat</w:t>
            </w:r>
            <w:r>
              <w:rPr>
                <w:spacing w:val="-3"/>
                <w:sz w:val="20"/>
              </w:rPr>
              <w:t xml:space="preserve"> </w:t>
            </w:r>
            <w:r>
              <w:rPr>
                <w:sz w:val="20"/>
              </w:rPr>
              <w:t>or</w:t>
            </w:r>
            <w:r>
              <w:rPr>
                <w:spacing w:val="-2"/>
                <w:sz w:val="20"/>
              </w:rPr>
              <w:t xml:space="preserve"> </w:t>
            </w:r>
            <w:r>
              <w:rPr>
                <w:sz w:val="20"/>
              </w:rPr>
              <w:t>Energy</w:t>
            </w:r>
            <w:r>
              <w:rPr>
                <w:spacing w:val="-4"/>
                <w:sz w:val="20"/>
              </w:rPr>
              <w:t xml:space="preserve"> </w:t>
            </w:r>
            <w:r>
              <w:rPr>
                <w:sz w:val="20"/>
              </w:rPr>
              <w:t>Recovery</w:t>
            </w:r>
            <w:r>
              <w:rPr>
                <w:spacing w:val="-3"/>
                <w:sz w:val="20"/>
              </w:rPr>
              <w:t xml:space="preserve"> </w:t>
            </w:r>
            <w:r>
              <w:rPr>
                <w:spacing w:val="-2"/>
                <w:sz w:val="20"/>
              </w:rPr>
              <w:t>Ventilator</w:t>
            </w:r>
          </w:p>
        </w:tc>
        <w:tc>
          <w:tcPr>
            <w:tcW w:w="1207" w:type="dxa"/>
            <w:tcBorders>
              <w:bottom w:val="single" w:color="D9D9D9" w:sz="2" w:space="0"/>
            </w:tcBorders>
          </w:tcPr>
          <w:p w:rsidR="00C31389" w:rsidRDefault="00561FBD" w14:paraId="6F818746" w14:textId="77777777">
            <w:pPr>
              <w:pStyle w:val="TableParagraph"/>
              <w:spacing w:before="151"/>
              <w:ind w:left="367"/>
              <w:rPr>
                <w:sz w:val="20"/>
              </w:rPr>
            </w:pPr>
            <w:r>
              <w:rPr>
                <w:spacing w:val="-5"/>
                <w:sz w:val="20"/>
              </w:rPr>
              <w:t>85%</w:t>
            </w:r>
          </w:p>
        </w:tc>
        <w:tc>
          <w:tcPr>
            <w:tcW w:w="1394" w:type="dxa"/>
            <w:tcBorders>
              <w:bottom w:val="single" w:color="D9D9D9" w:sz="2" w:space="0"/>
            </w:tcBorders>
          </w:tcPr>
          <w:p w:rsidR="00C31389" w:rsidRDefault="00561FBD" w14:paraId="572F76DF" w14:textId="77777777">
            <w:pPr>
              <w:pStyle w:val="TableParagraph"/>
              <w:spacing w:before="151"/>
              <w:ind w:right="245"/>
              <w:jc w:val="right"/>
              <w:rPr>
                <w:sz w:val="20"/>
              </w:rPr>
            </w:pPr>
            <w:r>
              <w:rPr>
                <w:spacing w:val="-2"/>
                <w:sz w:val="20"/>
              </w:rPr>
              <w:t>7/1/2016</w:t>
            </w:r>
          </w:p>
        </w:tc>
        <w:tc>
          <w:tcPr>
            <w:tcW w:w="1565" w:type="dxa"/>
            <w:tcBorders>
              <w:bottom w:val="single" w:color="D9D9D9" w:sz="2" w:space="0"/>
            </w:tcBorders>
          </w:tcPr>
          <w:p w:rsidR="00C31389" w:rsidRDefault="00561FBD" w14:paraId="52F03F53" w14:textId="77777777">
            <w:pPr>
              <w:pStyle w:val="TableParagraph"/>
              <w:spacing w:before="151"/>
              <w:ind w:left="187" w:right="150"/>
              <w:jc w:val="center"/>
              <w:rPr>
                <w:sz w:val="20"/>
              </w:rPr>
            </w:pPr>
            <w:r>
              <w:rPr>
                <w:spacing w:val="-2"/>
                <w:sz w:val="20"/>
              </w:rPr>
              <w:t>On-the-books</w:t>
            </w:r>
          </w:p>
        </w:tc>
      </w:tr>
      <w:tr w:rsidR="00C31389" w14:paraId="6227C62A" w14:textId="77777777">
        <w:trPr>
          <w:trHeight w:val="539"/>
        </w:trPr>
        <w:tc>
          <w:tcPr>
            <w:tcW w:w="1367" w:type="dxa"/>
            <w:tcBorders>
              <w:top w:val="single" w:color="D9D9D9" w:sz="2" w:space="0"/>
              <w:bottom w:val="single" w:color="D9D9D9" w:sz="2" w:space="0"/>
            </w:tcBorders>
          </w:tcPr>
          <w:p w:rsidR="00C31389" w:rsidRDefault="00561FBD" w14:paraId="31460A7E"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670D46E8" w14:textId="77777777">
            <w:pPr>
              <w:pStyle w:val="TableParagraph"/>
              <w:ind w:left="202"/>
              <w:rPr>
                <w:sz w:val="20"/>
              </w:rPr>
            </w:pPr>
            <w:r>
              <w:rPr>
                <w:sz w:val="20"/>
              </w:rPr>
              <w:t>2022</w:t>
            </w:r>
            <w:r>
              <w:rPr>
                <w:spacing w:val="-3"/>
                <w:sz w:val="20"/>
              </w:rPr>
              <w:t xml:space="preserve"> </w:t>
            </w:r>
            <w:r>
              <w:rPr>
                <w:sz w:val="20"/>
              </w:rPr>
              <w:t>T-24:</w:t>
            </w:r>
            <w:r>
              <w:rPr>
                <w:spacing w:val="-2"/>
                <w:sz w:val="20"/>
              </w:rPr>
              <w:t xml:space="preserve"> </w:t>
            </w:r>
            <w:r>
              <w:rPr>
                <w:sz w:val="20"/>
              </w:rPr>
              <w:t>MFNC</w:t>
            </w:r>
            <w:r>
              <w:rPr>
                <w:spacing w:val="-4"/>
                <w:sz w:val="20"/>
              </w:rPr>
              <w:t xml:space="preserve"> </w:t>
            </w:r>
            <w:r>
              <w:rPr>
                <w:sz w:val="20"/>
              </w:rPr>
              <w:t>-</w:t>
            </w:r>
            <w:r>
              <w:rPr>
                <w:spacing w:val="-2"/>
                <w:sz w:val="20"/>
              </w:rPr>
              <w:t xml:space="preserve"> </w:t>
            </w:r>
            <w:r>
              <w:rPr>
                <w:sz w:val="20"/>
              </w:rPr>
              <w:t>Outdoor</w:t>
            </w:r>
            <w:r>
              <w:rPr>
                <w:spacing w:val="-1"/>
                <w:sz w:val="20"/>
              </w:rPr>
              <w:t xml:space="preserve"> </w:t>
            </w:r>
            <w:r>
              <w:rPr>
                <w:spacing w:val="-2"/>
                <w:sz w:val="20"/>
              </w:rPr>
              <w:t>Lighting</w:t>
            </w:r>
          </w:p>
          <w:p w:rsidR="00C31389" w:rsidRDefault="00561FBD" w14:paraId="036628E6" w14:textId="77777777">
            <w:pPr>
              <w:pStyle w:val="TableParagraph"/>
              <w:spacing w:before="0"/>
              <w:ind w:left="202"/>
              <w:rPr>
                <w:sz w:val="20"/>
              </w:rPr>
            </w:pPr>
            <w:r>
              <w:rPr>
                <w:sz w:val="20"/>
              </w:rPr>
              <w:t>-</w:t>
            </w:r>
            <w:r>
              <w:rPr>
                <w:spacing w:val="-5"/>
                <w:sz w:val="20"/>
              </w:rPr>
              <w:t xml:space="preserve"> </w:t>
            </w:r>
            <w:r>
              <w:rPr>
                <w:sz w:val="20"/>
              </w:rPr>
              <w:t>Power</w:t>
            </w:r>
            <w:r>
              <w:rPr>
                <w:spacing w:val="-1"/>
                <w:sz w:val="20"/>
              </w:rPr>
              <w:t xml:space="preserve"> </w:t>
            </w:r>
            <w:r>
              <w:rPr>
                <w:spacing w:val="-2"/>
                <w:sz w:val="20"/>
              </w:rPr>
              <w:t>Allowances</w:t>
            </w:r>
          </w:p>
        </w:tc>
        <w:tc>
          <w:tcPr>
            <w:tcW w:w="1207" w:type="dxa"/>
            <w:tcBorders>
              <w:top w:val="single" w:color="D9D9D9" w:sz="2" w:space="0"/>
              <w:bottom w:val="single" w:color="D9D9D9" w:sz="2" w:space="0"/>
            </w:tcBorders>
          </w:tcPr>
          <w:p w:rsidR="00C31389" w:rsidRDefault="00561FBD" w14:paraId="013BA147" w14:textId="77777777">
            <w:pPr>
              <w:pStyle w:val="TableParagraph"/>
              <w:spacing w:before="155"/>
              <w:ind w:left="367"/>
              <w:rPr>
                <w:sz w:val="20"/>
              </w:rPr>
            </w:pPr>
            <w:r>
              <w:rPr>
                <w:spacing w:val="-5"/>
                <w:sz w:val="20"/>
              </w:rPr>
              <w:t>85%</w:t>
            </w:r>
          </w:p>
        </w:tc>
        <w:tc>
          <w:tcPr>
            <w:tcW w:w="1394" w:type="dxa"/>
            <w:tcBorders>
              <w:top w:val="single" w:color="D9D9D9" w:sz="2" w:space="0"/>
              <w:bottom w:val="single" w:color="D9D9D9" w:sz="2" w:space="0"/>
            </w:tcBorders>
          </w:tcPr>
          <w:p w:rsidR="00C31389" w:rsidRDefault="00561FBD" w14:paraId="67A6CA3A" w14:textId="77777777">
            <w:pPr>
              <w:pStyle w:val="TableParagraph"/>
              <w:spacing w:before="155"/>
              <w:ind w:right="245"/>
              <w:jc w:val="right"/>
              <w:rPr>
                <w:sz w:val="20"/>
              </w:rPr>
            </w:pPr>
            <w:r>
              <w:rPr>
                <w:spacing w:val="-2"/>
                <w:sz w:val="20"/>
              </w:rPr>
              <w:t>1/1/2016</w:t>
            </w:r>
          </w:p>
        </w:tc>
        <w:tc>
          <w:tcPr>
            <w:tcW w:w="1565" w:type="dxa"/>
            <w:tcBorders>
              <w:top w:val="single" w:color="D9D9D9" w:sz="2" w:space="0"/>
              <w:bottom w:val="single" w:color="D9D9D9" w:sz="2" w:space="0"/>
            </w:tcBorders>
          </w:tcPr>
          <w:p w:rsidR="00C31389" w:rsidRDefault="00561FBD" w14:paraId="04A8FE13" w14:textId="77777777">
            <w:pPr>
              <w:pStyle w:val="TableParagraph"/>
              <w:spacing w:before="155"/>
              <w:ind w:left="187" w:right="150"/>
              <w:jc w:val="center"/>
              <w:rPr>
                <w:sz w:val="20"/>
              </w:rPr>
            </w:pPr>
            <w:r>
              <w:rPr>
                <w:spacing w:val="-2"/>
                <w:sz w:val="20"/>
              </w:rPr>
              <w:t>On-the-books</w:t>
            </w:r>
          </w:p>
        </w:tc>
      </w:tr>
      <w:tr w:rsidR="00C31389" w14:paraId="451A746F" w14:textId="77777777">
        <w:trPr>
          <w:trHeight w:val="539"/>
        </w:trPr>
        <w:tc>
          <w:tcPr>
            <w:tcW w:w="1367" w:type="dxa"/>
            <w:tcBorders>
              <w:top w:val="single" w:color="D9D9D9" w:sz="2" w:space="0"/>
              <w:bottom w:val="single" w:color="D9D9D9" w:sz="2" w:space="0"/>
            </w:tcBorders>
          </w:tcPr>
          <w:p w:rsidR="00C31389" w:rsidRDefault="00561FBD" w14:paraId="2AEA19FE"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71F3EBDA" w14:textId="77777777">
            <w:pPr>
              <w:pStyle w:val="TableParagraph"/>
              <w:ind w:left="202" w:right="311"/>
              <w:rPr>
                <w:sz w:val="20"/>
              </w:rPr>
            </w:pPr>
            <w:r>
              <w:rPr>
                <w:sz w:val="20"/>
              </w:rPr>
              <w:t>2022</w:t>
            </w:r>
            <w:r>
              <w:rPr>
                <w:spacing w:val="-8"/>
                <w:sz w:val="20"/>
              </w:rPr>
              <w:t xml:space="preserve"> </w:t>
            </w:r>
            <w:r>
              <w:rPr>
                <w:sz w:val="20"/>
              </w:rPr>
              <w:t>T-24:</w:t>
            </w:r>
            <w:r>
              <w:rPr>
                <w:spacing w:val="-8"/>
                <w:sz w:val="20"/>
              </w:rPr>
              <w:t xml:space="preserve"> </w:t>
            </w:r>
            <w:r>
              <w:rPr>
                <w:sz w:val="20"/>
              </w:rPr>
              <w:t>MFNC</w:t>
            </w:r>
            <w:r>
              <w:rPr>
                <w:spacing w:val="-9"/>
                <w:sz w:val="20"/>
              </w:rPr>
              <w:t xml:space="preserve"> </w:t>
            </w:r>
            <w:r>
              <w:rPr>
                <w:sz w:val="20"/>
              </w:rPr>
              <w:t>-</w:t>
            </w:r>
            <w:r>
              <w:rPr>
                <w:spacing w:val="-8"/>
                <w:sz w:val="20"/>
              </w:rPr>
              <w:t xml:space="preserve"> </w:t>
            </w:r>
            <w:r>
              <w:rPr>
                <w:sz w:val="20"/>
              </w:rPr>
              <w:t>Restructuring</w:t>
            </w:r>
            <w:r>
              <w:rPr>
                <w:spacing w:val="-8"/>
                <w:sz w:val="20"/>
              </w:rPr>
              <w:t xml:space="preserve"> </w:t>
            </w:r>
            <w:r>
              <w:rPr>
                <w:sz w:val="20"/>
              </w:rPr>
              <w:t>- Airflow and Fan Watt Draw</w:t>
            </w:r>
          </w:p>
        </w:tc>
        <w:tc>
          <w:tcPr>
            <w:tcW w:w="1207" w:type="dxa"/>
            <w:tcBorders>
              <w:top w:val="single" w:color="D9D9D9" w:sz="2" w:space="0"/>
              <w:bottom w:val="single" w:color="D9D9D9" w:sz="2" w:space="0"/>
            </w:tcBorders>
          </w:tcPr>
          <w:p w:rsidR="00C31389" w:rsidRDefault="00561FBD" w14:paraId="35AC0E72" w14:textId="77777777">
            <w:pPr>
              <w:pStyle w:val="TableParagraph"/>
              <w:spacing w:before="155"/>
              <w:ind w:left="366"/>
              <w:rPr>
                <w:sz w:val="20"/>
              </w:rPr>
            </w:pPr>
            <w:r>
              <w:rPr>
                <w:spacing w:val="-5"/>
                <w:sz w:val="20"/>
              </w:rPr>
              <w:t>85%</w:t>
            </w:r>
          </w:p>
        </w:tc>
        <w:tc>
          <w:tcPr>
            <w:tcW w:w="1394" w:type="dxa"/>
            <w:tcBorders>
              <w:top w:val="single" w:color="D9D9D9" w:sz="2" w:space="0"/>
              <w:bottom w:val="single" w:color="D9D9D9" w:sz="2" w:space="0"/>
            </w:tcBorders>
          </w:tcPr>
          <w:p w:rsidR="00C31389" w:rsidRDefault="00561FBD" w14:paraId="24B2F5D2" w14:textId="77777777">
            <w:pPr>
              <w:pStyle w:val="TableParagraph"/>
              <w:spacing w:before="155"/>
              <w:ind w:right="245"/>
              <w:jc w:val="right"/>
              <w:rPr>
                <w:sz w:val="20"/>
              </w:rPr>
            </w:pPr>
            <w:r>
              <w:rPr>
                <w:spacing w:val="-2"/>
                <w:sz w:val="20"/>
              </w:rPr>
              <w:t>7/1/2016</w:t>
            </w:r>
          </w:p>
        </w:tc>
        <w:tc>
          <w:tcPr>
            <w:tcW w:w="1565" w:type="dxa"/>
            <w:tcBorders>
              <w:top w:val="single" w:color="D9D9D9" w:sz="2" w:space="0"/>
              <w:bottom w:val="single" w:color="D9D9D9" w:sz="2" w:space="0"/>
            </w:tcBorders>
          </w:tcPr>
          <w:p w:rsidR="00C31389" w:rsidRDefault="00561FBD" w14:paraId="008D3AEE" w14:textId="77777777">
            <w:pPr>
              <w:pStyle w:val="TableParagraph"/>
              <w:spacing w:before="155"/>
              <w:ind w:left="187" w:right="150"/>
              <w:jc w:val="center"/>
              <w:rPr>
                <w:sz w:val="20"/>
              </w:rPr>
            </w:pPr>
            <w:r>
              <w:rPr>
                <w:spacing w:val="-2"/>
                <w:sz w:val="20"/>
              </w:rPr>
              <w:t>On-the-books</w:t>
            </w:r>
          </w:p>
        </w:tc>
      </w:tr>
      <w:tr w:rsidR="00C31389" w14:paraId="1D08B769" w14:textId="77777777">
        <w:trPr>
          <w:trHeight w:val="539"/>
        </w:trPr>
        <w:tc>
          <w:tcPr>
            <w:tcW w:w="1367" w:type="dxa"/>
            <w:tcBorders>
              <w:top w:val="single" w:color="D9D9D9" w:sz="2" w:space="0"/>
              <w:bottom w:val="single" w:color="D9D9D9" w:sz="2" w:space="0"/>
            </w:tcBorders>
          </w:tcPr>
          <w:p w:rsidR="00C31389" w:rsidRDefault="00561FBD" w14:paraId="22F1941A"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28CB7D38" w14:textId="77777777">
            <w:pPr>
              <w:pStyle w:val="TableParagraph"/>
              <w:ind w:left="202" w:right="311"/>
              <w:rPr>
                <w:sz w:val="20"/>
              </w:rPr>
            </w:pPr>
            <w:r>
              <w:rPr>
                <w:sz w:val="20"/>
              </w:rPr>
              <w:t>2022</w:t>
            </w:r>
            <w:r>
              <w:rPr>
                <w:spacing w:val="-8"/>
                <w:sz w:val="20"/>
              </w:rPr>
              <w:t xml:space="preserve"> </w:t>
            </w:r>
            <w:r>
              <w:rPr>
                <w:sz w:val="20"/>
              </w:rPr>
              <w:t>T-24:</w:t>
            </w:r>
            <w:r>
              <w:rPr>
                <w:spacing w:val="-8"/>
                <w:sz w:val="20"/>
              </w:rPr>
              <w:t xml:space="preserve"> </w:t>
            </w:r>
            <w:r>
              <w:rPr>
                <w:sz w:val="20"/>
              </w:rPr>
              <w:t>MFNC</w:t>
            </w:r>
            <w:r>
              <w:rPr>
                <w:spacing w:val="-9"/>
                <w:sz w:val="20"/>
              </w:rPr>
              <w:t xml:space="preserve"> </w:t>
            </w:r>
            <w:r>
              <w:rPr>
                <w:sz w:val="20"/>
              </w:rPr>
              <w:t>-</w:t>
            </w:r>
            <w:r>
              <w:rPr>
                <w:spacing w:val="-8"/>
                <w:sz w:val="20"/>
              </w:rPr>
              <w:t xml:space="preserve"> </w:t>
            </w:r>
            <w:r>
              <w:rPr>
                <w:sz w:val="20"/>
              </w:rPr>
              <w:t>Restructuring</w:t>
            </w:r>
            <w:r>
              <w:rPr>
                <w:spacing w:val="-8"/>
                <w:sz w:val="20"/>
              </w:rPr>
              <w:t xml:space="preserve"> </w:t>
            </w:r>
            <w:r>
              <w:rPr>
                <w:sz w:val="20"/>
              </w:rPr>
              <w:t>- Duct Sealing and Testing</w:t>
            </w:r>
          </w:p>
        </w:tc>
        <w:tc>
          <w:tcPr>
            <w:tcW w:w="1207" w:type="dxa"/>
            <w:tcBorders>
              <w:top w:val="single" w:color="D9D9D9" w:sz="2" w:space="0"/>
              <w:bottom w:val="single" w:color="D9D9D9" w:sz="2" w:space="0"/>
            </w:tcBorders>
          </w:tcPr>
          <w:p w:rsidR="00C31389" w:rsidRDefault="00561FBD" w14:paraId="218F83AB" w14:textId="77777777">
            <w:pPr>
              <w:pStyle w:val="TableParagraph"/>
              <w:spacing w:before="155"/>
              <w:ind w:left="367"/>
              <w:rPr>
                <w:sz w:val="20"/>
              </w:rPr>
            </w:pPr>
            <w:r>
              <w:rPr>
                <w:spacing w:val="-5"/>
                <w:sz w:val="20"/>
              </w:rPr>
              <w:t>85%</w:t>
            </w:r>
          </w:p>
        </w:tc>
        <w:tc>
          <w:tcPr>
            <w:tcW w:w="1394" w:type="dxa"/>
            <w:tcBorders>
              <w:top w:val="single" w:color="D9D9D9" w:sz="2" w:space="0"/>
              <w:bottom w:val="single" w:color="D9D9D9" w:sz="2" w:space="0"/>
            </w:tcBorders>
          </w:tcPr>
          <w:p w:rsidR="00C31389" w:rsidRDefault="00561FBD" w14:paraId="19BB050D" w14:textId="77777777">
            <w:pPr>
              <w:pStyle w:val="TableParagraph"/>
              <w:spacing w:before="155"/>
              <w:ind w:right="245"/>
              <w:jc w:val="right"/>
              <w:rPr>
                <w:sz w:val="20"/>
              </w:rPr>
            </w:pPr>
            <w:r>
              <w:rPr>
                <w:spacing w:val="-2"/>
                <w:sz w:val="20"/>
              </w:rPr>
              <w:t>7/1/2018</w:t>
            </w:r>
          </w:p>
        </w:tc>
        <w:tc>
          <w:tcPr>
            <w:tcW w:w="1565" w:type="dxa"/>
            <w:tcBorders>
              <w:top w:val="single" w:color="D9D9D9" w:sz="2" w:space="0"/>
              <w:bottom w:val="single" w:color="D9D9D9" w:sz="2" w:space="0"/>
            </w:tcBorders>
          </w:tcPr>
          <w:p w:rsidR="00C31389" w:rsidRDefault="00561FBD" w14:paraId="36BD739A" w14:textId="77777777">
            <w:pPr>
              <w:pStyle w:val="TableParagraph"/>
              <w:spacing w:before="155"/>
              <w:ind w:left="187" w:right="150"/>
              <w:jc w:val="center"/>
              <w:rPr>
                <w:sz w:val="20"/>
              </w:rPr>
            </w:pPr>
            <w:r>
              <w:rPr>
                <w:spacing w:val="-2"/>
                <w:sz w:val="20"/>
              </w:rPr>
              <w:t>On-the-books</w:t>
            </w:r>
          </w:p>
        </w:tc>
      </w:tr>
      <w:tr w:rsidR="00C31389" w14:paraId="6F19AF2B" w14:textId="77777777">
        <w:trPr>
          <w:trHeight w:val="541"/>
        </w:trPr>
        <w:tc>
          <w:tcPr>
            <w:tcW w:w="1367" w:type="dxa"/>
            <w:tcBorders>
              <w:top w:val="single" w:color="D9D9D9" w:sz="2" w:space="0"/>
              <w:bottom w:val="single" w:color="D9D9D9" w:sz="2" w:space="0"/>
            </w:tcBorders>
          </w:tcPr>
          <w:p w:rsidR="00C31389" w:rsidRDefault="00561FBD" w14:paraId="7270F02A"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71BA5DDC" w14:textId="77777777">
            <w:pPr>
              <w:pStyle w:val="TableParagraph"/>
              <w:spacing w:before="41"/>
              <w:ind w:left="202"/>
              <w:rPr>
                <w:sz w:val="20"/>
              </w:rPr>
            </w:pPr>
            <w:r>
              <w:rPr>
                <w:sz w:val="20"/>
              </w:rPr>
              <w:t>2022</w:t>
            </w:r>
            <w:r>
              <w:rPr>
                <w:spacing w:val="-8"/>
                <w:sz w:val="20"/>
              </w:rPr>
              <w:t xml:space="preserve"> </w:t>
            </w:r>
            <w:r>
              <w:rPr>
                <w:sz w:val="20"/>
              </w:rPr>
              <w:t>T-24:</w:t>
            </w:r>
            <w:r>
              <w:rPr>
                <w:spacing w:val="-8"/>
                <w:sz w:val="20"/>
              </w:rPr>
              <w:t xml:space="preserve"> </w:t>
            </w:r>
            <w:r>
              <w:rPr>
                <w:sz w:val="20"/>
              </w:rPr>
              <w:t>MFNC</w:t>
            </w:r>
            <w:r>
              <w:rPr>
                <w:spacing w:val="-9"/>
                <w:sz w:val="20"/>
              </w:rPr>
              <w:t xml:space="preserve"> </w:t>
            </w:r>
            <w:r>
              <w:rPr>
                <w:sz w:val="20"/>
              </w:rPr>
              <w:t>-</w:t>
            </w:r>
            <w:r>
              <w:rPr>
                <w:spacing w:val="-8"/>
                <w:sz w:val="20"/>
              </w:rPr>
              <w:t xml:space="preserve"> </w:t>
            </w:r>
            <w:r>
              <w:rPr>
                <w:sz w:val="20"/>
              </w:rPr>
              <w:t>Restructuring</w:t>
            </w:r>
            <w:r>
              <w:rPr>
                <w:spacing w:val="-8"/>
                <w:sz w:val="20"/>
              </w:rPr>
              <w:t xml:space="preserve"> </w:t>
            </w:r>
            <w:r>
              <w:rPr>
                <w:sz w:val="20"/>
              </w:rPr>
              <w:t>- Fenestration Properties</w:t>
            </w:r>
          </w:p>
        </w:tc>
        <w:tc>
          <w:tcPr>
            <w:tcW w:w="1207" w:type="dxa"/>
            <w:tcBorders>
              <w:top w:val="single" w:color="D9D9D9" w:sz="2" w:space="0"/>
              <w:bottom w:val="single" w:color="D9D9D9" w:sz="2" w:space="0"/>
            </w:tcBorders>
          </w:tcPr>
          <w:p w:rsidR="00C31389" w:rsidRDefault="00561FBD" w14:paraId="15AFC2A0" w14:textId="77777777">
            <w:pPr>
              <w:pStyle w:val="TableParagraph"/>
              <w:spacing w:before="155"/>
              <w:ind w:left="366"/>
              <w:rPr>
                <w:sz w:val="20"/>
              </w:rPr>
            </w:pPr>
            <w:r>
              <w:rPr>
                <w:spacing w:val="-5"/>
                <w:sz w:val="20"/>
              </w:rPr>
              <w:t>85%</w:t>
            </w:r>
          </w:p>
        </w:tc>
        <w:tc>
          <w:tcPr>
            <w:tcW w:w="1394" w:type="dxa"/>
            <w:tcBorders>
              <w:top w:val="single" w:color="D9D9D9" w:sz="2" w:space="0"/>
              <w:bottom w:val="single" w:color="D9D9D9" w:sz="2" w:space="0"/>
            </w:tcBorders>
          </w:tcPr>
          <w:p w:rsidR="00C31389" w:rsidRDefault="00561FBD" w14:paraId="12CA37CA" w14:textId="77777777">
            <w:pPr>
              <w:pStyle w:val="TableParagraph"/>
              <w:spacing w:before="155"/>
              <w:ind w:right="245"/>
              <w:jc w:val="right"/>
              <w:rPr>
                <w:sz w:val="20"/>
              </w:rPr>
            </w:pPr>
            <w:r>
              <w:rPr>
                <w:spacing w:val="-2"/>
                <w:sz w:val="20"/>
              </w:rPr>
              <w:t>7/1/2016</w:t>
            </w:r>
          </w:p>
        </w:tc>
        <w:tc>
          <w:tcPr>
            <w:tcW w:w="1565" w:type="dxa"/>
            <w:tcBorders>
              <w:top w:val="single" w:color="D9D9D9" w:sz="2" w:space="0"/>
              <w:bottom w:val="single" w:color="D9D9D9" w:sz="2" w:space="0"/>
            </w:tcBorders>
          </w:tcPr>
          <w:p w:rsidR="00C31389" w:rsidRDefault="00561FBD" w14:paraId="72CAF4AE" w14:textId="77777777">
            <w:pPr>
              <w:pStyle w:val="TableParagraph"/>
              <w:spacing w:before="155"/>
              <w:ind w:left="187" w:right="150"/>
              <w:jc w:val="center"/>
              <w:rPr>
                <w:sz w:val="20"/>
              </w:rPr>
            </w:pPr>
            <w:r>
              <w:rPr>
                <w:spacing w:val="-2"/>
                <w:sz w:val="20"/>
              </w:rPr>
              <w:t>On-the-books</w:t>
            </w:r>
          </w:p>
        </w:tc>
      </w:tr>
      <w:tr w:rsidR="00C31389" w14:paraId="188A9AE3" w14:textId="77777777">
        <w:trPr>
          <w:trHeight w:val="539"/>
        </w:trPr>
        <w:tc>
          <w:tcPr>
            <w:tcW w:w="1367" w:type="dxa"/>
            <w:tcBorders>
              <w:top w:val="single" w:color="D9D9D9" w:sz="2" w:space="0"/>
              <w:bottom w:val="single" w:color="D9D9D9" w:sz="2" w:space="0"/>
            </w:tcBorders>
          </w:tcPr>
          <w:p w:rsidR="00C31389" w:rsidRDefault="00561FBD" w14:paraId="4761FD7B"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15463113" w14:textId="77777777">
            <w:pPr>
              <w:pStyle w:val="TableParagraph"/>
              <w:ind w:left="202"/>
              <w:rPr>
                <w:sz w:val="20"/>
              </w:rPr>
            </w:pPr>
            <w:r>
              <w:rPr>
                <w:sz w:val="20"/>
              </w:rPr>
              <w:t>2022</w:t>
            </w:r>
            <w:r>
              <w:rPr>
                <w:spacing w:val="-8"/>
                <w:sz w:val="20"/>
              </w:rPr>
              <w:t xml:space="preserve"> </w:t>
            </w:r>
            <w:r>
              <w:rPr>
                <w:sz w:val="20"/>
              </w:rPr>
              <w:t>T-24:</w:t>
            </w:r>
            <w:r>
              <w:rPr>
                <w:spacing w:val="-8"/>
                <w:sz w:val="20"/>
              </w:rPr>
              <w:t xml:space="preserve"> </w:t>
            </w:r>
            <w:r>
              <w:rPr>
                <w:sz w:val="20"/>
              </w:rPr>
              <w:t>MFNC</w:t>
            </w:r>
            <w:r>
              <w:rPr>
                <w:spacing w:val="-9"/>
                <w:sz w:val="20"/>
              </w:rPr>
              <w:t xml:space="preserve"> </w:t>
            </w:r>
            <w:r>
              <w:rPr>
                <w:sz w:val="20"/>
              </w:rPr>
              <w:t>-</w:t>
            </w:r>
            <w:r>
              <w:rPr>
                <w:spacing w:val="-8"/>
                <w:sz w:val="20"/>
              </w:rPr>
              <w:t xml:space="preserve"> </w:t>
            </w:r>
            <w:r>
              <w:rPr>
                <w:sz w:val="20"/>
              </w:rPr>
              <w:t>Restructuring</w:t>
            </w:r>
            <w:r>
              <w:rPr>
                <w:spacing w:val="-8"/>
                <w:sz w:val="20"/>
              </w:rPr>
              <w:t xml:space="preserve"> </w:t>
            </w:r>
            <w:r>
              <w:rPr>
                <w:sz w:val="20"/>
              </w:rPr>
              <w:t>- Refrigerant Charge Verification</w:t>
            </w:r>
          </w:p>
        </w:tc>
        <w:tc>
          <w:tcPr>
            <w:tcW w:w="1207" w:type="dxa"/>
            <w:tcBorders>
              <w:top w:val="single" w:color="D9D9D9" w:sz="2" w:space="0"/>
              <w:bottom w:val="single" w:color="D9D9D9" w:sz="2" w:space="0"/>
            </w:tcBorders>
          </w:tcPr>
          <w:p w:rsidR="00C31389" w:rsidRDefault="00561FBD" w14:paraId="40D57421" w14:textId="77777777">
            <w:pPr>
              <w:pStyle w:val="TableParagraph"/>
              <w:spacing w:before="155"/>
              <w:ind w:left="367"/>
              <w:rPr>
                <w:sz w:val="20"/>
              </w:rPr>
            </w:pPr>
            <w:r>
              <w:rPr>
                <w:spacing w:val="-5"/>
                <w:sz w:val="20"/>
              </w:rPr>
              <w:t>85%</w:t>
            </w:r>
          </w:p>
        </w:tc>
        <w:tc>
          <w:tcPr>
            <w:tcW w:w="1394" w:type="dxa"/>
            <w:tcBorders>
              <w:top w:val="single" w:color="D9D9D9" w:sz="2" w:space="0"/>
              <w:bottom w:val="single" w:color="D9D9D9" w:sz="2" w:space="0"/>
            </w:tcBorders>
          </w:tcPr>
          <w:p w:rsidR="00C31389" w:rsidRDefault="00561FBD" w14:paraId="57D4E1BD" w14:textId="77777777">
            <w:pPr>
              <w:pStyle w:val="TableParagraph"/>
              <w:spacing w:before="155"/>
              <w:ind w:right="245"/>
              <w:jc w:val="right"/>
              <w:rPr>
                <w:sz w:val="20"/>
              </w:rPr>
            </w:pPr>
            <w:r>
              <w:rPr>
                <w:spacing w:val="-2"/>
                <w:sz w:val="20"/>
              </w:rPr>
              <w:t>7/1/2018</w:t>
            </w:r>
          </w:p>
        </w:tc>
        <w:tc>
          <w:tcPr>
            <w:tcW w:w="1565" w:type="dxa"/>
            <w:tcBorders>
              <w:top w:val="single" w:color="D9D9D9" w:sz="2" w:space="0"/>
              <w:bottom w:val="single" w:color="D9D9D9" w:sz="2" w:space="0"/>
            </w:tcBorders>
          </w:tcPr>
          <w:p w:rsidR="00C31389" w:rsidRDefault="00561FBD" w14:paraId="1CE50201" w14:textId="77777777">
            <w:pPr>
              <w:pStyle w:val="TableParagraph"/>
              <w:spacing w:before="155"/>
              <w:ind w:left="187" w:right="150"/>
              <w:jc w:val="center"/>
              <w:rPr>
                <w:sz w:val="20"/>
              </w:rPr>
            </w:pPr>
            <w:r>
              <w:rPr>
                <w:spacing w:val="-2"/>
                <w:sz w:val="20"/>
              </w:rPr>
              <w:t>On-the-books</w:t>
            </w:r>
          </w:p>
        </w:tc>
      </w:tr>
      <w:tr w:rsidR="00C31389" w14:paraId="7DCBB6C2" w14:textId="77777777">
        <w:trPr>
          <w:trHeight w:val="539"/>
        </w:trPr>
        <w:tc>
          <w:tcPr>
            <w:tcW w:w="1367" w:type="dxa"/>
            <w:tcBorders>
              <w:top w:val="single" w:color="D9D9D9" w:sz="2" w:space="0"/>
              <w:bottom w:val="single" w:color="D9D9D9" w:sz="2" w:space="0"/>
            </w:tcBorders>
          </w:tcPr>
          <w:p w:rsidR="00C31389" w:rsidRDefault="00561FBD" w14:paraId="1864A4A0"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680C3D67" w14:textId="77777777">
            <w:pPr>
              <w:pStyle w:val="TableParagraph"/>
              <w:ind w:left="202" w:right="311"/>
              <w:rPr>
                <w:sz w:val="20"/>
              </w:rPr>
            </w:pPr>
            <w:r>
              <w:rPr>
                <w:sz w:val="20"/>
              </w:rPr>
              <w:t>2022</w:t>
            </w:r>
            <w:r>
              <w:rPr>
                <w:spacing w:val="-8"/>
                <w:sz w:val="20"/>
              </w:rPr>
              <w:t xml:space="preserve"> </w:t>
            </w:r>
            <w:r>
              <w:rPr>
                <w:sz w:val="20"/>
              </w:rPr>
              <w:t>T-24:</w:t>
            </w:r>
            <w:r>
              <w:rPr>
                <w:spacing w:val="-8"/>
                <w:sz w:val="20"/>
              </w:rPr>
              <w:t xml:space="preserve"> </w:t>
            </w:r>
            <w:r>
              <w:rPr>
                <w:sz w:val="20"/>
              </w:rPr>
              <w:t>MFNC</w:t>
            </w:r>
            <w:r>
              <w:rPr>
                <w:spacing w:val="-9"/>
                <w:sz w:val="20"/>
              </w:rPr>
              <w:t xml:space="preserve"> </w:t>
            </w:r>
            <w:r>
              <w:rPr>
                <w:sz w:val="20"/>
              </w:rPr>
              <w:t>-</w:t>
            </w:r>
            <w:r>
              <w:rPr>
                <w:spacing w:val="-8"/>
                <w:sz w:val="20"/>
              </w:rPr>
              <w:t xml:space="preserve"> </w:t>
            </w:r>
            <w:r>
              <w:rPr>
                <w:sz w:val="20"/>
              </w:rPr>
              <w:t>Restructuring</w:t>
            </w:r>
            <w:r>
              <w:rPr>
                <w:spacing w:val="-8"/>
                <w:sz w:val="20"/>
              </w:rPr>
              <w:t xml:space="preserve"> </w:t>
            </w:r>
            <w:r>
              <w:rPr>
                <w:sz w:val="20"/>
              </w:rPr>
              <w:t>- Roof Assemblies</w:t>
            </w:r>
          </w:p>
        </w:tc>
        <w:tc>
          <w:tcPr>
            <w:tcW w:w="1207" w:type="dxa"/>
            <w:tcBorders>
              <w:top w:val="single" w:color="D9D9D9" w:sz="2" w:space="0"/>
              <w:bottom w:val="single" w:color="D9D9D9" w:sz="2" w:space="0"/>
            </w:tcBorders>
          </w:tcPr>
          <w:p w:rsidR="00C31389" w:rsidRDefault="00561FBD" w14:paraId="389C89DC" w14:textId="77777777">
            <w:pPr>
              <w:pStyle w:val="TableParagraph"/>
              <w:spacing w:before="155"/>
              <w:ind w:left="366"/>
              <w:rPr>
                <w:sz w:val="20"/>
              </w:rPr>
            </w:pPr>
            <w:r>
              <w:rPr>
                <w:spacing w:val="-5"/>
                <w:sz w:val="20"/>
              </w:rPr>
              <w:t>85%</w:t>
            </w:r>
          </w:p>
        </w:tc>
        <w:tc>
          <w:tcPr>
            <w:tcW w:w="1394" w:type="dxa"/>
            <w:tcBorders>
              <w:top w:val="single" w:color="D9D9D9" w:sz="2" w:space="0"/>
              <w:bottom w:val="single" w:color="D9D9D9" w:sz="2" w:space="0"/>
            </w:tcBorders>
          </w:tcPr>
          <w:p w:rsidR="00C31389" w:rsidRDefault="00561FBD" w14:paraId="686196E9" w14:textId="77777777">
            <w:pPr>
              <w:pStyle w:val="TableParagraph"/>
              <w:spacing w:before="155"/>
              <w:ind w:right="245"/>
              <w:jc w:val="right"/>
              <w:rPr>
                <w:sz w:val="20"/>
              </w:rPr>
            </w:pPr>
            <w:r>
              <w:rPr>
                <w:spacing w:val="-2"/>
                <w:sz w:val="20"/>
              </w:rPr>
              <w:t>1/1/2018</w:t>
            </w:r>
          </w:p>
        </w:tc>
        <w:tc>
          <w:tcPr>
            <w:tcW w:w="1565" w:type="dxa"/>
            <w:tcBorders>
              <w:top w:val="single" w:color="D9D9D9" w:sz="2" w:space="0"/>
              <w:bottom w:val="single" w:color="D9D9D9" w:sz="2" w:space="0"/>
            </w:tcBorders>
          </w:tcPr>
          <w:p w:rsidR="00C31389" w:rsidRDefault="00561FBD" w14:paraId="02E74842" w14:textId="77777777">
            <w:pPr>
              <w:pStyle w:val="TableParagraph"/>
              <w:spacing w:before="155"/>
              <w:ind w:left="187" w:right="150"/>
              <w:jc w:val="center"/>
              <w:rPr>
                <w:sz w:val="20"/>
              </w:rPr>
            </w:pPr>
            <w:r>
              <w:rPr>
                <w:spacing w:val="-2"/>
                <w:sz w:val="20"/>
              </w:rPr>
              <w:t>On-the-books</w:t>
            </w:r>
          </w:p>
        </w:tc>
      </w:tr>
      <w:tr w:rsidR="00C31389" w14:paraId="1BA70650" w14:textId="77777777">
        <w:trPr>
          <w:trHeight w:val="539"/>
        </w:trPr>
        <w:tc>
          <w:tcPr>
            <w:tcW w:w="1367" w:type="dxa"/>
            <w:tcBorders>
              <w:top w:val="single" w:color="D9D9D9" w:sz="2" w:space="0"/>
              <w:bottom w:val="single" w:color="D9D9D9" w:sz="2" w:space="0"/>
            </w:tcBorders>
          </w:tcPr>
          <w:p w:rsidR="00C31389" w:rsidRDefault="00561FBD" w14:paraId="0B2F25D2" w14:textId="77777777">
            <w:pPr>
              <w:pStyle w:val="TableParagraph"/>
              <w:spacing w:before="155"/>
              <w:ind w:left="129"/>
              <w:rPr>
                <w:sz w:val="20"/>
              </w:rPr>
            </w:pPr>
            <w:r>
              <w:rPr>
                <w:sz w:val="20"/>
              </w:rPr>
              <w:t>2022</w:t>
            </w:r>
            <w:r>
              <w:rPr>
                <w:spacing w:val="-3"/>
                <w:sz w:val="20"/>
              </w:rPr>
              <w:t xml:space="preserve"> </w:t>
            </w:r>
            <w:r>
              <w:rPr>
                <w:sz w:val="20"/>
              </w:rPr>
              <w:t>T-</w:t>
            </w:r>
            <w:r>
              <w:rPr>
                <w:spacing w:val="-5"/>
                <w:sz w:val="20"/>
              </w:rPr>
              <w:t>24</w:t>
            </w:r>
          </w:p>
        </w:tc>
        <w:tc>
          <w:tcPr>
            <w:tcW w:w="3840" w:type="dxa"/>
            <w:tcBorders>
              <w:top w:val="single" w:color="D9D9D9" w:sz="2" w:space="0"/>
              <w:bottom w:val="single" w:color="D9D9D9" w:sz="2" w:space="0"/>
            </w:tcBorders>
          </w:tcPr>
          <w:p w:rsidR="00C31389" w:rsidRDefault="00561FBD" w14:paraId="2ACA9EB7" w14:textId="77777777">
            <w:pPr>
              <w:pStyle w:val="TableParagraph"/>
              <w:ind w:left="202" w:right="311"/>
              <w:rPr>
                <w:sz w:val="20"/>
              </w:rPr>
            </w:pPr>
            <w:r>
              <w:rPr>
                <w:sz w:val="20"/>
              </w:rPr>
              <w:t>2022</w:t>
            </w:r>
            <w:r>
              <w:rPr>
                <w:spacing w:val="-8"/>
                <w:sz w:val="20"/>
              </w:rPr>
              <w:t xml:space="preserve"> </w:t>
            </w:r>
            <w:r>
              <w:rPr>
                <w:sz w:val="20"/>
              </w:rPr>
              <w:t>T-24:</w:t>
            </w:r>
            <w:r>
              <w:rPr>
                <w:spacing w:val="-8"/>
                <w:sz w:val="20"/>
              </w:rPr>
              <w:t xml:space="preserve"> </w:t>
            </w:r>
            <w:r>
              <w:rPr>
                <w:sz w:val="20"/>
              </w:rPr>
              <w:t>MFNC</w:t>
            </w:r>
            <w:r>
              <w:rPr>
                <w:spacing w:val="-9"/>
                <w:sz w:val="20"/>
              </w:rPr>
              <w:t xml:space="preserve"> </w:t>
            </w:r>
            <w:r>
              <w:rPr>
                <w:sz w:val="20"/>
              </w:rPr>
              <w:t>-</w:t>
            </w:r>
            <w:r>
              <w:rPr>
                <w:spacing w:val="-8"/>
                <w:sz w:val="20"/>
              </w:rPr>
              <w:t xml:space="preserve"> </w:t>
            </w:r>
            <w:r>
              <w:rPr>
                <w:sz w:val="20"/>
              </w:rPr>
              <w:t>Restructuring</w:t>
            </w:r>
            <w:r>
              <w:rPr>
                <w:spacing w:val="-8"/>
                <w:sz w:val="20"/>
              </w:rPr>
              <w:t xml:space="preserve"> </w:t>
            </w:r>
            <w:r>
              <w:rPr>
                <w:sz w:val="20"/>
              </w:rPr>
              <w:t>- Wall U-Factor</w:t>
            </w:r>
          </w:p>
        </w:tc>
        <w:tc>
          <w:tcPr>
            <w:tcW w:w="1207" w:type="dxa"/>
            <w:tcBorders>
              <w:top w:val="single" w:color="D9D9D9" w:sz="2" w:space="0"/>
              <w:bottom w:val="single" w:color="D9D9D9" w:sz="2" w:space="0"/>
            </w:tcBorders>
          </w:tcPr>
          <w:p w:rsidR="00C31389" w:rsidRDefault="00561FBD" w14:paraId="3A379983" w14:textId="77777777">
            <w:pPr>
              <w:pStyle w:val="TableParagraph"/>
              <w:spacing w:before="155"/>
              <w:ind w:left="367"/>
              <w:rPr>
                <w:sz w:val="20"/>
              </w:rPr>
            </w:pPr>
            <w:r>
              <w:rPr>
                <w:spacing w:val="-5"/>
                <w:sz w:val="20"/>
              </w:rPr>
              <w:t>85%</w:t>
            </w:r>
          </w:p>
        </w:tc>
        <w:tc>
          <w:tcPr>
            <w:tcW w:w="1394" w:type="dxa"/>
            <w:tcBorders>
              <w:top w:val="single" w:color="D9D9D9" w:sz="2" w:space="0"/>
              <w:bottom w:val="single" w:color="D9D9D9" w:sz="2" w:space="0"/>
            </w:tcBorders>
          </w:tcPr>
          <w:p w:rsidR="00C31389" w:rsidRDefault="00561FBD" w14:paraId="020917ED" w14:textId="77777777">
            <w:pPr>
              <w:pStyle w:val="TableParagraph"/>
              <w:spacing w:before="155"/>
              <w:ind w:right="245"/>
              <w:jc w:val="right"/>
              <w:rPr>
                <w:sz w:val="20"/>
              </w:rPr>
            </w:pPr>
            <w:r>
              <w:rPr>
                <w:spacing w:val="-2"/>
                <w:sz w:val="20"/>
              </w:rPr>
              <w:t>1/1/2016</w:t>
            </w:r>
          </w:p>
        </w:tc>
        <w:tc>
          <w:tcPr>
            <w:tcW w:w="1565" w:type="dxa"/>
            <w:tcBorders>
              <w:top w:val="single" w:color="D9D9D9" w:sz="2" w:space="0"/>
              <w:bottom w:val="single" w:color="D9D9D9" w:sz="2" w:space="0"/>
            </w:tcBorders>
          </w:tcPr>
          <w:p w:rsidR="00C31389" w:rsidRDefault="00561FBD" w14:paraId="31E790B4" w14:textId="77777777">
            <w:pPr>
              <w:pStyle w:val="TableParagraph"/>
              <w:spacing w:before="155"/>
              <w:ind w:left="187" w:right="150"/>
              <w:jc w:val="center"/>
              <w:rPr>
                <w:sz w:val="20"/>
              </w:rPr>
            </w:pPr>
            <w:r>
              <w:rPr>
                <w:spacing w:val="-2"/>
                <w:sz w:val="20"/>
              </w:rPr>
              <w:t>On-the-books</w:t>
            </w:r>
          </w:p>
        </w:tc>
      </w:tr>
      <w:tr w:rsidR="00C31389" w14:paraId="415D8A25" w14:textId="77777777">
        <w:trPr>
          <w:trHeight w:val="539"/>
        </w:trPr>
        <w:tc>
          <w:tcPr>
            <w:tcW w:w="1367" w:type="dxa"/>
            <w:tcBorders>
              <w:top w:val="single" w:color="D9D9D9" w:sz="2" w:space="0"/>
              <w:bottom w:val="single" w:color="D9D9D9" w:sz="2" w:space="0"/>
            </w:tcBorders>
          </w:tcPr>
          <w:p w:rsidR="00C31389" w:rsidRDefault="00561FBD" w14:paraId="71A9E907"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1E5D93B4" w14:textId="77777777">
            <w:pPr>
              <w:pStyle w:val="TableParagraph"/>
              <w:ind w:left="202" w:right="311"/>
              <w:rPr>
                <w:sz w:val="20"/>
              </w:rPr>
            </w:pPr>
            <w:r>
              <w:rPr>
                <w:sz w:val="20"/>
              </w:rPr>
              <w:t>Fed</w:t>
            </w:r>
            <w:r>
              <w:rPr>
                <w:spacing w:val="-10"/>
                <w:sz w:val="20"/>
              </w:rPr>
              <w:t xml:space="preserve"> </w:t>
            </w:r>
            <w:r>
              <w:rPr>
                <w:sz w:val="20"/>
              </w:rPr>
              <w:t>Appliance:</w:t>
            </w:r>
            <w:r>
              <w:rPr>
                <w:spacing w:val="-10"/>
                <w:sz w:val="20"/>
              </w:rPr>
              <w:t xml:space="preserve"> </w:t>
            </w:r>
            <w:r>
              <w:rPr>
                <w:sz w:val="20"/>
              </w:rPr>
              <w:t>Electric</w:t>
            </w:r>
            <w:r>
              <w:rPr>
                <w:spacing w:val="-9"/>
                <w:sz w:val="20"/>
              </w:rPr>
              <w:t xml:space="preserve"> </w:t>
            </w:r>
            <w:r>
              <w:rPr>
                <w:sz w:val="20"/>
              </w:rPr>
              <w:t>Motors</w:t>
            </w:r>
            <w:r>
              <w:rPr>
                <w:spacing w:val="-10"/>
                <w:sz w:val="20"/>
              </w:rPr>
              <w:t xml:space="preserve"> </w:t>
            </w:r>
            <w:r>
              <w:rPr>
                <w:sz w:val="20"/>
              </w:rPr>
              <w:t xml:space="preserve">1- </w:t>
            </w:r>
            <w:r>
              <w:rPr>
                <w:spacing w:val="-4"/>
                <w:sz w:val="20"/>
              </w:rPr>
              <w:t>200HP</w:t>
            </w:r>
          </w:p>
        </w:tc>
        <w:tc>
          <w:tcPr>
            <w:tcW w:w="1207" w:type="dxa"/>
            <w:tcBorders>
              <w:top w:val="single" w:color="D9D9D9" w:sz="2" w:space="0"/>
              <w:bottom w:val="single" w:color="D9D9D9" w:sz="2" w:space="0"/>
            </w:tcBorders>
          </w:tcPr>
          <w:p w:rsidR="00C31389" w:rsidRDefault="00561FBD" w14:paraId="06F81212" w14:textId="77777777">
            <w:pPr>
              <w:pStyle w:val="TableParagraph"/>
              <w:spacing w:before="155"/>
              <w:ind w:left="367"/>
              <w:rPr>
                <w:sz w:val="20"/>
              </w:rPr>
            </w:pPr>
            <w:r>
              <w:rPr>
                <w:spacing w:val="-5"/>
                <w:sz w:val="20"/>
              </w:rPr>
              <w:t>91%</w:t>
            </w:r>
          </w:p>
        </w:tc>
        <w:tc>
          <w:tcPr>
            <w:tcW w:w="1394" w:type="dxa"/>
            <w:tcBorders>
              <w:top w:val="single" w:color="D9D9D9" w:sz="2" w:space="0"/>
              <w:bottom w:val="single" w:color="D9D9D9" w:sz="2" w:space="0"/>
            </w:tcBorders>
          </w:tcPr>
          <w:p w:rsidR="00C31389" w:rsidRDefault="00561FBD" w14:paraId="75DA006C" w14:textId="77777777">
            <w:pPr>
              <w:pStyle w:val="TableParagraph"/>
              <w:spacing w:before="155"/>
              <w:ind w:right="190"/>
              <w:jc w:val="right"/>
              <w:rPr>
                <w:sz w:val="20"/>
              </w:rPr>
            </w:pPr>
            <w:r>
              <w:rPr>
                <w:spacing w:val="-2"/>
                <w:sz w:val="20"/>
              </w:rPr>
              <w:t>10/1/2010</w:t>
            </w:r>
          </w:p>
        </w:tc>
        <w:tc>
          <w:tcPr>
            <w:tcW w:w="1565" w:type="dxa"/>
            <w:tcBorders>
              <w:top w:val="single" w:color="D9D9D9" w:sz="2" w:space="0"/>
              <w:bottom w:val="single" w:color="D9D9D9" w:sz="2" w:space="0"/>
            </w:tcBorders>
          </w:tcPr>
          <w:p w:rsidR="00C31389" w:rsidRDefault="00561FBD" w14:paraId="474F1ECD" w14:textId="77777777">
            <w:pPr>
              <w:pStyle w:val="TableParagraph"/>
              <w:spacing w:before="155"/>
              <w:ind w:left="187" w:right="150"/>
              <w:jc w:val="center"/>
              <w:rPr>
                <w:sz w:val="20"/>
              </w:rPr>
            </w:pPr>
            <w:r>
              <w:rPr>
                <w:spacing w:val="-2"/>
                <w:sz w:val="20"/>
              </w:rPr>
              <w:t>On-the-books</w:t>
            </w:r>
          </w:p>
        </w:tc>
      </w:tr>
      <w:tr w:rsidR="00C31389" w14:paraId="3201E531" w14:textId="77777777">
        <w:trPr>
          <w:trHeight w:val="539"/>
        </w:trPr>
        <w:tc>
          <w:tcPr>
            <w:tcW w:w="1367" w:type="dxa"/>
            <w:tcBorders>
              <w:top w:val="single" w:color="D9D9D9" w:sz="2" w:space="0"/>
              <w:bottom w:val="single" w:color="D9D9D9" w:sz="2" w:space="0"/>
            </w:tcBorders>
          </w:tcPr>
          <w:p w:rsidR="00C31389" w:rsidRDefault="00561FBD" w14:paraId="3C8987F5"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033185AB" w14:textId="77777777">
            <w:pPr>
              <w:pStyle w:val="TableParagraph"/>
              <w:ind w:left="202" w:right="311"/>
              <w:rPr>
                <w:sz w:val="20"/>
              </w:rPr>
            </w:pPr>
            <w:r>
              <w:rPr>
                <w:sz w:val="20"/>
              </w:rPr>
              <w:t xml:space="preserve">Fed Appliance: </w:t>
            </w:r>
            <w:r>
              <w:rPr>
                <w:sz w:val="20"/>
              </w:rPr>
              <w:t>Refrigerated Beverage</w:t>
            </w:r>
            <w:r>
              <w:rPr>
                <w:spacing w:val="-14"/>
                <w:sz w:val="20"/>
              </w:rPr>
              <w:t xml:space="preserve"> </w:t>
            </w:r>
            <w:r>
              <w:rPr>
                <w:sz w:val="20"/>
              </w:rPr>
              <w:t>Vending</w:t>
            </w:r>
            <w:r>
              <w:rPr>
                <w:spacing w:val="-14"/>
                <w:sz w:val="20"/>
              </w:rPr>
              <w:t xml:space="preserve"> </w:t>
            </w:r>
            <w:r>
              <w:rPr>
                <w:sz w:val="20"/>
              </w:rPr>
              <w:t>Machines</w:t>
            </w:r>
          </w:p>
        </w:tc>
        <w:tc>
          <w:tcPr>
            <w:tcW w:w="1207" w:type="dxa"/>
            <w:tcBorders>
              <w:top w:val="single" w:color="D9D9D9" w:sz="2" w:space="0"/>
              <w:bottom w:val="single" w:color="D9D9D9" w:sz="2" w:space="0"/>
            </w:tcBorders>
          </w:tcPr>
          <w:p w:rsidR="00C31389" w:rsidRDefault="00561FBD" w14:paraId="1DE1A56C" w14:textId="77777777">
            <w:pPr>
              <w:pStyle w:val="TableParagraph"/>
              <w:spacing w:before="155"/>
              <w:ind w:left="367"/>
              <w:rPr>
                <w:sz w:val="20"/>
              </w:rPr>
            </w:pPr>
            <w:r>
              <w:rPr>
                <w:spacing w:val="-5"/>
                <w:sz w:val="20"/>
              </w:rPr>
              <w:t>37%</w:t>
            </w:r>
          </w:p>
        </w:tc>
        <w:tc>
          <w:tcPr>
            <w:tcW w:w="1394" w:type="dxa"/>
            <w:tcBorders>
              <w:top w:val="single" w:color="D9D9D9" w:sz="2" w:space="0"/>
              <w:bottom w:val="single" w:color="D9D9D9" w:sz="2" w:space="0"/>
            </w:tcBorders>
          </w:tcPr>
          <w:p w:rsidR="00C31389" w:rsidRDefault="00561FBD" w14:paraId="7493F1D5" w14:textId="77777777">
            <w:pPr>
              <w:pStyle w:val="TableParagraph"/>
              <w:spacing w:before="155"/>
              <w:ind w:right="245"/>
              <w:jc w:val="right"/>
              <w:rPr>
                <w:sz w:val="20"/>
              </w:rPr>
            </w:pPr>
            <w:r>
              <w:rPr>
                <w:spacing w:val="-2"/>
                <w:sz w:val="20"/>
              </w:rPr>
              <w:t>1/1/2011</w:t>
            </w:r>
          </w:p>
        </w:tc>
        <w:tc>
          <w:tcPr>
            <w:tcW w:w="1565" w:type="dxa"/>
            <w:tcBorders>
              <w:top w:val="single" w:color="D9D9D9" w:sz="2" w:space="0"/>
              <w:bottom w:val="single" w:color="D9D9D9" w:sz="2" w:space="0"/>
            </w:tcBorders>
          </w:tcPr>
          <w:p w:rsidR="00C31389" w:rsidRDefault="00561FBD" w14:paraId="6AB161CD" w14:textId="77777777">
            <w:pPr>
              <w:pStyle w:val="TableParagraph"/>
              <w:spacing w:before="155"/>
              <w:ind w:left="187" w:right="150"/>
              <w:jc w:val="center"/>
              <w:rPr>
                <w:sz w:val="20"/>
              </w:rPr>
            </w:pPr>
            <w:r>
              <w:rPr>
                <w:spacing w:val="-2"/>
                <w:sz w:val="20"/>
              </w:rPr>
              <w:t>On-the-books</w:t>
            </w:r>
          </w:p>
        </w:tc>
      </w:tr>
      <w:tr w:rsidR="00C31389" w14:paraId="5EAC7428" w14:textId="77777777">
        <w:trPr>
          <w:trHeight w:val="539"/>
        </w:trPr>
        <w:tc>
          <w:tcPr>
            <w:tcW w:w="1367" w:type="dxa"/>
            <w:tcBorders>
              <w:top w:val="single" w:color="D9D9D9" w:sz="2" w:space="0"/>
              <w:bottom w:val="single" w:color="D9D9D9" w:sz="2" w:space="0"/>
            </w:tcBorders>
          </w:tcPr>
          <w:p w:rsidR="00C31389" w:rsidRDefault="00561FBD" w14:paraId="0DC25BF9"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744F2AC2" w14:textId="77777777">
            <w:pPr>
              <w:pStyle w:val="TableParagraph"/>
              <w:ind w:left="202" w:right="311"/>
              <w:rPr>
                <w:sz w:val="20"/>
              </w:rPr>
            </w:pPr>
            <w:r>
              <w:rPr>
                <w:sz w:val="20"/>
              </w:rPr>
              <w:t>Fed</w:t>
            </w:r>
            <w:r>
              <w:rPr>
                <w:spacing w:val="-14"/>
                <w:sz w:val="20"/>
              </w:rPr>
              <w:t xml:space="preserve"> </w:t>
            </w:r>
            <w:r>
              <w:rPr>
                <w:sz w:val="20"/>
              </w:rPr>
              <w:t>Appliance:</w:t>
            </w:r>
            <w:r>
              <w:rPr>
                <w:spacing w:val="-14"/>
                <w:sz w:val="20"/>
              </w:rPr>
              <w:t xml:space="preserve"> </w:t>
            </w:r>
            <w:r>
              <w:rPr>
                <w:sz w:val="20"/>
              </w:rPr>
              <w:t xml:space="preserve">Commercial </w:t>
            </w:r>
            <w:r>
              <w:rPr>
                <w:spacing w:val="-2"/>
                <w:sz w:val="20"/>
              </w:rPr>
              <w:t>Refrigeration</w:t>
            </w:r>
          </w:p>
        </w:tc>
        <w:tc>
          <w:tcPr>
            <w:tcW w:w="1207" w:type="dxa"/>
            <w:tcBorders>
              <w:top w:val="single" w:color="D9D9D9" w:sz="2" w:space="0"/>
              <w:bottom w:val="single" w:color="D9D9D9" w:sz="2" w:space="0"/>
            </w:tcBorders>
          </w:tcPr>
          <w:p w:rsidR="00C31389" w:rsidRDefault="00561FBD" w14:paraId="1C28435F" w14:textId="77777777">
            <w:pPr>
              <w:pStyle w:val="TableParagraph"/>
              <w:spacing w:before="155"/>
              <w:ind w:left="366"/>
              <w:rPr>
                <w:sz w:val="20"/>
              </w:rPr>
            </w:pPr>
            <w:r>
              <w:rPr>
                <w:spacing w:val="-5"/>
                <w:sz w:val="20"/>
              </w:rPr>
              <w:t>70%</w:t>
            </w:r>
          </w:p>
        </w:tc>
        <w:tc>
          <w:tcPr>
            <w:tcW w:w="1394" w:type="dxa"/>
            <w:tcBorders>
              <w:top w:val="single" w:color="D9D9D9" w:sz="2" w:space="0"/>
              <w:bottom w:val="single" w:color="D9D9D9" w:sz="2" w:space="0"/>
            </w:tcBorders>
          </w:tcPr>
          <w:p w:rsidR="00C31389" w:rsidRDefault="00561FBD" w14:paraId="4FAD66C2" w14:textId="77777777">
            <w:pPr>
              <w:pStyle w:val="TableParagraph"/>
              <w:spacing w:before="155"/>
              <w:ind w:right="245"/>
              <w:jc w:val="right"/>
              <w:rPr>
                <w:sz w:val="20"/>
              </w:rPr>
            </w:pPr>
            <w:r>
              <w:rPr>
                <w:spacing w:val="-2"/>
                <w:sz w:val="20"/>
              </w:rPr>
              <w:t>1/1/2014</w:t>
            </w:r>
          </w:p>
        </w:tc>
        <w:tc>
          <w:tcPr>
            <w:tcW w:w="1565" w:type="dxa"/>
            <w:tcBorders>
              <w:top w:val="single" w:color="D9D9D9" w:sz="2" w:space="0"/>
              <w:bottom w:val="single" w:color="D9D9D9" w:sz="2" w:space="0"/>
            </w:tcBorders>
          </w:tcPr>
          <w:p w:rsidR="00C31389" w:rsidRDefault="00561FBD" w14:paraId="4A4BF2BF" w14:textId="77777777">
            <w:pPr>
              <w:pStyle w:val="TableParagraph"/>
              <w:spacing w:before="155"/>
              <w:ind w:left="187" w:right="150"/>
              <w:jc w:val="center"/>
              <w:rPr>
                <w:sz w:val="20"/>
              </w:rPr>
            </w:pPr>
            <w:r>
              <w:rPr>
                <w:spacing w:val="-2"/>
                <w:sz w:val="20"/>
              </w:rPr>
              <w:t>On-the-books</w:t>
            </w:r>
          </w:p>
        </w:tc>
      </w:tr>
      <w:tr w:rsidR="00C31389" w14:paraId="45484F99" w14:textId="77777777">
        <w:trPr>
          <w:trHeight w:val="540"/>
        </w:trPr>
        <w:tc>
          <w:tcPr>
            <w:tcW w:w="1367" w:type="dxa"/>
            <w:tcBorders>
              <w:top w:val="single" w:color="D9D9D9" w:sz="2" w:space="0"/>
              <w:bottom w:val="single" w:color="D9D9D9" w:sz="2" w:space="0"/>
            </w:tcBorders>
          </w:tcPr>
          <w:p w:rsidR="00C31389" w:rsidRDefault="00561FBD" w14:paraId="18F11C84"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74DFC2B3" w14:textId="77777777">
            <w:pPr>
              <w:pStyle w:val="TableParagraph"/>
              <w:spacing w:before="41"/>
              <w:ind w:left="202"/>
              <w:rPr>
                <w:sz w:val="20"/>
              </w:rPr>
            </w:pPr>
            <w:r>
              <w:rPr>
                <w:sz w:val="20"/>
              </w:rPr>
              <w:t>Fed</w:t>
            </w:r>
            <w:r>
              <w:rPr>
                <w:spacing w:val="-12"/>
                <w:sz w:val="20"/>
              </w:rPr>
              <w:t xml:space="preserve"> </w:t>
            </w:r>
            <w:r>
              <w:rPr>
                <w:sz w:val="20"/>
              </w:rPr>
              <w:t>Appliance:</w:t>
            </w:r>
            <w:r>
              <w:rPr>
                <w:spacing w:val="-12"/>
                <w:sz w:val="20"/>
              </w:rPr>
              <w:t xml:space="preserve"> </w:t>
            </w:r>
            <w:r>
              <w:rPr>
                <w:sz w:val="20"/>
              </w:rPr>
              <w:t>ASHRAE</w:t>
            </w:r>
            <w:r>
              <w:rPr>
                <w:spacing w:val="-12"/>
                <w:sz w:val="20"/>
              </w:rPr>
              <w:t xml:space="preserve"> </w:t>
            </w:r>
            <w:r>
              <w:rPr>
                <w:sz w:val="20"/>
              </w:rPr>
              <w:t>Products (Commercial boilers)</w:t>
            </w:r>
          </w:p>
        </w:tc>
        <w:tc>
          <w:tcPr>
            <w:tcW w:w="1207" w:type="dxa"/>
            <w:tcBorders>
              <w:top w:val="single" w:color="D9D9D9" w:sz="2" w:space="0"/>
              <w:bottom w:val="single" w:color="D9D9D9" w:sz="2" w:space="0"/>
            </w:tcBorders>
          </w:tcPr>
          <w:p w:rsidR="00C31389" w:rsidRDefault="00561FBD" w14:paraId="473D498F" w14:textId="77777777">
            <w:pPr>
              <w:pStyle w:val="TableParagraph"/>
              <w:spacing w:before="155"/>
              <w:ind w:left="367"/>
              <w:rPr>
                <w:sz w:val="20"/>
              </w:rPr>
            </w:pPr>
            <w:r>
              <w:rPr>
                <w:spacing w:val="-5"/>
                <w:sz w:val="20"/>
              </w:rPr>
              <w:t>95%</w:t>
            </w:r>
          </w:p>
        </w:tc>
        <w:tc>
          <w:tcPr>
            <w:tcW w:w="1394" w:type="dxa"/>
            <w:tcBorders>
              <w:top w:val="single" w:color="D9D9D9" w:sz="2" w:space="0"/>
              <w:bottom w:val="single" w:color="D9D9D9" w:sz="2" w:space="0"/>
            </w:tcBorders>
          </w:tcPr>
          <w:p w:rsidR="00C31389" w:rsidRDefault="00561FBD" w14:paraId="153BC898" w14:textId="77777777">
            <w:pPr>
              <w:pStyle w:val="TableParagraph"/>
              <w:spacing w:before="155"/>
              <w:ind w:right="245"/>
              <w:jc w:val="right"/>
              <w:rPr>
                <w:sz w:val="20"/>
              </w:rPr>
            </w:pPr>
            <w:r>
              <w:rPr>
                <w:spacing w:val="-2"/>
                <w:sz w:val="20"/>
              </w:rPr>
              <w:t>2/1/2013</w:t>
            </w:r>
          </w:p>
        </w:tc>
        <w:tc>
          <w:tcPr>
            <w:tcW w:w="1565" w:type="dxa"/>
            <w:tcBorders>
              <w:top w:val="single" w:color="D9D9D9" w:sz="2" w:space="0"/>
              <w:bottom w:val="single" w:color="D9D9D9" w:sz="2" w:space="0"/>
            </w:tcBorders>
          </w:tcPr>
          <w:p w:rsidR="00C31389" w:rsidRDefault="00561FBD" w14:paraId="318B3A4C" w14:textId="77777777">
            <w:pPr>
              <w:pStyle w:val="TableParagraph"/>
              <w:spacing w:before="155"/>
              <w:ind w:left="187" w:right="150"/>
              <w:jc w:val="center"/>
              <w:rPr>
                <w:sz w:val="20"/>
              </w:rPr>
            </w:pPr>
            <w:r>
              <w:rPr>
                <w:spacing w:val="-2"/>
                <w:sz w:val="20"/>
              </w:rPr>
              <w:t>On-the-books</w:t>
            </w:r>
          </w:p>
        </w:tc>
      </w:tr>
      <w:tr w:rsidR="00C31389" w14:paraId="472C4276" w14:textId="77777777">
        <w:trPr>
          <w:trHeight w:val="539"/>
        </w:trPr>
        <w:tc>
          <w:tcPr>
            <w:tcW w:w="1367" w:type="dxa"/>
            <w:tcBorders>
              <w:top w:val="single" w:color="D9D9D9" w:sz="2" w:space="0"/>
              <w:bottom w:val="single" w:color="D9D9D9" w:sz="2" w:space="0"/>
            </w:tcBorders>
          </w:tcPr>
          <w:p w:rsidR="00C31389" w:rsidRDefault="00561FBD" w14:paraId="02228032"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009CA8F4" w14:textId="77777777">
            <w:pPr>
              <w:pStyle w:val="TableParagraph"/>
              <w:ind w:left="202" w:right="311"/>
              <w:rPr>
                <w:sz w:val="20"/>
              </w:rPr>
            </w:pPr>
            <w:r>
              <w:rPr>
                <w:sz w:val="20"/>
              </w:rPr>
              <w:t>Fed</w:t>
            </w:r>
            <w:r>
              <w:rPr>
                <w:spacing w:val="-9"/>
                <w:sz w:val="20"/>
              </w:rPr>
              <w:t xml:space="preserve"> </w:t>
            </w:r>
            <w:r>
              <w:rPr>
                <w:sz w:val="20"/>
              </w:rPr>
              <w:t>Appliance:</w:t>
            </w:r>
            <w:r>
              <w:rPr>
                <w:spacing w:val="-9"/>
                <w:sz w:val="20"/>
              </w:rPr>
              <w:t xml:space="preserve"> </w:t>
            </w:r>
            <w:r>
              <w:rPr>
                <w:sz w:val="20"/>
              </w:rPr>
              <w:t>Residential</w:t>
            </w:r>
            <w:r>
              <w:rPr>
                <w:spacing w:val="-10"/>
                <w:sz w:val="20"/>
              </w:rPr>
              <w:t xml:space="preserve"> </w:t>
            </w:r>
            <w:r>
              <w:rPr>
                <w:sz w:val="20"/>
              </w:rPr>
              <w:t>Electric</w:t>
            </w:r>
            <w:r>
              <w:rPr>
                <w:spacing w:val="-8"/>
                <w:sz w:val="20"/>
              </w:rPr>
              <w:t xml:space="preserve"> </w:t>
            </w:r>
            <w:r>
              <w:rPr>
                <w:sz w:val="20"/>
              </w:rPr>
              <w:t>&amp; Gas Ranges</w:t>
            </w:r>
          </w:p>
        </w:tc>
        <w:tc>
          <w:tcPr>
            <w:tcW w:w="1207" w:type="dxa"/>
            <w:tcBorders>
              <w:top w:val="single" w:color="D9D9D9" w:sz="2" w:space="0"/>
              <w:bottom w:val="single" w:color="D9D9D9" w:sz="2" w:space="0"/>
            </w:tcBorders>
          </w:tcPr>
          <w:p w:rsidR="00C31389" w:rsidRDefault="00561FBD" w14:paraId="150A4142" w14:textId="77777777">
            <w:pPr>
              <w:pStyle w:val="TableParagraph"/>
              <w:spacing w:before="155"/>
              <w:ind w:left="311"/>
              <w:rPr>
                <w:sz w:val="20"/>
              </w:rPr>
            </w:pPr>
            <w:r>
              <w:rPr>
                <w:spacing w:val="-4"/>
                <w:sz w:val="20"/>
              </w:rPr>
              <w:t>100%</w:t>
            </w:r>
          </w:p>
        </w:tc>
        <w:tc>
          <w:tcPr>
            <w:tcW w:w="1394" w:type="dxa"/>
            <w:tcBorders>
              <w:top w:val="single" w:color="D9D9D9" w:sz="2" w:space="0"/>
              <w:bottom w:val="single" w:color="D9D9D9" w:sz="2" w:space="0"/>
            </w:tcBorders>
          </w:tcPr>
          <w:p w:rsidR="00C31389" w:rsidRDefault="00561FBD" w14:paraId="45763652" w14:textId="77777777">
            <w:pPr>
              <w:pStyle w:val="TableParagraph"/>
              <w:spacing w:before="155"/>
              <w:ind w:right="245"/>
              <w:jc w:val="right"/>
              <w:rPr>
                <w:sz w:val="20"/>
              </w:rPr>
            </w:pPr>
            <w:r>
              <w:rPr>
                <w:spacing w:val="-2"/>
                <w:sz w:val="20"/>
              </w:rPr>
              <w:t>1/1/2014</w:t>
            </w:r>
          </w:p>
        </w:tc>
        <w:tc>
          <w:tcPr>
            <w:tcW w:w="1565" w:type="dxa"/>
            <w:tcBorders>
              <w:top w:val="single" w:color="D9D9D9" w:sz="2" w:space="0"/>
              <w:bottom w:val="single" w:color="D9D9D9" w:sz="2" w:space="0"/>
            </w:tcBorders>
          </w:tcPr>
          <w:p w:rsidR="00C31389" w:rsidRDefault="00561FBD" w14:paraId="630EBB17" w14:textId="77777777">
            <w:pPr>
              <w:pStyle w:val="TableParagraph"/>
              <w:spacing w:before="155"/>
              <w:ind w:left="187" w:right="150"/>
              <w:jc w:val="center"/>
              <w:rPr>
                <w:sz w:val="20"/>
              </w:rPr>
            </w:pPr>
            <w:r>
              <w:rPr>
                <w:spacing w:val="-2"/>
                <w:sz w:val="20"/>
              </w:rPr>
              <w:t>On-the-books</w:t>
            </w:r>
          </w:p>
        </w:tc>
      </w:tr>
      <w:tr w:rsidR="00C31389" w14:paraId="4B143F1C" w14:textId="77777777">
        <w:trPr>
          <w:trHeight w:val="539"/>
        </w:trPr>
        <w:tc>
          <w:tcPr>
            <w:tcW w:w="1367" w:type="dxa"/>
            <w:tcBorders>
              <w:top w:val="single" w:color="D9D9D9" w:sz="2" w:space="0"/>
              <w:bottom w:val="single" w:color="D9D9D9" w:sz="2" w:space="0"/>
            </w:tcBorders>
          </w:tcPr>
          <w:p w:rsidR="00C31389" w:rsidRDefault="00561FBD" w14:paraId="07FE924C"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4C3F1087"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General</w:t>
            </w:r>
            <w:r>
              <w:rPr>
                <w:spacing w:val="-12"/>
                <w:sz w:val="20"/>
              </w:rPr>
              <w:t xml:space="preserve"> </w:t>
            </w:r>
            <w:r>
              <w:rPr>
                <w:sz w:val="20"/>
              </w:rPr>
              <w:t>Service Fluorescent Lamps #1</w:t>
            </w:r>
          </w:p>
        </w:tc>
        <w:tc>
          <w:tcPr>
            <w:tcW w:w="1207" w:type="dxa"/>
            <w:tcBorders>
              <w:top w:val="single" w:color="D9D9D9" w:sz="2" w:space="0"/>
              <w:bottom w:val="single" w:color="D9D9D9" w:sz="2" w:space="0"/>
            </w:tcBorders>
          </w:tcPr>
          <w:p w:rsidR="00C31389" w:rsidRDefault="00561FBD" w14:paraId="2A69D73F" w14:textId="77777777">
            <w:pPr>
              <w:pStyle w:val="TableParagraph"/>
              <w:spacing w:before="155"/>
              <w:ind w:left="367"/>
              <w:rPr>
                <w:sz w:val="20"/>
              </w:rPr>
            </w:pPr>
            <w:r>
              <w:rPr>
                <w:spacing w:val="-5"/>
                <w:sz w:val="20"/>
              </w:rPr>
              <w:t>95%</w:t>
            </w:r>
          </w:p>
        </w:tc>
        <w:tc>
          <w:tcPr>
            <w:tcW w:w="1394" w:type="dxa"/>
            <w:tcBorders>
              <w:top w:val="single" w:color="D9D9D9" w:sz="2" w:space="0"/>
              <w:bottom w:val="single" w:color="D9D9D9" w:sz="2" w:space="0"/>
            </w:tcBorders>
          </w:tcPr>
          <w:p w:rsidR="00C31389" w:rsidRDefault="00561FBD" w14:paraId="39735B50" w14:textId="77777777">
            <w:pPr>
              <w:pStyle w:val="TableParagraph"/>
              <w:spacing w:before="155"/>
              <w:ind w:right="245"/>
              <w:jc w:val="right"/>
              <w:rPr>
                <w:sz w:val="20"/>
              </w:rPr>
            </w:pPr>
            <w:r>
              <w:rPr>
                <w:spacing w:val="-2"/>
                <w:sz w:val="20"/>
              </w:rPr>
              <w:t>1/1/2017</w:t>
            </w:r>
          </w:p>
        </w:tc>
        <w:tc>
          <w:tcPr>
            <w:tcW w:w="1565" w:type="dxa"/>
            <w:tcBorders>
              <w:top w:val="single" w:color="D9D9D9" w:sz="2" w:space="0"/>
              <w:bottom w:val="single" w:color="D9D9D9" w:sz="2" w:space="0"/>
            </w:tcBorders>
          </w:tcPr>
          <w:p w:rsidR="00C31389" w:rsidRDefault="00561FBD" w14:paraId="1982D439" w14:textId="77777777">
            <w:pPr>
              <w:pStyle w:val="TableParagraph"/>
              <w:spacing w:before="155"/>
              <w:ind w:left="187" w:right="150"/>
              <w:jc w:val="center"/>
              <w:rPr>
                <w:sz w:val="20"/>
              </w:rPr>
            </w:pPr>
            <w:r>
              <w:rPr>
                <w:spacing w:val="-2"/>
                <w:sz w:val="20"/>
              </w:rPr>
              <w:t>On-the-books</w:t>
            </w:r>
          </w:p>
        </w:tc>
      </w:tr>
      <w:tr w:rsidR="00C31389" w14:paraId="16ABE881" w14:textId="77777777">
        <w:trPr>
          <w:trHeight w:val="539"/>
        </w:trPr>
        <w:tc>
          <w:tcPr>
            <w:tcW w:w="1367" w:type="dxa"/>
            <w:tcBorders>
              <w:top w:val="single" w:color="D9D9D9" w:sz="2" w:space="0"/>
              <w:bottom w:val="single" w:color="D9D9D9" w:sz="2" w:space="0"/>
            </w:tcBorders>
          </w:tcPr>
          <w:p w:rsidR="00C31389" w:rsidRDefault="00561FBD" w14:paraId="62C5FC0C"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60634142" w14:textId="77777777">
            <w:pPr>
              <w:pStyle w:val="TableParagraph"/>
              <w:ind w:left="202" w:right="311"/>
              <w:rPr>
                <w:sz w:val="20"/>
              </w:rPr>
            </w:pPr>
            <w:r>
              <w:rPr>
                <w:sz w:val="20"/>
              </w:rPr>
              <w:t>Fed</w:t>
            </w:r>
            <w:r>
              <w:rPr>
                <w:spacing w:val="-14"/>
                <w:sz w:val="20"/>
              </w:rPr>
              <w:t xml:space="preserve"> </w:t>
            </w:r>
            <w:r>
              <w:rPr>
                <w:sz w:val="20"/>
              </w:rPr>
              <w:t>Appliance:</w:t>
            </w:r>
            <w:r>
              <w:rPr>
                <w:spacing w:val="-14"/>
                <w:sz w:val="20"/>
              </w:rPr>
              <w:t xml:space="preserve"> </w:t>
            </w:r>
            <w:r>
              <w:rPr>
                <w:sz w:val="20"/>
              </w:rPr>
              <w:t>Incandescent Reflector Lamps</w:t>
            </w:r>
          </w:p>
        </w:tc>
        <w:tc>
          <w:tcPr>
            <w:tcW w:w="1207" w:type="dxa"/>
            <w:tcBorders>
              <w:top w:val="single" w:color="D9D9D9" w:sz="2" w:space="0"/>
              <w:bottom w:val="single" w:color="D9D9D9" w:sz="2" w:space="0"/>
            </w:tcBorders>
          </w:tcPr>
          <w:p w:rsidR="00C31389" w:rsidRDefault="00561FBD" w14:paraId="5ACB6634" w14:textId="77777777">
            <w:pPr>
              <w:pStyle w:val="TableParagraph"/>
              <w:spacing w:before="155"/>
              <w:ind w:left="366"/>
              <w:rPr>
                <w:sz w:val="20"/>
              </w:rPr>
            </w:pPr>
            <w:r>
              <w:rPr>
                <w:spacing w:val="-5"/>
                <w:sz w:val="20"/>
              </w:rPr>
              <w:t>65%</w:t>
            </w:r>
          </w:p>
        </w:tc>
        <w:tc>
          <w:tcPr>
            <w:tcW w:w="1394" w:type="dxa"/>
            <w:tcBorders>
              <w:top w:val="single" w:color="D9D9D9" w:sz="2" w:space="0"/>
              <w:bottom w:val="single" w:color="D9D9D9" w:sz="2" w:space="0"/>
            </w:tcBorders>
          </w:tcPr>
          <w:p w:rsidR="00C31389" w:rsidRDefault="00561FBD" w14:paraId="481CC1F1" w14:textId="77777777">
            <w:pPr>
              <w:pStyle w:val="TableParagraph"/>
              <w:spacing w:before="155"/>
              <w:ind w:right="245"/>
              <w:jc w:val="right"/>
              <w:rPr>
                <w:sz w:val="20"/>
              </w:rPr>
            </w:pPr>
            <w:r>
              <w:rPr>
                <w:spacing w:val="-2"/>
                <w:sz w:val="20"/>
              </w:rPr>
              <w:t>7/1/2014</w:t>
            </w:r>
          </w:p>
        </w:tc>
        <w:tc>
          <w:tcPr>
            <w:tcW w:w="1565" w:type="dxa"/>
            <w:tcBorders>
              <w:top w:val="single" w:color="D9D9D9" w:sz="2" w:space="0"/>
              <w:bottom w:val="single" w:color="D9D9D9" w:sz="2" w:space="0"/>
            </w:tcBorders>
          </w:tcPr>
          <w:p w:rsidR="00C31389" w:rsidRDefault="00561FBD" w14:paraId="1249075B" w14:textId="77777777">
            <w:pPr>
              <w:pStyle w:val="TableParagraph"/>
              <w:spacing w:before="155"/>
              <w:ind w:left="187" w:right="150"/>
              <w:jc w:val="center"/>
              <w:rPr>
                <w:sz w:val="20"/>
              </w:rPr>
            </w:pPr>
            <w:r>
              <w:rPr>
                <w:spacing w:val="-2"/>
                <w:sz w:val="20"/>
              </w:rPr>
              <w:t>On-the-books</w:t>
            </w:r>
          </w:p>
        </w:tc>
      </w:tr>
      <w:tr w:rsidR="00C31389" w14:paraId="18922CFE" w14:textId="77777777">
        <w:trPr>
          <w:trHeight w:val="539"/>
        </w:trPr>
        <w:tc>
          <w:tcPr>
            <w:tcW w:w="1367" w:type="dxa"/>
            <w:tcBorders>
              <w:top w:val="single" w:color="D9D9D9" w:sz="2" w:space="0"/>
              <w:bottom w:val="single" w:color="D9D9D9" w:sz="2" w:space="0"/>
            </w:tcBorders>
          </w:tcPr>
          <w:p w:rsidR="00C31389" w:rsidRDefault="00561FBD" w14:paraId="5C036A6A"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0A163E47"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Commercial</w:t>
            </w:r>
            <w:r>
              <w:rPr>
                <w:spacing w:val="-12"/>
                <w:sz w:val="20"/>
              </w:rPr>
              <w:t xml:space="preserve"> </w:t>
            </w:r>
            <w:r>
              <w:rPr>
                <w:sz w:val="20"/>
              </w:rPr>
              <w:t>Clothes Washers #1</w:t>
            </w:r>
          </w:p>
        </w:tc>
        <w:tc>
          <w:tcPr>
            <w:tcW w:w="1207" w:type="dxa"/>
            <w:tcBorders>
              <w:top w:val="single" w:color="D9D9D9" w:sz="2" w:space="0"/>
              <w:bottom w:val="single" w:color="D9D9D9" w:sz="2" w:space="0"/>
            </w:tcBorders>
          </w:tcPr>
          <w:p w:rsidR="00C31389" w:rsidRDefault="00561FBD" w14:paraId="125FCE23" w14:textId="77777777">
            <w:pPr>
              <w:pStyle w:val="TableParagraph"/>
              <w:spacing w:before="155"/>
              <w:ind w:left="367"/>
              <w:rPr>
                <w:sz w:val="20"/>
              </w:rPr>
            </w:pPr>
            <w:r>
              <w:rPr>
                <w:spacing w:val="-5"/>
                <w:sz w:val="20"/>
              </w:rPr>
              <w:t>94%</w:t>
            </w:r>
          </w:p>
        </w:tc>
        <w:tc>
          <w:tcPr>
            <w:tcW w:w="1394" w:type="dxa"/>
            <w:tcBorders>
              <w:top w:val="single" w:color="D9D9D9" w:sz="2" w:space="0"/>
              <w:bottom w:val="single" w:color="D9D9D9" w:sz="2" w:space="0"/>
            </w:tcBorders>
          </w:tcPr>
          <w:p w:rsidR="00C31389" w:rsidRDefault="00561FBD" w14:paraId="0073CBDE" w14:textId="77777777">
            <w:pPr>
              <w:pStyle w:val="TableParagraph"/>
              <w:spacing w:before="155"/>
              <w:ind w:right="245"/>
              <w:jc w:val="right"/>
              <w:rPr>
                <w:sz w:val="20"/>
              </w:rPr>
            </w:pPr>
            <w:r>
              <w:rPr>
                <w:spacing w:val="-2"/>
                <w:sz w:val="20"/>
              </w:rPr>
              <w:t>7/1/2014</w:t>
            </w:r>
          </w:p>
        </w:tc>
        <w:tc>
          <w:tcPr>
            <w:tcW w:w="1565" w:type="dxa"/>
            <w:tcBorders>
              <w:top w:val="single" w:color="D9D9D9" w:sz="2" w:space="0"/>
              <w:bottom w:val="single" w:color="D9D9D9" w:sz="2" w:space="0"/>
            </w:tcBorders>
          </w:tcPr>
          <w:p w:rsidR="00C31389" w:rsidRDefault="00561FBD" w14:paraId="7560AB22" w14:textId="77777777">
            <w:pPr>
              <w:pStyle w:val="TableParagraph"/>
              <w:spacing w:before="155"/>
              <w:ind w:left="187" w:right="150"/>
              <w:jc w:val="center"/>
              <w:rPr>
                <w:sz w:val="20"/>
              </w:rPr>
            </w:pPr>
            <w:r>
              <w:rPr>
                <w:spacing w:val="-2"/>
                <w:sz w:val="20"/>
              </w:rPr>
              <w:t>On-the-books</w:t>
            </w:r>
          </w:p>
        </w:tc>
      </w:tr>
      <w:tr w:rsidR="00C31389" w14:paraId="271A3EEE" w14:textId="77777777">
        <w:trPr>
          <w:trHeight w:val="539"/>
        </w:trPr>
        <w:tc>
          <w:tcPr>
            <w:tcW w:w="1367" w:type="dxa"/>
            <w:tcBorders>
              <w:top w:val="single" w:color="D9D9D9" w:sz="2" w:space="0"/>
              <w:bottom w:val="single" w:color="D9D9D9" w:sz="2" w:space="0"/>
            </w:tcBorders>
          </w:tcPr>
          <w:p w:rsidR="00C31389" w:rsidRDefault="00561FBD" w14:paraId="3AD4D208"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118A5ADF" w14:textId="77777777">
            <w:pPr>
              <w:pStyle w:val="TableParagraph"/>
              <w:ind w:left="202" w:right="311"/>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Direct Heating Equipment</w:t>
            </w:r>
          </w:p>
        </w:tc>
        <w:tc>
          <w:tcPr>
            <w:tcW w:w="1207" w:type="dxa"/>
            <w:tcBorders>
              <w:top w:val="single" w:color="D9D9D9" w:sz="2" w:space="0"/>
              <w:bottom w:val="single" w:color="D9D9D9" w:sz="2" w:space="0"/>
            </w:tcBorders>
          </w:tcPr>
          <w:p w:rsidR="00C31389" w:rsidRDefault="00561FBD" w14:paraId="03CCC7F3" w14:textId="77777777">
            <w:pPr>
              <w:pStyle w:val="TableParagraph"/>
              <w:spacing w:before="155"/>
              <w:ind w:left="367"/>
              <w:rPr>
                <w:sz w:val="20"/>
              </w:rPr>
            </w:pPr>
            <w:r>
              <w:rPr>
                <w:spacing w:val="-5"/>
                <w:sz w:val="20"/>
              </w:rPr>
              <w:t>95%</w:t>
            </w:r>
          </w:p>
        </w:tc>
        <w:tc>
          <w:tcPr>
            <w:tcW w:w="1394" w:type="dxa"/>
            <w:tcBorders>
              <w:top w:val="single" w:color="D9D9D9" w:sz="2" w:space="0"/>
              <w:bottom w:val="single" w:color="D9D9D9" w:sz="2" w:space="0"/>
            </w:tcBorders>
          </w:tcPr>
          <w:p w:rsidR="00C31389" w:rsidRDefault="00561FBD" w14:paraId="621F6BD3" w14:textId="77777777">
            <w:pPr>
              <w:pStyle w:val="TableParagraph"/>
              <w:spacing w:before="155"/>
              <w:ind w:right="245"/>
              <w:jc w:val="right"/>
              <w:rPr>
                <w:sz w:val="20"/>
              </w:rPr>
            </w:pPr>
            <w:r>
              <w:rPr>
                <w:spacing w:val="-2"/>
                <w:sz w:val="20"/>
              </w:rPr>
              <w:t>7/1/2014</w:t>
            </w:r>
          </w:p>
        </w:tc>
        <w:tc>
          <w:tcPr>
            <w:tcW w:w="1565" w:type="dxa"/>
            <w:tcBorders>
              <w:top w:val="single" w:color="D9D9D9" w:sz="2" w:space="0"/>
              <w:bottom w:val="single" w:color="D9D9D9" w:sz="2" w:space="0"/>
            </w:tcBorders>
          </w:tcPr>
          <w:p w:rsidR="00C31389" w:rsidRDefault="00561FBD" w14:paraId="6A78607B" w14:textId="77777777">
            <w:pPr>
              <w:pStyle w:val="TableParagraph"/>
              <w:spacing w:before="155"/>
              <w:ind w:left="187" w:right="150"/>
              <w:jc w:val="center"/>
              <w:rPr>
                <w:sz w:val="20"/>
              </w:rPr>
            </w:pPr>
            <w:r>
              <w:rPr>
                <w:spacing w:val="-2"/>
                <w:sz w:val="20"/>
              </w:rPr>
              <w:t>On-the-books</w:t>
            </w:r>
          </w:p>
        </w:tc>
      </w:tr>
      <w:tr w:rsidR="00C31389" w14:paraId="436EB568" w14:textId="77777777">
        <w:trPr>
          <w:trHeight w:val="539"/>
        </w:trPr>
        <w:tc>
          <w:tcPr>
            <w:tcW w:w="1367" w:type="dxa"/>
            <w:tcBorders>
              <w:top w:val="single" w:color="D9D9D9" w:sz="2" w:space="0"/>
              <w:bottom w:val="single" w:color="D9D9D9" w:sz="2" w:space="0"/>
            </w:tcBorders>
          </w:tcPr>
          <w:p w:rsidR="00C31389" w:rsidRDefault="00561FBD" w14:paraId="34ECE7AF"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7F80F964" w14:textId="77777777">
            <w:pPr>
              <w:pStyle w:val="TableParagraph"/>
              <w:ind w:left="202" w:right="311"/>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 xml:space="preserve">Pool </w:t>
            </w:r>
            <w:r>
              <w:rPr>
                <w:spacing w:val="-2"/>
                <w:sz w:val="20"/>
              </w:rPr>
              <w:t>Heaters</w:t>
            </w:r>
          </w:p>
        </w:tc>
        <w:tc>
          <w:tcPr>
            <w:tcW w:w="1207" w:type="dxa"/>
            <w:tcBorders>
              <w:top w:val="single" w:color="D9D9D9" w:sz="2" w:space="0"/>
              <w:bottom w:val="single" w:color="D9D9D9" w:sz="2" w:space="0"/>
            </w:tcBorders>
          </w:tcPr>
          <w:p w:rsidR="00C31389" w:rsidRDefault="00561FBD" w14:paraId="11EC62D9" w14:textId="77777777">
            <w:pPr>
              <w:pStyle w:val="TableParagraph"/>
              <w:spacing w:before="155"/>
              <w:ind w:left="367"/>
              <w:rPr>
                <w:sz w:val="20"/>
              </w:rPr>
            </w:pPr>
            <w:r>
              <w:rPr>
                <w:spacing w:val="-5"/>
                <w:sz w:val="20"/>
              </w:rPr>
              <w:t>95%</w:t>
            </w:r>
          </w:p>
        </w:tc>
        <w:tc>
          <w:tcPr>
            <w:tcW w:w="1394" w:type="dxa"/>
            <w:tcBorders>
              <w:top w:val="single" w:color="D9D9D9" w:sz="2" w:space="0"/>
              <w:bottom w:val="single" w:color="D9D9D9" w:sz="2" w:space="0"/>
            </w:tcBorders>
          </w:tcPr>
          <w:p w:rsidR="00C31389" w:rsidRDefault="00561FBD" w14:paraId="3498D980" w14:textId="77777777">
            <w:pPr>
              <w:pStyle w:val="TableParagraph"/>
              <w:spacing w:before="155"/>
              <w:ind w:right="245"/>
              <w:jc w:val="right"/>
              <w:rPr>
                <w:sz w:val="20"/>
              </w:rPr>
            </w:pPr>
            <w:r>
              <w:rPr>
                <w:spacing w:val="-2"/>
                <w:sz w:val="20"/>
              </w:rPr>
              <w:t>7/1/2014</w:t>
            </w:r>
          </w:p>
        </w:tc>
        <w:tc>
          <w:tcPr>
            <w:tcW w:w="1565" w:type="dxa"/>
            <w:tcBorders>
              <w:top w:val="single" w:color="D9D9D9" w:sz="2" w:space="0"/>
              <w:bottom w:val="single" w:color="D9D9D9" w:sz="2" w:space="0"/>
            </w:tcBorders>
          </w:tcPr>
          <w:p w:rsidR="00C31389" w:rsidRDefault="00561FBD" w14:paraId="66DCE5F4" w14:textId="77777777">
            <w:pPr>
              <w:pStyle w:val="TableParagraph"/>
              <w:spacing w:before="155"/>
              <w:ind w:left="187" w:right="150"/>
              <w:jc w:val="center"/>
              <w:rPr>
                <w:sz w:val="20"/>
              </w:rPr>
            </w:pPr>
            <w:r>
              <w:rPr>
                <w:spacing w:val="-2"/>
                <w:sz w:val="20"/>
              </w:rPr>
              <w:t>On-the-books</w:t>
            </w:r>
          </w:p>
        </w:tc>
      </w:tr>
      <w:tr w:rsidR="00C31389" w14:paraId="44E9BC92" w14:textId="77777777">
        <w:trPr>
          <w:trHeight w:val="539"/>
        </w:trPr>
        <w:tc>
          <w:tcPr>
            <w:tcW w:w="1367" w:type="dxa"/>
            <w:tcBorders>
              <w:top w:val="single" w:color="D9D9D9" w:sz="2" w:space="0"/>
              <w:bottom w:val="single" w:color="D9D9D9" w:sz="2" w:space="0"/>
            </w:tcBorders>
          </w:tcPr>
          <w:p w:rsidR="00C31389" w:rsidRDefault="00561FBD" w14:paraId="0932229D"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63668D9E" w14:textId="77777777">
            <w:pPr>
              <w:pStyle w:val="TableParagraph"/>
              <w:ind w:left="202" w:right="311"/>
              <w:rPr>
                <w:sz w:val="20"/>
              </w:rPr>
            </w:pPr>
            <w:r>
              <w:rPr>
                <w:sz w:val="20"/>
              </w:rPr>
              <w:t>Fed</w:t>
            </w:r>
            <w:r>
              <w:rPr>
                <w:spacing w:val="-14"/>
                <w:sz w:val="20"/>
              </w:rPr>
              <w:t xml:space="preserve"> </w:t>
            </w:r>
            <w:r>
              <w:rPr>
                <w:sz w:val="20"/>
              </w:rPr>
              <w:t>Appliance:</w:t>
            </w:r>
            <w:r>
              <w:rPr>
                <w:spacing w:val="-14"/>
                <w:sz w:val="20"/>
              </w:rPr>
              <w:t xml:space="preserve"> </w:t>
            </w:r>
            <w:r>
              <w:rPr>
                <w:sz w:val="20"/>
              </w:rPr>
              <w:t xml:space="preserve">Residential </w:t>
            </w:r>
            <w:r>
              <w:rPr>
                <w:spacing w:val="-2"/>
                <w:sz w:val="20"/>
              </w:rPr>
              <w:t>Dishwashers</w:t>
            </w:r>
          </w:p>
        </w:tc>
        <w:tc>
          <w:tcPr>
            <w:tcW w:w="1207" w:type="dxa"/>
            <w:tcBorders>
              <w:top w:val="single" w:color="D9D9D9" w:sz="2" w:space="0"/>
              <w:bottom w:val="single" w:color="D9D9D9" w:sz="2" w:space="0"/>
            </w:tcBorders>
          </w:tcPr>
          <w:p w:rsidR="00C31389" w:rsidRDefault="00561FBD" w14:paraId="7053C328" w14:textId="77777777">
            <w:pPr>
              <w:pStyle w:val="TableParagraph"/>
              <w:spacing w:before="155"/>
              <w:ind w:left="366"/>
              <w:rPr>
                <w:sz w:val="20"/>
              </w:rPr>
            </w:pPr>
            <w:r>
              <w:rPr>
                <w:spacing w:val="-5"/>
                <w:sz w:val="20"/>
              </w:rPr>
              <w:t>99%</w:t>
            </w:r>
          </w:p>
        </w:tc>
        <w:tc>
          <w:tcPr>
            <w:tcW w:w="1394" w:type="dxa"/>
            <w:tcBorders>
              <w:top w:val="single" w:color="D9D9D9" w:sz="2" w:space="0"/>
              <w:bottom w:val="single" w:color="D9D9D9" w:sz="2" w:space="0"/>
            </w:tcBorders>
          </w:tcPr>
          <w:p w:rsidR="00C31389" w:rsidRDefault="00561FBD" w14:paraId="5872D0CA" w14:textId="77777777">
            <w:pPr>
              <w:pStyle w:val="TableParagraph"/>
              <w:spacing w:before="155"/>
              <w:ind w:right="245"/>
              <w:jc w:val="right"/>
              <w:rPr>
                <w:sz w:val="20"/>
              </w:rPr>
            </w:pPr>
            <w:r>
              <w:rPr>
                <w:spacing w:val="-2"/>
                <w:sz w:val="20"/>
              </w:rPr>
              <w:t>7/1/2014</w:t>
            </w:r>
          </w:p>
        </w:tc>
        <w:tc>
          <w:tcPr>
            <w:tcW w:w="1565" w:type="dxa"/>
            <w:tcBorders>
              <w:top w:val="single" w:color="D9D9D9" w:sz="2" w:space="0"/>
              <w:bottom w:val="single" w:color="D9D9D9" w:sz="2" w:space="0"/>
            </w:tcBorders>
          </w:tcPr>
          <w:p w:rsidR="00C31389" w:rsidRDefault="00561FBD" w14:paraId="47C0A794" w14:textId="77777777">
            <w:pPr>
              <w:pStyle w:val="TableParagraph"/>
              <w:spacing w:before="155"/>
              <w:ind w:left="187" w:right="150"/>
              <w:jc w:val="center"/>
              <w:rPr>
                <w:sz w:val="20"/>
              </w:rPr>
            </w:pPr>
            <w:r>
              <w:rPr>
                <w:spacing w:val="-2"/>
                <w:sz w:val="20"/>
              </w:rPr>
              <w:t>On-the-books</w:t>
            </w:r>
          </w:p>
        </w:tc>
      </w:tr>
      <w:tr w:rsidR="00C31389" w14:paraId="633ED3D2" w14:textId="77777777">
        <w:trPr>
          <w:trHeight w:val="770"/>
        </w:trPr>
        <w:tc>
          <w:tcPr>
            <w:tcW w:w="1367" w:type="dxa"/>
            <w:tcBorders>
              <w:top w:val="single" w:color="D9D9D9" w:sz="2" w:space="0"/>
              <w:bottom w:val="single" w:color="D9D9D9" w:sz="2" w:space="0"/>
            </w:tcBorders>
          </w:tcPr>
          <w:p w:rsidR="00C31389" w:rsidRDefault="00C31389" w14:paraId="55F404C7" w14:textId="77777777">
            <w:pPr>
              <w:pStyle w:val="TableParagraph"/>
              <w:spacing w:before="6"/>
              <w:rPr>
                <w:sz w:val="23"/>
              </w:rPr>
            </w:pPr>
          </w:p>
          <w:p w:rsidR="00C31389" w:rsidRDefault="00561FBD" w14:paraId="0D683B09" w14:textId="77777777">
            <w:pPr>
              <w:pStyle w:val="TableParagraph"/>
              <w:spacing w:before="0"/>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72AD7B98" w14:textId="77777777">
            <w:pPr>
              <w:pStyle w:val="TableParagraph"/>
              <w:spacing w:before="41"/>
              <w:ind w:left="202"/>
              <w:rPr>
                <w:sz w:val="20"/>
              </w:rPr>
            </w:pPr>
            <w:r>
              <w:rPr>
                <w:sz w:val="20"/>
              </w:rPr>
              <w:t>Fed</w:t>
            </w:r>
            <w:r>
              <w:rPr>
                <w:spacing w:val="-2"/>
                <w:sz w:val="20"/>
              </w:rPr>
              <w:t xml:space="preserve"> </w:t>
            </w:r>
            <w:r>
              <w:rPr>
                <w:sz w:val="20"/>
              </w:rPr>
              <w:t>Appliance:</w:t>
            </w:r>
            <w:r>
              <w:rPr>
                <w:spacing w:val="-2"/>
                <w:sz w:val="20"/>
              </w:rPr>
              <w:t xml:space="preserve"> </w:t>
            </w:r>
            <w:r>
              <w:rPr>
                <w:sz w:val="20"/>
              </w:rPr>
              <w:t>Small</w:t>
            </w:r>
            <w:r>
              <w:rPr>
                <w:spacing w:val="-2"/>
                <w:sz w:val="20"/>
              </w:rPr>
              <w:t xml:space="preserve"> </w:t>
            </w:r>
            <w:r>
              <w:rPr>
                <w:sz w:val="20"/>
              </w:rPr>
              <w:t>Commercial Package</w:t>
            </w:r>
            <w:r>
              <w:rPr>
                <w:spacing w:val="-6"/>
                <w:sz w:val="20"/>
              </w:rPr>
              <w:t xml:space="preserve"> </w:t>
            </w:r>
            <w:r>
              <w:rPr>
                <w:sz w:val="20"/>
              </w:rPr>
              <w:t>Air-Conditioners</w:t>
            </w:r>
            <w:r>
              <w:rPr>
                <w:spacing w:val="-5"/>
                <w:sz w:val="20"/>
              </w:rPr>
              <w:t xml:space="preserve"> </w:t>
            </w:r>
            <w:r>
              <w:rPr>
                <w:sz w:val="20"/>
              </w:rPr>
              <w:t>≥65</w:t>
            </w:r>
            <w:r>
              <w:rPr>
                <w:spacing w:val="-5"/>
                <w:sz w:val="20"/>
              </w:rPr>
              <w:t xml:space="preserve"> and</w:t>
            </w:r>
          </w:p>
          <w:p w:rsidR="00C31389" w:rsidRDefault="00561FBD" w14:paraId="046B6052" w14:textId="77777777">
            <w:pPr>
              <w:pStyle w:val="TableParagraph"/>
              <w:spacing w:before="0" w:line="230" w:lineRule="exact"/>
              <w:ind w:left="202"/>
              <w:rPr>
                <w:sz w:val="20"/>
              </w:rPr>
            </w:pPr>
            <w:r>
              <w:rPr>
                <w:sz w:val="20"/>
              </w:rPr>
              <w:t>&lt;135</w:t>
            </w:r>
            <w:r>
              <w:rPr>
                <w:spacing w:val="-3"/>
                <w:sz w:val="20"/>
              </w:rPr>
              <w:t xml:space="preserve"> </w:t>
            </w:r>
            <w:r>
              <w:rPr>
                <w:spacing w:val="-2"/>
                <w:sz w:val="20"/>
              </w:rPr>
              <w:t>kBtu/h</w:t>
            </w:r>
          </w:p>
        </w:tc>
        <w:tc>
          <w:tcPr>
            <w:tcW w:w="1207" w:type="dxa"/>
            <w:tcBorders>
              <w:top w:val="single" w:color="D9D9D9" w:sz="2" w:space="0"/>
              <w:bottom w:val="single" w:color="D9D9D9" w:sz="2" w:space="0"/>
            </w:tcBorders>
          </w:tcPr>
          <w:p w:rsidR="00C31389" w:rsidRDefault="00C31389" w14:paraId="265AE50F" w14:textId="77777777">
            <w:pPr>
              <w:pStyle w:val="TableParagraph"/>
              <w:spacing w:before="6"/>
              <w:rPr>
                <w:sz w:val="23"/>
              </w:rPr>
            </w:pPr>
          </w:p>
          <w:p w:rsidR="00C31389" w:rsidRDefault="00561FBD" w14:paraId="08123DEE" w14:textId="77777777">
            <w:pPr>
              <w:pStyle w:val="TableParagraph"/>
              <w:spacing w:before="0"/>
              <w:ind w:left="311"/>
              <w:rPr>
                <w:sz w:val="20"/>
              </w:rPr>
            </w:pPr>
            <w:r>
              <w:rPr>
                <w:spacing w:val="-4"/>
                <w:sz w:val="20"/>
              </w:rPr>
              <w:t>100%</w:t>
            </w:r>
          </w:p>
        </w:tc>
        <w:tc>
          <w:tcPr>
            <w:tcW w:w="1394" w:type="dxa"/>
            <w:tcBorders>
              <w:top w:val="single" w:color="D9D9D9" w:sz="2" w:space="0"/>
              <w:bottom w:val="single" w:color="D9D9D9" w:sz="2" w:space="0"/>
            </w:tcBorders>
          </w:tcPr>
          <w:p w:rsidR="00C31389" w:rsidRDefault="00C31389" w14:paraId="3EDE7FE5" w14:textId="77777777">
            <w:pPr>
              <w:pStyle w:val="TableParagraph"/>
              <w:spacing w:before="6"/>
              <w:rPr>
                <w:sz w:val="23"/>
              </w:rPr>
            </w:pPr>
          </w:p>
          <w:p w:rsidR="00C31389" w:rsidRDefault="00561FBD" w14:paraId="78DD4303" w14:textId="77777777">
            <w:pPr>
              <w:pStyle w:val="TableParagraph"/>
              <w:spacing w:before="0"/>
              <w:ind w:right="245"/>
              <w:jc w:val="right"/>
              <w:rPr>
                <w:sz w:val="20"/>
              </w:rPr>
            </w:pPr>
            <w:r>
              <w:rPr>
                <w:spacing w:val="-2"/>
                <w:sz w:val="20"/>
              </w:rPr>
              <w:t>7/1/2014</w:t>
            </w:r>
          </w:p>
        </w:tc>
        <w:tc>
          <w:tcPr>
            <w:tcW w:w="1565" w:type="dxa"/>
            <w:tcBorders>
              <w:top w:val="single" w:color="D9D9D9" w:sz="2" w:space="0"/>
              <w:bottom w:val="single" w:color="D9D9D9" w:sz="2" w:space="0"/>
            </w:tcBorders>
          </w:tcPr>
          <w:p w:rsidR="00C31389" w:rsidRDefault="00C31389" w14:paraId="5B60CD96" w14:textId="77777777">
            <w:pPr>
              <w:pStyle w:val="TableParagraph"/>
              <w:spacing w:before="6"/>
              <w:rPr>
                <w:sz w:val="23"/>
              </w:rPr>
            </w:pPr>
          </w:p>
          <w:p w:rsidR="00C31389" w:rsidRDefault="00561FBD" w14:paraId="2BBBEB4E" w14:textId="77777777">
            <w:pPr>
              <w:pStyle w:val="TableParagraph"/>
              <w:spacing w:before="0"/>
              <w:ind w:left="187" w:right="150"/>
              <w:jc w:val="center"/>
              <w:rPr>
                <w:sz w:val="20"/>
              </w:rPr>
            </w:pPr>
            <w:r>
              <w:rPr>
                <w:spacing w:val="-2"/>
                <w:sz w:val="20"/>
              </w:rPr>
              <w:t>On-the-books</w:t>
            </w:r>
          </w:p>
        </w:tc>
      </w:tr>
      <w:tr w:rsidR="00C31389" w14:paraId="231AAE04" w14:textId="77777777">
        <w:trPr>
          <w:trHeight w:val="539"/>
        </w:trPr>
        <w:tc>
          <w:tcPr>
            <w:tcW w:w="1367" w:type="dxa"/>
            <w:tcBorders>
              <w:top w:val="single" w:color="D9D9D9" w:sz="2" w:space="0"/>
              <w:bottom w:val="single" w:color="D9D9D9" w:sz="2" w:space="0"/>
            </w:tcBorders>
          </w:tcPr>
          <w:p w:rsidR="00C31389" w:rsidRDefault="00561FBD" w14:paraId="7C50F9E0" w14:textId="77777777">
            <w:pPr>
              <w:pStyle w:val="TableParagraph"/>
              <w:spacing w:before="155"/>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498EF75E" w14:textId="77777777">
            <w:pPr>
              <w:pStyle w:val="TableParagraph"/>
              <w:ind w:left="202"/>
              <w:rPr>
                <w:sz w:val="20"/>
              </w:rPr>
            </w:pPr>
            <w:r>
              <w:rPr>
                <w:sz w:val="20"/>
              </w:rPr>
              <w:t>Fed</w:t>
            </w:r>
            <w:r>
              <w:rPr>
                <w:spacing w:val="-4"/>
                <w:sz w:val="20"/>
              </w:rPr>
              <w:t xml:space="preserve"> </w:t>
            </w:r>
            <w:r>
              <w:rPr>
                <w:sz w:val="20"/>
              </w:rPr>
              <w:t>Appliance:</w:t>
            </w:r>
            <w:r>
              <w:rPr>
                <w:spacing w:val="-4"/>
                <w:sz w:val="20"/>
              </w:rPr>
              <w:t xml:space="preserve"> </w:t>
            </w:r>
            <w:r>
              <w:rPr>
                <w:sz w:val="20"/>
              </w:rPr>
              <w:t>Computer</w:t>
            </w:r>
            <w:r>
              <w:rPr>
                <w:spacing w:val="-4"/>
                <w:sz w:val="20"/>
              </w:rPr>
              <w:t xml:space="preserve"> </w:t>
            </w:r>
            <w:r>
              <w:rPr>
                <w:sz w:val="20"/>
              </w:rPr>
              <w:t>Room</w:t>
            </w:r>
            <w:r>
              <w:rPr>
                <w:spacing w:val="-3"/>
                <w:sz w:val="20"/>
              </w:rPr>
              <w:t xml:space="preserve"> </w:t>
            </w:r>
            <w:r>
              <w:rPr>
                <w:spacing w:val="-5"/>
                <w:sz w:val="20"/>
              </w:rPr>
              <w:t>ACs</w:t>
            </w:r>
          </w:p>
          <w:p w:rsidR="00C31389" w:rsidRDefault="00561FBD" w14:paraId="0CB4A7B2" w14:textId="77777777">
            <w:pPr>
              <w:pStyle w:val="TableParagraph"/>
              <w:spacing w:before="0"/>
              <w:ind w:left="202"/>
              <w:rPr>
                <w:sz w:val="20"/>
              </w:rPr>
            </w:pPr>
            <w:r>
              <w:rPr>
                <w:sz w:val="20"/>
              </w:rPr>
              <w:t>&gt;=65,000</w:t>
            </w:r>
            <w:r>
              <w:rPr>
                <w:spacing w:val="-3"/>
                <w:sz w:val="20"/>
              </w:rPr>
              <w:t xml:space="preserve"> </w:t>
            </w:r>
            <w:r>
              <w:rPr>
                <w:sz w:val="20"/>
              </w:rPr>
              <w:t>Btu/h</w:t>
            </w:r>
            <w:r>
              <w:rPr>
                <w:spacing w:val="-3"/>
                <w:sz w:val="20"/>
              </w:rPr>
              <w:t xml:space="preserve"> </w:t>
            </w:r>
            <w:r>
              <w:rPr>
                <w:sz w:val="20"/>
              </w:rPr>
              <w:t>and</w:t>
            </w:r>
            <w:r>
              <w:rPr>
                <w:spacing w:val="-3"/>
                <w:sz w:val="20"/>
              </w:rPr>
              <w:t xml:space="preserve"> </w:t>
            </w:r>
            <w:r>
              <w:rPr>
                <w:sz w:val="20"/>
              </w:rPr>
              <w:t>&lt;</w:t>
            </w:r>
            <w:r>
              <w:rPr>
                <w:spacing w:val="-2"/>
                <w:sz w:val="20"/>
              </w:rPr>
              <w:t xml:space="preserve"> </w:t>
            </w:r>
            <w:r>
              <w:rPr>
                <w:sz w:val="20"/>
              </w:rPr>
              <w:t>760,000</w:t>
            </w:r>
            <w:r>
              <w:rPr>
                <w:spacing w:val="-3"/>
                <w:sz w:val="20"/>
              </w:rPr>
              <w:t xml:space="preserve"> </w:t>
            </w:r>
            <w:r>
              <w:rPr>
                <w:spacing w:val="-4"/>
                <w:sz w:val="20"/>
              </w:rPr>
              <w:t>Btu/h</w:t>
            </w:r>
          </w:p>
        </w:tc>
        <w:tc>
          <w:tcPr>
            <w:tcW w:w="1207" w:type="dxa"/>
            <w:tcBorders>
              <w:top w:val="single" w:color="D9D9D9" w:sz="2" w:space="0"/>
              <w:bottom w:val="single" w:color="D9D9D9" w:sz="2" w:space="0"/>
            </w:tcBorders>
          </w:tcPr>
          <w:p w:rsidR="00C31389" w:rsidRDefault="00561FBD" w14:paraId="09920347" w14:textId="77777777">
            <w:pPr>
              <w:pStyle w:val="TableParagraph"/>
              <w:spacing w:before="155"/>
              <w:ind w:left="311"/>
              <w:rPr>
                <w:sz w:val="20"/>
              </w:rPr>
            </w:pPr>
            <w:r>
              <w:rPr>
                <w:spacing w:val="-4"/>
                <w:sz w:val="20"/>
              </w:rPr>
              <w:t>100%</w:t>
            </w:r>
          </w:p>
        </w:tc>
        <w:tc>
          <w:tcPr>
            <w:tcW w:w="1394" w:type="dxa"/>
            <w:tcBorders>
              <w:top w:val="single" w:color="D9D9D9" w:sz="2" w:space="0"/>
              <w:bottom w:val="single" w:color="D9D9D9" w:sz="2" w:space="0"/>
            </w:tcBorders>
          </w:tcPr>
          <w:p w:rsidR="00C31389" w:rsidRDefault="00561FBD" w14:paraId="41946354" w14:textId="77777777">
            <w:pPr>
              <w:pStyle w:val="TableParagraph"/>
              <w:spacing w:before="155"/>
              <w:ind w:right="245"/>
              <w:jc w:val="right"/>
              <w:rPr>
                <w:sz w:val="20"/>
              </w:rPr>
            </w:pPr>
            <w:r>
              <w:rPr>
                <w:spacing w:val="-2"/>
                <w:sz w:val="20"/>
              </w:rPr>
              <w:t>4/1/2015</w:t>
            </w:r>
          </w:p>
        </w:tc>
        <w:tc>
          <w:tcPr>
            <w:tcW w:w="1565" w:type="dxa"/>
            <w:tcBorders>
              <w:top w:val="single" w:color="D9D9D9" w:sz="2" w:space="0"/>
              <w:bottom w:val="single" w:color="D9D9D9" w:sz="2" w:space="0"/>
            </w:tcBorders>
          </w:tcPr>
          <w:p w:rsidR="00C31389" w:rsidRDefault="00561FBD" w14:paraId="74B3719E" w14:textId="77777777">
            <w:pPr>
              <w:pStyle w:val="TableParagraph"/>
              <w:spacing w:before="155"/>
              <w:ind w:left="187" w:right="150"/>
              <w:jc w:val="center"/>
              <w:rPr>
                <w:sz w:val="20"/>
              </w:rPr>
            </w:pPr>
            <w:r>
              <w:rPr>
                <w:spacing w:val="-2"/>
                <w:sz w:val="20"/>
              </w:rPr>
              <w:t>On-the-books</w:t>
            </w:r>
          </w:p>
        </w:tc>
      </w:tr>
      <w:tr w:rsidR="00C31389" w14:paraId="59FADFB1" w14:textId="77777777">
        <w:trPr>
          <w:trHeight w:val="770"/>
        </w:trPr>
        <w:tc>
          <w:tcPr>
            <w:tcW w:w="1367" w:type="dxa"/>
            <w:tcBorders>
              <w:top w:val="single" w:color="D9D9D9" w:sz="2" w:space="0"/>
              <w:bottom w:val="single" w:color="D9D9D9" w:sz="2" w:space="0"/>
            </w:tcBorders>
          </w:tcPr>
          <w:p w:rsidR="00C31389" w:rsidRDefault="00C31389" w14:paraId="51928D6B" w14:textId="77777777">
            <w:pPr>
              <w:pStyle w:val="TableParagraph"/>
              <w:spacing w:before="6"/>
              <w:rPr>
                <w:sz w:val="23"/>
              </w:rPr>
            </w:pPr>
          </w:p>
          <w:p w:rsidR="00C31389" w:rsidRDefault="00561FBD" w14:paraId="7E482406" w14:textId="77777777">
            <w:pPr>
              <w:pStyle w:val="TableParagraph"/>
              <w:spacing w:before="0"/>
              <w:ind w:left="129"/>
              <w:rPr>
                <w:sz w:val="20"/>
              </w:rPr>
            </w:pPr>
            <w:r>
              <w:rPr>
                <w:spacing w:val="-2"/>
                <w:sz w:val="20"/>
              </w:rPr>
              <w:t>Federal</w:t>
            </w:r>
          </w:p>
        </w:tc>
        <w:tc>
          <w:tcPr>
            <w:tcW w:w="3840" w:type="dxa"/>
            <w:tcBorders>
              <w:top w:val="single" w:color="D9D9D9" w:sz="2" w:space="0"/>
              <w:bottom w:val="single" w:color="D9D9D9" w:sz="2" w:space="0"/>
            </w:tcBorders>
          </w:tcPr>
          <w:p w:rsidR="00C31389" w:rsidRDefault="00561FBD" w14:paraId="309AF86F" w14:textId="77777777">
            <w:pPr>
              <w:pStyle w:val="TableParagraph"/>
              <w:spacing w:before="41"/>
              <w:ind w:left="202" w:right="311"/>
              <w:rPr>
                <w:sz w:val="20"/>
              </w:rPr>
            </w:pPr>
            <w:r>
              <w:rPr>
                <w:sz w:val="20"/>
              </w:rPr>
              <w:t>Fed</w:t>
            </w:r>
            <w:r>
              <w:rPr>
                <w:spacing w:val="-8"/>
                <w:sz w:val="20"/>
              </w:rPr>
              <w:t xml:space="preserve"> </w:t>
            </w:r>
            <w:r>
              <w:rPr>
                <w:sz w:val="20"/>
              </w:rPr>
              <w:t>Appliance:</w:t>
            </w:r>
            <w:r>
              <w:rPr>
                <w:spacing w:val="-8"/>
                <w:sz w:val="20"/>
              </w:rPr>
              <w:t xml:space="preserve"> </w:t>
            </w:r>
            <w:r>
              <w:rPr>
                <w:sz w:val="20"/>
              </w:rPr>
              <w:t>Large</w:t>
            </w:r>
            <w:r>
              <w:rPr>
                <w:spacing w:val="-8"/>
                <w:sz w:val="20"/>
              </w:rPr>
              <w:t xml:space="preserve"> </w:t>
            </w:r>
            <w:r>
              <w:rPr>
                <w:sz w:val="20"/>
              </w:rPr>
              <w:t>and</w:t>
            </w:r>
            <w:r>
              <w:rPr>
                <w:spacing w:val="-9"/>
                <w:sz w:val="20"/>
              </w:rPr>
              <w:t xml:space="preserve"> </w:t>
            </w:r>
            <w:r>
              <w:rPr>
                <w:sz w:val="20"/>
              </w:rPr>
              <w:t>Very</w:t>
            </w:r>
            <w:r>
              <w:rPr>
                <w:spacing w:val="-7"/>
                <w:sz w:val="20"/>
              </w:rPr>
              <w:t xml:space="preserve"> </w:t>
            </w:r>
            <w:r>
              <w:rPr>
                <w:sz w:val="20"/>
              </w:rPr>
              <w:t>Large Commercial Package Air- Conditioners ≥135 kBtu/h</w:t>
            </w:r>
          </w:p>
        </w:tc>
        <w:tc>
          <w:tcPr>
            <w:tcW w:w="1207" w:type="dxa"/>
            <w:tcBorders>
              <w:top w:val="single" w:color="D9D9D9" w:sz="2" w:space="0"/>
              <w:bottom w:val="single" w:color="D9D9D9" w:sz="2" w:space="0"/>
            </w:tcBorders>
          </w:tcPr>
          <w:p w:rsidR="00C31389" w:rsidRDefault="00C31389" w14:paraId="443996B6" w14:textId="77777777">
            <w:pPr>
              <w:pStyle w:val="TableParagraph"/>
              <w:spacing w:before="6"/>
              <w:rPr>
                <w:sz w:val="23"/>
              </w:rPr>
            </w:pPr>
          </w:p>
          <w:p w:rsidR="00C31389" w:rsidRDefault="00561FBD" w14:paraId="70579C88" w14:textId="77777777">
            <w:pPr>
              <w:pStyle w:val="TableParagraph"/>
              <w:spacing w:before="0"/>
              <w:ind w:left="311"/>
              <w:rPr>
                <w:sz w:val="20"/>
              </w:rPr>
            </w:pPr>
            <w:r>
              <w:rPr>
                <w:spacing w:val="-4"/>
                <w:sz w:val="20"/>
              </w:rPr>
              <w:t>100%</w:t>
            </w:r>
          </w:p>
        </w:tc>
        <w:tc>
          <w:tcPr>
            <w:tcW w:w="1394" w:type="dxa"/>
            <w:tcBorders>
              <w:top w:val="single" w:color="D9D9D9" w:sz="2" w:space="0"/>
              <w:bottom w:val="single" w:color="D9D9D9" w:sz="2" w:space="0"/>
            </w:tcBorders>
          </w:tcPr>
          <w:p w:rsidR="00C31389" w:rsidRDefault="00C31389" w14:paraId="6C1CF421" w14:textId="77777777">
            <w:pPr>
              <w:pStyle w:val="TableParagraph"/>
              <w:spacing w:before="6"/>
              <w:rPr>
                <w:sz w:val="23"/>
              </w:rPr>
            </w:pPr>
          </w:p>
          <w:p w:rsidR="00C31389" w:rsidRDefault="00561FBD" w14:paraId="2DCE9764" w14:textId="77777777">
            <w:pPr>
              <w:pStyle w:val="TableParagraph"/>
              <w:spacing w:before="0"/>
              <w:ind w:right="245"/>
              <w:jc w:val="right"/>
              <w:rPr>
                <w:sz w:val="20"/>
              </w:rPr>
            </w:pPr>
            <w:r>
              <w:rPr>
                <w:spacing w:val="-2"/>
                <w:sz w:val="20"/>
              </w:rPr>
              <w:t>4/1/2015</w:t>
            </w:r>
          </w:p>
        </w:tc>
        <w:tc>
          <w:tcPr>
            <w:tcW w:w="1565" w:type="dxa"/>
            <w:tcBorders>
              <w:top w:val="single" w:color="D9D9D9" w:sz="2" w:space="0"/>
              <w:bottom w:val="single" w:color="D9D9D9" w:sz="2" w:space="0"/>
            </w:tcBorders>
          </w:tcPr>
          <w:p w:rsidR="00C31389" w:rsidRDefault="00C31389" w14:paraId="6992A57A" w14:textId="77777777">
            <w:pPr>
              <w:pStyle w:val="TableParagraph"/>
              <w:spacing w:before="6"/>
              <w:rPr>
                <w:sz w:val="23"/>
              </w:rPr>
            </w:pPr>
          </w:p>
          <w:p w:rsidR="00C31389" w:rsidRDefault="00561FBD" w14:paraId="39E32478" w14:textId="77777777">
            <w:pPr>
              <w:pStyle w:val="TableParagraph"/>
              <w:spacing w:before="0"/>
              <w:ind w:left="187" w:right="150"/>
              <w:jc w:val="center"/>
              <w:rPr>
                <w:sz w:val="20"/>
              </w:rPr>
            </w:pPr>
            <w:r>
              <w:rPr>
                <w:spacing w:val="-2"/>
                <w:sz w:val="20"/>
              </w:rPr>
              <w:t>On-the-books</w:t>
            </w:r>
          </w:p>
        </w:tc>
      </w:tr>
      <w:tr w:rsidR="00C31389" w14:paraId="0D1F7002" w14:textId="77777777">
        <w:trPr>
          <w:trHeight w:val="310"/>
        </w:trPr>
        <w:tc>
          <w:tcPr>
            <w:tcW w:w="1367" w:type="dxa"/>
            <w:tcBorders>
              <w:top w:val="single" w:color="D9D9D9" w:sz="2" w:space="0"/>
              <w:bottom w:val="single" w:color="000000" w:sz="8" w:space="0"/>
            </w:tcBorders>
          </w:tcPr>
          <w:p w:rsidR="00C31389" w:rsidRDefault="00561FBD" w14:paraId="086469D0" w14:textId="77777777">
            <w:pPr>
              <w:pStyle w:val="TableParagraph"/>
              <w:ind w:left="129"/>
              <w:rPr>
                <w:sz w:val="20"/>
              </w:rPr>
            </w:pPr>
            <w:r>
              <w:rPr>
                <w:spacing w:val="-2"/>
                <w:sz w:val="20"/>
              </w:rPr>
              <w:t>Federal</w:t>
            </w:r>
          </w:p>
        </w:tc>
        <w:tc>
          <w:tcPr>
            <w:tcW w:w="3840" w:type="dxa"/>
            <w:tcBorders>
              <w:top w:val="single" w:color="D9D9D9" w:sz="2" w:space="0"/>
              <w:bottom w:val="single" w:color="000000" w:sz="8" w:space="0"/>
            </w:tcBorders>
          </w:tcPr>
          <w:p w:rsidR="00C31389" w:rsidRDefault="00561FBD" w14:paraId="0F3C023E" w14:textId="77777777">
            <w:pPr>
              <w:pStyle w:val="TableParagraph"/>
              <w:ind w:left="202"/>
              <w:rPr>
                <w:sz w:val="20"/>
              </w:rPr>
            </w:pPr>
            <w:r>
              <w:rPr>
                <w:sz w:val="20"/>
              </w:rPr>
              <w:t>Fed</w:t>
            </w:r>
            <w:r>
              <w:rPr>
                <w:spacing w:val="-4"/>
                <w:sz w:val="20"/>
              </w:rPr>
              <w:t xml:space="preserve"> </w:t>
            </w:r>
            <w:r>
              <w:rPr>
                <w:sz w:val="20"/>
              </w:rPr>
              <w:t>Appliance:</w:t>
            </w:r>
            <w:r>
              <w:rPr>
                <w:spacing w:val="-4"/>
                <w:sz w:val="20"/>
              </w:rPr>
              <w:t xml:space="preserve"> </w:t>
            </w:r>
            <w:r>
              <w:rPr>
                <w:sz w:val="20"/>
              </w:rPr>
              <w:t>Residential</w:t>
            </w:r>
            <w:r>
              <w:rPr>
                <w:spacing w:val="-4"/>
                <w:sz w:val="20"/>
              </w:rPr>
              <w:t xml:space="preserve"> </w:t>
            </w:r>
            <w:r>
              <w:rPr>
                <w:sz w:val="20"/>
              </w:rPr>
              <w:t>Room</w:t>
            </w:r>
            <w:r>
              <w:rPr>
                <w:spacing w:val="-3"/>
                <w:sz w:val="20"/>
              </w:rPr>
              <w:t xml:space="preserve"> </w:t>
            </w:r>
            <w:r>
              <w:rPr>
                <w:spacing w:val="-5"/>
                <w:sz w:val="20"/>
              </w:rPr>
              <w:t>AC</w:t>
            </w:r>
          </w:p>
        </w:tc>
        <w:tc>
          <w:tcPr>
            <w:tcW w:w="1207" w:type="dxa"/>
            <w:tcBorders>
              <w:top w:val="single" w:color="D9D9D9" w:sz="2" w:space="0"/>
              <w:bottom w:val="single" w:color="000000" w:sz="8" w:space="0"/>
            </w:tcBorders>
          </w:tcPr>
          <w:p w:rsidR="00C31389" w:rsidRDefault="00561FBD" w14:paraId="0C2EC869" w14:textId="77777777">
            <w:pPr>
              <w:pStyle w:val="TableParagraph"/>
              <w:ind w:left="367"/>
              <w:rPr>
                <w:sz w:val="20"/>
              </w:rPr>
            </w:pPr>
            <w:r>
              <w:rPr>
                <w:spacing w:val="-5"/>
                <w:sz w:val="20"/>
              </w:rPr>
              <w:t>91%</w:t>
            </w:r>
          </w:p>
        </w:tc>
        <w:tc>
          <w:tcPr>
            <w:tcW w:w="1394" w:type="dxa"/>
            <w:tcBorders>
              <w:top w:val="single" w:color="D9D9D9" w:sz="2" w:space="0"/>
              <w:bottom w:val="single" w:color="000000" w:sz="8" w:space="0"/>
            </w:tcBorders>
          </w:tcPr>
          <w:p w:rsidR="00C31389" w:rsidRDefault="00561FBD" w14:paraId="79CB2D59" w14:textId="77777777">
            <w:pPr>
              <w:pStyle w:val="TableParagraph"/>
              <w:ind w:right="245"/>
              <w:jc w:val="right"/>
              <w:rPr>
                <w:sz w:val="20"/>
              </w:rPr>
            </w:pPr>
            <w:r>
              <w:rPr>
                <w:spacing w:val="-2"/>
                <w:sz w:val="20"/>
              </w:rPr>
              <w:t>4/1/2015</w:t>
            </w:r>
          </w:p>
        </w:tc>
        <w:tc>
          <w:tcPr>
            <w:tcW w:w="1565" w:type="dxa"/>
            <w:tcBorders>
              <w:top w:val="single" w:color="D9D9D9" w:sz="2" w:space="0"/>
              <w:bottom w:val="single" w:color="000000" w:sz="8" w:space="0"/>
            </w:tcBorders>
          </w:tcPr>
          <w:p w:rsidR="00C31389" w:rsidRDefault="00561FBD" w14:paraId="02979AEF" w14:textId="77777777">
            <w:pPr>
              <w:pStyle w:val="TableParagraph"/>
              <w:ind w:left="187" w:right="150"/>
              <w:jc w:val="center"/>
              <w:rPr>
                <w:sz w:val="20"/>
              </w:rPr>
            </w:pPr>
            <w:r>
              <w:rPr>
                <w:spacing w:val="-2"/>
                <w:sz w:val="20"/>
              </w:rPr>
              <w:t>On-the-books</w:t>
            </w:r>
          </w:p>
        </w:tc>
      </w:tr>
    </w:tbl>
    <w:p w:rsidR="00C31389" w:rsidRDefault="00C31389" w14:paraId="0A18C484" w14:textId="77777777">
      <w:pPr>
        <w:jc w:val="center"/>
        <w:rPr>
          <w:sz w:val="20"/>
        </w:rPr>
        <w:sectPr w:rsidR="00C31389">
          <w:pgSz w:w="11910" w:h="16840"/>
          <w:pgMar w:top="1380" w:right="1020" w:bottom="1120" w:left="960" w:header="397" w:footer="938" w:gutter="0"/>
          <w:cols w:space="720"/>
        </w:sectPr>
      </w:pPr>
    </w:p>
    <w:p w:rsidR="00C31389" w:rsidRDefault="00C31389" w14:paraId="7337A082"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67"/>
        <w:gridCol w:w="3862"/>
        <w:gridCol w:w="1198"/>
        <w:gridCol w:w="1366"/>
        <w:gridCol w:w="1579"/>
      </w:tblGrid>
      <w:tr w:rsidR="00C31389" w14:paraId="5B458E06" w14:textId="77777777">
        <w:trPr>
          <w:trHeight w:val="252"/>
        </w:trPr>
        <w:tc>
          <w:tcPr>
            <w:tcW w:w="1367" w:type="dxa"/>
            <w:tcBorders>
              <w:top w:val="single" w:color="8B8B8B" w:sz="8" w:space="0"/>
            </w:tcBorders>
          </w:tcPr>
          <w:p w:rsidR="00C31389" w:rsidRDefault="00C31389" w14:paraId="38157E63" w14:textId="77777777">
            <w:pPr>
              <w:pStyle w:val="TableParagraph"/>
              <w:spacing w:before="0"/>
              <w:rPr>
                <w:rFonts w:ascii="Times New Roman"/>
                <w:sz w:val="18"/>
              </w:rPr>
            </w:pPr>
          </w:p>
        </w:tc>
        <w:tc>
          <w:tcPr>
            <w:tcW w:w="3862" w:type="dxa"/>
            <w:tcBorders>
              <w:top w:val="single" w:color="8B8B8B" w:sz="8" w:space="0"/>
            </w:tcBorders>
          </w:tcPr>
          <w:p w:rsidR="00C31389" w:rsidRDefault="00C31389" w14:paraId="2B9E62C6" w14:textId="77777777">
            <w:pPr>
              <w:pStyle w:val="TableParagraph"/>
              <w:spacing w:before="0"/>
              <w:rPr>
                <w:rFonts w:ascii="Times New Roman"/>
                <w:sz w:val="18"/>
              </w:rPr>
            </w:pPr>
          </w:p>
        </w:tc>
        <w:tc>
          <w:tcPr>
            <w:tcW w:w="1198" w:type="dxa"/>
            <w:tcBorders>
              <w:top w:val="single" w:color="8B8B8B" w:sz="8" w:space="0"/>
            </w:tcBorders>
          </w:tcPr>
          <w:p w:rsidR="00C31389" w:rsidRDefault="00C31389" w14:paraId="7640125B" w14:textId="77777777">
            <w:pPr>
              <w:pStyle w:val="TableParagraph"/>
              <w:spacing w:before="0"/>
              <w:rPr>
                <w:rFonts w:ascii="Times New Roman"/>
                <w:sz w:val="18"/>
              </w:rPr>
            </w:pPr>
          </w:p>
        </w:tc>
        <w:tc>
          <w:tcPr>
            <w:tcW w:w="1366" w:type="dxa"/>
            <w:tcBorders>
              <w:top w:val="single" w:color="8B8B8B" w:sz="8" w:space="0"/>
            </w:tcBorders>
          </w:tcPr>
          <w:p w:rsidR="00C31389" w:rsidRDefault="00C31389" w14:paraId="130D1164" w14:textId="77777777">
            <w:pPr>
              <w:pStyle w:val="TableParagraph"/>
              <w:spacing w:before="0"/>
              <w:rPr>
                <w:rFonts w:ascii="Times New Roman"/>
                <w:sz w:val="18"/>
              </w:rPr>
            </w:pPr>
          </w:p>
        </w:tc>
        <w:tc>
          <w:tcPr>
            <w:tcW w:w="1579" w:type="dxa"/>
            <w:tcBorders>
              <w:top w:val="single" w:color="8B8B8B" w:sz="8" w:space="0"/>
            </w:tcBorders>
          </w:tcPr>
          <w:p w:rsidR="00C31389" w:rsidRDefault="00C31389" w14:paraId="7760E531" w14:textId="77777777">
            <w:pPr>
              <w:pStyle w:val="TableParagraph"/>
              <w:spacing w:before="0"/>
              <w:rPr>
                <w:rFonts w:ascii="Times New Roman"/>
                <w:sz w:val="18"/>
              </w:rPr>
            </w:pPr>
          </w:p>
        </w:tc>
      </w:tr>
      <w:tr w:rsidR="00C31389" w14:paraId="43F47365" w14:textId="77777777">
        <w:trPr>
          <w:trHeight w:val="549"/>
        </w:trPr>
        <w:tc>
          <w:tcPr>
            <w:tcW w:w="1367" w:type="dxa"/>
            <w:shd w:val="clear" w:color="auto" w:fill="92D400"/>
          </w:tcPr>
          <w:p w:rsidR="00C31389" w:rsidRDefault="00561FBD" w14:paraId="16665486" w14:textId="77777777">
            <w:pPr>
              <w:pStyle w:val="TableParagraph"/>
              <w:spacing w:before="155"/>
              <w:ind w:left="129"/>
              <w:rPr>
                <w:b/>
                <w:sz w:val="20"/>
              </w:rPr>
            </w:pPr>
            <w:r>
              <w:rPr>
                <w:b/>
                <w:spacing w:val="-2"/>
                <w:sz w:val="20"/>
              </w:rPr>
              <w:t>Regulation</w:t>
            </w:r>
          </w:p>
        </w:tc>
        <w:tc>
          <w:tcPr>
            <w:tcW w:w="3862" w:type="dxa"/>
            <w:shd w:val="clear" w:color="auto" w:fill="92D400"/>
          </w:tcPr>
          <w:p w:rsidR="00C31389" w:rsidRDefault="00561FBD" w14:paraId="6EC55212" w14:textId="77777777">
            <w:pPr>
              <w:pStyle w:val="TableParagraph"/>
              <w:spacing w:before="155"/>
              <w:ind w:left="202"/>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98" w:type="dxa"/>
            <w:shd w:val="clear" w:color="auto" w:fill="92D400"/>
          </w:tcPr>
          <w:p w:rsidR="00C31389" w:rsidRDefault="00561FBD" w14:paraId="22EA81FD" w14:textId="77777777">
            <w:pPr>
              <w:pStyle w:val="TableParagraph"/>
              <w:ind w:left="215" w:hanging="238"/>
              <w:rPr>
                <w:b/>
                <w:sz w:val="20"/>
              </w:rPr>
            </w:pPr>
            <w:r>
              <w:rPr>
                <w:b/>
                <w:spacing w:val="-2"/>
                <w:sz w:val="20"/>
              </w:rPr>
              <w:t>Compliance Rate</w:t>
            </w:r>
            <w:hyperlink w:history="1" w:anchor="_bookmark462">
              <w:r>
                <w:rPr>
                  <w:b/>
                  <w:spacing w:val="-2"/>
                  <w:sz w:val="20"/>
                  <w:vertAlign w:val="superscript"/>
                </w:rPr>
                <w:t>182</w:t>
              </w:r>
            </w:hyperlink>
          </w:p>
        </w:tc>
        <w:tc>
          <w:tcPr>
            <w:tcW w:w="1366" w:type="dxa"/>
            <w:shd w:val="clear" w:color="auto" w:fill="92D400"/>
          </w:tcPr>
          <w:p w:rsidR="00C31389" w:rsidRDefault="00561FBD" w14:paraId="19898DB8" w14:textId="77777777">
            <w:pPr>
              <w:pStyle w:val="TableParagraph"/>
              <w:ind w:left="525" w:hanging="202"/>
              <w:rPr>
                <w:b/>
                <w:sz w:val="20"/>
              </w:rPr>
            </w:pPr>
            <w:r>
              <w:rPr>
                <w:b/>
                <w:spacing w:val="-2"/>
                <w:sz w:val="20"/>
              </w:rPr>
              <w:t xml:space="preserve">Effective </w:t>
            </w:r>
            <w:r>
              <w:rPr>
                <w:b/>
                <w:spacing w:val="-4"/>
                <w:sz w:val="20"/>
              </w:rPr>
              <w:t>Date</w:t>
            </w:r>
          </w:p>
        </w:tc>
        <w:tc>
          <w:tcPr>
            <w:tcW w:w="1579" w:type="dxa"/>
            <w:shd w:val="clear" w:color="auto" w:fill="92D400"/>
          </w:tcPr>
          <w:p w:rsidR="00C31389" w:rsidRDefault="00561FBD" w14:paraId="4D0E9845" w14:textId="77777777">
            <w:pPr>
              <w:pStyle w:val="TableParagraph"/>
              <w:spacing w:before="155"/>
              <w:ind w:left="201" w:right="148"/>
              <w:jc w:val="center"/>
              <w:rPr>
                <w:b/>
                <w:sz w:val="20"/>
              </w:rPr>
            </w:pPr>
            <w:r>
              <w:rPr>
                <w:b/>
                <w:sz w:val="20"/>
              </w:rPr>
              <w:t>Policy</w:t>
            </w:r>
            <w:r>
              <w:rPr>
                <w:b/>
                <w:spacing w:val="-5"/>
                <w:sz w:val="20"/>
              </w:rPr>
              <w:t xml:space="preserve"> </w:t>
            </w:r>
            <w:r>
              <w:rPr>
                <w:b/>
                <w:spacing w:val="-4"/>
                <w:sz w:val="20"/>
              </w:rPr>
              <w:t>View</w:t>
            </w:r>
          </w:p>
        </w:tc>
      </w:tr>
      <w:tr w:rsidR="00C31389" w14:paraId="13CEDC87" w14:textId="77777777">
        <w:trPr>
          <w:trHeight w:val="535"/>
        </w:trPr>
        <w:tc>
          <w:tcPr>
            <w:tcW w:w="1367" w:type="dxa"/>
            <w:tcBorders>
              <w:bottom w:val="single" w:color="D9D9D9" w:sz="2" w:space="0"/>
            </w:tcBorders>
          </w:tcPr>
          <w:p w:rsidR="00C31389" w:rsidRDefault="00561FBD" w14:paraId="13FBCBDA" w14:textId="77777777">
            <w:pPr>
              <w:pStyle w:val="TableParagraph"/>
              <w:spacing w:before="151"/>
              <w:ind w:left="129"/>
              <w:rPr>
                <w:sz w:val="20"/>
              </w:rPr>
            </w:pPr>
            <w:r>
              <w:rPr>
                <w:spacing w:val="-2"/>
                <w:sz w:val="20"/>
              </w:rPr>
              <w:t>Federal</w:t>
            </w:r>
          </w:p>
        </w:tc>
        <w:tc>
          <w:tcPr>
            <w:tcW w:w="3862" w:type="dxa"/>
            <w:tcBorders>
              <w:bottom w:val="single" w:color="D9D9D9" w:sz="2" w:space="0"/>
            </w:tcBorders>
          </w:tcPr>
          <w:p w:rsidR="00C31389" w:rsidRDefault="00561FBD" w14:paraId="3DC81BB9" w14:textId="77777777">
            <w:pPr>
              <w:pStyle w:val="TableParagraph"/>
              <w:spacing w:before="35"/>
              <w:ind w:left="202" w:right="302"/>
              <w:rPr>
                <w:sz w:val="20"/>
              </w:rPr>
            </w:pPr>
            <w:r>
              <w:rPr>
                <w:sz w:val="20"/>
              </w:rPr>
              <w:t>Fed</w:t>
            </w:r>
            <w:r>
              <w:rPr>
                <w:spacing w:val="-14"/>
                <w:sz w:val="20"/>
              </w:rPr>
              <w:t xml:space="preserve"> </w:t>
            </w:r>
            <w:r>
              <w:rPr>
                <w:sz w:val="20"/>
              </w:rPr>
              <w:t>Appliance:</w:t>
            </w:r>
            <w:r>
              <w:rPr>
                <w:spacing w:val="-14"/>
                <w:sz w:val="20"/>
              </w:rPr>
              <w:t xml:space="preserve"> </w:t>
            </w:r>
            <w:r>
              <w:rPr>
                <w:sz w:val="20"/>
              </w:rPr>
              <w:t>Residential Refrigerators &amp; Freezers</w:t>
            </w:r>
          </w:p>
        </w:tc>
        <w:tc>
          <w:tcPr>
            <w:tcW w:w="1198" w:type="dxa"/>
            <w:tcBorders>
              <w:bottom w:val="single" w:color="D9D9D9" w:sz="2" w:space="0"/>
            </w:tcBorders>
          </w:tcPr>
          <w:p w:rsidR="00C31389" w:rsidRDefault="00561FBD" w14:paraId="40DC6485" w14:textId="77777777">
            <w:pPr>
              <w:pStyle w:val="TableParagraph"/>
              <w:spacing w:before="151"/>
              <w:ind w:left="345"/>
              <w:rPr>
                <w:sz w:val="20"/>
              </w:rPr>
            </w:pPr>
            <w:r>
              <w:rPr>
                <w:spacing w:val="-5"/>
                <w:sz w:val="20"/>
              </w:rPr>
              <w:t>95%</w:t>
            </w:r>
          </w:p>
        </w:tc>
        <w:tc>
          <w:tcPr>
            <w:tcW w:w="1366" w:type="dxa"/>
            <w:tcBorders>
              <w:bottom w:val="single" w:color="D9D9D9" w:sz="2" w:space="0"/>
            </w:tcBorders>
          </w:tcPr>
          <w:p w:rsidR="00C31389" w:rsidRDefault="00561FBD" w14:paraId="620913C3" w14:textId="77777777">
            <w:pPr>
              <w:pStyle w:val="TableParagraph"/>
              <w:spacing w:before="151"/>
              <w:ind w:right="230"/>
              <w:jc w:val="right"/>
              <w:rPr>
                <w:sz w:val="20"/>
              </w:rPr>
            </w:pPr>
            <w:r>
              <w:rPr>
                <w:spacing w:val="-2"/>
                <w:sz w:val="20"/>
              </w:rPr>
              <w:t>4/1/2015</w:t>
            </w:r>
          </w:p>
        </w:tc>
        <w:tc>
          <w:tcPr>
            <w:tcW w:w="1579" w:type="dxa"/>
            <w:tcBorders>
              <w:bottom w:val="single" w:color="D9D9D9" w:sz="2" w:space="0"/>
            </w:tcBorders>
          </w:tcPr>
          <w:p w:rsidR="00C31389" w:rsidRDefault="00561FBD" w14:paraId="11480AB1" w14:textId="77777777">
            <w:pPr>
              <w:pStyle w:val="TableParagraph"/>
              <w:spacing w:before="151"/>
              <w:ind w:left="201" w:right="148"/>
              <w:jc w:val="center"/>
              <w:rPr>
                <w:sz w:val="20"/>
              </w:rPr>
            </w:pPr>
            <w:r>
              <w:rPr>
                <w:spacing w:val="-2"/>
                <w:sz w:val="20"/>
              </w:rPr>
              <w:t>On-the-books</w:t>
            </w:r>
          </w:p>
        </w:tc>
      </w:tr>
      <w:tr w:rsidR="00C31389" w14:paraId="7D3BACA7" w14:textId="77777777">
        <w:trPr>
          <w:trHeight w:val="310"/>
        </w:trPr>
        <w:tc>
          <w:tcPr>
            <w:tcW w:w="1367" w:type="dxa"/>
            <w:tcBorders>
              <w:top w:val="single" w:color="D9D9D9" w:sz="2" w:space="0"/>
              <w:bottom w:val="single" w:color="D9D9D9" w:sz="2" w:space="0"/>
            </w:tcBorders>
          </w:tcPr>
          <w:p w:rsidR="00C31389" w:rsidRDefault="00561FBD" w14:paraId="01EEF1AD" w14:textId="77777777">
            <w:pPr>
              <w:pStyle w:val="TableParagraph"/>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46BA2A07" w14:textId="77777777">
            <w:pPr>
              <w:pStyle w:val="TableParagraph"/>
              <w:ind w:left="202"/>
              <w:rPr>
                <w:sz w:val="20"/>
              </w:rPr>
            </w:pPr>
            <w:r>
              <w:rPr>
                <w:sz w:val="20"/>
              </w:rPr>
              <w:t>Fed</w:t>
            </w:r>
            <w:r>
              <w:rPr>
                <w:spacing w:val="-5"/>
                <w:sz w:val="20"/>
              </w:rPr>
              <w:t xml:space="preserve"> </w:t>
            </w:r>
            <w:r>
              <w:rPr>
                <w:sz w:val="20"/>
              </w:rPr>
              <w:t>Appliance:</w:t>
            </w:r>
            <w:r>
              <w:rPr>
                <w:spacing w:val="-5"/>
                <w:sz w:val="20"/>
              </w:rPr>
              <w:t xml:space="preserve"> </w:t>
            </w:r>
            <w:r>
              <w:rPr>
                <w:sz w:val="20"/>
              </w:rPr>
              <w:t>Fluorescent</w:t>
            </w:r>
            <w:r>
              <w:rPr>
                <w:spacing w:val="-5"/>
                <w:sz w:val="20"/>
              </w:rPr>
              <w:t xml:space="preserve"> </w:t>
            </w:r>
            <w:r>
              <w:rPr>
                <w:spacing w:val="-2"/>
                <w:sz w:val="20"/>
              </w:rPr>
              <w:t>Ballasts</w:t>
            </w:r>
          </w:p>
        </w:tc>
        <w:tc>
          <w:tcPr>
            <w:tcW w:w="1198" w:type="dxa"/>
            <w:tcBorders>
              <w:top w:val="single" w:color="D9D9D9" w:sz="2" w:space="0"/>
              <w:bottom w:val="single" w:color="D9D9D9" w:sz="2" w:space="0"/>
            </w:tcBorders>
          </w:tcPr>
          <w:p w:rsidR="00C31389" w:rsidRDefault="00561FBD" w14:paraId="6EEB2084" w14:textId="77777777">
            <w:pPr>
              <w:pStyle w:val="TableParagraph"/>
              <w:ind w:left="344"/>
              <w:rPr>
                <w:sz w:val="20"/>
              </w:rPr>
            </w:pPr>
            <w:r>
              <w:rPr>
                <w:spacing w:val="-5"/>
                <w:sz w:val="20"/>
              </w:rPr>
              <w:t>80%</w:t>
            </w:r>
          </w:p>
        </w:tc>
        <w:tc>
          <w:tcPr>
            <w:tcW w:w="1366" w:type="dxa"/>
            <w:tcBorders>
              <w:top w:val="single" w:color="D9D9D9" w:sz="2" w:space="0"/>
              <w:bottom w:val="single" w:color="D9D9D9" w:sz="2" w:space="0"/>
            </w:tcBorders>
          </w:tcPr>
          <w:p w:rsidR="00C31389" w:rsidRDefault="00561FBD" w14:paraId="4D4B4DDB" w14:textId="77777777">
            <w:pPr>
              <w:pStyle w:val="TableParagraph"/>
              <w:ind w:right="230"/>
              <w:jc w:val="right"/>
              <w:rPr>
                <w:sz w:val="20"/>
              </w:rPr>
            </w:pPr>
            <w:r>
              <w:rPr>
                <w:spacing w:val="-2"/>
                <w:sz w:val="20"/>
              </w:rPr>
              <w:t>4/1/2015</w:t>
            </w:r>
          </w:p>
        </w:tc>
        <w:tc>
          <w:tcPr>
            <w:tcW w:w="1579" w:type="dxa"/>
            <w:tcBorders>
              <w:top w:val="single" w:color="D9D9D9" w:sz="2" w:space="0"/>
              <w:bottom w:val="single" w:color="D9D9D9" w:sz="2" w:space="0"/>
            </w:tcBorders>
          </w:tcPr>
          <w:p w:rsidR="00C31389" w:rsidRDefault="00561FBD" w14:paraId="5CF6A598" w14:textId="77777777">
            <w:pPr>
              <w:pStyle w:val="TableParagraph"/>
              <w:ind w:left="201" w:right="148"/>
              <w:jc w:val="center"/>
              <w:rPr>
                <w:sz w:val="20"/>
              </w:rPr>
            </w:pPr>
            <w:r>
              <w:rPr>
                <w:spacing w:val="-2"/>
                <w:sz w:val="20"/>
              </w:rPr>
              <w:t>On-the-books</w:t>
            </w:r>
          </w:p>
        </w:tc>
      </w:tr>
      <w:tr w:rsidR="00C31389" w14:paraId="5ACF1A1D" w14:textId="77777777">
        <w:trPr>
          <w:trHeight w:val="539"/>
        </w:trPr>
        <w:tc>
          <w:tcPr>
            <w:tcW w:w="1367" w:type="dxa"/>
            <w:tcBorders>
              <w:top w:val="single" w:color="D9D9D9" w:sz="2" w:space="0"/>
              <w:bottom w:val="single" w:color="D9D9D9" w:sz="2" w:space="0"/>
            </w:tcBorders>
          </w:tcPr>
          <w:p w:rsidR="00C31389" w:rsidRDefault="00561FBD" w14:paraId="755B8D35"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544524E9" w14:textId="77777777">
            <w:pPr>
              <w:pStyle w:val="TableParagraph"/>
              <w:ind w:left="202" w:right="302"/>
              <w:rPr>
                <w:sz w:val="20"/>
              </w:rPr>
            </w:pPr>
            <w:r>
              <w:rPr>
                <w:sz w:val="20"/>
              </w:rPr>
              <w:t>Fed</w:t>
            </w:r>
            <w:r>
              <w:rPr>
                <w:spacing w:val="-11"/>
                <w:sz w:val="20"/>
              </w:rPr>
              <w:t xml:space="preserve"> </w:t>
            </w:r>
            <w:r>
              <w:rPr>
                <w:sz w:val="20"/>
              </w:rPr>
              <w:t>Appliance:</w:t>
            </w:r>
            <w:r>
              <w:rPr>
                <w:spacing w:val="-12"/>
                <w:sz w:val="20"/>
              </w:rPr>
              <w:t xml:space="preserve"> </w:t>
            </w:r>
            <w:r>
              <w:rPr>
                <w:sz w:val="20"/>
              </w:rPr>
              <w:t>Residential</w:t>
            </w:r>
            <w:r>
              <w:rPr>
                <w:spacing w:val="-12"/>
                <w:sz w:val="20"/>
              </w:rPr>
              <w:t xml:space="preserve"> </w:t>
            </w:r>
            <w:r>
              <w:rPr>
                <w:sz w:val="20"/>
              </w:rPr>
              <w:t>Central AC, Heat Pumps and Furnaces</w:t>
            </w:r>
          </w:p>
        </w:tc>
        <w:tc>
          <w:tcPr>
            <w:tcW w:w="1198" w:type="dxa"/>
            <w:tcBorders>
              <w:top w:val="single" w:color="D9D9D9" w:sz="2" w:space="0"/>
              <w:bottom w:val="single" w:color="D9D9D9" w:sz="2" w:space="0"/>
            </w:tcBorders>
          </w:tcPr>
          <w:p w:rsidR="00C31389" w:rsidRDefault="00561FBD" w14:paraId="7BA5E5D1" w14:textId="77777777">
            <w:pPr>
              <w:pStyle w:val="TableParagraph"/>
              <w:spacing w:before="155"/>
              <w:ind w:left="345"/>
              <w:rPr>
                <w:sz w:val="20"/>
              </w:rPr>
            </w:pPr>
            <w:r>
              <w:rPr>
                <w:spacing w:val="-5"/>
                <w:sz w:val="20"/>
              </w:rPr>
              <w:t>99%</w:t>
            </w:r>
          </w:p>
        </w:tc>
        <w:tc>
          <w:tcPr>
            <w:tcW w:w="1366" w:type="dxa"/>
            <w:tcBorders>
              <w:top w:val="single" w:color="D9D9D9" w:sz="2" w:space="0"/>
              <w:bottom w:val="single" w:color="D9D9D9" w:sz="2" w:space="0"/>
            </w:tcBorders>
          </w:tcPr>
          <w:p w:rsidR="00C31389" w:rsidRDefault="00561FBD" w14:paraId="266E87B3" w14:textId="77777777">
            <w:pPr>
              <w:pStyle w:val="TableParagraph"/>
              <w:spacing w:before="155"/>
              <w:ind w:right="230"/>
              <w:jc w:val="right"/>
              <w:rPr>
                <w:sz w:val="20"/>
              </w:rPr>
            </w:pPr>
            <w:r>
              <w:rPr>
                <w:spacing w:val="-2"/>
                <w:sz w:val="20"/>
              </w:rPr>
              <w:t>4/1/2015</w:t>
            </w:r>
          </w:p>
        </w:tc>
        <w:tc>
          <w:tcPr>
            <w:tcW w:w="1579" w:type="dxa"/>
            <w:tcBorders>
              <w:top w:val="single" w:color="D9D9D9" w:sz="2" w:space="0"/>
              <w:bottom w:val="single" w:color="D9D9D9" w:sz="2" w:space="0"/>
            </w:tcBorders>
          </w:tcPr>
          <w:p w:rsidR="00C31389" w:rsidRDefault="00561FBD" w14:paraId="7958B2C5" w14:textId="77777777">
            <w:pPr>
              <w:pStyle w:val="TableParagraph"/>
              <w:spacing w:before="155"/>
              <w:ind w:left="201" w:right="148"/>
              <w:jc w:val="center"/>
              <w:rPr>
                <w:sz w:val="20"/>
              </w:rPr>
            </w:pPr>
            <w:r>
              <w:rPr>
                <w:spacing w:val="-2"/>
                <w:sz w:val="20"/>
              </w:rPr>
              <w:t>On-the-books</w:t>
            </w:r>
          </w:p>
        </w:tc>
      </w:tr>
      <w:tr w:rsidR="00C31389" w14:paraId="4C975BBC" w14:textId="77777777">
        <w:trPr>
          <w:trHeight w:val="539"/>
        </w:trPr>
        <w:tc>
          <w:tcPr>
            <w:tcW w:w="1367" w:type="dxa"/>
            <w:tcBorders>
              <w:top w:val="single" w:color="D9D9D9" w:sz="2" w:space="0"/>
              <w:bottom w:val="single" w:color="D9D9D9" w:sz="2" w:space="0"/>
            </w:tcBorders>
          </w:tcPr>
          <w:p w:rsidR="00C31389" w:rsidRDefault="00561FBD" w14:paraId="5629AFC3"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1848B4E4" w14:textId="77777777">
            <w:pPr>
              <w:pStyle w:val="TableParagraph"/>
              <w:ind w:left="202" w:right="3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 xml:space="preserve">Clothes </w:t>
            </w:r>
            <w:r>
              <w:rPr>
                <w:spacing w:val="-2"/>
                <w:sz w:val="20"/>
              </w:rPr>
              <w:t>Dryers</w:t>
            </w:r>
          </w:p>
        </w:tc>
        <w:tc>
          <w:tcPr>
            <w:tcW w:w="1198" w:type="dxa"/>
            <w:tcBorders>
              <w:top w:val="single" w:color="D9D9D9" w:sz="2" w:space="0"/>
              <w:bottom w:val="single" w:color="D9D9D9" w:sz="2" w:space="0"/>
            </w:tcBorders>
          </w:tcPr>
          <w:p w:rsidR="00C31389" w:rsidRDefault="00561FBD" w14:paraId="38505BA1" w14:textId="77777777">
            <w:pPr>
              <w:pStyle w:val="TableParagraph"/>
              <w:spacing w:before="155"/>
              <w:ind w:left="344"/>
              <w:rPr>
                <w:sz w:val="20"/>
              </w:rPr>
            </w:pPr>
            <w:r>
              <w:rPr>
                <w:spacing w:val="-5"/>
                <w:sz w:val="20"/>
              </w:rPr>
              <w:t>99%</w:t>
            </w:r>
          </w:p>
        </w:tc>
        <w:tc>
          <w:tcPr>
            <w:tcW w:w="1366" w:type="dxa"/>
            <w:tcBorders>
              <w:top w:val="single" w:color="D9D9D9" w:sz="2" w:space="0"/>
              <w:bottom w:val="single" w:color="D9D9D9" w:sz="2" w:space="0"/>
            </w:tcBorders>
          </w:tcPr>
          <w:p w:rsidR="00C31389" w:rsidRDefault="00561FBD" w14:paraId="7DD8104B" w14:textId="77777777">
            <w:pPr>
              <w:pStyle w:val="TableParagraph"/>
              <w:spacing w:before="155"/>
              <w:ind w:right="230"/>
              <w:jc w:val="right"/>
              <w:rPr>
                <w:sz w:val="20"/>
              </w:rPr>
            </w:pPr>
            <w:r>
              <w:rPr>
                <w:spacing w:val="-2"/>
                <w:sz w:val="20"/>
              </w:rPr>
              <w:t>4/1/2015</w:t>
            </w:r>
          </w:p>
        </w:tc>
        <w:tc>
          <w:tcPr>
            <w:tcW w:w="1579" w:type="dxa"/>
            <w:tcBorders>
              <w:top w:val="single" w:color="D9D9D9" w:sz="2" w:space="0"/>
              <w:bottom w:val="single" w:color="D9D9D9" w:sz="2" w:space="0"/>
            </w:tcBorders>
          </w:tcPr>
          <w:p w:rsidR="00C31389" w:rsidRDefault="00561FBD" w14:paraId="64F60129" w14:textId="77777777">
            <w:pPr>
              <w:pStyle w:val="TableParagraph"/>
              <w:spacing w:before="155"/>
              <w:ind w:left="201" w:right="148"/>
              <w:jc w:val="center"/>
              <w:rPr>
                <w:sz w:val="20"/>
              </w:rPr>
            </w:pPr>
            <w:r>
              <w:rPr>
                <w:spacing w:val="-2"/>
                <w:sz w:val="20"/>
              </w:rPr>
              <w:t>On-the-books</w:t>
            </w:r>
          </w:p>
        </w:tc>
      </w:tr>
      <w:tr w:rsidR="00C31389" w14:paraId="19CFC91B" w14:textId="77777777">
        <w:trPr>
          <w:trHeight w:val="539"/>
        </w:trPr>
        <w:tc>
          <w:tcPr>
            <w:tcW w:w="1367" w:type="dxa"/>
            <w:tcBorders>
              <w:top w:val="single" w:color="D9D9D9" w:sz="2" w:space="0"/>
              <w:bottom w:val="single" w:color="D9D9D9" w:sz="2" w:space="0"/>
            </w:tcBorders>
          </w:tcPr>
          <w:p w:rsidR="00C31389" w:rsidRDefault="00561FBD" w14:paraId="65A70CF7"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54A95F7B"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Clothes Washers (Front Loading)</w:t>
            </w:r>
          </w:p>
        </w:tc>
        <w:tc>
          <w:tcPr>
            <w:tcW w:w="1198" w:type="dxa"/>
            <w:tcBorders>
              <w:top w:val="single" w:color="D9D9D9" w:sz="2" w:space="0"/>
              <w:bottom w:val="single" w:color="D9D9D9" w:sz="2" w:space="0"/>
            </w:tcBorders>
          </w:tcPr>
          <w:p w:rsidR="00C31389" w:rsidRDefault="00561FBD" w14:paraId="00C0E647" w14:textId="77777777">
            <w:pPr>
              <w:pStyle w:val="TableParagraph"/>
              <w:spacing w:before="155"/>
              <w:ind w:left="289"/>
              <w:rPr>
                <w:sz w:val="20"/>
              </w:rPr>
            </w:pPr>
            <w:r>
              <w:rPr>
                <w:spacing w:val="-4"/>
                <w:sz w:val="20"/>
              </w:rPr>
              <w:t>100%</w:t>
            </w:r>
          </w:p>
        </w:tc>
        <w:tc>
          <w:tcPr>
            <w:tcW w:w="1366" w:type="dxa"/>
            <w:tcBorders>
              <w:top w:val="single" w:color="D9D9D9" w:sz="2" w:space="0"/>
              <w:bottom w:val="single" w:color="D9D9D9" w:sz="2" w:space="0"/>
            </w:tcBorders>
          </w:tcPr>
          <w:p w:rsidR="00C31389" w:rsidRDefault="00561FBD" w14:paraId="034ED730" w14:textId="77777777">
            <w:pPr>
              <w:pStyle w:val="TableParagraph"/>
              <w:spacing w:before="155"/>
              <w:ind w:right="230"/>
              <w:jc w:val="right"/>
              <w:rPr>
                <w:sz w:val="20"/>
              </w:rPr>
            </w:pPr>
            <w:r>
              <w:rPr>
                <w:spacing w:val="-2"/>
                <w:sz w:val="20"/>
              </w:rPr>
              <w:t>4/1/2015</w:t>
            </w:r>
          </w:p>
        </w:tc>
        <w:tc>
          <w:tcPr>
            <w:tcW w:w="1579" w:type="dxa"/>
            <w:tcBorders>
              <w:top w:val="single" w:color="D9D9D9" w:sz="2" w:space="0"/>
              <w:bottom w:val="single" w:color="D9D9D9" w:sz="2" w:space="0"/>
            </w:tcBorders>
          </w:tcPr>
          <w:p w:rsidR="00C31389" w:rsidRDefault="00561FBD" w14:paraId="02A1F20F" w14:textId="77777777">
            <w:pPr>
              <w:pStyle w:val="TableParagraph"/>
              <w:spacing w:before="155"/>
              <w:ind w:left="201" w:right="148"/>
              <w:jc w:val="center"/>
              <w:rPr>
                <w:sz w:val="20"/>
              </w:rPr>
            </w:pPr>
            <w:r>
              <w:rPr>
                <w:spacing w:val="-2"/>
                <w:sz w:val="20"/>
              </w:rPr>
              <w:t>On-the-books</w:t>
            </w:r>
          </w:p>
        </w:tc>
      </w:tr>
      <w:tr w:rsidR="00C31389" w14:paraId="026713B5" w14:textId="77777777">
        <w:trPr>
          <w:trHeight w:val="539"/>
        </w:trPr>
        <w:tc>
          <w:tcPr>
            <w:tcW w:w="1367" w:type="dxa"/>
            <w:tcBorders>
              <w:top w:val="single" w:color="D9D9D9" w:sz="2" w:space="0"/>
              <w:bottom w:val="single" w:color="D9D9D9" w:sz="2" w:space="0"/>
            </w:tcBorders>
          </w:tcPr>
          <w:p w:rsidR="00C31389" w:rsidRDefault="00561FBD" w14:paraId="5362DCFB"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12C4778E"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Clothes Washers (Top-Loading) Tier I</w:t>
            </w:r>
          </w:p>
        </w:tc>
        <w:tc>
          <w:tcPr>
            <w:tcW w:w="1198" w:type="dxa"/>
            <w:tcBorders>
              <w:top w:val="single" w:color="D9D9D9" w:sz="2" w:space="0"/>
              <w:bottom w:val="single" w:color="D9D9D9" w:sz="2" w:space="0"/>
            </w:tcBorders>
          </w:tcPr>
          <w:p w:rsidR="00C31389" w:rsidRDefault="00561FBD" w14:paraId="162B4B6B" w14:textId="77777777">
            <w:pPr>
              <w:pStyle w:val="TableParagraph"/>
              <w:spacing w:before="155"/>
              <w:ind w:left="289"/>
              <w:rPr>
                <w:sz w:val="20"/>
              </w:rPr>
            </w:pPr>
            <w:r>
              <w:rPr>
                <w:spacing w:val="-4"/>
                <w:sz w:val="20"/>
              </w:rPr>
              <w:t>100%</w:t>
            </w:r>
          </w:p>
        </w:tc>
        <w:tc>
          <w:tcPr>
            <w:tcW w:w="1366" w:type="dxa"/>
            <w:tcBorders>
              <w:top w:val="single" w:color="D9D9D9" w:sz="2" w:space="0"/>
              <w:bottom w:val="single" w:color="D9D9D9" w:sz="2" w:space="0"/>
            </w:tcBorders>
          </w:tcPr>
          <w:p w:rsidR="00C31389" w:rsidRDefault="00561FBD" w14:paraId="15F910A1" w14:textId="77777777">
            <w:pPr>
              <w:pStyle w:val="TableParagraph"/>
              <w:spacing w:before="155"/>
              <w:ind w:right="230"/>
              <w:jc w:val="right"/>
              <w:rPr>
                <w:sz w:val="20"/>
              </w:rPr>
            </w:pPr>
            <w:r>
              <w:rPr>
                <w:spacing w:val="-2"/>
                <w:sz w:val="20"/>
              </w:rPr>
              <w:t>4/1/2015</w:t>
            </w:r>
          </w:p>
        </w:tc>
        <w:tc>
          <w:tcPr>
            <w:tcW w:w="1579" w:type="dxa"/>
            <w:tcBorders>
              <w:top w:val="single" w:color="D9D9D9" w:sz="2" w:space="0"/>
              <w:bottom w:val="single" w:color="D9D9D9" w:sz="2" w:space="0"/>
            </w:tcBorders>
          </w:tcPr>
          <w:p w:rsidR="00C31389" w:rsidRDefault="00561FBD" w14:paraId="0EFFB247" w14:textId="77777777">
            <w:pPr>
              <w:pStyle w:val="TableParagraph"/>
              <w:spacing w:before="155"/>
              <w:ind w:left="201" w:right="148"/>
              <w:jc w:val="center"/>
              <w:rPr>
                <w:sz w:val="20"/>
              </w:rPr>
            </w:pPr>
            <w:r>
              <w:rPr>
                <w:spacing w:val="-2"/>
                <w:sz w:val="20"/>
              </w:rPr>
              <w:t>On-the-books</w:t>
            </w:r>
          </w:p>
        </w:tc>
      </w:tr>
      <w:tr w:rsidR="00C31389" w14:paraId="78380C3A" w14:textId="77777777">
        <w:trPr>
          <w:trHeight w:val="310"/>
        </w:trPr>
        <w:tc>
          <w:tcPr>
            <w:tcW w:w="1367" w:type="dxa"/>
            <w:tcBorders>
              <w:top w:val="single" w:color="D9D9D9" w:sz="2" w:space="0"/>
              <w:bottom w:val="single" w:color="D9D9D9" w:sz="2" w:space="0"/>
            </w:tcBorders>
          </w:tcPr>
          <w:p w:rsidR="00C31389" w:rsidRDefault="00561FBD" w14:paraId="476BA5ED" w14:textId="77777777">
            <w:pPr>
              <w:pStyle w:val="TableParagraph"/>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07C93E29" w14:textId="77777777">
            <w:pPr>
              <w:pStyle w:val="TableParagraph"/>
              <w:ind w:left="202"/>
              <w:rPr>
                <w:sz w:val="20"/>
              </w:rPr>
            </w:pPr>
            <w:r>
              <w:rPr>
                <w:sz w:val="20"/>
              </w:rPr>
              <w:t>Fed</w:t>
            </w:r>
            <w:r>
              <w:rPr>
                <w:spacing w:val="-5"/>
                <w:sz w:val="20"/>
              </w:rPr>
              <w:t xml:space="preserve"> </w:t>
            </w:r>
            <w:r>
              <w:rPr>
                <w:sz w:val="20"/>
              </w:rPr>
              <w:t>Appliance:</w:t>
            </w:r>
            <w:r>
              <w:rPr>
                <w:spacing w:val="-4"/>
                <w:sz w:val="20"/>
              </w:rPr>
              <w:t xml:space="preserve"> </w:t>
            </w:r>
            <w:r>
              <w:rPr>
                <w:sz w:val="20"/>
              </w:rPr>
              <w:t>Small</w:t>
            </w:r>
            <w:r>
              <w:rPr>
                <w:spacing w:val="-4"/>
                <w:sz w:val="20"/>
              </w:rPr>
              <w:t xml:space="preserve"> </w:t>
            </w:r>
            <w:r>
              <w:rPr>
                <w:sz w:val="20"/>
              </w:rPr>
              <w:t>Electric</w:t>
            </w:r>
            <w:r>
              <w:rPr>
                <w:spacing w:val="-3"/>
                <w:sz w:val="20"/>
              </w:rPr>
              <w:t xml:space="preserve"> </w:t>
            </w:r>
            <w:r>
              <w:rPr>
                <w:spacing w:val="-2"/>
                <w:sz w:val="20"/>
              </w:rPr>
              <w:t>Motors</w:t>
            </w:r>
          </w:p>
        </w:tc>
        <w:tc>
          <w:tcPr>
            <w:tcW w:w="1198" w:type="dxa"/>
            <w:tcBorders>
              <w:top w:val="single" w:color="D9D9D9" w:sz="2" w:space="0"/>
              <w:bottom w:val="single" w:color="D9D9D9" w:sz="2" w:space="0"/>
            </w:tcBorders>
          </w:tcPr>
          <w:p w:rsidR="00C31389" w:rsidRDefault="00561FBD" w14:paraId="4E6252D5" w14:textId="77777777">
            <w:pPr>
              <w:pStyle w:val="TableParagraph"/>
              <w:ind w:left="345"/>
              <w:rPr>
                <w:sz w:val="20"/>
              </w:rPr>
            </w:pPr>
            <w:r>
              <w:rPr>
                <w:spacing w:val="-5"/>
                <w:sz w:val="20"/>
              </w:rPr>
              <w:t>35%</w:t>
            </w:r>
          </w:p>
        </w:tc>
        <w:tc>
          <w:tcPr>
            <w:tcW w:w="1366" w:type="dxa"/>
            <w:tcBorders>
              <w:top w:val="single" w:color="D9D9D9" w:sz="2" w:space="0"/>
              <w:bottom w:val="single" w:color="D9D9D9" w:sz="2" w:space="0"/>
            </w:tcBorders>
          </w:tcPr>
          <w:p w:rsidR="00C31389" w:rsidRDefault="00561FBD" w14:paraId="2D10881A" w14:textId="77777777">
            <w:pPr>
              <w:pStyle w:val="TableParagraph"/>
              <w:ind w:right="230"/>
              <w:jc w:val="right"/>
              <w:rPr>
                <w:sz w:val="20"/>
              </w:rPr>
            </w:pPr>
            <w:r>
              <w:rPr>
                <w:spacing w:val="-2"/>
                <w:sz w:val="20"/>
              </w:rPr>
              <w:t>4/1/2015</w:t>
            </w:r>
          </w:p>
        </w:tc>
        <w:tc>
          <w:tcPr>
            <w:tcW w:w="1579" w:type="dxa"/>
            <w:tcBorders>
              <w:top w:val="single" w:color="D9D9D9" w:sz="2" w:space="0"/>
              <w:bottom w:val="single" w:color="D9D9D9" w:sz="2" w:space="0"/>
            </w:tcBorders>
          </w:tcPr>
          <w:p w:rsidR="00C31389" w:rsidRDefault="00561FBD" w14:paraId="6E42154D" w14:textId="77777777">
            <w:pPr>
              <w:pStyle w:val="TableParagraph"/>
              <w:ind w:left="201" w:right="148"/>
              <w:jc w:val="center"/>
              <w:rPr>
                <w:sz w:val="20"/>
              </w:rPr>
            </w:pPr>
            <w:r>
              <w:rPr>
                <w:spacing w:val="-2"/>
                <w:sz w:val="20"/>
              </w:rPr>
              <w:t>On-the-books</w:t>
            </w:r>
          </w:p>
        </w:tc>
      </w:tr>
      <w:tr w:rsidR="00C31389" w14:paraId="5DB82D08" w14:textId="77777777">
        <w:trPr>
          <w:trHeight w:val="539"/>
        </w:trPr>
        <w:tc>
          <w:tcPr>
            <w:tcW w:w="1367" w:type="dxa"/>
            <w:tcBorders>
              <w:top w:val="single" w:color="D9D9D9" w:sz="2" w:space="0"/>
              <w:bottom w:val="single" w:color="D9D9D9" w:sz="2" w:space="0"/>
            </w:tcBorders>
          </w:tcPr>
          <w:p w:rsidR="00C31389" w:rsidRDefault="00561FBD" w14:paraId="193A0495"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61CE972D"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Electric storage water heater</w:t>
            </w:r>
          </w:p>
        </w:tc>
        <w:tc>
          <w:tcPr>
            <w:tcW w:w="1198" w:type="dxa"/>
            <w:tcBorders>
              <w:top w:val="single" w:color="D9D9D9" w:sz="2" w:space="0"/>
              <w:bottom w:val="single" w:color="D9D9D9" w:sz="2" w:space="0"/>
            </w:tcBorders>
          </w:tcPr>
          <w:p w:rsidR="00C31389" w:rsidRDefault="00561FBD" w14:paraId="4D8A8B63" w14:textId="77777777">
            <w:pPr>
              <w:pStyle w:val="TableParagraph"/>
              <w:spacing w:before="155"/>
              <w:ind w:left="344"/>
              <w:rPr>
                <w:sz w:val="20"/>
              </w:rPr>
            </w:pPr>
            <w:r>
              <w:rPr>
                <w:spacing w:val="-5"/>
                <w:sz w:val="20"/>
              </w:rPr>
              <w:t>88%</w:t>
            </w:r>
          </w:p>
        </w:tc>
        <w:tc>
          <w:tcPr>
            <w:tcW w:w="1366" w:type="dxa"/>
            <w:tcBorders>
              <w:top w:val="single" w:color="D9D9D9" w:sz="2" w:space="0"/>
              <w:bottom w:val="single" w:color="D9D9D9" w:sz="2" w:space="0"/>
            </w:tcBorders>
          </w:tcPr>
          <w:p w:rsidR="00C31389" w:rsidRDefault="00561FBD" w14:paraId="57124056" w14:textId="77777777">
            <w:pPr>
              <w:pStyle w:val="TableParagraph"/>
              <w:spacing w:before="155"/>
              <w:ind w:right="230"/>
              <w:jc w:val="right"/>
              <w:rPr>
                <w:sz w:val="20"/>
              </w:rPr>
            </w:pPr>
            <w:r>
              <w:rPr>
                <w:spacing w:val="-2"/>
                <w:sz w:val="20"/>
              </w:rPr>
              <w:t>01/01/20</w:t>
            </w:r>
          </w:p>
        </w:tc>
        <w:tc>
          <w:tcPr>
            <w:tcW w:w="1579" w:type="dxa"/>
            <w:tcBorders>
              <w:top w:val="single" w:color="D9D9D9" w:sz="2" w:space="0"/>
              <w:bottom w:val="single" w:color="D9D9D9" w:sz="2" w:space="0"/>
            </w:tcBorders>
          </w:tcPr>
          <w:p w:rsidR="00C31389" w:rsidRDefault="00561FBD" w14:paraId="723B083E" w14:textId="77777777">
            <w:pPr>
              <w:pStyle w:val="TableParagraph"/>
              <w:spacing w:before="155"/>
              <w:ind w:left="201" w:right="149"/>
              <w:jc w:val="center"/>
              <w:rPr>
                <w:sz w:val="20"/>
              </w:rPr>
            </w:pPr>
            <w:r>
              <w:rPr>
                <w:spacing w:val="-2"/>
                <w:sz w:val="20"/>
              </w:rPr>
              <w:t>On-the-books</w:t>
            </w:r>
          </w:p>
        </w:tc>
      </w:tr>
      <w:tr w:rsidR="00C31389" w14:paraId="537EF40F" w14:textId="77777777">
        <w:trPr>
          <w:trHeight w:val="539"/>
        </w:trPr>
        <w:tc>
          <w:tcPr>
            <w:tcW w:w="1367" w:type="dxa"/>
            <w:tcBorders>
              <w:top w:val="single" w:color="D9D9D9" w:sz="2" w:space="0"/>
              <w:bottom w:val="single" w:color="D9D9D9" w:sz="2" w:space="0"/>
            </w:tcBorders>
          </w:tcPr>
          <w:p w:rsidR="00C31389" w:rsidRDefault="00561FBD" w14:paraId="7DA46524"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26C92318"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Gas-fired instantaneous water heater</w:t>
            </w:r>
          </w:p>
        </w:tc>
        <w:tc>
          <w:tcPr>
            <w:tcW w:w="1198" w:type="dxa"/>
            <w:tcBorders>
              <w:top w:val="single" w:color="D9D9D9" w:sz="2" w:space="0"/>
              <w:bottom w:val="single" w:color="D9D9D9" w:sz="2" w:space="0"/>
            </w:tcBorders>
          </w:tcPr>
          <w:p w:rsidR="00C31389" w:rsidRDefault="00561FBD" w14:paraId="0D5423DE" w14:textId="77777777">
            <w:pPr>
              <w:pStyle w:val="TableParagraph"/>
              <w:spacing w:before="155"/>
              <w:ind w:left="345"/>
              <w:rPr>
                <w:sz w:val="20"/>
              </w:rPr>
            </w:pPr>
            <w:r>
              <w:rPr>
                <w:spacing w:val="-5"/>
                <w:sz w:val="20"/>
              </w:rPr>
              <w:t>87%</w:t>
            </w:r>
          </w:p>
        </w:tc>
        <w:tc>
          <w:tcPr>
            <w:tcW w:w="1366" w:type="dxa"/>
            <w:tcBorders>
              <w:top w:val="single" w:color="D9D9D9" w:sz="2" w:space="0"/>
              <w:bottom w:val="single" w:color="D9D9D9" w:sz="2" w:space="0"/>
            </w:tcBorders>
          </w:tcPr>
          <w:p w:rsidR="00C31389" w:rsidRDefault="00561FBD" w14:paraId="6FF0AE72" w14:textId="77777777">
            <w:pPr>
              <w:pStyle w:val="TableParagraph"/>
              <w:spacing w:before="155"/>
              <w:ind w:right="230"/>
              <w:jc w:val="right"/>
              <w:rPr>
                <w:sz w:val="20"/>
              </w:rPr>
            </w:pPr>
            <w:r>
              <w:rPr>
                <w:spacing w:val="-2"/>
                <w:sz w:val="20"/>
              </w:rPr>
              <w:t>07/19/21</w:t>
            </w:r>
          </w:p>
        </w:tc>
        <w:tc>
          <w:tcPr>
            <w:tcW w:w="1579" w:type="dxa"/>
            <w:tcBorders>
              <w:top w:val="single" w:color="D9D9D9" w:sz="2" w:space="0"/>
              <w:bottom w:val="single" w:color="D9D9D9" w:sz="2" w:space="0"/>
            </w:tcBorders>
          </w:tcPr>
          <w:p w:rsidR="00C31389" w:rsidRDefault="00561FBD" w14:paraId="7F615175" w14:textId="77777777">
            <w:pPr>
              <w:pStyle w:val="TableParagraph"/>
              <w:spacing w:before="155"/>
              <w:ind w:left="201" w:right="148"/>
              <w:jc w:val="center"/>
              <w:rPr>
                <w:sz w:val="20"/>
              </w:rPr>
            </w:pPr>
            <w:r>
              <w:rPr>
                <w:spacing w:val="-2"/>
                <w:sz w:val="20"/>
              </w:rPr>
              <w:t>On-the-books</w:t>
            </w:r>
          </w:p>
        </w:tc>
      </w:tr>
      <w:tr w:rsidR="00C31389" w14:paraId="143AA2A5" w14:textId="77777777">
        <w:trPr>
          <w:trHeight w:val="539"/>
        </w:trPr>
        <w:tc>
          <w:tcPr>
            <w:tcW w:w="1367" w:type="dxa"/>
            <w:tcBorders>
              <w:top w:val="single" w:color="D9D9D9" w:sz="2" w:space="0"/>
              <w:bottom w:val="single" w:color="D9D9D9" w:sz="2" w:space="0"/>
            </w:tcBorders>
          </w:tcPr>
          <w:p w:rsidR="00C31389" w:rsidRDefault="00561FBD" w14:paraId="4865B558"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00EADF44"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Gas-fired water heater</w:t>
            </w:r>
          </w:p>
        </w:tc>
        <w:tc>
          <w:tcPr>
            <w:tcW w:w="1198" w:type="dxa"/>
            <w:tcBorders>
              <w:top w:val="single" w:color="D9D9D9" w:sz="2" w:space="0"/>
              <w:bottom w:val="single" w:color="D9D9D9" w:sz="2" w:space="0"/>
            </w:tcBorders>
          </w:tcPr>
          <w:p w:rsidR="00C31389" w:rsidRDefault="00561FBD" w14:paraId="4D83F591" w14:textId="77777777">
            <w:pPr>
              <w:pStyle w:val="TableParagraph"/>
              <w:spacing w:before="155"/>
              <w:ind w:left="344"/>
              <w:rPr>
                <w:sz w:val="20"/>
              </w:rPr>
            </w:pPr>
            <w:r>
              <w:rPr>
                <w:spacing w:val="-5"/>
                <w:sz w:val="20"/>
              </w:rPr>
              <w:t>98%</w:t>
            </w:r>
          </w:p>
        </w:tc>
        <w:tc>
          <w:tcPr>
            <w:tcW w:w="1366" w:type="dxa"/>
            <w:tcBorders>
              <w:top w:val="single" w:color="D9D9D9" w:sz="2" w:space="0"/>
              <w:bottom w:val="single" w:color="D9D9D9" w:sz="2" w:space="0"/>
            </w:tcBorders>
          </w:tcPr>
          <w:p w:rsidR="00C31389" w:rsidRDefault="00561FBD" w14:paraId="5A70888D" w14:textId="77777777">
            <w:pPr>
              <w:pStyle w:val="TableParagraph"/>
              <w:spacing w:before="155"/>
              <w:ind w:right="230"/>
              <w:jc w:val="right"/>
              <w:rPr>
                <w:sz w:val="20"/>
              </w:rPr>
            </w:pPr>
            <w:r>
              <w:rPr>
                <w:spacing w:val="-2"/>
                <w:sz w:val="20"/>
              </w:rPr>
              <w:t>02/01/20</w:t>
            </w:r>
          </w:p>
        </w:tc>
        <w:tc>
          <w:tcPr>
            <w:tcW w:w="1579" w:type="dxa"/>
            <w:tcBorders>
              <w:top w:val="single" w:color="D9D9D9" w:sz="2" w:space="0"/>
              <w:bottom w:val="single" w:color="D9D9D9" w:sz="2" w:space="0"/>
            </w:tcBorders>
          </w:tcPr>
          <w:p w:rsidR="00C31389" w:rsidRDefault="00561FBD" w14:paraId="2A337C77" w14:textId="77777777">
            <w:pPr>
              <w:pStyle w:val="TableParagraph"/>
              <w:spacing w:before="155"/>
              <w:ind w:left="201" w:right="148"/>
              <w:jc w:val="center"/>
              <w:rPr>
                <w:sz w:val="20"/>
              </w:rPr>
            </w:pPr>
            <w:r>
              <w:rPr>
                <w:spacing w:val="-2"/>
                <w:sz w:val="20"/>
              </w:rPr>
              <w:t>On-the-books</w:t>
            </w:r>
          </w:p>
        </w:tc>
      </w:tr>
      <w:tr w:rsidR="00C31389" w14:paraId="297E1A99" w14:textId="77777777">
        <w:trPr>
          <w:trHeight w:val="539"/>
        </w:trPr>
        <w:tc>
          <w:tcPr>
            <w:tcW w:w="1367" w:type="dxa"/>
            <w:tcBorders>
              <w:top w:val="single" w:color="D9D9D9" w:sz="2" w:space="0"/>
              <w:bottom w:val="single" w:color="D9D9D9" w:sz="2" w:space="0"/>
            </w:tcBorders>
          </w:tcPr>
          <w:p w:rsidR="00C31389" w:rsidRDefault="00561FBD" w14:paraId="287E5D5F"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12D0DFA7"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2"/>
                <w:sz w:val="20"/>
              </w:rPr>
              <w:t xml:space="preserve"> </w:t>
            </w:r>
            <w:r>
              <w:rPr>
                <w:sz w:val="20"/>
              </w:rPr>
              <w:t>Oil-fired storage water heater</w:t>
            </w:r>
          </w:p>
        </w:tc>
        <w:tc>
          <w:tcPr>
            <w:tcW w:w="1198" w:type="dxa"/>
            <w:tcBorders>
              <w:top w:val="single" w:color="D9D9D9" w:sz="2" w:space="0"/>
              <w:bottom w:val="single" w:color="D9D9D9" w:sz="2" w:space="0"/>
            </w:tcBorders>
          </w:tcPr>
          <w:p w:rsidR="00C31389" w:rsidRDefault="00561FBD" w14:paraId="7220D0D9" w14:textId="77777777">
            <w:pPr>
              <w:pStyle w:val="TableParagraph"/>
              <w:spacing w:before="155"/>
              <w:ind w:left="345"/>
              <w:rPr>
                <w:sz w:val="20"/>
              </w:rPr>
            </w:pPr>
            <w:r>
              <w:rPr>
                <w:spacing w:val="-5"/>
                <w:sz w:val="20"/>
              </w:rPr>
              <w:t>85%</w:t>
            </w:r>
          </w:p>
        </w:tc>
        <w:tc>
          <w:tcPr>
            <w:tcW w:w="1366" w:type="dxa"/>
            <w:tcBorders>
              <w:top w:val="single" w:color="D9D9D9" w:sz="2" w:space="0"/>
              <w:bottom w:val="single" w:color="D9D9D9" w:sz="2" w:space="0"/>
            </w:tcBorders>
          </w:tcPr>
          <w:p w:rsidR="00C31389" w:rsidRDefault="00561FBD" w14:paraId="6FF90419" w14:textId="77777777">
            <w:pPr>
              <w:pStyle w:val="TableParagraph"/>
              <w:spacing w:before="155"/>
              <w:ind w:right="230"/>
              <w:jc w:val="right"/>
              <w:rPr>
                <w:sz w:val="20"/>
              </w:rPr>
            </w:pPr>
            <w:r>
              <w:rPr>
                <w:spacing w:val="-2"/>
                <w:sz w:val="20"/>
              </w:rPr>
              <w:t>02/01/20</w:t>
            </w:r>
          </w:p>
        </w:tc>
        <w:tc>
          <w:tcPr>
            <w:tcW w:w="1579" w:type="dxa"/>
            <w:tcBorders>
              <w:top w:val="single" w:color="D9D9D9" w:sz="2" w:space="0"/>
              <w:bottom w:val="single" w:color="D9D9D9" w:sz="2" w:space="0"/>
            </w:tcBorders>
          </w:tcPr>
          <w:p w:rsidR="00C31389" w:rsidRDefault="00561FBD" w14:paraId="3F1F293F" w14:textId="77777777">
            <w:pPr>
              <w:pStyle w:val="TableParagraph"/>
              <w:spacing w:before="155"/>
              <w:ind w:left="201" w:right="148"/>
              <w:jc w:val="center"/>
              <w:rPr>
                <w:sz w:val="20"/>
              </w:rPr>
            </w:pPr>
            <w:r>
              <w:rPr>
                <w:spacing w:val="-2"/>
                <w:sz w:val="20"/>
              </w:rPr>
              <w:t>On-the-books</w:t>
            </w:r>
          </w:p>
        </w:tc>
      </w:tr>
      <w:tr w:rsidR="00C31389" w14:paraId="46926065" w14:textId="77777777">
        <w:trPr>
          <w:trHeight w:val="770"/>
        </w:trPr>
        <w:tc>
          <w:tcPr>
            <w:tcW w:w="1367" w:type="dxa"/>
            <w:tcBorders>
              <w:top w:val="single" w:color="D9D9D9" w:sz="2" w:space="0"/>
              <w:bottom w:val="single" w:color="D9D9D9" w:sz="2" w:space="0"/>
            </w:tcBorders>
          </w:tcPr>
          <w:p w:rsidR="00C31389" w:rsidRDefault="00C31389" w14:paraId="65CF28B6" w14:textId="77777777">
            <w:pPr>
              <w:pStyle w:val="TableParagraph"/>
              <w:spacing w:before="6"/>
              <w:rPr>
                <w:sz w:val="23"/>
              </w:rPr>
            </w:pPr>
          </w:p>
          <w:p w:rsidR="00C31389" w:rsidRDefault="00561FBD" w14:paraId="5759B2BF" w14:textId="77777777">
            <w:pPr>
              <w:pStyle w:val="TableParagraph"/>
              <w:spacing w:before="0"/>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272B210E" w14:textId="77777777">
            <w:pPr>
              <w:pStyle w:val="TableParagraph"/>
              <w:ind w:left="202" w:right="302"/>
              <w:rPr>
                <w:sz w:val="20"/>
              </w:rPr>
            </w:pPr>
            <w:r>
              <w:rPr>
                <w:sz w:val="20"/>
              </w:rPr>
              <w:t>Fed Appliance: Single package vertical</w:t>
            </w:r>
            <w:r>
              <w:rPr>
                <w:spacing w:val="-7"/>
                <w:sz w:val="20"/>
              </w:rPr>
              <w:t xml:space="preserve"> </w:t>
            </w:r>
            <w:r>
              <w:rPr>
                <w:sz w:val="20"/>
              </w:rPr>
              <w:t>AC</w:t>
            </w:r>
            <w:r>
              <w:rPr>
                <w:spacing w:val="-6"/>
                <w:sz w:val="20"/>
              </w:rPr>
              <w:t xml:space="preserve"> </w:t>
            </w:r>
            <w:r>
              <w:rPr>
                <w:sz w:val="20"/>
              </w:rPr>
              <w:t>and</w:t>
            </w:r>
            <w:r>
              <w:rPr>
                <w:spacing w:val="-7"/>
                <w:sz w:val="20"/>
              </w:rPr>
              <w:t xml:space="preserve"> </w:t>
            </w:r>
            <w:r>
              <w:rPr>
                <w:sz w:val="20"/>
              </w:rPr>
              <w:t>HP</w:t>
            </w:r>
            <w:r>
              <w:rPr>
                <w:spacing w:val="-7"/>
                <w:sz w:val="20"/>
              </w:rPr>
              <w:t xml:space="preserve"> </w:t>
            </w:r>
            <w:r>
              <w:rPr>
                <w:sz w:val="20"/>
              </w:rPr>
              <w:t>-</w:t>
            </w:r>
            <w:r>
              <w:rPr>
                <w:spacing w:val="-7"/>
                <w:sz w:val="20"/>
              </w:rPr>
              <w:t xml:space="preserve"> </w:t>
            </w:r>
            <w:r>
              <w:rPr>
                <w:sz w:val="20"/>
              </w:rPr>
              <w:t>&gt;65,000</w:t>
            </w:r>
            <w:r>
              <w:rPr>
                <w:spacing w:val="-7"/>
                <w:sz w:val="20"/>
              </w:rPr>
              <w:t xml:space="preserve"> </w:t>
            </w:r>
            <w:r>
              <w:rPr>
                <w:sz w:val="20"/>
              </w:rPr>
              <w:t>Btu/hr and &lt;240,000 Btu/hr</w:t>
            </w:r>
          </w:p>
        </w:tc>
        <w:tc>
          <w:tcPr>
            <w:tcW w:w="1198" w:type="dxa"/>
            <w:tcBorders>
              <w:top w:val="single" w:color="D9D9D9" w:sz="2" w:space="0"/>
              <w:bottom w:val="single" w:color="D9D9D9" w:sz="2" w:space="0"/>
            </w:tcBorders>
          </w:tcPr>
          <w:p w:rsidR="00C31389" w:rsidRDefault="00C31389" w14:paraId="3C9FDD7E" w14:textId="77777777">
            <w:pPr>
              <w:pStyle w:val="TableParagraph"/>
              <w:spacing w:before="6"/>
              <w:rPr>
                <w:sz w:val="23"/>
              </w:rPr>
            </w:pPr>
          </w:p>
          <w:p w:rsidR="00C31389" w:rsidRDefault="00561FBD" w14:paraId="5C010895" w14:textId="77777777">
            <w:pPr>
              <w:pStyle w:val="TableParagraph"/>
              <w:spacing w:before="0"/>
              <w:ind w:left="344"/>
              <w:rPr>
                <w:sz w:val="20"/>
              </w:rPr>
            </w:pPr>
            <w:r>
              <w:rPr>
                <w:spacing w:val="-5"/>
                <w:sz w:val="20"/>
              </w:rPr>
              <w:t>90%</w:t>
            </w:r>
          </w:p>
        </w:tc>
        <w:tc>
          <w:tcPr>
            <w:tcW w:w="1366" w:type="dxa"/>
            <w:tcBorders>
              <w:top w:val="single" w:color="D9D9D9" w:sz="2" w:space="0"/>
              <w:bottom w:val="single" w:color="D9D9D9" w:sz="2" w:space="0"/>
            </w:tcBorders>
          </w:tcPr>
          <w:p w:rsidR="00C31389" w:rsidRDefault="00C31389" w14:paraId="2EB325DB" w14:textId="77777777">
            <w:pPr>
              <w:pStyle w:val="TableParagraph"/>
              <w:spacing w:before="6"/>
              <w:rPr>
                <w:sz w:val="23"/>
              </w:rPr>
            </w:pPr>
          </w:p>
          <w:p w:rsidR="00C31389" w:rsidRDefault="00561FBD" w14:paraId="29C0015A" w14:textId="77777777">
            <w:pPr>
              <w:pStyle w:val="TableParagraph"/>
              <w:spacing w:before="0"/>
              <w:ind w:right="230"/>
              <w:jc w:val="right"/>
              <w:rPr>
                <w:sz w:val="20"/>
              </w:rPr>
            </w:pPr>
            <w:r>
              <w:rPr>
                <w:spacing w:val="-2"/>
                <w:sz w:val="20"/>
              </w:rPr>
              <w:t>02/01/20</w:t>
            </w:r>
          </w:p>
        </w:tc>
        <w:tc>
          <w:tcPr>
            <w:tcW w:w="1579" w:type="dxa"/>
            <w:tcBorders>
              <w:top w:val="single" w:color="D9D9D9" w:sz="2" w:space="0"/>
              <w:bottom w:val="single" w:color="D9D9D9" w:sz="2" w:space="0"/>
            </w:tcBorders>
          </w:tcPr>
          <w:p w:rsidR="00C31389" w:rsidRDefault="00C31389" w14:paraId="4600956A" w14:textId="77777777">
            <w:pPr>
              <w:pStyle w:val="TableParagraph"/>
              <w:spacing w:before="6"/>
              <w:rPr>
                <w:sz w:val="23"/>
              </w:rPr>
            </w:pPr>
          </w:p>
          <w:p w:rsidR="00C31389" w:rsidRDefault="00561FBD" w14:paraId="1F70D46F" w14:textId="77777777">
            <w:pPr>
              <w:pStyle w:val="TableParagraph"/>
              <w:spacing w:before="0"/>
              <w:ind w:left="201" w:right="148"/>
              <w:jc w:val="center"/>
              <w:rPr>
                <w:sz w:val="20"/>
              </w:rPr>
            </w:pPr>
            <w:r>
              <w:rPr>
                <w:spacing w:val="-2"/>
                <w:sz w:val="20"/>
              </w:rPr>
              <w:t>On-the-books</w:t>
            </w:r>
          </w:p>
        </w:tc>
      </w:tr>
      <w:tr w:rsidR="00C31389" w14:paraId="4F03BB0F" w14:textId="77777777">
        <w:trPr>
          <w:trHeight w:val="539"/>
        </w:trPr>
        <w:tc>
          <w:tcPr>
            <w:tcW w:w="1367" w:type="dxa"/>
            <w:tcBorders>
              <w:top w:val="single" w:color="D9D9D9" w:sz="2" w:space="0"/>
              <w:bottom w:val="single" w:color="D9D9D9" w:sz="2" w:space="0"/>
            </w:tcBorders>
          </w:tcPr>
          <w:p w:rsidR="00C31389" w:rsidRDefault="00561FBD" w14:paraId="7888D3C3"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3430CE36" w14:textId="77777777">
            <w:pPr>
              <w:pStyle w:val="TableParagraph"/>
              <w:ind w:left="202" w:right="302"/>
              <w:rPr>
                <w:sz w:val="20"/>
              </w:rPr>
            </w:pPr>
            <w:r>
              <w:rPr>
                <w:sz w:val="20"/>
              </w:rPr>
              <w:t>Fed</w:t>
            </w:r>
            <w:r>
              <w:rPr>
                <w:spacing w:val="-14"/>
                <w:sz w:val="20"/>
              </w:rPr>
              <w:t xml:space="preserve"> </w:t>
            </w:r>
            <w:r>
              <w:rPr>
                <w:sz w:val="20"/>
              </w:rPr>
              <w:t>Appliance:</w:t>
            </w:r>
            <w:r>
              <w:rPr>
                <w:spacing w:val="-14"/>
                <w:sz w:val="20"/>
              </w:rPr>
              <w:t xml:space="preserve"> </w:t>
            </w:r>
            <w:r>
              <w:rPr>
                <w:sz w:val="20"/>
              </w:rPr>
              <w:t xml:space="preserve">Distribution </w:t>
            </w:r>
            <w:r>
              <w:rPr>
                <w:spacing w:val="-2"/>
                <w:sz w:val="20"/>
              </w:rPr>
              <w:t>transformers</w:t>
            </w:r>
          </w:p>
        </w:tc>
        <w:tc>
          <w:tcPr>
            <w:tcW w:w="1198" w:type="dxa"/>
            <w:tcBorders>
              <w:top w:val="single" w:color="D9D9D9" w:sz="2" w:space="0"/>
              <w:bottom w:val="single" w:color="D9D9D9" w:sz="2" w:space="0"/>
            </w:tcBorders>
          </w:tcPr>
          <w:p w:rsidR="00C31389" w:rsidRDefault="00561FBD" w14:paraId="4F63B686" w14:textId="77777777">
            <w:pPr>
              <w:pStyle w:val="TableParagraph"/>
              <w:spacing w:before="155"/>
              <w:ind w:left="289"/>
              <w:rPr>
                <w:sz w:val="20"/>
              </w:rPr>
            </w:pPr>
            <w:r>
              <w:rPr>
                <w:spacing w:val="-4"/>
                <w:sz w:val="20"/>
              </w:rPr>
              <w:t>100%</w:t>
            </w:r>
          </w:p>
        </w:tc>
        <w:tc>
          <w:tcPr>
            <w:tcW w:w="1366" w:type="dxa"/>
            <w:tcBorders>
              <w:top w:val="single" w:color="D9D9D9" w:sz="2" w:space="0"/>
              <w:bottom w:val="single" w:color="D9D9D9" w:sz="2" w:space="0"/>
            </w:tcBorders>
          </w:tcPr>
          <w:p w:rsidR="00C31389" w:rsidRDefault="00561FBD" w14:paraId="3F5E0267" w14:textId="77777777">
            <w:pPr>
              <w:pStyle w:val="TableParagraph"/>
              <w:spacing w:before="155"/>
              <w:ind w:right="230"/>
              <w:jc w:val="right"/>
              <w:rPr>
                <w:sz w:val="20"/>
              </w:rPr>
            </w:pPr>
            <w:r>
              <w:rPr>
                <w:spacing w:val="-2"/>
                <w:sz w:val="20"/>
              </w:rPr>
              <w:t>02/01/20</w:t>
            </w:r>
          </w:p>
        </w:tc>
        <w:tc>
          <w:tcPr>
            <w:tcW w:w="1579" w:type="dxa"/>
            <w:tcBorders>
              <w:top w:val="single" w:color="D9D9D9" w:sz="2" w:space="0"/>
              <w:bottom w:val="single" w:color="D9D9D9" w:sz="2" w:space="0"/>
            </w:tcBorders>
          </w:tcPr>
          <w:p w:rsidR="00C31389" w:rsidRDefault="00561FBD" w14:paraId="148F0D73" w14:textId="77777777">
            <w:pPr>
              <w:pStyle w:val="TableParagraph"/>
              <w:spacing w:before="155"/>
              <w:ind w:left="201" w:right="148"/>
              <w:jc w:val="center"/>
              <w:rPr>
                <w:sz w:val="20"/>
              </w:rPr>
            </w:pPr>
            <w:r>
              <w:rPr>
                <w:spacing w:val="-2"/>
                <w:sz w:val="20"/>
              </w:rPr>
              <w:t>On-the-books</w:t>
            </w:r>
          </w:p>
        </w:tc>
      </w:tr>
      <w:tr w:rsidR="00C31389" w14:paraId="2D471741" w14:textId="77777777">
        <w:trPr>
          <w:trHeight w:val="539"/>
        </w:trPr>
        <w:tc>
          <w:tcPr>
            <w:tcW w:w="1367" w:type="dxa"/>
            <w:tcBorders>
              <w:top w:val="single" w:color="D9D9D9" w:sz="2" w:space="0"/>
              <w:bottom w:val="single" w:color="D9D9D9" w:sz="2" w:space="0"/>
            </w:tcBorders>
          </w:tcPr>
          <w:p w:rsidR="00C31389" w:rsidRDefault="00561FBD" w14:paraId="5D2C16D3"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7F747776" w14:textId="77777777">
            <w:pPr>
              <w:pStyle w:val="TableParagraph"/>
              <w:ind w:left="202" w:right="302"/>
              <w:rPr>
                <w:sz w:val="20"/>
              </w:rPr>
            </w:pPr>
            <w:r>
              <w:rPr>
                <w:sz w:val="20"/>
              </w:rPr>
              <w:t>Fed</w:t>
            </w:r>
            <w:r>
              <w:rPr>
                <w:spacing w:val="-13"/>
                <w:sz w:val="20"/>
              </w:rPr>
              <w:t xml:space="preserve"> </w:t>
            </w:r>
            <w:r>
              <w:rPr>
                <w:sz w:val="20"/>
              </w:rPr>
              <w:t>Appliance:</w:t>
            </w:r>
            <w:r>
              <w:rPr>
                <w:spacing w:val="-13"/>
                <w:sz w:val="20"/>
              </w:rPr>
              <w:t xml:space="preserve"> </w:t>
            </w:r>
            <w:r>
              <w:rPr>
                <w:sz w:val="20"/>
              </w:rPr>
              <w:t>External</w:t>
            </w:r>
            <w:r>
              <w:rPr>
                <w:spacing w:val="-13"/>
                <w:sz w:val="20"/>
              </w:rPr>
              <w:t xml:space="preserve"> </w:t>
            </w:r>
            <w:r>
              <w:rPr>
                <w:sz w:val="20"/>
              </w:rPr>
              <w:t xml:space="preserve">Power </w:t>
            </w:r>
            <w:r>
              <w:rPr>
                <w:spacing w:val="-2"/>
                <w:sz w:val="20"/>
              </w:rPr>
              <w:t>Supplies</w:t>
            </w:r>
          </w:p>
        </w:tc>
        <w:tc>
          <w:tcPr>
            <w:tcW w:w="1198" w:type="dxa"/>
            <w:tcBorders>
              <w:top w:val="single" w:color="D9D9D9" w:sz="2" w:space="0"/>
              <w:bottom w:val="single" w:color="D9D9D9" w:sz="2" w:space="0"/>
            </w:tcBorders>
          </w:tcPr>
          <w:p w:rsidR="00C31389" w:rsidRDefault="00561FBD" w14:paraId="3217EFC4" w14:textId="77777777">
            <w:pPr>
              <w:pStyle w:val="TableParagraph"/>
              <w:spacing w:before="155"/>
              <w:ind w:left="344"/>
              <w:rPr>
                <w:sz w:val="20"/>
              </w:rPr>
            </w:pPr>
            <w:r>
              <w:rPr>
                <w:spacing w:val="-5"/>
                <w:sz w:val="20"/>
              </w:rPr>
              <w:t>70%</w:t>
            </w:r>
          </w:p>
        </w:tc>
        <w:tc>
          <w:tcPr>
            <w:tcW w:w="1366" w:type="dxa"/>
            <w:tcBorders>
              <w:top w:val="single" w:color="D9D9D9" w:sz="2" w:space="0"/>
              <w:bottom w:val="single" w:color="D9D9D9" w:sz="2" w:space="0"/>
            </w:tcBorders>
          </w:tcPr>
          <w:p w:rsidR="00C31389" w:rsidRDefault="00561FBD" w14:paraId="5B55FC75" w14:textId="77777777">
            <w:pPr>
              <w:pStyle w:val="TableParagraph"/>
              <w:spacing w:before="155"/>
              <w:ind w:right="230"/>
              <w:jc w:val="right"/>
              <w:rPr>
                <w:sz w:val="20"/>
              </w:rPr>
            </w:pPr>
            <w:r>
              <w:rPr>
                <w:spacing w:val="-2"/>
                <w:sz w:val="20"/>
              </w:rPr>
              <w:t>10/01/20</w:t>
            </w:r>
          </w:p>
        </w:tc>
        <w:tc>
          <w:tcPr>
            <w:tcW w:w="1579" w:type="dxa"/>
            <w:tcBorders>
              <w:top w:val="single" w:color="D9D9D9" w:sz="2" w:space="0"/>
              <w:bottom w:val="single" w:color="D9D9D9" w:sz="2" w:space="0"/>
            </w:tcBorders>
          </w:tcPr>
          <w:p w:rsidR="00C31389" w:rsidRDefault="00561FBD" w14:paraId="0CC2EE92" w14:textId="77777777">
            <w:pPr>
              <w:pStyle w:val="TableParagraph"/>
              <w:spacing w:before="155"/>
              <w:ind w:left="201" w:right="148"/>
              <w:jc w:val="center"/>
              <w:rPr>
                <w:sz w:val="20"/>
              </w:rPr>
            </w:pPr>
            <w:r>
              <w:rPr>
                <w:spacing w:val="-2"/>
                <w:sz w:val="20"/>
              </w:rPr>
              <w:t>On-the-books</w:t>
            </w:r>
          </w:p>
        </w:tc>
      </w:tr>
      <w:tr w:rsidR="00C31389" w14:paraId="0F36BD2E" w14:textId="77777777">
        <w:trPr>
          <w:trHeight w:val="310"/>
        </w:trPr>
        <w:tc>
          <w:tcPr>
            <w:tcW w:w="1367" w:type="dxa"/>
            <w:tcBorders>
              <w:top w:val="single" w:color="D9D9D9" w:sz="2" w:space="0"/>
              <w:bottom w:val="single" w:color="D9D9D9" w:sz="2" w:space="0"/>
            </w:tcBorders>
          </w:tcPr>
          <w:p w:rsidR="00C31389" w:rsidRDefault="00561FBD" w14:paraId="1B53E5A4" w14:textId="77777777">
            <w:pPr>
              <w:pStyle w:val="TableParagraph"/>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7C9D93EC" w14:textId="77777777">
            <w:pPr>
              <w:pStyle w:val="TableParagraph"/>
              <w:ind w:left="202"/>
              <w:rPr>
                <w:sz w:val="20"/>
              </w:rPr>
            </w:pPr>
            <w:r>
              <w:rPr>
                <w:sz w:val="20"/>
              </w:rPr>
              <w:t>Fed</w:t>
            </w:r>
            <w:r>
              <w:rPr>
                <w:spacing w:val="-5"/>
                <w:sz w:val="20"/>
              </w:rPr>
              <w:t xml:space="preserve"> </w:t>
            </w:r>
            <w:r>
              <w:rPr>
                <w:sz w:val="20"/>
              </w:rPr>
              <w:t>Appliance:</w:t>
            </w:r>
            <w:r>
              <w:rPr>
                <w:spacing w:val="-4"/>
                <w:sz w:val="20"/>
              </w:rPr>
              <w:t xml:space="preserve"> </w:t>
            </w:r>
            <w:r>
              <w:rPr>
                <w:sz w:val="20"/>
              </w:rPr>
              <w:t>Electric</w:t>
            </w:r>
            <w:r>
              <w:rPr>
                <w:spacing w:val="-3"/>
                <w:sz w:val="20"/>
              </w:rPr>
              <w:t xml:space="preserve"> </w:t>
            </w:r>
            <w:r>
              <w:rPr>
                <w:spacing w:val="-2"/>
                <w:sz w:val="20"/>
              </w:rPr>
              <w:t>Motors</w:t>
            </w:r>
          </w:p>
        </w:tc>
        <w:tc>
          <w:tcPr>
            <w:tcW w:w="1198" w:type="dxa"/>
            <w:tcBorders>
              <w:top w:val="single" w:color="D9D9D9" w:sz="2" w:space="0"/>
              <w:bottom w:val="single" w:color="D9D9D9" w:sz="2" w:space="0"/>
            </w:tcBorders>
          </w:tcPr>
          <w:p w:rsidR="00C31389" w:rsidRDefault="00561FBD" w14:paraId="4440D2A6" w14:textId="77777777">
            <w:pPr>
              <w:pStyle w:val="TableParagraph"/>
              <w:ind w:left="345"/>
              <w:rPr>
                <w:sz w:val="20"/>
              </w:rPr>
            </w:pPr>
            <w:r>
              <w:rPr>
                <w:spacing w:val="-5"/>
                <w:sz w:val="20"/>
              </w:rPr>
              <w:t>97%</w:t>
            </w:r>
          </w:p>
        </w:tc>
        <w:tc>
          <w:tcPr>
            <w:tcW w:w="1366" w:type="dxa"/>
            <w:tcBorders>
              <w:top w:val="single" w:color="D9D9D9" w:sz="2" w:space="0"/>
              <w:bottom w:val="single" w:color="D9D9D9" w:sz="2" w:space="0"/>
            </w:tcBorders>
          </w:tcPr>
          <w:p w:rsidR="00C31389" w:rsidRDefault="00561FBD" w14:paraId="05DE0559" w14:textId="77777777">
            <w:pPr>
              <w:pStyle w:val="TableParagraph"/>
              <w:ind w:right="230"/>
              <w:jc w:val="right"/>
              <w:rPr>
                <w:sz w:val="20"/>
              </w:rPr>
            </w:pPr>
            <w:r>
              <w:rPr>
                <w:spacing w:val="-2"/>
                <w:sz w:val="20"/>
              </w:rPr>
              <w:t>10/01/20</w:t>
            </w:r>
          </w:p>
        </w:tc>
        <w:tc>
          <w:tcPr>
            <w:tcW w:w="1579" w:type="dxa"/>
            <w:tcBorders>
              <w:top w:val="single" w:color="D9D9D9" w:sz="2" w:space="0"/>
              <w:bottom w:val="single" w:color="D9D9D9" w:sz="2" w:space="0"/>
            </w:tcBorders>
          </w:tcPr>
          <w:p w:rsidR="00C31389" w:rsidRDefault="00561FBD" w14:paraId="317FCF0C" w14:textId="77777777">
            <w:pPr>
              <w:pStyle w:val="TableParagraph"/>
              <w:ind w:left="201" w:right="148"/>
              <w:jc w:val="center"/>
              <w:rPr>
                <w:sz w:val="20"/>
              </w:rPr>
            </w:pPr>
            <w:r>
              <w:rPr>
                <w:spacing w:val="-2"/>
                <w:sz w:val="20"/>
              </w:rPr>
              <w:t>On-the-books</w:t>
            </w:r>
          </w:p>
        </w:tc>
      </w:tr>
      <w:tr w:rsidR="00C31389" w14:paraId="63D5F475" w14:textId="77777777">
        <w:trPr>
          <w:trHeight w:val="309"/>
        </w:trPr>
        <w:tc>
          <w:tcPr>
            <w:tcW w:w="1367" w:type="dxa"/>
            <w:tcBorders>
              <w:top w:val="single" w:color="D9D9D9" w:sz="2" w:space="0"/>
              <w:bottom w:val="single" w:color="D9D9D9" w:sz="2" w:space="0"/>
            </w:tcBorders>
          </w:tcPr>
          <w:p w:rsidR="00C31389" w:rsidRDefault="00561FBD" w14:paraId="42043B91" w14:textId="77777777">
            <w:pPr>
              <w:pStyle w:val="TableParagraph"/>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376E09CF" w14:textId="77777777">
            <w:pPr>
              <w:pStyle w:val="TableParagraph"/>
              <w:ind w:left="202"/>
              <w:rPr>
                <w:sz w:val="20"/>
              </w:rPr>
            </w:pPr>
            <w:r>
              <w:rPr>
                <w:sz w:val="20"/>
              </w:rPr>
              <w:t>Fed</w:t>
            </w:r>
            <w:r>
              <w:rPr>
                <w:spacing w:val="-6"/>
                <w:sz w:val="20"/>
              </w:rPr>
              <w:t xml:space="preserve"> </w:t>
            </w:r>
            <w:r>
              <w:rPr>
                <w:sz w:val="20"/>
              </w:rPr>
              <w:t>Appliance:</w:t>
            </w:r>
            <w:r>
              <w:rPr>
                <w:spacing w:val="-5"/>
                <w:sz w:val="20"/>
              </w:rPr>
              <w:t xml:space="preserve"> </w:t>
            </w:r>
            <w:r>
              <w:rPr>
                <w:sz w:val="20"/>
              </w:rPr>
              <w:t>Microwave</w:t>
            </w:r>
            <w:r>
              <w:rPr>
                <w:spacing w:val="-5"/>
                <w:sz w:val="20"/>
              </w:rPr>
              <w:t xml:space="preserve"> </w:t>
            </w:r>
            <w:r>
              <w:rPr>
                <w:spacing w:val="-2"/>
                <w:sz w:val="20"/>
              </w:rPr>
              <w:t>ovens</w:t>
            </w:r>
          </w:p>
        </w:tc>
        <w:tc>
          <w:tcPr>
            <w:tcW w:w="1198" w:type="dxa"/>
            <w:tcBorders>
              <w:top w:val="single" w:color="D9D9D9" w:sz="2" w:space="0"/>
              <w:bottom w:val="single" w:color="D9D9D9" w:sz="2" w:space="0"/>
            </w:tcBorders>
          </w:tcPr>
          <w:p w:rsidR="00C31389" w:rsidRDefault="00561FBD" w14:paraId="137B25C4" w14:textId="77777777">
            <w:pPr>
              <w:pStyle w:val="TableParagraph"/>
              <w:ind w:left="344"/>
              <w:rPr>
                <w:sz w:val="20"/>
              </w:rPr>
            </w:pPr>
            <w:r>
              <w:rPr>
                <w:spacing w:val="-5"/>
                <w:sz w:val="20"/>
              </w:rPr>
              <w:t>91%</w:t>
            </w:r>
          </w:p>
        </w:tc>
        <w:tc>
          <w:tcPr>
            <w:tcW w:w="1366" w:type="dxa"/>
            <w:tcBorders>
              <w:top w:val="single" w:color="D9D9D9" w:sz="2" w:space="0"/>
              <w:bottom w:val="single" w:color="D9D9D9" w:sz="2" w:space="0"/>
            </w:tcBorders>
          </w:tcPr>
          <w:p w:rsidR="00C31389" w:rsidRDefault="00561FBD" w14:paraId="76648254" w14:textId="77777777">
            <w:pPr>
              <w:pStyle w:val="TableParagraph"/>
              <w:ind w:right="230"/>
              <w:jc w:val="right"/>
              <w:rPr>
                <w:sz w:val="20"/>
              </w:rPr>
            </w:pPr>
            <w:r>
              <w:rPr>
                <w:spacing w:val="-2"/>
                <w:sz w:val="20"/>
              </w:rPr>
              <w:t>10/01/20</w:t>
            </w:r>
          </w:p>
        </w:tc>
        <w:tc>
          <w:tcPr>
            <w:tcW w:w="1579" w:type="dxa"/>
            <w:tcBorders>
              <w:top w:val="single" w:color="D9D9D9" w:sz="2" w:space="0"/>
              <w:bottom w:val="single" w:color="D9D9D9" w:sz="2" w:space="0"/>
            </w:tcBorders>
          </w:tcPr>
          <w:p w:rsidR="00C31389" w:rsidRDefault="00561FBD" w14:paraId="08E8BE37" w14:textId="77777777">
            <w:pPr>
              <w:pStyle w:val="TableParagraph"/>
              <w:ind w:left="201" w:right="148"/>
              <w:jc w:val="center"/>
              <w:rPr>
                <w:sz w:val="20"/>
              </w:rPr>
            </w:pPr>
            <w:r>
              <w:rPr>
                <w:spacing w:val="-2"/>
                <w:sz w:val="20"/>
              </w:rPr>
              <w:t>On-the-books</w:t>
            </w:r>
          </w:p>
        </w:tc>
      </w:tr>
      <w:tr w:rsidR="00C31389" w14:paraId="55523C7E" w14:textId="77777777">
        <w:trPr>
          <w:trHeight w:val="539"/>
        </w:trPr>
        <w:tc>
          <w:tcPr>
            <w:tcW w:w="1367" w:type="dxa"/>
            <w:tcBorders>
              <w:top w:val="single" w:color="D9D9D9" w:sz="2" w:space="0"/>
              <w:bottom w:val="single" w:color="D9D9D9" w:sz="2" w:space="0"/>
            </w:tcBorders>
          </w:tcPr>
          <w:p w:rsidR="00C31389" w:rsidRDefault="00561FBD" w14:paraId="22101A5A"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5ECFAD1C" w14:textId="77777777">
            <w:pPr>
              <w:pStyle w:val="TableParagraph"/>
              <w:ind w:left="202" w:right="302"/>
              <w:rPr>
                <w:sz w:val="20"/>
              </w:rPr>
            </w:pPr>
            <w:r>
              <w:rPr>
                <w:sz w:val="20"/>
              </w:rPr>
              <w:t>Fed</w:t>
            </w:r>
            <w:r>
              <w:rPr>
                <w:spacing w:val="-10"/>
                <w:sz w:val="20"/>
              </w:rPr>
              <w:t xml:space="preserve"> </w:t>
            </w:r>
            <w:r>
              <w:rPr>
                <w:sz w:val="20"/>
              </w:rPr>
              <w:t>Appliance:</w:t>
            </w:r>
            <w:r>
              <w:rPr>
                <w:spacing w:val="-10"/>
                <w:sz w:val="20"/>
              </w:rPr>
              <w:t xml:space="preserve"> </w:t>
            </w:r>
            <w:r>
              <w:rPr>
                <w:sz w:val="20"/>
              </w:rPr>
              <w:t>Commercial</w:t>
            </w:r>
            <w:r>
              <w:rPr>
                <w:spacing w:val="-10"/>
                <w:sz w:val="20"/>
              </w:rPr>
              <w:t xml:space="preserve"> </w:t>
            </w:r>
            <w:r>
              <w:rPr>
                <w:sz w:val="20"/>
              </w:rPr>
              <w:t>CAC</w:t>
            </w:r>
            <w:r>
              <w:rPr>
                <w:spacing w:val="-9"/>
                <w:sz w:val="20"/>
              </w:rPr>
              <w:t xml:space="preserve"> </w:t>
            </w:r>
            <w:r>
              <w:rPr>
                <w:sz w:val="20"/>
              </w:rPr>
              <w:t>and HP - &lt;65,000 Btu/hr</w:t>
            </w:r>
          </w:p>
        </w:tc>
        <w:tc>
          <w:tcPr>
            <w:tcW w:w="1198" w:type="dxa"/>
            <w:tcBorders>
              <w:top w:val="single" w:color="D9D9D9" w:sz="2" w:space="0"/>
              <w:bottom w:val="single" w:color="D9D9D9" w:sz="2" w:space="0"/>
            </w:tcBorders>
          </w:tcPr>
          <w:p w:rsidR="00C31389" w:rsidRDefault="00561FBD" w14:paraId="6030F0C6" w14:textId="77777777">
            <w:pPr>
              <w:pStyle w:val="TableParagraph"/>
              <w:spacing w:before="155"/>
              <w:ind w:left="289"/>
              <w:rPr>
                <w:sz w:val="20"/>
              </w:rPr>
            </w:pPr>
            <w:r>
              <w:rPr>
                <w:spacing w:val="-4"/>
                <w:sz w:val="20"/>
              </w:rPr>
              <w:t>100%</w:t>
            </w:r>
          </w:p>
        </w:tc>
        <w:tc>
          <w:tcPr>
            <w:tcW w:w="1366" w:type="dxa"/>
            <w:tcBorders>
              <w:top w:val="single" w:color="D9D9D9" w:sz="2" w:space="0"/>
              <w:bottom w:val="single" w:color="D9D9D9" w:sz="2" w:space="0"/>
            </w:tcBorders>
          </w:tcPr>
          <w:p w:rsidR="00C31389" w:rsidRDefault="00561FBD" w14:paraId="5091C175" w14:textId="77777777">
            <w:pPr>
              <w:pStyle w:val="TableParagraph"/>
              <w:spacing w:before="155"/>
              <w:ind w:right="230"/>
              <w:jc w:val="right"/>
              <w:rPr>
                <w:sz w:val="20"/>
              </w:rPr>
            </w:pPr>
            <w:r>
              <w:rPr>
                <w:spacing w:val="-2"/>
                <w:sz w:val="20"/>
              </w:rPr>
              <w:t>10/01/20</w:t>
            </w:r>
          </w:p>
        </w:tc>
        <w:tc>
          <w:tcPr>
            <w:tcW w:w="1579" w:type="dxa"/>
            <w:tcBorders>
              <w:top w:val="single" w:color="D9D9D9" w:sz="2" w:space="0"/>
              <w:bottom w:val="single" w:color="D9D9D9" w:sz="2" w:space="0"/>
            </w:tcBorders>
          </w:tcPr>
          <w:p w:rsidR="00C31389" w:rsidRDefault="00561FBD" w14:paraId="02B78411" w14:textId="77777777">
            <w:pPr>
              <w:pStyle w:val="TableParagraph"/>
              <w:spacing w:before="155"/>
              <w:ind w:left="201" w:right="148"/>
              <w:jc w:val="center"/>
              <w:rPr>
                <w:sz w:val="20"/>
              </w:rPr>
            </w:pPr>
            <w:r>
              <w:rPr>
                <w:spacing w:val="-2"/>
                <w:sz w:val="20"/>
              </w:rPr>
              <w:t>On-the-books</w:t>
            </w:r>
          </w:p>
        </w:tc>
      </w:tr>
      <w:tr w:rsidR="00C31389" w14:paraId="63079C0F" w14:textId="77777777">
        <w:trPr>
          <w:trHeight w:val="539"/>
        </w:trPr>
        <w:tc>
          <w:tcPr>
            <w:tcW w:w="1367" w:type="dxa"/>
            <w:tcBorders>
              <w:top w:val="single" w:color="D9D9D9" w:sz="2" w:space="0"/>
              <w:bottom w:val="single" w:color="D9D9D9" w:sz="2" w:space="0"/>
            </w:tcBorders>
          </w:tcPr>
          <w:p w:rsidR="00C31389" w:rsidRDefault="00561FBD" w14:paraId="4EE79015"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248F4C19" w14:textId="77777777">
            <w:pPr>
              <w:pStyle w:val="TableParagraph"/>
              <w:ind w:left="202"/>
              <w:rPr>
                <w:sz w:val="20"/>
              </w:rPr>
            </w:pPr>
            <w:r>
              <w:rPr>
                <w:sz w:val="20"/>
              </w:rPr>
              <w:t>Fed</w:t>
            </w:r>
            <w:r>
              <w:rPr>
                <w:spacing w:val="-9"/>
                <w:sz w:val="20"/>
              </w:rPr>
              <w:t xml:space="preserve"> </w:t>
            </w:r>
            <w:r>
              <w:rPr>
                <w:sz w:val="20"/>
              </w:rPr>
              <w:t>Appliance:</w:t>
            </w:r>
            <w:r>
              <w:rPr>
                <w:spacing w:val="-9"/>
                <w:sz w:val="20"/>
              </w:rPr>
              <w:t xml:space="preserve"> </w:t>
            </w:r>
            <w:r>
              <w:rPr>
                <w:sz w:val="20"/>
              </w:rPr>
              <w:t>Metal</w:t>
            </w:r>
            <w:r>
              <w:rPr>
                <w:spacing w:val="-9"/>
                <w:sz w:val="20"/>
              </w:rPr>
              <w:t xml:space="preserve"> </w:t>
            </w:r>
            <w:r>
              <w:rPr>
                <w:sz w:val="20"/>
              </w:rPr>
              <w:t>Halide</w:t>
            </w:r>
            <w:r>
              <w:rPr>
                <w:spacing w:val="-9"/>
                <w:sz w:val="20"/>
              </w:rPr>
              <w:t xml:space="preserve"> </w:t>
            </w:r>
            <w:r>
              <w:rPr>
                <w:sz w:val="20"/>
              </w:rPr>
              <w:t xml:space="preserve">Lamp </w:t>
            </w:r>
            <w:r>
              <w:rPr>
                <w:spacing w:val="-2"/>
                <w:sz w:val="20"/>
              </w:rPr>
              <w:t>Fixtures</w:t>
            </w:r>
          </w:p>
        </w:tc>
        <w:tc>
          <w:tcPr>
            <w:tcW w:w="1198" w:type="dxa"/>
            <w:tcBorders>
              <w:top w:val="single" w:color="D9D9D9" w:sz="2" w:space="0"/>
              <w:bottom w:val="single" w:color="D9D9D9" w:sz="2" w:space="0"/>
            </w:tcBorders>
          </w:tcPr>
          <w:p w:rsidR="00C31389" w:rsidRDefault="00561FBD" w14:paraId="28672616" w14:textId="77777777">
            <w:pPr>
              <w:pStyle w:val="TableParagraph"/>
              <w:spacing w:before="155"/>
              <w:ind w:left="344"/>
              <w:rPr>
                <w:sz w:val="20"/>
              </w:rPr>
            </w:pPr>
            <w:r>
              <w:rPr>
                <w:spacing w:val="-5"/>
                <w:sz w:val="20"/>
              </w:rPr>
              <w:t>86%</w:t>
            </w:r>
          </w:p>
        </w:tc>
        <w:tc>
          <w:tcPr>
            <w:tcW w:w="1366" w:type="dxa"/>
            <w:tcBorders>
              <w:top w:val="single" w:color="D9D9D9" w:sz="2" w:space="0"/>
              <w:bottom w:val="single" w:color="D9D9D9" w:sz="2" w:space="0"/>
            </w:tcBorders>
          </w:tcPr>
          <w:p w:rsidR="00C31389" w:rsidRDefault="00561FBD" w14:paraId="182CED04" w14:textId="77777777">
            <w:pPr>
              <w:pStyle w:val="TableParagraph"/>
              <w:spacing w:before="155"/>
              <w:ind w:right="230"/>
              <w:jc w:val="right"/>
              <w:rPr>
                <w:sz w:val="20"/>
              </w:rPr>
            </w:pPr>
            <w:r>
              <w:rPr>
                <w:spacing w:val="-2"/>
                <w:sz w:val="20"/>
              </w:rPr>
              <w:t>10/01/20</w:t>
            </w:r>
          </w:p>
        </w:tc>
        <w:tc>
          <w:tcPr>
            <w:tcW w:w="1579" w:type="dxa"/>
            <w:tcBorders>
              <w:top w:val="single" w:color="D9D9D9" w:sz="2" w:space="0"/>
              <w:bottom w:val="single" w:color="D9D9D9" w:sz="2" w:space="0"/>
            </w:tcBorders>
          </w:tcPr>
          <w:p w:rsidR="00C31389" w:rsidRDefault="00561FBD" w14:paraId="0E8D6FD3" w14:textId="77777777">
            <w:pPr>
              <w:pStyle w:val="TableParagraph"/>
              <w:spacing w:before="155"/>
              <w:ind w:left="201" w:right="148"/>
              <w:jc w:val="center"/>
              <w:rPr>
                <w:sz w:val="20"/>
              </w:rPr>
            </w:pPr>
            <w:r>
              <w:rPr>
                <w:spacing w:val="-2"/>
                <w:sz w:val="20"/>
              </w:rPr>
              <w:t>On-the-books</w:t>
            </w:r>
          </w:p>
        </w:tc>
      </w:tr>
      <w:tr w:rsidR="00C31389" w14:paraId="65598FAB" w14:textId="77777777">
        <w:trPr>
          <w:trHeight w:val="540"/>
        </w:trPr>
        <w:tc>
          <w:tcPr>
            <w:tcW w:w="1367" w:type="dxa"/>
            <w:tcBorders>
              <w:top w:val="single" w:color="D9D9D9" w:sz="2" w:space="0"/>
              <w:bottom w:val="single" w:color="D9D9D9" w:sz="2" w:space="0"/>
            </w:tcBorders>
          </w:tcPr>
          <w:p w:rsidR="00C31389" w:rsidRDefault="00561FBD" w14:paraId="35FAE44F"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75158403" w14:textId="77777777">
            <w:pPr>
              <w:pStyle w:val="TableParagraph"/>
              <w:spacing w:before="41"/>
              <w:ind w:left="202" w:right="106"/>
              <w:rPr>
                <w:sz w:val="20"/>
              </w:rPr>
            </w:pPr>
            <w:r>
              <w:rPr>
                <w:sz w:val="20"/>
              </w:rPr>
              <w:t>Fed</w:t>
            </w:r>
            <w:r>
              <w:rPr>
                <w:spacing w:val="-14"/>
                <w:sz w:val="20"/>
              </w:rPr>
              <w:t xml:space="preserve"> </w:t>
            </w:r>
            <w:r>
              <w:rPr>
                <w:sz w:val="20"/>
              </w:rPr>
              <w:t>Appliance:</w:t>
            </w:r>
            <w:r>
              <w:rPr>
                <w:spacing w:val="-14"/>
                <w:sz w:val="20"/>
              </w:rPr>
              <w:t xml:space="preserve"> </w:t>
            </w:r>
            <w:r>
              <w:rPr>
                <w:sz w:val="20"/>
              </w:rPr>
              <w:t>Commercial Refrigeration Equipment</w:t>
            </w:r>
          </w:p>
        </w:tc>
        <w:tc>
          <w:tcPr>
            <w:tcW w:w="1198" w:type="dxa"/>
            <w:tcBorders>
              <w:top w:val="single" w:color="D9D9D9" w:sz="2" w:space="0"/>
              <w:bottom w:val="single" w:color="D9D9D9" w:sz="2" w:space="0"/>
            </w:tcBorders>
          </w:tcPr>
          <w:p w:rsidR="00C31389" w:rsidRDefault="00561FBD" w14:paraId="557654B5" w14:textId="77777777">
            <w:pPr>
              <w:pStyle w:val="TableParagraph"/>
              <w:spacing w:before="155"/>
              <w:ind w:left="289"/>
              <w:rPr>
                <w:sz w:val="20"/>
              </w:rPr>
            </w:pPr>
            <w:r>
              <w:rPr>
                <w:spacing w:val="-4"/>
                <w:sz w:val="20"/>
              </w:rPr>
              <w:t>100%</w:t>
            </w:r>
          </w:p>
        </w:tc>
        <w:tc>
          <w:tcPr>
            <w:tcW w:w="1366" w:type="dxa"/>
            <w:tcBorders>
              <w:top w:val="single" w:color="D9D9D9" w:sz="2" w:space="0"/>
              <w:bottom w:val="single" w:color="D9D9D9" w:sz="2" w:space="0"/>
            </w:tcBorders>
          </w:tcPr>
          <w:p w:rsidR="00C31389" w:rsidRDefault="00561FBD" w14:paraId="379C9A11" w14:textId="77777777">
            <w:pPr>
              <w:pStyle w:val="TableParagraph"/>
              <w:spacing w:before="155"/>
              <w:ind w:right="230"/>
              <w:jc w:val="right"/>
              <w:rPr>
                <w:sz w:val="20"/>
              </w:rPr>
            </w:pPr>
            <w:r>
              <w:rPr>
                <w:spacing w:val="-2"/>
                <w:sz w:val="20"/>
              </w:rPr>
              <w:t>10/01/20</w:t>
            </w:r>
          </w:p>
        </w:tc>
        <w:tc>
          <w:tcPr>
            <w:tcW w:w="1579" w:type="dxa"/>
            <w:tcBorders>
              <w:top w:val="single" w:color="D9D9D9" w:sz="2" w:space="0"/>
              <w:bottom w:val="single" w:color="D9D9D9" w:sz="2" w:space="0"/>
            </w:tcBorders>
          </w:tcPr>
          <w:p w:rsidR="00C31389" w:rsidRDefault="00561FBD" w14:paraId="0DCF50C0" w14:textId="77777777">
            <w:pPr>
              <w:pStyle w:val="TableParagraph"/>
              <w:spacing w:before="155"/>
              <w:ind w:left="201" w:right="148"/>
              <w:jc w:val="center"/>
              <w:rPr>
                <w:sz w:val="20"/>
              </w:rPr>
            </w:pPr>
            <w:r>
              <w:rPr>
                <w:spacing w:val="-2"/>
                <w:sz w:val="20"/>
              </w:rPr>
              <w:t>On-the-books</w:t>
            </w:r>
          </w:p>
        </w:tc>
      </w:tr>
      <w:tr w:rsidR="00C31389" w14:paraId="2D2B1C32" w14:textId="77777777">
        <w:trPr>
          <w:trHeight w:val="539"/>
        </w:trPr>
        <w:tc>
          <w:tcPr>
            <w:tcW w:w="1367" w:type="dxa"/>
            <w:tcBorders>
              <w:top w:val="single" w:color="D9D9D9" w:sz="2" w:space="0"/>
              <w:bottom w:val="single" w:color="D9D9D9" w:sz="2" w:space="0"/>
            </w:tcBorders>
          </w:tcPr>
          <w:p w:rsidR="00C31389" w:rsidRDefault="00561FBD" w14:paraId="37E97C9F"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135EB003" w14:textId="77777777">
            <w:pPr>
              <w:pStyle w:val="TableParagraph"/>
              <w:ind w:left="202"/>
              <w:rPr>
                <w:sz w:val="20"/>
              </w:rPr>
            </w:pPr>
            <w:r>
              <w:rPr>
                <w:sz w:val="20"/>
              </w:rPr>
              <w:t>Fed</w:t>
            </w:r>
            <w:r>
              <w:rPr>
                <w:spacing w:val="-9"/>
                <w:sz w:val="20"/>
              </w:rPr>
              <w:t xml:space="preserve"> </w:t>
            </w:r>
            <w:r>
              <w:rPr>
                <w:sz w:val="20"/>
              </w:rPr>
              <w:t>Appliance:</w:t>
            </w:r>
            <w:r>
              <w:rPr>
                <w:spacing w:val="-9"/>
                <w:sz w:val="20"/>
              </w:rPr>
              <w:t xml:space="preserve"> </w:t>
            </w:r>
            <w:r>
              <w:rPr>
                <w:sz w:val="20"/>
              </w:rPr>
              <w:t>Walk-in</w:t>
            </w:r>
            <w:r>
              <w:rPr>
                <w:spacing w:val="-10"/>
                <w:sz w:val="20"/>
              </w:rPr>
              <w:t xml:space="preserve"> </w:t>
            </w:r>
            <w:r>
              <w:rPr>
                <w:sz w:val="20"/>
              </w:rPr>
              <w:t>coolers</w:t>
            </w:r>
            <w:r>
              <w:rPr>
                <w:spacing w:val="-8"/>
                <w:sz w:val="20"/>
              </w:rPr>
              <w:t xml:space="preserve"> </w:t>
            </w:r>
            <w:r>
              <w:rPr>
                <w:sz w:val="20"/>
              </w:rPr>
              <w:t xml:space="preserve">and </w:t>
            </w:r>
            <w:r>
              <w:rPr>
                <w:spacing w:val="-2"/>
                <w:sz w:val="20"/>
              </w:rPr>
              <w:t>freezers</w:t>
            </w:r>
          </w:p>
        </w:tc>
        <w:tc>
          <w:tcPr>
            <w:tcW w:w="1198" w:type="dxa"/>
            <w:tcBorders>
              <w:top w:val="single" w:color="D9D9D9" w:sz="2" w:space="0"/>
              <w:bottom w:val="single" w:color="D9D9D9" w:sz="2" w:space="0"/>
            </w:tcBorders>
          </w:tcPr>
          <w:p w:rsidR="00C31389" w:rsidRDefault="00561FBD" w14:paraId="32932B2C" w14:textId="77777777">
            <w:pPr>
              <w:pStyle w:val="TableParagraph"/>
              <w:spacing w:before="155"/>
              <w:ind w:left="344"/>
              <w:rPr>
                <w:sz w:val="20"/>
              </w:rPr>
            </w:pPr>
            <w:r>
              <w:rPr>
                <w:spacing w:val="-5"/>
                <w:sz w:val="20"/>
              </w:rPr>
              <w:t>79%</w:t>
            </w:r>
          </w:p>
        </w:tc>
        <w:tc>
          <w:tcPr>
            <w:tcW w:w="1366" w:type="dxa"/>
            <w:tcBorders>
              <w:top w:val="single" w:color="D9D9D9" w:sz="2" w:space="0"/>
              <w:bottom w:val="single" w:color="D9D9D9" w:sz="2" w:space="0"/>
            </w:tcBorders>
          </w:tcPr>
          <w:p w:rsidR="00C31389" w:rsidRDefault="00561FBD" w14:paraId="52EC06C8" w14:textId="77777777">
            <w:pPr>
              <w:pStyle w:val="TableParagraph"/>
              <w:spacing w:before="155"/>
              <w:ind w:right="230"/>
              <w:jc w:val="right"/>
              <w:rPr>
                <w:sz w:val="20"/>
              </w:rPr>
            </w:pPr>
            <w:r>
              <w:rPr>
                <w:spacing w:val="-2"/>
                <w:sz w:val="20"/>
              </w:rPr>
              <w:t>04/01/20</w:t>
            </w:r>
          </w:p>
        </w:tc>
        <w:tc>
          <w:tcPr>
            <w:tcW w:w="1579" w:type="dxa"/>
            <w:tcBorders>
              <w:top w:val="single" w:color="D9D9D9" w:sz="2" w:space="0"/>
              <w:bottom w:val="single" w:color="D9D9D9" w:sz="2" w:space="0"/>
            </w:tcBorders>
          </w:tcPr>
          <w:p w:rsidR="00C31389" w:rsidRDefault="00561FBD" w14:paraId="43CD11A7" w14:textId="77777777">
            <w:pPr>
              <w:pStyle w:val="TableParagraph"/>
              <w:spacing w:before="155"/>
              <w:ind w:left="201" w:right="148"/>
              <w:jc w:val="center"/>
              <w:rPr>
                <w:sz w:val="20"/>
              </w:rPr>
            </w:pPr>
            <w:r>
              <w:rPr>
                <w:spacing w:val="-2"/>
                <w:sz w:val="20"/>
              </w:rPr>
              <w:t>On-the-books</w:t>
            </w:r>
          </w:p>
        </w:tc>
      </w:tr>
      <w:tr w:rsidR="00C31389" w14:paraId="3AEAB090" w14:textId="77777777">
        <w:trPr>
          <w:trHeight w:val="768"/>
        </w:trPr>
        <w:tc>
          <w:tcPr>
            <w:tcW w:w="1367" w:type="dxa"/>
            <w:tcBorders>
              <w:top w:val="single" w:color="D9D9D9" w:sz="2" w:space="0"/>
              <w:bottom w:val="single" w:color="D9D9D9" w:sz="2" w:space="0"/>
            </w:tcBorders>
          </w:tcPr>
          <w:p w:rsidR="00C31389" w:rsidRDefault="00C31389" w14:paraId="69E56C8C" w14:textId="77777777">
            <w:pPr>
              <w:pStyle w:val="TableParagraph"/>
              <w:spacing w:before="5"/>
              <w:rPr>
                <w:sz w:val="23"/>
              </w:rPr>
            </w:pPr>
          </w:p>
          <w:p w:rsidR="00C31389" w:rsidRDefault="00561FBD" w14:paraId="21823484" w14:textId="77777777">
            <w:pPr>
              <w:pStyle w:val="TableParagraph"/>
              <w:spacing w:before="0"/>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1B2576E2" w14:textId="77777777">
            <w:pPr>
              <w:pStyle w:val="TableParagraph"/>
              <w:ind w:left="202" w:right="287"/>
              <w:jc w:val="both"/>
              <w:rPr>
                <w:sz w:val="20"/>
              </w:rPr>
            </w:pPr>
            <w:r>
              <w:rPr>
                <w:sz w:val="20"/>
              </w:rPr>
              <w:t>Fed Appliance: Commercial CAC and HP</w:t>
            </w:r>
            <w:r>
              <w:rPr>
                <w:spacing w:val="-6"/>
                <w:sz w:val="20"/>
              </w:rPr>
              <w:t xml:space="preserve"> </w:t>
            </w:r>
            <w:r>
              <w:rPr>
                <w:sz w:val="20"/>
              </w:rPr>
              <w:t>-</w:t>
            </w:r>
            <w:r>
              <w:rPr>
                <w:spacing w:val="-6"/>
                <w:sz w:val="20"/>
              </w:rPr>
              <w:t xml:space="preserve"> </w:t>
            </w:r>
            <w:r>
              <w:rPr>
                <w:sz w:val="20"/>
              </w:rPr>
              <w:t>65,000</w:t>
            </w:r>
            <w:r>
              <w:rPr>
                <w:spacing w:val="-6"/>
                <w:sz w:val="20"/>
              </w:rPr>
              <w:t xml:space="preserve"> </w:t>
            </w:r>
            <w:r>
              <w:rPr>
                <w:sz w:val="20"/>
              </w:rPr>
              <w:t>Btu/hr</w:t>
            </w:r>
            <w:r>
              <w:rPr>
                <w:spacing w:val="-5"/>
                <w:sz w:val="20"/>
              </w:rPr>
              <w:t xml:space="preserve"> </w:t>
            </w:r>
            <w:r>
              <w:rPr>
                <w:sz w:val="20"/>
              </w:rPr>
              <w:t>to</w:t>
            </w:r>
            <w:r>
              <w:rPr>
                <w:spacing w:val="-6"/>
                <w:sz w:val="20"/>
              </w:rPr>
              <w:t xml:space="preserve"> </w:t>
            </w:r>
            <w:r>
              <w:rPr>
                <w:sz w:val="20"/>
              </w:rPr>
              <w:t>760,000</w:t>
            </w:r>
            <w:r>
              <w:rPr>
                <w:spacing w:val="-6"/>
                <w:sz w:val="20"/>
              </w:rPr>
              <w:t xml:space="preserve"> </w:t>
            </w:r>
            <w:r>
              <w:rPr>
                <w:sz w:val="20"/>
              </w:rPr>
              <w:t>Btu/hr</w:t>
            </w:r>
            <w:r>
              <w:rPr>
                <w:spacing w:val="-6"/>
                <w:sz w:val="20"/>
              </w:rPr>
              <w:t xml:space="preserve"> </w:t>
            </w:r>
            <w:r>
              <w:rPr>
                <w:sz w:val="20"/>
              </w:rPr>
              <w:t>- Tier 1</w:t>
            </w:r>
          </w:p>
        </w:tc>
        <w:tc>
          <w:tcPr>
            <w:tcW w:w="1198" w:type="dxa"/>
            <w:tcBorders>
              <w:top w:val="single" w:color="D9D9D9" w:sz="2" w:space="0"/>
              <w:bottom w:val="single" w:color="D9D9D9" w:sz="2" w:space="0"/>
            </w:tcBorders>
          </w:tcPr>
          <w:p w:rsidR="00C31389" w:rsidRDefault="00C31389" w14:paraId="074E8828" w14:textId="77777777">
            <w:pPr>
              <w:pStyle w:val="TableParagraph"/>
              <w:spacing w:before="5"/>
              <w:rPr>
                <w:sz w:val="23"/>
              </w:rPr>
            </w:pPr>
          </w:p>
          <w:p w:rsidR="00C31389" w:rsidRDefault="00561FBD" w14:paraId="6ACA2804" w14:textId="77777777">
            <w:pPr>
              <w:pStyle w:val="TableParagraph"/>
              <w:spacing w:before="0"/>
              <w:ind w:left="345"/>
              <w:rPr>
                <w:sz w:val="20"/>
              </w:rPr>
            </w:pPr>
            <w:r>
              <w:rPr>
                <w:spacing w:val="-5"/>
                <w:sz w:val="20"/>
              </w:rPr>
              <w:t>99%</w:t>
            </w:r>
          </w:p>
        </w:tc>
        <w:tc>
          <w:tcPr>
            <w:tcW w:w="1366" w:type="dxa"/>
            <w:tcBorders>
              <w:top w:val="single" w:color="D9D9D9" w:sz="2" w:space="0"/>
              <w:bottom w:val="single" w:color="D9D9D9" w:sz="2" w:space="0"/>
            </w:tcBorders>
          </w:tcPr>
          <w:p w:rsidR="00C31389" w:rsidRDefault="00C31389" w14:paraId="686E1836" w14:textId="77777777">
            <w:pPr>
              <w:pStyle w:val="TableParagraph"/>
              <w:spacing w:before="5"/>
              <w:rPr>
                <w:sz w:val="23"/>
              </w:rPr>
            </w:pPr>
          </w:p>
          <w:p w:rsidR="00C31389" w:rsidRDefault="00561FBD" w14:paraId="62A3CC12" w14:textId="77777777">
            <w:pPr>
              <w:pStyle w:val="TableParagraph"/>
              <w:spacing w:before="0"/>
              <w:ind w:right="230"/>
              <w:jc w:val="right"/>
              <w:rPr>
                <w:sz w:val="20"/>
              </w:rPr>
            </w:pPr>
            <w:r>
              <w:rPr>
                <w:spacing w:val="-2"/>
                <w:sz w:val="20"/>
              </w:rPr>
              <w:t>04/01/20</w:t>
            </w:r>
          </w:p>
        </w:tc>
        <w:tc>
          <w:tcPr>
            <w:tcW w:w="1579" w:type="dxa"/>
            <w:tcBorders>
              <w:top w:val="single" w:color="D9D9D9" w:sz="2" w:space="0"/>
              <w:bottom w:val="single" w:color="D9D9D9" w:sz="2" w:space="0"/>
            </w:tcBorders>
          </w:tcPr>
          <w:p w:rsidR="00C31389" w:rsidRDefault="00C31389" w14:paraId="40D8C36D" w14:textId="77777777">
            <w:pPr>
              <w:pStyle w:val="TableParagraph"/>
              <w:spacing w:before="5"/>
              <w:rPr>
                <w:sz w:val="23"/>
              </w:rPr>
            </w:pPr>
          </w:p>
          <w:p w:rsidR="00C31389" w:rsidRDefault="00561FBD" w14:paraId="56CE1439" w14:textId="77777777">
            <w:pPr>
              <w:pStyle w:val="TableParagraph"/>
              <w:spacing w:before="0"/>
              <w:ind w:left="201" w:right="148"/>
              <w:jc w:val="center"/>
              <w:rPr>
                <w:sz w:val="20"/>
              </w:rPr>
            </w:pPr>
            <w:r>
              <w:rPr>
                <w:spacing w:val="-2"/>
                <w:sz w:val="20"/>
              </w:rPr>
              <w:t>On-the-books</w:t>
            </w:r>
          </w:p>
        </w:tc>
      </w:tr>
      <w:tr w:rsidR="00C31389" w14:paraId="28178E72" w14:textId="77777777">
        <w:trPr>
          <w:trHeight w:val="540"/>
        </w:trPr>
        <w:tc>
          <w:tcPr>
            <w:tcW w:w="1367" w:type="dxa"/>
            <w:tcBorders>
              <w:top w:val="single" w:color="D9D9D9" w:sz="2" w:space="0"/>
              <w:bottom w:val="single" w:color="D9D9D9" w:sz="2" w:space="0"/>
            </w:tcBorders>
          </w:tcPr>
          <w:p w:rsidR="00C31389" w:rsidRDefault="00561FBD" w14:paraId="588466B1"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6A648118" w14:textId="77777777">
            <w:pPr>
              <w:pStyle w:val="TableParagraph"/>
              <w:spacing w:before="41"/>
              <w:ind w:left="202"/>
              <w:rPr>
                <w:sz w:val="20"/>
              </w:rPr>
            </w:pPr>
            <w:r>
              <w:rPr>
                <w:sz w:val="20"/>
              </w:rPr>
              <w:t>Fed</w:t>
            </w:r>
            <w:r>
              <w:rPr>
                <w:spacing w:val="-12"/>
                <w:sz w:val="20"/>
              </w:rPr>
              <w:t xml:space="preserve"> </w:t>
            </w:r>
            <w:r>
              <w:rPr>
                <w:sz w:val="20"/>
              </w:rPr>
              <w:t>Appliance:</w:t>
            </w:r>
            <w:r>
              <w:rPr>
                <w:spacing w:val="-12"/>
                <w:sz w:val="20"/>
              </w:rPr>
              <w:t xml:space="preserve"> </w:t>
            </w:r>
            <w:r>
              <w:rPr>
                <w:sz w:val="20"/>
              </w:rPr>
              <w:t>Commercial</w:t>
            </w:r>
            <w:r>
              <w:rPr>
                <w:spacing w:val="-12"/>
                <w:sz w:val="20"/>
              </w:rPr>
              <w:t xml:space="preserve"> </w:t>
            </w:r>
            <w:r>
              <w:rPr>
                <w:sz w:val="20"/>
              </w:rPr>
              <w:t xml:space="preserve">Clothes </w:t>
            </w:r>
            <w:r>
              <w:rPr>
                <w:spacing w:val="-2"/>
                <w:sz w:val="20"/>
              </w:rPr>
              <w:t>Washers</w:t>
            </w:r>
          </w:p>
        </w:tc>
        <w:tc>
          <w:tcPr>
            <w:tcW w:w="1198" w:type="dxa"/>
            <w:tcBorders>
              <w:top w:val="single" w:color="D9D9D9" w:sz="2" w:space="0"/>
              <w:bottom w:val="single" w:color="D9D9D9" w:sz="2" w:space="0"/>
            </w:tcBorders>
          </w:tcPr>
          <w:p w:rsidR="00C31389" w:rsidRDefault="00561FBD" w14:paraId="2CB96C08" w14:textId="77777777">
            <w:pPr>
              <w:pStyle w:val="TableParagraph"/>
              <w:spacing w:before="155"/>
              <w:ind w:left="344"/>
              <w:rPr>
                <w:sz w:val="20"/>
              </w:rPr>
            </w:pPr>
            <w:r>
              <w:rPr>
                <w:spacing w:val="-5"/>
                <w:sz w:val="20"/>
              </w:rPr>
              <w:t>80%</w:t>
            </w:r>
          </w:p>
        </w:tc>
        <w:tc>
          <w:tcPr>
            <w:tcW w:w="1366" w:type="dxa"/>
            <w:tcBorders>
              <w:top w:val="single" w:color="D9D9D9" w:sz="2" w:space="0"/>
              <w:bottom w:val="single" w:color="D9D9D9" w:sz="2" w:space="0"/>
            </w:tcBorders>
          </w:tcPr>
          <w:p w:rsidR="00C31389" w:rsidRDefault="00561FBD" w14:paraId="6072417A" w14:textId="77777777">
            <w:pPr>
              <w:pStyle w:val="TableParagraph"/>
              <w:spacing w:before="155"/>
              <w:ind w:right="230"/>
              <w:jc w:val="right"/>
              <w:rPr>
                <w:sz w:val="20"/>
              </w:rPr>
            </w:pPr>
            <w:r>
              <w:rPr>
                <w:spacing w:val="-2"/>
                <w:sz w:val="20"/>
              </w:rPr>
              <w:t>04/01/20</w:t>
            </w:r>
          </w:p>
        </w:tc>
        <w:tc>
          <w:tcPr>
            <w:tcW w:w="1579" w:type="dxa"/>
            <w:tcBorders>
              <w:top w:val="single" w:color="D9D9D9" w:sz="2" w:space="0"/>
              <w:bottom w:val="single" w:color="D9D9D9" w:sz="2" w:space="0"/>
            </w:tcBorders>
          </w:tcPr>
          <w:p w:rsidR="00C31389" w:rsidRDefault="00561FBD" w14:paraId="1A46C59B" w14:textId="77777777">
            <w:pPr>
              <w:pStyle w:val="TableParagraph"/>
              <w:spacing w:before="155"/>
              <w:ind w:left="201" w:right="148"/>
              <w:jc w:val="center"/>
              <w:rPr>
                <w:sz w:val="20"/>
              </w:rPr>
            </w:pPr>
            <w:r>
              <w:rPr>
                <w:spacing w:val="-2"/>
                <w:sz w:val="20"/>
              </w:rPr>
              <w:t>On-the-books</w:t>
            </w:r>
          </w:p>
        </w:tc>
      </w:tr>
      <w:tr w:rsidR="00C31389" w14:paraId="337F9A28" w14:textId="77777777">
        <w:trPr>
          <w:trHeight w:val="539"/>
        </w:trPr>
        <w:tc>
          <w:tcPr>
            <w:tcW w:w="1367" w:type="dxa"/>
            <w:tcBorders>
              <w:top w:val="single" w:color="D9D9D9" w:sz="2" w:space="0"/>
              <w:bottom w:val="single" w:color="D9D9D9" w:sz="2" w:space="0"/>
            </w:tcBorders>
          </w:tcPr>
          <w:p w:rsidR="00C31389" w:rsidRDefault="00561FBD" w14:paraId="2AC07BAA" w14:textId="77777777">
            <w:pPr>
              <w:pStyle w:val="TableParagraph"/>
              <w:spacing w:before="155"/>
              <w:ind w:left="129"/>
              <w:rPr>
                <w:sz w:val="20"/>
              </w:rPr>
            </w:pPr>
            <w:r>
              <w:rPr>
                <w:spacing w:val="-2"/>
                <w:sz w:val="20"/>
              </w:rPr>
              <w:t>Federal</w:t>
            </w:r>
          </w:p>
        </w:tc>
        <w:tc>
          <w:tcPr>
            <w:tcW w:w="3862" w:type="dxa"/>
            <w:tcBorders>
              <w:top w:val="single" w:color="D9D9D9" w:sz="2" w:space="0"/>
              <w:bottom w:val="single" w:color="D9D9D9" w:sz="2" w:space="0"/>
            </w:tcBorders>
          </w:tcPr>
          <w:p w:rsidR="00C31389" w:rsidRDefault="00561FBD" w14:paraId="3554F0D7" w14:textId="77777777">
            <w:pPr>
              <w:pStyle w:val="TableParagraph"/>
              <w:ind w:left="202"/>
              <w:rPr>
                <w:sz w:val="20"/>
              </w:rPr>
            </w:pPr>
            <w:r>
              <w:rPr>
                <w:sz w:val="20"/>
              </w:rPr>
              <w:t>Fed</w:t>
            </w:r>
            <w:r>
              <w:rPr>
                <w:spacing w:val="-12"/>
                <w:sz w:val="20"/>
              </w:rPr>
              <w:t xml:space="preserve"> </w:t>
            </w:r>
            <w:r>
              <w:rPr>
                <w:sz w:val="20"/>
              </w:rPr>
              <w:t>Appliance:</w:t>
            </w:r>
            <w:r>
              <w:rPr>
                <w:spacing w:val="-12"/>
                <w:sz w:val="20"/>
              </w:rPr>
              <w:t xml:space="preserve"> </w:t>
            </w:r>
            <w:r>
              <w:rPr>
                <w:sz w:val="20"/>
              </w:rPr>
              <w:t>Residential</w:t>
            </w:r>
            <w:r>
              <w:rPr>
                <w:spacing w:val="-13"/>
                <w:sz w:val="20"/>
              </w:rPr>
              <w:t xml:space="preserve"> </w:t>
            </w:r>
            <w:r>
              <w:rPr>
                <w:sz w:val="20"/>
              </w:rPr>
              <w:t>Clothes Washers - Top-Loading</w:t>
            </w:r>
          </w:p>
        </w:tc>
        <w:tc>
          <w:tcPr>
            <w:tcW w:w="1198" w:type="dxa"/>
            <w:tcBorders>
              <w:top w:val="single" w:color="D9D9D9" w:sz="2" w:space="0"/>
              <w:bottom w:val="single" w:color="D9D9D9" w:sz="2" w:space="0"/>
            </w:tcBorders>
          </w:tcPr>
          <w:p w:rsidR="00C31389" w:rsidRDefault="00561FBD" w14:paraId="16A837E8" w14:textId="77777777">
            <w:pPr>
              <w:pStyle w:val="TableParagraph"/>
              <w:spacing w:before="155"/>
              <w:ind w:left="289"/>
              <w:rPr>
                <w:sz w:val="20"/>
              </w:rPr>
            </w:pPr>
            <w:r>
              <w:rPr>
                <w:spacing w:val="-4"/>
                <w:sz w:val="20"/>
              </w:rPr>
              <w:t>100%</w:t>
            </w:r>
          </w:p>
        </w:tc>
        <w:tc>
          <w:tcPr>
            <w:tcW w:w="1366" w:type="dxa"/>
            <w:tcBorders>
              <w:top w:val="single" w:color="D9D9D9" w:sz="2" w:space="0"/>
              <w:bottom w:val="single" w:color="D9D9D9" w:sz="2" w:space="0"/>
            </w:tcBorders>
          </w:tcPr>
          <w:p w:rsidR="00C31389" w:rsidRDefault="00561FBD" w14:paraId="4E7583EA" w14:textId="77777777">
            <w:pPr>
              <w:pStyle w:val="TableParagraph"/>
              <w:spacing w:before="155"/>
              <w:ind w:right="230"/>
              <w:jc w:val="right"/>
              <w:rPr>
                <w:sz w:val="20"/>
              </w:rPr>
            </w:pPr>
            <w:r>
              <w:rPr>
                <w:spacing w:val="-2"/>
                <w:sz w:val="20"/>
              </w:rPr>
              <w:t>04/01/20</w:t>
            </w:r>
          </w:p>
        </w:tc>
        <w:tc>
          <w:tcPr>
            <w:tcW w:w="1579" w:type="dxa"/>
            <w:tcBorders>
              <w:top w:val="single" w:color="D9D9D9" w:sz="2" w:space="0"/>
              <w:bottom w:val="single" w:color="D9D9D9" w:sz="2" w:space="0"/>
            </w:tcBorders>
          </w:tcPr>
          <w:p w:rsidR="00C31389" w:rsidRDefault="00561FBD" w14:paraId="0D529089" w14:textId="77777777">
            <w:pPr>
              <w:pStyle w:val="TableParagraph"/>
              <w:spacing w:before="155"/>
              <w:ind w:left="201" w:right="148"/>
              <w:jc w:val="center"/>
              <w:rPr>
                <w:sz w:val="20"/>
              </w:rPr>
            </w:pPr>
            <w:r>
              <w:rPr>
                <w:spacing w:val="-2"/>
                <w:sz w:val="20"/>
              </w:rPr>
              <w:t>On-the-books</w:t>
            </w:r>
          </w:p>
        </w:tc>
      </w:tr>
      <w:tr w:rsidR="00C31389" w14:paraId="0D473023" w14:textId="77777777">
        <w:trPr>
          <w:trHeight w:val="310"/>
        </w:trPr>
        <w:tc>
          <w:tcPr>
            <w:tcW w:w="1367" w:type="dxa"/>
            <w:tcBorders>
              <w:top w:val="single" w:color="D9D9D9" w:sz="2" w:space="0"/>
              <w:bottom w:val="single" w:color="000000" w:sz="8" w:space="0"/>
            </w:tcBorders>
          </w:tcPr>
          <w:p w:rsidR="00C31389" w:rsidRDefault="00561FBD" w14:paraId="4149C7D3" w14:textId="77777777">
            <w:pPr>
              <w:pStyle w:val="TableParagraph"/>
              <w:ind w:left="129"/>
              <w:rPr>
                <w:sz w:val="20"/>
              </w:rPr>
            </w:pPr>
            <w:r>
              <w:rPr>
                <w:spacing w:val="-2"/>
                <w:sz w:val="20"/>
              </w:rPr>
              <w:t>Federal</w:t>
            </w:r>
          </w:p>
        </w:tc>
        <w:tc>
          <w:tcPr>
            <w:tcW w:w="3862" w:type="dxa"/>
            <w:tcBorders>
              <w:top w:val="single" w:color="D9D9D9" w:sz="2" w:space="0"/>
              <w:bottom w:val="single" w:color="000000" w:sz="8" w:space="0"/>
            </w:tcBorders>
          </w:tcPr>
          <w:p w:rsidR="00C31389" w:rsidRDefault="00561FBD" w14:paraId="4683B495" w14:textId="77777777">
            <w:pPr>
              <w:pStyle w:val="TableParagraph"/>
              <w:ind w:left="202"/>
              <w:rPr>
                <w:sz w:val="20"/>
              </w:rPr>
            </w:pPr>
            <w:r>
              <w:rPr>
                <w:sz w:val="20"/>
              </w:rPr>
              <w:t>Fed</w:t>
            </w:r>
            <w:r>
              <w:rPr>
                <w:spacing w:val="-4"/>
                <w:sz w:val="20"/>
              </w:rPr>
              <w:t xml:space="preserve"> </w:t>
            </w:r>
            <w:r>
              <w:rPr>
                <w:sz w:val="20"/>
              </w:rPr>
              <w:t>Appliance:</w:t>
            </w:r>
            <w:r>
              <w:rPr>
                <w:spacing w:val="-4"/>
                <w:sz w:val="20"/>
              </w:rPr>
              <w:t xml:space="preserve"> GSFLs</w:t>
            </w:r>
          </w:p>
        </w:tc>
        <w:tc>
          <w:tcPr>
            <w:tcW w:w="1198" w:type="dxa"/>
            <w:tcBorders>
              <w:top w:val="single" w:color="D9D9D9" w:sz="2" w:space="0"/>
              <w:bottom w:val="single" w:color="000000" w:sz="8" w:space="0"/>
            </w:tcBorders>
          </w:tcPr>
          <w:p w:rsidR="00C31389" w:rsidRDefault="00561FBD" w14:paraId="45B3842E" w14:textId="77777777">
            <w:pPr>
              <w:pStyle w:val="TableParagraph"/>
              <w:ind w:left="344"/>
              <w:rPr>
                <w:sz w:val="20"/>
              </w:rPr>
            </w:pPr>
            <w:r>
              <w:rPr>
                <w:spacing w:val="-5"/>
                <w:sz w:val="20"/>
              </w:rPr>
              <w:t>80%</w:t>
            </w:r>
          </w:p>
        </w:tc>
        <w:tc>
          <w:tcPr>
            <w:tcW w:w="1366" w:type="dxa"/>
            <w:tcBorders>
              <w:top w:val="single" w:color="D9D9D9" w:sz="2" w:space="0"/>
              <w:bottom w:val="single" w:color="000000" w:sz="8" w:space="0"/>
            </w:tcBorders>
          </w:tcPr>
          <w:p w:rsidR="00C31389" w:rsidRDefault="00561FBD" w14:paraId="12E2C091" w14:textId="77777777">
            <w:pPr>
              <w:pStyle w:val="TableParagraph"/>
              <w:ind w:right="230"/>
              <w:jc w:val="right"/>
              <w:rPr>
                <w:sz w:val="20"/>
              </w:rPr>
            </w:pPr>
            <w:r>
              <w:rPr>
                <w:spacing w:val="-2"/>
                <w:sz w:val="20"/>
              </w:rPr>
              <w:t>09/01/20</w:t>
            </w:r>
          </w:p>
        </w:tc>
        <w:tc>
          <w:tcPr>
            <w:tcW w:w="1579" w:type="dxa"/>
            <w:tcBorders>
              <w:top w:val="single" w:color="D9D9D9" w:sz="2" w:space="0"/>
              <w:bottom w:val="single" w:color="000000" w:sz="8" w:space="0"/>
            </w:tcBorders>
          </w:tcPr>
          <w:p w:rsidR="00C31389" w:rsidRDefault="00561FBD" w14:paraId="200224B6" w14:textId="77777777">
            <w:pPr>
              <w:pStyle w:val="TableParagraph"/>
              <w:ind w:left="201" w:right="148"/>
              <w:jc w:val="center"/>
              <w:rPr>
                <w:sz w:val="20"/>
              </w:rPr>
            </w:pPr>
            <w:r>
              <w:rPr>
                <w:spacing w:val="-2"/>
                <w:sz w:val="20"/>
              </w:rPr>
              <w:t>On-the-books</w:t>
            </w:r>
          </w:p>
        </w:tc>
      </w:tr>
    </w:tbl>
    <w:p w:rsidR="00C31389" w:rsidRDefault="00C31389" w14:paraId="7F0E7645" w14:textId="77777777">
      <w:pPr>
        <w:jc w:val="center"/>
        <w:rPr>
          <w:sz w:val="20"/>
        </w:rPr>
        <w:sectPr w:rsidR="00C31389">
          <w:pgSz w:w="11910" w:h="16840"/>
          <w:pgMar w:top="1380" w:right="1020" w:bottom="1120" w:left="960" w:header="397" w:footer="938" w:gutter="0"/>
          <w:cols w:space="720"/>
        </w:sectPr>
      </w:pPr>
    </w:p>
    <w:p w:rsidR="00C31389" w:rsidRDefault="00C31389" w14:paraId="68DC20D0" w14:textId="77777777">
      <w:pPr>
        <w:pStyle w:val="BodyText"/>
      </w:pPr>
    </w:p>
    <w:tbl>
      <w:tblPr>
        <w:tblW w:w="0" w:type="auto"/>
        <w:tblInd w:w="306" w:type="dxa"/>
        <w:tblLayout w:type="fixed"/>
        <w:tblCellMar>
          <w:left w:w="0" w:type="dxa"/>
          <w:right w:w="0" w:type="dxa"/>
        </w:tblCellMar>
        <w:tblLook w:val="01E0" w:firstRow="1" w:lastRow="1" w:firstColumn="1" w:lastColumn="1" w:noHBand="0" w:noVBand="0"/>
      </w:tblPr>
      <w:tblGrid>
        <w:gridCol w:w="1373"/>
        <w:gridCol w:w="3856"/>
        <w:gridCol w:w="1157"/>
        <w:gridCol w:w="1450"/>
        <w:gridCol w:w="1537"/>
      </w:tblGrid>
      <w:tr w:rsidR="00C31389" w14:paraId="4D20E7A1" w14:textId="77777777">
        <w:trPr>
          <w:trHeight w:val="252"/>
        </w:trPr>
        <w:tc>
          <w:tcPr>
            <w:tcW w:w="1373" w:type="dxa"/>
            <w:tcBorders>
              <w:top w:val="single" w:color="8B8B8B" w:sz="8" w:space="0"/>
            </w:tcBorders>
          </w:tcPr>
          <w:p w:rsidR="00C31389" w:rsidRDefault="00C31389" w14:paraId="5FE3AD31" w14:textId="77777777">
            <w:pPr>
              <w:pStyle w:val="TableParagraph"/>
              <w:spacing w:before="0"/>
              <w:rPr>
                <w:rFonts w:ascii="Times New Roman"/>
                <w:sz w:val="18"/>
              </w:rPr>
            </w:pPr>
          </w:p>
        </w:tc>
        <w:tc>
          <w:tcPr>
            <w:tcW w:w="3856" w:type="dxa"/>
            <w:tcBorders>
              <w:top w:val="single" w:color="8B8B8B" w:sz="8" w:space="0"/>
            </w:tcBorders>
          </w:tcPr>
          <w:p w:rsidR="00C31389" w:rsidRDefault="00C31389" w14:paraId="3C7824A4" w14:textId="77777777">
            <w:pPr>
              <w:pStyle w:val="TableParagraph"/>
              <w:spacing w:before="0"/>
              <w:rPr>
                <w:rFonts w:ascii="Times New Roman"/>
                <w:sz w:val="18"/>
              </w:rPr>
            </w:pPr>
          </w:p>
        </w:tc>
        <w:tc>
          <w:tcPr>
            <w:tcW w:w="1157" w:type="dxa"/>
            <w:tcBorders>
              <w:top w:val="single" w:color="8B8B8B" w:sz="8" w:space="0"/>
            </w:tcBorders>
          </w:tcPr>
          <w:p w:rsidR="00C31389" w:rsidRDefault="00C31389" w14:paraId="68227A5F" w14:textId="77777777">
            <w:pPr>
              <w:pStyle w:val="TableParagraph"/>
              <w:spacing w:before="0"/>
              <w:rPr>
                <w:rFonts w:ascii="Times New Roman"/>
                <w:sz w:val="18"/>
              </w:rPr>
            </w:pPr>
          </w:p>
        </w:tc>
        <w:tc>
          <w:tcPr>
            <w:tcW w:w="1450" w:type="dxa"/>
            <w:tcBorders>
              <w:top w:val="single" w:color="8B8B8B" w:sz="8" w:space="0"/>
            </w:tcBorders>
          </w:tcPr>
          <w:p w:rsidR="00C31389" w:rsidRDefault="00C31389" w14:paraId="0DBD83B4" w14:textId="77777777">
            <w:pPr>
              <w:pStyle w:val="TableParagraph"/>
              <w:spacing w:before="0"/>
              <w:rPr>
                <w:rFonts w:ascii="Times New Roman"/>
                <w:sz w:val="18"/>
              </w:rPr>
            </w:pPr>
          </w:p>
        </w:tc>
        <w:tc>
          <w:tcPr>
            <w:tcW w:w="1537" w:type="dxa"/>
            <w:tcBorders>
              <w:top w:val="single" w:color="8B8B8B" w:sz="8" w:space="0"/>
            </w:tcBorders>
          </w:tcPr>
          <w:p w:rsidR="00C31389" w:rsidRDefault="00C31389" w14:paraId="3A72472A" w14:textId="77777777">
            <w:pPr>
              <w:pStyle w:val="TableParagraph"/>
              <w:spacing w:before="0"/>
              <w:rPr>
                <w:rFonts w:ascii="Times New Roman"/>
                <w:sz w:val="18"/>
              </w:rPr>
            </w:pPr>
          </w:p>
        </w:tc>
      </w:tr>
      <w:tr w:rsidR="00C31389" w14:paraId="0A63F5AC" w14:textId="77777777">
        <w:trPr>
          <w:trHeight w:val="549"/>
        </w:trPr>
        <w:tc>
          <w:tcPr>
            <w:tcW w:w="1373" w:type="dxa"/>
            <w:shd w:val="clear" w:color="auto" w:fill="92D400"/>
          </w:tcPr>
          <w:p w:rsidR="00C31389" w:rsidRDefault="00561FBD" w14:paraId="0262EF5F" w14:textId="77777777">
            <w:pPr>
              <w:pStyle w:val="TableParagraph"/>
              <w:spacing w:before="155"/>
              <w:ind w:left="129"/>
              <w:rPr>
                <w:b/>
                <w:sz w:val="20"/>
              </w:rPr>
            </w:pPr>
            <w:r>
              <w:rPr>
                <w:b/>
                <w:spacing w:val="-2"/>
                <w:sz w:val="20"/>
              </w:rPr>
              <w:t>Regulation</w:t>
            </w:r>
          </w:p>
        </w:tc>
        <w:tc>
          <w:tcPr>
            <w:tcW w:w="3856" w:type="dxa"/>
            <w:shd w:val="clear" w:color="auto" w:fill="92D400"/>
          </w:tcPr>
          <w:p w:rsidR="00C31389" w:rsidRDefault="00561FBD" w14:paraId="2885C7DC" w14:textId="77777777">
            <w:pPr>
              <w:pStyle w:val="TableParagraph"/>
              <w:spacing w:before="155"/>
              <w:ind w:left="196"/>
              <w:rPr>
                <w:b/>
                <w:sz w:val="20"/>
              </w:rPr>
            </w:pPr>
            <w:r>
              <w:rPr>
                <w:b/>
                <w:sz w:val="20"/>
              </w:rPr>
              <w:t>Code</w:t>
            </w:r>
            <w:r>
              <w:rPr>
                <w:b/>
                <w:spacing w:val="-4"/>
                <w:sz w:val="20"/>
              </w:rPr>
              <w:t xml:space="preserve"> </w:t>
            </w:r>
            <w:r>
              <w:rPr>
                <w:b/>
                <w:sz w:val="20"/>
              </w:rPr>
              <w:t>or</w:t>
            </w:r>
            <w:r>
              <w:rPr>
                <w:b/>
                <w:spacing w:val="-4"/>
                <w:sz w:val="20"/>
              </w:rPr>
              <w:t xml:space="preserve"> </w:t>
            </w:r>
            <w:r>
              <w:rPr>
                <w:b/>
                <w:sz w:val="20"/>
              </w:rPr>
              <w:t>Standard</w:t>
            </w:r>
            <w:r>
              <w:rPr>
                <w:b/>
                <w:spacing w:val="-4"/>
                <w:sz w:val="20"/>
              </w:rPr>
              <w:t xml:space="preserve"> Name</w:t>
            </w:r>
          </w:p>
        </w:tc>
        <w:tc>
          <w:tcPr>
            <w:tcW w:w="1157" w:type="dxa"/>
            <w:shd w:val="clear" w:color="auto" w:fill="92D400"/>
          </w:tcPr>
          <w:p w:rsidR="00C31389" w:rsidRDefault="00561FBD" w14:paraId="2F510D2E" w14:textId="77777777">
            <w:pPr>
              <w:pStyle w:val="TableParagraph"/>
              <w:ind w:left="215" w:hanging="238"/>
              <w:rPr>
                <w:b/>
                <w:sz w:val="20"/>
              </w:rPr>
            </w:pPr>
            <w:r>
              <w:rPr>
                <w:b/>
                <w:spacing w:val="-2"/>
                <w:sz w:val="20"/>
              </w:rPr>
              <w:t>Compliance Rate</w:t>
            </w:r>
            <w:hyperlink w:history="1" w:anchor="_bookmark462">
              <w:r>
                <w:rPr>
                  <w:b/>
                  <w:spacing w:val="-2"/>
                  <w:sz w:val="20"/>
                  <w:vertAlign w:val="superscript"/>
                </w:rPr>
                <w:t>182</w:t>
              </w:r>
            </w:hyperlink>
          </w:p>
        </w:tc>
        <w:tc>
          <w:tcPr>
            <w:tcW w:w="1450" w:type="dxa"/>
            <w:shd w:val="clear" w:color="auto" w:fill="92D400"/>
          </w:tcPr>
          <w:p w:rsidR="00C31389" w:rsidRDefault="00561FBD" w14:paraId="5373686A" w14:textId="77777777">
            <w:pPr>
              <w:pStyle w:val="TableParagraph"/>
              <w:ind w:left="566" w:hanging="202"/>
              <w:rPr>
                <w:b/>
                <w:sz w:val="20"/>
              </w:rPr>
            </w:pPr>
            <w:r>
              <w:rPr>
                <w:b/>
                <w:spacing w:val="-2"/>
                <w:sz w:val="20"/>
              </w:rPr>
              <w:t xml:space="preserve">Effective </w:t>
            </w:r>
            <w:r>
              <w:rPr>
                <w:b/>
                <w:spacing w:val="-4"/>
                <w:sz w:val="20"/>
              </w:rPr>
              <w:t>Date</w:t>
            </w:r>
          </w:p>
        </w:tc>
        <w:tc>
          <w:tcPr>
            <w:tcW w:w="1537" w:type="dxa"/>
            <w:shd w:val="clear" w:color="auto" w:fill="92D400"/>
          </w:tcPr>
          <w:p w:rsidR="00C31389" w:rsidRDefault="00561FBD" w14:paraId="0D798806" w14:textId="77777777">
            <w:pPr>
              <w:pStyle w:val="TableParagraph"/>
              <w:spacing w:before="155"/>
              <w:ind w:left="158" w:right="149"/>
              <w:jc w:val="center"/>
              <w:rPr>
                <w:b/>
                <w:sz w:val="20"/>
              </w:rPr>
            </w:pPr>
            <w:r>
              <w:rPr>
                <w:b/>
                <w:sz w:val="20"/>
              </w:rPr>
              <w:t>Policy</w:t>
            </w:r>
            <w:r>
              <w:rPr>
                <w:b/>
                <w:spacing w:val="-5"/>
                <w:sz w:val="20"/>
              </w:rPr>
              <w:t xml:space="preserve"> </w:t>
            </w:r>
            <w:r>
              <w:rPr>
                <w:b/>
                <w:spacing w:val="-4"/>
                <w:sz w:val="20"/>
              </w:rPr>
              <w:t>View</w:t>
            </w:r>
          </w:p>
        </w:tc>
      </w:tr>
      <w:tr w:rsidR="00C31389" w14:paraId="403F9917" w14:textId="77777777">
        <w:trPr>
          <w:trHeight w:val="535"/>
        </w:trPr>
        <w:tc>
          <w:tcPr>
            <w:tcW w:w="1373" w:type="dxa"/>
            <w:tcBorders>
              <w:bottom w:val="single" w:color="D9D9D9" w:sz="2" w:space="0"/>
            </w:tcBorders>
          </w:tcPr>
          <w:p w:rsidR="00C31389" w:rsidRDefault="00561FBD" w14:paraId="37D47065" w14:textId="77777777">
            <w:pPr>
              <w:pStyle w:val="TableParagraph"/>
              <w:spacing w:before="151"/>
              <w:ind w:left="129"/>
              <w:rPr>
                <w:sz w:val="20"/>
              </w:rPr>
            </w:pPr>
            <w:r>
              <w:rPr>
                <w:spacing w:val="-2"/>
                <w:sz w:val="20"/>
              </w:rPr>
              <w:t>Federal</w:t>
            </w:r>
          </w:p>
        </w:tc>
        <w:tc>
          <w:tcPr>
            <w:tcW w:w="3856" w:type="dxa"/>
            <w:tcBorders>
              <w:bottom w:val="single" w:color="D9D9D9" w:sz="2" w:space="0"/>
            </w:tcBorders>
          </w:tcPr>
          <w:p w:rsidR="00C31389" w:rsidRDefault="00561FBD" w14:paraId="6BE8B346" w14:textId="77777777">
            <w:pPr>
              <w:pStyle w:val="TableParagraph"/>
              <w:spacing w:before="35"/>
              <w:ind w:left="196" w:right="396"/>
              <w:rPr>
                <w:sz w:val="20"/>
              </w:rPr>
            </w:pPr>
            <w:r>
              <w:rPr>
                <w:sz w:val="20"/>
              </w:rPr>
              <w:t>Fed</w:t>
            </w:r>
            <w:r>
              <w:rPr>
                <w:spacing w:val="-12"/>
                <w:sz w:val="20"/>
              </w:rPr>
              <w:t xml:space="preserve"> </w:t>
            </w:r>
            <w:r>
              <w:rPr>
                <w:sz w:val="20"/>
              </w:rPr>
              <w:t>Appliance:</w:t>
            </w:r>
            <w:r>
              <w:rPr>
                <w:spacing w:val="-12"/>
                <w:sz w:val="20"/>
              </w:rPr>
              <w:t xml:space="preserve"> </w:t>
            </w:r>
            <w:r>
              <w:rPr>
                <w:sz w:val="20"/>
              </w:rPr>
              <w:t>Commercial</w:t>
            </w:r>
            <w:r>
              <w:rPr>
                <w:spacing w:val="-12"/>
                <w:sz w:val="20"/>
              </w:rPr>
              <w:t xml:space="preserve"> </w:t>
            </w:r>
            <w:r>
              <w:rPr>
                <w:sz w:val="20"/>
              </w:rPr>
              <w:t xml:space="preserve">Ice </w:t>
            </w:r>
            <w:r>
              <w:rPr>
                <w:spacing w:val="-2"/>
                <w:sz w:val="20"/>
              </w:rPr>
              <w:t>Makers</w:t>
            </w:r>
          </w:p>
        </w:tc>
        <w:tc>
          <w:tcPr>
            <w:tcW w:w="1157" w:type="dxa"/>
            <w:tcBorders>
              <w:bottom w:val="single" w:color="D9D9D9" w:sz="2" w:space="0"/>
            </w:tcBorders>
          </w:tcPr>
          <w:p w:rsidR="00C31389" w:rsidRDefault="00561FBD" w14:paraId="59326370" w14:textId="77777777">
            <w:pPr>
              <w:pStyle w:val="TableParagraph"/>
              <w:spacing w:before="151"/>
              <w:ind w:left="289"/>
              <w:rPr>
                <w:sz w:val="20"/>
              </w:rPr>
            </w:pPr>
            <w:r>
              <w:rPr>
                <w:spacing w:val="-4"/>
                <w:sz w:val="20"/>
              </w:rPr>
              <w:t>100%</w:t>
            </w:r>
          </w:p>
        </w:tc>
        <w:tc>
          <w:tcPr>
            <w:tcW w:w="1450" w:type="dxa"/>
            <w:tcBorders>
              <w:bottom w:val="single" w:color="D9D9D9" w:sz="2" w:space="0"/>
            </w:tcBorders>
          </w:tcPr>
          <w:p w:rsidR="00C31389" w:rsidRDefault="00561FBD" w14:paraId="7D1DA5D0" w14:textId="77777777">
            <w:pPr>
              <w:pStyle w:val="TableParagraph"/>
              <w:spacing w:before="151"/>
              <w:ind w:left="273" w:right="155"/>
              <w:jc w:val="center"/>
              <w:rPr>
                <w:sz w:val="20"/>
              </w:rPr>
            </w:pPr>
            <w:r>
              <w:rPr>
                <w:spacing w:val="-2"/>
                <w:sz w:val="20"/>
              </w:rPr>
              <w:t>09/01/20</w:t>
            </w:r>
          </w:p>
        </w:tc>
        <w:tc>
          <w:tcPr>
            <w:tcW w:w="1537" w:type="dxa"/>
            <w:tcBorders>
              <w:bottom w:val="single" w:color="D9D9D9" w:sz="2" w:space="0"/>
            </w:tcBorders>
          </w:tcPr>
          <w:p w:rsidR="00C31389" w:rsidRDefault="00561FBD" w14:paraId="756F0C81" w14:textId="77777777">
            <w:pPr>
              <w:pStyle w:val="TableParagraph"/>
              <w:spacing w:before="151"/>
              <w:ind w:left="158" w:right="149"/>
              <w:jc w:val="center"/>
              <w:rPr>
                <w:sz w:val="20"/>
              </w:rPr>
            </w:pPr>
            <w:r>
              <w:rPr>
                <w:spacing w:val="-2"/>
                <w:sz w:val="20"/>
              </w:rPr>
              <w:t>On-the-books</w:t>
            </w:r>
          </w:p>
        </w:tc>
      </w:tr>
      <w:tr w:rsidR="00C31389" w14:paraId="189A9852" w14:textId="77777777">
        <w:trPr>
          <w:trHeight w:val="770"/>
        </w:trPr>
        <w:tc>
          <w:tcPr>
            <w:tcW w:w="1373" w:type="dxa"/>
            <w:tcBorders>
              <w:top w:val="single" w:color="D9D9D9" w:sz="2" w:space="0"/>
              <w:bottom w:val="single" w:color="D9D9D9" w:sz="2" w:space="0"/>
            </w:tcBorders>
          </w:tcPr>
          <w:p w:rsidR="00C31389" w:rsidRDefault="00C31389" w14:paraId="62E0D44E" w14:textId="77777777">
            <w:pPr>
              <w:pStyle w:val="TableParagraph"/>
              <w:spacing w:before="6"/>
              <w:rPr>
                <w:sz w:val="23"/>
              </w:rPr>
            </w:pPr>
          </w:p>
          <w:p w:rsidR="00C31389" w:rsidRDefault="00561FBD" w14:paraId="663DA314" w14:textId="77777777">
            <w:pPr>
              <w:pStyle w:val="TableParagraph"/>
              <w:spacing w:before="0"/>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65A621F0" w14:textId="77777777">
            <w:pPr>
              <w:pStyle w:val="TableParagraph"/>
              <w:ind w:left="196" w:right="396"/>
              <w:rPr>
                <w:sz w:val="20"/>
              </w:rPr>
            </w:pPr>
            <w:r>
              <w:rPr>
                <w:sz w:val="20"/>
              </w:rPr>
              <w:t>2016-18</w:t>
            </w:r>
            <w:r>
              <w:rPr>
                <w:spacing w:val="-9"/>
                <w:sz w:val="20"/>
              </w:rPr>
              <w:t xml:space="preserve"> </w:t>
            </w:r>
            <w:r>
              <w:rPr>
                <w:sz w:val="20"/>
              </w:rPr>
              <w:t>Fed</w:t>
            </w:r>
            <w:r>
              <w:rPr>
                <w:spacing w:val="-10"/>
                <w:sz w:val="20"/>
              </w:rPr>
              <w:t xml:space="preserve"> </w:t>
            </w:r>
            <w:r>
              <w:rPr>
                <w:sz w:val="20"/>
              </w:rPr>
              <w:t>App:</w:t>
            </w:r>
            <w:r>
              <w:rPr>
                <w:spacing w:val="-9"/>
                <w:sz w:val="20"/>
              </w:rPr>
              <w:t xml:space="preserve"> </w:t>
            </w:r>
            <w:r>
              <w:rPr>
                <w:sz w:val="20"/>
              </w:rPr>
              <w:t>Commercial</w:t>
            </w:r>
            <w:r>
              <w:rPr>
                <w:spacing w:val="-10"/>
                <w:sz w:val="20"/>
              </w:rPr>
              <w:t xml:space="preserve"> </w:t>
            </w:r>
            <w:r>
              <w:rPr>
                <w:sz w:val="20"/>
              </w:rPr>
              <w:t>CAC and HP (65,000 Btu/hr to 760,000 Btu/hr) - Tier 2</w:t>
            </w:r>
          </w:p>
        </w:tc>
        <w:tc>
          <w:tcPr>
            <w:tcW w:w="1157" w:type="dxa"/>
            <w:tcBorders>
              <w:top w:val="single" w:color="D9D9D9" w:sz="2" w:space="0"/>
              <w:bottom w:val="single" w:color="D9D9D9" w:sz="2" w:space="0"/>
            </w:tcBorders>
          </w:tcPr>
          <w:p w:rsidR="00C31389" w:rsidRDefault="00C31389" w14:paraId="3170CEB4" w14:textId="77777777">
            <w:pPr>
              <w:pStyle w:val="TableParagraph"/>
              <w:spacing w:before="6"/>
              <w:rPr>
                <w:sz w:val="23"/>
              </w:rPr>
            </w:pPr>
          </w:p>
          <w:p w:rsidR="00C31389" w:rsidRDefault="00561FBD" w14:paraId="4FB6930D" w14:textId="77777777">
            <w:pPr>
              <w:pStyle w:val="TableParagraph"/>
              <w:spacing w:before="0"/>
              <w:ind w:left="344"/>
              <w:rPr>
                <w:sz w:val="20"/>
              </w:rPr>
            </w:pPr>
            <w:r>
              <w:rPr>
                <w:spacing w:val="-5"/>
                <w:sz w:val="20"/>
              </w:rPr>
              <w:t>95%</w:t>
            </w:r>
          </w:p>
        </w:tc>
        <w:tc>
          <w:tcPr>
            <w:tcW w:w="1450" w:type="dxa"/>
            <w:tcBorders>
              <w:top w:val="single" w:color="D9D9D9" w:sz="2" w:space="0"/>
              <w:bottom w:val="single" w:color="D9D9D9" w:sz="2" w:space="0"/>
            </w:tcBorders>
          </w:tcPr>
          <w:p w:rsidR="00C31389" w:rsidRDefault="00C31389" w14:paraId="2A343463" w14:textId="77777777">
            <w:pPr>
              <w:pStyle w:val="TableParagraph"/>
              <w:spacing w:before="6"/>
              <w:rPr>
                <w:sz w:val="23"/>
              </w:rPr>
            </w:pPr>
          </w:p>
          <w:p w:rsidR="00C31389" w:rsidRDefault="00561FBD" w14:paraId="2FCA8B90" w14:textId="77777777">
            <w:pPr>
              <w:pStyle w:val="TableParagraph"/>
              <w:spacing w:before="0"/>
              <w:ind w:left="273" w:right="156"/>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C31389" w14:paraId="0858E5BD" w14:textId="77777777">
            <w:pPr>
              <w:pStyle w:val="TableParagraph"/>
              <w:spacing w:before="6"/>
              <w:rPr>
                <w:sz w:val="23"/>
              </w:rPr>
            </w:pPr>
          </w:p>
          <w:p w:rsidR="00C31389" w:rsidRDefault="00561FBD" w14:paraId="55722FA4" w14:textId="77777777">
            <w:pPr>
              <w:pStyle w:val="TableParagraph"/>
              <w:spacing w:before="0"/>
              <w:ind w:left="158" w:right="150"/>
              <w:jc w:val="center"/>
              <w:rPr>
                <w:sz w:val="20"/>
              </w:rPr>
            </w:pPr>
            <w:r>
              <w:rPr>
                <w:spacing w:val="-2"/>
                <w:sz w:val="20"/>
              </w:rPr>
              <w:t>On-the-books</w:t>
            </w:r>
          </w:p>
        </w:tc>
      </w:tr>
      <w:tr w:rsidR="00C31389" w14:paraId="75B8B3C8" w14:textId="77777777">
        <w:trPr>
          <w:trHeight w:val="539"/>
        </w:trPr>
        <w:tc>
          <w:tcPr>
            <w:tcW w:w="1373" w:type="dxa"/>
            <w:tcBorders>
              <w:top w:val="single" w:color="D9D9D9" w:sz="2" w:space="0"/>
              <w:bottom w:val="single" w:color="D9D9D9" w:sz="2" w:space="0"/>
            </w:tcBorders>
          </w:tcPr>
          <w:p w:rsidR="00C31389" w:rsidRDefault="00561FBD" w14:paraId="7DD25149"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08855303" w14:textId="77777777">
            <w:pPr>
              <w:pStyle w:val="TableParagraph"/>
              <w:ind w:left="196" w:right="396"/>
              <w:rPr>
                <w:sz w:val="20"/>
              </w:rPr>
            </w:pPr>
            <w:r>
              <w:rPr>
                <w:sz w:val="20"/>
              </w:rPr>
              <w:t>2019-21</w:t>
            </w:r>
            <w:r>
              <w:rPr>
                <w:spacing w:val="-12"/>
                <w:sz w:val="20"/>
              </w:rPr>
              <w:t xml:space="preserve"> </w:t>
            </w:r>
            <w:r>
              <w:rPr>
                <w:sz w:val="20"/>
              </w:rPr>
              <w:t>Fed</w:t>
            </w:r>
            <w:r>
              <w:rPr>
                <w:spacing w:val="-13"/>
                <w:sz w:val="20"/>
              </w:rPr>
              <w:t xml:space="preserve"> </w:t>
            </w:r>
            <w:r>
              <w:rPr>
                <w:sz w:val="20"/>
              </w:rPr>
              <w:t>App:</w:t>
            </w:r>
            <w:r>
              <w:rPr>
                <w:spacing w:val="-12"/>
                <w:sz w:val="20"/>
              </w:rPr>
              <w:t xml:space="preserve"> </w:t>
            </w:r>
            <w:r>
              <w:rPr>
                <w:sz w:val="20"/>
              </w:rPr>
              <w:t>Refrigerated beverage vending machines</w:t>
            </w:r>
          </w:p>
        </w:tc>
        <w:tc>
          <w:tcPr>
            <w:tcW w:w="1157" w:type="dxa"/>
            <w:tcBorders>
              <w:top w:val="single" w:color="D9D9D9" w:sz="2" w:space="0"/>
              <w:bottom w:val="single" w:color="D9D9D9" w:sz="2" w:space="0"/>
            </w:tcBorders>
          </w:tcPr>
          <w:p w:rsidR="00C31389" w:rsidRDefault="00561FBD" w14:paraId="7DCE465E" w14:textId="77777777">
            <w:pPr>
              <w:pStyle w:val="TableParagraph"/>
              <w:spacing w:before="155"/>
              <w:ind w:left="345"/>
              <w:rPr>
                <w:sz w:val="20"/>
              </w:rPr>
            </w:pPr>
            <w:r>
              <w:rPr>
                <w:spacing w:val="-5"/>
                <w:sz w:val="20"/>
              </w:rPr>
              <w:t>95%</w:t>
            </w:r>
          </w:p>
        </w:tc>
        <w:tc>
          <w:tcPr>
            <w:tcW w:w="1450" w:type="dxa"/>
            <w:tcBorders>
              <w:top w:val="single" w:color="D9D9D9" w:sz="2" w:space="0"/>
              <w:bottom w:val="single" w:color="D9D9D9" w:sz="2" w:space="0"/>
            </w:tcBorders>
          </w:tcPr>
          <w:p w:rsidR="00C31389" w:rsidRDefault="00561FBD" w14:paraId="6D6E91C3" w14:textId="77777777">
            <w:pPr>
              <w:pStyle w:val="TableParagraph"/>
              <w:spacing w:before="155"/>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45DACB5E" w14:textId="77777777">
            <w:pPr>
              <w:pStyle w:val="TableParagraph"/>
              <w:spacing w:before="155"/>
              <w:ind w:left="158" w:right="149"/>
              <w:jc w:val="center"/>
              <w:rPr>
                <w:sz w:val="20"/>
              </w:rPr>
            </w:pPr>
            <w:r>
              <w:rPr>
                <w:spacing w:val="-2"/>
                <w:sz w:val="20"/>
              </w:rPr>
              <w:t>On-the-books</w:t>
            </w:r>
          </w:p>
        </w:tc>
      </w:tr>
      <w:tr w:rsidR="00C31389" w14:paraId="10EC6794" w14:textId="77777777">
        <w:trPr>
          <w:trHeight w:val="539"/>
        </w:trPr>
        <w:tc>
          <w:tcPr>
            <w:tcW w:w="1373" w:type="dxa"/>
            <w:tcBorders>
              <w:top w:val="single" w:color="D9D9D9" w:sz="2" w:space="0"/>
              <w:bottom w:val="single" w:color="D9D9D9" w:sz="2" w:space="0"/>
            </w:tcBorders>
          </w:tcPr>
          <w:p w:rsidR="00C31389" w:rsidRDefault="00561FBD" w14:paraId="49D5E94E"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2E6433AC" w14:textId="77777777">
            <w:pPr>
              <w:pStyle w:val="TableParagraph"/>
              <w:ind w:left="196" w:right="396"/>
              <w:rPr>
                <w:sz w:val="20"/>
              </w:rPr>
            </w:pPr>
            <w:r>
              <w:rPr>
                <w:sz w:val="20"/>
              </w:rPr>
              <w:t>2019-21</w:t>
            </w:r>
            <w:r>
              <w:rPr>
                <w:spacing w:val="-10"/>
                <w:sz w:val="20"/>
              </w:rPr>
              <w:t xml:space="preserve"> </w:t>
            </w:r>
            <w:r>
              <w:rPr>
                <w:sz w:val="20"/>
              </w:rPr>
              <w:t>Fed</w:t>
            </w:r>
            <w:r>
              <w:rPr>
                <w:spacing w:val="-10"/>
                <w:sz w:val="20"/>
              </w:rPr>
              <w:t xml:space="preserve"> </w:t>
            </w:r>
            <w:r>
              <w:rPr>
                <w:sz w:val="20"/>
              </w:rPr>
              <w:t>App:</w:t>
            </w:r>
            <w:r>
              <w:rPr>
                <w:spacing w:val="-10"/>
                <w:sz w:val="20"/>
              </w:rPr>
              <w:t xml:space="preserve"> </w:t>
            </w:r>
            <w:r>
              <w:rPr>
                <w:sz w:val="20"/>
              </w:rPr>
              <w:t>Pre-rinse</w:t>
            </w:r>
            <w:r>
              <w:rPr>
                <w:spacing w:val="-10"/>
                <w:sz w:val="20"/>
              </w:rPr>
              <w:t xml:space="preserve"> </w:t>
            </w:r>
            <w:r>
              <w:rPr>
                <w:sz w:val="20"/>
              </w:rPr>
              <w:t xml:space="preserve">Spray </w:t>
            </w:r>
            <w:r>
              <w:rPr>
                <w:spacing w:val="-2"/>
                <w:sz w:val="20"/>
              </w:rPr>
              <w:t>Valves</w:t>
            </w:r>
          </w:p>
        </w:tc>
        <w:tc>
          <w:tcPr>
            <w:tcW w:w="1157" w:type="dxa"/>
            <w:tcBorders>
              <w:top w:val="single" w:color="D9D9D9" w:sz="2" w:space="0"/>
              <w:bottom w:val="single" w:color="D9D9D9" w:sz="2" w:space="0"/>
            </w:tcBorders>
          </w:tcPr>
          <w:p w:rsidR="00C31389" w:rsidRDefault="00561FBD" w14:paraId="551F1B42" w14:textId="77777777">
            <w:pPr>
              <w:pStyle w:val="TableParagraph"/>
              <w:spacing w:before="155"/>
              <w:ind w:left="344"/>
              <w:rPr>
                <w:sz w:val="20"/>
              </w:rPr>
            </w:pPr>
            <w:r>
              <w:rPr>
                <w:spacing w:val="-5"/>
                <w:sz w:val="20"/>
              </w:rPr>
              <w:t>95%</w:t>
            </w:r>
          </w:p>
        </w:tc>
        <w:tc>
          <w:tcPr>
            <w:tcW w:w="1450" w:type="dxa"/>
            <w:tcBorders>
              <w:top w:val="single" w:color="D9D9D9" w:sz="2" w:space="0"/>
              <w:bottom w:val="single" w:color="D9D9D9" w:sz="2" w:space="0"/>
            </w:tcBorders>
          </w:tcPr>
          <w:p w:rsidR="00C31389" w:rsidRDefault="00561FBD" w14:paraId="2565A1A6" w14:textId="77777777">
            <w:pPr>
              <w:pStyle w:val="TableParagraph"/>
              <w:spacing w:before="155"/>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46F71BA5" w14:textId="77777777">
            <w:pPr>
              <w:pStyle w:val="TableParagraph"/>
              <w:spacing w:before="155"/>
              <w:ind w:left="158" w:right="149"/>
              <w:jc w:val="center"/>
              <w:rPr>
                <w:sz w:val="20"/>
              </w:rPr>
            </w:pPr>
            <w:r>
              <w:rPr>
                <w:spacing w:val="-2"/>
                <w:sz w:val="20"/>
              </w:rPr>
              <w:t>On-the-books</w:t>
            </w:r>
          </w:p>
        </w:tc>
      </w:tr>
      <w:tr w:rsidR="00C31389" w14:paraId="5A461788" w14:textId="77777777">
        <w:trPr>
          <w:trHeight w:val="310"/>
        </w:trPr>
        <w:tc>
          <w:tcPr>
            <w:tcW w:w="1373" w:type="dxa"/>
            <w:tcBorders>
              <w:top w:val="single" w:color="D9D9D9" w:sz="2" w:space="0"/>
              <w:bottom w:val="single" w:color="D9D9D9" w:sz="2" w:space="0"/>
            </w:tcBorders>
          </w:tcPr>
          <w:p w:rsidR="00C31389" w:rsidRDefault="00561FBD" w14:paraId="584E5C0D" w14:textId="77777777">
            <w:pPr>
              <w:pStyle w:val="TableParagraph"/>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512E3CE8" w14:textId="77777777">
            <w:pPr>
              <w:pStyle w:val="TableParagraph"/>
              <w:ind w:left="196"/>
              <w:rPr>
                <w:sz w:val="20"/>
              </w:rPr>
            </w:pPr>
            <w:r>
              <w:rPr>
                <w:sz w:val="20"/>
              </w:rPr>
              <w:t>2019-21</w:t>
            </w:r>
            <w:r>
              <w:rPr>
                <w:spacing w:val="-3"/>
                <w:sz w:val="20"/>
              </w:rPr>
              <w:t xml:space="preserve"> </w:t>
            </w:r>
            <w:r>
              <w:rPr>
                <w:sz w:val="20"/>
              </w:rPr>
              <w:t>Fed</w:t>
            </w:r>
            <w:r>
              <w:rPr>
                <w:spacing w:val="-4"/>
                <w:sz w:val="20"/>
              </w:rPr>
              <w:t xml:space="preserve"> </w:t>
            </w:r>
            <w:r>
              <w:rPr>
                <w:sz w:val="20"/>
              </w:rPr>
              <w:t>App:</w:t>
            </w:r>
            <w:r>
              <w:rPr>
                <w:spacing w:val="-2"/>
                <w:sz w:val="20"/>
              </w:rPr>
              <w:t xml:space="preserve"> Dehumidifiers</w:t>
            </w:r>
          </w:p>
        </w:tc>
        <w:tc>
          <w:tcPr>
            <w:tcW w:w="1157" w:type="dxa"/>
            <w:tcBorders>
              <w:top w:val="single" w:color="D9D9D9" w:sz="2" w:space="0"/>
              <w:bottom w:val="single" w:color="D9D9D9" w:sz="2" w:space="0"/>
            </w:tcBorders>
          </w:tcPr>
          <w:p w:rsidR="00C31389" w:rsidRDefault="00561FBD" w14:paraId="75E3767B" w14:textId="77777777">
            <w:pPr>
              <w:pStyle w:val="TableParagraph"/>
              <w:ind w:left="345"/>
              <w:rPr>
                <w:sz w:val="20"/>
              </w:rPr>
            </w:pPr>
            <w:r>
              <w:rPr>
                <w:spacing w:val="-5"/>
                <w:sz w:val="20"/>
              </w:rPr>
              <w:t>95%</w:t>
            </w:r>
          </w:p>
        </w:tc>
        <w:tc>
          <w:tcPr>
            <w:tcW w:w="1450" w:type="dxa"/>
            <w:tcBorders>
              <w:top w:val="single" w:color="D9D9D9" w:sz="2" w:space="0"/>
              <w:bottom w:val="single" w:color="D9D9D9" w:sz="2" w:space="0"/>
            </w:tcBorders>
          </w:tcPr>
          <w:p w:rsidR="00C31389" w:rsidRDefault="00561FBD" w14:paraId="32454399" w14:textId="77777777">
            <w:pPr>
              <w:pStyle w:val="TableParagraph"/>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263F0240" w14:textId="77777777">
            <w:pPr>
              <w:pStyle w:val="TableParagraph"/>
              <w:ind w:left="158" w:right="149"/>
              <w:jc w:val="center"/>
              <w:rPr>
                <w:sz w:val="20"/>
              </w:rPr>
            </w:pPr>
            <w:r>
              <w:rPr>
                <w:spacing w:val="-2"/>
                <w:sz w:val="20"/>
              </w:rPr>
              <w:t>On-the-books</w:t>
            </w:r>
          </w:p>
        </w:tc>
      </w:tr>
      <w:tr w:rsidR="00C31389" w14:paraId="3A7B052E" w14:textId="77777777">
        <w:trPr>
          <w:trHeight w:val="309"/>
        </w:trPr>
        <w:tc>
          <w:tcPr>
            <w:tcW w:w="1373" w:type="dxa"/>
            <w:tcBorders>
              <w:top w:val="single" w:color="D9D9D9" w:sz="2" w:space="0"/>
              <w:bottom w:val="single" w:color="D9D9D9" w:sz="2" w:space="0"/>
            </w:tcBorders>
          </w:tcPr>
          <w:p w:rsidR="00C31389" w:rsidRDefault="00561FBD" w14:paraId="4E01A4C8" w14:textId="77777777">
            <w:pPr>
              <w:pStyle w:val="TableParagraph"/>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301B6778" w14:textId="77777777">
            <w:pPr>
              <w:pStyle w:val="TableParagraph"/>
              <w:ind w:left="196"/>
              <w:rPr>
                <w:sz w:val="20"/>
              </w:rPr>
            </w:pPr>
            <w:r>
              <w:rPr>
                <w:sz w:val="20"/>
              </w:rPr>
              <w:t>2019-21</w:t>
            </w:r>
            <w:r>
              <w:rPr>
                <w:spacing w:val="-3"/>
                <w:sz w:val="20"/>
              </w:rPr>
              <w:t xml:space="preserve"> </w:t>
            </w:r>
            <w:r>
              <w:rPr>
                <w:sz w:val="20"/>
              </w:rPr>
              <w:t>Fed</w:t>
            </w:r>
            <w:r>
              <w:rPr>
                <w:spacing w:val="-4"/>
                <w:sz w:val="20"/>
              </w:rPr>
              <w:t xml:space="preserve"> </w:t>
            </w:r>
            <w:r>
              <w:rPr>
                <w:sz w:val="20"/>
              </w:rPr>
              <w:t>App:</w:t>
            </w:r>
            <w:r>
              <w:rPr>
                <w:spacing w:val="-3"/>
                <w:sz w:val="20"/>
              </w:rPr>
              <w:t xml:space="preserve"> </w:t>
            </w:r>
            <w:r>
              <w:rPr>
                <w:sz w:val="20"/>
              </w:rPr>
              <w:t>Furnace</w:t>
            </w:r>
            <w:r>
              <w:rPr>
                <w:spacing w:val="-3"/>
                <w:sz w:val="20"/>
              </w:rPr>
              <w:t xml:space="preserve"> </w:t>
            </w:r>
            <w:r>
              <w:rPr>
                <w:spacing w:val="-4"/>
                <w:sz w:val="20"/>
              </w:rPr>
              <w:t>fans</w:t>
            </w:r>
          </w:p>
        </w:tc>
        <w:tc>
          <w:tcPr>
            <w:tcW w:w="1157" w:type="dxa"/>
            <w:tcBorders>
              <w:top w:val="single" w:color="D9D9D9" w:sz="2" w:space="0"/>
              <w:bottom w:val="single" w:color="D9D9D9" w:sz="2" w:space="0"/>
            </w:tcBorders>
          </w:tcPr>
          <w:p w:rsidR="00C31389" w:rsidRDefault="00561FBD" w14:paraId="265D4621" w14:textId="77777777">
            <w:pPr>
              <w:pStyle w:val="TableParagraph"/>
              <w:ind w:left="344"/>
              <w:rPr>
                <w:sz w:val="20"/>
              </w:rPr>
            </w:pPr>
            <w:r>
              <w:rPr>
                <w:spacing w:val="-5"/>
                <w:sz w:val="20"/>
              </w:rPr>
              <w:t>95%</w:t>
            </w:r>
          </w:p>
        </w:tc>
        <w:tc>
          <w:tcPr>
            <w:tcW w:w="1450" w:type="dxa"/>
            <w:tcBorders>
              <w:top w:val="single" w:color="D9D9D9" w:sz="2" w:space="0"/>
              <w:bottom w:val="single" w:color="D9D9D9" w:sz="2" w:space="0"/>
            </w:tcBorders>
          </w:tcPr>
          <w:p w:rsidR="00C31389" w:rsidRDefault="00561FBD" w14:paraId="63582A2A" w14:textId="77777777">
            <w:pPr>
              <w:pStyle w:val="TableParagraph"/>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485686B7" w14:textId="77777777">
            <w:pPr>
              <w:pStyle w:val="TableParagraph"/>
              <w:ind w:left="158" w:right="149"/>
              <w:jc w:val="center"/>
              <w:rPr>
                <w:sz w:val="20"/>
              </w:rPr>
            </w:pPr>
            <w:r>
              <w:rPr>
                <w:spacing w:val="-2"/>
                <w:sz w:val="20"/>
              </w:rPr>
              <w:t>On-the-books</w:t>
            </w:r>
          </w:p>
        </w:tc>
      </w:tr>
      <w:tr w:rsidR="00C31389" w14:paraId="3C2E6702" w14:textId="77777777">
        <w:trPr>
          <w:trHeight w:val="539"/>
        </w:trPr>
        <w:tc>
          <w:tcPr>
            <w:tcW w:w="1373" w:type="dxa"/>
            <w:tcBorders>
              <w:top w:val="single" w:color="D9D9D9" w:sz="2" w:space="0"/>
              <w:bottom w:val="single" w:color="D9D9D9" w:sz="2" w:space="0"/>
            </w:tcBorders>
          </w:tcPr>
          <w:p w:rsidR="00C31389" w:rsidRDefault="00561FBD" w14:paraId="1C82825D"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55CFFCA8" w14:textId="77777777">
            <w:pPr>
              <w:pStyle w:val="TableParagraph"/>
              <w:ind w:left="196" w:right="396"/>
              <w:rPr>
                <w:sz w:val="20"/>
              </w:rPr>
            </w:pPr>
            <w:r>
              <w:rPr>
                <w:sz w:val="20"/>
              </w:rPr>
              <w:t>2019-21 Fed App: Single package vertical</w:t>
            </w:r>
            <w:r>
              <w:rPr>
                <w:spacing w:val="-7"/>
                <w:sz w:val="20"/>
              </w:rPr>
              <w:t xml:space="preserve"> </w:t>
            </w:r>
            <w:r>
              <w:rPr>
                <w:sz w:val="20"/>
              </w:rPr>
              <w:t>AC</w:t>
            </w:r>
            <w:r>
              <w:rPr>
                <w:spacing w:val="-6"/>
                <w:sz w:val="20"/>
              </w:rPr>
              <w:t xml:space="preserve"> </w:t>
            </w:r>
            <w:r>
              <w:rPr>
                <w:sz w:val="20"/>
              </w:rPr>
              <w:t>and</w:t>
            </w:r>
            <w:r>
              <w:rPr>
                <w:spacing w:val="-7"/>
                <w:sz w:val="20"/>
              </w:rPr>
              <w:t xml:space="preserve"> </w:t>
            </w:r>
            <w:r>
              <w:rPr>
                <w:sz w:val="20"/>
              </w:rPr>
              <w:t>HP</w:t>
            </w:r>
            <w:r>
              <w:rPr>
                <w:spacing w:val="-7"/>
                <w:sz w:val="20"/>
              </w:rPr>
              <w:t xml:space="preserve"> </w:t>
            </w:r>
            <w:r>
              <w:rPr>
                <w:sz w:val="20"/>
              </w:rPr>
              <w:t>-</w:t>
            </w:r>
            <w:r>
              <w:rPr>
                <w:spacing w:val="-6"/>
                <w:sz w:val="20"/>
              </w:rPr>
              <w:t xml:space="preserve"> </w:t>
            </w:r>
            <w:r>
              <w:rPr>
                <w:sz w:val="20"/>
              </w:rPr>
              <w:t>&lt;65,000</w:t>
            </w:r>
            <w:r>
              <w:rPr>
                <w:spacing w:val="-7"/>
                <w:sz w:val="20"/>
              </w:rPr>
              <w:t xml:space="preserve"> </w:t>
            </w:r>
            <w:r>
              <w:rPr>
                <w:sz w:val="20"/>
              </w:rPr>
              <w:t>Btu/hr</w:t>
            </w:r>
          </w:p>
        </w:tc>
        <w:tc>
          <w:tcPr>
            <w:tcW w:w="1157" w:type="dxa"/>
            <w:tcBorders>
              <w:top w:val="single" w:color="D9D9D9" w:sz="2" w:space="0"/>
              <w:bottom w:val="single" w:color="D9D9D9" w:sz="2" w:space="0"/>
            </w:tcBorders>
          </w:tcPr>
          <w:p w:rsidR="00C31389" w:rsidRDefault="00561FBD" w14:paraId="271C8ED3" w14:textId="77777777">
            <w:pPr>
              <w:pStyle w:val="TableParagraph"/>
              <w:spacing w:before="155"/>
              <w:ind w:left="345"/>
              <w:rPr>
                <w:sz w:val="20"/>
              </w:rPr>
            </w:pPr>
            <w:r>
              <w:rPr>
                <w:spacing w:val="-5"/>
                <w:sz w:val="20"/>
              </w:rPr>
              <w:t>95%</w:t>
            </w:r>
          </w:p>
        </w:tc>
        <w:tc>
          <w:tcPr>
            <w:tcW w:w="1450" w:type="dxa"/>
            <w:tcBorders>
              <w:top w:val="single" w:color="D9D9D9" w:sz="2" w:space="0"/>
              <w:bottom w:val="single" w:color="D9D9D9" w:sz="2" w:space="0"/>
            </w:tcBorders>
          </w:tcPr>
          <w:p w:rsidR="00C31389" w:rsidRDefault="00561FBD" w14:paraId="0DA00DAC" w14:textId="77777777">
            <w:pPr>
              <w:pStyle w:val="TableParagraph"/>
              <w:spacing w:before="155"/>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50392ADE" w14:textId="77777777">
            <w:pPr>
              <w:pStyle w:val="TableParagraph"/>
              <w:spacing w:before="155"/>
              <w:ind w:left="158" w:right="149"/>
              <w:jc w:val="center"/>
              <w:rPr>
                <w:sz w:val="20"/>
              </w:rPr>
            </w:pPr>
            <w:r>
              <w:rPr>
                <w:spacing w:val="-2"/>
                <w:sz w:val="20"/>
              </w:rPr>
              <w:t>On-the-books</w:t>
            </w:r>
          </w:p>
        </w:tc>
      </w:tr>
      <w:tr w:rsidR="00C31389" w14:paraId="4BBE51E4" w14:textId="77777777">
        <w:trPr>
          <w:trHeight w:val="310"/>
        </w:trPr>
        <w:tc>
          <w:tcPr>
            <w:tcW w:w="1373" w:type="dxa"/>
            <w:tcBorders>
              <w:top w:val="single" w:color="D9D9D9" w:sz="2" w:space="0"/>
              <w:bottom w:val="single" w:color="D9D9D9" w:sz="2" w:space="0"/>
            </w:tcBorders>
          </w:tcPr>
          <w:p w:rsidR="00C31389" w:rsidRDefault="00561FBD" w14:paraId="5B3281D4" w14:textId="77777777">
            <w:pPr>
              <w:pStyle w:val="TableParagraph"/>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3BAB9482" w14:textId="77777777">
            <w:pPr>
              <w:pStyle w:val="TableParagraph"/>
              <w:ind w:left="196"/>
              <w:rPr>
                <w:sz w:val="20"/>
              </w:rPr>
            </w:pPr>
            <w:r>
              <w:rPr>
                <w:sz w:val="20"/>
              </w:rPr>
              <w:t>2019-21</w:t>
            </w:r>
            <w:r>
              <w:rPr>
                <w:spacing w:val="-3"/>
                <w:sz w:val="20"/>
              </w:rPr>
              <w:t xml:space="preserve"> </w:t>
            </w:r>
            <w:r>
              <w:rPr>
                <w:sz w:val="20"/>
              </w:rPr>
              <w:t>Fed</w:t>
            </w:r>
            <w:r>
              <w:rPr>
                <w:spacing w:val="-3"/>
                <w:sz w:val="20"/>
              </w:rPr>
              <w:t xml:space="preserve"> </w:t>
            </w:r>
            <w:r>
              <w:rPr>
                <w:sz w:val="20"/>
              </w:rPr>
              <w:t>App:</w:t>
            </w:r>
            <w:r>
              <w:rPr>
                <w:spacing w:val="-3"/>
                <w:sz w:val="20"/>
              </w:rPr>
              <w:t xml:space="preserve"> </w:t>
            </w:r>
            <w:r>
              <w:rPr>
                <w:sz w:val="20"/>
              </w:rPr>
              <w:t>Wine</w:t>
            </w:r>
            <w:r>
              <w:rPr>
                <w:spacing w:val="-3"/>
                <w:sz w:val="20"/>
              </w:rPr>
              <w:t xml:space="preserve"> </w:t>
            </w:r>
            <w:r>
              <w:rPr>
                <w:spacing w:val="-2"/>
                <w:sz w:val="20"/>
              </w:rPr>
              <w:t>chillers</w:t>
            </w:r>
          </w:p>
        </w:tc>
        <w:tc>
          <w:tcPr>
            <w:tcW w:w="1157" w:type="dxa"/>
            <w:tcBorders>
              <w:top w:val="single" w:color="D9D9D9" w:sz="2" w:space="0"/>
              <w:bottom w:val="single" w:color="D9D9D9" w:sz="2" w:space="0"/>
            </w:tcBorders>
          </w:tcPr>
          <w:p w:rsidR="00C31389" w:rsidRDefault="00561FBD" w14:paraId="406D07AF" w14:textId="77777777">
            <w:pPr>
              <w:pStyle w:val="TableParagraph"/>
              <w:ind w:left="344"/>
              <w:rPr>
                <w:sz w:val="20"/>
              </w:rPr>
            </w:pPr>
            <w:r>
              <w:rPr>
                <w:spacing w:val="-5"/>
                <w:sz w:val="20"/>
              </w:rPr>
              <w:t>95%</w:t>
            </w:r>
          </w:p>
        </w:tc>
        <w:tc>
          <w:tcPr>
            <w:tcW w:w="1450" w:type="dxa"/>
            <w:tcBorders>
              <w:top w:val="single" w:color="D9D9D9" w:sz="2" w:space="0"/>
              <w:bottom w:val="single" w:color="D9D9D9" w:sz="2" w:space="0"/>
            </w:tcBorders>
          </w:tcPr>
          <w:p w:rsidR="00C31389" w:rsidRDefault="00561FBD" w14:paraId="31CC90DA" w14:textId="77777777">
            <w:pPr>
              <w:pStyle w:val="TableParagraph"/>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0FDDD197" w14:textId="77777777">
            <w:pPr>
              <w:pStyle w:val="TableParagraph"/>
              <w:ind w:left="158" w:right="149"/>
              <w:jc w:val="center"/>
              <w:rPr>
                <w:sz w:val="20"/>
              </w:rPr>
            </w:pPr>
            <w:r>
              <w:rPr>
                <w:spacing w:val="-2"/>
                <w:sz w:val="20"/>
              </w:rPr>
              <w:t>On-the-books</w:t>
            </w:r>
          </w:p>
        </w:tc>
      </w:tr>
      <w:tr w:rsidR="00C31389" w14:paraId="231EB6C1" w14:textId="77777777">
        <w:trPr>
          <w:trHeight w:val="769"/>
        </w:trPr>
        <w:tc>
          <w:tcPr>
            <w:tcW w:w="1373" w:type="dxa"/>
            <w:tcBorders>
              <w:top w:val="single" w:color="D9D9D9" w:sz="2" w:space="0"/>
              <w:bottom w:val="single" w:color="D9D9D9" w:sz="2" w:space="0"/>
            </w:tcBorders>
          </w:tcPr>
          <w:p w:rsidR="00C31389" w:rsidRDefault="00C31389" w14:paraId="5F586EF8" w14:textId="77777777">
            <w:pPr>
              <w:pStyle w:val="TableParagraph"/>
              <w:spacing w:before="6"/>
              <w:rPr>
                <w:sz w:val="23"/>
              </w:rPr>
            </w:pPr>
          </w:p>
          <w:p w:rsidR="00C31389" w:rsidRDefault="00561FBD" w14:paraId="5EA60372" w14:textId="77777777">
            <w:pPr>
              <w:pStyle w:val="TableParagraph"/>
              <w:spacing w:before="0"/>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21DF2713" w14:textId="77777777">
            <w:pPr>
              <w:pStyle w:val="TableParagraph"/>
              <w:ind w:left="196"/>
              <w:rPr>
                <w:sz w:val="20"/>
              </w:rPr>
            </w:pPr>
            <w:r>
              <w:rPr>
                <w:sz w:val="20"/>
              </w:rPr>
              <w:t>2019-21</w:t>
            </w:r>
            <w:r>
              <w:rPr>
                <w:spacing w:val="-4"/>
                <w:sz w:val="20"/>
              </w:rPr>
              <w:t xml:space="preserve"> </w:t>
            </w:r>
            <w:r>
              <w:rPr>
                <w:sz w:val="20"/>
              </w:rPr>
              <w:t>Fed</w:t>
            </w:r>
            <w:r>
              <w:rPr>
                <w:spacing w:val="-5"/>
                <w:sz w:val="20"/>
              </w:rPr>
              <w:t xml:space="preserve"> </w:t>
            </w:r>
            <w:r>
              <w:rPr>
                <w:sz w:val="20"/>
              </w:rPr>
              <w:t>App:</w:t>
            </w:r>
            <w:r>
              <w:rPr>
                <w:spacing w:val="-4"/>
                <w:sz w:val="20"/>
              </w:rPr>
              <w:t xml:space="preserve"> </w:t>
            </w:r>
            <w:r>
              <w:rPr>
                <w:sz w:val="20"/>
              </w:rPr>
              <w:t>Residential</w:t>
            </w:r>
            <w:r>
              <w:rPr>
                <w:spacing w:val="-3"/>
                <w:sz w:val="20"/>
              </w:rPr>
              <w:t xml:space="preserve"> </w:t>
            </w:r>
            <w:r>
              <w:rPr>
                <w:spacing w:val="-2"/>
                <w:sz w:val="20"/>
              </w:rPr>
              <w:t>Boilers</w:t>
            </w:r>
          </w:p>
          <w:p w:rsidR="00C31389" w:rsidRDefault="00561FBD" w14:paraId="08EAC4A5" w14:textId="77777777">
            <w:pPr>
              <w:pStyle w:val="TableParagraph"/>
              <w:spacing w:before="0"/>
              <w:ind w:left="196"/>
              <w:rPr>
                <w:sz w:val="20"/>
              </w:rPr>
            </w:pPr>
            <w:r>
              <w:rPr>
                <w:sz w:val="20"/>
              </w:rPr>
              <w:t>-</w:t>
            </w:r>
            <w:r>
              <w:rPr>
                <w:spacing w:val="-7"/>
                <w:sz w:val="20"/>
              </w:rPr>
              <w:t xml:space="preserve"> </w:t>
            </w:r>
            <w:r>
              <w:rPr>
                <w:sz w:val="20"/>
              </w:rPr>
              <w:t>Gas-fired</w:t>
            </w:r>
            <w:r>
              <w:rPr>
                <w:spacing w:val="-7"/>
                <w:sz w:val="20"/>
              </w:rPr>
              <w:t xml:space="preserve"> </w:t>
            </w:r>
            <w:r>
              <w:rPr>
                <w:sz w:val="20"/>
              </w:rPr>
              <w:t>Hot</w:t>
            </w:r>
            <w:r>
              <w:rPr>
                <w:spacing w:val="-7"/>
                <w:sz w:val="20"/>
              </w:rPr>
              <w:t xml:space="preserve"> </w:t>
            </w:r>
            <w:r>
              <w:rPr>
                <w:sz w:val="20"/>
              </w:rPr>
              <w:t>Water</w:t>
            </w:r>
            <w:r>
              <w:rPr>
                <w:spacing w:val="-6"/>
                <w:sz w:val="20"/>
              </w:rPr>
              <w:t xml:space="preserve"> </w:t>
            </w:r>
            <w:r>
              <w:rPr>
                <w:sz w:val="20"/>
              </w:rPr>
              <w:t>and</w:t>
            </w:r>
            <w:r>
              <w:rPr>
                <w:spacing w:val="-8"/>
                <w:sz w:val="20"/>
              </w:rPr>
              <w:t xml:space="preserve"> </w:t>
            </w:r>
            <w:r>
              <w:rPr>
                <w:sz w:val="20"/>
              </w:rPr>
              <w:t>Electric</w:t>
            </w:r>
            <w:r>
              <w:rPr>
                <w:spacing w:val="-6"/>
                <w:sz w:val="20"/>
              </w:rPr>
              <w:t xml:space="preserve"> </w:t>
            </w:r>
            <w:r>
              <w:rPr>
                <w:sz w:val="20"/>
              </w:rPr>
              <w:t xml:space="preserve">Hot </w:t>
            </w:r>
            <w:r>
              <w:rPr>
                <w:spacing w:val="-2"/>
                <w:sz w:val="20"/>
              </w:rPr>
              <w:t>Water</w:t>
            </w:r>
          </w:p>
        </w:tc>
        <w:tc>
          <w:tcPr>
            <w:tcW w:w="1157" w:type="dxa"/>
            <w:tcBorders>
              <w:top w:val="single" w:color="D9D9D9" w:sz="2" w:space="0"/>
              <w:bottom w:val="single" w:color="D9D9D9" w:sz="2" w:space="0"/>
            </w:tcBorders>
          </w:tcPr>
          <w:p w:rsidR="00C31389" w:rsidRDefault="00C31389" w14:paraId="31869F05" w14:textId="77777777">
            <w:pPr>
              <w:pStyle w:val="TableParagraph"/>
              <w:spacing w:before="6"/>
              <w:rPr>
                <w:sz w:val="23"/>
              </w:rPr>
            </w:pPr>
          </w:p>
          <w:p w:rsidR="00C31389" w:rsidRDefault="00561FBD" w14:paraId="148F5BAF" w14:textId="77777777">
            <w:pPr>
              <w:pStyle w:val="TableParagraph"/>
              <w:spacing w:before="0"/>
              <w:ind w:left="345"/>
              <w:rPr>
                <w:sz w:val="20"/>
              </w:rPr>
            </w:pPr>
            <w:r>
              <w:rPr>
                <w:spacing w:val="-5"/>
                <w:sz w:val="20"/>
              </w:rPr>
              <w:t>95%</w:t>
            </w:r>
          </w:p>
        </w:tc>
        <w:tc>
          <w:tcPr>
            <w:tcW w:w="1450" w:type="dxa"/>
            <w:tcBorders>
              <w:top w:val="single" w:color="D9D9D9" w:sz="2" w:space="0"/>
              <w:bottom w:val="single" w:color="D9D9D9" w:sz="2" w:space="0"/>
            </w:tcBorders>
          </w:tcPr>
          <w:p w:rsidR="00C31389" w:rsidRDefault="00C31389" w14:paraId="5ABD0C62" w14:textId="77777777">
            <w:pPr>
              <w:pStyle w:val="TableParagraph"/>
              <w:spacing w:before="6"/>
              <w:rPr>
                <w:sz w:val="23"/>
              </w:rPr>
            </w:pPr>
          </w:p>
          <w:p w:rsidR="00C31389" w:rsidRDefault="00561FBD" w14:paraId="2190F434" w14:textId="77777777">
            <w:pPr>
              <w:pStyle w:val="TableParagraph"/>
              <w:spacing w:before="0"/>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C31389" w14:paraId="50F5383F" w14:textId="77777777">
            <w:pPr>
              <w:pStyle w:val="TableParagraph"/>
              <w:spacing w:before="6"/>
              <w:rPr>
                <w:sz w:val="23"/>
              </w:rPr>
            </w:pPr>
          </w:p>
          <w:p w:rsidR="00C31389" w:rsidRDefault="00561FBD" w14:paraId="6A7B9C0E" w14:textId="77777777">
            <w:pPr>
              <w:pStyle w:val="TableParagraph"/>
              <w:spacing w:before="0"/>
              <w:ind w:left="158" w:right="149"/>
              <w:jc w:val="center"/>
              <w:rPr>
                <w:sz w:val="20"/>
              </w:rPr>
            </w:pPr>
            <w:r>
              <w:rPr>
                <w:spacing w:val="-2"/>
                <w:sz w:val="20"/>
              </w:rPr>
              <w:t>On-the-books</w:t>
            </w:r>
          </w:p>
        </w:tc>
      </w:tr>
      <w:tr w:rsidR="00C31389" w14:paraId="5E17FEC3" w14:textId="77777777">
        <w:trPr>
          <w:trHeight w:val="541"/>
        </w:trPr>
        <w:tc>
          <w:tcPr>
            <w:tcW w:w="1373" w:type="dxa"/>
            <w:tcBorders>
              <w:top w:val="single" w:color="D9D9D9" w:sz="2" w:space="0"/>
              <w:bottom w:val="single" w:color="D9D9D9" w:sz="2" w:space="0"/>
            </w:tcBorders>
          </w:tcPr>
          <w:p w:rsidR="00C31389" w:rsidRDefault="00561FBD" w14:paraId="6C55D2A4"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337ED730" w14:textId="77777777">
            <w:pPr>
              <w:pStyle w:val="TableParagraph"/>
              <w:spacing w:before="41"/>
              <w:ind w:left="196"/>
              <w:rPr>
                <w:sz w:val="20"/>
              </w:rPr>
            </w:pPr>
            <w:r>
              <w:rPr>
                <w:sz w:val="20"/>
              </w:rPr>
              <w:t>2019-21</w:t>
            </w:r>
            <w:r>
              <w:rPr>
                <w:spacing w:val="-4"/>
                <w:sz w:val="20"/>
              </w:rPr>
              <w:t xml:space="preserve"> </w:t>
            </w:r>
            <w:r>
              <w:rPr>
                <w:sz w:val="20"/>
              </w:rPr>
              <w:t>Fed</w:t>
            </w:r>
            <w:r>
              <w:rPr>
                <w:spacing w:val="-5"/>
                <w:sz w:val="20"/>
              </w:rPr>
              <w:t xml:space="preserve"> </w:t>
            </w:r>
            <w:r>
              <w:rPr>
                <w:sz w:val="20"/>
              </w:rPr>
              <w:t>App:</w:t>
            </w:r>
            <w:r>
              <w:rPr>
                <w:spacing w:val="-4"/>
                <w:sz w:val="20"/>
              </w:rPr>
              <w:t xml:space="preserve"> </w:t>
            </w:r>
            <w:r>
              <w:rPr>
                <w:sz w:val="20"/>
              </w:rPr>
              <w:t>Residential</w:t>
            </w:r>
            <w:r>
              <w:rPr>
                <w:spacing w:val="-3"/>
                <w:sz w:val="20"/>
              </w:rPr>
              <w:t xml:space="preserve"> </w:t>
            </w:r>
            <w:r>
              <w:rPr>
                <w:spacing w:val="-2"/>
                <w:sz w:val="20"/>
              </w:rPr>
              <w:t>Boilers</w:t>
            </w:r>
          </w:p>
          <w:p w:rsidR="00C31389" w:rsidRDefault="00561FBD" w14:paraId="24121EC9" w14:textId="77777777">
            <w:pPr>
              <w:pStyle w:val="TableParagraph"/>
              <w:spacing w:before="1"/>
              <w:ind w:left="196"/>
              <w:rPr>
                <w:sz w:val="20"/>
              </w:rPr>
            </w:pPr>
            <w:r>
              <w:rPr>
                <w:sz w:val="20"/>
              </w:rPr>
              <w:t>-</w:t>
            </w:r>
            <w:r>
              <w:rPr>
                <w:spacing w:val="-4"/>
                <w:sz w:val="20"/>
              </w:rPr>
              <w:t xml:space="preserve"> </w:t>
            </w:r>
            <w:r>
              <w:rPr>
                <w:sz w:val="20"/>
              </w:rPr>
              <w:t>Gas-fired</w:t>
            </w:r>
            <w:r>
              <w:rPr>
                <w:spacing w:val="-4"/>
                <w:sz w:val="20"/>
              </w:rPr>
              <w:t xml:space="preserve"> </w:t>
            </w:r>
            <w:r>
              <w:rPr>
                <w:sz w:val="20"/>
              </w:rPr>
              <w:t>Steam</w:t>
            </w:r>
            <w:r>
              <w:rPr>
                <w:spacing w:val="-3"/>
                <w:sz w:val="20"/>
              </w:rPr>
              <w:t xml:space="preserve"> </w:t>
            </w:r>
            <w:r>
              <w:rPr>
                <w:sz w:val="20"/>
              </w:rPr>
              <w:t>and</w:t>
            </w:r>
            <w:r>
              <w:rPr>
                <w:spacing w:val="-4"/>
                <w:sz w:val="20"/>
              </w:rPr>
              <w:t xml:space="preserve"> </w:t>
            </w:r>
            <w:r>
              <w:rPr>
                <w:sz w:val="20"/>
              </w:rPr>
              <w:t>Electric</w:t>
            </w:r>
            <w:r>
              <w:rPr>
                <w:spacing w:val="-2"/>
                <w:sz w:val="20"/>
              </w:rPr>
              <w:t xml:space="preserve"> Steam</w:t>
            </w:r>
          </w:p>
        </w:tc>
        <w:tc>
          <w:tcPr>
            <w:tcW w:w="1157" w:type="dxa"/>
            <w:tcBorders>
              <w:top w:val="single" w:color="D9D9D9" w:sz="2" w:space="0"/>
              <w:bottom w:val="single" w:color="D9D9D9" w:sz="2" w:space="0"/>
            </w:tcBorders>
          </w:tcPr>
          <w:p w:rsidR="00C31389" w:rsidRDefault="00561FBD" w14:paraId="6633D065" w14:textId="77777777">
            <w:pPr>
              <w:pStyle w:val="TableParagraph"/>
              <w:spacing w:before="155"/>
              <w:ind w:left="344"/>
              <w:rPr>
                <w:sz w:val="20"/>
              </w:rPr>
            </w:pPr>
            <w:r>
              <w:rPr>
                <w:spacing w:val="-5"/>
                <w:sz w:val="20"/>
              </w:rPr>
              <w:t>95%</w:t>
            </w:r>
          </w:p>
        </w:tc>
        <w:tc>
          <w:tcPr>
            <w:tcW w:w="1450" w:type="dxa"/>
            <w:tcBorders>
              <w:top w:val="single" w:color="D9D9D9" w:sz="2" w:space="0"/>
              <w:bottom w:val="single" w:color="D9D9D9" w:sz="2" w:space="0"/>
            </w:tcBorders>
          </w:tcPr>
          <w:p w:rsidR="00C31389" w:rsidRDefault="00561FBD" w14:paraId="6CCEA88D" w14:textId="77777777">
            <w:pPr>
              <w:pStyle w:val="TableParagraph"/>
              <w:spacing w:before="155"/>
              <w:ind w:left="273" w:right="156"/>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4F251EB6" w14:textId="77777777">
            <w:pPr>
              <w:pStyle w:val="TableParagraph"/>
              <w:spacing w:before="155"/>
              <w:ind w:left="158" w:right="150"/>
              <w:jc w:val="center"/>
              <w:rPr>
                <w:sz w:val="20"/>
              </w:rPr>
            </w:pPr>
            <w:r>
              <w:rPr>
                <w:spacing w:val="-2"/>
                <w:sz w:val="20"/>
              </w:rPr>
              <w:t>On-the-books</w:t>
            </w:r>
          </w:p>
        </w:tc>
      </w:tr>
      <w:tr w:rsidR="00C31389" w14:paraId="0D839E59" w14:textId="77777777">
        <w:trPr>
          <w:trHeight w:val="309"/>
        </w:trPr>
        <w:tc>
          <w:tcPr>
            <w:tcW w:w="1373" w:type="dxa"/>
            <w:tcBorders>
              <w:top w:val="single" w:color="D9D9D9" w:sz="2" w:space="0"/>
              <w:bottom w:val="single" w:color="D9D9D9" w:sz="2" w:space="0"/>
            </w:tcBorders>
          </w:tcPr>
          <w:p w:rsidR="00C31389" w:rsidRDefault="00561FBD" w14:paraId="59956617" w14:textId="77777777">
            <w:pPr>
              <w:pStyle w:val="TableParagraph"/>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537A65BC" w14:textId="77777777">
            <w:pPr>
              <w:pStyle w:val="TableParagraph"/>
              <w:ind w:left="196"/>
              <w:rPr>
                <w:sz w:val="20"/>
              </w:rPr>
            </w:pPr>
            <w:r>
              <w:rPr>
                <w:sz w:val="20"/>
              </w:rPr>
              <w:t>2019-21</w:t>
            </w:r>
            <w:r>
              <w:rPr>
                <w:spacing w:val="-4"/>
                <w:sz w:val="20"/>
              </w:rPr>
              <w:t xml:space="preserve"> </w:t>
            </w:r>
            <w:r>
              <w:rPr>
                <w:sz w:val="20"/>
              </w:rPr>
              <w:t>Fed</w:t>
            </w:r>
            <w:r>
              <w:rPr>
                <w:spacing w:val="-3"/>
                <w:sz w:val="20"/>
              </w:rPr>
              <w:t xml:space="preserve"> </w:t>
            </w:r>
            <w:r>
              <w:rPr>
                <w:sz w:val="20"/>
              </w:rPr>
              <w:t>App:</w:t>
            </w:r>
            <w:r>
              <w:rPr>
                <w:spacing w:val="-4"/>
                <w:sz w:val="20"/>
              </w:rPr>
              <w:t xml:space="preserve"> </w:t>
            </w:r>
            <w:r>
              <w:rPr>
                <w:sz w:val="20"/>
              </w:rPr>
              <w:t>Ceiling</w:t>
            </w:r>
            <w:r>
              <w:rPr>
                <w:spacing w:val="-3"/>
                <w:sz w:val="20"/>
              </w:rPr>
              <w:t xml:space="preserve"> </w:t>
            </w:r>
            <w:r>
              <w:rPr>
                <w:spacing w:val="-4"/>
                <w:sz w:val="20"/>
              </w:rPr>
              <w:t>Fans</w:t>
            </w:r>
          </w:p>
        </w:tc>
        <w:tc>
          <w:tcPr>
            <w:tcW w:w="1157" w:type="dxa"/>
            <w:tcBorders>
              <w:top w:val="single" w:color="D9D9D9" w:sz="2" w:space="0"/>
              <w:bottom w:val="single" w:color="D9D9D9" w:sz="2" w:space="0"/>
            </w:tcBorders>
          </w:tcPr>
          <w:p w:rsidR="00C31389" w:rsidRDefault="00561FBD" w14:paraId="199DADEC" w14:textId="77777777">
            <w:pPr>
              <w:pStyle w:val="TableParagraph"/>
              <w:ind w:left="345"/>
              <w:rPr>
                <w:sz w:val="20"/>
              </w:rPr>
            </w:pPr>
            <w:r>
              <w:rPr>
                <w:spacing w:val="-5"/>
                <w:sz w:val="20"/>
              </w:rPr>
              <w:t>95%</w:t>
            </w:r>
          </w:p>
        </w:tc>
        <w:tc>
          <w:tcPr>
            <w:tcW w:w="1450" w:type="dxa"/>
            <w:tcBorders>
              <w:top w:val="single" w:color="D9D9D9" w:sz="2" w:space="0"/>
              <w:bottom w:val="single" w:color="D9D9D9" w:sz="2" w:space="0"/>
            </w:tcBorders>
          </w:tcPr>
          <w:p w:rsidR="00C31389" w:rsidRDefault="00561FBD" w14:paraId="5125FB4B" w14:textId="77777777">
            <w:pPr>
              <w:pStyle w:val="TableParagraph"/>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39264DCE" w14:textId="77777777">
            <w:pPr>
              <w:pStyle w:val="TableParagraph"/>
              <w:ind w:left="158" w:right="149"/>
              <w:jc w:val="center"/>
              <w:rPr>
                <w:sz w:val="20"/>
              </w:rPr>
            </w:pPr>
            <w:r>
              <w:rPr>
                <w:spacing w:val="-2"/>
                <w:sz w:val="20"/>
              </w:rPr>
              <w:t>On-the-books</w:t>
            </w:r>
          </w:p>
        </w:tc>
      </w:tr>
      <w:tr w:rsidR="00C31389" w14:paraId="7A901E11" w14:textId="77777777">
        <w:trPr>
          <w:trHeight w:val="539"/>
        </w:trPr>
        <w:tc>
          <w:tcPr>
            <w:tcW w:w="1373" w:type="dxa"/>
            <w:tcBorders>
              <w:top w:val="single" w:color="D9D9D9" w:sz="2" w:space="0"/>
              <w:bottom w:val="single" w:color="D9D9D9" w:sz="2" w:space="0"/>
            </w:tcBorders>
          </w:tcPr>
          <w:p w:rsidR="00C31389" w:rsidRDefault="00561FBD" w14:paraId="0D5E6CE4"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7A840EE9" w14:textId="77777777">
            <w:pPr>
              <w:pStyle w:val="TableParagraph"/>
              <w:ind w:left="196" w:right="396"/>
              <w:rPr>
                <w:sz w:val="20"/>
              </w:rPr>
            </w:pPr>
            <w:r>
              <w:rPr>
                <w:sz w:val="20"/>
              </w:rPr>
              <w:t>2019-21</w:t>
            </w:r>
            <w:r>
              <w:rPr>
                <w:spacing w:val="-7"/>
                <w:sz w:val="20"/>
              </w:rPr>
              <w:t xml:space="preserve"> </w:t>
            </w:r>
            <w:r>
              <w:rPr>
                <w:sz w:val="20"/>
              </w:rPr>
              <w:t>Fed</w:t>
            </w:r>
            <w:r>
              <w:rPr>
                <w:spacing w:val="-8"/>
                <w:sz w:val="20"/>
              </w:rPr>
              <w:t xml:space="preserve"> </w:t>
            </w:r>
            <w:r>
              <w:rPr>
                <w:sz w:val="20"/>
              </w:rPr>
              <w:t>App:</w:t>
            </w:r>
            <w:r>
              <w:rPr>
                <w:spacing w:val="-7"/>
                <w:sz w:val="20"/>
              </w:rPr>
              <w:t xml:space="preserve"> </w:t>
            </w:r>
            <w:r>
              <w:rPr>
                <w:sz w:val="20"/>
              </w:rPr>
              <w:t>Ceiling</w:t>
            </w:r>
            <w:r>
              <w:rPr>
                <w:spacing w:val="-8"/>
                <w:sz w:val="20"/>
              </w:rPr>
              <w:t xml:space="preserve"> </w:t>
            </w:r>
            <w:r>
              <w:rPr>
                <w:sz w:val="20"/>
              </w:rPr>
              <w:t>Fan</w:t>
            </w:r>
            <w:r>
              <w:rPr>
                <w:spacing w:val="-7"/>
                <w:sz w:val="20"/>
              </w:rPr>
              <w:t xml:space="preserve"> </w:t>
            </w:r>
            <w:r>
              <w:rPr>
                <w:sz w:val="20"/>
              </w:rPr>
              <w:t xml:space="preserve">Light </w:t>
            </w:r>
            <w:r>
              <w:rPr>
                <w:spacing w:val="-4"/>
                <w:sz w:val="20"/>
              </w:rPr>
              <w:t>Kits</w:t>
            </w:r>
          </w:p>
        </w:tc>
        <w:tc>
          <w:tcPr>
            <w:tcW w:w="1157" w:type="dxa"/>
            <w:tcBorders>
              <w:top w:val="single" w:color="D9D9D9" w:sz="2" w:space="0"/>
              <w:bottom w:val="single" w:color="D9D9D9" w:sz="2" w:space="0"/>
            </w:tcBorders>
          </w:tcPr>
          <w:p w:rsidR="00C31389" w:rsidRDefault="00561FBD" w14:paraId="373D07AB" w14:textId="77777777">
            <w:pPr>
              <w:pStyle w:val="TableParagraph"/>
              <w:spacing w:before="155"/>
              <w:ind w:left="344"/>
              <w:rPr>
                <w:sz w:val="20"/>
              </w:rPr>
            </w:pPr>
            <w:r>
              <w:rPr>
                <w:spacing w:val="-5"/>
                <w:sz w:val="20"/>
              </w:rPr>
              <w:t>95%</w:t>
            </w:r>
          </w:p>
        </w:tc>
        <w:tc>
          <w:tcPr>
            <w:tcW w:w="1450" w:type="dxa"/>
            <w:tcBorders>
              <w:top w:val="single" w:color="D9D9D9" w:sz="2" w:space="0"/>
              <w:bottom w:val="single" w:color="D9D9D9" w:sz="2" w:space="0"/>
            </w:tcBorders>
          </w:tcPr>
          <w:p w:rsidR="00C31389" w:rsidRDefault="00561FBD" w14:paraId="3B5BEAE3" w14:textId="77777777">
            <w:pPr>
              <w:pStyle w:val="TableParagraph"/>
              <w:spacing w:before="155"/>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504ED00B" w14:textId="77777777">
            <w:pPr>
              <w:pStyle w:val="TableParagraph"/>
              <w:spacing w:before="155"/>
              <w:ind w:left="158" w:right="149"/>
              <w:jc w:val="center"/>
              <w:rPr>
                <w:sz w:val="20"/>
              </w:rPr>
            </w:pPr>
            <w:r>
              <w:rPr>
                <w:spacing w:val="-2"/>
                <w:sz w:val="20"/>
              </w:rPr>
              <w:t>On-the-books</w:t>
            </w:r>
          </w:p>
        </w:tc>
      </w:tr>
      <w:tr w:rsidR="00C31389" w14:paraId="4C57117E" w14:textId="77777777">
        <w:trPr>
          <w:trHeight w:val="539"/>
        </w:trPr>
        <w:tc>
          <w:tcPr>
            <w:tcW w:w="1373" w:type="dxa"/>
            <w:tcBorders>
              <w:top w:val="single" w:color="D9D9D9" w:sz="2" w:space="0"/>
              <w:bottom w:val="single" w:color="D9D9D9" w:sz="2" w:space="0"/>
            </w:tcBorders>
          </w:tcPr>
          <w:p w:rsidR="00C31389" w:rsidRDefault="00561FBD" w14:paraId="05DE7DD9"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438E9120" w14:textId="77777777">
            <w:pPr>
              <w:pStyle w:val="TableParagraph"/>
              <w:ind w:left="196"/>
              <w:rPr>
                <w:sz w:val="20"/>
              </w:rPr>
            </w:pPr>
            <w:r>
              <w:rPr>
                <w:sz w:val="20"/>
              </w:rPr>
              <w:t>2019-21</w:t>
            </w:r>
            <w:r>
              <w:rPr>
                <w:spacing w:val="-9"/>
                <w:sz w:val="20"/>
              </w:rPr>
              <w:t xml:space="preserve"> </w:t>
            </w:r>
            <w:r>
              <w:rPr>
                <w:sz w:val="20"/>
              </w:rPr>
              <w:t>Fed</w:t>
            </w:r>
            <w:r>
              <w:rPr>
                <w:spacing w:val="-10"/>
                <w:sz w:val="20"/>
              </w:rPr>
              <w:t xml:space="preserve"> </w:t>
            </w:r>
            <w:r>
              <w:rPr>
                <w:sz w:val="20"/>
              </w:rPr>
              <w:t>App:</w:t>
            </w:r>
            <w:r>
              <w:rPr>
                <w:spacing w:val="-9"/>
                <w:sz w:val="20"/>
              </w:rPr>
              <w:t xml:space="preserve"> </w:t>
            </w:r>
            <w:r>
              <w:rPr>
                <w:sz w:val="20"/>
              </w:rPr>
              <w:t>Commercial</w:t>
            </w:r>
            <w:r>
              <w:rPr>
                <w:spacing w:val="-9"/>
                <w:sz w:val="20"/>
              </w:rPr>
              <w:t xml:space="preserve"> </w:t>
            </w:r>
            <w:r>
              <w:rPr>
                <w:sz w:val="20"/>
              </w:rPr>
              <w:t>and Industrial Pumps</w:t>
            </w:r>
          </w:p>
        </w:tc>
        <w:tc>
          <w:tcPr>
            <w:tcW w:w="1157" w:type="dxa"/>
            <w:tcBorders>
              <w:top w:val="single" w:color="D9D9D9" w:sz="2" w:space="0"/>
              <w:bottom w:val="single" w:color="D9D9D9" w:sz="2" w:space="0"/>
            </w:tcBorders>
          </w:tcPr>
          <w:p w:rsidR="00C31389" w:rsidRDefault="00561FBD" w14:paraId="4F62414E" w14:textId="77777777">
            <w:pPr>
              <w:pStyle w:val="TableParagraph"/>
              <w:spacing w:before="155"/>
              <w:ind w:left="345"/>
              <w:rPr>
                <w:sz w:val="20"/>
              </w:rPr>
            </w:pPr>
            <w:r>
              <w:rPr>
                <w:spacing w:val="-5"/>
                <w:sz w:val="20"/>
              </w:rPr>
              <w:t>95%</w:t>
            </w:r>
          </w:p>
        </w:tc>
        <w:tc>
          <w:tcPr>
            <w:tcW w:w="1450" w:type="dxa"/>
            <w:tcBorders>
              <w:top w:val="single" w:color="D9D9D9" w:sz="2" w:space="0"/>
              <w:bottom w:val="single" w:color="D9D9D9" w:sz="2" w:space="0"/>
            </w:tcBorders>
          </w:tcPr>
          <w:p w:rsidR="00C31389" w:rsidRDefault="00561FBD" w14:paraId="07702E86" w14:textId="77777777">
            <w:pPr>
              <w:pStyle w:val="TableParagraph"/>
              <w:spacing w:before="155"/>
              <w:ind w:left="273" w:right="155"/>
              <w:jc w:val="center"/>
              <w:rPr>
                <w:sz w:val="20"/>
              </w:rPr>
            </w:pPr>
            <w:r>
              <w:rPr>
                <w:spacing w:val="-2"/>
                <w:sz w:val="20"/>
              </w:rPr>
              <w:t>09/01/23</w:t>
            </w:r>
          </w:p>
        </w:tc>
        <w:tc>
          <w:tcPr>
            <w:tcW w:w="1537" w:type="dxa"/>
            <w:tcBorders>
              <w:top w:val="single" w:color="D9D9D9" w:sz="2" w:space="0"/>
              <w:bottom w:val="single" w:color="D9D9D9" w:sz="2" w:space="0"/>
            </w:tcBorders>
          </w:tcPr>
          <w:p w:rsidR="00C31389" w:rsidRDefault="00561FBD" w14:paraId="75B56E58" w14:textId="77777777">
            <w:pPr>
              <w:pStyle w:val="TableParagraph"/>
              <w:spacing w:before="155"/>
              <w:ind w:left="158" w:right="149"/>
              <w:jc w:val="center"/>
              <w:rPr>
                <w:sz w:val="20"/>
              </w:rPr>
            </w:pPr>
            <w:r>
              <w:rPr>
                <w:spacing w:val="-2"/>
                <w:sz w:val="20"/>
              </w:rPr>
              <w:t>On-the-books</w:t>
            </w:r>
          </w:p>
        </w:tc>
      </w:tr>
      <w:tr w:rsidR="00C31389" w14:paraId="6A3C9AD1" w14:textId="77777777">
        <w:trPr>
          <w:trHeight w:val="540"/>
        </w:trPr>
        <w:tc>
          <w:tcPr>
            <w:tcW w:w="1373" w:type="dxa"/>
            <w:tcBorders>
              <w:top w:val="single" w:color="D9D9D9" w:sz="2" w:space="0"/>
              <w:bottom w:val="single" w:color="D9D9D9" w:sz="2" w:space="0"/>
            </w:tcBorders>
          </w:tcPr>
          <w:p w:rsidR="00C31389" w:rsidRDefault="00561FBD" w14:paraId="4346DB6D"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105CB779" w14:textId="77777777">
            <w:pPr>
              <w:pStyle w:val="TableParagraph"/>
              <w:spacing w:before="41"/>
              <w:ind w:left="196"/>
              <w:rPr>
                <w:sz w:val="20"/>
              </w:rPr>
            </w:pPr>
            <w:r>
              <w:rPr>
                <w:sz w:val="20"/>
              </w:rPr>
              <w:t>2019-21</w:t>
            </w:r>
            <w:r>
              <w:rPr>
                <w:spacing w:val="-12"/>
                <w:sz w:val="20"/>
              </w:rPr>
              <w:t xml:space="preserve"> </w:t>
            </w:r>
            <w:r>
              <w:rPr>
                <w:sz w:val="20"/>
              </w:rPr>
              <w:t>Fed</w:t>
            </w:r>
            <w:r>
              <w:rPr>
                <w:spacing w:val="-13"/>
                <w:sz w:val="20"/>
              </w:rPr>
              <w:t xml:space="preserve"> </w:t>
            </w:r>
            <w:r>
              <w:rPr>
                <w:sz w:val="20"/>
              </w:rPr>
              <w:t>App:</w:t>
            </w:r>
            <w:r>
              <w:rPr>
                <w:spacing w:val="-12"/>
                <w:sz w:val="20"/>
              </w:rPr>
              <w:t xml:space="preserve"> </w:t>
            </w:r>
            <w:r>
              <w:rPr>
                <w:sz w:val="20"/>
              </w:rPr>
              <w:t>Dedicated-Purpose Pool Pumps</w:t>
            </w:r>
          </w:p>
        </w:tc>
        <w:tc>
          <w:tcPr>
            <w:tcW w:w="1157" w:type="dxa"/>
            <w:tcBorders>
              <w:top w:val="single" w:color="D9D9D9" w:sz="2" w:space="0"/>
              <w:bottom w:val="single" w:color="D9D9D9" w:sz="2" w:space="0"/>
            </w:tcBorders>
          </w:tcPr>
          <w:p w:rsidR="00C31389" w:rsidRDefault="00561FBD" w14:paraId="4FF74C63" w14:textId="77777777">
            <w:pPr>
              <w:pStyle w:val="TableParagraph"/>
              <w:spacing w:before="155"/>
              <w:ind w:left="344"/>
              <w:rPr>
                <w:sz w:val="20"/>
              </w:rPr>
            </w:pPr>
            <w:r>
              <w:rPr>
                <w:spacing w:val="-5"/>
                <w:sz w:val="20"/>
              </w:rPr>
              <w:t>95%</w:t>
            </w:r>
          </w:p>
        </w:tc>
        <w:tc>
          <w:tcPr>
            <w:tcW w:w="1450" w:type="dxa"/>
            <w:tcBorders>
              <w:top w:val="single" w:color="D9D9D9" w:sz="2" w:space="0"/>
              <w:bottom w:val="single" w:color="D9D9D9" w:sz="2" w:space="0"/>
            </w:tcBorders>
          </w:tcPr>
          <w:p w:rsidR="00C31389" w:rsidRDefault="00561FBD" w14:paraId="5D3A4AFA" w14:textId="77777777">
            <w:pPr>
              <w:pStyle w:val="TableParagraph"/>
              <w:spacing w:before="155"/>
              <w:ind w:left="273" w:right="155"/>
              <w:jc w:val="center"/>
              <w:rPr>
                <w:sz w:val="20"/>
              </w:rPr>
            </w:pPr>
            <w:r>
              <w:rPr>
                <w:spacing w:val="-2"/>
                <w:sz w:val="20"/>
              </w:rPr>
              <w:t>02/01/23</w:t>
            </w:r>
          </w:p>
        </w:tc>
        <w:tc>
          <w:tcPr>
            <w:tcW w:w="1537" w:type="dxa"/>
            <w:tcBorders>
              <w:top w:val="single" w:color="D9D9D9" w:sz="2" w:space="0"/>
              <w:bottom w:val="single" w:color="D9D9D9" w:sz="2" w:space="0"/>
            </w:tcBorders>
          </w:tcPr>
          <w:p w:rsidR="00C31389" w:rsidRDefault="00561FBD" w14:paraId="205B50EF" w14:textId="77777777">
            <w:pPr>
              <w:pStyle w:val="TableParagraph"/>
              <w:spacing w:before="155"/>
              <w:ind w:left="158" w:right="149"/>
              <w:jc w:val="center"/>
              <w:rPr>
                <w:sz w:val="20"/>
              </w:rPr>
            </w:pPr>
            <w:r>
              <w:rPr>
                <w:spacing w:val="-2"/>
                <w:sz w:val="20"/>
              </w:rPr>
              <w:t>On-the-books</w:t>
            </w:r>
          </w:p>
        </w:tc>
      </w:tr>
      <w:tr w:rsidR="00C31389" w14:paraId="004A6135" w14:textId="77777777">
        <w:trPr>
          <w:trHeight w:val="539"/>
        </w:trPr>
        <w:tc>
          <w:tcPr>
            <w:tcW w:w="1373" w:type="dxa"/>
            <w:tcBorders>
              <w:top w:val="single" w:color="D9D9D9" w:sz="2" w:space="0"/>
              <w:bottom w:val="single" w:color="D9D9D9" w:sz="2" w:space="0"/>
            </w:tcBorders>
          </w:tcPr>
          <w:p w:rsidR="00C31389" w:rsidRDefault="00561FBD" w14:paraId="320C3465"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1942D2D2" w14:textId="77777777">
            <w:pPr>
              <w:pStyle w:val="TableParagraph"/>
              <w:ind w:left="196" w:right="396"/>
              <w:rPr>
                <w:sz w:val="20"/>
              </w:rPr>
            </w:pPr>
            <w:r>
              <w:rPr>
                <w:sz w:val="20"/>
              </w:rPr>
              <w:t>2022-24</w:t>
            </w:r>
            <w:r>
              <w:rPr>
                <w:spacing w:val="-12"/>
                <w:sz w:val="20"/>
              </w:rPr>
              <w:t xml:space="preserve"> </w:t>
            </w:r>
            <w:r>
              <w:rPr>
                <w:sz w:val="20"/>
              </w:rPr>
              <w:t>Fed</w:t>
            </w:r>
            <w:r>
              <w:rPr>
                <w:spacing w:val="-13"/>
                <w:sz w:val="20"/>
              </w:rPr>
              <w:t xml:space="preserve"> </w:t>
            </w:r>
            <w:r>
              <w:rPr>
                <w:sz w:val="20"/>
              </w:rPr>
              <w:t>App:</w:t>
            </w:r>
            <w:r>
              <w:rPr>
                <w:spacing w:val="-12"/>
                <w:sz w:val="20"/>
              </w:rPr>
              <w:t xml:space="preserve"> </w:t>
            </w:r>
            <w:r>
              <w:rPr>
                <w:sz w:val="20"/>
              </w:rPr>
              <w:t>Uninterruptible Power Supplies</w:t>
            </w:r>
          </w:p>
        </w:tc>
        <w:tc>
          <w:tcPr>
            <w:tcW w:w="1157" w:type="dxa"/>
            <w:tcBorders>
              <w:top w:val="single" w:color="D9D9D9" w:sz="2" w:space="0"/>
              <w:bottom w:val="single" w:color="D9D9D9" w:sz="2" w:space="0"/>
            </w:tcBorders>
          </w:tcPr>
          <w:p w:rsidR="00C31389" w:rsidRDefault="00561FBD" w14:paraId="339E8ABF" w14:textId="77777777">
            <w:pPr>
              <w:pStyle w:val="TableParagraph"/>
              <w:spacing w:before="155"/>
              <w:ind w:left="345"/>
              <w:rPr>
                <w:sz w:val="20"/>
              </w:rPr>
            </w:pPr>
            <w:r>
              <w:rPr>
                <w:spacing w:val="-5"/>
                <w:sz w:val="20"/>
              </w:rPr>
              <w:t>90%</w:t>
            </w:r>
          </w:p>
        </w:tc>
        <w:tc>
          <w:tcPr>
            <w:tcW w:w="1450" w:type="dxa"/>
            <w:tcBorders>
              <w:top w:val="single" w:color="D9D9D9" w:sz="2" w:space="0"/>
              <w:bottom w:val="single" w:color="D9D9D9" w:sz="2" w:space="0"/>
            </w:tcBorders>
          </w:tcPr>
          <w:p w:rsidR="00C31389" w:rsidRDefault="00561FBD" w14:paraId="643D8DA9" w14:textId="77777777">
            <w:pPr>
              <w:pStyle w:val="TableParagraph"/>
              <w:spacing w:before="155"/>
              <w:ind w:left="273" w:right="155"/>
              <w:jc w:val="center"/>
              <w:rPr>
                <w:sz w:val="20"/>
              </w:rPr>
            </w:pPr>
            <w:r>
              <w:rPr>
                <w:spacing w:val="-2"/>
                <w:sz w:val="20"/>
              </w:rPr>
              <w:t>02/01/23</w:t>
            </w:r>
          </w:p>
        </w:tc>
        <w:tc>
          <w:tcPr>
            <w:tcW w:w="1537" w:type="dxa"/>
            <w:tcBorders>
              <w:top w:val="single" w:color="D9D9D9" w:sz="2" w:space="0"/>
              <w:bottom w:val="single" w:color="D9D9D9" w:sz="2" w:space="0"/>
            </w:tcBorders>
          </w:tcPr>
          <w:p w:rsidR="00C31389" w:rsidRDefault="00561FBD" w14:paraId="28708927" w14:textId="77777777">
            <w:pPr>
              <w:pStyle w:val="TableParagraph"/>
              <w:spacing w:before="155"/>
              <w:ind w:left="158" w:right="149"/>
              <w:jc w:val="center"/>
              <w:rPr>
                <w:sz w:val="20"/>
              </w:rPr>
            </w:pPr>
            <w:r>
              <w:rPr>
                <w:spacing w:val="-2"/>
                <w:sz w:val="20"/>
              </w:rPr>
              <w:t>On-the-books</w:t>
            </w:r>
          </w:p>
        </w:tc>
      </w:tr>
      <w:tr w:rsidR="00C31389" w14:paraId="307A016D" w14:textId="77777777">
        <w:trPr>
          <w:trHeight w:val="539"/>
        </w:trPr>
        <w:tc>
          <w:tcPr>
            <w:tcW w:w="1373" w:type="dxa"/>
            <w:tcBorders>
              <w:top w:val="single" w:color="D9D9D9" w:sz="2" w:space="0"/>
              <w:bottom w:val="single" w:color="D9D9D9" w:sz="2" w:space="0"/>
            </w:tcBorders>
          </w:tcPr>
          <w:p w:rsidR="00C31389" w:rsidRDefault="00561FBD" w14:paraId="407FDF08"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049C1944" w14:textId="77777777">
            <w:pPr>
              <w:pStyle w:val="TableParagraph"/>
              <w:ind w:left="196" w:right="396"/>
              <w:rPr>
                <w:sz w:val="20"/>
              </w:rPr>
            </w:pPr>
            <w:r>
              <w:rPr>
                <w:sz w:val="20"/>
              </w:rPr>
              <w:t>2022-24</w:t>
            </w:r>
            <w:r>
              <w:rPr>
                <w:spacing w:val="-12"/>
                <w:sz w:val="20"/>
              </w:rPr>
              <w:t xml:space="preserve"> </w:t>
            </w:r>
            <w:r>
              <w:rPr>
                <w:sz w:val="20"/>
              </w:rPr>
              <w:t>Fed</w:t>
            </w:r>
            <w:r>
              <w:rPr>
                <w:spacing w:val="-13"/>
                <w:sz w:val="20"/>
              </w:rPr>
              <w:t xml:space="preserve"> </w:t>
            </w:r>
            <w:r>
              <w:rPr>
                <w:sz w:val="20"/>
              </w:rPr>
              <w:t>App:</w:t>
            </w:r>
            <w:r>
              <w:rPr>
                <w:spacing w:val="-12"/>
                <w:sz w:val="20"/>
              </w:rPr>
              <w:t xml:space="preserve"> </w:t>
            </w:r>
            <w:r>
              <w:rPr>
                <w:sz w:val="20"/>
              </w:rPr>
              <w:t xml:space="preserve">Commercial </w:t>
            </w:r>
            <w:r>
              <w:rPr>
                <w:spacing w:val="-2"/>
                <w:sz w:val="20"/>
              </w:rPr>
              <w:t>Boilers</w:t>
            </w:r>
          </w:p>
        </w:tc>
        <w:tc>
          <w:tcPr>
            <w:tcW w:w="1157" w:type="dxa"/>
            <w:tcBorders>
              <w:top w:val="single" w:color="D9D9D9" w:sz="2" w:space="0"/>
              <w:bottom w:val="single" w:color="D9D9D9" w:sz="2" w:space="0"/>
            </w:tcBorders>
          </w:tcPr>
          <w:p w:rsidR="00C31389" w:rsidRDefault="00561FBD" w14:paraId="73820205" w14:textId="77777777">
            <w:pPr>
              <w:pStyle w:val="TableParagraph"/>
              <w:spacing w:before="155"/>
              <w:ind w:left="344"/>
              <w:rPr>
                <w:sz w:val="20"/>
              </w:rPr>
            </w:pPr>
            <w:r>
              <w:rPr>
                <w:spacing w:val="-5"/>
                <w:sz w:val="20"/>
              </w:rPr>
              <w:t>95%</w:t>
            </w:r>
          </w:p>
        </w:tc>
        <w:tc>
          <w:tcPr>
            <w:tcW w:w="1450" w:type="dxa"/>
            <w:tcBorders>
              <w:top w:val="single" w:color="D9D9D9" w:sz="2" w:space="0"/>
              <w:bottom w:val="single" w:color="D9D9D9" w:sz="2" w:space="0"/>
            </w:tcBorders>
          </w:tcPr>
          <w:p w:rsidR="00C31389" w:rsidRDefault="00561FBD" w14:paraId="5D945C1F" w14:textId="77777777">
            <w:pPr>
              <w:pStyle w:val="TableParagraph"/>
              <w:spacing w:before="155"/>
              <w:ind w:left="273" w:right="155"/>
              <w:jc w:val="center"/>
              <w:rPr>
                <w:sz w:val="20"/>
              </w:rPr>
            </w:pPr>
            <w:r>
              <w:rPr>
                <w:spacing w:val="-2"/>
                <w:sz w:val="20"/>
              </w:rPr>
              <w:t>02/01/23</w:t>
            </w:r>
          </w:p>
        </w:tc>
        <w:tc>
          <w:tcPr>
            <w:tcW w:w="1537" w:type="dxa"/>
            <w:tcBorders>
              <w:top w:val="single" w:color="D9D9D9" w:sz="2" w:space="0"/>
              <w:bottom w:val="single" w:color="D9D9D9" w:sz="2" w:space="0"/>
            </w:tcBorders>
          </w:tcPr>
          <w:p w:rsidR="00C31389" w:rsidRDefault="00561FBD" w14:paraId="1F9EF717" w14:textId="77777777">
            <w:pPr>
              <w:pStyle w:val="TableParagraph"/>
              <w:spacing w:before="155"/>
              <w:ind w:left="158" w:right="149"/>
              <w:jc w:val="center"/>
              <w:rPr>
                <w:sz w:val="20"/>
              </w:rPr>
            </w:pPr>
            <w:r>
              <w:rPr>
                <w:spacing w:val="-2"/>
                <w:sz w:val="20"/>
              </w:rPr>
              <w:t>On-the-books</w:t>
            </w:r>
          </w:p>
        </w:tc>
      </w:tr>
      <w:tr w:rsidR="00C31389" w14:paraId="1D529050" w14:textId="77777777">
        <w:trPr>
          <w:trHeight w:val="539"/>
        </w:trPr>
        <w:tc>
          <w:tcPr>
            <w:tcW w:w="1373" w:type="dxa"/>
            <w:tcBorders>
              <w:top w:val="single" w:color="D9D9D9" w:sz="2" w:space="0"/>
              <w:bottom w:val="single" w:color="D9D9D9" w:sz="2" w:space="0"/>
            </w:tcBorders>
          </w:tcPr>
          <w:p w:rsidR="00C31389" w:rsidRDefault="00561FBD" w14:paraId="539584CB" w14:textId="77777777">
            <w:pPr>
              <w:pStyle w:val="TableParagraph"/>
              <w:spacing w:before="155"/>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2A14438D" w14:textId="77777777">
            <w:pPr>
              <w:pStyle w:val="TableParagraph"/>
              <w:ind w:left="196" w:right="92"/>
              <w:rPr>
                <w:sz w:val="20"/>
              </w:rPr>
            </w:pPr>
            <w:r>
              <w:rPr>
                <w:sz w:val="20"/>
              </w:rPr>
              <w:t>2022-24</w:t>
            </w:r>
            <w:r>
              <w:rPr>
                <w:spacing w:val="-9"/>
                <w:sz w:val="20"/>
              </w:rPr>
              <w:t xml:space="preserve"> </w:t>
            </w:r>
            <w:r>
              <w:rPr>
                <w:sz w:val="20"/>
              </w:rPr>
              <w:t>Fed</w:t>
            </w:r>
            <w:r>
              <w:rPr>
                <w:spacing w:val="-10"/>
                <w:sz w:val="20"/>
              </w:rPr>
              <w:t xml:space="preserve"> </w:t>
            </w:r>
            <w:r>
              <w:rPr>
                <w:sz w:val="20"/>
              </w:rPr>
              <w:t>App:</w:t>
            </w:r>
            <w:r>
              <w:rPr>
                <w:spacing w:val="-9"/>
                <w:sz w:val="20"/>
              </w:rPr>
              <w:t xml:space="preserve"> </w:t>
            </w:r>
            <w:r>
              <w:rPr>
                <w:sz w:val="20"/>
              </w:rPr>
              <w:t>Residential</w:t>
            </w:r>
            <w:r>
              <w:rPr>
                <w:spacing w:val="-9"/>
                <w:sz w:val="20"/>
              </w:rPr>
              <w:t xml:space="preserve"> </w:t>
            </w:r>
            <w:r>
              <w:rPr>
                <w:sz w:val="20"/>
              </w:rPr>
              <w:t>Central AC &amp; HP</w:t>
            </w:r>
          </w:p>
        </w:tc>
        <w:tc>
          <w:tcPr>
            <w:tcW w:w="1157" w:type="dxa"/>
            <w:tcBorders>
              <w:top w:val="single" w:color="D9D9D9" w:sz="2" w:space="0"/>
              <w:bottom w:val="single" w:color="D9D9D9" w:sz="2" w:space="0"/>
            </w:tcBorders>
          </w:tcPr>
          <w:p w:rsidR="00C31389" w:rsidRDefault="00561FBD" w14:paraId="66704FF6" w14:textId="77777777">
            <w:pPr>
              <w:pStyle w:val="TableParagraph"/>
              <w:spacing w:before="155"/>
              <w:ind w:left="345"/>
              <w:rPr>
                <w:sz w:val="20"/>
              </w:rPr>
            </w:pPr>
            <w:r>
              <w:rPr>
                <w:spacing w:val="-5"/>
                <w:sz w:val="20"/>
              </w:rPr>
              <w:t>95%</w:t>
            </w:r>
          </w:p>
        </w:tc>
        <w:tc>
          <w:tcPr>
            <w:tcW w:w="1450" w:type="dxa"/>
            <w:tcBorders>
              <w:top w:val="single" w:color="D9D9D9" w:sz="2" w:space="0"/>
              <w:bottom w:val="single" w:color="D9D9D9" w:sz="2" w:space="0"/>
            </w:tcBorders>
          </w:tcPr>
          <w:p w:rsidR="00C31389" w:rsidRDefault="00561FBD" w14:paraId="7DB8851A" w14:textId="77777777">
            <w:pPr>
              <w:pStyle w:val="TableParagraph"/>
              <w:spacing w:before="155"/>
              <w:ind w:left="273" w:right="155"/>
              <w:jc w:val="center"/>
              <w:rPr>
                <w:sz w:val="20"/>
              </w:rPr>
            </w:pPr>
            <w:r>
              <w:rPr>
                <w:spacing w:val="-2"/>
                <w:sz w:val="20"/>
              </w:rPr>
              <w:t>02/01/23</w:t>
            </w:r>
          </w:p>
        </w:tc>
        <w:tc>
          <w:tcPr>
            <w:tcW w:w="1537" w:type="dxa"/>
            <w:tcBorders>
              <w:top w:val="single" w:color="D9D9D9" w:sz="2" w:space="0"/>
              <w:bottom w:val="single" w:color="D9D9D9" w:sz="2" w:space="0"/>
            </w:tcBorders>
          </w:tcPr>
          <w:p w:rsidR="00C31389" w:rsidRDefault="00561FBD" w14:paraId="2AD73680" w14:textId="77777777">
            <w:pPr>
              <w:pStyle w:val="TableParagraph"/>
              <w:spacing w:before="155"/>
              <w:ind w:left="158" w:right="149"/>
              <w:jc w:val="center"/>
              <w:rPr>
                <w:sz w:val="20"/>
              </w:rPr>
            </w:pPr>
            <w:r>
              <w:rPr>
                <w:spacing w:val="-2"/>
                <w:sz w:val="20"/>
              </w:rPr>
              <w:t>On-the-books</w:t>
            </w:r>
          </w:p>
        </w:tc>
      </w:tr>
      <w:tr w:rsidR="00C31389" w14:paraId="156A4956" w14:textId="77777777">
        <w:trPr>
          <w:trHeight w:val="309"/>
        </w:trPr>
        <w:tc>
          <w:tcPr>
            <w:tcW w:w="1373" w:type="dxa"/>
            <w:tcBorders>
              <w:top w:val="single" w:color="D9D9D9" w:sz="2" w:space="0"/>
              <w:bottom w:val="single" w:color="D9D9D9" w:sz="2" w:space="0"/>
            </w:tcBorders>
          </w:tcPr>
          <w:p w:rsidR="00C31389" w:rsidRDefault="00561FBD" w14:paraId="03770F4E" w14:textId="77777777">
            <w:pPr>
              <w:pStyle w:val="TableParagraph"/>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0992C655" w14:textId="77777777">
            <w:pPr>
              <w:pStyle w:val="TableParagraph"/>
              <w:ind w:left="196"/>
              <w:rPr>
                <w:sz w:val="20"/>
              </w:rPr>
            </w:pPr>
            <w:r>
              <w:rPr>
                <w:sz w:val="20"/>
              </w:rPr>
              <w:t>2022-24</w:t>
            </w:r>
            <w:r>
              <w:rPr>
                <w:spacing w:val="-3"/>
                <w:sz w:val="20"/>
              </w:rPr>
              <w:t xml:space="preserve"> </w:t>
            </w:r>
            <w:r>
              <w:rPr>
                <w:sz w:val="20"/>
              </w:rPr>
              <w:t>Fed</w:t>
            </w:r>
            <w:r>
              <w:rPr>
                <w:spacing w:val="-4"/>
                <w:sz w:val="20"/>
              </w:rPr>
              <w:t xml:space="preserve"> </w:t>
            </w:r>
            <w:r>
              <w:rPr>
                <w:sz w:val="20"/>
              </w:rPr>
              <w:t>App:</w:t>
            </w:r>
            <w:r>
              <w:rPr>
                <w:spacing w:val="-3"/>
                <w:sz w:val="20"/>
              </w:rPr>
              <w:t xml:space="preserve"> </w:t>
            </w:r>
            <w:r>
              <w:rPr>
                <w:sz w:val="20"/>
              </w:rPr>
              <w:t>Air</w:t>
            </w:r>
            <w:r>
              <w:rPr>
                <w:spacing w:val="-1"/>
                <w:sz w:val="20"/>
              </w:rPr>
              <w:t xml:space="preserve"> </w:t>
            </w:r>
            <w:r>
              <w:rPr>
                <w:spacing w:val="-2"/>
                <w:sz w:val="20"/>
              </w:rPr>
              <w:t>Compressors</w:t>
            </w:r>
          </w:p>
        </w:tc>
        <w:tc>
          <w:tcPr>
            <w:tcW w:w="1157" w:type="dxa"/>
            <w:tcBorders>
              <w:top w:val="single" w:color="D9D9D9" w:sz="2" w:space="0"/>
              <w:bottom w:val="single" w:color="D9D9D9" w:sz="2" w:space="0"/>
            </w:tcBorders>
          </w:tcPr>
          <w:p w:rsidR="00C31389" w:rsidRDefault="00561FBD" w14:paraId="5ECF57AF" w14:textId="77777777">
            <w:pPr>
              <w:pStyle w:val="TableParagraph"/>
              <w:ind w:left="344"/>
              <w:rPr>
                <w:sz w:val="20"/>
              </w:rPr>
            </w:pPr>
            <w:r>
              <w:rPr>
                <w:spacing w:val="-5"/>
                <w:sz w:val="20"/>
              </w:rPr>
              <w:t>90%</w:t>
            </w:r>
          </w:p>
        </w:tc>
        <w:tc>
          <w:tcPr>
            <w:tcW w:w="1450" w:type="dxa"/>
            <w:tcBorders>
              <w:top w:val="single" w:color="D9D9D9" w:sz="2" w:space="0"/>
              <w:bottom w:val="single" w:color="D9D9D9" w:sz="2" w:space="0"/>
            </w:tcBorders>
          </w:tcPr>
          <w:p w:rsidR="00C31389" w:rsidRDefault="00561FBD" w14:paraId="5363C63D" w14:textId="77777777">
            <w:pPr>
              <w:pStyle w:val="TableParagraph"/>
              <w:ind w:left="273" w:right="155"/>
              <w:jc w:val="center"/>
              <w:rPr>
                <w:sz w:val="20"/>
              </w:rPr>
            </w:pPr>
            <w:r>
              <w:rPr>
                <w:spacing w:val="-2"/>
                <w:sz w:val="20"/>
              </w:rPr>
              <w:t>02/01/23</w:t>
            </w:r>
          </w:p>
        </w:tc>
        <w:tc>
          <w:tcPr>
            <w:tcW w:w="1537" w:type="dxa"/>
            <w:tcBorders>
              <w:top w:val="single" w:color="D9D9D9" w:sz="2" w:space="0"/>
              <w:bottom w:val="single" w:color="D9D9D9" w:sz="2" w:space="0"/>
            </w:tcBorders>
          </w:tcPr>
          <w:p w:rsidR="00C31389" w:rsidRDefault="00561FBD" w14:paraId="35B9010E" w14:textId="77777777">
            <w:pPr>
              <w:pStyle w:val="TableParagraph"/>
              <w:ind w:left="158" w:right="149"/>
              <w:jc w:val="center"/>
              <w:rPr>
                <w:sz w:val="20"/>
              </w:rPr>
            </w:pPr>
            <w:r>
              <w:rPr>
                <w:spacing w:val="-2"/>
                <w:sz w:val="20"/>
              </w:rPr>
              <w:t>On-the-books</w:t>
            </w:r>
          </w:p>
        </w:tc>
      </w:tr>
      <w:tr w:rsidR="00C31389" w14:paraId="372458CC" w14:textId="77777777">
        <w:trPr>
          <w:trHeight w:val="310"/>
        </w:trPr>
        <w:tc>
          <w:tcPr>
            <w:tcW w:w="1373" w:type="dxa"/>
            <w:tcBorders>
              <w:top w:val="single" w:color="D9D9D9" w:sz="2" w:space="0"/>
              <w:bottom w:val="single" w:color="D9D9D9" w:sz="2" w:space="0"/>
            </w:tcBorders>
          </w:tcPr>
          <w:p w:rsidR="00C31389" w:rsidRDefault="00561FBD" w14:paraId="298C1427" w14:textId="77777777">
            <w:pPr>
              <w:pStyle w:val="TableParagraph"/>
              <w:spacing w:before="41"/>
              <w:ind w:left="129"/>
              <w:rPr>
                <w:sz w:val="20"/>
              </w:rPr>
            </w:pPr>
            <w:r>
              <w:rPr>
                <w:spacing w:val="-2"/>
                <w:sz w:val="20"/>
              </w:rPr>
              <w:t>Federal</w:t>
            </w:r>
          </w:p>
        </w:tc>
        <w:tc>
          <w:tcPr>
            <w:tcW w:w="3856" w:type="dxa"/>
            <w:tcBorders>
              <w:top w:val="single" w:color="D9D9D9" w:sz="2" w:space="0"/>
              <w:bottom w:val="single" w:color="D9D9D9" w:sz="2" w:space="0"/>
            </w:tcBorders>
          </w:tcPr>
          <w:p w:rsidR="00C31389" w:rsidRDefault="00561FBD" w14:paraId="7DEDE093" w14:textId="77777777">
            <w:pPr>
              <w:pStyle w:val="TableParagraph"/>
              <w:spacing w:before="41"/>
              <w:ind w:left="196"/>
              <w:rPr>
                <w:sz w:val="20"/>
              </w:rPr>
            </w:pPr>
            <w:r>
              <w:rPr>
                <w:sz w:val="20"/>
              </w:rPr>
              <w:t>2022-24</w:t>
            </w:r>
            <w:r>
              <w:rPr>
                <w:spacing w:val="-4"/>
                <w:sz w:val="20"/>
              </w:rPr>
              <w:t xml:space="preserve"> </w:t>
            </w:r>
            <w:r>
              <w:rPr>
                <w:sz w:val="20"/>
              </w:rPr>
              <w:t>Fed</w:t>
            </w:r>
            <w:r>
              <w:rPr>
                <w:spacing w:val="-3"/>
                <w:sz w:val="20"/>
              </w:rPr>
              <w:t xml:space="preserve"> </w:t>
            </w:r>
            <w:r>
              <w:rPr>
                <w:sz w:val="20"/>
              </w:rPr>
              <w:t>App:</w:t>
            </w:r>
            <w:r>
              <w:rPr>
                <w:spacing w:val="-4"/>
                <w:sz w:val="20"/>
              </w:rPr>
              <w:t xml:space="preserve"> </w:t>
            </w:r>
            <w:r>
              <w:rPr>
                <w:sz w:val="20"/>
              </w:rPr>
              <w:t>Portable</w:t>
            </w:r>
            <w:r>
              <w:rPr>
                <w:spacing w:val="-3"/>
                <w:sz w:val="20"/>
              </w:rPr>
              <w:t xml:space="preserve"> </w:t>
            </w:r>
            <w:r>
              <w:rPr>
                <w:spacing w:val="-5"/>
                <w:sz w:val="20"/>
              </w:rPr>
              <w:t>ACs</w:t>
            </w:r>
          </w:p>
        </w:tc>
        <w:tc>
          <w:tcPr>
            <w:tcW w:w="1157" w:type="dxa"/>
            <w:tcBorders>
              <w:top w:val="single" w:color="D9D9D9" w:sz="2" w:space="0"/>
              <w:bottom w:val="single" w:color="D9D9D9" w:sz="2" w:space="0"/>
            </w:tcBorders>
          </w:tcPr>
          <w:p w:rsidR="00C31389" w:rsidRDefault="00561FBD" w14:paraId="29CD6163" w14:textId="77777777">
            <w:pPr>
              <w:pStyle w:val="TableParagraph"/>
              <w:spacing w:before="41"/>
              <w:ind w:left="345"/>
              <w:rPr>
                <w:sz w:val="20"/>
              </w:rPr>
            </w:pPr>
            <w:r>
              <w:rPr>
                <w:spacing w:val="-5"/>
                <w:sz w:val="20"/>
              </w:rPr>
              <w:t>90%</w:t>
            </w:r>
          </w:p>
        </w:tc>
        <w:tc>
          <w:tcPr>
            <w:tcW w:w="1450" w:type="dxa"/>
            <w:tcBorders>
              <w:top w:val="single" w:color="D9D9D9" w:sz="2" w:space="0"/>
              <w:bottom w:val="single" w:color="D9D9D9" w:sz="2" w:space="0"/>
            </w:tcBorders>
          </w:tcPr>
          <w:p w:rsidR="00C31389" w:rsidRDefault="00561FBD" w14:paraId="471DE1B7" w14:textId="77777777">
            <w:pPr>
              <w:pStyle w:val="TableParagraph"/>
              <w:spacing w:before="41"/>
              <w:ind w:left="273" w:right="155"/>
              <w:jc w:val="center"/>
              <w:rPr>
                <w:sz w:val="20"/>
              </w:rPr>
            </w:pPr>
            <w:r>
              <w:rPr>
                <w:spacing w:val="-2"/>
                <w:sz w:val="20"/>
              </w:rPr>
              <w:t>02/01/23</w:t>
            </w:r>
          </w:p>
        </w:tc>
        <w:tc>
          <w:tcPr>
            <w:tcW w:w="1537" w:type="dxa"/>
            <w:tcBorders>
              <w:top w:val="single" w:color="D9D9D9" w:sz="2" w:space="0"/>
              <w:bottom w:val="single" w:color="D9D9D9" w:sz="2" w:space="0"/>
            </w:tcBorders>
          </w:tcPr>
          <w:p w:rsidR="00C31389" w:rsidRDefault="00561FBD" w14:paraId="6068FFA5" w14:textId="77777777">
            <w:pPr>
              <w:pStyle w:val="TableParagraph"/>
              <w:spacing w:before="41"/>
              <w:ind w:left="158" w:right="149"/>
              <w:jc w:val="center"/>
              <w:rPr>
                <w:sz w:val="20"/>
              </w:rPr>
            </w:pPr>
            <w:r>
              <w:rPr>
                <w:spacing w:val="-2"/>
                <w:sz w:val="20"/>
              </w:rPr>
              <w:t>On-the-books</w:t>
            </w:r>
          </w:p>
        </w:tc>
      </w:tr>
      <w:tr w:rsidR="00C31389" w14:paraId="1793A7E7" w14:textId="77777777">
        <w:trPr>
          <w:trHeight w:val="309"/>
        </w:trPr>
        <w:tc>
          <w:tcPr>
            <w:tcW w:w="1373" w:type="dxa"/>
            <w:tcBorders>
              <w:top w:val="single" w:color="D9D9D9" w:sz="2" w:space="0"/>
              <w:bottom w:val="single" w:color="D9D9D9" w:sz="2" w:space="0"/>
            </w:tcBorders>
          </w:tcPr>
          <w:p w:rsidR="00C31389" w:rsidRDefault="00561FBD" w14:paraId="086F6D9E" w14:textId="77777777">
            <w:pPr>
              <w:pStyle w:val="TableParagraph"/>
              <w:ind w:left="129"/>
              <w:rPr>
                <w:sz w:val="20"/>
              </w:rPr>
            </w:pPr>
            <w:r>
              <w:rPr>
                <w:sz w:val="20"/>
              </w:rPr>
              <w:t>Future</w:t>
            </w:r>
            <w:r>
              <w:rPr>
                <w:spacing w:val="-4"/>
                <w:sz w:val="20"/>
              </w:rPr>
              <w:t xml:space="preserve"> </w:t>
            </w:r>
            <w:r>
              <w:rPr>
                <w:sz w:val="20"/>
              </w:rPr>
              <w:t>T-</w:t>
            </w:r>
            <w:r>
              <w:rPr>
                <w:spacing w:val="-5"/>
                <w:sz w:val="20"/>
              </w:rPr>
              <w:t>24</w:t>
            </w:r>
          </w:p>
        </w:tc>
        <w:tc>
          <w:tcPr>
            <w:tcW w:w="3856" w:type="dxa"/>
            <w:tcBorders>
              <w:top w:val="single" w:color="D9D9D9" w:sz="2" w:space="0"/>
              <w:bottom w:val="single" w:color="D9D9D9" w:sz="2" w:space="0"/>
            </w:tcBorders>
          </w:tcPr>
          <w:p w:rsidR="00C31389" w:rsidRDefault="00561FBD" w14:paraId="35CD0244" w14:textId="77777777">
            <w:pPr>
              <w:pStyle w:val="TableParagraph"/>
              <w:ind w:left="196"/>
              <w:rPr>
                <w:sz w:val="20"/>
              </w:rPr>
            </w:pPr>
            <w:r>
              <w:rPr>
                <w:sz w:val="20"/>
              </w:rPr>
              <w:t>2025</w:t>
            </w:r>
            <w:r>
              <w:rPr>
                <w:spacing w:val="-2"/>
                <w:sz w:val="20"/>
              </w:rPr>
              <w:t xml:space="preserve"> </w:t>
            </w:r>
            <w:r>
              <w:rPr>
                <w:sz w:val="20"/>
              </w:rPr>
              <w:t>T-24:</w:t>
            </w:r>
            <w:r>
              <w:rPr>
                <w:spacing w:val="-2"/>
                <w:sz w:val="20"/>
              </w:rPr>
              <w:t xml:space="preserve"> </w:t>
            </w:r>
            <w:r>
              <w:rPr>
                <w:spacing w:val="-5"/>
                <w:sz w:val="20"/>
              </w:rPr>
              <w:t>NRA</w:t>
            </w:r>
          </w:p>
        </w:tc>
        <w:tc>
          <w:tcPr>
            <w:tcW w:w="1157" w:type="dxa"/>
            <w:tcBorders>
              <w:top w:val="single" w:color="D9D9D9" w:sz="2" w:space="0"/>
              <w:bottom w:val="single" w:color="D9D9D9" w:sz="2" w:space="0"/>
            </w:tcBorders>
          </w:tcPr>
          <w:p w:rsidR="00C31389" w:rsidRDefault="00561FBD" w14:paraId="14DCC991" w14:textId="77777777">
            <w:pPr>
              <w:pStyle w:val="TableParagraph"/>
              <w:ind w:left="344"/>
              <w:rPr>
                <w:sz w:val="20"/>
              </w:rPr>
            </w:pPr>
            <w:r>
              <w:rPr>
                <w:spacing w:val="-5"/>
                <w:sz w:val="20"/>
              </w:rPr>
              <w:t>80%</w:t>
            </w:r>
          </w:p>
        </w:tc>
        <w:tc>
          <w:tcPr>
            <w:tcW w:w="1450" w:type="dxa"/>
            <w:tcBorders>
              <w:top w:val="single" w:color="D9D9D9" w:sz="2" w:space="0"/>
              <w:bottom w:val="single" w:color="D9D9D9" w:sz="2" w:space="0"/>
            </w:tcBorders>
          </w:tcPr>
          <w:p w:rsidR="00C31389" w:rsidRDefault="00561FBD" w14:paraId="752D7180" w14:textId="77777777">
            <w:pPr>
              <w:pStyle w:val="TableParagraph"/>
              <w:ind w:left="273" w:right="155"/>
              <w:jc w:val="center"/>
              <w:rPr>
                <w:sz w:val="20"/>
              </w:rPr>
            </w:pPr>
            <w:r>
              <w:rPr>
                <w:spacing w:val="-2"/>
                <w:sz w:val="20"/>
              </w:rPr>
              <w:t>1/30/2026</w:t>
            </w:r>
          </w:p>
        </w:tc>
        <w:tc>
          <w:tcPr>
            <w:tcW w:w="1537" w:type="dxa"/>
            <w:tcBorders>
              <w:top w:val="single" w:color="D9D9D9" w:sz="2" w:space="0"/>
              <w:bottom w:val="single" w:color="D9D9D9" w:sz="2" w:space="0"/>
            </w:tcBorders>
          </w:tcPr>
          <w:p w:rsidR="00C31389" w:rsidRDefault="00561FBD" w14:paraId="6B6833AF" w14:textId="77777777">
            <w:pPr>
              <w:pStyle w:val="TableParagraph"/>
              <w:ind w:left="158" w:right="148"/>
              <w:jc w:val="center"/>
              <w:rPr>
                <w:sz w:val="20"/>
              </w:rPr>
            </w:pPr>
            <w:r>
              <w:rPr>
                <w:spacing w:val="-2"/>
                <w:sz w:val="20"/>
              </w:rPr>
              <w:t>Expected</w:t>
            </w:r>
          </w:p>
        </w:tc>
      </w:tr>
      <w:tr w:rsidR="00C31389" w14:paraId="6AC29B4E" w14:textId="77777777">
        <w:trPr>
          <w:trHeight w:val="310"/>
        </w:trPr>
        <w:tc>
          <w:tcPr>
            <w:tcW w:w="1373" w:type="dxa"/>
            <w:tcBorders>
              <w:top w:val="single" w:color="D9D9D9" w:sz="2" w:space="0"/>
              <w:bottom w:val="single" w:color="D9D9D9" w:sz="2" w:space="0"/>
            </w:tcBorders>
          </w:tcPr>
          <w:p w:rsidR="00C31389" w:rsidRDefault="00561FBD" w14:paraId="169D0EFB" w14:textId="77777777">
            <w:pPr>
              <w:pStyle w:val="TableParagraph"/>
              <w:spacing w:before="41"/>
              <w:ind w:left="129"/>
              <w:rPr>
                <w:sz w:val="20"/>
              </w:rPr>
            </w:pPr>
            <w:r>
              <w:rPr>
                <w:sz w:val="20"/>
              </w:rPr>
              <w:t>Future</w:t>
            </w:r>
            <w:r>
              <w:rPr>
                <w:spacing w:val="-4"/>
                <w:sz w:val="20"/>
              </w:rPr>
              <w:t xml:space="preserve"> </w:t>
            </w:r>
            <w:r>
              <w:rPr>
                <w:sz w:val="20"/>
              </w:rPr>
              <w:t>T-</w:t>
            </w:r>
            <w:r>
              <w:rPr>
                <w:spacing w:val="-5"/>
                <w:sz w:val="20"/>
              </w:rPr>
              <w:t>24</w:t>
            </w:r>
          </w:p>
        </w:tc>
        <w:tc>
          <w:tcPr>
            <w:tcW w:w="3856" w:type="dxa"/>
            <w:tcBorders>
              <w:top w:val="single" w:color="D9D9D9" w:sz="2" w:space="0"/>
              <w:bottom w:val="single" w:color="D9D9D9" w:sz="2" w:space="0"/>
            </w:tcBorders>
          </w:tcPr>
          <w:p w:rsidR="00C31389" w:rsidRDefault="00561FBD" w14:paraId="2254604B" w14:textId="77777777">
            <w:pPr>
              <w:pStyle w:val="TableParagraph"/>
              <w:spacing w:before="41"/>
              <w:ind w:left="196"/>
              <w:rPr>
                <w:sz w:val="20"/>
              </w:rPr>
            </w:pPr>
            <w:r>
              <w:rPr>
                <w:sz w:val="20"/>
              </w:rPr>
              <w:t>2025</w:t>
            </w:r>
            <w:r>
              <w:rPr>
                <w:spacing w:val="-4"/>
                <w:sz w:val="20"/>
              </w:rPr>
              <w:t xml:space="preserve"> </w:t>
            </w:r>
            <w:r>
              <w:rPr>
                <w:sz w:val="20"/>
              </w:rPr>
              <w:t>T-24:</w:t>
            </w:r>
            <w:r>
              <w:rPr>
                <w:spacing w:val="-4"/>
                <w:sz w:val="20"/>
              </w:rPr>
              <w:t xml:space="preserve"> </w:t>
            </w:r>
            <w:r>
              <w:rPr>
                <w:sz w:val="20"/>
              </w:rPr>
              <w:t>NRNC-Whole</w:t>
            </w:r>
            <w:r>
              <w:rPr>
                <w:spacing w:val="-4"/>
                <w:sz w:val="20"/>
              </w:rPr>
              <w:t xml:space="preserve"> </w:t>
            </w:r>
            <w:r>
              <w:rPr>
                <w:spacing w:val="-2"/>
                <w:sz w:val="20"/>
              </w:rPr>
              <w:t>Building</w:t>
            </w:r>
          </w:p>
        </w:tc>
        <w:tc>
          <w:tcPr>
            <w:tcW w:w="1157" w:type="dxa"/>
            <w:tcBorders>
              <w:top w:val="single" w:color="D9D9D9" w:sz="2" w:space="0"/>
              <w:bottom w:val="single" w:color="D9D9D9" w:sz="2" w:space="0"/>
            </w:tcBorders>
          </w:tcPr>
          <w:p w:rsidR="00C31389" w:rsidRDefault="00561FBD" w14:paraId="19FEDE10" w14:textId="77777777">
            <w:pPr>
              <w:pStyle w:val="TableParagraph"/>
              <w:spacing w:before="41"/>
              <w:ind w:left="345"/>
              <w:rPr>
                <w:sz w:val="20"/>
              </w:rPr>
            </w:pPr>
            <w:r>
              <w:rPr>
                <w:spacing w:val="-5"/>
                <w:sz w:val="20"/>
              </w:rPr>
              <w:t>80%</w:t>
            </w:r>
          </w:p>
        </w:tc>
        <w:tc>
          <w:tcPr>
            <w:tcW w:w="1450" w:type="dxa"/>
            <w:tcBorders>
              <w:top w:val="single" w:color="D9D9D9" w:sz="2" w:space="0"/>
              <w:bottom w:val="single" w:color="D9D9D9" w:sz="2" w:space="0"/>
            </w:tcBorders>
          </w:tcPr>
          <w:p w:rsidR="00C31389" w:rsidRDefault="00561FBD" w14:paraId="6199C3DB" w14:textId="77777777">
            <w:pPr>
              <w:pStyle w:val="TableParagraph"/>
              <w:spacing w:before="41"/>
              <w:ind w:left="273" w:right="156"/>
              <w:jc w:val="center"/>
              <w:rPr>
                <w:sz w:val="20"/>
              </w:rPr>
            </w:pPr>
            <w:r>
              <w:rPr>
                <w:spacing w:val="-2"/>
                <w:sz w:val="20"/>
              </w:rPr>
              <w:t>10/30/2026</w:t>
            </w:r>
          </w:p>
        </w:tc>
        <w:tc>
          <w:tcPr>
            <w:tcW w:w="1537" w:type="dxa"/>
            <w:tcBorders>
              <w:top w:val="single" w:color="D9D9D9" w:sz="2" w:space="0"/>
              <w:bottom w:val="single" w:color="D9D9D9" w:sz="2" w:space="0"/>
            </w:tcBorders>
          </w:tcPr>
          <w:p w:rsidR="00C31389" w:rsidRDefault="00561FBD" w14:paraId="62FBA3AA" w14:textId="77777777">
            <w:pPr>
              <w:pStyle w:val="TableParagraph"/>
              <w:spacing w:before="41"/>
              <w:ind w:left="158" w:right="148"/>
              <w:jc w:val="center"/>
              <w:rPr>
                <w:sz w:val="20"/>
              </w:rPr>
            </w:pPr>
            <w:r>
              <w:rPr>
                <w:spacing w:val="-2"/>
                <w:sz w:val="20"/>
              </w:rPr>
              <w:t>Expected</w:t>
            </w:r>
          </w:p>
        </w:tc>
      </w:tr>
      <w:tr w:rsidR="00C31389" w14:paraId="4DFF43A1" w14:textId="77777777">
        <w:trPr>
          <w:trHeight w:val="309"/>
        </w:trPr>
        <w:tc>
          <w:tcPr>
            <w:tcW w:w="1373" w:type="dxa"/>
            <w:tcBorders>
              <w:top w:val="single" w:color="D9D9D9" w:sz="2" w:space="0"/>
              <w:bottom w:val="single" w:color="D9D9D9" w:sz="2" w:space="0"/>
            </w:tcBorders>
          </w:tcPr>
          <w:p w:rsidR="00C31389" w:rsidRDefault="00561FBD" w14:paraId="46CCE46A" w14:textId="77777777">
            <w:pPr>
              <w:pStyle w:val="TableParagraph"/>
              <w:ind w:left="129"/>
              <w:rPr>
                <w:sz w:val="20"/>
              </w:rPr>
            </w:pPr>
            <w:r>
              <w:rPr>
                <w:sz w:val="20"/>
              </w:rPr>
              <w:t>Future</w:t>
            </w:r>
            <w:r>
              <w:rPr>
                <w:spacing w:val="-4"/>
                <w:sz w:val="20"/>
              </w:rPr>
              <w:t xml:space="preserve"> </w:t>
            </w:r>
            <w:r>
              <w:rPr>
                <w:sz w:val="20"/>
              </w:rPr>
              <w:t>T-</w:t>
            </w:r>
            <w:r>
              <w:rPr>
                <w:spacing w:val="-5"/>
                <w:sz w:val="20"/>
              </w:rPr>
              <w:t>24</w:t>
            </w:r>
          </w:p>
        </w:tc>
        <w:tc>
          <w:tcPr>
            <w:tcW w:w="3856" w:type="dxa"/>
            <w:tcBorders>
              <w:top w:val="single" w:color="D9D9D9" w:sz="2" w:space="0"/>
              <w:bottom w:val="single" w:color="D9D9D9" w:sz="2" w:space="0"/>
            </w:tcBorders>
          </w:tcPr>
          <w:p w:rsidR="00C31389" w:rsidRDefault="00561FBD" w14:paraId="3D63919F" w14:textId="77777777">
            <w:pPr>
              <w:pStyle w:val="TableParagraph"/>
              <w:ind w:left="196"/>
              <w:rPr>
                <w:sz w:val="20"/>
              </w:rPr>
            </w:pPr>
            <w:r>
              <w:rPr>
                <w:sz w:val="20"/>
              </w:rPr>
              <w:t>2028</w:t>
            </w:r>
            <w:r>
              <w:rPr>
                <w:spacing w:val="-2"/>
                <w:sz w:val="20"/>
              </w:rPr>
              <w:t xml:space="preserve"> </w:t>
            </w:r>
            <w:r>
              <w:rPr>
                <w:sz w:val="20"/>
              </w:rPr>
              <w:t>T-24:</w:t>
            </w:r>
            <w:r>
              <w:rPr>
                <w:spacing w:val="-2"/>
                <w:sz w:val="20"/>
              </w:rPr>
              <w:t xml:space="preserve"> </w:t>
            </w:r>
            <w:r>
              <w:rPr>
                <w:spacing w:val="-5"/>
                <w:sz w:val="20"/>
              </w:rPr>
              <w:t>NRA</w:t>
            </w:r>
          </w:p>
        </w:tc>
        <w:tc>
          <w:tcPr>
            <w:tcW w:w="1157" w:type="dxa"/>
            <w:tcBorders>
              <w:top w:val="single" w:color="D9D9D9" w:sz="2" w:space="0"/>
              <w:bottom w:val="single" w:color="D9D9D9" w:sz="2" w:space="0"/>
            </w:tcBorders>
          </w:tcPr>
          <w:p w:rsidR="00C31389" w:rsidRDefault="00561FBD" w14:paraId="2FD655CF" w14:textId="77777777">
            <w:pPr>
              <w:pStyle w:val="TableParagraph"/>
              <w:ind w:left="344"/>
              <w:rPr>
                <w:sz w:val="20"/>
              </w:rPr>
            </w:pPr>
            <w:r>
              <w:rPr>
                <w:spacing w:val="-5"/>
                <w:sz w:val="20"/>
              </w:rPr>
              <w:t>80%</w:t>
            </w:r>
          </w:p>
        </w:tc>
        <w:tc>
          <w:tcPr>
            <w:tcW w:w="1450" w:type="dxa"/>
            <w:tcBorders>
              <w:top w:val="single" w:color="D9D9D9" w:sz="2" w:space="0"/>
              <w:bottom w:val="single" w:color="D9D9D9" w:sz="2" w:space="0"/>
            </w:tcBorders>
          </w:tcPr>
          <w:p w:rsidR="00C31389" w:rsidRDefault="00561FBD" w14:paraId="4CA69FE5" w14:textId="77777777">
            <w:pPr>
              <w:pStyle w:val="TableParagraph"/>
              <w:ind w:left="273" w:right="155"/>
              <w:jc w:val="center"/>
              <w:rPr>
                <w:sz w:val="20"/>
              </w:rPr>
            </w:pPr>
            <w:r>
              <w:rPr>
                <w:spacing w:val="-2"/>
                <w:sz w:val="20"/>
              </w:rPr>
              <w:t>1/29/2029</w:t>
            </w:r>
          </w:p>
        </w:tc>
        <w:tc>
          <w:tcPr>
            <w:tcW w:w="1537" w:type="dxa"/>
            <w:tcBorders>
              <w:top w:val="single" w:color="D9D9D9" w:sz="2" w:space="0"/>
              <w:bottom w:val="single" w:color="D9D9D9" w:sz="2" w:space="0"/>
            </w:tcBorders>
          </w:tcPr>
          <w:p w:rsidR="00C31389" w:rsidRDefault="00561FBD" w14:paraId="2F50E8C9" w14:textId="77777777">
            <w:pPr>
              <w:pStyle w:val="TableParagraph"/>
              <w:ind w:left="158" w:right="149"/>
              <w:jc w:val="center"/>
              <w:rPr>
                <w:sz w:val="20"/>
              </w:rPr>
            </w:pPr>
            <w:r>
              <w:rPr>
                <w:spacing w:val="-2"/>
                <w:sz w:val="20"/>
              </w:rPr>
              <w:t>Possible</w:t>
            </w:r>
          </w:p>
        </w:tc>
      </w:tr>
      <w:tr w:rsidR="00C31389" w14:paraId="7ABEE371" w14:textId="77777777">
        <w:trPr>
          <w:trHeight w:val="310"/>
        </w:trPr>
        <w:tc>
          <w:tcPr>
            <w:tcW w:w="1373" w:type="dxa"/>
            <w:tcBorders>
              <w:top w:val="single" w:color="D9D9D9" w:sz="2" w:space="0"/>
              <w:bottom w:val="single" w:color="000000" w:sz="8" w:space="0"/>
            </w:tcBorders>
          </w:tcPr>
          <w:p w:rsidR="00C31389" w:rsidRDefault="00561FBD" w14:paraId="54D264CF" w14:textId="77777777">
            <w:pPr>
              <w:pStyle w:val="TableParagraph"/>
              <w:ind w:left="129"/>
              <w:rPr>
                <w:sz w:val="20"/>
              </w:rPr>
            </w:pPr>
            <w:r>
              <w:rPr>
                <w:sz w:val="20"/>
              </w:rPr>
              <w:t>Future</w:t>
            </w:r>
            <w:r>
              <w:rPr>
                <w:spacing w:val="-4"/>
                <w:sz w:val="20"/>
              </w:rPr>
              <w:t xml:space="preserve"> </w:t>
            </w:r>
            <w:r>
              <w:rPr>
                <w:sz w:val="20"/>
              </w:rPr>
              <w:t>T-</w:t>
            </w:r>
            <w:r>
              <w:rPr>
                <w:spacing w:val="-5"/>
                <w:sz w:val="20"/>
              </w:rPr>
              <w:t>24</w:t>
            </w:r>
          </w:p>
        </w:tc>
        <w:tc>
          <w:tcPr>
            <w:tcW w:w="3856" w:type="dxa"/>
            <w:tcBorders>
              <w:top w:val="single" w:color="D9D9D9" w:sz="2" w:space="0"/>
              <w:bottom w:val="single" w:color="000000" w:sz="8" w:space="0"/>
            </w:tcBorders>
          </w:tcPr>
          <w:p w:rsidR="00C31389" w:rsidRDefault="00561FBD" w14:paraId="26723391" w14:textId="77777777">
            <w:pPr>
              <w:pStyle w:val="TableParagraph"/>
              <w:ind w:left="196"/>
              <w:rPr>
                <w:sz w:val="20"/>
              </w:rPr>
            </w:pPr>
            <w:r>
              <w:rPr>
                <w:sz w:val="20"/>
              </w:rPr>
              <w:t>2028</w:t>
            </w:r>
            <w:r>
              <w:rPr>
                <w:spacing w:val="-4"/>
                <w:sz w:val="20"/>
              </w:rPr>
              <w:t xml:space="preserve"> </w:t>
            </w:r>
            <w:r>
              <w:rPr>
                <w:sz w:val="20"/>
              </w:rPr>
              <w:t>T-24:</w:t>
            </w:r>
            <w:r>
              <w:rPr>
                <w:spacing w:val="-4"/>
                <w:sz w:val="20"/>
              </w:rPr>
              <w:t xml:space="preserve"> </w:t>
            </w:r>
            <w:r>
              <w:rPr>
                <w:sz w:val="20"/>
              </w:rPr>
              <w:t>NRNC-Whole</w:t>
            </w:r>
            <w:r>
              <w:rPr>
                <w:spacing w:val="-4"/>
                <w:sz w:val="20"/>
              </w:rPr>
              <w:t xml:space="preserve"> </w:t>
            </w:r>
            <w:r>
              <w:rPr>
                <w:spacing w:val="-2"/>
                <w:sz w:val="20"/>
              </w:rPr>
              <w:t>Building</w:t>
            </w:r>
          </w:p>
        </w:tc>
        <w:tc>
          <w:tcPr>
            <w:tcW w:w="1157" w:type="dxa"/>
            <w:tcBorders>
              <w:top w:val="single" w:color="D9D9D9" w:sz="2" w:space="0"/>
              <w:bottom w:val="single" w:color="000000" w:sz="8" w:space="0"/>
            </w:tcBorders>
          </w:tcPr>
          <w:p w:rsidR="00C31389" w:rsidRDefault="00561FBD" w14:paraId="0630F767" w14:textId="77777777">
            <w:pPr>
              <w:pStyle w:val="TableParagraph"/>
              <w:ind w:left="345"/>
              <w:rPr>
                <w:sz w:val="20"/>
              </w:rPr>
            </w:pPr>
            <w:r>
              <w:rPr>
                <w:spacing w:val="-5"/>
                <w:sz w:val="20"/>
              </w:rPr>
              <w:t>80%</w:t>
            </w:r>
          </w:p>
        </w:tc>
        <w:tc>
          <w:tcPr>
            <w:tcW w:w="1450" w:type="dxa"/>
            <w:tcBorders>
              <w:top w:val="single" w:color="D9D9D9" w:sz="2" w:space="0"/>
              <w:bottom w:val="single" w:color="000000" w:sz="8" w:space="0"/>
            </w:tcBorders>
          </w:tcPr>
          <w:p w:rsidR="00C31389" w:rsidRDefault="00561FBD" w14:paraId="1F8FE6F6" w14:textId="77777777">
            <w:pPr>
              <w:pStyle w:val="TableParagraph"/>
              <w:ind w:left="273" w:right="156"/>
              <w:jc w:val="center"/>
              <w:rPr>
                <w:sz w:val="20"/>
              </w:rPr>
            </w:pPr>
            <w:r>
              <w:rPr>
                <w:spacing w:val="-2"/>
                <w:sz w:val="20"/>
              </w:rPr>
              <w:t>10/29/2029</w:t>
            </w:r>
          </w:p>
        </w:tc>
        <w:tc>
          <w:tcPr>
            <w:tcW w:w="1537" w:type="dxa"/>
            <w:tcBorders>
              <w:top w:val="single" w:color="D9D9D9" w:sz="2" w:space="0"/>
              <w:bottom w:val="single" w:color="000000" w:sz="8" w:space="0"/>
            </w:tcBorders>
          </w:tcPr>
          <w:p w:rsidR="00C31389" w:rsidRDefault="00561FBD" w14:paraId="6E9C3C36" w14:textId="77777777">
            <w:pPr>
              <w:pStyle w:val="TableParagraph"/>
              <w:ind w:left="158" w:right="149"/>
              <w:jc w:val="center"/>
              <w:rPr>
                <w:sz w:val="20"/>
              </w:rPr>
            </w:pPr>
            <w:r>
              <w:rPr>
                <w:spacing w:val="-2"/>
                <w:sz w:val="20"/>
              </w:rPr>
              <w:t>Possible</w:t>
            </w:r>
          </w:p>
        </w:tc>
      </w:tr>
    </w:tbl>
    <w:p w:rsidR="00C31389" w:rsidRDefault="00561FBD" w14:paraId="082861C3" w14:textId="77777777">
      <w:pPr>
        <w:spacing w:before="73"/>
        <w:ind w:left="480"/>
        <w:rPr>
          <w:i/>
          <w:sz w:val="18"/>
        </w:rPr>
      </w:pPr>
      <w:r>
        <w:rPr>
          <w:i/>
          <w:sz w:val="18"/>
        </w:rPr>
        <w:t>Source:</w:t>
      </w:r>
      <w:r>
        <w:rPr>
          <w:i/>
          <w:spacing w:val="-4"/>
          <w:sz w:val="18"/>
        </w:rPr>
        <w:t xml:space="preserve"> </w:t>
      </w:r>
      <w:r>
        <w:rPr>
          <w:i/>
          <w:spacing w:val="-2"/>
          <w:sz w:val="18"/>
        </w:rPr>
        <w:t>Guidehouse</w:t>
      </w:r>
    </w:p>
    <w:p w:rsidR="00C31389" w:rsidRDefault="00C31389" w14:paraId="103B251F" w14:textId="77777777">
      <w:pPr>
        <w:pStyle w:val="BodyText"/>
        <w:spacing w:before="10"/>
        <w:rPr>
          <w:i/>
          <w:sz w:val="20"/>
        </w:rPr>
      </w:pPr>
    </w:p>
    <w:p w:rsidR="00C31389" w:rsidRDefault="00561FBD" w14:paraId="480BE157" w14:textId="77777777">
      <w:pPr>
        <w:pStyle w:val="BodyText"/>
        <w:ind w:left="480"/>
      </w:pPr>
      <w:hyperlink w:history="1" w:anchor="_bookmark463">
        <w:r>
          <w:t>Table</w:t>
        </w:r>
        <w:r>
          <w:rPr>
            <w:spacing w:val="-6"/>
          </w:rPr>
          <w:t xml:space="preserve"> </w:t>
        </w:r>
        <w:r>
          <w:t>F-2</w:t>
        </w:r>
      </w:hyperlink>
      <w:r>
        <w:rPr>
          <w:spacing w:val="-6"/>
        </w:rPr>
        <w:t xml:space="preserve"> </w:t>
      </w:r>
      <w:r>
        <w:t>specifies</w:t>
      </w:r>
      <w:r>
        <w:rPr>
          <w:spacing w:val="-7"/>
        </w:rPr>
        <w:t xml:space="preserve"> </w:t>
      </w:r>
      <w:r>
        <w:t>all</w:t>
      </w:r>
      <w:r>
        <w:rPr>
          <w:spacing w:val="-5"/>
        </w:rPr>
        <w:t xml:space="preserve"> </w:t>
      </w:r>
      <w:r>
        <w:t>standards</w:t>
      </w:r>
      <w:r>
        <w:rPr>
          <w:spacing w:val="-6"/>
        </w:rPr>
        <w:t xml:space="preserve"> </w:t>
      </w:r>
      <w:r>
        <w:t>that</w:t>
      </w:r>
      <w:r>
        <w:rPr>
          <w:spacing w:val="-6"/>
        </w:rPr>
        <w:t xml:space="preserve"> </w:t>
      </w:r>
      <w:r>
        <w:t>are</w:t>
      </w:r>
      <w:r>
        <w:rPr>
          <w:spacing w:val="-5"/>
        </w:rPr>
        <w:t xml:space="preserve"> </w:t>
      </w:r>
      <w:r>
        <w:t>assumed</w:t>
      </w:r>
      <w:r>
        <w:rPr>
          <w:spacing w:val="-6"/>
        </w:rPr>
        <w:t xml:space="preserve"> </w:t>
      </w:r>
      <w:r>
        <w:t>to</w:t>
      </w:r>
      <w:r>
        <w:rPr>
          <w:spacing w:val="-6"/>
        </w:rPr>
        <w:t xml:space="preserve"> </w:t>
      </w:r>
      <w:r>
        <w:t>be</w:t>
      </w:r>
      <w:r>
        <w:rPr>
          <w:spacing w:val="-6"/>
        </w:rPr>
        <w:t xml:space="preserve"> </w:t>
      </w:r>
      <w:r>
        <w:t>superseded</w:t>
      </w:r>
      <w:r>
        <w:rPr>
          <w:spacing w:val="-5"/>
        </w:rPr>
        <w:t xml:space="preserve"> </w:t>
      </w:r>
      <w:r>
        <w:t>by</w:t>
      </w:r>
      <w:r>
        <w:rPr>
          <w:spacing w:val="-7"/>
        </w:rPr>
        <w:t xml:space="preserve"> </w:t>
      </w:r>
      <w:r>
        <w:t>other</w:t>
      </w:r>
      <w:r>
        <w:rPr>
          <w:spacing w:val="-6"/>
        </w:rPr>
        <w:t xml:space="preserve"> </w:t>
      </w:r>
      <w:r>
        <w:rPr>
          <w:spacing w:val="-2"/>
        </w:rPr>
        <w:t>standards.</w:t>
      </w:r>
    </w:p>
    <w:p w:rsidR="00C31389" w:rsidRDefault="00C31389" w14:paraId="0AD0A099" w14:textId="77777777">
      <w:pPr>
        <w:sectPr w:rsidR="00C31389">
          <w:pgSz w:w="11910" w:h="16840"/>
          <w:pgMar w:top="1380" w:right="1020" w:bottom="1120" w:left="960" w:header="397" w:footer="938" w:gutter="0"/>
          <w:cols w:space="720"/>
        </w:sectPr>
      </w:pPr>
    </w:p>
    <w:p w:rsidR="00C31389" w:rsidRDefault="00C31389" w14:paraId="00ADC6D5" w14:textId="77777777">
      <w:pPr>
        <w:pStyle w:val="BodyText"/>
        <w:spacing w:before="11"/>
        <w:rPr>
          <w:sz w:val="13"/>
        </w:rPr>
      </w:pPr>
    </w:p>
    <w:p w:rsidR="00C31389" w:rsidRDefault="00561FBD" w14:paraId="25B1842A" w14:textId="77777777">
      <w:pPr>
        <w:pStyle w:val="Heading7"/>
        <w:spacing w:before="92"/>
        <w:ind w:left="398" w:right="340"/>
        <w:jc w:val="center"/>
      </w:pPr>
      <w:bookmarkStart w:name="_bookmark463" w:id="601"/>
      <w:bookmarkEnd w:id="601"/>
      <w:r>
        <w:t>Table</w:t>
      </w:r>
      <w:r>
        <w:rPr>
          <w:spacing w:val="-9"/>
        </w:rPr>
        <w:t xml:space="preserve"> </w:t>
      </w:r>
      <w:r>
        <w:t>F-2.</w:t>
      </w:r>
      <w:r>
        <w:rPr>
          <w:spacing w:val="-9"/>
        </w:rPr>
        <w:t xml:space="preserve"> </w:t>
      </w:r>
      <w:r>
        <w:t>Superseded</w:t>
      </w:r>
      <w:r>
        <w:rPr>
          <w:spacing w:val="-8"/>
        </w:rPr>
        <w:t xml:space="preserve"> </w:t>
      </w:r>
      <w:r>
        <w:rPr>
          <w:spacing w:val="-5"/>
        </w:rPr>
        <w:t>C&amp;S</w:t>
      </w:r>
    </w:p>
    <w:p w:rsidR="00C31389" w:rsidRDefault="00C31389" w14:paraId="26280E3C" w14:textId="77777777">
      <w:pPr>
        <w:pStyle w:val="BodyText"/>
        <w:spacing w:before="7" w:after="1"/>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3424"/>
        <w:gridCol w:w="3218"/>
        <w:gridCol w:w="2731"/>
      </w:tblGrid>
      <w:tr w:rsidR="00C31389" w14:paraId="69F085CA" w14:textId="77777777">
        <w:trPr>
          <w:trHeight w:val="549"/>
        </w:trPr>
        <w:tc>
          <w:tcPr>
            <w:tcW w:w="3424" w:type="dxa"/>
            <w:shd w:val="clear" w:color="auto" w:fill="92D400"/>
          </w:tcPr>
          <w:p w:rsidR="00C31389" w:rsidRDefault="00561FBD" w14:paraId="69B6E401" w14:textId="77777777">
            <w:pPr>
              <w:pStyle w:val="TableParagraph"/>
              <w:spacing w:before="155"/>
              <w:ind w:left="129"/>
              <w:rPr>
                <w:b/>
                <w:sz w:val="20"/>
              </w:rPr>
            </w:pPr>
            <w:r>
              <w:rPr>
                <w:b/>
                <w:sz w:val="20"/>
              </w:rPr>
              <w:t>Superseded</w:t>
            </w:r>
            <w:r>
              <w:rPr>
                <w:b/>
                <w:spacing w:val="-6"/>
                <w:sz w:val="20"/>
              </w:rPr>
              <w:t xml:space="preserve"> </w:t>
            </w:r>
            <w:r>
              <w:rPr>
                <w:b/>
                <w:sz w:val="20"/>
              </w:rPr>
              <w:t>Code</w:t>
            </w:r>
            <w:r>
              <w:rPr>
                <w:b/>
                <w:spacing w:val="-4"/>
                <w:sz w:val="20"/>
              </w:rPr>
              <w:t xml:space="preserve"> </w:t>
            </w:r>
            <w:r>
              <w:rPr>
                <w:b/>
                <w:sz w:val="20"/>
              </w:rPr>
              <w:t>or</w:t>
            </w:r>
            <w:r>
              <w:rPr>
                <w:b/>
                <w:spacing w:val="-4"/>
                <w:sz w:val="20"/>
              </w:rPr>
              <w:t xml:space="preserve"> </w:t>
            </w:r>
            <w:r>
              <w:rPr>
                <w:b/>
                <w:spacing w:val="-2"/>
                <w:sz w:val="20"/>
              </w:rPr>
              <w:t>Standard</w:t>
            </w:r>
          </w:p>
        </w:tc>
        <w:tc>
          <w:tcPr>
            <w:tcW w:w="3218" w:type="dxa"/>
            <w:shd w:val="clear" w:color="auto" w:fill="92D400"/>
          </w:tcPr>
          <w:p w:rsidR="00C31389" w:rsidRDefault="00561FBD" w14:paraId="2855F882" w14:textId="77777777">
            <w:pPr>
              <w:pStyle w:val="TableParagraph"/>
              <w:spacing w:before="155"/>
              <w:ind w:left="125"/>
              <w:rPr>
                <w:b/>
                <w:sz w:val="20"/>
              </w:rPr>
            </w:pPr>
            <w:r>
              <w:rPr>
                <w:b/>
                <w:sz w:val="20"/>
              </w:rPr>
              <w:t>Superseding</w:t>
            </w:r>
            <w:r>
              <w:rPr>
                <w:b/>
                <w:spacing w:val="-6"/>
                <w:sz w:val="20"/>
              </w:rPr>
              <w:t xml:space="preserve"> </w:t>
            </w:r>
            <w:r>
              <w:rPr>
                <w:b/>
                <w:sz w:val="20"/>
              </w:rPr>
              <w:t>Code</w:t>
            </w:r>
            <w:r>
              <w:rPr>
                <w:b/>
                <w:spacing w:val="-4"/>
                <w:sz w:val="20"/>
              </w:rPr>
              <w:t xml:space="preserve"> </w:t>
            </w:r>
            <w:r>
              <w:rPr>
                <w:b/>
                <w:sz w:val="20"/>
              </w:rPr>
              <w:t>or</w:t>
            </w:r>
            <w:r>
              <w:rPr>
                <w:b/>
                <w:spacing w:val="-4"/>
                <w:sz w:val="20"/>
              </w:rPr>
              <w:t xml:space="preserve"> </w:t>
            </w:r>
            <w:r>
              <w:rPr>
                <w:b/>
                <w:spacing w:val="-2"/>
                <w:sz w:val="20"/>
              </w:rPr>
              <w:t>Standard</w:t>
            </w:r>
          </w:p>
        </w:tc>
        <w:tc>
          <w:tcPr>
            <w:tcW w:w="2731" w:type="dxa"/>
            <w:shd w:val="clear" w:color="auto" w:fill="92D400"/>
          </w:tcPr>
          <w:p w:rsidR="00C31389" w:rsidRDefault="00561FBD" w14:paraId="052B51DF" w14:textId="77777777">
            <w:pPr>
              <w:pStyle w:val="TableParagraph"/>
              <w:spacing w:before="155"/>
              <w:ind w:left="147"/>
              <w:rPr>
                <w:b/>
                <w:sz w:val="20"/>
              </w:rPr>
            </w:pPr>
            <w:r>
              <w:rPr>
                <w:b/>
                <w:spacing w:val="-2"/>
                <w:sz w:val="20"/>
              </w:rPr>
              <w:t>Source</w:t>
            </w:r>
          </w:p>
        </w:tc>
      </w:tr>
      <w:tr w:rsidR="00C31389" w14:paraId="54358AB4" w14:textId="77777777">
        <w:trPr>
          <w:trHeight w:val="603"/>
        </w:trPr>
        <w:tc>
          <w:tcPr>
            <w:tcW w:w="3424" w:type="dxa"/>
            <w:tcBorders>
              <w:bottom w:val="single" w:color="D9D9D9" w:sz="2" w:space="0"/>
            </w:tcBorders>
          </w:tcPr>
          <w:p w:rsidR="00C31389" w:rsidRDefault="00561FBD" w14:paraId="4B4995E9" w14:textId="77777777">
            <w:pPr>
              <w:pStyle w:val="TableParagraph"/>
              <w:spacing w:before="71"/>
              <w:ind w:left="129"/>
              <w:rPr>
                <w:sz w:val="20"/>
              </w:rPr>
            </w:pPr>
            <w:r>
              <w:rPr>
                <w:sz w:val="20"/>
              </w:rPr>
              <w:t xml:space="preserve">2005 T-20: Walk-in </w:t>
            </w:r>
            <w:r>
              <w:rPr>
                <w:spacing w:val="-2"/>
                <w:sz w:val="20"/>
              </w:rPr>
              <w:t>Refrigerators/Freezers</w:t>
            </w:r>
          </w:p>
        </w:tc>
        <w:tc>
          <w:tcPr>
            <w:tcW w:w="3218" w:type="dxa"/>
            <w:tcBorders>
              <w:bottom w:val="single" w:color="D9D9D9" w:sz="2" w:space="0"/>
            </w:tcBorders>
          </w:tcPr>
          <w:p w:rsidR="00C31389" w:rsidRDefault="00561FBD" w14:paraId="6108EB54" w14:textId="77777777">
            <w:pPr>
              <w:pStyle w:val="TableParagraph"/>
              <w:spacing w:before="71"/>
              <w:ind w:left="125" w:right="358"/>
              <w:rPr>
                <w:sz w:val="20"/>
              </w:rPr>
            </w:pPr>
            <w:r>
              <w:rPr>
                <w:sz w:val="20"/>
              </w:rPr>
              <w:t>Fed</w:t>
            </w:r>
            <w:r>
              <w:rPr>
                <w:spacing w:val="-14"/>
                <w:sz w:val="20"/>
              </w:rPr>
              <w:t xml:space="preserve"> </w:t>
            </w:r>
            <w:r>
              <w:rPr>
                <w:sz w:val="20"/>
              </w:rPr>
              <w:t>Appliance:</w:t>
            </w:r>
            <w:r>
              <w:rPr>
                <w:spacing w:val="-14"/>
                <w:sz w:val="20"/>
              </w:rPr>
              <w:t xml:space="preserve"> </w:t>
            </w:r>
            <w:r>
              <w:rPr>
                <w:sz w:val="20"/>
              </w:rPr>
              <w:t>Walk-in</w:t>
            </w:r>
            <w:r>
              <w:rPr>
                <w:spacing w:val="-14"/>
                <w:sz w:val="20"/>
              </w:rPr>
              <w:t xml:space="preserve"> </w:t>
            </w:r>
            <w:r>
              <w:rPr>
                <w:sz w:val="20"/>
              </w:rPr>
              <w:t>coolers and freezers</w:t>
            </w:r>
          </w:p>
        </w:tc>
        <w:tc>
          <w:tcPr>
            <w:tcW w:w="2731" w:type="dxa"/>
            <w:tcBorders>
              <w:bottom w:val="single" w:color="D9D9D9" w:sz="2" w:space="0"/>
            </w:tcBorders>
          </w:tcPr>
          <w:p w:rsidR="00C31389" w:rsidRDefault="00561FBD" w14:paraId="2E38CDA2" w14:textId="77777777">
            <w:pPr>
              <w:pStyle w:val="TableParagraph"/>
              <w:spacing w:before="187"/>
              <w:ind w:left="147"/>
              <w:rPr>
                <w:sz w:val="20"/>
              </w:rPr>
            </w:pPr>
            <w:r>
              <w:rPr>
                <w:spacing w:val="-2"/>
                <w:sz w:val="20"/>
              </w:rPr>
              <w:t>Guidehouse</w:t>
            </w:r>
            <w:r>
              <w:rPr>
                <w:spacing w:val="4"/>
                <w:sz w:val="20"/>
              </w:rPr>
              <w:t xml:space="preserve"> </w:t>
            </w:r>
            <w:r>
              <w:rPr>
                <w:spacing w:val="-2"/>
                <w:sz w:val="20"/>
              </w:rPr>
              <w:t>assumption</w:t>
            </w:r>
          </w:p>
        </w:tc>
      </w:tr>
      <w:tr w:rsidR="00C31389" w14:paraId="0742F495" w14:textId="77777777">
        <w:trPr>
          <w:trHeight w:val="791"/>
        </w:trPr>
        <w:tc>
          <w:tcPr>
            <w:tcW w:w="3424" w:type="dxa"/>
            <w:tcBorders>
              <w:top w:val="single" w:color="D9D9D9" w:sz="2" w:space="0"/>
              <w:bottom w:val="single" w:color="D9D9D9" w:sz="2" w:space="0"/>
            </w:tcBorders>
          </w:tcPr>
          <w:p w:rsidR="00C31389" w:rsidRDefault="00561FBD" w14:paraId="251706D7" w14:textId="77777777">
            <w:pPr>
              <w:pStyle w:val="TableParagraph"/>
              <w:spacing w:before="166"/>
              <w:ind w:left="129" w:right="132"/>
              <w:rPr>
                <w:sz w:val="20"/>
              </w:rPr>
            </w:pPr>
            <w:r>
              <w:rPr>
                <w:sz w:val="20"/>
              </w:rPr>
              <w:t>2005</w:t>
            </w:r>
            <w:r>
              <w:rPr>
                <w:spacing w:val="-14"/>
                <w:sz w:val="20"/>
              </w:rPr>
              <w:t xml:space="preserve"> </w:t>
            </w:r>
            <w:r>
              <w:rPr>
                <w:sz w:val="20"/>
              </w:rPr>
              <w:t>T-20:</w:t>
            </w:r>
            <w:r>
              <w:rPr>
                <w:spacing w:val="-14"/>
                <w:sz w:val="20"/>
              </w:rPr>
              <w:t xml:space="preserve"> </w:t>
            </w:r>
            <w:r>
              <w:rPr>
                <w:sz w:val="20"/>
              </w:rPr>
              <w:t>Commercial</w:t>
            </w:r>
            <w:r>
              <w:rPr>
                <w:spacing w:val="-14"/>
                <w:sz w:val="20"/>
              </w:rPr>
              <w:t xml:space="preserve"> </w:t>
            </w:r>
            <w:r>
              <w:rPr>
                <w:sz w:val="20"/>
              </w:rPr>
              <w:t>Dishwasher Pre-Rinse Spray Valves</w:t>
            </w:r>
          </w:p>
        </w:tc>
        <w:tc>
          <w:tcPr>
            <w:tcW w:w="3218" w:type="dxa"/>
            <w:tcBorders>
              <w:top w:val="single" w:color="D9D9D9" w:sz="2" w:space="0"/>
              <w:bottom w:val="single" w:color="D9D9D9" w:sz="2" w:space="0"/>
            </w:tcBorders>
          </w:tcPr>
          <w:p w:rsidR="00C31389" w:rsidRDefault="00561FBD" w14:paraId="7F6E2BB6" w14:textId="77777777">
            <w:pPr>
              <w:pStyle w:val="TableParagraph"/>
              <w:spacing w:before="166"/>
              <w:ind w:left="125" w:right="258"/>
              <w:rPr>
                <w:sz w:val="20"/>
              </w:rPr>
            </w:pPr>
            <w:r>
              <w:rPr>
                <w:sz w:val="20"/>
              </w:rPr>
              <w:t>Fed</w:t>
            </w:r>
            <w:r>
              <w:rPr>
                <w:spacing w:val="-14"/>
                <w:sz w:val="20"/>
              </w:rPr>
              <w:t xml:space="preserve"> </w:t>
            </w:r>
            <w:r>
              <w:rPr>
                <w:sz w:val="20"/>
              </w:rPr>
              <w:t>Appliance:</w:t>
            </w:r>
            <w:r>
              <w:rPr>
                <w:spacing w:val="-14"/>
                <w:sz w:val="20"/>
              </w:rPr>
              <w:t xml:space="preserve"> </w:t>
            </w:r>
            <w:r>
              <w:rPr>
                <w:sz w:val="20"/>
              </w:rPr>
              <w:t>Pre-Rinse</w:t>
            </w:r>
            <w:r>
              <w:rPr>
                <w:spacing w:val="-14"/>
                <w:sz w:val="20"/>
              </w:rPr>
              <w:t xml:space="preserve"> </w:t>
            </w:r>
            <w:r>
              <w:rPr>
                <w:sz w:val="20"/>
              </w:rPr>
              <w:t xml:space="preserve">Spray </w:t>
            </w:r>
            <w:r>
              <w:rPr>
                <w:spacing w:val="-2"/>
                <w:sz w:val="20"/>
              </w:rPr>
              <w:t>Valves</w:t>
            </w:r>
          </w:p>
        </w:tc>
        <w:tc>
          <w:tcPr>
            <w:tcW w:w="2731" w:type="dxa"/>
            <w:tcBorders>
              <w:top w:val="single" w:color="D9D9D9" w:sz="2" w:space="0"/>
              <w:bottom w:val="single" w:color="D9D9D9" w:sz="2" w:space="0"/>
            </w:tcBorders>
          </w:tcPr>
          <w:p w:rsidR="00C31389" w:rsidRDefault="00C31389" w14:paraId="408FDB81" w14:textId="77777777">
            <w:pPr>
              <w:pStyle w:val="TableParagraph"/>
              <w:spacing w:before="5"/>
              <w:rPr>
                <w:b/>
                <w:sz w:val="24"/>
              </w:rPr>
            </w:pPr>
          </w:p>
          <w:p w:rsidR="00C31389" w:rsidRDefault="00561FBD" w14:paraId="69E4BD66" w14:textId="77777777">
            <w:pPr>
              <w:pStyle w:val="TableParagraph"/>
              <w:spacing w:before="0"/>
              <w:ind w:left="147"/>
              <w:rPr>
                <w:sz w:val="20"/>
              </w:rPr>
            </w:pPr>
            <w:r>
              <w:rPr>
                <w:spacing w:val="-2"/>
                <w:sz w:val="20"/>
              </w:rPr>
              <w:t>Guidehouse</w:t>
            </w:r>
            <w:r>
              <w:rPr>
                <w:spacing w:val="4"/>
                <w:sz w:val="20"/>
              </w:rPr>
              <w:t xml:space="preserve"> </w:t>
            </w:r>
            <w:r>
              <w:rPr>
                <w:spacing w:val="-2"/>
                <w:sz w:val="20"/>
              </w:rPr>
              <w:t>assumption</w:t>
            </w:r>
          </w:p>
        </w:tc>
      </w:tr>
      <w:tr w:rsidR="00C31389" w14:paraId="642EB905" w14:textId="77777777">
        <w:trPr>
          <w:trHeight w:val="612"/>
        </w:trPr>
        <w:tc>
          <w:tcPr>
            <w:tcW w:w="3424" w:type="dxa"/>
            <w:tcBorders>
              <w:top w:val="single" w:color="D9D9D9" w:sz="2" w:space="0"/>
              <w:bottom w:val="single" w:color="000000" w:sz="8" w:space="0"/>
            </w:tcBorders>
          </w:tcPr>
          <w:p w:rsidR="00C31389" w:rsidRDefault="00561FBD" w14:paraId="2EADBBA4" w14:textId="77777777">
            <w:pPr>
              <w:pStyle w:val="TableParagraph"/>
              <w:spacing w:before="76"/>
              <w:ind w:left="129" w:right="123"/>
              <w:rPr>
                <w:sz w:val="20"/>
              </w:rPr>
            </w:pPr>
            <w:r>
              <w:rPr>
                <w:sz w:val="20"/>
              </w:rPr>
              <w:t>2006</w:t>
            </w:r>
            <w:r>
              <w:rPr>
                <w:spacing w:val="-14"/>
                <w:sz w:val="20"/>
              </w:rPr>
              <w:t xml:space="preserve"> </w:t>
            </w:r>
            <w:r>
              <w:rPr>
                <w:sz w:val="20"/>
              </w:rPr>
              <w:t>T-20:</w:t>
            </w:r>
            <w:r>
              <w:rPr>
                <w:spacing w:val="-14"/>
                <w:sz w:val="20"/>
              </w:rPr>
              <w:t xml:space="preserve"> </w:t>
            </w:r>
            <w:r>
              <w:rPr>
                <w:sz w:val="20"/>
              </w:rPr>
              <w:t>Residential</w:t>
            </w:r>
            <w:r>
              <w:rPr>
                <w:spacing w:val="-14"/>
                <w:sz w:val="20"/>
              </w:rPr>
              <w:t xml:space="preserve"> </w:t>
            </w:r>
            <w:r>
              <w:rPr>
                <w:sz w:val="20"/>
              </w:rPr>
              <w:t>Pool</w:t>
            </w:r>
            <w:r>
              <w:rPr>
                <w:spacing w:val="-14"/>
                <w:sz w:val="20"/>
              </w:rPr>
              <w:t xml:space="preserve"> </w:t>
            </w:r>
            <w:r>
              <w:rPr>
                <w:sz w:val="20"/>
              </w:rPr>
              <w:t>Pumps, 2-speed Motors, Tier 2</w:t>
            </w:r>
          </w:p>
        </w:tc>
        <w:tc>
          <w:tcPr>
            <w:tcW w:w="3218" w:type="dxa"/>
            <w:tcBorders>
              <w:top w:val="single" w:color="D9D9D9" w:sz="2" w:space="0"/>
              <w:bottom w:val="single" w:color="000000" w:sz="8" w:space="0"/>
            </w:tcBorders>
          </w:tcPr>
          <w:p w:rsidR="00C31389" w:rsidRDefault="00561FBD" w14:paraId="5A044F4E" w14:textId="77777777">
            <w:pPr>
              <w:pStyle w:val="TableParagraph"/>
              <w:spacing w:before="191"/>
              <w:ind w:left="125"/>
              <w:rPr>
                <w:sz w:val="20"/>
              </w:rPr>
            </w:pPr>
            <w:r>
              <w:rPr>
                <w:sz w:val="20"/>
              </w:rPr>
              <w:t>Fed</w:t>
            </w:r>
            <w:r>
              <w:rPr>
                <w:spacing w:val="-13"/>
                <w:sz w:val="20"/>
              </w:rPr>
              <w:t xml:space="preserve"> </w:t>
            </w:r>
            <w:r>
              <w:rPr>
                <w:sz w:val="20"/>
              </w:rPr>
              <w:t>Appliance:</w:t>
            </w:r>
            <w:r>
              <w:rPr>
                <w:spacing w:val="-12"/>
                <w:sz w:val="20"/>
              </w:rPr>
              <w:t xml:space="preserve"> </w:t>
            </w:r>
            <w:r>
              <w:rPr>
                <w:sz w:val="20"/>
              </w:rPr>
              <w:t>Pool</w:t>
            </w:r>
            <w:r>
              <w:rPr>
                <w:spacing w:val="-10"/>
                <w:sz w:val="20"/>
              </w:rPr>
              <w:t xml:space="preserve"> </w:t>
            </w:r>
            <w:r>
              <w:rPr>
                <w:spacing w:val="-4"/>
                <w:sz w:val="20"/>
              </w:rPr>
              <w:t>Pumps</w:t>
            </w:r>
          </w:p>
        </w:tc>
        <w:tc>
          <w:tcPr>
            <w:tcW w:w="2731" w:type="dxa"/>
            <w:tcBorders>
              <w:top w:val="single" w:color="D9D9D9" w:sz="2" w:space="0"/>
              <w:bottom w:val="single" w:color="000000" w:sz="8" w:space="0"/>
            </w:tcBorders>
          </w:tcPr>
          <w:p w:rsidR="00C31389" w:rsidRDefault="00561FBD" w14:paraId="72633D2C" w14:textId="77777777">
            <w:pPr>
              <w:pStyle w:val="TableParagraph"/>
              <w:spacing w:before="191"/>
              <w:ind w:left="147"/>
              <w:rPr>
                <w:sz w:val="20"/>
              </w:rPr>
            </w:pPr>
            <w:r>
              <w:rPr>
                <w:spacing w:val="-2"/>
                <w:sz w:val="20"/>
              </w:rPr>
              <w:t>Guidehouse</w:t>
            </w:r>
            <w:r>
              <w:rPr>
                <w:spacing w:val="4"/>
                <w:sz w:val="20"/>
              </w:rPr>
              <w:t xml:space="preserve"> </w:t>
            </w:r>
            <w:r>
              <w:rPr>
                <w:spacing w:val="-2"/>
                <w:sz w:val="20"/>
              </w:rPr>
              <w:t>assumption</w:t>
            </w:r>
          </w:p>
        </w:tc>
      </w:tr>
    </w:tbl>
    <w:p w:rsidR="00C31389" w:rsidRDefault="00561FBD" w14:paraId="6F7CCE5A" w14:textId="77777777">
      <w:pPr>
        <w:spacing w:before="72"/>
        <w:ind w:left="480"/>
        <w:rPr>
          <w:i/>
          <w:sz w:val="18"/>
        </w:rPr>
      </w:pPr>
      <w:r>
        <w:rPr>
          <w:i/>
          <w:sz w:val="18"/>
        </w:rPr>
        <w:t>Source:</w:t>
      </w:r>
      <w:r>
        <w:rPr>
          <w:i/>
          <w:spacing w:val="-4"/>
          <w:sz w:val="18"/>
        </w:rPr>
        <w:t xml:space="preserve"> </w:t>
      </w:r>
      <w:r>
        <w:rPr>
          <w:i/>
          <w:spacing w:val="-2"/>
          <w:sz w:val="18"/>
        </w:rPr>
        <w:t>Guidehouse</w:t>
      </w:r>
    </w:p>
    <w:p w:rsidR="00C31389" w:rsidRDefault="00C31389" w14:paraId="22055539" w14:textId="77777777">
      <w:pPr>
        <w:rPr>
          <w:sz w:val="18"/>
        </w:rPr>
        <w:sectPr w:rsidR="00C31389">
          <w:headerReference w:type="default" r:id="rId304"/>
          <w:footerReference w:type="default" r:id="rId305"/>
          <w:pgSz w:w="11910" w:h="16840"/>
          <w:pgMar w:top="1660" w:right="1020" w:bottom="1120" w:left="960" w:header="397" w:footer="938" w:gutter="0"/>
          <w:cols w:space="720"/>
        </w:sectPr>
      </w:pPr>
    </w:p>
    <w:p w:rsidR="00C31389" w:rsidRDefault="00C31389" w14:paraId="41A32F5E" w14:textId="77777777">
      <w:pPr>
        <w:pStyle w:val="BodyText"/>
        <w:spacing w:before="7"/>
        <w:rPr>
          <w:i/>
          <w:sz w:val="24"/>
        </w:rPr>
      </w:pPr>
    </w:p>
    <w:p w:rsidR="00C31389" w:rsidRDefault="00561FBD" w14:paraId="2C5D03D0" w14:textId="77777777">
      <w:pPr>
        <w:spacing w:before="90"/>
        <w:ind w:left="480" w:right="615"/>
        <w:rPr>
          <w:b/>
          <w:sz w:val="32"/>
        </w:rPr>
      </w:pPr>
      <w:bookmarkStart w:name="Appendix_G._Industrial_and_Agriculture_G" w:id="602"/>
      <w:bookmarkStart w:name="_bookmark464" w:id="603"/>
      <w:bookmarkEnd w:id="602"/>
      <w:bookmarkEnd w:id="603"/>
      <w:r>
        <w:rPr>
          <w:b/>
          <w:sz w:val="32"/>
        </w:rPr>
        <w:t>Appendix</w:t>
      </w:r>
      <w:r>
        <w:rPr>
          <w:b/>
          <w:spacing w:val="-6"/>
          <w:sz w:val="32"/>
        </w:rPr>
        <w:t xml:space="preserve"> </w:t>
      </w:r>
      <w:r>
        <w:rPr>
          <w:b/>
          <w:sz w:val="32"/>
        </w:rPr>
        <w:t>G.</w:t>
      </w:r>
      <w:r>
        <w:rPr>
          <w:b/>
          <w:spacing w:val="-7"/>
          <w:sz w:val="32"/>
        </w:rPr>
        <w:t xml:space="preserve"> </w:t>
      </w:r>
      <w:r>
        <w:rPr>
          <w:b/>
          <w:sz w:val="32"/>
        </w:rPr>
        <w:t>Industrial</w:t>
      </w:r>
      <w:r>
        <w:rPr>
          <w:b/>
          <w:spacing w:val="-7"/>
          <w:sz w:val="32"/>
        </w:rPr>
        <w:t xml:space="preserve"> </w:t>
      </w:r>
      <w:r>
        <w:rPr>
          <w:b/>
          <w:sz w:val="32"/>
        </w:rPr>
        <w:t>and</w:t>
      </w:r>
      <w:r>
        <w:rPr>
          <w:b/>
          <w:spacing w:val="-16"/>
          <w:sz w:val="32"/>
        </w:rPr>
        <w:t xml:space="preserve"> </w:t>
      </w:r>
      <w:r>
        <w:rPr>
          <w:b/>
          <w:sz w:val="32"/>
        </w:rPr>
        <w:t>Agriculture</w:t>
      </w:r>
      <w:r>
        <w:rPr>
          <w:b/>
          <w:spacing w:val="-7"/>
          <w:sz w:val="32"/>
        </w:rPr>
        <w:t xml:space="preserve"> </w:t>
      </w:r>
      <w:r>
        <w:rPr>
          <w:b/>
          <w:sz w:val="32"/>
        </w:rPr>
        <w:t>Generic</w:t>
      </w:r>
      <w:r>
        <w:rPr>
          <w:b/>
          <w:spacing w:val="-7"/>
          <w:sz w:val="32"/>
        </w:rPr>
        <w:t xml:space="preserve"> </w:t>
      </w:r>
      <w:r>
        <w:rPr>
          <w:b/>
          <w:sz w:val="32"/>
        </w:rPr>
        <w:t>Custom and Emerging Technologies</w:t>
      </w:r>
    </w:p>
    <w:p w:rsidR="00C31389" w:rsidRDefault="00C31389" w14:paraId="0768142A" w14:textId="77777777">
      <w:pPr>
        <w:pStyle w:val="BodyText"/>
        <w:spacing w:before="3"/>
        <w:rPr>
          <w:b/>
          <w:sz w:val="31"/>
        </w:rPr>
      </w:pPr>
    </w:p>
    <w:p w:rsidR="00C31389" w:rsidRDefault="00561FBD" w14:paraId="3EDA3B51" w14:textId="77777777">
      <w:pPr>
        <w:pStyle w:val="ListParagraph"/>
        <w:numPr>
          <w:ilvl w:val="1"/>
          <w:numId w:val="13"/>
        </w:numPr>
        <w:tabs>
          <w:tab w:val="left" w:pos="1007"/>
        </w:tabs>
        <w:ind w:left="1007" w:hanging="527"/>
        <w:rPr>
          <w:b/>
          <w:sz w:val="28"/>
        </w:rPr>
      </w:pPr>
      <w:bookmarkStart w:name="G.1_Industrial_and_Agriculture_Generic_C" w:id="604"/>
      <w:bookmarkStart w:name="_bookmark465" w:id="605"/>
      <w:bookmarkEnd w:id="604"/>
      <w:bookmarkEnd w:id="605"/>
      <w:r>
        <w:rPr>
          <w:b/>
          <w:sz w:val="28"/>
        </w:rPr>
        <w:t>Industrial</w:t>
      </w:r>
      <w:r>
        <w:rPr>
          <w:b/>
          <w:spacing w:val="-18"/>
          <w:sz w:val="28"/>
        </w:rPr>
        <w:t xml:space="preserve"> </w:t>
      </w:r>
      <w:r>
        <w:rPr>
          <w:b/>
          <w:sz w:val="28"/>
        </w:rPr>
        <w:t>and</w:t>
      </w:r>
      <w:r>
        <w:rPr>
          <w:b/>
          <w:spacing w:val="-19"/>
          <w:sz w:val="28"/>
        </w:rPr>
        <w:t xml:space="preserve"> </w:t>
      </w:r>
      <w:r>
        <w:rPr>
          <w:b/>
          <w:sz w:val="28"/>
        </w:rPr>
        <w:t>Agriculture</w:t>
      </w:r>
      <w:r>
        <w:rPr>
          <w:b/>
          <w:spacing w:val="-14"/>
          <w:sz w:val="28"/>
        </w:rPr>
        <w:t xml:space="preserve"> </w:t>
      </w:r>
      <w:r>
        <w:rPr>
          <w:b/>
          <w:sz w:val="28"/>
        </w:rPr>
        <w:t>Generic</w:t>
      </w:r>
      <w:r>
        <w:rPr>
          <w:b/>
          <w:spacing w:val="-13"/>
          <w:sz w:val="28"/>
        </w:rPr>
        <w:t xml:space="preserve"> </w:t>
      </w:r>
      <w:r>
        <w:rPr>
          <w:b/>
          <w:sz w:val="28"/>
        </w:rPr>
        <w:t>Custom</w:t>
      </w:r>
      <w:r>
        <w:rPr>
          <w:b/>
          <w:spacing w:val="-13"/>
          <w:sz w:val="28"/>
        </w:rPr>
        <w:t xml:space="preserve"> </w:t>
      </w:r>
      <w:r>
        <w:rPr>
          <w:b/>
          <w:spacing w:val="-2"/>
          <w:sz w:val="28"/>
        </w:rPr>
        <w:t>Measures</w:t>
      </w:r>
    </w:p>
    <w:p w:rsidR="00C31389" w:rsidRDefault="00C31389" w14:paraId="552264C5" w14:textId="77777777">
      <w:pPr>
        <w:pStyle w:val="BodyText"/>
        <w:spacing w:before="5"/>
        <w:rPr>
          <w:b/>
          <w:sz w:val="31"/>
        </w:rPr>
      </w:pPr>
    </w:p>
    <w:p w:rsidR="00C31389" w:rsidRDefault="00561FBD" w14:paraId="2380CB4F" w14:textId="77777777">
      <w:pPr>
        <w:pStyle w:val="ListParagraph"/>
        <w:numPr>
          <w:ilvl w:val="2"/>
          <w:numId w:val="13"/>
        </w:numPr>
        <w:tabs>
          <w:tab w:val="left" w:pos="1197"/>
        </w:tabs>
        <w:ind w:left="1197" w:hanging="717"/>
        <w:rPr>
          <w:b/>
          <w:sz w:val="24"/>
        </w:rPr>
      </w:pPr>
      <w:bookmarkStart w:name="G.1.1_Summary" w:id="606"/>
      <w:bookmarkStart w:name="_bookmark466" w:id="607"/>
      <w:bookmarkEnd w:id="606"/>
      <w:bookmarkEnd w:id="607"/>
      <w:r>
        <w:rPr>
          <w:b/>
          <w:spacing w:val="-2"/>
          <w:sz w:val="24"/>
        </w:rPr>
        <w:t>Summary</w:t>
      </w:r>
    </w:p>
    <w:p w:rsidR="00C31389" w:rsidRDefault="00C31389" w14:paraId="1F046533" w14:textId="77777777">
      <w:pPr>
        <w:pStyle w:val="BodyText"/>
        <w:spacing w:before="2"/>
        <w:rPr>
          <w:b/>
          <w:sz w:val="23"/>
        </w:rPr>
      </w:pPr>
    </w:p>
    <w:p w:rsidR="00C31389" w:rsidRDefault="00561FBD" w14:paraId="06AB24A8" w14:textId="77777777">
      <w:pPr>
        <w:pStyle w:val="BodyText"/>
        <w:spacing w:before="1"/>
        <w:ind w:left="480" w:right="445"/>
      </w:pPr>
      <w:r>
        <w:t>Generic custom (GC) measures in the industrial and agriculture sector are projects that implement EE on a wide div</w:t>
      </w:r>
      <w:r>
        <w:t>ersity of production processes and operating environments. These projects are diverse and often unique and typically have generic names such as Other,</w:t>
      </w:r>
      <w:r>
        <w:rPr>
          <w:spacing w:val="-3"/>
        </w:rPr>
        <w:t xml:space="preserve"> </w:t>
      </w:r>
      <w:r>
        <w:t>Process,</w:t>
      </w:r>
      <w:r>
        <w:rPr>
          <w:spacing w:val="-3"/>
        </w:rPr>
        <w:t xml:space="preserve"> </w:t>
      </w:r>
      <w:r>
        <w:t>or</w:t>
      </w:r>
      <w:r>
        <w:rPr>
          <w:spacing w:val="-3"/>
        </w:rPr>
        <w:t xml:space="preserve"> </w:t>
      </w:r>
      <w:r>
        <w:t>System</w:t>
      </w:r>
      <w:r>
        <w:rPr>
          <w:spacing w:val="-4"/>
        </w:rPr>
        <w:t xml:space="preserve"> </w:t>
      </w:r>
      <w:r>
        <w:t>in</w:t>
      </w:r>
      <w:r>
        <w:rPr>
          <w:spacing w:val="-3"/>
        </w:rPr>
        <w:t xml:space="preserve"> </w:t>
      </w:r>
      <w:r>
        <w:t>program</w:t>
      </w:r>
      <w:r>
        <w:rPr>
          <w:spacing w:val="-4"/>
        </w:rPr>
        <w:t xml:space="preserve"> </w:t>
      </w:r>
      <w:r>
        <w:t>tracking</w:t>
      </w:r>
      <w:r>
        <w:rPr>
          <w:spacing w:val="-4"/>
        </w:rPr>
        <w:t xml:space="preserve"> </w:t>
      </w:r>
      <w:r>
        <w:t>data</w:t>
      </w:r>
      <w:r>
        <w:rPr>
          <w:spacing w:val="-3"/>
        </w:rPr>
        <w:t xml:space="preserve"> </w:t>
      </w:r>
      <w:r>
        <w:t>such</w:t>
      </w:r>
      <w:r>
        <w:rPr>
          <w:spacing w:val="-3"/>
        </w:rPr>
        <w:t xml:space="preserve"> </w:t>
      </w:r>
      <w:r>
        <w:t>as</w:t>
      </w:r>
      <w:r>
        <w:rPr>
          <w:spacing w:val="-3"/>
        </w:rPr>
        <w:t xml:space="preserve"> </w:t>
      </w:r>
      <w:r>
        <w:t>CEDARS.</w:t>
      </w:r>
      <w:r>
        <w:rPr>
          <w:spacing w:val="-3"/>
        </w:rPr>
        <w:t xml:space="preserve"> </w:t>
      </w:r>
      <w:r>
        <w:t>The</w:t>
      </w:r>
      <w:r>
        <w:rPr>
          <w:spacing w:val="-3"/>
        </w:rPr>
        <w:t xml:space="preserve"> </w:t>
      </w:r>
      <w:r>
        <w:t>generic</w:t>
      </w:r>
      <w:r>
        <w:rPr>
          <w:spacing w:val="-4"/>
        </w:rPr>
        <w:t xml:space="preserve"> </w:t>
      </w:r>
      <w:r>
        <w:t xml:space="preserve">naming and unique nature of these projects present several complications when forecasting EE </w:t>
      </w:r>
      <w:r>
        <w:rPr>
          <w:spacing w:val="-2"/>
        </w:rPr>
        <w:t>potential:</w:t>
      </w:r>
    </w:p>
    <w:p w:rsidR="00C31389" w:rsidRDefault="00561FBD" w14:paraId="6EA9ED50" w14:textId="77777777">
      <w:pPr>
        <w:pStyle w:val="ListParagraph"/>
        <w:numPr>
          <w:ilvl w:val="3"/>
          <w:numId w:val="13"/>
        </w:numPr>
        <w:tabs>
          <w:tab w:val="left" w:pos="1200"/>
        </w:tabs>
        <w:spacing w:before="120"/>
        <w:ind w:right="774"/>
      </w:pPr>
      <w:r>
        <w:t>Common</w:t>
      </w:r>
      <w:r>
        <w:rPr>
          <w:spacing w:val="-4"/>
        </w:rPr>
        <w:t xml:space="preserve"> </w:t>
      </w:r>
      <w:r>
        <w:t>engineering</w:t>
      </w:r>
      <w:r>
        <w:rPr>
          <w:spacing w:val="-4"/>
        </w:rPr>
        <w:t xml:space="preserve"> </w:t>
      </w:r>
      <w:r>
        <w:t>resources</w:t>
      </w:r>
      <w:r>
        <w:rPr>
          <w:spacing w:val="-4"/>
        </w:rPr>
        <w:t xml:space="preserve"> </w:t>
      </w:r>
      <w:r>
        <w:t>such</w:t>
      </w:r>
      <w:r>
        <w:rPr>
          <w:spacing w:val="-4"/>
        </w:rPr>
        <w:t xml:space="preserve"> </w:t>
      </w:r>
      <w:r>
        <w:t>as</w:t>
      </w:r>
      <w:r>
        <w:rPr>
          <w:spacing w:val="-4"/>
        </w:rPr>
        <w:t xml:space="preserve"> </w:t>
      </w:r>
      <w:r>
        <w:t>IOU</w:t>
      </w:r>
      <w:r>
        <w:rPr>
          <w:spacing w:val="-5"/>
        </w:rPr>
        <w:t xml:space="preserve"> </w:t>
      </w:r>
      <w:r>
        <w:t>workpapers,</w:t>
      </w:r>
      <w:r>
        <w:rPr>
          <w:spacing w:val="-4"/>
        </w:rPr>
        <w:t xml:space="preserve"> </w:t>
      </w:r>
      <w:r>
        <w:t>DEER</w:t>
      </w:r>
      <w:r>
        <w:rPr>
          <w:spacing w:val="-5"/>
        </w:rPr>
        <w:t xml:space="preserve"> </w:t>
      </w:r>
      <w:r>
        <w:t>or</w:t>
      </w:r>
      <w:r>
        <w:rPr>
          <w:spacing w:val="-4"/>
        </w:rPr>
        <w:t xml:space="preserve"> </w:t>
      </w:r>
      <w:r>
        <w:t>the</w:t>
      </w:r>
      <w:r>
        <w:rPr>
          <w:spacing w:val="-2"/>
        </w:rPr>
        <w:t xml:space="preserve"> </w:t>
      </w:r>
      <w:r>
        <w:t>California eTRM are well designed for building system applications but do not apply wel</w:t>
      </w:r>
      <w:r>
        <w:t>l to unique production processes.</w:t>
      </w:r>
    </w:p>
    <w:p w:rsidR="00C31389" w:rsidRDefault="00561FBD" w14:paraId="0801FD51" w14:textId="77777777">
      <w:pPr>
        <w:pStyle w:val="ListParagraph"/>
        <w:numPr>
          <w:ilvl w:val="3"/>
          <w:numId w:val="13"/>
        </w:numPr>
        <w:tabs>
          <w:tab w:val="left" w:pos="1200"/>
        </w:tabs>
        <w:ind w:right="1314"/>
      </w:pPr>
      <w:r>
        <w:t>There</w:t>
      </w:r>
      <w:r>
        <w:rPr>
          <w:spacing w:val="-3"/>
        </w:rPr>
        <w:t xml:space="preserve"> </w:t>
      </w:r>
      <w:r>
        <w:t>are</w:t>
      </w:r>
      <w:r>
        <w:rPr>
          <w:spacing w:val="-3"/>
        </w:rPr>
        <w:t xml:space="preserve"> </w:t>
      </w:r>
      <w:r>
        <w:t>no</w:t>
      </w:r>
      <w:r>
        <w:rPr>
          <w:spacing w:val="-3"/>
        </w:rPr>
        <w:t xml:space="preserve"> </w:t>
      </w:r>
      <w:r>
        <w:t>formal</w:t>
      </w:r>
      <w:r>
        <w:rPr>
          <w:spacing w:val="-3"/>
        </w:rPr>
        <w:t xml:space="preserve"> </w:t>
      </w:r>
      <w:r>
        <w:t>EE</w:t>
      </w:r>
      <w:r>
        <w:rPr>
          <w:spacing w:val="-2"/>
        </w:rPr>
        <w:t xml:space="preserve"> </w:t>
      </w:r>
      <w:r>
        <w:t>saturation</w:t>
      </w:r>
      <w:r>
        <w:rPr>
          <w:spacing w:val="-3"/>
        </w:rPr>
        <w:t xml:space="preserve"> </w:t>
      </w:r>
      <w:r>
        <w:t>estimates</w:t>
      </w:r>
      <w:r>
        <w:rPr>
          <w:spacing w:val="-3"/>
        </w:rPr>
        <w:t xml:space="preserve"> </w:t>
      </w:r>
      <w:r>
        <w:t>of,</w:t>
      </w:r>
      <w:r>
        <w:rPr>
          <w:spacing w:val="-4"/>
        </w:rPr>
        <w:t xml:space="preserve"> </w:t>
      </w:r>
      <w:r>
        <w:t>such</w:t>
      </w:r>
      <w:r>
        <w:rPr>
          <w:spacing w:val="-3"/>
        </w:rPr>
        <w:t xml:space="preserve"> </w:t>
      </w:r>
      <w:r>
        <w:t>as</w:t>
      </w:r>
      <w:r>
        <w:rPr>
          <w:spacing w:val="-3"/>
        </w:rPr>
        <w:t xml:space="preserve"> </w:t>
      </w:r>
      <w:r>
        <w:t>CEUS</w:t>
      </w:r>
      <w:r>
        <w:rPr>
          <w:spacing w:val="-3"/>
        </w:rPr>
        <w:t xml:space="preserve"> </w:t>
      </w:r>
      <w:r>
        <w:t>or</w:t>
      </w:r>
      <w:r>
        <w:rPr>
          <w:spacing w:val="-3"/>
        </w:rPr>
        <w:t xml:space="preserve"> </w:t>
      </w:r>
      <w:r>
        <w:t>RASS,</w:t>
      </w:r>
      <w:r>
        <w:rPr>
          <w:spacing w:val="-3"/>
        </w:rPr>
        <w:t xml:space="preserve"> </w:t>
      </w:r>
      <w:r>
        <w:t>for industrial processes.</w:t>
      </w:r>
    </w:p>
    <w:p w:rsidR="00C31389" w:rsidRDefault="00561FBD" w14:paraId="4F5FCB97" w14:textId="77777777">
      <w:pPr>
        <w:pStyle w:val="BodyText"/>
        <w:spacing w:before="120"/>
        <w:ind w:left="479" w:right="418"/>
      </w:pPr>
      <w:r>
        <w:t>To</w:t>
      </w:r>
      <w:r>
        <w:rPr>
          <w:spacing w:val="-3"/>
        </w:rPr>
        <w:t xml:space="preserve"> </w:t>
      </w:r>
      <w:r>
        <w:t>address</w:t>
      </w:r>
      <w:r>
        <w:rPr>
          <w:spacing w:val="-3"/>
        </w:rPr>
        <w:t xml:space="preserve"> </w:t>
      </w:r>
      <w:r>
        <w:t>these</w:t>
      </w:r>
      <w:r>
        <w:rPr>
          <w:spacing w:val="-3"/>
        </w:rPr>
        <w:t xml:space="preserve"> </w:t>
      </w:r>
      <w:r>
        <w:t>complications,</w:t>
      </w:r>
      <w:r>
        <w:rPr>
          <w:spacing w:val="-3"/>
        </w:rPr>
        <w:t xml:space="preserve"> </w:t>
      </w:r>
      <w:r>
        <w:t>forecasting</w:t>
      </w:r>
      <w:r>
        <w:rPr>
          <w:spacing w:val="-3"/>
        </w:rPr>
        <w:t xml:space="preserve"> </w:t>
      </w:r>
      <w:r>
        <w:t>the</w:t>
      </w:r>
      <w:r>
        <w:rPr>
          <w:spacing w:val="-4"/>
        </w:rPr>
        <w:t xml:space="preserve"> </w:t>
      </w:r>
      <w:r>
        <w:t>EE</w:t>
      </w:r>
      <w:r>
        <w:rPr>
          <w:spacing w:val="-4"/>
        </w:rPr>
        <w:t xml:space="preserve"> </w:t>
      </w:r>
      <w:r>
        <w:t>potential</w:t>
      </w:r>
      <w:r>
        <w:rPr>
          <w:spacing w:val="-3"/>
        </w:rPr>
        <w:t xml:space="preserve"> </w:t>
      </w:r>
      <w:r>
        <w:t>for</w:t>
      </w:r>
      <w:r>
        <w:rPr>
          <w:spacing w:val="-3"/>
        </w:rPr>
        <w:t xml:space="preserve"> </w:t>
      </w:r>
      <w:r>
        <w:t>GC</w:t>
      </w:r>
      <w:r>
        <w:rPr>
          <w:spacing w:val="-4"/>
        </w:rPr>
        <w:t xml:space="preserve"> </w:t>
      </w:r>
      <w:r>
        <w:t>measures</w:t>
      </w:r>
      <w:r>
        <w:rPr>
          <w:spacing w:val="-3"/>
        </w:rPr>
        <w:t xml:space="preserve"> </w:t>
      </w:r>
      <w:r>
        <w:t>requires</w:t>
      </w:r>
      <w:r>
        <w:rPr>
          <w:spacing w:val="-3"/>
        </w:rPr>
        <w:t xml:space="preserve"> </w:t>
      </w:r>
      <w:r>
        <w:t xml:space="preserve">a different approach that </w:t>
      </w:r>
      <w:r>
        <w:t>involves several steps.</w:t>
      </w:r>
    </w:p>
    <w:p w:rsidR="00C31389" w:rsidRDefault="00561FBD" w14:paraId="29123E6B" w14:textId="77777777">
      <w:pPr>
        <w:pStyle w:val="ListParagraph"/>
        <w:numPr>
          <w:ilvl w:val="0"/>
          <w:numId w:val="12"/>
        </w:numPr>
        <w:tabs>
          <w:tab w:val="left" w:pos="1198"/>
          <w:tab w:val="left" w:pos="1200"/>
        </w:tabs>
        <w:spacing w:before="120"/>
        <w:ind w:right="909" w:hanging="361"/>
      </w:pPr>
      <w:r>
        <w:t>Program</w:t>
      </w:r>
      <w:r>
        <w:rPr>
          <w:spacing w:val="-4"/>
        </w:rPr>
        <w:t xml:space="preserve"> </w:t>
      </w:r>
      <w:r>
        <w:t>records</w:t>
      </w:r>
      <w:r>
        <w:rPr>
          <w:spacing w:val="-3"/>
        </w:rPr>
        <w:t xml:space="preserve"> </w:t>
      </w:r>
      <w:r>
        <w:t>(i.e.,</w:t>
      </w:r>
      <w:r>
        <w:rPr>
          <w:spacing w:val="-3"/>
        </w:rPr>
        <w:t xml:space="preserve"> </w:t>
      </w:r>
      <w:r>
        <w:t>CEDARS)</w:t>
      </w:r>
      <w:r>
        <w:rPr>
          <w:spacing w:val="-3"/>
        </w:rPr>
        <w:t xml:space="preserve"> </w:t>
      </w:r>
      <w:r>
        <w:t>are</w:t>
      </w:r>
      <w:r>
        <w:rPr>
          <w:spacing w:val="-2"/>
        </w:rPr>
        <w:t xml:space="preserve"> </w:t>
      </w:r>
      <w:r>
        <w:t>reviewed</w:t>
      </w:r>
      <w:r>
        <w:rPr>
          <w:spacing w:val="-3"/>
        </w:rPr>
        <w:t xml:space="preserve"> </w:t>
      </w:r>
      <w:r>
        <w:t>to</w:t>
      </w:r>
      <w:r>
        <w:rPr>
          <w:spacing w:val="-4"/>
        </w:rPr>
        <w:t xml:space="preserve"> </w:t>
      </w:r>
      <w:r>
        <w:t>determine</w:t>
      </w:r>
      <w:r>
        <w:rPr>
          <w:spacing w:val="-3"/>
        </w:rPr>
        <w:t xml:space="preserve"> </w:t>
      </w:r>
      <w:r>
        <w:t>what</w:t>
      </w:r>
      <w:r>
        <w:rPr>
          <w:spacing w:val="-3"/>
        </w:rPr>
        <w:t xml:space="preserve"> </w:t>
      </w:r>
      <w:r>
        <w:t>annual</w:t>
      </w:r>
      <w:r>
        <w:rPr>
          <w:spacing w:val="-3"/>
        </w:rPr>
        <w:t xml:space="preserve"> </w:t>
      </w:r>
      <w:r>
        <w:t>ex</w:t>
      </w:r>
      <w:r>
        <w:rPr>
          <w:spacing w:val="-2"/>
        </w:rPr>
        <w:t xml:space="preserve"> </w:t>
      </w:r>
      <w:r>
        <w:t>ante gross natural gas and electricity savings have historically been reported for GC measures (i.e., Other, Process, or System).</w:t>
      </w:r>
    </w:p>
    <w:p w:rsidR="00C31389" w:rsidRDefault="00561FBD" w14:paraId="3BF14B30" w14:textId="77777777">
      <w:pPr>
        <w:pStyle w:val="ListParagraph"/>
        <w:numPr>
          <w:ilvl w:val="0"/>
          <w:numId w:val="12"/>
        </w:numPr>
        <w:tabs>
          <w:tab w:val="left" w:pos="1198"/>
          <w:tab w:val="left" w:pos="1200"/>
        </w:tabs>
        <w:ind w:right="470" w:hanging="361"/>
      </w:pPr>
      <w:r>
        <w:t>A Savings Rate Multiplier is c</w:t>
      </w:r>
      <w:r>
        <w:t>alculated by dividing the annual ex ante gross natural gas</w:t>
      </w:r>
      <w:r>
        <w:rPr>
          <w:spacing w:val="-3"/>
        </w:rPr>
        <w:t xml:space="preserve"> </w:t>
      </w:r>
      <w:r>
        <w:t>and</w:t>
      </w:r>
      <w:r>
        <w:rPr>
          <w:spacing w:val="-3"/>
        </w:rPr>
        <w:t xml:space="preserve"> </w:t>
      </w:r>
      <w:r>
        <w:t>electricity</w:t>
      </w:r>
      <w:r>
        <w:rPr>
          <w:spacing w:val="-3"/>
        </w:rPr>
        <w:t xml:space="preserve"> </w:t>
      </w:r>
      <w:r>
        <w:t>savings</w:t>
      </w:r>
      <w:r>
        <w:rPr>
          <w:spacing w:val="-2"/>
        </w:rPr>
        <w:t xml:space="preserve"> </w:t>
      </w:r>
      <w:r>
        <w:t>by</w:t>
      </w:r>
      <w:r>
        <w:rPr>
          <w:spacing w:val="-3"/>
        </w:rPr>
        <w:t xml:space="preserve"> </w:t>
      </w:r>
      <w:r>
        <w:t>total</w:t>
      </w:r>
      <w:r>
        <w:rPr>
          <w:spacing w:val="-4"/>
        </w:rPr>
        <w:t xml:space="preserve"> </w:t>
      </w:r>
      <w:r>
        <w:t>sector</w:t>
      </w:r>
      <w:r>
        <w:rPr>
          <w:spacing w:val="-3"/>
        </w:rPr>
        <w:t xml:space="preserve"> </w:t>
      </w:r>
      <w:r>
        <w:t>consumption</w:t>
      </w:r>
      <w:r>
        <w:rPr>
          <w:spacing w:val="-3"/>
        </w:rPr>
        <w:t xml:space="preserve"> </w:t>
      </w:r>
      <w:r>
        <w:t>for</w:t>
      </w:r>
      <w:r>
        <w:rPr>
          <w:spacing w:val="-3"/>
        </w:rPr>
        <w:t xml:space="preserve"> </w:t>
      </w:r>
      <w:r>
        <w:t>each</w:t>
      </w:r>
      <w:r>
        <w:rPr>
          <w:spacing w:val="-3"/>
        </w:rPr>
        <w:t xml:space="preserve"> </w:t>
      </w:r>
      <w:r>
        <w:t>year</w:t>
      </w:r>
      <w:r>
        <w:rPr>
          <w:spacing w:val="-3"/>
        </w:rPr>
        <w:t xml:space="preserve"> </w:t>
      </w:r>
      <w:r>
        <w:t>being</w:t>
      </w:r>
      <w:r>
        <w:rPr>
          <w:spacing w:val="-3"/>
        </w:rPr>
        <w:t xml:space="preserve"> </w:t>
      </w:r>
      <w:r>
        <w:t>analyzed. The final Savings Rate Multiplier used in the 2023 forecast is based on the average annual reported ex ante savings</w:t>
      </w:r>
      <w:r>
        <w:t xml:space="preserve"> for six program years, from 2016 through 2021.</w:t>
      </w:r>
    </w:p>
    <w:p w:rsidR="00C31389" w:rsidRDefault="00561FBD" w14:paraId="32DE52BF" w14:textId="77777777">
      <w:pPr>
        <w:pStyle w:val="ListParagraph"/>
        <w:numPr>
          <w:ilvl w:val="0"/>
          <w:numId w:val="12"/>
        </w:numPr>
        <w:tabs>
          <w:tab w:val="left" w:pos="1200"/>
        </w:tabs>
        <w:ind w:right="468"/>
      </w:pPr>
      <w:r>
        <w:t>CEDARS data is also analyzed to determine the trend in GC savings over time. This trend is referred to as the GC Penetration Rate and is used to increase or decrease savings</w:t>
      </w:r>
      <w:r>
        <w:rPr>
          <w:spacing w:val="-4"/>
        </w:rPr>
        <w:t xml:space="preserve"> </w:t>
      </w:r>
      <w:r>
        <w:t>over</w:t>
      </w:r>
      <w:r>
        <w:rPr>
          <w:spacing w:val="-3"/>
        </w:rPr>
        <w:t xml:space="preserve"> </w:t>
      </w:r>
      <w:r>
        <w:t>the</w:t>
      </w:r>
      <w:r>
        <w:rPr>
          <w:spacing w:val="-3"/>
        </w:rPr>
        <w:t xml:space="preserve"> </w:t>
      </w:r>
      <w:r>
        <w:t>forecast</w:t>
      </w:r>
      <w:r>
        <w:rPr>
          <w:spacing w:val="-3"/>
        </w:rPr>
        <w:t xml:space="preserve"> </w:t>
      </w:r>
      <w:r>
        <w:t>horizon.</w:t>
      </w:r>
      <w:r>
        <w:rPr>
          <w:spacing w:val="40"/>
        </w:rPr>
        <w:t xml:space="preserve"> </w:t>
      </w:r>
      <w:r>
        <w:t>For</w:t>
      </w:r>
      <w:r>
        <w:rPr>
          <w:spacing w:val="-3"/>
        </w:rPr>
        <w:t xml:space="preserve"> </w:t>
      </w:r>
      <w:r>
        <w:t>the</w:t>
      </w:r>
      <w:r>
        <w:rPr>
          <w:spacing w:val="-3"/>
        </w:rPr>
        <w:t xml:space="preserve"> </w:t>
      </w:r>
      <w:r>
        <w:t>GC</w:t>
      </w:r>
      <w:r>
        <w:rPr>
          <w:spacing w:val="-4"/>
        </w:rPr>
        <w:t xml:space="preserve"> </w:t>
      </w:r>
      <w:r>
        <w:t>forecast,</w:t>
      </w:r>
      <w:r>
        <w:rPr>
          <w:spacing w:val="-3"/>
        </w:rPr>
        <w:t xml:space="preserve"> </w:t>
      </w:r>
      <w:r>
        <w:t>the</w:t>
      </w:r>
      <w:r>
        <w:rPr>
          <w:spacing w:val="-3"/>
        </w:rPr>
        <w:t xml:space="preserve"> </w:t>
      </w:r>
      <w:r>
        <w:t>penetration</w:t>
      </w:r>
      <w:r>
        <w:rPr>
          <w:spacing w:val="-3"/>
        </w:rPr>
        <w:t xml:space="preserve"> </w:t>
      </w:r>
      <w:r>
        <w:t>rate</w:t>
      </w:r>
      <w:r>
        <w:rPr>
          <w:spacing w:val="-3"/>
        </w:rPr>
        <w:t xml:space="preserve"> </w:t>
      </w:r>
      <w:r>
        <w:t>is</w:t>
      </w:r>
      <w:r>
        <w:rPr>
          <w:spacing w:val="-3"/>
        </w:rPr>
        <w:t xml:space="preserve"> </w:t>
      </w:r>
      <w:r>
        <w:t>stated as a compound annual growth or decline rate.</w:t>
      </w:r>
    </w:p>
    <w:p w:rsidR="00C31389" w:rsidRDefault="00561FBD" w14:paraId="161928DB" w14:textId="77777777">
      <w:pPr>
        <w:pStyle w:val="ListParagraph"/>
        <w:numPr>
          <w:ilvl w:val="0"/>
          <w:numId w:val="12"/>
        </w:numPr>
        <w:tabs>
          <w:tab w:val="left" w:pos="1200"/>
        </w:tabs>
        <w:ind w:right="640"/>
      </w:pPr>
      <w:r>
        <w:t>An</w:t>
      </w:r>
      <w:r>
        <w:rPr>
          <w:spacing w:val="-3"/>
        </w:rPr>
        <w:t xml:space="preserve"> </w:t>
      </w:r>
      <w:r>
        <w:t>annual</w:t>
      </w:r>
      <w:r>
        <w:rPr>
          <w:spacing w:val="-3"/>
        </w:rPr>
        <w:t xml:space="preserve"> </w:t>
      </w:r>
      <w:r>
        <w:t>EE</w:t>
      </w:r>
      <w:r>
        <w:rPr>
          <w:spacing w:val="-3"/>
        </w:rPr>
        <w:t xml:space="preserve"> </w:t>
      </w:r>
      <w:r>
        <w:t>savings</w:t>
      </w:r>
      <w:r>
        <w:rPr>
          <w:spacing w:val="-3"/>
        </w:rPr>
        <w:t xml:space="preserve"> </w:t>
      </w:r>
      <w:r>
        <w:t>forecast</w:t>
      </w:r>
      <w:r>
        <w:rPr>
          <w:spacing w:val="-3"/>
        </w:rPr>
        <w:t xml:space="preserve"> </w:t>
      </w:r>
      <w:r>
        <w:t>(GWh</w:t>
      </w:r>
      <w:r>
        <w:rPr>
          <w:spacing w:val="-3"/>
        </w:rPr>
        <w:t xml:space="preserve"> </w:t>
      </w:r>
      <w:r>
        <w:t>and</w:t>
      </w:r>
      <w:r>
        <w:rPr>
          <w:spacing w:val="-3"/>
        </w:rPr>
        <w:t xml:space="preserve"> </w:t>
      </w:r>
      <w:r>
        <w:t>MMtherms)</w:t>
      </w:r>
      <w:r>
        <w:rPr>
          <w:spacing w:val="-3"/>
        </w:rPr>
        <w:t xml:space="preserve"> </w:t>
      </w:r>
      <w:r>
        <w:t>is</w:t>
      </w:r>
      <w:r>
        <w:rPr>
          <w:spacing w:val="-3"/>
        </w:rPr>
        <w:t xml:space="preserve"> </w:t>
      </w:r>
      <w:r>
        <w:t>produced</w:t>
      </w:r>
      <w:r>
        <w:rPr>
          <w:spacing w:val="-3"/>
        </w:rPr>
        <w:t xml:space="preserve"> </w:t>
      </w:r>
      <w:r>
        <w:t>by</w:t>
      </w:r>
      <w:r>
        <w:rPr>
          <w:spacing w:val="-3"/>
        </w:rPr>
        <w:t xml:space="preserve"> </w:t>
      </w:r>
      <w:r>
        <w:t>1)</w:t>
      </w:r>
      <w:r>
        <w:rPr>
          <w:spacing w:val="-5"/>
        </w:rPr>
        <w:t xml:space="preserve"> </w:t>
      </w:r>
      <w:r>
        <w:t xml:space="preserve">multiplying annual sector consumption forecasts by the Savings Rate Multiplier, and 2) </w:t>
      </w:r>
      <w:r>
        <w:t>multiplying the annual forecast by the Penetration Rate % to account for saturation over time.</w:t>
      </w:r>
    </w:p>
    <w:p w:rsidR="00C31389" w:rsidRDefault="00561FBD" w14:paraId="5E410743" w14:textId="77777777">
      <w:pPr>
        <w:pStyle w:val="BodyText"/>
        <w:spacing w:before="120"/>
        <w:ind w:left="480" w:right="418"/>
      </w:pPr>
      <w:r>
        <w:t>The</w:t>
      </w:r>
      <w:r>
        <w:rPr>
          <w:spacing w:val="-3"/>
        </w:rPr>
        <w:t xml:space="preserve"> </w:t>
      </w:r>
      <w:r>
        <w:t>Savings</w:t>
      </w:r>
      <w:r>
        <w:rPr>
          <w:spacing w:val="-4"/>
        </w:rPr>
        <w:t xml:space="preserve"> </w:t>
      </w:r>
      <w:r>
        <w:t>Rate</w:t>
      </w:r>
      <w:r>
        <w:rPr>
          <w:spacing w:val="-3"/>
        </w:rPr>
        <w:t xml:space="preserve"> </w:t>
      </w:r>
      <w:r>
        <w:t>Multiplier,</w:t>
      </w:r>
      <w:r>
        <w:rPr>
          <w:spacing w:val="-3"/>
        </w:rPr>
        <w:t xml:space="preserve"> </w:t>
      </w:r>
      <w:r>
        <w:t>and</w:t>
      </w:r>
      <w:r>
        <w:rPr>
          <w:spacing w:val="-3"/>
        </w:rPr>
        <w:t xml:space="preserve"> </w:t>
      </w:r>
      <w:r>
        <w:t>other</w:t>
      </w:r>
      <w:r>
        <w:rPr>
          <w:spacing w:val="-3"/>
        </w:rPr>
        <w:t xml:space="preserve"> </w:t>
      </w:r>
      <w:r>
        <w:t>inputs</w:t>
      </w:r>
      <w:r>
        <w:rPr>
          <w:spacing w:val="-3"/>
        </w:rPr>
        <w:t xml:space="preserve"> </w:t>
      </w:r>
      <w:r>
        <w:t>for</w:t>
      </w:r>
      <w:r>
        <w:rPr>
          <w:spacing w:val="-3"/>
        </w:rPr>
        <w:t xml:space="preserve"> </w:t>
      </w:r>
      <w:r>
        <w:t>the</w:t>
      </w:r>
      <w:r>
        <w:rPr>
          <w:spacing w:val="-3"/>
        </w:rPr>
        <w:t xml:space="preserve"> </w:t>
      </w:r>
      <w:r>
        <w:t>2023</w:t>
      </w:r>
      <w:r>
        <w:rPr>
          <w:spacing w:val="-2"/>
        </w:rPr>
        <w:t xml:space="preserve"> </w:t>
      </w:r>
      <w:r>
        <w:t>Study</w:t>
      </w:r>
      <w:r>
        <w:rPr>
          <w:spacing w:val="-3"/>
        </w:rPr>
        <w:t xml:space="preserve"> </w:t>
      </w:r>
      <w:r>
        <w:t>forecast</w:t>
      </w:r>
      <w:r>
        <w:rPr>
          <w:spacing w:val="-4"/>
        </w:rPr>
        <w:t xml:space="preserve"> </w:t>
      </w:r>
      <w:r>
        <w:t>of</w:t>
      </w:r>
      <w:r>
        <w:rPr>
          <w:spacing w:val="-3"/>
        </w:rPr>
        <w:t xml:space="preserve"> </w:t>
      </w:r>
      <w:r>
        <w:t>GC</w:t>
      </w:r>
      <w:r>
        <w:rPr>
          <w:spacing w:val="-4"/>
        </w:rPr>
        <w:t xml:space="preserve"> </w:t>
      </w:r>
      <w:r>
        <w:t>potential</w:t>
      </w:r>
      <w:r>
        <w:rPr>
          <w:spacing w:val="-3"/>
        </w:rPr>
        <w:t xml:space="preserve"> </w:t>
      </w:r>
      <w:r>
        <w:t xml:space="preserve">are provided in </w:t>
      </w:r>
      <w:hyperlink w:history="1" w:anchor="_bookmark467">
        <w:r>
          <w:t>Table G-1</w:t>
        </w:r>
      </w:hyperlink>
      <w:r>
        <w:t>. The following discussions provide additional details on the assumptions and methodology used to derive these inputs.</w:t>
      </w:r>
    </w:p>
    <w:p w:rsidR="00C31389" w:rsidRDefault="00561FBD" w14:paraId="7FC08DE5" w14:textId="77777777">
      <w:pPr>
        <w:pStyle w:val="Heading7"/>
        <w:spacing w:before="119"/>
        <w:ind w:left="1845"/>
      </w:pPr>
      <w:bookmarkStart w:name="_bookmark467" w:id="608"/>
      <w:bookmarkEnd w:id="608"/>
      <w:r>
        <w:t>Table</w:t>
      </w:r>
      <w:r>
        <w:rPr>
          <w:spacing w:val="-7"/>
        </w:rPr>
        <w:t xml:space="preserve"> </w:t>
      </w:r>
      <w:r>
        <w:t>G-1.</w:t>
      </w:r>
      <w:r>
        <w:rPr>
          <w:spacing w:val="-6"/>
        </w:rPr>
        <w:t xml:space="preserve"> </w:t>
      </w:r>
      <w:r>
        <w:t>Industrial</w:t>
      </w:r>
      <w:r>
        <w:rPr>
          <w:spacing w:val="-7"/>
        </w:rPr>
        <w:t xml:space="preserve"> </w:t>
      </w:r>
      <w:r>
        <w:t>and</w:t>
      </w:r>
      <w:r>
        <w:rPr>
          <w:spacing w:val="-6"/>
        </w:rPr>
        <w:t xml:space="preserve"> </w:t>
      </w:r>
      <w:r>
        <w:t>Agriculture</w:t>
      </w:r>
      <w:r>
        <w:rPr>
          <w:spacing w:val="-7"/>
        </w:rPr>
        <w:t xml:space="preserve"> </w:t>
      </w:r>
      <w:r>
        <w:t>GC</w:t>
      </w:r>
      <w:r>
        <w:rPr>
          <w:spacing w:val="-7"/>
        </w:rPr>
        <w:t xml:space="preserve"> </w:t>
      </w:r>
      <w:r>
        <w:t>–</w:t>
      </w:r>
      <w:r>
        <w:rPr>
          <w:spacing w:val="-6"/>
        </w:rPr>
        <w:t xml:space="preserve"> </w:t>
      </w:r>
      <w:r>
        <w:t>Key</w:t>
      </w:r>
      <w:r>
        <w:rPr>
          <w:spacing w:val="-7"/>
        </w:rPr>
        <w:t xml:space="preserve"> </w:t>
      </w:r>
      <w:r>
        <w:rPr>
          <w:spacing w:val="-2"/>
        </w:rPr>
        <w:t>Assumptions</w:t>
      </w:r>
    </w:p>
    <w:p w:rsidR="00C31389" w:rsidRDefault="00C31389" w14:paraId="1910945D" w14:textId="77777777">
      <w:pPr>
        <w:pStyle w:val="BodyText"/>
        <w:spacing w:before="7"/>
        <w:rPr>
          <w:b/>
          <w:sz w:val="9"/>
        </w:rPr>
      </w:pPr>
    </w:p>
    <w:tbl>
      <w:tblPr>
        <w:tblW w:w="0" w:type="auto"/>
        <w:tblInd w:w="320" w:type="dxa"/>
        <w:tblLayout w:type="fixed"/>
        <w:tblCellMar>
          <w:left w:w="0" w:type="dxa"/>
          <w:right w:w="0" w:type="dxa"/>
        </w:tblCellMar>
        <w:tblLook w:val="01E0" w:firstRow="1" w:lastRow="1" w:firstColumn="1" w:lastColumn="1" w:noHBand="0" w:noVBand="0"/>
      </w:tblPr>
      <w:tblGrid>
        <w:gridCol w:w="1224"/>
        <w:gridCol w:w="1136"/>
        <w:gridCol w:w="1172"/>
        <w:gridCol w:w="1147"/>
        <w:gridCol w:w="1268"/>
        <w:gridCol w:w="1323"/>
        <w:gridCol w:w="831"/>
        <w:gridCol w:w="1255"/>
      </w:tblGrid>
      <w:tr w:rsidR="00C31389" w14:paraId="7E91A426" w14:textId="77777777">
        <w:trPr>
          <w:trHeight w:val="579"/>
        </w:trPr>
        <w:tc>
          <w:tcPr>
            <w:tcW w:w="1224" w:type="dxa"/>
            <w:shd w:val="clear" w:color="auto" w:fill="92D400"/>
          </w:tcPr>
          <w:p w:rsidR="00C31389" w:rsidRDefault="00C31389" w14:paraId="2C18652A" w14:textId="77777777">
            <w:pPr>
              <w:pStyle w:val="TableParagraph"/>
              <w:spacing w:before="10"/>
              <w:rPr>
                <w:b/>
                <w:sz w:val="27"/>
              </w:rPr>
            </w:pPr>
          </w:p>
          <w:p w:rsidR="00C31389" w:rsidRDefault="00561FBD" w14:paraId="3EEDCAA2" w14:textId="77777777">
            <w:pPr>
              <w:pStyle w:val="TableParagraph"/>
              <w:spacing w:before="0"/>
              <w:ind w:left="115"/>
              <w:rPr>
                <w:b/>
                <w:sz w:val="20"/>
              </w:rPr>
            </w:pPr>
            <w:r>
              <w:rPr>
                <w:b/>
                <w:spacing w:val="-2"/>
                <w:sz w:val="20"/>
              </w:rPr>
              <w:t>Sector</w:t>
            </w:r>
          </w:p>
        </w:tc>
        <w:tc>
          <w:tcPr>
            <w:tcW w:w="1136" w:type="dxa"/>
            <w:shd w:val="clear" w:color="auto" w:fill="92D400"/>
          </w:tcPr>
          <w:p w:rsidR="00C31389" w:rsidRDefault="00C31389" w14:paraId="4383828A" w14:textId="77777777">
            <w:pPr>
              <w:pStyle w:val="TableParagraph"/>
              <w:spacing w:before="10"/>
              <w:rPr>
                <w:b/>
                <w:sz w:val="27"/>
              </w:rPr>
            </w:pPr>
          </w:p>
          <w:p w:rsidR="00C31389" w:rsidRDefault="00561FBD" w14:paraId="2733D23C" w14:textId="77777777">
            <w:pPr>
              <w:pStyle w:val="TableParagraph"/>
              <w:spacing w:before="0"/>
              <w:ind w:left="151"/>
              <w:rPr>
                <w:b/>
                <w:sz w:val="20"/>
              </w:rPr>
            </w:pPr>
            <w:r>
              <w:rPr>
                <w:b/>
                <w:spacing w:val="-4"/>
                <w:sz w:val="20"/>
              </w:rPr>
              <w:t>Type</w:t>
            </w:r>
          </w:p>
        </w:tc>
        <w:tc>
          <w:tcPr>
            <w:tcW w:w="1172" w:type="dxa"/>
            <w:vMerge w:val="restart"/>
            <w:shd w:val="clear" w:color="auto" w:fill="92D400"/>
          </w:tcPr>
          <w:p w:rsidR="00C31389" w:rsidRDefault="00C31389" w14:paraId="0A150312" w14:textId="77777777">
            <w:pPr>
              <w:pStyle w:val="TableParagraph"/>
              <w:spacing w:before="10"/>
              <w:rPr>
                <w:b/>
                <w:sz w:val="17"/>
              </w:rPr>
            </w:pPr>
          </w:p>
          <w:p w:rsidR="00C31389" w:rsidRDefault="00561FBD" w14:paraId="632370A6" w14:textId="77777777">
            <w:pPr>
              <w:pStyle w:val="TableParagraph"/>
              <w:spacing w:before="0"/>
              <w:ind w:left="355"/>
              <w:rPr>
                <w:b/>
                <w:sz w:val="20"/>
              </w:rPr>
            </w:pPr>
            <w:r>
              <w:rPr>
                <w:b/>
                <w:spacing w:val="-5"/>
                <w:sz w:val="20"/>
              </w:rPr>
              <w:t>EUL</w:t>
            </w:r>
          </w:p>
          <w:p w:rsidR="00C31389" w:rsidRDefault="00561FBD" w14:paraId="61A58976" w14:textId="77777777">
            <w:pPr>
              <w:pStyle w:val="TableParagraph"/>
              <w:spacing w:before="1"/>
              <w:ind w:left="283"/>
              <w:rPr>
                <w:b/>
                <w:sz w:val="20"/>
              </w:rPr>
            </w:pPr>
            <w:r>
              <w:rPr>
                <w:b/>
                <w:spacing w:val="-2"/>
                <w:sz w:val="20"/>
              </w:rPr>
              <w:t>Years</w:t>
            </w:r>
          </w:p>
        </w:tc>
        <w:tc>
          <w:tcPr>
            <w:tcW w:w="2415" w:type="dxa"/>
            <w:gridSpan w:val="2"/>
            <w:shd w:val="clear" w:color="auto" w:fill="92D400"/>
          </w:tcPr>
          <w:p w:rsidR="00C31389" w:rsidRDefault="00561FBD" w14:paraId="2697690F" w14:textId="77777777">
            <w:pPr>
              <w:pStyle w:val="TableParagraph"/>
              <w:ind w:left="702" w:right="634" w:hanging="184"/>
              <w:rPr>
                <w:b/>
                <w:sz w:val="20"/>
              </w:rPr>
            </w:pPr>
            <w:r>
              <w:rPr>
                <w:b/>
                <w:sz w:val="20"/>
              </w:rPr>
              <w:t>Savings</w:t>
            </w:r>
            <w:r>
              <w:rPr>
                <w:b/>
                <w:spacing w:val="-14"/>
                <w:sz w:val="20"/>
              </w:rPr>
              <w:t xml:space="preserve"> </w:t>
            </w:r>
            <w:r>
              <w:rPr>
                <w:b/>
                <w:sz w:val="20"/>
              </w:rPr>
              <w:t xml:space="preserve">Rate </w:t>
            </w:r>
            <w:r>
              <w:rPr>
                <w:b/>
                <w:spacing w:val="-2"/>
                <w:sz w:val="20"/>
              </w:rPr>
              <w:t>Multiplier</w:t>
            </w:r>
          </w:p>
        </w:tc>
        <w:tc>
          <w:tcPr>
            <w:tcW w:w="1323" w:type="dxa"/>
            <w:shd w:val="clear" w:color="auto" w:fill="92D400"/>
          </w:tcPr>
          <w:p w:rsidR="00C31389" w:rsidRDefault="00561FBD" w14:paraId="19A61B39" w14:textId="77777777">
            <w:pPr>
              <w:pStyle w:val="TableParagraph"/>
              <w:spacing w:before="155"/>
              <w:ind w:left="843"/>
              <w:rPr>
                <w:b/>
                <w:sz w:val="20"/>
              </w:rPr>
            </w:pPr>
            <w:r>
              <w:rPr>
                <w:b/>
                <w:spacing w:val="-4"/>
                <w:sz w:val="20"/>
              </w:rPr>
              <w:t>Cost</w:t>
            </w:r>
          </w:p>
        </w:tc>
        <w:tc>
          <w:tcPr>
            <w:tcW w:w="831" w:type="dxa"/>
            <w:shd w:val="clear" w:color="auto" w:fill="92D400"/>
          </w:tcPr>
          <w:p w:rsidR="00C31389" w:rsidRDefault="00C31389" w14:paraId="146F2B15" w14:textId="77777777">
            <w:pPr>
              <w:pStyle w:val="TableParagraph"/>
              <w:spacing w:before="0"/>
              <w:rPr>
                <w:rFonts w:ascii="Times New Roman"/>
              </w:rPr>
            </w:pPr>
          </w:p>
        </w:tc>
        <w:tc>
          <w:tcPr>
            <w:tcW w:w="1255" w:type="dxa"/>
            <w:vMerge w:val="restart"/>
            <w:shd w:val="clear" w:color="auto" w:fill="92D400"/>
          </w:tcPr>
          <w:p w:rsidR="00C31389" w:rsidRDefault="00561FBD" w14:paraId="07D48226" w14:textId="77777777">
            <w:pPr>
              <w:pStyle w:val="TableParagraph"/>
              <w:spacing w:before="91"/>
              <w:ind w:left="270" w:right="203"/>
              <w:jc w:val="center"/>
              <w:rPr>
                <w:b/>
                <w:sz w:val="20"/>
              </w:rPr>
            </w:pPr>
            <w:r>
              <w:rPr>
                <w:b/>
                <w:spacing w:val="-2"/>
                <w:sz w:val="20"/>
              </w:rPr>
              <w:t>kW/kWh Savings Ratio</w:t>
            </w:r>
          </w:p>
        </w:tc>
      </w:tr>
      <w:tr w:rsidR="00C31389" w14:paraId="336E02C4" w14:textId="77777777">
        <w:trPr>
          <w:trHeight w:val="300"/>
        </w:trPr>
        <w:tc>
          <w:tcPr>
            <w:tcW w:w="1224" w:type="dxa"/>
            <w:shd w:val="clear" w:color="auto" w:fill="92D400"/>
          </w:tcPr>
          <w:p w:rsidR="00C31389" w:rsidRDefault="00C31389" w14:paraId="3453366C" w14:textId="77777777">
            <w:pPr>
              <w:pStyle w:val="TableParagraph"/>
              <w:spacing w:before="0"/>
              <w:rPr>
                <w:rFonts w:ascii="Times New Roman"/>
              </w:rPr>
            </w:pPr>
          </w:p>
        </w:tc>
        <w:tc>
          <w:tcPr>
            <w:tcW w:w="1136" w:type="dxa"/>
            <w:shd w:val="clear" w:color="auto" w:fill="92D400"/>
          </w:tcPr>
          <w:p w:rsidR="00C31389" w:rsidRDefault="00C31389" w14:paraId="775BA75F" w14:textId="77777777">
            <w:pPr>
              <w:pStyle w:val="TableParagraph"/>
              <w:spacing w:before="0"/>
              <w:rPr>
                <w:rFonts w:ascii="Times New Roman"/>
              </w:rPr>
            </w:pPr>
          </w:p>
        </w:tc>
        <w:tc>
          <w:tcPr>
            <w:tcW w:w="1172" w:type="dxa"/>
            <w:vMerge/>
            <w:tcBorders>
              <w:top w:val="nil"/>
            </w:tcBorders>
            <w:shd w:val="clear" w:color="auto" w:fill="92D400"/>
          </w:tcPr>
          <w:p w:rsidR="00C31389" w:rsidRDefault="00C31389" w14:paraId="1230D50F" w14:textId="77777777">
            <w:pPr>
              <w:rPr>
                <w:sz w:val="2"/>
                <w:szCs w:val="2"/>
              </w:rPr>
            </w:pPr>
          </w:p>
        </w:tc>
        <w:tc>
          <w:tcPr>
            <w:tcW w:w="1147" w:type="dxa"/>
            <w:shd w:val="clear" w:color="auto" w:fill="92D400"/>
          </w:tcPr>
          <w:p w:rsidR="00C31389" w:rsidRDefault="00561FBD" w14:paraId="766A6980" w14:textId="77777777">
            <w:pPr>
              <w:pStyle w:val="TableParagraph"/>
              <w:spacing w:before="21"/>
              <w:ind w:left="147" w:right="182"/>
              <w:jc w:val="center"/>
              <w:rPr>
                <w:b/>
                <w:sz w:val="20"/>
              </w:rPr>
            </w:pPr>
            <w:r>
              <w:rPr>
                <w:b/>
                <w:spacing w:val="-5"/>
                <w:sz w:val="20"/>
              </w:rPr>
              <w:t>kWh</w:t>
            </w:r>
          </w:p>
        </w:tc>
        <w:tc>
          <w:tcPr>
            <w:tcW w:w="1268" w:type="dxa"/>
            <w:shd w:val="clear" w:color="auto" w:fill="92D400"/>
          </w:tcPr>
          <w:p w:rsidR="00C31389" w:rsidRDefault="00561FBD" w14:paraId="6B5E5785" w14:textId="77777777">
            <w:pPr>
              <w:pStyle w:val="TableParagraph"/>
              <w:spacing w:before="21"/>
              <w:ind w:left="184" w:right="264"/>
              <w:jc w:val="center"/>
              <w:rPr>
                <w:b/>
                <w:sz w:val="20"/>
              </w:rPr>
            </w:pPr>
            <w:r>
              <w:rPr>
                <w:b/>
                <w:spacing w:val="-2"/>
                <w:sz w:val="20"/>
              </w:rPr>
              <w:t>therm</w:t>
            </w:r>
          </w:p>
        </w:tc>
        <w:tc>
          <w:tcPr>
            <w:tcW w:w="1323" w:type="dxa"/>
            <w:shd w:val="clear" w:color="auto" w:fill="92D400"/>
          </w:tcPr>
          <w:p w:rsidR="00C31389" w:rsidRDefault="00561FBD" w14:paraId="1D508B9F" w14:textId="77777777">
            <w:pPr>
              <w:pStyle w:val="TableParagraph"/>
              <w:spacing w:before="21"/>
              <w:ind w:left="281"/>
              <w:rPr>
                <w:b/>
                <w:sz w:val="20"/>
              </w:rPr>
            </w:pPr>
            <w:r>
              <w:rPr>
                <w:b/>
                <w:spacing w:val="-5"/>
                <w:sz w:val="20"/>
              </w:rPr>
              <w:t>kWh</w:t>
            </w:r>
          </w:p>
        </w:tc>
        <w:tc>
          <w:tcPr>
            <w:tcW w:w="831" w:type="dxa"/>
            <w:shd w:val="clear" w:color="auto" w:fill="92D400"/>
          </w:tcPr>
          <w:p w:rsidR="00C31389" w:rsidRDefault="00561FBD" w14:paraId="36090171" w14:textId="77777777">
            <w:pPr>
              <w:pStyle w:val="TableParagraph"/>
              <w:spacing w:before="21"/>
              <w:ind w:left="39"/>
              <w:rPr>
                <w:b/>
                <w:sz w:val="20"/>
              </w:rPr>
            </w:pPr>
            <w:r>
              <w:rPr>
                <w:b/>
                <w:spacing w:val="-2"/>
                <w:sz w:val="20"/>
              </w:rPr>
              <w:t>therm</w:t>
            </w:r>
          </w:p>
        </w:tc>
        <w:tc>
          <w:tcPr>
            <w:tcW w:w="1255" w:type="dxa"/>
            <w:vMerge/>
            <w:tcBorders>
              <w:top w:val="nil"/>
            </w:tcBorders>
            <w:shd w:val="clear" w:color="auto" w:fill="92D400"/>
          </w:tcPr>
          <w:p w:rsidR="00C31389" w:rsidRDefault="00C31389" w14:paraId="12892C1D" w14:textId="77777777">
            <w:pPr>
              <w:rPr>
                <w:sz w:val="2"/>
                <w:szCs w:val="2"/>
              </w:rPr>
            </w:pPr>
          </w:p>
        </w:tc>
      </w:tr>
      <w:tr w:rsidR="00C31389" w14:paraId="56E6DCAD" w14:textId="77777777">
        <w:trPr>
          <w:trHeight w:val="272"/>
        </w:trPr>
        <w:tc>
          <w:tcPr>
            <w:tcW w:w="1224" w:type="dxa"/>
          </w:tcPr>
          <w:p w:rsidR="00C31389" w:rsidRDefault="00561FBD" w14:paraId="1E6CF5D1" w14:textId="77777777">
            <w:pPr>
              <w:pStyle w:val="TableParagraph"/>
              <w:spacing w:before="74" w:line="178" w:lineRule="exact"/>
              <w:ind w:left="115"/>
              <w:rPr>
                <w:sz w:val="20"/>
              </w:rPr>
            </w:pPr>
            <w:r>
              <w:rPr>
                <w:spacing w:val="-2"/>
                <w:sz w:val="20"/>
              </w:rPr>
              <w:t>Industrial</w:t>
            </w:r>
          </w:p>
        </w:tc>
        <w:tc>
          <w:tcPr>
            <w:tcW w:w="1136" w:type="dxa"/>
            <w:vMerge w:val="restart"/>
            <w:tcBorders>
              <w:bottom w:val="single" w:color="000000" w:sz="8" w:space="0"/>
            </w:tcBorders>
          </w:tcPr>
          <w:p w:rsidR="00C31389" w:rsidRDefault="00561FBD" w14:paraId="551F19E2" w14:textId="77777777">
            <w:pPr>
              <w:pStyle w:val="TableParagraph"/>
              <w:spacing w:before="140"/>
              <w:ind w:left="151" w:right="278"/>
              <w:rPr>
                <w:sz w:val="20"/>
              </w:rPr>
            </w:pPr>
            <w:r>
              <w:rPr>
                <w:spacing w:val="-2"/>
                <w:sz w:val="20"/>
              </w:rPr>
              <w:t>Generic Custom</w:t>
            </w:r>
          </w:p>
        </w:tc>
        <w:tc>
          <w:tcPr>
            <w:tcW w:w="1172" w:type="dxa"/>
          </w:tcPr>
          <w:p w:rsidR="00C31389" w:rsidRDefault="00C31389" w14:paraId="2530CD78" w14:textId="77777777">
            <w:pPr>
              <w:pStyle w:val="TableParagraph"/>
              <w:spacing w:before="0"/>
              <w:rPr>
                <w:rFonts w:ascii="Times New Roman"/>
                <w:sz w:val="20"/>
              </w:rPr>
            </w:pPr>
          </w:p>
        </w:tc>
        <w:tc>
          <w:tcPr>
            <w:tcW w:w="1147" w:type="dxa"/>
          </w:tcPr>
          <w:p w:rsidR="00C31389" w:rsidRDefault="00561FBD" w14:paraId="5C472A51" w14:textId="77777777">
            <w:pPr>
              <w:pStyle w:val="TableParagraph"/>
              <w:spacing w:before="74" w:line="178" w:lineRule="exact"/>
              <w:ind w:left="147" w:right="183"/>
              <w:jc w:val="center"/>
              <w:rPr>
                <w:sz w:val="20"/>
              </w:rPr>
            </w:pPr>
            <w:r>
              <w:rPr>
                <w:spacing w:val="-2"/>
                <w:sz w:val="20"/>
              </w:rPr>
              <w:t>0.0651%</w:t>
            </w:r>
          </w:p>
        </w:tc>
        <w:tc>
          <w:tcPr>
            <w:tcW w:w="1268" w:type="dxa"/>
          </w:tcPr>
          <w:p w:rsidR="00C31389" w:rsidRDefault="00561FBD" w14:paraId="312F4855" w14:textId="77777777">
            <w:pPr>
              <w:pStyle w:val="TableParagraph"/>
              <w:spacing w:before="74" w:line="178" w:lineRule="exact"/>
              <w:ind w:left="187" w:right="264"/>
              <w:jc w:val="center"/>
              <w:rPr>
                <w:sz w:val="20"/>
              </w:rPr>
            </w:pPr>
            <w:r>
              <w:rPr>
                <w:spacing w:val="-2"/>
                <w:sz w:val="20"/>
              </w:rPr>
              <w:t>0.0496%</w:t>
            </w:r>
          </w:p>
        </w:tc>
        <w:tc>
          <w:tcPr>
            <w:tcW w:w="1323" w:type="dxa"/>
          </w:tcPr>
          <w:p w:rsidR="00C31389" w:rsidRDefault="00C31389" w14:paraId="7DF6B5B9" w14:textId="77777777">
            <w:pPr>
              <w:pStyle w:val="TableParagraph"/>
              <w:spacing w:before="0"/>
              <w:rPr>
                <w:rFonts w:ascii="Times New Roman"/>
                <w:sz w:val="20"/>
              </w:rPr>
            </w:pPr>
          </w:p>
        </w:tc>
        <w:tc>
          <w:tcPr>
            <w:tcW w:w="831" w:type="dxa"/>
          </w:tcPr>
          <w:p w:rsidR="00C31389" w:rsidRDefault="00C31389" w14:paraId="7CA67A08" w14:textId="77777777">
            <w:pPr>
              <w:pStyle w:val="TableParagraph"/>
              <w:spacing w:before="0"/>
              <w:rPr>
                <w:rFonts w:ascii="Times New Roman"/>
                <w:sz w:val="20"/>
              </w:rPr>
            </w:pPr>
          </w:p>
        </w:tc>
        <w:tc>
          <w:tcPr>
            <w:tcW w:w="1255" w:type="dxa"/>
          </w:tcPr>
          <w:p w:rsidR="00C31389" w:rsidRDefault="00C31389" w14:paraId="19A4809E" w14:textId="77777777">
            <w:pPr>
              <w:pStyle w:val="TableParagraph"/>
              <w:spacing w:before="0"/>
              <w:rPr>
                <w:rFonts w:ascii="Times New Roman"/>
                <w:sz w:val="20"/>
              </w:rPr>
            </w:pPr>
          </w:p>
        </w:tc>
      </w:tr>
      <w:tr w:rsidR="00C31389" w14:paraId="06FF2796" w14:textId="77777777">
        <w:trPr>
          <w:trHeight w:val="165"/>
        </w:trPr>
        <w:tc>
          <w:tcPr>
            <w:tcW w:w="1224" w:type="dxa"/>
          </w:tcPr>
          <w:p w:rsidR="00C31389" w:rsidRDefault="00C31389" w14:paraId="71ACCA49" w14:textId="77777777">
            <w:pPr>
              <w:pStyle w:val="TableParagraph"/>
              <w:spacing w:before="0"/>
              <w:rPr>
                <w:rFonts w:ascii="Times New Roman"/>
                <w:sz w:val="10"/>
              </w:rPr>
            </w:pPr>
          </w:p>
        </w:tc>
        <w:tc>
          <w:tcPr>
            <w:tcW w:w="1136" w:type="dxa"/>
            <w:vMerge/>
            <w:tcBorders>
              <w:top w:val="nil"/>
              <w:bottom w:val="single" w:color="000000" w:sz="8" w:space="0"/>
            </w:tcBorders>
          </w:tcPr>
          <w:p w:rsidR="00C31389" w:rsidRDefault="00C31389" w14:paraId="0CD952E0" w14:textId="77777777">
            <w:pPr>
              <w:rPr>
                <w:sz w:val="2"/>
                <w:szCs w:val="2"/>
              </w:rPr>
            </w:pPr>
          </w:p>
        </w:tc>
        <w:tc>
          <w:tcPr>
            <w:tcW w:w="1172" w:type="dxa"/>
          </w:tcPr>
          <w:p w:rsidR="00C31389" w:rsidRDefault="00561FBD" w14:paraId="084D14B3" w14:textId="77777777">
            <w:pPr>
              <w:pStyle w:val="TableParagraph"/>
              <w:spacing w:before="0" w:line="146" w:lineRule="exact"/>
              <w:ind w:left="431" w:right="488"/>
              <w:jc w:val="center"/>
              <w:rPr>
                <w:sz w:val="20"/>
              </w:rPr>
            </w:pPr>
            <w:r>
              <w:rPr>
                <w:spacing w:val="-5"/>
                <w:sz w:val="20"/>
              </w:rPr>
              <w:t>15</w:t>
            </w:r>
          </w:p>
        </w:tc>
        <w:tc>
          <w:tcPr>
            <w:tcW w:w="1147" w:type="dxa"/>
          </w:tcPr>
          <w:p w:rsidR="00C31389" w:rsidRDefault="00C31389" w14:paraId="101FC8C8" w14:textId="77777777">
            <w:pPr>
              <w:pStyle w:val="TableParagraph"/>
              <w:spacing w:before="0"/>
              <w:rPr>
                <w:rFonts w:ascii="Times New Roman"/>
                <w:sz w:val="10"/>
              </w:rPr>
            </w:pPr>
          </w:p>
        </w:tc>
        <w:tc>
          <w:tcPr>
            <w:tcW w:w="1268" w:type="dxa"/>
          </w:tcPr>
          <w:p w:rsidR="00C31389" w:rsidRDefault="00C31389" w14:paraId="2E666B83" w14:textId="77777777">
            <w:pPr>
              <w:pStyle w:val="TableParagraph"/>
              <w:spacing w:before="0"/>
              <w:rPr>
                <w:rFonts w:ascii="Times New Roman"/>
                <w:sz w:val="10"/>
              </w:rPr>
            </w:pPr>
          </w:p>
        </w:tc>
        <w:tc>
          <w:tcPr>
            <w:tcW w:w="1323" w:type="dxa"/>
          </w:tcPr>
          <w:p w:rsidR="00C31389" w:rsidRDefault="00561FBD" w14:paraId="2A3745AD" w14:textId="77777777">
            <w:pPr>
              <w:pStyle w:val="TableParagraph"/>
              <w:spacing w:before="0" w:line="146" w:lineRule="exact"/>
              <w:ind w:left="241"/>
              <w:rPr>
                <w:sz w:val="20"/>
              </w:rPr>
            </w:pPr>
            <w:r>
              <w:rPr>
                <w:spacing w:val="-2"/>
                <w:sz w:val="20"/>
              </w:rPr>
              <w:t>$0.48</w:t>
            </w:r>
          </w:p>
        </w:tc>
        <w:tc>
          <w:tcPr>
            <w:tcW w:w="831" w:type="dxa"/>
          </w:tcPr>
          <w:p w:rsidR="00C31389" w:rsidRDefault="00561FBD" w14:paraId="2578C375" w14:textId="77777777">
            <w:pPr>
              <w:pStyle w:val="TableParagraph"/>
              <w:spacing w:before="0" w:line="146" w:lineRule="exact"/>
              <w:ind w:left="66"/>
              <w:rPr>
                <w:sz w:val="20"/>
              </w:rPr>
            </w:pPr>
            <w:r>
              <w:rPr>
                <w:spacing w:val="-2"/>
                <w:sz w:val="20"/>
              </w:rPr>
              <w:t>$2.81</w:t>
            </w:r>
          </w:p>
        </w:tc>
        <w:tc>
          <w:tcPr>
            <w:tcW w:w="1255" w:type="dxa"/>
          </w:tcPr>
          <w:p w:rsidR="00C31389" w:rsidRDefault="00561FBD" w14:paraId="24EF2F88" w14:textId="77777777">
            <w:pPr>
              <w:pStyle w:val="TableParagraph"/>
              <w:spacing w:before="0" w:line="146" w:lineRule="exact"/>
              <w:ind w:left="242"/>
              <w:rPr>
                <w:sz w:val="20"/>
              </w:rPr>
            </w:pPr>
            <w:r>
              <w:rPr>
                <w:spacing w:val="-2"/>
                <w:sz w:val="20"/>
              </w:rPr>
              <w:t>0.000195</w:t>
            </w:r>
          </w:p>
        </w:tc>
      </w:tr>
      <w:tr w:rsidR="00C31389" w14:paraId="7BBA6AA9" w14:textId="77777777">
        <w:trPr>
          <w:trHeight w:val="259"/>
        </w:trPr>
        <w:tc>
          <w:tcPr>
            <w:tcW w:w="1224" w:type="dxa"/>
            <w:tcBorders>
              <w:bottom w:val="single" w:color="000000" w:sz="8" w:space="0"/>
            </w:tcBorders>
          </w:tcPr>
          <w:p w:rsidR="00C31389" w:rsidRDefault="00561FBD" w14:paraId="059E5B4B" w14:textId="77777777">
            <w:pPr>
              <w:pStyle w:val="TableParagraph"/>
              <w:spacing w:before="0" w:line="198" w:lineRule="exact"/>
              <w:ind w:left="115"/>
              <w:rPr>
                <w:sz w:val="20"/>
              </w:rPr>
            </w:pPr>
            <w:r>
              <w:rPr>
                <w:noProof/>
              </w:rPr>
              <mc:AlternateContent>
                <mc:Choice Requires="wpg">
                  <w:drawing>
                    <wp:anchor distT="0" distB="0" distL="0" distR="0" simplePos="0" relativeHeight="465564672" behindDoc="1" locked="0" layoutInCell="1" allowOverlap="1" wp14:editId="4BE9E2E3" wp14:anchorId="5DB38B0A">
                      <wp:simplePos x="0" y="0"/>
                      <wp:positionH relativeFrom="column">
                        <wp:posOffset>0</wp:posOffset>
                      </wp:positionH>
                      <wp:positionV relativeFrom="paragraph">
                        <wp:posOffset>-63579</wp:posOffset>
                      </wp:positionV>
                      <wp:extent cx="800100" cy="3175"/>
                      <wp:effectExtent l="0" t="0" r="0" b="0"/>
                      <wp:wrapNone/>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3175"/>
                                <a:chOff x="0" y="0"/>
                                <a:chExt cx="800100" cy="3175"/>
                              </a:xfrm>
                            </wpg:grpSpPr>
                            <wps:wsp>
                              <wps:cNvPr id="910" name="Graphic 910"/>
                              <wps:cNvSpPr/>
                              <wps:spPr>
                                <a:xfrm>
                                  <a:off x="0" y="0"/>
                                  <a:ext cx="800100" cy="3175"/>
                                </a:xfrm>
                                <a:custGeom>
                                  <a:avLst/>
                                  <a:gdLst/>
                                  <a:ahLst/>
                                  <a:cxnLst/>
                                  <a:rect l="l" t="t" r="r" b="b"/>
                                  <a:pathLst>
                                    <a:path w="800100" h="3175">
                                      <a:moveTo>
                                        <a:pt x="800100" y="0"/>
                                      </a:moveTo>
                                      <a:lnTo>
                                        <a:pt x="0" y="0"/>
                                      </a:lnTo>
                                      <a:lnTo>
                                        <a:pt x="0" y="3048"/>
                                      </a:lnTo>
                                      <a:lnTo>
                                        <a:pt x="800100" y="3048"/>
                                      </a:lnTo>
                                      <a:lnTo>
                                        <a:pt x="80010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id="Group 909" style="position:absolute;margin-left:0;margin-top:-5pt;width:63pt;height:.25pt;z-index:-37751808;mso-wrap-distance-left:0;mso-wrap-distance-right:0" coordsize="8001,31" o:spid="_x0000_s1026" w14:anchorId="3539E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">
                      <v:shape id="Graphic 910" style="position:absolute;width:8001;height:31;visibility:visible;mso-wrap-style:square;v-text-anchor:top" coordsize="800100,3175" o:spid="_x0000_s1027" fillcolor="#d9d9d9" stroked="f" path="m800100,l,,,3048r800100,l80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">
                        <v:path arrowok="t"/>
                      </v:shape>
                    </v:group>
                  </w:pict>
                </mc:Fallback>
              </mc:AlternateContent>
            </w:r>
            <w:r>
              <w:rPr>
                <w:spacing w:val="-2"/>
                <w:sz w:val="20"/>
              </w:rPr>
              <w:t>Agriculture</w:t>
            </w:r>
          </w:p>
        </w:tc>
        <w:tc>
          <w:tcPr>
            <w:tcW w:w="1136" w:type="dxa"/>
            <w:vMerge/>
            <w:tcBorders>
              <w:top w:val="nil"/>
              <w:bottom w:val="single" w:color="000000" w:sz="8" w:space="0"/>
            </w:tcBorders>
          </w:tcPr>
          <w:p w:rsidR="00C31389" w:rsidRDefault="00C31389" w14:paraId="27210FC2" w14:textId="77777777">
            <w:pPr>
              <w:rPr>
                <w:sz w:val="2"/>
                <w:szCs w:val="2"/>
              </w:rPr>
            </w:pPr>
          </w:p>
        </w:tc>
        <w:tc>
          <w:tcPr>
            <w:tcW w:w="1172" w:type="dxa"/>
            <w:tcBorders>
              <w:bottom w:val="single" w:color="000000" w:sz="8" w:space="0"/>
            </w:tcBorders>
          </w:tcPr>
          <w:p w:rsidR="00C31389" w:rsidRDefault="00C31389" w14:paraId="3A665234" w14:textId="77777777">
            <w:pPr>
              <w:pStyle w:val="TableParagraph"/>
              <w:spacing w:before="0"/>
              <w:rPr>
                <w:rFonts w:ascii="Times New Roman"/>
                <w:sz w:val="18"/>
              </w:rPr>
            </w:pPr>
          </w:p>
        </w:tc>
        <w:tc>
          <w:tcPr>
            <w:tcW w:w="1147" w:type="dxa"/>
            <w:tcBorders>
              <w:bottom w:val="single" w:color="000000" w:sz="8" w:space="0"/>
            </w:tcBorders>
          </w:tcPr>
          <w:p w:rsidR="00C31389" w:rsidRDefault="00561FBD" w14:paraId="026C6EBC" w14:textId="77777777">
            <w:pPr>
              <w:pStyle w:val="TableParagraph"/>
              <w:spacing w:before="0" w:line="198" w:lineRule="exact"/>
              <w:ind w:left="147" w:right="183"/>
              <w:jc w:val="center"/>
              <w:rPr>
                <w:sz w:val="20"/>
              </w:rPr>
            </w:pPr>
            <w:r>
              <w:rPr>
                <w:noProof/>
              </w:rPr>
              <mc:AlternateContent>
                <mc:Choice Requires="wpg">
                  <w:drawing>
                    <wp:anchor distT="0" distB="0" distL="0" distR="0" simplePos="0" relativeHeight="465565184" behindDoc="1" locked="0" layoutInCell="1" allowOverlap="1" wp14:editId="54C357AE" wp14:anchorId="66B1F9A7">
                      <wp:simplePos x="0" y="0"/>
                      <wp:positionH relativeFrom="column">
                        <wp:posOffset>-25494</wp:posOffset>
                      </wp:positionH>
                      <wp:positionV relativeFrom="paragraph">
                        <wp:posOffset>-63579</wp:posOffset>
                      </wp:positionV>
                      <wp:extent cx="1507490" cy="3175"/>
                      <wp:effectExtent l="0" t="0" r="0" b="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7490" cy="3175"/>
                                <a:chOff x="0" y="0"/>
                                <a:chExt cx="1507490" cy="3175"/>
                              </a:xfrm>
                            </wpg:grpSpPr>
                            <wps:wsp>
                              <wps:cNvPr id="912" name="Graphic 912"/>
                              <wps:cNvSpPr/>
                              <wps:spPr>
                                <a:xfrm>
                                  <a:off x="0" y="12"/>
                                  <a:ext cx="1507490" cy="3175"/>
                                </a:xfrm>
                                <a:custGeom>
                                  <a:avLst/>
                                  <a:gdLst/>
                                  <a:ahLst/>
                                  <a:cxnLst/>
                                  <a:rect l="l" t="t" r="r" b="b"/>
                                  <a:pathLst>
                                    <a:path w="1507490" h="3175">
                                      <a:moveTo>
                                        <a:pt x="756653" y="0"/>
                                      </a:moveTo>
                                      <a:lnTo>
                                        <a:pt x="753630" y="0"/>
                                      </a:lnTo>
                                      <a:lnTo>
                                        <a:pt x="0" y="0"/>
                                      </a:lnTo>
                                      <a:lnTo>
                                        <a:pt x="0" y="3035"/>
                                      </a:lnTo>
                                      <a:lnTo>
                                        <a:pt x="753618" y="3035"/>
                                      </a:lnTo>
                                      <a:lnTo>
                                        <a:pt x="756653" y="3035"/>
                                      </a:lnTo>
                                      <a:lnTo>
                                        <a:pt x="756653" y="0"/>
                                      </a:lnTo>
                                      <a:close/>
                                    </a:path>
                                    <a:path w="1507490" h="3175">
                                      <a:moveTo>
                                        <a:pt x="1507236" y="0"/>
                                      </a:moveTo>
                                      <a:lnTo>
                                        <a:pt x="756666" y="0"/>
                                      </a:lnTo>
                                      <a:lnTo>
                                        <a:pt x="756666" y="3035"/>
                                      </a:lnTo>
                                      <a:lnTo>
                                        <a:pt x="1507236" y="3035"/>
                                      </a:lnTo>
                                      <a:lnTo>
                                        <a:pt x="150723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id="Group 911" style="position:absolute;margin-left:-2pt;margin-top:-5pt;width:118.7pt;height:.25pt;z-index:-37751296;mso-wrap-distance-left:0;mso-wrap-distance-right:0" coordsize="15074,31" o:spid="_x0000_s1026" w14:anchorId="37514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">
                      <v:shape id="Graphic 912" style="position:absolute;width:15074;height:31;visibility:visible;mso-wrap-style:square;v-text-anchor:top" coordsize="1507490,3175" o:spid="_x0000_s1027" fillcolor="#d9d9d9" stroked="f" path="m756653,r-3023,l,,,3035r753618,l756653,3035r,-3035xem1507236,l756666,r,3035l1507236,3035r,-3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">
                        <v:path arrowok="t"/>
                      </v:shape>
                    </v:group>
                  </w:pict>
                </mc:Fallback>
              </mc:AlternateContent>
            </w:r>
            <w:r>
              <w:rPr>
                <w:spacing w:val="-2"/>
                <w:sz w:val="20"/>
              </w:rPr>
              <w:t>0.0570%</w:t>
            </w:r>
          </w:p>
        </w:tc>
        <w:tc>
          <w:tcPr>
            <w:tcW w:w="2591" w:type="dxa"/>
            <w:gridSpan w:val="2"/>
            <w:tcBorders>
              <w:bottom w:val="single" w:color="000000" w:sz="8" w:space="0"/>
            </w:tcBorders>
          </w:tcPr>
          <w:p w:rsidR="00C31389" w:rsidRDefault="00561FBD" w14:paraId="14E0CD9C" w14:textId="77777777">
            <w:pPr>
              <w:pStyle w:val="TableParagraph"/>
              <w:spacing w:before="0" w:line="198" w:lineRule="exact"/>
              <w:ind w:left="199"/>
              <w:rPr>
                <w:sz w:val="20"/>
              </w:rPr>
            </w:pPr>
            <w:r>
              <w:rPr>
                <w:spacing w:val="-2"/>
                <w:sz w:val="20"/>
              </w:rPr>
              <w:t>0.5540%</w:t>
            </w:r>
          </w:p>
        </w:tc>
        <w:tc>
          <w:tcPr>
            <w:tcW w:w="831" w:type="dxa"/>
            <w:tcBorders>
              <w:bottom w:val="single" w:color="000000" w:sz="8" w:space="0"/>
            </w:tcBorders>
          </w:tcPr>
          <w:p w:rsidR="00C31389" w:rsidRDefault="00C31389" w14:paraId="0F3C8CB4" w14:textId="77777777">
            <w:pPr>
              <w:pStyle w:val="TableParagraph"/>
              <w:spacing w:before="0"/>
              <w:rPr>
                <w:rFonts w:ascii="Times New Roman"/>
                <w:sz w:val="18"/>
              </w:rPr>
            </w:pPr>
          </w:p>
        </w:tc>
        <w:tc>
          <w:tcPr>
            <w:tcW w:w="1255" w:type="dxa"/>
            <w:tcBorders>
              <w:bottom w:val="single" w:color="000000" w:sz="8" w:space="0"/>
            </w:tcBorders>
          </w:tcPr>
          <w:p w:rsidR="00C31389" w:rsidRDefault="00C31389" w14:paraId="20EE9442" w14:textId="77777777">
            <w:pPr>
              <w:pStyle w:val="TableParagraph"/>
              <w:spacing w:before="0"/>
              <w:rPr>
                <w:rFonts w:ascii="Times New Roman"/>
                <w:sz w:val="18"/>
              </w:rPr>
            </w:pPr>
          </w:p>
        </w:tc>
      </w:tr>
    </w:tbl>
    <w:p w:rsidR="00C31389" w:rsidRDefault="00561FBD" w14:paraId="399AC88F"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020CF6D6" w14:textId="77777777">
      <w:pPr>
        <w:rPr>
          <w:sz w:val="18"/>
        </w:rPr>
        <w:sectPr w:rsidR="00C31389">
          <w:headerReference w:type="default" r:id="rId306"/>
          <w:footerReference w:type="default" r:id="rId307"/>
          <w:pgSz w:w="11910" w:h="16840"/>
          <w:pgMar w:top="1660" w:right="1020" w:bottom="1120" w:left="960" w:header="397" w:footer="938" w:gutter="0"/>
          <w:pgNumType w:start="1"/>
          <w:cols w:space="720"/>
        </w:sectPr>
      </w:pPr>
    </w:p>
    <w:p w:rsidR="00C31389" w:rsidRDefault="00C31389" w14:paraId="46661DE6" w14:textId="77777777">
      <w:pPr>
        <w:pStyle w:val="BodyText"/>
        <w:rPr>
          <w:i/>
        </w:rPr>
      </w:pPr>
    </w:p>
    <w:p w:rsidR="00C31389" w:rsidRDefault="00C31389" w14:paraId="4D47449C" w14:textId="77777777">
      <w:pPr>
        <w:pStyle w:val="BodyText"/>
        <w:spacing w:before="11"/>
        <w:rPr>
          <w:i/>
          <w:sz w:val="13"/>
        </w:rPr>
      </w:pPr>
    </w:p>
    <w:p w:rsidR="00C31389" w:rsidRDefault="00561FBD" w14:paraId="421FE598" w14:textId="77777777">
      <w:pPr>
        <w:pStyle w:val="ListParagraph"/>
        <w:numPr>
          <w:ilvl w:val="2"/>
          <w:numId w:val="13"/>
        </w:numPr>
        <w:tabs>
          <w:tab w:val="left" w:pos="1197"/>
        </w:tabs>
        <w:spacing w:before="92"/>
        <w:ind w:left="1197" w:hanging="717"/>
        <w:rPr>
          <w:b/>
          <w:sz w:val="24"/>
        </w:rPr>
      </w:pPr>
      <w:bookmarkStart w:name="G.1.2_Savings_Rate_Multiplier" w:id="609"/>
      <w:bookmarkStart w:name="_bookmark468" w:id="610"/>
      <w:bookmarkEnd w:id="609"/>
      <w:bookmarkEnd w:id="610"/>
      <w:r>
        <w:rPr>
          <w:b/>
          <w:sz w:val="24"/>
        </w:rPr>
        <w:t>Savings</w:t>
      </w:r>
      <w:r>
        <w:rPr>
          <w:b/>
          <w:spacing w:val="-3"/>
          <w:sz w:val="24"/>
        </w:rPr>
        <w:t xml:space="preserve"> </w:t>
      </w:r>
      <w:r>
        <w:rPr>
          <w:b/>
          <w:sz w:val="24"/>
        </w:rPr>
        <w:t>Rate</w:t>
      </w:r>
      <w:r>
        <w:rPr>
          <w:b/>
          <w:spacing w:val="-3"/>
          <w:sz w:val="24"/>
        </w:rPr>
        <w:t xml:space="preserve"> </w:t>
      </w:r>
      <w:r>
        <w:rPr>
          <w:b/>
          <w:spacing w:val="-2"/>
          <w:sz w:val="24"/>
        </w:rPr>
        <w:t>Multiplier</w:t>
      </w:r>
    </w:p>
    <w:p w:rsidR="00C31389" w:rsidRDefault="00C31389" w14:paraId="5CB7D8A6" w14:textId="77777777">
      <w:pPr>
        <w:pStyle w:val="BodyText"/>
        <w:spacing w:before="3"/>
        <w:rPr>
          <w:b/>
          <w:sz w:val="23"/>
        </w:rPr>
      </w:pPr>
    </w:p>
    <w:p w:rsidR="00C31389" w:rsidRDefault="00561FBD" w14:paraId="13FF4FBE" w14:textId="77777777">
      <w:pPr>
        <w:pStyle w:val="BodyText"/>
        <w:ind w:left="480" w:right="457"/>
      </w:pPr>
      <w:r>
        <w:t>Savings</w:t>
      </w:r>
      <w:r>
        <w:rPr>
          <w:spacing w:val="-3"/>
        </w:rPr>
        <w:t xml:space="preserve"> </w:t>
      </w:r>
      <w:r>
        <w:t>rate</w:t>
      </w:r>
      <w:r>
        <w:rPr>
          <w:spacing w:val="-4"/>
        </w:rPr>
        <w:t xml:space="preserve"> </w:t>
      </w:r>
      <w:r>
        <w:t>multipliers</w:t>
      </w:r>
      <w:r>
        <w:rPr>
          <w:spacing w:val="-4"/>
        </w:rPr>
        <w:t xml:space="preserve"> </w:t>
      </w:r>
      <w:r>
        <w:t>are</w:t>
      </w:r>
      <w:r>
        <w:rPr>
          <w:spacing w:val="-3"/>
        </w:rPr>
        <w:t xml:space="preserve"> </w:t>
      </w:r>
      <w:r>
        <w:t>defined</w:t>
      </w:r>
      <w:r>
        <w:rPr>
          <w:spacing w:val="-4"/>
        </w:rPr>
        <w:t xml:space="preserve"> </w:t>
      </w:r>
      <w:r>
        <w:t>as</w:t>
      </w:r>
      <w:r>
        <w:rPr>
          <w:spacing w:val="-3"/>
        </w:rPr>
        <w:t xml:space="preserve"> </w:t>
      </w:r>
      <w:r>
        <w:t>the</w:t>
      </w:r>
      <w:r>
        <w:rPr>
          <w:spacing w:val="-3"/>
        </w:rPr>
        <w:t xml:space="preserve"> </w:t>
      </w:r>
      <w:r>
        <w:t>percent</w:t>
      </w:r>
      <w:r>
        <w:rPr>
          <w:spacing w:val="-3"/>
        </w:rPr>
        <w:t xml:space="preserve"> </w:t>
      </w:r>
      <w:r>
        <w:t>of</w:t>
      </w:r>
      <w:r>
        <w:rPr>
          <w:spacing w:val="-3"/>
        </w:rPr>
        <w:t xml:space="preserve"> </w:t>
      </w:r>
      <w:r>
        <w:t>total</w:t>
      </w:r>
      <w:r>
        <w:rPr>
          <w:spacing w:val="-3"/>
        </w:rPr>
        <w:t xml:space="preserve"> </w:t>
      </w:r>
      <w:r>
        <w:t>sector</w:t>
      </w:r>
      <w:r>
        <w:rPr>
          <w:spacing w:val="-3"/>
        </w:rPr>
        <w:t xml:space="preserve"> </w:t>
      </w:r>
      <w:r>
        <w:t>energy</w:t>
      </w:r>
      <w:r>
        <w:rPr>
          <w:spacing w:val="-4"/>
        </w:rPr>
        <w:t xml:space="preserve"> </w:t>
      </w:r>
      <w:r>
        <w:t>consumed</w:t>
      </w:r>
      <w:r>
        <w:rPr>
          <w:spacing w:val="-3"/>
        </w:rPr>
        <w:t xml:space="preserve"> </w:t>
      </w:r>
      <w:r>
        <w:t>in</w:t>
      </w:r>
      <w:r>
        <w:rPr>
          <w:spacing w:val="-3"/>
        </w:rPr>
        <w:t xml:space="preserve"> </w:t>
      </w:r>
      <w:r>
        <w:t>a</w:t>
      </w:r>
      <w:r>
        <w:rPr>
          <w:spacing w:val="-3"/>
        </w:rPr>
        <w:t xml:space="preserve"> </w:t>
      </w:r>
      <w:r>
        <w:t xml:space="preserve">year that can be reduced through EE. The forecast energy savings </w:t>
      </w:r>
      <w:r>
        <w:t>values</w:t>
      </w:r>
      <w:r>
        <w:rPr>
          <w:spacing w:val="-1"/>
        </w:rPr>
        <w:t xml:space="preserve"> </w:t>
      </w:r>
      <w:r>
        <w:t>(kWh and Therms) are then derived by multiplying total forecast sector consumption by the savings rate multiplier. For</w:t>
      </w:r>
      <w:r>
        <w:rPr>
          <w:spacing w:val="-1"/>
        </w:rPr>
        <w:t xml:space="preserve"> </w:t>
      </w:r>
      <w:r>
        <w:t>the</w:t>
      </w:r>
      <w:r>
        <w:rPr>
          <w:spacing w:val="-1"/>
        </w:rPr>
        <w:t xml:space="preserve"> </w:t>
      </w:r>
      <w:r>
        <w:t>2023</w:t>
      </w:r>
      <w:r>
        <w:rPr>
          <w:spacing w:val="-1"/>
        </w:rPr>
        <w:t xml:space="preserve"> </w:t>
      </w:r>
      <w:r>
        <w:t>Study,</w:t>
      </w:r>
      <w:r>
        <w:rPr>
          <w:spacing w:val="-1"/>
        </w:rPr>
        <w:t xml:space="preserve"> </w:t>
      </w:r>
      <w:r>
        <w:t>the</w:t>
      </w:r>
      <w:r>
        <w:rPr>
          <w:spacing w:val="-2"/>
        </w:rPr>
        <w:t xml:space="preserve"> </w:t>
      </w:r>
      <w:r>
        <w:t>team</w:t>
      </w:r>
      <w:r>
        <w:rPr>
          <w:spacing w:val="-2"/>
        </w:rPr>
        <w:t xml:space="preserve"> </w:t>
      </w:r>
      <w:r>
        <w:t>analyzed</w:t>
      </w:r>
      <w:r>
        <w:rPr>
          <w:spacing w:val="-1"/>
        </w:rPr>
        <w:t xml:space="preserve"> </w:t>
      </w:r>
      <w:r>
        <w:t>CEDARS</w:t>
      </w:r>
      <w:r>
        <w:rPr>
          <w:spacing w:val="-1"/>
        </w:rPr>
        <w:t xml:space="preserve"> </w:t>
      </w:r>
      <w:r>
        <w:t>data</w:t>
      </w:r>
      <w:r>
        <w:rPr>
          <w:spacing w:val="-1"/>
        </w:rPr>
        <w:t xml:space="preserve"> </w:t>
      </w:r>
      <w:r>
        <w:t>for</w:t>
      </w:r>
      <w:r>
        <w:rPr>
          <w:spacing w:val="-1"/>
        </w:rPr>
        <w:t xml:space="preserve"> </w:t>
      </w:r>
      <w:r>
        <w:t>program</w:t>
      </w:r>
      <w:r>
        <w:rPr>
          <w:spacing w:val="-2"/>
        </w:rPr>
        <w:t xml:space="preserve"> </w:t>
      </w:r>
      <w:r>
        <w:t>years</w:t>
      </w:r>
      <w:r>
        <w:rPr>
          <w:spacing w:val="-1"/>
        </w:rPr>
        <w:t xml:space="preserve"> </w:t>
      </w:r>
      <w:r>
        <w:t>2016</w:t>
      </w:r>
      <w:r>
        <w:rPr>
          <w:spacing w:val="-1"/>
        </w:rPr>
        <w:t xml:space="preserve"> </w:t>
      </w:r>
      <w:r>
        <w:t>through</w:t>
      </w:r>
      <w:r>
        <w:rPr>
          <w:spacing w:val="-1"/>
        </w:rPr>
        <w:t xml:space="preserve"> </w:t>
      </w:r>
      <w:r>
        <w:t xml:space="preserve">2021 to define savings associated with generic customer measures and </w:t>
      </w:r>
      <w:hyperlink w:history="1" w:anchor="_bookmark469">
        <w:r>
          <w:t>Table G-2</w:t>
        </w:r>
      </w:hyperlink>
      <w:r>
        <w:t xml:space="preserve"> provides a summary of GC ex ante savings by program year, and the sector electricity and natural gas consumption</w:t>
      </w:r>
      <w:r>
        <w:t xml:space="preserve"> provided by the IEPR mid-forecast for the same years. The average savings and consumption data was used to develop the savings rate multipliers presented in </w:t>
      </w:r>
      <w:hyperlink w:history="1" w:anchor="_bookmark467">
        <w:r>
          <w:t>Table</w:t>
        </w:r>
      </w:hyperlink>
      <w:r>
        <w:t xml:space="preserve"> </w:t>
      </w:r>
      <w:hyperlink w:history="1" w:anchor="_bookmark467">
        <w:r>
          <w:rPr>
            <w:spacing w:val="-4"/>
          </w:rPr>
          <w:t>G-1</w:t>
        </w:r>
      </w:hyperlink>
      <w:r>
        <w:rPr>
          <w:spacing w:val="-4"/>
        </w:rPr>
        <w:t>.</w:t>
      </w:r>
    </w:p>
    <w:p w:rsidR="00C31389" w:rsidRDefault="00C31389" w14:paraId="44A2F408" w14:textId="77777777">
      <w:pPr>
        <w:pStyle w:val="BodyText"/>
        <w:spacing w:before="9"/>
        <w:rPr>
          <w:sz w:val="20"/>
        </w:rPr>
      </w:pPr>
    </w:p>
    <w:p w:rsidR="00C31389" w:rsidRDefault="00561FBD" w14:paraId="3A789FBD" w14:textId="77777777">
      <w:pPr>
        <w:pStyle w:val="Heading7"/>
        <w:spacing w:before="1"/>
        <w:ind w:left="519"/>
      </w:pPr>
      <w:bookmarkStart w:name="_bookmark469" w:id="611"/>
      <w:bookmarkEnd w:id="611"/>
      <w:r>
        <w:t>Table</w:t>
      </w:r>
      <w:r>
        <w:rPr>
          <w:spacing w:val="-8"/>
        </w:rPr>
        <w:t xml:space="preserve"> </w:t>
      </w:r>
      <w:r>
        <w:t>G-2.</w:t>
      </w:r>
      <w:r>
        <w:rPr>
          <w:spacing w:val="-9"/>
        </w:rPr>
        <w:t xml:space="preserve"> </w:t>
      </w:r>
      <w:r>
        <w:t>CEDARS</w:t>
      </w:r>
      <w:r>
        <w:rPr>
          <w:spacing w:val="-8"/>
        </w:rPr>
        <w:t xml:space="preserve"> </w:t>
      </w:r>
      <w:r>
        <w:t>Reported</w:t>
      </w:r>
      <w:r>
        <w:rPr>
          <w:spacing w:val="-7"/>
        </w:rPr>
        <w:t xml:space="preserve"> </w:t>
      </w:r>
      <w:r>
        <w:t>Industrial</w:t>
      </w:r>
      <w:r>
        <w:rPr>
          <w:spacing w:val="-8"/>
        </w:rPr>
        <w:t xml:space="preserve"> </w:t>
      </w:r>
      <w:r>
        <w:t>and</w:t>
      </w:r>
      <w:r>
        <w:rPr>
          <w:spacing w:val="-8"/>
        </w:rPr>
        <w:t xml:space="preserve"> </w:t>
      </w:r>
      <w:r>
        <w:t>Agriculture</w:t>
      </w:r>
      <w:r>
        <w:rPr>
          <w:spacing w:val="-7"/>
        </w:rPr>
        <w:t xml:space="preserve"> </w:t>
      </w:r>
      <w:r>
        <w:t>Ex</w:t>
      </w:r>
      <w:r>
        <w:rPr>
          <w:spacing w:val="-8"/>
        </w:rPr>
        <w:t xml:space="preserve"> </w:t>
      </w:r>
      <w:r>
        <w:t>Ante</w:t>
      </w:r>
      <w:r>
        <w:rPr>
          <w:spacing w:val="-7"/>
        </w:rPr>
        <w:t xml:space="preserve"> </w:t>
      </w:r>
      <w:r>
        <w:t>GC</w:t>
      </w:r>
      <w:r>
        <w:rPr>
          <w:spacing w:val="-8"/>
        </w:rPr>
        <w:t xml:space="preserve"> </w:t>
      </w:r>
      <w:r>
        <w:t>Measure</w:t>
      </w:r>
      <w:r>
        <w:rPr>
          <w:spacing w:val="-8"/>
        </w:rPr>
        <w:t xml:space="preserve"> </w:t>
      </w:r>
      <w:r>
        <w:rPr>
          <w:spacing w:val="-2"/>
        </w:rPr>
        <w:t>Savings</w:t>
      </w:r>
    </w:p>
    <w:p w:rsidR="00C31389" w:rsidRDefault="00C31389" w14:paraId="4094DE6A" w14:textId="77777777">
      <w:pPr>
        <w:pStyle w:val="BodyText"/>
        <w:rPr>
          <w:b/>
          <w:sz w:val="10"/>
        </w:rPr>
      </w:pPr>
    </w:p>
    <w:tbl>
      <w:tblPr>
        <w:tblW w:w="0" w:type="auto"/>
        <w:tblInd w:w="187" w:type="dxa"/>
        <w:tblLayout w:type="fixed"/>
        <w:tblCellMar>
          <w:left w:w="0" w:type="dxa"/>
          <w:right w:w="0" w:type="dxa"/>
        </w:tblCellMar>
        <w:tblLook w:val="01E0" w:firstRow="1" w:lastRow="1" w:firstColumn="1" w:lastColumn="1" w:noHBand="0" w:noVBand="0"/>
      </w:tblPr>
      <w:tblGrid>
        <w:gridCol w:w="3035"/>
        <w:gridCol w:w="1021"/>
        <w:gridCol w:w="915"/>
        <w:gridCol w:w="915"/>
        <w:gridCol w:w="915"/>
        <w:gridCol w:w="915"/>
        <w:gridCol w:w="905"/>
        <w:gridCol w:w="1006"/>
      </w:tblGrid>
      <w:tr w:rsidR="00C31389" w14:paraId="1FC929C9" w14:textId="77777777">
        <w:trPr>
          <w:trHeight w:val="309"/>
        </w:trPr>
        <w:tc>
          <w:tcPr>
            <w:tcW w:w="3035" w:type="dxa"/>
            <w:tcBorders>
              <w:bottom w:val="single" w:color="B6B6B6" w:sz="4" w:space="0"/>
            </w:tcBorders>
            <w:shd w:val="clear" w:color="auto" w:fill="92D400"/>
          </w:tcPr>
          <w:p w:rsidR="00C31389" w:rsidRDefault="00561FBD" w14:paraId="2A2570A9" w14:textId="77777777">
            <w:pPr>
              <w:pStyle w:val="TableParagraph"/>
              <w:ind w:left="1337" w:right="1240"/>
              <w:jc w:val="center"/>
              <w:rPr>
                <w:b/>
                <w:sz w:val="20"/>
              </w:rPr>
            </w:pPr>
            <w:r>
              <w:rPr>
                <w:b/>
                <w:spacing w:val="-4"/>
                <w:sz w:val="20"/>
              </w:rPr>
              <w:t>Year</w:t>
            </w:r>
          </w:p>
        </w:tc>
        <w:tc>
          <w:tcPr>
            <w:tcW w:w="1021" w:type="dxa"/>
            <w:tcBorders>
              <w:bottom w:val="single" w:color="B6B6B6" w:sz="4" w:space="0"/>
            </w:tcBorders>
            <w:shd w:val="clear" w:color="auto" w:fill="92D400"/>
          </w:tcPr>
          <w:p w:rsidR="00C31389" w:rsidRDefault="00561FBD" w14:paraId="795FC94D" w14:textId="77777777">
            <w:pPr>
              <w:pStyle w:val="TableParagraph"/>
              <w:ind w:left="329"/>
              <w:rPr>
                <w:b/>
                <w:sz w:val="20"/>
              </w:rPr>
            </w:pPr>
            <w:r>
              <w:rPr>
                <w:b/>
                <w:spacing w:val="-4"/>
                <w:sz w:val="20"/>
              </w:rPr>
              <w:t>2016</w:t>
            </w:r>
          </w:p>
        </w:tc>
        <w:tc>
          <w:tcPr>
            <w:tcW w:w="915" w:type="dxa"/>
            <w:tcBorders>
              <w:bottom w:val="single" w:color="B6B6B6" w:sz="4" w:space="0"/>
            </w:tcBorders>
            <w:shd w:val="clear" w:color="auto" w:fill="92D400"/>
          </w:tcPr>
          <w:p w:rsidR="00C31389" w:rsidRDefault="00561FBD" w14:paraId="6ABA7ADE" w14:textId="77777777">
            <w:pPr>
              <w:pStyle w:val="TableParagraph"/>
              <w:ind w:left="223"/>
              <w:rPr>
                <w:b/>
                <w:sz w:val="20"/>
              </w:rPr>
            </w:pPr>
            <w:r>
              <w:rPr>
                <w:b/>
                <w:spacing w:val="-4"/>
                <w:sz w:val="20"/>
              </w:rPr>
              <w:t>2017</w:t>
            </w:r>
          </w:p>
        </w:tc>
        <w:tc>
          <w:tcPr>
            <w:tcW w:w="915" w:type="dxa"/>
            <w:tcBorders>
              <w:bottom w:val="single" w:color="B6B6B6" w:sz="4" w:space="0"/>
            </w:tcBorders>
            <w:shd w:val="clear" w:color="auto" w:fill="92D400"/>
          </w:tcPr>
          <w:p w:rsidR="00C31389" w:rsidRDefault="00561FBD" w14:paraId="0F088612" w14:textId="77777777">
            <w:pPr>
              <w:pStyle w:val="TableParagraph"/>
              <w:ind w:left="223"/>
              <w:rPr>
                <w:b/>
                <w:sz w:val="20"/>
              </w:rPr>
            </w:pPr>
            <w:r>
              <w:rPr>
                <w:b/>
                <w:spacing w:val="-4"/>
                <w:sz w:val="20"/>
              </w:rPr>
              <w:t>2018</w:t>
            </w:r>
          </w:p>
        </w:tc>
        <w:tc>
          <w:tcPr>
            <w:tcW w:w="915" w:type="dxa"/>
            <w:tcBorders>
              <w:bottom w:val="single" w:color="B6B6B6" w:sz="4" w:space="0"/>
            </w:tcBorders>
            <w:shd w:val="clear" w:color="auto" w:fill="92D400"/>
          </w:tcPr>
          <w:p w:rsidR="00C31389" w:rsidRDefault="00561FBD" w14:paraId="550C17D6" w14:textId="77777777">
            <w:pPr>
              <w:pStyle w:val="TableParagraph"/>
              <w:ind w:left="223"/>
              <w:rPr>
                <w:b/>
                <w:sz w:val="20"/>
              </w:rPr>
            </w:pPr>
            <w:r>
              <w:rPr>
                <w:b/>
                <w:spacing w:val="-4"/>
                <w:sz w:val="20"/>
              </w:rPr>
              <w:t>2019</w:t>
            </w:r>
          </w:p>
        </w:tc>
        <w:tc>
          <w:tcPr>
            <w:tcW w:w="915" w:type="dxa"/>
            <w:tcBorders>
              <w:bottom w:val="single" w:color="B6B6B6" w:sz="4" w:space="0"/>
            </w:tcBorders>
            <w:shd w:val="clear" w:color="auto" w:fill="92D400"/>
          </w:tcPr>
          <w:p w:rsidR="00C31389" w:rsidRDefault="00561FBD" w14:paraId="4BFB4887" w14:textId="77777777">
            <w:pPr>
              <w:pStyle w:val="TableParagraph"/>
              <w:ind w:left="223"/>
              <w:rPr>
                <w:b/>
                <w:sz w:val="20"/>
              </w:rPr>
            </w:pPr>
            <w:r>
              <w:rPr>
                <w:b/>
                <w:spacing w:val="-4"/>
                <w:sz w:val="20"/>
              </w:rPr>
              <w:t>2020</w:t>
            </w:r>
          </w:p>
        </w:tc>
        <w:tc>
          <w:tcPr>
            <w:tcW w:w="905" w:type="dxa"/>
            <w:tcBorders>
              <w:bottom w:val="single" w:color="B6B6B6" w:sz="4" w:space="0"/>
            </w:tcBorders>
            <w:shd w:val="clear" w:color="auto" w:fill="92D400"/>
          </w:tcPr>
          <w:p w:rsidR="00C31389" w:rsidRDefault="00561FBD" w14:paraId="021A5071" w14:textId="77777777">
            <w:pPr>
              <w:pStyle w:val="TableParagraph"/>
              <w:ind w:left="223"/>
              <w:rPr>
                <w:b/>
                <w:sz w:val="20"/>
              </w:rPr>
            </w:pPr>
            <w:r>
              <w:rPr>
                <w:b/>
                <w:spacing w:val="-4"/>
                <w:sz w:val="20"/>
              </w:rPr>
              <w:t>2021</w:t>
            </w:r>
          </w:p>
        </w:tc>
        <w:tc>
          <w:tcPr>
            <w:tcW w:w="1006" w:type="dxa"/>
            <w:tcBorders>
              <w:bottom w:val="single" w:color="B6B6B6" w:sz="4" w:space="0"/>
            </w:tcBorders>
            <w:shd w:val="clear" w:color="auto" w:fill="92D400"/>
          </w:tcPr>
          <w:p w:rsidR="00C31389" w:rsidRDefault="00561FBD" w14:paraId="468CBA05" w14:textId="77777777">
            <w:pPr>
              <w:pStyle w:val="TableParagraph"/>
              <w:ind w:right="105"/>
              <w:jc w:val="right"/>
              <w:rPr>
                <w:b/>
                <w:sz w:val="20"/>
              </w:rPr>
            </w:pPr>
            <w:r>
              <w:rPr>
                <w:b/>
                <w:spacing w:val="-2"/>
                <w:sz w:val="20"/>
              </w:rPr>
              <w:t>Average</w:t>
            </w:r>
          </w:p>
        </w:tc>
      </w:tr>
      <w:tr w:rsidR="00C31389" w14:paraId="68ECFCCF" w14:textId="77777777">
        <w:trPr>
          <w:trHeight w:val="310"/>
        </w:trPr>
        <w:tc>
          <w:tcPr>
            <w:tcW w:w="9627" w:type="dxa"/>
            <w:gridSpan w:val="8"/>
            <w:tcBorders>
              <w:top w:val="single" w:color="B6B6B6" w:sz="4" w:space="0"/>
              <w:bottom w:val="single" w:color="B6B6B6" w:sz="4" w:space="0"/>
            </w:tcBorders>
          </w:tcPr>
          <w:p w:rsidR="00C31389" w:rsidRDefault="00561FBD" w14:paraId="0354D7F1" w14:textId="77777777">
            <w:pPr>
              <w:pStyle w:val="TableParagraph"/>
              <w:spacing w:before="41"/>
              <w:ind w:left="4271" w:right="4270"/>
              <w:jc w:val="center"/>
              <w:rPr>
                <w:b/>
                <w:sz w:val="20"/>
              </w:rPr>
            </w:pPr>
            <w:r>
              <w:rPr>
                <w:b/>
                <w:spacing w:val="-2"/>
                <w:sz w:val="20"/>
              </w:rPr>
              <w:t>Industrial</w:t>
            </w:r>
          </w:p>
        </w:tc>
      </w:tr>
      <w:tr w:rsidR="00C31389" w14:paraId="329E05FB" w14:textId="77777777">
        <w:trPr>
          <w:trHeight w:val="310"/>
        </w:trPr>
        <w:tc>
          <w:tcPr>
            <w:tcW w:w="3035" w:type="dxa"/>
            <w:tcBorders>
              <w:top w:val="single" w:color="B6B6B6" w:sz="4" w:space="0"/>
              <w:bottom w:val="single" w:color="B6B6B6" w:sz="4" w:space="0"/>
            </w:tcBorders>
          </w:tcPr>
          <w:p w:rsidR="00C31389" w:rsidRDefault="00561FBD" w14:paraId="66AB7D3F" w14:textId="77777777">
            <w:pPr>
              <w:pStyle w:val="TableParagraph"/>
              <w:ind w:left="107"/>
              <w:rPr>
                <w:sz w:val="20"/>
              </w:rPr>
            </w:pPr>
            <w:r>
              <w:rPr>
                <w:sz w:val="20"/>
              </w:rPr>
              <w:t>GC</w:t>
            </w:r>
            <w:r>
              <w:rPr>
                <w:spacing w:val="-1"/>
                <w:sz w:val="20"/>
              </w:rPr>
              <w:t xml:space="preserve"> </w:t>
            </w:r>
            <w:r>
              <w:rPr>
                <w:sz w:val="20"/>
              </w:rPr>
              <w:t>GWh</w:t>
            </w:r>
            <w:r>
              <w:rPr>
                <w:spacing w:val="-2"/>
                <w:sz w:val="20"/>
              </w:rPr>
              <w:t xml:space="preserve"> Savings</w:t>
            </w:r>
          </w:p>
        </w:tc>
        <w:tc>
          <w:tcPr>
            <w:tcW w:w="1021" w:type="dxa"/>
            <w:tcBorders>
              <w:top w:val="single" w:color="B6B6B6" w:sz="4" w:space="0"/>
              <w:bottom w:val="single" w:color="B6B6B6" w:sz="4" w:space="0"/>
            </w:tcBorders>
          </w:tcPr>
          <w:p w:rsidR="00C31389" w:rsidRDefault="00561FBD" w14:paraId="5BF0C7E1" w14:textId="77777777">
            <w:pPr>
              <w:pStyle w:val="TableParagraph"/>
              <w:ind w:right="115"/>
              <w:jc w:val="right"/>
              <w:rPr>
                <w:sz w:val="20"/>
              </w:rPr>
            </w:pPr>
            <w:r>
              <w:rPr>
                <w:spacing w:val="-4"/>
                <w:sz w:val="20"/>
              </w:rPr>
              <w:t>23.8</w:t>
            </w:r>
          </w:p>
        </w:tc>
        <w:tc>
          <w:tcPr>
            <w:tcW w:w="915" w:type="dxa"/>
            <w:tcBorders>
              <w:top w:val="single" w:color="B6B6B6" w:sz="4" w:space="0"/>
              <w:bottom w:val="single" w:color="B6B6B6" w:sz="4" w:space="0"/>
            </w:tcBorders>
          </w:tcPr>
          <w:p w:rsidR="00C31389" w:rsidRDefault="00561FBD" w14:paraId="3F30F574" w14:textId="77777777">
            <w:pPr>
              <w:pStyle w:val="TableParagraph"/>
              <w:ind w:right="116"/>
              <w:jc w:val="right"/>
              <w:rPr>
                <w:sz w:val="20"/>
              </w:rPr>
            </w:pPr>
            <w:r>
              <w:rPr>
                <w:spacing w:val="-4"/>
                <w:sz w:val="20"/>
              </w:rPr>
              <w:t>19.9</w:t>
            </w:r>
          </w:p>
        </w:tc>
        <w:tc>
          <w:tcPr>
            <w:tcW w:w="915" w:type="dxa"/>
            <w:tcBorders>
              <w:top w:val="single" w:color="B6B6B6" w:sz="4" w:space="0"/>
              <w:bottom w:val="single" w:color="B6B6B6" w:sz="4" w:space="0"/>
            </w:tcBorders>
          </w:tcPr>
          <w:p w:rsidR="00C31389" w:rsidRDefault="00561FBD" w14:paraId="54454080" w14:textId="77777777">
            <w:pPr>
              <w:pStyle w:val="TableParagraph"/>
              <w:ind w:right="115"/>
              <w:jc w:val="right"/>
              <w:rPr>
                <w:sz w:val="20"/>
              </w:rPr>
            </w:pPr>
            <w:r>
              <w:rPr>
                <w:spacing w:val="-4"/>
                <w:sz w:val="20"/>
              </w:rPr>
              <w:t>21.1</w:t>
            </w:r>
          </w:p>
        </w:tc>
        <w:tc>
          <w:tcPr>
            <w:tcW w:w="915" w:type="dxa"/>
            <w:tcBorders>
              <w:top w:val="single" w:color="B6B6B6" w:sz="4" w:space="0"/>
              <w:bottom w:val="single" w:color="B6B6B6" w:sz="4" w:space="0"/>
            </w:tcBorders>
          </w:tcPr>
          <w:p w:rsidR="00C31389" w:rsidRDefault="00561FBD" w14:paraId="7FC854C6" w14:textId="77777777">
            <w:pPr>
              <w:pStyle w:val="TableParagraph"/>
              <w:ind w:right="116"/>
              <w:jc w:val="right"/>
              <w:rPr>
                <w:sz w:val="20"/>
              </w:rPr>
            </w:pPr>
            <w:r>
              <w:rPr>
                <w:spacing w:val="-5"/>
                <w:sz w:val="20"/>
              </w:rPr>
              <w:t>15</w:t>
            </w:r>
          </w:p>
        </w:tc>
        <w:tc>
          <w:tcPr>
            <w:tcW w:w="915" w:type="dxa"/>
            <w:tcBorders>
              <w:top w:val="single" w:color="B6B6B6" w:sz="4" w:space="0"/>
              <w:bottom w:val="single" w:color="B6B6B6" w:sz="4" w:space="0"/>
            </w:tcBorders>
          </w:tcPr>
          <w:p w:rsidR="00C31389" w:rsidRDefault="00561FBD" w14:paraId="43692DCF" w14:textId="77777777">
            <w:pPr>
              <w:pStyle w:val="TableParagraph"/>
              <w:ind w:right="115"/>
              <w:jc w:val="right"/>
              <w:rPr>
                <w:sz w:val="20"/>
              </w:rPr>
            </w:pPr>
            <w:r>
              <w:rPr>
                <w:spacing w:val="-4"/>
                <w:sz w:val="20"/>
              </w:rPr>
              <w:t>11.4</w:t>
            </w:r>
          </w:p>
        </w:tc>
        <w:tc>
          <w:tcPr>
            <w:tcW w:w="905" w:type="dxa"/>
            <w:tcBorders>
              <w:top w:val="single" w:color="B6B6B6" w:sz="4" w:space="0"/>
              <w:bottom w:val="single" w:color="B6B6B6" w:sz="4" w:space="0"/>
            </w:tcBorders>
          </w:tcPr>
          <w:p w:rsidR="00C31389" w:rsidRDefault="00561FBD" w14:paraId="350F3E09" w14:textId="77777777">
            <w:pPr>
              <w:pStyle w:val="TableParagraph"/>
              <w:ind w:right="107"/>
              <w:jc w:val="right"/>
              <w:rPr>
                <w:sz w:val="20"/>
              </w:rPr>
            </w:pPr>
            <w:r>
              <w:rPr>
                <w:spacing w:val="-5"/>
                <w:sz w:val="20"/>
              </w:rPr>
              <w:t>6.6</w:t>
            </w:r>
          </w:p>
        </w:tc>
        <w:tc>
          <w:tcPr>
            <w:tcW w:w="1006" w:type="dxa"/>
            <w:tcBorders>
              <w:top w:val="single" w:color="B6B6B6" w:sz="4" w:space="0"/>
              <w:bottom w:val="single" w:color="B6B6B6" w:sz="4" w:space="0"/>
            </w:tcBorders>
          </w:tcPr>
          <w:p w:rsidR="00C31389" w:rsidRDefault="00561FBD" w14:paraId="24CB9EF6" w14:textId="77777777">
            <w:pPr>
              <w:pStyle w:val="TableParagraph"/>
              <w:ind w:right="105"/>
              <w:jc w:val="right"/>
              <w:rPr>
                <w:sz w:val="20"/>
              </w:rPr>
            </w:pPr>
            <w:r>
              <w:rPr>
                <w:spacing w:val="-4"/>
                <w:sz w:val="20"/>
              </w:rPr>
              <w:t>16.3</w:t>
            </w:r>
          </w:p>
        </w:tc>
      </w:tr>
      <w:tr w:rsidR="00C31389" w14:paraId="4B9F1434" w14:textId="77777777">
        <w:trPr>
          <w:trHeight w:val="309"/>
        </w:trPr>
        <w:tc>
          <w:tcPr>
            <w:tcW w:w="3035" w:type="dxa"/>
            <w:tcBorders>
              <w:top w:val="single" w:color="B6B6B6" w:sz="4" w:space="0"/>
              <w:bottom w:val="single" w:color="B6B6B6" w:sz="4" w:space="0"/>
            </w:tcBorders>
          </w:tcPr>
          <w:p w:rsidR="00C31389" w:rsidRDefault="00561FBD" w14:paraId="73583404" w14:textId="77777777">
            <w:pPr>
              <w:pStyle w:val="TableParagraph"/>
              <w:ind w:left="107"/>
              <w:rPr>
                <w:sz w:val="20"/>
              </w:rPr>
            </w:pPr>
            <w:r>
              <w:rPr>
                <w:sz w:val="20"/>
              </w:rPr>
              <w:t>Industrial</w:t>
            </w:r>
            <w:r>
              <w:rPr>
                <w:spacing w:val="-5"/>
                <w:sz w:val="20"/>
              </w:rPr>
              <w:t xml:space="preserve"> </w:t>
            </w:r>
            <w:r>
              <w:rPr>
                <w:sz w:val="20"/>
              </w:rPr>
              <w:t>GWh</w:t>
            </w:r>
            <w:r>
              <w:rPr>
                <w:spacing w:val="-4"/>
                <w:sz w:val="20"/>
              </w:rPr>
              <w:t xml:space="preserve"> </w:t>
            </w:r>
            <w:r>
              <w:rPr>
                <w:spacing w:val="-2"/>
                <w:sz w:val="20"/>
              </w:rPr>
              <w:t>Consumption</w:t>
            </w:r>
          </w:p>
        </w:tc>
        <w:tc>
          <w:tcPr>
            <w:tcW w:w="1021" w:type="dxa"/>
            <w:tcBorders>
              <w:top w:val="single" w:color="B6B6B6" w:sz="4" w:space="0"/>
              <w:bottom w:val="single" w:color="B6B6B6" w:sz="4" w:space="0"/>
            </w:tcBorders>
          </w:tcPr>
          <w:p w:rsidR="00C31389" w:rsidRDefault="00561FBD" w14:paraId="19D06262" w14:textId="77777777">
            <w:pPr>
              <w:pStyle w:val="TableParagraph"/>
              <w:ind w:right="115"/>
              <w:jc w:val="right"/>
              <w:rPr>
                <w:sz w:val="20"/>
              </w:rPr>
            </w:pPr>
            <w:r>
              <w:rPr>
                <w:spacing w:val="-2"/>
                <w:sz w:val="20"/>
              </w:rPr>
              <w:t>25,159</w:t>
            </w:r>
          </w:p>
        </w:tc>
        <w:tc>
          <w:tcPr>
            <w:tcW w:w="915" w:type="dxa"/>
            <w:tcBorders>
              <w:top w:val="single" w:color="B6B6B6" w:sz="4" w:space="0"/>
              <w:bottom w:val="single" w:color="B6B6B6" w:sz="4" w:space="0"/>
            </w:tcBorders>
          </w:tcPr>
          <w:p w:rsidR="00C31389" w:rsidRDefault="00561FBD" w14:paraId="6A5B16DA" w14:textId="77777777">
            <w:pPr>
              <w:pStyle w:val="TableParagraph"/>
              <w:ind w:right="115"/>
              <w:jc w:val="right"/>
              <w:rPr>
                <w:sz w:val="20"/>
              </w:rPr>
            </w:pPr>
            <w:r>
              <w:rPr>
                <w:spacing w:val="-2"/>
                <w:sz w:val="20"/>
              </w:rPr>
              <w:t>25,240</w:t>
            </w:r>
          </w:p>
        </w:tc>
        <w:tc>
          <w:tcPr>
            <w:tcW w:w="915" w:type="dxa"/>
            <w:tcBorders>
              <w:top w:val="single" w:color="B6B6B6" w:sz="4" w:space="0"/>
              <w:bottom w:val="single" w:color="B6B6B6" w:sz="4" w:space="0"/>
            </w:tcBorders>
          </w:tcPr>
          <w:p w:rsidR="00C31389" w:rsidRDefault="00561FBD" w14:paraId="43888D73" w14:textId="77777777">
            <w:pPr>
              <w:pStyle w:val="TableParagraph"/>
              <w:ind w:right="115"/>
              <w:jc w:val="right"/>
              <w:rPr>
                <w:sz w:val="20"/>
              </w:rPr>
            </w:pPr>
            <w:r>
              <w:rPr>
                <w:spacing w:val="-2"/>
                <w:sz w:val="20"/>
              </w:rPr>
              <w:t>25,148</w:t>
            </w:r>
          </w:p>
        </w:tc>
        <w:tc>
          <w:tcPr>
            <w:tcW w:w="915" w:type="dxa"/>
            <w:tcBorders>
              <w:top w:val="single" w:color="B6B6B6" w:sz="4" w:space="0"/>
              <w:bottom w:val="single" w:color="B6B6B6" w:sz="4" w:space="0"/>
            </w:tcBorders>
          </w:tcPr>
          <w:p w:rsidR="00C31389" w:rsidRDefault="00561FBD" w14:paraId="68A74FF7" w14:textId="77777777">
            <w:pPr>
              <w:pStyle w:val="TableParagraph"/>
              <w:ind w:right="115"/>
              <w:jc w:val="right"/>
              <w:rPr>
                <w:sz w:val="20"/>
              </w:rPr>
            </w:pPr>
            <w:r>
              <w:rPr>
                <w:spacing w:val="-2"/>
                <w:sz w:val="20"/>
              </w:rPr>
              <w:t>24,986</w:t>
            </w:r>
          </w:p>
        </w:tc>
        <w:tc>
          <w:tcPr>
            <w:tcW w:w="915" w:type="dxa"/>
            <w:tcBorders>
              <w:top w:val="single" w:color="B6B6B6" w:sz="4" w:space="0"/>
              <w:bottom w:val="single" w:color="B6B6B6" w:sz="4" w:space="0"/>
            </w:tcBorders>
          </w:tcPr>
          <w:p w:rsidR="00C31389" w:rsidRDefault="00561FBD" w14:paraId="75B392BD" w14:textId="77777777">
            <w:pPr>
              <w:pStyle w:val="TableParagraph"/>
              <w:ind w:right="115"/>
              <w:jc w:val="right"/>
              <w:rPr>
                <w:sz w:val="20"/>
              </w:rPr>
            </w:pPr>
            <w:r>
              <w:rPr>
                <w:spacing w:val="-2"/>
                <w:sz w:val="20"/>
              </w:rPr>
              <w:t>24,807</w:t>
            </w:r>
          </w:p>
        </w:tc>
        <w:tc>
          <w:tcPr>
            <w:tcW w:w="905" w:type="dxa"/>
            <w:tcBorders>
              <w:top w:val="single" w:color="B6B6B6" w:sz="4" w:space="0"/>
              <w:bottom w:val="single" w:color="B6B6B6" w:sz="4" w:space="0"/>
            </w:tcBorders>
          </w:tcPr>
          <w:p w:rsidR="00C31389" w:rsidRDefault="00561FBD" w14:paraId="05115EF7" w14:textId="77777777">
            <w:pPr>
              <w:pStyle w:val="TableParagraph"/>
              <w:ind w:right="105"/>
              <w:jc w:val="right"/>
              <w:rPr>
                <w:sz w:val="20"/>
              </w:rPr>
            </w:pPr>
            <w:r>
              <w:rPr>
                <w:spacing w:val="-2"/>
                <w:sz w:val="20"/>
              </w:rPr>
              <w:t>24,963</w:t>
            </w:r>
          </w:p>
        </w:tc>
        <w:tc>
          <w:tcPr>
            <w:tcW w:w="1006" w:type="dxa"/>
            <w:tcBorders>
              <w:top w:val="single" w:color="B6B6B6" w:sz="4" w:space="0"/>
              <w:bottom w:val="single" w:color="B6B6B6" w:sz="4" w:space="0"/>
            </w:tcBorders>
          </w:tcPr>
          <w:p w:rsidR="00C31389" w:rsidRDefault="00561FBD" w14:paraId="0674D86A" w14:textId="77777777">
            <w:pPr>
              <w:pStyle w:val="TableParagraph"/>
              <w:ind w:right="105"/>
              <w:jc w:val="right"/>
              <w:rPr>
                <w:sz w:val="20"/>
              </w:rPr>
            </w:pPr>
            <w:r>
              <w:rPr>
                <w:spacing w:val="-2"/>
                <w:sz w:val="20"/>
              </w:rPr>
              <w:t>25,050</w:t>
            </w:r>
          </w:p>
        </w:tc>
      </w:tr>
      <w:tr w:rsidR="00C31389" w14:paraId="6B6EC2EB" w14:textId="77777777">
        <w:trPr>
          <w:trHeight w:val="310"/>
        </w:trPr>
        <w:tc>
          <w:tcPr>
            <w:tcW w:w="3035" w:type="dxa"/>
            <w:tcBorders>
              <w:top w:val="single" w:color="B6B6B6" w:sz="4" w:space="0"/>
              <w:bottom w:val="single" w:color="B6B6B6" w:sz="4" w:space="0"/>
            </w:tcBorders>
          </w:tcPr>
          <w:p w:rsidR="00C31389" w:rsidRDefault="00561FBD" w14:paraId="30D6E37C" w14:textId="77777777">
            <w:pPr>
              <w:pStyle w:val="TableParagraph"/>
              <w:spacing w:before="41"/>
              <w:ind w:left="107"/>
              <w:rPr>
                <w:sz w:val="20"/>
              </w:rPr>
            </w:pPr>
            <w:r>
              <w:rPr>
                <w:sz w:val="20"/>
              </w:rPr>
              <w:t>%</w:t>
            </w:r>
          </w:p>
        </w:tc>
        <w:tc>
          <w:tcPr>
            <w:tcW w:w="1021" w:type="dxa"/>
            <w:tcBorders>
              <w:top w:val="single" w:color="B6B6B6" w:sz="4" w:space="0"/>
              <w:bottom w:val="single" w:color="B6B6B6" w:sz="4" w:space="0"/>
            </w:tcBorders>
          </w:tcPr>
          <w:p w:rsidR="00C31389" w:rsidRDefault="00561FBD" w14:paraId="3EE1E8A9" w14:textId="77777777">
            <w:pPr>
              <w:pStyle w:val="TableParagraph"/>
              <w:spacing w:before="41"/>
              <w:ind w:right="116"/>
              <w:jc w:val="right"/>
              <w:rPr>
                <w:sz w:val="20"/>
              </w:rPr>
            </w:pPr>
            <w:r>
              <w:rPr>
                <w:spacing w:val="-2"/>
                <w:sz w:val="20"/>
              </w:rPr>
              <w:t>0.095%</w:t>
            </w:r>
          </w:p>
        </w:tc>
        <w:tc>
          <w:tcPr>
            <w:tcW w:w="915" w:type="dxa"/>
            <w:tcBorders>
              <w:top w:val="single" w:color="B6B6B6" w:sz="4" w:space="0"/>
              <w:bottom w:val="single" w:color="B6B6B6" w:sz="4" w:space="0"/>
            </w:tcBorders>
          </w:tcPr>
          <w:p w:rsidR="00C31389" w:rsidRDefault="00561FBD" w14:paraId="7BA76259" w14:textId="77777777">
            <w:pPr>
              <w:pStyle w:val="TableParagraph"/>
              <w:spacing w:before="41"/>
              <w:ind w:right="116"/>
              <w:jc w:val="right"/>
              <w:rPr>
                <w:sz w:val="20"/>
              </w:rPr>
            </w:pPr>
            <w:r>
              <w:rPr>
                <w:spacing w:val="-2"/>
                <w:sz w:val="20"/>
              </w:rPr>
              <w:t>0.079%</w:t>
            </w:r>
          </w:p>
        </w:tc>
        <w:tc>
          <w:tcPr>
            <w:tcW w:w="915" w:type="dxa"/>
            <w:tcBorders>
              <w:top w:val="single" w:color="B6B6B6" w:sz="4" w:space="0"/>
              <w:bottom w:val="single" w:color="B6B6B6" w:sz="4" w:space="0"/>
            </w:tcBorders>
          </w:tcPr>
          <w:p w:rsidR="00C31389" w:rsidRDefault="00561FBD" w14:paraId="5F74F10F" w14:textId="77777777">
            <w:pPr>
              <w:pStyle w:val="TableParagraph"/>
              <w:spacing w:before="41"/>
              <w:ind w:right="116"/>
              <w:jc w:val="right"/>
              <w:rPr>
                <w:sz w:val="20"/>
              </w:rPr>
            </w:pPr>
            <w:r>
              <w:rPr>
                <w:spacing w:val="-2"/>
                <w:sz w:val="20"/>
              </w:rPr>
              <w:t>0.084%</w:t>
            </w:r>
          </w:p>
        </w:tc>
        <w:tc>
          <w:tcPr>
            <w:tcW w:w="915" w:type="dxa"/>
            <w:tcBorders>
              <w:top w:val="single" w:color="B6B6B6" w:sz="4" w:space="0"/>
              <w:bottom w:val="single" w:color="B6B6B6" w:sz="4" w:space="0"/>
            </w:tcBorders>
          </w:tcPr>
          <w:p w:rsidR="00C31389" w:rsidRDefault="00561FBD" w14:paraId="2450A8B0" w14:textId="77777777">
            <w:pPr>
              <w:pStyle w:val="TableParagraph"/>
              <w:spacing w:before="41"/>
              <w:ind w:right="116"/>
              <w:jc w:val="right"/>
              <w:rPr>
                <w:sz w:val="20"/>
              </w:rPr>
            </w:pPr>
            <w:r>
              <w:rPr>
                <w:spacing w:val="-2"/>
                <w:sz w:val="20"/>
              </w:rPr>
              <w:t>0.060%</w:t>
            </w:r>
          </w:p>
        </w:tc>
        <w:tc>
          <w:tcPr>
            <w:tcW w:w="915" w:type="dxa"/>
            <w:tcBorders>
              <w:top w:val="single" w:color="B6B6B6" w:sz="4" w:space="0"/>
              <w:bottom w:val="single" w:color="B6B6B6" w:sz="4" w:space="0"/>
            </w:tcBorders>
          </w:tcPr>
          <w:p w:rsidR="00C31389" w:rsidRDefault="00561FBD" w14:paraId="4564326B" w14:textId="77777777">
            <w:pPr>
              <w:pStyle w:val="TableParagraph"/>
              <w:spacing w:before="41"/>
              <w:ind w:right="116"/>
              <w:jc w:val="right"/>
              <w:rPr>
                <w:sz w:val="20"/>
              </w:rPr>
            </w:pPr>
            <w:r>
              <w:rPr>
                <w:spacing w:val="-2"/>
                <w:sz w:val="20"/>
              </w:rPr>
              <w:t>0.046%</w:t>
            </w:r>
          </w:p>
        </w:tc>
        <w:tc>
          <w:tcPr>
            <w:tcW w:w="905" w:type="dxa"/>
            <w:tcBorders>
              <w:top w:val="single" w:color="B6B6B6" w:sz="4" w:space="0"/>
              <w:bottom w:val="single" w:color="B6B6B6" w:sz="4" w:space="0"/>
            </w:tcBorders>
          </w:tcPr>
          <w:p w:rsidR="00C31389" w:rsidRDefault="00561FBD" w14:paraId="2FEEFB7A" w14:textId="77777777">
            <w:pPr>
              <w:pStyle w:val="TableParagraph"/>
              <w:spacing w:before="41"/>
              <w:ind w:right="106"/>
              <w:jc w:val="right"/>
              <w:rPr>
                <w:sz w:val="20"/>
              </w:rPr>
            </w:pPr>
            <w:r>
              <w:rPr>
                <w:spacing w:val="-2"/>
                <w:sz w:val="20"/>
              </w:rPr>
              <w:t>0.026%</w:t>
            </w:r>
          </w:p>
        </w:tc>
        <w:tc>
          <w:tcPr>
            <w:tcW w:w="1006" w:type="dxa"/>
            <w:tcBorders>
              <w:top w:val="single" w:color="B6B6B6" w:sz="4" w:space="0"/>
              <w:bottom w:val="single" w:color="B6B6B6" w:sz="4" w:space="0"/>
            </w:tcBorders>
          </w:tcPr>
          <w:p w:rsidR="00C31389" w:rsidRDefault="00561FBD" w14:paraId="7E325188" w14:textId="77777777">
            <w:pPr>
              <w:pStyle w:val="TableParagraph"/>
              <w:spacing w:before="41"/>
              <w:ind w:right="105"/>
              <w:jc w:val="right"/>
              <w:rPr>
                <w:sz w:val="20"/>
              </w:rPr>
            </w:pPr>
            <w:r>
              <w:rPr>
                <w:spacing w:val="-2"/>
                <w:sz w:val="20"/>
              </w:rPr>
              <w:t>0.065%</w:t>
            </w:r>
          </w:p>
        </w:tc>
      </w:tr>
      <w:tr w:rsidR="00C31389" w14:paraId="19E25538" w14:textId="77777777">
        <w:trPr>
          <w:trHeight w:val="310"/>
        </w:trPr>
        <w:tc>
          <w:tcPr>
            <w:tcW w:w="3035" w:type="dxa"/>
            <w:tcBorders>
              <w:top w:val="single" w:color="B6B6B6" w:sz="4" w:space="0"/>
              <w:bottom w:val="single" w:color="B6B6B6" w:sz="4" w:space="0"/>
            </w:tcBorders>
            <w:shd w:val="clear" w:color="auto" w:fill="E0EFCE"/>
          </w:tcPr>
          <w:p w:rsidR="00C31389" w:rsidRDefault="00561FBD" w14:paraId="13389C99" w14:textId="77777777">
            <w:pPr>
              <w:pStyle w:val="TableParagraph"/>
              <w:ind w:left="107"/>
              <w:rPr>
                <w:sz w:val="20"/>
              </w:rPr>
            </w:pPr>
            <w:r>
              <w:rPr>
                <w:sz w:val="20"/>
              </w:rPr>
              <w:t>GC</w:t>
            </w:r>
            <w:r>
              <w:rPr>
                <w:spacing w:val="-4"/>
                <w:sz w:val="20"/>
              </w:rPr>
              <w:t xml:space="preserve"> </w:t>
            </w:r>
            <w:r>
              <w:rPr>
                <w:sz w:val="20"/>
              </w:rPr>
              <w:t>MMtherms</w:t>
            </w:r>
            <w:r>
              <w:rPr>
                <w:spacing w:val="-3"/>
                <w:sz w:val="20"/>
              </w:rPr>
              <w:t xml:space="preserve"> </w:t>
            </w:r>
            <w:r>
              <w:rPr>
                <w:spacing w:val="-2"/>
                <w:sz w:val="20"/>
              </w:rPr>
              <w:t>Savings</w:t>
            </w:r>
          </w:p>
        </w:tc>
        <w:tc>
          <w:tcPr>
            <w:tcW w:w="1021" w:type="dxa"/>
            <w:tcBorders>
              <w:top w:val="single" w:color="B6B6B6" w:sz="4" w:space="0"/>
              <w:bottom w:val="single" w:color="B6B6B6" w:sz="4" w:space="0"/>
            </w:tcBorders>
            <w:shd w:val="clear" w:color="auto" w:fill="E0EFCE"/>
          </w:tcPr>
          <w:p w:rsidR="00C31389" w:rsidRDefault="00561FBD" w14:paraId="7DDC4A5B" w14:textId="77777777">
            <w:pPr>
              <w:pStyle w:val="TableParagraph"/>
              <w:ind w:right="116"/>
              <w:jc w:val="right"/>
              <w:rPr>
                <w:sz w:val="20"/>
              </w:rPr>
            </w:pPr>
            <w:r>
              <w:rPr>
                <w:spacing w:val="-5"/>
                <w:sz w:val="20"/>
              </w:rPr>
              <w:t>2.3</w:t>
            </w:r>
          </w:p>
        </w:tc>
        <w:tc>
          <w:tcPr>
            <w:tcW w:w="915" w:type="dxa"/>
            <w:tcBorders>
              <w:top w:val="single" w:color="B6B6B6" w:sz="4" w:space="0"/>
              <w:bottom w:val="single" w:color="B6B6B6" w:sz="4" w:space="0"/>
            </w:tcBorders>
            <w:shd w:val="clear" w:color="auto" w:fill="E0EFCE"/>
          </w:tcPr>
          <w:p w:rsidR="00C31389" w:rsidRDefault="00561FBD" w14:paraId="071D8EC8" w14:textId="77777777">
            <w:pPr>
              <w:pStyle w:val="TableParagraph"/>
              <w:ind w:right="117"/>
              <w:jc w:val="right"/>
              <w:rPr>
                <w:sz w:val="20"/>
              </w:rPr>
            </w:pPr>
            <w:r>
              <w:rPr>
                <w:sz w:val="20"/>
              </w:rPr>
              <w:t>3</w:t>
            </w:r>
          </w:p>
        </w:tc>
        <w:tc>
          <w:tcPr>
            <w:tcW w:w="915" w:type="dxa"/>
            <w:tcBorders>
              <w:top w:val="single" w:color="B6B6B6" w:sz="4" w:space="0"/>
              <w:bottom w:val="single" w:color="B6B6B6" w:sz="4" w:space="0"/>
            </w:tcBorders>
            <w:shd w:val="clear" w:color="auto" w:fill="E0EFCE"/>
          </w:tcPr>
          <w:p w:rsidR="00C31389" w:rsidRDefault="00561FBD" w14:paraId="13FB3CBD" w14:textId="77777777">
            <w:pPr>
              <w:pStyle w:val="TableParagraph"/>
              <w:ind w:right="116"/>
              <w:jc w:val="right"/>
              <w:rPr>
                <w:sz w:val="20"/>
              </w:rPr>
            </w:pPr>
            <w:r>
              <w:rPr>
                <w:spacing w:val="-5"/>
                <w:sz w:val="20"/>
              </w:rPr>
              <w:t>1.3</w:t>
            </w:r>
          </w:p>
        </w:tc>
        <w:tc>
          <w:tcPr>
            <w:tcW w:w="915" w:type="dxa"/>
            <w:tcBorders>
              <w:top w:val="single" w:color="B6B6B6" w:sz="4" w:space="0"/>
              <w:bottom w:val="single" w:color="B6B6B6" w:sz="4" w:space="0"/>
            </w:tcBorders>
            <w:shd w:val="clear" w:color="auto" w:fill="E0EFCE"/>
          </w:tcPr>
          <w:p w:rsidR="00C31389" w:rsidRDefault="00561FBD" w14:paraId="2855ED56" w14:textId="77777777">
            <w:pPr>
              <w:pStyle w:val="TableParagraph"/>
              <w:ind w:right="117"/>
              <w:jc w:val="right"/>
              <w:rPr>
                <w:sz w:val="20"/>
              </w:rPr>
            </w:pPr>
            <w:r>
              <w:rPr>
                <w:spacing w:val="-5"/>
                <w:sz w:val="20"/>
              </w:rPr>
              <w:t>1.5</w:t>
            </w:r>
          </w:p>
        </w:tc>
        <w:tc>
          <w:tcPr>
            <w:tcW w:w="915" w:type="dxa"/>
            <w:tcBorders>
              <w:top w:val="single" w:color="B6B6B6" w:sz="4" w:space="0"/>
              <w:bottom w:val="single" w:color="B6B6B6" w:sz="4" w:space="0"/>
            </w:tcBorders>
            <w:shd w:val="clear" w:color="auto" w:fill="E0EFCE"/>
          </w:tcPr>
          <w:p w:rsidR="00C31389" w:rsidRDefault="00561FBD" w14:paraId="037ECB72" w14:textId="77777777">
            <w:pPr>
              <w:pStyle w:val="TableParagraph"/>
              <w:ind w:right="116"/>
              <w:jc w:val="right"/>
              <w:rPr>
                <w:sz w:val="20"/>
              </w:rPr>
            </w:pPr>
            <w:r>
              <w:rPr>
                <w:spacing w:val="-5"/>
                <w:sz w:val="20"/>
              </w:rPr>
              <w:t>1.9</w:t>
            </w:r>
          </w:p>
        </w:tc>
        <w:tc>
          <w:tcPr>
            <w:tcW w:w="905" w:type="dxa"/>
            <w:tcBorders>
              <w:top w:val="single" w:color="B6B6B6" w:sz="4" w:space="0"/>
              <w:bottom w:val="single" w:color="B6B6B6" w:sz="4" w:space="0"/>
            </w:tcBorders>
            <w:shd w:val="clear" w:color="auto" w:fill="E0EFCE"/>
          </w:tcPr>
          <w:p w:rsidR="00C31389" w:rsidRDefault="00561FBD" w14:paraId="324F87AB" w14:textId="77777777">
            <w:pPr>
              <w:pStyle w:val="TableParagraph"/>
              <w:ind w:right="107"/>
              <w:jc w:val="right"/>
              <w:rPr>
                <w:sz w:val="20"/>
              </w:rPr>
            </w:pPr>
            <w:r>
              <w:rPr>
                <w:spacing w:val="-5"/>
                <w:sz w:val="20"/>
              </w:rPr>
              <w:t>0.3</w:t>
            </w:r>
          </w:p>
        </w:tc>
        <w:tc>
          <w:tcPr>
            <w:tcW w:w="1006" w:type="dxa"/>
            <w:tcBorders>
              <w:top w:val="single" w:color="B6B6B6" w:sz="4" w:space="0"/>
              <w:bottom w:val="single" w:color="B6B6B6" w:sz="4" w:space="0"/>
            </w:tcBorders>
            <w:shd w:val="clear" w:color="auto" w:fill="E0EFCE"/>
          </w:tcPr>
          <w:p w:rsidR="00C31389" w:rsidRDefault="00561FBD" w14:paraId="301467E4" w14:textId="77777777">
            <w:pPr>
              <w:pStyle w:val="TableParagraph"/>
              <w:ind w:right="106"/>
              <w:jc w:val="right"/>
              <w:rPr>
                <w:sz w:val="20"/>
              </w:rPr>
            </w:pPr>
            <w:r>
              <w:rPr>
                <w:spacing w:val="-5"/>
                <w:sz w:val="20"/>
              </w:rPr>
              <w:t>1.7</w:t>
            </w:r>
          </w:p>
        </w:tc>
      </w:tr>
      <w:tr w:rsidR="00C31389" w14:paraId="39E6B242" w14:textId="77777777">
        <w:trPr>
          <w:trHeight w:val="539"/>
        </w:trPr>
        <w:tc>
          <w:tcPr>
            <w:tcW w:w="3035" w:type="dxa"/>
            <w:tcBorders>
              <w:top w:val="single" w:color="B6B6B6" w:sz="4" w:space="0"/>
              <w:bottom w:val="single" w:color="B6B6B6" w:sz="4" w:space="0"/>
            </w:tcBorders>
            <w:shd w:val="clear" w:color="auto" w:fill="E0EFCE"/>
          </w:tcPr>
          <w:p w:rsidR="00C31389" w:rsidRDefault="00561FBD" w14:paraId="1AEC1273" w14:textId="77777777">
            <w:pPr>
              <w:pStyle w:val="TableParagraph"/>
              <w:ind w:left="107" w:right="1110"/>
              <w:rPr>
                <w:sz w:val="20"/>
              </w:rPr>
            </w:pPr>
            <w:r>
              <w:rPr>
                <w:sz w:val="20"/>
              </w:rPr>
              <w:t>Industrial</w:t>
            </w:r>
            <w:r>
              <w:rPr>
                <w:spacing w:val="-14"/>
                <w:sz w:val="20"/>
              </w:rPr>
              <w:t xml:space="preserve"> </w:t>
            </w:r>
            <w:r>
              <w:rPr>
                <w:sz w:val="20"/>
              </w:rPr>
              <w:t xml:space="preserve">MMtherms </w:t>
            </w:r>
            <w:r>
              <w:rPr>
                <w:spacing w:val="-2"/>
                <w:sz w:val="20"/>
              </w:rPr>
              <w:t>Consumption</w:t>
            </w:r>
          </w:p>
        </w:tc>
        <w:tc>
          <w:tcPr>
            <w:tcW w:w="1021" w:type="dxa"/>
            <w:tcBorders>
              <w:top w:val="single" w:color="B6B6B6" w:sz="4" w:space="0"/>
              <w:bottom w:val="single" w:color="B6B6B6" w:sz="4" w:space="0"/>
            </w:tcBorders>
            <w:shd w:val="clear" w:color="auto" w:fill="E0EFCE"/>
          </w:tcPr>
          <w:p w:rsidR="00C31389" w:rsidRDefault="00561FBD" w14:paraId="6D8C75BB" w14:textId="77777777">
            <w:pPr>
              <w:pStyle w:val="TableParagraph"/>
              <w:spacing w:before="155"/>
              <w:ind w:right="115"/>
              <w:jc w:val="right"/>
              <w:rPr>
                <w:sz w:val="20"/>
              </w:rPr>
            </w:pPr>
            <w:r>
              <w:rPr>
                <w:spacing w:val="-4"/>
                <w:sz w:val="20"/>
              </w:rPr>
              <w:t>3,530</w:t>
            </w:r>
          </w:p>
        </w:tc>
        <w:tc>
          <w:tcPr>
            <w:tcW w:w="915" w:type="dxa"/>
            <w:tcBorders>
              <w:top w:val="single" w:color="B6B6B6" w:sz="4" w:space="0"/>
              <w:bottom w:val="single" w:color="B6B6B6" w:sz="4" w:space="0"/>
            </w:tcBorders>
            <w:shd w:val="clear" w:color="auto" w:fill="E0EFCE"/>
          </w:tcPr>
          <w:p w:rsidR="00C31389" w:rsidRDefault="00561FBD" w14:paraId="408D6A5D" w14:textId="77777777">
            <w:pPr>
              <w:pStyle w:val="TableParagraph"/>
              <w:spacing w:before="155"/>
              <w:ind w:right="116"/>
              <w:jc w:val="right"/>
              <w:rPr>
                <w:sz w:val="20"/>
              </w:rPr>
            </w:pPr>
            <w:r>
              <w:rPr>
                <w:spacing w:val="-4"/>
                <w:sz w:val="20"/>
              </w:rPr>
              <w:t>3,457</w:t>
            </w:r>
          </w:p>
        </w:tc>
        <w:tc>
          <w:tcPr>
            <w:tcW w:w="915" w:type="dxa"/>
            <w:tcBorders>
              <w:top w:val="single" w:color="B6B6B6" w:sz="4" w:space="0"/>
              <w:bottom w:val="single" w:color="B6B6B6" w:sz="4" w:space="0"/>
            </w:tcBorders>
            <w:shd w:val="clear" w:color="auto" w:fill="E0EFCE"/>
          </w:tcPr>
          <w:p w:rsidR="00C31389" w:rsidRDefault="00561FBD" w14:paraId="0C364D20" w14:textId="77777777">
            <w:pPr>
              <w:pStyle w:val="TableParagraph"/>
              <w:spacing w:before="155"/>
              <w:ind w:right="115"/>
              <w:jc w:val="right"/>
              <w:rPr>
                <w:sz w:val="20"/>
              </w:rPr>
            </w:pPr>
            <w:r>
              <w:rPr>
                <w:spacing w:val="-4"/>
                <w:sz w:val="20"/>
              </w:rPr>
              <w:t>3,511</w:t>
            </w:r>
          </w:p>
        </w:tc>
        <w:tc>
          <w:tcPr>
            <w:tcW w:w="915" w:type="dxa"/>
            <w:tcBorders>
              <w:top w:val="single" w:color="B6B6B6" w:sz="4" w:space="0"/>
              <w:bottom w:val="single" w:color="B6B6B6" w:sz="4" w:space="0"/>
            </w:tcBorders>
            <w:shd w:val="clear" w:color="auto" w:fill="E0EFCE"/>
          </w:tcPr>
          <w:p w:rsidR="00C31389" w:rsidRDefault="00561FBD" w14:paraId="1A398837" w14:textId="77777777">
            <w:pPr>
              <w:pStyle w:val="TableParagraph"/>
              <w:spacing w:before="155"/>
              <w:ind w:right="116"/>
              <w:jc w:val="right"/>
              <w:rPr>
                <w:sz w:val="20"/>
              </w:rPr>
            </w:pPr>
            <w:r>
              <w:rPr>
                <w:spacing w:val="-4"/>
                <w:sz w:val="20"/>
              </w:rPr>
              <w:t>3,503</w:t>
            </w:r>
          </w:p>
        </w:tc>
        <w:tc>
          <w:tcPr>
            <w:tcW w:w="915" w:type="dxa"/>
            <w:tcBorders>
              <w:top w:val="single" w:color="B6B6B6" w:sz="4" w:space="0"/>
              <w:bottom w:val="single" w:color="B6B6B6" w:sz="4" w:space="0"/>
            </w:tcBorders>
            <w:shd w:val="clear" w:color="auto" w:fill="E0EFCE"/>
          </w:tcPr>
          <w:p w:rsidR="00C31389" w:rsidRDefault="00561FBD" w14:paraId="2C2B5350" w14:textId="77777777">
            <w:pPr>
              <w:pStyle w:val="TableParagraph"/>
              <w:spacing w:before="155"/>
              <w:ind w:right="115"/>
              <w:jc w:val="right"/>
              <w:rPr>
                <w:sz w:val="20"/>
              </w:rPr>
            </w:pPr>
            <w:r>
              <w:rPr>
                <w:spacing w:val="-4"/>
                <w:sz w:val="20"/>
              </w:rPr>
              <w:t>3,485</w:t>
            </w:r>
          </w:p>
        </w:tc>
        <w:tc>
          <w:tcPr>
            <w:tcW w:w="905" w:type="dxa"/>
            <w:tcBorders>
              <w:top w:val="single" w:color="B6B6B6" w:sz="4" w:space="0"/>
              <w:bottom w:val="single" w:color="B6B6B6" w:sz="4" w:space="0"/>
            </w:tcBorders>
            <w:shd w:val="clear" w:color="auto" w:fill="E0EFCE"/>
          </w:tcPr>
          <w:p w:rsidR="00C31389" w:rsidRDefault="00561FBD" w14:paraId="1527F9C9" w14:textId="77777777">
            <w:pPr>
              <w:pStyle w:val="TableParagraph"/>
              <w:spacing w:before="155"/>
              <w:ind w:right="106"/>
              <w:jc w:val="right"/>
              <w:rPr>
                <w:sz w:val="20"/>
              </w:rPr>
            </w:pPr>
            <w:r>
              <w:rPr>
                <w:spacing w:val="-4"/>
                <w:sz w:val="20"/>
              </w:rPr>
              <w:t>3,485</w:t>
            </w:r>
          </w:p>
        </w:tc>
        <w:tc>
          <w:tcPr>
            <w:tcW w:w="1006" w:type="dxa"/>
            <w:tcBorders>
              <w:top w:val="single" w:color="B6B6B6" w:sz="4" w:space="0"/>
              <w:bottom w:val="single" w:color="B6B6B6" w:sz="4" w:space="0"/>
            </w:tcBorders>
            <w:shd w:val="clear" w:color="auto" w:fill="E0EFCE"/>
          </w:tcPr>
          <w:p w:rsidR="00C31389" w:rsidRDefault="00561FBD" w14:paraId="39A63FB4" w14:textId="77777777">
            <w:pPr>
              <w:pStyle w:val="TableParagraph"/>
              <w:spacing w:before="155"/>
              <w:ind w:right="105"/>
              <w:jc w:val="right"/>
              <w:rPr>
                <w:sz w:val="20"/>
              </w:rPr>
            </w:pPr>
            <w:r>
              <w:rPr>
                <w:spacing w:val="-4"/>
                <w:sz w:val="20"/>
              </w:rPr>
              <w:t>3,495</w:t>
            </w:r>
          </w:p>
        </w:tc>
      </w:tr>
      <w:tr w:rsidR="00C31389" w14:paraId="348490E6" w14:textId="77777777">
        <w:trPr>
          <w:trHeight w:val="310"/>
        </w:trPr>
        <w:tc>
          <w:tcPr>
            <w:tcW w:w="3035" w:type="dxa"/>
            <w:tcBorders>
              <w:top w:val="single" w:color="B6B6B6" w:sz="4" w:space="0"/>
              <w:bottom w:val="single" w:color="B6B6B6" w:sz="4" w:space="0"/>
            </w:tcBorders>
            <w:shd w:val="clear" w:color="auto" w:fill="E0EFCE"/>
          </w:tcPr>
          <w:p w:rsidR="00C31389" w:rsidRDefault="00561FBD" w14:paraId="62516DF5" w14:textId="77777777">
            <w:pPr>
              <w:pStyle w:val="TableParagraph"/>
              <w:ind w:left="107"/>
              <w:rPr>
                <w:sz w:val="20"/>
              </w:rPr>
            </w:pPr>
            <w:r>
              <w:rPr>
                <w:sz w:val="20"/>
              </w:rPr>
              <w:t>%</w:t>
            </w:r>
          </w:p>
        </w:tc>
        <w:tc>
          <w:tcPr>
            <w:tcW w:w="1021" w:type="dxa"/>
            <w:tcBorders>
              <w:top w:val="single" w:color="B6B6B6" w:sz="4" w:space="0"/>
              <w:bottom w:val="single" w:color="B6B6B6" w:sz="4" w:space="0"/>
            </w:tcBorders>
            <w:shd w:val="clear" w:color="auto" w:fill="E0EFCE"/>
          </w:tcPr>
          <w:p w:rsidR="00C31389" w:rsidRDefault="00561FBD" w14:paraId="68F443FE" w14:textId="77777777">
            <w:pPr>
              <w:pStyle w:val="TableParagraph"/>
              <w:ind w:right="116"/>
              <w:jc w:val="right"/>
              <w:rPr>
                <w:sz w:val="20"/>
              </w:rPr>
            </w:pPr>
            <w:r>
              <w:rPr>
                <w:spacing w:val="-2"/>
                <w:sz w:val="20"/>
              </w:rPr>
              <w:t>0.065%</w:t>
            </w:r>
          </w:p>
        </w:tc>
        <w:tc>
          <w:tcPr>
            <w:tcW w:w="915" w:type="dxa"/>
            <w:tcBorders>
              <w:top w:val="single" w:color="B6B6B6" w:sz="4" w:space="0"/>
              <w:bottom w:val="single" w:color="B6B6B6" w:sz="4" w:space="0"/>
            </w:tcBorders>
            <w:shd w:val="clear" w:color="auto" w:fill="E0EFCE"/>
          </w:tcPr>
          <w:p w:rsidR="00C31389" w:rsidRDefault="00561FBD" w14:paraId="7DE14801" w14:textId="77777777">
            <w:pPr>
              <w:pStyle w:val="TableParagraph"/>
              <w:ind w:right="116"/>
              <w:jc w:val="right"/>
              <w:rPr>
                <w:sz w:val="20"/>
              </w:rPr>
            </w:pPr>
            <w:r>
              <w:rPr>
                <w:spacing w:val="-2"/>
                <w:sz w:val="20"/>
              </w:rPr>
              <w:t>0.087%</w:t>
            </w:r>
          </w:p>
        </w:tc>
        <w:tc>
          <w:tcPr>
            <w:tcW w:w="915" w:type="dxa"/>
            <w:tcBorders>
              <w:top w:val="single" w:color="B6B6B6" w:sz="4" w:space="0"/>
              <w:bottom w:val="single" w:color="B6B6B6" w:sz="4" w:space="0"/>
            </w:tcBorders>
            <w:shd w:val="clear" w:color="auto" w:fill="E0EFCE"/>
          </w:tcPr>
          <w:p w:rsidR="00C31389" w:rsidRDefault="00561FBD" w14:paraId="46943B4F" w14:textId="77777777">
            <w:pPr>
              <w:pStyle w:val="TableParagraph"/>
              <w:ind w:right="116"/>
              <w:jc w:val="right"/>
              <w:rPr>
                <w:sz w:val="20"/>
              </w:rPr>
            </w:pPr>
            <w:r>
              <w:rPr>
                <w:spacing w:val="-2"/>
                <w:sz w:val="20"/>
              </w:rPr>
              <w:t>0.037%</w:t>
            </w:r>
          </w:p>
        </w:tc>
        <w:tc>
          <w:tcPr>
            <w:tcW w:w="915" w:type="dxa"/>
            <w:tcBorders>
              <w:top w:val="single" w:color="B6B6B6" w:sz="4" w:space="0"/>
              <w:bottom w:val="single" w:color="B6B6B6" w:sz="4" w:space="0"/>
            </w:tcBorders>
            <w:shd w:val="clear" w:color="auto" w:fill="E0EFCE"/>
          </w:tcPr>
          <w:p w:rsidR="00C31389" w:rsidRDefault="00561FBD" w14:paraId="3FB423BC" w14:textId="77777777">
            <w:pPr>
              <w:pStyle w:val="TableParagraph"/>
              <w:ind w:right="116"/>
              <w:jc w:val="right"/>
              <w:rPr>
                <w:sz w:val="20"/>
              </w:rPr>
            </w:pPr>
            <w:r>
              <w:rPr>
                <w:spacing w:val="-2"/>
                <w:sz w:val="20"/>
              </w:rPr>
              <w:t>0.043%</w:t>
            </w:r>
          </w:p>
        </w:tc>
        <w:tc>
          <w:tcPr>
            <w:tcW w:w="915" w:type="dxa"/>
            <w:tcBorders>
              <w:top w:val="single" w:color="B6B6B6" w:sz="4" w:space="0"/>
              <w:bottom w:val="single" w:color="B6B6B6" w:sz="4" w:space="0"/>
            </w:tcBorders>
            <w:shd w:val="clear" w:color="auto" w:fill="E0EFCE"/>
          </w:tcPr>
          <w:p w:rsidR="00C31389" w:rsidRDefault="00561FBD" w14:paraId="7CCBBB8F" w14:textId="77777777">
            <w:pPr>
              <w:pStyle w:val="TableParagraph"/>
              <w:ind w:right="116"/>
              <w:jc w:val="right"/>
              <w:rPr>
                <w:sz w:val="20"/>
              </w:rPr>
            </w:pPr>
            <w:r>
              <w:rPr>
                <w:spacing w:val="-2"/>
                <w:sz w:val="20"/>
              </w:rPr>
              <w:t>0.055%</w:t>
            </w:r>
          </w:p>
        </w:tc>
        <w:tc>
          <w:tcPr>
            <w:tcW w:w="905" w:type="dxa"/>
            <w:tcBorders>
              <w:top w:val="single" w:color="B6B6B6" w:sz="4" w:space="0"/>
              <w:bottom w:val="single" w:color="B6B6B6" w:sz="4" w:space="0"/>
            </w:tcBorders>
            <w:shd w:val="clear" w:color="auto" w:fill="E0EFCE"/>
          </w:tcPr>
          <w:p w:rsidR="00C31389" w:rsidRDefault="00561FBD" w14:paraId="2EE75C1B" w14:textId="77777777">
            <w:pPr>
              <w:pStyle w:val="TableParagraph"/>
              <w:ind w:right="106"/>
              <w:jc w:val="right"/>
              <w:rPr>
                <w:sz w:val="20"/>
              </w:rPr>
            </w:pPr>
            <w:r>
              <w:rPr>
                <w:spacing w:val="-2"/>
                <w:sz w:val="20"/>
              </w:rPr>
              <w:t>0.009%</w:t>
            </w:r>
          </w:p>
        </w:tc>
        <w:tc>
          <w:tcPr>
            <w:tcW w:w="1006" w:type="dxa"/>
            <w:tcBorders>
              <w:top w:val="single" w:color="B6B6B6" w:sz="4" w:space="0"/>
              <w:bottom w:val="single" w:color="B6B6B6" w:sz="4" w:space="0"/>
            </w:tcBorders>
            <w:shd w:val="clear" w:color="auto" w:fill="E0EFCE"/>
          </w:tcPr>
          <w:p w:rsidR="00C31389" w:rsidRDefault="00561FBD" w14:paraId="7CC534B9" w14:textId="77777777">
            <w:pPr>
              <w:pStyle w:val="TableParagraph"/>
              <w:ind w:right="105"/>
              <w:jc w:val="right"/>
              <w:rPr>
                <w:sz w:val="20"/>
              </w:rPr>
            </w:pPr>
            <w:r>
              <w:rPr>
                <w:spacing w:val="-2"/>
                <w:sz w:val="20"/>
              </w:rPr>
              <w:t>0.049%</w:t>
            </w:r>
          </w:p>
        </w:tc>
      </w:tr>
      <w:tr w:rsidR="00C31389" w14:paraId="08929594" w14:textId="77777777">
        <w:trPr>
          <w:trHeight w:val="309"/>
        </w:trPr>
        <w:tc>
          <w:tcPr>
            <w:tcW w:w="9627" w:type="dxa"/>
            <w:gridSpan w:val="8"/>
            <w:tcBorders>
              <w:top w:val="single" w:color="B6B6B6" w:sz="4" w:space="0"/>
              <w:bottom w:val="single" w:color="B6B6B6" w:sz="4" w:space="0"/>
            </w:tcBorders>
          </w:tcPr>
          <w:p w:rsidR="00C31389" w:rsidRDefault="00561FBD" w14:paraId="5CB78C6A" w14:textId="77777777">
            <w:pPr>
              <w:pStyle w:val="TableParagraph"/>
              <w:ind w:left="4271" w:right="4270"/>
              <w:jc w:val="center"/>
              <w:rPr>
                <w:b/>
                <w:sz w:val="20"/>
              </w:rPr>
            </w:pPr>
            <w:r>
              <w:rPr>
                <w:b/>
                <w:spacing w:val="-2"/>
                <w:sz w:val="20"/>
              </w:rPr>
              <w:t>Agriculture</w:t>
            </w:r>
          </w:p>
        </w:tc>
      </w:tr>
      <w:tr w:rsidR="00C31389" w14:paraId="58F6028B" w14:textId="77777777">
        <w:trPr>
          <w:trHeight w:val="310"/>
        </w:trPr>
        <w:tc>
          <w:tcPr>
            <w:tcW w:w="3035" w:type="dxa"/>
            <w:tcBorders>
              <w:top w:val="single" w:color="B6B6B6" w:sz="4" w:space="0"/>
              <w:bottom w:val="single" w:color="B6B6B6" w:sz="4" w:space="0"/>
            </w:tcBorders>
          </w:tcPr>
          <w:p w:rsidR="00C31389" w:rsidRDefault="00561FBD" w14:paraId="7A8104C9" w14:textId="77777777">
            <w:pPr>
              <w:pStyle w:val="TableParagraph"/>
              <w:spacing w:before="41"/>
              <w:ind w:left="107"/>
              <w:rPr>
                <w:sz w:val="20"/>
              </w:rPr>
            </w:pPr>
            <w:r>
              <w:rPr>
                <w:sz w:val="20"/>
              </w:rPr>
              <w:t>GC</w:t>
            </w:r>
            <w:r>
              <w:rPr>
                <w:spacing w:val="-1"/>
                <w:sz w:val="20"/>
              </w:rPr>
              <w:t xml:space="preserve"> </w:t>
            </w:r>
            <w:r>
              <w:rPr>
                <w:sz w:val="20"/>
              </w:rPr>
              <w:t>GWh</w:t>
            </w:r>
            <w:r>
              <w:rPr>
                <w:spacing w:val="-2"/>
                <w:sz w:val="20"/>
              </w:rPr>
              <w:t xml:space="preserve"> Savings</w:t>
            </w:r>
          </w:p>
        </w:tc>
        <w:tc>
          <w:tcPr>
            <w:tcW w:w="1021" w:type="dxa"/>
            <w:tcBorders>
              <w:top w:val="single" w:color="B6B6B6" w:sz="4" w:space="0"/>
              <w:bottom w:val="single" w:color="B6B6B6" w:sz="4" w:space="0"/>
            </w:tcBorders>
          </w:tcPr>
          <w:p w:rsidR="00C31389" w:rsidRDefault="00561FBD" w14:paraId="42A191CC" w14:textId="77777777">
            <w:pPr>
              <w:pStyle w:val="TableParagraph"/>
              <w:spacing w:before="41"/>
              <w:ind w:right="115"/>
              <w:jc w:val="right"/>
              <w:rPr>
                <w:sz w:val="20"/>
              </w:rPr>
            </w:pPr>
            <w:r>
              <w:rPr>
                <w:spacing w:val="-2"/>
                <w:sz w:val="20"/>
              </w:rPr>
              <w:t>17.98</w:t>
            </w:r>
          </w:p>
        </w:tc>
        <w:tc>
          <w:tcPr>
            <w:tcW w:w="915" w:type="dxa"/>
            <w:tcBorders>
              <w:top w:val="single" w:color="B6B6B6" w:sz="4" w:space="0"/>
              <w:bottom w:val="single" w:color="B6B6B6" w:sz="4" w:space="0"/>
            </w:tcBorders>
          </w:tcPr>
          <w:p w:rsidR="00C31389" w:rsidRDefault="00561FBD" w14:paraId="4B6325D6" w14:textId="77777777">
            <w:pPr>
              <w:pStyle w:val="TableParagraph"/>
              <w:spacing w:before="41"/>
              <w:ind w:right="117"/>
              <w:jc w:val="right"/>
              <w:rPr>
                <w:sz w:val="20"/>
              </w:rPr>
            </w:pPr>
            <w:r>
              <w:rPr>
                <w:spacing w:val="-5"/>
                <w:sz w:val="20"/>
              </w:rPr>
              <w:t>5.5</w:t>
            </w:r>
          </w:p>
        </w:tc>
        <w:tc>
          <w:tcPr>
            <w:tcW w:w="915" w:type="dxa"/>
            <w:tcBorders>
              <w:top w:val="single" w:color="B6B6B6" w:sz="4" w:space="0"/>
              <w:bottom w:val="single" w:color="B6B6B6" w:sz="4" w:space="0"/>
            </w:tcBorders>
          </w:tcPr>
          <w:p w:rsidR="00C31389" w:rsidRDefault="00561FBD" w14:paraId="35AF5DB5" w14:textId="77777777">
            <w:pPr>
              <w:pStyle w:val="TableParagraph"/>
              <w:spacing w:before="41"/>
              <w:ind w:right="115"/>
              <w:jc w:val="right"/>
              <w:rPr>
                <w:sz w:val="20"/>
              </w:rPr>
            </w:pPr>
            <w:r>
              <w:rPr>
                <w:spacing w:val="-4"/>
                <w:sz w:val="20"/>
              </w:rPr>
              <w:t>12.2</w:t>
            </w:r>
          </w:p>
        </w:tc>
        <w:tc>
          <w:tcPr>
            <w:tcW w:w="915" w:type="dxa"/>
            <w:tcBorders>
              <w:top w:val="single" w:color="B6B6B6" w:sz="4" w:space="0"/>
              <w:bottom w:val="single" w:color="B6B6B6" w:sz="4" w:space="0"/>
            </w:tcBorders>
          </w:tcPr>
          <w:p w:rsidR="00C31389" w:rsidRDefault="00561FBD" w14:paraId="23AAAFDD" w14:textId="77777777">
            <w:pPr>
              <w:pStyle w:val="TableParagraph"/>
              <w:spacing w:before="41"/>
              <w:ind w:right="115"/>
              <w:jc w:val="right"/>
              <w:rPr>
                <w:sz w:val="20"/>
              </w:rPr>
            </w:pPr>
            <w:r>
              <w:rPr>
                <w:spacing w:val="-4"/>
                <w:sz w:val="20"/>
              </w:rPr>
              <w:t>6.47</w:t>
            </w:r>
          </w:p>
        </w:tc>
        <w:tc>
          <w:tcPr>
            <w:tcW w:w="915" w:type="dxa"/>
            <w:tcBorders>
              <w:top w:val="single" w:color="B6B6B6" w:sz="4" w:space="0"/>
              <w:bottom w:val="single" w:color="B6B6B6" w:sz="4" w:space="0"/>
            </w:tcBorders>
          </w:tcPr>
          <w:p w:rsidR="00C31389" w:rsidRDefault="00561FBD" w14:paraId="66297338" w14:textId="77777777">
            <w:pPr>
              <w:pStyle w:val="TableParagraph"/>
              <w:spacing w:before="41"/>
              <w:ind w:right="115"/>
              <w:jc w:val="right"/>
              <w:rPr>
                <w:sz w:val="20"/>
              </w:rPr>
            </w:pPr>
            <w:r>
              <w:rPr>
                <w:spacing w:val="-4"/>
                <w:sz w:val="20"/>
              </w:rPr>
              <w:t>5.11</w:t>
            </w:r>
          </w:p>
        </w:tc>
        <w:tc>
          <w:tcPr>
            <w:tcW w:w="905" w:type="dxa"/>
            <w:tcBorders>
              <w:top w:val="single" w:color="B6B6B6" w:sz="4" w:space="0"/>
              <w:bottom w:val="single" w:color="B6B6B6" w:sz="4" w:space="0"/>
            </w:tcBorders>
          </w:tcPr>
          <w:p w:rsidR="00C31389" w:rsidRDefault="00561FBD" w14:paraId="5F36258D" w14:textId="77777777">
            <w:pPr>
              <w:pStyle w:val="TableParagraph"/>
              <w:spacing w:before="41"/>
              <w:ind w:right="105"/>
              <w:jc w:val="right"/>
              <w:rPr>
                <w:sz w:val="20"/>
              </w:rPr>
            </w:pPr>
            <w:r>
              <w:rPr>
                <w:spacing w:val="-4"/>
                <w:sz w:val="20"/>
              </w:rPr>
              <w:t>5.21</w:t>
            </w:r>
          </w:p>
        </w:tc>
        <w:tc>
          <w:tcPr>
            <w:tcW w:w="1006" w:type="dxa"/>
            <w:tcBorders>
              <w:top w:val="single" w:color="B6B6B6" w:sz="4" w:space="0"/>
              <w:bottom w:val="single" w:color="B6B6B6" w:sz="4" w:space="0"/>
            </w:tcBorders>
          </w:tcPr>
          <w:p w:rsidR="00C31389" w:rsidRDefault="00561FBD" w14:paraId="3B4B75E1" w14:textId="77777777">
            <w:pPr>
              <w:pStyle w:val="TableParagraph"/>
              <w:spacing w:before="41"/>
              <w:ind w:right="106"/>
              <w:jc w:val="right"/>
              <w:rPr>
                <w:sz w:val="20"/>
              </w:rPr>
            </w:pPr>
            <w:r>
              <w:rPr>
                <w:spacing w:val="-5"/>
                <w:sz w:val="20"/>
              </w:rPr>
              <w:t>8.7</w:t>
            </w:r>
          </w:p>
        </w:tc>
      </w:tr>
      <w:tr w:rsidR="00C31389" w14:paraId="32675C44" w14:textId="77777777">
        <w:trPr>
          <w:trHeight w:val="310"/>
        </w:trPr>
        <w:tc>
          <w:tcPr>
            <w:tcW w:w="3035" w:type="dxa"/>
            <w:tcBorders>
              <w:top w:val="single" w:color="B6B6B6" w:sz="4" w:space="0"/>
              <w:bottom w:val="single" w:color="B6B6B6" w:sz="4" w:space="0"/>
            </w:tcBorders>
          </w:tcPr>
          <w:p w:rsidR="00C31389" w:rsidRDefault="00561FBD" w14:paraId="70CC651C" w14:textId="77777777">
            <w:pPr>
              <w:pStyle w:val="TableParagraph"/>
              <w:ind w:left="107"/>
              <w:rPr>
                <w:sz w:val="20"/>
              </w:rPr>
            </w:pPr>
            <w:r>
              <w:rPr>
                <w:sz w:val="20"/>
              </w:rPr>
              <w:t>Agriculture</w:t>
            </w:r>
            <w:r>
              <w:rPr>
                <w:spacing w:val="-5"/>
                <w:sz w:val="20"/>
              </w:rPr>
              <w:t xml:space="preserve"> </w:t>
            </w:r>
            <w:r>
              <w:rPr>
                <w:sz w:val="20"/>
              </w:rPr>
              <w:t>GWh</w:t>
            </w:r>
            <w:r>
              <w:rPr>
                <w:spacing w:val="-4"/>
                <w:sz w:val="20"/>
              </w:rPr>
              <w:t xml:space="preserve"> </w:t>
            </w:r>
            <w:r>
              <w:rPr>
                <w:spacing w:val="-2"/>
                <w:sz w:val="20"/>
              </w:rPr>
              <w:t>Consumption</w:t>
            </w:r>
          </w:p>
        </w:tc>
        <w:tc>
          <w:tcPr>
            <w:tcW w:w="1021" w:type="dxa"/>
            <w:tcBorders>
              <w:top w:val="single" w:color="B6B6B6" w:sz="4" w:space="0"/>
              <w:bottom w:val="single" w:color="B6B6B6" w:sz="4" w:space="0"/>
            </w:tcBorders>
          </w:tcPr>
          <w:p w:rsidR="00C31389" w:rsidRDefault="00561FBD" w14:paraId="6C4FE279" w14:textId="77777777">
            <w:pPr>
              <w:pStyle w:val="TableParagraph"/>
              <w:ind w:right="115"/>
              <w:jc w:val="right"/>
              <w:rPr>
                <w:sz w:val="20"/>
              </w:rPr>
            </w:pPr>
            <w:r>
              <w:rPr>
                <w:spacing w:val="-2"/>
                <w:sz w:val="20"/>
              </w:rPr>
              <w:t>14,795</w:t>
            </w:r>
          </w:p>
        </w:tc>
        <w:tc>
          <w:tcPr>
            <w:tcW w:w="915" w:type="dxa"/>
            <w:tcBorders>
              <w:top w:val="single" w:color="B6B6B6" w:sz="4" w:space="0"/>
              <w:bottom w:val="single" w:color="B6B6B6" w:sz="4" w:space="0"/>
            </w:tcBorders>
          </w:tcPr>
          <w:p w:rsidR="00C31389" w:rsidRDefault="00561FBD" w14:paraId="4FB02D2C" w14:textId="77777777">
            <w:pPr>
              <w:pStyle w:val="TableParagraph"/>
              <w:ind w:right="115"/>
              <w:jc w:val="right"/>
              <w:rPr>
                <w:sz w:val="20"/>
              </w:rPr>
            </w:pPr>
            <w:r>
              <w:rPr>
                <w:spacing w:val="-2"/>
                <w:sz w:val="20"/>
              </w:rPr>
              <w:t>15,279</w:t>
            </w:r>
          </w:p>
        </w:tc>
        <w:tc>
          <w:tcPr>
            <w:tcW w:w="915" w:type="dxa"/>
            <w:tcBorders>
              <w:top w:val="single" w:color="B6B6B6" w:sz="4" w:space="0"/>
              <w:bottom w:val="single" w:color="B6B6B6" w:sz="4" w:space="0"/>
            </w:tcBorders>
          </w:tcPr>
          <w:p w:rsidR="00C31389" w:rsidRDefault="00561FBD" w14:paraId="34C1DC82" w14:textId="77777777">
            <w:pPr>
              <w:pStyle w:val="TableParagraph"/>
              <w:ind w:right="115"/>
              <w:jc w:val="right"/>
              <w:rPr>
                <w:sz w:val="20"/>
              </w:rPr>
            </w:pPr>
            <w:r>
              <w:rPr>
                <w:spacing w:val="-2"/>
                <w:sz w:val="20"/>
              </w:rPr>
              <w:t>13,644</w:t>
            </w:r>
          </w:p>
        </w:tc>
        <w:tc>
          <w:tcPr>
            <w:tcW w:w="915" w:type="dxa"/>
            <w:tcBorders>
              <w:top w:val="single" w:color="B6B6B6" w:sz="4" w:space="0"/>
              <w:bottom w:val="single" w:color="B6B6B6" w:sz="4" w:space="0"/>
            </w:tcBorders>
          </w:tcPr>
          <w:p w:rsidR="00C31389" w:rsidRDefault="00561FBD" w14:paraId="0C3533CF" w14:textId="77777777">
            <w:pPr>
              <w:pStyle w:val="TableParagraph"/>
              <w:ind w:right="115"/>
              <w:jc w:val="right"/>
              <w:rPr>
                <w:sz w:val="20"/>
              </w:rPr>
            </w:pPr>
            <w:r>
              <w:rPr>
                <w:spacing w:val="-2"/>
                <w:sz w:val="20"/>
              </w:rPr>
              <w:t>14,087</w:t>
            </w:r>
          </w:p>
        </w:tc>
        <w:tc>
          <w:tcPr>
            <w:tcW w:w="915" w:type="dxa"/>
            <w:tcBorders>
              <w:top w:val="single" w:color="B6B6B6" w:sz="4" w:space="0"/>
              <w:bottom w:val="single" w:color="B6B6B6" w:sz="4" w:space="0"/>
            </w:tcBorders>
          </w:tcPr>
          <w:p w:rsidR="00C31389" w:rsidRDefault="00561FBD" w14:paraId="701131BC" w14:textId="77777777">
            <w:pPr>
              <w:pStyle w:val="TableParagraph"/>
              <w:ind w:right="115"/>
              <w:jc w:val="right"/>
              <w:rPr>
                <w:sz w:val="20"/>
              </w:rPr>
            </w:pPr>
            <w:r>
              <w:rPr>
                <w:spacing w:val="-2"/>
                <w:sz w:val="20"/>
              </w:rPr>
              <w:t>14,203</w:t>
            </w:r>
          </w:p>
        </w:tc>
        <w:tc>
          <w:tcPr>
            <w:tcW w:w="905" w:type="dxa"/>
            <w:tcBorders>
              <w:top w:val="single" w:color="B6B6B6" w:sz="4" w:space="0"/>
              <w:bottom w:val="single" w:color="B6B6B6" w:sz="4" w:space="0"/>
            </w:tcBorders>
          </w:tcPr>
          <w:p w:rsidR="00C31389" w:rsidRDefault="00561FBD" w14:paraId="5EADF993" w14:textId="77777777">
            <w:pPr>
              <w:pStyle w:val="TableParagraph"/>
              <w:ind w:right="105"/>
              <w:jc w:val="right"/>
              <w:rPr>
                <w:sz w:val="20"/>
              </w:rPr>
            </w:pPr>
            <w:r>
              <w:rPr>
                <w:spacing w:val="-2"/>
                <w:sz w:val="20"/>
              </w:rPr>
              <w:t>14,313</w:t>
            </w:r>
          </w:p>
        </w:tc>
        <w:tc>
          <w:tcPr>
            <w:tcW w:w="1006" w:type="dxa"/>
            <w:tcBorders>
              <w:top w:val="single" w:color="B6B6B6" w:sz="4" w:space="0"/>
              <w:bottom w:val="single" w:color="B6B6B6" w:sz="4" w:space="0"/>
            </w:tcBorders>
          </w:tcPr>
          <w:p w:rsidR="00C31389" w:rsidRDefault="00561FBD" w14:paraId="534C550B" w14:textId="77777777">
            <w:pPr>
              <w:pStyle w:val="TableParagraph"/>
              <w:ind w:right="105"/>
              <w:jc w:val="right"/>
              <w:rPr>
                <w:sz w:val="20"/>
              </w:rPr>
            </w:pPr>
            <w:r>
              <w:rPr>
                <w:spacing w:val="-2"/>
                <w:sz w:val="20"/>
              </w:rPr>
              <w:t>14,387</w:t>
            </w:r>
          </w:p>
        </w:tc>
      </w:tr>
      <w:tr w:rsidR="00C31389" w14:paraId="1069F42C" w14:textId="77777777">
        <w:trPr>
          <w:trHeight w:val="309"/>
        </w:trPr>
        <w:tc>
          <w:tcPr>
            <w:tcW w:w="3035" w:type="dxa"/>
            <w:tcBorders>
              <w:top w:val="single" w:color="B6B6B6" w:sz="4" w:space="0"/>
              <w:bottom w:val="single" w:color="B6B6B6" w:sz="4" w:space="0"/>
            </w:tcBorders>
          </w:tcPr>
          <w:p w:rsidR="00C31389" w:rsidRDefault="00561FBD" w14:paraId="424B6B4E" w14:textId="77777777">
            <w:pPr>
              <w:pStyle w:val="TableParagraph"/>
              <w:ind w:left="107"/>
              <w:rPr>
                <w:sz w:val="20"/>
              </w:rPr>
            </w:pPr>
            <w:r>
              <w:rPr>
                <w:sz w:val="20"/>
              </w:rPr>
              <w:t>%</w:t>
            </w:r>
          </w:p>
        </w:tc>
        <w:tc>
          <w:tcPr>
            <w:tcW w:w="1021" w:type="dxa"/>
            <w:tcBorders>
              <w:top w:val="single" w:color="B6B6B6" w:sz="4" w:space="0"/>
              <w:bottom w:val="single" w:color="B6B6B6" w:sz="4" w:space="0"/>
            </w:tcBorders>
          </w:tcPr>
          <w:p w:rsidR="00C31389" w:rsidRDefault="00561FBD" w14:paraId="62605791" w14:textId="77777777">
            <w:pPr>
              <w:pStyle w:val="TableParagraph"/>
              <w:ind w:right="116"/>
              <w:jc w:val="right"/>
              <w:rPr>
                <w:sz w:val="20"/>
              </w:rPr>
            </w:pPr>
            <w:r>
              <w:rPr>
                <w:spacing w:val="-2"/>
                <w:sz w:val="20"/>
              </w:rPr>
              <w:t>0.122%</w:t>
            </w:r>
          </w:p>
        </w:tc>
        <w:tc>
          <w:tcPr>
            <w:tcW w:w="915" w:type="dxa"/>
            <w:tcBorders>
              <w:top w:val="single" w:color="B6B6B6" w:sz="4" w:space="0"/>
              <w:bottom w:val="single" w:color="B6B6B6" w:sz="4" w:space="0"/>
            </w:tcBorders>
          </w:tcPr>
          <w:p w:rsidR="00C31389" w:rsidRDefault="00561FBD" w14:paraId="250C336A" w14:textId="77777777">
            <w:pPr>
              <w:pStyle w:val="TableParagraph"/>
              <w:ind w:right="116"/>
              <w:jc w:val="right"/>
              <w:rPr>
                <w:sz w:val="20"/>
              </w:rPr>
            </w:pPr>
            <w:r>
              <w:rPr>
                <w:spacing w:val="-2"/>
                <w:sz w:val="20"/>
              </w:rPr>
              <w:t>0.036%</w:t>
            </w:r>
          </w:p>
        </w:tc>
        <w:tc>
          <w:tcPr>
            <w:tcW w:w="915" w:type="dxa"/>
            <w:tcBorders>
              <w:top w:val="single" w:color="B6B6B6" w:sz="4" w:space="0"/>
              <w:bottom w:val="single" w:color="B6B6B6" w:sz="4" w:space="0"/>
            </w:tcBorders>
          </w:tcPr>
          <w:p w:rsidR="00C31389" w:rsidRDefault="00561FBD" w14:paraId="601D25E6" w14:textId="77777777">
            <w:pPr>
              <w:pStyle w:val="TableParagraph"/>
              <w:ind w:right="116"/>
              <w:jc w:val="right"/>
              <w:rPr>
                <w:sz w:val="20"/>
              </w:rPr>
            </w:pPr>
            <w:r>
              <w:rPr>
                <w:spacing w:val="-2"/>
                <w:sz w:val="20"/>
              </w:rPr>
              <w:t>0.089%</w:t>
            </w:r>
          </w:p>
        </w:tc>
        <w:tc>
          <w:tcPr>
            <w:tcW w:w="915" w:type="dxa"/>
            <w:tcBorders>
              <w:top w:val="single" w:color="B6B6B6" w:sz="4" w:space="0"/>
              <w:bottom w:val="single" w:color="B6B6B6" w:sz="4" w:space="0"/>
            </w:tcBorders>
          </w:tcPr>
          <w:p w:rsidR="00C31389" w:rsidRDefault="00561FBD" w14:paraId="5943D1D4" w14:textId="77777777">
            <w:pPr>
              <w:pStyle w:val="TableParagraph"/>
              <w:ind w:right="116"/>
              <w:jc w:val="right"/>
              <w:rPr>
                <w:sz w:val="20"/>
              </w:rPr>
            </w:pPr>
            <w:r>
              <w:rPr>
                <w:spacing w:val="-2"/>
                <w:sz w:val="20"/>
              </w:rPr>
              <w:t>0.046%</w:t>
            </w:r>
          </w:p>
        </w:tc>
        <w:tc>
          <w:tcPr>
            <w:tcW w:w="915" w:type="dxa"/>
            <w:tcBorders>
              <w:top w:val="single" w:color="B6B6B6" w:sz="4" w:space="0"/>
              <w:bottom w:val="single" w:color="B6B6B6" w:sz="4" w:space="0"/>
            </w:tcBorders>
          </w:tcPr>
          <w:p w:rsidR="00C31389" w:rsidRDefault="00561FBD" w14:paraId="19D593BA" w14:textId="77777777">
            <w:pPr>
              <w:pStyle w:val="TableParagraph"/>
              <w:ind w:right="116"/>
              <w:jc w:val="right"/>
              <w:rPr>
                <w:sz w:val="20"/>
              </w:rPr>
            </w:pPr>
            <w:r>
              <w:rPr>
                <w:spacing w:val="-2"/>
                <w:sz w:val="20"/>
              </w:rPr>
              <w:t>0.036%</w:t>
            </w:r>
          </w:p>
        </w:tc>
        <w:tc>
          <w:tcPr>
            <w:tcW w:w="905" w:type="dxa"/>
            <w:tcBorders>
              <w:top w:val="single" w:color="B6B6B6" w:sz="4" w:space="0"/>
              <w:bottom w:val="single" w:color="B6B6B6" w:sz="4" w:space="0"/>
            </w:tcBorders>
          </w:tcPr>
          <w:p w:rsidR="00C31389" w:rsidRDefault="00561FBD" w14:paraId="3190F4A7" w14:textId="77777777">
            <w:pPr>
              <w:pStyle w:val="TableParagraph"/>
              <w:ind w:right="106"/>
              <w:jc w:val="right"/>
              <w:rPr>
                <w:sz w:val="20"/>
              </w:rPr>
            </w:pPr>
            <w:r>
              <w:rPr>
                <w:spacing w:val="-2"/>
                <w:sz w:val="20"/>
              </w:rPr>
              <w:t>0.036%</w:t>
            </w:r>
          </w:p>
        </w:tc>
        <w:tc>
          <w:tcPr>
            <w:tcW w:w="1006" w:type="dxa"/>
            <w:tcBorders>
              <w:top w:val="single" w:color="B6B6B6" w:sz="4" w:space="0"/>
              <w:bottom w:val="single" w:color="B6B6B6" w:sz="4" w:space="0"/>
            </w:tcBorders>
          </w:tcPr>
          <w:p w:rsidR="00C31389" w:rsidRDefault="00561FBD" w14:paraId="21067958" w14:textId="77777777">
            <w:pPr>
              <w:pStyle w:val="TableParagraph"/>
              <w:ind w:right="105"/>
              <w:jc w:val="right"/>
              <w:rPr>
                <w:sz w:val="20"/>
              </w:rPr>
            </w:pPr>
            <w:r>
              <w:rPr>
                <w:spacing w:val="-2"/>
                <w:sz w:val="20"/>
              </w:rPr>
              <w:t>0.060%</w:t>
            </w:r>
          </w:p>
        </w:tc>
      </w:tr>
      <w:tr w:rsidR="00C31389" w14:paraId="61772BF2" w14:textId="77777777">
        <w:trPr>
          <w:trHeight w:val="310"/>
        </w:trPr>
        <w:tc>
          <w:tcPr>
            <w:tcW w:w="3035" w:type="dxa"/>
            <w:tcBorders>
              <w:top w:val="single" w:color="B6B6B6" w:sz="4" w:space="0"/>
              <w:bottom w:val="single" w:color="B6B6B6" w:sz="4" w:space="0"/>
            </w:tcBorders>
            <w:shd w:val="clear" w:color="auto" w:fill="E0EFCE"/>
          </w:tcPr>
          <w:p w:rsidR="00C31389" w:rsidRDefault="00561FBD" w14:paraId="4BC8EF3C" w14:textId="77777777">
            <w:pPr>
              <w:pStyle w:val="TableParagraph"/>
              <w:spacing w:before="41"/>
              <w:ind w:left="107"/>
              <w:rPr>
                <w:sz w:val="20"/>
              </w:rPr>
            </w:pPr>
            <w:r>
              <w:rPr>
                <w:sz w:val="20"/>
              </w:rPr>
              <w:t>GC</w:t>
            </w:r>
            <w:r>
              <w:rPr>
                <w:spacing w:val="-4"/>
                <w:sz w:val="20"/>
              </w:rPr>
              <w:t xml:space="preserve"> </w:t>
            </w:r>
            <w:r>
              <w:rPr>
                <w:sz w:val="20"/>
              </w:rPr>
              <w:t>MMtherms</w:t>
            </w:r>
            <w:r>
              <w:rPr>
                <w:spacing w:val="-3"/>
                <w:sz w:val="20"/>
              </w:rPr>
              <w:t xml:space="preserve"> </w:t>
            </w:r>
            <w:r>
              <w:rPr>
                <w:spacing w:val="-2"/>
                <w:sz w:val="20"/>
              </w:rPr>
              <w:t>Savings</w:t>
            </w:r>
          </w:p>
        </w:tc>
        <w:tc>
          <w:tcPr>
            <w:tcW w:w="1021" w:type="dxa"/>
            <w:tcBorders>
              <w:top w:val="single" w:color="B6B6B6" w:sz="4" w:space="0"/>
              <w:bottom w:val="single" w:color="B6B6B6" w:sz="4" w:space="0"/>
            </w:tcBorders>
            <w:shd w:val="clear" w:color="auto" w:fill="E0EFCE"/>
          </w:tcPr>
          <w:p w:rsidR="00C31389" w:rsidRDefault="00561FBD" w14:paraId="768EB3ED" w14:textId="77777777">
            <w:pPr>
              <w:pStyle w:val="TableParagraph"/>
              <w:spacing w:before="41"/>
              <w:ind w:right="115"/>
              <w:jc w:val="right"/>
              <w:rPr>
                <w:sz w:val="20"/>
              </w:rPr>
            </w:pPr>
            <w:r>
              <w:rPr>
                <w:spacing w:val="-4"/>
                <w:sz w:val="20"/>
              </w:rPr>
              <w:t>1.71</w:t>
            </w:r>
          </w:p>
        </w:tc>
        <w:tc>
          <w:tcPr>
            <w:tcW w:w="915" w:type="dxa"/>
            <w:tcBorders>
              <w:top w:val="single" w:color="B6B6B6" w:sz="4" w:space="0"/>
              <w:bottom w:val="single" w:color="B6B6B6" w:sz="4" w:space="0"/>
            </w:tcBorders>
            <w:shd w:val="clear" w:color="auto" w:fill="E0EFCE"/>
          </w:tcPr>
          <w:p w:rsidR="00C31389" w:rsidRDefault="00561FBD" w14:paraId="5B9970D9" w14:textId="77777777">
            <w:pPr>
              <w:pStyle w:val="TableParagraph"/>
              <w:spacing w:before="41"/>
              <w:ind w:right="116"/>
              <w:jc w:val="right"/>
              <w:rPr>
                <w:sz w:val="20"/>
              </w:rPr>
            </w:pPr>
            <w:r>
              <w:rPr>
                <w:spacing w:val="-4"/>
                <w:sz w:val="20"/>
              </w:rPr>
              <w:t>0.31</w:t>
            </w:r>
          </w:p>
        </w:tc>
        <w:tc>
          <w:tcPr>
            <w:tcW w:w="915" w:type="dxa"/>
            <w:tcBorders>
              <w:top w:val="single" w:color="B6B6B6" w:sz="4" w:space="0"/>
              <w:bottom w:val="single" w:color="B6B6B6" w:sz="4" w:space="0"/>
            </w:tcBorders>
            <w:shd w:val="clear" w:color="auto" w:fill="E0EFCE"/>
          </w:tcPr>
          <w:p w:rsidR="00C31389" w:rsidRDefault="00561FBD" w14:paraId="288B2873" w14:textId="77777777">
            <w:pPr>
              <w:pStyle w:val="TableParagraph"/>
              <w:spacing w:before="41"/>
              <w:ind w:right="115"/>
              <w:jc w:val="right"/>
              <w:rPr>
                <w:sz w:val="20"/>
              </w:rPr>
            </w:pPr>
            <w:r>
              <w:rPr>
                <w:spacing w:val="-4"/>
                <w:sz w:val="20"/>
              </w:rPr>
              <w:t>0.27</w:t>
            </w:r>
          </w:p>
        </w:tc>
        <w:tc>
          <w:tcPr>
            <w:tcW w:w="915" w:type="dxa"/>
            <w:tcBorders>
              <w:top w:val="single" w:color="B6B6B6" w:sz="4" w:space="0"/>
              <w:bottom w:val="single" w:color="B6B6B6" w:sz="4" w:space="0"/>
            </w:tcBorders>
            <w:shd w:val="clear" w:color="auto" w:fill="E0EFCE"/>
          </w:tcPr>
          <w:p w:rsidR="00C31389" w:rsidRDefault="00561FBD" w14:paraId="7D9B81AA" w14:textId="77777777">
            <w:pPr>
              <w:pStyle w:val="TableParagraph"/>
              <w:spacing w:before="41"/>
              <w:ind w:right="116"/>
              <w:jc w:val="right"/>
              <w:rPr>
                <w:sz w:val="20"/>
              </w:rPr>
            </w:pPr>
            <w:r>
              <w:rPr>
                <w:spacing w:val="-4"/>
                <w:sz w:val="20"/>
              </w:rPr>
              <w:t>0.11</w:t>
            </w:r>
          </w:p>
        </w:tc>
        <w:tc>
          <w:tcPr>
            <w:tcW w:w="915" w:type="dxa"/>
            <w:tcBorders>
              <w:top w:val="single" w:color="B6B6B6" w:sz="4" w:space="0"/>
              <w:bottom w:val="single" w:color="B6B6B6" w:sz="4" w:space="0"/>
            </w:tcBorders>
            <w:shd w:val="clear" w:color="auto" w:fill="E0EFCE"/>
          </w:tcPr>
          <w:p w:rsidR="00C31389" w:rsidRDefault="00561FBD" w14:paraId="51CA584F" w14:textId="77777777">
            <w:pPr>
              <w:pStyle w:val="TableParagraph"/>
              <w:spacing w:before="41"/>
              <w:ind w:right="115"/>
              <w:jc w:val="right"/>
              <w:rPr>
                <w:sz w:val="20"/>
              </w:rPr>
            </w:pPr>
            <w:r>
              <w:rPr>
                <w:spacing w:val="-4"/>
                <w:sz w:val="20"/>
              </w:rPr>
              <w:t>1.43</w:t>
            </w:r>
          </w:p>
        </w:tc>
        <w:tc>
          <w:tcPr>
            <w:tcW w:w="905" w:type="dxa"/>
            <w:tcBorders>
              <w:top w:val="single" w:color="B6B6B6" w:sz="4" w:space="0"/>
              <w:bottom w:val="single" w:color="B6B6B6" w:sz="4" w:space="0"/>
            </w:tcBorders>
            <w:shd w:val="clear" w:color="auto" w:fill="E0EFCE"/>
          </w:tcPr>
          <w:p w:rsidR="00C31389" w:rsidRDefault="00561FBD" w14:paraId="5AAAAAC9" w14:textId="77777777">
            <w:pPr>
              <w:pStyle w:val="TableParagraph"/>
              <w:spacing w:before="41"/>
              <w:ind w:right="106"/>
              <w:jc w:val="right"/>
              <w:rPr>
                <w:sz w:val="20"/>
              </w:rPr>
            </w:pPr>
            <w:r>
              <w:rPr>
                <w:spacing w:val="-4"/>
                <w:sz w:val="20"/>
              </w:rPr>
              <w:t>0.01</w:t>
            </w:r>
          </w:p>
        </w:tc>
        <w:tc>
          <w:tcPr>
            <w:tcW w:w="1006" w:type="dxa"/>
            <w:tcBorders>
              <w:top w:val="single" w:color="B6B6B6" w:sz="4" w:space="0"/>
              <w:bottom w:val="single" w:color="B6B6B6" w:sz="4" w:space="0"/>
            </w:tcBorders>
            <w:shd w:val="clear" w:color="auto" w:fill="E0EFCE"/>
          </w:tcPr>
          <w:p w:rsidR="00C31389" w:rsidRDefault="00561FBD" w14:paraId="6066C3EC" w14:textId="77777777">
            <w:pPr>
              <w:pStyle w:val="TableParagraph"/>
              <w:spacing w:before="41"/>
              <w:ind w:right="106"/>
              <w:jc w:val="right"/>
              <w:rPr>
                <w:sz w:val="20"/>
              </w:rPr>
            </w:pPr>
            <w:r>
              <w:rPr>
                <w:spacing w:val="-5"/>
                <w:sz w:val="20"/>
              </w:rPr>
              <w:t>0.6</w:t>
            </w:r>
          </w:p>
        </w:tc>
      </w:tr>
      <w:tr w:rsidR="00C31389" w14:paraId="2809D4D1" w14:textId="77777777">
        <w:trPr>
          <w:trHeight w:val="539"/>
        </w:trPr>
        <w:tc>
          <w:tcPr>
            <w:tcW w:w="3035" w:type="dxa"/>
            <w:tcBorders>
              <w:top w:val="single" w:color="B6B6B6" w:sz="4" w:space="0"/>
              <w:bottom w:val="single" w:color="B6B6B6" w:sz="4" w:space="0"/>
            </w:tcBorders>
            <w:shd w:val="clear" w:color="auto" w:fill="E0EFCE"/>
          </w:tcPr>
          <w:p w:rsidR="00C31389" w:rsidRDefault="00561FBD" w14:paraId="33DDBC61" w14:textId="77777777">
            <w:pPr>
              <w:pStyle w:val="TableParagraph"/>
              <w:ind w:left="107" w:right="966"/>
              <w:rPr>
                <w:sz w:val="20"/>
              </w:rPr>
            </w:pPr>
            <w:r>
              <w:rPr>
                <w:sz w:val="20"/>
              </w:rPr>
              <w:t>Agriculture</w:t>
            </w:r>
            <w:r>
              <w:rPr>
                <w:spacing w:val="-14"/>
                <w:sz w:val="20"/>
              </w:rPr>
              <w:t xml:space="preserve"> </w:t>
            </w:r>
            <w:r>
              <w:rPr>
                <w:sz w:val="20"/>
              </w:rPr>
              <w:t xml:space="preserve">MMtherms </w:t>
            </w:r>
            <w:r>
              <w:rPr>
                <w:spacing w:val="-2"/>
                <w:sz w:val="20"/>
              </w:rPr>
              <w:t>Consumption</w:t>
            </w:r>
          </w:p>
        </w:tc>
        <w:tc>
          <w:tcPr>
            <w:tcW w:w="1021" w:type="dxa"/>
            <w:tcBorders>
              <w:top w:val="single" w:color="B6B6B6" w:sz="4" w:space="0"/>
              <w:bottom w:val="single" w:color="B6B6B6" w:sz="4" w:space="0"/>
            </w:tcBorders>
            <w:shd w:val="clear" w:color="auto" w:fill="E0EFCE"/>
          </w:tcPr>
          <w:p w:rsidR="00C31389" w:rsidRDefault="00561FBD" w14:paraId="5C90AA6E" w14:textId="77777777">
            <w:pPr>
              <w:pStyle w:val="TableParagraph"/>
              <w:spacing w:before="155"/>
              <w:ind w:right="115"/>
              <w:jc w:val="right"/>
              <w:rPr>
                <w:sz w:val="20"/>
              </w:rPr>
            </w:pPr>
            <w:r>
              <w:rPr>
                <w:spacing w:val="-5"/>
                <w:sz w:val="20"/>
              </w:rPr>
              <w:t>116</w:t>
            </w:r>
          </w:p>
        </w:tc>
        <w:tc>
          <w:tcPr>
            <w:tcW w:w="915" w:type="dxa"/>
            <w:tcBorders>
              <w:top w:val="single" w:color="B6B6B6" w:sz="4" w:space="0"/>
              <w:bottom w:val="single" w:color="B6B6B6" w:sz="4" w:space="0"/>
            </w:tcBorders>
            <w:shd w:val="clear" w:color="auto" w:fill="E0EFCE"/>
          </w:tcPr>
          <w:p w:rsidR="00C31389" w:rsidRDefault="00561FBD" w14:paraId="34E72BF5" w14:textId="77777777">
            <w:pPr>
              <w:pStyle w:val="TableParagraph"/>
              <w:spacing w:before="155"/>
              <w:ind w:right="116"/>
              <w:jc w:val="right"/>
              <w:rPr>
                <w:sz w:val="20"/>
              </w:rPr>
            </w:pPr>
            <w:r>
              <w:rPr>
                <w:spacing w:val="-5"/>
                <w:sz w:val="20"/>
              </w:rPr>
              <w:t>109</w:t>
            </w:r>
          </w:p>
        </w:tc>
        <w:tc>
          <w:tcPr>
            <w:tcW w:w="915" w:type="dxa"/>
            <w:tcBorders>
              <w:top w:val="single" w:color="B6B6B6" w:sz="4" w:space="0"/>
              <w:bottom w:val="single" w:color="B6B6B6" w:sz="4" w:space="0"/>
            </w:tcBorders>
            <w:shd w:val="clear" w:color="auto" w:fill="E0EFCE"/>
          </w:tcPr>
          <w:p w:rsidR="00C31389" w:rsidRDefault="00561FBD" w14:paraId="238E225C" w14:textId="77777777">
            <w:pPr>
              <w:pStyle w:val="TableParagraph"/>
              <w:spacing w:before="155"/>
              <w:ind w:right="115"/>
              <w:jc w:val="right"/>
              <w:rPr>
                <w:sz w:val="20"/>
              </w:rPr>
            </w:pPr>
            <w:r>
              <w:rPr>
                <w:spacing w:val="-5"/>
                <w:sz w:val="20"/>
              </w:rPr>
              <w:t>119</w:t>
            </w:r>
          </w:p>
        </w:tc>
        <w:tc>
          <w:tcPr>
            <w:tcW w:w="915" w:type="dxa"/>
            <w:tcBorders>
              <w:top w:val="single" w:color="B6B6B6" w:sz="4" w:space="0"/>
              <w:bottom w:val="single" w:color="B6B6B6" w:sz="4" w:space="0"/>
            </w:tcBorders>
            <w:shd w:val="clear" w:color="auto" w:fill="E0EFCE"/>
          </w:tcPr>
          <w:p w:rsidR="00C31389" w:rsidRDefault="00561FBD" w14:paraId="1EC8DA6C" w14:textId="77777777">
            <w:pPr>
              <w:pStyle w:val="TableParagraph"/>
              <w:spacing w:before="155"/>
              <w:ind w:right="116"/>
              <w:jc w:val="right"/>
              <w:rPr>
                <w:sz w:val="20"/>
              </w:rPr>
            </w:pPr>
            <w:r>
              <w:rPr>
                <w:spacing w:val="-5"/>
                <w:sz w:val="20"/>
              </w:rPr>
              <w:t>118</w:t>
            </w:r>
          </w:p>
        </w:tc>
        <w:tc>
          <w:tcPr>
            <w:tcW w:w="915" w:type="dxa"/>
            <w:tcBorders>
              <w:top w:val="single" w:color="B6B6B6" w:sz="4" w:space="0"/>
              <w:bottom w:val="single" w:color="B6B6B6" w:sz="4" w:space="0"/>
            </w:tcBorders>
            <w:shd w:val="clear" w:color="auto" w:fill="E0EFCE"/>
          </w:tcPr>
          <w:p w:rsidR="00C31389" w:rsidRDefault="00561FBD" w14:paraId="1A702127" w14:textId="77777777">
            <w:pPr>
              <w:pStyle w:val="TableParagraph"/>
              <w:spacing w:before="155"/>
              <w:ind w:right="115"/>
              <w:jc w:val="right"/>
              <w:rPr>
                <w:sz w:val="20"/>
              </w:rPr>
            </w:pPr>
            <w:r>
              <w:rPr>
                <w:spacing w:val="-5"/>
                <w:sz w:val="20"/>
              </w:rPr>
              <w:t>117</w:t>
            </w:r>
          </w:p>
        </w:tc>
        <w:tc>
          <w:tcPr>
            <w:tcW w:w="905" w:type="dxa"/>
            <w:tcBorders>
              <w:top w:val="single" w:color="B6B6B6" w:sz="4" w:space="0"/>
              <w:bottom w:val="single" w:color="B6B6B6" w:sz="4" w:space="0"/>
            </w:tcBorders>
            <w:shd w:val="clear" w:color="auto" w:fill="E0EFCE"/>
          </w:tcPr>
          <w:p w:rsidR="00C31389" w:rsidRDefault="00561FBD" w14:paraId="5AB48652" w14:textId="77777777">
            <w:pPr>
              <w:pStyle w:val="TableParagraph"/>
              <w:spacing w:before="155"/>
              <w:ind w:right="106"/>
              <w:jc w:val="right"/>
              <w:rPr>
                <w:sz w:val="20"/>
              </w:rPr>
            </w:pPr>
            <w:r>
              <w:rPr>
                <w:spacing w:val="-5"/>
                <w:sz w:val="20"/>
              </w:rPr>
              <w:t>117</w:t>
            </w:r>
          </w:p>
        </w:tc>
        <w:tc>
          <w:tcPr>
            <w:tcW w:w="1006" w:type="dxa"/>
            <w:tcBorders>
              <w:top w:val="single" w:color="B6B6B6" w:sz="4" w:space="0"/>
              <w:bottom w:val="single" w:color="B6B6B6" w:sz="4" w:space="0"/>
            </w:tcBorders>
            <w:shd w:val="clear" w:color="auto" w:fill="E0EFCE"/>
          </w:tcPr>
          <w:p w:rsidR="00C31389" w:rsidRDefault="00561FBD" w14:paraId="5A91D79F" w14:textId="77777777">
            <w:pPr>
              <w:pStyle w:val="TableParagraph"/>
              <w:spacing w:before="155"/>
              <w:ind w:right="105"/>
              <w:jc w:val="right"/>
              <w:rPr>
                <w:sz w:val="20"/>
              </w:rPr>
            </w:pPr>
            <w:r>
              <w:rPr>
                <w:spacing w:val="-5"/>
                <w:sz w:val="20"/>
              </w:rPr>
              <w:t>116</w:t>
            </w:r>
          </w:p>
        </w:tc>
      </w:tr>
      <w:tr w:rsidR="00C31389" w14:paraId="4853981A" w14:textId="77777777">
        <w:trPr>
          <w:trHeight w:val="310"/>
        </w:trPr>
        <w:tc>
          <w:tcPr>
            <w:tcW w:w="3035" w:type="dxa"/>
            <w:tcBorders>
              <w:top w:val="single" w:color="B6B6B6" w:sz="4" w:space="0"/>
              <w:bottom w:val="single" w:color="B6B6B6" w:sz="4" w:space="0"/>
            </w:tcBorders>
            <w:shd w:val="clear" w:color="auto" w:fill="E0EFCE"/>
          </w:tcPr>
          <w:p w:rsidR="00C31389" w:rsidRDefault="00561FBD" w14:paraId="1C36188A" w14:textId="77777777">
            <w:pPr>
              <w:pStyle w:val="TableParagraph"/>
              <w:spacing w:before="41"/>
              <w:ind w:left="107"/>
              <w:rPr>
                <w:sz w:val="20"/>
              </w:rPr>
            </w:pPr>
            <w:r>
              <w:rPr>
                <w:sz w:val="20"/>
              </w:rPr>
              <w:t>%</w:t>
            </w:r>
          </w:p>
        </w:tc>
        <w:tc>
          <w:tcPr>
            <w:tcW w:w="1021" w:type="dxa"/>
            <w:tcBorders>
              <w:top w:val="single" w:color="B6B6B6" w:sz="4" w:space="0"/>
              <w:bottom w:val="single" w:color="B6B6B6" w:sz="4" w:space="0"/>
            </w:tcBorders>
            <w:shd w:val="clear" w:color="auto" w:fill="E0EFCE"/>
          </w:tcPr>
          <w:p w:rsidR="00C31389" w:rsidRDefault="00561FBD" w14:paraId="62582BF7" w14:textId="77777777">
            <w:pPr>
              <w:pStyle w:val="TableParagraph"/>
              <w:spacing w:before="41"/>
              <w:ind w:right="116"/>
              <w:jc w:val="right"/>
              <w:rPr>
                <w:sz w:val="20"/>
              </w:rPr>
            </w:pPr>
            <w:r>
              <w:rPr>
                <w:spacing w:val="-2"/>
                <w:sz w:val="20"/>
              </w:rPr>
              <w:t>1.474%</w:t>
            </w:r>
          </w:p>
        </w:tc>
        <w:tc>
          <w:tcPr>
            <w:tcW w:w="915" w:type="dxa"/>
            <w:tcBorders>
              <w:top w:val="single" w:color="B6B6B6" w:sz="4" w:space="0"/>
              <w:bottom w:val="single" w:color="B6B6B6" w:sz="4" w:space="0"/>
            </w:tcBorders>
            <w:shd w:val="clear" w:color="auto" w:fill="E0EFCE"/>
          </w:tcPr>
          <w:p w:rsidR="00C31389" w:rsidRDefault="00561FBD" w14:paraId="6B9B87A8" w14:textId="77777777">
            <w:pPr>
              <w:pStyle w:val="TableParagraph"/>
              <w:spacing w:before="41"/>
              <w:ind w:right="116"/>
              <w:jc w:val="right"/>
              <w:rPr>
                <w:sz w:val="20"/>
              </w:rPr>
            </w:pPr>
            <w:r>
              <w:rPr>
                <w:spacing w:val="-2"/>
                <w:sz w:val="20"/>
              </w:rPr>
              <w:t>0.284%</w:t>
            </w:r>
          </w:p>
        </w:tc>
        <w:tc>
          <w:tcPr>
            <w:tcW w:w="915" w:type="dxa"/>
            <w:tcBorders>
              <w:top w:val="single" w:color="B6B6B6" w:sz="4" w:space="0"/>
              <w:bottom w:val="single" w:color="B6B6B6" w:sz="4" w:space="0"/>
            </w:tcBorders>
            <w:shd w:val="clear" w:color="auto" w:fill="E0EFCE"/>
          </w:tcPr>
          <w:p w:rsidR="00C31389" w:rsidRDefault="00561FBD" w14:paraId="48B02B92" w14:textId="77777777">
            <w:pPr>
              <w:pStyle w:val="TableParagraph"/>
              <w:spacing w:before="41"/>
              <w:ind w:right="116"/>
              <w:jc w:val="right"/>
              <w:rPr>
                <w:sz w:val="20"/>
              </w:rPr>
            </w:pPr>
            <w:r>
              <w:rPr>
                <w:spacing w:val="-2"/>
                <w:sz w:val="20"/>
              </w:rPr>
              <w:t>0.227%</w:t>
            </w:r>
          </w:p>
        </w:tc>
        <w:tc>
          <w:tcPr>
            <w:tcW w:w="915" w:type="dxa"/>
            <w:tcBorders>
              <w:top w:val="single" w:color="B6B6B6" w:sz="4" w:space="0"/>
              <w:bottom w:val="single" w:color="B6B6B6" w:sz="4" w:space="0"/>
            </w:tcBorders>
            <w:shd w:val="clear" w:color="auto" w:fill="E0EFCE"/>
          </w:tcPr>
          <w:p w:rsidR="00C31389" w:rsidRDefault="00561FBD" w14:paraId="29845D7A" w14:textId="77777777">
            <w:pPr>
              <w:pStyle w:val="TableParagraph"/>
              <w:spacing w:before="41"/>
              <w:ind w:right="116"/>
              <w:jc w:val="right"/>
              <w:rPr>
                <w:sz w:val="20"/>
              </w:rPr>
            </w:pPr>
            <w:r>
              <w:rPr>
                <w:spacing w:val="-2"/>
                <w:sz w:val="20"/>
              </w:rPr>
              <w:t>0.093%</w:t>
            </w:r>
          </w:p>
        </w:tc>
        <w:tc>
          <w:tcPr>
            <w:tcW w:w="915" w:type="dxa"/>
            <w:tcBorders>
              <w:top w:val="single" w:color="B6B6B6" w:sz="4" w:space="0"/>
              <w:bottom w:val="single" w:color="B6B6B6" w:sz="4" w:space="0"/>
            </w:tcBorders>
            <w:shd w:val="clear" w:color="auto" w:fill="E0EFCE"/>
          </w:tcPr>
          <w:p w:rsidR="00C31389" w:rsidRDefault="00561FBD" w14:paraId="5602D834" w14:textId="77777777">
            <w:pPr>
              <w:pStyle w:val="TableParagraph"/>
              <w:spacing w:before="41"/>
              <w:ind w:right="116"/>
              <w:jc w:val="right"/>
              <w:rPr>
                <w:sz w:val="20"/>
              </w:rPr>
            </w:pPr>
            <w:r>
              <w:rPr>
                <w:spacing w:val="-2"/>
                <w:sz w:val="20"/>
              </w:rPr>
              <w:t>1.222%</w:t>
            </w:r>
          </w:p>
        </w:tc>
        <w:tc>
          <w:tcPr>
            <w:tcW w:w="905" w:type="dxa"/>
            <w:tcBorders>
              <w:top w:val="single" w:color="B6B6B6" w:sz="4" w:space="0"/>
              <w:bottom w:val="single" w:color="B6B6B6" w:sz="4" w:space="0"/>
            </w:tcBorders>
            <w:shd w:val="clear" w:color="auto" w:fill="E0EFCE"/>
          </w:tcPr>
          <w:p w:rsidR="00C31389" w:rsidRDefault="00561FBD" w14:paraId="462D1649" w14:textId="77777777">
            <w:pPr>
              <w:pStyle w:val="TableParagraph"/>
              <w:spacing w:before="41"/>
              <w:ind w:right="106"/>
              <w:jc w:val="right"/>
              <w:rPr>
                <w:sz w:val="20"/>
              </w:rPr>
            </w:pPr>
            <w:r>
              <w:rPr>
                <w:spacing w:val="-2"/>
                <w:sz w:val="20"/>
              </w:rPr>
              <w:t>0.009%</w:t>
            </w:r>
          </w:p>
        </w:tc>
        <w:tc>
          <w:tcPr>
            <w:tcW w:w="1006" w:type="dxa"/>
            <w:tcBorders>
              <w:top w:val="single" w:color="B6B6B6" w:sz="4" w:space="0"/>
              <w:bottom w:val="single" w:color="B6B6B6" w:sz="4" w:space="0"/>
            </w:tcBorders>
            <w:shd w:val="clear" w:color="auto" w:fill="E0EFCE"/>
          </w:tcPr>
          <w:p w:rsidR="00C31389" w:rsidRDefault="00561FBD" w14:paraId="4ABCCEBA" w14:textId="77777777">
            <w:pPr>
              <w:pStyle w:val="TableParagraph"/>
              <w:spacing w:before="41"/>
              <w:ind w:right="105"/>
              <w:jc w:val="right"/>
              <w:rPr>
                <w:sz w:val="20"/>
              </w:rPr>
            </w:pPr>
            <w:r>
              <w:rPr>
                <w:spacing w:val="-2"/>
                <w:sz w:val="20"/>
              </w:rPr>
              <w:t>0.517%</w:t>
            </w:r>
          </w:p>
        </w:tc>
      </w:tr>
    </w:tbl>
    <w:p w:rsidR="00C31389" w:rsidRDefault="00561FBD" w14:paraId="49FEF1D0" w14:textId="77777777">
      <w:pPr>
        <w:spacing w:before="70"/>
        <w:ind w:left="480"/>
        <w:rPr>
          <w:i/>
          <w:sz w:val="18"/>
        </w:rPr>
      </w:pPr>
      <w:r>
        <w:rPr>
          <w:i/>
          <w:sz w:val="18"/>
        </w:rPr>
        <w:t>Source:</w:t>
      </w:r>
      <w:r>
        <w:rPr>
          <w:i/>
          <w:spacing w:val="-4"/>
          <w:sz w:val="18"/>
        </w:rPr>
        <w:t xml:space="preserve"> </w:t>
      </w:r>
      <w:r>
        <w:rPr>
          <w:i/>
          <w:spacing w:val="-2"/>
          <w:sz w:val="18"/>
        </w:rPr>
        <w:t>Guidehouse</w:t>
      </w:r>
    </w:p>
    <w:p w:rsidR="00C31389" w:rsidRDefault="00C31389" w14:paraId="548FA6A2" w14:textId="77777777">
      <w:pPr>
        <w:pStyle w:val="BodyText"/>
        <w:spacing w:before="9"/>
        <w:rPr>
          <w:i/>
          <w:sz w:val="20"/>
        </w:rPr>
      </w:pPr>
    </w:p>
    <w:p w:rsidR="00C31389" w:rsidRDefault="00561FBD" w14:paraId="25F8682C" w14:textId="77777777">
      <w:pPr>
        <w:pStyle w:val="BodyText"/>
        <w:spacing w:before="1"/>
        <w:ind w:left="480" w:right="615" w:hanging="1"/>
      </w:pPr>
      <w:r>
        <w:t xml:space="preserve">The savings rate multiplier has been decreasing over time and </w:t>
      </w:r>
      <w:hyperlink w:history="1" w:anchor="_bookmark470">
        <w:r>
          <w:t>Table G-3</w:t>
        </w:r>
      </w:hyperlink>
      <w:r>
        <w:t xml:space="preserve"> shows the changes</w:t>
      </w:r>
      <w:r>
        <w:rPr>
          <w:spacing w:val="-3"/>
        </w:rPr>
        <w:t xml:space="preserve"> </w:t>
      </w:r>
      <w:r>
        <w:t>between</w:t>
      </w:r>
      <w:r>
        <w:rPr>
          <w:spacing w:val="-3"/>
        </w:rPr>
        <w:t xml:space="preserve"> </w:t>
      </w:r>
      <w:r>
        <w:t>the</w:t>
      </w:r>
      <w:r>
        <w:rPr>
          <w:spacing w:val="-3"/>
        </w:rPr>
        <w:t xml:space="preserve"> </w:t>
      </w:r>
      <w:r>
        <w:t>2021</w:t>
      </w:r>
      <w:r>
        <w:rPr>
          <w:spacing w:val="-3"/>
        </w:rPr>
        <w:t xml:space="preserve"> </w:t>
      </w:r>
      <w:r>
        <w:t>and</w:t>
      </w:r>
      <w:r>
        <w:rPr>
          <w:spacing w:val="-3"/>
        </w:rPr>
        <w:t xml:space="preserve"> </w:t>
      </w:r>
      <w:r>
        <w:t>2023</w:t>
      </w:r>
      <w:r>
        <w:rPr>
          <w:spacing w:val="-4"/>
        </w:rPr>
        <w:t xml:space="preserve"> </w:t>
      </w:r>
      <w:r>
        <w:t>PG</w:t>
      </w:r>
      <w:r>
        <w:rPr>
          <w:spacing w:val="-4"/>
        </w:rPr>
        <w:t xml:space="preserve"> </w:t>
      </w:r>
      <w:r>
        <w:t>studies.</w:t>
      </w:r>
      <w:r>
        <w:rPr>
          <w:spacing w:val="-3"/>
        </w:rPr>
        <w:t xml:space="preserve"> </w:t>
      </w:r>
      <w:hyperlink w:history="1" w:anchor="_bookmark471">
        <w:r>
          <w:t>Figure</w:t>
        </w:r>
        <w:r>
          <w:rPr>
            <w:spacing w:val="-2"/>
          </w:rPr>
          <w:t xml:space="preserve"> </w:t>
        </w:r>
        <w:r>
          <w:t>G-1</w:t>
        </w:r>
      </w:hyperlink>
      <w:r>
        <w:rPr>
          <w:spacing w:val="-3"/>
        </w:rPr>
        <w:t xml:space="preserve"> </w:t>
      </w:r>
      <w:r>
        <w:t>through</w:t>
      </w:r>
      <w:r>
        <w:rPr>
          <w:spacing w:val="-3"/>
        </w:rPr>
        <w:t xml:space="preserve"> </w:t>
      </w:r>
      <w:hyperlink w:history="1" w:anchor="_bookmark474">
        <w:r>
          <w:t>Figure</w:t>
        </w:r>
        <w:r>
          <w:rPr>
            <w:spacing w:val="-3"/>
          </w:rPr>
          <w:t xml:space="preserve"> </w:t>
        </w:r>
        <w:r>
          <w:t>G-4</w:t>
        </w:r>
      </w:hyperlink>
      <w:r>
        <w:rPr>
          <w:spacing w:val="-3"/>
        </w:rPr>
        <w:t xml:space="preserve"> </w:t>
      </w:r>
      <w:r>
        <w:t>show</w:t>
      </w:r>
      <w:r>
        <w:rPr>
          <w:spacing w:val="-4"/>
        </w:rPr>
        <w:t xml:space="preserve"> </w:t>
      </w:r>
      <w:r>
        <w:t>the annual electricity and natural gas savings for program years 2016 through 2021.</w:t>
      </w:r>
    </w:p>
    <w:p w:rsidR="00C31389" w:rsidRDefault="00C31389" w14:paraId="45C13939" w14:textId="77777777">
      <w:pPr>
        <w:pStyle w:val="BodyText"/>
        <w:spacing w:before="10"/>
        <w:rPr>
          <w:sz w:val="20"/>
        </w:rPr>
      </w:pPr>
    </w:p>
    <w:p w:rsidR="00C31389" w:rsidRDefault="00561FBD" w14:paraId="20BD265C" w14:textId="77777777">
      <w:pPr>
        <w:pStyle w:val="Heading7"/>
        <w:ind w:left="398" w:right="339"/>
        <w:jc w:val="center"/>
      </w:pPr>
      <w:bookmarkStart w:name="_bookmark470" w:id="612"/>
      <w:bookmarkEnd w:id="612"/>
      <w:r>
        <w:t>Table</w:t>
      </w:r>
      <w:r>
        <w:rPr>
          <w:spacing w:val="-6"/>
        </w:rPr>
        <w:t xml:space="preserve"> </w:t>
      </w:r>
      <w:r>
        <w:t>G-3.</w:t>
      </w:r>
      <w:r>
        <w:rPr>
          <w:spacing w:val="-7"/>
        </w:rPr>
        <w:t xml:space="preserve"> </w:t>
      </w:r>
      <w:r>
        <w:t>Change</w:t>
      </w:r>
      <w:r>
        <w:rPr>
          <w:spacing w:val="-6"/>
        </w:rPr>
        <w:t xml:space="preserve"> </w:t>
      </w:r>
      <w:r>
        <w:t>In</w:t>
      </w:r>
      <w:r>
        <w:rPr>
          <w:spacing w:val="-6"/>
        </w:rPr>
        <w:t xml:space="preserve"> </w:t>
      </w:r>
      <w:r>
        <w:t>GC</w:t>
      </w:r>
      <w:r>
        <w:rPr>
          <w:spacing w:val="-6"/>
        </w:rPr>
        <w:t xml:space="preserve"> </w:t>
      </w:r>
      <w:r>
        <w:t>Savings</w:t>
      </w:r>
      <w:r>
        <w:rPr>
          <w:spacing w:val="-6"/>
        </w:rPr>
        <w:t xml:space="preserve"> </w:t>
      </w:r>
      <w:r>
        <w:t>Rate</w:t>
      </w:r>
      <w:r>
        <w:rPr>
          <w:spacing w:val="-6"/>
        </w:rPr>
        <w:t xml:space="preserve"> </w:t>
      </w:r>
      <w:r>
        <w:rPr>
          <w:spacing w:val="-2"/>
        </w:rPr>
        <w:t>Multipliers</w:t>
      </w:r>
    </w:p>
    <w:p w:rsidR="00C31389" w:rsidRDefault="00C31389" w14:paraId="13756B6B" w14:textId="77777777">
      <w:pPr>
        <w:pStyle w:val="BodyText"/>
        <w:spacing w:before="5"/>
        <w:rPr>
          <w:b/>
          <w:sz w:val="10"/>
        </w:rPr>
      </w:pPr>
    </w:p>
    <w:tbl>
      <w:tblPr>
        <w:tblW w:w="0" w:type="auto"/>
        <w:tblInd w:w="2653" w:type="dxa"/>
        <w:tblLayout w:type="fixed"/>
        <w:tblCellMar>
          <w:left w:w="0" w:type="dxa"/>
          <w:right w:w="0" w:type="dxa"/>
        </w:tblCellMar>
        <w:tblLook w:val="01E0" w:firstRow="1" w:lastRow="1" w:firstColumn="1" w:lastColumn="1" w:noHBand="0" w:noVBand="0"/>
      </w:tblPr>
      <w:tblGrid>
        <w:gridCol w:w="1850"/>
        <w:gridCol w:w="1356"/>
        <w:gridCol w:w="1482"/>
      </w:tblGrid>
      <w:tr w:rsidR="00C31389" w14:paraId="50A61C9D" w14:textId="77777777">
        <w:trPr>
          <w:trHeight w:val="299"/>
        </w:trPr>
        <w:tc>
          <w:tcPr>
            <w:tcW w:w="1850" w:type="dxa"/>
            <w:tcBorders>
              <w:top w:val="single" w:color="68942C" w:sz="4" w:space="0"/>
              <w:bottom w:val="single" w:color="68942C" w:sz="4" w:space="0"/>
            </w:tcBorders>
          </w:tcPr>
          <w:p w:rsidR="00C31389" w:rsidRDefault="00561FBD" w14:paraId="1AA6B31A" w14:textId="77777777">
            <w:pPr>
              <w:pStyle w:val="TableParagraph"/>
              <w:spacing w:before="31" w:line="248" w:lineRule="exact"/>
              <w:ind w:left="582"/>
              <w:rPr>
                <w:rFonts w:ascii="Calibri"/>
              </w:rPr>
            </w:pPr>
            <w:r>
              <w:rPr>
                <w:rFonts w:ascii="Calibri"/>
                <w:spacing w:val="-2"/>
              </w:rPr>
              <w:t>Sector</w:t>
            </w:r>
          </w:p>
        </w:tc>
        <w:tc>
          <w:tcPr>
            <w:tcW w:w="1356" w:type="dxa"/>
            <w:tcBorders>
              <w:top w:val="single" w:color="68942C" w:sz="4" w:space="0"/>
              <w:bottom w:val="single" w:color="68942C" w:sz="4" w:space="0"/>
            </w:tcBorders>
          </w:tcPr>
          <w:p w:rsidR="00C31389" w:rsidRDefault="00561FBD" w14:paraId="0831AE03" w14:textId="77777777">
            <w:pPr>
              <w:pStyle w:val="TableParagraph"/>
              <w:spacing w:before="31" w:line="248" w:lineRule="exact"/>
              <w:ind w:left="391"/>
              <w:rPr>
                <w:rFonts w:ascii="Calibri"/>
              </w:rPr>
            </w:pPr>
            <w:r>
              <w:rPr>
                <w:rFonts w:ascii="Calibri"/>
                <w:spacing w:val="-5"/>
              </w:rPr>
              <w:t>GWh</w:t>
            </w:r>
          </w:p>
        </w:tc>
        <w:tc>
          <w:tcPr>
            <w:tcW w:w="1482" w:type="dxa"/>
            <w:tcBorders>
              <w:top w:val="single" w:color="68942C" w:sz="4" w:space="0"/>
              <w:bottom w:val="single" w:color="68942C" w:sz="4" w:space="0"/>
            </w:tcBorders>
          </w:tcPr>
          <w:p w:rsidR="00C31389" w:rsidRDefault="00561FBD" w14:paraId="74ED5A17" w14:textId="77777777">
            <w:pPr>
              <w:pStyle w:val="TableParagraph"/>
              <w:spacing w:before="31" w:line="248" w:lineRule="exact"/>
              <w:ind w:left="405"/>
              <w:rPr>
                <w:rFonts w:ascii="Calibri"/>
              </w:rPr>
            </w:pPr>
            <w:r>
              <w:rPr>
                <w:rFonts w:ascii="Calibri"/>
                <w:spacing w:val="-2"/>
              </w:rPr>
              <w:t>Therms</w:t>
            </w:r>
          </w:p>
        </w:tc>
      </w:tr>
      <w:tr w:rsidR="00C31389" w14:paraId="56C0D388" w14:textId="77777777">
        <w:trPr>
          <w:trHeight w:val="300"/>
        </w:trPr>
        <w:tc>
          <w:tcPr>
            <w:tcW w:w="1850" w:type="dxa"/>
            <w:tcBorders>
              <w:top w:val="single" w:color="68942C" w:sz="4" w:space="0"/>
            </w:tcBorders>
            <w:shd w:val="clear" w:color="auto" w:fill="E0EFCE"/>
          </w:tcPr>
          <w:p w:rsidR="00C31389" w:rsidRDefault="00561FBD" w14:paraId="0FA4A168" w14:textId="77777777">
            <w:pPr>
              <w:pStyle w:val="TableParagraph"/>
              <w:spacing w:before="16" w:line="265" w:lineRule="exact"/>
              <w:ind w:left="115"/>
              <w:rPr>
                <w:rFonts w:ascii="Calibri"/>
              </w:rPr>
            </w:pPr>
            <w:r>
              <w:rPr>
                <w:rFonts w:ascii="Calibri"/>
                <w:spacing w:val="-2"/>
              </w:rPr>
              <w:t>Industrial</w:t>
            </w:r>
          </w:p>
        </w:tc>
        <w:tc>
          <w:tcPr>
            <w:tcW w:w="1356" w:type="dxa"/>
            <w:tcBorders>
              <w:top w:val="single" w:color="68942C" w:sz="4" w:space="0"/>
            </w:tcBorders>
            <w:shd w:val="clear" w:color="auto" w:fill="E0EFCE"/>
          </w:tcPr>
          <w:p w:rsidR="00C31389" w:rsidRDefault="00C31389" w14:paraId="39D0DB9D" w14:textId="77777777">
            <w:pPr>
              <w:pStyle w:val="TableParagraph"/>
              <w:spacing w:before="0"/>
              <w:rPr>
                <w:rFonts w:ascii="Times New Roman"/>
                <w:sz w:val="20"/>
              </w:rPr>
            </w:pPr>
          </w:p>
        </w:tc>
        <w:tc>
          <w:tcPr>
            <w:tcW w:w="1482" w:type="dxa"/>
            <w:tcBorders>
              <w:top w:val="single" w:color="68942C" w:sz="4" w:space="0"/>
            </w:tcBorders>
            <w:shd w:val="clear" w:color="auto" w:fill="E0EFCE"/>
          </w:tcPr>
          <w:p w:rsidR="00C31389" w:rsidRDefault="00C31389" w14:paraId="1C85DECB" w14:textId="77777777">
            <w:pPr>
              <w:pStyle w:val="TableParagraph"/>
              <w:spacing w:before="0"/>
              <w:rPr>
                <w:rFonts w:ascii="Times New Roman"/>
                <w:sz w:val="20"/>
              </w:rPr>
            </w:pPr>
          </w:p>
        </w:tc>
      </w:tr>
      <w:tr w:rsidR="00C31389" w14:paraId="10AFF0B7" w14:textId="77777777">
        <w:trPr>
          <w:trHeight w:val="300"/>
        </w:trPr>
        <w:tc>
          <w:tcPr>
            <w:tcW w:w="1850" w:type="dxa"/>
          </w:tcPr>
          <w:p w:rsidR="00C31389" w:rsidRDefault="00561FBD" w14:paraId="3E7FF4AE" w14:textId="77777777">
            <w:pPr>
              <w:pStyle w:val="TableParagraph"/>
              <w:spacing w:before="0" w:line="268" w:lineRule="exact"/>
              <w:ind w:left="115"/>
              <w:rPr>
                <w:rFonts w:ascii="Calibri"/>
              </w:rPr>
            </w:pPr>
            <w:r>
              <w:rPr>
                <w:rFonts w:ascii="Calibri"/>
              </w:rPr>
              <w:t>2023</w:t>
            </w:r>
            <w:r>
              <w:rPr>
                <w:rFonts w:ascii="Calibri"/>
                <w:spacing w:val="-6"/>
              </w:rPr>
              <w:t xml:space="preserve"> </w:t>
            </w:r>
            <w:r>
              <w:rPr>
                <w:rFonts w:ascii="Calibri"/>
                <w:spacing w:val="-2"/>
              </w:rPr>
              <w:t>Factor</w:t>
            </w:r>
          </w:p>
        </w:tc>
        <w:tc>
          <w:tcPr>
            <w:tcW w:w="1356" w:type="dxa"/>
          </w:tcPr>
          <w:p w:rsidR="00C31389" w:rsidRDefault="00561FBD" w14:paraId="4DDA7CBE" w14:textId="77777777">
            <w:pPr>
              <w:pStyle w:val="TableParagraph"/>
              <w:spacing w:before="0" w:line="268" w:lineRule="exact"/>
              <w:ind w:left="231"/>
              <w:rPr>
                <w:rFonts w:ascii="Calibri"/>
              </w:rPr>
            </w:pPr>
            <w:r>
              <w:rPr>
                <w:rFonts w:ascii="Calibri"/>
                <w:spacing w:val="-2"/>
              </w:rPr>
              <w:t>0.0651%</w:t>
            </w:r>
          </w:p>
        </w:tc>
        <w:tc>
          <w:tcPr>
            <w:tcW w:w="1482" w:type="dxa"/>
          </w:tcPr>
          <w:p w:rsidR="00C31389" w:rsidRDefault="00561FBD" w14:paraId="51F07471" w14:textId="77777777">
            <w:pPr>
              <w:pStyle w:val="TableParagraph"/>
              <w:spacing w:before="0" w:line="268" w:lineRule="exact"/>
              <w:ind w:left="354"/>
              <w:rPr>
                <w:rFonts w:ascii="Calibri"/>
              </w:rPr>
            </w:pPr>
            <w:r>
              <w:rPr>
                <w:rFonts w:ascii="Calibri"/>
                <w:spacing w:val="-2"/>
              </w:rPr>
              <w:t>0.0496%</w:t>
            </w:r>
          </w:p>
        </w:tc>
      </w:tr>
      <w:tr w:rsidR="00C31389" w14:paraId="48CF58BB" w14:textId="77777777">
        <w:trPr>
          <w:trHeight w:val="300"/>
        </w:trPr>
        <w:tc>
          <w:tcPr>
            <w:tcW w:w="1850" w:type="dxa"/>
            <w:shd w:val="clear" w:color="auto" w:fill="E0EFCE"/>
          </w:tcPr>
          <w:p w:rsidR="00C31389" w:rsidRDefault="00561FBD" w14:paraId="48B251E7" w14:textId="77777777">
            <w:pPr>
              <w:pStyle w:val="TableParagraph"/>
              <w:spacing w:before="0" w:line="268" w:lineRule="exact"/>
              <w:ind w:left="115"/>
              <w:rPr>
                <w:rFonts w:ascii="Calibri"/>
              </w:rPr>
            </w:pPr>
            <w:r>
              <w:rPr>
                <w:rFonts w:ascii="Calibri"/>
              </w:rPr>
              <w:t>2021</w:t>
            </w:r>
            <w:r>
              <w:rPr>
                <w:rFonts w:ascii="Calibri"/>
                <w:spacing w:val="-6"/>
              </w:rPr>
              <w:t xml:space="preserve"> </w:t>
            </w:r>
            <w:r>
              <w:rPr>
                <w:rFonts w:ascii="Calibri"/>
                <w:spacing w:val="-2"/>
              </w:rPr>
              <w:t>Factor</w:t>
            </w:r>
          </w:p>
        </w:tc>
        <w:tc>
          <w:tcPr>
            <w:tcW w:w="1356" w:type="dxa"/>
            <w:shd w:val="clear" w:color="auto" w:fill="E0EFCE"/>
          </w:tcPr>
          <w:p w:rsidR="00C31389" w:rsidRDefault="00561FBD" w14:paraId="7BFCF84F" w14:textId="77777777">
            <w:pPr>
              <w:pStyle w:val="TableParagraph"/>
              <w:spacing w:before="0" w:line="268" w:lineRule="exact"/>
              <w:ind w:left="231"/>
              <w:rPr>
                <w:rFonts w:ascii="Calibri"/>
              </w:rPr>
            </w:pPr>
            <w:r>
              <w:rPr>
                <w:rFonts w:ascii="Calibri"/>
                <w:spacing w:val="-2"/>
              </w:rPr>
              <w:t>0.0673%</w:t>
            </w:r>
          </w:p>
        </w:tc>
        <w:tc>
          <w:tcPr>
            <w:tcW w:w="1482" w:type="dxa"/>
            <w:shd w:val="clear" w:color="auto" w:fill="E0EFCE"/>
          </w:tcPr>
          <w:p w:rsidR="00C31389" w:rsidRDefault="00561FBD" w14:paraId="32CEF665" w14:textId="77777777">
            <w:pPr>
              <w:pStyle w:val="TableParagraph"/>
              <w:spacing w:before="0" w:line="268" w:lineRule="exact"/>
              <w:ind w:left="354"/>
              <w:rPr>
                <w:rFonts w:ascii="Calibri"/>
              </w:rPr>
            </w:pPr>
            <w:r>
              <w:rPr>
                <w:rFonts w:ascii="Calibri"/>
                <w:spacing w:val="-2"/>
              </w:rPr>
              <w:t>0.0535%</w:t>
            </w:r>
          </w:p>
        </w:tc>
      </w:tr>
      <w:tr w:rsidR="00C31389" w14:paraId="34F5BEE0" w14:textId="77777777">
        <w:trPr>
          <w:trHeight w:val="311"/>
        </w:trPr>
        <w:tc>
          <w:tcPr>
            <w:tcW w:w="1850" w:type="dxa"/>
          </w:tcPr>
          <w:p w:rsidR="00C31389" w:rsidRDefault="00561FBD" w14:paraId="558BE82E" w14:textId="77777777">
            <w:pPr>
              <w:pStyle w:val="TableParagraph"/>
              <w:spacing w:before="0" w:line="268" w:lineRule="exact"/>
              <w:ind w:left="236"/>
              <w:rPr>
                <w:rFonts w:ascii="Calibri"/>
              </w:rPr>
            </w:pPr>
            <w:r>
              <w:rPr>
                <w:rFonts w:ascii="Calibri"/>
              </w:rPr>
              <w:t>2023</w:t>
            </w:r>
            <w:r>
              <w:rPr>
                <w:rFonts w:ascii="Calibri"/>
                <w:spacing w:val="-4"/>
              </w:rPr>
              <w:t xml:space="preserve"> </w:t>
            </w:r>
            <w:r>
              <w:rPr>
                <w:rFonts w:ascii="Calibri"/>
              </w:rPr>
              <w:t>%</w:t>
            </w:r>
            <w:r>
              <w:rPr>
                <w:rFonts w:ascii="Calibri"/>
                <w:spacing w:val="-4"/>
              </w:rPr>
              <w:t xml:space="preserve"> </w:t>
            </w:r>
            <w:r>
              <w:rPr>
                <w:rFonts w:ascii="Calibri"/>
              </w:rPr>
              <w:t>of</w:t>
            </w:r>
            <w:r>
              <w:rPr>
                <w:rFonts w:ascii="Calibri"/>
                <w:spacing w:val="-3"/>
              </w:rPr>
              <w:t xml:space="preserve"> </w:t>
            </w:r>
            <w:r>
              <w:rPr>
                <w:rFonts w:ascii="Calibri"/>
                <w:spacing w:val="-4"/>
              </w:rPr>
              <w:t>2021</w:t>
            </w:r>
          </w:p>
        </w:tc>
        <w:tc>
          <w:tcPr>
            <w:tcW w:w="1356" w:type="dxa"/>
          </w:tcPr>
          <w:p w:rsidR="00C31389" w:rsidRDefault="00561FBD" w14:paraId="73571C47" w14:textId="77777777">
            <w:pPr>
              <w:pStyle w:val="TableParagraph"/>
              <w:spacing w:before="0" w:line="268" w:lineRule="exact"/>
              <w:ind w:left="342"/>
              <w:rPr>
                <w:rFonts w:ascii="Calibri"/>
              </w:rPr>
            </w:pPr>
            <w:r>
              <w:rPr>
                <w:rFonts w:ascii="Calibri"/>
                <w:spacing w:val="-2"/>
              </w:rPr>
              <w:t>96.7%</w:t>
            </w:r>
          </w:p>
        </w:tc>
        <w:tc>
          <w:tcPr>
            <w:tcW w:w="1482" w:type="dxa"/>
          </w:tcPr>
          <w:p w:rsidR="00C31389" w:rsidRDefault="00561FBD" w14:paraId="6FE4BB63" w14:textId="77777777">
            <w:pPr>
              <w:pStyle w:val="TableParagraph"/>
              <w:spacing w:before="0" w:line="268" w:lineRule="exact"/>
              <w:ind w:left="466"/>
              <w:rPr>
                <w:rFonts w:ascii="Calibri"/>
              </w:rPr>
            </w:pPr>
            <w:r>
              <w:rPr>
                <w:rFonts w:ascii="Calibri"/>
                <w:spacing w:val="-2"/>
              </w:rPr>
              <w:t>92.8%</w:t>
            </w:r>
          </w:p>
        </w:tc>
      </w:tr>
      <w:tr w:rsidR="00C31389" w14:paraId="205A3BB1" w14:textId="77777777">
        <w:trPr>
          <w:trHeight w:val="299"/>
        </w:trPr>
        <w:tc>
          <w:tcPr>
            <w:tcW w:w="4688" w:type="dxa"/>
            <w:gridSpan w:val="3"/>
          </w:tcPr>
          <w:p w:rsidR="00C31389" w:rsidRDefault="00561FBD" w14:paraId="52A85F3B" w14:textId="77777777">
            <w:pPr>
              <w:pStyle w:val="TableParagraph"/>
              <w:tabs>
                <w:tab w:val="left" w:pos="4687"/>
              </w:tabs>
              <w:spacing w:before="3"/>
              <w:ind w:left="7"/>
              <w:rPr>
                <w:rFonts w:ascii="Calibri"/>
              </w:rPr>
            </w:pPr>
            <w:r>
              <w:rPr>
                <w:rFonts w:ascii="Calibri"/>
                <w:color w:val="000000"/>
                <w:spacing w:val="55"/>
                <w:shd w:val="clear" w:color="auto" w:fill="E0EFCE"/>
              </w:rPr>
              <w:t xml:space="preserve"> </w:t>
            </w:r>
            <w:r>
              <w:rPr>
                <w:rFonts w:ascii="Calibri"/>
                <w:color w:val="000000"/>
                <w:spacing w:val="-2"/>
                <w:shd w:val="clear" w:color="auto" w:fill="E0EFCE"/>
              </w:rPr>
              <w:t>Agriculture</w:t>
            </w:r>
            <w:r>
              <w:rPr>
                <w:rFonts w:ascii="Calibri"/>
                <w:color w:val="000000"/>
                <w:shd w:val="clear" w:color="auto" w:fill="E0EFCE"/>
              </w:rPr>
              <w:tab/>
            </w:r>
          </w:p>
        </w:tc>
      </w:tr>
      <w:tr w:rsidR="00C31389" w14:paraId="20F46F61" w14:textId="77777777">
        <w:trPr>
          <w:trHeight w:val="292"/>
        </w:trPr>
        <w:tc>
          <w:tcPr>
            <w:tcW w:w="1850" w:type="dxa"/>
          </w:tcPr>
          <w:p w:rsidR="00C31389" w:rsidRDefault="00561FBD" w14:paraId="40B0C64C" w14:textId="77777777">
            <w:pPr>
              <w:pStyle w:val="TableParagraph"/>
              <w:spacing w:before="0" w:line="256" w:lineRule="exact"/>
              <w:ind w:left="115"/>
              <w:rPr>
                <w:rFonts w:ascii="Calibri"/>
              </w:rPr>
            </w:pPr>
            <w:r>
              <w:rPr>
                <w:rFonts w:ascii="Calibri"/>
              </w:rPr>
              <w:t>2023</w:t>
            </w:r>
            <w:r>
              <w:rPr>
                <w:rFonts w:ascii="Calibri"/>
                <w:spacing w:val="-6"/>
              </w:rPr>
              <w:t xml:space="preserve"> </w:t>
            </w:r>
            <w:r>
              <w:rPr>
                <w:rFonts w:ascii="Calibri"/>
                <w:spacing w:val="-2"/>
              </w:rPr>
              <w:t>Factor</w:t>
            </w:r>
          </w:p>
        </w:tc>
        <w:tc>
          <w:tcPr>
            <w:tcW w:w="1356" w:type="dxa"/>
          </w:tcPr>
          <w:p w:rsidR="00C31389" w:rsidRDefault="00561FBD" w14:paraId="58B43902" w14:textId="77777777">
            <w:pPr>
              <w:pStyle w:val="TableParagraph"/>
              <w:spacing w:before="0" w:line="256" w:lineRule="exact"/>
              <w:ind w:left="231"/>
              <w:rPr>
                <w:rFonts w:ascii="Calibri"/>
              </w:rPr>
            </w:pPr>
            <w:r>
              <w:rPr>
                <w:rFonts w:ascii="Calibri"/>
                <w:spacing w:val="-2"/>
              </w:rPr>
              <w:t>0.0570%</w:t>
            </w:r>
          </w:p>
        </w:tc>
        <w:tc>
          <w:tcPr>
            <w:tcW w:w="1482" w:type="dxa"/>
          </w:tcPr>
          <w:p w:rsidR="00C31389" w:rsidRDefault="00561FBD" w14:paraId="14FBF50B" w14:textId="77777777">
            <w:pPr>
              <w:pStyle w:val="TableParagraph"/>
              <w:spacing w:before="0" w:line="256" w:lineRule="exact"/>
              <w:ind w:left="354"/>
              <w:rPr>
                <w:rFonts w:ascii="Calibri"/>
              </w:rPr>
            </w:pPr>
            <w:r>
              <w:rPr>
                <w:rFonts w:ascii="Calibri"/>
                <w:spacing w:val="-2"/>
              </w:rPr>
              <w:t>0.5540%</w:t>
            </w:r>
          </w:p>
        </w:tc>
      </w:tr>
      <w:tr w:rsidR="00C31389" w14:paraId="7523926E" w14:textId="77777777">
        <w:trPr>
          <w:trHeight w:val="300"/>
        </w:trPr>
        <w:tc>
          <w:tcPr>
            <w:tcW w:w="1850" w:type="dxa"/>
          </w:tcPr>
          <w:p w:rsidR="00C31389" w:rsidRDefault="00561FBD" w14:paraId="5C61A18C" w14:textId="77777777">
            <w:pPr>
              <w:pStyle w:val="TableParagraph"/>
              <w:tabs>
                <w:tab w:val="left" w:pos="2080"/>
              </w:tabs>
              <w:spacing w:before="0" w:line="264" w:lineRule="exact"/>
              <w:ind w:left="7" w:right="-245"/>
              <w:rPr>
                <w:rFonts w:ascii="Calibri"/>
              </w:rPr>
            </w:pPr>
            <w:r>
              <w:rPr>
                <w:rFonts w:ascii="Calibri"/>
                <w:color w:val="000000"/>
                <w:spacing w:val="53"/>
                <w:shd w:val="clear" w:color="auto" w:fill="E0EFCE"/>
              </w:rPr>
              <w:t xml:space="preserve"> </w:t>
            </w:r>
            <w:r>
              <w:rPr>
                <w:rFonts w:ascii="Calibri"/>
                <w:color w:val="000000"/>
                <w:shd w:val="clear" w:color="auto" w:fill="E0EFCE"/>
              </w:rPr>
              <w:t>2021</w:t>
            </w:r>
            <w:r>
              <w:rPr>
                <w:rFonts w:ascii="Calibri"/>
                <w:color w:val="000000"/>
                <w:spacing w:val="-2"/>
                <w:shd w:val="clear" w:color="auto" w:fill="E0EFCE"/>
              </w:rPr>
              <w:t xml:space="preserve"> Factor</w:t>
            </w:r>
            <w:r>
              <w:rPr>
                <w:rFonts w:ascii="Calibri"/>
                <w:color w:val="000000"/>
                <w:shd w:val="clear" w:color="auto" w:fill="E0EFCE"/>
              </w:rPr>
              <w:tab/>
            </w:r>
          </w:p>
        </w:tc>
        <w:tc>
          <w:tcPr>
            <w:tcW w:w="1356" w:type="dxa"/>
            <w:shd w:val="clear" w:color="auto" w:fill="E0EFCE"/>
          </w:tcPr>
          <w:p w:rsidR="00C31389" w:rsidRDefault="00561FBD" w14:paraId="287F5260" w14:textId="77777777">
            <w:pPr>
              <w:pStyle w:val="TableParagraph"/>
              <w:tabs>
                <w:tab w:val="left" w:pos="1710"/>
              </w:tabs>
              <w:spacing w:before="0" w:line="264" w:lineRule="exact"/>
              <w:ind w:left="231" w:right="-360"/>
              <w:rPr>
                <w:rFonts w:ascii="Calibri"/>
              </w:rPr>
            </w:pPr>
            <w:r>
              <w:rPr>
                <w:rFonts w:ascii="Calibri"/>
                <w:color w:val="000000"/>
                <w:spacing w:val="-2"/>
                <w:shd w:val="clear" w:color="auto" w:fill="E0EFCE"/>
              </w:rPr>
              <w:t>0.0602%</w:t>
            </w:r>
            <w:r>
              <w:rPr>
                <w:rFonts w:ascii="Calibri"/>
                <w:color w:val="000000"/>
                <w:shd w:val="clear" w:color="auto" w:fill="E0EFCE"/>
              </w:rPr>
              <w:tab/>
            </w:r>
          </w:p>
        </w:tc>
        <w:tc>
          <w:tcPr>
            <w:tcW w:w="1482" w:type="dxa"/>
          </w:tcPr>
          <w:p w:rsidR="00C31389" w:rsidRDefault="00561FBD" w14:paraId="3787F089" w14:textId="77777777">
            <w:pPr>
              <w:pStyle w:val="TableParagraph"/>
              <w:tabs>
                <w:tab w:val="left" w:pos="1481"/>
              </w:tabs>
              <w:spacing w:before="0" w:line="264" w:lineRule="exact"/>
              <w:ind w:left="354"/>
              <w:rPr>
                <w:rFonts w:ascii="Calibri"/>
              </w:rPr>
            </w:pPr>
            <w:r>
              <w:rPr>
                <w:rFonts w:ascii="Calibri"/>
                <w:color w:val="000000"/>
                <w:spacing w:val="-2"/>
                <w:shd w:val="clear" w:color="auto" w:fill="E0EFCE"/>
              </w:rPr>
              <w:t>0.6227%</w:t>
            </w:r>
            <w:r>
              <w:rPr>
                <w:rFonts w:ascii="Calibri"/>
                <w:color w:val="000000"/>
                <w:shd w:val="clear" w:color="auto" w:fill="E0EFCE"/>
              </w:rPr>
              <w:tab/>
            </w:r>
          </w:p>
        </w:tc>
      </w:tr>
      <w:tr w:rsidR="00C31389" w14:paraId="6AA67DF3" w14:textId="77777777">
        <w:trPr>
          <w:trHeight w:val="295"/>
        </w:trPr>
        <w:tc>
          <w:tcPr>
            <w:tcW w:w="1850" w:type="dxa"/>
            <w:tcBorders>
              <w:bottom w:val="single" w:color="68942C" w:sz="4" w:space="0"/>
            </w:tcBorders>
          </w:tcPr>
          <w:p w:rsidR="00C31389" w:rsidRDefault="00561FBD" w14:paraId="70B57DEB" w14:textId="77777777">
            <w:pPr>
              <w:pStyle w:val="TableParagraph"/>
              <w:spacing w:before="0" w:line="264" w:lineRule="exact"/>
              <w:ind w:left="236"/>
              <w:rPr>
                <w:rFonts w:ascii="Calibri"/>
              </w:rPr>
            </w:pPr>
            <w:r>
              <w:rPr>
                <w:rFonts w:ascii="Calibri"/>
              </w:rPr>
              <w:t>2023</w:t>
            </w:r>
            <w:r>
              <w:rPr>
                <w:rFonts w:ascii="Calibri"/>
                <w:spacing w:val="-4"/>
              </w:rPr>
              <w:t xml:space="preserve"> </w:t>
            </w:r>
            <w:r>
              <w:rPr>
                <w:rFonts w:ascii="Calibri"/>
              </w:rPr>
              <w:t>%</w:t>
            </w:r>
            <w:r>
              <w:rPr>
                <w:rFonts w:ascii="Calibri"/>
                <w:spacing w:val="-4"/>
              </w:rPr>
              <w:t xml:space="preserve"> </w:t>
            </w:r>
            <w:r>
              <w:rPr>
                <w:rFonts w:ascii="Calibri"/>
              </w:rPr>
              <w:t>of</w:t>
            </w:r>
            <w:r>
              <w:rPr>
                <w:rFonts w:ascii="Calibri"/>
                <w:spacing w:val="-3"/>
              </w:rPr>
              <w:t xml:space="preserve"> </w:t>
            </w:r>
            <w:r>
              <w:rPr>
                <w:rFonts w:ascii="Calibri"/>
                <w:spacing w:val="-4"/>
              </w:rPr>
              <w:t>2021</w:t>
            </w:r>
          </w:p>
        </w:tc>
        <w:tc>
          <w:tcPr>
            <w:tcW w:w="1356" w:type="dxa"/>
            <w:tcBorders>
              <w:bottom w:val="single" w:color="68942C" w:sz="4" w:space="0"/>
            </w:tcBorders>
          </w:tcPr>
          <w:p w:rsidR="00C31389" w:rsidRDefault="00561FBD" w14:paraId="7DAC993A" w14:textId="77777777">
            <w:pPr>
              <w:pStyle w:val="TableParagraph"/>
              <w:spacing w:before="0" w:line="264" w:lineRule="exact"/>
              <w:ind w:left="342"/>
              <w:rPr>
                <w:rFonts w:ascii="Calibri"/>
              </w:rPr>
            </w:pPr>
            <w:r>
              <w:rPr>
                <w:rFonts w:ascii="Calibri"/>
                <w:spacing w:val="-2"/>
              </w:rPr>
              <w:t>94.7%</w:t>
            </w:r>
          </w:p>
        </w:tc>
        <w:tc>
          <w:tcPr>
            <w:tcW w:w="1482" w:type="dxa"/>
            <w:tcBorders>
              <w:bottom w:val="single" w:color="68942C" w:sz="4" w:space="0"/>
            </w:tcBorders>
          </w:tcPr>
          <w:p w:rsidR="00C31389" w:rsidRDefault="00561FBD" w14:paraId="617F45D2" w14:textId="77777777">
            <w:pPr>
              <w:pStyle w:val="TableParagraph"/>
              <w:spacing w:before="0" w:line="264" w:lineRule="exact"/>
              <w:ind w:left="466"/>
              <w:rPr>
                <w:rFonts w:ascii="Calibri"/>
              </w:rPr>
            </w:pPr>
            <w:r>
              <w:rPr>
                <w:rFonts w:ascii="Calibri"/>
                <w:spacing w:val="-2"/>
              </w:rPr>
              <w:t>89.0%</w:t>
            </w:r>
          </w:p>
        </w:tc>
      </w:tr>
    </w:tbl>
    <w:p w:rsidR="00C31389" w:rsidRDefault="00C31389" w14:paraId="103ACC5D" w14:textId="77777777">
      <w:pPr>
        <w:spacing w:line="264" w:lineRule="exact"/>
        <w:rPr>
          <w:rFonts w:ascii="Calibri"/>
        </w:rPr>
        <w:sectPr w:rsidR="00C31389">
          <w:headerReference w:type="default" r:id="rId308"/>
          <w:footerReference w:type="default" r:id="rId309"/>
          <w:pgSz w:w="11910" w:h="16840"/>
          <w:pgMar w:top="1380" w:right="1020" w:bottom="1120" w:left="960" w:header="397" w:footer="938" w:gutter="0"/>
          <w:cols w:space="720"/>
        </w:sectPr>
      </w:pPr>
    </w:p>
    <w:p w:rsidR="00C31389" w:rsidRDefault="00C31389" w14:paraId="3ABED3A4" w14:textId="77777777">
      <w:pPr>
        <w:pStyle w:val="BodyText"/>
        <w:spacing w:before="9"/>
        <w:rPr>
          <w:b/>
          <w:sz w:val="13"/>
        </w:rPr>
      </w:pPr>
    </w:p>
    <w:p w:rsidR="00C31389" w:rsidRDefault="00561FBD" w14:paraId="45CA1BD6" w14:textId="77777777">
      <w:pPr>
        <w:spacing w:before="95"/>
        <w:ind w:left="1920"/>
        <w:rPr>
          <w:i/>
          <w:sz w:val="18"/>
        </w:rPr>
      </w:pPr>
      <w:r>
        <w:rPr>
          <w:i/>
          <w:sz w:val="18"/>
        </w:rPr>
        <w:t>Source:</w:t>
      </w:r>
      <w:r>
        <w:rPr>
          <w:i/>
          <w:spacing w:val="-4"/>
          <w:sz w:val="18"/>
        </w:rPr>
        <w:t xml:space="preserve"> </w:t>
      </w:r>
      <w:r>
        <w:rPr>
          <w:i/>
          <w:spacing w:val="-2"/>
          <w:sz w:val="18"/>
        </w:rPr>
        <w:t>Guidehouse</w:t>
      </w:r>
    </w:p>
    <w:p w:rsidR="00C31389" w:rsidRDefault="00C31389" w14:paraId="759AB1BD" w14:textId="77777777">
      <w:pPr>
        <w:pStyle w:val="BodyText"/>
        <w:rPr>
          <w:i/>
          <w:sz w:val="20"/>
        </w:rPr>
      </w:pPr>
    </w:p>
    <w:p w:rsidR="00C31389" w:rsidRDefault="00C31389" w14:paraId="4AA18710" w14:textId="77777777">
      <w:pPr>
        <w:pStyle w:val="BodyText"/>
        <w:rPr>
          <w:i/>
          <w:sz w:val="20"/>
        </w:rPr>
      </w:pPr>
    </w:p>
    <w:p w:rsidR="00C31389" w:rsidRDefault="00C31389" w14:paraId="31C73DC4" w14:textId="77777777">
      <w:pPr>
        <w:pStyle w:val="BodyText"/>
        <w:spacing w:before="7"/>
        <w:rPr>
          <w:i/>
          <w:sz w:val="23"/>
        </w:rPr>
      </w:pPr>
    </w:p>
    <w:p w:rsidR="00C31389" w:rsidRDefault="00561FBD" w14:paraId="43995095" w14:textId="77777777">
      <w:pPr>
        <w:pStyle w:val="Heading7"/>
        <w:spacing w:before="1"/>
        <w:ind w:left="1912"/>
      </w:pPr>
      <w:bookmarkStart w:name="_bookmark471" w:id="613"/>
      <w:bookmarkEnd w:id="613"/>
      <w:r>
        <w:t>Figure</w:t>
      </w:r>
      <w:r>
        <w:rPr>
          <w:spacing w:val="-11"/>
        </w:rPr>
        <w:t xml:space="preserve"> </w:t>
      </w:r>
      <w:r>
        <w:t>G-1.</w:t>
      </w:r>
      <w:r>
        <w:rPr>
          <w:spacing w:val="-7"/>
        </w:rPr>
        <w:t xml:space="preserve"> </w:t>
      </w:r>
      <w:r>
        <w:t>Industrial</w:t>
      </w:r>
      <w:r>
        <w:rPr>
          <w:spacing w:val="-9"/>
        </w:rPr>
        <w:t xml:space="preserve"> </w:t>
      </w:r>
      <w:r>
        <w:t>Sector</w:t>
      </w:r>
      <w:r>
        <w:rPr>
          <w:spacing w:val="-9"/>
        </w:rPr>
        <w:t xml:space="preserve"> </w:t>
      </w:r>
      <w:r>
        <w:t>GC</w:t>
      </w:r>
      <w:r>
        <w:rPr>
          <w:spacing w:val="-9"/>
        </w:rPr>
        <w:t xml:space="preserve"> </w:t>
      </w:r>
      <w:r>
        <w:t>Electricity</w:t>
      </w:r>
      <w:r>
        <w:rPr>
          <w:spacing w:val="-8"/>
        </w:rPr>
        <w:t xml:space="preserve"> </w:t>
      </w:r>
      <w:r>
        <w:t>Savings</w:t>
      </w:r>
      <w:r>
        <w:rPr>
          <w:spacing w:val="-8"/>
        </w:rPr>
        <w:t xml:space="preserve"> </w:t>
      </w:r>
      <w:r>
        <w:rPr>
          <w:spacing w:val="-2"/>
        </w:rPr>
        <w:t>Trends</w:t>
      </w:r>
    </w:p>
    <w:p w:rsidR="00C31389" w:rsidRDefault="00561FBD" w14:paraId="6BB54FCC" w14:textId="77777777">
      <w:pPr>
        <w:pStyle w:val="BodyText"/>
        <w:spacing w:before="4"/>
        <w:rPr>
          <w:b/>
          <w:sz w:val="8"/>
        </w:rPr>
      </w:pPr>
      <w:r>
        <w:rPr>
          <w:noProof/>
        </w:rPr>
        <w:drawing>
          <wp:anchor distT="0" distB="0" distL="0" distR="0" simplePos="0" relativeHeight="487736320" behindDoc="1" locked="0" layoutInCell="1" allowOverlap="1" wp14:editId="4CACD19B" wp14:anchorId="0A968D06">
            <wp:simplePos x="0" y="0"/>
            <wp:positionH relativeFrom="page">
              <wp:posOffset>914400</wp:posOffset>
            </wp:positionH>
            <wp:positionV relativeFrom="paragraph">
              <wp:posOffset>76335</wp:posOffset>
            </wp:positionV>
            <wp:extent cx="5746050" cy="2736151"/>
            <wp:effectExtent l="0" t="0" r="0" b="0"/>
            <wp:wrapTopAndBottom/>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310" cstate="print"/>
                    <a:stretch>
                      <a:fillRect/>
                    </a:stretch>
                  </pic:blipFill>
                  <pic:spPr>
                    <a:xfrm>
                      <a:off x="0" y="0"/>
                      <a:ext cx="5746050" cy="2736151"/>
                    </a:xfrm>
                    <a:prstGeom prst="rect">
                      <a:avLst/>
                    </a:prstGeom>
                  </pic:spPr>
                </pic:pic>
              </a:graphicData>
            </a:graphic>
          </wp:anchor>
        </w:drawing>
      </w:r>
    </w:p>
    <w:p w:rsidR="00C31389" w:rsidRDefault="00561FBD" w14:paraId="25C345FD"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4F60BE92" w14:textId="77777777">
      <w:pPr>
        <w:pStyle w:val="BodyText"/>
        <w:rPr>
          <w:i/>
          <w:sz w:val="20"/>
        </w:rPr>
      </w:pPr>
    </w:p>
    <w:p w:rsidR="00C31389" w:rsidRDefault="00C31389" w14:paraId="4D7BC1B4" w14:textId="77777777">
      <w:pPr>
        <w:pStyle w:val="BodyText"/>
        <w:spacing w:before="9"/>
        <w:rPr>
          <w:i/>
        </w:rPr>
      </w:pPr>
    </w:p>
    <w:p w:rsidR="00C31389" w:rsidRDefault="00561FBD" w14:paraId="1FC2E7FD" w14:textId="77777777">
      <w:pPr>
        <w:pStyle w:val="Heading7"/>
        <w:ind w:left="1820"/>
      </w:pPr>
      <w:bookmarkStart w:name="_bookmark472" w:id="614"/>
      <w:bookmarkEnd w:id="614"/>
      <w:r>
        <w:t>Figure</w:t>
      </w:r>
      <w:r>
        <w:rPr>
          <w:spacing w:val="-8"/>
        </w:rPr>
        <w:t xml:space="preserve"> </w:t>
      </w:r>
      <w:r>
        <w:t>G-2.</w:t>
      </w:r>
      <w:r>
        <w:rPr>
          <w:spacing w:val="-6"/>
        </w:rPr>
        <w:t xml:space="preserve"> </w:t>
      </w:r>
      <w:r>
        <w:t>Industrial</w:t>
      </w:r>
      <w:r>
        <w:rPr>
          <w:spacing w:val="-8"/>
        </w:rPr>
        <w:t xml:space="preserve"> </w:t>
      </w:r>
      <w:r>
        <w:t>Sector</w:t>
      </w:r>
      <w:r>
        <w:rPr>
          <w:spacing w:val="-8"/>
        </w:rPr>
        <w:t xml:space="preserve"> </w:t>
      </w:r>
      <w:r>
        <w:t>GC</w:t>
      </w:r>
      <w:r>
        <w:rPr>
          <w:spacing w:val="-6"/>
        </w:rPr>
        <w:t xml:space="preserve"> </w:t>
      </w:r>
      <w:r>
        <w:t>Natural</w:t>
      </w:r>
      <w:r>
        <w:rPr>
          <w:spacing w:val="-8"/>
        </w:rPr>
        <w:t xml:space="preserve"> </w:t>
      </w:r>
      <w:r>
        <w:t>Gas</w:t>
      </w:r>
      <w:r>
        <w:rPr>
          <w:spacing w:val="-6"/>
        </w:rPr>
        <w:t xml:space="preserve"> </w:t>
      </w:r>
      <w:r>
        <w:t>Savings</w:t>
      </w:r>
      <w:r>
        <w:rPr>
          <w:spacing w:val="-8"/>
        </w:rPr>
        <w:t xml:space="preserve"> </w:t>
      </w:r>
      <w:r>
        <w:rPr>
          <w:spacing w:val="-2"/>
        </w:rPr>
        <w:t>Trends</w:t>
      </w:r>
    </w:p>
    <w:p w:rsidR="00C31389" w:rsidRDefault="00561FBD" w14:paraId="134AA756" w14:textId="77777777">
      <w:pPr>
        <w:pStyle w:val="BodyText"/>
        <w:spacing w:before="5"/>
        <w:rPr>
          <w:b/>
          <w:sz w:val="8"/>
        </w:rPr>
      </w:pPr>
      <w:r>
        <w:rPr>
          <w:noProof/>
        </w:rPr>
        <w:drawing>
          <wp:anchor distT="0" distB="0" distL="0" distR="0" simplePos="0" relativeHeight="487736832" behindDoc="1" locked="0" layoutInCell="1" allowOverlap="1" wp14:editId="0C8A3050" wp14:anchorId="1CF20A84">
            <wp:simplePos x="0" y="0"/>
            <wp:positionH relativeFrom="page">
              <wp:posOffset>914400</wp:posOffset>
            </wp:positionH>
            <wp:positionV relativeFrom="paragraph">
              <wp:posOffset>76911</wp:posOffset>
            </wp:positionV>
            <wp:extent cx="5746263" cy="2736151"/>
            <wp:effectExtent l="0" t="0" r="0" b="0"/>
            <wp:wrapTopAndBottom/>
            <wp:docPr id="927" name="Image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311" cstate="print"/>
                    <a:stretch>
                      <a:fillRect/>
                    </a:stretch>
                  </pic:blipFill>
                  <pic:spPr>
                    <a:xfrm>
                      <a:off x="0" y="0"/>
                      <a:ext cx="5746263" cy="2736151"/>
                    </a:xfrm>
                    <a:prstGeom prst="rect">
                      <a:avLst/>
                    </a:prstGeom>
                  </pic:spPr>
                </pic:pic>
              </a:graphicData>
            </a:graphic>
          </wp:anchor>
        </w:drawing>
      </w:r>
    </w:p>
    <w:p w:rsidR="00C31389" w:rsidRDefault="00561FBD" w14:paraId="32023A3A"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1A808E73" w14:textId="77777777">
      <w:pPr>
        <w:rPr>
          <w:sz w:val="18"/>
        </w:rPr>
        <w:sectPr w:rsidR="00C31389">
          <w:headerReference w:type="default" r:id="rId312"/>
          <w:footerReference w:type="default" r:id="rId313"/>
          <w:pgSz w:w="11910" w:h="16840"/>
          <w:pgMar w:top="1660" w:right="1020" w:bottom="1120" w:left="960" w:header="397" w:footer="938" w:gutter="0"/>
          <w:cols w:space="720"/>
        </w:sectPr>
      </w:pPr>
    </w:p>
    <w:p w:rsidR="00C31389" w:rsidRDefault="00C31389" w14:paraId="50E5A147" w14:textId="77777777">
      <w:pPr>
        <w:pStyle w:val="BodyText"/>
        <w:spacing w:before="11"/>
        <w:rPr>
          <w:i/>
          <w:sz w:val="13"/>
        </w:rPr>
      </w:pPr>
    </w:p>
    <w:p w:rsidR="00C31389" w:rsidRDefault="00561FBD" w14:paraId="1468EFEC" w14:textId="77777777">
      <w:pPr>
        <w:pStyle w:val="Heading7"/>
        <w:spacing w:before="92"/>
        <w:ind w:left="398" w:right="340"/>
        <w:jc w:val="center"/>
      </w:pPr>
      <w:bookmarkStart w:name="_bookmark473" w:id="615"/>
      <w:bookmarkEnd w:id="615"/>
      <w:r>
        <w:t>Figure</w:t>
      </w:r>
      <w:r>
        <w:rPr>
          <w:spacing w:val="-9"/>
        </w:rPr>
        <w:t xml:space="preserve"> </w:t>
      </w:r>
      <w:r>
        <w:t>G-3.</w:t>
      </w:r>
      <w:r>
        <w:rPr>
          <w:spacing w:val="-9"/>
        </w:rPr>
        <w:t xml:space="preserve"> </w:t>
      </w:r>
      <w:r>
        <w:t>Agriculture</w:t>
      </w:r>
      <w:r>
        <w:rPr>
          <w:spacing w:val="-8"/>
        </w:rPr>
        <w:t xml:space="preserve"> </w:t>
      </w:r>
      <w:r>
        <w:t>Sector</w:t>
      </w:r>
      <w:r>
        <w:rPr>
          <w:spacing w:val="-9"/>
        </w:rPr>
        <w:t xml:space="preserve"> </w:t>
      </w:r>
      <w:r>
        <w:t>GC</w:t>
      </w:r>
      <w:r>
        <w:rPr>
          <w:spacing w:val="-8"/>
        </w:rPr>
        <w:t xml:space="preserve"> </w:t>
      </w:r>
      <w:r>
        <w:t>Electricity</w:t>
      </w:r>
      <w:r>
        <w:rPr>
          <w:spacing w:val="-9"/>
        </w:rPr>
        <w:t xml:space="preserve"> </w:t>
      </w:r>
      <w:r>
        <w:t>Savings</w:t>
      </w:r>
      <w:r>
        <w:rPr>
          <w:spacing w:val="-9"/>
        </w:rPr>
        <w:t xml:space="preserve"> </w:t>
      </w:r>
      <w:r>
        <w:rPr>
          <w:spacing w:val="-2"/>
        </w:rPr>
        <w:t>Trends</w:t>
      </w:r>
    </w:p>
    <w:p w:rsidR="00C31389" w:rsidRDefault="00561FBD" w14:paraId="18C8DD05" w14:textId="77777777">
      <w:pPr>
        <w:pStyle w:val="BodyText"/>
        <w:spacing w:before="4"/>
        <w:rPr>
          <w:b/>
          <w:sz w:val="8"/>
        </w:rPr>
      </w:pPr>
      <w:r>
        <w:rPr>
          <w:noProof/>
        </w:rPr>
        <w:drawing>
          <wp:anchor distT="0" distB="0" distL="0" distR="0" simplePos="0" relativeHeight="487737344" behindDoc="1" locked="0" layoutInCell="1" allowOverlap="1" wp14:editId="4E621AB0" wp14:anchorId="2C6C360B">
            <wp:simplePos x="0" y="0"/>
            <wp:positionH relativeFrom="page">
              <wp:posOffset>914400</wp:posOffset>
            </wp:positionH>
            <wp:positionV relativeFrom="paragraph">
              <wp:posOffset>76793</wp:posOffset>
            </wp:positionV>
            <wp:extent cx="5764983" cy="2736151"/>
            <wp:effectExtent l="0" t="0" r="0" b="0"/>
            <wp:wrapTopAndBottom/>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314" cstate="print"/>
                    <a:stretch>
                      <a:fillRect/>
                    </a:stretch>
                  </pic:blipFill>
                  <pic:spPr>
                    <a:xfrm>
                      <a:off x="0" y="0"/>
                      <a:ext cx="5764983" cy="2736151"/>
                    </a:xfrm>
                    <a:prstGeom prst="rect">
                      <a:avLst/>
                    </a:prstGeom>
                  </pic:spPr>
                </pic:pic>
              </a:graphicData>
            </a:graphic>
          </wp:anchor>
        </w:drawing>
      </w:r>
    </w:p>
    <w:p w:rsidR="00C31389" w:rsidRDefault="00561FBD" w14:paraId="6CD3C9B4"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13EDE3C6" w14:textId="77777777">
      <w:pPr>
        <w:pStyle w:val="BodyText"/>
        <w:rPr>
          <w:i/>
          <w:sz w:val="20"/>
        </w:rPr>
      </w:pPr>
    </w:p>
    <w:p w:rsidR="00C31389" w:rsidRDefault="00C31389" w14:paraId="2847CD44" w14:textId="77777777">
      <w:pPr>
        <w:pStyle w:val="BodyText"/>
        <w:spacing w:before="9"/>
        <w:rPr>
          <w:i/>
        </w:rPr>
      </w:pPr>
    </w:p>
    <w:p w:rsidR="00C31389" w:rsidRDefault="00561FBD" w14:paraId="659A753B" w14:textId="77777777">
      <w:pPr>
        <w:pStyle w:val="Heading7"/>
        <w:ind w:left="398" w:right="339"/>
        <w:jc w:val="center"/>
      </w:pPr>
      <w:bookmarkStart w:name="_bookmark474" w:id="616"/>
      <w:bookmarkEnd w:id="616"/>
      <w:r>
        <w:t>Figure</w:t>
      </w:r>
      <w:r>
        <w:rPr>
          <w:spacing w:val="-8"/>
        </w:rPr>
        <w:t xml:space="preserve"> </w:t>
      </w:r>
      <w:r>
        <w:t>G-4.</w:t>
      </w:r>
      <w:r>
        <w:rPr>
          <w:spacing w:val="-8"/>
        </w:rPr>
        <w:t xml:space="preserve"> </w:t>
      </w:r>
      <w:r>
        <w:t>Agriculture</w:t>
      </w:r>
      <w:r>
        <w:rPr>
          <w:spacing w:val="-7"/>
        </w:rPr>
        <w:t xml:space="preserve"> </w:t>
      </w:r>
      <w:r>
        <w:t>Sector</w:t>
      </w:r>
      <w:r>
        <w:rPr>
          <w:spacing w:val="-9"/>
        </w:rPr>
        <w:t xml:space="preserve"> </w:t>
      </w:r>
      <w:r>
        <w:t>GC</w:t>
      </w:r>
      <w:r>
        <w:rPr>
          <w:spacing w:val="-7"/>
        </w:rPr>
        <w:t xml:space="preserve"> </w:t>
      </w:r>
      <w:r>
        <w:t>Natural</w:t>
      </w:r>
      <w:r>
        <w:rPr>
          <w:spacing w:val="-8"/>
        </w:rPr>
        <w:t xml:space="preserve"> </w:t>
      </w:r>
      <w:r>
        <w:t>Gas</w:t>
      </w:r>
      <w:r>
        <w:rPr>
          <w:spacing w:val="-8"/>
        </w:rPr>
        <w:t xml:space="preserve"> </w:t>
      </w:r>
      <w:r>
        <w:t>Savings</w:t>
      </w:r>
      <w:r>
        <w:rPr>
          <w:spacing w:val="-8"/>
        </w:rPr>
        <w:t xml:space="preserve"> </w:t>
      </w:r>
      <w:r>
        <w:rPr>
          <w:spacing w:val="-2"/>
        </w:rPr>
        <w:t>Trends</w:t>
      </w:r>
    </w:p>
    <w:p w:rsidR="00C31389" w:rsidRDefault="00561FBD" w14:paraId="719035DE" w14:textId="77777777">
      <w:pPr>
        <w:pStyle w:val="BodyText"/>
        <w:spacing w:before="4"/>
        <w:rPr>
          <w:b/>
          <w:sz w:val="8"/>
        </w:rPr>
      </w:pPr>
      <w:r>
        <w:rPr>
          <w:noProof/>
        </w:rPr>
        <w:drawing>
          <wp:anchor distT="0" distB="0" distL="0" distR="0" simplePos="0" relativeHeight="487737856" behindDoc="1" locked="0" layoutInCell="1" allowOverlap="1" wp14:editId="2A01987E" wp14:anchorId="24A6B1D9">
            <wp:simplePos x="0" y="0"/>
            <wp:positionH relativeFrom="page">
              <wp:posOffset>914400</wp:posOffset>
            </wp:positionH>
            <wp:positionV relativeFrom="paragraph">
              <wp:posOffset>76822</wp:posOffset>
            </wp:positionV>
            <wp:extent cx="5786195" cy="2751296"/>
            <wp:effectExtent l="0" t="0" r="0" b="0"/>
            <wp:wrapTopAndBottom/>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315" cstate="print"/>
                    <a:stretch>
                      <a:fillRect/>
                    </a:stretch>
                  </pic:blipFill>
                  <pic:spPr>
                    <a:xfrm>
                      <a:off x="0" y="0"/>
                      <a:ext cx="5786195" cy="2751296"/>
                    </a:xfrm>
                    <a:prstGeom prst="rect">
                      <a:avLst/>
                    </a:prstGeom>
                  </pic:spPr>
                </pic:pic>
              </a:graphicData>
            </a:graphic>
          </wp:anchor>
        </w:drawing>
      </w:r>
    </w:p>
    <w:p w:rsidR="00C31389" w:rsidRDefault="00561FBD" w14:paraId="446F72E5" w14:textId="77777777">
      <w:pPr>
        <w:spacing w:before="47"/>
        <w:ind w:left="480"/>
        <w:rPr>
          <w:i/>
          <w:sz w:val="18"/>
        </w:rPr>
      </w:pPr>
      <w:r>
        <w:rPr>
          <w:i/>
          <w:sz w:val="18"/>
        </w:rPr>
        <w:t>Source:</w:t>
      </w:r>
      <w:r>
        <w:rPr>
          <w:i/>
          <w:spacing w:val="-4"/>
          <w:sz w:val="18"/>
        </w:rPr>
        <w:t xml:space="preserve"> </w:t>
      </w:r>
      <w:r>
        <w:rPr>
          <w:i/>
          <w:spacing w:val="-2"/>
          <w:sz w:val="18"/>
        </w:rPr>
        <w:t>Guidehouse</w:t>
      </w:r>
    </w:p>
    <w:p w:rsidR="00C31389" w:rsidRDefault="00C31389" w14:paraId="02978EBE" w14:textId="77777777">
      <w:pPr>
        <w:pStyle w:val="BodyText"/>
        <w:rPr>
          <w:i/>
          <w:sz w:val="20"/>
        </w:rPr>
      </w:pPr>
    </w:p>
    <w:p w:rsidR="00C31389" w:rsidRDefault="00561FBD" w14:paraId="0B4BB072" w14:textId="77777777">
      <w:pPr>
        <w:pStyle w:val="ListParagraph"/>
        <w:numPr>
          <w:ilvl w:val="2"/>
          <w:numId w:val="13"/>
        </w:numPr>
        <w:tabs>
          <w:tab w:val="left" w:pos="1197"/>
        </w:tabs>
        <w:spacing w:before="130"/>
        <w:ind w:left="1197" w:hanging="717"/>
        <w:rPr>
          <w:b/>
          <w:sz w:val="24"/>
        </w:rPr>
      </w:pPr>
      <w:bookmarkStart w:name="G.1.3_Applicability_and_Penetration_Rate" w:id="617"/>
      <w:bookmarkStart w:name="_bookmark475" w:id="618"/>
      <w:bookmarkEnd w:id="617"/>
      <w:bookmarkEnd w:id="618"/>
      <w:r>
        <w:rPr>
          <w:b/>
          <w:sz w:val="24"/>
        </w:rPr>
        <w:t>Applicability</w:t>
      </w:r>
      <w:r>
        <w:rPr>
          <w:b/>
          <w:spacing w:val="-5"/>
          <w:sz w:val="24"/>
        </w:rPr>
        <w:t xml:space="preserve"> </w:t>
      </w:r>
      <w:r>
        <w:rPr>
          <w:b/>
          <w:sz w:val="24"/>
        </w:rPr>
        <w:t>and</w:t>
      </w:r>
      <w:r>
        <w:rPr>
          <w:b/>
          <w:spacing w:val="-5"/>
          <w:sz w:val="24"/>
        </w:rPr>
        <w:t xml:space="preserve"> </w:t>
      </w:r>
      <w:r>
        <w:rPr>
          <w:b/>
          <w:sz w:val="24"/>
        </w:rPr>
        <w:t>Penetration</w:t>
      </w:r>
      <w:r>
        <w:rPr>
          <w:b/>
          <w:spacing w:val="-5"/>
          <w:sz w:val="24"/>
        </w:rPr>
        <w:t xml:space="preserve"> </w:t>
      </w:r>
      <w:r>
        <w:rPr>
          <w:b/>
          <w:spacing w:val="-4"/>
          <w:sz w:val="24"/>
        </w:rPr>
        <w:t>Rate</w:t>
      </w:r>
    </w:p>
    <w:p w:rsidR="00C31389" w:rsidRDefault="00C31389" w14:paraId="71BCB957" w14:textId="77777777">
      <w:pPr>
        <w:pStyle w:val="BodyText"/>
        <w:spacing w:before="2"/>
        <w:rPr>
          <w:b/>
          <w:sz w:val="23"/>
        </w:rPr>
      </w:pPr>
    </w:p>
    <w:p w:rsidR="00C31389" w:rsidRDefault="00561FBD" w14:paraId="701F2AB7" w14:textId="77777777">
      <w:pPr>
        <w:pStyle w:val="BodyText"/>
        <w:spacing w:before="1"/>
        <w:ind w:left="479" w:right="418"/>
      </w:pPr>
      <w:r>
        <w:t>Applicability</w:t>
      </w:r>
      <w:r>
        <w:rPr>
          <w:spacing w:val="-4"/>
        </w:rPr>
        <w:t xml:space="preserve"> </w:t>
      </w:r>
      <w:r>
        <w:t>of</w:t>
      </w:r>
      <w:r>
        <w:rPr>
          <w:spacing w:val="-3"/>
        </w:rPr>
        <w:t xml:space="preserve"> </w:t>
      </w:r>
      <w:r>
        <w:t>GC</w:t>
      </w:r>
      <w:r>
        <w:rPr>
          <w:spacing w:val="-4"/>
        </w:rPr>
        <w:t xml:space="preserve"> </w:t>
      </w:r>
      <w:r>
        <w:t>measures</w:t>
      </w:r>
      <w:r>
        <w:rPr>
          <w:spacing w:val="-3"/>
        </w:rPr>
        <w:t xml:space="preserve"> </w:t>
      </w:r>
      <w:r>
        <w:t>in</w:t>
      </w:r>
      <w:r>
        <w:rPr>
          <w:spacing w:val="-3"/>
        </w:rPr>
        <w:t xml:space="preserve"> </w:t>
      </w:r>
      <w:r>
        <w:t>the</w:t>
      </w:r>
      <w:r>
        <w:rPr>
          <w:spacing w:val="-3"/>
        </w:rPr>
        <w:t xml:space="preserve"> </w:t>
      </w:r>
      <w:r>
        <w:t>industrial</w:t>
      </w:r>
      <w:r>
        <w:rPr>
          <w:spacing w:val="-3"/>
        </w:rPr>
        <w:t xml:space="preserve"> </w:t>
      </w:r>
      <w:r>
        <w:t>and</w:t>
      </w:r>
      <w:r>
        <w:rPr>
          <w:spacing w:val="-3"/>
        </w:rPr>
        <w:t xml:space="preserve"> </w:t>
      </w:r>
      <w:r>
        <w:t>agriculture</w:t>
      </w:r>
      <w:r>
        <w:rPr>
          <w:spacing w:val="-3"/>
        </w:rPr>
        <w:t xml:space="preserve"> </w:t>
      </w:r>
      <w:r>
        <w:t>sectors</w:t>
      </w:r>
      <w:r>
        <w:rPr>
          <w:spacing w:val="-4"/>
        </w:rPr>
        <w:t xml:space="preserve"> </w:t>
      </w:r>
      <w:r>
        <w:t>is</w:t>
      </w:r>
      <w:r>
        <w:rPr>
          <w:spacing w:val="-3"/>
        </w:rPr>
        <w:t xml:space="preserve"> </w:t>
      </w:r>
      <w:r>
        <w:t>100%</w:t>
      </w:r>
      <w:r>
        <w:rPr>
          <w:spacing w:val="-3"/>
        </w:rPr>
        <w:t xml:space="preserve"> </w:t>
      </w:r>
      <w:r>
        <w:t>because</w:t>
      </w:r>
      <w:r>
        <w:rPr>
          <w:spacing w:val="-3"/>
        </w:rPr>
        <w:t xml:space="preserve"> </w:t>
      </w:r>
      <w:r>
        <w:t xml:space="preserve">these measures are considered ubiquitous to all types of </w:t>
      </w:r>
      <w:r>
        <w:t>production processes in all industrial and agriculture</w:t>
      </w:r>
      <w:r>
        <w:rPr>
          <w:spacing w:val="-1"/>
        </w:rPr>
        <w:t xml:space="preserve"> </w:t>
      </w:r>
      <w:r>
        <w:t>market segments. These measures saturate over time and to account for</w:t>
      </w:r>
      <w:r>
        <w:rPr>
          <w:spacing w:val="-2"/>
        </w:rPr>
        <w:t xml:space="preserve"> </w:t>
      </w:r>
      <w:r>
        <w:t xml:space="preserve">this the forecast uses an annual penetration rate to decrease the overall size of the market for GC measures. The penetration rate </w:t>
      </w:r>
      <w:r>
        <w:t xml:space="preserve">in the 2023 Study uses a compound annual decline rate of 4.2% for the reference case and this produced a declining forecast where GC savings potential in 2035 would be 52.5% of savings potential in 2020, the base year for the GC </w:t>
      </w:r>
      <w:r>
        <w:rPr>
          <w:spacing w:val="-2"/>
        </w:rPr>
        <w:t>forecast.</w:t>
      </w:r>
    </w:p>
    <w:p w:rsidR="00C31389" w:rsidRDefault="00C31389" w14:paraId="76B6A397" w14:textId="77777777">
      <w:pPr>
        <w:sectPr w:rsidR="00C31389">
          <w:pgSz w:w="11910" w:h="16840"/>
          <w:pgMar w:top="1660" w:right="1020" w:bottom="1120" w:left="960" w:header="397" w:footer="938" w:gutter="0"/>
          <w:cols w:space="720"/>
        </w:sectPr>
      </w:pPr>
    </w:p>
    <w:p w:rsidR="00C31389" w:rsidRDefault="00C31389" w14:paraId="57AED476" w14:textId="77777777">
      <w:pPr>
        <w:pStyle w:val="BodyText"/>
        <w:spacing w:before="11"/>
        <w:rPr>
          <w:sz w:val="13"/>
        </w:rPr>
      </w:pPr>
    </w:p>
    <w:p w:rsidR="00C31389" w:rsidRDefault="00561FBD" w14:paraId="69198F67" w14:textId="77777777">
      <w:pPr>
        <w:pStyle w:val="BodyText"/>
        <w:spacing w:before="92"/>
        <w:ind w:left="479" w:right="462"/>
      </w:pPr>
      <w:r>
        <w:t>The calculation for industrial and agriculture segment-level EE annual GC savings potential is</w:t>
      </w:r>
      <w:r>
        <w:rPr>
          <w:spacing w:val="-3"/>
        </w:rPr>
        <w:t xml:space="preserve"> </w:t>
      </w:r>
      <w:r>
        <w:t>provided</w:t>
      </w:r>
      <w:r>
        <w:rPr>
          <w:spacing w:val="-4"/>
        </w:rPr>
        <w:t xml:space="preserve"> </w:t>
      </w:r>
      <w:r>
        <w:t>in</w:t>
      </w:r>
      <w:r>
        <w:rPr>
          <w:spacing w:val="-3"/>
        </w:rPr>
        <w:t xml:space="preserve"> </w:t>
      </w:r>
      <w:hyperlink w:history="1" w:anchor="_bookmark476">
        <w:r>
          <w:t>Equation</w:t>
        </w:r>
        <w:r>
          <w:rPr>
            <w:spacing w:val="-3"/>
          </w:rPr>
          <w:t xml:space="preserve"> </w:t>
        </w:r>
        <w:r>
          <w:t>G-1</w:t>
        </w:r>
      </w:hyperlink>
      <w:r>
        <w:t>.</w:t>
      </w:r>
      <w:r>
        <w:rPr>
          <w:spacing w:val="-3"/>
        </w:rPr>
        <w:t xml:space="preserve"> </w:t>
      </w:r>
      <w:r>
        <w:t>The</w:t>
      </w:r>
      <w:r>
        <w:rPr>
          <w:spacing w:val="-3"/>
        </w:rPr>
        <w:t xml:space="preserve"> </w:t>
      </w:r>
      <w:r>
        <w:t>savings</w:t>
      </w:r>
      <w:r>
        <w:rPr>
          <w:spacing w:val="-3"/>
        </w:rPr>
        <w:t xml:space="preserve"> </w:t>
      </w:r>
      <w:r>
        <w:t>rate</w:t>
      </w:r>
      <w:r>
        <w:rPr>
          <w:spacing w:val="-3"/>
        </w:rPr>
        <w:t xml:space="preserve"> </w:t>
      </w:r>
      <w:r>
        <w:t>multiplier</w:t>
      </w:r>
      <w:r>
        <w:rPr>
          <w:spacing w:val="-5"/>
        </w:rPr>
        <w:t xml:space="preserve"> </w:t>
      </w:r>
      <w:r>
        <w:t>is</w:t>
      </w:r>
      <w:r>
        <w:rPr>
          <w:spacing w:val="-3"/>
        </w:rPr>
        <w:t xml:space="preserve"> </w:t>
      </w:r>
      <w:r>
        <w:t>applied</w:t>
      </w:r>
      <w:r>
        <w:rPr>
          <w:spacing w:val="-3"/>
        </w:rPr>
        <w:t xml:space="preserve"> </w:t>
      </w:r>
      <w:r>
        <w:t>to</w:t>
      </w:r>
      <w:r>
        <w:rPr>
          <w:spacing w:val="-3"/>
        </w:rPr>
        <w:t xml:space="preserve"> </w:t>
      </w:r>
      <w:r>
        <w:t>the</w:t>
      </w:r>
      <w:r>
        <w:rPr>
          <w:spacing w:val="-4"/>
        </w:rPr>
        <w:t xml:space="preserve"> </w:t>
      </w:r>
      <w:r>
        <w:t>annual</w:t>
      </w:r>
      <w:r>
        <w:rPr>
          <w:spacing w:val="-3"/>
        </w:rPr>
        <w:t xml:space="preserve"> </w:t>
      </w:r>
      <w:r>
        <w:t>consumption forecast at the market segment level (e.g., chemicals, plastics, industrial machinery, paper, etc.) and is held constant throughout the forecast horizon.</w:t>
      </w:r>
    </w:p>
    <w:p w:rsidR="00C31389" w:rsidRDefault="00C31389" w14:paraId="149F48C6" w14:textId="77777777">
      <w:pPr>
        <w:pStyle w:val="BodyText"/>
        <w:spacing w:before="10"/>
        <w:rPr>
          <w:sz w:val="20"/>
        </w:rPr>
      </w:pPr>
    </w:p>
    <w:p w:rsidR="00C31389" w:rsidRDefault="00561FBD" w14:paraId="3DB78C0D" w14:textId="77777777">
      <w:pPr>
        <w:pStyle w:val="Heading7"/>
        <w:ind w:left="398" w:right="339"/>
        <w:jc w:val="center"/>
      </w:pPr>
      <w:bookmarkStart w:name="_bookmark476" w:id="619"/>
      <w:bookmarkEnd w:id="619"/>
      <w:r>
        <w:t>Equation</w:t>
      </w:r>
      <w:r>
        <w:rPr>
          <w:spacing w:val="-8"/>
        </w:rPr>
        <w:t xml:space="preserve"> </w:t>
      </w:r>
      <w:r>
        <w:t>G-1.</w:t>
      </w:r>
      <w:r>
        <w:rPr>
          <w:spacing w:val="-8"/>
        </w:rPr>
        <w:t xml:space="preserve"> </w:t>
      </w:r>
      <w:r>
        <w:t>GC</w:t>
      </w:r>
      <w:r>
        <w:rPr>
          <w:spacing w:val="-9"/>
        </w:rPr>
        <w:t xml:space="preserve"> </w:t>
      </w:r>
      <w:r>
        <w:t>Segment</w:t>
      </w:r>
      <w:r>
        <w:rPr>
          <w:spacing w:val="-7"/>
        </w:rPr>
        <w:t xml:space="preserve"> </w:t>
      </w:r>
      <w:r>
        <w:t>Savings</w:t>
      </w:r>
      <w:r>
        <w:rPr>
          <w:spacing w:val="-8"/>
        </w:rPr>
        <w:t xml:space="preserve"> </w:t>
      </w:r>
      <w:r>
        <w:rPr>
          <w:spacing w:val="-2"/>
        </w:rPr>
        <w:t>Potential</w:t>
      </w:r>
    </w:p>
    <w:p w:rsidR="00C31389" w:rsidRDefault="00561FBD" w14:paraId="4584AA6F" w14:textId="77777777">
      <w:pPr>
        <w:pStyle w:val="Heading6"/>
        <w:spacing w:before="111"/>
      </w:pPr>
      <w:r>
        <w:rPr>
          <w:spacing w:val="-2"/>
        </w:rPr>
        <w:t>GC</w:t>
      </w:r>
      <w:r>
        <w:rPr>
          <w:spacing w:val="-10"/>
        </w:rPr>
        <w:t xml:space="preserve"> </w:t>
      </w:r>
      <w:r>
        <w:rPr>
          <w:spacing w:val="-2"/>
        </w:rPr>
        <w:t>Segment-Level</w:t>
      </w:r>
      <w:r>
        <w:rPr>
          <w:spacing w:val="-9"/>
        </w:rPr>
        <w:t xml:space="preserve"> </w:t>
      </w:r>
      <w:r>
        <w:rPr>
          <w:spacing w:val="-2"/>
        </w:rPr>
        <w:t>EE</w:t>
      </w:r>
      <w:r>
        <w:rPr>
          <w:spacing w:val="-9"/>
        </w:rPr>
        <w:t xml:space="preserve"> </w:t>
      </w:r>
      <w:r>
        <w:rPr>
          <w:spacing w:val="-2"/>
        </w:rPr>
        <w:t>Annual</w:t>
      </w:r>
      <w:r>
        <w:rPr>
          <w:spacing w:val="-9"/>
        </w:rPr>
        <w:t xml:space="preserve"> </w:t>
      </w:r>
      <w:r>
        <w:rPr>
          <w:spacing w:val="-2"/>
        </w:rPr>
        <w:t>Savings</w:t>
      </w:r>
      <w:r>
        <w:rPr>
          <w:spacing w:val="-8"/>
        </w:rPr>
        <w:t xml:space="preserve"> </w:t>
      </w:r>
      <w:r>
        <w:rPr>
          <w:spacing w:val="-2"/>
        </w:rPr>
        <w:t>Potential</w:t>
      </w:r>
      <w:r>
        <w:rPr>
          <w:spacing w:val="-9"/>
        </w:rPr>
        <w:t xml:space="preserve"> </w:t>
      </w:r>
      <w:r>
        <w:rPr>
          <w:spacing w:val="-10"/>
        </w:rPr>
        <w:t>=</w:t>
      </w:r>
    </w:p>
    <w:p w:rsidR="00C31389" w:rsidRDefault="00561FBD" w14:paraId="0D8B4AC1" w14:textId="77777777">
      <w:pPr>
        <w:pStyle w:val="Heading6"/>
        <w:spacing w:before="108"/>
        <w:rPr>
          <w:rFonts w:ascii="Arial"/>
        </w:rPr>
      </w:pPr>
      <w:r>
        <w:rPr>
          <w:spacing w:val="-2"/>
        </w:rPr>
        <w:t>GC</w:t>
      </w:r>
      <w:r>
        <w:rPr>
          <w:spacing w:val="-8"/>
        </w:rPr>
        <w:t xml:space="preserve"> </w:t>
      </w:r>
      <w:r>
        <w:rPr>
          <w:spacing w:val="-2"/>
        </w:rPr>
        <w:t>Savings</w:t>
      </w:r>
      <w:r>
        <w:rPr>
          <w:spacing w:val="-8"/>
        </w:rPr>
        <w:t xml:space="preserve"> </w:t>
      </w:r>
      <w:r>
        <w:rPr>
          <w:spacing w:val="-2"/>
        </w:rPr>
        <w:t>Rate</w:t>
      </w:r>
      <w:r>
        <w:rPr>
          <w:spacing w:val="-6"/>
        </w:rPr>
        <w:t xml:space="preserve"> </w:t>
      </w:r>
      <w:r>
        <w:rPr>
          <w:spacing w:val="-2"/>
        </w:rPr>
        <w:t>Multiplier</w:t>
      </w:r>
      <w:r>
        <w:rPr>
          <w:spacing w:val="-8"/>
        </w:rPr>
        <w:t xml:space="preserve"> </w:t>
      </w:r>
      <w:r>
        <w:rPr>
          <w:spacing w:val="-2"/>
        </w:rPr>
        <w:t>x</w:t>
      </w:r>
      <w:r>
        <w:rPr>
          <w:spacing w:val="-7"/>
        </w:rPr>
        <w:t xml:space="preserve"> </w:t>
      </w:r>
      <w:r>
        <w:rPr>
          <w:spacing w:val="-2"/>
        </w:rPr>
        <w:t>Annual</w:t>
      </w:r>
      <w:r>
        <w:rPr>
          <w:spacing w:val="-7"/>
        </w:rPr>
        <w:t xml:space="preserve"> </w:t>
      </w:r>
      <w:r>
        <w:rPr>
          <w:spacing w:val="-2"/>
        </w:rPr>
        <w:t>Segment</w:t>
      </w:r>
      <w:r>
        <w:rPr>
          <w:spacing w:val="-7"/>
        </w:rPr>
        <w:t xml:space="preserve"> </w:t>
      </w:r>
      <w:r>
        <w:rPr>
          <w:spacing w:val="-2"/>
        </w:rPr>
        <w:t>Consumption</w:t>
      </w:r>
      <w:r>
        <w:rPr>
          <w:spacing w:val="-7"/>
        </w:rPr>
        <w:t xml:space="preserve"> </w:t>
      </w:r>
      <w:r>
        <w:rPr>
          <w:spacing w:val="-2"/>
        </w:rPr>
        <w:t>x</w:t>
      </w:r>
      <w:r>
        <w:rPr>
          <w:spacing w:val="-6"/>
        </w:rPr>
        <w:t xml:space="preserve"> </w:t>
      </w:r>
      <w:r>
        <w:rPr>
          <w:spacing w:val="-2"/>
        </w:rPr>
        <w:t>Penetration</w:t>
      </w:r>
      <w:r>
        <w:rPr>
          <w:spacing w:val="-9"/>
        </w:rPr>
        <w:t xml:space="preserve"> </w:t>
      </w:r>
      <w:r>
        <w:rPr>
          <w:spacing w:val="-2"/>
        </w:rPr>
        <w:t>Rate</w:t>
      </w:r>
      <w:hyperlink w:history="1" w:anchor="_bookmark481">
        <w:r>
          <w:rPr>
            <w:rFonts w:ascii="Arial"/>
            <w:spacing w:val="-2"/>
            <w:vertAlign w:val="superscript"/>
          </w:rPr>
          <w:t>183</w:t>
        </w:r>
      </w:hyperlink>
    </w:p>
    <w:p w:rsidR="00C31389" w:rsidRDefault="00C31389" w14:paraId="33BF8D34" w14:textId="77777777">
      <w:pPr>
        <w:pStyle w:val="BodyText"/>
        <w:rPr>
          <w:i/>
          <w:sz w:val="24"/>
        </w:rPr>
      </w:pPr>
    </w:p>
    <w:p w:rsidR="00C31389" w:rsidRDefault="00561FBD" w14:paraId="5698DB7B" w14:textId="77777777">
      <w:pPr>
        <w:pStyle w:val="Heading7"/>
        <w:spacing w:before="215"/>
        <w:ind w:left="398" w:right="340"/>
        <w:jc w:val="center"/>
      </w:pPr>
      <w:bookmarkStart w:name="_bookmark477" w:id="620"/>
      <w:bookmarkEnd w:id="620"/>
      <w:r>
        <w:t>Figure</w:t>
      </w:r>
      <w:r>
        <w:rPr>
          <w:spacing w:val="-9"/>
        </w:rPr>
        <w:t xml:space="preserve"> </w:t>
      </w:r>
      <w:r>
        <w:t>G-5.</w:t>
      </w:r>
      <w:r>
        <w:rPr>
          <w:spacing w:val="-7"/>
        </w:rPr>
        <w:t xml:space="preserve"> </w:t>
      </w:r>
      <w:r>
        <w:t>Reference</w:t>
      </w:r>
      <w:r>
        <w:rPr>
          <w:spacing w:val="-8"/>
        </w:rPr>
        <w:t xml:space="preserve"> </w:t>
      </w:r>
      <w:r>
        <w:t>Case</w:t>
      </w:r>
      <w:r>
        <w:rPr>
          <w:spacing w:val="-8"/>
        </w:rPr>
        <w:t xml:space="preserve"> </w:t>
      </w:r>
      <w:r>
        <w:rPr>
          <w:spacing w:val="-2"/>
        </w:rPr>
        <w:t>Penetration</w:t>
      </w:r>
    </w:p>
    <w:p w:rsidR="00C31389" w:rsidRDefault="00561FBD" w14:paraId="4128E47C" w14:textId="77777777">
      <w:pPr>
        <w:pStyle w:val="BodyText"/>
        <w:spacing w:before="4"/>
        <w:rPr>
          <w:b/>
          <w:sz w:val="8"/>
        </w:rPr>
      </w:pPr>
      <w:r>
        <w:rPr>
          <w:noProof/>
        </w:rPr>
        <w:drawing>
          <wp:anchor distT="0" distB="0" distL="0" distR="0" simplePos="0" relativeHeight="487738368" behindDoc="1" locked="0" layoutInCell="1" allowOverlap="1" wp14:editId="37CC6EE9" wp14:anchorId="1A43D844">
            <wp:simplePos x="0" y="0"/>
            <wp:positionH relativeFrom="page">
              <wp:posOffset>914400</wp:posOffset>
            </wp:positionH>
            <wp:positionV relativeFrom="paragraph">
              <wp:posOffset>76706</wp:posOffset>
            </wp:positionV>
            <wp:extent cx="5468317" cy="2755392"/>
            <wp:effectExtent l="0" t="0" r="0" b="0"/>
            <wp:wrapTopAndBottom/>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316" cstate="print"/>
                    <a:stretch>
                      <a:fillRect/>
                    </a:stretch>
                  </pic:blipFill>
                  <pic:spPr>
                    <a:xfrm>
                      <a:off x="0" y="0"/>
                      <a:ext cx="5468317" cy="2755392"/>
                    </a:xfrm>
                    <a:prstGeom prst="rect">
                      <a:avLst/>
                    </a:prstGeom>
                  </pic:spPr>
                </pic:pic>
              </a:graphicData>
            </a:graphic>
          </wp:anchor>
        </w:drawing>
      </w:r>
    </w:p>
    <w:p w:rsidR="00C31389" w:rsidRDefault="00561FBD" w14:paraId="58D24AFA"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1693422C" w14:textId="77777777">
      <w:pPr>
        <w:pStyle w:val="BodyText"/>
        <w:spacing w:before="9"/>
        <w:rPr>
          <w:i/>
          <w:sz w:val="20"/>
        </w:rPr>
      </w:pPr>
    </w:p>
    <w:p w:rsidR="00C31389" w:rsidRDefault="00561FBD" w14:paraId="2A5E544C" w14:textId="77777777">
      <w:pPr>
        <w:pStyle w:val="ListParagraph"/>
        <w:numPr>
          <w:ilvl w:val="2"/>
          <w:numId w:val="13"/>
        </w:numPr>
        <w:tabs>
          <w:tab w:val="left" w:pos="1197"/>
        </w:tabs>
        <w:ind w:left="1197" w:hanging="717"/>
        <w:rPr>
          <w:b/>
          <w:sz w:val="24"/>
        </w:rPr>
      </w:pPr>
      <w:bookmarkStart w:name="G.1.4_Other_Input_Assumptions_and_Observ" w:id="621"/>
      <w:bookmarkStart w:name="_bookmark478" w:id="622"/>
      <w:bookmarkEnd w:id="621"/>
      <w:bookmarkEnd w:id="622"/>
      <w:r>
        <w:rPr>
          <w:b/>
          <w:sz w:val="24"/>
        </w:rPr>
        <w:t>Other</w:t>
      </w:r>
      <w:r>
        <w:rPr>
          <w:b/>
          <w:spacing w:val="-4"/>
          <w:sz w:val="24"/>
        </w:rPr>
        <w:t xml:space="preserve"> </w:t>
      </w:r>
      <w:r>
        <w:rPr>
          <w:b/>
          <w:sz w:val="24"/>
        </w:rPr>
        <w:t>Input</w:t>
      </w:r>
      <w:r>
        <w:rPr>
          <w:b/>
          <w:spacing w:val="-3"/>
          <w:sz w:val="24"/>
        </w:rPr>
        <w:t xml:space="preserve"> </w:t>
      </w:r>
      <w:r>
        <w:rPr>
          <w:b/>
          <w:sz w:val="24"/>
        </w:rPr>
        <w:t>Assumptions</w:t>
      </w:r>
      <w:r>
        <w:rPr>
          <w:b/>
          <w:spacing w:val="-4"/>
          <w:sz w:val="24"/>
        </w:rPr>
        <w:t xml:space="preserve"> </w:t>
      </w:r>
      <w:r>
        <w:rPr>
          <w:b/>
          <w:sz w:val="24"/>
        </w:rPr>
        <w:t>and</w:t>
      </w:r>
      <w:r>
        <w:rPr>
          <w:b/>
          <w:spacing w:val="-3"/>
          <w:sz w:val="24"/>
        </w:rPr>
        <w:t xml:space="preserve"> </w:t>
      </w:r>
      <w:r>
        <w:rPr>
          <w:b/>
          <w:spacing w:val="-2"/>
          <w:sz w:val="24"/>
        </w:rPr>
        <w:t>Observations</w:t>
      </w:r>
    </w:p>
    <w:p w:rsidR="00C31389" w:rsidRDefault="00C31389" w14:paraId="7FD4B7EE" w14:textId="77777777">
      <w:pPr>
        <w:pStyle w:val="BodyText"/>
        <w:spacing w:before="10"/>
        <w:rPr>
          <w:b/>
          <w:sz w:val="20"/>
        </w:rPr>
      </w:pPr>
    </w:p>
    <w:p w:rsidR="00C31389" w:rsidRDefault="00561FBD" w14:paraId="1EA11AE0" w14:textId="77777777">
      <w:pPr>
        <w:pStyle w:val="BodyText"/>
        <w:ind w:left="480" w:right="418"/>
      </w:pPr>
      <w:r>
        <w:t>As</w:t>
      </w:r>
      <w:r>
        <w:rPr>
          <w:spacing w:val="-2"/>
        </w:rPr>
        <w:t xml:space="preserve"> </w:t>
      </w:r>
      <w:r>
        <w:t>stated</w:t>
      </w:r>
      <w:r>
        <w:rPr>
          <w:spacing w:val="-2"/>
        </w:rPr>
        <w:t xml:space="preserve"> </w:t>
      </w:r>
      <w:r>
        <w:t>in</w:t>
      </w:r>
      <w:r>
        <w:rPr>
          <w:spacing w:val="-3"/>
        </w:rPr>
        <w:t xml:space="preserve"> </w:t>
      </w:r>
      <w:r>
        <w:t>the</w:t>
      </w:r>
      <w:r>
        <w:rPr>
          <w:spacing w:val="-2"/>
        </w:rPr>
        <w:t xml:space="preserve"> </w:t>
      </w:r>
      <w:r>
        <w:t>2021</w:t>
      </w:r>
      <w:r>
        <w:rPr>
          <w:spacing w:val="-2"/>
        </w:rPr>
        <w:t xml:space="preserve"> </w:t>
      </w:r>
      <w:r>
        <w:t>report,</w:t>
      </w:r>
      <w:r>
        <w:rPr>
          <w:spacing w:val="-2"/>
        </w:rPr>
        <w:t xml:space="preserve"> </w:t>
      </w:r>
      <w:r>
        <w:t>GC</w:t>
      </w:r>
      <w:r>
        <w:rPr>
          <w:spacing w:val="-3"/>
        </w:rPr>
        <w:t xml:space="preserve"> </w:t>
      </w:r>
      <w:r>
        <w:t>measures</w:t>
      </w:r>
      <w:r>
        <w:rPr>
          <w:spacing w:val="-2"/>
        </w:rPr>
        <w:t xml:space="preserve"> </w:t>
      </w:r>
      <w:r>
        <w:t>tend</w:t>
      </w:r>
      <w:r>
        <w:rPr>
          <w:spacing w:val="-3"/>
        </w:rPr>
        <w:t xml:space="preserve"> </w:t>
      </w:r>
      <w:r>
        <w:t>to</w:t>
      </w:r>
      <w:r>
        <w:rPr>
          <w:spacing w:val="-2"/>
        </w:rPr>
        <w:t xml:space="preserve"> </w:t>
      </w:r>
      <w:r>
        <w:t>be</w:t>
      </w:r>
      <w:r>
        <w:rPr>
          <w:spacing w:val="-2"/>
        </w:rPr>
        <w:t xml:space="preserve"> </w:t>
      </w:r>
      <w:r>
        <w:t>larger</w:t>
      </w:r>
      <w:r>
        <w:rPr>
          <w:spacing w:val="-4"/>
        </w:rPr>
        <w:t xml:space="preserve"> </w:t>
      </w:r>
      <w:r>
        <w:t>capital</w:t>
      </w:r>
      <w:r>
        <w:rPr>
          <w:spacing w:val="-2"/>
        </w:rPr>
        <w:t xml:space="preserve"> </w:t>
      </w:r>
      <w:r>
        <w:t>investments</w:t>
      </w:r>
      <w:r>
        <w:rPr>
          <w:spacing w:val="-2"/>
        </w:rPr>
        <w:t xml:space="preserve"> </w:t>
      </w:r>
      <w:r>
        <w:t>that</w:t>
      </w:r>
      <w:r>
        <w:rPr>
          <w:spacing w:val="-2"/>
        </w:rPr>
        <w:t xml:space="preserve"> </w:t>
      </w:r>
      <w:r>
        <w:t xml:space="preserve">operate for long periods of </w:t>
      </w:r>
      <w:r>
        <w:t>time and the Guidehouse team used an EUL of 15 years in the forecasts.</w:t>
      </w:r>
      <w:hyperlink w:history="1" w:anchor="_bookmark482">
        <w:r>
          <w:rPr>
            <w:position w:val="7"/>
            <w:sz w:val="14"/>
          </w:rPr>
          <w:t>184</w:t>
        </w:r>
      </w:hyperlink>
      <w:r>
        <w:rPr>
          <w:spacing w:val="34"/>
          <w:position w:val="7"/>
          <w:sz w:val="14"/>
        </w:rPr>
        <w:t xml:space="preserve"> </w:t>
      </w:r>
      <w:r>
        <w:t>The team applied a ratio of kW to kWh of 0.000195.</w:t>
      </w:r>
    </w:p>
    <w:p w:rsidR="00C31389" w:rsidRDefault="00C31389" w14:paraId="2590CF21" w14:textId="77777777">
      <w:pPr>
        <w:pStyle w:val="BodyText"/>
        <w:spacing w:before="9"/>
        <w:rPr>
          <w:sz w:val="20"/>
        </w:rPr>
      </w:pPr>
    </w:p>
    <w:p w:rsidR="00C31389" w:rsidRDefault="00561FBD" w14:paraId="3F66F0F7" w14:textId="77777777">
      <w:pPr>
        <w:pStyle w:val="BodyText"/>
        <w:ind w:left="480" w:right="615"/>
      </w:pPr>
      <w:r>
        <w:t>The</w:t>
      </w:r>
      <w:r>
        <w:rPr>
          <w:spacing w:val="-3"/>
        </w:rPr>
        <w:t xml:space="preserve"> </w:t>
      </w:r>
      <w:r>
        <w:t>team</w:t>
      </w:r>
      <w:r>
        <w:rPr>
          <w:spacing w:val="-4"/>
        </w:rPr>
        <w:t xml:space="preserve"> </w:t>
      </w:r>
      <w:r>
        <w:t>has</w:t>
      </w:r>
      <w:r>
        <w:rPr>
          <w:spacing w:val="-3"/>
        </w:rPr>
        <w:t xml:space="preserve"> </w:t>
      </w:r>
      <w:r>
        <w:t>retained</w:t>
      </w:r>
      <w:r>
        <w:rPr>
          <w:spacing w:val="-3"/>
        </w:rPr>
        <w:t xml:space="preserve"> </w:t>
      </w:r>
      <w:r>
        <w:t>the</w:t>
      </w:r>
      <w:r>
        <w:rPr>
          <w:spacing w:val="-3"/>
        </w:rPr>
        <w:t xml:space="preserve"> </w:t>
      </w:r>
      <w:r>
        <w:t>GC</w:t>
      </w:r>
      <w:r>
        <w:rPr>
          <w:spacing w:val="-4"/>
        </w:rPr>
        <w:t xml:space="preserve"> </w:t>
      </w:r>
      <w:r>
        <w:t>electric</w:t>
      </w:r>
      <w:r>
        <w:rPr>
          <w:spacing w:val="-3"/>
        </w:rPr>
        <w:t xml:space="preserve"> </w:t>
      </w:r>
      <w:r>
        <w:t>incremental</w:t>
      </w:r>
      <w:r>
        <w:rPr>
          <w:spacing w:val="-3"/>
        </w:rPr>
        <w:t xml:space="preserve"> </w:t>
      </w:r>
      <w:r>
        <w:t>measure</w:t>
      </w:r>
      <w:r>
        <w:rPr>
          <w:spacing w:val="-3"/>
        </w:rPr>
        <w:t xml:space="preserve"> </w:t>
      </w:r>
      <w:r>
        <w:t>cost</w:t>
      </w:r>
      <w:r>
        <w:rPr>
          <w:spacing w:val="-3"/>
        </w:rPr>
        <w:t xml:space="preserve"> </w:t>
      </w:r>
      <w:r>
        <w:t>u</w:t>
      </w:r>
      <w:r>
        <w:t>sed</w:t>
      </w:r>
      <w:r>
        <w:rPr>
          <w:spacing w:val="-4"/>
        </w:rPr>
        <w:t xml:space="preserve"> </w:t>
      </w:r>
      <w:r>
        <w:t>in</w:t>
      </w:r>
      <w:r>
        <w:rPr>
          <w:spacing w:val="-4"/>
        </w:rPr>
        <w:t xml:space="preserve"> </w:t>
      </w:r>
      <w:r>
        <w:t>the</w:t>
      </w:r>
      <w:r>
        <w:rPr>
          <w:spacing w:val="-3"/>
        </w:rPr>
        <w:t xml:space="preserve"> </w:t>
      </w:r>
      <w:r>
        <w:t>2021</w:t>
      </w:r>
      <w:r>
        <w:rPr>
          <w:spacing w:val="-3"/>
        </w:rPr>
        <w:t xml:space="preserve"> </w:t>
      </w:r>
      <w:r>
        <w:t>forecast of $0.478/kWh for both the industrial and agriculture sectors.</w:t>
      </w:r>
      <w:r>
        <w:rPr>
          <w:spacing w:val="40"/>
        </w:rPr>
        <w:t xml:space="preserve"> </w:t>
      </w:r>
      <w:r>
        <w:t>Natural gas incremental measure costs are also unchanged from the 2021 forecast and remain $2.81/therm.</w:t>
      </w:r>
      <w:r>
        <w:rPr>
          <w:spacing w:val="40"/>
        </w:rPr>
        <w:t xml:space="preserve"> </w:t>
      </w:r>
      <w:r>
        <w:t xml:space="preserve">The same measure costs are applied consistently across </w:t>
      </w:r>
      <w:r>
        <w:t>sectors, segments and utilities</w:t>
      </w:r>
    </w:p>
    <w:p w:rsidR="00C31389" w:rsidRDefault="00C31389" w14:paraId="6B37149C" w14:textId="77777777">
      <w:pPr>
        <w:pStyle w:val="BodyText"/>
        <w:rPr>
          <w:sz w:val="21"/>
        </w:rPr>
      </w:pPr>
    </w:p>
    <w:p w:rsidR="00C31389" w:rsidRDefault="00561FBD" w14:paraId="3B1E9F8E" w14:textId="77777777">
      <w:pPr>
        <w:pStyle w:val="ListParagraph"/>
        <w:numPr>
          <w:ilvl w:val="1"/>
          <w:numId w:val="13"/>
        </w:numPr>
        <w:tabs>
          <w:tab w:val="left" w:pos="1007"/>
        </w:tabs>
        <w:ind w:left="1007" w:hanging="527"/>
        <w:rPr>
          <w:b/>
          <w:sz w:val="28"/>
        </w:rPr>
      </w:pPr>
      <w:bookmarkStart w:name="G.2_Industrial_and_Agriculture_Emerging_" w:id="623"/>
      <w:bookmarkStart w:name="_bookmark479" w:id="624"/>
      <w:bookmarkEnd w:id="623"/>
      <w:bookmarkEnd w:id="624"/>
      <w:r>
        <w:rPr>
          <w:b/>
          <w:spacing w:val="-2"/>
          <w:sz w:val="28"/>
        </w:rPr>
        <w:t>Industrial</w:t>
      </w:r>
      <w:r>
        <w:rPr>
          <w:b/>
          <w:spacing w:val="-3"/>
          <w:sz w:val="28"/>
        </w:rPr>
        <w:t xml:space="preserve"> </w:t>
      </w:r>
      <w:r>
        <w:rPr>
          <w:b/>
          <w:spacing w:val="-2"/>
          <w:sz w:val="28"/>
        </w:rPr>
        <w:t>and</w:t>
      </w:r>
      <w:r>
        <w:rPr>
          <w:b/>
          <w:spacing w:val="-13"/>
          <w:sz w:val="28"/>
        </w:rPr>
        <w:t xml:space="preserve"> </w:t>
      </w:r>
      <w:r>
        <w:rPr>
          <w:b/>
          <w:spacing w:val="-2"/>
          <w:sz w:val="28"/>
        </w:rPr>
        <w:t>Agriculture Emerging</w:t>
      </w:r>
      <w:r>
        <w:rPr>
          <w:b/>
          <w:spacing w:val="-4"/>
          <w:sz w:val="28"/>
        </w:rPr>
        <w:t xml:space="preserve"> </w:t>
      </w:r>
      <w:r>
        <w:rPr>
          <w:b/>
          <w:spacing w:val="-2"/>
          <w:sz w:val="28"/>
        </w:rPr>
        <w:t>Technology Measures</w:t>
      </w:r>
    </w:p>
    <w:p w:rsidR="00C31389" w:rsidRDefault="00C31389" w14:paraId="20DBE03B" w14:textId="77777777">
      <w:pPr>
        <w:pStyle w:val="BodyText"/>
        <w:spacing w:before="5"/>
        <w:rPr>
          <w:b/>
          <w:sz w:val="31"/>
        </w:rPr>
      </w:pPr>
    </w:p>
    <w:p w:rsidR="00C31389" w:rsidRDefault="00561FBD" w14:paraId="2E360283" w14:textId="77777777">
      <w:pPr>
        <w:pStyle w:val="ListParagraph"/>
        <w:numPr>
          <w:ilvl w:val="2"/>
          <w:numId w:val="13"/>
        </w:numPr>
        <w:tabs>
          <w:tab w:val="left" w:pos="1197"/>
        </w:tabs>
        <w:ind w:left="1197" w:hanging="717"/>
        <w:rPr>
          <w:b/>
          <w:sz w:val="24"/>
        </w:rPr>
      </w:pPr>
      <w:bookmarkStart w:name="G.2.1_Summary" w:id="625"/>
      <w:bookmarkStart w:name="_bookmark480" w:id="626"/>
      <w:bookmarkEnd w:id="625"/>
      <w:bookmarkEnd w:id="626"/>
      <w:r>
        <w:rPr>
          <w:b/>
          <w:spacing w:val="-2"/>
          <w:sz w:val="24"/>
        </w:rPr>
        <w:t>Summary</w:t>
      </w:r>
    </w:p>
    <w:p w:rsidR="00C31389" w:rsidRDefault="00C31389" w14:paraId="690B3594" w14:textId="77777777">
      <w:pPr>
        <w:pStyle w:val="BodyText"/>
        <w:spacing w:before="1"/>
        <w:rPr>
          <w:b/>
          <w:sz w:val="23"/>
        </w:rPr>
      </w:pPr>
    </w:p>
    <w:p w:rsidR="00C31389" w:rsidRDefault="00561FBD" w14:paraId="6E134E5F" w14:textId="77777777">
      <w:pPr>
        <w:pStyle w:val="BodyText"/>
        <w:ind w:left="480" w:right="418"/>
      </w:pPr>
      <w:r>
        <w:t>In the context of this study, emerging technologies (ETs) are new technologies that have demonstrated</w:t>
      </w:r>
      <w:r>
        <w:rPr>
          <w:spacing w:val="-3"/>
        </w:rPr>
        <w:t xml:space="preserve"> </w:t>
      </w:r>
      <w:r>
        <w:t>energy</w:t>
      </w:r>
      <w:r>
        <w:rPr>
          <w:spacing w:val="-3"/>
        </w:rPr>
        <w:t xml:space="preserve"> </w:t>
      </w:r>
      <w:r>
        <w:t>benefits</w:t>
      </w:r>
      <w:r>
        <w:rPr>
          <w:spacing w:val="-3"/>
        </w:rPr>
        <w:t xml:space="preserve"> </w:t>
      </w:r>
      <w:r>
        <w:t>to</w:t>
      </w:r>
      <w:r>
        <w:rPr>
          <w:spacing w:val="-3"/>
        </w:rPr>
        <w:t xml:space="preserve"> </w:t>
      </w:r>
      <w:r>
        <w:t>the</w:t>
      </w:r>
      <w:r>
        <w:rPr>
          <w:spacing w:val="-4"/>
        </w:rPr>
        <w:t xml:space="preserve"> </w:t>
      </w:r>
      <w:r>
        <w:t>industrial</w:t>
      </w:r>
      <w:r>
        <w:rPr>
          <w:spacing w:val="-3"/>
        </w:rPr>
        <w:t xml:space="preserve"> </w:t>
      </w:r>
      <w:r>
        <w:t>and</w:t>
      </w:r>
      <w:r>
        <w:rPr>
          <w:spacing w:val="-3"/>
        </w:rPr>
        <w:t xml:space="preserve"> </w:t>
      </w:r>
      <w:r>
        <w:t>agriculture</w:t>
      </w:r>
      <w:r>
        <w:rPr>
          <w:spacing w:val="-3"/>
        </w:rPr>
        <w:t xml:space="preserve"> </w:t>
      </w:r>
      <w:r>
        <w:t>sectors</w:t>
      </w:r>
      <w:r>
        <w:rPr>
          <w:spacing w:val="-3"/>
        </w:rPr>
        <w:t xml:space="preserve"> </w:t>
      </w:r>
      <w:r>
        <w:t>but</w:t>
      </w:r>
      <w:r>
        <w:rPr>
          <w:spacing w:val="-4"/>
        </w:rPr>
        <w:t xml:space="preserve"> </w:t>
      </w:r>
      <w:r>
        <w:t>are</w:t>
      </w:r>
      <w:r>
        <w:rPr>
          <w:spacing w:val="-3"/>
        </w:rPr>
        <w:t xml:space="preserve"> </w:t>
      </w:r>
      <w:r>
        <w:t>not</w:t>
      </w:r>
      <w:r>
        <w:rPr>
          <w:spacing w:val="-3"/>
        </w:rPr>
        <w:t xml:space="preserve"> </w:t>
      </w:r>
      <w:r>
        <w:t>yet</w:t>
      </w:r>
      <w:r>
        <w:rPr>
          <w:spacing w:val="-5"/>
        </w:rPr>
        <w:t xml:space="preserve"> </w:t>
      </w:r>
      <w:r>
        <w:t>widely</w:t>
      </w:r>
    </w:p>
    <w:p w:rsidR="00C31389" w:rsidRDefault="00561FBD" w14:paraId="75B28A05" w14:textId="77777777">
      <w:pPr>
        <w:pStyle w:val="BodyText"/>
        <w:spacing w:before="2"/>
        <w:rPr>
          <w:sz w:val="15"/>
        </w:rPr>
      </w:pPr>
      <w:r>
        <w:rPr>
          <w:noProof/>
        </w:rPr>
        <mc:AlternateContent>
          <mc:Choice Requires="wps">
            <w:drawing>
              <wp:anchor distT="0" distB="0" distL="0" distR="0" simplePos="0" relativeHeight="487738880" behindDoc="1" locked="0" layoutInCell="1" allowOverlap="1" wp14:editId="626C4BA8" wp14:anchorId="38C7C20D">
                <wp:simplePos x="0" y="0"/>
                <wp:positionH relativeFrom="page">
                  <wp:posOffset>914400</wp:posOffset>
                </wp:positionH>
                <wp:positionV relativeFrom="paragraph">
                  <wp:posOffset>126312</wp:posOffset>
                </wp:positionV>
                <wp:extent cx="1828800" cy="6985"/>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31" style="position:absolute;margin-left:1in;margin-top:9.95pt;width:2in;height:.55pt;z-index:-1557760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" w14:anchorId="7A19078B">
                <v:path arrowok="t"/>
                <w10:wrap type="topAndBottom" anchorx="page"/>
              </v:shape>
            </w:pict>
          </mc:Fallback>
        </mc:AlternateContent>
      </w:r>
    </w:p>
    <w:p w:rsidR="00C31389" w:rsidRDefault="00561FBD" w14:paraId="5D65D73A" w14:textId="77777777">
      <w:pPr>
        <w:spacing w:before="89"/>
        <w:ind w:left="480"/>
        <w:rPr>
          <w:sz w:val="18"/>
        </w:rPr>
      </w:pPr>
      <w:bookmarkStart w:name="_bookmark481" w:id="627"/>
      <w:bookmarkEnd w:id="627"/>
      <w:r>
        <w:rPr>
          <w:position w:val="6"/>
          <w:sz w:val="12"/>
        </w:rPr>
        <w:t>183</w:t>
      </w:r>
      <w:r>
        <w:rPr>
          <w:spacing w:val="13"/>
          <w:position w:val="6"/>
          <w:sz w:val="12"/>
        </w:rPr>
        <w:t xml:space="preserve"> </w:t>
      </w:r>
      <w:r>
        <w:rPr>
          <w:sz w:val="18"/>
        </w:rPr>
        <w:t>Electric</w:t>
      </w:r>
      <w:r>
        <w:rPr>
          <w:spacing w:val="-2"/>
          <w:sz w:val="18"/>
        </w:rPr>
        <w:t xml:space="preserve"> </w:t>
      </w:r>
      <w:r>
        <w:rPr>
          <w:sz w:val="18"/>
        </w:rPr>
        <w:t>(GWh)</w:t>
      </w:r>
      <w:r>
        <w:rPr>
          <w:spacing w:val="-2"/>
          <w:sz w:val="18"/>
        </w:rPr>
        <w:t xml:space="preserve"> </w:t>
      </w:r>
      <w:r>
        <w:rPr>
          <w:sz w:val="18"/>
        </w:rPr>
        <w:t>and</w:t>
      </w:r>
      <w:r>
        <w:rPr>
          <w:spacing w:val="-3"/>
          <w:sz w:val="18"/>
        </w:rPr>
        <w:t xml:space="preserve"> </w:t>
      </w:r>
      <w:r>
        <w:rPr>
          <w:sz w:val="18"/>
        </w:rPr>
        <w:t>natural</w:t>
      </w:r>
      <w:r>
        <w:rPr>
          <w:spacing w:val="-2"/>
          <w:sz w:val="18"/>
        </w:rPr>
        <w:t xml:space="preserve"> </w:t>
      </w:r>
      <w:r>
        <w:rPr>
          <w:sz w:val="18"/>
        </w:rPr>
        <w:t>gas</w:t>
      </w:r>
      <w:r>
        <w:rPr>
          <w:spacing w:val="-2"/>
          <w:sz w:val="18"/>
        </w:rPr>
        <w:t xml:space="preserve"> </w:t>
      </w:r>
      <w:r>
        <w:rPr>
          <w:sz w:val="18"/>
        </w:rPr>
        <w:t>(therms)</w:t>
      </w:r>
      <w:r>
        <w:rPr>
          <w:spacing w:val="-2"/>
          <w:sz w:val="18"/>
        </w:rPr>
        <w:t xml:space="preserve"> </w:t>
      </w:r>
      <w:r>
        <w:rPr>
          <w:sz w:val="18"/>
        </w:rPr>
        <w:t>consumption</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2019</w:t>
      </w:r>
      <w:r>
        <w:rPr>
          <w:spacing w:val="-3"/>
          <w:sz w:val="18"/>
        </w:rPr>
        <w:t xml:space="preserve"> </w:t>
      </w:r>
      <w:r>
        <w:rPr>
          <w:sz w:val="18"/>
        </w:rPr>
        <w:t>IEPR</w:t>
      </w:r>
      <w:r>
        <w:rPr>
          <w:spacing w:val="-2"/>
          <w:sz w:val="18"/>
        </w:rPr>
        <w:t xml:space="preserve"> forecast.</w:t>
      </w:r>
    </w:p>
    <w:p w:rsidR="00C31389" w:rsidRDefault="00561FBD" w14:paraId="26FEBE30" w14:textId="77777777">
      <w:pPr>
        <w:spacing w:before="34"/>
        <w:ind w:left="480" w:right="418"/>
        <w:rPr>
          <w:sz w:val="18"/>
        </w:rPr>
      </w:pPr>
      <w:bookmarkStart w:name="_bookmark482" w:id="628"/>
      <w:bookmarkEnd w:id="628"/>
      <w:r>
        <w:rPr>
          <w:position w:val="6"/>
          <w:sz w:val="12"/>
        </w:rPr>
        <w:t>184</w:t>
      </w:r>
      <w:r>
        <w:rPr>
          <w:spacing w:val="14"/>
          <w:position w:val="6"/>
          <w:sz w:val="12"/>
        </w:rPr>
        <w:t xml:space="preserve"> </w:t>
      </w:r>
      <w:r>
        <w:rPr>
          <w:sz w:val="18"/>
        </w:rPr>
        <w:t>The</w:t>
      </w:r>
      <w:r>
        <w:rPr>
          <w:spacing w:val="-4"/>
          <w:sz w:val="18"/>
        </w:rPr>
        <w:t xml:space="preserve"> </w:t>
      </w:r>
      <w:r>
        <w:rPr>
          <w:sz w:val="18"/>
        </w:rPr>
        <w:t>team</w:t>
      </w:r>
      <w:r>
        <w:rPr>
          <w:spacing w:val="-3"/>
          <w:sz w:val="18"/>
        </w:rPr>
        <w:t xml:space="preserve"> </w:t>
      </w:r>
      <w:r>
        <w:rPr>
          <w:sz w:val="18"/>
        </w:rPr>
        <w:t>selected</w:t>
      </w:r>
      <w:r>
        <w:rPr>
          <w:spacing w:val="-4"/>
          <w:sz w:val="18"/>
        </w:rPr>
        <w:t xml:space="preserve"> </w:t>
      </w:r>
      <w:r>
        <w:rPr>
          <w:sz w:val="18"/>
        </w:rPr>
        <w:t>15</w:t>
      </w:r>
      <w:r>
        <w:rPr>
          <w:spacing w:val="-4"/>
          <w:sz w:val="18"/>
        </w:rPr>
        <w:t xml:space="preserve"> </w:t>
      </w:r>
      <w:r>
        <w:rPr>
          <w:sz w:val="18"/>
        </w:rPr>
        <w:t>years</w:t>
      </w:r>
      <w:r>
        <w:rPr>
          <w:spacing w:val="-3"/>
          <w:sz w:val="18"/>
        </w:rPr>
        <w:t xml:space="preserve"> </w:t>
      </w:r>
      <w:r>
        <w:rPr>
          <w:sz w:val="18"/>
        </w:rPr>
        <w:t>as</w:t>
      </w:r>
      <w:r>
        <w:rPr>
          <w:spacing w:val="-3"/>
          <w:sz w:val="18"/>
        </w:rPr>
        <w:t xml:space="preserve"> </w:t>
      </w:r>
      <w:r>
        <w:rPr>
          <w:sz w:val="18"/>
        </w:rPr>
        <w:t>representative</w:t>
      </w:r>
      <w:r>
        <w:rPr>
          <w:spacing w:val="-4"/>
          <w:sz w:val="18"/>
        </w:rPr>
        <w:t xml:space="preserve"> </w:t>
      </w:r>
      <w:r>
        <w:rPr>
          <w:sz w:val="18"/>
        </w:rPr>
        <w:t>of</w:t>
      </w:r>
      <w:r>
        <w:rPr>
          <w:spacing w:val="-3"/>
          <w:sz w:val="18"/>
        </w:rPr>
        <w:t xml:space="preserve"> </w:t>
      </w:r>
      <w:r>
        <w:rPr>
          <w:sz w:val="18"/>
        </w:rPr>
        <w:t>emerging</w:t>
      </w:r>
      <w:r>
        <w:rPr>
          <w:spacing w:val="-2"/>
          <w:sz w:val="18"/>
        </w:rPr>
        <w:t xml:space="preserve"> </w:t>
      </w:r>
      <w:r>
        <w:rPr>
          <w:sz w:val="18"/>
        </w:rPr>
        <w:t>technology</w:t>
      </w:r>
      <w:r>
        <w:rPr>
          <w:spacing w:val="-3"/>
          <w:sz w:val="18"/>
        </w:rPr>
        <w:t xml:space="preserve"> </w:t>
      </w:r>
      <w:r>
        <w:rPr>
          <w:sz w:val="18"/>
        </w:rPr>
        <w:t>measures</w:t>
      </w:r>
      <w:r>
        <w:rPr>
          <w:spacing w:val="-3"/>
          <w:sz w:val="18"/>
        </w:rPr>
        <w:t xml:space="preserve"> </w:t>
      </w:r>
      <w:r>
        <w:rPr>
          <w:sz w:val="18"/>
        </w:rPr>
        <w:t>that</w:t>
      </w:r>
      <w:r>
        <w:rPr>
          <w:spacing w:val="-3"/>
          <w:sz w:val="18"/>
        </w:rPr>
        <w:t xml:space="preserve"> </w:t>
      </w:r>
      <w:r>
        <w:rPr>
          <w:sz w:val="18"/>
        </w:rPr>
        <w:t>are</w:t>
      </w:r>
      <w:r>
        <w:rPr>
          <w:spacing w:val="-2"/>
          <w:sz w:val="18"/>
        </w:rPr>
        <w:t xml:space="preserve"> </w:t>
      </w:r>
      <w:r>
        <w:rPr>
          <w:sz w:val="18"/>
        </w:rPr>
        <w:t>more</w:t>
      </w:r>
      <w:r>
        <w:rPr>
          <w:spacing w:val="-4"/>
          <w:sz w:val="18"/>
        </w:rPr>
        <w:t xml:space="preserve"> </w:t>
      </w:r>
      <w:r>
        <w:rPr>
          <w:sz w:val="18"/>
        </w:rPr>
        <w:t xml:space="preserve">technology based versus </w:t>
      </w:r>
      <w:r>
        <w:rPr>
          <w:sz w:val="18"/>
        </w:rPr>
        <w:t>controls or retrofit add-on technologies.</w:t>
      </w:r>
    </w:p>
    <w:p w:rsidR="00C31389" w:rsidRDefault="00C31389" w14:paraId="15D3036B" w14:textId="77777777">
      <w:pPr>
        <w:rPr>
          <w:sz w:val="18"/>
        </w:rPr>
        <w:sectPr w:rsidR="00C31389">
          <w:pgSz w:w="11910" w:h="16840"/>
          <w:pgMar w:top="1660" w:right="1020" w:bottom="1120" w:left="960" w:header="397" w:footer="938" w:gutter="0"/>
          <w:cols w:space="720"/>
        </w:sectPr>
      </w:pPr>
    </w:p>
    <w:p w:rsidR="00C31389" w:rsidRDefault="00C31389" w14:paraId="5B36DA64" w14:textId="77777777">
      <w:pPr>
        <w:pStyle w:val="BodyText"/>
        <w:spacing w:before="11"/>
        <w:rPr>
          <w:sz w:val="13"/>
        </w:rPr>
      </w:pPr>
    </w:p>
    <w:p w:rsidR="00C31389" w:rsidRDefault="00561FBD" w14:paraId="626502D8" w14:textId="77777777">
      <w:pPr>
        <w:pStyle w:val="BodyText"/>
        <w:spacing w:before="92"/>
        <w:ind w:left="480" w:right="418"/>
      </w:pPr>
      <w:r>
        <w:t>adopted</w:t>
      </w:r>
      <w:r>
        <w:rPr>
          <w:spacing w:val="-3"/>
        </w:rPr>
        <w:t xml:space="preserve"> </w:t>
      </w:r>
      <w:r>
        <w:t>in</w:t>
      </w:r>
      <w:r>
        <w:rPr>
          <w:spacing w:val="-3"/>
        </w:rPr>
        <w:t xml:space="preserve"> </w:t>
      </w:r>
      <w:r>
        <w:t>the</w:t>
      </w:r>
      <w:r>
        <w:rPr>
          <w:spacing w:val="-3"/>
        </w:rPr>
        <w:t xml:space="preserve"> </w:t>
      </w:r>
      <w:r>
        <w:t>market.</w:t>
      </w:r>
      <w:r>
        <w:rPr>
          <w:spacing w:val="-3"/>
        </w:rPr>
        <w:t xml:space="preserve"> </w:t>
      </w:r>
      <w:r>
        <w:t>The</w:t>
      </w:r>
      <w:r>
        <w:rPr>
          <w:spacing w:val="-3"/>
        </w:rPr>
        <w:t xml:space="preserve"> </w:t>
      </w:r>
      <w:r>
        <w:t>team</w:t>
      </w:r>
      <w:r>
        <w:rPr>
          <w:spacing w:val="-4"/>
        </w:rPr>
        <w:t xml:space="preserve"> </w:t>
      </w:r>
      <w:r>
        <w:t>evaluated</w:t>
      </w:r>
      <w:r>
        <w:rPr>
          <w:spacing w:val="-3"/>
        </w:rPr>
        <w:t xml:space="preserve"> </w:t>
      </w:r>
      <w:r>
        <w:t>ETs</w:t>
      </w:r>
      <w:r>
        <w:rPr>
          <w:spacing w:val="-4"/>
        </w:rPr>
        <w:t xml:space="preserve"> </w:t>
      </w:r>
      <w:r>
        <w:t>at</w:t>
      </w:r>
      <w:r>
        <w:rPr>
          <w:spacing w:val="-3"/>
        </w:rPr>
        <w:t xml:space="preserve"> </w:t>
      </w:r>
      <w:r>
        <w:t>varying</w:t>
      </w:r>
      <w:r>
        <w:rPr>
          <w:spacing w:val="-4"/>
        </w:rPr>
        <w:t xml:space="preserve"> </w:t>
      </w:r>
      <w:r>
        <w:t>stages</w:t>
      </w:r>
      <w:r>
        <w:rPr>
          <w:spacing w:val="-3"/>
        </w:rPr>
        <w:t xml:space="preserve"> </w:t>
      </w:r>
      <w:r>
        <w:t>along</w:t>
      </w:r>
      <w:r>
        <w:rPr>
          <w:spacing w:val="-4"/>
        </w:rPr>
        <w:t xml:space="preserve"> </w:t>
      </w:r>
      <w:r>
        <w:t>the</w:t>
      </w:r>
      <w:r>
        <w:rPr>
          <w:spacing w:val="-3"/>
        </w:rPr>
        <w:t xml:space="preserve"> </w:t>
      </w:r>
      <w:r>
        <w:t>path</w:t>
      </w:r>
      <w:r>
        <w:rPr>
          <w:spacing w:val="-3"/>
        </w:rPr>
        <w:t xml:space="preserve"> </w:t>
      </w:r>
      <w:r>
        <w:t>to</w:t>
      </w:r>
      <w:r>
        <w:rPr>
          <w:spacing w:val="-4"/>
        </w:rPr>
        <w:t xml:space="preserve"> </w:t>
      </w:r>
      <w:r>
        <w:t xml:space="preserve">market readiness—some were demonstrated in a laboratory or research setting, while others had been proven </w:t>
      </w:r>
      <w:r>
        <w:t>effective through pilot tests and are in early commercial adoption.</w:t>
      </w:r>
    </w:p>
    <w:p w:rsidR="00C31389" w:rsidRDefault="00C31389" w14:paraId="582B1479" w14:textId="77777777">
      <w:pPr>
        <w:pStyle w:val="BodyText"/>
        <w:spacing w:before="10"/>
        <w:rPr>
          <w:sz w:val="20"/>
        </w:rPr>
      </w:pPr>
    </w:p>
    <w:p w:rsidR="00C31389" w:rsidRDefault="00561FBD" w14:paraId="07BD5767" w14:textId="77777777">
      <w:pPr>
        <w:pStyle w:val="BodyText"/>
        <w:ind w:left="480" w:right="418"/>
      </w:pPr>
      <w:r>
        <w:t>The 2019 Study updated the approach used for the 2017 Study. For the 2017 Study, the Guidehouse team identified approximately 1,100 potential ETs. The study analysis included screening th</w:t>
      </w:r>
      <w:r>
        <w:t>ese ETs to rate energy technical potential, energy achievable potential, market risk, technical risk, and utility ability to impact market adoption. This process ultimately yielded</w:t>
      </w:r>
      <w:r>
        <w:rPr>
          <w:spacing w:val="-2"/>
        </w:rPr>
        <w:t xml:space="preserve"> </w:t>
      </w:r>
      <w:r>
        <w:t>173</w:t>
      </w:r>
      <w:r>
        <w:rPr>
          <w:spacing w:val="-3"/>
        </w:rPr>
        <w:t xml:space="preserve"> </w:t>
      </w:r>
      <w:r>
        <w:t>ET</w:t>
      </w:r>
      <w:r>
        <w:rPr>
          <w:spacing w:val="-2"/>
        </w:rPr>
        <w:t xml:space="preserve"> </w:t>
      </w:r>
      <w:r>
        <w:t>processes</w:t>
      </w:r>
      <w:hyperlink w:history="1" w:anchor="_bookmark485">
        <w:r>
          <w:rPr>
            <w:position w:val="7"/>
            <w:sz w:val="14"/>
          </w:rPr>
          <w:t>185</w:t>
        </w:r>
      </w:hyperlink>
      <w:r>
        <w:rPr>
          <w:spacing w:val="19"/>
          <w:position w:val="7"/>
          <w:sz w:val="14"/>
        </w:rPr>
        <w:t xml:space="preserve"> </w:t>
      </w:r>
      <w:r>
        <w:t>for</w:t>
      </w:r>
      <w:r>
        <w:rPr>
          <w:spacing w:val="-2"/>
        </w:rPr>
        <w:t xml:space="preserve"> </w:t>
      </w:r>
      <w:r>
        <w:t>final</w:t>
      </w:r>
      <w:r>
        <w:rPr>
          <w:spacing w:val="-2"/>
        </w:rPr>
        <w:t xml:space="preserve"> </w:t>
      </w:r>
      <w:r>
        <w:t>consideration</w:t>
      </w:r>
      <w:r>
        <w:rPr>
          <w:spacing w:val="-3"/>
        </w:rPr>
        <w:t xml:space="preserve"> </w:t>
      </w:r>
      <w:r>
        <w:t>within</w:t>
      </w:r>
      <w:r>
        <w:rPr>
          <w:spacing w:val="-2"/>
        </w:rPr>
        <w:t xml:space="preserve"> </w:t>
      </w:r>
      <w:r>
        <w:t>the</w:t>
      </w:r>
      <w:r>
        <w:rPr>
          <w:spacing w:val="-3"/>
        </w:rPr>
        <w:t xml:space="preserve"> </w:t>
      </w:r>
      <w:r>
        <w:t>model.</w:t>
      </w:r>
      <w:r>
        <w:rPr>
          <w:spacing w:val="-2"/>
        </w:rPr>
        <w:t xml:space="preserve"> </w:t>
      </w:r>
      <w:r>
        <w:t>For</w:t>
      </w:r>
      <w:r>
        <w:rPr>
          <w:spacing w:val="-2"/>
        </w:rPr>
        <w:t xml:space="preserve"> </w:t>
      </w:r>
      <w:r>
        <w:t>the</w:t>
      </w:r>
      <w:r>
        <w:rPr>
          <w:spacing w:val="-2"/>
        </w:rPr>
        <w:t xml:space="preserve"> </w:t>
      </w:r>
      <w:r>
        <w:t>2019</w:t>
      </w:r>
      <w:r>
        <w:rPr>
          <w:spacing w:val="-2"/>
        </w:rPr>
        <w:t xml:space="preserve"> </w:t>
      </w:r>
      <w:r>
        <w:t>Study,</w:t>
      </w:r>
      <w:r>
        <w:rPr>
          <w:spacing w:val="-2"/>
        </w:rPr>
        <w:t xml:space="preserve"> </w:t>
      </w:r>
      <w:r>
        <w:t>the team reviewed the data source used in the 2017 Study to include measures that might have been added since the initial review and to update measures originally identified that might</w:t>
      </w:r>
      <w:r>
        <w:t xml:space="preserve"> have more recent data. No updates to this analysis occurred since the 2019 Study.</w:t>
      </w:r>
    </w:p>
    <w:p w:rsidR="00C31389" w:rsidRDefault="00C31389" w14:paraId="05CEBE0C" w14:textId="77777777">
      <w:pPr>
        <w:pStyle w:val="BodyText"/>
        <w:spacing w:before="10"/>
        <w:rPr>
          <w:sz w:val="20"/>
        </w:rPr>
      </w:pPr>
    </w:p>
    <w:p w:rsidR="00C31389" w:rsidRDefault="00561FBD" w14:paraId="675D8B9A" w14:textId="77777777">
      <w:pPr>
        <w:pStyle w:val="BodyText"/>
        <w:spacing w:before="1"/>
        <w:ind w:left="480" w:right="615" w:hanging="1"/>
      </w:pPr>
      <w:r>
        <w:t>The remainder of this section describes the methodology used to evaluate the ET market and</w:t>
      </w:r>
      <w:r>
        <w:rPr>
          <w:spacing w:val="-3"/>
        </w:rPr>
        <w:t xml:space="preserve"> </w:t>
      </w:r>
      <w:r>
        <w:t>the</w:t>
      </w:r>
      <w:r>
        <w:rPr>
          <w:spacing w:val="-3"/>
        </w:rPr>
        <w:t xml:space="preserve"> </w:t>
      </w:r>
      <w:r>
        <w:t>process</w:t>
      </w:r>
      <w:r>
        <w:rPr>
          <w:spacing w:val="-3"/>
        </w:rPr>
        <w:t xml:space="preserve"> </w:t>
      </w:r>
      <w:r>
        <w:t>used</w:t>
      </w:r>
      <w:r>
        <w:rPr>
          <w:spacing w:val="-3"/>
        </w:rPr>
        <w:t xml:space="preserve"> </w:t>
      </w:r>
      <w:r>
        <w:t>to</w:t>
      </w:r>
      <w:r>
        <w:rPr>
          <w:spacing w:val="-4"/>
        </w:rPr>
        <w:t xml:space="preserve"> </w:t>
      </w:r>
      <w:r>
        <w:t>develop</w:t>
      </w:r>
      <w:r>
        <w:rPr>
          <w:spacing w:val="-3"/>
        </w:rPr>
        <w:t xml:space="preserve"> </w:t>
      </w:r>
      <w:r>
        <w:t>the</w:t>
      </w:r>
      <w:r>
        <w:rPr>
          <w:spacing w:val="-4"/>
        </w:rPr>
        <w:t xml:space="preserve"> </w:t>
      </w:r>
      <w:r>
        <w:t>model</w:t>
      </w:r>
      <w:r>
        <w:rPr>
          <w:spacing w:val="-3"/>
        </w:rPr>
        <w:t xml:space="preserve"> </w:t>
      </w:r>
      <w:r>
        <w:t>inputs</w:t>
      </w:r>
      <w:r>
        <w:rPr>
          <w:spacing w:val="-3"/>
        </w:rPr>
        <w:t xml:space="preserve"> </w:t>
      </w:r>
      <w:r>
        <w:t>for</w:t>
      </w:r>
      <w:r>
        <w:rPr>
          <w:spacing w:val="-3"/>
        </w:rPr>
        <w:t xml:space="preserve"> </w:t>
      </w:r>
      <w:r>
        <w:t>energy</w:t>
      </w:r>
      <w:r>
        <w:rPr>
          <w:spacing w:val="-4"/>
        </w:rPr>
        <w:t xml:space="preserve"> </w:t>
      </w:r>
      <w:r>
        <w:t>savings</w:t>
      </w:r>
      <w:r>
        <w:rPr>
          <w:spacing w:val="-3"/>
        </w:rPr>
        <w:t xml:space="preserve"> </w:t>
      </w:r>
      <w:r>
        <w:t>(also</w:t>
      </w:r>
      <w:r>
        <w:rPr>
          <w:spacing w:val="-3"/>
        </w:rPr>
        <w:t xml:space="preserve"> </w:t>
      </w:r>
      <w:r>
        <w:t>summarized</w:t>
      </w:r>
      <w:r>
        <w:rPr>
          <w:spacing w:val="-3"/>
        </w:rPr>
        <w:t xml:space="preserve"> </w:t>
      </w:r>
      <w:r>
        <w:t xml:space="preserve">in </w:t>
      </w:r>
      <w:hyperlink w:history="1" w:anchor="_bookmark483">
        <w:r>
          <w:t>Table G-4</w:t>
        </w:r>
      </w:hyperlink>
      <w:r>
        <w:t>). Segment-specific electric and gas savings are consistently applied across all utilities. Cost, EUL, and the kW/kWh savings ratio are also universally applied.</w:t>
      </w:r>
    </w:p>
    <w:p w:rsidR="00C31389" w:rsidRDefault="00C31389" w14:paraId="0AC18A76" w14:textId="77777777">
      <w:pPr>
        <w:pStyle w:val="BodyText"/>
        <w:spacing w:before="9"/>
        <w:rPr>
          <w:sz w:val="20"/>
        </w:rPr>
      </w:pPr>
    </w:p>
    <w:p w:rsidR="00C31389" w:rsidRDefault="00561FBD" w14:paraId="3DE9797B" w14:textId="77777777">
      <w:pPr>
        <w:pStyle w:val="Heading7"/>
        <w:ind w:left="398" w:right="339"/>
        <w:jc w:val="center"/>
      </w:pPr>
      <w:bookmarkStart w:name="_bookmark483" w:id="629"/>
      <w:bookmarkEnd w:id="629"/>
      <w:r>
        <w:t>Table</w:t>
      </w:r>
      <w:r>
        <w:rPr>
          <w:spacing w:val="-7"/>
        </w:rPr>
        <w:t xml:space="preserve"> </w:t>
      </w:r>
      <w:r>
        <w:t>G-4.</w:t>
      </w:r>
      <w:r>
        <w:rPr>
          <w:spacing w:val="-7"/>
        </w:rPr>
        <w:t xml:space="preserve"> </w:t>
      </w:r>
      <w:r>
        <w:t>Industrial</w:t>
      </w:r>
      <w:r>
        <w:rPr>
          <w:spacing w:val="-6"/>
        </w:rPr>
        <w:t xml:space="preserve"> </w:t>
      </w:r>
      <w:r>
        <w:t>and</w:t>
      </w:r>
      <w:r>
        <w:rPr>
          <w:spacing w:val="-7"/>
        </w:rPr>
        <w:t xml:space="preserve"> </w:t>
      </w:r>
      <w:r>
        <w:t>Agriculture</w:t>
      </w:r>
      <w:r>
        <w:rPr>
          <w:spacing w:val="-6"/>
        </w:rPr>
        <w:t xml:space="preserve"> </w:t>
      </w:r>
      <w:r>
        <w:t>ET</w:t>
      </w:r>
      <w:r>
        <w:rPr>
          <w:spacing w:val="-6"/>
        </w:rPr>
        <w:t xml:space="preserve"> </w:t>
      </w:r>
      <w:r>
        <w:t>–</w:t>
      </w:r>
      <w:r>
        <w:rPr>
          <w:spacing w:val="-7"/>
        </w:rPr>
        <w:t xml:space="preserve"> </w:t>
      </w:r>
      <w:r>
        <w:t>Key</w:t>
      </w:r>
      <w:r>
        <w:rPr>
          <w:spacing w:val="-6"/>
        </w:rPr>
        <w:t xml:space="preserve"> </w:t>
      </w:r>
      <w:r>
        <w:rPr>
          <w:spacing w:val="-2"/>
        </w:rPr>
        <w:t>Assumptions</w:t>
      </w:r>
    </w:p>
    <w:p w:rsidR="00C31389" w:rsidRDefault="00C31389" w14:paraId="40E62865" w14:textId="77777777">
      <w:pPr>
        <w:pStyle w:val="BodyText"/>
        <w:spacing w:before="7"/>
        <w:rPr>
          <w:b/>
          <w:sz w:val="9"/>
        </w:rPr>
      </w:pPr>
    </w:p>
    <w:tbl>
      <w:tblPr>
        <w:tblW w:w="0" w:type="auto"/>
        <w:tblInd w:w="311" w:type="dxa"/>
        <w:tblLayout w:type="fixed"/>
        <w:tblCellMar>
          <w:left w:w="0" w:type="dxa"/>
          <w:right w:w="0" w:type="dxa"/>
        </w:tblCellMar>
        <w:tblLook w:val="01E0" w:firstRow="1" w:lastRow="1" w:firstColumn="1" w:lastColumn="1" w:noHBand="0" w:noVBand="0"/>
      </w:tblPr>
      <w:tblGrid>
        <w:gridCol w:w="1241"/>
        <w:gridCol w:w="1145"/>
        <w:gridCol w:w="1305"/>
        <w:gridCol w:w="1006"/>
        <w:gridCol w:w="1073"/>
        <w:gridCol w:w="980"/>
        <w:gridCol w:w="1283"/>
        <w:gridCol w:w="1338"/>
      </w:tblGrid>
      <w:tr w:rsidR="00C31389" w14:paraId="4A0162B6" w14:textId="77777777">
        <w:trPr>
          <w:trHeight w:val="271"/>
        </w:trPr>
        <w:tc>
          <w:tcPr>
            <w:tcW w:w="1241" w:type="dxa"/>
            <w:shd w:val="clear" w:color="auto" w:fill="92D400"/>
          </w:tcPr>
          <w:p w:rsidR="00C31389" w:rsidRDefault="00C31389" w14:paraId="58A873D2" w14:textId="77777777">
            <w:pPr>
              <w:pStyle w:val="TableParagraph"/>
              <w:spacing w:before="0"/>
              <w:rPr>
                <w:rFonts w:ascii="Times New Roman"/>
                <w:sz w:val="20"/>
              </w:rPr>
            </w:pPr>
          </w:p>
        </w:tc>
        <w:tc>
          <w:tcPr>
            <w:tcW w:w="1145" w:type="dxa"/>
            <w:shd w:val="clear" w:color="auto" w:fill="92D400"/>
          </w:tcPr>
          <w:p w:rsidR="00C31389" w:rsidRDefault="00C31389" w14:paraId="517023EB" w14:textId="77777777">
            <w:pPr>
              <w:pStyle w:val="TableParagraph"/>
              <w:spacing w:before="0"/>
              <w:rPr>
                <w:rFonts w:ascii="Times New Roman"/>
                <w:sz w:val="20"/>
              </w:rPr>
            </w:pPr>
          </w:p>
        </w:tc>
        <w:tc>
          <w:tcPr>
            <w:tcW w:w="1305" w:type="dxa"/>
            <w:vMerge w:val="restart"/>
            <w:shd w:val="clear" w:color="auto" w:fill="92D400"/>
          </w:tcPr>
          <w:p w:rsidR="00C31389" w:rsidRDefault="00561FBD" w14:paraId="561EC609" w14:textId="77777777">
            <w:pPr>
              <w:pStyle w:val="TableParagraph"/>
              <w:spacing w:before="155"/>
              <w:ind w:left="627"/>
              <w:rPr>
                <w:b/>
                <w:sz w:val="20"/>
              </w:rPr>
            </w:pPr>
            <w:r>
              <w:rPr>
                <w:b/>
                <w:spacing w:val="-5"/>
                <w:sz w:val="20"/>
              </w:rPr>
              <w:t>EUL</w:t>
            </w:r>
          </w:p>
          <w:p w:rsidR="00C31389" w:rsidRDefault="00561FBD" w14:paraId="75A03509" w14:textId="77777777">
            <w:pPr>
              <w:pStyle w:val="TableParagraph"/>
              <w:spacing w:before="1"/>
              <w:ind w:left="555"/>
              <w:rPr>
                <w:b/>
                <w:sz w:val="20"/>
              </w:rPr>
            </w:pPr>
            <w:r>
              <w:rPr>
                <w:b/>
                <w:spacing w:val="-2"/>
                <w:sz w:val="20"/>
              </w:rPr>
              <w:t>Years</w:t>
            </w:r>
          </w:p>
        </w:tc>
        <w:tc>
          <w:tcPr>
            <w:tcW w:w="2079" w:type="dxa"/>
            <w:gridSpan w:val="2"/>
            <w:tcBorders>
              <w:bottom w:val="single" w:color="E4E4E4" w:sz="4" w:space="0"/>
            </w:tcBorders>
            <w:shd w:val="clear" w:color="auto" w:fill="92D400"/>
          </w:tcPr>
          <w:p w:rsidR="00C31389" w:rsidRDefault="00561FBD" w14:paraId="1E1F9E72" w14:textId="77777777">
            <w:pPr>
              <w:pStyle w:val="TableParagraph"/>
              <w:ind w:left="654"/>
              <w:rPr>
                <w:b/>
                <w:sz w:val="20"/>
              </w:rPr>
            </w:pPr>
            <w:r>
              <w:rPr>
                <w:b/>
                <w:spacing w:val="-2"/>
                <w:sz w:val="20"/>
              </w:rPr>
              <w:t>Savings</w:t>
            </w:r>
          </w:p>
        </w:tc>
        <w:tc>
          <w:tcPr>
            <w:tcW w:w="2263" w:type="dxa"/>
            <w:gridSpan w:val="2"/>
            <w:tcBorders>
              <w:bottom w:val="single" w:color="E4E4E4" w:sz="4" w:space="0"/>
            </w:tcBorders>
            <w:shd w:val="clear" w:color="auto" w:fill="92D400"/>
          </w:tcPr>
          <w:p w:rsidR="00C31389" w:rsidRDefault="00561FBD" w14:paraId="3E0E3EC6" w14:textId="77777777">
            <w:pPr>
              <w:pStyle w:val="TableParagraph"/>
              <w:ind w:left="895" w:right="899"/>
              <w:jc w:val="center"/>
              <w:rPr>
                <w:b/>
                <w:sz w:val="20"/>
              </w:rPr>
            </w:pPr>
            <w:r>
              <w:rPr>
                <w:b/>
                <w:spacing w:val="-4"/>
                <w:sz w:val="20"/>
              </w:rPr>
              <w:t>Cost</w:t>
            </w:r>
          </w:p>
        </w:tc>
        <w:tc>
          <w:tcPr>
            <w:tcW w:w="1338" w:type="dxa"/>
            <w:vMerge w:val="restart"/>
            <w:shd w:val="clear" w:color="auto" w:fill="92D400"/>
          </w:tcPr>
          <w:p w:rsidR="00C31389" w:rsidRDefault="00561FBD" w14:paraId="438B1715" w14:textId="77777777">
            <w:pPr>
              <w:pStyle w:val="TableParagraph"/>
              <w:ind w:left="277" w:right="279"/>
              <w:jc w:val="center"/>
              <w:rPr>
                <w:b/>
                <w:sz w:val="20"/>
              </w:rPr>
            </w:pPr>
            <w:r>
              <w:rPr>
                <w:b/>
                <w:spacing w:val="-2"/>
                <w:sz w:val="20"/>
              </w:rPr>
              <w:t>kW/kWh Savings Ratio</w:t>
            </w:r>
          </w:p>
        </w:tc>
      </w:tr>
      <w:tr w:rsidR="00C31389" w14:paraId="02B98C04" w14:textId="77777777">
        <w:trPr>
          <w:trHeight w:val="507"/>
        </w:trPr>
        <w:tc>
          <w:tcPr>
            <w:tcW w:w="1241" w:type="dxa"/>
            <w:shd w:val="clear" w:color="auto" w:fill="92D400"/>
          </w:tcPr>
          <w:p w:rsidR="00C31389" w:rsidRDefault="00561FBD" w14:paraId="3234B10A" w14:textId="77777777">
            <w:pPr>
              <w:pStyle w:val="TableParagraph"/>
              <w:spacing w:before="0" w:line="219" w:lineRule="exact"/>
              <w:ind w:left="117"/>
              <w:rPr>
                <w:b/>
                <w:sz w:val="20"/>
              </w:rPr>
            </w:pPr>
            <w:r>
              <w:rPr>
                <w:b/>
                <w:spacing w:val="-2"/>
                <w:sz w:val="20"/>
              </w:rPr>
              <w:t>Sector</w:t>
            </w:r>
          </w:p>
        </w:tc>
        <w:tc>
          <w:tcPr>
            <w:tcW w:w="1145" w:type="dxa"/>
            <w:shd w:val="clear" w:color="auto" w:fill="92D400"/>
          </w:tcPr>
          <w:p w:rsidR="00C31389" w:rsidRDefault="00561FBD" w14:paraId="2A78AD11" w14:textId="77777777">
            <w:pPr>
              <w:pStyle w:val="TableParagraph"/>
              <w:spacing w:before="0" w:line="219" w:lineRule="exact"/>
              <w:ind w:left="122"/>
              <w:rPr>
                <w:b/>
                <w:sz w:val="20"/>
              </w:rPr>
            </w:pPr>
            <w:r>
              <w:rPr>
                <w:b/>
                <w:spacing w:val="-4"/>
                <w:sz w:val="20"/>
              </w:rPr>
              <w:t>Type</w:t>
            </w:r>
          </w:p>
        </w:tc>
        <w:tc>
          <w:tcPr>
            <w:tcW w:w="1305" w:type="dxa"/>
            <w:vMerge/>
            <w:tcBorders>
              <w:top w:val="nil"/>
            </w:tcBorders>
            <w:shd w:val="clear" w:color="auto" w:fill="92D400"/>
          </w:tcPr>
          <w:p w:rsidR="00C31389" w:rsidRDefault="00C31389" w14:paraId="7294363F" w14:textId="77777777">
            <w:pPr>
              <w:rPr>
                <w:sz w:val="2"/>
                <w:szCs w:val="2"/>
              </w:rPr>
            </w:pPr>
          </w:p>
        </w:tc>
        <w:tc>
          <w:tcPr>
            <w:tcW w:w="1006" w:type="dxa"/>
            <w:tcBorders>
              <w:top w:val="single" w:color="E4E4E4" w:sz="4" w:space="0"/>
            </w:tcBorders>
            <w:shd w:val="clear" w:color="auto" w:fill="92D400"/>
          </w:tcPr>
          <w:p w:rsidR="00C31389" w:rsidRDefault="00561FBD" w14:paraId="3AF1FD42" w14:textId="77777777">
            <w:pPr>
              <w:pStyle w:val="TableParagraph"/>
              <w:spacing w:before="111"/>
              <w:ind w:left="287"/>
              <w:rPr>
                <w:b/>
                <w:sz w:val="20"/>
              </w:rPr>
            </w:pPr>
            <w:r>
              <w:rPr>
                <w:b/>
                <w:spacing w:val="-5"/>
                <w:sz w:val="20"/>
              </w:rPr>
              <w:t>kWh</w:t>
            </w:r>
          </w:p>
        </w:tc>
        <w:tc>
          <w:tcPr>
            <w:tcW w:w="1073" w:type="dxa"/>
            <w:tcBorders>
              <w:top w:val="single" w:color="E4E4E4" w:sz="4" w:space="0"/>
            </w:tcBorders>
            <w:shd w:val="clear" w:color="auto" w:fill="92D400"/>
          </w:tcPr>
          <w:p w:rsidR="00C31389" w:rsidRDefault="00561FBD" w14:paraId="708D95E1" w14:textId="77777777">
            <w:pPr>
              <w:pStyle w:val="TableParagraph"/>
              <w:spacing w:before="111"/>
              <w:ind w:left="197"/>
              <w:rPr>
                <w:b/>
                <w:sz w:val="20"/>
              </w:rPr>
            </w:pPr>
            <w:r>
              <w:rPr>
                <w:b/>
                <w:spacing w:val="-2"/>
                <w:sz w:val="20"/>
              </w:rPr>
              <w:t>therms</w:t>
            </w:r>
          </w:p>
        </w:tc>
        <w:tc>
          <w:tcPr>
            <w:tcW w:w="980" w:type="dxa"/>
            <w:tcBorders>
              <w:top w:val="single" w:color="E4E4E4" w:sz="4" w:space="0"/>
            </w:tcBorders>
            <w:shd w:val="clear" w:color="auto" w:fill="92D400"/>
          </w:tcPr>
          <w:p w:rsidR="00C31389" w:rsidRDefault="00561FBD" w14:paraId="02BBCED4" w14:textId="77777777">
            <w:pPr>
              <w:pStyle w:val="TableParagraph"/>
              <w:spacing w:before="111"/>
              <w:ind w:left="242"/>
              <w:rPr>
                <w:b/>
                <w:sz w:val="20"/>
              </w:rPr>
            </w:pPr>
            <w:r>
              <w:rPr>
                <w:b/>
                <w:spacing w:val="-5"/>
                <w:sz w:val="20"/>
              </w:rPr>
              <w:t>kWh</w:t>
            </w:r>
          </w:p>
        </w:tc>
        <w:tc>
          <w:tcPr>
            <w:tcW w:w="1283" w:type="dxa"/>
            <w:tcBorders>
              <w:top w:val="single" w:color="E4E4E4" w:sz="4" w:space="0"/>
            </w:tcBorders>
            <w:shd w:val="clear" w:color="auto" w:fill="92D400"/>
          </w:tcPr>
          <w:p w:rsidR="00C31389" w:rsidRDefault="00561FBD" w14:paraId="79FA58AE" w14:textId="77777777">
            <w:pPr>
              <w:pStyle w:val="TableParagraph"/>
              <w:spacing w:before="111"/>
              <w:ind w:left="262" w:right="326"/>
              <w:jc w:val="center"/>
              <w:rPr>
                <w:b/>
                <w:sz w:val="20"/>
              </w:rPr>
            </w:pPr>
            <w:r>
              <w:rPr>
                <w:b/>
                <w:spacing w:val="-2"/>
                <w:sz w:val="20"/>
              </w:rPr>
              <w:t>therms</w:t>
            </w:r>
          </w:p>
        </w:tc>
        <w:tc>
          <w:tcPr>
            <w:tcW w:w="1338" w:type="dxa"/>
            <w:vMerge/>
            <w:tcBorders>
              <w:top w:val="nil"/>
            </w:tcBorders>
            <w:shd w:val="clear" w:color="auto" w:fill="92D400"/>
          </w:tcPr>
          <w:p w:rsidR="00C31389" w:rsidRDefault="00C31389" w14:paraId="1428F7DD" w14:textId="77777777">
            <w:pPr>
              <w:rPr>
                <w:sz w:val="2"/>
                <w:szCs w:val="2"/>
              </w:rPr>
            </w:pPr>
          </w:p>
        </w:tc>
      </w:tr>
      <w:tr w:rsidR="00C31389" w14:paraId="41161768" w14:textId="77777777">
        <w:trPr>
          <w:trHeight w:val="663"/>
        </w:trPr>
        <w:tc>
          <w:tcPr>
            <w:tcW w:w="1241" w:type="dxa"/>
            <w:tcBorders>
              <w:bottom w:val="single" w:color="000000" w:sz="8" w:space="0"/>
            </w:tcBorders>
          </w:tcPr>
          <w:p w:rsidR="00C31389" w:rsidRDefault="00561FBD" w14:paraId="233D27CF" w14:textId="77777777">
            <w:pPr>
              <w:pStyle w:val="TableParagraph"/>
              <w:spacing w:before="103"/>
              <w:ind w:left="117" w:right="117"/>
              <w:rPr>
                <w:sz w:val="20"/>
              </w:rPr>
            </w:pPr>
            <w:r>
              <w:rPr>
                <w:sz w:val="20"/>
              </w:rPr>
              <w:t>Industrial</w:t>
            </w:r>
            <w:r>
              <w:rPr>
                <w:spacing w:val="-14"/>
                <w:sz w:val="20"/>
              </w:rPr>
              <w:t xml:space="preserve"> </w:t>
            </w:r>
            <w:r>
              <w:rPr>
                <w:sz w:val="20"/>
              </w:rPr>
              <w:t xml:space="preserve">&amp; </w:t>
            </w:r>
            <w:r>
              <w:rPr>
                <w:spacing w:val="-2"/>
                <w:sz w:val="20"/>
              </w:rPr>
              <w:t>Agriculture</w:t>
            </w:r>
          </w:p>
        </w:tc>
        <w:tc>
          <w:tcPr>
            <w:tcW w:w="1145" w:type="dxa"/>
            <w:tcBorders>
              <w:bottom w:val="single" w:color="000000" w:sz="8" w:space="0"/>
            </w:tcBorders>
          </w:tcPr>
          <w:p w:rsidR="00C31389" w:rsidRDefault="00C31389" w14:paraId="7C2CE612" w14:textId="77777777">
            <w:pPr>
              <w:pStyle w:val="TableParagraph"/>
              <w:spacing w:before="9"/>
              <w:rPr>
                <w:b/>
                <w:sz w:val="18"/>
              </w:rPr>
            </w:pPr>
          </w:p>
          <w:p w:rsidR="00C31389" w:rsidRDefault="00561FBD" w14:paraId="61834862" w14:textId="77777777">
            <w:pPr>
              <w:pStyle w:val="TableParagraph"/>
              <w:spacing w:before="1"/>
              <w:ind w:left="122"/>
              <w:rPr>
                <w:sz w:val="20"/>
              </w:rPr>
            </w:pPr>
            <w:r>
              <w:rPr>
                <w:spacing w:val="-5"/>
                <w:sz w:val="20"/>
              </w:rPr>
              <w:t>ETs</w:t>
            </w:r>
          </w:p>
        </w:tc>
        <w:tc>
          <w:tcPr>
            <w:tcW w:w="1305" w:type="dxa"/>
            <w:tcBorders>
              <w:bottom w:val="single" w:color="000000" w:sz="8" w:space="0"/>
            </w:tcBorders>
          </w:tcPr>
          <w:p w:rsidR="00C31389" w:rsidRDefault="00C31389" w14:paraId="047CBD95" w14:textId="77777777">
            <w:pPr>
              <w:pStyle w:val="TableParagraph"/>
              <w:spacing w:before="9"/>
              <w:rPr>
                <w:b/>
                <w:sz w:val="18"/>
              </w:rPr>
            </w:pPr>
          </w:p>
          <w:p w:rsidR="00C31389" w:rsidRDefault="00561FBD" w14:paraId="4081B8C6" w14:textId="77777777">
            <w:pPr>
              <w:pStyle w:val="TableParagraph"/>
              <w:spacing w:before="1"/>
              <w:ind w:left="716"/>
              <w:rPr>
                <w:sz w:val="20"/>
              </w:rPr>
            </w:pPr>
            <w:r>
              <w:rPr>
                <w:spacing w:val="-5"/>
                <w:sz w:val="20"/>
              </w:rPr>
              <w:t>10</w:t>
            </w:r>
          </w:p>
        </w:tc>
        <w:tc>
          <w:tcPr>
            <w:tcW w:w="1006" w:type="dxa"/>
            <w:tcBorders>
              <w:bottom w:val="single" w:color="000000" w:sz="8" w:space="0"/>
            </w:tcBorders>
          </w:tcPr>
          <w:p w:rsidR="00C31389" w:rsidRDefault="00561FBD" w14:paraId="4B9A4DE2" w14:textId="77777777">
            <w:pPr>
              <w:pStyle w:val="TableParagraph"/>
              <w:spacing w:before="103"/>
              <w:ind w:left="182"/>
              <w:rPr>
                <w:sz w:val="20"/>
              </w:rPr>
            </w:pPr>
            <w:r>
              <w:rPr>
                <w:spacing w:val="-2"/>
                <w:sz w:val="20"/>
              </w:rPr>
              <w:t>0.93%-</w:t>
            </w:r>
          </w:p>
          <w:p w:rsidR="00C31389" w:rsidRDefault="00561FBD" w14:paraId="79AABBA7" w14:textId="77777777">
            <w:pPr>
              <w:pStyle w:val="TableParagraph"/>
              <w:spacing w:before="0"/>
              <w:ind w:left="215"/>
              <w:rPr>
                <w:sz w:val="20"/>
              </w:rPr>
            </w:pPr>
            <w:r>
              <w:rPr>
                <w:spacing w:val="-4"/>
                <w:sz w:val="20"/>
              </w:rPr>
              <w:t>9.62%</w:t>
            </w:r>
          </w:p>
        </w:tc>
        <w:tc>
          <w:tcPr>
            <w:tcW w:w="1073" w:type="dxa"/>
            <w:tcBorders>
              <w:bottom w:val="single" w:color="000000" w:sz="8" w:space="0"/>
            </w:tcBorders>
          </w:tcPr>
          <w:p w:rsidR="00C31389" w:rsidRDefault="00561FBD" w14:paraId="25EDECBB" w14:textId="77777777">
            <w:pPr>
              <w:pStyle w:val="TableParagraph"/>
              <w:spacing w:before="103"/>
              <w:ind w:left="269"/>
              <w:rPr>
                <w:sz w:val="20"/>
              </w:rPr>
            </w:pPr>
            <w:r>
              <w:rPr>
                <w:spacing w:val="-2"/>
                <w:sz w:val="20"/>
              </w:rPr>
              <w:t>0.0%-</w:t>
            </w:r>
          </w:p>
          <w:p w:rsidR="00C31389" w:rsidRDefault="00561FBD" w14:paraId="339F8D8A" w14:textId="77777777">
            <w:pPr>
              <w:pStyle w:val="TableParagraph"/>
              <w:spacing w:before="0"/>
              <w:ind w:left="191"/>
              <w:rPr>
                <w:sz w:val="20"/>
              </w:rPr>
            </w:pPr>
            <w:r>
              <w:rPr>
                <w:spacing w:val="-2"/>
                <w:sz w:val="20"/>
              </w:rPr>
              <w:t>14.21%</w:t>
            </w:r>
          </w:p>
        </w:tc>
        <w:tc>
          <w:tcPr>
            <w:tcW w:w="980" w:type="dxa"/>
            <w:tcBorders>
              <w:bottom w:val="single" w:color="000000" w:sz="8" w:space="0"/>
            </w:tcBorders>
          </w:tcPr>
          <w:p w:rsidR="00C31389" w:rsidRDefault="00C31389" w14:paraId="0B05A52D" w14:textId="77777777">
            <w:pPr>
              <w:pStyle w:val="TableParagraph"/>
              <w:spacing w:before="9"/>
              <w:rPr>
                <w:b/>
                <w:sz w:val="18"/>
              </w:rPr>
            </w:pPr>
          </w:p>
          <w:p w:rsidR="00C31389" w:rsidRDefault="00561FBD" w14:paraId="729E721B" w14:textId="77777777">
            <w:pPr>
              <w:pStyle w:val="TableParagraph"/>
              <w:spacing w:before="1"/>
              <w:ind w:left="204"/>
              <w:rPr>
                <w:sz w:val="20"/>
              </w:rPr>
            </w:pPr>
            <w:r>
              <w:rPr>
                <w:spacing w:val="-2"/>
                <w:sz w:val="20"/>
              </w:rPr>
              <w:t>$0.42</w:t>
            </w:r>
          </w:p>
        </w:tc>
        <w:tc>
          <w:tcPr>
            <w:tcW w:w="1283" w:type="dxa"/>
            <w:tcBorders>
              <w:bottom w:val="single" w:color="000000" w:sz="8" w:space="0"/>
            </w:tcBorders>
          </w:tcPr>
          <w:p w:rsidR="00C31389" w:rsidRDefault="00C31389" w14:paraId="438C6FF1" w14:textId="77777777">
            <w:pPr>
              <w:pStyle w:val="TableParagraph"/>
              <w:spacing w:before="9"/>
              <w:rPr>
                <w:b/>
                <w:sz w:val="18"/>
              </w:rPr>
            </w:pPr>
          </w:p>
          <w:p w:rsidR="00C31389" w:rsidRDefault="00561FBD" w14:paraId="7DAF4D62" w14:textId="77777777">
            <w:pPr>
              <w:pStyle w:val="TableParagraph"/>
              <w:spacing w:before="1"/>
              <w:ind w:left="261" w:right="326"/>
              <w:jc w:val="center"/>
              <w:rPr>
                <w:sz w:val="20"/>
              </w:rPr>
            </w:pPr>
            <w:r>
              <w:rPr>
                <w:spacing w:val="-2"/>
                <w:sz w:val="20"/>
              </w:rPr>
              <w:t>$2.83</w:t>
            </w:r>
          </w:p>
        </w:tc>
        <w:tc>
          <w:tcPr>
            <w:tcW w:w="1338" w:type="dxa"/>
            <w:tcBorders>
              <w:bottom w:val="single" w:color="000000" w:sz="8" w:space="0"/>
            </w:tcBorders>
          </w:tcPr>
          <w:p w:rsidR="00C31389" w:rsidRDefault="00C31389" w14:paraId="4938AAD4" w14:textId="77777777">
            <w:pPr>
              <w:pStyle w:val="TableParagraph"/>
              <w:spacing w:before="9"/>
              <w:rPr>
                <w:b/>
                <w:sz w:val="18"/>
              </w:rPr>
            </w:pPr>
          </w:p>
          <w:p w:rsidR="00C31389" w:rsidRDefault="00561FBD" w14:paraId="1DFE552B" w14:textId="77777777">
            <w:pPr>
              <w:pStyle w:val="TableParagraph"/>
              <w:spacing w:before="1"/>
              <w:ind w:left="250"/>
              <w:rPr>
                <w:sz w:val="20"/>
              </w:rPr>
            </w:pPr>
            <w:r>
              <w:rPr>
                <w:spacing w:val="-2"/>
                <w:sz w:val="20"/>
              </w:rPr>
              <w:t>0.000195</w:t>
            </w:r>
          </w:p>
        </w:tc>
      </w:tr>
    </w:tbl>
    <w:p w:rsidR="00C31389" w:rsidRDefault="00561FBD" w14:paraId="078CC0E2"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3DD0583F" w14:textId="77777777">
      <w:pPr>
        <w:pStyle w:val="BodyText"/>
        <w:rPr>
          <w:i/>
          <w:sz w:val="20"/>
        </w:rPr>
      </w:pPr>
    </w:p>
    <w:p w:rsidR="00C31389" w:rsidRDefault="00561FBD" w14:paraId="7CD640ED" w14:textId="77777777">
      <w:pPr>
        <w:pStyle w:val="ListParagraph"/>
        <w:numPr>
          <w:ilvl w:val="2"/>
          <w:numId w:val="13"/>
        </w:numPr>
        <w:tabs>
          <w:tab w:val="left" w:pos="1197"/>
        </w:tabs>
        <w:spacing w:before="131"/>
        <w:ind w:left="1197" w:hanging="717"/>
        <w:rPr>
          <w:b/>
          <w:sz w:val="24"/>
        </w:rPr>
      </w:pPr>
      <w:bookmarkStart w:name="G.2.2_Eligibility_and_Participation" w:id="630"/>
      <w:bookmarkStart w:name="_bookmark484" w:id="631"/>
      <w:bookmarkEnd w:id="630"/>
      <w:bookmarkEnd w:id="631"/>
      <w:r>
        <w:rPr>
          <w:b/>
          <w:sz w:val="24"/>
        </w:rPr>
        <w:t>Eligibility</w:t>
      </w:r>
      <w:r>
        <w:rPr>
          <w:b/>
          <w:spacing w:val="-6"/>
          <w:sz w:val="24"/>
        </w:rPr>
        <w:t xml:space="preserve"> </w:t>
      </w:r>
      <w:r>
        <w:rPr>
          <w:b/>
          <w:sz w:val="24"/>
        </w:rPr>
        <w:t>and</w:t>
      </w:r>
      <w:r>
        <w:rPr>
          <w:b/>
          <w:spacing w:val="-3"/>
          <w:sz w:val="24"/>
        </w:rPr>
        <w:t xml:space="preserve"> </w:t>
      </w:r>
      <w:r>
        <w:rPr>
          <w:b/>
          <w:spacing w:val="-2"/>
          <w:sz w:val="24"/>
        </w:rPr>
        <w:t>Participation</w:t>
      </w:r>
    </w:p>
    <w:p w:rsidR="00C31389" w:rsidRDefault="00C31389" w14:paraId="4285AE59" w14:textId="77777777">
      <w:pPr>
        <w:pStyle w:val="BodyText"/>
        <w:spacing w:before="2"/>
        <w:rPr>
          <w:b/>
          <w:sz w:val="23"/>
        </w:rPr>
      </w:pPr>
    </w:p>
    <w:p w:rsidR="00C31389" w:rsidRDefault="00561FBD" w14:paraId="1D7E55B0" w14:textId="77777777">
      <w:pPr>
        <w:pStyle w:val="BodyText"/>
        <w:spacing w:before="1"/>
        <w:ind w:left="479" w:right="434"/>
      </w:pPr>
      <w:r>
        <w:t>Assessment of eligibility and participation began with quality assurance and quality control (QA/QC)</w:t>
      </w:r>
      <w:r>
        <w:rPr>
          <w:spacing w:val="-4"/>
        </w:rPr>
        <w:t xml:space="preserve"> </w:t>
      </w:r>
      <w:r>
        <w:t>efforts</w:t>
      </w:r>
      <w:r>
        <w:rPr>
          <w:spacing w:val="-3"/>
        </w:rPr>
        <w:t xml:space="preserve"> </w:t>
      </w:r>
      <w:r>
        <w:t>to</w:t>
      </w:r>
      <w:r>
        <w:rPr>
          <w:spacing w:val="-3"/>
        </w:rPr>
        <w:t xml:space="preserve"> </w:t>
      </w:r>
      <w:r>
        <w:t>review</w:t>
      </w:r>
      <w:r>
        <w:rPr>
          <w:spacing w:val="-4"/>
        </w:rPr>
        <w:t xml:space="preserve"> </w:t>
      </w:r>
      <w:r>
        <w:t>the</w:t>
      </w:r>
      <w:r>
        <w:rPr>
          <w:spacing w:val="-3"/>
        </w:rPr>
        <w:t xml:space="preserve"> </w:t>
      </w:r>
      <w:r>
        <w:t>2017</w:t>
      </w:r>
      <w:r>
        <w:rPr>
          <w:spacing w:val="-3"/>
        </w:rPr>
        <w:t xml:space="preserve"> </w:t>
      </w:r>
      <w:r>
        <w:t>and</w:t>
      </w:r>
      <w:r>
        <w:rPr>
          <w:spacing w:val="-3"/>
        </w:rPr>
        <w:t xml:space="preserve"> </w:t>
      </w:r>
      <w:r>
        <w:t>2019</w:t>
      </w:r>
      <w:r>
        <w:rPr>
          <w:spacing w:val="-3"/>
        </w:rPr>
        <w:t xml:space="preserve"> </w:t>
      </w:r>
      <w:r>
        <w:t>Study</w:t>
      </w:r>
      <w:r>
        <w:rPr>
          <w:spacing w:val="-3"/>
        </w:rPr>
        <w:t xml:space="preserve"> </w:t>
      </w:r>
      <w:r>
        <w:t>inputs</w:t>
      </w:r>
      <w:r>
        <w:rPr>
          <w:spacing w:val="-3"/>
        </w:rPr>
        <w:t xml:space="preserve"> </w:t>
      </w:r>
      <w:r>
        <w:t>to</w:t>
      </w:r>
      <w:r>
        <w:rPr>
          <w:spacing w:val="-3"/>
        </w:rPr>
        <w:t xml:space="preserve"> </w:t>
      </w:r>
      <w:r>
        <w:t>assess</w:t>
      </w:r>
      <w:r>
        <w:rPr>
          <w:spacing w:val="-3"/>
        </w:rPr>
        <w:t xml:space="preserve"> </w:t>
      </w:r>
      <w:r>
        <w:t>data</w:t>
      </w:r>
      <w:r>
        <w:rPr>
          <w:spacing w:val="-3"/>
        </w:rPr>
        <w:t xml:space="preserve"> </w:t>
      </w:r>
      <w:r>
        <w:t>entry,</w:t>
      </w:r>
      <w:r>
        <w:rPr>
          <w:spacing w:val="-3"/>
        </w:rPr>
        <w:t xml:space="preserve"> </w:t>
      </w:r>
      <w:r>
        <w:t xml:space="preserve">technology assessment, classification and </w:t>
      </w:r>
      <w:r>
        <w:t>scoring, and Excel formula references. For reference, the 2017 and 2019 approach is also included in this report.</w:t>
      </w:r>
    </w:p>
    <w:p w:rsidR="00C31389" w:rsidRDefault="00C31389" w14:paraId="12AA141C" w14:textId="77777777">
      <w:pPr>
        <w:pStyle w:val="BodyText"/>
        <w:spacing w:before="9"/>
        <w:rPr>
          <w:sz w:val="20"/>
        </w:rPr>
      </w:pPr>
    </w:p>
    <w:p w:rsidR="00C31389" w:rsidRDefault="00561FBD" w14:paraId="21D2417A" w14:textId="77777777">
      <w:pPr>
        <w:pStyle w:val="BodyText"/>
        <w:ind w:left="479" w:right="418"/>
      </w:pPr>
      <w:r>
        <w:t>The</w:t>
      </w:r>
      <w:r>
        <w:rPr>
          <w:spacing w:val="-3"/>
        </w:rPr>
        <w:t xml:space="preserve"> </w:t>
      </w:r>
      <w:r>
        <w:t>Guidehouse</w:t>
      </w:r>
      <w:r>
        <w:rPr>
          <w:spacing w:val="-3"/>
        </w:rPr>
        <w:t xml:space="preserve"> </w:t>
      </w:r>
      <w:r>
        <w:t>team</w:t>
      </w:r>
      <w:r>
        <w:rPr>
          <w:spacing w:val="-3"/>
        </w:rPr>
        <w:t xml:space="preserve"> </w:t>
      </w:r>
      <w:r>
        <w:t>first</w:t>
      </w:r>
      <w:r>
        <w:rPr>
          <w:spacing w:val="-3"/>
        </w:rPr>
        <w:t xml:space="preserve"> </w:t>
      </w:r>
      <w:r>
        <w:t>identified</w:t>
      </w:r>
      <w:r>
        <w:rPr>
          <w:spacing w:val="-4"/>
        </w:rPr>
        <w:t xml:space="preserve"> </w:t>
      </w:r>
      <w:r>
        <w:t>the</w:t>
      </w:r>
      <w:r>
        <w:rPr>
          <w:spacing w:val="-3"/>
        </w:rPr>
        <w:t xml:space="preserve"> </w:t>
      </w:r>
      <w:r>
        <w:t>portfolio</w:t>
      </w:r>
      <w:r>
        <w:rPr>
          <w:spacing w:val="-4"/>
        </w:rPr>
        <w:t xml:space="preserve"> </w:t>
      </w:r>
      <w:r>
        <w:t>of</w:t>
      </w:r>
      <w:r>
        <w:rPr>
          <w:spacing w:val="-3"/>
        </w:rPr>
        <w:t xml:space="preserve"> </w:t>
      </w:r>
      <w:r>
        <w:t>ETs</w:t>
      </w:r>
      <w:r>
        <w:rPr>
          <w:spacing w:val="-3"/>
        </w:rPr>
        <w:t xml:space="preserve"> </w:t>
      </w:r>
      <w:r>
        <w:t>applicable</w:t>
      </w:r>
      <w:r>
        <w:rPr>
          <w:spacing w:val="-3"/>
        </w:rPr>
        <w:t xml:space="preserve"> </w:t>
      </w:r>
      <w:r>
        <w:t>to</w:t>
      </w:r>
      <w:r>
        <w:rPr>
          <w:spacing w:val="-3"/>
        </w:rPr>
        <w:t xml:space="preserve"> </w:t>
      </w:r>
      <w:r>
        <w:t>the</w:t>
      </w:r>
      <w:r>
        <w:rPr>
          <w:spacing w:val="-4"/>
        </w:rPr>
        <w:t xml:space="preserve"> </w:t>
      </w:r>
      <w:r>
        <w:t>industrial</w:t>
      </w:r>
      <w:r>
        <w:rPr>
          <w:spacing w:val="-3"/>
        </w:rPr>
        <w:t xml:space="preserve"> </w:t>
      </w:r>
      <w:r>
        <w:t xml:space="preserve">and agriculture sectors using the following </w:t>
      </w:r>
      <w:r>
        <w:t>steps:</w:t>
      </w:r>
    </w:p>
    <w:p w:rsidR="00C31389" w:rsidRDefault="00561FBD" w14:paraId="1A26ADDB" w14:textId="77777777">
      <w:pPr>
        <w:pStyle w:val="ListParagraph"/>
        <w:numPr>
          <w:ilvl w:val="3"/>
          <w:numId w:val="13"/>
        </w:numPr>
        <w:tabs>
          <w:tab w:val="left" w:pos="1198"/>
        </w:tabs>
        <w:spacing w:before="121"/>
        <w:ind w:left="1198" w:hanging="359"/>
      </w:pPr>
      <w:r>
        <w:t>Collect</w:t>
      </w:r>
      <w:r>
        <w:rPr>
          <w:spacing w:val="-6"/>
        </w:rPr>
        <w:t xml:space="preserve"> </w:t>
      </w:r>
      <w:r>
        <w:t>data</w:t>
      </w:r>
      <w:r>
        <w:rPr>
          <w:spacing w:val="-6"/>
        </w:rPr>
        <w:t xml:space="preserve"> </w:t>
      </w:r>
      <w:r>
        <w:t>to</w:t>
      </w:r>
      <w:r>
        <w:rPr>
          <w:spacing w:val="-5"/>
        </w:rPr>
        <w:t xml:space="preserve"> </w:t>
      </w:r>
      <w:r>
        <w:t>assemble</w:t>
      </w:r>
      <w:r>
        <w:rPr>
          <w:spacing w:val="-6"/>
        </w:rPr>
        <w:t xml:space="preserve"> </w:t>
      </w:r>
      <w:r>
        <w:t>a</w:t>
      </w:r>
      <w:r>
        <w:rPr>
          <w:spacing w:val="-5"/>
        </w:rPr>
        <w:t xml:space="preserve"> </w:t>
      </w:r>
      <w:r>
        <w:t>broad</w:t>
      </w:r>
      <w:r>
        <w:rPr>
          <w:spacing w:val="-5"/>
        </w:rPr>
        <w:t xml:space="preserve"> </w:t>
      </w:r>
      <w:r>
        <w:t>portfolio</w:t>
      </w:r>
      <w:r>
        <w:rPr>
          <w:spacing w:val="-5"/>
        </w:rPr>
        <w:t xml:space="preserve"> </w:t>
      </w:r>
      <w:r>
        <w:t>of</w:t>
      </w:r>
      <w:r>
        <w:rPr>
          <w:spacing w:val="-5"/>
        </w:rPr>
        <w:t xml:space="preserve"> </w:t>
      </w:r>
      <w:r>
        <w:rPr>
          <w:spacing w:val="-4"/>
        </w:rPr>
        <w:t>ETs.</w:t>
      </w:r>
    </w:p>
    <w:p w:rsidR="00C31389" w:rsidRDefault="00561FBD" w14:paraId="58E85770" w14:textId="77777777">
      <w:pPr>
        <w:pStyle w:val="ListParagraph"/>
        <w:numPr>
          <w:ilvl w:val="3"/>
          <w:numId w:val="13"/>
        </w:numPr>
        <w:tabs>
          <w:tab w:val="left" w:pos="1198"/>
        </w:tabs>
        <w:spacing w:before="145"/>
        <w:ind w:left="1198" w:hanging="359"/>
      </w:pPr>
      <w:r>
        <w:t>Characterize</w:t>
      </w:r>
      <w:r>
        <w:rPr>
          <w:spacing w:val="-7"/>
        </w:rPr>
        <w:t xml:space="preserve"> </w:t>
      </w:r>
      <w:r>
        <w:t>ETs</w:t>
      </w:r>
      <w:r>
        <w:rPr>
          <w:spacing w:val="-7"/>
        </w:rPr>
        <w:t xml:space="preserve"> </w:t>
      </w:r>
      <w:r>
        <w:t>based</w:t>
      </w:r>
      <w:r>
        <w:rPr>
          <w:spacing w:val="-7"/>
        </w:rPr>
        <w:t xml:space="preserve"> </w:t>
      </w:r>
      <w:r>
        <w:t>on</w:t>
      </w:r>
      <w:r>
        <w:rPr>
          <w:spacing w:val="-7"/>
        </w:rPr>
        <w:t xml:space="preserve"> </w:t>
      </w:r>
      <w:r>
        <w:t>various</w:t>
      </w:r>
      <w:r>
        <w:rPr>
          <w:spacing w:val="-7"/>
        </w:rPr>
        <w:t xml:space="preserve"> </w:t>
      </w:r>
      <w:r>
        <w:t>savings</w:t>
      </w:r>
      <w:r>
        <w:rPr>
          <w:spacing w:val="-8"/>
        </w:rPr>
        <w:t xml:space="preserve"> </w:t>
      </w:r>
      <w:r>
        <w:t>potential</w:t>
      </w:r>
      <w:r>
        <w:rPr>
          <w:spacing w:val="-7"/>
        </w:rPr>
        <w:t xml:space="preserve"> </w:t>
      </w:r>
      <w:r>
        <w:t>and</w:t>
      </w:r>
      <w:r>
        <w:rPr>
          <w:spacing w:val="-6"/>
        </w:rPr>
        <w:t xml:space="preserve"> </w:t>
      </w:r>
      <w:r>
        <w:t>risk</w:t>
      </w:r>
      <w:r>
        <w:rPr>
          <w:spacing w:val="-7"/>
        </w:rPr>
        <w:t xml:space="preserve"> </w:t>
      </w:r>
      <w:r>
        <w:rPr>
          <w:spacing w:val="-2"/>
        </w:rPr>
        <w:t>criteria.</w:t>
      </w:r>
    </w:p>
    <w:p w:rsidR="00C31389" w:rsidRDefault="00C31389" w14:paraId="646F5C52" w14:textId="77777777">
      <w:pPr>
        <w:pStyle w:val="BodyText"/>
        <w:spacing w:before="1"/>
        <w:rPr>
          <w:sz w:val="23"/>
        </w:rPr>
      </w:pPr>
    </w:p>
    <w:p w:rsidR="00C31389" w:rsidRDefault="00561FBD" w14:paraId="1F35A090" w14:textId="77777777">
      <w:pPr>
        <w:pStyle w:val="BodyText"/>
        <w:ind w:left="479"/>
      </w:pPr>
      <w:r>
        <w:t>To</w:t>
      </w:r>
      <w:r>
        <w:rPr>
          <w:spacing w:val="-6"/>
        </w:rPr>
        <w:t xml:space="preserve"> </w:t>
      </w:r>
      <w:r>
        <w:t>collect</w:t>
      </w:r>
      <w:r>
        <w:rPr>
          <w:spacing w:val="-7"/>
        </w:rPr>
        <w:t xml:space="preserve"> </w:t>
      </w:r>
      <w:r>
        <w:t>data,</w:t>
      </w:r>
      <w:r>
        <w:rPr>
          <w:spacing w:val="-6"/>
        </w:rPr>
        <w:t xml:space="preserve"> </w:t>
      </w:r>
      <w:r>
        <w:t>the</w:t>
      </w:r>
      <w:r>
        <w:rPr>
          <w:spacing w:val="-5"/>
        </w:rPr>
        <w:t xml:space="preserve"> </w:t>
      </w:r>
      <w:r>
        <w:t>team</w:t>
      </w:r>
      <w:r>
        <w:rPr>
          <w:spacing w:val="-7"/>
        </w:rPr>
        <w:t xml:space="preserve"> </w:t>
      </w:r>
      <w:r>
        <w:t>reviewed</w:t>
      </w:r>
      <w:r>
        <w:rPr>
          <w:spacing w:val="-6"/>
        </w:rPr>
        <w:t xml:space="preserve"> </w:t>
      </w:r>
      <w:r>
        <w:t>the</w:t>
      </w:r>
      <w:r>
        <w:rPr>
          <w:spacing w:val="-5"/>
        </w:rPr>
        <w:t xml:space="preserve"> </w:t>
      </w:r>
      <w:r>
        <w:t>following</w:t>
      </w:r>
      <w:r>
        <w:rPr>
          <w:spacing w:val="-7"/>
        </w:rPr>
        <w:t xml:space="preserve"> </w:t>
      </w:r>
      <w:r>
        <w:t>web</w:t>
      </w:r>
      <w:r>
        <w:rPr>
          <w:spacing w:val="-6"/>
        </w:rPr>
        <w:t xml:space="preserve"> </w:t>
      </w:r>
      <w:r>
        <w:rPr>
          <w:spacing w:val="-2"/>
        </w:rPr>
        <w:t>sources:</w:t>
      </w:r>
    </w:p>
    <w:p w:rsidR="00C31389" w:rsidRDefault="00561FBD" w14:paraId="675D87EE" w14:textId="77777777">
      <w:pPr>
        <w:pStyle w:val="ListParagraph"/>
        <w:numPr>
          <w:ilvl w:val="4"/>
          <w:numId w:val="13"/>
        </w:numPr>
        <w:tabs>
          <w:tab w:val="left" w:pos="1199"/>
        </w:tabs>
        <w:spacing w:before="119"/>
        <w:rPr>
          <w:sz w:val="14"/>
        </w:rPr>
      </w:pPr>
      <w:r>
        <w:t>Emerging</w:t>
      </w:r>
      <w:r>
        <w:rPr>
          <w:spacing w:val="-13"/>
        </w:rPr>
        <w:t xml:space="preserve"> </w:t>
      </w:r>
      <w:r>
        <w:t>Technologies</w:t>
      </w:r>
      <w:r>
        <w:rPr>
          <w:spacing w:val="-14"/>
        </w:rPr>
        <w:t xml:space="preserve"> </w:t>
      </w:r>
      <w:r>
        <w:t>Coordinating</w:t>
      </w:r>
      <w:r>
        <w:rPr>
          <w:spacing w:val="-12"/>
        </w:rPr>
        <w:t xml:space="preserve"> </w:t>
      </w:r>
      <w:r>
        <w:rPr>
          <w:spacing w:val="-2"/>
        </w:rPr>
        <w:t>Council</w:t>
      </w:r>
      <w:hyperlink w:history="1" w:anchor="_bookmark486">
        <w:r>
          <w:rPr>
            <w:spacing w:val="-2"/>
            <w:position w:val="7"/>
            <w:sz w:val="14"/>
          </w:rPr>
          <w:t>186</w:t>
        </w:r>
      </w:hyperlink>
    </w:p>
    <w:p w:rsidR="00C31389" w:rsidRDefault="00561FBD" w14:paraId="0A34AA94" w14:textId="77777777">
      <w:pPr>
        <w:pStyle w:val="ListParagraph"/>
        <w:numPr>
          <w:ilvl w:val="4"/>
          <w:numId w:val="13"/>
        </w:numPr>
        <w:tabs>
          <w:tab w:val="left" w:pos="1199"/>
        </w:tabs>
        <w:spacing w:before="119"/>
        <w:rPr>
          <w:sz w:val="14"/>
        </w:rPr>
      </w:pPr>
      <w:r>
        <w:t>CEC</w:t>
      </w:r>
      <w:r>
        <w:rPr>
          <w:spacing w:val="-11"/>
        </w:rPr>
        <w:t xml:space="preserve"> </w:t>
      </w:r>
      <w:r>
        <w:t>Publications</w:t>
      </w:r>
      <w:r>
        <w:rPr>
          <w:spacing w:val="-10"/>
        </w:rPr>
        <w:t xml:space="preserve"> </w:t>
      </w:r>
      <w:r>
        <w:rPr>
          <w:spacing w:val="-2"/>
        </w:rPr>
        <w:t>Database</w:t>
      </w:r>
      <w:hyperlink w:history="1" w:anchor="_bookmark487">
        <w:r>
          <w:rPr>
            <w:spacing w:val="-2"/>
            <w:position w:val="7"/>
            <w:sz w:val="14"/>
          </w:rPr>
          <w:t>187</w:t>
        </w:r>
      </w:hyperlink>
    </w:p>
    <w:p w:rsidR="00C31389" w:rsidRDefault="00561FBD" w14:paraId="21809F92" w14:textId="77777777">
      <w:pPr>
        <w:pStyle w:val="ListParagraph"/>
        <w:numPr>
          <w:ilvl w:val="4"/>
          <w:numId w:val="13"/>
        </w:numPr>
        <w:tabs>
          <w:tab w:val="left" w:pos="1199"/>
        </w:tabs>
        <w:spacing w:before="118"/>
        <w:ind w:hanging="359"/>
        <w:rPr>
          <w:sz w:val="14"/>
        </w:rPr>
      </w:pPr>
      <w:r>
        <w:t>U.S.</w:t>
      </w:r>
      <w:r>
        <w:rPr>
          <w:spacing w:val="-8"/>
        </w:rPr>
        <w:t xml:space="preserve"> </w:t>
      </w:r>
      <w:r>
        <w:t>Department</w:t>
      </w:r>
      <w:r>
        <w:rPr>
          <w:spacing w:val="-8"/>
        </w:rPr>
        <w:t xml:space="preserve"> </w:t>
      </w:r>
      <w:r>
        <w:t>of</w:t>
      </w:r>
      <w:r>
        <w:rPr>
          <w:spacing w:val="-8"/>
        </w:rPr>
        <w:t xml:space="preserve"> </w:t>
      </w:r>
      <w:r>
        <w:t>Energy</w:t>
      </w:r>
      <w:r>
        <w:rPr>
          <w:spacing w:val="-8"/>
        </w:rPr>
        <w:t xml:space="preserve"> </w:t>
      </w:r>
      <w:r>
        <w:t>(DOE)</w:t>
      </w:r>
      <w:r>
        <w:rPr>
          <w:spacing w:val="-8"/>
        </w:rPr>
        <w:t xml:space="preserve"> </w:t>
      </w:r>
      <w:r>
        <w:t>Research</w:t>
      </w:r>
      <w:r>
        <w:rPr>
          <w:spacing w:val="-8"/>
        </w:rPr>
        <w:t xml:space="preserve"> </w:t>
      </w:r>
      <w:r>
        <w:t>and</w:t>
      </w:r>
      <w:r>
        <w:rPr>
          <w:spacing w:val="-8"/>
        </w:rPr>
        <w:t xml:space="preserve"> </w:t>
      </w:r>
      <w:r>
        <w:t>Development</w:t>
      </w:r>
      <w:r>
        <w:rPr>
          <w:spacing w:val="-8"/>
        </w:rPr>
        <w:t xml:space="preserve"> </w:t>
      </w:r>
      <w:r>
        <w:rPr>
          <w:spacing w:val="-2"/>
        </w:rPr>
        <w:t>Projects</w:t>
      </w:r>
      <w:hyperlink w:history="1" w:anchor="_bookmark488">
        <w:r>
          <w:rPr>
            <w:spacing w:val="-2"/>
            <w:position w:val="7"/>
            <w:sz w:val="14"/>
          </w:rPr>
          <w:t>188</w:t>
        </w:r>
      </w:hyperlink>
    </w:p>
    <w:p w:rsidR="00C31389" w:rsidRDefault="00C31389" w14:paraId="5E767988" w14:textId="77777777">
      <w:pPr>
        <w:pStyle w:val="BodyText"/>
        <w:rPr>
          <w:sz w:val="20"/>
        </w:rPr>
      </w:pPr>
    </w:p>
    <w:p w:rsidR="00C31389" w:rsidRDefault="00561FBD" w14:paraId="022139EA" w14:textId="77777777">
      <w:pPr>
        <w:pStyle w:val="BodyText"/>
        <w:spacing w:before="4"/>
        <w:rPr>
          <w:sz w:val="16"/>
        </w:rPr>
      </w:pPr>
      <w:r>
        <w:rPr>
          <w:noProof/>
        </w:rPr>
        <mc:AlternateContent>
          <mc:Choice Requires="wps">
            <w:drawing>
              <wp:anchor distT="0" distB="0" distL="0" distR="0" simplePos="0" relativeHeight="487739392" behindDoc="1" locked="0" layoutInCell="1" allowOverlap="1" wp14:editId="4D146480" wp14:anchorId="6F9F4B30">
                <wp:simplePos x="0" y="0"/>
                <wp:positionH relativeFrom="page">
                  <wp:posOffset>914400</wp:posOffset>
                </wp:positionH>
                <wp:positionV relativeFrom="paragraph">
                  <wp:posOffset>135111</wp:posOffset>
                </wp:positionV>
                <wp:extent cx="1828800" cy="6985"/>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32" style="position:absolute;margin-left:1in;margin-top:10.65pt;width:2in;height:.55pt;z-index:-1557708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" w14:anchorId="14CE07BA">
                <v:path arrowok="t"/>
                <w10:wrap type="topAndBottom" anchorx="page"/>
              </v:shape>
            </w:pict>
          </mc:Fallback>
        </mc:AlternateContent>
      </w:r>
    </w:p>
    <w:p w:rsidR="00C31389" w:rsidRDefault="00561FBD" w14:paraId="4FB781E0" w14:textId="77777777">
      <w:pPr>
        <w:spacing w:before="89"/>
        <w:ind w:left="480"/>
        <w:rPr>
          <w:sz w:val="18"/>
        </w:rPr>
      </w:pPr>
      <w:bookmarkStart w:name="_bookmark485" w:id="632"/>
      <w:bookmarkEnd w:id="632"/>
      <w:r>
        <w:rPr>
          <w:position w:val="6"/>
          <w:sz w:val="12"/>
        </w:rPr>
        <w:t>185</w:t>
      </w:r>
      <w:r>
        <w:rPr>
          <w:spacing w:val="12"/>
          <w:position w:val="6"/>
          <w:sz w:val="12"/>
        </w:rPr>
        <w:t xml:space="preserve"> </w:t>
      </w:r>
      <w:r>
        <w:rPr>
          <w:sz w:val="18"/>
        </w:rPr>
        <w:t>The</w:t>
      </w:r>
      <w:r>
        <w:rPr>
          <w:spacing w:val="-2"/>
          <w:sz w:val="18"/>
        </w:rPr>
        <w:t xml:space="preserve"> </w:t>
      </w:r>
      <w:r>
        <w:rPr>
          <w:sz w:val="18"/>
        </w:rPr>
        <w:t>ETs</w:t>
      </w:r>
      <w:r>
        <w:rPr>
          <w:spacing w:val="-2"/>
          <w:sz w:val="18"/>
        </w:rPr>
        <w:t xml:space="preserve"> </w:t>
      </w:r>
      <w:r>
        <w:rPr>
          <w:sz w:val="18"/>
        </w:rPr>
        <w:t>represent</w:t>
      </w:r>
      <w:r>
        <w:rPr>
          <w:spacing w:val="-2"/>
          <w:sz w:val="18"/>
        </w:rPr>
        <w:t xml:space="preserve"> </w:t>
      </w:r>
      <w:r>
        <w:rPr>
          <w:sz w:val="18"/>
        </w:rPr>
        <w:t>a</w:t>
      </w:r>
      <w:r>
        <w:rPr>
          <w:spacing w:val="-3"/>
          <w:sz w:val="18"/>
        </w:rPr>
        <w:t xml:space="preserve"> </w:t>
      </w:r>
      <w:r>
        <w:rPr>
          <w:sz w:val="18"/>
        </w:rPr>
        <w:t>process</w:t>
      </w:r>
      <w:r>
        <w:rPr>
          <w:spacing w:val="-1"/>
          <w:sz w:val="18"/>
        </w:rPr>
        <w:t xml:space="preserve"> </w:t>
      </w:r>
      <w:r>
        <w:rPr>
          <w:sz w:val="18"/>
        </w:rPr>
        <w:t>to</w:t>
      </w:r>
      <w:r>
        <w:rPr>
          <w:spacing w:val="-2"/>
          <w:sz w:val="18"/>
        </w:rPr>
        <w:t xml:space="preserve"> </w:t>
      </w:r>
      <w:r>
        <w:rPr>
          <w:sz w:val="18"/>
        </w:rPr>
        <w:t>reduce</w:t>
      </w:r>
      <w:r>
        <w:rPr>
          <w:spacing w:val="-3"/>
          <w:sz w:val="18"/>
        </w:rPr>
        <w:t xml:space="preserve"> </w:t>
      </w:r>
      <w:r>
        <w:rPr>
          <w:sz w:val="18"/>
        </w:rPr>
        <w:t>energy</w:t>
      </w:r>
      <w:r>
        <w:rPr>
          <w:spacing w:val="-2"/>
          <w:sz w:val="18"/>
        </w:rPr>
        <w:t xml:space="preserve"> </w:t>
      </w:r>
      <w:r>
        <w:rPr>
          <w:sz w:val="18"/>
        </w:rPr>
        <w:t>consumption,</w:t>
      </w:r>
      <w:r>
        <w:rPr>
          <w:spacing w:val="-2"/>
          <w:sz w:val="18"/>
        </w:rPr>
        <w:t xml:space="preserve"> </w:t>
      </w:r>
      <w:r>
        <w:rPr>
          <w:sz w:val="18"/>
        </w:rPr>
        <w:t>not</w:t>
      </w:r>
      <w:r>
        <w:rPr>
          <w:spacing w:val="-2"/>
          <w:sz w:val="18"/>
        </w:rPr>
        <w:t xml:space="preserve"> </w:t>
      </w:r>
      <w:r>
        <w:rPr>
          <w:sz w:val="18"/>
        </w:rPr>
        <w:t>necessarily</w:t>
      </w:r>
      <w:r>
        <w:rPr>
          <w:spacing w:val="-2"/>
          <w:sz w:val="18"/>
        </w:rPr>
        <w:t xml:space="preserve"> </w:t>
      </w:r>
      <w:r>
        <w:rPr>
          <w:sz w:val="18"/>
        </w:rPr>
        <w:t>a</w:t>
      </w:r>
      <w:r>
        <w:rPr>
          <w:spacing w:val="-2"/>
          <w:sz w:val="18"/>
        </w:rPr>
        <w:t xml:space="preserve"> </w:t>
      </w:r>
      <w:r>
        <w:rPr>
          <w:sz w:val="18"/>
        </w:rPr>
        <w:t>specific</w:t>
      </w:r>
      <w:r>
        <w:rPr>
          <w:spacing w:val="-2"/>
          <w:sz w:val="18"/>
        </w:rPr>
        <w:t xml:space="preserve"> technology.</w:t>
      </w:r>
    </w:p>
    <w:p w:rsidR="00C31389" w:rsidRDefault="00561FBD" w14:paraId="4DFE4D3C" w14:textId="77777777">
      <w:pPr>
        <w:spacing w:before="36"/>
        <w:ind w:left="480"/>
        <w:rPr>
          <w:sz w:val="18"/>
        </w:rPr>
      </w:pPr>
      <w:bookmarkStart w:name="_bookmark486" w:id="633"/>
      <w:bookmarkEnd w:id="633"/>
      <w:r>
        <w:rPr>
          <w:position w:val="6"/>
          <w:sz w:val="12"/>
        </w:rPr>
        <w:t>186</w:t>
      </w:r>
      <w:r>
        <w:rPr>
          <w:spacing w:val="11"/>
          <w:position w:val="6"/>
          <w:sz w:val="12"/>
        </w:rPr>
        <w:t xml:space="preserve"> </w:t>
      </w:r>
      <w:hyperlink r:id="rId317">
        <w:r>
          <w:rPr>
            <w:color w:val="68942C"/>
            <w:sz w:val="18"/>
            <w:u w:val="single" w:color="68942C"/>
          </w:rPr>
          <w:t>http://www.etcc-</w:t>
        </w:r>
        <w:r>
          <w:rPr>
            <w:color w:val="68942C"/>
            <w:spacing w:val="-2"/>
            <w:sz w:val="18"/>
            <w:u w:val="single" w:color="68942C"/>
          </w:rPr>
          <w:t>ca.com/reports</w:t>
        </w:r>
      </w:hyperlink>
    </w:p>
    <w:p w:rsidR="00C31389" w:rsidRDefault="00561FBD" w14:paraId="2FE5E5FE" w14:textId="77777777">
      <w:pPr>
        <w:spacing w:before="36"/>
        <w:ind w:left="480" w:right="418"/>
        <w:rPr>
          <w:sz w:val="18"/>
        </w:rPr>
      </w:pPr>
      <w:bookmarkStart w:name="_bookmark487" w:id="634"/>
      <w:bookmarkEnd w:id="634"/>
      <w:r>
        <w:rPr>
          <w:position w:val="6"/>
          <w:sz w:val="12"/>
        </w:rPr>
        <w:t>187</w:t>
      </w:r>
      <w:r>
        <w:rPr>
          <w:spacing w:val="-1"/>
          <w:position w:val="6"/>
          <w:sz w:val="12"/>
        </w:rPr>
        <w:t xml:space="preserve"> </w:t>
      </w:r>
      <w:hyperlink r:id="rId318">
        <w:r>
          <w:rPr>
            <w:color w:val="68942C"/>
            <w:sz w:val="18"/>
            <w:u w:val="single" w:color="68942C"/>
          </w:rPr>
          <w:t>http://www.energy.ca.gov/publications/searchReports.php?pier1=Buildings%20End-</w:t>
        </w:r>
      </w:hyperlink>
      <w:r>
        <w:rPr>
          <w:color w:val="68942C"/>
          <w:sz w:val="18"/>
        </w:rPr>
        <w:t xml:space="preserve"> </w:t>
      </w:r>
      <w:hyperlink r:id="rId319">
        <w:r>
          <w:rPr>
            <w:color w:val="68942C"/>
            <w:spacing w:val="-2"/>
            <w:sz w:val="18"/>
            <w:u w:val="single" w:color="68942C"/>
          </w:rPr>
          <w:t>Use%20Energy%20Efficiency</w:t>
        </w:r>
      </w:hyperlink>
    </w:p>
    <w:p w:rsidR="00C31389" w:rsidRDefault="00561FBD" w14:paraId="21B50A08" w14:textId="77777777">
      <w:pPr>
        <w:spacing w:before="37"/>
        <w:ind w:left="480"/>
        <w:rPr>
          <w:sz w:val="18"/>
        </w:rPr>
      </w:pPr>
      <w:bookmarkStart w:name="_bookmark488" w:id="635"/>
      <w:bookmarkEnd w:id="635"/>
      <w:r>
        <w:rPr>
          <w:spacing w:val="-2"/>
          <w:position w:val="6"/>
          <w:sz w:val="12"/>
        </w:rPr>
        <w:t>188</w:t>
      </w:r>
      <w:r>
        <w:rPr>
          <w:spacing w:val="34"/>
          <w:position w:val="6"/>
          <w:sz w:val="12"/>
        </w:rPr>
        <w:t xml:space="preserve">  </w:t>
      </w:r>
      <w:hyperlink r:id="rId320">
        <w:r>
          <w:rPr>
            <w:color w:val="68942C"/>
            <w:spacing w:val="-2"/>
            <w:sz w:val="18"/>
            <w:u w:val="single" w:color="68942C"/>
          </w:rPr>
          <w:t>https://energy.gov/eere/amo/research-development-projects</w:t>
        </w:r>
      </w:hyperlink>
    </w:p>
    <w:p w:rsidR="00C31389" w:rsidRDefault="00C31389" w14:paraId="394E96B2" w14:textId="77777777">
      <w:pPr>
        <w:rPr>
          <w:sz w:val="18"/>
        </w:rPr>
        <w:sectPr w:rsidR="00C31389">
          <w:pgSz w:w="11910" w:h="16840"/>
          <w:pgMar w:top="1660" w:right="1020" w:bottom="1120" w:left="960" w:header="397" w:footer="938" w:gutter="0"/>
          <w:cols w:space="720"/>
        </w:sectPr>
      </w:pPr>
    </w:p>
    <w:p w:rsidR="00C31389" w:rsidRDefault="00C31389" w14:paraId="16F7F093" w14:textId="77777777">
      <w:pPr>
        <w:pStyle w:val="BodyText"/>
      </w:pPr>
    </w:p>
    <w:p w:rsidR="00C31389" w:rsidRDefault="00C31389" w14:paraId="45F84C3E" w14:textId="77777777">
      <w:pPr>
        <w:pStyle w:val="BodyText"/>
        <w:spacing w:before="2"/>
        <w:rPr>
          <w:sz w:val="13"/>
        </w:rPr>
      </w:pPr>
    </w:p>
    <w:p w:rsidR="00C31389" w:rsidRDefault="00561FBD" w14:paraId="6191C42F" w14:textId="77777777">
      <w:pPr>
        <w:pStyle w:val="ListParagraph"/>
        <w:numPr>
          <w:ilvl w:val="4"/>
          <w:numId w:val="13"/>
        </w:numPr>
        <w:tabs>
          <w:tab w:val="left" w:pos="1199"/>
        </w:tabs>
        <w:spacing w:before="100"/>
        <w:ind w:hanging="359"/>
        <w:rPr>
          <w:sz w:val="14"/>
        </w:rPr>
      </w:pPr>
      <w:r>
        <w:t>DOE</w:t>
      </w:r>
      <w:r>
        <w:rPr>
          <w:spacing w:val="-9"/>
        </w:rPr>
        <w:t xml:space="preserve"> </w:t>
      </w:r>
      <w:r>
        <w:t>Energy</w:t>
      </w:r>
      <w:r>
        <w:rPr>
          <w:spacing w:val="-9"/>
        </w:rPr>
        <w:t xml:space="preserve"> </w:t>
      </w:r>
      <w:r>
        <w:t>Efficiency</w:t>
      </w:r>
      <w:r>
        <w:rPr>
          <w:spacing w:val="-10"/>
        </w:rPr>
        <w:t xml:space="preserve"> </w:t>
      </w:r>
      <w:r>
        <w:t>&amp;</w:t>
      </w:r>
      <w:r>
        <w:rPr>
          <w:spacing w:val="-9"/>
        </w:rPr>
        <w:t xml:space="preserve"> </w:t>
      </w:r>
      <w:r>
        <w:t>Renewable</w:t>
      </w:r>
      <w:r>
        <w:rPr>
          <w:spacing w:val="-9"/>
        </w:rPr>
        <w:t xml:space="preserve"> </w:t>
      </w:r>
      <w:r>
        <w:t>Energy</w:t>
      </w:r>
      <w:r>
        <w:rPr>
          <w:spacing w:val="-9"/>
        </w:rPr>
        <w:t xml:space="preserve"> </w:t>
      </w:r>
      <w:r>
        <w:t>Emerging</w:t>
      </w:r>
      <w:r>
        <w:rPr>
          <w:spacing w:val="-9"/>
        </w:rPr>
        <w:t xml:space="preserve"> </w:t>
      </w:r>
      <w:r>
        <w:t>Technologies</w:t>
      </w:r>
      <w:r>
        <w:rPr>
          <w:spacing w:val="-9"/>
        </w:rPr>
        <w:t xml:space="preserve"> </w:t>
      </w:r>
      <w:r>
        <w:rPr>
          <w:spacing w:val="-2"/>
        </w:rPr>
        <w:t>Database</w:t>
      </w:r>
      <w:hyperlink w:history="1" w:anchor="_bookmark490">
        <w:r>
          <w:rPr>
            <w:spacing w:val="-2"/>
            <w:position w:val="7"/>
            <w:sz w:val="14"/>
          </w:rPr>
          <w:t>189</w:t>
        </w:r>
      </w:hyperlink>
    </w:p>
    <w:p w:rsidR="00C31389" w:rsidRDefault="00561FBD" w14:paraId="30201ADD" w14:textId="77777777">
      <w:pPr>
        <w:pStyle w:val="ListParagraph"/>
        <w:numPr>
          <w:ilvl w:val="4"/>
          <w:numId w:val="13"/>
        </w:numPr>
        <w:tabs>
          <w:tab w:val="left" w:pos="1199"/>
        </w:tabs>
        <w:spacing w:before="118"/>
        <w:ind w:right="725"/>
      </w:pPr>
      <w:r>
        <w:t>Broad</w:t>
      </w:r>
      <w:r>
        <w:rPr>
          <w:spacing w:val="-3"/>
        </w:rPr>
        <w:t xml:space="preserve"> </w:t>
      </w:r>
      <w:r>
        <w:t>web</w:t>
      </w:r>
      <w:r>
        <w:rPr>
          <w:spacing w:val="-3"/>
        </w:rPr>
        <w:t xml:space="preserve"> </w:t>
      </w:r>
      <w:r>
        <w:t>search</w:t>
      </w:r>
      <w:r>
        <w:rPr>
          <w:spacing w:val="-3"/>
        </w:rPr>
        <w:t xml:space="preserve"> </w:t>
      </w:r>
      <w:r>
        <w:t>that</w:t>
      </w:r>
      <w:r>
        <w:rPr>
          <w:spacing w:val="-3"/>
        </w:rPr>
        <w:t xml:space="preserve"> </w:t>
      </w:r>
      <w:r>
        <w:t>included</w:t>
      </w:r>
      <w:r>
        <w:rPr>
          <w:spacing w:val="-3"/>
        </w:rPr>
        <w:t xml:space="preserve"> </w:t>
      </w:r>
      <w:r>
        <w:t>independent</w:t>
      </w:r>
      <w:r>
        <w:rPr>
          <w:spacing w:val="-3"/>
        </w:rPr>
        <w:t xml:space="preserve"> </w:t>
      </w:r>
      <w:r>
        <w:t>research</w:t>
      </w:r>
      <w:r>
        <w:rPr>
          <w:spacing w:val="-3"/>
        </w:rPr>
        <w:t xml:space="preserve"> </w:t>
      </w:r>
      <w:r>
        <w:t>of</w:t>
      </w:r>
      <w:r>
        <w:rPr>
          <w:spacing w:val="-3"/>
        </w:rPr>
        <w:t xml:space="preserve"> </w:t>
      </w:r>
      <w:r>
        <w:t>topics</w:t>
      </w:r>
      <w:r>
        <w:rPr>
          <w:spacing w:val="-3"/>
        </w:rPr>
        <w:t xml:space="preserve"> </w:t>
      </w:r>
      <w:r>
        <w:t>and</w:t>
      </w:r>
      <w:r>
        <w:rPr>
          <w:spacing w:val="-3"/>
        </w:rPr>
        <w:t xml:space="preserve"> </w:t>
      </w:r>
      <w:r>
        <w:t>keywords</w:t>
      </w:r>
      <w:r>
        <w:rPr>
          <w:spacing w:val="-3"/>
        </w:rPr>
        <w:t xml:space="preserve"> </w:t>
      </w:r>
      <w:r>
        <w:t xml:space="preserve">that seemed relevant to the team based on the initial web scrape results of the other </w:t>
      </w:r>
      <w:r>
        <w:rPr>
          <w:spacing w:val="-2"/>
        </w:rPr>
        <w:t>sources.</w:t>
      </w:r>
    </w:p>
    <w:p w:rsidR="00C31389" w:rsidRDefault="00C31389" w14:paraId="5AB35751" w14:textId="77777777">
      <w:pPr>
        <w:pStyle w:val="BodyText"/>
        <w:spacing w:before="9"/>
        <w:rPr>
          <w:sz w:val="20"/>
        </w:rPr>
      </w:pPr>
    </w:p>
    <w:p w:rsidR="00C31389" w:rsidRDefault="00561FBD" w14:paraId="2D299FC2" w14:textId="77777777">
      <w:pPr>
        <w:pStyle w:val="BodyText"/>
        <w:ind w:left="479" w:right="445"/>
      </w:pPr>
      <w:r>
        <w:t>This process yiel</w:t>
      </w:r>
      <w:r>
        <w:t>ded an Excel-based database with approximately 1,100 different ETs; the database</w:t>
      </w:r>
      <w:r>
        <w:rPr>
          <w:spacing w:val="-3"/>
        </w:rPr>
        <w:t xml:space="preserve"> </w:t>
      </w:r>
      <w:r>
        <w:t>includes</w:t>
      </w:r>
      <w:r>
        <w:rPr>
          <w:spacing w:val="-2"/>
        </w:rPr>
        <w:t xml:space="preserve"> </w:t>
      </w:r>
      <w:r>
        <w:t>the</w:t>
      </w:r>
      <w:r>
        <w:rPr>
          <w:spacing w:val="-3"/>
        </w:rPr>
        <w:t xml:space="preserve"> </w:t>
      </w:r>
      <w:r>
        <w:t>name</w:t>
      </w:r>
      <w:r>
        <w:rPr>
          <w:spacing w:val="-3"/>
        </w:rPr>
        <w:t xml:space="preserve"> </w:t>
      </w:r>
      <w:r>
        <w:t>of</w:t>
      </w:r>
      <w:r>
        <w:rPr>
          <w:spacing w:val="-3"/>
        </w:rPr>
        <w:t xml:space="preserve"> </w:t>
      </w:r>
      <w:r>
        <w:t>the</w:t>
      </w:r>
      <w:r>
        <w:rPr>
          <w:spacing w:val="-3"/>
        </w:rPr>
        <w:t xml:space="preserve"> </w:t>
      </w:r>
      <w:r>
        <w:t>ET,</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technology,</w:t>
      </w:r>
      <w:r>
        <w:rPr>
          <w:spacing w:val="-4"/>
        </w:rPr>
        <w:t xml:space="preserve"> </w:t>
      </w:r>
      <w:r>
        <w:t>and</w:t>
      </w:r>
      <w:r>
        <w:rPr>
          <w:spacing w:val="-3"/>
        </w:rPr>
        <w:t xml:space="preserve"> </w:t>
      </w:r>
      <w:r>
        <w:t>key</w:t>
      </w:r>
      <w:r>
        <w:rPr>
          <w:spacing w:val="-3"/>
        </w:rPr>
        <w:t xml:space="preserve"> </w:t>
      </w:r>
      <w:r>
        <w:t>dates</w:t>
      </w:r>
      <w:r>
        <w:rPr>
          <w:spacing w:val="-3"/>
        </w:rPr>
        <w:t xml:space="preserve"> </w:t>
      </w:r>
      <w:r>
        <w:t>in</w:t>
      </w:r>
      <w:r>
        <w:rPr>
          <w:spacing w:val="-3"/>
        </w:rPr>
        <w:t xml:space="preserve"> </w:t>
      </w:r>
      <w:r>
        <w:t xml:space="preserve">the research process. Web scraping is an effective method to gather a broad wealth of </w:t>
      </w:r>
      <w:r>
        <w:t>information. However, it does not filter out irrelevant information. The team refined the database by deleting certain entries or by enhancing information on select ETs with additional research data from identified sources.</w:t>
      </w:r>
    </w:p>
    <w:p w:rsidR="00C31389" w:rsidRDefault="00C31389" w14:paraId="30E2AD72" w14:textId="77777777">
      <w:pPr>
        <w:pStyle w:val="BodyText"/>
        <w:spacing w:before="10"/>
        <w:rPr>
          <w:sz w:val="20"/>
        </w:rPr>
      </w:pPr>
    </w:p>
    <w:p w:rsidR="00C31389" w:rsidRDefault="00561FBD" w14:paraId="0324AB56" w14:textId="77777777">
      <w:pPr>
        <w:pStyle w:val="BodyText"/>
        <w:spacing w:before="1"/>
        <w:ind w:left="480" w:right="418"/>
      </w:pPr>
      <w:r>
        <w:t xml:space="preserve">Each ET was then characterized </w:t>
      </w:r>
      <w:r>
        <w:t>to determine its relevance to the industrial or agriculture sectors</w:t>
      </w:r>
      <w:r>
        <w:rPr>
          <w:spacing w:val="-3"/>
        </w:rPr>
        <w:t xml:space="preserve"> </w:t>
      </w:r>
      <w:r>
        <w:t>and</w:t>
      </w:r>
      <w:r>
        <w:rPr>
          <w:spacing w:val="-4"/>
        </w:rPr>
        <w:t xml:space="preserve"> </w:t>
      </w:r>
      <w:r>
        <w:t>to</w:t>
      </w:r>
      <w:r>
        <w:rPr>
          <w:spacing w:val="-3"/>
        </w:rPr>
        <w:t xml:space="preserve"> </w:t>
      </w:r>
      <w:r>
        <w:t>define</w:t>
      </w:r>
      <w:r>
        <w:rPr>
          <w:spacing w:val="-3"/>
        </w:rPr>
        <w:t xml:space="preserve"> </w:t>
      </w:r>
      <w:r>
        <w:t>how</w:t>
      </w:r>
      <w:r>
        <w:rPr>
          <w:spacing w:val="-4"/>
        </w:rPr>
        <w:t xml:space="preserve"> </w:t>
      </w:r>
      <w:r>
        <w:t>each</w:t>
      </w:r>
      <w:r>
        <w:rPr>
          <w:spacing w:val="-3"/>
        </w:rPr>
        <w:t xml:space="preserve"> </w:t>
      </w:r>
      <w:r>
        <w:t>ET</w:t>
      </w:r>
      <w:r>
        <w:rPr>
          <w:spacing w:val="-3"/>
        </w:rPr>
        <w:t xml:space="preserve"> </w:t>
      </w:r>
      <w:r>
        <w:t>might</w:t>
      </w:r>
      <w:r>
        <w:rPr>
          <w:spacing w:val="-3"/>
        </w:rPr>
        <w:t xml:space="preserve"> </w:t>
      </w:r>
      <w:r>
        <w:t>impact</w:t>
      </w:r>
      <w:r>
        <w:rPr>
          <w:spacing w:val="-3"/>
        </w:rPr>
        <w:t xml:space="preserve"> </w:t>
      </w:r>
      <w:r>
        <w:t>each</w:t>
      </w:r>
      <w:r>
        <w:rPr>
          <w:spacing w:val="-3"/>
        </w:rPr>
        <w:t xml:space="preserve"> </w:t>
      </w:r>
      <w:r>
        <w:t>market</w:t>
      </w:r>
      <w:r>
        <w:rPr>
          <w:spacing w:val="-3"/>
        </w:rPr>
        <w:t xml:space="preserve"> </w:t>
      </w:r>
      <w:r>
        <w:t>segment</w:t>
      </w:r>
      <w:r>
        <w:rPr>
          <w:spacing w:val="-3"/>
        </w:rPr>
        <w:t xml:space="preserve"> </w:t>
      </w:r>
      <w:r>
        <w:t>within</w:t>
      </w:r>
      <w:r>
        <w:rPr>
          <w:spacing w:val="-3"/>
        </w:rPr>
        <w:t xml:space="preserve"> </w:t>
      </w:r>
      <w:r>
        <w:t>those</w:t>
      </w:r>
      <w:r>
        <w:rPr>
          <w:spacing w:val="-4"/>
        </w:rPr>
        <w:t xml:space="preserve"> </w:t>
      </w:r>
      <w:r>
        <w:t>sectors. The team gave each relevant technology a unique ID and characterized it with the following criteria. Criter</w:t>
      </w:r>
      <w:r>
        <w:t xml:space="preserve">ia were also weighted to prioritize their relevance, as </w:t>
      </w:r>
      <w:hyperlink w:history="1" w:anchor="_bookmark489">
        <w:r>
          <w:t>Table G-5</w:t>
        </w:r>
      </w:hyperlink>
      <w:r>
        <w:t xml:space="preserve"> shows.</w:t>
      </w:r>
    </w:p>
    <w:p w:rsidR="00C31389" w:rsidRDefault="00C31389" w14:paraId="30CDA935" w14:textId="77777777">
      <w:pPr>
        <w:pStyle w:val="BodyText"/>
        <w:spacing w:before="9"/>
        <w:rPr>
          <w:sz w:val="20"/>
        </w:rPr>
      </w:pPr>
    </w:p>
    <w:p w:rsidR="00C31389" w:rsidRDefault="00561FBD" w14:paraId="5CE11B1D" w14:textId="77777777">
      <w:pPr>
        <w:pStyle w:val="Heading7"/>
        <w:numPr>
          <w:ilvl w:val="4"/>
          <w:numId w:val="13"/>
        </w:numPr>
        <w:tabs>
          <w:tab w:val="left" w:pos="1200"/>
        </w:tabs>
        <w:ind w:left="1200"/>
      </w:pPr>
      <w:r>
        <w:rPr>
          <w:spacing w:val="-2"/>
        </w:rPr>
        <w:t>Classification</w:t>
      </w:r>
      <w:r>
        <w:rPr>
          <w:spacing w:val="12"/>
        </w:rPr>
        <w:t xml:space="preserve"> </w:t>
      </w:r>
      <w:r>
        <w:rPr>
          <w:spacing w:val="-2"/>
        </w:rPr>
        <w:t>information:</w:t>
      </w:r>
    </w:p>
    <w:p w:rsidR="00C31389" w:rsidRDefault="00561FBD" w14:paraId="42DA159B" w14:textId="77777777">
      <w:pPr>
        <w:pStyle w:val="ListParagraph"/>
        <w:numPr>
          <w:ilvl w:val="5"/>
          <w:numId w:val="13"/>
        </w:numPr>
        <w:tabs>
          <w:tab w:val="left" w:pos="1919"/>
        </w:tabs>
        <w:spacing w:before="143"/>
        <w:ind w:left="1919" w:hanging="359"/>
      </w:pPr>
      <w:r>
        <w:t>Fuel</w:t>
      </w:r>
      <w:r>
        <w:rPr>
          <w:spacing w:val="-7"/>
        </w:rPr>
        <w:t xml:space="preserve"> </w:t>
      </w:r>
      <w:r>
        <w:t>savings</w:t>
      </w:r>
      <w:r>
        <w:rPr>
          <w:spacing w:val="-7"/>
        </w:rPr>
        <w:t xml:space="preserve"> </w:t>
      </w:r>
      <w:r>
        <w:rPr>
          <w:spacing w:val="-2"/>
        </w:rPr>
        <w:t>(electricity/gas)</w:t>
      </w:r>
    </w:p>
    <w:p w:rsidR="00C31389" w:rsidRDefault="00561FBD" w14:paraId="437BAEA1" w14:textId="77777777">
      <w:pPr>
        <w:pStyle w:val="ListParagraph"/>
        <w:numPr>
          <w:ilvl w:val="5"/>
          <w:numId w:val="13"/>
        </w:numPr>
        <w:tabs>
          <w:tab w:val="left" w:pos="1919"/>
        </w:tabs>
        <w:spacing w:before="126"/>
        <w:ind w:left="1919" w:hanging="359"/>
      </w:pPr>
      <w:r>
        <w:t>End</w:t>
      </w:r>
      <w:r>
        <w:rPr>
          <w:spacing w:val="-5"/>
        </w:rPr>
        <w:t xml:space="preserve"> use</w:t>
      </w:r>
    </w:p>
    <w:p w:rsidR="00C31389" w:rsidRDefault="00561FBD" w14:paraId="7AE72FB9" w14:textId="77777777">
      <w:pPr>
        <w:pStyle w:val="ListParagraph"/>
        <w:numPr>
          <w:ilvl w:val="5"/>
          <w:numId w:val="13"/>
        </w:numPr>
        <w:tabs>
          <w:tab w:val="left" w:pos="1918"/>
        </w:tabs>
        <w:spacing w:before="126"/>
        <w:ind w:left="1918" w:hanging="359"/>
      </w:pPr>
      <w:r>
        <w:t>NAICS</w:t>
      </w:r>
      <w:r>
        <w:rPr>
          <w:spacing w:val="-5"/>
        </w:rPr>
        <w:t xml:space="preserve"> </w:t>
      </w:r>
      <w:r>
        <w:t>sector</w:t>
      </w:r>
      <w:r>
        <w:rPr>
          <w:spacing w:val="-4"/>
        </w:rPr>
        <w:t xml:space="preserve"> </w:t>
      </w:r>
      <w:r>
        <w:t>(3</w:t>
      </w:r>
      <w:r>
        <w:rPr>
          <w:spacing w:val="-4"/>
        </w:rPr>
        <w:t xml:space="preserve"> </w:t>
      </w:r>
      <w:r>
        <w:t>or</w:t>
      </w:r>
      <w:r>
        <w:rPr>
          <w:spacing w:val="-4"/>
        </w:rPr>
        <w:t xml:space="preserve"> </w:t>
      </w:r>
      <w:r>
        <w:t>4</w:t>
      </w:r>
      <w:r>
        <w:rPr>
          <w:spacing w:val="-4"/>
        </w:rPr>
        <w:t xml:space="preserve"> </w:t>
      </w:r>
      <w:r>
        <w:rPr>
          <w:spacing w:val="-2"/>
        </w:rPr>
        <w:t>digit)</w:t>
      </w:r>
    </w:p>
    <w:p w:rsidR="00C31389" w:rsidRDefault="00561FBD" w14:paraId="121ED93A" w14:textId="77777777">
      <w:pPr>
        <w:pStyle w:val="ListParagraph"/>
        <w:numPr>
          <w:ilvl w:val="5"/>
          <w:numId w:val="13"/>
        </w:numPr>
        <w:tabs>
          <w:tab w:val="left" w:pos="1918"/>
        </w:tabs>
        <w:spacing w:before="126"/>
        <w:ind w:left="1918" w:hanging="359"/>
      </w:pPr>
      <w:r>
        <w:t>Energy</w:t>
      </w:r>
      <w:r>
        <w:rPr>
          <w:spacing w:val="-6"/>
        </w:rPr>
        <w:t xml:space="preserve"> </w:t>
      </w:r>
      <w:r>
        <w:t>savings</w:t>
      </w:r>
      <w:r>
        <w:rPr>
          <w:spacing w:val="-6"/>
        </w:rPr>
        <w:t xml:space="preserve"> </w:t>
      </w:r>
      <w:r>
        <w:t>as</w:t>
      </w:r>
      <w:r>
        <w:rPr>
          <w:spacing w:val="-6"/>
        </w:rPr>
        <w:t xml:space="preserve"> </w:t>
      </w:r>
      <w:r>
        <w:t>a</w:t>
      </w:r>
      <w:r>
        <w:rPr>
          <w:spacing w:val="-6"/>
        </w:rPr>
        <w:t xml:space="preserve"> </w:t>
      </w:r>
      <w:r>
        <w:t>percentage</w:t>
      </w:r>
      <w:r>
        <w:rPr>
          <w:spacing w:val="-6"/>
        </w:rPr>
        <w:t xml:space="preserve"> </w:t>
      </w:r>
      <w:r>
        <w:t>of</w:t>
      </w:r>
      <w:r>
        <w:rPr>
          <w:spacing w:val="-6"/>
        </w:rPr>
        <w:t xml:space="preserve"> </w:t>
      </w:r>
      <w:r>
        <w:t>sector</w:t>
      </w:r>
      <w:r>
        <w:rPr>
          <w:spacing w:val="-6"/>
        </w:rPr>
        <w:t xml:space="preserve"> </w:t>
      </w:r>
      <w:r>
        <w:rPr>
          <w:spacing w:val="-2"/>
        </w:rPr>
        <w:t>consumption</w:t>
      </w:r>
    </w:p>
    <w:p w:rsidR="00C31389" w:rsidRDefault="00561FBD" w14:paraId="448033DA" w14:textId="77777777">
      <w:pPr>
        <w:pStyle w:val="Heading7"/>
        <w:numPr>
          <w:ilvl w:val="4"/>
          <w:numId w:val="13"/>
        </w:numPr>
        <w:tabs>
          <w:tab w:val="left" w:pos="1199"/>
        </w:tabs>
        <w:spacing w:before="126"/>
      </w:pPr>
      <w:r>
        <w:t>Evaluation</w:t>
      </w:r>
      <w:r>
        <w:rPr>
          <w:spacing w:val="-9"/>
        </w:rPr>
        <w:t xml:space="preserve"> </w:t>
      </w:r>
      <w:r>
        <w:t>criteria</w:t>
      </w:r>
      <w:r>
        <w:rPr>
          <w:spacing w:val="-8"/>
        </w:rPr>
        <w:t xml:space="preserve"> </w:t>
      </w:r>
      <w:r>
        <w:t>(used</w:t>
      </w:r>
      <w:r>
        <w:rPr>
          <w:spacing w:val="-8"/>
        </w:rPr>
        <w:t xml:space="preserve"> </w:t>
      </w:r>
      <w:r>
        <w:t>to</w:t>
      </w:r>
      <w:r>
        <w:rPr>
          <w:spacing w:val="-8"/>
        </w:rPr>
        <w:t xml:space="preserve"> </w:t>
      </w:r>
      <w:r>
        <w:t>calculate</w:t>
      </w:r>
      <w:r>
        <w:rPr>
          <w:spacing w:val="-8"/>
        </w:rPr>
        <w:t xml:space="preserve"> </w:t>
      </w:r>
      <w:r>
        <w:t>overall</w:t>
      </w:r>
      <w:r>
        <w:rPr>
          <w:spacing w:val="-8"/>
        </w:rPr>
        <w:t xml:space="preserve"> </w:t>
      </w:r>
      <w:r>
        <w:t>impact</w:t>
      </w:r>
      <w:r>
        <w:rPr>
          <w:spacing w:val="-8"/>
        </w:rPr>
        <w:t xml:space="preserve"> </w:t>
      </w:r>
      <w:r>
        <w:t>evaluation</w:t>
      </w:r>
      <w:r>
        <w:rPr>
          <w:spacing w:val="-8"/>
        </w:rPr>
        <w:t xml:space="preserve"> </w:t>
      </w:r>
      <w:r>
        <w:rPr>
          <w:spacing w:val="-2"/>
        </w:rPr>
        <w:t>score):</w:t>
      </w:r>
    </w:p>
    <w:p w:rsidR="00C31389" w:rsidRDefault="00561FBD" w14:paraId="05520B5D" w14:textId="77777777">
      <w:pPr>
        <w:pStyle w:val="ListParagraph"/>
        <w:numPr>
          <w:ilvl w:val="5"/>
          <w:numId w:val="13"/>
        </w:numPr>
        <w:tabs>
          <w:tab w:val="left" w:pos="1918"/>
        </w:tabs>
        <w:spacing w:before="144"/>
        <w:ind w:left="1918" w:hanging="359"/>
      </w:pPr>
      <w:r>
        <w:t>Energy</w:t>
      </w:r>
      <w:r>
        <w:rPr>
          <w:spacing w:val="-9"/>
        </w:rPr>
        <w:t xml:space="preserve"> </w:t>
      </w:r>
      <w:r>
        <w:t>technical</w:t>
      </w:r>
      <w:r>
        <w:rPr>
          <w:spacing w:val="-9"/>
        </w:rPr>
        <w:t xml:space="preserve"> </w:t>
      </w:r>
      <w:r>
        <w:rPr>
          <w:spacing w:val="-2"/>
        </w:rPr>
        <w:t>potential</w:t>
      </w:r>
    </w:p>
    <w:p w:rsidR="00C31389" w:rsidRDefault="00561FBD" w14:paraId="378AA81B" w14:textId="77777777">
      <w:pPr>
        <w:pStyle w:val="ListParagraph"/>
        <w:numPr>
          <w:ilvl w:val="5"/>
          <w:numId w:val="13"/>
        </w:numPr>
        <w:tabs>
          <w:tab w:val="left" w:pos="1918"/>
        </w:tabs>
        <w:spacing w:before="125"/>
        <w:ind w:left="1918" w:hanging="359"/>
      </w:pPr>
      <w:r>
        <w:t>Energy</w:t>
      </w:r>
      <w:r>
        <w:rPr>
          <w:spacing w:val="-10"/>
        </w:rPr>
        <w:t xml:space="preserve"> </w:t>
      </w:r>
      <w:r>
        <w:t>achievable</w:t>
      </w:r>
      <w:r>
        <w:rPr>
          <w:spacing w:val="-10"/>
        </w:rPr>
        <w:t xml:space="preserve"> </w:t>
      </w:r>
      <w:r>
        <w:rPr>
          <w:spacing w:val="-2"/>
        </w:rPr>
        <w:t>potential</w:t>
      </w:r>
    </w:p>
    <w:p w:rsidR="00C31389" w:rsidRDefault="00561FBD" w14:paraId="5D5FEBEC" w14:textId="77777777">
      <w:pPr>
        <w:pStyle w:val="ListParagraph"/>
        <w:numPr>
          <w:ilvl w:val="5"/>
          <w:numId w:val="13"/>
        </w:numPr>
        <w:tabs>
          <w:tab w:val="left" w:pos="1918"/>
        </w:tabs>
        <w:spacing w:before="126"/>
        <w:ind w:left="1918" w:hanging="359"/>
      </w:pPr>
      <w:r>
        <w:t>Market</w:t>
      </w:r>
      <w:r>
        <w:rPr>
          <w:spacing w:val="-8"/>
        </w:rPr>
        <w:t xml:space="preserve"> </w:t>
      </w:r>
      <w:r>
        <w:rPr>
          <w:spacing w:val="-4"/>
        </w:rPr>
        <w:t>risk</w:t>
      </w:r>
    </w:p>
    <w:p w:rsidR="00C31389" w:rsidRDefault="00561FBD" w14:paraId="43EAADF3" w14:textId="77777777">
      <w:pPr>
        <w:pStyle w:val="ListParagraph"/>
        <w:numPr>
          <w:ilvl w:val="5"/>
          <w:numId w:val="13"/>
        </w:numPr>
        <w:tabs>
          <w:tab w:val="left" w:pos="1918"/>
        </w:tabs>
        <w:spacing w:before="126"/>
        <w:ind w:left="1918" w:hanging="359"/>
      </w:pPr>
      <w:r>
        <w:t>Technical</w:t>
      </w:r>
      <w:r>
        <w:rPr>
          <w:spacing w:val="-10"/>
        </w:rPr>
        <w:t xml:space="preserve"> </w:t>
      </w:r>
      <w:r>
        <w:rPr>
          <w:spacing w:val="-4"/>
        </w:rPr>
        <w:t>risk</w:t>
      </w:r>
    </w:p>
    <w:p w:rsidR="00C31389" w:rsidRDefault="00561FBD" w14:paraId="1D202EBA" w14:textId="77777777">
      <w:pPr>
        <w:pStyle w:val="ListParagraph"/>
        <w:numPr>
          <w:ilvl w:val="5"/>
          <w:numId w:val="13"/>
        </w:numPr>
        <w:tabs>
          <w:tab w:val="left" w:pos="1918"/>
        </w:tabs>
        <w:spacing w:before="126"/>
        <w:ind w:left="1918" w:hanging="359"/>
      </w:pPr>
      <w:r>
        <w:t>Utility</w:t>
      </w:r>
      <w:r>
        <w:rPr>
          <w:spacing w:val="-6"/>
        </w:rPr>
        <w:t xml:space="preserve"> </w:t>
      </w:r>
      <w:r>
        <w:t>ability</w:t>
      </w:r>
      <w:r>
        <w:rPr>
          <w:spacing w:val="-7"/>
        </w:rPr>
        <w:t xml:space="preserve"> </w:t>
      </w:r>
      <w:r>
        <w:t>to</w:t>
      </w:r>
      <w:r>
        <w:rPr>
          <w:spacing w:val="-5"/>
        </w:rPr>
        <w:t xml:space="preserve"> </w:t>
      </w:r>
      <w:r>
        <w:t>impact</w:t>
      </w:r>
      <w:r>
        <w:rPr>
          <w:spacing w:val="-6"/>
        </w:rPr>
        <w:t xml:space="preserve"> </w:t>
      </w:r>
      <w:r>
        <w:rPr>
          <w:spacing w:val="-2"/>
        </w:rPr>
        <w:t>outcome</w:t>
      </w:r>
    </w:p>
    <w:p w:rsidR="00C31389" w:rsidRDefault="00561FBD" w14:paraId="76AD5B2D" w14:textId="77777777">
      <w:pPr>
        <w:pStyle w:val="ListParagraph"/>
        <w:numPr>
          <w:ilvl w:val="5"/>
          <w:numId w:val="13"/>
        </w:numPr>
        <w:tabs>
          <w:tab w:val="left" w:pos="1918"/>
        </w:tabs>
        <w:spacing w:before="126"/>
        <w:ind w:left="1918" w:hanging="359"/>
      </w:pPr>
      <w:r>
        <w:t>Non-energy</w:t>
      </w:r>
      <w:r>
        <w:rPr>
          <w:spacing w:val="-11"/>
        </w:rPr>
        <w:t xml:space="preserve"> </w:t>
      </w:r>
      <w:r>
        <w:t>benefits</w:t>
      </w:r>
      <w:r>
        <w:rPr>
          <w:spacing w:val="-9"/>
        </w:rPr>
        <w:t xml:space="preserve"> </w:t>
      </w:r>
      <w:r>
        <w:rPr>
          <w:spacing w:val="-2"/>
        </w:rPr>
        <w:t>(NEBs)</w:t>
      </w:r>
    </w:p>
    <w:p w:rsidR="00C31389" w:rsidRDefault="00C31389" w14:paraId="738FC3BB" w14:textId="77777777">
      <w:pPr>
        <w:pStyle w:val="BodyText"/>
        <w:spacing w:before="3"/>
        <w:rPr>
          <w:sz w:val="21"/>
        </w:rPr>
      </w:pPr>
    </w:p>
    <w:p w:rsidR="00C31389" w:rsidRDefault="00561FBD" w14:paraId="6D54DCD5" w14:textId="77777777">
      <w:pPr>
        <w:pStyle w:val="BodyText"/>
        <w:ind w:left="479" w:right="418"/>
      </w:pPr>
      <w:r>
        <w:t>The te</w:t>
      </w:r>
      <w:r>
        <w:t>am gave each ET a score of 1-5 for each evaluation criterion, which were then weighted and summed to calculate the overall impact evaluation score. ETs that earn a higher score are expected to have a greater impact (i.e., greater energy savings) on the agr</w:t>
      </w:r>
      <w:r>
        <w:t>iculture</w:t>
      </w:r>
      <w:r>
        <w:rPr>
          <w:spacing w:val="-3"/>
        </w:rPr>
        <w:t xml:space="preserve"> </w:t>
      </w:r>
      <w:r>
        <w:t>or</w:t>
      </w:r>
      <w:r>
        <w:rPr>
          <w:spacing w:val="-3"/>
        </w:rPr>
        <w:t xml:space="preserve"> </w:t>
      </w:r>
      <w:r>
        <w:t>industrial</w:t>
      </w:r>
      <w:r>
        <w:rPr>
          <w:spacing w:val="-4"/>
        </w:rPr>
        <w:t xml:space="preserve"> </w:t>
      </w:r>
      <w:r>
        <w:t>sectors.</w:t>
      </w:r>
      <w:r>
        <w:rPr>
          <w:spacing w:val="-3"/>
        </w:rPr>
        <w:t xml:space="preserve"> </w:t>
      </w:r>
      <w:hyperlink w:history="1" w:anchor="_bookmark489">
        <w:r>
          <w:t>Table</w:t>
        </w:r>
        <w:r>
          <w:rPr>
            <w:spacing w:val="-3"/>
          </w:rPr>
          <w:t xml:space="preserve"> </w:t>
        </w:r>
        <w:r>
          <w:t>G-5</w:t>
        </w:r>
      </w:hyperlink>
      <w:r>
        <w:rPr>
          <w:spacing w:val="-3"/>
        </w:rPr>
        <w:t xml:space="preserve"> </w:t>
      </w:r>
      <w:r>
        <w:t>provides</w:t>
      </w:r>
      <w:r>
        <w:rPr>
          <w:spacing w:val="-3"/>
        </w:rPr>
        <w:t xml:space="preserve"> </w:t>
      </w:r>
      <w:r>
        <w:t>the</w:t>
      </w:r>
      <w:r>
        <w:rPr>
          <w:spacing w:val="-3"/>
        </w:rPr>
        <w:t xml:space="preserve"> </w:t>
      </w:r>
      <w:r>
        <w:t>scoring</w:t>
      </w:r>
      <w:r>
        <w:rPr>
          <w:spacing w:val="-3"/>
        </w:rPr>
        <w:t xml:space="preserve"> </w:t>
      </w:r>
      <w:r>
        <w:t>and</w:t>
      </w:r>
      <w:r>
        <w:rPr>
          <w:spacing w:val="-3"/>
        </w:rPr>
        <w:t xml:space="preserve"> </w:t>
      </w:r>
      <w:r>
        <w:t>weighting</w:t>
      </w:r>
      <w:r>
        <w:rPr>
          <w:spacing w:val="-3"/>
        </w:rPr>
        <w:t xml:space="preserve"> </w:t>
      </w:r>
      <w:r>
        <w:t>information</w:t>
      </w:r>
      <w:r>
        <w:rPr>
          <w:spacing w:val="-3"/>
        </w:rPr>
        <w:t xml:space="preserve"> </w:t>
      </w:r>
      <w:r>
        <w:t>for the evaluation criteria. The process</w:t>
      </w:r>
      <w:r>
        <w:rPr>
          <w:spacing w:val="-1"/>
        </w:rPr>
        <w:t xml:space="preserve"> </w:t>
      </w:r>
      <w:r>
        <w:t xml:space="preserve">yielded 173 ET processes that were used to forecast the </w:t>
      </w:r>
      <w:r>
        <w:t>savings potential for ETs.</w:t>
      </w:r>
    </w:p>
    <w:p w:rsidR="00C31389" w:rsidRDefault="00C31389" w14:paraId="6BA8D9FA" w14:textId="77777777">
      <w:pPr>
        <w:pStyle w:val="BodyText"/>
        <w:spacing w:before="10"/>
        <w:rPr>
          <w:sz w:val="20"/>
        </w:rPr>
      </w:pPr>
    </w:p>
    <w:p w:rsidR="00C31389" w:rsidRDefault="00561FBD" w14:paraId="47BF3CBD" w14:textId="77777777">
      <w:pPr>
        <w:pStyle w:val="Heading7"/>
        <w:spacing w:before="1"/>
        <w:ind w:left="398" w:right="341"/>
        <w:jc w:val="center"/>
      </w:pPr>
      <w:bookmarkStart w:name="_bookmark489" w:id="636"/>
      <w:bookmarkEnd w:id="636"/>
      <w:r>
        <w:t>Table</w:t>
      </w:r>
      <w:r>
        <w:rPr>
          <w:spacing w:val="-7"/>
        </w:rPr>
        <w:t xml:space="preserve"> </w:t>
      </w:r>
      <w:r>
        <w:t>G-5.</w:t>
      </w:r>
      <w:r>
        <w:rPr>
          <w:spacing w:val="-8"/>
        </w:rPr>
        <w:t xml:space="preserve"> </w:t>
      </w:r>
      <w:r>
        <w:t>ET</w:t>
      </w:r>
      <w:r>
        <w:rPr>
          <w:spacing w:val="-6"/>
        </w:rPr>
        <w:t xml:space="preserve"> </w:t>
      </w:r>
      <w:r>
        <w:t>Evaluation</w:t>
      </w:r>
      <w:r>
        <w:rPr>
          <w:spacing w:val="-7"/>
        </w:rPr>
        <w:t xml:space="preserve"> </w:t>
      </w:r>
      <w:r>
        <w:rPr>
          <w:spacing w:val="-2"/>
        </w:rPr>
        <w:t>Criteria</w:t>
      </w:r>
    </w:p>
    <w:p w:rsidR="00C31389" w:rsidRDefault="00C31389" w14:paraId="0E89EE50" w14:textId="77777777">
      <w:pPr>
        <w:pStyle w:val="BodyText"/>
        <w:spacing w:before="7"/>
        <w:rPr>
          <w:b/>
          <w:sz w:val="9"/>
        </w:rPr>
      </w:pPr>
    </w:p>
    <w:tbl>
      <w:tblPr>
        <w:tblW w:w="0" w:type="auto"/>
        <w:tblInd w:w="256" w:type="dxa"/>
        <w:tblLayout w:type="fixed"/>
        <w:tblCellMar>
          <w:left w:w="0" w:type="dxa"/>
          <w:right w:w="0" w:type="dxa"/>
        </w:tblCellMar>
        <w:tblLook w:val="01E0" w:firstRow="1" w:lastRow="1" w:firstColumn="1" w:lastColumn="1" w:noHBand="0" w:noVBand="0"/>
      </w:tblPr>
      <w:tblGrid>
        <w:gridCol w:w="1702"/>
        <w:gridCol w:w="914"/>
        <w:gridCol w:w="974"/>
        <w:gridCol w:w="1361"/>
        <w:gridCol w:w="1549"/>
        <w:gridCol w:w="1227"/>
        <w:gridCol w:w="1745"/>
      </w:tblGrid>
      <w:tr w:rsidR="00C31389" w14:paraId="72EE489F" w14:textId="77777777">
        <w:trPr>
          <w:trHeight w:val="549"/>
        </w:trPr>
        <w:tc>
          <w:tcPr>
            <w:tcW w:w="1702" w:type="dxa"/>
            <w:shd w:val="clear" w:color="auto" w:fill="92D400"/>
          </w:tcPr>
          <w:p w:rsidR="00C31389" w:rsidRDefault="00561FBD" w14:paraId="5C8829C2" w14:textId="77777777">
            <w:pPr>
              <w:pStyle w:val="TableParagraph"/>
              <w:ind w:left="124" w:right="27"/>
              <w:rPr>
                <w:b/>
                <w:sz w:val="20"/>
              </w:rPr>
            </w:pPr>
            <w:r>
              <w:rPr>
                <w:b/>
                <w:spacing w:val="-2"/>
                <w:sz w:val="20"/>
              </w:rPr>
              <w:t>Technology Characteristics</w:t>
            </w:r>
          </w:p>
        </w:tc>
        <w:tc>
          <w:tcPr>
            <w:tcW w:w="914" w:type="dxa"/>
            <w:shd w:val="clear" w:color="auto" w:fill="92D400"/>
          </w:tcPr>
          <w:p w:rsidR="00C31389" w:rsidRDefault="00561FBD" w14:paraId="6EB6E83E" w14:textId="77777777">
            <w:pPr>
              <w:pStyle w:val="TableParagraph"/>
              <w:spacing w:before="155"/>
              <w:ind w:left="132"/>
              <w:rPr>
                <w:b/>
                <w:sz w:val="20"/>
              </w:rPr>
            </w:pPr>
            <w:r>
              <w:rPr>
                <w:b/>
                <w:spacing w:val="-2"/>
                <w:sz w:val="20"/>
              </w:rPr>
              <w:t>Weight</w:t>
            </w:r>
          </w:p>
        </w:tc>
        <w:tc>
          <w:tcPr>
            <w:tcW w:w="974" w:type="dxa"/>
            <w:shd w:val="clear" w:color="auto" w:fill="92D400"/>
          </w:tcPr>
          <w:p w:rsidR="00C31389" w:rsidRDefault="00561FBD" w14:paraId="79F87A85" w14:textId="77777777">
            <w:pPr>
              <w:pStyle w:val="TableParagraph"/>
              <w:spacing w:before="155"/>
              <w:ind w:left="118"/>
              <w:rPr>
                <w:b/>
                <w:sz w:val="20"/>
              </w:rPr>
            </w:pPr>
            <w:r>
              <w:rPr>
                <w:b/>
                <w:sz w:val="20"/>
              </w:rPr>
              <w:t>1</w:t>
            </w:r>
          </w:p>
        </w:tc>
        <w:tc>
          <w:tcPr>
            <w:tcW w:w="1361" w:type="dxa"/>
            <w:shd w:val="clear" w:color="auto" w:fill="92D400"/>
          </w:tcPr>
          <w:p w:rsidR="00C31389" w:rsidRDefault="00561FBD" w14:paraId="4C814504" w14:textId="77777777">
            <w:pPr>
              <w:pStyle w:val="TableParagraph"/>
              <w:spacing w:before="155"/>
              <w:ind w:left="491"/>
              <w:rPr>
                <w:b/>
                <w:sz w:val="20"/>
              </w:rPr>
            </w:pPr>
            <w:r>
              <w:rPr>
                <w:b/>
                <w:sz w:val="20"/>
              </w:rPr>
              <w:t>2</w:t>
            </w:r>
          </w:p>
        </w:tc>
        <w:tc>
          <w:tcPr>
            <w:tcW w:w="1549" w:type="dxa"/>
            <w:shd w:val="clear" w:color="auto" w:fill="92D400"/>
          </w:tcPr>
          <w:p w:rsidR="00C31389" w:rsidRDefault="00561FBD" w14:paraId="1641784E" w14:textId="77777777">
            <w:pPr>
              <w:pStyle w:val="TableParagraph"/>
              <w:spacing w:before="155"/>
              <w:ind w:left="508"/>
              <w:rPr>
                <w:b/>
                <w:sz w:val="20"/>
              </w:rPr>
            </w:pPr>
            <w:r>
              <w:rPr>
                <w:b/>
                <w:sz w:val="20"/>
              </w:rPr>
              <w:t>3</w:t>
            </w:r>
          </w:p>
        </w:tc>
        <w:tc>
          <w:tcPr>
            <w:tcW w:w="1227" w:type="dxa"/>
            <w:shd w:val="clear" w:color="auto" w:fill="92D400"/>
          </w:tcPr>
          <w:p w:rsidR="00C31389" w:rsidRDefault="00561FBD" w14:paraId="68B1179C" w14:textId="77777777">
            <w:pPr>
              <w:pStyle w:val="TableParagraph"/>
              <w:spacing w:before="155"/>
              <w:ind w:left="337"/>
              <w:rPr>
                <w:b/>
                <w:sz w:val="20"/>
              </w:rPr>
            </w:pPr>
            <w:r>
              <w:rPr>
                <w:b/>
                <w:sz w:val="20"/>
              </w:rPr>
              <w:t>4</w:t>
            </w:r>
          </w:p>
        </w:tc>
        <w:tc>
          <w:tcPr>
            <w:tcW w:w="1745" w:type="dxa"/>
            <w:shd w:val="clear" w:color="auto" w:fill="92D400"/>
          </w:tcPr>
          <w:p w:rsidR="00C31389" w:rsidRDefault="00561FBD" w14:paraId="6CE39C41" w14:textId="77777777">
            <w:pPr>
              <w:pStyle w:val="TableParagraph"/>
              <w:spacing w:before="155"/>
              <w:ind w:left="488"/>
              <w:rPr>
                <w:b/>
                <w:sz w:val="20"/>
              </w:rPr>
            </w:pPr>
            <w:r>
              <w:rPr>
                <w:b/>
                <w:sz w:val="20"/>
              </w:rPr>
              <w:t>5</w:t>
            </w:r>
          </w:p>
        </w:tc>
      </w:tr>
      <w:tr w:rsidR="00C31389" w14:paraId="1DDFA682" w14:textId="77777777">
        <w:trPr>
          <w:trHeight w:val="771"/>
        </w:trPr>
        <w:tc>
          <w:tcPr>
            <w:tcW w:w="1702" w:type="dxa"/>
            <w:tcBorders>
              <w:bottom w:val="single" w:color="000000" w:sz="8" w:space="0"/>
            </w:tcBorders>
          </w:tcPr>
          <w:p w:rsidR="00C31389" w:rsidRDefault="00561FBD" w14:paraId="3A64E1E4" w14:textId="77777777">
            <w:pPr>
              <w:pStyle w:val="TableParagraph"/>
              <w:spacing w:before="41"/>
              <w:ind w:left="124" w:right="27"/>
              <w:rPr>
                <w:b/>
                <w:sz w:val="20"/>
              </w:rPr>
            </w:pPr>
            <w:r>
              <w:rPr>
                <w:b/>
                <w:spacing w:val="-2"/>
                <w:sz w:val="20"/>
              </w:rPr>
              <w:t>Energy Technical Potential</w:t>
            </w:r>
          </w:p>
        </w:tc>
        <w:tc>
          <w:tcPr>
            <w:tcW w:w="914" w:type="dxa"/>
            <w:tcBorders>
              <w:bottom w:val="single" w:color="000000" w:sz="8" w:space="0"/>
            </w:tcBorders>
          </w:tcPr>
          <w:p w:rsidR="00C31389" w:rsidRDefault="00C31389" w14:paraId="4B3AB17B" w14:textId="77777777">
            <w:pPr>
              <w:pStyle w:val="TableParagraph"/>
              <w:spacing w:before="6"/>
              <w:rPr>
                <w:b/>
                <w:sz w:val="23"/>
              </w:rPr>
            </w:pPr>
          </w:p>
          <w:p w:rsidR="00C31389" w:rsidRDefault="00561FBD" w14:paraId="25B7AABB" w14:textId="77777777">
            <w:pPr>
              <w:pStyle w:val="TableParagraph"/>
              <w:spacing w:before="0"/>
              <w:ind w:left="132"/>
              <w:rPr>
                <w:sz w:val="20"/>
              </w:rPr>
            </w:pPr>
            <w:r>
              <w:rPr>
                <w:sz w:val="20"/>
              </w:rPr>
              <w:t>3</w:t>
            </w:r>
          </w:p>
        </w:tc>
        <w:tc>
          <w:tcPr>
            <w:tcW w:w="974" w:type="dxa"/>
            <w:tcBorders>
              <w:bottom w:val="single" w:color="000000" w:sz="8" w:space="0"/>
            </w:tcBorders>
          </w:tcPr>
          <w:p w:rsidR="00C31389" w:rsidRDefault="00C31389" w14:paraId="121D82C1" w14:textId="77777777">
            <w:pPr>
              <w:pStyle w:val="TableParagraph"/>
              <w:spacing w:before="6"/>
              <w:rPr>
                <w:b/>
                <w:sz w:val="23"/>
              </w:rPr>
            </w:pPr>
          </w:p>
          <w:p w:rsidR="00C31389" w:rsidRDefault="00561FBD" w14:paraId="112DF025" w14:textId="77777777">
            <w:pPr>
              <w:pStyle w:val="TableParagraph"/>
              <w:spacing w:before="0"/>
              <w:ind w:left="118"/>
              <w:rPr>
                <w:sz w:val="20"/>
              </w:rPr>
            </w:pPr>
            <w:r>
              <w:rPr>
                <w:spacing w:val="-5"/>
                <w:sz w:val="20"/>
              </w:rPr>
              <w:t>Low</w:t>
            </w:r>
          </w:p>
        </w:tc>
        <w:tc>
          <w:tcPr>
            <w:tcW w:w="1361" w:type="dxa"/>
            <w:tcBorders>
              <w:bottom w:val="single" w:color="000000" w:sz="8" w:space="0"/>
            </w:tcBorders>
          </w:tcPr>
          <w:p w:rsidR="00C31389" w:rsidRDefault="00C31389" w14:paraId="2A62809A" w14:textId="77777777">
            <w:pPr>
              <w:pStyle w:val="TableParagraph"/>
              <w:spacing w:before="6"/>
              <w:rPr>
                <w:b/>
                <w:sz w:val="23"/>
              </w:rPr>
            </w:pPr>
          </w:p>
          <w:p w:rsidR="00C31389" w:rsidRDefault="00561FBD" w14:paraId="1FEC6086" w14:textId="77777777">
            <w:pPr>
              <w:pStyle w:val="TableParagraph"/>
              <w:spacing w:before="0"/>
              <w:ind w:left="491"/>
              <w:rPr>
                <w:sz w:val="20"/>
              </w:rPr>
            </w:pPr>
            <w:r>
              <w:rPr>
                <w:spacing w:val="-5"/>
                <w:sz w:val="20"/>
              </w:rPr>
              <w:t>Low</w:t>
            </w:r>
          </w:p>
        </w:tc>
        <w:tc>
          <w:tcPr>
            <w:tcW w:w="1549" w:type="dxa"/>
            <w:tcBorders>
              <w:bottom w:val="single" w:color="000000" w:sz="8" w:space="0"/>
            </w:tcBorders>
          </w:tcPr>
          <w:p w:rsidR="00C31389" w:rsidRDefault="00C31389" w14:paraId="4A3FC095" w14:textId="77777777">
            <w:pPr>
              <w:pStyle w:val="TableParagraph"/>
              <w:spacing w:before="6"/>
              <w:rPr>
                <w:b/>
                <w:sz w:val="23"/>
              </w:rPr>
            </w:pPr>
          </w:p>
          <w:p w:rsidR="00C31389" w:rsidRDefault="00561FBD" w14:paraId="0ACBEE0C" w14:textId="77777777">
            <w:pPr>
              <w:pStyle w:val="TableParagraph"/>
              <w:spacing w:before="0"/>
              <w:ind w:left="508"/>
              <w:rPr>
                <w:sz w:val="20"/>
              </w:rPr>
            </w:pPr>
            <w:r>
              <w:rPr>
                <w:spacing w:val="-2"/>
                <w:sz w:val="20"/>
              </w:rPr>
              <w:t>Medium</w:t>
            </w:r>
          </w:p>
        </w:tc>
        <w:tc>
          <w:tcPr>
            <w:tcW w:w="1227" w:type="dxa"/>
            <w:tcBorders>
              <w:bottom w:val="single" w:color="000000" w:sz="8" w:space="0"/>
            </w:tcBorders>
          </w:tcPr>
          <w:p w:rsidR="00C31389" w:rsidRDefault="00C31389" w14:paraId="4C77F4A3" w14:textId="77777777">
            <w:pPr>
              <w:pStyle w:val="TableParagraph"/>
              <w:spacing w:before="6"/>
              <w:rPr>
                <w:b/>
                <w:sz w:val="23"/>
              </w:rPr>
            </w:pPr>
          </w:p>
          <w:p w:rsidR="00C31389" w:rsidRDefault="00561FBD" w14:paraId="30F0E67C" w14:textId="77777777">
            <w:pPr>
              <w:pStyle w:val="TableParagraph"/>
              <w:spacing w:before="0"/>
              <w:ind w:left="336"/>
              <w:rPr>
                <w:sz w:val="20"/>
              </w:rPr>
            </w:pPr>
            <w:r>
              <w:rPr>
                <w:spacing w:val="-4"/>
                <w:sz w:val="20"/>
              </w:rPr>
              <w:t>High</w:t>
            </w:r>
          </w:p>
        </w:tc>
        <w:tc>
          <w:tcPr>
            <w:tcW w:w="1745" w:type="dxa"/>
            <w:tcBorders>
              <w:bottom w:val="single" w:color="000000" w:sz="8" w:space="0"/>
            </w:tcBorders>
          </w:tcPr>
          <w:p w:rsidR="00C31389" w:rsidRDefault="00C31389" w14:paraId="24C6F1A6" w14:textId="77777777">
            <w:pPr>
              <w:pStyle w:val="TableParagraph"/>
              <w:spacing w:before="6"/>
              <w:rPr>
                <w:b/>
                <w:sz w:val="23"/>
              </w:rPr>
            </w:pPr>
          </w:p>
          <w:p w:rsidR="00C31389" w:rsidRDefault="00561FBD" w14:paraId="7F313588" w14:textId="77777777">
            <w:pPr>
              <w:pStyle w:val="TableParagraph"/>
              <w:spacing w:before="0"/>
              <w:ind w:left="488"/>
              <w:rPr>
                <w:sz w:val="20"/>
              </w:rPr>
            </w:pPr>
            <w:r>
              <w:rPr>
                <w:spacing w:val="-4"/>
                <w:sz w:val="20"/>
              </w:rPr>
              <w:t>High</w:t>
            </w:r>
          </w:p>
        </w:tc>
      </w:tr>
    </w:tbl>
    <w:p w:rsidR="00C31389" w:rsidRDefault="00561FBD" w14:paraId="280385B2" w14:textId="77777777">
      <w:pPr>
        <w:pStyle w:val="BodyText"/>
        <w:spacing w:before="9"/>
        <w:rPr>
          <w:b/>
          <w:sz w:val="26"/>
        </w:rPr>
      </w:pPr>
      <w:r>
        <w:rPr>
          <w:noProof/>
        </w:rPr>
        <mc:AlternateContent>
          <mc:Choice Requires="wps">
            <w:drawing>
              <wp:anchor distT="0" distB="0" distL="0" distR="0" simplePos="0" relativeHeight="487740416" behindDoc="1" locked="0" layoutInCell="1" allowOverlap="1" wp14:editId="5F5A4703" wp14:anchorId="2EBB37D9">
                <wp:simplePos x="0" y="0"/>
                <wp:positionH relativeFrom="page">
                  <wp:posOffset>914400</wp:posOffset>
                </wp:positionH>
                <wp:positionV relativeFrom="paragraph">
                  <wp:posOffset>211327</wp:posOffset>
                </wp:positionV>
                <wp:extent cx="1828800" cy="6985"/>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40" style="position:absolute;margin-left:1in;margin-top:16.65pt;width:2in;height:.55pt;z-index:-15576064;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7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" w14:anchorId="03ADC68D">
                <v:path arrowok="t"/>
                <w10:wrap type="topAndBottom" anchorx="page"/>
              </v:shape>
            </w:pict>
          </mc:Fallback>
        </mc:AlternateContent>
      </w:r>
    </w:p>
    <w:p w:rsidR="00C31389" w:rsidRDefault="00561FBD" w14:paraId="2A2CC78C" w14:textId="77777777">
      <w:pPr>
        <w:spacing w:before="89"/>
        <w:ind w:left="480"/>
        <w:rPr>
          <w:sz w:val="18"/>
        </w:rPr>
      </w:pPr>
      <w:bookmarkStart w:name="_bookmark490" w:id="637"/>
      <w:bookmarkEnd w:id="637"/>
      <w:r>
        <w:rPr>
          <w:spacing w:val="-2"/>
          <w:position w:val="6"/>
          <w:sz w:val="12"/>
        </w:rPr>
        <w:t>189</w:t>
      </w:r>
      <w:r>
        <w:rPr>
          <w:spacing w:val="73"/>
          <w:w w:val="150"/>
          <w:position w:val="6"/>
          <w:sz w:val="12"/>
        </w:rPr>
        <w:t xml:space="preserve"> </w:t>
      </w:r>
      <w:hyperlink r:id="rId321">
        <w:r>
          <w:rPr>
            <w:color w:val="68942C"/>
            <w:spacing w:val="-2"/>
            <w:sz w:val="18"/>
            <w:u w:val="single" w:color="68942C"/>
          </w:rPr>
          <w:t>https://energy.gov/eere/buildings/emerging-technologies</w:t>
        </w:r>
      </w:hyperlink>
    </w:p>
    <w:p w:rsidR="00C31389" w:rsidRDefault="00C31389" w14:paraId="12EFFD16" w14:textId="77777777">
      <w:pPr>
        <w:rPr>
          <w:sz w:val="18"/>
        </w:rPr>
        <w:sectPr w:rsidR="00C31389">
          <w:headerReference w:type="default" r:id="rId322"/>
          <w:footerReference w:type="default" r:id="rId323"/>
          <w:pgSz w:w="11910" w:h="16840"/>
          <w:pgMar w:top="1380" w:right="1020" w:bottom="1120" w:left="960" w:header="397" w:footer="938" w:gutter="0"/>
          <w:cols w:space="720"/>
        </w:sectPr>
      </w:pPr>
    </w:p>
    <w:p w:rsidR="00C31389" w:rsidRDefault="00C31389" w14:paraId="1BCCE373" w14:textId="77777777">
      <w:pPr>
        <w:pStyle w:val="BodyText"/>
      </w:pPr>
    </w:p>
    <w:tbl>
      <w:tblPr>
        <w:tblW w:w="0" w:type="auto"/>
        <w:tblInd w:w="251" w:type="dxa"/>
        <w:tblLayout w:type="fixed"/>
        <w:tblCellMar>
          <w:left w:w="0" w:type="dxa"/>
          <w:right w:w="0" w:type="dxa"/>
        </w:tblCellMar>
        <w:tblLook w:val="01E0" w:firstRow="1" w:lastRow="1" w:firstColumn="1" w:lastColumn="1" w:noHBand="0" w:noVBand="0"/>
      </w:tblPr>
      <w:tblGrid>
        <w:gridCol w:w="1718"/>
        <w:gridCol w:w="904"/>
        <w:gridCol w:w="1326"/>
        <w:gridCol w:w="1362"/>
        <w:gridCol w:w="1383"/>
        <w:gridCol w:w="1390"/>
        <w:gridCol w:w="1401"/>
      </w:tblGrid>
      <w:tr w:rsidR="00C31389" w14:paraId="47761370" w14:textId="77777777">
        <w:trPr>
          <w:trHeight w:val="252"/>
        </w:trPr>
        <w:tc>
          <w:tcPr>
            <w:tcW w:w="1718" w:type="dxa"/>
            <w:tcBorders>
              <w:top w:val="single" w:color="8B8B8B" w:sz="8" w:space="0"/>
            </w:tcBorders>
          </w:tcPr>
          <w:p w:rsidR="00C31389" w:rsidRDefault="00C31389" w14:paraId="1E3E7DEF" w14:textId="77777777">
            <w:pPr>
              <w:pStyle w:val="TableParagraph"/>
              <w:spacing w:before="0"/>
              <w:rPr>
                <w:rFonts w:ascii="Times New Roman"/>
                <w:sz w:val="18"/>
              </w:rPr>
            </w:pPr>
          </w:p>
        </w:tc>
        <w:tc>
          <w:tcPr>
            <w:tcW w:w="904" w:type="dxa"/>
            <w:tcBorders>
              <w:top w:val="single" w:color="8B8B8B" w:sz="8" w:space="0"/>
            </w:tcBorders>
          </w:tcPr>
          <w:p w:rsidR="00C31389" w:rsidRDefault="00C31389" w14:paraId="5E71F46B" w14:textId="77777777">
            <w:pPr>
              <w:pStyle w:val="TableParagraph"/>
              <w:spacing w:before="0"/>
              <w:rPr>
                <w:rFonts w:ascii="Times New Roman"/>
                <w:sz w:val="18"/>
              </w:rPr>
            </w:pPr>
          </w:p>
        </w:tc>
        <w:tc>
          <w:tcPr>
            <w:tcW w:w="1326" w:type="dxa"/>
            <w:tcBorders>
              <w:top w:val="single" w:color="8B8B8B" w:sz="8" w:space="0"/>
            </w:tcBorders>
          </w:tcPr>
          <w:p w:rsidR="00C31389" w:rsidRDefault="00C31389" w14:paraId="54BA885C" w14:textId="77777777">
            <w:pPr>
              <w:pStyle w:val="TableParagraph"/>
              <w:spacing w:before="0"/>
              <w:rPr>
                <w:rFonts w:ascii="Times New Roman"/>
                <w:sz w:val="18"/>
              </w:rPr>
            </w:pPr>
          </w:p>
        </w:tc>
        <w:tc>
          <w:tcPr>
            <w:tcW w:w="1362" w:type="dxa"/>
            <w:tcBorders>
              <w:top w:val="single" w:color="8B8B8B" w:sz="8" w:space="0"/>
            </w:tcBorders>
          </w:tcPr>
          <w:p w:rsidR="00C31389" w:rsidRDefault="00C31389" w14:paraId="130E02F2" w14:textId="77777777">
            <w:pPr>
              <w:pStyle w:val="TableParagraph"/>
              <w:spacing w:before="0"/>
              <w:rPr>
                <w:rFonts w:ascii="Times New Roman"/>
                <w:sz w:val="18"/>
              </w:rPr>
            </w:pPr>
          </w:p>
        </w:tc>
        <w:tc>
          <w:tcPr>
            <w:tcW w:w="1383" w:type="dxa"/>
            <w:tcBorders>
              <w:top w:val="single" w:color="8B8B8B" w:sz="8" w:space="0"/>
            </w:tcBorders>
          </w:tcPr>
          <w:p w:rsidR="00C31389" w:rsidRDefault="00C31389" w14:paraId="1B93C95F" w14:textId="77777777">
            <w:pPr>
              <w:pStyle w:val="TableParagraph"/>
              <w:spacing w:before="0"/>
              <w:rPr>
                <w:rFonts w:ascii="Times New Roman"/>
                <w:sz w:val="18"/>
              </w:rPr>
            </w:pPr>
          </w:p>
        </w:tc>
        <w:tc>
          <w:tcPr>
            <w:tcW w:w="1390" w:type="dxa"/>
            <w:tcBorders>
              <w:top w:val="single" w:color="8B8B8B" w:sz="8" w:space="0"/>
            </w:tcBorders>
          </w:tcPr>
          <w:p w:rsidR="00C31389" w:rsidRDefault="00C31389" w14:paraId="0FA0F19E" w14:textId="77777777">
            <w:pPr>
              <w:pStyle w:val="TableParagraph"/>
              <w:spacing w:before="0"/>
              <w:rPr>
                <w:rFonts w:ascii="Times New Roman"/>
                <w:sz w:val="18"/>
              </w:rPr>
            </w:pPr>
          </w:p>
        </w:tc>
        <w:tc>
          <w:tcPr>
            <w:tcW w:w="1401" w:type="dxa"/>
            <w:tcBorders>
              <w:top w:val="single" w:color="8B8B8B" w:sz="8" w:space="0"/>
            </w:tcBorders>
          </w:tcPr>
          <w:p w:rsidR="00C31389" w:rsidRDefault="00C31389" w14:paraId="2C620567" w14:textId="77777777">
            <w:pPr>
              <w:pStyle w:val="TableParagraph"/>
              <w:spacing w:before="0"/>
              <w:rPr>
                <w:rFonts w:ascii="Times New Roman"/>
                <w:sz w:val="18"/>
              </w:rPr>
            </w:pPr>
          </w:p>
        </w:tc>
      </w:tr>
      <w:tr w:rsidR="00C31389" w14:paraId="7B654854" w14:textId="77777777">
        <w:trPr>
          <w:trHeight w:val="549"/>
        </w:trPr>
        <w:tc>
          <w:tcPr>
            <w:tcW w:w="1718" w:type="dxa"/>
            <w:shd w:val="clear" w:color="auto" w:fill="92D400"/>
          </w:tcPr>
          <w:p w:rsidR="00C31389" w:rsidRDefault="00561FBD" w14:paraId="17D4936B" w14:textId="77777777">
            <w:pPr>
              <w:pStyle w:val="TableParagraph"/>
              <w:ind w:left="129"/>
              <w:rPr>
                <w:b/>
                <w:sz w:val="20"/>
              </w:rPr>
            </w:pPr>
            <w:r>
              <w:rPr>
                <w:b/>
                <w:spacing w:val="-2"/>
                <w:sz w:val="20"/>
              </w:rPr>
              <w:t>Technology Characteristics</w:t>
            </w:r>
          </w:p>
        </w:tc>
        <w:tc>
          <w:tcPr>
            <w:tcW w:w="904" w:type="dxa"/>
            <w:shd w:val="clear" w:color="auto" w:fill="92D400"/>
          </w:tcPr>
          <w:p w:rsidR="00C31389" w:rsidRDefault="00561FBD" w14:paraId="512840A5" w14:textId="77777777">
            <w:pPr>
              <w:pStyle w:val="TableParagraph"/>
              <w:spacing w:before="155"/>
              <w:ind w:left="121"/>
              <w:rPr>
                <w:b/>
                <w:sz w:val="20"/>
              </w:rPr>
            </w:pPr>
            <w:r>
              <w:rPr>
                <w:b/>
                <w:spacing w:val="-2"/>
                <w:sz w:val="20"/>
              </w:rPr>
              <w:t>Weight</w:t>
            </w:r>
          </w:p>
        </w:tc>
        <w:tc>
          <w:tcPr>
            <w:tcW w:w="1326" w:type="dxa"/>
            <w:shd w:val="clear" w:color="auto" w:fill="92D400"/>
          </w:tcPr>
          <w:p w:rsidR="00C31389" w:rsidRDefault="00561FBD" w14:paraId="1044CC71" w14:textId="77777777">
            <w:pPr>
              <w:pStyle w:val="TableParagraph"/>
              <w:spacing w:before="155"/>
              <w:ind w:left="117"/>
              <w:rPr>
                <w:b/>
                <w:sz w:val="20"/>
              </w:rPr>
            </w:pPr>
            <w:r>
              <w:rPr>
                <w:b/>
                <w:sz w:val="20"/>
              </w:rPr>
              <w:t>1</w:t>
            </w:r>
          </w:p>
        </w:tc>
        <w:tc>
          <w:tcPr>
            <w:tcW w:w="1362" w:type="dxa"/>
            <w:shd w:val="clear" w:color="auto" w:fill="92D400"/>
          </w:tcPr>
          <w:p w:rsidR="00C31389" w:rsidRDefault="00561FBD" w14:paraId="3A63BE01" w14:textId="77777777">
            <w:pPr>
              <w:pStyle w:val="TableParagraph"/>
              <w:spacing w:before="155"/>
              <w:ind w:left="139"/>
              <w:rPr>
                <w:b/>
                <w:sz w:val="20"/>
              </w:rPr>
            </w:pPr>
            <w:r>
              <w:rPr>
                <w:b/>
                <w:sz w:val="20"/>
              </w:rPr>
              <w:t>2</w:t>
            </w:r>
          </w:p>
        </w:tc>
        <w:tc>
          <w:tcPr>
            <w:tcW w:w="1383" w:type="dxa"/>
            <w:shd w:val="clear" w:color="auto" w:fill="92D400"/>
          </w:tcPr>
          <w:p w:rsidR="00C31389" w:rsidRDefault="00561FBD" w14:paraId="1F7CF39F" w14:textId="77777777">
            <w:pPr>
              <w:pStyle w:val="TableParagraph"/>
              <w:spacing w:before="155"/>
              <w:ind w:left="154"/>
              <w:rPr>
                <w:b/>
                <w:sz w:val="20"/>
              </w:rPr>
            </w:pPr>
            <w:r>
              <w:rPr>
                <w:b/>
                <w:sz w:val="20"/>
              </w:rPr>
              <w:t>3</w:t>
            </w:r>
          </w:p>
        </w:tc>
        <w:tc>
          <w:tcPr>
            <w:tcW w:w="1390" w:type="dxa"/>
            <w:shd w:val="clear" w:color="auto" w:fill="92D400"/>
          </w:tcPr>
          <w:p w:rsidR="00C31389" w:rsidRDefault="00561FBD" w14:paraId="179AEAA3" w14:textId="77777777">
            <w:pPr>
              <w:pStyle w:val="TableParagraph"/>
              <w:spacing w:before="155"/>
              <w:ind w:left="149"/>
              <w:rPr>
                <w:b/>
                <w:sz w:val="20"/>
              </w:rPr>
            </w:pPr>
            <w:r>
              <w:rPr>
                <w:b/>
                <w:sz w:val="20"/>
              </w:rPr>
              <w:t>4</w:t>
            </w:r>
          </w:p>
        </w:tc>
        <w:tc>
          <w:tcPr>
            <w:tcW w:w="1401" w:type="dxa"/>
            <w:shd w:val="clear" w:color="auto" w:fill="92D400"/>
          </w:tcPr>
          <w:p w:rsidR="00C31389" w:rsidRDefault="00561FBD" w14:paraId="2D283AD2" w14:textId="77777777">
            <w:pPr>
              <w:pStyle w:val="TableParagraph"/>
              <w:spacing w:before="155"/>
              <w:ind w:left="138"/>
              <w:rPr>
                <w:b/>
                <w:sz w:val="20"/>
              </w:rPr>
            </w:pPr>
            <w:r>
              <w:rPr>
                <w:b/>
                <w:sz w:val="20"/>
              </w:rPr>
              <w:t>5</w:t>
            </w:r>
          </w:p>
        </w:tc>
      </w:tr>
      <w:tr w:rsidR="00C31389" w14:paraId="1A9EFBB9" w14:textId="77777777">
        <w:trPr>
          <w:trHeight w:val="765"/>
        </w:trPr>
        <w:tc>
          <w:tcPr>
            <w:tcW w:w="1718" w:type="dxa"/>
            <w:tcBorders>
              <w:bottom w:val="single" w:color="D9D9D9" w:sz="2" w:space="0"/>
            </w:tcBorders>
          </w:tcPr>
          <w:p w:rsidR="00C31389" w:rsidRDefault="00561FBD" w14:paraId="7794A7A3" w14:textId="77777777">
            <w:pPr>
              <w:pStyle w:val="TableParagraph"/>
              <w:spacing w:before="35"/>
              <w:ind w:left="129"/>
              <w:rPr>
                <w:b/>
                <w:sz w:val="20"/>
              </w:rPr>
            </w:pPr>
            <w:r>
              <w:rPr>
                <w:b/>
                <w:spacing w:val="-2"/>
                <w:sz w:val="20"/>
              </w:rPr>
              <w:t>Energy Achievable Potential</w:t>
            </w:r>
          </w:p>
        </w:tc>
        <w:tc>
          <w:tcPr>
            <w:tcW w:w="904" w:type="dxa"/>
            <w:tcBorders>
              <w:bottom w:val="single" w:color="D9D9D9" w:sz="2" w:space="0"/>
            </w:tcBorders>
          </w:tcPr>
          <w:p w:rsidR="00C31389" w:rsidRDefault="00C31389" w14:paraId="1CF0126D" w14:textId="77777777">
            <w:pPr>
              <w:pStyle w:val="TableParagraph"/>
              <w:spacing w:before="1"/>
              <w:rPr>
                <w:sz w:val="23"/>
              </w:rPr>
            </w:pPr>
          </w:p>
          <w:p w:rsidR="00C31389" w:rsidRDefault="00561FBD" w14:paraId="40FF9CF7" w14:textId="77777777">
            <w:pPr>
              <w:pStyle w:val="TableParagraph"/>
              <w:spacing w:before="0"/>
              <w:ind w:left="121"/>
              <w:rPr>
                <w:sz w:val="20"/>
              </w:rPr>
            </w:pPr>
            <w:r>
              <w:rPr>
                <w:sz w:val="20"/>
              </w:rPr>
              <w:t>3</w:t>
            </w:r>
          </w:p>
        </w:tc>
        <w:tc>
          <w:tcPr>
            <w:tcW w:w="1326" w:type="dxa"/>
            <w:tcBorders>
              <w:bottom w:val="single" w:color="D9D9D9" w:sz="2" w:space="0"/>
            </w:tcBorders>
          </w:tcPr>
          <w:p w:rsidR="00C31389" w:rsidRDefault="00C31389" w14:paraId="29358081" w14:textId="77777777">
            <w:pPr>
              <w:pStyle w:val="TableParagraph"/>
              <w:spacing w:before="1"/>
              <w:rPr>
                <w:sz w:val="23"/>
              </w:rPr>
            </w:pPr>
          </w:p>
          <w:p w:rsidR="00C31389" w:rsidRDefault="00561FBD" w14:paraId="048FA75D" w14:textId="77777777">
            <w:pPr>
              <w:pStyle w:val="TableParagraph"/>
              <w:spacing w:before="0"/>
              <w:ind w:left="117"/>
              <w:rPr>
                <w:sz w:val="20"/>
              </w:rPr>
            </w:pPr>
            <w:r>
              <w:rPr>
                <w:spacing w:val="-5"/>
                <w:sz w:val="20"/>
              </w:rPr>
              <w:t>Low</w:t>
            </w:r>
          </w:p>
        </w:tc>
        <w:tc>
          <w:tcPr>
            <w:tcW w:w="1362" w:type="dxa"/>
            <w:tcBorders>
              <w:bottom w:val="single" w:color="D9D9D9" w:sz="2" w:space="0"/>
            </w:tcBorders>
          </w:tcPr>
          <w:p w:rsidR="00C31389" w:rsidRDefault="00C31389" w14:paraId="16144DBD" w14:textId="77777777">
            <w:pPr>
              <w:pStyle w:val="TableParagraph"/>
              <w:spacing w:before="1"/>
              <w:rPr>
                <w:sz w:val="23"/>
              </w:rPr>
            </w:pPr>
          </w:p>
          <w:p w:rsidR="00C31389" w:rsidRDefault="00561FBD" w14:paraId="23F712EB" w14:textId="77777777">
            <w:pPr>
              <w:pStyle w:val="TableParagraph"/>
              <w:spacing w:before="0"/>
              <w:ind w:left="139"/>
              <w:rPr>
                <w:sz w:val="20"/>
              </w:rPr>
            </w:pPr>
            <w:r>
              <w:rPr>
                <w:spacing w:val="-5"/>
                <w:sz w:val="20"/>
              </w:rPr>
              <w:t>Low</w:t>
            </w:r>
          </w:p>
        </w:tc>
        <w:tc>
          <w:tcPr>
            <w:tcW w:w="1383" w:type="dxa"/>
            <w:tcBorders>
              <w:bottom w:val="single" w:color="D9D9D9" w:sz="2" w:space="0"/>
            </w:tcBorders>
          </w:tcPr>
          <w:p w:rsidR="00C31389" w:rsidRDefault="00C31389" w14:paraId="589D913E" w14:textId="77777777">
            <w:pPr>
              <w:pStyle w:val="TableParagraph"/>
              <w:spacing w:before="1"/>
              <w:rPr>
                <w:sz w:val="23"/>
              </w:rPr>
            </w:pPr>
          </w:p>
          <w:p w:rsidR="00C31389" w:rsidRDefault="00561FBD" w14:paraId="2FD9E97E" w14:textId="77777777">
            <w:pPr>
              <w:pStyle w:val="TableParagraph"/>
              <w:spacing w:before="0"/>
              <w:ind w:left="154"/>
              <w:rPr>
                <w:sz w:val="20"/>
              </w:rPr>
            </w:pPr>
            <w:r>
              <w:rPr>
                <w:spacing w:val="-2"/>
                <w:sz w:val="20"/>
              </w:rPr>
              <w:t>Medium</w:t>
            </w:r>
          </w:p>
        </w:tc>
        <w:tc>
          <w:tcPr>
            <w:tcW w:w="1390" w:type="dxa"/>
            <w:tcBorders>
              <w:bottom w:val="single" w:color="D9D9D9" w:sz="2" w:space="0"/>
            </w:tcBorders>
          </w:tcPr>
          <w:p w:rsidR="00C31389" w:rsidRDefault="00C31389" w14:paraId="55DF44D0" w14:textId="77777777">
            <w:pPr>
              <w:pStyle w:val="TableParagraph"/>
              <w:spacing w:before="1"/>
              <w:rPr>
                <w:sz w:val="23"/>
              </w:rPr>
            </w:pPr>
          </w:p>
          <w:p w:rsidR="00C31389" w:rsidRDefault="00561FBD" w14:paraId="715FC8AF" w14:textId="77777777">
            <w:pPr>
              <w:pStyle w:val="TableParagraph"/>
              <w:spacing w:before="0"/>
              <w:ind w:left="149"/>
              <w:rPr>
                <w:sz w:val="20"/>
              </w:rPr>
            </w:pPr>
            <w:r>
              <w:rPr>
                <w:spacing w:val="-4"/>
                <w:sz w:val="20"/>
              </w:rPr>
              <w:t>High</w:t>
            </w:r>
          </w:p>
        </w:tc>
        <w:tc>
          <w:tcPr>
            <w:tcW w:w="1401" w:type="dxa"/>
            <w:tcBorders>
              <w:bottom w:val="single" w:color="D9D9D9" w:sz="2" w:space="0"/>
            </w:tcBorders>
          </w:tcPr>
          <w:p w:rsidR="00C31389" w:rsidRDefault="00C31389" w14:paraId="02A2DBB6" w14:textId="77777777">
            <w:pPr>
              <w:pStyle w:val="TableParagraph"/>
              <w:spacing w:before="1"/>
              <w:rPr>
                <w:sz w:val="23"/>
              </w:rPr>
            </w:pPr>
          </w:p>
          <w:p w:rsidR="00C31389" w:rsidRDefault="00561FBD" w14:paraId="3CD38B97" w14:textId="77777777">
            <w:pPr>
              <w:pStyle w:val="TableParagraph"/>
              <w:spacing w:before="0"/>
              <w:ind w:left="138"/>
              <w:rPr>
                <w:sz w:val="20"/>
              </w:rPr>
            </w:pPr>
            <w:r>
              <w:rPr>
                <w:spacing w:val="-4"/>
                <w:sz w:val="20"/>
              </w:rPr>
              <w:t>High</w:t>
            </w:r>
          </w:p>
        </w:tc>
      </w:tr>
      <w:tr w:rsidR="00C31389" w14:paraId="412E994E" w14:textId="77777777">
        <w:trPr>
          <w:trHeight w:val="309"/>
        </w:trPr>
        <w:tc>
          <w:tcPr>
            <w:tcW w:w="1718" w:type="dxa"/>
            <w:tcBorders>
              <w:top w:val="single" w:color="D9D9D9" w:sz="2" w:space="0"/>
              <w:bottom w:val="single" w:color="D9D9D9" w:sz="2" w:space="0"/>
            </w:tcBorders>
          </w:tcPr>
          <w:p w:rsidR="00C31389" w:rsidRDefault="00561FBD" w14:paraId="602BA6D8" w14:textId="77777777">
            <w:pPr>
              <w:pStyle w:val="TableParagraph"/>
              <w:ind w:left="129"/>
              <w:rPr>
                <w:b/>
                <w:sz w:val="20"/>
              </w:rPr>
            </w:pPr>
            <w:r>
              <w:rPr>
                <w:b/>
                <w:sz w:val="20"/>
              </w:rPr>
              <w:t>Market</w:t>
            </w:r>
            <w:r>
              <w:rPr>
                <w:b/>
                <w:spacing w:val="-3"/>
                <w:sz w:val="20"/>
              </w:rPr>
              <w:t xml:space="preserve"> </w:t>
            </w:r>
            <w:r>
              <w:rPr>
                <w:b/>
                <w:spacing w:val="-4"/>
                <w:sz w:val="20"/>
              </w:rPr>
              <w:t>Risk</w:t>
            </w:r>
          </w:p>
        </w:tc>
        <w:tc>
          <w:tcPr>
            <w:tcW w:w="904" w:type="dxa"/>
            <w:tcBorders>
              <w:top w:val="single" w:color="D9D9D9" w:sz="2" w:space="0"/>
              <w:bottom w:val="single" w:color="D9D9D9" w:sz="2" w:space="0"/>
            </w:tcBorders>
          </w:tcPr>
          <w:p w:rsidR="00C31389" w:rsidRDefault="00561FBD" w14:paraId="05ACA6FB" w14:textId="77777777">
            <w:pPr>
              <w:pStyle w:val="TableParagraph"/>
              <w:ind w:left="121"/>
              <w:rPr>
                <w:sz w:val="20"/>
              </w:rPr>
            </w:pPr>
            <w:r>
              <w:rPr>
                <w:sz w:val="20"/>
              </w:rPr>
              <w:t>2</w:t>
            </w:r>
          </w:p>
        </w:tc>
        <w:tc>
          <w:tcPr>
            <w:tcW w:w="1326" w:type="dxa"/>
            <w:tcBorders>
              <w:top w:val="single" w:color="D9D9D9" w:sz="2" w:space="0"/>
              <w:bottom w:val="single" w:color="D9D9D9" w:sz="2" w:space="0"/>
            </w:tcBorders>
          </w:tcPr>
          <w:p w:rsidR="00C31389" w:rsidRDefault="00561FBD" w14:paraId="4B8E9DFC" w14:textId="77777777">
            <w:pPr>
              <w:pStyle w:val="TableParagraph"/>
              <w:ind w:left="117"/>
              <w:rPr>
                <w:sz w:val="20"/>
              </w:rPr>
            </w:pPr>
            <w:r>
              <w:rPr>
                <w:sz w:val="20"/>
              </w:rPr>
              <w:t>High</w:t>
            </w:r>
            <w:r>
              <w:rPr>
                <w:spacing w:val="-2"/>
                <w:sz w:val="20"/>
              </w:rPr>
              <w:t xml:space="preserve"> </w:t>
            </w:r>
            <w:r>
              <w:rPr>
                <w:spacing w:val="-4"/>
                <w:sz w:val="20"/>
              </w:rPr>
              <w:t>risk</w:t>
            </w:r>
          </w:p>
        </w:tc>
        <w:tc>
          <w:tcPr>
            <w:tcW w:w="1362" w:type="dxa"/>
            <w:tcBorders>
              <w:top w:val="single" w:color="D9D9D9" w:sz="2" w:space="0"/>
              <w:bottom w:val="single" w:color="D9D9D9" w:sz="2" w:space="0"/>
            </w:tcBorders>
          </w:tcPr>
          <w:p w:rsidR="00C31389" w:rsidRDefault="00561FBD" w14:paraId="394FAC3B" w14:textId="77777777">
            <w:pPr>
              <w:pStyle w:val="TableParagraph"/>
              <w:ind w:left="139"/>
              <w:rPr>
                <w:sz w:val="20"/>
              </w:rPr>
            </w:pPr>
            <w:r>
              <w:rPr>
                <w:sz w:val="20"/>
              </w:rPr>
              <w:t>High</w:t>
            </w:r>
            <w:r>
              <w:rPr>
                <w:spacing w:val="-2"/>
                <w:sz w:val="20"/>
              </w:rPr>
              <w:t xml:space="preserve"> </w:t>
            </w:r>
            <w:r>
              <w:rPr>
                <w:spacing w:val="-4"/>
                <w:sz w:val="20"/>
              </w:rPr>
              <w:t>risk</w:t>
            </w:r>
          </w:p>
        </w:tc>
        <w:tc>
          <w:tcPr>
            <w:tcW w:w="1383" w:type="dxa"/>
            <w:tcBorders>
              <w:top w:val="single" w:color="D9D9D9" w:sz="2" w:space="0"/>
              <w:bottom w:val="single" w:color="D9D9D9" w:sz="2" w:space="0"/>
            </w:tcBorders>
          </w:tcPr>
          <w:p w:rsidR="00C31389" w:rsidRDefault="00561FBD" w14:paraId="408F2B8D" w14:textId="77777777">
            <w:pPr>
              <w:pStyle w:val="TableParagraph"/>
              <w:ind w:left="154"/>
              <w:rPr>
                <w:sz w:val="20"/>
              </w:rPr>
            </w:pPr>
            <w:r>
              <w:rPr>
                <w:sz w:val="20"/>
              </w:rPr>
              <w:t>Medium</w:t>
            </w:r>
            <w:r>
              <w:rPr>
                <w:spacing w:val="-5"/>
                <w:sz w:val="20"/>
              </w:rPr>
              <w:t xml:space="preserve"> </w:t>
            </w:r>
            <w:r>
              <w:rPr>
                <w:spacing w:val="-4"/>
                <w:sz w:val="20"/>
              </w:rPr>
              <w:t>risk</w:t>
            </w:r>
          </w:p>
        </w:tc>
        <w:tc>
          <w:tcPr>
            <w:tcW w:w="1390" w:type="dxa"/>
            <w:tcBorders>
              <w:top w:val="single" w:color="D9D9D9" w:sz="2" w:space="0"/>
              <w:bottom w:val="single" w:color="D9D9D9" w:sz="2" w:space="0"/>
            </w:tcBorders>
          </w:tcPr>
          <w:p w:rsidR="00C31389" w:rsidRDefault="00561FBD" w14:paraId="4F868B13" w14:textId="77777777">
            <w:pPr>
              <w:pStyle w:val="TableParagraph"/>
              <w:ind w:left="149"/>
              <w:rPr>
                <w:sz w:val="20"/>
              </w:rPr>
            </w:pPr>
            <w:r>
              <w:rPr>
                <w:sz w:val="20"/>
              </w:rPr>
              <w:t xml:space="preserve">Low </w:t>
            </w:r>
            <w:r>
              <w:rPr>
                <w:spacing w:val="-4"/>
                <w:sz w:val="20"/>
              </w:rPr>
              <w:t>risk</w:t>
            </w:r>
          </w:p>
        </w:tc>
        <w:tc>
          <w:tcPr>
            <w:tcW w:w="1401" w:type="dxa"/>
            <w:tcBorders>
              <w:top w:val="single" w:color="D9D9D9" w:sz="2" w:space="0"/>
              <w:bottom w:val="single" w:color="D9D9D9" w:sz="2" w:space="0"/>
            </w:tcBorders>
          </w:tcPr>
          <w:p w:rsidR="00C31389" w:rsidRDefault="00561FBD" w14:paraId="77924359" w14:textId="77777777">
            <w:pPr>
              <w:pStyle w:val="TableParagraph"/>
              <w:ind w:left="138"/>
              <w:rPr>
                <w:sz w:val="20"/>
              </w:rPr>
            </w:pPr>
            <w:r>
              <w:rPr>
                <w:sz w:val="20"/>
              </w:rPr>
              <w:t xml:space="preserve">Low </w:t>
            </w:r>
            <w:r>
              <w:rPr>
                <w:spacing w:val="-4"/>
                <w:sz w:val="20"/>
              </w:rPr>
              <w:t>risk</w:t>
            </w:r>
          </w:p>
        </w:tc>
      </w:tr>
      <w:tr w:rsidR="00C31389" w14:paraId="4866D964" w14:textId="77777777">
        <w:trPr>
          <w:trHeight w:val="310"/>
        </w:trPr>
        <w:tc>
          <w:tcPr>
            <w:tcW w:w="1718" w:type="dxa"/>
            <w:tcBorders>
              <w:top w:val="single" w:color="D9D9D9" w:sz="2" w:space="0"/>
              <w:bottom w:val="single" w:color="D9D9D9" w:sz="2" w:space="0"/>
            </w:tcBorders>
          </w:tcPr>
          <w:p w:rsidR="00C31389" w:rsidRDefault="00561FBD" w14:paraId="33BC156F" w14:textId="77777777">
            <w:pPr>
              <w:pStyle w:val="TableParagraph"/>
              <w:ind w:left="129"/>
              <w:rPr>
                <w:b/>
                <w:sz w:val="20"/>
              </w:rPr>
            </w:pPr>
            <w:r>
              <w:rPr>
                <w:b/>
                <w:sz w:val="20"/>
              </w:rPr>
              <w:t>Technical</w:t>
            </w:r>
            <w:r>
              <w:rPr>
                <w:b/>
                <w:spacing w:val="-4"/>
                <w:sz w:val="20"/>
              </w:rPr>
              <w:t xml:space="preserve"> Risk</w:t>
            </w:r>
          </w:p>
        </w:tc>
        <w:tc>
          <w:tcPr>
            <w:tcW w:w="904" w:type="dxa"/>
            <w:tcBorders>
              <w:top w:val="single" w:color="D9D9D9" w:sz="2" w:space="0"/>
              <w:bottom w:val="single" w:color="D9D9D9" w:sz="2" w:space="0"/>
            </w:tcBorders>
          </w:tcPr>
          <w:p w:rsidR="00C31389" w:rsidRDefault="00561FBD" w14:paraId="518F23D5" w14:textId="77777777">
            <w:pPr>
              <w:pStyle w:val="TableParagraph"/>
              <w:ind w:left="121"/>
              <w:rPr>
                <w:sz w:val="20"/>
              </w:rPr>
            </w:pPr>
            <w:r>
              <w:rPr>
                <w:sz w:val="20"/>
              </w:rPr>
              <w:t>2</w:t>
            </w:r>
          </w:p>
        </w:tc>
        <w:tc>
          <w:tcPr>
            <w:tcW w:w="1326" w:type="dxa"/>
            <w:tcBorders>
              <w:top w:val="single" w:color="D9D9D9" w:sz="2" w:space="0"/>
              <w:bottom w:val="single" w:color="D9D9D9" w:sz="2" w:space="0"/>
            </w:tcBorders>
          </w:tcPr>
          <w:p w:rsidR="00C31389" w:rsidRDefault="00561FBD" w14:paraId="7B5E7A6B" w14:textId="77777777">
            <w:pPr>
              <w:pStyle w:val="TableParagraph"/>
              <w:ind w:left="117"/>
              <w:rPr>
                <w:sz w:val="20"/>
              </w:rPr>
            </w:pPr>
            <w:r>
              <w:rPr>
                <w:sz w:val="20"/>
              </w:rPr>
              <w:t>High</w:t>
            </w:r>
            <w:r>
              <w:rPr>
                <w:spacing w:val="-2"/>
                <w:sz w:val="20"/>
              </w:rPr>
              <w:t xml:space="preserve"> </w:t>
            </w:r>
            <w:r>
              <w:rPr>
                <w:spacing w:val="-4"/>
                <w:sz w:val="20"/>
              </w:rPr>
              <w:t>risk</w:t>
            </w:r>
          </w:p>
        </w:tc>
        <w:tc>
          <w:tcPr>
            <w:tcW w:w="1362" w:type="dxa"/>
            <w:tcBorders>
              <w:top w:val="single" w:color="D9D9D9" w:sz="2" w:space="0"/>
              <w:bottom w:val="single" w:color="D9D9D9" w:sz="2" w:space="0"/>
            </w:tcBorders>
          </w:tcPr>
          <w:p w:rsidR="00C31389" w:rsidRDefault="00561FBD" w14:paraId="728B451E" w14:textId="77777777">
            <w:pPr>
              <w:pStyle w:val="TableParagraph"/>
              <w:ind w:left="139"/>
              <w:rPr>
                <w:sz w:val="20"/>
              </w:rPr>
            </w:pPr>
            <w:r>
              <w:rPr>
                <w:sz w:val="20"/>
              </w:rPr>
              <w:t>High</w:t>
            </w:r>
            <w:r>
              <w:rPr>
                <w:spacing w:val="-2"/>
                <w:sz w:val="20"/>
              </w:rPr>
              <w:t xml:space="preserve"> </w:t>
            </w:r>
            <w:r>
              <w:rPr>
                <w:spacing w:val="-4"/>
                <w:sz w:val="20"/>
              </w:rPr>
              <w:t>risk</w:t>
            </w:r>
          </w:p>
        </w:tc>
        <w:tc>
          <w:tcPr>
            <w:tcW w:w="1383" w:type="dxa"/>
            <w:tcBorders>
              <w:top w:val="single" w:color="D9D9D9" w:sz="2" w:space="0"/>
              <w:bottom w:val="single" w:color="D9D9D9" w:sz="2" w:space="0"/>
            </w:tcBorders>
          </w:tcPr>
          <w:p w:rsidR="00C31389" w:rsidRDefault="00561FBD" w14:paraId="63E77F9D" w14:textId="77777777">
            <w:pPr>
              <w:pStyle w:val="TableParagraph"/>
              <w:ind w:left="154"/>
              <w:rPr>
                <w:sz w:val="20"/>
              </w:rPr>
            </w:pPr>
            <w:r>
              <w:rPr>
                <w:sz w:val="20"/>
              </w:rPr>
              <w:t>Medium</w:t>
            </w:r>
            <w:r>
              <w:rPr>
                <w:spacing w:val="-5"/>
                <w:sz w:val="20"/>
              </w:rPr>
              <w:t xml:space="preserve"> </w:t>
            </w:r>
            <w:r>
              <w:rPr>
                <w:spacing w:val="-4"/>
                <w:sz w:val="20"/>
              </w:rPr>
              <w:t>risk</w:t>
            </w:r>
          </w:p>
        </w:tc>
        <w:tc>
          <w:tcPr>
            <w:tcW w:w="1390" w:type="dxa"/>
            <w:tcBorders>
              <w:top w:val="single" w:color="D9D9D9" w:sz="2" w:space="0"/>
              <w:bottom w:val="single" w:color="D9D9D9" w:sz="2" w:space="0"/>
            </w:tcBorders>
          </w:tcPr>
          <w:p w:rsidR="00C31389" w:rsidRDefault="00561FBD" w14:paraId="4317A3A5" w14:textId="77777777">
            <w:pPr>
              <w:pStyle w:val="TableParagraph"/>
              <w:ind w:left="149"/>
              <w:rPr>
                <w:sz w:val="20"/>
              </w:rPr>
            </w:pPr>
            <w:r>
              <w:rPr>
                <w:sz w:val="20"/>
              </w:rPr>
              <w:t xml:space="preserve">Low </w:t>
            </w:r>
            <w:r>
              <w:rPr>
                <w:spacing w:val="-4"/>
                <w:sz w:val="20"/>
              </w:rPr>
              <w:t>risk</w:t>
            </w:r>
          </w:p>
        </w:tc>
        <w:tc>
          <w:tcPr>
            <w:tcW w:w="1401" w:type="dxa"/>
            <w:tcBorders>
              <w:top w:val="single" w:color="D9D9D9" w:sz="2" w:space="0"/>
              <w:bottom w:val="single" w:color="D9D9D9" w:sz="2" w:space="0"/>
            </w:tcBorders>
          </w:tcPr>
          <w:p w:rsidR="00C31389" w:rsidRDefault="00561FBD" w14:paraId="7CEDC336" w14:textId="77777777">
            <w:pPr>
              <w:pStyle w:val="TableParagraph"/>
              <w:ind w:left="138"/>
              <w:rPr>
                <w:sz w:val="20"/>
              </w:rPr>
            </w:pPr>
            <w:r>
              <w:rPr>
                <w:sz w:val="20"/>
              </w:rPr>
              <w:t xml:space="preserve">Low </w:t>
            </w:r>
            <w:r>
              <w:rPr>
                <w:spacing w:val="-4"/>
                <w:sz w:val="20"/>
              </w:rPr>
              <w:t>risk</w:t>
            </w:r>
          </w:p>
        </w:tc>
      </w:tr>
      <w:tr w:rsidR="00C31389" w14:paraId="02C73642" w14:textId="77777777">
        <w:trPr>
          <w:trHeight w:val="1459"/>
        </w:trPr>
        <w:tc>
          <w:tcPr>
            <w:tcW w:w="1718" w:type="dxa"/>
            <w:tcBorders>
              <w:top w:val="single" w:color="D9D9D9" w:sz="2" w:space="0"/>
              <w:bottom w:val="single" w:color="D9D9D9" w:sz="2" w:space="0"/>
            </w:tcBorders>
          </w:tcPr>
          <w:p w:rsidR="00C31389" w:rsidRDefault="00C31389" w14:paraId="2CAEA506" w14:textId="77777777">
            <w:pPr>
              <w:pStyle w:val="TableParagraph"/>
              <w:spacing w:before="0"/>
            </w:pPr>
          </w:p>
          <w:p w:rsidR="00C31389" w:rsidRDefault="00C31389" w14:paraId="42FDACE6" w14:textId="77777777">
            <w:pPr>
              <w:pStyle w:val="TableParagraph"/>
              <w:spacing w:before="5"/>
              <w:rPr>
                <w:sz w:val="21"/>
              </w:rPr>
            </w:pPr>
          </w:p>
          <w:p w:rsidR="00C31389" w:rsidRDefault="00561FBD" w14:paraId="18DEC59B" w14:textId="77777777">
            <w:pPr>
              <w:pStyle w:val="TableParagraph"/>
              <w:spacing w:before="0"/>
              <w:ind w:left="129"/>
              <w:rPr>
                <w:b/>
                <w:sz w:val="20"/>
              </w:rPr>
            </w:pPr>
            <w:r>
              <w:rPr>
                <w:b/>
                <w:sz w:val="20"/>
              </w:rPr>
              <w:t>Utility</w:t>
            </w:r>
            <w:r>
              <w:rPr>
                <w:b/>
                <w:spacing w:val="-14"/>
                <w:sz w:val="20"/>
              </w:rPr>
              <w:t xml:space="preserve"> </w:t>
            </w:r>
            <w:r>
              <w:rPr>
                <w:b/>
                <w:sz w:val="20"/>
              </w:rPr>
              <w:t>Ability</w:t>
            </w:r>
            <w:r>
              <w:rPr>
                <w:b/>
                <w:spacing w:val="-14"/>
                <w:sz w:val="20"/>
              </w:rPr>
              <w:t xml:space="preserve"> </w:t>
            </w:r>
            <w:r>
              <w:rPr>
                <w:b/>
                <w:sz w:val="20"/>
              </w:rPr>
              <w:t>to Impact Market</w:t>
            </w:r>
          </w:p>
        </w:tc>
        <w:tc>
          <w:tcPr>
            <w:tcW w:w="904" w:type="dxa"/>
            <w:tcBorders>
              <w:top w:val="single" w:color="D9D9D9" w:sz="2" w:space="0"/>
              <w:bottom w:val="single" w:color="D9D9D9" w:sz="2" w:space="0"/>
            </w:tcBorders>
          </w:tcPr>
          <w:p w:rsidR="00C31389" w:rsidRDefault="00C31389" w14:paraId="354F7AD0" w14:textId="77777777">
            <w:pPr>
              <w:pStyle w:val="TableParagraph"/>
              <w:spacing w:before="0"/>
            </w:pPr>
          </w:p>
          <w:p w:rsidR="00C31389" w:rsidRDefault="00C31389" w14:paraId="45275D8C" w14:textId="77777777">
            <w:pPr>
              <w:pStyle w:val="TableParagraph"/>
              <w:spacing w:before="5"/>
              <w:rPr>
                <w:sz w:val="31"/>
              </w:rPr>
            </w:pPr>
          </w:p>
          <w:p w:rsidR="00C31389" w:rsidRDefault="00561FBD" w14:paraId="123C917D" w14:textId="77777777">
            <w:pPr>
              <w:pStyle w:val="TableParagraph"/>
              <w:spacing w:before="0"/>
              <w:ind w:left="121"/>
              <w:rPr>
                <w:sz w:val="20"/>
              </w:rPr>
            </w:pPr>
            <w:r>
              <w:rPr>
                <w:sz w:val="20"/>
              </w:rPr>
              <w:t>1</w:t>
            </w:r>
          </w:p>
        </w:tc>
        <w:tc>
          <w:tcPr>
            <w:tcW w:w="1326" w:type="dxa"/>
            <w:tcBorders>
              <w:top w:val="single" w:color="D9D9D9" w:sz="2" w:space="0"/>
              <w:bottom w:val="single" w:color="D9D9D9" w:sz="2" w:space="0"/>
            </w:tcBorders>
          </w:tcPr>
          <w:p w:rsidR="00C31389" w:rsidRDefault="00561FBD" w14:paraId="38A622C8" w14:textId="77777777">
            <w:pPr>
              <w:pStyle w:val="TableParagraph"/>
              <w:ind w:left="117" w:right="137"/>
              <w:rPr>
                <w:sz w:val="20"/>
              </w:rPr>
            </w:pPr>
            <w:r>
              <w:rPr>
                <w:spacing w:val="-2"/>
                <w:sz w:val="20"/>
              </w:rPr>
              <w:t xml:space="preserve">Private </w:t>
            </w:r>
            <w:r>
              <w:rPr>
                <w:sz w:val="20"/>
              </w:rPr>
              <w:t xml:space="preserve">sector will </w:t>
            </w:r>
            <w:r>
              <w:rPr>
                <w:spacing w:val="-2"/>
                <w:sz w:val="20"/>
              </w:rPr>
              <w:t>succeed without utility involvement</w:t>
            </w:r>
          </w:p>
        </w:tc>
        <w:tc>
          <w:tcPr>
            <w:tcW w:w="1362" w:type="dxa"/>
            <w:tcBorders>
              <w:top w:val="single" w:color="D9D9D9" w:sz="2" w:space="0"/>
              <w:bottom w:val="single" w:color="D9D9D9" w:sz="2" w:space="0"/>
            </w:tcBorders>
          </w:tcPr>
          <w:p w:rsidR="00C31389" w:rsidRDefault="00C31389" w14:paraId="5891193D" w14:textId="77777777">
            <w:pPr>
              <w:pStyle w:val="TableParagraph"/>
              <w:spacing w:before="5"/>
              <w:rPr>
                <w:sz w:val="23"/>
              </w:rPr>
            </w:pPr>
          </w:p>
          <w:p w:rsidR="00C31389" w:rsidRDefault="00561FBD" w14:paraId="5182170B" w14:textId="77777777">
            <w:pPr>
              <w:pStyle w:val="TableParagraph"/>
              <w:spacing w:before="0"/>
              <w:ind w:left="139" w:right="131"/>
              <w:rPr>
                <w:sz w:val="20"/>
              </w:rPr>
            </w:pPr>
            <w:r>
              <w:rPr>
                <w:sz w:val="20"/>
              </w:rPr>
              <w:t>Utility is unlikely to be</w:t>
            </w:r>
            <w:r>
              <w:rPr>
                <w:spacing w:val="-14"/>
                <w:sz w:val="20"/>
              </w:rPr>
              <w:t xml:space="preserve"> </w:t>
            </w:r>
            <w:r>
              <w:rPr>
                <w:sz w:val="20"/>
              </w:rPr>
              <w:t>critical</w:t>
            </w:r>
            <w:r>
              <w:rPr>
                <w:spacing w:val="-14"/>
                <w:sz w:val="20"/>
              </w:rPr>
              <w:t xml:space="preserve"> </w:t>
            </w:r>
            <w:r>
              <w:rPr>
                <w:sz w:val="20"/>
              </w:rPr>
              <w:t xml:space="preserve">to </w:t>
            </w:r>
            <w:r>
              <w:rPr>
                <w:spacing w:val="-2"/>
                <w:sz w:val="20"/>
              </w:rPr>
              <w:t>adoption</w:t>
            </w:r>
          </w:p>
        </w:tc>
        <w:tc>
          <w:tcPr>
            <w:tcW w:w="1383" w:type="dxa"/>
            <w:tcBorders>
              <w:top w:val="single" w:color="D9D9D9" w:sz="2" w:space="0"/>
              <w:bottom w:val="single" w:color="D9D9D9" w:sz="2" w:space="0"/>
            </w:tcBorders>
          </w:tcPr>
          <w:p w:rsidR="00C31389" w:rsidRDefault="00C31389" w14:paraId="06BAF1B1" w14:textId="77777777">
            <w:pPr>
              <w:pStyle w:val="TableParagraph"/>
              <w:spacing w:before="5"/>
              <w:rPr>
                <w:sz w:val="23"/>
              </w:rPr>
            </w:pPr>
          </w:p>
          <w:p w:rsidR="00C31389" w:rsidRDefault="00561FBD" w14:paraId="4CD6CDF8" w14:textId="77777777">
            <w:pPr>
              <w:pStyle w:val="TableParagraph"/>
              <w:spacing w:before="0"/>
              <w:ind w:left="154" w:right="188"/>
              <w:rPr>
                <w:sz w:val="20"/>
              </w:rPr>
            </w:pPr>
            <w:r>
              <w:rPr>
                <w:sz w:val="20"/>
              </w:rPr>
              <w:t xml:space="preserve">Utility is likely to </w:t>
            </w:r>
            <w:r>
              <w:rPr>
                <w:spacing w:val="-2"/>
                <w:sz w:val="20"/>
              </w:rPr>
              <w:t>accelerate adoption</w:t>
            </w:r>
          </w:p>
        </w:tc>
        <w:tc>
          <w:tcPr>
            <w:tcW w:w="1390" w:type="dxa"/>
            <w:tcBorders>
              <w:top w:val="single" w:color="D9D9D9" w:sz="2" w:space="0"/>
              <w:bottom w:val="single" w:color="D9D9D9" w:sz="2" w:space="0"/>
            </w:tcBorders>
          </w:tcPr>
          <w:p w:rsidR="00C31389" w:rsidRDefault="00C31389" w14:paraId="67A8858C" w14:textId="77777777">
            <w:pPr>
              <w:pStyle w:val="TableParagraph"/>
              <w:spacing w:before="5"/>
              <w:rPr>
                <w:sz w:val="23"/>
              </w:rPr>
            </w:pPr>
          </w:p>
          <w:p w:rsidR="00C31389" w:rsidRDefault="00561FBD" w14:paraId="47183FA0" w14:textId="77777777">
            <w:pPr>
              <w:pStyle w:val="TableParagraph"/>
              <w:spacing w:before="0"/>
              <w:ind w:left="149" w:right="178"/>
              <w:rPr>
                <w:sz w:val="20"/>
              </w:rPr>
            </w:pPr>
            <w:r>
              <w:rPr>
                <w:sz w:val="20"/>
              </w:rPr>
              <w:t>Utility is important</w:t>
            </w:r>
            <w:r>
              <w:rPr>
                <w:spacing w:val="-14"/>
                <w:sz w:val="20"/>
              </w:rPr>
              <w:t xml:space="preserve"> </w:t>
            </w:r>
            <w:r>
              <w:rPr>
                <w:sz w:val="20"/>
              </w:rPr>
              <w:t xml:space="preserve">to </w:t>
            </w:r>
            <w:r>
              <w:rPr>
                <w:spacing w:val="-2"/>
                <w:sz w:val="20"/>
              </w:rPr>
              <w:t>accelerate adoption</w:t>
            </w:r>
          </w:p>
        </w:tc>
        <w:tc>
          <w:tcPr>
            <w:tcW w:w="1401" w:type="dxa"/>
            <w:tcBorders>
              <w:top w:val="single" w:color="D9D9D9" w:sz="2" w:space="0"/>
              <w:bottom w:val="single" w:color="D9D9D9" w:sz="2" w:space="0"/>
            </w:tcBorders>
          </w:tcPr>
          <w:p w:rsidR="00C31389" w:rsidRDefault="00C31389" w14:paraId="084DA8F5" w14:textId="77777777">
            <w:pPr>
              <w:pStyle w:val="TableParagraph"/>
              <w:spacing w:before="5"/>
              <w:rPr>
                <w:sz w:val="23"/>
              </w:rPr>
            </w:pPr>
          </w:p>
          <w:p w:rsidR="00C31389" w:rsidRDefault="00561FBD" w14:paraId="26576B97" w14:textId="77777777">
            <w:pPr>
              <w:pStyle w:val="TableParagraph"/>
              <w:spacing w:before="1"/>
              <w:ind w:left="137" w:right="179"/>
              <w:rPr>
                <w:sz w:val="20"/>
              </w:rPr>
            </w:pPr>
            <w:r>
              <w:rPr>
                <w:sz w:val="20"/>
              </w:rPr>
              <w:t>Utility is essential</w:t>
            </w:r>
            <w:r>
              <w:rPr>
                <w:spacing w:val="-14"/>
                <w:sz w:val="20"/>
              </w:rPr>
              <w:t xml:space="preserve"> </w:t>
            </w:r>
            <w:r>
              <w:rPr>
                <w:sz w:val="20"/>
              </w:rPr>
              <w:t xml:space="preserve">for </w:t>
            </w:r>
            <w:r>
              <w:rPr>
                <w:spacing w:val="-2"/>
                <w:sz w:val="20"/>
              </w:rPr>
              <w:t>catalyzing market</w:t>
            </w:r>
          </w:p>
        </w:tc>
      </w:tr>
      <w:tr w:rsidR="00C31389" w14:paraId="5890885F" w14:textId="77777777">
        <w:trPr>
          <w:trHeight w:val="1230"/>
        </w:trPr>
        <w:tc>
          <w:tcPr>
            <w:tcW w:w="1718" w:type="dxa"/>
            <w:tcBorders>
              <w:top w:val="single" w:color="D9D9D9" w:sz="2" w:space="0"/>
              <w:bottom w:val="single" w:color="000000" w:sz="8" w:space="0"/>
            </w:tcBorders>
          </w:tcPr>
          <w:p w:rsidR="00C31389" w:rsidRDefault="00C31389" w14:paraId="2F793082" w14:textId="77777777">
            <w:pPr>
              <w:pStyle w:val="TableParagraph"/>
              <w:spacing w:before="0"/>
            </w:pPr>
          </w:p>
          <w:p w:rsidR="00C31389" w:rsidRDefault="00C31389" w14:paraId="5746BD59" w14:textId="77777777">
            <w:pPr>
              <w:pStyle w:val="TableParagraph"/>
              <w:spacing w:before="6"/>
              <w:rPr>
                <w:sz w:val="21"/>
              </w:rPr>
            </w:pPr>
          </w:p>
          <w:p w:rsidR="00C31389" w:rsidRDefault="00561FBD" w14:paraId="4FDAF32C" w14:textId="77777777">
            <w:pPr>
              <w:pStyle w:val="TableParagraph"/>
              <w:spacing w:before="0"/>
              <w:ind w:left="129"/>
              <w:rPr>
                <w:b/>
                <w:sz w:val="20"/>
              </w:rPr>
            </w:pPr>
            <w:r>
              <w:rPr>
                <w:b/>
                <w:spacing w:val="-4"/>
                <w:sz w:val="20"/>
              </w:rPr>
              <w:t>NEBs</w:t>
            </w:r>
          </w:p>
        </w:tc>
        <w:tc>
          <w:tcPr>
            <w:tcW w:w="904" w:type="dxa"/>
            <w:tcBorders>
              <w:top w:val="single" w:color="D9D9D9" w:sz="2" w:space="0"/>
              <w:bottom w:val="single" w:color="000000" w:sz="8" w:space="0"/>
            </w:tcBorders>
          </w:tcPr>
          <w:p w:rsidR="00C31389" w:rsidRDefault="00C31389" w14:paraId="1DAFB1C8" w14:textId="77777777">
            <w:pPr>
              <w:pStyle w:val="TableParagraph"/>
              <w:spacing w:before="0"/>
            </w:pPr>
          </w:p>
          <w:p w:rsidR="00C31389" w:rsidRDefault="00C31389" w14:paraId="7844147A" w14:textId="77777777">
            <w:pPr>
              <w:pStyle w:val="TableParagraph"/>
              <w:spacing w:before="6"/>
              <w:rPr>
                <w:sz w:val="21"/>
              </w:rPr>
            </w:pPr>
          </w:p>
          <w:p w:rsidR="00C31389" w:rsidRDefault="00561FBD" w14:paraId="66D28FD1" w14:textId="77777777">
            <w:pPr>
              <w:pStyle w:val="TableParagraph"/>
              <w:spacing w:before="0"/>
              <w:ind w:left="121"/>
              <w:rPr>
                <w:sz w:val="20"/>
              </w:rPr>
            </w:pPr>
            <w:r>
              <w:rPr>
                <w:sz w:val="20"/>
              </w:rPr>
              <w:t>1</w:t>
            </w:r>
          </w:p>
        </w:tc>
        <w:tc>
          <w:tcPr>
            <w:tcW w:w="1326" w:type="dxa"/>
            <w:tcBorders>
              <w:top w:val="single" w:color="D9D9D9" w:sz="2" w:space="0"/>
              <w:bottom w:val="single" w:color="000000" w:sz="8" w:space="0"/>
            </w:tcBorders>
          </w:tcPr>
          <w:p w:rsidR="00C31389" w:rsidRDefault="00C31389" w14:paraId="36E43CBD" w14:textId="77777777">
            <w:pPr>
              <w:pStyle w:val="TableParagraph"/>
              <w:spacing w:before="0"/>
            </w:pPr>
          </w:p>
          <w:p w:rsidR="00C31389" w:rsidRDefault="00561FBD" w14:paraId="6CFAE324" w14:textId="77777777">
            <w:pPr>
              <w:pStyle w:val="TableParagraph"/>
              <w:spacing w:before="133"/>
              <w:ind w:left="117"/>
              <w:rPr>
                <w:sz w:val="20"/>
              </w:rPr>
            </w:pPr>
            <w:r>
              <w:rPr>
                <w:sz w:val="20"/>
              </w:rPr>
              <w:t>Zero</w:t>
            </w:r>
            <w:r>
              <w:rPr>
                <w:spacing w:val="-14"/>
                <w:sz w:val="20"/>
              </w:rPr>
              <w:t xml:space="preserve"> </w:t>
            </w:r>
            <w:r>
              <w:rPr>
                <w:sz w:val="20"/>
              </w:rPr>
              <w:t>or</w:t>
            </w:r>
            <w:r>
              <w:rPr>
                <w:spacing w:val="-14"/>
                <w:sz w:val="20"/>
              </w:rPr>
              <w:t xml:space="preserve"> </w:t>
            </w:r>
            <w:r>
              <w:rPr>
                <w:sz w:val="20"/>
              </w:rPr>
              <w:t xml:space="preserve">few </w:t>
            </w:r>
            <w:r>
              <w:rPr>
                <w:spacing w:val="-4"/>
                <w:sz w:val="20"/>
              </w:rPr>
              <w:t>NEBs</w:t>
            </w:r>
          </w:p>
        </w:tc>
        <w:tc>
          <w:tcPr>
            <w:tcW w:w="1362" w:type="dxa"/>
            <w:tcBorders>
              <w:top w:val="single" w:color="D9D9D9" w:sz="2" w:space="0"/>
              <w:bottom w:val="single" w:color="000000" w:sz="8" w:space="0"/>
            </w:tcBorders>
          </w:tcPr>
          <w:p w:rsidR="00C31389" w:rsidRDefault="00C31389" w14:paraId="6FE8DD07" w14:textId="77777777">
            <w:pPr>
              <w:pStyle w:val="TableParagraph"/>
              <w:spacing w:before="6"/>
              <w:rPr>
                <w:sz w:val="23"/>
              </w:rPr>
            </w:pPr>
          </w:p>
          <w:p w:rsidR="00C31389" w:rsidRDefault="00561FBD" w14:paraId="5374469C" w14:textId="77777777">
            <w:pPr>
              <w:pStyle w:val="TableParagraph"/>
              <w:spacing w:before="0"/>
              <w:ind w:left="139" w:right="205"/>
              <w:rPr>
                <w:sz w:val="20"/>
              </w:rPr>
            </w:pPr>
            <w:r>
              <w:rPr>
                <w:spacing w:val="-4"/>
                <w:sz w:val="20"/>
              </w:rPr>
              <w:t xml:space="preserve">Some </w:t>
            </w:r>
            <w:r>
              <w:rPr>
                <w:spacing w:val="-2"/>
                <w:sz w:val="20"/>
              </w:rPr>
              <w:t xml:space="preserve">modest </w:t>
            </w:r>
            <w:r>
              <w:rPr>
                <w:sz w:val="20"/>
              </w:rPr>
              <w:t>NEBs</w:t>
            </w:r>
            <w:r>
              <w:rPr>
                <w:spacing w:val="-14"/>
                <w:sz w:val="20"/>
              </w:rPr>
              <w:t xml:space="preserve"> </w:t>
            </w:r>
            <w:r>
              <w:rPr>
                <w:sz w:val="20"/>
              </w:rPr>
              <w:t>likely</w:t>
            </w:r>
          </w:p>
        </w:tc>
        <w:tc>
          <w:tcPr>
            <w:tcW w:w="1383" w:type="dxa"/>
            <w:tcBorders>
              <w:top w:val="single" w:color="D9D9D9" w:sz="2" w:space="0"/>
              <w:bottom w:val="single" w:color="000000" w:sz="8" w:space="0"/>
            </w:tcBorders>
          </w:tcPr>
          <w:p w:rsidR="00C31389" w:rsidRDefault="00561FBD" w14:paraId="2EC5AC42" w14:textId="77777777">
            <w:pPr>
              <w:pStyle w:val="TableParagraph"/>
              <w:spacing w:before="41"/>
              <w:ind w:left="154" w:right="188"/>
              <w:rPr>
                <w:sz w:val="20"/>
              </w:rPr>
            </w:pPr>
            <w:r>
              <w:rPr>
                <w:spacing w:val="-2"/>
                <w:sz w:val="20"/>
              </w:rPr>
              <w:t xml:space="preserve">Significant </w:t>
            </w:r>
            <w:r>
              <w:rPr>
                <w:sz w:val="20"/>
              </w:rPr>
              <w:t>benefits</w:t>
            </w:r>
            <w:r>
              <w:rPr>
                <w:spacing w:val="-14"/>
                <w:sz w:val="20"/>
              </w:rPr>
              <w:t xml:space="preserve"> </w:t>
            </w:r>
            <w:r>
              <w:rPr>
                <w:sz w:val="20"/>
              </w:rPr>
              <w:t xml:space="preserve">but difficult to </w:t>
            </w:r>
            <w:r>
              <w:rPr>
                <w:spacing w:val="-2"/>
                <w:sz w:val="20"/>
              </w:rPr>
              <w:t>quantify/not understood</w:t>
            </w:r>
          </w:p>
        </w:tc>
        <w:tc>
          <w:tcPr>
            <w:tcW w:w="1390" w:type="dxa"/>
            <w:tcBorders>
              <w:top w:val="single" w:color="D9D9D9" w:sz="2" w:space="0"/>
              <w:bottom w:val="single" w:color="000000" w:sz="8" w:space="0"/>
            </w:tcBorders>
          </w:tcPr>
          <w:p w:rsidR="00C31389" w:rsidRDefault="00561FBD" w14:paraId="706E34CB" w14:textId="77777777">
            <w:pPr>
              <w:pStyle w:val="TableParagraph"/>
              <w:spacing w:before="41"/>
              <w:ind w:left="149" w:right="136"/>
              <w:rPr>
                <w:sz w:val="20"/>
              </w:rPr>
            </w:pPr>
            <w:r>
              <w:rPr>
                <w:sz w:val="20"/>
              </w:rPr>
              <w:t xml:space="preserve">1 or 2 </w:t>
            </w:r>
            <w:r>
              <w:rPr>
                <w:spacing w:val="-2"/>
                <w:sz w:val="20"/>
              </w:rPr>
              <w:t xml:space="preserve">quantified, well- documented </w:t>
            </w:r>
            <w:r>
              <w:rPr>
                <w:spacing w:val="-4"/>
                <w:sz w:val="20"/>
              </w:rPr>
              <w:t>NEBs</w:t>
            </w:r>
          </w:p>
        </w:tc>
        <w:tc>
          <w:tcPr>
            <w:tcW w:w="1401" w:type="dxa"/>
            <w:tcBorders>
              <w:top w:val="single" w:color="D9D9D9" w:sz="2" w:space="0"/>
              <w:bottom w:val="single" w:color="000000" w:sz="8" w:space="0"/>
            </w:tcBorders>
          </w:tcPr>
          <w:p w:rsidR="00C31389" w:rsidRDefault="00561FBD" w14:paraId="4EEC4143" w14:textId="77777777">
            <w:pPr>
              <w:pStyle w:val="TableParagraph"/>
              <w:spacing w:before="41"/>
              <w:ind w:left="138" w:right="258"/>
              <w:rPr>
                <w:sz w:val="20"/>
              </w:rPr>
            </w:pPr>
            <w:r>
              <w:rPr>
                <w:spacing w:val="-2"/>
                <w:sz w:val="20"/>
              </w:rPr>
              <w:t xml:space="preserve">Extensive, quantified, well- understood </w:t>
            </w:r>
            <w:r>
              <w:rPr>
                <w:spacing w:val="-4"/>
                <w:sz w:val="20"/>
              </w:rPr>
              <w:t>NEBs</w:t>
            </w:r>
          </w:p>
        </w:tc>
      </w:tr>
    </w:tbl>
    <w:p w:rsidR="00C31389" w:rsidRDefault="00561FBD" w14:paraId="3BCC86F8" w14:textId="77777777">
      <w:pPr>
        <w:spacing w:before="63"/>
        <w:ind w:left="480"/>
        <w:rPr>
          <w:i/>
          <w:sz w:val="18"/>
        </w:rPr>
      </w:pPr>
      <w:r>
        <w:rPr>
          <w:i/>
          <w:sz w:val="18"/>
        </w:rPr>
        <w:t>Source:</w:t>
      </w:r>
      <w:r>
        <w:rPr>
          <w:i/>
          <w:spacing w:val="-5"/>
          <w:sz w:val="18"/>
        </w:rPr>
        <w:t xml:space="preserve"> </w:t>
      </w:r>
      <w:r>
        <w:rPr>
          <w:i/>
          <w:sz w:val="18"/>
        </w:rPr>
        <w:t>Guidehouse</w:t>
      </w:r>
      <w:r>
        <w:rPr>
          <w:i/>
          <w:spacing w:val="-4"/>
          <w:sz w:val="18"/>
        </w:rPr>
        <w:t xml:space="preserve"> </w:t>
      </w:r>
      <w:r>
        <w:rPr>
          <w:i/>
          <w:spacing w:val="-2"/>
          <w:sz w:val="18"/>
        </w:rPr>
        <w:t>analysis</w:t>
      </w:r>
    </w:p>
    <w:p w:rsidR="00C31389" w:rsidRDefault="00C31389" w14:paraId="3062A57F" w14:textId="77777777">
      <w:pPr>
        <w:pStyle w:val="BodyText"/>
        <w:spacing w:before="9"/>
        <w:rPr>
          <w:i/>
          <w:sz w:val="20"/>
        </w:rPr>
      </w:pPr>
    </w:p>
    <w:p w:rsidR="00C31389" w:rsidRDefault="00561FBD" w14:paraId="5373C4F7" w14:textId="77777777">
      <w:pPr>
        <w:pStyle w:val="BodyText"/>
        <w:ind w:left="480" w:right="418"/>
      </w:pPr>
      <w:r>
        <w:t>The characterization process worked to distinguish between energy technical potential and energy</w:t>
      </w:r>
      <w:r>
        <w:rPr>
          <w:spacing w:val="-3"/>
        </w:rPr>
        <w:t xml:space="preserve"> </w:t>
      </w:r>
      <w:r>
        <w:t>achievable</w:t>
      </w:r>
      <w:r>
        <w:rPr>
          <w:spacing w:val="-3"/>
        </w:rPr>
        <w:t xml:space="preserve"> </w:t>
      </w:r>
      <w:r>
        <w:t>potential.</w:t>
      </w:r>
      <w:r>
        <w:rPr>
          <w:spacing w:val="-3"/>
        </w:rPr>
        <w:t xml:space="preserve"> </w:t>
      </w:r>
      <w:r>
        <w:t>The</w:t>
      </w:r>
      <w:r>
        <w:rPr>
          <w:spacing w:val="-3"/>
        </w:rPr>
        <w:t xml:space="preserve"> </w:t>
      </w:r>
      <w:r>
        <w:t>energy</w:t>
      </w:r>
      <w:r>
        <w:rPr>
          <w:spacing w:val="-3"/>
        </w:rPr>
        <w:t xml:space="preserve"> </w:t>
      </w:r>
      <w:r>
        <w:t>technical</w:t>
      </w:r>
      <w:r>
        <w:rPr>
          <w:spacing w:val="-3"/>
        </w:rPr>
        <w:t xml:space="preserve"> </w:t>
      </w:r>
      <w:r>
        <w:t>potential</w:t>
      </w:r>
      <w:r>
        <w:rPr>
          <w:spacing w:val="-4"/>
        </w:rPr>
        <w:t xml:space="preserve"> </w:t>
      </w:r>
      <w:r>
        <w:t>evaluates</w:t>
      </w:r>
      <w:r>
        <w:rPr>
          <w:spacing w:val="-3"/>
        </w:rPr>
        <w:t xml:space="preserve"> </w:t>
      </w:r>
      <w:r>
        <w:t>the</w:t>
      </w:r>
      <w:r>
        <w:rPr>
          <w:spacing w:val="-3"/>
        </w:rPr>
        <w:t xml:space="preserve"> </w:t>
      </w:r>
      <w:r>
        <w:t>energy</w:t>
      </w:r>
      <w:r>
        <w:rPr>
          <w:spacing w:val="-3"/>
        </w:rPr>
        <w:t xml:space="preserve"> </w:t>
      </w:r>
      <w:r>
        <w:t>savings</w:t>
      </w:r>
      <w:r>
        <w:rPr>
          <w:spacing w:val="-3"/>
        </w:rPr>
        <w:t xml:space="preserve"> </w:t>
      </w:r>
      <w:r>
        <w:t>of the specific technology relative to the energy consumption of the baseline equivalent technology. The energy achievable potential takes a broader view and is a measure of the energy savings potential of that ET relative to the entire market’s en</w:t>
      </w:r>
      <w:r>
        <w:t>ergy consumption. ETs that have a high energy technical potential but low energy achievable potential include technologies that drastically improve efficiency of a certain technology but have limited market application.</w:t>
      </w:r>
    </w:p>
    <w:p w:rsidR="00C31389" w:rsidRDefault="00C31389" w14:paraId="1B580AAE" w14:textId="77777777">
      <w:pPr>
        <w:pStyle w:val="BodyText"/>
        <w:spacing w:before="10"/>
        <w:rPr>
          <w:sz w:val="20"/>
        </w:rPr>
      </w:pPr>
    </w:p>
    <w:p w:rsidR="00C31389" w:rsidRDefault="00561FBD" w14:paraId="1B9E6B9D" w14:textId="77777777">
      <w:pPr>
        <w:pStyle w:val="BodyText"/>
        <w:spacing w:before="1"/>
        <w:ind w:left="480" w:right="438"/>
      </w:pPr>
      <w:r>
        <w:t>To</w:t>
      </w:r>
      <w:r>
        <w:rPr>
          <w:spacing w:val="-3"/>
        </w:rPr>
        <w:t xml:space="preserve"> </w:t>
      </w:r>
      <w:r>
        <w:t>estimate</w:t>
      </w:r>
      <w:r>
        <w:rPr>
          <w:spacing w:val="-3"/>
        </w:rPr>
        <w:t xml:space="preserve"> </w:t>
      </w:r>
      <w:r>
        <w:t>savings,</w:t>
      </w:r>
      <w:r>
        <w:rPr>
          <w:spacing w:val="-4"/>
        </w:rPr>
        <w:t xml:space="preserve"> </w:t>
      </w:r>
      <w:r>
        <w:t>the</w:t>
      </w:r>
      <w:r>
        <w:rPr>
          <w:spacing w:val="-4"/>
        </w:rPr>
        <w:t xml:space="preserve"> </w:t>
      </w:r>
      <w:r>
        <w:t>team</w:t>
      </w:r>
      <w:r>
        <w:rPr>
          <w:spacing w:val="-4"/>
        </w:rPr>
        <w:t xml:space="preserve"> </w:t>
      </w:r>
      <w:r>
        <w:t>calcu</w:t>
      </w:r>
      <w:r>
        <w:t>lated</w:t>
      </w:r>
      <w:r>
        <w:rPr>
          <w:spacing w:val="-3"/>
        </w:rPr>
        <w:t xml:space="preserve"> </w:t>
      </w:r>
      <w:r>
        <w:t>multipliers</w:t>
      </w:r>
      <w:r>
        <w:rPr>
          <w:spacing w:val="-3"/>
        </w:rPr>
        <w:t xml:space="preserve"> </w:t>
      </w:r>
      <w:r>
        <w:t>for</w:t>
      </w:r>
      <w:r>
        <w:rPr>
          <w:spacing w:val="-3"/>
        </w:rPr>
        <w:t xml:space="preserve"> </w:t>
      </w:r>
      <w:r>
        <w:t>each</w:t>
      </w:r>
      <w:r>
        <w:rPr>
          <w:spacing w:val="-4"/>
        </w:rPr>
        <w:t xml:space="preserve"> </w:t>
      </w:r>
      <w:r>
        <w:t>ET.</w:t>
      </w:r>
      <w:r>
        <w:rPr>
          <w:spacing w:val="-3"/>
        </w:rPr>
        <w:t xml:space="preserve"> </w:t>
      </w:r>
      <w:r>
        <w:t>These</w:t>
      </w:r>
      <w:r>
        <w:rPr>
          <w:spacing w:val="-3"/>
        </w:rPr>
        <w:t xml:space="preserve"> </w:t>
      </w:r>
      <w:r>
        <w:t>multipliers</w:t>
      </w:r>
      <w:r>
        <w:rPr>
          <w:spacing w:val="-3"/>
        </w:rPr>
        <w:t xml:space="preserve"> </w:t>
      </w:r>
      <w:r>
        <w:t xml:space="preserve">represent information on the total energy savings potential of the ET and other influential market data. The team used </w:t>
      </w:r>
      <w:hyperlink w:history="1" w:anchor="_bookmark491">
        <w:r>
          <w:t>Equation G-2</w:t>
        </w:r>
      </w:hyperlink>
      <w:r>
        <w:t xml:space="preserve"> to calculate the multiplier for each ET that was then appl</w:t>
      </w:r>
      <w:r>
        <w:t>ied to a specific market segment and end use energy consumption.</w:t>
      </w:r>
    </w:p>
    <w:p w:rsidR="00C31389" w:rsidRDefault="00C31389" w14:paraId="27931491" w14:textId="77777777">
      <w:pPr>
        <w:pStyle w:val="BodyText"/>
        <w:spacing w:before="9"/>
        <w:rPr>
          <w:sz w:val="12"/>
        </w:rPr>
      </w:pPr>
    </w:p>
    <w:p w:rsidR="00C31389" w:rsidRDefault="00C31389" w14:paraId="5088D0CC" w14:textId="77777777">
      <w:pPr>
        <w:rPr>
          <w:sz w:val="12"/>
        </w:rPr>
        <w:sectPr w:rsidR="00C31389">
          <w:pgSz w:w="11910" w:h="16840"/>
          <w:pgMar w:top="1380" w:right="1020" w:bottom="1120" w:left="960" w:header="397" w:footer="938" w:gutter="0"/>
          <w:cols w:space="720"/>
        </w:sectPr>
      </w:pPr>
    </w:p>
    <w:p w:rsidR="00C31389" w:rsidRDefault="00C31389" w14:paraId="2BBEFEF2" w14:textId="77777777">
      <w:pPr>
        <w:pStyle w:val="BodyText"/>
        <w:rPr>
          <w:sz w:val="24"/>
        </w:rPr>
      </w:pPr>
    </w:p>
    <w:p w:rsidR="00C31389" w:rsidRDefault="00C31389" w14:paraId="594765C6" w14:textId="77777777">
      <w:pPr>
        <w:pStyle w:val="BodyText"/>
        <w:rPr>
          <w:sz w:val="24"/>
        </w:rPr>
      </w:pPr>
    </w:p>
    <w:p w:rsidR="00C31389" w:rsidRDefault="00C31389" w14:paraId="2318514C" w14:textId="77777777">
      <w:pPr>
        <w:pStyle w:val="BodyText"/>
        <w:spacing w:before="7"/>
        <w:rPr>
          <w:sz w:val="19"/>
        </w:rPr>
      </w:pPr>
    </w:p>
    <w:p w:rsidR="00C31389" w:rsidRDefault="00561FBD" w14:paraId="76F38774" w14:textId="77777777">
      <w:pPr>
        <w:pStyle w:val="BodyText"/>
        <w:ind w:left="480"/>
      </w:pPr>
      <w:bookmarkStart w:name="_bookmark491" w:id="638"/>
      <w:bookmarkEnd w:id="638"/>
      <w:r>
        <w:rPr>
          <w:spacing w:val="-2"/>
        </w:rPr>
        <w:t>Where:</w:t>
      </w:r>
    </w:p>
    <w:p w:rsidR="00C31389" w:rsidRDefault="00561FBD" w14:paraId="77A06BD7" w14:textId="77777777">
      <w:pPr>
        <w:pStyle w:val="Heading7"/>
        <w:spacing w:before="92"/>
        <w:ind w:left="2219" w:right="3385"/>
        <w:jc w:val="center"/>
      </w:pPr>
      <w:r>
        <w:rPr>
          <w:b w:val="0"/>
        </w:rPr>
        <w:br w:type="column"/>
      </w:r>
      <w:r>
        <w:t>Equation</w:t>
      </w:r>
      <w:r>
        <w:rPr>
          <w:spacing w:val="-6"/>
        </w:rPr>
        <w:t xml:space="preserve"> </w:t>
      </w:r>
      <w:r>
        <w:t>G-2.</w:t>
      </w:r>
      <w:r>
        <w:rPr>
          <w:spacing w:val="-6"/>
        </w:rPr>
        <w:t xml:space="preserve"> </w:t>
      </w:r>
      <w:r>
        <w:t>ET</w:t>
      </w:r>
      <w:r>
        <w:rPr>
          <w:spacing w:val="-5"/>
        </w:rPr>
        <w:t xml:space="preserve"> </w:t>
      </w:r>
      <w:r>
        <w:rPr>
          <w:spacing w:val="-2"/>
        </w:rPr>
        <w:t>Multiplier</w:t>
      </w:r>
    </w:p>
    <w:p w:rsidR="00C31389" w:rsidRDefault="00561FBD" w14:paraId="60561D4D" w14:textId="77777777">
      <w:pPr>
        <w:spacing w:before="139"/>
        <w:ind w:left="2219" w:right="3396"/>
        <w:jc w:val="center"/>
        <w:rPr>
          <w:rFonts w:ascii="Cambria Math" w:hAnsi="Cambria Math" w:eastAsia="Cambria Math"/>
          <w:sz w:val="16"/>
        </w:rPr>
      </w:pPr>
      <w:r>
        <w:rPr>
          <w:rFonts w:ascii="Cambria Math" w:hAnsi="Cambria Math" w:eastAsia="Cambria Math"/>
          <w:w w:val="60"/>
          <w:position w:val="5"/>
        </w:rPr>
        <w:t>𝑀𝑀</w:t>
      </w:r>
      <w:r>
        <w:rPr>
          <w:rFonts w:ascii="Cambria Math" w:hAnsi="Cambria Math" w:eastAsia="Cambria Math"/>
          <w:w w:val="60"/>
          <w:sz w:val="16"/>
        </w:rPr>
        <w:t>𝑆𝑆</w:t>
      </w:r>
      <w:r>
        <w:rPr>
          <w:rFonts w:ascii="Cambria Math" w:hAnsi="Cambria Math" w:eastAsia="Cambria Math"/>
          <w:w w:val="60"/>
          <w:sz w:val="16"/>
        </w:rPr>
        <w:t>,</w:t>
      </w:r>
      <w:r>
        <w:rPr>
          <w:rFonts w:ascii="Cambria Math" w:hAnsi="Cambria Math" w:eastAsia="Cambria Math"/>
          <w:w w:val="60"/>
          <w:sz w:val="16"/>
        </w:rPr>
        <w:t>𝐵𝐵</w:t>
      </w:r>
      <w:r>
        <w:rPr>
          <w:rFonts w:ascii="Cambria Math" w:hAnsi="Cambria Math" w:eastAsia="Cambria Math"/>
          <w:w w:val="60"/>
          <w:sz w:val="16"/>
        </w:rPr>
        <w:t>,</w:t>
      </w:r>
      <w:r>
        <w:rPr>
          <w:rFonts w:ascii="Cambria Math" w:hAnsi="Cambria Math" w:eastAsia="Cambria Math"/>
          <w:w w:val="60"/>
          <w:sz w:val="16"/>
        </w:rPr>
        <w:t>𝑗𝑗</w:t>
      </w:r>
      <w:r>
        <w:rPr>
          <w:rFonts w:ascii="Cambria Math" w:hAnsi="Cambria Math" w:eastAsia="Cambria Math"/>
          <w:spacing w:val="28"/>
          <w:sz w:val="16"/>
        </w:rPr>
        <w:t xml:space="preserve"> </w:t>
      </w:r>
      <w:r>
        <w:rPr>
          <w:rFonts w:ascii="Cambria Math" w:hAnsi="Cambria Math" w:eastAsia="Cambria Math"/>
          <w:w w:val="60"/>
          <w:position w:val="5"/>
        </w:rPr>
        <w:t>=</w:t>
      </w:r>
      <w:r>
        <w:rPr>
          <w:rFonts w:ascii="Cambria Math" w:hAnsi="Cambria Math" w:eastAsia="Cambria Math"/>
          <w:spacing w:val="8"/>
          <w:position w:val="5"/>
        </w:rPr>
        <w:t xml:space="preserve"> </w:t>
      </w:r>
      <w:r>
        <w:rPr>
          <w:rFonts w:ascii="Cambria Math" w:hAnsi="Cambria Math" w:eastAsia="Cambria Math"/>
          <w:w w:val="60"/>
          <w:position w:val="5"/>
        </w:rPr>
        <w:t>𝑇𝑇</w:t>
      </w:r>
      <w:r>
        <w:rPr>
          <w:rFonts w:ascii="Cambria Math" w:hAnsi="Cambria Math" w:eastAsia="Cambria Math"/>
          <w:w w:val="60"/>
          <w:sz w:val="16"/>
        </w:rPr>
        <w:t>𝑆𝑆</w:t>
      </w:r>
      <w:r>
        <w:rPr>
          <w:rFonts w:ascii="Cambria Math" w:hAnsi="Cambria Math" w:eastAsia="Cambria Math"/>
          <w:spacing w:val="57"/>
          <w:sz w:val="16"/>
        </w:rPr>
        <w:t xml:space="preserve"> </w:t>
      </w:r>
      <w:r>
        <w:rPr>
          <w:rFonts w:ascii="Cambria Math" w:hAnsi="Cambria Math" w:eastAsia="Cambria Math"/>
          <w:w w:val="60"/>
          <w:position w:val="5"/>
        </w:rPr>
        <w:t>×</w:t>
      </w:r>
      <w:r>
        <w:rPr>
          <w:rFonts w:ascii="Cambria Math" w:hAnsi="Cambria Math" w:eastAsia="Cambria Math"/>
          <w:spacing w:val="36"/>
          <w:position w:val="5"/>
        </w:rPr>
        <w:t xml:space="preserve"> </w:t>
      </w:r>
      <w:r>
        <w:rPr>
          <w:rFonts w:ascii="Cambria Math" w:hAnsi="Cambria Math" w:eastAsia="Cambria Math"/>
          <w:w w:val="60"/>
          <w:position w:val="5"/>
        </w:rPr>
        <w:t>𝐸𝐸</w:t>
      </w:r>
      <w:r>
        <w:rPr>
          <w:rFonts w:ascii="Cambria Math" w:hAnsi="Cambria Math" w:eastAsia="Cambria Math"/>
          <w:w w:val="60"/>
          <w:sz w:val="16"/>
        </w:rPr>
        <w:t>𝐵𝐵</w:t>
      </w:r>
      <w:r>
        <w:rPr>
          <w:rFonts w:ascii="Cambria Math" w:hAnsi="Cambria Math" w:eastAsia="Cambria Math"/>
          <w:w w:val="60"/>
          <w:sz w:val="16"/>
        </w:rPr>
        <w:t>,</w:t>
      </w:r>
      <w:r>
        <w:rPr>
          <w:rFonts w:ascii="Cambria Math" w:hAnsi="Cambria Math" w:eastAsia="Cambria Math"/>
          <w:w w:val="60"/>
          <w:sz w:val="16"/>
        </w:rPr>
        <w:t>𝑗𝑗</w:t>
      </w:r>
      <w:r>
        <w:rPr>
          <w:rFonts w:ascii="Cambria Math" w:hAnsi="Cambria Math" w:eastAsia="Cambria Math"/>
          <w:spacing w:val="58"/>
          <w:sz w:val="16"/>
        </w:rPr>
        <w:t xml:space="preserve"> </w:t>
      </w:r>
      <w:r>
        <w:rPr>
          <w:rFonts w:ascii="Cambria Math" w:hAnsi="Cambria Math" w:eastAsia="Cambria Math"/>
          <w:w w:val="60"/>
          <w:position w:val="5"/>
        </w:rPr>
        <w:t>×</w:t>
      </w:r>
      <w:r>
        <w:rPr>
          <w:rFonts w:ascii="Cambria Math" w:hAnsi="Cambria Math" w:eastAsia="Cambria Math"/>
          <w:spacing w:val="37"/>
          <w:position w:val="5"/>
        </w:rPr>
        <w:t xml:space="preserve"> </w:t>
      </w:r>
      <w:r>
        <w:rPr>
          <w:rFonts w:ascii="Cambria Math" w:hAnsi="Cambria Math" w:eastAsia="Cambria Math"/>
          <w:w w:val="60"/>
          <w:position w:val="5"/>
        </w:rPr>
        <w:t>𝑀𝑀𝑇𝑇</w:t>
      </w:r>
      <w:r>
        <w:rPr>
          <w:rFonts w:ascii="Cambria Math" w:hAnsi="Cambria Math" w:eastAsia="Cambria Math"/>
          <w:w w:val="60"/>
          <w:sz w:val="16"/>
        </w:rPr>
        <w:t>𝑗𝑗</w:t>
      </w:r>
      <w:r>
        <w:rPr>
          <w:rFonts w:ascii="Cambria Math" w:hAnsi="Cambria Math" w:eastAsia="Cambria Math"/>
          <w:spacing w:val="46"/>
          <w:sz w:val="16"/>
        </w:rPr>
        <w:t xml:space="preserve"> </w:t>
      </w:r>
      <w:r>
        <w:rPr>
          <w:rFonts w:ascii="Cambria Math" w:hAnsi="Cambria Math" w:eastAsia="Cambria Math"/>
          <w:w w:val="60"/>
          <w:position w:val="5"/>
        </w:rPr>
        <w:t>×</w:t>
      </w:r>
      <w:r>
        <w:rPr>
          <w:rFonts w:ascii="Cambria Math" w:hAnsi="Cambria Math" w:eastAsia="Cambria Math"/>
          <w:spacing w:val="36"/>
          <w:position w:val="5"/>
        </w:rPr>
        <w:t xml:space="preserve"> </w:t>
      </w:r>
      <w:r>
        <w:rPr>
          <w:rFonts w:ascii="Cambria Math" w:hAnsi="Cambria Math" w:eastAsia="Cambria Math"/>
          <w:spacing w:val="-2"/>
          <w:w w:val="60"/>
          <w:position w:val="5"/>
        </w:rPr>
        <w:t>𝑇𝑇𝑇𝑇</w:t>
      </w:r>
      <w:r>
        <w:rPr>
          <w:rFonts w:ascii="Cambria Math" w:hAnsi="Cambria Math" w:eastAsia="Cambria Math"/>
          <w:spacing w:val="-2"/>
          <w:w w:val="60"/>
          <w:sz w:val="16"/>
        </w:rPr>
        <w:t>𝑗𝑗</w:t>
      </w:r>
    </w:p>
    <w:p w:rsidR="00C31389" w:rsidRDefault="00C31389" w14:paraId="62AEF919" w14:textId="77777777">
      <w:pPr>
        <w:pStyle w:val="BodyText"/>
        <w:spacing w:before="4"/>
        <w:rPr>
          <w:rFonts w:ascii="Cambria Math"/>
          <w:sz w:val="33"/>
        </w:rPr>
      </w:pPr>
    </w:p>
    <w:p w:rsidR="00C31389" w:rsidRDefault="00561FBD" w14:paraId="6D972406" w14:textId="77777777">
      <w:pPr>
        <w:pStyle w:val="BodyText"/>
        <w:tabs>
          <w:tab w:val="left" w:pos="690"/>
          <w:tab w:val="left" w:pos="1410"/>
        </w:tabs>
        <w:spacing w:line="276" w:lineRule="auto"/>
        <w:ind w:left="-29" w:right="1305"/>
      </w:pPr>
      <w:r>
        <w:rPr>
          <w:rFonts w:ascii="Cambria Math" w:eastAsia="Cambria Math"/>
          <w:spacing w:val="-2"/>
          <w:w w:val="74"/>
        </w:rPr>
        <w:t>𝑀𝑀</w:t>
      </w:r>
      <w:r>
        <w:rPr>
          <w:rFonts w:ascii="Cambria Math" w:eastAsia="Cambria Math"/>
          <w:spacing w:val="-2"/>
          <w:w w:val="74"/>
          <w:position w:val="-4"/>
          <w:sz w:val="16"/>
        </w:rPr>
        <w:t>𝑆𝑆</w:t>
      </w:r>
      <w:r>
        <w:rPr>
          <w:rFonts w:ascii="Cambria Math" w:eastAsia="Cambria Math"/>
          <w:spacing w:val="-2"/>
          <w:w w:val="74"/>
          <w:position w:val="-4"/>
          <w:sz w:val="16"/>
        </w:rPr>
        <w:t>,</w:t>
      </w:r>
      <w:r>
        <w:rPr>
          <w:rFonts w:ascii="Cambria Math" w:eastAsia="Cambria Math"/>
          <w:spacing w:val="-2"/>
          <w:w w:val="74"/>
          <w:position w:val="-4"/>
          <w:sz w:val="16"/>
        </w:rPr>
        <w:t>𝐵𝐵</w:t>
      </w:r>
      <w:r>
        <w:rPr>
          <w:rFonts w:ascii="Cambria Math" w:eastAsia="Cambria Math"/>
          <w:spacing w:val="-2"/>
          <w:w w:val="74"/>
          <w:position w:val="-4"/>
          <w:sz w:val="16"/>
        </w:rPr>
        <w:t>,</w:t>
      </w:r>
      <w:r>
        <w:rPr>
          <w:rFonts w:ascii="Cambria Math" w:eastAsia="Cambria Math"/>
          <w:spacing w:val="-2"/>
          <w:w w:val="74"/>
          <w:position w:val="-4"/>
          <w:sz w:val="16"/>
        </w:rPr>
        <w:t>𝑗𝑗</w:t>
      </w:r>
      <w:r>
        <w:rPr>
          <w:rFonts w:ascii="Cambria Math" w:eastAsia="Cambria Math"/>
          <w:position w:val="-4"/>
          <w:sz w:val="16"/>
        </w:rPr>
        <w:tab/>
      </w:r>
      <w:r>
        <w:rPr>
          <w:spacing w:val="-10"/>
        </w:rPr>
        <w:t>=</w:t>
      </w:r>
      <w:r>
        <w:tab/>
        <w:t>multiplier</w:t>
      </w:r>
      <w:r>
        <w:rPr>
          <w:spacing w:val="-3"/>
        </w:rPr>
        <w:t xml:space="preserve"> </w:t>
      </w:r>
      <w:r>
        <w:t>for</w:t>
      </w:r>
      <w:r>
        <w:rPr>
          <w:spacing w:val="-4"/>
        </w:rPr>
        <w:t xml:space="preserve"> </w:t>
      </w:r>
      <w:r>
        <w:t>each</w:t>
      </w:r>
      <w:r>
        <w:rPr>
          <w:spacing w:val="-3"/>
        </w:rPr>
        <w:t xml:space="preserve"> </w:t>
      </w:r>
      <w:r>
        <w:t>ET,</w:t>
      </w:r>
      <w:r>
        <w:rPr>
          <w:spacing w:val="-3"/>
        </w:rPr>
        <w:t xml:space="preserve"> </w:t>
      </w:r>
      <w:r>
        <w:rPr>
          <w:i/>
        </w:rPr>
        <w:t>e</w:t>
      </w:r>
      <w:r>
        <w:t>,</w:t>
      </w:r>
      <w:r>
        <w:rPr>
          <w:spacing w:val="-4"/>
        </w:rPr>
        <w:t xml:space="preserve"> </w:t>
      </w:r>
      <w:r>
        <w:t>applied</w:t>
      </w:r>
      <w:r>
        <w:rPr>
          <w:spacing w:val="-3"/>
        </w:rPr>
        <w:t xml:space="preserve"> </w:t>
      </w:r>
      <w:r>
        <w:t>to</w:t>
      </w:r>
      <w:r>
        <w:rPr>
          <w:spacing w:val="-3"/>
        </w:rPr>
        <w:t xml:space="preserve"> </w:t>
      </w:r>
      <w:r>
        <w:t>end</w:t>
      </w:r>
      <w:r>
        <w:rPr>
          <w:spacing w:val="-3"/>
        </w:rPr>
        <w:t xml:space="preserve"> </w:t>
      </w:r>
      <w:r>
        <w:t>use,</w:t>
      </w:r>
      <w:r>
        <w:rPr>
          <w:spacing w:val="-3"/>
        </w:rPr>
        <w:t xml:space="preserve"> </w:t>
      </w:r>
      <w:r>
        <w:rPr>
          <w:i/>
        </w:rPr>
        <w:t>i</w:t>
      </w:r>
      <w:r>
        <w:t>,</w:t>
      </w:r>
      <w:r>
        <w:rPr>
          <w:spacing w:val="-3"/>
        </w:rPr>
        <w:t xml:space="preserve"> </w:t>
      </w:r>
      <w:r>
        <w:t>and</w:t>
      </w:r>
      <w:r>
        <w:rPr>
          <w:spacing w:val="-3"/>
        </w:rPr>
        <w:t xml:space="preserve"> </w:t>
      </w:r>
      <w:r>
        <w:t>segment,</w:t>
      </w:r>
      <w:r>
        <w:rPr>
          <w:spacing w:val="-3"/>
        </w:rPr>
        <w:t xml:space="preserve"> </w:t>
      </w:r>
      <w:r>
        <w:rPr>
          <w:i/>
        </w:rPr>
        <w:t xml:space="preserve">j </w:t>
      </w:r>
      <w:r>
        <w:rPr>
          <w:i/>
          <w:spacing w:val="-10"/>
        </w:rPr>
        <w:t>e</w:t>
      </w:r>
      <w:r>
        <w:rPr>
          <w:i/>
        </w:rPr>
        <w:tab/>
      </w:r>
      <w:r>
        <w:rPr>
          <w:spacing w:val="-10"/>
        </w:rPr>
        <w:t>=</w:t>
      </w:r>
      <w:r>
        <w:tab/>
        <w:t>subscript indicating the ET</w:t>
      </w:r>
    </w:p>
    <w:p w:rsidR="00C31389" w:rsidRDefault="00561FBD" w14:paraId="5A4DE241" w14:textId="77777777">
      <w:pPr>
        <w:pStyle w:val="BodyText"/>
        <w:tabs>
          <w:tab w:val="left" w:pos="690"/>
          <w:tab w:val="left" w:pos="1411"/>
        </w:tabs>
        <w:spacing w:before="1"/>
        <w:ind w:left="-29"/>
      </w:pPr>
      <w:r>
        <w:rPr>
          <w:i/>
          <w:spacing w:val="-10"/>
        </w:rPr>
        <w:t>i</w:t>
      </w:r>
      <w:r>
        <w:rPr>
          <w:i/>
        </w:rPr>
        <w:tab/>
      </w:r>
      <w:r>
        <w:rPr>
          <w:spacing w:val="-10"/>
        </w:rPr>
        <w:t>=</w:t>
      </w:r>
      <w:r>
        <w:tab/>
        <w:t>subscript</w:t>
      </w:r>
      <w:r>
        <w:rPr>
          <w:spacing w:val="-8"/>
        </w:rPr>
        <w:t xml:space="preserve"> </w:t>
      </w:r>
      <w:r>
        <w:t>indicating</w:t>
      </w:r>
      <w:r>
        <w:rPr>
          <w:spacing w:val="-6"/>
        </w:rPr>
        <w:t xml:space="preserve"> </w:t>
      </w:r>
      <w:r>
        <w:t>the</w:t>
      </w:r>
      <w:r>
        <w:rPr>
          <w:spacing w:val="-8"/>
        </w:rPr>
        <w:t xml:space="preserve"> </w:t>
      </w:r>
      <w:r>
        <w:t>end</w:t>
      </w:r>
      <w:r>
        <w:rPr>
          <w:spacing w:val="-5"/>
        </w:rPr>
        <w:t xml:space="preserve"> use</w:t>
      </w:r>
    </w:p>
    <w:p w:rsidR="00C31389" w:rsidRDefault="00561FBD" w14:paraId="78EDBCFD" w14:textId="77777777">
      <w:pPr>
        <w:pStyle w:val="BodyText"/>
        <w:tabs>
          <w:tab w:val="left" w:pos="691"/>
          <w:tab w:val="left" w:pos="1411"/>
        </w:tabs>
        <w:spacing w:before="40"/>
        <w:ind w:left="-29"/>
      </w:pPr>
      <w:r>
        <w:rPr>
          <w:i/>
          <w:spacing w:val="-10"/>
        </w:rPr>
        <w:t>j</w:t>
      </w:r>
      <w:r>
        <w:rPr>
          <w:i/>
        </w:rPr>
        <w:tab/>
      </w:r>
      <w:r>
        <w:rPr>
          <w:spacing w:val="-10"/>
        </w:rPr>
        <w:t>=</w:t>
      </w:r>
      <w:r>
        <w:tab/>
        <w:t>subscript</w:t>
      </w:r>
      <w:r>
        <w:rPr>
          <w:spacing w:val="-9"/>
        </w:rPr>
        <w:t xml:space="preserve"> </w:t>
      </w:r>
      <w:r>
        <w:t>indicating</w:t>
      </w:r>
      <w:r>
        <w:rPr>
          <w:spacing w:val="-7"/>
        </w:rPr>
        <w:t xml:space="preserve"> </w:t>
      </w:r>
      <w:r>
        <w:t>the</w:t>
      </w:r>
      <w:r>
        <w:rPr>
          <w:spacing w:val="-9"/>
        </w:rPr>
        <w:t xml:space="preserve"> </w:t>
      </w:r>
      <w:r>
        <w:t>market</w:t>
      </w:r>
      <w:r>
        <w:rPr>
          <w:spacing w:val="-7"/>
        </w:rPr>
        <w:t xml:space="preserve"> </w:t>
      </w:r>
      <w:r>
        <w:rPr>
          <w:spacing w:val="-2"/>
        </w:rPr>
        <w:t>segment</w:t>
      </w:r>
    </w:p>
    <w:p w:rsidR="00C31389" w:rsidRDefault="00561FBD" w14:paraId="53782CE5" w14:textId="77777777">
      <w:pPr>
        <w:pStyle w:val="BodyText"/>
        <w:tabs>
          <w:tab w:val="left" w:pos="690"/>
          <w:tab w:val="left" w:pos="1410"/>
        </w:tabs>
        <w:spacing w:before="60"/>
        <w:ind w:left="-29"/>
        <w:rPr>
          <w:i/>
        </w:rPr>
      </w:pPr>
      <w:r>
        <w:rPr>
          <w:rFonts w:ascii="Cambria Math" w:eastAsia="Cambria Math"/>
          <w:spacing w:val="-4"/>
          <w:w w:val="85"/>
        </w:rPr>
        <w:t>𝑇𝑇</w:t>
      </w:r>
      <w:r>
        <w:rPr>
          <w:rFonts w:ascii="Cambria Math" w:eastAsia="Cambria Math"/>
          <w:spacing w:val="-4"/>
          <w:w w:val="85"/>
          <w:position w:val="-4"/>
          <w:sz w:val="16"/>
        </w:rPr>
        <w:t>𝑆𝑆</w:t>
      </w:r>
      <w:r>
        <w:rPr>
          <w:rFonts w:ascii="Cambria Math" w:eastAsia="Cambria Math"/>
          <w:position w:val="-4"/>
          <w:sz w:val="16"/>
        </w:rPr>
        <w:tab/>
      </w:r>
      <w:r>
        <w:rPr>
          <w:spacing w:val="-10"/>
        </w:rPr>
        <w:t>=</w:t>
      </w:r>
      <w:r>
        <w:tab/>
        <w:t>technology</w:t>
      </w:r>
      <w:r>
        <w:rPr>
          <w:spacing w:val="-9"/>
        </w:rPr>
        <w:t xml:space="preserve"> </w:t>
      </w:r>
      <w:r>
        <w:t>energy</w:t>
      </w:r>
      <w:r>
        <w:rPr>
          <w:spacing w:val="-8"/>
        </w:rPr>
        <w:t xml:space="preserve"> </w:t>
      </w:r>
      <w:r>
        <w:t>savings</w:t>
      </w:r>
      <w:r>
        <w:rPr>
          <w:spacing w:val="-7"/>
        </w:rPr>
        <w:t xml:space="preserve"> </w:t>
      </w:r>
      <w:r>
        <w:t>percentage</w:t>
      </w:r>
      <w:r>
        <w:rPr>
          <w:spacing w:val="-8"/>
        </w:rPr>
        <w:t xml:space="preserve"> </w:t>
      </w:r>
      <w:r>
        <w:t>for</w:t>
      </w:r>
      <w:r>
        <w:rPr>
          <w:spacing w:val="-8"/>
        </w:rPr>
        <w:t xml:space="preserve"> </w:t>
      </w:r>
      <w:r>
        <w:t>ET,</w:t>
      </w:r>
      <w:r>
        <w:rPr>
          <w:spacing w:val="-7"/>
        </w:rPr>
        <w:t xml:space="preserve"> </w:t>
      </w:r>
      <w:r>
        <w:rPr>
          <w:i/>
          <w:spacing w:val="-10"/>
        </w:rPr>
        <w:t>e</w:t>
      </w:r>
    </w:p>
    <w:p w:rsidR="00C31389" w:rsidRDefault="00561FBD" w14:paraId="445F381D" w14:textId="77777777">
      <w:pPr>
        <w:pStyle w:val="BodyText"/>
        <w:tabs>
          <w:tab w:val="left" w:pos="691"/>
          <w:tab w:val="left" w:pos="1410"/>
        </w:tabs>
        <w:spacing w:before="26"/>
        <w:ind w:left="-29"/>
        <w:rPr>
          <w:i/>
        </w:rPr>
      </w:pPr>
      <w:r>
        <w:rPr>
          <w:rFonts w:ascii="Cambria Math" w:eastAsia="Cambria Math"/>
          <w:spacing w:val="-2"/>
          <w:w w:val="80"/>
        </w:rPr>
        <w:t>𝐸𝐸</w:t>
      </w:r>
      <w:r>
        <w:rPr>
          <w:rFonts w:ascii="Cambria Math" w:eastAsia="Cambria Math"/>
          <w:spacing w:val="-2"/>
          <w:w w:val="55"/>
          <w:position w:val="-4"/>
          <w:sz w:val="16"/>
        </w:rPr>
        <w:t>𝐵𝐵</w:t>
      </w:r>
      <w:r>
        <w:rPr>
          <w:rFonts w:ascii="Cambria Math" w:eastAsia="Cambria Math"/>
          <w:spacing w:val="-2"/>
          <w:w w:val="130"/>
          <w:position w:val="-4"/>
          <w:sz w:val="16"/>
        </w:rPr>
        <w:t>,</w:t>
      </w:r>
      <w:r>
        <w:rPr>
          <w:rFonts w:ascii="Cambria Math" w:eastAsia="Cambria Math"/>
          <w:spacing w:val="-2"/>
          <w:w w:val="80"/>
          <w:position w:val="-4"/>
          <w:sz w:val="16"/>
        </w:rPr>
        <w:t>𝑗𝑗</w:t>
      </w:r>
      <w:r>
        <w:rPr>
          <w:rFonts w:ascii="Cambria Math" w:eastAsia="Cambria Math"/>
          <w:position w:val="-4"/>
          <w:sz w:val="16"/>
        </w:rPr>
        <w:tab/>
      </w:r>
      <w:r>
        <w:rPr>
          <w:spacing w:val="-10"/>
        </w:rPr>
        <w:t>=</w:t>
      </w:r>
      <w:r>
        <w:tab/>
        <w:t>percentage</w:t>
      </w:r>
      <w:r>
        <w:rPr>
          <w:spacing w:val="-7"/>
        </w:rPr>
        <w:t xml:space="preserve"> </w:t>
      </w:r>
      <w:r>
        <w:t>of</w:t>
      </w:r>
      <w:r>
        <w:rPr>
          <w:spacing w:val="-6"/>
        </w:rPr>
        <w:t xml:space="preserve"> </w:t>
      </w:r>
      <w:r>
        <w:t>segment,</w:t>
      </w:r>
      <w:r>
        <w:rPr>
          <w:spacing w:val="-6"/>
        </w:rPr>
        <w:t xml:space="preserve"> </w:t>
      </w:r>
      <w:r>
        <w:rPr>
          <w:i/>
        </w:rPr>
        <w:t>j</w:t>
      </w:r>
      <w:r>
        <w:t>,</w:t>
      </w:r>
      <w:r>
        <w:rPr>
          <w:spacing w:val="-6"/>
        </w:rPr>
        <w:t xml:space="preserve"> </w:t>
      </w:r>
      <w:r>
        <w:t>energy</w:t>
      </w:r>
      <w:r>
        <w:rPr>
          <w:spacing w:val="-6"/>
        </w:rPr>
        <w:t xml:space="preserve"> </w:t>
      </w:r>
      <w:r>
        <w:t>attributable</w:t>
      </w:r>
      <w:r>
        <w:rPr>
          <w:spacing w:val="-6"/>
        </w:rPr>
        <w:t xml:space="preserve"> </w:t>
      </w:r>
      <w:r>
        <w:t>to</w:t>
      </w:r>
      <w:r>
        <w:rPr>
          <w:spacing w:val="-6"/>
        </w:rPr>
        <w:t xml:space="preserve"> </w:t>
      </w:r>
      <w:r>
        <w:t>end</w:t>
      </w:r>
      <w:r>
        <w:rPr>
          <w:spacing w:val="-6"/>
        </w:rPr>
        <w:t xml:space="preserve"> </w:t>
      </w:r>
      <w:r>
        <w:t>use,</w:t>
      </w:r>
      <w:r>
        <w:rPr>
          <w:spacing w:val="-6"/>
        </w:rPr>
        <w:t xml:space="preserve"> </w:t>
      </w:r>
      <w:r>
        <w:rPr>
          <w:i/>
          <w:spacing w:val="-10"/>
        </w:rPr>
        <w:t>i</w:t>
      </w:r>
    </w:p>
    <w:p w:rsidR="00C31389" w:rsidRDefault="00561FBD" w14:paraId="13F89218" w14:textId="77777777">
      <w:pPr>
        <w:pStyle w:val="BodyText"/>
        <w:tabs>
          <w:tab w:val="left" w:pos="690"/>
          <w:tab w:val="left" w:pos="1410"/>
        </w:tabs>
        <w:spacing w:before="58"/>
        <w:ind w:left="-29"/>
        <w:rPr>
          <w:i/>
        </w:rPr>
      </w:pPr>
      <w:r>
        <w:rPr>
          <w:rFonts w:ascii="Cambria Math" w:eastAsia="Cambria Math"/>
          <w:spacing w:val="-2"/>
          <w:w w:val="80"/>
        </w:rPr>
        <w:t>𝑀𝑀𝑇𝑇</w:t>
      </w:r>
      <w:r>
        <w:rPr>
          <w:rFonts w:ascii="Cambria Math" w:eastAsia="Cambria Math"/>
          <w:spacing w:val="-2"/>
          <w:w w:val="80"/>
          <w:position w:val="-4"/>
          <w:sz w:val="16"/>
        </w:rPr>
        <w:t>𝑗𝑗</w:t>
      </w:r>
      <w:r>
        <w:rPr>
          <w:rFonts w:ascii="Cambria Math" w:eastAsia="Cambria Math"/>
          <w:position w:val="-4"/>
          <w:sz w:val="16"/>
        </w:rPr>
        <w:tab/>
      </w:r>
      <w:r>
        <w:rPr>
          <w:spacing w:val="-10"/>
        </w:rPr>
        <w:t>=</w:t>
      </w:r>
      <w:r>
        <w:tab/>
        <w:t>market</w:t>
      </w:r>
      <w:r>
        <w:rPr>
          <w:spacing w:val="-8"/>
        </w:rPr>
        <w:t xml:space="preserve"> </w:t>
      </w:r>
      <w:r>
        <w:t>trajectory</w:t>
      </w:r>
      <w:r>
        <w:rPr>
          <w:spacing w:val="-8"/>
        </w:rPr>
        <w:t xml:space="preserve"> </w:t>
      </w:r>
      <w:r>
        <w:t>for</w:t>
      </w:r>
      <w:r>
        <w:rPr>
          <w:spacing w:val="-7"/>
        </w:rPr>
        <w:t xml:space="preserve"> </w:t>
      </w:r>
      <w:r>
        <w:t>segment,</w:t>
      </w:r>
      <w:r>
        <w:rPr>
          <w:spacing w:val="-8"/>
        </w:rPr>
        <w:t xml:space="preserve"> </w:t>
      </w:r>
      <w:r>
        <w:rPr>
          <w:i/>
          <w:spacing w:val="-10"/>
        </w:rPr>
        <w:t>j</w:t>
      </w:r>
    </w:p>
    <w:p w:rsidR="00C31389" w:rsidRDefault="00561FBD" w14:paraId="4209693A" w14:textId="77777777">
      <w:pPr>
        <w:pStyle w:val="BodyText"/>
        <w:tabs>
          <w:tab w:val="left" w:pos="691"/>
          <w:tab w:val="left" w:pos="1410"/>
        </w:tabs>
        <w:spacing w:before="57"/>
        <w:ind w:left="-30"/>
        <w:rPr>
          <w:i/>
        </w:rPr>
      </w:pPr>
      <w:r>
        <w:rPr>
          <w:rFonts w:ascii="Cambria Math" w:eastAsia="Cambria Math"/>
          <w:spacing w:val="-2"/>
          <w:w w:val="90"/>
        </w:rPr>
        <w:t>𝑇𝑇𝑇𝑇</w:t>
      </w:r>
      <w:r>
        <w:rPr>
          <w:rFonts w:ascii="Cambria Math" w:eastAsia="Cambria Math"/>
          <w:spacing w:val="-2"/>
          <w:w w:val="90"/>
          <w:position w:val="-4"/>
          <w:sz w:val="16"/>
        </w:rPr>
        <w:t>𝑗𝑗</w:t>
      </w:r>
      <w:r>
        <w:rPr>
          <w:rFonts w:ascii="Cambria Math" w:eastAsia="Cambria Math"/>
          <w:position w:val="-4"/>
          <w:sz w:val="16"/>
        </w:rPr>
        <w:tab/>
      </w:r>
      <w:r>
        <w:rPr>
          <w:spacing w:val="-10"/>
        </w:rPr>
        <w:t>=</w:t>
      </w:r>
      <w:r>
        <w:tab/>
        <w:t>segment</w:t>
      </w:r>
      <w:r>
        <w:rPr>
          <w:spacing w:val="-9"/>
        </w:rPr>
        <w:t xml:space="preserve"> </w:t>
      </w:r>
      <w:r>
        <w:t>energy</w:t>
      </w:r>
      <w:r>
        <w:rPr>
          <w:spacing w:val="-8"/>
        </w:rPr>
        <w:t xml:space="preserve"> </w:t>
      </w:r>
      <w:r>
        <w:t>consumption</w:t>
      </w:r>
      <w:r>
        <w:rPr>
          <w:spacing w:val="-8"/>
        </w:rPr>
        <w:t xml:space="preserve"> </w:t>
      </w:r>
      <w:r>
        <w:t>trend</w:t>
      </w:r>
      <w:r>
        <w:rPr>
          <w:spacing w:val="-8"/>
        </w:rPr>
        <w:t xml:space="preserve"> </w:t>
      </w:r>
      <w:r>
        <w:t>weight</w:t>
      </w:r>
      <w:r>
        <w:rPr>
          <w:spacing w:val="-8"/>
        </w:rPr>
        <w:t xml:space="preserve"> </w:t>
      </w:r>
      <w:r>
        <w:t>for</w:t>
      </w:r>
      <w:r>
        <w:rPr>
          <w:spacing w:val="-8"/>
        </w:rPr>
        <w:t xml:space="preserve"> </w:t>
      </w:r>
      <w:r>
        <w:t>segment,</w:t>
      </w:r>
      <w:r>
        <w:rPr>
          <w:spacing w:val="-8"/>
        </w:rPr>
        <w:t xml:space="preserve"> </w:t>
      </w:r>
      <w:r>
        <w:rPr>
          <w:i/>
          <w:spacing w:val="-10"/>
        </w:rPr>
        <w:t>j</w:t>
      </w:r>
    </w:p>
    <w:p w:rsidR="00C31389" w:rsidRDefault="00C31389" w14:paraId="7E16ACFC" w14:textId="77777777">
      <w:pPr>
        <w:sectPr w:rsidR="00C31389">
          <w:type w:val="continuous"/>
          <w:pgSz w:w="11910" w:h="16840"/>
          <w:pgMar w:top="0" w:right="1020" w:bottom="280" w:left="960" w:header="397" w:footer="938" w:gutter="0"/>
          <w:cols w:equalWidth="0" w:space="720" w:num="2">
            <w:col w:w="1190" w:space="40"/>
            <w:col w:w="8700"/>
          </w:cols>
        </w:sectPr>
      </w:pPr>
    </w:p>
    <w:p w:rsidR="00C31389" w:rsidRDefault="00561FBD" w14:paraId="46F7345C" w14:textId="77777777">
      <w:pPr>
        <w:pStyle w:val="ListParagraph"/>
        <w:numPr>
          <w:ilvl w:val="4"/>
          <w:numId w:val="13"/>
        </w:numPr>
        <w:tabs>
          <w:tab w:val="left" w:pos="1199"/>
        </w:tabs>
        <w:spacing w:before="130" w:line="235" w:lineRule="auto"/>
        <w:ind w:right="1339" w:hanging="361"/>
      </w:pPr>
      <w:r>
        <w:rPr>
          <w:spacing w:val="-2"/>
        </w:rPr>
        <w:t>The</w:t>
      </w:r>
      <w:r>
        <w:rPr>
          <w:spacing w:val="-11"/>
        </w:rPr>
        <w:t xml:space="preserve"> </w:t>
      </w:r>
      <w:r>
        <w:rPr>
          <w:spacing w:val="-2"/>
        </w:rPr>
        <w:t>technology</w:t>
      </w:r>
      <w:r>
        <w:rPr>
          <w:spacing w:val="-11"/>
        </w:rPr>
        <w:t xml:space="preserve"> </w:t>
      </w:r>
      <w:r>
        <w:rPr>
          <w:spacing w:val="-2"/>
        </w:rPr>
        <w:t>energy</w:t>
      </w:r>
      <w:r>
        <w:rPr>
          <w:spacing w:val="-12"/>
        </w:rPr>
        <w:t xml:space="preserve"> </w:t>
      </w:r>
      <w:r>
        <w:rPr>
          <w:spacing w:val="-2"/>
        </w:rPr>
        <w:t>savings</w:t>
      </w:r>
      <w:r>
        <w:rPr>
          <w:spacing w:val="-12"/>
        </w:rPr>
        <w:t xml:space="preserve"> </w:t>
      </w:r>
      <w:r>
        <w:rPr>
          <w:spacing w:val="-2"/>
        </w:rPr>
        <w:t>percentage,</w:t>
      </w:r>
      <w:r>
        <w:rPr>
          <w:spacing w:val="-12"/>
        </w:rPr>
        <w:t xml:space="preserve"> </w:t>
      </w:r>
      <w:r>
        <w:rPr>
          <w:rFonts w:ascii="Cambria Math" w:hAnsi="Cambria Math" w:eastAsia="Cambria Math"/>
          <w:spacing w:val="-2"/>
        </w:rPr>
        <w:t>𝑇𝑇</w:t>
      </w:r>
      <w:r>
        <w:rPr>
          <w:rFonts w:ascii="Cambria Math" w:hAnsi="Cambria Math" w:eastAsia="Cambria Math"/>
          <w:spacing w:val="-2"/>
          <w:position w:val="-4"/>
          <w:sz w:val="16"/>
        </w:rPr>
        <w:t>𝑆𝑆</w:t>
      </w:r>
      <w:r>
        <w:rPr>
          <w:spacing w:val="-2"/>
        </w:rPr>
        <w:t>,</w:t>
      </w:r>
      <w:r>
        <w:rPr>
          <w:spacing w:val="-11"/>
        </w:rPr>
        <w:t xml:space="preserve"> </w:t>
      </w:r>
      <w:r>
        <w:rPr>
          <w:spacing w:val="-2"/>
        </w:rPr>
        <w:t>was</w:t>
      </w:r>
      <w:r>
        <w:rPr>
          <w:spacing w:val="-11"/>
        </w:rPr>
        <w:t xml:space="preserve"> </w:t>
      </w:r>
      <w:r>
        <w:rPr>
          <w:spacing w:val="-2"/>
        </w:rPr>
        <w:t>identified</w:t>
      </w:r>
      <w:r>
        <w:rPr>
          <w:spacing w:val="-12"/>
        </w:rPr>
        <w:t xml:space="preserve"> </w:t>
      </w:r>
      <w:r>
        <w:rPr>
          <w:spacing w:val="-2"/>
        </w:rPr>
        <w:t>during</w:t>
      </w:r>
      <w:r>
        <w:rPr>
          <w:spacing w:val="-11"/>
        </w:rPr>
        <w:t xml:space="preserve"> </w:t>
      </w:r>
      <w:r>
        <w:rPr>
          <w:spacing w:val="-2"/>
        </w:rPr>
        <w:t>the</w:t>
      </w:r>
      <w:r>
        <w:rPr>
          <w:spacing w:val="-12"/>
        </w:rPr>
        <w:t xml:space="preserve"> </w:t>
      </w:r>
      <w:r>
        <w:rPr>
          <w:spacing w:val="-2"/>
        </w:rPr>
        <w:t xml:space="preserve">ET </w:t>
      </w:r>
      <w:r>
        <w:t>characterization process.</w:t>
      </w:r>
    </w:p>
    <w:p w:rsidR="00C31389" w:rsidRDefault="00C31389" w14:paraId="14A08E28" w14:textId="77777777">
      <w:pPr>
        <w:spacing w:line="235" w:lineRule="auto"/>
        <w:sectPr w:rsidR="00C31389">
          <w:type w:val="continuous"/>
          <w:pgSz w:w="11910" w:h="16840"/>
          <w:pgMar w:top="0" w:right="1020" w:bottom="280" w:left="960" w:header="397" w:footer="938" w:gutter="0"/>
          <w:cols w:space="720"/>
        </w:sectPr>
      </w:pPr>
    </w:p>
    <w:p w:rsidR="00C31389" w:rsidRDefault="00C31389" w14:paraId="6E7A5B1C" w14:textId="77777777">
      <w:pPr>
        <w:pStyle w:val="BodyText"/>
      </w:pPr>
    </w:p>
    <w:p w:rsidR="00C31389" w:rsidRDefault="00C31389" w14:paraId="76A20AA3" w14:textId="77777777">
      <w:pPr>
        <w:pStyle w:val="BodyText"/>
        <w:spacing w:before="10"/>
        <w:rPr>
          <w:sz w:val="13"/>
        </w:rPr>
      </w:pPr>
    </w:p>
    <w:p w:rsidR="00C31389" w:rsidRDefault="00561FBD" w14:paraId="417EF737" w14:textId="77777777">
      <w:pPr>
        <w:pStyle w:val="ListParagraph"/>
        <w:numPr>
          <w:ilvl w:val="4"/>
          <w:numId w:val="13"/>
        </w:numPr>
        <w:tabs>
          <w:tab w:val="left" w:pos="1199"/>
        </w:tabs>
        <w:spacing w:before="99"/>
        <w:ind w:hanging="359"/>
        <w:rPr>
          <w:sz w:val="14"/>
        </w:rPr>
      </w:pPr>
      <w:r>
        <w:rPr>
          <w:w w:val="95"/>
        </w:rPr>
        <w:t>The</w:t>
      </w:r>
      <w:r>
        <w:rPr>
          <w:spacing w:val="-1"/>
        </w:rPr>
        <w:t xml:space="preserve"> </w:t>
      </w:r>
      <w:r>
        <w:rPr>
          <w:w w:val="95"/>
        </w:rPr>
        <w:t>segment</w:t>
      </w:r>
      <w:r>
        <w:t xml:space="preserve"> </w:t>
      </w:r>
      <w:r>
        <w:rPr>
          <w:w w:val="95"/>
        </w:rPr>
        <w:t>end</w:t>
      </w:r>
      <w:r>
        <w:rPr>
          <w:spacing w:val="-1"/>
        </w:rPr>
        <w:t xml:space="preserve"> </w:t>
      </w:r>
      <w:r>
        <w:rPr>
          <w:w w:val="95"/>
        </w:rPr>
        <w:t>use</w:t>
      </w:r>
      <w:r>
        <w:t xml:space="preserve"> </w:t>
      </w:r>
      <w:r>
        <w:rPr>
          <w:w w:val="95"/>
        </w:rPr>
        <w:t>percentage,</w:t>
      </w:r>
      <w:r>
        <w:rPr>
          <w:spacing w:val="-2"/>
        </w:rPr>
        <w:t xml:space="preserve"> </w:t>
      </w:r>
      <w:r>
        <w:rPr>
          <w:rFonts w:ascii="Cambria Math" w:hAnsi="Cambria Math" w:eastAsia="Cambria Math"/>
          <w:w w:val="84"/>
        </w:rPr>
        <w:t>𝐸𝐸</w:t>
      </w:r>
      <w:r>
        <w:rPr>
          <w:rFonts w:ascii="Cambria Math" w:hAnsi="Cambria Math" w:eastAsia="Cambria Math"/>
          <w:w w:val="84"/>
          <w:position w:val="-4"/>
          <w:sz w:val="16"/>
        </w:rPr>
        <w:t>𝐵𝐵</w:t>
      </w:r>
      <w:r>
        <w:rPr>
          <w:rFonts w:ascii="Cambria Math" w:hAnsi="Cambria Math" w:eastAsia="Cambria Math"/>
          <w:w w:val="84"/>
          <w:position w:val="-4"/>
          <w:sz w:val="16"/>
        </w:rPr>
        <w:t>,</w:t>
      </w:r>
      <w:r>
        <w:rPr>
          <w:rFonts w:ascii="Cambria Math" w:hAnsi="Cambria Math" w:eastAsia="Cambria Math"/>
          <w:w w:val="84"/>
          <w:position w:val="-4"/>
          <w:sz w:val="16"/>
        </w:rPr>
        <w:t>𝑗𝑗</w:t>
      </w:r>
      <w:r>
        <w:rPr>
          <w:w w:val="84"/>
        </w:rPr>
        <w:t>,</w:t>
      </w:r>
      <w:r>
        <w:t xml:space="preserve"> </w:t>
      </w:r>
      <w:r>
        <w:rPr>
          <w:w w:val="95"/>
        </w:rPr>
        <w:t>is</w:t>
      </w:r>
      <w:r>
        <w:rPr>
          <w:spacing w:val="-1"/>
        </w:rPr>
        <w:t xml:space="preserve"> </w:t>
      </w:r>
      <w:r>
        <w:rPr>
          <w:w w:val="95"/>
        </w:rPr>
        <w:t>derived</w:t>
      </w:r>
      <w:r>
        <w:t xml:space="preserve"> </w:t>
      </w:r>
      <w:r>
        <w:rPr>
          <w:w w:val="95"/>
        </w:rPr>
        <w:t>from</w:t>
      </w:r>
      <w:r>
        <w:rPr>
          <w:spacing w:val="-2"/>
        </w:rPr>
        <w:t xml:space="preserve"> </w:t>
      </w:r>
      <w:r>
        <w:rPr>
          <w:w w:val="95"/>
        </w:rPr>
        <w:t>California</w:t>
      </w:r>
      <w:r>
        <w:t xml:space="preserve"> </w:t>
      </w:r>
      <w:r>
        <w:rPr>
          <w:w w:val="95"/>
        </w:rPr>
        <w:t>market</w:t>
      </w:r>
      <w:r>
        <w:rPr>
          <w:spacing w:val="-1"/>
        </w:rPr>
        <w:t xml:space="preserve"> </w:t>
      </w:r>
      <w:r>
        <w:rPr>
          <w:spacing w:val="-2"/>
          <w:w w:val="95"/>
        </w:rPr>
        <w:t>data.</w:t>
      </w:r>
      <w:hyperlink w:history="1" w:anchor="_bookmark494">
        <w:r>
          <w:rPr>
            <w:spacing w:val="-2"/>
            <w:w w:val="95"/>
            <w:position w:val="7"/>
            <w:sz w:val="14"/>
          </w:rPr>
          <w:t>190</w:t>
        </w:r>
      </w:hyperlink>
    </w:p>
    <w:p w:rsidR="00C31389" w:rsidRDefault="00561FBD" w14:paraId="3EDED751" w14:textId="77777777">
      <w:pPr>
        <w:pStyle w:val="ListParagraph"/>
        <w:numPr>
          <w:ilvl w:val="4"/>
          <w:numId w:val="13"/>
        </w:numPr>
        <w:tabs>
          <w:tab w:val="left" w:pos="1199"/>
        </w:tabs>
        <w:spacing w:before="153" w:line="264" w:lineRule="auto"/>
        <w:ind w:right="419"/>
      </w:pPr>
      <w:r>
        <w:t>The</w:t>
      </w:r>
      <w:r>
        <w:rPr>
          <w:spacing w:val="-8"/>
        </w:rPr>
        <w:t xml:space="preserve"> </w:t>
      </w:r>
      <w:r>
        <w:t>market</w:t>
      </w:r>
      <w:r>
        <w:rPr>
          <w:spacing w:val="-8"/>
        </w:rPr>
        <w:t xml:space="preserve"> </w:t>
      </w:r>
      <w:r>
        <w:t>trajectory</w:t>
      </w:r>
      <w:r>
        <w:rPr>
          <w:spacing w:val="-8"/>
        </w:rPr>
        <w:t xml:space="preserve"> </w:t>
      </w:r>
      <w:r>
        <w:t>for</w:t>
      </w:r>
      <w:r>
        <w:rPr>
          <w:spacing w:val="-9"/>
        </w:rPr>
        <w:t xml:space="preserve"> </w:t>
      </w:r>
      <w:r>
        <w:t>each</w:t>
      </w:r>
      <w:r>
        <w:rPr>
          <w:spacing w:val="-8"/>
        </w:rPr>
        <w:t xml:space="preserve"> </w:t>
      </w:r>
      <w:r>
        <w:t>sector,</w:t>
      </w:r>
      <w:r>
        <w:rPr>
          <w:spacing w:val="-8"/>
        </w:rPr>
        <w:t xml:space="preserve"> </w:t>
      </w:r>
      <w:r>
        <w:rPr>
          <w:rFonts w:ascii="Cambria Math" w:hAnsi="Cambria Math" w:eastAsia="Cambria Math"/>
          <w:w w:val="85"/>
        </w:rPr>
        <w:t>𝑀𝑀𝑇𝑇</w:t>
      </w:r>
      <w:r>
        <w:rPr>
          <w:rFonts w:ascii="Cambria Math" w:hAnsi="Cambria Math" w:eastAsia="Cambria Math"/>
          <w:w w:val="85"/>
          <w:position w:val="-4"/>
          <w:sz w:val="16"/>
        </w:rPr>
        <w:t>𝑗𝑗</w:t>
      </w:r>
      <w:r>
        <w:rPr>
          <w:rFonts w:ascii="Cambria Math" w:hAnsi="Cambria Math" w:eastAsia="Cambria Math"/>
          <w:position w:val="-4"/>
          <w:sz w:val="16"/>
        </w:rPr>
        <w:t xml:space="preserve"> </w:t>
      </w:r>
      <w:r>
        <w:t>,</w:t>
      </w:r>
      <w:r>
        <w:rPr>
          <w:spacing w:val="-8"/>
        </w:rPr>
        <w:t xml:space="preserve"> </w:t>
      </w:r>
      <w:r>
        <w:t>is</w:t>
      </w:r>
      <w:r>
        <w:rPr>
          <w:spacing w:val="-8"/>
        </w:rPr>
        <w:t xml:space="preserve"> </w:t>
      </w:r>
      <w:r>
        <w:t>a</w:t>
      </w:r>
      <w:r>
        <w:rPr>
          <w:spacing w:val="-8"/>
        </w:rPr>
        <w:t xml:space="preserve"> </w:t>
      </w:r>
      <w:r>
        <w:t>value</w:t>
      </w:r>
      <w:r>
        <w:rPr>
          <w:spacing w:val="-9"/>
        </w:rPr>
        <w:t xml:space="preserve"> </w:t>
      </w:r>
      <w:r>
        <w:t>between</w:t>
      </w:r>
      <w:r>
        <w:rPr>
          <w:spacing w:val="-8"/>
        </w:rPr>
        <w:t xml:space="preserve"> </w:t>
      </w:r>
      <w:r>
        <w:t>0</w:t>
      </w:r>
      <w:r>
        <w:rPr>
          <w:spacing w:val="-8"/>
        </w:rPr>
        <w:t xml:space="preserve"> </w:t>
      </w:r>
      <w:r>
        <w:t>and</w:t>
      </w:r>
      <w:r>
        <w:rPr>
          <w:spacing w:val="-8"/>
        </w:rPr>
        <w:t xml:space="preserve"> </w:t>
      </w:r>
      <w:r>
        <w:t>1</w:t>
      </w:r>
      <w:r>
        <w:rPr>
          <w:spacing w:val="-8"/>
        </w:rPr>
        <w:t xml:space="preserve"> </w:t>
      </w:r>
      <w:r>
        <w:t>and</w:t>
      </w:r>
      <w:r>
        <w:rPr>
          <w:spacing w:val="-8"/>
        </w:rPr>
        <w:t xml:space="preserve"> </w:t>
      </w:r>
      <w:r>
        <w:t>is intended to define if a market segment is likely to stay active in California long enough</w:t>
      </w:r>
      <w:r>
        <w:rPr>
          <w:spacing w:val="-2"/>
        </w:rPr>
        <w:t xml:space="preserve"> </w:t>
      </w:r>
      <w:r>
        <w:t>for</w:t>
      </w:r>
      <w:r>
        <w:rPr>
          <w:spacing w:val="-2"/>
        </w:rPr>
        <w:t xml:space="preserve"> </w:t>
      </w:r>
      <w:r>
        <w:t>the</w:t>
      </w:r>
      <w:r>
        <w:rPr>
          <w:spacing w:val="-2"/>
        </w:rPr>
        <w:t xml:space="preserve"> </w:t>
      </w:r>
      <w:r>
        <w:t>ET</w:t>
      </w:r>
      <w:r>
        <w:rPr>
          <w:spacing w:val="-2"/>
        </w:rPr>
        <w:t xml:space="preserve"> </w:t>
      </w:r>
      <w:r>
        <w:t>to</w:t>
      </w:r>
      <w:r>
        <w:rPr>
          <w:spacing w:val="-2"/>
        </w:rPr>
        <w:t xml:space="preserve"> </w:t>
      </w:r>
      <w:r>
        <w:t>move</w:t>
      </w:r>
      <w:r>
        <w:rPr>
          <w:spacing w:val="-2"/>
        </w:rPr>
        <w:t xml:space="preserve"> </w:t>
      </w:r>
      <w:r>
        <w:t>up</w:t>
      </w:r>
      <w:r>
        <w:rPr>
          <w:spacing w:val="-2"/>
        </w:rPr>
        <w:t xml:space="preserve"> </w:t>
      </w:r>
      <w:r>
        <w:t>the</w:t>
      </w:r>
      <w:r>
        <w:rPr>
          <w:spacing w:val="-2"/>
        </w:rPr>
        <w:t xml:space="preserve"> </w:t>
      </w:r>
      <w:r>
        <w:t>adoption</w:t>
      </w:r>
      <w:r>
        <w:rPr>
          <w:spacing w:val="-2"/>
        </w:rPr>
        <w:t xml:space="preserve"> </w:t>
      </w:r>
      <w:r>
        <w:t>curve</w:t>
      </w:r>
      <w:r>
        <w:rPr>
          <w:spacing w:val="-3"/>
        </w:rPr>
        <w:t xml:space="preserve"> </w:t>
      </w:r>
      <w:r>
        <w:t>to</w:t>
      </w:r>
      <w:r>
        <w:rPr>
          <w:spacing w:val="-2"/>
        </w:rPr>
        <w:t xml:space="preserve"> </w:t>
      </w:r>
      <w:r>
        <w:t>a</w:t>
      </w:r>
      <w:r>
        <w:rPr>
          <w:spacing w:val="-2"/>
        </w:rPr>
        <w:t xml:space="preserve"> </w:t>
      </w:r>
      <w:r>
        <w:t>point</w:t>
      </w:r>
      <w:r>
        <w:rPr>
          <w:spacing w:val="-2"/>
        </w:rPr>
        <w:t xml:space="preserve"> </w:t>
      </w:r>
      <w:r>
        <w:t>where</w:t>
      </w:r>
      <w:r>
        <w:rPr>
          <w:spacing w:val="-1"/>
        </w:rPr>
        <w:t xml:space="preserve"> </w:t>
      </w:r>
      <w:r>
        <w:t>it</w:t>
      </w:r>
      <w:r>
        <w:rPr>
          <w:spacing w:val="-2"/>
        </w:rPr>
        <w:t xml:space="preserve"> </w:t>
      </w:r>
      <w:r>
        <w:t>makes</w:t>
      </w:r>
      <w:r>
        <w:rPr>
          <w:spacing w:val="-2"/>
        </w:rPr>
        <w:t xml:space="preserve"> </w:t>
      </w:r>
      <w:r>
        <w:t>an</w:t>
      </w:r>
      <w:r>
        <w:rPr>
          <w:spacing w:val="-2"/>
        </w:rPr>
        <w:t xml:space="preserve"> </w:t>
      </w:r>
      <w:r>
        <w:t>impact on segment energy use. No specific timeline was defined; however, the team assigned a weight to segments.</w:t>
      </w:r>
      <w:hyperlink w:history="1" w:anchor="_bookmark495">
        <w:r>
          <w:rPr>
            <w:position w:val="7"/>
            <w:sz w:val="14"/>
          </w:rPr>
          <w:t>191</w:t>
        </w:r>
      </w:hyperlink>
      <w:r>
        <w:rPr>
          <w:spacing w:val="32"/>
          <w:position w:val="7"/>
          <w:sz w:val="14"/>
        </w:rPr>
        <w:t xml:space="preserve"> </w:t>
      </w:r>
      <w:r>
        <w:t xml:space="preserve">For the 2019 model and likewise for the </w:t>
      </w:r>
      <w:r>
        <w:t>2021 model, all measures have a market trajectory of 1 as a result of discussions with</w:t>
      </w:r>
      <w:r>
        <w:rPr>
          <w:spacing w:val="40"/>
        </w:rPr>
        <w:t xml:space="preserve"> </w:t>
      </w:r>
      <w:r>
        <w:t>CEC that determined the IEPR segment forecasts include considerations for reductions in electricity and natural gas that result from industries relocating outside of Cal</w:t>
      </w:r>
      <w:r>
        <w:t>ifornia, including offshoring.</w:t>
      </w:r>
    </w:p>
    <w:p w:rsidR="00C31389" w:rsidRDefault="00561FBD" w14:paraId="05F70C35" w14:textId="77777777">
      <w:pPr>
        <w:pStyle w:val="ListParagraph"/>
        <w:numPr>
          <w:ilvl w:val="5"/>
          <w:numId w:val="13"/>
        </w:numPr>
        <w:tabs>
          <w:tab w:val="left" w:pos="1919"/>
          <w:tab w:val="left" w:pos="1921"/>
        </w:tabs>
        <w:spacing w:before="121" w:line="244" w:lineRule="auto"/>
        <w:ind w:left="1921" w:right="1191" w:hanging="361"/>
      </w:pPr>
      <w:r>
        <w:t>0.33:</w:t>
      </w:r>
      <w:r>
        <w:rPr>
          <w:spacing w:val="-3"/>
        </w:rPr>
        <w:t xml:space="preserve"> </w:t>
      </w:r>
      <w:r>
        <w:t>Indicates</w:t>
      </w:r>
      <w:r>
        <w:rPr>
          <w:spacing w:val="-3"/>
        </w:rPr>
        <w:t xml:space="preserve"> </w:t>
      </w:r>
      <w:r>
        <w:t>a</w:t>
      </w:r>
      <w:r>
        <w:rPr>
          <w:spacing w:val="-3"/>
        </w:rPr>
        <w:t xml:space="preserve"> </w:t>
      </w:r>
      <w:r>
        <w:t>segment</w:t>
      </w:r>
      <w:r>
        <w:rPr>
          <w:spacing w:val="-3"/>
        </w:rPr>
        <w:t xml:space="preserve"> </w:t>
      </w:r>
      <w:r>
        <w:t>is</w:t>
      </w:r>
      <w:r>
        <w:rPr>
          <w:spacing w:val="-3"/>
        </w:rPr>
        <w:t xml:space="preserve"> </w:t>
      </w:r>
      <w:r>
        <w:t>likely</w:t>
      </w:r>
      <w:r>
        <w:rPr>
          <w:spacing w:val="-4"/>
        </w:rPr>
        <w:t xml:space="preserve"> </w:t>
      </w:r>
      <w:r>
        <w:t>to</w:t>
      </w:r>
      <w:r>
        <w:rPr>
          <w:spacing w:val="-4"/>
        </w:rPr>
        <w:t xml:space="preserve"> </w:t>
      </w:r>
      <w:r>
        <w:t>move</w:t>
      </w:r>
      <w:r>
        <w:rPr>
          <w:spacing w:val="-3"/>
        </w:rPr>
        <w:t xml:space="preserve"> </w:t>
      </w:r>
      <w:r>
        <w:t>or</w:t>
      </w:r>
      <w:r>
        <w:rPr>
          <w:spacing w:val="-3"/>
        </w:rPr>
        <w:t xml:space="preserve"> </w:t>
      </w:r>
      <w:r>
        <w:t>remain</w:t>
      </w:r>
      <w:r>
        <w:rPr>
          <w:spacing w:val="-3"/>
        </w:rPr>
        <w:t xml:space="preserve"> </w:t>
      </w:r>
      <w:r>
        <w:t>offshore.</w:t>
      </w:r>
      <w:r>
        <w:rPr>
          <w:spacing w:val="-3"/>
        </w:rPr>
        <w:t xml:space="preserve"> </w:t>
      </w:r>
      <w:r>
        <w:t>It</w:t>
      </w:r>
      <w:r>
        <w:rPr>
          <w:spacing w:val="-3"/>
        </w:rPr>
        <w:t xml:space="preserve"> </w:t>
      </w:r>
      <w:r>
        <w:t>is</w:t>
      </w:r>
      <w:r>
        <w:rPr>
          <w:spacing w:val="-3"/>
        </w:rPr>
        <w:t xml:space="preserve"> </w:t>
      </w:r>
      <w:r>
        <w:t>not expected to benefit from the ET adoption cycle.</w:t>
      </w:r>
    </w:p>
    <w:p w:rsidR="00C31389" w:rsidRDefault="00561FBD" w14:paraId="719BEF32" w14:textId="77777777">
      <w:pPr>
        <w:pStyle w:val="ListParagraph"/>
        <w:numPr>
          <w:ilvl w:val="5"/>
          <w:numId w:val="13"/>
        </w:numPr>
        <w:tabs>
          <w:tab w:val="left" w:pos="1919"/>
          <w:tab w:val="left" w:pos="1921"/>
        </w:tabs>
        <w:spacing w:before="141" w:line="244" w:lineRule="auto"/>
        <w:ind w:left="1921" w:right="543" w:hanging="361"/>
      </w:pPr>
      <w:r>
        <w:t>0.67: Indicates a segment is close to the tipping point of moving out of California</w:t>
      </w:r>
      <w:r>
        <w:rPr>
          <w:spacing w:val="-3"/>
        </w:rPr>
        <w:t xml:space="preserve"> </w:t>
      </w:r>
      <w:r>
        <w:t>or</w:t>
      </w:r>
      <w:r>
        <w:rPr>
          <w:spacing w:val="-3"/>
        </w:rPr>
        <w:t xml:space="preserve"> </w:t>
      </w:r>
      <w:r>
        <w:t>the</w:t>
      </w:r>
      <w:r>
        <w:rPr>
          <w:spacing w:val="-3"/>
        </w:rPr>
        <w:t xml:space="preserve"> </w:t>
      </w:r>
      <w:r>
        <w:t>US.</w:t>
      </w:r>
      <w:r>
        <w:rPr>
          <w:spacing w:val="-3"/>
        </w:rPr>
        <w:t xml:space="preserve"> </w:t>
      </w:r>
      <w:r>
        <w:t>It</w:t>
      </w:r>
      <w:r>
        <w:rPr>
          <w:spacing w:val="-3"/>
        </w:rPr>
        <w:t xml:space="preserve"> </w:t>
      </w:r>
      <w:r>
        <w:t>is</w:t>
      </w:r>
      <w:r>
        <w:rPr>
          <w:spacing w:val="-3"/>
        </w:rPr>
        <w:t xml:space="preserve"> </w:t>
      </w:r>
      <w:r>
        <w:t>at</w:t>
      </w:r>
      <w:r>
        <w:rPr>
          <w:spacing w:val="-3"/>
        </w:rPr>
        <w:t xml:space="preserve"> </w:t>
      </w:r>
      <w:r>
        <w:t>risk</w:t>
      </w:r>
      <w:r>
        <w:rPr>
          <w:spacing w:val="-3"/>
        </w:rPr>
        <w:t xml:space="preserve"> </w:t>
      </w:r>
      <w:r>
        <w:t>of</w:t>
      </w:r>
      <w:r>
        <w:rPr>
          <w:spacing w:val="-3"/>
        </w:rPr>
        <w:t xml:space="preserve"> </w:t>
      </w:r>
      <w:r>
        <w:t>not</w:t>
      </w:r>
      <w:r>
        <w:rPr>
          <w:spacing w:val="-3"/>
        </w:rPr>
        <w:t xml:space="preserve"> </w:t>
      </w:r>
      <w:r>
        <w:t>benefitting</w:t>
      </w:r>
      <w:r>
        <w:rPr>
          <w:spacing w:val="-3"/>
        </w:rPr>
        <w:t xml:space="preserve"> </w:t>
      </w:r>
      <w:r>
        <w:t>from</w:t>
      </w:r>
      <w:r>
        <w:rPr>
          <w:spacing w:val="-3"/>
        </w:rPr>
        <w:t xml:space="preserve"> </w:t>
      </w:r>
      <w:r>
        <w:t>the</w:t>
      </w:r>
      <w:r>
        <w:rPr>
          <w:spacing w:val="-3"/>
        </w:rPr>
        <w:t xml:space="preserve"> </w:t>
      </w:r>
      <w:r>
        <w:t>ET</w:t>
      </w:r>
      <w:r>
        <w:rPr>
          <w:spacing w:val="-2"/>
        </w:rPr>
        <w:t xml:space="preserve"> </w:t>
      </w:r>
      <w:r>
        <w:t>adoption</w:t>
      </w:r>
      <w:r>
        <w:rPr>
          <w:spacing w:val="-3"/>
        </w:rPr>
        <w:t xml:space="preserve"> </w:t>
      </w:r>
      <w:r>
        <w:t>cycle.</w:t>
      </w:r>
    </w:p>
    <w:p w:rsidR="00C31389" w:rsidRDefault="00561FBD" w14:paraId="063435DF" w14:textId="77777777">
      <w:pPr>
        <w:pStyle w:val="ListParagraph"/>
        <w:numPr>
          <w:ilvl w:val="5"/>
          <w:numId w:val="13"/>
        </w:numPr>
        <w:tabs>
          <w:tab w:val="left" w:pos="1921"/>
        </w:tabs>
        <w:spacing w:before="141" w:line="244" w:lineRule="auto"/>
        <w:ind w:left="1921" w:right="604"/>
      </w:pPr>
      <w:r>
        <w:t>1.0:</w:t>
      </w:r>
      <w:r>
        <w:rPr>
          <w:spacing w:val="-3"/>
        </w:rPr>
        <w:t xml:space="preserve"> </w:t>
      </w:r>
      <w:r>
        <w:t>Indicates</w:t>
      </w:r>
      <w:r>
        <w:rPr>
          <w:spacing w:val="-3"/>
        </w:rPr>
        <w:t xml:space="preserve"> </w:t>
      </w:r>
      <w:r>
        <w:t>a</w:t>
      </w:r>
      <w:r>
        <w:rPr>
          <w:spacing w:val="-3"/>
        </w:rPr>
        <w:t xml:space="preserve"> </w:t>
      </w:r>
      <w:r>
        <w:t>segment</w:t>
      </w:r>
      <w:r>
        <w:rPr>
          <w:spacing w:val="-3"/>
        </w:rPr>
        <w:t xml:space="preserve"> </w:t>
      </w:r>
      <w:r>
        <w:t>is</w:t>
      </w:r>
      <w:r>
        <w:rPr>
          <w:spacing w:val="-3"/>
        </w:rPr>
        <w:t xml:space="preserve"> </w:t>
      </w:r>
      <w:r>
        <w:t>likely</w:t>
      </w:r>
      <w:r>
        <w:rPr>
          <w:spacing w:val="-3"/>
        </w:rPr>
        <w:t xml:space="preserve"> </w:t>
      </w:r>
      <w:r>
        <w:t>to</w:t>
      </w:r>
      <w:r>
        <w:rPr>
          <w:spacing w:val="-4"/>
        </w:rPr>
        <w:t xml:space="preserve"> </w:t>
      </w:r>
      <w:r>
        <w:t>remain</w:t>
      </w:r>
      <w:r>
        <w:rPr>
          <w:spacing w:val="-3"/>
        </w:rPr>
        <w:t xml:space="preserve"> </w:t>
      </w:r>
      <w:r>
        <w:t>in</w:t>
      </w:r>
      <w:r>
        <w:rPr>
          <w:spacing w:val="-3"/>
        </w:rPr>
        <w:t xml:space="preserve"> </w:t>
      </w:r>
      <w:r>
        <w:t>the</w:t>
      </w:r>
      <w:r>
        <w:rPr>
          <w:spacing w:val="-3"/>
        </w:rPr>
        <w:t xml:space="preserve"> </w:t>
      </w:r>
      <w:r>
        <w:t>California.</w:t>
      </w:r>
      <w:r>
        <w:rPr>
          <w:spacing w:val="-3"/>
        </w:rPr>
        <w:t xml:space="preserve"> </w:t>
      </w:r>
      <w:r>
        <w:t>It</w:t>
      </w:r>
      <w:r>
        <w:rPr>
          <w:spacing w:val="-3"/>
        </w:rPr>
        <w:t xml:space="preserve"> </w:t>
      </w:r>
      <w:r>
        <w:t>is</w:t>
      </w:r>
      <w:r>
        <w:rPr>
          <w:spacing w:val="-3"/>
        </w:rPr>
        <w:t xml:space="preserve"> </w:t>
      </w:r>
      <w:r>
        <w:t>expected</w:t>
      </w:r>
      <w:r>
        <w:rPr>
          <w:spacing w:val="-3"/>
        </w:rPr>
        <w:t xml:space="preserve"> </w:t>
      </w:r>
      <w:r>
        <w:t>to benefit from the ET adoption cycle.</w:t>
      </w:r>
    </w:p>
    <w:p w:rsidR="00C31389" w:rsidRDefault="00561FBD" w14:paraId="1C036449" w14:textId="77777777">
      <w:pPr>
        <w:pStyle w:val="BodyText"/>
        <w:spacing w:before="140"/>
        <w:ind w:left="481" w:right="418"/>
      </w:pPr>
      <w:r>
        <w:t>The team summed the values of all applicable ET multipliers for each market segment</w:t>
      </w:r>
      <w:r>
        <w:t xml:space="preserve"> to define</w:t>
      </w:r>
      <w:r>
        <w:rPr>
          <w:spacing w:val="-3"/>
        </w:rPr>
        <w:t xml:space="preserve"> </w:t>
      </w:r>
      <w:r>
        <w:t>an</w:t>
      </w:r>
      <w:r>
        <w:rPr>
          <w:spacing w:val="-3"/>
        </w:rPr>
        <w:t xml:space="preserve"> </w:t>
      </w:r>
      <w:r>
        <w:t>ET</w:t>
      </w:r>
      <w:r>
        <w:rPr>
          <w:spacing w:val="-3"/>
        </w:rPr>
        <w:t xml:space="preserve"> </w:t>
      </w:r>
      <w:r>
        <w:t>UES</w:t>
      </w:r>
      <w:r>
        <w:rPr>
          <w:spacing w:val="-2"/>
        </w:rPr>
        <w:t xml:space="preserve"> </w:t>
      </w:r>
      <w:r>
        <w:t>multiplier</w:t>
      </w:r>
      <w:r>
        <w:rPr>
          <w:spacing w:val="-3"/>
        </w:rPr>
        <w:t xml:space="preserve"> </w:t>
      </w:r>
      <w:r>
        <w:t>(provided</w:t>
      </w:r>
      <w:r>
        <w:rPr>
          <w:spacing w:val="-3"/>
        </w:rPr>
        <w:t xml:space="preserve"> </w:t>
      </w:r>
      <w:r>
        <w:t>in</w:t>
      </w:r>
      <w:r>
        <w:rPr>
          <w:spacing w:val="-3"/>
        </w:rPr>
        <w:t xml:space="preserve"> </w:t>
      </w:r>
      <w:hyperlink w:history="1" w:anchor="_bookmark493">
        <w:r>
          <w:t>Table</w:t>
        </w:r>
        <w:r>
          <w:rPr>
            <w:spacing w:val="-4"/>
          </w:rPr>
          <w:t xml:space="preserve"> </w:t>
        </w:r>
        <w:r>
          <w:t>G-6</w:t>
        </w:r>
      </w:hyperlink>
      <w:r>
        <w:t>)</w:t>
      </w:r>
      <w:r>
        <w:rPr>
          <w:spacing w:val="-3"/>
        </w:rPr>
        <w:t xml:space="preserve"> </w:t>
      </w:r>
      <w:r>
        <w:t>to</w:t>
      </w:r>
      <w:r>
        <w:rPr>
          <w:spacing w:val="-3"/>
        </w:rPr>
        <w:t xml:space="preserve"> </w:t>
      </w:r>
      <w:r>
        <w:t>forecast</w:t>
      </w:r>
      <w:r>
        <w:rPr>
          <w:spacing w:val="-3"/>
        </w:rPr>
        <w:t xml:space="preserve"> </w:t>
      </w:r>
      <w:r>
        <w:t>segment-level</w:t>
      </w:r>
      <w:r>
        <w:rPr>
          <w:spacing w:val="-3"/>
        </w:rPr>
        <w:t xml:space="preserve"> </w:t>
      </w:r>
      <w:r>
        <w:t>potential</w:t>
      </w:r>
      <w:r>
        <w:rPr>
          <w:spacing w:val="-3"/>
        </w:rPr>
        <w:t xml:space="preserve"> </w:t>
      </w:r>
      <w:r>
        <w:t xml:space="preserve">net savings using </w:t>
      </w:r>
      <w:hyperlink w:history="1" w:anchor="_bookmark492">
        <w:r>
          <w:t>Equation G-3</w:t>
        </w:r>
      </w:hyperlink>
      <w:r>
        <w:t>:</w:t>
      </w:r>
    </w:p>
    <w:p w:rsidR="00C31389" w:rsidRDefault="00C31389" w14:paraId="492B07CE" w14:textId="77777777">
      <w:pPr>
        <w:pStyle w:val="BodyText"/>
        <w:spacing w:before="11"/>
        <w:rPr>
          <w:sz w:val="20"/>
        </w:rPr>
      </w:pPr>
    </w:p>
    <w:p w:rsidR="00C31389" w:rsidRDefault="00561FBD" w14:paraId="12D74806" w14:textId="77777777">
      <w:pPr>
        <w:pStyle w:val="Heading7"/>
        <w:ind w:left="398" w:right="337"/>
        <w:jc w:val="center"/>
      </w:pPr>
      <w:bookmarkStart w:name="_bookmark492" w:id="639"/>
      <w:bookmarkEnd w:id="639"/>
      <w:r>
        <w:t>Equation</w:t>
      </w:r>
      <w:r>
        <w:rPr>
          <w:spacing w:val="-7"/>
        </w:rPr>
        <w:t xml:space="preserve"> </w:t>
      </w:r>
      <w:r>
        <w:t>G-3.</w:t>
      </w:r>
      <w:r>
        <w:rPr>
          <w:spacing w:val="-7"/>
        </w:rPr>
        <w:t xml:space="preserve"> </w:t>
      </w:r>
      <w:r>
        <w:t>ET</w:t>
      </w:r>
      <w:r>
        <w:rPr>
          <w:spacing w:val="-6"/>
        </w:rPr>
        <w:t xml:space="preserve"> </w:t>
      </w:r>
      <w:r>
        <w:t>Segment</w:t>
      </w:r>
      <w:r>
        <w:rPr>
          <w:spacing w:val="-7"/>
        </w:rPr>
        <w:t xml:space="preserve"> </w:t>
      </w:r>
      <w:r>
        <w:t>Net</w:t>
      </w:r>
      <w:r>
        <w:rPr>
          <w:spacing w:val="-7"/>
        </w:rPr>
        <w:t xml:space="preserve"> </w:t>
      </w:r>
      <w:r>
        <w:t>Savings</w:t>
      </w:r>
      <w:r>
        <w:rPr>
          <w:spacing w:val="-7"/>
        </w:rPr>
        <w:t xml:space="preserve"> </w:t>
      </w:r>
      <w:r>
        <w:rPr>
          <w:spacing w:val="-2"/>
        </w:rPr>
        <w:t>Potential</w:t>
      </w:r>
    </w:p>
    <w:p w:rsidR="00C31389" w:rsidRDefault="00561FBD" w14:paraId="67F2CE04" w14:textId="77777777">
      <w:pPr>
        <w:pStyle w:val="Heading6"/>
        <w:spacing w:line="230" w:lineRule="auto"/>
        <w:ind w:left="806" w:right="746"/>
        <w:jc w:val="center"/>
        <w:rPr>
          <w:sz w:val="14"/>
        </w:rPr>
      </w:pPr>
      <w:r>
        <w:t>ET</w:t>
      </w:r>
      <w:r>
        <w:rPr>
          <w:spacing w:val="-13"/>
        </w:rPr>
        <w:t xml:space="preserve"> </w:t>
      </w:r>
      <w:r>
        <w:t>Segment-Level</w:t>
      </w:r>
      <w:r>
        <w:rPr>
          <w:spacing w:val="-13"/>
        </w:rPr>
        <w:t xml:space="preserve"> </w:t>
      </w:r>
      <w:r>
        <w:t>EE</w:t>
      </w:r>
      <w:r>
        <w:rPr>
          <w:spacing w:val="-12"/>
        </w:rPr>
        <w:t xml:space="preserve"> </w:t>
      </w:r>
      <w:r>
        <w:t>Net</w:t>
      </w:r>
      <w:r>
        <w:rPr>
          <w:spacing w:val="-13"/>
        </w:rPr>
        <w:t xml:space="preserve"> </w:t>
      </w:r>
      <w:r>
        <w:t>Savings</w:t>
      </w:r>
      <w:r>
        <w:rPr>
          <w:spacing w:val="-13"/>
        </w:rPr>
        <w:t xml:space="preserve"> </w:t>
      </w:r>
      <w:r>
        <w:t>Poten</w:t>
      </w:r>
      <w:r>
        <w:t>tial</w:t>
      </w:r>
      <w:r>
        <w:rPr>
          <w:spacing w:val="-12"/>
        </w:rPr>
        <w:t xml:space="preserve"> </w:t>
      </w:r>
      <w:r>
        <w:t>=</w:t>
      </w:r>
      <w:r>
        <w:rPr>
          <w:spacing w:val="-13"/>
        </w:rPr>
        <w:t xml:space="preserve"> </w:t>
      </w:r>
      <w:r>
        <w:t>ET</w:t>
      </w:r>
      <w:r>
        <w:rPr>
          <w:spacing w:val="-11"/>
        </w:rPr>
        <w:t xml:space="preserve"> </w:t>
      </w:r>
      <w:r>
        <w:t>UES</w:t>
      </w:r>
      <w:r>
        <w:rPr>
          <w:spacing w:val="-13"/>
        </w:rPr>
        <w:t xml:space="preserve"> </w:t>
      </w:r>
      <w:r>
        <w:t>Multiplier</w:t>
      </w:r>
      <w:r>
        <w:rPr>
          <w:spacing w:val="-13"/>
        </w:rPr>
        <w:t xml:space="preserve"> </w:t>
      </w:r>
      <w:r>
        <w:t>x</w:t>
      </w:r>
      <w:r>
        <w:rPr>
          <w:spacing w:val="-12"/>
        </w:rPr>
        <w:t xml:space="preserve"> </w:t>
      </w:r>
      <w:r>
        <w:t>Annual</w:t>
      </w:r>
      <w:r>
        <w:rPr>
          <w:spacing w:val="-12"/>
        </w:rPr>
        <w:t xml:space="preserve"> </w:t>
      </w:r>
      <w:r>
        <w:t xml:space="preserve">Segment </w:t>
      </w:r>
      <w:r>
        <w:rPr>
          <w:spacing w:val="-2"/>
          <w:w w:val="105"/>
        </w:rPr>
        <w:t>Consumption</w:t>
      </w:r>
      <w:r>
        <w:rPr>
          <w:spacing w:val="-2"/>
          <w:w w:val="105"/>
          <w:position w:val="5"/>
          <w:sz w:val="14"/>
        </w:rPr>
        <w:t>1</w:t>
      </w:r>
      <w:hyperlink w:history="1" w:anchor="_bookmark496">
        <w:r>
          <w:rPr>
            <w:spacing w:val="-2"/>
            <w:w w:val="105"/>
            <w:position w:val="5"/>
            <w:sz w:val="14"/>
          </w:rPr>
          <w:t>92</w:t>
        </w:r>
      </w:hyperlink>
    </w:p>
    <w:p w:rsidR="00C31389" w:rsidRDefault="00C31389" w14:paraId="68D6665D" w14:textId="77777777">
      <w:pPr>
        <w:pStyle w:val="BodyText"/>
        <w:spacing w:before="3"/>
        <w:rPr>
          <w:rFonts w:ascii="Cambria"/>
          <w:i/>
          <w:sz w:val="20"/>
        </w:rPr>
      </w:pPr>
    </w:p>
    <w:p w:rsidR="00C31389" w:rsidRDefault="00561FBD" w14:paraId="0421E1BE" w14:textId="77777777">
      <w:pPr>
        <w:pStyle w:val="Heading7"/>
        <w:spacing w:before="1"/>
        <w:ind w:left="398" w:right="339"/>
        <w:jc w:val="center"/>
      </w:pPr>
      <w:bookmarkStart w:name="_bookmark493" w:id="640"/>
      <w:bookmarkEnd w:id="640"/>
      <w:r>
        <w:t>Table</w:t>
      </w:r>
      <w:r>
        <w:rPr>
          <w:spacing w:val="-7"/>
        </w:rPr>
        <w:t xml:space="preserve"> </w:t>
      </w:r>
      <w:r>
        <w:t>G-6.</w:t>
      </w:r>
      <w:r>
        <w:rPr>
          <w:spacing w:val="-7"/>
        </w:rPr>
        <w:t xml:space="preserve"> </w:t>
      </w:r>
      <w:r>
        <w:t>ET</w:t>
      </w:r>
      <w:r>
        <w:rPr>
          <w:spacing w:val="-5"/>
        </w:rPr>
        <w:t xml:space="preserve"> </w:t>
      </w:r>
      <w:r>
        <w:t>UES</w:t>
      </w:r>
      <w:r>
        <w:rPr>
          <w:spacing w:val="-6"/>
        </w:rPr>
        <w:t xml:space="preserve"> </w:t>
      </w:r>
      <w:r>
        <w:t>Multipliers</w:t>
      </w:r>
      <w:r>
        <w:rPr>
          <w:spacing w:val="-6"/>
        </w:rPr>
        <w:t xml:space="preserve"> </w:t>
      </w:r>
      <w:r>
        <w:t>by</w:t>
      </w:r>
      <w:r>
        <w:rPr>
          <w:spacing w:val="-6"/>
        </w:rPr>
        <w:t xml:space="preserve"> </w:t>
      </w:r>
      <w:r>
        <w:t>Segment</w:t>
      </w:r>
      <w:r>
        <w:rPr>
          <w:spacing w:val="-6"/>
        </w:rPr>
        <w:t xml:space="preserve"> </w:t>
      </w:r>
      <w:r>
        <w:t>and</w:t>
      </w:r>
      <w:r>
        <w:rPr>
          <w:spacing w:val="-7"/>
        </w:rPr>
        <w:t xml:space="preserve"> </w:t>
      </w:r>
      <w:r>
        <w:rPr>
          <w:spacing w:val="-4"/>
        </w:rPr>
        <w:t>Fuel</w:t>
      </w:r>
    </w:p>
    <w:p w:rsidR="00C31389" w:rsidRDefault="00C31389" w14:paraId="22DDF557" w14:textId="77777777">
      <w:pPr>
        <w:pStyle w:val="BodyText"/>
        <w:spacing w:before="7"/>
        <w:rPr>
          <w:b/>
          <w:sz w:val="9"/>
        </w:rPr>
      </w:pPr>
    </w:p>
    <w:tbl>
      <w:tblPr>
        <w:tblW w:w="0" w:type="auto"/>
        <w:tblInd w:w="903" w:type="dxa"/>
        <w:tblLayout w:type="fixed"/>
        <w:tblCellMar>
          <w:left w:w="0" w:type="dxa"/>
          <w:right w:w="0" w:type="dxa"/>
        </w:tblCellMar>
        <w:tblLook w:val="01E0" w:firstRow="1" w:lastRow="1" w:firstColumn="1" w:lastColumn="1" w:noHBand="0" w:noVBand="0"/>
      </w:tblPr>
      <w:tblGrid>
        <w:gridCol w:w="3225"/>
        <w:gridCol w:w="2433"/>
        <w:gridCol w:w="2528"/>
      </w:tblGrid>
      <w:tr w:rsidR="00C31389" w14:paraId="67B75C7F" w14:textId="77777777">
        <w:trPr>
          <w:trHeight w:val="320"/>
        </w:trPr>
        <w:tc>
          <w:tcPr>
            <w:tcW w:w="3225" w:type="dxa"/>
            <w:shd w:val="clear" w:color="auto" w:fill="92D400"/>
          </w:tcPr>
          <w:p w:rsidR="00C31389" w:rsidRDefault="00561FBD" w14:paraId="3819D0BD" w14:textId="77777777">
            <w:pPr>
              <w:pStyle w:val="TableParagraph"/>
              <w:ind w:left="122"/>
              <w:rPr>
                <w:b/>
                <w:sz w:val="20"/>
              </w:rPr>
            </w:pPr>
            <w:r>
              <w:rPr>
                <w:b/>
                <w:spacing w:val="-2"/>
                <w:sz w:val="20"/>
              </w:rPr>
              <w:t>Segment</w:t>
            </w:r>
          </w:p>
        </w:tc>
        <w:tc>
          <w:tcPr>
            <w:tcW w:w="2433" w:type="dxa"/>
            <w:shd w:val="clear" w:color="auto" w:fill="92D400"/>
          </w:tcPr>
          <w:p w:rsidR="00C31389" w:rsidRDefault="00561FBD" w14:paraId="5169BD19" w14:textId="77777777">
            <w:pPr>
              <w:pStyle w:val="TableParagraph"/>
              <w:ind w:left="293" w:right="162"/>
              <w:jc w:val="center"/>
              <w:rPr>
                <w:b/>
                <w:sz w:val="20"/>
              </w:rPr>
            </w:pPr>
            <w:r>
              <w:rPr>
                <w:b/>
                <w:sz w:val="20"/>
              </w:rPr>
              <w:t>UES</w:t>
            </w:r>
            <w:r>
              <w:rPr>
                <w:b/>
                <w:spacing w:val="-5"/>
                <w:sz w:val="20"/>
              </w:rPr>
              <w:t xml:space="preserve"> </w:t>
            </w:r>
            <w:r>
              <w:rPr>
                <w:b/>
                <w:sz w:val="20"/>
              </w:rPr>
              <w:t>Multiplier</w:t>
            </w:r>
            <w:r>
              <w:rPr>
                <w:b/>
                <w:spacing w:val="-5"/>
                <w:sz w:val="20"/>
              </w:rPr>
              <w:t xml:space="preserve"> </w:t>
            </w:r>
            <w:r>
              <w:rPr>
                <w:b/>
                <w:spacing w:val="-4"/>
                <w:sz w:val="20"/>
              </w:rPr>
              <w:t>(kWh)</w:t>
            </w:r>
          </w:p>
        </w:tc>
        <w:tc>
          <w:tcPr>
            <w:tcW w:w="2528" w:type="dxa"/>
            <w:shd w:val="clear" w:color="auto" w:fill="92D400"/>
          </w:tcPr>
          <w:p w:rsidR="00C31389" w:rsidRDefault="00561FBD" w14:paraId="60884B23" w14:textId="77777777">
            <w:pPr>
              <w:pStyle w:val="TableParagraph"/>
              <w:ind w:left="161" w:right="141"/>
              <w:jc w:val="center"/>
              <w:rPr>
                <w:b/>
                <w:sz w:val="20"/>
              </w:rPr>
            </w:pPr>
            <w:r>
              <w:rPr>
                <w:b/>
                <w:sz w:val="20"/>
              </w:rPr>
              <w:t>UES</w:t>
            </w:r>
            <w:r>
              <w:rPr>
                <w:b/>
                <w:spacing w:val="-5"/>
                <w:sz w:val="20"/>
              </w:rPr>
              <w:t xml:space="preserve"> </w:t>
            </w:r>
            <w:r>
              <w:rPr>
                <w:b/>
                <w:sz w:val="20"/>
              </w:rPr>
              <w:t>Multiplier</w:t>
            </w:r>
            <w:r>
              <w:rPr>
                <w:b/>
                <w:spacing w:val="-5"/>
                <w:sz w:val="20"/>
              </w:rPr>
              <w:t xml:space="preserve"> </w:t>
            </w:r>
            <w:r>
              <w:rPr>
                <w:b/>
                <w:spacing w:val="-2"/>
                <w:sz w:val="20"/>
              </w:rPr>
              <w:t>(therms)</w:t>
            </w:r>
          </w:p>
        </w:tc>
      </w:tr>
      <w:tr w:rsidR="00C31389" w14:paraId="4F74805E" w14:textId="77777777">
        <w:trPr>
          <w:trHeight w:val="309"/>
        </w:trPr>
        <w:tc>
          <w:tcPr>
            <w:tcW w:w="3225" w:type="dxa"/>
            <w:tcBorders>
              <w:bottom w:val="single" w:color="D9D9D9" w:sz="2" w:space="0"/>
            </w:tcBorders>
          </w:tcPr>
          <w:p w:rsidR="00C31389" w:rsidRDefault="00561FBD" w14:paraId="00646BBA"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Petroleum</w:t>
            </w:r>
          </w:p>
        </w:tc>
        <w:tc>
          <w:tcPr>
            <w:tcW w:w="2433" w:type="dxa"/>
            <w:tcBorders>
              <w:bottom w:val="single" w:color="D9D9D9" w:sz="2" w:space="0"/>
            </w:tcBorders>
          </w:tcPr>
          <w:p w:rsidR="00C31389" w:rsidRDefault="00561FBD" w14:paraId="27856E27" w14:textId="77777777">
            <w:pPr>
              <w:pStyle w:val="TableParagraph"/>
              <w:ind w:left="292" w:right="162"/>
              <w:jc w:val="center"/>
              <w:rPr>
                <w:sz w:val="20"/>
              </w:rPr>
            </w:pPr>
            <w:r>
              <w:rPr>
                <w:spacing w:val="-4"/>
                <w:sz w:val="20"/>
              </w:rPr>
              <w:t>0.17%</w:t>
            </w:r>
          </w:p>
        </w:tc>
        <w:tc>
          <w:tcPr>
            <w:tcW w:w="2528" w:type="dxa"/>
            <w:tcBorders>
              <w:bottom w:val="single" w:color="D9D9D9" w:sz="2" w:space="0"/>
            </w:tcBorders>
          </w:tcPr>
          <w:p w:rsidR="00C31389" w:rsidRDefault="00561FBD" w14:paraId="44DF8EC2" w14:textId="77777777">
            <w:pPr>
              <w:pStyle w:val="TableParagraph"/>
              <w:ind w:left="161" w:right="141"/>
              <w:jc w:val="center"/>
              <w:rPr>
                <w:sz w:val="20"/>
              </w:rPr>
            </w:pPr>
            <w:r>
              <w:rPr>
                <w:spacing w:val="-4"/>
                <w:sz w:val="20"/>
              </w:rPr>
              <w:t>1.22%</w:t>
            </w:r>
          </w:p>
        </w:tc>
      </w:tr>
      <w:tr w:rsidR="00C31389" w14:paraId="3D2B6A3C" w14:textId="77777777">
        <w:trPr>
          <w:trHeight w:val="310"/>
        </w:trPr>
        <w:tc>
          <w:tcPr>
            <w:tcW w:w="3225" w:type="dxa"/>
            <w:tcBorders>
              <w:top w:val="single" w:color="D9D9D9" w:sz="2" w:space="0"/>
              <w:bottom w:val="single" w:color="D9D9D9" w:sz="2" w:space="0"/>
            </w:tcBorders>
          </w:tcPr>
          <w:p w:rsidR="00C31389" w:rsidRDefault="00561FBD" w14:paraId="436D7276"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4"/>
                <w:sz w:val="20"/>
              </w:rPr>
              <w:t>Food</w:t>
            </w:r>
          </w:p>
        </w:tc>
        <w:tc>
          <w:tcPr>
            <w:tcW w:w="2433" w:type="dxa"/>
            <w:tcBorders>
              <w:top w:val="single" w:color="D9D9D9" w:sz="2" w:space="0"/>
              <w:bottom w:val="single" w:color="D9D9D9" w:sz="2" w:space="0"/>
            </w:tcBorders>
          </w:tcPr>
          <w:p w:rsidR="00C31389" w:rsidRDefault="00561FBD" w14:paraId="58CCEA50" w14:textId="77777777">
            <w:pPr>
              <w:pStyle w:val="TableParagraph"/>
              <w:ind w:left="293" w:right="162"/>
              <w:jc w:val="center"/>
              <w:rPr>
                <w:sz w:val="20"/>
              </w:rPr>
            </w:pPr>
            <w:r>
              <w:rPr>
                <w:spacing w:val="-4"/>
                <w:sz w:val="20"/>
              </w:rPr>
              <w:t>1.58%</w:t>
            </w:r>
          </w:p>
        </w:tc>
        <w:tc>
          <w:tcPr>
            <w:tcW w:w="2528" w:type="dxa"/>
            <w:tcBorders>
              <w:top w:val="single" w:color="D9D9D9" w:sz="2" w:space="0"/>
              <w:bottom w:val="single" w:color="D9D9D9" w:sz="2" w:space="0"/>
            </w:tcBorders>
          </w:tcPr>
          <w:p w:rsidR="00C31389" w:rsidRDefault="00561FBD" w14:paraId="4845E9E9" w14:textId="77777777">
            <w:pPr>
              <w:pStyle w:val="TableParagraph"/>
              <w:ind w:left="161" w:right="141"/>
              <w:jc w:val="center"/>
              <w:rPr>
                <w:sz w:val="20"/>
              </w:rPr>
            </w:pPr>
            <w:r>
              <w:rPr>
                <w:spacing w:val="-4"/>
                <w:sz w:val="20"/>
              </w:rPr>
              <w:t>9.18%</w:t>
            </w:r>
          </w:p>
        </w:tc>
      </w:tr>
      <w:tr w:rsidR="00C31389" w14:paraId="57FEBA9F" w14:textId="77777777">
        <w:trPr>
          <w:trHeight w:val="309"/>
        </w:trPr>
        <w:tc>
          <w:tcPr>
            <w:tcW w:w="3225" w:type="dxa"/>
            <w:tcBorders>
              <w:top w:val="single" w:color="D9D9D9" w:sz="2" w:space="0"/>
              <w:bottom w:val="single" w:color="D9D9D9" w:sz="2" w:space="0"/>
            </w:tcBorders>
          </w:tcPr>
          <w:p w:rsidR="00C31389" w:rsidRDefault="00561FBD" w14:paraId="45974A6D" w14:textId="77777777">
            <w:pPr>
              <w:pStyle w:val="TableParagraph"/>
              <w:ind w:left="122"/>
              <w:rPr>
                <w:sz w:val="20"/>
              </w:rPr>
            </w:pPr>
            <w:r>
              <w:rPr>
                <w:sz w:val="20"/>
              </w:rPr>
              <w:t>Ind</w:t>
            </w:r>
            <w:r>
              <w:rPr>
                <w:spacing w:val="-4"/>
                <w:sz w:val="20"/>
              </w:rPr>
              <w:t xml:space="preserve"> </w:t>
            </w:r>
            <w:r>
              <w:rPr>
                <w:sz w:val="20"/>
              </w:rPr>
              <w:t>–</w:t>
            </w:r>
            <w:r>
              <w:rPr>
                <w:spacing w:val="-1"/>
                <w:sz w:val="20"/>
              </w:rPr>
              <w:t xml:space="preserve"> </w:t>
            </w:r>
            <w:r>
              <w:rPr>
                <w:spacing w:val="-2"/>
                <w:sz w:val="20"/>
              </w:rPr>
              <w:t>Electronics</w:t>
            </w:r>
          </w:p>
        </w:tc>
        <w:tc>
          <w:tcPr>
            <w:tcW w:w="2433" w:type="dxa"/>
            <w:tcBorders>
              <w:top w:val="single" w:color="D9D9D9" w:sz="2" w:space="0"/>
              <w:bottom w:val="single" w:color="D9D9D9" w:sz="2" w:space="0"/>
            </w:tcBorders>
          </w:tcPr>
          <w:p w:rsidR="00C31389" w:rsidRDefault="00561FBD" w14:paraId="580F0E24" w14:textId="77777777">
            <w:pPr>
              <w:pStyle w:val="TableParagraph"/>
              <w:ind w:left="293" w:right="162"/>
              <w:jc w:val="center"/>
              <w:rPr>
                <w:sz w:val="20"/>
              </w:rPr>
            </w:pPr>
            <w:r>
              <w:rPr>
                <w:spacing w:val="-4"/>
                <w:sz w:val="20"/>
              </w:rPr>
              <w:t>2.45%</w:t>
            </w:r>
          </w:p>
        </w:tc>
        <w:tc>
          <w:tcPr>
            <w:tcW w:w="2528" w:type="dxa"/>
            <w:tcBorders>
              <w:top w:val="single" w:color="D9D9D9" w:sz="2" w:space="0"/>
              <w:bottom w:val="single" w:color="D9D9D9" w:sz="2" w:space="0"/>
            </w:tcBorders>
          </w:tcPr>
          <w:p w:rsidR="00C31389" w:rsidRDefault="00561FBD" w14:paraId="549E4D0C" w14:textId="77777777">
            <w:pPr>
              <w:pStyle w:val="TableParagraph"/>
              <w:ind w:left="161" w:right="141"/>
              <w:jc w:val="center"/>
              <w:rPr>
                <w:sz w:val="20"/>
              </w:rPr>
            </w:pPr>
            <w:r>
              <w:rPr>
                <w:spacing w:val="-4"/>
                <w:sz w:val="20"/>
              </w:rPr>
              <w:t>4.10%</w:t>
            </w:r>
          </w:p>
        </w:tc>
      </w:tr>
      <w:tr w:rsidR="00C31389" w14:paraId="2B15B563" w14:textId="77777777">
        <w:trPr>
          <w:trHeight w:val="310"/>
        </w:trPr>
        <w:tc>
          <w:tcPr>
            <w:tcW w:w="3225" w:type="dxa"/>
            <w:tcBorders>
              <w:top w:val="single" w:color="D9D9D9" w:sz="2" w:space="0"/>
              <w:bottom w:val="single" w:color="D9D9D9" w:sz="2" w:space="0"/>
            </w:tcBorders>
          </w:tcPr>
          <w:p w:rsidR="00C31389" w:rsidRDefault="00561FBD" w14:paraId="624A49DD" w14:textId="77777777">
            <w:pPr>
              <w:pStyle w:val="TableParagraph"/>
              <w:ind w:left="122"/>
              <w:rPr>
                <w:sz w:val="20"/>
              </w:rPr>
            </w:pPr>
            <w:r>
              <w:rPr>
                <w:sz w:val="20"/>
              </w:rPr>
              <w:t>Ind</w:t>
            </w:r>
            <w:r>
              <w:rPr>
                <w:spacing w:val="-5"/>
                <w:sz w:val="20"/>
              </w:rPr>
              <w:t xml:space="preserve"> </w:t>
            </w:r>
            <w:r>
              <w:rPr>
                <w:sz w:val="20"/>
              </w:rPr>
              <w:t>–</w:t>
            </w:r>
            <w:r>
              <w:rPr>
                <w:spacing w:val="-4"/>
                <w:sz w:val="20"/>
              </w:rPr>
              <w:t xml:space="preserve"> </w:t>
            </w:r>
            <w:r>
              <w:rPr>
                <w:sz w:val="20"/>
              </w:rPr>
              <w:t>Stone-Glass-</w:t>
            </w:r>
            <w:r>
              <w:rPr>
                <w:spacing w:val="-4"/>
                <w:sz w:val="20"/>
              </w:rPr>
              <w:t>Clay</w:t>
            </w:r>
          </w:p>
        </w:tc>
        <w:tc>
          <w:tcPr>
            <w:tcW w:w="2433" w:type="dxa"/>
            <w:tcBorders>
              <w:top w:val="single" w:color="D9D9D9" w:sz="2" w:space="0"/>
              <w:bottom w:val="single" w:color="D9D9D9" w:sz="2" w:space="0"/>
            </w:tcBorders>
          </w:tcPr>
          <w:p w:rsidR="00C31389" w:rsidRDefault="00561FBD" w14:paraId="570096E6" w14:textId="77777777">
            <w:pPr>
              <w:pStyle w:val="TableParagraph"/>
              <w:ind w:left="293" w:right="162"/>
              <w:jc w:val="center"/>
              <w:rPr>
                <w:sz w:val="20"/>
              </w:rPr>
            </w:pPr>
            <w:r>
              <w:rPr>
                <w:spacing w:val="-4"/>
                <w:sz w:val="20"/>
              </w:rPr>
              <w:t>0.97%</w:t>
            </w:r>
          </w:p>
        </w:tc>
        <w:tc>
          <w:tcPr>
            <w:tcW w:w="2528" w:type="dxa"/>
            <w:tcBorders>
              <w:top w:val="single" w:color="D9D9D9" w:sz="2" w:space="0"/>
              <w:bottom w:val="single" w:color="D9D9D9" w:sz="2" w:space="0"/>
            </w:tcBorders>
          </w:tcPr>
          <w:p w:rsidR="00C31389" w:rsidRDefault="00561FBD" w14:paraId="4CA9D9CF" w14:textId="77777777">
            <w:pPr>
              <w:pStyle w:val="TableParagraph"/>
              <w:ind w:left="161" w:right="141"/>
              <w:jc w:val="center"/>
              <w:rPr>
                <w:sz w:val="20"/>
              </w:rPr>
            </w:pPr>
            <w:r>
              <w:rPr>
                <w:spacing w:val="-4"/>
                <w:sz w:val="20"/>
              </w:rPr>
              <w:t>0.99%</w:t>
            </w:r>
          </w:p>
        </w:tc>
      </w:tr>
      <w:tr w:rsidR="00C31389" w14:paraId="760E5572" w14:textId="77777777">
        <w:trPr>
          <w:trHeight w:val="309"/>
        </w:trPr>
        <w:tc>
          <w:tcPr>
            <w:tcW w:w="3225" w:type="dxa"/>
            <w:tcBorders>
              <w:top w:val="single" w:color="D9D9D9" w:sz="2" w:space="0"/>
              <w:bottom w:val="single" w:color="D9D9D9" w:sz="2" w:space="0"/>
            </w:tcBorders>
          </w:tcPr>
          <w:p w:rsidR="00C31389" w:rsidRDefault="00561FBD" w14:paraId="7ADC72F9"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Chemicals</w:t>
            </w:r>
          </w:p>
        </w:tc>
        <w:tc>
          <w:tcPr>
            <w:tcW w:w="2433" w:type="dxa"/>
            <w:tcBorders>
              <w:top w:val="single" w:color="D9D9D9" w:sz="2" w:space="0"/>
              <w:bottom w:val="single" w:color="D9D9D9" w:sz="2" w:space="0"/>
            </w:tcBorders>
          </w:tcPr>
          <w:p w:rsidR="00C31389" w:rsidRDefault="00561FBD" w14:paraId="7633BCC1" w14:textId="77777777">
            <w:pPr>
              <w:pStyle w:val="TableParagraph"/>
              <w:ind w:left="293" w:right="162"/>
              <w:jc w:val="center"/>
              <w:rPr>
                <w:sz w:val="20"/>
              </w:rPr>
            </w:pPr>
            <w:r>
              <w:rPr>
                <w:spacing w:val="-4"/>
                <w:sz w:val="20"/>
              </w:rPr>
              <w:t>0.93%</w:t>
            </w:r>
          </w:p>
        </w:tc>
        <w:tc>
          <w:tcPr>
            <w:tcW w:w="2528" w:type="dxa"/>
            <w:tcBorders>
              <w:top w:val="single" w:color="D9D9D9" w:sz="2" w:space="0"/>
              <w:bottom w:val="single" w:color="D9D9D9" w:sz="2" w:space="0"/>
            </w:tcBorders>
          </w:tcPr>
          <w:p w:rsidR="00C31389" w:rsidRDefault="00561FBD" w14:paraId="39DD3385" w14:textId="77777777">
            <w:pPr>
              <w:pStyle w:val="TableParagraph"/>
              <w:ind w:left="161" w:right="141"/>
              <w:jc w:val="center"/>
              <w:rPr>
                <w:sz w:val="20"/>
              </w:rPr>
            </w:pPr>
            <w:r>
              <w:rPr>
                <w:spacing w:val="-4"/>
                <w:sz w:val="20"/>
              </w:rPr>
              <w:t>9.19%</w:t>
            </w:r>
          </w:p>
        </w:tc>
      </w:tr>
      <w:tr w:rsidR="00C31389" w14:paraId="062F8523" w14:textId="77777777">
        <w:trPr>
          <w:trHeight w:val="310"/>
        </w:trPr>
        <w:tc>
          <w:tcPr>
            <w:tcW w:w="3225" w:type="dxa"/>
            <w:tcBorders>
              <w:top w:val="single" w:color="D9D9D9" w:sz="2" w:space="0"/>
              <w:bottom w:val="single" w:color="D9D9D9" w:sz="2" w:space="0"/>
            </w:tcBorders>
          </w:tcPr>
          <w:p w:rsidR="00C31389" w:rsidRDefault="00561FBD" w14:paraId="1EF0F858"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Plastics</w:t>
            </w:r>
          </w:p>
        </w:tc>
        <w:tc>
          <w:tcPr>
            <w:tcW w:w="2433" w:type="dxa"/>
            <w:tcBorders>
              <w:top w:val="single" w:color="D9D9D9" w:sz="2" w:space="0"/>
              <w:bottom w:val="single" w:color="D9D9D9" w:sz="2" w:space="0"/>
            </w:tcBorders>
          </w:tcPr>
          <w:p w:rsidR="00C31389" w:rsidRDefault="00561FBD" w14:paraId="1D73FA40" w14:textId="77777777">
            <w:pPr>
              <w:pStyle w:val="TableParagraph"/>
              <w:ind w:left="293" w:right="162"/>
              <w:jc w:val="center"/>
              <w:rPr>
                <w:sz w:val="20"/>
              </w:rPr>
            </w:pPr>
            <w:r>
              <w:rPr>
                <w:spacing w:val="-4"/>
                <w:sz w:val="20"/>
              </w:rPr>
              <w:t>1.40%</w:t>
            </w:r>
          </w:p>
        </w:tc>
        <w:tc>
          <w:tcPr>
            <w:tcW w:w="2528" w:type="dxa"/>
            <w:tcBorders>
              <w:top w:val="single" w:color="D9D9D9" w:sz="2" w:space="0"/>
              <w:bottom w:val="single" w:color="D9D9D9" w:sz="2" w:space="0"/>
            </w:tcBorders>
          </w:tcPr>
          <w:p w:rsidR="00C31389" w:rsidRDefault="00561FBD" w14:paraId="05541829" w14:textId="77777777">
            <w:pPr>
              <w:pStyle w:val="TableParagraph"/>
              <w:ind w:left="161" w:right="141"/>
              <w:jc w:val="center"/>
              <w:rPr>
                <w:sz w:val="20"/>
              </w:rPr>
            </w:pPr>
            <w:r>
              <w:rPr>
                <w:spacing w:val="-4"/>
                <w:sz w:val="20"/>
              </w:rPr>
              <w:t>5.37%</w:t>
            </w:r>
          </w:p>
        </w:tc>
      </w:tr>
      <w:tr w:rsidR="00C31389" w14:paraId="116133E9" w14:textId="77777777">
        <w:trPr>
          <w:trHeight w:val="309"/>
        </w:trPr>
        <w:tc>
          <w:tcPr>
            <w:tcW w:w="3225" w:type="dxa"/>
            <w:tcBorders>
              <w:top w:val="single" w:color="D9D9D9" w:sz="2" w:space="0"/>
              <w:bottom w:val="single" w:color="D9D9D9" w:sz="2" w:space="0"/>
            </w:tcBorders>
          </w:tcPr>
          <w:p w:rsidR="00C31389" w:rsidRDefault="00561FBD" w14:paraId="68133195"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Fabricated</w:t>
            </w:r>
            <w:r>
              <w:rPr>
                <w:spacing w:val="-2"/>
                <w:sz w:val="20"/>
              </w:rPr>
              <w:t xml:space="preserve"> Metals</w:t>
            </w:r>
          </w:p>
        </w:tc>
        <w:tc>
          <w:tcPr>
            <w:tcW w:w="2433" w:type="dxa"/>
            <w:tcBorders>
              <w:top w:val="single" w:color="D9D9D9" w:sz="2" w:space="0"/>
              <w:bottom w:val="single" w:color="D9D9D9" w:sz="2" w:space="0"/>
            </w:tcBorders>
          </w:tcPr>
          <w:p w:rsidR="00C31389" w:rsidRDefault="00561FBD" w14:paraId="4361FEDD" w14:textId="77777777">
            <w:pPr>
              <w:pStyle w:val="TableParagraph"/>
              <w:ind w:left="293" w:right="162"/>
              <w:jc w:val="center"/>
              <w:rPr>
                <w:sz w:val="20"/>
              </w:rPr>
            </w:pPr>
            <w:r>
              <w:rPr>
                <w:spacing w:val="-4"/>
                <w:sz w:val="20"/>
              </w:rPr>
              <w:t>1.45%</w:t>
            </w:r>
          </w:p>
        </w:tc>
        <w:tc>
          <w:tcPr>
            <w:tcW w:w="2528" w:type="dxa"/>
            <w:tcBorders>
              <w:top w:val="single" w:color="D9D9D9" w:sz="2" w:space="0"/>
              <w:bottom w:val="single" w:color="D9D9D9" w:sz="2" w:space="0"/>
            </w:tcBorders>
          </w:tcPr>
          <w:p w:rsidR="00C31389" w:rsidRDefault="00561FBD" w14:paraId="217B470B" w14:textId="77777777">
            <w:pPr>
              <w:pStyle w:val="TableParagraph"/>
              <w:ind w:left="161" w:right="141"/>
              <w:jc w:val="center"/>
              <w:rPr>
                <w:sz w:val="20"/>
              </w:rPr>
            </w:pPr>
            <w:r>
              <w:rPr>
                <w:spacing w:val="-2"/>
                <w:sz w:val="20"/>
              </w:rPr>
              <w:t>14.21%</w:t>
            </w:r>
          </w:p>
        </w:tc>
      </w:tr>
      <w:tr w:rsidR="00C31389" w14:paraId="5F5D127F" w14:textId="77777777">
        <w:trPr>
          <w:trHeight w:val="310"/>
        </w:trPr>
        <w:tc>
          <w:tcPr>
            <w:tcW w:w="3225" w:type="dxa"/>
            <w:tcBorders>
              <w:top w:val="single" w:color="D9D9D9" w:sz="2" w:space="0"/>
              <w:bottom w:val="single" w:color="D9D9D9" w:sz="2" w:space="0"/>
            </w:tcBorders>
          </w:tcPr>
          <w:p w:rsidR="00C31389" w:rsidRDefault="00561FBD" w14:paraId="59112CFD"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Primary</w:t>
            </w:r>
            <w:r>
              <w:rPr>
                <w:spacing w:val="-2"/>
                <w:sz w:val="20"/>
              </w:rPr>
              <w:t xml:space="preserve"> Metals</w:t>
            </w:r>
          </w:p>
        </w:tc>
        <w:tc>
          <w:tcPr>
            <w:tcW w:w="2433" w:type="dxa"/>
            <w:tcBorders>
              <w:top w:val="single" w:color="D9D9D9" w:sz="2" w:space="0"/>
              <w:bottom w:val="single" w:color="D9D9D9" w:sz="2" w:space="0"/>
            </w:tcBorders>
          </w:tcPr>
          <w:p w:rsidR="00C31389" w:rsidRDefault="00561FBD" w14:paraId="02F7BA5C" w14:textId="77777777">
            <w:pPr>
              <w:pStyle w:val="TableParagraph"/>
              <w:ind w:left="293" w:right="162"/>
              <w:jc w:val="center"/>
              <w:rPr>
                <w:sz w:val="20"/>
              </w:rPr>
            </w:pPr>
            <w:r>
              <w:rPr>
                <w:spacing w:val="-4"/>
                <w:sz w:val="20"/>
              </w:rPr>
              <w:t>0.26%</w:t>
            </w:r>
          </w:p>
        </w:tc>
        <w:tc>
          <w:tcPr>
            <w:tcW w:w="2528" w:type="dxa"/>
            <w:tcBorders>
              <w:top w:val="single" w:color="D9D9D9" w:sz="2" w:space="0"/>
              <w:bottom w:val="single" w:color="D9D9D9" w:sz="2" w:space="0"/>
            </w:tcBorders>
          </w:tcPr>
          <w:p w:rsidR="00C31389" w:rsidRDefault="00561FBD" w14:paraId="74B503BB" w14:textId="77777777">
            <w:pPr>
              <w:pStyle w:val="TableParagraph"/>
              <w:ind w:left="161" w:right="141"/>
              <w:jc w:val="center"/>
              <w:rPr>
                <w:sz w:val="20"/>
              </w:rPr>
            </w:pPr>
            <w:r>
              <w:rPr>
                <w:spacing w:val="-4"/>
                <w:sz w:val="20"/>
              </w:rPr>
              <w:t>8.61%</w:t>
            </w:r>
          </w:p>
        </w:tc>
      </w:tr>
      <w:tr w:rsidR="00C31389" w14:paraId="373EE520" w14:textId="77777777">
        <w:trPr>
          <w:trHeight w:val="309"/>
        </w:trPr>
        <w:tc>
          <w:tcPr>
            <w:tcW w:w="3225" w:type="dxa"/>
            <w:tcBorders>
              <w:top w:val="single" w:color="D9D9D9" w:sz="2" w:space="0"/>
              <w:bottom w:val="single" w:color="D9D9D9" w:sz="2" w:space="0"/>
            </w:tcBorders>
          </w:tcPr>
          <w:p w:rsidR="00C31389" w:rsidRDefault="00561FBD" w14:paraId="109B82C2" w14:textId="77777777">
            <w:pPr>
              <w:pStyle w:val="TableParagraph"/>
              <w:ind w:left="122"/>
              <w:rPr>
                <w:sz w:val="20"/>
              </w:rPr>
            </w:pPr>
            <w:r>
              <w:rPr>
                <w:sz w:val="20"/>
              </w:rPr>
              <w:t>Ind</w:t>
            </w:r>
            <w:r>
              <w:rPr>
                <w:spacing w:val="-3"/>
                <w:sz w:val="20"/>
              </w:rPr>
              <w:t xml:space="preserve"> </w:t>
            </w:r>
            <w:r>
              <w:rPr>
                <w:sz w:val="20"/>
              </w:rPr>
              <w:t>–</w:t>
            </w:r>
            <w:r>
              <w:rPr>
                <w:spacing w:val="-3"/>
                <w:sz w:val="20"/>
              </w:rPr>
              <w:t xml:space="preserve"> </w:t>
            </w:r>
            <w:r>
              <w:rPr>
                <w:sz w:val="20"/>
              </w:rPr>
              <w:t>Industrial</w:t>
            </w:r>
            <w:r>
              <w:rPr>
                <w:spacing w:val="-2"/>
                <w:sz w:val="20"/>
              </w:rPr>
              <w:t xml:space="preserve"> Machinery</w:t>
            </w:r>
          </w:p>
        </w:tc>
        <w:tc>
          <w:tcPr>
            <w:tcW w:w="2433" w:type="dxa"/>
            <w:tcBorders>
              <w:top w:val="single" w:color="D9D9D9" w:sz="2" w:space="0"/>
              <w:bottom w:val="single" w:color="D9D9D9" w:sz="2" w:space="0"/>
            </w:tcBorders>
          </w:tcPr>
          <w:p w:rsidR="00C31389" w:rsidRDefault="00561FBD" w14:paraId="38F4002E" w14:textId="77777777">
            <w:pPr>
              <w:pStyle w:val="TableParagraph"/>
              <w:ind w:left="293" w:right="162"/>
              <w:jc w:val="center"/>
              <w:rPr>
                <w:sz w:val="20"/>
              </w:rPr>
            </w:pPr>
            <w:r>
              <w:rPr>
                <w:spacing w:val="-4"/>
                <w:sz w:val="20"/>
              </w:rPr>
              <w:t>2.90%</w:t>
            </w:r>
          </w:p>
        </w:tc>
        <w:tc>
          <w:tcPr>
            <w:tcW w:w="2528" w:type="dxa"/>
            <w:tcBorders>
              <w:top w:val="single" w:color="D9D9D9" w:sz="2" w:space="0"/>
              <w:bottom w:val="single" w:color="D9D9D9" w:sz="2" w:space="0"/>
            </w:tcBorders>
          </w:tcPr>
          <w:p w:rsidR="00C31389" w:rsidRDefault="00561FBD" w14:paraId="03B7A4EE" w14:textId="77777777">
            <w:pPr>
              <w:pStyle w:val="TableParagraph"/>
              <w:ind w:left="161" w:right="141"/>
              <w:jc w:val="center"/>
              <w:rPr>
                <w:sz w:val="20"/>
              </w:rPr>
            </w:pPr>
            <w:r>
              <w:rPr>
                <w:spacing w:val="-4"/>
                <w:sz w:val="20"/>
              </w:rPr>
              <w:t>5.62%</w:t>
            </w:r>
          </w:p>
        </w:tc>
      </w:tr>
      <w:tr w:rsidR="00C31389" w14:paraId="569F9E8A" w14:textId="77777777">
        <w:trPr>
          <w:trHeight w:val="310"/>
        </w:trPr>
        <w:tc>
          <w:tcPr>
            <w:tcW w:w="3225" w:type="dxa"/>
            <w:tcBorders>
              <w:top w:val="single" w:color="D9D9D9" w:sz="2" w:space="0"/>
              <w:bottom w:val="single" w:color="D9D9D9" w:sz="2" w:space="0"/>
            </w:tcBorders>
          </w:tcPr>
          <w:p w:rsidR="00C31389" w:rsidRDefault="00561FBD" w14:paraId="02E8CBFA" w14:textId="77777777">
            <w:pPr>
              <w:pStyle w:val="TableParagraph"/>
              <w:ind w:left="122"/>
              <w:rPr>
                <w:sz w:val="20"/>
              </w:rPr>
            </w:pPr>
            <w:r>
              <w:rPr>
                <w:sz w:val="20"/>
              </w:rPr>
              <w:t>Ind</w:t>
            </w:r>
            <w:r>
              <w:rPr>
                <w:spacing w:val="-4"/>
                <w:sz w:val="20"/>
              </w:rPr>
              <w:t xml:space="preserve"> </w:t>
            </w:r>
            <w:r>
              <w:rPr>
                <w:sz w:val="20"/>
              </w:rPr>
              <w:t>–</w:t>
            </w:r>
            <w:r>
              <w:rPr>
                <w:spacing w:val="-4"/>
                <w:sz w:val="20"/>
              </w:rPr>
              <w:t xml:space="preserve"> </w:t>
            </w:r>
            <w:r>
              <w:rPr>
                <w:sz w:val="20"/>
              </w:rPr>
              <w:t>Transportation</w:t>
            </w:r>
            <w:r>
              <w:rPr>
                <w:spacing w:val="-3"/>
                <w:sz w:val="20"/>
              </w:rPr>
              <w:t xml:space="preserve"> </w:t>
            </w:r>
            <w:r>
              <w:rPr>
                <w:spacing w:val="-2"/>
                <w:sz w:val="20"/>
              </w:rPr>
              <w:t>Equipment</w:t>
            </w:r>
          </w:p>
        </w:tc>
        <w:tc>
          <w:tcPr>
            <w:tcW w:w="2433" w:type="dxa"/>
            <w:tcBorders>
              <w:top w:val="single" w:color="D9D9D9" w:sz="2" w:space="0"/>
              <w:bottom w:val="single" w:color="D9D9D9" w:sz="2" w:space="0"/>
            </w:tcBorders>
          </w:tcPr>
          <w:p w:rsidR="00C31389" w:rsidRDefault="00561FBD" w14:paraId="37E5F702" w14:textId="77777777">
            <w:pPr>
              <w:pStyle w:val="TableParagraph"/>
              <w:ind w:left="293" w:right="162"/>
              <w:jc w:val="center"/>
              <w:rPr>
                <w:sz w:val="20"/>
              </w:rPr>
            </w:pPr>
            <w:r>
              <w:rPr>
                <w:spacing w:val="-4"/>
                <w:sz w:val="20"/>
              </w:rPr>
              <w:t>1.18%</w:t>
            </w:r>
          </w:p>
        </w:tc>
        <w:tc>
          <w:tcPr>
            <w:tcW w:w="2528" w:type="dxa"/>
            <w:tcBorders>
              <w:top w:val="single" w:color="D9D9D9" w:sz="2" w:space="0"/>
              <w:bottom w:val="single" w:color="D9D9D9" w:sz="2" w:space="0"/>
            </w:tcBorders>
          </w:tcPr>
          <w:p w:rsidR="00C31389" w:rsidRDefault="00561FBD" w14:paraId="0C41E29F" w14:textId="77777777">
            <w:pPr>
              <w:pStyle w:val="TableParagraph"/>
              <w:ind w:left="161" w:right="141"/>
              <w:jc w:val="center"/>
              <w:rPr>
                <w:sz w:val="20"/>
              </w:rPr>
            </w:pPr>
            <w:r>
              <w:rPr>
                <w:spacing w:val="-4"/>
                <w:sz w:val="20"/>
              </w:rPr>
              <w:t>1.94%</w:t>
            </w:r>
          </w:p>
        </w:tc>
      </w:tr>
      <w:tr w:rsidR="00C31389" w14:paraId="22083338" w14:textId="77777777">
        <w:trPr>
          <w:trHeight w:val="309"/>
        </w:trPr>
        <w:tc>
          <w:tcPr>
            <w:tcW w:w="3225" w:type="dxa"/>
            <w:tcBorders>
              <w:top w:val="single" w:color="D9D9D9" w:sz="2" w:space="0"/>
              <w:bottom w:val="single" w:color="D9D9D9" w:sz="2" w:space="0"/>
            </w:tcBorders>
          </w:tcPr>
          <w:p w:rsidR="00C31389" w:rsidRDefault="00561FBD" w14:paraId="4491F77D"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Paper</w:t>
            </w:r>
          </w:p>
        </w:tc>
        <w:tc>
          <w:tcPr>
            <w:tcW w:w="2433" w:type="dxa"/>
            <w:tcBorders>
              <w:top w:val="single" w:color="D9D9D9" w:sz="2" w:space="0"/>
              <w:bottom w:val="single" w:color="D9D9D9" w:sz="2" w:space="0"/>
            </w:tcBorders>
          </w:tcPr>
          <w:p w:rsidR="00C31389" w:rsidRDefault="00561FBD" w14:paraId="2ED04AB5" w14:textId="77777777">
            <w:pPr>
              <w:pStyle w:val="TableParagraph"/>
              <w:ind w:left="293" w:right="162"/>
              <w:jc w:val="center"/>
              <w:rPr>
                <w:sz w:val="20"/>
              </w:rPr>
            </w:pPr>
            <w:r>
              <w:rPr>
                <w:spacing w:val="-4"/>
                <w:sz w:val="20"/>
              </w:rPr>
              <w:t>0.71%</w:t>
            </w:r>
          </w:p>
        </w:tc>
        <w:tc>
          <w:tcPr>
            <w:tcW w:w="2528" w:type="dxa"/>
            <w:tcBorders>
              <w:top w:val="single" w:color="D9D9D9" w:sz="2" w:space="0"/>
              <w:bottom w:val="single" w:color="D9D9D9" w:sz="2" w:space="0"/>
            </w:tcBorders>
          </w:tcPr>
          <w:p w:rsidR="00C31389" w:rsidRDefault="00561FBD" w14:paraId="07CEC27F" w14:textId="77777777">
            <w:pPr>
              <w:pStyle w:val="TableParagraph"/>
              <w:ind w:left="161" w:right="141"/>
              <w:jc w:val="center"/>
              <w:rPr>
                <w:sz w:val="20"/>
              </w:rPr>
            </w:pPr>
            <w:r>
              <w:rPr>
                <w:spacing w:val="-4"/>
                <w:sz w:val="20"/>
              </w:rPr>
              <w:t>1.87%</w:t>
            </w:r>
          </w:p>
        </w:tc>
      </w:tr>
      <w:tr w:rsidR="00C31389" w14:paraId="1C9F5311" w14:textId="77777777">
        <w:trPr>
          <w:trHeight w:val="310"/>
        </w:trPr>
        <w:tc>
          <w:tcPr>
            <w:tcW w:w="3225" w:type="dxa"/>
            <w:tcBorders>
              <w:top w:val="single" w:color="D9D9D9" w:sz="2" w:space="0"/>
              <w:bottom w:val="single" w:color="D9D9D9" w:sz="2" w:space="0"/>
            </w:tcBorders>
          </w:tcPr>
          <w:p w:rsidR="00C31389" w:rsidRDefault="00561FBD" w14:paraId="2FA19DD9" w14:textId="77777777">
            <w:pPr>
              <w:pStyle w:val="TableParagraph"/>
              <w:ind w:left="122"/>
              <w:rPr>
                <w:sz w:val="20"/>
              </w:rPr>
            </w:pPr>
            <w:r>
              <w:rPr>
                <w:sz w:val="20"/>
              </w:rPr>
              <w:t>Ind</w:t>
            </w:r>
            <w:r>
              <w:rPr>
                <w:spacing w:val="-3"/>
                <w:sz w:val="20"/>
              </w:rPr>
              <w:t xml:space="preserve"> </w:t>
            </w:r>
            <w:r>
              <w:rPr>
                <w:sz w:val="20"/>
              </w:rPr>
              <w:t>–</w:t>
            </w:r>
            <w:r>
              <w:rPr>
                <w:spacing w:val="-2"/>
                <w:sz w:val="20"/>
              </w:rPr>
              <w:t xml:space="preserve"> </w:t>
            </w:r>
            <w:r>
              <w:rPr>
                <w:sz w:val="20"/>
              </w:rPr>
              <w:t>Printing</w:t>
            </w:r>
            <w:r>
              <w:rPr>
                <w:spacing w:val="-3"/>
                <w:sz w:val="20"/>
              </w:rPr>
              <w:t xml:space="preserve"> </w:t>
            </w:r>
            <w:r>
              <w:rPr>
                <w:sz w:val="20"/>
              </w:rPr>
              <w:t>&amp;</w:t>
            </w:r>
            <w:r>
              <w:rPr>
                <w:spacing w:val="-2"/>
                <w:sz w:val="20"/>
              </w:rPr>
              <w:t xml:space="preserve"> Publishing</w:t>
            </w:r>
          </w:p>
        </w:tc>
        <w:tc>
          <w:tcPr>
            <w:tcW w:w="2433" w:type="dxa"/>
            <w:tcBorders>
              <w:top w:val="single" w:color="D9D9D9" w:sz="2" w:space="0"/>
              <w:bottom w:val="single" w:color="D9D9D9" w:sz="2" w:space="0"/>
            </w:tcBorders>
          </w:tcPr>
          <w:p w:rsidR="00C31389" w:rsidRDefault="00561FBD" w14:paraId="663151A4" w14:textId="77777777">
            <w:pPr>
              <w:pStyle w:val="TableParagraph"/>
              <w:ind w:left="293" w:right="162"/>
              <w:jc w:val="center"/>
              <w:rPr>
                <w:sz w:val="20"/>
              </w:rPr>
            </w:pPr>
            <w:r>
              <w:rPr>
                <w:spacing w:val="-4"/>
                <w:sz w:val="20"/>
              </w:rPr>
              <w:t>0.99%</w:t>
            </w:r>
          </w:p>
        </w:tc>
        <w:tc>
          <w:tcPr>
            <w:tcW w:w="2528" w:type="dxa"/>
            <w:tcBorders>
              <w:top w:val="single" w:color="D9D9D9" w:sz="2" w:space="0"/>
              <w:bottom w:val="single" w:color="D9D9D9" w:sz="2" w:space="0"/>
            </w:tcBorders>
          </w:tcPr>
          <w:p w:rsidR="00C31389" w:rsidRDefault="00561FBD" w14:paraId="0D15E92E" w14:textId="77777777">
            <w:pPr>
              <w:pStyle w:val="TableParagraph"/>
              <w:ind w:left="161" w:right="141"/>
              <w:jc w:val="center"/>
              <w:rPr>
                <w:sz w:val="20"/>
              </w:rPr>
            </w:pPr>
            <w:r>
              <w:rPr>
                <w:spacing w:val="-4"/>
                <w:sz w:val="20"/>
              </w:rPr>
              <w:t>1.02%</w:t>
            </w:r>
          </w:p>
        </w:tc>
      </w:tr>
      <w:tr w:rsidR="00C31389" w14:paraId="5D693AA1" w14:textId="77777777">
        <w:trPr>
          <w:trHeight w:val="309"/>
        </w:trPr>
        <w:tc>
          <w:tcPr>
            <w:tcW w:w="3225" w:type="dxa"/>
            <w:tcBorders>
              <w:top w:val="single" w:color="D9D9D9" w:sz="2" w:space="0"/>
              <w:bottom w:val="single" w:color="D9D9D9" w:sz="2" w:space="0"/>
            </w:tcBorders>
          </w:tcPr>
          <w:p w:rsidR="00C31389" w:rsidRDefault="00561FBD" w14:paraId="27428659" w14:textId="77777777">
            <w:pPr>
              <w:pStyle w:val="TableParagraph"/>
              <w:ind w:left="122"/>
              <w:rPr>
                <w:sz w:val="20"/>
              </w:rPr>
            </w:pPr>
            <w:r>
              <w:rPr>
                <w:sz w:val="20"/>
              </w:rPr>
              <w:t>Ind</w:t>
            </w:r>
            <w:r>
              <w:rPr>
                <w:spacing w:val="-2"/>
                <w:sz w:val="20"/>
              </w:rPr>
              <w:t xml:space="preserve"> </w:t>
            </w:r>
            <w:r>
              <w:rPr>
                <w:sz w:val="20"/>
              </w:rPr>
              <w:t>–</w:t>
            </w:r>
            <w:r>
              <w:rPr>
                <w:spacing w:val="-1"/>
                <w:sz w:val="20"/>
              </w:rPr>
              <w:t xml:space="preserve"> </w:t>
            </w:r>
            <w:r>
              <w:rPr>
                <w:spacing w:val="-2"/>
                <w:sz w:val="20"/>
              </w:rPr>
              <w:t>Textiles</w:t>
            </w:r>
          </w:p>
        </w:tc>
        <w:tc>
          <w:tcPr>
            <w:tcW w:w="2433" w:type="dxa"/>
            <w:tcBorders>
              <w:top w:val="single" w:color="D9D9D9" w:sz="2" w:space="0"/>
              <w:bottom w:val="single" w:color="D9D9D9" w:sz="2" w:space="0"/>
            </w:tcBorders>
          </w:tcPr>
          <w:p w:rsidR="00C31389" w:rsidRDefault="00561FBD" w14:paraId="3E28CFA3" w14:textId="77777777">
            <w:pPr>
              <w:pStyle w:val="TableParagraph"/>
              <w:ind w:left="293" w:right="162"/>
              <w:jc w:val="center"/>
              <w:rPr>
                <w:sz w:val="20"/>
              </w:rPr>
            </w:pPr>
            <w:r>
              <w:rPr>
                <w:spacing w:val="-4"/>
                <w:sz w:val="20"/>
              </w:rPr>
              <w:t>1.42%</w:t>
            </w:r>
          </w:p>
        </w:tc>
        <w:tc>
          <w:tcPr>
            <w:tcW w:w="2528" w:type="dxa"/>
            <w:tcBorders>
              <w:top w:val="single" w:color="D9D9D9" w:sz="2" w:space="0"/>
              <w:bottom w:val="single" w:color="D9D9D9" w:sz="2" w:space="0"/>
            </w:tcBorders>
          </w:tcPr>
          <w:p w:rsidR="00C31389" w:rsidRDefault="00561FBD" w14:paraId="3EB268BF" w14:textId="77777777">
            <w:pPr>
              <w:pStyle w:val="TableParagraph"/>
              <w:ind w:left="161" w:right="141"/>
              <w:jc w:val="center"/>
              <w:rPr>
                <w:sz w:val="20"/>
              </w:rPr>
            </w:pPr>
            <w:r>
              <w:rPr>
                <w:spacing w:val="-4"/>
                <w:sz w:val="20"/>
              </w:rPr>
              <w:t>2.85%</w:t>
            </w:r>
          </w:p>
        </w:tc>
      </w:tr>
      <w:tr w:rsidR="00C31389" w14:paraId="2976DC94" w14:textId="77777777">
        <w:trPr>
          <w:trHeight w:val="310"/>
        </w:trPr>
        <w:tc>
          <w:tcPr>
            <w:tcW w:w="3225" w:type="dxa"/>
            <w:tcBorders>
              <w:top w:val="single" w:color="D9D9D9" w:sz="2" w:space="0"/>
              <w:bottom w:val="single" w:color="000000" w:sz="8" w:space="0"/>
            </w:tcBorders>
          </w:tcPr>
          <w:p w:rsidR="00C31389" w:rsidRDefault="00561FBD" w14:paraId="28FB2B20" w14:textId="77777777">
            <w:pPr>
              <w:pStyle w:val="TableParagraph"/>
              <w:ind w:left="122"/>
              <w:rPr>
                <w:sz w:val="20"/>
              </w:rPr>
            </w:pPr>
            <w:r>
              <w:rPr>
                <w:sz w:val="20"/>
              </w:rPr>
              <w:t>Ind</w:t>
            </w:r>
            <w:r>
              <w:rPr>
                <w:spacing w:val="-4"/>
                <w:sz w:val="20"/>
              </w:rPr>
              <w:t xml:space="preserve"> </w:t>
            </w:r>
            <w:r>
              <w:rPr>
                <w:sz w:val="20"/>
              </w:rPr>
              <w:t>–</w:t>
            </w:r>
            <w:r>
              <w:rPr>
                <w:spacing w:val="-2"/>
                <w:sz w:val="20"/>
              </w:rPr>
              <w:t xml:space="preserve"> </w:t>
            </w:r>
            <w:r>
              <w:rPr>
                <w:sz w:val="20"/>
              </w:rPr>
              <w:t>Lumber</w:t>
            </w:r>
            <w:r>
              <w:rPr>
                <w:spacing w:val="-3"/>
                <w:sz w:val="20"/>
              </w:rPr>
              <w:t xml:space="preserve"> </w:t>
            </w:r>
            <w:r>
              <w:rPr>
                <w:sz w:val="20"/>
              </w:rPr>
              <w:t>&amp;</w:t>
            </w:r>
            <w:r>
              <w:rPr>
                <w:spacing w:val="-2"/>
                <w:sz w:val="20"/>
              </w:rPr>
              <w:t xml:space="preserve"> Furniture</w:t>
            </w:r>
          </w:p>
        </w:tc>
        <w:tc>
          <w:tcPr>
            <w:tcW w:w="2433" w:type="dxa"/>
            <w:tcBorders>
              <w:top w:val="single" w:color="D9D9D9" w:sz="2" w:space="0"/>
              <w:bottom w:val="single" w:color="000000" w:sz="8" w:space="0"/>
            </w:tcBorders>
          </w:tcPr>
          <w:p w:rsidR="00C31389" w:rsidRDefault="00561FBD" w14:paraId="46B22F09" w14:textId="77777777">
            <w:pPr>
              <w:pStyle w:val="TableParagraph"/>
              <w:ind w:left="293" w:right="162"/>
              <w:jc w:val="center"/>
              <w:rPr>
                <w:sz w:val="20"/>
              </w:rPr>
            </w:pPr>
            <w:r>
              <w:rPr>
                <w:spacing w:val="-4"/>
                <w:sz w:val="20"/>
              </w:rPr>
              <w:t>1.28%</w:t>
            </w:r>
          </w:p>
        </w:tc>
        <w:tc>
          <w:tcPr>
            <w:tcW w:w="2528" w:type="dxa"/>
            <w:tcBorders>
              <w:top w:val="single" w:color="D9D9D9" w:sz="2" w:space="0"/>
              <w:bottom w:val="single" w:color="000000" w:sz="8" w:space="0"/>
            </w:tcBorders>
          </w:tcPr>
          <w:p w:rsidR="00C31389" w:rsidRDefault="00561FBD" w14:paraId="3CC33FE4" w14:textId="77777777">
            <w:pPr>
              <w:pStyle w:val="TableParagraph"/>
              <w:ind w:left="161" w:right="141"/>
              <w:jc w:val="center"/>
              <w:rPr>
                <w:sz w:val="20"/>
              </w:rPr>
            </w:pPr>
            <w:r>
              <w:rPr>
                <w:spacing w:val="-4"/>
                <w:sz w:val="20"/>
              </w:rPr>
              <w:t>2.74%</w:t>
            </w:r>
          </w:p>
        </w:tc>
      </w:tr>
    </w:tbl>
    <w:p w:rsidR="00C31389" w:rsidRDefault="00561FBD" w14:paraId="4FF8EFEF" w14:textId="77777777">
      <w:pPr>
        <w:pStyle w:val="BodyText"/>
        <w:spacing w:before="3"/>
        <w:rPr>
          <w:b/>
          <w:sz w:val="18"/>
        </w:rPr>
      </w:pPr>
      <w:r>
        <w:rPr>
          <w:noProof/>
        </w:rPr>
        <mc:AlternateContent>
          <mc:Choice Requires="wps">
            <w:drawing>
              <wp:anchor distT="0" distB="0" distL="0" distR="0" simplePos="0" relativeHeight="487741440" behindDoc="1" locked="0" layoutInCell="1" allowOverlap="1" wp14:editId="0C3A3D3E" wp14:anchorId="0C895979">
                <wp:simplePos x="0" y="0"/>
                <wp:positionH relativeFrom="page">
                  <wp:posOffset>914400</wp:posOffset>
                </wp:positionH>
                <wp:positionV relativeFrom="paragraph">
                  <wp:posOffset>149086</wp:posOffset>
                </wp:positionV>
                <wp:extent cx="1828800" cy="6985"/>
                <wp:effectExtent l="0" t="0" r="0" b="0"/>
                <wp:wrapTopAndBottom/>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43" style="position:absolute;margin-left:1in;margin-top:11.75pt;width:2in;height:.55pt;z-index:-15575040;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" w14:anchorId="11746631">
                <v:path arrowok="t"/>
                <w10:wrap type="topAndBottom" anchorx="page"/>
              </v:shape>
            </w:pict>
          </mc:Fallback>
        </mc:AlternateContent>
      </w:r>
    </w:p>
    <w:p w:rsidR="00C31389" w:rsidRDefault="00561FBD" w14:paraId="1C197952" w14:textId="77777777">
      <w:pPr>
        <w:spacing w:before="89"/>
        <w:ind w:left="480"/>
        <w:rPr>
          <w:sz w:val="18"/>
        </w:rPr>
      </w:pPr>
      <w:bookmarkStart w:name="_bookmark494" w:id="641"/>
      <w:bookmarkEnd w:id="641"/>
      <w:r>
        <w:rPr>
          <w:position w:val="6"/>
          <w:sz w:val="12"/>
        </w:rPr>
        <w:t>190</w:t>
      </w:r>
      <w:r>
        <w:rPr>
          <w:spacing w:val="14"/>
          <w:position w:val="6"/>
          <w:sz w:val="12"/>
        </w:rPr>
        <w:t xml:space="preserve"> </w:t>
      </w:r>
      <w:r>
        <w:rPr>
          <w:sz w:val="18"/>
        </w:rPr>
        <w:t>Energy</w:t>
      </w:r>
      <w:r>
        <w:rPr>
          <w:spacing w:val="-2"/>
          <w:sz w:val="18"/>
        </w:rPr>
        <w:t xml:space="preserve"> </w:t>
      </w:r>
      <w:r>
        <w:rPr>
          <w:sz w:val="18"/>
        </w:rPr>
        <w:t>use</w:t>
      </w:r>
      <w:r>
        <w:rPr>
          <w:spacing w:val="-2"/>
          <w:sz w:val="18"/>
        </w:rPr>
        <w:t xml:space="preserve"> </w:t>
      </w:r>
      <w:r>
        <w:rPr>
          <w:sz w:val="18"/>
        </w:rPr>
        <w:t>trend</w:t>
      </w:r>
      <w:r>
        <w:rPr>
          <w:spacing w:val="-3"/>
          <w:sz w:val="18"/>
        </w:rPr>
        <w:t xml:space="preserve"> </w:t>
      </w:r>
      <w:r>
        <w:rPr>
          <w:sz w:val="18"/>
        </w:rPr>
        <w:t>analysis</w:t>
      </w:r>
      <w:r>
        <w:rPr>
          <w:spacing w:val="-2"/>
          <w:sz w:val="18"/>
        </w:rPr>
        <w:t xml:space="preserve"> </w:t>
      </w:r>
      <w:r>
        <w:rPr>
          <w:sz w:val="18"/>
        </w:rPr>
        <w:t>provided</w:t>
      </w:r>
      <w:r>
        <w:rPr>
          <w:spacing w:val="-2"/>
          <w:sz w:val="18"/>
        </w:rPr>
        <w:t xml:space="preserve"> </w:t>
      </w:r>
      <w:r>
        <w:rPr>
          <w:sz w:val="18"/>
        </w:rPr>
        <w:t>by</w:t>
      </w:r>
      <w:r>
        <w:rPr>
          <w:spacing w:val="-2"/>
          <w:sz w:val="18"/>
        </w:rPr>
        <w:t xml:space="preserve"> </w:t>
      </w:r>
      <w:r>
        <w:rPr>
          <w:spacing w:val="-4"/>
          <w:sz w:val="18"/>
        </w:rPr>
        <w:t>CEC.</w:t>
      </w:r>
    </w:p>
    <w:p w:rsidR="00C31389" w:rsidRDefault="00561FBD" w14:paraId="184FFBEF" w14:textId="77777777">
      <w:pPr>
        <w:spacing w:before="36"/>
        <w:ind w:left="480"/>
        <w:rPr>
          <w:sz w:val="18"/>
        </w:rPr>
      </w:pPr>
      <w:bookmarkStart w:name="_bookmark495" w:id="642"/>
      <w:bookmarkEnd w:id="642"/>
      <w:r>
        <w:rPr>
          <w:position w:val="6"/>
          <w:sz w:val="12"/>
        </w:rPr>
        <w:t>191</w:t>
      </w:r>
      <w:r>
        <w:rPr>
          <w:spacing w:val="12"/>
          <w:position w:val="6"/>
          <w:sz w:val="12"/>
        </w:rPr>
        <w:t xml:space="preserve"> </w:t>
      </w:r>
      <w:r>
        <w:rPr>
          <w:sz w:val="18"/>
        </w:rPr>
        <w:t>Sirkin,</w:t>
      </w:r>
      <w:r>
        <w:rPr>
          <w:spacing w:val="-2"/>
          <w:sz w:val="18"/>
        </w:rPr>
        <w:t xml:space="preserve"> </w:t>
      </w:r>
      <w:r>
        <w:rPr>
          <w:sz w:val="18"/>
        </w:rPr>
        <w:t>H.</w:t>
      </w:r>
      <w:r>
        <w:rPr>
          <w:spacing w:val="-3"/>
          <w:sz w:val="18"/>
        </w:rPr>
        <w:t xml:space="preserve"> </w:t>
      </w:r>
      <w:r>
        <w:rPr>
          <w:sz w:val="18"/>
        </w:rPr>
        <w:t>et</w:t>
      </w:r>
      <w:r>
        <w:rPr>
          <w:spacing w:val="-2"/>
          <w:sz w:val="18"/>
        </w:rPr>
        <w:t xml:space="preserve"> </w:t>
      </w:r>
      <w:r>
        <w:rPr>
          <w:sz w:val="18"/>
        </w:rPr>
        <w:t>al.</w:t>
      </w:r>
      <w:r>
        <w:rPr>
          <w:spacing w:val="-2"/>
          <w:sz w:val="18"/>
        </w:rPr>
        <w:t xml:space="preserve"> </w:t>
      </w:r>
      <w:r>
        <w:rPr>
          <w:i/>
          <w:sz w:val="18"/>
        </w:rPr>
        <w:t>U.S.</w:t>
      </w:r>
      <w:r>
        <w:rPr>
          <w:i/>
          <w:spacing w:val="-2"/>
          <w:sz w:val="18"/>
        </w:rPr>
        <w:t xml:space="preserve"> </w:t>
      </w:r>
      <w:r>
        <w:rPr>
          <w:i/>
          <w:sz w:val="18"/>
        </w:rPr>
        <w:t>Manufacturing</w:t>
      </w:r>
      <w:r>
        <w:rPr>
          <w:i/>
          <w:spacing w:val="-4"/>
          <w:sz w:val="18"/>
        </w:rPr>
        <w:t xml:space="preserve"> </w:t>
      </w:r>
      <w:r>
        <w:rPr>
          <w:i/>
          <w:sz w:val="18"/>
        </w:rPr>
        <w:t>Nears</w:t>
      </w:r>
      <w:r>
        <w:rPr>
          <w:i/>
          <w:spacing w:val="-2"/>
          <w:sz w:val="18"/>
        </w:rPr>
        <w:t xml:space="preserve"> </w:t>
      </w:r>
      <w:r>
        <w:rPr>
          <w:i/>
          <w:sz w:val="18"/>
        </w:rPr>
        <w:t>the</w:t>
      </w:r>
      <w:r>
        <w:rPr>
          <w:i/>
          <w:spacing w:val="-3"/>
          <w:sz w:val="18"/>
        </w:rPr>
        <w:t xml:space="preserve"> </w:t>
      </w:r>
      <w:r>
        <w:rPr>
          <w:i/>
          <w:sz w:val="18"/>
        </w:rPr>
        <w:t>Tipping</w:t>
      </w:r>
      <w:r>
        <w:rPr>
          <w:i/>
          <w:spacing w:val="-4"/>
          <w:sz w:val="18"/>
        </w:rPr>
        <w:t xml:space="preserve"> </w:t>
      </w:r>
      <w:r>
        <w:rPr>
          <w:i/>
          <w:sz w:val="18"/>
        </w:rPr>
        <w:t>Point</w:t>
      </w:r>
      <w:r>
        <w:rPr>
          <w:sz w:val="18"/>
        </w:rPr>
        <w:t>,</w:t>
      </w:r>
      <w:r>
        <w:rPr>
          <w:spacing w:val="-2"/>
          <w:sz w:val="18"/>
        </w:rPr>
        <w:t xml:space="preserve"> </w:t>
      </w:r>
      <w:r>
        <w:rPr>
          <w:sz w:val="18"/>
        </w:rPr>
        <w:t>The</w:t>
      </w:r>
      <w:r>
        <w:rPr>
          <w:spacing w:val="-3"/>
          <w:sz w:val="18"/>
        </w:rPr>
        <w:t xml:space="preserve"> </w:t>
      </w:r>
      <w:r>
        <w:rPr>
          <w:sz w:val="18"/>
        </w:rPr>
        <w:t>Boston</w:t>
      </w:r>
      <w:r>
        <w:rPr>
          <w:spacing w:val="-4"/>
          <w:sz w:val="18"/>
        </w:rPr>
        <w:t xml:space="preserve"> </w:t>
      </w:r>
      <w:r>
        <w:rPr>
          <w:sz w:val="18"/>
        </w:rPr>
        <w:t>Consulting</w:t>
      </w:r>
      <w:r>
        <w:rPr>
          <w:spacing w:val="-3"/>
          <w:sz w:val="18"/>
        </w:rPr>
        <w:t xml:space="preserve"> </w:t>
      </w:r>
      <w:r>
        <w:rPr>
          <w:sz w:val="18"/>
        </w:rPr>
        <w:t>Group,</w:t>
      </w:r>
      <w:r>
        <w:rPr>
          <w:spacing w:val="-2"/>
          <w:sz w:val="18"/>
        </w:rPr>
        <w:t xml:space="preserve"> </w:t>
      </w:r>
      <w:r>
        <w:rPr>
          <w:sz w:val="18"/>
        </w:rPr>
        <w:t>March</w:t>
      </w:r>
      <w:r>
        <w:rPr>
          <w:spacing w:val="-3"/>
          <w:sz w:val="18"/>
        </w:rPr>
        <w:t xml:space="preserve"> </w:t>
      </w:r>
      <w:r>
        <w:rPr>
          <w:spacing w:val="-2"/>
          <w:sz w:val="18"/>
        </w:rPr>
        <w:t>2012.</w:t>
      </w:r>
    </w:p>
    <w:p w:rsidR="00C31389" w:rsidRDefault="00561FBD" w14:paraId="4F80BBB1" w14:textId="77777777">
      <w:pPr>
        <w:spacing w:before="37"/>
        <w:ind w:left="480"/>
        <w:rPr>
          <w:sz w:val="18"/>
        </w:rPr>
      </w:pPr>
      <w:bookmarkStart w:name="_bookmark496" w:id="643"/>
      <w:bookmarkEnd w:id="643"/>
      <w:r>
        <w:rPr>
          <w:position w:val="6"/>
          <w:sz w:val="12"/>
        </w:rPr>
        <w:t>192</w:t>
      </w:r>
      <w:r>
        <w:rPr>
          <w:spacing w:val="13"/>
          <w:position w:val="6"/>
          <w:sz w:val="12"/>
        </w:rPr>
        <w:t xml:space="preserve"> </w:t>
      </w:r>
      <w:r>
        <w:rPr>
          <w:sz w:val="18"/>
        </w:rPr>
        <w:t>Electric</w:t>
      </w:r>
      <w:r>
        <w:rPr>
          <w:spacing w:val="-2"/>
          <w:sz w:val="18"/>
        </w:rPr>
        <w:t xml:space="preserve"> </w:t>
      </w:r>
      <w:r>
        <w:rPr>
          <w:sz w:val="18"/>
        </w:rPr>
        <w:t>(GWh)</w:t>
      </w:r>
      <w:r>
        <w:rPr>
          <w:spacing w:val="-2"/>
          <w:sz w:val="18"/>
        </w:rPr>
        <w:t xml:space="preserve"> </w:t>
      </w:r>
      <w:r>
        <w:rPr>
          <w:sz w:val="18"/>
        </w:rPr>
        <w:t>and</w:t>
      </w:r>
      <w:r>
        <w:rPr>
          <w:spacing w:val="-3"/>
          <w:sz w:val="18"/>
        </w:rPr>
        <w:t xml:space="preserve"> </w:t>
      </w:r>
      <w:r>
        <w:rPr>
          <w:sz w:val="18"/>
        </w:rPr>
        <w:t>natural</w:t>
      </w:r>
      <w:r>
        <w:rPr>
          <w:spacing w:val="-2"/>
          <w:sz w:val="18"/>
        </w:rPr>
        <w:t xml:space="preserve"> </w:t>
      </w:r>
      <w:r>
        <w:rPr>
          <w:sz w:val="18"/>
        </w:rPr>
        <w:t>gas</w:t>
      </w:r>
      <w:r>
        <w:rPr>
          <w:spacing w:val="-2"/>
          <w:sz w:val="18"/>
        </w:rPr>
        <w:t xml:space="preserve"> </w:t>
      </w:r>
      <w:r>
        <w:rPr>
          <w:sz w:val="18"/>
        </w:rPr>
        <w:t>(therms)</w:t>
      </w:r>
      <w:r>
        <w:rPr>
          <w:spacing w:val="-2"/>
          <w:sz w:val="18"/>
        </w:rPr>
        <w:t xml:space="preserve"> </w:t>
      </w:r>
      <w:r>
        <w:rPr>
          <w:sz w:val="18"/>
        </w:rPr>
        <w:t>consumption</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2019</w:t>
      </w:r>
      <w:r>
        <w:rPr>
          <w:spacing w:val="-3"/>
          <w:sz w:val="18"/>
        </w:rPr>
        <w:t xml:space="preserve"> </w:t>
      </w:r>
      <w:r>
        <w:rPr>
          <w:sz w:val="18"/>
        </w:rPr>
        <w:t>IEPR</w:t>
      </w:r>
      <w:r>
        <w:rPr>
          <w:spacing w:val="-1"/>
          <w:sz w:val="18"/>
        </w:rPr>
        <w:t xml:space="preserve"> </w:t>
      </w:r>
      <w:r>
        <w:rPr>
          <w:spacing w:val="-2"/>
          <w:sz w:val="18"/>
        </w:rPr>
        <w:t>forecast.</w:t>
      </w:r>
    </w:p>
    <w:p w:rsidR="00C31389" w:rsidRDefault="00C31389" w14:paraId="18AD542A" w14:textId="77777777">
      <w:pPr>
        <w:rPr>
          <w:sz w:val="18"/>
        </w:rPr>
        <w:sectPr w:rsidR="00C31389">
          <w:pgSz w:w="11910" w:h="16840"/>
          <w:pgMar w:top="1380" w:right="1020" w:bottom="1120" w:left="960" w:header="397" w:footer="938" w:gutter="0"/>
          <w:cols w:space="720"/>
        </w:sectPr>
      </w:pPr>
    </w:p>
    <w:p w:rsidR="00C31389" w:rsidRDefault="00C31389" w14:paraId="4C828116" w14:textId="77777777">
      <w:pPr>
        <w:pStyle w:val="BodyText"/>
        <w:spacing w:before="2"/>
        <w:rPr>
          <w:sz w:val="21"/>
        </w:rPr>
      </w:pPr>
    </w:p>
    <w:tbl>
      <w:tblPr>
        <w:tblW w:w="0" w:type="auto"/>
        <w:tblInd w:w="903" w:type="dxa"/>
        <w:tblLayout w:type="fixed"/>
        <w:tblCellMar>
          <w:left w:w="0" w:type="dxa"/>
          <w:right w:w="0" w:type="dxa"/>
        </w:tblCellMar>
        <w:tblLook w:val="01E0" w:firstRow="1" w:lastRow="1" w:firstColumn="1" w:lastColumn="1" w:noHBand="0" w:noVBand="0"/>
      </w:tblPr>
      <w:tblGrid>
        <w:gridCol w:w="3340"/>
        <w:gridCol w:w="2318"/>
        <w:gridCol w:w="2528"/>
      </w:tblGrid>
      <w:tr w:rsidR="00C31389" w14:paraId="5D282C36" w14:textId="77777777">
        <w:trPr>
          <w:trHeight w:val="319"/>
        </w:trPr>
        <w:tc>
          <w:tcPr>
            <w:tcW w:w="3340" w:type="dxa"/>
            <w:shd w:val="clear" w:color="auto" w:fill="92D400"/>
          </w:tcPr>
          <w:p w:rsidR="00C31389" w:rsidRDefault="00561FBD" w14:paraId="459EFAD0" w14:textId="77777777">
            <w:pPr>
              <w:pStyle w:val="TableParagraph"/>
              <w:ind w:left="122"/>
              <w:rPr>
                <w:b/>
                <w:sz w:val="20"/>
              </w:rPr>
            </w:pPr>
            <w:r>
              <w:rPr>
                <w:b/>
                <w:spacing w:val="-2"/>
                <w:sz w:val="20"/>
              </w:rPr>
              <w:t>Segment</w:t>
            </w:r>
          </w:p>
        </w:tc>
        <w:tc>
          <w:tcPr>
            <w:tcW w:w="2318" w:type="dxa"/>
            <w:shd w:val="clear" w:color="auto" w:fill="92D400"/>
          </w:tcPr>
          <w:p w:rsidR="00C31389" w:rsidRDefault="00561FBD" w14:paraId="7F08E4E3" w14:textId="77777777">
            <w:pPr>
              <w:pStyle w:val="TableParagraph"/>
              <w:ind w:left="178" w:right="162"/>
              <w:jc w:val="center"/>
              <w:rPr>
                <w:b/>
                <w:sz w:val="20"/>
              </w:rPr>
            </w:pPr>
            <w:r>
              <w:rPr>
                <w:b/>
                <w:sz w:val="20"/>
              </w:rPr>
              <w:t>UES</w:t>
            </w:r>
            <w:r>
              <w:rPr>
                <w:b/>
                <w:spacing w:val="-5"/>
                <w:sz w:val="20"/>
              </w:rPr>
              <w:t xml:space="preserve"> </w:t>
            </w:r>
            <w:r>
              <w:rPr>
                <w:b/>
                <w:sz w:val="20"/>
              </w:rPr>
              <w:t>Multiplier</w:t>
            </w:r>
            <w:r>
              <w:rPr>
                <w:b/>
                <w:spacing w:val="-5"/>
                <w:sz w:val="20"/>
              </w:rPr>
              <w:t xml:space="preserve"> </w:t>
            </w:r>
            <w:r>
              <w:rPr>
                <w:b/>
                <w:spacing w:val="-4"/>
                <w:sz w:val="20"/>
              </w:rPr>
              <w:t>(kWh)</w:t>
            </w:r>
          </w:p>
        </w:tc>
        <w:tc>
          <w:tcPr>
            <w:tcW w:w="2528" w:type="dxa"/>
            <w:shd w:val="clear" w:color="auto" w:fill="92D400"/>
          </w:tcPr>
          <w:p w:rsidR="00C31389" w:rsidRDefault="00561FBD" w14:paraId="1341C4D0" w14:textId="77777777">
            <w:pPr>
              <w:pStyle w:val="TableParagraph"/>
              <w:ind w:left="161" w:right="141"/>
              <w:jc w:val="center"/>
              <w:rPr>
                <w:b/>
                <w:sz w:val="20"/>
              </w:rPr>
            </w:pPr>
            <w:r>
              <w:rPr>
                <w:b/>
                <w:sz w:val="20"/>
              </w:rPr>
              <w:t>UES</w:t>
            </w:r>
            <w:r>
              <w:rPr>
                <w:b/>
                <w:spacing w:val="-5"/>
                <w:sz w:val="20"/>
              </w:rPr>
              <w:t xml:space="preserve"> </w:t>
            </w:r>
            <w:r>
              <w:rPr>
                <w:b/>
                <w:sz w:val="20"/>
              </w:rPr>
              <w:t>Multiplier</w:t>
            </w:r>
            <w:r>
              <w:rPr>
                <w:b/>
                <w:spacing w:val="-5"/>
                <w:sz w:val="20"/>
              </w:rPr>
              <w:t xml:space="preserve"> </w:t>
            </w:r>
            <w:r>
              <w:rPr>
                <w:b/>
                <w:spacing w:val="-2"/>
                <w:sz w:val="20"/>
              </w:rPr>
              <w:t>(therms)</w:t>
            </w:r>
          </w:p>
        </w:tc>
      </w:tr>
      <w:tr w:rsidR="00C31389" w14:paraId="570F8BD8" w14:textId="77777777">
        <w:trPr>
          <w:trHeight w:val="305"/>
        </w:trPr>
        <w:tc>
          <w:tcPr>
            <w:tcW w:w="3340" w:type="dxa"/>
            <w:tcBorders>
              <w:bottom w:val="single" w:color="D9D9D9" w:sz="2" w:space="0"/>
            </w:tcBorders>
          </w:tcPr>
          <w:p w:rsidR="00C31389" w:rsidRDefault="00561FBD" w14:paraId="69350CD9" w14:textId="77777777">
            <w:pPr>
              <w:pStyle w:val="TableParagraph"/>
              <w:spacing w:before="35"/>
              <w:ind w:left="122"/>
              <w:rPr>
                <w:sz w:val="20"/>
              </w:rPr>
            </w:pPr>
            <w:r>
              <w:rPr>
                <w:sz w:val="20"/>
              </w:rPr>
              <w:t>Ind</w:t>
            </w:r>
            <w:r>
              <w:rPr>
                <w:spacing w:val="-2"/>
                <w:sz w:val="20"/>
              </w:rPr>
              <w:t xml:space="preserve"> </w:t>
            </w:r>
            <w:r>
              <w:rPr>
                <w:sz w:val="20"/>
              </w:rPr>
              <w:t>–</w:t>
            </w:r>
            <w:r>
              <w:rPr>
                <w:spacing w:val="-2"/>
                <w:sz w:val="20"/>
              </w:rPr>
              <w:t xml:space="preserve"> </w:t>
            </w:r>
            <w:r>
              <w:rPr>
                <w:sz w:val="20"/>
              </w:rPr>
              <w:t>All</w:t>
            </w:r>
            <w:r>
              <w:rPr>
                <w:spacing w:val="-2"/>
                <w:sz w:val="20"/>
              </w:rPr>
              <w:t xml:space="preserve"> </w:t>
            </w:r>
            <w:r>
              <w:rPr>
                <w:sz w:val="20"/>
              </w:rPr>
              <w:t>Other</w:t>
            </w:r>
            <w:r>
              <w:rPr>
                <w:spacing w:val="-1"/>
                <w:sz w:val="20"/>
              </w:rPr>
              <w:t xml:space="preserve"> </w:t>
            </w:r>
            <w:r>
              <w:rPr>
                <w:spacing w:val="-2"/>
                <w:sz w:val="20"/>
              </w:rPr>
              <w:t>Industrial</w:t>
            </w:r>
          </w:p>
        </w:tc>
        <w:tc>
          <w:tcPr>
            <w:tcW w:w="2318" w:type="dxa"/>
            <w:tcBorders>
              <w:bottom w:val="single" w:color="D9D9D9" w:sz="2" w:space="0"/>
            </w:tcBorders>
          </w:tcPr>
          <w:p w:rsidR="00C31389" w:rsidRDefault="00561FBD" w14:paraId="333ADCFD" w14:textId="77777777">
            <w:pPr>
              <w:pStyle w:val="TableParagraph"/>
              <w:spacing w:before="35"/>
              <w:ind w:left="178" w:right="162"/>
              <w:jc w:val="center"/>
              <w:rPr>
                <w:sz w:val="20"/>
              </w:rPr>
            </w:pPr>
            <w:r>
              <w:rPr>
                <w:spacing w:val="-4"/>
                <w:sz w:val="20"/>
              </w:rPr>
              <w:t>4.52%</w:t>
            </w:r>
          </w:p>
        </w:tc>
        <w:tc>
          <w:tcPr>
            <w:tcW w:w="2528" w:type="dxa"/>
            <w:tcBorders>
              <w:bottom w:val="single" w:color="D9D9D9" w:sz="2" w:space="0"/>
            </w:tcBorders>
          </w:tcPr>
          <w:p w:rsidR="00C31389" w:rsidRDefault="00561FBD" w14:paraId="743CAEEC" w14:textId="77777777">
            <w:pPr>
              <w:pStyle w:val="TableParagraph"/>
              <w:spacing w:before="35"/>
              <w:ind w:left="161" w:right="141"/>
              <w:jc w:val="center"/>
              <w:rPr>
                <w:sz w:val="20"/>
              </w:rPr>
            </w:pPr>
            <w:r>
              <w:rPr>
                <w:spacing w:val="-4"/>
                <w:sz w:val="20"/>
              </w:rPr>
              <w:t>4.58%</w:t>
            </w:r>
          </w:p>
        </w:tc>
      </w:tr>
      <w:tr w:rsidR="00C31389" w14:paraId="4BE0ACE8" w14:textId="77777777">
        <w:trPr>
          <w:trHeight w:val="770"/>
        </w:trPr>
        <w:tc>
          <w:tcPr>
            <w:tcW w:w="3340" w:type="dxa"/>
            <w:tcBorders>
              <w:top w:val="single" w:color="D9D9D9" w:sz="2" w:space="0"/>
              <w:bottom w:val="single" w:color="D9D9D9" w:sz="2" w:space="0"/>
            </w:tcBorders>
          </w:tcPr>
          <w:p w:rsidR="00C31389" w:rsidRDefault="00561FBD" w14:paraId="0A74BDE8" w14:textId="77777777">
            <w:pPr>
              <w:pStyle w:val="TableParagraph"/>
              <w:ind w:left="122" w:right="62"/>
              <w:rPr>
                <w:sz w:val="20"/>
              </w:rPr>
            </w:pPr>
            <w:r>
              <w:rPr>
                <w:sz w:val="20"/>
              </w:rPr>
              <w:t>Ag</w:t>
            </w:r>
            <w:r>
              <w:rPr>
                <w:spacing w:val="-12"/>
                <w:sz w:val="20"/>
              </w:rPr>
              <w:t xml:space="preserve"> </w:t>
            </w:r>
            <w:r>
              <w:rPr>
                <w:sz w:val="20"/>
              </w:rPr>
              <w:t>–</w:t>
            </w:r>
            <w:r>
              <w:rPr>
                <w:spacing w:val="-12"/>
                <w:sz w:val="20"/>
              </w:rPr>
              <w:t xml:space="preserve"> </w:t>
            </w:r>
            <w:r>
              <w:rPr>
                <w:sz w:val="20"/>
              </w:rPr>
              <w:t>Irrigated</w:t>
            </w:r>
            <w:r>
              <w:rPr>
                <w:spacing w:val="-13"/>
                <w:sz w:val="20"/>
              </w:rPr>
              <w:t xml:space="preserve"> </w:t>
            </w:r>
            <w:r>
              <w:rPr>
                <w:sz w:val="20"/>
              </w:rPr>
              <w:t xml:space="preserve">Agriculture, Vineyards, Forestry, and </w:t>
            </w:r>
            <w:r>
              <w:rPr>
                <w:spacing w:val="-2"/>
                <w:sz w:val="20"/>
              </w:rPr>
              <w:t>Greenhouses</w:t>
            </w:r>
          </w:p>
        </w:tc>
        <w:tc>
          <w:tcPr>
            <w:tcW w:w="2318" w:type="dxa"/>
            <w:tcBorders>
              <w:top w:val="single" w:color="D9D9D9" w:sz="2" w:space="0"/>
              <w:bottom w:val="single" w:color="D9D9D9" w:sz="2" w:space="0"/>
            </w:tcBorders>
          </w:tcPr>
          <w:p w:rsidR="00C31389" w:rsidRDefault="00C31389" w14:paraId="3BA617FE" w14:textId="77777777">
            <w:pPr>
              <w:pStyle w:val="TableParagraph"/>
              <w:spacing w:before="6"/>
              <w:rPr>
                <w:sz w:val="23"/>
              </w:rPr>
            </w:pPr>
          </w:p>
          <w:p w:rsidR="00C31389" w:rsidRDefault="00561FBD" w14:paraId="6DF33347" w14:textId="77777777">
            <w:pPr>
              <w:pStyle w:val="TableParagraph"/>
              <w:spacing w:before="0"/>
              <w:ind w:left="178" w:right="162"/>
              <w:jc w:val="center"/>
              <w:rPr>
                <w:sz w:val="20"/>
              </w:rPr>
            </w:pPr>
            <w:r>
              <w:rPr>
                <w:spacing w:val="-4"/>
                <w:sz w:val="20"/>
              </w:rPr>
              <w:t>9.62%</w:t>
            </w:r>
          </w:p>
        </w:tc>
        <w:tc>
          <w:tcPr>
            <w:tcW w:w="2528" w:type="dxa"/>
            <w:tcBorders>
              <w:top w:val="single" w:color="D9D9D9" w:sz="2" w:space="0"/>
              <w:bottom w:val="single" w:color="D9D9D9" w:sz="2" w:space="0"/>
            </w:tcBorders>
          </w:tcPr>
          <w:p w:rsidR="00C31389" w:rsidRDefault="00C31389" w14:paraId="260319FD" w14:textId="77777777">
            <w:pPr>
              <w:pStyle w:val="TableParagraph"/>
              <w:spacing w:before="6"/>
              <w:rPr>
                <w:sz w:val="23"/>
              </w:rPr>
            </w:pPr>
          </w:p>
          <w:p w:rsidR="00C31389" w:rsidRDefault="00561FBD" w14:paraId="6008C7AA" w14:textId="77777777">
            <w:pPr>
              <w:pStyle w:val="TableParagraph"/>
              <w:spacing w:before="0"/>
              <w:ind w:left="161" w:right="141"/>
              <w:jc w:val="center"/>
              <w:rPr>
                <w:sz w:val="20"/>
              </w:rPr>
            </w:pPr>
            <w:r>
              <w:rPr>
                <w:spacing w:val="-4"/>
                <w:sz w:val="20"/>
              </w:rPr>
              <w:t>0.00%</w:t>
            </w:r>
          </w:p>
        </w:tc>
      </w:tr>
      <w:tr w:rsidR="00C31389" w14:paraId="5C260816" w14:textId="77777777">
        <w:trPr>
          <w:trHeight w:val="309"/>
        </w:trPr>
        <w:tc>
          <w:tcPr>
            <w:tcW w:w="3340" w:type="dxa"/>
            <w:tcBorders>
              <w:top w:val="single" w:color="D9D9D9" w:sz="2" w:space="0"/>
              <w:bottom w:val="single" w:color="D9D9D9" w:sz="2" w:space="0"/>
            </w:tcBorders>
          </w:tcPr>
          <w:p w:rsidR="00C31389" w:rsidRDefault="00561FBD" w14:paraId="05562C8E" w14:textId="77777777">
            <w:pPr>
              <w:pStyle w:val="TableParagraph"/>
              <w:ind w:left="122"/>
              <w:rPr>
                <w:sz w:val="20"/>
              </w:rPr>
            </w:pPr>
            <w:r>
              <w:rPr>
                <w:sz w:val="20"/>
              </w:rPr>
              <w:t>Ag</w:t>
            </w:r>
            <w:r>
              <w:rPr>
                <w:spacing w:val="-3"/>
                <w:sz w:val="20"/>
              </w:rPr>
              <w:t xml:space="preserve"> </w:t>
            </w:r>
            <w:r>
              <w:rPr>
                <w:sz w:val="20"/>
              </w:rPr>
              <w:t>–</w:t>
            </w:r>
            <w:r>
              <w:rPr>
                <w:spacing w:val="-3"/>
                <w:sz w:val="20"/>
              </w:rPr>
              <w:t xml:space="preserve"> </w:t>
            </w:r>
            <w:r>
              <w:rPr>
                <w:sz w:val="20"/>
              </w:rPr>
              <w:t>Dairies,</w:t>
            </w:r>
            <w:r>
              <w:rPr>
                <w:spacing w:val="-4"/>
                <w:sz w:val="20"/>
              </w:rPr>
              <w:t xml:space="preserve"> </w:t>
            </w:r>
            <w:r>
              <w:rPr>
                <w:sz w:val="20"/>
              </w:rPr>
              <w:t>Fishing,</w:t>
            </w:r>
            <w:r>
              <w:rPr>
                <w:spacing w:val="-3"/>
                <w:sz w:val="20"/>
              </w:rPr>
              <w:t xml:space="preserve"> </w:t>
            </w:r>
            <w:r>
              <w:rPr>
                <w:sz w:val="20"/>
              </w:rPr>
              <w:t>and</w:t>
            </w:r>
            <w:r>
              <w:rPr>
                <w:spacing w:val="-3"/>
                <w:sz w:val="20"/>
              </w:rPr>
              <w:t xml:space="preserve"> </w:t>
            </w:r>
            <w:r>
              <w:rPr>
                <w:spacing w:val="-2"/>
                <w:sz w:val="20"/>
              </w:rPr>
              <w:t>Hunting</w:t>
            </w:r>
          </w:p>
        </w:tc>
        <w:tc>
          <w:tcPr>
            <w:tcW w:w="2318" w:type="dxa"/>
            <w:tcBorders>
              <w:top w:val="single" w:color="D9D9D9" w:sz="2" w:space="0"/>
              <w:bottom w:val="single" w:color="D9D9D9" w:sz="2" w:space="0"/>
            </w:tcBorders>
          </w:tcPr>
          <w:p w:rsidR="00C31389" w:rsidRDefault="00561FBD" w14:paraId="55F8091E" w14:textId="77777777">
            <w:pPr>
              <w:pStyle w:val="TableParagraph"/>
              <w:ind w:left="178" w:right="162"/>
              <w:jc w:val="center"/>
              <w:rPr>
                <w:sz w:val="20"/>
              </w:rPr>
            </w:pPr>
            <w:r>
              <w:rPr>
                <w:spacing w:val="-4"/>
                <w:sz w:val="20"/>
              </w:rPr>
              <w:t>0.96%</w:t>
            </w:r>
          </w:p>
        </w:tc>
        <w:tc>
          <w:tcPr>
            <w:tcW w:w="2528" w:type="dxa"/>
            <w:tcBorders>
              <w:top w:val="single" w:color="D9D9D9" w:sz="2" w:space="0"/>
              <w:bottom w:val="single" w:color="D9D9D9" w:sz="2" w:space="0"/>
            </w:tcBorders>
          </w:tcPr>
          <w:p w:rsidR="00C31389" w:rsidRDefault="00561FBD" w14:paraId="2782B352" w14:textId="77777777">
            <w:pPr>
              <w:pStyle w:val="TableParagraph"/>
              <w:ind w:left="161" w:right="141"/>
              <w:jc w:val="center"/>
              <w:rPr>
                <w:sz w:val="20"/>
              </w:rPr>
            </w:pPr>
            <w:r>
              <w:rPr>
                <w:spacing w:val="-4"/>
                <w:sz w:val="20"/>
              </w:rPr>
              <w:t>0.44%</w:t>
            </w:r>
          </w:p>
        </w:tc>
      </w:tr>
      <w:tr w:rsidR="00C31389" w14:paraId="03A00E09" w14:textId="77777777">
        <w:trPr>
          <w:trHeight w:val="310"/>
        </w:trPr>
        <w:tc>
          <w:tcPr>
            <w:tcW w:w="3340" w:type="dxa"/>
            <w:tcBorders>
              <w:top w:val="single" w:color="D9D9D9" w:sz="2" w:space="0"/>
              <w:bottom w:val="single" w:color="000000" w:sz="8" w:space="0"/>
            </w:tcBorders>
          </w:tcPr>
          <w:p w:rsidR="00C31389" w:rsidRDefault="00561FBD" w14:paraId="3A110FC8" w14:textId="77777777">
            <w:pPr>
              <w:pStyle w:val="TableParagraph"/>
              <w:ind w:left="122"/>
              <w:rPr>
                <w:sz w:val="20"/>
              </w:rPr>
            </w:pPr>
            <w:r>
              <w:rPr>
                <w:sz w:val="20"/>
              </w:rPr>
              <w:t>Ag</w:t>
            </w:r>
            <w:r>
              <w:rPr>
                <w:spacing w:val="-2"/>
                <w:sz w:val="20"/>
              </w:rPr>
              <w:t xml:space="preserve"> </w:t>
            </w:r>
            <w:r>
              <w:rPr>
                <w:sz w:val="20"/>
              </w:rPr>
              <w:t>–</w:t>
            </w:r>
            <w:r>
              <w:rPr>
                <w:spacing w:val="-2"/>
                <w:sz w:val="20"/>
              </w:rPr>
              <w:t xml:space="preserve"> </w:t>
            </w:r>
            <w:r>
              <w:rPr>
                <w:sz w:val="20"/>
              </w:rPr>
              <w:t xml:space="preserve">Water </w:t>
            </w:r>
            <w:r>
              <w:rPr>
                <w:spacing w:val="-2"/>
                <w:sz w:val="20"/>
              </w:rPr>
              <w:t>Pumping</w:t>
            </w:r>
          </w:p>
        </w:tc>
        <w:tc>
          <w:tcPr>
            <w:tcW w:w="2318" w:type="dxa"/>
            <w:tcBorders>
              <w:top w:val="single" w:color="D9D9D9" w:sz="2" w:space="0"/>
              <w:bottom w:val="single" w:color="000000" w:sz="8" w:space="0"/>
            </w:tcBorders>
          </w:tcPr>
          <w:p w:rsidR="00C31389" w:rsidRDefault="00561FBD" w14:paraId="3B9732B0" w14:textId="77777777">
            <w:pPr>
              <w:pStyle w:val="TableParagraph"/>
              <w:ind w:left="178" w:right="162"/>
              <w:jc w:val="center"/>
              <w:rPr>
                <w:sz w:val="20"/>
              </w:rPr>
            </w:pPr>
            <w:r>
              <w:rPr>
                <w:spacing w:val="-4"/>
                <w:sz w:val="20"/>
              </w:rPr>
              <w:t>3.40%</w:t>
            </w:r>
          </w:p>
        </w:tc>
        <w:tc>
          <w:tcPr>
            <w:tcW w:w="2528" w:type="dxa"/>
            <w:tcBorders>
              <w:top w:val="single" w:color="D9D9D9" w:sz="2" w:space="0"/>
              <w:bottom w:val="single" w:color="000000" w:sz="8" w:space="0"/>
            </w:tcBorders>
          </w:tcPr>
          <w:p w:rsidR="00C31389" w:rsidRDefault="00561FBD" w14:paraId="32806B45" w14:textId="77777777">
            <w:pPr>
              <w:pStyle w:val="TableParagraph"/>
              <w:ind w:left="161" w:right="141"/>
              <w:jc w:val="center"/>
              <w:rPr>
                <w:sz w:val="20"/>
              </w:rPr>
            </w:pPr>
            <w:r>
              <w:rPr>
                <w:spacing w:val="-4"/>
                <w:sz w:val="20"/>
              </w:rPr>
              <w:t>0.00%</w:t>
            </w:r>
          </w:p>
        </w:tc>
      </w:tr>
    </w:tbl>
    <w:p w:rsidR="00C31389" w:rsidRDefault="00561FBD" w14:paraId="2E472C30" w14:textId="77777777">
      <w:pPr>
        <w:spacing w:before="71"/>
        <w:ind w:left="480"/>
        <w:rPr>
          <w:i/>
          <w:sz w:val="18"/>
        </w:rPr>
      </w:pPr>
      <w:r>
        <w:rPr>
          <w:i/>
          <w:sz w:val="18"/>
        </w:rPr>
        <w:t>Source:</w:t>
      </w:r>
      <w:r>
        <w:rPr>
          <w:i/>
          <w:spacing w:val="-6"/>
          <w:sz w:val="18"/>
        </w:rPr>
        <w:t xml:space="preserve"> </w:t>
      </w:r>
      <w:r>
        <w:rPr>
          <w:i/>
          <w:sz w:val="18"/>
        </w:rPr>
        <w:t>Guidehouse</w:t>
      </w:r>
      <w:r>
        <w:rPr>
          <w:i/>
          <w:spacing w:val="-4"/>
          <w:sz w:val="18"/>
        </w:rPr>
        <w:t xml:space="preserve"> team</w:t>
      </w:r>
    </w:p>
    <w:p w:rsidR="00C31389" w:rsidRDefault="00C31389" w14:paraId="7B76FAC3" w14:textId="77777777">
      <w:pPr>
        <w:pStyle w:val="BodyText"/>
        <w:spacing w:before="9"/>
        <w:rPr>
          <w:i/>
          <w:sz w:val="20"/>
        </w:rPr>
      </w:pPr>
    </w:p>
    <w:p w:rsidR="00C31389" w:rsidRDefault="00561FBD" w14:paraId="1E7EF611" w14:textId="77777777">
      <w:pPr>
        <w:pStyle w:val="BodyText"/>
        <w:ind w:left="480" w:right="457" w:hanging="1"/>
      </w:pPr>
      <w:r>
        <w:t>The</w:t>
      </w:r>
      <w:r>
        <w:rPr>
          <w:spacing w:val="-3"/>
        </w:rPr>
        <w:t xml:space="preserve"> </w:t>
      </w:r>
      <w:r>
        <w:t>ET</w:t>
      </w:r>
      <w:r>
        <w:rPr>
          <w:spacing w:val="-3"/>
        </w:rPr>
        <w:t xml:space="preserve"> </w:t>
      </w:r>
      <w:r>
        <w:t>UES</w:t>
      </w:r>
      <w:r>
        <w:rPr>
          <w:spacing w:val="-3"/>
        </w:rPr>
        <w:t xml:space="preserve"> </w:t>
      </w:r>
      <w:r>
        <w:t>multipliers</w:t>
      </w:r>
      <w:r>
        <w:rPr>
          <w:spacing w:val="-4"/>
        </w:rPr>
        <w:t xml:space="preserve"> </w:t>
      </w:r>
      <w:r>
        <w:t>were</w:t>
      </w:r>
      <w:r>
        <w:rPr>
          <w:spacing w:val="-3"/>
        </w:rPr>
        <w:t xml:space="preserve"> </w:t>
      </w:r>
      <w:r>
        <w:t>held</w:t>
      </w:r>
      <w:r>
        <w:rPr>
          <w:spacing w:val="-3"/>
        </w:rPr>
        <w:t xml:space="preserve"> </w:t>
      </w:r>
      <w:r>
        <w:t>constant</w:t>
      </w:r>
      <w:r>
        <w:rPr>
          <w:spacing w:val="-3"/>
        </w:rPr>
        <w:t xml:space="preserve"> </w:t>
      </w:r>
      <w:r>
        <w:t>throughout</w:t>
      </w:r>
      <w:r>
        <w:rPr>
          <w:spacing w:val="-3"/>
        </w:rPr>
        <w:t xml:space="preserve"> </w:t>
      </w:r>
      <w:r>
        <w:t>the</w:t>
      </w:r>
      <w:r>
        <w:rPr>
          <w:spacing w:val="-3"/>
        </w:rPr>
        <w:t xml:space="preserve"> </w:t>
      </w:r>
      <w:r>
        <w:t>2023</w:t>
      </w:r>
      <w:r>
        <w:rPr>
          <w:spacing w:val="-2"/>
        </w:rPr>
        <w:t xml:space="preserve"> </w:t>
      </w:r>
      <w:r>
        <w:t>Study</w:t>
      </w:r>
      <w:r>
        <w:rPr>
          <w:spacing w:val="-3"/>
        </w:rPr>
        <w:t xml:space="preserve"> </w:t>
      </w:r>
      <w:r>
        <w:t>forecast</w:t>
      </w:r>
      <w:r>
        <w:rPr>
          <w:spacing w:val="-3"/>
        </w:rPr>
        <w:t xml:space="preserve"> </w:t>
      </w:r>
      <w:r>
        <w:t>horizon.</w:t>
      </w:r>
      <w:r>
        <w:rPr>
          <w:spacing w:val="-3"/>
        </w:rPr>
        <w:t xml:space="preserve"> </w:t>
      </w:r>
      <w:r>
        <w:t>The Guidehouse team developed a reference case forecast based on a CAGR by which the portfolio of ETs is expected to be adopted by the market (i.e., penetration). The reference case assumes a CAGR of 3.25%, yielding a target penetration of 1.84% b</w:t>
      </w:r>
      <w:r>
        <w:t>y 2030. The 2030 target saturation of the portfolio of relevant ETs is an estimate that acknowledges the timeline over which new technologies move through the adoption cycle to reach 80% saturation (typically ranging from 10 to 30 years) and the relatively</w:t>
      </w:r>
      <w:r>
        <w:t xml:space="preserve"> slow turnover of the production equipment associated with many industrial processes. From 2030 to 2035, the penetration rate remains at 1.84%.</w:t>
      </w:r>
    </w:p>
    <w:p w:rsidR="00C31389" w:rsidRDefault="00C31389" w14:paraId="07B29AF5" w14:textId="77777777">
      <w:pPr>
        <w:pStyle w:val="BodyText"/>
        <w:spacing w:before="5"/>
        <w:rPr>
          <w:sz w:val="31"/>
        </w:rPr>
      </w:pPr>
    </w:p>
    <w:p w:rsidR="00C31389" w:rsidRDefault="00561FBD" w14:paraId="69EF65FE" w14:textId="77777777">
      <w:pPr>
        <w:pStyle w:val="ListParagraph"/>
        <w:numPr>
          <w:ilvl w:val="2"/>
          <w:numId w:val="13"/>
        </w:numPr>
        <w:tabs>
          <w:tab w:val="left" w:pos="1197"/>
        </w:tabs>
        <w:ind w:left="1197" w:hanging="717"/>
        <w:rPr>
          <w:b/>
          <w:sz w:val="24"/>
        </w:rPr>
      </w:pPr>
      <w:bookmarkStart w:name="G.2.3_Other_Input_Assumptions" w:id="644"/>
      <w:bookmarkStart w:name="_bookmark497" w:id="645"/>
      <w:bookmarkEnd w:id="644"/>
      <w:bookmarkEnd w:id="645"/>
      <w:r>
        <w:rPr>
          <w:b/>
          <w:sz w:val="24"/>
        </w:rPr>
        <w:t>Other</w:t>
      </w:r>
      <w:r>
        <w:rPr>
          <w:b/>
          <w:spacing w:val="-3"/>
          <w:sz w:val="24"/>
        </w:rPr>
        <w:t xml:space="preserve"> </w:t>
      </w:r>
      <w:r>
        <w:rPr>
          <w:b/>
          <w:sz w:val="24"/>
        </w:rPr>
        <w:t>Input</w:t>
      </w:r>
      <w:r>
        <w:rPr>
          <w:b/>
          <w:spacing w:val="-2"/>
          <w:sz w:val="24"/>
        </w:rPr>
        <w:t xml:space="preserve"> Assumptions</w:t>
      </w:r>
    </w:p>
    <w:p w:rsidR="00C31389" w:rsidRDefault="00C31389" w14:paraId="2028BBEF" w14:textId="77777777">
      <w:pPr>
        <w:pStyle w:val="BodyText"/>
        <w:spacing w:before="3"/>
        <w:rPr>
          <w:b/>
          <w:sz w:val="23"/>
        </w:rPr>
      </w:pPr>
    </w:p>
    <w:p w:rsidR="00C31389" w:rsidRDefault="00561FBD" w14:paraId="55BE8090" w14:textId="77777777">
      <w:pPr>
        <w:pStyle w:val="BodyText"/>
        <w:ind w:left="480" w:right="615"/>
      </w:pPr>
      <w:r>
        <w:t>The</w:t>
      </w:r>
      <w:r>
        <w:rPr>
          <w:spacing w:val="-3"/>
        </w:rPr>
        <w:t xml:space="preserve"> </w:t>
      </w:r>
      <w:r>
        <w:t>model</w:t>
      </w:r>
      <w:r>
        <w:rPr>
          <w:spacing w:val="-3"/>
        </w:rPr>
        <w:t xml:space="preserve"> </w:t>
      </w:r>
      <w:r>
        <w:t>uses</w:t>
      </w:r>
      <w:r>
        <w:rPr>
          <w:spacing w:val="-3"/>
        </w:rPr>
        <w:t xml:space="preserve"> </w:t>
      </w:r>
      <w:r>
        <w:t>a</w:t>
      </w:r>
      <w:r>
        <w:rPr>
          <w:spacing w:val="-3"/>
        </w:rPr>
        <w:t xml:space="preserve"> </w:t>
      </w:r>
      <w:r>
        <w:t>universal</w:t>
      </w:r>
      <w:r>
        <w:rPr>
          <w:spacing w:val="-3"/>
        </w:rPr>
        <w:t xml:space="preserve"> </w:t>
      </w:r>
      <w:r>
        <w:t>EUL</w:t>
      </w:r>
      <w:r>
        <w:rPr>
          <w:spacing w:val="-3"/>
        </w:rPr>
        <w:t xml:space="preserve"> </w:t>
      </w:r>
      <w:r>
        <w:t>of</w:t>
      </w:r>
      <w:r>
        <w:rPr>
          <w:spacing w:val="-3"/>
        </w:rPr>
        <w:t xml:space="preserve"> </w:t>
      </w:r>
      <w:r>
        <w:t>10</w:t>
      </w:r>
      <w:r>
        <w:rPr>
          <w:spacing w:val="-3"/>
        </w:rPr>
        <w:t xml:space="preserve"> </w:t>
      </w:r>
      <w:r>
        <w:t>years</w:t>
      </w:r>
      <w:r>
        <w:rPr>
          <w:spacing w:val="-3"/>
        </w:rPr>
        <w:t xml:space="preserve"> </w:t>
      </w:r>
      <w:r>
        <w:t>to</w:t>
      </w:r>
      <w:r>
        <w:rPr>
          <w:spacing w:val="-3"/>
        </w:rPr>
        <w:t xml:space="preserve"> </w:t>
      </w:r>
      <w:r>
        <w:t>accommodate</w:t>
      </w:r>
      <w:r>
        <w:rPr>
          <w:spacing w:val="-3"/>
        </w:rPr>
        <w:t xml:space="preserve"> </w:t>
      </w:r>
      <w:r>
        <w:t>the</w:t>
      </w:r>
      <w:r>
        <w:rPr>
          <w:spacing w:val="-3"/>
        </w:rPr>
        <w:t xml:space="preserve"> </w:t>
      </w:r>
      <w:r>
        <w:t>broad</w:t>
      </w:r>
      <w:r>
        <w:rPr>
          <w:spacing w:val="-4"/>
        </w:rPr>
        <w:t xml:space="preserve"> </w:t>
      </w:r>
      <w:r>
        <w:t>range</w:t>
      </w:r>
      <w:r>
        <w:rPr>
          <w:spacing w:val="-3"/>
        </w:rPr>
        <w:t xml:space="preserve"> </w:t>
      </w:r>
      <w:r>
        <w:t>of</w:t>
      </w:r>
      <w:r>
        <w:rPr>
          <w:spacing w:val="-3"/>
        </w:rPr>
        <w:t xml:space="preserve"> </w:t>
      </w:r>
      <w:r>
        <w:t xml:space="preserve">ET </w:t>
      </w:r>
      <w:r>
        <w:t>adoption curves. The team applied a ratio of kW to kWh of 0.000195.</w:t>
      </w:r>
    </w:p>
    <w:p w:rsidR="00C31389" w:rsidRDefault="00C31389" w14:paraId="0856EBC2" w14:textId="77777777">
      <w:pPr>
        <w:pStyle w:val="BodyText"/>
        <w:spacing w:before="9"/>
        <w:rPr>
          <w:sz w:val="20"/>
        </w:rPr>
      </w:pPr>
    </w:p>
    <w:p w:rsidR="00C31389" w:rsidRDefault="00561FBD" w14:paraId="099F23FB" w14:textId="77777777">
      <w:pPr>
        <w:pStyle w:val="BodyText"/>
        <w:ind w:left="480" w:right="505"/>
      </w:pPr>
      <w:r>
        <w:t xml:space="preserve">Costs for electricity and natural gas savings are estimated at $0.42/kWh and $2.83/therm and are applied consistently for all utilities and across all industrial and agriculture sectors. </w:t>
      </w:r>
      <w:r>
        <w:t>Costs</w:t>
      </w:r>
      <w:r>
        <w:rPr>
          <w:spacing w:val="-3"/>
        </w:rPr>
        <w:t xml:space="preserve"> </w:t>
      </w:r>
      <w:r>
        <w:t>are</w:t>
      </w:r>
      <w:r>
        <w:rPr>
          <w:spacing w:val="-3"/>
        </w:rPr>
        <w:t xml:space="preserve"> </w:t>
      </w:r>
      <w:r>
        <w:t>based</w:t>
      </w:r>
      <w:r>
        <w:rPr>
          <w:spacing w:val="-3"/>
        </w:rPr>
        <w:t xml:space="preserve"> </w:t>
      </w:r>
      <w:r>
        <w:t>on</w:t>
      </w:r>
      <w:r>
        <w:rPr>
          <w:spacing w:val="-3"/>
        </w:rPr>
        <w:t xml:space="preserve"> </w:t>
      </w:r>
      <w:r>
        <w:t>an</w:t>
      </w:r>
      <w:r>
        <w:rPr>
          <w:spacing w:val="-4"/>
        </w:rPr>
        <w:t xml:space="preserve"> </w:t>
      </w:r>
      <w:r>
        <w:t>analysis</w:t>
      </w:r>
      <w:r>
        <w:rPr>
          <w:spacing w:val="-3"/>
        </w:rPr>
        <w:t xml:space="preserve"> </w:t>
      </w:r>
      <w:r>
        <w:t>of</w:t>
      </w:r>
      <w:r>
        <w:rPr>
          <w:spacing w:val="-3"/>
        </w:rPr>
        <w:t xml:space="preserve"> </w:t>
      </w:r>
      <w:r>
        <w:t>industrial</w:t>
      </w:r>
      <w:r>
        <w:rPr>
          <w:spacing w:val="-3"/>
        </w:rPr>
        <w:t xml:space="preserve"> </w:t>
      </w:r>
      <w:r>
        <w:t>and</w:t>
      </w:r>
      <w:r>
        <w:rPr>
          <w:spacing w:val="-2"/>
        </w:rPr>
        <w:t xml:space="preserve"> </w:t>
      </w:r>
      <w:r>
        <w:t>agriculture</w:t>
      </w:r>
      <w:r>
        <w:rPr>
          <w:spacing w:val="-4"/>
        </w:rPr>
        <w:t xml:space="preserve"> </w:t>
      </w:r>
      <w:r>
        <w:t>programs</w:t>
      </w:r>
      <w:r>
        <w:rPr>
          <w:spacing w:val="-3"/>
        </w:rPr>
        <w:t xml:space="preserve"> </w:t>
      </w:r>
      <w:r>
        <w:t>operating</w:t>
      </w:r>
      <w:r>
        <w:rPr>
          <w:spacing w:val="-3"/>
        </w:rPr>
        <w:t xml:space="preserve"> </w:t>
      </w:r>
      <w:r>
        <w:t>throughout 2016 and reflect costs that are higher than average for the portfolio; these higher costs are based on the expectation that ETs will be more expensive than more esta</w:t>
      </w:r>
      <w:r>
        <w:t>blished technologies and will require higher incentives and evaluation, measurement, and verification</w:t>
      </w:r>
      <w:r>
        <w:rPr>
          <w:spacing w:val="-1"/>
        </w:rPr>
        <w:t xml:space="preserve"> </w:t>
      </w:r>
      <w:r>
        <w:t>costs</w:t>
      </w:r>
      <w:r>
        <w:rPr>
          <w:spacing w:val="-1"/>
        </w:rPr>
        <w:t xml:space="preserve"> </w:t>
      </w:r>
      <w:r>
        <w:t>to</w:t>
      </w:r>
      <w:r>
        <w:rPr>
          <w:spacing w:val="-1"/>
        </w:rPr>
        <w:t xml:space="preserve"> </w:t>
      </w:r>
      <w:r>
        <w:t>verify</w:t>
      </w:r>
      <w:r>
        <w:rPr>
          <w:spacing w:val="-1"/>
        </w:rPr>
        <w:t xml:space="preserve"> </w:t>
      </w:r>
      <w:r>
        <w:t>performance.</w:t>
      </w:r>
      <w:r>
        <w:rPr>
          <w:spacing w:val="-1"/>
        </w:rPr>
        <w:t xml:space="preserve"> </w:t>
      </w:r>
      <w:r>
        <w:t>No</w:t>
      </w:r>
      <w:r>
        <w:rPr>
          <w:spacing w:val="-1"/>
        </w:rPr>
        <w:t xml:space="preserve"> </w:t>
      </w:r>
      <w:r>
        <w:t>adjustments</w:t>
      </w:r>
      <w:r>
        <w:rPr>
          <w:spacing w:val="-1"/>
        </w:rPr>
        <w:t xml:space="preserve"> </w:t>
      </w:r>
      <w:r>
        <w:t>were</w:t>
      </w:r>
      <w:r>
        <w:rPr>
          <w:spacing w:val="-1"/>
        </w:rPr>
        <w:t xml:space="preserve"> </w:t>
      </w:r>
      <w:r>
        <w:t>made</w:t>
      </w:r>
      <w:r>
        <w:rPr>
          <w:spacing w:val="-1"/>
        </w:rPr>
        <w:t xml:space="preserve"> </w:t>
      </w:r>
      <w:r>
        <w:t>to</w:t>
      </w:r>
      <w:r>
        <w:rPr>
          <w:spacing w:val="-1"/>
        </w:rPr>
        <w:t xml:space="preserve"> </w:t>
      </w:r>
      <w:r>
        <w:t>costs</w:t>
      </w:r>
      <w:r>
        <w:rPr>
          <w:spacing w:val="-1"/>
        </w:rPr>
        <w:t xml:space="preserve"> </w:t>
      </w:r>
      <w:r>
        <w:t>as</w:t>
      </w:r>
      <w:r>
        <w:rPr>
          <w:spacing w:val="-1"/>
        </w:rPr>
        <w:t xml:space="preserve"> </w:t>
      </w:r>
      <w:r>
        <w:t>of</w:t>
      </w:r>
      <w:r>
        <w:rPr>
          <w:spacing w:val="-1"/>
        </w:rPr>
        <w:t xml:space="preserve"> </w:t>
      </w:r>
      <w:r>
        <w:t>the</w:t>
      </w:r>
      <w:r>
        <w:rPr>
          <w:spacing w:val="-2"/>
        </w:rPr>
        <w:t xml:space="preserve"> </w:t>
      </w:r>
      <w:r>
        <w:t xml:space="preserve">2017 </w:t>
      </w:r>
      <w:r>
        <w:rPr>
          <w:spacing w:val="-2"/>
        </w:rPr>
        <w:t>Study.</w:t>
      </w:r>
    </w:p>
    <w:p w:rsidR="00C31389" w:rsidRDefault="00C31389" w14:paraId="393417FF" w14:textId="77777777">
      <w:pPr>
        <w:sectPr w:rsidR="00C31389">
          <w:headerReference w:type="default" r:id="rId324"/>
          <w:footerReference w:type="default" r:id="rId325"/>
          <w:pgSz w:w="11910" w:h="16840"/>
          <w:pgMar w:top="1660" w:right="1020" w:bottom="1120" w:left="960" w:header="397" w:footer="938" w:gutter="0"/>
          <w:cols w:space="720"/>
        </w:sectPr>
      </w:pPr>
    </w:p>
    <w:p w:rsidR="00C31389" w:rsidRDefault="00C31389" w14:paraId="1E8953E0" w14:textId="77777777">
      <w:pPr>
        <w:pStyle w:val="BodyText"/>
        <w:spacing w:before="7"/>
        <w:rPr>
          <w:sz w:val="24"/>
        </w:rPr>
      </w:pPr>
    </w:p>
    <w:p w:rsidR="00C31389" w:rsidRDefault="00561FBD" w14:paraId="156381BC" w14:textId="77777777">
      <w:pPr>
        <w:spacing w:before="90"/>
        <w:ind w:left="479" w:right="852"/>
        <w:rPr>
          <w:b/>
          <w:sz w:val="32"/>
        </w:rPr>
      </w:pPr>
      <w:bookmarkStart w:name="Appendix_H._Adoption_Logic_Theory_and_Ap" w:id="646"/>
      <w:bookmarkStart w:name="_bookmark498" w:id="647"/>
      <w:bookmarkEnd w:id="646"/>
      <w:bookmarkEnd w:id="647"/>
      <w:r>
        <w:rPr>
          <w:b/>
          <w:sz w:val="32"/>
        </w:rPr>
        <w:t>Appendix</w:t>
      </w:r>
      <w:r>
        <w:rPr>
          <w:b/>
          <w:spacing w:val="-4"/>
          <w:sz w:val="32"/>
        </w:rPr>
        <w:t xml:space="preserve"> </w:t>
      </w:r>
      <w:r>
        <w:rPr>
          <w:b/>
          <w:sz w:val="32"/>
        </w:rPr>
        <w:t>H.</w:t>
      </w:r>
      <w:r>
        <w:rPr>
          <w:b/>
          <w:spacing w:val="-5"/>
          <w:sz w:val="32"/>
        </w:rPr>
        <w:t xml:space="preserve"> </w:t>
      </w:r>
      <w:r>
        <w:rPr>
          <w:b/>
          <w:sz w:val="32"/>
        </w:rPr>
        <w:t>Adoption</w:t>
      </w:r>
      <w:r>
        <w:rPr>
          <w:b/>
          <w:spacing w:val="-5"/>
          <w:sz w:val="32"/>
        </w:rPr>
        <w:t xml:space="preserve"> </w:t>
      </w:r>
      <w:r>
        <w:rPr>
          <w:b/>
          <w:sz w:val="32"/>
        </w:rPr>
        <w:t>Logic</w:t>
      </w:r>
      <w:r>
        <w:rPr>
          <w:b/>
          <w:spacing w:val="-5"/>
          <w:sz w:val="32"/>
        </w:rPr>
        <w:t xml:space="preserve"> </w:t>
      </w:r>
      <w:r>
        <w:rPr>
          <w:b/>
          <w:sz w:val="32"/>
        </w:rPr>
        <w:t>Theory</w:t>
      </w:r>
      <w:r>
        <w:rPr>
          <w:b/>
          <w:spacing w:val="-5"/>
          <w:sz w:val="32"/>
        </w:rPr>
        <w:t xml:space="preserve"> </w:t>
      </w:r>
      <w:r>
        <w:rPr>
          <w:b/>
          <w:sz w:val="32"/>
        </w:rPr>
        <w:t>and</w:t>
      </w:r>
      <w:r>
        <w:rPr>
          <w:b/>
          <w:spacing w:val="-16"/>
          <w:sz w:val="32"/>
        </w:rPr>
        <w:t xml:space="preserve"> </w:t>
      </w:r>
      <w:r>
        <w:rPr>
          <w:b/>
          <w:sz w:val="32"/>
        </w:rPr>
        <w:t>Application</w:t>
      </w:r>
      <w:r>
        <w:rPr>
          <w:b/>
          <w:spacing w:val="-5"/>
          <w:sz w:val="32"/>
        </w:rPr>
        <w:t xml:space="preserve"> </w:t>
      </w:r>
      <w:r>
        <w:rPr>
          <w:b/>
          <w:sz w:val="32"/>
        </w:rPr>
        <w:t>of</w:t>
      </w:r>
      <w:r>
        <w:rPr>
          <w:b/>
          <w:spacing w:val="-5"/>
          <w:sz w:val="32"/>
        </w:rPr>
        <w:t xml:space="preserve"> </w:t>
      </w:r>
      <w:r>
        <w:rPr>
          <w:b/>
          <w:sz w:val="32"/>
        </w:rPr>
        <w:t>a Multi-Attribute Model</w:t>
      </w:r>
    </w:p>
    <w:p w:rsidR="00C31389" w:rsidRDefault="00C31389" w14:paraId="2574B61B" w14:textId="77777777">
      <w:pPr>
        <w:pStyle w:val="BodyText"/>
        <w:spacing w:before="3"/>
        <w:rPr>
          <w:b/>
          <w:sz w:val="31"/>
        </w:rPr>
      </w:pPr>
    </w:p>
    <w:p w:rsidR="00C31389" w:rsidRDefault="00561FBD" w14:paraId="097AF51D" w14:textId="77777777">
      <w:pPr>
        <w:pStyle w:val="ListParagraph"/>
        <w:numPr>
          <w:ilvl w:val="1"/>
          <w:numId w:val="11"/>
        </w:numPr>
        <w:tabs>
          <w:tab w:val="left" w:pos="991"/>
        </w:tabs>
        <w:ind w:left="991" w:hanging="511"/>
        <w:rPr>
          <w:b/>
          <w:sz w:val="28"/>
        </w:rPr>
      </w:pPr>
      <w:bookmarkStart w:name="H.1_Background" w:id="648"/>
      <w:bookmarkStart w:name="_bookmark499" w:id="649"/>
      <w:bookmarkEnd w:id="648"/>
      <w:bookmarkEnd w:id="649"/>
      <w:r>
        <w:rPr>
          <w:b/>
          <w:spacing w:val="-2"/>
          <w:sz w:val="28"/>
        </w:rPr>
        <w:t>Background</w:t>
      </w:r>
    </w:p>
    <w:p w:rsidR="00C31389" w:rsidRDefault="00561FBD" w14:paraId="4D1A2211" w14:textId="77777777">
      <w:pPr>
        <w:pStyle w:val="BodyText"/>
        <w:spacing w:before="241"/>
        <w:ind w:left="479" w:right="462"/>
      </w:pPr>
      <w:r>
        <w:t xml:space="preserve">The method to estimate customer willingness to purchase energy efficient equipment in </w:t>
      </w:r>
      <w:r>
        <w:t>potential studies has evolved over the past decade. Early approaches used adoption curves that directly related willingness to a simple payback period based on survey questions. This approach was not desirable because it lacked a formal model of customer d</w:t>
      </w:r>
      <w:r>
        <w:t>ecision-making and</w:t>
      </w:r>
      <w:r>
        <w:rPr>
          <w:spacing w:val="-3"/>
        </w:rPr>
        <w:t xml:space="preserve"> </w:t>
      </w:r>
      <w:r>
        <w:t>lacked</w:t>
      </w:r>
      <w:r>
        <w:rPr>
          <w:spacing w:val="-4"/>
        </w:rPr>
        <w:t xml:space="preserve"> </w:t>
      </w:r>
      <w:r>
        <w:t>parameters</w:t>
      </w:r>
      <w:r>
        <w:rPr>
          <w:spacing w:val="-2"/>
        </w:rPr>
        <w:t xml:space="preserve"> </w:t>
      </w:r>
      <w:r>
        <w:t>with</w:t>
      </w:r>
      <w:r>
        <w:rPr>
          <w:spacing w:val="-3"/>
        </w:rPr>
        <w:t xml:space="preserve"> </w:t>
      </w:r>
      <w:r>
        <w:t>values</w:t>
      </w:r>
      <w:r>
        <w:rPr>
          <w:spacing w:val="-3"/>
        </w:rPr>
        <w:t xml:space="preserve"> </w:t>
      </w:r>
      <w:r>
        <w:t>that</w:t>
      </w:r>
      <w:r>
        <w:rPr>
          <w:spacing w:val="-3"/>
        </w:rPr>
        <w:t xml:space="preserve"> </w:t>
      </w:r>
      <w:r>
        <w:t>might</w:t>
      </w:r>
      <w:r>
        <w:rPr>
          <w:spacing w:val="-3"/>
        </w:rPr>
        <w:t xml:space="preserve"> </w:t>
      </w:r>
      <w:r>
        <w:t>vary</w:t>
      </w:r>
      <w:r>
        <w:rPr>
          <w:spacing w:val="-3"/>
        </w:rPr>
        <w:t xml:space="preserve"> </w:t>
      </w:r>
      <w:r>
        <w:t>across</w:t>
      </w:r>
      <w:r>
        <w:rPr>
          <w:spacing w:val="-3"/>
        </w:rPr>
        <w:t xml:space="preserve"> </w:t>
      </w:r>
      <w:r>
        <w:t>measures</w:t>
      </w:r>
      <w:r>
        <w:rPr>
          <w:spacing w:val="-3"/>
        </w:rPr>
        <w:t xml:space="preserve"> </w:t>
      </w:r>
      <w:r>
        <w:t>and</w:t>
      </w:r>
      <w:r>
        <w:rPr>
          <w:spacing w:val="-4"/>
        </w:rPr>
        <w:t xml:space="preserve"> </w:t>
      </w:r>
      <w:r>
        <w:t>customers</w:t>
      </w:r>
      <w:r>
        <w:rPr>
          <w:spacing w:val="-4"/>
        </w:rPr>
        <w:t xml:space="preserve"> </w:t>
      </w:r>
      <w:r>
        <w:t>and</w:t>
      </w:r>
      <w:r>
        <w:rPr>
          <w:spacing w:val="-3"/>
        </w:rPr>
        <w:t xml:space="preserve"> </w:t>
      </w:r>
      <w:r>
        <w:t>that might change over time. Eventually a formal choice model</w:t>
      </w:r>
      <w:hyperlink w:history="1" w:anchor="_bookmark500">
        <w:r>
          <w:rPr>
            <w:position w:val="7"/>
            <w:sz w:val="14"/>
          </w:rPr>
          <w:t>193</w:t>
        </w:r>
      </w:hyperlink>
      <w:r>
        <w:rPr>
          <w:spacing w:val="33"/>
          <w:position w:val="7"/>
          <w:sz w:val="14"/>
        </w:rPr>
        <w:t xml:space="preserve"> </w:t>
      </w:r>
      <w:r>
        <w:t>was selected from widely a</w:t>
      </w:r>
      <w:r>
        <w:t>ccepted research in behavioral science; this model uses a single sensitivity parameter to define choice based on expected value factor. This model could closely fit the earlier payback curves when simple payback was used as the metric for the decision-maki</w:t>
      </w:r>
      <w:r>
        <w:t xml:space="preserve">ng value </w:t>
      </w:r>
      <w:r>
        <w:rPr>
          <w:spacing w:val="-2"/>
        </w:rPr>
        <w:t>factor.</w:t>
      </w:r>
    </w:p>
    <w:p w:rsidR="00C31389" w:rsidRDefault="00C31389" w14:paraId="7E99B96B" w14:textId="77777777">
      <w:pPr>
        <w:pStyle w:val="BodyText"/>
        <w:spacing w:before="10"/>
        <w:rPr>
          <w:sz w:val="20"/>
        </w:rPr>
      </w:pPr>
    </w:p>
    <w:p w:rsidR="00C31389" w:rsidRDefault="00561FBD" w14:paraId="6A6B3681" w14:textId="77777777">
      <w:pPr>
        <w:pStyle w:val="BodyText"/>
        <w:ind w:left="479" w:right="433"/>
        <w:rPr>
          <w:sz w:val="14"/>
        </w:rPr>
      </w:pPr>
      <w:r>
        <w:t>Around</w:t>
      </w:r>
      <w:r>
        <w:rPr>
          <w:spacing w:val="-3"/>
        </w:rPr>
        <w:t xml:space="preserve"> </w:t>
      </w:r>
      <w:r>
        <w:t>the</w:t>
      </w:r>
      <w:r>
        <w:rPr>
          <w:spacing w:val="-3"/>
        </w:rPr>
        <w:t xml:space="preserve"> </w:t>
      </w:r>
      <w:r>
        <w:t>same</w:t>
      </w:r>
      <w:r>
        <w:rPr>
          <w:spacing w:val="-3"/>
        </w:rPr>
        <w:t xml:space="preserve"> </w:t>
      </w:r>
      <w:r>
        <w:t>time,</w:t>
      </w:r>
      <w:r>
        <w:rPr>
          <w:spacing w:val="-3"/>
        </w:rPr>
        <w:t xml:space="preserve"> </w:t>
      </w:r>
      <w:r>
        <w:t>another</w:t>
      </w:r>
      <w:r>
        <w:rPr>
          <w:spacing w:val="-3"/>
        </w:rPr>
        <w:t xml:space="preserve"> </w:t>
      </w:r>
      <w:r>
        <w:t>measure</w:t>
      </w:r>
      <w:r>
        <w:rPr>
          <w:spacing w:val="-3"/>
        </w:rPr>
        <w:t xml:space="preserve"> </w:t>
      </w:r>
      <w:r>
        <w:t>of</w:t>
      </w:r>
      <w:r>
        <w:rPr>
          <w:spacing w:val="-3"/>
        </w:rPr>
        <w:t xml:space="preserve"> </w:t>
      </w:r>
      <w:r>
        <w:t>utility</w:t>
      </w:r>
      <w:r>
        <w:rPr>
          <w:spacing w:val="-3"/>
        </w:rPr>
        <w:t xml:space="preserve"> </w:t>
      </w:r>
      <w:r>
        <w:t>was</w:t>
      </w:r>
      <w:r>
        <w:rPr>
          <w:spacing w:val="-3"/>
        </w:rPr>
        <w:t xml:space="preserve"> </w:t>
      </w:r>
      <w:r>
        <w:t>introduced,</w:t>
      </w:r>
      <w:r>
        <w:rPr>
          <w:spacing w:val="-3"/>
        </w:rPr>
        <w:t xml:space="preserve"> </w:t>
      </w:r>
      <w:r>
        <w:t>the</w:t>
      </w:r>
      <w:r>
        <w:rPr>
          <w:spacing w:val="-3"/>
        </w:rPr>
        <w:t xml:space="preserve"> </w:t>
      </w:r>
      <w:r>
        <w:t>levelized</w:t>
      </w:r>
      <w:r>
        <w:rPr>
          <w:spacing w:val="-3"/>
        </w:rPr>
        <w:t xml:space="preserve"> </w:t>
      </w:r>
      <w:r>
        <w:t>measure</w:t>
      </w:r>
      <w:r>
        <w:rPr>
          <w:spacing w:val="-3"/>
        </w:rPr>
        <w:t xml:space="preserve"> </w:t>
      </w:r>
      <w:r>
        <w:t>cost (LMC), that better described the investment characteristics of competing measures in terms of standard cash flow analysis. Rather than using a sim</w:t>
      </w:r>
      <w:r>
        <w:t>ple time value of money for the discount rate in the LMC calculation, an implied discount rate was used to better describe economic inefficiencies in customer choices.</w:t>
      </w:r>
      <w:hyperlink w:history="1" w:anchor="_bookmark501">
        <w:r>
          <w:rPr>
            <w:position w:val="7"/>
            <w:sz w:val="14"/>
          </w:rPr>
          <w:t>194</w:t>
        </w:r>
      </w:hyperlink>
      <w:r>
        <w:rPr>
          <w:spacing w:val="34"/>
          <w:position w:val="7"/>
          <w:sz w:val="14"/>
        </w:rPr>
        <w:t xml:space="preserve"> </w:t>
      </w:r>
      <w:r>
        <w:t>The implied discount</w:t>
      </w:r>
      <w:r>
        <w:t xml:space="preserve"> rate is the effective discount rate that would describe consumer adoption behavior if adoption was based solely on the financial characteristics of an EE measure. High observed implied discount rates for EE purchases indicated a range of market barriers a</w:t>
      </w:r>
      <w:r>
        <w:t>nd risk factors influence adoption beyond just the consumer time value of money such as lack of access to capital, liquidity constraints, split incentives, hassle, information search costs, and behavioral failures.</w:t>
      </w:r>
      <w:hyperlink w:history="1" w:anchor="_bookmark502">
        <w:r>
          <w:rPr>
            <w:position w:val="7"/>
            <w:sz w:val="14"/>
          </w:rPr>
          <w:t>195</w:t>
        </w:r>
      </w:hyperlink>
      <w:r>
        <w:rPr>
          <w:position w:val="7"/>
          <w:sz w:val="14"/>
        </w:rPr>
        <w:t xml:space="preserve">, </w:t>
      </w:r>
      <w:hyperlink w:history="1" w:anchor="_bookmark503">
        <w:r>
          <w:rPr>
            <w:position w:val="7"/>
            <w:sz w:val="14"/>
          </w:rPr>
          <w:t>196</w:t>
        </w:r>
      </w:hyperlink>
      <w:r>
        <w:rPr>
          <w:spacing w:val="40"/>
          <w:position w:val="7"/>
          <w:sz w:val="14"/>
        </w:rPr>
        <w:t xml:space="preserve"> </w:t>
      </w:r>
      <w:r>
        <w:t>The difference between the consumer’s implied discount rate and their risk-adjusted time value of money is often referred to as the efficiency gap. Research has explained the discrepancy between the implied discount rate</w:t>
      </w:r>
      <w:r>
        <w:t xml:space="preserve"> and the risk-adjusted time value of money as due to market barriers facing the EE industry.</w:t>
      </w:r>
      <w:hyperlink w:history="1" w:anchor="_bookmark504">
        <w:r>
          <w:rPr>
            <w:position w:val="7"/>
            <w:sz w:val="14"/>
          </w:rPr>
          <w:t>197</w:t>
        </w:r>
      </w:hyperlink>
    </w:p>
    <w:p w:rsidR="00C31389" w:rsidRDefault="00C31389" w14:paraId="2E16DDCA" w14:textId="77777777">
      <w:pPr>
        <w:pStyle w:val="BodyText"/>
        <w:spacing w:before="9"/>
        <w:rPr>
          <w:sz w:val="20"/>
        </w:rPr>
      </w:pPr>
    </w:p>
    <w:p w:rsidR="00C31389" w:rsidRDefault="00561FBD" w14:paraId="3E474994" w14:textId="77777777">
      <w:pPr>
        <w:pStyle w:val="BodyText"/>
        <w:ind w:left="480" w:right="445"/>
      </w:pPr>
      <w:r>
        <w:t>This</w:t>
      </w:r>
      <w:r>
        <w:rPr>
          <w:spacing w:val="-1"/>
        </w:rPr>
        <w:t xml:space="preserve"> </w:t>
      </w:r>
      <w:r>
        <w:t>gap</w:t>
      </w:r>
      <w:r>
        <w:rPr>
          <w:spacing w:val="-1"/>
        </w:rPr>
        <w:t xml:space="preserve"> </w:t>
      </w:r>
      <w:r>
        <w:t>in</w:t>
      </w:r>
      <w:r>
        <w:rPr>
          <w:spacing w:val="-2"/>
        </w:rPr>
        <w:t xml:space="preserve"> </w:t>
      </w:r>
      <w:r>
        <w:t>consumer</w:t>
      </w:r>
      <w:r>
        <w:rPr>
          <w:spacing w:val="-1"/>
        </w:rPr>
        <w:t xml:space="preserve"> </w:t>
      </w:r>
      <w:r>
        <w:t>choices</w:t>
      </w:r>
      <w:r>
        <w:rPr>
          <w:spacing w:val="-1"/>
        </w:rPr>
        <w:t xml:space="preserve"> </w:t>
      </w:r>
      <w:r>
        <w:t>contributes</w:t>
      </w:r>
      <w:r>
        <w:rPr>
          <w:spacing w:val="-1"/>
        </w:rPr>
        <w:t xml:space="preserve"> </w:t>
      </w:r>
      <w:r>
        <w:t>substantially</w:t>
      </w:r>
      <w:r>
        <w:rPr>
          <w:spacing w:val="-1"/>
        </w:rPr>
        <w:t xml:space="preserve"> </w:t>
      </w:r>
      <w:r>
        <w:t>to</w:t>
      </w:r>
      <w:r>
        <w:rPr>
          <w:spacing w:val="-1"/>
        </w:rPr>
        <w:t xml:space="preserve"> </w:t>
      </w:r>
      <w:r>
        <w:t>the</w:t>
      </w:r>
      <w:r>
        <w:rPr>
          <w:spacing w:val="-1"/>
        </w:rPr>
        <w:t xml:space="preserve"> </w:t>
      </w:r>
      <w:r>
        <w:t>inability</w:t>
      </w:r>
      <w:r>
        <w:rPr>
          <w:spacing w:val="-1"/>
        </w:rPr>
        <w:t xml:space="preserve"> </w:t>
      </w:r>
      <w:r>
        <w:t>of</w:t>
      </w:r>
      <w:r>
        <w:rPr>
          <w:spacing w:val="-1"/>
        </w:rPr>
        <w:t xml:space="preserve"> </w:t>
      </w:r>
      <w:r>
        <w:t>achievable</w:t>
      </w:r>
      <w:r>
        <w:rPr>
          <w:spacing w:val="-4"/>
        </w:rPr>
        <w:t xml:space="preserve"> </w:t>
      </w:r>
      <w:r>
        <w:t>potenti</w:t>
      </w:r>
      <w:r>
        <w:t>al forecasts to reach economic potential forecasts in EE potential studies. Model scenarios have since been run using assumptions about improvements in implied discount rate as a basis of finding the future limits of achievable potential. Studies have also</w:t>
      </w:r>
      <w:r>
        <w:t xml:space="preserve"> attempted to estimate improvements in implied discount rates due to specific program interventions like financing and on-bill repayment.</w:t>
      </w:r>
      <w:hyperlink w:history="1" w:anchor="_bookmark505">
        <w:r>
          <w:rPr>
            <w:position w:val="7"/>
            <w:sz w:val="14"/>
          </w:rPr>
          <w:t>198</w:t>
        </w:r>
      </w:hyperlink>
      <w:r>
        <w:rPr>
          <w:spacing w:val="31"/>
          <w:position w:val="7"/>
          <w:sz w:val="14"/>
        </w:rPr>
        <w:t xml:space="preserve"> </w:t>
      </w:r>
      <w:r>
        <w:t xml:space="preserve">Until the 2021 Study, the measure of utility used </w:t>
      </w:r>
      <w:r>
        <w:t>in the logit</w:t>
      </w:r>
      <w:r>
        <w:rPr>
          <w:spacing w:val="-3"/>
        </w:rPr>
        <w:t xml:space="preserve"> </w:t>
      </w:r>
      <w:r>
        <w:t>choice</w:t>
      </w:r>
      <w:r>
        <w:rPr>
          <w:spacing w:val="-4"/>
        </w:rPr>
        <w:t xml:space="preserve"> </w:t>
      </w:r>
      <w:r>
        <w:t>model</w:t>
      </w:r>
      <w:r>
        <w:rPr>
          <w:spacing w:val="-3"/>
        </w:rPr>
        <w:t xml:space="preserve"> </w:t>
      </w:r>
      <w:r>
        <w:t>is</w:t>
      </w:r>
      <w:r>
        <w:rPr>
          <w:spacing w:val="-3"/>
        </w:rPr>
        <w:t xml:space="preserve"> </w:t>
      </w:r>
      <w:r>
        <w:t>a</w:t>
      </w:r>
      <w:r>
        <w:rPr>
          <w:spacing w:val="-3"/>
        </w:rPr>
        <w:t xml:space="preserve"> </w:t>
      </w:r>
      <w:r>
        <w:t>purely</w:t>
      </w:r>
      <w:r>
        <w:rPr>
          <w:spacing w:val="-3"/>
        </w:rPr>
        <w:t xml:space="preserve"> </w:t>
      </w:r>
      <w:r>
        <w:t>economic</w:t>
      </w:r>
      <w:r>
        <w:rPr>
          <w:spacing w:val="-3"/>
        </w:rPr>
        <w:t xml:space="preserve"> </w:t>
      </w:r>
      <w:r>
        <w:t>measure</w:t>
      </w:r>
      <w:r>
        <w:rPr>
          <w:spacing w:val="-3"/>
        </w:rPr>
        <w:t xml:space="preserve"> </w:t>
      </w:r>
      <w:r>
        <w:t>(LMC)</w:t>
      </w:r>
      <w:r>
        <w:rPr>
          <w:spacing w:val="-3"/>
        </w:rPr>
        <w:t xml:space="preserve"> </w:t>
      </w:r>
      <w:r>
        <w:t>adjusted</w:t>
      </w:r>
      <w:r>
        <w:rPr>
          <w:spacing w:val="-3"/>
        </w:rPr>
        <w:t xml:space="preserve"> </w:t>
      </w:r>
      <w:r>
        <w:t>in</w:t>
      </w:r>
      <w:r>
        <w:rPr>
          <w:spacing w:val="-3"/>
        </w:rPr>
        <w:t xml:space="preserve"> </w:t>
      </w:r>
      <w:r>
        <w:t>aggregate</w:t>
      </w:r>
      <w:r>
        <w:rPr>
          <w:spacing w:val="-3"/>
        </w:rPr>
        <w:t xml:space="preserve"> </w:t>
      </w:r>
      <w:r>
        <w:t>by</w:t>
      </w:r>
      <w:r>
        <w:rPr>
          <w:spacing w:val="-3"/>
        </w:rPr>
        <w:t xml:space="preserve"> </w:t>
      </w:r>
      <w:r>
        <w:t>the</w:t>
      </w:r>
      <w:r>
        <w:rPr>
          <w:spacing w:val="-3"/>
        </w:rPr>
        <w:t xml:space="preserve"> </w:t>
      </w:r>
      <w:r>
        <w:t>degree to which this measure is insufficient (implied discount rate).</w:t>
      </w:r>
    </w:p>
    <w:p w:rsidR="00C31389" w:rsidRDefault="00C31389" w14:paraId="4FDE7946" w14:textId="77777777">
      <w:pPr>
        <w:pStyle w:val="BodyText"/>
        <w:spacing w:before="11"/>
        <w:rPr>
          <w:sz w:val="20"/>
        </w:rPr>
      </w:pPr>
    </w:p>
    <w:p w:rsidR="00C31389" w:rsidRDefault="00561FBD" w14:paraId="24DF4959" w14:textId="77777777">
      <w:pPr>
        <w:pStyle w:val="BodyText"/>
        <w:ind w:left="480" w:right="615"/>
      </w:pPr>
      <w:r>
        <w:t>Unlike</w:t>
      </w:r>
      <w:r>
        <w:rPr>
          <w:spacing w:val="40"/>
        </w:rPr>
        <w:t xml:space="preserve"> </w:t>
      </w:r>
      <w:r>
        <w:t>potential</w:t>
      </w:r>
      <w:r>
        <w:rPr>
          <w:spacing w:val="-3"/>
        </w:rPr>
        <w:t xml:space="preserve"> </w:t>
      </w:r>
      <w:r>
        <w:t>studies</w:t>
      </w:r>
      <w:r>
        <w:rPr>
          <w:spacing w:val="-4"/>
        </w:rPr>
        <w:t xml:space="preserve"> </w:t>
      </w:r>
      <w:r>
        <w:t>before</w:t>
      </w:r>
      <w:r>
        <w:rPr>
          <w:spacing w:val="-3"/>
        </w:rPr>
        <w:t xml:space="preserve"> </w:t>
      </w:r>
      <w:r>
        <w:t>2021</w:t>
      </w:r>
      <w:r>
        <w:rPr>
          <w:spacing w:val="-3"/>
        </w:rPr>
        <w:t xml:space="preserve"> </w:t>
      </w:r>
      <w:r>
        <w:t>modeled,</w:t>
      </w:r>
      <w:r>
        <w:rPr>
          <w:spacing w:val="-3"/>
        </w:rPr>
        <w:t xml:space="preserve"> </w:t>
      </w:r>
      <w:r>
        <w:t>customer</w:t>
      </w:r>
      <w:r>
        <w:rPr>
          <w:spacing w:val="-3"/>
        </w:rPr>
        <w:t xml:space="preserve"> </w:t>
      </w:r>
      <w:r>
        <w:t>preferences</w:t>
      </w:r>
      <w:r>
        <w:rPr>
          <w:spacing w:val="-3"/>
        </w:rPr>
        <w:t xml:space="preserve"> </w:t>
      </w:r>
      <w:r>
        <w:t>are</w:t>
      </w:r>
      <w:r>
        <w:rPr>
          <w:spacing w:val="-4"/>
        </w:rPr>
        <w:t xml:space="preserve"> </w:t>
      </w:r>
      <w:r>
        <w:t>not</w:t>
      </w:r>
      <w:r>
        <w:rPr>
          <w:spacing w:val="-3"/>
        </w:rPr>
        <w:t xml:space="preserve"> </w:t>
      </w:r>
      <w:r>
        <w:t>based</w:t>
      </w:r>
      <w:r>
        <w:rPr>
          <w:spacing w:val="-3"/>
        </w:rPr>
        <w:t xml:space="preserve"> </w:t>
      </w:r>
      <w:r>
        <w:t xml:space="preserve">solely on </w:t>
      </w:r>
      <w:r>
        <w:t>the financial attributes of the product. Instead, customers make decisions based on</w:t>
      </w:r>
    </w:p>
    <w:p w:rsidR="00C31389" w:rsidRDefault="00561FBD" w14:paraId="250DA9C9" w14:textId="77777777">
      <w:pPr>
        <w:pStyle w:val="BodyText"/>
        <w:spacing w:before="4"/>
        <w:rPr>
          <w:sz w:val="13"/>
        </w:rPr>
      </w:pPr>
      <w:r>
        <w:rPr>
          <w:noProof/>
        </w:rPr>
        <mc:AlternateContent>
          <mc:Choice Requires="wps">
            <w:drawing>
              <wp:anchor distT="0" distB="0" distL="0" distR="0" simplePos="0" relativeHeight="487741952" behindDoc="1" locked="0" layoutInCell="1" allowOverlap="1" wp14:editId="53AEA395" wp14:anchorId="314C3589">
                <wp:simplePos x="0" y="0"/>
                <wp:positionH relativeFrom="page">
                  <wp:posOffset>914400</wp:posOffset>
                </wp:positionH>
                <wp:positionV relativeFrom="paragraph">
                  <wp:posOffset>113177</wp:posOffset>
                </wp:positionV>
                <wp:extent cx="1828800" cy="6985"/>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56" style="position:absolute;margin-left:1in;margin-top:8.9pt;width:2in;height:.55pt;z-index:-15574528;visibility:visible;mso-wrap-style:square;mso-wrap-distance-left:0;mso-wrap-distance-top:0;mso-wrap-distance-right:0;mso-wrap-distance-bottom:0;mso-position-horizontal:absolute;mso-position-horizontal-relative:page;mso-position-vertical:absolute;mso-position-vertical-relative:text;v-text-anchor:top" coordsize="1828800,6985" o:spid="_x0000_s1026" fillcolor="black" stroked="f" path="m1828800,l,,,685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" w14:anchorId="13020625">
                <v:path arrowok="t"/>
                <w10:wrap type="topAndBottom" anchorx="page"/>
              </v:shape>
            </w:pict>
          </mc:Fallback>
        </mc:AlternateContent>
      </w:r>
    </w:p>
    <w:p w:rsidR="00C31389" w:rsidRDefault="00561FBD" w14:paraId="18373E51" w14:textId="77777777">
      <w:pPr>
        <w:spacing w:before="88"/>
        <w:ind w:left="480" w:right="434"/>
        <w:rPr>
          <w:sz w:val="18"/>
        </w:rPr>
      </w:pPr>
      <w:bookmarkStart w:name="_bookmark500" w:id="650"/>
      <w:bookmarkEnd w:id="650"/>
      <w:r>
        <w:rPr>
          <w:position w:val="6"/>
          <w:sz w:val="12"/>
        </w:rPr>
        <w:t>193</w:t>
      </w:r>
      <w:r>
        <w:rPr>
          <w:spacing w:val="15"/>
          <w:position w:val="6"/>
          <w:sz w:val="12"/>
        </w:rPr>
        <w:t xml:space="preserve"> </w:t>
      </w:r>
      <w:r>
        <w:rPr>
          <w:sz w:val="18"/>
        </w:rPr>
        <w:t>McFadden,</w:t>
      </w:r>
      <w:r>
        <w:rPr>
          <w:spacing w:val="-2"/>
          <w:sz w:val="18"/>
        </w:rPr>
        <w:t xml:space="preserve"> </w:t>
      </w:r>
      <w:r>
        <w:rPr>
          <w:sz w:val="18"/>
        </w:rPr>
        <w:t>D.</w:t>
      </w:r>
      <w:r>
        <w:rPr>
          <w:spacing w:val="-1"/>
          <w:sz w:val="18"/>
        </w:rPr>
        <w:t xml:space="preserve"> </w:t>
      </w:r>
      <w:r>
        <w:rPr>
          <w:sz w:val="18"/>
        </w:rPr>
        <w:t>and</w:t>
      </w:r>
      <w:r>
        <w:rPr>
          <w:spacing w:val="-3"/>
          <w:sz w:val="18"/>
        </w:rPr>
        <w:t xml:space="preserve"> </w:t>
      </w:r>
      <w:r>
        <w:rPr>
          <w:sz w:val="18"/>
        </w:rPr>
        <w:t>K.</w:t>
      </w:r>
      <w:r>
        <w:rPr>
          <w:spacing w:val="-2"/>
          <w:sz w:val="18"/>
        </w:rPr>
        <w:t xml:space="preserve"> </w:t>
      </w:r>
      <w:r>
        <w:rPr>
          <w:sz w:val="18"/>
        </w:rPr>
        <w:t>Train,</w:t>
      </w:r>
      <w:r>
        <w:rPr>
          <w:spacing w:val="-1"/>
          <w:sz w:val="18"/>
        </w:rPr>
        <w:t xml:space="preserve"> </w:t>
      </w:r>
      <w:hyperlink r:id="rId326">
        <w:r>
          <w:rPr>
            <w:sz w:val="18"/>
          </w:rPr>
          <w:t>“</w:t>
        </w:r>
        <w:r>
          <w:rPr>
            <w:color w:val="68942C"/>
            <w:sz w:val="18"/>
            <w:u w:val="single" w:color="68942C"/>
          </w:rPr>
          <w:t>Mixed</w:t>
        </w:r>
        <w:r>
          <w:rPr>
            <w:color w:val="68942C"/>
            <w:spacing w:val="-3"/>
            <w:sz w:val="18"/>
            <w:u w:val="single" w:color="68942C"/>
          </w:rPr>
          <w:t xml:space="preserve"> </w:t>
        </w:r>
        <w:r>
          <w:rPr>
            <w:color w:val="68942C"/>
            <w:sz w:val="18"/>
            <w:u w:val="single" w:color="68942C"/>
          </w:rPr>
          <w:t>MNL</w:t>
        </w:r>
        <w:r>
          <w:rPr>
            <w:color w:val="68942C"/>
            <w:spacing w:val="-3"/>
            <w:sz w:val="18"/>
            <w:u w:val="single" w:color="68942C"/>
          </w:rPr>
          <w:t xml:space="preserve"> </w:t>
        </w:r>
        <w:r>
          <w:rPr>
            <w:color w:val="68942C"/>
            <w:sz w:val="18"/>
            <w:u w:val="single" w:color="68942C"/>
          </w:rPr>
          <w:t>Models</w:t>
        </w:r>
        <w:r>
          <w:rPr>
            <w:color w:val="68942C"/>
            <w:spacing w:val="-2"/>
            <w:sz w:val="18"/>
            <w:u w:val="single" w:color="68942C"/>
          </w:rPr>
          <w:t xml:space="preserve"> </w:t>
        </w:r>
        <w:r>
          <w:rPr>
            <w:color w:val="68942C"/>
            <w:sz w:val="18"/>
            <w:u w:val="single" w:color="68942C"/>
          </w:rPr>
          <w:t>for</w:t>
        </w:r>
        <w:r>
          <w:rPr>
            <w:color w:val="68942C"/>
            <w:spacing w:val="-2"/>
            <w:sz w:val="18"/>
            <w:u w:val="single" w:color="68942C"/>
          </w:rPr>
          <w:t xml:space="preserve"> </w:t>
        </w:r>
        <w:r>
          <w:rPr>
            <w:color w:val="68942C"/>
            <w:sz w:val="18"/>
            <w:u w:val="single" w:color="68942C"/>
          </w:rPr>
          <w:t>Discrete</w:t>
        </w:r>
        <w:r>
          <w:rPr>
            <w:color w:val="68942C"/>
            <w:spacing w:val="-3"/>
            <w:sz w:val="18"/>
            <w:u w:val="single" w:color="68942C"/>
          </w:rPr>
          <w:t xml:space="preserve"> </w:t>
        </w:r>
        <w:r>
          <w:rPr>
            <w:color w:val="68942C"/>
            <w:sz w:val="18"/>
            <w:u w:val="single" w:color="68942C"/>
          </w:rPr>
          <w:t>Response</w:t>
        </w:r>
        <w:r>
          <w:rPr>
            <w:sz w:val="18"/>
          </w:rPr>
          <w:t>,</w:t>
        </w:r>
      </w:hyperlink>
      <w:r>
        <w:rPr>
          <w:sz w:val="18"/>
        </w:rPr>
        <w:t>”</w:t>
      </w:r>
      <w:r>
        <w:rPr>
          <w:spacing w:val="-2"/>
          <w:sz w:val="18"/>
        </w:rPr>
        <w:t xml:space="preserve"> </w:t>
      </w:r>
      <w:r>
        <w:rPr>
          <w:i/>
          <w:sz w:val="18"/>
        </w:rPr>
        <w:t>Journal</w:t>
      </w:r>
      <w:r>
        <w:rPr>
          <w:i/>
          <w:spacing w:val="-2"/>
          <w:sz w:val="18"/>
        </w:rPr>
        <w:t xml:space="preserve"> </w:t>
      </w:r>
      <w:r>
        <w:rPr>
          <w:i/>
          <w:sz w:val="18"/>
        </w:rPr>
        <w:t>of</w:t>
      </w:r>
      <w:r>
        <w:rPr>
          <w:i/>
          <w:spacing w:val="-2"/>
          <w:sz w:val="18"/>
        </w:rPr>
        <w:t xml:space="preserve"> </w:t>
      </w:r>
      <w:r>
        <w:rPr>
          <w:i/>
          <w:sz w:val="18"/>
        </w:rPr>
        <w:t>Applied</w:t>
      </w:r>
      <w:r>
        <w:rPr>
          <w:i/>
          <w:spacing w:val="-3"/>
          <w:sz w:val="18"/>
        </w:rPr>
        <w:t xml:space="preserve"> </w:t>
      </w:r>
      <w:r>
        <w:rPr>
          <w:i/>
          <w:sz w:val="18"/>
        </w:rPr>
        <w:t>Econometrics</w:t>
      </w:r>
      <w:r>
        <w:rPr>
          <w:i/>
          <w:spacing w:val="-2"/>
          <w:sz w:val="18"/>
        </w:rPr>
        <w:t xml:space="preserve"> </w:t>
      </w:r>
      <w:r>
        <w:rPr>
          <w:sz w:val="18"/>
        </w:rPr>
        <w:t>15, no. 5: 447-470, 2000.</w:t>
      </w:r>
    </w:p>
    <w:p w:rsidR="00C31389" w:rsidRDefault="00561FBD" w14:paraId="1A5E690B" w14:textId="77777777">
      <w:pPr>
        <w:spacing w:before="38"/>
        <w:ind w:left="480"/>
        <w:rPr>
          <w:sz w:val="18"/>
        </w:rPr>
      </w:pPr>
      <w:bookmarkStart w:name="_bookmark501" w:id="651"/>
      <w:bookmarkEnd w:id="651"/>
      <w:r>
        <w:rPr>
          <w:position w:val="6"/>
          <w:sz w:val="12"/>
        </w:rPr>
        <w:t>194</w:t>
      </w:r>
      <w:r>
        <w:rPr>
          <w:spacing w:val="11"/>
          <w:position w:val="6"/>
          <w:sz w:val="12"/>
        </w:rPr>
        <w:t xml:space="preserve"> </w:t>
      </w:r>
      <w:r>
        <w:rPr>
          <w:sz w:val="18"/>
        </w:rPr>
        <w:t>Gillingham,</w:t>
      </w:r>
      <w:r>
        <w:rPr>
          <w:spacing w:val="-4"/>
          <w:sz w:val="18"/>
        </w:rPr>
        <w:t xml:space="preserve"> </w:t>
      </w:r>
      <w:r>
        <w:rPr>
          <w:sz w:val="18"/>
        </w:rPr>
        <w:t>Newell,</w:t>
      </w:r>
      <w:r>
        <w:rPr>
          <w:spacing w:val="-4"/>
          <w:sz w:val="18"/>
        </w:rPr>
        <w:t xml:space="preserve"> </w:t>
      </w:r>
      <w:r>
        <w:rPr>
          <w:sz w:val="18"/>
        </w:rPr>
        <w:t>Palmer,</w:t>
      </w:r>
      <w:r>
        <w:rPr>
          <w:spacing w:val="-2"/>
          <w:sz w:val="18"/>
        </w:rPr>
        <w:t xml:space="preserve"> </w:t>
      </w:r>
      <w:hyperlink r:id="rId327">
        <w:r>
          <w:rPr>
            <w:sz w:val="18"/>
          </w:rPr>
          <w:t>“</w:t>
        </w:r>
        <w:r>
          <w:rPr>
            <w:color w:val="68942C"/>
            <w:sz w:val="18"/>
            <w:u w:val="single" w:color="68942C"/>
          </w:rPr>
          <w:t>Energy</w:t>
        </w:r>
        <w:r>
          <w:rPr>
            <w:color w:val="68942C"/>
            <w:spacing w:val="-4"/>
            <w:sz w:val="18"/>
            <w:u w:val="single" w:color="68942C"/>
          </w:rPr>
          <w:t xml:space="preserve"> </w:t>
        </w:r>
        <w:r>
          <w:rPr>
            <w:color w:val="68942C"/>
            <w:sz w:val="18"/>
            <w:u w:val="single" w:color="68942C"/>
          </w:rPr>
          <w:t>Efficiency</w:t>
        </w:r>
        <w:r>
          <w:rPr>
            <w:color w:val="68942C"/>
            <w:spacing w:val="-4"/>
            <w:sz w:val="18"/>
            <w:u w:val="single" w:color="68942C"/>
          </w:rPr>
          <w:t xml:space="preserve"> </w:t>
        </w:r>
        <w:r>
          <w:rPr>
            <w:color w:val="68942C"/>
            <w:sz w:val="18"/>
            <w:u w:val="single" w:color="68942C"/>
          </w:rPr>
          <w:t>Economics</w:t>
        </w:r>
        <w:r>
          <w:rPr>
            <w:color w:val="68942C"/>
            <w:spacing w:val="-3"/>
            <w:sz w:val="18"/>
            <w:u w:val="single" w:color="68942C"/>
          </w:rPr>
          <w:t xml:space="preserve"> </w:t>
        </w:r>
        <w:r>
          <w:rPr>
            <w:color w:val="68942C"/>
            <w:sz w:val="18"/>
            <w:u w:val="single" w:color="68942C"/>
          </w:rPr>
          <w:t>and</w:t>
        </w:r>
        <w:r>
          <w:rPr>
            <w:color w:val="68942C"/>
            <w:spacing w:val="-4"/>
            <w:sz w:val="18"/>
            <w:u w:val="single" w:color="68942C"/>
          </w:rPr>
          <w:t xml:space="preserve"> </w:t>
        </w:r>
        <w:r>
          <w:rPr>
            <w:color w:val="68942C"/>
            <w:sz w:val="18"/>
            <w:u w:val="single" w:color="68942C"/>
          </w:rPr>
          <w:t>Policy,</w:t>
        </w:r>
      </w:hyperlink>
      <w:r>
        <w:rPr>
          <w:sz w:val="18"/>
        </w:rPr>
        <w:t>”</w:t>
      </w:r>
      <w:r>
        <w:rPr>
          <w:spacing w:val="-3"/>
          <w:sz w:val="18"/>
        </w:rPr>
        <w:t xml:space="preserve"> </w:t>
      </w:r>
      <w:r>
        <w:rPr>
          <w:spacing w:val="-2"/>
          <w:sz w:val="18"/>
        </w:rPr>
        <w:t>2009.</w:t>
      </w:r>
    </w:p>
    <w:p w:rsidR="00C31389" w:rsidRDefault="00561FBD" w14:paraId="32F086A4" w14:textId="77777777">
      <w:pPr>
        <w:spacing w:before="34"/>
        <w:ind w:left="480" w:right="418" w:hanging="1"/>
        <w:rPr>
          <w:sz w:val="18"/>
        </w:rPr>
      </w:pPr>
      <w:bookmarkStart w:name="_bookmark502" w:id="652"/>
      <w:bookmarkEnd w:id="652"/>
      <w:r>
        <w:rPr>
          <w:position w:val="6"/>
          <w:sz w:val="12"/>
        </w:rPr>
        <w:t>195</w:t>
      </w:r>
      <w:r>
        <w:rPr>
          <w:spacing w:val="15"/>
          <w:position w:val="6"/>
          <w:sz w:val="12"/>
        </w:rPr>
        <w:t xml:space="preserve"> </w:t>
      </w:r>
      <w:r>
        <w:rPr>
          <w:sz w:val="18"/>
        </w:rPr>
        <w:t>J</w:t>
      </w:r>
      <w:r>
        <w:rPr>
          <w:spacing w:val="-2"/>
          <w:sz w:val="18"/>
        </w:rPr>
        <w:t xml:space="preserve"> </w:t>
      </w:r>
      <w:r>
        <w:rPr>
          <w:sz w:val="18"/>
        </w:rPr>
        <w:t>A</w:t>
      </w:r>
      <w:r>
        <w:rPr>
          <w:spacing w:val="-2"/>
          <w:sz w:val="18"/>
        </w:rPr>
        <w:t xml:space="preserve"> </w:t>
      </w:r>
      <w:r>
        <w:rPr>
          <w:sz w:val="18"/>
        </w:rPr>
        <w:t>Dubin,</w:t>
      </w:r>
      <w:r>
        <w:rPr>
          <w:spacing w:val="-1"/>
          <w:sz w:val="18"/>
        </w:rPr>
        <w:t xml:space="preserve"> </w:t>
      </w:r>
      <w:r>
        <w:rPr>
          <w:sz w:val="18"/>
        </w:rPr>
        <w:t>“Market</w:t>
      </w:r>
      <w:r>
        <w:rPr>
          <w:spacing w:val="-2"/>
          <w:sz w:val="18"/>
        </w:rPr>
        <w:t xml:space="preserve"> </w:t>
      </w:r>
      <w:r>
        <w:rPr>
          <w:sz w:val="18"/>
        </w:rPr>
        <w:t>barriers</w:t>
      </w:r>
      <w:r>
        <w:rPr>
          <w:spacing w:val="-2"/>
          <w:sz w:val="18"/>
        </w:rPr>
        <w:t xml:space="preserve"> </w:t>
      </w:r>
      <w:r>
        <w:rPr>
          <w:sz w:val="18"/>
        </w:rPr>
        <w:t>to</w:t>
      </w:r>
      <w:r>
        <w:rPr>
          <w:spacing w:val="-3"/>
          <w:sz w:val="18"/>
        </w:rPr>
        <w:t xml:space="preserve"> </w:t>
      </w:r>
      <w:r>
        <w:rPr>
          <w:sz w:val="18"/>
        </w:rPr>
        <w:t>conservation:</w:t>
      </w:r>
      <w:r>
        <w:rPr>
          <w:spacing w:val="-2"/>
          <w:sz w:val="18"/>
        </w:rPr>
        <w:t xml:space="preserve"> </w:t>
      </w:r>
      <w:r>
        <w:rPr>
          <w:sz w:val="18"/>
        </w:rPr>
        <w:t>are</w:t>
      </w:r>
      <w:r>
        <w:rPr>
          <w:spacing w:val="-3"/>
          <w:sz w:val="18"/>
        </w:rPr>
        <w:t xml:space="preserve"> </w:t>
      </w:r>
      <w:r>
        <w:rPr>
          <w:sz w:val="18"/>
        </w:rPr>
        <w:t>implicit</w:t>
      </w:r>
      <w:r>
        <w:rPr>
          <w:spacing w:val="-2"/>
          <w:sz w:val="18"/>
        </w:rPr>
        <w:t xml:space="preserve"> </w:t>
      </w:r>
      <w:r>
        <w:rPr>
          <w:sz w:val="18"/>
        </w:rPr>
        <w:t>discount</w:t>
      </w:r>
      <w:r>
        <w:rPr>
          <w:spacing w:val="-2"/>
          <w:sz w:val="18"/>
        </w:rPr>
        <w:t xml:space="preserve"> </w:t>
      </w:r>
      <w:r>
        <w:rPr>
          <w:sz w:val="18"/>
        </w:rPr>
        <w:t>rates</w:t>
      </w:r>
      <w:r>
        <w:rPr>
          <w:spacing w:val="-2"/>
          <w:sz w:val="18"/>
        </w:rPr>
        <w:t xml:space="preserve"> </w:t>
      </w:r>
      <w:r>
        <w:rPr>
          <w:sz w:val="18"/>
        </w:rPr>
        <w:t>too</w:t>
      </w:r>
      <w:r>
        <w:rPr>
          <w:spacing w:val="-1"/>
          <w:sz w:val="18"/>
        </w:rPr>
        <w:t xml:space="preserve"> </w:t>
      </w:r>
      <w:r>
        <w:rPr>
          <w:sz w:val="18"/>
        </w:rPr>
        <w:t>high?”</w:t>
      </w:r>
      <w:r>
        <w:rPr>
          <w:spacing w:val="-2"/>
          <w:sz w:val="18"/>
        </w:rPr>
        <w:t xml:space="preserve"> </w:t>
      </w:r>
      <w:r>
        <w:rPr>
          <w:sz w:val="18"/>
        </w:rPr>
        <w:t>Proceedings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POWER Conference on Energy Conservation, p. 21-33, 1992.</w:t>
      </w:r>
    </w:p>
    <w:p w:rsidR="00C31389" w:rsidRDefault="00561FBD" w14:paraId="506A0B88" w14:textId="77777777">
      <w:pPr>
        <w:spacing w:before="38"/>
        <w:ind w:left="480"/>
        <w:rPr>
          <w:sz w:val="18"/>
        </w:rPr>
      </w:pPr>
      <w:bookmarkStart w:name="_bookmark503" w:id="653"/>
      <w:bookmarkEnd w:id="653"/>
      <w:r>
        <w:rPr>
          <w:position w:val="6"/>
          <w:sz w:val="12"/>
        </w:rPr>
        <w:t>196</w:t>
      </w:r>
      <w:r>
        <w:rPr>
          <w:spacing w:val="11"/>
          <w:position w:val="6"/>
          <w:sz w:val="12"/>
        </w:rPr>
        <w:t xml:space="preserve"> </w:t>
      </w:r>
      <w:r>
        <w:rPr>
          <w:sz w:val="18"/>
        </w:rPr>
        <w:t>Gillingham,</w:t>
      </w:r>
      <w:r>
        <w:rPr>
          <w:spacing w:val="-4"/>
          <w:sz w:val="18"/>
        </w:rPr>
        <w:t xml:space="preserve"> </w:t>
      </w:r>
      <w:r>
        <w:rPr>
          <w:sz w:val="18"/>
        </w:rPr>
        <w:t>Newell,</w:t>
      </w:r>
      <w:r>
        <w:rPr>
          <w:spacing w:val="-4"/>
          <w:sz w:val="18"/>
        </w:rPr>
        <w:t xml:space="preserve"> </w:t>
      </w:r>
      <w:r>
        <w:rPr>
          <w:sz w:val="18"/>
        </w:rPr>
        <w:t>Palmer,</w:t>
      </w:r>
      <w:r>
        <w:rPr>
          <w:spacing w:val="-2"/>
          <w:sz w:val="18"/>
        </w:rPr>
        <w:t xml:space="preserve"> </w:t>
      </w:r>
      <w:hyperlink r:id="rId328">
        <w:r>
          <w:rPr>
            <w:sz w:val="18"/>
          </w:rPr>
          <w:t>“</w:t>
        </w:r>
        <w:r>
          <w:rPr>
            <w:color w:val="68942C"/>
            <w:sz w:val="18"/>
            <w:u w:val="single" w:color="68942C"/>
          </w:rPr>
          <w:t>Energy</w:t>
        </w:r>
        <w:r>
          <w:rPr>
            <w:color w:val="68942C"/>
            <w:spacing w:val="-4"/>
            <w:sz w:val="18"/>
            <w:u w:val="single" w:color="68942C"/>
          </w:rPr>
          <w:t xml:space="preserve"> </w:t>
        </w:r>
        <w:r>
          <w:rPr>
            <w:color w:val="68942C"/>
            <w:sz w:val="18"/>
            <w:u w:val="single" w:color="68942C"/>
          </w:rPr>
          <w:t>Efficiency</w:t>
        </w:r>
        <w:r>
          <w:rPr>
            <w:color w:val="68942C"/>
            <w:spacing w:val="-4"/>
            <w:sz w:val="18"/>
            <w:u w:val="single" w:color="68942C"/>
          </w:rPr>
          <w:t xml:space="preserve"> </w:t>
        </w:r>
        <w:r>
          <w:rPr>
            <w:color w:val="68942C"/>
            <w:sz w:val="18"/>
            <w:u w:val="single" w:color="68942C"/>
          </w:rPr>
          <w:t>Economics</w:t>
        </w:r>
        <w:r>
          <w:rPr>
            <w:color w:val="68942C"/>
            <w:spacing w:val="-3"/>
            <w:sz w:val="18"/>
            <w:u w:val="single" w:color="68942C"/>
          </w:rPr>
          <w:t xml:space="preserve"> </w:t>
        </w:r>
        <w:r>
          <w:rPr>
            <w:color w:val="68942C"/>
            <w:sz w:val="18"/>
            <w:u w:val="single" w:color="68942C"/>
          </w:rPr>
          <w:t>and</w:t>
        </w:r>
        <w:r>
          <w:rPr>
            <w:color w:val="68942C"/>
            <w:spacing w:val="-5"/>
            <w:sz w:val="18"/>
            <w:u w:val="single" w:color="68942C"/>
          </w:rPr>
          <w:t xml:space="preserve"> </w:t>
        </w:r>
        <w:r>
          <w:rPr>
            <w:color w:val="68942C"/>
            <w:sz w:val="18"/>
            <w:u w:val="single" w:color="68942C"/>
          </w:rPr>
          <w:t>Policy,</w:t>
        </w:r>
      </w:hyperlink>
      <w:r>
        <w:rPr>
          <w:sz w:val="18"/>
        </w:rPr>
        <w:t>”</w:t>
      </w:r>
      <w:r>
        <w:rPr>
          <w:spacing w:val="-3"/>
          <w:sz w:val="18"/>
        </w:rPr>
        <w:t xml:space="preserve"> </w:t>
      </w:r>
      <w:r>
        <w:rPr>
          <w:spacing w:val="-2"/>
          <w:sz w:val="18"/>
        </w:rPr>
        <w:t>2009.</w:t>
      </w:r>
    </w:p>
    <w:p w:rsidR="00C31389" w:rsidRDefault="00561FBD" w14:paraId="0F4944F7" w14:textId="77777777">
      <w:pPr>
        <w:spacing w:before="37"/>
        <w:ind w:left="480"/>
        <w:rPr>
          <w:sz w:val="18"/>
        </w:rPr>
      </w:pPr>
      <w:bookmarkStart w:name="_bookmark504" w:id="654"/>
      <w:bookmarkEnd w:id="654"/>
      <w:r>
        <w:rPr>
          <w:position w:val="6"/>
          <w:sz w:val="12"/>
        </w:rPr>
        <w:t>197</w:t>
      </w:r>
      <w:r>
        <w:rPr>
          <w:spacing w:val="11"/>
          <w:position w:val="6"/>
          <w:sz w:val="12"/>
        </w:rPr>
        <w:t xml:space="preserve"> </w:t>
      </w:r>
      <w:r>
        <w:rPr>
          <w:sz w:val="18"/>
        </w:rPr>
        <w:t>Jaffe,</w:t>
      </w:r>
      <w:r>
        <w:rPr>
          <w:spacing w:val="-3"/>
          <w:sz w:val="18"/>
        </w:rPr>
        <w:t xml:space="preserve"> </w:t>
      </w:r>
      <w:r>
        <w:rPr>
          <w:sz w:val="18"/>
        </w:rPr>
        <w:t>Newell,</w:t>
      </w:r>
      <w:r>
        <w:rPr>
          <w:spacing w:val="-2"/>
          <w:sz w:val="18"/>
        </w:rPr>
        <w:t xml:space="preserve"> </w:t>
      </w:r>
      <w:r>
        <w:rPr>
          <w:sz w:val="18"/>
        </w:rPr>
        <w:t>and</w:t>
      </w:r>
      <w:r>
        <w:rPr>
          <w:spacing w:val="-4"/>
          <w:sz w:val="18"/>
        </w:rPr>
        <w:t xml:space="preserve"> </w:t>
      </w:r>
      <w:r>
        <w:rPr>
          <w:sz w:val="18"/>
        </w:rPr>
        <w:t>Stavins,</w:t>
      </w:r>
      <w:r>
        <w:rPr>
          <w:spacing w:val="-3"/>
          <w:sz w:val="18"/>
        </w:rPr>
        <w:t xml:space="preserve"> </w:t>
      </w:r>
      <w:r>
        <w:rPr>
          <w:sz w:val="18"/>
        </w:rPr>
        <w:t>“Economics</w:t>
      </w:r>
      <w:r>
        <w:rPr>
          <w:spacing w:val="-3"/>
          <w:sz w:val="18"/>
        </w:rPr>
        <w:t xml:space="preserve"> </w:t>
      </w:r>
      <w:r>
        <w:rPr>
          <w:sz w:val="18"/>
        </w:rPr>
        <w:t>of</w:t>
      </w:r>
      <w:r>
        <w:rPr>
          <w:spacing w:val="-3"/>
          <w:sz w:val="18"/>
        </w:rPr>
        <w:t xml:space="preserve"> </w:t>
      </w:r>
      <w:r>
        <w:rPr>
          <w:sz w:val="18"/>
        </w:rPr>
        <w:t>Energy</w:t>
      </w:r>
      <w:r>
        <w:rPr>
          <w:spacing w:val="-2"/>
          <w:sz w:val="18"/>
        </w:rPr>
        <w:t xml:space="preserve"> </w:t>
      </w:r>
      <w:r>
        <w:rPr>
          <w:sz w:val="18"/>
        </w:rPr>
        <w:t>Efficiency,”</w:t>
      </w:r>
      <w:r>
        <w:rPr>
          <w:spacing w:val="-3"/>
          <w:sz w:val="18"/>
        </w:rPr>
        <w:t xml:space="preserve"> </w:t>
      </w:r>
      <w:r>
        <w:rPr>
          <w:i/>
          <w:sz w:val="18"/>
        </w:rPr>
        <w:t>Encyclopedia</w:t>
      </w:r>
      <w:r>
        <w:rPr>
          <w:i/>
          <w:spacing w:val="-4"/>
          <w:sz w:val="18"/>
        </w:rPr>
        <w:t xml:space="preserve"> </w:t>
      </w:r>
      <w:r>
        <w:rPr>
          <w:i/>
          <w:sz w:val="18"/>
        </w:rPr>
        <w:t>of</w:t>
      </w:r>
      <w:r>
        <w:rPr>
          <w:i/>
          <w:spacing w:val="-3"/>
          <w:sz w:val="18"/>
        </w:rPr>
        <w:t xml:space="preserve"> </w:t>
      </w:r>
      <w:r>
        <w:rPr>
          <w:i/>
          <w:sz w:val="18"/>
        </w:rPr>
        <w:t>Energy</w:t>
      </w:r>
      <w:r>
        <w:rPr>
          <w:i/>
          <w:spacing w:val="-3"/>
          <w:sz w:val="18"/>
        </w:rPr>
        <w:t xml:space="preserve"> </w:t>
      </w:r>
      <w:r>
        <w:rPr>
          <w:sz w:val="18"/>
        </w:rPr>
        <w:t>Vol.</w:t>
      </w:r>
      <w:r>
        <w:rPr>
          <w:spacing w:val="-3"/>
          <w:sz w:val="18"/>
        </w:rPr>
        <w:t xml:space="preserve"> </w:t>
      </w:r>
      <w:r>
        <w:rPr>
          <w:sz w:val="18"/>
        </w:rPr>
        <w:t>2:</w:t>
      </w:r>
      <w:r>
        <w:rPr>
          <w:spacing w:val="-3"/>
          <w:sz w:val="18"/>
        </w:rPr>
        <w:t xml:space="preserve"> </w:t>
      </w:r>
      <w:r>
        <w:rPr>
          <w:sz w:val="18"/>
        </w:rPr>
        <w:t>79-89,</w:t>
      </w:r>
      <w:r>
        <w:rPr>
          <w:spacing w:val="-2"/>
          <w:sz w:val="18"/>
        </w:rPr>
        <w:t xml:space="preserve"> 2004.</w:t>
      </w:r>
    </w:p>
    <w:p w:rsidR="00C31389" w:rsidRDefault="00561FBD" w14:paraId="08E76212" w14:textId="77777777">
      <w:pPr>
        <w:spacing w:before="34"/>
        <w:ind w:left="480" w:right="418"/>
        <w:rPr>
          <w:sz w:val="18"/>
        </w:rPr>
      </w:pPr>
      <w:bookmarkStart w:name="_bookmark505" w:id="655"/>
      <w:bookmarkEnd w:id="655"/>
      <w:r>
        <w:rPr>
          <w:position w:val="6"/>
          <w:sz w:val="12"/>
        </w:rPr>
        <w:t>198</w:t>
      </w:r>
      <w:r>
        <w:rPr>
          <w:spacing w:val="14"/>
          <w:position w:val="6"/>
          <w:sz w:val="12"/>
        </w:rPr>
        <w:t xml:space="preserve"> </w:t>
      </w:r>
      <w:r>
        <w:rPr>
          <w:sz w:val="18"/>
        </w:rPr>
        <w:t>Corfee</w:t>
      </w:r>
      <w:r>
        <w:rPr>
          <w:spacing w:val="-4"/>
          <w:sz w:val="18"/>
        </w:rPr>
        <w:t xml:space="preserve"> </w:t>
      </w:r>
      <w:r>
        <w:rPr>
          <w:sz w:val="18"/>
        </w:rPr>
        <w:t>et.al.,</w:t>
      </w:r>
      <w:r>
        <w:rPr>
          <w:spacing w:val="-3"/>
          <w:sz w:val="18"/>
        </w:rPr>
        <w:t xml:space="preserve"> </w:t>
      </w:r>
      <w:hyperlink r:id="rId329">
        <w:r>
          <w:rPr>
            <w:sz w:val="18"/>
          </w:rPr>
          <w:t>“</w:t>
        </w:r>
        <w:r>
          <w:rPr>
            <w:color w:val="68942C"/>
            <w:sz w:val="18"/>
            <w:u w:val="single" w:color="68942C"/>
          </w:rPr>
          <w:t>Riding</w:t>
        </w:r>
        <w:r>
          <w:rPr>
            <w:color w:val="68942C"/>
            <w:spacing w:val="-3"/>
            <w:sz w:val="18"/>
            <w:u w:val="single" w:color="68942C"/>
          </w:rPr>
          <w:t xml:space="preserve"> </w:t>
        </w:r>
        <w:r>
          <w:rPr>
            <w:color w:val="68942C"/>
            <w:sz w:val="18"/>
            <w:u w:val="single" w:color="68942C"/>
          </w:rPr>
          <w:t>the</w:t>
        </w:r>
        <w:r>
          <w:rPr>
            <w:color w:val="68942C"/>
            <w:spacing w:val="-4"/>
            <w:sz w:val="18"/>
            <w:u w:val="single" w:color="68942C"/>
          </w:rPr>
          <w:t xml:space="preserve"> </w:t>
        </w:r>
        <w:r>
          <w:rPr>
            <w:color w:val="68942C"/>
            <w:sz w:val="18"/>
            <w:u w:val="single" w:color="68942C"/>
          </w:rPr>
          <w:t>Financing</w:t>
        </w:r>
        <w:r>
          <w:rPr>
            <w:color w:val="68942C"/>
            <w:spacing w:val="-4"/>
            <w:sz w:val="18"/>
            <w:u w:val="single" w:color="68942C"/>
          </w:rPr>
          <w:t xml:space="preserve"> </w:t>
        </w:r>
        <w:r>
          <w:rPr>
            <w:color w:val="68942C"/>
            <w:sz w:val="18"/>
            <w:u w:val="single" w:color="68942C"/>
          </w:rPr>
          <w:t>Wave:</w:t>
        </w:r>
        <w:r>
          <w:rPr>
            <w:color w:val="68942C"/>
            <w:spacing w:val="-3"/>
            <w:sz w:val="18"/>
            <w:u w:val="single" w:color="68942C"/>
          </w:rPr>
          <w:t xml:space="preserve"> </w:t>
        </w:r>
        <w:r>
          <w:rPr>
            <w:color w:val="68942C"/>
            <w:sz w:val="18"/>
            <w:u w:val="single" w:color="68942C"/>
          </w:rPr>
          <w:t>Integrating</w:t>
        </w:r>
        <w:r>
          <w:rPr>
            <w:color w:val="68942C"/>
            <w:spacing w:val="-4"/>
            <w:sz w:val="18"/>
            <w:u w:val="single" w:color="68942C"/>
          </w:rPr>
          <w:t xml:space="preserve"> </w:t>
        </w:r>
        <w:r>
          <w:rPr>
            <w:color w:val="68942C"/>
            <w:sz w:val="18"/>
            <w:u w:val="single" w:color="68942C"/>
          </w:rPr>
          <w:t>Financing</w:t>
        </w:r>
        <w:r>
          <w:rPr>
            <w:color w:val="68942C"/>
            <w:spacing w:val="-4"/>
            <w:sz w:val="18"/>
            <w:u w:val="single" w:color="68942C"/>
          </w:rPr>
          <w:t xml:space="preserve"> </w:t>
        </w:r>
        <w:r>
          <w:rPr>
            <w:color w:val="68942C"/>
            <w:sz w:val="18"/>
            <w:u w:val="single" w:color="68942C"/>
          </w:rPr>
          <w:t>with</w:t>
        </w:r>
        <w:r>
          <w:rPr>
            <w:color w:val="68942C"/>
            <w:spacing w:val="-4"/>
            <w:sz w:val="18"/>
            <w:u w:val="single" w:color="68942C"/>
          </w:rPr>
          <w:t xml:space="preserve"> </w:t>
        </w:r>
        <w:r>
          <w:rPr>
            <w:color w:val="68942C"/>
            <w:sz w:val="18"/>
            <w:u w:val="single" w:color="68942C"/>
          </w:rPr>
          <w:t>Traditional</w:t>
        </w:r>
        <w:r>
          <w:rPr>
            <w:color w:val="68942C"/>
            <w:spacing w:val="-3"/>
            <w:sz w:val="18"/>
            <w:u w:val="single" w:color="68942C"/>
          </w:rPr>
          <w:t xml:space="preserve"> </w:t>
        </w:r>
        <w:r>
          <w:rPr>
            <w:color w:val="68942C"/>
            <w:sz w:val="18"/>
            <w:u w:val="single" w:color="68942C"/>
          </w:rPr>
          <w:t>DSM</w:t>
        </w:r>
        <w:r>
          <w:rPr>
            <w:color w:val="68942C"/>
            <w:spacing w:val="-3"/>
            <w:sz w:val="18"/>
            <w:u w:val="single" w:color="68942C"/>
          </w:rPr>
          <w:t xml:space="preserve"> </w:t>
        </w:r>
        <w:r>
          <w:rPr>
            <w:color w:val="68942C"/>
            <w:sz w:val="18"/>
            <w:u w:val="single" w:color="68942C"/>
          </w:rPr>
          <w:t>Programming,”</w:t>
        </w:r>
      </w:hyperlink>
      <w:r>
        <w:rPr>
          <w:color w:val="68942C"/>
          <w:sz w:val="18"/>
        </w:rPr>
        <w:t xml:space="preserve"> </w:t>
      </w:r>
      <w:r>
        <w:rPr>
          <w:sz w:val="18"/>
        </w:rPr>
        <w:t>International Energy Program Evaluation Conference, 2013.</w:t>
      </w:r>
    </w:p>
    <w:p w:rsidR="00C31389" w:rsidRDefault="00C31389" w14:paraId="2FA9F1B4" w14:textId="77777777">
      <w:pPr>
        <w:rPr>
          <w:sz w:val="18"/>
        </w:rPr>
        <w:sectPr w:rsidR="00C31389">
          <w:headerReference w:type="default" r:id="rId330"/>
          <w:footerReference w:type="default" r:id="rId331"/>
          <w:pgSz w:w="11910" w:h="16840"/>
          <w:pgMar w:top="1660" w:right="1020" w:bottom="1120" w:left="960" w:header="397" w:footer="938" w:gutter="0"/>
          <w:pgNumType w:start="1"/>
          <w:cols w:space="720"/>
        </w:sectPr>
      </w:pPr>
    </w:p>
    <w:p w:rsidR="00C31389" w:rsidRDefault="00C31389" w14:paraId="25AA63D4" w14:textId="77777777">
      <w:pPr>
        <w:pStyle w:val="BodyText"/>
        <w:spacing w:before="11"/>
        <w:rPr>
          <w:sz w:val="13"/>
        </w:rPr>
      </w:pPr>
    </w:p>
    <w:p w:rsidR="00C31389" w:rsidRDefault="00561FBD" w14:paraId="14C482E7" w14:textId="77777777">
      <w:pPr>
        <w:pStyle w:val="BodyText"/>
        <w:spacing w:before="92"/>
        <w:ind w:left="480" w:right="418" w:hanging="1"/>
      </w:pPr>
      <w:r>
        <w:t>multiple</w:t>
      </w:r>
      <w:r>
        <w:rPr>
          <w:spacing w:val="-3"/>
        </w:rPr>
        <w:t xml:space="preserve"> </w:t>
      </w:r>
      <w:r>
        <w:t>product</w:t>
      </w:r>
      <w:r>
        <w:rPr>
          <w:spacing w:val="-3"/>
        </w:rPr>
        <w:t xml:space="preserve"> </w:t>
      </w:r>
      <w:r>
        <w:t>attributes.</w:t>
      </w:r>
      <w:r>
        <w:rPr>
          <w:spacing w:val="-3"/>
        </w:rPr>
        <w:t xml:space="preserve"> </w:t>
      </w:r>
      <w:r>
        <w:t>Switching</w:t>
      </w:r>
      <w:r>
        <w:rPr>
          <w:spacing w:val="-3"/>
        </w:rPr>
        <w:t xml:space="preserve"> </w:t>
      </w:r>
      <w:r>
        <w:t>to</w:t>
      </w:r>
      <w:r>
        <w:rPr>
          <w:spacing w:val="-3"/>
        </w:rPr>
        <w:t xml:space="preserve"> </w:t>
      </w:r>
      <w:r>
        <w:t>a</w:t>
      </w:r>
      <w:r>
        <w:rPr>
          <w:spacing w:val="-3"/>
        </w:rPr>
        <w:t xml:space="preserve"> </w:t>
      </w:r>
      <w:r>
        <w:t>multi-attribute</w:t>
      </w:r>
      <w:r>
        <w:rPr>
          <w:spacing w:val="-3"/>
        </w:rPr>
        <w:t xml:space="preserve"> </w:t>
      </w:r>
      <w:r>
        <w:t>model</w:t>
      </w:r>
      <w:r>
        <w:rPr>
          <w:spacing w:val="-2"/>
        </w:rPr>
        <w:t xml:space="preserve"> </w:t>
      </w:r>
      <w:r>
        <w:t>in</w:t>
      </w:r>
      <w:r>
        <w:rPr>
          <w:spacing w:val="-3"/>
        </w:rPr>
        <w:t xml:space="preserve"> </w:t>
      </w:r>
      <w:r>
        <w:t>a</w:t>
      </w:r>
      <w:r>
        <w:rPr>
          <w:spacing w:val="-3"/>
        </w:rPr>
        <w:t xml:space="preserve"> </w:t>
      </w:r>
      <w:r>
        <w:t>potential</w:t>
      </w:r>
      <w:r>
        <w:rPr>
          <w:spacing w:val="-3"/>
        </w:rPr>
        <w:t xml:space="preserve"> </w:t>
      </w:r>
      <w:r>
        <w:t>study</w:t>
      </w:r>
      <w:r>
        <w:rPr>
          <w:spacing w:val="-2"/>
        </w:rPr>
        <w:t xml:space="preserve"> </w:t>
      </w:r>
      <w:r>
        <w:t>offers</w:t>
      </w:r>
      <w:r>
        <w:rPr>
          <w:spacing w:val="-3"/>
        </w:rPr>
        <w:t xml:space="preserve"> </w:t>
      </w:r>
      <w:r>
        <w:t>two key advantages:</w:t>
      </w:r>
    </w:p>
    <w:p w:rsidR="00C31389" w:rsidRDefault="00561FBD" w14:paraId="51DE84F3" w14:textId="77777777">
      <w:pPr>
        <w:pStyle w:val="ListParagraph"/>
        <w:numPr>
          <w:ilvl w:val="0"/>
          <w:numId w:val="10"/>
        </w:numPr>
        <w:tabs>
          <w:tab w:val="left" w:pos="1200"/>
        </w:tabs>
        <w:spacing w:before="120"/>
        <w:ind w:right="419" w:hanging="361"/>
      </w:pPr>
      <w:r>
        <w:t>Accounts for customers’ different price sensitivities to different types of products (for example,</w:t>
      </w:r>
      <w:r>
        <w:rPr>
          <w:spacing w:val="-3"/>
        </w:rPr>
        <w:t xml:space="preserve"> </w:t>
      </w:r>
      <w:r>
        <w:t>dishwasher</w:t>
      </w:r>
      <w:r>
        <w:rPr>
          <w:spacing w:val="-3"/>
        </w:rPr>
        <w:t xml:space="preserve"> </w:t>
      </w:r>
      <w:r>
        <w:t>price,</w:t>
      </w:r>
      <w:r>
        <w:rPr>
          <w:spacing w:val="-3"/>
        </w:rPr>
        <w:t xml:space="preserve"> </w:t>
      </w:r>
      <w:r>
        <w:t>capacity,</w:t>
      </w:r>
      <w:r>
        <w:rPr>
          <w:spacing w:val="-3"/>
        </w:rPr>
        <w:t xml:space="preserve"> </w:t>
      </w:r>
      <w:r>
        <w:t>and</w:t>
      </w:r>
      <w:r>
        <w:rPr>
          <w:spacing w:val="-3"/>
        </w:rPr>
        <w:t xml:space="preserve"> </w:t>
      </w:r>
      <w:r>
        <w:t>noise</w:t>
      </w:r>
      <w:r>
        <w:rPr>
          <w:spacing w:val="-3"/>
        </w:rPr>
        <w:t xml:space="preserve"> </w:t>
      </w:r>
      <w:r>
        <w:t>level</w:t>
      </w:r>
      <w:r>
        <w:rPr>
          <w:spacing w:val="-3"/>
        </w:rPr>
        <w:t xml:space="preserve"> </w:t>
      </w:r>
      <w:r>
        <w:t>versus</w:t>
      </w:r>
      <w:r>
        <w:rPr>
          <w:spacing w:val="-4"/>
        </w:rPr>
        <w:t xml:space="preserve"> </w:t>
      </w:r>
      <w:r>
        <w:t>water</w:t>
      </w:r>
      <w:r>
        <w:rPr>
          <w:spacing w:val="-3"/>
        </w:rPr>
        <w:t xml:space="preserve"> </w:t>
      </w:r>
      <w:r>
        <w:t>heater</w:t>
      </w:r>
      <w:r>
        <w:rPr>
          <w:spacing w:val="-3"/>
        </w:rPr>
        <w:t xml:space="preserve"> </w:t>
      </w:r>
      <w:r>
        <w:t>may</w:t>
      </w:r>
      <w:r>
        <w:rPr>
          <w:spacing w:val="-3"/>
        </w:rPr>
        <w:t xml:space="preserve"> </w:t>
      </w:r>
      <w:r>
        <w:t>just</w:t>
      </w:r>
      <w:r>
        <w:rPr>
          <w:spacing w:val="-3"/>
        </w:rPr>
        <w:t xml:space="preserve"> </w:t>
      </w:r>
      <w:r>
        <w:t>be price and capacity).</w:t>
      </w:r>
    </w:p>
    <w:p w:rsidR="00C31389" w:rsidRDefault="00561FBD" w14:paraId="609F3E7C" w14:textId="77777777">
      <w:pPr>
        <w:pStyle w:val="ListParagraph"/>
        <w:numPr>
          <w:ilvl w:val="0"/>
          <w:numId w:val="10"/>
        </w:numPr>
        <w:tabs>
          <w:tab w:val="left" w:pos="1199"/>
          <w:tab w:val="left" w:pos="1201"/>
        </w:tabs>
        <w:spacing w:before="118"/>
        <w:ind w:left="1201" w:right="591" w:hanging="361"/>
        <w:jc w:val="both"/>
      </w:pPr>
      <w:r>
        <w:t>Accounts for the different customer responses for the same product based on each customer’s</w:t>
      </w:r>
      <w:r>
        <w:rPr>
          <w:spacing w:val="-5"/>
        </w:rPr>
        <w:t xml:space="preserve"> </w:t>
      </w:r>
      <w:r>
        <w:t>unique</w:t>
      </w:r>
      <w:r>
        <w:rPr>
          <w:spacing w:val="-4"/>
        </w:rPr>
        <w:t xml:space="preserve"> </w:t>
      </w:r>
      <w:r>
        <w:t>set</w:t>
      </w:r>
      <w:r>
        <w:rPr>
          <w:spacing w:val="-4"/>
        </w:rPr>
        <w:t xml:space="preserve"> </w:t>
      </w:r>
      <w:r>
        <w:t>of</w:t>
      </w:r>
      <w:r>
        <w:rPr>
          <w:spacing w:val="-4"/>
        </w:rPr>
        <w:t xml:space="preserve"> </w:t>
      </w:r>
      <w:r>
        <w:t>preferences</w:t>
      </w:r>
      <w:r>
        <w:rPr>
          <w:spacing w:val="-4"/>
        </w:rPr>
        <w:t xml:space="preserve"> </w:t>
      </w:r>
      <w:r>
        <w:t>and</w:t>
      </w:r>
      <w:r>
        <w:rPr>
          <w:spacing w:val="-4"/>
        </w:rPr>
        <w:t xml:space="preserve"> </w:t>
      </w:r>
      <w:r>
        <w:t>attitudes</w:t>
      </w:r>
      <w:r>
        <w:rPr>
          <w:spacing w:val="-3"/>
        </w:rPr>
        <w:t xml:space="preserve"> </w:t>
      </w:r>
      <w:r>
        <w:t>(for</w:t>
      </w:r>
      <w:r>
        <w:rPr>
          <w:spacing w:val="-4"/>
        </w:rPr>
        <w:t xml:space="preserve"> </w:t>
      </w:r>
      <w:r>
        <w:t>example,</w:t>
      </w:r>
      <w:r>
        <w:rPr>
          <w:spacing w:val="-4"/>
        </w:rPr>
        <w:t xml:space="preserve"> </w:t>
      </w:r>
      <w:r>
        <w:t>customer</w:t>
      </w:r>
      <w:r>
        <w:rPr>
          <w:spacing w:val="-4"/>
        </w:rPr>
        <w:t xml:space="preserve"> </w:t>
      </w:r>
      <w:r>
        <w:t>attitudes toward sustainability, waste, environment, an</w:t>
      </w:r>
      <w:r>
        <w:t>d climate).</w:t>
      </w:r>
    </w:p>
    <w:p w:rsidR="00C31389" w:rsidRDefault="00C31389" w14:paraId="582CFD94" w14:textId="77777777">
      <w:pPr>
        <w:pStyle w:val="BodyText"/>
        <w:spacing w:before="9"/>
        <w:rPr>
          <w:sz w:val="20"/>
        </w:rPr>
      </w:pPr>
    </w:p>
    <w:p w:rsidR="00C31389" w:rsidRDefault="00561FBD" w14:paraId="5108EB22" w14:textId="77777777">
      <w:pPr>
        <w:pStyle w:val="ListParagraph"/>
        <w:numPr>
          <w:ilvl w:val="1"/>
          <w:numId w:val="11"/>
        </w:numPr>
        <w:tabs>
          <w:tab w:val="left" w:pos="991"/>
        </w:tabs>
        <w:ind w:left="991" w:hanging="511"/>
        <w:rPr>
          <w:b/>
          <w:sz w:val="28"/>
        </w:rPr>
      </w:pPr>
      <w:bookmarkStart w:name="H.2_Multi-Attribute_Theory" w:id="656"/>
      <w:bookmarkStart w:name="_bookmark506" w:id="657"/>
      <w:bookmarkEnd w:id="656"/>
      <w:bookmarkEnd w:id="657"/>
      <w:r>
        <w:rPr>
          <w:b/>
          <w:spacing w:val="-2"/>
          <w:sz w:val="28"/>
        </w:rPr>
        <w:t>Multi-Attribute</w:t>
      </w:r>
      <w:r>
        <w:rPr>
          <w:b/>
          <w:spacing w:val="5"/>
          <w:sz w:val="28"/>
        </w:rPr>
        <w:t xml:space="preserve"> </w:t>
      </w:r>
      <w:r>
        <w:rPr>
          <w:b/>
          <w:spacing w:val="-2"/>
          <w:sz w:val="28"/>
        </w:rPr>
        <w:t>Theory</w:t>
      </w:r>
    </w:p>
    <w:p w:rsidR="00C31389" w:rsidRDefault="00561FBD" w14:paraId="5E31656B" w14:textId="77777777">
      <w:pPr>
        <w:pStyle w:val="BodyText"/>
        <w:spacing w:before="241"/>
        <w:ind w:left="480" w:right="444"/>
      </w:pPr>
      <w:r>
        <w:t>Competition between products is based on multiple attributes, and the importance of each attribute to the decision-making process is likely to vary depending on the product type and the consumer type. Consumer preference</w:t>
      </w:r>
      <w:r>
        <w:t xml:space="preserve">s determine the relative importance of a product’s attributes, and those preferences can affect a consumer’s sensitivity to price and potential future energy savings. Even when all other attributes are equal, a consumer may be less sensitive to prices and </w:t>
      </w:r>
      <w:r>
        <w:t xml:space="preserve">financial characteristics for certain classes of products. As an example, this section compares dishwasher and water heater purchasing decisions. When purchasing a dishwasher, consumers are likely to consider the price, capacity, internal design features, </w:t>
      </w:r>
      <w:r>
        <w:t>noise</w:t>
      </w:r>
      <w:r>
        <w:rPr>
          <w:spacing w:val="-1"/>
        </w:rPr>
        <w:t xml:space="preserve"> </w:t>
      </w:r>
      <w:r>
        <w:t>levels, and EE. When purchasing a water heater, a consumer is likely to have a much shorter and somewhat different set of attributes in mind such as capacity, efficiency, and price. Given these differences, a 5% (for example) rebate for purchasing an</w:t>
      </w:r>
      <w:r>
        <w:t xml:space="preserve"> energy</w:t>
      </w:r>
      <w:r>
        <w:rPr>
          <w:spacing w:val="-2"/>
        </w:rPr>
        <w:t xml:space="preserve"> </w:t>
      </w:r>
      <w:r>
        <w:t>efficient</w:t>
      </w:r>
      <w:r>
        <w:rPr>
          <w:spacing w:val="-2"/>
        </w:rPr>
        <w:t xml:space="preserve"> </w:t>
      </w:r>
      <w:r>
        <w:t>dishwasher</w:t>
      </w:r>
      <w:r>
        <w:rPr>
          <w:spacing w:val="-2"/>
        </w:rPr>
        <w:t xml:space="preserve"> </w:t>
      </w:r>
      <w:r>
        <w:t>is</w:t>
      </w:r>
      <w:r>
        <w:rPr>
          <w:spacing w:val="-2"/>
        </w:rPr>
        <w:t xml:space="preserve"> </w:t>
      </w:r>
      <w:r>
        <w:t>unlikely</w:t>
      </w:r>
      <w:r>
        <w:rPr>
          <w:spacing w:val="-2"/>
        </w:rPr>
        <w:t xml:space="preserve"> </w:t>
      </w:r>
      <w:r>
        <w:t>to</w:t>
      </w:r>
      <w:r>
        <w:rPr>
          <w:spacing w:val="-2"/>
        </w:rPr>
        <w:t xml:space="preserve"> </w:t>
      </w:r>
      <w:r>
        <w:t>be</w:t>
      </w:r>
      <w:r>
        <w:rPr>
          <w:spacing w:val="-2"/>
        </w:rPr>
        <w:t xml:space="preserve"> </w:t>
      </w:r>
      <w:r>
        <w:t>as</w:t>
      </w:r>
      <w:r>
        <w:rPr>
          <w:spacing w:val="-2"/>
        </w:rPr>
        <w:t xml:space="preserve"> </w:t>
      </w:r>
      <w:r>
        <w:t>influential</w:t>
      </w:r>
      <w:r>
        <w:rPr>
          <w:spacing w:val="-2"/>
        </w:rPr>
        <w:t xml:space="preserve"> </w:t>
      </w:r>
      <w:r>
        <w:t>as</w:t>
      </w:r>
      <w:r>
        <w:rPr>
          <w:spacing w:val="-2"/>
        </w:rPr>
        <w:t xml:space="preserve"> </w:t>
      </w:r>
      <w:r>
        <w:t>it</w:t>
      </w:r>
      <w:r>
        <w:rPr>
          <w:spacing w:val="-3"/>
        </w:rPr>
        <w:t xml:space="preserve"> </w:t>
      </w:r>
      <w:r>
        <w:t>would</w:t>
      </w:r>
      <w:r>
        <w:rPr>
          <w:spacing w:val="-2"/>
        </w:rPr>
        <w:t xml:space="preserve"> </w:t>
      </w:r>
      <w:r>
        <w:t>be</w:t>
      </w:r>
      <w:r>
        <w:rPr>
          <w:spacing w:val="-2"/>
        </w:rPr>
        <w:t xml:space="preserve"> </w:t>
      </w:r>
      <w:r>
        <w:t>for</w:t>
      </w:r>
      <w:r>
        <w:rPr>
          <w:spacing w:val="-2"/>
        </w:rPr>
        <w:t xml:space="preserve"> </w:t>
      </w:r>
      <w:r>
        <w:t>the</w:t>
      </w:r>
      <w:r>
        <w:rPr>
          <w:spacing w:val="-2"/>
        </w:rPr>
        <w:t xml:space="preserve"> </w:t>
      </w:r>
      <w:r>
        <w:t>purchase</w:t>
      </w:r>
      <w:r>
        <w:rPr>
          <w:spacing w:val="-2"/>
        </w:rPr>
        <w:t xml:space="preserve"> </w:t>
      </w:r>
      <w:r>
        <w:t>of</w:t>
      </w:r>
      <w:r>
        <w:rPr>
          <w:spacing w:val="-2"/>
        </w:rPr>
        <w:t xml:space="preserve"> </w:t>
      </w:r>
      <w:r>
        <w:t>a water heater because price is of higher relative importance for a water heater.</w:t>
      </w:r>
    </w:p>
    <w:p w:rsidR="00C31389" w:rsidRDefault="00C31389" w14:paraId="280CB38E" w14:textId="77777777">
      <w:pPr>
        <w:pStyle w:val="BodyText"/>
        <w:spacing w:before="9"/>
        <w:rPr>
          <w:sz w:val="20"/>
        </w:rPr>
      </w:pPr>
    </w:p>
    <w:p w:rsidR="00C31389" w:rsidRDefault="00561FBD" w14:paraId="0A5127D4" w14:textId="77777777">
      <w:pPr>
        <w:pStyle w:val="BodyText"/>
        <w:ind w:left="480" w:right="418"/>
      </w:pPr>
      <w:r>
        <w:t xml:space="preserve">The expansion of the “willingness to adopt” factor (implemented since the </w:t>
      </w:r>
      <w:r>
        <w:t>2021 Study) to include</w:t>
      </w:r>
      <w:r>
        <w:rPr>
          <w:spacing w:val="-2"/>
        </w:rPr>
        <w:t xml:space="preserve"> </w:t>
      </w:r>
      <w:r>
        <w:t>multiple</w:t>
      </w:r>
      <w:r>
        <w:rPr>
          <w:spacing w:val="-2"/>
        </w:rPr>
        <w:t xml:space="preserve"> </w:t>
      </w:r>
      <w:r>
        <w:t>features</w:t>
      </w:r>
      <w:r>
        <w:rPr>
          <w:spacing w:val="-3"/>
        </w:rPr>
        <w:t xml:space="preserve"> </w:t>
      </w:r>
      <w:r>
        <w:t>allows</w:t>
      </w:r>
      <w:r>
        <w:rPr>
          <w:spacing w:val="-2"/>
        </w:rPr>
        <w:t xml:space="preserve"> </w:t>
      </w:r>
      <w:r>
        <w:t>the</w:t>
      </w:r>
      <w:r>
        <w:rPr>
          <w:spacing w:val="-2"/>
        </w:rPr>
        <w:t xml:space="preserve"> </w:t>
      </w:r>
      <w:r>
        <w:t>model</w:t>
      </w:r>
      <w:r>
        <w:rPr>
          <w:spacing w:val="-2"/>
        </w:rPr>
        <w:t xml:space="preserve"> </w:t>
      </w:r>
      <w:r>
        <w:t>to</w:t>
      </w:r>
      <w:r>
        <w:rPr>
          <w:spacing w:val="-2"/>
        </w:rPr>
        <w:t xml:space="preserve"> </w:t>
      </w:r>
      <w:r>
        <w:t>account</w:t>
      </w:r>
      <w:r>
        <w:rPr>
          <w:spacing w:val="-2"/>
        </w:rPr>
        <w:t xml:space="preserve"> </w:t>
      </w:r>
      <w:r>
        <w:t>for</w:t>
      </w:r>
      <w:r>
        <w:rPr>
          <w:spacing w:val="-2"/>
        </w:rPr>
        <w:t xml:space="preserve"> </w:t>
      </w:r>
      <w:r>
        <w:t>the</w:t>
      </w:r>
      <w:r>
        <w:rPr>
          <w:spacing w:val="-2"/>
        </w:rPr>
        <w:t xml:space="preserve"> </w:t>
      </w:r>
      <w:r>
        <w:t>relative</w:t>
      </w:r>
      <w:r>
        <w:rPr>
          <w:spacing w:val="-2"/>
        </w:rPr>
        <w:t xml:space="preserve"> </w:t>
      </w:r>
      <w:r>
        <w:t>importance</w:t>
      </w:r>
      <w:r>
        <w:rPr>
          <w:spacing w:val="-2"/>
        </w:rPr>
        <w:t xml:space="preserve"> </w:t>
      </w:r>
      <w:r>
        <w:t>of</w:t>
      </w:r>
      <w:r>
        <w:rPr>
          <w:spacing w:val="-2"/>
        </w:rPr>
        <w:t xml:space="preserve"> </w:t>
      </w:r>
      <w:r>
        <w:t>price</w:t>
      </w:r>
      <w:r>
        <w:rPr>
          <w:spacing w:val="-2"/>
        </w:rPr>
        <w:t xml:space="preserve"> </w:t>
      </w:r>
      <w:r>
        <w:t>and future</w:t>
      </w:r>
      <w:r>
        <w:rPr>
          <w:spacing w:val="-3"/>
        </w:rPr>
        <w:t xml:space="preserve"> </w:t>
      </w:r>
      <w:r>
        <w:t>cost</w:t>
      </w:r>
      <w:r>
        <w:rPr>
          <w:spacing w:val="-3"/>
        </w:rPr>
        <w:t xml:space="preserve"> </w:t>
      </w:r>
      <w:r>
        <w:t>savings</w:t>
      </w:r>
      <w:r>
        <w:rPr>
          <w:spacing w:val="-3"/>
        </w:rPr>
        <w:t xml:space="preserve"> </w:t>
      </w:r>
      <w:r>
        <w:t>in</w:t>
      </w:r>
      <w:r>
        <w:rPr>
          <w:spacing w:val="-3"/>
        </w:rPr>
        <w:t xml:space="preserve"> </w:t>
      </w:r>
      <w:r>
        <w:t>the</w:t>
      </w:r>
      <w:r>
        <w:rPr>
          <w:spacing w:val="-3"/>
        </w:rPr>
        <w:t xml:space="preserve"> </w:t>
      </w:r>
      <w:r>
        <w:t>context</w:t>
      </w:r>
      <w:r>
        <w:rPr>
          <w:spacing w:val="-3"/>
        </w:rPr>
        <w:t xml:space="preserve"> </w:t>
      </w:r>
      <w:r>
        <w:t>of</w:t>
      </w:r>
      <w:r>
        <w:rPr>
          <w:spacing w:val="-3"/>
        </w:rPr>
        <w:t xml:space="preserve"> </w:t>
      </w:r>
      <w:r>
        <w:t>how</w:t>
      </w:r>
      <w:r>
        <w:rPr>
          <w:spacing w:val="-3"/>
        </w:rPr>
        <w:t xml:space="preserve"> </w:t>
      </w:r>
      <w:r>
        <w:t>important</w:t>
      </w:r>
      <w:r>
        <w:rPr>
          <w:spacing w:val="-3"/>
        </w:rPr>
        <w:t xml:space="preserve"> </w:t>
      </w:r>
      <w:r>
        <w:t>they</w:t>
      </w:r>
      <w:r>
        <w:rPr>
          <w:spacing w:val="-3"/>
        </w:rPr>
        <w:t xml:space="preserve"> </w:t>
      </w:r>
      <w:r>
        <w:t>are</w:t>
      </w:r>
      <w:r>
        <w:rPr>
          <w:spacing w:val="-3"/>
        </w:rPr>
        <w:t xml:space="preserve"> </w:t>
      </w:r>
      <w:r>
        <w:t>relative</w:t>
      </w:r>
      <w:r>
        <w:rPr>
          <w:spacing w:val="-3"/>
        </w:rPr>
        <w:t xml:space="preserve"> </w:t>
      </w:r>
      <w:r>
        <w:t>to</w:t>
      </w:r>
      <w:r>
        <w:rPr>
          <w:spacing w:val="-3"/>
        </w:rPr>
        <w:t xml:space="preserve"> </w:t>
      </w:r>
      <w:r>
        <w:t>other</w:t>
      </w:r>
      <w:r>
        <w:rPr>
          <w:spacing w:val="-3"/>
        </w:rPr>
        <w:t xml:space="preserve"> </w:t>
      </w:r>
      <w:r>
        <w:t>product</w:t>
      </w:r>
      <w:r>
        <w:rPr>
          <w:spacing w:val="-3"/>
        </w:rPr>
        <w:t xml:space="preserve"> </w:t>
      </w:r>
      <w:r>
        <w:t>features (such as style, size, etc.). This expansion also a</w:t>
      </w:r>
      <w:r>
        <w:t>llows the model to incorporate variation between segments of customers that have different preferences for product attributes and, importantly, different attitudes toward the sustainability attributes of the products.</w:t>
      </w:r>
    </w:p>
    <w:p w:rsidR="00C31389" w:rsidRDefault="00C31389" w14:paraId="6671B04D" w14:textId="77777777">
      <w:pPr>
        <w:pStyle w:val="BodyText"/>
        <w:spacing w:before="10"/>
        <w:rPr>
          <w:sz w:val="20"/>
        </w:rPr>
      </w:pPr>
    </w:p>
    <w:p w:rsidR="00C31389" w:rsidRDefault="00561FBD" w14:paraId="32857455" w14:textId="77777777">
      <w:pPr>
        <w:pStyle w:val="BodyText"/>
        <w:ind w:left="480" w:right="480"/>
      </w:pPr>
      <w:r>
        <w:t>A multi-attribute model requires addi</w:t>
      </w:r>
      <w:r>
        <w:t>tional data beyond what is normally collected in the EE industry. This new data is collected through surveys designed for conjoint analysis—a sample-efficient survey design technique that helps determine customer preferences for different features and feat</w:t>
      </w:r>
      <w:r>
        <w:t>ure combinations. Product design processes often use conjoint analysis to prioritize tradeoffs between feature areas (for example, strong versus lightweight).</w:t>
      </w:r>
      <w:r>
        <w:rPr>
          <w:spacing w:val="-4"/>
        </w:rPr>
        <w:t xml:space="preserve"> </w:t>
      </w:r>
      <w:r>
        <w:t>Conjoint</w:t>
      </w:r>
      <w:r>
        <w:rPr>
          <w:spacing w:val="-3"/>
        </w:rPr>
        <w:t xml:space="preserve"> </w:t>
      </w:r>
      <w:r>
        <w:t>analysis</w:t>
      </w:r>
      <w:r>
        <w:rPr>
          <w:spacing w:val="-3"/>
        </w:rPr>
        <w:t xml:space="preserve"> </w:t>
      </w:r>
      <w:r>
        <w:t>can</w:t>
      </w:r>
      <w:r>
        <w:rPr>
          <w:spacing w:val="-3"/>
        </w:rPr>
        <w:t xml:space="preserve"> </w:t>
      </w:r>
      <w:r>
        <w:t>also</w:t>
      </w:r>
      <w:r>
        <w:rPr>
          <w:spacing w:val="-3"/>
        </w:rPr>
        <w:t xml:space="preserve"> </w:t>
      </w:r>
      <w:r>
        <w:t>be</w:t>
      </w:r>
      <w:r>
        <w:rPr>
          <w:spacing w:val="-3"/>
        </w:rPr>
        <w:t xml:space="preserve"> </w:t>
      </w:r>
      <w:r>
        <w:t>combined</w:t>
      </w:r>
      <w:r>
        <w:rPr>
          <w:spacing w:val="-3"/>
        </w:rPr>
        <w:t xml:space="preserve"> </w:t>
      </w:r>
      <w:r>
        <w:t>with</w:t>
      </w:r>
      <w:r>
        <w:rPr>
          <w:spacing w:val="-3"/>
        </w:rPr>
        <w:t xml:space="preserve"> </w:t>
      </w:r>
      <w:r>
        <w:t>other</w:t>
      </w:r>
      <w:r>
        <w:rPr>
          <w:spacing w:val="-3"/>
        </w:rPr>
        <w:t xml:space="preserve"> </w:t>
      </w:r>
      <w:r>
        <w:t>survey</w:t>
      </w:r>
      <w:r>
        <w:rPr>
          <w:spacing w:val="-3"/>
        </w:rPr>
        <w:t xml:space="preserve"> </w:t>
      </w:r>
      <w:r>
        <w:t>data</w:t>
      </w:r>
      <w:r>
        <w:rPr>
          <w:spacing w:val="-3"/>
        </w:rPr>
        <w:t xml:space="preserve"> </w:t>
      </w:r>
      <w:r>
        <w:t>to</w:t>
      </w:r>
      <w:r>
        <w:rPr>
          <w:spacing w:val="-3"/>
        </w:rPr>
        <w:t xml:space="preserve"> </w:t>
      </w:r>
      <w:r>
        <w:t>help</w:t>
      </w:r>
      <w:r>
        <w:rPr>
          <w:spacing w:val="-3"/>
        </w:rPr>
        <w:t xml:space="preserve"> </w:t>
      </w:r>
      <w:r>
        <w:t xml:space="preserve">establish customer </w:t>
      </w:r>
      <w:r>
        <w:t>segments that behave differently toward electrification decisions.</w:t>
      </w:r>
    </w:p>
    <w:p w:rsidR="00C31389" w:rsidRDefault="00C31389" w14:paraId="44CCAC1B" w14:textId="77777777">
      <w:pPr>
        <w:pStyle w:val="BodyText"/>
        <w:spacing w:before="10"/>
        <w:rPr>
          <w:sz w:val="20"/>
        </w:rPr>
      </w:pPr>
    </w:p>
    <w:p w:rsidR="00C31389" w:rsidRDefault="00561FBD" w14:paraId="7AF36FBB" w14:textId="77777777">
      <w:pPr>
        <w:pStyle w:val="BodyText"/>
        <w:spacing w:before="1"/>
        <w:ind w:left="480" w:right="505"/>
      </w:pPr>
      <w:r>
        <w:t>Consumer values and attitudes toward sustainability, waste, environment, and climate can be accounted for in this new multi-attribute model. Product attributes that align with the decision</w:t>
      </w:r>
      <w:r>
        <w:rPr>
          <w:spacing w:val="-3"/>
        </w:rPr>
        <w:t xml:space="preserve"> </w:t>
      </w:r>
      <w:r>
        <w:t>maker’s</w:t>
      </w:r>
      <w:r>
        <w:rPr>
          <w:spacing w:val="-3"/>
        </w:rPr>
        <w:t xml:space="preserve"> </w:t>
      </w:r>
      <w:r>
        <w:t>values</w:t>
      </w:r>
      <w:r>
        <w:rPr>
          <w:spacing w:val="-4"/>
        </w:rPr>
        <w:t xml:space="preserve"> </w:t>
      </w:r>
      <w:r>
        <w:t>are</w:t>
      </w:r>
      <w:r>
        <w:rPr>
          <w:spacing w:val="-3"/>
        </w:rPr>
        <w:t xml:space="preserve"> </w:t>
      </w:r>
      <w:r>
        <w:t>likely</w:t>
      </w:r>
      <w:r>
        <w:rPr>
          <w:spacing w:val="-3"/>
        </w:rPr>
        <w:t xml:space="preserve"> </w:t>
      </w:r>
      <w:r>
        <w:t>to</w:t>
      </w:r>
      <w:r>
        <w:rPr>
          <w:spacing w:val="-4"/>
        </w:rPr>
        <w:t xml:space="preserve"> </w:t>
      </w:r>
      <w:r>
        <w:t>be</w:t>
      </w:r>
      <w:r>
        <w:rPr>
          <w:spacing w:val="-3"/>
        </w:rPr>
        <w:t xml:space="preserve"> </w:t>
      </w:r>
      <w:r>
        <w:t>the</w:t>
      </w:r>
      <w:r>
        <w:rPr>
          <w:spacing w:val="-3"/>
        </w:rPr>
        <w:t xml:space="preserve"> </w:t>
      </w:r>
      <w:r>
        <w:t>primary</w:t>
      </w:r>
      <w:r>
        <w:rPr>
          <w:spacing w:val="-3"/>
        </w:rPr>
        <w:t xml:space="preserve"> </w:t>
      </w:r>
      <w:r>
        <w:t>driver</w:t>
      </w:r>
      <w:r>
        <w:rPr>
          <w:spacing w:val="-3"/>
        </w:rPr>
        <w:t xml:space="preserve"> </w:t>
      </w:r>
      <w:r>
        <w:t>of</w:t>
      </w:r>
      <w:r>
        <w:rPr>
          <w:spacing w:val="-4"/>
        </w:rPr>
        <w:t xml:space="preserve"> </w:t>
      </w:r>
      <w:r>
        <w:t>consumer</w:t>
      </w:r>
      <w:r>
        <w:rPr>
          <w:spacing w:val="-3"/>
        </w:rPr>
        <w:t xml:space="preserve"> </w:t>
      </w:r>
      <w:r>
        <w:t>preferences.</w:t>
      </w:r>
      <w:r>
        <w:rPr>
          <w:spacing w:val="-3"/>
        </w:rPr>
        <w:t xml:space="preserve"> </w:t>
      </w:r>
      <w:r>
        <w:t>Strong values can overwhelm purchase decisions and lead consumers to make seeming irrational decisions from a purely financial perspective. However, when decisions consider all at</w:t>
      </w:r>
      <w:r>
        <w:t>tributes and values, the outcome may be completely rational.</w:t>
      </w:r>
    </w:p>
    <w:p w:rsidR="00C31389" w:rsidRDefault="00C31389" w14:paraId="681256A9" w14:textId="77777777">
      <w:pPr>
        <w:pStyle w:val="BodyText"/>
        <w:spacing w:before="9"/>
        <w:rPr>
          <w:sz w:val="20"/>
        </w:rPr>
      </w:pPr>
    </w:p>
    <w:p w:rsidR="00C31389" w:rsidRDefault="00561FBD" w14:paraId="229389CE" w14:textId="77777777">
      <w:pPr>
        <w:pStyle w:val="ListParagraph"/>
        <w:numPr>
          <w:ilvl w:val="1"/>
          <w:numId w:val="11"/>
        </w:numPr>
        <w:tabs>
          <w:tab w:val="left" w:pos="991"/>
        </w:tabs>
        <w:spacing w:before="1"/>
        <w:ind w:left="991" w:hanging="511"/>
        <w:rPr>
          <w:b/>
          <w:sz w:val="28"/>
        </w:rPr>
      </w:pPr>
      <w:bookmarkStart w:name="H.3_Implementing_the_Multi-Attribute_Mod" w:id="658"/>
      <w:bookmarkStart w:name="_bookmark507" w:id="659"/>
      <w:bookmarkEnd w:id="658"/>
      <w:bookmarkEnd w:id="659"/>
      <w:r>
        <w:rPr>
          <w:b/>
          <w:sz w:val="28"/>
        </w:rPr>
        <w:t>Implementing</w:t>
      </w:r>
      <w:r>
        <w:rPr>
          <w:b/>
          <w:spacing w:val="-18"/>
          <w:sz w:val="28"/>
        </w:rPr>
        <w:t xml:space="preserve"> </w:t>
      </w:r>
      <w:r>
        <w:rPr>
          <w:b/>
          <w:sz w:val="28"/>
        </w:rPr>
        <w:t>the</w:t>
      </w:r>
      <w:r>
        <w:rPr>
          <w:b/>
          <w:spacing w:val="-17"/>
          <w:sz w:val="28"/>
        </w:rPr>
        <w:t xml:space="preserve"> </w:t>
      </w:r>
      <w:r>
        <w:rPr>
          <w:b/>
          <w:sz w:val="28"/>
        </w:rPr>
        <w:t>Multi-Attribute</w:t>
      </w:r>
      <w:r>
        <w:rPr>
          <w:b/>
          <w:spacing w:val="-17"/>
          <w:sz w:val="28"/>
        </w:rPr>
        <w:t xml:space="preserve"> </w:t>
      </w:r>
      <w:r>
        <w:rPr>
          <w:b/>
          <w:spacing w:val="-2"/>
          <w:sz w:val="28"/>
        </w:rPr>
        <w:t>Model</w:t>
      </w:r>
    </w:p>
    <w:p w:rsidR="00C31389" w:rsidRDefault="00561FBD" w14:paraId="111A79B5" w14:textId="77777777">
      <w:pPr>
        <w:pStyle w:val="BodyText"/>
        <w:spacing w:before="240"/>
        <w:ind w:left="480"/>
      </w:pPr>
      <w:r>
        <w:t>This</w:t>
      </w:r>
      <w:r>
        <w:rPr>
          <w:spacing w:val="-7"/>
        </w:rPr>
        <w:t xml:space="preserve"> </w:t>
      </w:r>
      <w:r>
        <w:t>study</w:t>
      </w:r>
      <w:r>
        <w:rPr>
          <w:spacing w:val="-6"/>
        </w:rPr>
        <w:t xml:space="preserve"> </w:t>
      </w:r>
      <w:r>
        <w:t>uses</w:t>
      </w:r>
      <w:r>
        <w:rPr>
          <w:spacing w:val="-7"/>
        </w:rPr>
        <w:t xml:space="preserve"> </w:t>
      </w:r>
      <w:r>
        <w:t>the</w:t>
      </w:r>
      <w:r>
        <w:rPr>
          <w:spacing w:val="-6"/>
        </w:rPr>
        <w:t xml:space="preserve"> </w:t>
      </w:r>
      <w:r>
        <w:t>following</w:t>
      </w:r>
      <w:r>
        <w:rPr>
          <w:spacing w:val="-7"/>
        </w:rPr>
        <w:t xml:space="preserve"> </w:t>
      </w:r>
      <w:r>
        <w:t>attributes</w:t>
      </w:r>
      <w:r>
        <w:rPr>
          <w:spacing w:val="-6"/>
        </w:rPr>
        <w:t xml:space="preserve"> </w:t>
      </w:r>
      <w:r>
        <w:t>to</w:t>
      </w:r>
      <w:r>
        <w:rPr>
          <w:spacing w:val="-6"/>
        </w:rPr>
        <w:t xml:space="preserve"> </w:t>
      </w:r>
      <w:r>
        <w:t>characterize</w:t>
      </w:r>
      <w:r>
        <w:rPr>
          <w:spacing w:val="-7"/>
        </w:rPr>
        <w:t xml:space="preserve"> </w:t>
      </w:r>
      <w:r>
        <w:t>a</w:t>
      </w:r>
      <w:r>
        <w:rPr>
          <w:spacing w:val="-6"/>
        </w:rPr>
        <w:t xml:space="preserve"> </w:t>
      </w:r>
      <w:r>
        <w:rPr>
          <w:spacing w:val="-2"/>
        </w:rPr>
        <w:t>product:</w:t>
      </w:r>
    </w:p>
    <w:p w:rsidR="00C31389" w:rsidRDefault="00561FBD" w14:paraId="3FBBCE60" w14:textId="77777777">
      <w:pPr>
        <w:pStyle w:val="ListParagraph"/>
        <w:numPr>
          <w:ilvl w:val="0"/>
          <w:numId w:val="9"/>
        </w:numPr>
        <w:tabs>
          <w:tab w:val="left" w:pos="1199"/>
        </w:tabs>
        <w:spacing w:before="120"/>
        <w:ind w:hanging="359"/>
      </w:pPr>
      <w:r>
        <w:t>LMC</w:t>
      </w:r>
      <w:r>
        <w:rPr>
          <w:spacing w:val="-7"/>
        </w:rPr>
        <w:t xml:space="preserve"> </w:t>
      </w:r>
      <w:r>
        <w:t>at</w:t>
      </w:r>
      <w:r>
        <w:rPr>
          <w:spacing w:val="-6"/>
        </w:rPr>
        <w:t xml:space="preserve"> </w:t>
      </w:r>
      <w:r>
        <w:t>a</w:t>
      </w:r>
      <w:r>
        <w:rPr>
          <w:spacing w:val="-5"/>
        </w:rPr>
        <w:t xml:space="preserve"> </w:t>
      </w:r>
      <w:r>
        <w:t>consumer</w:t>
      </w:r>
      <w:r>
        <w:rPr>
          <w:spacing w:val="-6"/>
        </w:rPr>
        <w:t xml:space="preserve"> </w:t>
      </w:r>
      <w:r>
        <w:t>discount</w:t>
      </w:r>
      <w:r>
        <w:rPr>
          <w:spacing w:val="-5"/>
        </w:rPr>
        <w:t xml:space="preserve"> </w:t>
      </w:r>
      <w:r>
        <w:t>rate</w:t>
      </w:r>
      <w:r>
        <w:rPr>
          <w:spacing w:val="-6"/>
        </w:rPr>
        <w:t xml:space="preserve"> </w:t>
      </w:r>
      <w:r>
        <w:t>rather</w:t>
      </w:r>
      <w:r>
        <w:rPr>
          <w:spacing w:val="-6"/>
        </w:rPr>
        <w:t xml:space="preserve"> </w:t>
      </w:r>
      <w:r>
        <w:t>than</w:t>
      </w:r>
      <w:r>
        <w:rPr>
          <w:spacing w:val="-5"/>
        </w:rPr>
        <w:t xml:space="preserve"> </w:t>
      </w:r>
      <w:r>
        <w:t>the</w:t>
      </w:r>
      <w:r>
        <w:rPr>
          <w:spacing w:val="-7"/>
        </w:rPr>
        <w:t xml:space="preserve"> </w:t>
      </w:r>
      <w:r>
        <w:t>implied</w:t>
      </w:r>
      <w:r>
        <w:rPr>
          <w:spacing w:val="-5"/>
        </w:rPr>
        <w:t xml:space="preserve"> </w:t>
      </w:r>
      <w:r>
        <w:t>discount</w:t>
      </w:r>
      <w:r>
        <w:rPr>
          <w:spacing w:val="-6"/>
        </w:rPr>
        <w:t xml:space="preserve"> </w:t>
      </w:r>
      <w:r>
        <w:rPr>
          <w:spacing w:val="-4"/>
        </w:rPr>
        <w:t>rate</w:t>
      </w:r>
    </w:p>
    <w:p w:rsidR="00C31389" w:rsidRDefault="00C31389" w14:paraId="22E90681" w14:textId="77777777">
      <w:pPr>
        <w:sectPr w:rsidR="00C31389">
          <w:pgSz w:w="11910" w:h="16840"/>
          <w:pgMar w:top="1660" w:right="1020" w:bottom="1120" w:left="960" w:header="397" w:footer="938" w:gutter="0"/>
          <w:cols w:space="720"/>
        </w:sectPr>
      </w:pPr>
    </w:p>
    <w:p w:rsidR="00C31389" w:rsidRDefault="00C31389" w14:paraId="60AB3D3B" w14:textId="77777777">
      <w:pPr>
        <w:pStyle w:val="BodyText"/>
      </w:pPr>
    </w:p>
    <w:p w:rsidR="00C31389" w:rsidRDefault="00C31389" w14:paraId="02978021" w14:textId="77777777">
      <w:pPr>
        <w:pStyle w:val="BodyText"/>
        <w:spacing w:before="2"/>
        <w:rPr>
          <w:sz w:val="13"/>
        </w:rPr>
      </w:pPr>
    </w:p>
    <w:p w:rsidR="00C31389" w:rsidRDefault="00561FBD" w14:paraId="091B15F5" w14:textId="77777777">
      <w:pPr>
        <w:pStyle w:val="ListParagraph"/>
        <w:numPr>
          <w:ilvl w:val="0"/>
          <w:numId w:val="9"/>
        </w:numPr>
        <w:tabs>
          <w:tab w:val="left" w:pos="1199"/>
        </w:tabs>
        <w:spacing w:before="100"/>
        <w:ind w:right="814"/>
      </w:pPr>
      <w:r>
        <w:t>Upfront</w:t>
      </w:r>
      <w:r>
        <w:rPr>
          <w:spacing w:val="-3"/>
        </w:rPr>
        <w:t xml:space="preserve"> </w:t>
      </w:r>
      <w:r>
        <w:t>cost</w:t>
      </w:r>
      <w:r>
        <w:rPr>
          <w:spacing w:val="-4"/>
        </w:rPr>
        <w:t xml:space="preserve"> </w:t>
      </w:r>
      <w:r>
        <w:t>for</w:t>
      </w:r>
      <w:r>
        <w:rPr>
          <w:spacing w:val="-3"/>
        </w:rPr>
        <w:t xml:space="preserve"> </w:t>
      </w:r>
      <w:r>
        <w:t>increased</w:t>
      </w:r>
      <w:r>
        <w:rPr>
          <w:spacing w:val="-3"/>
        </w:rPr>
        <w:t xml:space="preserve"> </w:t>
      </w:r>
      <w:r>
        <w:t>sensitivity</w:t>
      </w:r>
      <w:r>
        <w:rPr>
          <w:spacing w:val="-5"/>
        </w:rPr>
        <w:t xml:space="preserve"> </w:t>
      </w:r>
      <w:r>
        <w:t>to</w:t>
      </w:r>
      <w:r>
        <w:rPr>
          <w:spacing w:val="-3"/>
        </w:rPr>
        <w:t xml:space="preserve"> </w:t>
      </w:r>
      <w:r>
        <w:t>budget</w:t>
      </w:r>
      <w:r>
        <w:rPr>
          <w:spacing w:val="-3"/>
        </w:rPr>
        <w:t xml:space="preserve"> </w:t>
      </w:r>
      <w:r>
        <w:t>and</w:t>
      </w:r>
      <w:r>
        <w:rPr>
          <w:spacing w:val="-3"/>
        </w:rPr>
        <w:t xml:space="preserve"> </w:t>
      </w:r>
      <w:r>
        <w:t>decreased</w:t>
      </w:r>
      <w:r>
        <w:rPr>
          <w:spacing w:val="-4"/>
        </w:rPr>
        <w:t xml:space="preserve"> </w:t>
      </w:r>
      <w:r>
        <w:t>sensitivity</w:t>
      </w:r>
      <w:r>
        <w:rPr>
          <w:spacing w:val="-4"/>
        </w:rPr>
        <w:t xml:space="preserve"> </w:t>
      </w:r>
      <w:r>
        <w:t>to</w:t>
      </w:r>
      <w:r>
        <w:rPr>
          <w:spacing w:val="-3"/>
        </w:rPr>
        <w:t xml:space="preserve"> </w:t>
      </w:r>
      <w:r>
        <w:t>future economic benefits</w:t>
      </w:r>
    </w:p>
    <w:p w:rsidR="00C31389" w:rsidRDefault="00561FBD" w14:paraId="6F2612AC" w14:textId="77777777">
      <w:pPr>
        <w:pStyle w:val="ListParagraph"/>
        <w:numPr>
          <w:ilvl w:val="0"/>
          <w:numId w:val="9"/>
        </w:numPr>
        <w:tabs>
          <w:tab w:val="left" w:pos="1199"/>
        </w:tabs>
        <w:spacing w:before="119"/>
        <w:ind w:right="506"/>
      </w:pPr>
      <w:r>
        <w:t>Hassle (with install costs as a proxy) to assess inconvenience, especially for retrofit measures</w:t>
      </w:r>
      <w:r>
        <w:rPr>
          <w:spacing w:val="-3"/>
        </w:rPr>
        <w:t xml:space="preserve"> </w:t>
      </w:r>
      <w:r>
        <w:t>or</w:t>
      </w:r>
      <w:r>
        <w:rPr>
          <w:spacing w:val="-3"/>
        </w:rPr>
        <w:t xml:space="preserve"> </w:t>
      </w:r>
      <w:r>
        <w:t>switching</w:t>
      </w:r>
      <w:r>
        <w:rPr>
          <w:spacing w:val="-3"/>
        </w:rPr>
        <w:t xml:space="preserve"> </w:t>
      </w:r>
      <w:r>
        <w:t>to</w:t>
      </w:r>
      <w:r>
        <w:rPr>
          <w:spacing w:val="-4"/>
        </w:rPr>
        <w:t xml:space="preserve"> </w:t>
      </w:r>
      <w:r>
        <w:t>new</w:t>
      </w:r>
      <w:r>
        <w:rPr>
          <w:spacing w:val="-4"/>
        </w:rPr>
        <w:t xml:space="preserve"> </w:t>
      </w:r>
      <w:r>
        <w:t>kinds</w:t>
      </w:r>
      <w:r>
        <w:rPr>
          <w:spacing w:val="-3"/>
        </w:rPr>
        <w:t xml:space="preserve"> </w:t>
      </w:r>
      <w:r>
        <w:t>of</w:t>
      </w:r>
      <w:r>
        <w:rPr>
          <w:spacing w:val="-3"/>
        </w:rPr>
        <w:t xml:space="preserve"> </w:t>
      </w:r>
      <w:r>
        <w:t>technology</w:t>
      </w:r>
      <w:r>
        <w:rPr>
          <w:spacing w:val="-4"/>
        </w:rPr>
        <w:t xml:space="preserve"> </w:t>
      </w:r>
      <w:r>
        <w:t>that</w:t>
      </w:r>
      <w:r>
        <w:rPr>
          <w:spacing w:val="-3"/>
        </w:rPr>
        <w:t xml:space="preserve"> </w:t>
      </w:r>
      <w:r>
        <w:t>requir</w:t>
      </w:r>
      <w:r>
        <w:t>e</w:t>
      </w:r>
      <w:r>
        <w:rPr>
          <w:spacing w:val="-4"/>
        </w:rPr>
        <w:t xml:space="preserve"> </w:t>
      </w:r>
      <w:r>
        <w:t>different</w:t>
      </w:r>
      <w:r>
        <w:rPr>
          <w:spacing w:val="-3"/>
        </w:rPr>
        <w:t xml:space="preserve"> </w:t>
      </w:r>
      <w:r>
        <w:t>infrastructure (such as insulation, instantaneous water heaters, or FS)</w:t>
      </w:r>
    </w:p>
    <w:p w:rsidR="00C31389" w:rsidRDefault="00561FBD" w14:paraId="22A749F0" w14:textId="77777777">
      <w:pPr>
        <w:pStyle w:val="ListParagraph"/>
        <w:numPr>
          <w:ilvl w:val="0"/>
          <w:numId w:val="9"/>
        </w:numPr>
        <w:tabs>
          <w:tab w:val="left" w:pos="1199"/>
        </w:tabs>
        <w:spacing w:before="118"/>
        <w:ind w:hanging="359"/>
      </w:pPr>
      <w:r>
        <w:t>Eco-friendliness,</w:t>
      </w:r>
      <w:r>
        <w:rPr>
          <w:spacing w:val="-8"/>
        </w:rPr>
        <w:t xml:space="preserve"> </w:t>
      </w:r>
      <w:r>
        <w:t>which</w:t>
      </w:r>
      <w:r>
        <w:rPr>
          <w:spacing w:val="-7"/>
        </w:rPr>
        <w:t xml:space="preserve"> </w:t>
      </w:r>
      <w:r>
        <w:t>is</w:t>
      </w:r>
      <w:r>
        <w:rPr>
          <w:spacing w:val="-7"/>
        </w:rPr>
        <w:t xml:space="preserve"> </w:t>
      </w:r>
      <w:r>
        <w:t>based</w:t>
      </w:r>
      <w:r>
        <w:rPr>
          <w:spacing w:val="-7"/>
        </w:rPr>
        <w:t xml:space="preserve"> </w:t>
      </w:r>
      <w:r>
        <w:t>on</w:t>
      </w:r>
      <w:r>
        <w:rPr>
          <w:spacing w:val="-8"/>
        </w:rPr>
        <w:t xml:space="preserve"> </w:t>
      </w:r>
      <w:r>
        <w:t>energy</w:t>
      </w:r>
      <w:r>
        <w:rPr>
          <w:spacing w:val="-7"/>
        </w:rPr>
        <w:t xml:space="preserve"> </w:t>
      </w:r>
      <w:r>
        <w:t>or</w:t>
      </w:r>
      <w:r>
        <w:rPr>
          <w:spacing w:val="-7"/>
        </w:rPr>
        <w:t xml:space="preserve"> </w:t>
      </w:r>
      <w:r>
        <w:t>greenhouse</w:t>
      </w:r>
      <w:r>
        <w:rPr>
          <w:spacing w:val="-7"/>
        </w:rPr>
        <w:t xml:space="preserve"> </w:t>
      </w:r>
      <w:r>
        <w:t>gas</w:t>
      </w:r>
      <w:r>
        <w:rPr>
          <w:spacing w:val="-8"/>
        </w:rPr>
        <w:t xml:space="preserve"> </w:t>
      </w:r>
      <w:r>
        <w:t>(GHG)</w:t>
      </w:r>
      <w:r>
        <w:rPr>
          <w:spacing w:val="-7"/>
        </w:rPr>
        <w:t xml:space="preserve"> </w:t>
      </w:r>
      <w:r>
        <w:rPr>
          <w:spacing w:val="-2"/>
        </w:rPr>
        <w:t>savings</w:t>
      </w:r>
    </w:p>
    <w:p w:rsidR="00C31389" w:rsidRDefault="00561FBD" w14:paraId="06CC3151" w14:textId="77777777">
      <w:pPr>
        <w:pStyle w:val="ListParagraph"/>
        <w:numPr>
          <w:ilvl w:val="0"/>
          <w:numId w:val="9"/>
        </w:numPr>
        <w:tabs>
          <w:tab w:val="left" w:pos="1199"/>
        </w:tabs>
        <w:spacing w:before="118"/>
        <w:ind w:right="1045"/>
      </w:pPr>
      <w:r>
        <w:t>Eco-signaling,</w:t>
      </w:r>
      <w:r>
        <w:rPr>
          <w:spacing w:val="-3"/>
        </w:rPr>
        <w:t xml:space="preserve"> </w:t>
      </w:r>
      <w:r>
        <w:t>which</w:t>
      </w:r>
      <w:r>
        <w:rPr>
          <w:spacing w:val="-3"/>
        </w:rPr>
        <w:t xml:space="preserve"> </w:t>
      </w:r>
      <w:r>
        <w:t>is</w:t>
      </w:r>
      <w:r>
        <w:rPr>
          <w:spacing w:val="-2"/>
        </w:rPr>
        <w:t xml:space="preserve"> </w:t>
      </w:r>
      <w:r>
        <w:t>based</w:t>
      </w:r>
      <w:r>
        <w:rPr>
          <w:spacing w:val="-3"/>
        </w:rPr>
        <w:t xml:space="preserve"> </w:t>
      </w:r>
      <w:r>
        <w:t>on</w:t>
      </w:r>
      <w:r>
        <w:rPr>
          <w:spacing w:val="-3"/>
        </w:rPr>
        <w:t xml:space="preserve"> </w:t>
      </w:r>
      <w:r>
        <w:t>energy</w:t>
      </w:r>
      <w:r>
        <w:rPr>
          <w:spacing w:val="-3"/>
        </w:rPr>
        <w:t xml:space="preserve"> </w:t>
      </w:r>
      <w:r>
        <w:t>or</w:t>
      </w:r>
      <w:r>
        <w:rPr>
          <w:spacing w:val="-3"/>
        </w:rPr>
        <w:t xml:space="preserve"> </w:t>
      </w:r>
      <w:r>
        <w:t>GHG</w:t>
      </w:r>
      <w:r>
        <w:rPr>
          <w:spacing w:val="-2"/>
        </w:rPr>
        <w:t xml:space="preserve"> </w:t>
      </w:r>
      <w:r>
        <w:t>savings</w:t>
      </w:r>
      <w:r>
        <w:rPr>
          <w:spacing w:val="-4"/>
        </w:rPr>
        <w:t xml:space="preserve"> </w:t>
      </w:r>
      <w:r>
        <w:t>and</w:t>
      </w:r>
      <w:r>
        <w:rPr>
          <w:spacing w:val="-4"/>
        </w:rPr>
        <w:t xml:space="preserve"> </w:t>
      </w:r>
      <w:r>
        <w:t>is</w:t>
      </w:r>
      <w:r>
        <w:rPr>
          <w:spacing w:val="-3"/>
        </w:rPr>
        <w:t xml:space="preserve"> </w:t>
      </w:r>
      <w:r>
        <w:t>only</w:t>
      </w:r>
      <w:r>
        <w:rPr>
          <w:spacing w:val="-4"/>
        </w:rPr>
        <w:t xml:space="preserve"> </w:t>
      </w:r>
      <w:r>
        <w:t>applied</w:t>
      </w:r>
      <w:r>
        <w:rPr>
          <w:spacing w:val="-3"/>
        </w:rPr>
        <w:t xml:space="preserve"> </w:t>
      </w:r>
      <w:r>
        <w:t xml:space="preserve">to </w:t>
      </w:r>
      <w:r>
        <w:t>public-facing end uses</w:t>
      </w:r>
    </w:p>
    <w:p w:rsidR="00C31389" w:rsidRDefault="00561FBD" w14:paraId="628C9B95" w14:textId="77777777">
      <w:pPr>
        <w:pStyle w:val="ListParagraph"/>
        <w:numPr>
          <w:ilvl w:val="0"/>
          <w:numId w:val="9"/>
        </w:numPr>
        <w:tabs>
          <w:tab w:val="left" w:pos="1199"/>
        </w:tabs>
        <w:spacing w:before="118"/>
        <w:ind w:right="716"/>
      </w:pPr>
      <w:r>
        <w:t>Non-consumption performance to account for other important attributes of certain product</w:t>
      </w:r>
      <w:r>
        <w:rPr>
          <w:spacing w:val="-3"/>
        </w:rPr>
        <w:t xml:space="preserve"> </w:t>
      </w:r>
      <w:r>
        <w:t>types</w:t>
      </w:r>
      <w:r>
        <w:rPr>
          <w:spacing w:val="-3"/>
        </w:rPr>
        <w:t xml:space="preserve"> </w:t>
      </w:r>
      <w:r>
        <w:t>(like</w:t>
      </w:r>
      <w:r>
        <w:rPr>
          <w:spacing w:val="-3"/>
        </w:rPr>
        <w:t xml:space="preserve"> </w:t>
      </w:r>
      <w:r>
        <w:t>aesthetic</w:t>
      </w:r>
      <w:r>
        <w:rPr>
          <w:spacing w:val="-3"/>
        </w:rPr>
        <w:t xml:space="preserve"> </w:t>
      </w:r>
      <w:r>
        <w:t>appeal)</w:t>
      </w:r>
      <w:r>
        <w:rPr>
          <w:spacing w:val="-5"/>
        </w:rPr>
        <w:t xml:space="preserve"> </w:t>
      </w:r>
      <w:r>
        <w:t>that</w:t>
      </w:r>
      <w:r>
        <w:rPr>
          <w:spacing w:val="-3"/>
        </w:rPr>
        <w:t xml:space="preserve"> </w:t>
      </w:r>
      <w:r>
        <w:t>are</w:t>
      </w:r>
      <w:r>
        <w:rPr>
          <w:spacing w:val="-3"/>
        </w:rPr>
        <w:t xml:space="preserve"> </w:t>
      </w:r>
      <w:r>
        <w:t>not</w:t>
      </w:r>
      <w:r>
        <w:rPr>
          <w:spacing w:val="-4"/>
        </w:rPr>
        <w:t xml:space="preserve"> </w:t>
      </w:r>
      <w:r>
        <w:t>typically</w:t>
      </w:r>
      <w:r>
        <w:rPr>
          <w:spacing w:val="-3"/>
        </w:rPr>
        <w:t xml:space="preserve"> </w:t>
      </w:r>
      <w:r>
        <w:t>correlated</w:t>
      </w:r>
      <w:r>
        <w:rPr>
          <w:spacing w:val="-3"/>
        </w:rPr>
        <w:t xml:space="preserve"> </w:t>
      </w:r>
      <w:r>
        <w:t>with</w:t>
      </w:r>
      <w:r>
        <w:rPr>
          <w:spacing w:val="-4"/>
        </w:rPr>
        <w:t xml:space="preserve"> </w:t>
      </w:r>
      <w:r>
        <w:t>efficiency levels but that may reduce sensitivity to the other attributes</w:t>
      </w:r>
    </w:p>
    <w:p w:rsidR="00C31389" w:rsidRDefault="00C31389" w14:paraId="473994F2" w14:textId="77777777">
      <w:pPr>
        <w:pStyle w:val="BodyText"/>
        <w:spacing w:before="9"/>
        <w:rPr>
          <w:sz w:val="20"/>
        </w:rPr>
      </w:pPr>
    </w:p>
    <w:p w:rsidR="00C31389" w:rsidRDefault="00561FBD" w14:paraId="0713DE63" w14:textId="77777777">
      <w:pPr>
        <w:pStyle w:val="BodyText"/>
        <w:ind w:left="479" w:right="445"/>
      </w:pPr>
      <w:r>
        <w:t>The Guidehouse team conducted primary data collection through surveys to obtain data on the customer preferences for these attributes across each residential and commercial building</w:t>
      </w:r>
      <w:r>
        <w:rPr>
          <w:spacing w:val="-3"/>
        </w:rPr>
        <w:t xml:space="preserve"> </w:t>
      </w:r>
      <w:r>
        <w:t>type.</w:t>
      </w:r>
      <w:r>
        <w:rPr>
          <w:spacing w:val="-3"/>
        </w:rPr>
        <w:t xml:space="preserve"> </w:t>
      </w:r>
      <w:r>
        <w:t>The</w:t>
      </w:r>
      <w:r>
        <w:rPr>
          <w:spacing w:val="-3"/>
        </w:rPr>
        <w:t xml:space="preserve"> </w:t>
      </w:r>
      <w:r>
        <w:t>team</w:t>
      </w:r>
      <w:r>
        <w:rPr>
          <w:spacing w:val="-4"/>
        </w:rPr>
        <w:t xml:space="preserve"> </w:t>
      </w:r>
      <w:r>
        <w:t>used</w:t>
      </w:r>
      <w:r>
        <w:rPr>
          <w:spacing w:val="-3"/>
        </w:rPr>
        <w:t xml:space="preserve"> </w:t>
      </w:r>
      <w:r>
        <w:t>preference</w:t>
      </w:r>
      <w:r>
        <w:rPr>
          <w:spacing w:val="-3"/>
        </w:rPr>
        <w:t xml:space="preserve"> </w:t>
      </w:r>
      <w:r>
        <w:t>clusters</w:t>
      </w:r>
      <w:r>
        <w:rPr>
          <w:spacing w:val="-3"/>
        </w:rPr>
        <w:t xml:space="preserve"> </w:t>
      </w:r>
      <w:r>
        <w:t>to</w:t>
      </w:r>
      <w:r>
        <w:rPr>
          <w:spacing w:val="-3"/>
        </w:rPr>
        <w:t xml:space="preserve"> </w:t>
      </w:r>
      <w:r>
        <w:t>determine</w:t>
      </w:r>
      <w:r>
        <w:rPr>
          <w:spacing w:val="-3"/>
        </w:rPr>
        <w:t xml:space="preserve"> </w:t>
      </w:r>
      <w:r>
        <w:t>the</w:t>
      </w:r>
      <w:r>
        <w:rPr>
          <w:spacing w:val="-3"/>
        </w:rPr>
        <w:t xml:space="preserve"> </w:t>
      </w:r>
      <w:r>
        <w:t>proper</w:t>
      </w:r>
      <w:r>
        <w:rPr>
          <w:spacing w:val="-3"/>
        </w:rPr>
        <w:t xml:space="preserve"> </w:t>
      </w:r>
      <w:r>
        <w:t>number</w:t>
      </w:r>
      <w:r>
        <w:rPr>
          <w:spacing w:val="-3"/>
        </w:rPr>
        <w:t xml:space="preserve"> </w:t>
      </w:r>
      <w:r>
        <w:t>and</w:t>
      </w:r>
      <w:r>
        <w:rPr>
          <w:spacing w:val="-2"/>
        </w:rPr>
        <w:t xml:space="preserve"> </w:t>
      </w:r>
      <w:r>
        <w:t xml:space="preserve">sizes </w:t>
      </w:r>
      <w:bookmarkStart w:name="H.3.1_Customer_Preference_Weighting" w:id="660"/>
      <w:bookmarkStart w:name="_bookmark508" w:id="661"/>
      <w:bookmarkEnd w:id="660"/>
      <w:bookmarkEnd w:id="661"/>
      <w:r>
        <w:t>of customer segments and their preferences.</w:t>
      </w:r>
    </w:p>
    <w:p w:rsidR="00C31389" w:rsidRDefault="00C31389" w14:paraId="2047209B" w14:textId="77777777">
      <w:pPr>
        <w:pStyle w:val="BodyText"/>
        <w:spacing w:before="10"/>
        <w:rPr>
          <w:sz w:val="20"/>
        </w:rPr>
      </w:pPr>
    </w:p>
    <w:p w:rsidR="00C31389" w:rsidRDefault="00561FBD" w14:paraId="63BAAD54" w14:textId="77777777">
      <w:pPr>
        <w:pStyle w:val="ListParagraph"/>
        <w:numPr>
          <w:ilvl w:val="2"/>
          <w:numId w:val="11"/>
        </w:numPr>
        <w:tabs>
          <w:tab w:val="left" w:pos="1197"/>
        </w:tabs>
        <w:spacing w:before="1"/>
        <w:ind w:left="1197" w:hanging="717"/>
        <w:rPr>
          <w:b/>
          <w:sz w:val="24"/>
        </w:rPr>
      </w:pPr>
      <w:r>
        <w:rPr>
          <w:b/>
          <w:sz w:val="24"/>
        </w:rPr>
        <w:t>Customer</w:t>
      </w:r>
      <w:r>
        <w:rPr>
          <w:b/>
          <w:spacing w:val="-5"/>
          <w:sz w:val="24"/>
        </w:rPr>
        <w:t xml:space="preserve"> </w:t>
      </w:r>
      <w:r>
        <w:rPr>
          <w:b/>
          <w:sz w:val="24"/>
        </w:rPr>
        <w:t>Preference</w:t>
      </w:r>
      <w:r>
        <w:rPr>
          <w:b/>
          <w:spacing w:val="-5"/>
          <w:sz w:val="24"/>
        </w:rPr>
        <w:t xml:space="preserve"> </w:t>
      </w:r>
      <w:r>
        <w:rPr>
          <w:b/>
          <w:spacing w:val="-2"/>
          <w:sz w:val="24"/>
        </w:rPr>
        <w:t>Weighting</w:t>
      </w:r>
    </w:p>
    <w:p w:rsidR="00C31389" w:rsidRDefault="00C31389" w14:paraId="0B985340" w14:textId="77777777">
      <w:pPr>
        <w:pStyle w:val="BodyText"/>
        <w:spacing w:before="9"/>
        <w:rPr>
          <w:b/>
          <w:sz w:val="20"/>
        </w:rPr>
      </w:pPr>
    </w:p>
    <w:p w:rsidR="00C31389" w:rsidRDefault="00561FBD" w14:paraId="6DBE68A8" w14:textId="77777777">
      <w:pPr>
        <w:pStyle w:val="BodyText"/>
        <w:ind w:left="480" w:right="1140"/>
      </w:pPr>
      <w:r>
        <w:t>Through</w:t>
      </w:r>
      <w:r>
        <w:rPr>
          <w:spacing w:val="-4"/>
        </w:rPr>
        <w:t xml:space="preserve"> </w:t>
      </w:r>
      <w:r>
        <w:t>the</w:t>
      </w:r>
      <w:r>
        <w:rPr>
          <w:spacing w:val="-4"/>
        </w:rPr>
        <w:t xml:space="preserve"> </w:t>
      </w:r>
      <w:r>
        <w:t>Market</w:t>
      </w:r>
      <w:r>
        <w:rPr>
          <w:spacing w:val="-4"/>
        </w:rPr>
        <w:t xml:space="preserve"> </w:t>
      </w:r>
      <w:r>
        <w:t>Adoption</w:t>
      </w:r>
      <w:r>
        <w:rPr>
          <w:spacing w:val="-4"/>
        </w:rPr>
        <w:t xml:space="preserve"> </w:t>
      </w:r>
      <w:r>
        <w:t>Study</w:t>
      </w:r>
      <w:r>
        <w:rPr>
          <w:spacing w:val="-5"/>
        </w:rPr>
        <w:t xml:space="preserve"> </w:t>
      </w:r>
      <w:r>
        <w:t>surveys</w:t>
      </w:r>
      <w:r>
        <w:rPr>
          <w:spacing w:val="-5"/>
        </w:rPr>
        <w:t xml:space="preserve"> </w:t>
      </w:r>
      <w:r>
        <w:t>conducted</w:t>
      </w:r>
      <w:r>
        <w:rPr>
          <w:spacing w:val="-4"/>
        </w:rPr>
        <w:t xml:space="preserve"> </w:t>
      </w:r>
      <w:r>
        <w:t>in</w:t>
      </w:r>
      <w:r>
        <w:rPr>
          <w:spacing w:val="-4"/>
        </w:rPr>
        <w:t xml:space="preserve"> </w:t>
      </w:r>
      <w:r>
        <w:t>2019,</w:t>
      </w:r>
      <w:r>
        <w:rPr>
          <w:spacing w:val="-4"/>
        </w:rPr>
        <w:t xml:space="preserve"> </w:t>
      </w:r>
      <w:r>
        <w:t>customers</w:t>
      </w:r>
      <w:r>
        <w:rPr>
          <w:spacing w:val="-4"/>
        </w:rPr>
        <w:t xml:space="preserve"> </w:t>
      </w:r>
      <w:r>
        <w:t>answered questions on a 1-5 scale indicating how important each value factor is to their dec</w:t>
      </w:r>
      <w:r>
        <w:t>ision-making process.</w:t>
      </w:r>
    </w:p>
    <w:p w:rsidR="00C31389" w:rsidRDefault="00C31389" w14:paraId="3CC1EDE4" w14:textId="77777777">
      <w:pPr>
        <w:pStyle w:val="BodyText"/>
        <w:spacing w:before="9"/>
        <w:rPr>
          <w:sz w:val="20"/>
        </w:rPr>
      </w:pPr>
    </w:p>
    <w:p w:rsidR="00C31389" w:rsidRDefault="00561FBD" w14:paraId="76D01D37" w14:textId="77777777">
      <w:pPr>
        <w:pStyle w:val="BodyText"/>
        <w:spacing w:before="1"/>
        <w:ind w:left="480" w:right="615"/>
      </w:pPr>
      <w:r>
        <w:t>After</w:t>
      </w:r>
      <w:r>
        <w:rPr>
          <w:spacing w:val="-4"/>
        </w:rPr>
        <w:t xml:space="preserve"> </w:t>
      </w:r>
      <w:r>
        <w:t>applying</w:t>
      </w:r>
      <w:r>
        <w:rPr>
          <w:spacing w:val="-4"/>
        </w:rPr>
        <w:t xml:space="preserve"> </w:t>
      </w:r>
      <w:r>
        <w:t>an</w:t>
      </w:r>
      <w:r>
        <w:rPr>
          <w:spacing w:val="-4"/>
        </w:rPr>
        <w:t xml:space="preserve"> </w:t>
      </w:r>
      <w:r>
        <w:t>ordinal-to-metric</w:t>
      </w:r>
      <w:r>
        <w:rPr>
          <w:spacing w:val="-4"/>
        </w:rPr>
        <w:t xml:space="preserve"> </w:t>
      </w:r>
      <w:r>
        <w:t>transformation</w:t>
      </w:r>
      <w:r>
        <w:rPr>
          <w:spacing w:val="-4"/>
        </w:rPr>
        <w:t xml:space="preserve"> </w:t>
      </w:r>
      <w:r>
        <w:t>to</w:t>
      </w:r>
      <w:r>
        <w:rPr>
          <w:spacing w:val="-4"/>
        </w:rPr>
        <w:t xml:space="preserve"> </w:t>
      </w:r>
      <w:r>
        <w:t>the</w:t>
      </w:r>
      <w:r>
        <w:rPr>
          <w:spacing w:val="-4"/>
        </w:rPr>
        <w:t xml:space="preserve"> </w:t>
      </w:r>
      <w:r>
        <w:t>raw</w:t>
      </w:r>
      <w:r>
        <w:rPr>
          <w:spacing w:val="-5"/>
        </w:rPr>
        <w:t xml:space="preserve"> </w:t>
      </w:r>
      <w:r>
        <w:t>responses,</w:t>
      </w:r>
      <w:r>
        <w:rPr>
          <w:spacing w:val="-4"/>
        </w:rPr>
        <w:t xml:space="preserve"> </w:t>
      </w:r>
      <w:r>
        <w:t>the</w:t>
      </w:r>
      <w:r>
        <w:rPr>
          <w:spacing w:val="-4"/>
        </w:rPr>
        <w:t xml:space="preserve"> </w:t>
      </w:r>
      <w:r>
        <w:t>Guidehouse team converted transformed responses for each value factor to relative weightings</w:t>
      </w:r>
    </w:p>
    <w:p w:rsidR="00C31389" w:rsidRDefault="00561FBD" w14:paraId="28FDBB92" w14:textId="77777777">
      <w:pPr>
        <w:pStyle w:val="BodyText"/>
        <w:ind w:left="480" w:right="418" w:hanging="1"/>
      </w:pPr>
      <w:r>
        <w:t>(0%-100%)</w:t>
      </w:r>
      <w:r>
        <w:rPr>
          <w:spacing w:val="-3"/>
        </w:rPr>
        <w:t xml:space="preserve"> </w:t>
      </w:r>
      <w:r>
        <w:t>that</w:t>
      </w:r>
      <w:r>
        <w:rPr>
          <w:spacing w:val="-3"/>
        </w:rPr>
        <w:t xml:space="preserve"> </w:t>
      </w:r>
      <w:r>
        <w:t>indicate</w:t>
      </w:r>
      <w:r>
        <w:rPr>
          <w:spacing w:val="-4"/>
        </w:rPr>
        <w:t xml:space="preserve"> </w:t>
      </w:r>
      <w:r>
        <w:t>the</w:t>
      </w:r>
      <w:r>
        <w:rPr>
          <w:spacing w:val="-3"/>
        </w:rPr>
        <w:t xml:space="preserve"> </w:t>
      </w:r>
      <w:r>
        <w:t>importance</w:t>
      </w:r>
      <w:r>
        <w:rPr>
          <w:spacing w:val="-3"/>
        </w:rPr>
        <w:t xml:space="preserve"> </w:t>
      </w:r>
      <w:r>
        <w:t>of</w:t>
      </w:r>
      <w:r>
        <w:rPr>
          <w:spacing w:val="-3"/>
        </w:rPr>
        <w:t xml:space="preserve"> </w:t>
      </w:r>
      <w:r>
        <w:t>each</w:t>
      </w:r>
      <w:r>
        <w:rPr>
          <w:spacing w:val="-3"/>
        </w:rPr>
        <w:t xml:space="preserve"> </w:t>
      </w:r>
      <w:r>
        <w:t>value</w:t>
      </w:r>
      <w:r>
        <w:rPr>
          <w:spacing w:val="-3"/>
        </w:rPr>
        <w:t xml:space="preserve"> </w:t>
      </w:r>
      <w:r>
        <w:t>factor</w:t>
      </w:r>
      <w:r>
        <w:rPr>
          <w:spacing w:val="-3"/>
        </w:rPr>
        <w:t xml:space="preserve"> </w:t>
      </w:r>
      <w:r>
        <w:t>in</w:t>
      </w:r>
      <w:r>
        <w:rPr>
          <w:spacing w:val="-3"/>
        </w:rPr>
        <w:t xml:space="preserve"> </w:t>
      </w:r>
      <w:r>
        <w:t>determining</w:t>
      </w:r>
      <w:r>
        <w:rPr>
          <w:spacing w:val="-3"/>
        </w:rPr>
        <w:t xml:space="preserve"> </w:t>
      </w:r>
      <w:r>
        <w:t>adoption.</w:t>
      </w:r>
      <w:r>
        <w:rPr>
          <w:spacing w:val="-4"/>
        </w:rPr>
        <w:t xml:space="preserve"> </w:t>
      </w:r>
      <w:r>
        <w:t>Values can be interpreted as a percentage of decision driven by each technology characteristic.</w:t>
      </w:r>
    </w:p>
    <w:p w:rsidR="00C31389" w:rsidRDefault="00561FBD" w14:paraId="29119BCB" w14:textId="77777777">
      <w:pPr>
        <w:pStyle w:val="BodyText"/>
        <w:ind w:left="480" w:right="434"/>
      </w:pPr>
      <w:hyperlink w:history="1" w:anchor="_bookmark509">
        <w:r>
          <w:t>Table</w:t>
        </w:r>
        <w:r>
          <w:rPr>
            <w:spacing w:val="-4"/>
          </w:rPr>
          <w:t xml:space="preserve"> </w:t>
        </w:r>
        <w:r>
          <w:t>H-1</w:t>
        </w:r>
      </w:hyperlink>
      <w:r>
        <w:rPr>
          <w:spacing w:val="-4"/>
        </w:rPr>
        <w:t xml:space="preserve"> </w:t>
      </w:r>
      <w:r>
        <w:t>provides</w:t>
      </w:r>
      <w:r>
        <w:rPr>
          <w:spacing w:val="-4"/>
        </w:rPr>
        <w:t xml:space="preserve"> </w:t>
      </w:r>
      <w:r>
        <w:t>information</w:t>
      </w:r>
      <w:r>
        <w:rPr>
          <w:spacing w:val="-4"/>
        </w:rPr>
        <w:t xml:space="preserve"> </w:t>
      </w:r>
      <w:r>
        <w:t>on</w:t>
      </w:r>
      <w:r>
        <w:rPr>
          <w:spacing w:val="-4"/>
        </w:rPr>
        <w:t xml:space="preserve"> </w:t>
      </w:r>
      <w:r>
        <w:t>converting</w:t>
      </w:r>
      <w:r>
        <w:rPr>
          <w:spacing w:val="-4"/>
        </w:rPr>
        <w:t xml:space="preserve"> </w:t>
      </w:r>
      <w:r>
        <w:t>survey</w:t>
      </w:r>
      <w:r>
        <w:rPr>
          <w:spacing w:val="-4"/>
        </w:rPr>
        <w:t xml:space="preserve"> </w:t>
      </w:r>
      <w:r>
        <w:t>response</w:t>
      </w:r>
      <w:r>
        <w:rPr>
          <w:spacing w:val="-4"/>
        </w:rPr>
        <w:t xml:space="preserve"> </w:t>
      </w:r>
      <w:r>
        <w:t>to</w:t>
      </w:r>
      <w:r>
        <w:rPr>
          <w:spacing w:val="-4"/>
        </w:rPr>
        <w:t xml:space="preserve"> </w:t>
      </w:r>
      <w:r>
        <w:t>prefer</w:t>
      </w:r>
      <w:r>
        <w:t>ence</w:t>
      </w:r>
      <w:r>
        <w:rPr>
          <w:spacing w:val="-4"/>
        </w:rPr>
        <w:t xml:space="preserve"> </w:t>
      </w:r>
      <w:r>
        <w:t>weightings</w:t>
      </w:r>
      <w:r>
        <w:rPr>
          <w:spacing w:val="-4"/>
        </w:rPr>
        <w:t xml:space="preserve"> </w:t>
      </w:r>
      <w:r>
        <w:t xml:space="preserve">with the calculation in </w:t>
      </w:r>
      <w:hyperlink w:history="1" w:anchor="_bookmark510">
        <w:r>
          <w:t>Equation H-1</w:t>
        </w:r>
      </w:hyperlink>
      <w:r>
        <w:t>.</w:t>
      </w:r>
    </w:p>
    <w:p w:rsidR="00C31389" w:rsidRDefault="00C31389" w14:paraId="239286BA" w14:textId="77777777">
      <w:pPr>
        <w:pStyle w:val="BodyText"/>
        <w:spacing w:before="10"/>
        <w:rPr>
          <w:sz w:val="20"/>
        </w:rPr>
      </w:pPr>
    </w:p>
    <w:p w:rsidR="00C31389" w:rsidRDefault="00561FBD" w14:paraId="47474817" w14:textId="77777777">
      <w:pPr>
        <w:pStyle w:val="Heading7"/>
        <w:ind w:left="398" w:right="339"/>
        <w:jc w:val="center"/>
      </w:pPr>
      <w:bookmarkStart w:name="_bookmark509" w:id="662"/>
      <w:bookmarkEnd w:id="662"/>
      <w:r>
        <w:t>Table</w:t>
      </w:r>
      <w:r>
        <w:rPr>
          <w:spacing w:val="-9"/>
        </w:rPr>
        <w:t xml:space="preserve"> </w:t>
      </w:r>
      <w:r>
        <w:t>H-1.</w:t>
      </w:r>
      <w:r>
        <w:rPr>
          <w:spacing w:val="-10"/>
        </w:rPr>
        <w:t xml:space="preserve"> </w:t>
      </w:r>
      <w:r>
        <w:t>Converting</w:t>
      </w:r>
      <w:r>
        <w:rPr>
          <w:spacing w:val="-9"/>
        </w:rPr>
        <w:t xml:space="preserve"> </w:t>
      </w:r>
      <w:r>
        <w:t>Survey</w:t>
      </w:r>
      <w:r>
        <w:rPr>
          <w:spacing w:val="-9"/>
        </w:rPr>
        <w:t xml:space="preserve"> </w:t>
      </w:r>
      <w:r>
        <w:t>Responses</w:t>
      </w:r>
      <w:r>
        <w:rPr>
          <w:spacing w:val="-9"/>
        </w:rPr>
        <w:t xml:space="preserve"> </w:t>
      </w:r>
      <w:r>
        <w:t>to</w:t>
      </w:r>
      <w:r>
        <w:rPr>
          <w:spacing w:val="-9"/>
        </w:rPr>
        <w:t xml:space="preserve"> </w:t>
      </w:r>
      <w:r>
        <w:t>Preference</w:t>
      </w:r>
      <w:r>
        <w:rPr>
          <w:spacing w:val="-8"/>
        </w:rPr>
        <w:t xml:space="preserve"> </w:t>
      </w:r>
      <w:r>
        <w:rPr>
          <w:spacing w:val="-2"/>
        </w:rPr>
        <w:t>Weightings</w:t>
      </w:r>
    </w:p>
    <w:p w:rsidR="00C31389" w:rsidRDefault="00C31389" w14:paraId="14A56EE1" w14:textId="77777777">
      <w:pPr>
        <w:pStyle w:val="BodyText"/>
        <w:spacing w:before="7"/>
        <w:rPr>
          <w:b/>
          <w:sz w:val="9"/>
        </w:rPr>
      </w:pPr>
    </w:p>
    <w:tbl>
      <w:tblPr>
        <w:tblW w:w="0" w:type="auto"/>
        <w:tblInd w:w="306" w:type="dxa"/>
        <w:tblLayout w:type="fixed"/>
        <w:tblCellMar>
          <w:left w:w="0" w:type="dxa"/>
          <w:right w:w="0" w:type="dxa"/>
        </w:tblCellMar>
        <w:tblLook w:val="01E0" w:firstRow="1" w:lastRow="1" w:firstColumn="1" w:lastColumn="1" w:noHBand="0" w:noVBand="0"/>
      </w:tblPr>
      <w:tblGrid>
        <w:gridCol w:w="3371"/>
        <w:gridCol w:w="3018"/>
        <w:gridCol w:w="2986"/>
      </w:tblGrid>
      <w:tr w:rsidR="00C31389" w14:paraId="05CC8E53" w14:textId="77777777">
        <w:trPr>
          <w:trHeight w:val="365"/>
        </w:trPr>
        <w:tc>
          <w:tcPr>
            <w:tcW w:w="3371" w:type="dxa"/>
            <w:shd w:val="clear" w:color="auto" w:fill="92D400"/>
          </w:tcPr>
          <w:p w:rsidR="00C31389" w:rsidRDefault="00C31389" w14:paraId="299B5D05" w14:textId="77777777">
            <w:pPr>
              <w:pStyle w:val="TableParagraph"/>
              <w:spacing w:before="0"/>
              <w:rPr>
                <w:rFonts w:ascii="Times New Roman"/>
                <w:sz w:val="20"/>
              </w:rPr>
            </w:pPr>
          </w:p>
        </w:tc>
        <w:tc>
          <w:tcPr>
            <w:tcW w:w="3018" w:type="dxa"/>
            <w:vMerge w:val="restart"/>
            <w:tcBorders>
              <w:bottom w:val="single" w:color="E4E4E4" w:sz="4" w:space="0"/>
            </w:tcBorders>
            <w:shd w:val="clear" w:color="auto" w:fill="92D400"/>
          </w:tcPr>
          <w:p w:rsidR="00C31389" w:rsidRDefault="00561FBD" w14:paraId="484C53E5" w14:textId="77777777">
            <w:pPr>
              <w:pStyle w:val="TableParagraph"/>
              <w:ind w:left="1037" w:right="463" w:hanging="556"/>
              <w:rPr>
                <w:b/>
                <w:sz w:val="20"/>
              </w:rPr>
            </w:pPr>
            <w:r>
              <w:rPr>
                <w:b/>
                <w:sz w:val="20"/>
              </w:rPr>
              <w:t>Average</w:t>
            </w:r>
            <w:r>
              <w:rPr>
                <w:b/>
                <w:spacing w:val="-14"/>
                <w:sz w:val="20"/>
              </w:rPr>
              <w:t xml:space="preserve"> </w:t>
            </w:r>
            <w:r>
              <w:rPr>
                <w:b/>
                <w:sz w:val="20"/>
              </w:rPr>
              <w:t xml:space="preserve">Transformed </w:t>
            </w:r>
            <w:r>
              <w:rPr>
                <w:b/>
                <w:spacing w:val="-2"/>
                <w:sz w:val="20"/>
              </w:rPr>
              <w:t>Response</w:t>
            </w:r>
          </w:p>
        </w:tc>
        <w:tc>
          <w:tcPr>
            <w:tcW w:w="2986" w:type="dxa"/>
            <w:shd w:val="clear" w:color="auto" w:fill="92D400"/>
          </w:tcPr>
          <w:p w:rsidR="00C31389" w:rsidRDefault="00561FBD" w14:paraId="333B522E" w14:textId="77777777">
            <w:pPr>
              <w:pStyle w:val="TableParagraph"/>
              <w:spacing w:before="155" w:line="190" w:lineRule="exact"/>
              <w:ind w:left="313" w:right="297"/>
              <w:jc w:val="center"/>
              <w:rPr>
                <w:b/>
                <w:sz w:val="20"/>
              </w:rPr>
            </w:pPr>
            <w:r>
              <w:rPr>
                <w:b/>
                <w:sz w:val="20"/>
              </w:rPr>
              <w:t>Preference</w:t>
            </w:r>
            <w:r>
              <w:rPr>
                <w:b/>
                <w:spacing w:val="-6"/>
                <w:sz w:val="20"/>
              </w:rPr>
              <w:t xml:space="preserve"> </w:t>
            </w:r>
            <w:r>
              <w:rPr>
                <w:b/>
                <w:spacing w:val="-2"/>
                <w:sz w:val="20"/>
              </w:rPr>
              <w:t>Weighting</w:t>
            </w:r>
          </w:p>
        </w:tc>
      </w:tr>
      <w:tr w:rsidR="00C31389" w14:paraId="35C14C3A" w14:textId="77777777">
        <w:trPr>
          <w:trHeight w:val="198"/>
        </w:trPr>
        <w:tc>
          <w:tcPr>
            <w:tcW w:w="3371" w:type="dxa"/>
            <w:shd w:val="clear" w:color="auto" w:fill="92D400"/>
          </w:tcPr>
          <w:p w:rsidR="00C31389" w:rsidRDefault="00561FBD" w14:paraId="137CB0F0" w14:textId="77777777">
            <w:pPr>
              <w:pStyle w:val="TableParagraph"/>
              <w:spacing w:before="0" w:line="179" w:lineRule="exact"/>
              <w:ind w:left="184"/>
              <w:rPr>
                <w:b/>
                <w:sz w:val="20"/>
              </w:rPr>
            </w:pPr>
            <w:r>
              <w:rPr>
                <w:b/>
                <w:sz w:val="20"/>
              </w:rPr>
              <w:t>Value</w:t>
            </w:r>
            <w:r>
              <w:rPr>
                <w:b/>
                <w:spacing w:val="-4"/>
                <w:sz w:val="20"/>
              </w:rPr>
              <w:t xml:space="preserve"> </w:t>
            </w:r>
            <w:r>
              <w:rPr>
                <w:b/>
                <w:spacing w:val="-2"/>
                <w:sz w:val="20"/>
              </w:rPr>
              <w:t>Factor</w:t>
            </w:r>
          </w:p>
        </w:tc>
        <w:tc>
          <w:tcPr>
            <w:tcW w:w="3018" w:type="dxa"/>
            <w:vMerge/>
            <w:tcBorders>
              <w:top w:val="nil"/>
              <w:bottom w:val="single" w:color="E4E4E4" w:sz="4" w:space="0"/>
            </w:tcBorders>
            <w:shd w:val="clear" w:color="auto" w:fill="92D400"/>
          </w:tcPr>
          <w:p w:rsidR="00C31389" w:rsidRDefault="00C31389" w14:paraId="319CB62A" w14:textId="77777777">
            <w:pPr>
              <w:rPr>
                <w:sz w:val="2"/>
                <w:szCs w:val="2"/>
              </w:rPr>
            </w:pPr>
          </w:p>
        </w:tc>
        <w:tc>
          <w:tcPr>
            <w:tcW w:w="2986" w:type="dxa"/>
            <w:tcBorders>
              <w:bottom w:val="single" w:color="E4E4E4" w:sz="4" w:space="0"/>
            </w:tcBorders>
            <w:shd w:val="clear" w:color="auto" w:fill="92D400"/>
          </w:tcPr>
          <w:p w:rsidR="00C31389" w:rsidRDefault="00C31389" w14:paraId="64052DF7" w14:textId="77777777">
            <w:pPr>
              <w:pStyle w:val="TableParagraph"/>
              <w:spacing w:before="0"/>
              <w:rPr>
                <w:rFonts w:ascii="Times New Roman"/>
                <w:sz w:val="10"/>
              </w:rPr>
            </w:pPr>
          </w:p>
        </w:tc>
      </w:tr>
      <w:tr w:rsidR="00C31389" w14:paraId="06D9BB89" w14:textId="77777777">
        <w:trPr>
          <w:trHeight w:val="362"/>
        </w:trPr>
        <w:tc>
          <w:tcPr>
            <w:tcW w:w="3371" w:type="dxa"/>
            <w:shd w:val="clear" w:color="auto" w:fill="92D400"/>
          </w:tcPr>
          <w:p w:rsidR="00C31389" w:rsidRDefault="00C31389" w14:paraId="53960B56" w14:textId="77777777">
            <w:pPr>
              <w:pStyle w:val="TableParagraph"/>
              <w:spacing w:before="0"/>
              <w:rPr>
                <w:rFonts w:ascii="Times New Roman"/>
                <w:sz w:val="20"/>
              </w:rPr>
            </w:pPr>
          </w:p>
        </w:tc>
        <w:tc>
          <w:tcPr>
            <w:tcW w:w="3018" w:type="dxa"/>
            <w:tcBorders>
              <w:top w:val="single" w:color="E4E4E4" w:sz="4" w:space="0"/>
            </w:tcBorders>
            <w:shd w:val="clear" w:color="auto" w:fill="92D400"/>
          </w:tcPr>
          <w:p w:rsidR="00C31389" w:rsidRDefault="00561FBD" w14:paraId="3E3DB9E9" w14:textId="77777777">
            <w:pPr>
              <w:pStyle w:val="TableParagraph"/>
              <w:spacing w:before="74"/>
              <w:ind w:left="329" w:right="314"/>
              <w:jc w:val="center"/>
              <w:rPr>
                <w:b/>
                <w:sz w:val="20"/>
              </w:rPr>
            </w:pPr>
            <w:r>
              <w:rPr>
                <w:b/>
                <w:sz w:val="20"/>
              </w:rPr>
              <w:t>Sample</w:t>
            </w:r>
            <w:r>
              <w:rPr>
                <w:b/>
                <w:spacing w:val="-6"/>
                <w:sz w:val="20"/>
              </w:rPr>
              <w:t xml:space="preserve"> </w:t>
            </w:r>
            <w:r>
              <w:rPr>
                <w:b/>
                <w:sz w:val="20"/>
              </w:rPr>
              <w:t>Customer</w:t>
            </w:r>
            <w:r>
              <w:rPr>
                <w:b/>
                <w:spacing w:val="-5"/>
                <w:sz w:val="20"/>
              </w:rPr>
              <w:t xml:space="preserve"> </w:t>
            </w:r>
            <w:r>
              <w:rPr>
                <w:b/>
                <w:spacing w:val="-2"/>
                <w:sz w:val="20"/>
              </w:rPr>
              <w:t>Group</w:t>
            </w:r>
          </w:p>
        </w:tc>
        <w:tc>
          <w:tcPr>
            <w:tcW w:w="2986" w:type="dxa"/>
            <w:tcBorders>
              <w:top w:val="single" w:color="E4E4E4" w:sz="4" w:space="0"/>
            </w:tcBorders>
            <w:shd w:val="clear" w:color="auto" w:fill="92D400"/>
          </w:tcPr>
          <w:p w:rsidR="00C31389" w:rsidRDefault="00561FBD" w14:paraId="6111E70D" w14:textId="77777777">
            <w:pPr>
              <w:pStyle w:val="TableParagraph"/>
              <w:spacing w:before="74"/>
              <w:ind w:left="313" w:right="297"/>
              <w:jc w:val="center"/>
              <w:rPr>
                <w:b/>
                <w:sz w:val="20"/>
              </w:rPr>
            </w:pPr>
            <w:r>
              <w:rPr>
                <w:b/>
                <w:sz w:val="20"/>
              </w:rPr>
              <w:t>Sample</w:t>
            </w:r>
            <w:r>
              <w:rPr>
                <w:b/>
                <w:spacing w:val="-6"/>
                <w:sz w:val="20"/>
              </w:rPr>
              <w:t xml:space="preserve"> </w:t>
            </w:r>
            <w:r>
              <w:rPr>
                <w:b/>
                <w:sz w:val="20"/>
              </w:rPr>
              <w:t>Customer</w:t>
            </w:r>
            <w:r>
              <w:rPr>
                <w:b/>
                <w:spacing w:val="-5"/>
                <w:sz w:val="20"/>
              </w:rPr>
              <w:t xml:space="preserve"> </w:t>
            </w:r>
            <w:r>
              <w:rPr>
                <w:b/>
                <w:spacing w:val="-2"/>
                <w:sz w:val="20"/>
              </w:rPr>
              <w:t>Group</w:t>
            </w:r>
          </w:p>
        </w:tc>
      </w:tr>
      <w:tr w:rsidR="00C31389" w14:paraId="6A3AB1D1" w14:textId="77777777">
        <w:trPr>
          <w:trHeight w:val="310"/>
        </w:trPr>
        <w:tc>
          <w:tcPr>
            <w:tcW w:w="3371" w:type="dxa"/>
            <w:tcBorders>
              <w:bottom w:val="single" w:color="D9D9D9" w:sz="2" w:space="0"/>
            </w:tcBorders>
          </w:tcPr>
          <w:p w:rsidR="00C31389" w:rsidRDefault="00561FBD" w14:paraId="69FC3A21" w14:textId="77777777">
            <w:pPr>
              <w:pStyle w:val="TableParagraph"/>
              <w:ind w:left="129"/>
              <w:rPr>
                <w:sz w:val="20"/>
              </w:rPr>
            </w:pPr>
            <w:r>
              <w:rPr>
                <w:sz w:val="20"/>
              </w:rPr>
              <w:t>Lifetime</w:t>
            </w:r>
            <w:r>
              <w:rPr>
                <w:spacing w:val="-5"/>
                <w:sz w:val="20"/>
              </w:rPr>
              <w:t xml:space="preserve"> </w:t>
            </w:r>
            <w:r>
              <w:rPr>
                <w:sz w:val="20"/>
              </w:rPr>
              <w:t>Cost</w:t>
            </w:r>
            <w:r>
              <w:rPr>
                <w:spacing w:val="-4"/>
                <w:sz w:val="20"/>
              </w:rPr>
              <w:t xml:space="preserve"> </w:t>
            </w:r>
            <w:r>
              <w:rPr>
                <w:spacing w:val="-2"/>
                <w:sz w:val="20"/>
              </w:rPr>
              <w:t>(LMC)</w:t>
            </w:r>
          </w:p>
        </w:tc>
        <w:tc>
          <w:tcPr>
            <w:tcW w:w="3018" w:type="dxa"/>
            <w:tcBorders>
              <w:bottom w:val="single" w:color="D9D9D9" w:sz="2" w:space="0"/>
            </w:tcBorders>
          </w:tcPr>
          <w:p w:rsidR="00C31389" w:rsidRDefault="00561FBD" w14:paraId="0C4EE925" w14:textId="77777777">
            <w:pPr>
              <w:pStyle w:val="TableParagraph"/>
              <w:ind w:left="326" w:right="314"/>
              <w:jc w:val="center"/>
              <w:rPr>
                <w:sz w:val="20"/>
              </w:rPr>
            </w:pPr>
            <w:r>
              <w:rPr>
                <w:spacing w:val="-5"/>
                <w:sz w:val="20"/>
              </w:rPr>
              <w:t>3.5</w:t>
            </w:r>
          </w:p>
        </w:tc>
        <w:tc>
          <w:tcPr>
            <w:tcW w:w="2986" w:type="dxa"/>
            <w:tcBorders>
              <w:bottom w:val="single" w:color="D9D9D9" w:sz="2" w:space="0"/>
            </w:tcBorders>
          </w:tcPr>
          <w:p w:rsidR="00C31389" w:rsidRDefault="00561FBD" w14:paraId="4A52EC29" w14:textId="77777777">
            <w:pPr>
              <w:pStyle w:val="TableParagraph"/>
              <w:ind w:left="311" w:right="297"/>
              <w:jc w:val="center"/>
              <w:rPr>
                <w:sz w:val="20"/>
              </w:rPr>
            </w:pPr>
            <w:r>
              <w:rPr>
                <w:spacing w:val="-5"/>
                <w:sz w:val="20"/>
              </w:rPr>
              <w:t>18%</w:t>
            </w:r>
          </w:p>
        </w:tc>
      </w:tr>
      <w:tr w:rsidR="00C31389" w14:paraId="3C244946" w14:textId="77777777">
        <w:trPr>
          <w:trHeight w:val="309"/>
        </w:trPr>
        <w:tc>
          <w:tcPr>
            <w:tcW w:w="3371" w:type="dxa"/>
            <w:tcBorders>
              <w:top w:val="single" w:color="D9D9D9" w:sz="2" w:space="0"/>
              <w:bottom w:val="single" w:color="D9D9D9" w:sz="2" w:space="0"/>
            </w:tcBorders>
          </w:tcPr>
          <w:p w:rsidR="00C31389" w:rsidRDefault="00561FBD" w14:paraId="68C47F5B" w14:textId="77777777">
            <w:pPr>
              <w:pStyle w:val="TableParagraph"/>
              <w:ind w:left="129"/>
              <w:rPr>
                <w:sz w:val="20"/>
              </w:rPr>
            </w:pPr>
            <w:r>
              <w:rPr>
                <w:sz w:val="20"/>
              </w:rPr>
              <w:t>Upfront</w:t>
            </w:r>
            <w:r>
              <w:rPr>
                <w:spacing w:val="-4"/>
                <w:sz w:val="20"/>
              </w:rPr>
              <w:t xml:space="preserve"> Cost</w:t>
            </w:r>
          </w:p>
        </w:tc>
        <w:tc>
          <w:tcPr>
            <w:tcW w:w="3018" w:type="dxa"/>
            <w:tcBorders>
              <w:top w:val="single" w:color="D9D9D9" w:sz="2" w:space="0"/>
              <w:bottom w:val="single" w:color="D9D9D9" w:sz="2" w:space="0"/>
            </w:tcBorders>
          </w:tcPr>
          <w:p w:rsidR="00C31389" w:rsidRDefault="00561FBD" w14:paraId="5556BD7E" w14:textId="77777777">
            <w:pPr>
              <w:pStyle w:val="TableParagraph"/>
              <w:ind w:left="326" w:right="314"/>
              <w:jc w:val="center"/>
              <w:rPr>
                <w:sz w:val="20"/>
              </w:rPr>
            </w:pPr>
            <w:r>
              <w:rPr>
                <w:spacing w:val="-5"/>
                <w:sz w:val="20"/>
              </w:rPr>
              <w:t>2.3</w:t>
            </w:r>
          </w:p>
        </w:tc>
        <w:tc>
          <w:tcPr>
            <w:tcW w:w="2986" w:type="dxa"/>
            <w:tcBorders>
              <w:top w:val="single" w:color="D9D9D9" w:sz="2" w:space="0"/>
              <w:bottom w:val="single" w:color="D9D9D9" w:sz="2" w:space="0"/>
            </w:tcBorders>
          </w:tcPr>
          <w:p w:rsidR="00C31389" w:rsidRDefault="00561FBD" w14:paraId="7BB07924" w14:textId="77777777">
            <w:pPr>
              <w:pStyle w:val="TableParagraph"/>
              <w:ind w:left="311" w:right="297"/>
              <w:jc w:val="center"/>
              <w:rPr>
                <w:sz w:val="20"/>
              </w:rPr>
            </w:pPr>
            <w:r>
              <w:rPr>
                <w:spacing w:val="-5"/>
                <w:sz w:val="20"/>
              </w:rPr>
              <w:t>12%</w:t>
            </w:r>
          </w:p>
        </w:tc>
      </w:tr>
      <w:tr w:rsidR="00C31389" w14:paraId="26B602B8" w14:textId="77777777">
        <w:trPr>
          <w:trHeight w:val="310"/>
        </w:trPr>
        <w:tc>
          <w:tcPr>
            <w:tcW w:w="3371" w:type="dxa"/>
            <w:tcBorders>
              <w:top w:val="single" w:color="D9D9D9" w:sz="2" w:space="0"/>
              <w:bottom w:val="single" w:color="D9D9D9" w:sz="2" w:space="0"/>
            </w:tcBorders>
          </w:tcPr>
          <w:p w:rsidR="00C31389" w:rsidRDefault="00561FBD" w14:paraId="571BCB2F" w14:textId="77777777">
            <w:pPr>
              <w:pStyle w:val="TableParagraph"/>
              <w:ind w:left="129"/>
              <w:rPr>
                <w:sz w:val="20"/>
              </w:rPr>
            </w:pPr>
            <w:r>
              <w:rPr>
                <w:sz w:val="20"/>
              </w:rPr>
              <w:t>Hassle</w:t>
            </w:r>
            <w:r>
              <w:rPr>
                <w:spacing w:val="-5"/>
                <w:sz w:val="20"/>
              </w:rPr>
              <w:t xml:space="preserve"> </w:t>
            </w:r>
            <w:r>
              <w:rPr>
                <w:spacing w:val="-2"/>
                <w:sz w:val="20"/>
              </w:rPr>
              <w:t>Factor</w:t>
            </w:r>
          </w:p>
        </w:tc>
        <w:tc>
          <w:tcPr>
            <w:tcW w:w="3018" w:type="dxa"/>
            <w:tcBorders>
              <w:top w:val="single" w:color="D9D9D9" w:sz="2" w:space="0"/>
              <w:bottom w:val="single" w:color="D9D9D9" w:sz="2" w:space="0"/>
            </w:tcBorders>
          </w:tcPr>
          <w:p w:rsidR="00C31389" w:rsidRDefault="00561FBD" w14:paraId="604EB239" w14:textId="77777777">
            <w:pPr>
              <w:pStyle w:val="TableParagraph"/>
              <w:ind w:left="326" w:right="314"/>
              <w:jc w:val="center"/>
              <w:rPr>
                <w:sz w:val="20"/>
              </w:rPr>
            </w:pPr>
            <w:r>
              <w:rPr>
                <w:spacing w:val="-5"/>
                <w:sz w:val="20"/>
              </w:rPr>
              <w:t>3.1</w:t>
            </w:r>
          </w:p>
        </w:tc>
        <w:tc>
          <w:tcPr>
            <w:tcW w:w="2986" w:type="dxa"/>
            <w:tcBorders>
              <w:top w:val="single" w:color="D9D9D9" w:sz="2" w:space="0"/>
              <w:bottom w:val="single" w:color="D9D9D9" w:sz="2" w:space="0"/>
            </w:tcBorders>
          </w:tcPr>
          <w:p w:rsidR="00C31389" w:rsidRDefault="00561FBD" w14:paraId="461820FA" w14:textId="77777777">
            <w:pPr>
              <w:pStyle w:val="TableParagraph"/>
              <w:ind w:left="311" w:right="297"/>
              <w:jc w:val="center"/>
              <w:rPr>
                <w:sz w:val="20"/>
              </w:rPr>
            </w:pPr>
            <w:r>
              <w:rPr>
                <w:spacing w:val="-5"/>
                <w:sz w:val="20"/>
              </w:rPr>
              <w:t>16%</w:t>
            </w:r>
          </w:p>
        </w:tc>
      </w:tr>
      <w:tr w:rsidR="00C31389" w14:paraId="6DBC8799" w14:textId="77777777">
        <w:trPr>
          <w:trHeight w:val="309"/>
        </w:trPr>
        <w:tc>
          <w:tcPr>
            <w:tcW w:w="3371" w:type="dxa"/>
            <w:tcBorders>
              <w:top w:val="single" w:color="D9D9D9" w:sz="2" w:space="0"/>
              <w:bottom w:val="single" w:color="D9D9D9" w:sz="2" w:space="0"/>
            </w:tcBorders>
          </w:tcPr>
          <w:p w:rsidR="00C31389" w:rsidRDefault="00561FBD" w14:paraId="2F9315E6" w14:textId="77777777">
            <w:pPr>
              <w:pStyle w:val="TableParagraph"/>
              <w:ind w:left="129"/>
              <w:rPr>
                <w:sz w:val="20"/>
              </w:rPr>
            </w:pPr>
            <w:r>
              <w:rPr>
                <w:sz w:val="20"/>
              </w:rPr>
              <w:t>Eco</w:t>
            </w:r>
            <w:r>
              <w:rPr>
                <w:spacing w:val="-2"/>
                <w:sz w:val="20"/>
              </w:rPr>
              <w:t xml:space="preserve"> Impacts</w:t>
            </w:r>
          </w:p>
        </w:tc>
        <w:tc>
          <w:tcPr>
            <w:tcW w:w="3018" w:type="dxa"/>
            <w:tcBorders>
              <w:top w:val="single" w:color="D9D9D9" w:sz="2" w:space="0"/>
              <w:bottom w:val="single" w:color="D9D9D9" w:sz="2" w:space="0"/>
            </w:tcBorders>
          </w:tcPr>
          <w:p w:rsidR="00C31389" w:rsidRDefault="00561FBD" w14:paraId="38BBF637" w14:textId="77777777">
            <w:pPr>
              <w:pStyle w:val="TableParagraph"/>
              <w:ind w:left="326" w:right="314"/>
              <w:jc w:val="center"/>
              <w:rPr>
                <w:sz w:val="20"/>
              </w:rPr>
            </w:pPr>
            <w:r>
              <w:rPr>
                <w:spacing w:val="-5"/>
                <w:sz w:val="20"/>
              </w:rPr>
              <w:t>4.1</w:t>
            </w:r>
          </w:p>
        </w:tc>
        <w:tc>
          <w:tcPr>
            <w:tcW w:w="2986" w:type="dxa"/>
            <w:tcBorders>
              <w:top w:val="single" w:color="D9D9D9" w:sz="2" w:space="0"/>
              <w:bottom w:val="single" w:color="D9D9D9" w:sz="2" w:space="0"/>
            </w:tcBorders>
          </w:tcPr>
          <w:p w:rsidR="00C31389" w:rsidRDefault="00561FBD" w14:paraId="1DE177C5" w14:textId="77777777">
            <w:pPr>
              <w:pStyle w:val="TableParagraph"/>
              <w:ind w:left="311" w:right="297"/>
              <w:jc w:val="center"/>
              <w:rPr>
                <w:sz w:val="20"/>
              </w:rPr>
            </w:pPr>
            <w:r>
              <w:rPr>
                <w:spacing w:val="-5"/>
                <w:sz w:val="20"/>
              </w:rPr>
              <w:t>22%</w:t>
            </w:r>
          </w:p>
        </w:tc>
      </w:tr>
      <w:tr w:rsidR="00C31389" w14:paraId="490455BF" w14:textId="77777777">
        <w:trPr>
          <w:trHeight w:val="309"/>
        </w:trPr>
        <w:tc>
          <w:tcPr>
            <w:tcW w:w="3371" w:type="dxa"/>
            <w:tcBorders>
              <w:top w:val="single" w:color="D9D9D9" w:sz="2" w:space="0"/>
              <w:bottom w:val="single" w:color="D9D9D9" w:sz="2" w:space="0"/>
            </w:tcBorders>
          </w:tcPr>
          <w:p w:rsidR="00C31389" w:rsidRDefault="00561FBD" w14:paraId="74AAD9E9" w14:textId="77777777">
            <w:pPr>
              <w:pStyle w:val="TableParagraph"/>
              <w:ind w:left="129"/>
              <w:rPr>
                <w:sz w:val="20"/>
              </w:rPr>
            </w:pPr>
            <w:r>
              <w:rPr>
                <w:spacing w:val="-2"/>
                <w:sz w:val="20"/>
              </w:rPr>
              <w:t>Eco-Signaling</w:t>
            </w:r>
          </w:p>
        </w:tc>
        <w:tc>
          <w:tcPr>
            <w:tcW w:w="3018" w:type="dxa"/>
            <w:tcBorders>
              <w:top w:val="single" w:color="D9D9D9" w:sz="2" w:space="0"/>
              <w:bottom w:val="single" w:color="D9D9D9" w:sz="2" w:space="0"/>
            </w:tcBorders>
          </w:tcPr>
          <w:p w:rsidR="00C31389" w:rsidRDefault="00561FBD" w14:paraId="5976BE0C" w14:textId="77777777">
            <w:pPr>
              <w:pStyle w:val="TableParagraph"/>
              <w:ind w:left="326" w:right="314"/>
              <w:jc w:val="center"/>
              <w:rPr>
                <w:sz w:val="20"/>
              </w:rPr>
            </w:pPr>
            <w:r>
              <w:rPr>
                <w:spacing w:val="-5"/>
                <w:sz w:val="20"/>
              </w:rPr>
              <w:t>3.0</w:t>
            </w:r>
          </w:p>
        </w:tc>
        <w:tc>
          <w:tcPr>
            <w:tcW w:w="2986" w:type="dxa"/>
            <w:tcBorders>
              <w:top w:val="single" w:color="D9D9D9" w:sz="2" w:space="0"/>
              <w:bottom w:val="single" w:color="D9D9D9" w:sz="2" w:space="0"/>
            </w:tcBorders>
          </w:tcPr>
          <w:p w:rsidR="00C31389" w:rsidRDefault="00561FBD" w14:paraId="3B65BCAF" w14:textId="77777777">
            <w:pPr>
              <w:pStyle w:val="TableParagraph"/>
              <w:ind w:left="311" w:right="297"/>
              <w:jc w:val="center"/>
              <w:rPr>
                <w:sz w:val="20"/>
              </w:rPr>
            </w:pPr>
            <w:r>
              <w:rPr>
                <w:spacing w:val="-5"/>
                <w:sz w:val="20"/>
              </w:rPr>
              <w:t>16%</w:t>
            </w:r>
          </w:p>
        </w:tc>
      </w:tr>
      <w:tr w:rsidR="00C31389" w14:paraId="3A7D53A3" w14:textId="77777777">
        <w:trPr>
          <w:trHeight w:val="310"/>
        </w:trPr>
        <w:tc>
          <w:tcPr>
            <w:tcW w:w="3371" w:type="dxa"/>
            <w:tcBorders>
              <w:top w:val="single" w:color="D9D9D9" w:sz="2" w:space="0"/>
              <w:bottom w:val="double" w:color="000000" w:sz="4" w:space="0"/>
            </w:tcBorders>
          </w:tcPr>
          <w:p w:rsidR="00C31389" w:rsidRDefault="00561FBD" w14:paraId="465A67DD" w14:textId="77777777">
            <w:pPr>
              <w:pStyle w:val="TableParagraph"/>
              <w:spacing w:before="41"/>
              <w:ind w:left="129"/>
              <w:rPr>
                <w:sz w:val="20"/>
              </w:rPr>
            </w:pPr>
            <w:r>
              <w:rPr>
                <w:sz w:val="20"/>
              </w:rPr>
              <w:t>Non-Consumption</w:t>
            </w:r>
            <w:r>
              <w:rPr>
                <w:spacing w:val="-10"/>
                <w:sz w:val="20"/>
              </w:rPr>
              <w:t xml:space="preserve"> </w:t>
            </w:r>
            <w:r>
              <w:rPr>
                <w:spacing w:val="-2"/>
                <w:sz w:val="20"/>
              </w:rPr>
              <w:t>Performance</w:t>
            </w:r>
          </w:p>
        </w:tc>
        <w:tc>
          <w:tcPr>
            <w:tcW w:w="3018" w:type="dxa"/>
            <w:tcBorders>
              <w:top w:val="single" w:color="D9D9D9" w:sz="2" w:space="0"/>
              <w:bottom w:val="double" w:color="000000" w:sz="4" w:space="0"/>
            </w:tcBorders>
          </w:tcPr>
          <w:p w:rsidR="00C31389" w:rsidRDefault="00561FBD" w14:paraId="154F5D35" w14:textId="77777777">
            <w:pPr>
              <w:pStyle w:val="TableParagraph"/>
              <w:spacing w:before="41"/>
              <w:ind w:left="326" w:right="314"/>
              <w:jc w:val="center"/>
              <w:rPr>
                <w:sz w:val="20"/>
              </w:rPr>
            </w:pPr>
            <w:r>
              <w:rPr>
                <w:spacing w:val="-5"/>
                <w:sz w:val="20"/>
              </w:rPr>
              <w:t>3.0</w:t>
            </w:r>
          </w:p>
        </w:tc>
        <w:tc>
          <w:tcPr>
            <w:tcW w:w="2986" w:type="dxa"/>
            <w:tcBorders>
              <w:top w:val="single" w:color="D9D9D9" w:sz="2" w:space="0"/>
              <w:bottom w:val="double" w:color="000000" w:sz="4" w:space="0"/>
            </w:tcBorders>
          </w:tcPr>
          <w:p w:rsidR="00C31389" w:rsidRDefault="00561FBD" w14:paraId="20B77E84" w14:textId="77777777">
            <w:pPr>
              <w:pStyle w:val="TableParagraph"/>
              <w:spacing w:before="41"/>
              <w:ind w:left="310" w:right="297"/>
              <w:jc w:val="center"/>
              <w:rPr>
                <w:sz w:val="20"/>
              </w:rPr>
            </w:pPr>
            <w:r>
              <w:rPr>
                <w:spacing w:val="-5"/>
                <w:sz w:val="20"/>
              </w:rPr>
              <w:t>16%</w:t>
            </w:r>
          </w:p>
        </w:tc>
      </w:tr>
      <w:tr w:rsidR="00C31389" w14:paraId="45566A2B" w14:textId="77777777">
        <w:trPr>
          <w:trHeight w:val="310"/>
        </w:trPr>
        <w:tc>
          <w:tcPr>
            <w:tcW w:w="3371" w:type="dxa"/>
            <w:tcBorders>
              <w:top w:val="double" w:color="000000" w:sz="4" w:space="0"/>
              <w:bottom w:val="single" w:color="000000" w:sz="8" w:space="0"/>
            </w:tcBorders>
          </w:tcPr>
          <w:p w:rsidR="00C31389" w:rsidRDefault="00561FBD" w14:paraId="74FE6B34" w14:textId="77777777">
            <w:pPr>
              <w:pStyle w:val="TableParagraph"/>
              <w:spacing w:before="41"/>
              <w:ind w:left="129"/>
              <w:rPr>
                <w:b/>
                <w:sz w:val="20"/>
              </w:rPr>
            </w:pPr>
            <w:r>
              <w:rPr>
                <w:b/>
                <w:spacing w:val="-2"/>
                <w:sz w:val="20"/>
              </w:rPr>
              <w:t>Total</w:t>
            </w:r>
          </w:p>
        </w:tc>
        <w:tc>
          <w:tcPr>
            <w:tcW w:w="3018" w:type="dxa"/>
            <w:tcBorders>
              <w:top w:val="double" w:color="000000" w:sz="4" w:space="0"/>
              <w:bottom w:val="single" w:color="000000" w:sz="8" w:space="0"/>
            </w:tcBorders>
          </w:tcPr>
          <w:p w:rsidR="00C31389" w:rsidRDefault="00C31389" w14:paraId="5F63A5AC" w14:textId="77777777">
            <w:pPr>
              <w:pStyle w:val="TableParagraph"/>
              <w:spacing w:before="0"/>
              <w:rPr>
                <w:rFonts w:ascii="Times New Roman"/>
                <w:sz w:val="20"/>
              </w:rPr>
            </w:pPr>
          </w:p>
        </w:tc>
        <w:tc>
          <w:tcPr>
            <w:tcW w:w="2986" w:type="dxa"/>
            <w:tcBorders>
              <w:top w:val="double" w:color="000000" w:sz="4" w:space="0"/>
              <w:bottom w:val="single" w:color="000000" w:sz="8" w:space="0"/>
            </w:tcBorders>
          </w:tcPr>
          <w:p w:rsidR="00C31389" w:rsidRDefault="00561FBD" w14:paraId="0CD79406" w14:textId="77777777">
            <w:pPr>
              <w:pStyle w:val="TableParagraph"/>
              <w:spacing w:before="41"/>
              <w:ind w:left="312" w:right="297"/>
              <w:jc w:val="center"/>
              <w:rPr>
                <w:b/>
                <w:sz w:val="20"/>
              </w:rPr>
            </w:pPr>
            <w:r>
              <w:rPr>
                <w:b/>
                <w:spacing w:val="-4"/>
                <w:sz w:val="20"/>
              </w:rPr>
              <w:t>100%</w:t>
            </w:r>
          </w:p>
        </w:tc>
      </w:tr>
    </w:tbl>
    <w:p w:rsidR="00C31389" w:rsidRDefault="00561FBD" w14:paraId="1F33D21C" w14:textId="77777777">
      <w:pPr>
        <w:spacing w:before="75"/>
        <w:ind w:left="530"/>
        <w:rPr>
          <w:i/>
          <w:sz w:val="18"/>
        </w:rPr>
      </w:pPr>
      <w:r>
        <w:rPr>
          <w:i/>
          <w:sz w:val="18"/>
        </w:rPr>
        <w:t>Source:</w:t>
      </w:r>
      <w:r>
        <w:rPr>
          <w:i/>
          <w:spacing w:val="-4"/>
          <w:sz w:val="18"/>
        </w:rPr>
        <w:t xml:space="preserve"> </w:t>
      </w:r>
      <w:r>
        <w:rPr>
          <w:i/>
          <w:spacing w:val="-2"/>
          <w:sz w:val="18"/>
        </w:rPr>
        <w:t>Guidehouse</w:t>
      </w:r>
    </w:p>
    <w:p w:rsidR="00C31389" w:rsidRDefault="00C31389" w14:paraId="22103186" w14:textId="77777777">
      <w:pPr>
        <w:pStyle w:val="BodyText"/>
        <w:spacing w:before="9"/>
        <w:rPr>
          <w:i/>
          <w:sz w:val="20"/>
        </w:rPr>
      </w:pPr>
    </w:p>
    <w:p w:rsidR="00C31389" w:rsidRDefault="00561FBD" w14:paraId="6248A1BE" w14:textId="77777777">
      <w:pPr>
        <w:pStyle w:val="Heading7"/>
        <w:ind w:left="398" w:right="340"/>
        <w:jc w:val="center"/>
      </w:pPr>
      <w:bookmarkStart w:name="_bookmark510" w:id="663"/>
      <w:bookmarkEnd w:id="663"/>
      <w:r>
        <w:t>Equation</w:t>
      </w:r>
      <w:r>
        <w:rPr>
          <w:spacing w:val="-11"/>
        </w:rPr>
        <w:t xml:space="preserve"> </w:t>
      </w:r>
      <w:r>
        <w:t>H-1.</w:t>
      </w:r>
      <w:r>
        <w:rPr>
          <w:spacing w:val="-10"/>
        </w:rPr>
        <w:t xml:space="preserve"> </w:t>
      </w:r>
      <w:r>
        <w:t>Customer</w:t>
      </w:r>
      <w:r>
        <w:rPr>
          <w:spacing w:val="-10"/>
        </w:rPr>
        <w:t xml:space="preserve"> </w:t>
      </w:r>
      <w:r>
        <w:t>Preference</w:t>
      </w:r>
      <w:r>
        <w:rPr>
          <w:spacing w:val="-11"/>
        </w:rPr>
        <w:t xml:space="preserve"> </w:t>
      </w:r>
      <w:r>
        <w:rPr>
          <w:spacing w:val="-2"/>
        </w:rPr>
        <w:t>Weighting</w:t>
      </w:r>
    </w:p>
    <w:p w:rsidR="00C31389" w:rsidRDefault="00561FBD" w14:paraId="1771DB7B" w14:textId="77777777">
      <w:pPr>
        <w:pStyle w:val="BodyText"/>
        <w:spacing w:before="120"/>
        <w:ind w:left="398" w:right="339"/>
        <w:jc w:val="center"/>
      </w:pPr>
      <w:r>
        <w:t>Preference</w:t>
      </w:r>
      <w:r>
        <w:rPr>
          <w:spacing w:val="-11"/>
        </w:rPr>
        <w:t xml:space="preserve"> </w:t>
      </w:r>
      <w:r>
        <w:t>Weighting</w:t>
      </w:r>
      <w:r>
        <w:rPr>
          <w:spacing w:val="-11"/>
        </w:rPr>
        <w:t xml:space="preserve"> </w:t>
      </w:r>
      <w:r>
        <w:rPr>
          <w:spacing w:val="-10"/>
        </w:rPr>
        <w:t>=</w:t>
      </w:r>
    </w:p>
    <w:p w:rsidR="00C31389" w:rsidRDefault="00C31389" w14:paraId="05FDAEEA" w14:textId="77777777">
      <w:pPr>
        <w:jc w:val="center"/>
        <w:sectPr w:rsidR="00C31389">
          <w:headerReference w:type="default" r:id="rId332"/>
          <w:footerReference w:type="default" r:id="rId333"/>
          <w:pgSz w:w="11910" w:h="16840"/>
          <w:pgMar w:top="1380" w:right="1020" w:bottom="1120" w:left="960" w:header="397" w:footer="938" w:gutter="0"/>
          <w:cols w:space="720"/>
        </w:sectPr>
      </w:pPr>
    </w:p>
    <w:p w:rsidR="00C31389" w:rsidRDefault="00C31389" w14:paraId="702C0772" w14:textId="77777777">
      <w:pPr>
        <w:pStyle w:val="BodyText"/>
        <w:spacing w:before="2"/>
        <w:rPr>
          <w:sz w:val="27"/>
        </w:rPr>
      </w:pPr>
    </w:p>
    <w:p w:rsidR="00C31389" w:rsidRDefault="00561FBD" w14:paraId="64268258" w14:textId="77777777">
      <w:pPr>
        <w:pStyle w:val="BodyText"/>
        <w:ind w:left="2493"/>
        <w:rPr>
          <w:sz w:val="20"/>
        </w:rPr>
      </w:pPr>
      <w:r>
        <w:rPr>
          <w:noProof/>
          <w:sz w:val="20"/>
        </w:rPr>
        <w:drawing>
          <wp:inline distT="0" distB="0" distL="0" distR="0" wp14:anchorId="69145B6E" wp14:editId="4D0483AC">
            <wp:extent cx="3171894" cy="312420"/>
            <wp:effectExtent l="0" t="0" r="0" b="0"/>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334" cstate="print"/>
                    <a:stretch>
                      <a:fillRect/>
                    </a:stretch>
                  </pic:blipFill>
                  <pic:spPr>
                    <a:xfrm>
                      <a:off x="0" y="0"/>
                      <a:ext cx="3171894" cy="312420"/>
                    </a:xfrm>
                    <a:prstGeom prst="rect">
                      <a:avLst/>
                    </a:prstGeom>
                  </pic:spPr>
                </pic:pic>
              </a:graphicData>
            </a:graphic>
          </wp:inline>
        </w:drawing>
      </w:r>
    </w:p>
    <w:p w:rsidR="00C31389" w:rsidRDefault="00C31389" w14:paraId="34635365" w14:textId="77777777">
      <w:pPr>
        <w:pStyle w:val="BodyText"/>
        <w:spacing w:before="9"/>
        <w:rPr>
          <w:sz w:val="24"/>
        </w:rPr>
      </w:pPr>
    </w:p>
    <w:p w:rsidR="00C31389" w:rsidRDefault="00561FBD" w14:paraId="618312F8" w14:textId="77777777">
      <w:pPr>
        <w:pStyle w:val="BodyText"/>
        <w:spacing w:before="93"/>
        <w:ind w:left="479" w:right="418"/>
      </w:pPr>
      <w:r>
        <w:t xml:space="preserve">Although converting the responses into percentages accounts for </w:t>
      </w:r>
      <w:r>
        <w:t>variation across value factors, the model also accounts for variation in magnitude of responses across customer groups.</w:t>
      </w:r>
      <w:r>
        <w:rPr>
          <w:spacing w:val="-3"/>
        </w:rPr>
        <w:t xml:space="preserve"> </w:t>
      </w:r>
      <w:r>
        <w:t>Imagine</w:t>
      </w:r>
      <w:r>
        <w:rPr>
          <w:spacing w:val="-3"/>
        </w:rPr>
        <w:t xml:space="preserve"> </w:t>
      </w:r>
      <w:r>
        <w:t>a</w:t>
      </w:r>
      <w:r>
        <w:rPr>
          <w:spacing w:val="-3"/>
        </w:rPr>
        <w:t xml:space="preserve"> </w:t>
      </w:r>
      <w:r>
        <w:t>scenario</w:t>
      </w:r>
      <w:r>
        <w:rPr>
          <w:spacing w:val="-3"/>
        </w:rPr>
        <w:t xml:space="preserve"> </w:t>
      </w:r>
      <w:r>
        <w:t>where</w:t>
      </w:r>
      <w:r>
        <w:rPr>
          <w:spacing w:val="-3"/>
        </w:rPr>
        <w:t xml:space="preserve"> </w:t>
      </w:r>
      <w:r>
        <w:t>one</w:t>
      </w:r>
      <w:r>
        <w:rPr>
          <w:spacing w:val="-3"/>
        </w:rPr>
        <w:t xml:space="preserve"> </w:t>
      </w:r>
      <w:r>
        <w:t>customer</w:t>
      </w:r>
      <w:r>
        <w:rPr>
          <w:spacing w:val="-3"/>
        </w:rPr>
        <w:t xml:space="preserve"> </w:t>
      </w:r>
      <w:r>
        <w:t>group</w:t>
      </w:r>
      <w:r>
        <w:rPr>
          <w:spacing w:val="-3"/>
        </w:rPr>
        <w:t xml:space="preserve"> </w:t>
      </w:r>
      <w:r>
        <w:t>answered</w:t>
      </w:r>
      <w:r>
        <w:rPr>
          <w:spacing w:val="-3"/>
        </w:rPr>
        <w:t xml:space="preserve"> </w:t>
      </w:r>
      <w:r>
        <w:t>all</w:t>
      </w:r>
      <w:r>
        <w:rPr>
          <w:spacing w:val="-3"/>
        </w:rPr>
        <w:t xml:space="preserve"> </w:t>
      </w:r>
      <w:r>
        <w:t>1s</w:t>
      </w:r>
      <w:r>
        <w:rPr>
          <w:spacing w:val="-3"/>
        </w:rPr>
        <w:t xml:space="preserve"> </w:t>
      </w:r>
      <w:r>
        <w:t>to</w:t>
      </w:r>
      <w:r>
        <w:rPr>
          <w:spacing w:val="-3"/>
        </w:rPr>
        <w:t xml:space="preserve"> </w:t>
      </w:r>
      <w:r>
        <w:t>the</w:t>
      </w:r>
      <w:r>
        <w:rPr>
          <w:spacing w:val="-3"/>
        </w:rPr>
        <w:t xml:space="preserve"> </w:t>
      </w:r>
      <w:r>
        <w:t>questions,</w:t>
      </w:r>
      <w:r>
        <w:rPr>
          <w:spacing w:val="-3"/>
        </w:rPr>
        <w:t xml:space="preserve"> </w:t>
      </w:r>
      <w:r>
        <w:t xml:space="preserve">and another group answered all 5s, with 1 indicating that </w:t>
      </w:r>
      <w:r>
        <w:t>the value factors do not influence decision-making and 5 indicating that the value factors have a high influence on</w:t>
      </w:r>
    </w:p>
    <w:p w:rsidR="00C31389" w:rsidRDefault="00561FBD" w14:paraId="7C7BA6A8" w14:textId="77777777">
      <w:pPr>
        <w:pStyle w:val="BodyText"/>
        <w:ind w:left="480" w:right="418"/>
      </w:pPr>
      <w:r>
        <w:t>decision-making. Simply using the percentage approach would lead to the same customer preference</w:t>
      </w:r>
      <w:r>
        <w:rPr>
          <w:spacing w:val="-4"/>
        </w:rPr>
        <w:t xml:space="preserve"> </w:t>
      </w:r>
      <w:r>
        <w:t>weightings</w:t>
      </w:r>
      <w:r>
        <w:rPr>
          <w:spacing w:val="-3"/>
        </w:rPr>
        <w:t xml:space="preserve"> </w:t>
      </w:r>
      <w:r>
        <w:t>across</w:t>
      </w:r>
      <w:r>
        <w:rPr>
          <w:spacing w:val="-3"/>
        </w:rPr>
        <w:t xml:space="preserve"> </w:t>
      </w:r>
      <w:r>
        <w:t>the</w:t>
      </w:r>
      <w:r>
        <w:rPr>
          <w:spacing w:val="-3"/>
        </w:rPr>
        <w:t xml:space="preserve"> </w:t>
      </w:r>
      <w:r>
        <w:t>board</w:t>
      </w:r>
      <w:r>
        <w:rPr>
          <w:spacing w:val="-2"/>
        </w:rPr>
        <w:t xml:space="preserve"> </w:t>
      </w:r>
      <w:r>
        <w:t>for</w:t>
      </w:r>
      <w:r>
        <w:rPr>
          <w:spacing w:val="-3"/>
        </w:rPr>
        <w:t xml:space="preserve"> </w:t>
      </w:r>
      <w:r>
        <w:t>both</w:t>
      </w:r>
      <w:r>
        <w:rPr>
          <w:spacing w:val="-3"/>
        </w:rPr>
        <w:t xml:space="preserve"> </w:t>
      </w:r>
      <w:r>
        <w:t>customer</w:t>
      </w:r>
      <w:r>
        <w:rPr>
          <w:spacing w:val="-3"/>
        </w:rPr>
        <w:t xml:space="preserve"> </w:t>
      </w:r>
      <w:r>
        <w:t>groups</w:t>
      </w:r>
      <w:r>
        <w:rPr>
          <w:spacing w:val="-3"/>
        </w:rPr>
        <w:t xml:space="preserve"> </w:t>
      </w:r>
      <w:r>
        <w:t>even</w:t>
      </w:r>
      <w:r>
        <w:rPr>
          <w:spacing w:val="-3"/>
        </w:rPr>
        <w:t xml:space="preserve"> </w:t>
      </w:r>
      <w:r>
        <w:t>though</w:t>
      </w:r>
      <w:r>
        <w:rPr>
          <w:spacing w:val="-3"/>
        </w:rPr>
        <w:t xml:space="preserve"> </w:t>
      </w:r>
      <w:r>
        <w:t>the</w:t>
      </w:r>
      <w:r>
        <w:rPr>
          <w:spacing w:val="-2"/>
        </w:rPr>
        <w:t xml:space="preserve"> </w:t>
      </w:r>
      <w:r>
        <w:t>raw</w:t>
      </w:r>
      <w:r>
        <w:rPr>
          <w:spacing w:val="-4"/>
        </w:rPr>
        <w:t xml:space="preserve"> </w:t>
      </w:r>
      <w:r>
        <w:t>data shows that one group feels far more strongly than the other about each value.</w:t>
      </w:r>
    </w:p>
    <w:p w:rsidR="00C31389" w:rsidRDefault="00C31389" w14:paraId="2EB570D2" w14:textId="77777777">
      <w:pPr>
        <w:pStyle w:val="BodyText"/>
        <w:spacing w:before="9"/>
        <w:rPr>
          <w:sz w:val="20"/>
        </w:rPr>
      </w:pPr>
    </w:p>
    <w:p w:rsidR="00C31389" w:rsidRDefault="00561FBD" w14:paraId="01B5F073" w14:textId="77777777">
      <w:pPr>
        <w:pStyle w:val="BodyText"/>
        <w:ind w:left="480" w:right="419"/>
      </w:pPr>
      <w:r>
        <w:t>To account for this difference in magnitude, the study applied a parameter that indicates the level</w:t>
      </w:r>
      <w:r>
        <w:rPr>
          <w:spacing w:val="-3"/>
        </w:rPr>
        <w:t xml:space="preserve"> </w:t>
      </w:r>
      <w:r>
        <w:t>of</w:t>
      </w:r>
      <w:r>
        <w:rPr>
          <w:spacing w:val="-4"/>
        </w:rPr>
        <w:t xml:space="preserve"> </w:t>
      </w:r>
      <w:r>
        <w:t>sensitivity</w:t>
      </w:r>
      <w:r>
        <w:rPr>
          <w:spacing w:val="-3"/>
        </w:rPr>
        <w:t xml:space="preserve"> </w:t>
      </w:r>
      <w:r>
        <w:t>to</w:t>
      </w:r>
      <w:r>
        <w:rPr>
          <w:spacing w:val="-3"/>
        </w:rPr>
        <w:t xml:space="preserve"> </w:t>
      </w:r>
      <w:r>
        <w:t>differences</w:t>
      </w:r>
      <w:r>
        <w:rPr>
          <w:spacing w:val="-3"/>
        </w:rPr>
        <w:t xml:space="preserve"> </w:t>
      </w:r>
      <w:r>
        <w:t>in</w:t>
      </w:r>
      <w:r>
        <w:rPr>
          <w:spacing w:val="-3"/>
        </w:rPr>
        <w:t xml:space="preserve"> </w:t>
      </w:r>
      <w:r>
        <w:t>tec</w:t>
      </w:r>
      <w:r>
        <w:t>hnology</w:t>
      </w:r>
      <w:r>
        <w:rPr>
          <w:spacing w:val="-4"/>
        </w:rPr>
        <w:t xml:space="preserve"> </w:t>
      </w:r>
      <w:r>
        <w:t>characteristics.</w:t>
      </w:r>
      <w:r>
        <w:rPr>
          <w:spacing w:val="-3"/>
        </w:rPr>
        <w:t xml:space="preserve"> </w:t>
      </w:r>
      <w:r>
        <w:t>This</w:t>
      </w:r>
      <w:r>
        <w:rPr>
          <w:spacing w:val="-3"/>
        </w:rPr>
        <w:t xml:space="preserve"> </w:t>
      </w:r>
      <w:r>
        <w:t>parameter</w:t>
      </w:r>
      <w:r>
        <w:rPr>
          <w:spacing w:val="-3"/>
        </w:rPr>
        <w:t xml:space="preserve"> </w:t>
      </w:r>
      <w:r>
        <w:t>is</w:t>
      </w:r>
      <w:r>
        <w:rPr>
          <w:spacing w:val="-2"/>
        </w:rPr>
        <w:t xml:space="preserve"> </w:t>
      </w:r>
      <w:r>
        <w:t>correlated</w:t>
      </w:r>
      <w:r>
        <w:rPr>
          <w:spacing w:val="-3"/>
        </w:rPr>
        <w:t xml:space="preserve"> </w:t>
      </w:r>
      <w:r>
        <w:t>to the average response across all value factors and influences how evenly the market splits.</w:t>
      </w:r>
    </w:p>
    <w:p w:rsidR="00C31389" w:rsidRDefault="00561FBD" w14:paraId="3BD61C2E" w14:textId="77777777">
      <w:pPr>
        <w:pStyle w:val="BodyText"/>
        <w:spacing w:before="1"/>
        <w:ind w:left="480" w:right="418"/>
      </w:pPr>
      <w:r>
        <w:t>Lower sensitivities indicate the customer is not significantly more likely to adopt one technology over anot</w:t>
      </w:r>
      <w:r>
        <w:t>her due to the technology characteristics, so the market share is split evenly</w:t>
      </w:r>
      <w:r>
        <w:rPr>
          <w:spacing w:val="-1"/>
        </w:rPr>
        <w:t xml:space="preserve"> </w:t>
      </w:r>
      <w:r>
        <w:t>across</w:t>
      </w:r>
      <w:r>
        <w:rPr>
          <w:spacing w:val="-1"/>
        </w:rPr>
        <w:t xml:space="preserve"> </w:t>
      </w:r>
      <w:r>
        <w:t>all</w:t>
      </w:r>
      <w:r>
        <w:rPr>
          <w:spacing w:val="-1"/>
        </w:rPr>
        <w:t xml:space="preserve"> </w:t>
      </w:r>
      <w:r>
        <w:t>technologies.</w:t>
      </w:r>
      <w:r>
        <w:rPr>
          <w:spacing w:val="-1"/>
        </w:rPr>
        <w:t xml:space="preserve"> </w:t>
      </w:r>
      <w:r>
        <w:t>High</w:t>
      </w:r>
      <w:r>
        <w:rPr>
          <w:spacing w:val="-2"/>
        </w:rPr>
        <w:t xml:space="preserve"> </w:t>
      </w:r>
      <w:r>
        <w:t>sensitivities</w:t>
      </w:r>
      <w:r>
        <w:rPr>
          <w:spacing w:val="-2"/>
        </w:rPr>
        <w:t xml:space="preserve"> </w:t>
      </w:r>
      <w:r>
        <w:t>mean</w:t>
      </w:r>
      <w:r>
        <w:rPr>
          <w:spacing w:val="-1"/>
        </w:rPr>
        <w:t xml:space="preserve"> </w:t>
      </w:r>
      <w:r>
        <w:t>that</w:t>
      </w:r>
      <w:r>
        <w:rPr>
          <w:spacing w:val="-1"/>
        </w:rPr>
        <w:t xml:space="preserve"> </w:t>
      </w:r>
      <w:r>
        <w:t>customers</w:t>
      </w:r>
      <w:r>
        <w:rPr>
          <w:spacing w:val="-1"/>
        </w:rPr>
        <w:t xml:space="preserve"> </w:t>
      </w:r>
      <w:r>
        <w:t>are</w:t>
      </w:r>
      <w:r>
        <w:rPr>
          <w:spacing w:val="-1"/>
        </w:rPr>
        <w:t xml:space="preserve"> </w:t>
      </w:r>
      <w:r>
        <w:t>highly</w:t>
      </w:r>
      <w:r>
        <w:rPr>
          <w:spacing w:val="-1"/>
        </w:rPr>
        <w:t xml:space="preserve"> </w:t>
      </w:r>
      <w:r>
        <w:t>attuned</w:t>
      </w:r>
      <w:r>
        <w:rPr>
          <w:spacing w:val="-1"/>
        </w:rPr>
        <w:t xml:space="preserve"> </w:t>
      </w:r>
      <w:r>
        <w:t>to the technology characteristics that distinguish one technology from another and thus they t</w:t>
      </w:r>
      <w:r>
        <w:t>end</w:t>
      </w:r>
      <w:r>
        <w:rPr>
          <w:spacing w:val="-3"/>
        </w:rPr>
        <w:t xml:space="preserve"> </w:t>
      </w:r>
      <w:r>
        <w:t>to</w:t>
      </w:r>
      <w:r>
        <w:rPr>
          <w:spacing w:val="-3"/>
        </w:rPr>
        <w:t xml:space="preserve"> </w:t>
      </w:r>
      <w:r>
        <w:t>adopt</w:t>
      </w:r>
      <w:r>
        <w:rPr>
          <w:spacing w:val="-3"/>
        </w:rPr>
        <w:t xml:space="preserve"> </w:t>
      </w:r>
      <w:r>
        <w:t>the</w:t>
      </w:r>
      <w:r>
        <w:rPr>
          <w:spacing w:val="-3"/>
        </w:rPr>
        <w:t xml:space="preserve"> </w:t>
      </w:r>
      <w:r>
        <w:t>ones</w:t>
      </w:r>
      <w:r>
        <w:rPr>
          <w:spacing w:val="-3"/>
        </w:rPr>
        <w:t xml:space="preserve"> </w:t>
      </w:r>
      <w:r>
        <w:t>that</w:t>
      </w:r>
      <w:r>
        <w:rPr>
          <w:spacing w:val="-3"/>
        </w:rPr>
        <w:t xml:space="preserve"> </w:t>
      </w:r>
      <w:r>
        <w:t>align</w:t>
      </w:r>
      <w:r>
        <w:rPr>
          <w:spacing w:val="-3"/>
        </w:rPr>
        <w:t xml:space="preserve"> </w:t>
      </w:r>
      <w:r>
        <w:t>the</w:t>
      </w:r>
      <w:r>
        <w:rPr>
          <w:spacing w:val="-3"/>
        </w:rPr>
        <w:t xml:space="preserve"> </w:t>
      </w:r>
      <w:r>
        <w:t>closest</w:t>
      </w:r>
      <w:r>
        <w:rPr>
          <w:spacing w:val="-3"/>
        </w:rPr>
        <w:t xml:space="preserve"> </w:t>
      </w:r>
      <w:r>
        <w:t>with</w:t>
      </w:r>
      <w:r>
        <w:rPr>
          <w:spacing w:val="-5"/>
        </w:rPr>
        <w:t xml:space="preserve"> </w:t>
      </w:r>
      <w:r>
        <w:t>their</w:t>
      </w:r>
      <w:r>
        <w:rPr>
          <w:spacing w:val="-3"/>
        </w:rPr>
        <w:t xml:space="preserve"> </w:t>
      </w:r>
      <w:r>
        <w:t>preferences.</w:t>
      </w:r>
      <w:r>
        <w:rPr>
          <w:spacing w:val="-3"/>
        </w:rPr>
        <w:t xml:space="preserve"> </w:t>
      </w:r>
      <w:hyperlink w:history="1" w:anchor="_bookmark511">
        <w:r>
          <w:t>Figure</w:t>
        </w:r>
        <w:r>
          <w:rPr>
            <w:spacing w:val="-3"/>
          </w:rPr>
          <w:t xml:space="preserve"> </w:t>
        </w:r>
        <w:r>
          <w:t>H-1</w:t>
        </w:r>
      </w:hyperlink>
      <w:r>
        <w:rPr>
          <w:spacing w:val="-3"/>
        </w:rPr>
        <w:t xml:space="preserve"> </w:t>
      </w:r>
      <w:r>
        <w:t>illustrates</w:t>
      </w:r>
      <w:r>
        <w:rPr>
          <w:spacing w:val="-3"/>
        </w:rPr>
        <w:t xml:space="preserve"> </w:t>
      </w:r>
      <w:r>
        <w:t xml:space="preserve">an example of how the market split could differ for two customer groups with different </w:t>
      </w:r>
      <w:r>
        <w:rPr>
          <w:spacing w:val="-2"/>
        </w:rPr>
        <w:t>sensitivities.</w:t>
      </w:r>
    </w:p>
    <w:p w:rsidR="00C31389" w:rsidRDefault="00C31389" w14:paraId="2003F798" w14:textId="77777777">
      <w:pPr>
        <w:pStyle w:val="BodyText"/>
        <w:spacing w:before="10"/>
        <w:rPr>
          <w:sz w:val="20"/>
        </w:rPr>
      </w:pPr>
    </w:p>
    <w:p w:rsidR="00C31389" w:rsidRDefault="00561FBD" w14:paraId="533E3565" w14:textId="77777777">
      <w:pPr>
        <w:pStyle w:val="Heading7"/>
        <w:ind w:left="398" w:right="338"/>
        <w:jc w:val="center"/>
      </w:pPr>
      <w:bookmarkStart w:name="_bookmark511" w:id="664"/>
      <w:bookmarkEnd w:id="664"/>
      <w:r>
        <w:t>Figure</w:t>
      </w:r>
      <w:r>
        <w:rPr>
          <w:spacing w:val="-7"/>
        </w:rPr>
        <w:t xml:space="preserve"> </w:t>
      </w:r>
      <w:r>
        <w:t>H-1.</w:t>
      </w:r>
      <w:r>
        <w:rPr>
          <w:spacing w:val="-7"/>
        </w:rPr>
        <w:t xml:space="preserve"> </w:t>
      </w:r>
      <w:r>
        <w:t>Effect</w:t>
      </w:r>
      <w:r>
        <w:rPr>
          <w:spacing w:val="-6"/>
        </w:rPr>
        <w:t xml:space="preserve"> </w:t>
      </w:r>
      <w:r>
        <w:t>of</w:t>
      </w:r>
      <w:r>
        <w:rPr>
          <w:spacing w:val="-7"/>
        </w:rPr>
        <w:t xml:space="preserve"> </w:t>
      </w:r>
      <w:r>
        <w:t>Sensitivity</w:t>
      </w:r>
      <w:r>
        <w:rPr>
          <w:spacing w:val="-6"/>
        </w:rPr>
        <w:t xml:space="preserve"> </w:t>
      </w:r>
      <w:r>
        <w:t>on</w:t>
      </w:r>
      <w:r>
        <w:rPr>
          <w:spacing w:val="-7"/>
        </w:rPr>
        <w:t xml:space="preserve"> </w:t>
      </w:r>
      <w:r>
        <w:t>Market</w:t>
      </w:r>
      <w:r>
        <w:rPr>
          <w:spacing w:val="-6"/>
        </w:rPr>
        <w:t xml:space="preserve"> </w:t>
      </w:r>
      <w:r>
        <w:rPr>
          <w:spacing w:val="-2"/>
        </w:rPr>
        <w:t>Split</w:t>
      </w:r>
    </w:p>
    <w:p w:rsidR="00C31389" w:rsidRDefault="00561FBD" w14:paraId="14933FDB" w14:textId="77777777">
      <w:pPr>
        <w:pStyle w:val="BodyText"/>
        <w:spacing w:before="7"/>
        <w:rPr>
          <w:b/>
          <w:sz w:val="11"/>
        </w:rPr>
      </w:pPr>
      <w:r>
        <w:rPr>
          <w:noProof/>
        </w:rPr>
        <w:drawing>
          <wp:anchor distT="0" distB="0" distL="0" distR="0" simplePos="0" relativeHeight="487742976" behindDoc="1" locked="0" layoutInCell="1" allowOverlap="1" wp14:editId="3BF875C9" wp14:anchorId="413C28DD">
            <wp:simplePos x="0" y="0"/>
            <wp:positionH relativeFrom="page">
              <wp:posOffset>1694711</wp:posOffset>
            </wp:positionH>
            <wp:positionV relativeFrom="paragraph">
              <wp:posOffset>100585</wp:posOffset>
            </wp:positionV>
            <wp:extent cx="4162869" cy="2744628"/>
            <wp:effectExtent l="0" t="0" r="0" b="0"/>
            <wp:wrapTopAndBottom/>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335" cstate="print"/>
                    <a:stretch>
                      <a:fillRect/>
                    </a:stretch>
                  </pic:blipFill>
                  <pic:spPr>
                    <a:xfrm>
                      <a:off x="0" y="0"/>
                      <a:ext cx="4162869" cy="2744628"/>
                    </a:xfrm>
                    <a:prstGeom prst="rect">
                      <a:avLst/>
                    </a:prstGeom>
                  </pic:spPr>
                </pic:pic>
              </a:graphicData>
            </a:graphic>
          </wp:anchor>
        </w:drawing>
      </w:r>
    </w:p>
    <w:p w:rsidR="00C31389" w:rsidRDefault="00561FBD" w14:paraId="70057811" w14:textId="77777777">
      <w:pPr>
        <w:spacing w:before="109"/>
        <w:ind w:left="480"/>
        <w:rPr>
          <w:i/>
          <w:sz w:val="18"/>
        </w:rPr>
      </w:pPr>
      <w:r>
        <w:rPr>
          <w:i/>
          <w:sz w:val="18"/>
        </w:rPr>
        <w:t>Source:</w:t>
      </w:r>
      <w:r>
        <w:rPr>
          <w:i/>
          <w:spacing w:val="-4"/>
          <w:sz w:val="18"/>
        </w:rPr>
        <w:t xml:space="preserve"> </w:t>
      </w:r>
      <w:r>
        <w:rPr>
          <w:i/>
          <w:spacing w:val="-2"/>
          <w:sz w:val="18"/>
        </w:rPr>
        <w:t>Guidehouse</w:t>
      </w:r>
    </w:p>
    <w:p w:rsidR="00C31389" w:rsidRDefault="00C31389" w14:paraId="1CDC1745" w14:textId="77777777">
      <w:pPr>
        <w:pStyle w:val="BodyText"/>
        <w:spacing w:before="10"/>
        <w:rPr>
          <w:i/>
          <w:sz w:val="20"/>
        </w:rPr>
      </w:pPr>
    </w:p>
    <w:p w:rsidR="00C31389" w:rsidRDefault="00561FBD" w14:paraId="4275658B" w14:textId="77777777">
      <w:pPr>
        <w:pStyle w:val="ListParagraph"/>
        <w:numPr>
          <w:ilvl w:val="2"/>
          <w:numId w:val="11"/>
        </w:numPr>
        <w:tabs>
          <w:tab w:val="left" w:pos="1197"/>
        </w:tabs>
        <w:spacing w:before="1"/>
        <w:ind w:left="1197" w:hanging="717"/>
        <w:rPr>
          <w:b/>
          <w:sz w:val="24"/>
        </w:rPr>
      </w:pPr>
      <w:bookmarkStart w:name="H.3.2_Normalized_Technology_Characterist" w:id="665"/>
      <w:bookmarkStart w:name="_bookmark512" w:id="666"/>
      <w:bookmarkEnd w:id="665"/>
      <w:bookmarkEnd w:id="666"/>
      <w:r>
        <w:rPr>
          <w:b/>
          <w:sz w:val="24"/>
        </w:rPr>
        <w:t>Normalized</w:t>
      </w:r>
      <w:r>
        <w:rPr>
          <w:b/>
          <w:spacing w:val="-6"/>
          <w:sz w:val="24"/>
        </w:rPr>
        <w:t xml:space="preserve"> </w:t>
      </w:r>
      <w:r>
        <w:rPr>
          <w:b/>
          <w:sz w:val="24"/>
        </w:rPr>
        <w:t>Technology</w:t>
      </w:r>
      <w:r>
        <w:rPr>
          <w:b/>
          <w:spacing w:val="-5"/>
          <w:sz w:val="24"/>
        </w:rPr>
        <w:t xml:space="preserve"> </w:t>
      </w:r>
      <w:r>
        <w:rPr>
          <w:b/>
          <w:spacing w:val="-2"/>
          <w:sz w:val="24"/>
        </w:rPr>
        <w:t>Characteris</w:t>
      </w:r>
      <w:r>
        <w:rPr>
          <w:b/>
          <w:spacing w:val="-2"/>
          <w:sz w:val="24"/>
        </w:rPr>
        <w:t>tic</w:t>
      </w:r>
    </w:p>
    <w:p w:rsidR="00C31389" w:rsidRDefault="00C31389" w14:paraId="2CC5572B" w14:textId="77777777">
      <w:pPr>
        <w:pStyle w:val="BodyText"/>
        <w:spacing w:before="9"/>
        <w:rPr>
          <w:b/>
          <w:sz w:val="20"/>
        </w:rPr>
      </w:pPr>
    </w:p>
    <w:p w:rsidR="00C31389" w:rsidRDefault="00561FBD" w14:paraId="29ADE603" w14:textId="77777777">
      <w:pPr>
        <w:pStyle w:val="BodyText"/>
        <w:ind w:left="479" w:right="582"/>
      </w:pPr>
      <w:r>
        <w:t>The team used measure characterization data and subject matter knowledge to develop a numerical</w:t>
      </w:r>
      <w:r>
        <w:rPr>
          <w:spacing w:val="-3"/>
        </w:rPr>
        <w:t xml:space="preserve"> </w:t>
      </w:r>
      <w:r>
        <w:t>or</w:t>
      </w:r>
      <w:r>
        <w:rPr>
          <w:spacing w:val="-3"/>
        </w:rPr>
        <w:t xml:space="preserve"> </w:t>
      </w:r>
      <w:r>
        <w:t>binary</w:t>
      </w:r>
      <w:r>
        <w:rPr>
          <w:spacing w:val="-3"/>
        </w:rPr>
        <w:t xml:space="preserve"> </w:t>
      </w:r>
      <w:r>
        <w:t>value</w:t>
      </w:r>
      <w:r>
        <w:rPr>
          <w:spacing w:val="-3"/>
        </w:rPr>
        <w:t xml:space="preserve"> </w:t>
      </w:r>
      <w:r>
        <w:t>for</w:t>
      </w:r>
      <w:r>
        <w:rPr>
          <w:spacing w:val="-3"/>
        </w:rPr>
        <w:t xml:space="preserve"> </w:t>
      </w:r>
      <w:r>
        <w:t>each</w:t>
      </w:r>
      <w:r>
        <w:rPr>
          <w:spacing w:val="-3"/>
        </w:rPr>
        <w:t xml:space="preserve"> </w:t>
      </w:r>
      <w:r>
        <w:t>characteristic</w:t>
      </w:r>
      <w:r>
        <w:rPr>
          <w:spacing w:val="-4"/>
        </w:rPr>
        <w:t xml:space="preserve"> </w:t>
      </w:r>
      <w:r>
        <w:t>for</w:t>
      </w:r>
      <w:r>
        <w:rPr>
          <w:spacing w:val="-3"/>
        </w:rPr>
        <w:t xml:space="preserve"> </w:t>
      </w:r>
      <w:r>
        <w:t>each</w:t>
      </w:r>
      <w:r>
        <w:rPr>
          <w:spacing w:val="-3"/>
        </w:rPr>
        <w:t xml:space="preserve"> </w:t>
      </w:r>
      <w:r>
        <w:t>measure,</w:t>
      </w:r>
      <w:r>
        <w:rPr>
          <w:spacing w:val="-3"/>
        </w:rPr>
        <w:t xml:space="preserve"> </w:t>
      </w:r>
      <w:r>
        <w:t>which</w:t>
      </w:r>
      <w:r>
        <w:rPr>
          <w:spacing w:val="-3"/>
        </w:rPr>
        <w:t xml:space="preserve"> </w:t>
      </w:r>
      <w:r>
        <w:t>was</w:t>
      </w:r>
      <w:r>
        <w:rPr>
          <w:spacing w:val="-2"/>
        </w:rPr>
        <w:t xml:space="preserve"> </w:t>
      </w:r>
      <w:r>
        <w:t>converted</w:t>
      </w:r>
      <w:r>
        <w:rPr>
          <w:spacing w:val="-3"/>
        </w:rPr>
        <w:t xml:space="preserve"> </w:t>
      </w:r>
      <w:r>
        <w:t xml:space="preserve">to a dimensionless, normalized technology characteristic (shown in </w:t>
      </w:r>
      <w:hyperlink w:history="1" w:anchor="_bookmark513">
        <w:r>
          <w:t>Equation H-2</w:t>
        </w:r>
      </w:hyperlink>
      <w:r>
        <w:t>) by dividing by the average over the competition group (CG). This value can be interpreted as the relative cha</w:t>
      </w:r>
      <w:r>
        <w:t>racteristic value of the measure compared with the other CG measures.</w:t>
      </w:r>
    </w:p>
    <w:p w:rsidR="00C31389" w:rsidRDefault="00C31389" w14:paraId="0F5DCF51" w14:textId="77777777">
      <w:pPr>
        <w:sectPr w:rsidR="00C31389">
          <w:headerReference w:type="default" r:id="rId336"/>
          <w:footerReference w:type="default" r:id="rId337"/>
          <w:pgSz w:w="11910" w:h="16840"/>
          <w:pgMar w:top="1660" w:right="1020" w:bottom="1120" w:left="960" w:header="397" w:footer="938" w:gutter="0"/>
          <w:cols w:space="720"/>
        </w:sectPr>
      </w:pPr>
    </w:p>
    <w:p w:rsidR="00C31389" w:rsidRDefault="00C31389" w14:paraId="1CE7222E" w14:textId="77777777">
      <w:pPr>
        <w:pStyle w:val="BodyText"/>
        <w:spacing w:before="11"/>
        <w:rPr>
          <w:sz w:val="13"/>
        </w:rPr>
      </w:pPr>
    </w:p>
    <w:p w:rsidR="00C31389" w:rsidRDefault="00561FBD" w14:paraId="6A170AB0" w14:textId="77777777">
      <w:pPr>
        <w:pStyle w:val="Heading7"/>
        <w:spacing w:before="92"/>
        <w:ind w:left="398" w:right="339"/>
        <w:jc w:val="center"/>
      </w:pPr>
      <w:bookmarkStart w:name="_bookmark513" w:id="667"/>
      <w:bookmarkEnd w:id="667"/>
      <w:r>
        <w:t>Equation</w:t>
      </w:r>
      <w:r>
        <w:rPr>
          <w:spacing w:val="-11"/>
        </w:rPr>
        <w:t xml:space="preserve"> </w:t>
      </w:r>
      <w:r>
        <w:t>H-2.</w:t>
      </w:r>
      <w:r>
        <w:rPr>
          <w:spacing w:val="-11"/>
        </w:rPr>
        <w:t xml:space="preserve"> </w:t>
      </w:r>
      <w:r>
        <w:t>Normalized</w:t>
      </w:r>
      <w:r>
        <w:rPr>
          <w:spacing w:val="-11"/>
        </w:rPr>
        <w:t xml:space="preserve"> </w:t>
      </w:r>
      <w:r>
        <w:t>Technology</w:t>
      </w:r>
      <w:r>
        <w:rPr>
          <w:spacing w:val="-11"/>
        </w:rPr>
        <w:t xml:space="preserve"> </w:t>
      </w:r>
      <w:r>
        <w:rPr>
          <w:spacing w:val="-2"/>
        </w:rPr>
        <w:t>Characteristic</w:t>
      </w:r>
    </w:p>
    <w:p w:rsidR="00C31389" w:rsidRDefault="00561FBD" w14:paraId="1101E2D3" w14:textId="77777777">
      <w:pPr>
        <w:spacing w:before="110"/>
        <w:ind w:left="398" w:right="341"/>
        <w:jc w:val="center"/>
        <w:rPr>
          <w:rFonts w:ascii="Cambria Math" w:eastAsia="Cambria Math"/>
        </w:rPr>
      </w:pPr>
      <w:r>
        <w:rPr>
          <w:rFonts w:ascii="Cambria Math" w:eastAsia="Cambria Math"/>
          <w:w w:val="40"/>
        </w:rPr>
        <w:t>𝑁𝑁𝑇𝑇𝐸𝐸𝑆𝑆𝑇𝑇𝑇𝑇𝐵𝐵𝑁𝑁𝑆𝑆𝐴𝐴</w:t>
      </w:r>
      <w:r>
        <w:rPr>
          <w:rFonts w:ascii="Cambria Math" w:eastAsia="Cambria Math"/>
          <w:spacing w:val="78"/>
        </w:rPr>
        <w:t xml:space="preserve">  </w:t>
      </w:r>
      <w:r>
        <w:rPr>
          <w:rFonts w:ascii="Cambria Math" w:eastAsia="Cambria Math"/>
          <w:w w:val="40"/>
        </w:rPr>
        <w:t>𝑇𝑇𝑆𝑆𝐶𝐶</w:t>
      </w:r>
      <w:r>
        <w:rPr>
          <w:rFonts w:ascii="Cambria Math" w:eastAsia="Cambria Math"/>
          <w:w w:val="40"/>
        </w:rPr>
        <w:t>h</w:t>
      </w:r>
      <w:r>
        <w:rPr>
          <w:rFonts w:ascii="Cambria Math" w:eastAsia="Cambria Math"/>
          <w:w w:val="40"/>
        </w:rPr>
        <w:t>𝐵𝐵𝑇𝑇𝑇𝑇𝑇𝑇𝐸𝐸𝑆𝑆</w:t>
      </w:r>
      <w:r>
        <w:rPr>
          <w:rFonts w:ascii="Cambria Math" w:eastAsia="Cambria Math"/>
          <w:spacing w:val="78"/>
        </w:rPr>
        <w:t xml:space="preserve">  </w:t>
      </w:r>
      <w:r>
        <w:rPr>
          <w:rFonts w:ascii="Cambria Math" w:eastAsia="Cambria Math"/>
          <w:w w:val="40"/>
        </w:rPr>
        <w:t>𝐶𝐶</w:t>
      </w:r>
      <w:r>
        <w:rPr>
          <w:rFonts w:ascii="Cambria Math" w:eastAsia="Cambria Math"/>
          <w:w w:val="40"/>
        </w:rPr>
        <w:t>h</w:t>
      </w:r>
      <w:r>
        <w:rPr>
          <w:rFonts w:ascii="Cambria Math" w:eastAsia="Cambria Math"/>
          <w:w w:val="40"/>
        </w:rPr>
        <w:t>𝑇𝑇𝐸𝐸𝑇𝑇𝐶𝐶𝑇𝑇𝑆𝑆𝐸𝐸𝐵𝐵𝑆𝑆𝑇𝑇𝐵𝐵𝐶𝐶</w:t>
      </w:r>
      <w:r>
        <w:rPr>
          <w:rFonts w:ascii="Cambria Math" w:eastAsia="Cambria Math"/>
          <w:w w:val="40"/>
          <w:position w:val="-4"/>
          <w:sz w:val="16"/>
        </w:rPr>
        <w:t>𝑉𝑉𝑉𝑉𝑉𝑉𝑉𝑉𝑒𝑒𝑉𝑉𝑉𝑉𝑉𝑉𝑉𝑉𝑉𝑉𝑉𝑉</w:t>
      </w:r>
      <w:r>
        <w:rPr>
          <w:rFonts w:ascii="Cambria Math" w:eastAsia="Cambria Math"/>
          <w:spacing w:val="39"/>
          <w:position w:val="-4"/>
          <w:sz w:val="16"/>
        </w:rPr>
        <w:t xml:space="preserve"> </w:t>
      </w:r>
      <w:r>
        <w:rPr>
          <w:rFonts w:ascii="Cambria Math" w:eastAsia="Cambria Math"/>
          <w:spacing w:val="-2"/>
          <w:w w:val="40"/>
          <w:position w:val="1"/>
        </w:rPr>
        <w:t>(</w:t>
      </w:r>
      <w:r>
        <w:rPr>
          <w:rFonts w:ascii="Cambria Math" w:eastAsia="Cambria Math"/>
          <w:spacing w:val="-2"/>
          <w:w w:val="40"/>
        </w:rPr>
        <w:t>𝑆𝑆𝑆𝑆𝑇𝑇𝑆𝑆𝑆𝑆𝐸𝐸𝑆𝑆</w:t>
      </w:r>
      <w:r>
        <w:rPr>
          <w:rFonts w:ascii="Cambria Math" w:eastAsia="Cambria Math"/>
          <w:spacing w:val="-2"/>
          <w:w w:val="40"/>
          <w:position w:val="1"/>
        </w:rPr>
        <w:t>)</w:t>
      </w:r>
    </w:p>
    <w:p w:rsidR="00C31389" w:rsidRDefault="00C31389" w14:paraId="106766D0" w14:textId="77777777">
      <w:pPr>
        <w:pStyle w:val="BodyText"/>
        <w:spacing w:before="3"/>
        <w:rPr>
          <w:rFonts w:ascii="Cambria Math"/>
          <w:sz w:val="10"/>
        </w:rPr>
      </w:pPr>
    </w:p>
    <w:p w:rsidR="00C31389" w:rsidRDefault="00561FBD" w14:paraId="69DFE8D7" w14:textId="77777777">
      <w:pPr>
        <w:pStyle w:val="BodyText"/>
        <w:spacing w:before="62" w:line="212" w:lineRule="exact"/>
        <w:ind w:left="398" w:right="114"/>
        <w:jc w:val="center"/>
        <w:rPr>
          <w:rFonts w:ascii="Cambria Math" w:eastAsia="Cambria Math"/>
        </w:rPr>
      </w:pPr>
      <w:r>
        <w:rPr>
          <w:rFonts w:ascii="Cambria Math" w:eastAsia="Cambria Math"/>
          <w:w w:val="40"/>
        </w:rPr>
        <w:t>𝐶𝐶</w:t>
      </w:r>
      <w:r>
        <w:rPr>
          <w:rFonts w:ascii="Cambria Math" w:eastAsia="Cambria Math"/>
          <w:w w:val="40"/>
        </w:rPr>
        <w:t>h</w:t>
      </w:r>
      <w:r>
        <w:rPr>
          <w:rFonts w:ascii="Cambria Math" w:eastAsia="Cambria Math"/>
          <w:w w:val="40"/>
        </w:rPr>
        <w:t>𝑇𝑇𝐸𝐸𝑇𝑇𝐶𝐶𝑇𝑇𝑆𝑆</w:t>
      </w:r>
      <w:r>
        <w:rPr>
          <w:rFonts w:ascii="Cambria Math" w:eastAsia="Cambria Math"/>
          <w:w w:val="40"/>
        </w:rPr>
        <w:t>𝐸</w:t>
      </w:r>
      <w:r>
        <w:rPr>
          <w:rFonts w:ascii="Cambria Math" w:eastAsia="Cambria Math"/>
          <w:w w:val="40"/>
        </w:rPr>
        <w:t>𝐸𝐵𝐵𝑆𝑆𝑇𝑇𝐵𝐵𝐶𝐶</w:t>
      </w:r>
      <w:r>
        <w:rPr>
          <w:rFonts w:ascii="Cambria Math" w:eastAsia="Cambria Math"/>
          <w:spacing w:val="63"/>
        </w:rPr>
        <w:t xml:space="preserve"> </w:t>
      </w:r>
      <w:r>
        <w:rPr>
          <w:rFonts w:ascii="Cambria Math" w:eastAsia="Cambria Math"/>
          <w:w w:val="40"/>
        </w:rPr>
        <w:t>𝑉𝑉𝑇𝑇𝑇𝑇𝑆𝑆𝑆𝑆</w:t>
      </w:r>
      <w:r>
        <w:rPr>
          <w:rFonts w:ascii="Cambria Math" w:eastAsia="Cambria Math"/>
          <w:spacing w:val="64"/>
        </w:rPr>
        <w:t xml:space="preserve"> </w:t>
      </w:r>
      <w:r>
        <w:rPr>
          <w:rFonts w:ascii="Cambria Math" w:eastAsia="Cambria Math"/>
          <w:w w:val="40"/>
        </w:rPr>
        <w:t>(</w:t>
      </w:r>
      <w:r>
        <w:rPr>
          <w:rFonts w:ascii="Cambria Math" w:eastAsia="Cambria Math"/>
          <w:w w:val="40"/>
        </w:rPr>
        <w:t>𝐵𝐵𝑇𝑇𝐸𝐸</w:t>
      </w:r>
      <w:r>
        <w:rPr>
          <w:rFonts w:ascii="Cambria Math" w:eastAsia="Cambria Math"/>
          <w:spacing w:val="61"/>
        </w:rPr>
        <w:t xml:space="preserve"> </w:t>
      </w:r>
      <w:r>
        <w:rPr>
          <w:rFonts w:ascii="Cambria Math" w:eastAsia="Cambria Math"/>
          <w:spacing w:val="-2"/>
          <w:w w:val="40"/>
        </w:rPr>
        <w:t>𝑆𝑆𝑆𝑆𝑇𝑇𝑆𝑆𝑆𝑆𝐸𝐸𝑆𝑆</w:t>
      </w:r>
      <w:r>
        <w:rPr>
          <w:rFonts w:ascii="Cambria Math" w:eastAsia="Cambria Math"/>
          <w:spacing w:val="-2"/>
          <w:w w:val="40"/>
        </w:rPr>
        <w:t>)</w:t>
      </w:r>
    </w:p>
    <w:p w:rsidR="00C31389" w:rsidRDefault="00561FBD" w14:paraId="4DF4718C" w14:textId="77777777">
      <w:pPr>
        <w:spacing w:line="157" w:lineRule="exact"/>
        <w:ind w:right="4141"/>
        <w:jc w:val="center"/>
        <w:rPr>
          <w:rFonts w:ascii="Cambria Math"/>
        </w:rPr>
      </w:pPr>
      <w:r>
        <w:rPr>
          <w:noProof/>
        </w:rPr>
        <mc:AlternateContent>
          <mc:Choice Requires="wps">
            <w:drawing>
              <wp:anchor distT="0" distB="0" distL="0" distR="0" simplePos="0" relativeHeight="15884800" behindDoc="0" locked="0" layoutInCell="1" allowOverlap="1" wp14:editId="2873B117" wp14:anchorId="45CB6F25">
                <wp:simplePos x="0" y="0"/>
                <wp:positionH relativeFrom="page">
                  <wp:posOffset>2536698</wp:posOffset>
                </wp:positionH>
                <wp:positionV relativeFrom="paragraph">
                  <wp:posOffset>58903</wp:posOffset>
                </wp:positionV>
                <wp:extent cx="2630805" cy="9525"/>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805" cy="9525"/>
                        </a:xfrm>
                        <a:custGeom>
                          <a:avLst/>
                          <a:gdLst/>
                          <a:ahLst/>
                          <a:cxnLst/>
                          <a:rect l="l" t="t" r="r" b="b"/>
                          <a:pathLst>
                            <a:path w="2630805" h="9525">
                              <a:moveTo>
                                <a:pt x="2630436" y="0"/>
                              </a:moveTo>
                              <a:lnTo>
                                <a:pt x="0" y="0"/>
                              </a:lnTo>
                              <a:lnTo>
                                <a:pt x="0" y="9144"/>
                              </a:lnTo>
                              <a:lnTo>
                                <a:pt x="2630436" y="9144"/>
                              </a:lnTo>
                              <a:lnTo>
                                <a:pt x="26304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72" style="position:absolute;margin-left:199.75pt;margin-top:4.65pt;width:207.15pt;height:.75pt;z-index:15884800;visibility:visible;mso-wrap-style:square;mso-wrap-distance-left:0;mso-wrap-distance-top:0;mso-wrap-distance-right:0;mso-wrap-distance-bottom:0;mso-position-horizontal:absolute;mso-position-horizontal-relative:page;mso-position-vertical:absolute;mso-position-vertical-relative:text;v-text-anchor:top" coordsize="2630805,9525" o:spid="_x0000_s1026" fillcolor="black" stroked="f" path="m2630436,l,,,9144r2630436,l26304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" w14:anchorId="7E147439">
                <v:path arrowok="t"/>
                <w10:wrap anchorx="page"/>
              </v:shape>
            </w:pict>
          </mc:Fallback>
        </mc:AlternateContent>
      </w:r>
      <w:r>
        <w:rPr>
          <w:rFonts w:ascii="Cambria Math"/>
          <w:w w:val="99"/>
        </w:rPr>
        <w:t>=</w:t>
      </w:r>
    </w:p>
    <w:p w:rsidR="00C31389" w:rsidRDefault="00561FBD" w14:paraId="35B4E1D9" w14:textId="77777777">
      <w:pPr>
        <w:pStyle w:val="BodyText"/>
        <w:spacing w:line="203" w:lineRule="exact"/>
        <w:ind w:left="398" w:right="113"/>
        <w:jc w:val="center"/>
        <w:rPr>
          <w:rFonts w:ascii="Cambria Math" w:eastAsia="Cambria Math"/>
        </w:rPr>
      </w:pPr>
      <w:r>
        <w:rPr>
          <w:rFonts w:ascii="Cambria Math" w:eastAsia="Cambria Math"/>
          <w:spacing w:val="2"/>
          <w:w w:val="40"/>
        </w:rPr>
        <w:t>𝐴𝐴𝐴𝐴𝑆𝑆𝐸𝐸𝑇𝑇𝐸𝐸𝑆𝑆</w:t>
      </w:r>
      <w:r>
        <w:rPr>
          <w:rFonts w:ascii="Cambria Math" w:eastAsia="Cambria Math"/>
          <w:spacing w:val="19"/>
        </w:rPr>
        <w:t xml:space="preserve"> </w:t>
      </w:r>
      <w:r>
        <w:rPr>
          <w:rFonts w:ascii="Cambria Math" w:eastAsia="Cambria Math"/>
          <w:spacing w:val="2"/>
          <w:w w:val="40"/>
        </w:rPr>
        <w:t>𝐶𝐶</w:t>
      </w:r>
      <w:r>
        <w:rPr>
          <w:rFonts w:ascii="Cambria Math" w:eastAsia="Cambria Math"/>
          <w:spacing w:val="2"/>
          <w:w w:val="40"/>
        </w:rPr>
        <w:t>h</w:t>
      </w:r>
      <w:r>
        <w:rPr>
          <w:rFonts w:ascii="Cambria Math" w:eastAsia="Cambria Math"/>
          <w:spacing w:val="2"/>
          <w:w w:val="40"/>
        </w:rPr>
        <w:t>𝑇𝑇𝐸𝐸𝑇𝑇𝐶𝐶𝑇𝑇𝑆𝑆𝐸𝐸𝐵𝐵𝑆𝑆𝑇𝑇𝐵𝐵𝐶𝐶</w:t>
      </w:r>
      <w:r>
        <w:rPr>
          <w:rFonts w:ascii="Cambria Math" w:eastAsia="Cambria Math"/>
          <w:spacing w:val="19"/>
        </w:rPr>
        <w:t xml:space="preserve"> </w:t>
      </w:r>
      <w:r>
        <w:rPr>
          <w:rFonts w:ascii="Cambria Math" w:eastAsia="Cambria Math"/>
          <w:spacing w:val="2"/>
          <w:w w:val="40"/>
        </w:rPr>
        <w:t>𝑉𝑉𝑇𝑇𝑇𝑇𝑆𝑆𝑆𝑆</w:t>
      </w:r>
      <w:r>
        <w:rPr>
          <w:rFonts w:ascii="Cambria Math" w:eastAsia="Cambria Math"/>
          <w:spacing w:val="19"/>
        </w:rPr>
        <w:t xml:space="preserve"> </w:t>
      </w:r>
      <w:r>
        <w:rPr>
          <w:rFonts w:ascii="Cambria Math" w:eastAsia="Cambria Math"/>
          <w:spacing w:val="2"/>
          <w:w w:val="40"/>
        </w:rPr>
        <w:t>(</w:t>
      </w:r>
      <w:r>
        <w:rPr>
          <w:rFonts w:ascii="Cambria Math" w:eastAsia="Cambria Math"/>
          <w:spacing w:val="2"/>
          <w:w w:val="40"/>
        </w:rPr>
        <w:t>𝑇𝑇𝐶𝐶𝐸𝐸𝑇𝑇𝑆𝑆𝑆𝑆</w:t>
      </w:r>
      <w:r>
        <w:rPr>
          <w:rFonts w:ascii="Cambria Math" w:eastAsia="Cambria Math"/>
          <w:spacing w:val="20"/>
        </w:rPr>
        <w:t xml:space="preserve"> </w:t>
      </w:r>
      <w:r>
        <w:rPr>
          <w:rFonts w:ascii="Cambria Math" w:eastAsia="Cambria Math"/>
          <w:spacing w:val="-2"/>
          <w:w w:val="40"/>
        </w:rPr>
        <w:t>𝐶𝐶𝐶𝐶</w:t>
      </w:r>
      <w:r>
        <w:rPr>
          <w:rFonts w:ascii="Cambria Math" w:eastAsia="Cambria Math"/>
          <w:spacing w:val="-2"/>
          <w:w w:val="40"/>
        </w:rPr>
        <w:t>)</w:t>
      </w:r>
    </w:p>
    <w:p w:rsidR="00C31389" w:rsidRDefault="00C31389" w14:paraId="77492170" w14:textId="77777777">
      <w:pPr>
        <w:pStyle w:val="BodyText"/>
        <w:spacing w:before="8"/>
        <w:rPr>
          <w:rFonts w:ascii="Cambria Math"/>
          <w:sz w:val="12"/>
        </w:rPr>
      </w:pPr>
    </w:p>
    <w:p w:rsidR="00C31389" w:rsidRDefault="00561FBD" w14:paraId="4B94BD33" w14:textId="77777777">
      <w:pPr>
        <w:pStyle w:val="ListParagraph"/>
        <w:numPr>
          <w:ilvl w:val="1"/>
          <w:numId w:val="11"/>
        </w:numPr>
        <w:tabs>
          <w:tab w:val="left" w:pos="1069"/>
        </w:tabs>
        <w:spacing w:before="91"/>
        <w:ind w:left="1069" w:hanging="589"/>
        <w:rPr>
          <w:b/>
          <w:sz w:val="28"/>
        </w:rPr>
      </w:pPr>
      <w:bookmarkStart w:name="H.4__Calculating_Market_Share" w:id="668"/>
      <w:bookmarkStart w:name="_bookmark514" w:id="669"/>
      <w:bookmarkEnd w:id="668"/>
      <w:bookmarkEnd w:id="669"/>
      <w:r>
        <w:rPr>
          <w:b/>
          <w:sz w:val="28"/>
        </w:rPr>
        <w:t>Calculating</w:t>
      </w:r>
      <w:r>
        <w:rPr>
          <w:b/>
          <w:spacing w:val="-16"/>
          <w:sz w:val="28"/>
        </w:rPr>
        <w:t xml:space="preserve"> </w:t>
      </w:r>
      <w:r>
        <w:rPr>
          <w:b/>
          <w:sz w:val="28"/>
        </w:rPr>
        <w:t>Market</w:t>
      </w:r>
      <w:r>
        <w:rPr>
          <w:b/>
          <w:spacing w:val="-15"/>
          <w:sz w:val="28"/>
        </w:rPr>
        <w:t xml:space="preserve"> </w:t>
      </w:r>
      <w:r>
        <w:rPr>
          <w:b/>
          <w:spacing w:val="-2"/>
          <w:sz w:val="28"/>
        </w:rPr>
        <w:t>Share</w:t>
      </w:r>
    </w:p>
    <w:p w:rsidR="00C31389" w:rsidRDefault="00561FBD" w14:paraId="242B1C94" w14:textId="77777777">
      <w:pPr>
        <w:pStyle w:val="BodyText"/>
        <w:spacing w:before="239"/>
        <w:ind w:left="480" w:right="505" w:hanging="1"/>
      </w:pPr>
      <w:r>
        <w:t>For</w:t>
      </w:r>
      <w:r>
        <w:rPr>
          <w:spacing w:val="-3"/>
        </w:rPr>
        <w:t xml:space="preserve"> </w:t>
      </w:r>
      <w:r>
        <w:t>each</w:t>
      </w:r>
      <w:r>
        <w:rPr>
          <w:spacing w:val="-3"/>
        </w:rPr>
        <w:t xml:space="preserve"> </w:t>
      </w:r>
      <w:r>
        <w:t>measure</w:t>
      </w:r>
      <w:r>
        <w:rPr>
          <w:spacing w:val="-3"/>
        </w:rPr>
        <w:t xml:space="preserve"> </w:t>
      </w:r>
      <w:r>
        <w:t>and</w:t>
      </w:r>
      <w:r>
        <w:rPr>
          <w:spacing w:val="-4"/>
        </w:rPr>
        <w:t xml:space="preserve"> </w:t>
      </w:r>
      <w:r>
        <w:t>customer</w:t>
      </w:r>
      <w:r>
        <w:rPr>
          <w:spacing w:val="-3"/>
        </w:rPr>
        <w:t xml:space="preserve"> </w:t>
      </w:r>
      <w:r>
        <w:t>group,</w:t>
      </w:r>
      <w:r>
        <w:rPr>
          <w:spacing w:val="-3"/>
        </w:rPr>
        <w:t xml:space="preserve"> </w:t>
      </w:r>
      <w:r>
        <w:t>the</w:t>
      </w:r>
      <w:r>
        <w:rPr>
          <w:spacing w:val="-3"/>
        </w:rPr>
        <w:t xml:space="preserve"> </w:t>
      </w:r>
      <w:r>
        <w:t>Guidehouse</w:t>
      </w:r>
      <w:r>
        <w:rPr>
          <w:spacing w:val="-3"/>
        </w:rPr>
        <w:t xml:space="preserve"> </w:t>
      </w:r>
      <w:r>
        <w:t>team</w:t>
      </w:r>
      <w:r>
        <w:rPr>
          <w:spacing w:val="-4"/>
        </w:rPr>
        <w:t xml:space="preserve"> </w:t>
      </w:r>
      <w:r>
        <w:t>generated</w:t>
      </w:r>
      <w:r>
        <w:rPr>
          <w:spacing w:val="-3"/>
        </w:rPr>
        <w:t xml:space="preserve"> </w:t>
      </w:r>
      <w:r>
        <w:t>weighted</w:t>
      </w:r>
      <w:r>
        <w:rPr>
          <w:spacing w:val="-3"/>
        </w:rPr>
        <w:t xml:space="preserve"> </w:t>
      </w:r>
      <w:r>
        <w:t xml:space="preserve">average characteristics by taking the sum-product of the preference weightings for that customer group and the normalized technology characteristics for that measure. </w:t>
      </w:r>
      <w:hyperlink w:history="1" w:anchor="_bookmark515">
        <w:r>
          <w:t>Figure H-2</w:t>
        </w:r>
      </w:hyperlink>
      <w:r>
        <w:t xml:space="preserve"> shows how customer preference weightings and technology characteristics are combined and fed into the decision model.</w:t>
      </w:r>
    </w:p>
    <w:p w:rsidR="00C31389" w:rsidRDefault="00C31389" w14:paraId="24F42572" w14:textId="77777777">
      <w:pPr>
        <w:pStyle w:val="BodyText"/>
        <w:spacing w:before="11"/>
        <w:rPr>
          <w:sz w:val="20"/>
        </w:rPr>
      </w:pPr>
    </w:p>
    <w:p w:rsidR="00C31389" w:rsidRDefault="00561FBD" w14:paraId="454D4B6C" w14:textId="77777777">
      <w:pPr>
        <w:pStyle w:val="Heading7"/>
        <w:ind w:left="0" w:right="3012"/>
        <w:jc w:val="right"/>
      </w:pPr>
      <w:bookmarkStart w:name="_bookmark515" w:id="670"/>
      <w:bookmarkEnd w:id="670"/>
      <w:r>
        <w:t>Figure</w:t>
      </w:r>
      <w:r>
        <w:rPr>
          <w:spacing w:val="-9"/>
        </w:rPr>
        <w:t xml:space="preserve"> </w:t>
      </w:r>
      <w:r>
        <w:t>H-2.</w:t>
      </w:r>
      <w:r>
        <w:rPr>
          <w:spacing w:val="-9"/>
        </w:rPr>
        <w:t xml:space="preserve"> </w:t>
      </w:r>
      <w:r>
        <w:t>Calculating</w:t>
      </w:r>
      <w:r>
        <w:rPr>
          <w:spacing w:val="-9"/>
        </w:rPr>
        <w:t xml:space="preserve"> </w:t>
      </w:r>
      <w:r>
        <w:t>Market</w:t>
      </w:r>
      <w:r>
        <w:rPr>
          <w:spacing w:val="-8"/>
        </w:rPr>
        <w:t xml:space="preserve"> </w:t>
      </w:r>
      <w:r>
        <w:rPr>
          <w:spacing w:val="-4"/>
        </w:rPr>
        <w:t>Share</w:t>
      </w:r>
    </w:p>
    <w:p w:rsidR="00C31389" w:rsidRDefault="00C31389" w14:paraId="4153533D" w14:textId="77777777">
      <w:pPr>
        <w:pStyle w:val="BodyText"/>
        <w:rPr>
          <w:b/>
          <w:sz w:val="20"/>
        </w:rPr>
      </w:pPr>
    </w:p>
    <w:p w:rsidR="00C31389" w:rsidRDefault="00561FBD" w14:paraId="34AD1F4E" w14:textId="77777777">
      <w:pPr>
        <w:pStyle w:val="BodyText"/>
        <w:spacing w:before="3"/>
        <w:rPr>
          <w:b/>
        </w:rPr>
      </w:pPr>
      <w:r>
        <w:rPr>
          <w:noProof/>
        </w:rPr>
        <w:drawing>
          <wp:anchor distT="0" distB="0" distL="0" distR="0" simplePos="0" relativeHeight="487743488" behindDoc="1" locked="0" layoutInCell="1" allowOverlap="1" wp14:editId="130DAFE8" wp14:anchorId="795D803D">
            <wp:simplePos x="0" y="0"/>
            <wp:positionH relativeFrom="page">
              <wp:posOffset>1391619</wp:posOffset>
            </wp:positionH>
            <wp:positionV relativeFrom="paragraph">
              <wp:posOffset>178095</wp:posOffset>
            </wp:positionV>
            <wp:extent cx="4809414" cy="3516344"/>
            <wp:effectExtent l="0" t="0" r="0" b="0"/>
            <wp:wrapTopAndBottom/>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338" cstate="print"/>
                    <a:stretch>
                      <a:fillRect/>
                    </a:stretch>
                  </pic:blipFill>
                  <pic:spPr>
                    <a:xfrm>
                      <a:off x="0" y="0"/>
                      <a:ext cx="4809414" cy="3516344"/>
                    </a:xfrm>
                    <a:prstGeom prst="rect">
                      <a:avLst/>
                    </a:prstGeom>
                  </pic:spPr>
                </pic:pic>
              </a:graphicData>
            </a:graphic>
          </wp:anchor>
        </w:drawing>
      </w:r>
    </w:p>
    <w:p w:rsidR="00C31389" w:rsidRDefault="00561FBD" w14:paraId="7096CC7F" w14:textId="77777777">
      <w:pPr>
        <w:spacing w:before="43"/>
        <w:ind w:left="480"/>
        <w:rPr>
          <w:i/>
          <w:sz w:val="18"/>
        </w:rPr>
      </w:pPr>
      <w:r>
        <w:rPr>
          <w:i/>
          <w:sz w:val="18"/>
        </w:rPr>
        <w:t>Source:</w:t>
      </w:r>
      <w:r>
        <w:rPr>
          <w:i/>
          <w:spacing w:val="-4"/>
          <w:sz w:val="18"/>
        </w:rPr>
        <w:t xml:space="preserve"> </w:t>
      </w:r>
      <w:r>
        <w:rPr>
          <w:i/>
          <w:spacing w:val="-2"/>
          <w:sz w:val="18"/>
        </w:rPr>
        <w:t>Guidehouse</w:t>
      </w:r>
    </w:p>
    <w:p w:rsidR="00C31389" w:rsidRDefault="00C31389" w14:paraId="64302A2E" w14:textId="77777777">
      <w:pPr>
        <w:pStyle w:val="BodyText"/>
        <w:spacing w:before="9"/>
        <w:rPr>
          <w:i/>
          <w:sz w:val="20"/>
        </w:rPr>
      </w:pPr>
    </w:p>
    <w:p w:rsidR="00C31389" w:rsidRDefault="00561FBD" w14:paraId="26CF2544" w14:textId="77777777">
      <w:pPr>
        <w:pStyle w:val="BodyText"/>
        <w:ind w:right="3049"/>
        <w:jc w:val="right"/>
      </w:pPr>
      <w:r>
        <w:t>The</w:t>
      </w:r>
      <w:r>
        <w:rPr>
          <w:spacing w:val="-6"/>
        </w:rPr>
        <w:t xml:space="preserve"> </w:t>
      </w:r>
      <w:r>
        <w:t>full</w:t>
      </w:r>
      <w:r>
        <w:rPr>
          <w:spacing w:val="-6"/>
        </w:rPr>
        <w:t xml:space="preserve"> </w:t>
      </w:r>
      <w:r>
        <w:t>equation</w:t>
      </w:r>
      <w:r>
        <w:rPr>
          <w:spacing w:val="-6"/>
        </w:rPr>
        <w:t xml:space="preserve"> </w:t>
      </w:r>
      <w:r>
        <w:t>for</w:t>
      </w:r>
      <w:r>
        <w:rPr>
          <w:spacing w:val="-5"/>
        </w:rPr>
        <w:t xml:space="preserve"> </w:t>
      </w:r>
      <w:r>
        <w:t>the</w:t>
      </w:r>
      <w:r>
        <w:rPr>
          <w:spacing w:val="-7"/>
        </w:rPr>
        <w:t xml:space="preserve"> </w:t>
      </w:r>
      <w:r>
        <w:t>decision</w:t>
      </w:r>
      <w:r>
        <w:rPr>
          <w:spacing w:val="-6"/>
        </w:rPr>
        <w:t xml:space="preserve"> </w:t>
      </w:r>
      <w:r>
        <w:t>model</w:t>
      </w:r>
      <w:r>
        <w:rPr>
          <w:spacing w:val="-5"/>
        </w:rPr>
        <w:t xml:space="preserve"> </w:t>
      </w:r>
      <w:r>
        <w:t>is</w:t>
      </w:r>
      <w:r>
        <w:rPr>
          <w:spacing w:val="-6"/>
        </w:rPr>
        <w:t xml:space="preserve"> </w:t>
      </w:r>
      <w:r>
        <w:t>shown</w:t>
      </w:r>
      <w:r>
        <w:rPr>
          <w:spacing w:val="-6"/>
        </w:rPr>
        <w:t xml:space="preserve"> </w:t>
      </w:r>
      <w:r>
        <w:t>in</w:t>
      </w:r>
      <w:r>
        <w:rPr>
          <w:spacing w:val="-5"/>
        </w:rPr>
        <w:t xml:space="preserve"> </w:t>
      </w:r>
      <w:hyperlink w:history="1" w:anchor="_bookmark516">
        <w:r>
          <w:t>Equation</w:t>
        </w:r>
        <w:r>
          <w:rPr>
            <w:spacing w:val="-7"/>
          </w:rPr>
          <w:t xml:space="preserve"> </w:t>
        </w:r>
        <w:r>
          <w:t>H-</w:t>
        </w:r>
        <w:r>
          <w:rPr>
            <w:spacing w:val="-5"/>
          </w:rPr>
          <w:t>3.</w:t>
        </w:r>
      </w:hyperlink>
    </w:p>
    <w:p w:rsidR="00C31389" w:rsidRDefault="00C31389" w14:paraId="73D57386" w14:textId="77777777">
      <w:pPr>
        <w:pStyle w:val="BodyText"/>
        <w:spacing w:before="10"/>
        <w:rPr>
          <w:sz w:val="20"/>
        </w:rPr>
      </w:pPr>
    </w:p>
    <w:p w:rsidR="00C31389" w:rsidRDefault="00561FBD" w14:paraId="5EBDC301" w14:textId="77777777">
      <w:pPr>
        <w:pStyle w:val="Heading7"/>
        <w:ind w:left="398" w:right="339"/>
        <w:jc w:val="center"/>
      </w:pPr>
      <w:bookmarkStart w:name="_bookmark516" w:id="671"/>
      <w:bookmarkEnd w:id="671"/>
      <w:r>
        <w:t>Equation</w:t>
      </w:r>
      <w:r>
        <w:rPr>
          <w:spacing w:val="-9"/>
        </w:rPr>
        <w:t xml:space="preserve"> </w:t>
      </w:r>
      <w:r>
        <w:t>H-3.</w:t>
      </w:r>
      <w:r>
        <w:rPr>
          <w:spacing w:val="-8"/>
        </w:rPr>
        <w:t xml:space="preserve"> </w:t>
      </w:r>
      <w:r>
        <w:t>Decision</w:t>
      </w:r>
      <w:r>
        <w:rPr>
          <w:spacing w:val="-9"/>
        </w:rPr>
        <w:t xml:space="preserve"> </w:t>
      </w:r>
      <w:r>
        <w:t>Model</w:t>
      </w:r>
      <w:r>
        <w:rPr>
          <w:spacing w:val="-8"/>
        </w:rPr>
        <w:t xml:space="preserve"> </w:t>
      </w:r>
      <w:r>
        <w:t>Market</w:t>
      </w:r>
      <w:r>
        <w:rPr>
          <w:spacing w:val="-8"/>
        </w:rPr>
        <w:t xml:space="preserve"> </w:t>
      </w:r>
      <w:r>
        <w:t>Share</w:t>
      </w:r>
      <w:r>
        <w:rPr>
          <w:spacing w:val="-8"/>
        </w:rPr>
        <w:t xml:space="preserve"> </w:t>
      </w:r>
      <w:r>
        <w:rPr>
          <w:spacing w:val="-2"/>
        </w:rPr>
        <w:t>Calculation</w:t>
      </w:r>
    </w:p>
    <w:p w:rsidR="00C31389" w:rsidRDefault="00561FBD" w14:paraId="30EEE9C9" w14:textId="77777777">
      <w:pPr>
        <w:spacing w:before="115" w:line="191" w:lineRule="exact"/>
        <w:ind w:left="2746" w:right="746"/>
        <w:jc w:val="center"/>
        <w:rPr>
          <w:rFonts w:ascii="Cambria Math" w:hAnsi="Cambria Math" w:eastAsia="Cambria Math"/>
          <w:sz w:val="13"/>
        </w:rPr>
      </w:pPr>
      <w:r>
        <w:rPr>
          <w:rFonts w:ascii="Cambria Math" w:hAnsi="Cambria Math" w:eastAsia="Cambria Math"/>
          <w:spacing w:val="-2"/>
          <w:w w:val="75"/>
          <w:position w:val="-11"/>
        </w:rPr>
        <w:t>𝑆𝑆</w:t>
      </w:r>
      <w:r>
        <w:rPr>
          <w:rFonts w:ascii="Cambria Math" w:hAnsi="Cambria Math" w:eastAsia="Cambria Math"/>
          <w:spacing w:val="-2"/>
          <w:w w:val="75"/>
          <w:sz w:val="16"/>
        </w:rPr>
        <w:t>−</w:t>
      </w:r>
      <w:r>
        <w:rPr>
          <w:rFonts w:ascii="Cambria Math" w:hAnsi="Cambria Math" w:eastAsia="Cambria Math"/>
          <w:spacing w:val="-2"/>
          <w:w w:val="75"/>
          <w:sz w:val="16"/>
        </w:rPr>
        <w:t>β</w:t>
      </w:r>
      <w:r>
        <w:rPr>
          <w:rFonts w:ascii="Cambria Math" w:hAnsi="Cambria Math" w:eastAsia="Cambria Math"/>
          <w:spacing w:val="-2"/>
          <w:w w:val="75"/>
          <w:sz w:val="16"/>
        </w:rPr>
        <w:t>𝐴𝐴</w:t>
      </w:r>
      <w:r>
        <w:rPr>
          <w:rFonts w:ascii="Cambria Math" w:hAnsi="Cambria Math" w:eastAsia="Cambria Math"/>
          <w:spacing w:val="-2"/>
          <w:w w:val="75"/>
          <w:position w:val="-2"/>
          <w:sz w:val="13"/>
        </w:rPr>
        <w:t>𝑡𝑡</w:t>
      </w:r>
    </w:p>
    <w:p w:rsidR="00C31389" w:rsidRDefault="00C31389" w14:paraId="588B977D" w14:textId="77777777">
      <w:pPr>
        <w:spacing w:line="191" w:lineRule="exact"/>
        <w:jc w:val="center"/>
        <w:rPr>
          <w:rFonts w:ascii="Cambria Math" w:hAnsi="Cambria Math" w:eastAsia="Cambria Math"/>
          <w:sz w:val="13"/>
        </w:rPr>
        <w:sectPr w:rsidR="00C31389">
          <w:pgSz w:w="11910" w:h="16840"/>
          <w:pgMar w:top="1660" w:right="1020" w:bottom="1120" w:left="960" w:header="397" w:footer="938" w:gutter="0"/>
          <w:cols w:space="720"/>
        </w:sectPr>
      </w:pPr>
    </w:p>
    <w:p w:rsidR="00C31389" w:rsidRDefault="00561FBD" w14:paraId="7E3F7D95" w14:textId="77777777">
      <w:pPr>
        <w:pStyle w:val="BodyText"/>
        <w:spacing w:before="25"/>
        <w:ind w:left="3579"/>
        <w:rPr>
          <w:rFonts w:ascii="Cambria Math" w:eastAsia="Cambria Math"/>
        </w:rPr>
      </w:pPr>
      <w:r>
        <w:rPr>
          <w:rFonts w:ascii="Cambria Math" w:eastAsia="Cambria Math"/>
          <w:w w:val="45"/>
        </w:rPr>
        <w:t>𝑀𝑀𝑇𝑇𝐸𝐸𝑀𝑀𝑆𝑆𝑇𝑇𝑆𝑆</w:t>
      </w:r>
      <w:r>
        <w:rPr>
          <w:rFonts w:ascii="Cambria Math" w:eastAsia="Cambria Math"/>
          <w:w w:val="45"/>
        </w:rPr>
        <w:t>h</w:t>
      </w:r>
      <w:r>
        <w:rPr>
          <w:rFonts w:ascii="Cambria Math" w:eastAsia="Cambria Math"/>
          <w:w w:val="45"/>
        </w:rPr>
        <w:t>𝑇𝑇𝐸𝐸𝑆𝑆</w:t>
      </w:r>
      <w:r>
        <w:rPr>
          <w:rFonts w:ascii="Cambria Math" w:eastAsia="Cambria Math"/>
          <w:w w:val="45"/>
          <w:position w:val="1"/>
        </w:rPr>
        <w:t>(</w:t>
      </w:r>
      <w:r>
        <w:rPr>
          <w:rFonts w:ascii="Cambria Math" w:eastAsia="Cambria Math"/>
          <w:w w:val="45"/>
        </w:rPr>
        <w:t>𝑇𝑇</w:t>
      </w:r>
      <w:r>
        <w:rPr>
          <w:rFonts w:ascii="Cambria Math" w:eastAsia="Cambria Math"/>
          <w:w w:val="45"/>
          <w:position w:val="1"/>
        </w:rPr>
        <w:t>)</w:t>
      </w:r>
      <w:r>
        <w:rPr>
          <w:rFonts w:ascii="Cambria Math" w:eastAsia="Cambria Math"/>
          <w:spacing w:val="69"/>
          <w:position w:val="1"/>
        </w:rPr>
        <w:t xml:space="preserve"> </w:t>
      </w:r>
      <w:r>
        <w:rPr>
          <w:rFonts w:ascii="Cambria Math" w:eastAsia="Cambria Math"/>
          <w:spacing w:val="-10"/>
          <w:w w:val="80"/>
        </w:rPr>
        <w:t>=</w:t>
      </w:r>
    </w:p>
    <w:p w:rsidR="00C31389" w:rsidRDefault="00561FBD" w14:paraId="64C1C1E6" w14:textId="77777777">
      <w:pPr>
        <w:tabs>
          <w:tab w:val="left" w:pos="384"/>
          <w:tab w:val="left" w:pos="975"/>
        </w:tabs>
        <w:spacing w:line="178" w:lineRule="exact"/>
        <w:ind w:left="106"/>
        <w:rPr>
          <w:rFonts w:ascii="Cambria Math" w:eastAsia="Cambria Math"/>
          <w:sz w:val="16"/>
        </w:rPr>
      </w:pPr>
      <w:r>
        <w:br w:type="column"/>
      </w:r>
      <w:r>
        <w:rPr>
          <w:rFonts w:ascii="Times New Roman" w:eastAsia="Times New Roman"/>
          <w:w w:val="99"/>
          <w:sz w:val="16"/>
          <w:u w:val="single"/>
        </w:rPr>
        <w:t xml:space="preserve"> </w:t>
      </w:r>
      <w:r>
        <w:rPr>
          <w:rFonts w:ascii="Times New Roman" w:eastAsia="Times New Roman"/>
          <w:sz w:val="16"/>
          <w:u w:val="single"/>
        </w:rPr>
        <w:tab/>
      </w:r>
      <w:r>
        <w:rPr>
          <w:rFonts w:ascii="Cambria Math" w:eastAsia="Cambria Math"/>
          <w:spacing w:val="28"/>
          <w:w w:val="35"/>
          <w:sz w:val="16"/>
          <w:u w:val="single"/>
        </w:rPr>
        <w:t>𝑉</w:t>
      </w:r>
      <w:r>
        <w:rPr>
          <w:rFonts w:ascii="Cambria Math" w:eastAsia="Cambria Math"/>
          <w:sz w:val="16"/>
          <w:u w:val="single"/>
        </w:rPr>
        <w:t xml:space="preserve">              </w:t>
      </w:r>
      <w:r>
        <w:rPr>
          <w:rFonts w:ascii="Cambria Math" w:eastAsia="Cambria Math"/>
          <w:w w:val="35"/>
          <w:sz w:val="16"/>
          <w:u w:val="single"/>
        </w:rPr>
        <w:t>𝑉</w:t>
      </w:r>
      <w:r>
        <w:rPr>
          <w:rFonts w:ascii="Cambria Math" w:eastAsia="Cambria Math"/>
          <w:sz w:val="16"/>
          <w:u w:val="single"/>
        </w:rPr>
        <w:tab/>
      </w:r>
    </w:p>
    <w:p w:rsidR="00C31389" w:rsidRDefault="00561FBD" w14:paraId="78388FA9" w14:textId="77777777">
      <w:pPr>
        <w:spacing w:line="190" w:lineRule="exact"/>
        <w:ind w:left="106"/>
        <w:rPr>
          <w:rFonts w:ascii="Cambria Math" w:hAnsi="Cambria Math" w:eastAsia="Cambria Math"/>
          <w:sz w:val="13"/>
        </w:rPr>
      </w:pPr>
      <w:r>
        <w:rPr>
          <w:rFonts w:ascii="Cambria Math" w:hAnsi="Cambria Math" w:eastAsia="Cambria Math"/>
          <w:w w:val="65"/>
          <w:position w:val="-10"/>
        </w:rPr>
        <w:t>∑</w:t>
      </w:r>
      <w:r>
        <w:rPr>
          <w:rFonts w:ascii="Cambria Math" w:hAnsi="Cambria Math" w:eastAsia="Cambria Math"/>
          <w:w w:val="65"/>
          <w:position w:val="-2"/>
          <w:sz w:val="16"/>
        </w:rPr>
        <w:t>𝑛𝑛</w:t>
      </w:r>
      <w:r>
        <w:rPr>
          <w:rFonts w:ascii="Cambria Math" w:hAnsi="Cambria Math" w:eastAsia="Cambria Math"/>
          <w:spacing w:val="1"/>
          <w:position w:val="-2"/>
          <w:sz w:val="16"/>
        </w:rPr>
        <w:t xml:space="preserve"> </w:t>
      </w:r>
      <w:r>
        <w:rPr>
          <w:rFonts w:ascii="Cambria Math" w:hAnsi="Cambria Math" w:eastAsia="Cambria Math"/>
          <w:w w:val="65"/>
          <w:position w:val="-11"/>
        </w:rPr>
        <w:t>𝑆𝑆</w:t>
      </w:r>
      <w:r>
        <w:rPr>
          <w:rFonts w:ascii="Cambria Math" w:hAnsi="Cambria Math" w:eastAsia="Cambria Math"/>
          <w:spacing w:val="12"/>
          <w:position w:val="-11"/>
        </w:rPr>
        <w:t xml:space="preserve"> </w:t>
      </w:r>
      <w:r>
        <w:rPr>
          <w:rFonts w:ascii="Cambria Math" w:hAnsi="Cambria Math" w:eastAsia="Cambria Math"/>
          <w:spacing w:val="-2"/>
          <w:w w:val="65"/>
          <w:sz w:val="16"/>
        </w:rPr>
        <w:t>−</w:t>
      </w:r>
      <w:r>
        <w:rPr>
          <w:rFonts w:ascii="Cambria Math" w:hAnsi="Cambria Math" w:eastAsia="Cambria Math"/>
          <w:spacing w:val="-2"/>
          <w:w w:val="65"/>
          <w:sz w:val="16"/>
        </w:rPr>
        <w:t>𝛽𝛽𝐴𝐴</w:t>
      </w:r>
      <w:r>
        <w:rPr>
          <w:rFonts w:ascii="Cambria Math" w:hAnsi="Cambria Math" w:eastAsia="Cambria Math"/>
          <w:spacing w:val="-2"/>
          <w:w w:val="65"/>
          <w:position w:val="-2"/>
          <w:sz w:val="13"/>
        </w:rPr>
        <w:t>𝑖𝑖</w:t>
      </w:r>
    </w:p>
    <w:p w:rsidR="00C31389" w:rsidRDefault="00C31389" w14:paraId="2CEC30F2" w14:textId="77777777">
      <w:pPr>
        <w:spacing w:line="190" w:lineRule="exact"/>
        <w:rPr>
          <w:rFonts w:ascii="Cambria Math" w:hAnsi="Cambria Math" w:eastAsia="Cambria Math"/>
          <w:sz w:val="13"/>
        </w:rPr>
        <w:sectPr w:rsidR="00C31389">
          <w:type w:val="continuous"/>
          <w:pgSz w:w="11910" w:h="16840"/>
          <w:pgMar w:top="0" w:right="1020" w:bottom="280" w:left="960" w:header="397" w:footer="938" w:gutter="0"/>
          <w:cols w:equalWidth="0" w:space="720" w:num="2">
            <w:col w:w="5390" w:space="40"/>
            <w:col w:w="4500"/>
          </w:cols>
        </w:sectPr>
      </w:pPr>
    </w:p>
    <w:p w:rsidR="00C31389" w:rsidRDefault="00C31389" w14:paraId="7C1E72C7" w14:textId="77777777">
      <w:pPr>
        <w:pStyle w:val="BodyText"/>
        <w:spacing w:before="9"/>
        <w:rPr>
          <w:rFonts w:ascii="Cambria Math"/>
          <w:sz w:val="25"/>
        </w:rPr>
      </w:pPr>
    </w:p>
    <w:p w:rsidR="00C31389" w:rsidRDefault="00561FBD" w14:paraId="37262558" w14:textId="77777777">
      <w:pPr>
        <w:pStyle w:val="BodyText"/>
        <w:spacing w:before="1"/>
        <w:ind w:left="480"/>
      </w:pPr>
      <w:r>
        <w:rPr>
          <w:spacing w:val="-2"/>
        </w:rPr>
        <w:t>Where:</w:t>
      </w:r>
    </w:p>
    <w:p w:rsidR="00C31389" w:rsidRDefault="00561FBD" w14:paraId="4D736DEB" w14:textId="77777777">
      <w:pPr>
        <w:pStyle w:val="BodyText"/>
        <w:spacing w:before="127" w:line="230" w:lineRule="auto"/>
        <w:ind w:left="479" w:firstLine="48"/>
      </w:pPr>
      <w:r>
        <w:rPr>
          <w:rFonts w:ascii="Cambria Math" w:eastAsia="Cambria Math"/>
          <w:w w:val="80"/>
        </w:rPr>
        <w:t>𝐵𝐵</w:t>
      </w:r>
      <w:r>
        <w:rPr>
          <w:rFonts w:ascii="Cambria Math" w:eastAsia="Cambria Math"/>
          <w:spacing w:val="-6"/>
        </w:rPr>
        <w:t xml:space="preserve"> </w:t>
      </w:r>
      <w:r>
        <w:rPr>
          <w:rFonts w:ascii="Cambria Math" w:eastAsia="Cambria Math"/>
        </w:rPr>
        <w:t>=</w:t>
      </w:r>
      <w:r>
        <w:rPr>
          <w:rFonts w:ascii="Cambria Math" w:eastAsia="Cambria Math"/>
          <w:spacing w:val="-9"/>
        </w:rPr>
        <w:t xml:space="preserve"> </w:t>
      </w:r>
      <w:r>
        <w:t>Number</w:t>
      </w:r>
      <w:r>
        <w:rPr>
          <w:spacing w:val="-15"/>
        </w:rPr>
        <w:t xml:space="preserve"> </w:t>
      </w:r>
      <w:r>
        <w:t>of</w:t>
      </w:r>
      <w:r>
        <w:rPr>
          <w:spacing w:val="-15"/>
        </w:rPr>
        <w:t xml:space="preserve"> </w:t>
      </w:r>
      <w:r>
        <w:t>technologies</w:t>
      </w:r>
      <w:r>
        <w:rPr>
          <w:spacing w:val="-16"/>
        </w:rPr>
        <w:t xml:space="preserve"> </w:t>
      </w:r>
      <w:r>
        <w:t>in</w:t>
      </w:r>
      <w:r>
        <w:rPr>
          <w:spacing w:val="-15"/>
        </w:rPr>
        <w:t xml:space="preserve"> </w:t>
      </w:r>
      <w:r>
        <w:t>competition</w:t>
      </w:r>
      <w:r>
        <w:rPr>
          <w:spacing w:val="-15"/>
        </w:rPr>
        <w:t xml:space="preserve"> </w:t>
      </w:r>
      <w:r>
        <w:t xml:space="preserve">group </w:t>
      </w:r>
      <w:r>
        <w:rPr>
          <w:rFonts w:ascii="Cambria" w:eastAsia="Cambria"/>
          <w:i/>
          <w:sz w:val="23"/>
        </w:rPr>
        <w:t xml:space="preserve">n = </w:t>
      </w:r>
      <w:r>
        <w:t>Number of technologies in competition group</w:t>
      </w:r>
      <w:r>
        <w:rPr>
          <w:spacing w:val="40"/>
          <w:w w:val="105"/>
        </w:rPr>
        <w:t xml:space="preserve"> </w:t>
      </w:r>
      <w:r>
        <w:rPr>
          <w:rFonts w:ascii="Cambria" w:eastAsia="Cambria"/>
          <w:i/>
          <w:w w:val="105"/>
          <w:sz w:val="23"/>
        </w:rPr>
        <w:t xml:space="preserve">t = </w:t>
      </w:r>
      <w:r>
        <w:rPr>
          <w:w w:val="105"/>
        </w:rPr>
        <w:t>Technology of interest</w:t>
      </w:r>
    </w:p>
    <w:p w:rsidR="00C31389" w:rsidRDefault="00561FBD" w14:paraId="604CBF1D" w14:textId="77777777">
      <w:pPr>
        <w:spacing w:line="177" w:lineRule="exact"/>
        <w:ind w:left="340"/>
        <w:rPr>
          <w:rFonts w:ascii="Cambria Math" w:eastAsia="Cambria Math"/>
          <w:sz w:val="16"/>
        </w:rPr>
      </w:pPr>
      <w:r>
        <w:br w:type="column"/>
      </w:r>
      <w:r>
        <w:rPr>
          <w:rFonts w:ascii="Cambria Math" w:eastAsia="Cambria Math"/>
          <w:w w:val="65"/>
          <w:sz w:val="16"/>
        </w:rPr>
        <w:t>𝑖𝑖</w:t>
      </w:r>
      <w:r>
        <w:rPr>
          <w:rFonts w:ascii="Cambria Math" w:eastAsia="Cambria Math"/>
          <w:spacing w:val="53"/>
          <w:sz w:val="16"/>
        </w:rPr>
        <w:t xml:space="preserve">  </w:t>
      </w:r>
      <w:r>
        <w:rPr>
          <w:rFonts w:ascii="Cambria Math" w:eastAsia="Cambria Math"/>
          <w:spacing w:val="-5"/>
          <w:w w:val="65"/>
          <w:position w:val="2"/>
          <w:sz w:val="16"/>
        </w:rPr>
        <w:t>𝑖𝑖</w:t>
      </w:r>
    </w:p>
    <w:p w:rsidR="00C31389" w:rsidRDefault="00C31389" w14:paraId="7B4CA734" w14:textId="77777777">
      <w:pPr>
        <w:spacing w:line="177" w:lineRule="exact"/>
        <w:rPr>
          <w:rFonts w:ascii="Cambria Math" w:eastAsia="Cambria Math"/>
          <w:sz w:val="16"/>
        </w:rPr>
        <w:sectPr w:rsidR="00C31389">
          <w:type w:val="continuous"/>
          <w:pgSz w:w="11910" w:h="16840"/>
          <w:pgMar w:top="0" w:right="1020" w:bottom="280" w:left="960" w:header="397" w:footer="938" w:gutter="0"/>
          <w:cols w:equalWidth="0" w:space="720" w:num="2">
            <w:col w:w="5313" w:space="40"/>
            <w:col w:w="4577"/>
          </w:cols>
        </w:sectPr>
      </w:pPr>
    </w:p>
    <w:p w:rsidR="00C31389" w:rsidRDefault="00C31389" w14:paraId="46B776C4" w14:textId="77777777">
      <w:pPr>
        <w:pStyle w:val="BodyText"/>
        <w:spacing w:before="10"/>
        <w:rPr>
          <w:rFonts w:ascii="Cambria Math"/>
          <w:sz w:val="13"/>
        </w:rPr>
      </w:pPr>
    </w:p>
    <w:p w:rsidR="00C31389" w:rsidRDefault="00561FBD" w14:paraId="0754273B" w14:textId="77777777">
      <w:pPr>
        <w:pStyle w:val="BodyText"/>
        <w:spacing w:before="81"/>
        <w:ind w:left="480" w:right="419" w:hanging="1"/>
      </w:pPr>
      <w:r>
        <w:rPr>
          <w:rFonts w:ascii="Cambria Math" w:hAnsi="Cambria Math"/>
          <w:i/>
          <w:w w:val="105"/>
          <w:sz w:val="23"/>
        </w:rPr>
        <w:t>β</w:t>
      </w:r>
      <w:r>
        <w:rPr>
          <w:rFonts w:ascii="Cambria Math" w:hAnsi="Cambria Math"/>
          <w:i/>
          <w:spacing w:val="9"/>
          <w:w w:val="105"/>
          <w:sz w:val="23"/>
        </w:rPr>
        <w:t xml:space="preserve"> </w:t>
      </w:r>
      <w:r>
        <w:rPr>
          <w:rFonts w:ascii="Cambria" w:hAnsi="Cambria"/>
          <w:i/>
          <w:w w:val="105"/>
          <w:sz w:val="23"/>
        </w:rPr>
        <w:t>=</w:t>
      </w:r>
      <w:r>
        <w:rPr>
          <w:rFonts w:ascii="Cambria" w:hAnsi="Cambria"/>
          <w:i/>
          <w:spacing w:val="9"/>
          <w:w w:val="105"/>
          <w:sz w:val="23"/>
        </w:rPr>
        <w:t xml:space="preserve"> </w:t>
      </w:r>
      <w:r>
        <w:rPr>
          <w:w w:val="105"/>
        </w:rPr>
        <w:t>Customer</w:t>
      </w:r>
      <w:r>
        <w:rPr>
          <w:spacing w:val="11"/>
          <w:w w:val="105"/>
        </w:rPr>
        <w:t xml:space="preserve"> </w:t>
      </w:r>
      <w:r>
        <w:rPr>
          <w:w w:val="105"/>
        </w:rPr>
        <w:t>group</w:t>
      </w:r>
      <w:r>
        <w:rPr>
          <w:spacing w:val="12"/>
          <w:w w:val="105"/>
        </w:rPr>
        <w:t xml:space="preserve"> </w:t>
      </w:r>
      <w:r>
        <w:rPr>
          <w:w w:val="105"/>
        </w:rPr>
        <w:t>sensitivity</w:t>
      </w:r>
      <w:r>
        <w:rPr>
          <w:spacing w:val="11"/>
          <w:w w:val="105"/>
        </w:rPr>
        <w:t xml:space="preserve"> </w:t>
      </w:r>
      <w:r>
        <w:rPr>
          <w:w w:val="105"/>
        </w:rPr>
        <w:t>to</w:t>
      </w:r>
      <w:r>
        <w:rPr>
          <w:spacing w:val="11"/>
          <w:w w:val="105"/>
        </w:rPr>
        <w:t xml:space="preserve"> </w:t>
      </w:r>
      <w:r>
        <w:rPr>
          <w:w w:val="105"/>
        </w:rPr>
        <w:t>differences</w:t>
      </w:r>
      <w:r>
        <w:rPr>
          <w:spacing w:val="11"/>
          <w:w w:val="105"/>
        </w:rPr>
        <w:t xml:space="preserve"> </w:t>
      </w:r>
      <w:r>
        <w:rPr>
          <w:w w:val="105"/>
        </w:rPr>
        <w:t>in</w:t>
      </w:r>
      <w:r>
        <w:rPr>
          <w:spacing w:val="11"/>
          <w:w w:val="105"/>
        </w:rPr>
        <w:t xml:space="preserve"> </w:t>
      </w:r>
      <w:r>
        <w:rPr>
          <w:w w:val="105"/>
        </w:rPr>
        <w:t>technology</w:t>
      </w:r>
      <w:r>
        <w:rPr>
          <w:spacing w:val="11"/>
          <w:w w:val="105"/>
        </w:rPr>
        <w:t xml:space="preserve"> </w:t>
      </w:r>
      <w:r>
        <w:rPr>
          <w:w w:val="105"/>
        </w:rPr>
        <w:t>characteristics</w:t>
      </w:r>
      <w:r>
        <w:rPr>
          <w:spacing w:val="12"/>
          <w:w w:val="105"/>
        </w:rPr>
        <w:t xml:space="preserve"> </w:t>
      </w:r>
      <w:r>
        <w:rPr>
          <w:w w:val="105"/>
        </w:rPr>
        <w:t>(or</w:t>
      </w:r>
      <w:r>
        <w:rPr>
          <w:spacing w:val="11"/>
          <w:w w:val="105"/>
        </w:rPr>
        <w:t xml:space="preserve"> </w:t>
      </w:r>
      <w:r>
        <w:rPr>
          <w:w w:val="105"/>
        </w:rPr>
        <w:t>customer preference weighting)</w:t>
      </w:r>
    </w:p>
    <w:p w:rsidR="00C31389" w:rsidRDefault="00561FBD" w14:paraId="4271B6BC" w14:textId="77777777">
      <w:pPr>
        <w:pStyle w:val="BodyText"/>
        <w:spacing w:line="258" w:lineRule="exact"/>
        <w:ind w:left="480"/>
      </w:pPr>
      <w:r>
        <w:rPr>
          <w:rFonts w:ascii="Cambria"/>
          <w:i/>
          <w:sz w:val="23"/>
        </w:rPr>
        <w:t>A</w:t>
      </w:r>
      <w:r>
        <w:rPr>
          <w:rFonts w:ascii="Cambria"/>
          <w:i/>
          <w:spacing w:val="-4"/>
          <w:sz w:val="23"/>
        </w:rPr>
        <w:t xml:space="preserve"> </w:t>
      </w:r>
      <w:r>
        <w:rPr>
          <w:rFonts w:ascii="Cambria"/>
          <w:i/>
          <w:sz w:val="23"/>
        </w:rPr>
        <w:t>=</w:t>
      </w:r>
      <w:r>
        <w:rPr>
          <w:rFonts w:ascii="Cambria"/>
          <w:i/>
          <w:spacing w:val="-3"/>
          <w:sz w:val="23"/>
        </w:rPr>
        <w:t xml:space="preserve"> </w:t>
      </w:r>
      <w:r>
        <w:t>Weighted</w:t>
      </w:r>
      <w:r>
        <w:rPr>
          <w:spacing w:val="-1"/>
        </w:rPr>
        <w:t xml:space="preserve"> </w:t>
      </w:r>
      <w:r>
        <w:t>average, dimensionless</w:t>
      </w:r>
      <w:r>
        <w:rPr>
          <w:spacing w:val="-1"/>
        </w:rPr>
        <w:t xml:space="preserve"> </w:t>
      </w:r>
      <w:r>
        <w:t xml:space="preserve">technology </w:t>
      </w:r>
      <w:r>
        <w:rPr>
          <w:spacing w:val="-2"/>
        </w:rPr>
        <w:t>characteristic</w:t>
      </w:r>
    </w:p>
    <w:p w:rsidR="00C31389" w:rsidRDefault="00C31389" w14:paraId="1F7C1BE5" w14:textId="77777777">
      <w:pPr>
        <w:spacing w:line="258" w:lineRule="exact"/>
        <w:sectPr w:rsidR="00C31389">
          <w:pgSz w:w="11910" w:h="16840"/>
          <w:pgMar w:top="1660" w:right="1020" w:bottom="1120" w:left="960" w:header="397" w:footer="938" w:gutter="0"/>
          <w:cols w:space="720"/>
        </w:sectPr>
      </w:pPr>
    </w:p>
    <w:p w:rsidR="00C31389" w:rsidRDefault="00C31389" w14:paraId="7746F29C" w14:textId="77777777">
      <w:pPr>
        <w:pStyle w:val="BodyText"/>
        <w:spacing w:before="7"/>
        <w:rPr>
          <w:sz w:val="24"/>
        </w:rPr>
      </w:pPr>
    </w:p>
    <w:p w:rsidR="00C31389" w:rsidRDefault="00561FBD" w14:paraId="77D64361" w14:textId="77777777">
      <w:pPr>
        <w:spacing w:before="90"/>
        <w:ind w:left="480"/>
        <w:rPr>
          <w:b/>
          <w:sz w:val="32"/>
        </w:rPr>
      </w:pPr>
      <w:bookmarkStart w:name="Appendix_I._Cost-Effectiveness_Analysis_" w:id="672"/>
      <w:bookmarkStart w:name="_bookmark517" w:id="673"/>
      <w:bookmarkEnd w:id="672"/>
      <w:bookmarkEnd w:id="673"/>
      <w:r>
        <w:rPr>
          <w:b/>
          <w:sz w:val="32"/>
        </w:rPr>
        <w:t>Appendix</w:t>
      </w:r>
      <w:r>
        <w:rPr>
          <w:b/>
          <w:spacing w:val="-7"/>
          <w:sz w:val="32"/>
        </w:rPr>
        <w:t xml:space="preserve"> </w:t>
      </w:r>
      <w:r>
        <w:rPr>
          <w:b/>
          <w:sz w:val="32"/>
        </w:rPr>
        <w:t>I.</w:t>
      </w:r>
      <w:r>
        <w:rPr>
          <w:b/>
          <w:spacing w:val="-7"/>
          <w:sz w:val="32"/>
        </w:rPr>
        <w:t xml:space="preserve"> </w:t>
      </w:r>
      <w:r>
        <w:rPr>
          <w:b/>
          <w:sz w:val="32"/>
        </w:rPr>
        <w:t>Cost-Effectiveness</w:t>
      </w:r>
      <w:r>
        <w:rPr>
          <w:b/>
          <w:spacing w:val="-18"/>
          <w:sz w:val="32"/>
        </w:rPr>
        <w:t xml:space="preserve"> </w:t>
      </w:r>
      <w:r>
        <w:rPr>
          <w:b/>
          <w:sz w:val="32"/>
        </w:rPr>
        <w:t>Analysis</w:t>
      </w:r>
      <w:r>
        <w:rPr>
          <w:b/>
          <w:spacing w:val="-7"/>
          <w:sz w:val="32"/>
        </w:rPr>
        <w:t xml:space="preserve"> </w:t>
      </w:r>
      <w:r>
        <w:rPr>
          <w:b/>
          <w:spacing w:val="-2"/>
          <w:sz w:val="32"/>
        </w:rPr>
        <w:t>Methodology</w:t>
      </w:r>
    </w:p>
    <w:p w:rsidR="00C31389" w:rsidRDefault="00C31389" w14:paraId="71E3D20D" w14:textId="77777777">
      <w:pPr>
        <w:pStyle w:val="BodyText"/>
        <w:spacing w:before="3"/>
        <w:rPr>
          <w:b/>
          <w:sz w:val="31"/>
        </w:rPr>
      </w:pPr>
    </w:p>
    <w:p w:rsidR="00C31389" w:rsidRDefault="00561FBD" w14:paraId="4BFE39A1" w14:textId="77777777">
      <w:pPr>
        <w:pStyle w:val="BodyText"/>
        <w:ind w:left="480" w:right="418" w:hanging="1"/>
      </w:pPr>
      <w:r>
        <w:t>Assessing</w:t>
      </w:r>
      <w:r>
        <w:rPr>
          <w:spacing w:val="-4"/>
        </w:rPr>
        <w:t xml:space="preserve"> </w:t>
      </w:r>
      <w:r>
        <w:t>cost-effectiveness</w:t>
      </w:r>
      <w:r>
        <w:rPr>
          <w:spacing w:val="-3"/>
        </w:rPr>
        <w:t xml:space="preserve"> </w:t>
      </w:r>
      <w:r>
        <w:t>for</w:t>
      </w:r>
      <w:r>
        <w:rPr>
          <w:spacing w:val="-3"/>
        </w:rPr>
        <w:t xml:space="preserve"> </w:t>
      </w:r>
      <w:r>
        <w:t>each</w:t>
      </w:r>
      <w:r>
        <w:rPr>
          <w:spacing w:val="-3"/>
        </w:rPr>
        <w:t xml:space="preserve"> </w:t>
      </w:r>
      <w:r>
        <w:t>measure</w:t>
      </w:r>
      <w:r>
        <w:rPr>
          <w:spacing w:val="-3"/>
        </w:rPr>
        <w:t xml:space="preserve"> </w:t>
      </w:r>
      <w:r>
        <w:t>is</w:t>
      </w:r>
      <w:r>
        <w:rPr>
          <w:spacing w:val="-3"/>
        </w:rPr>
        <w:t xml:space="preserve"> </w:t>
      </w:r>
      <w:r>
        <w:t>a</w:t>
      </w:r>
      <w:r>
        <w:rPr>
          <w:spacing w:val="-3"/>
        </w:rPr>
        <w:t xml:space="preserve"> </w:t>
      </w:r>
      <w:r>
        <w:t>core</w:t>
      </w:r>
      <w:r>
        <w:rPr>
          <w:spacing w:val="-3"/>
        </w:rPr>
        <w:t xml:space="preserve"> </w:t>
      </w:r>
      <w:r>
        <w:t>element</w:t>
      </w:r>
      <w:r>
        <w:rPr>
          <w:spacing w:val="-3"/>
        </w:rPr>
        <w:t xml:space="preserve"> </w:t>
      </w:r>
      <w:r>
        <w:t>to</w:t>
      </w:r>
      <w:r>
        <w:rPr>
          <w:spacing w:val="-3"/>
        </w:rPr>
        <w:t xml:space="preserve"> </w:t>
      </w:r>
      <w:r>
        <w:t>the</w:t>
      </w:r>
      <w:r>
        <w:rPr>
          <w:spacing w:val="-3"/>
        </w:rPr>
        <w:t xml:space="preserve"> </w:t>
      </w:r>
      <w:r>
        <w:t>2023</w:t>
      </w:r>
      <w:r>
        <w:rPr>
          <w:spacing w:val="-3"/>
        </w:rPr>
        <w:t xml:space="preserve"> </w:t>
      </w:r>
      <w:r>
        <w:t>Study.</w:t>
      </w:r>
      <w:r>
        <w:rPr>
          <w:spacing w:val="-4"/>
        </w:rPr>
        <w:t xml:space="preserve"> </w:t>
      </w:r>
      <w:r>
        <w:t>Cost- effectiveness at the measure level drives multiple critical outputs of the study:</w:t>
      </w:r>
    </w:p>
    <w:p w:rsidR="00C31389" w:rsidRDefault="00561FBD" w14:paraId="72F5A788" w14:textId="77777777">
      <w:pPr>
        <w:pStyle w:val="ListParagraph"/>
        <w:numPr>
          <w:ilvl w:val="0"/>
          <w:numId w:val="8"/>
        </w:numPr>
        <w:tabs>
          <w:tab w:val="left" w:pos="1199"/>
        </w:tabs>
        <w:spacing w:before="120"/>
        <w:ind w:right="825"/>
      </w:pPr>
      <w:r>
        <w:t>Cost-effectiveness of each measure determines what measures are included or excluded for each scenario—based on total resource cost (TRC) and cost- effectiveness</w:t>
      </w:r>
      <w:r>
        <w:rPr>
          <w:spacing w:val="-5"/>
        </w:rPr>
        <w:t xml:space="preserve"> </w:t>
      </w:r>
      <w:r>
        <w:t>thresholds—driving</w:t>
      </w:r>
      <w:r>
        <w:rPr>
          <w:spacing w:val="-5"/>
        </w:rPr>
        <w:t xml:space="preserve"> </w:t>
      </w:r>
      <w:r>
        <w:t>the</w:t>
      </w:r>
      <w:r>
        <w:rPr>
          <w:spacing w:val="-5"/>
        </w:rPr>
        <w:t xml:space="preserve"> </w:t>
      </w:r>
      <w:r>
        <w:t>amount</w:t>
      </w:r>
      <w:r>
        <w:rPr>
          <w:spacing w:val="-5"/>
        </w:rPr>
        <w:t xml:space="preserve"> </w:t>
      </w:r>
      <w:r>
        <w:t>of</w:t>
      </w:r>
      <w:r>
        <w:rPr>
          <w:spacing w:val="-5"/>
        </w:rPr>
        <w:t xml:space="preserve"> </w:t>
      </w:r>
      <w:r>
        <w:t>savings</w:t>
      </w:r>
      <w:r>
        <w:rPr>
          <w:spacing w:val="-6"/>
        </w:rPr>
        <w:t xml:space="preserve"> </w:t>
      </w:r>
      <w:r>
        <w:t>each</w:t>
      </w:r>
      <w:r>
        <w:rPr>
          <w:spacing w:val="-5"/>
        </w:rPr>
        <w:t xml:space="preserve"> </w:t>
      </w:r>
      <w:r>
        <w:t>scenario</w:t>
      </w:r>
      <w:r>
        <w:rPr>
          <w:spacing w:val="-5"/>
        </w:rPr>
        <w:t xml:space="preserve"> </w:t>
      </w:r>
      <w:r>
        <w:t>produces.</w:t>
      </w:r>
    </w:p>
    <w:p w:rsidR="00C31389" w:rsidRDefault="00561FBD" w14:paraId="552908A3" w14:textId="77777777">
      <w:pPr>
        <w:pStyle w:val="ListParagraph"/>
        <w:numPr>
          <w:ilvl w:val="0"/>
          <w:numId w:val="8"/>
        </w:numPr>
        <w:tabs>
          <w:tab w:val="left" w:pos="1200"/>
        </w:tabs>
        <w:spacing w:before="118"/>
        <w:ind w:left="1200" w:right="653" w:hanging="361"/>
      </w:pPr>
      <w:r>
        <w:t>Aggregation</w:t>
      </w:r>
      <w:r>
        <w:rPr>
          <w:spacing w:val="-4"/>
        </w:rPr>
        <w:t xml:space="preserve"> </w:t>
      </w:r>
      <w:r>
        <w:t>of</w:t>
      </w:r>
      <w:r>
        <w:rPr>
          <w:spacing w:val="-4"/>
        </w:rPr>
        <w:t xml:space="preserve"> </w:t>
      </w:r>
      <w:r>
        <w:t>measure-level</w:t>
      </w:r>
      <w:r>
        <w:rPr>
          <w:spacing w:val="-3"/>
        </w:rPr>
        <w:t xml:space="preserve"> </w:t>
      </w:r>
      <w:r>
        <w:t>cost-effectiveness</w:t>
      </w:r>
      <w:r>
        <w:rPr>
          <w:spacing w:val="-5"/>
        </w:rPr>
        <w:t xml:space="preserve"> </w:t>
      </w:r>
      <w:r>
        <w:t>data</w:t>
      </w:r>
      <w:r>
        <w:rPr>
          <w:spacing w:val="-4"/>
        </w:rPr>
        <w:t xml:space="preserve"> </w:t>
      </w:r>
      <w:r>
        <w:t>informs</w:t>
      </w:r>
      <w:r>
        <w:rPr>
          <w:spacing w:val="-4"/>
        </w:rPr>
        <w:t xml:space="preserve"> </w:t>
      </w:r>
      <w:r>
        <w:t>the</w:t>
      </w:r>
      <w:r>
        <w:rPr>
          <w:spacing w:val="-4"/>
        </w:rPr>
        <w:t xml:space="preserve"> </w:t>
      </w:r>
      <w:r>
        <w:t>study’s</w:t>
      </w:r>
      <w:r>
        <w:rPr>
          <w:spacing w:val="-5"/>
        </w:rPr>
        <w:t xml:space="preserve"> </w:t>
      </w:r>
      <w:r>
        <w:t>output</w:t>
      </w:r>
      <w:r>
        <w:rPr>
          <w:spacing w:val="-4"/>
        </w:rPr>
        <w:t xml:space="preserve"> </w:t>
      </w:r>
      <w:r>
        <w:t>for portfolio cost-effectiveness.</w:t>
      </w:r>
    </w:p>
    <w:p w:rsidR="00C31389" w:rsidRDefault="00561FBD" w14:paraId="223D355A" w14:textId="77777777">
      <w:pPr>
        <w:pStyle w:val="ListParagraph"/>
        <w:numPr>
          <w:ilvl w:val="0"/>
          <w:numId w:val="8"/>
        </w:numPr>
        <w:tabs>
          <w:tab w:val="left" w:pos="1200"/>
        </w:tabs>
        <w:spacing w:before="119"/>
        <w:ind w:left="1200" w:right="567"/>
      </w:pPr>
      <w:r>
        <w:t>Avoided</w:t>
      </w:r>
      <w:r>
        <w:rPr>
          <w:spacing w:val="-3"/>
        </w:rPr>
        <w:t xml:space="preserve"> </w:t>
      </w:r>
      <w:r>
        <w:t>cost</w:t>
      </w:r>
      <w:r>
        <w:rPr>
          <w:spacing w:val="-3"/>
        </w:rPr>
        <w:t xml:space="preserve"> </w:t>
      </w:r>
      <w:r>
        <w:t>benefits</w:t>
      </w:r>
      <w:r>
        <w:rPr>
          <w:spacing w:val="-3"/>
        </w:rPr>
        <w:t xml:space="preserve"> </w:t>
      </w:r>
      <w:r>
        <w:t>for</w:t>
      </w:r>
      <w:r>
        <w:rPr>
          <w:spacing w:val="-4"/>
        </w:rPr>
        <w:t xml:space="preserve"> </w:t>
      </w:r>
      <w:r>
        <w:t>each</w:t>
      </w:r>
      <w:r>
        <w:rPr>
          <w:spacing w:val="-3"/>
        </w:rPr>
        <w:t xml:space="preserve"> </w:t>
      </w:r>
      <w:r>
        <w:t>measure</w:t>
      </w:r>
      <w:r>
        <w:rPr>
          <w:spacing w:val="-3"/>
        </w:rPr>
        <w:t xml:space="preserve"> </w:t>
      </w:r>
      <w:r>
        <w:t>and</w:t>
      </w:r>
      <w:r>
        <w:rPr>
          <w:spacing w:val="-2"/>
        </w:rPr>
        <w:t xml:space="preserve"> </w:t>
      </w:r>
      <w:r>
        <w:t>increased</w:t>
      </w:r>
      <w:r>
        <w:rPr>
          <w:spacing w:val="-3"/>
        </w:rPr>
        <w:t xml:space="preserve"> </w:t>
      </w:r>
      <w:r>
        <w:t>supply</w:t>
      </w:r>
      <w:r>
        <w:rPr>
          <w:spacing w:val="-3"/>
        </w:rPr>
        <w:t xml:space="preserve"> </w:t>
      </w:r>
      <w:r>
        <w:t>cost</w:t>
      </w:r>
      <w:r>
        <w:rPr>
          <w:spacing w:val="-3"/>
        </w:rPr>
        <w:t xml:space="preserve"> </w:t>
      </w:r>
      <w:r>
        <w:t>for</w:t>
      </w:r>
      <w:r>
        <w:rPr>
          <w:spacing w:val="-3"/>
        </w:rPr>
        <w:t xml:space="preserve"> </w:t>
      </w:r>
      <w:r>
        <w:t>FS</w:t>
      </w:r>
      <w:r>
        <w:rPr>
          <w:spacing w:val="-3"/>
        </w:rPr>
        <w:t xml:space="preserve"> </w:t>
      </w:r>
      <w:r>
        <w:t>measures are the key inputs to calculating the total system benefit (TSB).</w:t>
      </w:r>
    </w:p>
    <w:p w:rsidR="00C31389" w:rsidRDefault="00C31389" w14:paraId="213472E6" w14:textId="77777777">
      <w:pPr>
        <w:pStyle w:val="BodyText"/>
        <w:spacing w:before="8"/>
        <w:rPr>
          <w:sz w:val="20"/>
        </w:rPr>
      </w:pPr>
    </w:p>
    <w:p w:rsidR="00C31389" w:rsidRDefault="00561FBD" w14:paraId="742893AE" w14:textId="77777777">
      <w:pPr>
        <w:pStyle w:val="BodyText"/>
        <w:ind w:left="479" w:right="615"/>
      </w:pPr>
      <w:r>
        <w:t xml:space="preserve">The </w:t>
      </w:r>
      <w:r>
        <w:t>California Public Utilities Commission (CPUC) maintains the Cost-Effectiveness Tool (CET) used by the IOUs to inform program plans and filed savings claims to evaluate program</w:t>
      </w:r>
      <w:r>
        <w:rPr>
          <w:spacing w:val="-5"/>
        </w:rPr>
        <w:t xml:space="preserve"> </w:t>
      </w:r>
      <w:r>
        <w:t>cost-effectiveness.</w:t>
      </w:r>
      <w:r>
        <w:rPr>
          <w:spacing w:val="-4"/>
        </w:rPr>
        <w:t xml:space="preserve"> </w:t>
      </w:r>
      <w:r>
        <w:t>The</w:t>
      </w:r>
      <w:r>
        <w:rPr>
          <w:spacing w:val="-4"/>
        </w:rPr>
        <w:t xml:space="preserve"> </w:t>
      </w:r>
      <w:r>
        <w:t>2023</w:t>
      </w:r>
      <w:r>
        <w:rPr>
          <w:spacing w:val="-4"/>
        </w:rPr>
        <w:t xml:space="preserve"> </w:t>
      </w:r>
      <w:r>
        <w:t>Study</w:t>
      </w:r>
      <w:r>
        <w:rPr>
          <w:spacing w:val="-4"/>
        </w:rPr>
        <w:t xml:space="preserve"> </w:t>
      </w:r>
      <w:r>
        <w:t>mirrors</w:t>
      </w:r>
      <w:r>
        <w:rPr>
          <w:spacing w:val="-4"/>
        </w:rPr>
        <w:t xml:space="preserve"> </w:t>
      </w:r>
      <w:r>
        <w:t>the</w:t>
      </w:r>
      <w:r>
        <w:rPr>
          <w:spacing w:val="-4"/>
        </w:rPr>
        <w:t xml:space="preserve"> </w:t>
      </w:r>
      <w:r>
        <w:t>CET’s</w:t>
      </w:r>
      <w:r>
        <w:rPr>
          <w:spacing w:val="-4"/>
        </w:rPr>
        <w:t xml:space="preserve"> </w:t>
      </w:r>
      <w:r>
        <w:t>calculation</w:t>
      </w:r>
      <w:r>
        <w:rPr>
          <w:spacing w:val="-5"/>
        </w:rPr>
        <w:t xml:space="preserve"> </w:t>
      </w:r>
      <w:r>
        <w:t xml:space="preserve">methodologies. </w:t>
      </w:r>
      <w:r>
        <w:t>However, the study cannot capture the full granularity that the CET does. This is a purposeful design to keep the PG Model to a reasonable size to allow it to run efficiently, both for the Guidehouse team and for stakeholders who choose to run the model.</w:t>
      </w:r>
    </w:p>
    <w:p w:rsidR="00C31389" w:rsidRDefault="00C31389" w14:paraId="53B667E8" w14:textId="77777777">
      <w:pPr>
        <w:pStyle w:val="BodyText"/>
        <w:spacing w:before="10"/>
        <w:rPr>
          <w:sz w:val="20"/>
        </w:rPr>
      </w:pPr>
    </w:p>
    <w:p w:rsidR="00C31389" w:rsidRDefault="00561FBD" w14:paraId="17BD0620" w14:textId="77777777">
      <w:pPr>
        <w:pStyle w:val="BodyText"/>
        <w:spacing w:before="1"/>
        <w:ind w:left="479"/>
      </w:pPr>
      <w:hyperlink w:history="1" w:anchor="_bookmark518">
        <w:r>
          <w:t>Table</w:t>
        </w:r>
        <w:r>
          <w:rPr>
            <w:spacing w:val="-7"/>
          </w:rPr>
          <w:t xml:space="preserve"> </w:t>
        </w:r>
        <w:r>
          <w:t>I-1</w:t>
        </w:r>
      </w:hyperlink>
      <w:r>
        <w:rPr>
          <w:spacing w:val="-7"/>
        </w:rPr>
        <w:t xml:space="preserve"> </w:t>
      </w:r>
      <w:r>
        <w:t>highlights</w:t>
      </w:r>
      <w:r>
        <w:rPr>
          <w:spacing w:val="-6"/>
        </w:rPr>
        <w:t xml:space="preserve"> </w:t>
      </w:r>
      <w:r>
        <w:t>similarities</w:t>
      </w:r>
      <w:r>
        <w:rPr>
          <w:spacing w:val="-7"/>
        </w:rPr>
        <w:t xml:space="preserve"> </w:t>
      </w:r>
      <w:r>
        <w:t>and</w:t>
      </w:r>
      <w:r>
        <w:rPr>
          <w:spacing w:val="-6"/>
        </w:rPr>
        <w:t xml:space="preserve"> </w:t>
      </w:r>
      <w:r>
        <w:t>differences</w:t>
      </w:r>
      <w:r>
        <w:rPr>
          <w:spacing w:val="-7"/>
        </w:rPr>
        <w:t xml:space="preserve"> </w:t>
      </w:r>
      <w:r>
        <w:t>between</w:t>
      </w:r>
      <w:r>
        <w:rPr>
          <w:spacing w:val="-6"/>
        </w:rPr>
        <w:t xml:space="preserve"> </w:t>
      </w:r>
      <w:r>
        <w:t>the</w:t>
      </w:r>
      <w:r>
        <w:rPr>
          <w:spacing w:val="-7"/>
        </w:rPr>
        <w:t xml:space="preserve"> </w:t>
      </w:r>
      <w:r>
        <w:t>CET</w:t>
      </w:r>
      <w:r>
        <w:rPr>
          <w:spacing w:val="-7"/>
        </w:rPr>
        <w:t xml:space="preserve"> </w:t>
      </w:r>
      <w:r>
        <w:t>and</w:t>
      </w:r>
      <w:r>
        <w:rPr>
          <w:spacing w:val="-6"/>
        </w:rPr>
        <w:t xml:space="preserve"> </w:t>
      </w:r>
      <w:r>
        <w:t>the</w:t>
      </w:r>
      <w:r>
        <w:rPr>
          <w:spacing w:val="-7"/>
        </w:rPr>
        <w:t xml:space="preserve"> </w:t>
      </w:r>
      <w:r>
        <w:t>PG</w:t>
      </w:r>
      <w:r>
        <w:rPr>
          <w:spacing w:val="-7"/>
        </w:rPr>
        <w:t xml:space="preserve"> </w:t>
      </w:r>
      <w:r>
        <w:rPr>
          <w:spacing w:val="-2"/>
        </w:rPr>
        <w:t>Model.</w:t>
      </w:r>
    </w:p>
    <w:p w:rsidR="00C31389" w:rsidRDefault="00C31389" w14:paraId="49A0C11B" w14:textId="77777777">
      <w:pPr>
        <w:pStyle w:val="BodyText"/>
        <w:spacing w:before="10"/>
        <w:rPr>
          <w:sz w:val="20"/>
        </w:rPr>
      </w:pPr>
    </w:p>
    <w:p w:rsidR="00C31389" w:rsidRDefault="00561FBD" w14:paraId="371D0D97" w14:textId="77777777">
      <w:pPr>
        <w:pStyle w:val="Heading7"/>
        <w:ind w:left="398" w:right="338"/>
        <w:jc w:val="center"/>
      </w:pPr>
      <w:bookmarkStart w:name="_bookmark518" w:id="674"/>
      <w:bookmarkEnd w:id="674"/>
      <w:r>
        <w:t>Table</w:t>
      </w:r>
      <w:r>
        <w:rPr>
          <w:spacing w:val="-6"/>
        </w:rPr>
        <w:t xml:space="preserve"> </w:t>
      </w:r>
      <w:r>
        <w:t>I-1.</w:t>
      </w:r>
      <w:r>
        <w:rPr>
          <w:spacing w:val="-5"/>
        </w:rPr>
        <w:t xml:space="preserve"> </w:t>
      </w:r>
      <w:r>
        <w:t>CET</w:t>
      </w:r>
      <w:r>
        <w:rPr>
          <w:spacing w:val="-4"/>
        </w:rPr>
        <w:t xml:space="preserve"> </w:t>
      </w:r>
      <w:r>
        <w:t>and</w:t>
      </w:r>
      <w:r>
        <w:rPr>
          <w:spacing w:val="-5"/>
        </w:rPr>
        <w:t xml:space="preserve"> </w:t>
      </w:r>
      <w:r>
        <w:t>PG</w:t>
      </w:r>
      <w:r>
        <w:rPr>
          <w:spacing w:val="-6"/>
        </w:rPr>
        <w:t xml:space="preserve"> </w:t>
      </w:r>
      <w:r>
        <w:t>Model</w:t>
      </w:r>
      <w:r>
        <w:rPr>
          <w:spacing w:val="-5"/>
        </w:rPr>
        <w:t xml:space="preserve"> </w:t>
      </w:r>
      <w:r>
        <w:rPr>
          <w:spacing w:val="-2"/>
        </w:rPr>
        <w:t>Comparison</w:t>
      </w:r>
    </w:p>
    <w:p w:rsidR="00C31389" w:rsidRDefault="00C31389" w14:paraId="709F1918" w14:textId="77777777">
      <w:pPr>
        <w:pStyle w:val="BodyText"/>
        <w:spacing w:before="7"/>
        <w:rPr>
          <w:b/>
          <w:sz w:val="9"/>
        </w:rPr>
      </w:pPr>
    </w:p>
    <w:tbl>
      <w:tblPr>
        <w:tblW w:w="0" w:type="auto"/>
        <w:tblInd w:w="486" w:type="dxa"/>
        <w:tblLayout w:type="fixed"/>
        <w:tblCellMar>
          <w:left w:w="0" w:type="dxa"/>
          <w:right w:w="0" w:type="dxa"/>
        </w:tblCellMar>
        <w:tblLook w:val="01E0" w:firstRow="1" w:lastRow="1" w:firstColumn="1" w:lastColumn="1" w:noHBand="0" w:noVBand="0"/>
      </w:tblPr>
      <w:tblGrid>
        <w:gridCol w:w="1608"/>
        <w:gridCol w:w="1390"/>
        <w:gridCol w:w="3341"/>
        <w:gridCol w:w="2680"/>
      </w:tblGrid>
      <w:tr w:rsidR="00C31389" w14:paraId="7D34D0F3" w14:textId="77777777">
        <w:trPr>
          <w:trHeight w:val="489"/>
        </w:trPr>
        <w:tc>
          <w:tcPr>
            <w:tcW w:w="1608" w:type="dxa"/>
            <w:shd w:val="clear" w:color="auto" w:fill="92D400"/>
          </w:tcPr>
          <w:p w:rsidR="00C31389" w:rsidRDefault="00561FBD" w14:paraId="22929340" w14:textId="77777777">
            <w:pPr>
              <w:pStyle w:val="TableParagraph"/>
              <w:spacing w:before="125"/>
              <w:ind w:left="122"/>
              <w:rPr>
                <w:b/>
                <w:sz w:val="20"/>
              </w:rPr>
            </w:pPr>
            <w:r>
              <w:rPr>
                <w:b/>
                <w:spacing w:val="-2"/>
                <w:sz w:val="20"/>
              </w:rPr>
              <w:t>Category</w:t>
            </w:r>
          </w:p>
        </w:tc>
        <w:tc>
          <w:tcPr>
            <w:tcW w:w="1390" w:type="dxa"/>
            <w:shd w:val="clear" w:color="auto" w:fill="92D400"/>
          </w:tcPr>
          <w:p w:rsidR="00C31389" w:rsidRDefault="00561FBD" w14:paraId="6C27B685" w14:textId="77777777">
            <w:pPr>
              <w:pStyle w:val="TableParagraph"/>
              <w:spacing w:before="125"/>
              <w:ind w:left="174"/>
              <w:rPr>
                <w:b/>
                <w:sz w:val="20"/>
              </w:rPr>
            </w:pPr>
            <w:r>
              <w:rPr>
                <w:b/>
                <w:spacing w:val="-2"/>
                <w:sz w:val="20"/>
              </w:rPr>
              <w:t>Difference?</w:t>
            </w:r>
          </w:p>
        </w:tc>
        <w:tc>
          <w:tcPr>
            <w:tcW w:w="3341" w:type="dxa"/>
            <w:shd w:val="clear" w:color="auto" w:fill="92D400"/>
          </w:tcPr>
          <w:p w:rsidR="00C31389" w:rsidRDefault="00561FBD" w14:paraId="4A91F5F7" w14:textId="77777777">
            <w:pPr>
              <w:pStyle w:val="TableParagraph"/>
              <w:spacing w:before="125"/>
              <w:ind w:left="1217" w:right="1698"/>
              <w:jc w:val="center"/>
              <w:rPr>
                <w:b/>
                <w:sz w:val="20"/>
              </w:rPr>
            </w:pPr>
            <w:r>
              <w:rPr>
                <w:b/>
                <w:spacing w:val="-5"/>
                <w:sz w:val="20"/>
              </w:rPr>
              <w:t>CET</w:t>
            </w:r>
          </w:p>
        </w:tc>
        <w:tc>
          <w:tcPr>
            <w:tcW w:w="2680" w:type="dxa"/>
            <w:shd w:val="clear" w:color="auto" w:fill="92D400"/>
          </w:tcPr>
          <w:p w:rsidR="00C31389" w:rsidRDefault="00561FBD" w14:paraId="5C95E310" w14:textId="77777777">
            <w:pPr>
              <w:pStyle w:val="TableParagraph"/>
              <w:spacing w:before="125"/>
              <w:ind w:left="638"/>
              <w:rPr>
                <w:b/>
                <w:sz w:val="20"/>
              </w:rPr>
            </w:pPr>
            <w:r>
              <w:rPr>
                <w:b/>
                <w:sz w:val="20"/>
              </w:rPr>
              <w:t>PG</w:t>
            </w:r>
            <w:r>
              <w:rPr>
                <w:b/>
                <w:spacing w:val="-4"/>
                <w:sz w:val="20"/>
              </w:rPr>
              <w:t xml:space="preserve"> </w:t>
            </w:r>
            <w:r>
              <w:rPr>
                <w:b/>
                <w:spacing w:val="-2"/>
                <w:sz w:val="20"/>
              </w:rPr>
              <w:t>Model</w:t>
            </w:r>
          </w:p>
        </w:tc>
      </w:tr>
      <w:tr w:rsidR="00C31389" w14:paraId="2FA5E464" w14:textId="77777777">
        <w:trPr>
          <w:trHeight w:val="1089"/>
        </w:trPr>
        <w:tc>
          <w:tcPr>
            <w:tcW w:w="1608" w:type="dxa"/>
            <w:tcBorders>
              <w:bottom w:val="single" w:color="D9D9D9" w:sz="2" w:space="0"/>
            </w:tcBorders>
          </w:tcPr>
          <w:p w:rsidR="00C31389" w:rsidRDefault="00C31389" w14:paraId="6E40E8F2" w14:textId="77777777">
            <w:pPr>
              <w:pStyle w:val="TableParagraph"/>
              <w:spacing w:before="5"/>
              <w:rPr>
                <w:b/>
                <w:sz w:val="17"/>
              </w:rPr>
            </w:pPr>
          </w:p>
          <w:p w:rsidR="00C31389" w:rsidRDefault="00561FBD" w14:paraId="4B3570B1" w14:textId="77777777">
            <w:pPr>
              <w:pStyle w:val="TableParagraph"/>
              <w:spacing w:before="0"/>
              <w:ind w:left="122"/>
              <w:rPr>
                <w:b/>
                <w:sz w:val="20"/>
              </w:rPr>
            </w:pPr>
            <w:r>
              <w:rPr>
                <w:b/>
                <w:spacing w:val="-2"/>
                <w:sz w:val="20"/>
              </w:rPr>
              <w:t xml:space="preserve">Cost- </w:t>
            </w:r>
            <w:r>
              <w:rPr>
                <w:b/>
                <w:spacing w:val="-2"/>
                <w:sz w:val="20"/>
              </w:rPr>
              <w:t>Effectiveness Definitions</w:t>
            </w:r>
          </w:p>
        </w:tc>
        <w:tc>
          <w:tcPr>
            <w:tcW w:w="1390" w:type="dxa"/>
            <w:tcBorders>
              <w:bottom w:val="single" w:color="D9D9D9" w:sz="2" w:space="0"/>
            </w:tcBorders>
          </w:tcPr>
          <w:p w:rsidR="00C31389" w:rsidRDefault="00C31389" w14:paraId="5C311BFA" w14:textId="77777777">
            <w:pPr>
              <w:pStyle w:val="TableParagraph"/>
              <w:spacing w:before="0"/>
              <w:rPr>
                <w:b/>
              </w:rPr>
            </w:pPr>
          </w:p>
          <w:p w:rsidR="00C31389" w:rsidRDefault="00561FBD" w14:paraId="630B3251" w14:textId="77777777">
            <w:pPr>
              <w:pStyle w:val="TableParagraph"/>
              <w:spacing w:before="177"/>
              <w:ind w:left="174"/>
              <w:rPr>
                <w:sz w:val="20"/>
              </w:rPr>
            </w:pPr>
            <w:r>
              <w:rPr>
                <w:spacing w:val="-5"/>
                <w:sz w:val="20"/>
              </w:rPr>
              <w:t>No</w:t>
            </w:r>
          </w:p>
        </w:tc>
        <w:tc>
          <w:tcPr>
            <w:tcW w:w="6021" w:type="dxa"/>
            <w:gridSpan w:val="2"/>
            <w:tcBorders>
              <w:bottom w:val="single" w:color="D9D9D9" w:sz="2" w:space="0"/>
            </w:tcBorders>
          </w:tcPr>
          <w:p w:rsidR="00C31389" w:rsidRDefault="00C31389" w14:paraId="3F9627DD" w14:textId="77777777">
            <w:pPr>
              <w:pStyle w:val="TableParagraph"/>
              <w:spacing w:before="5"/>
              <w:rPr>
                <w:b/>
                <w:sz w:val="17"/>
              </w:rPr>
            </w:pPr>
          </w:p>
          <w:p w:rsidR="00C31389" w:rsidRDefault="00561FBD" w14:paraId="7E842C56" w14:textId="77777777">
            <w:pPr>
              <w:pStyle w:val="TableParagraph"/>
              <w:spacing w:before="0"/>
              <w:ind w:left="114" w:right="207"/>
              <w:rPr>
                <w:sz w:val="20"/>
              </w:rPr>
            </w:pPr>
            <w:r>
              <w:rPr>
                <w:sz w:val="20"/>
              </w:rPr>
              <w:t>Cost-effectiveness</w:t>
            </w:r>
            <w:r>
              <w:rPr>
                <w:spacing w:val="-6"/>
                <w:sz w:val="20"/>
              </w:rPr>
              <w:t xml:space="preserve"> </w:t>
            </w:r>
            <w:r>
              <w:rPr>
                <w:sz w:val="20"/>
              </w:rPr>
              <w:t>definitions</w:t>
            </w:r>
            <w:r>
              <w:rPr>
                <w:spacing w:val="-6"/>
                <w:sz w:val="20"/>
              </w:rPr>
              <w:t xml:space="preserve"> </w:t>
            </w:r>
            <w:r>
              <w:rPr>
                <w:sz w:val="20"/>
              </w:rPr>
              <w:t>for</w:t>
            </w:r>
            <w:r>
              <w:rPr>
                <w:spacing w:val="-6"/>
                <w:sz w:val="20"/>
              </w:rPr>
              <w:t xml:space="preserve"> </w:t>
            </w:r>
            <w:r>
              <w:rPr>
                <w:sz w:val="20"/>
              </w:rPr>
              <w:t>TRC,</w:t>
            </w:r>
            <w:r>
              <w:rPr>
                <w:spacing w:val="-7"/>
                <w:sz w:val="20"/>
              </w:rPr>
              <w:t xml:space="preserve"> </w:t>
            </w:r>
            <w:r>
              <w:rPr>
                <w:sz w:val="20"/>
              </w:rPr>
              <w:t>PAC</w:t>
            </w:r>
            <w:r>
              <w:rPr>
                <w:spacing w:val="-6"/>
                <w:sz w:val="20"/>
              </w:rPr>
              <w:t xml:space="preserve"> </w:t>
            </w:r>
            <w:r>
              <w:rPr>
                <w:sz w:val="20"/>
              </w:rPr>
              <w:t>and</w:t>
            </w:r>
            <w:r>
              <w:rPr>
                <w:spacing w:val="-7"/>
                <w:sz w:val="20"/>
              </w:rPr>
              <w:t xml:space="preserve"> </w:t>
            </w:r>
            <w:r>
              <w:rPr>
                <w:sz w:val="20"/>
              </w:rPr>
              <w:t>ratepayer impact measure (RIM) come from the California Standard Practice</w:t>
            </w:r>
            <w:r>
              <w:rPr>
                <w:spacing w:val="-6"/>
                <w:sz w:val="20"/>
              </w:rPr>
              <w:t xml:space="preserve"> </w:t>
            </w:r>
            <w:r>
              <w:rPr>
                <w:sz w:val="20"/>
              </w:rPr>
              <w:t>Manual</w:t>
            </w:r>
            <w:r>
              <w:rPr>
                <w:spacing w:val="-6"/>
                <w:sz w:val="20"/>
              </w:rPr>
              <w:t xml:space="preserve"> </w:t>
            </w:r>
            <w:r>
              <w:rPr>
                <w:sz w:val="20"/>
              </w:rPr>
              <w:t>and</w:t>
            </w:r>
            <w:r>
              <w:rPr>
                <w:spacing w:val="-6"/>
                <w:sz w:val="20"/>
              </w:rPr>
              <w:t xml:space="preserve"> </w:t>
            </w:r>
            <w:r>
              <w:rPr>
                <w:sz w:val="20"/>
              </w:rPr>
              <w:t>additional</w:t>
            </w:r>
            <w:r>
              <w:rPr>
                <w:spacing w:val="-6"/>
                <w:sz w:val="20"/>
              </w:rPr>
              <w:t xml:space="preserve"> </w:t>
            </w:r>
            <w:r>
              <w:rPr>
                <w:sz w:val="20"/>
              </w:rPr>
              <w:t>guidance</w:t>
            </w:r>
            <w:r>
              <w:rPr>
                <w:spacing w:val="-6"/>
                <w:sz w:val="20"/>
              </w:rPr>
              <w:t xml:space="preserve"> </w:t>
            </w:r>
            <w:r>
              <w:rPr>
                <w:sz w:val="20"/>
              </w:rPr>
              <w:t>from</w:t>
            </w:r>
            <w:r>
              <w:rPr>
                <w:spacing w:val="-6"/>
                <w:sz w:val="20"/>
              </w:rPr>
              <w:t xml:space="preserve"> </w:t>
            </w:r>
            <w:r>
              <w:rPr>
                <w:sz w:val="20"/>
              </w:rPr>
              <w:t>CPUC</w:t>
            </w:r>
            <w:r>
              <w:rPr>
                <w:spacing w:val="-7"/>
                <w:sz w:val="20"/>
              </w:rPr>
              <w:t xml:space="preserve"> </w:t>
            </w:r>
            <w:r>
              <w:rPr>
                <w:sz w:val="20"/>
              </w:rPr>
              <w:t>staff.</w:t>
            </w:r>
          </w:p>
        </w:tc>
      </w:tr>
      <w:tr w:rsidR="00C31389" w14:paraId="4C7DA0BD" w14:textId="77777777">
        <w:trPr>
          <w:trHeight w:val="715"/>
        </w:trPr>
        <w:tc>
          <w:tcPr>
            <w:tcW w:w="1608" w:type="dxa"/>
            <w:tcBorders>
              <w:top w:val="single" w:color="D9D9D9" w:sz="2" w:space="0"/>
              <w:bottom w:val="single" w:color="D9D9D9" w:sz="2" w:space="0"/>
            </w:tcBorders>
          </w:tcPr>
          <w:p w:rsidR="00C31389" w:rsidRDefault="00561FBD" w14:paraId="0A37A1A1" w14:textId="77777777">
            <w:pPr>
              <w:pStyle w:val="TableParagraph"/>
              <w:spacing w:before="128"/>
              <w:ind w:left="122" w:right="191"/>
              <w:rPr>
                <w:b/>
                <w:sz w:val="20"/>
              </w:rPr>
            </w:pPr>
            <w:r>
              <w:rPr>
                <w:b/>
                <w:sz w:val="20"/>
              </w:rPr>
              <w:t>Vintage of Avoided</w:t>
            </w:r>
            <w:r>
              <w:rPr>
                <w:b/>
                <w:spacing w:val="-14"/>
                <w:sz w:val="20"/>
              </w:rPr>
              <w:t xml:space="preserve"> </w:t>
            </w:r>
            <w:r>
              <w:rPr>
                <w:b/>
                <w:sz w:val="20"/>
              </w:rPr>
              <w:t>Cost</w:t>
            </w:r>
          </w:p>
        </w:tc>
        <w:tc>
          <w:tcPr>
            <w:tcW w:w="1390" w:type="dxa"/>
            <w:tcBorders>
              <w:top w:val="single" w:color="D9D9D9" w:sz="2" w:space="0"/>
              <w:bottom w:val="single" w:color="D9D9D9" w:sz="2" w:space="0"/>
            </w:tcBorders>
          </w:tcPr>
          <w:p w:rsidR="00C31389" w:rsidRDefault="00C31389" w14:paraId="1340540A" w14:textId="77777777">
            <w:pPr>
              <w:pStyle w:val="TableParagraph"/>
              <w:spacing w:before="1"/>
              <w:rPr>
                <w:b/>
                <w:sz w:val="21"/>
              </w:rPr>
            </w:pPr>
          </w:p>
          <w:p w:rsidR="00C31389" w:rsidRDefault="00561FBD" w14:paraId="25E4C01A" w14:textId="77777777">
            <w:pPr>
              <w:pStyle w:val="TableParagraph"/>
              <w:spacing w:before="0"/>
              <w:ind w:left="174"/>
              <w:rPr>
                <w:sz w:val="20"/>
              </w:rPr>
            </w:pPr>
            <w:r>
              <w:rPr>
                <w:spacing w:val="-5"/>
                <w:sz w:val="20"/>
              </w:rPr>
              <w:t>No</w:t>
            </w:r>
          </w:p>
        </w:tc>
        <w:tc>
          <w:tcPr>
            <w:tcW w:w="6021" w:type="dxa"/>
            <w:gridSpan w:val="2"/>
            <w:tcBorders>
              <w:top w:val="single" w:color="D9D9D9" w:sz="2" w:space="0"/>
              <w:bottom w:val="single" w:color="D9D9D9" w:sz="2" w:space="0"/>
            </w:tcBorders>
          </w:tcPr>
          <w:p w:rsidR="00C31389" w:rsidRDefault="00561FBD" w14:paraId="53AA6F53" w14:textId="77777777">
            <w:pPr>
              <w:pStyle w:val="TableParagraph"/>
              <w:spacing w:before="128"/>
              <w:ind w:left="115" w:right="207"/>
              <w:rPr>
                <w:sz w:val="20"/>
              </w:rPr>
            </w:pPr>
            <w:r>
              <w:rPr>
                <w:sz w:val="20"/>
              </w:rPr>
              <w:t>Uses</w:t>
            </w:r>
            <w:r>
              <w:rPr>
                <w:spacing w:val="-5"/>
                <w:sz w:val="20"/>
              </w:rPr>
              <w:t xml:space="preserve"> </w:t>
            </w:r>
            <w:r>
              <w:rPr>
                <w:sz w:val="20"/>
              </w:rPr>
              <w:t>the</w:t>
            </w:r>
            <w:r>
              <w:rPr>
                <w:spacing w:val="-6"/>
                <w:sz w:val="20"/>
              </w:rPr>
              <w:t xml:space="preserve"> </w:t>
            </w:r>
            <w:r>
              <w:rPr>
                <w:sz w:val="20"/>
              </w:rPr>
              <w:t>latest</w:t>
            </w:r>
            <w:r>
              <w:rPr>
                <w:spacing w:val="-6"/>
                <w:sz w:val="20"/>
              </w:rPr>
              <w:t xml:space="preserve"> </w:t>
            </w:r>
            <w:r>
              <w:rPr>
                <w:sz w:val="20"/>
              </w:rPr>
              <w:t>CPUC-approved</w:t>
            </w:r>
            <w:r>
              <w:rPr>
                <w:spacing w:val="-6"/>
                <w:sz w:val="20"/>
              </w:rPr>
              <w:t xml:space="preserve"> </w:t>
            </w:r>
            <w:r>
              <w:rPr>
                <w:sz w:val="20"/>
              </w:rPr>
              <w:t>avoided</w:t>
            </w:r>
            <w:r>
              <w:rPr>
                <w:spacing w:val="-6"/>
                <w:sz w:val="20"/>
              </w:rPr>
              <w:t xml:space="preserve"> </w:t>
            </w:r>
            <w:r>
              <w:rPr>
                <w:sz w:val="20"/>
              </w:rPr>
              <w:t>costs</w:t>
            </w:r>
            <w:r>
              <w:rPr>
                <w:spacing w:val="-6"/>
                <w:sz w:val="20"/>
              </w:rPr>
              <w:t xml:space="preserve"> </w:t>
            </w:r>
            <w:r>
              <w:rPr>
                <w:sz w:val="20"/>
              </w:rPr>
              <w:t>(published</w:t>
            </w:r>
            <w:r>
              <w:rPr>
                <w:spacing w:val="-6"/>
                <w:sz w:val="20"/>
              </w:rPr>
              <w:t xml:space="preserve"> </w:t>
            </w:r>
            <w:r>
              <w:rPr>
                <w:sz w:val="20"/>
              </w:rPr>
              <w:t xml:space="preserve">in </w:t>
            </w:r>
            <w:r>
              <w:rPr>
                <w:spacing w:val="-2"/>
                <w:sz w:val="20"/>
              </w:rPr>
              <w:t>2022)</w:t>
            </w:r>
          </w:p>
        </w:tc>
      </w:tr>
      <w:tr w:rsidR="00C31389" w14:paraId="39C03666" w14:textId="77777777">
        <w:trPr>
          <w:trHeight w:val="1229"/>
        </w:trPr>
        <w:tc>
          <w:tcPr>
            <w:tcW w:w="1608" w:type="dxa"/>
            <w:tcBorders>
              <w:top w:val="single" w:color="D9D9D9" w:sz="2" w:space="0"/>
              <w:bottom w:val="single" w:color="D9D9D9" w:sz="2" w:space="0"/>
            </w:tcBorders>
          </w:tcPr>
          <w:p w:rsidR="00C31389" w:rsidRDefault="00C31389" w14:paraId="0A8C477C" w14:textId="77777777">
            <w:pPr>
              <w:pStyle w:val="TableParagraph"/>
              <w:spacing w:before="0"/>
              <w:rPr>
                <w:b/>
              </w:rPr>
            </w:pPr>
          </w:p>
          <w:p w:rsidR="00C31389" w:rsidRDefault="00561FBD" w14:paraId="429F04D6" w14:textId="77777777">
            <w:pPr>
              <w:pStyle w:val="TableParagraph"/>
              <w:spacing w:before="133"/>
              <w:ind w:left="122" w:right="191"/>
              <w:rPr>
                <w:b/>
                <w:sz w:val="20"/>
              </w:rPr>
            </w:pPr>
            <w:r>
              <w:rPr>
                <w:b/>
                <w:sz w:val="20"/>
              </w:rPr>
              <w:t>Avoided</w:t>
            </w:r>
            <w:r>
              <w:rPr>
                <w:b/>
                <w:spacing w:val="-14"/>
                <w:sz w:val="20"/>
              </w:rPr>
              <w:t xml:space="preserve"> </w:t>
            </w:r>
            <w:r>
              <w:rPr>
                <w:b/>
                <w:sz w:val="20"/>
              </w:rPr>
              <w:t xml:space="preserve">Cost </w:t>
            </w:r>
            <w:r>
              <w:rPr>
                <w:b/>
                <w:spacing w:val="-2"/>
                <w:sz w:val="20"/>
              </w:rPr>
              <w:t>Components</w:t>
            </w:r>
          </w:p>
        </w:tc>
        <w:tc>
          <w:tcPr>
            <w:tcW w:w="1390" w:type="dxa"/>
            <w:tcBorders>
              <w:top w:val="single" w:color="D9D9D9" w:sz="2" w:space="0"/>
              <w:bottom w:val="single" w:color="D9D9D9" w:sz="2" w:space="0"/>
            </w:tcBorders>
          </w:tcPr>
          <w:p w:rsidR="00C31389" w:rsidRDefault="00C31389" w14:paraId="698966B2" w14:textId="77777777">
            <w:pPr>
              <w:pStyle w:val="TableParagraph"/>
              <w:spacing w:before="0"/>
              <w:rPr>
                <w:b/>
              </w:rPr>
            </w:pPr>
          </w:p>
          <w:p w:rsidR="00C31389" w:rsidRDefault="00C31389" w14:paraId="5735BC84" w14:textId="77777777">
            <w:pPr>
              <w:pStyle w:val="TableParagraph"/>
              <w:spacing w:before="6"/>
              <w:rPr>
                <w:b/>
                <w:sz w:val="21"/>
              </w:rPr>
            </w:pPr>
          </w:p>
          <w:p w:rsidR="00C31389" w:rsidRDefault="00561FBD" w14:paraId="438DE57A" w14:textId="77777777">
            <w:pPr>
              <w:pStyle w:val="TableParagraph"/>
              <w:spacing w:before="0"/>
              <w:ind w:left="174"/>
              <w:rPr>
                <w:sz w:val="20"/>
              </w:rPr>
            </w:pPr>
            <w:r>
              <w:rPr>
                <w:spacing w:val="-5"/>
                <w:sz w:val="20"/>
              </w:rPr>
              <w:t>No</w:t>
            </w:r>
          </w:p>
        </w:tc>
        <w:tc>
          <w:tcPr>
            <w:tcW w:w="6021" w:type="dxa"/>
            <w:gridSpan w:val="2"/>
            <w:tcBorders>
              <w:top w:val="single" w:color="D9D9D9" w:sz="2" w:space="0"/>
              <w:bottom w:val="single" w:color="D9D9D9" w:sz="2" w:space="0"/>
            </w:tcBorders>
          </w:tcPr>
          <w:p w:rsidR="00C31389" w:rsidRDefault="00561FBD" w14:paraId="35A944C6" w14:textId="77777777">
            <w:pPr>
              <w:pStyle w:val="TableParagraph"/>
              <w:ind w:left="114" w:right="113"/>
              <w:rPr>
                <w:sz w:val="20"/>
              </w:rPr>
            </w:pPr>
            <w:r>
              <w:rPr>
                <w:sz w:val="20"/>
              </w:rPr>
              <w:t>Inputs primarily two types of avoided cost: Generation (which embeds emissions) and T&amp;D. Applies these as appropriate to UES</w:t>
            </w:r>
            <w:r>
              <w:rPr>
                <w:spacing w:val="-5"/>
                <w:sz w:val="20"/>
              </w:rPr>
              <w:t xml:space="preserve"> </w:t>
            </w:r>
            <w:r>
              <w:rPr>
                <w:sz w:val="20"/>
              </w:rPr>
              <w:t>to</w:t>
            </w:r>
            <w:r>
              <w:rPr>
                <w:spacing w:val="-5"/>
                <w:sz w:val="20"/>
              </w:rPr>
              <w:t xml:space="preserve"> </w:t>
            </w:r>
            <w:r>
              <w:rPr>
                <w:sz w:val="20"/>
              </w:rPr>
              <w:t>calculate</w:t>
            </w:r>
            <w:r>
              <w:rPr>
                <w:spacing w:val="-5"/>
                <w:sz w:val="20"/>
              </w:rPr>
              <w:t xml:space="preserve"> </w:t>
            </w:r>
            <w:r>
              <w:rPr>
                <w:sz w:val="20"/>
              </w:rPr>
              <w:t>total</w:t>
            </w:r>
            <w:r>
              <w:rPr>
                <w:spacing w:val="-5"/>
                <w:sz w:val="20"/>
              </w:rPr>
              <w:t xml:space="preserve"> </w:t>
            </w:r>
            <w:r>
              <w:rPr>
                <w:sz w:val="20"/>
              </w:rPr>
              <w:t>avoided</w:t>
            </w:r>
            <w:r>
              <w:rPr>
                <w:spacing w:val="-5"/>
                <w:sz w:val="20"/>
              </w:rPr>
              <w:t xml:space="preserve"> </w:t>
            </w:r>
            <w:r>
              <w:rPr>
                <w:sz w:val="20"/>
              </w:rPr>
              <w:t>cost</w:t>
            </w:r>
            <w:r>
              <w:rPr>
                <w:spacing w:val="-5"/>
                <w:sz w:val="20"/>
              </w:rPr>
              <w:t xml:space="preserve"> </w:t>
            </w:r>
            <w:r>
              <w:rPr>
                <w:sz w:val="20"/>
              </w:rPr>
              <w:t>benefits.</w:t>
            </w:r>
            <w:r>
              <w:rPr>
                <w:spacing w:val="-6"/>
                <w:sz w:val="20"/>
              </w:rPr>
              <w:t xml:space="preserve"> </w:t>
            </w:r>
            <w:r>
              <w:rPr>
                <w:sz w:val="20"/>
              </w:rPr>
              <w:t>Refrigerant</w:t>
            </w:r>
            <w:r>
              <w:rPr>
                <w:spacing w:val="-5"/>
                <w:sz w:val="20"/>
              </w:rPr>
              <w:t xml:space="preserve"> </w:t>
            </w:r>
            <w:r>
              <w:rPr>
                <w:sz w:val="20"/>
              </w:rPr>
              <w:t>avoided costs (RACs) are also applied specific to individual measures (and not embedded within Generation or T&amp;D)</w:t>
            </w:r>
          </w:p>
        </w:tc>
      </w:tr>
      <w:tr w:rsidR="00C31389" w14:paraId="2AED9E75" w14:textId="77777777">
        <w:trPr>
          <w:trHeight w:val="1596"/>
        </w:trPr>
        <w:tc>
          <w:tcPr>
            <w:tcW w:w="1608" w:type="dxa"/>
            <w:tcBorders>
              <w:top w:val="single" w:color="D9D9D9" w:sz="2" w:space="0"/>
            </w:tcBorders>
          </w:tcPr>
          <w:p w:rsidR="00C31389" w:rsidRDefault="00C31389" w14:paraId="1DF3B20F" w14:textId="77777777">
            <w:pPr>
              <w:pStyle w:val="TableParagraph"/>
              <w:spacing w:before="0"/>
              <w:rPr>
                <w:b/>
              </w:rPr>
            </w:pPr>
          </w:p>
          <w:p w:rsidR="00C31389" w:rsidRDefault="00C31389" w14:paraId="2902BC79" w14:textId="77777777">
            <w:pPr>
              <w:pStyle w:val="TableParagraph"/>
              <w:spacing w:before="0"/>
              <w:rPr>
                <w:b/>
              </w:rPr>
            </w:pPr>
          </w:p>
          <w:p w:rsidR="00C31389" w:rsidRDefault="00C31389" w14:paraId="69052B52" w14:textId="77777777">
            <w:pPr>
              <w:pStyle w:val="TableParagraph"/>
              <w:spacing w:before="5"/>
              <w:rPr>
                <w:b/>
                <w:sz w:val="19"/>
              </w:rPr>
            </w:pPr>
          </w:p>
          <w:p w:rsidR="00C31389" w:rsidRDefault="00561FBD" w14:paraId="065BDFEE" w14:textId="77777777">
            <w:pPr>
              <w:pStyle w:val="TableParagraph"/>
              <w:spacing w:before="1"/>
              <w:ind w:left="122" w:right="168"/>
              <w:rPr>
                <w:b/>
                <w:sz w:val="20"/>
              </w:rPr>
            </w:pPr>
            <w:r>
              <w:rPr>
                <w:b/>
                <w:sz w:val="20"/>
              </w:rPr>
              <w:t>Unit Energy Savings</w:t>
            </w:r>
            <w:r>
              <w:rPr>
                <w:b/>
                <w:spacing w:val="-14"/>
                <w:sz w:val="20"/>
              </w:rPr>
              <w:t xml:space="preserve"> </w:t>
            </w:r>
            <w:r>
              <w:rPr>
                <w:b/>
                <w:sz w:val="20"/>
              </w:rPr>
              <w:t>Input</w:t>
            </w:r>
          </w:p>
        </w:tc>
        <w:tc>
          <w:tcPr>
            <w:tcW w:w="1390" w:type="dxa"/>
            <w:tcBorders>
              <w:top w:val="single" w:color="D9D9D9" w:sz="2" w:space="0"/>
            </w:tcBorders>
          </w:tcPr>
          <w:p w:rsidR="00C31389" w:rsidRDefault="00C31389" w14:paraId="0DAA5999" w14:textId="77777777">
            <w:pPr>
              <w:pStyle w:val="TableParagraph"/>
              <w:spacing w:before="0"/>
              <w:rPr>
                <w:b/>
              </w:rPr>
            </w:pPr>
          </w:p>
          <w:p w:rsidR="00C31389" w:rsidRDefault="00C31389" w14:paraId="5B3BF588" w14:textId="77777777">
            <w:pPr>
              <w:pStyle w:val="TableParagraph"/>
              <w:spacing w:before="0"/>
              <w:rPr>
                <w:b/>
              </w:rPr>
            </w:pPr>
          </w:p>
          <w:p w:rsidR="00C31389" w:rsidRDefault="00C31389" w14:paraId="26475007" w14:textId="77777777">
            <w:pPr>
              <w:pStyle w:val="TableParagraph"/>
              <w:spacing w:before="6"/>
              <w:rPr>
                <w:b/>
                <w:sz w:val="29"/>
              </w:rPr>
            </w:pPr>
          </w:p>
          <w:p w:rsidR="00C31389" w:rsidRDefault="00561FBD" w14:paraId="18D5EC6B" w14:textId="77777777">
            <w:pPr>
              <w:pStyle w:val="TableParagraph"/>
              <w:spacing w:before="0"/>
              <w:ind w:left="174"/>
              <w:rPr>
                <w:sz w:val="20"/>
              </w:rPr>
            </w:pPr>
            <w:r>
              <w:rPr>
                <w:spacing w:val="-5"/>
                <w:sz w:val="20"/>
              </w:rPr>
              <w:t>Yes</w:t>
            </w:r>
          </w:p>
        </w:tc>
        <w:tc>
          <w:tcPr>
            <w:tcW w:w="3341" w:type="dxa"/>
            <w:tcBorders>
              <w:top w:val="single" w:color="D9D9D9" w:sz="2" w:space="0"/>
            </w:tcBorders>
          </w:tcPr>
          <w:p w:rsidR="00C31389" w:rsidRDefault="00561FBD" w14:paraId="61DB9079" w14:textId="77777777">
            <w:pPr>
              <w:pStyle w:val="TableParagraph"/>
              <w:spacing w:line="228" w:lineRule="exact"/>
              <w:ind w:left="2974" w:right="-130"/>
              <w:rPr>
                <w:sz w:val="20"/>
              </w:rPr>
            </w:pPr>
            <w:r>
              <w:rPr>
                <w:spacing w:val="-4"/>
                <w:sz w:val="20"/>
              </w:rPr>
              <w:t>Meas</w:t>
            </w:r>
          </w:p>
          <w:p w:rsidR="00C31389" w:rsidRDefault="00561FBD" w14:paraId="3F42565C" w14:textId="77777777">
            <w:pPr>
              <w:pStyle w:val="TableParagraph"/>
              <w:spacing w:before="62" w:line="158" w:lineRule="auto"/>
              <w:ind w:left="115" w:right="-29"/>
              <w:jc w:val="both"/>
              <w:rPr>
                <w:sz w:val="20"/>
              </w:rPr>
            </w:pPr>
            <w:r>
              <w:rPr>
                <w:sz w:val="20"/>
              </w:rPr>
              <w:t>Allows</w:t>
            </w:r>
            <w:r>
              <w:rPr>
                <w:spacing w:val="-2"/>
                <w:sz w:val="20"/>
              </w:rPr>
              <w:t xml:space="preserve"> </w:t>
            </w:r>
            <w:r>
              <w:rPr>
                <w:sz w:val="20"/>
              </w:rPr>
              <w:t>users</w:t>
            </w:r>
            <w:r>
              <w:rPr>
                <w:spacing w:val="-2"/>
                <w:sz w:val="20"/>
              </w:rPr>
              <w:t xml:space="preserve"> </w:t>
            </w:r>
            <w:r>
              <w:rPr>
                <w:sz w:val="20"/>
              </w:rPr>
              <w:t>to</w:t>
            </w:r>
            <w:r>
              <w:rPr>
                <w:spacing w:val="-3"/>
                <w:sz w:val="20"/>
              </w:rPr>
              <w:t xml:space="preserve"> </w:t>
            </w:r>
            <w:r>
              <w:rPr>
                <w:sz w:val="20"/>
              </w:rPr>
              <w:t>input</w:t>
            </w:r>
            <w:r>
              <w:rPr>
                <w:spacing w:val="-4"/>
                <w:sz w:val="20"/>
              </w:rPr>
              <w:t xml:space="preserve"> </w:t>
            </w:r>
            <w:r>
              <w:rPr>
                <w:sz w:val="20"/>
              </w:rPr>
              <w:t>UES</w:t>
            </w:r>
            <w:r>
              <w:rPr>
                <w:spacing w:val="-3"/>
                <w:sz w:val="20"/>
              </w:rPr>
              <w:t xml:space="preserve"> </w:t>
            </w:r>
            <w:r>
              <w:rPr>
                <w:sz w:val="20"/>
              </w:rPr>
              <w:t>for</w:t>
            </w:r>
            <w:r>
              <w:rPr>
                <w:spacing w:val="80"/>
                <w:sz w:val="20"/>
              </w:rPr>
              <w:t xml:space="preserve"> </w:t>
            </w:r>
            <w:r>
              <w:rPr>
                <w:position w:val="12"/>
                <w:sz w:val="20"/>
              </w:rPr>
              <w:t xml:space="preserve">thos </w:t>
            </w:r>
            <w:r>
              <w:rPr>
                <w:sz w:val="20"/>
              </w:rPr>
              <w:t>any</w:t>
            </w:r>
            <w:r>
              <w:rPr>
                <w:spacing w:val="-3"/>
                <w:sz w:val="20"/>
              </w:rPr>
              <w:t xml:space="preserve"> </w:t>
            </w:r>
            <w:r>
              <w:rPr>
                <w:sz w:val="20"/>
              </w:rPr>
              <w:t>measure</w:t>
            </w:r>
            <w:r>
              <w:rPr>
                <w:spacing w:val="-4"/>
                <w:sz w:val="20"/>
              </w:rPr>
              <w:t xml:space="preserve"> </w:t>
            </w:r>
            <w:r>
              <w:rPr>
                <w:sz w:val="20"/>
              </w:rPr>
              <w:t>specific</w:t>
            </w:r>
            <w:r>
              <w:rPr>
                <w:spacing w:val="-3"/>
                <w:sz w:val="20"/>
              </w:rPr>
              <w:t xml:space="preserve"> </w:t>
            </w:r>
            <w:r>
              <w:rPr>
                <w:sz w:val="20"/>
              </w:rPr>
              <w:t>to</w:t>
            </w:r>
            <w:r>
              <w:rPr>
                <w:spacing w:val="-4"/>
                <w:sz w:val="20"/>
              </w:rPr>
              <w:t xml:space="preserve"> </w:t>
            </w:r>
            <w:r>
              <w:rPr>
                <w:sz w:val="20"/>
              </w:rPr>
              <w:t>any</w:t>
            </w:r>
            <w:r>
              <w:rPr>
                <w:spacing w:val="80"/>
                <w:sz w:val="20"/>
              </w:rPr>
              <w:t xml:space="preserve"> </w:t>
            </w:r>
            <w:r>
              <w:rPr>
                <w:position w:val="12"/>
                <w:sz w:val="20"/>
              </w:rPr>
              <w:t xml:space="preserve">char </w:t>
            </w:r>
            <w:r>
              <w:rPr>
                <w:sz w:val="20"/>
              </w:rPr>
              <w:t>utility,</w:t>
            </w:r>
            <w:r>
              <w:rPr>
                <w:spacing w:val="-4"/>
                <w:sz w:val="20"/>
              </w:rPr>
              <w:t xml:space="preserve"> </w:t>
            </w:r>
            <w:r>
              <w:rPr>
                <w:sz w:val="20"/>
              </w:rPr>
              <w:t>any</w:t>
            </w:r>
            <w:r>
              <w:rPr>
                <w:spacing w:val="-3"/>
                <w:sz w:val="20"/>
              </w:rPr>
              <w:t xml:space="preserve"> </w:t>
            </w:r>
            <w:r>
              <w:rPr>
                <w:sz w:val="20"/>
              </w:rPr>
              <w:t>building</w:t>
            </w:r>
            <w:r>
              <w:rPr>
                <w:spacing w:val="-4"/>
                <w:sz w:val="20"/>
              </w:rPr>
              <w:t xml:space="preserve"> </w:t>
            </w:r>
            <w:r>
              <w:rPr>
                <w:sz w:val="20"/>
              </w:rPr>
              <w:t>type,</w:t>
            </w:r>
            <w:r>
              <w:rPr>
                <w:spacing w:val="-4"/>
                <w:sz w:val="20"/>
              </w:rPr>
              <w:t xml:space="preserve"> </w:t>
            </w:r>
            <w:r>
              <w:rPr>
                <w:sz w:val="20"/>
              </w:rPr>
              <w:t>and</w:t>
            </w:r>
            <w:r>
              <w:rPr>
                <w:spacing w:val="80"/>
                <w:sz w:val="20"/>
              </w:rPr>
              <w:t xml:space="preserve"> </w:t>
            </w:r>
            <w:r>
              <w:rPr>
                <w:position w:val="12"/>
                <w:sz w:val="20"/>
              </w:rPr>
              <w:t xml:space="preserve">ever </w:t>
            </w:r>
            <w:r>
              <w:rPr>
                <w:sz w:val="20"/>
              </w:rPr>
              <w:t>any</w:t>
            </w:r>
            <w:r>
              <w:rPr>
                <w:spacing w:val="-2"/>
                <w:sz w:val="20"/>
              </w:rPr>
              <w:t xml:space="preserve"> </w:t>
            </w:r>
            <w:r>
              <w:rPr>
                <w:sz w:val="20"/>
              </w:rPr>
              <w:t>climate</w:t>
            </w:r>
            <w:r>
              <w:rPr>
                <w:spacing w:val="-2"/>
                <w:sz w:val="20"/>
              </w:rPr>
              <w:t xml:space="preserve"> </w:t>
            </w:r>
            <w:r>
              <w:rPr>
                <w:sz w:val="20"/>
              </w:rPr>
              <w:t>zone</w:t>
            </w:r>
            <w:r>
              <w:rPr>
                <w:spacing w:val="-2"/>
                <w:sz w:val="20"/>
              </w:rPr>
              <w:t xml:space="preserve"> </w:t>
            </w:r>
            <w:r>
              <w:rPr>
                <w:sz w:val="20"/>
              </w:rPr>
              <w:t>within</w:t>
            </w:r>
            <w:r>
              <w:rPr>
                <w:spacing w:val="-2"/>
                <w:sz w:val="20"/>
              </w:rPr>
              <w:t xml:space="preserve"> </w:t>
            </w:r>
            <w:r>
              <w:rPr>
                <w:sz w:val="20"/>
              </w:rPr>
              <w:t>the</w:t>
            </w:r>
            <w:r>
              <w:rPr>
                <w:spacing w:val="66"/>
                <w:w w:val="150"/>
                <w:sz w:val="20"/>
              </w:rPr>
              <w:t xml:space="preserve">   </w:t>
            </w:r>
            <w:r>
              <w:rPr>
                <w:spacing w:val="-4"/>
                <w:position w:val="12"/>
                <w:sz w:val="20"/>
              </w:rPr>
              <w:t>capt</w:t>
            </w:r>
          </w:p>
          <w:p w:rsidR="00C31389" w:rsidRDefault="00561FBD" w14:paraId="6EF7F08B" w14:textId="77777777">
            <w:pPr>
              <w:pStyle w:val="TableParagraph"/>
              <w:tabs>
                <w:tab w:val="left" w:pos="2974"/>
              </w:tabs>
              <w:spacing w:before="24" w:line="-86" w:lineRule="auto"/>
              <w:ind w:left="115"/>
              <w:jc w:val="both"/>
              <w:rPr>
                <w:sz w:val="20"/>
              </w:rPr>
            </w:pPr>
            <w:r>
              <w:rPr>
                <w:sz w:val="20"/>
              </w:rPr>
              <w:t>IOU</w:t>
            </w:r>
            <w:r>
              <w:rPr>
                <w:spacing w:val="-1"/>
                <w:sz w:val="20"/>
              </w:rPr>
              <w:t xml:space="preserve"> </w:t>
            </w:r>
            <w:r>
              <w:rPr>
                <w:spacing w:val="-2"/>
                <w:sz w:val="20"/>
              </w:rPr>
              <w:t>territory.</w:t>
            </w:r>
            <w:r>
              <w:rPr>
                <w:sz w:val="20"/>
              </w:rPr>
              <w:tab/>
            </w:r>
            <w:r>
              <w:rPr>
                <w:spacing w:val="-12"/>
                <w:position w:val="12"/>
                <w:sz w:val="20"/>
              </w:rPr>
              <w:t>grou</w:t>
            </w:r>
          </w:p>
          <w:p w:rsidR="00C31389" w:rsidRDefault="00561FBD" w14:paraId="38D3FEA1" w14:textId="77777777">
            <w:pPr>
              <w:pStyle w:val="TableParagraph"/>
              <w:spacing w:before="0" w:line="98" w:lineRule="exact"/>
              <w:ind w:left="2974"/>
              <w:rPr>
                <w:sz w:val="20"/>
              </w:rPr>
            </w:pPr>
            <w:r>
              <w:rPr>
                <w:spacing w:val="-4"/>
                <w:sz w:val="20"/>
              </w:rPr>
              <w:t>regi</w:t>
            </w:r>
          </w:p>
        </w:tc>
        <w:tc>
          <w:tcPr>
            <w:tcW w:w="2680" w:type="dxa"/>
            <w:tcBorders>
              <w:top w:val="single" w:color="D9D9D9" w:sz="2" w:space="0"/>
            </w:tcBorders>
          </w:tcPr>
          <w:p w:rsidR="00C31389" w:rsidRDefault="00561FBD" w14:paraId="37DC4353" w14:textId="77777777">
            <w:pPr>
              <w:pStyle w:val="TableParagraph"/>
              <w:ind w:left="12" w:right="297" w:firstLine="110"/>
              <w:rPr>
                <w:sz w:val="20"/>
              </w:rPr>
            </w:pPr>
            <w:r>
              <w:rPr>
                <w:sz w:val="20"/>
              </w:rPr>
              <w:t>ure list is constrained to</w:t>
            </w:r>
            <w:r>
              <w:rPr>
                <w:spacing w:val="40"/>
                <w:sz w:val="20"/>
              </w:rPr>
              <w:t xml:space="preserve"> </w:t>
            </w:r>
            <w:r>
              <w:rPr>
                <w:sz w:val="20"/>
              </w:rPr>
              <w:t>e</w:t>
            </w:r>
            <w:r>
              <w:rPr>
                <w:spacing w:val="-14"/>
                <w:sz w:val="20"/>
              </w:rPr>
              <w:t xml:space="preserve"> </w:t>
            </w:r>
            <w:r>
              <w:rPr>
                <w:sz w:val="20"/>
              </w:rPr>
              <w:t>representative</w:t>
            </w:r>
            <w:r>
              <w:rPr>
                <w:spacing w:val="-14"/>
                <w:sz w:val="20"/>
              </w:rPr>
              <w:t xml:space="preserve"> </w:t>
            </w:r>
            <w:r>
              <w:rPr>
                <w:sz w:val="20"/>
              </w:rPr>
              <w:t>measures acterized in the study. Not y level of efficiency is</w:t>
            </w:r>
            <w:r>
              <w:rPr>
                <w:spacing w:val="40"/>
                <w:sz w:val="20"/>
              </w:rPr>
              <w:t xml:space="preserve"> </w:t>
            </w:r>
            <w:r>
              <w:rPr>
                <w:sz w:val="20"/>
              </w:rPr>
              <w:t>ured. Climate zones are</w:t>
            </w:r>
          </w:p>
          <w:p w:rsidR="00C31389" w:rsidRDefault="00561FBD" w14:paraId="180FA304" w14:textId="77777777">
            <w:pPr>
              <w:pStyle w:val="TableParagraph"/>
              <w:spacing w:before="0" w:line="230" w:lineRule="exact"/>
              <w:ind w:left="-32" w:right="3" w:firstLine="66"/>
              <w:rPr>
                <w:sz w:val="20"/>
              </w:rPr>
            </w:pPr>
            <w:r>
              <w:rPr>
                <w:sz w:val="20"/>
              </w:rPr>
              <w:t>ped</w:t>
            </w:r>
            <w:r>
              <w:rPr>
                <w:spacing w:val="-13"/>
                <w:sz w:val="20"/>
              </w:rPr>
              <w:t xml:space="preserve"> </w:t>
            </w:r>
            <w:r>
              <w:rPr>
                <w:sz w:val="20"/>
              </w:rPr>
              <w:t>in</w:t>
            </w:r>
            <w:r>
              <w:rPr>
                <w:spacing w:val="-13"/>
                <w:sz w:val="20"/>
              </w:rPr>
              <w:t xml:space="preserve"> </w:t>
            </w:r>
            <w:r>
              <w:rPr>
                <w:sz w:val="20"/>
              </w:rPr>
              <w:t>three</w:t>
            </w:r>
            <w:r>
              <w:rPr>
                <w:spacing w:val="-13"/>
                <w:sz w:val="20"/>
              </w:rPr>
              <w:t xml:space="preserve"> </w:t>
            </w:r>
            <w:r>
              <w:rPr>
                <w:sz w:val="20"/>
              </w:rPr>
              <w:t>representative ons</w:t>
            </w:r>
            <w:r>
              <w:rPr>
                <w:spacing w:val="-2"/>
                <w:sz w:val="20"/>
              </w:rPr>
              <w:t xml:space="preserve"> </w:t>
            </w:r>
            <w:r>
              <w:rPr>
                <w:sz w:val="20"/>
              </w:rPr>
              <w:t>for</w:t>
            </w:r>
            <w:r>
              <w:rPr>
                <w:spacing w:val="-2"/>
                <w:sz w:val="20"/>
              </w:rPr>
              <w:t xml:space="preserve"> </w:t>
            </w:r>
            <w:r>
              <w:rPr>
                <w:sz w:val="20"/>
              </w:rPr>
              <w:t>each</w:t>
            </w:r>
            <w:r>
              <w:rPr>
                <w:spacing w:val="-3"/>
                <w:sz w:val="20"/>
              </w:rPr>
              <w:t xml:space="preserve"> </w:t>
            </w:r>
            <w:r>
              <w:rPr>
                <w:sz w:val="20"/>
              </w:rPr>
              <w:t>I</w:t>
            </w:r>
            <w:r>
              <w:rPr>
                <w:sz w:val="20"/>
              </w:rPr>
              <w:t>OU</w:t>
            </w:r>
            <w:r>
              <w:rPr>
                <w:spacing w:val="-2"/>
                <w:sz w:val="20"/>
              </w:rPr>
              <w:t xml:space="preserve"> </w:t>
            </w:r>
            <w:r>
              <w:rPr>
                <w:sz w:val="20"/>
              </w:rPr>
              <w:t>as</w:t>
            </w:r>
            <w:r>
              <w:rPr>
                <w:spacing w:val="-1"/>
                <w:sz w:val="20"/>
              </w:rPr>
              <w:t xml:space="preserve"> </w:t>
            </w:r>
            <w:r>
              <w:rPr>
                <w:spacing w:val="-4"/>
                <w:sz w:val="20"/>
              </w:rPr>
              <w:t>shown</w:t>
            </w:r>
          </w:p>
        </w:tc>
      </w:tr>
      <w:tr w:rsidR="00C31389" w14:paraId="2B7E7693" w14:textId="77777777">
        <w:trPr>
          <w:trHeight w:val="271"/>
        </w:trPr>
        <w:tc>
          <w:tcPr>
            <w:tcW w:w="1608" w:type="dxa"/>
            <w:tcBorders>
              <w:bottom w:val="single" w:color="000000" w:sz="8" w:space="0"/>
            </w:tcBorders>
          </w:tcPr>
          <w:p w:rsidR="00C31389" w:rsidRDefault="00C31389" w14:paraId="78E4A559" w14:textId="77777777">
            <w:pPr>
              <w:pStyle w:val="TableParagraph"/>
              <w:spacing w:before="0"/>
              <w:rPr>
                <w:rFonts w:ascii="Times New Roman"/>
                <w:sz w:val="20"/>
              </w:rPr>
            </w:pPr>
          </w:p>
        </w:tc>
        <w:tc>
          <w:tcPr>
            <w:tcW w:w="1390" w:type="dxa"/>
            <w:tcBorders>
              <w:bottom w:val="single" w:color="000000" w:sz="8" w:space="0"/>
            </w:tcBorders>
          </w:tcPr>
          <w:p w:rsidR="00C31389" w:rsidRDefault="00C31389" w14:paraId="76A84608" w14:textId="77777777">
            <w:pPr>
              <w:pStyle w:val="TableParagraph"/>
              <w:spacing w:before="0"/>
              <w:rPr>
                <w:rFonts w:ascii="Times New Roman"/>
                <w:sz w:val="20"/>
              </w:rPr>
            </w:pPr>
          </w:p>
        </w:tc>
        <w:tc>
          <w:tcPr>
            <w:tcW w:w="6021" w:type="dxa"/>
            <w:gridSpan w:val="2"/>
            <w:tcBorders>
              <w:bottom w:val="single" w:color="000000" w:sz="8" w:space="0"/>
            </w:tcBorders>
          </w:tcPr>
          <w:p w:rsidR="00C31389" w:rsidRDefault="00561FBD" w14:paraId="3093A71B" w14:textId="77777777">
            <w:pPr>
              <w:pStyle w:val="TableParagraph"/>
              <w:spacing w:before="1"/>
              <w:ind w:left="2974"/>
              <w:rPr>
                <w:sz w:val="20"/>
              </w:rPr>
            </w:pPr>
            <w:r>
              <w:rPr>
                <w:sz w:val="20"/>
              </w:rPr>
              <w:t>in</w:t>
            </w:r>
            <w:r>
              <w:rPr>
                <w:spacing w:val="-5"/>
                <w:sz w:val="20"/>
              </w:rPr>
              <w:t xml:space="preserve"> </w:t>
            </w:r>
            <w:hyperlink w:history="1" w:anchor="_bookmark127">
              <w:r>
                <w:rPr>
                  <w:sz w:val="20"/>
                </w:rPr>
                <w:t>Table</w:t>
              </w:r>
              <w:r>
                <w:rPr>
                  <w:spacing w:val="-3"/>
                  <w:sz w:val="20"/>
                </w:rPr>
                <w:t xml:space="preserve"> </w:t>
              </w:r>
              <w:r>
                <w:rPr>
                  <w:sz w:val="20"/>
                </w:rPr>
                <w:t>3-</w:t>
              </w:r>
              <w:r>
                <w:rPr>
                  <w:spacing w:val="-5"/>
                  <w:sz w:val="20"/>
                </w:rPr>
                <w:t>11.</w:t>
              </w:r>
            </w:hyperlink>
          </w:p>
        </w:tc>
      </w:tr>
    </w:tbl>
    <w:p w:rsidR="00C31389" w:rsidRDefault="00C31389" w14:paraId="2D97AEFC" w14:textId="77777777">
      <w:pPr>
        <w:rPr>
          <w:sz w:val="20"/>
        </w:rPr>
        <w:sectPr w:rsidR="00C31389">
          <w:headerReference w:type="default" r:id="rId339"/>
          <w:footerReference w:type="default" r:id="rId340"/>
          <w:pgSz w:w="11910" w:h="16840"/>
          <w:pgMar w:top="1660" w:right="1020" w:bottom="1120" w:left="960" w:header="397" w:footer="938" w:gutter="0"/>
          <w:pgNumType w:start="1"/>
          <w:cols w:space="720"/>
        </w:sectPr>
      </w:pPr>
    </w:p>
    <w:p w:rsidR="00C31389" w:rsidRDefault="00C31389" w14:paraId="2F20BB43" w14:textId="77777777">
      <w:pPr>
        <w:pStyle w:val="BodyText"/>
        <w:spacing w:before="2"/>
        <w:rPr>
          <w:b/>
          <w:sz w:val="21"/>
        </w:rPr>
      </w:pPr>
    </w:p>
    <w:tbl>
      <w:tblPr>
        <w:tblW w:w="0" w:type="auto"/>
        <w:tblInd w:w="485" w:type="dxa"/>
        <w:tblLayout w:type="fixed"/>
        <w:tblCellMar>
          <w:left w:w="0" w:type="dxa"/>
          <w:right w:w="0" w:type="dxa"/>
        </w:tblCellMar>
        <w:tblLook w:val="01E0" w:firstRow="1" w:lastRow="1" w:firstColumn="1" w:lastColumn="1" w:noHBand="0" w:noVBand="0"/>
      </w:tblPr>
      <w:tblGrid>
        <w:gridCol w:w="1581"/>
        <w:gridCol w:w="1418"/>
        <w:gridCol w:w="2845"/>
        <w:gridCol w:w="3177"/>
      </w:tblGrid>
      <w:tr w:rsidR="00C31389" w14:paraId="59A633C8" w14:textId="77777777">
        <w:trPr>
          <w:trHeight w:val="490"/>
        </w:trPr>
        <w:tc>
          <w:tcPr>
            <w:tcW w:w="1581" w:type="dxa"/>
            <w:shd w:val="clear" w:color="auto" w:fill="92D400"/>
          </w:tcPr>
          <w:p w:rsidR="00C31389" w:rsidRDefault="00561FBD" w14:paraId="15BCB848" w14:textId="77777777">
            <w:pPr>
              <w:pStyle w:val="TableParagraph"/>
              <w:spacing w:before="125"/>
              <w:ind w:left="123"/>
              <w:rPr>
                <w:b/>
                <w:sz w:val="20"/>
              </w:rPr>
            </w:pPr>
            <w:r>
              <w:rPr>
                <w:b/>
                <w:spacing w:val="-2"/>
                <w:sz w:val="20"/>
              </w:rPr>
              <w:t>Category</w:t>
            </w:r>
          </w:p>
        </w:tc>
        <w:tc>
          <w:tcPr>
            <w:tcW w:w="1418" w:type="dxa"/>
            <w:shd w:val="clear" w:color="auto" w:fill="92D400"/>
          </w:tcPr>
          <w:p w:rsidR="00C31389" w:rsidRDefault="00561FBD" w14:paraId="03F66BD1" w14:textId="77777777">
            <w:pPr>
              <w:pStyle w:val="TableParagraph"/>
              <w:spacing w:before="125"/>
              <w:ind w:left="201"/>
              <w:rPr>
                <w:b/>
                <w:sz w:val="20"/>
              </w:rPr>
            </w:pPr>
            <w:r>
              <w:rPr>
                <w:b/>
                <w:spacing w:val="-2"/>
                <w:sz w:val="20"/>
              </w:rPr>
              <w:t>Difference?</w:t>
            </w:r>
          </w:p>
        </w:tc>
        <w:tc>
          <w:tcPr>
            <w:tcW w:w="2845" w:type="dxa"/>
            <w:shd w:val="clear" w:color="auto" w:fill="92D400"/>
          </w:tcPr>
          <w:p w:rsidR="00C31389" w:rsidRDefault="00561FBD" w14:paraId="1F92D33F" w14:textId="77777777">
            <w:pPr>
              <w:pStyle w:val="TableParagraph"/>
              <w:spacing w:before="125"/>
              <w:ind w:left="1216" w:right="1204"/>
              <w:jc w:val="center"/>
              <w:rPr>
                <w:b/>
                <w:sz w:val="20"/>
              </w:rPr>
            </w:pPr>
            <w:r>
              <w:rPr>
                <w:b/>
                <w:spacing w:val="-5"/>
                <w:sz w:val="20"/>
              </w:rPr>
              <w:t>CET</w:t>
            </w:r>
          </w:p>
        </w:tc>
        <w:tc>
          <w:tcPr>
            <w:tcW w:w="3177" w:type="dxa"/>
            <w:shd w:val="clear" w:color="auto" w:fill="92D400"/>
          </w:tcPr>
          <w:p w:rsidR="00C31389" w:rsidRDefault="00561FBD" w14:paraId="5EBED2B4" w14:textId="77777777">
            <w:pPr>
              <w:pStyle w:val="TableParagraph"/>
              <w:spacing w:before="125"/>
              <w:ind w:left="1120" w:right="1107"/>
              <w:jc w:val="center"/>
              <w:rPr>
                <w:b/>
                <w:sz w:val="20"/>
              </w:rPr>
            </w:pPr>
            <w:r>
              <w:rPr>
                <w:b/>
                <w:sz w:val="20"/>
              </w:rPr>
              <w:t>PG</w:t>
            </w:r>
            <w:r>
              <w:rPr>
                <w:b/>
                <w:spacing w:val="-4"/>
                <w:sz w:val="20"/>
              </w:rPr>
              <w:t xml:space="preserve"> </w:t>
            </w:r>
            <w:r>
              <w:rPr>
                <w:b/>
                <w:spacing w:val="-2"/>
                <w:sz w:val="20"/>
              </w:rPr>
              <w:t>Model</w:t>
            </w:r>
          </w:p>
        </w:tc>
      </w:tr>
      <w:tr w:rsidR="00C31389" w14:paraId="445593DB" w14:textId="77777777">
        <w:trPr>
          <w:trHeight w:val="2493"/>
        </w:trPr>
        <w:tc>
          <w:tcPr>
            <w:tcW w:w="1581" w:type="dxa"/>
            <w:tcBorders>
              <w:bottom w:val="single" w:color="D9D9D9" w:sz="2" w:space="0"/>
            </w:tcBorders>
          </w:tcPr>
          <w:p w:rsidR="00C31389" w:rsidRDefault="00C31389" w14:paraId="581D6B2D" w14:textId="77777777">
            <w:pPr>
              <w:pStyle w:val="TableParagraph"/>
              <w:spacing w:before="0"/>
              <w:rPr>
                <w:b/>
              </w:rPr>
            </w:pPr>
          </w:p>
          <w:p w:rsidR="00C31389" w:rsidRDefault="00C31389" w14:paraId="7BA59049" w14:textId="77777777">
            <w:pPr>
              <w:pStyle w:val="TableParagraph"/>
              <w:spacing w:before="0"/>
              <w:rPr>
                <w:b/>
              </w:rPr>
            </w:pPr>
          </w:p>
          <w:p w:rsidR="00C31389" w:rsidRDefault="00C31389" w14:paraId="199D32CA" w14:textId="77777777">
            <w:pPr>
              <w:pStyle w:val="TableParagraph"/>
              <w:spacing w:before="0"/>
              <w:rPr>
                <w:b/>
              </w:rPr>
            </w:pPr>
          </w:p>
          <w:p w:rsidR="00C31389" w:rsidRDefault="00C31389" w14:paraId="3EB22302" w14:textId="77777777">
            <w:pPr>
              <w:pStyle w:val="TableParagraph"/>
              <w:spacing w:before="2"/>
              <w:rPr>
                <w:b/>
              </w:rPr>
            </w:pPr>
          </w:p>
          <w:p w:rsidR="00C31389" w:rsidRDefault="00561FBD" w14:paraId="52F5E356" w14:textId="77777777">
            <w:pPr>
              <w:pStyle w:val="TableParagraph"/>
              <w:spacing w:before="1"/>
              <w:ind w:left="123" w:right="196"/>
              <w:rPr>
                <w:b/>
                <w:sz w:val="20"/>
              </w:rPr>
            </w:pPr>
            <w:r>
              <w:rPr>
                <w:b/>
                <w:sz w:val="20"/>
              </w:rPr>
              <w:t>Electric</w:t>
            </w:r>
            <w:r>
              <w:rPr>
                <w:b/>
                <w:spacing w:val="-14"/>
                <w:sz w:val="20"/>
              </w:rPr>
              <w:t xml:space="preserve"> </w:t>
            </w:r>
            <w:r>
              <w:rPr>
                <w:b/>
                <w:sz w:val="20"/>
              </w:rPr>
              <w:t>Load Shape Input</w:t>
            </w:r>
          </w:p>
        </w:tc>
        <w:tc>
          <w:tcPr>
            <w:tcW w:w="1418" w:type="dxa"/>
            <w:tcBorders>
              <w:bottom w:val="single" w:color="D9D9D9" w:sz="2" w:space="0"/>
            </w:tcBorders>
          </w:tcPr>
          <w:p w:rsidR="00C31389" w:rsidRDefault="00C31389" w14:paraId="3E1F2B64" w14:textId="77777777">
            <w:pPr>
              <w:pStyle w:val="TableParagraph"/>
              <w:spacing w:before="0"/>
              <w:rPr>
                <w:b/>
              </w:rPr>
            </w:pPr>
          </w:p>
          <w:p w:rsidR="00C31389" w:rsidRDefault="00C31389" w14:paraId="4CD06A4D" w14:textId="77777777">
            <w:pPr>
              <w:pStyle w:val="TableParagraph"/>
              <w:spacing w:before="0"/>
              <w:rPr>
                <w:b/>
              </w:rPr>
            </w:pPr>
          </w:p>
          <w:p w:rsidR="00C31389" w:rsidRDefault="00C31389" w14:paraId="728AF70B" w14:textId="77777777">
            <w:pPr>
              <w:pStyle w:val="TableParagraph"/>
              <w:spacing w:before="0"/>
              <w:rPr>
                <w:b/>
              </w:rPr>
            </w:pPr>
          </w:p>
          <w:p w:rsidR="00C31389" w:rsidRDefault="00C31389" w14:paraId="5834507D" w14:textId="77777777">
            <w:pPr>
              <w:pStyle w:val="TableParagraph"/>
              <w:spacing w:before="3"/>
              <w:rPr>
                <w:b/>
                <w:sz w:val="32"/>
              </w:rPr>
            </w:pPr>
          </w:p>
          <w:p w:rsidR="00C31389" w:rsidRDefault="00561FBD" w14:paraId="6A00B009" w14:textId="77777777">
            <w:pPr>
              <w:pStyle w:val="TableParagraph"/>
              <w:spacing w:before="0"/>
              <w:ind w:left="202"/>
              <w:rPr>
                <w:sz w:val="20"/>
              </w:rPr>
            </w:pPr>
            <w:r>
              <w:rPr>
                <w:spacing w:val="-5"/>
                <w:sz w:val="20"/>
              </w:rPr>
              <w:t>Yes</w:t>
            </w:r>
          </w:p>
        </w:tc>
        <w:tc>
          <w:tcPr>
            <w:tcW w:w="2845" w:type="dxa"/>
            <w:tcBorders>
              <w:bottom w:val="single" w:color="D9D9D9" w:sz="2" w:space="0"/>
            </w:tcBorders>
          </w:tcPr>
          <w:p w:rsidR="00C31389" w:rsidRDefault="00C31389" w14:paraId="376E474D" w14:textId="77777777">
            <w:pPr>
              <w:pStyle w:val="TableParagraph"/>
              <w:spacing w:before="2"/>
              <w:rPr>
                <w:b/>
                <w:sz w:val="18"/>
              </w:rPr>
            </w:pPr>
          </w:p>
          <w:p w:rsidR="00C31389" w:rsidRDefault="00561FBD" w14:paraId="1CB21C62" w14:textId="77777777">
            <w:pPr>
              <w:pStyle w:val="TableParagraph"/>
              <w:spacing w:before="0"/>
              <w:ind w:left="114" w:right="149"/>
              <w:rPr>
                <w:sz w:val="20"/>
              </w:rPr>
            </w:pPr>
            <w:r>
              <w:rPr>
                <w:sz w:val="20"/>
              </w:rPr>
              <w:t xml:space="preserve">Allows </w:t>
            </w:r>
            <w:r>
              <w:rPr>
                <w:sz w:val="20"/>
              </w:rPr>
              <w:t>users to select a specific load shape and assign it to each measure. Load shapes vary by utility (PA), end use (EU), sector (TS),</w:t>
            </w:r>
            <w:r>
              <w:rPr>
                <w:spacing w:val="-10"/>
                <w:sz w:val="20"/>
              </w:rPr>
              <w:t xml:space="preserve"> </w:t>
            </w:r>
            <w:r>
              <w:rPr>
                <w:sz w:val="20"/>
              </w:rPr>
              <w:t>and</w:t>
            </w:r>
            <w:r>
              <w:rPr>
                <w:spacing w:val="-10"/>
                <w:sz w:val="20"/>
              </w:rPr>
              <w:t xml:space="preserve"> </w:t>
            </w:r>
            <w:r>
              <w:rPr>
                <w:sz w:val="20"/>
              </w:rPr>
              <w:t>climate</w:t>
            </w:r>
            <w:r>
              <w:rPr>
                <w:spacing w:val="-10"/>
                <w:sz w:val="20"/>
              </w:rPr>
              <w:t xml:space="preserve"> </w:t>
            </w:r>
            <w:r>
              <w:rPr>
                <w:sz w:val="20"/>
              </w:rPr>
              <w:t>zone</w:t>
            </w:r>
            <w:r>
              <w:rPr>
                <w:spacing w:val="-10"/>
                <w:sz w:val="20"/>
              </w:rPr>
              <w:t xml:space="preserve"> </w:t>
            </w:r>
            <w:r>
              <w:rPr>
                <w:sz w:val="20"/>
              </w:rPr>
              <w:t>(CZ). There are over 1,000 possible load shapes to choose from in CET.</w:t>
            </w:r>
          </w:p>
        </w:tc>
        <w:tc>
          <w:tcPr>
            <w:tcW w:w="3177" w:type="dxa"/>
            <w:tcBorders>
              <w:bottom w:val="single" w:color="D9D9D9" w:sz="2" w:space="0"/>
            </w:tcBorders>
          </w:tcPr>
          <w:p w:rsidR="00C31389" w:rsidRDefault="00C31389" w14:paraId="77F7930C" w14:textId="77777777">
            <w:pPr>
              <w:pStyle w:val="TableParagraph"/>
              <w:spacing w:before="3"/>
              <w:rPr>
                <w:b/>
                <w:sz w:val="28"/>
              </w:rPr>
            </w:pPr>
          </w:p>
          <w:p w:rsidR="00C31389" w:rsidRDefault="00561FBD" w14:paraId="6FD11D15" w14:textId="77777777">
            <w:pPr>
              <w:pStyle w:val="TableParagraph"/>
              <w:spacing w:before="0"/>
              <w:ind w:left="128" w:right="145"/>
              <w:rPr>
                <w:sz w:val="20"/>
              </w:rPr>
            </w:pPr>
            <w:r>
              <w:rPr>
                <w:sz w:val="20"/>
              </w:rPr>
              <w:t>The PG Model using the mapping provid</w:t>
            </w:r>
            <w:r>
              <w:rPr>
                <w:sz w:val="20"/>
              </w:rPr>
              <w:t>ed by eTRM which assigns each measure an EU. For each EU and PA, Guidehouse selected a representative</w:t>
            </w:r>
            <w:r>
              <w:rPr>
                <w:spacing w:val="-13"/>
                <w:sz w:val="20"/>
              </w:rPr>
              <w:t xml:space="preserve"> </w:t>
            </w:r>
            <w:r>
              <w:rPr>
                <w:sz w:val="20"/>
              </w:rPr>
              <w:t>climate</w:t>
            </w:r>
            <w:r>
              <w:rPr>
                <w:spacing w:val="-13"/>
                <w:sz w:val="20"/>
              </w:rPr>
              <w:t xml:space="preserve"> </w:t>
            </w:r>
            <w:r>
              <w:rPr>
                <w:sz w:val="20"/>
              </w:rPr>
              <w:t>zone</w:t>
            </w:r>
            <w:r>
              <w:rPr>
                <w:spacing w:val="-13"/>
                <w:sz w:val="20"/>
              </w:rPr>
              <w:t xml:space="preserve"> </w:t>
            </w:r>
            <w:r>
              <w:rPr>
                <w:sz w:val="20"/>
              </w:rPr>
              <w:t xml:space="preserve">(see </w:t>
            </w:r>
            <w:hyperlink w:history="1" w:anchor="_bookmark127">
              <w:r>
                <w:rPr>
                  <w:sz w:val="20"/>
                </w:rPr>
                <w:t>Table 3-11</w:t>
              </w:r>
            </w:hyperlink>
            <w:r>
              <w:rPr>
                <w:sz w:val="20"/>
              </w:rPr>
              <w:t>) to apply to each measure within each PA.</w:t>
            </w:r>
          </w:p>
        </w:tc>
      </w:tr>
      <w:tr w:rsidR="00C31389" w14:paraId="25ACA754" w14:textId="77777777">
        <w:trPr>
          <w:trHeight w:val="2245"/>
        </w:trPr>
        <w:tc>
          <w:tcPr>
            <w:tcW w:w="1581" w:type="dxa"/>
            <w:tcBorders>
              <w:top w:val="single" w:color="D9D9D9" w:sz="2" w:space="0"/>
              <w:bottom w:val="single" w:color="000000" w:sz="8" w:space="0"/>
            </w:tcBorders>
          </w:tcPr>
          <w:p w:rsidR="00C31389" w:rsidRDefault="00C31389" w14:paraId="221621AF" w14:textId="77777777">
            <w:pPr>
              <w:pStyle w:val="TableParagraph"/>
              <w:spacing w:before="0"/>
              <w:rPr>
                <w:b/>
              </w:rPr>
            </w:pPr>
          </w:p>
          <w:p w:rsidR="00C31389" w:rsidRDefault="00C31389" w14:paraId="46170A58" w14:textId="77777777">
            <w:pPr>
              <w:pStyle w:val="TableParagraph"/>
              <w:spacing w:before="0"/>
              <w:rPr>
                <w:b/>
              </w:rPr>
            </w:pPr>
          </w:p>
          <w:p w:rsidR="00C31389" w:rsidRDefault="00C31389" w14:paraId="7CF4AEA7" w14:textId="77777777">
            <w:pPr>
              <w:pStyle w:val="TableParagraph"/>
              <w:spacing w:before="0"/>
              <w:rPr>
                <w:b/>
              </w:rPr>
            </w:pPr>
          </w:p>
          <w:p w:rsidR="00C31389" w:rsidRDefault="00561FBD" w14:paraId="51DD30F5" w14:textId="77777777">
            <w:pPr>
              <w:pStyle w:val="TableParagraph"/>
              <w:spacing w:before="134"/>
              <w:ind w:left="123" w:right="318"/>
              <w:rPr>
                <w:b/>
                <w:sz w:val="20"/>
              </w:rPr>
            </w:pPr>
            <w:r>
              <w:rPr>
                <w:b/>
                <w:sz w:val="20"/>
              </w:rPr>
              <w:t>Load</w:t>
            </w:r>
            <w:r>
              <w:rPr>
                <w:b/>
                <w:spacing w:val="-14"/>
                <w:sz w:val="20"/>
              </w:rPr>
              <w:t xml:space="preserve"> </w:t>
            </w:r>
            <w:r>
              <w:rPr>
                <w:b/>
                <w:sz w:val="20"/>
              </w:rPr>
              <w:t xml:space="preserve">Shape </w:t>
            </w:r>
            <w:r>
              <w:rPr>
                <w:b/>
                <w:spacing w:val="-2"/>
                <w:sz w:val="20"/>
              </w:rPr>
              <w:t>Processing</w:t>
            </w:r>
          </w:p>
        </w:tc>
        <w:tc>
          <w:tcPr>
            <w:tcW w:w="1418" w:type="dxa"/>
            <w:tcBorders>
              <w:top w:val="single" w:color="D9D9D9" w:sz="2" w:space="0"/>
              <w:bottom w:val="single" w:color="000000" w:sz="8" w:space="0"/>
            </w:tcBorders>
          </w:tcPr>
          <w:p w:rsidR="00C31389" w:rsidRDefault="00C31389" w14:paraId="2DABFD3F" w14:textId="77777777">
            <w:pPr>
              <w:pStyle w:val="TableParagraph"/>
              <w:spacing w:before="0"/>
              <w:rPr>
                <w:b/>
              </w:rPr>
            </w:pPr>
          </w:p>
          <w:p w:rsidR="00C31389" w:rsidRDefault="00C31389" w14:paraId="3A1F3659" w14:textId="77777777">
            <w:pPr>
              <w:pStyle w:val="TableParagraph"/>
              <w:spacing w:before="0"/>
              <w:rPr>
                <w:b/>
              </w:rPr>
            </w:pPr>
          </w:p>
          <w:p w:rsidR="00C31389" w:rsidRDefault="00C31389" w14:paraId="5A74D3B7" w14:textId="77777777">
            <w:pPr>
              <w:pStyle w:val="TableParagraph"/>
              <w:spacing w:before="0"/>
              <w:rPr>
                <w:b/>
              </w:rPr>
            </w:pPr>
          </w:p>
          <w:p w:rsidR="00C31389" w:rsidRDefault="00C31389" w14:paraId="4EEAF616" w14:textId="77777777">
            <w:pPr>
              <w:pStyle w:val="TableParagraph"/>
              <w:spacing w:before="8"/>
              <w:rPr>
                <w:b/>
                <w:sz w:val="21"/>
              </w:rPr>
            </w:pPr>
          </w:p>
          <w:p w:rsidR="00C31389" w:rsidRDefault="00561FBD" w14:paraId="26EF8555" w14:textId="77777777">
            <w:pPr>
              <w:pStyle w:val="TableParagraph"/>
              <w:spacing w:before="0"/>
              <w:ind w:left="201"/>
              <w:rPr>
                <w:sz w:val="20"/>
              </w:rPr>
            </w:pPr>
            <w:r>
              <w:rPr>
                <w:spacing w:val="-5"/>
                <w:sz w:val="20"/>
              </w:rPr>
              <w:t>Yes</w:t>
            </w:r>
          </w:p>
        </w:tc>
        <w:tc>
          <w:tcPr>
            <w:tcW w:w="2845" w:type="dxa"/>
            <w:tcBorders>
              <w:top w:val="single" w:color="D9D9D9" w:sz="2" w:space="0"/>
              <w:bottom w:val="single" w:color="000000" w:sz="8" w:space="0"/>
            </w:tcBorders>
          </w:tcPr>
          <w:p w:rsidR="00C31389" w:rsidRDefault="00561FBD" w14:paraId="4DDAD177" w14:textId="77777777">
            <w:pPr>
              <w:pStyle w:val="TableParagraph"/>
              <w:spacing w:before="88"/>
              <w:ind w:left="114" w:right="60"/>
              <w:rPr>
                <w:sz w:val="20"/>
              </w:rPr>
            </w:pPr>
            <w:r>
              <w:rPr>
                <w:sz w:val="20"/>
              </w:rPr>
              <w:t>Load shapes are input with quarterly (every 3 months) time</w:t>
            </w:r>
            <w:r>
              <w:rPr>
                <w:spacing w:val="-7"/>
                <w:sz w:val="20"/>
              </w:rPr>
              <w:t xml:space="preserve"> </w:t>
            </w:r>
            <w:r>
              <w:rPr>
                <w:sz w:val="20"/>
              </w:rPr>
              <w:t>steps.</w:t>
            </w:r>
            <w:r>
              <w:rPr>
                <w:spacing w:val="-8"/>
                <w:sz w:val="20"/>
              </w:rPr>
              <w:t xml:space="preserve"> </w:t>
            </w:r>
            <w:r>
              <w:rPr>
                <w:sz w:val="20"/>
              </w:rPr>
              <w:t>CET</w:t>
            </w:r>
            <w:r>
              <w:rPr>
                <w:spacing w:val="-7"/>
                <w:sz w:val="20"/>
              </w:rPr>
              <w:t xml:space="preserve"> </w:t>
            </w:r>
            <w:r>
              <w:rPr>
                <w:sz w:val="20"/>
              </w:rPr>
              <w:t>splits</w:t>
            </w:r>
            <w:r>
              <w:rPr>
                <w:spacing w:val="-6"/>
                <w:sz w:val="20"/>
              </w:rPr>
              <w:t xml:space="preserve"> </w:t>
            </w:r>
            <w:r>
              <w:rPr>
                <w:sz w:val="20"/>
              </w:rPr>
              <w:t>annual UES into quarterly savings and applies each quarter’s savings to the quarterly avoided</w:t>
            </w:r>
            <w:r>
              <w:rPr>
                <w:spacing w:val="-13"/>
                <w:sz w:val="20"/>
              </w:rPr>
              <w:t xml:space="preserve"> </w:t>
            </w:r>
            <w:r>
              <w:rPr>
                <w:sz w:val="20"/>
              </w:rPr>
              <w:t>costs.</w:t>
            </w:r>
            <w:r>
              <w:rPr>
                <w:spacing w:val="-12"/>
                <w:sz w:val="20"/>
              </w:rPr>
              <w:t xml:space="preserve"> </w:t>
            </w:r>
            <w:r>
              <w:rPr>
                <w:sz w:val="20"/>
              </w:rPr>
              <w:t>Discounting</w:t>
            </w:r>
            <w:r>
              <w:rPr>
                <w:spacing w:val="-12"/>
                <w:sz w:val="20"/>
              </w:rPr>
              <w:t xml:space="preserve"> </w:t>
            </w:r>
            <w:r>
              <w:rPr>
                <w:sz w:val="20"/>
              </w:rPr>
              <w:t xml:space="preserve">to present data is possible on a </w:t>
            </w:r>
            <w:r>
              <w:rPr>
                <w:sz w:val="20"/>
              </w:rPr>
              <w:t>quarterly time step.</w:t>
            </w:r>
          </w:p>
        </w:tc>
        <w:tc>
          <w:tcPr>
            <w:tcW w:w="3177" w:type="dxa"/>
            <w:tcBorders>
              <w:top w:val="single" w:color="D9D9D9" w:sz="2" w:space="0"/>
              <w:bottom w:val="single" w:color="000000" w:sz="8" w:space="0"/>
            </w:tcBorders>
          </w:tcPr>
          <w:p w:rsidR="00C31389" w:rsidRDefault="00C31389" w14:paraId="5EA295EC" w14:textId="77777777">
            <w:pPr>
              <w:pStyle w:val="TableParagraph"/>
              <w:spacing w:before="0"/>
              <w:rPr>
                <w:b/>
              </w:rPr>
            </w:pPr>
          </w:p>
          <w:p w:rsidR="00C31389" w:rsidRDefault="00561FBD" w14:paraId="1E5E7AD1" w14:textId="77777777">
            <w:pPr>
              <w:pStyle w:val="TableParagraph"/>
              <w:spacing w:before="181"/>
              <w:ind w:left="129"/>
              <w:rPr>
                <w:sz w:val="20"/>
              </w:rPr>
            </w:pPr>
            <w:r>
              <w:rPr>
                <w:sz w:val="20"/>
              </w:rPr>
              <w:t>The</w:t>
            </w:r>
            <w:r>
              <w:rPr>
                <w:spacing w:val="-8"/>
                <w:sz w:val="20"/>
              </w:rPr>
              <w:t xml:space="preserve"> </w:t>
            </w:r>
            <w:r>
              <w:rPr>
                <w:sz w:val="20"/>
              </w:rPr>
              <w:t>study</w:t>
            </w:r>
            <w:r>
              <w:rPr>
                <w:spacing w:val="-7"/>
                <w:sz w:val="20"/>
              </w:rPr>
              <w:t xml:space="preserve"> </w:t>
            </w:r>
            <w:r>
              <w:rPr>
                <w:sz w:val="20"/>
              </w:rPr>
              <w:t>operates</w:t>
            </w:r>
            <w:r>
              <w:rPr>
                <w:spacing w:val="-7"/>
                <w:sz w:val="20"/>
              </w:rPr>
              <w:t xml:space="preserve"> </w:t>
            </w:r>
            <w:r>
              <w:rPr>
                <w:sz w:val="20"/>
              </w:rPr>
              <w:t>on</w:t>
            </w:r>
            <w:r>
              <w:rPr>
                <w:spacing w:val="-8"/>
                <w:sz w:val="20"/>
              </w:rPr>
              <w:t xml:space="preserve"> </w:t>
            </w:r>
            <w:r>
              <w:rPr>
                <w:sz w:val="20"/>
              </w:rPr>
              <w:t>an</w:t>
            </w:r>
            <w:r>
              <w:rPr>
                <w:spacing w:val="-9"/>
                <w:sz w:val="20"/>
              </w:rPr>
              <w:t xml:space="preserve"> </w:t>
            </w:r>
            <w:r>
              <w:rPr>
                <w:sz w:val="20"/>
              </w:rPr>
              <w:t>annual basis, not a quarterly basis.</w:t>
            </w:r>
          </w:p>
          <w:p w:rsidR="00C31389" w:rsidRDefault="00561FBD" w14:paraId="299A75F9" w14:textId="77777777">
            <w:pPr>
              <w:pStyle w:val="TableParagraph"/>
              <w:spacing w:before="0"/>
              <w:ind w:left="129" w:right="145"/>
              <w:rPr>
                <w:sz w:val="20"/>
              </w:rPr>
            </w:pPr>
            <w:r>
              <w:rPr>
                <w:sz w:val="20"/>
              </w:rPr>
              <w:t>Quarterly avoided costs are summed</w:t>
            </w:r>
            <w:r>
              <w:rPr>
                <w:spacing w:val="-10"/>
                <w:sz w:val="20"/>
              </w:rPr>
              <w:t xml:space="preserve"> </w:t>
            </w:r>
            <w:r>
              <w:rPr>
                <w:sz w:val="20"/>
              </w:rPr>
              <w:t>into</w:t>
            </w:r>
            <w:r>
              <w:rPr>
                <w:spacing w:val="-10"/>
                <w:sz w:val="20"/>
              </w:rPr>
              <w:t xml:space="preserve"> </w:t>
            </w:r>
            <w:r>
              <w:rPr>
                <w:sz w:val="20"/>
              </w:rPr>
              <w:t>an</w:t>
            </w:r>
            <w:r>
              <w:rPr>
                <w:spacing w:val="-10"/>
                <w:sz w:val="20"/>
              </w:rPr>
              <w:t xml:space="preserve"> </w:t>
            </w:r>
            <w:r>
              <w:rPr>
                <w:sz w:val="20"/>
              </w:rPr>
              <w:t>annual</w:t>
            </w:r>
            <w:r>
              <w:rPr>
                <w:spacing w:val="-10"/>
                <w:sz w:val="20"/>
              </w:rPr>
              <w:t xml:space="preserve"> </w:t>
            </w:r>
            <w:r>
              <w:rPr>
                <w:sz w:val="20"/>
              </w:rPr>
              <w:t xml:space="preserve">value before they are fed into the </w:t>
            </w:r>
            <w:r>
              <w:rPr>
                <w:spacing w:val="-2"/>
                <w:sz w:val="20"/>
              </w:rPr>
              <w:t>model.</w:t>
            </w:r>
          </w:p>
        </w:tc>
      </w:tr>
    </w:tbl>
    <w:p w:rsidR="00C31389" w:rsidRDefault="00561FBD" w14:paraId="6B9BFB22" w14:textId="77777777">
      <w:pPr>
        <w:spacing w:before="71"/>
        <w:ind w:left="480"/>
        <w:rPr>
          <w:i/>
          <w:sz w:val="18"/>
        </w:rPr>
      </w:pPr>
      <w:r>
        <w:rPr>
          <w:i/>
          <w:sz w:val="18"/>
        </w:rPr>
        <w:t>Source:</w:t>
      </w:r>
      <w:r>
        <w:rPr>
          <w:i/>
          <w:spacing w:val="-4"/>
          <w:sz w:val="18"/>
        </w:rPr>
        <w:t xml:space="preserve"> </w:t>
      </w:r>
      <w:r>
        <w:rPr>
          <w:i/>
          <w:spacing w:val="-2"/>
          <w:sz w:val="18"/>
        </w:rPr>
        <w:t>Guidehouse</w:t>
      </w:r>
    </w:p>
    <w:p w:rsidR="00C31389" w:rsidRDefault="00C31389" w14:paraId="59FE3B57" w14:textId="77777777">
      <w:pPr>
        <w:pStyle w:val="BodyText"/>
        <w:spacing w:before="9"/>
        <w:rPr>
          <w:i/>
          <w:sz w:val="20"/>
        </w:rPr>
      </w:pPr>
    </w:p>
    <w:p w:rsidR="00C31389" w:rsidRDefault="00561FBD" w14:paraId="09375957" w14:textId="77777777">
      <w:pPr>
        <w:pStyle w:val="BodyText"/>
        <w:spacing w:before="1"/>
        <w:ind w:left="480" w:right="418"/>
      </w:pPr>
      <w:r>
        <w:t>Although</w:t>
      </w:r>
      <w:r>
        <w:rPr>
          <w:spacing w:val="-4"/>
        </w:rPr>
        <w:t xml:space="preserve"> </w:t>
      </w:r>
      <w:r>
        <w:t>these</w:t>
      </w:r>
      <w:r>
        <w:rPr>
          <w:spacing w:val="-4"/>
        </w:rPr>
        <w:t xml:space="preserve"> </w:t>
      </w:r>
      <w:r>
        <w:t>differences</w:t>
      </w:r>
      <w:r>
        <w:rPr>
          <w:spacing w:val="-4"/>
        </w:rPr>
        <w:t xml:space="preserve"> </w:t>
      </w:r>
      <w:r>
        <w:t>are</w:t>
      </w:r>
      <w:r>
        <w:rPr>
          <w:spacing w:val="-4"/>
        </w:rPr>
        <w:t xml:space="preserve"> </w:t>
      </w:r>
      <w:r>
        <w:t>a</w:t>
      </w:r>
      <w:r>
        <w:rPr>
          <w:spacing w:val="-4"/>
        </w:rPr>
        <w:t xml:space="preserve"> </w:t>
      </w:r>
      <w:r>
        <w:t>necessary</w:t>
      </w:r>
      <w:r>
        <w:rPr>
          <w:spacing w:val="-5"/>
        </w:rPr>
        <w:t xml:space="preserve"> </w:t>
      </w:r>
      <w:r>
        <w:t>simplification,</w:t>
      </w:r>
      <w:r>
        <w:rPr>
          <w:spacing w:val="-4"/>
        </w:rPr>
        <w:t xml:space="preserve"> </w:t>
      </w:r>
      <w:r>
        <w:t>they</w:t>
      </w:r>
      <w:r>
        <w:rPr>
          <w:spacing w:val="-4"/>
        </w:rPr>
        <w:t xml:space="preserve"> </w:t>
      </w:r>
      <w:r>
        <w:t>are</w:t>
      </w:r>
      <w:r>
        <w:rPr>
          <w:spacing w:val="-4"/>
        </w:rPr>
        <w:t xml:space="preserve"> </w:t>
      </w:r>
      <w:r>
        <w:t>sufficient</w:t>
      </w:r>
      <w:r>
        <w:rPr>
          <w:spacing w:val="-4"/>
        </w:rPr>
        <w:t xml:space="preserve"> </w:t>
      </w:r>
      <w:r>
        <w:t>and</w:t>
      </w:r>
      <w:r>
        <w:rPr>
          <w:spacing w:val="-4"/>
        </w:rPr>
        <w:t xml:space="preserve"> </w:t>
      </w:r>
      <w:r>
        <w:t>common practice for this type of higher level forecasting in a potential study.</w:t>
      </w:r>
    </w:p>
    <w:p w:rsidR="00C31389" w:rsidRDefault="00C31389" w14:paraId="2B6B2531" w14:textId="77777777">
      <w:pPr>
        <w:pStyle w:val="BodyText"/>
        <w:spacing w:before="10"/>
        <w:rPr>
          <w:sz w:val="20"/>
        </w:rPr>
      </w:pPr>
    </w:p>
    <w:p w:rsidR="00C31389" w:rsidRDefault="00561FBD" w14:paraId="487E8053" w14:textId="77777777">
      <w:pPr>
        <w:pStyle w:val="ListParagraph"/>
        <w:numPr>
          <w:ilvl w:val="1"/>
          <w:numId w:val="7"/>
        </w:numPr>
        <w:tabs>
          <w:tab w:val="left" w:pos="867"/>
        </w:tabs>
        <w:ind w:left="867" w:hanging="387"/>
        <w:rPr>
          <w:b/>
          <w:sz w:val="28"/>
        </w:rPr>
      </w:pPr>
      <w:bookmarkStart w:name="I.1_Avoided_Cost_Components" w:id="675"/>
      <w:bookmarkStart w:name="_bookmark519" w:id="676"/>
      <w:bookmarkEnd w:id="675"/>
      <w:bookmarkEnd w:id="676"/>
      <w:r>
        <w:rPr>
          <w:b/>
          <w:sz w:val="28"/>
        </w:rPr>
        <w:t>Avoided</w:t>
      </w:r>
      <w:r>
        <w:rPr>
          <w:b/>
          <w:spacing w:val="-16"/>
          <w:sz w:val="28"/>
        </w:rPr>
        <w:t xml:space="preserve"> </w:t>
      </w:r>
      <w:r>
        <w:rPr>
          <w:b/>
          <w:sz w:val="28"/>
        </w:rPr>
        <w:t>Cost</w:t>
      </w:r>
      <w:r>
        <w:rPr>
          <w:b/>
          <w:spacing w:val="-16"/>
          <w:sz w:val="28"/>
        </w:rPr>
        <w:t xml:space="preserve"> </w:t>
      </w:r>
      <w:r>
        <w:rPr>
          <w:b/>
          <w:spacing w:val="-2"/>
          <w:sz w:val="28"/>
        </w:rPr>
        <w:t>Components</w:t>
      </w:r>
    </w:p>
    <w:p w:rsidR="00C31389" w:rsidRDefault="00561FBD" w14:paraId="380DBA7B" w14:textId="77777777">
      <w:pPr>
        <w:pStyle w:val="BodyText"/>
        <w:spacing w:before="241"/>
        <w:ind w:left="479" w:right="434"/>
      </w:pPr>
      <w:r>
        <w:t>The PG Model applies avoided costs to the algorithms outlined for TRC, PAC, and TSB taking</w:t>
      </w:r>
      <w:r>
        <w:rPr>
          <w:spacing w:val="-3"/>
        </w:rPr>
        <w:t xml:space="preserve"> </w:t>
      </w:r>
      <w:r>
        <w:t>guidance</w:t>
      </w:r>
      <w:r>
        <w:rPr>
          <w:spacing w:val="-3"/>
        </w:rPr>
        <w:t xml:space="preserve"> </w:t>
      </w:r>
      <w:r>
        <w:t>from</w:t>
      </w:r>
      <w:r>
        <w:rPr>
          <w:spacing w:val="-4"/>
        </w:rPr>
        <w:t xml:space="preserve"> </w:t>
      </w:r>
      <w:r>
        <w:t>the</w:t>
      </w:r>
      <w:r>
        <w:rPr>
          <w:spacing w:val="-3"/>
        </w:rPr>
        <w:t xml:space="preserve"> </w:t>
      </w:r>
      <w:r>
        <w:t>California</w:t>
      </w:r>
      <w:r>
        <w:rPr>
          <w:spacing w:val="-3"/>
        </w:rPr>
        <w:t xml:space="preserve"> </w:t>
      </w:r>
      <w:r>
        <w:t>Standard</w:t>
      </w:r>
      <w:r>
        <w:rPr>
          <w:spacing w:val="-3"/>
        </w:rPr>
        <w:t xml:space="preserve"> </w:t>
      </w:r>
      <w:r>
        <w:t>Practice</w:t>
      </w:r>
      <w:r>
        <w:rPr>
          <w:spacing w:val="-3"/>
        </w:rPr>
        <w:t xml:space="preserve"> </w:t>
      </w:r>
      <w:r>
        <w:t>Manual.</w:t>
      </w:r>
      <w:r>
        <w:rPr>
          <w:spacing w:val="-3"/>
        </w:rPr>
        <w:t xml:space="preserve"> </w:t>
      </w:r>
      <w:r>
        <w:t>Electric</w:t>
      </w:r>
      <w:r>
        <w:rPr>
          <w:spacing w:val="-4"/>
        </w:rPr>
        <w:t xml:space="preserve"> </w:t>
      </w:r>
      <w:r>
        <w:t>avoided</w:t>
      </w:r>
      <w:r>
        <w:rPr>
          <w:spacing w:val="-3"/>
        </w:rPr>
        <w:t xml:space="preserve"> </w:t>
      </w:r>
      <w:r>
        <w:t>costs</w:t>
      </w:r>
      <w:r>
        <w:rPr>
          <w:spacing w:val="-4"/>
        </w:rPr>
        <w:t xml:space="preserve"> </w:t>
      </w:r>
      <w:r>
        <w:t>for</w:t>
      </w:r>
      <w:r>
        <w:rPr>
          <w:spacing w:val="-3"/>
        </w:rPr>
        <w:t xml:space="preserve"> </w:t>
      </w:r>
      <w:r>
        <w:t>the PG Model are the aggregate of the avoided costs of generation and T&amp;D from the CET.</w:t>
      </w:r>
    </w:p>
    <w:p w:rsidR="00C31389" w:rsidRDefault="00561FBD" w14:paraId="01B7E1B8" w14:textId="77777777">
      <w:pPr>
        <w:pStyle w:val="ListParagraph"/>
        <w:numPr>
          <w:ilvl w:val="0"/>
          <w:numId w:val="6"/>
        </w:numPr>
        <w:tabs>
          <w:tab w:val="left" w:pos="1199"/>
        </w:tabs>
        <w:spacing w:before="120"/>
        <w:ind w:right="677"/>
      </w:pPr>
      <w:r>
        <w:t>Generation</w:t>
      </w:r>
      <w:r>
        <w:rPr>
          <w:spacing w:val="-3"/>
        </w:rPr>
        <w:t xml:space="preserve"> </w:t>
      </w:r>
      <w:r>
        <w:t>in</w:t>
      </w:r>
      <w:r>
        <w:rPr>
          <w:spacing w:val="-3"/>
        </w:rPr>
        <w:t xml:space="preserve"> </w:t>
      </w:r>
      <w:r>
        <w:t>the</w:t>
      </w:r>
      <w:r>
        <w:rPr>
          <w:spacing w:val="-3"/>
        </w:rPr>
        <w:t xml:space="preserve"> </w:t>
      </w:r>
      <w:r>
        <w:t>CET</w:t>
      </w:r>
      <w:r>
        <w:rPr>
          <w:spacing w:val="-3"/>
        </w:rPr>
        <w:t xml:space="preserve"> </w:t>
      </w:r>
      <w:r>
        <w:t>is</w:t>
      </w:r>
      <w:r>
        <w:rPr>
          <w:spacing w:val="-3"/>
        </w:rPr>
        <w:t xml:space="preserve"> </w:t>
      </w:r>
      <w:r>
        <w:t>expressed</w:t>
      </w:r>
      <w:r>
        <w:rPr>
          <w:spacing w:val="-4"/>
        </w:rPr>
        <w:t xml:space="preserve"> </w:t>
      </w:r>
      <w:r>
        <w:t>in</w:t>
      </w:r>
      <w:r>
        <w:rPr>
          <w:spacing w:val="-3"/>
        </w:rPr>
        <w:t xml:space="preserve"> </w:t>
      </w:r>
      <w:r>
        <w:t>$/annual</w:t>
      </w:r>
      <w:r>
        <w:rPr>
          <w:spacing w:val="-3"/>
        </w:rPr>
        <w:t xml:space="preserve"> </w:t>
      </w:r>
      <w:r>
        <w:t>kWh.</w:t>
      </w:r>
      <w:r>
        <w:rPr>
          <w:spacing w:val="-2"/>
        </w:rPr>
        <w:t xml:space="preserve"> </w:t>
      </w:r>
      <w:r>
        <w:t>The</w:t>
      </w:r>
      <w:r>
        <w:rPr>
          <w:spacing w:val="-3"/>
        </w:rPr>
        <w:t xml:space="preserve"> </w:t>
      </w:r>
      <w:r>
        <w:t>CET</w:t>
      </w:r>
      <w:r>
        <w:rPr>
          <w:spacing w:val="-3"/>
        </w:rPr>
        <w:t xml:space="preserve"> </w:t>
      </w:r>
      <w:r>
        <w:t>embeds</w:t>
      </w:r>
      <w:r>
        <w:rPr>
          <w:spacing w:val="-3"/>
        </w:rPr>
        <w:t xml:space="preserve"> </w:t>
      </w:r>
      <w:r>
        <w:t>the</w:t>
      </w:r>
      <w:r>
        <w:rPr>
          <w:spacing w:val="-3"/>
        </w:rPr>
        <w:t xml:space="preserve"> </w:t>
      </w:r>
      <w:r>
        <w:t>cost</w:t>
      </w:r>
      <w:r>
        <w:rPr>
          <w:spacing w:val="-3"/>
        </w:rPr>
        <w:t xml:space="preserve"> </w:t>
      </w:r>
      <w:r>
        <w:t xml:space="preserve">of carbon in its </w:t>
      </w:r>
      <w:r>
        <w:t>valuation of generation avoided cost.</w:t>
      </w:r>
    </w:p>
    <w:p w:rsidR="00C31389" w:rsidRDefault="00561FBD" w14:paraId="065B0BF1" w14:textId="77777777">
      <w:pPr>
        <w:pStyle w:val="ListParagraph"/>
        <w:numPr>
          <w:ilvl w:val="0"/>
          <w:numId w:val="6"/>
        </w:numPr>
        <w:tabs>
          <w:tab w:val="left" w:pos="1199"/>
        </w:tabs>
        <w:spacing w:before="118" w:line="269" w:lineRule="exact"/>
      </w:pPr>
      <w:r>
        <w:t>T&amp;D</w:t>
      </w:r>
      <w:r>
        <w:rPr>
          <w:spacing w:val="-8"/>
        </w:rPr>
        <w:t xml:space="preserve"> </w:t>
      </w:r>
      <w:r>
        <w:t>costs</w:t>
      </w:r>
      <w:r>
        <w:rPr>
          <w:spacing w:val="-6"/>
        </w:rPr>
        <w:t xml:space="preserve"> </w:t>
      </w:r>
      <w:r>
        <w:t>are</w:t>
      </w:r>
      <w:r>
        <w:rPr>
          <w:spacing w:val="-7"/>
        </w:rPr>
        <w:t xml:space="preserve"> </w:t>
      </w:r>
      <w:r>
        <w:t>expressed</w:t>
      </w:r>
      <w:r>
        <w:rPr>
          <w:spacing w:val="-6"/>
        </w:rPr>
        <w:t xml:space="preserve"> </w:t>
      </w:r>
      <w:r>
        <w:t>in</w:t>
      </w:r>
      <w:r>
        <w:rPr>
          <w:spacing w:val="-7"/>
        </w:rPr>
        <w:t xml:space="preserve"> </w:t>
      </w:r>
      <w:r>
        <w:t>two</w:t>
      </w:r>
      <w:r>
        <w:rPr>
          <w:spacing w:val="-6"/>
        </w:rPr>
        <w:t xml:space="preserve"> </w:t>
      </w:r>
      <w:r>
        <w:t>different</w:t>
      </w:r>
      <w:r>
        <w:rPr>
          <w:spacing w:val="-7"/>
        </w:rPr>
        <w:t xml:space="preserve"> </w:t>
      </w:r>
      <w:r>
        <w:t>ways</w:t>
      </w:r>
      <w:r>
        <w:rPr>
          <w:spacing w:val="-6"/>
        </w:rPr>
        <w:t xml:space="preserve"> </w:t>
      </w:r>
      <w:r>
        <w:t>(denoted</w:t>
      </w:r>
      <w:r>
        <w:rPr>
          <w:spacing w:val="-7"/>
        </w:rPr>
        <w:t xml:space="preserve"> </w:t>
      </w:r>
      <w:r>
        <w:t>by</w:t>
      </w:r>
      <w:r>
        <w:rPr>
          <w:spacing w:val="-7"/>
        </w:rPr>
        <w:t xml:space="preserve"> </w:t>
      </w:r>
      <w:r>
        <w:t>DSType</w:t>
      </w:r>
      <w:r>
        <w:rPr>
          <w:spacing w:val="-7"/>
        </w:rPr>
        <w:t xml:space="preserve"> </w:t>
      </w:r>
      <w:r>
        <w:t>within</w:t>
      </w:r>
      <w:r>
        <w:rPr>
          <w:spacing w:val="-6"/>
        </w:rPr>
        <w:t xml:space="preserve"> </w:t>
      </w:r>
      <w:r>
        <w:rPr>
          <w:spacing w:val="-2"/>
        </w:rPr>
        <w:t>CET):</w:t>
      </w:r>
    </w:p>
    <w:p w:rsidR="00C31389" w:rsidRDefault="00561FBD" w14:paraId="6DE5C397" w14:textId="77777777">
      <w:pPr>
        <w:pStyle w:val="BodyText"/>
        <w:ind w:left="1199" w:right="423"/>
      </w:pPr>
      <w:r>
        <w:t xml:space="preserve">$/kWh and $/kW. Those with kW DSTypes have this component of avoided cost valuing peak demand reductions and those with kWh DSTypes have </w:t>
      </w:r>
      <w:r>
        <w:t>value</w:t>
      </w:r>
      <w:r>
        <w:rPr>
          <w:spacing w:val="40"/>
        </w:rPr>
        <w:t xml:space="preserve"> </w:t>
      </w:r>
      <w:r>
        <w:t>reductions</w:t>
      </w:r>
      <w:r>
        <w:rPr>
          <w:spacing w:val="-4"/>
        </w:rPr>
        <w:t xml:space="preserve"> </w:t>
      </w:r>
      <w:r>
        <w:t>in</w:t>
      </w:r>
      <w:r>
        <w:rPr>
          <w:spacing w:val="-3"/>
        </w:rPr>
        <w:t xml:space="preserve"> </w:t>
      </w:r>
      <w:r>
        <w:t>annual</w:t>
      </w:r>
      <w:r>
        <w:rPr>
          <w:spacing w:val="-3"/>
        </w:rPr>
        <w:t xml:space="preserve"> </w:t>
      </w:r>
      <w:r>
        <w:t>electric</w:t>
      </w:r>
      <w:r>
        <w:rPr>
          <w:spacing w:val="-3"/>
        </w:rPr>
        <w:t xml:space="preserve"> </w:t>
      </w:r>
      <w:r>
        <w:t>consumption.</w:t>
      </w:r>
      <w:r>
        <w:rPr>
          <w:spacing w:val="-3"/>
        </w:rPr>
        <w:t xml:space="preserve"> </w:t>
      </w:r>
      <w:r>
        <w:t>When</w:t>
      </w:r>
      <w:r>
        <w:rPr>
          <w:spacing w:val="-3"/>
        </w:rPr>
        <w:t xml:space="preserve"> </w:t>
      </w:r>
      <w:r>
        <w:t>the</w:t>
      </w:r>
      <w:r>
        <w:rPr>
          <w:spacing w:val="-3"/>
        </w:rPr>
        <w:t xml:space="preserve"> </w:t>
      </w:r>
      <w:r>
        <w:t>PG</w:t>
      </w:r>
      <w:r>
        <w:rPr>
          <w:spacing w:val="-4"/>
        </w:rPr>
        <w:t xml:space="preserve"> </w:t>
      </w:r>
      <w:r>
        <w:t>study</w:t>
      </w:r>
      <w:r>
        <w:rPr>
          <w:spacing w:val="-3"/>
        </w:rPr>
        <w:t xml:space="preserve"> </w:t>
      </w:r>
      <w:r>
        <w:t>team</w:t>
      </w:r>
      <w:r>
        <w:rPr>
          <w:spacing w:val="-4"/>
        </w:rPr>
        <w:t xml:space="preserve"> </w:t>
      </w:r>
      <w:r>
        <w:t>mapped</w:t>
      </w:r>
      <w:r>
        <w:rPr>
          <w:spacing w:val="-3"/>
        </w:rPr>
        <w:t xml:space="preserve"> </w:t>
      </w:r>
      <w:r>
        <w:t>avoided costs to eTRM, only those EUs that have kWh DSTypes were needed, thus only the Guidehouse team only needed and processed T&amp;D costs on a per kWh basis.</w:t>
      </w:r>
    </w:p>
    <w:p w:rsidR="00C31389" w:rsidRDefault="00C31389" w14:paraId="228D5AAE" w14:textId="77777777">
      <w:pPr>
        <w:pStyle w:val="BodyText"/>
        <w:spacing w:before="9"/>
        <w:rPr>
          <w:sz w:val="20"/>
        </w:rPr>
      </w:pPr>
    </w:p>
    <w:p w:rsidR="00C31389" w:rsidRDefault="00561FBD" w14:paraId="23DC7FE2" w14:textId="77777777">
      <w:pPr>
        <w:pStyle w:val="ListParagraph"/>
        <w:numPr>
          <w:ilvl w:val="0"/>
          <w:numId w:val="6"/>
        </w:numPr>
        <w:tabs>
          <w:tab w:val="left" w:pos="1199"/>
        </w:tabs>
        <w:ind w:right="653"/>
      </w:pPr>
      <w:r>
        <w:t>The</w:t>
      </w:r>
      <w:r>
        <w:rPr>
          <w:spacing w:val="-3"/>
        </w:rPr>
        <w:t xml:space="preserve"> </w:t>
      </w:r>
      <w:r>
        <w:t>avoided</w:t>
      </w:r>
      <w:r>
        <w:rPr>
          <w:spacing w:val="-4"/>
        </w:rPr>
        <w:t xml:space="preserve"> </w:t>
      </w:r>
      <w:r>
        <w:t>cost</w:t>
      </w:r>
      <w:r>
        <w:rPr>
          <w:spacing w:val="-3"/>
        </w:rPr>
        <w:t xml:space="preserve"> </w:t>
      </w:r>
      <w:r>
        <w:t>of</w:t>
      </w:r>
      <w:r>
        <w:rPr>
          <w:spacing w:val="-3"/>
        </w:rPr>
        <w:t xml:space="preserve"> </w:t>
      </w:r>
      <w:r>
        <w:t>refrigerant</w:t>
      </w:r>
      <w:r>
        <w:rPr>
          <w:spacing w:val="-3"/>
        </w:rPr>
        <w:t xml:space="preserve"> </w:t>
      </w:r>
      <w:r>
        <w:t>leakage</w:t>
      </w:r>
      <w:r>
        <w:rPr>
          <w:spacing w:val="-3"/>
        </w:rPr>
        <w:t xml:space="preserve"> </w:t>
      </w:r>
      <w:r>
        <w:t>is</w:t>
      </w:r>
      <w:r>
        <w:rPr>
          <w:spacing w:val="-3"/>
        </w:rPr>
        <w:t xml:space="preserve"> </w:t>
      </w:r>
      <w:r>
        <w:t>not</w:t>
      </w:r>
      <w:r>
        <w:rPr>
          <w:spacing w:val="-3"/>
        </w:rPr>
        <w:t xml:space="preserve"> </w:t>
      </w:r>
      <w:r>
        <w:t>applied</w:t>
      </w:r>
      <w:r>
        <w:rPr>
          <w:spacing w:val="-3"/>
        </w:rPr>
        <w:t xml:space="preserve"> </w:t>
      </w:r>
      <w:r>
        <w:t>per</w:t>
      </w:r>
      <w:r>
        <w:rPr>
          <w:spacing w:val="-3"/>
        </w:rPr>
        <w:t xml:space="preserve"> </w:t>
      </w:r>
      <w:r>
        <w:t>kWh</w:t>
      </w:r>
      <w:r>
        <w:rPr>
          <w:spacing w:val="-3"/>
        </w:rPr>
        <w:t xml:space="preserve"> </w:t>
      </w:r>
      <w:r>
        <w:t>saved</w:t>
      </w:r>
      <w:r>
        <w:rPr>
          <w:spacing w:val="-3"/>
        </w:rPr>
        <w:t xml:space="preserve"> </w:t>
      </w:r>
      <w:r>
        <w:t>and</w:t>
      </w:r>
      <w:r>
        <w:rPr>
          <w:spacing w:val="-4"/>
        </w:rPr>
        <w:t xml:space="preserve"> </w:t>
      </w:r>
      <w:r>
        <w:t>therefore must be calculated differently. RACs are quantified at the measure level and are expressed</w:t>
      </w:r>
      <w:r>
        <w:rPr>
          <w:spacing w:val="-2"/>
        </w:rPr>
        <w:t xml:space="preserve"> </w:t>
      </w:r>
      <w:r>
        <w:t>in</w:t>
      </w:r>
      <w:r>
        <w:rPr>
          <w:spacing w:val="-1"/>
        </w:rPr>
        <w:t xml:space="preserve"> </w:t>
      </w:r>
      <w:r>
        <w:t>units of</w:t>
      </w:r>
      <w:r>
        <w:rPr>
          <w:spacing w:val="-1"/>
        </w:rPr>
        <w:t xml:space="preserve"> </w:t>
      </w:r>
      <w:r>
        <w:t>dollars.</w:t>
      </w:r>
      <w:r>
        <w:rPr>
          <w:spacing w:val="-1"/>
        </w:rPr>
        <w:t xml:space="preserve"> </w:t>
      </w:r>
      <w:r>
        <w:t>They</w:t>
      </w:r>
      <w:r>
        <w:rPr>
          <w:spacing w:val="-2"/>
        </w:rPr>
        <w:t xml:space="preserve"> </w:t>
      </w:r>
      <w:r>
        <w:t>are</w:t>
      </w:r>
      <w:r>
        <w:rPr>
          <w:spacing w:val="-1"/>
        </w:rPr>
        <w:t xml:space="preserve"> </w:t>
      </w:r>
      <w:r>
        <w:t>a</w:t>
      </w:r>
      <w:r>
        <w:rPr>
          <w:spacing w:val="-1"/>
        </w:rPr>
        <w:t xml:space="preserve"> </w:t>
      </w:r>
      <w:r>
        <w:t>net</w:t>
      </w:r>
      <w:r>
        <w:rPr>
          <w:spacing w:val="-1"/>
        </w:rPr>
        <w:t xml:space="preserve"> </w:t>
      </w:r>
      <w:r>
        <w:t>present</w:t>
      </w:r>
      <w:r>
        <w:rPr>
          <w:spacing w:val="-1"/>
        </w:rPr>
        <w:t xml:space="preserve"> </w:t>
      </w:r>
      <w:r>
        <w:t>value</w:t>
      </w:r>
      <w:r>
        <w:rPr>
          <w:spacing w:val="-1"/>
        </w:rPr>
        <w:t xml:space="preserve"> </w:t>
      </w:r>
      <w:r>
        <w:t>of</w:t>
      </w:r>
      <w:r>
        <w:rPr>
          <w:spacing w:val="-1"/>
        </w:rPr>
        <w:t xml:space="preserve"> </w:t>
      </w:r>
      <w:r>
        <w:t>the</w:t>
      </w:r>
      <w:r>
        <w:rPr>
          <w:spacing w:val="-1"/>
        </w:rPr>
        <w:t xml:space="preserve"> </w:t>
      </w:r>
      <w:r>
        <w:t>avoided</w:t>
      </w:r>
      <w:r>
        <w:rPr>
          <w:spacing w:val="-1"/>
        </w:rPr>
        <w:t xml:space="preserve"> </w:t>
      </w:r>
      <w:r>
        <w:t>cost</w:t>
      </w:r>
      <w:r>
        <w:rPr>
          <w:spacing w:val="-1"/>
        </w:rPr>
        <w:t xml:space="preserve"> </w:t>
      </w:r>
      <w:r>
        <w:t>over the</w:t>
      </w:r>
      <w:r>
        <w:rPr>
          <w:spacing w:val="-1"/>
        </w:rPr>
        <w:t xml:space="preserve"> </w:t>
      </w:r>
      <w:r>
        <w:t>lifetime</w:t>
      </w:r>
      <w:r>
        <w:rPr>
          <w:spacing w:val="-2"/>
        </w:rPr>
        <w:t xml:space="preserve"> </w:t>
      </w:r>
      <w:r>
        <w:t>of</w:t>
      </w:r>
      <w:r>
        <w:rPr>
          <w:spacing w:val="-1"/>
        </w:rPr>
        <w:t xml:space="preserve"> </w:t>
      </w:r>
      <w:r>
        <w:t>the</w:t>
      </w:r>
      <w:r>
        <w:rPr>
          <w:spacing w:val="-1"/>
        </w:rPr>
        <w:t xml:space="preserve"> </w:t>
      </w:r>
      <w:r>
        <w:t>technology.</w:t>
      </w:r>
      <w:r>
        <w:rPr>
          <w:spacing w:val="-1"/>
        </w:rPr>
        <w:t xml:space="preserve"> </w:t>
      </w:r>
      <w:r>
        <w:t>In</w:t>
      </w:r>
      <w:r>
        <w:rPr>
          <w:spacing w:val="-1"/>
        </w:rPr>
        <w:t xml:space="preserve"> </w:t>
      </w:r>
      <w:r>
        <w:t>the</w:t>
      </w:r>
      <w:r>
        <w:rPr>
          <w:spacing w:val="-2"/>
        </w:rPr>
        <w:t xml:space="preserve"> </w:t>
      </w:r>
      <w:r>
        <w:t>case</w:t>
      </w:r>
      <w:r>
        <w:rPr>
          <w:spacing w:val="-1"/>
        </w:rPr>
        <w:t xml:space="preserve"> </w:t>
      </w:r>
      <w:r>
        <w:t>of</w:t>
      </w:r>
      <w:r>
        <w:rPr>
          <w:spacing w:val="-1"/>
        </w:rPr>
        <w:t xml:space="preserve"> </w:t>
      </w:r>
      <w:r>
        <w:t>FS</w:t>
      </w:r>
      <w:r>
        <w:rPr>
          <w:spacing w:val="-2"/>
        </w:rPr>
        <w:t xml:space="preserve"> </w:t>
      </w:r>
      <w:r>
        <w:t>measures,</w:t>
      </w:r>
      <w:r>
        <w:rPr>
          <w:spacing w:val="-1"/>
        </w:rPr>
        <w:t xml:space="preserve"> </w:t>
      </w:r>
      <w:r>
        <w:t>RAC</w:t>
      </w:r>
      <w:r>
        <w:rPr>
          <w:spacing w:val="-2"/>
        </w:rPr>
        <w:t xml:space="preserve"> </w:t>
      </w:r>
      <w:r>
        <w:t>often</w:t>
      </w:r>
      <w:r>
        <w:rPr>
          <w:spacing w:val="-1"/>
        </w:rPr>
        <w:t xml:space="preserve"> </w:t>
      </w:r>
      <w:r>
        <w:t>is</w:t>
      </w:r>
      <w:r>
        <w:rPr>
          <w:spacing w:val="-1"/>
        </w:rPr>
        <w:t xml:space="preserve"> </w:t>
      </w:r>
      <w:r>
        <w:t>a</w:t>
      </w:r>
      <w:r>
        <w:rPr>
          <w:spacing w:val="-1"/>
        </w:rPr>
        <w:t xml:space="preserve"> </w:t>
      </w:r>
      <w:r>
        <w:t>negative value implying it appears as a cost component in the C-E calculations.</w:t>
      </w:r>
    </w:p>
    <w:p w:rsidR="00C31389" w:rsidRDefault="00C31389" w14:paraId="5D22BD31" w14:textId="77777777">
      <w:pPr>
        <w:pStyle w:val="BodyText"/>
        <w:spacing w:before="8"/>
        <w:rPr>
          <w:sz w:val="20"/>
        </w:rPr>
      </w:pPr>
    </w:p>
    <w:p w:rsidR="00C31389" w:rsidRDefault="00561FBD" w14:paraId="18C0F491" w14:textId="77777777">
      <w:pPr>
        <w:pStyle w:val="BodyText"/>
        <w:ind w:left="480" w:right="615"/>
      </w:pPr>
      <w:r>
        <w:t>Gas</w:t>
      </w:r>
      <w:r>
        <w:rPr>
          <w:spacing w:val="-3"/>
        </w:rPr>
        <w:t xml:space="preserve"> </w:t>
      </w:r>
      <w:r>
        <w:t>avoided</w:t>
      </w:r>
      <w:r>
        <w:rPr>
          <w:spacing w:val="-3"/>
        </w:rPr>
        <w:t xml:space="preserve"> </w:t>
      </w:r>
      <w:r>
        <w:t>costs</w:t>
      </w:r>
      <w:r>
        <w:rPr>
          <w:spacing w:val="-3"/>
        </w:rPr>
        <w:t xml:space="preserve"> </w:t>
      </w:r>
      <w:r>
        <w:t>are</w:t>
      </w:r>
      <w:r>
        <w:rPr>
          <w:spacing w:val="-3"/>
        </w:rPr>
        <w:t xml:space="preserve"> </w:t>
      </w:r>
      <w:r>
        <w:t>the</w:t>
      </w:r>
      <w:r>
        <w:rPr>
          <w:spacing w:val="-3"/>
        </w:rPr>
        <w:t xml:space="preserve"> </w:t>
      </w:r>
      <w:r>
        <w:t>sum</w:t>
      </w:r>
      <w:r>
        <w:rPr>
          <w:spacing w:val="-4"/>
        </w:rPr>
        <w:t xml:space="preserve"> </w:t>
      </w:r>
      <w:r>
        <w:t>of</w:t>
      </w:r>
      <w:r>
        <w:rPr>
          <w:spacing w:val="-3"/>
        </w:rPr>
        <w:t xml:space="preserve"> </w:t>
      </w:r>
      <w:r>
        <w:t>the</w:t>
      </w:r>
      <w:r>
        <w:rPr>
          <w:spacing w:val="-3"/>
        </w:rPr>
        <w:t xml:space="preserve"> </w:t>
      </w:r>
      <w:r>
        <w:t>avoided</w:t>
      </w:r>
      <w:r>
        <w:rPr>
          <w:spacing w:val="-3"/>
        </w:rPr>
        <w:t xml:space="preserve"> </w:t>
      </w:r>
      <w:r>
        <w:t>costs</w:t>
      </w:r>
      <w:r>
        <w:rPr>
          <w:spacing w:val="-3"/>
        </w:rPr>
        <w:t xml:space="preserve"> </w:t>
      </w:r>
      <w:r>
        <w:t>of</w:t>
      </w:r>
      <w:r>
        <w:rPr>
          <w:spacing w:val="-3"/>
        </w:rPr>
        <w:t xml:space="preserve"> </w:t>
      </w:r>
      <w:r>
        <w:t>generation</w:t>
      </w:r>
      <w:r>
        <w:rPr>
          <w:spacing w:val="-3"/>
        </w:rPr>
        <w:t xml:space="preserve"> </w:t>
      </w:r>
      <w:r>
        <w:t>and</w:t>
      </w:r>
      <w:r>
        <w:rPr>
          <w:spacing w:val="-3"/>
        </w:rPr>
        <w:t xml:space="preserve"> </w:t>
      </w:r>
      <w:r>
        <w:t>T&amp;D</w:t>
      </w:r>
      <w:r>
        <w:rPr>
          <w:spacing w:val="-4"/>
        </w:rPr>
        <w:t xml:space="preserve"> </w:t>
      </w:r>
      <w:r>
        <w:t>as</w:t>
      </w:r>
      <w:r>
        <w:rPr>
          <w:spacing w:val="-3"/>
        </w:rPr>
        <w:t xml:space="preserve"> </w:t>
      </w:r>
      <w:r>
        <w:t>reported</w:t>
      </w:r>
      <w:r>
        <w:rPr>
          <w:spacing w:val="-3"/>
        </w:rPr>
        <w:t xml:space="preserve"> </w:t>
      </w:r>
      <w:r>
        <w:t xml:space="preserve">by the CET. There is no DSType for </w:t>
      </w:r>
      <w:r>
        <w:t>gas T&amp;D avoided costs. Gas avoided costs include the valuation of methane leakage.</w:t>
      </w:r>
    </w:p>
    <w:p w:rsidR="00C31389" w:rsidRDefault="00C31389" w14:paraId="3D732A81" w14:textId="77777777">
      <w:pPr>
        <w:sectPr w:rsidR="00C31389">
          <w:pgSz w:w="11910" w:h="16840"/>
          <w:pgMar w:top="1660" w:right="1020" w:bottom="1120" w:left="960" w:header="397" w:footer="938" w:gutter="0"/>
          <w:cols w:space="720"/>
        </w:sectPr>
      </w:pPr>
    </w:p>
    <w:p w:rsidR="00C31389" w:rsidRDefault="00C31389" w14:paraId="063269D0" w14:textId="77777777">
      <w:pPr>
        <w:pStyle w:val="BodyText"/>
      </w:pPr>
    </w:p>
    <w:p w:rsidR="00C31389" w:rsidRDefault="00C31389" w14:paraId="69A1E042" w14:textId="77777777">
      <w:pPr>
        <w:pStyle w:val="BodyText"/>
        <w:spacing w:before="1"/>
        <w:rPr>
          <w:sz w:val="14"/>
        </w:rPr>
      </w:pPr>
    </w:p>
    <w:p w:rsidR="00C31389" w:rsidRDefault="00561FBD" w14:paraId="02253C77" w14:textId="77777777">
      <w:pPr>
        <w:pStyle w:val="ListParagraph"/>
        <w:numPr>
          <w:ilvl w:val="1"/>
          <w:numId w:val="7"/>
        </w:numPr>
        <w:tabs>
          <w:tab w:val="left" w:pos="867"/>
        </w:tabs>
        <w:spacing w:before="90"/>
        <w:ind w:left="867" w:hanging="387"/>
        <w:rPr>
          <w:b/>
          <w:sz w:val="28"/>
        </w:rPr>
      </w:pPr>
      <w:bookmarkStart w:name="I.2_Cost-Effectiveness_Definitions" w:id="677"/>
      <w:bookmarkStart w:name="_bookmark520" w:id="678"/>
      <w:bookmarkEnd w:id="677"/>
      <w:bookmarkEnd w:id="678"/>
      <w:r>
        <w:rPr>
          <w:b/>
          <w:spacing w:val="-2"/>
          <w:sz w:val="28"/>
        </w:rPr>
        <w:t>Cost-Effectiveness</w:t>
      </w:r>
      <w:r>
        <w:rPr>
          <w:b/>
          <w:spacing w:val="5"/>
          <w:sz w:val="28"/>
        </w:rPr>
        <w:t xml:space="preserve"> </w:t>
      </w:r>
      <w:r>
        <w:rPr>
          <w:b/>
          <w:spacing w:val="-2"/>
          <w:sz w:val="28"/>
        </w:rPr>
        <w:t>Definitions</w:t>
      </w:r>
    </w:p>
    <w:p w:rsidR="00C31389" w:rsidRDefault="00561FBD" w14:paraId="698D57B3" w14:textId="77777777">
      <w:pPr>
        <w:pStyle w:val="BodyText"/>
        <w:spacing w:before="241"/>
        <w:ind w:left="480" w:right="605"/>
        <w:jc w:val="both"/>
      </w:pPr>
      <w:r>
        <w:t>The</w:t>
      </w:r>
      <w:r>
        <w:rPr>
          <w:spacing w:val="-4"/>
        </w:rPr>
        <w:t xml:space="preserve"> </w:t>
      </w:r>
      <w:r>
        <w:t>cost-effectiveness</w:t>
      </w:r>
      <w:r>
        <w:rPr>
          <w:spacing w:val="-4"/>
        </w:rPr>
        <w:t xml:space="preserve"> </w:t>
      </w:r>
      <w:r>
        <w:t>analysis</w:t>
      </w:r>
      <w:r>
        <w:rPr>
          <w:spacing w:val="-4"/>
        </w:rPr>
        <w:t xml:space="preserve"> </w:t>
      </w:r>
      <w:r>
        <w:t>in</w:t>
      </w:r>
      <w:r>
        <w:rPr>
          <w:spacing w:val="-4"/>
        </w:rPr>
        <w:t xml:space="preserve"> </w:t>
      </w:r>
      <w:r>
        <w:t>the</w:t>
      </w:r>
      <w:r>
        <w:rPr>
          <w:spacing w:val="-4"/>
        </w:rPr>
        <w:t xml:space="preserve"> </w:t>
      </w:r>
      <w:r>
        <w:t>2023</w:t>
      </w:r>
      <w:r>
        <w:rPr>
          <w:spacing w:val="-3"/>
        </w:rPr>
        <w:t xml:space="preserve"> </w:t>
      </w:r>
      <w:r>
        <w:t>Study</w:t>
      </w:r>
      <w:r>
        <w:rPr>
          <w:spacing w:val="-4"/>
        </w:rPr>
        <w:t xml:space="preserve"> </w:t>
      </w:r>
      <w:r>
        <w:t>includes</w:t>
      </w:r>
      <w:r>
        <w:rPr>
          <w:spacing w:val="-4"/>
        </w:rPr>
        <w:t xml:space="preserve"> </w:t>
      </w:r>
      <w:r>
        <w:t>calculating</w:t>
      </w:r>
      <w:r>
        <w:rPr>
          <w:spacing w:val="-4"/>
        </w:rPr>
        <w:t xml:space="preserve"> </w:t>
      </w:r>
      <w:r>
        <w:t>the</w:t>
      </w:r>
      <w:r>
        <w:rPr>
          <w:spacing w:val="-4"/>
        </w:rPr>
        <w:t xml:space="preserve"> </w:t>
      </w:r>
      <w:r>
        <w:t>TRC.</w:t>
      </w:r>
      <w:r>
        <w:rPr>
          <w:spacing w:val="-4"/>
        </w:rPr>
        <w:t xml:space="preserve"> </w:t>
      </w:r>
      <w:r>
        <w:t>The</w:t>
      </w:r>
      <w:r>
        <w:rPr>
          <w:spacing w:val="-4"/>
        </w:rPr>
        <w:t xml:space="preserve"> </w:t>
      </w:r>
      <w:r>
        <w:t xml:space="preserve">model also calculated TSB. TSB is </w:t>
      </w:r>
      <w:r>
        <w:t>not a cost-effectiveness test itself, but it is calculated from key components that also feed into the TRC test.</w:t>
      </w:r>
    </w:p>
    <w:p w:rsidR="00C31389" w:rsidRDefault="00C31389" w14:paraId="6E6A7041" w14:textId="77777777">
      <w:pPr>
        <w:pStyle w:val="BodyText"/>
        <w:spacing w:before="10"/>
        <w:rPr>
          <w:sz w:val="20"/>
        </w:rPr>
      </w:pPr>
    </w:p>
    <w:p w:rsidR="00C31389" w:rsidRDefault="00561FBD" w14:paraId="0461529F" w14:textId="77777777">
      <w:pPr>
        <w:pStyle w:val="ListParagraph"/>
        <w:numPr>
          <w:ilvl w:val="2"/>
          <w:numId w:val="7"/>
        </w:numPr>
        <w:tabs>
          <w:tab w:val="left" w:pos="1199"/>
        </w:tabs>
        <w:ind w:left="1199" w:hanging="719"/>
        <w:rPr>
          <w:b/>
          <w:sz w:val="24"/>
        </w:rPr>
      </w:pPr>
      <w:bookmarkStart w:name="I.2.1_TRC" w:id="679"/>
      <w:bookmarkStart w:name="_bookmark521" w:id="680"/>
      <w:bookmarkEnd w:id="679"/>
      <w:bookmarkEnd w:id="680"/>
      <w:r>
        <w:rPr>
          <w:b/>
          <w:spacing w:val="-5"/>
          <w:sz w:val="24"/>
        </w:rPr>
        <w:t>TRC</w:t>
      </w:r>
    </w:p>
    <w:p w:rsidR="00C31389" w:rsidRDefault="00C31389" w14:paraId="24AB4B8B" w14:textId="77777777">
      <w:pPr>
        <w:pStyle w:val="BodyText"/>
        <w:spacing w:before="9"/>
        <w:rPr>
          <w:b/>
          <w:sz w:val="20"/>
        </w:rPr>
      </w:pPr>
    </w:p>
    <w:p w:rsidR="00C31389" w:rsidRDefault="00561FBD" w14:paraId="5A7DECA9" w14:textId="77777777">
      <w:pPr>
        <w:pStyle w:val="BodyText"/>
        <w:spacing w:before="1"/>
        <w:ind w:left="480" w:right="735"/>
      </w:pPr>
      <w:r>
        <w:t>The TRC ratio for each measure is calculated each year and compared against the measure-level</w:t>
      </w:r>
      <w:r>
        <w:rPr>
          <w:spacing w:val="-2"/>
        </w:rPr>
        <w:t xml:space="preserve"> </w:t>
      </w:r>
      <w:r>
        <w:t>TRC</w:t>
      </w:r>
      <w:r>
        <w:rPr>
          <w:spacing w:val="-3"/>
        </w:rPr>
        <w:t xml:space="preserve"> </w:t>
      </w:r>
      <w:r>
        <w:t>ratio</w:t>
      </w:r>
      <w:r>
        <w:rPr>
          <w:spacing w:val="-2"/>
        </w:rPr>
        <w:t xml:space="preserve"> </w:t>
      </w:r>
      <w:r>
        <w:t>screening</w:t>
      </w:r>
      <w:r>
        <w:rPr>
          <w:spacing w:val="-2"/>
        </w:rPr>
        <w:t xml:space="preserve"> </w:t>
      </w:r>
      <w:r>
        <w:t>threshold.</w:t>
      </w:r>
      <w:r>
        <w:rPr>
          <w:spacing w:val="-2"/>
        </w:rPr>
        <w:t xml:space="preserve"> </w:t>
      </w:r>
      <w:r>
        <w:t>A</w:t>
      </w:r>
      <w:r>
        <w:rPr>
          <w:spacing w:val="-4"/>
        </w:rPr>
        <w:t xml:space="preserve"> </w:t>
      </w:r>
      <w:r>
        <w:t>measure</w:t>
      </w:r>
      <w:r>
        <w:rPr>
          <w:spacing w:val="-2"/>
        </w:rPr>
        <w:t xml:space="preserve"> </w:t>
      </w:r>
      <w:r>
        <w:t>with</w:t>
      </w:r>
      <w:r>
        <w:rPr>
          <w:spacing w:val="-2"/>
        </w:rPr>
        <w:t xml:space="preserve"> </w:t>
      </w:r>
      <w:r>
        <w:t>a</w:t>
      </w:r>
      <w:r>
        <w:rPr>
          <w:spacing w:val="-2"/>
        </w:rPr>
        <w:t xml:space="preserve"> </w:t>
      </w:r>
      <w:r>
        <w:t>TRC</w:t>
      </w:r>
      <w:r>
        <w:rPr>
          <w:spacing w:val="-3"/>
        </w:rPr>
        <w:t xml:space="preserve"> </w:t>
      </w:r>
      <w:r>
        <w:t>ratio</w:t>
      </w:r>
      <w:r>
        <w:rPr>
          <w:spacing w:val="-2"/>
        </w:rPr>
        <w:t xml:space="preserve"> </w:t>
      </w:r>
      <w:r>
        <w:t>greater</w:t>
      </w:r>
      <w:r>
        <w:rPr>
          <w:spacing w:val="-2"/>
        </w:rPr>
        <w:t xml:space="preserve"> </w:t>
      </w:r>
      <w:r>
        <w:t>than</w:t>
      </w:r>
      <w:r>
        <w:rPr>
          <w:spacing w:val="-2"/>
        </w:rPr>
        <w:t xml:space="preserve"> </w:t>
      </w:r>
      <w:r>
        <w:t>or equal</w:t>
      </w:r>
      <w:r>
        <w:rPr>
          <w:spacing w:val="-2"/>
        </w:rPr>
        <w:t xml:space="preserve"> </w:t>
      </w:r>
      <w:r>
        <w:t>to</w:t>
      </w:r>
      <w:r>
        <w:rPr>
          <w:spacing w:val="-2"/>
        </w:rPr>
        <w:t xml:space="preserve"> </w:t>
      </w:r>
      <w:r>
        <w:t>1.0</w:t>
      </w:r>
      <w:r>
        <w:rPr>
          <w:spacing w:val="-3"/>
        </w:rPr>
        <w:t xml:space="preserve"> </w:t>
      </w:r>
      <w:r>
        <w:t>is</w:t>
      </w:r>
      <w:r>
        <w:rPr>
          <w:spacing w:val="-2"/>
        </w:rPr>
        <w:t xml:space="preserve"> </w:t>
      </w:r>
      <w:r>
        <w:t>a</w:t>
      </w:r>
      <w:r>
        <w:rPr>
          <w:spacing w:val="-2"/>
        </w:rPr>
        <w:t xml:space="preserve"> </w:t>
      </w:r>
      <w:r>
        <w:t>measure</w:t>
      </w:r>
      <w:r>
        <w:rPr>
          <w:spacing w:val="-2"/>
        </w:rPr>
        <w:t xml:space="preserve"> </w:t>
      </w:r>
      <w:r>
        <w:t>that</w:t>
      </w:r>
      <w:r>
        <w:rPr>
          <w:spacing w:val="-2"/>
        </w:rPr>
        <w:t xml:space="preserve"> </w:t>
      </w:r>
      <w:r>
        <w:t>provides</w:t>
      </w:r>
      <w:r>
        <w:rPr>
          <w:spacing w:val="-2"/>
        </w:rPr>
        <w:t xml:space="preserve"> </w:t>
      </w:r>
      <w:r>
        <w:t>monetary</w:t>
      </w:r>
      <w:r>
        <w:rPr>
          <w:spacing w:val="-2"/>
        </w:rPr>
        <w:t xml:space="preserve"> </w:t>
      </w:r>
      <w:r>
        <w:t>benefits</w:t>
      </w:r>
      <w:r>
        <w:rPr>
          <w:spacing w:val="-2"/>
        </w:rPr>
        <w:t xml:space="preserve"> </w:t>
      </w:r>
      <w:r>
        <w:t>greater</w:t>
      </w:r>
      <w:r>
        <w:rPr>
          <w:spacing w:val="-2"/>
        </w:rPr>
        <w:t xml:space="preserve"> </w:t>
      </w:r>
      <w:r>
        <w:t>than</w:t>
      </w:r>
      <w:r>
        <w:rPr>
          <w:spacing w:val="-2"/>
        </w:rPr>
        <w:t xml:space="preserve"> </w:t>
      </w:r>
      <w:r>
        <w:t>or</w:t>
      </w:r>
      <w:r>
        <w:rPr>
          <w:spacing w:val="-2"/>
        </w:rPr>
        <w:t xml:space="preserve"> </w:t>
      </w:r>
      <w:r>
        <w:t>equal</w:t>
      </w:r>
      <w:r>
        <w:rPr>
          <w:spacing w:val="-2"/>
        </w:rPr>
        <w:t xml:space="preserve"> </w:t>
      </w:r>
      <w:r>
        <w:t>to</w:t>
      </w:r>
      <w:r>
        <w:rPr>
          <w:spacing w:val="-2"/>
        </w:rPr>
        <w:t xml:space="preserve"> </w:t>
      </w:r>
      <w:r>
        <w:t>its</w:t>
      </w:r>
      <w:r>
        <w:rPr>
          <w:spacing w:val="-2"/>
        </w:rPr>
        <w:t xml:space="preserve"> </w:t>
      </w:r>
      <w:r>
        <w:t xml:space="preserve">total resource costs. If a measure’s TRC meets or exceeds a given scenario’s threshold, it is included in the economic </w:t>
      </w:r>
      <w:r>
        <w:t>potential for that scenario.</w:t>
      </w:r>
    </w:p>
    <w:p w:rsidR="00C31389" w:rsidRDefault="00C31389" w14:paraId="2BECEF14" w14:textId="77777777">
      <w:pPr>
        <w:pStyle w:val="BodyText"/>
        <w:spacing w:before="9"/>
        <w:rPr>
          <w:sz w:val="20"/>
        </w:rPr>
      </w:pPr>
    </w:p>
    <w:p w:rsidR="00C31389" w:rsidRDefault="00561FBD" w14:paraId="3B9CAA62" w14:textId="77777777">
      <w:pPr>
        <w:pStyle w:val="BodyText"/>
        <w:ind w:left="480" w:right="615" w:hanging="1"/>
      </w:pPr>
      <w:r>
        <w:t>The</w:t>
      </w:r>
      <w:r>
        <w:rPr>
          <w:spacing w:val="-3"/>
        </w:rPr>
        <w:t xml:space="preserve"> </w:t>
      </w:r>
      <w:r>
        <w:t>TRC</w:t>
      </w:r>
      <w:r>
        <w:rPr>
          <w:spacing w:val="-4"/>
        </w:rPr>
        <w:t xml:space="preserve"> </w:t>
      </w:r>
      <w:r>
        <w:t>test</w:t>
      </w:r>
      <w:r>
        <w:rPr>
          <w:spacing w:val="-3"/>
        </w:rPr>
        <w:t xml:space="preserve"> </w:t>
      </w:r>
      <w:r>
        <w:t>is</w:t>
      </w:r>
      <w:r>
        <w:rPr>
          <w:spacing w:val="-3"/>
        </w:rPr>
        <w:t xml:space="preserve"> </w:t>
      </w:r>
      <w:r>
        <w:t>a</w:t>
      </w:r>
      <w:r>
        <w:rPr>
          <w:spacing w:val="-3"/>
        </w:rPr>
        <w:t xml:space="preserve"> </w:t>
      </w:r>
      <w:r>
        <w:t>benefit-cost</w:t>
      </w:r>
      <w:r>
        <w:rPr>
          <w:spacing w:val="-3"/>
        </w:rPr>
        <w:t xml:space="preserve"> </w:t>
      </w:r>
      <w:r>
        <w:t>metric</w:t>
      </w:r>
      <w:r>
        <w:rPr>
          <w:spacing w:val="-3"/>
        </w:rPr>
        <w:t xml:space="preserve"> </w:t>
      </w:r>
      <w:r>
        <w:t>that</w:t>
      </w:r>
      <w:r>
        <w:rPr>
          <w:spacing w:val="-3"/>
        </w:rPr>
        <w:t xml:space="preserve"> </w:t>
      </w:r>
      <w:r>
        <w:t>measures</w:t>
      </w:r>
      <w:r>
        <w:rPr>
          <w:spacing w:val="-3"/>
        </w:rPr>
        <w:t xml:space="preserve"> </w:t>
      </w:r>
      <w:r>
        <w:t>the</w:t>
      </w:r>
      <w:r>
        <w:rPr>
          <w:spacing w:val="-3"/>
        </w:rPr>
        <w:t xml:space="preserve"> </w:t>
      </w:r>
      <w:r>
        <w:t>net</w:t>
      </w:r>
      <w:r>
        <w:rPr>
          <w:spacing w:val="-4"/>
        </w:rPr>
        <w:t xml:space="preserve"> </w:t>
      </w:r>
      <w:r>
        <w:t>benefits</w:t>
      </w:r>
      <w:r>
        <w:rPr>
          <w:spacing w:val="-3"/>
        </w:rPr>
        <w:t xml:space="preserve"> </w:t>
      </w:r>
      <w:r>
        <w:t>of</w:t>
      </w:r>
      <w:r>
        <w:rPr>
          <w:spacing w:val="-3"/>
        </w:rPr>
        <w:t xml:space="preserve"> </w:t>
      </w:r>
      <w:r>
        <w:t>EE</w:t>
      </w:r>
      <w:r>
        <w:rPr>
          <w:spacing w:val="-3"/>
        </w:rPr>
        <w:t xml:space="preserve"> </w:t>
      </w:r>
      <w:r>
        <w:t>measures</w:t>
      </w:r>
      <w:r>
        <w:rPr>
          <w:spacing w:val="-3"/>
        </w:rPr>
        <w:t xml:space="preserve"> </w:t>
      </w:r>
      <w:r>
        <w:t xml:space="preserve">from the combined stakeholder viewpoint of the utility (or program administrator) and the customers. The TRC benefit-cost ratio is calculated </w:t>
      </w:r>
      <w:r>
        <w:t xml:space="preserve">in the model using </w:t>
      </w:r>
      <w:hyperlink w:history="1" w:anchor="_bookmark522">
        <w:r>
          <w:t>Equation I-1</w:t>
        </w:r>
      </w:hyperlink>
      <w:r>
        <w:t>.</w:t>
      </w:r>
    </w:p>
    <w:p w:rsidR="00C31389" w:rsidRDefault="00C31389" w14:paraId="04413C75" w14:textId="77777777">
      <w:pPr>
        <w:pStyle w:val="BodyText"/>
        <w:spacing w:before="10"/>
        <w:rPr>
          <w:sz w:val="12"/>
        </w:rPr>
      </w:pPr>
    </w:p>
    <w:p w:rsidR="00C31389" w:rsidRDefault="00C31389" w14:paraId="55B91996" w14:textId="77777777">
      <w:pPr>
        <w:rPr>
          <w:sz w:val="12"/>
        </w:rPr>
        <w:sectPr w:rsidR="00C31389">
          <w:headerReference w:type="default" r:id="rId341"/>
          <w:footerReference w:type="default" r:id="rId342"/>
          <w:pgSz w:w="11910" w:h="16840"/>
          <w:pgMar w:top="1380" w:right="1020" w:bottom="1120" w:left="960" w:header="397" w:footer="938" w:gutter="0"/>
          <w:cols w:space="720"/>
        </w:sectPr>
      </w:pPr>
    </w:p>
    <w:p w:rsidR="00C31389" w:rsidRDefault="00C31389" w14:paraId="39177B77" w14:textId="77777777">
      <w:pPr>
        <w:pStyle w:val="BodyText"/>
        <w:rPr>
          <w:sz w:val="24"/>
        </w:rPr>
      </w:pPr>
    </w:p>
    <w:p w:rsidR="00C31389" w:rsidRDefault="00C31389" w14:paraId="54E85441" w14:textId="77777777">
      <w:pPr>
        <w:pStyle w:val="BodyText"/>
        <w:rPr>
          <w:sz w:val="24"/>
        </w:rPr>
      </w:pPr>
    </w:p>
    <w:p w:rsidR="00C31389" w:rsidRDefault="00C31389" w14:paraId="6FF51B26" w14:textId="77777777">
      <w:pPr>
        <w:pStyle w:val="BodyText"/>
        <w:rPr>
          <w:sz w:val="24"/>
        </w:rPr>
      </w:pPr>
    </w:p>
    <w:p w:rsidR="00C31389" w:rsidRDefault="00561FBD" w14:paraId="291F8355" w14:textId="77777777">
      <w:pPr>
        <w:pStyle w:val="BodyText"/>
        <w:spacing w:before="188"/>
        <w:ind w:left="480"/>
      </w:pPr>
      <w:bookmarkStart w:name="_bookmark522" w:id="681"/>
      <w:bookmarkEnd w:id="681"/>
      <w:r>
        <w:rPr>
          <w:spacing w:val="-2"/>
        </w:rPr>
        <w:t>Where:</w:t>
      </w:r>
    </w:p>
    <w:p w:rsidR="00C31389" w:rsidRDefault="00561FBD" w14:paraId="38FE178A" w14:textId="77777777">
      <w:pPr>
        <w:pStyle w:val="Heading7"/>
        <w:spacing w:before="93"/>
        <w:ind w:left="497" w:right="1759"/>
        <w:jc w:val="center"/>
      </w:pPr>
      <w:r>
        <w:rPr>
          <w:b w:val="0"/>
        </w:rPr>
        <w:br w:type="column"/>
      </w:r>
      <w:r>
        <w:t>Equation</w:t>
      </w:r>
      <w:r>
        <w:rPr>
          <w:spacing w:val="-7"/>
        </w:rPr>
        <w:t xml:space="preserve"> </w:t>
      </w:r>
      <w:r>
        <w:t>I-1.</w:t>
      </w:r>
      <w:r>
        <w:rPr>
          <w:spacing w:val="-6"/>
        </w:rPr>
        <w:t xml:space="preserve"> </w:t>
      </w:r>
      <w:r>
        <w:t>Benefit-Cost</w:t>
      </w:r>
      <w:r>
        <w:rPr>
          <w:spacing w:val="-7"/>
        </w:rPr>
        <w:t xml:space="preserve"> </w:t>
      </w:r>
      <w:r>
        <w:t>Ratio</w:t>
      </w:r>
      <w:r>
        <w:rPr>
          <w:spacing w:val="-6"/>
        </w:rPr>
        <w:t xml:space="preserve"> </w:t>
      </w:r>
      <w:r>
        <w:t>for</w:t>
      </w:r>
      <w:r>
        <w:rPr>
          <w:spacing w:val="-8"/>
        </w:rPr>
        <w:t xml:space="preserve"> </w:t>
      </w:r>
      <w:r>
        <w:t>the</w:t>
      </w:r>
      <w:r>
        <w:rPr>
          <w:spacing w:val="-6"/>
        </w:rPr>
        <w:t xml:space="preserve"> </w:t>
      </w:r>
      <w:r>
        <w:t>TRC</w:t>
      </w:r>
      <w:r>
        <w:rPr>
          <w:spacing w:val="-7"/>
        </w:rPr>
        <w:t xml:space="preserve"> </w:t>
      </w:r>
      <w:r>
        <w:rPr>
          <w:spacing w:val="-4"/>
        </w:rPr>
        <w:t>Test</w:t>
      </w:r>
    </w:p>
    <w:p w:rsidR="00C31389" w:rsidRDefault="00561FBD" w14:paraId="06D9E3CD" w14:textId="77777777">
      <w:pPr>
        <w:spacing w:before="98" w:line="211" w:lineRule="exact"/>
        <w:ind w:left="2672"/>
        <w:rPr>
          <w:rFonts w:ascii="Cambria Math" w:eastAsia="Cambria Math"/>
        </w:rPr>
      </w:pPr>
      <w:r>
        <w:rPr>
          <w:rFonts w:ascii="Cambria Math" w:eastAsia="Cambria Math"/>
          <w:w w:val="45"/>
        </w:rPr>
        <w:t>𝑃𝑃𝑉𝑉</w:t>
      </w:r>
      <w:r>
        <w:rPr>
          <w:rFonts w:ascii="Cambria Math" w:eastAsia="Cambria Math"/>
          <w:w w:val="45"/>
        </w:rPr>
        <w:t>(</w:t>
      </w:r>
      <w:r>
        <w:rPr>
          <w:rFonts w:ascii="Cambria Math" w:eastAsia="Cambria Math"/>
          <w:w w:val="45"/>
        </w:rPr>
        <w:t>𝐴𝐴𝐴𝐴𝑇𝑇𝐵𝐵𝐴𝐴𝑆𝑆𝐴𝐴</w:t>
      </w:r>
      <w:r>
        <w:rPr>
          <w:rFonts w:ascii="Cambria Math" w:eastAsia="Cambria Math"/>
          <w:spacing w:val="2"/>
        </w:rPr>
        <w:t xml:space="preserve"> </w:t>
      </w:r>
      <w:r>
        <w:rPr>
          <w:rFonts w:ascii="Cambria Math" w:eastAsia="Cambria Math"/>
          <w:w w:val="45"/>
        </w:rPr>
        <w:t>𝐶𝐶𝑇𝑇𝑆𝑆𝑇𝑇</w:t>
      </w:r>
      <w:r>
        <w:rPr>
          <w:rFonts w:ascii="Cambria Math" w:eastAsia="Cambria Math"/>
        </w:rPr>
        <w:t xml:space="preserve"> </w:t>
      </w:r>
      <w:r>
        <w:rPr>
          <w:rFonts w:ascii="Cambria Math" w:eastAsia="Cambria Math"/>
          <w:spacing w:val="-2"/>
          <w:w w:val="45"/>
        </w:rPr>
        <w:t>𝐵𝐵𝑆𝑆𝐵𝐵𝑆𝑆𝐵𝐵𝐵𝐵𝑇𝑇𝑆𝑆</w:t>
      </w:r>
      <w:r>
        <w:rPr>
          <w:rFonts w:ascii="Cambria Math" w:eastAsia="Cambria Math"/>
          <w:spacing w:val="-2"/>
          <w:w w:val="45"/>
        </w:rPr>
        <w:t>)</w:t>
      </w:r>
    </w:p>
    <w:p w:rsidR="00C31389" w:rsidRDefault="00561FBD" w14:paraId="7004DAB4" w14:textId="77777777">
      <w:pPr>
        <w:pStyle w:val="BodyText"/>
        <w:spacing w:line="361" w:lineRule="exact"/>
        <w:ind w:left="497" w:right="1759"/>
        <w:jc w:val="center"/>
        <w:rPr>
          <w:rFonts w:ascii="Cambria Math" w:hAnsi="Cambria Math" w:eastAsia="Cambria Math"/>
        </w:rPr>
      </w:pPr>
      <w:r>
        <w:rPr>
          <w:noProof/>
        </w:rPr>
        <mc:AlternateContent>
          <mc:Choice Requires="wps">
            <w:drawing>
              <wp:anchor distT="0" distB="0" distL="0" distR="0" simplePos="0" relativeHeight="465574912" behindDoc="1" locked="0" layoutInCell="1" allowOverlap="1" wp14:editId="1DC6C8A7" wp14:anchorId="1CAFC289">
                <wp:simplePos x="0" y="0"/>
                <wp:positionH relativeFrom="page">
                  <wp:posOffset>2199132</wp:posOffset>
                </wp:positionH>
                <wp:positionV relativeFrom="paragraph">
                  <wp:posOffset>59597</wp:posOffset>
                </wp:positionV>
                <wp:extent cx="3606800" cy="9525"/>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0" cy="9525"/>
                        </a:xfrm>
                        <a:custGeom>
                          <a:avLst/>
                          <a:gdLst/>
                          <a:ahLst/>
                          <a:cxnLst/>
                          <a:rect l="l" t="t" r="r" b="b"/>
                          <a:pathLst>
                            <a:path w="3606800" h="9525">
                              <a:moveTo>
                                <a:pt x="3606546" y="0"/>
                              </a:moveTo>
                              <a:lnTo>
                                <a:pt x="0" y="0"/>
                              </a:lnTo>
                              <a:lnTo>
                                <a:pt x="0" y="9144"/>
                              </a:lnTo>
                              <a:lnTo>
                                <a:pt x="3606546" y="9144"/>
                              </a:lnTo>
                              <a:lnTo>
                                <a:pt x="36065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87" style="position:absolute;margin-left:173.15pt;margin-top:4.7pt;width:284pt;height:.75pt;z-index:-37741568;visibility:visible;mso-wrap-style:square;mso-wrap-distance-left:0;mso-wrap-distance-top:0;mso-wrap-distance-right:0;mso-wrap-distance-bottom:0;mso-position-horizontal:absolute;mso-position-horizontal-relative:page;mso-position-vertical:absolute;mso-position-vertical-relative:text;v-text-anchor:top" coordsize="3606800,9525" o:spid="_x0000_s1026" fillcolor="black" stroked="f" path="m3606546,l,,,9144r3606546,l36065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" w14:anchorId="319EC025">
                <v:path arrowok="t"/>
                <w10:wrap anchorx="page"/>
              </v:shape>
            </w:pict>
          </mc:Fallback>
        </mc:AlternateContent>
      </w:r>
      <w:r>
        <w:rPr>
          <w:rFonts w:ascii="Cambria Math" w:hAnsi="Cambria Math" w:eastAsia="Cambria Math"/>
          <w:w w:val="50"/>
          <w:position w:val="15"/>
        </w:rPr>
        <w:t>𝑇𝑇𝑅𝑅𝐶𝐶</w:t>
      </w:r>
      <w:r>
        <w:rPr>
          <w:rFonts w:ascii="Cambria Math" w:hAnsi="Cambria Math" w:eastAsia="Cambria Math"/>
          <w:spacing w:val="16"/>
          <w:position w:val="15"/>
        </w:rPr>
        <w:t xml:space="preserve"> </w:t>
      </w:r>
      <w:r>
        <w:rPr>
          <w:rFonts w:ascii="Cambria Math" w:hAnsi="Cambria Math" w:eastAsia="Cambria Math"/>
          <w:w w:val="50"/>
          <w:position w:val="15"/>
        </w:rPr>
        <w:t>=</w:t>
      </w:r>
      <w:r>
        <w:rPr>
          <w:rFonts w:ascii="Cambria Math" w:hAnsi="Cambria Math" w:eastAsia="Cambria Math"/>
          <w:spacing w:val="8"/>
          <w:position w:val="15"/>
        </w:rPr>
        <w:t xml:space="preserve"> </w:t>
      </w:r>
      <w:r>
        <w:rPr>
          <w:rFonts w:ascii="Cambria Math" w:hAnsi="Cambria Math" w:eastAsia="Cambria Math"/>
          <w:w w:val="50"/>
        </w:rPr>
        <w:t>𝑃𝑃𝑉𝑉</w:t>
      </w:r>
      <w:r>
        <w:rPr>
          <w:rFonts w:ascii="Cambria Math" w:hAnsi="Cambria Math" w:eastAsia="Cambria Math"/>
          <w:w w:val="50"/>
          <w:position w:val="1"/>
        </w:rPr>
        <w:t>(</w:t>
      </w:r>
      <w:r>
        <w:rPr>
          <w:rFonts w:ascii="Cambria Math" w:hAnsi="Cambria Math" w:eastAsia="Cambria Math"/>
          <w:w w:val="50"/>
        </w:rPr>
        <w:t>𝐼𝐼𝐵𝐵𝐶𝐶𝐸𝐸𝑆𝑆𝑆𝑆𝑆𝑆𝐵𝐵𝑇𝑇𝑇𝑇𝑇𝑇</w:t>
      </w:r>
      <w:r>
        <w:rPr>
          <w:rFonts w:ascii="Cambria Math" w:hAnsi="Cambria Math" w:eastAsia="Cambria Math"/>
          <w:spacing w:val="4"/>
        </w:rPr>
        <w:t xml:space="preserve"> </w:t>
      </w:r>
      <w:r>
        <w:rPr>
          <w:rFonts w:ascii="Cambria Math" w:hAnsi="Cambria Math" w:eastAsia="Cambria Math"/>
          <w:w w:val="50"/>
        </w:rPr>
        <w:t>𝐶𝐶𝑇𝑇𝑆𝑆𝑇𝑇</w:t>
      </w:r>
      <w:r>
        <w:rPr>
          <w:rFonts w:ascii="Cambria Math" w:hAnsi="Cambria Math" w:eastAsia="Cambria Math"/>
          <w:spacing w:val="2"/>
        </w:rPr>
        <w:t xml:space="preserve"> </w:t>
      </w:r>
      <w:r>
        <w:rPr>
          <w:rFonts w:ascii="Cambria Math" w:hAnsi="Cambria Math" w:eastAsia="Cambria Math"/>
          <w:w w:val="50"/>
        </w:rPr>
        <w:t>+</w:t>
      </w:r>
      <w:r>
        <w:rPr>
          <w:rFonts w:ascii="Cambria Math" w:hAnsi="Cambria Math" w:eastAsia="Cambria Math"/>
          <w:spacing w:val="-5"/>
        </w:rPr>
        <w:t xml:space="preserve"> </w:t>
      </w:r>
      <w:r>
        <w:rPr>
          <w:rFonts w:ascii="Cambria Math" w:hAnsi="Cambria Math" w:eastAsia="Cambria Math"/>
          <w:w w:val="50"/>
        </w:rPr>
        <w:t>𝐴𝐴𝐴𝐴𝑆𝑆𝐵𝐵𝐵𝐵</w:t>
      </w:r>
      <w:r>
        <w:rPr>
          <w:rFonts w:ascii="Cambria Math" w:hAnsi="Cambria Math" w:eastAsia="Cambria Math"/>
          <w:spacing w:val="-1"/>
        </w:rPr>
        <w:t xml:space="preserve"> </w:t>
      </w:r>
      <w:r>
        <w:rPr>
          <w:rFonts w:ascii="Cambria Math" w:hAnsi="Cambria Math" w:eastAsia="Cambria Math"/>
          <w:w w:val="50"/>
        </w:rPr>
        <w:t>𝐶𝐶𝑇𝑇𝑆𝑆𝑇𝑇𝑆𝑆</w:t>
      </w:r>
      <w:r>
        <w:rPr>
          <w:rFonts w:ascii="Cambria Math" w:hAnsi="Cambria Math" w:eastAsia="Cambria Math"/>
          <w:w w:val="50"/>
          <w:position w:val="1"/>
        </w:rPr>
        <w:t>)</w:t>
      </w:r>
      <w:r>
        <w:rPr>
          <w:rFonts w:ascii="Cambria Math" w:hAnsi="Cambria Math" w:eastAsia="Cambria Math"/>
          <w:spacing w:val="-2"/>
          <w:position w:val="1"/>
        </w:rPr>
        <w:t xml:space="preserve"> </w:t>
      </w:r>
      <w:r>
        <w:rPr>
          <w:rFonts w:ascii="Cambria Math" w:hAnsi="Cambria Math" w:eastAsia="Cambria Math"/>
          <w:w w:val="50"/>
        </w:rPr>
        <w:t>−</w:t>
      </w:r>
      <w:r>
        <w:rPr>
          <w:rFonts w:ascii="Cambria Math" w:hAnsi="Cambria Math" w:eastAsia="Cambria Math"/>
          <w:spacing w:val="-5"/>
        </w:rPr>
        <w:t xml:space="preserve"> </w:t>
      </w:r>
      <w:r>
        <w:rPr>
          <w:rFonts w:ascii="Cambria Math" w:hAnsi="Cambria Math" w:eastAsia="Cambria Math"/>
          <w:w w:val="50"/>
        </w:rPr>
        <w:t>P</w:t>
      </w:r>
      <w:r>
        <w:rPr>
          <w:rFonts w:ascii="Cambria Math" w:hAnsi="Cambria Math" w:eastAsia="Cambria Math"/>
          <w:w w:val="50"/>
        </w:rPr>
        <w:t>𝑉𝑉</w:t>
      </w:r>
      <w:r>
        <w:rPr>
          <w:rFonts w:ascii="Cambria Math" w:hAnsi="Cambria Math" w:eastAsia="Cambria Math"/>
          <w:w w:val="50"/>
        </w:rPr>
        <w:t>(</w:t>
      </w:r>
      <w:r>
        <w:rPr>
          <w:rFonts w:ascii="Cambria Math" w:hAnsi="Cambria Math" w:eastAsia="Cambria Math"/>
          <w:w w:val="50"/>
        </w:rPr>
        <w:t>𝑆𝑆𝑆𝑆𝐶𝐶𝐶𝐶𝑇𝑇𝑆𝑆</w:t>
      </w:r>
      <w:r>
        <w:rPr>
          <w:rFonts w:ascii="Cambria Math" w:hAnsi="Cambria Math" w:eastAsia="Cambria Math"/>
          <w:spacing w:val="1"/>
        </w:rPr>
        <w:t xml:space="preserve"> </w:t>
      </w:r>
      <w:r>
        <w:rPr>
          <w:rFonts w:ascii="Cambria Math" w:hAnsi="Cambria Math" w:eastAsia="Cambria Math"/>
          <w:spacing w:val="-2"/>
          <w:w w:val="50"/>
        </w:rPr>
        <w:t>𝐶𝐶𝑇𝑇𝑆𝑆𝑇𝑇𝑆𝑆</w:t>
      </w:r>
      <w:r>
        <w:rPr>
          <w:rFonts w:ascii="Cambria Math" w:hAnsi="Cambria Math" w:eastAsia="Cambria Math"/>
          <w:spacing w:val="-2"/>
          <w:w w:val="50"/>
        </w:rPr>
        <w:t>)</w:t>
      </w:r>
    </w:p>
    <w:p w:rsidR="00C31389" w:rsidRDefault="00C31389" w14:paraId="0547242E" w14:textId="77777777">
      <w:pPr>
        <w:spacing w:line="361" w:lineRule="exact"/>
        <w:jc w:val="center"/>
        <w:rPr>
          <w:rFonts w:ascii="Cambria Math" w:hAnsi="Cambria Math" w:eastAsia="Cambria Math"/>
        </w:rPr>
        <w:sectPr w:rsidR="00C31389">
          <w:type w:val="continuous"/>
          <w:pgSz w:w="11910" w:h="16840"/>
          <w:pgMar w:top="0" w:right="1020" w:bottom="280" w:left="960" w:header="397" w:footer="938" w:gutter="0"/>
          <w:cols w:equalWidth="0" w:space="720" w:num="2">
            <w:col w:w="1230" w:space="94"/>
            <w:col w:w="8606"/>
          </w:cols>
        </w:sectPr>
      </w:pPr>
    </w:p>
    <w:p w:rsidR="00C31389" w:rsidRDefault="00561FBD" w14:paraId="1543A4B2" w14:textId="77777777">
      <w:pPr>
        <w:pStyle w:val="ListParagraph"/>
        <w:numPr>
          <w:ilvl w:val="0"/>
          <w:numId w:val="5"/>
        </w:numPr>
        <w:tabs>
          <w:tab w:val="left" w:pos="1199"/>
        </w:tabs>
        <w:spacing w:before="119"/>
        <w:ind w:right="689"/>
      </w:pPr>
      <w:r>
        <w:rPr>
          <w:b/>
        </w:rPr>
        <w:t>PV</w:t>
      </w:r>
      <w:r>
        <w:rPr>
          <w:b/>
          <w:spacing w:val="-4"/>
        </w:rPr>
        <w:t xml:space="preserve"> </w:t>
      </w:r>
      <w:r>
        <w:t>is</w:t>
      </w:r>
      <w:r>
        <w:rPr>
          <w:spacing w:val="-3"/>
        </w:rPr>
        <w:t xml:space="preserve"> </w:t>
      </w:r>
      <w:r>
        <w:t>the</w:t>
      </w:r>
      <w:r>
        <w:rPr>
          <w:spacing w:val="-3"/>
        </w:rPr>
        <w:t xml:space="preserve"> </w:t>
      </w:r>
      <w:r>
        <w:t>present</w:t>
      </w:r>
      <w:r>
        <w:rPr>
          <w:spacing w:val="-3"/>
        </w:rPr>
        <w:t xml:space="preserve"> </w:t>
      </w:r>
      <w:r>
        <w:t>value</w:t>
      </w:r>
      <w:r>
        <w:rPr>
          <w:spacing w:val="-4"/>
        </w:rPr>
        <w:t xml:space="preserve"> </w:t>
      </w:r>
      <w:r>
        <w:t>calculation</w:t>
      </w:r>
      <w:r>
        <w:rPr>
          <w:spacing w:val="-3"/>
        </w:rPr>
        <w:t xml:space="preserve"> </w:t>
      </w:r>
      <w:r>
        <w:t>that</w:t>
      </w:r>
      <w:r>
        <w:rPr>
          <w:spacing w:val="-3"/>
        </w:rPr>
        <w:t xml:space="preserve"> </w:t>
      </w:r>
      <w:r>
        <w:t>discounts</w:t>
      </w:r>
      <w:r>
        <w:rPr>
          <w:spacing w:val="-3"/>
        </w:rPr>
        <w:t xml:space="preserve"> </w:t>
      </w:r>
      <w:r>
        <w:t>cost</w:t>
      </w:r>
      <w:r>
        <w:rPr>
          <w:spacing w:val="-4"/>
        </w:rPr>
        <w:t xml:space="preserve"> </w:t>
      </w:r>
      <w:r>
        <w:t>streams</w:t>
      </w:r>
      <w:r>
        <w:rPr>
          <w:spacing w:val="-3"/>
        </w:rPr>
        <w:t xml:space="preserve"> </w:t>
      </w:r>
      <w:r>
        <w:t>over</w:t>
      </w:r>
      <w:r>
        <w:rPr>
          <w:spacing w:val="-3"/>
        </w:rPr>
        <w:t xml:space="preserve"> </w:t>
      </w:r>
      <w:r>
        <w:t>time.</w:t>
      </w:r>
      <w:r>
        <w:rPr>
          <w:spacing w:val="-3"/>
        </w:rPr>
        <w:t xml:space="preserve"> </w:t>
      </w:r>
      <w:r>
        <w:t>Discount rates are sourced from the CET and vary by utility.</w:t>
      </w:r>
    </w:p>
    <w:p w:rsidR="00C31389" w:rsidRDefault="00561FBD" w14:paraId="5F120C0A" w14:textId="77777777">
      <w:pPr>
        <w:pStyle w:val="ListParagraph"/>
        <w:numPr>
          <w:ilvl w:val="0"/>
          <w:numId w:val="5"/>
        </w:numPr>
        <w:tabs>
          <w:tab w:val="left" w:pos="1199"/>
        </w:tabs>
        <w:spacing w:before="118"/>
        <w:ind w:right="605" w:hanging="361"/>
      </w:pPr>
      <w:r>
        <w:rPr>
          <w:b/>
        </w:rPr>
        <w:t xml:space="preserve">Avoided Cost Benefits </w:t>
      </w:r>
      <w:r>
        <w:t>are the monetary benefits that result from electric and gas energy and capacity savings—e.g., avoided or deferred costs of grid infrastructure investments and avoided long-run marginal cost (commodity costs) due to electric energy con</w:t>
      </w:r>
      <w:r>
        <w:t>served by efficient measures. These avoided costs decrease due to the increased consumption of any interactive effects. The avoided cost benefits is calculated</w:t>
      </w:r>
      <w:r>
        <w:rPr>
          <w:spacing w:val="-4"/>
        </w:rPr>
        <w:t xml:space="preserve"> </w:t>
      </w:r>
      <w:r>
        <w:t>by</w:t>
      </w:r>
      <w:r>
        <w:rPr>
          <w:spacing w:val="-3"/>
        </w:rPr>
        <w:t xml:space="preserve"> </w:t>
      </w:r>
      <w:r>
        <w:t>applying</w:t>
      </w:r>
      <w:r>
        <w:rPr>
          <w:spacing w:val="-4"/>
        </w:rPr>
        <w:t xml:space="preserve"> </w:t>
      </w:r>
      <w:r>
        <w:t>annual</w:t>
      </w:r>
      <w:r>
        <w:rPr>
          <w:spacing w:val="-3"/>
        </w:rPr>
        <w:t xml:space="preserve"> </w:t>
      </w:r>
      <w:r>
        <w:t>measure</w:t>
      </w:r>
      <w:r>
        <w:rPr>
          <w:spacing w:val="-3"/>
        </w:rPr>
        <w:t xml:space="preserve"> </w:t>
      </w:r>
      <w:r>
        <w:t>savings</w:t>
      </w:r>
      <w:r>
        <w:rPr>
          <w:spacing w:val="-4"/>
        </w:rPr>
        <w:t xml:space="preserve"> </w:t>
      </w:r>
      <w:r>
        <w:t>to</w:t>
      </w:r>
      <w:r>
        <w:rPr>
          <w:spacing w:val="-3"/>
        </w:rPr>
        <w:t xml:space="preserve"> </w:t>
      </w:r>
      <w:r>
        <w:t>avoided</w:t>
      </w:r>
      <w:r>
        <w:rPr>
          <w:spacing w:val="-3"/>
        </w:rPr>
        <w:t xml:space="preserve"> </w:t>
      </w:r>
      <w:r>
        <w:t>costs</w:t>
      </w:r>
      <w:r>
        <w:rPr>
          <w:spacing w:val="-3"/>
        </w:rPr>
        <w:t xml:space="preserve"> </w:t>
      </w:r>
      <w:r>
        <w:t>over</w:t>
      </w:r>
      <w:r>
        <w:rPr>
          <w:spacing w:val="-3"/>
        </w:rPr>
        <w:t xml:space="preserve"> </w:t>
      </w:r>
      <w:r>
        <w:t>the</w:t>
      </w:r>
      <w:r>
        <w:rPr>
          <w:spacing w:val="-3"/>
        </w:rPr>
        <w:t xml:space="preserve"> </w:t>
      </w:r>
      <w:r>
        <w:t>lifetime</w:t>
      </w:r>
      <w:r>
        <w:rPr>
          <w:spacing w:val="-3"/>
        </w:rPr>
        <w:t xml:space="preserve"> </w:t>
      </w:r>
      <w:r>
        <w:t>of the measure</w:t>
      </w:r>
    </w:p>
    <w:p w:rsidR="00C31389" w:rsidRDefault="00561FBD" w14:paraId="5264D17F" w14:textId="77777777">
      <w:pPr>
        <w:pStyle w:val="ListParagraph"/>
        <w:numPr>
          <w:ilvl w:val="0"/>
          <w:numId w:val="5"/>
        </w:numPr>
        <w:tabs>
          <w:tab w:val="left" w:pos="1199"/>
        </w:tabs>
        <w:spacing w:before="119"/>
        <w:ind w:right="518"/>
      </w:pPr>
      <w:r>
        <w:rPr>
          <w:b/>
        </w:rPr>
        <w:t>Incremental</w:t>
      </w:r>
      <w:r>
        <w:rPr>
          <w:b/>
        </w:rPr>
        <w:t xml:space="preserve"> Cost </w:t>
      </w:r>
      <w:r>
        <w:t>is the measure cost as defined by replacement type. This is sourced from the electronic Technical Reference Manual (eTRM), measure packages,</w:t>
      </w:r>
      <w:r>
        <w:rPr>
          <w:spacing w:val="-3"/>
        </w:rPr>
        <w:t xml:space="preserve"> </w:t>
      </w:r>
      <w:r>
        <w:t>and</w:t>
      </w:r>
      <w:r>
        <w:rPr>
          <w:spacing w:val="-3"/>
        </w:rPr>
        <w:t xml:space="preserve"> </w:t>
      </w:r>
      <w:r>
        <w:t>other</w:t>
      </w:r>
      <w:r>
        <w:rPr>
          <w:spacing w:val="-3"/>
        </w:rPr>
        <w:t xml:space="preserve"> </w:t>
      </w:r>
      <w:r>
        <w:t>sources</w:t>
      </w:r>
      <w:r>
        <w:rPr>
          <w:spacing w:val="-3"/>
        </w:rPr>
        <w:t xml:space="preserve"> </w:t>
      </w:r>
      <w:r>
        <w:t>as</w:t>
      </w:r>
      <w:r>
        <w:rPr>
          <w:spacing w:val="-3"/>
        </w:rPr>
        <w:t xml:space="preserve"> </w:t>
      </w:r>
      <w:r>
        <w:t>appropriate</w:t>
      </w:r>
      <w:r>
        <w:rPr>
          <w:spacing w:val="-3"/>
        </w:rPr>
        <w:t xml:space="preserve"> </w:t>
      </w:r>
      <w:r>
        <w:t>and</w:t>
      </w:r>
      <w:r>
        <w:rPr>
          <w:spacing w:val="-4"/>
        </w:rPr>
        <w:t xml:space="preserve"> </w:t>
      </w:r>
      <w:r>
        <w:t>are</w:t>
      </w:r>
      <w:r>
        <w:rPr>
          <w:spacing w:val="-3"/>
        </w:rPr>
        <w:t xml:space="preserve"> </w:t>
      </w:r>
      <w:r>
        <w:t>decremented</w:t>
      </w:r>
      <w:r>
        <w:rPr>
          <w:spacing w:val="-3"/>
        </w:rPr>
        <w:t xml:space="preserve"> </w:t>
      </w:r>
      <w:r>
        <w:t>by</w:t>
      </w:r>
      <w:r>
        <w:rPr>
          <w:spacing w:val="-3"/>
        </w:rPr>
        <w:t xml:space="preserve"> </w:t>
      </w:r>
      <w:r>
        <w:t>any</w:t>
      </w:r>
      <w:r>
        <w:rPr>
          <w:spacing w:val="-3"/>
        </w:rPr>
        <w:t xml:space="preserve"> </w:t>
      </w:r>
      <w:r>
        <w:t>applicable tax credits.</w:t>
      </w:r>
      <w:r>
        <w:rPr>
          <w:spacing w:val="40"/>
        </w:rPr>
        <w:t xml:space="preserve"> </w:t>
      </w:r>
      <w:r>
        <w:t>Incremental cost specific</w:t>
      </w:r>
      <w:r>
        <w:t xml:space="preserve">ally excludes panel upgrade costs for FS </w:t>
      </w:r>
      <w:r>
        <w:rPr>
          <w:spacing w:val="-2"/>
        </w:rPr>
        <w:t>measures</w:t>
      </w:r>
    </w:p>
    <w:p w:rsidR="00C31389" w:rsidRDefault="00561FBD" w14:paraId="00C5C444" w14:textId="77777777">
      <w:pPr>
        <w:pStyle w:val="ListParagraph"/>
        <w:numPr>
          <w:ilvl w:val="0"/>
          <w:numId w:val="5"/>
        </w:numPr>
        <w:tabs>
          <w:tab w:val="left" w:pos="1200"/>
        </w:tabs>
        <w:spacing w:before="118"/>
        <w:ind w:left="1200" w:right="1203" w:hanging="361"/>
      </w:pPr>
      <w:r>
        <w:rPr>
          <w:b/>
        </w:rPr>
        <w:t xml:space="preserve">Admin Costs </w:t>
      </w:r>
      <w:r>
        <w:t>are the non-incentive costs incurred by the utility or program administrator</w:t>
      </w:r>
      <w:r>
        <w:rPr>
          <w:spacing w:val="-4"/>
        </w:rPr>
        <w:t xml:space="preserve"> </w:t>
      </w:r>
      <w:r>
        <w:t>(not</w:t>
      </w:r>
      <w:r>
        <w:rPr>
          <w:spacing w:val="-4"/>
        </w:rPr>
        <w:t xml:space="preserve"> </w:t>
      </w:r>
      <w:r>
        <w:t>including</w:t>
      </w:r>
      <w:r>
        <w:rPr>
          <w:spacing w:val="-4"/>
        </w:rPr>
        <w:t xml:space="preserve"> </w:t>
      </w:r>
      <w:r>
        <w:t>incentives).</w:t>
      </w:r>
      <w:r>
        <w:rPr>
          <w:spacing w:val="-4"/>
        </w:rPr>
        <w:t xml:space="preserve"> </w:t>
      </w:r>
      <w:r>
        <w:t>These</w:t>
      </w:r>
      <w:r>
        <w:rPr>
          <w:spacing w:val="-4"/>
        </w:rPr>
        <w:t xml:space="preserve"> </w:t>
      </w:r>
      <w:r>
        <w:t>are</w:t>
      </w:r>
      <w:r>
        <w:rPr>
          <w:spacing w:val="-4"/>
        </w:rPr>
        <w:t xml:space="preserve"> </w:t>
      </w:r>
      <w:r>
        <w:t>described</w:t>
      </w:r>
      <w:r>
        <w:rPr>
          <w:spacing w:val="-5"/>
        </w:rPr>
        <w:t xml:space="preserve"> </w:t>
      </w:r>
      <w:r>
        <w:t>in</w:t>
      </w:r>
      <w:r>
        <w:rPr>
          <w:spacing w:val="-4"/>
        </w:rPr>
        <w:t xml:space="preserve"> </w:t>
      </w:r>
      <w:r>
        <w:t>Section</w:t>
      </w:r>
      <w:r>
        <w:rPr>
          <w:spacing w:val="-4"/>
        </w:rPr>
        <w:t xml:space="preserve"> </w:t>
      </w:r>
      <w:hyperlink w:history="1" w:anchor="_bookmark111">
        <w:r>
          <w:t>3.1.4</w:t>
        </w:r>
      </w:hyperlink>
      <w:r>
        <w:t>.</w:t>
      </w:r>
    </w:p>
    <w:p w:rsidR="00C31389" w:rsidRDefault="00561FBD" w14:paraId="3E0710FC" w14:textId="77777777">
      <w:pPr>
        <w:pStyle w:val="ListParagraph"/>
        <w:numPr>
          <w:ilvl w:val="0"/>
          <w:numId w:val="5"/>
        </w:numPr>
        <w:tabs>
          <w:tab w:val="left" w:pos="1200"/>
        </w:tabs>
        <w:spacing w:before="119"/>
        <w:ind w:left="1200" w:right="497"/>
      </w:pPr>
      <w:r>
        <w:rPr>
          <w:b/>
        </w:rPr>
        <w:t>Supply</w:t>
      </w:r>
      <w:r>
        <w:rPr>
          <w:b/>
          <w:spacing w:val="-4"/>
        </w:rPr>
        <w:t xml:space="preserve"> </w:t>
      </w:r>
      <w:r>
        <w:rPr>
          <w:b/>
        </w:rPr>
        <w:t>Costs</w:t>
      </w:r>
      <w:r>
        <w:rPr>
          <w:b/>
          <w:spacing w:val="-4"/>
        </w:rPr>
        <w:t xml:space="preserve"> </w:t>
      </w:r>
      <w:r>
        <w:t>are</w:t>
      </w:r>
      <w:r>
        <w:rPr>
          <w:spacing w:val="-4"/>
        </w:rPr>
        <w:t xml:space="preserve"> </w:t>
      </w:r>
      <w:r>
        <w:t>the</w:t>
      </w:r>
      <w:r>
        <w:rPr>
          <w:spacing w:val="-4"/>
        </w:rPr>
        <w:t xml:space="preserve"> </w:t>
      </w:r>
      <w:r>
        <w:t>increased</w:t>
      </w:r>
      <w:r>
        <w:rPr>
          <w:spacing w:val="-4"/>
        </w:rPr>
        <w:t xml:space="preserve"> </w:t>
      </w:r>
      <w:r>
        <w:t>electric</w:t>
      </w:r>
      <w:r>
        <w:rPr>
          <w:spacing w:val="-3"/>
        </w:rPr>
        <w:t xml:space="preserve"> </w:t>
      </w:r>
      <w:r>
        <w:t>or</w:t>
      </w:r>
      <w:r>
        <w:rPr>
          <w:spacing w:val="-4"/>
        </w:rPr>
        <w:t xml:space="preserve"> </w:t>
      </w:r>
      <w:r>
        <w:t>gas</w:t>
      </w:r>
      <w:r>
        <w:rPr>
          <w:spacing w:val="-5"/>
        </w:rPr>
        <w:t xml:space="preserve"> </w:t>
      </w:r>
      <w:r>
        <w:t>consumption</w:t>
      </w:r>
      <w:r>
        <w:rPr>
          <w:spacing w:val="-4"/>
        </w:rPr>
        <w:t xml:space="preserve"> </w:t>
      </w:r>
      <w:r>
        <w:t>and</w:t>
      </w:r>
      <w:r>
        <w:rPr>
          <w:spacing w:val="-4"/>
        </w:rPr>
        <w:t xml:space="preserve"> </w:t>
      </w:r>
      <w:r>
        <w:t>refrigerant</w:t>
      </w:r>
      <w:r>
        <w:rPr>
          <w:spacing w:val="-4"/>
        </w:rPr>
        <w:t xml:space="preserve"> </w:t>
      </w:r>
      <w:r>
        <w:t>leakage for FS measures. Increased supply cost is</w:t>
      </w:r>
      <w:r>
        <w:rPr>
          <w:spacing w:val="-1"/>
        </w:rPr>
        <w:t xml:space="preserve"> </w:t>
      </w:r>
      <w:r>
        <w:t>valued</w:t>
      </w:r>
      <w:r>
        <w:rPr>
          <w:spacing w:val="-1"/>
        </w:rPr>
        <w:t xml:space="preserve"> </w:t>
      </w:r>
      <w:r>
        <w:t>by applying</w:t>
      </w:r>
      <w:r>
        <w:rPr>
          <w:spacing w:val="-1"/>
        </w:rPr>
        <w:t xml:space="preserve"> </w:t>
      </w:r>
      <w:r>
        <w:t xml:space="preserve">the annual increase in the new fuel use to the avoided electricity or gas cost over the life of </w:t>
      </w:r>
      <w:r>
        <w:t>the measure and adding the refrigerant avoided cost.</w:t>
      </w:r>
    </w:p>
    <w:p w:rsidR="00C31389" w:rsidRDefault="00C31389" w14:paraId="30237ACD" w14:textId="77777777">
      <w:pPr>
        <w:pStyle w:val="BodyText"/>
        <w:spacing w:before="7"/>
        <w:rPr>
          <w:sz w:val="20"/>
        </w:rPr>
      </w:pPr>
    </w:p>
    <w:p w:rsidR="00C31389" w:rsidRDefault="00561FBD" w14:paraId="5C2AD4F3" w14:textId="77777777">
      <w:pPr>
        <w:pStyle w:val="BodyText"/>
        <w:ind w:left="480" w:right="505"/>
      </w:pPr>
      <w:r>
        <w:t>The Guidehouse team calculated TRC ratios for each measure based on the present value of</w:t>
      </w:r>
      <w:r>
        <w:rPr>
          <w:spacing w:val="-3"/>
        </w:rPr>
        <w:t xml:space="preserve"> </w:t>
      </w:r>
      <w:r>
        <w:t>benefits</w:t>
      </w:r>
      <w:r>
        <w:rPr>
          <w:spacing w:val="-3"/>
        </w:rPr>
        <w:t xml:space="preserve"> </w:t>
      </w:r>
      <w:r>
        <w:t>and</w:t>
      </w:r>
      <w:r>
        <w:rPr>
          <w:spacing w:val="-3"/>
        </w:rPr>
        <w:t xml:space="preserve"> </w:t>
      </w:r>
      <w:r>
        <w:t>costs</w:t>
      </w:r>
      <w:r>
        <w:rPr>
          <w:spacing w:val="-3"/>
        </w:rPr>
        <w:t xml:space="preserve"> </w:t>
      </w:r>
      <w:r>
        <w:t>(as</w:t>
      </w:r>
      <w:r>
        <w:rPr>
          <w:spacing w:val="-4"/>
        </w:rPr>
        <w:t xml:space="preserve"> </w:t>
      </w:r>
      <w:r>
        <w:t>defined</w:t>
      </w:r>
      <w:r>
        <w:rPr>
          <w:spacing w:val="-3"/>
        </w:rPr>
        <w:t xml:space="preserve"> </w:t>
      </w:r>
      <w:r>
        <w:t>in</w:t>
      </w:r>
      <w:r>
        <w:rPr>
          <w:spacing w:val="-3"/>
        </w:rPr>
        <w:t xml:space="preserve"> </w:t>
      </w:r>
      <w:r>
        <w:t>the</w:t>
      </w:r>
      <w:r>
        <w:rPr>
          <w:spacing w:val="-3"/>
        </w:rPr>
        <w:t xml:space="preserve"> </w:t>
      </w:r>
      <w:r>
        <w:t>numerator</w:t>
      </w:r>
      <w:r>
        <w:rPr>
          <w:spacing w:val="-3"/>
        </w:rPr>
        <w:t xml:space="preserve"> </w:t>
      </w:r>
      <w:r>
        <w:t>and</w:t>
      </w:r>
      <w:r>
        <w:rPr>
          <w:spacing w:val="-3"/>
        </w:rPr>
        <w:t xml:space="preserve"> </w:t>
      </w:r>
      <w:r>
        <w:t>denominator,</w:t>
      </w:r>
      <w:r>
        <w:rPr>
          <w:spacing w:val="-3"/>
        </w:rPr>
        <w:t xml:space="preserve"> </w:t>
      </w:r>
      <w:r>
        <w:t>respectively)</w:t>
      </w:r>
      <w:r>
        <w:rPr>
          <w:spacing w:val="-3"/>
        </w:rPr>
        <w:t xml:space="preserve"> </w:t>
      </w:r>
      <w:r>
        <w:t>over</w:t>
      </w:r>
      <w:r>
        <w:rPr>
          <w:spacing w:val="-3"/>
        </w:rPr>
        <w:t xml:space="preserve"> </w:t>
      </w:r>
      <w:r>
        <w:t>each measure’s life.</w:t>
      </w:r>
    </w:p>
    <w:p w:rsidR="00C31389" w:rsidRDefault="00C31389" w14:paraId="72385D3E" w14:textId="77777777">
      <w:pPr>
        <w:pStyle w:val="BodyText"/>
        <w:rPr>
          <w:sz w:val="21"/>
        </w:rPr>
      </w:pPr>
    </w:p>
    <w:p w:rsidR="00C31389" w:rsidRDefault="00561FBD" w14:paraId="775E1419" w14:textId="77777777">
      <w:pPr>
        <w:pStyle w:val="ListParagraph"/>
        <w:numPr>
          <w:ilvl w:val="2"/>
          <w:numId w:val="7"/>
        </w:numPr>
        <w:tabs>
          <w:tab w:val="left" w:pos="1199"/>
        </w:tabs>
        <w:ind w:left="1199" w:hanging="719"/>
        <w:rPr>
          <w:b/>
          <w:sz w:val="24"/>
        </w:rPr>
      </w:pPr>
      <w:bookmarkStart w:name="I.2.2_TSB" w:id="682"/>
      <w:bookmarkStart w:name="_bookmark523" w:id="683"/>
      <w:bookmarkEnd w:id="682"/>
      <w:bookmarkEnd w:id="683"/>
      <w:r>
        <w:rPr>
          <w:b/>
          <w:spacing w:val="-5"/>
          <w:sz w:val="24"/>
        </w:rPr>
        <w:t>TSB</w:t>
      </w:r>
    </w:p>
    <w:p w:rsidR="00C31389" w:rsidRDefault="00C31389" w14:paraId="6F35F798" w14:textId="77777777">
      <w:pPr>
        <w:rPr>
          <w:sz w:val="24"/>
        </w:rPr>
        <w:sectPr w:rsidR="00C31389">
          <w:type w:val="continuous"/>
          <w:pgSz w:w="11910" w:h="16840"/>
          <w:pgMar w:top="0" w:right="1020" w:bottom="280" w:left="960" w:header="397" w:footer="938" w:gutter="0"/>
          <w:cols w:space="720"/>
        </w:sectPr>
      </w:pPr>
    </w:p>
    <w:p w:rsidR="00C31389" w:rsidRDefault="00C31389" w14:paraId="04686D72" w14:textId="77777777">
      <w:pPr>
        <w:pStyle w:val="BodyText"/>
        <w:rPr>
          <w:b/>
        </w:rPr>
      </w:pPr>
    </w:p>
    <w:p w:rsidR="00C31389" w:rsidRDefault="00C31389" w14:paraId="41BFBE28" w14:textId="77777777">
      <w:pPr>
        <w:pStyle w:val="BodyText"/>
        <w:spacing w:before="10"/>
        <w:rPr>
          <w:b/>
          <w:sz w:val="13"/>
        </w:rPr>
      </w:pPr>
    </w:p>
    <w:p w:rsidR="00C31389" w:rsidRDefault="00561FBD" w14:paraId="73EED8D3" w14:textId="77777777">
      <w:pPr>
        <w:pStyle w:val="BodyText"/>
        <w:spacing w:before="93"/>
        <w:ind w:left="480" w:right="505"/>
      </w:pPr>
      <w:r>
        <w:t>TSB represents the sum of the benefit that a measure provides to the electric and natural gas</w:t>
      </w:r>
      <w:r>
        <w:rPr>
          <w:spacing w:val="-2"/>
        </w:rPr>
        <w:t xml:space="preserve"> </w:t>
      </w:r>
      <w:r>
        <w:t>systems.</w:t>
      </w:r>
      <w:r>
        <w:rPr>
          <w:spacing w:val="-3"/>
        </w:rPr>
        <w:t xml:space="preserve"> </w:t>
      </w:r>
      <w:r>
        <w:t>TSB</w:t>
      </w:r>
      <w:r>
        <w:rPr>
          <w:spacing w:val="-3"/>
        </w:rPr>
        <w:t xml:space="preserve"> </w:t>
      </w:r>
      <w:r>
        <w:t>is</w:t>
      </w:r>
      <w:r>
        <w:rPr>
          <w:spacing w:val="-2"/>
        </w:rPr>
        <w:t xml:space="preserve"> </w:t>
      </w:r>
      <w:r>
        <w:t>a</w:t>
      </w:r>
      <w:r>
        <w:rPr>
          <w:spacing w:val="-3"/>
        </w:rPr>
        <w:t xml:space="preserve"> </w:t>
      </w:r>
      <w:r>
        <w:t>metric</w:t>
      </w:r>
      <w:r>
        <w:rPr>
          <w:spacing w:val="-2"/>
        </w:rPr>
        <w:t xml:space="preserve"> </w:t>
      </w:r>
      <w:r>
        <w:t>to</w:t>
      </w:r>
      <w:r>
        <w:rPr>
          <w:spacing w:val="-3"/>
        </w:rPr>
        <w:t xml:space="preserve"> </w:t>
      </w:r>
      <w:r>
        <w:t>show</w:t>
      </w:r>
      <w:r>
        <w:rPr>
          <w:spacing w:val="-3"/>
        </w:rPr>
        <w:t xml:space="preserve"> </w:t>
      </w:r>
      <w:r>
        <w:t>the</w:t>
      </w:r>
      <w:r>
        <w:rPr>
          <w:spacing w:val="-2"/>
        </w:rPr>
        <w:t xml:space="preserve"> </w:t>
      </w:r>
      <w:r>
        <w:t>relative</w:t>
      </w:r>
      <w:r>
        <w:rPr>
          <w:spacing w:val="-3"/>
        </w:rPr>
        <w:t xml:space="preserve"> </w:t>
      </w:r>
      <w:r>
        <w:t>value</w:t>
      </w:r>
      <w:r>
        <w:rPr>
          <w:spacing w:val="-2"/>
        </w:rPr>
        <w:t xml:space="preserve"> </w:t>
      </w:r>
      <w:r>
        <w:t>of</w:t>
      </w:r>
      <w:r>
        <w:rPr>
          <w:spacing w:val="-3"/>
        </w:rPr>
        <w:t xml:space="preserve"> </w:t>
      </w:r>
      <w:r>
        <w:t>each</w:t>
      </w:r>
      <w:r>
        <w:rPr>
          <w:spacing w:val="-2"/>
        </w:rPr>
        <w:t xml:space="preserve"> </w:t>
      </w:r>
      <w:r>
        <w:t>measure</w:t>
      </w:r>
      <w:r>
        <w:rPr>
          <w:spacing w:val="-3"/>
        </w:rPr>
        <w:t xml:space="preserve"> </w:t>
      </w:r>
      <w:r>
        <w:t>compared</w:t>
      </w:r>
      <w:r>
        <w:rPr>
          <w:spacing w:val="-2"/>
        </w:rPr>
        <w:t xml:space="preserve"> </w:t>
      </w:r>
      <w:r>
        <w:t>to</w:t>
      </w:r>
      <w:r>
        <w:rPr>
          <w:spacing w:val="-3"/>
        </w:rPr>
        <w:t xml:space="preserve"> </w:t>
      </w:r>
      <w:r>
        <w:t xml:space="preserve">each other independent of its measure cost, program cost, or fuel type. TSB is calculated in the model using </w:t>
      </w:r>
      <w:hyperlink w:history="1" w:anchor="_bookmark524">
        <w:r>
          <w:t>Equation I-2</w:t>
        </w:r>
      </w:hyperlink>
      <w:r>
        <w:t>.</w:t>
      </w:r>
    </w:p>
    <w:p w:rsidR="00C31389" w:rsidRDefault="00C31389" w14:paraId="2D00FDC1" w14:textId="77777777">
      <w:pPr>
        <w:pStyle w:val="BodyText"/>
        <w:spacing w:before="9"/>
        <w:rPr>
          <w:sz w:val="12"/>
        </w:rPr>
      </w:pPr>
    </w:p>
    <w:p w:rsidR="00C31389" w:rsidRDefault="00561FBD" w14:paraId="1A13AC8F" w14:textId="77777777">
      <w:pPr>
        <w:pStyle w:val="Heading7"/>
        <w:spacing w:before="92"/>
        <w:ind w:left="398" w:right="338"/>
        <w:jc w:val="center"/>
      </w:pPr>
      <w:bookmarkStart w:name="_bookmark524" w:id="684"/>
      <w:bookmarkEnd w:id="684"/>
      <w:r>
        <w:t>Equation</w:t>
      </w:r>
      <w:r>
        <w:rPr>
          <w:spacing w:val="-7"/>
        </w:rPr>
        <w:t xml:space="preserve"> </w:t>
      </w:r>
      <w:r>
        <w:t>I-2.</w:t>
      </w:r>
      <w:r>
        <w:rPr>
          <w:spacing w:val="-7"/>
        </w:rPr>
        <w:t xml:space="preserve"> </w:t>
      </w:r>
      <w:r>
        <w:t>Total</w:t>
      </w:r>
      <w:r>
        <w:rPr>
          <w:spacing w:val="-7"/>
        </w:rPr>
        <w:t xml:space="preserve"> </w:t>
      </w:r>
      <w:r>
        <w:t>System</w:t>
      </w:r>
      <w:r>
        <w:rPr>
          <w:spacing w:val="-7"/>
        </w:rPr>
        <w:t xml:space="preserve"> </w:t>
      </w:r>
      <w:r>
        <w:rPr>
          <w:spacing w:val="-2"/>
        </w:rPr>
        <w:t>Benefit</w:t>
      </w:r>
    </w:p>
    <w:p w:rsidR="00C31389" w:rsidRDefault="00561FBD" w14:paraId="7FCF9C73" w14:textId="77777777">
      <w:pPr>
        <w:spacing w:before="110"/>
        <w:ind w:left="398" w:right="338"/>
        <w:jc w:val="center"/>
        <w:rPr>
          <w:rFonts w:ascii="Cambria Math" w:hAnsi="Cambria Math" w:eastAsia="Cambria Math"/>
        </w:rPr>
      </w:pPr>
      <w:r>
        <w:rPr>
          <w:rFonts w:ascii="Cambria Math" w:hAnsi="Cambria Math" w:eastAsia="Cambria Math"/>
          <w:w w:val="45"/>
        </w:rPr>
        <w:t>𝑇𝑇𝑆𝑆𝐵𝐵</w:t>
      </w:r>
      <w:r>
        <w:rPr>
          <w:rFonts w:ascii="Cambria Math" w:hAnsi="Cambria Math" w:eastAsia="Cambria Math"/>
          <w:spacing w:val="53"/>
        </w:rPr>
        <w:t xml:space="preserve"> </w:t>
      </w:r>
      <w:r>
        <w:rPr>
          <w:rFonts w:ascii="Cambria Math" w:hAnsi="Cambria Math" w:eastAsia="Cambria Math"/>
          <w:w w:val="45"/>
        </w:rPr>
        <w:t>=</w:t>
      </w:r>
      <w:r>
        <w:rPr>
          <w:rFonts w:ascii="Cambria Math" w:hAnsi="Cambria Math" w:eastAsia="Cambria Math"/>
          <w:spacing w:val="46"/>
        </w:rPr>
        <w:t xml:space="preserve"> </w:t>
      </w:r>
      <w:r>
        <w:rPr>
          <w:rFonts w:ascii="Cambria Math" w:hAnsi="Cambria Math" w:eastAsia="Cambria Math"/>
          <w:w w:val="45"/>
        </w:rPr>
        <w:t>𝑃𝑃𝑉𝑉</w:t>
      </w:r>
      <w:r>
        <w:rPr>
          <w:rFonts w:ascii="Cambria Math" w:hAnsi="Cambria Math" w:eastAsia="Cambria Math"/>
          <w:w w:val="45"/>
          <w:position w:val="1"/>
        </w:rPr>
        <w:t>(</w:t>
      </w:r>
      <w:r>
        <w:rPr>
          <w:rFonts w:ascii="Cambria Math" w:hAnsi="Cambria Math" w:eastAsia="Cambria Math"/>
          <w:w w:val="45"/>
        </w:rPr>
        <w:t>𝐴𝐴𝐴</w:t>
      </w:r>
      <w:r>
        <w:rPr>
          <w:rFonts w:ascii="Cambria Math" w:hAnsi="Cambria Math" w:eastAsia="Cambria Math"/>
          <w:w w:val="45"/>
        </w:rPr>
        <w:t>𝐴</w:t>
      </w:r>
      <w:r>
        <w:rPr>
          <w:rFonts w:ascii="Cambria Math" w:hAnsi="Cambria Math" w:eastAsia="Cambria Math"/>
          <w:w w:val="45"/>
        </w:rPr>
        <w:t>𝑇𝑇𝐵𝐵𝐴𝐴𝑆𝑆𝐴𝐴</w:t>
      </w:r>
      <w:r>
        <w:rPr>
          <w:rFonts w:ascii="Cambria Math" w:hAnsi="Cambria Math" w:eastAsia="Cambria Math"/>
          <w:spacing w:val="37"/>
        </w:rPr>
        <w:t xml:space="preserve"> </w:t>
      </w:r>
      <w:r>
        <w:rPr>
          <w:rFonts w:ascii="Cambria Math" w:hAnsi="Cambria Math" w:eastAsia="Cambria Math"/>
          <w:w w:val="45"/>
        </w:rPr>
        <w:t>𝐶𝐶𝑇𝑇𝑆𝑆𝑇𝑇</w:t>
      </w:r>
      <w:r>
        <w:rPr>
          <w:rFonts w:ascii="Cambria Math" w:hAnsi="Cambria Math" w:eastAsia="Cambria Math"/>
          <w:spacing w:val="33"/>
        </w:rPr>
        <w:t xml:space="preserve"> </w:t>
      </w:r>
      <w:r>
        <w:rPr>
          <w:rFonts w:ascii="Cambria Math" w:hAnsi="Cambria Math" w:eastAsia="Cambria Math"/>
          <w:w w:val="45"/>
        </w:rPr>
        <w:t>𝐵𝐵𝑆𝑆𝐵𝐵𝑆𝑆𝐵𝐵𝐵𝐵𝑇𝑇𝑆𝑆</w:t>
      </w:r>
      <w:r>
        <w:rPr>
          <w:rFonts w:ascii="Cambria Math" w:hAnsi="Cambria Math" w:eastAsia="Cambria Math"/>
          <w:w w:val="45"/>
          <w:position w:val="1"/>
        </w:rPr>
        <w:t>)</w:t>
      </w:r>
      <w:r>
        <w:rPr>
          <w:rFonts w:ascii="Cambria Math" w:hAnsi="Cambria Math" w:eastAsia="Cambria Math"/>
          <w:spacing w:val="26"/>
          <w:position w:val="1"/>
        </w:rPr>
        <w:t xml:space="preserve"> </w:t>
      </w:r>
      <w:r>
        <w:rPr>
          <w:rFonts w:ascii="Cambria Math" w:hAnsi="Cambria Math" w:eastAsia="Cambria Math"/>
          <w:w w:val="45"/>
        </w:rPr>
        <w:t>−</w:t>
      </w:r>
      <w:r>
        <w:rPr>
          <w:rFonts w:ascii="Cambria Math" w:hAnsi="Cambria Math" w:eastAsia="Cambria Math"/>
          <w:spacing w:val="77"/>
          <w:w w:val="150"/>
        </w:rPr>
        <w:t xml:space="preserve"> </w:t>
      </w:r>
      <w:r>
        <w:rPr>
          <w:rFonts w:ascii="Cambria Math" w:hAnsi="Cambria Math" w:eastAsia="Cambria Math"/>
          <w:w w:val="45"/>
        </w:rPr>
        <w:t>𝑃𝑃𝑉𝑉</w:t>
      </w:r>
      <w:r>
        <w:rPr>
          <w:rFonts w:ascii="Cambria Math" w:hAnsi="Cambria Math" w:eastAsia="Cambria Math"/>
          <w:w w:val="45"/>
        </w:rPr>
        <w:t>(</w:t>
      </w:r>
      <w:r>
        <w:rPr>
          <w:rFonts w:ascii="Cambria Math" w:hAnsi="Cambria Math" w:eastAsia="Cambria Math"/>
          <w:w w:val="45"/>
        </w:rPr>
        <w:t>𝑆𝑆𝑆𝑆𝐶𝐶𝐶𝐶𝑇𝑇𝑆𝑆</w:t>
      </w:r>
      <w:r>
        <w:rPr>
          <w:rFonts w:ascii="Cambria Math" w:hAnsi="Cambria Math" w:eastAsia="Cambria Math"/>
          <w:spacing w:val="30"/>
        </w:rPr>
        <w:t xml:space="preserve"> </w:t>
      </w:r>
      <w:r>
        <w:rPr>
          <w:rFonts w:ascii="Cambria Math" w:hAnsi="Cambria Math" w:eastAsia="Cambria Math"/>
          <w:spacing w:val="-2"/>
          <w:w w:val="45"/>
        </w:rPr>
        <w:t>𝐶𝐶𝑇𝑇𝑆𝑆𝑇𝑇𝑆𝑆</w:t>
      </w:r>
      <w:r>
        <w:rPr>
          <w:rFonts w:ascii="Cambria Math" w:hAnsi="Cambria Math" w:eastAsia="Cambria Math"/>
          <w:spacing w:val="-2"/>
          <w:w w:val="45"/>
        </w:rPr>
        <w:t>)</w:t>
      </w:r>
    </w:p>
    <w:p w:rsidR="00C31389" w:rsidRDefault="00561FBD" w14:paraId="5AB1D1F3" w14:textId="77777777">
      <w:pPr>
        <w:pStyle w:val="BodyText"/>
        <w:spacing w:before="1"/>
        <w:ind w:left="480"/>
      </w:pPr>
      <w:r>
        <w:rPr>
          <w:spacing w:val="-2"/>
        </w:rPr>
        <w:t>Where:</w:t>
      </w:r>
    </w:p>
    <w:p w:rsidR="00C31389" w:rsidRDefault="00561FBD" w14:paraId="72D03FF3" w14:textId="77777777">
      <w:pPr>
        <w:pStyle w:val="ListParagraph"/>
        <w:numPr>
          <w:ilvl w:val="3"/>
          <w:numId w:val="7"/>
        </w:numPr>
        <w:tabs>
          <w:tab w:val="left" w:pos="1200"/>
        </w:tabs>
        <w:spacing w:before="119"/>
      </w:pPr>
      <w:r>
        <w:rPr>
          <w:b/>
        </w:rPr>
        <w:t>PV</w:t>
      </w:r>
      <w:r>
        <w:rPr>
          <w:b/>
          <w:spacing w:val="-7"/>
        </w:rPr>
        <w:t xml:space="preserve"> </w:t>
      </w:r>
      <w:r>
        <w:t>is</w:t>
      </w:r>
      <w:r>
        <w:rPr>
          <w:spacing w:val="-7"/>
        </w:rPr>
        <w:t xml:space="preserve"> </w:t>
      </w:r>
      <w:r>
        <w:t>the</w:t>
      </w:r>
      <w:r>
        <w:rPr>
          <w:spacing w:val="-6"/>
        </w:rPr>
        <w:t xml:space="preserve"> </w:t>
      </w:r>
      <w:r>
        <w:t>present</w:t>
      </w:r>
      <w:r>
        <w:rPr>
          <w:spacing w:val="-6"/>
        </w:rPr>
        <w:t xml:space="preserve"> </w:t>
      </w:r>
      <w:r>
        <w:t>value</w:t>
      </w:r>
      <w:r>
        <w:rPr>
          <w:spacing w:val="-7"/>
        </w:rPr>
        <w:t xml:space="preserve"> </w:t>
      </w:r>
      <w:r>
        <w:t>calculation</w:t>
      </w:r>
      <w:r>
        <w:rPr>
          <w:spacing w:val="-6"/>
        </w:rPr>
        <w:t xml:space="preserve"> </w:t>
      </w:r>
      <w:r>
        <w:t>that</w:t>
      </w:r>
      <w:r>
        <w:rPr>
          <w:spacing w:val="-6"/>
        </w:rPr>
        <w:t xml:space="preserve"> </w:t>
      </w:r>
      <w:r>
        <w:t>discounts</w:t>
      </w:r>
      <w:r>
        <w:rPr>
          <w:spacing w:val="-6"/>
        </w:rPr>
        <w:t xml:space="preserve"> </w:t>
      </w:r>
      <w:r>
        <w:t>cost</w:t>
      </w:r>
      <w:r>
        <w:rPr>
          <w:spacing w:val="-7"/>
        </w:rPr>
        <w:t xml:space="preserve"> </w:t>
      </w:r>
      <w:r>
        <w:t>streams</w:t>
      </w:r>
      <w:r>
        <w:rPr>
          <w:spacing w:val="-6"/>
        </w:rPr>
        <w:t xml:space="preserve"> </w:t>
      </w:r>
      <w:r>
        <w:t>over</w:t>
      </w:r>
      <w:r>
        <w:rPr>
          <w:spacing w:val="-6"/>
        </w:rPr>
        <w:t xml:space="preserve"> </w:t>
      </w:r>
      <w:r>
        <w:rPr>
          <w:spacing w:val="-2"/>
        </w:rPr>
        <w:t>time.</w:t>
      </w:r>
    </w:p>
    <w:p w:rsidR="00C31389" w:rsidRDefault="00561FBD" w14:paraId="3A3243F7" w14:textId="77777777">
      <w:pPr>
        <w:pStyle w:val="ListParagraph"/>
        <w:numPr>
          <w:ilvl w:val="3"/>
          <w:numId w:val="7"/>
        </w:numPr>
        <w:tabs>
          <w:tab w:val="left" w:pos="1200"/>
        </w:tabs>
        <w:spacing w:before="119"/>
        <w:ind w:right="692" w:hanging="361"/>
      </w:pPr>
      <w:r>
        <w:rPr>
          <w:b/>
        </w:rPr>
        <w:t>Avoided</w:t>
      </w:r>
      <w:r>
        <w:rPr>
          <w:b/>
          <w:spacing w:val="-3"/>
        </w:rPr>
        <w:t xml:space="preserve"> </w:t>
      </w:r>
      <w:r>
        <w:rPr>
          <w:b/>
        </w:rPr>
        <w:t>Cost</w:t>
      </w:r>
      <w:r>
        <w:rPr>
          <w:b/>
          <w:spacing w:val="-3"/>
        </w:rPr>
        <w:t xml:space="preserve"> </w:t>
      </w:r>
      <w:r>
        <w:rPr>
          <w:b/>
        </w:rPr>
        <w:t>Benefits</w:t>
      </w:r>
      <w:r>
        <w:rPr>
          <w:b/>
          <w:spacing w:val="-3"/>
        </w:rPr>
        <w:t xml:space="preserve"> </w:t>
      </w:r>
      <w:r>
        <w:t>are</w:t>
      </w:r>
      <w:r>
        <w:rPr>
          <w:spacing w:val="-3"/>
        </w:rPr>
        <w:t xml:space="preserve"> </w:t>
      </w:r>
      <w:r>
        <w:t>the</w:t>
      </w:r>
      <w:r>
        <w:rPr>
          <w:spacing w:val="-3"/>
        </w:rPr>
        <w:t xml:space="preserve"> </w:t>
      </w:r>
      <w:r>
        <w:t>monetary</w:t>
      </w:r>
      <w:r>
        <w:rPr>
          <w:spacing w:val="-3"/>
        </w:rPr>
        <w:t xml:space="preserve"> </w:t>
      </w:r>
      <w:r>
        <w:t>benefits</w:t>
      </w:r>
      <w:r>
        <w:rPr>
          <w:spacing w:val="-3"/>
        </w:rPr>
        <w:t xml:space="preserve"> </w:t>
      </w:r>
      <w:r>
        <w:t>that</w:t>
      </w:r>
      <w:r>
        <w:rPr>
          <w:spacing w:val="-3"/>
        </w:rPr>
        <w:t xml:space="preserve"> </w:t>
      </w:r>
      <w:r>
        <w:t>result</w:t>
      </w:r>
      <w:r>
        <w:rPr>
          <w:spacing w:val="-4"/>
        </w:rPr>
        <w:t xml:space="preserve"> </w:t>
      </w:r>
      <w:r>
        <w:t>from</w:t>
      </w:r>
      <w:r>
        <w:rPr>
          <w:spacing w:val="-4"/>
        </w:rPr>
        <w:t xml:space="preserve"> </w:t>
      </w:r>
      <w:r>
        <w:t>electric</w:t>
      </w:r>
      <w:r>
        <w:rPr>
          <w:spacing w:val="-4"/>
        </w:rPr>
        <w:t xml:space="preserve"> </w:t>
      </w:r>
      <w:r>
        <w:t>and</w:t>
      </w:r>
      <w:r>
        <w:rPr>
          <w:spacing w:val="-3"/>
        </w:rPr>
        <w:t xml:space="preserve"> </w:t>
      </w:r>
      <w:r>
        <w:t xml:space="preserve">gas energy and capacity savings—e.g., avoided or deferred costs of grid infrastructure investments and avoided long-run marginal cost (commodity costs) due to electric energy conserved by efficient </w:t>
      </w:r>
      <w:r>
        <w:t>measures. The avoided costs are only included for fuels offered by the utility.</w:t>
      </w:r>
    </w:p>
    <w:p w:rsidR="00C31389" w:rsidRDefault="00561FBD" w14:paraId="356629C8" w14:textId="77777777">
      <w:pPr>
        <w:pStyle w:val="ListParagraph"/>
        <w:numPr>
          <w:ilvl w:val="3"/>
          <w:numId w:val="7"/>
        </w:numPr>
        <w:tabs>
          <w:tab w:val="left" w:pos="1200"/>
        </w:tabs>
        <w:spacing w:before="117"/>
      </w:pPr>
      <w:r>
        <w:rPr>
          <w:b/>
        </w:rPr>
        <w:t>Supply</w:t>
      </w:r>
      <w:r>
        <w:rPr>
          <w:b/>
          <w:spacing w:val="-7"/>
        </w:rPr>
        <w:t xml:space="preserve"> </w:t>
      </w:r>
      <w:r>
        <w:rPr>
          <w:b/>
        </w:rPr>
        <w:t>Costs</w:t>
      </w:r>
      <w:r>
        <w:rPr>
          <w:b/>
          <w:spacing w:val="-6"/>
        </w:rPr>
        <w:t xml:space="preserve"> </w:t>
      </w:r>
      <w:r>
        <w:t>come</w:t>
      </w:r>
      <w:r>
        <w:rPr>
          <w:spacing w:val="-6"/>
        </w:rPr>
        <w:t xml:space="preserve"> </w:t>
      </w:r>
      <w:r>
        <w:t>in</w:t>
      </w:r>
      <w:r>
        <w:rPr>
          <w:spacing w:val="-7"/>
        </w:rPr>
        <w:t xml:space="preserve"> </w:t>
      </w:r>
      <w:r>
        <w:t>several</w:t>
      </w:r>
      <w:r>
        <w:rPr>
          <w:spacing w:val="-6"/>
        </w:rPr>
        <w:t xml:space="preserve"> </w:t>
      </w:r>
      <w:r>
        <w:rPr>
          <w:spacing w:val="-2"/>
        </w:rPr>
        <w:t>forms:</w:t>
      </w:r>
    </w:p>
    <w:p w:rsidR="00C31389" w:rsidRDefault="00561FBD" w14:paraId="2B5DA956" w14:textId="77777777">
      <w:pPr>
        <w:pStyle w:val="ListParagraph"/>
        <w:numPr>
          <w:ilvl w:val="4"/>
          <w:numId w:val="7"/>
        </w:numPr>
        <w:tabs>
          <w:tab w:val="left" w:pos="1920"/>
        </w:tabs>
        <w:spacing w:before="132" w:line="223" w:lineRule="auto"/>
        <w:ind w:right="459"/>
        <w:jc w:val="both"/>
      </w:pPr>
      <w:r>
        <w:t>Interactive</w:t>
      </w:r>
      <w:r>
        <w:rPr>
          <w:spacing w:val="-4"/>
        </w:rPr>
        <w:t xml:space="preserve"> </w:t>
      </w:r>
      <w:r>
        <w:t>effects</w:t>
      </w:r>
      <w:r>
        <w:rPr>
          <w:spacing w:val="-4"/>
        </w:rPr>
        <w:t xml:space="preserve"> </w:t>
      </w:r>
      <w:r>
        <w:t>such</w:t>
      </w:r>
      <w:r>
        <w:rPr>
          <w:spacing w:val="-5"/>
        </w:rPr>
        <w:t xml:space="preserve"> </w:t>
      </w:r>
      <w:r>
        <w:t>as</w:t>
      </w:r>
      <w:r>
        <w:rPr>
          <w:spacing w:val="-4"/>
        </w:rPr>
        <w:t xml:space="preserve"> </w:t>
      </w:r>
      <w:r>
        <w:t>increased</w:t>
      </w:r>
      <w:r>
        <w:rPr>
          <w:spacing w:val="-4"/>
        </w:rPr>
        <w:t xml:space="preserve"> </w:t>
      </w:r>
      <w:r>
        <w:t>heating</w:t>
      </w:r>
      <w:r>
        <w:rPr>
          <w:spacing w:val="-4"/>
        </w:rPr>
        <w:t xml:space="preserve"> </w:t>
      </w:r>
      <w:r>
        <w:t>load</w:t>
      </w:r>
      <w:r>
        <w:rPr>
          <w:spacing w:val="-4"/>
        </w:rPr>
        <w:t xml:space="preserve"> </w:t>
      </w:r>
      <w:r>
        <w:t>due</w:t>
      </w:r>
      <w:r>
        <w:rPr>
          <w:spacing w:val="-4"/>
        </w:rPr>
        <w:t xml:space="preserve"> </w:t>
      </w:r>
      <w:r>
        <w:t>to</w:t>
      </w:r>
      <w:r>
        <w:rPr>
          <w:spacing w:val="-4"/>
        </w:rPr>
        <w:t xml:space="preserve"> </w:t>
      </w:r>
      <w:r>
        <w:t>decreased</w:t>
      </w:r>
      <w:r>
        <w:rPr>
          <w:spacing w:val="-4"/>
        </w:rPr>
        <w:t xml:space="preserve"> </w:t>
      </w:r>
      <w:r>
        <w:t>heat</w:t>
      </w:r>
      <w:r>
        <w:rPr>
          <w:spacing w:val="-4"/>
        </w:rPr>
        <w:t xml:space="preserve"> </w:t>
      </w:r>
      <w:r>
        <w:t>gain from more efficient lighting</w:t>
      </w:r>
    </w:p>
    <w:p w:rsidR="00C31389" w:rsidRDefault="00561FBD" w14:paraId="43360D40" w14:textId="77777777">
      <w:pPr>
        <w:pStyle w:val="ListParagraph"/>
        <w:numPr>
          <w:ilvl w:val="4"/>
          <w:numId w:val="7"/>
        </w:numPr>
        <w:tabs>
          <w:tab w:val="left" w:pos="1919"/>
        </w:tabs>
        <w:spacing w:before="123"/>
        <w:ind w:left="1919" w:hanging="359"/>
        <w:jc w:val="both"/>
      </w:pPr>
      <w:r>
        <w:t>Increased</w:t>
      </w:r>
      <w:r>
        <w:rPr>
          <w:spacing w:val="-8"/>
        </w:rPr>
        <w:t xml:space="preserve"> </w:t>
      </w:r>
      <w:r>
        <w:t>fuel</w:t>
      </w:r>
      <w:r>
        <w:rPr>
          <w:spacing w:val="-7"/>
        </w:rPr>
        <w:t xml:space="preserve"> </w:t>
      </w:r>
      <w:r>
        <w:t>consumption</w:t>
      </w:r>
      <w:r>
        <w:rPr>
          <w:spacing w:val="-8"/>
        </w:rPr>
        <w:t xml:space="preserve"> </w:t>
      </w:r>
      <w:r>
        <w:t>(i.e.,</w:t>
      </w:r>
      <w:r>
        <w:rPr>
          <w:spacing w:val="-7"/>
        </w:rPr>
        <w:t xml:space="preserve"> </w:t>
      </w:r>
      <w:r>
        <w:t>electricity)</w:t>
      </w:r>
      <w:r>
        <w:rPr>
          <w:spacing w:val="-7"/>
        </w:rPr>
        <w:t xml:space="preserve"> </w:t>
      </w:r>
      <w:r>
        <w:t>due</w:t>
      </w:r>
      <w:r>
        <w:rPr>
          <w:spacing w:val="-9"/>
        </w:rPr>
        <w:t xml:space="preserve"> </w:t>
      </w:r>
      <w:r>
        <w:t>to</w:t>
      </w:r>
      <w:r>
        <w:rPr>
          <w:spacing w:val="-7"/>
        </w:rPr>
        <w:t xml:space="preserve"> </w:t>
      </w:r>
      <w:r>
        <w:rPr>
          <w:spacing w:val="-5"/>
        </w:rPr>
        <w:t>FS</w:t>
      </w:r>
    </w:p>
    <w:p w:rsidR="00C31389" w:rsidRDefault="00561FBD" w14:paraId="0BA73542" w14:textId="77777777">
      <w:pPr>
        <w:pStyle w:val="ListParagraph"/>
        <w:numPr>
          <w:ilvl w:val="4"/>
          <w:numId w:val="7"/>
        </w:numPr>
        <w:tabs>
          <w:tab w:val="left" w:pos="1918"/>
          <w:tab w:val="left" w:pos="1920"/>
        </w:tabs>
        <w:spacing w:before="108" w:line="230" w:lineRule="auto"/>
        <w:ind w:right="457" w:hanging="361"/>
        <w:jc w:val="both"/>
      </w:pPr>
      <w:r>
        <w:t>Refrigerant</w:t>
      </w:r>
      <w:r>
        <w:rPr>
          <w:spacing w:val="-3"/>
        </w:rPr>
        <w:t xml:space="preserve"> </w:t>
      </w:r>
      <w:r>
        <w:t>avoided</w:t>
      </w:r>
      <w:r>
        <w:rPr>
          <w:spacing w:val="-3"/>
        </w:rPr>
        <w:t xml:space="preserve"> </w:t>
      </w:r>
      <w:r>
        <w:t>costs</w:t>
      </w:r>
      <w:r>
        <w:rPr>
          <w:spacing w:val="-3"/>
        </w:rPr>
        <w:t xml:space="preserve"> </w:t>
      </w:r>
      <w:r>
        <w:t>that</w:t>
      </w:r>
      <w:r>
        <w:rPr>
          <w:spacing w:val="-3"/>
        </w:rPr>
        <w:t xml:space="preserve"> </w:t>
      </w:r>
      <w:r>
        <w:t>result</w:t>
      </w:r>
      <w:r>
        <w:rPr>
          <w:spacing w:val="-4"/>
        </w:rPr>
        <w:t xml:space="preserve"> </w:t>
      </w:r>
      <w:r>
        <w:t>in</w:t>
      </w:r>
      <w:r>
        <w:rPr>
          <w:spacing w:val="-3"/>
        </w:rPr>
        <w:t xml:space="preserve"> </w:t>
      </w:r>
      <w:r>
        <w:t>negative</w:t>
      </w:r>
      <w:r>
        <w:rPr>
          <w:spacing w:val="-4"/>
        </w:rPr>
        <w:t xml:space="preserve"> </w:t>
      </w:r>
      <w:r>
        <w:t>benefits</w:t>
      </w:r>
      <w:r>
        <w:rPr>
          <w:spacing w:val="-3"/>
        </w:rPr>
        <w:t xml:space="preserve"> </w:t>
      </w:r>
      <w:r>
        <w:t>(i.e.,</w:t>
      </w:r>
      <w:r>
        <w:rPr>
          <w:spacing w:val="-3"/>
        </w:rPr>
        <w:t xml:space="preserve"> </w:t>
      </w:r>
      <w:r>
        <w:t>a</w:t>
      </w:r>
      <w:r>
        <w:rPr>
          <w:spacing w:val="-3"/>
        </w:rPr>
        <w:t xml:space="preserve"> </w:t>
      </w:r>
      <w:r>
        <w:t>furnace</w:t>
      </w:r>
      <w:r>
        <w:rPr>
          <w:spacing w:val="-3"/>
        </w:rPr>
        <w:t xml:space="preserve"> </w:t>
      </w:r>
      <w:r>
        <w:t>being replaced by a heat pump thus introducing refrigerants where there previously were none)</w:t>
      </w:r>
    </w:p>
    <w:p w:rsidR="00C31389" w:rsidRDefault="00C31389" w14:paraId="28B2D2C2" w14:textId="77777777">
      <w:pPr>
        <w:spacing w:line="230" w:lineRule="auto"/>
        <w:jc w:val="both"/>
        <w:sectPr w:rsidR="00C31389">
          <w:pgSz w:w="11910" w:h="16840"/>
          <w:pgMar w:top="1380" w:right="1020" w:bottom="1120" w:left="960" w:header="397" w:footer="938" w:gutter="0"/>
          <w:cols w:space="720"/>
        </w:sectPr>
      </w:pPr>
    </w:p>
    <w:p w:rsidR="00C31389" w:rsidRDefault="00C31389" w14:paraId="6F4C35A3" w14:textId="77777777">
      <w:pPr>
        <w:pStyle w:val="BodyText"/>
      </w:pPr>
    </w:p>
    <w:p w:rsidR="00C31389" w:rsidRDefault="00C31389" w14:paraId="37BA4688" w14:textId="77777777">
      <w:pPr>
        <w:pStyle w:val="BodyText"/>
        <w:rPr>
          <w:sz w:val="20"/>
        </w:rPr>
      </w:pPr>
    </w:p>
    <w:p w:rsidR="00C31389" w:rsidRDefault="00C31389" w14:paraId="0030A13B" w14:textId="77777777">
      <w:pPr>
        <w:pStyle w:val="BodyText"/>
        <w:spacing w:before="4"/>
        <w:rPr>
          <w:sz w:val="25"/>
        </w:rPr>
      </w:pPr>
    </w:p>
    <w:p w:rsidR="00C31389" w:rsidRDefault="00561FBD" w14:paraId="64A61565" w14:textId="77777777">
      <w:pPr>
        <w:spacing w:before="90"/>
        <w:ind w:left="220"/>
        <w:rPr>
          <w:b/>
          <w:sz w:val="32"/>
        </w:rPr>
      </w:pPr>
      <w:bookmarkStart w:name="Appendix_J._Detailed_Scenario_Results_by" w:id="685"/>
      <w:bookmarkStart w:name="_bookmark525" w:id="686"/>
      <w:bookmarkEnd w:id="685"/>
      <w:bookmarkEnd w:id="686"/>
      <w:r>
        <w:rPr>
          <w:b/>
          <w:sz w:val="32"/>
        </w:rPr>
        <w:t>Appendix</w:t>
      </w:r>
      <w:r>
        <w:rPr>
          <w:b/>
          <w:spacing w:val="-7"/>
          <w:sz w:val="32"/>
        </w:rPr>
        <w:t xml:space="preserve"> </w:t>
      </w:r>
      <w:r>
        <w:rPr>
          <w:b/>
          <w:sz w:val="32"/>
        </w:rPr>
        <w:t>J.</w:t>
      </w:r>
      <w:r>
        <w:rPr>
          <w:b/>
          <w:spacing w:val="-5"/>
          <w:sz w:val="32"/>
        </w:rPr>
        <w:t xml:space="preserve"> </w:t>
      </w:r>
      <w:r>
        <w:rPr>
          <w:b/>
          <w:sz w:val="32"/>
        </w:rPr>
        <w:t>Detailed</w:t>
      </w:r>
      <w:r>
        <w:rPr>
          <w:b/>
          <w:spacing w:val="-5"/>
          <w:sz w:val="32"/>
        </w:rPr>
        <w:t xml:space="preserve"> </w:t>
      </w:r>
      <w:r>
        <w:rPr>
          <w:b/>
          <w:sz w:val="32"/>
        </w:rPr>
        <w:t>Scenario</w:t>
      </w:r>
      <w:r>
        <w:rPr>
          <w:b/>
          <w:spacing w:val="-5"/>
          <w:sz w:val="32"/>
        </w:rPr>
        <w:t xml:space="preserve"> </w:t>
      </w:r>
      <w:r>
        <w:rPr>
          <w:b/>
          <w:sz w:val="32"/>
        </w:rPr>
        <w:t>Results</w:t>
      </w:r>
      <w:r>
        <w:rPr>
          <w:b/>
          <w:spacing w:val="-5"/>
          <w:sz w:val="32"/>
        </w:rPr>
        <w:t xml:space="preserve"> </w:t>
      </w:r>
      <w:r>
        <w:rPr>
          <w:b/>
          <w:sz w:val="32"/>
        </w:rPr>
        <w:t>by</w:t>
      </w:r>
      <w:r>
        <w:rPr>
          <w:b/>
          <w:spacing w:val="-5"/>
          <w:sz w:val="32"/>
        </w:rPr>
        <w:t xml:space="preserve"> IOU</w:t>
      </w:r>
    </w:p>
    <w:p w:rsidR="00C31389" w:rsidRDefault="00C31389" w14:paraId="528FB00A" w14:textId="77777777">
      <w:pPr>
        <w:pStyle w:val="BodyText"/>
        <w:spacing w:before="5"/>
        <w:rPr>
          <w:b/>
          <w:sz w:val="31"/>
        </w:rPr>
      </w:pPr>
    </w:p>
    <w:p w:rsidR="00C31389" w:rsidRDefault="00561FBD" w14:paraId="6D614A85" w14:textId="77777777">
      <w:pPr>
        <w:pStyle w:val="ListParagraph"/>
        <w:numPr>
          <w:ilvl w:val="1"/>
          <w:numId w:val="4"/>
        </w:numPr>
        <w:tabs>
          <w:tab w:val="left" w:pos="685"/>
        </w:tabs>
        <w:ind w:left="685" w:hanging="465"/>
        <w:rPr>
          <w:b/>
          <w:sz w:val="28"/>
        </w:rPr>
      </w:pPr>
      <w:bookmarkStart w:name="J.1_TSB_by_Utility" w:id="687"/>
      <w:bookmarkEnd w:id="687"/>
      <w:r>
        <w:rPr>
          <w:b/>
          <w:sz w:val="28"/>
        </w:rPr>
        <w:t>TSB</w:t>
      </w:r>
      <w:r>
        <w:rPr>
          <w:b/>
          <w:spacing w:val="-7"/>
          <w:sz w:val="28"/>
        </w:rPr>
        <w:t xml:space="preserve"> </w:t>
      </w:r>
      <w:r>
        <w:rPr>
          <w:b/>
          <w:sz w:val="28"/>
        </w:rPr>
        <w:t>by</w:t>
      </w:r>
      <w:r>
        <w:rPr>
          <w:b/>
          <w:spacing w:val="-4"/>
          <w:sz w:val="28"/>
        </w:rPr>
        <w:t xml:space="preserve"> </w:t>
      </w:r>
      <w:r>
        <w:rPr>
          <w:b/>
          <w:spacing w:val="-2"/>
          <w:sz w:val="28"/>
        </w:rPr>
        <w:t>Utility</w:t>
      </w:r>
    </w:p>
    <w:p w:rsidR="00C31389" w:rsidRDefault="00561FBD" w14:paraId="4874B6D1" w14:textId="77777777">
      <w:pPr>
        <w:pStyle w:val="BodyText"/>
        <w:spacing w:before="239"/>
        <w:ind w:left="220"/>
      </w:pPr>
      <w:r>
        <w:t>This</w:t>
      </w:r>
      <w:r>
        <w:rPr>
          <w:spacing w:val="-6"/>
        </w:rPr>
        <w:t xml:space="preserve"> </w:t>
      </w:r>
      <w:r>
        <w:t>section</w:t>
      </w:r>
      <w:r>
        <w:rPr>
          <w:spacing w:val="-6"/>
        </w:rPr>
        <w:t xml:space="preserve"> </w:t>
      </w:r>
      <w:r>
        <w:t>presents</w:t>
      </w:r>
      <w:r>
        <w:rPr>
          <w:spacing w:val="-5"/>
        </w:rPr>
        <w:t xml:space="preserve"> </w:t>
      </w:r>
      <w:r>
        <w:t>the</w:t>
      </w:r>
      <w:r>
        <w:rPr>
          <w:spacing w:val="-5"/>
        </w:rPr>
        <w:t xml:space="preserve"> </w:t>
      </w:r>
      <w:r>
        <w:t>TSB</w:t>
      </w:r>
      <w:r>
        <w:rPr>
          <w:spacing w:val="-5"/>
        </w:rPr>
        <w:t xml:space="preserve"> </w:t>
      </w:r>
      <w:r>
        <w:t>by</w:t>
      </w:r>
      <w:r>
        <w:rPr>
          <w:spacing w:val="-5"/>
        </w:rPr>
        <w:t xml:space="preserve"> </w:t>
      </w:r>
      <w:r>
        <w:t>utility</w:t>
      </w:r>
      <w:r>
        <w:rPr>
          <w:spacing w:val="-4"/>
        </w:rPr>
        <w:t xml:space="preserve"> </w:t>
      </w:r>
      <w:r>
        <w:t>and</w:t>
      </w:r>
      <w:r>
        <w:rPr>
          <w:spacing w:val="-5"/>
        </w:rPr>
        <w:t xml:space="preserve"> </w:t>
      </w:r>
      <w:r>
        <w:rPr>
          <w:spacing w:val="-2"/>
        </w:rPr>
        <w:t>Scenario.</w:t>
      </w:r>
    </w:p>
    <w:p w:rsidR="00C31389" w:rsidRDefault="00C31389" w14:paraId="40965C59" w14:textId="77777777">
      <w:pPr>
        <w:pStyle w:val="BodyText"/>
        <w:spacing w:before="10"/>
        <w:rPr>
          <w:sz w:val="20"/>
        </w:rPr>
      </w:pPr>
    </w:p>
    <w:p w:rsidR="00C31389" w:rsidRDefault="00561FBD" w14:paraId="636195CD" w14:textId="77777777">
      <w:pPr>
        <w:pStyle w:val="Heading7"/>
        <w:spacing w:before="1"/>
        <w:ind w:left="1979" w:right="1959"/>
        <w:jc w:val="center"/>
      </w:pPr>
      <w:bookmarkStart w:name="_bookmark526" w:id="688"/>
      <w:bookmarkEnd w:id="688"/>
      <w:r>
        <w:t>Table</w:t>
      </w:r>
      <w:r>
        <w:rPr>
          <w:spacing w:val="-5"/>
        </w:rPr>
        <w:t xml:space="preserve"> </w:t>
      </w:r>
      <w:r>
        <w:t>J-1.</w:t>
      </w:r>
      <w:r>
        <w:rPr>
          <w:spacing w:val="-6"/>
        </w:rPr>
        <w:t xml:space="preserve"> </w:t>
      </w:r>
      <w:r>
        <w:t>TSB</w:t>
      </w:r>
      <w:r>
        <w:rPr>
          <w:spacing w:val="-6"/>
        </w:rPr>
        <w:t xml:space="preserve"> </w:t>
      </w:r>
      <w:r>
        <w:t>by</w:t>
      </w:r>
      <w:r>
        <w:rPr>
          <w:spacing w:val="-5"/>
        </w:rPr>
        <w:t xml:space="preserve"> </w:t>
      </w:r>
      <w:r>
        <w:t>Utility</w:t>
      </w:r>
      <w:r>
        <w:rPr>
          <w:spacing w:val="-5"/>
        </w:rPr>
        <w:t xml:space="preserve"> </w:t>
      </w:r>
      <w:r>
        <w:t>by</w:t>
      </w:r>
      <w:r>
        <w:rPr>
          <w:spacing w:val="-5"/>
        </w:rPr>
        <w:t xml:space="preserve"> </w:t>
      </w:r>
      <w:r>
        <w:t>Scenario</w:t>
      </w:r>
      <w:r>
        <w:rPr>
          <w:spacing w:val="-5"/>
        </w:rPr>
        <w:t xml:space="preserve"> </w:t>
      </w:r>
      <w:r>
        <w:t>($</w:t>
      </w:r>
      <w:r>
        <w:rPr>
          <w:spacing w:val="-5"/>
        </w:rPr>
        <w:t xml:space="preserve"> </w:t>
      </w:r>
      <w:r>
        <w:rPr>
          <w:spacing w:val="-2"/>
        </w:rPr>
        <w:t>Millions)</w:t>
      </w:r>
    </w:p>
    <w:p w:rsidR="00C31389" w:rsidRDefault="00C31389" w14:paraId="31BCC0A6" w14:textId="77777777">
      <w:pPr>
        <w:pStyle w:val="BodyText"/>
        <w:rPr>
          <w:b/>
          <w:sz w:val="10"/>
        </w:rPr>
      </w:pPr>
    </w:p>
    <w:tbl>
      <w:tblPr>
        <w:tblW w:w="0" w:type="auto"/>
        <w:tblInd w:w="219" w:type="dxa"/>
        <w:tblLayout w:type="fixed"/>
        <w:tblCellMar>
          <w:left w:w="0" w:type="dxa"/>
          <w:right w:w="0" w:type="dxa"/>
        </w:tblCellMar>
        <w:tblLook w:val="01E0" w:firstRow="1" w:lastRow="1" w:firstColumn="1" w:lastColumn="1" w:noHBand="0" w:noVBand="0"/>
      </w:tblPr>
      <w:tblGrid>
        <w:gridCol w:w="1930"/>
        <w:gridCol w:w="620"/>
        <w:gridCol w:w="620"/>
        <w:gridCol w:w="621"/>
        <w:gridCol w:w="620"/>
        <w:gridCol w:w="620"/>
        <w:gridCol w:w="621"/>
        <w:gridCol w:w="620"/>
        <w:gridCol w:w="620"/>
        <w:gridCol w:w="621"/>
        <w:gridCol w:w="620"/>
        <w:gridCol w:w="619"/>
        <w:gridCol w:w="618"/>
      </w:tblGrid>
      <w:tr w:rsidR="00C31389" w14:paraId="0B0BFC8B" w14:textId="77777777">
        <w:trPr>
          <w:trHeight w:val="244"/>
        </w:trPr>
        <w:tc>
          <w:tcPr>
            <w:tcW w:w="1930" w:type="dxa"/>
            <w:shd w:val="clear" w:color="auto" w:fill="92D400"/>
          </w:tcPr>
          <w:p w:rsidR="00C31389" w:rsidRDefault="00561FBD" w14:paraId="31377EB7" w14:textId="77777777">
            <w:pPr>
              <w:pStyle w:val="TableParagraph"/>
              <w:spacing w:before="0"/>
              <w:ind w:left="115"/>
              <w:rPr>
                <w:b/>
                <w:sz w:val="17"/>
              </w:rPr>
            </w:pPr>
            <w:r>
              <w:rPr>
                <w:b/>
                <w:spacing w:val="-4"/>
                <w:sz w:val="17"/>
              </w:rPr>
              <w:t>Year</w:t>
            </w:r>
          </w:p>
        </w:tc>
        <w:tc>
          <w:tcPr>
            <w:tcW w:w="620" w:type="dxa"/>
            <w:shd w:val="clear" w:color="auto" w:fill="92D400"/>
          </w:tcPr>
          <w:p w:rsidR="00C31389" w:rsidRDefault="00561FBD" w14:paraId="3905073A" w14:textId="77777777">
            <w:pPr>
              <w:pStyle w:val="TableParagraph"/>
              <w:spacing w:before="3"/>
              <w:ind w:left="108" w:right="107"/>
              <w:jc w:val="center"/>
              <w:rPr>
                <w:b/>
                <w:sz w:val="17"/>
              </w:rPr>
            </w:pPr>
            <w:r>
              <w:rPr>
                <w:b/>
                <w:spacing w:val="-4"/>
                <w:sz w:val="17"/>
              </w:rPr>
              <w:t>2024</w:t>
            </w:r>
          </w:p>
        </w:tc>
        <w:tc>
          <w:tcPr>
            <w:tcW w:w="620" w:type="dxa"/>
            <w:shd w:val="clear" w:color="auto" w:fill="92D400"/>
          </w:tcPr>
          <w:p w:rsidR="00C31389" w:rsidRDefault="00561FBD" w14:paraId="10F30042" w14:textId="77777777">
            <w:pPr>
              <w:pStyle w:val="TableParagraph"/>
              <w:spacing w:before="3"/>
              <w:ind w:left="120"/>
              <w:rPr>
                <w:b/>
                <w:sz w:val="17"/>
              </w:rPr>
            </w:pPr>
            <w:r>
              <w:rPr>
                <w:b/>
                <w:spacing w:val="-4"/>
                <w:sz w:val="17"/>
              </w:rPr>
              <w:t>2025</w:t>
            </w:r>
          </w:p>
        </w:tc>
        <w:tc>
          <w:tcPr>
            <w:tcW w:w="621" w:type="dxa"/>
            <w:shd w:val="clear" w:color="auto" w:fill="92D400"/>
          </w:tcPr>
          <w:p w:rsidR="00C31389" w:rsidRDefault="00561FBD" w14:paraId="555DA2B1" w14:textId="77777777">
            <w:pPr>
              <w:pStyle w:val="TableParagraph"/>
              <w:spacing w:before="3"/>
              <w:ind w:left="121"/>
              <w:rPr>
                <w:b/>
                <w:sz w:val="17"/>
              </w:rPr>
            </w:pPr>
            <w:r>
              <w:rPr>
                <w:b/>
                <w:spacing w:val="-4"/>
                <w:sz w:val="17"/>
              </w:rPr>
              <w:t>2026</w:t>
            </w:r>
          </w:p>
        </w:tc>
        <w:tc>
          <w:tcPr>
            <w:tcW w:w="620" w:type="dxa"/>
            <w:shd w:val="clear" w:color="auto" w:fill="92D400"/>
          </w:tcPr>
          <w:p w:rsidR="00C31389" w:rsidRDefault="00561FBD" w14:paraId="04373B6B" w14:textId="77777777">
            <w:pPr>
              <w:pStyle w:val="TableParagraph"/>
              <w:spacing w:before="3"/>
              <w:ind w:left="108" w:right="108"/>
              <w:jc w:val="center"/>
              <w:rPr>
                <w:b/>
                <w:sz w:val="17"/>
              </w:rPr>
            </w:pPr>
            <w:r>
              <w:rPr>
                <w:b/>
                <w:spacing w:val="-4"/>
                <w:sz w:val="17"/>
              </w:rPr>
              <w:t>2027</w:t>
            </w:r>
          </w:p>
        </w:tc>
        <w:tc>
          <w:tcPr>
            <w:tcW w:w="620" w:type="dxa"/>
            <w:shd w:val="clear" w:color="auto" w:fill="92D400"/>
          </w:tcPr>
          <w:p w:rsidR="00C31389" w:rsidRDefault="00561FBD" w14:paraId="55EF268D" w14:textId="77777777">
            <w:pPr>
              <w:pStyle w:val="TableParagraph"/>
              <w:spacing w:before="3"/>
              <w:ind w:left="107" w:right="108"/>
              <w:jc w:val="center"/>
              <w:rPr>
                <w:b/>
                <w:sz w:val="17"/>
              </w:rPr>
            </w:pPr>
            <w:r>
              <w:rPr>
                <w:b/>
                <w:spacing w:val="-4"/>
                <w:sz w:val="17"/>
              </w:rPr>
              <w:t>2028</w:t>
            </w:r>
          </w:p>
        </w:tc>
        <w:tc>
          <w:tcPr>
            <w:tcW w:w="621" w:type="dxa"/>
            <w:shd w:val="clear" w:color="auto" w:fill="92D400"/>
          </w:tcPr>
          <w:p w:rsidR="00C31389" w:rsidRDefault="00561FBD" w14:paraId="52A6CF48" w14:textId="77777777">
            <w:pPr>
              <w:pStyle w:val="TableParagraph"/>
              <w:spacing w:before="3"/>
              <w:ind w:left="120"/>
              <w:rPr>
                <w:b/>
                <w:sz w:val="17"/>
              </w:rPr>
            </w:pPr>
            <w:r>
              <w:rPr>
                <w:b/>
                <w:spacing w:val="-4"/>
                <w:sz w:val="17"/>
              </w:rPr>
              <w:t>2029</w:t>
            </w:r>
          </w:p>
        </w:tc>
        <w:tc>
          <w:tcPr>
            <w:tcW w:w="620" w:type="dxa"/>
            <w:shd w:val="clear" w:color="auto" w:fill="92D400"/>
          </w:tcPr>
          <w:p w:rsidR="00C31389" w:rsidRDefault="00561FBD" w14:paraId="646AD1C0" w14:textId="77777777">
            <w:pPr>
              <w:pStyle w:val="TableParagraph"/>
              <w:spacing w:before="3"/>
              <w:ind w:left="119"/>
              <w:rPr>
                <w:b/>
                <w:sz w:val="17"/>
              </w:rPr>
            </w:pPr>
            <w:r>
              <w:rPr>
                <w:b/>
                <w:spacing w:val="-4"/>
                <w:sz w:val="17"/>
              </w:rPr>
              <w:t>2030</w:t>
            </w:r>
          </w:p>
        </w:tc>
        <w:tc>
          <w:tcPr>
            <w:tcW w:w="620" w:type="dxa"/>
            <w:shd w:val="clear" w:color="auto" w:fill="92D400"/>
          </w:tcPr>
          <w:p w:rsidR="00C31389" w:rsidRDefault="00561FBD" w14:paraId="70FD8F5C" w14:textId="77777777">
            <w:pPr>
              <w:pStyle w:val="TableParagraph"/>
              <w:spacing w:before="3"/>
              <w:ind w:left="107" w:right="108"/>
              <w:jc w:val="center"/>
              <w:rPr>
                <w:b/>
                <w:sz w:val="17"/>
              </w:rPr>
            </w:pPr>
            <w:r>
              <w:rPr>
                <w:b/>
                <w:spacing w:val="-4"/>
                <w:sz w:val="17"/>
              </w:rPr>
              <w:t>2031</w:t>
            </w:r>
          </w:p>
        </w:tc>
        <w:tc>
          <w:tcPr>
            <w:tcW w:w="621" w:type="dxa"/>
            <w:shd w:val="clear" w:color="auto" w:fill="92D400"/>
          </w:tcPr>
          <w:p w:rsidR="00C31389" w:rsidRDefault="00561FBD" w14:paraId="4A71A9BE" w14:textId="77777777">
            <w:pPr>
              <w:pStyle w:val="TableParagraph"/>
              <w:spacing w:before="3"/>
              <w:ind w:left="108" w:right="109"/>
              <w:jc w:val="center"/>
              <w:rPr>
                <w:b/>
                <w:sz w:val="17"/>
              </w:rPr>
            </w:pPr>
            <w:r>
              <w:rPr>
                <w:b/>
                <w:spacing w:val="-4"/>
                <w:sz w:val="17"/>
              </w:rPr>
              <w:t>2032</w:t>
            </w:r>
          </w:p>
        </w:tc>
        <w:tc>
          <w:tcPr>
            <w:tcW w:w="620" w:type="dxa"/>
            <w:shd w:val="clear" w:color="auto" w:fill="92D400"/>
          </w:tcPr>
          <w:p w:rsidR="00C31389" w:rsidRDefault="00561FBD" w14:paraId="0589B877" w14:textId="77777777">
            <w:pPr>
              <w:pStyle w:val="TableParagraph"/>
              <w:spacing w:before="3"/>
              <w:ind w:left="118"/>
              <w:rPr>
                <w:b/>
                <w:sz w:val="17"/>
              </w:rPr>
            </w:pPr>
            <w:r>
              <w:rPr>
                <w:b/>
                <w:spacing w:val="-4"/>
                <w:sz w:val="17"/>
              </w:rPr>
              <w:t>2033</w:t>
            </w:r>
          </w:p>
        </w:tc>
        <w:tc>
          <w:tcPr>
            <w:tcW w:w="619" w:type="dxa"/>
            <w:shd w:val="clear" w:color="auto" w:fill="92D400"/>
          </w:tcPr>
          <w:p w:rsidR="00C31389" w:rsidRDefault="00561FBD" w14:paraId="0F7669ED" w14:textId="77777777">
            <w:pPr>
              <w:pStyle w:val="TableParagraph"/>
              <w:spacing w:before="3"/>
              <w:ind w:left="117"/>
              <w:rPr>
                <w:b/>
                <w:sz w:val="17"/>
              </w:rPr>
            </w:pPr>
            <w:r>
              <w:rPr>
                <w:b/>
                <w:spacing w:val="-4"/>
                <w:sz w:val="17"/>
              </w:rPr>
              <w:t>2034</w:t>
            </w:r>
          </w:p>
        </w:tc>
        <w:tc>
          <w:tcPr>
            <w:tcW w:w="618" w:type="dxa"/>
            <w:shd w:val="clear" w:color="auto" w:fill="92D400"/>
          </w:tcPr>
          <w:p w:rsidR="00C31389" w:rsidRDefault="00561FBD" w14:paraId="4CCA6185" w14:textId="77777777">
            <w:pPr>
              <w:pStyle w:val="TableParagraph"/>
              <w:spacing w:before="3"/>
              <w:ind w:left="107" w:right="108"/>
              <w:jc w:val="center"/>
              <w:rPr>
                <w:b/>
                <w:sz w:val="17"/>
              </w:rPr>
            </w:pPr>
            <w:r>
              <w:rPr>
                <w:b/>
                <w:spacing w:val="-4"/>
                <w:sz w:val="17"/>
              </w:rPr>
              <w:t>2035</w:t>
            </w:r>
          </w:p>
        </w:tc>
      </w:tr>
      <w:tr w:rsidR="00C31389" w14:paraId="6D7E83EF" w14:textId="77777777">
        <w:trPr>
          <w:trHeight w:val="208"/>
        </w:trPr>
        <w:tc>
          <w:tcPr>
            <w:tcW w:w="1930" w:type="dxa"/>
            <w:shd w:val="clear" w:color="auto" w:fill="C0C0C0"/>
          </w:tcPr>
          <w:p w:rsidR="00C31389" w:rsidRDefault="00561FBD" w14:paraId="65E41013" w14:textId="77777777">
            <w:pPr>
              <w:pStyle w:val="TableParagraph"/>
              <w:spacing w:before="0" w:line="189" w:lineRule="exact"/>
              <w:ind w:left="115"/>
              <w:rPr>
                <w:b/>
                <w:sz w:val="17"/>
              </w:rPr>
            </w:pPr>
            <w:r>
              <w:rPr>
                <w:b/>
                <w:spacing w:val="-4"/>
                <w:sz w:val="17"/>
              </w:rPr>
              <w:t>PG&amp;E</w:t>
            </w:r>
          </w:p>
        </w:tc>
        <w:tc>
          <w:tcPr>
            <w:tcW w:w="620" w:type="dxa"/>
            <w:shd w:val="clear" w:color="auto" w:fill="C0C0C0"/>
          </w:tcPr>
          <w:p w:rsidR="00C31389" w:rsidRDefault="00C31389" w14:paraId="79498FDA" w14:textId="77777777">
            <w:pPr>
              <w:pStyle w:val="TableParagraph"/>
              <w:spacing w:before="0"/>
              <w:rPr>
                <w:rFonts w:ascii="Times New Roman"/>
                <w:sz w:val="14"/>
              </w:rPr>
            </w:pPr>
          </w:p>
        </w:tc>
        <w:tc>
          <w:tcPr>
            <w:tcW w:w="620" w:type="dxa"/>
            <w:shd w:val="clear" w:color="auto" w:fill="C0C0C0"/>
          </w:tcPr>
          <w:p w:rsidR="00C31389" w:rsidRDefault="00C31389" w14:paraId="16208E11" w14:textId="77777777">
            <w:pPr>
              <w:pStyle w:val="TableParagraph"/>
              <w:spacing w:before="0"/>
              <w:rPr>
                <w:rFonts w:ascii="Times New Roman"/>
                <w:sz w:val="14"/>
              </w:rPr>
            </w:pPr>
          </w:p>
        </w:tc>
        <w:tc>
          <w:tcPr>
            <w:tcW w:w="621" w:type="dxa"/>
            <w:shd w:val="clear" w:color="auto" w:fill="C0C0C0"/>
          </w:tcPr>
          <w:p w:rsidR="00C31389" w:rsidRDefault="00C31389" w14:paraId="79F6DCFE" w14:textId="77777777">
            <w:pPr>
              <w:pStyle w:val="TableParagraph"/>
              <w:spacing w:before="0"/>
              <w:rPr>
                <w:rFonts w:ascii="Times New Roman"/>
                <w:sz w:val="14"/>
              </w:rPr>
            </w:pPr>
          </w:p>
        </w:tc>
        <w:tc>
          <w:tcPr>
            <w:tcW w:w="620" w:type="dxa"/>
            <w:shd w:val="clear" w:color="auto" w:fill="C0C0C0"/>
          </w:tcPr>
          <w:p w:rsidR="00C31389" w:rsidRDefault="00C31389" w14:paraId="0E88ECAB" w14:textId="77777777">
            <w:pPr>
              <w:pStyle w:val="TableParagraph"/>
              <w:spacing w:before="0"/>
              <w:rPr>
                <w:rFonts w:ascii="Times New Roman"/>
                <w:sz w:val="14"/>
              </w:rPr>
            </w:pPr>
          </w:p>
        </w:tc>
        <w:tc>
          <w:tcPr>
            <w:tcW w:w="620" w:type="dxa"/>
            <w:shd w:val="clear" w:color="auto" w:fill="C0C0C0"/>
          </w:tcPr>
          <w:p w:rsidR="00C31389" w:rsidRDefault="00C31389" w14:paraId="35EC2148" w14:textId="77777777">
            <w:pPr>
              <w:pStyle w:val="TableParagraph"/>
              <w:spacing w:before="0"/>
              <w:rPr>
                <w:rFonts w:ascii="Times New Roman"/>
                <w:sz w:val="14"/>
              </w:rPr>
            </w:pPr>
          </w:p>
        </w:tc>
        <w:tc>
          <w:tcPr>
            <w:tcW w:w="621" w:type="dxa"/>
            <w:shd w:val="clear" w:color="auto" w:fill="C0C0C0"/>
          </w:tcPr>
          <w:p w:rsidR="00C31389" w:rsidRDefault="00C31389" w14:paraId="3EC593BC" w14:textId="77777777">
            <w:pPr>
              <w:pStyle w:val="TableParagraph"/>
              <w:spacing w:before="0"/>
              <w:rPr>
                <w:rFonts w:ascii="Times New Roman"/>
                <w:sz w:val="14"/>
              </w:rPr>
            </w:pPr>
          </w:p>
        </w:tc>
        <w:tc>
          <w:tcPr>
            <w:tcW w:w="620" w:type="dxa"/>
            <w:shd w:val="clear" w:color="auto" w:fill="C0C0C0"/>
          </w:tcPr>
          <w:p w:rsidR="00C31389" w:rsidRDefault="00C31389" w14:paraId="3CC15F33" w14:textId="77777777">
            <w:pPr>
              <w:pStyle w:val="TableParagraph"/>
              <w:spacing w:before="0"/>
              <w:rPr>
                <w:rFonts w:ascii="Times New Roman"/>
                <w:sz w:val="14"/>
              </w:rPr>
            </w:pPr>
          </w:p>
        </w:tc>
        <w:tc>
          <w:tcPr>
            <w:tcW w:w="620" w:type="dxa"/>
            <w:shd w:val="clear" w:color="auto" w:fill="C0C0C0"/>
          </w:tcPr>
          <w:p w:rsidR="00C31389" w:rsidRDefault="00C31389" w14:paraId="616E0171" w14:textId="77777777">
            <w:pPr>
              <w:pStyle w:val="TableParagraph"/>
              <w:spacing w:before="0"/>
              <w:rPr>
                <w:rFonts w:ascii="Times New Roman"/>
                <w:sz w:val="14"/>
              </w:rPr>
            </w:pPr>
          </w:p>
        </w:tc>
        <w:tc>
          <w:tcPr>
            <w:tcW w:w="621" w:type="dxa"/>
            <w:shd w:val="clear" w:color="auto" w:fill="C0C0C0"/>
          </w:tcPr>
          <w:p w:rsidR="00C31389" w:rsidRDefault="00C31389" w14:paraId="543A24B1" w14:textId="77777777">
            <w:pPr>
              <w:pStyle w:val="TableParagraph"/>
              <w:spacing w:before="0"/>
              <w:rPr>
                <w:rFonts w:ascii="Times New Roman"/>
                <w:sz w:val="14"/>
              </w:rPr>
            </w:pPr>
          </w:p>
        </w:tc>
        <w:tc>
          <w:tcPr>
            <w:tcW w:w="620" w:type="dxa"/>
            <w:shd w:val="clear" w:color="auto" w:fill="C0C0C0"/>
          </w:tcPr>
          <w:p w:rsidR="00C31389" w:rsidRDefault="00C31389" w14:paraId="559E6F91" w14:textId="77777777">
            <w:pPr>
              <w:pStyle w:val="TableParagraph"/>
              <w:spacing w:before="0"/>
              <w:rPr>
                <w:rFonts w:ascii="Times New Roman"/>
                <w:sz w:val="14"/>
              </w:rPr>
            </w:pPr>
          </w:p>
        </w:tc>
        <w:tc>
          <w:tcPr>
            <w:tcW w:w="619" w:type="dxa"/>
            <w:shd w:val="clear" w:color="auto" w:fill="C0C0C0"/>
          </w:tcPr>
          <w:p w:rsidR="00C31389" w:rsidRDefault="00C31389" w14:paraId="3A2B02A4" w14:textId="77777777">
            <w:pPr>
              <w:pStyle w:val="TableParagraph"/>
              <w:spacing w:before="0"/>
              <w:rPr>
                <w:rFonts w:ascii="Times New Roman"/>
                <w:sz w:val="14"/>
              </w:rPr>
            </w:pPr>
          </w:p>
        </w:tc>
        <w:tc>
          <w:tcPr>
            <w:tcW w:w="618" w:type="dxa"/>
            <w:shd w:val="clear" w:color="auto" w:fill="C0C0C0"/>
          </w:tcPr>
          <w:p w:rsidR="00C31389" w:rsidRDefault="00C31389" w14:paraId="1F1115D0" w14:textId="77777777">
            <w:pPr>
              <w:pStyle w:val="TableParagraph"/>
              <w:spacing w:before="0"/>
              <w:rPr>
                <w:rFonts w:ascii="Times New Roman"/>
                <w:sz w:val="14"/>
              </w:rPr>
            </w:pPr>
          </w:p>
        </w:tc>
      </w:tr>
      <w:tr w:rsidR="00C31389" w14:paraId="7EC2783F" w14:textId="77777777">
        <w:trPr>
          <w:trHeight w:val="233"/>
        </w:trPr>
        <w:tc>
          <w:tcPr>
            <w:tcW w:w="1930" w:type="dxa"/>
            <w:tcBorders>
              <w:bottom w:val="single" w:color="BEBEBE" w:sz="4" w:space="0"/>
            </w:tcBorders>
          </w:tcPr>
          <w:p w:rsidR="00C31389" w:rsidRDefault="00561FBD" w14:paraId="29984A95" w14:textId="77777777">
            <w:pPr>
              <w:pStyle w:val="TableParagraph"/>
              <w:spacing w:before="0"/>
              <w:ind w:left="115"/>
              <w:rPr>
                <w:sz w:val="17"/>
              </w:rPr>
            </w:pPr>
            <w:r>
              <w:rPr>
                <w:sz w:val="17"/>
              </w:rPr>
              <w:t>Scenario</w:t>
            </w:r>
            <w:r>
              <w:rPr>
                <w:spacing w:val="-2"/>
                <w:sz w:val="17"/>
              </w:rPr>
              <w:t xml:space="preserve"> </w:t>
            </w:r>
            <w:r>
              <w:rPr>
                <w:sz w:val="17"/>
              </w:rPr>
              <w:t>1:</w:t>
            </w:r>
            <w:r>
              <w:rPr>
                <w:spacing w:val="-2"/>
                <w:sz w:val="17"/>
              </w:rPr>
              <w:t xml:space="preserve"> </w:t>
            </w:r>
            <w:r>
              <w:rPr>
                <w:sz w:val="17"/>
              </w:rPr>
              <w:t>No</w:t>
            </w:r>
            <w:r>
              <w:rPr>
                <w:spacing w:val="-1"/>
                <w:sz w:val="17"/>
              </w:rPr>
              <w:t xml:space="preserve"> </w:t>
            </w:r>
            <w:r>
              <w:rPr>
                <w:spacing w:val="-5"/>
                <w:sz w:val="17"/>
              </w:rPr>
              <w:t>IRA</w:t>
            </w:r>
          </w:p>
        </w:tc>
        <w:tc>
          <w:tcPr>
            <w:tcW w:w="620" w:type="dxa"/>
          </w:tcPr>
          <w:p w:rsidR="00C31389" w:rsidRDefault="00561FBD" w14:paraId="5271F930" w14:textId="77777777">
            <w:pPr>
              <w:pStyle w:val="TableParagraph"/>
              <w:spacing w:before="0" w:line="214" w:lineRule="exact"/>
              <w:ind w:left="108" w:right="108"/>
              <w:jc w:val="center"/>
              <w:rPr>
                <w:rFonts w:ascii="Calibri"/>
                <w:sz w:val="18"/>
              </w:rPr>
            </w:pPr>
            <w:r>
              <w:rPr>
                <w:rFonts w:ascii="Calibri"/>
                <w:spacing w:val="-4"/>
                <w:sz w:val="18"/>
              </w:rPr>
              <w:t>$205</w:t>
            </w:r>
          </w:p>
        </w:tc>
        <w:tc>
          <w:tcPr>
            <w:tcW w:w="620" w:type="dxa"/>
          </w:tcPr>
          <w:p w:rsidR="00C31389" w:rsidRDefault="00561FBD" w14:paraId="79719614" w14:textId="77777777">
            <w:pPr>
              <w:pStyle w:val="TableParagraph"/>
              <w:spacing w:before="0" w:line="214" w:lineRule="exact"/>
              <w:ind w:left="126"/>
              <w:rPr>
                <w:rFonts w:ascii="Calibri"/>
                <w:sz w:val="18"/>
              </w:rPr>
            </w:pPr>
            <w:r>
              <w:rPr>
                <w:rFonts w:ascii="Calibri"/>
                <w:spacing w:val="-4"/>
                <w:sz w:val="18"/>
              </w:rPr>
              <w:t>$205</w:t>
            </w:r>
          </w:p>
        </w:tc>
        <w:tc>
          <w:tcPr>
            <w:tcW w:w="621" w:type="dxa"/>
          </w:tcPr>
          <w:p w:rsidR="00C31389" w:rsidRDefault="00561FBD" w14:paraId="15976FD5" w14:textId="77777777">
            <w:pPr>
              <w:pStyle w:val="TableParagraph"/>
              <w:spacing w:before="0" w:line="214" w:lineRule="exact"/>
              <w:ind w:left="127"/>
              <w:rPr>
                <w:rFonts w:ascii="Calibri"/>
                <w:sz w:val="18"/>
              </w:rPr>
            </w:pPr>
            <w:r>
              <w:rPr>
                <w:rFonts w:ascii="Calibri"/>
                <w:spacing w:val="-4"/>
                <w:sz w:val="18"/>
              </w:rPr>
              <w:t>$207</w:t>
            </w:r>
          </w:p>
        </w:tc>
        <w:tc>
          <w:tcPr>
            <w:tcW w:w="620" w:type="dxa"/>
          </w:tcPr>
          <w:p w:rsidR="00C31389" w:rsidRDefault="00561FBD" w14:paraId="6DAA0DE0" w14:textId="77777777">
            <w:pPr>
              <w:pStyle w:val="TableParagraph"/>
              <w:spacing w:before="0" w:line="214" w:lineRule="exact"/>
              <w:ind w:left="107" w:right="108"/>
              <w:jc w:val="center"/>
              <w:rPr>
                <w:rFonts w:ascii="Calibri"/>
                <w:sz w:val="18"/>
              </w:rPr>
            </w:pPr>
            <w:r>
              <w:rPr>
                <w:rFonts w:ascii="Calibri"/>
                <w:spacing w:val="-4"/>
                <w:sz w:val="18"/>
              </w:rPr>
              <w:t>$211</w:t>
            </w:r>
          </w:p>
        </w:tc>
        <w:tc>
          <w:tcPr>
            <w:tcW w:w="620" w:type="dxa"/>
          </w:tcPr>
          <w:p w:rsidR="00C31389" w:rsidRDefault="00561FBD" w14:paraId="2FE33FDD" w14:textId="77777777">
            <w:pPr>
              <w:pStyle w:val="TableParagraph"/>
              <w:spacing w:before="0" w:line="214" w:lineRule="exact"/>
              <w:ind w:left="107" w:right="108"/>
              <w:jc w:val="center"/>
              <w:rPr>
                <w:rFonts w:ascii="Calibri"/>
                <w:sz w:val="18"/>
              </w:rPr>
            </w:pPr>
            <w:r>
              <w:rPr>
                <w:rFonts w:ascii="Calibri"/>
                <w:spacing w:val="-4"/>
                <w:sz w:val="18"/>
              </w:rPr>
              <w:t>$223</w:t>
            </w:r>
          </w:p>
        </w:tc>
        <w:tc>
          <w:tcPr>
            <w:tcW w:w="621" w:type="dxa"/>
          </w:tcPr>
          <w:p w:rsidR="00C31389" w:rsidRDefault="00561FBD" w14:paraId="3C15D3EE" w14:textId="77777777">
            <w:pPr>
              <w:pStyle w:val="TableParagraph"/>
              <w:spacing w:before="0" w:line="214" w:lineRule="exact"/>
              <w:ind w:left="126"/>
              <w:rPr>
                <w:rFonts w:ascii="Calibri"/>
                <w:sz w:val="18"/>
              </w:rPr>
            </w:pPr>
            <w:r>
              <w:rPr>
                <w:rFonts w:ascii="Calibri"/>
                <w:spacing w:val="-4"/>
                <w:sz w:val="18"/>
              </w:rPr>
              <w:t>$234</w:t>
            </w:r>
          </w:p>
        </w:tc>
        <w:tc>
          <w:tcPr>
            <w:tcW w:w="620" w:type="dxa"/>
          </w:tcPr>
          <w:p w:rsidR="00C31389" w:rsidRDefault="00561FBD" w14:paraId="2C7038B7" w14:textId="77777777">
            <w:pPr>
              <w:pStyle w:val="TableParagraph"/>
              <w:spacing w:before="0" w:line="214" w:lineRule="exact"/>
              <w:ind w:left="125"/>
              <w:rPr>
                <w:rFonts w:ascii="Calibri"/>
                <w:sz w:val="18"/>
              </w:rPr>
            </w:pPr>
            <w:r>
              <w:rPr>
                <w:rFonts w:ascii="Calibri"/>
                <w:spacing w:val="-4"/>
                <w:sz w:val="18"/>
              </w:rPr>
              <w:t>$220</w:t>
            </w:r>
          </w:p>
        </w:tc>
        <w:tc>
          <w:tcPr>
            <w:tcW w:w="620" w:type="dxa"/>
          </w:tcPr>
          <w:p w:rsidR="00C31389" w:rsidRDefault="00561FBD" w14:paraId="683C837E" w14:textId="77777777">
            <w:pPr>
              <w:pStyle w:val="TableParagraph"/>
              <w:spacing w:before="0" w:line="214" w:lineRule="exact"/>
              <w:ind w:left="105" w:right="108"/>
              <w:jc w:val="center"/>
              <w:rPr>
                <w:rFonts w:ascii="Calibri"/>
                <w:sz w:val="18"/>
              </w:rPr>
            </w:pPr>
            <w:r>
              <w:rPr>
                <w:rFonts w:ascii="Calibri"/>
                <w:spacing w:val="-4"/>
                <w:sz w:val="18"/>
              </w:rPr>
              <w:t>$227</w:t>
            </w:r>
          </w:p>
        </w:tc>
        <w:tc>
          <w:tcPr>
            <w:tcW w:w="621" w:type="dxa"/>
          </w:tcPr>
          <w:p w:rsidR="00C31389" w:rsidRDefault="00561FBD" w14:paraId="748D6FC2" w14:textId="77777777">
            <w:pPr>
              <w:pStyle w:val="TableParagraph"/>
              <w:spacing w:before="0" w:line="214" w:lineRule="exact"/>
              <w:ind w:left="106" w:right="109"/>
              <w:jc w:val="center"/>
              <w:rPr>
                <w:rFonts w:ascii="Calibri"/>
                <w:sz w:val="18"/>
              </w:rPr>
            </w:pPr>
            <w:r>
              <w:rPr>
                <w:rFonts w:ascii="Calibri"/>
                <w:spacing w:val="-4"/>
                <w:sz w:val="18"/>
              </w:rPr>
              <w:t>$243</w:t>
            </w:r>
          </w:p>
        </w:tc>
        <w:tc>
          <w:tcPr>
            <w:tcW w:w="620" w:type="dxa"/>
          </w:tcPr>
          <w:p w:rsidR="00C31389" w:rsidRDefault="00561FBD" w14:paraId="71055066" w14:textId="77777777">
            <w:pPr>
              <w:pStyle w:val="TableParagraph"/>
              <w:spacing w:before="0" w:line="214" w:lineRule="exact"/>
              <w:ind w:left="124"/>
              <w:rPr>
                <w:rFonts w:ascii="Calibri"/>
                <w:sz w:val="18"/>
              </w:rPr>
            </w:pPr>
            <w:r>
              <w:rPr>
                <w:rFonts w:ascii="Calibri"/>
                <w:spacing w:val="-4"/>
                <w:sz w:val="18"/>
              </w:rPr>
              <w:t>$261</w:t>
            </w:r>
          </w:p>
        </w:tc>
        <w:tc>
          <w:tcPr>
            <w:tcW w:w="619" w:type="dxa"/>
          </w:tcPr>
          <w:p w:rsidR="00C31389" w:rsidRDefault="00561FBD" w14:paraId="73EA3AAF" w14:textId="77777777">
            <w:pPr>
              <w:pStyle w:val="TableParagraph"/>
              <w:spacing w:before="0" w:line="214" w:lineRule="exact"/>
              <w:ind w:left="123"/>
              <w:rPr>
                <w:rFonts w:ascii="Calibri"/>
                <w:sz w:val="18"/>
              </w:rPr>
            </w:pPr>
            <w:r>
              <w:rPr>
                <w:rFonts w:ascii="Calibri"/>
                <w:spacing w:val="-4"/>
                <w:sz w:val="18"/>
              </w:rPr>
              <w:t>$265</w:t>
            </w:r>
          </w:p>
        </w:tc>
        <w:tc>
          <w:tcPr>
            <w:tcW w:w="618" w:type="dxa"/>
          </w:tcPr>
          <w:p w:rsidR="00C31389" w:rsidRDefault="00561FBD" w14:paraId="7BDA3F7C" w14:textId="77777777">
            <w:pPr>
              <w:pStyle w:val="TableParagraph"/>
              <w:spacing w:before="0" w:line="214" w:lineRule="exact"/>
              <w:ind w:left="105" w:right="108"/>
              <w:jc w:val="center"/>
              <w:rPr>
                <w:rFonts w:ascii="Calibri"/>
                <w:sz w:val="18"/>
              </w:rPr>
            </w:pPr>
            <w:r>
              <w:rPr>
                <w:rFonts w:ascii="Calibri"/>
                <w:spacing w:val="-4"/>
                <w:sz w:val="18"/>
              </w:rPr>
              <w:t>$282</w:t>
            </w:r>
          </w:p>
        </w:tc>
      </w:tr>
      <w:tr w:rsidR="00C31389" w14:paraId="69310685" w14:textId="77777777">
        <w:trPr>
          <w:trHeight w:val="417"/>
        </w:trPr>
        <w:tc>
          <w:tcPr>
            <w:tcW w:w="1930" w:type="dxa"/>
            <w:tcBorders>
              <w:top w:val="single" w:color="BEBEBE" w:sz="4" w:space="0"/>
              <w:bottom w:val="single" w:color="BEBEBE" w:sz="4" w:space="0"/>
            </w:tcBorders>
          </w:tcPr>
          <w:p w:rsidR="00C31389" w:rsidRDefault="00561FBD" w14:paraId="058C0100" w14:textId="77777777">
            <w:pPr>
              <w:pStyle w:val="TableParagraph"/>
              <w:spacing w:before="1"/>
              <w:ind w:left="115"/>
              <w:rPr>
                <w:sz w:val="17"/>
              </w:rPr>
            </w:pPr>
            <w:r>
              <w:rPr>
                <w:sz w:val="17"/>
              </w:rPr>
              <w:t>Scenario</w:t>
            </w:r>
            <w:r>
              <w:rPr>
                <w:spacing w:val="-2"/>
                <w:sz w:val="17"/>
              </w:rPr>
              <w:t xml:space="preserve"> </w:t>
            </w:r>
            <w:r>
              <w:rPr>
                <w:sz w:val="17"/>
              </w:rPr>
              <w:t>2:</w:t>
            </w:r>
            <w:r>
              <w:rPr>
                <w:spacing w:val="-2"/>
                <w:sz w:val="17"/>
              </w:rPr>
              <w:t xml:space="preserve"> Reference</w:t>
            </w:r>
          </w:p>
          <w:p w:rsidR="00C31389" w:rsidRDefault="00561FBD" w14:paraId="670F1711" w14:textId="77777777">
            <w:pPr>
              <w:pStyle w:val="TableParagraph"/>
              <w:spacing w:before="12" w:line="188" w:lineRule="exact"/>
              <w:ind w:left="115"/>
              <w:rPr>
                <w:sz w:val="17"/>
              </w:rPr>
            </w:pPr>
            <w:r>
              <w:rPr>
                <w:sz w:val="17"/>
              </w:rPr>
              <w:t>IRA</w:t>
            </w:r>
            <w:r>
              <w:rPr>
                <w:spacing w:val="-3"/>
                <w:sz w:val="17"/>
              </w:rPr>
              <w:t xml:space="preserve"> </w:t>
            </w:r>
            <w:r>
              <w:rPr>
                <w:sz w:val="17"/>
              </w:rPr>
              <w:t>and</w:t>
            </w:r>
            <w:r>
              <w:rPr>
                <w:spacing w:val="-2"/>
                <w:sz w:val="17"/>
              </w:rPr>
              <w:t xml:space="preserve"> </w:t>
            </w:r>
            <w:r>
              <w:rPr>
                <w:spacing w:val="-5"/>
                <w:sz w:val="17"/>
              </w:rPr>
              <w:t>FS</w:t>
            </w:r>
          </w:p>
        </w:tc>
        <w:tc>
          <w:tcPr>
            <w:tcW w:w="620" w:type="dxa"/>
          </w:tcPr>
          <w:p w:rsidR="00C31389" w:rsidRDefault="00C31389" w14:paraId="48F4DE9C" w14:textId="77777777">
            <w:pPr>
              <w:pStyle w:val="TableParagraph"/>
              <w:spacing w:before="11"/>
              <w:rPr>
                <w:b/>
                <w:sz w:val="15"/>
              </w:rPr>
            </w:pPr>
          </w:p>
          <w:p w:rsidR="00C31389" w:rsidRDefault="00561FBD" w14:paraId="750CF50A" w14:textId="77777777">
            <w:pPr>
              <w:pStyle w:val="TableParagraph"/>
              <w:spacing w:before="0" w:line="214" w:lineRule="exact"/>
              <w:ind w:left="108" w:right="108"/>
              <w:jc w:val="center"/>
              <w:rPr>
                <w:rFonts w:ascii="Calibri"/>
                <w:sz w:val="18"/>
              </w:rPr>
            </w:pPr>
            <w:r>
              <w:rPr>
                <w:rFonts w:ascii="Calibri"/>
                <w:spacing w:val="-4"/>
                <w:sz w:val="18"/>
              </w:rPr>
              <w:t>$212</w:t>
            </w:r>
          </w:p>
        </w:tc>
        <w:tc>
          <w:tcPr>
            <w:tcW w:w="620" w:type="dxa"/>
          </w:tcPr>
          <w:p w:rsidR="00C31389" w:rsidRDefault="00C31389" w14:paraId="0D216FD4" w14:textId="77777777">
            <w:pPr>
              <w:pStyle w:val="TableParagraph"/>
              <w:spacing w:before="11"/>
              <w:rPr>
                <w:b/>
                <w:sz w:val="15"/>
              </w:rPr>
            </w:pPr>
          </w:p>
          <w:p w:rsidR="00C31389" w:rsidRDefault="00561FBD" w14:paraId="56CBE0C5" w14:textId="77777777">
            <w:pPr>
              <w:pStyle w:val="TableParagraph"/>
              <w:spacing w:before="0" w:line="214" w:lineRule="exact"/>
              <w:ind w:left="126"/>
              <w:rPr>
                <w:rFonts w:ascii="Calibri"/>
                <w:sz w:val="18"/>
              </w:rPr>
            </w:pPr>
            <w:r>
              <w:rPr>
                <w:rFonts w:ascii="Calibri"/>
                <w:spacing w:val="-4"/>
                <w:sz w:val="18"/>
              </w:rPr>
              <w:t>$212</w:t>
            </w:r>
          </w:p>
        </w:tc>
        <w:tc>
          <w:tcPr>
            <w:tcW w:w="621" w:type="dxa"/>
          </w:tcPr>
          <w:p w:rsidR="00C31389" w:rsidRDefault="00C31389" w14:paraId="667ACDB7" w14:textId="77777777">
            <w:pPr>
              <w:pStyle w:val="TableParagraph"/>
              <w:spacing w:before="11"/>
              <w:rPr>
                <w:b/>
                <w:sz w:val="15"/>
              </w:rPr>
            </w:pPr>
          </w:p>
          <w:p w:rsidR="00C31389" w:rsidRDefault="00561FBD" w14:paraId="1032D1C1" w14:textId="77777777">
            <w:pPr>
              <w:pStyle w:val="TableParagraph"/>
              <w:spacing w:before="0" w:line="214" w:lineRule="exact"/>
              <w:ind w:left="127"/>
              <w:rPr>
                <w:rFonts w:ascii="Calibri"/>
                <w:sz w:val="18"/>
              </w:rPr>
            </w:pPr>
            <w:r>
              <w:rPr>
                <w:rFonts w:ascii="Calibri"/>
                <w:spacing w:val="-4"/>
                <w:sz w:val="18"/>
              </w:rPr>
              <w:t>$212</w:t>
            </w:r>
          </w:p>
        </w:tc>
        <w:tc>
          <w:tcPr>
            <w:tcW w:w="620" w:type="dxa"/>
          </w:tcPr>
          <w:p w:rsidR="00C31389" w:rsidRDefault="00C31389" w14:paraId="08A59EA7" w14:textId="77777777">
            <w:pPr>
              <w:pStyle w:val="TableParagraph"/>
              <w:spacing w:before="11"/>
              <w:rPr>
                <w:b/>
                <w:sz w:val="15"/>
              </w:rPr>
            </w:pPr>
          </w:p>
          <w:p w:rsidR="00C31389" w:rsidRDefault="00561FBD" w14:paraId="54C40F5C" w14:textId="77777777">
            <w:pPr>
              <w:pStyle w:val="TableParagraph"/>
              <w:spacing w:before="0" w:line="214" w:lineRule="exact"/>
              <w:ind w:left="107" w:right="108"/>
              <w:jc w:val="center"/>
              <w:rPr>
                <w:rFonts w:ascii="Calibri"/>
                <w:sz w:val="18"/>
              </w:rPr>
            </w:pPr>
            <w:r>
              <w:rPr>
                <w:rFonts w:ascii="Calibri"/>
                <w:spacing w:val="-4"/>
                <w:sz w:val="18"/>
              </w:rPr>
              <w:t>$217</w:t>
            </w:r>
          </w:p>
        </w:tc>
        <w:tc>
          <w:tcPr>
            <w:tcW w:w="620" w:type="dxa"/>
          </w:tcPr>
          <w:p w:rsidR="00C31389" w:rsidRDefault="00C31389" w14:paraId="008E1A16" w14:textId="77777777">
            <w:pPr>
              <w:pStyle w:val="TableParagraph"/>
              <w:spacing w:before="11"/>
              <w:rPr>
                <w:b/>
                <w:sz w:val="15"/>
              </w:rPr>
            </w:pPr>
          </w:p>
          <w:p w:rsidR="00C31389" w:rsidRDefault="00561FBD" w14:paraId="668B736A" w14:textId="77777777">
            <w:pPr>
              <w:pStyle w:val="TableParagraph"/>
              <w:spacing w:before="0" w:line="214" w:lineRule="exact"/>
              <w:ind w:left="107" w:right="108"/>
              <w:jc w:val="center"/>
              <w:rPr>
                <w:rFonts w:ascii="Calibri"/>
                <w:sz w:val="18"/>
              </w:rPr>
            </w:pPr>
            <w:r>
              <w:rPr>
                <w:rFonts w:ascii="Calibri"/>
                <w:spacing w:val="-4"/>
                <w:sz w:val="18"/>
              </w:rPr>
              <w:t>$228</w:t>
            </w:r>
          </w:p>
        </w:tc>
        <w:tc>
          <w:tcPr>
            <w:tcW w:w="621" w:type="dxa"/>
          </w:tcPr>
          <w:p w:rsidR="00C31389" w:rsidRDefault="00C31389" w14:paraId="0ED796E8" w14:textId="77777777">
            <w:pPr>
              <w:pStyle w:val="TableParagraph"/>
              <w:spacing w:before="11"/>
              <w:rPr>
                <w:b/>
                <w:sz w:val="15"/>
              </w:rPr>
            </w:pPr>
          </w:p>
          <w:p w:rsidR="00C31389" w:rsidRDefault="00561FBD" w14:paraId="7FC508B6" w14:textId="77777777">
            <w:pPr>
              <w:pStyle w:val="TableParagraph"/>
              <w:spacing w:before="0" w:line="214" w:lineRule="exact"/>
              <w:ind w:left="126"/>
              <w:rPr>
                <w:rFonts w:ascii="Calibri"/>
                <w:sz w:val="18"/>
              </w:rPr>
            </w:pPr>
            <w:r>
              <w:rPr>
                <w:rFonts w:ascii="Calibri"/>
                <w:spacing w:val="-4"/>
                <w:sz w:val="18"/>
              </w:rPr>
              <w:t>$238</w:t>
            </w:r>
          </w:p>
        </w:tc>
        <w:tc>
          <w:tcPr>
            <w:tcW w:w="620" w:type="dxa"/>
          </w:tcPr>
          <w:p w:rsidR="00C31389" w:rsidRDefault="00C31389" w14:paraId="44EC246E" w14:textId="77777777">
            <w:pPr>
              <w:pStyle w:val="TableParagraph"/>
              <w:spacing w:before="11"/>
              <w:rPr>
                <w:b/>
                <w:sz w:val="15"/>
              </w:rPr>
            </w:pPr>
          </w:p>
          <w:p w:rsidR="00C31389" w:rsidRDefault="00561FBD" w14:paraId="323E629C" w14:textId="77777777">
            <w:pPr>
              <w:pStyle w:val="TableParagraph"/>
              <w:spacing w:before="0" w:line="214" w:lineRule="exact"/>
              <w:ind w:left="125"/>
              <w:rPr>
                <w:rFonts w:ascii="Calibri"/>
                <w:sz w:val="18"/>
              </w:rPr>
            </w:pPr>
            <w:r>
              <w:rPr>
                <w:rFonts w:ascii="Calibri"/>
                <w:spacing w:val="-4"/>
                <w:sz w:val="18"/>
              </w:rPr>
              <w:t>$223</w:t>
            </w:r>
          </w:p>
        </w:tc>
        <w:tc>
          <w:tcPr>
            <w:tcW w:w="620" w:type="dxa"/>
          </w:tcPr>
          <w:p w:rsidR="00C31389" w:rsidRDefault="00C31389" w14:paraId="1E59BB90" w14:textId="77777777">
            <w:pPr>
              <w:pStyle w:val="TableParagraph"/>
              <w:spacing w:before="11"/>
              <w:rPr>
                <w:b/>
                <w:sz w:val="15"/>
              </w:rPr>
            </w:pPr>
          </w:p>
          <w:p w:rsidR="00C31389" w:rsidRDefault="00561FBD" w14:paraId="737D4253" w14:textId="77777777">
            <w:pPr>
              <w:pStyle w:val="TableParagraph"/>
              <w:spacing w:before="0" w:line="214" w:lineRule="exact"/>
              <w:ind w:left="105" w:right="108"/>
              <w:jc w:val="center"/>
              <w:rPr>
                <w:rFonts w:ascii="Calibri"/>
                <w:sz w:val="18"/>
              </w:rPr>
            </w:pPr>
            <w:r>
              <w:rPr>
                <w:rFonts w:ascii="Calibri"/>
                <w:spacing w:val="-4"/>
                <w:sz w:val="18"/>
              </w:rPr>
              <w:t>$228</w:t>
            </w:r>
          </w:p>
        </w:tc>
        <w:tc>
          <w:tcPr>
            <w:tcW w:w="621" w:type="dxa"/>
          </w:tcPr>
          <w:p w:rsidR="00C31389" w:rsidRDefault="00C31389" w14:paraId="27666124" w14:textId="77777777">
            <w:pPr>
              <w:pStyle w:val="TableParagraph"/>
              <w:spacing w:before="11"/>
              <w:rPr>
                <w:b/>
                <w:sz w:val="15"/>
              </w:rPr>
            </w:pPr>
          </w:p>
          <w:p w:rsidR="00C31389" w:rsidRDefault="00561FBD" w14:paraId="1DA966A4" w14:textId="77777777">
            <w:pPr>
              <w:pStyle w:val="TableParagraph"/>
              <w:spacing w:before="0" w:line="214" w:lineRule="exact"/>
              <w:ind w:left="106" w:right="109"/>
              <w:jc w:val="center"/>
              <w:rPr>
                <w:rFonts w:ascii="Calibri"/>
                <w:sz w:val="18"/>
              </w:rPr>
            </w:pPr>
            <w:r>
              <w:rPr>
                <w:rFonts w:ascii="Calibri"/>
                <w:spacing w:val="-4"/>
                <w:sz w:val="18"/>
              </w:rPr>
              <w:t>$245</w:t>
            </w:r>
          </w:p>
        </w:tc>
        <w:tc>
          <w:tcPr>
            <w:tcW w:w="620" w:type="dxa"/>
          </w:tcPr>
          <w:p w:rsidR="00C31389" w:rsidRDefault="00C31389" w14:paraId="06D35CC6" w14:textId="77777777">
            <w:pPr>
              <w:pStyle w:val="TableParagraph"/>
              <w:spacing w:before="11"/>
              <w:rPr>
                <w:b/>
                <w:sz w:val="15"/>
              </w:rPr>
            </w:pPr>
          </w:p>
          <w:p w:rsidR="00C31389" w:rsidRDefault="00561FBD" w14:paraId="759ADE6F" w14:textId="77777777">
            <w:pPr>
              <w:pStyle w:val="TableParagraph"/>
              <w:spacing w:before="0" w:line="214" w:lineRule="exact"/>
              <w:ind w:left="124"/>
              <w:rPr>
                <w:rFonts w:ascii="Calibri"/>
                <w:sz w:val="18"/>
              </w:rPr>
            </w:pPr>
            <w:r>
              <w:rPr>
                <w:rFonts w:ascii="Calibri"/>
                <w:spacing w:val="-4"/>
                <w:sz w:val="18"/>
              </w:rPr>
              <w:t>$262</w:t>
            </w:r>
          </w:p>
        </w:tc>
        <w:tc>
          <w:tcPr>
            <w:tcW w:w="619" w:type="dxa"/>
          </w:tcPr>
          <w:p w:rsidR="00C31389" w:rsidRDefault="00C31389" w14:paraId="5154459B" w14:textId="77777777">
            <w:pPr>
              <w:pStyle w:val="TableParagraph"/>
              <w:spacing w:before="11"/>
              <w:rPr>
                <w:b/>
                <w:sz w:val="15"/>
              </w:rPr>
            </w:pPr>
          </w:p>
          <w:p w:rsidR="00C31389" w:rsidRDefault="00561FBD" w14:paraId="28FF19C3" w14:textId="77777777">
            <w:pPr>
              <w:pStyle w:val="TableParagraph"/>
              <w:spacing w:before="0" w:line="214" w:lineRule="exact"/>
              <w:ind w:left="123"/>
              <w:rPr>
                <w:rFonts w:ascii="Calibri"/>
                <w:sz w:val="18"/>
              </w:rPr>
            </w:pPr>
            <w:r>
              <w:rPr>
                <w:rFonts w:ascii="Calibri"/>
                <w:spacing w:val="-4"/>
                <w:sz w:val="18"/>
              </w:rPr>
              <w:t>$265</w:t>
            </w:r>
          </w:p>
        </w:tc>
        <w:tc>
          <w:tcPr>
            <w:tcW w:w="618" w:type="dxa"/>
          </w:tcPr>
          <w:p w:rsidR="00C31389" w:rsidRDefault="00C31389" w14:paraId="5D8C0822" w14:textId="77777777">
            <w:pPr>
              <w:pStyle w:val="TableParagraph"/>
              <w:spacing w:before="11"/>
              <w:rPr>
                <w:b/>
                <w:sz w:val="15"/>
              </w:rPr>
            </w:pPr>
          </w:p>
          <w:p w:rsidR="00C31389" w:rsidRDefault="00561FBD" w14:paraId="6020E654" w14:textId="77777777">
            <w:pPr>
              <w:pStyle w:val="TableParagraph"/>
              <w:spacing w:before="0" w:line="214" w:lineRule="exact"/>
              <w:ind w:left="105" w:right="108"/>
              <w:jc w:val="center"/>
              <w:rPr>
                <w:rFonts w:ascii="Calibri"/>
                <w:sz w:val="18"/>
              </w:rPr>
            </w:pPr>
            <w:r>
              <w:rPr>
                <w:rFonts w:ascii="Calibri"/>
                <w:spacing w:val="-4"/>
                <w:sz w:val="18"/>
              </w:rPr>
              <w:t>$282</w:t>
            </w:r>
          </w:p>
        </w:tc>
      </w:tr>
      <w:tr w:rsidR="00C31389" w14:paraId="15EAD0CC" w14:textId="77777777">
        <w:trPr>
          <w:trHeight w:val="626"/>
        </w:trPr>
        <w:tc>
          <w:tcPr>
            <w:tcW w:w="1930" w:type="dxa"/>
            <w:tcBorders>
              <w:top w:val="single" w:color="BEBEBE" w:sz="4" w:space="0"/>
              <w:bottom w:val="single" w:color="BEBEBE" w:sz="4" w:space="0"/>
            </w:tcBorders>
          </w:tcPr>
          <w:p w:rsidR="00C31389" w:rsidRDefault="00561FBD" w14:paraId="18D40CA3" w14:textId="77777777">
            <w:pPr>
              <w:pStyle w:val="TableParagraph"/>
              <w:spacing w:before="1" w:line="254" w:lineRule="auto"/>
              <w:ind w:left="115"/>
              <w:rPr>
                <w:sz w:val="17"/>
              </w:rPr>
            </w:pPr>
            <w:r>
              <w:rPr>
                <w:sz w:val="17"/>
              </w:rPr>
              <w:t>Scenario</w:t>
            </w:r>
            <w:r>
              <w:rPr>
                <w:spacing w:val="-12"/>
                <w:sz w:val="17"/>
              </w:rPr>
              <w:t xml:space="preserve"> </w:t>
            </w:r>
            <w:r>
              <w:rPr>
                <w:sz w:val="17"/>
              </w:rPr>
              <w:t>3:</w:t>
            </w:r>
            <w:r>
              <w:rPr>
                <w:spacing w:val="-12"/>
                <w:sz w:val="17"/>
              </w:rPr>
              <w:t xml:space="preserve"> </w:t>
            </w:r>
            <w:r>
              <w:rPr>
                <w:sz w:val="17"/>
              </w:rPr>
              <w:t>Reference IRA and aggressive</w:t>
            </w:r>
          </w:p>
          <w:p w:rsidR="00C31389" w:rsidRDefault="00561FBD" w14:paraId="19F58768" w14:textId="77777777">
            <w:pPr>
              <w:pStyle w:val="TableParagraph"/>
              <w:spacing w:before="2" w:line="188" w:lineRule="exact"/>
              <w:ind w:left="115"/>
              <w:rPr>
                <w:sz w:val="17"/>
              </w:rPr>
            </w:pPr>
            <w:r>
              <w:rPr>
                <w:spacing w:val="-5"/>
                <w:sz w:val="17"/>
              </w:rPr>
              <w:t>FS</w:t>
            </w:r>
          </w:p>
        </w:tc>
        <w:tc>
          <w:tcPr>
            <w:tcW w:w="620" w:type="dxa"/>
          </w:tcPr>
          <w:p w:rsidR="00C31389" w:rsidRDefault="00C31389" w14:paraId="7B58717A" w14:textId="77777777">
            <w:pPr>
              <w:pStyle w:val="TableParagraph"/>
              <w:spacing w:before="0"/>
              <w:rPr>
                <w:b/>
                <w:sz w:val="18"/>
              </w:rPr>
            </w:pPr>
          </w:p>
          <w:p w:rsidR="00C31389" w:rsidRDefault="00C31389" w14:paraId="0B064737" w14:textId="77777777">
            <w:pPr>
              <w:pStyle w:val="TableParagraph"/>
              <w:spacing w:before="1"/>
              <w:rPr>
                <w:b/>
                <w:sz w:val="16"/>
              </w:rPr>
            </w:pPr>
          </w:p>
          <w:p w:rsidR="00C31389" w:rsidRDefault="00561FBD" w14:paraId="0AE6C00E" w14:textId="77777777">
            <w:pPr>
              <w:pStyle w:val="TableParagraph"/>
              <w:spacing w:before="0" w:line="214" w:lineRule="exact"/>
              <w:ind w:left="108" w:right="108"/>
              <w:jc w:val="center"/>
              <w:rPr>
                <w:rFonts w:ascii="Calibri"/>
                <w:sz w:val="18"/>
              </w:rPr>
            </w:pPr>
            <w:r>
              <w:rPr>
                <w:rFonts w:ascii="Calibri"/>
                <w:spacing w:val="-4"/>
                <w:sz w:val="18"/>
              </w:rPr>
              <w:t>$246</w:t>
            </w:r>
          </w:p>
        </w:tc>
        <w:tc>
          <w:tcPr>
            <w:tcW w:w="620" w:type="dxa"/>
          </w:tcPr>
          <w:p w:rsidR="00C31389" w:rsidRDefault="00C31389" w14:paraId="51629FF8" w14:textId="77777777">
            <w:pPr>
              <w:pStyle w:val="TableParagraph"/>
              <w:spacing w:before="0"/>
              <w:rPr>
                <w:b/>
                <w:sz w:val="18"/>
              </w:rPr>
            </w:pPr>
          </w:p>
          <w:p w:rsidR="00C31389" w:rsidRDefault="00C31389" w14:paraId="4F9FC07D" w14:textId="77777777">
            <w:pPr>
              <w:pStyle w:val="TableParagraph"/>
              <w:spacing w:before="1"/>
              <w:rPr>
                <w:b/>
                <w:sz w:val="16"/>
              </w:rPr>
            </w:pPr>
          </w:p>
          <w:p w:rsidR="00C31389" w:rsidRDefault="00561FBD" w14:paraId="3EA85B9E" w14:textId="77777777">
            <w:pPr>
              <w:pStyle w:val="TableParagraph"/>
              <w:spacing w:before="0" w:line="214" w:lineRule="exact"/>
              <w:ind w:left="126"/>
              <w:rPr>
                <w:rFonts w:ascii="Calibri"/>
                <w:sz w:val="18"/>
              </w:rPr>
            </w:pPr>
            <w:r>
              <w:rPr>
                <w:rFonts w:ascii="Calibri"/>
                <w:spacing w:val="-4"/>
                <w:sz w:val="18"/>
              </w:rPr>
              <w:t>$256</w:t>
            </w:r>
          </w:p>
        </w:tc>
        <w:tc>
          <w:tcPr>
            <w:tcW w:w="621" w:type="dxa"/>
          </w:tcPr>
          <w:p w:rsidR="00C31389" w:rsidRDefault="00C31389" w14:paraId="5BCF9EEE" w14:textId="77777777">
            <w:pPr>
              <w:pStyle w:val="TableParagraph"/>
              <w:spacing w:before="0"/>
              <w:rPr>
                <w:b/>
                <w:sz w:val="18"/>
              </w:rPr>
            </w:pPr>
          </w:p>
          <w:p w:rsidR="00C31389" w:rsidRDefault="00C31389" w14:paraId="4710E4D5" w14:textId="77777777">
            <w:pPr>
              <w:pStyle w:val="TableParagraph"/>
              <w:spacing w:before="1"/>
              <w:rPr>
                <w:b/>
                <w:sz w:val="16"/>
              </w:rPr>
            </w:pPr>
          </w:p>
          <w:p w:rsidR="00C31389" w:rsidRDefault="00561FBD" w14:paraId="6E278715" w14:textId="77777777">
            <w:pPr>
              <w:pStyle w:val="TableParagraph"/>
              <w:spacing w:before="0" w:line="214" w:lineRule="exact"/>
              <w:ind w:left="127"/>
              <w:rPr>
                <w:rFonts w:ascii="Calibri"/>
                <w:sz w:val="18"/>
              </w:rPr>
            </w:pPr>
            <w:r>
              <w:rPr>
                <w:rFonts w:ascii="Calibri"/>
                <w:spacing w:val="-4"/>
                <w:sz w:val="18"/>
              </w:rPr>
              <w:t>$267</w:t>
            </w:r>
          </w:p>
        </w:tc>
        <w:tc>
          <w:tcPr>
            <w:tcW w:w="620" w:type="dxa"/>
          </w:tcPr>
          <w:p w:rsidR="00C31389" w:rsidRDefault="00C31389" w14:paraId="7D762A4F" w14:textId="77777777">
            <w:pPr>
              <w:pStyle w:val="TableParagraph"/>
              <w:spacing w:before="0"/>
              <w:rPr>
                <w:b/>
                <w:sz w:val="18"/>
              </w:rPr>
            </w:pPr>
          </w:p>
          <w:p w:rsidR="00C31389" w:rsidRDefault="00C31389" w14:paraId="3942184E" w14:textId="77777777">
            <w:pPr>
              <w:pStyle w:val="TableParagraph"/>
              <w:spacing w:before="1"/>
              <w:rPr>
                <w:b/>
                <w:sz w:val="16"/>
              </w:rPr>
            </w:pPr>
          </w:p>
          <w:p w:rsidR="00C31389" w:rsidRDefault="00561FBD" w14:paraId="37AB28B3" w14:textId="77777777">
            <w:pPr>
              <w:pStyle w:val="TableParagraph"/>
              <w:spacing w:before="0" w:line="214" w:lineRule="exact"/>
              <w:ind w:left="107" w:right="108"/>
              <w:jc w:val="center"/>
              <w:rPr>
                <w:rFonts w:ascii="Calibri"/>
                <w:sz w:val="18"/>
              </w:rPr>
            </w:pPr>
            <w:r>
              <w:rPr>
                <w:rFonts w:ascii="Calibri"/>
                <w:spacing w:val="-4"/>
                <w:sz w:val="18"/>
              </w:rPr>
              <w:t>$283</w:t>
            </w:r>
          </w:p>
        </w:tc>
        <w:tc>
          <w:tcPr>
            <w:tcW w:w="620" w:type="dxa"/>
          </w:tcPr>
          <w:p w:rsidR="00C31389" w:rsidRDefault="00C31389" w14:paraId="3C4535FE" w14:textId="77777777">
            <w:pPr>
              <w:pStyle w:val="TableParagraph"/>
              <w:spacing w:before="0"/>
              <w:rPr>
                <w:b/>
                <w:sz w:val="18"/>
              </w:rPr>
            </w:pPr>
          </w:p>
          <w:p w:rsidR="00C31389" w:rsidRDefault="00C31389" w14:paraId="46351861" w14:textId="77777777">
            <w:pPr>
              <w:pStyle w:val="TableParagraph"/>
              <w:spacing w:before="1"/>
              <w:rPr>
                <w:b/>
                <w:sz w:val="16"/>
              </w:rPr>
            </w:pPr>
          </w:p>
          <w:p w:rsidR="00C31389" w:rsidRDefault="00561FBD" w14:paraId="7DF52989" w14:textId="77777777">
            <w:pPr>
              <w:pStyle w:val="TableParagraph"/>
              <w:spacing w:before="0" w:line="214" w:lineRule="exact"/>
              <w:ind w:left="107" w:right="108"/>
              <w:jc w:val="center"/>
              <w:rPr>
                <w:rFonts w:ascii="Calibri"/>
                <w:sz w:val="18"/>
              </w:rPr>
            </w:pPr>
            <w:r>
              <w:rPr>
                <w:rFonts w:ascii="Calibri"/>
                <w:spacing w:val="-4"/>
                <w:sz w:val="18"/>
              </w:rPr>
              <w:t>$306</w:t>
            </w:r>
          </w:p>
        </w:tc>
        <w:tc>
          <w:tcPr>
            <w:tcW w:w="621" w:type="dxa"/>
          </w:tcPr>
          <w:p w:rsidR="00C31389" w:rsidRDefault="00C31389" w14:paraId="414766FA" w14:textId="77777777">
            <w:pPr>
              <w:pStyle w:val="TableParagraph"/>
              <w:spacing w:before="0"/>
              <w:rPr>
                <w:b/>
                <w:sz w:val="18"/>
              </w:rPr>
            </w:pPr>
          </w:p>
          <w:p w:rsidR="00C31389" w:rsidRDefault="00C31389" w14:paraId="6B46688C" w14:textId="77777777">
            <w:pPr>
              <w:pStyle w:val="TableParagraph"/>
              <w:spacing w:before="1"/>
              <w:rPr>
                <w:b/>
                <w:sz w:val="16"/>
              </w:rPr>
            </w:pPr>
          </w:p>
          <w:p w:rsidR="00C31389" w:rsidRDefault="00561FBD" w14:paraId="0725BA00" w14:textId="77777777">
            <w:pPr>
              <w:pStyle w:val="TableParagraph"/>
              <w:spacing w:before="0" w:line="214" w:lineRule="exact"/>
              <w:ind w:left="126"/>
              <w:rPr>
                <w:rFonts w:ascii="Calibri"/>
                <w:sz w:val="18"/>
              </w:rPr>
            </w:pPr>
            <w:r>
              <w:rPr>
                <w:rFonts w:ascii="Calibri"/>
                <w:spacing w:val="-4"/>
                <w:sz w:val="18"/>
              </w:rPr>
              <w:t>$329</w:t>
            </w:r>
          </w:p>
        </w:tc>
        <w:tc>
          <w:tcPr>
            <w:tcW w:w="620" w:type="dxa"/>
          </w:tcPr>
          <w:p w:rsidR="00C31389" w:rsidRDefault="00C31389" w14:paraId="4D5D3E48" w14:textId="77777777">
            <w:pPr>
              <w:pStyle w:val="TableParagraph"/>
              <w:spacing w:before="0"/>
              <w:rPr>
                <w:b/>
                <w:sz w:val="18"/>
              </w:rPr>
            </w:pPr>
          </w:p>
          <w:p w:rsidR="00C31389" w:rsidRDefault="00C31389" w14:paraId="0D2B3769" w14:textId="77777777">
            <w:pPr>
              <w:pStyle w:val="TableParagraph"/>
              <w:spacing w:before="1"/>
              <w:rPr>
                <w:b/>
                <w:sz w:val="16"/>
              </w:rPr>
            </w:pPr>
          </w:p>
          <w:p w:rsidR="00C31389" w:rsidRDefault="00561FBD" w14:paraId="4DF97629" w14:textId="77777777">
            <w:pPr>
              <w:pStyle w:val="TableParagraph"/>
              <w:spacing w:before="0" w:line="214" w:lineRule="exact"/>
              <w:ind w:left="125"/>
              <w:rPr>
                <w:rFonts w:ascii="Calibri"/>
                <w:sz w:val="18"/>
              </w:rPr>
            </w:pPr>
            <w:r>
              <w:rPr>
                <w:rFonts w:ascii="Calibri"/>
                <w:spacing w:val="-4"/>
                <w:sz w:val="18"/>
              </w:rPr>
              <w:t>$231</w:t>
            </w:r>
          </w:p>
        </w:tc>
        <w:tc>
          <w:tcPr>
            <w:tcW w:w="620" w:type="dxa"/>
          </w:tcPr>
          <w:p w:rsidR="00C31389" w:rsidRDefault="00C31389" w14:paraId="7636D384" w14:textId="77777777">
            <w:pPr>
              <w:pStyle w:val="TableParagraph"/>
              <w:spacing w:before="0"/>
              <w:rPr>
                <w:b/>
                <w:sz w:val="18"/>
              </w:rPr>
            </w:pPr>
          </w:p>
          <w:p w:rsidR="00C31389" w:rsidRDefault="00C31389" w14:paraId="305D59E1" w14:textId="77777777">
            <w:pPr>
              <w:pStyle w:val="TableParagraph"/>
              <w:spacing w:before="1"/>
              <w:rPr>
                <w:b/>
                <w:sz w:val="16"/>
              </w:rPr>
            </w:pPr>
          </w:p>
          <w:p w:rsidR="00C31389" w:rsidRDefault="00561FBD" w14:paraId="084DC803" w14:textId="77777777">
            <w:pPr>
              <w:pStyle w:val="TableParagraph"/>
              <w:spacing w:before="0" w:line="214" w:lineRule="exact"/>
              <w:ind w:left="105" w:right="108"/>
              <w:jc w:val="center"/>
              <w:rPr>
                <w:rFonts w:ascii="Calibri"/>
                <w:sz w:val="18"/>
              </w:rPr>
            </w:pPr>
            <w:r>
              <w:rPr>
                <w:rFonts w:ascii="Calibri"/>
                <w:spacing w:val="-4"/>
                <w:sz w:val="18"/>
              </w:rPr>
              <w:t>$238</w:t>
            </w:r>
          </w:p>
        </w:tc>
        <w:tc>
          <w:tcPr>
            <w:tcW w:w="621" w:type="dxa"/>
          </w:tcPr>
          <w:p w:rsidR="00C31389" w:rsidRDefault="00C31389" w14:paraId="2AFEC234" w14:textId="77777777">
            <w:pPr>
              <w:pStyle w:val="TableParagraph"/>
              <w:spacing w:before="0"/>
              <w:rPr>
                <w:b/>
                <w:sz w:val="18"/>
              </w:rPr>
            </w:pPr>
          </w:p>
          <w:p w:rsidR="00C31389" w:rsidRDefault="00C31389" w14:paraId="0A6D17B1" w14:textId="77777777">
            <w:pPr>
              <w:pStyle w:val="TableParagraph"/>
              <w:spacing w:before="1"/>
              <w:rPr>
                <w:b/>
                <w:sz w:val="16"/>
              </w:rPr>
            </w:pPr>
          </w:p>
          <w:p w:rsidR="00C31389" w:rsidRDefault="00561FBD" w14:paraId="163289C4" w14:textId="77777777">
            <w:pPr>
              <w:pStyle w:val="TableParagraph"/>
              <w:spacing w:before="0" w:line="214" w:lineRule="exact"/>
              <w:ind w:left="106" w:right="109"/>
              <w:jc w:val="center"/>
              <w:rPr>
                <w:rFonts w:ascii="Calibri"/>
                <w:sz w:val="18"/>
              </w:rPr>
            </w:pPr>
            <w:r>
              <w:rPr>
                <w:rFonts w:ascii="Calibri"/>
                <w:spacing w:val="-4"/>
                <w:sz w:val="18"/>
              </w:rPr>
              <w:t>$255</w:t>
            </w:r>
          </w:p>
        </w:tc>
        <w:tc>
          <w:tcPr>
            <w:tcW w:w="620" w:type="dxa"/>
          </w:tcPr>
          <w:p w:rsidR="00C31389" w:rsidRDefault="00C31389" w14:paraId="2BDBDAFA" w14:textId="77777777">
            <w:pPr>
              <w:pStyle w:val="TableParagraph"/>
              <w:spacing w:before="0"/>
              <w:rPr>
                <w:b/>
                <w:sz w:val="18"/>
              </w:rPr>
            </w:pPr>
          </w:p>
          <w:p w:rsidR="00C31389" w:rsidRDefault="00C31389" w14:paraId="2C6C7A32" w14:textId="77777777">
            <w:pPr>
              <w:pStyle w:val="TableParagraph"/>
              <w:spacing w:before="1"/>
              <w:rPr>
                <w:b/>
                <w:sz w:val="16"/>
              </w:rPr>
            </w:pPr>
          </w:p>
          <w:p w:rsidR="00C31389" w:rsidRDefault="00561FBD" w14:paraId="58988DAE" w14:textId="77777777">
            <w:pPr>
              <w:pStyle w:val="TableParagraph"/>
              <w:spacing w:before="0" w:line="214" w:lineRule="exact"/>
              <w:ind w:left="124"/>
              <w:rPr>
                <w:rFonts w:ascii="Calibri"/>
                <w:sz w:val="18"/>
              </w:rPr>
            </w:pPr>
            <w:r>
              <w:rPr>
                <w:rFonts w:ascii="Calibri"/>
                <w:spacing w:val="-4"/>
                <w:sz w:val="18"/>
              </w:rPr>
              <w:t>$274</w:t>
            </w:r>
          </w:p>
        </w:tc>
        <w:tc>
          <w:tcPr>
            <w:tcW w:w="619" w:type="dxa"/>
          </w:tcPr>
          <w:p w:rsidR="00C31389" w:rsidRDefault="00C31389" w14:paraId="6F802AEB" w14:textId="77777777">
            <w:pPr>
              <w:pStyle w:val="TableParagraph"/>
              <w:spacing w:before="0"/>
              <w:rPr>
                <w:b/>
                <w:sz w:val="18"/>
              </w:rPr>
            </w:pPr>
          </w:p>
          <w:p w:rsidR="00C31389" w:rsidRDefault="00C31389" w14:paraId="22FB69FE" w14:textId="77777777">
            <w:pPr>
              <w:pStyle w:val="TableParagraph"/>
              <w:spacing w:before="1"/>
              <w:rPr>
                <w:b/>
                <w:sz w:val="16"/>
              </w:rPr>
            </w:pPr>
          </w:p>
          <w:p w:rsidR="00C31389" w:rsidRDefault="00561FBD" w14:paraId="221DE90D" w14:textId="77777777">
            <w:pPr>
              <w:pStyle w:val="TableParagraph"/>
              <w:spacing w:before="0" w:line="214" w:lineRule="exact"/>
              <w:ind w:left="124"/>
              <w:rPr>
                <w:rFonts w:ascii="Calibri"/>
                <w:sz w:val="18"/>
              </w:rPr>
            </w:pPr>
            <w:r>
              <w:rPr>
                <w:rFonts w:ascii="Calibri"/>
                <w:spacing w:val="-4"/>
                <w:sz w:val="18"/>
              </w:rPr>
              <w:t>$278</w:t>
            </w:r>
          </w:p>
        </w:tc>
        <w:tc>
          <w:tcPr>
            <w:tcW w:w="618" w:type="dxa"/>
          </w:tcPr>
          <w:p w:rsidR="00C31389" w:rsidRDefault="00C31389" w14:paraId="70825EE7" w14:textId="77777777">
            <w:pPr>
              <w:pStyle w:val="TableParagraph"/>
              <w:spacing w:before="0"/>
              <w:rPr>
                <w:b/>
                <w:sz w:val="18"/>
              </w:rPr>
            </w:pPr>
          </w:p>
          <w:p w:rsidR="00C31389" w:rsidRDefault="00C31389" w14:paraId="547FB330" w14:textId="77777777">
            <w:pPr>
              <w:pStyle w:val="TableParagraph"/>
              <w:spacing w:before="1"/>
              <w:rPr>
                <w:b/>
                <w:sz w:val="16"/>
              </w:rPr>
            </w:pPr>
          </w:p>
          <w:p w:rsidR="00C31389" w:rsidRDefault="00561FBD" w14:paraId="420A083D" w14:textId="77777777">
            <w:pPr>
              <w:pStyle w:val="TableParagraph"/>
              <w:spacing w:before="0" w:line="214" w:lineRule="exact"/>
              <w:ind w:left="106" w:right="108"/>
              <w:jc w:val="center"/>
              <w:rPr>
                <w:rFonts w:ascii="Calibri"/>
                <w:sz w:val="18"/>
              </w:rPr>
            </w:pPr>
            <w:r>
              <w:rPr>
                <w:rFonts w:ascii="Calibri"/>
                <w:spacing w:val="-4"/>
                <w:sz w:val="18"/>
              </w:rPr>
              <w:t>$296</w:t>
            </w:r>
          </w:p>
        </w:tc>
      </w:tr>
      <w:tr w:rsidR="00C31389" w14:paraId="1B63104F" w14:textId="77777777">
        <w:trPr>
          <w:trHeight w:val="624"/>
        </w:trPr>
        <w:tc>
          <w:tcPr>
            <w:tcW w:w="1930" w:type="dxa"/>
            <w:tcBorders>
              <w:top w:val="single" w:color="BEBEBE" w:sz="4" w:space="0"/>
            </w:tcBorders>
          </w:tcPr>
          <w:p w:rsidR="00C31389" w:rsidRDefault="00561FBD" w14:paraId="6C58E445" w14:textId="77777777">
            <w:pPr>
              <w:pStyle w:val="TableParagraph"/>
              <w:spacing w:before="0" w:line="256" w:lineRule="auto"/>
              <w:ind w:left="115" w:right="170"/>
              <w:rPr>
                <w:sz w:val="17"/>
              </w:rPr>
            </w:pPr>
            <w:r>
              <w:rPr>
                <w:sz w:val="17"/>
              </w:rPr>
              <w:t>Scenario 4: Aggressive</w:t>
            </w:r>
            <w:r>
              <w:rPr>
                <w:spacing w:val="-12"/>
                <w:sz w:val="17"/>
              </w:rPr>
              <w:t xml:space="preserve"> </w:t>
            </w:r>
            <w:r>
              <w:rPr>
                <w:sz w:val="17"/>
              </w:rPr>
              <w:t>IRA</w:t>
            </w:r>
            <w:r>
              <w:rPr>
                <w:spacing w:val="-12"/>
                <w:sz w:val="17"/>
              </w:rPr>
              <w:t xml:space="preserve"> </w:t>
            </w:r>
            <w:r>
              <w:rPr>
                <w:sz w:val="17"/>
              </w:rPr>
              <w:t>and</w:t>
            </w:r>
          </w:p>
          <w:p w:rsidR="00C31389" w:rsidRDefault="00561FBD" w14:paraId="293A13D1" w14:textId="77777777">
            <w:pPr>
              <w:pStyle w:val="TableParagraph"/>
              <w:spacing w:before="0" w:line="187" w:lineRule="exact"/>
              <w:ind w:left="115"/>
              <w:rPr>
                <w:sz w:val="17"/>
              </w:rPr>
            </w:pPr>
            <w:r>
              <w:rPr>
                <w:sz w:val="17"/>
              </w:rPr>
              <w:t>reference</w:t>
            </w:r>
            <w:r>
              <w:rPr>
                <w:spacing w:val="-7"/>
                <w:sz w:val="17"/>
              </w:rPr>
              <w:t xml:space="preserve"> </w:t>
            </w:r>
            <w:r>
              <w:rPr>
                <w:spacing w:val="-5"/>
                <w:sz w:val="17"/>
              </w:rPr>
              <w:t>FS</w:t>
            </w:r>
          </w:p>
        </w:tc>
        <w:tc>
          <w:tcPr>
            <w:tcW w:w="620" w:type="dxa"/>
          </w:tcPr>
          <w:p w:rsidR="00C31389" w:rsidRDefault="00C31389" w14:paraId="3417105E" w14:textId="77777777">
            <w:pPr>
              <w:pStyle w:val="TableParagraph"/>
              <w:spacing w:before="0"/>
              <w:rPr>
                <w:b/>
                <w:sz w:val="18"/>
              </w:rPr>
            </w:pPr>
          </w:p>
          <w:p w:rsidR="00C31389" w:rsidRDefault="00C31389" w14:paraId="73DBBF03" w14:textId="77777777">
            <w:pPr>
              <w:pStyle w:val="TableParagraph"/>
              <w:spacing w:before="0"/>
              <w:rPr>
                <w:b/>
                <w:sz w:val="16"/>
              </w:rPr>
            </w:pPr>
          </w:p>
          <w:p w:rsidR="00C31389" w:rsidRDefault="00561FBD" w14:paraId="503BC043" w14:textId="77777777">
            <w:pPr>
              <w:pStyle w:val="TableParagraph"/>
              <w:spacing w:before="0" w:line="214" w:lineRule="exact"/>
              <w:ind w:left="108" w:right="108"/>
              <w:jc w:val="center"/>
              <w:rPr>
                <w:rFonts w:ascii="Calibri"/>
                <w:sz w:val="18"/>
              </w:rPr>
            </w:pPr>
            <w:r>
              <w:rPr>
                <w:rFonts w:ascii="Calibri"/>
                <w:spacing w:val="-4"/>
                <w:sz w:val="18"/>
              </w:rPr>
              <w:t>$213</w:t>
            </w:r>
          </w:p>
        </w:tc>
        <w:tc>
          <w:tcPr>
            <w:tcW w:w="620" w:type="dxa"/>
          </w:tcPr>
          <w:p w:rsidR="00C31389" w:rsidRDefault="00C31389" w14:paraId="1F4BB304" w14:textId="77777777">
            <w:pPr>
              <w:pStyle w:val="TableParagraph"/>
              <w:spacing w:before="0"/>
              <w:rPr>
                <w:b/>
                <w:sz w:val="18"/>
              </w:rPr>
            </w:pPr>
          </w:p>
          <w:p w:rsidR="00C31389" w:rsidRDefault="00C31389" w14:paraId="361F70C7" w14:textId="77777777">
            <w:pPr>
              <w:pStyle w:val="TableParagraph"/>
              <w:spacing w:before="0"/>
              <w:rPr>
                <w:b/>
                <w:sz w:val="16"/>
              </w:rPr>
            </w:pPr>
          </w:p>
          <w:p w:rsidR="00C31389" w:rsidRDefault="00561FBD" w14:paraId="6F365157" w14:textId="77777777">
            <w:pPr>
              <w:pStyle w:val="TableParagraph"/>
              <w:spacing w:before="0" w:line="214" w:lineRule="exact"/>
              <w:ind w:left="126"/>
              <w:rPr>
                <w:rFonts w:ascii="Calibri"/>
                <w:sz w:val="18"/>
              </w:rPr>
            </w:pPr>
            <w:r>
              <w:rPr>
                <w:rFonts w:ascii="Calibri"/>
                <w:spacing w:val="-4"/>
                <w:sz w:val="18"/>
              </w:rPr>
              <w:t>$212</w:t>
            </w:r>
          </w:p>
        </w:tc>
        <w:tc>
          <w:tcPr>
            <w:tcW w:w="621" w:type="dxa"/>
          </w:tcPr>
          <w:p w:rsidR="00C31389" w:rsidRDefault="00C31389" w14:paraId="11DB68A6" w14:textId="77777777">
            <w:pPr>
              <w:pStyle w:val="TableParagraph"/>
              <w:spacing w:before="0"/>
              <w:rPr>
                <w:b/>
                <w:sz w:val="18"/>
              </w:rPr>
            </w:pPr>
          </w:p>
          <w:p w:rsidR="00C31389" w:rsidRDefault="00C31389" w14:paraId="294A6D77" w14:textId="77777777">
            <w:pPr>
              <w:pStyle w:val="TableParagraph"/>
              <w:spacing w:before="0"/>
              <w:rPr>
                <w:b/>
                <w:sz w:val="16"/>
              </w:rPr>
            </w:pPr>
          </w:p>
          <w:p w:rsidR="00C31389" w:rsidRDefault="00561FBD" w14:paraId="27563ACF" w14:textId="77777777">
            <w:pPr>
              <w:pStyle w:val="TableParagraph"/>
              <w:spacing w:before="0" w:line="214" w:lineRule="exact"/>
              <w:ind w:left="127"/>
              <w:rPr>
                <w:rFonts w:ascii="Calibri"/>
                <w:sz w:val="18"/>
              </w:rPr>
            </w:pPr>
            <w:r>
              <w:rPr>
                <w:rFonts w:ascii="Calibri"/>
                <w:spacing w:val="-4"/>
                <w:sz w:val="18"/>
              </w:rPr>
              <w:t>$213</w:t>
            </w:r>
          </w:p>
        </w:tc>
        <w:tc>
          <w:tcPr>
            <w:tcW w:w="620" w:type="dxa"/>
          </w:tcPr>
          <w:p w:rsidR="00C31389" w:rsidRDefault="00C31389" w14:paraId="321AE31A" w14:textId="77777777">
            <w:pPr>
              <w:pStyle w:val="TableParagraph"/>
              <w:spacing w:before="0"/>
              <w:rPr>
                <w:b/>
                <w:sz w:val="18"/>
              </w:rPr>
            </w:pPr>
          </w:p>
          <w:p w:rsidR="00C31389" w:rsidRDefault="00C31389" w14:paraId="4C87365C" w14:textId="77777777">
            <w:pPr>
              <w:pStyle w:val="TableParagraph"/>
              <w:spacing w:before="0"/>
              <w:rPr>
                <w:b/>
                <w:sz w:val="16"/>
              </w:rPr>
            </w:pPr>
          </w:p>
          <w:p w:rsidR="00C31389" w:rsidRDefault="00561FBD" w14:paraId="7A3D400F" w14:textId="77777777">
            <w:pPr>
              <w:pStyle w:val="TableParagraph"/>
              <w:spacing w:before="0" w:line="214" w:lineRule="exact"/>
              <w:ind w:left="107" w:right="108"/>
              <w:jc w:val="center"/>
              <w:rPr>
                <w:rFonts w:ascii="Calibri"/>
                <w:sz w:val="18"/>
              </w:rPr>
            </w:pPr>
            <w:r>
              <w:rPr>
                <w:rFonts w:ascii="Calibri"/>
                <w:spacing w:val="-4"/>
                <w:sz w:val="18"/>
              </w:rPr>
              <w:t>$217</w:t>
            </w:r>
          </w:p>
        </w:tc>
        <w:tc>
          <w:tcPr>
            <w:tcW w:w="620" w:type="dxa"/>
          </w:tcPr>
          <w:p w:rsidR="00C31389" w:rsidRDefault="00C31389" w14:paraId="1ACF7B15" w14:textId="77777777">
            <w:pPr>
              <w:pStyle w:val="TableParagraph"/>
              <w:spacing w:before="0"/>
              <w:rPr>
                <w:b/>
                <w:sz w:val="18"/>
              </w:rPr>
            </w:pPr>
          </w:p>
          <w:p w:rsidR="00C31389" w:rsidRDefault="00C31389" w14:paraId="24B1A361" w14:textId="77777777">
            <w:pPr>
              <w:pStyle w:val="TableParagraph"/>
              <w:spacing w:before="0"/>
              <w:rPr>
                <w:b/>
                <w:sz w:val="16"/>
              </w:rPr>
            </w:pPr>
          </w:p>
          <w:p w:rsidR="00C31389" w:rsidRDefault="00561FBD" w14:paraId="4DD59668" w14:textId="77777777">
            <w:pPr>
              <w:pStyle w:val="TableParagraph"/>
              <w:spacing w:before="0" w:line="214" w:lineRule="exact"/>
              <w:ind w:left="107" w:right="108"/>
              <w:jc w:val="center"/>
              <w:rPr>
                <w:rFonts w:ascii="Calibri"/>
                <w:sz w:val="18"/>
              </w:rPr>
            </w:pPr>
            <w:r>
              <w:rPr>
                <w:rFonts w:ascii="Calibri"/>
                <w:spacing w:val="-4"/>
                <w:sz w:val="18"/>
              </w:rPr>
              <w:t>$228</w:t>
            </w:r>
          </w:p>
        </w:tc>
        <w:tc>
          <w:tcPr>
            <w:tcW w:w="621" w:type="dxa"/>
          </w:tcPr>
          <w:p w:rsidR="00C31389" w:rsidRDefault="00C31389" w14:paraId="15F7E947" w14:textId="77777777">
            <w:pPr>
              <w:pStyle w:val="TableParagraph"/>
              <w:spacing w:before="0"/>
              <w:rPr>
                <w:b/>
                <w:sz w:val="18"/>
              </w:rPr>
            </w:pPr>
          </w:p>
          <w:p w:rsidR="00C31389" w:rsidRDefault="00C31389" w14:paraId="62BD05EF" w14:textId="77777777">
            <w:pPr>
              <w:pStyle w:val="TableParagraph"/>
              <w:spacing w:before="0"/>
              <w:rPr>
                <w:b/>
                <w:sz w:val="16"/>
              </w:rPr>
            </w:pPr>
          </w:p>
          <w:p w:rsidR="00C31389" w:rsidRDefault="00561FBD" w14:paraId="0899840F" w14:textId="77777777">
            <w:pPr>
              <w:pStyle w:val="TableParagraph"/>
              <w:spacing w:before="0" w:line="214" w:lineRule="exact"/>
              <w:ind w:left="126"/>
              <w:rPr>
                <w:rFonts w:ascii="Calibri"/>
                <w:sz w:val="18"/>
              </w:rPr>
            </w:pPr>
            <w:r>
              <w:rPr>
                <w:rFonts w:ascii="Calibri"/>
                <w:spacing w:val="-4"/>
                <w:sz w:val="18"/>
              </w:rPr>
              <w:t>$239</w:t>
            </w:r>
          </w:p>
        </w:tc>
        <w:tc>
          <w:tcPr>
            <w:tcW w:w="620" w:type="dxa"/>
          </w:tcPr>
          <w:p w:rsidR="00C31389" w:rsidRDefault="00C31389" w14:paraId="046BEBF3" w14:textId="77777777">
            <w:pPr>
              <w:pStyle w:val="TableParagraph"/>
              <w:spacing w:before="0"/>
              <w:rPr>
                <w:b/>
                <w:sz w:val="18"/>
              </w:rPr>
            </w:pPr>
          </w:p>
          <w:p w:rsidR="00C31389" w:rsidRDefault="00C31389" w14:paraId="3B477B1B" w14:textId="77777777">
            <w:pPr>
              <w:pStyle w:val="TableParagraph"/>
              <w:spacing w:before="0"/>
              <w:rPr>
                <w:b/>
                <w:sz w:val="16"/>
              </w:rPr>
            </w:pPr>
          </w:p>
          <w:p w:rsidR="00C31389" w:rsidRDefault="00561FBD" w14:paraId="404A8CA1" w14:textId="77777777">
            <w:pPr>
              <w:pStyle w:val="TableParagraph"/>
              <w:spacing w:before="0" w:line="214" w:lineRule="exact"/>
              <w:ind w:left="125"/>
              <w:rPr>
                <w:rFonts w:ascii="Calibri"/>
                <w:sz w:val="18"/>
              </w:rPr>
            </w:pPr>
            <w:r>
              <w:rPr>
                <w:rFonts w:ascii="Calibri"/>
                <w:spacing w:val="-4"/>
                <w:sz w:val="18"/>
              </w:rPr>
              <w:t>$223</w:t>
            </w:r>
          </w:p>
        </w:tc>
        <w:tc>
          <w:tcPr>
            <w:tcW w:w="620" w:type="dxa"/>
          </w:tcPr>
          <w:p w:rsidR="00C31389" w:rsidRDefault="00C31389" w14:paraId="0701E3D1" w14:textId="77777777">
            <w:pPr>
              <w:pStyle w:val="TableParagraph"/>
              <w:spacing w:before="0"/>
              <w:rPr>
                <w:b/>
                <w:sz w:val="18"/>
              </w:rPr>
            </w:pPr>
          </w:p>
          <w:p w:rsidR="00C31389" w:rsidRDefault="00C31389" w14:paraId="6E8D8EE8" w14:textId="77777777">
            <w:pPr>
              <w:pStyle w:val="TableParagraph"/>
              <w:spacing w:before="0"/>
              <w:rPr>
                <w:b/>
                <w:sz w:val="16"/>
              </w:rPr>
            </w:pPr>
          </w:p>
          <w:p w:rsidR="00C31389" w:rsidRDefault="00561FBD" w14:paraId="47B04D25" w14:textId="77777777">
            <w:pPr>
              <w:pStyle w:val="TableParagraph"/>
              <w:spacing w:before="0" w:line="214" w:lineRule="exact"/>
              <w:ind w:left="105" w:right="108"/>
              <w:jc w:val="center"/>
              <w:rPr>
                <w:rFonts w:ascii="Calibri"/>
                <w:sz w:val="18"/>
              </w:rPr>
            </w:pPr>
            <w:r>
              <w:rPr>
                <w:rFonts w:ascii="Calibri"/>
                <w:spacing w:val="-4"/>
                <w:sz w:val="18"/>
              </w:rPr>
              <w:t>$229</w:t>
            </w:r>
          </w:p>
        </w:tc>
        <w:tc>
          <w:tcPr>
            <w:tcW w:w="621" w:type="dxa"/>
          </w:tcPr>
          <w:p w:rsidR="00C31389" w:rsidRDefault="00C31389" w14:paraId="518C6FD0" w14:textId="77777777">
            <w:pPr>
              <w:pStyle w:val="TableParagraph"/>
              <w:spacing w:before="0"/>
              <w:rPr>
                <w:b/>
                <w:sz w:val="18"/>
              </w:rPr>
            </w:pPr>
          </w:p>
          <w:p w:rsidR="00C31389" w:rsidRDefault="00C31389" w14:paraId="13AA6392" w14:textId="77777777">
            <w:pPr>
              <w:pStyle w:val="TableParagraph"/>
              <w:spacing w:before="0"/>
              <w:rPr>
                <w:b/>
                <w:sz w:val="16"/>
              </w:rPr>
            </w:pPr>
          </w:p>
          <w:p w:rsidR="00C31389" w:rsidRDefault="00561FBD" w14:paraId="0ABA85D3" w14:textId="77777777">
            <w:pPr>
              <w:pStyle w:val="TableParagraph"/>
              <w:spacing w:before="0" w:line="214" w:lineRule="exact"/>
              <w:ind w:left="106" w:right="109"/>
              <w:jc w:val="center"/>
              <w:rPr>
                <w:rFonts w:ascii="Calibri"/>
                <w:sz w:val="18"/>
              </w:rPr>
            </w:pPr>
            <w:r>
              <w:rPr>
                <w:rFonts w:ascii="Calibri"/>
                <w:spacing w:val="-4"/>
                <w:sz w:val="18"/>
              </w:rPr>
              <w:t>$245</w:t>
            </w:r>
          </w:p>
        </w:tc>
        <w:tc>
          <w:tcPr>
            <w:tcW w:w="620" w:type="dxa"/>
          </w:tcPr>
          <w:p w:rsidR="00C31389" w:rsidRDefault="00C31389" w14:paraId="30ACA274" w14:textId="77777777">
            <w:pPr>
              <w:pStyle w:val="TableParagraph"/>
              <w:spacing w:before="0"/>
              <w:rPr>
                <w:b/>
                <w:sz w:val="18"/>
              </w:rPr>
            </w:pPr>
          </w:p>
          <w:p w:rsidR="00C31389" w:rsidRDefault="00C31389" w14:paraId="69E11BD2" w14:textId="77777777">
            <w:pPr>
              <w:pStyle w:val="TableParagraph"/>
              <w:spacing w:before="0"/>
              <w:rPr>
                <w:b/>
                <w:sz w:val="16"/>
              </w:rPr>
            </w:pPr>
          </w:p>
          <w:p w:rsidR="00C31389" w:rsidRDefault="00561FBD" w14:paraId="7BF545C4" w14:textId="77777777">
            <w:pPr>
              <w:pStyle w:val="TableParagraph"/>
              <w:spacing w:before="0" w:line="214" w:lineRule="exact"/>
              <w:ind w:left="124"/>
              <w:rPr>
                <w:rFonts w:ascii="Calibri"/>
                <w:sz w:val="18"/>
              </w:rPr>
            </w:pPr>
            <w:r>
              <w:rPr>
                <w:rFonts w:ascii="Calibri"/>
                <w:spacing w:val="-4"/>
                <w:sz w:val="18"/>
              </w:rPr>
              <w:t>$262</w:t>
            </w:r>
          </w:p>
        </w:tc>
        <w:tc>
          <w:tcPr>
            <w:tcW w:w="619" w:type="dxa"/>
          </w:tcPr>
          <w:p w:rsidR="00C31389" w:rsidRDefault="00C31389" w14:paraId="0B82616C" w14:textId="77777777">
            <w:pPr>
              <w:pStyle w:val="TableParagraph"/>
              <w:spacing w:before="0"/>
              <w:rPr>
                <w:b/>
                <w:sz w:val="18"/>
              </w:rPr>
            </w:pPr>
          </w:p>
          <w:p w:rsidR="00C31389" w:rsidRDefault="00C31389" w14:paraId="23E03165" w14:textId="77777777">
            <w:pPr>
              <w:pStyle w:val="TableParagraph"/>
              <w:spacing w:before="0"/>
              <w:rPr>
                <w:b/>
                <w:sz w:val="16"/>
              </w:rPr>
            </w:pPr>
          </w:p>
          <w:p w:rsidR="00C31389" w:rsidRDefault="00561FBD" w14:paraId="6AD3BC44" w14:textId="77777777">
            <w:pPr>
              <w:pStyle w:val="TableParagraph"/>
              <w:spacing w:before="0" w:line="214" w:lineRule="exact"/>
              <w:ind w:left="123"/>
              <w:rPr>
                <w:rFonts w:ascii="Calibri"/>
                <w:sz w:val="18"/>
              </w:rPr>
            </w:pPr>
            <w:r>
              <w:rPr>
                <w:rFonts w:ascii="Calibri"/>
                <w:spacing w:val="-4"/>
                <w:sz w:val="18"/>
              </w:rPr>
              <w:t>$265</w:t>
            </w:r>
          </w:p>
        </w:tc>
        <w:tc>
          <w:tcPr>
            <w:tcW w:w="618" w:type="dxa"/>
          </w:tcPr>
          <w:p w:rsidR="00C31389" w:rsidRDefault="00C31389" w14:paraId="57EA6EF8" w14:textId="77777777">
            <w:pPr>
              <w:pStyle w:val="TableParagraph"/>
              <w:spacing w:before="0"/>
              <w:rPr>
                <w:b/>
                <w:sz w:val="18"/>
              </w:rPr>
            </w:pPr>
          </w:p>
          <w:p w:rsidR="00C31389" w:rsidRDefault="00C31389" w14:paraId="57AFFA15" w14:textId="77777777">
            <w:pPr>
              <w:pStyle w:val="TableParagraph"/>
              <w:spacing w:before="0"/>
              <w:rPr>
                <w:b/>
                <w:sz w:val="16"/>
              </w:rPr>
            </w:pPr>
          </w:p>
          <w:p w:rsidR="00C31389" w:rsidRDefault="00561FBD" w14:paraId="1519D73E" w14:textId="77777777">
            <w:pPr>
              <w:pStyle w:val="TableParagraph"/>
              <w:spacing w:before="0" w:line="214" w:lineRule="exact"/>
              <w:ind w:left="105" w:right="108"/>
              <w:jc w:val="center"/>
              <w:rPr>
                <w:rFonts w:ascii="Calibri"/>
                <w:sz w:val="18"/>
              </w:rPr>
            </w:pPr>
            <w:r>
              <w:rPr>
                <w:rFonts w:ascii="Calibri"/>
                <w:spacing w:val="-4"/>
                <w:sz w:val="18"/>
              </w:rPr>
              <w:t>$282</w:t>
            </w:r>
          </w:p>
        </w:tc>
      </w:tr>
      <w:tr w:rsidR="00C31389" w14:paraId="7FAEE955" w14:textId="77777777">
        <w:trPr>
          <w:trHeight w:val="238"/>
        </w:trPr>
        <w:tc>
          <w:tcPr>
            <w:tcW w:w="1930" w:type="dxa"/>
            <w:shd w:val="clear" w:color="auto" w:fill="BEBEBE"/>
          </w:tcPr>
          <w:p w:rsidR="00C31389" w:rsidRDefault="00561FBD" w14:paraId="427575AC" w14:textId="77777777">
            <w:pPr>
              <w:pStyle w:val="TableParagraph"/>
              <w:spacing w:before="30" w:line="189" w:lineRule="exact"/>
              <w:ind w:left="115"/>
              <w:rPr>
                <w:b/>
                <w:sz w:val="17"/>
              </w:rPr>
            </w:pPr>
            <w:r>
              <w:rPr>
                <w:b/>
                <w:spacing w:val="-5"/>
                <w:sz w:val="17"/>
              </w:rPr>
              <w:t>SCE</w:t>
            </w:r>
          </w:p>
        </w:tc>
        <w:tc>
          <w:tcPr>
            <w:tcW w:w="620" w:type="dxa"/>
            <w:shd w:val="clear" w:color="auto" w:fill="BEBEBE"/>
          </w:tcPr>
          <w:p w:rsidR="00C31389" w:rsidRDefault="00C31389" w14:paraId="2F30328F" w14:textId="77777777">
            <w:pPr>
              <w:pStyle w:val="TableParagraph"/>
              <w:spacing w:before="0"/>
              <w:rPr>
                <w:rFonts w:ascii="Times New Roman"/>
                <w:sz w:val="16"/>
              </w:rPr>
            </w:pPr>
          </w:p>
        </w:tc>
        <w:tc>
          <w:tcPr>
            <w:tcW w:w="620" w:type="dxa"/>
            <w:shd w:val="clear" w:color="auto" w:fill="BEBEBE"/>
          </w:tcPr>
          <w:p w:rsidR="00C31389" w:rsidRDefault="00C31389" w14:paraId="67106114" w14:textId="77777777">
            <w:pPr>
              <w:pStyle w:val="TableParagraph"/>
              <w:spacing w:before="0"/>
              <w:rPr>
                <w:rFonts w:ascii="Times New Roman"/>
                <w:sz w:val="16"/>
              </w:rPr>
            </w:pPr>
          </w:p>
        </w:tc>
        <w:tc>
          <w:tcPr>
            <w:tcW w:w="621" w:type="dxa"/>
            <w:shd w:val="clear" w:color="auto" w:fill="BEBEBE"/>
          </w:tcPr>
          <w:p w:rsidR="00C31389" w:rsidRDefault="00C31389" w14:paraId="7A6920E4" w14:textId="77777777">
            <w:pPr>
              <w:pStyle w:val="TableParagraph"/>
              <w:spacing w:before="0"/>
              <w:rPr>
                <w:rFonts w:ascii="Times New Roman"/>
                <w:sz w:val="16"/>
              </w:rPr>
            </w:pPr>
          </w:p>
        </w:tc>
        <w:tc>
          <w:tcPr>
            <w:tcW w:w="620" w:type="dxa"/>
            <w:shd w:val="clear" w:color="auto" w:fill="BEBEBE"/>
          </w:tcPr>
          <w:p w:rsidR="00C31389" w:rsidRDefault="00C31389" w14:paraId="2E1FC8DC" w14:textId="77777777">
            <w:pPr>
              <w:pStyle w:val="TableParagraph"/>
              <w:spacing w:before="0"/>
              <w:rPr>
                <w:rFonts w:ascii="Times New Roman"/>
                <w:sz w:val="16"/>
              </w:rPr>
            </w:pPr>
          </w:p>
        </w:tc>
        <w:tc>
          <w:tcPr>
            <w:tcW w:w="620" w:type="dxa"/>
            <w:shd w:val="clear" w:color="auto" w:fill="BEBEBE"/>
          </w:tcPr>
          <w:p w:rsidR="00C31389" w:rsidRDefault="00C31389" w14:paraId="1469677B" w14:textId="77777777">
            <w:pPr>
              <w:pStyle w:val="TableParagraph"/>
              <w:spacing w:before="0"/>
              <w:rPr>
                <w:rFonts w:ascii="Times New Roman"/>
                <w:sz w:val="16"/>
              </w:rPr>
            </w:pPr>
          </w:p>
        </w:tc>
        <w:tc>
          <w:tcPr>
            <w:tcW w:w="621" w:type="dxa"/>
            <w:shd w:val="clear" w:color="auto" w:fill="BEBEBE"/>
          </w:tcPr>
          <w:p w:rsidR="00C31389" w:rsidRDefault="00C31389" w14:paraId="2AB39F12" w14:textId="77777777">
            <w:pPr>
              <w:pStyle w:val="TableParagraph"/>
              <w:spacing w:before="0"/>
              <w:rPr>
                <w:rFonts w:ascii="Times New Roman"/>
                <w:sz w:val="16"/>
              </w:rPr>
            </w:pPr>
          </w:p>
        </w:tc>
        <w:tc>
          <w:tcPr>
            <w:tcW w:w="620" w:type="dxa"/>
            <w:shd w:val="clear" w:color="auto" w:fill="BEBEBE"/>
          </w:tcPr>
          <w:p w:rsidR="00C31389" w:rsidRDefault="00C31389" w14:paraId="47EA30A8" w14:textId="77777777">
            <w:pPr>
              <w:pStyle w:val="TableParagraph"/>
              <w:spacing w:before="0"/>
              <w:rPr>
                <w:rFonts w:ascii="Times New Roman"/>
                <w:sz w:val="16"/>
              </w:rPr>
            </w:pPr>
          </w:p>
        </w:tc>
        <w:tc>
          <w:tcPr>
            <w:tcW w:w="620" w:type="dxa"/>
            <w:shd w:val="clear" w:color="auto" w:fill="BEBEBE"/>
          </w:tcPr>
          <w:p w:rsidR="00C31389" w:rsidRDefault="00C31389" w14:paraId="7E5982EE" w14:textId="77777777">
            <w:pPr>
              <w:pStyle w:val="TableParagraph"/>
              <w:spacing w:before="0"/>
              <w:rPr>
                <w:rFonts w:ascii="Times New Roman"/>
                <w:sz w:val="16"/>
              </w:rPr>
            </w:pPr>
          </w:p>
        </w:tc>
        <w:tc>
          <w:tcPr>
            <w:tcW w:w="621" w:type="dxa"/>
            <w:shd w:val="clear" w:color="auto" w:fill="BEBEBE"/>
          </w:tcPr>
          <w:p w:rsidR="00C31389" w:rsidRDefault="00C31389" w14:paraId="4B00E5DD" w14:textId="77777777">
            <w:pPr>
              <w:pStyle w:val="TableParagraph"/>
              <w:spacing w:before="0"/>
              <w:rPr>
                <w:rFonts w:ascii="Times New Roman"/>
                <w:sz w:val="16"/>
              </w:rPr>
            </w:pPr>
          </w:p>
        </w:tc>
        <w:tc>
          <w:tcPr>
            <w:tcW w:w="620" w:type="dxa"/>
            <w:shd w:val="clear" w:color="auto" w:fill="BEBEBE"/>
          </w:tcPr>
          <w:p w:rsidR="00C31389" w:rsidRDefault="00C31389" w14:paraId="7C7F1D6F" w14:textId="77777777">
            <w:pPr>
              <w:pStyle w:val="TableParagraph"/>
              <w:spacing w:before="0"/>
              <w:rPr>
                <w:rFonts w:ascii="Times New Roman"/>
                <w:sz w:val="16"/>
              </w:rPr>
            </w:pPr>
          </w:p>
        </w:tc>
        <w:tc>
          <w:tcPr>
            <w:tcW w:w="619" w:type="dxa"/>
            <w:shd w:val="clear" w:color="auto" w:fill="BEBEBE"/>
          </w:tcPr>
          <w:p w:rsidR="00C31389" w:rsidRDefault="00C31389" w14:paraId="33991679" w14:textId="77777777">
            <w:pPr>
              <w:pStyle w:val="TableParagraph"/>
              <w:spacing w:before="0"/>
              <w:rPr>
                <w:rFonts w:ascii="Times New Roman"/>
                <w:sz w:val="16"/>
              </w:rPr>
            </w:pPr>
          </w:p>
        </w:tc>
        <w:tc>
          <w:tcPr>
            <w:tcW w:w="618" w:type="dxa"/>
            <w:shd w:val="clear" w:color="auto" w:fill="BEBEBE"/>
          </w:tcPr>
          <w:p w:rsidR="00C31389" w:rsidRDefault="00C31389" w14:paraId="12FFF035" w14:textId="77777777">
            <w:pPr>
              <w:pStyle w:val="TableParagraph"/>
              <w:spacing w:before="0"/>
              <w:rPr>
                <w:rFonts w:ascii="Times New Roman"/>
                <w:sz w:val="16"/>
              </w:rPr>
            </w:pPr>
          </w:p>
        </w:tc>
      </w:tr>
      <w:tr w:rsidR="00C31389" w14:paraId="516D44E4" w14:textId="77777777">
        <w:trPr>
          <w:trHeight w:val="235"/>
        </w:trPr>
        <w:tc>
          <w:tcPr>
            <w:tcW w:w="1930" w:type="dxa"/>
            <w:tcBorders>
              <w:bottom w:val="single" w:color="BEBEBE" w:sz="4" w:space="0"/>
            </w:tcBorders>
          </w:tcPr>
          <w:p w:rsidR="00C31389" w:rsidRDefault="00561FBD" w14:paraId="743A580A" w14:textId="77777777">
            <w:pPr>
              <w:pStyle w:val="TableParagraph"/>
              <w:spacing w:before="0"/>
              <w:ind w:left="115"/>
              <w:rPr>
                <w:sz w:val="17"/>
              </w:rPr>
            </w:pPr>
            <w:r>
              <w:rPr>
                <w:sz w:val="17"/>
              </w:rPr>
              <w:t>Scenario</w:t>
            </w:r>
            <w:r>
              <w:rPr>
                <w:spacing w:val="-2"/>
                <w:sz w:val="17"/>
              </w:rPr>
              <w:t xml:space="preserve"> </w:t>
            </w:r>
            <w:r>
              <w:rPr>
                <w:sz w:val="17"/>
              </w:rPr>
              <w:t>1:</w:t>
            </w:r>
            <w:r>
              <w:rPr>
                <w:spacing w:val="-2"/>
                <w:sz w:val="17"/>
              </w:rPr>
              <w:t xml:space="preserve"> </w:t>
            </w:r>
            <w:r>
              <w:rPr>
                <w:sz w:val="17"/>
              </w:rPr>
              <w:t>No</w:t>
            </w:r>
            <w:r>
              <w:rPr>
                <w:spacing w:val="-1"/>
                <w:sz w:val="17"/>
              </w:rPr>
              <w:t xml:space="preserve"> </w:t>
            </w:r>
            <w:r>
              <w:rPr>
                <w:spacing w:val="-5"/>
                <w:sz w:val="17"/>
              </w:rPr>
              <w:t>IRA</w:t>
            </w:r>
          </w:p>
        </w:tc>
        <w:tc>
          <w:tcPr>
            <w:tcW w:w="620" w:type="dxa"/>
          </w:tcPr>
          <w:p w:rsidR="00C31389" w:rsidRDefault="00561FBD" w14:paraId="7D5062B4" w14:textId="77777777">
            <w:pPr>
              <w:pStyle w:val="TableParagraph"/>
              <w:spacing w:before="0" w:line="215" w:lineRule="exact"/>
              <w:ind w:left="108" w:right="108"/>
              <w:jc w:val="center"/>
              <w:rPr>
                <w:rFonts w:ascii="Calibri"/>
                <w:sz w:val="18"/>
              </w:rPr>
            </w:pPr>
            <w:r>
              <w:rPr>
                <w:rFonts w:ascii="Calibri"/>
                <w:spacing w:val="-5"/>
                <w:sz w:val="18"/>
              </w:rPr>
              <w:t>$98</w:t>
            </w:r>
          </w:p>
        </w:tc>
        <w:tc>
          <w:tcPr>
            <w:tcW w:w="620" w:type="dxa"/>
          </w:tcPr>
          <w:p w:rsidR="00C31389" w:rsidRDefault="00561FBD" w14:paraId="0FE782F6" w14:textId="77777777">
            <w:pPr>
              <w:pStyle w:val="TableParagraph"/>
              <w:spacing w:before="0" w:line="215" w:lineRule="exact"/>
              <w:ind w:left="126"/>
              <w:rPr>
                <w:rFonts w:ascii="Calibri"/>
                <w:sz w:val="18"/>
              </w:rPr>
            </w:pPr>
            <w:r>
              <w:rPr>
                <w:rFonts w:ascii="Calibri"/>
                <w:spacing w:val="-4"/>
                <w:sz w:val="18"/>
              </w:rPr>
              <w:t>$107</w:t>
            </w:r>
          </w:p>
        </w:tc>
        <w:tc>
          <w:tcPr>
            <w:tcW w:w="621" w:type="dxa"/>
          </w:tcPr>
          <w:p w:rsidR="00C31389" w:rsidRDefault="00561FBD" w14:paraId="3F97DCAD" w14:textId="77777777">
            <w:pPr>
              <w:pStyle w:val="TableParagraph"/>
              <w:spacing w:before="0" w:line="215" w:lineRule="exact"/>
              <w:ind w:left="127"/>
              <w:rPr>
                <w:rFonts w:ascii="Calibri"/>
                <w:sz w:val="18"/>
              </w:rPr>
            </w:pPr>
            <w:r>
              <w:rPr>
                <w:rFonts w:ascii="Calibri"/>
                <w:spacing w:val="-4"/>
                <w:sz w:val="18"/>
              </w:rPr>
              <w:t>$118</w:t>
            </w:r>
          </w:p>
        </w:tc>
        <w:tc>
          <w:tcPr>
            <w:tcW w:w="620" w:type="dxa"/>
          </w:tcPr>
          <w:p w:rsidR="00C31389" w:rsidRDefault="00561FBD" w14:paraId="3FF9B35D" w14:textId="77777777">
            <w:pPr>
              <w:pStyle w:val="TableParagraph"/>
              <w:spacing w:before="0" w:line="215" w:lineRule="exact"/>
              <w:ind w:left="107" w:right="108"/>
              <w:jc w:val="center"/>
              <w:rPr>
                <w:rFonts w:ascii="Calibri"/>
                <w:sz w:val="18"/>
              </w:rPr>
            </w:pPr>
            <w:r>
              <w:rPr>
                <w:rFonts w:ascii="Calibri"/>
                <w:spacing w:val="-4"/>
                <w:sz w:val="18"/>
              </w:rPr>
              <w:t>$134</w:t>
            </w:r>
          </w:p>
        </w:tc>
        <w:tc>
          <w:tcPr>
            <w:tcW w:w="620" w:type="dxa"/>
          </w:tcPr>
          <w:p w:rsidR="00C31389" w:rsidRDefault="00561FBD" w14:paraId="6962BA71" w14:textId="77777777">
            <w:pPr>
              <w:pStyle w:val="TableParagraph"/>
              <w:spacing w:before="0" w:line="215" w:lineRule="exact"/>
              <w:ind w:left="107" w:right="108"/>
              <w:jc w:val="center"/>
              <w:rPr>
                <w:rFonts w:ascii="Calibri"/>
                <w:sz w:val="18"/>
              </w:rPr>
            </w:pPr>
            <w:r>
              <w:rPr>
                <w:rFonts w:ascii="Calibri"/>
                <w:spacing w:val="-4"/>
                <w:sz w:val="18"/>
              </w:rPr>
              <w:t>$147</w:t>
            </w:r>
          </w:p>
        </w:tc>
        <w:tc>
          <w:tcPr>
            <w:tcW w:w="621" w:type="dxa"/>
          </w:tcPr>
          <w:p w:rsidR="00C31389" w:rsidRDefault="00561FBD" w14:paraId="0B978215" w14:textId="77777777">
            <w:pPr>
              <w:pStyle w:val="TableParagraph"/>
              <w:spacing w:before="0" w:line="215" w:lineRule="exact"/>
              <w:ind w:left="126"/>
              <w:rPr>
                <w:rFonts w:ascii="Calibri"/>
                <w:sz w:val="18"/>
              </w:rPr>
            </w:pPr>
            <w:r>
              <w:rPr>
                <w:rFonts w:ascii="Calibri"/>
                <w:spacing w:val="-4"/>
                <w:sz w:val="18"/>
              </w:rPr>
              <w:t>$157</w:t>
            </w:r>
          </w:p>
        </w:tc>
        <w:tc>
          <w:tcPr>
            <w:tcW w:w="620" w:type="dxa"/>
          </w:tcPr>
          <w:p w:rsidR="00C31389" w:rsidRDefault="00561FBD" w14:paraId="4E660ADD" w14:textId="77777777">
            <w:pPr>
              <w:pStyle w:val="TableParagraph"/>
              <w:spacing w:before="0" w:line="215" w:lineRule="exact"/>
              <w:ind w:left="125"/>
              <w:rPr>
                <w:rFonts w:ascii="Calibri"/>
                <w:sz w:val="18"/>
              </w:rPr>
            </w:pPr>
            <w:r>
              <w:rPr>
                <w:rFonts w:ascii="Calibri"/>
                <w:spacing w:val="-4"/>
                <w:sz w:val="18"/>
              </w:rPr>
              <w:t>$120</w:t>
            </w:r>
          </w:p>
        </w:tc>
        <w:tc>
          <w:tcPr>
            <w:tcW w:w="620" w:type="dxa"/>
          </w:tcPr>
          <w:p w:rsidR="00C31389" w:rsidRDefault="00561FBD" w14:paraId="3BBB92B5" w14:textId="77777777">
            <w:pPr>
              <w:pStyle w:val="TableParagraph"/>
              <w:spacing w:before="0" w:line="215" w:lineRule="exact"/>
              <w:ind w:left="105" w:right="108"/>
              <w:jc w:val="center"/>
              <w:rPr>
                <w:rFonts w:ascii="Calibri"/>
                <w:sz w:val="18"/>
              </w:rPr>
            </w:pPr>
            <w:r>
              <w:rPr>
                <w:rFonts w:ascii="Calibri"/>
                <w:spacing w:val="-4"/>
                <w:sz w:val="18"/>
              </w:rPr>
              <w:t>$127</w:t>
            </w:r>
          </w:p>
        </w:tc>
        <w:tc>
          <w:tcPr>
            <w:tcW w:w="621" w:type="dxa"/>
          </w:tcPr>
          <w:p w:rsidR="00C31389" w:rsidRDefault="00561FBD" w14:paraId="25F7FC1A" w14:textId="77777777">
            <w:pPr>
              <w:pStyle w:val="TableParagraph"/>
              <w:spacing w:before="0" w:line="215" w:lineRule="exact"/>
              <w:ind w:left="106" w:right="109"/>
              <w:jc w:val="center"/>
              <w:rPr>
                <w:rFonts w:ascii="Calibri"/>
                <w:sz w:val="18"/>
              </w:rPr>
            </w:pPr>
            <w:r>
              <w:rPr>
                <w:rFonts w:ascii="Calibri"/>
                <w:spacing w:val="-4"/>
                <w:sz w:val="18"/>
              </w:rPr>
              <w:t>$132</w:t>
            </w:r>
          </w:p>
        </w:tc>
        <w:tc>
          <w:tcPr>
            <w:tcW w:w="620" w:type="dxa"/>
          </w:tcPr>
          <w:p w:rsidR="00C31389" w:rsidRDefault="00561FBD" w14:paraId="358F3CD3" w14:textId="77777777">
            <w:pPr>
              <w:pStyle w:val="TableParagraph"/>
              <w:spacing w:before="0" w:line="215" w:lineRule="exact"/>
              <w:ind w:left="124"/>
              <w:rPr>
                <w:rFonts w:ascii="Calibri"/>
                <w:sz w:val="18"/>
              </w:rPr>
            </w:pPr>
            <w:r>
              <w:rPr>
                <w:rFonts w:ascii="Calibri"/>
                <w:spacing w:val="-4"/>
                <w:sz w:val="18"/>
              </w:rPr>
              <w:t>$137</w:t>
            </w:r>
          </w:p>
        </w:tc>
        <w:tc>
          <w:tcPr>
            <w:tcW w:w="619" w:type="dxa"/>
          </w:tcPr>
          <w:p w:rsidR="00C31389" w:rsidRDefault="00561FBD" w14:paraId="531D3A27" w14:textId="77777777">
            <w:pPr>
              <w:pStyle w:val="TableParagraph"/>
              <w:spacing w:before="0" w:line="215" w:lineRule="exact"/>
              <w:ind w:left="123"/>
              <w:rPr>
                <w:rFonts w:ascii="Calibri"/>
                <w:sz w:val="18"/>
              </w:rPr>
            </w:pPr>
            <w:r>
              <w:rPr>
                <w:rFonts w:ascii="Calibri"/>
                <w:spacing w:val="-4"/>
                <w:sz w:val="18"/>
              </w:rPr>
              <w:t>$139</w:t>
            </w:r>
          </w:p>
        </w:tc>
        <w:tc>
          <w:tcPr>
            <w:tcW w:w="618" w:type="dxa"/>
          </w:tcPr>
          <w:p w:rsidR="00C31389" w:rsidRDefault="00561FBD" w14:paraId="234CB94B" w14:textId="77777777">
            <w:pPr>
              <w:pStyle w:val="TableParagraph"/>
              <w:spacing w:before="0" w:line="215" w:lineRule="exact"/>
              <w:ind w:left="105" w:right="108"/>
              <w:jc w:val="center"/>
              <w:rPr>
                <w:rFonts w:ascii="Calibri"/>
                <w:sz w:val="18"/>
              </w:rPr>
            </w:pPr>
            <w:r>
              <w:rPr>
                <w:rFonts w:ascii="Calibri"/>
                <w:spacing w:val="-4"/>
                <w:sz w:val="18"/>
              </w:rPr>
              <w:t>$145</w:t>
            </w:r>
          </w:p>
        </w:tc>
      </w:tr>
      <w:tr w:rsidR="00C31389" w14:paraId="3C8F4503" w14:textId="77777777">
        <w:trPr>
          <w:trHeight w:val="415"/>
        </w:trPr>
        <w:tc>
          <w:tcPr>
            <w:tcW w:w="1930" w:type="dxa"/>
            <w:tcBorders>
              <w:top w:val="single" w:color="BEBEBE" w:sz="4" w:space="0"/>
              <w:bottom w:val="single" w:color="BEBEBE" w:sz="4" w:space="0"/>
            </w:tcBorders>
          </w:tcPr>
          <w:p w:rsidR="00C31389" w:rsidRDefault="00561FBD" w14:paraId="67F8C614" w14:textId="77777777">
            <w:pPr>
              <w:pStyle w:val="TableParagraph"/>
              <w:spacing w:before="0"/>
              <w:ind w:left="115"/>
              <w:rPr>
                <w:sz w:val="17"/>
              </w:rPr>
            </w:pPr>
            <w:r>
              <w:rPr>
                <w:sz w:val="17"/>
              </w:rPr>
              <w:t>Scenario</w:t>
            </w:r>
            <w:r>
              <w:rPr>
                <w:spacing w:val="-2"/>
                <w:sz w:val="17"/>
              </w:rPr>
              <w:t xml:space="preserve"> </w:t>
            </w:r>
            <w:r>
              <w:rPr>
                <w:sz w:val="17"/>
              </w:rPr>
              <w:t>2:</w:t>
            </w:r>
            <w:r>
              <w:rPr>
                <w:spacing w:val="-2"/>
                <w:sz w:val="17"/>
              </w:rPr>
              <w:t xml:space="preserve"> Reference</w:t>
            </w:r>
          </w:p>
          <w:p w:rsidR="00C31389" w:rsidRDefault="00561FBD" w14:paraId="4DD3D2A5" w14:textId="77777777">
            <w:pPr>
              <w:pStyle w:val="TableParagraph"/>
              <w:spacing w:before="13" w:line="187" w:lineRule="exact"/>
              <w:ind w:left="115"/>
              <w:rPr>
                <w:sz w:val="17"/>
              </w:rPr>
            </w:pPr>
            <w:r>
              <w:rPr>
                <w:sz w:val="17"/>
              </w:rPr>
              <w:t>IRA</w:t>
            </w:r>
            <w:r>
              <w:rPr>
                <w:spacing w:val="-3"/>
                <w:sz w:val="17"/>
              </w:rPr>
              <w:t xml:space="preserve"> </w:t>
            </w:r>
            <w:r>
              <w:rPr>
                <w:sz w:val="17"/>
              </w:rPr>
              <w:t>and</w:t>
            </w:r>
            <w:r>
              <w:rPr>
                <w:spacing w:val="-2"/>
                <w:sz w:val="17"/>
              </w:rPr>
              <w:t xml:space="preserve"> </w:t>
            </w:r>
            <w:r>
              <w:rPr>
                <w:spacing w:val="-5"/>
                <w:sz w:val="17"/>
              </w:rPr>
              <w:t>FS</w:t>
            </w:r>
          </w:p>
        </w:tc>
        <w:tc>
          <w:tcPr>
            <w:tcW w:w="620" w:type="dxa"/>
          </w:tcPr>
          <w:p w:rsidR="00C31389" w:rsidRDefault="00C31389" w14:paraId="5244D490" w14:textId="77777777">
            <w:pPr>
              <w:pStyle w:val="TableParagraph"/>
              <w:spacing w:before="9"/>
              <w:rPr>
                <w:b/>
                <w:sz w:val="15"/>
              </w:rPr>
            </w:pPr>
          </w:p>
          <w:p w:rsidR="00C31389" w:rsidRDefault="00561FBD" w14:paraId="359B833C" w14:textId="77777777">
            <w:pPr>
              <w:pStyle w:val="TableParagraph"/>
              <w:spacing w:before="1" w:line="214" w:lineRule="exact"/>
              <w:ind w:left="108" w:right="108"/>
              <w:jc w:val="center"/>
              <w:rPr>
                <w:rFonts w:ascii="Calibri"/>
                <w:sz w:val="18"/>
              </w:rPr>
            </w:pPr>
            <w:r>
              <w:rPr>
                <w:rFonts w:ascii="Calibri"/>
                <w:spacing w:val="-4"/>
                <w:sz w:val="18"/>
              </w:rPr>
              <w:t>$113</w:t>
            </w:r>
          </w:p>
        </w:tc>
        <w:tc>
          <w:tcPr>
            <w:tcW w:w="620" w:type="dxa"/>
          </w:tcPr>
          <w:p w:rsidR="00C31389" w:rsidRDefault="00C31389" w14:paraId="2A06765B" w14:textId="77777777">
            <w:pPr>
              <w:pStyle w:val="TableParagraph"/>
              <w:spacing w:before="9"/>
              <w:rPr>
                <w:b/>
                <w:sz w:val="15"/>
              </w:rPr>
            </w:pPr>
          </w:p>
          <w:p w:rsidR="00C31389" w:rsidRDefault="00561FBD" w14:paraId="54F74791" w14:textId="77777777">
            <w:pPr>
              <w:pStyle w:val="TableParagraph"/>
              <w:spacing w:before="1" w:line="214" w:lineRule="exact"/>
              <w:ind w:left="126"/>
              <w:rPr>
                <w:rFonts w:ascii="Calibri"/>
                <w:sz w:val="18"/>
              </w:rPr>
            </w:pPr>
            <w:r>
              <w:rPr>
                <w:rFonts w:ascii="Calibri"/>
                <w:spacing w:val="-4"/>
                <w:sz w:val="18"/>
              </w:rPr>
              <w:t>$117</w:t>
            </w:r>
          </w:p>
        </w:tc>
        <w:tc>
          <w:tcPr>
            <w:tcW w:w="621" w:type="dxa"/>
          </w:tcPr>
          <w:p w:rsidR="00C31389" w:rsidRDefault="00C31389" w14:paraId="2D815C98" w14:textId="77777777">
            <w:pPr>
              <w:pStyle w:val="TableParagraph"/>
              <w:spacing w:before="9"/>
              <w:rPr>
                <w:b/>
                <w:sz w:val="15"/>
              </w:rPr>
            </w:pPr>
          </w:p>
          <w:p w:rsidR="00C31389" w:rsidRDefault="00561FBD" w14:paraId="56CA01AB" w14:textId="77777777">
            <w:pPr>
              <w:pStyle w:val="TableParagraph"/>
              <w:spacing w:before="1" w:line="214" w:lineRule="exact"/>
              <w:ind w:left="127"/>
              <w:rPr>
                <w:rFonts w:ascii="Calibri"/>
                <w:sz w:val="18"/>
              </w:rPr>
            </w:pPr>
            <w:r>
              <w:rPr>
                <w:rFonts w:ascii="Calibri"/>
                <w:spacing w:val="-4"/>
                <w:sz w:val="18"/>
              </w:rPr>
              <w:t>$128</w:t>
            </w:r>
          </w:p>
        </w:tc>
        <w:tc>
          <w:tcPr>
            <w:tcW w:w="620" w:type="dxa"/>
          </w:tcPr>
          <w:p w:rsidR="00C31389" w:rsidRDefault="00C31389" w14:paraId="1EAEDDC8" w14:textId="77777777">
            <w:pPr>
              <w:pStyle w:val="TableParagraph"/>
              <w:spacing w:before="9"/>
              <w:rPr>
                <w:b/>
                <w:sz w:val="15"/>
              </w:rPr>
            </w:pPr>
          </w:p>
          <w:p w:rsidR="00C31389" w:rsidRDefault="00561FBD" w14:paraId="357F0145" w14:textId="77777777">
            <w:pPr>
              <w:pStyle w:val="TableParagraph"/>
              <w:spacing w:before="1" w:line="214" w:lineRule="exact"/>
              <w:ind w:left="107" w:right="108"/>
              <w:jc w:val="center"/>
              <w:rPr>
                <w:rFonts w:ascii="Calibri"/>
                <w:sz w:val="18"/>
              </w:rPr>
            </w:pPr>
            <w:r>
              <w:rPr>
                <w:rFonts w:ascii="Calibri"/>
                <w:spacing w:val="-4"/>
                <w:sz w:val="18"/>
              </w:rPr>
              <w:t>$142</w:t>
            </w:r>
          </w:p>
        </w:tc>
        <w:tc>
          <w:tcPr>
            <w:tcW w:w="620" w:type="dxa"/>
          </w:tcPr>
          <w:p w:rsidR="00C31389" w:rsidRDefault="00C31389" w14:paraId="64609612" w14:textId="77777777">
            <w:pPr>
              <w:pStyle w:val="TableParagraph"/>
              <w:spacing w:before="9"/>
              <w:rPr>
                <w:b/>
                <w:sz w:val="15"/>
              </w:rPr>
            </w:pPr>
          </w:p>
          <w:p w:rsidR="00C31389" w:rsidRDefault="00561FBD" w14:paraId="686A20DB" w14:textId="77777777">
            <w:pPr>
              <w:pStyle w:val="TableParagraph"/>
              <w:spacing w:before="1" w:line="214" w:lineRule="exact"/>
              <w:ind w:left="107" w:right="108"/>
              <w:jc w:val="center"/>
              <w:rPr>
                <w:rFonts w:ascii="Calibri"/>
                <w:sz w:val="18"/>
              </w:rPr>
            </w:pPr>
            <w:r>
              <w:rPr>
                <w:rFonts w:ascii="Calibri"/>
                <w:spacing w:val="-4"/>
                <w:sz w:val="18"/>
              </w:rPr>
              <w:t>$155</w:t>
            </w:r>
          </w:p>
        </w:tc>
        <w:tc>
          <w:tcPr>
            <w:tcW w:w="621" w:type="dxa"/>
          </w:tcPr>
          <w:p w:rsidR="00C31389" w:rsidRDefault="00C31389" w14:paraId="4A7B561D" w14:textId="77777777">
            <w:pPr>
              <w:pStyle w:val="TableParagraph"/>
              <w:spacing w:before="9"/>
              <w:rPr>
                <w:b/>
                <w:sz w:val="15"/>
              </w:rPr>
            </w:pPr>
          </w:p>
          <w:p w:rsidR="00C31389" w:rsidRDefault="00561FBD" w14:paraId="78A3673B" w14:textId="77777777">
            <w:pPr>
              <w:pStyle w:val="TableParagraph"/>
              <w:spacing w:before="1" w:line="214" w:lineRule="exact"/>
              <w:ind w:left="126"/>
              <w:rPr>
                <w:rFonts w:ascii="Calibri"/>
                <w:sz w:val="18"/>
              </w:rPr>
            </w:pPr>
            <w:r>
              <w:rPr>
                <w:rFonts w:ascii="Calibri"/>
                <w:spacing w:val="-4"/>
                <w:sz w:val="18"/>
              </w:rPr>
              <w:t>$166</w:t>
            </w:r>
          </w:p>
        </w:tc>
        <w:tc>
          <w:tcPr>
            <w:tcW w:w="620" w:type="dxa"/>
          </w:tcPr>
          <w:p w:rsidR="00C31389" w:rsidRDefault="00C31389" w14:paraId="2FBC3453" w14:textId="77777777">
            <w:pPr>
              <w:pStyle w:val="TableParagraph"/>
              <w:spacing w:before="9"/>
              <w:rPr>
                <w:b/>
                <w:sz w:val="15"/>
              </w:rPr>
            </w:pPr>
          </w:p>
          <w:p w:rsidR="00C31389" w:rsidRDefault="00561FBD" w14:paraId="62303196" w14:textId="77777777">
            <w:pPr>
              <w:pStyle w:val="TableParagraph"/>
              <w:spacing w:before="1" w:line="214" w:lineRule="exact"/>
              <w:ind w:left="125"/>
              <w:rPr>
                <w:rFonts w:ascii="Calibri"/>
                <w:sz w:val="18"/>
              </w:rPr>
            </w:pPr>
            <w:r>
              <w:rPr>
                <w:rFonts w:ascii="Calibri"/>
                <w:spacing w:val="-4"/>
                <w:sz w:val="18"/>
              </w:rPr>
              <w:t>$123</w:t>
            </w:r>
          </w:p>
        </w:tc>
        <w:tc>
          <w:tcPr>
            <w:tcW w:w="620" w:type="dxa"/>
          </w:tcPr>
          <w:p w:rsidR="00C31389" w:rsidRDefault="00C31389" w14:paraId="6DEB34BC" w14:textId="77777777">
            <w:pPr>
              <w:pStyle w:val="TableParagraph"/>
              <w:spacing w:before="9"/>
              <w:rPr>
                <w:b/>
                <w:sz w:val="15"/>
              </w:rPr>
            </w:pPr>
          </w:p>
          <w:p w:rsidR="00C31389" w:rsidRDefault="00561FBD" w14:paraId="73530A0D" w14:textId="77777777">
            <w:pPr>
              <w:pStyle w:val="TableParagraph"/>
              <w:spacing w:before="1" w:line="214" w:lineRule="exact"/>
              <w:ind w:left="105" w:right="108"/>
              <w:jc w:val="center"/>
              <w:rPr>
                <w:rFonts w:ascii="Calibri"/>
                <w:sz w:val="18"/>
              </w:rPr>
            </w:pPr>
            <w:r>
              <w:rPr>
                <w:rFonts w:ascii="Calibri"/>
                <w:spacing w:val="-4"/>
                <w:sz w:val="18"/>
              </w:rPr>
              <w:t>$130</w:t>
            </w:r>
          </w:p>
        </w:tc>
        <w:tc>
          <w:tcPr>
            <w:tcW w:w="621" w:type="dxa"/>
          </w:tcPr>
          <w:p w:rsidR="00C31389" w:rsidRDefault="00C31389" w14:paraId="53B59B5E" w14:textId="77777777">
            <w:pPr>
              <w:pStyle w:val="TableParagraph"/>
              <w:spacing w:before="9"/>
              <w:rPr>
                <w:b/>
                <w:sz w:val="15"/>
              </w:rPr>
            </w:pPr>
          </w:p>
          <w:p w:rsidR="00C31389" w:rsidRDefault="00561FBD" w14:paraId="79164EB8" w14:textId="77777777">
            <w:pPr>
              <w:pStyle w:val="TableParagraph"/>
              <w:spacing w:before="1" w:line="214" w:lineRule="exact"/>
              <w:ind w:left="106" w:right="109"/>
              <w:jc w:val="center"/>
              <w:rPr>
                <w:rFonts w:ascii="Calibri"/>
                <w:sz w:val="18"/>
              </w:rPr>
            </w:pPr>
            <w:r>
              <w:rPr>
                <w:rFonts w:ascii="Calibri"/>
                <w:spacing w:val="-4"/>
                <w:sz w:val="18"/>
              </w:rPr>
              <w:t>$135</w:t>
            </w:r>
          </w:p>
        </w:tc>
        <w:tc>
          <w:tcPr>
            <w:tcW w:w="620" w:type="dxa"/>
          </w:tcPr>
          <w:p w:rsidR="00C31389" w:rsidRDefault="00C31389" w14:paraId="67D6E66C" w14:textId="77777777">
            <w:pPr>
              <w:pStyle w:val="TableParagraph"/>
              <w:spacing w:before="9"/>
              <w:rPr>
                <w:b/>
                <w:sz w:val="15"/>
              </w:rPr>
            </w:pPr>
          </w:p>
          <w:p w:rsidR="00C31389" w:rsidRDefault="00561FBD" w14:paraId="3A52A78F" w14:textId="77777777">
            <w:pPr>
              <w:pStyle w:val="TableParagraph"/>
              <w:spacing w:before="1" w:line="214" w:lineRule="exact"/>
              <w:ind w:left="124"/>
              <w:rPr>
                <w:rFonts w:ascii="Calibri"/>
                <w:sz w:val="18"/>
              </w:rPr>
            </w:pPr>
            <w:r>
              <w:rPr>
                <w:rFonts w:ascii="Calibri"/>
                <w:spacing w:val="-4"/>
                <w:sz w:val="18"/>
              </w:rPr>
              <w:t>$137</w:t>
            </w:r>
          </w:p>
        </w:tc>
        <w:tc>
          <w:tcPr>
            <w:tcW w:w="619" w:type="dxa"/>
          </w:tcPr>
          <w:p w:rsidR="00C31389" w:rsidRDefault="00C31389" w14:paraId="0FF2E920" w14:textId="77777777">
            <w:pPr>
              <w:pStyle w:val="TableParagraph"/>
              <w:spacing w:before="9"/>
              <w:rPr>
                <w:b/>
                <w:sz w:val="15"/>
              </w:rPr>
            </w:pPr>
          </w:p>
          <w:p w:rsidR="00C31389" w:rsidRDefault="00561FBD" w14:paraId="74E631BC" w14:textId="77777777">
            <w:pPr>
              <w:pStyle w:val="TableParagraph"/>
              <w:spacing w:before="1" w:line="214" w:lineRule="exact"/>
              <w:ind w:left="123"/>
              <w:rPr>
                <w:rFonts w:ascii="Calibri"/>
                <w:sz w:val="18"/>
              </w:rPr>
            </w:pPr>
            <w:r>
              <w:rPr>
                <w:rFonts w:ascii="Calibri"/>
                <w:spacing w:val="-4"/>
                <w:sz w:val="18"/>
              </w:rPr>
              <w:t>$139</w:t>
            </w:r>
          </w:p>
        </w:tc>
        <w:tc>
          <w:tcPr>
            <w:tcW w:w="618" w:type="dxa"/>
          </w:tcPr>
          <w:p w:rsidR="00C31389" w:rsidRDefault="00C31389" w14:paraId="3E0EF395" w14:textId="77777777">
            <w:pPr>
              <w:pStyle w:val="TableParagraph"/>
              <w:spacing w:before="9"/>
              <w:rPr>
                <w:b/>
                <w:sz w:val="15"/>
              </w:rPr>
            </w:pPr>
          </w:p>
          <w:p w:rsidR="00C31389" w:rsidRDefault="00561FBD" w14:paraId="5EA35F63" w14:textId="77777777">
            <w:pPr>
              <w:pStyle w:val="TableParagraph"/>
              <w:spacing w:before="1" w:line="214" w:lineRule="exact"/>
              <w:ind w:left="105" w:right="108"/>
              <w:jc w:val="center"/>
              <w:rPr>
                <w:rFonts w:ascii="Calibri"/>
                <w:sz w:val="18"/>
              </w:rPr>
            </w:pPr>
            <w:r>
              <w:rPr>
                <w:rFonts w:ascii="Calibri"/>
                <w:spacing w:val="-4"/>
                <w:sz w:val="18"/>
              </w:rPr>
              <w:t>$144</w:t>
            </w:r>
          </w:p>
        </w:tc>
      </w:tr>
      <w:tr w:rsidR="00C31389" w14:paraId="68B80FF1" w14:textId="77777777">
        <w:trPr>
          <w:trHeight w:val="626"/>
        </w:trPr>
        <w:tc>
          <w:tcPr>
            <w:tcW w:w="1930" w:type="dxa"/>
            <w:tcBorders>
              <w:top w:val="single" w:color="BEBEBE" w:sz="4" w:space="0"/>
              <w:bottom w:val="single" w:color="BEBEBE" w:sz="4" w:space="0"/>
            </w:tcBorders>
          </w:tcPr>
          <w:p w:rsidR="00C31389" w:rsidRDefault="00561FBD" w14:paraId="5F575B14" w14:textId="77777777">
            <w:pPr>
              <w:pStyle w:val="TableParagraph"/>
              <w:spacing w:before="1" w:line="254" w:lineRule="auto"/>
              <w:ind w:left="115"/>
              <w:rPr>
                <w:sz w:val="17"/>
              </w:rPr>
            </w:pPr>
            <w:r>
              <w:rPr>
                <w:sz w:val="17"/>
              </w:rPr>
              <w:t>Scenario</w:t>
            </w:r>
            <w:r>
              <w:rPr>
                <w:spacing w:val="-12"/>
                <w:sz w:val="17"/>
              </w:rPr>
              <w:t xml:space="preserve"> </w:t>
            </w:r>
            <w:r>
              <w:rPr>
                <w:sz w:val="17"/>
              </w:rPr>
              <w:t>3:</w:t>
            </w:r>
            <w:r>
              <w:rPr>
                <w:spacing w:val="-12"/>
                <w:sz w:val="17"/>
              </w:rPr>
              <w:t xml:space="preserve"> </w:t>
            </w:r>
            <w:r>
              <w:rPr>
                <w:sz w:val="17"/>
              </w:rPr>
              <w:t>Reference IRA and aggressive</w:t>
            </w:r>
          </w:p>
          <w:p w:rsidR="00C31389" w:rsidRDefault="00561FBD" w14:paraId="354E0A0C" w14:textId="77777777">
            <w:pPr>
              <w:pStyle w:val="TableParagraph"/>
              <w:spacing w:before="2" w:line="188" w:lineRule="exact"/>
              <w:ind w:left="115"/>
              <w:rPr>
                <w:sz w:val="17"/>
              </w:rPr>
            </w:pPr>
            <w:r>
              <w:rPr>
                <w:spacing w:val="-5"/>
                <w:sz w:val="17"/>
              </w:rPr>
              <w:t>FS</w:t>
            </w:r>
          </w:p>
        </w:tc>
        <w:tc>
          <w:tcPr>
            <w:tcW w:w="620" w:type="dxa"/>
          </w:tcPr>
          <w:p w:rsidR="00C31389" w:rsidRDefault="00C31389" w14:paraId="0DE44AE6" w14:textId="77777777">
            <w:pPr>
              <w:pStyle w:val="TableParagraph"/>
              <w:spacing w:before="0"/>
              <w:rPr>
                <w:b/>
                <w:sz w:val="18"/>
              </w:rPr>
            </w:pPr>
          </w:p>
          <w:p w:rsidR="00C31389" w:rsidRDefault="00C31389" w14:paraId="0A1A198C" w14:textId="77777777">
            <w:pPr>
              <w:pStyle w:val="TableParagraph"/>
              <w:spacing w:before="1"/>
              <w:rPr>
                <w:b/>
                <w:sz w:val="16"/>
              </w:rPr>
            </w:pPr>
          </w:p>
          <w:p w:rsidR="00C31389" w:rsidRDefault="00561FBD" w14:paraId="2652C7FC" w14:textId="77777777">
            <w:pPr>
              <w:pStyle w:val="TableParagraph"/>
              <w:spacing w:before="0" w:line="214" w:lineRule="exact"/>
              <w:ind w:left="108" w:right="108"/>
              <w:jc w:val="center"/>
              <w:rPr>
                <w:rFonts w:ascii="Calibri"/>
                <w:sz w:val="18"/>
              </w:rPr>
            </w:pPr>
            <w:r>
              <w:rPr>
                <w:rFonts w:ascii="Calibri"/>
                <w:spacing w:val="-4"/>
                <w:sz w:val="18"/>
              </w:rPr>
              <w:t>$429</w:t>
            </w:r>
          </w:p>
        </w:tc>
        <w:tc>
          <w:tcPr>
            <w:tcW w:w="620" w:type="dxa"/>
          </w:tcPr>
          <w:p w:rsidR="00C31389" w:rsidRDefault="00C31389" w14:paraId="50CEC3E5" w14:textId="77777777">
            <w:pPr>
              <w:pStyle w:val="TableParagraph"/>
              <w:spacing w:before="0"/>
              <w:rPr>
                <w:b/>
                <w:sz w:val="18"/>
              </w:rPr>
            </w:pPr>
          </w:p>
          <w:p w:rsidR="00C31389" w:rsidRDefault="00C31389" w14:paraId="273E0E9F" w14:textId="77777777">
            <w:pPr>
              <w:pStyle w:val="TableParagraph"/>
              <w:spacing w:before="1"/>
              <w:rPr>
                <w:b/>
                <w:sz w:val="16"/>
              </w:rPr>
            </w:pPr>
          </w:p>
          <w:p w:rsidR="00C31389" w:rsidRDefault="00561FBD" w14:paraId="12C3A8DB" w14:textId="77777777">
            <w:pPr>
              <w:pStyle w:val="TableParagraph"/>
              <w:spacing w:before="0" w:line="214" w:lineRule="exact"/>
              <w:ind w:left="126"/>
              <w:rPr>
                <w:rFonts w:ascii="Calibri"/>
                <w:sz w:val="18"/>
              </w:rPr>
            </w:pPr>
            <w:r>
              <w:rPr>
                <w:rFonts w:ascii="Calibri"/>
                <w:spacing w:val="-4"/>
                <w:sz w:val="18"/>
              </w:rPr>
              <w:t>$489</w:t>
            </w:r>
          </w:p>
        </w:tc>
        <w:tc>
          <w:tcPr>
            <w:tcW w:w="621" w:type="dxa"/>
          </w:tcPr>
          <w:p w:rsidR="00C31389" w:rsidRDefault="00C31389" w14:paraId="77318AC9" w14:textId="77777777">
            <w:pPr>
              <w:pStyle w:val="TableParagraph"/>
              <w:spacing w:before="0"/>
              <w:rPr>
                <w:b/>
                <w:sz w:val="18"/>
              </w:rPr>
            </w:pPr>
          </w:p>
          <w:p w:rsidR="00C31389" w:rsidRDefault="00C31389" w14:paraId="42A627D2" w14:textId="77777777">
            <w:pPr>
              <w:pStyle w:val="TableParagraph"/>
              <w:spacing w:before="1"/>
              <w:rPr>
                <w:b/>
                <w:sz w:val="16"/>
              </w:rPr>
            </w:pPr>
          </w:p>
          <w:p w:rsidR="00C31389" w:rsidRDefault="00561FBD" w14:paraId="7B528538" w14:textId="77777777">
            <w:pPr>
              <w:pStyle w:val="TableParagraph"/>
              <w:spacing w:before="0" w:line="214" w:lineRule="exact"/>
              <w:ind w:left="127"/>
              <w:rPr>
                <w:rFonts w:ascii="Calibri"/>
                <w:sz w:val="18"/>
              </w:rPr>
            </w:pPr>
            <w:r>
              <w:rPr>
                <w:rFonts w:ascii="Calibri"/>
                <w:spacing w:val="-4"/>
                <w:sz w:val="18"/>
              </w:rPr>
              <w:t>$556</w:t>
            </w:r>
          </w:p>
        </w:tc>
        <w:tc>
          <w:tcPr>
            <w:tcW w:w="620" w:type="dxa"/>
          </w:tcPr>
          <w:p w:rsidR="00C31389" w:rsidRDefault="00C31389" w14:paraId="27CD9EB2" w14:textId="77777777">
            <w:pPr>
              <w:pStyle w:val="TableParagraph"/>
              <w:spacing w:before="0"/>
              <w:rPr>
                <w:b/>
                <w:sz w:val="18"/>
              </w:rPr>
            </w:pPr>
          </w:p>
          <w:p w:rsidR="00C31389" w:rsidRDefault="00C31389" w14:paraId="164DD521" w14:textId="77777777">
            <w:pPr>
              <w:pStyle w:val="TableParagraph"/>
              <w:spacing w:before="1"/>
              <w:rPr>
                <w:b/>
                <w:sz w:val="16"/>
              </w:rPr>
            </w:pPr>
          </w:p>
          <w:p w:rsidR="00C31389" w:rsidRDefault="00561FBD" w14:paraId="42F60AE3" w14:textId="77777777">
            <w:pPr>
              <w:pStyle w:val="TableParagraph"/>
              <w:spacing w:before="0" w:line="214" w:lineRule="exact"/>
              <w:ind w:left="107" w:right="108"/>
              <w:jc w:val="center"/>
              <w:rPr>
                <w:rFonts w:ascii="Calibri"/>
                <w:sz w:val="18"/>
              </w:rPr>
            </w:pPr>
            <w:r>
              <w:rPr>
                <w:rFonts w:ascii="Calibri"/>
                <w:spacing w:val="-4"/>
                <w:sz w:val="18"/>
              </w:rPr>
              <w:t>$630</w:t>
            </w:r>
          </w:p>
        </w:tc>
        <w:tc>
          <w:tcPr>
            <w:tcW w:w="620" w:type="dxa"/>
          </w:tcPr>
          <w:p w:rsidR="00C31389" w:rsidRDefault="00C31389" w14:paraId="740C6D45" w14:textId="77777777">
            <w:pPr>
              <w:pStyle w:val="TableParagraph"/>
              <w:spacing w:before="0"/>
              <w:rPr>
                <w:b/>
                <w:sz w:val="18"/>
              </w:rPr>
            </w:pPr>
          </w:p>
          <w:p w:rsidR="00C31389" w:rsidRDefault="00C31389" w14:paraId="1BC8E2DC" w14:textId="77777777">
            <w:pPr>
              <w:pStyle w:val="TableParagraph"/>
              <w:spacing w:before="1"/>
              <w:rPr>
                <w:b/>
                <w:sz w:val="16"/>
              </w:rPr>
            </w:pPr>
          </w:p>
          <w:p w:rsidR="00C31389" w:rsidRDefault="00561FBD" w14:paraId="04B3CFE4" w14:textId="77777777">
            <w:pPr>
              <w:pStyle w:val="TableParagraph"/>
              <w:spacing w:before="0" w:line="214" w:lineRule="exact"/>
              <w:ind w:left="107" w:right="108"/>
              <w:jc w:val="center"/>
              <w:rPr>
                <w:rFonts w:ascii="Calibri"/>
                <w:sz w:val="18"/>
              </w:rPr>
            </w:pPr>
            <w:r>
              <w:rPr>
                <w:rFonts w:ascii="Calibri"/>
                <w:spacing w:val="-4"/>
                <w:sz w:val="18"/>
              </w:rPr>
              <w:t>$705</w:t>
            </w:r>
          </w:p>
        </w:tc>
        <w:tc>
          <w:tcPr>
            <w:tcW w:w="621" w:type="dxa"/>
          </w:tcPr>
          <w:p w:rsidR="00C31389" w:rsidRDefault="00C31389" w14:paraId="013B19A0" w14:textId="77777777">
            <w:pPr>
              <w:pStyle w:val="TableParagraph"/>
              <w:spacing w:before="0"/>
              <w:rPr>
                <w:b/>
                <w:sz w:val="18"/>
              </w:rPr>
            </w:pPr>
          </w:p>
          <w:p w:rsidR="00C31389" w:rsidRDefault="00C31389" w14:paraId="5352C0A7" w14:textId="77777777">
            <w:pPr>
              <w:pStyle w:val="TableParagraph"/>
              <w:spacing w:before="1"/>
              <w:rPr>
                <w:b/>
                <w:sz w:val="16"/>
              </w:rPr>
            </w:pPr>
          </w:p>
          <w:p w:rsidR="00C31389" w:rsidRDefault="00561FBD" w14:paraId="28B5A2FC" w14:textId="77777777">
            <w:pPr>
              <w:pStyle w:val="TableParagraph"/>
              <w:spacing w:before="0" w:line="214" w:lineRule="exact"/>
              <w:ind w:left="126"/>
              <w:rPr>
                <w:rFonts w:ascii="Calibri"/>
                <w:sz w:val="18"/>
              </w:rPr>
            </w:pPr>
            <w:r>
              <w:rPr>
                <w:rFonts w:ascii="Calibri"/>
                <w:spacing w:val="-4"/>
                <w:sz w:val="18"/>
              </w:rPr>
              <w:t>$770</w:t>
            </w:r>
          </w:p>
        </w:tc>
        <w:tc>
          <w:tcPr>
            <w:tcW w:w="620" w:type="dxa"/>
          </w:tcPr>
          <w:p w:rsidR="00C31389" w:rsidRDefault="00C31389" w14:paraId="5B3A5418" w14:textId="77777777">
            <w:pPr>
              <w:pStyle w:val="TableParagraph"/>
              <w:spacing w:before="0"/>
              <w:rPr>
                <w:b/>
                <w:sz w:val="18"/>
              </w:rPr>
            </w:pPr>
          </w:p>
          <w:p w:rsidR="00C31389" w:rsidRDefault="00C31389" w14:paraId="67B8FF8C" w14:textId="77777777">
            <w:pPr>
              <w:pStyle w:val="TableParagraph"/>
              <w:spacing w:before="1"/>
              <w:rPr>
                <w:b/>
                <w:sz w:val="16"/>
              </w:rPr>
            </w:pPr>
          </w:p>
          <w:p w:rsidR="00C31389" w:rsidRDefault="00561FBD" w14:paraId="3F308E1A" w14:textId="77777777">
            <w:pPr>
              <w:pStyle w:val="TableParagraph"/>
              <w:spacing w:before="0" w:line="214" w:lineRule="exact"/>
              <w:ind w:left="125"/>
              <w:rPr>
                <w:rFonts w:ascii="Calibri"/>
                <w:sz w:val="18"/>
              </w:rPr>
            </w:pPr>
            <w:r>
              <w:rPr>
                <w:rFonts w:ascii="Calibri"/>
                <w:spacing w:val="-4"/>
                <w:sz w:val="18"/>
              </w:rPr>
              <w:t>$129</w:t>
            </w:r>
          </w:p>
        </w:tc>
        <w:tc>
          <w:tcPr>
            <w:tcW w:w="620" w:type="dxa"/>
          </w:tcPr>
          <w:p w:rsidR="00C31389" w:rsidRDefault="00C31389" w14:paraId="44C85908" w14:textId="77777777">
            <w:pPr>
              <w:pStyle w:val="TableParagraph"/>
              <w:spacing w:before="0"/>
              <w:rPr>
                <w:b/>
                <w:sz w:val="18"/>
              </w:rPr>
            </w:pPr>
          </w:p>
          <w:p w:rsidR="00C31389" w:rsidRDefault="00C31389" w14:paraId="550C5CB9" w14:textId="77777777">
            <w:pPr>
              <w:pStyle w:val="TableParagraph"/>
              <w:spacing w:before="1"/>
              <w:rPr>
                <w:b/>
                <w:sz w:val="16"/>
              </w:rPr>
            </w:pPr>
          </w:p>
          <w:p w:rsidR="00C31389" w:rsidRDefault="00561FBD" w14:paraId="564E16B9" w14:textId="77777777">
            <w:pPr>
              <w:pStyle w:val="TableParagraph"/>
              <w:spacing w:before="0" w:line="214" w:lineRule="exact"/>
              <w:ind w:left="105" w:right="108"/>
              <w:jc w:val="center"/>
              <w:rPr>
                <w:rFonts w:ascii="Calibri"/>
                <w:sz w:val="18"/>
              </w:rPr>
            </w:pPr>
            <w:r>
              <w:rPr>
                <w:rFonts w:ascii="Calibri"/>
                <w:spacing w:val="-4"/>
                <w:sz w:val="18"/>
              </w:rPr>
              <w:t>$138</w:t>
            </w:r>
          </w:p>
        </w:tc>
        <w:tc>
          <w:tcPr>
            <w:tcW w:w="621" w:type="dxa"/>
          </w:tcPr>
          <w:p w:rsidR="00C31389" w:rsidRDefault="00C31389" w14:paraId="0CCA982B" w14:textId="77777777">
            <w:pPr>
              <w:pStyle w:val="TableParagraph"/>
              <w:spacing w:before="0"/>
              <w:rPr>
                <w:b/>
                <w:sz w:val="18"/>
              </w:rPr>
            </w:pPr>
          </w:p>
          <w:p w:rsidR="00C31389" w:rsidRDefault="00C31389" w14:paraId="533C5EBF" w14:textId="77777777">
            <w:pPr>
              <w:pStyle w:val="TableParagraph"/>
              <w:spacing w:before="1"/>
              <w:rPr>
                <w:b/>
                <w:sz w:val="16"/>
              </w:rPr>
            </w:pPr>
          </w:p>
          <w:p w:rsidR="00C31389" w:rsidRDefault="00561FBD" w14:paraId="4E0B96E8" w14:textId="77777777">
            <w:pPr>
              <w:pStyle w:val="TableParagraph"/>
              <w:spacing w:before="0" w:line="214" w:lineRule="exact"/>
              <w:ind w:left="106" w:right="109"/>
              <w:jc w:val="center"/>
              <w:rPr>
                <w:rFonts w:ascii="Calibri"/>
                <w:sz w:val="18"/>
              </w:rPr>
            </w:pPr>
            <w:r>
              <w:rPr>
                <w:rFonts w:ascii="Calibri"/>
                <w:spacing w:val="-4"/>
                <w:sz w:val="18"/>
              </w:rPr>
              <w:t>$145</w:t>
            </w:r>
          </w:p>
        </w:tc>
        <w:tc>
          <w:tcPr>
            <w:tcW w:w="620" w:type="dxa"/>
          </w:tcPr>
          <w:p w:rsidR="00C31389" w:rsidRDefault="00C31389" w14:paraId="2DA93419" w14:textId="77777777">
            <w:pPr>
              <w:pStyle w:val="TableParagraph"/>
              <w:spacing w:before="0"/>
              <w:rPr>
                <w:b/>
                <w:sz w:val="18"/>
              </w:rPr>
            </w:pPr>
          </w:p>
          <w:p w:rsidR="00C31389" w:rsidRDefault="00C31389" w14:paraId="4F40798C" w14:textId="77777777">
            <w:pPr>
              <w:pStyle w:val="TableParagraph"/>
              <w:spacing w:before="1"/>
              <w:rPr>
                <w:b/>
                <w:sz w:val="16"/>
              </w:rPr>
            </w:pPr>
          </w:p>
          <w:p w:rsidR="00C31389" w:rsidRDefault="00561FBD" w14:paraId="7783E139" w14:textId="77777777">
            <w:pPr>
              <w:pStyle w:val="TableParagraph"/>
              <w:spacing w:before="0" w:line="214" w:lineRule="exact"/>
              <w:ind w:left="124"/>
              <w:rPr>
                <w:rFonts w:ascii="Calibri"/>
                <w:sz w:val="18"/>
              </w:rPr>
            </w:pPr>
            <w:r>
              <w:rPr>
                <w:rFonts w:ascii="Calibri"/>
                <w:spacing w:val="-4"/>
                <w:sz w:val="18"/>
              </w:rPr>
              <w:t>$137</w:t>
            </w:r>
          </w:p>
        </w:tc>
        <w:tc>
          <w:tcPr>
            <w:tcW w:w="619" w:type="dxa"/>
          </w:tcPr>
          <w:p w:rsidR="00C31389" w:rsidRDefault="00C31389" w14:paraId="19644118" w14:textId="77777777">
            <w:pPr>
              <w:pStyle w:val="TableParagraph"/>
              <w:spacing w:before="0"/>
              <w:rPr>
                <w:b/>
                <w:sz w:val="18"/>
              </w:rPr>
            </w:pPr>
          </w:p>
          <w:p w:rsidR="00C31389" w:rsidRDefault="00C31389" w14:paraId="3621F316" w14:textId="77777777">
            <w:pPr>
              <w:pStyle w:val="TableParagraph"/>
              <w:spacing w:before="1"/>
              <w:rPr>
                <w:b/>
                <w:sz w:val="16"/>
              </w:rPr>
            </w:pPr>
          </w:p>
          <w:p w:rsidR="00C31389" w:rsidRDefault="00561FBD" w14:paraId="4F7763C4" w14:textId="77777777">
            <w:pPr>
              <w:pStyle w:val="TableParagraph"/>
              <w:spacing w:before="0" w:line="214" w:lineRule="exact"/>
              <w:ind w:left="123"/>
              <w:rPr>
                <w:rFonts w:ascii="Calibri"/>
                <w:sz w:val="18"/>
              </w:rPr>
            </w:pPr>
            <w:r>
              <w:rPr>
                <w:rFonts w:ascii="Calibri"/>
                <w:spacing w:val="-4"/>
                <w:sz w:val="18"/>
              </w:rPr>
              <w:t>$139</w:t>
            </w:r>
          </w:p>
        </w:tc>
        <w:tc>
          <w:tcPr>
            <w:tcW w:w="618" w:type="dxa"/>
          </w:tcPr>
          <w:p w:rsidR="00C31389" w:rsidRDefault="00C31389" w14:paraId="323B28B3" w14:textId="77777777">
            <w:pPr>
              <w:pStyle w:val="TableParagraph"/>
              <w:spacing w:before="0"/>
              <w:rPr>
                <w:b/>
                <w:sz w:val="18"/>
              </w:rPr>
            </w:pPr>
          </w:p>
          <w:p w:rsidR="00C31389" w:rsidRDefault="00C31389" w14:paraId="22953458" w14:textId="77777777">
            <w:pPr>
              <w:pStyle w:val="TableParagraph"/>
              <w:spacing w:before="1"/>
              <w:rPr>
                <w:b/>
                <w:sz w:val="16"/>
              </w:rPr>
            </w:pPr>
          </w:p>
          <w:p w:rsidR="00C31389" w:rsidRDefault="00561FBD" w14:paraId="5105DB3A" w14:textId="77777777">
            <w:pPr>
              <w:pStyle w:val="TableParagraph"/>
              <w:spacing w:before="0" w:line="214" w:lineRule="exact"/>
              <w:ind w:left="105" w:right="108"/>
              <w:jc w:val="center"/>
              <w:rPr>
                <w:rFonts w:ascii="Calibri"/>
                <w:sz w:val="18"/>
              </w:rPr>
            </w:pPr>
            <w:r>
              <w:rPr>
                <w:rFonts w:ascii="Calibri"/>
                <w:spacing w:val="-4"/>
                <w:sz w:val="18"/>
              </w:rPr>
              <w:t>$145</w:t>
            </w:r>
          </w:p>
        </w:tc>
      </w:tr>
      <w:tr w:rsidR="00C31389" w14:paraId="31306EF3" w14:textId="77777777">
        <w:trPr>
          <w:trHeight w:val="626"/>
        </w:trPr>
        <w:tc>
          <w:tcPr>
            <w:tcW w:w="1930" w:type="dxa"/>
            <w:tcBorders>
              <w:top w:val="single" w:color="BEBEBE" w:sz="4" w:space="0"/>
            </w:tcBorders>
          </w:tcPr>
          <w:p w:rsidR="00C31389" w:rsidRDefault="00561FBD" w14:paraId="78488283" w14:textId="77777777">
            <w:pPr>
              <w:pStyle w:val="TableParagraph"/>
              <w:spacing w:before="0" w:line="256" w:lineRule="auto"/>
              <w:ind w:left="115" w:right="170"/>
              <w:rPr>
                <w:sz w:val="17"/>
              </w:rPr>
            </w:pPr>
            <w:r>
              <w:rPr>
                <w:sz w:val="17"/>
              </w:rPr>
              <w:t>Scenario 4: Aggressive</w:t>
            </w:r>
            <w:r>
              <w:rPr>
                <w:spacing w:val="-12"/>
                <w:sz w:val="17"/>
              </w:rPr>
              <w:t xml:space="preserve"> </w:t>
            </w:r>
            <w:r>
              <w:rPr>
                <w:sz w:val="17"/>
              </w:rPr>
              <w:t>IRA</w:t>
            </w:r>
            <w:r>
              <w:rPr>
                <w:spacing w:val="-12"/>
                <w:sz w:val="17"/>
              </w:rPr>
              <w:t xml:space="preserve"> </w:t>
            </w:r>
            <w:r>
              <w:rPr>
                <w:sz w:val="17"/>
              </w:rPr>
              <w:t>and</w:t>
            </w:r>
          </w:p>
          <w:p w:rsidR="00C31389" w:rsidRDefault="00561FBD" w14:paraId="10C3E65C" w14:textId="77777777">
            <w:pPr>
              <w:pStyle w:val="TableParagraph"/>
              <w:spacing w:before="0" w:line="188" w:lineRule="exact"/>
              <w:ind w:left="115"/>
              <w:rPr>
                <w:sz w:val="17"/>
              </w:rPr>
            </w:pPr>
            <w:r>
              <w:rPr>
                <w:sz w:val="17"/>
              </w:rPr>
              <w:t>reference</w:t>
            </w:r>
            <w:r>
              <w:rPr>
                <w:spacing w:val="-7"/>
                <w:sz w:val="17"/>
              </w:rPr>
              <w:t xml:space="preserve"> </w:t>
            </w:r>
            <w:r>
              <w:rPr>
                <w:spacing w:val="-5"/>
                <w:sz w:val="17"/>
              </w:rPr>
              <w:t>FS</w:t>
            </w:r>
          </w:p>
        </w:tc>
        <w:tc>
          <w:tcPr>
            <w:tcW w:w="620" w:type="dxa"/>
          </w:tcPr>
          <w:p w:rsidR="00C31389" w:rsidRDefault="00C31389" w14:paraId="46691A2F" w14:textId="77777777">
            <w:pPr>
              <w:pStyle w:val="TableParagraph"/>
              <w:spacing w:before="0"/>
              <w:rPr>
                <w:b/>
                <w:sz w:val="18"/>
              </w:rPr>
            </w:pPr>
          </w:p>
          <w:p w:rsidR="00C31389" w:rsidRDefault="00C31389" w14:paraId="491E50D8" w14:textId="77777777">
            <w:pPr>
              <w:pStyle w:val="TableParagraph"/>
              <w:spacing w:before="0"/>
              <w:rPr>
                <w:b/>
                <w:sz w:val="16"/>
              </w:rPr>
            </w:pPr>
          </w:p>
          <w:p w:rsidR="00C31389" w:rsidRDefault="00561FBD" w14:paraId="2B104B28" w14:textId="77777777">
            <w:pPr>
              <w:pStyle w:val="TableParagraph"/>
              <w:spacing w:before="0" w:line="215" w:lineRule="exact"/>
              <w:ind w:left="108" w:right="108"/>
              <w:jc w:val="center"/>
              <w:rPr>
                <w:rFonts w:ascii="Calibri"/>
                <w:sz w:val="18"/>
              </w:rPr>
            </w:pPr>
            <w:r>
              <w:rPr>
                <w:rFonts w:ascii="Calibri"/>
                <w:spacing w:val="-4"/>
                <w:sz w:val="18"/>
              </w:rPr>
              <w:t>$113</w:t>
            </w:r>
          </w:p>
        </w:tc>
        <w:tc>
          <w:tcPr>
            <w:tcW w:w="620" w:type="dxa"/>
          </w:tcPr>
          <w:p w:rsidR="00C31389" w:rsidRDefault="00C31389" w14:paraId="2B200B75" w14:textId="77777777">
            <w:pPr>
              <w:pStyle w:val="TableParagraph"/>
              <w:spacing w:before="0"/>
              <w:rPr>
                <w:b/>
                <w:sz w:val="18"/>
              </w:rPr>
            </w:pPr>
          </w:p>
          <w:p w:rsidR="00C31389" w:rsidRDefault="00C31389" w14:paraId="07645DC0" w14:textId="77777777">
            <w:pPr>
              <w:pStyle w:val="TableParagraph"/>
              <w:spacing w:before="0"/>
              <w:rPr>
                <w:b/>
                <w:sz w:val="16"/>
              </w:rPr>
            </w:pPr>
          </w:p>
          <w:p w:rsidR="00C31389" w:rsidRDefault="00561FBD" w14:paraId="306D44D9" w14:textId="77777777">
            <w:pPr>
              <w:pStyle w:val="TableParagraph"/>
              <w:spacing w:before="0" w:line="215" w:lineRule="exact"/>
              <w:ind w:left="126"/>
              <w:rPr>
                <w:rFonts w:ascii="Calibri"/>
                <w:sz w:val="18"/>
              </w:rPr>
            </w:pPr>
            <w:r>
              <w:rPr>
                <w:rFonts w:ascii="Calibri"/>
                <w:spacing w:val="-4"/>
                <w:sz w:val="18"/>
              </w:rPr>
              <w:t>$119</w:t>
            </w:r>
          </w:p>
        </w:tc>
        <w:tc>
          <w:tcPr>
            <w:tcW w:w="621" w:type="dxa"/>
          </w:tcPr>
          <w:p w:rsidR="00C31389" w:rsidRDefault="00C31389" w14:paraId="6AF71837" w14:textId="77777777">
            <w:pPr>
              <w:pStyle w:val="TableParagraph"/>
              <w:spacing w:before="0"/>
              <w:rPr>
                <w:b/>
                <w:sz w:val="18"/>
              </w:rPr>
            </w:pPr>
          </w:p>
          <w:p w:rsidR="00C31389" w:rsidRDefault="00C31389" w14:paraId="2468D897" w14:textId="77777777">
            <w:pPr>
              <w:pStyle w:val="TableParagraph"/>
              <w:spacing w:before="0"/>
              <w:rPr>
                <w:b/>
                <w:sz w:val="16"/>
              </w:rPr>
            </w:pPr>
          </w:p>
          <w:p w:rsidR="00C31389" w:rsidRDefault="00561FBD" w14:paraId="6549CDD4" w14:textId="77777777">
            <w:pPr>
              <w:pStyle w:val="TableParagraph"/>
              <w:spacing w:before="0" w:line="215" w:lineRule="exact"/>
              <w:ind w:left="127"/>
              <w:rPr>
                <w:rFonts w:ascii="Calibri"/>
                <w:sz w:val="18"/>
              </w:rPr>
            </w:pPr>
            <w:r>
              <w:rPr>
                <w:rFonts w:ascii="Calibri"/>
                <w:spacing w:val="-4"/>
                <w:sz w:val="18"/>
              </w:rPr>
              <w:t>$129</w:t>
            </w:r>
          </w:p>
        </w:tc>
        <w:tc>
          <w:tcPr>
            <w:tcW w:w="620" w:type="dxa"/>
          </w:tcPr>
          <w:p w:rsidR="00C31389" w:rsidRDefault="00C31389" w14:paraId="5B6A27F6" w14:textId="77777777">
            <w:pPr>
              <w:pStyle w:val="TableParagraph"/>
              <w:spacing w:before="0"/>
              <w:rPr>
                <w:b/>
                <w:sz w:val="18"/>
              </w:rPr>
            </w:pPr>
          </w:p>
          <w:p w:rsidR="00C31389" w:rsidRDefault="00C31389" w14:paraId="128C026E" w14:textId="77777777">
            <w:pPr>
              <w:pStyle w:val="TableParagraph"/>
              <w:spacing w:before="0"/>
              <w:rPr>
                <w:b/>
                <w:sz w:val="16"/>
              </w:rPr>
            </w:pPr>
          </w:p>
          <w:p w:rsidR="00C31389" w:rsidRDefault="00561FBD" w14:paraId="2045E551" w14:textId="77777777">
            <w:pPr>
              <w:pStyle w:val="TableParagraph"/>
              <w:spacing w:before="0" w:line="215" w:lineRule="exact"/>
              <w:ind w:left="107" w:right="108"/>
              <w:jc w:val="center"/>
              <w:rPr>
                <w:rFonts w:ascii="Calibri"/>
                <w:sz w:val="18"/>
              </w:rPr>
            </w:pPr>
            <w:r>
              <w:rPr>
                <w:rFonts w:ascii="Calibri"/>
                <w:spacing w:val="-4"/>
                <w:sz w:val="18"/>
              </w:rPr>
              <w:t>$143</w:t>
            </w:r>
          </w:p>
        </w:tc>
        <w:tc>
          <w:tcPr>
            <w:tcW w:w="620" w:type="dxa"/>
          </w:tcPr>
          <w:p w:rsidR="00C31389" w:rsidRDefault="00C31389" w14:paraId="347B2679" w14:textId="77777777">
            <w:pPr>
              <w:pStyle w:val="TableParagraph"/>
              <w:spacing w:before="0"/>
              <w:rPr>
                <w:b/>
                <w:sz w:val="18"/>
              </w:rPr>
            </w:pPr>
          </w:p>
          <w:p w:rsidR="00C31389" w:rsidRDefault="00C31389" w14:paraId="737FC5D2" w14:textId="77777777">
            <w:pPr>
              <w:pStyle w:val="TableParagraph"/>
              <w:spacing w:before="0"/>
              <w:rPr>
                <w:b/>
                <w:sz w:val="16"/>
              </w:rPr>
            </w:pPr>
          </w:p>
          <w:p w:rsidR="00C31389" w:rsidRDefault="00561FBD" w14:paraId="07D50FA4" w14:textId="77777777">
            <w:pPr>
              <w:pStyle w:val="TableParagraph"/>
              <w:spacing w:before="0" w:line="215" w:lineRule="exact"/>
              <w:ind w:left="107" w:right="108"/>
              <w:jc w:val="center"/>
              <w:rPr>
                <w:rFonts w:ascii="Calibri"/>
                <w:sz w:val="18"/>
              </w:rPr>
            </w:pPr>
            <w:r>
              <w:rPr>
                <w:rFonts w:ascii="Calibri"/>
                <w:spacing w:val="-4"/>
                <w:sz w:val="18"/>
              </w:rPr>
              <w:t>$158</w:t>
            </w:r>
          </w:p>
        </w:tc>
        <w:tc>
          <w:tcPr>
            <w:tcW w:w="621" w:type="dxa"/>
          </w:tcPr>
          <w:p w:rsidR="00C31389" w:rsidRDefault="00C31389" w14:paraId="13C5ADEB" w14:textId="77777777">
            <w:pPr>
              <w:pStyle w:val="TableParagraph"/>
              <w:spacing w:before="0"/>
              <w:rPr>
                <w:b/>
                <w:sz w:val="18"/>
              </w:rPr>
            </w:pPr>
          </w:p>
          <w:p w:rsidR="00C31389" w:rsidRDefault="00C31389" w14:paraId="21ADD1B6" w14:textId="77777777">
            <w:pPr>
              <w:pStyle w:val="TableParagraph"/>
              <w:spacing w:before="0"/>
              <w:rPr>
                <w:b/>
                <w:sz w:val="16"/>
              </w:rPr>
            </w:pPr>
          </w:p>
          <w:p w:rsidR="00C31389" w:rsidRDefault="00561FBD" w14:paraId="2452F595" w14:textId="77777777">
            <w:pPr>
              <w:pStyle w:val="TableParagraph"/>
              <w:spacing w:before="0" w:line="215" w:lineRule="exact"/>
              <w:ind w:left="126"/>
              <w:rPr>
                <w:rFonts w:ascii="Calibri"/>
                <w:sz w:val="18"/>
              </w:rPr>
            </w:pPr>
            <w:r>
              <w:rPr>
                <w:rFonts w:ascii="Calibri"/>
                <w:spacing w:val="-4"/>
                <w:sz w:val="18"/>
              </w:rPr>
              <w:t>$168</w:t>
            </w:r>
          </w:p>
        </w:tc>
        <w:tc>
          <w:tcPr>
            <w:tcW w:w="620" w:type="dxa"/>
          </w:tcPr>
          <w:p w:rsidR="00C31389" w:rsidRDefault="00C31389" w14:paraId="1DA40D07" w14:textId="77777777">
            <w:pPr>
              <w:pStyle w:val="TableParagraph"/>
              <w:spacing w:before="0"/>
              <w:rPr>
                <w:b/>
                <w:sz w:val="18"/>
              </w:rPr>
            </w:pPr>
          </w:p>
          <w:p w:rsidR="00C31389" w:rsidRDefault="00C31389" w14:paraId="39948C5A" w14:textId="77777777">
            <w:pPr>
              <w:pStyle w:val="TableParagraph"/>
              <w:spacing w:before="0"/>
              <w:rPr>
                <w:b/>
                <w:sz w:val="16"/>
              </w:rPr>
            </w:pPr>
          </w:p>
          <w:p w:rsidR="00C31389" w:rsidRDefault="00561FBD" w14:paraId="12D92520" w14:textId="77777777">
            <w:pPr>
              <w:pStyle w:val="TableParagraph"/>
              <w:spacing w:before="0" w:line="215" w:lineRule="exact"/>
              <w:ind w:left="125"/>
              <w:rPr>
                <w:rFonts w:ascii="Calibri"/>
                <w:sz w:val="18"/>
              </w:rPr>
            </w:pPr>
            <w:r>
              <w:rPr>
                <w:rFonts w:ascii="Calibri"/>
                <w:spacing w:val="-4"/>
                <w:sz w:val="18"/>
              </w:rPr>
              <w:t>$124</w:t>
            </w:r>
          </w:p>
        </w:tc>
        <w:tc>
          <w:tcPr>
            <w:tcW w:w="620" w:type="dxa"/>
          </w:tcPr>
          <w:p w:rsidR="00C31389" w:rsidRDefault="00C31389" w14:paraId="2F71FA98" w14:textId="77777777">
            <w:pPr>
              <w:pStyle w:val="TableParagraph"/>
              <w:spacing w:before="0"/>
              <w:rPr>
                <w:b/>
                <w:sz w:val="18"/>
              </w:rPr>
            </w:pPr>
          </w:p>
          <w:p w:rsidR="00C31389" w:rsidRDefault="00C31389" w14:paraId="42A75503" w14:textId="77777777">
            <w:pPr>
              <w:pStyle w:val="TableParagraph"/>
              <w:spacing w:before="0"/>
              <w:rPr>
                <w:b/>
                <w:sz w:val="16"/>
              </w:rPr>
            </w:pPr>
          </w:p>
          <w:p w:rsidR="00C31389" w:rsidRDefault="00561FBD" w14:paraId="28752BFC" w14:textId="77777777">
            <w:pPr>
              <w:pStyle w:val="TableParagraph"/>
              <w:spacing w:before="0" w:line="215" w:lineRule="exact"/>
              <w:ind w:left="105" w:right="108"/>
              <w:jc w:val="center"/>
              <w:rPr>
                <w:rFonts w:ascii="Calibri"/>
                <w:sz w:val="18"/>
              </w:rPr>
            </w:pPr>
            <w:r>
              <w:rPr>
                <w:rFonts w:ascii="Calibri"/>
                <w:spacing w:val="-4"/>
                <w:sz w:val="18"/>
              </w:rPr>
              <w:t>$130</w:t>
            </w:r>
          </w:p>
        </w:tc>
        <w:tc>
          <w:tcPr>
            <w:tcW w:w="621" w:type="dxa"/>
          </w:tcPr>
          <w:p w:rsidR="00C31389" w:rsidRDefault="00C31389" w14:paraId="3225187F" w14:textId="77777777">
            <w:pPr>
              <w:pStyle w:val="TableParagraph"/>
              <w:spacing w:before="0"/>
              <w:rPr>
                <w:b/>
                <w:sz w:val="18"/>
              </w:rPr>
            </w:pPr>
          </w:p>
          <w:p w:rsidR="00C31389" w:rsidRDefault="00C31389" w14:paraId="54299195" w14:textId="77777777">
            <w:pPr>
              <w:pStyle w:val="TableParagraph"/>
              <w:spacing w:before="0"/>
              <w:rPr>
                <w:b/>
                <w:sz w:val="16"/>
              </w:rPr>
            </w:pPr>
          </w:p>
          <w:p w:rsidR="00C31389" w:rsidRDefault="00561FBD" w14:paraId="59C2EBFA" w14:textId="77777777">
            <w:pPr>
              <w:pStyle w:val="TableParagraph"/>
              <w:spacing w:before="0" w:line="215" w:lineRule="exact"/>
              <w:ind w:left="106" w:right="109"/>
              <w:jc w:val="center"/>
              <w:rPr>
                <w:rFonts w:ascii="Calibri"/>
                <w:sz w:val="18"/>
              </w:rPr>
            </w:pPr>
            <w:r>
              <w:rPr>
                <w:rFonts w:ascii="Calibri"/>
                <w:spacing w:val="-4"/>
                <w:sz w:val="18"/>
              </w:rPr>
              <w:t>$135</w:t>
            </w:r>
          </w:p>
        </w:tc>
        <w:tc>
          <w:tcPr>
            <w:tcW w:w="620" w:type="dxa"/>
          </w:tcPr>
          <w:p w:rsidR="00C31389" w:rsidRDefault="00C31389" w14:paraId="25E3B069" w14:textId="77777777">
            <w:pPr>
              <w:pStyle w:val="TableParagraph"/>
              <w:spacing w:before="0"/>
              <w:rPr>
                <w:b/>
                <w:sz w:val="18"/>
              </w:rPr>
            </w:pPr>
          </w:p>
          <w:p w:rsidR="00C31389" w:rsidRDefault="00C31389" w14:paraId="2AF376C6" w14:textId="77777777">
            <w:pPr>
              <w:pStyle w:val="TableParagraph"/>
              <w:spacing w:before="0"/>
              <w:rPr>
                <w:b/>
                <w:sz w:val="16"/>
              </w:rPr>
            </w:pPr>
          </w:p>
          <w:p w:rsidR="00C31389" w:rsidRDefault="00561FBD" w14:paraId="59206078" w14:textId="77777777">
            <w:pPr>
              <w:pStyle w:val="TableParagraph"/>
              <w:spacing w:before="0" w:line="215" w:lineRule="exact"/>
              <w:ind w:left="124"/>
              <w:rPr>
                <w:rFonts w:ascii="Calibri"/>
                <w:sz w:val="18"/>
              </w:rPr>
            </w:pPr>
            <w:r>
              <w:rPr>
                <w:rFonts w:ascii="Calibri"/>
                <w:spacing w:val="-4"/>
                <w:sz w:val="18"/>
              </w:rPr>
              <w:t>$137</w:t>
            </w:r>
          </w:p>
        </w:tc>
        <w:tc>
          <w:tcPr>
            <w:tcW w:w="619" w:type="dxa"/>
          </w:tcPr>
          <w:p w:rsidR="00C31389" w:rsidRDefault="00C31389" w14:paraId="4A21D3EE" w14:textId="77777777">
            <w:pPr>
              <w:pStyle w:val="TableParagraph"/>
              <w:spacing w:before="0"/>
              <w:rPr>
                <w:b/>
                <w:sz w:val="18"/>
              </w:rPr>
            </w:pPr>
          </w:p>
          <w:p w:rsidR="00C31389" w:rsidRDefault="00C31389" w14:paraId="0ECC205D" w14:textId="77777777">
            <w:pPr>
              <w:pStyle w:val="TableParagraph"/>
              <w:spacing w:before="0"/>
              <w:rPr>
                <w:b/>
                <w:sz w:val="16"/>
              </w:rPr>
            </w:pPr>
          </w:p>
          <w:p w:rsidR="00C31389" w:rsidRDefault="00561FBD" w14:paraId="48024D87" w14:textId="77777777">
            <w:pPr>
              <w:pStyle w:val="TableParagraph"/>
              <w:spacing w:before="0" w:line="215" w:lineRule="exact"/>
              <w:ind w:left="123"/>
              <w:rPr>
                <w:rFonts w:ascii="Calibri"/>
                <w:sz w:val="18"/>
              </w:rPr>
            </w:pPr>
            <w:r>
              <w:rPr>
                <w:rFonts w:ascii="Calibri"/>
                <w:spacing w:val="-4"/>
                <w:sz w:val="18"/>
              </w:rPr>
              <w:t>$139</w:t>
            </w:r>
          </w:p>
        </w:tc>
        <w:tc>
          <w:tcPr>
            <w:tcW w:w="618" w:type="dxa"/>
          </w:tcPr>
          <w:p w:rsidR="00C31389" w:rsidRDefault="00C31389" w14:paraId="1B65014C" w14:textId="77777777">
            <w:pPr>
              <w:pStyle w:val="TableParagraph"/>
              <w:spacing w:before="0"/>
              <w:rPr>
                <w:b/>
                <w:sz w:val="18"/>
              </w:rPr>
            </w:pPr>
          </w:p>
          <w:p w:rsidR="00C31389" w:rsidRDefault="00C31389" w14:paraId="0CEF7E81" w14:textId="77777777">
            <w:pPr>
              <w:pStyle w:val="TableParagraph"/>
              <w:spacing w:before="0"/>
              <w:rPr>
                <w:b/>
                <w:sz w:val="16"/>
              </w:rPr>
            </w:pPr>
          </w:p>
          <w:p w:rsidR="00C31389" w:rsidRDefault="00561FBD" w14:paraId="5AD4CFB0" w14:textId="77777777">
            <w:pPr>
              <w:pStyle w:val="TableParagraph"/>
              <w:spacing w:before="0" w:line="215" w:lineRule="exact"/>
              <w:ind w:left="105" w:right="108"/>
              <w:jc w:val="center"/>
              <w:rPr>
                <w:rFonts w:ascii="Calibri"/>
                <w:sz w:val="18"/>
              </w:rPr>
            </w:pPr>
            <w:r>
              <w:rPr>
                <w:rFonts w:ascii="Calibri"/>
                <w:spacing w:val="-4"/>
                <w:sz w:val="18"/>
              </w:rPr>
              <w:t>$144</w:t>
            </w:r>
          </w:p>
        </w:tc>
      </w:tr>
      <w:tr w:rsidR="00C31389" w14:paraId="72E35696" w14:textId="77777777">
        <w:trPr>
          <w:trHeight w:val="237"/>
        </w:trPr>
        <w:tc>
          <w:tcPr>
            <w:tcW w:w="1930" w:type="dxa"/>
            <w:shd w:val="clear" w:color="auto" w:fill="BEBEBE"/>
          </w:tcPr>
          <w:p w:rsidR="00C31389" w:rsidRDefault="00561FBD" w14:paraId="2A1D3C37" w14:textId="77777777">
            <w:pPr>
              <w:pStyle w:val="TableParagraph"/>
              <w:spacing w:before="30" w:line="187" w:lineRule="exact"/>
              <w:ind w:left="115"/>
              <w:rPr>
                <w:b/>
                <w:sz w:val="17"/>
              </w:rPr>
            </w:pPr>
            <w:r>
              <w:rPr>
                <w:b/>
                <w:spacing w:val="-5"/>
                <w:sz w:val="17"/>
              </w:rPr>
              <w:t>SCG</w:t>
            </w:r>
          </w:p>
        </w:tc>
        <w:tc>
          <w:tcPr>
            <w:tcW w:w="620" w:type="dxa"/>
            <w:shd w:val="clear" w:color="auto" w:fill="BEBEBE"/>
          </w:tcPr>
          <w:p w:rsidR="00C31389" w:rsidRDefault="00C31389" w14:paraId="3E9BDEF3" w14:textId="77777777">
            <w:pPr>
              <w:pStyle w:val="TableParagraph"/>
              <w:spacing w:before="0"/>
              <w:rPr>
                <w:rFonts w:ascii="Times New Roman"/>
                <w:sz w:val="16"/>
              </w:rPr>
            </w:pPr>
          </w:p>
        </w:tc>
        <w:tc>
          <w:tcPr>
            <w:tcW w:w="620" w:type="dxa"/>
            <w:shd w:val="clear" w:color="auto" w:fill="BEBEBE"/>
          </w:tcPr>
          <w:p w:rsidR="00C31389" w:rsidRDefault="00C31389" w14:paraId="7CC4E95D" w14:textId="77777777">
            <w:pPr>
              <w:pStyle w:val="TableParagraph"/>
              <w:spacing w:before="0"/>
              <w:rPr>
                <w:rFonts w:ascii="Times New Roman"/>
                <w:sz w:val="16"/>
              </w:rPr>
            </w:pPr>
          </w:p>
        </w:tc>
        <w:tc>
          <w:tcPr>
            <w:tcW w:w="621" w:type="dxa"/>
            <w:shd w:val="clear" w:color="auto" w:fill="BEBEBE"/>
          </w:tcPr>
          <w:p w:rsidR="00C31389" w:rsidRDefault="00C31389" w14:paraId="293993DE" w14:textId="77777777">
            <w:pPr>
              <w:pStyle w:val="TableParagraph"/>
              <w:spacing w:before="0"/>
              <w:rPr>
                <w:rFonts w:ascii="Times New Roman"/>
                <w:sz w:val="16"/>
              </w:rPr>
            </w:pPr>
          </w:p>
        </w:tc>
        <w:tc>
          <w:tcPr>
            <w:tcW w:w="620" w:type="dxa"/>
            <w:shd w:val="clear" w:color="auto" w:fill="BEBEBE"/>
          </w:tcPr>
          <w:p w:rsidR="00C31389" w:rsidRDefault="00C31389" w14:paraId="20EA6186" w14:textId="77777777">
            <w:pPr>
              <w:pStyle w:val="TableParagraph"/>
              <w:spacing w:before="0"/>
              <w:rPr>
                <w:rFonts w:ascii="Times New Roman"/>
                <w:sz w:val="16"/>
              </w:rPr>
            </w:pPr>
          </w:p>
        </w:tc>
        <w:tc>
          <w:tcPr>
            <w:tcW w:w="620" w:type="dxa"/>
            <w:shd w:val="clear" w:color="auto" w:fill="BEBEBE"/>
          </w:tcPr>
          <w:p w:rsidR="00C31389" w:rsidRDefault="00C31389" w14:paraId="5AAC1C28" w14:textId="77777777">
            <w:pPr>
              <w:pStyle w:val="TableParagraph"/>
              <w:spacing w:before="0"/>
              <w:rPr>
                <w:rFonts w:ascii="Times New Roman"/>
                <w:sz w:val="16"/>
              </w:rPr>
            </w:pPr>
          </w:p>
        </w:tc>
        <w:tc>
          <w:tcPr>
            <w:tcW w:w="621" w:type="dxa"/>
            <w:shd w:val="clear" w:color="auto" w:fill="BEBEBE"/>
          </w:tcPr>
          <w:p w:rsidR="00C31389" w:rsidRDefault="00C31389" w14:paraId="17C11981" w14:textId="77777777">
            <w:pPr>
              <w:pStyle w:val="TableParagraph"/>
              <w:spacing w:before="0"/>
              <w:rPr>
                <w:rFonts w:ascii="Times New Roman"/>
                <w:sz w:val="16"/>
              </w:rPr>
            </w:pPr>
          </w:p>
        </w:tc>
        <w:tc>
          <w:tcPr>
            <w:tcW w:w="620" w:type="dxa"/>
            <w:shd w:val="clear" w:color="auto" w:fill="BEBEBE"/>
          </w:tcPr>
          <w:p w:rsidR="00C31389" w:rsidRDefault="00C31389" w14:paraId="65FC1DB6" w14:textId="77777777">
            <w:pPr>
              <w:pStyle w:val="TableParagraph"/>
              <w:spacing w:before="0"/>
              <w:rPr>
                <w:rFonts w:ascii="Times New Roman"/>
                <w:sz w:val="16"/>
              </w:rPr>
            </w:pPr>
          </w:p>
        </w:tc>
        <w:tc>
          <w:tcPr>
            <w:tcW w:w="620" w:type="dxa"/>
            <w:shd w:val="clear" w:color="auto" w:fill="BEBEBE"/>
          </w:tcPr>
          <w:p w:rsidR="00C31389" w:rsidRDefault="00C31389" w14:paraId="140CC3A2" w14:textId="77777777">
            <w:pPr>
              <w:pStyle w:val="TableParagraph"/>
              <w:spacing w:before="0"/>
              <w:rPr>
                <w:rFonts w:ascii="Times New Roman"/>
                <w:sz w:val="16"/>
              </w:rPr>
            </w:pPr>
          </w:p>
        </w:tc>
        <w:tc>
          <w:tcPr>
            <w:tcW w:w="621" w:type="dxa"/>
            <w:shd w:val="clear" w:color="auto" w:fill="BEBEBE"/>
          </w:tcPr>
          <w:p w:rsidR="00C31389" w:rsidRDefault="00C31389" w14:paraId="48B9E2A3" w14:textId="77777777">
            <w:pPr>
              <w:pStyle w:val="TableParagraph"/>
              <w:spacing w:before="0"/>
              <w:rPr>
                <w:rFonts w:ascii="Times New Roman"/>
                <w:sz w:val="16"/>
              </w:rPr>
            </w:pPr>
          </w:p>
        </w:tc>
        <w:tc>
          <w:tcPr>
            <w:tcW w:w="620" w:type="dxa"/>
            <w:shd w:val="clear" w:color="auto" w:fill="BEBEBE"/>
          </w:tcPr>
          <w:p w:rsidR="00C31389" w:rsidRDefault="00C31389" w14:paraId="1E385751" w14:textId="77777777">
            <w:pPr>
              <w:pStyle w:val="TableParagraph"/>
              <w:spacing w:before="0"/>
              <w:rPr>
                <w:rFonts w:ascii="Times New Roman"/>
                <w:sz w:val="16"/>
              </w:rPr>
            </w:pPr>
          </w:p>
        </w:tc>
        <w:tc>
          <w:tcPr>
            <w:tcW w:w="619" w:type="dxa"/>
            <w:shd w:val="clear" w:color="auto" w:fill="BEBEBE"/>
          </w:tcPr>
          <w:p w:rsidR="00C31389" w:rsidRDefault="00C31389" w14:paraId="727A7891" w14:textId="77777777">
            <w:pPr>
              <w:pStyle w:val="TableParagraph"/>
              <w:spacing w:before="0"/>
              <w:rPr>
                <w:rFonts w:ascii="Times New Roman"/>
                <w:sz w:val="16"/>
              </w:rPr>
            </w:pPr>
          </w:p>
        </w:tc>
        <w:tc>
          <w:tcPr>
            <w:tcW w:w="618" w:type="dxa"/>
            <w:shd w:val="clear" w:color="auto" w:fill="BEBEBE"/>
          </w:tcPr>
          <w:p w:rsidR="00C31389" w:rsidRDefault="00C31389" w14:paraId="5F705114" w14:textId="77777777">
            <w:pPr>
              <w:pStyle w:val="TableParagraph"/>
              <w:spacing w:before="0"/>
              <w:rPr>
                <w:rFonts w:ascii="Times New Roman"/>
                <w:sz w:val="16"/>
              </w:rPr>
            </w:pPr>
          </w:p>
        </w:tc>
      </w:tr>
      <w:tr w:rsidR="00C31389" w14:paraId="3D92033D" w14:textId="77777777">
        <w:trPr>
          <w:trHeight w:val="235"/>
        </w:trPr>
        <w:tc>
          <w:tcPr>
            <w:tcW w:w="1930" w:type="dxa"/>
            <w:tcBorders>
              <w:bottom w:val="single" w:color="BEBEBE" w:sz="4" w:space="0"/>
            </w:tcBorders>
          </w:tcPr>
          <w:p w:rsidR="00C31389" w:rsidRDefault="00561FBD" w14:paraId="167DAF08" w14:textId="77777777">
            <w:pPr>
              <w:pStyle w:val="TableParagraph"/>
              <w:spacing w:before="0"/>
              <w:ind w:left="115"/>
              <w:rPr>
                <w:sz w:val="17"/>
              </w:rPr>
            </w:pPr>
            <w:r>
              <w:rPr>
                <w:sz w:val="17"/>
              </w:rPr>
              <w:t>Scenario</w:t>
            </w:r>
            <w:r>
              <w:rPr>
                <w:spacing w:val="-2"/>
                <w:sz w:val="17"/>
              </w:rPr>
              <w:t xml:space="preserve"> </w:t>
            </w:r>
            <w:r>
              <w:rPr>
                <w:sz w:val="17"/>
              </w:rPr>
              <w:t>1:</w:t>
            </w:r>
            <w:r>
              <w:rPr>
                <w:spacing w:val="-2"/>
                <w:sz w:val="17"/>
              </w:rPr>
              <w:t xml:space="preserve"> </w:t>
            </w:r>
            <w:r>
              <w:rPr>
                <w:sz w:val="17"/>
              </w:rPr>
              <w:t>No</w:t>
            </w:r>
            <w:r>
              <w:rPr>
                <w:spacing w:val="-1"/>
                <w:sz w:val="17"/>
              </w:rPr>
              <w:t xml:space="preserve"> </w:t>
            </w:r>
            <w:r>
              <w:rPr>
                <w:spacing w:val="-5"/>
                <w:sz w:val="17"/>
              </w:rPr>
              <w:t>IRA</w:t>
            </w:r>
          </w:p>
        </w:tc>
        <w:tc>
          <w:tcPr>
            <w:tcW w:w="620" w:type="dxa"/>
          </w:tcPr>
          <w:p w:rsidR="00C31389" w:rsidRDefault="00561FBD" w14:paraId="6EB0872B" w14:textId="77777777">
            <w:pPr>
              <w:pStyle w:val="TableParagraph"/>
              <w:spacing w:before="0" w:line="215" w:lineRule="exact"/>
              <w:ind w:left="108" w:right="108"/>
              <w:jc w:val="center"/>
              <w:rPr>
                <w:rFonts w:ascii="Calibri"/>
                <w:sz w:val="18"/>
              </w:rPr>
            </w:pPr>
            <w:r>
              <w:rPr>
                <w:rFonts w:ascii="Calibri"/>
                <w:spacing w:val="-4"/>
                <w:sz w:val="18"/>
              </w:rPr>
              <w:t>$162</w:t>
            </w:r>
          </w:p>
        </w:tc>
        <w:tc>
          <w:tcPr>
            <w:tcW w:w="620" w:type="dxa"/>
          </w:tcPr>
          <w:p w:rsidR="00C31389" w:rsidRDefault="00561FBD" w14:paraId="053E5E7B" w14:textId="77777777">
            <w:pPr>
              <w:pStyle w:val="TableParagraph"/>
              <w:spacing w:before="0" w:line="215" w:lineRule="exact"/>
              <w:ind w:left="126"/>
              <w:rPr>
                <w:rFonts w:ascii="Calibri"/>
                <w:sz w:val="18"/>
              </w:rPr>
            </w:pPr>
            <w:r>
              <w:rPr>
                <w:rFonts w:ascii="Calibri"/>
                <w:spacing w:val="-4"/>
                <w:sz w:val="18"/>
              </w:rPr>
              <w:t>$180</w:t>
            </w:r>
          </w:p>
        </w:tc>
        <w:tc>
          <w:tcPr>
            <w:tcW w:w="621" w:type="dxa"/>
          </w:tcPr>
          <w:p w:rsidR="00C31389" w:rsidRDefault="00561FBD" w14:paraId="44BB50DA" w14:textId="77777777">
            <w:pPr>
              <w:pStyle w:val="TableParagraph"/>
              <w:spacing w:before="0" w:line="215" w:lineRule="exact"/>
              <w:ind w:left="127"/>
              <w:rPr>
                <w:rFonts w:ascii="Calibri"/>
                <w:sz w:val="18"/>
              </w:rPr>
            </w:pPr>
            <w:r>
              <w:rPr>
                <w:rFonts w:ascii="Calibri"/>
                <w:spacing w:val="-4"/>
                <w:sz w:val="18"/>
              </w:rPr>
              <w:t>$195</w:t>
            </w:r>
          </w:p>
        </w:tc>
        <w:tc>
          <w:tcPr>
            <w:tcW w:w="620" w:type="dxa"/>
          </w:tcPr>
          <w:p w:rsidR="00C31389" w:rsidRDefault="00561FBD" w14:paraId="61198F90" w14:textId="77777777">
            <w:pPr>
              <w:pStyle w:val="TableParagraph"/>
              <w:spacing w:before="0" w:line="215" w:lineRule="exact"/>
              <w:ind w:left="107" w:right="108"/>
              <w:jc w:val="center"/>
              <w:rPr>
                <w:rFonts w:ascii="Calibri"/>
                <w:sz w:val="18"/>
              </w:rPr>
            </w:pPr>
            <w:r>
              <w:rPr>
                <w:rFonts w:ascii="Calibri"/>
                <w:spacing w:val="-4"/>
                <w:sz w:val="18"/>
              </w:rPr>
              <w:t>$207</w:t>
            </w:r>
          </w:p>
        </w:tc>
        <w:tc>
          <w:tcPr>
            <w:tcW w:w="620" w:type="dxa"/>
          </w:tcPr>
          <w:p w:rsidR="00C31389" w:rsidRDefault="00561FBD" w14:paraId="2CA57562" w14:textId="77777777">
            <w:pPr>
              <w:pStyle w:val="TableParagraph"/>
              <w:spacing w:before="0" w:line="215" w:lineRule="exact"/>
              <w:ind w:left="107" w:right="108"/>
              <w:jc w:val="center"/>
              <w:rPr>
                <w:rFonts w:ascii="Calibri"/>
                <w:sz w:val="18"/>
              </w:rPr>
            </w:pPr>
            <w:r>
              <w:rPr>
                <w:rFonts w:ascii="Calibri"/>
                <w:spacing w:val="-4"/>
                <w:sz w:val="18"/>
              </w:rPr>
              <w:t>$219</w:t>
            </w:r>
          </w:p>
        </w:tc>
        <w:tc>
          <w:tcPr>
            <w:tcW w:w="621" w:type="dxa"/>
          </w:tcPr>
          <w:p w:rsidR="00C31389" w:rsidRDefault="00561FBD" w14:paraId="629503EC" w14:textId="77777777">
            <w:pPr>
              <w:pStyle w:val="TableParagraph"/>
              <w:spacing w:before="0" w:line="215" w:lineRule="exact"/>
              <w:ind w:left="126"/>
              <w:rPr>
                <w:rFonts w:ascii="Calibri"/>
                <w:sz w:val="18"/>
              </w:rPr>
            </w:pPr>
            <w:r>
              <w:rPr>
                <w:rFonts w:ascii="Calibri"/>
                <w:spacing w:val="-4"/>
                <w:sz w:val="18"/>
              </w:rPr>
              <w:t>$230</w:t>
            </w:r>
          </w:p>
        </w:tc>
        <w:tc>
          <w:tcPr>
            <w:tcW w:w="620" w:type="dxa"/>
          </w:tcPr>
          <w:p w:rsidR="00C31389" w:rsidRDefault="00561FBD" w14:paraId="09C44DFA" w14:textId="77777777">
            <w:pPr>
              <w:pStyle w:val="TableParagraph"/>
              <w:spacing w:before="0" w:line="215" w:lineRule="exact"/>
              <w:ind w:left="125"/>
              <w:rPr>
                <w:rFonts w:ascii="Calibri"/>
                <w:sz w:val="18"/>
              </w:rPr>
            </w:pPr>
            <w:r>
              <w:rPr>
                <w:rFonts w:ascii="Calibri"/>
                <w:spacing w:val="-4"/>
                <w:sz w:val="18"/>
              </w:rPr>
              <w:t>$208</w:t>
            </w:r>
          </w:p>
        </w:tc>
        <w:tc>
          <w:tcPr>
            <w:tcW w:w="620" w:type="dxa"/>
          </w:tcPr>
          <w:p w:rsidR="00C31389" w:rsidRDefault="00561FBD" w14:paraId="4AF0301C" w14:textId="77777777">
            <w:pPr>
              <w:pStyle w:val="TableParagraph"/>
              <w:spacing w:before="0" w:line="215" w:lineRule="exact"/>
              <w:ind w:left="105" w:right="108"/>
              <w:jc w:val="center"/>
              <w:rPr>
                <w:rFonts w:ascii="Calibri"/>
                <w:sz w:val="18"/>
              </w:rPr>
            </w:pPr>
            <w:r>
              <w:rPr>
                <w:rFonts w:ascii="Calibri"/>
                <w:spacing w:val="-4"/>
                <w:sz w:val="18"/>
              </w:rPr>
              <w:t>$219</w:t>
            </w:r>
          </w:p>
        </w:tc>
        <w:tc>
          <w:tcPr>
            <w:tcW w:w="621" w:type="dxa"/>
          </w:tcPr>
          <w:p w:rsidR="00C31389" w:rsidRDefault="00561FBD" w14:paraId="7B72762A" w14:textId="77777777">
            <w:pPr>
              <w:pStyle w:val="TableParagraph"/>
              <w:spacing w:before="0" w:line="215" w:lineRule="exact"/>
              <w:ind w:left="106" w:right="109"/>
              <w:jc w:val="center"/>
              <w:rPr>
                <w:rFonts w:ascii="Calibri"/>
                <w:sz w:val="18"/>
              </w:rPr>
            </w:pPr>
            <w:r>
              <w:rPr>
                <w:rFonts w:ascii="Calibri"/>
                <w:spacing w:val="-4"/>
                <w:sz w:val="18"/>
              </w:rPr>
              <w:t>$239</w:t>
            </w:r>
          </w:p>
        </w:tc>
        <w:tc>
          <w:tcPr>
            <w:tcW w:w="620" w:type="dxa"/>
          </w:tcPr>
          <w:p w:rsidR="00C31389" w:rsidRDefault="00561FBD" w14:paraId="712C1AD9" w14:textId="77777777">
            <w:pPr>
              <w:pStyle w:val="TableParagraph"/>
              <w:spacing w:before="0" w:line="215" w:lineRule="exact"/>
              <w:ind w:left="124"/>
              <w:rPr>
                <w:rFonts w:ascii="Calibri"/>
                <w:sz w:val="18"/>
              </w:rPr>
            </w:pPr>
            <w:r>
              <w:rPr>
                <w:rFonts w:ascii="Calibri"/>
                <w:spacing w:val="-4"/>
                <w:sz w:val="18"/>
              </w:rPr>
              <w:t>$257</w:t>
            </w:r>
          </w:p>
        </w:tc>
        <w:tc>
          <w:tcPr>
            <w:tcW w:w="619" w:type="dxa"/>
          </w:tcPr>
          <w:p w:rsidR="00C31389" w:rsidRDefault="00561FBD" w14:paraId="440EDEC2" w14:textId="77777777">
            <w:pPr>
              <w:pStyle w:val="TableParagraph"/>
              <w:spacing w:before="0" w:line="215" w:lineRule="exact"/>
              <w:ind w:left="123"/>
              <w:rPr>
                <w:rFonts w:ascii="Calibri"/>
                <w:sz w:val="18"/>
              </w:rPr>
            </w:pPr>
            <w:r>
              <w:rPr>
                <w:rFonts w:ascii="Calibri"/>
                <w:spacing w:val="-4"/>
                <w:sz w:val="18"/>
              </w:rPr>
              <w:t>$273</w:t>
            </w:r>
          </w:p>
        </w:tc>
        <w:tc>
          <w:tcPr>
            <w:tcW w:w="618" w:type="dxa"/>
          </w:tcPr>
          <w:p w:rsidR="00C31389" w:rsidRDefault="00561FBD" w14:paraId="09848FEC" w14:textId="77777777">
            <w:pPr>
              <w:pStyle w:val="TableParagraph"/>
              <w:spacing w:before="0" w:line="215" w:lineRule="exact"/>
              <w:ind w:left="105" w:right="108"/>
              <w:jc w:val="center"/>
              <w:rPr>
                <w:rFonts w:ascii="Calibri"/>
                <w:sz w:val="18"/>
              </w:rPr>
            </w:pPr>
            <w:r>
              <w:rPr>
                <w:rFonts w:ascii="Calibri"/>
                <w:spacing w:val="-4"/>
                <w:sz w:val="18"/>
              </w:rPr>
              <w:t>$298</w:t>
            </w:r>
          </w:p>
        </w:tc>
      </w:tr>
      <w:tr w:rsidR="00C31389" w14:paraId="182400F4" w14:textId="77777777">
        <w:trPr>
          <w:trHeight w:val="417"/>
        </w:trPr>
        <w:tc>
          <w:tcPr>
            <w:tcW w:w="1930" w:type="dxa"/>
            <w:tcBorders>
              <w:top w:val="single" w:color="BEBEBE" w:sz="4" w:space="0"/>
              <w:bottom w:val="single" w:color="BEBEBE" w:sz="4" w:space="0"/>
            </w:tcBorders>
          </w:tcPr>
          <w:p w:rsidR="00C31389" w:rsidRDefault="00561FBD" w14:paraId="2592FEF9" w14:textId="77777777">
            <w:pPr>
              <w:pStyle w:val="TableParagraph"/>
              <w:spacing w:before="0"/>
              <w:ind w:left="115"/>
              <w:rPr>
                <w:sz w:val="17"/>
              </w:rPr>
            </w:pPr>
            <w:r>
              <w:rPr>
                <w:sz w:val="17"/>
              </w:rPr>
              <w:t>Scenario</w:t>
            </w:r>
            <w:r>
              <w:rPr>
                <w:spacing w:val="-2"/>
                <w:sz w:val="17"/>
              </w:rPr>
              <w:t xml:space="preserve"> </w:t>
            </w:r>
            <w:r>
              <w:rPr>
                <w:sz w:val="17"/>
              </w:rPr>
              <w:t>2:</w:t>
            </w:r>
            <w:r>
              <w:rPr>
                <w:spacing w:val="-2"/>
                <w:sz w:val="17"/>
              </w:rPr>
              <w:t xml:space="preserve"> Reference</w:t>
            </w:r>
          </w:p>
          <w:p w:rsidR="00C31389" w:rsidRDefault="00561FBD" w14:paraId="134C58B2" w14:textId="77777777">
            <w:pPr>
              <w:pStyle w:val="TableParagraph"/>
              <w:spacing w:before="13" w:line="188" w:lineRule="exact"/>
              <w:ind w:left="115"/>
              <w:rPr>
                <w:sz w:val="17"/>
              </w:rPr>
            </w:pPr>
            <w:r>
              <w:rPr>
                <w:sz w:val="17"/>
              </w:rPr>
              <w:t>IRA</w:t>
            </w:r>
            <w:r>
              <w:rPr>
                <w:spacing w:val="-3"/>
                <w:sz w:val="17"/>
              </w:rPr>
              <w:t xml:space="preserve"> </w:t>
            </w:r>
            <w:r>
              <w:rPr>
                <w:sz w:val="17"/>
              </w:rPr>
              <w:t>and</w:t>
            </w:r>
            <w:r>
              <w:rPr>
                <w:spacing w:val="-2"/>
                <w:sz w:val="17"/>
              </w:rPr>
              <w:t xml:space="preserve"> </w:t>
            </w:r>
            <w:r>
              <w:rPr>
                <w:spacing w:val="-5"/>
                <w:sz w:val="17"/>
              </w:rPr>
              <w:t>FS</w:t>
            </w:r>
          </w:p>
        </w:tc>
        <w:tc>
          <w:tcPr>
            <w:tcW w:w="620" w:type="dxa"/>
          </w:tcPr>
          <w:p w:rsidR="00C31389" w:rsidRDefault="00C31389" w14:paraId="72F36E04" w14:textId="77777777">
            <w:pPr>
              <w:pStyle w:val="TableParagraph"/>
              <w:spacing w:before="9"/>
              <w:rPr>
                <w:b/>
                <w:sz w:val="15"/>
              </w:rPr>
            </w:pPr>
          </w:p>
          <w:p w:rsidR="00C31389" w:rsidRDefault="00561FBD" w14:paraId="7FD088FC" w14:textId="77777777">
            <w:pPr>
              <w:pStyle w:val="TableParagraph"/>
              <w:spacing w:before="1" w:line="215" w:lineRule="exact"/>
              <w:ind w:left="108" w:right="108"/>
              <w:jc w:val="center"/>
              <w:rPr>
                <w:rFonts w:ascii="Calibri"/>
                <w:sz w:val="18"/>
              </w:rPr>
            </w:pPr>
            <w:r>
              <w:rPr>
                <w:rFonts w:ascii="Calibri"/>
                <w:spacing w:val="-4"/>
                <w:sz w:val="18"/>
              </w:rPr>
              <w:t>$164</w:t>
            </w:r>
          </w:p>
        </w:tc>
        <w:tc>
          <w:tcPr>
            <w:tcW w:w="620" w:type="dxa"/>
          </w:tcPr>
          <w:p w:rsidR="00C31389" w:rsidRDefault="00C31389" w14:paraId="7E241D5C" w14:textId="77777777">
            <w:pPr>
              <w:pStyle w:val="TableParagraph"/>
              <w:spacing w:before="9"/>
              <w:rPr>
                <w:b/>
                <w:sz w:val="15"/>
              </w:rPr>
            </w:pPr>
          </w:p>
          <w:p w:rsidR="00C31389" w:rsidRDefault="00561FBD" w14:paraId="4A874F54" w14:textId="77777777">
            <w:pPr>
              <w:pStyle w:val="TableParagraph"/>
              <w:spacing w:before="1" w:line="215" w:lineRule="exact"/>
              <w:ind w:left="126"/>
              <w:rPr>
                <w:rFonts w:ascii="Calibri"/>
                <w:sz w:val="18"/>
              </w:rPr>
            </w:pPr>
            <w:r>
              <w:rPr>
                <w:rFonts w:ascii="Calibri"/>
                <w:spacing w:val="-4"/>
                <w:sz w:val="18"/>
              </w:rPr>
              <w:t>$189</w:t>
            </w:r>
          </w:p>
        </w:tc>
        <w:tc>
          <w:tcPr>
            <w:tcW w:w="621" w:type="dxa"/>
          </w:tcPr>
          <w:p w:rsidR="00C31389" w:rsidRDefault="00C31389" w14:paraId="43FB1B90" w14:textId="77777777">
            <w:pPr>
              <w:pStyle w:val="TableParagraph"/>
              <w:spacing w:before="9"/>
              <w:rPr>
                <w:b/>
                <w:sz w:val="15"/>
              </w:rPr>
            </w:pPr>
          </w:p>
          <w:p w:rsidR="00C31389" w:rsidRDefault="00561FBD" w14:paraId="135D392F" w14:textId="77777777">
            <w:pPr>
              <w:pStyle w:val="TableParagraph"/>
              <w:spacing w:before="1" w:line="215" w:lineRule="exact"/>
              <w:ind w:left="127"/>
              <w:rPr>
                <w:rFonts w:ascii="Calibri"/>
                <w:sz w:val="18"/>
              </w:rPr>
            </w:pPr>
            <w:r>
              <w:rPr>
                <w:rFonts w:ascii="Calibri"/>
                <w:spacing w:val="-4"/>
                <w:sz w:val="18"/>
              </w:rPr>
              <w:t>$204</w:t>
            </w:r>
          </w:p>
        </w:tc>
        <w:tc>
          <w:tcPr>
            <w:tcW w:w="620" w:type="dxa"/>
          </w:tcPr>
          <w:p w:rsidR="00C31389" w:rsidRDefault="00C31389" w14:paraId="7A6779B1" w14:textId="77777777">
            <w:pPr>
              <w:pStyle w:val="TableParagraph"/>
              <w:spacing w:before="9"/>
              <w:rPr>
                <w:b/>
                <w:sz w:val="15"/>
              </w:rPr>
            </w:pPr>
          </w:p>
          <w:p w:rsidR="00C31389" w:rsidRDefault="00561FBD" w14:paraId="6EB46F4A" w14:textId="77777777">
            <w:pPr>
              <w:pStyle w:val="TableParagraph"/>
              <w:spacing w:before="1" w:line="215" w:lineRule="exact"/>
              <w:ind w:left="107" w:right="108"/>
              <w:jc w:val="center"/>
              <w:rPr>
                <w:rFonts w:ascii="Calibri"/>
                <w:sz w:val="18"/>
              </w:rPr>
            </w:pPr>
            <w:r>
              <w:rPr>
                <w:rFonts w:ascii="Calibri"/>
                <w:spacing w:val="-4"/>
                <w:sz w:val="18"/>
              </w:rPr>
              <w:t>$215</w:t>
            </w:r>
          </w:p>
        </w:tc>
        <w:tc>
          <w:tcPr>
            <w:tcW w:w="620" w:type="dxa"/>
          </w:tcPr>
          <w:p w:rsidR="00C31389" w:rsidRDefault="00C31389" w14:paraId="1B1E4A9E" w14:textId="77777777">
            <w:pPr>
              <w:pStyle w:val="TableParagraph"/>
              <w:spacing w:before="9"/>
              <w:rPr>
                <w:b/>
                <w:sz w:val="15"/>
              </w:rPr>
            </w:pPr>
          </w:p>
          <w:p w:rsidR="00C31389" w:rsidRDefault="00561FBD" w14:paraId="7421560E" w14:textId="77777777">
            <w:pPr>
              <w:pStyle w:val="TableParagraph"/>
              <w:spacing w:before="1" w:line="215" w:lineRule="exact"/>
              <w:ind w:left="107" w:right="108"/>
              <w:jc w:val="center"/>
              <w:rPr>
                <w:rFonts w:ascii="Calibri"/>
                <w:sz w:val="18"/>
              </w:rPr>
            </w:pPr>
            <w:r>
              <w:rPr>
                <w:rFonts w:ascii="Calibri"/>
                <w:spacing w:val="-4"/>
                <w:sz w:val="18"/>
              </w:rPr>
              <w:t>$227</w:t>
            </w:r>
          </w:p>
        </w:tc>
        <w:tc>
          <w:tcPr>
            <w:tcW w:w="621" w:type="dxa"/>
          </w:tcPr>
          <w:p w:rsidR="00C31389" w:rsidRDefault="00C31389" w14:paraId="3DEF3BF1" w14:textId="77777777">
            <w:pPr>
              <w:pStyle w:val="TableParagraph"/>
              <w:spacing w:before="9"/>
              <w:rPr>
                <w:b/>
                <w:sz w:val="15"/>
              </w:rPr>
            </w:pPr>
          </w:p>
          <w:p w:rsidR="00C31389" w:rsidRDefault="00561FBD" w14:paraId="1DDB52E9" w14:textId="77777777">
            <w:pPr>
              <w:pStyle w:val="TableParagraph"/>
              <w:spacing w:before="1" w:line="215" w:lineRule="exact"/>
              <w:ind w:left="126"/>
              <w:rPr>
                <w:rFonts w:ascii="Calibri"/>
                <w:sz w:val="18"/>
              </w:rPr>
            </w:pPr>
            <w:r>
              <w:rPr>
                <w:rFonts w:ascii="Calibri"/>
                <w:spacing w:val="-4"/>
                <w:sz w:val="18"/>
              </w:rPr>
              <w:t>$237</w:t>
            </w:r>
          </w:p>
        </w:tc>
        <w:tc>
          <w:tcPr>
            <w:tcW w:w="620" w:type="dxa"/>
          </w:tcPr>
          <w:p w:rsidR="00C31389" w:rsidRDefault="00C31389" w14:paraId="02087DA1" w14:textId="77777777">
            <w:pPr>
              <w:pStyle w:val="TableParagraph"/>
              <w:spacing w:before="9"/>
              <w:rPr>
                <w:b/>
                <w:sz w:val="15"/>
              </w:rPr>
            </w:pPr>
          </w:p>
          <w:p w:rsidR="00C31389" w:rsidRDefault="00561FBD" w14:paraId="1AC839D2" w14:textId="77777777">
            <w:pPr>
              <w:pStyle w:val="TableParagraph"/>
              <w:spacing w:before="1" w:line="215" w:lineRule="exact"/>
              <w:ind w:left="125"/>
              <w:rPr>
                <w:rFonts w:ascii="Calibri"/>
                <w:sz w:val="18"/>
              </w:rPr>
            </w:pPr>
            <w:r>
              <w:rPr>
                <w:rFonts w:ascii="Calibri"/>
                <w:spacing w:val="-4"/>
                <w:sz w:val="18"/>
              </w:rPr>
              <w:t>$209</w:t>
            </w:r>
          </w:p>
        </w:tc>
        <w:tc>
          <w:tcPr>
            <w:tcW w:w="620" w:type="dxa"/>
          </w:tcPr>
          <w:p w:rsidR="00C31389" w:rsidRDefault="00C31389" w14:paraId="0E5EE6D7" w14:textId="77777777">
            <w:pPr>
              <w:pStyle w:val="TableParagraph"/>
              <w:spacing w:before="9"/>
              <w:rPr>
                <w:b/>
                <w:sz w:val="15"/>
              </w:rPr>
            </w:pPr>
          </w:p>
          <w:p w:rsidR="00C31389" w:rsidRDefault="00561FBD" w14:paraId="69CA7D66" w14:textId="77777777">
            <w:pPr>
              <w:pStyle w:val="TableParagraph"/>
              <w:spacing w:before="1" w:line="215" w:lineRule="exact"/>
              <w:ind w:left="105" w:right="108"/>
              <w:jc w:val="center"/>
              <w:rPr>
                <w:rFonts w:ascii="Calibri"/>
                <w:sz w:val="18"/>
              </w:rPr>
            </w:pPr>
            <w:r>
              <w:rPr>
                <w:rFonts w:ascii="Calibri"/>
                <w:spacing w:val="-4"/>
                <w:sz w:val="18"/>
              </w:rPr>
              <w:t>$219</w:t>
            </w:r>
          </w:p>
        </w:tc>
        <w:tc>
          <w:tcPr>
            <w:tcW w:w="621" w:type="dxa"/>
          </w:tcPr>
          <w:p w:rsidR="00C31389" w:rsidRDefault="00C31389" w14:paraId="1839B435" w14:textId="77777777">
            <w:pPr>
              <w:pStyle w:val="TableParagraph"/>
              <w:spacing w:before="9"/>
              <w:rPr>
                <w:b/>
                <w:sz w:val="15"/>
              </w:rPr>
            </w:pPr>
          </w:p>
          <w:p w:rsidR="00C31389" w:rsidRDefault="00561FBD" w14:paraId="78C31C48" w14:textId="77777777">
            <w:pPr>
              <w:pStyle w:val="TableParagraph"/>
              <w:spacing w:before="1" w:line="215" w:lineRule="exact"/>
              <w:ind w:left="106" w:right="109"/>
              <w:jc w:val="center"/>
              <w:rPr>
                <w:rFonts w:ascii="Calibri"/>
                <w:sz w:val="18"/>
              </w:rPr>
            </w:pPr>
            <w:r>
              <w:rPr>
                <w:rFonts w:ascii="Calibri"/>
                <w:spacing w:val="-4"/>
                <w:sz w:val="18"/>
              </w:rPr>
              <w:t>$237</w:t>
            </w:r>
          </w:p>
        </w:tc>
        <w:tc>
          <w:tcPr>
            <w:tcW w:w="620" w:type="dxa"/>
          </w:tcPr>
          <w:p w:rsidR="00C31389" w:rsidRDefault="00C31389" w14:paraId="7020FDD9" w14:textId="77777777">
            <w:pPr>
              <w:pStyle w:val="TableParagraph"/>
              <w:spacing w:before="9"/>
              <w:rPr>
                <w:b/>
                <w:sz w:val="15"/>
              </w:rPr>
            </w:pPr>
          </w:p>
          <w:p w:rsidR="00C31389" w:rsidRDefault="00561FBD" w14:paraId="3CB76C3D" w14:textId="77777777">
            <w:pPr>
              <w:pStyle w:val="TableParagraph"/>
              <w:spacing w:before="1" w:line="215" w:lineRule="exact"/>
              <w:ind w:left="124"/>
              <w:rPr>
                <w:rFonts w:ascii="Calibri"/>
                <w:sz w:val="18"/>
              </w:rPr>
            </w:pPr>
            <w:r>
              <w:rPr>
                <w:rFonts w:ascii="Calibri"/>
                <w:spacing w:val="-4"/>
                <w:sz w:val="18"/>
              </w:rPr>
              <w:t>$254</w:t>
            </w:r>
          </w:p>
        </w:tc>
        <w:tc>
          <w:tcPr>
            <w:tcW w:w="619" w:type="dxa"/>
          </w:tcPr>
          <w:p w:rsidR="00C31389" w:rsidRDefault="00C31389" w14:paraId="63C0241E" w14:textId="77777777">
            <w:pPr>
              <w:pStyle w:val="TableParagraph"/>
              <w:spacing w:before="9"/>
              <w:rPr>
                <w:b/>
                <w:sz w:val="15"/>
              </w:rPr>
            </w:pPr>
          </w:p>
          <w:p w:rsidR="00C31389" w:rsidRDefault="00561FBD" w14:paraId="5D36896F" w14:textId="77777777">
            <w:pPr>
              <w:pStyle w:val="TableParagraph"/>
              <w:spacing w:before="1" w:line="215" w:lineRule="exact"/>
              <w:ind w:left="123"/>
              <w:rPr>
                <w:rFonts w:ascii="Calibri"/>
                <w:sz w:val="18"/>
              </w:rPr>
            </w:pPr>
            <w:r>
              <w:rPr>
                <w:rFonts w:ascii="Calibri"/>
                <w:spacing w:val="-4"/>
                <w:sz w:val="18"/>
              </w:rPr>
              <w:t>$269</w:t>
            </w:r>
          </w:p>
        </w:tc>
        <w:tc>
          <w:tcPr>
            <w:tcW w:w="618" w:type="dxa"/>
          </w:tcPr>
          <w:p w:rsidR="00C31389" w:rsidRDefault="00C31389" w14:paraId="10434ECE" w14:textId="77777777">
            <w:pPr>
              <w:pStyle w:val="TableParagraph"/>
              <w:spacing w:before="9"/>
              <w:rPr>
                <w:b/>
                <w:sz w:val="15"/>
              </w:rPr>
            </w:pPr>
          </w:p>
          <w:p w:rsidR="00C31389" w:rsidRDefault="00561FBD" w14:paraId="0132E266" w14:textId="77777777">
            <w:pPr>
              <w:pStyle w:val="TableParagraph"/>
              <w:spacing w:before="1" w:line="215" w:lineRule="exact"/>
              <w:ind w:left="105" w:right="108"/>
              <w:jc w:val="center"/>
              <w:rPr>
                <w:rFonts w:ascii="Calibri"/>
                <w:sz w:val="18"/>
              </w:rPr>
            </w:pPr>
            <w:r>
              <w:rPr>
                <w:rFonts w:ascii="Calibri"/>
                <w:spacing w:val="-4"/>
                <w:sz w:val="18"/>
              </w:rPr>
              <w:t>$294</w:t>
            </w:r>
          </w:p>
        </w:tc>
      </w:tr>
      <w:tr w:rsidR="00C31389" w14:paraId="3665C45C" w14:textId="77777777">
        <w:trPr>
          <w:trHeight w:val="624"/>
        </w:trPr>
        <w:tc>
          <w:tcPr>
            <w:tcW w:w="1930" w:type="dxa"/>
            <w:tcBorders>
              <w:top w:val="single" w:color="BEBEBE" w:sz="4" w:space="0"/>
              <w:bottom w:val="single" w:color="BEBEBE" w:sz="4" w:space="0"/>
            </w:tcBorders>
          </w:tcPr>
          <w:p w:rsidR="00C31389" w:rsidRDefault="00561FBD" w14:paraId="38455653" w14:textId="77777777">
            <w:pPr>
              <w:pStyle w:val="TableParagraph"/>
              <w:spacing w:before="0"/>
              <w:ind w:left="115"/>
              <w:rPr>
                <w:sz w:val="17"/>
              </w:rPr>
            </w:pPr>
            <w:r>
              <w:rPr>
                <w:sz w:val="17"/>
              </w:rPr>
              <w:t>Scenario</w:t>
            </w:r>
            <w:r>
              <w:rPr>
                <w:spacing w:val="-2"/>
                <w:sz w:val="17"/>
              </w:rPr>
              <w:t xml:space="preserve"> </w:t>
            </w:r>
            <w:r>
              <w:rPr>
                <w:sz w:val="17"/>
              </w:rPr>
              <w:t>3:</w:t>
            </w:r>
            <w:r>
              <w:rPr>
                <w:spacing w:val="-2"/>
                <w:sz w:val="17"/>
              </w:rPr>
              <w:t xml:space="preserve"> Reference</w:t>
            </w:r>
          </w:p>
          <w:p w:rsidR="00C31389" w:rsidRDefault="00561FBD" w14:paraId="570D90A5" w14:textId="77777777">
            <w:pPr>
              <w:pStyle w:val="TableParagraph"/>
              <w:spacing w:before="8" w:line="200" w:lineRule="atLeast"/>
              <w:ind w:left="115" w:right="170"/>
              <w:rPr>
                <w:sz w:val="17"/>
              </w:rPr>
            </w:pPr>
            <w:r>
              <w:rPr>
                <w:sz w:val="17"/>
              </w:rPr>
              <w:t>IRA</w:t>
            </w:r>
            <w:r>
              <w:rPr>
                <w:spacing w:val="-12"/>
                <w:sz w:val="17"/>
              </w:rPr>
              <w:t xml:space="preserve"> </w:t>
            </w:r>
            <w:r>
              <w:rPr>
                <w:sz w:val="17"/>
              </w:rPr>
              <w:t>and</w:t>
            </w:r>
            <w:r>
              <w:rPr>
                <w:spacing w:val="-12"/>
                <w:sz w:val="17"/>
              </w:rPr>
              <w:t xml:space="preserve"> </w:t>
            </w:r>
            <w:r>
              <w:rPr>
                <w:sz w:val="17"/>
              </w:rPr>
              <w:t xml:space="preserve">aggressive </w:t>
            </w:r>
            <w:r>
              <w:rPr>
                <w:spacing w:val="-6"/>
                <w:sz w:val="17"/>
              </w:rPr>
              <w:t>FS</w:t>
            </w:r>
          </w:p>
        </w:tc>
        <w:tc>
          <w:tcPr>
            <w:tcW w:w="620" w:type="dxa"/>
          </w:tcPr>
          <w:p w:rsidR="00C31389" w:rsidRDefault="00C31389" w14:paraId="3E72EE0C" w14:textId="77777777">
            <w:pPr>
              <w:pStyle w:val="TableParagraph"/>
              <w:spacing w:before="0"/>
              <w:rPr>
                <w:b/>
                <w:sz w:val="18"/>
              </w:rPr>
            </w:pPr>
          </w:p>
          <w:p w:rsidR="00C31389" w:rsidRDefault="00C31389" w14:paraId="5A230F9C" w14:textId="77777777">
            <w:pPr>
              <w:pStyle w:val="TableParagraph"/>
              <w:spacing w:before="0"/>
              <w:rPr>
                <w:b/>
                <w:sz w:val="16"/>
              </w:rPr>
            </w:pPr>
          </w:p>
          <w:p w:rsidR="00C31389" w:rsidRDefault="00561FBD" w14:paraId="0E1AB7EE" w14:textId="77777777">
            <w:pPr>
              <w:pStyle w:val="TableParagraph"/>
              <w:spacing w:before="0" w:line="214" w:lineRule="exact"/>
              <w:ind w:left="108" w:right="108"/>
              <w:jc w:val="center"/>
              <w:rPr>
                <w:rFonts w:ascii="Calibri"/>
                <w:sz w:val="18"/>
              </w:rPr>
            </w:pPr>
            <w:r>
              <w:rPr>
                <w:rFonts w:ascii="Calibri"/>
                <w:spacing w:val="-4"/>
                <w:sz w:val="18"/>
              </w:rPr>
              <w:t>$165</w:t>
            </w:r>
          </w:p>
        </w:tc>
        <w:tc>
          <w:tcPr>
            <w:tcW w:w="620" w:type="dxa"/>
          </w:tcPr>
          <w:p w:rsidR="00C31389" w:rsidRDefault="00C31389" w14:paraId="320EDA49" w14:textId="77777777">
            <w:pPr>
              <w:pStyle w:val="TableParagraph"/>
              <w:spacing w:before="0"/>
              <w:rPr>
                <w:b/>
                <w:sz w:val="18"/>
              </w:rPr>
            </w:pPr>
          </w:p>
          <w:p w:rsidR="00C31389" w:rsidRDefault="00C31389" w14:paraId="7ED8FE87" w14:textId="77777777">
            <w:pPr>
              <w:pStyle w:val="TableParagraph"/>
              <w:spacing w:before="0"/>
              <w:rPr>
                <w:b/>
                <w:sz w:val="16"/>
              </w:rPr>
            </w:pPr>
          </w:p>
          <w:p w:rsidR="00C31389" w:rsidRDefault="00561FBD" w14:paraId="65A98357" w14:textId="77777777">
            <w:pPr>
              <w:pStyle w:val="TableParagraph"/>
              <w:spacing w:before="0" w:line="214" w:lineRule="exact"/>
              <w:ind w:left="126"/>
              <w:rPr>
                <w:rFonts w:ascii="Calibri"/>
                <w:sz w:val="18"/>
              </w:rPr>
            </w:pPr>
            <w:r>
              <w:rPr>
                <w:rFonts w:ascii="Calibri"/>
                <w:spacing w:val="-4"/>
                <w:sz w:val="18"/>
              </w:rPr>
              <w:t>$189</w:t>
            </w:r>
          </w:p>
        </w:tc>
        <w:tc>
          <w:tcPr>
            <w:tcW w:w="621" w:type="dxa"/>
          </w:tcPr>
          <w:p w:rsidR="00C31389" w:rsidRDefault="00C31389" w14:paraId="33209C03" w14:textId="77777777">
            <w:pPr>
              <w:pStyle w:val="TableParagraph"/>
              <w:spacing w:before="0"/>
              <w:rPr>
                <w:b/>
                <w:sz w:val="18"/>
              </w:rPr>
            </w:pPr>
          </w:p>
          <w:p w:rsidR="00C31389" w:rsidRDefault="00C31389" w14:paraId="050DFF27" w14:textId="77777777">
            <w:pPr>
              <w:pStyle w:val="TableParagraph"/>
              <w:spacing w:before="0"/>
              <w:rPr>
                <w:b/>
                <w:sz w:val="16"/>
              </w:rPr>
            </w:pPr>
          </w:p>
          <w:p w:rsidR="00C31389" w:rsidRDefault="00561FBD" w14:paraId="05022967" w14:textId="77777777">
            <w:pPr>
              <w:pStyle w:val="TableParagraph"/>
              <w:spacing w:before="0" w:line="214" w:lineRule="exact"/>
              <w:ind w:left="127"/>
              <w:rPr>
                <w:rFonts w:ascii="Calibri"/>
                <w:sz w:val="18"/>
              </w:rPr>
            </w:pPr>
            <w:r>
              <w:rPr>
                <w:rFonts w:ascii="Calibri"/>
                <w:spacing w:val="-4"/>
                <w:sz w:val="18"/>
              </w:rPr>
              <w:t>$204</w:t>
            </w:r>
          </w:p>
        </w:tc>
        <w:tc>
          <w:tcPr>
            <w:tcW w:w="620" w:type="dxa"/>
          </w:tcPr>
          <w:p w:rsidR="00C31389" w:rsidRDefault="00C31389" w14:paraId="3EFB0AAB" w14:textId="77777777">
            <w:pPr>
              <w:pStyle w:val="TableParagraph"/>
              <w:spacing w:before="0"/>
              <w:rPr>
                <w:b/>
                <w:sz w:val="18"/>
              </w:rPr>
            </w:pPr>
          </w:p>
          <w:p w:rsidR="00C31389" w:rsidRDefault="00C31389" w14:paraId="3FD50914" w14:textId="77777777">
            <w:pPr>
              <w:pStyle w:val="TableParagraph"/>
              <w:spacing w:before="0"/>
              <w:rPr>
                <w:b/>
                <w:sz w:val="16"/>
              </w:rPr>
            </w:pPr>
          </w:p>
          <w:p w:rsidR="00C31389" w:rsidRDefault="00561FBD" w14:paraId="6ACA1EA0" w14:textId="77777777">
            <w:pPr>
              <w:pStyle w:val="TableParagraph"/>
              <w:spacing w:before="0" w:line="214" w:lineRule="exact"/>
              <w:ind w:left="107" w:right="108"/>
              <w:jc w:val="center"/>
              <w:rPr>
                <w:rFonts w:ascii="Calibri"/>
                <w:sz w:val="18"/>
              </w:rPr>
            </w:pPr>
            <w:r>
              <w:rPr>
                <w:rFonts w:ascii="Calibri"/>
                <w:spacing w:val="-4"/>
                <w:sz w:val="18"/>
              </w:rPr>
              <w:t>$216</w:t>
            </w:r>
          </w:p>
        </w:tc>
        <w:tc>
          <w:tcPr>
            <w:tcW w:w="620" w:type="dxa"/>
          </w:tcPr>
          <w:p w:rsidR="00C31389" w:rsidRDefault="00C31389" w14:paraId="6705E293" w14:textId="77777777">
            <w:pPr>
              <w:pStyle w:val="TableParagraph"/>
              <w:spacing w:before="0"/>
              <w:rPr>
                <w:b/>
                <w:sz w:val="18"/>
              </w:rPr>
            </w:pPr>
          </w:p>
          <w:p w:rsidR="00C31389" w:rsidRDefault="00C31389" w14:paraId="67D20461" w14:textId="77777777">
            <w:pPr>
              <w:pStyle w:val="TableParagraph"/>
              <w:spacing w:before="0"/>
              <w:rPr>
                <w:b/>
                <w:sz w:val="16"/>
              </w:rPr>
            </w:pPr>
          </w:p>
          <w:p w:rsidR="00C31389" w:rsidRDefault="00561FBD" w14:paraId="7EFEFB6A" w14:textId="77777777">
            <w:pPr>
              <w:pStyle w:val="TableParagraph"/>
              <w:spacing w:before="0" w:line="214" w:lineRule="exact"/>
              <w:ind w:left="107" w:right="108"/>
              <w:jc w:val="center"/>
              <w:rPr>
                <w:rFonts w:ascii="Calibri"/>
                <w:sz w:val="18"/>
              </w:rPr>
            </w:pPr>
            <w:r>
              <w:rPr>
                <w:rFonts w:ascii="Calibri"/>
                <w:spacing w:val="-4"/>
                <w:sz w:val="18"/>
              </w:rPr>
              <w:t>$228</w:t>
            </w:r>
          </w:p>
        </w:tc>
        <w:tc>
          <w:tcPr>
            <w:tcW w:w="621" w:type="dxa"/>
          </w:tcPr>
          <w:p w:rsidR="00C31389" w:rsidRDefault="00C31389" w14:paraId="17000D38" w14:textId="77777777">
            <w:pPr>
              <w:pStyle w:val="TableParagraph"/>
              <w:spacing w:before="0"/>
              <w:rPr>
                <w:b/>
                <w:sz w:val="18"/>
              </w:rPr>
            </w:pPr>
          </w:p>
          <w:p w:rsidR="00C31389" w:rsidRDefault="00C31389" w14:paraId="7807CC9F" w14:textId="77777777">
            <w:pPr>
              <w:pStyle w:val="TableParagraph"/>
              <w:spacing w:before="0"/>
              <w:rPr>
                <w:b/>
                <w:sz w:val="16"/>
              </w:rPr>
            </w:pPr>
          </w:p>
          <w:p w:rsidR="00C31389" w:rsidRDefault="00561FBD" w14:paraId="5E41E134" w14:textId="77777777">
            <w:pPr>
              <w:pStyle w:val="TableParagraph"/>
              <w:spacing w:before="0" w:line="214" w:lineRule="exact"/>
              <w:ind w:left="126"/>
              <w:rPr>
                <w:rFonts w:ascii="Calibri"/>
                <w:sz w:val="18"/>
              </w:rPr>
            </w:pPr>
            <w:r>
              <w:rPr>
                <w:rFonts w:ascii="Calibri"/>
                <w:spacing w:val="-4"/>
                <w:sz w:val="18"/>
              </w:rPr>
              <w:t>$238</w:t>
            </w:r>
          </w:p>
        </w:tc>
        <w:tc>
          <w:tcPr>
            <w:tcW w:w="620" w:type="dxa"/>
          </w:tcPr>
          <w:p w:rsidR="00C31389" w:rsidRDefault="00C31389" w14:paraId="20696208" w14:textId="77777777">
            <w:pPr>
              <w:pStyle w:val="TableParagraph"/>
              <w:spacing w:before="0"/>
              <w:rPr>
                <w:b/>
                <w:sz w:val="18"/>
              </w:rPr>
            </w:pPr>
          </w:p>
          <w:p w:rsidR="00C31389" w:rsidRDefault="00C31389" w14:paraId="05E29418" w14:textId="77777777">
            <w:pPr>
              <w:pStyle w:val="TableParagraph"/>
              <w:spacing w:before="0"/>
              <w:rPr>
                <w:b/>
                <w:sz w:val="16"/>
              </w:rPr>
            </w:pPr>
          </w:p>
          <w:p w:rsidR="00C31389" w:rsidRDefault="00561FBD" w14:paraId="6057FF42" w14:textId="77777777">
            <w:pPr>
              <w:pStyle w:val="TableParagraph"/>
              <w:spacing w:before="0" w:line="214" w:lineRule="exact"/>
              <w:ind w:left="125"/>
              <w:rPr>
                <w:rFonts w:ascii="Calibri"/>
                <w:sz w:val="18"/>
              </w:rPr>
            </w:pPr>
            <w:r>
              <w:rPr>
                <w:rFonts w:ascii="Calibri"/>
                <w:spacing w:val="-4"/>
                <w:sz w:val="18"/>
              </w:rPr>
              <w:t>$209</w:t>
            </w:r>
          </w:p>
        </w:tc>
        <w:tc>
          <w:tcPr>
            <w:tcW w:w="620" w:type="dxa"/>
          </w:tcPr>
          <w:p w:rsidR="00C31389" w:rsidRDefault="00C31389" w14:paraId="2AE87D11" w14:textId="77777777">
            <w:pPr>
              <w:pStyle w:val="TableParagraph"/>
              <w:spacing w:before="0"/>
              <w:rPr>
                <w:b/>
                <w:sz w:val="18"/>
              </w:rPr>
            </w:pPr>
          </w:p>
          <w:p w:rsidR="00C31389" w:rsidRDefault="00C31389" w14:paraId="3412B2D8" w14:textId="77777777">
            <w:pPr>
              <w:pStyle w:val="TableParagraph"/>
              <w:spacing w:before="0"/>
              <w:rPr>
                <w:b/>
                <w:sz w:val="16"/>
              </w:rPr>
            </w:pPr>
          </w:p>
          <w:p w:rsidR="00C31389" w:rsidRDefault="00561FBD" w14:paraId="4C63CEC0" w14:textId="77777777">
            <w:pPr>
              <w:pStyle w:val="TableParagraph"/>
              <w:spacing w:before="0" w:line="214" w:lineRule="exact"/>
              <w:ind w:left="105" w:right="108"/>
              <w:jc w:val="center"/>
              <w:rPr>
                <w:rFonts w:ascii="Calibri"/>
                <w:sz w:val="18"/>
              </w:rPr>
            </w:pPr>
            <w:r>
              <w:rPr>
                <w:rFonts w:ascii="Calibri"/>
                <w:spacing w:val="-4"/>
                <w:sz w:val="18"/>
              </w:rPr>
              <w:t>$219</w:t>
            </w:r>
          </w:p>
        </w:tc>
        <w:tc>
          <w:tcPr>
            <w:tcW w:w="621" w:type="dxa"/>
          </w:tcPr>
          <w:p w:rsidR="00C31389" w:rsidRDefault="00C31389" w14:paraId="2BFF8420" w14:textId="77777777">
            <w:pPr>
              <w:pStyle w:val="TableParagraph"/>
              <w:spacing w:before="0"/>
              <w:rPr>
                <w:b/>
                <w:sz w:val="18"/>
              </w:rPr>
            </w:pPr>
          </w:p>
          <w:p w:rsidR="00C31389" w:rsidRDefault="00C31389" w14:paraId="047C9A71" w14:textId="77777777">
            <w:pPr>
              <w:pStyle w:val="TableParagraph"/>
              <w:spacing w:before="0"/>
              <w:rPr>
                <w:b/>
                <w:sz w:val="16"/>
              </w:rPr>
            </w:pPr>
          </w:p>
          <w:p w:rsidR="00C31389" w:rsidRDefault="00561FBD" w14:paraId="3B3D9A39" w14:textId="77777777">
            <w:pPr>
              <w:pStyle w:val="TableParagraph"/>
              <w:spacing w:before="0" w:line="214" w:lineRule="exact"/>
              <w:ind w:left="106" w:right="109"/>
              <w:jc w:val="center"/>
              <w:rPr>
                <w:rFonts w:ascii="Calibri"/>
                <w:sz w:val="18"/>
              </w:rPr>
            </w:pPr>
            <w:r>
              <w:rPr>
                <w:rFonts w:ascii="Calibri"/>
                <w:spacing w:val="-4"/>
                <w:sz w:val="18"/>
              </w:rPr>
              <w:t>$238</w:t>
            </w:r>
          </w:p>
        </w:tc>
        <w:tc>
          <w:tcPr>
            <w:tcW w:w="620" w:type="dxa"/>
          </w:tcPr>
          <w:p w:rsidR="00C31389" w:rsidRDefault="00C31389" w14:paraId="455246E3" w14:textId="77777777">
            <w:pPr>
              <w:pStyle w:val="TableParagraph"/>
              <w:spacing w:before="0"/>
              <w:rPr>
                <w:b/>
                <w:sz w:val="18"/>
              </w:rPr>
            </w:pPr>
          </w:p>
          <w:p w:rsidR="00C31389" w:rsidRDefault="00C31389" w14:paraId="00764591" w14:textId="77777777">
            <w:pPr>
              <w:pStyle w:val="TableParagraph"/>
              <w:spacing w:before="0"/>
              <w:rPr>
                <w:b/>
                <w:sz w:val="16"/>
              </w:rPr>
            </w:pPr>
          </w:p>
          <w:p w:rsidR="00C31389" w:rsidRDefault="00561FBD" w14:paraId="545769A5" w14:textId="77777777">
            <w:pPr>
              <w:pStyle w:val="TableParagraph"/>
              <w:spacing w:before="0" w:line="214" w:lineRule="exact"/>
              <w:ind w:left="124"/>
              <w:rPr>
                <w:rFonts w:ascii="Calibri"/>
                <w:sz w:val="18"/>
              </w:rPr>
            </w:pPr>
            <w:r>
              <w:rPr>
                <w:rFonts w:ascii="Calibri"/>
                <w:spacing w:val="-4"/>
                <w:sz w:val="18"/>
              </w:rPr>
              <w:t>$254</w:t>
            </w:r>
          </w:p>
        </w:tc>
        <w:tc>
          <w:tcPr>
            <w:tcW w:w="619" w:type="dxa"/>
          </w:tcPr>
          <w:p w:rsidR="00C31389" w:rsidRDefault="00C31389" w14:paraId="387CD1F5" w14:textId="77777777">
            <w:pPr>
              <w:pStyle w:val="TableParagraph"/>
              <w:spacing w:before="0"/>
              <w:rPr>
                <w:b/>
                <w:sz w:val="18"/>
              </w:rPr>
            </w:pPr>
          </w:p>
          <w:p w:rsidR="00C31389" w:rsidRDefault="00C31389" w14:paraId="278F8257" w14:textId="77777777">
            <w:pPr>
              <w:pStyle w:val="TableParagraph"/>
              <w:spacing w:before="0"/>
              <w:rPr>
                <w:b/>
                <w:sz w:val="16"/>
              </w:rPr>
            </w:pPr>
          </w:p>
          <w:p w:rsidR="00C31389" w:rsidRDefault="00561FBD" w14:paraId="47881162" w14:textId="77777777">
            <w:pPr>
              <w:pStyle w:val="TableParagraph"/>
              <w:spacing w:before="0" w:line="214" w:lineRule="exact"/>
              <w:ind w:left="124"/>
              <w:rPr>
                <w:rFonts w:ascii="Calibri"/>
                <w:sz w:val="18"/>
              </w:rPr>
            </w:pPr>
            <w:r>
              <w:rPr>
                <w:rFonts w:ascii="Calibri"/>
                <w:spacing w:val="-4"/>
                <w:sz w:val="18"/>
              </w:rPr>
              <w:t>$269</w:t>
            </w:r>
          </w:p>
        </w:tc>
        <w:tc>
          <w:tcPr>
            <w:tcW w:w="618" w:type="dxa"/>
          </w:tcPr>
          <w:p w:rsidR="00C31389" w:rsidRDefault="00C31389" w14:paraId="4A0FA4E8" w14:textId="77777777">
            <w:pPr>
              <w:pStyle w:val="TableParagraph"/>
              <w:spacing w:before="0"/>
              <w:rPr>
                <w:b/>
                <w:sz w:val="18"/>
              </w:rPr>
            </w:pPr>
          </w:p>
          <w:p w:rsidR="00C31389" w:rsidRDefault="00C31389" w14:paraId="55363CFC" w14:textId="77777777">
            <w:pPr>
              <w:pStyle w:val="TableParagraph"/>
              <w:spacing w:before="0"/>
              <w:rPr>
                <w:b/>
                <w:sz w:val="16"/>
              </w:rPr>
            </w:pPr>
          </w:p>
          <w:p w:rsidR="00C31389" w:rsidRDefault="00561FBD" w14:paraId="1CCE6E2F" w14:textId="77777777">
            <w:pPr>
              <w:pStyle w:val="TableParagraph"/>
              <w:spacing w:before="0" w:line="214" w:lineRule="exact"/>
              <w:ind w:left="106" w:right="108"/>
              <w:jc w:val="center"/>
              <w:rPr>
                <w:rFonts w:ascii="Calibri"/>
                <w:sz w:val="18"/>
              </w:rPr>
            </w:pPr>
            <w:r>
              <w:rPr>
                <w:rFonts w:ascii="Calibri"/>
                <w:spacing w:val="-4"/>
                <w:sz w:val="18"/>
              </w:rPr>
              <w:t>$294</w:t>
            </w:r>
          </w:p>
        </w:tc>
      </w:tr>
      <w:tr w:rsidR="00C31389" w14:paraId="3F479D66" w14:textId="77777777">
        <w:trPr>
          <w:trHeight w:val="626"/>
        </w:trPr>
        <w:tc>
          <w:tcPr>
            <w:tcW w:w="1930" w:type="dxa"/>
            <w:tcBorders>
              <w:top w:val="single" w:color="BEBEBE" w:sz="4" w:space="0"/>
            </w:tcBorders>
          </w:tcPr>
          <w:p w:rsidR="00C31389" w:rsidRDefault="00561FBD" w14:paraId="792ADB9B" w14:textId="77777777">
            <w:pPr>
              <w:pStyle w:val="TableParagraph"/>
              <w:spacing w:before="1" w:line="254" w:lineRule="auto"/>
              <w:ind w:left="115" w:right="170"/>
              <w:rPr>
                <w:sz w:val="17"/>
              </w:rPr>
            </w:pPr>
            <w:r>
              <w:rPr>
                <w:sz w:val="17"/>
              </w:rPr>
              <w:t>Scenario 4: Aggressive</w:t>
            </w:r>
            <w:r>
              <w:rPr>
                <w:spacing w:val="-12"/>
                <w:sz w:val="17"/>
              </w:rPr>
              <w:t xml:space="preserve"> </w:t>
            </w:r>
            <w:r>
              <w:rPr>
                <w:sz w:val="17"/>
              </w:rPr>
              <w:t>IRA</w:t>
            </w:r>
            <w:r>
              <w:rPr>
                <w:spacing w:val="-12"/>
                <w:sz w:val="17"/>
              </w:rPr>
              <w:t xml:space="preserve"> </w:t>
            </w:r>
            <w:r>
              <w:rPr>
                <w:sz w:val="17"/>
              </w:rPr>
              <w:t>and</w:t>
            </w:r>
          </w:p>
          <w:p w:rsidR="00C31389" w:rsidRDefault="00561FBD" w14:paraId="7C37AF82" w14:textId="77777777">
            <w:pPr>
              <w:pStyle w:val="TableParagraph"/>
              <w:spacing w:before="2" w:line="189" w:lineRule="exact"/>
              <w:ind w:left="115"/>
              <w:rPr>
                <w:sz w:val="17"/>
              </w:rPr>
            </w:pPr>
            <w:r>
              <w:rPr>
                <w:sz w:val="17"/>
              </w:rPr>
              <w:t>reference</w:t>
            </w:r>
            <w:r>
              <w:rPr>
                <w:spacing w:val="-7"/>
                <w:sz w:val="17"/>
              </w:rPr>
              <w:t xml:space="preserve"> </w:t>
            </w:r>
            <w:r>
              <w:rPr>
                <w:spacing w:val="-5"/>
                <w:sz w:val="17"/>
              </w:rPr>
              <w:t>FS</w:t>
            </w:r>
          </w:p>
        </w:tc>
        <w:tc>
          <w:tcPr>
            <w:tcW w:w="620" w:type="dxa"/>
          </w:tcPr>
          <w:p w:rsidR="00C31389" w:rsidRDefault="00C31389" w14:paraId="7F550522" w14:textId="77777777">
            <w:pPr>
              <w:pStyle w:val="TableParagraph"/>
              <w:spacing w:before="0"/>
              <w:rPr>
                <w:b/>
                <w:sz w:val="18"/>
              </w:rPr>
            </w:pPr>
          </w:p>
          <w:p w:rsidR="00C31389" w:rsidRDefault="00C31389" w14:paraId="7BB2F3BE" w14:textId="77777777">
            <w:pPr>
              <w:pStyle w:val="TableParagraph"/>
              <w:spacing w:before="0"/>
              <w:rPr>
                <w:b/>
                <w:sz w:val="16"/>
              </w:rPr>
            </w:pPr>
          </w:p>
          <w:p w:rsidR="00C31389" w:rsidRDefault="00561FBD" w14:paraId="1B3DACBF" w14:textId="77777777">
            <w:pPr>
              <w:pStyle w:val="TableParagraph"/>
              <w:spacing w:before="0" w:line="215" w:lineRule="exact"/>
              <w:ind w:left="108" w:right="108"/>
              <w:jc w:val="center"/>
              <w:rPr>
                <w:rFonts w:ascii="Calibri"/>
                <w:sz w:val="18"/>
              </w:rPr>
            </w:pPr>
            <w:r>
              <w:rPr>
                <w:rFonts w:ascii="Calibri"/>
                <w:spacing w:val="-4"/>
                <w:sz w:val="18"/>
              </w:rPr>
              <w:t>$166</w:t>
            </w:r>
          </w:p>
        </w:tc>
        <w:tc>
          <w:tcPr>
            <w:tcW w:w="620" w:type="dxa"/>
          </w:tcPr>
          <w:p w:rsidR="00C31389" w:rsidRDefault="00C31389" w14:paraId="2818E472" w14:textId="77777777">
            <w:pPr>
              <w:pStyle w:val="TableParagraph"/>
              <w:spacing w:before="0"/>
              <w:rPr>
                <w:b/>
                <w:sz w:val="18"/>
              </w:rPr>
            </w:pPr>
          </w:p>
          <w:p w:rsidR="00C31389" w:rsidRDefault="00C31389" w14:paraId="5E00A0B6" w14:textId="77777777">
            <w:pPr>
              <w:pStyle w:val="TableParagraph"/>
              <w:spacing w:before="0"/>
              <w:rPr>
                <w:b/>
                <w:sz w:val="16"/>
              </w:rPr>
            </w:pPr>
          </w:p>
          <w:p w:rsidR="00C31389" w:rsidRDefault="00561FBD" w14:paraId="592241E7" w14:textId="77777777">
            <w:pPr>
              <w:pStyle w:val="TableParagraph"/>
              <w:spacing w:before="0" w:line="215" w:lineRule="exact"/>
              <w:ind w:left="126"/>
              <w:rPr>
                <w:rFonts w:ascii="Calibri"/>
                <w:sz w:val="18"/>
              </w:rPr>
            </w:pPr>
            <w:r>
              <w:rPr>
                <w:rFonts w:ascii="Calibri"/>
                <w:spacing w:val="-4"/>
                <w:sz w:val="18"/>
              </w:rPr>
              <w:t>$189</w:t>
            </w:r>
          </w:p>
        </w:tc>
        <w:tc>
          <w:tcPr>
            <w:tcW w:w="621" w:type="dxa"/>
          </w:tcPr>
          <w:p w:rsidR="00C31389" w:rsidRDefault="00C31389" w14:paraId="12472851" w14:textId="77777777">
            <w:pPr>
              <w:pStyle w:val="TableParagraph"/>
              <w:spacing w:before="0"/>
              <w:rPr>
                <w:b/>
                <w:sz w:val="18"/>
              </w:rPr>
            </w:pPr>
          </w:p>
          <w:p w:rsidR="00C31389" w:rsidRDefault="00C31389" w14:paraId="4EE26665" w14:textId="77777777">
            <w:pPr>
              <w:pStyle w:val="TableParagraph"/>
              <w:spacing w:before="0"/>
              <w:rPr>
                <w:b/>
                <w:sz w:val="16"/>
              </w:rPr>
            </w:pPr>
          </w:p>
          <w:p w:rsidR="00C31389" w:rsidRDefault="00561FBD" w14:paraId="5E7F08A8" w14:textId="77777777">
            <w:pPr>
              <w:pStyle w:val="TableParagraph"/>
              <w:spacing w:before="0" w:line="215" w:lineRule="exact"/>
              <w:ind w:left="127"/>
              <w:rPr>
                <w:rFonts w:ascii="Calibri"/>
                <w:sz w:val="18"/>
              </w:rPr>
            </w:pPr>
            <w:r>
              <w:rPr>
                <w:rFonts w:ascii="Calibri"/>
                <w:spacing w:val="-4"/>
                <w:sz w:val="18"/>
              </w:rPr>
              <w:t>$204</w:t>
            </w:r>
          </w:p>
        </w:tc>
        <w:tc>
          <w:tcPr>
            <w:tcW w:w="620" w:type="dxa"/>
          </w:tcPr>
          <w:p w:rsidR="00C31389" w:rsidRDefault="00C31389" w14:paraId="4A7BF850" w14:textId="77777777">
            <w:pPr>
              <w:pStyle w:val="TableParagraph"/>
              <w:spacing w:before="0"/>
              <w:rPr>
                <w:b/>
                <w:sz w:val="18"/>
              </w:rPr>
            </w:pPr>
          </w:p>
          <w:p w:rsidR="00C31389" w:rsidRDefault="00C31389" w14:paraId="10F1E264" w14:textId="77777777">
            <w:pPr>
              <w:pStyle w:val="TableParagraph"/>
              <w:spacing w:before="0"/>
              <w:rPr>
                <w:b/>
                <w:sz w:val="16"/>
              </w:rPr>
            </w:pPr>
          </w:p>
          <w:p w:rsidR="00C31389" w:rsidRDefault="00561FBD" w14:paraId="2A86DB30" w14:textId="77777777">
            <w:pPr>
              <w:pStyle w:val="TableParagraph"/>
              <w:spacing w:before="0" w:line="215" w:lineRule="exact"/>
              <w:ind w:left="107" w:right="108"/>
              <w:jc w:val="center"/>
              <w:rPr>
                <w:rFonts w:ascii="Calibri"/>
                <w:sz w:val="18"/>
              </w:rPr>
            </w:pPr>
            <w:r>
              <w:rPr>
                <w:rFonts w:ascii="Calibri"/>
                <w:spacing w:val="-4"/>
                <w:sz w:val="18"/>
              </w:rPr>
              <w:t>$216</w:t>
            </w:r>
          </w:p>
        </w:tc>
        <w:tc>
          <w:tcPr>
            <w:tcW w:w="620" w:type="dxa"/>
          </w:tcPr>
          <w:p w:rsidR="00C31389" w:rsidRDefault="00C31389" w14:paraId="12939782" w14:textId="77777777">
            <w:pPr>
              <w:pStyle w:val="TableParagraph"/>
              <w:spacing w:before="0"/>
              <w:rPr>
                <w:b/>
                <w:sz w:val="18"/>
              </w:rPr>
            </w:pPr>
          </w:p>
          <w:p w:rsidR="00C31389" w:rsidRDefault="00C31389" w14:paraId="43280C40" w14:textId="77777777">
            <w:pPr>
              <w:pStyle w:val="TableParagraph"/>
              <w:spacing w:before="0"/>
              <w:rPr>
                <w:b/>
                <w:sz w:val="16"/>
              </w:rPr>
            </w:pPr>
          </w:p>
          <w:p w:rsidR="00C31389" w:rsidRDefault="00561FBD" w14:paraId="726ACBAA" w14:textId="77777777">
            <w:pPr>
              <w:pStyle w:val="TableParagraph"/>
              <w:spacing w:before="0" w:line="215" w:lineRule="exact"/>
              <w:ind w:left="107" w:right="108"/>
              <w:jc w:val="center"/>
              <w:rPr>
                <w:rFonts w:ascii="Calibri"/>
                <w:sz w:val="18"/>
              </w:rPr>
            </w:pPr>
            <w:r>
              <w:rPr>
                <w:rFonts w:ascii="Calibri"/>
                <w:spacing w:val="-4"/>
                <w:sz w:val="18"/>
              </w:rPr>
              <w:t>$228</w:t>
            </w:r>
          </w:p>
        </w:tc>
        <w:tc>
          <w:tcPr>
            <w:tcW w:w="621" w:type="dxa"/>
          </w:tcPr>
          <w:p w:rsidR="00C31389" w:rsidRDefault="00C31389" w14:paraId="06141F7D" w14:textId="77777777">
            <w:pPr>
              <w:pStyle w:val="TableParagraph"/>
              <w:spacing w:before="0"/>
              <w:rPr>
                <w:b/>
                <w:sz w:val="18"/>
              </w:rPr>
            </w:pPr>
          </w:p>
          <w:p w:rsidR="00C31389" w:rsidRDefault="00C31389" w14:paraId="4D08B316" w14:textId="77777777">
            <w:pPr>
              <w:pStyle w:val="TableParagraph"/>
              <w:spacing w:before="0"/>
              <w:rPr>
                <w:b/>
                <w:sz w:val="16"/>
              </w:rPr>
            </w:pPr>
          </w:p>
          <w:p w:rsidR="00C31389" w:rsidRDefault="00561FBD" w14:paraId="61CB2111" w14:textId="77777777">
            <w:pPr>
              <w:pStyle w:val="TableParagraph"/>
              <w:spacing w:before="0" w:line="215" w:lineRule="exact"/>
              <w:ind w:left="126"/>
              <w:rPr>
                <w:rFonts w:ascii="Calibri"/>
                <w:sz w:val="18"/>
              </w:rPr>
            </w:pPr>
            <w:r>
              <w:rPr>
                <w:rFonts w:ascii="Calibri"/>
                <w:spacing w:val="-4"/>
                <w:sz w:val="18"/>
              </w:rPr>
              <w:t>$238</w:t>
            </w:r>
          </w:p>
        </w:tc>
        <w:tc>
          <w:tcPr>
            <w:tcW w:w="620" w:type="dxa"/>
          </w:tcPr>
          <w:p w:rsidR="00C31389" w:rsidRDefault="00C31389" w14:paraId="48C06D5B" w14:textId="77777777">
            <w:pPr>
              <w:pStyle w:val="TableParagraph"/>
              <w:spacing w:before="0"/>
              <w:rPr>
                <w:b/>
                <w:sz w:val="18"/>
              </w:rPr>
            </w:pPr>
          </w:p>
          <w:p w:rsidR="00C31389" w:rsidRDefault="00C31389" w14:paraId="19301048" w14:textId="77777777">
            <w:pPr>
              <w:pStyle w:val="TableParagraph"/>
              <w:spacing w:before="0"/>
              <w:rPr>
                <w:b/>
                <w:sz w:val="16"/>
              </w:rPr>
            </w:pPr>
          </w:p>
          <w:p w:rsidR="00C31389" w:rsidRDefault="00561FBD" w14:paraId="63ED53ED" w14:textId="77777777">
            <w:pPr>
              <w:pStyle w:val="TableParagraph"/>
              <w:spacing w:before="0" w:line="215" w:lineRule="exact"/>
              <w:ind w:left="125"/>
              <w:rPr>
                <w:rFonts w:ascii="Calibri"/>
                <w:sz w:val="18"/>
              </w:rPr>
            </w:pPr>
            <w:r>
              <w:rPr>
                <w:rFonts w:ascii="Calibri"/>
                <w:spacing w:val="-4"/>
                <w:sz w:val="18"/>
              </w:rPr>
              <w:t>$209</w:t>
            </w:r>
          </w:p>
        </w:tc>
        <w:tc>
          <w:tcPr>
            <w:tcW w:w="620" w:type="dxa"/>
          </w:tcPr>
          <w:p w:rsidR="00C31389" w:rsidRDefault="00C31389" w14:paraId="22B986AA" w14:textId="77777777">
            <w:pPr>
              <w:pStyle w:val="TableParagraph"/>
              <w:spacing w:before="0"/>
              <w:rPr>
                <w:b/>
                <w:sz w:val="18"/>
              </w:rPr>
            </w:pPr>
          </w:p>
          <w:p w:rsidR="00C31389" w:rsidRDefault="00C31389" w14:paraId="426FD9E3" w14:textId="77777777">
            <w:pPr>
              <w:pStyle w:val="TableParagraph"/>
              <w:spacing w:before="0"/>
              <w:rPr>
                <w:b/>
                <w:sz w:val="16"/>
              </w:rPr>
            </w:pPr>
          </w:p>
          <w:p w:rsidR="00C31389" w:rsidRDefault="00561FBD" w14:paraId="5806A0CC" w14:textId="77777777">
            <w:pPr>
              <w:pStyle w:val="TableParagraph"/>
              <w:spacing w:before="0" w:line="215" w:lineRule="exact"/>
              <w:ind w:left="105" w:right="108"/>
              <w:jc w:val="center"/>
              <w:rPr>
                <w:rFonts w:ascii="Calibri"/>
                <w:sz w:val="18"/>
              </w:rPr>
            </w:pPr>
            <w:r>
              <w:rPr>
                <w:rFonts w:ascii="Calibri"/>
                <w:spacing w:val="-4"/>
                <w:sz w:val="18"/>
              </w:rPr>
              <w:t>$219</w:t>
            </w:r>
          </w:p>
        </w:tc>
        <w:tc>
          <w:tcPr>
            <w:tcW w:w="621" w:type="dxa"/>
          </w:tcPr>
          <w:p w:rsidR="00C31389" w:rsidRDefault="00C31389" w14:paraId="115388F4" w14:textId="77777777">
            <w:pPr>
              <w:pStyle w:val="TableParagraph"/>
              <w:spacing w:before="0"/>
              <w:rPr>
                <w:b/>
                <w:sz w:val="18"/>
              </w:rPr>
            </w:pPr>
          </w:p>
          <w:p w:rsidR="00C31389" w:rsidRDefault="00C31389" w14:paraId="4CB9C01F" w14:textId="77777777">
            <w:pPr>
              <w:pStyle w:val="TableParagraph"/>
              <w:spacing w:before="0"/>
              <w:rPr>
                <w:b/>
                <w:sz w:val="16"/>
              </w:rPr>
            </w:pPr>
          </w:p>
          <w:p w:rsidR="00C31389" w:rsidRDefault="00561FBD" w14:paraId="0D0C4A0B" w14:textId="77777777">
            <w:pPr>
              <w:pStyle w:val="TableParagraph"/>
              <w:spacing w:before="0" w:line="215" w:lineRule="exact"/>
              <w:ind w:left="106" w:right="109"/>
              <w:jc w:val="center"/>
              <w:rPr>
                <w:rFonts w:ascii="Calibri"/>
                <w:sz w:val="18"/>
              </w:rPr>
            </w:pPr>
            <w:r>
              <w:rPr>
                <w:rFonts w:ascii="Calibri"/>
                <w:spacing w:val="-4"/>
                <w:sz w:val="18"/>
              </w:rPr>
              <w:t>$237</w:t>
            </w:r>
          </w:p>
        </w:tc>
        <w:tc>
          <w:tcPr>
            <w:tcW w:w="620" w:type="dxa"/>
          </w:tcPr>
          <w:p w:rsidR="00C31389" w:rsidRDefault="00C31389" w14:paraId="2B81473D" w14:textId="77777777">
            <w:pPr>
              <w:pStyle w:val="TableParagraph"/>
              <w:spacing w:before="0"/>
              <w:rPr>
                <w:b/>
                <w:sz w:val="18"/>
              </w:rPr>
            </w:pPr>
          </w:p>
          <w:p w:rsidR="00C31389" w:rsidRDefault="00C31389" w14:paraId="1996AE54" w14:textId="77777777">
            <w:pPr>
              <w:pStyle w:val="TableParagraph"/>
              <w:spacing w:before="0"/>
              <w:rPr>
                <w:b/>
                <w:sz w:val="16"/>
              </w:rPr>
            </w:pPr>
          </w:p>
          <w:p w:rsidR="00C31389" w:rsidRDefault="00561FBD" w14:paraId="44AA84B6" w14:textId="77777777">
            <w:pPr>
              <w:pStyle w:val="TableParagraph"/>
              <w:spacing w:before="0" w:line="215" w:lineRule="exact"/>
              <w:ind w:left="124"/>
              <w:rPr>
                <w:rFonts w:ascii="Calibri"/>
                <w:sz w:val="18"/>
              </w:rPr>
            </w:pPr>
            <w:r>
              <w:rPr>
                <w:rFonts w:ascii="Calibri"/>
                <w:spacing w:val="-4"/>
                <w:sz w:val="18"/>
              </w:rPr>
              <w:t>$254</w:t>
            </w:r>
          </w:p>
        </w:tc>
        <w:tc>
          <w:tcPr>
            <w:tcW w:w="619" w:type="dxa"/>
          </w:tcPr>
          <w:p w:rsidR="00C31389" w:rsidRDefault="00C31389" w14:paraId="5CB21CCC" w14:textId="77777777">
            <w:pPr>
              <w:pStyle w:val="TableParagraph"/>
              <w:spacing w:before="0"/>
              <w:rPr>
                <w:b/>
                <w:sz w:val="18"/>
              </w:rPr>
            </w:pPr>
          </w:p>
          <w:p w:rsidR="00C31389" w:rsidRDefault="00C31389" w14:paraId="3807A06B" w14:textId="77777777">
            <w:pPr>
              <w:pStyle w:val="TableParagraph"/>
              <w:spacing w:before="0"/>
              <w:rPr>
                <w:b/>
                <w:sz w:val="16"/>
              </w:rPr>
            </w:pPr>
          </w:p>
          <w:p w:rsidR="00C31389" w:rsidRDefault="00561FBD" w14:paraId="17A1E857" w14:textId="77777777">
            <w:pPr>
              <w:pStyle w:val="TableParagraph"/>
              <w:spacing w:before="0" w:line="215" w:lineRule="exact"/>
              <w:ind w:left="123"/>
              <w:rPr>
                <w:rFonts w:ascii="Calibri"/>
                <w:sz w:val="18"/>
              </w:rPr>
            </w:pPr>
            <w:r>
              <w:rPr>
                <w:rFonts w:ascii="Calibri"/>
                <w:spacing w:val="-4"/>
                <w:sz w:val="18"/>
              </w:rPr>
              <w:t>$269</w:t>
            </w:r>
          </w:p>
        </w:tc>
        <w:tc>
          <w:tcPr>
            <w:tcW w:w="618" w:type="dxa"/>
          </w:tcPr>
          <w:p w:rsidR="00C31389" w:rsidRDefault="00C31389" w14:paraId="395AFF50" w14:textId="77777777">
            <w:pPr>
              <w:pStyle w:val="TableParagraph"/>
              <w:spacing w:before="0"/>
              <w:rPr>
                <w:b/>
                <w:sz w:val="18"/>
              </w:rPr>
            </w:pPr>
          </w:p>
          <w:p w:rsidR="00C31389" w:rsidRDefault="00C31389" w14:paraId="73017242" w14:textId="77777777">
            <w:pPr>
              <w:pStyle w:val="TableParagraph"/>
              <w:spacing w:before="0"/>
              <w:rPr>
                <w:b/>
                <w:sz w:val="16"/>
              </w:rPr>
            </w:pPr>
          </w:p>
          <w:p w:rsidR="00C31389" w:rsidRDefault="00561FBD" w14:paraId="198931C9" w14:textId="77777777">
            <w:pPr>
              <w:pStyle w:val="TableParagraph"/>
              <w:spacing w:before="0" w:line="215" w:lineRule="exact"/>
              <w:ind w:left="105" w:right="108"/>
              <w:jc w:val="center"/>
              <w:rPr>
                <w:rFonts w:ascii="Calibri"/>
                <w:sz w:val="18"/>
              </w:rPr>
            </w:pPr>
            <w:r>
              <w:rPr>
                <w:rFonts w:ascii="Calibri"/>
                <w:spacing w:val="-4"/>
                <w:sz w:val="18"/>
              </w:rPr>
              <w:t>$294</w:t>
            </w:r>
          </w:p>
        </w:tc>
      </w:tr>
      <w:tr w:rsidR="00C31389" w14:paraId="48219858" w14:textId="77777777">
        <w:trPr>
          <w:trHeight w:val="238"/>
        </w:trPr>
        <w:tc>
          <w:tcPr>
            <w:tcW w:w="1930" w:type="dxa"/>
            <w:shd w:val="clear" w:color="auto" w:fill="BEBEBE"/>
          </w:tcPr>
          <w:p w:rsidR="00C31389" w:rsidRDefault="00561FBD" w14:paraId="396E206E" w14:textId="77777777">
            <w:pPr>
              <w:pStyle w:val="TableParagraph"/>
              <w:spacing w:before="30" w:line="189" w:lineRule="exact"/>
              <w:ind w:left="115"/>
              <w:rPr>
                <w:b/>
                <w:sz w:val="17"/>
              </w:rPr>
            </w:pPr>
            <w:r>
              <w:rPr>
                <w:b/>
                <w:spacing w:val="-4"/>
                <w:sz w:val="17"/>
              </w:rPr>
              <w:t>SDG&amp;E</w:t>
            </w:r>
          </w:p>
        </w:tc>
        <w:tc>
          <w:tcPr>
            <w:tcW w:w="620" w:type="dxa"/>
            <w:shd w:val="clear" w:color="auto" w:fill="BEBEBE"/>
          </w:tcPr>
          <w:p w:rsidR="00C31389" w:rsidRDefault="00C31389" w14:paraId="50DEF5A6" w14:textId="77777777">
            <w:pPr>
              <w:pStyle w:val="TableParagraph"/>
              <w:spacing w:before="0"/>
              <w:rPr>
                <w:rFonts w:ascii="Times New Roman"/>
                <w:sz w:val="16"/>
              </w:rPr>
            </w:pPr>
          </w:p>
        </w:tc>
        <w:tc>
          <w:tcPr>
            <w:tcW w:w="620" w:type="dxa"/>
            <w:shd w:val="clear" w:color="auto" w:fill="BEBEBE"/>
          </w:tcPr>
          <w:p w:rsidR="00C31389" w:rsidRDefault="00C31389" w14:paraId="1482CB68" w14:textId="77777777">
            <w:pPr>
              <w:pStyle w:val="TableParagraph"/>
              <w:spacing w:before="0"/>
              <w:rPr>
                <w:rFonts w:ascii="Times New Roman"/>
                <w:sz w:val="16"/>
              </w:rPr>
            </w:pPr>
          </w:p>
        </w:tc>
        <w:tc>
          <w:tcPr>
            <w:tcW w:w="621" w:type="dxa"/>
            <w:shd w:val="clear" w:color="auto" w:fill="BEBEBE"/>
          </w:tcPr>
          <w:p w:rsidR="00C31389" w:rsidRDefault="00C31389" w14:paraId="78C2100C" w14:textId="77777777">
            <w:pPr>
              <w:pStyle w:val="TableParagraph"/>
              <w:spacing w:before="0"/>
              <w:rPr>
                <w:rFonts w:ascii="Times New Roman"/>
                <w:sz w:val="16"/>
              </w:rPr>
            </w:pPr>
          </w:p>
        </w:tc>
        <w:tc>
          <w:tcPr>
            <w:tcW w:w="620" w:type="dxa"/>
            <w:shd w:val="clear" w:color="auto" w:fill="BEBEBE"/>
          </w:tcPr>
          <w:p w:rsidR="00C31389" w:rsidRDefault="00C31389" w14:paraId="47EE9033" w14:textId="77777777">
            <w:pPr>
              <w:pStyle w:val="TableParagraph"/>
              <w:spacing w:before="0"/>
              <w:rPr>
                <w:rFonts w:ascii="Times New Roman"/>
                <w:sz w:val="16"/>
              </w:rPr>
            </w:pPr>
          </w:p>
        </w:tc>
        <w:tc>
          <w:tcPr>
            <w:tcW w:w="620" w:type="dxa"/>
            <w:shd w:val="clear" w:color="auto" w:fill="BEBEBE"/>
          </w:tcPr>
          <w:p w:rsidR="00C31389" w:rsidRDefault="00C31389" w14:paraId="261EC77A" w14:textId="77777777">
            <w:pPr>
              <w:pStyle w:val="TableParagraph"/>
              <w:spacing w:before="0"/>
              <w:rPr>
                <w:rFonts w:ascii="Times New Roman"/>
                <w:sz w:val="16"/>
              </w:rPr>
            </w:pPr>
          </w:p>
        </w:tc>
        <w:tc>
          <w:tcPr>
            <w:tcW w:w="621" w:type="dxa"/>
            <w:shd w:val="clear" w:color="auto" w:fill="BEBEBE"/>
          </w:tcPr>
          <w:p w:rsidR="00C31389" w:rsidRDefault="00C31389" w14:paraId="05D749B9" w14:textId="77777777">
            <w:pPr>
              <w:pStyle w:val="TableParagraph"/>
              <w:spacing w:before="0"/>
              <w:rPr>
                <w:rFonts w:ascii="Times New Roman"/>
                <w:sz w:val="16"/>
              </w:rPr>
            </w:pPr>
          </w:p>
        </w:tc>
        <w:tc>
          <w:tcPr>
            <w:tcW w:w="620" w:type="dxa"/>
            <w:shd w:val="clear" w:color="auto" w:fill="BEBEBE"/>
          </w:tcPr>
          <w:p w:rsidR="00C31389" w:rsidRDefault="00C31389" w14:paraId="2F33ECBD" w14:textId="77777777">
            <w:pPr>
              <w:pStyle w:val="TableParagraph"/>
              <w:spacing w:before="0"/>
              <w:rPr>
                <w:rFonts w:ascii="Times New Roman"/>
                <w:sz w:val="16"/>
              </w:rPr>
            </w:pPr>
          </w:p>
        </w:tc>
        <w:tc>
          <w:tcPr>
            <w:tcW w:w="620" w:type="dxa"/>
            <w:shd w:val="clear" w:color="auto" w:fill="BEBEBE"/>
          </w:tcPr>
          <w:p w:rsidR="00C31389" w:rsidRDefault="00C31389" w14:paraId="760DE0C7" w14:textId="77777777">
            <w:pPr>
              <w:pStyle w:val="TableParagraph"/>
              <w:spacing w:before="0"/>
              <w:rPr>
                <w:rFonts w:ascii="Times New Roman"/>
                <w:sz w:val="16"/>
              </w:rPr>
            </w:pPr>
          </w:p>
        </w:tc>
        <w:tc>
          <w:tcPr>
            <w:tcW w:w="621" w:type="dxa"/>
            <w:shd w:val="clear" w:color="auto" w:fill="BEBEBE"/>
          </w:tcPr>
          <w:p w:rsidR="00C31389" w:rsidRDefault="00C31389" w14:paraId="0D75357F" w14:textId="77777777">
            <w:pPr>
              <w:pStyle w:val="TableParagraph"/>
              <w:spacing w:before="0"/>
              <w:rPr>
                <w:rFonts w:ascii="Times New Roman"/>
                <w:sz w:val="16"/>
              </w:rPr>
            </w:pPr>
          </w:p>
        </w:tc>
        <w:tc>
          <w:tcPr>
            <w:tcW w:w="620" w:type="dxa"/>
            <w:shd w:val="clear" w:color="auto" w:fill="BEBEBE"/>
          </w:tcPr>
          <w:p w:rsidR="00C31389" w:rsidRDefault="00C31389" w14:paraId="6491FEB5" w14:textId="77777777">
            <w:pPr>
              <w:pStyle w:val="TableParagraph"/>
              <w:spacing w:before="0"/>
              <w:rPr>
                <w:rFonts w:ascii="Times New Roman"/>
                <w:sz w:val="16"/>
              </w:rPr>
            </w:pPr>
          </w:p>
        </w:tc>
        <w:tc>
          <w:tcPr>
            <w:tcW w:w="619" w:type="dxa"/>
            <w:shd w:val="clear" w:color="auto" w:fill="BEBEBE"/>
          </w:tcPr>
          <w:p w:rsidR="00C31389" w:rsidRDefault="00C31389" w14:paraId="4FE56116" w14:textId="77777777">
            <w:pPr>
              <w:pStyle w:val="TableParagraph"/>
              <w:spacing w:before="0"/>
              <w:rPr>
                <w:rFonts w:ascii="Times New Roman"/>
                <w:sz w:val="16"/>
              </w:rPr>
            </w:pPr>
          </w:p>
        </w:tc>
        <w:tc>
          <w:tcPr>
            <w:tcW w:w="618" w:type="dxa"/>
            <w:shd w:val="clear" w:color="auto" w:fill="BEBEBE"/>
          </w:tcPr>
          <w:p w:rsidR="00C31389" w:rsidRDefault="00C31389" w14:paraId="2DCA6215" w14:textId="77777777">
            <w:pPr>
              <w:pStyle w:val="TableParagraph"/>
              <w:spacing w:before="0"/>
              <w:rPr>
                <w:rFonts w:ascii="Times New Roman"/>
                <w:sz w:val="16"/>
              </w:rPr>
            </w:pPr>
          </w:p>
        </w:tc>
      </w:tr>
      <w:tr w:rsidR="00C31389" w14:paraId="6730F953" w14:textId="77777777">
        <w:trPr>
          <w:trHeight w:val="233"/>
        </w:trPr>
        <w:tc>
          <w:tcPr>
            <w:tcW w:w="1930" w:type="dxa"/>
            <w:tcBorders>
              <w:bottom w:val="single" w:color="BEBEBE" w:sz="4" w:space="0"/>
            </w:tcBorders>
          </w:tcPr>
          <w:p w:rsidR="00C31389" w:rsidRDefault="00561FBD" w14:paraId="4BDE4435" w14:textId="77777777">
            <w:pPr>
              <w:pStyle w:val="TableParagraph"/>
              <w:spacing w:before="0"/>
              <w:ind w:left="115"/>
              <w:rPr>
                <w:sz w:val="17"/>
              </w:rPr>
            </w:pPr>
            <w:r>
              <w:rPr>
                <w:sz w:val="17"/>
              </w:rPr>
              <w:t>Scenario</w:t>
            </w:r>
            <w:r>
              <w:rPr>
                <w:spacing w:val="-2"/>
                <w:sz w:val="17"/>
              </w:rPr>
              <w:t xml:space="preserve"> </w:t>
            </w:r>
            <w:r>
              <w:rPr>
                <w:sz w:val="17"/>
              </w:rPr>
              <w:t>1:</w:t>
            </w:r>
            <w:r>
              <w:rPr>
                <w:spacing w:val="-2"/>
                <w:sz w:val="17"/>
              </w:rPr>
              <w:t xml:space="preserve"> </w:t>
            </w:r>
            <w:r>
              <w:rPr>
                <w:sz w:val="17"/>
              </w:rPr>
              <w:t>No</w:t>
            </w:r>
            <w:r>
              <w:rPr>
                <w:spacing w:val="-1"/>
                <w:sz w:val="17"/>
              </w:rPr>
              <w:t xml:space="preserve"> </w:t>
            </w:r>
            <w:r>
              <w:rPr>
                <w:spacing w:val="-5"/>
                <w:sz w:val="17"/>
              </w:rPr>
              <w:t>IRA</w:t>
            </w:r>
          </w:p>
        </w:tc>
        <w:tc>
          <w:tcPr>
            <w:tcW w:w="620" w:type="dxa"/>
          </w:tcPr>
          <w:p w:rsidR="00C31389" w:rsidRDefault="00561FBD" w14:paraId="28EB6FBC" w14:textId="77777777">
            <w:pPr>
              <w:pStyle w:val="TableParagraph"/>
              <w:spacing w:before="0" w:line="214" w:lineRule="exact"/>
              <w:ind w:left="108" w:right="108"/>
              <w:jc w:val="center"/>
              <w:rPr>
                <w:rFonts w:ascii="Calibri"/>
                <w:sz w:val="18"/>
              </w:rPr>
            </w:pPr>
            <w:r>
              <w:rPr>
                <w:rFonts w:ascii="Calibri"/>
                <w:spacing w:val="-5"/>
                <w:sz w:val="18"/>
              </w:rPr>
              <w:t>$44</w:t>
            </w:r>
          </w:p>
        </w:tc>
        <w:tc>
          <w:tcPr>
            <w:tcW w:w="620" w:type="dxa"/>
          </w:tcPr>
          <w:p w:rsidR="00C31389" w:rsidRDefault="00561FBD" w14:paraId="6B2A47E6" w14:textId="77777777">
            <w:pPr>
              <w:pStyle w:val="TableParagraph"/>
              <w:spacing w:before="0" w:line="214" w:lineRule="exact"/>
              <w:ind w:left="172"/>
              <w:rPr>
                <w:rFonts w:ascii="Calibri"/>
                <w:sz w:val="18"/>
              </w:rPr>
            </w:pPr>
            <w:r>
              <w:rPr>
                <w:rFonts w:ascii="Calibri"/>
                <w:spacing w:val="-5"/>
                <w:sz w:val="18"/>
              </w:rPr>
              <w:t>$45</w:t>
            </w:r>
          </w:p>
        </w:tc>
        <w:tc>
          <w:tcPr>
            <w:tcW w:w="621" w:type="dxa"/>
          </w:tcPr>
          <w:p w:rsidR="00C31389" w:rsidRDefault="00561FBD" w14:paraId="50154322" w14:textId="77777777">
            <w:pPr>
              <w:pStyle w:val="TableParagraph"/>
              <w:spacing w:before="0" w:line="214" w:lineRule="exact"/>
              <w:ind w:left="172"/>
              <w:rPr>
                <w:rFonts w:ascii="Calibri"/>
                <w:sz w:val="18"/>
              </w:rPr>
            </w:pPr>
            <w:r>
              <w:rPr>
                <w:rFonts w:ascii="Calibri"/>
                <w:spacing w:val="-5"/>
                <w:sz w:val="18"/>
              </w:rPr>
              <w:t>$45</w:t>
            </w:r>
          </w:p>
        </w:tc>
        <w:tc>
          <w:tcPr>
            <w:tcW w:w="620" w:type="dxa"/>
          </w:tcPr>
          <w:p w:rsidR="00C31389" w:rsidRDefault="00561FBD" w14:paraId="5ABD3D80" w14:textId="77777777">
            <w:pPr>
              <w:pStyle w:val="TableParagraph"/>
              <w:spacing w:before="0" w:line="214" w:lineRule="exact"/>
              <w:ind w:left="108" w:right="108"/>
              <w:jc w:val="center"/>
              <w:rPr>
                <w:rFonts w:ascii="Calibri"/>
                <w:sz w:val="18"/>
              </w:rPr>
            </w:pPr>
            <w:r>
              <w:rPr>
                <w:rFonts w:ascii="Calibri"/>
                <w:spacing w:val="-5"/>
                <w:sz w:val="18"/>
              </w:rPr>
              <w:t>$47</w:t>
            </w:r>
          </w:p>
        </w:tc>
        <w:tc>
          <w:tcPr>
            <w:tcW w:w="620" w:type="dxa"/>
          </w:tcPr>
          <w:p w:rsidR="00C31389" w:rsidRDefault="00561FBD" w14:paraId="28ED42A6" w14:textId="77777777">
            <w:pPr>
              <w:pStyle w:val="TableParagraph"/>
              <w:spacing w:before="0" w:line="214" w:lineRule="exact"/>
              <w:ind w:left="107" w:right="108"/>
              <w:jc w:val="center"/>
              <w:rPr>
                <w:rFonts w:ascii="Calibri"/>
                <w:sz w:val="18"/>
              </w:rPr>
            </w:pPr>
            <w:r>
              <w:rPr>
                <w:rFonts w:ascii="Calibri"/>
                <w:spacing w:val="-5"/>
                <w:sz w:val="18"/>
              </w:rPr>
              <w:t>$53</w:t>
            </w:r>
          </w:p>
        </w:tc>
        <w:tc>
          <w:tcPr>
            <w:tcW w:w="621" w:type="dxa"/>
          </w:tcPr>
          <w:p w:rsidR="00C31389" w:rsidRDefault="00561FBD" w14:paraId="3122AA67" w14:textId="77777777">
            <w:pPr>
              <w:pStyle w:val="TableParagraph"/>
              <w:spacing w:before="0" w:line="214" w:lineRule="exact"/>
              <w:ind w:left="171"/>
              <w:rPr>
                <w:rFonts w:ascii="Calibri"/>
                <w:sz w:val="18"/>
              </w:rPr>
            </w:pPr>
            <w:r>
              <w:rPr>
                <w:rFonts w:ascii="Calibri"/>
                <w:spacing w:val="-5"/>
                <w:sz w:val="18"/>
              </w:rPr>
              <w:t>$53</w:t>
            </w:r>
          </w:p>
        </w:tc>
        <w:tc>
          <w:tcPr>
            <w:tcW w:w="620" w:type="dxa"/>
          </w:tcPr>
          <w:p w:rsidR="00C31389" w:rsidRDefault="00561FBD" w14:paraId="19F011EE" w14:textId="77777777">
            <w:pPr>
              <w:pStyle w:val="TableParagraph"/>
              <w:spacing w:before="0" w:line="214" w:lineRule="exact"/>
              <w:ind w:left="171"/>
              <w:rPr>
                <w:rFonts w:ascii="Calibri"/>
                <w:sz w:val="18"/>
              </w:rPr>
            </w:pPr>
            <w:r>
              <w:rPr>
                <w:rFonts w:ascii="Calibri"/>
                <w:spacing w:val="-5"/>
                <w:sz w:val="18"/>
              </w:rPr>
              <w:t>$46</w:t>
            </w:r>
          </w:p>
        </w:tc>
        <w:tc>
          <w:tcPr>
            <w:tcW w:w="620" w:type="dxa"/>
          </w:tcPr>
          <w:p w:rsidR="00C31389" w:rsidRDefault="00561FBD" w14:paraId="29EC8924" w14:textId="77777777">
            <w:pPr>
              <w:pStyle w:val="TableParagraph"/>
              <w:spacing w:before="0" w:line="214" w:lineRule="exact"/>
              <w:ind w:left="105" w:right="108"/>
              <w:jc w:val="center"/>
              <w:rPr>
                <w:rFonts w:ascii="Calibri"/>
                <w:sz w:val="18"/>
              </w:rPr>
            </w:pPr>
            <w:r>
              <w:rPr>
                <w:rFonts w:ascii="Calibri"/>
                <w:spacing w:val="-5"/>
                <w:sz w:val="18"/>
              </w:rPr>
              <w:t>$49</w:t>
            </w:r>
          </w:p>
        </w:tc>
        <w:tc>
          <w:tcPr>
            <w:tcW w:w="621" w:type="dxa"/>
          </w:tcPr>
          <w:p w:rsidR="00C31389" w:rsidRDefault="00561FBD" w14:paraId="7255EDF6" w14:textId="77777777">
            <w:pPr>
              <w:pStyle w:val="TableParagraph"/>
              <w:spacing w:before="0" w:line="214" w:lineRule="exact"/>
              <w:ind w:left="106" w:right="109"/>
              <w:jc w:val="center"/>
              <w:rPr>
                <w:rFonts w:ascii="Calibri"/>
                <w:sz w:val="18"/>
              </w:rPr>
            </w:pPr>
            <w:r>
              <w:rPr>
                <w:rFonts w:ascii="Calibri"/>
                <w:spacing w:val="-5"/>
                <w:sz w:val="18"/>
              </w:rPr>
              <w:t>$53</w:t>
            </w:r>
          </w:p>
        </w:tc>
        <w:tc>
          <w:tcPr>
            <w:tcW w:w="620" w:type="dxa"/>
          </w:tcPr>
          <w:p w:rsidR="00C31389" w:rsidRDefault="00561FBD" w14:paraId="6596E5EF" w14:textId="77777777">
            <w:pPr>
              <w:pStyle w:val="TableParagraph"/>
              <w:spacing w:before="0" w:line="214" w:lineRule="exact"/>
              <w:ind w:left="170"/>
              <w:rPr>
                <w:rFonts w:ascii="Calibri"/>
                <w:sz w:val="18"/>
              </w:rPr>
            </w:pPr>
            <w:r>
              <w:rPr>
                <w:rFonts w:ascii="Calibri"/>
                <w:spacing w:val="-5"/>
                <w:sz w:val="18"/>
              </w:rPr>
              <w:t>$60</w:t>
            </w:r>
          </w:p>
        </w:tc>
        <w:tc>
          <w:tcPr>
            <w:tcW w:w="619" w:type="dxa"/>
          </w:tcPr>
          <w:p w:rsidR="00C31389" w:rsidRDefault="00561FBD" w14:paraId="68FFED7E" w14:textId="77777777">
            <w:pPr>
              <w:pStyle w:val="TableParagraph"/>
              <w:spacing w:before="0" w:line="214" w:lineRule="exact"/>
              <w:ind w:left="169"/>
              <w:rPr>
                <w:rFonts w:ascii="Calibri"/>
                <w:sz w:val="18"/>
              </w:rPr>
            </w:pPr>
            <w:r>
              <w:rPr>
                <w:rFonts w:ascii="Calibri"/>
                <w:spacing w:val="-5"/>
                <w:sz w:val="18"/>
              </w:rPr>
              <w:t>$60</w:t>
            </w:r>
          </w:p>
        </w:tc>
        <w:tc>
          <w:tcPr>
            <w:tcW w:w="618" w:type="dxa"/>
          </w:tcPr>
          <w:p w:rsidR="00C31389" w:rsidRDefault="00561FBD" w14:paraId="3D46FBA7" w14:textId="77777777">
            <w:pPr>
              <w:pStyle w:val="TableParagraph"/>
              <w:spacing w:before="0" w:line="214" w:lineRule="exact"/>
              <w:ind w:left="105" w:right="108"/>
              <w:jc w:val="center"/>
              <w:rPr>
                <w:rFonts w:ascii="Calibri"/>
                <w:sz w:val="18"/>
              </w:rPr>
            </w:pPr>
            <w:r>
              <w:rPr>
                <w:rFonts w:ascii="Calibri"/>
                <w:spacing w:val="-5"/>
                <w:sz w:val="18"/>
              </w:rPr>
              <w:t>$65</w:t>
            </w:r>
          </w:p>
        </w:tc>
      </w:tr>
      <w:tr w:rsidR="00C31389" w14:paraId="37C8B55F" w14:textId="77777777">
        <w:trPr>
          <w:trHeight w:val="417"/>
        </w:trPr>
        <w:tc>
          <w:tcPr>
            <w:tcW w:w="1930" w:type="dxa"/>
            <w:tcBorders>
              <w:top w:val="single" w:color="BEBEBE" w:sz="4" w:space="0"/>
              <w:bottom w:val="single" w:color="BEBEBE" w:sz="4" w:space="0"/>
            </w:tcBorders>
          </w:tcPr>
          <w:p w:rsidR="00C31389" w:rsidRDefault="00561FBD" w14:paraId="5CD9E62D" w14:textId="77777777">
            <w:pPr>
              <w:pStyle w:val="TableParagraph"/>
              <w:spacing w:before="0"/>
              <w:ind w:left="115"/>
              <w:rPr>
                <w:sz w:val="17"/>
              </w:rPr>
            </w:pPr>
            <w:r>
              <w:rPr>
                <w:sz w:val="17"/>
              </w:rPr>
              <w:t>Scenario</w:t>
            </w:r>
            <w:r>
              <w:rPr>
                <w:spacing w:val="-2"/>
                <w:sz w:val="17"/>
              </w:rPr>
              <w:t xml:space="preserve"> </w:t>
            </w:r>
            <w:r>
              <w:rPr>
                <w:sz w:val="17"/>
              </w:rPr>
              <w:t>2:</w:t>
            </w:r>
            <w:r>
              <w:rPr>
                <w:spacing w:val="-2"/>
                <w:sz w:val="17"/>
              </w:rPr>
              <w:t xml:space="preserve"> Reference</w:t>
            </w:r>
          </w:p>
          <w:p w:rsidR="00C31389" w:rsidRDefault="00561FBD" w14:paraId="2E60444F" w14:textId="77777777">
            <w:pPr>
              <w:pStyle w:val="TableParagraph"/>
              <w:spacing w:before="13" w:line="188" w:lineRule="exact"/>
              <w:ind w:left="115"/>
              <w:rPr>
                <w:sz w:val="17"/>
              </w:rPr>
            </w:pPr>
            <w:r>
              <w:rPr>
                <w:sz w:val="17"/>
              </w:rPr>
              <w:t>IRA</w:t>
            </w:r>
            <w:r>
              <w:rPr>
                <w:spacing w:val="-3"/>
                <w:sz w:val="17"/>
              </w:rPr>
              <w:t xml:space="preserve"> </w:t>
            </w:r>
            <w:r>
              <w:rPr>
                <w:sz w:val="17"/>
              </w:rPr>
              <w:t>and</w:t>
            </w:r>
            <w:r>
              <w:rPr>
                <w:spacing w:val="-2"/>
                <w:sz w:val="17"/>
              </w:rPr>
              <w:t xml:space="preserve"> </w:t>
            </w:r>
            <w:r>
              <w:rPr>
                <w:spacing w:val="-5"/>
                <w:sz w:val="17"/>
              </w:rPr>
              <w:t>FS</w:t>
            </w:r>
          </w:p>
        </w:tc>
        <w:tc>
          <w:tcPr>
            <w:tcW w:w="620" w:type="dxa"/>
          </w:tcPr>
          <w:p w:rsidR="00C31389" w:rsidRDefault="00C31389" w14:paraId="3E295D1F" w14:textId="77777777">
            <w:pPr>
              <w:pStyle w:val="TableParagraph"/>
              <w:spacing w:before="9"/>
              <w:rPr>
                <w:b/>
                <w:sz w:val="15"/>
              </w:rPr>
            </w:pPr>
          </w:p>
          <w:p w:rsidR="00C31389" w:rsidRDefault="00561FBD" w14:paraId="53E6409B" w14:textId="77777777">
            <w:pPr>
              <w:pStyle w:val="TableParagraph"/>
              <w:spacing w:before="1" w:line="215" w:lineRule="exact"/>
              <w:ind w:left="108" w:right="108"/>
              <w:jc w:val="center"/>
              <w:rPr>
                <w:rFonts w:ascii="Calibri"/>
                <w:sz w:val="18"/>
              </w:rPr>
            </w:pPr>
            <w:r>
              <w:rPr>
                <w:rFonts w:ascii="Calibri"/>
                <w:spacing w:val="-5"/>
                <w:sz w:val="18"/>
              </w:rPr>
              <w:t>$45</w:t>
            </w:r>
          </w:p>
        </w:tc>
        <w:tc>
          <w:tcPr>
            <w:tcW w:w="620" w:type="dxa"/>
          </w:tcPr>
          <w:p w:rsidR="00C31389" w:rsidRDefault="00C31389" w14:paraId="43496C0D" w14:textId="77777777">
            <w:pPr>
              <w:pStyle w:val="TableParagraph"/>
              <w:spacing w:before="9"/>
              <w:rPr>
                <w:b/>
                <w:sz w:val="15"/>
              </w:rPr>
            </w:pPr>
          </w:p>
          <w:p w:rsidR="00C31389" w:rsidRDefault="00561FBD" w14:paraId="72C2FE38" w14:textId="77777777">
            <w:pPr>
              <w:pStyle w:val="TableParagraph"/>
              <w:spacing w:before="1" w:line="215" w:lineRule="exact"/>
              <w:ind w:left="172"/>
              <w:rPr>
                <w:rFonts w:ascii="Calibri"/>
                <w:sz w:val="18"/>
              </w:rPr>
            </w:pPr>
            <w:r>
              <w:rPr>
                <w:rFonts w:ascii="Calibri"/>
                <w:spacing w:val="-5"/>
                <w:sz w:val="18"/>
              </w:rPr>
              <w:t>$45</w:t>
            </w:r>
          </w:p>
        </w:tc>
        <w:tc>
          <w:tcPr>
            <w:tcW w:w="621" w:type="dxa"/>
          </w:tcPr>
          <w:p w:rsidR="00C31389" w:rsidRDefault="00C31389" w14:paraId="3D9F9FD5" w14:textId="77777777">
            <w:pPr>
              <w:pStyle w:val="TableParagraph"/>
              <w:spacing w:before="9"/>
              <w:rPr>
                <w:b/>
                <w:sz w:val="15"/>
              </w:rPr>
            </w:pPr>
          </w:p>
          <w:p w:rsidR="00C31389" w:rsidRDefault="00561FBD" w14:paraId="2FC38107" w14:textId="77777777">
            <w:pPr>
              <w:pStyle w:val="TableParagraph"/>
              <w:spacing w:before="1" w:line="215" w:lineRule="exact"/>
              <w:ind w:left="172"/>
              <w:rPr>
                <w:rFonts w:ascii="Calibri"/>
                <w:sz w:val="18"/>
              </w:rPr>
            </w:pPr>
            <w:r>
              <w:rPr>
                <w:rFonts w:ascii="Calibri"/>
                <w:spacing w:val="-5"/>
                <w:sz w:val="18"/>
              </w:rPr>
              <w:t>$46</w:t>
            </w:r>
          </w:p>
        </w:tc>
        <w:tc>
          <w:tcPr>
            <w:tcW w:w="620" w:type="dxa"/>
          </w:tcPr>
          <w:p w:rsidR="00C31389" w:rsidRDefault="00C31389" w14:paraId="7A39AA6D" w14:textId="77777777">
            <w:pPr>
              <w:pStyle w:val="TableParagraph"/>
              <w:spacing w:before="9"/>
              <w:rPr>
                <w:b/>
                <w:sz w:val="15"/>
              </w:rPr>
            </w:pPr>
          </w:p>
          <w:p w:rsidR="00C31389" w:rsidRDefault="00561FBD" w14:paraId="114C2358" w14:textId="77777777">
            <w:pPr>
              <w:pStyle w:val="TableParagraph"/>
              <w:spacing w:before="1" w:line="215" w:lineRule="exact"/>
              <w:ind w:left="108" w:right="108"/>
              <w:jc w:val="center"/>
              <w:rPr>
                <w:rFonts w:ascii="Calibri"/>
                <w:sz w:val="18"/>
              </w:rPr>
            </w:pPr>
            <w:r>
              <w:rPr>
                <w:rFonts w:ascii="Calibri"/>
                <w:spacing w:val="-5"/>
                <w:sz w:val="18"/>
              </w:rPr>
              <w:t>$48</w:t>
            </w:r>
          </w:p>
        </w:tc>
        <w:tc>
          <w:tcPr>
            <w:tcW w:w="620" w:type="dxa"/>
          </w:tcPr>
          <w:p w:rsidR="00C31389" w:rsidRDefault="00C31389" w14:paraId="30F4914E" w14:textId="77777777">
            <w:pPr>
              <w:pStyle w:val="TableParagraph"/>
              <w:spacing w:before="9"/>
              <w:rPr>
                <w:b/>
                <w:sz w:val="15"/>
              </w:rPr>
            </w:pPr>
          </w:p>
          <w:p w:rsidR="00C31389" w:rsidRDefault="00561FBD" w14:paraId="317728DD" w14:textId="77777777">
            <w:pPr>
              <w:pStyle w:val="TableParagraph"/>
              <w:spacing w:before="1" w:line="215" w:lineRule="exact"/>
              <w:ind w:left="107" w:right="108"/>
              <w:jc w:val="center"/>
              <w:rPr>
                <w:rFonts w:ascii="Calibri"/>
                <w:sz w:val="18"/>
              </w:rPr>
            </w:pPr>
            <w:r>
              <w:rPr>
                <w:rFonts w:ascii="Calibri"/>
                <w:spacing w:val="-5"/>
                <w:sz w:val="18"/>
              </w:rPr>
              <w:t>$54</w:t>
            </w:r>
          </w:p>
        </w:tc>
        <w:tc>
          <w:tcPr>
            <w:tcW w:w="621" w:type="dxa"/>
          </w:tcPr>
          <w:p w:rsidR="00C31389" w:rsidRDefault="00C31389" w14:paraId="436783B9" w14:textId="77777777">
            <w:pPr>
              <w:pStyle w:val="TableParagraph"/>
              <w:spacing w:before="9"/>
              <w:rPr>
                <w:b/>
                <w:sz w:val="15"/>
              </w:rPr>
            </w:pPr>
          </w:p>
          <w:p w:rsidR="00C31389" w:rsidRDefault="00561FBD" w14:paraId="75351716" w14:textId="77777777">
            <w:pPr>
              <w:pStyle w:val="TableParagraph"/>
              <w:spacing w:before="1" w:line="215" w:lineRule="exact"/>
              <w:ind w:left="171"/>
              <w:rPr>
                <w:rFonts w:ascii="Calibri"/>
                <w:sz w:val="18"/>
              </w:rPr>
            </w:pPr>
            <w:r>
              <w:rPr>
                <w:rFonts w:ascii="Calibri"/>
                <w:spacing w:val="-5"/>
                <w:sz w:val="18"/>
              </w:rPr>
              <w:t>$55</w:t>
            </w:r>
          </w:p>
        </w:tc>
        <w:tc>
          <w:tcPr>
            <w:tcW w:w="620" w:type="dxa"/>
          </w:tcPr>
          <w:p w:rsidR="00C31389" w:rsidRDefault="00C31389" w14:paraId="10C3A0C1" w14:textId="77777777">
            <w:pPr>
              <w:pStyle w:val="TableParagraph"/>
              <w:spacing w:before="9"/>
              <w:rPr>
                <w:b/>
                <w:sz w:val="15"/>
              </w:rPr>
            </w:pPr>
          </w:p>
          <w:p w:rsidR="00C31389" w:rsidRDefault="00561FBD" w14:paraId="3BFAC609" w14:textId="77777777">
            <w:pPr>
              <w:pStyle w:val="TableParagraph"/>
              <w:spacing w:before="1" w:line="215" w:lineRule="exact"/>
              <w:ind w:left="171"/>
              <w:rPr>
                <w:rFonts w:ascii="Calibri"/>
                <w:sz w:val="18"/>
              </w:rPr>
            </w:pPr>
            <w:r>
              <w:rPr>
                <w:rFonts w:ascii="Calibri"/>
                <w:spacing w:val="-5"/>
                <w:sz w:val="18"/>
              </w:rPr>
              <w:t>$47</w:t>
            </w:r>
          </w:p>
        </w:tc>
        <w:tc>
          <w:tcPr>
            <w:tcW w:w="620" w:type="dxa"/>
          </w:tcPr>
          <w:p w:rsidR="00C31389" w:rsidRDefault="00C31389" w14:paraId="1E8C0A68" w14:textId="77777777">
            <w:pPr>
              <w:pStyle w:val="TableParagraph"/>
              <w:spacing w:before="9"/>
              <w:rPr>
                <w:b/>
                <w:sz w:val="15"/>
              </w:rPr>
            </w:pPr>
          </w:p>
          <w:p w:rsidR="00C31389" w:rsidRDefault="00561FBD" w14:paraId="7D780807" w14:textId="77777777">
            <w:pPr>
              <w:pStyle w:val="TableParagraph"/>
              <w:spacing w:before="1" w:line="215" w:lineRule="exact"/>
              <w:ind w:left="105" w:right="108"/>
              <w:jc w:val="center"/>
              <w:rPr>
                <w:rFonts w:ascii="Calibri"/>
                <w:sz w:val="18"/>
              </w:rPr>
            </w:pPr>
            <w:r>
              <w:rPr>
                <w:rFonts w:ascii="Calibri"/>
                <w:spacing w:val="-5"/>
                <w:sz w:val="18"/>
              </w:rPr>
              <w:t>$50</w:t>
            </w:r>
          </w:p>
        </w:tc>
        <w:tc>
          <w:tcPr>
            <w:tcW w:w="621" w:type="dxa"/>
          </w:tcPr>
          <w:p w:rsidR="00C31389" w:rsidRDefault="00C31389" w14:paraId="00D8E2FE" w14:textId="77777777">
            <w:pPr>
              <w:pStyle w:val="TableParagraph"/>
              <w:spacing w:before="9"/>
              <w:rPr>
                <w:b/>
                <w:sz w:val="15"/>
              </w:rPr>
            </w:pPr>
          </w:p>
          <w:p w:rsidR="00C31389" w:rsidRDefault="00561FBD" w14:paraId="1B88D3DC" w14:textId="77777777">
            <w:pPr>
              <w:pStyle w:val="TableParagraph"/>
              <w:spacing w:before="1" w:line="215" w:lineRule="exact"/>
              <w:ind w:left="106" w:right="109"/>
              <w:jc w:val="center"/>
              <w:rPr>
                <w:rFonts w:ascii="Calibri"/>
                <w:sz w:val="18"/>
              </w:rPr>
            </w:pPr>
            <w:r>
              <w:rPr>
                <w:rFonts w:ascii="Calibri"/>
                <w:spacing w:val="-5"/>
                <w:sz w:val="18"/>
              </w:rPr>
              <w:t>$54</w:t>
            </w:r>
          </w:p>
        </w:tc>
        <w:tc>
          <w:tcPr>
            <w:tcW w:w="620" w:type="dxa"/>
          </w:tcPr>
          <w:p w:rsidR="00C31389" w:rsidRDefault="00C31389" w14:paraId="6B34717E" w14:textId="77777777">
            <w:pPr>
              <w:pStyle w:val="TableParagraph"/>
              <w:spacing w:before="9"/>
              <w:rPr>
                <w:b/>
                <w:sz w:val="15"/>
              </w:rPr>
            </w:pPr>
          </w:p>
          <w:p w:rsidR="00C31389" w:rsidRDefault="00561FBD" w14:paraId="55F2DA8F" w14:textId="77777777">
            <w:pPr>
              <w:pStyle w:val="TableParagraph"/>
              <w:spacing w:before="1" w:line="215" w:lineRule="exact"/>
              <w:ind w:left="170"/>
              <w:rPr>
                <w:rFonts w:ascii="Calibri"/>
                <w:sz w:val="18"/>
              </w:rPr>
            </w:pPr>
            <w:r>
              <w:rPr>
                <w:rFonts w:ascii="Calibri"/>
                <w:spacing w:val="-5"/>
                <w:sz w:val="18"/>
              </w:rPr>
              <w:t>$60</w:t>
            </w:r>
          </w:p>
        </w:tc>
        <w:tc>
          <w:tcPr>
            <w:tcW w:w="619" w:type="dxa"/>
          </w:tcPr>
          <w:p w:rsidR="00C31389" w:rsidRDefault="00C31389" w14:paraId="60B771D8" w14:textId="77777777">
            <w:pPr>
              <w:pStyle w:val="TableParagraph"/>
              <w:spacing w:before="9"/>
              <w:rPr>
                <w:b/>
                <w:sz w:val="15"/>
              </w:rPr>
            </w:pPr>
          </w:p>
          <w:p w:rsidR="00C31389" w:rsidRDefault="00561FBD" w14:paraId="789759C3" w14:textId="77777777">
            <w:pPr>
              <w:pStyle w:val="TableParagraph"/>
              <w:spacing w:before="1" w:line="215" w:lineRule="exact"/>
              <w:ind w:left="169"/>
              <w:rPr>
                <w:rFonts w:ascii="Calibri"/>
                <w:sz w:val="18"/>
              </w:rPr>
            </w:pPr>
            <w:r>
              <w:rPr>
                <w:rFonts w:ascii="Calibri"/>
                <w:spacing w:val="-5"/>
                <w:sz w:val="18"/>
              </w:rPr>
              <w:t>$60</w:t>
            </w:r>
          </w:p>
        </w:tc>
        <w:tc>
          <w:tcPr>
            <w:tcW w:w="618" w:type="dxa"/>
          </w:tcPr>
          <w:p w:rsidR="00C31389" w:rsidRDefault="00C31389" w14:paraId="615B7610" w14:textId="77777777">
            <w:pPr>
              <w:pStyle w:val="TableParagraph"/>
              <w:spacing w:before="9"/>
              <w:rPr>
                <w:b/>
                <w:sz w:val="15"/>
              </w:rPr>
            </w:pPr>
          </w:p>
          <w:p w:rsidR="00C31389" w:rsidRDefault="00561FBD" w14:paraId="0CCD3721" w14:textId="77777777">
            <w:pPr>
              <w:pStyle w:val="TableParagraph"/>
              <w:spacing w:before="1" w:line="215" w:lineRule="exact"/>
              <w:ind w:left="105" w:right="108"/>
              <w:jc w:val="center"/>
              <w:rPr>
                <w:rFonts w:ascii="Calibri"/>
                <w:sz w:val="18"/>
              </w:rPr>
            </w:pPr>
            <w:r>
              <w:rPr>
                <w:rFonts w:ascii="Calibri"/>
                <w:spacing w:val="-5"/>
                <w:sz w:val="18"/>
              </w:rPr>
              <w:t>$65</w:t>
            </w:r>
          </w:p>
        </w:tc>
      </w:tr>
      <w:tr w:rsidR="00C31389" w14:paraId="27E9B1E7" w14:textId="77777777">
        <w:trPr>
          <w:trHeight w:val="624"/>
        </w:trPr>
        <w:tc>
          <w:tcPr>
            <w:tcW w:w="1930" w:type="dxa"/>
            <w:tcBorders>
              <w:top w:val="single" w:color="BEBEBE" w:sz="4" w:space="0"/>
              <w:bottom w:val="single" w:color="BEBEBE" w:sz="4" w:space="0"/>
            </w:tcBorders>
          </w:tcPr>
          <w:p w:rsidR="00C31389" w:rsidRDefault="00561FBD" w14:paraId="29E2C2D2" w14:textId="77777777">
            <w:pPr>
              <w:pStyle w:val="TableParagraph"/>
              <w:spacing w:before="0" w:line="256" w:lineRule="auto"/>
              <w:ind w:left="115"/>
              <w:rPr>
                <w:sz w:val="17"/>
              </w:rPr>
            </w:pPr>
            <w:r>
              <w:rPr>
                <w:sz w:val="17"/>
              </w:rPr>
              <w:t>Scenario</w:t>
            </w:r>
            <w:r>
              <w:rPr>
                <w:spacing w:val="-12"/>
                <w:sz w:val="17"/>
              </w:rPr>
              <w:t xml:space="preserve"> </w:t>
            </w:r>
            <w:r>
              <w:rPr>
                <w:sz w:val="17"/>
              </w:rPr>
              <w:t>3:</w:t>
            </w:r>
            <w:r>
              <w:rPr>
                <w:spacing w:val="-12"/>
                <w:sz w:val="17"/>
              </w:rPr>
              <w:t xml:space="preserve"> </w:t>
            </w:r>
            <w:r>
              <w:rPr>
                <w:sz w:val="17"/>
              </w:rPr>
              <w:t>Reference IRA and aggressive</w:t>
            </w:r>
          </w:p>
          <w:p w:rsidR="00C31389" w:rsidRDefault="00561FBD" w14:paraId="7B58CCCD" w14:textId="77777777">
            <w:pPr>
              <w:pStyle w:val="TableParagraph"/>
              <w:spacing w:before="0" w:line="187" w:lineRule="exact"/>
              <w:ind w:left="115"/>
              <w:rPr>
                <w:sz w:val="17"/>
              </w:rPr>
            </w:pPr>
            <w:r>
              <w:rPr>
                <w:spacing w:val="-5"/>
                <w:sz w:val="17"/>
              </w:rPr>
              <w:t>FS</w:t>
            </w:r>
          </w:p>
        </w:tc>
        <w:tc>
          <w:tcPr>
            <w:tcW w:w="620" w:type="dxa"/>
          </w:tcPr>
          <w:p w:rsidR="00C31389" w:rsidRDefault="00C31389" w14:paraId="18B5BE80" w14:textId="77777777">
            <w:pPr>
              <w:pStyle w:val="TableParagraph"/>
              <w:spacing w:before="0"/>
              <w:rPr>
                <w:b/>
                <w:sz w:val="18"/>
              </w:rPr>
            </w:pPr>
          </w:p>
          <w:p w:rsidR="00C31389" w:rsidRDefault="00C31389" w14:paraId="0F59E8E1" w14:textId="77777777">
            <w:pPr>
              <w:pStyle w:val="TableParagraph"/>
              <w:spacing w:before="0"/>
              <w:rPr>
                <w:b/>
                <w:sz w:val="16"/>
              </w:rPr>
            </w:pPr>
          </w:p>
          <w:p w:rsidR="00C31389" w:rsidRDefault="00561FBD" w14:paraId="0747B1F2" w14:textId="77777777">
            <w:pPr>
              <w:pStyle w:val="TableParagraph"/>
              <w:spacing w:before="0" w:line="214" w:lineRule="exact"/>
              <w:ind w:left="108" w:right="108"/>
              <w:jc w:val="center"/>
              <w:rPr>
                <w:rFonts w:ascii="Calibri"/>
                <w:sz w:val="18"/>
              </w:rPr>
            </w:pPr>
            <w:r>
              <w:rPr>
                <w:rFonts w:ascii="Calibri"/>
                <w:spacing w:val="-4"/>
                <w:sz w:val="18"/>
              </w:rPr>
              <w:t>$236</w:t>
            </w:r>
          </w:p>
        </w:tc>
        <w:tc>
          <w:tcPr>
            <w:tcW w:w="620" w:type="dxa"/>
          </w:tcPr>
          <w:p w:rsidR="00C31389" w:rsidRDefault="00C31389" w14:paraId="648238D9" w14:textId="77777777">
            <w:pPr>
              <w:pStyle w:val="TableParagraph"/>
              <w:spacing w:before="0"/>
              <w:rPr>
                <w:b/>
                <w:sz w:val="18"/>
              </w:rPr>
            </w:pPr>
          </w:p>
          <w:p w:rsidR="00C31389" w:rsidRDefault="00C31389" w14:paraId="72CBD5EA" w14:textId="77777777">
            <w:pPr>
              <w:pStyle w:val="TableParagraph"/>
              <w:spacing w:before="0"/>
              <w:rPr>
                <w:b/>
                <w:sz w:val="16"/>
              </w:rPr>
            </w:pPr>
          </w:p>
          <w:p w:rsidR="00C31389" w:rsidRDefault="00561FBD" w14:paraId="10DA603B" w14:textId="77777777">
            <w:pPr>
              <w:pStyle w:val="TableParagraph"/>
              <w:spacing w:before="0" w:line="214" w:lineRule="exact"/>
              <w:ind w:left="126"/>
              <w:rPr>
                <w:rFonts w:ascii="Calibri"/>
                <w:sz w:val="18"/>
              </w:rPr>
            </w:pPr>
            <w:r>
              <w:rPr>
                <w:rFonts w:ascii="Calibri"/>
                <w:spacing w:val="-4"/>
                <w:sz w:val="18"/>
              </w:rPr>
              <w:t>$251</w:t>
            </w:r>
          </w:p>
        </w:tc>
        <w:tc>
          <w:tcPr>
            <w:tcW w:w="621" w:type="dxa"/>
          </w:tcPr>
          <w:p w:rsidR="00C31389" w:rsidRDefault="00C31389" w14:paraId="24AA7267" w14:textId="77777777">
            <w:pPr>
              <w:pStyle w:val="TableParagraph"/>
              <w:spacing w:before="0"/>
              <w:rPr>
                <w:b/>
                <w:sz w:val="18"/>
              </w:rPr>
            </w:pPr>
          </w:p>
          <w:p w:rsidR="00C31389" w:rsidRDefault="00C31389" w14:paraId="39F3B162" w14:textId="77777777">
            <w:pPr>
              <w:pStyle w:val="TableParagraph"/>
              <w:spacing w:before="0"/>
              <w:rPr>
                <w:b/>
                <w:sz w:val="16"/>
              </w:rPr>
            </w:pPr>
          </w:p>
          <w:p w:rsidR="00C31389" w:rsidRDefault="00561FBD" w14:paraId="54E8DFE1" w14:textId="77777777">
            <w:pPr>
              <w:pStyle w:val="TableParagraph"/>
              <w:spacing w:before="0" w:line="214" w:lineRule="exact"/>
              <w:ind w:left="127"/>
              <w:rPr>
                <w:rFonts w:ascii="Calibri"/>
                <w:sz w:val="18"/>
              </w:rPr>
            </w:pPr>
            <w:r>
              <w:rPr>
                <w:rFonts w:ascii="Calibri"/>
                <w:spacing w:val="-4"/>
                <w:sz w:val="18"/>
              </w:rPr>
              <w:t>$263</w:t>
            </w:r>
          </w:p>
        </w:tc>
        <w:tc>
          <w:tcPr>
            <w:tcW w:w="620" w:type="dxa"/>
          </w:tcPr>
          <w:p w:rsidR="00C31389" w:rsidRDefault="00C31389" w14:paraId="04E1AE6E" w14:textId="77777777">
            <w:pPr>
              <w:pStyle w:val="TableParagraph"/>
              <w:spacing w:before="0"/>
              <w:rPr>
                <w:b/>
                <w:sz w:val="18"/>
              </w:rPr>
            </w:pPr>
          </w:p>
          <w:p w:rsidR="00C31389" w:rsidRDefault="00C31389" w14:paraId="60ED76D1" w14:textId="77777777">
            <w:pPr>
              <w:pStyle w:val="TableParagraph"/>
              <w:spacing w:before="0"/>
              <w:rPr>
                <w:b/>
                <w:sz w:val="16"/>
              </w:rPr>
            </w:pPr>
          </w:p>
          <w:p w:rsidR="00C31389" w:rsidRDefault="00561FBD" w14:paraId="10F42D5C" w14:textId="77777777">
            <w:pPr>
              <w:pStyle w:val="TableParagraph"/>
              <w:spacing w:before="0" w:line="214" w:lineRule="exact"/>
              <w:ind w:left="107" w:right="108"/>
              <w:jc w:val="center"/>
              <w:rPr>
                <w:rFonts w:ascii="Calibri"/>
                <w:sz w:val="18"/>
              </w:rPr>
            </w:pPr>
            <w:r>
              <w:rPr>
                <w:rFonts w:ascii="Calibri"/>
                <w:spacing w:val="-4"/>
                <w:sz w:val="18"/>
              </w:rPr>
              <w:t>$274</w:t>
            </w:r>
          </w:p>
        </w:tc>
        <w:tc>
          <w:tcPr>
            <w:tcW w:w="620" w:type="dxa"/>
          </w:tcPr>
          <w:p w:rsidR="00C31389" w:rsidRDefault="00C31389" w14:paraId="027CD873" w14:textId="77777777">
            <w:pPr>
              <w:pStyle w:val="TableParagraph"/>
              <w:spacing w:before="0"/>
              <w:rPr>
                <w:b/>
                <w:sz w:val="18"/>
              </w:rPr>
            </w:pPr>
          </w:p>
          <w:p w:rsidR="00C31389" w:rsidRDefault="00C31389" w14:paraId="0A8865D5" w14:textId="77777777">
            <w:pPr>
              <w:pStyle w:val="TableParagraph"/>
              <w:spacing w:before="0"/>
              <w:rPr>
                <w:b/>
                <w:sz w:val="16"/>
              </w:rPr>
            </w:pPr>
          </w:p>
          <w:p w:rsidR="00C31389" w:rsidRDefault="00561FBD" w14:paraId="2DB75CBF" w14:textId="77777777">
            <w:pPr>
              <w:pStyle w:val="TableParagraph"/>
              <w:spacing w:before="0" w:line="214" w:lineRule="exact"/>
              <w:ind w:left="107" w:right="108"/>
              <w:jc w:val="center"/>
              <w:rPr>
                <w:rFonts w:ascii="Calibri"/>
                <w:sz w:val="18"/>
              </w:rPr>
            </w:pPr>
            <w:r>
              <w:rPr>
                <w:rFonts w:ascii="Calibri"/>
                <w:spacing w:val="-4"/>
                <w:sz w:val="18"/>
              </w:rPr>
              <w:t>$288</w:t>
            </w:r>
          </w:p>
        </w:tc>
        <w:tc>
          <w:tcPr>
            <w:tcW w:w="621" w:type="dxa"/>
          </w:tcPr>
          <w:p w:rsidR="00C31389" w:rsidRDefault="00C31389" w14:paraId="6E6DD6FA" w14:textId="77777777">
            <w:pPr>
              <w:pStyle w:val="TableParagraph"/>
              <w:spacing w:before="0"/>
              <w:rPr>
                <w:b/>
                <w:sz w:val="18"/>
              </w:rPr>
            </w:pPr>
          </w:p>
          <w:p w:rsidR="00C31389" w:rsidRDefault="00C31389" w14:paraId="06DD3058" w14:textId="77777777">
            <w:pPr>
              <w:pStyle w:val="TableParagraph"/>
              <w:spacing w:before="0"/>
              <w:rPr>
                <w:b/>
                <w:sz w:val="16"/>
              </w:rPr>
            </w:pPr>
          </w:p>
          <w:p w:rsidR="00C31389" w:rsidRDefault="00561FBD" w14:paraId="6E94510B" w14:textId="77777777">
            <w:pPr>
              <w:pStyle w:val="TableParagraph"/>
              <w:spacing w:before="0" w:line="214" w:lineRule="exact"/>
              <w:ind w:left="126"/>
              <w:rPr>
                <w:rFonts w:ascii="Calibri"/>
                <w:sz w:val="18"/>
              </w:rPr>
            </w:pPr>
            <w:r>
              <w:rPr>
                <w:rFonts w:ascii="Calibri"/>
                <w:spacing w:val="-4"/>
                <w:sz w:val="18"/>
              </w:rPr>
              <w:t>$299</w:t>
            </w:r>
          </w:p>
        </w:tc>
        <w:tc>
          <w:tcPr>
            <w:tcW w:w="620" w:type="dxa"/>
          </w:tcPr>
          <w:p w:rsidR="00C31389" w:rsidRDefault="00C31389" w14:paraId="4AF61239" w14:textId="77777777">
            <w:pPr>
              <w:pStyle w:val="TableParagraph"/>
              <w:spacing w:before="0"/>
              <w:rPr>
                <w:b/>
                <w:sz w:val="18"/>
              </w:rPr>
            </w:pPr>
          </w:p>
          <w:p w:rsidR="00C31389" w:rsidRDefault="00C31389" w14:paraId="5D25FF07" w14:textId="77777777">
            <w:pPr>
              <w:pStyle w:val="TableParagraph"/>
              <w:spacing w:before="0"/>
              <w:rPr>
                <w:b/>
                <w:sz w:val="16"/>
              </w:rPr>
            </w:pPr>
          </w:p>
          <w:p w:rsidR="00C31389" w:rsidRDefault="00561FBD" w14:paraId="15B5A615" w14:textId="77777777">
            <w:pPr>
              <w:pStyle w:val="TableParagraph"/>
              <w:spacing w:before="0" w:line="214" w:lineRule="exact"/>
              <w:ind w:left="171"/>
              <w:rPr>
                <w:rFonts w:ascii="Calibri"/>
                <w:sz w:val="18"/>
              </w:rPr>
            </w:pPr>
            <w:r>
              <w:rPr>
                <w:rFonts w:ascii="Calibri"/>
                <w:spacing w:val="-5"/>
                <w:sz w:val="18"/>
              </w:rPr>
              <w:t>$50</w:t>
            </w:r>
          </w:p>
        </w:tc>
        <w:tc>
          <w:tcPr>
            <w:tcW w:w="620" w:type="dxa"/>
          </w:tcPr>
          <w:p w:rsidR="00C31389" w:rsidRDefault="00C31389" w14:paraId="74B134BD" w14:textId="77777777">
            <w:pPr>
              <w:pStyle w:val="TableParagraph"/>
              <w:spacing w:before="0"/>
              <w:rPr>
                <w:b/>
                <w:sz w:val="18"/>
              </w:rPr>
            </w:pPr>
          </w:p>
          <w:p w:rsidR="00C31389" w:rsidRDefault="00C31389" w14:paraId="4D4130F1" w14:textId="77777777">
            <w:pPr>
              <w:pStyle w:val="TableParagraph"/>
              <w:spacing w:before="0"/>
              <w:rPr>
                <w:b/>
                <w:sz w:val="16"/>
              </w:rPr>
            </w:pPr>
          </w:p>
          <w:p w:rsidR="00C31389" w:rsidRDefault="00561FBD" w14:paraId="58FF782C" w14:textId="77777777">
            <w:pPr>
              <w:pStyle w:val="TableParagraph"/>
              <w:spacing w:before="0" w:line="214" w:lineRule="exact"/>
              <w:ind w:left="105" w:right="108"/>
              <w:jc w:val="center"/>
              <w:rPr>
                <w:rFonts w:ascii="Calibri"/>
                <w:sz w:val="18"/>
              </w:rPr>
            </w:pPr>
            <w:r>
              <w:rPr>
                <w:rFonts w:ascii="Calibri"/>
                <w:spacing w:val="-5"/>
                <w:sz w:val="18"/>
              </w:rPr>
              <w:t>$53</w:t>
            </w:r>
          </w:p>
        </w:tc>
        <w:tc>
          <w:tcPr>
            <w:tcW w:w="621" w:type="dxa"/>
          </w:tcPr>
          <w:p w:rsidR="00C31389" w:rsidRDefault="00C31389" w14:paraId="5BB21C08" w14:textId="77777777">
            <w:pPr>
              <w:pStyle w:val="TableParagraph"/>
              <w:spacing w:before="0"/>
              <w:rPr>
                <w:b/>
                <w:sz w:val="18"/>
              </w:rPr>
            </w:pPr>
          </w:p>
          <w:p w:rsidR="00C31389" w:rsidRDefault="00C31389" w14:paraId="5AEA35E6" w14:textId="77777777">
            <w:pPr>
              <w:pStyle w:val="TableParagraph"/>
              <w:spacing w:before="0"/>
              <w:rPr>
                <w:b/>
                <w:sz w:val="16"/>
              </w:rPr>
            </w:pPr>
          </w:p>
          <w:p w:rsidR="00C31389" w:rsidRDefault="00561FBD" w14:paraId="66228DF9" w14:textId="77777777">
            <w:pPr>
              <w:pStyle w:val="TableParagraph"/>
              <w:spacing w:before="0" w:line="214" w:lineRule="exact"/>
              <w:ind w:left="106" w:right="109"/>
              <w:jc w:val="center"/>
              <w:rPr>
                <w:rFonts w:ascii="Calibri"/>
                <w:sz w:val="18"/>
              </w:rPr>
            </w:pPr>
            <w:r>
              <w:rPr>
                <w:rFonts w:ascii="Calibri"/>
                <w:spacing w:val="-5"/>
                <w:sz w:val="18"/>
              </w:rPr>
              <w:t>$58</w:t>
            </w:r>
          </w:p>
        </w:tc>
        <w:tc>
          <w:tcPr>
            <w:tcW w:w="620" w:type="dxa"/>
          </w:tcPr>
          <w:p w:rsidR="00C31389" w:rsidRDefault="00C31389" w14:paraId="56AD65FE" w14:textId="77777777">
            <w:pPr>
              <w:pStyle w:val="TableParagraph"/>
              <w:spacing w:before="0"/>
              <w:rPr>
                <w:b/>
                <w:sz w:val="18"/>
              </w:rPr>
            </w:pPr>
          </w:p>
          <w:p w:rsidR="00C31389" w:rsidRDefault="00C31389" w14:paraId="552EA7A0" w14:textId="77777777">
            <w:pPr>
              <w:pStyle w:val="TableParagraph"/>
              <w:spacing w:before="0"/>
              <w:rPr>
                <w:b/>
                <w:sz w:val="16"/>
              </w:rPr>
            </w:pPr>
          </w:p>
          <w:p w:rsidR="00C31389" w:rsidRDefault="00561FBD" w14:paraId="79E1839B" w14:textId="77777777">
            <w:pPr>
              <w:pStyle w:val="TableParagraph"/>
              <w:spacing w:before="0" w:line="214" w:lineRule="exact"/>
              <w:ind w:left="170"/>
              <w:rPr>
                <w:rFonts w:ascii="Calibri"/>
                <w:sz w:val="18"/>
              </w:rPr>
            </w:pPr>
            <w:r>
              <w:rPr>
                <w:rFonts w:ascii="Calibri"/>
                <w:spacing w:val="-5"/>
                <w:sz w:val="18"/>
              </w:rPr>
              <w:t>$60</w:t>
            </w:r>
          </w:p>
        </w:tc>
        <w:tc>
          <w:tcPr>
            <w:tcW w:w="619" w:type="dxa"/>
          </w:tcPr>
          <w:p w:rsidR="00C31389" w:rsidRDefault="00C31389" w14:paraId="5B82D362" w14:textId="77777777">
            <w:pPr>
              <w:pStyle w:val="TableParagraph"/>
              <w:spacing w:before="0"/>
              <w:rPr>
                <w:b/>
                <w:sz w:val="18"/>
              </w:rPr>
            </w:pPr>
          </w:p>
          <w:p w:rsidR="00C31389" w:rsidRDefault="00C31389" w14:paraId="44F43D07" w14:textId="77777777">
            <w:pPr>
              <w:pStyle w:val="TableParagraph"/>
              <w:spacing w:before="0"/>
              <w:rPr>
                <w:b/>
                <w:sz w:val="16"/>
              </w:rPr>
            </w:pPr>
          </w:p>
          <w:p w:rsidR="00C31389" w:rsidRDefault="00561FBD" w14:paraId="68D61AFE" w14:textId="77777777">
            <w:pPr>
              <w:pStyle w:val="TableParagraph"/>
              <w:spacing w:before="0" w:line="214" w:lineRule="exact"/>
              <w:ind w:left="169"/>
              <w:rPr>
                <w:rFonts w:ascii="Calibri"/>
                <w:sz w:val="18"/>
              </w:rPr>
            </w:pPr>
            <w:r>
              <w:rPr>
                <w:rFonts w:ascii="Calibri"/>
                <w:spacing w:val="-5"/>
                <w:sz w:val="18"/>
              </w:rPr>
              <w:t>$60</w:t>
            </w:r>
          </w:p>
        </w:tc>
        <w:tc>
          <w:tcPr>
            <w:tcW w:w="618" w:type="dxa"/>
          </w:tcPr>
          <w:p w:rsidR="00C31389" w:rsidRDefault="00C31389" w14:paraId="78D6803A" w14:textId="77777777">
            <w:pPr>
              <w:pStyle w:val="TableParagraph"/>
              <w:spacing w:before="0"/>
              <w:rPr>
                <w:b/>
                <w:sz w:val="18"/>
              </w:rPr>
            </w:pPr>
          </w:p>
          <w:p w:rsidR="00C31389" w:rsidRDefault="00C31389" w14:paraId="580217DF" w14:textId="77777777">
            <w:pPr>
              <w:pStyle w:val="TableParagraph"/>
              <w:spacing w:before="0"/>
              <w:rPr>
                <w:b/>
                <w:sz w:val="16"/>
              </w:rPr>
            </w:pPr>
          </w:p>
          <w:p w:rsidR="00C31389" w:rsidRDefault="00561FBD" w14:paraId="635AA7F1" w14:textId="77777777">
            <w:pPr>
              <w:pStyle w:val="TableParagraph"/>
              <w:spacing w:before="0" w:line="214" w:lineRule="exact"/>
              <w:ind w:left="105" w:right="108"/>
              <w:jc w:val="center"/>
              <w:rPr>
                <w:rFonts w:ascii="Calibri"/>
                <w:sz w:val="18"/>
              </w:rPr>
            </w:pPr>
            <w:r>
              <w:rPr>
                <w:rFonts w:ascii="Calibri"/>
                <w:spacing w:val="-5"/>
                <w:sz w:val="18"/>
              </w:rPr>
              <w:t>$71</w:t>
            </w:r>
          </w:p>
        </w:tc>
      </w:tr>
      <w:tr w:rsidR="00C31389" w14:paraId="1D93B377" w14:textId="77777777">
        <w:trPr>
          <w:trHeight w:val="625"/>
        </w:trPr>
        <w:tc>
          <w:tcPr>
            <w:tcW w:w="1930" w:type="dxa"/>
            <w:tcBorders>
              <w:top w:val="single" w:color="BEBEBE" w:sz="4" w:space="0"/>
              <w:bottom w:val="single" w:color="BEBEBE" w:sz="4" w:space="0"/>
            </w:tcBorders>
          </w:tcPr>
          <w:p w:rsidR="00C31389" w:rsidRDefault="00561FBD" w14:paraId="4B5AAD3B" w14:textId="77777777">
            <w:pPr>
              <w:pStyle w:val="TableParagraph"/>
              <w:spacing w:before="1" w:line="254" w:lineRule="auto"/>
              <w:ind w:left="115" w:right="170"/>
              <w:rPr>
                <w:sz w:val="17"/>
              </w:rPr>
            </w:pPr>
            <w:r>
              <w:rPr>
                <w:sz w:val="17"/>
              </w:rPr>
              <w:t>Scenario 4: Aggressive</w:t>
            </w:r>
            <w:r>
              <w:rPr>
                <w:spacing w:val="-12"/>
                <w:sz w:val="17"/>
              </w:rPr>
              <w:t xml:space="preserve"> </w:t>
            </w:r>
            <w:r>
              <w:rPr>
                <w:sz w:val="17"/>
              </w:rPr>
              <w:t>IRA</w:t>
            </w:r>
            <w:r>
              <w:rPr>
                <w:spacing w:val="-12"/>
                <w:sz w:val="17"/>
              </w:rPr>
              <w:t xml:space="preserve"> </w:t>
            </w:r>
            <w:r>
              <w:rPr>
                <w:sz w:val="17"/>
              </w:rPr>
              <w:t>and</w:t>
            </w:r>
          </w:p>
          <w:p w:rsidR="00C31389" w:rsidRDefault="00561FBD" w14:paraId="70B480C1" w14:textId="77777777">
            <w:pPr>
              <w:pStyle w:val="TableParagraph"/>
              <w:spacing w:before="2" w:line="188" w:lineRule="exact"/>
              <w:ind w:left="115"/>
              <w:rPr>
                <w:sz w:val="17"/>
              </w:rPr>
            </w:pPr>
            <w:r>
              <w:rPr>
                <w:sz w:val="17"/>
              </w:rPr>
              <w:t>reference</w:t>
            </w:r>
            <w:r>
              <w:rPr>
                <w:spacing w:val="-7"/>
                <w:sz w:val="17"/>
              </w:rPr>
              <w:t xml:space="preserve"> </w:t>
            </w:r>
            <w:r>
              <w:rPr>
                <w:spacing w:val="-5"/>
                <w:sz w:val="17"/>
              </w:rPr>
              <w:t>FS</w:t>
            </w:r>
          </w:p>
        </w:tc>
        <w:tc>
          <w:tcPr>
            <w:tcW w:w="620" w:type="dxa"/>
          </w:tcPr>
          <w:p w:rsidR="00C31389" w:rsidRDefault="00C31389" w14:paraId="57BC6186" w14:textId="77777777">
            <w:pPr>
              <w:pStyle w:val="TableParagraph"/>
              <w:spacing w:before="0"/>
              <w:rPr>
                <w:b/>
                <w:sz w:val="18"/>
              </w:rPr>
            </w:pPr>
          </w:p>
          <w:p w:rsidR="00C31389" w:rsidRDefault="00C31389" w14:paraId="70F643CB" w14:textId="77777777">
            <w:pPr>
              <w:pStyle w:val="TableParagraph"/>
              <w:spacing w:before="1"/>
              <w:rPr>
                <w:b/>
                <w:sz w:val="16"/>
              </w:rPr>
            </w:pPr>
          </w:p>
          <w:p w:rsidR="00C31389" w:rsidRDefault="00561FBD" w14:paraId="3293B516" w14:textId="77777777">
            <w:pPr>
              <w:pStyle w:val="TableParagraph"/>
              <w:spacing w:before="0" w:line="214" w:lineRule="exact"/>
              <w:ind w:left="108" w:right="108"/>
              <w:jc w:val="center"/>
              <w:rPr>
                <w:rFonts w:ascii="Calibri"/>
                <w:sz w:val="18"/>
              </w:rPr>
            </w:pPr>
            <w:r>
              <w:rPr>
                <w:rFonts w:ascii="Calibri"/>
                <w:spacing w:val="-5"/>
                <w:sz w:val="18"/>
              </w:rPr>
              <w:t>$45</w:t>
            </w:r>
          </w:p>
        </w:tc>
        <w:tc>
          <w:tcPr>
            <w:tcW w:w="620" w:type="dxa"/>
          </w:tcPr>
          <w:p w:rsidR="00C31389" w:rsidRDefault="00C31389" w14:paraId="6796EE06" w14:textId="77777777">
            <w:pPr>
              <w:pStyle w:val="TableParagraph"/>
              <w:spacing w:before="0"/>
              <w:rPr>
                <w:b/>
                <w:sz w:val="18"/>
              </w:rPr>
            </w:pPr>
          </w:p>
          <w:p w:rsidR="00C31389" w:rsidRDefault="00C31389" w14:paraId="24363EA3" w14:textId="77777777">
            <w:pPr>
              <w:pStyle w:val="TableParagraph"/>
              <w:spacing w:before="1"/>
              <w:rPr>
                <w:b/>
                <w:sz w:val="16"/>
              </w:rPr>
            </w:pPr>
          </w:p>
          <w:p w:rsidR="00C31389" w:rsidRDefault="00561FBD" w14:paraId="500DC09D" w14:textId="77777777">
            <w:pPr>
              <w:pStyle w:val="TableParagraph"/>
              <w:spacing w:before="0" w:line="214" w:lineRule="exact"/>
              <w:ind w:left="172"/>
              <w:rPr>
                <w:rFonts w:ascii="Calibri"/>
                <w:sz w:val="18"/>
              </w:rPr>
            </w:pPr>
            <w:r>
              <w:rPr>
                <w:rFonts w:ascii="Calibri"/>
                <w:spacing w:val="-5"/>
                <w:sz w:val="18"/>
              </w:rPr>
              <w:t>$46</w:t>
            </w:r>
          </w:p>
        </w:tc>
        <w:tc>
          <w:tcPr>
            <w:tcW w:w="621" w:type="dxa"/>
          </w:tcPr>
          <w:p w:rsidR="00C31389" w:rsidRDefault="00C31389" w14:paraId="3AA3393A" w14:textId="77777777">
            <w:pPr>
              <w:pStyle w:val="TableParagraph"/>
              <w:spacing w:before="0"/>
              <w:rPr>
                <w:b/>
                <w:sz w:val="18"/>
              </w:rPr>
            </w:pPr>
          </w:p>
          <w:p w:rsidR="00C31389" w:rsidRDefault="00C31389" w14:paraId="22D73905" w14:textId="77777777">
            <w:pPr>
              <w:pStyle w:val="TableParagraph"/>
              <w:spacing w:before="1"/>
              <w:rPr>
                <w:b/>
                <w:sz w:val="16"/>
              </w:rPr>
            </w:pPr>
          </w:p>
          <w:p w:rsidR="00C31389" w:rsidRDefault="00561FBD" w14:paraId="35B32B37" w14:textId="77777777">
            <w:pPr>
              <w:pStyle w:val="TableParagraph"/>
              <w:spacing w:before="0" w:line="214" w:lineRule="exact"/>
              <w:ind w:left="172"/>
              <w:rPr>
                <w:rFonts w:ascii="Calibri"/>
                <w:sz w:val="18"/>
              </w:rPr>
            </w:pPr>
            <w:r>
              <w:rPr>
                <w:rFonts w:ascii="Calibri"/>
                <w:spacing w:val="-5"/>
                <w:sz w:val="18"/>
              </w:rPr>
              <w:t>$47</w:t>
            </w:r>
          </w:p>
        </w:tc>
        <w:tc>
          <w:tcPr>
            <w:tcW w:w="620" w:type="dxa"/>
          </w:tcPr>
          <w:p w:rsidR="00C31389" w:rsidRDefault="00C31389" w14:paraId="358DB1E0" w14:textId="77777777">
            <w:pPr>
              <w:pStyle w:val="TableParagraph"/>
              <w:spacing w:before="0"/>
              <w:rPr>
                <w:b/>
                <w:sz w:val="18"/>
              </w:rPr>
            </w:pPr>
          </w:p>
          <w:p w:rsidR="00C31389" w:rsidRDefault="00C31389" w14:paraId="17EDB080" w14:textId="77777777">
            <w:pPr>
              <w:pStyle w:val="TableParagraph"/>
              <w:spacing w:before="1"/>
              <w:rPr>
                <w:b/>
                <w:sz w:val="16"/>
              </w:rPr>
            </w:pPr>
          </w:p>
          <w:p w:rsidR="00C31389" w:rsidRDefault="00561FBD" w14:paraId="1498D4FA" w14:textId="77777777">
            <w:pPr>
              <w:pStyle w:val="TableParagraph"/>
              <w:spacing w:before="0" w:line="214" w:lineRule="exact"/>
              <w:ind w:left="108" w:right="108"/>
              <w:jc w:val="center"/>
              <w:rPr>
                <w:rFonts w:ascii="Calibri"/>
                <w:sz w:val="18"/>
              </w:rPr>
            </w:pPr>
            <w:r>
              <w:rPr>
                <w:rFonts w:ascii="Calibri"/>
                <w:spacing w:val="-5"/>
                <w:sz w:val="18"/>
              </w:rPr>
              <w:t>$49</w:t>
            </w:r>
          </w:p>
        </w:tc>
        <w:tc>
          <w:tcPr>
            <w:tcW w:w="620" w:type="dxa"/>
          </w:tcPr>
          <w:p w:rsidR="00C31389" w:rsidRDefault="00C31389" w14:paraId="462F3052" w14:textId="77777777">
            <w:pPr>
              <w:pStyle w:val="TableParagraph"/>
              <w:spacing w:before="0"/>
              <w:rPr>
                <w:b/>
                <w:sz w:val="18"/>
              </w:rPr>
            </w:pPr>
          </w:p>
          <w:p w:rsidR="00C31389" w:rsidRDefault="00C31389" w14:paraId="1B5D87CB" w14:textId="77777777">
            <w:pPr>
              <w:pStyle w:val="TableParagraph"/>
              <w:spacing w:before="1"/>
              <w:rPr>
                <w:b/>
                <w:sz w:val="16"/>
              </w:rPr>
            </w:pPr>
          </w:p>
          <w:p w:rsidR="00C31389" w:rsidRDefault="00561FBD" w14:paraId="6E2F2D97" w14:textId="77777777">
            <w:pPr>
              <w:pStyle w:val="TableParagraph"/>
              <w:spacing w:before="0" w:line="214" w:lineRule="exact"/>
              <w:ind w:left="107" w:right="108"/>
              <w:jc w:val="center"/>
              <w:rPr>
                <w:rFonts w:ascii="Calibri"/>
                <w:sz w:val="18"/>
              </w:rPr>
            </w:pPr>
            <w:r>
              <w:rPr>
                <w:rFonts w:ascii="Calibri"/>
                <w:spacing w:val="-5"/>
                <w:sz w:val="18"/>
              </w:rPr>
              <w:t>$54</w:t>
            </w:r>
          </w:p>
        </w:tc>
        <w:tc>
          <w:tcPr>
            <w:tcW w:w="621" w:type="dxa"/>
          </w:tcPr>
          <w:p w:rsidR="00C31389" w:rsidRDefault="00C31389" w14:paraId="22F4F890" w14:textId="77777777">
            <w:pPr>
              <w:pStyle w:val="TableParagraph"/>
              <w:spacing w:before="0"/>
              <w:rPr>
                <w:b/>
                <w:sz w:val="18"/>
              </w:rPr>
            </w:pPr>
          </w:p>
          <w:p w:rsidR="00C31389" w:rsidRDefault="00C31389" w14:paraId="2AF065C9" w14:textId="77777777">
            <w:pPr>
              <w:pStyle w:val="TableParagraph"/>
              <w:spacing w:before="1"/>
              <w:rPr>
                <w:b/>
                <w:sz w:val="16"/>
              </w:rPr>
            </w:pPr>
          </w:p>
          <w:p w:rsidR="00C31389" w:rsidRDefault="00561FBD" w14:paraId="637D8FB5" w14:textId="77777777">
            <w:pPr>
              <w:pStyle w:val="TableParagraph"/>
              <w:spacing w:before="0" w:line="214" w:lineRule="exact"/>
              <w:ind w:left="171"/>
              <w:rPr>
                <w:rFonts w:ascii="Calibri"/>
                <w:sz w:val="18"/>
              </w:rPr>
            </w:pPr>
            <w:r>
              <w:rPr>
                <w:rFonts w:ascii="Calibri"/>
                <w:spacing w:val="-5"/>
                <w:sz w:val="18"/>
              </w:rPr>
              <w:t>$55</w:t>
            </w:r>
          </w:p>
        </w:tc>
        <w:tc>
          <w:tcPr>
            <w:tcW w:w="620" w:type="dxa"/>
          </w:tcPr>
          <w:p w:rsidR="00C31389" w:rsidRDefault="00C31389" w14:paraId="62FEFBBA" w14:textId="77777777">
            <w:pPr>
              <w:pStyle w:val="TableParagraph"/>
              <w:spacing w:before="0"/>
              <w:rPr>
                <w:b/>
                <w:sz w:val="18"/>
              </w:rPr>
            </w:pPr>
          </w:p>
          <w:p w:rsidR="00C31389" w:rsidRDefault="00C31389" w14:paraId="6B0BFAC4" w14:textId="77777777">
            <w:pPr>
              <w:pStyle w:val="TableParagraph"/>
              <w:spacing w:before="1"/>
              <w:rPr>
                <w:b/>
                <w:sz w:val="16"/>
              </w:rPr>
            </w:pPr>
          </w:p>
          <w:p w:rsidR="00C31389" w:rsidRDefault="00561FBD" w14:paraId="45A01622" w14:textId="77777777">
            <w:pPr>
              <w:pStyle w:val="TableParagraph"/>
              <w:spacing w:before="0" w:line="214" w:lineRule="exact"/>
              <w:ind w:left="171"/>
              <w:rPr>
                <w:rFonts w:ascii="Calibri"/>
                <w:sz w:val="18"/>
              </w:rPr>
            </w:pPr>
            <w:r>
              <w:rPr>
                <w:rFonts w:ascii="Calibri"/>
                <w:spacing w:val="-5"/>
                <w:sz w:val="18"/>
              </w:rPr>
              <w:t>$48</w:t>
            </w:r>
          </w:p>
        </w:tc>
        <w:tc>
          <w:tcPr>
            <w:tcW w:w="620" w:type="dxa"/>
          </w:tcPr>
          <w:p w:rsidR="00C31389" w:rsidRDefault="00C31389" w14:paraId="297DE39B" w14:textId="77777777">
            <w:pPr>
              <w:pStyle w:val="TableParagraph"/>
              <w:spacing w:before="0"/>
              <w:rPr>
                <w:b/>
                <w:sz w:val="18"/>
              </w:rPr>
            </w:pPr>
          </w:p>
          <w:p w:rsidR="00C31389" w:rsidRDefault="00C31389" w14:paraId="5D916F33" w14:textId="77777777">
            <w:pPr>
              <w:pStyle w:val="TableParagraph"/>
              <w:spacing w:before="1"/>
              <w:rPr>
                <w:b/>
                <w:sz w:val="16"/>
              </w:rPr>
            </w:pPr>
          </w:p>
          <w:p w:rsidR="00C31389" w:rsidRDefault="00561FBD" w14:paraId="2F63D2B7" w14:textId="77777777">
            <w:pPr>
              <w:pStyle w:val="TableParagraph"/>
              <w:spacing w:before="0" w:line="214" w:lineRule="exact"/>
              <w:ind w:left="105" w:right="108"/>
              <w:jc w:val="center"/>
              <w:rPr>
                <w:rFonts w:ascii="Calibri"/>
                <w:sz w:val="18"/>
              </w:rPr>
            </w:pPr>
            <w:r>
              <w:rPr>
                <w:rFonts w:ascii="Calibri"/>
                <w:spacing w:val="-5"/>
                <w:sz w:val="18"/>
              </w:rPr>
              <w:t>$50</w:t>
            </w:r>
          </w:p>
        </w:tc>
        <w:tc>
          <w:tcPr>
            <w:tcW w:w="621" w:type="dxa"/>
          </w:tcPr>
          <w:p w:rsidR="00C31389" w:rsidRDefault="00C31389" w14:paraId="2397927F" w14:textId="77777777">
            <w:pPr>
              <w:pStyle w:val="TableParagraph"/>
              <w:spacing w:before="0"/>
              <w:rPr>
                <w:b/>
                <w:sz w:val="18"/>
              </w:rPr>
            </w:pPr>
          </w:p>
          <w:p w:rsidR="00C31389" w:rsidRDefault="00C31389" w14:paraId="08DBC7B7" w14:textId="77777777">
            <w:pPr>
              <w:pStyle w:val="TableParagraph"/>
              <w:spacing w:before="1"/>
              <w:rPr>
                <w:b/>
                <w:sz w:val="16"/>
              </w:rPr>
            </w:pPr>
          </w:p>
          <w:p w:rsidR="00C31389" w:rsidRDefault="00561FBD" w14:paraId="72896615" w14:textId="77777777">
            <w:pPr>
              <w:pStyle w:val="TableParagraph"/>
              <w:spacing w:before="0" w:line="214" w:lineRule="exact"/>
              <w:ind w:left="106" w:right="109"/>
              <w:jc w:val="center"/>
              <w:rPr>
                <w:rFonts w:ascii="Calibri"/>
                <w:sz w:val="18"/>
              </w:rPr>
            </w:pPr>
            <w:r>
              <w:rPr>
                <w:rFonts w:ascii="Calibri"/>
                <w:spacing w:val="-5"/>
                <w:sz w:val="18"/>
              </w:rPr>
              <w:t>$54</w:t>
            </w:r>
          </w:p>
        </w:tc>
        <w:tc>
          <w:tcPr>
            <w:tcW w:w="620" w:type="dxa"/>
          </w:tcPr>
          <w:p w:rsidR="00C31389" w:rsidRDefault="00C31389" w14:paraId="1C1E3316" w14:textId="77777777">
            <w:pPr>
              <w:pStyle w:val="TableParagraph"/>
              <w:spacing w:before="0"/>
              <w:rPr>
                <w:b/>
                <w:sz w:val="18"/>
              </w:rPr>
            </w:pPr>
          </w:p>
          <w:p w:rsidR="00C31389" w:rsidRDefault="00C31389" w14:paraId="4D9A856B" w14:textId="77777777">
            <w:pPr>
              <w:pStyle w:val="TableParagraph"/>
              <w:spacing w:before="1"/>
              <w:rPr>
                <w:b/>
                <w:sz w:val="16"/>
              </w:rPr>
            </w:pPr>
          </w:p>
          <w:p w:rsidR="00C31389" w:rsidRDefault="00561FBD" w14:paraId="3BFD3D14" w14:textId="77777777">
            <w:pPr>
              <w:pStyle w:val="TableParagraph"/>
              <w:spacing w:before="0" w:line="214" w:lineRule="exact"/>
              <w:ind w:left="170"/>
              <w:rPr>
                <w:rFonts w:ascii="Calibri"/>
                <w:sz w:val="18"/>
              </w:rPr>
            </w:pPr>
            <w:r>
              <w:rPr>
                <w:rFonts w:ascii="Calibri"/>
                <w:spacing w:val="-5"/>
                <w:sz w:val="18"/>
              </w:rPr>
              <w:t>$60</w:t>
            </w:r>
          </w:p>
        </w:tc>
        <w:tc>
          <w:tcPr>
            <w:tcW w:w="619" w:type="dxa"/>
          </w:tcPr>
          <w:p w:rsidR="00C31389" w:rsidRDefault="00C31389" w14:paraId="7D1CEE9F" w14:textId="77777777">
            <w:pPr>
              <w:pStyle w:val="TableParagraph"/>
              <w:spacing w:before="0"/>
              <w:rPr>
                <w:b/>
                <w:sz w:val="18"/>
              </w:rPr>
            </w:pPr>
          </w:p>
          <w:p w:rsidR="00C31389" w:rsidRDefault="00C31389" w14:paraId="59FB391B" w14:textId="77777777">
            <w:pPr>
              <w:pStyle w:val="TableParagraph"/>
              <w:spacing w:before="1"/>
              <w:rPr>
                <w:b/>
                <w:sz w:val="16"/>
              </w:rPr>
            </w:pPr>
          </w:p>
          <w:p w:rsidR="00C31389" w:rsidRDefault="00561FBD" w14:paraId="15CA97A7" w14:textId="77777777">
            <w:pPr>
              <w:pStyle w:val="TableParagraph"/>
              <w:spacing w:before="0" w:line="214" w:lineRule="exact"/>
              <w:ind w:left="169"/>
              <w:rPr>
                <w:rFonts w:ascii="Calibri"/>
                <w:sz w:val="18"/>
              </w:rPr>
            </w:pPr>
            <w:r>
              <w:rPr>
                <w:rFonts w:ascii="Calibri"/>
                <w:spacing w:val="-5"/>
                <w:sz w:val="18"/>
              </w:rPr>
              <w:t>$60</w:t>
            </w:r>
          </w:p>
        </w:tc>
        <w:tc>
          <w:tcPr>
            <w:tcW w:w="618" w:type="dxa"/>
          </w:tcPr>
          <w:p w:rsidR="00C31389" w:rsidRDefault="00C31389" w14:paraId="1828A927" w14:textId="77777777">
            <w:pPr>
              <w:pStyle w:val="TableParagraph"/>
              <w:spacing w:before="0"/>
              <w:rPr>
                <w:b/>
                <w:sz w:val="18"/>
              </w:rPr>
            </w:pPr>
          </w:p>
          <w:p w:rsidR="00C31389" w:rsidRDefault="00C31389" w14:paraId="6AEDFB95" w14:textId="77777777">
            <w:pPr>
              <w:pStyle w:val="TableParagraph"/>
              <w:spacing w:before="1"/>
              <w:rPr>
                <w:b/>
                <w:sz w:val="16"/>
              </w:rPr>
            </w:pPr>
          </w:p>
          <w:p w:rsidR="00C31389" w:rsidRDefault="00561FBD" w14:paraId="46D968BB" w14:textId="77777777">
            <w:pPr>
              <w:pStyle w:val="TableParagraph"/>
              <w:spacing w:before="0" w:line="214" w:lineRule="exact"/>
              <w:ind w:left="105" w:right="108"/>
              <w:jc w:val="center"/>
              <w:rPr>
                <w:rFonts w:ascii="Calibri"/>
                <w:sz w:val="18"/>
              </w:rPr>
            </w:pPr>
            <w:r>
              <w:rPr>
                <w:rFonts w:ascii="Calibri"/>
                <w:spacing w:val="-5"/>
                <w:sz w:val="18"/>
              </w:rPr>
              <w:t>$65</w:t>
            </w:r>
          </w:p>
        </w:tc>
      </w:tr>
    </w:tbl>
    <w:p w:rsidR="00C31389" w:rsidRDefault="00561FBD" w14:paraId="4658946D" w14:textId="77777777">
      <w:pPr>
        <w:spacing w:before="14"/>
        <w:ind w:left="220"/>
        <w:rPr>
          <w:i/>
          <w:sz w:val="18"/>
        </w:rPr>
      </w:pPr>
      <w:r>
        <w:rPr>
          <w:i/>
          <w:sz w:val="18"/>
        </w:rPr>
        <w:t>Source:</w:t>
      </w:r>
      <w:r>
        <w:rPr>
          <w:i/>
          <w:spacing w:val="-4"/>
          <w:sz w:val="18"/>
        </w:rPr>
        <w:t xml:space="preserve"> </w:t>
      </w:r>
      <w:r>
        <w:rPr>
          <w:i/>
          <w:spacing w:val="-2"/>
          <w:sz w:val="18"/>
        </w:rPr>
        <w:t>Guidehouse</w:t>
      </w:r>
    </w:p>
    <w:p w:rsidR="00C31389" w:rsidRDefault="00C31389" w14:paraId="4F42FC47" w14:textId="77777777">
      <w:pPr>
        <w:rPr>
          <w:sz w:val="18"/>
        </w:rPr>
        <w:sectPr w:rsidR="00C31389">
          <w:headerReference w:type="default" r:id="rId343"/>
          <w:footerReference w:type="default" r:id="rId344"/>
          <w:pgSz w:w="12240" w:h="15840"/>
          <w:pgMar w:top="1380" w:right="1240" w:bottom="1120" w:left="1220" w:header="397" w:footer="936" w:gutter="0"/>
          <w:pgNumType w:start="1"/>
          <w:cols w:space="720"/>
        </w:sectPr>
      </w:pPr>
    </w:p>
    <w:p w:rsidR="00C31389" w:rsidRDefault="00C31389" w14:paraId="57D51219" w14:textId="77777777">
      <w:pPr>
        <w:pStyle w:val="BodyText"/>
        <w:rPr>
          <w:i/>
        </w:rPr>
      </w:pPr>
    </w:p>
    <w:p w:rsidR="00C31389" w:rsidRDefault="00C31389" w14:paraId="1B2874B7" w14:textId="77777777">
      <w:pPr>
        <w:pStyle w:val="BodyText"/>
        <w:spacing w:before="1"/>
        <w:rPr>
          <w:i/>
          <w:sz w:val="14"/>
        </w:rPr>
      </w:pPr>
    </w:p>
    <w:p w:rsidR="00C31389" w:rsidRDefault="00561FBD" w14:paraId="7A1262AC" w14:textId="77777777">
      <w:pPr>
        <w:pStyle w:val="ListParagraph"/>
        <w:numPr>
          <w:ilvl w:val="1"/>
          <w:numId w:val="4"/>
        </w:numPr>
        <w:tabs>
          <w:tab w:val="left" w:pos="685"/>
        </w:tabs>
        <w:spacing w:before="90"/>
        <w:ind w:left="685" w:hanging="465"/>
        <w:rPr>
          <w:b/>
          <w:sz w:val="28"/>
        </w:rPr>
      </w:pPr>
      <w:bookmarkStart w:name="J.2_Detailed_Achievable_Energy_Impacts_b" w:id="689"/>
      <w:bookmarkStart w:name="_bookmark527" w:id="690"/>
      <w:bookmarkEnd w:id="689"/>
      <w:bookmarkEnd w:id="690"/>
      <w:r>
        <w:rPr>
          <w:b/>
          <w:sz w:val="28"/>
        </w:rPr>
        <w:t>Detailed</w:t>
      </w:r>
      <w:r>
        <w:rPr>
          <w:b/>
          <w:spacing w:val="-20"/>
          <w:sz w:val="28"/>
        </w:rPr>
        <w:t xml:space="preserve"> </w:t>
      </w:r>
      <w:r>
        <w:rPr>
          <w:b/>
          <w:sz w:val="28"/>
        </w:rPr>
        <w:t>Achievable</w:t>
      </w:r>
      <w:r>
        <w:rPr>
          <w:b/>
          <w:spacing w:val="-14"/>
          <w:sz w:val="28"/>
        </w:rPr>
        <w:t xml:space="preserve"> </w:t>
      </w:r>
      <w:r>
        <w:rPr>
          <w:b/>
          <w:sz w:val="28"/>
        </w:rPr>
        <w:t>Energy</w:t>
      </w:r>
      <w:r>
        <w:rPr>
          <w:b/>
          <w:spacing w:val="-12"/>
          <w:sz w:val="28"/>
        </w:rPr>
        <w:t xml:space="preserve"> </w:t>
      </w:r>
      <w:r>
        <w:rPr>
          <w:b/>
          <w:sz w:val="28"/>
        </w:rPr>
        <w:t>Impacts</w:t>
      </w:r>
      <w:r>
        <w:rPr>
          <w:b/>
          <w:spacing w:val="-12"/>
          <w:sz w:val="28"/>
        </w:rPr>
        <w:t xml:space="preserve"> </w:t>
      </w:r>
      <w:r>
        <w:rPr>
          <w:b/>
          <w:sz w:val="28"/>
        </w:rPr>
        <w:t>by</w:t>
      </w:r>
      <w:r>
        <w:rPr>
          <w:b/>
          <w:spacing w:val="-12"/>
          <w:sz w:val="28"/>
        </w:rPr>
        <w:t xml:space="preserve"> </w:t>
      </w:r>
      <w:r>
        <w:rPr>
          <w:b/>
          <w:spacing w:val="-5"/>
          <w:sz w:val="28"/>
        </w:rPr>
        <w:t>IOU</w:t>
      </w:r>
    </w:p>
    <w:p w:rsidR="00C31389" w:rsidRDefault="00561FBD" w14:paraId="2E606AA7" w14:textId="77777777">
      <w:pPr>
        <w:pStyle w:val="BodyText"/>
        <w:spacing w:before="241"/>
        <w:ind w:left="220"/>
      </w:pPr>
      <w:r>
        <w:t xml:space="preserve">This section presents impacts by fuel type </w:t>
      </w:r>
      <w:r>
        <w:t>using the 2022 vintage of avoided cost. The tables reflect</w:t>
      </w:r>
      <w:r>
        <w:rPr>
          <w:spacing w:val="-1"/>
        </w:rPr>
        <w:t xml:space="preserve"> </w:t>
      </w:r>
      <w:r>
        <w:t>FS</w:t>
      </w:r>
      <w:r>
        <w:rPr>
          <w:spacing w:val="-1"/>
        </w:rPr>
        <w:t xml:space="preserve"> </w:t>
      </w:r>
      <w:r>
        <w:t>as</w:t>
      </w:r>
      <w:r>
        <w:rPr>
          <w:spacing w:val="-1"/>
        </w:rPr>
        <w:t xml:space="preserve"> </w:t>
      </w:r>
      <w:r>
        <w:t>positive</w:t>
      </w:r>
      <w:r>
        <w:rPr>
          <w:spacing w:val="-1"/>
        </w:rPr>
        <w:t xml:space="preserve"> </w:t>
      </w:r>
      <w:r>
        <w:t>gas</w:t>
      </w:r>
      <w:r>
        <w:rPr>
          <w:spacing w:val="-1"/>
        </w:rPr>
        <w:t xml:space="preserve"> </w:t>
      </w:r>
      <w:r>
        <w:t>savings</w:t>
      </w:r>
      <w:r>
        <w:rPr>
          <w:spacing w:val="-1"/>
        </w:rPr>
        <w:t xml:space="preserve"> </w:t>
      </w:r>
      <w:r>
        <w:t>(decreased</w:t>
      </w:r>
      <w:r>
        <w:rPr>
          <w:spacing w:val="-1"/>
        </w:rPr>
        <w:t xml:space="preserve"> </w:t>
      </w:r>
      <w:r>
        <w:t>gas</w:t>
      </w:r>
      <w:r>
        <w:rPr>
          <w:spacing w:val="-1"/>
        </w:rPr>
        <w:t xml:space="preserve"> </w:t>
      </w:r>
      <w:r>
        <w:t>consumption)</w:t>
      </w:r>
      <w:r>
        <w:rPr>
          <w:spacing w:val="-1"/>
        </w:rPr>
        <w:t xml:space="preserve"> </w:t>
      </w:r>
      <w:r>
        <w:t>with</w:t>
      </w:r>
      <w:r>
        <w:rPr>
          <w:spacing w:val="-1"/>
        </w:rPr>
        <w:t xml:space="preserve"> </w:t>
      </w:r>
      <w:r>
        <w:t>negative</w:t>
      </w:r>
      <w:r>
        <w:rPr>
          <w:spacing w:val="-1"/>
        </w:rPr>
        <w:t xml:space="preserve"> </w:t>
      </w:r>
      <w:r>
        <w:t>electric</w:t>
      </w:r>
      <w:r>
        <w:rPr>
          <w:spacing w:val="-2"/>
        </w:rPr>
        <w:t xml:space="preserve"> </w:t>
      </w:r>
      <w:r>
        <w:t>savings (increased</w:t>
      </w:r>
      <w:r>
        <w:rPr>
          <w:spacing w:val="-3"/>
        </w:rPr>
        <w:t xml:space="preserve"> </w:t>
      </w:r>
      <w:r>
        <w:t>electric</w:t>
      </w:r>
      <w:r>
        <w:rPr>
          <w:spacing w:val="-4"/>
        </w:rPr>
        <w:t xml:space="preserve"> </w:t>
      </w:r>
      <w:r>
        <w:t>consumption).</w:t>
      </w:r>
      <w:r>
        <w:rPr>
          <w:spacing w:val="-3"/>
        </w:rPr>
        <w:t xml:space="preserve"> </w:t>
      </w:r>
      <w:r>
        <w:t>In</w:t>
      </w:r>
      <w:r>
        <w:rPr>
          <w:spacing w:val="-3"/>
        </w:rPr>
        <w:t xml:space="preserve"> </w:t>
      </w:r>
      <w:r>
        <w:t>this</w:t>
      </w:r>
      <w:r>
        <w:rPr>
          <w:spacing w:val="-3"/>
        </w:rPr>
        <w:t xml:space="preserve"> </w:t>
      </w:r>
      <w:r>
        <w:t>section,</w:t>
      </w:r>
      <w:r>
        <w:rPr>
          <w:spacing w:val="-4"/>
        </w:rPr>
        <w:t xml:space="preserve"> </w:t>
      </w:r>
      <w:r>
        <w:t>SCE</w:t>
      </w:r>
      <w:r>
        <w:rPr>
          <w:spacing w:val="-3"/>
        </w:rPr>
        <w:t xml:space="preserve"> </w:t>
      </w:r>
      <w:r>
        <w:t>shows</w:t>
      </w:r>
      <w:r>
        <w:rPr>
          <w:spacing w:val="-3"/>
        </w:rPr>
        <w:t xml:space="preserve"> </w:t>
      </w:r>
      <w:r>
        <w:t>gas</w:t>
      </w:r>
      <w:r>
        <w:rPr>
          <w:spacing w:val="-3"/>
        </w:rPr>
        <w:t xml:space="preserve"> </w:t>
      </w:r>
      <w:r>
        <w:t>savings</w:t>
      </w:r>
      <w:r>
        <w:rPr>
          <w:spacing w:val="-4"/>
        </w:rPr>
        <w:t xml:space="preserve"> </w:t>
      </w:r>
      <w:r>
        <w:t>due</w:t>
      </w:r>
      <w:r>
        <w:rPr>
          <w:spacing w:val="-3"/>
        </w:rPr>
        <w:t xml:space="preserve"> </w:t>
      </w:r>
      <w:r>
        <w:t>to</w:t>
      </w:r>
      <w:r>
        <w:rPr>
          <w:spacing w:val="-3"/>
        </w:rPr>
        <w:t xml:space="preserve"> </w:t>
      </w:r>
      <w:r>
        <w:t>FS</w:t>
      </w:r>
      <w:r>
        <w:rPr>
          <w:spacing w:val="-3"/>
        </w:rPr>
        <w:t xml:space="preserve"> </w:t>
      </w:r>
      <w:r>
        <w:t xml:space="preserve">measures funded by SCE </w:t>
      </w:r>
      <w:r>
        <w:t>ratepayers.</w:t>
      </w:r>
    </w:p>
    <w:p w:rsidR="00C31389" w:rsidRDefault="00C31389" w14:paraId="43E86069" w14:textId="77777777">
      <w:pPr>
        <w:pStyle w:val="BodyText"/>
        <w:spacing w:before="10"/>
        <w:rPr>
          <w:sz w:val="20"/>
        </w:rPr>
      </w:pPr>
    </w:p>
    <w:p w:rsidR="00C31389" w:rsidRDefault="00561FBD" w14:paraId="44C76A85" w14:textId="77777777">
      <w:pPr>
        <w:pStyle w:val="ListParagraph"/>
        <w:numPr>
          <w:ilvl w:val="2"/>
          <w:numId w:val="4"/>
        </w:numPr>
        <w:tabs>
          <w:tab w:val="left" w:pos="936"/>
        </w:tabs>
        <w:ind w:left="936" w:hanging="716"/>
        <w:rPr>
          <w:b/>
          <w:sz w:val="24"/>
        </w:rPr>
      </w:pPr>
      <w:bookmarkStart w:name="J.2.1_PG&amp;E" w:id="691"/>
      <w:bookmarkEnd w:id="691"/>
      <w:r>
        <w:rPr>
          <w:b/>
          <w:spacing w:val="-4"/>
          <w:sz w:val="24"/>
        </w:rPr>
        <w:t>PG&amp;E</w:t>
      </w:r>
    </w:p>
    <w:p w:rsidR="00C31389" w:rsidRDefault="00C31389" w14:paraId="314E4A02" w14:textId="77777777">
      <w:pPr>
        <w:pStyle w:val="BodyText"/>
        <w:spacing w:before="10"/>
        <w:rPr>
          <w:b/>
          <w:sz w:val="20"/>
        </w:rPr>
      </w:pPr>
    </w:p>
    <w:p w:rsidR="00C31389" w:rsidRDefault="00561FBD" w14:paraId="2379F277" w14:textId="77777777">
      <w:pPr>
        <w:pStyle w:val="Heading7"/>
        <w:ind w:left="1979" w:right="1962"/>
        <w:jc w:val="center"/>
      </w:pPr>
      <w:bookmarkStart w:name="_bookmark528" w:id="692"/>
      <w:bookmarkEnd w:id="692"/>
      <w:r>
        <w:t>Table</w:t>
      </w:r>
      <w:r>
        <w:rPr>
          <w:spacing w:val="-8"/>
        </w:rPr>
        <w:t xml:space="preserve"> </w:t>
      </w:r>
      <w:r>
        <w:t>J-2.</w:t>
      </w:r>
      <w:r>
        <w:rPr>
          <w:spacing w:val="-7"/>
        </w:rPr>
        <w:t xml:space="preserve"> </w:t>
      </w:r>
      <w:r>
        <w:t>PG&amp;E</w:t>
      </w:r>
      <w:r>
        <w:rPr>
          <w:spacing w:val="-8"/>
        </w:rPr>
        <w:t xml:space="preserve"> </w:t>
      </w:r>
      <w:r>
        <w:t>Electric</w:t>
      </w:r>
      <w:r>
        <w:rPr>
          <w:spacing w:val="-7"/>
        </w:rPr>
        <w:t xml:space="preserve"> </w:t>
      </w:r>
      <w:r>
        <w:t>Energy</w:t>
      </w:r>
      <w:r>
        <w:rPr>
          <w:spacing w:val="-8"/>
        </w:rPr>
        <w:t xml:space="preserve"> </w:t>
      </w:r>
      <w:r>
        <w:t>Savings</w:t>
      </w:r>
      <w:r>
        <w:rPr>
          <w:spacing w:val="-7"/>
        </w:rPr>
        <w:t xml:space="preserve"> </w:t>
      </w:r>
      <w:r>
        <w:rPr>
          <w:spacing w:val="-2"/>
        </w:rPr>
        <w:t>(GWh/year)</w:t>
      </w:r>
    </w:p>
    <w:p w:rsidR="00C31389" w:rsidRDefault="00C31389" w14:paraId="18577A80"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429"/>
        <w:gridCol w:w="861"/>
        <w:gridCol w:w="778"/>
        <w:gridCol w:w="643"/>
        <w:gridCol w:w="630"/>
        <w:gridCol w:w="630"/>
        <w:gridCol w:w="630"/>
        <w:gridCol w:w="630"/>
        <w:gridCol w:w="630"/>
        <w:gridCol w:w="630"/>
        <w:gridCol w:w="630"/>
        <w:gridCol w:w="630"/>
        <w:gridCol w:w="622"/>
      </w:tblGrid>
      <w:tr w:rsidR="00C31389" w14:paraId="01789456" w14:textId="77777777">
        <w:trPr>
          <w:trHeight w:val="304"/>
        </w:trPr>
        <w:tc>
          <w:tcPr>
            <w:tcW w:w="1429" w:type="dxa"/>
            <w:shd w:val="clear" w:color="auto" w:fill="92D400"/>
          </w:tcPr>
          <w:p w:rsidR="00C31389" w:rsidRDefault="00561FBD" w14:paraId="6F034DF9" w14:textId="77777777">
            <w:pPr>
              <w:pStyle w:val="TableParagraph"/>
              <w:spacing w:before="41"/>
              <w:ind w:left="121"/>
              <w:rPr>
                <w:b/>
                <w:sz w:val="17"/>
              </w:rPr>
            </w:pPr>
            <w:r>
              <w:rPr>
                <w:b/>
                <w:spacing w:val="-4"/>
                <w:sz w:val="17"/>
              </w:rPr>
              <w:t>Year</w:t>
            </w:r>
          </w:p>
        </w:tc>
        <w:tc>
          <w:tcPr>
            <w:tcW w:w="861" w:type="dxa"/>
            <w:shd w:val="clear" w:color="auto" w:fill="92D400"/>
          </w:tcPr>
          <w:p w:rsidR="00C31389" w:rsidRDefault="00561FBD" w14:paraId="6CD3429D" w14:textId="77777777">
            <w:pPr>
              <w:pStyle w:val="TableParagraph"/>
              <w:spacing w:before="41"/>
              <w:ind w:right="114"/>
              <w:jc w:val="right"/>
              <w:rPr>
                <w:b/>
                <w:sz w:val="17"/>
              </w:rPr>
            </w:pPr>
            <w:r>
              <w:rPr>
                <w:b/>
                <w:spacing w:val="-4"/>
                <w:sz w:val="17"/>
              </w:rPr>
              <w:t>2024</w:t>
            </w:r>
          </w:p>
        </w:tc>
        <w:tc>
          <w:tcPr>
            <w:tcW w:w="778" w:type="dxa"/>
            <w:shd w:val="clear" w:color="auto" w:fill="92D400"/>
          </w:tcPr>
          <w:p w:rsidR="00C31389" w:rsidRDefault="00561FBD" w14:paraId="7FAF764B" w14:textId="77777777">
            <w:pPr>
              <w:pStyle w:val="TableParagraph"/>
              <w:spacing w:before="41"/>
              <w:ind w:right="125"/>
              <w:jc w:val="right"/>
              <w:rPr>
                <w:b/>
                <w:sz w:val="17"/>
              </w:rPr>
            </w:pPr>
            <w:r>
              <w:rPr>
                <w:b/>
                <w:spacing w:val="-4"/>
                <w:sz w:val="17"/>
              </w:rPr>
              <w:t>2025</w:t>
            </w:r>
          </w:p>
        </w:tc>
        <w:tc>
          <w:tcPr>
            <w:tcW w:w="643" w:type="dxa"/>
            <w:shd w:val="clear" w:color="auto" w:fill="92D400"/>
          </w:tcPr>
          <w:p w:rsidR="00C31389" w:rsidRDefault="00561FBD" w14:paraId="095A25CB" w14:textId="77777777">
            <w:pPr>
              <w:pStyle w:val="TableParagraph"/>
              <w:spacing w:before="41"/>
              <w:ind w:right="112"/>
              <w:jc w:val="right"/>
              <w:rPr>
                <w:b/>
                <w:sz w:val="17"/>
              </w:rPr>
            </w:pPr>
            <w:r>
              <w:rPr>
                <w:b/>
                <w:spacing w:val="-4"/>
                <w:sz w:val="17"/>
              </w:rPr>
              <w:t>2026</w:t>
            </w:r>
          </w:p>
        </w:tc>
        <w:tc>
          <w:tcPr>
            <w:tcW w:w="630" w:type="dxa"/>
            <w:shd w:val="clear" w:color="auto" w:fill="92D400"/>
          </w:tcPr>
          <w:p w:rsidR="00C31389" w:rsidRDefault="00561FBD" w14:paraId="62688AAD" w14:textId="77777777">
            <w:pPr>
              <w:pStyle w:val="TableParagraph"/>
              <w:spacing w:before="41"/>
              <w:ind w:right="112"/>
              <w:jc w:val="right"/>
              <w:rPr>
                <w:b/>
                <w:sz w:val="17"/>
              </w:rPr>
            </w:pPr>
            <w:r>
              <w:rPr>
                <w:b/>
                <w:spacing w:val="-4"/>
                <w:sz w:val="17"/>
              </w:rPr>
              <w:t>2027</w:t>
            </w:r>
          </w:p>
        </w:tc>
        <w:tc>
          <w:tcPr>
            <w:tcW w:w="630" w:type="dxa"/>
            <w:shd w:val="clear" w:color="auto" w:fill="92D400"/>
          </w:tcPr>
          <w:p w:rsidR="00C31389" w:rsidRDefault="00561FBD" w14:paraId="5F9CF5F3" w14:textId="77777777">
            <w:pPr>
              <w:pStyle w:val="TableParagraph"/>
              <w:spacing w:before="41"/>
              <w:ind w:right="112"/>
              <w:jc w:val="right"/>
              <w:rPr>
                <w:b/>
                <w:sz w:val="17"/>
              </w:rPr>
            </w:pPr>
            <w:r>
              <w:rPr>
                <w:b/>
                <w:spacing w:val="-4"/>
                <w:sz w:val="17"/>
              </w:rPr>
              <w:t>2028</w:t>
            </w:r>
          </w:p>
        </w:tc>
        <w:tc>
          <w:tcPr>
            <w:tcW w:w="630" w:type="dxa"/>
            <w:shd w:val="clear" w:color="auto" w:fill="92D400"/>
          </w:tcPr>
          <w:p w:rsidR="00C31389" w:rsidRDefault="00561FBD" w14:paraId="239442B9" w14:textId="77777777">
            <w:pPr>
              <w:pStyle w:val="TableParagraph"/>
              <w:spacing w:before="41"/>
              <w:ind w:right="112"/>
              <w:jc w:val="right"/>
              <w:rPr>
                <w:b/>
                <w:sz w:val="17"/>
              </w:rPr>
            </w:pPr>
            <w:r>
              <w:rPr>
                <w:b/>
                <w:spacing w:val="-4"/>
                <w:sz w:val="17"/>
              </w:rPr>
              <w:t>2029</w:t>
            </w:r>
          </w:p>
        </w:tc>
        <w:tc>
          <w:tcPr>
            <w:tcW w:w="630" w:type="dxa"/>
            <w:shd w:val="clear" w:color="auto" w:fill="92D400"/>
          </w:tcPr>
          <w:p w:rsidR="00C31389" w:rsidRDefault="00561FBD" w14:paraId="09D065B6" w14:textId="77777777">
            <w:pPr>
              <w:pStyle w:val="TableParagraph"/>
              <w:spacing w:before="41"/>
              <w:ind w:right="112"/>
              <w:jc w:val="right"/>
              <w:rPr>
                <w:b/>
                <w:sz w:val="17"/>
              </w:rPr>
            </w:pPr>
            <w:r>
              <w:rPr>
                <w:b/>
                <w:spacing w:val="-4"/>
                <w:sz w:val="17"/>
              </w:rPr>
              <w:t>2030</w:t>
            </w:r>
          </w:p>
        </w:tc>
        <w:tc>
          <w:tcPr>
            <w:tcW w:w="630" w:type="dxa"/>
            <w:shd w:val="clear" w:color="auto" w:fill="92D400"/>
          </w:tcPr>
          <w:p w:rsidR="00C31389" w:rsidRDefault="00561FBD" w14:paraId="1ADABAEE" w14:textId="77777777">
            <w:pPr>
              <w:pStyle w:val="TableParagraph"/>
              <w:spacing w:before="41"/>
              <w:ind w:right="112"/>
              <w:jc w:val="right"/>
              <w:rPr>
                <w:b/>
                <w:sz w:val="17"/>
              </w:rPr>
            </w:pPr>
            <w:r>
              <w:rPr>
                <w:b/>
                <w:spacing w:val="-4"/>
                <w:sz w:val="17"/>
              </w:rPr>
              <w:t>2031</w:t>
            </w:r>
          </w:p>
        </w:tc>
        <w:tc>
          <w:tcPr>
            <w:tcW w:w="630" w:type="dxa"/>
            <w:shd w:val="clear" w:color="auto" w:fill="92D400"/>
          </w:tcPr>
          <w:p w:rsidR="00C31389" w:rsidRDefault="00561FBD" w14:paraId="5441FEB2" w14:textId="77777777">
            <w:pPr>
              <w:pStyle w:val="TableParagraph"/>
              <w:spacing w:before="41"/>
              <w:ind w:left="120" w:right="98"/>
              <w:jc w:val="center"/>
              <w:rPr>
                <w:b/>
                <w:sz w:val="17"/>
              </w:rPr>
            </w:pPr>
            <w:r>
              <w:rPr>
                <w:b/>
                <w:spacing w:val="-4"/>
                <w:sz w:val="17"/>
              </w:rPr>
              <w:t>2032</w:t>
            </w:r>
          </w:p>
        </w:tc>
        <w:tc>
          <w:tcPr>
            <w:tcW w:w="630" w:type="dxa"/>
            <w:shd w:val="clear" w:color="auto" w:fill="92D400"/>
          </w:tcPr>
          <w:p w:rsidR="00C31389" w:rsidRDefault="00561FBD" w14:paraId="02D4E263" w14:textId="77777777">
            <w:pPr>
              <w:pStyle w:val="TableParagraph"/>
              <w:spacing w:before="41"/>
              <w:ind w:right="112"/>
              <w:jc w:val="right"/>
              <w:rPr>
                <w:b/>
                <w:sz w:val="17"/>
              </w:rPr>
            </w:pPr>
            <w:r>
              <w:rPr>
                <w:b/>
                <w:spacing w:val="-4"/>
                <w:sz w:val="17"/>
              </w:rPr>
              <w:t>2033</w:t>
            </w:r>
          </w:p>
        </w:tc>
        <w:tc>
          <w:tcPr>
            <w:tcW w:w="630" w:type="dxa"/>
            <w:shd w:val="clear" w:color="auto" w:fill="92D400"/>
          </w:tcPr>
          <w:p w:rsidR="00C31389" w:rsidRDefault="00561FBD" w14:paraId="3BFD9CC6" w14:textId="77777777">
            <w:pPr>
              <w:pStyle w:val="TableParagraph"/>
              <w:spacing w:before="41"/>
              <w:ind w:right="112"/>
              <w:jc w:val="right"/>
              <w:rPr>
                <w:b/>
                <w:sz w:val="17"/>
              </w:rPr>
            </w:pPr>
            <w:r>
              <w:rPr>
                <w:b/>
                <w:spacing w:val="-4"/>
                <w:sz w:val="17"/>
              </w:rPr>
              <w:t>2034</w:t>
            </w:r>
          </w:p>
        </w:tc>
        <w:tc>
          <w:tcPr>
            <w:tcW w:w="622" w:type="dxa"/>
            <w:shd w:val="clear" w:color="auto" w:fill="92D400"/>
          </w:tcPr>
          <w:p w:rsidR="00C31389" w:rsidRDefault="00561FBD" w14:paraId="0B74233D" w14:textId="77777777">
            <w:pPr>
              <w:pStyle w:val="TableParagraph"/>
              <w:spacing w:before="41"/>
              <w:ind w:right="104"/>
              <w:jc w:val="right"/>
              <w:rPr>
                <w:b/>
                <w:sz w:val="17"/>
              </w:rPr>
            </w:pPr>
            <w:r>
              <w:rPr>
                <w:b/>
                <w:spacing w:val="-4"/>
                <w:sz w:val="17"/>
              </w:rPr>
              <w:t>2035</w:t>
            </w:r>
          </w:p>
        </w:tc>
      </w:tr>
      <w:tr w:rsidR="00C31389" w14:paraId="564F518B" w14:textId="77777777">
        <w:trPr>
          <w:trHeight w:val="275"/>
        </w:trPr>
        <w:tc>
          <w:tcPr>
            <w:tcW w:w="9373" w:type="dxa"/>
            <w:gridSpan w:val="13"/>
            <w:tcBorders>
              <w:bottom w:val="single" w:color="DCDDDE" w:sz="4" w:space="0"/>
            </w:tcBorders>
            <w:shd w:val="clear" w:color="auto" w:fill="BEBEBE"/>
          </w:tcPr>
          <w:p w:rsidR="00C31389" w:rsidRDefault="00561FBD" w14:paraId="09DF4B10" w14:textId="77777777">
            <w:pPr>
              <w:pStyle w:val="TableParagraph"/>
              <w:spacing w:before="41"/>
              <w:ind w:left="121"/>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14B3D9BF" w14:textId="77777777">
        <w:trPr>
          <w:trHeight w:val="275"/>
        </w:trPr>
        <w:tc>
          <w:tcPr>
            <w:tcW w:w="1429" w:type="dxa"/>
            <w:tcBorders>
              <w:top w:val="single" w:color="DCDDDE" w:sz="4" w:space="0"/>
              <w:bottom w:val="single" w:color="DCDDDE" w:sz="4" w:space="0"/>
            </w:tcBorders>
          </w:tcPr>
          <w:p w:rsidR="00C31389" w:rsidRDefault="00561FBD" w14:paraId="3BF837B2" w14:textId="77777777">
            <w:pPr>
              <w:pStyle w:val="TableParagraph"/>
              <w:ind w:left="121"/>
              <w:rPr>
                <w:sz w:val="17"/>
              </w:rPr>
            </w:pPr>
            <w:r>
              <w:rPr>
                <w:spacing w:val="-5"/>
                <w:sz w:val="17"/>
              </w:rPr>
              <w:t>EE</w:t>
            </w:r>
          </w:p>
        </w:tc>
        <w:tc>
          <w:tcPr>
            <w:tcW w:w="861" w:type="dxa"/>
            <w:tcBorders>
              <w:top w:val="single" w:color="DCDDDE" w:sz="4" w:space="0"/>
              <w:bottom w:val="single" w:color="D9D9D9" w:sz="8" w:space="0"/>
            </w:tcBorders>
          </w:tcPr>
          <w:p w:rsidR="00C31389" w:rsidRDefault="00561FBD" w14:paraId="3C7D82ED" w14:textId="77777777">
            <w:pPr>
              <w:pStyle w:val="TableParagraph"/>
              <w:spacing w:before="39"/>
              <w:ind w:right="116"/>
              <w:jc w:val="right"/>
              <w:rPr>
                <w:rFonts w:ascii="Calibri"/>
                <w:sz w:val="16"/>
              </w:rPr>
            </w:pPr>
            <w:r>
              <w:rPr>
                <w:rFonts w:ascii="Calibri"/>
                <w:spacing w:val="-4"/>
                <w:sz w:val="16"/>
              </w:rPr>
              <w:t>81.8</w:t>
            </w:r>
          </w:p>
        </w:tc>
        <w:tc>
          <w:tcPr>
            <w:tcW w:w="778" w:type="dxa"/>
            <w:tcBorders>
              <w:top w:val="single" w:color="DCDDDE" w:sz="4" w:space="0"/>
              <w:bottom w:val="single" w:color="D9D9D9" w:sz="8" w:space="0"/>
            </w:tcBorders>
          </w:tcPr>
          <w:p w:rsidR="00C31389" w:rsidRDefault="00561FBD" w14:paraId="3614A114" w14:textId="77777777">
            <w:pPr>
              <w:pStyle w:val="TableParagraph"/>
              <w:spacing w:before="39"/>
              <w:ind w:right="127"/>
              <w:jc w:val="right"/>
              <w:rPr>
                <w:rFonts w:ascii="Calibri"/>
                <w:sz w:val="16"/>
              </w:rPr>
            </w:pPr>
            <w:r>
              <w:rPr>
                <w:rFonts w:ascii="Calibri"/>
                <w:spacing w:val="-4"/>
                <w:sz w:val="16"/>
              </w:rPr>
              <w:t>76.7</w:t>
            </w:r>
          </w:p>
        </w:tc>
        <w:tc>
          <w:tcPr>
            <w:tcW w:w="643" w:type="dxa"/>
            <w:tcBorders>
              <w:top w:val="single" w:color="DCDDDE" w:sz="4" w:space="0"/>
              <w:bottom w:val="single" w:color="D9D9D9" w:sz="8" w:space="0"/>
            </w:tcBorders>
          </w:tcPr>
          <w:p w:rsidR="00C31389" w:rsidRDefault="00561FBD" w14:paraId="50745415" w14:textId="77777777">
            <w:pPr>
              <w:pStyle w:val="TableParagraph"/>
              <w:spacing w:before="39"/>
              <w:ind w:right="114"/>
              <w:jc w:val="right"/>
              <w:rPr>
                <w:rFonts w:ascii="Calibri"/>
                <w:sz w:val="16"/>
              </w:rPr>
            </w:pPr>
            <w:r>
              <w:rPr>
                <w:rFonts w:ascii="Calibri"/>
                <w:spacing w:val="-4"/>
                <w:sz w:val="16"/>
              </w:rPr>
              <w:t>68.0</w:t>
            </w:r>
          </w:p>
        </w:tc>
        <w:tc>
          <w:tcPr>
            <w:tcW w:w="630" w:type="dxa"/>
            <w:tcBorders>
              <w:top w:val="single" w:color="DCDDDE" w:sz="4" w:space="0"/>
              <w:bottom w:val="single" w:color="D9D9D9" w:sz="8" w:space="0"/>
            </w:tcBorders>
          </w:tcPr>
          <w:p w:rsidR="00C31389" w:rsidRDefault="00561FBD" w14:paraId="19CA7EFA" w14:textId="77777777">
            <w:pPr>
              <w:pStyle w:val="TableParagraph"/>
              <w:spacing w:before="39"/>
              <w:ind w:right="114"/>
              <w:jc w:val="right"/>
              <w:rPr>
                <w:rFonts w:ascii="Calibri"/>
                <w:sz w:val="16"/>
              </w:rPr>
            </w:pPr>
            <w:r>
              <w:rPr>
                <w:rFonts w:ascii="Calibri"/>
                <w:spacing w:val="-4"/>
                <w:sz w:val="16"/>
              </w:rPr>
              <w:t>59.9</w:t>
            </w:r>
          </w:p>
        </w:tc>
        <w:tc>
          <w:tcPr>
            <w:tcW w:w="630" w:type="dxa"/>
            <w:tcBorders>
              <w:top w:val="single" w:color="DCDDDE" w:sz="4" w:space="0"/>
              <w:bottom w:val="single" w:color="D9D9D9" w:sz="8" w:space="0"/>
            </w:tcBorders>
          </w:tcPr>
          <w:p w:rsidR="00C31389" w:rsidRDefault="00561FBD" w14:paraId="0875EC07" w14:textId="77777777">
            <w:pPr>
              <w:pStyle w:val="TableParagraph"/>
              <w:spacing w:before="39"/>
              <w:ind w:right="114"/>
              <w:jc w:val="right"/>
              <w:rPr>
                <w:rFonts w:ascii="Calibri"/>
                <w:sz w:val="16"/>
              </w:rPr>
            </w:pPr>
            <w:r>
              <w:rPr>
                <w:rFonts w:ascii="Calibri"/>
                <w:spacing w:val="-4"/>
                <w:sz w:val="16"/>
              </w:rPr>
              <w:t>58.5</w:t>
            </w:r>
          </w:p>
        </w:tc>
        <w:tc>
          <w:tcPr>
            <w:tcW w:w="630" w:type="dxa"/>
            <w:tcBorders>
              <w:top w:val="single" w:color="DCDDDE" w:sz="4" w:space="0"/>
              <w:bottom w:val="single" w:color="D9D9D9" w:sz="8" w:space="0"/>
            </w:tcBorders>
          </w:tcPr>
          <w:p w:rsidR="00C31389" w:rsidRDefault="00561FBD" w14:paraId="2EEC8CA7" w14:textId="77777777">
            <w:pPr>
              <w:pStyle w:val="TableParagraph"/>
              <w:spacing w:before="39"/>
              <w:ind w:right="114"/>
              <w:jc w:val="right"/>
              <w:rPr>
                <w:rFonts w:ascii="Calibri"/>
                <w:sz w:val="16"/>
              </w:rPr>
            </w:pPr>
            <w:r>
              <w:rPr>
                <w:rFonts w:ascii="Calibri"/>
                <w:spacing w:val="-4"/>
                <w:sz w:val="16"/>
              </w:rPr>
              <w:t>55.0</w:t>
            </w:r>
          </w:p>
        </w:tc>
        <w:tc>
          <w:tcPr>
            <w:tcW w:w="630" w:type="dxa"/>
            <w:tcBorders>
              <w:top w:val="single" w:color="DCDDDE" w:sz="4" w:space="0"/>
              <w:bottom w:val="single" w:color="D9D9D9" w:sz="8" w:space="0"/>
            </w:tcBorders>
          </w:tcPr>
          <w:p w:rsidR="00C31389" w:rsidRDefault="00561FBD" w14:paraId="43DCC0C7" w14:textId="77777777">
            <w:pPr>
              <w:pStyle w:val="TableParagraph"/>
              <w:spacing w:before="39"/>
              <w:ind w:right="114"/>
              <w:jc w:val="right"/>
              <w:rPr>
                <w:rFonts w:ascii="Calibri"/>
                <w:sz w:val="16"/>
              </w:rPr>
            </w:pPr>
            <w:r>
              <w:rPr>
                <w:rFonts w:ascii="Calibri"/>
                <w:spacing w:val="-4"/>
                <w:sz w:val="16"/>
              </w:rPr>
              <w:t>62.5</w:t>
            </w:r>
          </w:p>
        </w:tc>
        <w:tc>
          <w:tcPr>
            <w:tcW w:w="630" w:type="dxa"/>
            <w:tcBorders>
              <w:top w:val="single" w:color="DCDDDE" w:sz="4" w:space="0"/>
              <w:bottom w:val="single" w:color="D9D9D9" w:sz="8" w:space="0"/>
            </w:tcBorders>
          </w:tcPr>
          <w:p w:rsidR="00C31389" w:rsidRDefault="00561FBD" w14:paraId="06DC7188" w14:textId="77777777">
            <w:pPr>
              <w:pStyle w:val="TableParagraph"/>
              <w:spacing w:before="39"/>
              <w:ind w:right="114"/>
              <w:jc w:val="right"/>
              <w:rPr>
                <w:rFonts w:ascii="Calibri"/>
                <w:sz w:val="16"/>
              </w:rPr>
            </w:pPr>
            <w:r>
              <w:rPr>
                <w:rFonts w:ascii="Calibri"/>
                <w:spacing w:val="-4"/>
                <w:sz w:val="16"/>
              </w:rPr>
              <w:t>55.6</w:t>
            </w:r>
          </w:p>
        </w:tc>
        <w:tc>
          <w:tcPr>
            <w:tcW w:w="630" w:type="dxa"/>
            <w:tcBorders>
              <w:top w:val="single" w:color="DCDDDE" w:sz="4" w:space="0"/>
              <w:bottom w:val="single" w:color="D9D9D9" w:sz="8" w:space="0"/>
            </w:tcBorders>
          </w:tcPr>
          <w:p w:rsidR="00C31389" w:rsidRDefault="00561FBD" w14:paraId="51FC1CB6" w14:textId="77777777">
            <w:pPr>
              <w:pStyle w:val="TableParagraph"/>
              <w:spacing w:before="39"/>
              <w:ind w:left="124" w:right="9"/>
              <w:jc w:val="center"/>
              <w:rPr>
                <w:rFonts w:ascii="Calibri"/>
                <w:sz w:val="16"/>
              </w:rPr>
            </w:pPr>
            <w:r>
              <w:rPr>
                <w:rFonts w:ascii="Calibri"/>
                <w:spacing w:val="-4"/>
                <w:sz w:val="16"/>
              </w:rPr>
              <w:t>54.9</w:t>
            </w:r>
          </w:p>
        </w:tc>
        <w:tc>
          <w:tcPr>
            <w:tcW w:w="630" w:type="dxa"/>
            <w:tcBorders>
              <w:top w:val="single" w:color="DCDDDE" w:sz="4" w:space="0"/>
              <w:bottom w:val="single" w:color="D9D9D9" w:sz="8" w:space="0"/>
            </w:tcBorders>
          </w:tcPr>
          <w:p w:rsidR="00C31389" w:rsidRDefault="00561FBD" w14:paraId="4FE655B2" w14:textId="77777777">
            <w:pPr>
              <w:pStyle w:val="TableParagraph"/>
              <w:spacing w:before="39"/>
              <w:ind w:right="114"/>
              <w:jc w:val="right"/>
              <w:rPr>
                <w:rFonts w:ascii="Calibri"/>
                <w:sz w:val="16"/>
              </w:rPr>
            </w:pPr>
            <w:r>
              <w:rPr>
                <w:rFonts w:ascii="Calibri"/>
                <w:spacing w:val="-4"/>
                <w:sz w:val="16"/>
              </w:rPr>
              <w:t>53.7</w:t>
            </w:r>
          </w:p>
        </w:tc>
        <w:tc>
          <w:tcPr>
            <w:tcW w:w="630" w:type="dxa"/>
            <w:tcBorders>
              <w:top w:val="single" w:color="DCDDDE" w:sz="4" w:space="0"/>
              <w:bottom w:val="single" w:color="D9D9D9" w:sz="8" w:space="0"/>
            </w:tcBorders>
          </w:tcPr>
          <w:p w:rsidR="00C31389" w:rsidRDefault="00561FBD" w14:paraId="527276DD" w14:textId="77777777">
            <w:pPr>
              <w:pStyle w:val="TableParagraph"/>
              <w:spacing w:before="39"/>
              <w:ind w:right="114"/>
              <w:jc w:val="right"/>
              <w:rPr>
                <w:rFonts w:ascii="Calibri"/>
                <w:sz w:val="16"/>
              </w:rPr>
            </w:pPr>
            <w:r>
              <w:rPr>
                <w:rFonts w:ascii="Calibri"/>
                <w:spacing w:val="-4"/>
                <w:sz w:val="16"/>
              </w:rPr>
              <w:t>53.4</w:t>
            </w:r>
          </w:p>
        </w:tc>
        <w:tc>
          <w:tcPr>
            <w:tcW w:w="622" w:type="dxa"/>
            <w:tcBorders>
              <w:top w:val="single" w:color="DCDDDE" w:sz="4" w:space="0"/>
              <w:bottom w:val="single" w:color="D9D9D9" w:sz="8" w:space="0"/>
            </w:tcBorders>
          </w:tcPr>
          <w:p w:rsidR="00C31389" w:rsidRDefault="00561FBD" w14:paraId="0C46D707" w14:textId="77777777">
            <w:pPr>
              <w:pStyle w:val="TableParagraph"/>
              <w:spacing w:before="39"/>
              <w:ind w:right="106"/>
              <w:jc w:val="right"/>
              <w:rPr>
                <w:rFonts w:ascii="Calibri"/>
                <w:sz w:val="16"/>
              </w:rPr>
            </w:pPr>
            <w:r>
              <w:rPr>
                <w:rFonts w:ascii="Calibri"/>
                <w:spacing w:val="-4"/>
                <w:sz w:val="16"/>
              </w:rPr>
              <w:t>53.3</w:t>
            </w:r>
          </w:p>
        </w:tc>
      </w:tr>
      <w:tr w:rsidR="00C31389" w14:paraId="3CDF513C" w14:textId="77777777">
        <w:trPr>
          <w:trHeight w:val="275"/>
        </w:trPr>
        <w:tc>
          <w:tcPr>
            <w:tcW w:w="1429" w:type="dxa"/>
            <w:tcBorders>
              <w:top w:val="single" w:color="DCDDDE" w:sz="4" w:space="0"/>
              <w:bottom w:val="single" w:color="DCDDDE" w:sz="4" w:space="0"/>
            </w:tcBorders>
          </w:tcPr>
          <w:p w:rsidR="00C31389" w:rsidRDefault="00561FBD" w14:paraId="52B542B0" w14:textId="77777777">
            <w:pPr>
              <w:pStyle w:val="TableParagraph"/>
              <w:spacing w:before="41"/>
              <w:ind w:left="121"/>
              <w:rPr>
                <w:sz w:val="17"/>
              </w:rPr>
            </w:pPr>
            <w:r>
              <w:rPr>
                <w:spacing w:val="-5"/>
                <w:sz w:val="17"/>
              </w:rPr>
              <w:t>FS</w:t>
            </w:r>
          </w:p>
        </w:tc>
        <w:tc>
          <w:tcPr>
            <w:tcW w:w="861" w:type="dxa"/>
            <w:tcBorders>
              <w:top w:val="single" w:color="D9D9D9" w:sz="8" w:space="0"/>
              <w:bottom w:val="single" w:color="D9D9D9" w:sz="8" w:space="0"/>
            </w:tcBorders>
          </w:tcPr>
          <w:p w:rsidR="00C31389" w:rsidRDefault="00561FBD" w14:paraId="0ECC2CA9" w14:textId="77777777">
            <w:pPr>
              <w:pStyle w:val="TableParagraph"/>
              <w:ind w:right="115"/>
              <w:jc w:val="right"/>
              <w:rPr>
                <w:rFonts w:ascii="Calibri"/>
                <w:sz w:val="16"/>
              </w:rPr>
            </w:pPr>
            <w:r>
              <w:rPr>
                <w:rFonts w:ascii="Calibri"/>
                <w:spacing w:val="-2"/>
                <w:sz w:val="16"/>
              </w:rPr>
              <w:t>-</w:t>
            </w:r>
            <w:r>
              <w:rPr>
                <w:rFonts w:ascii="Calibri"/>
                <w:spacing w:val="-5"/>
                <w:sz w:val="16"/>
              </w:rPr>
              <w:t>5.2</w:t>
            </w:r>
          </w:p>
        </w:tc>
        <w:tc>
          <w:tcPr>
            <w:tcW w:w="778" w:type="dxa"/>
            <w:tcBorders>
              <w:top w:val="single" w:color="D9D9D9" w:sz="8" w:space="0"/>
              <w:bottom w:val="single" w:color="D9D9D9" w:sz="8" w:space="0"/>
            </w:tcBorders>
          </w:tcPr>
          <w:p w:rsidR="00C31389" w:rsidRDefault="00561FBD" w14:paraId="49DA1740" w14:textId="77777777">
            <w:pPr>
              <w:pStyle w:val="TableParagraph"/>
              <w:ind w:right="126"/>
              <w:jc w:val="right"/>
              <w:rPr>
                <w:rFonts w:ascii="Calibri"/>
                <w:sz w:val="16"/>
              </w:rPr>
            </w:pPr>
            <w:r>
              <w:rPr>
                <w:rFonts w:ascii="Calibri"/>
                <w:spacing w:val="-2"/>
                <w:sz w:val="16"/>
              </w:rPr>
              <w:t>-</w:t>
            </w:r>
            <w:r>
              <w:rPr>
                <w:rFonts w:ascii="Calibri"/>
                <w:spacing w:val="-5"/>
                <w:sz w:val="16"/>
              </w:rPr>
              <w:t>5.2</w:t>
            </w:r>
          </w:p>
        </w:tc>
        <w:tc>
          <w:tcPr>
            <w:tcW w:w="643" w:type="dxa"/>
            <w:tcBorders>
              <w:top w:val="single" w:color="D9D9D9" w:sz="8" w:space="0"/>
              <w:bottom w:val="single" w:color="D9D9D9" w:sz="8" w:space="0"/>
            </w:tcBorders>
          </w:tcPr>
          <w:p w:rsidR="00C31389" w:rsidRDefault="00561FBD" w14:paraId="4EBAD382" w14:textId="77777777">
            <w:pPr>
              <w:pStyle w:val="TableParagraph"/>
              <w:ind w:right="112"/>
              <w:jc w:val="right"/>
              <w:rPr>
                <w:rFonts w:ascii="Calibri"/>
                <w:sz w:val="16"/>
              </w:rPr>
            </w:pPr>
            <w:r>
              <w:rPr>
                <w:rFonts w:ascii="Calibri"/>
                <w:spacing w:val="-2"/>
                <w:sz w:val="16"/>
              </w:rPr>
              <w:t>-</w:t>
            </w:r>
            <w:r>
              <w:rPr>
                <w:rFonts w:ascii="Calibri"/>
                <w:spacing w:val="-5"/>
                <w:sz w:val="16"/>
              </w:rPr>
              <w:t>6.3</w:t>
            </w:r>
          </w:p>
        </w:tc>
        <w:tc>
          <w:tcPr>
            <w:tcW w:w="630" w:type="dxa"/>
            <w:tcBorders>
              <w:top w:val="single" w:color="D9D9D9" w:sz="8" w:space="0"/>
              <w:bottom w:val="single" w:color="D9D9D9" w:sz="8" w:space="0"/>
            </w:tcBorders>
          </w:tcPr>
          <w:p w:rsidR="00C31389" w:rsidRDefault="00561FBD" w14:paraId="7050F339" w14:textId="77777777">
            <w:pPr>
              <w:pStyle w:val="TableParagraph"/>
              <w:ind w:right="112"/>
              <w:jc w:val="right"/>
              <w:rPr>
                <w:rFonts w:ascii="Calibri"/>
                <w:sz w:val="16"/>
              </w:rPr>
            </w:pPr>
            <w:r>
              <w:rPr>
                <w:rFonts w:ascii="Calibri"/>
                <w:spacing w:val="-2"/>
                <w:sz w:val="16"/>
              </w:rPr>
              <w:t>-</w:t>
            </w:r>
            <w:r>
              <w:rPr>
                <w:rFonts w:ascii="Calibri"/>
                <w:spacing w:val="-5"/>
                <w:sz w:val="16"/>
              </w:rPr>
              <w:t>6.4</w:t>
            </w:r>
          </w:p>
        </w:tc>
        <w:tc>
          <w:tcPr>
            <w:tcW w:w="630" w:type="dxa"/>
            <w:tcBorders>
              <w:top w:val="single" w:color="D9D9D9" w:sz="8" w:space="0"/>
              <w:bottom w:val="single" w:color="D9D9D9" w:sz="8" w:space="0"/>
            </w:tcBorders>
          </w:tcPr>
          <w:p w:rsidR="00C31389" w:rsidRDefault="00561FBD" w14:paraId="6C8FB91B" w14:textId="77777777">
            <w:pPr>
              <w:pStyle w:val="TableParagraph"/>
              <w:ind w:right="112"/>
              <w:jc w:val="right"/>
              <w:rPr>
                <w:rFonts w:ascii="Calibri"/>
                <w:sz w:val="16"/>
              </w:rPr>
            </w:pPr>
            <w:r>
              <w:rPr>
                <w:rFonts w:ascii="Calibri"/>
                <w:spacing w:val="-2"/>
                <w:sz w:val="16"/>
              </w:rPr>
              <w:t>-</w:t>
            </w:r>
            <w:r>
              <w:rPr>
                <w:rFonts w:ascii="Calibri"/>
                <w:spacing w:val="-5"/>
                <w:sz w:val="16"/>
              </w:rPr>
              <w:t>6.8</w:t>
            </w:r>
          </w:p>
        </w:tc>
        <w:tc>
          <w:tcPr>
            <w:tcW w:w="630" w:type="dxa"/>
            <w:tcBorders>
              <w:top w:val="single" w:color="D9D9D9" w:sz="8" w:space="0"/>
              <w:bottom w:val="single" w:color="D9D9D9" w:sz="8" w:space="0"/>
            </w:tcBorders>
          </w:tcPr>
          <w:p w:rsidR="00C31389" w:rsidRDefault="00561FBD" w14:paraId="60BD341F" w14:textId="77777777">
            <w:pPr>
              <w:pStyle w:val="TableParagraph"/>
              <w:ind w:right="112"/>
              <w:jc w:val="right"/>
              <w:rPr>
                <w:rFonts w:ascii="Calibri"/>
                <w:sz w:val="16"/>
              </w:rPr>
            </w:pPr>
            <w:r>
              <w:rPr>
                <w:rFonts w:ascii="Calibri"/>
                <w:spacing w:val="-2"/>
                <w:sz w:val="16"/>
              </w:rPr>
              <w:t>-</w:t>
            </w:r>
            <w:r>
              <w:rPr>
                <w:rFonts w:ascii="Calibri"/>
                <w:spacing w:val="-5"/>
                <w:sz w:val="16"/>
              </w:rPr>
              <w:t>7.8</w:t>
            </w:r>
          </w:p>
        </w:tc>
        <w:tc>
          <w:tcPr>
            <w:tcW w:w="630" w:type="dxa"/>
            <w:tcBorders>
              <w:top w:val="single" w:color="D9D9D9" w:sz="8" w:space="0"/>
              <w:bottom w:val="single" w:color="D9D9D9" w:sz="8" w:space="0"/>
            </w:tcBorders>
          </w:tcPr>
          <w:p w:rsidR="00C31389" w:rsidRDefault="00561FBD" w14:paraId="55857814" w14:textId="77777777">
            <w:pPr>
              <w:pStyle w:val="TableParagraph"/>
              <w:ind w:right="112"/>
              <w:jc w:val="right"/>
              <w:rPr>
                <w:rFonts w:ascii="Calibri"/>
                <w:sz w:val="16"/>
              </w:rPr>
            </w:pPr>
            <w:r>
              <w:rPr>
                <w:rFonts w:ascii="Calibri"/>
                <w:spacing w:val="-5"/>
                <w:sz w:val="16"/>
              </w:rPr>
              <w:t>0.5</w:t>
            </w:r>
          </w:p>
        </w:tc>
        <w:tc>
          <w:tcPr>
            <w:tcW w:w="630" w:type="dxa"/>
            <w:tcBorders>
              <w:top w:val="single" w:color="D9D9D9" w:sz="8" w:space="0"/>
              <w:bottom w:val="single" w:color="D9D9D9" w:sz="8" w:space="0"/>
            </w:tcBorders>
          </w:tcPr>
          <w:p w:rsidR="00C31389" w:rsidRDefault="00561FBD" w14:paraId="7C5C89E7" w14:textId="77777777">
            <w:pPr>
              <w:pStyle w:val="TableParagraph"/>
              <w:ind w:right="112"/>
              <w:jc w:val="right"/>
              <w:rPr>
                <w:rFonts w:ascii="Calibri"/>
                <w:sz w:val="16"/>
              </w:rPr>
            </w:pPr>
            <w:r>
              <w:rPr>
                <w:rFonts w:ascii="Calibri"/>
                <w:spacing w:val="-5"/>
                <w:sz w:val="16"/>
              </w:rPr>
              <w:t>0.5</w:t>
            </w:r>
          </w:p>
        </w:tc>
        <w:tc>
          <w:tcPr>
            <w:tcW w:w="630" w:type="dxa"/>
            <w:tcBorders>
              <w:top w:val="single" w:color="D9D9D9" w:sz="8" w:space="0"/>
              <w:bottom w:val="single" w:color="D9D9D9" w:sz="8" w:space="0"/>
            </w:tcBorders>
          </w:tcPr>
          <w:p w:rsidR="00C31389" w:rsidRDefault="00561FBD" w14:paraId="05235FAD" w14:textId="77777777">
            <w:pPr>
              <w:pStyle w:val="TableParagraph"/>
              <w:ind w:left="255" w:right="57"/>
              <w:jc w:val="center"/>
              <w:rPr>
                <w:rFonts w:ascii="Calibri"/>
                <w:sz w:val="16"/>
              </w:rPr>
            </w:pPr>
            <w:r>
              <w:rPr>
                <w:rFonts w:ascii="Calibri"/>
                <w:spacing w:val="-5"/>
                <w:sz w:val="16"/>
              </w:rPr>
              <w:t>0.6</w:t>
            </w:r>
          </w:p>
        </w:tc>
        <w:tc>
          <w:tcPr>
            <w:tcW w:w="630" w:type="dxa"/>
            <w:tcBorders>
              <w:top w:val="single" w:color="D9D9D9" w:sz="8" w:space="0"/>
              <w:bottom w:val="single" w:color="D9D9D9" w:sz="8" w:space="0"/>
            </w:tcBorders>
          </w:tcPr>
          <w:p w:rsidR="00C31389" w:rsidRDefault="00561FBD" w14:paraId="391A33F5" w14:textId="77777777">
            <w:pPr>
              <w:pStyle w:val="TableParagraph"/>
              <w:ind w:right="112"/>
              <w:jc w:val="right"/>
              <w:rPr>
                <w:rFonts w:ascii="Calibri"/>
                <w:sz w:val="16"/>
              </w:rPr>
            </w:pPr>
            <w:r>
              <w:rPr>
                <w:rFonts w:ascii="Calibri"/>
                <w:spacing w:val="-5"/>
                <w:sz w:val="16"/>
              </w:rPr>
              <w:t>0.7</w:t>
            </w:r>
          </w:p>
        </w:tc>
        <w:tc>
          <w:tcPr>
            <w:tcW w:w="630" w:type="dxa"/>
            <w:tcBorders>
              <w:top w:val="single" w:color="D9D9D9" w:sz="8" w:space="0"/>
              <w:bottom w:val="single" w:color="D9D9D9" w:sz="8" w:space="0"/>
            </w:tcBorders>
          </w:tcPr>
          <w:p w:rsidR="00C31389" w:rsidRDefault="00561FBD" w14:paraId="3D481C1D" w14:textId="77777777">
            <w:pPr>
              <w:pStyle w:val="TableParagraph"/>
              <w:ind w:right="112"/>
              <w:jc w:val="right"/>
              <w:rPr>
                <w:rFonts w:ascii="Calibri"/>
                <w:sz w:val="16"/>
              </w:rPr>
            </w:pPr>
            <w:r>
              <w:rPr>
                <w:rFonts w:ascii="Calibri"/>
                <w:spacing w:val="-5"/>
                <w:sz w:val="16"/>
              </w:rPr>
              <w:t>0.8</w:t>
            </w:r>
          </w:p>
        </w:tc>
        <w:tc>
          <w:tcPr>
            <w:tcW w:w="622" w:type="dxa"/>
            <w:tcBorders>
              <w:top w:val="single" w:color="D9D9D9" w:sz="8" w:space="0"/>
              <w:bottom w:val="single" w:color="D9D9D9" w:sz="8" w:space="0"/>
            </w:tcBorders>
          </w:tcPr>
          <w:p w:rsidR="00C31389" w:rsidRDefault="00561FBD" w14:paraId="126B63C6" w14:textId="77777777">
            <w:pPr>
              <w:pStyle w:val="TableParagraph"/>
              <w:ind w:right="104"/>
              <w:jc w:val="right"/>
              <w:rPr>
                <w:rFonts w:ascii="Calibri"/>
                <w:sz w:val="16"/>
              </w:rPr>
            </w:pPr>
            <w:r>
              <w:rPr>
                <w:rFonts w:ascii="Calibri"/>
                <w:spacing w:val="-5"/>
                <w:sz w:val="16"/>
              </w:rPr>
              <w:t>0.8</w:t>
            </w:r>
          </w:p>
        </w:tc>
      </w:tr>
      <w:tr w:rsidR="00C31389" w14:paraId="53C9349E" w14:textId="77777777">
        <w:trPr>
          <w:trHeight w:val="275"/>
        </w:trPr>
        <w:tc>
          <w:tcPr>
            <w:tcW w:w="1429" w:type="dxa"/>
            <w:tcBorders>
              <w:top w:val="single" w:color="DCDDDE" w:sz="4" w:space="0"/>
              <w:bottom w:val="single" w:color="DCDDDE" w:sz="4" w:space="0"/>
            </w:tcBorders>
          </w:tcPr>
          <w:p w:rsidR="00C31389" w:rsidRDefault="00561FBD" w14:paraId="5E3C4E60" w14:textId="77777777">
            <w:pPr>
              <w:pStyle w:val="TableParagraph"/>
              <w:spacing w:before="41"/>
              <w:ind w:left="121"/>
              <w:rPr>
                <w:sz w:val="17"/>
              </w:rPr>
            </w:pPr>
            <w:r>
              <w:rPr>
                <w:spacing w:val="-4"/>
                <w:sz w:val="17"/>
              </w:rPr>
              <w:t>BROs</w:t>
            </w:r>
          </w:p>
        </w:tc>
        <w:tc>
          <w:tcPr>
            <w:tcW w:w="861" w:type="dxa"/>
            <w:tcBorders>
              <w:top w:val="single" w:color="D9D9D9" w:sz="8" w:space="0"/>
              <w:bottom w:val="single" w:color="DCDDDE" w:sz="4" w:space="0"/>
            </w:tcBorders>
          </w:tcPr>
          <w:p w:rsidR="00C31389" w:rsidRDefault="00561FBD" w14:paraId="4A97A213" w14:textId="77777777">
            <w:pPr>
              <w:pStyle w:val="TableParagraph"/>
              <w:ind w:right="115"/>
              <w:jc w:val="right"/>
              <w:rPr>
                <w:rFonts w:ascii="Calibri"/>
                <w:sz w:val="16"/>
              </w:rPr>
            </w:pPr>
            <w:r>
              <w:rPr>
                <w:rFonts w:ascii="Calibri"/>
                <w:spacing w:val="-2"/>
                <w:sz w:val="16"/>
              </w:rPr>
              <w:t>231.3</w:t>
            </w:r>
          </w:p>
        </w:tc>
        <w:tc>
          <w:tcPr>
            <w:tcW w:w="778" w:type="dxa"/>
            <w:tcBorders>
              <w:top w:val="single" w:color="D9D9D9" w:sz="8" w:space="0"/>
              <w:bottom w:val="single" w:color="DCDDDE" w:sz="4" w:space="0"/>
            </w:tcBorders>
          </w:tcPr>
          <w:p w:rsidR="00C31389" w:rsidRDefault="00561FBD" w14:paraId="36318DA4" w14:textId="77777777">
            <w:pPr>
              <w:pStyle w:val="TableParagraph"/>
              <w:ind w:right="126"/>
              <w:jc w:val="right"/>
              <w:rPr>
                <w:rFonts w:ascii="Calibri"/>
                <w:sz w:val="16"/>
              </w:rPr>
            </w:pPr>
            <w:r>
              <w:rPr>
                <w:rFonts w:ascii="Calibri"/>
                <w:spacing w:val="-2"/>
                <w:sz w:val="16"/>
              </w:rPr>
              <w:t>240.6</w:t>
            </w:r>
          </w:p>
        </w:tc>
        <w:tc>
          <w:tcPr>
            <w:tcW w:w="643" w:type="dxa"/>
            <w:tcBorders>
              <w:top w:val="single" w:color="D9D9D9" w:sz="8" w:space="0"/>
              <w:bottom w:val="single" w:color="DCDDDE" w:sz="4" w:space="0"/>
            </w:tcBorders>
          </w:tcPr>
          <w:p w:rsidR="00C31389" w:rsidRDefault="00561FBD" w14:paraId="2613A525" w14:textId="77777777">
            <w:pPr>
              <w:pStyle w:val="TableParagraph"/>
              <w:ind w:right="112"/>
              <w:jc w:val="right"/>
              <w:rPr>
                <w:rFonts w:ascii="Calibri"/>
                <w:sz w:val="16"/>
              </w:rPr>
            </w:pPr>
            <w:r>
              <w:rPr>
                <w:rFonts w:ascii="Calibri"/>
                <w:spacing w:val="-2"/>
                <w:sz w:val="16"/>
              </w:rPr>
              <w:t>250.6</w:t>
            </w:r>
          </w:p>
        </w:tc>
        <w:tc>
          <w:tcPr>
            <w:tcW w:w="630" w:type="dxa"/>
            <w:tcBorders>
              <w:top w:val="single" w:color="D9D9D9" w:sz="8" w:space="0"/>
              <w:bottom w:val="single" w:color="DCDDDE" w:sz="4" w:space="0"/>
            </w:tcBorders>
          </w:tcPr>
          <w:p w:rsidR="00C31389" w:rsidRDefault="00561FBD" w14:paraId="5AB34ABD" w14:textId="77777777">
            <w:pPr>
              <w:pStyle w:val="TableParagraph"/>
              <w:ind w:right="112"/>
              <w:jc w:val="right"/>
              <w:rPr>
                <w:rFonts w:ascii="Calibri"/>
                <w:sz w:val="16"/>
              </w:rPr>
            </w:pPr>
            <w:r>
              <w:rPr>
                <w:rFonts w:ascii="Calibri"/>
                <w:spacing w:val="-2"/>
                <w:sz w:val="16"/>
              </w:rPr>
              <w:t>261.0</w:t>
            </w:r>
          </w:p>
        </w:tc>
        <w:tc>
          <w:tcPr>
            <w:tcW w:w="630" w:type="dxa"/>
            <w:tcBorders>
              <w:top w:val="single" w:color="D9D9D9" w:sz="8" w:space="0"/>
              <w:bottom w:val="single" w:color="DCDDDE" w:sz="4" w:space="0"/>
            </w:tcBorders>
          </w:tcPr>
          <w:p w:rsidR="00C31389" w:rsidRDefault="00561FBD" w14:paraId="2B472DBF" w14:textId="77777777">
            <w:pPr>
              <w:pStyle w:val="TableParagraph"/>
              <w:ind w:right="112"/>
              <w:jc w:val="right"/>
              <w:rPr>
                <w:rFonts w:ascii="Calibri"/>
                <w:sz w:val="16"/>
              </w:rPr>
            </w:pPr>
            <w:r>
              <w:rPr>
                <w:rFonts w:ascii="Calibri"/>
                <w:spacing w:val="-2"/>
                <w:sz w:val="16"/>
              </w:rPr>
              <w:t>271.7</w:t>
            </w:r>
          </w:p>
        </w:tc>
        <w:tc>
          <w:tcPr>
            <w:tcW w:w="630" w:type="dxa"/>
            <w:tcBorders>
              <w:top w:val="single" w:color="D9D9D9" w:sz="8" w:space="0"/>
              <w:bottom w:val="single" w:color="DCDDDE" w:sz="4" w:space="0"/>
            </w:tcBorders>
          </w:tcPr>
          <w:p w:rsidR="00C31389" w:rsidRDefault="00561FBD" w14:paraId="64B2C03E" w14:textId="77777777">
            <w:pPr>
              <w:pStyle w:val="TableParagraph"/>
              <w:ind w:right="112"/>
              <w:jc w:val="right"/>
              <w:rPr>
                <w:rFonts w:ascii="Calibri"/>
                <w:sz w:val="16"/>
              </w:rPr>
            </w:pPr>
            <w:r>
              <w:rPr>
                <w:rFonts w:ascii="Calibri"/>
                <w:spacing w:val="-2"/>
                <w:sz w:val="16"/>
              </w:rPr>
              <w:t>283.1</w:t>
            </w:r>
          </w:p>
        </w:tc>
        <w:tc>
          <w:tcPr>
            <w:tcW w:w="630" w:type="dxa"/>
            <w:tcBorders>
              <w:top w:val="single" w:color="D9D9D9" w:sz="8" w:space="0"/>
              <w:bottom w:val="single" w:color="DCDDDE" w:sz="4" w:space="0"/>
            </w:tcBorders>
          </w:tcPr>
          <w:p w:rsidR="00C31389" w:rsidRDefault="00561FBD" w14:paraId="3885EBC8" w14:textId="77777777">
            <w:pPr>
              <w:pStyle w:val="TableParagraph"/>
              <w:ind w:right="112"/>
              <w:jc w:val="right"/>
              <w:rPr>
                <w:rFonts w:ascii="Calibri"/>
                <w:sz w:val="16"/>
              </w:rPr>
            </w:pPr>
            <w:r>
              <w:rPr>
                <w:rFonts w:ascii="Calibri"/>
                <w:spacing w:val="-2"/>
                <w:sz w:val="16"/>
              </w:rPr>
              <w:t>295.8</w:t>
            </w:r>
          </w:p>
        </w:tc>
        <w:tc>
          <w:tcPr>
            <w:tcW w:w="630" w:type="dxa"/>
            <w:tcBorders>
              <w:top w:val="single" w:color="D9D9D9" w:sz="8" w:space="0"/>
              <w:bottom w:val="single" w:color="DCDDDE" w:sz="4" w:space="0"/>
            </w:tcBorders>
          </w:tcPr>
          <w:p w:rsidR="00C31389" w:rsidRDefault="00561FBD" w14:paraId="04B328A8" w14:textId="77777777">
            <w:pPr>
              <w:pStyle w:val="TableParagraph"/>
              <w:ind w:right="112"/>
              <w:jc w:val="right"/>
              <w:rPr>
                <w:rFonts w:ascii="Calibri"/>
                <w:sz w:val="16"/>
              </w:rPr>
            </w:pPr>
            <w:r>
              <w:rPr>
                <w:rFonts w:ascii="Calibri"/>
                <w:spacing w:val="-2"/>
                <w:sz w:val="16"/>
              </w:rPr>
              <w:t>308.7</w:t>
            </w:r>
          </w:p>
        </w:tc>
        <w:tc>
          <w:tcPr>
            <w:tcW w:w="630" w:type="dxa"/>
            <w:tcBorders>
              <w:top w:val="single" w:color="D9D9D9" w:sz="8" w:space="0"/>
              <w:bottom w:val="single" w:color="DCDDDE" w:sz="4" w:space="0"/>
            </w:tcBorders>
          </w:tcPr>
          <w:p w:rsidR="00C31389" w:rsidRDefault="00561FBD" w14:paraId="682B7611" w14:textId="77777777">
            <w:pPr>
              <w:pStyle w:val="TableParagraph"/>
              <w:ind w:left="124" w:right="88"/>
              <w:jc w:val="center"/>
              <w:rPr>
                <w:rFonts w:ascii="Calibri"/>
                <w:sz w:val="16"/>
              </w:rPr>
            </w:pPr>
            <w:r>
              <w:rPr>
                <w:rFonts w:ascii="Calibri"/>
                <w:spacing w:val="-2"/>
                <w:sz w:val="16"/>
              </w:rPr>
              <w:t>322.0</w:t>
            </w:r>
          </w:p>
        </w:tc>
        <w:tc>
          <w:tcPr>
            <w:tcW w:w="630" w:type="dxa"/>
            <w:tcBorders>
              <w:top w:val="single" w:color="D9D9D9" w:sz="8" w:space="0"/>
              <w:bottom w:val="single" w:color="DCDDDE" w:sz="4" w:space="0"/>
            </w:tcBorders>
          </w:tcPr>
          <w:p w:rsidR="00C31389" w:rsidRDefault="00561FBD" w14:paraId="665D5D7D" w14:textId="77777777">
            <w:pPr>
              <w:pStyle w:val="TableParagraph"/>
              <w:ind w:right="112"/>
              <w:jc w:val="right"/>
              <w:rPr>
                <w:rFonts w:ascii="Calibri"/>
                <w:sz w:val="16"/>
              </w:rPr>
            </w:pPr>
            <w:r>
              <w:rPr>
                <w:rFonts w:ascii="Calibri"/>
                <w:spacing w:val="-2"/>
                <w:sz w:val="16"/>
              </w:rPr>
              <w:t>339.0</w:t>
            </w:r>
          </w:p>
        </w:tc>
        <w:tc>
          <w:tcPr>
            <w:tcW w:w="630" w:type="dxa"/>
            <w:tcBorders>
              <w:top w:val="single" w:color="D9D9D9" w:sz="8" w:space="0"/>
              <w:bottom w:val="single" w:color="DCDDDE" w:sz="4" w:space="0"/>
            </w:tcBorders>
          </w:tcPr>
          <w:p w:rsidR="00C31389" w:rsidRDefault="00561FBD" w14:paraId="26D87328" w14:textId="77777777">
            <w:pPr>
              <w:pStyle w:val="TableParagraph"/>
              <w:ind w:right="112"/>
              <w:jc w:val="right"/>
              <w:rPr>
                <w:rFonts w:ascii="Calibri"/>
                <w:sz w:val="16"/>
              </w:rPr>
            </w:pPr>
            <w:r>
              <w:rPr>
                <w:rFonts w:ascii="Calibri"/>
                <w:spacing w:val="-2"/>
                <w:sz w:val="16"/>
              </w:rPr>
              <w:t>344.0</w:t>
            </w:r>
          </w:p>
        </w:tc>
        <w:tc>
          <w:tcPr>
            <w:tcW w:w="622" w:type="dxa"/>
            <w:tcBorders>
              <w:top w:val="single" w:color="D9D9D9" w:sz="8" w:space="0"/>
              <w:bottom w:val="single" w:color="DCDDDE" w:sz="4" w:space="0"/>
            </w:tcBorders>
          </w:tcPr>
          <w:p w:rsidR="00C31389" w:rsidRDefault="00561FBD" w14:paraId="58C68AD7" w14:textId="77777777">
            <w:pPr>
              <w:pStyle w:val="TableParagraph"/>
              <w:ind w:right="104"/>
              <w:jc w:val="right"/>
              <w:rPr>
                <w:rFonts w:ascii="Calibri"/>
                <w:sz w:val="16"/>
              </w:rPr>
            </w:pPr>
            <w:r>
              <w:rPr>
                <w:rFonts w:ascii="Calibri"/>
                <w:spacing w:val="-2"/>
                <w:sz w:val="16"/>
              </w:rPr>
              <w:t>360.8</w:t>
            </w:r>
          </w:p>
        </w:tc>
      </w:tr>
      <w:tr w:rsidR="00C31389" w14:paraId="062FB8E7"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68F47B6B" w14:textId="77777777">
            <w:pPr>
              <w:pStyle w:val="TableParagraph"/>
              <w:spacing w:before="42"/>
              <w:ind w:left="121"/>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57E41719" w14:textId="77777777">
        <w:trPr>
          <w:trHeight w:val="275"/>
        </w:trPr>
        <w:tc>
          <w:tcPr>
            <w:tcW w:w="1429" w:type="dxa"/>
            <w:tcBorders>
              <w:top w:val="single" w:color="DCDDDE" w:sz="4" w:space="0"/>
              <w:bottom w:val="single" w:color="DCDDDE" w:sz="4" w:space="0"/>
            </w:tcBorders>
          </w:tcPr>
          <w:p w:rsidR="00C31389" w:rsidRDefault="00561FBD" w14:paraId="6FD52126" w14:textId="77777777">
            <w:pPr>
              <w:pStyle w:val="TableParagraph"/>
              <w:spacing w:before="42"/>
              <w:ind w:left="121"/>
              <w:rPr>
                <w:sz w:val="17"/>
              </w:rPr>
            </w:pPr>
            <w:r>
              <w:rPr>
                <w:spacing w:val="-5"/>
                <w:sz w:val="17"/>
              </w:rPr>
              <w:t>EE</w:t>
            </w:r>
          </w:p>
        </w:tc>
        <w:tc>
          <w:tcPr>
            <w:tcW w:w="861" w:type="dxa"/>
            <w:tcBorders>
              <w:top w:val="single" w:color="DCDDDE" w:sz="4" w:space="0"/>
              <w:bottom w:val="single" w:color="D9D9D9" w:sz="8" w:space="0"/>
            </w:tcBorders>
          </w:tcPr>
          <w:p w:rsidR="00C31389" w:rsidRDefault="00561FBD" w14:paraId="5E65A796" w14:textId="77777777">
            <w:pPr>
              <w:pStyle w:val="TableParagraph"/>
              <w:ind w:right="116"/>
              <w:jc w:val="right"/>
              <w:rPr>
                <w:rFonts w:ascii="Calibri"/>
                <w:sz w:val="16"/>
              </w:rPr>
            </w:pPr>
            <w:r>
              <w:rPr>
                <w:rFonts w:ascii="Calibri"/>
                <w:spacing w:val="-4"/>
                <w:sz w:val="16"/>
              </w:rPr>
              <w:t>86.8</w:t>
            </w:r>
          </w:p>
        </w:tc>
        <w:tc>
          <w:tcPr>
            <w:tcW w:w="778" w:type="dxa"/>
            <w:tcBorders>
              <w:top w:val="single" w:color="DCDDDE" w:sz="4" w:space="0"/>
              <w:bottom w:val="single" w:color="D9D9D9" w:sz="8" w:space="0"/>
            </w:tcBorders>
          </w:tcPr>
          <w:p w:rsidR="00C31389" w:rsidRDefault="00561FBD" w14:paraId="7CDB1E33" w14:textId="77777777">
            <w:pPr>
              <w:pStyle w:val="TableParagraph"/>
              <w:ind w:right="127"/>
              <w:jc w:val="right"/>
              <w:rPr>
                <w:rFonts w:ascii="Calibri"/>
                <w:sz w:val="16"/>
              </w:rPr>
            </w:pPr>
            <w:r>
              <w:rPr>
                <w:rFonts w:ascii="Calibri"/>
                <w:spacing w:val="-4"/>
                <w:sz w:val="16"/>
              </w:rPr>
              <w:t>80.8</w:t>
            </w:r>
          </w:p>
        </w:tc>
        <w:tc>
          <w:tcPr>
            <w:tcW w:w="643" w:type="dxa"/>
            <w:tcBorders>
              <w:top w:val="single" w:color="DCDDDE" w:sz="4" w:space="0"/>
              <w:bottom w:val="single" w:color="D9D9D9" w:sz="8" w:space="0"/>
            </w:tcBorders>
          </w:tcPr>
          <w:p w:rsidR="00C31389" w:rsidRDefault="00561FBD" w14:paraId="7D227C44" w14:textId="77777777">
            <w:pPr>
              <w:pStyle w:val="TableParagraph"/>
              <w:ind w:right="114"/>
              <w:jc w:val="right"/>
              <w:rPr>
                <w:rFonts w:ascii="Calibri"/>
                <w:sz w:val="16"/>
              </w:rPr>
            </w:pPr>
            <w:r>
              <w:rPr>
                <w:rFonts w:ascii="Calibri"/>
                <w:spacing w:val="-4"/>
                <w:sz w:val="16"/>
              </w:rPr>
              <w:t>70.6</w:t>
            </w:r>
          </w:p>
        </w:tc>
        <w:tc>
          <w:tcPr>
            <w:tcW w:w="630" w:type="dxa"/>
            <w:tcBorders>
              <w:top w:val="single" w:color="DCDDDE" w:sz="4" w:space="0"/>
              <w:bottom w:val="single" w:color="D9D9D9" w:sz="8" w:space="0"/>
            </w:tcBorders>
          </w:tcPr>
          <w:p w:rsidR="00C31389" w:rsidRDefault="00561FBD" w14:paraId="2F0632B7" w14:textId="77777777">
            <w:pPr>
              <w:pStyle w:val="TableParagraph"/>
              <w:ind w:right="114"/>
              <w:jc w:val="right"/>
              <w:rPr>
                <w:rFonts w:ascii="Calibri"/>
                <w:sz w:val="16"/>
              </w:rPr>
            </w:pPr>
            <w:r>
              <w:rPr>
                <w:rFonts w:ascii="Calibri"/>
                <w:spacing w:val="-4"/>
                <w:sz w:val="16"/>
              </w:rPr>
              <w:t>61.7</w:t>
            </w:r>
          </w:p>
        </w:tc>
        <w:tc>
          <w:tcPr>
            <w:tcW w:w="630" w:type="dxa"/>
            <w:tcBorders>
              <w:top w:val="single" w:color="DCDDDE" w:sz="4" w:space="0"/>
              <w:bottom w:val="single" w:color="D9D9D9" w:sz="8" w:space="0"/>
            </w:tcBorders>
          </w:tcPr>
          <w:p w:rsidR="00C31389" w:rsidRDefault="00561FBD" w14:paraId="1BD4739E" w14:textId="77777777">
            <w:pPr>
              <w:pStyle w:val="TableParagraph"/>
              <w:ind w:right="114"/>
              <w:jc w:val="right"/>
              <w:rPr>
                <w:rFonts w:ascii="Calibri"/>
                <w:sz w:val="16"/>
              </w:rPr>
            </w:pPr>
            <w:r>
              <w:rPr>
                <w:rFonts w:ascii="Calibri"/>
                <w:spacing w:val="-4"/>
                <w:sz w:val="16"/>
              </w:rPr>
              <w:t>59.8</w:t>
            </w:r>
          </w:p>
        </w:tc>
        <w:tc>
          <w:tcPr>
            <w:tcW w:w="630" w:type="dxa"/>
            <w:tcBorders>
              <w:top w:val="single" w:color="DCDDDE" w:sz="4" w:space="0"/>
              <w:bottom w:val="single" w:color="D9D9D9" w:sz="8" w:space="0"/>
            </w:tcBorders>
          </w:tcPr>
          <w:p w:rsidR="00C31389" w:rsidRDefault="00561FBD" w14:paraId="406445C5" w14:textId="77777777">
            <w:pPr>
              <w:pStyle w:val="TableParagraph"/>
              <w:ind w:right="114"/>
              <w:jc w:val="right"/>
              <w:rPr>
                <w:rFonts w:ascii="Calibri"/>
                <w:sz w:val="16"/>
              </w:rPr>
            </w:pPr>
            <w:r>
              <w:rPr>
                <w:rFonts w:ascii="Calibri"/>
                <w:spacing w:val="-4"/>
                <w:sz w:val="16"/>
              </w:rPr>
              <w:t>56.4</w:t>
            </w:r>
          </w:p>
        </w:tc>
        <w:tc>
          <w:tcPr>
            <w:tcW w:w="630" w:type="dxa"/>
            <w:tcBorders>
              <w:top w:val="single" w:color="DCDDDE" w:sz="4" w:space="0"/>
              <w:bottom w:val="single" w:color="D9D9D9" w:sz="8" w:space="0"/>
            </w:tcBorders>
          </w:tcPr>
          <w:p w:rsidR="00C31389" w:rsidRDefault="00561FBD" w14:paraId="61D57A72" w14:textId="77777777">
            <w:pPr>
              <w:pStyle w:val="TableParagraph"/>
              <w:ind w:right="114"/>
              <w:jc w:val="right"/>
              <w:rPr>
                <w:rFonts w:ascii="Calibri"/>
                <w:sz w:val="16"/>
              </w:rPr>
            </w:pPr>
            <w:r>
              <w:rPr>
                <w:rFonts w:ascii="Calibri"/>
                <w:spacing w:val="-4"/>
                <w:sz w:val="16"/>
              </w:rPr>
              <w:t>64.4</w:t>
            </w:r>
          </w:p>
        </w:tc>
        <w:tc>
          <w:tcPr>
            <w:tcW w:w="630" w:type="dxa"/>
            <w:tcBorders>
              <w:top w:val="single" w:color="DCDDDE" w:sz="4" w:space="0"/>
              <w:bottom w:val="single" w:color="D9D9D9" w:sz="8" w:space="0"/>
            </w:tcBorders>
          </w:tcPr>
          <w:p w:rsidR="00C31389" w:rsidRDefault="00561FBD" w14:paraId="55C7461F" w14:textId="77777777">
            <w:pPr>
              <w:pStyle w:val="TableParagraph"/>
              <w:ind w:right="114"/>
              <w:jc w:val="right"/>
              <w:rPr>
                <w:rFonts w:ascii="Calibri"/>
                <w:sz w:val="16"/>
              </w:rPr>
            </w:pPr>
            <w:r>
              <w:rPr>
                <w:rFonts w:ascii="Calibri"/>
                <w:spacing w:val="-4"/>
                <w:sz w:val="16"/>
              </w:rPr>
              <w:t>56.9</w:t>
            </w:r>
          </w:p>
        </w:tc>
        <w:tc>
          <w:tcPr>
            <w:tcW w:w="630" w:type="dxa"/>
            <w:tcBorders>
              <w:top w:val="single" w:color="DCDDDE" w:sz="4" w:space="0"/>
              <w:bottom w:val="single" w:color="D9D9D9" w:sz="8" w:space="0"/>
            </w:tcBorders>
          </w:tcPr>
          <w:p w:rsidR="00C31389" w:rsidRDefault="00561FBD" w14:paraId="58DA03E1" w14:textId="77777777">
            <w:pPr>
              <w:pStyle w:val="TableParagraph"/>
              <w:ind w:left="124" w:right="9"/>
              <w:jc w:val="center"/>
              <w:rPr>
                <w:rFonts w:ascii="Calibri"/>
                <w:sz w:val="16"/>
              </w:rPr>
            </w:pPr>
            <w:r>
              <w:rPr>
                <w:rFonts w:ascii="Calibri"/>
                <w:spacing w:val="-4"/>
                <w:sz w:val="16"/>
              </w:rPr>
              <w:t>56.0</w:t>
            </w:r>
          </w:p>
        </w:tc>
        <w:tc>
          <w:tcPr>
            <w:tcW w:w="630" w:type="dxa"/>
            <w:tcBorders>
              <w:top w:val="single" w:color="DCDDDE" w:sz="4" w:space="0"/>
              <w:bottom w:val="single" w:color="D9D9D9" w:sz="8" w:space="0"/>
            </w:tcBorders>
          </w:tcPr>
          <w:p w:rsidR="00C31389" w:rsidRDefault="00561FBD" w14:paraId="3ED3A8CD" w14:textId="77777777">
            <w:pPr>
              <w:pStyle w:val="TableParagraph"/>
              <w:ind w:right="114"/>
              <w:jc w:val="right"/>
              <w:rPr>
                <w:rFonts w:ascii="Calibri"/>
                <w:sz w:val="16"/>
              </w:rPr>
            </w:pPr>
            <w:r>
              <w:rPr>
                <w:rFonts w:ascii="Calibri"/>
                <w:spacing w:val="-4"/>
                <w:sz w:val="16"/>
              </w:rPr>
              <w:t>54.0</w:t>
            </w:r>
          </w:p>
        </w:tc>
        <w:tc>
          <w:tcPr>
            <w:tcW w:w="630" w:type="dxa"/>
            <w:tcBorders>
              <w:top w:val="single" w:color="DCDDDE" w:sz="4" w:space="0"/>
              <w:bottom w:val="single" w:color="D9D9D9" w:sz="8" w:space="0"/>
            </w:tcBorders>
          </w:tcPr>
          <w:p w:rsidR="00C31389" w:rsidRDefault="00561FBD" w14:paraId="58FFA70C" w14:textId="77777777">
            <w:pPr>
              <w:pStyle w:val="TableParagraph"/>
              <w:ind w:right="114"/>
              <w:jc w:val="right"/>
              <w:rPr>
                <w:rFonts w:ascii="Calibri"/>
                <w:sz w:val="16"/>
              </w:rPr>
            </w:pPr>
            <w:r>
              <w:rPr>
                <w:rFonts w:ascii="Calibri"/>
                <w:spacing w:val="-4"/>
                <w:sz w:val="16"/>
              </w:rPr>
              <w:t>53.4</w:t>
            </w:r>
          </w:p>
        </w:tc>
        <w:tc>
          <w:tcPr>
            <w:tcW w:w="622" w:type="dxa"/>
            <w:tcBorders>
              <w:top w:val="single" w:color="DCDDDE" w:sz="4" w:space="0"/>
              <w:bottom w:val="single" w:color="D9D9D9" w:sz="8" w:space="0"/>
            </w:tcBorders>
          </w:tcPr>
          <w:p w:rsidR="00C31389" w:rsidRDefault="00561FBD" w14:paraId="62B86ABF" w14:textId="77777777">
            <w:pPr>
              <w:pStyle w:val="TableParagraph"/>
              <w:ind w:right="106"/>
              <w:jc w:val="right"/>
              <w:rPr>
                <w:rFonts w:ascii="Calibri"/>
                <w:sz w:val="16"/>
              </w:rPr>
            </w:pPr>
            <w:r>
              <w:rPr>
                <w:rFonts w:ascii="Calibri"/>
                <w:spacing w:val="-4"/>
                <w:sz w:val="16"/>
              </w:rPr>
              <w:t>53.2</w:t>
            </w:r>
          </w:p>
        </w:tc>
      </w:tr>
      <w:tr w:rsidR="00C31389" w14:paraId="1CB24E79" w14:textId="77777777">
        <w:trPr>
          <w:trHeight w:val="275"/>
        </w:trPr>
        <w:tc>
          <w:tcPr>
            <w:tcW w:w="1429" w:type="dxa"/>
            <w:tcBorders>
              <w:top w:val="single" w:color="DCDDDE" w:sz="4" w:space="0"/>
              <w:bottom w:val="single" w:color="DCDDDE" w:sz="4" w:space="0"/>
            </w:tcBorders>
          </w:tcPr>
          <w:p w:rsidR="00C31389" w:rsidRDefault="00561FBD" w14:paraId="645701A2" w14:textId="77777777">
            <w:pPr>
              <w:pStyle w:val="TableParagraph"/>
              <w:spacing w:before="41"/>
              <w:ind w:left="121"/>
              <w:rPr>
                <w:sz w:val="17"/>
              </w:rPr>
            </w:pPr>
            <w:r>
              <w:rPr>
                <w:spacing w:val="-5"/>
                <w:sz w:val="17"/>
              </w:rPr>
              <w:t>FS</w:t>
            </w:r>
          </w:p>
        </w:tc>
        <w:tc>
          <w:tcPr>
            <w:tcW w:w="861" w:type="dxa"/>
            <w:tcBorders>
              <w:top w:val="single" w:color="D9D9D9" w:sz="8" w:space="0"/>
              <w:bottom w:val="single" w:color="D9D9D9" w:sz="8" w:space="0"/>
            </w:tcBorders>
          </w:tcPr>
          <w:p w:rsidR="00C31389" w:rsidRDefault="00561FBD" w14:paraId="78E67EBD" w14:textId="77777777">
            <w:pPr>
              <w:pStyle w:val="TableParagraph"/>
              <w:ind w:right="115"/>
              <w:jc w:val="right"/>
              <w:rPr>
                <w:rFonts w:ascii="Calibri"/>
                <w:sz w:val="16"/>
              </w:rPr>
            </w:pPr>
            <w:r>
              <w:rPr>
                <w:rFonts w:ascii="Calibri"/>
                <w:spacing w:val="-2"/>
                <w:sz w:val="16"/>
              </w:rPr>
              <w:t>-</w:t>
            </w:r>
            <w:r>
              <w:rPr>
                <w:rFonts w:ascii="Calibri"/>
                <w:spacing w:val="-5"/>
                <w:sz w:val="16"/>
              </w:rPr>
              <w:t>8.7</w:t>
            </w:r>
          </w:p>
        </w:tc>
        <w:tc>
          <w:tcPr>
            <w:tcW w:w="778" w:type="dxa"/>
            <w:tcBorders>
              <w:top w:val="single" w:color="D9D9D9" w:sz="8" w:space="0"/>
              <w:bottom w:val="single" w:color="D9D9D9" w:sz="8" w:space="0"/>
            </w:tcBorders>
          </w:tcPr>
          <w:p w:rsidR="00C31389" w:rsidRDefault="00561FBD" w14:paraId="3D98FF2A" w14:textId="77777777">
            <w:pPr>
              <w:pStyle w:val="TableParagraph"/>
              <w:ind w:right="126"/>
              <w:jc w:val="right"/>
              <w:rPr>
                <w:rFonts w:ascii="Calibri"/>
                <w:sz w:val="16"/>
              </w:rPr>
            </w:pPr>
            <w:r>
              <w:rPr>
                <w:rFonts w:ascii="Calibri"/>
                <w:spacing w:val="-2"/>
                <w:sz w:val="16"/>
              </w:rPr>
              <w:t>-</w:t>
            </w:r>
            <w:r>
              <w:rPr>
                <w:rFonts w:ascii="Calibri"/>
                <w:spacing w:val="-5"/>
                <w:sz w:val="16"/>
              </w:rPr>
              <w:t>8.7</w:t>
            </w:r>
          </w:p>
        </w:tc>
        <w:tc>
          <w:tcPr>
            <w:tcW w:w="643" w:type="dxa"/>
            <w:tcBorders>
              <w:top w:val="single" w:color="D9D9D9" w:sz="8" w:space="0"/>
              <w:bottom w:val="single" w:color="D9D9D9" w:sz="8" w:space="0"/>
            </w:tcBorders>
          </w:tcPr>
          <w:p w:rsidR="00C31389" w:rsidRDefault="00561FBD" w14:paraId="3181B451" w14:textId="77777777">
            <w:pPr>
              <w:pStyle w:val="TableParagraph"/>
              <w:ind w:right="112"/>
              <w:jc w:val="right"/>
              <w:rPr>
                <w:rFonts w:ascii="Calibri"/>
                <w:sz w:val="16"/>
              </w:rPr>
            </w:pPr>
            <w:r>
              <w:rPr>
                <w:rFonts w:ascii="Calibri"/>
                <w:spacing w:val="-2"/>
                <w:sz w:val="16"/>
              </w:rPr>
              <w:t>-</w:t>
            </w:r>
            <w:r>
              <w:rPr>
                <w:rFonts w:ascii="Calibri"/>
                <w:spacing w:val="-5"/>
                <w:sz w:val="16"/>
              </w:rPr>
              <w:t>8.7</w:t>
            </w:r>
          </w:p>
        </w:tc>
        <w:tc>
          <w:tcPr>
            <w:tcW w:w="630" w:type="dxa"/>
            <w:tcBorders>
              <w:top w:val="single" w:color="D9D9D9" w:sz="8" w:space="0"/>
              <w:bottom w:val="single" w:color="D9D9D9" w:sz="8" w:space="0"/>
            </w:tcBorders>
          </w:tcPr>
          <w:p w:rsidR="00C31389" w:rsidRDefault="00561FBD" w14:paraId="57EF5AE5" w14:textId="77777777">
            <w:pPr>
              <w:pStyle w:val="TableParagraph"/>
              <w:ind w:right="112"/>
              <w:jc w:val="right"/>
              <w:rPr>
                <w:rFonts w:ascii="Calibri"/>
                <w:sz w:val="16"/>
              </w:rPr>
            </w:pPr>
            <w:r>
              <w:rPr>
                <w:rFonts w:ascii="Calibri"/>
                <w:spacing w:val="-2"/>
                <w:sz w:val="16"/>
              </w:rPr>
              <w:t>-</w:t>
            </w:r>
            <w:r>
              <w:rPr>
                <w:rFonts w:ascii="Calibri"/>
                <w:spacing w:val="-5"/>
                <w:sz w:val="16"/>
              </w:rPr>
              <w:t>8.8</w:t>
            </w:r>
          </w:p>
        </w:tc>
        <w:tc>
          <w:tcPr>
            <w:tcW w:w="630" w:type="dxa"/>
            <w:tcBorders>
              <w:top w:val="single" w:color="D9D9D9" w:sz="8" w:space="0"/>
              <w:bottom w:val="single" w:color="D9D9D9" w:sz="8" w:space="0"/>
            </w:tcBorders>
          </w:tcPr>
          <w:p w:rsidR="00C31389" w:rsidRDefault="00561FBD" w14:paraId="147EEA5F" w14:textId="77777777">
            <w:pPr>
              <w:pStyle w:val="TableParagraph"/>
              <w:ind w:right="112"/>
              <w:jc w:val="right"/>
              <w:rPr>
                <w:rFonts w:ascii="Calibri"/>
                <w:sz w:val="16"/>
              </w:rPr>
            </w:pPr>
            <w:r>
              <w:rPr>
                <w:rFonts w:ascii="Calibri"/>
                <w:spacing w:val="-2"/>
                <w:sz w:val="16"/>
              </w:rPr>
              <w:t>-</w:t>
            </w:r>
            <w:r>
              <w:rPr>
                <w:rFonts w:ascii="Calibri"/>
                <w:spacing w:val="-5"/>
                <w:sz w:val="16"/>
              </w:rPr>
              <w:t>8.8</w:t>
            </w:r>
          </w:p>
        </w:tc>
        <w:tc>
          <w:tcPr>
            <w:tcW w:w="630" w:type="dxa"/>
            <w:tcBorders>
              <w:top w:val="single" w:color="D9D9D9" w:sz="8" w:space="0"/>
              <w:bottom w:val="single" w:color="D9D9D9" w:sz="8" w:space="0"/>
            </w:tcBorders>
          </w:tcPr>
          <w:p w:rsidR="00C31389" w:rsidRDefault="00561FBD" w14:paraId="63F1F68E" w14:textId="77777777">
            <w:pPr>
              <w:pStyle w:val="TableParagraph"/>
              <w:ind w:right="112"/>
              <w:jc w:val="right"/>
              <w:rPr>
                <w:rFonts w:ascii="Calibri"/>
                <w:sz w:val="16"/>
              </w:rPr>
            </w:pPr>
            <w:r>
              <w:rPr>
                <w:rFonts w:ascii="Calibri"/>
                <w:spacing w:val="-2"/>
                <w:sz w:val="16"/>
              </w:rPr>
              <w:t>-</w:t>
            </w:r>
            <w:r>
              <w:rPr>
                <w:rFonts w:ascii="Calibri"/>
                <w:spacing w:val="-5"/>
                <w:sz w:val="16"/>
              </w:rPr>
              <w:t>8.9</w:t>
            </w:r>
          </w:p>
        </w:tc>
        <w:tc>
          <w:tcPr>
            <w:tcW w:w="630" w:type="dxa"/>
            <w:tcBorders>
              <w:top w:val="single" w:color="D9D9D9" w:sz="8" w:space="0"/>
              <w:bottom w:val="single" w:color="D9D9D9" w:sz="8" w:space="0"/>
            </w:tcBorders>
          </w:tcPr>
          <w:p w:rsidR="00C31389" w:rsidRDefault="00561FBD" w14:paraId="548CA0B1" w14:textId="77777777">
            <w:pPr>
              <w:pStyle w:val="TableParagraph"/>
              <w:ind w:right="112"/>
              <w:jc w:val="right"/>
              <w:rPr>
                <w:rFonts w:ascii="Calibri"/>
                <w:sz w:val="16"/>
              </w:rPr>
            </w:pPr>
            <w:r>
              <w:rPr>
                <w:rFonts w:ascii="Calibri"/>
                <w:spacing w:val="-5"/>
                <w:sz w:val="16"/>
              </w:rPr>
              <w:t>0.5</w:t>
            </w:r>
          </w:p>
        </w:tc>
        <w:tc>
          <w:tcPr>
            <w:tcW w:w="630" w:type="dxa"/>
            <w:tcBorders>
              <w:top w:val="single" w:color="D9D9D9" w:sz="8" w:space="0"/>
              <w:bottom w:val="single" w:color="D9D9D9" w:sz="8" w:space="0"/>
            </w:tcBorders>
          </w:tcPr>
          <w:p w:rsidR="00C31389" w:rsidRDefault="00561FBD" w14:paraId="31FD90DA" w14:textId="77777777">
            <w:pPr>
              <w:pStyle w:val="TableParagraph"/>
              <w:ind w:right="112"/>
              <w:jc w:val="right"/>
              <w:rPr>
                <w:rFonts w:ascii="Calibri"/>
                <w:sz w:val="16"/>
              </w:rPr>
            </w:pPr>
            <w:r>
              <w:rPr>
                <w:rFonts w:ascii="Calibri"/>
                <w:spacing w:val="-5"/>
                <w:sz w:val="16"/>
              </w:rPr>
              <w:t>0.6</w:t>
            </w:r>
          </w:p>
        </w:tc>
        <w:tc>
          <w:tcPr>
            <w:tcW w:w="630" w:type="dxa"/>
            <w:tcBorders>
              <w:top w:val="single" w:color="D9D9D9" w:sz="8" w:space="0"/>
              <w:bottom w:val="single" w:color="D9D9D9" w:sz="8" w:space="0"/>
            </w:tcBorders>
          </w:tcPr>
          <w:p w:rsidR="00C31389" w:rsidRDefault="00561FBD" w14:paraId="67AAB9E8" w14:textId="77777777">
            <w:pPr>
              <w:pStyle w:val="TableParagraph"/>
              <w:ind w:left="255" w:right="57"/>
              <w:jc w:val="center"/>
              <w:rPr>
                <w:rFonts w:ascii="Calibri"/>
                <w:sz w:val="16"/>
              </w:rPr>
            </w:pPr>
            <w:r>
              <w:rPr>
                <w:rFonts w:ascii="Calibri"/>
                <w:spacing w:val="-5"/>
                <w:sz w:val="16"/>
              </w:rPr>
              <w:t>0.7</w:t>
            </w:r>
          </w:p>
        </w:tc>
        <w:tc>
          <w:tcPr>
            <w:tcW w:w="630" w:type="dxa"/>
            <w:tcBorders>
              <w:top w:val="single" w:color="D9D9D9" w:sz="8" w:space="0"/>
              <w:bottom w:val="single" w:color="D9D9D9" w:sz="8" w:space="0"/>
            </w:tcBorders>
          </w:tcPr>
          <w:p w:rsidR="00C31389" w:rsidRDefault="00561FBD" w14:paraId="1BAAFAC3" w14:textId="77777777">
            <w:pPr>
              <w:pStyle w:val="TableParagraph"/>
              <w:ind w:right="112"/>
              <w:jc w:val="right"/>
              <w:rPr>
                <w:rFonts w:ascii="Calibri"/>
                <w:sz w:val="16"/>
              </w:rPr>
            </w:pPr>
            <w:r>
              <w:rPr>
                <w:rFonts w:ascii="Calibri"/>
                <w:spacing w:val="-5"/>
                <w:sz w:val="16"/>
              </w:rPr>
              <w:t>0.7</w:t>
            </w:r>
          </w:p>
        </w:tc>
        <w:tc>
          <w:tcPr>
            <w:tcW w:w="630" w:type="dxa"/>
            <w:tcBorders>
              <w:top w:val="single" w:color="D9D9D9" w:sz="8" w:space="0"/>
              <w:bottom w:val="single" w:color="D9D9D9" w:sz="8" w:space="0"/>
            </w:tcBorders>
          </w:tcPr>
          <w:p w:rsidR="00C31389" w:rsidRDefault="00561FBD" w14:paraId="0962B986" w14:textId="77777777">
            <w:pPr>
              <w:pStyle w:val="TableParagraph"/>
              <w:ind w:right="112"/>
              <w:jc w:val="right"/>
              <w:rPr>
                <w:rFonts w:ascii="Calibri"/>
                <w:sz w:val="16"/>
              </w:rPr>
            </w:pPr>
            <w:r>
              <w:rPr>
                <w:rFonts w:ascii="Calibri"/>
                <w:spacing w:val="-5"/>
                <w:sz w:val="16"/>
              </w:rPr>
              <w:t>0.8</w:t>
            </w:r>
          </w:p>
        </w:tc>
        <w:tc>
          <w:tcPr>
            <w:tcW w:w="622" w:type="dxa"/>
            <w:tcBorders>
              <w:top w:val="single" w:color="D9D9D9" w:sz="8" w:space="0"/>
              <w:bottom w:val="single" w:color="D9D9D9" w:sz="8" w:space="0"/>
            </w:tcBorders>
          </w:tcPr>
          <w:p w:rsidR="00C31389" w:rsidRDefault="00561FBD" w14:paraId="2B740360" w14:textId="77777777">
            <w:pPr>
              <w:pStyle w:val="TableParagraph"/>
              <w:ind w:right="104"/>
              <w:jc w:val="right"/>
              <w:rPr>
                <w:rFonts w:ascii="Calibri"/>
                <w:sz w:val="16"/>
              </w:rPr>
            </w:pPr>
            <w:r>
              <w:rPr>
                <w:rFonts w:ascii="Calibri"/>
                <w:spacing w:val="-5"/>
                <w:sz w:val="16"/>
              </w:rPr>
              <w:t>0.8</w:t>
            </w:r>
          </w:p>
        </w:tc>
      </w:tr>
      <w:tr w:rsidR="00C31389" w14:paraId="15D4169A" w14:textId="77777777">
        <w:trPr>
          <w:trHeight w:val="276"/>
        </w:trPr>
        <w:tc>
          <w:tcPr>
            <w:tcW w:w="1429" w:type="dxa"/>
            <w:tcBorders>
              <w:top w:val="single" w:color="DCDDDE" w:sz="4" w:space="0"/>
              <w:bottom w:val="single" w:color="DCDDDE" w:sz="4" w:space="0"/>
            </w:tcBorders>
          </w:tcPr>
          <w:p w:rsidR="00C31389" w:rsidRDefault="00561FBD" w14:paraId="7F792E34" w14:textId="77777777">
            <w:pPr>
              <w:pStyle w:val="TableParagraph"/>
              <w:spacing w:before="41"/>
              <w:ind w:left="121"/>
              <w:rPr>
                <w:sz w:val="17"/>
              </w:rPr>
            </w:pPr>
            <w:r>
              <w:rPr>
                <w:spacing w:val="-4"/>
                <w:sz w:val="17"/>
              </w:rPr>
              <w:t>BROs</w:t>
            </w:r>
          </w:p>
        </w:tc>
        <w:tc>
          <w:tcPr>
            <w:tcW w:w="861" w:type="dxa"/>
            <w:tcBorders>
              <w:top w:val="single" w:color="D9D9D9" w:sz="8" w:space="0"/>
              <w:bottom w:val="single" w:color="DCDDDE" w:sz="4" w:space="0"/>
            </w:tcBorders>
          </w:tcPr>
          <w:p w:rsidR="00C31389" w:rsidRDefault="00561FBD" w14:paraId="66EE6E35" w14:textId="77777777">
            <w:pPr>
              <w:pStyle w:val="TableParagraph"/>
              <w:ind w:right="115"/>
              <w:jc w:val="right"/>
              <w:rPr>
                <w:rFonts w:ascii="Calibri"/>
                <w:sz w:val="16"/>
              </w:rPr>
            </w:pPr>
            <w:r>
              <w:rPr>
                <w:rFonts w:ascii="Calibri"/>
                <w:spacing w:val="-2"/>
                <w:sz w:val="16"/>
              </w:rPr>
              <w:t>231.3</w:t>
            </w:r>
          </w:p>
        </w:tc>
        <w:tc>
          <w:tcPr>
            <w:tcW w:w="778" w:type="dxa"/>
            <w:tcBorders>
              <w:top w:val="single" w:color="D9D9D9" w:sz="8" w:space="0"/>
              <w:bottom w:val="single" w:color="DCDDDE" w:sz="4" w:space="0"/>
            </w:tcBorders>
          </w:tcPr>
          <w:p w:rsidR="00C31389" w:rsidRDefault="00561FBD" w14:paraId="6406E80E" w14:textId="77777777">
            <w:pPr>
              <w:pStyle w:val="TableParagraph"/>
              <w:ind w:right="126"/>
              <w:jc w:val="right"/>
              <w:rPr>
                <w:rFonts w:ascii="Calibri"/>
                <w:sz w:val="16"/>
              </w:rPr>
            </w:pPr>
            <w:r>
              <w:rPr>
                <w:rFonts w:ascii="Calibri"/>
                <w:spacing w:val="-2"/>
                <w:sz w:val="16"/>
              </w:rPr>
              <w:t>240.6</w:t>
            </w:r>
          </w:p>
        </w:tc>
        <w:tc>
          <w:tcPr>
            <w:tcW w:w="643" w:type="dxa"/>
            <w:tcBorders>
              <w:top w:val="single" w:color="D9D9D9" w:sz="8" w:space="0"/>
              <w:bottom w:val="single" w:color="DCDDDE" w:sz="4" w:space="0"/>
            </w:tcBorders>
          </w:tcPr>
          <w:p w:rsidR="00C31389" w:rsidRDefault="00561FBD" w14:paraId="78014423" w14:textId="77777777">
            <w:pPr>
              <w:pStyle w:val="TableParagraph"/>
              <w:ind w:right="112"/>
              <w:jc w:val="right"/>
              <w:rPr>
                <w:rFonts w:ascii="Calibri"/>
                <w:sz w:val="16"/>
              </w:rPr>
            </w:pPr>
            <w:r>
              <w:rPr>
                <w:rFonts w:ascii="Calibri"/>
                <w:spacing w:val="-2"/>
                <w:sz w:val="16"/>
              </w:rPr>
              <w:t>250.6</w:t>
            </w:r>
          </w:p>
        </w:tc>
        <w:tc>
          <w:tcPr>
            <w:tcW w:w="630" w:type="dxa"/>
            <w:tcBorders>
              <w:top w:val="single" w:color="D9D9D9" w:sz="8" w:space="0"/>
              <w:bottom w:val="single" w:color="DCDDDE" w:sz="4" w:space="0"/>
            </w:tcBorders>
          </w:tcPr>
          <w:p w:rsidR="00C31389" w:rsidRDefault="00561FBD" w14:paraId="639FF7DC" w14:textId="77777777">
            <w:pPr>
              <w:pStyle w:val="TableParagraph"/>
              <w:ind w:right="112"/>
              <w:jc w:val="right"/>
              <w:rPr>
                <w:rFonts w:ascii="Calibri"/>
                <w:sz w:val="16"/>
              </w:rPr>
            </w:pPr>
            <w:r>
              <w:rPr>
                <w:rFonts w:ascii="Calibri"/>
                <w:spacing w:val="-2"/>
                <w:sz w:val="16"/>
              </w:rPr>
              <w:t>261.0</w:t>
            </w:r>
          </w:p>
        </w:tc>
        <w:tc>
          <w:tcPr>
            <w:tcW w:w="630" w:type="dxa"/>
            <w:tcBorders>
              <w:top w:val="single" w:color="D9D9D9" w:sz="8" w:space="0"/>
              <w:bottom w:val="single" w:color="DCDDDE" w:sz="4" w:space="0"/>
            </w:tcBorders>
          </w:tcPr>
          <w:p w:rsidR="00C31389" w:rsidRDefault="00561FBD" w14:paraId="0AF4AA96" w14:textId="77777777">
            <w:pPr>
              <w:pStyle w:val="TableParagraph"/>
              <w:ind w:right="112"/>
              <w:jc w:val="right"/>
              <w:rPr>
                <w:rFonts w:ascii="Calibri"/>
                <w:sz w:val="16"/>
              </w:rPr>
            </w:pPr>
            <w:r>
              <w:rPr>
                <w:rFonts w:ascii="Calibri"/>
                <w:spacing w:val="-2"/>
                <w:sz w:val="16"/>
              </w:rPr>
              <w:t>271.7</w:t>
            </w:r>
          </w:p>
        </w:tc>
        <w:tc>
          <w:tcPr>
            <w:tcW w:w="630" w:type="dxa"/>
            <w:tcBorders>
              <w:top w:val="single" w:color="D9D9D9" w:sz="8" w:space="0"/>
              <w:bottom w:val="single" w:color="DCDDDE" w:sz="4" w:space="0"/>
            </w:tcBorders>
          </w:tcPr>
          <w:p w:rsidR="00C31389" w:rsidRDefault="00561FBD" w14:paraId="6740F30A" w14:textId="77777777">
            <w:pPr>
              <w:pStyle w:val="TableParagraph"/>
              <w:ind w:right="112"/>
              <w:jc w:val="right"/>
              <w:rPr>
                <w:rFonts w:ascii="Calibri"/>
                <w:sz w:val="16"/>
              </w:rPr>
            </w:pPr>
            <w:r>
              <w:rPr>
                <w:rFonts w:ascii="Calibri"/>
                <w:spacing w:val="-2"/>
                <w:sz w:val="16"/>
              </w:rPr>
              <w:t>283.1</w:t>
            </w:r>
          </w:p>
        </w:tc>
        <w:tc>
          <w:tcPr>
            <w:tcW w:w="630" w:type="dxa"/>
            <w:tcBorders>
              <w:top w:val="single" w:color="D9D9D9" w:sz="8" w:space="0"/>
              <w:bottom w:val="single" w:color="DCDDDE" w:sz="4" w:space="0"/>
            </w:tcBorders>
          </w:tcPr>
          <w:p w:rsidR="00C31389" w:rsidRDefault="00561FBD" w14:paraId="41B8A977" w14:textId="77777777">
            <w:pPr>
              <w:pStyle w:val="TableParagraph"/>
              <w:ind w:right="112"/>
              <w:jc w:val="right"/>
              <w:rPr>
                <w:rFonts w:ascii="Calibri"/>
                <w:sz w:val="16"/>
              </w:rPr>
            </w:pPr>
            <w:r>
              <w:rPr>
                <w:rFonts w:ascii="Calibri"/>
                <w:spacing w:val="-2"/>
                <w:sz w:val="16"/>
              </w:rPr>
              <w:t>295.8</w:t>
            </w:r>
          </w:p>
        </w:tc>
        <w:tc>
          <w:tcPr>
            <w:tcW w:w="630" w:type="dxa"/>
            <w:tcBorders>
              <w:top w:val="single" w:color="D9D9D9" w:sz="8" w:space="0"/>
              <w:bottom w:val="single" w:color="DCDDDE" w:sz="4" w:space="0"/>
            </w:tcBorders>
          </w:tcPr>
          <w:p w:rsidR="00C31389" w:rsidRDefault="00561FBD" w14:paraId="644A041C" w14:textId="77777777">
            <w:pPr>
              <w:pStyle w:val="TableParagraph"/>
              <w:ind w:right="112"/>
              <w:jc w:val="right"/>
              <w:rPr>
                <w:rFonts w:ascii="Calibri"/>
                <w:sz w:val="16"/>
              </w:rPr>
            </w:pPr>
            <w:r>
              <w:rPr>
                <w:rFonts w:ascii="Calibri"/>
                <w:spacing w:val="-2"/>
                <w:sz w:val="16"/>
              </w:rPr>
              <w:t>308.7</w:t>
            </w:r>
          </w:p>
        </w:tc>
        <w:tc>
          <w:tcPr>
            <w:tcW w:w="630" w:type="dxa"/>
            <w:tcBorders>
              <w:top w:val="single" w:color="D9D9D9" w:sz="8" w:space="0"/>
              <w:bottom w:val="single" w:color="DCDDDE" w:sz="4" w:space="0"/>
            </w:tcBorders>
          </w:tcPr>
          <w:p w:rsidR="00C31389" w:rsidRDefault="00561FBD" w14:paraId="068C83C3" w14:textId="77777777">
            <w:pPr>
              <w:pStyle w:val="TableParagraph"/>
              <w:ind w:left="124" w:right="88"/>
              <w:jc w:val="center"/>
              <w:rPr>
                <w:rFonts w:ascii="Calibri"/>
                <w:sz w:val="16"/>
              </w:rPr>
            </w:pPr>
            <w:r>
              <w:rPr>
                <w:rFonts w:ascii="Calibri"/>
                <w:spacing w:val="-2"/>
                <w:sz w:val="16"/>
              </w:rPr>
              <w:t>322.0</w:t>
            </w:r>
          </w:p>
        </w:tc>
        <w:tc>
          <w:tcPr>
            <w:tcW w:w="630" w:type="dxa"/>
            <w:tcBorders>
              <w:top w:val="single" w:color="D9D9D9" w:sz="8" w:space="0"/>
              <w:bottom w:val="single" w:color="DCDDDE" w:sz="4" w:space="0"/>
            </w:tcBorders>
          </w:tcPr>
          <w:p w:rsidR="00C31389" w:rsidRDefault="00561FBD" w14:paraId="57A77E4B" w14:textId="77777777">
            <w:pPr>
              <w:pStyle w:val="TableParagraph"/>
              <w:ind w:right="112"/>
              <w:jc w:val="right"/>
              <w:rPr>
                <w:rFonts w:ascii="Calibri"/>
                <w:sz w:val="16"/>
              </w:rPr>
            </w:pPr>
            <w:r>
              <w:rPr>
                <w:rFonts w:ascii="Calibri"/>
                <w:spacing w:val="-2"/>
                <w:sz w:val="16"/>
              </w:rPr>
              <w:t>339.0</w:t>
            </w:r>
          </w:p>
        </w:tc>
        <w:tc>
          <w:tcPr>
            <w:tcW w:w="630" w:type="dxa"/>
            <w:tcBorders>
              <w:top w:val="single" w:color="D9D9D9" w:sz="8" w:space="0"/>
              <w:bottom w:val="single" w:color="DCDDDE" w:sz="4" w:space="0"/>
            </w:tcBorders>
          </w:tcPr>
          <w:p w:rsidR="00C31389" w:rsidRDefault="00561FBD" w14:paraId="4FA4F4C3" w14:textId="77777777">
            <w:pPr>
              <w:pStyle w:val="TableParagraph"/>
              <w:ind w:right="112"/>
              <w:jc w:val="right"/>
              <w:rPr>
                <w:rFonts w:ascii="Calibri"/>
                <w:sz w:val="16"/>
              </w:rPr>
            </w:pPr>
            <w:r>
              <w:rPr>
                <w:rFonts w:ascii="Calibri"/>
                <w:spacing w:val="-2"/>
                <w:sz w:val="16"/>
              </w:rPr>
              <w:t>344.0</w:t>
            </w:r>
          </w:p>
        </w:tc>
        <w:tc>
          <w:tcPr>
            <w:tcW w:w="622" w:type="dxa"/>
            <w:tcBorders>
              <w:top w:val="single" w:color="D9D9D9" w:sz="8" w:space="0"/>
              <w:bottom w:val="single" w:color="DCDDDE" w:sz="4" w:space="0"/>
            </w:tcBorders>
          </w:tcPr>
          <w:p w:rsidR="00C31389" w:rsidRDefault="00561FBD" w14:paraId="064EBDCD" w14:textId="77777777">
            <w:pPr>
              <w:pStyle w:val="TableParagraph"/>
              <w:ind w:right="104"/>
              <w:jc w:val="right"/>
              <w:rPr>
                <w:rFonts w:ascii="Calibri"/>
                <w:sz w:val="16"/>
              </w:rPr>
            </w:pPr>
            <w:r>
              <w:rPr>
                <w:rFonts w:ascii="Calibri"/>
                <w:spacing w:val="-2"/>
                <w:sz w:val="16"/>
              </w:rPr>
              <w:t>360.8</w:t>
            </w:r>
          </w:p>
        </w:tc>
      </w:tr>
      <w:tr w:rsidR="00C31389" w14:paraId="672A8042"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0473BD1C" w14:textId="77777777">
            <w:pPr>
              <w:pStyle w:val="TableParagraph"/>
              <w:ind w:left="121"/>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18A687A5" w14:textId="77777777">
        <w:trPr>
          <w:trHeight w:val="274"/>
        </w:trPr>
        <w:tc>
          <w:tcPr>
            <w:tcW w:w="1429" w:type="dxa"/>
            <w:tcBorders>
              <w:top w:val="single" w:color="DCDDDE" w:sz="4" w:space="0"/>
              <w:bottom w:val="single" w:color="DCDDDE" w:sz="4" w:space="0"/>
            </w:tcBorders>
          </w:tcPr>
          <w:p w:rsidR="00C31389" w:rsidRDefault="00561FBD" w14:paraId="648760CE" w14:textId="77777777">
            <w:pPr>
              <w:pStyle w:val="TableParagraph"/>
              <w:ind w:left="121"/>
              <w:rPr>
                <w:sz w:val="17"/>
              </w:rPr>
            </w:pPr>
            <w:r>
              <w:rPr>
                <w:spacing w:val="-5"/>
                <w:sz w:val="17"/>
              </w:rPr>
              <w:t>EE</w:t>
            </w:r>
          </w:p>
        </w:tc>
        <w:tc>
          <w:tcPr>
            <w:tcW w:w="861" w:type="dxa"/>
            <w:tcBorders>
              <w:top w:val="single" w:color="DCDDDE" w:sz="4" w:space="0"/>
              <w:bottom w:val="single" w:color="D9D9D9" w:sz="8" w:space="0"/>
            </w:tcBorders>
          </w:tcPr>
          <w:p w:rsidR="00C31389" w:rsidRDefault="00561FBD" w14:paraId="3899B034" w14:textId="77777777">
            <w:pPr>
              <w:pStyle w:val="TableParagraph"/>
              <w:spacing w:before="39"/>
              <w:ind w:right="116"/>
              <w:jc w:val="right"/>
              <w:rPr>
                <w:rFonts w:ascii="Calibri"/>
                <w:sz w:val="16"/>
              </w:rPr>
            </w:pPr>
            <w:r>
              <w:rPr>
                <w:rFonts w:ascii="Calibri"/>
                <w:spacing w:val="-4"/>
                <w:sz w:val="16"/>
              </w:rPr>
              <w:t>86.8</w:t>
            </w:r>
          </w:p>
        </w:tc>
        <w:tc>
          <w:tcPr>
            <w:tcW w:w="778" w:type="dxa"/>
            <w:tcBorders>
              <w:top w:val="single" w:color="DCDDDE" w:sz="4" w:space="0"/>
              <w:bottom w:val="single" w:color="D9D9D9" w:sz="8" w:space="0"/>
            </w:tcBorders>
          </w:tcPr>
          <w:p w:rsidR="00C31389" w:rsidRDefault="00561FBD" w14:paraId="7B098DE8" w14:textId="77777777">
            <w:pPr>
              <w:pStyle w:val="TableParagraph"/>
              <w:spacing w:before="39"/>
              <w:ind w:right="127"/>
              <w:jc w:val="right"/>
              <w:rPr>
                <w:rFonts w:ascii="Calibri"/>
                <w:sz w:val="16"/>
              </w:rPr>
            </w:pPr>
            <w:r>
              <w:rPr>
                <w:rFonts w:ascii="Calibri"/>
                <w:spacing w:val="-4"/>
                <w:sz w:val="16"/>
              </w:rPr>
              <w:t>80.6</w:t>
            </w:r>
          </w:p>
        </w:tc>
        <w:tc>
          <w:tcPr>
            <w:tcW w:w="643" w:type="dxa"/>
            <w:tcBorders>
              <w:top w:val="single" w:color="DCDDDE" w:sz="4" w:space="0"/>
              <w:bottom w:val="single" w:color="D9D9D9" w:sz="8" w:space="0"/>
            </w:tcBorders>
          </w:tcPr>
          <w:p w:rsidR="00C31389" w:rsidRDefault="00561FBD" w14:paraId="38960760" w14:textId="77777777">
            <w:pPr>
              <w:pStyle w:val="TableParagraph"/>
              <w:spacing w:before="39"/>
              <w:ind w:right="114"/>
              <w:jc w:val="right"/>
              <w:rPr>
                <w:rFonts w:ascii="Calibri"/>
                <w:sz w:val="16"/>
              </w:rPr>
            </w:pPr>
            <w:r>
              <w:rPr>
                <w:rFonts w:ascii="Calibri"/>
                <w:spacing w:val="-4"/>
                <w:sz w:val="16"/>
              </w:rPr>
              <w:t>70.3</w:t>
            </w:r>
          </w:p>
        </w:tc>
        <w:tc>
          <w:tcPr>
            <w:tcW w:w="630" w:type="dxa"/>
            <w:tcBorders>
              <w:top w:val="single" w:color="DCDDDE" w:sz="4" w:space="0"/>
              <w:bottom w:val="single" w:color="D9D9D9" w:sz="8" w:space="0"/>
            </w:tcBorders>
          </w:tcPr>
          <w:p w:rsidR="00C31389" w:rsidRDefault="00561FBD" w14:paraId="6EA5BEB8" w14:textId="77777777">
            <w:pPr>
              <w:pStyle w:val="TableParagraph"/>
              <w:spacing w:before="39"/>
              <w:ind w:right="114"/>
              <w:jc w:val="right"/>
              <w:rPr>
                <w:rFonts w:ascii="Calibri"/>
                <w:sz w:val="16"/>
              </w:rPr>
            </w:pPr>
            <w:r>
              <w:rPr>
                <w:rFonts w:ascii="Calibri"/>
                <w:spacing w:val="-4"/>
                <w:sz w:val="16"/>
              </w:rPr>
              <w:t>61.3</w:t>
            </w:r>
          </w:p>
        </w:tc>
        <w:tc>
          <w:tcPr>
            <w:tcW w:w="630" w:type="dxa"/>
            <w:tcBorders>
              <w:top w:val="single" w:color="DCDDDE" w:sz="4" w:space="0"/>
              <w:bottom w:val="single" w:color="D9D9D9" w:sz="8" w:space="0"/>
            </w:tcBorders>
          </w:tcPr>
          <w:p w:rsidR="00C31389" w:rsidRDefault="00561FBD" w14:paraId="679298AB" w14:textId="77777777">
            <w:pPr>
              <w:pStyle w:val="TableParagraph"/>
              <w:spacing w:before="39"/>
              <w:ind w:right="114"/>
              <w:jc w:val="right"/>
              <w:rPr>
                <w:rFonts w:ascii="Calibri"/>
                <w:sz w:val="16"/>
              </w:rPr>
            </w:pPr>
            <w:r>
              <w:rPr>
                <w:rFonts w:ascii="Calibri"/>
                <w:spacing w:val="-4"/>
                <w:sz w:val="16"/>
              </w:rPr>
              <w:t>59.5</w:t>
            </w:r>
          </w:p>
        </w:tc>
        <w:tc>
          <w:tcPr>
            <w:tcW w:w="630" w:type="dxa"/>
            <w:tcBorders>
              <w:top w:val="single" w:color="DCDDDE" w:sz="4" w:space="0"/>
              <w:bottom w:val="single" w:color="D9D9D9" w:sz="8" w:space="0"/>
            </w:tcBorders>
          </w:tcPr>
          <w:p w:rsidR="00C31389" w:rsidRDefault="00561FBD" w14:paraId="7DF7D3D3" w14:textId="77777777">
            <w:pPr>
              <w:pStyle w:val="TableParagraph"/>
              <w:spacing w:before="39"/>
              <w:ind w:right="114"/>
              <w:jc w:val="right"/>
              <w:rPr>
                <w:rFonts w:ascii="Calibri"/>
                <w:sz w:val="16"/>
              </w:rPr>
            </w:pPr>
            <w:r>
              <w:rPr>
                <w:rFonts w:ascii="Calibri"/>
                <w:spacing w:val="-4"/>
                <w:sz w:val="16"/>
              </w:rPr>
              <w:t>56.1</w:t>
            </w:r>
          </w:p>
        </w:tc>
        <w:tc>
          <w:tcPr>
            <w:tcW w:w="630" w:type="dxa"/>
            <w:tcBorders>
              <w:top w:val="single" w:color="DCDDDE" w:sz="4" w:space="0"/>
              <w:bottom w:val="single" w:color="D9D9D9" w:sz="8" w:space="0"/>
            </w:tcBorders>
          </w:tcPr>
          <w:p w:rsidR="00C31389" w:rsidRDefault="00561FBD" w14:paraId="27864196" w14:textId="77777777">
            <w:pPr>
              <w:pStyle w:val="TableParagraph"/>
              <w:spacing w:before="39"/>
              <w:ind w:right="114"/>
              <w:jc w:val="right"/>
              <w:rPr>
                <w:rFonts w:ascii="Calibri"/>
                <w:sz w:val="16"/>
              </w:rPr>
            </w:pPr>
            <w:r>
              <w:rPr>
                <w:rFonts w:ascii="Calibri"/>
                <w:spacing w:val="-4"/>
                <w:sz w:val="16"/>
              </w:rPr>
              <w:t>64.2</w:t>
            </w:r>
          </w:p>
        </w:tc>
        <w:tc>
          <w:tcPr>
            <w:tcW w:w="630" w:type="dxa"/>
            <w:tcBorders>
              <w:top w:val="single" w:color="DCDDDE" w:sz="4" w:space="0"/>
              <w:bottom w:val="single" w:color="D9D9D9" w:sz="8" w:space="0"/>
            </w:tcBorders>
          </w:tcPr>
          <w:p w:rsidR="00C31389" w:rsidRDefault="00561FBD" w14:paraId="648EDBC0" w14:textId="77777777">
            <w:pPr>
              <w:pStyle w:val="TableParagraph"/>
              <w:spacing w:before="39"/>
              <w:ind w:right="114"/>
              <w:jc w:val="right"/>
              <w:rPr>
                <w:rFonts w:ascii="Calibri"/>
                <w:sz w:val="16"/>
              </w:rPr>
            </w:pPr>
            <w:r>
              <w:rPr>
                <w:rFonts w:ascii="Calibri"/>
                <w:spacing w:val="-4"/>
                <w:sz w:val="16"/>
              </w:rPr>
              <w:t>56.7</w:t>
            </w:r>
          </w:p>
        </w:tc>
        <w:tc>
          <w:tcPr>
            <w:tcW w:w="630" w:type="dxa"/>
            <w:tcBorders>
              <w:top w:val="single" w:color="DCDDDE" w:sz="4" w:space="0"/>
              <w:bottom w:val="single" w:color="D9D9D9" w:sz="8" w:space="0"/>
            </w:tcBorders>
          </w:tcPr>
          <w:p w:rsidR="00C31389" w:rsidRDefault="00561FBD" w14:paraId="579140CC" w14:textId="77777777">
            <w:pPr>
              <w:pStyle w:val="TableParagraph"/>
              <w:spacing w:before="39"/>
              <w:ind w:left="124" w:right="9"/>
              <w:jc w:val="center"/>
              <w:rPr>
                <w:rFonts w:ascii="Calibri"/>
                <w:sz w:val="16"/>
              </w:rPr>
            </w:pPr>
            <w:r>
              <w:rPr>
                <w:rFonts w:ascii="Calibri"/>
                <w:spacing w:val="-4"/>
                <w:sz w:val="16"/>
              </w:rPr>
              <w:t>55.9</w:t>
            </w:r>
          </w:p>
        </w:tc>
        <w:tc>
          <w:tcPr>
            <w:tcW w:w="630" w:type="dxa"/>
            <w:tcBorders>
              <w:top w:val="single" w:color="DCDDDE" w:sz="4" w:space="0"/>
              <w:bottom w:val="single" w:color="D9D9D9" w:sz="8" w:space="0"/>
            </w:tcBorders>
          </w:tcPr>
          <w:p w:rsidR="00C31389" w:rsidRDefault="00561FBD" w14:paraId="7A6FA919" w14:textId="77777777">
            <w:pPr>
              <w:pStyle w:val="TableParagraph"/>
              <w:spacing w:before="39"/>
              <w:ind w:right="114"/>
              <w:jc w:val="right"/>
              <w:rPr>
                <w:rFonts w:ascii="Calibri"/>
                <w:sz w:val="16"/>
              </w:rPr>
            </w:pPr>
            <w:r>
              <w:rPr>
                <w:rFonts w:ascii="Calibri"/>
                <w:spacing w:val="-4"/>
                <w:sz w:val="16"/>
              </w:rPr>
              <w:t>54.0</w:t>
            </w:r>
          </w:p>
        </w:tc>
        <w:tc>
          <w:tcPr>
            <w:tcW w:w="630" w:type="dxa"/>
            <w:tcBorders>
              <w:top w:val="single" w:color="DCDDDE" w:sz="4" w:space="0"/>
              <w:bottom w:val="single" w:color="D9D9D9" w:sz="8" w:space="0"/>
            </w:tcBorders>
          </w:tcPr>
          <w:p w:rsidR="00C31389" w:rsidRDefault="00561FBD" w14:paraId="28B71FDE" w14:textId="77777777">
            <w:pPr>
              <w:pStyle w:val="TableParagraph"/>
              <w:spacing w:before="39"/>
              <w:ind w:right="114"/>
              <w:jc w:val="right"/>
              <w:rPr>
                <w:rFonts w:ascii="Calibri"/>
                <w:sz w:val="16"/>
              </w:rPr>
            </w:pPr>
            <w:r>
              <w:rPr>
                <w:rFonts w:ascii="Calibri"/>
                <w:spacing w:val="-4"/>
                <w:sz w:val="16"/>
              </w:rPr>
              <w:t>53.5</w:t>
            </w:r>
          </w:p>
        </w:tc>
        <w:tc>
          <w:tcPr>
            <w:tcW w:w="622" w:type="dxa"/>
            <w:tcBorders>
              <w:top w:val="single" w:color="DCDDDE" w:sz="4" w:space="0"/>
              <w:bottom w:val="single" w:color="D9D9D9" w:sz="8" w:space="0"/>
            </w:tcBorders>
          </w:tcPr>
          <w:p w:rsidR="00C31389" w:rsidRDefault="00561FBD" w14:paraId="144E3DD3" w14:textId="77777777">
            <w:pPr>
              <w:pStyle w:val="TableParagraph"/>
              <w:spacing w:before="39"/>
              <w:ind w:right="106"/>
              <w:jc w:val="right"/>
              <w:rPr>
                <w:rFonts w:ascii="Calibri"/>
                <w:sz w:val="16"/>
              </w:rPr>
            </w:pPr>
            <w:r>
              <w:rPr>
                <w:rFonts w:ascii="Calibri"/>
                <w:spacing w:val="-4"/>
                <w:sz w:val="16"/>
              </w:rPr>
              <w:t>53.4</w:t>
            </w:r>
          </w:p>
        </w:tc>
      </w:tr>
      <w:tr w:rsidR="00C31389" w14:paraId="61C942DF" w14:textId="77777777">
        <w:trPr>
          <w:trHeight w:val="276"/>
        </w:trPr>
        <w:tc>
          <w:tcPr>
            <w:tcW w:w="1429" w:type="dxa"/>
            <w:tcBorders>
              <w:top w:val="single" w:color="DCDDDE" w:sz="4" w:space="0"/>
              <w:bottom w:val="single" w:color="DCDDDE" w:sz="4" w:space="0"/>
            </w:tcBorders>
          </w:tcPr>
          <w:p w:rsidR="00C31389" w:rsidRDefault="00561FBD" w14:paraId="47AE7D10" w14:textId="77777777">
            <w:pPr>
              <w:pStyle w:val="TableParagraph"/>
              <w:spacing w:before="41"/>
              <w:ind w:left="121"/>
              <w:rPr>
                <w:sz w:val="17"/>
              </w:rPr>
            </w:pPr>
            <w:r>
              <w:rPr>
                <w:spacing w:val="-5"/>
                <w:sz w:val="17"/>
              </w:rPr>
              <w:t>FS</w:t>
            </w:r>
          </w:p>
        </w:tc>
        <w:tc>
          <w:tcPr>
            <w:tcW w:w="861" w:type="dxa"/>
            <w:tcBorders>
              <w:top w:val="single" w:color="D9D9D9" w:sz="8" w:space="0"/>
              <w:bottom w:val="single" w:color="D9D9D9" w:sz="8" w:space="0"/>
            </w:tcBorders>
          </w:tcPr>
          <w:p w:rsidR="00C31389" w:rsidRDefault="00561FBD" w14:paraId="0C00AA87" w14:textId="77777777">
            <w:pPr>
              <w:pStyle w:val="TableParagraph"/>
              <w:ind w:right="115"/>
              <w:jc w:val="right"/>
              <w:rPr>
                <w:rFonts w:ascii="Calibri"/>
                <w:sz w:val="16"/>
              </w:rPr>
            </w:pPr>
            <w:r>
              <w:rPr>
                <w:rFonts w:ascii="Calibri"/>
                <w:spacing w:val="-2"/>
                <w:sz w:val="16"/>
              </w:rPr>
              <w:t>-</w:t>
            </w:r>
            <w:r>
              <w:rPr>
                <w:rFonts w:ascii="Calibri"/>
                <w:spacing w:val="-4"/>
                <w:sz w:val="16"/>
              </w:rPr>
              <w:t>48.1</w:t>
            </w:r>
          </w:p>
        </w:tc>
        <w:tc>
          <w:tcPr>
            <w:tcW w:w="778" w:type="dxa"/>
            <w:tcBorders>
              <w:top w:val="single" w:color="D9D9D9" w:sz="8" w:space="0"/>
              <w:bottom w:val="single" w:color="D9D9D9" w:sz="8" w:space="0"/>
            </w:tcBorders>
          </w:tcPr>
          <w:p w:rsidR="00C31389" w:rsidRDefault="00561FBD" w14:paraId="109ABD1C" w14:textId="77777777">
            <w:pPr>
              <w:pStyle w:val="TableParagraph"/>
              <w:ind w:right="126"/>
              <w:jc w:val="right"/>
              <w:rPr>
                <w:rFonts w:ascii="Calibri"/>
                <w:sz w:val="16"/>
              </w:rPr>
            </w:pPr>
            <w:r>
              <w:rPr>
                <w:rFonts w:ascii="Calibri"/>
                <w:spacing w:val="-2"/>
                <w:sz w:val="16"/>
              </w:rPr>
              <w:t>-</w:t>
            </w:r>
            <w:r>
              <w:rPr>
                <w:rFonts w:ascii="Calibri"/>
                <w:spacing w:val="-4"/>
                <w:sz w:val="16"/>
              </w:rPr>
              <w:t>49.9</w:t>
            </w:r>
          </w:p>
        </w:tc>
        <w:tc>
          <w:tcPr>
            <w:tcW w:w="643" w:type="dxa"/>
            <w:tcBorders>
              <w:top w:val="single" w:color="D9D9D9" w:sz="8" w:space="0"/>
              <w:bottom w:val="single" w:color="D9D9D9" w:sz="8" w:space="0"/>
            </w:tcBorders>
          </w:tcPr>
          <w:p w:rsidR="00C31389" w:rsidRDefault="00561FBD" w14:paraId="1B559A44" w14:textId="77777777">
            <w:pPr>
              <w:pStyle w:val="TableParagraph"/>
              <w:ind w:right="112"/>
              <w:jc w:val="right"/>
              <w:rPr>
                <w:rFonts w:ascii="Calibri"/>
                <w:sz w:val="16"/>
              </w:rPr>
            </w:pPr>
            <w:r>
              <w:rPr>
                <w:rFonts w:ascii="Calibri"/>
                <w:spacing w:val="-2"/>
                <w:sz w:val="16"/>
              </w:rPr>
              <w:t>-</w:t>
            </w:r>
            <w:r>
              <w:rPr>
                <w:rFonts w:ascii="Calibri"/>
                <w:spacing w:val="-4"/>
                <w:sz w:val="16"/>
              </w:rPr>
              <w:t>51.4</w:t>
            </w:r>
          </w:p>
        </w:tc>
        <w:tc>
          <w:tcPr>
            <w:tcW w:w="630" w:type="dxa"/>
            <w:tcBorders>
              <w:top w:val="single" w:color="D9D9D9" w:sz="8" w:space="0"/>
              <w:bottom w:val="single" w:color="D9D9D9" w:sz="8" w:space="0"/>
            </w:tcBorders>
          </w:tcPr>
          <w:p w:rsidR="00C31389" w:rsidRDefault="00561FBD" w14:paraId="3E0BD3EE" w14:textId="77777777">
            <w:pPr>
              <w:pStyle w:val="TableParagraph"/>
              <w:ind w:right="112"/>
              <w:jc w:val="right"/>
              <w:rPr>
                <w:rFonts w:ascii="Calibri"/>
                <w:sz w:val="16"/>
              </w:rPr>
            </w:pPr>
            <w:r>
              <w:rPr>
                <w:rFonts w:ascii="Calibri"/>
                <w:spacing w:val="-2"/>
                <w:sz w:val="16"/>
              </w:rPr>
              <w:t>-</w:t>
            </w:r>
            <w:r>
              <w:rPr>
                <w:rFonts w:ascii="Calibri"/>
                <w:spacing w:val="-4"/>
                <w:sz w:val="16"/>
              </w:rPr>
              <w:t>52.9</w:t>
            </w:r>
          </w:p>
        </w:tc>
        <w:tc>
          <w:tcPr>
            <w:tcW w:w="630" w:type="dxa"/>
            <w:tcBorders>
              <w:top w:val="single" w:color="D9D9D9" w:sz="8" w:space="0"/>
              <w:bottom w:val="single" w:color="D9D9D9" w:sz="8" w:space="0"/>
            </w:tcBorders>
          </w:tcPr>
          <w:p w:rsidR="00C31389" w:rsidRDefault="00561FBD" w14:paraId="66CE3843" w14:textId="77777777">
            <w:pPr>
              <w:pStyle w:val="TableParagraph"/>
              <w:ind w:right="112"/>
              <w:jc w:val="right"/>
              <w:rPr>
                <w:rFonts w:ascii="Calibri"/>
                <w:sz w:val="16"/>
              </w:rPr>
            </w:pPr>
            <w:r>
              <w:rPr>
                <w:rFonts w:ascii="Calibri"/>
                <w:spacing w:val="-2"/>
                <w:sz w:val="16"/>
              </w:rPr>
              <w:t>-</w:t>
            </w:r>
            <w:r>
              <w:rPr>
                <w:rFonts w:ascii="Calibri"/>
                <w:spacing w:val="-4"/>
                <w:sz w:val="16"/>
              </w:rPr>
              <w:t>54.2</w:t>
            </w:r>
          </w:p>
        </w:tc>
        <w:tc>
          <w:tcPr>
            <w:tcW w:w="630" w:type="dxa"/>
            <w:tcBorders>
              <w:top w:val="single" w:color="D9D9D9" w:sz="8" w:space="0"/>
              <w:bottom w:val="single" w:color="D9D9D9" w:sz="8" w:space="0"/>
            </w:tcBorders>
          </w:tcPr>
          <w:p w:rsidR="00C31389" w:rsidRDefault="00561FBD" w14:paraId="10514446" w14:textId="77777777">
            <w:pPr>
              <w:pStyle w:val="TableParagraph"/>
              <w:ind w:right="112"/>
              <w:jc w:val="right"/>
              <w:rPr>
                <w:rFonts w:ascii="Calibri"/>
                <w:sz w:val="16"/>
              </w:rPr>
            </w:pPr>
            <w:r>
              <w:rPr>
                <w:rFonts w:ascii="Calibri"/>
                <w:spacing w:val="-2"/>
                <w:sz w:val="16"/>
              </w:rPr>
              <w:t>-</w:t>
            </w:r>
            <w:r>
              <w:rPr>
                <w:rFonts w:ascii="Calibri"/>
                <w:spacing w:val="-4"/>
                <w:sz w:val="16"/>
              </w:rPr>
              <w:t>55.4</w:t>
            </w:r>
          </w:p>
        </w:tc>
        <w:tc>
          <w:tcPr>
            <w:tcW w:w="630" w:type="dxa"/>
            <w:tcBorders>
              <w:top w:val="single" w:color="D9D9D9" w:sz="8" w:space="0"/>
              <w:bottom w:val="single" w:color="D9D9D9" w:sz="8" w:space="0"/>
            </w:tcBorders>
          </w:tcPr>
          <w:p w:rsidR="00C31389" w:rsidRDefault="00561FBD" w14:paraId="18B4F46B" w14:textId="77777777">
            <w:pPr>
              <w:pStyle w:val="TableParagraph"/>
              <w:ind w:right="114"/>
              <w:jc w:val="right"/>
              <w:rPr>
                <w:rFonts w:ascii="Calibri"/>
                <w:sz w:val="16"/>
              </w:rPr>
            </w:pPr>
            <w:r>
              <w:rPr>
                <w:rFonts w:ascii="Calibri"/>
                <w:spacing w:val="-4"/>
                <w:sz w:val="16"/>
              </w:rPr>
              <w:t>13.0</w:t>
            </w:r>
          </w:p>
        </w:tc>
        <w:tc>
          <w:tcPr>
            <w:tcW w:w="630" w:type="dxa"/>
            <w:tcBorders>
              <w:top w:val="single" w:color="D9D9D9" w:sz="8" w:space="0"/>
              <w:bottom w:val="single" w:color="D9D9D9" w:sz="8" w:space="0"/>
            </w:tcBorders>
          </w:tcPr>
          <w:p w:rsidR="00C31389" w:rsidRDefault="00561FBD" w14:paraId="71116F2E" w14:textId="77777777">
            <w:pPr>
              <w:pStyle w:val="TableParagraph"/>
              <w:ind w:right="114"/>
              <w:jc w:val="right"/>
              <w:rPr>
                <w:rFonts w:ascii="Calibri"/>
                <w:sz w:val="16"/>
              </w:rPr>
            </w:pPr>
            <w:r>
              <w:rPr>
                <w:rFonts w:ascii="Calibri"/>
                <w:spacing w:val="-4"/>
                <w:sz w:val="16"/>
              </w:rPr>
              <w:t>15.7</w:t>
            </w:r>
          </w:p>
        </w:tc>
        <w:tc>
          <w:tcPr>
            <w:tcW w:w="630" w:type="dxa"/>
            <w:tcBorders>
              <w:top w:val="single" w:color="D9D9D9" w:sz="8" w:space="0"/>
              <w:bottom w:val="single" w:color="D9D9D9" w:sz="8" w:space="0"/>
            </w:tcBorders>
          </w:tcPr>
          <w:p w:rsidR="00C31389" w:rsidRDefault="00561FBD" w14:paraId="44E32E66" w14:textId="77777777">
            <w:pPr>
              <w:pStyle w:val="TableParagraph"/>
              <w:ind w:left="124" w:right="9"/>
              <w:jc w:val="center"/>
              <w:rPr>
                <w:rFonts w:ascii="Calibri"/>
                <w:sz w:val="16"/>
              </w:rPr>
            </w:pPr>
            <w:r>
              <w:rPr>
                <w:rFonts w:ascii="Calibri"/>
                <w:spacing w:val="-4"/>
                <w:sz w:val="16"/>
              </w:rPr>
              <w:t>17.8</w:t>
            </w:r>
          </w:p>
        </w:tc>
        <w:tc>
          <w:tcPr>
            <w:tcW w:w="630" w:type="dxa"/>
            <w:tcBorders>
              <w:top w:val="single" w:color="D9D9D9" w:sz="8" w:space="0"/>
              <w:bottom w:val="single" w:color="D9D9D9" w:sz="8" w:space="0"/>
            </w:tcBorders>
          </w:tcPr>
          <w:p w:rsidR="00C31389" w:rsidRDefault="00561FBD" w14:paraId="5A77CE1A" w14:textId="77777777">
            <w:pPr>
              <w:pStyle w:val="TableParagraph"/>
              <w:ind w:right="114"/>
              <w:jc w:val="right"/>
              <w:rPr>
                <w:rFonts w:ascii="Calibri"/>
                <w:sz w:val="16"/>
              </w:rPr>
            </w:pPr>
            <w:r>
              <w:rPr>
                <w:rFonts w:ascii="Calibri"/>
                <w:spacing w:val="-4"/>
                <w:sz w:val="16"/>
              </w:rPr>
              <w:t>17.1</w:t>
            </w:r>
          </w:p>
        </w:tc>
        <w:tc>
          <w:tcPr>
            <w:tcW w:w="630" w:type="dxa"/>
            <w:tcBorders>
              <w:top w:val="single" w:color="D9D9D9" w:sz="8" w:space="0"/>
              <w:bottom w:val="single" w:color="D9D9D9" w:sz="8" w:space="0"/>
            </w:tcBorders>
          </w:tcPr>
          <w:p w:rsidR="00C31389" w:rsidRDefault="00561FBD" w14:paraId="412AAD7D" w14:textId="77777777">
            <w:pPr>
              <w:pStyle w:val="TableParagraph"/>
              <w:ind w:right="114"/>
              <w:jc w:val="right"/>
              <w:rPr>
                <w:rFonts w:ascii="Calibri"/>
                <w:sz w:val="16"/>
              </w:rPr>
            </w:pPr>
            <w:r>
              <w:rPr>
                <w:rFonts w:ascii="Calibri"/>
                <w:spacing w:val="-4"/>
                <w:sz w:val="16"/>
              </w:rPr>
              <w:t>18.5</w:t>
            </w:r>
          </w:p>
        </w:tc>
        <w:tc>
          <w:tcPr>
            <w:tcW w:w="622" w:type="dxa"/>
            <w:tcBorders>
              <w:top w:val="single" w:color="D9D9D9" w:sz="8" w:space="0"/>
              <w:bottom w:val="single" w:color="D9D9D9" w:sz="8" w:space="0"/>
            </w:tcBorders>
          </w:tcPr>
          <w:p w:rsidR="00C31389" w:rsidRDefault="00561FBD" w14:paraId="1D4E596C" w14:textId="77777777">
            <w:pPr>
              <w:pStyle w:val="TableParagraph"/>
              <w:ind w:right="106"/>
              <w:jc w:val="right"/>
              <w:rPr>
                <w:rFonts w:ascii="Calibri"/>
                <w:sz w:val="16"/>
              </w:rPr>
            </w:pPr>
            <w:r>
              <w:rPr>
                <w:rFonts w:ascii="Calibri"/>
                <w:spacing w:val="-4"/>
                <w:sz w:val="16"/>
              </w:rPr>
              <w:t>19.3</w:t>
            </w:r>
          </w:p>
        </w:tc>
      </w:tr>
      <w:tr w:rsidR="00C31389" w14:paraId="5DCBB56A" w14:textId="77777777">
        <w:trPr>
          <w:trHeight w:val="275"/>
        </w:trPr>
        <w:tc>
          <w:tcPr>
            <w:tcW w:w="1429" w:type="dxa"/>
            <w:tcBorders>
              <w:top w:val="single" w:color="DCDDDE" w:sz="4" w:space="0"/>
              <w:bottom w:val="single" w:color="DCDDDE" w:sz="4" w:space="0"/>
            </w:tcBorders>
          </w:tcPr>
          <w:p w:rsidR="00C31389" w:rsidRDefault="00561FBD" w14:paraId="01175F86" w14:textId="77777777">
            <w:pPr>
              <w:pStyle w:val="TableParagraph"/>
              <w:ind w:left="121"/>
              <w:rPr>
                <w:sz w:val="17"/>
              </w:rPr>
            </w:pPr>
            <w:r>
              <w:rPr>
                <w:spacing w:val="-4"/>
                <w:sz w:val="17"/>
              </w:rPr>
              <w:t>BROs</w:t>
            </w:r>
          </w:p>
        </w:tc>
        <w:tc>
          <w:tcPr>
            <w:tcW w:w="861" w:type="dxa"/>
            <w:tcBorders>
              <w:top w:val="single" w:color="D9D9D9" w:sz="8" w:space="0"/>
              <w:bottom w:val="single" w:color="DCDDDE" w:sz="4" w:space="0"/>
            </w:tcBorders>
          </w:tcPr>
          <w:p w:rsidR="00C31389" w:rsidRDefault="00561FBD" w14:paraId="78B84A7A" w14:textId="77777777">
            <w:pPr>
              <w:pStyle w:val="TableParagraph"/>
              <w:spacing w:before="39"/>
              <w:ind w:right="115"/>
              <w:jc w:val="right"/>
              <w:rPr>
                <w:rFonts w:ascii="Calibri"/>
                <w:sz w:val="16"/>
              </w:rPr>
            </w:pPr>
            <w:r>
              <w:rPr>
                <w:rFonts w:ascii="Calibri"/>
                <w:spacing w:val="-2"/>
                <w:sz w:val="16"/>
              </w:rPr>
              <w:t>231.3</w:t>
            </w:r>
          </w:p>
        </w:tc>
        <w:tc>
          <w:tcPr>
            <w:tcW w:w="778" w:type="dxa"/>
            <w:tcBorders>
              <w:top w:val="single" w:color="D9D9D9" w:sz="8" w:space="0"/>
              <w:bottom w:val="single" w:color="DCDDDE" w:sz="4" w:space="0"/>
            </w:tcBorders>
          </w:tcPr>
          <w:p w:rsidR="00C31389" w:rsidRDefault="00561FBD" w14:paraId="510E305E" w14:textId="77777777">
            <w:pPr>
              <w:pStyle w:val="TableParagraph"/>
              <w:spacing w:before="39"/>
              <w:ind w:right="126"/>
              <w:jc w:val="right"/>
              <w:rPr>
                <w:rFonts w:ascii="Calibri"/>
                <w:sz w:val="16"/>
              </w:rPr>
            </w:pPr>
            <w:r>
              <w:rPr>
                <w:rFonts w:ascii="Calibri"/>
                <w:spacing w:val="-2"/>
                <w:sz w:val="16"/>
              </w:rPr>
              <w:t>240.6</w:t>
            </w:r>
          </w:p>
        </w:tc>
        <w:tc>
          <w:tcPr>
            <w:tcW w:w="643" w:type="dxa"/>
            <w:tcBorders>
              <w:top w:val="single" w:color="D9D9D9" w:sz="8" w:space="0"/>
              <w:bottom w:val="single" w:color="DCDDDE" w:sz="4" w:space="0"/>
            </w:tcBorders>
          </w:tcPr>
          <w:p w:rsidR="00C31389" w:rsidRDefault="00561FBD" w14:paraId="286269E1" w14:textId="77777777">
            <w:pPr>
              <w:pStyle w:val="TableParagraph"/>
              <w:spacing w:before="39"/>
              <w:ind w:right="112"/>
              <w:jc w:val="right"/>
              <w:rPr>
                <w:rFonts w:ascii="Calibri"/>
                <w:sz w:val="16"/>
              </w:rPr>
            </w:pPr>
            <w:r>
              <w:rPr>
                <w:rFonts w:ascii="Calibri"/>
                <w:spacing w:val="-2"/>
                <w:sz w:val="16"/>
              </w:rPr>
              <w:t>250.6</w:t>
            </w:r>
          </w:p>
        </w:tc>
        <w:tc>
          <w:tcPr>
            <w:tcW w:w="630" w:type="dxa"/>
            <w:tcBorders>
              <w:top w:val="single" w:color="D9D9D9" w:sz="8" w:space="0"/>
              <w:bottom w:val="single" w:color="DCDDDE" w:sz="4" w:space="0"/>
            </w:tcBorders>
          </w:tcPr>
          <w:p w:rsidR="00C31389" w:rsidRDefault="00561FBD" w14:paraId="6284AD82" w14:textId="77777777">
            <w:pPr>
              <w:pStyle w:val="TableParagraph"/>
              <w:spacing w:before="39"/>
              <w:ind w:right="112"/>
              <w:jc w:val="right"/>
              <w:rPr>
                <w:rFonts w:ascii="Calibri"/>
                <w:sz w:val="16"/>
              </w:rPr>
            </w:pPr>
            <w:r>
              <w:rPr>
                <w:rFonts w:ascii="Calibri"/>
                <w:spacing w:val="-2"/>
                <w:sz w:val="16"/>
              </w:rPr>
              <w:t>261.0</w:t>
            </w:r>
          </w:p>
        </w:tc>
        <w:tc>
          <w:tcPr>
            <w:tcW w:w="630" w:type="dxa"/>
            <w:tcBorders>
              <w:top w:val="single" w:color="D9D9D9" w:sz="8" w:space="0"/>
              <w:bottom w:val="single" w:color="DCDDDE" w:sz="4" w:space="0"/>
            </w:tcBorders>
          </w:tcPr>
          <w:p w:rsidR="00C31389" w:rsidRDefault="00561FBD" w14:paraId="17014D17" w14:textId="77777777">
            <w:pPr>
              <w:pStyle w:val="TableParagraph"/>
              <w:spacing w:before="39"/>
              <w:ind w:right="112"/>
              <w:jc w:val="right"/>
              <w:rPr>
                <w:rFonts w:ascii="Calibri"/>
                <w:sz w:val="16"/>
              </w:rPr>
            </w:pPr>
            <w:r>
              <w:rPr>
                <w:rFonts w:ascii="Calibri"/>
                <w:spacing w:val="-2"/>
                <w:sz w:val="16"/>
              </w:rPr>
              <w:t>271.7</w:t>
            </w:r>
          </w:p>
        </w:tc>
        <w:tc>
          <w:tcPr>
            <w:tcW w:w="630" w:type="dxa"/>
            <w:tcBorders>
              <w:top w:val="single" w:color="D9D9D9" w:sz="8" w:space="0"/>
              <w:bottom w:val="single" w:color="DCDDDE" w:sz="4" w:space="0"/>
            </w:tcBorders>
          </w:tcPr>
          <w:p w:rsidR="00C31389" w:rsidRDefault="00561FBD" w14:paraId="27F71E4F" w14:textId="77777777">
            <w:pPr>
              <w:pStyle w:val="TableParagraph"/>
              <w:spacing w:before="39"/>
              <w:ind w:right="112"/>
              <w:jc w:val="right"/>
              <w:rPr>
                <w:rFonts w:ascii="Calibri"/>
                <w:sz w:val="16"/>
              </w:rPr>
            </w:pPr>
            <w:r>
              <w:rPr>
                <w:rFonts w:ascii="Calibri"/>
                <w:spacing w:val="-2"/>
                <w:sz w:val="16"/>
              </w:rPr>
              <w:t>283.1</w:t>
            </w:r>
          </w:p>
        </w:tc>
        <w:tc>
          <w:tcPr>
            <w:tcW w:w="630" w:type="dxa"/>
            <w:tcBorders>
              <w:top w:val="single" w:color="D9D9D9" w:sz="8" w:space="0"/>
              <w:bottom w:val="single" w:color="DCDDDE" w:sz="4" w:space="0"/>
            </w:tcBorders>
          </w:tcPr>
          <w:p w:rsidR="00C31389" w:rsidRDefault="00561FBD" w14:paraId="4E5283F5" w14:textId="77777777">
            <w:pPr>
              <w:pStyle w:val="TableParagraph"/>
              <w:spacing w:before="39"/>
              <w:ind w:right="112"/>
              <w:jc w:val="right"/>
              <w:rPr>
                <w:rFonts w:ascii="Calibri"/>
                <w:sz w:val="16"/>
              </w:rPr>
            </w:pPr>
            <w:r>
              <w:rPr>
                <w:rFonts w:ascii="Calibri"/>
                <w:spacing w:val="-2"/>
                <w:sz w:val="16"/>
              </w:rPr>
              <w:t>295.8</w:t>
            </w:r>
          </w:p>
        </w:tc>
        <w:tc>
          <w:tcPr>
            <w:tcW w:w="630" w:type="dxa"/>
            <w:tcBorders>
              <w:top w:val="single" w:color="D9D9D9" w:sz="8" w:space="0"/>
              <w:bottom w:val="single" w:color="DCDDDE" w:sz="4" w:space="0"/>
            </w:tcBorders>
          </w:tcPr>
          <w:p w:rsidR="00C31389" w:rsidRDefault="00561FBD" w14:paraId="4E9D1DE0" w14:textId="77777777">
            <w:pPr>
              <w:pStyle w:val="TableParagraph"/>
              <w:spacing w:before="39"/>
              <w:ind w:right="112"/>
              <w:jc w:val="right"/>
              <w:rPr>
                <w:rFonts w:ascii="Calibri"/>
                <w:sz w:val="16"/>
              </w:rPr>
            </w:pPr>
            <w:r>
              <w:rPr>
                <w:rFonts w:ascii="Calibri"/>
                <w:spacing w:val="-2"/>
                <w:sz w:val="16"/>
              </w:rPr>
              <w:t>308.7</w:t>
            </w:r>
          </w:p>
        </w:tc>
        <w:tc>
          <w:tcPr>
            <w:tcW w:w="630" w:type="dxa"/>
            <w:tcBorders>
              <w:top w:val="single" w:color="D9D9D9" w:sz="8" w:space="0"/>
              <w:bottom w:val="single" w:color="DCDDDE" w:sz="4" w:space="0"/>
            </w:tcBorders>
          </w:tcPr>
          <w:p w:rsidR="00C31389" w:rsidRDefault="00561FBD" w14:paraId="7C900C56" w14:textId="77777777">
            <w:pPr>
              <w:pStyle w:val="TableParagraph"/>
              <w:spacing w:before="39"/>
              <w:ind w:left="124" w:right="88"/>
              <w:jc w:val="center"/>
              <w:rPr>
                <w:rFonts w:ascii="Calibri"/>
                <w:sz w:val="16"/>
              </w:rPr>
            </w:pPr>
            <w:r>
              <w:rPr>
                <w:rFonts w:ascii="Calibri"/>
                <w:spacing w:val="-2"/>
                <w:sz w:val="16"/>
              </w:rPr>
              <w:t>322.0</w:t>
            </w:r>
          </w:p>
        </w:tc>
        <w:tc>
          <w:tcPr>
            <w:tcW w:w="630" w:type="dxa"/>
            <w:tcBorders>
              <w:top w:val="single" w:color="D9D9D9" w:sz="8" w:space="0"/>
              <w:bottom w:val="single" w:color="DCDDDE" w:sz="4" w:space="0"/>
            </w:tcBorders>
          </w:tcPr>
          <w:p w:rsidR="00C31389" w:rsidRDefault="00561FBD" w14:paraId="3D364A03" w14:textId="77777777">
            <w:pPr>
              <w:pStyle w:val="TableParagraph"/>
              <w:spacing w:before="39"/>
              <w:ind w:right="112"/>
              <w:jc w:val="right"/>
              <w:rPr>
                <w:rFonts w:ascii="Calibri"/>
                <w:sz w:val="16"/>
              </w:rPr>
            </w:pPr>
            <w:r>
              <w:rPr>
                <w:rFonts w:ascii="Calibri"/>
                <w:spacing w:val="-2"/>
                <w:sz w:val="16"/>
              </w:rPr>
              <w:t>339.0</w:t>
            </w:r>
          </w:p>
        </w:tc>
        <w:tc>
          <w:tcPr>
            <w:tcW w:w="630" w:type="dxa"/>
            <w:tcBorders>
              <w:top w:val="single" w:color="D9D9D9" w:sz="8" w:space="0"/>
              <w:bottom w:val="single" w:color="DCDDDE" w:sz="4" w:space="0"/>
            </w:tcBorders>
          </w:tcPr>
          <w:p w:rsidR="00C31389" w:rsidRDefault="00561FBD" w14:paraId="66C217D9" w14:textId="77777777">
            <w:pPr>
              <w:pStyle w:val="TableParagraph"/>
              <w:spacing w:before="39"/>
              <w:ind w:right="112"/>
              <w:jc w:val="right"/>
              <w:rPr>
                <w:rFonts w:ascii="Calibri"/>
                <w:sz w:val="16"/>
              </w:rPr>
            </w:pPr>
            <w:r>
              <w:rPr>
                <w:rFonts w:ascii="Calibri"/>
                <w:spacing w:val="-2"/>
                <w:sz w:val="16"/>
              </w:rPr>
              <w:t>344.0</w:t>
            </w:r>
          </w:p>
        </w:tc>
        <w:tc>
          <w:tcPr>
            <w:tcW w:w="622" w:type="dxa"/>
            <w:tcBorders>
              <w:top w:val="single" w:color="D9D9D9" w:sz="8" w:space="0"/>
              <w:bottom w:val="single" w:color="DCDDDE" w:sz="4" w:space="0"/>
            </w:tcBorders>
          </w:tcPr>
          <w:p w:rsidR="00C31389" w:rsidRDefault="00561FBD" w14:paraId="3F19D9F7" w14:textId="77777777">
            <w:pPr>
              <w:pStyle w:val="TableParagraph"/>
              <w:spacing w:before="39"/>
              <w:ind w:right="104"/>
              <w:jc w:val="right"/>
              <w:rPr>
                <w:rFonts w:ascii="Calibri"/>
                <w:sz w:val="16"/>
              </w:rPr>
            </w:pPr>
            <w:r>
              <w:rPr>
                <w:rFonts w:ascii="Calibri"/>
                <w:spacing w:val="-2"/>
                <w:sz w:val="16"/>
              </w:rPr>
              <w:t>360.8</w:t>
            </w:r>
          </w:p>
        </w:tc>
      </w:tr>
      <w:tr w:rsidR="00C31389" w14:paraId="50FB435A"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6AFB97CB" w14:textId="77777777">
            <w:pPr>
              <w:pStyle w:val="TableParagraph"/>
              <w:ind w:left="121"/>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2A5E9707" w14:textId="77777777">
        <w:trPr>
          <w:trHeight w:val="275"/>
        </w:trPr>
        <w:tc>
          <w:tcPr>
            <w:tcW w:w="1429" w:type="dxa"/>
            <w:tcBorders>
              <w:top w:val="single" w:color="DCDDDE" w:sz="4" w:space="0"/>
              <w:bottom w:val="single" w:color="DCDDDE" w:sz="4" w:space="0"/>
            </w:tcBorders>
          </w:tcPr>
          <w:p w:rsidR="00C31389" w:rsidRDefault="00561FBD" w14:paraId="5253B03B" w14:textId="77777777">
            <w:pPr>
              <w:pStyle w:val="TableParagraph"/>
              <w:ind w:left="121"/>
              <w:rPr>
                <w:sz w:val="17"/>
              </w:rPr>
            </w:pPr>
            <w:r>
              <w:rPr>
                <w:spacing w:val="-5"/>
                <w:sz w:val="17"/>
              </w:rPr>
              <w:t>EE</w:t>
            </w:r>
          </w:p>
        </w:tc>
        <w:tc>
          <w:tcPr>
            <w:tcW w:w="861" w:type="dxa"/>
            <w:tcBorders>
              <w:top w:val="single" w:color="DCDDDE" w:sz="4" w:space="0"/>
              <w:bottom w:val="single" w:color="D9D9D9" w:sz="8" w:space="0"/>
            </w:tcBorders>
          </w:tcPr>
          <w:p w:rsidR="00C31389" w:rsidRDefault="00561FBD" w14:paraId="6F9CADC8" w14:textId="77777777">
            <w:pPr>
              <w:pStyle w:val="TableParagraph"/>
              <w:spacing w:before="39"/>
              <w:ind w:right="116"/>
              <w:jc w:val="right"/>
              <w:rPr>
                <w:rFonts w:ascii="Calibri"/>
                <w:sz w:val="16"/>
              </w:rPr>
            </w:pPr>
            <w:r>
              <w:rPr>
                <w:rFonts w:ascii="Calibri"/>
                <w:spacing w:val="-4"/>
                <w:sz w:val="16"/>
              </w:rPr>
              <w:t>87.2</w:t>
            </w:r>
          </w:p>
        </w:tc>
        <w:tc>
          <w:tcPr>
            <w:tcW w:w="778" w:type="dxa"/>
            <w:tcBorders>
              <w:top w:val="single" w:color="DCDDDE" w:sz="4" w:space="0"/>
              <w:bottom w:val="single" w:color="D9D9D9" w:sz="8" w:space="0"/>
            </w:tcBorders>
          </w:tcPr>
          <w:p w:rsidR="00C31389" w:rsidRDefault="00561FBD" w14:paraId="68C3D680" w14:textId="77777777">
            <w:pPr>
              <w:pStyle w:val="TableParagraph"/>
              <w:spacing w:before="39"/>
              <w:ind w:right="127"/>
              <w:jc w:val="right"/>
              <w:rPr>
                <w:rFonts w:ascii="Calibri"/>
                <w:sz w:val="16"/>
              </w:rPr>
            </w:pPr>
            <w:r>
              <w:rPr>
                <w:rFonts w:ascii="Calibri"/>
                <w:spacing w:val="-4"/>
                <w:sz w:val="16"/>
              </w:rPr>
              <w:t>81.0</w:t>
            </w:r>
          </w:p>
        </w:tc>
        <w:tc>
          <w:tcPr>
            <w:tcW w:w="643" w:type="dxa"/>
            <w:tcBorders>
              <w:top w:val="single" w:color="DCDDDE" w:sz="4" w:space="0"/>
              <w:bottom w:val="single" w:color="D9D9D9" w:sz="8" w:space="0"/>
            </w:tcBorders>
          </w:tcPr>
          <w:p w:rsidR="00C31389" w:rsidRDefault="00561FBD" w14:paraId="3C08EEA7" w14:textId="77777777">
            <w:pPr>
              <w:pStyle w:val="TableParagraph"/>
              <w:spacing w:before="39"/>
              <w:ind w:right="114"/>
              <w:jc w:val="right"/>
              <w:rPr>
                <w:rFonts w:ascii="Calibri"/>
                <w:sz w:val="16"/>
              </w:rPr>
            </w:pPr>
            <w:r>
              <w:rPr>
                <w:rFonts w:ascii="Calibri"/>
                <w:spacing w:val="-4"/>
                <w:sz w:val="16"/>
              </w:rPr>
              <w:t>70.8</w:t>
            </w:r>
          </w:p>
        </w:tc>
        <w:tc>
          <w:tcPr>
            <w:tcW w:w="630" w:type="dxa"/>
            <w:tcBorders>
              <w:top w:val="single" w:color="DCDDDE" w:sz="4" w:space="0"/>
              <w:bottom w:val="single" w:color="D9D9D9" w:sz="8" w:space="0"/>
            </w:tcBorders>
          </w:tcPr>
          <w:p w:rsidR="00C31389" w:rsidRDefault="00561FBD" w14:paraId="3DB843B3" w14:textId="77777777">
            <w:pPr>
              <w:pStyle w:val="TableParagraph"/>
              <w:spacing w:before="39"/>
              <w:ind w:right="114"/>
              <w:jc w:val="right"/>
              <w:rPr>
                <w:rFonts w:ascii="Calibri"/>
                <w:sz w:val="16"/>
              </w:rPr>
            </w:pPr>
            <w:r>
              <w:rPr>
                <w:rFonts w:ascii="Calibri"/>
                <w:spacing w:val="-4"/>
                <w:sz w:val="16"/>
              </w:rPr>
              <w:t>61.8</w:t>
            </w:r>
          </w:p>
        </w:tc>
        <w:tc>
          <w:tcPr>
            <w:tcW w:w="630" w:type="dxa"/>
            <w:tcBorders>
              <w:top w:val="single" w:color="DCDDDE" w:sz="4" w:space="0"/>
              <w:bottom w:val="single" w:color="D9D9D9" w:sz="8" w:space="0"/>
            </w:tcBorders>
          </w:tcPr>
          <w:p w:rsidR="00C31389" w:rsidRDefault="00561FBD" w14:paraId="610A0B5C" w14:textId="77777777">
            <w:pPr>
              <w:pStyle w:val="TableParagraph"/>
              <w:spacing w:before="39"/>
              <w:ind w:right="114"/>
              <w:jc w:val="right"/>
              <w:rPr>
                <w:rFonts w:ascii="Calibri"/>
                <w:sz w:val="16"/>
              </w:rPr>
            </w:pPr>
            <w:r>
              <w:rPr>
                <w:rFonts w:ascii="Calibri"/>
                <w:spacing w:val="-4"/>
                <w:sz w:val="16"/>
              </w:rPr>
              <w:t>60.1</w:t>
            </w:r>
          </w:p>
        </w:tc>
        <w:tc>
          <w:tcPr>
            <w:tcW w:w="630" w:type="dxa"/>
            <w:tcBorders>
              <w:top w:val="single" w:color="DCDDDE" w:sz="4" w:space="0"/>
              <w:bottom w:val="single" w:color="D9D9D9" w:sz="8" w:space="0"/>
            </w:tcBorders>
          </w:tcPr>
          <w:p w:rsidR="00C31389" w:rsidRDefault="00561FBD" w14:paraId="5962A063" w14:textId="77777777">
            <w:pPr>
              <w:pStyle w:val="TableParagraph"/>
              <w:spacing w:before="39"/>
              <w:ind w:right="114"/>
              <w:jc w:val="right"/>
              <w:rPr>
                <w:rFonts w:ascii="Calibri"/>
                <w:sz w:val="16"/>
              </w:rPr>
            </w:pPr>
            <w:r>
              <w:rPr>
                <w:rFonts w:ascii="Calibri"/>
                <w:spacing w:val="-4"/>
                <w:sz w:val="16"/>
              </w:rPr>
              <w:t>56.6</w:t>
            </w:r>
          </w:p>
        </w:tc>
        <w:tc>
          <w:tcPr>
            <w:tcW w:w="630" w:type="dxa"/>
            <w:tcBorders>
              <w:top w:val="single" w:color="DCDDDE" w:sz="4" w:space="0"/>
              <w:bottom w:val="single" w:color="D9D9D9" w:sz="8" w:space="0"/>
            </w:tcBorders>
          </w:tcPr>
          <w:p w:rsidR="00C31389" w:rsidRDefault="00561FBD" w14:paraId="37AFD93F" w14:textId="77777777">
            <w:pPr>
              <w:pStyle w:val="TableParagraph"/>
              <w:spacing w:before="39"/>
              <w:ind w:right="114"/>
              <w:jc w:val="right"/>
              <w:rPr>
                <w:rFonts w:ascii="Calibri"/>
                <w:sz w:val="16"/>
              </w:rPr>
            </w:pPr>
            <w:r>
              <w:rPr>
                <w:rFonts w:ascii="Calibri"/>
                <w:spacing w:val="-4"/>
                <w:sz w:val="16"/>
              </w:rPr>
              <w:t>64.6</w:t>
            </w:r>
          </w:p>
        </w:tc>
        <w:tc>
          <w:tcPr>
            <w:tcW w:w="630" w:type="dxa"/>
            <w:tcBorders>
              <w:top w:val="single" w:color="DCDDDE" w:sz="4" w:space="0"/>
              <w:bottom w:val="single" w:color="D9D9D9" w:sz="8" w:space="0"/>
            </w:tcBorders>
          </w:tcPr>
          <w:p w:rsidR="00C31389" w:rsidRDefault="00561FBD" w14:paraId="702E1336" w14:textId="77777777">
            <w:pPr>
              <w:pStyle w:val="TableParagraph"/>
              <w:spacing w:before="39"/>
              <w:ind w:right="114"/>
              <w:jc w:val="right"/>
              <w:rPr>
                <w:rFonts w:ascii="Calibri"/>
                <w:sz w:val="16"/>
              </w:rPr>
            </w:pPr>
            <w:r>
              <w:rPr>
                <w:rFonts w:ascii="Calibri"/>
                <w:spacing w:val="-4"/>
                <w:sz w:val="16"/>
              </w:rPr>
              <w:t>57.0</w:t>
            </w:r>
          </w:p>
        </w:tc>
        <w:tc>
          <w:tcPr>
            <w:tcW w:w="630" w:type="dxa"/>
            <w:tcBorders>
              <w:top w:val="single" w:color="DCDDDE" w:sz="4" w:space="0"/>
              <w:bottom w:val="single" w:color="D9D9D9" w:sz="8" w:space="0"/>
            </w:tcBorders>
          </w:tcPr>
          <w:p w:rsidR="00C31389" w:rsidRDefault="00561FBD" w14:paraId="32A3E9D7" w14:textId="77777777">
            <w:pPr>
              <w:pStyle w:val="TableParagraph"/>
              <w:spacing w:before="39"/>
              <w:ind w:left="124" w:right="9"/>
              <w:jc w:val="center"/>
              <w:rPr>
                <w:rFonts w:ascii="Calibri"/>
                <w:sz w:val="16"/>
              </w:rPr>
            </w:pPr>
            <w:r>
              <w:rPr>
                <w:rFonts w:ascii="Calibri"/>
                <w:spacing w:val="-4"/>
                <w:sz w:val="16"/>
              </w:rPr>
              <w:t>56.1</w:t>
            </w:r>
          </w:p>
        </w:tc>
        <w:tc>
          <w:tcPr>
            <w:tcW w:w="630" w:type="dxa"/>
            <w:tcBorders>
              <w:top w:val="single" w:color="DCDDDE" w:sz="4" w:space="0"/>
              <w:bottom w:val="single" w:color="D9D9D9" w:sz="8" w:space="0"/>
            </w:tcBorders>
          </w:tcPr>
          <w:p w:rsidR="00C31389" w:rsidRDefault="00561FBD" w14:paraId="554EB43F" w14:textId="77777777">
            <w:pPr>
              <w:pStyle w:val="TableParagraph"/>
              <w:spacing w:before="39"/>
              <w:ind w:right="114"/>
              <w:jc w:val="right"/>
              <w:rPr>
                <w:rFonts w:ascii="Calibri"/>
                <w:sz w:val="16"/>
              </w:rPr>
            </w:pPr>
            <w:r>
              <w:rPr>
                <w:rFonts w:ascii="Calibri"/>
                <w:spacing w:val="-4"/>
                <w:sz w:val="16"/>
              </w:rPr>
              <w:t>54.1</w:t>
            </w:r>
          </w:p>
        </w:tc>
        <w:tc>
          <w:tcPr>
            <w:tcW w:w="630" w:type="dxa"/>
            <w:tcBorders>
              <w:top w:val="single" w:color="DCDDDE" w:sz="4" w:space="0"/>
              <w:bottom w:val="single" w:color="D9D9D9" w:sz="8" w:space="0"/>
            </w:tcBorders>
          </w:tcPr>
          <w:p w:rsidR="00C31389" w:rsidRDefault="00561FBD" w14:paraId="4765B83E" w14:textId="77777777">
            <w:pPr>
              <w:pStyle w:val="TableParagraph"/>
              <w:spacing w:before="39"/>
              <w:ind w:right="114"/>
              <w:jc w:val="right"/>
              <w:rPr>
                <w:rFonts w:ascii="Calibri"/>
                <w:sz w:val="16"/>
              </w:rPr>
            </w:pPr>
            <w:r>
              <w:rPr>
                <w:rFonts w:ascii="Calibri"/>
                <w:spacing w:val="-4"/>
                <w:sz w:val="16"/>
              </w:rPr>
              <w:t>53.4</w:t>
            </w:r>
          </w:p>
        </w:tc>
        <w:tc>
          <w:tcPr>
            <w:tcW w:w="622" w:type="dxa"/>
            <w:tcBorders>
              <w:top w:val="single" w:color="DCDDDE" w:sz="4" w:space="0"/>
              <w:bottom w:val="single" w:color="D9D9D9" w:sz="8" w:space="0"/>
            </w:tcBorders>
          </w:tcPr>
          <w:p w:rsidR="00C31389" w:rsidRDefault="00561FBD" w14:paraId="2459F6D2" w14:textId="77777777">
            <w:pPr>
              <w:pStyle w:val="TableParagraph"/>
              <w:spacing w:before="39"/>
              <w:ind w:right="106"/>
              <w:jc w:val="right"/>
              <w:rPr>
                <w:rFonts w:ascii="Calibri"/>
                <w:sz w:val="16"/>
              </w:rPr>
            </w:pPr>
            <w:r>
              <w:rPr>
                <w:rFonts w:ascii="Calibri"/>
                <w:spacing w:val="-4"/>
                <w:sz w:val="16"/>
              </w:rPr>
              <w:t>53.2</w:t>
            </w:r>
          </w:p>
        </w:tc>
      </w:tr>
      <w:tr w:rsidR="00C31389" w14:paraId="3E82CFF0" w14:textId="77777777">
        <w:trPr>
          <w:trHeight w:val="275"/>
        </w:trPr>
        <w:tc>
          <w:tcPr>
            <w:tcW w:w="1429" w:type="dxa"/>
            <w:tcBorders>
              <w:top w:val="single" w:color="DCDDDE" w:sz="4" w:space="0"/>
              <w:bottom w:val="single" w:color="DCDDDE" w:sz="4" w:space="0"/>
            </w:tcBorders>
          </w:tcPr>
          <w:p w:rsidR="00C31389" w:rsidRDefault="00561FBD" w14:paraId="09D4BEFD" w14:textId="77777777">
            <w:pPr>
              <w:pStyle w:val="TableParagraph"/>
              <w:ind w:left="121"/>
              <w:rPr>
                <w:sz w:val="17"/>
              </w:rPr>
            </w:pPr>
            <w:r>
              <w:rPr>
                <w:spacing w:val="-5"/>
                <w:sz w:val="17"/>
              </w:rPr>
              <w:t>FS</w:t>
            </w:r>
          </w:p>
        </w:tc>
        <w:tc>
          <w:tcPr>
            <w:tcW w:w="861" w:type="dxa"/>
            <w:tcBorders>
              <w:top w:val="single" w:color="D9D9D9" w:sz="8" w:space="0"/>
              <w:bottom w:val="single" w:color="D9D9D9" w:sz="8" w:space="0"/>
            </w:tcBorders>
          </w:tcPr>
          <w:p w:rsidR="00C31389" w:rsidRDefault="00561FBD" w14:paraId="41AFA269" w14:textId="77777777">
            <w:pPr>
              <w:pStyle w:val="TableParagraph"/>
              <w:spacing w:before="39"/>
              <w:ind w:right="115"/>
              <w:jc w:val="right"/>
              <w:rPr>
                <w:rFonts w:ascii="Calibri"/>
                <w:sz w:val="16"/>
              </w:rPr>
            </w:pPr>
            <w:r>
              <w:rPr>
                <w:rFonts w:ascii="Calibri"/>
                <w:spacing w:val="-2"/>
                <w:sz w:val="16"/>
              </w:rPr>
              <w:t>-</w:t>
            </w:r>
            <w:r>
              <w:rPr>
                <w:rFonts w:ascii="Calibri"/>
                <w:spacing w:val="-5"/>
                <w:sz w:val="16"/>
              </w:rPr>
              <w:t>8.7</w:t>
            </w:r>
          </w:p>
        </w:tc>
        <w:tc>
          <w:tcPr>
            <w:tcW w:w="778" w:type="dxa"/>
            <w:tcBorders>
              <w:top w:val="single" w:color="D9D9D9" w:sz="8" w:space="0"/>
              <w:bottom w:val="single" w:color="D9D9D9" w:sz="8" w:space="0"/>
            </w:tcBorders>
          </w:tcPr>
          <w:p w:rsidR="00C31389" w:rsidRDefault="00561FBD" w14:paraId="09F68052" w14:textId="77777777">
            <w:pPr>
              <w:pStyle w:val="TableParagraph"/>
              <w:spacing w:before="39"/>
              <w:ind w:right="126"/>
              <w:jc w:val="right"/>
              <w:rPr>
                <w:rFonts w:ascii="Calibri"/>
                <w:sz w:val="16"/>
              </w:rPr>
            </w:pPr>
            <w:r>
              <w:rPr>
                <w:rFonts w:ascii="Calibri"/>
                <w:spacing w:val="-2"/>
                <w:sz w:val="16"/>
              </w:rPr>
              <w:t>-</w:t>
            </w:r>
            <w:r>
              <w:rPr>
                <w:rFonts w:ascii="Calibri"/>
                <w:spacing w:val="-5"/>
                <w:sz w:val="16"/>
              </w:rPr>
              <w:t>8.7</w:t>
            </w:r>
          </w:p>
        </w:tc>
        <w:tc>
          <w:tcPr>
            <w:tcW w:w="643" w:type="dxa"/>
            <w:tcBorders>
              <w:top w:val="single" w:color="D9D9D9" w:sz="8" w:space="0"/>
              <w:bottom w:val="single" w:color="D9D9D9" w:sz="8" w:space="0"/>
            </w:tcBorders>
          </w:tcPr>
          <w:p w:rsidR="00C31389" w:rsidRDefault="00561FBD" w14:paraId="50A58C06" w14:textId="77777777">
            <w:pPr>
              <w:pStyle w:val="TableParagraph"/>
              <w:spacing w:before="39"/>
              <w:ind w:right="112"/>
              <w:jc w:val="right"/>
              <w:rPr>
                <w:rFonts w:ascii="Calibri"/>
                <w:sz w:val="16"/>
              </w:rPr>
            </w:pPr>
            <w:r>
              <w:rPr>
                <w:rFonts w:ascii="Calibri"/>
                <w:spacing w:val="-2"/>
                <w:sz w:val="16"/>
              </w:rPr>
              <w:t>-</w:t>
            </w:r>
            <w:r>
              <w:rPr>
                <w:rFonts w:ascii="Calibri"/>
                <w:spacing w:val="-5"/>
                <w:sz w:val="16"/>
              </w:rPr>
              <w:t>8.7</w:t>
            </w:r>
          </w:p>
        </w:tc>
        <w:tc>
          <w:tcPr>
            <w:tcW w:w="630" w:type="dxa"/>
            <w:tcBorders>
              <w:top w:val="single" w:color="D9D9D9" w:sz="8" w:space="0"/>
              <w:bottom w:val="single" w:color="D9D9D9" w:sz="8" w:space="0"/>
            </w:tcBorders>
          </w:tcPr>
          <w:p w:rsidR="00C31389" w:rsidRDefault="00561FBD" w14:paraId="79F9B1E5" w14:textId="77777777">
            <w:pPr>
              <w:pStyle w:val="TableParagraph"/>
              <w:spacing w:before="39"/>
              <w:ind w:right="112"/>
              <w:jc w:val="right"/>
              <w:rPr>
                <w:rFonts w:ascii="Calibri"/>
                <w:sz w:val="16"/>
              </w:rPr>
            </w:pPr>
            <w:r>
              <w:rPr>
                <w:rFonts w:ascii="Calibri"/>
                <w:spacing w:val="-2"/>
                <w:sz w:val="16"/>
              </w:rPr>
              <w:t>-</w:t>
            </w:r>
            <w:r>
              <w:rPr>
                <w:rFonts w:ascii="Calibri"/>
                <w:spacing w:val="-5"/>
                <w:sz w:val="16"/>
              </w:rPr>
              <w:t>8.8</w:t>
            </w:r>
          </w:p>
        </w:tc>
        <w:tc>
          <w:tcPr>
            <w:tcW w:w="630" w:type="dxa"/>
            <w:tcBorders>
              <w:top w:val="single" w:color="D9D9D9" w:sz="8" w:space="0"/>
              <w:bottom w:val="single" w:color="D9D9D9" w:sz="8" w:space="0"/>
            </w:tcBorders>
          </w:tcPr>
          <w:p w:rsidR="00C31389" w:rsidRDefault="00561FBD" w14:paraId="7B2A97B9" w14:textId="77777777">
            <w:pPr>
              <w:pStyle w:val="TableParagraph"/>
              <w:spacing w:before="39"/>
              <w:ind w:right="112"/>
              <w:jc w:val="right"/>
              <w:rPr>
                <w:rFonts w:ascii="Calibri"/>
                <w:sz w:val="16"/>
              </w:rPr>
            </w:pPr>
            <w:r>
              <w:rPr>
                <w:rFonts w:ascii="Calibri"/>
                <w:spacing w:val="-2"/>
                <w:sz w:val="16"/>
              </w:rPr>
              <w:t>-</w:t>
            </w:r>
            <w:r>
              <w:rPr>
                <w:rFonts w:ascii="Calibri"/>
                <w:spacing w:val="-5"/>
                <w:sz w:val="16"/>
              </w:rPr>
              <w:t>8.8</w:t>
            </w:r>
          </w:p>
        </w:tc>
        <w:tc>
          <w:tcPr>
            <w:tcW w:w="630" w:type="dxa"/>
            <w:tcBorders>
              <w:top w:val="single" w:color="D9D9D9" w:sz="8" w:space="0"/>
              <w:bottom w:val="single" w:color="D9D9D9" w:sz="8" w:space="0"/>
            </w:tcBorders>
          </w:tcPr>
          <w:p w:rsidR="00C31389" w:rsidRDefault="00561FBD" w14:paraId="2C0B8606" w14:textId="77777777">
            <w:pPr>
              <w:pStyle w:val="TableParagraph"/>
              <w:spacing w:before="39"/>
              <w:ind w:right="112"/>
              <w:jc w:val="right"/>
              <w:rPr>
                <w:rFonts w:ascii="Calibri"/>
                <w:sz w:val="16"/>
              </w:rPr>
            </w:pPr>
            <w:r>
              <w:rPr>
                <w:rFonts w:ascii="Calibri"/>
                <w:spacing w:val="-2"/>
                <w:sz w:val="16"/>
              </w:rPr>
              <w:t>-</w:t>
            </w:r>
            <w:r>
              <w:rPr>
                <w:rFonts w:ascii="Calibri"/>
                <w:spacing w:val="-5"/>
                <w:sz w:val="16"/>
              </w:rPr>
              <w:t>9.0</w:t>
            </w:r>
          </w:p>
        </w:tc>
        <w:tc>
          <w:tcPr>
            <w:tcW w:w="630" w:type="dxa"/>
            <w:tcBorders>
              <w:top w:val="single" w:color="D9D9D9" w:sz="8" w:space="0"/>
              <w:bottom w:val="single" w:color="D9D9D9" w:sz="8" w:space="0"/>
            </w:tcBorders>
          </w:tcPr>
          <w:p w:rsidR="00C31389" w:rsidRDefault="00561FBD" w14:paraId="51216AB9" w14:textId="77777777">
            <w:pPr>
              <w:pStyle w:val="TableParagraph"/>
              <w:spacing w:before="39"/>
              <w:ind w:right="112"/>
              <w:jc w:val="right"/>
              <w:rPr>
                <w:rFonts w:ascii="Calibri"/>
                <w:sz w:val="16"/>
              </w:rPr>
            </w:pPr>
            <w:r>
              <w:rPr>
                <w:rFonts w:ascii="Calibri"/>
                <w:spacing w:val="-5"/>
                <w:sz w:val="16"/>
              </w:rPr>
              <w:t>0.5</w:t>
            </w:r>
          </w:p>
        </w:tc>
        <w:tc>
          <w:tcPr>
            <w:tcW w:w="630" w:type="dxa"/>
            <w:tcBorders>
              <w:top w:val="single" w:color="D9D9D9" w:sz="8" w:space="0"/>
              <w:bottom w:val="single" w:color="D9D9D9" w:sz="8" w:space="0"/>
            </w:tcBorders>
          </w:tcPr>
          <w:p w:rsidR="00C31389" w:rsidRDefault="00561FBD" w14:paraId="0A080D2F" w14:textId="77777777">
            <w:pPr>
              <w:pStyle w:val="TableParagraph"/>
              <w:spacing w:before="39"/>
              <w:ind w:right="112"/>
              <w:jc w:val="right"/>
              <w:rPr>
                <w:rFonts w:ascii="Calibri"/>
                <w:sz w:val="16"/>
              </w:rPr>
            </w:pPr>
            <w:r>
              <w:rPr>
                <w:rFonts w:ascii="Calibri"/>
                <w:spacing w:val="-5"/>
                <w:sz w:val="16"/>
              </w:rPr>
              <w:t>0.6</w:t>
            </w:r>
          </w:p>
        </w:tc>
        <w:tc>
          <w:tcPr>
            <w:tcW w:w="630" w:type="dxa"/>
            <w:tcBorders>
              <w:top w:val="single" w:color="D9D9D9" w:sz="8" w:space="0"/>
              <w:bottom w:val="single" w:color="D9D9D9" w:sz="8" w:space="0"/>
            </w:tcBorders>
          </w:tcPr>
          <w:p w:rsidR="00C31389" w:rsidRDefault="00561FBD" w14:paraId="71EE6C9C" w14:textId="77777777">
            <w:pPr>
              <w:pStyle w:val="TableParagraph"/>
              <w:spacing w:before="39"/>
              <w:ind w:left="255" w:right="57"/>
              <w:jc w:val="center"/>
              <w:rPr>
                <w:rFonts w:ascii="Calibri"/>
                <w:sz w:val="16"/>
              </w:rPr>
            </w:pPr>
            <w:r>
              <w:rPr>
                <w:rFonts w:ascii="Calibri"/>
                <w:spacing w:val="-5"/>
                <w:sz w:val="16"/>
              </w:rPr>
              <w:t>0.7</w:t>
            </w:r>
          </w:p>
        </w:tc>
        <w:tc>
          <w:tcPr>
            <w:tcW w:w="630" w:type="dxa"/>
            <w:tcBorders>
              <w:top w:val="single" w:color="D9D9D9" w:sz="8" w:space="0"/>
              <w:bottom w:val="single" w:color="D9D9D9" w:sz="8" w:space="0"/>
            </w:tcBorders>
          </w:tcPr>
          <w:p w:rsidR="00C31389" w:rsidRDefault="00561FBD" w14:paraId="62C980C6" w14:textId="77777777">
            <w:pPr>
              <w:pStyle w:val="TableParagraph"/>
              <w:spacing w:before="39"/>
              <w:ind w:right="112"/>
              <w:jc w:val="right"/>
              <w:rPr>
                <w:rFonts w:ascii="Calibri"/>
                <w:sz w:val="16"/>
              </w:rPr>
            </w:pPr>
            <w:r>
              <w:rPr>
                <w:rFonts w:ascii="Calibri"/>
                <w:spacing w:val="-5"/>
                <w:sz w:val="16"/>
              </w:rPr>
              <w:t>0.7</w:t>
            </w:r>
          </w:p>
        </w:tc>
        <w:tc>
          <w:tcPr>
            <w:tcW w:w="630" w:type="dxa"/>
            <w:tcBorders>
              <w:top w:val="single" w:color="D9D9D9" w:sz="8" w:space="0"/>
              <w:bottom w:val="single" w:color="D9D9D9" w:sz="8" w:space="0"/>
            </w:tcBorders>
          </w:tcPr>
          <w:p w:rsidR="00C31389" w:rsidRDefault="00561FBD" w14:paraId="675E1F8B" w14:textId="77777777">
            <w:pPr>
              <w:pStyle w:val="TableParagraph"/>
              <w:spacing w:before="39"/>
              <w:ind w:right="112"/>
              <w:jc w:val="right"/>
              <w:rPr>
                <w:rFonts w:ascii="Calibri"/>
                <w:sz w:val="16"/>
              </w:rPr>
            </w:pPr>
            <w:r>
              <w:rPr>
                <w:rFonts w:ascii="Calibri"/>
                <w:spacing w:val="-5"/>
                <w:sz w:val="16"/>
              </w:rPr>
              <w:t>0.8</w:t>
            </w:r>
          </w:p>
        </w:tc>
        <w:tc>
          <w:tcPr>
            <w:tcW w:w="622" w:type="dxa"/>
            <w:tcBorders>
              <w:top w:val="single" w:color="D9D9D9" w:sz="8" w:space="0"/>
              <w:bottom w:val="single" w:color="D9D9D9" w:sz="8" w:space="0"/>
            </w:tcBorders>
          </w:tcPr>
          <w:p w:rsidR="00C31389" w:rsidRDefault="00561FBD" w14:paraId="20ECFBC1" w14:textId="77777777">
            <w:pPr>
              <w:pStyle w:val="TableParagraph"/>
              <w:spacing w:before="39"/>
              <w:ind w:right="104"/>
              <w:jc w:val="right"/>
              <w:rPr>
                <w:rFonts w:ascii="Calibri"/>
                <w:sz w:val="16"/>
              </w:rPr>
            </w:pPr>
            <w:r>
              <w:rPr>
                <w:rFonts w:ascii="Calibri"/>
                <w:spacing w:val="-5"/>
                <w:sz w:val="16"/>
              </w:rPr>
              <w:t>0.8</w:t>
            </w:r>
          </w:p>
        </w:tc>
      </w:tr>
      <w:tr w:rsidR="00C31389" w14:paraId="25AC3F56" w14:textId="77777777">
        <w:trPr>
          <w:trHeight w:val="275"/>
        </w:trPr>
        <w:tc>
          <w:tcPr>
            <w:tcW w:w="1429" w:type="dxa"/>
            <w:tcBorders>
              <w:top w:val="single" w:color="DCDDDE" w:sz="4" w:space="0"/>
              <w:bottom w:val="single" w:color="DCDDDE" w:sz="4" w:space="0"/>
            </w:tcBorders>
          </w:tcPr>
          <w:p w:rsidR="00C31389" w:rsidRDefault="00561FBD" w14:paraId="3B700633" w14:textId="77777777">
            <w:pPr>
              <w:pStyle w:val="TableParagraph"/>
              <w:spacing w:before="41"/>
              <w:ind w:left="121"/>
              <w:rPr>
                <w:sz w:val="17"/>
              </w:rPr>
            </w:pPr>
            <w:r>
              <w:rPr>
                <w:spacing w:val="-4"/>
                <w:sz w:val="17"/>
              </w:rPr>
              <w:t>BROs</w:t>
            </w:r>
          </w:p>
        </w:tc>
        <w:tc>
          <w:tcPr>
            <w:tcW w:w="861" w:type="dxa"/>
            <w:tcBorders>
              <w:top w:val="single" w:color="D9D9D9" w:sz="8" w:space="0"/>
              <w:bottom w:val="single" w:color="DCDDDE" w:sz="4" w:space="0"/>
            </w:tcBorders>
          </w:tcPr>
          <w:p w:rsidR="00C31389" w:rsidRDefault="00561FBD" w14:paraId="53AAAE77" w14:textId="77777777">
            <w:pPr>
              <w:pStyle w:val="TableParagraph"/>
              <w:ind w:right="115"/>
              <w:jc w:val="right"/>
              <w:rPr>
                <w:rFonts w:ascii="Calibri"/>
                <w:sz w:val="16"/>
              </w:rPr>
            </w:pPr>
            <w:r>
              <w:rPr>
                <w:rFonts w:ascii="Calibri"/>
                <w:spacing w:val="-2"/>
                <w:sz w:val="16"/>
              </w:rPr>
              <w:t>231.3</w:t>
            </w:r>
          </w:p>
        </w:tc>
        <w:tc>
          <w:tcPr>
            <w:tcW w:w="778" w:type="dxa"/>
            <w:tcBorders>
              <w:top w:val="single" w:color="D9D9D9" w:sz="8" w:space="0"/>
              <w:bottom w:val="single" w:color="DCDDDE" w:sz="4" w:space="0"/>
            </w:tcBorders>
          </w:tcPr>
          <w:p w:rsidR="00C31389" w:rsidRDefault="00561FBD" w14:paraId="55F3E033" w14:textId="77777777">
            <w:pPr>
              <w:pStyle w:val="TableParagraph"/>
              <w:ind w:right="126"/>
              <w:jc w:val="right"/>
              <w:rPr>
                <w:rFonts w:ascii="Calibri"/>
                <w:sz w:val="16"/>
              </w:rPr>
            </w:pPr>
            <w:r>
              <w:rPr>
                <w:rFonts w:ascii="Calibri"/>
                <w:spacing w:val="-2"/>
                <w:sz w:val="16"/>
              </w:rPr>
              <w:t>240.6</w:t>
            </w:r>
          </w:p>
        </w:tc>
        <w:tc>
          <w:tcPr>
            <w:tcW w:w="643" w:type="dxa"/>
            <w:tcBorders>
              <w:top w:val="single" w:color="D9D9D9" w:sz="8" w:space="0"/>
              <w:bottom w:val="single" w:color="DCDDDE" w:sz="4" w:space="0"/>
            </w:tcBorders>
          </w:tcPr>
          <w:p w:rsidR="00C31389" w:rsidRDefault="00561FBD" w14:paraId="07ECDD9F" w14:textId="77777777">
            <w:pPr>
              <w:pStyle w:val="TableParagraph"/>
              <w:ind w:right="112"/>
              <w:jc w:val="right"/>
              <w:rPr>
                <w:rFonts w:ascii="Calibri"/>
                <w:sz w:val="16"/>
              </w:rPr>
            </w:pPr>
            <w:r>
              <w:rPr>
                <w:rFonts w:ascii="Calibri"/>
                <w:spacing w:val="-2"/>
                <w:sz w:val="16"/>
              </w:rPr>
              <w:t>250.6</w:t>
            </w:r>
          </w:p>
        </w:tc>
        <w:tc>
          <w:tcPr>
            <w:tcW w:w="630" w:type="dxa"/>
            <w:tcBorders>
              <w:top w:val="single" w:color="D9D9D9" w:sz="8" w:space="0"/>
              <w:bottom w:val="single" w:color="DCDDDE" w:sz="4" w:space="0"/>
            </w:tcBorders>
          </w:tcPr>
          <w:p w:rsidR="00C31389" w:rsidRDefault="00561FBD" w14:paraId="24FECF1E" w14:textId="77777777">
            <w:pPr>
              <w:pStyle w:val="TableParagraph"/>
              <w:ind w:right="112"/>
              <w:jc w:val="right"/>
              <w:rPr>
                <w:rFonts w:ascii="Calibri"/>
                <w:sz w:val="16"/>
              </w:rPr>
            </w:pPr>
            <w:r>
              <w:rPr>
                <w:rFonts w:ascii="Calibri"/>
                <w:spacing w:val="-2"/>
                <w:sz w:val="16"/>
              </w:rPr>
              <w:t>261.0</w:t>
            </w:r>
          </w:p>
        </w:tc>
        <w:tc>
          <w:tcPr>
            <w:tcW w:w="630" w:type="dxa"/>
            <w:tcBorders>
              <w:top w:val="single" w:color="D9D9D9" w:sz="8" w:space="0"/>
              <w:bottom w:val="single" w:color="DCDDDE" w:sz="4" w:space="0"/>
            </w:tcBorders>
          </w:tcPr>
          <w:p w:rsidR="00C31389" w:rsidRDefault="00561FBD" w14:paraId="5E5C67C5" w14:textId="77777777">
            <w:pPr>
              <w:pStyle w:val="TableParagraph"/>
              <w:ind w:right="112"/>
              <w:jc w:val="right"/>
              <w:rPr>
                <w:rFonts w:ascii="Calibri"/>
                <w:sz w:val="16"/>
              </w:rPr>
            </w:pPr>
            <w:r>
              <w:rPr>
                <w:rFonts w:ascii="Calibri"/>
                <w:spacing w:val="-2"/>
                <w:sz w:val="16"/>
              </w:rPr>
              <w:t>271.7</w:t>
            </w:r>
          </w:p>
        </w:tc>
        <w:tc>
          <w:tcPr>
            <w:tcW w:w="630" w:type="dxa"/>
            <w:tcBorders>
              <w:top w:val="single" w:color="D9D9D9" w:sz="8" w:space="0"/>
              <w:bottom w:val="single" w:color="DCDDDE" w:sz="4" w:space="0"/>
            </w:tcBorders>
          </w:tcPr>
          <w:p w:rsidR="00C31389" w:rsidRDefault="00561FBD" w14:paraId="1A05E169" w14:textId="77777777">
            <w:pPr>
              <w:pStyle w:val="TableParagraph"/>
              <w:ind w:right="112"/>
              <w:jc w:val="right"/>
              <w:rPr>
                <w:rFonts w:ascii="Calibri"/>
                <w:sz w:val="16"/>
              </w:rPr>
            </w:pPr>
            <w:r>
              <w:rPr>
                <w:rFonts w:ascii="Calibri"/>
                <w:spacing w:val="-2"/>
                <w:sz w:val="16"/>
              </w:rPr>
              <w:t>283.1</w:t>
            </w:r>
          </w:p>
        </w:tc>
        <w:tc>
          <w:tcPr>
            <w:tcW w:w="630" w:type="dxa"/>
            <w:tcBorders>
              <w:top w:val="single" w:color="D9D9D9" w:sz="8" w:space="0"/>
              <w:bottom w:val="single" w:color="DCDDDE" w:sz="4" w:space="0"/>
            </w:tcBorders>
          </w:tcPr>
          <w:p w:rsidR="00C31389" w:rsidRDefault="00561FBD" w14:paraId="6EA541BF" w14:textId="77777777">
            <w:pPr>
              <w:pStyle w:val="TableParagraph"/>
              <w:ind w:right="112"/>
              <w:jc w:val="right"/>
              <w:rPr>
                <w:rFonts w:ascii="Calibri"/>
                <w:sz w:val="16"/>
              </w:rPr>
            </w:pPr>
            <w:r>
              <w:rPr>
                <w:rFonts w:ascii="Calibri"/>
                <w:spacing w:val="-2"/>
                <w:sz w:val="16"/>
              </w:rPr>
              <w:t>295.8</w:t>
            </w:r>
          </w:p>
        </w:tc>
        <w:tc>
          <w:tcPr>
            <w:tcW w:w="630" w:type="dxa"/>
            <w:tcBorders>
              <w:top w:val="single" w:color="D9D9D9" w:sz="8" w:space="0"/>
              <w:bottom w:val="single" w:color="DCDDDE" w:sz="4" w:space="0"/>
            </w:tcBorders>
          </w:tcPr>
          <w:p w:rsidR="00C31389" w:rsidRDefault="00561FBD" w14:paraId="54D83CF6" w14:textId="77777777">
            <w:pPr>
              <w:pStyle w:val="TableParagraph"/>
              <w:ind w:right="112"/>
              <w:jc w:val="right"/>
              <w:rPr>
                <w:rFonts w:ascii="Calibri"/>
                <w:sz w:val="16"/>
              </w:rPr>
            </w:pPr>
            <w:r>
              <w:rPr>
                <w:rFonts w:ascii="Calibri"/>
                <w:spacing w:val="-2"/>
                <w:sz w:val="16"/>
              </w:rPr>
              <w:t>308.7</w:t>
            </w:r>
          </w:p>
        </w:tc>
        <w:tc>
          <w:tcPr>
            <w:tcW w:w="630" w:type="dxa"/>
            <w:tcBorders>
              <w:top w:val="single" w:color="D9D9D9" w:sz="8" w:space="0"/>
              <w:bottom w:val="single" w:color="DCDDDE" w:sz="4" w:space="0"/>
            </w:tcBorders>
          </w:tcPr>
          <w:p w:rsidR="00C31389" w:rsidRDefault="00561FBD" w14:paraId="06A79DE2" w14:textId="77777777">
            <w:pPr>
              <w:pStyle w:val="TableParagraph"/>
              <w:ind w:left="124" w:right="88"/>
              <w:jc w:val="center"/>
              <w:rPr>
                <w:rFonts w:ascii="Calibri"/>
                <w:sz w:val="16"/>
              </w:rPr>
            </w:pPr>
            <w:r>
              <w:rPr>
                <w:rFonts w:ascii="Calibri"/>
                <w:spacing w:val="-2"/>
                <w:sz w:val="16"/>
              </w:rPr>
              <w:t>322.0</w:t>
            </w:r>
          </w:p>
        </w:tc>
        <w:tc>
          <w:tcPr>
            <w:tcW w:w="630" w:type="dxa"/>
            <w:tcBorders>
              <w:top w:val="single" w:color="D9D9D9" w:sz="8" w:space="0"/>
              <w:bottom w:val="single" w:color="DCDDDE" w:sz="4" w:space="0"/>
            </w:tcBorders>
          </w:tcPr>
          <w:p w:rsidR="00C31389" w:rsidRDefault="00561FBD" w14:paraId="6760ABE2" w14:textId="77777777">
            <w:pPr>
              <w:pStyle w:val="TableParagraph"/>
              <w:ind w:right="112"/>
              <w:jc w:val="right"/>
              <w:rPr>
                <w:rFonts w:ascii="Calibri"/>
                <w:sz w:val="16"/>
              </w:rPr>
            </w:pPr>
            <w:r>
              <w:rPr>
                <w:rFonts w:ascii="Calibri"/>
                <w:spacing w:val="-2"/>
                <w:sz w:val="16"/>
              </w:rPr>
              <w:t>339.0</w:t>
            </w:r>
          </w:p>
        </w:tc>
        <w:tc>
          <w:tcPr>
            <w:tcW w:w="630" w:type="dxa"/>
            <w:tcBorders>
              <w:top w:val="single" w:color="D9D9D9" w:sz="8" w:space="0"/>
              <w:bottom w:val="single" w:color="DCDDDE" w:sz="4" w:space="0"/>
            </w:tcBorders>
          </w:tcPr>
          <w:p w:rsidR="00C31389" w:rsidRDefault="00561FBD" w14:paraId="02AEF391" w14:textId="77777777">
            <w:pPr>
              <w:pStyle w:val="TableParagraph"/>
              <w:ind w:right="112"/>
              <w:jc w:val="right"/>
              <w:rPr>
                <w:rFonts w:ascii="Calibri"/>
                <w:sz w:val="16"/>
              </w:rPr>
            </w:pPr>
            <w:r>
              <w:rPr>
                <w:rFonts w:ascii="Calibri"/>
                <w:spacing w:val="-2"/>
                <w:sz w:val="16"/>
              </w:rPr>
              <w:t>344.0</w:t>
            </w:r>
          </w:p>
        </w:tc>
        <w:tc>
          <w:tcPr>
            <w:tcW w:w="622" w:type="dxa"/>
            <w:tcBorders>
              <w:top w:val="single" w:color="D9D9D9" w:sz="8" w:space="0"/>
              <w:bottom w:val="single" w:color="DCDDDE" w:sz="4" w:space="0"/>
            </w:tcBorders>
          </w:tcPr>
          <w:p w:rsidR="00C31389" w:rsidRDefault="00561FBD" w14:paraId="0CC2BBD3" w14:textId="77777777">
            <w:pPr>
              <w:pStyle w:val="TableParagraph"/>
              <w:ind w:right="104"/>
              <w:jc w:val="right"/>
              <w:rPr>
                <w:rFonts w:ascii="Calibri"/>
                <w:sz w:val="16"/>
              </w:rPr>
            </w:pPr>
            <w:r>
              <w:rPr>
                <w:rFonts w:ascii="Calibri"/>
                <w:spacing w:val="-2"/>
                <w:sz w:val="16"/>
              </w:rPr>
              <w:t>360.8</w:t>
            </w:r>
          </w:p>
        </w:tc>
      </w:tr>
      <w:tr w:rsidR="00C31389" w14:paraId="7FA03BBA"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5C067AC2" w14:textId="77777777">
            <w:pPr>
              <w:pStyle w:val="TableParagraph"/>
              <w:spacing w:before="42"/>
              <w:ind w:left="121"/>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46E8A9E3" w14:textId="77777777">
        <w:trPr>
          <w:trHeight w:val="471"/>
        </w:trPr>
        <w:tc>
          <w:tcPr>
            <w:tcW w:w="1429" w:type="dxa"/>
            <w:tcBorders>
              <w:top w:val="single" w:color="DCDDDE" w:sz="4" w:space="0"/>
              <w:bottom w:val="single" w:color="DCDDDE" w:sz="4" w:space="0"/>
            </w:tcBorders>
          </w:tcPr>
          <w:p w:rsidR="00C31389" w:rsidRDefault="00561FBD" w14:paraId="41204F99" w14:textId="77777777">
            <w:pPr>
              <w:pStyle w:val="TableParagraph"/>
              <w:spacing w:before="39"/>
              <w:ind w:left="121" w:right="298"/>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0F9A7255" w14:textId="77777777">
            <w:pPr>
              <w:pStyle w:val="TableParagraph"/>
              <w:spacing w:before="145"/>
              <w:ind w:right="117"/>
              <w:jc w:val="right"/>
              <w:rPr>
                <w:sz w:val="16"/>
              </w:rPr>
            </w:pPr>
            <w:r>
              <w:rPr>
                <w:spacing w:val="-2"/>
                <w:sz w:val="16"/>
              </w:rPr>
              <w:t>1,071.2</w:t>
            </w:r>
          </w:p>
        </w:tc>
        <w:tc>
          <w:tcPr>
            <w:tcW w:w="778" w:type="dxa"/>
            <w:tcBorders>
              <w:top w:val="single" w:color="DCDDDE" w:sz="4" w:space="0"/>
              <w:bottom w:val="single" w:color="DCDDDE" w:sz="4" w:space="0"/>
            </w:tcBorders>
          </w:tcPr>
          <w:p w:rsidR="00C31389" w:rsidRDefault="00561FBD" w14:paraId="3320E0E0" w14:textId="77777777">
            <w:pPr>
              <w:pStyle w:val="TableParagraph"/>
              <w:spacing w:before="145"/>
              <w:ind w:right="127"/>
              <w:jc w:val="right"/>
              <w:rPr>
                <w:sz w:val="16"/>
              </w:rPr>
            </w:pPr>
            <w:r>
              <w:rPr>
                <w:spacing w:val="-2"/>
                <w:sz w:val="16"/>
              </w:rPr>
              <w:t>1,008.4</w:t>
            </w:r>
          </w:p>
        </w:tc>
        <w:tc>
          <w:tcPr>
            <w:tcW w:w="643" w:type="dxa"/>
            <w:tcBorders>
              <w:top w:val="single" w:color="DCDDDE" w:sz="4" w:space="0"/>
              <w:bottom w:val="single" w:color="DCDDDE" w:sz="4" w:space="0"/>
            </w:tcBorders>
          </w:tcPr>
          <w:p w:rsidR="00C31389" w:rsidRDefault="00561FBD" w14:paraId="0F5FBB7B" w14:textId="77777777">
            <w:pPr>
              <w:pStyle w:val="TableParagraph"/>
              <w:spacing w:before="145"/>
              <w:ind w:right="113"/>
              <w:jc w:val="right"/>
              <w:rPr>
                <w:sz w:val="16"/>
              </w:rPr>
            </w:pPr>
            <w:r>
              <w:rPr>
                <w:spacing w:val="-2"/>
                <w:sz w:val="16"/>
              </w:rPr>
              <w:t>987.2</w:t>
            </w:r>
          </w:p>
        </w:tc>
        <w:tc>
          <w:tcPr>
            <w:tcW w:w="630" w:type="dxa"/>
            <w:tcBorders>
              <w:top w:val="single" w:color="DCDDDE" w:sz="4" w:space="0"/>
              <w:bottom w:val="single" w:color="DCDDDE" w:sz="4" w:space="0"/>
            </w:tcBorders>
          </w:tcPr>
          <w:p w:rsidR="00C31389" w:rsidRDefault="00561FBD" w14:paraId="66A829CF" w14:textId="77777777">
            <w:pPr>
              <w:pStyle w:val="TableParagraph"/>
              <w:spacing w:before="145"/>
              <w:ind w:right="113"/>
              <w:jc w:val="right"/>
              <w:rPr>
                <w:sz w:val="16"/>
              </w:rPr>
            </w:pPr>
            <w:r>
              <w:rPr>
                <w:spacing w:val="-2"/>
                <w:sz w:val="16"/>
              </w:rPr>
              <w:t>909.8</w:t>
            </w:r>
          </w:p>
        </w:tc>
        <w:tc>
          <w:tcPr>
            <w:tcW w:w="630" w:type="dxa"/>
            <w:tcBorders>
              <w:top w:val="single" w:color="DCDDDE" w:sz="4" w:space="0"/>
              <w:bottom w:val="single" w:color="DCDDDE" w:sz="4" w:space="0"/>
            </w:tcBorders>
          </w:tcPr>
          <w:p w:rsidR="00C31389" w:rsidRDefault="00561FBD" w14:paraId="5C58D904" w14:textId="77777777">
            <w:pPr>
              <w:pStyle w:val="TableParagraph"/>
              <w:spacing w:before="145"/>
              <w:ind w:right="113"/>
              <w:jc w:val="right"/>
              <w:rPr>
                <w:sz w:val="16"/>
              </w:rPr>
            </w:pPr>
            <w:r>
              <w:rPr>
                <w:spacing w:val="-2"/>
                <w:sz w:val="16"/>
              </w:rPr>
              <w:t>830.0</w:t>
            </w:r>
          </w:p>
        </w:tc>
        <w:tc>
          <w:tcPr>
            <w:tcW w:w="630" w:type="dxa"/>
            <w:tcBorders>
              <w:top w:val="single" w:color="DCDDDE" w:sz="4" w:space="0"/>
              <w:bottom w:val="single" w:color="DCDDDE" w:sz="4" w:space="0"/>
            </w:tcBorders>
          </w:tcPr>
          <w:p w:rsidR="00C31389" w:rsidRDefault="00561FBD" w14:paraId="578A6118" w14:textId="77777777">
            <w:pPr>
              <w:pStyle w:val="TableParagraph"/>
              <w:spacing w:before="145"/>
              <w:ind w:right="113"/>
              <w:jc w:val="right"/>
              <w:rPr>
                <w:sz w:val="16"/>
              </w:rPr>
            </w:pPr>
            <w:r>
              <w:rPr>
                <w:spacing w:val="-2"/>
                <w:sz w:val="16"/>
              </w:rPr>
              <w:t>659.5</w:t>
            </w:r>
          </w:p>
        </w:tc>
        <w:tc>
          <w:tcPr>
            <w:tcW w:w="630" w:type="dxa"/>
            <w:tcBorders>
              <w:top w:val="single" w:color="DCDDDE" w:sz="4" w:space="0"/>
              <w:bottom w:val="single" w:color="DCDDDE" w:sz="4" w:space="0"/>
            </w:tcBorders>
          </w:tcPr>
          <w:p w:rsidR="00C31389" w:rsidRDefault="00561FBD" w14:paraId="72BBAC1C" w14:textId="77777777">
            <w:pPr>
              <w:pStyle w:val="TableParagraph"/>
              <w:spacing w:before="145"/>
              <w:ind w:right="113"/>
              <w:jc w:val="right"/>
              <w:rPr>
                <w:sz w:val="16"/>
              </w:rPr>
            </w:pPr>
            <w:r>
              <w:rPr>
                <w:spacing w:val="-2"/>
                <w:sz w:val="16"/>
              </w:rPr>
              <w:t>599.0</w:t>
            </w:r>
          </w:p>
        </w:tc>
        <w:tc>
          <w:tcPr>
            <w:tcW w:w="630" w:type="dxa"/>
            <w:tcBorders>
              <w:top w:val="single" w:color="DCDDDE" w:sz="4" w:space="0"/>
              <w:bottom w:val="single" w:color="DCDDDE" w:sz="4" w:space="0"/>
            </w:tcBorders>
          </w:tcPr>
          <w:p w:rsidR="00C31389" w:rsidRDefault="00561FBD" w14:paraId="24C69892" w14:textId="77777777">
            <w:pPr>
              <w:pStyle w:val="TableParagraph"/>
              <w:spacing w:before="145"/>
              <w:ind w:right="113"/>
              <w:jc w:val="right"/>
              <w:rPr>
                <w:sz w:val="16"/>
              </w:rPr>
            </w:pPr>
            <w:r>
              <w:rPr>
                <w:spacing w:val="-2"/>
                <w:sz w:val="16"/>
              </w:rPr>
              <w:t>565.9</w:t>
            </w:r>
          </w:p>
        </w:tc>
        <w:tc>
          <w:tcPr>
            <w:tcW w:w="630" w:type="dxa"/>
            <w:tcBorders>
              <w:top w:val="single" w:color="DCDDDE" w:sz="4" w:space="0"/>
              <w:bottom w:val="single" w:color="DCDDDE" w:sz="4" w:space="0"/>
            </w:tcBorders>
          </w:tcPr>
          <w:p w:rsidR="00C31389" w:rsidRDefault="00561FBD" w14:paraId="71D7F02E" w14:textId="77777777">
            <w:pPr>
              <w:pStyle w:val="TableParagraph"/>
              <w:spacing w:before="145"/>
              <w:ind w:left="98" w:right="98"/>
              <w:jc w:val="center"/>
              <w:rPr>
                <w:sz w:val="16"/>
              </w:rPr>
            </w:pPr>
            <w:r>
              <w:rPr>
                <w:spacing w:val="-2"/>
                <w:sz w:val="16"/>
              </w:rPr>
              <w:t>530.2</w:t>
            </w:r>
          </w:p>
        </w:tc>
        <w:tc>
          <w:tcPr>
            <w:tcW w:w="630" w:type="dxa"/>
            <w:tcBorders>
              <w:top w:val="single" w:color="DCDDDE" w:sz="4" w:space="0"/>
              <w:bottom w:val="single" w:color="DCDDDE" w:sz="4" w:space="0"/>
            </w:tcBorders>
          </w:tcPr>
          <w:p w:rsidR="00C31389" w:rsidRDefault="00561FBD" w14:paraId="0425F812" w14:textId="77777777">
            <w:pPr>
              <w:pStyle w:val="TableParagraph"/>
              <w:spacing w:before="145"/>
              <w:ind w:right="113"/>
              <w:jc w:val="right"/>
              <w:rPr>
                <w:sz w:val="16"/>
              </w:rPr>
            </w:pPr>
            <w:r>
              <w:rPr>
                <w:spacing w:val="-2"/>
                <w:sz w:val="16"/>
              </w:rPr>
              <w:t>502.5</w:t>
            </w:r>
          </w:p>
        </w:tc>
        <w:tc>
          <w:tcPr>
            <w:tcW w:w="630" w:type="dxa"/>
            <w:tcBorders>
              <w:top w:val="single" w:color="DCDDDE" w:sz="4" w:space="0"/>
              <w:bottom w:val="single" w:color="DCDDDE" w:sz="4" w:space="0"/>
            </w:tcBorders>
          </w:tcPr>
          <w:p w:rsidR="00C31389" w:rsidRDefault="00561FBD" w14:paraId="3FAA789F" w14:textId="77777777">
            <w:pPr>
              <w:pStyle w:val="TableParagraph"/>
              <w:spacing w:before="145"/>
              <w:ind w:right="113"/>
              <w:jc w:val="right"/>
              <w:rPr>
                <w:sz w:val="16"/>
              </w:rPr>
            </w:pPr>
            <w:r>
              <w:rPr>
                <w:spacing w:val="-2"/>
                <w:sz w:val="16"/>
              </w:rPr>
              <w:t>417.5</w:t>
            </w:r>
          </w:p>
        </w:tc>
        <w:tc>
          <w:tcPr>
            <w:tcW w:w="622" w:type="dxa"/>
            <w:tcBorders>
              <w:top w:val="single" w:color="DCDDDE" w:sz="4" w:space="0"/>
              <w:bottom w:val="single" w:color="DCDDDE" w:sz="4" w:space="0"/>
            </w:tcBorders>
          </w:tcPr>
          <w:p w:rsidR="00C31389" w:rsidRDefault="00561FBD" w14:paraId="09E23A71" w14:textId="77777777">
            <w:pPr>
              <w:pStyle w:val="TableParagraph"/>
              <w:spacing w:before="145"/>
              <w:ind w:right="105"/>
              <w:jc w:val="right"/>
              <w:rPr>
                <w:sz w:val="16"/>
              </w:rPr>
            </w:pPr>
            <w:r>
              <w:rPr>
                <w:spacing w:val="-2"/>
                <w:sz w:val="16"/>
              </w:rPr>
              <w:t>401.6</w:t>
            </w:r>
          </w:p>
        </w:tc>
      </w:tr>
      <w:tr w:rsidR="00C31389" w14:paraId="0EB3B2EF" w14:textId="77777777">
        <w:trPr>
          <w:trHeight w:val="471"/>
        </w:trPr>
        <w:tc>
          <w:tcPr>
            <w:tcW w:w="1429" w:type="dxa"/>
            <w:tcBorders>
              <w:top w:val="single" w:color="DCDDDE" w:sz="4" w:space="0"/>
              <w:bottom w:val="single" w:color="545658" w:sz="8" w:space="0"/>
            </w:tcBorders>
          </w:tcPr>
          <w:p w:rsidR="00C31389" w:rsidRDefault="00561FBD" w14:paraId="66CA4314" w14:textId="77777777">
            <w:pPr>
              <w:pStyle w:val="TableParagraph"/>
              <w:spacing w:before="39"/>
              <w:ind w:left="121" w:right="203"/>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787C3965" w14:textId="77777777">
            <w:pPr>
              <w:pStyle w:val="TableParagraph"/>
              <w:spacing w:before="145"/>
              <w:ind w:right="117"/>
              <w:jc w:val="right"/>
              <w:rPr>
                <w:sz w:val="16"/>
              </w:rPr>
            </w:pPr>
            <w:r>
              <w:rPr>
                <w:spacing w:val="-2"/>
                <w:sz w:val="16"/>
              </w:rPr>
              <w:t>1,062.2</w:t>
            </w:r>
          </w:p>
        </w:tc>
        <w:tc>
          <w:tcPr>
            <w:tcW w:w="778" w:type="dxa"/>
            <w:tcBorders>
              <w:top w:val="single" w:color="DCDDDE" w:sz="4" w:space="0"/>
              <w:bottom w:val="single" w:color="545658" w:sz="8" w:space="0"/>
            </w:tcBorders>
          </w:tcPr>
          <w:p w:rsidR="00C31389" w:rsidRDefault="00561FBD" w14:paraId="50B2BD71" w14:textId="77777777">
            <w:pPr>
              <w:pStyle w:val="TableParagraph"/>
              <w:spacing w:before="145"/>
              <w:ind w:right="127"/>
              <w:jc w:val="right"/>
              <w:rPr>
                <w:sz w:val="16"/>
              </w:rPr>
            </w:pPr>
            <w:r>
              <w:rPr>
                <w:spacing w:val="-2"/>
                <w:sz w:val="16"/>
              </w:rPr>
              <w:t>999.4</w:t>
            </w:r>
          </w:p>
        </w:tc>
        <w:tc>
          <w:tcPr>
            <w:tcW w:w="643" w:type="dxa"/>
            <w:tcBorders>
              <w:top w:val="single" w:color="DCDDDE" w:sz="4" w:space="0"/>
              <w:bottom w:val="single" w:color="545658" w:sz="8" w:space="0"/>
            </w:tcBorders>
          </w:tcPr>
          <w:p w:rsidR="00C31389" w:rsidRDefault="00561FBD" w14:paraId="741A8BAA" w14:textId="77777777">
            <w:pPr>
              <w:pStyle w:val="TableParagraph"/>
              <w:spacing w:before="145"/>
              <w:ind w:right="113"/>
              <w:jc w:val="right"/>
              <w:rPr>
                <w:sz w:val="16"/>
              </w:rPr>
            </w:pPr>
            <w:r>
              <w:rPr>
                <w:spacing w:val="-2"/>
                <w:sz w:val="16"/>
              </w:rPr>
              <w:t>978.6</w:t>
            </w:r>
          </w:p>
        </w:tc>
        <w:tc>
          <w:tcPr>
            <w:tcW w:w="630" w:type="dxa"/>
            <w:tcBorders>
              <w:top w:val="single" w:color="DCDDDE" w:sz="4" w:space="0"/>
              <w:bottom w:val="single" w:color="545658" w:sz="8" w:space="0"/>
            </w:tcBorders>
          </w:tcPr>
          <w:p w:rsidR="00C31389" w:rsidRDefault="00561FBD" w14:paraId="396CDD03" w14:textId="77777777">
            <w:pPr>
              <w:pStyle w:val="TableParagraph"/>
              <w:spacing w:before="145"/>
              <w:ind w:right="113"/>
              <w:jc w:val="right"/>
              <w:rPr>
                <w:sz w:val="16"/>
              </w:rPr>
            </w:pPr>
            <w:r>
              <w:rPr>
                <w:spacing w:val="-2"/>
                <w:sz w:val="16"/>
              </w:rPr>
              <w:t>903.3</w:t>
            </w:r>
          </w:p>
        </w:tc>
        <w:tc>
          <w:tcPr>
            <w:tcW w:w="630" w:type="dxa"/>
            <w:tcBorders>
              <w:top w:val="single" w:color="DCDDDE" w:sz="4" w:space="0"/>
              <w:bottom w:val="single" w:color="545658" w:sz="8" w:space="0"/>
            </w:tcBorders>
          </w:tcPr>
          <w:p w:rsidR="00C31389" w:rsidRDefault="00561FBD" w14:paraId="2067976E" w14:textId="77777777">
            <w:pPr>
              <w:pStyle w:val="TableParagraph"/>
              <w:spacing w:before="145"/>
              <w:ind w:right="113"/>
              <w:jc w:val="right"/>
              <w:rPr>
                <w:sz w:val="16"/>
              </w:rPr>
            </w:pPr>
            <w:r>
              <w:rPr>
                <w:spacing w:val="-2"/>
                <w:sz w:val="16"/>
              </w:rPr>
              <w:t>826.2</w:t>
            </w:r>
          </w:p>
        </w:tc>
        <w:tc>
          <w:tcPr>
            <w:tcW w:w="630" w:type="dxa"/>
            <w:tcBorders>
              <w:top w:val="single" w:color="DCDDDE" w:sz="4" w:space="0"/>
              <w:bottom w:val="single" w:color="545658" w:sz="8" w:space="0"/>
            </w:tcBorders>
          </w:tcPr>
          <w:p w:rsidR="00C31389" w:rsidRDefault="00561FBD" w14:paraId="41291A8C" w14:textId="77777777">
            <w:pPr>
              <w:pStyle w:val="TableParagraph"/>
              <w:spacing w:before="145"/>
              <w:ind w:right="113"/>
              <w:jc w:val="right"/>
              <w:rPr>
                <w:sz w:val="16"/>
              </w:rPr>
            </w:pPr>
            <w:r>
              <w:rPr>
                <w:spacing w:val="-2"/>
                <w:sz w:val="16"/>
              </w:rPr>
              <w:t>661.3</w:t>
            </w:r>
          </w:p>
        </w:tc>
        <w:tc>
          <w:tcPr>
            <w:tcW w:w="630" w:type="dxa"/>
            <w:tcBorders>
              <w:top w:val="single" w:color="DCDDDE" w:sz="4" w:space="0"/>
              <w:bottom w:val="single" w:color="545658" w:sz="8" w:space="0"/>
            </w:tcBorders>
          </w:tcPr>
          <w:p w:rsidR="00C31389" w:rsidRDefault="00561FBD" w14:paraId="60EC408D" w14:textId="77777777">
            <w:pPr>
              <w:pStyle w:val="TableParagraph"/>
              <w:spacing w:before="145"/>
              <w:ind w:right="113"/>
              <w:jc w:val="right"/>
              <w:rPr>
                <w:sz w:val="16"/>
              </w:rPr>
            </w:pPr>
            <w:r>
              <w:rPr>
                <w:spacing w:val="-2"/>
                <w:sz w:val="16"/>
              </w:rPr>
              <w:t>602.3</w:t>
            </w:r>
          </w:p>
        </w:tc>
        <w:tc>
          <w:tcPr>
            <w:tcW w:w="630" w:type="dxa"/>
            <w:tcBorders>
              <w:top w:val="single" w:color="DCDDDE" w:sz="4" w:space="0"/>
              <w:bottom w:val="single" w:color="545658" w:sz="8" w:space="0"/>
            </w:tcBorders>
          </w:tcPr>
          <w:p w:rsidR="00C31389" w:rsidRDefault="00561FBD" w14:paraId="62755D4D" w14:textId="77777777">
            <w:pPr>
              <w:pStyle w:val="TableParagraph"/>
              <w:spacing w:before="145"/>
              <w:ind w:right="113"/>
              <w:jc w:val="right"/>
              <w:rPr>
                <w:sz w:val="16"/>
              </w:rPr>
            </w:pPr>
            <w:r>
              <w:rPr>
                <w:spacing w:val="-2"/>
                <w:sz w:val="16"/>
              </w:rPr>
              <w:t>569.2</w:t>
            </w:r>
          </w:p>
        </w:tc>
        <w:tc>
          <w:tcPr>
            <w:tcW w:w="630" w:type="dxa"/>
            <w:tcBorders>
              <w:top w:val="single" w:color="DCDDDE" w:sz="4" w:space="0"/>
              <w:bottom w:val="single" w:color="545658" w:sz="8" w:space="0"/>
            </w:tcBorders>
          </w:tcPr>
          <w:p w:rsidR="00C31389" w:rsidRDefault="00561FBD" w14:paraId="4B894B62" w14:textId="77777777">
            <w:pPr>
              <w:pStyle w:val="TableParagraph"/>
              <w:spacing w:before="145"/>
              <w:ind w:left="98" w:right="98"/>
              <w:jc w:val="center"/>
              <w:rPr>
                <w:sz w:val="16"/>
              </w:rPr>
            </w:pPr>
            <w:r>
              <w:rPr>
                <w:spacing w:val="-2"/>
                <w:sz w:val="16"/>
              </w:rPr>
              <w:t>533.4</w:t>
            </w:r>
          </w:p>
        </w:tc>
        <w:tc>
          <w:tcPr>
            <w:tcW w:w="630" w:type="dxa"/>
            <w:tcBorders>
              <w:top w:val="single" w:color="DCDDDE" w:sz="4" w:space="0"/>
              <w:bottom w:val="single" w:color="545658" w:sz="8" w:space="0"/>
            </w:tcBorders>
          </w:tcPr>
          <w:p w:rsidR="00C31389" w:rsidRDefault="00561FBD" w14:paraId="6D1DC478" w14:textId="77777777">
            <w:pPr>
              <w:pStyle w:val="TableParagraph"/>
              <w:spacing w:before="145"/>
              <w:ind w:right="113"/>
              <w:jc w:val="right"/>
              <w:rPr>
                <w:sz w:val="16"/>
              </w:rPr>
            </w:pPr>
            <w:r>
              <w:rPr>
                <w:spacing w:val="-2"/>
                <w:sz w:val="16"/>
              </w:rPr>
              <w:t>505.7</w:t>
            </w:r>
          </w:p>
        </w:tc>
        <w:tc>
          <w:tcPr>
            <w:tcW w:w="630" w:type="dxa"/>
            <w:tcBorders>
              <w:top w:val="single" w:color="DCDDDE" w:sz="4" w:space="0"/>
              <w:bottom w:val="single" w:color="545658" w:sz="8" w:space="0"/>
            </w:tcBorders>
          </w:tcPr>
          <w:p w:rsidR="00C31389" w:rsidRDefault="00561FBD" w14:paraId="2A070F94" w14:textId="77777777">
            <w:pPr>
              <w:pStyle w:val="TableParagraph"/>
              <w:spacing w:before="145"/>
              <w:ind w:right="113"/>
              <w:jc w:val="right"/>
              <w:rPr>
                <w:sz w:val="16"/>
              </w:rPr>
            </w:pPr>
            <w:r>
              <w:rPr>
                <w:spacing w:val="-2"/>
                <w:sz w:val="16"/>
              </w:rPr>
              <w:t>420.6</w:t>
            </w:r>
          </w:p>
        </w:tc>
        <w:tc>
          <w:tcPr>
            <w:tcW w:w="622" w:type="dxa"/>
            <w:tcBorders>
              <w:top w:val="single" w:color="DCDDDE" w:sz="4" w:space="0"/>
              <w:bottom w:val="single" w:color="545658" w:sz="8" w:space="0"/>
            </w:tcBorders>
          </w:tcPr>
          <w:p w:rsidR="00C31389" w:rsidRDefault="00561FBD" w14:paraId="6BED6E77" w14:textId="77777777">
            <w:pPr>
              <w:pStyle w:val="TableParagraph"/>
              <w:spacing w:before="145"/>
              <w:ind w:right="105"/>
              <w:jc w:val="right"/>
              <w:rPr>
                <w:sz w:val="16"/>
              </w:rPr>
            </w:pPr>
            <w:r>
              <w:rPr>
                <w:spacing w:val="-2"/>
                <w:sz w:val="16"/>
              </w:rPr>
              <w:t>404.6</w:t>
            </w:r>
          </w:p>
        </w:tc>
      </w:tr>
    </w:tbl>
    <w:p w:rsidR="00C31389" w:rsidRDefault="00561FBD" w14:paraId="1EE43D4A" w14:textId="77777777">
      <w:pPr>
        <w:spacing w:before="78"/>
        <w:ind w:left="220"/>
        <w:rPr>
          <w:i/>
          <w:sz w:val="18"/>
        </w:rPr>
      </w:pPr>
      <w:r>
        <w:rPr>
          <w:i/>
          <w:sz w:val="18"/>
        </w:rPr>
        <w:t>Source:</w:t>
      </w:r>
      <w:r>
        <w:rPr>
          <w:i/>
          <w:spacing w:val="-4"/>
          <w:sz w:val="18"/>
        </w:rPr>
        <w:t xml:space="preserve"> </w:t>
      </w:r>
      <w:r>
        <w:rPr>
          <w:i/>
          <w:spacing w:val="-2"/>
          <w:sz w:val="18"/>
        </w:rPr>
        <w:t>Guidehouse</w:t>
      </w:r>
    </w:p>
    <w:p w:rsidR="00C31389" w:rsidRDefault="00C31389" w14:paraId="350FF7C8" w14:textId="77777777">
      <w:pPr>
        <w:pStyle w:val="BodyText"/>
        <w:spacing w:before="10"/>
        <w:rPr>
          <w:i/>
          <w:sz w:val="20"/>
        </w:rPr>
      </w:pPr>
    </w:p>
    <w:p w:rsidR="00C31389" w:rsidRDefault="00561FBD" w14:paraId="40A17A77" w14:textId="77777777">
      <w:pPr>
        <w:pStyle w:val="Heading7"/>
        <w:ind w:left="1979" w:right="1960"/>
        <w:jc w:val="center"/>
      </w:pPr>
      <w:bookmarkStart w:name="_bookmark529" w:id="693"/>
      <w:bookmarkEnd w:id="693"/>
      <w:r>
        <w:t>Table</w:t>
      </w:r>
      <w:r>
        <w:rPr>
          <w:spacing w:val="-8"/>
        </w:rPr>
        <w:t xml:space="preserve"> </w:t>
      </w:r>
      <w:r>
        <w:t>J-3.</w:t>
      </w:r>
      <w:r>
        <w:rPr>
          <w:spacing w:val="-8"/>
        </w:rPr>
        <w:t xml:space="preserve"> </w:t>
      </w:r>
      <w:r>
        <w:t>PG&amp;E</w:t>
      </w:r>
      <w:r>
        <w:rPr>
          <w:spacing w:val="-6"/>
        </w:rPr>
        <w:t xml:space="preserve"> </w:t>
      </w:r>
      <w:r>
        <w:t>Demand</w:t>
      </w:r>
      <w:r>
        <w:rPr>
          <w:spacing w:val="-8"/>
        </w:rPr>
        <w:t xml:space="preserve"> </w:t>
      </w:r>
      <w:r>
        <w:t>Savings</w:t>
      </w:r>
      <w:r>
        <w:rPr>
          <w:spacing w:val="-7"/>
        </w:rPr>
        <w:t xml:space="preserve"> </w:t>
      </w:r>
      <w:r>
        <w:rPr>
          <w:spacing w:val="-4"/>
        </w:rPr>
        <w:t>(MW)</w:t>
      </w:r>
    </w:p>
    <w:p w:rsidR="00C31389" w:rsidRDefault="00C31389" w14:paraId="0DE3F3A9" w14:textId="77777777">
      <w:pPr>
        <w:pStyle w:val="BodyText"/>
        <w:rPr>
          <w:b/>
          <w:sz w:val="10"/>
        </w:rPr>
      </w:pPr>
    </w:p>
    <w:tbl>
      <w:tblPr>
        <w:tblW w:w="0" w:type="auto"/>
        <w:tblInd w:w="213" w:type="dxa"/>
        <w:tblLayout w:type="fixed"/>
        <w:tblCellMar>
          <w:left w:w="0" w:type="dxa"/>
          <w:right w:w="0" w:type="dxa"/>
        </w:tblCellMar>
        <w:tblLook w:val="01E0" w:firstRow="1" w:lastRow="1" w:firstColumn="1" w:lastColumn="1" w:noHBand="0" w:noVBand="0"/>
      </w:tblPr>
      <w:tblGrid>
        <w:gridCol w:w="1130"/>
        <w:gridCol w:w="1070"/>
        <w:gridCol w:w="655"/>
        <w:gridCol w:w="654"/>
        <w:gridCol w:w="654"/>
        <w:gridCol w:w="655"/>
        <w:gridCol w:w="655"/>
        <w:gridCol w:w="655"/>
        <w:gridCol w:w="655"/>
        <w:gridCol w:w="654"/>
        <w:gridCol w:w="654"/>
        <w:gridCol w:w="655"/>
        <w:gridCol w:w="624"/>
      </w:tblGrid>
      <w:tr w:rsidR="00C31389" w14:paraId="4671F6F0" w14:textId="77777777">
        <w:trPr>
          <w:trHeight w:val="304"/>
        </w:trPr>
        <w:tc>
          <w:tcPr>
            <w:tcW w:w="1130" w:type="dxa"/>
            <w:shd w:val="clear" w:color="auto" w:fill="92D400"/>
          </w:tcPr>
          <w:p w:rsidR="00C31389" w:rsidRDefault="00561FBD" w14:paraId="7D07585B" w14:textId="77777777">
            <w:pPr>
              <w:pStyle w:val="TableParagraph"/>
              <w:spacing w:before="41"/>
              <w:ind w:left="122"/>
              <w:rPr>
                <w:b/>
                <w:sz w:val="17"/>
              </w:rPr>
            </w:pPr>
            <w:r>
              <w:rPr>
                <w:b/>
                <w:spacing w:val="-4"/>
                <w:sz w:val="17"/>
              </w:rPr>
              <w:t>Year</w:t>
            </w:r>
          </w:p>
        </w:tc>
        <w:tc>
          <w:tcPr>
            <w:tcW w:w="1070" w:type="dxa"/>
            <w:shd w:val="clear" w:color="auto" w:fill="92D400"/>
          </w:tcPr>
          <w:p w:rsidR="00C31389" w:rsidRDefault="00561FBD" w14:paraId="1DD5A395" w14:textId="77777777">
            <w:pPr>
              <w:pStyle w:val="TableParagraph"/>
              <w:spacing w:before="41"/>
              <w:ind w:right="135"/>
              <w:jc w:val="right"/>
              <w:rPr>
                <w:b/>
                <w:sz w:val="17"/>
              </w:rPr>
            </w:pPr>
            <w:r>
              <w:rPr>
                <w:b/>
                <w:spacing w:val="-4"/>
                <w:sz w:val="17"/>
              </w:rPr>
              <w:t>2024</w:t>
            </w:r>
          </w:p>
        </w:tc>
        <w:tc>
          <w:tcPr>
            <w:tcW w:w="655" w:type="dxa"/>
            <w:shd w:val="clear" w:color="auto" w:fill="92D400"/>
          </w:tcPr>
          <w:p w:rsidR="00C31389" w:rsidRDefault="00561FBD" w14:paraId="27F13CCF" w14:textId="77777777">
            <w:pPr>
              <w:pStyle w:val="TableParagraph"/>
              <w:spacing w:before="41"/>
              <w:ind w:left="98" w:right="97"/>
              <w:jc w:val="center"/>
              <w:rPr>
                <w:b/>
                <w:sz w:val="17"/>
              </w:rPr>
            </w:pPr>
            <w:r>
              <w:rPr>
                <w:b/>
                <w:spacing w:val="-4"/>
                <w:sz w:val="17"/>
              </w:rPr>
              <w:t>2025</w:t>
            </w:r>
          </w:p>
        </w:tc>
        <w:tc>
          <w:tcPr>
            <w:tcW w:w="654" w:type="dxa"/>
            <w:shd w:val="clear" w:color="auto" w:fill="92D400"/>
          </w:tcPr>
          <w:p w:rsidR="00C31389" w:rsidRDefault="00561FBD" w14:paraId="6CB69515" w14:textId="77777777">
            <w:pPr>
              <w:pStyle w:val="TableParagraph"/>
              <w:spacing w:before="41"/>
              <w:ind w:right="134"/>
              <w:jc w:val="right"/>
              <w:rPr>
                <w:b/>
                <w:sz w:val="17"/>
              </w:rPr>
            </w:pPr>
            <w:r>
              <w:rPr>
                <w:b/>
                <w:spacing w:val="-4"/>
                <w:sz w:val="17"/>
              </w:rPr>
              <w:t>2026</w:t>
            </w:r>
          </w:p>
        </w:tc>
        <w:tc>
          <w:tcPr>
            <w:tcW w:w="654" w:type="dxa"/>
            <w:shd w:val="clear" w:color="auto" w:fill="92D400"/>
          </w:tcPr>
          <w:p w:rsidR="00C31389" w:rsidRDefault="00561FBD" w14:paraId="33823633" w14:textId="77777777">
            <w:pPr>
              <w:pStyle w:val="TableParagraph"/>
              <w:spacing w:before="41"/>
              <w:ind w:right="134"/>
              <w:jc w:val="right"/>
              <w:rPr>
                <w:b/>
                <w:sz w:val="17"/>
              </w:rPr>
            </w:pPr>
            <w:r>
              <w:rPr>
                <w:b/>
                <w:spacing w:val="-4"/>
                <w:sz w:val="17"/>
              </w:rPr>
              <w:t>2027</w:t>
            </w:r>
          </w:p>
        </w:tc>
        <w:tc>
          <w:tcPr>
            <w:tcW w:w="655" w:type="dxa"/>
            <w:shd w:val="clear" w:color="auto" w:fill="92D400"/>
          </w:tcPr>
          <w:p w:rsidR="00C31389" w:rsidRDefault="00561FBD" w14:paraId="256607D7" w14:textId="77777777">
            <w:pPr>
              <w:pStyle w:val="TableParagraph"/>
              <w:spacing w:before="41"/>
              <w:ind w:left="99" w:right="95"/>
              <w:jc w:val="center"/>
              <w:rPr>
                <w:b/>
                <w:sz w:val="17"/>
              </w:rPr>
            </w:pPr>
            <w:r>
              <w:rPr>
                <w:b/>
                <w:spacing w:val="-4"/>
                <w:sz w:val="17"/>
              </w:rPr>
              <w:t>2028</w:t>
            </w:r>
          </w:p>
        </w:tc>
        <w:tc>
          <w:tcPr>
            <w:tcW w:w="655" w:type="dxa"/>
            <w:shd w:val="clear" w:color="auto" w:fill="92D400"/>
          </w:tcPr>
          <w:p w:rsidR="00C31389" w:rsidRDefault="00561FBD" w14:paraId="56477741" w14:textId="77777777">
            <w:pPr>
              <w:pStyle w:val="TableParagraph"/>
              <w:spacing w:before="41"/>
              <w:ind w:right="133"/>
              <w:jc w:val="right"/>
              <w:rPr>
                <w:b/>
                <w:sz w:val="17"/>
              </w:rPr>
            </w:pPr>
            <w:r>
              <w:rPr>
                <w:b/>
                <w:spacing w:val="-4"/>
                <w:sz w:val="17"/>
              </w:rPr>
              <w:t>2029</w:t>
            </w:r>
          </w:p>
        </w:tc>
        <w:tc>
          <w:tcPr>
            <w:tcW w:w="655" w:type="dxa"/>
            <w:shd w:val="clear" w:color="auto" w:fill="92D400"/>
          </w:tcPr>
          <w:p w:rsidR="00C31389" w:rsidRDefault="00561FBD" w14:paraId="0EB6E2A4" w14:textId="77777777">
            <w:pPr>
              <w:pStyle w:val="TableParagraph"/>
              <w:spacing w:before="41"/>
              <w:ind w:right="133"/>
              <w:jc w:val="right"/>
              <w:rPr>
                <w:b/>
                <w:sz w:val="17"/>
              </w:rPr>
            </w:pPr>
            <w:r>
              <w:rPr>
                <w:b/>
                <w:spacing w:val="-4"/>
                <w:sz w:val="17"/>
              </w:rPr>
              <w:t>2030</w:t>
            </w:r>
          </w:p>
        </w:tc>
        <w:tc>
          <w:tcPr>
            <w:tcW w:w="655" w:type="dxa"/>
            <w:shd w:val="clear" w:color="auto" w:fill="92D400"/>
          </w:tcPr>
          <w:p w:rsidR="00C31389" w:rsidRDefault="00561FBD" w14:paraId="192161E1" w14:textId="77777777">
            <w:pPr>
              <w:pStyle w:val="TableParagraph"/>
              <w:spacing w:before="41"/>
              <w:ind w:left="99" w:right="94"/>
              <w:jc w:val="center"/>
              <w:rPr>
                <w:b/>
                <w:sz w:val="17"/>
              </w:rPr>
            </w:pPr>
            <w:r>
              <w:rPr>
                <w:b/>
                <w:spacing w:val="-4"/>
                <w:sz w:val="17"/>
              </w:rPr>
              <w:t>2031</w:t>
            </w:r>
          </w:p>
        </w:tc>
        <w:tc>
          <w:tcPr>
            <w:tcW w:w="654" w:type="dxa"/>
            <w:shd w:val="clear" w:color="auto" w:fill="92D400"/>
          </w:tcPr>
          <w:p w:rsidR="00C31389" w:rsidRDefault="00561FBD" w14:paraId="30B4C656" w14:textId="77777777">
            <w:pPr>
              <w:pStyle w:val="TableParagraph"/>
              <w:spacing w:before="41"/>
              <w:ind w:right="132"/>
              <w:jc w:val="right"/>
              <w:rPr>
                <w:b/>
                <w:sz w:val="17"/>
              </w:rPr>
            </w:pPr>
            <w:r>
              <w:rPr>
                <w:b/>
                <w:spacing w:val="-4"/>
                <w:sz w:val="17"/>
              </w:rPr>
              <w:t>2032</w:t>
            </w:r>
          </w:p>
        </w:tc>
        <w:tc>
          <w:tcPr>
            <w:tcW w:w="654" w:type="dxa"/>
            <w:shd w:val="clear" w:color="auto" w:fill="92D400"/>
          </w:tcPr>
          <w:p w:rsidR="00C31389" w:rsidRDefault="00561FBD" w14:paraId="2229A3AA" w14:textId="77777777">
            <w:pPr>
              <w:pStyle w:val="TableParagraph"/>
              <w:spacing w:before="41"/>
              <w:ind w:left="128" w:right="122"/>
              <w:jc w:val="center"/>
              <w:rPr>
                <w:b/>
                <w:sz w:val="17"/>
              </w:rPr>
            </w:pPr>
            <w:r>
              <w:rPr>
                <w:b/>
                <w:spacing w:val="-4"/>
                <w:sz w:val="17"/>
              </w:rPr>
              <w:t>2033</w:t>
            </w:r>
          </w:p>
        </w:tc>
        <w:tc>
          <w:tcPr>
            <w:tcW w:w="655" w:type="dxa"/>
            <w:shd w:val="clear" w:color="auto" w:fill="92D400"/>
          </w:tcPr>
          <w:p w:rsidR="00C31389" w:rsidRDefault="00561FBD" w14:paraId="3278831B" w14:textId="77777777">
            <w:pPr>
              <w:pStyle w:val="TableParagraph"/>
              <w:spacing w:before="41"/>
              <w:ind w:left="99" w:right="91"/>
              <w:jc w:val="center"/>
              <w:rPr>
                <w:b/>
                <w:sz w:val="17"/>
              </w:rPr>
            </w:pPr>
            <w:r>
              <w:rPr>
                <w:b/>
                <w:spacing w:val="-4"/>
                <w:sz w:val="17"/>
              </w:rPr>
              <w:t>2034</w:t>
            </w:r>
          </w:p>
        </w:tc>
        <w:tc>
          <w:tcPr>
            <w:tcW w:w="624" w:type="dxa"/>
            <w:shd w:val="clear" w:color="auto" w:fill="92D400"/>
          </w:tcPr>
          <w:p w:rsidR="00C31389" w:rsidRDefault="00561FBD" w14:paraId="544A6E2F" w14:textId="77777777">
            <w:pPr>
              <w:pStyle w:val="TableParagraph"/>
              <w:spacing w:before="41"/>
              <w:ind w:right="100"/>
              <w:jc w:val="right"/>
              <w:rPr>
                <w:b/>
                <w:sz w:val="17"/>
              </w:rPr>
            </w:pPr>
            <w:r>
              <w:rPr>
                <w:b/>
                <w:spacing w:val="-4"/>
                <w:sz w:val="17"/>
              </w:rPr>
              <w:t>2035</w:t>
            </w:r>
          </w:p>
        </w:tc>
      </w:tr>
      <w:tr w:rsidR="00C31389" w14:paraId="354CE3B6" w14:textId="77777777">
        <w:trPr>
          <w:trHeight w:val="275"/>
        </w:trPr>
        <w:tc>
          <w:tcPr>
            <w:tcW w:w="9370" w:type="dxa"/>
            <w:gridSpan w:val="13"/>
            <w:tcBorders>
              <w:bottom w:val="single" w:color="DCDDDE" w:sz="4" w:space="0"/>
            </w:tcBorders>
            <w:shd w:val="clear" w:color="auto" w:fill="BEBEBE"/>
          </w:tcPr>
          <w:p w:rsidR="00C31389" w:rsidRDefault="00561FBD" w14:paraId="1D1B2450"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1D75D345" w14:textId="77777777">
        <w:trPr>
          <w:trHeight w:val="275"/>
        </w:trPr>
        <w:tc>
          <w:tcPr>
            <w:tcW w:w="1130" w:type="dxa"/>
            <w:tcBorders>
              <w:top w:val="single" w:color="DCDDDE" w:sz="4" w:space="0"/>
              <w:bottom w:val="single" w:color="DCDDDE" w:sz="4" w:space="0"/>
            </w:tcBorders>
          </w:tcPr>
          <w:p w:rsidR="00C31389" w:rsidRDefault="00561FBD" w14:paraId="61C87E01" w14:textId="77777777">
            <w:pPr>
              <w:pStyle w:val="TableParagraph"/>
              <w:ind w:left="122"/>
              <w:rPr>
                <w:sz w:val="17"/>
              </w:rPr>
            </w:pPr>
            <w:r>
              <w:rPr>
                <w:spacing w:val="-5"/>
                <w:sz w:val="17"/>
              </w:rPr>
              <w:t>EE</w:t>
            </w:r>
          </w:p>
        </w:tc>
        <w:tc>
          <w:tcPr>
            <w:tcW w:w="1070" w:type="dxa"/>
            <w:tcBorders>
              <w:top w:val="single" w:color="DCDDDE" w:sz="4" w:space="0"/>
              <w:bottom w:val="single" w:color="DCDDDE" w:sz="4" w:space="0"/>
            </w:tcBorders>
          </w:tcPr>
          <w:p w:rsidR="00C31389" w:rsidRDefault="00561FBD" w14:paraId="6396D1BD" w14:textId="77777777">
            <w:pPr>
              <w:pStyle w:val="TableParagraph"/>
              <w:ind w:right="136"/>
              <w:jc w:val="right"/>
              <w:rPr>
                <w:sz w:val="17"/>
              </w:rPr>
            </w:pPr>
            <w:r>
              <w:rPr>
                <w:spacing w:val="-4"/>
                <w:sz w:val="17"/>
              </w:rPr>
              <w:t>29.0</w:t>
            </w:r>
          </w:p>
        </w:tc>
        <w:tc>
          <w:tcPr>
            <w:tcW w:w="655" w:type="dxa"/>
            <w:tcBorders>
              <w:top w:val="single" w:color="DCDDDE" w:sz="4" w:space="0"/>
              <w:bottom w:val="single" w:color="DCDDDE" w:sz="4" w:space="0"/>
            </w:tcBorders>
          </w:tcPr>
          <w:p w:rsidR="00C31389" w:rsidRDefault="00561FBD" w14:paraId="2BF936A6" w14:textId="77777777">
            <w:pPr>
              <w:pStyle w:val="TableParagraph"/>
              <w:ind w:left="99" w:right="52"/>
              <w:jc w:val="center"/>
              <w:rPr>
                <w:sz w:val="17"/>
              </w:rPr>
            </w:pPr>
            <w:r>
              <w:rPr>
                <w:spacing w:val="-4"/>
                <w:sz w:val="17"/>
              </w:rPr>
              <w:t>27.0</w:t>
            </w:r>
          </w:p>
        </w:tc>
        <w:tc>
          <w:tcPr>
            <w:tcW w:w="654" w:type="dxa"/>
            <w:tcBorders>
              <w:top w:val="single" w:color="DCDDDE" w:sz="4" w:space="0"/>
              <w:bottom w:val="single" w:color="DCDDDE" w:sz="4" w:space="0"/>
            </w:tcBorders>
          </w:tcPr>
          <w:p w:rsidR="00C31389" w:rsidRDefault="00561FBD" w14:paraId="12B242DE" w14:textId="77777777">
            <w:pPr>
              <w:pStyle w:val="TableParagraph"/>
              <w:ind w:right="135"/>
              <w:jc w:val="right"/>
              <w:rPr>
                <w:sz w:val="17"/>
              </w:rPr>
            </w:pPr>
            <w:r>
              <w:rPr>
                <w:spacing w:val="-4"/>
                <w:sz w:val="17"/>
              </w:rPr>
              <w:t>23.0</w:t>
            </w:r>
          </w:p>
        </w:tc>
        <w:tc>
          <w:tcPr>
            <w:tcW w:w="654" w:type="dxa"/>
            <w:tcBorders>
              <w:top w:val="single" w:color="DCDDDE" w:sz="4" w:space="0"/>
              <w:bottom w:val="single" w:color="DCDDDE" w:sz="4" w:space="0"/>
            </w:tcBorders>
          </w:tcPr>
          <w:p w:rsidR="00C31389" w:rsidRDefault="00561FBD" w14:paraId="5BBBF9D7" w14:textId="77777777">
            <w:pPr>
              <w:pStyle w:val="TableParagraph"/>
              <w:ind w:right="135"/>
              <w:jc w:val="right"/>
              <w:rPr>
                <w:sz w:val="17"/>
              </w:rPr>
            </w:pPr>
            <w:r>
              <w:rPr>
                <w:spacing w:val="-4"/>
                <w:sz w:val="17"/>
              </w:rPr>
              <w:t>18.6</w:t>
            </w:r>
          </w:p>
        </w:tc>
        <w:tc>
          <w:tcPr>
            <w:tcW w:w="655" w:type="dxa"/>
            <w:tcBorders>
              <w:top w:val="single" w:color="DCDDDE" w:sz="4" w:space="0"/>
              <w:bottom w:val="single" w:color="DCDDDE" w:sz="4" w:space="0"/>
            </w:tcBorders>
          </w:tcPr>
          <w:p w:rsidR="00C31389" w:rsidRDefault="00561FBD" w14:paraId="556C99FA" w14:textId="77777777">
            <w:pPr>
              <w:pStyle w:val="TableParagraph"/>
              <w:ind w:left="99" w:right="49"/>
              <w:jc w:val="center"/>
              <w:rPr>
                <w:sz w:val="17"/>
              </w:rPr>
            </w:pPr>
            <w:r>
              <w:rPr>
                <w:spacing w:val="-4"/>
                <w:sz w:val="17"/>
              </w:rPr>
              <w:t>17.0</w:t>
            </w:r>
          </w:p>
        </w:tc>
        <w:tc>
          <w:tcPr>
            <w:tcW w:w="655" w:type="dxa"/>
            <w:tcBorders>
              <w:top w:val="single" w:color="DCDDDE" w:sz="4" w:space="0"/>
              <w:bottom w:val="single" w:color="DCDDDE" w:sz="4" w:space="0"/>
            </w:tcBorders>
          </w:tcPr>
          <w:p w:rsidR="00C31389" w:rsidRDefault="00561FBD" w14:paraId="425BE2BD" w14:textId="77777777">
            <w:pPr>
              <w:pStyle w:val="TableParagraph"/>
              <w:ind w:right="134"/>
              <w:jc w:val="right"/>
              <w:rPr>
                <w:sz w:val="17"/>
              </w:rPr>
            </w:pPr>
            <w:r>
              <w:rPr>
                <w:spacing w:val="-4"/>
                <w:sz w:val="17"/>
              </w:rPr>
              <w:t>14.9</w:t>
            </w:r>
          </w:p>
        </w:tc>
        <w:tc>
          <w:tcPr>
            <w:tcW w:w="655" w:type="dxa"/>
            <w:tcBorders>
              <w:top w:val="single" w:color="DCDDDE" w:sz="4" w:space="0"/>
              <w:bottom w:val="single" w:color="DCDDDE" w:sz="4" w:space="0"/>
            </w:tcBorders>
          </w:tcPr>
          <w:p w:rsidR="00C31389" w:rsidRDefault="00561FBD" w14:paraId="5A163B1C" w14:textId="77777777">
            <w:pPr>
              <w:pStyle w:val="TableParagraph"/>
              <w:ind w:right="134"/>
              <w:jc w:val="right"/>
              <w:rPr>
                <w:sz w:val="17"/>
              </w:rPr>
            </w:pPr>
            <w:r>
              <w:rPr>
                <w:spacing w:val="-4"/>
                <w:sz w:val="17"/>
              </w:rPr>
              <w:t>16.7</w:t>
            </w:r>
          </w:p>
        </w:tc>
        <w:tc>
          <w:tcPr>
            <w:tcW w:w="655" w:type="dxa"/>
            <w:tcBorders>
              <w:top w:val="single" w:color="DCDDDE" w:sz="4" w:space="0"/>
              <w:bottom w:val="single" w:color="DCDDDE" w:sz="4" w:space="0"/>
            </w:tcBorders>
          </w:tcPr>
          <w:p w:rsidR="00C31389" w:rsidRDefault="00561FBD" w14:paraId="21E681D5" w14:textId="77777777">
            <w:pPr>
              <w:pStyle w:val="TableParagraph"/>
              <w:ind w:left="99" w:right="49"/>
              <w:jc w:val="center"/>
              <w:rPr>
                <w:sz w:val="17"/>
              </w:rPr>
            </w:pPr>
            <w:r>
              <w:rPr>
                <w:spacing w:val="-4"/>
                <w:sz w:val="17"/>
              </w:rPr>
              <w:t>13.3</w:t>
            </w:r>
          </w:p>
        </w:tc>
        <w:tc>
          <w:tcPr>
            <w:tcW w:w="654" w:type="dxa"/>
            <w:tcBorders>
              <w:top w:val="single" w:color="DCDDDE" w:sz="4" w:space="0"/>
              <w:bottom w:val="single" w:color="DCDDDE" w:sz="4" w:space="0"/>
            </w:tcBorders>
          </w:tcPr>
          <w:p w:rsidR="00C31389" w:rsidRDefault="00561FBD" w14:paraId="230F87FF" w14:textId="77777777">
            <w:pPr>
              <w:pStyle w:val="TableParagraph"/>
              <w:ind w:right="133"/>
              <w:jc w:val="right"/>
              <w:rPr>
                <w:sz w:val="17"/>
              </w:rPr>
            </w:pPr>
            <w:r>
              <w:rPr>
                <w:spacing w:val="-4"/>
                <w:sz w:val="17"/>
              </w:rPr>
              <w:t>12.8</w:t>
            </w:r>
          </w:p>
        </w:tc>
        <w:tc>
          <w:tcPr>
            <w:tcW w:w="654" w:type="dxa"/>
            <w:tcBorders>
              <w:top w:val="single" w:color="DCDDDE" w:sz="4" w:space="0"/>
              <w:bottom w:val="single" w:color="DCDDDE" w:sz="4" w:space="0"/>
            </w:tcBorders>
          </w:tcPr>
          <w:p w:rsidR="00C31389" w:rsidRDefault="00561FBD" w14:paraId="25E0FD48" w14:textId="77777777">
            <w:pPr>
              <w:pStyle w:val="TableParagraph"/>
              <w:ind w:left="128" w:right="76"/>
              <w:jc w:val="center"/>
              <w:rPr>
                <w:sz w:val="17"/>
              </w:rPr>
            </w:pPr>
            <w:r>
              <w:rPr>
                <w:spacing w:val="-4"/>
                <w:sz w:val="17"/>
              </w:rPr>
              <w:t>12.2</w:t>
            </w:r>
          </w:p>
        </w:tc>
        <w:tc>
          <w:tcPr>
            <w:tcW w:w="655" w:type="dxa"/>
            <w:tcBorders>
              <w:top w:val="single" w:color="DCDDDE" w:sz="4" w:space="0"/>
              <w:bottom w:val="single" w:color="DCDDDE" w:sz="4" w:space="0"/>
            </w:tcBorders>
          </w:tcPr>
          <w:p w:rsidR="00C31389" w:rsidRDefault="00561FBD" w14:paraId="43617D1C" w14:textId="77777777">
            <w:pPr>
              <w:pStyle w:val="TableParagraph"/>
              <w:ind w:left="99" w:right="45"/>
              <w:jc w:val="center"/>
              <w:rPr>
                <w:sz w:val="17"/>
              </w:rPr>
            </w:pPr>
            <w:r>
              <w:rPr>
                <w:spacing w:val="-4"/>
                <w:sz w:val="17"/>
              </w:rPr>
              <w:t>12.0</w:t>
            </w:r>
          </w:p>
        </w:tc>
        <w:tc>
          <w:tcPr>
            <w:tcW w:w="624" w:type="dxa"/>
            <w:tcBorders>
              <w:top w:val="single" w:color="DCDDDE" w:sz="4" w:space="0"/>
              <w:bottom w:val="single" w:color="DCDDDE" w:sz="4" w:space="0"/>
            </w:tcBorders>
          </w:tcPr>
          <w:p w:rsidR="00C31389" w:rsidRDefault="00561FBD" w14:paraId="0E097FBB" w14:textId="77777777">
            <w:pPr>
              <w:pStyle w:val="TableParagraph"/>
              <w:ind w:right="102"/>
              <w:jc w:val="right"/>
              <w:rPr>
                <w:sz w:val="17"/>
              </w:rPr>
            </w:pPr>
            <w:r>
              <w:rPr>
                <w:spacing w:val="-4"/>
                <w:sz w:val="17"/>
              </w:rPr>
              <w:t>11.9</w:t>
            </w:r>
          </w:p>
        </w:tc>
      </w:tr>
      <w:tr w:rsidR="00C31389" w14:paraId="2CFE6D82" w14:textId="77777777">
        <w:trPr>
          <w:trHeight w:val="275"/>
        </w:trPr>
        <w:tc>
          <w:tcPr>
            <w:tcW w:w="1130" w:type="dxa"/>
            <w:tcBorders>
              <w:top w:val="single" w:color="DCDDDE" w:sz="4" w:space="0"/>
              <w:bottom w:val="single" w:color="DCDDDE" w:sz="4" w:space="0"/>
            </w:tcBorders>
          </w:tcPr>
          <w:p w:rsidR="00C31389" w:rsidRDefault="00561FBD" w14:paraId="4C36C998" w14:textId="77777777">
            <w:pPr>
              <w:pStyle w:val="TableParagraph"/>
              <w:ind w:left="122"/>
              <w:rPr>
                <w:sz w:val="17"/>
              </w:rPr>
            </w:pPr>
            <w:r>
              <w:rPr>
                <w:spacing w:val="-5"/>
                <w:sz w:val="17"/>
              </w:rPr>
              <w:t>FS</w:t>
            </w:r>
          </w:p>
        </w:tc>
        <w:tc>
          <w:tcPr>
            <w:tcW w:w="1070" w:type="dxa"/>
            <w:tcBorders>
              <w:top w:val="single" w:color="DCDDDE" w:sz="4" w:space="0"/>
              <w:bottom w:val="single" w:color="DCDDDE" w:sz="4" w:space="0"/>
            </w:tcBorders>
          </w:tcPr>
          <w:p w:rsidR="00C31389" w:rsidRDefault="00561FBD" w14:paraId="6CE0A9A7" w14:textId="77777777">
            <w:pPr>
              <w:pStyle w:val="TableParagraph"/>
              <w:ind w:right="136"/>
              <w:jc w:val="right"/>
              <w:rPr>
                <w:sz w:val="17"/>
              </w:rPr>
            </w:pPr>
            <w:r>
              <w:rPr>
                <w:spacing w:val="-2"/>
                <w:sz w:val="17"/>
              </w:rPr>
              <w:t>-</w:t>
            </w:r>
            <w:r>
              <w:rPr>
                <w:spacing w:val="-5"/>
                <w:sz w:val="17"/>
              </w:rPr>
              <w:t>0.1</w:t>
            </w:r>
          </w:p>
        </w:tc>
        <w:tc>
          <w:tcPr>
            <w:tcW w:w="655" w:type="dxa"/>
            <w:tcBorders>
              <w:top w:val="single" w:color="DCDDDE" w:sz="4" w:space="0"/>
              <w:bottom w:val="single" w:color="DCDDDE" w:sz="4" w:space="0"/>
            </w:tcBorders>
          </w:tcPr>
          <w:p w:rsidR="00C31389" w:rsidRDefault="00561FBD" w14:paraId="01D958EB" w14:textId="77777777">
            <w:pPr>
              <w:pStyle w:val="TableParagraph"/>
              <w:ind w:left="99" w:right="14"/>
              <w:jc w:val="center"/>
              <w:rPr>
                <w:sz w:val="17"/>
              </w:rPr>
            </w:pPr>
            <w:r>
              <w:rPr>
                <w:spacing w:val="-2"/>
                <w:sz w:val="17"/>
              </w:rPr>
              <w:t>-</w:t>
            </w:r>
            <w:r>
              <w:rPr>
                <w:spacing w:val="-5"/>
                <w:sz w:val="17"/>
              </w:rPr>
              <w:t>0.2</w:t>
            </w:r>
          </w:p>
        </w:tc>
        <w:tc>
          <w:tcPr>
            <w:tcW w:w="654" w:type="dxa"/>
            <w:tcBorders>
              <w:top w:val="single" w:color="DCDDDE" w:sz="4" w:space="0"/>
              <w:bottom w:val="single" w:color="DCDDDE" w:sz="4" w:space="0"/>
            </w:tcBorders>
          </w:tcPr>
          <w:p w:rsidR="00C31389" w:rsidRDefault="00561FBD" w14:paraId="0A34DC8E" w14:textId="77777777">
            <w:pPr>
              <w:pStyle w:val="TableParagraph"/>
              <w:ind w:right="135"/>
              <w:jc w:val="right"/>
              <w:rPr>
                <w:sz w:val="17"/>
              </w:rPr>
            </w:pPr>
            <w:r>
              <w:rPr>
                <w:spacing w:val="-2"/>
                <w:sz w:val="17"/>
              </w:rPr>
              <w:t>-</w:t>
            </w:r>
            <w:r>
              <w:rPr>
                <w:spacing w:val="-5"/>
                <w:sz w:val="17"/>
              </w:rPr>
              <w:t>0.2</w:t>
            </w:r>
          </w:p>
        </w:tc>
        <w:tc>
          <w:tcPr>
            <w:tcW w:w="654" w:type="dxa"/>
            <w:tcBorders>
              <w:top w:val="single" w:color="DCDDDE" w:sz="4" w:space="0"/>
              <w:bottom w:val="single" w:color="DCDDDE" w:sz="4" w:space="0"/>
            </w:tcBorders>
          </w:tcPr>
          <w:p w:rsidR="00C31389" w:rsidRDefault="00561FBD" w14:paraId="28FDFB5F" w14:textId="77777777">
            <w:pPr>
              <w:pStyle w:val="TableParagraph"/>
              <w:ind w:right="135"/>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32A1366F" w14:textId="77777777">
            <w:pPr>
              <w:pStyle w:val="TableParagraph"/>
              <w:ind w:left="99" w:right="11"/>
              <w:jc w:val="center"/>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6DB1FD20" w14:textId="77777777">
            <w:pPr>
              <w:pStyle w:val="TableParagraph"/>
              <w:ind w:right="134"/>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6048B10B" w14:textId="77777777">
            <w:pPr>
              <w:pStyle w:val="TableParagraph"/>
              <w:ind w:right="134"/>
              <w:jc w:val="right"/>
              <w:rPr>
                <w:sz w:val="17"/>
              </w:rPr>
            </w:pPr>
            <w:r>
              <w:rPr>
                <w:spacing w:val="-5"/>
                <w:sz w:val="17"/>
              </w:rPr>
              <w:t>0.1</w:t>
            </w:r>
          </w:p>
        </w:tc>
        <w:tc>
          <w:tcPr>
            <w:tcW w:w="655" w:type="dxa"/>
            <w:tcBorders>
              <w:top w:val="single" w:color="DCDDDE" w:sz="4" w:space="0"/>
              <w:bottom w:val="single" w:color="DCDDDE" w:sz="4" w:space="0"/>
            </w:tcBorders>
          </w:tcPr>
          <w:p w:rsidR="00C31389" w:rsidRDefault="00561FBD" w14:paraId="5FBCD154" w14:textId="77777777">
            <w:pPr>
              <w:pStyle w:val="TableParagraph"/>
              <w:ind w:left="236" w:right="90"/>
              <w:jc w:val="center"/>
              <w:rPr>
                <w:sz w:val="17"/>
              </w:rPr>
            </w:pPr>
            <w:r>
              <w:rPr>
                <w:spacing w:val="-5"/>
                <w:sz w:val="17"/>
              </w:rPr>
              <w:t>0.1</w:t>
            </w:r>
          </w:p>
        </w:tc>
        <w:tc>
          <w:tcPr>
            <w:tcW w:w="654" w:type="dxa"/>
            <w:tcBorders>
              <w:top w:val="single" w:color="DCDDDE" w:sz="4" w:space="0"/>
              <w:bottom w:val="single" w:color="DCDDDE" w:sz="4" w:space="0"/>
            </w:tcBorders>
          </w:tcPr>
          <w:p w:rsidR="00C31389" w:rsidRDefault="00561FBD" w14:paraId="69B777A7" w14:textId="77777777">
            <w:pPr>
              <w:pStyle w:val="TableParagraph"/>
              <w:ind w:right="133"/>
              <w:jc w:val="right"/>
              <w:rPr>
                <w:sz w:val="17"/>
              </w:rPr>
            </w:pPr>
            <w:r>
              <w:rPr>
                <w:spacing w:val="-5"/>
                <w:sz w:val="17"/>
              </w:rPr>
              <w:t>0.1</w:t>
            </w:r>
          </w:p>
        </w:tc>
        <w:tc>
          <w:tcPr>
            <w:tcW w:w="654" w:type="dxa"/>
            <w:tcBorders>
              <w:top w:val="single" w:color="DCDDDE" w:sz="4" w:space="0"/>
              <w:bottom w:val="single" w:color="DCDDDE" w:sz="4" w:space="0"/>
            </w:tcBorders>
          </w:tcPr>
          <w:p w:rsidR="00C31389" w:rsidRDefault="00561FBD" w14:paraId="3E763056" w14:textId="77777777">
            <w:pPr>
              <w:pStyle w:val="TableParagraph"/>
              <w:ind w:left="269" w:right="122"/>
              <w:jc w:val="center"/>
              <w:rPr>
                <w:sz w:val="17"/>
              </w:rPr>
            </w:pPr>
            <w:r>
              <w:rPr>
                <w:spacing w:val="-5"/>
                <w:sz w:val="17"/>
              </w:rPr>
              <w:t>0.1</w:t>
            </w:r>
          </w:p>
        </w:tc>
        <w:tc>
          <w:tcPr>
            <w:tcW w:w="655" w:type="dxa"/>
            <w:tcBorders>
              <w:top w:val="single" w:color="DCDDDE" w:sz="4" w:space="0"/>
              <w:bottom w:val="single" w:color="DCDDDE" w:sz="4" w:space="0"/>
            </w:tcBorders>
          </w:tcPr>
          <w:p w:rsidR="00C31389" w:rsidRDefault="00561FBD" w14:paraId="572937F2" w14:textId="77777777">
            <w:pPr>
              <w:pStyle w:val="TableParagraph"/>
              <w:ind w:left="236" w:right="88"/>
              <w:jc w:val="center"/>
              <w:rPr>
                <w:sz w:val="17"/>
              </w:rPr>
            </w:pPr>
            <w:r>
              <w:rPr>
                <w:spacing w:val="-5"/>
                <w:sz w:val="17"/>
              </w:rPr>
              <w:t>0.1</w:t>
            </w:r>
          </w:p>
        </w:tc>
        <w:tc>
          <w:tcPr>
            <w:tcW w:w="624" w:type="dxa"/>
            <w:tcBorders>
              <w:top w:val="single" w:color="DCDDDE" w:sz="4" w:space="0"/>
              <w:bottom w:val="single" w:color="DCDDDE" w:sz="4" w:space="0"/>
            </w:tcBorders>
          </w:tcPr>
          <w:p w:rsidR="00C31389" w:rsidRDefault="00561FBD" w14:paraId="63541D8C" w14:textId="77777777">
            <w:pPr>
              <w:pStyle w:val="TableParagraph"/>
              <w:ind w:right="101"/>
              <w:jc w:val="right"/>
              <w:rPr>
                <w:sz w:val="17"/>
              </w:rPr>
            </w:pPr>
            <w:r>
              <w:rPr>
                <w:spacing w:val="-5"/>
                <w:sz w:val="17"/>
              </w:rPr>
              <w:t>0.1</w:t>
            </w:r>
          </w:p>
        </w:tc>
      </w:tr>
      <w:tr w:rsidR="00C31389" w14:paraId="6F859855" w14:textId="77777777">
        <w:trPr>
          <w:trHeight w:val="275"/>
        </w:trPr>
        <w:tc>
          <w:tcPr>
            <w:tcW w:w="1130" w:type="dxa"/>
            <w:tcBorders>
              <w:top w:val="single" w:color="DCDDDE" w:sz="4" w:space="0"/>
              <w:bottom w:val="single" w:color="DCDDDE" w:sz="4" w:space="0"/>
            </w:tcBorders>
          </w:tcPr>
          <w:p w:rsidR="00C31389" w:rsidRDefault="00561FBD" w14:paraId="37BBF26A" w14:textId="77777777">
            <w:pPr>
              <w:pStyle w:val="TableParagraph"/>
              <w:ind w:left="122"/>
              <w:rPr>
                <w:sz w:val="17"/>
              </w:rPr>
            </w:pPr>
            <w:r>
              <w:rPr>
                <w:spacing w:val="-4"/>
                <w:sz w:val="17"/>
              </w:rPr>
              <w:t>BROs</w:t>
            </w:r>
          </w:p>
        </w:tc>
        <w:tc>
          <w:tcPr>
            <w:tcW w:w="1070" w:type="dxa"/>
            <w:tcBorders>
              <w:top w:val="single" w:color="DCDDDE" w:sz="4" w:space="0"/>
              <w:bottom w:val="single" w:color="DCDDDE" w:sz="4" w:space="0"/>
            </w:tcBorders>
          </w:tcPr>
          <w:p w:rsidR="00C31389" w:rsidRDefault="00561FBD" w14:paraId="404F8C59" w14:textId="77777777">
            <w:pPr>
              <w:pStyle w:val="TableParagraph"/>
              <w:ind w:right="136"/>
              <w:jc w:val="right"/>
              <w:rPr>
                <w:sz w:val="17"/>
              </w:rPr>
            </w:pPr>
            <w:r>
              <w:rPr>
                <w:spacing w:val="-4"/>
                <w:sz w:val="17"/>
              </w:rPr>
              <w:t>35.1</w:t>
            </w:r>
          </w:p>
        </w:tc>
        <w:tc>
          <w:tcPr>
            <w:tcW w:w="655" w:type="dxa"/>
            <w:tcBorders>
              <w:top w:val="single" w:color="DCDDDE" w:sz="4" w:space="0"/>
              <w:bottom w:val="single" w:color="DCDDDE" w:sz="4" w:space="0"/>
            </w:tcBorders>
          </w:tcPr>
          <w:p w:rsidR="00C31389" w:rsidRDefault="00561FBD" w14:paraId="46C802E1" w14:textId="77777777">
            <w:pPr>
              <w:pStyle w:val="TableParagraph"/>
              <w:ind w:left="99" w:right="52"/>
              <w:jc w:val="center"/>
              <w:rPr>
                <w:sz w:val="17"/>
              </w:rPr>
            </w:pPr>
            <w:r>
              <w:rPr>
                <w:spacing w:val="-4"/>
                <w:sz w:val="17"/>
              </w:rPr>
              <w:t>36.5</w:t>
            </w:r>
          </w:p>
        </w:tc>
        <w:tc>
          <w:tcPr>
            <w:tcW w:w="654" w:type="dxa"/>
            <w:tcBorders>
              <w:top w:val="single" w:color="DCDDDE" w:sz="4" w:space="0"/>
              <w:bottom w:val="single" w:color="DCDDDE" w:sz="4" w:space="0"/>
            </w:tcBorders>
          </w:tcPr>
          <w:p w:rsidR="00C31389" w:rsidRDefault="00561FBD" w14:paraId="022355B2" w14:textId="77777777">
            <w:pPr>
              <w:pStyle w:val="TableParagraph"/>
              <w:ind w:right="135"/>
              <w:jc w:val="right"/>
              <w:rPr>
                <w:sz w:val="17"/>
              </w:rPr>
            </w:pPr>
            <w:r>
              <w:rPr>
                <w:spacing w:val="-4"/>
                <w:sz w:val="17"/>
              </w:rPr>
              <w:t>38.0</w:t>
            </w:r>
          </w:p>
        </w:tc>
        <w:tc>
          <w:tcPr>
            <w:tcW w:w="654" w:type="dxa"/>
            <w:tcBorders>
              <w:top w:val="single" w:color="DCDDDE" w:sz="4" w:space="0"/>
              <w:bottom w:val="single" w:color="DCDDDE" w:sz="4" w:space="0"/>
            </w:tcBorders>
          </w:tcPr>
          <w:p w:rsidR="00C31389" w:rsidRDefault="00561FBD" w14:paraId="209B4CFB" w14:textId="77777777">
            <w:pPr>
              <w:pStyle w:val="TableParagraph"/>
              <w:ind w:right="135"/>
              <w:jc w:val="right"/>
              <w:rPr>
                <w:sz w:val="17"/>
              </w:rPr>
            </w:pPr>
            <w:r>
              <w:rPr>
                <w:spacing w:val="-4"/>
                <w:sz w:val="17"/>
              </w:rPr>
              <w:t>39.5</w:t>
            </w:r>
          </w:p>
        </w:tc>
        <w:tc>
          <w:tcPr>
            <w:tcW w:w="655" w:type="dxa"/>
            <w:tcBorders>
              <w:top w:val="single" w:color="DCDDDE" w:sz="4" w:space="0"/>
              <w:bottom w:val="single" w:color="DCDDDE" w:sz="4" w:space="0"/>
            </w:tcBorders>
          </w:tcPr>
          <w:p w:rsidR="00C31389" w:rsidRDefault="00561FBD" w14:paraId="00E4FF53" w14:textId="77777777">
            <w:pPr>
              <w:pStyle w:val="TableParagraph"/>
              <w:ind w:left="99" w:right="49"/>
              <w:jc w:val="center"/>
              <w:rPr>
                <w:sz w:val="17"/>
              </w:rPr>
            </w:pPr>
            <w:r>
              <w:rPr>
                <w:spacing w:val="-4"/>
                <w:sz w:val="17"/>
              </w:rPr>
              <w:t>41.0</w:t>
            </w:r>
          </w:p>
        </w:tc>
        <w:tc>
          <w:tcPr>
            <w:tcW w:w="655" w:type="dxa"/>
            <w:tcBorders>
              <w:top w:val="single" w:color="DCDDDE" w:sz="4" w:space="0"/>
              <w:bottom w:val="single" w:color="DCDDDE" w:sz="4" w:space="0"/>
            </w:tcBorders>
          </w:tcPr>
          <w:p w:rsidR="00C31389" w:rsidRDefault="00561FBD" w14:paraId="6C23B7DD" w14:textId="77777777">
            <w:pPr>
              <w:pStyle w:val="TableParagraph"/>
              <w:ind w:right="134"/>
              <w:jc w:val="right"/>
              <w:rPr>
                <w:sz w:val="17"/>
              </w:rPr>
            </w:pPr>
            <w:r>
              <w:rPr>
                <w:spacing w:val="-4"/>
                <w:sz w:val="17"/>
              </w:rPr>
              <w:t>42.6</w:t>
            </w:r>
          </w:p>
        </w:tc>
        <w:tc>
          <w:tcPr>
            <w:tcW w:w="655" w:type="dxa"/>
            <w:tcBorders>
              <w:top w:val="single" w:color="DCDDDE" w:sz="4" w:space="0"/>
              <w:bottom w:val="single" w:color="DCDDDE" w:sz="4" w:space="0"/>
            </w:tcBorders>
          </w:tcPr>
          <w:p w:rsidR="00C31389" w:rsidRDefault="00561FBD" w14:paraId="315199A4" w14:textId="77777777">
            <w:pPr>
              <w:pStyle w:val="TableParagraph"/>
              <w:ind w:right="134"/>
              <w:jc w:val="right"/>
              <w:rPr>
                <w:sz w:val="17"/>
              </w:rPr>
            </w:pPr>
            <w:r>
              <w:rPr>
                <w:spacing w:val="-4"/>
                <w:sz w:val="17"/>
              </w:rPr>
              <w:t>44.4</w:t>
            </w:r>
          </w:p>
        </w:tc>
        <w:tc>
          <w:tcPr>
            <w:tcW w:w="655" w:type="dxa"/>
            <w:tcBorders>
              <w:top w:val="single" w:color="DCDDDE" w:sz="4" w:space="0"/>
              <w:bottom w:val="single" w:color="DCDDDE" w:sz="4" w:space="0"/>
            </w:tcBorders>
          </w:tcPr>
          <w:p w:rsidR="00C31389" w:rsidRDefault="00561FBD" w14:paraId="227FED70" w14:textId="77777777">
            <w:pPr>
              <w:pStyle w:val="TableParagraph"/>
              <w:ind w:left="99" w:right="48"/>
              <w:jc w:val="center"/>
              <w:rPr>
                <w:sz w:val="17"/>
              </w:rPr>
            </w:pPr>
            <w:r>
              <w:rPr>
                <w:spacing w:val="-4"/>
                <w:sz w:val="17"/>
              </w:rPr>
              <w:t>46.2</w:t>
            </w:r>
          </w:p>
        </w:tc>
        <w:tc>
          <w:tcPr>
            <w:tcW w:w="654" w:type="dxa"/>
            <w:tcBorders>
              <w:top w:val="single" w:color="DCDDDE" w:sz="4" w:space="0"/>
              <w:bottom w:val="single" w:color="DCDDDE" w:sz="4" w:space="0"/>
            </w:tcBorders>
          </w:tcPr>
          <w:p w:rsidR="00C31389" w:rsidRDefault="00561FBD" w14:paraId="20C4B8C2" w14:textId="77777777">
            <w:pPr>
              <w:pStyle w:val="TableParagraph"/>
              <w:ind w:right="133"/>
              <w:jc w:val="right"/>
              <w:rPr>
                <w:sz w:val="17"/>
              </w:rPr>
            </w:pPr>
            <w:r>
              <w:rPr>
                <w:spacing w:val="-4"/>
                <w:sz w:val="17"/>
              </w:rPr>
              <w:t>48.1</w:t>
            </w:r>
          </w:p>
        </w:tc>
        <w:tc>
          <w:tcPr>
            <w:tcW w:w="654" w:type="dxa"/>
            <w:tcBorders>
              <w:top w:val="single" w:color="DCDDDE" w:sz="4" w:space="0"/>
              <w:bottom w:val="single" w:color="DCDDDE" w:sz="4" w:space="0"/>
            </w:tcBorders>
          </w:tcPr>
          <w:p w:rsidR="00C31389" w:rsidRDefault="00561FBD" w14:paraId="35F0A080" w14:textId="77777777">
            <w:pPr>
              <w:pStyle w:val="TableParagraph"/>
              <w:ind w:left="128" w:right="76"/>
              <w:jc w:val="center"/>
              <w:rPr>
                <w:sz w:val="17"/>
              </w:rPr>
            </w:pPr>
            <w:r>
              <w:rPr>
                <w:spacing w:val="-4"/>
                <w:sz w:val="17"/>
              </w:rPr>
              <w:t>50.0</w:t>
            </w:r>
          </w:p>
        </w:tc>
        <w:tc>
          <w:tcPr>
            <w:tcW w:w="655" w:type="dxa"/>
            <w:tcBorders>
              <w:top w:val="single" w:color="DCDDDE" w:sz="4" w:space="0"/>
              <w:bottom w:val="single" w:color="DCDDDE" w:sz="4" w:space="0"/>
            </w:tcBorders>
          </w:tcPr>
          <w:p w:rsidR="00C31389" w:rsidRDefault="00561FBD" w14:paraId="6B4A26EA" w14:textId="77777777">
            <w:pPr>
              <w:pStyle w:val="TableParagraph"/>
              <w:ind w:left="99" w:right="45"/>
              <w:jc w:val="center"/>
              <w:rPr>
                <w:sz w:val="17"/>
              </w:rPr>
            </w:pPr>
            <w:r>
              <w:rPr>
                <w:spacing w:val="-4"/>
                <w:sz w:val="17"/>
              </w:rPr>
              <w:t>51.1</w:t>
            </w:r>
          </w:p>
        </w:tc>
        <w:tc>
          <w:tcPr>
            <w:tcW w:w="624" w:type="dxa"/>
            <w:tcBorders>
              <w:top w:val="single" w:color="DCDDDE" w:sz="4" w:space="0"/>
              <w:bottom w:val="single" w:color="DCDDDE" w:sz="4" w:space="0"/>
            </w:tcBorders>
          </w:tcPr>
          <w:p w:rsidR="00C31389" w:rsidRDefault="00561FBD" w14:paraId="16C3C5BD" w14:textId="77777777">
            <w:pPr>
              <w:pStyle w:val="TableParagraph"/>
              <w:ind w:right="101"/>
              <w:jc w:val="right"/>
              <w:rPr>
                <w:sz w:val="17"/>
              </w:rPr>
            </w:pPr>
            <w:r>
              <w:rPr>
                <w:spacing w:val="-4"/>
                <w:sz w:val="17"/>
              </w:rPr>
              <w:t>53.3</w:t>
            </w:r>
          </w:p>
        </w:tc>
      </w:tr>
      <w:tr w:rsidR="00C31389" w14:paraId="5CD0ACC1" w14:textId="77777777">
        <w:trPr>
          <w:trHeight w:val="274"/>
        </w:trPr>
        <w:tc>
          <w:tcPr>
            <w:tcW w:w="9370" w:type="dxa"/>
            <w:gridSpan w:val="13"/>
            <w:tcBorders>
              <w:top w:val="single" w:color="DCDDDE" w:sz="4" w:space="0"/>
              <w:bottom w:val="single" w:color="DCDDDE" w:sz="4" w:space="0"/>
            </w:tcBorders>
            <w:shd w:val="clear" w:color="auto" w:fill="BEBEBE"/>
          </w:tcPr>
          <w:p w:rsidR="00C31389" w:rsidRDefault="00561FBD" w14:paraId="7331E951"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47C010D0" w14:textId="77777777">
        <w:trPr>
          <w:trHeight w:val="275"/>
        </w:trPr>
        <w:tc>
          <w:tcPr>
            <w:tcW w:w="1130" w:type="dxa"/>
            <w:tcBorders>
              <w:top w:val="single" w:color="DCDDDE" w:sz="4" w:space="0"/>
              <w:bottom w:val="single" w:color="DCDDDE" w:sz="4" w:space="0"/>
            </w:tcBorders>
          </w:tcPr>
          <w:p w:rsidR="00C31389" w:rsidRDefault="00561FBD" w14:paraId="4C804A58" w14:textId="77777777">
            <w:pPr>
              <w:pStyle w:val="TableParagraph"/>
              <w:spacing w:before="42"/>
              <w:ind w:left="122"/>
              <w:rPr>
                <w:sz w:val="17"/>
              </w:rPr>
            </w:pPr>
            <w:r>
              <w:rPr>
                <w:spacing w:val="-5"/>
                <w:sz w:val="17"/>
              </w:rPr>
              <w:t>EE</w:t>
            </w:r>
          </w:p>
        </w:tc>
        <w:tc>
          <w:tcPr>
            <w:tcW w:w="1070" w:type="dxa"/>
            <w:tcBorders>
              <w:top w:val="single" w:color="DCDDDE" w:sz="4" w:space="0"/>
              <w:bottom w:val="single" w:color="DCDDDE" w:sz="4" w:space="0"/>
            </w:tcBorders>
          </w:tcPr>
          <w:p w:rsidR="00C31389" w:rsidRDefault="00561FBD" w14:paraId="70B0F0D3" w14:textId="77777777">
            <w:pPr>
              <w:pStyle w:val="TableParagraph"/>
              <w:spacing w:before="42"/>
              <w:ind w:right="136"/>
              <w:jc w:val="right"/>
              <w:rPr>
                <w:sz w:val="17"/>
              </w:rPr>
            </w:pPr>
            <w:r>
              <w:rPr>
                <w:spacing w:val="-4"/>
                <w:sz w:val="17"/>
              </w:rPr>
              <w:t>31.3</w:t>
            </w:r>
          </w:p>
        </w:tc>
        <w:tc>
          <w:tcPr>
            <w:tcW w:w="655" w:type="dxa"/>
            <w:tcBorders>
              <w:top w:val="single" w:color="DCDDDE" w:sz="4" w:space="0"/>
              <w:bottom w:val="single" w:color="DCDDDE" w:sz="4" w:space="0"/>
            </w:tcBorders>
          </w:tcPr>
          <w:p w:rsidR="00C31389" w:rsidRDefault="00561FBD" w14:paraId="4F13CD35" w14:textId="77777777">
            <w:pPr>
              <w:pStyle w:val="TableParagraph"/>
              <w:spacing w:before="42"/>
              <w:ind w:left="99" w:right="52"/>
              <w:jc w:val="center"/>
              <w:rPr>
                <w:sz w:val="17"/>
              </w:rPr>
            </w:pPr>
            <w:r>
              <w:rPr>
                <w:spacing w:val="-4"/>
                <w:sz w:val="17"/>
              </w:rPr>
              <w:t>28.4</w:t>
            </w:r>
          </w:p>
        </w:tc>
        <w:tc>
          <w:tcPr>
            <w:tcW w:w="654" w:type="dxa"/>
            <w:tcBorders>
              <w:top w:val="single" w:color="DCDDDE" w:sz="4" w:space="0"/>
              <w:bottom w:val="single" w:color="DCDDDE" w:sz="4" w:space="0"/>
            </w:tcBorders>
          </w:tcPr>
          <w:p w:rsidR="00C31389" w:rsidRDefault="00561FBD" w14:paraId="45B43C27" w14:textId="77777777">
            <w:pPr>
              <w:pStyle w:val="TableParagraph"/>
              <w:spacing w:before="42"/>
              <w:ind w:right="135"/>
              <w:jc w:val="right"/>
              <w:rPr>
                <w:sz w:val="17"/>
              </w:rPr>
            </w:pPr>
            <w:r>
              <w:rPr>
                <w:spacing w:val="-4"/>
                <w:sz w:val="17"/>
              </w:rPr>
              <w:t>23.7</w:t>
            </w:r>
          </w:p>
        </w:tc>
        <w:tc>
          <w:tcPr>
            <w:tcW w:w="654" w:type="dxa"/>
            <w:tcBorders>
              <w:top w:val="single" w:color="DCDDDE" w:sz="4" w:space="0"/>
              <w:bottom w:val="single" w:color="DCDDDE" w:sz="4" w:space="0"/>
            </w:tcBorders>
          </w:tcPr>
          <w:p w:rsidR="00C31389" w:rsidRDefault="00561FBD" w14:paraId="2E746C1A" w14:textId="77777777">
            <w:pPr>
              <w:pStyle w:val="TableParagraph"/>
              <w:spacing w:before="42"/>
              <w:ind w:right="135"/>
              <w:jc w:val="right"/>
              <w:rPr>
                <w:sz w:val="17"/>
              </w:rPr>
            </w:pPr>
            <w:r>
              <w:rPr>
                <w:spacing w:val="-4"/>
                <w:sz w:val="17"/>
              </w:rPr>
              <w:t>18.9</w:t>
            </w:r>
          </w:p>
        </w:tc>
        <w:tc>
          <w:tcPr>
            <w:tcW w:w="655" w:type="dxa"/>
            <w:tcBorders>
              <w:top w:val="single" w:color="DCDDDE" w:sz="4" w:space="0"/>
              <w:bottom w:val="single" w:color="DCDDDE" w:sz="4" w:space="0"/>
            </w:tcBorders>
          </w:tcPr>
          <w:p w:rsidR="00C31389" w:rsidRDefault="00561FBD" w14:paraId="4363E34F" w14:textId="77777777">
            <w:pPr>
              <w:pStyle w:val="TableParagraph"/>
              <w:spacing w:before="42"/>
              <w:ind w:left="99" w:right="49"/>
              <w:jc w:val="center"/>
              <w:rPr>
                <w:sz w:val="17"/>
              </w:rPr>
            </w:pPr>
            <w:r>
              <w:rPr>
                <w:spacing w:val="-4"/>
                <w:sz w:val="17"/>
              </w:rPr>
              <w:t>17.2</w:t>
            </w:r>
          </w:p>
        </w:tc>
        <w:tc>
          <w:tcPr>
            <w:tcW w:w="655" w:type="dxa"/>
            <w:tcBorders>
              <w:top w:val="single" w:color="DCDDDE" w:sz="4" w:space="0"/>
              <w:bottom w:val="single" w:color="DCDDDE" w:sz="4" w:space="0"/>
            </w:tcBorders>
          </w:tcPr>
          <w:p w:rsidR="00C31389" w:rsidRDefault="00561FBD" w14:paraId="6A141A93" w14:textId="77777777">
            <w:pPr>
              <w:pStyle w:val="TableParagraph"/>
              <w:spacing w:before="42"/>
              <w:ind w:right="134"/>
              <w:jc w:val="right"/>
              <w:rPr>
                <w:sz w:val="17"/>
              </w:rPr>
            </w:pPr>
            <w:r>
              <w:rPr>
                <w:spacing w:val="-4"/>
                <w:sz w:val="17"/>
              </w:rPr>
              <w:t>15.4</w:t>
            </w:r>
          </w:p>
        </w:tc>
        <w:tc>
          <w:tcPr>
            <w:tcW w:w="655" w:type="dxa"/>
            <w:tcBorders>
              <w:top w:val="single" w:color="DCDDDE" w:sz="4" w:space="0"/>
              <w:bottom w:val="single" w:color="DCDDDE" w:sz="4" w:space="0"/>
            </w:tcBorders>
          </w:tcPr>
          <w:p w:rsidR="00C31389" w:rsidRDefault="00561FBD" w14:paraId="204C612E" w14:textId="77777777">
            <w:pPr>
              <w:pStyle w:val="TableParagraph"/>
              <w:spacing w:before="42"/>
              <w:ind w:right="134"/>
              <w:jc w:val="right"/>
              <w:rPr>
                <w:sz w:val="17"/>
              </w:rPr>
            </w:pPr>
            <w:r>
              <w:rPr>
                <w:spacing w:val="-4"/>
                <w:sz w:val="17"/>
              </w:rPr>
              <w:t>17.5</w:t>
            </w:r>
          </w:p>
        </w:tc>
        <w:tc>
          <w:tcPr>
            <w:tcW w:w="655" w:type="dxa"/>
            <w:tcBorders>
              <w:top w:val="single" w:color="DCDDDE" w:sz="4" w:space="0"/>
              <w:bottom w:val="single" w:color="DCDDDE" w:sz="4" w:space="0"/>
            </w:tcBorders>
          </w:tcPr>
          <w:p w:rsidR="00C31389" w:rsidRDefault="00561FBD" w14:paraId="2D38EB24" w14:textId="77777777">
            <w:pPr>
              <w:pStyle w:val="TableParagraph"/>
              <w:spacing w:before="42"/>
              <w:ind w:left="99" w:right="49"/>
              <w:jc w:val="center"/>
              <w:rPr>
                <w:sz w:val="17"/>
              </w:rPr>
            </w:pPr>
            <w:r>
              <w:rPr>
                <w:spacing w:val="-4"/>
                <w:sz w:val="17"/>
              </w:rPr>
              <w:t>13.8</w:t>
            </w:r>
          </w:p>
        </w:tc>
        <w:tc>
          <w:tcPr>
            <w:tcW w:w="654" w:type="dxa"/>
            <w:tcBorders>
              <w:top w:val="single" w:color="DCDDDE" w:sz="4" w:space="0"/>
              <w:bottom w:val="single" w:color="DCDDDE" w:sz="4" w:space="0"/>
            </w:tcBorders>
          </w:tcPr>
          <w:p w:rsidR="00C31389" w:rsidRDefault="00561FBD" w14:paraId="7BA19E37" w14:textId="77777777">
            <w:pPr>
              <w:pStyle w:val="TableParagraph"/>
              <w:spacing w:before="42"/>
              <w:ind w:right="133"/>
              <w:jc w:val="right"/>
              <w:rPr>
                <w:sz w:val="17"/>
              </w:rPr>
            </w:pPr>
            <w:r>
              <w:rPr>
                <w:spacing w:val="-4"/>
                <w:sz w:val="17"/>
              </w:rPr>
              <w:t>13.2</w:t>
            </w:r>
          </w:p>
        </w:tc>
        <w:tc>
          <w:tcPr>
            <w:tcW w:w="654" w:type="dxa"/>
            <w:tcBorders>
              <w:top w:val="single" w:color="DCDDDE" w:sz="4" w:space="0"/>
              <w:bottom w:val="single" w:color="DCDDDE" w:sz="4" w:space="0"/>
            </w:tcBorders>
          </w:tcPr>
          <w:p w:rsidR="00C31389" w:rsidRDefault="00561FBD" w14:paraId="023F9188" w14:textId="77777777">
            <w:pPr>
              <w:pStyle w:val="TableParagraph"/>
              <w:spacing w:before="42"/>
              <w:ind w:left="128" w:right="76"/>
              <w:jc w:val="center"/>
              <w:rPr>
                <w:sz w:val="17"/>
              </w:rPr>
            </w:pPr>
            <w:r>
              <w:rPr>
                <w:spacing w:val="-4"/>
                <w:sz w:val="17"/>
              </w:rPr>
              <w:t>12.3</w:t>
            </w:r>
          </w:p>
        </w:tc>
        <w:tc>
          <w:tcPr>
            <w:tcW w:w="655" w:type="dxa"/>
            <w:tcBorders>
              <w:top w:val="single" w:color="DCDDDE" w:sz="4" w:space="0"/>
              <w:bottom w:val="single" w:color="DCDDDE" w:sz="4" w:space="0"/>
            </w:tcBorders>
          </w:tcPr>
          <w:p w:rsidR="00C31389" w:rsidRDefault="00561FBD" w14:paraId="5BBEB119" w14:textId="77777777">
            <w:pPr>
              <w:pStyle w:val="TableParagraph"/>
              <w:spacing w:before="42"/>
              <w:ind w:left="99" w:right="45"/>
              <w:jc w:val="center"/>
              <w:rPr>
                <w:sz w:val="17"/>
              </w:rPr>
            </w:pPr>
            <w:r>
              <w:rPr>
                <w:spacing w:val="-4"/>
                <w:sz w:val="17"/>
              </w:rPr>
              <w:t>12.0</w:t>
            </w:r>
          </w:p>
        </w:tc>
        <w:tc>
          <w:tcPr>
            <w:tcW w:w="624" w:type="dxa"/>
            <w:tcBorders>
              <w:top w:val="single" w:color="DCDDDE" w:sz="4" w:space="0"/>
              <w:bottom w:val="single" w:color="DCDDDE" w:sz="4" w:space="0"/>
            </w:tcBorders>
          </w:tcPr>
          <w:p w:rsidR="00C31389" w:rsidRDefault="00561FBD" w14:paraId="3D9CE9BF" w14:textId="77777777">
            <w:pPr>
              <w:pStyle w:val="TableParagraph"/>
              <w:spacing w:before="42"/>
              <w:ind w:right="102"/>
              <w:jc w:val="right"/>
              <w:rPr>
                <w:sz w:val="17"/>
              </w:rPr>
            </w:pPr>
            <w:r>
              <w:rPr>
                <w:spacing w:val="-4"/>
                <w:sz w:val="17"/>
              </w:rPr>
              <w:t>11.9</w:t>
            </w:r>
          </w:p>
        </w:tc>
      </w:tr>
      <w:tr w:rsidR="00C31389" w14:paraId="2694986A" w14:textId="77777777">
        <w:trPr>
          <w:trHeight w:val="275"/>
        </w:trPr>
        <w:tc>
          <w:tcPr>
            <w:tcW w:w="1130" w:type="dxa"/>
            <w:tcBorders>
              <w:top w:val="single" w:color="DCDDDE" w:sz="4" w:space="0"/>
              <w:bottom w:val="single" w:color="DCDDDE" w:sz="4" w:space="0"/>
            </w:tcBorders>
          </w:tcPr>
          <w:p w:rsidR="00C31389" w:rsidRDefault="00561FBD" w14:paraId="2E51DFE5" w14:textId="77777777">
            <w:pPr>
              <w:pStyle w:val="TableParagraph"/>
              <w:spacing w:before="42"/>
              <w:ind w:left="122"/>
              <w:rPr>
                <w:sz w:val="17"/>
              </w:rPr>
            </w:pPr>
            <w:r>
              <w:rPr>
                <w:spacing w:val="-5"/>
                <w:sz w:val="17"/>
              </w:rPr>
              <w:t>FS</w:t>
            </w:r>
          </w:p>
        </w:tc>
        <w:tc>
          <w:tcPr>
            <w:tcW w:w="1070" w:type="dxa"/>
            <w:tcBorders>
              <w:top w:val="single" w:color="DCDDDE" w:sz="4" w:space="0"/>
              <w:bottom w:val="single" w:color="DCDDDE" w:sz="4" w:space="0"/>
            </w:tcBorders>
          </w:tcPr>
          <w:p w:rsidR="00C31389" w:rsidRDefault="00561FBD" w14:paraId="16070FFD" w14:textId="77777777">
            <w:pPr>
              <w:pStyle w:val="TableParagraph"/>
              <w:spacing w:before="42"/>
              <w:ind w:right="136"/>
              <w:jc w:val="right"/>
              <w:rPr>
                <w:sz w:val="17"/>
              </w:rPr>
            </w:pPr>
            <w:r>
              <w:rPr>
                <w:spacing w:val="-2"/>
                <w:sz w:val="17"/>
              </w:rPr>
              <w:t>-</w:t>
            </w:r>
            <w:r>
              <w:rPr>
                <w:spacing w:val="-5"/>
                <w:sz w:val="17"/>
              </w:rPr>
              <w:t>0.1</w:t>
            </w:r>
          </w:p>
        </w:tc>
        <w:tc>
          <w:tcPr>
            <w:tcW w:w="655" w:type="dxa"/>
            <w:tcBorders>
              <w:top w:val="single" w:color="DCDDDE" w:sz="4" w:space="0"/>
              <w:bottom w:val="single" w:color="DCDDDE" w:sz="4" w:space="0"/>
            </w:tcBorders>
          </w:tcPr>
          <w:p w:rsidR="00C31389" w:rsidRDefault="00561FBD" w14:paraId="27FD0E71" w14:textId="77777777">
            <w:pPr>
              <w:pStyle w:val="TableParagraph"/>
              <w:spacing w:before="42"/>
              <w:ind w:left="99" w:right="14"/>
              <w:jc w:val="center"/>
              <w:rPr>
                <w:sz w:val="17"/>
              </w:rPr>
            </w:pPr>
            <w:r>
              <w:rPr>
                <w:spacing w:val="-2"/>
                <w:sz w:val="17"/>
              </w:rPr>
              <w:t>-</w:t>
            </w:r>
            <w:r>
              <w:rPr>
                <w:spacing w:val="-5"/>
                <w:sz w:val="17"/>
              </w:rPr>
              <w:t>0.1</w:t>
            </w:r>
          </w:p>
        </w:tc>
        <w:tc>
          <w:tcPr>
            <w:tcW w:w="654" w:type="dxa"/>
            <w:tcBorders>
              <w:top w:val="single" w:color="DCDDDE" w:sz="4" w:space="0"/>
              <w:bottom w:val="single" w:color="DCDDDE" w:sz="4" w:space="0"/>
            </w:tcBorders>
          </w:tcPr>
          <w:p w:rsidR="00C31389" w:rsidRDefault="00561FBD" w14:paraId="321FBB00" w14:textId="77777777">
            <w:pPr>
              <w:pStyle w:val="TableParagraph"/>
              <w:spacing w:before="42"/>
              <w:ind w:right="135"/>
              <w:jc w:val="right"/>
              <w:rPr>
                <w:sz w:val="17"/>
              </w:rPr>
            </w:pPr>
            <w:r>
              <w:rPr>
                <w:spacing w:val="-2"/>
                <w:sz w:val="17"/>
              </w:rPr>
              <w:t>-</w:t>
            </w:r>
            <w:r>
              <w:rPr>
                <w:spacing w:val="-5"/>
                <w:sz w:val="17"/>
              </w:rPr>
              <w:t>0.1</w:t>
            </w:r>
          </w:p>
        </w:tc>
        <w:tc>
          <w:tcPr>
            <w:tcW w:w="654" w:type="dxa"/>
            <w:tcBorders>
              <w:top w:val="single" w:color="DCDDDE" w:sz="4" w:space="0"/>
              <w:bottom w:val="single" w:color="DCDDDE" w:sz="4" w:space="0"/>
            </w:tcBorders>
          </w:tcPr>
          <w:p w:rsidR="00C31389" w:rsidRDefault="00561FBD" w14:paraId="0655C073" w14:textId="77777777">
            <w:pPr>
              <w:pStyle w:val="TableParagraph"/>
              <w:spacing w:before="42"/>
              <w:ind w:right="135"/>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22C4C044" w14:textId="77777777">
            <w:pPr>
              <w:pStyle w:val="TableParagraph"/>
              <w:spacing w:before="42"/>
              <w:ind w:left="99" w:right="11"/>
              <w:jc w:val="center"/>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7110A4ED" w14:textId="77777777">
            <w:pPr>
              <w:pStyle w:val="TableParagraph"/>
              <w:spacing w:before="42"/>
              <w:ind w:right="134"/>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26940917" w14:textId="77777777">
            <w:pPr>
              <w:pStyle w:val="TableParagraph"/>
              <w:spacing w:before="42"/>
              <w:ind w:right="134"/>
              <w:jc w:val="right"/>
              <w:rPr>
                <w:sz w:val="17"/>
              </w:rPr>
            </w:pPr>
            <w:r>
              <w:rPr>
                <w:spacing w:val="-5"/>
                <w:sz w:val="17"/>
              </w:rPr>
              <w:t>0.1</w:t>
            </w:r>
          </w:p>
        </w:tc>
        <w:tc>
          <w:tcPr>
            <w:tcW w:w="655" w:type="dxa"/>
            <w:tcBorders>
              <w:top w:val="single" w:color="DCDDDE" w:sz="4" w:space="0"/>
              <w:bottom w:val="single" w:color="DCDDDE" w:sz="4" w:space="0"/>
            </w:tcBorders>
          </w:tcPr>
          <w:p w:rsidR="00C31389" w:rsidRDefault="00561FBD" w14:paraId="182D8DE7" w14:textId="77777777">
            <w:pPr>
              <w:pStyle w:val="TableParagraph"/>
              <w:spacing w:before="42"/>
              <w:ind w:left="236" w:right="90"/>
              <w:jc w:val="center"/>
              <w:rPr>
                <w:sz w:val="17"/>
              </w:rPr>
            </w:pPr>
            <w:r>
              <w:rPr>
                <w:spacing w:val="-5"/>
                <w:sz w:val="17"/>
              </w:rPr>
              <w:t>0.1</w:t>
            </w:r>
          </w:p>
        </w:tc>
        <w:tc>
          <w:tcPr>
            <w:tcW w:w="654" w:type="dxa"/>
            <w:tcBorders>
              <w:top w:val="single" w:color="DCDDDE" w:sz="4" w:space="0"/>
              <w:bottom w:val="single" w:color="DCDDDE" w:sz="4" w:space="0"/>
            </w:tcBorders>
          </w:tcPr>
          <w:p w:rsidR="00C31389" w:rsidRDefault="00561FBD" w14:paraId="26A98287" w14:textId="77777777">
            <w:pPr>
              <w:pStyle w:val="TableParagraph"/>
              <w:spacing w:before="42"/>
              <w:ind w:right="133"/>
              <w:jc w:val="right"/>
              <w:rPr>
                <w:sz w:val="17"/>
              </w:rPr>
            </w:pPr>
            <w:r>
              <w:rPr>
                <w:spacing w:val="-5"/>
                <w:sz w:val="17"/>
              </w:rPr>
              <w:t>0.1</w:t>
            </w:r>
          </w:p>
        </w:tc>
        <w:tc>
          <w:tcPr>
            <w:tcW w:w="654" w:type="dxa"/>
            <w:tcBorders>
              <w:top w:val="single" w:color="DCDDDE" w:sz="4" w:space="0"/>
              <w:bottom w:val="single" w:color="DCDDDE" w:sz="4" w:space="0"/>
            </w:tcBorders>
          </w:tcPr>
          <w:p w:rsidR="00C31389" w:rsidRDefault="00561FBD" w14:paraId="500143F1" w14:textId="77777777">
            <w:pPr>
              <w:pStyle w:val="TableParagraph"/>
              <w:spacing w:before="42"/>
              <w:ind w:left="269" w:right="122"/>
              <w:jc w:val="center"/>
              <w:rPr>
                <w:sz w:val="17"/>
              </w:rPr>
            </w:pPr>
            <w:r>
              <w:rPr>
                <w:spacing w:val="-5"/>
                <w:sz w:val="17"/>
              </w:rPr>
              <w:t>0.1</w:t>
            </w:r>
          </w:p>
        </w:tc>
        <w:tc>
          <w:tcPr>
            <w:tcW w:w="655" w:type="dxa"/>
            <w:tcBorders>
              <w:top w:val="single" w:color="DCDDDE" w:sz="4" w:space="0"/>
              <w:bottom w:val="single" w:color="DCDDDE" w:sz="4" w:space="0"/>
            </w:tcBorders>
          </w:tcPr>
          <w:p w:rsidR="00C31389" w:rsidRDefault="00561FBD" w14:paraId="5B9858A7" w14:textId="77777777">
            <w:pPr>
              <w:pStyle w:val="TableParagraph"/>
              <w:spacing w:before="42"/>
              <w:ind w:left="236" w:right="88"/>
              <w:jc w:val="center"/>
              <w:rPr>
                <w:sz w:val="17"/>
              </w:rPr>
            </w:pPr>
            <w:r>
              <w:rPr>
                <w:spacing w:val="-5"/>
                <w:sz w:val="17"/>
              </w:rPr>
              <w:t>0.1</w:t>
            </w:r>
          </w:p>
        </w:tc>
        <w:tc>
          <w:tcPr>
            <w:tcW w:w="624" w:type="dxa"/>
            <w:tcBorders>
              <w:top w:val="single" w:color="DCDDDE" w:sz="4" w:space="0"/>
              <w:bottom w:val="single" w:color="DCDDDE" w:sz="4" w:space="0"/>
            </w:tcBorders>
          </w:tcPr>
          <w:p w:rsidR="00C31389" w:rsidRDefault="00561FBD" w14:paraId="7E8DF247" w14:textId="77777777">
            <w:pPr>
              <w:pStyle w:val="TableParagraph"/>
              <w:spacing w:before="42"/>
              <w:ind w:right="101"/>
              <w:jc w:val="right"/>
              <w:rPr>
                <w:sz w:val="17"/>
              </w:rPr>
            </w:pPr>
            <w:r>
              <w:rPr>
                <w:spacing w:val="-5"/>
                <w:sz w:val="17"/>
              </w:rPr>
              <w:t>0.1</w:t>
            </w:r>
          </w:p>
        </w:tc>
      </w:tr>
      <w:tr w:rsidR="00C31389" w14:paraId="6088AB31" w14:textId="77777777">
        <w:trPr>
          <w:trHeight w:val="276"/>
        </w:trPr>
        <w:tc>
          <w:tcPr>
            <w:tcW w:w="1130" w:type="dxa"/>
            <w:tcBorders>
              <w:top w:val="single" w:color="DCDDDE" w:sz="4" w:space="0"/>
              <w:bottom w:val="single" w:color="DCDDDE" w:sz="4" w:space="0"/>
            </w:tcBorders>
          </w:tcPr>
          <w:p w:rsidR="00C31389" w:rsidRDefault="00561FBD" w14:paraId="2DA7CF7C" w14:textId="77777777">
            <w:pPr>
              <w:pStyle w:val="TableParagraph"/>
              <w:spacing w:before="42"/>
              <w:ind w:left="122"/>
              <w:rPr>
                <w:sz w:val="17"/>
              </w:rPr>
            </w:pPr>
            <w:r>
              <w:rPr>
                <w:spacing w:val="-4"/>
                <w:sz w:val="17"/>
              </w:rPr>
              <w:t>BROs</w:t>
            </w:r>
          </w:p>
        </w:tc>
        <w:tc>
          <w:tcPr>
            <w:tcW w:w="1070" w:type="dxa"/>
            <w:tcBorders>
              <w:top w:val="single" w:color="DCDDDE" w:sz="4" w:space="0"/>
              <w:bottom w:val="single" w:color="DCDDDE" w:sz="4" w:space="0"/>
            </w:tcBorders>
          </w:tcPr>
          <w:p w:rsidR="00C31389" w:rsidRDefault="00561FBD" w14:paraId="19CF8BA3" w14:textId="77777777">
            <w:pPr>
              <w:pStyle w:val="TableParagraph"/>
              <w:spacing w:before="42"/>
              <w:ind w:right="136"/>
              <w:jc w:val="right"/>
              <w:rPr>
                <w:sz w:val="17"/>
              </w:rPr>
            </w:pPr>
            <w:r>
              <w:rPr>
                <w:spacing w:val="-4"/>
                <w:sz w:val="17"/>
              </w:rPr>
              <w:t>35.1</w:t>
            </w:r>
          </w:p>
        </w:tc>
        <w:tc>
          <w:tcPr>
            <w:tcW w:w="655" w:type="dxa"/>
            <w:tcBorders>
              <w:top w:val="single" w:color="DCDDDE" w:sz="4" w:space="0"/>
              <w:bottom w:val="single" w:color="DCDDDE" w:sz="4" w:space="0"/>
            </w:tcBorders>
          </w:tcPr>
          <w:p w:rsidR="00C31389" w:rsidRDefault="00561FBD" w14:paraId="4A2C998C" w14:textId="77777777">
            <w:pPr>
              <w:pStyle w:val="TableParagraph"/>
              <w:spacing w:before="42"/>
              <w:ind w:left="99" w:right="52"/>
              <w:jc w:val="center"/>
              <w:rPr>
                <w:sz w:val="17"/>
              </w:rPr>
            </w:pPr>
            <w:r>
              <w:rPr>
                <w:spacing w:val="-4"/>
                <w:sz w:val="17"/>
              </w:rPr>
              <w:t>36.5</w:t>
            </w:r>
          </w:p>
        </w:tc>
        <w:tc>
          <w:tcPr>
            <w:tcW w:w="654" w:type="dxa"/>
            <w:tcBorders>
              <w:top w:val="single" w:color="DCDDDE" w:sz="4" w:space="0"/>
              <w:bottom w:val="single" w:color="DCDDDE" w:sz="4" w:space="0"/>
            </w:tcBorders>
          </w:tcPr>
          <w:p w:rsidR="00C31389" w:rsidRDefault="00561FBD" w14:paraId="2C0B6594" w14:textId="77777777">
            <w:pPr>
              <w:pStyle w:val="TableParagraph"/>
              <w:spacing w:before="42"/>
              <w:ind w:right="135"/>
              <w:jc w:val="right"/>
              <w:rPr>
                <w:sz w:val="17"/>
              </w:rPr>
            </w:pPr>
            <w:r>
              <w:rPr>
                <w:spacing w:val="-4"/>
                <w:sz w:val="17"/>
              </w:rPr>
              <w:t>38.0</w:t>
            </w:r>
          </w:p>
        </w:tc>
        <w:tc>
          <w:tcPr>
            <w:tcW w:w="654" w:type="dxa"/>
            <w:tcBorders>
              <w:top w:val="single" w:color="DCDDDE" w:sz="4" w:space="0"/>
              <w:bottom w:val="single" w:color="DCDDDE" w:sz="4" w:space="0"/>
            </w:tcBorders>
          </w:tcPr>
          <w:p w:rsidR="00C31389" w:rsidRDefault="00561FBD" w14:paraId="4C44B0D0" w14:textId="77777777">
            <w:pPr>
              <w:pStyle w:val="TableParagraph"/>
              <w:spacing w:before="42"/>
              <w:ind w:right="135"/>
              <w:jc w:val="right"/>
              <w:rPr>
                <w:sz w:val="17"/>
              </w:rPr>
            </w:pPr>
            <w:r>
              <w:rPr>
                <w:spacing w:val="-4"/>
                <w:sz w:val="17"/>
              </w:rPr>
              <w:t>39.5</w:t>
            </w:r>
          </w:p>
        </w:tc>
        <w:tc>
          <w:tcPr>
            <w:tcW w:w="655" w:type="dxa"/>
            <w:tcBorders>
              <w:top w:val="single" w:color="DCDDDE" w:sz="4" w:space="0"/>
              <w:bottom w:val="single" w:color="DCDDDE" w:sz="4" w:space="0"/>
            </w:tcBorders>
          </w:tcPr>
          <w:p w:rsidR="00C31389" w:rsidRDefault="00561FBD" w14:paraId="023FF16F" w14:textId="77777777">
            <w:pPr>
              <w:pStyle w:val="TableParagraph"/>
              <w:spacing w:before="42"/>
              <w:ind w:left="99" w:right="49"/>
              <w:jc w:val="center"/>
              <w:rPr>
                <w:sz w:val="17"/>
              </w:rPr>
            </w:pPr>
            <w:r>
              <w:rPr>
                <w:spacing w:val="-4"/>
                <w:sz w:val="17"/>
              </w:rPr>
              <w:t>41.0</w:t>
            </w:r>
          </w:p>
        </w:tc>
        <w:tc>
          <w:tcPr>
            <w:tcW w:w="655" w:type="dxa"/>
            <w:tcBorders>
              <w:top w:val="single" w:color="DCDDDE" w:sz="4" w:space="0"/>
              <w:bottom w:val="single" w:color="DCDDDE" w:sz="4" w:space="0"/>
            </w:tcBorders>
          </w:tcPr>
          <w:p w:rsidR="00C31389" w:rsidRDefault="00561FBD" w14:paraId="6A1DE8F1" w14:textId="77777777">
            <w:pPr>
              <w:pStyle w:val="TableParagraph"/>
              <w:spacing w:before="42"/>
              <w:ind w:right="134"/>
              <w:jc w:val="right"/>
              <w:rPr>
                <w:sz w:val="17"/>
              </w:rPr>
            </w:pPr>
            <w:r>
              <w:rPr>
                <w:spacing w:val="-4"/>
                <w:sz w:val="17"/>
              </w:rPr>
              <w:t>42.6</w:t>
            </w:r>
          </w:p>
        </w:tc>
        <w:tc>
          <w:tcPr>
            <w:tcW w:w="655" w:type="dxa"/>
            <w:tcBorders>
              <w:top w:val="single" w:color="DCDDDE" w:sz="4" w:space="0"/>
              <w:bottom w:val="single" w:color="DCDDDE" w:sz="4" w:space="0"/>
            </w:tcBorders>
          </w:tcPr>
          <w:p w:rsidR="00C31389" w:rsidRDefault="00561FBD" w14:paraId="187E598B" w14:textId="77777777">
            <w:pPr>
              <w:pStyle w:val="TableParagraph"/>
              <w:spacing w:before="42"/>
              <w:ind w:right="134"/>
              <w:jc w:val="right"/>
              <w:rPr>
                <w:sz w:val="17"/>
              </w:rPr>
            </w:pPr>
            <w:r>
              <w:rPr>
                <w:spacing w:val="-4"/>
                <w:sz w:val="17"/>
              </w:rPr>
              <w:t>44.4</w:t>
            </w:r>
          </w:p>
        </w:tc>
        <w:tc>
          <w:tcPr>
            <w:tcW w:w="655" w:type="dxa"/>
            <w:tcBorders>
              <w:top w:val="single" w:color="DCDDDE" w:sz="4" w:space="0"/>
              <w:bottom w:val="single" w:color="DCDDDE" w:sz="4" w:space="0"/>
            </w:tcBorders>
          </w:tcPr>
          <w:p w:rsidR="00C31389" w:rsidRDefault="00561FBD" w14:paraId="423DFADE" w14:textId="77777777">
            <w:pPr>
              <w:pStyle w:val="TableParagraph"/>
              <w:spacing w:before="42"/>
              <w:ind w:left="99" w:right="48"/>
              <w:jc w:val="center"/>
              <w:rPr>
                <w:sz w:val="17"/>
              </w:rPr>
            </w:pPr>
            <w:r>
              <w:rPr>
                <w:spacing w:val="-4"/>
                <w:sz w:val="17"/>
              </w:rPr>
              <w:t>46.2</w:t>
            </w:r>
          </w:p>
        </w:tc>
        <w:tc>
          <w:tcPr>
            <w:tcW w:w="654" w:type="dxa"/>
            <w:tcBorders>
              <w:top w:val="single" w:color="DCDDDE" w:sz="4" w:space="0"/>
              <w:bottom w:val="single" w:color="DCDDDE" w:sz="4" w:space="0"/>
            </w:tcBorders>
          </w:tcPr>
          <w:p w:rsidR="00C31389" w:rsidRDefault="00561FBD" w14:paraId="5ECDFA87" w14:textId="77777777">
            <w:pPr>
              <w:pStyle w:val="TableParagraph"/>
              <w:spacing w:before="42"/>
              <w:ind w:right="133"/>
              <w:jc w:val="right"/>
              <w:rPr>
                <w:sz w:val="17"/>
              </w:rPr>
            </w:pPr>
            <w:r>
              <w:rPr>
                <w:spacing w:val="-4"/>
                <w:sz w:val="17"/>
              </w:rPr>
              <w:t>48.1</w:t>
            </w:r>
          </w:p>
        </w:tc>
        <w:tc>
          <w:tcPr>
            <w:tcW w:w="654" w:type="dxa"/>
            <w:tcBorders>
              <w:top w:val="single" w:color="DCDDDE" w:sz="4" w:space="0"/>
              <w:bottom w:val="single" w:color="DCDDDE" w:sz="4" w:space="0"/>
            </w:tcBorders>
          </w:tcPr>
          <w:p w:rsidR="00C31389" w:rsidRDefault="00561FBD" w14:paraId="1F10EBC1" w14:textId="77777777">
            <w:pPr>
              <w:pStyle w:val="TableParagraph"/>
              <w:spacing w:before="42"/>
              <w:ind w:left="128" w:right="76"/>
              <w:jc w:val="center"/>
              <w:rPr>
                <w:sz w:val="17"/>
              </w:rPr>
            </w:pPr>
            <w:r>
              <w:rPr>
                <w:spacing w:val="-4"/>
                <w:sz w:val="17"/>
              </w:rPr>
              <w:t>50.0</w:t>
            </w:r>
          </w:p>
        </w:tc>
        <w:tc>
          <w:tcPr>
            <w:tcW w:w="655" w:type="dxa"/>
            <w:tcBorders>
              <w:top w:val="single" w:color="DCDDDE" w:sz="4" w:space="0"/>
              <w:bottom w:val="single" w:color="DCDDDE" w:sz="4" w:space="0"/>
            </w:tcBorders>
          </w:tcPr>
          <w:p w:rsidR="00C31389" w:rsidRDefault="00561FBD" w14:paraId="6731155D" w14:textId="77777777">
            <w:pPr>
              <w:pStyle w:val="TableParagraph"/>
              <w:spacing w:before="42"/>
              <w:ind w:left="99" w:right="45"/>
              <w:jc w:val="center"/>
              <w:rPr>
                <w:sz w:val="17"/>
              </w:rPr>
            </w:pPr>
            <w:r>
              <w:rPr>
                <w:spacing w:val="-4"/>
                <w:sz w:val="17"/>
              </w:rPr>
              <w:t>51.1</w:t>
            </w:r>
          </w:p>
        </w:tc>
        <w:tc>
          <w:tcPr>
            <w:tcW w:w="624" w:type="dxa"/>
            <w:tcBorders>
              <w:top w:val="single" w:color="DCDDDE" w:sz="4" w:space="0"/>
              <w:bottom w:val="single" w:color="DCDDDE" w:sz="4" w:space="0"/>
            </w:tcBorders>
          </w:tcPr>
          <w:p w:rsidR="00C31389" w:rsidRDefault="00561FBD" w14:paraId="610D9136" w14:textId="77777777">
            <w:pPr>
              <w:pStyle w:val="TableParagraph"/>
              <w:spacing w:before="42"/>
              <w:ind w:right="101"/>
              <w:jc w:val="right"/>
              <w:rPr>
                <w:sz w:val="17"/>
              </w:rPr>
            </w:pPr>
            <w:r>
              <w:rPr>
                <w:spacing w:val="-4"/>
                <w:sz w:val="17"/>
              </w:rPr>
              <w:t>53.3</w:t>
            </w:r>
          </w:p>
        </w:tc>
      </w:tr>
    </w:tbl>
    <w:p w:rsidR="00C31389" w:rsidRDefault="00C31389" w14:paraId="761C6A30" w14:textId="77777777">
      <w:pPr>
        <w:jc w:val="right"/>
        <w:rPr>
          <w:sz w:val="17"/>
        </w:rPr>
        <w:sectPr w:rsidR="00C31389">
          <w:pgSz w:w="12240" w:h="15840"/>
          <w:pgMar w:top="1380" w:right="1240" w:bottom="1120" w:left="1220" w:header="397" w:footer="936" w:gutter="0"/>
          <w:cols w:space="720"/>
        </w:sectPr>
      </w:pPr>
    </w:p>
    <w:p w:rsidR="00C31389" w:rsidRDefault="00C31389" w14:paraId="3B22A927"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427"/>
        <w:gridCol w:w="749"/>
        <w:gridCol w:w="655"/>
        <w:gridCol w:w="654"/>
        <w:gridCol w:w="654"/>
        <w:gridCol w:w="655"/>
        <w:gridCol w:w="655"/>
        <w:gridCol w:w="655"/>
        <w:gridCol w:w="655"/>
        <w:gridCol w:w="654"/>
        <w:gridCol w:w="678"/>
        <w:gridCol w:w="655"/>
        <w:gridCol w:w="624"/>
      </w:tblGrid>
      <w:tr w:rsidR="00C31389" w14:paraId="1E511BDA" w14:textId="77777777">
        <w:trPr>
          <w:trHeight w:val="252"/>
        </w:trPr>
        <w:tc>
          <w:tcPr>
            <w:tcW w:w="1427" w:type="dxa"/>
            <w:tcBorders>
              <w:top w:val="single" w:color="8B8B8B" w:sz="8" w:space="0"/>
            </w:tcBorders>
          </w:tcPr>
          <w:p w:rsidR="00C31389" w:rsidRDefault="00C31389" w14:paraId="3BBFFE6E" w14:textId="77777777">
            <w:pPr>
              <w:pStyle w:val="TableParagraph"/>
              <w:spacing w:before="0"/>
              <w:rPr>
                <w:rFonts w:ascii="Times New Roman"/>
                <w:sz w:val="16"/>
              </w:rPr>
            </w:pPr>
          </w:p>
        </w:tc>
        <w:tc>
          <w:tcPr>
            <w:tcW w:w="749" w:type="dxa"/>
            <w:tcBorders>
              <w:top w:val="single" w:color="8B8B8B" w:sz="8" w:space="0"/>
            </w:tcBorders>
          </w:tcPr>
          <w:p w:rsidR="00C31389" w:rsidRDefault="00C31389" w14:paraId="4F90A3D1"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7AE96B4E" w14:textId="77777777">
            <w:pPr>
              <w:pStyle w:val="TableParagraph"/>
              <w:spacing w:before="0"/>
              <w:rPr>
                <w:rFonts w:ascii="Times New Roman"/>
                <w:sz w:val="16"/>
              </w:rPr>
            </w:pPr>
          </w:p>
        </w:tc>
        <w:tc>
          <w:tcPr>
            <w:tcW w:w="654" w:type="dxa"/>
            <w:tcBorders>
              <w:top w:val="single" w:color="8B8B8B" w:sz="8" w:space="0"/>
            </w:tcBorders>
          </w:tcPr>
          <w:p w:rsidR="00C31389" w:rsidRDefault="00C31389" w14:paraId="67C67C21" w14:textId="77777777">
            <w:pPr>
              <w:pStyle w:val="TableParagraph"/>
              <w:spacing w:before="0"/>
              <w:rPr>
                <w:rFonts w:ascii="Times New Roman"/>
                <w:sz w:val="16"/>
              </w:rPr>
            </w:pPr>
          </w:p>
        </w:tc>
        <w:tc>
          <w:tcPr>
            <w:tcW w:w="654" w:type="dxa"/>
            <w:tcBorders>
              <w:top w:val="single" w:color="8B8B8B" w:sz="8" w:space="0"/>
            </w:tcBorders>
          </w:tcPr>
          <w:p w:rsidR="00C31389" w:rsidRDefault="00C31389" w14:paraId="4494F44D"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216D008C"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6DBAB4C7"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2EB61FCB"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1BEE7EFF" w14:textId="77777777">
            <w:pPr>
              <w:pStyle w:val="TableParagraph"/>
              <w:spacing w:before="0"/>
              <w:rPr>
                <w:rFonts w:ascii="Times New Roman"/>
                <w:sz w:val="16"/>
              </w:rPr>
            </w:pPr>
          </w:p>
        </w:tc>
        <w:tc>
          <w:tcPr>
            <w:tcW w:w="654" w:type="dxa"/>
            <w:tcBorders>
              <w:top w:val="single" w:color="8B8B8B" w:sz="8" w:space="0"/>
            </w:tcBorders>
          </w:tcPr>
          <w:p w:rsidR="00C31389" w:rsidRDefault="00C31389" w14:paraId="278AC4B8" w14:textId="77777777">
            <w:pPr>
              <w:pStyle w:val="TableParagraph"/>
              <w:spacing w:before="0"/>
              <w:rPr>
                <w:rFonts w:ascii="Times New Roman"/>
                <w:sz w:val="16"/>
              </w:rPr>
            </w:pPr>
          </w:p>
        </w:tc>
        <w:tc>
          <w:tcPr>
            <w:tcW w:w="678" w:type="dxa"/>
            <w:tcBorders>
              <w:top w:val="single" w:color="8B8B8B" w:sz="8" w:space="0"/>
            </w:tcBorders>
          </w:tcPr>
          <w:p w:rsidR="00C31389" w:rsidRDefault="00C31389" w14:paraId="11A996A5"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3204FC94" w14:textId="77777777">
            <w:pPr>
              <w:pStyle w:val="TableParagraph"/>
              <w:spacing w:before="0"/>
              <w:rPr>
                <w:rFonts w:ascii="Times New Roman"/>
                <w:sz w:val="16"/>
              </w:rPr>
            </w:pPr>
          </w:p>
        </w:tc>
        <w:tc>
          <w:tcPr>
            <w:tcW w:w="624" w:type="dxa"/>
            <w:tcBorders>
              <w:top w:val="single" w:color="8B8B8B" w:sz="8" w:space="0"/>
            </w:tcBorders>
          </w:tcPr>
          <w:p w:rsidR="00C31389" w:rsidRDefault="00C31389" w14:paraId="045A7BEE" w14:textId="77777777">
            <w:pPr>
              <w:pStyle w:val="TableParagraph"/>
              <w:spacing w:before="0"/>
              <w:rPr>
                <w:rFonts w:ascii="Times New Roman"/>
                <w:sz w:val="16"/>
              </w:rPr>
            </w:pPr>
          </w:p>
        </w:tc>
      </w:tr>
      <w:tr w:rsidR="00C31389" w14:paraId="6F804B9E" w14:textId="77777777">
        <w:trPr>
          <w:trHeight w:val="305"/>
        </w:trPr>
        <w:tc>
          <w:tcPr>
            <w:tcW w:w="1427" w:type="dxa"/>
            <w:shd w:val="clear" w:color="auto" w:fill="92D400"/>
          </w:tcPr>
          <w:p w:rsidR="00C31389" w:rsidRDefault="00561FBD" w14:paraId="28A62B20" w14:textId="77777777">
            <w:pPr>
              <w:pStyle w:val="TableParagraph"/>
              <w:spacing w:before="41"/>
              <w:ind w:left="122"/>
              <w:rPr>
                <w:b/>
                <w:sz w:val="17"/>
              </w:rPr>
            </w:pPr>
            <w:r>
              <w:rPr>
                <w:b/>
                <w:spacing w:val="-4"/>
                <w:sz w:val="17"/>
              </w:rPr>
              <w:t>Year</w:t>
            </w:r>
          </w:p>
        </w:tc>
        <w:tc>
          <w:tcPr>
            <w:tcW w:w="749" w:type="dxa"/>
            <w:shd w:val="clear" w:color="auto" w:fill="92D400"/>
          </w:tcPr>
          <w:p w:rsidR="00C31389" w:rsidRDefault="00561FBD" w14:paraId="09D1358F" w14:textId="77777777">
            <w:pPr>
              <w:pStyle w:val="TableParagraph"/>
              <w:spacing w:before="41"/>
              <w:ind w:right="111"/>
              <w:jc w:val="right"/>
              <w:rPr>
                <w:b/>
                <w:sz w:val="17"/>
              </w:rPr>
            </w:pPr>
            <w:r>
              <w:rPr>
                <w:b/>
                <w:spacing w:val="-4"/>
                <w:sz w:val="17"/>
              </w:rPr>
              <w:t>2024</w:t>
            </w:r>
          </w:p>
        </w:tc>
        <w:tc>
          <w:tcPr>
            <w:tcW w:w="655" w:type="dxa"/>
            <w:shd w:val="clear" w:color="auto" w:fill="92D400"/>
          </w:tcPr>
          <w:p w:rsidR="00C31389" w:rsidRDefault="00561FBD" w14:paraId="3A0054A4" w14:textId="77777777">
            <w:pPr>
              <w:pStyle w:val="TableParagraph"/>
              <w:spacing w:before="41"/>
              <w:ind w:left="99" w:right="50"/>
              <w:jc w:val="center"/>
              <w:rPr>
                <w:b/>
                <w:sz w:val="17"/>
              </w:rPr>
            </w:pPr>
            <w:r>
              <w:rPr>
                <w:b/>
                <w:spacing w:val="-4"/>
                <w:sz w:val="17"/>
              </w:rPr>
              <w:t>2025</w:t>
            </w:r>
          </w:p>
        </w:tc>
        <w:tc>
          <w:tcPr>
            <w:tcW w:w="654" w:type="dxa"/>
            <w:shd w:val="clear" w:color="auto" w:fill="92D400"/>
          </w:tcPr>
          <w:p w:rsidR="00C31389" w:rsidRDefault="00561FBD" w14:paraId="39BBD911" w14:textId="77777777">
            <w:pPr>
              <w:pStyle w:val="TableParagraph"/>
              <w:spacing w:before="41"/>
              <w:ind w:right="110"/>
              <w:jc w:val="right"/>
              <w:rPr>
                <w:b/>
                <w:sz w:val="17"/>
              </w:rPr>
            </w:pPr>
            <w:r>
              <w:rPr>
                <w:b/>
                <w:spacing w:val="-4"/>
                <w:sz w:val="17"/>
              </w:rPr>
              <w:t>2026</w:t>
            </w:r>
          </w:p>
        </w:tc>
        <w:tc>
          <w:tcPr>
            <w:tcW w:w="654" w:type="dxa"/>
            <w:shd w:val="clear" w:color="auto" w:fill="92D400"/>
          </w:tcPr>
          <w:p w:rsidR="00C31389" w:rsidRDefault="00561FBD" w14:paraId="76833192" w14:textId="77777777">
            <w:pPr>
              <w:pStyle w:val="TableParagraph"/>
              <w:spacing w:before="41"/>
              <w:ind w:right="110"/>
              <w:jc w:val="right"/>
              <w:rPr>
                <w:b/>
                <w:sz w:val="17"/>
              </w:rPr>
            </w:pPr>
            <w:r>
              <w:rPr>
                <w:b/>
                <w:spacing w:val="-4"/>
                <w:sz w:val="17"/>
              </w:rPr>
              <w:t>2027</w:t>
            </w:r>
          </w:p>
        </w:tc>
        <w:tc>
          <w:tcPr>
            <w:tcW w:w="655" w:type="dxa"/>
            <w:shd w:val="clear" w:color="auto" w:fill="92D400"/>
          </w:tcPr>
          <w:p w:rsidR="00C31389" w:rsidRDefault="00561FBD" w14:paraId="2211AA6C" w14:textId="77777777">
            <w:pPr>
              <w:pStyle w:val="TableParagraph"/>
              <w:spacing w:before="41"/>
              <w:ind w:right="109"/>
              <w:jc w:val="right"/>
              <w:rPr>
                <w:b/>
                <w:sz w:val="17"/>
              </w:rPr>
            </w:pPr>
            <w:r>
              <w:rPr>
                <w:b/>
                <w:spacing w:val="-4"/>
                <w:sz w:val="17"/>
              </w:rPr>
              <w:t>2028</w:t>
            </w:r>
          </w:p>
        </w:tc>
        <w:tc>
          <w:tcPr>
            <w:tcW w:w="655" w:type="dxa"/>
            <w:shd w:val="clear" w:color="auto" w:fill="92D400"/>
          </w:tcPr>
          <w:p w:rsidR="00C31389" w:rsidRDefault="00561FBD" w14:paraId="1AC3B8CB" w14:textId="77777777">
            <w:pPr>
              <w:pStyle w:val="TableParagraph"/>
              <w:spacing w:before="41"/>
              <w:ind w:left="99" w:right="47"/>
              <w:jc w:val="center"/>
              <w:rPr>
                <w:b/>
                <w:sz w:val="17"/>
              </w:rPr>
            </w:pPr>
            <w:r>
              <w:rPr>
                <w:b/>
                <w:spacing w:val="-4"/>
                <w:sz w:val="17"/>
              </w:rPr>
              <w:t>2029</w:t>
            </w:r>
          </w:p>
        </w:tc>
        <w:tc>
          <w:tcPr>
            <w:tcW w:w="655" w:type="dxa"/>
            <w:shd w:val="clear" w:color="auto" w:fill="92D400"/>
          </w:tcPr>
          <w:p w:rsidR="00C31389" w:rsidRDefault="00561FBD" w14:paraId="61950921" w14:textId="77777777">
            <w:pPr>
              <w:pStyle w:val="TableParagraph"/>
              <w:spacing w:before="41"/>
              <w:ind w:right="109"/>
              <w:jc w:val="right"/>
              <w:rPr>
                <w:b/>
                <w:sz w:val="17"/>
              </w:rPr>
            </w:pPr>
            <w:r>
              <w:rPr>
                <w:b/>
                <w:spacing w:val="-4"/>
                <w:sz w:val="17"/>
              </w:rPr>
              <w:t>2030</w:t>
            </w:r>
          </w:p>
        </w:tc>
        <w:tc>
          <w:tcPr>
            <w:tcW w:w="655" w:type="dxa"/>
            <w:shd w:val="clear" w:color="auto" w:fill="92D400"/>
          </w:tcPr>
          <w:p w:rsidR="00C31389" w:rsidRDefault="00561FBD" w14:paraId="2D8C1879" w14:textId="77777777">
            <w:pPr>
              <w:pStyle w:val="TableParagraph"/>
              <w:spacing w:before="41"/>
              <w:ind w:right="109"/>
              <w:jc w:val="right"/>
              <w:rPr>
                <w:b/>
                <w:sz w:val="17"/>
              </w:rPr>
            </w:pPr>
            <w:r>
              <w:rPr>
                <w:b/>
                <w:spacing w:val="-4"/>
                <w:sz w:val="17"/>
              </w:rPr>
              <w:t>2031</w:t>
            </w:r>
          </w:p>
        </w:tc>
        <w:tc>
          <w:tcPr>
            <w:tcW w:w="654" w:type="dxa"/>
            <w:shd w:val="clear" w:color="auto" w:fill="92D400"/>
          </w:tcPr>
          <w:p w:rsidR="00C31389" w:rsidRDefault="00561FBD" w14:paraId="7293997E" w14:textId="77777777">
            <w:pPr>
              <w:pStyle w:val="TableParagraph"/>
              <w:spacing w:before="41"/>
              <w:ind w:right="108"/>
              <w:jc w:val="right"/>
              <w:rPr>
                <w:b/>
                <w:sz w:val="17"/>
              </w:rPr>
            </w:pPr>
            <w:r>
              <w:rPr>
                <w:b/>
                <w:spacing w:val="-4"/>
                <w:sz w:val="17"/>
              </w:rPr>
              <w:t>2032</w:t>
            </w:r>
          </w:p>
        </w:tc>
        <w:tc>
          <w:tcPr>
            <w:tcW w:w="678" w:type="dxa"/>
            <w:shd w:val="clear" w:color="auto" w:fill="92D400"/>
          </w:tcPr>
          <w:p w:rsidR="00C31389" w:rsidRDefault="00561FBD" w14:paraId="2374782D" w14:textId="77777777">
            <w:pPr>
              <w:pStyle w:val="TableParagraph"/>
              <w:spacing w:before="41"/>
              <w:ind w:right="132"/>
              <w:jc w:val="right"/>
              <w:rPr>
                <w:b/>
                <w:sz w:val="17"/>
              </w:rPr>
            </w:pPr>
            <w:r>
              <w:rPr>
                <w:b/>
                <w:spacing w:val="-4"/>
                <w:sz w:val="17"/>
              </w:rPr>
              <w:t>2033</w:t>
            </w:r>
          </w:p>
        </w:tc>
        <w:tc>
          <w:tcPr>
            <w:tcW w:w="655" w:type="dxa"/>
            <w:shd w:val="clear" w:color="auto" w:fill="92D400"/>
          </w:tcPr>
          <w:p w:rsidR="00C31389" w:rsidRDefault="00561FBD" w14:paraId="4633247F" w14:textId="77777777">
            <w:pPr>
              <w:pStyle w:val="TableParagraph"/>
              <w:spacing w:before="41"/>
              <w:ind w:left="99" w:right="91"/>
              <w:jc w:val="center"/>
              <w:rPr>
                <w:b/>
                <w:sz w:val="17"/>
              </w:rPr>
            </w:pPr>
            <w:r>
              <w:rPr>
                <w:b/>
                <w:spacing w:val="-4"/>
                <w:sz w:val="17"/>
              </w:rPr>
              <w:t>2034</w:t>
            </w:r>
          </w:p>
        </w:tc>
        <w:tc>
          <w:tcPr>
            <w:tcW w:w="624" w:type="dxa"/>
            <w:shd w:val="clear" w:color="auto" w:fill="92D400"/>
          </w:tcPr>
          <w:p w:rsidR="00C31389" w:rsidRDefault="00561FBD" w14:paraId="330C0749" w14:textId="77777777">
            <w:pPr>
              <w:pStyle w:val="TableParagraph"/>
              <w:spacing w:before="41"/>
              <w:ind w:right="100"/>
              <w:jc w:val="right"/>
              <w:rPr>
                <w:b/>
                <w:sz w:val="17"/>
              </w:rPr>
            </w:pPr>
            <w:r>
              <w:rPr>
                <w:b/>
                <w:spacing w:val="-4"/>
                <w:sz w:val="17"/>
              </w:rPr>
              <w:t>2035</w:t>
            </w:r>
          </w:p>
        </w:tc>
      </w:tr>
      <w:tr w:rsidR="00C31389" w14:paraId="1C7EB853" w14:textId="77777777">
        <w:trPr>
          <w:trHeight w:val="254"/>
        </w:trPr>
        <w:tc>
          <w:tcPr>
            <w:tcW w:w="9370" w:type="dxa"/>
            <w:gridSpan w:val="13"/>
            <w:tcBorders>
              <w:bottom w:val="single" w:color="DCDDDE" w:sz="4" w:space="0"/>
            </w:tcBorders>
            <w:shd w:val="clear" w:color="auto" w:fill="BEBEBE"/>
          </w:tcPr>
          <w:p w:rsidR="00C31389" w:rsidRDefault="00561FBD" w14:paraId="27E1CCE8" w14:textId="77777777">
            <w:pPr>
              <w:pStyle w:val="TableParagraph"/>
              <w:spacing w:before="20"/>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4FFF0B60" w14:textId="77777777">
        <w:trPr>
          <w:trHeight w:val="275"/>
        </w:trPr>
        <w:tc>
          <w:tcPr>
            <w:tcW w:w="1427" w:type="dxa"/>
            <w:tcBorders>
              <w:top w:val="single" w:color="DCDDDE" w:sz="4" w:space="0"/>
              <w:bottom w:val="single" w:color="DCDDDE" w:sz="4" w:space="0"/>
            </w:tcBorders>
          </w:tcPr>
          <w:p w:rsidR="00C31389" w:rsidRDefault="00561FBD" w14:paraId="44720C0A" w14:textId="77777777">
            <w:pPr>
              <w:pStyle w:val="TableParagraph"/>
              <w:spacing w:before="42"/>
              <w:ind w:left="122"/>
              <w:rPr>
                <w:sz w:val="17"/>
              </w:rPr>
            </w:pPr>
            <w:r>
              <w:rPr>
                <w:spacing w:val="-5"/>
                <w:sz w:val="17"/>
              </w:rPr>
              <w:t>EE</w:t>
            </w:r>
          </w:p>
        </w:tc>
        <w:tc>
          <w:tcPr>
            <w:tcW w:w="749" w:type="dxa"/>
            <w:tcBorders>
              <w:top w:val="single" w:color="DCDDDE" w:sz="4" w:space="0"/>
              <w:bottom w:val="single" w:color="DCDDDE" w:sz="4" w:space="0"/>
            </w:tcBorders>
          </w:tcPr>
          <w:p w:rsidR="00C31389" w:rsidRDefault="00561FBD" w14:paraId="6644A4D6" w14:textId="77777777">
            <w:pPr>
              <w:pStyle w:val="TableParagraph"/>
              <w:spacing w:before="42"/>
              <w:ind w:right="112"/>
              <w:jc w:val="right"/>
              <w:rPr>
                <w:sz w:val="17"/>
              </w:rPr>
            </w:pPr>
            <w:r>
              <w:rPr>
                <w:spacing w:val="-4"/>
                <w:sz w:val="17"/>
              </w:rPr>
              <w:t>31.1</w:t>
            </w:r>
          </w:p>
        </w:tc>
        <w:tc>
          <w:tcPr>
            <w:tcW w:w="655" w:type="dxa"/>
            <w:tcBorders>
              <w:top w:val="single" w:color="DCDDDE" w:sz="4" w:space="0"/>
              <w:bottom w:val="single" w:color="DCDDDE" w:sz="4" w:space="0"/>
            </w:tcBorders>
          </w:tcPr>
          <w:p w:rsidR="00C31389" w:rsidRDefault="00561FBD" w14:paraId="72749156" w14:textId="77777777">
            <w:pPr>
              <w:pStyle w:val="TableParagraph"/>
              <w:spacing w:before="42"/>
              <w:ind w:left="99" w:right="4"/>
              <w:jc w:val="center"/>
              <w:rPr>
                <w:sz w:val="17"/>
              </w:rPr>
            </w:pPr>
            <w:r>
              <w:rPr>
                <w:spacing w:val="-4"/>
                <w:sz w:val="17"/>
              </w:rPr>
              <w:t>28.2</w:t>
            </w:r>
          </w:p>
        </w:tc>
        <w:tc>
          <w:tcPr>
            <w:tcW w:w="654" w:type="dxa"/>
            <w:tcBorders>
              <w:top w:val="single" w:color="DCDDDE" w:sz="4" w:space="0"/>
              <w:bottom w:val="single" w:color="DCDDDE" w:sz="4" w:space="0"/>
            </w:tcBorders>
          </w:tcPr>
          <w:p w:rsidR="00C31389" w:rsidRDefault="00561FBD" w14:paraId="7CF88A26" w14:textId="77777777">
            <w:pPr>
              <w:pStyle w:val="TableParagraph"/>
              <w:spacing w:before="42"/>
              <w:ind w:right="111"/>
              <w:jc w:val="right"/>
              <w:rPr>
                <w:sz w:val="17"/>
              </w:rPr>
            </w:pPr>
            <w:r>
              <w:rPr>
                <w:spacing w:val="-4"/>
                <w:sz w:val="17"/>
              </w:rPr>
              <w:t>23.5</w:t>
            </w:r>
          </w:p>
        </w:tc>
        <w:tc>
          <w:tcPr>
            <w:tcW w:w="654" w:type="dxa"/>
            <w:tcBorders>
              <w:top w:val="single" w:color="DCDDDE" w:sz="4" w:space="0"/>
              <w:bottom w:val="single" w:color="DCDDDE" w:sz="4" w:space="0"/>
            </w:tcBorders>
          </w:tcPr>
          <w:p w:rsidR="00C31389" w:rsidRDefault="00561FBD" w14:paraId="65D8C206" w14:textId="77777777">
            <w:pPr>
              <w:pStyle w:val="TableParagraph"/>
              <w:spacing w:before="42"/>
              <w:ind w:right="111"/>
              <w:jc w:val="right"/>
              <w:rPr>
                <w:sz w:val="17"/>
              </w:rPr>
            </w:pPr>
            <w:r>
              <w:rPr>
                <w:spacing w:val="-4"/>
                <w:sz w:val="17"/>
              </w:rPr>
              <w:t>18.6</w:t>
            </w:r>
          </w:p>
        </w:tc>
        <w:tc>
          <w:tcPr>
            <w:tcW w:w="655" w:type="dxa"/>
            <w:tcBorders>
              <w:top w:val="single" w:color="DCDDDE" w:sz="4" w:space="0"/>
              <w:bottom w:val="single" w:color="DCDDDE" w:sz="4" w:space="0"/>
            </w:tcBorders>
          </w:tcPr>
          <w:p w:rsidR="00C31389" w:rsidRDefault="00561FBD" w14:paraId="47984183" w14:textId="77777777">
            <w:pPr>
              <w:pStyle w:val="TableParagraph"/>
              <w:spacing w:before="42"/>
              <w:ind w:right="110"/>
              <w:jc w:val="right"/>
              <w:rPr>
                <w:sz w:val="17"/>
              </w:rPr>
            </w:pPr>
            <w:r>
              <w:rPr>
                <w:spacing w:val="-4"/>
                <w:sz w:val="17"/>
              </w:rPr>
              <w:t>17.0</w:t>
            </w:r>
          </w:p>
        </w:tc>
        <w:tc>
          <w:tcPr>
            <w:tcW w:w="655" w:type="dxa"/>
            <w:tcBorders>
              <w:top w:val="single" w:color="DCDDDE" w:sz="4" w:space="0"/>
              <w:bottom w:val="single" w:color="DCDDDE" w:sz="4" w:space="0"/>
            </w:tcBorders>
          </w:tcPr>
          <w:p w:rsidR="00C31389" w:rsidRDefault="00561FBD" w14:paraId="3716168E" w14:textId="77777777">
            <w:pPr>
              <w:pStyle w:val="TableParagraph"/>
              <w:spacing w:before="42"/>
              <w:ind w:left="99" w:right="1"/>
              <w:jc w:val="center"/>
              <w:rPr>
                <w:sz w:val="17"/>
              </w:rPr>
            </w:pPr>
            <w:r>
              <w:rPr>
                <w:spacing w:val="-4"/>
                <w:sz w:val="17"/>
              </w:rPr>
              <w:t>15.2</w:t>
            </w:r>
          </w:p>
        </w:tc>
        <w:tc>
          <w:tcPr>
            <w:tcW w:w="655" w:type="dxa"/>
            <w:tcBorders>
              <w:top w:val="single" w:color="DCDDDE" w:sz="4" w:space="0"/>
              <w:bottom w:val="single" w:color="DCDDDE" w:sz="4" w:space="0"/>
            </w:tcBorders>
          </w:tcPr>
          <w:p w:rsidR="00C31389" w:rsidRDefault="00561FBD" w14:paraId="656C28DD" w14:textId="77777777">
            <w:pPr>
              <w:pStyle w:val="TableParagraph"/>
              <w:spacing w:before="42"/>
              <w:ind w:right="110"/>
              <w:jc w:val="right"/>
              <w:rPr>
                <w:sz w:val="17"/>
              </w:rPr>
            </w:pPr>
            <w:r>
              <w:rPr>
                <w:spacing w:val="-4"/>
                <w:sz w:val="17"/>
              </w:rPr>
              <w:t>17.4</w:t>
            </w:r>
          </w:p>
        </w:tc>
        <w:tc>
          <w:tcPr>
            <w:tcW w:w="655" w:type="dxa"/>
            <w:tcBorders>
              <w:top w:val="single" w:color="DCDDDE" w:sz="4" w:space="0"/>
              <w:bottom w:val="single" w:color="DCDDDE" w:sz="4" w:space="0"/>
            </w:tcBorders>
          </w:tcPr>
          <w:p w:rsidR="00C31389" w:rsidRDefault="00561FBD" w14:paraId="016899FB" w14:textId="77777777">
            <w:pPr>
              <w:pStyle w:val="TableParagraph"/>
              <w:spacing w:before="42"/>
              <w:ind w:right="110"/>
              <w:jc w:val="right"/>
              <w:rPr>
                <w:sz w:val="17"/>
              </w:rPr>
            </w:pPr>
            <w:r>
              <w:rPr>
                <w:spacing w:val="-4"/>
                <w:sz w:val="17"/>
              </w:rPr>
              <w:t>13.7</w:t>
            </w:r>
          </w:p>
        </w:tc>
        <w:tc>
          <w:tcPr>
            <w:tcW w:w="654" w:type="dxa"/>
            <w:tcBorders>
              <w:top w:val="single" w:color="DCDDDE" w:sz="4" w:space="0"/>
              <w:bottom w:val="single" w:color="DCDDDE" w:sz="4" w:space="0"/>
            </w:tcBorders>
          </w:tcPr>
          <w:p w:rsidR="00C31389" w:rsidRDefault="00561FBD" w14:paraId="24E7D0AE" w14:textId="77777777">
            <w:pPr>
              <w:pStyle w:val="TableParagraph"/>
              <w:spacing w:before="42"/>
              <w:ind w:right="109"/>
              <w:jc w:val="right"/>
              <w:rPr>
                <w:sz w:val="17"/>
              </w:rPr>
            </w:pPr>
            <w:r>
              <w:rPr>
                <w:spacing w:val="-4"/>
                <w:sz w:val="17"/>
              </w:rPr>
              <w:t>13.2</w:t>
            </w:r>
          </w:p>
        </w:tc>
        <w:tc>
          <w:tcPr>
            <w:tcW w:w="678" w:type="dxa"/>
            <w:tcBorders>
              <w:top w:val="single" w:color="DCDDDE" w:sz="4" w:space="0"/>
              <w:bottom w:val="single" w:color="DCDDDE" w:sz="4" w:space="0"/>
            </w:tcBorders>
          </w:tcPr>
          <w:p w:rsidR="00C31389" w:rsidRDefault="00561FBD" w14:paraId="6C3D7A47" w14:textId="77777777">
            <w:pPr>
              <w:pStyle w:val="TableParagraph"/>
              <w:spacing w:before="42"/>
              <w:ind w:right="133"/>
              <w:jc w:val="right"/>
              <w:rPr>
                <w:sz w:val="17"/>
              </w:rPr>
            </w:pPr>
            <w:r>
              <w:rPr>
                <w:spacing w:val="-4"/>
                <w:sz w:val="17"/>
              </w:rPr>
              <w:t>12.3</w:t>
            </w:r>
          </w:p>
        </w:tc>
        <w:tc>
          <w:tcPr>
            <w:tcW w:w="655" w:type="dxa"/>
            <w:tcBorders>
              <w:top w:val="single" w:color="DCDDDE" w:sz="4" w:space="0"/>
              <w:bottom w:val="single" w:color="DCDDDE" w:sz="4" w:space="0"/>
            </w:tcBorders>
          </w:tcPr>
          <w:p w:rsidR="00C31389" w:rsidRDefault="00561FBD" w14:paraId="0D88DDAF" w14:textId="77777777">
            <w:pPr>
              <w:pStyle w:val="TableParagraph"/>
              <w:spacing w:before="42"/>
              <w:ind w:left="99" w:right="45"/>
              <w:jc w:val="center"/>
              <w:rPr>
                <w:sz w:val="17"/>
              </w:rPr>
            </w:pPr>
            <w:r>
              <w:rPr>
                <w:spacing w:val="-4"/>
                <w:sz w:val="17"/>
              </w:rPr>
              <w:t>12.0</w:t>
            </w:r>
          </w:p>
        </w:tc>
        <w:tc>
          <w:tcPr>
            <w:tcW w:w="624" w:type="dxa"/>
            <w:tcBorders>
              <w:top w:val="single" w:color="DCDDDE" w:sz="4" w:space="0"/>
              <w:bottom w:val="single" w:color="DCDDDE" w:sz="4" w:space="0"/>
            </w:tcBorders>
          </w:tcPr>
          <w:p w:rsidR="00C31389" w:rsidRDefault="00561FBD" w14:paraId="56AD4363" w14:textId="77777777">
            <w:pPr>
              <w:pStyle w:val="TableParagraph"/>
              <w:spacing w:before="42"/>
              <w:ind w:right="101"/>
              <w:jc w:val="right"/>
              <w:rPr>
                <w:sz w:val="17"/>
              </w:rPr>
            </w:pPr>
            <w:r>
              <w:rPr>
                <w:spacing w:val="-4"/>
                <w:sz w:val="17"/>
              </w:rPr>
              <w:t>11.9</w:t>
            </w:r>
          </w:p>
        </w:tc>
      </w:tr>
      <w:tr w:rsidR="00C31389" w14:paraId="0FC24DFC" w14:textId="77777777">
        <w:trPr>
          <w:trHeight w:val="275"/>
        </w:trPr>
        <w:tc>
          <w:tcPr>
            <w:tcW w:w="1427" w:type="dxa"/>
            <w:tcBorders>
              <w:top w:val="single" w:color="DCDDDE" w:sz="4" w:space="0"/>
              <w:bottom w:val="single" w:color="DCDDDE" w:sz="4" w:space="0"/>
            </w:tcBorders>
          </w:tcPr>
          <w:p w:rsidR="00C31389" w:rsidRDefault="00561FBD" w14:paraId="0664369F" w14:textId="77777777">
            <w:pPr>
              <w:pStyle w:val="TableParagraph"/>
              <w:spacing w:before="42"/>
              <w:ind w:left="122"/>
              <w:rPr>
                <w:sz w:val="17"/>
              </w:rPr>
            </w:pPr>
            <w:r>
              <w:rPr>
                <w:spacing w:val="-5"/>
                <w:sz w:val="17"/>
              </w:rPr>
              <w:t>FS</w:t>
            </w:r>
          </w:p>
        </w:tc>
        <w:tc>
          <w:tcPr>
            <w:tcW w:w="749" w:type="dxa"/>
            <w:tcBorders>
              <w:top w:val="single" w:color="DCDDDE" w:sz="4" w:space="0"/>
              <w:bottom w:val="single" w:color="DCDDDE" w:sz="4" w:space="0"/>
            </w:tcBorders>
          </w:tcPr>
          <w:p w:rsidR="00C31389" w:rsidRDefault="00561FBD" w14:paraId="4D9035F2" w14:textId="77777777">
            <w:pPr>
              <w:pStyle w:val="TableParagraph"/>
              <w:spacing w:before="42"/>
              <w:ind w:right="112"/>
              <w:jc w:val="right"/>
              <w:rPr>
                <w:sz w:val="17"/>
              </w:rPr>
            </w:pPr>
            <w:r>
              <w:rPr>
                <w:spacing w:val="-2"/>
                <w:sz w:val="17"/>
              </w:rPr>
              <w:t>-</w:t>
            </w:r>
            <w:r>
              <w:rPr>
                <w:spacing w:val="-5"/>
                <w:sz w:val="17"/>
              </w:rPr>
              <w:t>1.2</w:t>
            </w:r>
          </w:p>
        </w:tc>
        <w:tc>
          <w:tcPr>
            <w:tcW w:w="655" w:type="dxa"/>
            <w:tcBorders>
              <w:top w:val="single" w:color="DCDDDE" w:sz="4" w:space="0"/>
              <w:bottom w:val="single" w:color="DCDDDE" w:sz="4" w:space="0"/>
            </w:tcBorders>
          </w:tcPr>
          <w:p w:rsidR="00C31389" w:rsidRDefault="00561FBD" w14:paraId="307269FE" w14:textId="77777777">
            <w:pPr>
              <w:pStyle w:val="TableParagraph"/>
              <w:spacing w:before="42"/>
              <w:ind w:left="230" w:right="97"/>
              <w:jc w:val="center"/>
              <w:rPr>
                <w:sz w:val="17"/>
              </w:rPr>
            </w:pPr>
            <w:r>
              <w:rPr>
                <w:spacing w:val="-2"/>
                <w:sz w:val="17"/>
              </w:rPr>
              <w:t>-</w:t>
            </w:r>
            <w:r>
              <w:rPr>
                <w:spacing w:val="-5"/>
                <w:sz w:val="17"/>
              </w:rPr>
              <w:t>1.3</w:t>
            </w:r>
          </w:p>
        </w:tc>
        <w:tc>
          <w:tcPr>
            <w:tcW w:w="654" w:type="dxa"/>
            <w:tcBorders>
              <w:top w:val="single" w:color="DCDDDE" w:sz="4" w:space="0"/>
              <w:bottom w:val="single" w:color="DCDDDE" w:sz="4" w:space="0"/>
            </w:tcBorders>
          </w:tcPr>
          <w:p w:rsidR="00C31389" w:rsidRDefault="00561FBD" w14:paraId="30591063" w14:textId="77777777">
            <w:pPr>
              <w:pStyle w:val="TableParagraph"/>
              <w:spacing w:before="42"/>
              <w:ind w:right="111"/>
              <w:jc w:val="right"/>
              <w:rPr>
                <w:sz w:val="17"/>
              </w:rPr>
            </w:pPr>
            <w:r>
              <w:rPr>
                <w:spacing w:val="-2"/>
                <w:sz w:val="17"/>
              </w:rPr>
              <w:t>-</w:t>
            </w:r>
            <w:r>
              <w:rPr>
                <w:spacing w:val="-5"/>
                <w:sz w:val="17"/>
              </w:rPr>
              <w:t>1.4</w:t>
            </w:r>
          </w:p>
        </w:tc>
        <w:tc>
          <w:tcPr>
            <w:tcW w:w="654" w:type="dxa"/>
            <w:tcBorders>
              <w:top w:val="single" w:color="DCDDDE" w:sz="4" w:space="0"/>
              <w:bottom w:val="single" w:color="DCDDDE" w:sz="4" w:space="0"/>
            </w:tcBorders>
          </w:tcPr>
          <w:p w:rsidR="00C31389" w:rsidRDefault="00561FBD" w14:paraId="63D67B02" w14:textId="77777777">
            <w:pPr>
              <w:pStyle w:val="TableParagraph"/>
              <w:spacing w:before="42"/>
              <w:ind w:right="111"/>
              <w:jc w:val="right"/>
              <w:rPr>
                <w:sz w:val="17"/>
              </w:rPr>
            </w:pPr>
            <w:r>
              <w:rPr>
                <w:spacing w:val="-2"/>
                <w:sz w:val="17"/>
              </w:rPr>
              <w:t>-</w:t>
            </w:r>
            <w:r>
              <w:rPr>
                <w:spacing w:val="-5"/>
                <w:sz w:val="17"/>
              </w:rPr>
              <w:t>1.4</w:t>
            </w:r>
          </w:p>
        </w:tc>
        <w:tc>
          <w:tcPr>
            <w:tcW w:w="655" w:type="dxa"/>
            <w:tcBorders>
              <w:top w:val="single" w:color="DCDDDE" w:sz="4" w:space="0"/>
              <w:bottom w:val="single" w:color="DCDDDE" w:sz="4" w:space="0"/>
            </w:tcBorders>
          </w:tcPr>
          <w:p w:rsidR="00C31389" w:rsidRDefault="00561FBD" w14:paraId="3639DBC9" w14:textId="77777777">
            <w:pPr>
              <w:pStyle w:val="TableParagraph"/>
              <w:spacing w:before="42"/>
              <w:ind w:right="110"/>
              <w:jc w:val="right"/>
              <w:rPr>
                <w:sz w:val="17"/>
              </w:rPr>
            </w:pPr>
            <w:r>
              <w:rPr>
                <w:spacing w:val="-2"/>
                <w:sz w:val="17"/>
              </w:rPr>
              <w:t>-</w:t>
            </w:r>
            <w:r>
              <w:rPr>
                <w:spacing w:val="-5"/>
                <w:sz w:val="17"/>
              </w:rPr>
              <w:t>1.5</w:t>
            </w:r>
          </w:p>
        </w:tc>
        <w:tc>
          <w:tcPr>
            <w:tcW w:w="655" w:type="dxa"/>
            <w:tcBorders>
              <w:top w:val="single" w:color="DCDDDE" w:sz="4" w:space="0"/>
              <w:bottom w:val="single" w:color="DCDDDE" w:sz="4" w:space="0"/>
            </w:tcBorders>
          </w:tcPr>
          <w:p w:rsidR="00C31389" w:rsidRDefault="00561FBD" w14:paraId="64B1829D" w14:textId="77777777">
            <w:pPr>
              <w:pStyle w:val="TableParagraph"/>
              <w:spacing w:before="42"/>
              <w:ind w:left="233" w:right="97"/>
              <w:jc w:val="center"/>
              <w:rPr>
                <w:sz w:val="17"/>
              </w:rPr>
            </w:pPr>
            <w:r>
              <w:rPr>
                <w:spacing w:val="-2"/>
                <w:sz w:val="17"/>
              </w:rPr>
              <w:t>-</w:t>
            </w:r>
            <w:r>
              <w:rPr>
                <w:spacing w:val="-5"/>
                <w:sz w:val="17"/>
              </w:rPr>
              <w:t>1.5</w:t>
            </w:r>
          </w:p>
        </w:tc>
        <w:tc>
          <w:tcPr>
            <w:tcW w:w="655" w:type="dxa"/>
            <w:tcBorders>
              <w:top w:val="single" w:color="DCDDDE" w:sz="4" w:space="0"/>
              <w:bottom w:val="single" w:color="DCDDDE" w:sz="4" w:space="0"/>
            </w:tcBorders>
          </w:tcPr>
          <w:p w:rsidR="00C31389" w:rsidRDefault="00561FBD" w14:paraId="08EC9DA6" w14:textId="77777777">
            <w:pPr>
              <w:pStyle w:val="TableParagraph"/>
              <w:spacing w:before="42"/>
              <w:ind w:right="110"/>
              <w:jc w:val="right"/>
              <w:rPr>
                <w:sz w:val="17"/>
              </w:rPr>
            </w:pPr>
            <w:r>
              <w:rPr>
                <w:spacing w:val="-5"/>
                <w:sz w:val="17"/>
              </w:rPr>
              <w:t>1.8</w:t>
            </w:r>
          </w:p>
        </w:tc>
        <w:tc>
          <w:tcPr>
            <w:tcW w:w="655" w:type="dxa"/>
            <w:tcBorders>
              <w:top w:val="single" w:color="DCDDDE" w:sz="4" w:space="0"/>
              <w:bottom w:val="single" w:color="DCDDDE" w:sz="4" w:space="0"/>
            </w:tcBorders>
          </w:tcPr>
          <w:p w:rsidR="00C31389" w:rsidRDefault="00561FBD" w14:paraId="7868B042" w14:textId="77777777">
            <w:pPr>
              <w:pStyle w:val="TableParagraph"/>
              <w:spacing w:before="42"/>
              <w:ind w:right="110"/>
              <w:jc w:val="right"/>
              <w:rPr>
                <w:sz w:val="17"/>
              </w:rPr>
            </w:pPr>
            <w:r>
              <w:rPr>
                <w:spacing w:val="-5"/>
                <w:sz w:val="17"/>
              </w:rPr>
              <w:t>2.2</w:t>
            </w:r>
          </w:p>
        </w:tc>
        <w:tc>
          <w:tcPr>
            <w:tcW w:w="654" w:type="dxa"/>
            <w:tcBorders>
              <w:top w:val="single" w:color="DCDDDE" w:sz="4" w:space="0"/>
              <w:bottom w:val="single" w:color="DCDDDE" w:sz="4" w:space="0"/>
            </w:tcBorders>
          </w:tcPr>
          <w:p w:rsidR="00C31389" w:rsidRDefault="00561FBD" w14:paraId="633ED4B4" w14:textId="77777777">
            <w:pPr>
              <w:pStyle w:val="TableParagraph"/>
              <w:spacing w:before="42"/>
              <w:ind w:right="109"/>
              <w:jc w:val="right"/>
              <w:rPr>
                <w:sz w:val="17"/>
              </w:rPr>
            </w:pPr>
            <w:r>
              <w:rPr>
                <w:spacing w:val="-5"/>
                <w:sz w:val="17"/>
              </w:rPr>
              <w:t>2.5</w:t>
            </w:r>
          </w:p>
        </w:tc>
        <w:tc>
          <w:tcPr>
            <w:tcW w:w="678" w:type="dxa"/>
            <w:tcBorders>
              <w:top w:val="single" w:color="DCDDDE" w:sz="4" w:space="0"/>
              <w:bottom w:val="single" w:color="DCDDDE" w:sz="4" w:space="0"/>
            </w:tcBorders>
          </w:tcPr>
          <w:p w:rsidR="00C31389" w:rsidRDefault="00561FBD" w14:paraId="7C72D9A0" w14:textId="77777777">
            <w:pPr>
              <w:pStyle w:val="TableParagraph"/>
              <w:spacing w:before="42"/>
              <w:ind w:right="133"/>
              <w:jc w:val="right"/>
              <w:rPr>
                <w:sz w:val="17"/>
              </w:rPr>
            </w:pPr>
            <w:r>
              <w:rPr>
                <w:spacing w:val="-5"/>
                <w:sz w:val="17"/>
              </w:rPr>
              <w:t>2.4</w:t>
            </w:r>
          </w:p>
        </w:tc>
        <w:tc>
          <w:tcPr>
            <w:tcW w:w="655" w:type="dxa"/>
            <w:tcBorders>
              <w:top w:val="single" w:color="DCDDDE" w:sz="4" w:space="0"/>
              <w:bottom w:val="single" w:color="DCDDDE" w:sz="4" w:space="0"/>
            </w:tcBorders>
          </w:tcPr>
          <w:p w:rsidR="00C31389" w:rsidRDefault="00561FBD" w14:paraId="5D13BFF7" w14:textId="77777777">
            <w:pPr>
              <w:pStyle w:val="TableParagraph"/>
              <w:spacing w:before="42"/>
              <w:ind w:left="236" w:right="88"/>
              <w:jc w:val="center"/>
              <w:rPr>
                <w:sz w:val="17"/>
              </w:rPr>
            </w:pPr>
            <w:r>
              <w:rPr>
                <w:spacing w:val="-5"/>
                <w:sz w:val="17"/>
              </w:rPr>
              <w:t>2.6</w:t>
            </w:r>
          </w:p>
        </w:tc>
        <w:tc>
          <w:tcPr>
            <w:tcW w:w="624" w:type="dxa"/>
            <w:tcBorders>
              <w:top w:val="single" w:color="DCDDDE" w:sz="4" w:space="0"/>
              <w:bottom w:val="single" w:color="DCDDDE" w:sz="4" w:space="0"/>
            </w:tcBorders>
          </w:tcPr>
          <w:p w:rsidR="00C31389" w:rsidRDefault="00561FBD" w14:paraId="59B855D9" w14:textId="77777777">
            <w:pPr>
              <w:pStyle w:val="TableParagraph"/>
              <w:spacing w:before="42"/>
              <w:ind w:right="101"/>
              <w:jc w:val="right"/>
              <w:rPr>
                <w:sz w:val="17"/>
              </w:rPr>
            </w:pPr>
            <w:r>
              <w:rPr>
                <w:spacing w:val="-5"/>
                <w:sz w:val="17"/>
              </w:rPr>
              <w:t>2.7</w:t>
            </w:r>
          </w:p>
        </w:tc>
      </w:tr>
      <w:tr w:rsidR="00C31389" w14:paraId="097749DA" w14:textId="77777777">
        <w:trPr>
          <w:trHeight w:val="275"/>
        </w:trPr>
        <w:tc>
          <w:tcPr>
            <w:tcW w:w="1427" w:type="dxa"/>
            <w:tcBorders>
              <w:top w:val="single" w:color="DCDDDE" w:sz="4" w:space="0"/>
              <w:bottom w:val="single" w:color="DCDDDE" w:sz="4" w:space="0"/>
            </w:tcBorders>
          </w:tcPr>
          <w:p w:rsidR="00C31389" w:rsidRDefault="00561FBD" w14:paraId="2C368275" w14:textId="77777777">
            <w:pPr>
              <w:pStyle w:val="TableParagraph"/>
              <w:spacing w:before="42"/>
              <w:ind w:left="122"/>
              <w:rPr>
                <w:sz w:val="17"/>
              </w:rPr>
            </w:pPr>
            <w:r>
              <w:rPr>
                <w:spacing w:val="-4"/>
                <w:sz w:val="17"/>
              </w:rPr>
              <w:t>BROs</w:t>
            </w:r>
          </w:p>
        </w:tc>
        <w:tc>
          <w:tcPr>
            <w:tcW w:w="749" w:type="dxa"/>
            <w:tcBorders>
              <w:top w:val="single" w:color="DCDDDE" w:sz="4" w:space="0"/>
              <w:bottom w:val="single" w:color="DCDDDE" w:sz="4" w:space="0"/>
            </w:tcBorders>
          </w:tcPr>
          <w:p w:rsidR="00C31389" w:rsidRDefault="00561FBD" w14:paraId="4237880A" w14:textId="77777777">
            <w:pPr>
              <w:pStyle w:val="TableParagraph"/>
              <w:spacing w:before="42"/>
              <w:ind w:right="112"/>
              <w:jc w:val="right"/>
              <w:rPr>
                <w:sz w:val="17"/>
              </w:rPr>
            </w:pPr>
            <w:r>
              <w:rPr>
                <w:spacing w:val="-4"/>
                <w:sz w:val="17"/>
              </w:rPr>
              <w:t>35.1</w:t>
            </w:r>
          </w:p>
        </w:tc>
        <w:tc>
          <w:tcPr>
            <w:tcW w:w="655" w:type="dxa"/>
            <w:tcBorders>
              <w:top w:val="single" w:color="DCDDDE" w:sz="4" w:space="0"/>
              <w:bottom w:val="single" w:color="DCDDDE" w:sz="4" w:space="0"/>
            </w:tcBorders>
          </w:tcPr>
          <w:p w:rsidR="00C31389" w:rsidRDefault="00561FBD" w14:paraId="676AB0B0" w14:textId="77777777">
            <w:pPr>
              <w:pStyle w:val="TableParagraph"/>
              <w:spacing w:before="42"/>
              <w:ind w:left="99" w:right="4"/>
              <w:jc w:val="center"/>
              <w:rPr>
                <w:sz w:val="17"/>
              </w:rPr>
            </w:pPr>
            <w:r>
              <w:rPr>
                <w:spacing w:val="-4"/>
                <w:sz w:val="17"/>
              </w:rPr>
              <w:t>36.5</w:t>
            </w:r>
          </w:p>
        </w:tc>
        <w:tc>
          <w:tcPr>
            <w:tcW w:w="654" w:type="dxa"/>
            <w:tcBorders>
              <w:top w:val="single" w:color="DCDDDE" w:sz="4" w:space="0"/>
              <w:bottom w:val="single" w:color="DCDDDE" w:sz="4" w:space="0"/>
            </w:tcBorders>
          </w:tcPr>
          <w:p w:rsidR="00C31389" w:rsidRDefault="00561FBD" w14:paraId="03092D9A" w14:textId="77777777">
            <w:pPr>
              <w:pStyle w:val="TableParagraph"/>
              <w:spacing w:before="42"/>
              <w:ind w:right="111"/>
              <w:jc w:val="right"/>
              <w:rPr>
                <w:sz w:val="17"/>
              </w:rPr>
            </w:pPr>
            <w:r>
              <w:rPr>
                <w:spacing w:val="-4"/>
                <w:sz w:val="17"/>
              </w:rPr>
              <w:t>38.0</w:t>
            </w:r>
          </w:p>
        </w:tc>
        <w:tc>
          <w:tcPr>
            <w:tcW w:w="654" w:type="dxa"/>
            <w:tcBorders>
              <w:top w:val="single" w:color="DCDDDE" w:sz="4" w:space="0"/>
              <w:bottom w:val="single" w:color="DCDDDE" w:sz="4" w:space="0"/>
            </w:tcBorders>
          </w:tcPr>
          <w:p w:rsidR="00C31389" w:rsidRDefault="00561FBD" w14:paraId="1227225F" w14:textId="77777777">
            <w:pPr>
              <w:pStyle w:val="TableParagraph"/>
              <w:spacing w:before="42"/>
              <w:ind w:right="111"/>
              <w:jc w:val="right"/>
              <w:rPr>
                <w:sz w:val="17"/>
              </w:rPr>
            </w:pPr>
            <w:r>
              <w:rPr>
                <w:spacing w:val="-4"/>
                <w:sz w:val="17"/>
              </w:rPr>
              <w:t>39.5</w:t>
            </w:r>
          </w:p>
        </w:tc>
        <w:tc>
          <w:tcPr>
            <w:tcW w:w="655" w:type="dxa"/>
            <w:tcBorders>
              <w:top w:val="single" w:color="DCDDDE" w:sz="4" w:space="0"/>
              <w:bottom w:val="single" w:color="DCDDDE" w:sz="4" w:space="0"/>
            </w:tcBorders>
          </w:tcPr>
          <w:p w:rsidR="00C31389" w:rsidRDefault="00561FBD" w14:paraId="025E5D8D" w14:textId="77777777">
            <w:pPr>
              <w:pStyle w:val="TableParagraph"/>
              <w:spacing w:before="42"/>
              <w:ind w:right="110"/>
              <w:jc w:val="right"/>
              <w:rPr>
                <w:sz w:val="17"/>
              </w:rPr>
            </w:pPr>
            <w:r>
              <w:rPr>
                <w:spacing w:val="-4"/>
                <w:sz w:val="17"/>
              </w:rPr>
              <w:t>41.0</w:t>
            </w:r>
          </w:p>
        </w:tc>
        <w:tc>
          <w:tcPr>
            <w:tcW w:w="655" w:type="dxa"/>
            <w:tcBorders>
              <w:top w:val="single" w:color="DCDDDE" w:sz="4" w:space="0"/>
              <w:bottom w:val="single" w:color="DCDDDE" w:sz="4" w:space="0"/>
            </w:tcBorders>
          </w:tcPr>
          <w:p w:rsidR="00C31389" w:rsidRDefault="00561FBD" w14:paraId="793795D4" w14:textId="77777777">
            <w:pPr>
              <w:pStyle w:val="TableParagraph"/>
              <w:spacing w:before="42"/>
              <w:ind w:left="99" w:right="1"/>
              <w:jc w:val="center"/>
              <w:rPr>
                <w:sz w:val="17"/>
              </w:rPr>
            </w:pPr>
            <w:r>
              <w:rPr>
                <w:spacing w:val="-4"/>
                <w:sz w:val="17"/>
              </w:rPr>
              <w:t>42.6</w:t>
            </w:r>
          </w:p>
        </w:tc>
        <w:tc>
          <w:tcPr>
            <w:tcW w:w="655" w:type="dxa"/>
            <w:tcBorders>
              <w:top w:val="single" w:color="DCDDDE" w:sz="4" w:space="0"/>
              <w:bottom w:val="single" w:color="DCDDDE" w:sz="4" w:space="0"/>
            </w:tcBorders>
          </w:tcPr>
          <w:p w:rsidR="00C31389" w:rsidRDefault="00561FBD" w14:paraId="647BDB47" w14:textId="77777777">
            <w:pPr>
              <w:pStyle w:val="TableParagraph"/>
              <w:spacing w:before="42"/>
              <w:ind w:right="110"/>
              <w:jc w:val="right"/>
              <w:rPr>
                <w:sz w:val="17"/>
              </w:rPr>
            </w:pPr>
            <w:r>
              <w:rPr>
                <w:spacing w:val="-4"/>
                <w:sz w:val="17"/>
              </w:rPr>
              <w:t>44.4</w:t>
            </w:r>
          </w:p>
        </w:tc>
        <w:tc>
          <w:tcPr>
            <w:tcW w:w="655" w:type="dxa"/>
            <w:tcBorders>
              <w:top w:val="single" w:color="DCDDDE" w:sz="4" w:space="0"/>
              <w:bottom w:val="single" w:color="DCDDDE" w:sz="4" w:space="0"/>
            </w:tcBorders>
          </w:tcPr>
          <w:p w:rsidR="00C31389" w:rsidRDefault="00561FBD" w14:paraId="7E982DE6" w14:textId="77777777">
            <w:pPr>
              <w:pStyle w:val="TableParagraph"/>
              <w:spacing w:before="42"/>
              <w:ind w:right="110"/>
              <w:jc w:val="right"/>
              <w:rPr>
                <w:sz w:val="17"/>
              </w:rPr>
            </w:pPr>
            <w:r>
              <w:rPr>
                <w:spacing w:val="-4"/>
                <w:sz w:val="17"/>
              </w:rPr>
              <w:t>46.2</w:t>
            </w:r>
          </w:p>
        </w:tc>
        <w:tc>
          <w:tcPr>
            <w:tcW w:w="654" w:type="dxa"/>
            <w:tcBorders>
              <w:top w:val="single" w:color="DCDDDE" w:sz="4" w:space="0"/>
              <w:bottom w:val="single" w:color="DCDDDE" w:sz="4" w:space="0"/>
            </w:tcBorders>
          </w:tcPr>
          <w:p w:rsidR="00C31389" w:rsidRDefault="00561FBD" w14:paraId="2F25BB1B" w14:textId="77777777">
            <w:pPr>
              <w:pStyle w:val="TableParagraph"/>
              <w:spacing w:before="42"/>
              <w:ind w:right="109"/>
              <w:jc w:val="right"/>
              <w:rPr>
                <w:sz w:val="17"/>
              </w:rPr>
            </w:pPr>
            <w:r>
              <w:rPr>
                <w:spacing w:val="-4"/>
                <w:sz w:val="17"/>
              </w:rPr>
              <w:t>48.1</w:t>
            </w:r>
          </w:p>
        </w:tc>
        <w:tc>
          <w:tcPr>
            <w:tcW w:w="678" w:type="dxa"/>
            <w:tcBorders>
              <w:top w:val="single" w:color="DCDDDE" w:sz="4" w:space="0"/>
              <w:bottom w:val="single" w:color="DCDDDE" w:sz="4" w:space="0"/>
            </w:tcBorders>
          </w:tcPr>
          <w:p w:rsidR="00C31389" w:rsidRDefault="00561FBD" w14:paraId="5587B9AC" w14:textId="77777777">
            <w:pPr>
              <w:pStyle w:val="TableParagraph"/>
              <w:spacing w:before="42"/>
              <w:ind w:right="133"/>
              <w:jc w:val="right"/>
              <w:rPr>
                <w:sz w:val="17"/>
              </w:rPr>
            </w:pPr>
            <w:r>
              <w:rPr>
                <w:spacing w:val="-4"/>
                <w:sz w:val="17"/>
              </w:rPr>
              <w:t>50.0</w:t>
            </w:r>
          </w:p>
        </w:tc>
        <w:tc>
          <w:tcPr>
            <w:tcW w:w="655" w:type="dxa"/>
            <w:tcBorders>
              <w:top w:val="single" w:color="DCDDDE" w:sz="4" w:space="0"/>
              <w:bottom w:val="single" w:color="DCDDDE" w:sz="4" w:space="0"/>
            </w:tcBorders>
          </w:tcPr>
          <w:p w:rsidR="00C31389" w:rsidRDefault="00561FBD" w14:paraId="52EAE488" w14:textId="77777777">
            <w:pPr>
              <w:pStyle w:val="TableParagraph"/>
              <w:spacing w:before="42"/>
              <w:ind w:left="99" w:right="45"/>
              <w:jc w:val="center"/>
              <w:rPr>
                <w:sz w:val="17"/>
              </w:rPr>
            </w:pPr>
            <w:r>
              <w:rPr>
                <w:spacing w:val="-4"/>
                <w:sz w:val="17"/>
              </w:rPr>
              <w:t>51.1</w:t>
            </w:r>
          </w:p>
        </w:tc>
        <w:tc>
          <w:tcPr>
            <w:tcW w:w="624" w:type="dxa"/>
            <w:tcBorders>
              <w:top w:val="single" w:color="DCDDDE" w:sz="4" w:space="0"/>
              <w:bottom w:val="single" w:color="DCDDDE" w:sz="4" w:space="0"/>
            </w:tcBorders>
          </w:tcPr>
          <w:p w:rsidR="00C31389" w:rsidRDefault="00561FBD" w14:paraId="184E2893" w14:textId="77777777">
            <w:pPr>
              <w:pStyle w:val="TableParagraph"/>
              <w:spacing w:before="42"/>
              <w:ind w:right="101"/>
              <w:jc w:val="right"/>
              <w:rPr>
                <w:sz w:val="17"/>
              </w:rPr>
            </w:pPr>
            <w:r>
              <w:rPr>
                <w:spacing w:val="-4"/>
                <w:sz w:val="17"/>
              </w:rPr>
              <w:t>53.3</w:t>
            </w:r>
          </w:p>
        </w:tc>
      </w:tr>
      <w:tr w:rsidR="00C31389" w14:paraId="2B4BA45E"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4058D762"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47AFC78E" w14:textId="77777777">
        <w:trPr>
          <w:trHeight w:val="275"/>
        </w:trPr>
        <w:tc>
          <w:tcPr>
            <w:tcW w:w="1427" w:type="dxa"/>
            <w:tcBorders>
              <w:top w:val="single" w:color="DCDDDE" w:sz="4" w:space="0"/>
              <w:bottom w:val="single" w:color="DCDDDE" w:sz="4" w:space="0"/>
            </w:tcBorders>
          </w:tcPr>
          <w:p w:rsidR="00C31389" w:rsidRDefault="00561FBD" w14:paraId="0FED74DB" w14:textId="77777777">
            <w:pPr>
              <w:pStyle w:val="TableParagraph"/>
              <w:ind w:left="122"/>
              <w:rPr>
                <w:sz w:val="17"/>
              </w:rPr>
            </w:pPr>
            <w:r>
              <w:rPr>
                <w:spacing w:val="-5"/>
                <w:sz w:val="17"/>
              </w:rPr>
              <w:t>EE</w:t>
            </w:r>
          </w:p>
        </w:tc>
        <w:tc>
          <w:tcPr>
            <w:tcW w:w="749" w:type="dxa"/>
            <w:tcBorders>
              <w:top w:val="single" w:color="DCDDDE" w:sz="4" w:space="0"/>
              <w:bottom w:val="single" w:color="DCDDDE" w:sz="4" w:space="0"/>
            </w:tcBorders>
          </w:tcPr>
          <w:p w:rsidR="00C31389" w:rsidRDefault="00561FBD" w14:paraId="23A8ACB5" w14:textId="77777777">
            <w:pPr>
              <w:pStyle w:val="TableParagraph"/>
              <w:ind w:right="112"/>
              <w:jc w:val="right"/>
              <w:rPr>
                <w:sz w:val="17"/>
              </w:rPr>
            </w:pPr>
            <w:r>
              <w:rPr>
                <w:spacing w:val="-4"/>
                <w:sz w:val="17"/>
              </w:rPr>
              <w:t>31.1</w:t>
            </w:r>
          </w:p>
        </w:tc>
        <w:tc>
          <w:tcPr>
            <w:tcW w:w="655" w:type="dxa"/>
            <w:tcBorders>
              <w:top w:val="single" w:color="DCDDDE" w:sz="4" w:space="0"/>
              <w:bottom w:val="single" w:color="DCDDDE" w:sz="4" w:space="0"/>
            </w:tcBorders>
          </w:tcPr>
          <w:p w:rsidR="00C31389" w:rsidRDefault="00561FBD" w14:paraId="18F6699B" w14:textId="77777777">
            <w:pPr>
              <w:pStyle w:val="TableParagraph"/>
              <w:ind w:left="99" w:right="4"/>
              <w:jc w:val="center"/>
              <w:rPr>
                <w:sz w:val="17"/>
              </w:rPr>
            </w:pPr>
            <w:r>
              <w:rPr>
                <w:spacing w:val="-4"/>
                <w:sz w:val="17"/>
              </w:rPr>
              <w:t>28.3</w:t>
            </w:r>
          </w:p>
        </w:tc>
        <w:tc>
          <w:tcPr>
            <w:tcW w:w="654" w:type="dxa"/>
            <w:tcBorders>
              <w:top w:val="single" w:color="DCDDDE" w:sz="4" w:space="0"/>
              <w:bottom w:val="single" w:color="DCDDDE" w:sz="4" w:space="0"/>
            </w:tcBorders>
          </w:tcPr>
          <w:p w:rsidR="00C31389" w:rsidRDefault="00561FBD" w14:paraId="403E2E95" w14:textId="77777777">
            <w:pPr>
              <w:pStyle w:val="TableParagraph"/>
              <w:ind w:right="111"/>
              <w:jc w:val="right"/>
              <w:rPr>
                <w:sz w:val="17"/>
              </w:rPr>
            </w:pPr>
            <w:r>
              <w:rPr>
                <w:spacing w:val="-4"/>
                <w:sz w:val="17"/>
              </w:rPr>
              <w:t>23.7</w:t>
            </w:r>
          </w:p>
        </w:tc>
        <w:tc>
          <w:tcPr>
            <w:tcW w:w="654" w:type="dxa"/>
            <w:tcBorders>
              <w:top w:val="single" w:color="DCDDDE" w:sz="4" w:space="0"/>
              <w:bottom w:val="single" w:color="DCDDDE" w:sz="4" w:space="0"/>
            </w:tcBorders>
          </w:tcPr>
          <w:p w:rsidR="00C31389" w:rsidRDefault="00561FBD" w14:paraId="2C8DEAB7" w14:textId="77777777">
            <w:pPr>
              <w:pStyle w:val="TableParagraph"/>
              <w:ind w:right="111"/>
              <w:jc w:val="right"/>
              <w:rPr>
                <w:sz w:val="17"/>
              </w:rPr>
            </w:pPr>
            <w:r>
              <w:rPr>
                <w:spacing w:val="-4"/>
                <w:sz w:val="17"/>
              </w:rPr>
              <w:t>18.8</w:t>
            </w:r>
          </w:p>
        </w:tc>
        <w:tc>
          <w:tcPr>
            <w:tcW w:w="655" w:type="dxa"/>
            <w:tcBorders>
              <w:top w:val="single" w:color="DCDDDE" w:sz="4" w:space="0"/>
              <w:bottom w:val="single" w:color="DCDDDE" w:sz="4" w:space="0"/>
            </w:tcBorders>
          </w:tcPr>
          <w:p w:rsidR="00C31389" w:rsidRDefault="00561FBD" w14:paraId="5B722720" w14:textId="77777777">
            <w:pPr>
              <w:pStyle w:val="TableParagraph"/>
              <w:ind w:right="110"/>
              <w:jc w:val="right"/>
              <w:rPr>
                <w:sz w:val="17"/>
              </w:rPr>
            </w:pPr>
            <w:r>
              <w:rPr>
                <w:spacing w:val="-4"/>
                <w:sz w:val="17"/>
              </w:rPr>
              <w:t>17.2</w:t>
            </w:r>
          </w:p>
        </w:tc>
        <w:tc>
          <w:tcPr>
            <w:tcW w:w="655" w:type="dxa"/>
            <w:tcBorders>
              <w:top w:val="single" w:color="DCDDDE" w:sz="4" w:space="0"/>
              <w:bottom w:val="single" w:color="DCDDDE" w:sz="4" w:space="0"/>
            </w:tcBorders>
          </w:tcPr>
          <w:p w:rsidR="00C31389" w:rsidRDefault="00561FBD" w14:paraId="4553DCC1" w14:textId="77777777">
            <w:pPr>
              <w:pStyle w:val="TableParagraph"/>
              <w:ind w:left="99" w:right="1"/>
              <w:jc w:val="center"/>
              <w:rPr>
                <w:sz w:val="17"/>
              </w:rPr>
            </w:pPr>
            <w:r>
              <w:rPr>
                <w:spacing w:val="-4"/>
                <w:sz w:val="17"/>
              </w:rPr>
              <w:t>15.4</w:t>
            </w:r>
          </w:p>
        </w:tc>
        <w:tc>
          <w:tcPr>
            <w:tcW w:w="655" w:type="dxa"/>
            <w:tcBorders>
              <w:top w:val="single" w:color="DCDDDE" w:sz="4" w:space="0"/>
              <w:bottom w:val="single" w:color="DCDDDE" w:sz="4" w:space="0"/>
            </w:tcBorders>
          </w:tcPr>
          <w:p w:rsidR="00C31389" w:rsidRDefault="00561FBD" w14:paraId="3D48A1B1" w14:textId="77777777">
            <w:pPr>
              <w:pStyle w:val="TableParagraph"/>
              <w:ind w:right="110"/>
              <w:jc w:val="right"/>
              <w:rPr>
                <w:sz w:val="17"/>
              </w:rPr>
            </w:pPr>
            <w:r>
              <w:rPr>
                <w:spacing w:val="-4"/>
                <w:sz w:val="17"/>
              </w:rPr>
              <w:t>17.5</w:t>
            </w:r>
          </w:p>
        </w:tc>
        <w:tc>
          <w:tcPr>
            <w:tcW w:w="655" w:type="dxa"/>
            <w:tcBorders>
              <w:top w:val="single" w:color="DCDDDE" w:sz="4" w:space="0"/>
              <w:bottom w:val="single" w:color="DCDDDE" w:sz="4" w:space="0"/>
            </w:tcBorders>
          </w:tcPr>
          <w:p w:rsidR="00C31389" w:rsidRDefault="00561FBD" w14:paraId="266FEB61" w14:textId="77777777">
            <w:pPr>
              <w:pStyle w:val="TableParagraph"/>
              <w:ind w:right="110"/>
              <w:jc w:val="right"/>
              <w:rPr>
                <w:sz w:val="17"/>
              </w:rPr>
            </w:pPr>
            <w:r>
              <w:rPr>
                <w:spacing w:val="-4"/>
                <w:sz w:val="17"/>
              </w:rPr>
              <w:t>13.9</w:t>
            </w:r>
          </w:p>
        </w:tc>
        <w:tc>
          <w:tcPr>
            <w:tcW w:w="654" w:type="dxa"/>
            <w:tcBorders>
              <w:top w:val="single" w:color="DCDDDE" w:sz="4" w:space="0"/>
              <w:bottom w:val="single" w:color="DCDDDE" w:sz="4" w:space="0"/>
            </w:tcBorders>
          </w:tcPr>
          <w:p w:rsidR="00C31389" w:rsidRDefault="00561FBD" w14:paraId="2EA5A72E" w14:textId="77777777">
            <w:pPr>
              <w:pStyle w:val="TableParagraph"/>
              <w:ind w:right="109"/>
              <w:jc w:val="right"/>
              <w:rPr>
                <w:sz w:val="17"/>
              </w:rPr>
            </w:pPr>
            <w:r>
              <w:rPr>
                <w:spacing w:val="-4"/>
                <w:sz w:val="17"/>
              </w:rPr>
              <w:t>13.3</w:t>
            </w:r>
          </w:p>
        </w:tc>
        <w:tc>
          <w:tcPr>
            <w:tcW w:w="678" w:type="dxa"/>
            <w:tcBorders>
              <w:top w:val="single" w:color="DCDDDE" w:sz="4" w:space="0"/>
              <w:bottom w:val="single" w:color="DCDDDE" w:sz="4" w:space="0"/>
            </w:tcBorders>
          </w:tcPr>
          <w:p w:rsidR="00C31389" w:rsidRDefault="00561FBD" w14:paraId="240B595E" w14:textId="77777777">
            <w:pPr>
              <w:pStyle w:val="TableParagraph"/>
              <w:ind w:right="133"/>
              <w:jc w:val="right"/>
              <w:rPr>
                <w:sz w:val="17"/>
              </w:rPr>
            </w:pPr>
            <w:r>
              <w:rPr>
                <w:spacing w:val="-4"/>
                <w:sz w:val="17"/>
              </w:rPr>
              <w:t>12.3</w:t>
            </w:r>
          </w:p>
        </w:tc>
        <w:tc>
          <w:tcPr>
            <w:tcW w:w="655" w:type="dxa"/>
            <w:tcBorders>
              <w:top w:val="single" w:color="DCDDDE" w:sz="4" w:space="0"/>
              <w:bottom w:val="single" w:color="DCDDDE" w:sz="4" w:space="0"/>
            </w:tcBorders>
          </w:tcPr>
          <w:p w:rsidR="00C31389" w:rsidRDefault="00561FBD" w14:paraId="627033D4" w14:textId="77777777">
            <w:pPr>
              <w:pStyle w:val="TableParagraph"/>
              <w:ind w:left="99" w:right="45"/>
              <w:jc w:val="center"/>
              <w:rPr>
                <w:sz w:val="17"/>
              </w:rPr>
            </w:pPr>
            <w:r>
              <w:rPr>
                <w:spacing w:val="-4"/>
                <w:sz w:val="17"/>
              </w:rPr>
              <w:t>12.0</w:t>
            </w:r>
          </w:p>
        </w:tc>
        <w:tc>
          <w:tcPr>
            <w:tcW w:w="624" w:type="dxa"/>
            <w:tcBorders>
              <w:top w:val="single" w:color="DCDDDE" w:sz="4" w:space="0"/>
              <w:bottom w:val="single" w:color="DCDDDE" w:sz="4" w:space="0"/>
            </w:tcBorders>
          </w:tcPr>
          <w:p w:rsidR="00C31389" w:rsidRDefault="00561FBD" w14:paraId="05812D34" w14:textId="77777777">
            <w:pPr>
              <w:pStyle w:val="TableParagraph"/>
              <w:ind w:right="102"/>
              <w:jc w:val="right"/>
              <w:rPr>
                <w:sz w:val="17"/>
              </w:rPr>
            </w:pPr>
            <w:r>
              <w:rPr>
                <w:spacing w:val="-4"/>
                <w:sz w:val="17"/>
              </w:rPr>
              <w:t>11.9</w:t>
            </w:r>
          </w:p>
        </w:tc>
      </w:tr>
      <w:tr w:rsidR="00C31389" w14:paraId="24D15C0D" w14:textId="77777777">
        <w:trPr>
          <w:trHeight w:val="275"/>
        </w:trPr>
        <w:tc>
          <w:tcPr>
            <w:tcW w:w="1427" w:type="dxa"/>
            <w:tcBorders>
              <w:top w:val="single" w:color="DCDDDE" w:sz="4" w:space="0"/>
              <w:bottom w:val="single" w:color="DCDDDE" w:sz="4" w:space="0"/>
            </w:tcBorders>
          </w:tcPr>
          <w:p w:rsidR="00C31389" w:rsidRDefault="00561FBD" w14:paraId="3D877E1C" w14:textId="77777777">
            <w:pPr>
              <w:pStyle w:val="TableParagraph"/>
              <w:ind w:left="122"/>
              <w:rPr>
                <w:sz w:val="17"/>
              </w:rPr>
            </w:pPr>
            <w:r>
              <w:rPr>
                <w:spacing w:val="-5"/>
                <w:sz w:val="17"/>
              </w:rPr>
              <w:t>FS</w:t>
            </w:r>
          </w:p>
        </w:tc>
        <w:tc>
          <w:tcPr>
            <w:tcW w:w="749" w:type="dxa"/>
            <w:tcBorders>
              <w:top w:val="single" w:color="DCDDDE" w:sz="4" w:space="0"/>
              <w:bottom w:val="single" w:color="DCDDDE" w:sz="4" w:space="0"/>
            </w:tcBorders>
          </w:tcPr>
          <w:p w:rsidR="00C31389" w:rsidRDefault="00561FBD" w14:paraId="11FDC4C0" w14:textId="77777777">
            <w:pPr>
              <w:pStyle w:val="TableParagraph"/>
              <w:ind w:right="112"/>
              <w:jc w:val="right"/>
              <w:rPr>
                <w:sz w:val="17"/>
              </w:rPr>
            </w:pPr>
            <w:r>
              <w:rPr>
                <w:spacing w:val="-2"/>
                <w:sz w:val="17"/>
              </w:rPr>
              <w:t>-</w:t>
            </w:r>
            <w:r>
              <w:rPr>
                <w:spacing w:val="-5"/>
                <w:sz w:val="17"/>
              </w:rPr>
              <w:t>0.1</w:t>
            </w:r>
          </w:p>
        </w:tc>
        <w:tc>
          <w:tcPr>
            <w:tcW w:w="655" w:type="dxa"/>
            <w:tcBorders>
              <w:top w:val="single" w:color="DCDDDE" w:sz="4" w:space="0"/>
              <w:bottom w:val="single" w:color="DCDDDE" w:sz="4" w:space="0"/>
            </w:tcBorders>
          </w:tcPr>
          <w:p w:rsidR="00C31389" w:rsidRDefault="00561FBD" w14:paraId="4F71C5A7" w14:textId="77777777">
            <w:pPr>
              <w:pStyle w:val="TableParagraph"/>
              <w:ind w:left="230" w:right="97"/>
              <w:jc w:val="center"/>
              <w:rPr>
                <w:sz w:val="17"/>
              </w:rPr>
            </w:pPr>
            <w:r>
              <w:rPr>
                <w:spacing w:val="-2"/>
                <w:sz w:val="17"/>
              </w:rPr>
              <w:t>-</w:t>
            </w:r>
            <w:r>
              <w:rPr>
                <w:spacing w:val="-5"/>
                <w:sz w:val="17"/>
              </w:rPr>
              <w:t>0.1</w:t>
            </w:r>
          </w:p>
        </w:tc>
        <w:tc>
          <w:tcPr>
            <w:tcW w:w="654" w:type="dxa"/>
            <w:tcBorders>
              <w:top w:val="single" w:color="DCDDDE" w:sz="4" w:space="0"/>
              <w:bottom w:val="single" w:color="DCDDDE" w:sz="4" w:space="0"/>
            </w:tcBorders>
          </w:tcPr>
          <w:p w:rsidR="00C31389" w:rsidRDefault="00561FBD" w14:paraId="5AB87195" w14:textId="77777777">
            <w:pPr>
              <w:pStyle w:val="TableParagraph"/>
              <w:ind w:right="111"/>
              <w:jc w:val="right"/>
              <w:rPr>
                <w:sz w:val="17"/>
              </w:rPr>
            </w:pPr>
            <w:r>
              <w:rPr>
                <w:spacing w:val="-2"/>
                <w:sz w:val="17"/>
              </w:rPr>
              <w:t>-</w:t>
            </w:r>
            <w:r>
              <w:rPr>
                <w:spacing w:val="-5"/>
                <w:sz w:val="17"/>
              </w:rPr>
              <w:t>0.1</w:t>
            </w:r>
          </w:p>
        </w:tc>
        <w:tc>
          <w:tcPr>
            <w:tcW w:w="654" w:type="dxa"/>
            <w:tcBorders>
              <w:top w:val="single" w:color="DCDDDE" w:sz="4" w:space="0"/>
              <w:bottom w:val="single" w:color="DCDDDE" w:sz="4" w:space="0"/>
            </w:tcBorders>
          </w:tcPr>
          <w:p w:rsidR="00C31389" w:rsidRDefault="00561FBD" w14:paraId="70EA39C4" w14:textId="77777777">
            <w:pPr>
              <w:pStyle w:val="TableParagraph"/>
              <w:ind w:right="111"/>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64B70FD5" w14:textId="77777777">
            <w:pPr>
              <w:pStyle w:val="TableParagraph"/>
              <w:ind w:right="110"/>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5DE7537E" w14:textId="77777777">
            <w:pPr>
              <w:pStyle w:val="TableParagraph"/>
              <w:ind w:left="233" w:right="97"/>
              <w:jc w:val="center"/>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0E7ADEF2" w14:textId="77777777">
            <w:pPr>
              <w:pStyle w:val="TableParagraph"/>
              <w:ind w:right="110"/>
              <w:jc w:val="right"/>
              <w:rPr>
                <w:sz w:val="17"/>
              </w:rPr>
            </w:pPr>
            <w:r>
              <w:rPr>
                <w:spacing w:val="-5"/>
                <w:sz w:val="17"/>
              </w:rPr>
              <w:t>0.1</w:t>
            </w:r>
          </w:p>
        </w:tc>
        <w:tc>
          <w:tcPr>
            <w:tcW w:w="655" w:type="dxa"/>
            <w:tcBorders>
              <w:top w:val="single" w:color="DCDDDE" w:sz="4" w:space="0"/>
              <w:bottom w:val="single" w:color="DCDDDE" w:sz="4" w:space="0"/>
            </w:tcBorders>
          </w:tcPr>
          <w:p w:rsidR="00C31389" w:rsidRDefault="00561FBD" w14:paraId="1AC7990C" w14:textId="77777777">
            <w:pPr>
              <w:pStyle w:val="TableParagraph"/>
              <w:ind w:right="110"/>
              <w:jc w:val="right"/>
              <w:rPr>
                <w:sz w:val="17"/>
              </w:rPr>
            </w:pPr>
            <w:r>
              <w:rPr>
                <w:spacing w:val="-5"/>
                <w:sz w:val="17"/>
              </w:rPr>
              <w:t>0.1</w:t>
            </w:r>
          </w:p>
        </w:tc>
        <w:tc>
          <w:tcPr>
            <w:tcW w:w="654" w:type="dxa"/>
            <w:tcBorders>
              <w:top w:val="single" w:color="DCDDDE" w:sz="4" w:space="0"/>
              <w:bottom w:val="single" w:color="DCDDDE" w:sz="4" w:space="0"/>
            </w:tcBorders>
          </w:tcPr>
          <w:p w:rsidR="00C31389" w:rsidRDefault="00561FBD" w14:paraId="76471E7F" w14:textId="77777777">
            <w:pPr>
              <w:pStyle w:val="TableParagraph"/>
              <w:ind w:right="109"/>
              <w:jc w:val="right"/>
              <w:rPr>
                <w:sz w:val="17"/>
              </w:rPr>
            </w:pPr>
            <w:r>
              <w:rPr>
                <w:spacing w:val="-5"/>
                <w:sz w:val="17"/>
              </w:rPr>
              <w:t>0.1</w:t>
            </w:r>
          </w:p>
        </w:tc>
        <w:tc>
          <w:tcPr>
            <w:tcW w:w="678" w:type="dxa"/>
            <w:tcBorders>
              <w:top w:val="single" w:color="DCDDDE" w:sz="4" w:space="0"/>
              <w:bottom w:val="single" w:color="DCDDDE" w:sz="4" w:space="0"/>
            </w:tcBorders>
          </w:tcPr>
          <w:p w:rsidR="00C31389" w:rsidRDefault="00561FBD" w14:paraId="2169F6BC" w14:textId="77777777">
            <w:pPr>
              <w:pStyle w:val="TableParagraph"/>
              <w:ind w:right="133"/>
              <w:jc w:val="right"/>
              <w:rPr>
                <w:sz w:val="17"/>
              </w:rPr>
            </w:pPr>
            <w:r>
              <w:rPr>
                <w:spacing w:val="-5"/>
                <w:sz w:val="17"/>
              </w:rPr>
              <w:t>0.1</w:t>
            </w:r>
          </w:p>
        </w:tc>
        <w:tc>
          <w:tcPr>
            <w:tcW w:w="655" w:type="dxa"/>
            <w:tcBorders>
              <w:top w:val="single" w:color="DCDDDE" w:sz="4" w:space="0"/>
              <w:bottom w:val="single" w:color="DCDDDE" w:sz="4" w:space="0"/>
            </w:tcBorders>
          </w:tcPr>
          <w:p w:rsidR="00C31389" w:rsidRDefault="00561FBD" w14:paraId="792B42DD" w14:textId="77777777">
            <w:pPr>
              <w:pStyle w:val="TableParagraph"/>
              <w:ind w:left="236" w:right="88"/>
              <w:jc w:val="center"/>
              <w:rPr>
                <w:sz w:val="17"/>
              </w:rPr>
            </w:pPr>
            <w:r>
              <w:rPr>
                <w:spacing w:val="-5"/>
                <w:sz w:val="17"/>
              </w:rPr>
              <w:t>0.1</w:t>
            </w:r>
          </w:p>
        </w:tc>
        <w:tc>
          <w:tcPr>
            <w:tcW w:w="624" w:type="dxa"/>
            <w:tcBorders>
              <w:top w:val="single" w:color="DCDDDE" w:sz="4" w:space="0"/>
              <w:bottom w:val="single" w:color="DCDDDE" w:sz="4" w:space="0"/>
            </w:tcBorders>
          </w:tcPr>
          <w:p w:rsidR="00C31389" w:rsidRDefault="00561FBD" w14:paraId="0BB11DD0" w14:textId="77777777">
            <w:pPr>
              <w:pStyle w:val="TableParagraph"/>
              <w:ind w:right="101"/>
              <w:jc w:val="right"/>
              <w:rPr>
                <w:sz w:val="17"/>
              </w:rPr>
            </w:pPr>
            <w:r>
              <w:rPr>
                <w:spacing w:val="-5"/>
                <w:sz w:val="17"/>
              </w:rPr>
              <w:t>0.1</w:t>
            </w:r>
          </w:p>
        </w:tc>
      </w:tr>
      <w:tr w:rsidR="00C31389" w14:paraId="25C28203" w14:textId="77777777">
        <w:trPr>
          <w:trHeight w:val="275"/>
        </w:trPr>
        <w:tc>
          <w:tcPr>
            <w:tcW w:w="1427" w:type="dxa"/>
            <w:tcBorders>
              <w:top w:val="single" w:color="DCDDDE" w:sz="4" w:space="0"/>
              <w:bottom w:val="single" w:color="DCDDDE" w:sz="4" w:space="0"/>
            </w:tcBorders>
          </w:tcPr>
          <w:p w:rsidR="00C31389" w:rsidRDefault="00561FBD" w14:paraId="0EC52E00" w14:textId="77777777">
            <w:pPr>
              <w:pStyle w:val="TableParagraph"/>
              <w:ind w:left="122"/>
              <w:rPr>
                <w:sz w:val="17"/>
              </w:rPr>
            </w:pPr>
            <w:r>
              <w:rPr>
                <w:spacing w:val="-4"/>
                <w:sz w:val="17"/>
              </w:rPr>
              <w:t>BROs</w:t>
            </w:r>
          </w:p>
        </w:tc>
        <w:tc>
          <w:tcPr>
            <w:tcW w:w="749" w:type="dxa"/>
            <w:tcBorders>
              <w:top w:val="single" w:color="DCDDDE" w:sz="4" w:space="0"/>
              <w:bottom w:val="single" w:color="DCDDDE" w:sz="4" w:space="0"/>
            </w:tcBorders>
          </w:tcPr>
          <w:p w:rsidR="00C31389" w:rsidRDefault="00561FBD" w14:paraId="3D827038" w14:textId="77777777">
            <w:pPr>
              <w:pStyle w:val="TableParagraph"/>
              <w:ind w:right="112"/>
              <w:jc w:val="right"/>
              <w:rPr>
                <w:sz w:val="17"/>
              </w:rPr>
            </w:pPr>
            <w:r>
              <w:rPr>
                <w:spacing w:val="-4"/>
                <w:sz w:val="17"/>
              </w:rPr>
              <w:t>35.1</w:t>
            </w:r>
          </w:p>
        </w:tc>
        <w:tc>
          <w:tcPr>
            <w:tcW w:w="655" w:type="dxa"/>
            <w:tcBorders>
              <w:top w:val="single" w:color="DCDDDE" w:sz="4" w:space="0"/>
              <w:bottom w:val="single" w:color="DCDDDE" w:sz="4" w:space="0"/>
            </w:tcBorders>
          </w:tcPr>
          <w:p w:rsidR="00C31389" w:rsidRDefault="00561FBD" w14:paraId="5017F35A" w14:textId="77777777">
            <w:pPr>
              <w:pStyle w:val="TableParagraph"/>
              <w:ind w:left="99" w:right="4"/>
              <w:jc w:val="center"/>
              <w:rPr>
                <w:sz w:val="17"/>
              </w:rPr>
            </w:pPr>
            <w:r>
              <w:rPr>
                <w:spacing w:val="-4"/>
                <w:sz w:val="17"/>
              </w:rPr>
              <w:t>36.5</w:t>
            </w:r>
          </w:p>
        </w:tc>
        <w:tc>
          <w:tcPr>
            <w:tcW w:w="654" w:type="dxa"/>
            <w:tcBorders>
              <w:top w:val="single" w:color="DCDDDE" w:sz="4" w:space="0"/>
              <w:bottom w:val="single" w:color="DCDDDE" w:sz="4" w:space="0"/>
            </w:tcBorders>
          </w:tcPr>
          <w:p w:rsidR="00C31389" w:rsidRDefault="00561FBD" w14:paraId="41DFA9D3" w14:textId="77777777">
            <w:pPr>
              <w:pStyle w:val="TableParagraph"/>
              <w:ind w:right="111"/>
              <w:jc w:val="right"/>
              <w:rPr>
                <w:sz w:val="17"/>
              </w:rPr>
            </w:pPr>
            <w:r>
              <w:rPr>
                <w:spacing w:val="-4"/>
                <w:sz w:val="17"/>
              </w:rPr>
              <w:t>38.0</w:t>
            </w:r>
          </w:p>
        </w:tc>
        <w:tc>
          <w:tcPr>
            <w:tcW w:w="654" w:type="dxa"/>
            <w:tcBorders>
              <w:top w:val="single" w:color="DCDDDE" w:sz="4" w:space="0"/>
              <w:bottom w:val="single" w:color="DCDDDE" w:sz="4" w:space="0"/>
            </w:tcBorders>
          </w:tcPr>
          <w:p w:rsidR="00C31389" w:rsidRDefault="00561FBD" w14:paraId="3C82CD3C" w14:textId="77777777">
            <w:pPr>
              <w:pStyle w:val="TableParagraph"/>
              <w:ind w:right="111"/>
              <w:jc w:val="right"/>
              <w:rPr>
                <w:sz w:val="17"/>
              </w:rPr>
            </w:pPr>
            <w:r>
              <w:rPr>
                <w:spacing w:val="-4"/>
                <w:sz w:val="17"/>
              </w:rPr>
              <w:t>39.5</w:t>
            </w:r>
          </w:p>
        </w:tc>
        <w:tc>
          <w:tcPr>
            <w:tcW w:w="655" w:type="dxa"/>
            <w:tcBorders>
              <w:top w:val="single" w:color="DCDDDE" w:sz="4" w:space="0"/>
              <w:bottom w:val="single" w:color="DCDDDE" w:sz="4" w:space="0"/>
            </w:tcBorders>
          </w:tcPr>
          <w:p w:rsidR="00C31389" w:rsidRDefault="00561FBD" w14:paraId="01083883" w14:textId="77777777">
            <w:pPr>
              <w:pStyle w:val="TableParagraph"/>
              <w:ind w:right="110"/>
              <w:jc w:val="right"/>
              <w:rPr>
                <w:sz w:val="17"/>
              </w:rPr>
            </w:pPr>
            <w:r>
              <w:rPr>
                <w:spacing w:val="-4"/>
                <w:sz w:val="17"/>
              </w:rPr>
              <w:t>41.0</w:t>
            </w:r>
          </w:p>
        </w:tc>
        <w:tc>
          <w:tcPr>
            <w:tcW w:w="655" w:type="dxa"/>
            <w:tcBorders>
              <w:top w:val="single" w:color="DCDDDE" w:sz="4" w:space="0"/>
              <w:bottom w:val="single" w:color="DCDDDE" w:sz="4" w:space="0"/>
            </w:tcBorders>
          </w:tcPr>
          <w:p w:rsidR="00C31389" w:rsidRDefault="00561FBD" w14:paraId="336CB888" w14:textId="77777777">
            <w:pPr>
              <w:pStyle w:val="TableParagraph"/>
              <w:ind w:left="99" w:right="1"/>
              <w:jc w:val="center"/>
              <w:rPr>
                <w:sz w:val="17"/>
              </w:rPr>
            </w:pPr>
            <w:r>
              <w:rPr>
                <w:spacing w:val="-4"/>
                <w:sz w:val="17"/>
              </w:rPr>
              <w:t>42.6</w:t>
            </w:r>
          </w:p>
        </w:tc>
        <w:tc>
          <w:tcPr>
            <w:tcW w:w="655" w:type="dxa"/>
            <w:tcBorders>
              <w:top w:val="single" w:color="DCDDDE" w:sz="4" w:space="0"/>
              <w:bottom w:val="single" w:color="DCDDDE" w:sz="4" w:space="0"/>
            </w:tcBorders>
          </w:tcPr>
          <w:p w:rsidR="00C31389" w:rsidRDefault="00561FBD" w14:paraId="6CF0030F" w14:textId="77777777">
            <w:pPr>
              <w:pStyle w:val="TableParagraph"/>
              <w:ind w:right="110"/>
              <w:jc w:val="right"/>
              <w:rPr>
                <w:sz w:val="17"/>
              </w:rPr>
            </w:pPr>
            <w:r>
              <w:rPr>
                <w:spacing w:val="-4"/>
                <w:sz w:val="17"/>
              </w:rPr>
              <w:t>44.4</w:t>
            </w:r>
          </w:p>
        </w:tc>
        <w:tc>
          <w:tcPr>
            <w:tcW w:w="655" w:type="dxa"/>
            <w:tcBorders>
              <w:top w:val="single" w:color="DCDDDE" w:sz="4" w:space="0"/>
              <w:bottom w:val="single" w:color="DCDDDE" w:sz="4" w:space="0"/>
            </w:tcBorders>
          </w:tcPr>
          <w:p w:rsidR="00C31389" w:rsidRDefault="00561FBD" w14:paraId="4EB250FE" w14:textId="77777777">
            <w:pPr>
              <w:pStyle w:val="TableParagraph"/>
              <w:ind w:right="110"/>
              <w:jc w:val="right"/>
              <w:rPr>
                <w:sz w:val="17"/>
              </w:rPr>
            </w:pPr>
            <w:r>
              <w:rPr>
                <w:spacing w:val="-4"/>
                <w:sz w:val="17"/>
              </w:rPr>
              <w:t>46.2</w:t>
            </w:r>
          </w:p>
        </w:tc>
        <w:tc>
          <w:tcPr>
            <w:tcW w:w="654" w:type="dxa"/>
            <w:tcBorders>
              <w:top w:val="single" w:color="DCDDDE" w:sz="4" w:space="0"/>
              <w:bottom w:val="single" w:color="DCDDDE" w:sz="4" w:space="0"/>
            </w:tcBorders>
          </w:tcPr>
          <w:p w:rsidR="00C31389" w:rsidRDefault="00561FBD" w14:paraId="29DA1025" w14:textId="77777777">
            <w:pPr>
              <w:pStyle w:val="TableParagraph"/>
              <w:ind w:right="109"/>
              <w:jc w:val="right"/>
              <w:rPr>
                <w:sz w:val="17"/>
              </w:rPr>
            </w:pPr>
            <w:r>
              <w:rPr>
                <w:spacing w:val="-4"/>
                <w:sz w:val="17"/>
              </w:rPr>
              <w:t>48.1</w:t>
            </w:r>
          </w:p>
        </w:tc>
        <w:tc>
          <w:tcPr>
            <w:tcW w:w="678" w:type="dxa"/>
            <w:tcBorders>
              <w:top w:val="single" w:color="DCDDDE" w:sz="4" w:space="0"/>
              <w:bottom w:val="single" w:color="DCDDDE" w:sz="4" w:space="0"/>
            </w:tcBorders>
          </w:tcPr>
          <w:p w:rsidR="00C31389" w:rsidRDefault="00561FBD" w14:paraId="2DAA1630" w14:textId="77777777">
            <w:pPr>
              <w:pStyle w:val="TableParagraph"/>
              <w:ind w:right="133"/>
              <w:jc w:val="right"/>
              <w:rPr>
                <w:sz w:val="17"/>
              </w:rPr>
            </w:pPr>
            <w:r>
              <w:rPr>
                <w:spacing w:val="-4"/>
                <w:sz w:val="17"/>
              </w:rPr>
              <w:t>50.0</w:t>
            </w:r>
          </w:p>
        </w:tc>
        <w:tc>
          <w:tcPr>
            <w:tcW w:w="655" w:type="dxa"/>
            <w:tcBorders>
              <w:top w:val="single" w:color="DCDDDE" w:sz="4" w:space="0"/>
              <w:bottom w:val="single" w:color="DCDDDE" w:sz="4" w:space="0"/>
            </w:tcBorders>
          </w:tcPr>
          <w:p w:rsidR="00C31389" w:rsidRDefault="00561FBD" w14:paraId="7121F27F" w14:textId="77777777">
            <w:pPr>
              <w:pStyle w:val="TableParagraph"/>
              <w:ind w:left="99" w:right="45"/>
              <w:jc w:val="center"/>
              <w:rPr>
                <w:sz w:val="17"/>
              </w:rPr>
            </w:pPr>
            <w:r>
              <w:rPr>
                <w:spacing w:val="-4"/>
                <w:sz w:val="17"/>
              </w:rPr>
              <w:t>51.1</w:t>
            </w:r>
          </w:p>
        </w:tc>
        <w:tc>
          <w:tcPr>
            <w:tcW w:w="624" w:type="dxa"/>
            <w:tcBorders>
              <w:top w:val="single" w:color="DCDDDE" w:sz="4" w:space="0"/>
              <w:bottom w:val="single" w:color="DCDDDE" w:sz="4" w:space="0"/>
            </w:tcBorders>
          </w:tcPr>
          <w:p w:rsidR="00C31389" w:rsidRDefault="00561FBD" w14:paraId="3E60E1C8" w14:textId="77777777">
            <w:pPr>
              <w:pStyle w:val="TableParagraph"/>
              <w:ind w:right="101"/>
              <w:jc w:val="right"/>
              <w:rPr>
                <w:sz w:val="17"/>
              </w:rPr>
            </w:pPr>
            <w:r>
              <w:rPr>
                <w:spacing w:val="-4"/>
                <w:sz w:val="17"/>
              </w:rPr>
              <w:t>53.3</w:t>
            </w:r>
          </w:p>
        </w:tc>
      </w:tr>
      <w:tr w:rsidR="00C31389" w14:paraId="20C68646"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32026417" w14:textId="77777777">
            <w:pPr>
              <w:pStyle w:val="TableParagraph"/>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2D8E5425" w14:textId="77777777">
        <w:trPr>
          <w:trHeight w:val="470"/>
        </w:trPr>
        <w:tc>
          <w:tcPr>
            <w:tcW w:w="1427" w:type="dxa"/>
            <w:tcBorders>
              <w:top w:val="single" w:color="DCDDDE" w:sz="4" w:space="0"/>
              <w:bottom w:val="single" w:color="DCDDDE" w:sz="4" w:space="0"/>
            </w:tcBorders>
          </w:tcPr>
          <w:p w:rsidR="00C31389" w:rsidRDefault="00561FBD" w14:paraId="7B19DC94" w14:textId="77777777">
            <w:pPr>
              <w:pStyle w:val="TableParagraph"/>
              <w:spacing w:before="39"/>
              <w:ind w:left="122" w:right="295"/>
              <w:rPr>
                <w:sz w:val="17"/>
              </w:rPr>
            </w:pPr>
            <w:r>
              <w:rPr>
                <w:sz w:val="17"/>
              </w:rPr>
              <w:t>w/</w:t>
            </w:r>
            <w:r>
              <w:rPr>
                <w:spacing w:val="-12"/>
                <w:sz w:val="17"/>
              </w:rPr>
              <w:t xml:space="preserve"> </w:t>
            </w:r>
            <w:r>
              <w:rPr>
                <w:sz w:val="17"/>
              </w:rPr>
              <w:t xml:space="preserve">Interactive </w:t>
            </w:r>
            <w:r>
              <w:rPr>
                <w:spacing w:val="-2"/>
                <w:sz w:val="17"/>
              </w:rPr>
              <w:t>Effects</w:t>
            </w:r>
          </w:p>
        </w:tc>
        <w:tc>
          <w:tcPr>
            <w:tcW w:w="749" w:type="dxa"/>
            <w:tcBorders>
              <w:top w:val="single" w:color="DCDDDE" w:sz="4" w:space="0"/>
              <w:bottom w:val="single" w:color="DCDDDE" w:sz="4" w:space="0"/>
            </w:tcBorders>
          </w:tcPr>
          <w:p w:rsidR="00C31389" w:rsidRDefault="00561FBD" w14:paraId="2A301FF7" w14:textId="77777777">
            <w:pPr>
              <w:pStyle w:val="TableParagraph"/>
              <w:spacing w:before="138"/>
              <w:ind w:right="112"/>
              <w:jc w:val="right"/>
              <w:rPr>
                <w:sz w:val="17"/>
              </w:rPr>
            </w:pPr>
            <w:r>
              <w:rPr>
                <w:spacing w:val="-2"/>
                <w:sz w:val="17"/>
              </w:rPr>
              <w:t>201.9</w:t>
            </w:r>
          </w:p>
        </w:tc>
        <w:tc>
          <w:tcPr>
            <w:tcW w:w="655" w:type="dxa"/>
            <w:tcBorders>
              <w:top w:val="single" w:color="DCDDDE" w:sz="4" w:space="0"/>
              <w:bottom w:val="single" w:color="DCDDDE" w:sz="4" w:space="0"/>
            </w:tcBorders>
          </w:tcPr>
          <w:p w:rsidR="00C31389" w:rsidRDefault="00561FBD" w14:paraId="1347067F" w14:textId="77777777">
            <w:pPr>
              <w:pStyle w:val="TableParagraph"/>
              <w:spacing w:before="138"/>
              <w:ind w:left="97" w:right="97"/>
              <w:jc w:val="center"/>
              <w:rPr>
                <w:sz w:val="17"/>
              </w:rPr>
            </w:pPr>
            <w:r>
              <w:rPr>
                <w:spacing w:val="-2"/>
                <w:sz w:val="17"/>
              </w:rPr>
              <w:t>184.7</w:t>
            </w:r>
          </w:p>
        </w:tc>
        <w:tc>
          <w:tcPr>
            <w:tcW w:w="654" w:type="dxa"/>
            <w:tcBorders>
              <w:top w:val="single" w:color="DCDDDE" w:sz="4" w:space="0"/>
              <w:bottom w:val="single" w:color="DCDDDE" w:sz="4" w:space="0"/>
            </w:tcBorders>
          </w:tcPr>
          <w:p w:rsidR="00C31389" w:rsidRDefault="00561FBD" w14:paraId="26D0FFB8" w14:textId="77777777">
            <w:pPr>
              <w:pStyle w:val="TableParagraph"/>
              <w:spacing w:before="138"/>
              <w:ind w:right="111"/>
              <w:jc w:val="right"/>
              <w:rPr>
                <w:sz w:val="17"/>
              </w:rPr>
            </w:pPr>
            <w:r>
              <w:rPr>
                <w:spacing w:val="-2"/>
                <w:sz w:val="17"/>
              </w:rPr>
              <w:t>180.7</w:t>
            </w:r>
          </w:p>
        </w:tc>
        <w:tc>
          <w:tcPr>
            <w:tcW w:w="654" w:type="dxa"/>
            <w:tcBorders>
              <w:top w:val="single" w:color="DCDDDE" w:sz="4" w:space="0"/>
              <w:bottom w:val="single" w:color="DCDDDE" w:sz="4" w:space="0"/>
            </w:tcBorders>
          </w:tcPr>
          <w:p w:rsidR="00C31389" w:rsidRDefault="00561FBD" w14:paraId="3AEEF78E" w14:textId="77777777">
            <w:pPr>
              <w:pStyle w:val="TableParagraph"/>
              <w:spacing w:before="138"/>
              <w:ind w:right="111"/>
              <w:jc w:val="right"/>
              <w:rPr>
                <w:sz w:val="17"/>
              </w:rPr>
            </w:pPr>
            <w:r>
              <w:rPr>
                <w:spacing w:val="-2"/>
                <w:sz w:val="17"/>
              </w:rPr>
              <w:t>165.9</w:t>
            </w:r>
          </w:p>
        </w:tc>
        <w:tc>
          <w:tcPr>
            <w:tcW w:w="655" w:type="dxa"/>
            <w:tcBorders>
              <w:top w:val="single" w:color="DCDDDE" w:sz="4" w:space="0"/>
              <w:bottom w:val="single" w:color="DCDDDE" w:sz="4" w:space="0"/>
            </w:tcBorders>
          </w:tcPr>
          <w:p w:rsidR="00C31389" w:rsidRDefault="00561FBD" w14:paraId="7C9BE7E3" w14:textId="77777777">
            <w:pPr>
              <w:pStyle w:val="TableParagraph"/>
              <w:spacing w:before="138"/>
              <w:ind w:right="110"/>
              <w:jc w:val="right"/>
              <w:rPr>
                <w:sz w:val="17"/>
              </w:rPr>
            </w:pPr>
            <w:r>
              <w:rPr>
                <w:spacing w:val="-2"/>
                <w:sz w:val="17"/>
              </w:rPr>
              <w:t>157.8</w:t>
            </w:r>
          </w:p>
        </w:tc>
        <w:tc>
          <w:tcPr>
            <w:tcW w:w="655" w:type="dxa"/>
            <w:tcBorders>
              <w:top w:val="single" w:color="DCDDDE" w:sz="4" w:space="0"/>
              <w:bottom w:val="single" w:color="DCDDDE" w:sz="4" w:space="0"/>
            </w:tcBorders>
          </w:tcPr>
          <w:p w:rsidR="00C31389" w:rsidRDefault="00561FBD" w14:paraId="041BDF7D" w14:textId="77777777">
            <w:pPr>
              <w:pStyle w:val="TableParagraph"/>
              <w:spacing w:before="138"/>
              <w:ind w:left="99" w:right="96"/>
              <w:jc w:val="center"/>
              <w:rPr>
                <w:sz w:val="17"/>
              </w:rPr>
            </w:pPr>
            <w:r>
              <w:rPr>
                <w:spacing w:val="-2"/>
                <w:sz w:val="17"/>
              </w:rPr>
              <w:t>132.0</w:t>
            </w:r>
          </w:p>
        </w:tc>
        <w:tc>
          <w:tcPr>
            <w:tcW w:w="655" w:type="dxa"/>
            <w:tcBorders>
              <w:top w:val="single" w:color="DCDDDE" w:sz="4" w:space="0"/>
              <w:bottom w:val="single" w:color="DCDDDE" w:sz="4" w:space="0"/>
            </w:tcBorders>
          </w:tcPr>
          <w:p w:rsidR="00C31389" w:rsidRDefault="00561FBD" w14:paraId="3C5960CE" w14:textId="77777777">
            <w:pPr>
              <w:pStyle w:val="TableParagraph"/>
              <w:spacing w:before="138"/>
              <w:ind w:right="110"/>
              <w:jc w:val="right"/>
              <w:rPr>
                <w:sz w:val="17"/>
              </w:rPr>
            </w:pPr>
            <w:r>
              <w:rPr>
                <w:spacing w:val="-2"/>
                <w:sz w:val="17"/>
              </w:rPr>
              <w:t>123.2</w:t>
            </w:r>
          </w:p>
        </w:tc>
        <w:tc>
          <w:tcPr>
            <w:tcW w:w="655" w:type="dxa"/>
            <w:tcBorders>
              <w:top w:val="single" w:color="DCDDDE" w:sz="4" w:space="0"/>
              <w:bottom w:val="single" w:color="DCDDDE" w:sz="4" w:space="0"/>
            </w:tcBorders>
          </w:tcPr>
          <w:p w:rsidR="00C31389" w:rsidRDefault="00561FBD" w14:paraId="4BE3809F" w14:textId="77777777">
            <w:pPr>
              <w:pStyle w:val="TableParagraph"/>
              <w:spacing w:before="138"/>
              <w:ind w:right="110"/>
              <w:jc w:val="right"/>
              <w:rPr>
                <w:sz w:val="17"/>
              </w:rPr>
            </w:pPr>
            <w:r>
              <w:rPr>
                <w:spacing w:val="-2"/>
                <w:sz w:val="17"/>
              </w:rPr>
              <w:t>118.3</w:t>
            </w:r>
          </w:p>
        </w:tc>
        <w:tc>
          <w:tcPr>
            <w:tcW w:w="654" w:type="dxa"/>
            <w:tcBorders>
              <w:top w:val="single" w:color="DCDDDE" w:sz="4" w:space="0"/>
              <w:bottom w:val="single" w:color="DCDDDE" w:sz="4" w:space="0"/>
            </w:tcBorders>
          </w:tcPr>
          <w:p w:rsidR="00C31389" w:rsidRDefault="00561FBD" w14:paraId="71CA4008" w14:textId="77777777">
            <w:pPr>
              <w:pStyle w:val="TableParagraph"/>
              <w:spacing w:before="138"/>
              <w:ind w:right="109"/>
              <w:jc w:val="right"/>
              <w:rPr>
                <w:sz w:val="17"/>
              </w:rPr>
            </w:pPr>
            <w:r>
              <w:rPr>
                <w:spacing w:val="-2"/>
                <w:sz w:val="17"/>
              </w:rPr>
              <w:t>110.0</w:t>
            </w:r>
          </w:p>
        </w:tc>
        <w:tc>
          <w:tcPr>
            <w:tcW w:w="678" w:type="dxa"/>
            <w:tcBorders>
              <w:top w:val="single" w:color="DCDDDE" w:sz="4" w:space="0"/>
              <w:bottom w:val="single" w:color="DCDDDE" w:sz="4" w:space="0"/>
            </w:tcBorders>
          </w:tcPr>
          <w:p w:rsidR="00C31389" w:rsidRDefault="00561FBD" w14:paraId="77075ECD" w14:textId="77777777">
            <w:pPr>
              <w:pStyle w:val="TableParagraph"/>
              <w:spacing w:before="138"/>
              <w:ind w:right="133"/>
              <w:jc w:val="right"/>
              <w:rPr>
                <w:sz w:val="17"/>
              </w:rPr>
            </w:pPr>
            <w:r>
              <w:rPr>
                <w:spacing w:val="-2"/>
                <w:sz w:val="17"/>
              </w:rPr>
              <w:t>104.3</w:t>
            </w:r>
          </w:p>
        </w:tc>
        <w:tc>
          <w:tcPr>
            <w:tcW w:w="655" w:type="dxa"/>
            <w:tcBorders>
              <w:top w:val="single" w:color="DCDDDE" w:sz="4" w:space="0"/>
              <w:bottom w:val="single" w:color="DCDDDE" w:sz="4" w:space="0"/>
            </w:tcBorders>
          </w:tcPr>
          <w:p w:rsidR="00C31389" w:rsidRDefault="00561FBD" w14:paraId="70CCCDE3" w14:textId="77777777">
            <w:pPr>
              <w:pStyle w:val="TableParagraph"/>
              <w:spacing w:before="138"/>
              <w:ind w:left="99" w:right="45"/>
              <w:jc w:val="center"/>
              <w:rPr>
                <w:sz w:val="17"/>
              </w:rPr>
            </w:pPr>
            <w:r>
              <w:rPr>
                <w:spacing w:val="-4"/>
                <w:sz w:val="17"/>
              </w:rPr>
              <w:t>94.0</w:t>
            </w:r>
          </w:p>
        </w:tc>
        <w:tc>
          <w:tcPr>
            <w:tcW w:w="624" w:type="dxa"/>
            <w:tcBorders>
              <w:top w:val="single" w:color="DCDDDE" w:sz="4" w:space="0"/>
              <w:bottom w:val="single" w:color="DCDDDE" w:sz="4" w:space="0"/>
            </w:tcBorders>
          </w:tcPr>
          <w:p w:rsidR="00C31389" w:rsidRDefault="00561FBD" w14:paraId="7C03818F" w14:textId="77777777">
            <w:pPr>
              <w:pStyle w:val="TableParagraph"/>
              <w:spacing w:before="138"/>
              <w:ind w:right="101"/>
              <w:jc w:val="right"/>
              <w:rPr>
                <w:sz w:val="17"/>
              </w:rPr>
            </w:pPr>
            <w:r>
              <w:rPr>
                <w:spacing w:val="-4"/>
                <w:sz w:val="17"/>
              </w:rPr>
              <w:t>89.5</w:t>
            </w:r>
          </w:p>
        </w:tc>
      </w:tr>
      <w:tr w:rsidR="00C31389" w14:paraId="58342997" w14:textId="77777777">
        <w:trPr>
          <w:trHeight w:val="472"/>
        </w:trPr>
        <w:tc>
          <w:tcPr>
            <w:tcW w:w="1427" w:type="dxa"/>
            <w:tcBorders>
              <w:top w:val="single" w:color="DCDDDE" w:sz="4" w:space="0"/>
              <w:bottom w:val="single" w:color="545658" w:sz="8" w:space="0"/>
            </w:tcBorders>
          </w:tcPr>
          <w:p w:rsidR="00C31389" w:rsidRDefault="00561FBD" w14:paraId="483ED965" w14:textId="77777777">
            <w:pPr>
              <w:pStyle w:val="TableParagraph"/>
              <w:ind w:left="122" w:right="200"/>
              <w:rPr>
                <w:sz w:val="17"/>
              </w:rPr>
            </w:pPr>
            <w:r>
              <w:rPr>
                <w:sz w:val="17"/>
              </w:rPr>
              <w:t>w/o</w:t>
            </w:r>
            <w:r>
              <w:rPr>
                <w:spacing w:val="-12"/>
                <w:sz w:val="17"/>
              </w:rPr>
              <w:t xml:space="preserve"> </w:t>
            </w:r>
            <w:r>
              <w:rPr>
                <w:sz w:val="17"/>
              </w:rPr>
              <w:t xml:space="preserve">Interactive </w:t>
            </w:r>
            <w:r>
              <w:rPr>
                <w:spacing w:val="-2"/>
                <w:sz w:val="17"/>
              </w:rPr>
              <w:t>Effects</w:t>
            </w:r>
          </w:p>
        </w:tc>
        <w:tc>
          <w:tcPr>
            <w:tcW w:w="749" w:type="dxa"/>
            <w:tcBorders>
              <w:top w:val="single" w:color="DCDDDE" w:sz="4" w:space="0"/>
              <w:bottom w:val="single" w:color="545658" w:sz="8" w:space="0"/>
            </w:tcBorders>
          </w:tcPr>
          <w:p w:rsidR="00C31389" w:rsidRDefault="00561FBD" w14:paraId="2E26DC3F" w14:textId="77777777">
            <w:pPr>
              <w:pStyle w:val="TableParagraph"/>
              <w:spacing w:before="139"/>
              <w:ind w:right="112"/>
              <w:jc w:val="right"/>
              <w:rPr>
                <w:sz w:val="17"/>
              </w:rPr>
            </w:pPr>
            <w:r>
              <w:rPr>
                <w:spacing w:val="-2"/>
                <w:sz w:val="17"/>
              </w:rPr>
              <w:t>195.4</w:t>
            </w:r>
          </w:p>
        </w:tc>
        <w:tc>
          <w:tcPr>
            <w:tcW w:w="655" w:type="dxa"/>
            <w:tcBorders>
              <w:top w:val="single" w:color="DCDDDE" w:sz="4" w:space="0"/>
              <w:bottom w:val="single" w:color="545658" w:sz="8" w:space="0"/>
            </w:tcBorders>
          </w:tcPr>
          <w:p w:rsidR="00C31389" w:rsidRDefault="00561FBD" w14:paraId="23DC2D96" w14:textId="77777777">
            <w:pPr>
              <w:pStyle w:val="TableParagraph"/>
              <w:spacing w:before="139"/>
              <w:ind w:left="97" w:right="97"/>
              <w:jc w:val="center"/>
              <w:rPr>
                <w:sz w:val="17"/>
              </w:rPr>
            </w:pPr>
            <w:r>
              <w:rPr>
                <w:spacing w:val="-2"/>
                <w:sz w:val="17"/>
              </w:rPr>
              <w:t>178.4</w:t>
            </w:r>
          </w:p>
        </w:tc>
        <w:tc>
          <w:tcPr>
            <w:tcW w:w="654" w:type="dxa"/>
            <w:tcBorders>
              <w:top w:val="single" w:color="DCDDDE" w:sz="4" w:space="0"/>
              <w:bottom w:val="single" w:color="545658" w:sz="8" w:space="0"/>
            </w:tcBorders>
          </w:tcPr>
          <w:p w:rsidR="00C31389" w:rsidRDefault="00561FBD" w14:paraId="50CD9F05" w14:textId="77777777">
            <w:pPr>
              <w:pStyle w:val="TableParagraph"/>
              <w:spacing w:before="139"/>
              <w:ind w:right="111"/>
              <w:jc w:val="right"/>
              <w:rPr>
                <w:sz w:val="17"/>
              </w:rPr>
            </w:pPr>
            <w:r>
              <w:rPr>
                <w:spacing w:val="-2"/>
                <w:sz w:val="17"/>
              </w:rPr>
              <w:t>174.5</w:t>
            </w:r>
          </w:p>
        </w:tc>
        <w:tc>
          <w:tcPr>
            <w:tcW w:w="654" w:type="dxa"/>
            <w:tcBorders>
              <w:top w:val="single" w:color="DCDDDE" w:sz="4" w:space="0"/>
              <w:bottom w:val="single" w:color="545658" w:sz="8" w:space="0"/>
            </w:tcBorders>
          </w:tcPr>
          <w:p w:rsidR="00C31389" w:rsidRDefault="00561FBD" w14:paraId="7B5A6040" w14:textId="77777777">
            <w:pPr>
              <w:pStyle w:val="TableParagraph"/>
              <w:spacing w:before="139"/>
              <w:ind w:right="111"/>
              <w:jc w:val="right"/>
              <w:rPr>
                <w:sz w:val="17"/>
              </w:rPr>
            </w:pPr>
            <w:r>
              <w:rPr>
                <w:spacing w:val="-2"/>
                <w:sz w:val="17"/>
              </w:rPr>
              <w:t>161.3</w:t>
            </w:r>
          </w:p>
        </w:tc>
        <w:tc>
          <w:tcPr>
            <w:tcW w:w="655" w:type="dxa"/>
            <w:tcBorders>
              <w:top w:val="single" w:color="DCDDDE" w:sz="4" w:space="0"/>
              <w:bottom w:val="single" w:color="545658" w:sz="8" w:space="0"/>
            </w:tcBorders>
          </w:tcPr>
          <w:p w:rsidR="00C31389" w:rsidRDefault="00561FBD" w14:paraId="552B647F" w14:textId="77777777">
            <w:pPr>
              <w:pStyle w:val="TableParagraph"/>
              <w:spacing w:before="139"/>
              <w:ind w:right="110"/>
              <w:jc w:val="right"/>
              <w:rPr>
                <w:sz w:val="17"/>
              </w:rPr>
            </w:pPr>
            <w:r>
              <w:rPr>
                <w:spacing w:val="-2"/>
                <w:sz w:val="17"/>
              </w:rPr>
              <w:t>153.3</w:t>
            </w:r>
          </w:p>
        </w:tc>
        <w:tc>
          <w:tcPr>
            <w:tcW w:w="655" w:type="dxa"/>
            <w:tcBorders>
              <w:top w:val="single" w:color="DCDDDE" w:sz="4" w:space="0"/>
              <w:bottom w:val="single" w:color="545658" w:sz="8" w:space="0"/>
            </w:tcBorders>
          </w:tcPr>
          <w:p w:rsidR="00C31389" w:rsidRDefault="00561FBD" w14:paraId="7CBB2FAE" w14:textId="77777777">
            <w:pPr>
              <w:pStyle w:val="TableParagraph"/>
              <w:spacing w:before="139"/>
              <w:ind w:left="99" w:right="96"/>
              <w:jc w:val="center"/>
              <w:rPr>
                <w:sz w:val="17"/>
              </w:rPr>
            </w:pPr>
            <w:r>
              <w:rPr>
                <w:spacing w:val="-2"/>
                <w:sz w:val="17"/>
              </w:rPr>
              <w:t>130.6</w:t>
            </w:r>
          </w:p>
        </w:tc>
        <w:tc>
          <w:tcPr>
            <w:tcW w:w="655" w:type="dxa"/>
            <w:tcBorders>
              <w:top w:val="single" w:color="DCDDDE" w:sz="4" w:space="0"/>
              <w:bottom w:val="single" w:color="545658" w:sz="8" w:space="0"/>
            </w:tcBorders>
          </w:tcPr>
          <w:p w:rsidR="00C31389" w:rsidRDefault="00561FBD" w14:paraId="3421145B" w14:textId="77777777">
            <w:pPr>
              <w:pStyle w:val="TableParagraph"/>
              <w:spacing w:before="139"/>
              <w:ind w:right="110"/>
              <w:jc w:val="right"/>
              <w:rPr>
                <w:sz w:val="17"/>
              </w:rPr>
            </w:pPr>
            <w:r>
              <w:rPr>
                <w:spacing w:val="-2"/>
                <w:sz w:val="17"/>
              </w:rPr>
              <w:t>122.5</w:t>
            </w:r>
          </w:p>
        </w:tc>
        <w:tc>
          <w:tcPr>
            <w:tcW w:w="655" w:type="dxa"/>
            <w:tcBorders>
              <w:top w:val="single" w:color="DCDDDE" w:sz="4" w:space="0"/>
              <w:bottom w:val="single" w:color="545658" w:sz="8" w:space="0"/>
            </w:tcBorders>
          </w:tcPr>
          <w:p w:rsidR="00C31389" w:rsidRDefault="00561FBD" w14:paraId="7416C17F" w14:textId="77777777">
            <w:pPr>
              <w:pStyle w:val="TableParagraph"/>
              <w:spacing w:before="139"/>
              <w:ind w:right="110"/>
              <w:jc w:val="right"/>
              <w:rPr>
                <w:sz w:val="17"/>
              </w:rPr>
            </w:pPr>
            <w:r>
              <w:rPr>
                <w:spacing w:val="-2"/>
                <w:sz w:val="17"/>
              </w:rPr>
              <w:t>117.7</w:t>
            </w:r>
          </w:p>
        </w:tc>
        <w:tc>
          <w:tcPr>
            <w:tcW w:w="654" w:type="dxa"/>
            <w:tcBorders>
              <w:top w:val="single" w:color="DCDDDE" w:sz="4" w:space="0"/>
              <w:bottom w:val="single" w:color="545658" w:sz="8" w:space="0"/>
            </w:tcBorders>
          </w:tcPr>
          <w:p w:rsidR="00C31389" w:rsidRDefault="00561FBD" w14:paraId="280A0832" w14:textId="77777777">
            <w:pPr>
              <w:pStyle w:val="TableParagraph"/>
              <w:spacing w:before="139"/>
              <w:ind w:right="109"/>
              <w:jc w:val="right"/>
              <w:rPr>
                <w:sz w:val="17"/>
              </w:rPr>
            </w:pPr>
            <w:r>
              <w:rPr>
                <w:spacing w:val="-2"/>
                <w:sz w:val="17"/>
              </w:rPr>
              <w:t>109.5</w:t>
            </w:r>
          </w:p>
        </w:tc>
        <w:tc>
          <w:tcPr>
            <w:tcW w:w="678" w:type="dxa"/>
            <w:tcBorders>
              <w:top w:val="single" w:color="DCDDDE" w:sz="4" w:space="0"/>
              <w:bottom w:val="single" w:color="545658" w:sz="8" w:space="0"/>
            </w:tcBorders>
          </w:tcPr>
          <w:p w:rsidR="00C31389" w:rsidRDefault="00561FBD" w14:paraId="23E91EBD" w14:textId="77777777">
            <w:pPr>
              <w:pStyle w:val="TableParagraph"/>
              <w:spacing w:before="139"/>
              <w:ind w:right="133"/>
              <w:jc w:val="right"/>
              <w:rPr>
                <w:sz w:val="17"/>
              </w:rPr>
            </w:pPr>
            <w:r>
              <w:rPr>
                <w:spacing w:val="-2"/>
                <w:sz w:val="17"/>
              </w:rPr>
              <w:t>103.8</w:t>
            </w:r>
          </w:p>
        </w:tc>
        <w:tc>
          <w:tcPr>
            <w:tcW w:w="655" w:type="dxa"/>
            <w:tcBorders>
              <w:top w:val="single" w:color="DCDDDE" w:sz="4" w:space="0"/>
              <w:bottom w:val="single" w:color="545658" w:sz="8" w:space="0"/>
            </w:tcBorders>
          </w:tcPr>
          <w:p w:rsidR="00C31389" w:rsidRDefault="00561FBD" w14:paraId="414CF175" w14:textId="77777777">
            <w:pPr>
              <w:pStyle w:val="TableParagraph"/>
              <w:spacing w:before="139"/>
              <w:ind w:left="99" w:right="45"/>
              <w:jc w:val="center"/>
              <w:rPr>
                <w:sz w:val="17"/>
              </w:rPr>
            </w:pPr>
            <w:r>
              <w:rPr>
                <w:spacing w:val="-4"/>
                <w:sz w:val="17"/>
              </w:rPr>
              <w:t>93.4</w:t>
            </w:r>
          </w:p>
        </w:tc>
        <w:tc>
          <w:tcPr>
            <w:tcW w:w="624" w:type="dxa"/>
            <w:tcBorders>
              <w:top w:val="single" w:color="DCDDDE" w:sz="4" w:space="0"/>
              <w:bottom w:val="single" w:color="545658" w:sz="8" w:space="0"/>
            </w:tcBorders>
          </w:tcPr>
          <w:p w:rsidR="00C31389" w:rsidRDefault="00561FBD" w14:paraId="3FD7E334" w14:textId="77777777">
            <w:pPr>
              <w:pStyle w:val="TableParagraph"/>
              <w:spacing w:before="139"/>
              <w:ind w:right="101"/>
              <w:jc w:val="right"/>
              <w:rPr>
                <w:sz w:val="17"/>
              </w:rPr>
            </w:pPr>
            <w:r>
              <w:rPr>
                <w:spacing w:val="-4"/>
                <w:sz w:val="17"/>
              </w:rPr>
              <w:t>88.9</w:t>
            </w:r>
          </w:p>
        </w:tc>
      </w:tr>
    </w:tbl>
    <w:p w:rsidR="00C31389" w:rsidRDefault="00561FBD" w14:paraId="642C6EAE" w14:textId="77777777">
      <w:pPr>
        <w:spacing w:before="66"/>
        <w:ind w:left="220"/>
        <w:rPr>
          <w:i/>
          <w:sz w:val="18"/>
        </w:rPr>
      </w:pPr>
      <w:r>
        <w:rPr>
          <w:i/>
          <w:sz w:val="18"/>
        </w:rPr>
        <w:t>Source:</w:t>
      </w:r>
      <w:r>
        <w:rPr>
          <w:i/>
          <w:spacing w:val="-4"/>
          <w:sz w:val="18"/>
        </w:rPr>
        <w:t xml:space="preserve"> </w:t>
      </w:r>
      <w:r>
        <w:rPr>
          <w:i/>
          <w:spacing w:val="-2"/>
          <w:sz w:val="18"/>
        </w:rPr>
        <w:t>Guidehouse</w:t>
      </w:r>
    </w:p>
    <w:p w:rsidR="00C31389" w:rsidRDefault="00C31389" w14:paraId="179EE779" w14:textId="77777777">
      <w:pPr>
        <w:pStyle w:val="BodyText"/>
        <w:spacing w:before="9"/>
        <w:rPr>
          <w:i/>
          <w:sz w:val="12"/>
        </w:rPr>
      </w:pPr>
    </w:p>
    <w:p w:rsidR="00C31389" w:rsidRDefault="00561FBD" w14:paraId="4622D3C4" w14:textId="77777777">
      <w:pPr>
        <w:pStyle w:val="Heading7"/>
        <w:spacing w:before="92"/>
        <w:ind w:left="1979" w:right="1962"/>
        <w:jc w:val="center"/>
      </w:pPr>
      <w:bookmarkStart w:name="_bookmark530" w:id="694"/>
      <w:bookmarkEnd w:id="694"/>
      <w:r>
        <w:t>Table</w:t>
      </w:r>
      <w:r>
        <w:rPr>
          <w:spacing w:val="-7"/>
        </w:rPr>
        <w:t xml:space="preserve"> </w:t>
      </w:r>
      <w:r>
        <w:t>J-4.</w:t>
      </w:r>
      <w:r>
        <w:rPr>
          <w:spacing w:val="-7"/>
        </w:rPr>
        <w:t xml:space="preserve"> </w:t>
      </w:r>
      <w:r>
        <w:t>PG&amp;E</w:t>
      </w:r>
      <w:r>
        <w:rPr>
          <w:spacing w:val="-6"/>
        </w:rPr>
        <w:t xml:space="preserve"> </w:t>
      </w:r>
      <w:r>
        <w:t>Gas</w:t>
      </w:r>
      <w:r>
        <w:rPr>
          <w:spacing w:val="-7"/>
        </w:rPr>
        <w:t xml:space="preserve"> </w:t>
      </w:r>
      <w:r>
        <w:t>Energy</w:t>
      </w:r>
      <w:r>
        <w:rPr>
          <w:spacing w:val="-7"/>
        </w:rPr>
        <w:t xml:space="preserve"> </w:t>
      </w:r>
      <w:r>
        <w:t>Savings</w:t>
      </w:r>
      <w:r>
        <w:rPr>
          <w:spacing w:val="-7"/>
        </w:rPr>
        <w:t xml:space="preserve"> </w:t>
      </w:r>
      <w:r>
        <w:rPr>
          <w:spacing w:val="-2"/>
        </w:rPr>
        <w:t>(MMtherm/year)</w:t>
      </w:r>
    </w:p>
    <w:p w:rsidR="00C31389" w:rsidRDefault="00C31389" w14:paraId="4122D2A1"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507"/>
        <w:gridCol w:w="861"/>
        <w:gridCol w:w="712"/>
        <w:gridCol w:w="644"/>
        <w:gridCol w:w="631"/>
        <w:gridCol w:w="631"/>
        <w:gridCol w:w="631"/>
        <w:gridCol w:w="631"/>
        <w:gridCol w:w="631"/>
        <w:gridCol w:w="631"/>
        <w:gridCol w:w="631"/>
        <w:gridCol w:w="631"/>
        <w:gridCol w:w="613"/>
      </w:tblGrid>
      <w:tr w:rsidR="00C31389" w14:paraId="292B1B4A" w14:textId="77777777">
        <w:trPr>
          <w:trHeight w:val="306"/>
        </w:trPr>
        <w:tc>
          <w:tcPr>
            <w:tcW w:w="1507" w:type="dxa"/>
            <w:shd w:val="clear" w:color="auto" w:fill="92D400"/>
          </w:tcPr>
          <w:p w:rsidR="00C31389" w:rsidRDefault="00561FBD" w14:paraId="6FF74ED1" w14:textId="77777777">
            <w:pPr>
              <w:pStyle w:val="TableParagraph"/>
              <w:spacing w:before="41"/>
              <w:ind w:left="122"/>
              <w:rPr>
                <w:b/>
                <w:sz w:val="17"/>
              </w:rPr>
            </w:pPr>
            <w:r>
              <w:rPr>
                <w:b/>
                <w:spacing w:val="-4"/>
                <w:sz w:val="17"/>
              </w:rPr>
              <w:t>Year</w:t>
            </w:r>
          </w:p>
        </w:tc>
        <w:tc>
          <w:tcPr>
            <w:tcW w:w="861" w:type="dxa"/>
            <w:shd w:val="clear" w:color="auto" w:fill="92D400"/>
          </w:tcPr>
          <w:p w:rsidR="00C31389" w:rsidRDefault="00561FBD" w14:paraId="7D978A14" w14:textId="77777777">
            <w:pPr>
              <w:pStyle w:val="TableParagraph"/>
              <w:spacing w:before="41"/>
              <w:ind w:right="191"/>
              <w:jc w:val="right"/>
              <w:rPr>
                <w:b/>
                <w:sz w:val="17"/>
              </w:rPr>
            </w:pPr>
            <w:r>
              <w:rPr>
                <w:b/>
                <w:spacing w:val="-4"/>
                <w:sz w:val="17"/>
              </w:rPr>
              <w:t>2024</w:t>
            </w:r>
          </w:p>
        </w:tc>
        <w:tc>
          <w:tcPr>
            <w:tcW w:w="712" w:type="dxa"/>
            <w:shd w:val="clear" w:color="auto" w:fill="92D400"/>
          </w:tcPr>
          <w:p w:rsidR="00C31389" w:rsidRDefault="00561FBD" w14:paraId="39991FAC"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4260CD72" w14:textId="77777777">
            <w:pPr>
              <w:pStyle w:val="TableParagraph"/>
              <w:spacing w:before="41"/>
              <w:ind w:right="124"/>
              <w:jc w:val="right"/>
              <w:rPr>
                <w:b/>
                <w:sz w:val="17"/>
              </w:rPr>
            </w:pPr>
            <w:r>
              <w:rPr>
                <w:b/>
                <w:spacing w:val="-4"/>
                <w:sz w:val="17"/>
              </w:rPr>
              <w:t>2026</w:t>
            </w:r>
          </w:p>
        </w:tc>
        <w:tc>
          <w:tcPr>
            <w:tcW w:w="631" w:type="dxa"/>
            <w:shd w:val="clear" w:color="auto" w:fill="92D400"/>
          </w:tcPr>
          <w:p w:rsidR="00C31389" w:rsidRDefault="00561FBD" w14:paraId="16B65E97" w14:textId="77777777">
            <w:pPr>
              <w:pStyle w:val="TableParagraph"/>
              <w:spacing w:before="41"/>
              <w:ind w:right="125"/>
              <w:jc w:val="right"/>
              <w:rPr>
                <w:b/>
                <w:sz w:val="17"/>
              </w:rPr>
            </w:pPr>
            <w:r>
              <w:rPr>
                <w:b/>
                <w:spacing w:val="-4"/>
                <w:sz w:val="17"/>
              </w:rPr>
              <w:t>2027</w:t>
            </w:r>
          </w:p>
        </w:tc>
        <w:tc>
          <w:tcPr>
            <w:tcW w:w="631" w:type="dxa"/>
            <w:shd w:val="clear" w:color="auto" w:fill="92D400"/>
          </w:tcPr>
          <w:p w:rsidR="00C31389" w:rsidRDefault="00561FBD" w14:paraId="6D5787F7" w14:textId="77777777">
            <w:pPr>
              <w:pStyle w:val="TableParagraph"/>
              <w:spacing w:before="41"/>
              <w:ind w:right="126"/>
              <w:jc w:val="right"/>
              <w:rPr>
                <w:b/>
                <w:sz w:val="17"/>
              </w:rPr>
            </w:pPr>
            <w:r>
              <w:rPr>
                <w:b/>
                <w:spacing w:val="-4"/>
                <w:sz w:val="17"/>
              </w:rPr>
              <w:t>2028</w:t>
            </w:r>
          </w:p>
        </w:tc>
        <w:tc>
          <w:tcPr>
            <w:tcW w:w="631" w:type="dxa"/>
            <w:shd w:val="clear" w:color="auto" w:fill="92D400"/>
          </w:tcPr>
          <w:p w:rsidR="00C31389" w:rsidRDefault="00561FBD" w14:paraId="52080903" w14:textId="77777777">
            <w:pPr>
              <w:pStyle w:val="TableParagraph"/>
              <w:spacing w:before="41"/>
              <w:ind w:left="106" w:right="111"/>
              <w:jc w:val="center"/>
              <w:rPr>
                <w:b/>
                <w:sz w:val="17"/>
              </w:rPr>
            </w:pPr>
            <w:r>
              <w:rPr>
                <w:b/>
                <w:spacing w:val="-4"/>
                <w:sz w:val="17"/>
              </w:rPr>
              <w:t>2029</w:t>
            </w:r>
          </w:p>
        </w:tc>
        <w:tc>
          <w:tcPr>
            <w:tcW w:w="631" w:type="dxa"/>
            <w:shd w:val="clear" w:color="auto" w:fill="92D400"/>
          </w:tcPr>
          <w:p w:rsidR="00C31389" w:rsidRDefault="00561FBD" w14:paraId="194EA2B7" w14:textId="77777777">
            <w:pPr>
              <w:pStyle w:val="TableParagraph"/>
              <w:spacing w:before="41"/>
              <w:ind w:left="106" w:right="113"/>
              <w:jc w:val="center"/>
              <w:rPr>
                <w:b/>
                <w:sz w:val="17"/>
              </w:rPr>
            </w:pPr>
            <w:r>
              <w:rPr>
                <w:b/>
                <w:spacing w:val="-4"/>
                <w:sz w:val="17"/>
              </w:rPr>
              <w:t>2030</w:t>
            </w:r>
          </w:p>
        </w:tc>
        <w:tc>
          <w:tcPr>
            <w:tcW w:w="631" w:type="dxa"/>
            <w:shd w:val="clear" w:color="auto" w:fill="92D400"/>
          </w:tcPr>
          <w:p w:rsidR="00C31389" w:rsidRDefault="00561FBD" w14:paraId="78C50C29" w14:textId="77777777">
            <w:pPr>
              <w:pStyle w:val="TableParagraph"/>
              <w:spacing w:before="41"/>
              <w:ind w:right="129"/>
              <w:jc w:val="right"/>
              <w:rPr>
                <w:b/>
                <w:sz w:val="17"/>
              </w:rPr>
            </w:pPr>
            <w:r>
              <w:rPr>
                <w:b/>
                <w:spacing w:val="-4"/>
                <w:sz w:val="17"/>
              </w:rPr>
              <w:t>2031</w:t>
            </w:r>
          </w:p>
        </w:tc>
        <w:tc>
          <w:tcPr>
            <w:tcW w:w="631" w:type="dxa"/>
            <w:shd w:val="clear" w:color="auto" w:fill="92D400"/>
          </w:tcPr>
          <w:p w:rsidR="00C31389" w:rsidRDefault="00561FBD" w14:paraId="3A707E40" w14:textId="77777777">
            <w:pPr>
              <w:pStyle w:val="TableParagraph"/>
              <w:spacing w:before="41"/>
              <w:ind w:right="130"/>
              <w:jc w:val="right"/>
              <w:rPr>
                <w:b/>
                <w:sz w:val="17"/>
              </w:rPr>
            </w:pPr>
            <w:r>
              <w:rPr>
                <w:b/>
                <w:spacing w:val="-4"/>
                <w:sz w:val="17"/>
              </w:rPr>
              <w:t>2032</w:t>
            </w:r>
          </w:p>
        </w:tc>
        <w:tc>
          <w:tcPr>
            <w:tcW w:w="631" w:type="dxa"/>
            <w:shd w:val="clear" w:color="auto" w:fill="92D400"/>
          </w:tcPr>
          <w:p w:rsidR="00C31389" w:rsidRDefault="00561FBD" w14:paraId="08A832BF" w14:textId="77777777">
            <w:pPr>
              <w:pStyle w:val="TableParagraph"/>
              <w:spacing w:before="41"/>
              <w:ind w:left="103" w:right="116"/>
              <w:jc w:val="center"/>
              <w:rPr>
                <w:b/>
                <w:sz w:val="17"/>
              </w:rPr>
            </w:pPr>
            <w:r>
              <w:rPr>
                <w:b/>
                <w:spacing w:val="-4"/>
                <w:sz w:val="17"/>
              </w:rPr>
              <w:t>2033</w:t>
            </w:r>
          </w:p>
        </w:tc>
        <w:tc>
          <w:tcPr>
            <w:tcW w:w="631" w:type="dxa"/>
            <w:shd w:val="clear" w:color="auto" w:fill="92D400"/>
          </w:tcPr>
          <w:p w:rsidR="00C31389" w:rsidRDefault="00561FBD" w14:paraId="37AF8687" w14:textId="77777777">
            <w:pPr>
              <w:pStyle w:val="TableParagraph"/>
              <w:spacing w:before="41"/>
              <w:ind w:right="132"/>
              <w:jc w:val="right"/>
              <w:rPr>
                <w:b/>
                <w:sz w:val="17"/>
              </w:rPr>
            </w:pPr>
            <w:r>
              <w:rPr>
                <w:b/>
                <w:spacing w:val="-4"/>
                <w:sz w:val="17"/>
              </w:rPr>
              <w:t>2034</w:t>
            </w:r>
          </w:p>
        </w:tc>
        <w:tc>
          <w:tcPr>
            <w:tcW w:w="613" w:type="dxa"/>
            <w:shd w:val="clear" w:color="auto" w:fill="92D400"/>
          </w:tcPr>
          <w:p w:rsidR="00C31389" w:rsidRDefault="00561FBD" w14:paraId="63C8CB46" w14:textId="77777777">
            <w:pPr>
              <w:pStyle w:val="TableParagraph"/>
              <w:spacing w:before="41"/>
              <w:ind w:right="115"/>
              <w:jc w:val="right"/>
              <w:rPr>
                <w:b/>
                <w:sz w:val="17"/>
              </w:rPr>
            </w:pPr>
            <w:r>
              <w:rPr>
                <w:b/>
                <w:spacing w:val="-4"/>
                <w:sz w:val="17"/>
              </w:rPr>
              <w:t>2035</w:t>
            </w:r>
          </w:p>
        </w:tc>
      </w:tr>
      <w:tr w:rsidR="00C31389" w14:paraId="4B02B0B9" w14:textId="77777777">
        <w:trPr>
          <w:trHeight w:val="274"/>
        </w:trPr>
        <w:tc>
          <w:tcPr>
            <w:tcW w:w="9385" w:type="dxa"/>
            <w:gridSpan w:val="13"/>
            <w:tcBorders>
              <w:bottom w:val="single" w:color="DCDDDE" w:sz="4" w:space="0"/>
            </w:tcBorders>
            <w:shd w:val="clear" w:color="auto" w:fill="BEBEBE"/>
          </w:tcPr>
          <w:p w:rsidR="00C31389" w:rsidRDefault="00561FBD" w14:paraId="75C2BE12"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35AD53D0" w14:textId="77777777">
        <w:trPr>
          <w:trHeight w:val="275"/>
        </w:trPr>
        <w:tc>
          <w:tcPr>
            <w:tcW w:w="1507" w:type="dxa"/>
            <w:tcBorders>
              <w:top w:val="single" w:color="DCDDDE" w:sz="4" w:space="0"/>
              <w:bottom w:val="single" w:color="DCDDDE" w:sz="4" w:space="0"/>
            </w:tcBorders>
          </w:tcPr>
          <w:p w:rsidR="00C31389" w:rsidRDefault="00561FBD" w14:paraId="41429089" w14:textId="77777777">
            <w:pPr>
              <w:pStyle w:val="TableParagraph"/>
              <w:spacing w:before="42"/>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31AF9DC1" w14:textId="77777777">
            <w:pPr>
              <w:pStyle w:val="TableParagraph"/>
              <w:spacing w:before="42"/>
              <w:ind w:right="192"/>
              <w:jc w:val="right"/>
              <w:rPr>
                <w:sz w:val="17"/>
              </w:rPr>
            </w:pPr>
            <w:r>
              <w:rPr>
                <w:spacing w:val="-5"/>
                <w:sz w:val="17"/>
              </w:rPr>
              <w:t>6.7</w:t>
            </w:r>
          </w:p>
        </w:tc>
        <w:tc>
          <w:tcPr>
            <w:tcW w:w="712" w:type="dxa"/>
            <w:tcBorders>
              <w:top w:val="single" w:color="DCDDDE" w:sz="4" w:space="0"/>
              <w:bottom w:val="single" w:color="DCDDDE" w:sz="4" w:space="0"/>
            </w:tcBorders>
          </w:tcPr>
          <w:p w:rsidR="00C31389" w:rsidRDefault="00561FBD" w14:paraId="3943C19E" w14:textId="77777777">
            <w:pPr>
              <w:pStyle w:val="TableParagraph"/>
              <w:spacing w:before="42"/>
              <w:ind w:right="138"/>
              <w:jc w:val="right"/>
              <w:rPr>
                <w:sz w:val="17"/>
              </w:rPr>
            </w:pPr>
            <w:r>
              <w:rPr>
                <w:spacing w:val="-5"/>
                <w:sz w:val="17"/>
              </w:rPr>
              <w:t>6.0</w:t>
            </w:r>
          </w:p>
        </w:tc>
        <w:tc>
          <w:tcPr>
            <w:tcW w:w="644" w:type="dxa"/>
            <w:tcBorders>
              <w:top w:val="single" w:color="DCDDDE" w:sz="4" w:space="0"/>
              <w:bottom w:val="single" w:color="DCDDDE" w:sz="4" w:space="0"/>
            </w:tcBorders>
          </w:tcPr>
          <w:p w:rsidR="00C31389" w:rsidRDefault="00561FBD" w14:paraId="77678F54" w14:textId="77777777">
            <w:pPr>
              <w:pStyle w:val="TableParagraph"/>
              <w:spacing w:before="42"/>
              <w:ind w:right="125"/>
              <w:jc w:val="right"/>
              <w:rPr>
                <w:sz w:val="17"/>
              </w:rPr>
            </w:pPr>
            <w:r>
              <w:rPr>
                <w:spacing w:val="-5"/>
                <w:sz w:val="17"/>
              </w:rPr>
              <w:t>5.2</w:t>
            </w:r>
          </w:p>
        </w:tc>
        <w:tc>
          <w:tcPr>
            <w:tcW w:w="631" w:type="dxa"/>
            <w:tcBorders>
              <w:top w:val="single" w:color="DCDDDE" w:sz="4" w:space="0"/>
              <w:bottom w:val="single" w:color="DCDDDE" w:sz="4" w:space="0"/>
            </w:tcBorders>
          </w:tcPr>
          <w:p w:rsidR="00C31389" w:rsidRDefault="00561FBD" w14:paraId="5AF28DEA" w14:textId="77777777">
            <w:pPr>
              <w:pStyle w:val="TableParagraph"/>
              <w:spacing w:before="42"/>
              <w:ind w:right="126"/>
              <w:jc w:val="right"/>
              <w:rPr>
                <w:sz w:val="17"/>
              </w:rPr>
            </w:pPr>
            <w:r>
              <w:rPr>
                <w:spacing w:val="-5"/>
                <w:sz w:val="17"/>
              </w:rPr>
              <w:t>4.6</w:t>
            </w:r>
          </w:p>
        </w:tc>
        <w:tc>
          <w:tcPr>
            <w:tcW w:w="631" w:type="dxa"/>
            <w:tcBorders>
              <w:top w:val="single" w:color="DCDDDE" w:sz="4" w:space="0"/>
              <w:bottom w:val="single" w:color="DCDDDE" w:sz="4" w:space="0"/>
            </w:tcBorders>
          </w:tcPr>
          <w:p w:rsidR="00C31389" w:rsidRDefault="00561FBD" w14:paraId="263B225A" w14:textId="77777777">
            <w:pPr>
              <w:pStyle w:val="TableParagraph"/>
              <w:spacing w:before="42"/>
              <w:ind w:right="127"/>
              <w:jc w:val="right"/>
              <w:rPr>
                <w:sz w:val="17"/>
              </w:rPr>
            </w:pPr>
            <w:r>
              <w:rPr>
                <w:spacing w:val="-5"/>
                <w:sz w:val="17"/>
              </w:rPr>
              <w:t>4.2</w:t>
            </w:r>
          </w:p>
        </w:tc>
        <w:tc>
          <w:tcPr>
            <w:tcW w:w="631" w:type="dxa"/>
            <w:tcBorders>
              <w:top w:val="single" w:color="DCDDDE" w:sz="4" w:space="0"/>
              <w:bottom w:val="single" w:color="DCDDDE" w:sz="4" w:space="0"/>
            </w:tcBorders>
          </w:tcPr>
          <w:p w:rsidR="00C31389" w:rsidRDefault="00561FBD" w14:paraId="45A19017" w14:textId="77777777">
            <w:pPr>
              <w:pStyle w:val="TableParagraph"/>
              <w:spacing w:before="42"/>
              <w:ind w:left="248" w:right="115"/>
              <w:jc w:val="center"/>
              <w:rPr>
                <w:sz w:val="17"/>
              </w:rPr>
            </w:pPr>
            <w:r>
              <w:rPr>
                <w:spacing w:val="-5"/>
                <w:sz w:val="17"/>
              </w:rPr>
              <w:t>4.0</w:t>
            </w:r>
          </w:p>
        </w:tc>
        <w:tc>
          <w:tcPr>
            <w:tcW w:w="631" w:type="dxa"/>
            <w:tcBorders>
              <w:top w:val="single" w:color="DCDDDE" w:sz="4" w:space="0"/>
              <w:bottom w:val="single" w:color="DCDDDE" w:sz="4" w:space="0"/>
            </w:tcBorders>
          </w:tcPr>
          <w:p w:rsidR="00C31389" w:rsidRDefault="00561FBD" w14:paraId="6221A170" w14:textId="77777777">
            <w:pPr>
              <w:pStyle w:val="TableParagraph"/>
              <w:spacing w:before="42"/>
              <w:ind w:left="245" w:right="114"/>
              <w:jc w:val="center"/>
              <w:rPr>
                <w:sz w:val="17"/>
              </w:rPr>
            </w:pPr>
            <w:r>
              <w:rPr>
                <w:spacing w:val="-5"/>
                <w:sz w:val="17"/>
              </w:rPr>
              <w:t>4.1</w:t>
            </w:r>
          </w:p>
        </w:tc>
        <w:tc>
          <w:tcPr>
            <w:tcW w:w="631" w:type="dxa"/>
            <w:tcBorders>
              <w:top w:val="single" w:color="DCDDDE" w:sz="4" w:space="0"/>
              <w:bottom w:val="single" w:color="DCDDDE" w:sz="4" w:space="0"/>
            </w:tcBorders>
          </w:tcPr>
          <w:p w:rsidR="00C31389" w:rsidRDefault="00561FBD" w14:paraId="3F3B32C9" w14:textId="77777777">
            <w:pPr>
              <w:pStyle w:val="TableParagraph"/>
              <w:spacing w:before="42"/>
              <w:ind w:right="131"/>
              <w:jc w:val="right"/>
              <w:rPr>
                <w:sz w:val="17"/>
              </w:rPr>
            </w:pPr>
            <w:r>
              <w:rPr>
                <w:spacing w:val="-5"/>
                <w:sz w:val="17"/>
              </w:rPr>
              <w:t>3.5</w:t>
            </w:r>
          </w:p>
        </w:tc>
        <w:tc>
          <w:tcPr>
            <w:tcW w:w="631" w:type="dxa"/>
            <w:tcBorders>
              <w:top w:val="single" w:color="DCDDDE" w:sz="4" w:space="0"/>
              <w:bottom w:val="single" w:color="DCDDDE" w:sz="4" w:space="0"/>
            </w:tcBorders>
          </w:tcPr>
          <w:p w:rsidR="00C31389" w:rsidRDefault="00561FBD" w14:paraId="5D180E7A" w14:textId="77777777">
            <w:pPr>
              <w:pStyle w:val="TableParagraph"/>
              <w:spacing w:before="42"/>
              <w:ind w:right="132"/>
              <w:jc w:val="right"/>
              <w:rPr>
                <w:sz w:val="17"/>
              </w:rPr>
            </w:pPr>
            <w:r>
              <w:rPr>
                <w:spacing w:val="-5"/>
                <w:sz w:val="17"/>
              </w:rPr>
              <w:t>3.5</w:t>
            </w:r>
          </w:p>
        </w:tc>
        <w:tc>
          <w:tcPr>
            <w:tcW w:w="631" w:type="dxa"/>
            <w:tcBorders>
              <w:top w:val="single" w:color="DCDDDE" w:sz="4" w:space="0"/>
              <w:bottom w:val="single" w:color="DCDDDE" w:sz="4" w:space="0"/>
            </w:tcBorders>
          </w:tcPr>
          <w:p w:rsidR="00C31389" w:rsidRDefault="00561FBD" w14:paraId="7EF046C4" w14:textId="77777777">
            <w:pPr>
              <w:pStyle w:val="TableParagraph"/>
              <w:spacing w:before="42"/>
              <w:ind w:left="240" w:right="116"/>
              <w:jc w:val="center"/>
              <w:rPr>
                <w:sz w:val="17"/>
              </w:rPr>
            </w:pPr>
            <w:r>
              <w:rPr>
                <w:spacing w:val="-5"/>
                <w:sz w:val="17"/>
              </w:rPr>
              <w:t>3.6</w:t>
            </w:r>
          </w:p>
        </w:tc>
        <w:tc>
          <w:tcPr>
            <w:tcW w:w="631" w:type="dxa"/>
            <w:tcBorders>
              <w:top w:val="single" w:color="DCDDDE" w:sz="4" w:space="0"/>
              <w:bottom w:val="single" w:color="DCDDDE" w:sz="4" w:space="0"/>
            </w:tcBorders>
          </w:tcPr>
          <w:p w:rsidR="00C31389" w:rsidRDefault="00561FBD" w14:paraId="62D7D559" w14:textId="77777777">
            <w:pPr>
              <w:pStyle w:val="TableParagraph"/>
              <w:spacing w:before="42"/>
              <w:ind w:right="134"/>
              <w:jc w:val="right"/>
              <w:rPr>
                <w:sz w:val="17"/>
              </w:rPr>
            </w:pPr>
            <w:r>
              <w:rPr>
                <w:spacing w:val="-5"/>
                <w:sz w:val="17"/>
              </w:rPr>
              <w:t>3.6</w:t>
            </w:r>
          </w:p>
        </w:tc>
        <w:tc>
          <w:tcPr>
            <w:tcW w:w="613" w:type="dxa"/>
            <w:tcBorders>
              <w:top w:val="single" w:color="DCDDDE" w:sz="4" w:space="0"/>
              <w:bottom w:val="single" w:color="DCDDDE" w:sz="4" w:space="0"/>
            </w:tcBorders>
          </w:tcPr>
          <w:p w:rsidR="00C31389" w:rsidRDefault="00561FBD" w14:paraId="0D2092D3" w14:textId="77777777">
            <w:pPr>
              <w:pStyle w:val="TableParagraph"/>
              <w:spacing w:before="42"/>
              <w:ind w:right="117"/>
              <w:jc w:val="right"/>
              <w:rPr>
                <w:sz w:val="17"/>
              </w:rPr>
            </w:pPr>
            <w:r>
              <w:rPr>
                <w:spacing w:val="-5"/>
                <w:sz w:val="17"/>
              </w:rPr>
              <w:t>3.6</w:t>
            </w:r>
          </w:p>
        </w:tc>
      </w:tr>
      <w:tr w:rsidR="00C31389" w14:paraId="7D0A477F" w14:textId="77777777">
        <w:trPr>
          <w:trHeight w:val="275"/>
        </w:trPr>
        <w:tc>
          <w:tcPr>
            <w:tcW w:w="1507" w:type="dxa"/>
            <w:tcBorders>
              <w:top w:val="single" w:color="DCDDDE" w:sz="4" w:space="0"/>
              <w:bottom w:val="single" w:color="DCDDDE" w:sz="4" w:space="0"/>
            </w:tcBorders>
          </w:tcPr>
          <w:p w:rsidR="00C31389" w:rsidRDefault="00561FBD" w14:paraId="55751E04" w14:textId="77777777">
            <w:pPr>
              <w:pStyle w:val="TableParagraph"/>
              <w:spacing w:before="42"/>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090D55ED" w14:textId="77777777">
            <w:pPr>
              <w:pStyle w:val="TableParagraph"/>
              <w:spacing w:before="42"/>
              <w:ind w:right="192"/>
              <w:jc w:val="right"/>
              <w:rPr>
                <w:sz w:val="17"/>
              </w:rPr>
            </w:pPr>
            <w:r>
              <w:rPr>
                <w:spacing w:val="-5"/>
                <w:sz w:val="17"/>
              </w:rPr>
              <w:t>0.7</w:t>
            </w:r>
          </w:p>
        </w:tc>
        <w:tc>
          <w:tcPr>
            <w:tcW w:w="712" w:type="dxa"/>
            <w:tcBorders>
              <w:top w:val="single" w:color="DCDDDE" w:sz="4" w:space="0"/>
              <w:bottom w:val="single" w:color="DCDDDE" w:sz="4" w:space="0"/>
            </w:tcBorders>
          </w:tcPr>
          <w:p w:rsidR="00C31389" w:rsidRDefault="00561FBD" w14:paraId="5FA609BC" w14:textId="77777777">
            <w:pPr>
              <w:pStyle w:val="TableParagraph"/>
              <w:spacing w:before="42"/>
              <w:ind w:right="138"/>
              <w:jc w:val="right"/>
              <w:rPr>
                <w:sz w:val="17"/>
              </w:rPr>
            </w:pPr>
            <w:r>
              <w:rPr>
                <w:spacing w:val="-5"/>
                <w:sz w:val="17"/>
              </w:rPr>
              <w:t>0.7</w:t>
            </w:r>
          </w:p>
        </w:tc>
        <w:tc>
          <w:tcPr>
            <w:tcW w:w="644" w:type="dxa"/>
            <w:tcBorders>
              <w:top w:val="single" w:color="DCDDDE" w:sz="4" w:space="0"/>
              <w:bottom w:val="single" w:color="DCDDDE" w:sz="4" w:space="0"/>
            </w:tcBorders>
          </w:tcPr>
          <w:p w:rsidR="00C31389" w:rsidRDefault="00561FBD" w14:paraId="7FD06AAD" w14:textId="77777777">
            <w:pPr>
              <w:pStyle w:val="TableParagraph"/>
              <w:spacing w:before="42"/>
              <w:ind w:right="125"/>
              <w:jc w:val="right"/>
              <w:rPr>
                <w:sz w:val="17"/>
              </w:rPr>
            </w:pPr>
            <w:r>
              <w:rPr>
                <w:spacing w:val="-5"/>
                <w:sz w:val="17"/>
              </w:rPr>
              <w:t>0.9</w:t>
            </w:r>
          </w:p>
        </w:tc>
        <w:tc>
          <w:tcPr>
            <w:tcW w:w="631" w:type="dxa"/>
            <w:tcBorders>
              <w:top w:val="single" w:color="DCDDDE" w:sz="4" w:space="0"/>
              <w:bottom w:val="single" w:color="DCDDDE" w:sz="4" w:space="0"/>
            </w:tcBorders>
          </w:tcPr>
          <w:p w:rsidR="00C31389" w:rsidRDefault="00561FBD" w14:paraId="799978F0" w14:textId="77777777">
            <w:pPr>
              <w:pStyle w:val="TableParagraph"/>
              <w:spacing w:before="42"/>
              <w:ind w:right="126"/>
              <w:jc w:val="right"/>
              <w:rPr>
                <w:sz w:val="17"/>
              </w:rPr>
            </w:pPr>
            <w:r>
              <w:rPr>
                <w:spacing w:val="-5"/>
                <w:sz w:val="17"/>
              </w:rPr>
              <w:t>0.9</w:t>
            </w:r>
          </w:p>
        </w:tc>
        <w:tc>
          <w:tcPr>
            <w:tcW w:w="631" w:type="dxa"/>
            <w:tcBorders>
              <w:top w:val="single" w:color="DCDDDE" w:sz="4" w:space="0"/>
              <w:bottom w:val="single" w:color="DCDDDE" w:sz="4" w:space="0"/>
            </w:tcBorders>
          </w:tcPr>
          <w:p w:rsidR="00C31389" w:rsidRDefault="00561FBD" w14:paraId="0FC18667" w14:textId="77777777">
            <w:pPr>
              <w:pStyle w:val="TableParagraph"/>
              <w:spacing w:before="42"/>
              <w:ind w:right="128"/>
              <w:jc w:val="right"/>
              <w:rPr>
                <w:sz w:val="17"/>
              </w:rPr>
            </w:pPr>
            <w:r>
              <w:rPr>
                <w:spacing w:val="-5"/>
                <w:sz w:val="17"/>
              </w:rPr>
              <w:t>1.0</w:t>
            </w:r>
          </w:p>
        </w:tc>
        <w:tc>
          <w:tcPr>
            <w:tcW w:w="631" w:type="dxa"/>
            <w:tcBorders>
              <w:top w:val="single" w:color="DCDDDE" w:sz="4" w:space="0"/>
              <w:bottom w:val="single" w:color="DCDDDE" w:sz="4" w:space="0"/>
            </w:tcBorders>
          </w:tcPr>
          <w:p w:rsidR="00C31389" w:rsidRDefault="00561FBD" w14:paraId="0E4DD099" w14:textId="77777777">
            <w:pPr>
              <w:pStyle w:val="TableParagraph"/>
              <w:spacing w:before="42"/>
              <w:ind w:left="248" w:right="115"/>
              <w:jc w:val="center"/>
              <w:rPr>
                <w:sz w:val="17"/>
              </w:rPr>
            </w:pPr>
            <w:r>
              <w:rPr>
                <w:spacing w:val="-5"/>
                <w:sz w:val="17"/>
              </w:rPr>
              <w:t>1.1</w:t>
            </w:r>
          </w:p>
        </w:tc>
        <w:tc>
          <w:tcPr>
            <w:tcW w:w="631" w:type="dxa"/>
            <w:tcBorders>
              <w:top w:val="single" w:color="DCDDDE" w:sz="4" w:space="0"/>
              <w:bottom w:val="single" w:color="DCDDDE" w:sz="4" w:space="0"/>
            </w:tcBorders>
          </w:tcPr>
          <w:p w:rsidR="00C31389" w:rsidRDefault="00561FBD" w14:paraId="5A483361" w14:textId="77777777">
            <w:pPr>
              <w:pStyle w:val="TableParagraph"/>
              <w:spacing w:before="42"/>
              <w:ind w:left="245" w:right="114"/>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1EE7FA1D" w14:textId="77777777">
            <w:pPr>
              <w:pStyle w:val="TableParagraph"/>
              <w:spacing w:before="42"/>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472F743" w14:textId="77777777">
            <w:pPr>
              <w:pStyle w:val="TableParagraph"/>
              <w:spacing w:before="42"/>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9849F2F" w14:textId="77777777">
            <w:pPr>
              <w:pStyle w:val="TableParagraph"/>
              <w:spacing w:before="42"/>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FDB7962" w14:textId="77777777">
            <w:pPr>
              <w:pStyle w:val="TableParagraph"/>
              <w:spacing w:before="42"/>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61CC7DFD" w14:textId="77777777">
            <w:pPr>
              <w:pStyle w:val="TableParagraph"/>
              <w:spacing w:before="42"/>
              <w:ind w:right="116"/>
              <w:jc w:val="right"/>
              <w:rPr>
                <w:sz w:val="17"/>
              </w:rPr>
            </w:pPr>
            <w:r>
              <w:rPr>
                <w:spacing w:val="-5"/>
                <w:sz w:val="17"/>
              </w:rPr>
              <w:t>0.0</w:t>
            </w:r>
          </w:p>
        </w:tc>
      </w:tr>
      <w:tr w:rsidR="00C31389" w14:paraId="020151B7" w14:textId="77777777">
        <w:trPr>
          <w:trHeight w:val="275"/>
        </w:trPr>
        <w:tc>
          <w:tcPr>
            <w:tcW w:w="1507" w:type="dxa"/>
            <w:tcBorders>
              <w:top w:val="single" w:color="DCDDDE" w:sz="4" w:space="0"/>
              <w:bottom w:val="single" w:color="DCDDDE" w:sz="4" w:space="0"/>
            </w:tcBorders>
          </w:tcPr>
          <w:p w:rsidR="00C31389" w:rsidRDefault="00561FBD" w14:paraId="0E65C542" w14:textId="77777777">
            <w:pPr>
              <w:pStyle w:val="TableParagraph"/>
              <w:spacing w:before="42"/>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714D1AAA" w14:textId="77777777">
            <w:pPr>
              <w:pStyle w:val="TableParagraph"/>
              <w:spacing w:before="42"/>
              <w:ind w:right="192"/>
              <w:jc w:val="right"/>
              <w:rPr>
                <w:sz w:val="17"/>
              </w:rPr>
            </w:pPr>
            <w:r>
              <w:rPr>
                <w:spacing w:val="-4"/>
                <w:sz w:val="17"/>
              </w:rPr>
              <w:t>11.3</w:t>
            </w:r>
          </w:p>
        </w:tc>
        <w:tc>
          <w:tcPr>
            <w:tcW w:w="712" w:type="dxa"/>
            <w:tcBorders>
              <w:top w:val="single" w:color="DCDDDE" w:sz="4" w:space="0"/>
              <w:bottom w:val="single" w:color="DCDDDE" w:sz="4" w:space="0"/>
            </w:tcBorders>
          </w:tcPr>
          <w:p w:rsidR="00C31389" w:rsidRDefault="00561FBD" w14:paraId="3604D39C" w14:textId="77777777">
            <w:pPr>
              <w:pStyle w:val="TableParagraph"/>
              <w:spacing w:before="42"/>
              <w:ind w:right="138"/>
              <w:jc w:val="right"/>
              <w:rPr>
                <w:sz w:val="17"/>
              </w:rPr>
            </w:pPr>
            <w:r>
              <w:rPr>
                <w:spacing w:val="-4"/>
                <w:sz w:val="17"/>
              </w:rPr>
              <w:t>11.7</w:t>
            </w:r>
          </w:p>
        </w:tc>
        <w:tc>
          <w:tcPr>
            <w:tcW w:w="644" w:type="dxa"/>
            <w:tcBorders>
              <w:top w:val="single" w:color="DCDDDE" w:sz="4" w:space="0"/>
              <w:bottom w:val="single" w:color="DCDDDE" w:sz="4" w:space="0"/>
            </w:tcBorders>
          </w:tcPr>
          <w:p w:rsidR="00C31389" w:rsidRDefault="00561FBD" w14:paraId="7236D838" w14:textId="77777777">
            <w:pPr>
              <w:pStyle w:val="TableParagraph"/>
              <w:spacing w:before="42"/>
              <w:ind w:right="125"/>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3D11C04C" w14:textId="77777777">
            <w:pPr>
              <w:pStyle w:val="TableParagraph"/>
              <w:spacing w:before="42"/>
              <w:ind w:right="126"/>
              <w:jc w:val="right"/>
              <w:rPr>
                <w:sz w:val="17"/>
              </w:rPr>
            </w:pPr>
            <w:r>
              <w:rPr>
                <w:spacing w:val="-4"/>
                <w:sz w:val="17"/>
              </w:rPr>
              <w:t>12.5</w:t>
            </w:r>
          </w:p>
        </w:tc>
        <w:tc>
          <w:tcPr>
            <w:tcW w:w="631" w:type="dxa"/>
            <w:tcBorders>
              <w:top w:val="single" w:color="DCDDDE" w:sz="4" w:space="0"/>
              <w:bottom w:val="single" w:color="DCDDDE" w:sz="4" w:space="0"/>
            </w:tcBorders>
          </w:tcPr>
          <w:p w:rsidR="00C31389" w:rsidRDefault="00561FBD" w14:paraId="6D0B096F" w14:textId="77777777">
            <w:pPr>
              <w:pStyle w:val="TableParagraph"/>
              <w:spacing w:before="42"/>
              <w:ind w:right="127"/>
              <w:jc w:val="right"/>
              <w:rPr>
                <w:sz w:val="17"/>
              </w:rPr>
            </w:pPr>
            <w:r>
              <w:rPr>
                <w:spacing w:val="-4"/>
                <w:sz w:val="17"/>
              </w:rPr>
              <w:t>13.0</w:t>
            </w:r>
          </w:p>
        </w:tc>
        <w:tc>
          <w:tcPr>
            <w:tcW w:w="631" w:type="dxa"/>
            <w:tcBorders>
              <w:top w:val="single" w:color="DCDDDE" w:sz="4" w:space="0"/>
              <w:bottom w:val="single" w:color="DCDDDE" w:sz="4" w:space="0"/>
            </w:tcBorders>
          </w:tcPr>
          <w:p w:rsidR="00C31389" w:rsidRDefault="00561FBD" w14:paraId="5B75E1C1" w14:textId="77777777">
            <w:pPr>
              <w:pStyle w:val="TableParagraph"/>
              <w:spacing w:before="42"/>
              <w:ind w:left="106" w:right="68"/>
              <w:jc w:val="center"/>
              <w:rPr>
                <w:sz w:val="17"/>
              </w:rPr>
            </w:pPr>
            <w:r>
              <w:rPr>
                <w:spacing w:val="-4"/>
                <w:sz w:val="17"/>
              </w:rPr>
              <w:t>13.4</w:t>
            </w:r>
          </w:p>
        </w:tc>
        <w:tc>
          <w:tcPr>
            <w:tcW w:w="631" w:type="dxa"/>
            <w:tcBorders>
              <w:top w:val="single" w:color="DCDDDE" w:sz="4" w:space="0"/>
              <w:bottom w:val="single" w:color="DCDDDE" w:sz="4" w:space="0"/>
            </w:tcBorders>
          </w:tcPr>
          <w:p w:rsidR="00C31389" w:rsidRDefault="00561FBD" w14:paraId="5462A1D2" w14:textId="77777777">
            <w:pPr>
              <w:pStyle w:val="TableParagraph"/>
              <w:spacing w:before="42"/>
              <w:ind w:left="106" w:right="70"/>
              <w:jc w:val="center"/>
              <w:rPr>
                <w:sz w:val="17"/>
              </w:rPr>
            </w:pPr>
            <w:r>
              <w:rPr>
                <w:spacing w:val="-4"/>
                <w:sz w:val="17"/>
              </w:rPr>
              <w:t>14.0</w:t>
            </w:r>
          </w:p>
        </w:tc>
        <w:tc>
          <w:tcPr>
            <w:tcW w:w="631" w:type="dxa"/>
            <w:tcBorders>
              <w:top w:val="single" w:color="DCDDDE" w:sz="4" w:space="0"/>
              <w:bottom w:val="single" w:color="DCDDDE" w:sz="4" w:space="0"/>
            </w:tcBorders>
          </w:tcPr>
          <w:p w:rsidR="00C31389" w:rsidRDefault="00561FBD" w14:paraId="66E6E707" w14:textId="77777777">
            <w:pPr>
              <w:pStyle w:val="TableParagraph"/>
              <w:spacing w:before="42"/>
              <w:ind w:right="130"/>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4339ED68" w14:textId="77777777">
            <w:pPr>
              <w:pStyle w:val="TableParagraph"/>
              <w:spacing w:before="42"/>
              <w:ind w:right="131"/>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20557DE8" w14:textId="77777777">
            <w:pPr>
              <w:pStyle w:val="TableParagraph"/>
              <w:spacing w:before="42"/>
              <w:ind w:left="106" w:right="76"/>
              <w:jc w:val="center"/>
              <w:rPr>
                <w:sz w:val="17"/>
              </w:rPr>
            </w:pPr>
            <w:r>
              <w:rPr>
                <w:spacing w:val="-4"/>
                <w:sz w:val="17"/>
              </w:rPr>
              <w:t>16.3</w:t>
            </w:r>
          </w:p>
        </w:tc>
        <w:tc>
          <w:tcPr>
            <w:tcW w:w="631" w:type="dxa"/>
            <w:tcBorders>
              <w:top w:val="single" w:color="DCDDDE" w:sz="4" w:space="0"/>
              <w:bottom w:val="single" w:color="DCDDDE" w:sz="4" w:space="0"/>
            </w:tcBorders>
          </w:tcPr>
          <w:p w:rsidR="00C31389" w:rsidRDefault="00561FBD" w14:paraId="0ACBFFEE" w14:textId="77777777">
            <w:pPr>
              <w:pStyle w:val="TableParagraph"/>
              <w:spacing w:before="42"/>
              <w:ind w:right="133"/>
              <w:jc w:val="right"/>
              <w:rPr>
                <w:sz w:val="17"/>
              </w:rPr>
            </w:pPr>
            <w:r>
              <w:rPr>
                <w:spacing w:val="-4"/>
                <w:sz w:val="17"/>
              </w:rPr>
              <w:t>15.4</w:t>
            </w:r>
          </w:p>
        </w:tc>
        <w:tc>
          <w:tcPr>
            <w:tcW w:w="613" w:type="dxa"/>
            <w:tcBorders>
              <w:top w:val="single" w:color="DCDDDE" w:sz="4" w:space="0"/>
              <w:bottom w:val="single" w:color="DCDDDE" w:sz="4" w:space="0"/>
            </w:tcBorders>
          </w:tcPr>
          <w:p w:rsidR="00C31389" w:rsidRDefault="00561FBD" w14:paraId="4F260E59" w14:textId="77777777">
            <w:pPr>
              <w:pStyle w:val="TableParagraph"/>
              <w:spacing w:before="42"/>
              <w:ind w:right="116"/>
              <w:jc w:val="right"/>
              <w:rPr>
                <w:sz w:val="17"/>
              </w:rPr>
            </w:pPr>
            <w:r>
              <w:rPr>
                <w:spacing w:val="-4"/>
                <w:sz w:val="17"/>
              </w:rPr>
              <w:t>16.1</w:t>
            </w:r>
          </w:p>
        </w:tc>
      </w:tr>
      <w:tr w:rsidR="00C31389" w14:paraId="66D2D495"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07A883BE"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134BA000" w14:textId="77777777">
        <w:trPr>
          <w:trHeight w:val="275"/>
        </w:trPr>
        <w:tc>
          <w:tcPr>
            <w:tcW w:w="1507" w:type="dxa"/>
            <w:tcBorders>
              <w:top w:val="single" w:color="DCDDDE" w:sz="4" w:space="0"/>
              <w:bottom w:val="single" w:color="DCDDDE" w:sz="4" w:space="0"/>
            </w:tcBorders>
          </w:tcPr>
          <w:p w:rsidR="00C31389" w:rsidRDefault="00561FBD" w14:paraId="413250AE"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424DF7BB" w14:textId="77777777">
            <w:pPr>
              <w:pStyle w:val="TableParagraph"/>
              <w:ind w:right="192"/>
              <w:jc w:val="right"/>
              <w:rPr>
                <w:sz w:val="17"/>
              </w:rPr>
            </w:pPr>
            <w:r>
              <w:rPr>
                <w:spacing w:val="-5"/>
                <w:sz w:val="17"/>
              </w:rPr>
              <w:t>7.0</w:t>
            </w:r>
          </w:p>
        </w:tc>
        <w:tc>
          <w:tcPr>
            <w:tcW w:w="712" w:type="dxa"/>
            <w:tcBorders>
              <w:top w:val="single" w:color="DCDDDE" w:sz="4" w:space="0"/>
              <w:bottom w:val="single" w:color="DCDDDE" w:sz="4" w:space="0"/>
            </w:tcBorders>
          </w:tcPr>
          <w:p w:rsidR="00C31389" w:rsidRDefault="00561FBD" w14:paraId="44259694" w14:textId="77777777">
            <w:pPr>
              <w:pStyle w:val="TableParagraph"/>
              <w:ind w:right="138"/>
              <w:jc w:val="right"/>
              <w:rPr>
                <w:sz w:val="17"/>
              </w:rPr>
            </w:pPr>
            <w:r>
              <w:rPr>
                <w:spacing w:val="-5"/>
                <w:sz w:val="17"/>
              </w:rPr>
              <w:t>6.2</w:t>
            </w:r>
          </w:p>
        </w:tc>
        <w:tc>
          <w:tcPr>
            <w:tcW w:w="644" w:type="dxa"/>
            <w:tcBorders>
              <w:top w:val="single" w:color="DCDDDE" w:sz="4" w:space="0"/>
              <w:bottom w:val="single" w:color="DCDDDE" w:sz="4" w:space="0"/>
            </w:tcBorders>
          </w:tcPr>
          <w:p w:rsidR="00C31389" w:rsidRDefault="00561FBD" w14:paraId="710E76D7" w14:textId="77777777">
            <w:pPr>
              <w:pStyle w:val="TableParagraph"/>
              <w:ind w:right="125"/>
              <w:jc w:val="right"/>
              <w:rPr>
                <w:sz w:val="17"/>
              </w:rPr>
            </w:pPr>
            <w:r>
              <w:rPr>
                <w:spacing w:val="-5"/>
                <w:sz w:val="17"/>
              </w:rPr>
              <w:t>5.4</w:t>
            </w:r>
          </w:p>
        </w:tc>
        <w:tc>
          <w:tcPr>
            <w:tcW w:w="631" w:type="dxa"/>
            <w:tcBorders>
              <w:top w:val="single" w:color="DCDDDE" w:sz="4" w:space="0"/>
              <w:bottom w:val="single" w:color="DCDDDE" w:sz="4" w:space="0"/>
            </w:tcBorders>
          </w:tcPr>
          <w:p w:rsidR="00C31389" w:rsidRDefault="00561FBD" w14:paraId="52F21675" w14:textId="77777777">
            <w:pPr>
              <w:pStyle w:val="TableParagraph"/>
              <w:ind w:right="126"/>
              <w:jc w:val="right"/>
              <w:rPr>
                <w:sz w:val="17"/>
              </w:rPr>
            </w:pPr>
            <w:r>
              <w:rPr>
                <w:spacing w:val="-5"/>
                <w:sz w:val="17"/>
              </w:rPr>
              <w:t>4.7</w:t>
            </w:r>
          </w:p>
        </w:tc>
        <w:tc>
          <w:tcPr>
            <w:tcW w:w="631" w:type="dxa"/>
            <w:tcBorders>
              <w:top w:val="single" w:color="DCDDDE" w:sz="4" w:space="0"/>
              <w:bottom w:val="single" w:color="DCDDDE" w:sz="4" w:space="0"/>
            </w:tcBorders>
          </w:tcPr>
          <w:p w:rsidR="00C31389" w:rsidRDefault="00561FBD" w14:paraId="2C546630" w14:textId="77777777">
            <w:pPr>
              <w:pStyle w:val="TableParagraph"/>
              <w:ind w:right="127"/>
              <w:jc w:val="right"/>
              <w:rPr>
                <w:sz w:val="17"/>
              </w:rPr>
            </w:pPr>
            <w:r>
              <w:rPr>
                <w:spacing w:val="-5"/>
                <w:sz w:val="17"/>
              </w:rPr>
              <w:t>4.3</w:t>
            </w:r>
          </w:p>
        </w:tc>
        <w:tc>
          <w:tcPr>
            <w:tcW w:w="631" w:type="dxa"/>
            <w:tcBorders>
              <w:top w:val="single" w:color="DCDDDE" w:sz="4" w:space="0"/>
              <w:bottom w:val="single" w:color="DCDDDE" w:sz="4" w:space="0"/>
            </w:tcBorders>
          </w:tcPr>
          <w:p w:rsidR="00C31389" w:rsidRDefault="00561FBD" w14:paraId="3CE1178E" w14:textId="77777777">
            <w:pPr>
              <w:pStyle w:val="TableParagraph"/>
              <w:ind w:left="248" w:right="115"/>
              <w:jc w:val="center"/>
              <w:rPr>
                <w:sz w:val="17"/>
              </w:rPr>
            </w:pPr>
            <w:r>
              <w:rPr>
                <w:spacing w:val="-5"/>
                <w:sz w:val="17"/>
              </w:rPr>
              <w:t>4.0</w:t>
            </w:r>
          </w:p>
        </w:tc>
        <w:tc>
          <w:tcPr>
            <w:tcW w:w="631" w:type="dxa"/>
            <w:tcBorders>
              <w:top w:val="single" w:color="DCDDDE" w:sz="4" w:space="0"/>
              <w:bottom w:val="single" w:color="DCDDDE" w:sz="4" w:space="0"/>
            </w:tcBorders>
          </w:tcPr>
          <w:p w:rsidR="00C31389" w:rsidRDefault="00561FBD" w14:paraId="22516D71" w14:textId="77777777">
            <w:pPr>
              <w:pStyle w:val="TableParagraph"/>
              <w:ind w:left="245" w:right="114"/>
              <w:jc w:val="center"/>
              <w:rPr>
                <w:sz w:val="17"/>
              </w:rPr>
            </w:pPr>
            <w:r>
              <w:rPr>
                <w:spacing w:val="-5"/>
                <w:sz w:val="17"/>
              </w:rPr>
              <w:t>4.1</w:t>
            </w:r>
          </w:p>
        </w:tc>
        <w:tc>
          <w:tcPr>
            <w:tcW w:w="631" w:type="dxa"/>
            <w:tcBorders>
              <w:top w:val="single" w:color="DCDDDE" w:sz="4" w:space="0"/>
              <w:bottom w:val="single" w:color="DCDDDE" w:sz="4" w:space="0"/>
            </w:tcBorders>
          </w:tcPr>
          <w:p w:rsidR="00C31389" w:rsidRDefault="00561FBD" w14:paraId="28E04D23" w14:textId="77777777">
            <w:pPr>
              <w:pStyle w:val="TableParagraph"/>
              <w:ind w:right="131"/>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3FFBFD53" w14:textId="77777777">
            <w:pPr>
              <w:pStyle w:val="TableParagraph"/>
              <w:ind w:right="132"/>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4132292D" w14:textId="77777777">
            <w:pPr>
              <w:pStyle w:val="TableParagraph"/>
              <w:ind w:left="240" w:right="116"/>
              <w:jc w:val="center"/>
              <w:rPr>
                <w:sz w:val="17"/>
              </w:rPr>
            </w:pPr>
            <w:r>
              <w:rPr>
                <w:spacing w:val="-5"/>
                <w:sz w:val="17"/>
              </w:rPr>
              <w:t>3.6</w:t>
            </w:r>
          </w:p>
        </w:tc>
        <w:tc>
          <w:tcPr>
            <w:tcW w:w="631" w:type="dxa"/>
            <w:tcBorders>
              <w:top w:val="single" w:color="DCDDDE" w:sz="4" w:space="0"/>
              <w:bottom w:val="single" w:color="DCDDDE" w:sz="4" w:space="0"/>
            </w:tcBorders>
          </w:tcPr>
          <w:p w:rsidR="00C31389" w:rsidRDefault="00561FBD" w14:paraId="3C627CE3" w14:textId="77777777">
            <w:pPr>
              <w:pStyle w:val="TableParagraph"/>
              <w:ind w:right="134"/>
              <w:jc w:val="right"/>
              <w:rPr>
                <w:sz w:val="17"/>
              </w:rPr>
            </w:pPr>
            <w:r>
              <w:rPr>
                <w:spacing w:val="-5"/>
                <w:sz w:val="17"/>
              </w:rPr>
              <w:t>3.6</w:t>
            </w:r>
          </w:p>
        </w:tc>
        <w:tc>
          <w:tcPr>
            <w:tcW w:w="613" w:type="dxa"/>
            <w:tcBorders>
              <w:top w:val="single" w:color="DCDDDE" w:sz="4" w:space="0"/>
              <w:bottom w:val="single" w:color="DCDDDE" w:sz="4" w:space="0"/>
            </w:tcBorders>
          </w:tcPr>
          <w:p w:rsidR="00C31389" w:rsidRDefault="00561FBD" w14:paraId="295DECA1" w14:textId="77777777">
            <w:pPr>
              <w:pStyle w:val="TableParagraph"/>
              <w:ind w:right="117"/>
              <w:jc w:val="right"/>
              <w:rPr>
                <w:sz w:val="17"/>
              </w:rPr>
            </w:pPr>
            <w:r>
              <w:rPr>
                <w:spacing w:val="-5"/>
                <w:sz w:val="17"/>
              </w:rPr>
              <w:t>3.6</w:t>
            </w:r>
          </w:p>
        </w:tc>
      </w:tr>
      <w:tr w:rsidR="00C31389" w14:paraId="324DBA80" w14:textId="77777777">
        <w:trPr>
          <w:trHeight w:val="275"/>
        </w:trPr>
        <w:tc>
          <w:tcPr>
            <w:tcW w:w="1507" w:type="dxa"/>
            <w:tcBorders>
              <w:top w:val="single" w:color="DCDDDE" w:sz="4" w:space="0"/>
              <w:bottom w:val="single" w:color="DCDDDE" w:sz="4" w:space="0"/>
            </w:tcBorders>
          </w:tcPr>
          <w:p w:rsidR="00C31389" w:rsidRDefault="00561FBD" w14:paraId="5745ECBA"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30977569" w14:textId="77777777">
            <w:pPr>
              <w:pStyle w:val="TableParagraph"/>
              <w:ind w:right="192"/>
              <w:jc w:val="right"/>
              <w:rPr>
                <w:sz w:val="17"/>
              </w:rPr>
            </w:pPr>
            <w:r>
              <w:rPr>
                <w:spacing w:val="-5"/>
                <w:sz w:val="17"/>
              </w:rPr>
              <w:t>1.2</w:t>
            </w:r>
          </w:p>
        </w:tc>
        <w:tc>
          <w:tcPr>
            <w:tcW w:w="712" w:type="dxa"/>
            <w:tcBorders>
              <w:top w:val="single" w:color="DCDDDE" w:sz="4" w:space="0"/>
              <w:bottom w:val="single" w:color="DCDDDE" w:sz="4" w:space="0"/>
            </w:tcBorders>
          </w:tcPr>
          <w:p w:rsidR="00C31389" w:rsidRDefault="00561FBD" w14:paraId="3D800ED1" w14:textId="77777777">
            <w:pPr>
              <w:pStyle w:val="TableParagraph"/>
              <w:ind w:right="138"/>
              <w:jc w:val="right"/>
              <w:rPr>
                <w:sz w:val="17"/>
              </w:rPr>
            </w:pPr>
            <w:r>
              <w:rPr>
                <w:spacing w:val="-5"/>
                <w:sz w:val="17"/>
              </w:rPr>
              <w:t>1.2</w:t>
            </w:r>
          </w:p>
        </w:tc>
        <w:tc>
          <w:tcPr>
            <w:tcW w:w="644" w:type="dxa"/>
            <w:tcBorders>
              <w:top w:val="single" w:color="DCDDDE" w:sz="4" w:space="0"/>
              <w:bottom w:val="single" w:color="DCDDDE" w:sz="4" w:space="0"/>
            </w:tcBorders>
          </w:tcPr>
          <w:p w:rsidR="00C31389" w:rsidRDefault="00561FBD" w14:paraId="74C54150" w14:textId="77777777">
            <w:pPr>
              <w:pStyle w:val="TableParagraph"/>
              <w:ind w:right="125"/>
              <w:jc w:val="right"/>
              <w:rPr>
                <w:sz w:val="17"/>
              </w:rPr>
            </w:pPr>
            <w:r>
              <w:rPr>
                <w:spacing w:val="-5"/>
                <w:sz w:val="17"/>
              </w:rPr>
              <w:t>1.2</w:t>
            </w:r>
          </w:p>
        </w:tc>
        <w:tc>
          <w:tcPr>
            <w:tcW w:w="631" w:type="dxa"/>
            <w:tcBorders>
              <w:top w:val="single" w:color="DCDDDE" w:sz="4" w:space="0"/>
              <w:bottom w:val="single" w:color="DCDDDE" w:sz="4" w:space="0"/>
            </w:tcBorders>
          </w:tcPr>
          <w:p w:rsidR="00C31389" w:rsidRDefault="00561FBD" w14:paraId="4E678EA6" w14:textId="77777777">
            <w:pPr>
              <w:pStyle w:val="TableParagraph"/>
              <w:ind w:right="126"/>
              <w:jc w:val="right"/>
              <w:rPr>
                <w:sz w:val="17"/>
              </w:rPr>
            </w:pPr>
            <w:r>
              <w:rPr>
                <w:spacing w:val="-5"/>
                <w:sz w:val="17"/>
              </w:rPr>
              <w:t>1.3</w:t>
            </w:r>
          </w:p>
        </w:tc>
        <w:tc>
          <w:tcPr>
            <w:tcW w:w="631" w:type="dxa"/>
            <w:tcBorders>
              <w:top w:val="single" w:color="DCDDDE" w:sz="4" w:space="0"/>
              <w:bottom w:val="single" w:color="DCDDDE" w:sz="4" w:space="0"/>
            </w:tcBorders>
          </w:tcPr>
          <w:p w:rsidR="00C31389" w:rsidRDefault="00561FBD" w14:paraId="75D8686B" w14:textId="77777777">
            <w:pPr>
              <w:pStyle w:val="TableParagraph"/>
              <w:ind w:right="127"/>
              <w:jc w:val="right"/>
              <w:rPr>
                <w:sz w:val="17"/>
              </w:rPr>
            </w:pPr>
            <w:r>
              <w:rPr>
                <w:spacing w:val="-5"/>
                <w:sz w:val="17"/>
              </w:rPr>
              <w:t>1.3</w:t>
            </w:r>
          </w:p>
        </w:tc>
        <w:tc>
          <w:tcPr>
            <w:tcW w:w="631" w:type="dxa"/>
            <w:tcBorders>
              <w:top w:val="single" w:color="DCDDDE" w:sz="4" w:space="0"/>
              <w:bottom w:val="single" w:color="DCDDDE" w:sz="4" w:space="0"/>
            </w:tcBorders>
          </w:tcPr>
          <w:p w:rsidR="00C31389" w:rsidRDefault="00561FBD" w14:paraId="0A2AC337" w14:textId="77777777">
            <w:pPr>
              <w:pStyle w:val="TableParagraph"/>
              <w:ind w:left="248" w:right="115"/>
              <w:jc w:val="center"/>
              <w:rPr>
                <w:sz w:val="17"/>
              </w:rPr>
            </w:pPr>
            <w:r>
              <w:rPr>
                <w:spacing w:val="-5"/>
                <w:sz w:val="17"/>
              </w:rPr>
              <w:t>1.3</w:t>
            </w:r>
          </w:p>
        </w:tc>
        <w:tc>
          <w:tcPr>
            <w:tcW w:w="631" w:type="dxa"/>
            <w:tcBorders>
              <w:top w:val="single" w:color="DCDDDE" w:sz="4" w:space="0"/>
              <w:bottom w:val="single" w:color="DCDDDE" w:sz="4" w:space="0"/>
            </w:tcBorders>
          </w:tcPr>
          <w:p w:rsidR="00C31389" w:rsidRDefault="00561FBD" w14:paraId="258FCFA7" w14:textId="77777777">
            <w:pPr>
              <w:pStyle w:val="TableParagraph"/>
              <w:ind w:left="245" w:right="114"/>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191DF5C3"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D6A073E"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7A4A15A"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61CECCA4"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558D8C57" w14:textId="77777777">
            <w:pPr>
              <w:pStyle w:val="TableParagraph"/>
              <w:ind w:right="116"/>
              <w:jc w:val="right"/>
              <w:rPr>
                <w:sz w:val="17"/>
              </w:rPr>
            </w:pPr>
            <w:r>
              <w:rPr>
                <w:spacing w:val="-5"/>
                <w:sz w:val="17"/>
              </w:rPr>
              <w:t>0.0</w:t>
            </w:r>
          </w:p>
        </w:tc>
      </w:tr>
      <w:tr w:rsidR="00C31389" w14:paraId="4E23E8D8" w14:textId="77777777">
        <w:trPr>
          <w:trHeight w:val="275"/>
        </w:trPr>
        <w:tc>
          <w:tcPr>
            <w:tcW w:w="1507" w:type="dxa"/>
            <w:tcBorders>
              <w:top w:val="single" w:color="DCDDDE" w:sz="4" w:space="0"/>
              <w:bottom w:val="single" w:color="DCDDDE" w:sz="4" w:space="0"/>
            </w:tcBorders>
          </w:tcPr>
          <w:p w:rsidR="00C31389" w:rsidRDefault="00561FBD" w14:paraId="6AF8929E"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5D1DBA99" w14:textId="77777777">
            <w:pPr>
              <w:pStyle w:val="TableParagraph"/>
              <w:ind w:right="192"/>
              <w:jc w:val="right"/>
              <w:rPr>
                <w:sz w:val="17"/>
              </w:rPr>
            </w:pPr>
            <w:r>
              <w:rPr>
                <w:spacing w:val="-4"/>
                <w:sz w:val="17"/>
              </w:rPr>
              <w:t>11.3</w:t>
            </w:r>
          </w:p>
        </w:tc>
        <w:tc>
          <w:tcPr>
            <w:tcW w:w="712" w:type="dxa"/>
            <w:tcBorders>
              <w:top w:val="single" w:color="DCDDDE" w:sz="4" w:space="0"/>
              <w:bottom w:val="single" w:color="DCDDDE" w:sz="4" w:space="0"/>
            </w:tcBorders>
          </w:tcPr>
          <w:p w:rsidR="00C31389" w:rsidRDefault="00561FBD" w14:paraId="588C5B85" w14:textId="77777777">
            <w:pPr>
              <w:pStyle w:val="TableParagraph"/>
              <w:ind w:right="138"/>
              <w:jc w:val="right"/>
              <w:rPr>
                <w:sz w:val="17"/>
              </w:rPr>
            </w:pPr>
            <w:r>
              <w:rPr>
                <w:spacing w:val="-4"/>
                <w:sz w:val="17"/>
              </w:rPr>
              <w:t>11.7</w:t>
            </w:r>
          </w:p>
        </w:tc>
        <w:tc>
          <w:tcPr>
            <w:tcW w:w="644" w:type="dxa"/>
            <w:tcBorders>
              <w:top w:val="single" w:color="DCDDDE" w:sz="4" w:space="0"/>
              <w:bottom w:val="single" w:color="DCDDDE" w:sz="4" w:space="0"/>
            </w:tcBorders>
          </w:tcPr>
          <w:p w:rsidR="00C31389" w:rsidRDefault="00561FBD" w14:paraId="1B9FD24A" w14:textId="77777777">
            <w:pPr>
              <w:pStyle w:val="TableParagraph"/>
              <w:ind w:right="125"/>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5D53139C" w14:textId="77777777">
            <w:pPr>
              <w:pStyle w:val="TableParagraph"/>
              <w:ind w:right="126"/>
              <w:jc w:val="right"/>
              <w:rPr>
                <w:sz w:val="17"/>
              </w:rPr>
            </w:pPr>
            <w:r>
              <w:rPr>
                <w:spacing w:val="-4"/>
                <w:sz w:val="17"/>
              </w:rPr>
              <w:t>12.5</w:t>
            </w:r>
          </w:p>
        </w:tc>
        <w:tc>
          <w:tcPr>
            <w:tcW w:w="631" w:type="dxa"/>
            <w:tcBorders>
              <w:top w:val="single" w:color="DCDDDE" w:sz="4" w:space="0"/>
              <w:bottom w:val="single" w:color="DCDDDE" w:sz="4" w:space="0"/>
            </w:tcBorders>
          </w:tcPr>
          <w:p w:rsidR="00C31389" w:rsidRDefault="00561FBD" w14:paraId="57242063" w14:textId="77777777">
            <w:pPr>
              <w:pStyle w:val="TableParagraph"/>
              <w:ind w:right="127"/>
              <w:jc w:val="right"/>
              <w:rPr>
                <w:sz w:val="17"/>
              </w:rPr>
            </w:pPr>
            <w:r>
              <w:rPr>
                <w:spacing w:val="-4"/>
                <w:sz w:val="17"/>
              </w:rPr>
              <w:t>13.0</w:t>
            </w:r>
          </w:p>
        </w:tc>
        <w:tc>
          <w:tcPr>
            <w:tcW w:w="631" w:type="dxa"/>
            <w:tcBorders>
              <w:top w:val="single" w:color="DCDDDE" w:sz="4" w:space="0"/>
              <w:bottom w:val="single" w:color="DCDDDE" w:sz="4" w:space="0"/>
            </w:tcBorders>
          </w:tcPr>
          <w:p w:rsidR="00C31389" w:rsidRDefault="00561FBD" w14:paraId="1FFB5234" w14:textId="77777777">
            <w:pPr>
              <w:pStyle w:val="TableParagraph"/>
              <w:ind w:left="106" w:right="68"/>
              <w:jc w:val="center"/>
              <w:rPr>
                <w:sz w:val="17"/>
              </w:rPr>
            </w:pPr>
            <w:r>
              <w:rPr>
                <w:spacing w:val="-4"/>
                <w:sz w:val="17"/>
              </w:rPr>
              <w:t>13.4</w:t>
            </w:r>
          </w:p>
        </w:tc>
        <w:tc>
          <w:tcPr>
            <w:tcW w:w="631" w:type="dxa"/>
            <w:tcBorders>
              <w:top w:val="single" w:color="DCDDDE" w:sz="4" w:space="0"/>
              <w:bottom w:val="single" w:color="DCDDDE" w:sz="4" w:space="0"/>
            </w:tcBorders>
          </w:tcPr>
          <w:p w:rsidR="00C31389" w:rsidRDefault="00561FBD" w14:paraId="078D5F60" w14:textId="77777777">
            <w:pPr>
              <w:pStyle w:val="TableParagraph"/>
              <w:ind w:left="106" w:right="70"/>
              <w:jc w:val="center"/>
              <w:rPr>
                <w:sz w:val="17"/>
              </w:rPr>
            </w:pPr>
            <w:r>
              <w:rPr>
                <w:spacing w:val="-4"/>
                <w:sz w:val="17"/>
              </w:rPr>
              <w:t>14.0</w:t>
            </w:r>
          </w:p>
        </w:tc>
        <w:tc>
          <w:tcPr>
            <w:tcW w:w="631" w:type="dxa"/>
            <w:tcBorders>
              <w:top w:val="single" w:color="DCDDDE" w:sz="4" w:space="0"/>
              <w:bottom w:val="single" w:color="DCDDDE" w:sz="4" w:space="0"/>
            </w:tcBorders>
          </w:tcPr>
          <w:p w:rsidR="00C31389" w:rsidRDefault="00561FBD" w14:paraId="5590881E" w14:textId="77777777">
            <w:pPr>
              <w:pStyle w:val="TableParagraph"/>
              <w:ind w:right="130"/>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24C2C11D" w14:textId="77777777">
            <w:pPr>
              <w:pStyle w:val="TableParagraph"/>
              <w:ind w:right="131"/>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5E7743AF" w14:textId="77777777">
            <w:pPr>
              <w:pStyle w:val="TableParagraph"/>
              <w:ind w:left="106" w:right="76"/>
              <w:jc w:val="center"/>
              <w:rPr>
                <w:sz w:val="17"/>
              </w:rPr>
            </w:pPr>
            <w:r>
              <w:rPr>
                <w:spacing w:val="-4"/>
                <w:sz w:val="17"/>
              </w:rPr>
              <w:t>16.3</w:t>
            </w:r>
          </w:p>
        </w:tc>
        <w:tc>
          <w:tcPr>
            <w:tcW w:w="631" w:type="dxa"/>
            <w:tcBorders>
              <w:top w:val="single" w:color="DCDDDE" w:sz="4" w:space="0"/>
              <w:bottom w:val="single" w:color="DCDDDE" w:sz="4" w:space="0"/>
            </w:tcBorders>
          </w:tcPr>
          <w:p w:rsidR="00C31389" w:rsidRDefault="00561FBD" w14:paraId="206C7BB9" w14:textId="77777777">
            <w:pPr>
              <w:pStyle w:val="TableParagraph"/>
              <w:ind w:right="133"/>
              <w:jc w:val="right"/>
              <w:rPr>
                <w:sz w:val="17"/>
              </w:rPr>
            </w:pPr>
            <w:r>
              <w:rPr>
                <w:spacing w:val="-4"/>
                <w:sz w:val="17"/>
              </w:rPr>
              <w:t>15.4</w:t>
            </w:r>
          </w:p>
        </w:tc>
        <w:tc>
          <w:tcPr>
            <w:tcW w:w="613" w:type="dxa"/>
            <w:tcBorders>
              <w:top w:val="single" w:color="DCDDDE" w:sz="4" w:space="0"/>
              <w:bottom w:val="single" w:color="DCDDDE" w:sz="4" w:space="0"/>
            </w:tcBorders>
          </w:tcPr>
          <w:p w:rsidR="00C31389" w:rsidRDefault="00561FBD" w14:paraId="7CD3384D" w14:textId="77777777">
            <w:pPr>
              <w:pStyle w:val="TableParagraph"/>
              <w:ind w:right="116"/>
              <w:jc w:val="right"/>
              <w:rPr>
                <w:sz w:val="17"/>
              </w:rPr>
            </w:pPr>
            <w:r>
              <w:rPr>
                <w:spacing w:val="-4"/>
                <w:sz w:val="17"/>
              </w:rPr>
              <w:t>16.1</w:t>
            </w:r>
          </w:p>
        </w:tc>
      </w:tr>
      <w:tr w:rsidR="00C31389" w14:paraId="250A2B7A"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52A87E82" w14:textId="77777777">
            <w:pPr>
              <w:pStyle w:val="TableParagraph"/>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7369A8ED" w14:textId="77777777">
        <w:trPr>
          <w:trHeight w:val="275"/>
        </w:trPr>
        <w:tc>
          <w:tcPr>
            <w:tcW w:w="1507" w:type="dxa"/>
            <w:tcBorders>
              <w:top w:val="single" w:color="DCDDDE" w:sz="4" w:space="0"/>
              <w:bottom w:val="single" w:color="DCDDDE" w:sz="4" w:space="0"/>
            </w:tcBorders>
          </w:tcPr>
          <w:p w:rsidR="00C31389" w:rsidRDefault="00561FBD" w14:paraId="1232B087"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3DAAF047" w14:textId="77777777">
            <w:pPr>
              <w:pStyle w:val="TableParagraph"/>
              <w:ind w:right="192"/>
              <w:jc w:val="right"/>
              <w:rPr>
                <w:sz w:val="17"/>
              </w:rPr>
            </w:pPr>
            <w:r>
              <w:rPr>
                <w:spacing w:val="-5"/>
                <w:sz w:val="17"/>
              </w:rPr>
              <w:t>7.0</w:t>
            </w:r>
          </w:p>
        </w:tc>
        <w:tc>
          <w:tcPr>
            <w:tcW w:w="712" w:type="dxa"/>
            <w:tcBorders>
              <w:top w:val="single" w:color="DCDDDE" w:sz="4" w:space="0"/>
              <w:bottom w:val="single" w:color="DCDDDE" w:sz="4" w:space="0"/>
            </w:tcBorders>
          </w:tcPr>
          <w:p w:rsidR="00C31389" w:rsidRDefault="00561FBD" w14:paraId="61D0A756" w14:textId="77777777">
            <w:pPr>
              <w:pStyle w:val="TableParagraph"/>
              <w:ind w:right="138"/>
              <w:jc w:val="right"/>
              <w:rPr>
                <w:sz w:val="17"/>
              </w:rPr>
            </w:pPr>
            <w:r>
              <w:rPr>
                <w:spacing w:val="-5"/>
                <w:sz w:val="17"/>
              </w:rPr>
              <w:t>6.3</w:t>
            </w:r>
          </w:p>
        </w:tc>
        <w:tc>
          <w:tcPr>
            <w:tcW w:w="644" w:type="dxa"/>
            <w:tcBorders>
              <w:top w:val="single" w:color="DCDDDE" w:sz="4" w:space="0"/>
              <w:bottom w:val="single" w:color="DCDDDE" w:sz="4" w:space="0"/>
            </w:tcBorders>
          </w:tcPr>
          <w:p w:rsidR="00C31389" w:rsidRDefault="00561FBD" w14:paraId="1CB07C64" w14:textId="77777777">
            <w:pPr>
              <w:pStyle w:val="TableParagraph"/>
              <w:ind w:right="125"/>
              <w:jc w:val="right"/>
              <w:rPr>
                <w:sz w:val="17"/>
              </w:rPr>
            </w:pPr>
            <w:r>
              <w:rPr>
                <w:spacing w:val="-5"/>
                <w:sz w:val="17"/>
              </w:rPr>
              <w:t>5.4</w:t>
            </w:r>
          </w:p>
        </w:tc>
        <w:tc>
          <w:tcPr>
            <w:tcW w:w="631" w:type="dxa"/>
            <w:tcBorders>
              <w:top w:val="single" w:color="DCDDDE" w:sz="4" w:space="0"/>
              <w:bottom w:val="single" w:color="DCDDDE" w:sz="4" w:space="0"/>
            </w:tcBorders>
          </w:tcPr>
          <w:p w:rsidR="00C31389" w:rsidRDefault="00561FBD" w14:paraId="39A0BC41" w14:textId="77777777">
            <w:pPr>
              <w:pStyle w:val="TableParagraph"/>
              <w:ind w:right="126"/>
              <w:jc w:val="right"/>
              <w:rPr>
                <w:sz w:val="17"/>
              </w:rPr>
            </w:pPr>
            <w:r>
              <w:rPr>
                <w:spacing w:val="-5"/>
                <w:sz w:val="17"/>
              </w:rPr>
              <w:t>4.7</w:t>
            </w:r>
          </w:p>
        </w:tc>
        <w:tc>
          <w:tcPr>
            <w:tcW w:w="631" w:type="dxa"/>
            <w:tcBorders>
              <w:top w:val="single" w:color="DCDDDE" w:sz="4" w:space="0"/>
              <w:bottom w:val="single" w:color="DCDDDE" w:sz="4" w:space="0"/>
            </w:tcBorders>
          </w:tcPr>
          <w:p w:rsidR="00C31389" w:rsidRDefault="00561FBD" w14:paraId="6662DEBB" w14:textId="77777777">
            <w:pPr>
              <w:pStyle w:val="TableParagraph"/>
              <w:ind w:right="127"/>
              <w:jc w:val="right"/>
              <w:rPr>
                <w:sz w:val="17"/>
              </w:rPr>
            </w:pPr>
            <w:r>
              <w:rPr>
                <w:spacing w:val="-5"/>
                <w:sz w:val="17"/>
              </w:rPr>
              <w:t>4.3</w:t>
            </w:r>
          </w:p>
        </w:tc>
        <w:tc>
          <w:tcPr>
            <w:tcW w:w="631" w:type="dxa"/>
            <w:tcBorders>
              <w:top w:val="single" w:color="DCDDDE" w:sz="4" w:space="0"/>
              <w:bottom w:val="single" w:color="DCDDDE" w:sz="4" w:space="0"/>
            </w:tcBorders>
          </w:tcPr>
          <w:p w:rsidR="00C31389" w:rsidRDefault="00561FBD" w14:paraId="7A0792F5" w14:textId="77777777">
            <w:pPr>
              <w:pStyle w:val="TableParagraph"/>
              <w:ind w:left="248" w:right="115"/>
              <w:jc w:val="center"/>
              <w:rPr>
                <w:sz w:val="17"/>
              </w:rPr>
            </w:pPr>
            <w:r>
              <w:rPr>
                <w:spacing w:val="-5"/>
                <w:sz w:val="17"/>
              </w:rPr>
              <w:t>4.0</w:t>
            </w:r>
          </w:p>
        </w:tc>
        <w:tc>
          <w:tcPr>
            <w:tcW w:w="631" w:type="dxa"/>
            <w:tcBorders>
              <w:top w:val="single" w:color="DCDDDE" w:sz="4" w:space="0"/>
              <w:bottom w:val="single" w:color="DCDDDE" w:sz="4" w:space="0"/>
            </w:tcBorders>
          </w:tcPr>
          <w:p w:rsidR="00C31389" w:rsidRDefault="00561FBD" w14:paraId="0F9DB7D8" w14:textId="77777777">
            <w:pPr>
              <w:pStyle w:val="TableParagraph"/>
              <w:ind w:left="245" w:right="114"/>
              <w:jc w:val="center"/>
              <w:rPr>
                <w:sz w:val="17"/>
              </w:rPr>
            </w:pPr>
            <w:r>
              <w:rPr>
                <w:spacing w:val="-5"/>
                <w:sz w:val="17"/>
              </w:rPr>
              <w:t>4.2</w:t>
            </w:r>
          </w:p>
        </w:tc>
        <w:tc>
          <w:tcPr>
            <w:tcW w:w="631" w:type="dxa"/>
            <w:tcBorders>
              <w:top w:val="single" w:color="DCDDDE" w:sz="4" w:space="0"/>
              <w:bottom w:val="single" w:color="DCDDDE" w:sz="4" w:space="0"/>
            </w:tcBorders>
          </w:tcPr>
          <w:p w:rsidR="00C31389" w:rsidRDefault="00561FBD" w14:paraId="30A2903E" w14:textId="77777777">
            <w:pPr>
              <w:pStyle w:val="TableParagraph"/>
              <w:ind w:right="131"/>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67846BE5" w14:textId="77777777">
            <w:pPr>
              <w:pStyle w:val="TableParagraph"/>
              <w:ind w:right="132"/>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5E2C1412" w14:textId="77777777">
            <w:pPr>
              <w:pStyle w:val="TableParagraph"/>
              <w:ind w:left="240" w:right="116"/>
              <w:jc w:val="center"/>
              <w:rPr>
                <w:sz w:val="17"/>
              </w:rPr>
            </w:pPr>
            <w:r>
              <w:rPr>
                <w:spacing w:val="-5"/>
                <w:sz w:val="17"/>
              </w:rPr>
              <w:t>3.6</w:t>
            </w:r>
          </w:p>
        </w:tc>
        <w:tc>
          <w:tcPr>
            <w:tcW w:w="631" w:type="dxa"/>
            <w:tcBorders>
              <w:top w:val="single" w:color="DCDDDE" w:sz="4" w:space="0"/>
              <w:bottom w:val="single" w:color="DCDDDE" w:sz="4" w:space="0"/>
            </w:tcBorders>
          </w:tcPr>
          <w:p w:rsidR="00C31389" w:rsidRDefault="00561FBD" w14:paraId="5C0AD53F" w14:textId="77777777">
            <w:pPr>
              <w:pStyle w:val="TableParagraph"/>
              <w:ind w:right="134"/>
              <w:jc w:val="right"/>
              <w:rPr>
                <w:sz w:val="17"/>
              </w:rPr>
            </w:pPr>
            <w:r>
              <w:rPr>
                <w:spacing w:val="-5"/>
                <w:sz w:val="17"/>
              </w:rPr>
              <w:t>3.6</w:t>
            </w:r>
          </w:p>
        </w:tc>
        <w:tc>
          <w:tcPr>
            <w:tcW w:w="613" w:type="dxa"/>
            <w:tcBorders>
              <w:top w:val="single" w:color="DCDDDE" w:sz="4" w:space="0"/>
              <w:bottom w:val="single" w:color="DCDDDE" w:sz="4" w:space="0"/>
            </w:tcBorders>
          </w:tcPr>
          <w:p w:rsidR="00C31389" w:rsidRDefault="00561FBD" w14:paraId="26A3C281" w14:textId="77777777">
            <w:pPr>
              <w:pStyle w:val="TableParagraph"/>
              <w:ind w:right="117"/>
              <w:jc w:val="right"/>
              <w:rPr>
                <w:sz w:val="17"/>
              </w:rPr>
            </w:pPr>
            <w:r>
              <w:rPr>
                <w:spacing w:val="-5"/>
                <w:sz w:val="17"/>
              </w:rPr>
              <w:t>3.6</w:t>
            </w:r>
          </w:p>
        </w:tc>
      </w:tr>
      <w:tr w:rsidR="00C31389" w14:paraId="63DFCAC6" w14:textId="77777777">
        <w:trPr>
          <w:trHeight w:val="274"/>
        </w:trPr>
        <w:tc>
          <w:tcPr>
            <w:tcW w:w="1507" w:type="dxa"/>
            <w:tcBorders>
              <w:top w:val="single" w:color="DCDDDE" w:sz="4" w:space="0"/>
              <w:bottom w:val="single" w:color="DCDDDE" w:sz="4" w:space="0"/>
            </w:tcBorders>
          </w:tcPr>
          <w:p w:rsidR="00C31389" w:rsidRDefault="00561FBD" w14:paraId="378272AD"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227623F3" w14:textId="77777777">
            <w:pPr>
              <w:pStyle w:val="TableParagraph"/>
              <w:ind w:right="192"/>
              <w:jc w:val="right"/>
              <w:rPr>
                <w:sz w:val="17"/>
              </w:rPr>
            </w:pPr>
            <w:r>
              <w:rPr>
                <w:spacing w:val="-5"/>
                <w:sz w:val="17"/>
              </w:rPr>
              <w:t>6.8</w:t>
            </w:r>
          </w:p>
        </w:tc>
        <w:tc>
          <w:tcPr>
            <w:tcW w:w="712" w:type="dxa"/>
            <w:tcBorders>
              <w:top w:val="single" w:color="DCDDDE" w:sz="4" w:space="0"/>
              <w:bottom w:val="single" w:color="DCDDDE" w:sz="4" w:space="0"/>
            </w:tcBorders>
          </w:tcPr>
          <w:p w:rsidR="00C31389" w:rsidRDefault="00561FBD" w14:paraId="294DF799" w14:textId="77777777">
            <w:pPr>
              <w:pStyle w:val="TableParagraph"/>
              <w:ind w:right="138"/>
              <w:jc w:val="right"/>
              <w:rPr>
                <w:sz w:val="17"/>
              </w:rPr>
            </w:pPr>
            <w:r>
              <w:rPr>
                <w:spacing w:val="-5"/>
                <w:sz w:val="17"/>
              </w:rPr>
              <w:t>7.3</w:t>
            </w:r>
          </w:p>
        </w:tc>
        <w:tc>
          <w:tcPr>
            <w:tcW w:w="644" w:type="dxa"/>
            <w:tcBorders>
              <w:top w:val="single" w:color="DCDDDE" w:sz="4" w:space="0"/>
              <w:bottom w:val="single" w:color="DCDDDE" w:sz="4" w:space="0"/>
            </w:tcBorders>
          </w:tcPr>
          <w:p w:rsidR="00C31389" w:rsidRDefault="00561FBD" w14:paraId="2F2065A6" w14:textId="77777777">
            <w:pPr>
              <w:pStyle w:val="TableParagraph"/>
              <w:ind w:right="125"/>
              <w:jc w:val="right"/>
              <w:rPr>
                <w:sz w:val="17"/>
              </w:rPr>
            </w:pPr>
            <w:r>
              <w:rPr>
                <w:spacing w:val="-5"/>
                <w:sz w:val="17"/>
              </w:rPr>
              <w:t>7.7</w:t>
            </w:r>
          </w:p>
        </w:tc>
        <w:tc>
          <w:tcPr>
            <w:tcW w:w="631" w:type="dxa"/>
            <w:tcBorders>
              <w:top w:val="single" w:color="DCDDDE" w:sz="4" w:space="0"/>
              <w:bottom w:val="single" w:color="DCDDDE" w:sz="4" w:space="0"/>
            </w:tcBorders>
          </w:tcPr>
          <w:p w:rsidR="00C31389" w:rsidRDefault="00561FBD" w14:paraId="08E86C92" w14:textId="77777777">
            <w:pPr>
              <w:pStyle w:val="TableParagraph"/>
              <w:ind w:right="126"/>
              <w:jc w:val="right"/>
              <w:rPr>
                <w:sz w:val="17"/>
              </w:rPr>
            </w:pPr>
            <w:r>
              <w:rPr>
                <w:spacing w:val="-5"/>
                <w:sz w:val="17"/>
              </w:rPr>
              <w:t>8.1</w:t>
            </w:r>
          </w:p>
        </w:tc>
        <w:tc>
          <w:tcPr>
            <w:tcW w:w="631" w:type="dxa"/>
            <w:tcBorders>
              <w:top w:val="single" w:color="DCDDDE" w:sz="4" w:space="0"/>
              <w:bottom w:val="single" w:color="DCDDDE" w:sz="4" w:space="0"/>
            </w:tcBorders>
          </w:tcPr>
          <w:p w:rsidR="00C31389" w:rsidRDefault="00561FBD" w14:paraId="5799D9A8" w14:textId="77777777">
            <w:pPr>
              <w:pStyle w:val="TableParagraph"/>
              <w:ind w:right="127"/>
              <w:jc w:val="right"/>
              <w:rPr>
                <w:sz w:val="17"/>
              </w:rPr>
            </w:pPr>
            <w:r>
              <w:rPr>
                <w:spacing w:val="-5"/>
                <w:sz w:val="17"/>
              </w:rPr>
              <w:t>8.4</w:t>
            </w:r>
          </w:p>
        </w:tc>
        <w:tc>
          <w:tcPr>
            <w:tcW w:w="631" w:type="dxa"/>
            <w:tcBorders>
              <w:top w:val="single" w:color="DCDDDE" w:sz="4" w:space="0"/>
              <w:bottom w:val="single" w:color="DCDDDE" w:sz="4" w:space="0"/>
            </w:tcBorders>
          </w:tcPr>
          <w:p w:rsidR="00C31389" w:rsidRDefault="00561FBD" w14:paraId="443FD9D9" w14:textId="77777777">
            <w:pPr>
              <w:pStyle w:val="TableParagraph"/>
              <w:ind w:left="248" w:right="115"/>
              <w:jc w:val="center"/>
              <w:rPr>
                <w:sz w:val="17"/>
              </w:rPr>
            </w:pPr>
            <w:r>
              <w:rPr>
                <w:spacing w:val="-5"/>
                <w:sz w:val="17"/>
              </w:rPr>
              <w:t>8.7</w:t>
            </w:r>
          </w:p>
        </w:tc>
        <w:tc>
          <w:tcPr>
            <w:tcW w:w="631" w:type="dxa"/>
            <w:tcBorders>
              <w:top w:val="single" w:color="DCDDDE" w:sz="4" w:space="0"/>
              <w:bottom w:val="single" w:color="DCDDDE" w:sz="4" w:space="0"/>
            </w:tcBorders>
          </w:tcPr>
          <w:p w:rsidR="00C31389" w:rsidRDefault="00561FBD" w14:paraId="60952F2C" w14:textId="77777777">
            <w:pPr>
              <w:pStyle w:val="TableParagraph"/>
              <w:ind w:left="245" w:right="114"/>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563FA6EA"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62F3497B"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A56D1CC"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5FBB37FA"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2C5F6CDB" w14:textId="77777777">
            <w:pPr>
              <w:pStyle w:val="TableParagraph"/>
              <w:ind w:right="116"/>
              <w:jc w:val="right"/>
              <w:rPr>
                <w:sz w:val="17"/>
              </w:rPr>
            </w:pPr>
            <w:r>
              <w:rPr>
                <w:spacing w:val="-5"/>
                <w:sz w:val="17"/>
              </w:rPr>
              <w:t>0.0</w:t>
            </w:r>
          </w:p>
        </w:tc>
      </w:tr>
      <w:tr w:rsidR="00C31389" w14:paraId="3A8DCB22" w14:textId="77777777">
        <w:trPr>
          <w:trHeight w:val="275"/>
        </w:trPr>
        <w:tc>
          <w:tcPr>
            <w:tcW w:w="1507" w:type="dxa"/>
            <w:tcBorders>
              <w:top w:val="single" w:color="DCDDDE" w:sz="4" w:space="0"/>
              <w:bottom w:val="single" w:color="DCDDDE" w:sz="4" w:space="0"/>
            </w:tcBorders>
          </w:tcPr>
          <w:p w:rsidR="00C31389" w:rsidRDefault="00561FBD" w14:paraId="1B72F722" w14:textId="77777777">
            <w:pPr>
              <w:pStyle w:val="TableParagraph"/>
              <w:spacing w:before="42"/>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247F87BA" w14:textId="77777777">
            <w:pPr>
              <w:pStyle w:val="TableParagraph"/>
              <w:spacing w:before="42"/>
              <w:ind w:right="192"/>
              <w:jc w:val="right"/>
              <w:rPr>
                <w:sz w:val="17"/>
              </w:rPr>
            </w:pPr>
            <w:r>
              <w:rPr>
                <w:spacing w:val="-4"/>
                <w:sz w:val="17"/>
              </w:rPr>
              <w:t>11.3</w:t>
            </w:r>
          </w:p>
        </w:tc>
        <w:tc>
          <w:tcPr>
            <w:tcW w:w="712" w:type="dxa"/>
            <w:tcBorders>
              <w:top w:val="single" w:color="DCDDDE" w:sz="4" w:space="0"/>
              <w:bottom w:val="single" w:color="DCDDDE" w:sz="4" w:space="0"/>
            </w:tcBorders>
          </w:tcPr>
          <w:p w:rsidR="00C31389" w:rsidRDefault="00561FBD" w14:paraId="4B86C323" w14:textId="77777777">
            <w:pPr>
              <w:pStyle w:val="TableParagraph"/>
              <w:spacing w:before="42"/>
              <w:ind w:right="138"/>
              <w:jc w:val="right"/>
              <w:rPr>
                <w:sz w:val="17"/>
              </w:rPr>
            </w:pPr>
            <w:r>
              <w:rPr>
                <w:spacing w:val="-4"/>
                <w:sz w:val="17"/>
              </w:rPr>
              <w:t>11.7</w:t>
            </w:r>
          </w:p>
        </w:tc>
        <w:tc>
          <w:tcPr>
            <w:tcW w:w="644" w:type="dxa"/>
            <w:tcBorders>
              <w:top w:val="single" w:color="DCDDDE" w:sz="4" w:space="0"/>
              <w:bottom w:val="single" w:color="DCDDDE" w:sz="4" w:space="0"/>
            </w:tcBorders>
          </w:tcPr>
          <w:p w:rsidR="00C31389" w:rsidRDefault="00561FBD" w14:paraId="0BF8E405" w14:textId="77777777">
            <w:pPr>
              <w:pStyle w:val="TableParagraph"/>
              <w:spacing w:before="42"/>
              <w:ind w:right="125"/>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6650402C" w14:textId="77777777">
            <w:pPr>
              <w:pStyle w:val="TableParagraph"/>
              <w:spacing w:before="42"/>
              <w:ind w:right="126"/>
              <w:jc w:val="right"/>
              <w:rPr>
                <w:sz w:val="17"/>
              </w:rPr>
            </w:pPr>
            <w:r>
              <w:rPr>
                <w:spacing w:val="-4"/>
                <w:sz w:val="17"/>
              </w:rPr>
              <w:t>12.5</w:t>
            </w:r>
          </w:p>
        </w:tc>
        <w:tc>
          <w:tcPr>
            <w:tcW w:w="631" w:type="dxa"/>
            <w:tcBorders>
              <w:top w:val="single" w:color="DCDDDE" w:sz="4" w:space="0"/>
              <w:bottom w:val="single" w:color="DCDDDE" w:sz="4" w:space="0"/>
            </w:tcBorders>
          </w:tcPr>
          <w:p w:rsidR="00C31389" w:rsidRDefault="00561FBD" w14:paraId="2FBAC635" w14:textId="77777777">
            <w:pPr>
              <w:pStyle w:val="TableParagraph"/>
              <w:spacing w:before="42"/>
              <w:ind w:right="127"/>
              <w:jc w:val="right"/>
              <w:rPr>
                <w:sz w:val="17"/>
              </w:rPr>
            </w:pPr>
            <w:r>
              <w:rPr>
                <w:spacing w:val="-4"/>
                <w:sz w:val="17"/>
              </w:rPr>
              <w:t>13.0</w:t>
            </w:r>
          </w:p>
        </w:tc>
        <w:tc>
          <w:tcPr>
            <w:tcW w:w="631" w:type="dxa"/>
            <w:tcBorders>
              <w:top w:val="single" w:color="DCDDDE" w:sz="4" w:space="0"/>
              <w:bottom w:val="single" w:color="DCDDDE" w:sz="4" w:space="0"/>
            </w:tcBorders>
          </w:tcPr>
          <w:p w:rsidR="00C31389" w:rsidRDefault="00561FBD" w14:paraId="2B529A26" w14:textId="77777777">
            <w:pPr>
              <w:pStyle w:val="TableParagraph"/>
              <w:spacing w:before="42"/>
              <w:ind w:left="106" w:right="68"/>
              <w:jc w:val="center"/>
              <w:rPr>
                <w:sz w:val="17"/>
              </w:rPr>
            </w:pPr>
            <w:r>
              <w:rPr>
                <w:spacing w:val="-4"/>
                <w:sz w:val="17"/>
              </w:rPr>
              <w:t>13.4</w:t>
            </w:r>
          </w:p>
        </w:tc>
        <w:tc>
          <w:tcPr>
            <w:tcW w:w="631" w:type="dxa"/>
            <w:tcBorders>
              <w:top w:val="single" w:color="DCDDDE" w:sz="4" w:space="0"/>
              <w:bottom w:val="single" w:color="DCDDDE" w:sz="4" w:space="0"/>
            </w:tcBorders>
          </w:tcPr>
          <w:p w:rsidR="00C31389" w:rsidRDefault="00561FBD" w14:paraId="1AF074CE" w14:textId="77777777">
            <w:pPr>
              <w:pStyle w:val="TableParagraph"/>
              <w:spacing w:before="42"/>
              <w:ind w:left="106" w:right="70"/>
              <w:jc w:val="center"/>
              <w:rPr>
                <w:sz w:val="17"/>
              </w:rPr>
            </w:pPr>
            <w:r>
              <w:rPr>
                <w:spacing w:val="-4"/>
                <w:sz w:val="17"/>
              </w:rPr>
              <w:t>14.0</w:t>
            </w:r>
          </w:p>
        </w:tc>
        <w:tc>
          <w:tcPr>
            <w:tcW w:w="631" w:type="dxa"/>
            <w:tcBorders>
              <w:top w:val="single" w:color="DCDDDE" w:sz="4" w:space="0"/>
              <w:bottom w:val="single" w:color="DCDDDE" w:sz="4" w:space="0"/>
            </w:tcBorders>
          </w:tcPr>
          <w:p w:rsidR="00C31389" w:rsidRDefault="00561FBD" w14:paraId="15BDC3E0" w14:textId="77777777">
            <w:pPr>
              <w:pStyle w:val="TableParagraph"/>
              <w:spacing w:before="42"/>
              <w:ind w:right="130"/>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2C103554" w14:textId="77777777">
            <w:pPr>
              <w:pStyle w:val="TableParagraph"/>
              <w:spacing w:before="42"/>
              <w:ind w:right="131"/>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04DA9FE6" w14:textId="77777777">
            <w:pPr>
              <w:pStyle w:val="TableParagraph"/>
              <w:spacing w:before="42"/>
              <w:ind w:left="106" w:right="76"/>
              <w:jc w:val="center"/>
              <w:rPr>
                <w:sz w:val="17"/>
              </w:rPr>
            </w:pPr>
            <w:r>
              <w:rPr>
                <w:spacing w:val="-4"/>
                <w:sz w:val="17"/>
              </w:rPr>
              <w:t>16.3</w:t>
            </w:r>
          </w:p>
        </w:tc>
        <w:tc>
          <w:tcPr>
            <w:tcW w:w="631" w:type="dxa"/>
            <w:tcBorders>
              <w:top w:val="single" w:color="DCDDDE" w:sz="4" w:space="0"/>
              <w:bottom w:val="single" w:color="DCDDDE" w:sz="4" w:space="0"/>
            </w:tcBorders>
          </w:tcPr>
          <w:p w:rsidR="00C31389" w:rsidRDefault="00561FBD" w14:paraId="5234FFDD" w14:textId="77777777">
            <w:pPr>
              <w:pStyle w:val="TableParagraph"/>
              <w:spacing w:before="42"/>
              <w:ind w:right="133"/>
              <w:jc w:val="right"/>
              <w:rPr>
                <w:sz w:val="17"/>
              </w:rPr>
            </w:pPr>
            <w:r>
              <w:rPr>
                <w:spacing w:val="-4"/>
                <w:sz w:val="17"/>
              </w:rPr>
              <w:t>15.4</w:t>
            </w:r>
          </w:p>
        </w:tc>
        <w:tc>
          <w:tcPr>
            <w:tcW w:w="613" w:type="dxa"/>
            <w:tcBorders>
              <w:top w:val="single" w:color="DCDDDE" w:sz="4" w:space="0"/>
              <w:bottom w:val="single" w:color="DCDDDE" w:sz="4" w:space="0"/>
            </w:tcBorders>
          </w:tcPr>
          <w:p w:rsidR="00C31389" w:rsidRDefault="00561FBD" w14:paraId="56489BCC" w14:textId="77777777">
            <w:pPr>
              <w:pStyle w:val="TableParagraph"/>
              <w:spacing w:before="42"/>
              <w:ind w:right="116"/>
              <w:jc w:val="right"/>
              <w:rPr>
                <w:sz w:val="17"/>
              </w:rPr>
            </w:pPr>
            <w:r>
              <w:rPr>
                <w:spacing w:val="-4"/>
                <w:sz w:val="17"/>
              </w:rPr>
              <w:t>16.1</w:t>
            </w:r>
          </w:p>
        </w:tc>
      </w:tr>
      <w:tr w:rsidR="00C31389" w14:paraId="37D8150D"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6CB6B203" w14:textId="77777777">
            <w:pPr>
              <w:pStyle w:val="TableParagraph"/>
              <w:spacing w:before="42"/>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06BB9EB3" w14:textId="77777777">
        <w:trPr>
          <w:trHeight w:val="275"/>
        </w:trPr>
        <w:tc>
          <w:tcPr>
            <w:tcW w:w="1507" w:type="dxa"/>
            <w:tcBorders>
              <w:top w:val="single" w:color="DCDDDE" w:sz="4" w:space="0"/>
              <w:bottom w:val="single" w:color="DCDDDE" w:sz="4" w:space="0"/>
            </w:tcBorders>
          </w:tcPr>
          <w:p w:rsidR="00C31389" w:rsidRDefault="00561FBD" w14:paraId="77AC6637" w14:textId="77777777">
            <w:pPr>
              <w:pStyle w:val="TableParagraph"/>
              <w:spacing w:before="42"/>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2BDA4BA9" w14:textId="77777777">
            <w:pPr>
              <w:pStyle w:val="TableParagraph"/>
              <w:spacing w:before="42"/>
              <w:ind w:right="192"/>
              <w:jc w:val="right"/>
              <w:rPr>
                <w:sz w:val="17"/>
              </w:rPr>
            </w:pPr>
            <w:r>
              <w:rPr>
                <w:spacing w:val="-5"/>
                <w:sz w:val="17"/>
              </w:rPr>
              <w:t>7.0</w:t>
            </w:r>
          </w:p>
        </w:tc>
        <w:tc>
          <w:tcPr>
            <w:tcW w:w="712" w:type="dxa"/>
            <w:tcBorders>
              <w:top w:val="single" w:color="DCDDDE" w:sz="4" w:space="0"/>
              <w:bottom w:val="single" w:color="DCDDDE" w:sz="4" w:space="0"/>
            </w:tcBorders>
          </w:tcPr>
          <w:p w:rsidR="00C31389" w:rsidRDefault="00561FBD" w14:paraId="709559A6" w14:textId="77777777">
            <w:pPr>
              <w:pStyle w:val="TableParagraph"/>
              <w:spacing w:before="42"/>
              <w:ind w:right="138"/>
              <w:jc w:val="right"/>
              <w:rPr>
                <w:sz w:val="17"/>
              </w:rPr>
            </w:pPr>
            <w:r>
              <w:rPr>
                <w:spacing w:val="-5"/>
                <w:sz w:val="17"/>
              </w:rPr>
              <w:t>6.2</w:t>
            </w:r>
          </w:p>
        </w:tc>
        <w:tc>
          <w:tcPr>
            <w:tcW w:w="644" w:type="dxa"/>
            <w:tcBorders>
              <w:top w:val="single" w:color="DCDDDE" w:sz="4" w:space="0"/>
              <w:bottom w:val="single" w:color="DCDDDE" w:sz="4" w:space="0"/>
            </w:tcBorders>
          </w:tcPr>
          <w:p w:rsidR="00C31389" w:rsidRDefault="00561FBD" w14:paraId="2C9D2B8B" w14:textId="77777777">
            <w:pPr>
              <w:pStyle w:val="TableParagraph"/>
              <w:spacing w:before="42"/>
              <w:ind w:right="125"/>
              <w:jc w:val="right"/>
              <w:rPr>
                <w:sz w:val="17"/>
              </w:rPr>
            </w:pPr>
            <w:r>
              <w:rPr>
                <w:spacing w:val="-5"/>
                <w:sz w:val="17"/>
              </w:rPr>
              <w:t>5.4</w:t>
            </w:r>
          </w:p>
        </w:tc>
        <w:tc>
          <w:tcPr>
            <w:tcW w:w="631" w:type="dxa"/>
            <w:tcBorders>
              <w:top w:val="single" w:color="DCDDDE" w:sz="4" w:space="0"/>
              <w:bottom w:val="single" w:color="DCDDDE" w:sz="4" w:space="0"/>
            </w:tcBorders>
          </w:tcPr>
          <w:p w:rsidR="00C31389" w:rsidRDefault="00561FBD" w14:paraId="249C3F40" w14:textId="77777777">
            <w:pPr>
              <w:pStyle w:val="TableParagraph"/>
              <w:spacing w:before="42"/>
              <w:ind w:right="126"/>
              <w:jc w:val="right"/>
              <w:rPr>
                <w:sz w:val="17"/>
              </w:rPr>
            </w:pPr>
            <w:r>
              <w:rPr>
                <w:spacing w:val="-5"/>
                <w:sz w:val="17"/>
              </w:rPr>
              <w:t>4.7</w:t>
            </w:r>
          </w:p>
        </w:tc>
        <w:tc>
          <w:tcPr>
            <w:tcW w:w="631" w:type="dxa"/>
            <w:tcBorders>
              <w:top w:val="single" w:color="DCDDDE" w:sz="4" w:space="0"/>
              <w:bottom w:val="single" w:color="DCDDDE" w:sz="4" w:space="0"/>
            </w:tcBorders>
          </w:tcPr>
          <w:p w:rsidR="00C31389" w:rsidRDefault="00561FBD" w14:paraId="1933463B" w14:textId="77777777">
            <w:pPr>
              <w:pStyle w:val="TableParagraph"/>
              <w:spacing w:before="42"/>
              <w:ind w:right="127"/>
              <w:jc w:val="right"/>
              <w:rPr>
                <w:sz w:val="17"/>
              </w:rPr>
            </w:pPr>
            <w:r>
              <w:rPr>
                <w:spacing w:val="-5"/>
                <w:sz w:val="17"/>
              </w:rPr>
              <w:t>4.3</w:t>
            </w:r>
          </w:p>
        </w:tc>
        <w:tc>
          <w:tcPr>
            <w:tcW w:w="631" w:type="dxa"/>
            <w:tcBorders>
              <w:top w:val="single" w:color="DCDDDE" w:sz="4" w:space="0"/>
              <w:bottom w:val="single" w:color="DCDDDE" w:sz="4" w:space="0"/>
            </w:tcBorders>
          </w:tcPr>
          <w:p w:rsidR="00C31389" w:rsidRDefault="00561FBD" w14:paraId="5F19FFF3" w14:textId="77777777">
            <w:pPr>
              <w:pStyle w:val="TableParagraph"/>
              <w:spacing w:before="42"/>
              <w:ind w:left="248" w:right="115"/>
              <w:jc w:val="center"/>
              <w:rPr>
                <w:sz w:val="17"/>
              </w:rPr>
            </w:pPr>
            <w:r>
              <w:rPr>
                <w:spacing w:val="-5"/>
                <w:sz w:val="17"/>
              </w:rPr>
              <w:t>4.0</w:t>
            </w:r>
          </w:p>
        </w:tc>
        <w:tc>
          <w:tcPr>
            <w:tcW w:w="631" w:type="dxa"/>
            <w:tcBorders>
              <w:top w:val="single" w:color="DCDDDE" w:sz="4" w:space="0"/>
              <w:bottom w:val="single" w:color="DCDDDE" w:sz="4" w:space="0"/>
            </w:tcBorders>
          </w:tcPr>
          <w:p w:rsidR="00C31389" w:rsidRDefault="00561FBD" w14:paraId="037D082A" w14:textId="77777777">
            <w:pPr>
              <w:pStyle w:val="TableParagraph"/>
              <w:spacing w:before="42"/>
              <w:ind w:left="245" w:right="114"/>
              <w:jc w:val="center"/>
              <w:rPr>
                <w:sz w:val="17"/>
              </w:rPr>
            </w:pPr>
            <w:r>
              <w:rPr>
                <w:spacing w:val="-5"/>
                <w:sz w:val="17"/>
              </w:rPr>
              <w:t>4.2</w:t>
            </w:r>
          </w:p>
        </w:tc>
        <w:tc>
          <w:tcPr>
            <w:tcW w:w="631" w:type="dxa"/>
            <w:tcBorders>
              <w:top w:val="single" w:color="DCDDDE" w:sz="4" w:space="0"/>
              <w:bottom w:val="single" w:color="DCDDDE" w:sz="4" w:space="0"/>
            </w:tcBorders>
          </w:tcPr>
          <w:p w:rsidR="00C31389" w:rsidRDefault="00561FBD" w14:paraId="6EAEE289" w14:textId="77777777">
            <w:pPr>
              <w:pStyle w:val="TableParagraph"/>
              <w:spacing w:before="42"/>
              <w:ind w:right="131"/>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46359336" w14:textId="77777777">
            <w:pPr>
              <w:pStyle w:val="TableParagraph"/>
              <w:spacing w:before="42"/>
              <w:ind w:right="132"/>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105D58C2" w14:textId="77777777">
            <w:pPr>
              <w:pStyle w:val="TableParagraph"/>
              <w:spacing w:before="42"/>
              <w:ind w:left="240" w:right="116"/>
              <w:jc w:val="center"/>
              <w:rPr>
                <w:sz w:val="17"/>
              </w:rPr>
            </w:pPr>
            <w:r>
              <w:rPr>
                <w:spacing w:val="-5"/>
                <w:sz w:val="17"/>
              </w:rPr>
              <w:t>3.6</w:t>
            </w:r>
          </w:p>
        </w:tc>
        <w:tc>
          <w:tcPr>
            <w:tcW w:w="631" w:type="dxa"/>
            <w:tcBorders>
              <w:top w:val="single" w:color="DCDDDE" w:sz="4" w:space="0"/>
              <w:bottom w:val="single" w:color="DCDDDE" w:sz="4" w:space="0"/>
            </w:tcBorders>
          </w:tcPr>
          <w:p w:rsidR="00C31389" w:rsidRDefault="00561FBD" w14:paraId="6822D1A8" w14:textId="77777777">
            <w:pPr>
              <w:pStyle w:val="TableParagraph"/>
              <w:spacing w:before="42"/>
              <w:ind w:right="134"/>
              <w:jc w:val="right"/>
              <w:rPr>
                <w:sz w:val="17"/>
              </w:rPr>
            </w:pPr>
            <w:r>
              <w:rPr>
                <w:spacing w:val="-5"/>
                <w:sz w:val="17"/>
              </w:rPr>
              <w:t>3.6</w:t>
            </w:r>
          </w:p>
        </w:tc>
        <w:tc>
          <w:tcPr>
            <w:tcW w:w="613" w:type="dxa"/>
            <w:tcBorders>
              <w:top w:val="single" w:color="DCDDDE" w:sz="4" w:space="0"/>
              <w:bottom w:val="single" w:color="DCDDDE" w:sz="4" w:space="0"/>
            </w:tcBorders>
          </w:tcPr>
          <w:p w:rsidR="00C31389" w:rsidRDefault="00561FBD" w14:paraId="1AD2094D" w14:textId="77777777">
            <w:pPr>
              <w:pStyle w:val="TableParagraph"/>
              <w:spacing w:before="42"/>
              <w:ind w:right="117"/>
              <w:jc w:val="right"/>
              <w:rPr>
                <w:sz w:val="17"/>
              </w:rPr>
            </w:pPr>
            <w:r>
              <w:rPr>
                <w:spacing w:val="-5"/>
                <w:sz w:val="17"/>
              </w:rPr>
              <w:t>3.6</w:t>
            </w:r>
          </w:p>
        </w:tc>
      </w:tr>
      <w:tr w:rsidR="00C31389" w14:paraId="39D639F7" w14:textId="77777777">
        <w:trPr>
          <w:trHeight w:val="275"/>
        </w:trPr>
        <w:tc>
          <w:tcPr>
            <w:tcW w:w="1507" w:type="dxa"/>
            <w:tcBorders>
              <w:top w:val="single" w:color="DCDDDE" w:sz="4" w:space="0"/>
              <w:bottom w:val="single" w:color="DCDDDE" w:sz="4" w:space="0"/>
            </w:tcBorders>
          </w:tcPr>
          <w:p w:rsidR="00C31389" w:rsidRDefault="00561FBD" w14:paraId="66C3F6B1"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06DBD0F3" w14:textId="77777777">
            <w:pPr>
              <w:pStyle w:val="TableParagraph"/>
              <w:ind w:right="192"/>
              <w:jc w:val="right"/>
              <w:rPr>
                <w:sz w:val="17"/>
              </w:rPr>
            </w:pPr>
            <w:r>
              <w:rPr>
                <w:spacing w:val="-5"/>
                <w:sz w:val="17"/>
              </w:rPr>
              <w:t>1.2</w:t>
            </w:r>
          </w:p>
        </w:tc>
        <w:tc>
          <w:tcPr>
            <w:tcW w:w="712" w:type="dxa"/>
            <w:tcBorders>
              <w:top w:val="single" w:color="DCDDDE" w:sz="4" w:space="0"/>
              <w:bottom w:val="single" w:color="DCDDDE" w:sz="4" w:space="0"/>
            </w:tcBorders>
          </w:tcPr>
          <w:p w:rsidR="00C31389" w:rsidRDefault="00561FBD" w14:paraId="39EBBC4A" w14:textId="77777777">
            <w:pPr>
              <w:pStyle w:val="TableParagraph"/>
              <w:ind w:right="138"/>
              <w:jc w:val="right"/>
              <w:rPr>
                <w:sz w:val="17"/>
              </w:rPr>
            </w:pPr>
            <w:r>
              <w:rPr>
                <w:spacing w:val="-5"/>
                <w:sz w:val="17"/>
              </w:rPr>
              <w:t>1.2</w:t>
            </w:r>
          </w:p>
        </w:tc>
        <w:tc>
          <w:tcPr>
            <w:tcW w:w="644" w:type="dxa"/>
            <w:tcBorders>
              <w:top w:val="single" w:color="DCDDDE" w:sz="4" w:space="0"/>
              <w:bottom w:val="single" w:color="DCDDDE" w:sz="4" w:space="0"/>
            </w:tcBorders>
          </w:tcPr>
          <w:p w:rsidR="00C31389" w:rsidRDefault="00561FBD" w14:paraId="23A33DB3" w14:textId="77777777">
            <w:pPr>
              <w:pStyle w:val="TableParagraph"/>
              <w:ind w:right="125"/>
              <w:jc w:val="right"/>
              <w:rPr>
                <w:sz w:val="17"/>
              </w:rPr>
            </w:pPr>
            <w:r>
              <w:rPr>
                <w:spacing w:val="-5"/>
                <w:sz w:val="17"/>
              </w:rPr>
              <w:t>1.2</w:t>
            </w:r>
          </w:p>
        </w:tc>
        <w:tc>
          <w:tcPr>
            <w:tcW w:w="631" w:type="dxa"/>
            <w:tcBorders>
              <w:top w:val="single" w:color="DCDDDE" w:sz="4" w:space="0"/>
              <w:bottom w:val="single" w:color="DCDDDE" w:sz="4" w:space="0"/>
            </w:tcBorders>
          </w:tcPr>
          <w:p w:rsidR="00C31389" w:rsidRDefault="00561FBD" w14:paraId="4882B533" w14:textId="77777777">
            <w:pPr>
              <w:pStyle w:val="TableParagraph"/>
              <w:ind w:right="126"/>
              <w:jc w:val="right"/>
              <w:rPr>
                <w:sz w:val="17"/>
              </w:rPr>
            </w:pPr>
            <w:r>
              <w:rPr>
                <w:spacing w:val="-5"/>
                <w:sz w:val="17"/>
              </w:rPr>
              <w:t>1.3</w:t>
            </w:r>
          </w:p>
        </w:tc>
        <w:tc>
          <w:tcPr>
            <w:tcW w:w="631" w:type="dxa"/>
            <w:tcBorders>
              <w:top w:val="single" w:color="DCDDDE" w:sz="4" w:space="0"/>
              <w:bottom w:val="single" w:color="DCDDDE" w:sz="4" w:space="0"/>
            </w:tcBorders>
          </w:tcPr>
          <w:p w:rsidR="00C31389" w:rsidRDefault="00561FBD" w14:paraId="596E2FB5" w14:textId="77777777">
            <w:pPr>
              <w:pStyle w:val="TableParagraph"/>
              <w:ind w:right="127"/>
              <w:jc w:val="right"/>
              <w:rPr>
                <w:sz w:val="17"/>
              </w:rPr>
            </w:pPr>
            <w:r>
              <w:rPr>
                <w:spacing w:val="-5"/>
                <w:sz w:val="17"/>
              </w:rPr>
              <w:t>1.3</w:t>
            </w:r>
          </w:p>
        </w:tc>
        <w:tc>
          <w:tcPr>
            <w:tcW w:w="631" w:type="dxa"/>
            <w:tcBorders>
              <w:top w:val="single" w:color="DCDDDE" w:sz="4" w:space="0"/>
              <w:bottom w:val="single" w:color="DCDDDE" w:sz="4" w:space="0"/>
            </w:tcBorders>
          </w:tcPr>
          <w:p w:rsidR="00C31389" w:rsidRDefault="00561FBD" w14:paraId="732905D9" w14:textId="77777777">
            <w:pPr>
              <w:pStyle w:val="TableParagraph"/>
              <w:ind w:left="248" w:right="115"/>
              <w:jc w:val="center"/>
              <w:rPr>
                <w:sz w:val="17"/>
              </w:rPr>
            </w:pPr>
            <w:r>
              <w:rPr>
                <w:spacing w:val="-5"/>
                <w:sz w:val="17"/>
              </w:rPr>
              <w:t>1.3</w:t>
            </w:r>
          </w:p>
        </w:tc>
        <w:tc>
          <w:tcPr>
            <w:tcW w:w="631" w:type="dxa"/>
            <w:tcBorders>
              <w:top w:val="single" w:color="DCDDDE" w:sz="4" w:space="0"/>
              <w:bottom w:val="single" w:color="DCDDDE" w:sz="4" w:space="0"/>
            </w:tcBorders>
          </w:tcPr>
          <w:p w:rsidR="00C31389" w:rsidRDefault="00561FBD" w14:paraId="07D24089" w14:textId="77777777">
            <w:pPr>
              <w:pStyle w:val="TableParagraph"/>
              <w:ind w:left="245" w:right="114"/>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28026E0F"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0450853"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35D0794"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52F8B825"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2ABD4393" w14:textId="77777777">
            <w:pPr>
              <w:pStyle w:val="TableParagraph"/>
              <w:ind w:right="116"/>
              <w:jc w:val="right"/>
              <w:rPr>
                <w:sz w:val="17"/>
              </w:rPr>
            </w:pPr>
            <w:r>
              <w:rPr>
                <w:spacing w:val="-5"/>
                <w:sz w:val="17"/>
              </w:rPr>
              <w:t>0.0</w:t>
            </w:r>
          </w:p>
        </w:tc>
      </w:tr>
      <w:tr w:rsidR="00C31389" w14:paraId="5292A66F" w14:textId="77777777">
        <w:trPr>
          <w:trHeight w:val="275"/>
        </w:trPr>
        <w:tc>
          <w:tcPr>
            <w:tcW w:w="1507" w:type="dxa"/>
            <w:tcBorders>
              <w:top w:val="single" w:color="DCDDDE" w:sz="4" w:space="0"/>
              <w:bottom w:val="single" w:color="DCDDDE" w:sz="4" w:space="0"/>
            </w:tcBorders>
          </w:tcPr>
          <w:p w:rsidR="00C31389" w:rsidRDefault="00561FBD" w14:paraId="6A7A9138"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7B21FF09" w14:textId="77777777">
            <w:pPr>
              <w:pStyle w:val="TableParagraph"/>
              <w:ind w:right="192"/>
              <w:jc w:val="right"/>
              <w:rPr>
                <w:sz w:val="17"/>
              </w:rPr>
            </w:pPr>
            <w:r>
              <w:rPr>
                <w:spacing w:val="-4"/>
                <w:sz w:val="17"/>
              </w:rPr>
              <w:t>11.3</w:t>
            </w:r>
          </w:p>
        </w:tc>
        <w:tc>
          <w:tcPr>
            <w:tcW w:w="712" w:type="dxa"/>
            <w:tcBorders>
              <w:top w:val="single" w:color="DCDDDE" w:sz="4" w:space="0"/>
              <w:bottom w:val="single" w:color="DCDDDE" w:sz="4" w:space="0"/>
            </w:tcBorders>
          </w:tcPr>
          <w:p w:rsidR="00C31389" w:rsidRDefault="00561FBD" w14:paraId="6241F979" w14:textId="77777777">
            <w:pPr>
              <w:pStyle w:val="TableParagraph"/>
              <w:ind w:right="138"/>
              <w:jc w:val="right"/>
              <w:rPr>
                <w:sz w:val="17"/>
              </w:rPr>
            </w:pPr>
            <w:r>
              <w:rPr>
                <w:spacing w:val="-4"/>
                <w:sz w:val="17"/>
              </w:rPr>
              <w:t>11.7</w:t>
            </w:r>
          </w:p>
        </w:tc>
        <w:tc>
          <w:tcPr>
            <w:tcW w:w="644" w:type="dxa"/>
            <w:tcBorders>
              <w:top w:val="single" w:color="DCDDDE" w:sz="4" w:space="0"/>
              <w:bottom w:val="single" w:color="DCDDDE" w:sz="4" w:space="0"/>
            </w:tcBorders>
          </w:tcPr>
          <w:p w:rsidR="00C31389" w:rsidRDefault="00561FBD" w14:paraId="180C84E1" w14:textId="77777777">
            <w:pPr>
              <w:pStyle w:val="TableParagraph"/>
              <w:ind w:right="125"/>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3352711F" w14:textId="77777777">
            <w:pPr>
              <w:pStyle w:val="TableParagraph"/>
              <w:ind w:right="126"/>
              <w:jc w:val="right"/>
              <w:rPr>
                <w:sz w:val="17"/>
              </w:rPr>
            </w:pPr>
            <w:r>
              <w:rPr>
                <w:spacing w:val="-4"/>
                <w:sz w:val="17"/>
              </w:rPr>
              <w:t>12.5</w:t>
            </w:r>
          </w:p>
        </w:tc>
        <w:tc>
          <w:tcPr>
            <w:tcW w:w="631" w:type="dxa"/>
            <w:tcBorders>
              <w:top w:val="single" w:color="DCDDDE" w:sz="4" w:space="0"/>
              <w:bottom w:val="single" w:color="DCDDDE" w:sz="4" w:space="0"/>
            </w:tcBorders>
          </w:tcPr>
          <w:p w:rsidR="00C31389" w:rsidRDefault="00561FBD" w14:paraId="7CCA93BD" w14:textId="77777777">
            <w:pPr>
              <w:pStyle w:val="TableParagraph"/>
              <w:ind w:right="127"/>
              <w:jc w:val="right"/>
              <w:rPr>
                <w:sz w:val="17"/>
              </w:rPr>
            </w:pPr>
            <w:r>
              <w:rPr>
                <w:spacing w:val="-4"/>
                <w:sz w:val="17"/>
              </w:rPr>
              <w:t>13.0</w:t>
            </w:r>
          </w:p>
        </w:tc>
        <w:tc>
          <w:tcPr>
            <w:tcW w:w="631" w:type="dxa"/>
            <w:tcBorders>
              <w:top w:val="single" w:color="DCDDDE" w:sz="4" w:space="0"/>
              <w:bottom w:val="single" w:color="DCDDDE" w:sz="4" w:space="0"/>
            </w:tcBorders>
          </w:tcPr>
          <w:p w:rsidR="00C31389" w:rsidRDefault="00561FBD" w14:paraId="0292C5EE" w14:textId="77777777">
            <w:pPr>
              <w:pStyle w:val="TableParagraph"/>
              <w:ind w:left="106" w:right="68"/>
              <w:jc w:val="center"/>
              <w:rPr>
                <w:sz w:val="17"/>
              </w:rPr>
            </w:pPr>
            <w:r>
              <w:rPr>
                <w:spacing w:val="-4"/>
                <w:sz w:val="17"/>
              </w:rPr>
              <w:t>13.4</w:t>
            </w:r>
          </w:p>
        </w:tc>
        <w:tc>
          <w:tcPr>
            <w:tcW w:w="631" w:type="dxa"/>
            <w:tcBorders>
              <w:top w:val="single" w:color="DCDDDE" w:sz="4" w:space="0"/>
              <w:bottom w:val="single" w:color="DCDDDE" w:sz="4" w:space="0"/>
            </w:tcBorders>
          </w:tcPr>
          <w:p w:rsidR="00C31389" w:rsidRDefault="00561FBD" w14:paraId="53BFF022" w14:textId="77777777">
            <w:pPr>
              <w:pStyle w:val="TableParagraph"/>
              <w:ind w:left="106" w:right="70"/>
              <w:jc w:val="center"/>
              <w:rPr>
                <w:sz w:val="17"/>
              </w:rPr>
            </w:pPr>
            <w:r>
              <w:rPr>
                <w:spacing w:val="-4"/>
                <w:sz w:val="17"/>
              </w:rPr>
              <w:t>14.0</w:t>
            </w:r>
          </w:p>
        </w:tc>
        <w:tc>
          <w:tcPr>
            <w:tcW w:w="631" w:type="dxa"/>
            <w:tcBorders>
              <w:top w:val="single" w:color="DCDDDE" w:sz="4" w:space="0"/>
              <w:bottom w:val="single" w:color="DCDDDE" w:sz="4" w:space="0"/>
            </w:tcBorders>
          </w:tcPr>
          <w:p w:rsidR="00C31389" w:rsidRDefault="00561FBD" w14:paraId="056C3CCC" w14:textId="77777777">
            <w:pPr>
              <w:pStyle w:val="TableParagraph"/>
              <w:ind w:right="130"/>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24650C91" w14:textId="77777777">
            <w:pPr>
              <w:pStyle w:val="TableParagraph"/>
              <w:ind w:right="131"/>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539FE1D4" w14:textId="77777777">
            <w:pPr>
              <w:pStyle w:val="TableParagraph"/>
              <w:ind w:left="106" w:right="76"/>
              <w:jc w:val="center"/>
              <w:rPr>
                <w:sz w:val="17"/>
              </w:rPr>
            </w:pPr>
            <w:r>
              <w:rPr>
                <w:spacing w:val="-4"/>
                <w:sz w:val="17"/>
              </w:rPr>
              <w:t>16.3</w:t>
            </w:r>
          </w:p>
        </w:tc>
        <w:tc>
          <w:tcPr>
            <w:tcW w:w="631" w:type="dxa"/>
            <w:tcBorders>
              <w:top w:val="single" w:color="DCDDDE" w:sz="4" w:space="0"/>
              <w:bottom w:val="single" w:color="DCDDDE" w:sz="4" w:space="0"/>
            </w:tcBorders>
          </w:tcPr>
          <w:p w:rsidR="00C31389" w:rsidRDefault="00561FBD" w14:paraId="37A762F9" w14:textId="77777777">
            <w:pPr>
              <w:pStyle w:val="TableParagraph"/>
              <w:ind w:right="133"/>
              <w:jc w:val="right"/>
              <w:rPr>
                <w:sz w:val="17"/>
              </w:rPr>
            </w:pPr>
            <w:r>
              <w:rPr>
                <w:spacing w:val="-4"/>
                <w:sz w:val="17"/>
              </w:rPr>
              <w:t>15.4</w:t>
            </w:r>
          </w:p>
        </w:tc>
        <w:tc>
          <w:tcPr>
            <w:tcW w:w="613" w:type="dxa"/>
            <w:tcBorders>
              <w:top w:val="single" w:color="DCDDDE" w:sz="4" w:space="0"/>
              <w:bottom w:val="single" w:color="DCDDDE" w:sz="4" w:space="0"/>
            </w:tcBorders>
          </w:tcPr>
          <w:p w:rsidR="00C31389" w:rsidRDefault="00561FBD" w14:paraId="2B8CC5F2" w14:textId="77777777">
            <w:pPr>
              <w:pStyle w:val="TableParagraph"/>
              <w:ind w:right="116"/>
              <w:jc w:val="right"/>
              <w:rPr>
                <w:sz w:val="17"/>
              </w:rPr>
            </w:pPr>
            <w:r>
              <w:rPr>
                <w:spacing w:val="-4"/>
                <w:sz w:val="17"/>
              </w:rPr>
              <w:t>16.1</w:t>
            </w:r>
          </w:p>
        </w:tc>
      </w:tr>
      <w:tr w:rsidR="00C31389" w14:paraId="4C7B558C"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5F07E224" w14:textId="77777777">
            <w:pPr>
              <w:pStyle w:val="TableParagraph"/>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72D49F1A" w14:textId="77777777">
        <w:trPr>
          <w:trHeight w:val="471"/>
        </w:trPr>
        <w:tc>
          <w:tcPr>
            <w:tcW w:w="1507" w:type="dxa"/>
            <w:tcBorders>
              <w:top w:val="single" w:color="DCDDDE" w:sz="4" w:space="0"/>
              <w:bottom w:val="single" w:color="DCDDDE" w:sz="4" w:space="0"/>
            </w:tcBorders>
          </w:tcPr>
          <w:p w:rsidR="00C31389" w:rsidRDefault="00561FBD" w14:paraId="328DA6DD" w14:textId="77777777">
            <w:pPr>
              <w:pStyle w:val="TableParagraph"/>
              <w:spacing w:before="39"/>
              <w:ind w:left="122" w:right="375"/>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7F473F4D" w14:textId="77777777">
            <w:pPr>
              <w:pStyle w:val="TableParagraph"/>
              <w:spacing w:before="139"/>
              <w:ind w:right="192"/>
              <w:jc w:val="right"/>
              <w:rPr>
                <w:sz w:val="17"/>
              </w:rPr>
            </w:pPr>
            <w:r>
              <w:rPr>
                <w:spacing w:val="-4"/>
                <w:sz w:val="17"/>
              </w:rPr>
              <w:t>23.0</w:t>
            </w:r>
          </w:p>
        </w:tc>
        <w:tc>
          <w:tcPr>
            <w:tcW w:w="712" w:type="dxa"/>
            <w:tcBorders>
              <w:top w:val="single" w:color="DCDDDE" w:sz="4" w:space="0"/>
              <w:bottom w:val="single" w:color="DCDDDE" w:sz="4" w:space="0"/>
            </w:tcBorders>
          </w:tcPr>
          <w:p w:rsidR="00C31389" w:rsidRDefault="00561FBD" w14:paraId="6B547710" w14:textId="77777777">
            <w:pPr>
              <w:pStyle w:val="TableParagraph"/>
              <w:spacing w:before="139"/>
              <w:ind w:right="138"/>
              <w:jc w:val="right"/>
              <w:rPr>
                <w:sz w:val="17"/>
              </w:rPr>
            </w:pPr>
            <w:r>
              <w:rPr>
                <w:spacing w:val="-4"/>
                <w:sz w:val="17"/>
              </w:rPr>
              <w:t>22.5</w:t>
            </w:r>
          </w:p>
        </w:tc>
        <w:tc>
          <w:tcPr>
            <w:tcW w:w="644" w:type="dxa"/>
            <w:tcBorders>
              <w:top w:val="single" w:color="DCDDDE" w:sz="4" w:space="0"/>
              <w:bottom w:val="single" w:color="DCDDDE" w:sz="4" w:space="0"/>
            </w:tcBorders>
          </w:tcPr>
          <w:p w:rsidR="00C31389" w:rsidRDefault="00561FBD" w14:paraId="22689807" w14:textId="77777777">
            <w:pPr>
              <w:pStyle w:val="TableParagraph"/>
              <w:spacing w:before="139"/>
              <w:ind w:right="125"/>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219CF7B9" w14:textId="77777777">
            <w:pPr>
              <w:pStyle w:val="TableParagraph"/>
              <w:spacing w:before="139"/>
              <w:ind w:right="126"/>
              <w:jc w:val="right"/>
              <w:rPr>
                <w:sz w:val="17"/>
              </w:rPr>
            </w:pPr>
            <w:r>
              <w:rPr>
                <w:spacing w:val="-4"/>
                <w:sz w:val="17"/>
              </w:rPr>
              <w:t>14.8</w:t>
            </w:r>
          </w:p>
        </w:tc>
        <w:tc>
          <w:tcPr>
            <w:tcW w:w="631" w:type="dxa"/>
            <w:tcBorders>
              <w:top w:val="single" w:color="DCDDDE" w:sz="4" w:space="0"/>
              <w:bottom w:val="single" w:color="DCDDDE" w:sz="4" w:space="0"/>
            </w:tcBorders>
          </w:tcPr>
          <w:p w:rsidR="00C31389" w:rsidRDefault="00561FBD" w14:paraId="1DD82A02" w14:textId="77777777">
            <w:pPr>
              <w:pStyle w:val="TableParagraph"/>
              <w:spacing w:before="139"/>
              <w:ind w:right="127"/>
              <w:jc w:val="right"/>
              <w:rPr>
                <w:sz w:val="17"/>
              </w:rPr>
            </w:pPr>
            <w:r>
              <w:rPr>
                <w:spacing w:val="-4"/>
                <w:sz w:val="17"/>
              </w:rPr>
              <w:t>13.8</w:t>
            </w:r>
          </w:p>
        </w:tc>
        <w:tc>
          <w:tcPr>
            <w:tcW w:w="631" w:type="dxa"/>
            <w:tcBorders>
              <w:top w:val="single" w:color="DCDDDE" w:sz="4" w:space="0"/>
              <w:bottom w:val="single" w:color="DCDDDE" w:sz="4" w:space="0"/>
            </w:tcBorders>
          </w:tcPr>
          <w:p w:rsidR="00C31389" w:rsidRDefault="00561FBD" w14:paraId="08D0523E" w14:textId="77777777">
            <w:pPr>
              <w:pStyle w:val="TableParagraph"/>
              <w:spacing w:before="139"/>
              <w:ind w:left="106" w:right="68"/>
              <w:jc w:val="center"/>
              <w:rPr>
                <w:sz w:val="17"/>
              </w:rPr>
            </w:pPr>
            <w:r>
              <w:rPr>
                <w:spacing w:val="-4"/>
                <w:sz w:val="17"/>
              </w:rPr>
              <w:t>13.1</w:t>
            </w:r>
          </w:p>
        </w:tc>
        <w:tc>
          <w:tcPr>
            <w:tcW w:w="631" w:type="dxa"/>
            <w:tcBorders>
              <w:top w:val="single" w:color="DCDDDE" w:sz="4" w:space="0"/>
              <w:bottom w:val="single" w:color="DCDDDE" w:sz="4" w:space="0"/>
            </w:tcBorders>
          </w:tcPr>
          <w:p w:rsidR="00C31389" w:rsidRDefault="00561FBD" w14:paraId="3AEFBAE3" w14:textId="77777777">
            <w:pPr>
              <w:pStyle w:val="TableParagraph"/>
              <w:spacing w:before="139"/>
              <w:ind w:left="106" w:right="70"/>
              <w:jc w:val="center"/>
              <w:rPr>
                <w:sz w:val="17"/>
              </w:rPr>
            </w:pPr>
            <w:r>
              <w:rPr>
                <w:spacing w:val="-4"/>
                <w:sz w:val="17"/>
              </w:rPr>
              <w:t>12.7</w:t>
            </w:r>
          </w:p>
        </w:tc>
        <w:tc>
          <w:tcPr>
            <w:tcW w:w="631" w:type="dxa"/>
            <w:tcBorders>
              <w:top w:val="single" w:color="DCDDDE" w:sz="4" w:space="0"/>
              <w:bottom w:val="single" w:color="DCDDDE" w:sz="4" w:space="0"/>
            </w:tcBorders>
          </w:tcPr>
          <w:p w:rsidR="00C31389" w:rsidRDefault="00561FBD" w14:paraId="19E1704E" w14:textId="77777777">
            <w:pPr>
              <w:pStyle w:val="TableParagraph"/>
              <w:spacing w:before="139"/>
              <w:ind w:right="130"/>
              <w:jc w:val="right"/>
              <w:rPr>
                <w:sz w:val="17"/>
              </w:rPr>
            </w:pPr>
            <w:r>
              <w:rPr>
                <w:spacing w:val="-4"/>
                <w:sz w:val="17"/>
              </w:rPr>
              <w:t>12.2</w:t>
            </w:r>
          </w:p>
        </w:tc>
        <w:tc>
          <w:tcPr>
            <w:tcW w:w="631" w:type="dxa"/>
            <w:tcBorders>
              <w:top w:val="single" w:color="DCDDDE" w:sz="4" w:space="0"/>
              <w:bottom w:val="single" w:color="DCDDDE" w:sz="4" w:space="0"/>
            </w:tcBorders>
          </w:tcPr>
          <w:p w:rsidR="00C31389" w:rsidRDefault="00561FBD" w14:paraId="789E3201" w14:textId="77777777">
            <w:pPr>
              <w:pStyle w:val="TableParagraph"/>
              <w:spacing w:before="139"/>
              <w:ind w:right="131"/>
              <w:jc w:val="right"/>
              <w:rPr>
                <w:sz w:val="17"/>
              </w:rPr>
            </w:pPr>
            <w:r>
              <w:rPr>
                <w:spacing w:val="-4"/>
                <w:sz w:val="17"/>
              </w:rPr>
              <w:t>11.4</w:t>
            </w:r>
          </w:p>
        </w:tc>
        <w:tc>
          <w:tcPr>
            <w:tcW w:w="631" w:type="dxa"/>
            <w:tcBorders>
              <w:top w:val="single" w:color="DCDDDE" w:sz="4" w:space="0"/>
              <w:bottom w:val="single" w:color="DCDDDE" w:sz="4" w:space="0"/>
            </w:tcBorders>
          </w:tcPr>
          <w:p w:rsidR="00C31389" w:rsidRDefault="00561FBD" w14:paraId="67F1501D" w14:textId="77777777">
            <w:pPr>
              <w:pStyle w:val="TableParagraph"/>
              <w:spacing w:before="139"/>
              <w:ind w:left="106" w:right="76"/>
              <w:jc w:val="center"/>
              <w:rPr>
                <w:sz w:val="17"/>
              </w:rPr>
            </w:pPr>
            <w:r>
              <w:rPr>
                <w:spacing w:val="-4"/>
                <w:sz w:val="17"/>
              </w:rPr>
              <w:t>11.0</w:t>
            </w:r>
          </w:p>
        </w:tc>
        <w:tc>
          <w:tcPr>
            <w:tcW w:w="631" w:type="dxa"/>
            <w:tcBorders>
              <w:top w:val="single" w:color="DCDDDE" w:sz="4" w:space="0"/>
              <w:bottom w:val="single" w:color="DCDDDE" w:sz="4" w:space="0"/>
            </w:tcBorders>
          </w:tcPr>
          <w:p w:rsidR="00C31389" w:rsidRDefault="00561FBD" w14:paraId="2F9B5D33" w14:textId="77777777">
            <w:pPr>
              <w:pStyle w:val="TableParagraph"/>
              <w:spacing w:before="139"/>
              <w:ind w:right="133"/>
              <w:jc w:val="right"/>
              <w:rPr>
                <w:sz w:val="17"/>
              </w:rPr>
            </w:pPr>
            <w:r>
              <w:rPr>
                <w:spacing w:val="-4"/>
                <w:sz w:val="17"/>
              </w:rPr>
              <w:t>10.7</w:t>
            </w:r>
          </w:p>
        </w:tc>
        <w:tc>
          <w:tcPr>
            <w:tcW w:w="613" w:type="dxa"/>
            <w:tcBorders>
              <w:top w:val="single" w:color="DCDDDE" w:sz="4" w:space="0"/>
              <w:bottom w:val="single" w:color="DCDDDE" w:sz="4" w:space="0"/>
            </w:tcBorders>
          </w:tcPr>
          <w:p w:rsidR="00C31389" w:rsidRDefault="00561FBD" w14:paraId="7653403F" w14:textId="77777777">
            <w:pPr>
              <w:pStyle w:val="TableParagraph"/>
              <w:spacing w:before="139"/>
              <w:ind w:right="116"/>
              <w:jc w:val="right"/>
              <w:rPr>
                <w:sz w:val="17"/>
              </w:rPr>
            </w:pPr>
            <w:r>
              <w:rPr>
                <w:spacing w:val="-4"/>
                <w:sz w:val="17"/>
              </w:rPr>
              <w:t>10.3</w:t>
            </w:r>
          </w:p>
        </w:tc>
      </w:tr>
      <w:tr w:rsidR="00C31389" w14:paraId="78CD8B74" w14:textId="77777777">
        <w:trPr>
          <w:trHeight w:val="470"/>
        </w:trPr>
        <w:tc>
          <w:tcPr>
            <w:tcW w:w="1507" w:type="dxa"/>
            <w:tcBorders>
              <w:top w:val="single" w:color="DCDDDE" w:sz="4" w:space="0"/>
              <w:bottom w:val="single" w:color="545658" w:sz="8" w:space="0"/>
            </w:tcBorders>
          </w:tcPr>
          <w:p w:rsidR="00C31389" w:rsidRDefault="00561FBD" w14:paraId="61E8B024" w14:textId="77777777">
            <w:pPr>
              <w:pStyle w:val="TableParagraph"/>
              <w:spacing w:before="39"/>
              <w:ind w:left="122" w:right="280"/>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36BA2D1F" w14:textId="77777777">
            <w:pPr>
              <w:pStyle w:val="TableParagraph"/>
              <w:spacing w:before="138"/>
              <w:ind w:right="192"/>
              <w:jc w:val="right"/>
              <w:rPr>
                <w:sz w:val="17"/>
              </w:rPr>
            </w:pPr>
            <w:r>
              <w:rPr>
                <w:spacing w:val="-4"/>
                <w:sz w:val="17"/>
              </w:rPr>
              <w:t>25.1</w:t>
            </w:r>
          </w:p>
        </w:tc>
        <w:tc>
          <w:tcPr>
            <w:tcW w:w="712" w:type="dxa"/>
            <w:tcBorders>
              <w:top w:val="single" w:color="DCDDDE" w:sz="4" w:space="0"/>
              <w:bottom w:val="single" w:color="545658" w:sz="8" w:space="0"/>
            </w:tcBorders>
          </w:tcPr>
          <w:p w:rsidR="00C31389" w:rsidRDefault="00561FBD" w14:paraId="1F61C226" w14:textId="77777777">
            <w:pPr>
              <w:pStyle w:val="TableParagraph"/>
              <w:spacing w:before="138"/>
              <w:ind w:right="138"/>
              <w:jc w:val="right"/>
              <w:rPr>
                <w:sz w:val="17"/>
              </w:rPr>
            </w:pPr>
            <w:r>
              <w:rPr>
                <w:spacing w:val="-4"/>
                <w:sz w:val="17"/>
              </w:rPr>
              <w:t>24.5</w:t>
            </w:r>
          </w:p>
        </w:tc>
        <w:tc>
          <w:tcPr>
            <w:tcW w:w="644" w:type="dxa"/>
            <w:tcBorders>
              <w:top w:val="single" w:color="DCDDDE" w:sz="4" w:space="0"/>
              <w:bottom w:val="single" w:color="545658" w:sz="8" w:space="0"/>
            </w:tcBorders>
          </w:tcPr>
          <w:p w:rsidR="00C31389" w:rsidRDefault="00561FBD" w14:paraId="0461F503" w14:textId="77777777">
            <w:pPr>
              <w:pStyle w:val="TableParagraph"/>
              <w:spacing w:before="138"/>
              <w:ind w:right="125"/>
              <w:jc w:val="right"/>
              <w:rPr>
                <w:sz w:val="17"/>
              </w:rPr>
            </w:pPr>
            <w:r>
              <w:rPr>
                <w:spacing w:val="-4"/>
                <w:sz w:val="17"/>
              </w:rPr>
              <w:t>16.3</w:t>
            </w:r>
          </w:p>
        </w:tc>
        <w:tc>
          <w:tcPr>
            <w:tcW w:w="631" w:type="dxa"/>
            <w:tcBorders>
              <w:top w:val="single" w:color="DCDDDE" w:sz="4" w:space="0"/>
              <w:bottom w:val="single" w:color="545658" w:sz="8" w:space="0"/>
            </w:tcBorders>
          </w:tcPr>
          <w:p w:rsidR="00C31389" w:rsidRDefault="00561FBD" w14:paraId="3D013953" w14:textId="77777777">
            <w:pPr>
              <w:pStyle w:val="TableParagraph"/>
              <w:spacing w:before="138"/>
              <w:ind w:right="126"/>
              <w:jc w:val="right"/>
              <w:rPr>
                <w:sz w:val="17"/>
              </w:rPr>
            </w:pPr>
            <w:r>
              <w:rPr>
                <w:spacing w:val="-4"/>
                <w:sz w:val="17"/>
              </w:rPr>
              <w:t>16.2</w:t>
            </w:r>
          </w:p>
        </w:tc>
        <w:tc>
          <w:tcPr>
            <w:tcW w:w="631" w:type="dxa"/>
            <w:tcBorders>
              <w:top w:val="single" w:color="DCDDDE" w:sz="4" w:space="0"/>
              <w:bottom w:val="single" w:color="545658" w:sz="8" w:space="0"/>
            </w:tcBorders>
          </w:tcPr>
          <w:p w:rsidR="00C31389" w:rsidRDefault="00561FBD" w14:paraId="7300F8B2" w14:textId="77777777">
            <w:pPr>
              <w:pStyle w:val="TableParagraph"/>
              <w:spacing w:before="138"/>
              <w:ind w:right="127"/>
              <w:jc w:val="right"/>
              <w:rPr>
                <w:sz w:val="17"/>
              </w:rPr>
            </w:pPr>
            <w:r>
              <w:rPr>
                <w:spacing w:val="-4"/>
                <w:sz w:val="17"/>
              </w:rPr>
              <w:t>15.0</w:t>
            </w:r>
          </w:p>
        </w:tc>
        <w:tc>
          <w:tcPr>
            <w:tcW w:w="631" w:type="dxa"/>
            <w:tcBorders>
              <w:top w:val="single" w:color="DCDDDE" w:sz="4" w:space="0"/>
              <w:bottom w:val="single" w:color="545658" w:sz="8" w:space="0"/>
            </w:tcBorders>
          </w:tcPr>
          <w:p w:rsidR="00C31389" w:rsidRDefault="00561FBD" w14:paraId="0751B2D0" w14:textId="77777777">
            <w:pPr>
              <w:pStyle w:val="TableParagraph"/>
              <w:spacing w:before="138"/>
              <w:ind w:left="106" w:right="68"/>
              <w:jc w:val="center"/>
              <w:rPr>
                <w:sz w:val="17"/>
              </w:rPr>
            </w:pPr>
            <w:r>
              <w:rPr>
                <w:spacing w:val="-4"/>
                <w:sz w:val="17"/>
              </w:rPr>
              <w:t>13.7</w:t>
            </w:r>
          </w:p>
        </w:tc>
        <w:tc>
          <w:tcPr>
            <w:tcW w:w="631" w:type="dxa"/>
            <w:tcBorders>
              <w:top w:val="single" w:color="DCDDDE" w:sz="4" w:space="0"/>
              <w:bottom w:val="single" w:color="545658" w:sz="8" w:space="0"/>
            </w:tcBorders>
          </w:tcPr>
          <w:p w:rsidR="00C31389" w:rsidRDefault="00561FBD" w14:paraId="644589A3" w14:textId="77777777">
            <w:pPr>
              <w:pStyle w:val="TableParagraph"/>
              <w:spacing w:before="138"/>
              <w:ind w:left="106" w:right="70"/>
              <w:jc w:val="center"/>
              <w:rPr>
                <w:sz w:val="17"/>
              </w:rPr>
            </w:pPr>
            <w:r>
              <w:rPr>
                <w:spacing w:val="-4"/>
                <w:sz w:val="17"/>
              </w:rPr>
              <w:t>13.2</w:t>
            </w:r>
          </w:p>
        </w:tc>
        <w:tc>
          <w:tcPr>
            <w:tcW w:w="631" w:type="dxa"/>
            <w:tcBorders>
              <w:top w:val="single" w:color="DCDDDE" w:sz="4" w:space="0"/>
              <w:bottom w:val="single" w:color="545658" w:sz="8" w:space="0"/>
            </w:tcBorders>
          </w:tcPr>
          <w:p w:rsidR="00C31389" w:rsidRDefault="00561FBD" w14:paraId="5ABE1545" w14:textId="77777777">
            <w:pPr>
              <w:pStyle w:val="TableParagraph"/>
              <w:spacing w:before="138"/>
              <w:ind w:right="130"/>
              <w:jc w:val="right"/>
              <w:rPr>
                <w:sz w:val="17"/>
              </w:rPr>
            </w:pPr>
            <w:r>
              <w:rPr>
                <w:spacing w:val="-4"/>
                <w:sz w:val="17"/>
              </w:rPr>
              <w:t>12.6</w:t>
            </w:r>
          </w:p>
        </w:tc>
        <w:tc>
          <w:tcPr>
            <w:tcW w:w="631" w:type="dxa"/>
            <w:tcBorders>
              <w:top w:val="single" w:color="DCDDDE" w:sz="4" w:space="0"/>
              <w:bottom w:val="single" w:color="545658" w:sz="8" w:space="0"/>
            </w:tcBorders>
          </w:tcPr>
          <w:p w:rsidR="00C31389" w:rsidRDefault="00561FBD" w14:paraId="4942D6DA" w14:textId="77777777">
            <w:pPr>
              <w:pStyle w:val="TableParagraph"/>
              <w:spacing w:before="138"/>
              <w:ind w:right="131"/>
              <w:jc w:val="right"/>
              <w:rPr>
                <w:sz w:val="17"/>
              </w:rPr>
            </w:pPr>
            <w:r>
              <w:rPr>
                <w:spacing w:val="-4"/>
                <w:sz w:val="17"/>
              </w:rPr>
              <w:t>11.8</w:t>
            </w:r>
          </w:p>
        </w:tc>
        <w:tc>
          <w:tcPr>
            <w:tcW w:w="631" w:type="dxa"/>
            <w:tcBorders>
              <w:top w:val="single" w:color="DCDDDE" w:sz="4" w:space="0"/>
              <w:bottom w:val="single" w:color="545658" w:sz="8" w:space="0"/>
            </w:tcBorders>
          </w:tcPr>
          <w:p w:rsidR="00C31389" w:rsidRDefault="00561FBD" w14:paraId="24393A6B" w14:textId="77777777">
            <w:pPr>
              <w:pStyle w:val="TableParagraph"/>
              <w:spacing w:before="138"/>
              <w:ind w:left="106" w:right="76"/>
              <w:jc w:val="center"/>
              <w:rPr>
                <w:sz w:val="17"/>
              </w:rPr>
            </w:pPr>
            <w:r>
              <w:rPr>
                <w:spacing w:val="-4"/>
                <w:sz w:val="17"/>
              </w:rPr>
              <w:t>11.4</w:t>
            </w:r>
          </w:p>
        </w:tc>
        <w:tc>
          <w:tcPr>
            <w:tcW w:w="631" w:type="dxa"/>
            <w:tcBorders>
              <w:top w:val="single" w:color="DCDDDE" w:sz="4" w:space="0"/>
              <w:bottom w:val="single" w:color="545658" w:sz="8" w:space="0"/>
            </w:tcBorders>
          </w:tcPr>
          <w:p w:rsidR="00C31389" w:rsidRDefault="00561FBD" w14:paraId="4282F0D0" w14:textId="77777777">
            <w:pPr>
              <w:pStyle w:val="TableParagraph"/>
              <w:spacing w:before="138"/>
              <w:ind w:right="133"/>
              <w:jc w:val="right"/>
              <w:rPr>
                <w:sz w:val="17"/>
              </w:rPr>
            </w:pPr>
            <w:r>
              <w:rPr>
                <w:spacing w:val="-4"/>
                <w:sz w:val="17"/>
              </w:rPr>
              <w:t>11.1</w:t>
            </w:r>
          </w:p>
        </w:tc>
        <w:tc>
          <w:tcPr>
            <w:tcW w:w="613" w:type="dxa"/>
            <w:tcBorders>
              <w:top w:val="single" w:color="DCDDDE" w:sz="4" w:space="0"/>
              <w:bottom w:val="single" w:color="545658" w:sz="8" w:space="0"/>
            </w:tcBorders>
          </w:tcPr>
          <w:p w:rsidR="00C31389" w:rsidRDefault="00561FBD" w14:paraId="345D4284" w14:textId="77777777">
            <w:pPr>
              <w:pStyle w:val="TableParagraph"/>
              <w:spacing w:before="138"/>
              <w:ind w:right="116"/>
              <w:jc w:val="right"/>
              <w:rPr>
                <w:sz w:val="17"/>
              </w:rPr>
            </w:pPr>
            <w:r>
              <w:rPr>
                <w:spacing w:val="-4"/>
                <w:sz w:val="17"/>
              </w:rPr>
              <w:t>10.7</w:t>
            </w:r>
          </w:p>
        </w:tc>
      </w:tr>
    </w:tbl>
    <w:p w:rsidR="00C31389" w:rsidRDefault="00561FBD" w14:paraId="006BE89D" w14:textId="77777777">
      <w:pPr>
        <w:spacing w:before="80"/>
        <w:ind w:left="220"/>
        <w:rPr>
          <w:i/>
          <w:sz w:val="18"/>
        </w:rPr>
      </w:pPr>
      <w:r>
        <w:rPr>
          <w:i/>
          <w:sz w:val="18"/>
        </w:rPr>
        <w:t>Source:</w:t>
      </w:r>
      <w:r>
        <w:rPr>
          <w:i/>
          <w:spacing w:val="-4"/>
          <w:sz w:val="18"/>
        </w:rPr>
        <w:t xml:space="preserve"> </w:t>
      </w:r>
      <w:r>
        <w:rPr>
          <w:i/>
          <w:spacing w:val="-2"/>
          <w:sz w:val="18"/>
        </w:rPr>
        <w:t>Guidehouse</w:t>
      </w:r>
    </w:p>
    <w:p w:rsidR="00C31389" w:rsidRDefault="00C31389" w14:paraId="46C79219" w14:textId="77777777">
      <w:pPr>
        <w:pStyle w:val="BodyText"/>
        <w:rPr>
          <w:i/>
          <w:sz w:val="21"/>
        </w:rPr>
      </w:pPr>
    </w:p>
    <w:p w:rsidR="00C31389" w:rsidRDefault="00561FBD" w14:paraId="713C925C" w14:textId="77777777">
      <w:pPr>
        <w:pStyle w:val="ListParagraph"/>
        <w:numPr>
          <w:ilvl w:val="2"/>
          <w:numId w:val="4"/>
        </w:numPr>
        <w:tabs>
          <w:tab w:val="left" w:pos="936"/>
        </w:tabs>
        <w:ind w:left="936" w:hanging="716"/>
        <w:rPr>
          <w:b/>
          <w:sz w:val="24"/>
        </w:rPr>
      </w:pPr>
      <w:bookmarkStart w:name="J.2.2_SCE" w:id="695"/>
      <w:bookmarkEnd w:id="695"/>
      <w:r>
        <w:rPr>
          <w:b/>
          <w:spacing w:val="-5"/>
          <w:sz w:val="24"/>
        </w:rPr>
        <w:t>SCE</w:t>
      </w:r>
    </w:p>
    <w:p w:rsidR="00C31389" w:rsidRDefault="00C31389" w14:paraId="3BC7D174" w14:textId="77777777">
      <w:pPr>
        <w:rPr>
          <w:sz w:val="24"/>
        </w:rPr>
        <w:sectPr w:rsidR="00C31389">
          <w:pgSz w:w="12240" w:h="15840"/>
          <w:pgMar w:top="1380" w:right="1240" w:bottom="1120" w:left="1220" w:header="397" w:footer="936" w:gutter="0"/>
          <w:cols w:space="720"/>
        </w:sectPr>
      </w:pPr>
    </w:p>
    <w:p w:rsidR="00C31389" w:rsidRDefault="00C31389" w14:paraId="7BBB16B2" w14:textId="77777777">
      <w:pPr>
        <w:pStyle w:val="BodyText"/>
        <w:rPr>
          <w:b/>
        </w:rPr>
      </w:pPr>
    </w:p>
    <w:p w:rsidR="00C31389" w:rsidRDefault="00C31389" w14:paraId="08311BC8" w14:textId="77777777">
      <w:pPr>
        <w:pStyle w:val="BodyText"/>
        <w:spacing w:before="10"/>
        <w:rPr>
          <w:b/>
          <w:sz w:val="13"/>
        </w:rPr>
      </w:pPr>
    </w:p>
    <w:p w:rsidR="00C31389" w:rsidRDefault="00561FBD" w14:paraId="5F036EC4" w14:textId="77777777">
      <w:pPr>
        <w:pStyle w:val="Heading7"/>
        <w:spacing w:before="93"/>
        <w:ind w:left="1979" w:right="1960"/>
        <w:jc w:val="center"/>
      </w:pPr>
      <w:bookmarkStart w:name="_bookmark531" w:id="696"/>
      <w:bookmarkEnd w:id="696"/>
      <w:r>
        <w:t>Table</w:t>
      </w:r>
      <w:r>
        <w:rPr>
          <w:spacing w:val="-8"/>
        </w:rPr>
        <w:t xml:space="preserve"> </w:t>
      </w:r>
      <w:r>
        <w:t>J-5.</w:t>
      </w:r>
      <w:r>
        <w:rPr>
          <w:spacing w:val="-7"/>
        </w:rPr>
        <w:t xml:space="preserve"> </w:t>
      </w:r>
      <w:r>
        <w:t>SCE</w:t>
      </w:r>
      <w:r>
        <w:rPr>
          <w:spacing w:val="-8"/>
        </w:rPr>
        <w:t xml:space="preserve"> </w:t>
      </w:r>
      <w:r>
        <w:t>Electric</w:t>
      </w:r>
      <w:r>
        <w:rPr>
          <w:spacing w:val="-6"/>
        </w:rPr>
        <w:t xml:space="preserve"> </w:t>
      </w:r>
      <w:r>
        <w:t>Energy</w:t>
      </w:r>
      <w:r>
        <w:rPr>
          <w:spacing w:val="-8"/>
        </w:rPr>
        <w:t xml:space="preserve"> </w:t>
      </w:r>
      <w:r>
        <w:t>Savings</w:t>
      </w:r>
      <w:r>
        <w:rPr>
          <w:spacing w:val="-7"/>
        </w:rPr>
        <w:t xml:space="preserve"> </w:t>
      </w:r>
      <w:r>
        <w:rPr>
          <w:spacing w:val="-2"/>
        </w:rPr>
        <w:t>(GWh/year)</w:t>
      </w:r>
    </w:p>
    <w:p w:rsidR="00C31389" w:rsidRDefault="00C31389" w14:paraId="21BD4E5D"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033"/>
        <w:gridCol w:w="715"/>
        <w:gridCol w:w="703"/>
        <w:gridCol w:w="687"/>
        <w:gridCol w:w="694"/>
        <w:gridCol w:w="694"/>
        <w:gridCol w:w="720"/>
        <w:gridCol w:w="695"/>
        <w:gridCol w:w="695"/>
        <w:gridCol w:w="694"/>
        <w:gridCol w:w="694"/>
        <w:gridCol w:w="695"/>
        <w:gridCol w:w="655"/>
      </w:tblGrid>
      <w:tr w:rsidR="00C31389" w14:paraId="2BC5C7D2" w14:textId="77777777">
        <w:trPr>
          <w:trHeight w:val="304"/>
        </w:trPr>
        <w:tc>
          <w:tcPr>
            <w:tcW w:w="1033" w:type="dxa"/>
            <w:shd w:val="clear" w:color="auto" w:fill="92D400"/>
          </w:tcPr>
          <w:p w:rsidR="00C31389" w:rsidRDefault="00561FBD" w14:paraId="7674149B" w14:textId="77777777">
            <w:pPr>
              <w:pStyle w:val="TableParagraph"/>
              <w:spacing w:before="41"/>
              <w:ind w:left="122"/>
              <w:rPr>
                <w:b/>
                <w:sz w:val="17"/>
              </w:rPr>
            </w:pPr>
            <w:r>
              <w:rPr>
                <w:b/>
                <w:spacing w:val="-4"/>
                <w:sz w:val="17"/>
              </w:rPr>
              <w:t>Year</w:t>
            </w:r>
          </w:p>
        </w:tc>
        <w:tc>
          <w:tcPr>
            <w:tcW w:w="715" w:type="dxa"/>
            <w:shd w:val="clear" w:color="auto" w:fill="92D400"/>
          </w:tcPr>
          <w:p w:rsidR="00C31389" w:rsidRDefault="00561FBD" w14:paraId="5E4781CE" w14:textId="77777777">
            <w:pPr>
              <w:pStyle w:val="TableParagraph"/>
              <w:spacing w:before="41"/>
              <w:ind w:right="117"/>
              <w:jc w:val="right"/>
              <w:rPr>
                <w:b/>
                <w:sz w:val="17"/>
              </w:rPr>
            </w:pPr>
            <w:r>
              <w:rPr>
                <w:b/>
                <w:spacing w:val="-4"/>
                <w:sz w:val="17"/>
              </w:rPr>
              <w:t>2024</w:t>
            </w:r>
          </w:p>
        </w:tc>
        <w:tc>
          <w:tcPr>
            <w:tcW w:w="703" w:type="dxa"/>
            <w:shd w:val="clear" w:color="auto" w:fill="92D400"/>
          </w:tcPr>
          <w:p w:rsidR="00C31389" w:rsidRDefault="00561FBD" w14:paraId="784BB3A5" w14:textId="77777777">
            <w:pPr>
              <w:pStyle w:val="TableParagraph"/>
              <w:spacing w:before="41"/>
              <w:ind w:right="111"/>
              <w:jc w:val="right"/>
              <w:rPr>
                <w:b/>
                <w:sz w:val="17"/>
              </w:rPr>
            </w:pPr>
            <w:r>
              <w:rPr>
                <w:b/>
                <w:spacing w:val="-4"/>
                <w:sz w:val="17"/>
              </w:rPr>
              <w:t>2025</w:t>
            </w:r>
          </w:p>
        </w:tc>
        <w:tc>
          <w:tcPr>
            <w:tcW w:w="687" w:type="dxa"/>
            <w:shd w:val="clear" w:color="auto" w:fill="92D400"/>
          </w:tcPr>
          <w:p w:rsidR="00C31389" w:rsidRDefault="00561FBD" w14:paraId="0B37ABCB" w14:textId="77777777">
            <w:pPr>
              <w:pStyle w:val="TableParagraph"/>
              <w:spacing w:before="41"/>
              <w:ind w:right="118"/>
              <w:jc w:val="right"/>
              <w:rPr>
                <w:b/>
                <w:sz w:val="17"/>
              </w:rPr>
            </w:pPr>
            <w:r>
              <w:rPr>
                <w:b/>
                <w:spacing w:val="-4"/>
                <w:sz w:val="17"/>
              </w:rPr>
              <w:t>2026</w:t>
            </w:r>
          </w:p>
        </w:tc>
        <w:tc>
          <w:tcPr>
            <w:tcW w:w="694" w:type="dxa"/>
            <w:shd w:val="clear" w:color="auto" w:fill="92D400"/>
          </w:tcPr>
          <w:p w:rsidR="00C31389" w:rsidRDefault="00561FBD" w14:paraId="71C63F1E" w14:textId="77777777">
            <w:pPr>
              <w:pStyle w:val="TableParagraph"/>
              <w:spacing w:before="41"/>
              <w:ind w:right="118"/>
              <w:jc w:val="right"/>
              <w:rPr>
                <w:b/>
                <w:sz w:val="17"/>
              </w:rPr>
            </w:pPr>
            <w:r>
              <w:rPr>
                <w:b/>
                <w:spacing w:val="-4"/>
                <w:sz w:val="17"/>
              </w:rPr>
              <w:t>2027</w:t>
            </w:r>
          </w:p>
        </w:tc>
        <w:tc>
          <w:tcPr>
            <w:tcW w:w="694" w:type="dxa"/>
            <w:shd w:val="clear" w:color="auto" w:fill="92D400"/>
          </w:tcPr>
          <w:p w:rsidR="00C31389" w:rsidRDefault="00561FBD" w14:paraId="5D7060D3" w14:textId="77777777">
            <w:pPr>
              <w:pStyle w:val="TableParagraph"/>
              <w:spacing w:before="41"/>
              <w:ind w:left="156" w:right="81"/>
              <w:jc w:val="center"/>
              <w:rPr>
                <w:b/>
                <w:sz w:val="17"/>
              </w:rPr>
            </w:pPr>
            <w:r>
              <w:rPr>
                <w:b/>
                <w:spacing w:val="-4"/>
                <w:sz w:val="17"/>
              </w:rPr>
              <w:t>2028</w:t>
            </w:r>
          </w:p>
        </w:tc>
        <w:tc>
          <w:tcPr>
            <w:tcW w:w="720" w:type="dxa"/>
            <w:shd w:val="clear" w:color="auto" w:fill="92D400"/>
          </w:tcPr>
          <w:p w:rsidR="00C31389" w:rsidRDefault="00561FBD" w14:paraId="3B3F7377" w14:textId="77777777">
            <w:pPr>
              <w:pStyle w:val="TableParagraph"/>
              <w:spacing w:before="41"/>
              <w:ind w:right="144"/>
              <w:jc w:val="right"/>
              <w:rPr>
                <w:b/>
                <w:sz w:val="17"/>
              </w:rPr>
            </w:pPr>
            <w:r>
              <w:rPr>
                <w:b/>
                <w:spacing w:val="-4"/>
                <w:sz w:val="17"/>
              </w:rPr>
              <w:t>2029</w:t>
            </w:r>
          </w:p>
        </w:tc>
        <w:tc>
          <w:tcPr>
            <w:tcW w:w="695" w:type="dxa"/>
            <w:shd w:val="clear" w:color="auto" w:fill="92D400"/>
          </w:tcPr>
          <w:p w:rsidR="00C31389" w:rsidRDefault="00561FBD" w14:paraId="0C3D7CE4" w14:textId="77777777">
            <w:pPr>
              <w:pStyle w:val="TableParagraph"/>
              <w:spacing w:before="41"/>
              <w:ind w:left="132" w:right="112"/>
              <w:jc w:val="center"/>
              <w:rPr>
                <w:b/>
                <w:sz w:val="17"/>
              </w:rPr>
            </w:pPr>
            <w:r>
              <w:rPr>
                <w:b/>
                <w:spacing w:val="-4"/>
                <w:sz w:val="17"/>
              </w:rPr>
              <w:t>2030</w:t>
            </w:r>
          </w:p>
        </w:tc>
        <w:tc>
          <w:tcPr>
            <w:tcW w:w="695" w:type="dxa"/>
            <w:shd w:val="clear" w:color="auto" w:fill="92D400"/>
          </w:tcPr>
          <w:p w:rsidR="00C31389" w:rsidRDefault="00561FBD" w14:paraId="2DECF672" w14:textId="77777777">
            <w:pPr>
              <w:pStyle w:val="TableParagraph"/>
              <w:spacing w:before="41"/>
              <w:ind w:right="144"/>
              <w:jc w:val="right"/>
              <w:rPr>
                <w:b/>
                <w:sz w:val="17"/>
              </w:rPr>
            </w:pPr>
            <w:r>
              <w:rPr>
                <w:b/>
                <w:spacing w:val="-4"/>
                <w:sz w:val="17"/>
              </w:rPr>
              <w:t>2031</w:t>
            </w:r>
          </w:p>
        </w:tc>
        <w:tc>
          <w:tcPr>
            <w:tcW w:w="694" w:type="dxa"/>
            <w:shd w:val="clear" w:color="auto" w:fill="92D400"/>
          </w:tcPr>
          <w:p w:rsidR="00C31389" w:rsidRDefault="00561FBD" w14:paraId="76B72F0E" w14:textId="77777777">
            <w:pPr>
              <w:pStyle w:val="TableParagraph"/>
              <w:spacing w:before="41"/>
              <w:ind w:right="145"/>
              <w:jc w:val="right"/>
              <w:rPr>
                <w:b/>
                <w:sz w:val="17"/>
              </w:rPr>
            </w:pPr>
            <w:r>
              <w:rPr>
                <w:b/>
                <w:spacing w:val="-4"/>
                <w:sz w:val="17"/>
              </w:rPr>
              <w:t>2032</w:t>
            </w:r>
          </w:p>
        </w:tc>
        <w:tc>
          <w:tcPr>
            <w:tcW w:w="694" w:type="dxa"/>
            <w:shd w:val="clear" w:color="auto" w:fill="92D400"/>
          </w:tcPr>
          <w:p w:rsidR="00C31389" w:rsidRDefault="00561FBD" w14:paraId="6C951C67" w14:textId="77777777">
            <w:pPr>
              <w:pStyle w:val="TableParagraph"/>
              <w:spacing w:before="41"/>
              <w:ind w:left="127" w:right="105"/>
              <w:jc w:val="center"/>
              <w:rPr>
                <w:b/>
                <w:sz w:val="17"/>
              </w:rPr>
            </w:pPr>
            <w:r>
              <w:rPr>
                <w:b/>
                <w:spacing w:val="-4"/>
                <w:sz w:val="17"/>
              </w:rPr>
              <w:t>2033</w:t>
            </w:r>
          </w:p>
        </w:tc>
        <w:tc>
          <w:tcPr>
            <w:tcW w:w="695" w:type="dxa"/>
            <w:shd w:val="clear" w:color="auto" w:fill="92D400"/>
          </w:tcPr>
          <w:p w:rsidR="00C31389" w:rsidRDefault="00561FBD" w14:paraId="2F6F800C" w14:textId="77777777">
            <w:pPr>
              <w:pStyle w:val="TableParagraph"/>
              <w:spacing w:before="41"/>
              <w:ind w:right="145"/>
              <w:jc w:val="right"/>
              <w:rPr>
                <w:b/>
                <w:sz w:val="17"/>
              </w:rPr>
            </w:pPr>
            <w:r>
              <w:rPr>
                <w:b/>
                <w:spacing w:val="-4"/>
                <w:sz w:val="17"/>
              </w:rPr>
              <w:t>2034</w:t>
            </w:r>
          </w:p>
        </w:tc>
        <w:tc>
          <w:tcPr>
            <w:tcW w:w="655" w:type="dxa"/>
            <w:shd w:val="clear" w:color="auto" w:fill="92D400"/>
          </w:tcPr>
          <w:p w:rsidR="00C31389" w:rsidRDefault="00561FBD" w14:paraId="63902419" w14:textId="77777777">
            <w:pPr>
              <w:pStyle w:val="TableParagraph"/>
              <w:spacing w:before="41"/>
              <w:ind w:right="104"/>
              <w:jc w:val="right"/>
              <w:rPr>
                <w:b/>
                <w:sz w:val="17"/>
              </w:rPr>
            </w:pPr>
            <w:r>
              <w:rPr>
                <w:b/>
                <w:spacing w:val="-4"/>
                <w:sz w:val="17"/>
              </w:rPr>
              <w:t>2035</w:t>
            </w:r>
          </w:p>
        </w:tc>
      </w:tr>
      <w:tr w:rsidR="00C31389" w14:paraId="69860CEB" w14:textId="77777777">
        <w:trPr>
          <w:trHeight w:val="275"/>
        </w:trPr>
        <w:tc>
          <w:tcPr>
            <w:tcW w:w="9374" w:type="dxa"/>
            <w:gridSpan w:val="13"/>
            <w:tcBorders>
              <w:bottom w:val="single" w:color="DCDDDE" w:sz="4" w:space="0"/>
            </w:tcBorders>
            <w:shd w:val="clear" w:color="auto" w:fill="BEBEBE"/>
          </w:tcPr>
          <w:p w:rsidR="00C31389" w:rsidRDefault="00561FBD" w14:paraId="5D8F9CFA"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613E7359" w14:textId="77777777">
        <w:trPr>
          <w:trHeight w:val="275"/>
        </w:trPr>
        <w:tc>
          <w:tcPr>
            <w:tcW w:w="1033" w:type="dxa"/>
            <w:tcBorders>
              <w:top w:val="single" w:color="DCDDDE" w:sz="4" w:space="0"/>
              <w:bottom w:val="single" w:color="DCDDDE" w:sz="4" w:space="0"/>
            </w:tcBorders>
          </w:tcPr>
          <w:p w:rsidR="00C31389" w:rsidRDefault="00561FBD" w14:paraId="56AA7500" w14:textId="77777777">
            <w:pPr>
              <w:pStyle w:val="TableParagraph"/>
              <w:ind w:left="122"/>
              <w:rPr>
                <w:sz w:val="17"/>
              </w:rPr>
            </w:pPr>
            <w:r>
              <w:rPr>
                <w:spacing w:val="-5"/>
                <w:sz w:val="17"/>
              </w:rPr>
              <w:t>EE</w:t>
            </w:r>
          </w:p>
        </w:tc>
        <w:tc>
          <w:tcPr>
            <w:tcW w:w="715" w:type="dxa"/>
            <w:tcBorders>
              <w:top w:val="single" w:color="DCDDDE" w:sz="4" w:space="0"/>
              <w:bottom w:val="single" w:color="DCDDDE" w:sz="4" w:space="0"/>
            </w:tcBorders>
          </w:tcPr>
          <w:p w:rsidR="00C31389" w:rsidRDefault="00561FBD" w14:paraId="645774D6" w14:textId="77777777">
            <w:pPr>
              <w:pStyle w:val="TableParagraph"/>
              <w:spacing w:before="46"/>
              <w:ind w:right="119"/>
              <w:jc w:val="right"/>
              <w:rPr>
                <w:sz w:val="16"/>
              </w:rPr>
            </w:pPr>
            <w:r>
              <w:rPr>
                <w:spacing w:val="-4"/>
                <w:sz w:val="16"/>
              </w:rPr>
              <w:t>46.4</w:t>
            </w:r>
          </w:p>
        </w:tc>
        <w:tc>
          <w:tcPr>
            <w:tcW w:w="703" w:type="dxa"/>
            <w:tcBorders>
              <w:top w:val="single" w:color="DCDDDE" w:sz="4" w:space="0"/>
              <w:bottom w:val="single" w:color="DCDDDE" w:sz="4" w:space="0"/>
            </w:tcBorders>
          </w:tcPr>
          <w:p w:rsidR="00C31389" w:rsidRDefault="00561FBD" w14:paraId="0A2A2EE8" w14:textId="77777777">
            <w:pPr>
              <w:pStyle w:val="TableParagraph"/>
              <w:spacing w:before="46"/>
              <w:ind w:right="112"/>
              <w:jc w:val="right"/>
              <w:rPr>
                <w:sz w:val="16"/>
              </w:rPr>
            </w:pPr>
            <w:r>
              <w:rPr>
                <w:spacing w:val="-4"/>
                <w:sz w:val="16"/>
              </w:rPr>
              <w:t>52.1</w:t>
            </w:r>
          </w:p>
        </w:tc>
        <w:tc>
          <w:tcPr>
            <w:tcW w:w="687" w:type="dxa"/>
            <w:tcBorders>
              <w:top w:val="single" w:color="DCDDDE" w:sz="4" w:space="0"/>
              <w:bottom w:val="single" w:color="DCDDDE" w:sz="4" w:space="0"/>
            </w:tcBorders>
          </w:tcPr>
          <w:p w:rsidR="00C31389" w:rsidRDefault="00561FBD" w14:paraId="0F5622BF" w14:textId="77777777">
            <w:pPr>
              <w:pStyle w:val="TableParagraph"/>
              <w:spacing w:before="46"/>
              <w:ind w:right="119"/>
              <w:jc w:val="right"/>
              <w:rPr>
                <w:sz w:val="16"/>
              </w:rPr>
            </w:pPr>
            <w:r>
              <w:rPr>
                <w:spacing w:val="-4"/>
                <w:sz w:val="16"/>
              </w:rPr>
              <w:t>54.1</w:t>
            </w:r>
          </w:p>
        </w:tc>
        <w:tc>
          <w:tcPr>
            <w:tcW w:w="694" w:type="dxa"/>
            <w:tcBorders>
              <w:top w:val="single" w:color="DCDDDE" w:sz="4" w:space="0"/>
              <w:bottom w:val="single" w:color="DCDDDE" w:sz="4" w:space="0"/>
            </w:tcBorders>
          </w:tcPr>
          <w:p w:rsidR="00C31389" w:rsidRDefault="00561FBD" w14:paraId="767FB028" w14:textId="77777777">
            <w:pPr>
              <w:pStyle w:val="TableParagraph"/>
              <w:spacing w:before="46"/>
              <w:ind w:right="119"/>
              <w:jc w:val="right"/>
              <w:rPr>
                <w:sz w:val="16"/>
              </w:rPr>
            </w:pPr>
            <w:r>
              <w:rPr>
                <w:spacing w:val="-4"/>
                <w:sz w:val="16"/>
              </w:rPr>
              <w:t>56.0</w:t>
            </w:r>
          </w:p>
        </w:tc>
        <w:tc>
          <w:tcPr>
            <w:tcW w:w="694" w:type="dxa"/>
            <w:tcBorders>
              <w:top w:val="single" w:color="DCDDDE" w:sz="4" w:space="0"/>
              <w:bottom w:val="single" w:color="DCDDDE" w:sz="4" w:space="0"/>
            </w:tcBorders>
          </w:tcPr>
          <w:p w:rsidR="00C31389" w:rsidRDefault="00561FBD" w14:paraId="1B95E645" w14:textId="77777777">
            <w:pPr>
              <w:pStyle w:val="TableParagraph"/>
              <w:spacing w:before="46"/>
              <w:ind w:left="156" w:right="15"/>
              <w:jc w:val="center"/>
              <w:rPr>
                <w:sz w:val="16"/>
              </w:rPr>
            </w:pPr>
            <w:r>
              <w:rPr>
                <w:spacing w:val="-4"/>
                <w:sz w:val="16"/>
              </w:rPr>
              <w:t>56.7</w:t>
            </w:r>
          </w:p>
        </w:tc>
        <w:tc>
          <w:tcPr>
            <w:tcW w:w="720" w:type="dxa"/>
            <w:tcBorders>
              <w:top w:val="single" w:color="DCDDDE" w:sz="4" w:space="0"/>
              <w:bottom w:val="single" w:color="DCDDDE" w:sz="4" w:space="0"/>
            </w:tcBorders>
          </w:tcPr>
          <w:p w:rsidR="00C31389" w:rsidRDefault="00561FBD" w14:paraId="60AFA2BB" w14:textId="77777777">
            <w:pPr>
              <w:pStyle w:val="TableParagraph"/>
              <w:spacing w:before="46"/>
              <w:ind w:right="145"/>
              <w:jc w:val="right"/>
              <w:rPr>
                <w:sz w:val="16"/>
              </w:rPr>
            </w:pPr>
            <w:r>
              <w:rPr>
                <w:spacing w:val="-4"/>
                <w:sz w:val="16"/>
              </w:rPr>
              <w:t>55.0</w:t>
            </w:r>
          </w:p>
        </w:tc>
        <w:tc>
          <w:tcPr>
            <w:tcW w:w="695" w:type="dxa"/>
            <w:tcBorders>
              <w:top w:val="single" w:color="DCDDDE" w:sz="4" w:space="0"/>
              <w:bottom w:val="single" w:color="DCDDDE" w:sz="4" w:space="0"/>
            </w:tcBorders>
          </w:tcPr>
          <w:p w:rsidR="00C31389" w:rsidRDefault="00561FBD" w14:paraId="4D02CC94" w14:textId="77777777">
            <w:pPr>
              <w:pStyle w:val="TableParagraph"/>
              <w:spacing w:before="46"/>
              <w:ind w:left="132" w:right="46"/>
              <w:jc w:val="center"/>
              <w:rPr>
                <w:sz w:val="16"/>
              </w:rPr>
            </w:pPr>
            <w:r>
              <w:rPr>
                <w:spacing w:val="-4"/>
                <w:sz w:val="16"/>
              </w:rPr>
              <w:t>56.6</w:t>
            </w:r>
          </w:p>
        </w:tc>
        <w:tc>
          <w:tcPr>
            <w:tcW w:w="695" w:type="dxa"/>
            <w:tcBorders>
              <w:top w:val="single" w:color="DCDDDE" w:sz="4" w:space="0"/>
              <w:bottom w:val="single" w:color="DCDDDE" w:sz="4" w:space="0"/>
            </w:tcBorders>
          </w:tcPr>
          <w:p w:rsidR="00C31389" w:rsidRDefault="00561FBD" w14:paraId="7F6F3223" w14:textId="77777777">
            <w:pPr>
              <w:pStyle w:val="TableParagraph"/>
              <w:spacing w:before="46"/>
              <w:ind w:right="145"/>
              <w:jc w:val="right"/>
              <w:rPr>
                <w:sz w:val="16"/>
              </w:rPr>
            </w:pPr>
            <w:r>
              <w:rPr>
                <w:spacing w:val="-4"/>
                <w:sz w:val="16"/>
              </w:rPr>
              <w:t>55.6</w:t>
            </w:r>
          </w:p>
        </w:tc>
        <w:tc>
          <w:tcPr>
            <w:tcW w:w="694" w:type="dxa"/>
            <w:tcBorders>
              <w:top w:val="single" w:color="DCDDDE" w:sz="4" w:space="0"/>
              <w:bottom w:val="single" w:color="DCDDDE" w:sz="4" w:space="0"/>
            </w:tcBorders>
          </w:tcPr>
          <w:p w:rsidR="00C31389" w:rsidRDefault="00561FBD" w14:paraId="67E369E4" w14:textId="77777777">
            <w:pPr>
              <w:pStyle w:val="TableParagraph"/>
              <w:spacing w:before="46"/>
              <w:ind w:right="146"/>
              <w:jc w:val="right"/>
              <w:rPr>
                <w:sz w:val="16"/>
              </w:rPr>
            </w:pPr>
            <w:r>
              <w:rPr>
                <w:spacing w:val="-4"/>
                <w:sz w:val="16"/>
              </w:rPr>
              <w:t>54.0</w:t>
            </w:r>
          </w:p>
        </w:tc>
        <w:tc>
          <w:tcPr>
            <w:tcW w:w="694" w:type="dxa"/>
            <w:tcBorders>
              <w:top w:val="single" w:color="DCDDDE" w:sz="4" w:space="0"/>
              <w:bottom w:val="single" w:color="DCDDDE" w:sz="4" w:space="0"/>
            </w:tcBorders>
          </w:tcPr>
          <w:p w:rsidR="00C31389" w:rsidRDefault="00561FBD" w14:paraId="1A622F5D" w14:textId="77777777">
            <w:pPr>
              <w:pStyle w:val="TableParagraph"/>
              <w:spacing w:before="46"/>
              <w:ind w:left="156" w:right="68"/>
              <w:jc w:val="center"/>
              <w:rPr>
                <w:sz w:val="16"/>
              </w:rPr>
            </w:pPr>
            <w:r>
              <w:rPr>
                <w:spacing w:val="-4"/>
                <w:sz w:val="16"/>
              </w:rPr>
              <w:t>53.4</w:t>
            </w:r>
          </w:p>
        </w:tc>
        <w:tc>
          <w:tcPr>
            <w:tcW w:w="695" w:type="dxa"/>
            <w:tcBorders>
              <w:top w:val="single" w:color="DCDDDE" w:sz="4" w:space="0"/>
              <w:bottom w:val="single" w:color="DCDDDE" w:sz="4" w:space="0"/>
            </w:tcBorders>
          </w:tcPr>
          <w:p w:rsidR="00C31389" w:rsidRDefault="00561FBD" w14:paraId="43BFCCF7" w14:textId="77777777">
            <w:pPr>
              <w:pStyle w:val="TableParagraph"/>
              <w:spacing w:before="46"/>
              <w:ind w:right="146"/>
              <w:jc w:val="right"/>
              <w:rPr>
                <w:sz w:val="16"/>
              </w:rPr>
            </w:pPr>
            <w:r>
              <w:rPr>
                <w:spacing w:val="-4"/>
                <w:sz w:val="16"/>
              </w:rPr>
              <w:t>53.1</w:t>
            </w:r>
          </w:p>
        </w:tc>
        <w:tc>
          <w:tcPr>
            <w:tcW w:w="655" w:type="dxa"/>
            <w:tcBorders>
              <w:top w:val="single" w:color="DCDDDE" w:sz="4" w:space="0"/>
              <w:bottom w:val="single" w:color="DCDDDE" w:sz="4" w:space="0"/>
            </w:tcBorders>
          </w:tcPr>
          <w:p w:rsidR="00C31389" w:rsidRDefault="00561FBD" w14:paraId="3026F2D4" w14:textId="77777777">
            <w:pPr>
              <w:pStyle w:val="TableParagraph"/>
              <w:spacing w:before="46"/>
              <w:ind w:right="105"/>
              <w:jc w:val="right"/>
              <w:rPr>
                <w:sz w:val="16"/>
              </w:rPr>
            </w:pPr>
            <w:r>
              <w:rPr>
                <w:spacing w:val="-4"/>
                <w:sz w:val="16"/>
              </w:rPr>
              <w:t>53.3</w:t>
            </w:r>
          </w:p>
        </w:tc>
      </w:tr>
      <w:tr w:rsidR="00C31389" w14:paraId="7C2F7F22" w14:textId="77777777">
        <w:trPr>
          <w:trHeight w:val="275"/>
        </w:trPr>
        <w:tc>
          <w:tcPr>
            <w:tcW w:w="1033" w:type="dxa"/>
            <w:tcBorders>
              <w:top w:val="single" w:color="DCDDDE" w:sz="4" w:space="0"/>
              <w:bottom w:val="single" w:color="DCDDDE" w:sz="4" w:space="0"/>
            </w:tcBorders>
          </w:tcPr>
          <w:p w:rsidR="00C31389" w:rsidRDefault="00561FBD" w14:paraId="33DC1059" w14:textId="77777777">
            <w:pPr>
              <w:pStyle w:val="TableParagraph"/>
              <w:ind w:left="122"/>
              <w:rPr>
                <w:sz w:val="17"/>
              </w:rPr>
            </w:pPr>
            <w:r>
              <w:rPr>
                <w:spacing w:val="-5"/>
                <w:sz w:val="17"/>
              </w:rPr>
              <w:t>FS</w:t>
            </w:r>
          </w:p>
        </w:tc>
        <w:tc>
          <w:tcPr>
            <w:tcW w:w="715" w:type="dxa"/>
            <w:tcBorders>
              <w:top w:val="single" w:color="DCDDDE" w:sz="4" w:space="0"/>
              <w:bottom w:val="single" w:color="DCDDDE" w:sz="4" w:space="0"/>
            </w:tcBorders>
          </w:tcPr>
          <w:p w:rsidR="00C31389" w:rsidRDefault="00561FBD" w14:paraId="1C6BF935" w14:textId="77777777">
            <w:pPr>
              <w:pStyle w:val="TableParagraph"/>
              <w:spacing w:before="46"/>
              <w:ind w:right="119"/>
              <w:jc w:val="right"/>
              <w:rPr>
                <w:sz w:val="16"/>
              </w:rPr>
            </w:pPr>
            <w:r>
              <w:rPr>
                <w:spacing w:val="-2"/>
                <w:sz w:val="16"/>
              </w:rPr>
              <w:t>-</w:t>
            </w:r>
            <w:r>
              <w:rPr>
                <w:spacing w:val="-4"/>
                <w:sz w:val="16"/>
              </w:rPr>
              <w:t>10.5</w:t>
            </w:r>
          </w:p>
        </w:tc>
        <w:tc>
          <w:tcPr>
            <w:tcW w:w="703" w:type="dxa"/>
            <w:tcBorders>
              <w:top w:val="single" w:color="DCDDDE" w:sz="4" w:space="0"/>
              <w:bottom w:val="single" w:color="DCDDDE" w:sz="4" w:space="0"/>
            </w:tcBorders>
          </w:tcPr>
          <w:p w:rsidR="00C31389" w:rsidRDefault="00561FBD" w14:paraId="754415AE" w14:textId="77777777">
            <w:pPr>
              <w:pStyle w:val="TableParagraph"/>
              <w:spacing w:before="46"/>
              <w:ind w:right="112"/>
              <w:jc w:val="right"/>
              <w:rPr>
                <w:sz w:val="16"/>
              </w:rPr>
            </w:pPr>
            <w:r>
              <w:rPr>
                <w:spacing w:val="-2"/>
                <w:sz w:val="16"/>
              </w:rPr>
              <w:t>-</w:t>
            </w:r>
            <w:r>
              <w:rPr>
                <w:spacing w:val="-4"/>
                <w:sz w:val="16"/>
              </w:rPr>
              <w:t>11.9</w:t>
            </w:r>
          </w:p>
        </w:tc>
        <w:tc>
          <w:tcPr>
            <w:tcW w:w="687" w:type="dxa"/>
            <w:tcBorders>
              <w:top w:val="single" w:color="DCDDDE" w:sz="4" w:space="0"/>
              <w:bottom w:val="single" w:color="DCDDDE" w:sz="4" w:space="0"/>
            </w:tcBorders>
          </w:tcPr>
          <w:p w:rsidR="00C31389" w:rsidRDefault="00561FBD" w14:paraId="5000B397" w14:textId="77777777">
            <w:pPr>
              <w:pStyle w:val="TableParagraph"/>
              <w:spacing w:before="46"/>
              <w:ind w:right="119"/>
              <w:jc w:val="right"/>
              <w:rPr>
                <w:sz w:val="16"/>
              </w:rPr>
            </w:pPr>
            <w:r>
              <w:rPr>
                <w:spacing w:val="-2"/>
                <w:sz w:val="16"/>
              </w:rPr>
              <w:t>-</w:t>
            </w:r>
            <w:r>
              <w:rPr>
                <w:spacing w:val="-4"/>
                <w:sz w:val="16"/>
              </w:rPr>
              <w:t>12.5</w:t>
            </w:r>
          </w:p>
        </w:tc>
        <w:tc>
          <w:tcPr>
            <w:tcW w:w="694" w:type="dxa"/>
            <w:tcBorders>
              <w:top w:val="single" w:color="DCDDDE" w:sz="4" w:space="0"/>
              <w:bottom w:val="single" w:color="DCDDDE" w:sz="4" w:space="0"/>
            </w:tcBorders>
          </w:tcPr>
          <w:p w:rsidR="00C31389" w:rsidRDefault="00561FBD" w14:paraId="45F6799A" w14:textId="77777777">
            <w:pPr>
              <w:pStyle w:val="TableParagraph"/>
              <w:spacing w:before="46"/>
              <w:ind w:right="119"/>
              <w:jc w:val="right"/>
              <w:rPr>
                <w:sz w:val="16"/>
              </w:rPr>
            </w:pPr>
            <w:r>
              <w:rPr>
                <w:spacing w:val="-2"/>
                <w:sz w:val="16"/>
              </w:rPr>
              <w:t>-</w:t>
            </w:r>
            <w:r>
              <w:rPr>
                <w:spacing w:val="-4"/>
                <w:sz w:val="16"/>
              </w:rPr>
              <w:t>13.6</w:t>
            </w:r>
          </w:p>
        </w:tc>
        <w:tc>
          <w:tcPr>
            <w:tcW w:w="694" w:type="dxa"/>
            <w:tcBorders>
              <w:top w:val="single" w:color="DCDDDE" w:sz="4" w:space="0"/>
              <w:bottom w:val="single" w:color="DCDDDE" w:sz="4" w:space="0"/>
            </w:tcBorders>
          </w:tcPr>
          <w:p w:rsidR="00C31389" w:rsidRDefault="00561FBD" w14:paraId="1BA3E94E" w14:textId="77777777">
            <w:pPr>
              <w:pStyle w:val="TableParagraph"/>
              <w:spacing w:before="46"/>
              <w:ind w:left="156" w:right="68"/>
              <w:jc w:val="center"/>
              <w:rPr>
                <w:sz w:val="16"/>
              </w:rPr>
            </w:pPr>
            <w:r>
              <w:rPr>
                <w:spacing w:val="-2"/>
                <w:sz w:val="16"/>
              </w:rPr>
              <w:t>-</w:t>
            </w:r>
            <w:r>
              <w:rPr>
                <w:spacing w:val="-4"/>
                <w:sz w:val="16"/>
              </w:rPr>
              <w:t>14.4</w:t>
            </w:r>
          </w:p>
        </w:tc>
        <w:tc>
          <w:tcPr>
            <w:tcW w:w="720" w:type="dxa"/>
            <w:tcBorders>
              <w:top w:val="single" w:color="DCDDDE" w:sz="4" w:space="0"/>
              <w:bottom w:val="single" w:color="DCDDDE" w:sz="4" w:space="0"/>
            </w:tcBorders>
          </w:tcPr>
          <w:p w:rsidR="00C31389" w:rsidRDefault="00561FBD" w14:paraId="7A3A1F70" w14:textId="77777777">
            <w:pPr>
              <w:pStyle w:val="TableParagraph"/>
              <w:spacing w:before="46"/>
              <w:ind w:right="145"/>
              <w:jc w:val="right"/>
              <w:rPr>
                <w:sz w:val="16"/>
              </w:rPr>
            </w:pPr>
            <w:r>
              <w:rPr>
                <w:spacing w:val="-2"/>
                <w:sz w:val="16"/>
              </w:rPr>
              <w:t>-</w:t>
            </w:r>
            <w:r>
              <w:rPr>
                <w:spacing w:val="-4"/>
                <w:sz w:val="16"/>
              </w:rPr>
              <w:t>15.2</w:t>
            </w:r>
          </w:p>
        </w:tc>
        <w:tc>
          <w:tcPr>
            <w:tcW w:w="695" w:type="dxa"/>
            <w:tcBorders>
              <w:top w:val="single" w:color="DCDDDE" w:sz="4" w:space="0"/>
              <w:bottom w:val="single" w:color="DCDDDE" w:sz="4" w:space="0"/>
            </w:tcBorders>
          </w:tcPr>
          <w:p w:rsidR="00C31389" w:rsidRDefault="00561FBD" w14:paraId="22D4FE2E" w14:textId="77777777">
            <w:pPr>
              <w:pStyle w:val="TableParagraph"/>
              <w:spacing w:before="46"/>
              <w:ind w:left="132" w:right="10"/>
              <w:jc w:val="center"/>
              <w:rPr>
                <w:sz w:val="16"/>
              </w:rPr>
            </w:pPr>
            <w:r>
              <w:rPr>
                <w:spacing w:val="-2"/>
                <w:sz w:val="16"/>
              </w:rPr>
              <w:t>-</w:t>
            </w:r>
            <w:r>
              <w:rPr>
                <w:spacing w:val="-5"/>
                <w:sz w:val="16"/>
              </w:rPr>
              <w:t>3.4</w:t>
            </w:r>
          </w:p>
        </w:tc>
        <w:tc>
          <w:tcPr>
            <w:tcW w:w="695" w:type="dxa"/>
            <w:tcBorders>
              <w:top w:val="single" w:color="DCDDDE" w:sz="4" w:space="0"/>
              <w:bottom w:val="single" w:color="DCDDDE" w:sz="4" w:space="0"/>
            </w:tcBorders>
          </w:tcPr>
          <w:p w:rsidR="00C31389" w:rsidRDefault="00561FBD" w14:paraId="6027F32A" w14:textId="77777777">
            <w:pPr>
              <w:pStyle w:val="TableParagraph"/>
              <w:spacing w:before="46"/>
              <w:ind w:right="145"/>
              <w:jc w:val="right"/>
              <w:rPr>
                <w:sz w:val="16"/>
              </w:rPr>
            </w:pPr>
            <w:r>
              <w:rPr>
                <w:spacing w:val="-2"/>
                <w:sz w:val="16"/>
              </w:rPr>
              <w:t>-</w:t>
            </w:r>
            <w:r>
              <w:rPr>
                <w:spacing w:val="-5"/>
                <w:sz w:val="16"/>
              </w:rPr>
              <w:t>3.6</w:t>
            </w:r>
          </w:p>
        </w:tc>
        <w:tc>
          <w:tcPr>
            <w:tcW w:w="694" w:type="dxa"/>
            <w:tcBorders>
              <w:top w:val="single" w:color="DCDDDE" w:sz="4" w:space="0"/>
              <w:bottom w:val="single" w:color="DCDDDE" w:sz="4" w:space="0"/>
            </w:tcBorders>
          </w:tcPr>
          <w:p w:rsidR="00C31389" w:rsidRDefault="00561FBD" w14:paraId="77A884E5" w14:textId="77777777">
            <w:pPr>
              <w:pStyle w:val="TableParagraph"/>
              <w:spacing w:before="46"/>
              <w:ind w:right="146"/>
              <w:jc w:val="right"/>
              <w:rPr>
                <w:sz w:val="16"/>
              </w:rPr>
            </w:pPr>
            <w:r>
              <w:rPr>
                <w:spacing w:val="-2"/>
                <w:sz w:val="16"/>
              </w:rPr>
              <w:t>-</w:t>
            </w:r>
            <w:r>
              <w:rPr>
                <w:spacing w:val="-5"/>
                <w:sz w:val="16"/>
              </w:rPr>
              <w:t>3.9</w:t>
            </w:r>
          </w:p>
        </w:tc>
        <w:tc>
          <w:tcPr>
            <w:tcW w:w="694" w:type="dxa"/>
            <w:tcBorders>
              <w:top w:val="single" w:color="DCDDDE" w:sz="4" w:space="0"/>
              <w:bottom w:val="single" w:color="DCDDDE" w:sz="4" w:space="0"/>
            </w:tcBorders>
          </w:tcPr>
          <w:p w:rsidR="00C31389" w:rsidRDefault="00561FBD" w14:paraId="16FF41F3" w14:textId="77777777">
            <w:pPr>
              <w:pStyle w:val="TableParagraph"/>
              <w:spacing w:before="46"/>
              <w:ind w:left="156" w:right="32"/>
              <w:jc w:val="center"/>
              <w:rPr>
                <w:sz w:val="16"/>
              </w:rPr>
            </w:pPr>
            <w:r>
              <w:rPr>
                <w:spacing w:val="-2"/>
                <w:sz w:val="16"/>
              </w:rPr>
              <w:t>-</w:t>
            </w:r>
            <w:r>
              <w:rPr>
                <w:spacing w:val="-5"/>
                <w:sz w:val="16"/>
              </w:rPr>
              <w:t>4.1</w:t>
            </w:r>
          </w:p>
        </w:tc>
        <w:tc>
          <w:tcPr>
            <w:tcW w:w="695" w:type="dxa"/>
            <w:tcBorders>
              <w:top w:val="single" w:color="DCDDDE" w:sz="4" w:space="0"/>
              <w:bottom w:val="single" w:color="DCDDDE" w:sz="4" w:space="0"/>
            </w:tcBorders>
          </w:tcPr>
          <w:p w:rsidR="00C31389" w:rsidRDefault="00561FBD" w14:paraId="5991CB63" w14:textId="77777777">
            <w:pPr>
              <w:pStyle w:val="TableParagraph"/>
              <w:spacing w:before="46"/>
              <w:ind w:right="146"/>
              <w:jc w:val="right"/>
              <w:rPr>
                <w:sz w:val="16"/>
              </w:rPr>
            </w:pPr>
            <w:r>
              <w:rPr>
                <w:spacing w:val="-2"/>
                <w:sz w:val="16"/>
              </w:rPr>
              <w:t>-</w:t>
            </w:r>
            <w:r>
              <w:rPr>
                <w:spacing w:val="-5"/>
                <w:sz w:val="16"/>
              </w:rPr>
              <w:t>4.3</w:t>
            </w:r>
          </w:p>
        </w:tc>
        <w:tc>
          <w:tcPr>
            <w:tcW w:w="655" w:type="dxa"/>
            <w:tcBorders>
              <w:top w:val="single" w:color="DCDDDE" w:sz="4" w:space="0"/>
              <w:bottom w:val="single" w:color="DCDDDE" w:sz="4" w:space="0"/>
            </w:tcBorders>
          </w:tcPr>
          <w:p w:rsidR="00C31389" w:rsidRDefault="00561FBD" w14:paraId="49347313" w14:textId="77777777">
            <w:pPr>
              <w:pStyle w:val="TableParagraph"/>
              <w:spacing w:before="46"/>
              <w:ind w:right="105"/>
              <w:jc w:val="right"/>
              <w:rPr>
                <w:sz w:val="16"/>
              </w:rPr>
            </w:pPr>
            <w:r>
              <w:rPr>
                <w:spacing w:val="-2"/>
                <w:sz w:val="16"/>
              </w:rPr>
              <w:t>-</w:t>
            </w:r>
            <w:r>
              <w:rPr>
                <w:spacing w:val="-5"/>
                <w:sz w:val="16"/>
              </w:rPr>
              <w:t>4.6</w:t>
            </w:r>
          </w:p>
        </w:tc>
      </w:tr>
      <w:tr w:rsidR="00C31389" w14:paraId="057267B9" w14:textId="77777777">
        <w:trPr>
          <w:trHeight w:val="275"/>
        </w:trPr>
        <w:tc>
          <w:tcPr>
            <w:tcW w:w="1033" w:type="dxa"/>
            <w:tcBorders>
              <w:top w:val="single" w:color="DCDDDE" w:sz="4" w:space="0"/>
              <w:bottom w:val="single" w:color="DCDDDE" w:sz="4" w:space="0"/>
            </w:tcBorders>
          </w:tcPr>
          <w:p w:rsidR="00C31389" w:rsidRDefault="00561FBD" w14:paraId="452D3662" w14:textId="77777777">
            <w:pPr>
              <w:pStyle w:val="TableParagraph"/>
              <w:ind w:left="122"/>
              <w:rPr>
                <w:sz w:val="17"/>
              </w:rPr>
            </w:pPr>
            <w:r>
              <w:rPr>
                <w:spacing w:val="-4"/>
                <w:sz w:val="17"/>
              </w:rPr>
              <w:t>BROs</w:t>
            </w:r>
          </w:p>
        </w:tc>
        <w:tc>
          <w:tcPr>
            <w:tcW w:w="715" w:type="dxa"/>
            <w:tcBorders>
              <w:top w:val="single" w:color="DCDDDE" w:sz="4" w:space="0"/>
              <w:bottom w:val="single" w:color="DCDDDE" w:sz="4" w:space="0"/>
            </w:tcBorders>
          </w:tcPr>
          <w:p w:rsidR="00C31389" w:rsidRDefault="00561FBD" w14:paraId="728C3154" w14:textId="77777777">
            <w:pPr>
              <w:pStyle w:val="TableParagraph"/>
              <w:spacing w:before="46"/>
              <w:ind w:right="119"/>
              <w:jc w:val="right"/>
              <w:rPr>
                <w:sz w:val="16"/>
              </w:rPr>
            </w:pPr>
            <w:r>
              <w:rPr>
                <w:spacing w:val="-2"/>
                <w:sz w:val="16"/>
              </w:rPr>
              <w:t>218.1</w:t>
            </w:r>
          </w:p>
        </w:tc>
        <w:tc>
          <w:tcPr>
            <w:tcW w:w="703" w:type="dxa"/>
            <w:tcBorders>
              <w:top w:val="single" w:color="DCDDDE" w:sz="4" w:space="0"/>
              <w:bottom w:val="single" w:color="DCDDDE" w:sz="4" w:space="0"/>
            </w:tcBorders>
          </w:tcPr>
          <w:p w:rsidR="00C31389" w:rsidRDefault="00561FBD" w14:paraId="074D5AA8" w14:textId="77777777">
            <w:pPr>
              <w:pStyle w:val="TableParagraph"/>
              <w:spacing w:before="46"/>
              <w:ind w:right="112"/>
              <w:jc w:val="right"/>
              <w:rPr>
                <w:sz w:val="16"/>
              </w:rPr>
            </w:pPr>
            <w:r>
              <w:rPr>
                <w:spacing w:val="-2"/>
                <w:sz w:val="16"/>
              </w:rPr>
              <w:t>230.6</w:t>
            </w:r>
          </w:p>
        </w:tc>
        <w:tc>
          <w:tcPr>
            <w:tcW w:w="687" w:type="dxa"/>
            <w:tcBorders>
              <w:top w:val="single" w:color="DCDDDE" w:sz="4" w:space="0"/>
              <w:bottom w:val="single" w:color="DCDDDE" w:sz="4" w:space="0"/>
            </w:tcBorders>
          </w:tcPr>
          <w:p w:rsidR="00C31389" w:rsidRDefault="00561FBD" w14:paraId="3D9B8B50" w14:textId="77777777">
            <w:pPr>
              <w:pStyle w:val="TableParagraph"/>
              <w:spacing w:before="46"/>
              <w:ind w:right="119"/>
              <w:jc w:val="right"/>
              <w:rPr>
                <w:sz w:val="16"/>
              </w:rPr>
            </w:pPr>
            <w:r>
              <w:rPr>
                <w:spacing w:val="-2"/>
                <w:sz w:val="16"/>
              </w:rPr>
              <w:t>243.1</w:t>
            </w:r>
          </w:p>
        </w:tc>
        <w:tc>
          <w:tcPr>
            <w:tcW w:w="694" w:type="dxa"/>
            <w:tcBorders>
              <w:top w:val="single" w:color="DCDDDE" w:sz="4" w:space="0"/>
              <w:bottom w:val="single" w:color="DCDDDE" w:sz="4" w:space="0"/>
            </w:tcBorders>
          </w:tcPr>
          <w:p w:rsidR="00C31389" w:rsidRDefault="00561FBD" w14:paraId="133C6351" w14:textId="77777777">
            <w:pPr>
              <w:pStyle w:val="TableParagraph"/>
              <w:spacing w:before="46"/>
              <w:ind w:right="119"/>
              <w:jc w:val="right"/>
              <w:rPr>
                <w:sz w:val="16"/>
              </w:rPr>
            </w:pPr>
            <w:r>
              <w:rPr>
                <w:spacing w:val="-2"/>
                <w:sz w:val="16"/>
              </w:rPr>
              <w:t>254.0</w:t>
            </w:r>
          </w:p>
        </w:tc>
        <w:tc>
          <w:tcPr>
            <w:tcW w:w="694" w:type="dxa"/>
            <w:tcBorders>
              <w:top w:val="single" w:color="DCDDDE" w:sz="4" w:space="0"/>
              <w:bottom w:val="single" w:color="DCDDDE" w:sz="4" w:space="0"/>
            </w:tcBorders>
          </w:tcPr>
          <w:p w:rsidR="00C31389" w:rsidRDefault="00561FBD" w14:paraId="0EBAD972" w14:textId="77777777">
            <w:pPr>
              <w:pStyle w:val="TableParagraph"/>
              <w:spacing w:before="46"/>
              <w:ind w:left="156" w:right="104"/>
              <w:jc w:val="center"/>
              <w:rPr>
                <w:sz w:val="16"/>
              </w:rPr>
            </w:pPr>
            <w:r>
              <w:rPr>
                <w:spacing w:val="-2"/>
                <w:sz w:val="16"/>
              </w:rPr>
              <w:t>264.8</w:t>
            </w:r>
          </w:p>
        </w:tc>
        <w:tc>
          <w:tcPr>
            <w:tcW w:w="720" w:type="dxa"/>
            <w:tcBorders>
              <w:top w:val="single" w:color="DCDDDE" w:sz="4" w:space="0"/>
              <w:bottom w:val="single" w:color="DCDDDE" w:sz="4" w:space="0"/>
            </w:tcBorders>
          </w:tcPr>
          <w:p w:rsidR="00C31389" w:rsidRDefault="00561FBD" w14:paraId="313494AD" w14:textId="77777777">
            <w:pPr>
              <w:pStyle w:val="TableParagraph"/>
              <w:spacing w:before="46"/>
              <w:ind w:right="145"/>
              <w:jc w:val="right"/>
              <w:rPr>
                <w:sz w:val="16"/>
              </w:rPr>
            </w:pPr>
            <w:r>
              <w:rPr>
                <w:spacing w:val="-2"/>
                <w:sz w:val="16"/>
              </w:rPr>
              <w:t>276.3</w:t>
            </w:r>
          </w:p>
        </w:tc>
        <w:tc>
          <w:tcPr>
            <w:tcW w:w="695" w:type="dxa"/>
            <w:tcBorders>
              <w:top w:val="single" w:color="DCDDDE" w:sz="4" w:space="0"/>
              <w:bottom w:val="single" w:color="DCDDDE" w:sz="4" w:space="0"/>
            </w:tcBorders>
          </w:tcPr>
          <w:p w:rsidR="00C31389" w:rsidRDefault="00561FBD" w14:paraId="49387568" w14:textId="77777777">
            <w:pPr>
              <w:pStyle w:val="TableParagraph"/>
              <w:spacing w:before="46"/>
              <w:ind w:left="132" w:right="132"/>
              <w:jc w:val="center"/>
              <w:rPr>
                <w:sz w:val="16"/>
              </w:rPr>
            </w:pPr>
            <w:r>
              <w:rPr>
                <w:spacing w:val="-2"/>
                <w:sz w:val="16"/>
              </w:rPr>
              <w:t>289.0</w:t>
            </w:r>
          </w:p>
        </w:tc>
        <w:tc>
          <w:tcPr>
            <w:tcW w:w="695" w:type="dxa"/>
            <w:tcBorders>
              <w:top w:val="single" w:color="DCDDDE" w:sz="4" w:space="0"/>
              <w:bottom w:val="single" w:color="DCDDDE" w:sz="4" w:space="0"/>
            </w:tcBorders>
          </w:tcPr>
          <w:p w:rsidR="00C31389" w:rsidRDefault="00561FBD" w14:paraId="15FCF857" w14:textId="77777777">
            <w:pPr>
              <w:pStyle w:val="TableParagraph"/>
              <w:spacing w:before="46"/>
              <w:ind w:right="145"/>
              <w:jc w:val="right"/>
              <w:rPr>
                <w:sz w:val="16"/>
              </w:rPr>
            </w:pPr>
            <w:r>
              <w:rPr>
                <w:spacing w:val="-2"/>
                <w:sz w:val="16"/>
              </w:rPr>
              <w:t>302.0</w:t>
            </w:r>
          </w:p>
        </w:tc>
        <w:tc>
          <w:tcPr>
            <w:tcW w:w="694" w:type="dxa"/>
            <w:tcBorders>
              <w:top w:val="single" w:color="DCDDDE" w:sz="4" w:space="0"/>
              <w:bottom w:val="single" w:color="DCDDDE" w:sz="4" w:space="0"/>
            </w:tcBorders>
          </w:tcPr>
          <w:p w:rsidR="00C31389" w:rsidRDefault="00561FBD" w14:paraId="24CFE81D" w14:textId="77777777">
            <w:pPr>
              <w:pStyle w:val="TableParagraph"/>
              <w:spacing w:before="46"/>
              <w:ind w:right="146"/>
              <w:jc w:val="right"/>
              <w:rPr>
                <w:sz w:val="16"/>
              </w:rPr>
            </w:pPr>
            <w:r>
              <w:rPr>
                <w:spacing w:val="-2"/>
                <w:sz w:val="16"/>
              </w:rPr>
              <w:t>315.5</w:t>
            </w:r>
          </w:p>
        </w:tc>
        <w:tc>
          <w:tcPr>
            <w:tcW w:w="694" w:type="dxa"/>
            <w:tcBorders>
              <w:top w:val="single" w:color="DCDDDE" w:sz="4" w:space="0"/>
              <w:bottom w:val="single" w:color="DCDDDE" w:sz="4" w:space="0"/>
            </w:tcBorders>
          </w:tcPr>
          <w:p w:rsidR="00C31389" w:rsidRDefault="00561FBD" w14:paraId="57087773" w14:textId="77777777">
            <w:pPr>
              <w:pStyle w:val="TableParagraph"/>
              <w:spacing w:before="46"/>
              <w:ind w:left="105" w:right="105"/>
              <w:jc w:val="center"/>
              <w:rPr>
                <w:sz w:val="16"/>
              </w:rPr>
            </w:pPr>
            <w:r>
              <w:rPr>
                <w:spacing w:val="-2"/>
                <w:sz w:val="16"/>
              </w:rPr>
              <w:t>333.5</w:t>
            </w:r>
          </w:p>
        </w:tc>
        <w:tc>
          <w:tcPr>
            <w:tcW w:w="695" w:type="dxa"/>
            <w:tcBorders>
              <w:top w:val="single" w:color="DCDDDE" w:sz="4" w:space="0"/>
              <w:bottom w:val="single" w:color="DCDDDE" w:sz="4" w:space="0"/>
            </w:tcBorders>
          </w:tcPr>
          <w:p w:rsidR="00C31389" w:rsidRDefault="00561FBD" w14:paraId="7ADB6B96" w14:textId="77777777">
            <w:pPr>
              <w:pStyle w:val="TableParagraph"/>
              <w:spacing w:before="46"/>
              <w:ind w:right="146"/>
              <w:jc w:val="right"/>
              <w:rPr>
                <w:sz w:val="16"/>
              </w:rPr>
            </w:pPr>
            <w:r>
              <w:rPr>
                <w:spacing w:val="-2"/>
                <w:sz w:val="16"/>
              </w:rPr>
              <w:t>337.7</w:t>
            </w:r>
          </w:p>
        </w:tc>
        <w:tc>
          <w:tcPr>
            <w:tcW w:w="655" w:type="dxa"/>
            <w:tcBorders>
              <w:top w:val="single" w:color="DCDDDE" w:sz="4" w:space="0"/>
              <w:bottom w:val="single" w:color="DCDDDE" w:sz="4" w:space="0"/>
            </w:tcBorders>
          </w:tcPr>
          <w:p w:rsidR="00C31389" w:rsidRDefault="00561FBD" w14:paraId="4EBB6083" w14:textId="77777777">
            <w:pPr>
              <w:pStyle w:val="TableParagraph"/>
              <w:spacing w:before="46"/>
              <w:ind w:right="105"/>
              <w:jc w:val="right"/>
              <w:rPr>
                <w:sz w:val="16"/>
              </w:rPr>
            </w:pPr>
            <w:r>
              <w:rPr>
                <w:spacing w:val="-2"/>
                <w:sz w:val="16"/>
              </w:rPr>
              <w:t>355.3</w:t>
            </w:r>
          </w:p>
        </w:tc>
      </w:tr>
      <w:tr w:rsidR="00C31389" w14:paraId="0C4C6250"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1101C76D"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2B02F8A0" w14:textId="77777777">
        <w:trPr>
          <w:trHeight w:val="274"/>
        </w:trPr>
        <w:tc>
          <w:tcPr>
            <w:tcW w:w="1033" w:type="dxa"/>
            <w:tcBorders>
              <w:top w:val="single" w:color="DCDDDE" w:sz="4" w:space="0"/>
              <w:bottom w:val="single" w:color="DCDDDE" w:sz="4" w:space="0"/>
            </w:tcBorders>
          </w:tcPr>
          <w:p w:rsidR="00C31389" w:rsidRDefault="00561FBD" w14:paraId="69645600" w14:textId="77777777">
            <w:pPr>
              <w:pStyle w:val="TableParagraph"/>
              <w:ind w:left="122"/>
              <w:rPr>
                <w:sz w:val="17"/>
              </w:rPr>
            </w:pPr>
            <w:r>
              <w:rPr>
                <w:spacing w:val="-5"/>
                <w:sz w:val="17"/>
              </w:rPr>
              <w:t>EE</w:t>
            </w:r>
          </w:p>
        </w:tc>
        <w:tc>
          <w:tcPr>
            <w:tcW w:w="715" w:type="dxa"/>
            <w:tcBorders>
              <w:top w:val="single" w:color="DCDDDE" w:sz="4" w:space="0"/>
              <w:bottom w:val="single" w:color="DCDDDE" w:sz="4" w:space="0"/>
            </w:tcBorders>
          </w:tcPr>
          <w:p w:rsidR="00C31389" w:rsidRDefault="00561FBD" w14:paraId="49442E04" w14:textId="77777777">
            <w:pPr>
              <w:pStyle w:val="TableParagraph"/>
              <w:spacing w:before="46"/>
              <w:ind w:right="119"/>
              <w:jc w:val="right"/>
              <w:rPr>
                <w:sz w:val="16"/>
              </w:rPr>
            </w:pPr>
            <w:r>
              <w:rPr>
                <w:spacing w:val="-4"/>
                <w:sz w:val="16"/>
              </w:rPr>
              <w:t>61.1</w:t>
            </w:r>
          </w:p>
        </w:tc>
        <w:tc>
          <w:tcPr>
            <w:tcW w:w="703" w:type="dxa"/>
            <w:tcBorders>
              <w:top w:val="single" w:color="DCDDDE" w:sz="4" w:space="0"/>
              <w:bottom w:val="single" w:color="DCDDDE" w:sz="4" w:space="0"/>
            </w:tcBorders>
          </w:tcPr>
          <w:p w:rsidR="00C31389" w:rsidRDefault="00561FBD" w14:paraId="57A63E7F" w14:textId="77777777">
            <w:pPr>
              <w:pStyle w:val="TableParagraph"/>
              <w:spacing w:before="46"/>
              <w:ind w:right="112"/>
              <w:jc w:val="right"/>
              <w:rPr>
                <w:sz w:val="16"/>
              </w:rPr>
            </w:pPr>
            <w:r>
              <w:rPr>
                <w:spacing w:val="-4"/>
                <w:sz w:val="16"/>
              </w:rPr>
              <w:t>59.5</w:t>
            </w:r>
          </w:p>
        </w:tc>
        <w:tc>
          <w:tcPr>
            <w:tcW w:w="687" w:type="dxa"/>
            <w:tcBorders>
              <w:top w:val="single" w:color="DCDDDE" w:sz="4" w:space="0"/>
              <w:bottom w:val="single" w:color="DCDDDE" w:sz="4" w:space="0"/>
            </w:tcBorders>
          </w:tcPr>
          <w:p w:rsidR="00C31389" w:rsidRDefault="00561FBD" w14:paraId="1FB86F52" w14:textId="77777777">
            <w:pPr>
              <w:pStyle w:val="TableParagraph"/>
              <w:spacing w:before="46"/>
              <w:ind w:right="119"/>
              <w:jc w:val="right"/>
              <w:rPr>
                <w:sz w:val="16"/>
              </w:rPr>
            </w:pPr>
            <w:r>
              <w:rPr>
                <w:spacing w:val="-4"/>
                <w:sz w:val="16"/>
              </w:rPr>
              <w:t>60.9</w:t>
            </w:r>
          </w:p>
        </w:tc>
        <w:tc>
          <w:tcPr>
            <w:tcW w:w="694" w:type="dxa"/>
            <w:tcBorders>
              <w:top w:val="single" w:color="DCDDDE" w:sz="4" w:space="0"/>
              <w:bottom w:val="single" w:color="DCDDDE" w:sz="4" w:space="0"/>
            </w:tcBorders>
          </w:tcPr>
          <w:p w:rsidR="00C31389" w:rsidRDefault="00561FBD" w14:paraId="019366D3" w14:textId="77777777">
            <w:pPr>
              <w:pStyle w:val="TableParagraph"/>
              <w:spacing w:before="46"/>
              <w:ind w:right="119"/>
              <w:jc w:val="right"/>
              <w:rPr>
                <w:sz w:val="16"/>
              </w:rPr>
            </w:pPr>
            <w:r>
              <w:rPr>
                <w:spacing w:val="-4"/>
                <w:sz w:val="16"/>
              </w:rPr>
              <w:t>60.7</w:t>
            </w:r>
          </w:p>
        </w:tc>
        <w:tc>
          <w:tcPr>
            <w:tcW w:w="694" w:type="dxa"/>
            <w:tcBorders>
              <w:top w:val="single" w:color="DCDDDE" w:sz="4" w:space="0"/>
              <w:bottom w:val="single" w:color="DCDDDE" w:sz="4" w:space="0"/>
            </w:tcBorders>
          </w:tcPr>
          <w:p w:rsidR="00C31389" w:rsidRDefault="00561FBD" w14:paraId="0EDC4B74" w14:textId="77777777">
            <w:pPr>
              <w:pStyle w:val="TableParagraph"/>
              <w:spacing w:before="46"/>
              <w:ind w:left="156" w:right="15"/>
              <w:jc w:val="center"/>
              <w:rPr>
                <w:sz w:val="16"/>
              </w:rPr>
            </w:pPr>
            <w:r>
              <w:rPr>
                <w:spacing w:val="-4"/>
                <w:sz w:val="16"/>
              </w:rPr>
              <w:t>60.7</w:t>
            </w:r>
          </w:p>
        </w:tc>
        <w:tc>
          <w:tcPr>
            <w:tcW w:w="720" w:type="dxa"/>
            <w:tcBorders>
              <w:top w:val="single" w:color="DCDDDE" w:sz="4" w:space="0"/>
              <w:bottom w:val="single" w:color="DCDDDE" w:sz="4" w:space="0"/>
            </w:tcBorders>
          </w:tcPr>
          <w:p w:rsidR="00C31389" w:rsidRDefault="00561FBD" w14:paraId="3447475B" w14:textId="77777777">
            <w:pPr>
              <w:pStyle w:val="TableParagraph"/>
              <w:spacing w:before="46"/>
              <w:ind w:right="145"/>
              <w:jc w:val="right"/>
              <w:rPr>
                <w:sz w:val="16"/>
              </w:rPr>
            </w:pPr>
            <w:r>
              <w:rPr>
                <w:spacing w:val="-4"/>
                <w:sz w:val="16"/>
              </w:rPr>
              <w:t>58.5</w:t>
            </w:r>
          </w:p>
        </w:tc>
        <w:tc>
          <w:tcPr>
            <w:tcW w:w="695" w:type="dxa"/>
            <w:tcBorders>
              <w:top w:val="single" w:color="DCDDDE" w:sz="4" w:space="0"/>
              <w:bottom w:val="single" w:color="DCDDDE" w:sz="4" w:space="0"/>
            </w:tcBorders>
          </w:tcPr>
          <w:p w:rsidR="00C31389" w:rsidRDefault="00561FBD" w14:paraId="2D894577" w14:textId="77777777">
            <w:pPr>
              <w:pStyle w:val="TableParagraph"/>
              <w:spacing w:before="46"/>
              <w:ind w:left="132" w:right="46"/>
              <w:jc w:val="center"/>
              <w:rPr>
                <w:sz w:val="16"/>
              </w:rPr>
            </w:pPr>
            <w:r>
              <w:rPr>
                <w:spacing w:val="-4"/>
                <w:sz w:val="16"/>
              </w:rPr>
              <w:t>60.0</w:t>
            </w:r>
          </w:p>
        </w:tc>
        <w:tc>
          <w:tcPr>
            <w:tcW w:w="695" w:type="dxa"/>
            <w:tcBorders>
              <w:top w:val="single" w:color="DCDDDE" w:sz="4" w:space="0"/>
              <w:bottom w:val="single" w:color="DCDDDE" w:sz="4" w:space="0"/>
            </w:tcBorders>
          </w:tcPr>
          <w:p w:rsidR="00C31389" w:rsidRDefault="00561FBD" w14:paraId="063AA86F" w14:textId="77777777">
            <w:pPr>
              <w:pStyle w:val="TableParagraph"/>
              <w:spacing w:before="46"/>
              <w:ind w:right="145"/>
              <w:jc w:val="right"/>
              <w:rPr>
                <w:sz w:val="16"/>
              </w:rPr>
            </w:pPr>
            <w:r>
              <w:rPr>
                <w:spacing w:val="-4"/>
                <w:sz w:val="16"/>
              </w:rPr>
              <w:t>59.0</w:t>
            </w:r>
          </w:p>
        </w:tc>
        <w:tc>
          <w:tcPr>
            <w:tcW w:w="694" w:type="dxa"/>
            <w:tcBorders>
              <w:top w:val="single" w:color="DCDDDE" w:sz="4" w:space="0"/>
              <w:bottom w:val="single" w:color="DCDDDE" w:sz="4" w:space="0"/>
            </w:tcBorders>
          </w:tcPr>
          <w:p w:rsidR="00C31389" w:rsidRDefault="00561FBD" w14:paraId="135C5D04" w14:textId="77777777">
            <w:pPr>
              <w:pStyle w:val="TableParagraph"/>
              <w:spacing w:before="46"/>
              <w:ind w:right="146"/>
              <w:jc w:val="right"/>
              <w:rPr>
                <w:sz w:val="16"/>
              </w:rPr>
            </w:pPr>
            <w:r>
              <w:rPr>
                <w:spacing w:val="-4"/>
                <w:sz w:val="16"/>
              </w:rPr>
              <w:t>57.3</w:t>
            </w:r>
          </w:p>
        </w:tc>
        <w:tc>
          <w:tcPr>
            <w:tcW w:w="694" w:type="dxa"/>
            <w:tcBorders>
              <w:top w:val="single" w:color="DCDDDE" w:sz="4" w:space="0"/>
              <w:bottom w:val="single" w:color="DCDDDE" w:sz="4" w:space="0"/>
            </w:tcBorders>
          </w:tcPr>
          <w:p w:rsidR="00C31389" w:rsidRDefault="00561FBD" w14:paraId="59692480" w14:textId="77777777">
            <w:pPr>
              <w:pStyle w:val="TableParagraph"/>
              <w:spacing w:before="46"/>
              <w:ind w:left="156" w:right="68"/>
              <w:jc w:val="center"/>
              <w:rPr>
                <w:sz w:val="16"/>
              </w:rPr>
            </w:pPr>
            <w:r>
              <w:rPr>
                <w:spacing w:val="-4"/>
                <w:sz w:val="16"/>
              </w:rPr>
              <w:t>53.7</w:t>
            </w:r>
          </w:p>
        </w:tc>
        <w:tc>
          <w:tcPr>
            <w:tcW w:w="695" w:type="dxa"/>
            <w:tcBorders>
              <w:top w:val="single" w:color="DCDDDE" w:sz="4" w:space="0"/>
              <w:bottom w:val="single" w:color="DCDDDE" w:sz="4" w:space="0"/>
            </w:tcBorders>
          </w:tcPr>
          <w:p w:rsidR="00C31389" w:rsidRDefault="00561FBD" w14:paraId="31AA33FB" w14:textId="77777777">
            <w:pPr>
              <w:pStyle w:val="TableParagraph"/>
              <w:spacing w:before="46"/>
              <w:ind w:right="146"/>
              <w:jc w:val="right"/>
              <w:rPr>
                <w:sz w:val="16"/>
              </w:rPr>
            </w:pPr>
            <w:r>
              <w:rPr>
                <w:spacing w:val="-4"/>
                <w:sz w:val="16"/>
              </w:rPr>
              <w:t>53.1</w:t>
            </w:r>
          </w:p>
        </w:tc>
        <w:tc>
          <w:tcPr>
            <w:tcW w:w="655" w:type="dxa"/>
            <w:tcBorders>
              <w:top w:val="single" w:color="DCDDDE" w:sz="4" w:space="0"/>
              <w:bottom w:val="single" w:color="DCDDDE" w:sz="4" w:space="0"/>
            </w:tcBorders>
          </w:tcPr>
          <w:p w:rsidR="00C31389" w:rsidRDefault="00561FBD" w14:paraId="6998EE83" w14:textId="77777777">
            <w:pPr>
              <w:pStyle w:val="TableParagraph"/>
              <w:spacing w:before="46"/>
              <w:ind w:right="105"/>
              <w:jc w:val="right"/>
              <w:rPr>
                <w:sz w:val="16"/>
              </w:rPr>
            </w:pPr>
            <w:r>
              <w:rPr>
                <w:spacing w:val="-4"/>
                <w:sz w:val="16"/>
              </w:rPr>
              <w:t>53.2</w:t>
            </w:r>
          </w:p>
        </w:tc>
      </w:tr>
      <w:tr w:rsidR="00C31389" w14:paraId="20515DFC" w14:textId="77777777">
        <w:trPr>
          <w:trHeight w:val="275"/>
        </w:trPr>
        <w:tc>
          <w:tcPr>
            <w:tcW w:w="1033" w:type="dxa"/>
            <w:tcBorders>
              <w:top w:val="single" w:color="DCDDDE" w:sz="4" w:space="0"/>
              <w:bottom w:val="single" w:color="DCDDDE" w:sz="4" w:space="0"/>
            </w:tcBorders>
          </w:tcPr>
          <w:p w:rsidR="00C31389" w:rsidRDefault="00561FBD" w14:paraId="2C08CE38" w14:textId="77777777">
            <w:pPr>
              <w:pStyle w:val="TableParagraph"/>
              <w:spacing w:before="42"/>
              <w:ind w:left="122"/>
              <w:rPr>
                <w:sz w:val="17"/>
              </w:rPr>
            </w:pPr>
            <w:r>
              <w:rPr>
                <w:spacing w:val="-5"/>
                <w:sz w:val="17"/>
              </w:rPr>
              <w:t>FS</w:t>
            </w:r>
          </w:p>
        </w:tc>
        <w:tc>
          <w:tcPr>
            <w:tcW w:w="715" w:type="dxa"/>
            <w:tcBorders>
              <w:top w:val="single" w:color="DCDDDE" w:sz="4" w:space="0"/>
              <w:bottom w:val="single" w:color="DCDDDE" w:sz="4" w:space="0"/>
            </w:tcBorders>
          </w:tcPr>
          <w:p w:rsidR="00C31389" w:rsidRDefault="00561FBD" w14:paraId="68DC07BE" w14:textId="77777777">
            <w:pPr>
              <w:pStyle w:val="TableParagraph"/>
              <w:spacing w:before="47"/>
              <w:ind w:right="119"/>
              <w:jc w:val="right"/>
              <w:rPr>
                <w:sz w:val="16"/>
              </w:rPr>
            </w:pPr>
            <w:r>
              <w:rPr>
                <w:spacing w:val="-2"/>
                <w:sz w:val="16"/>
              </w:rPr>
              <w:t>-</w:t>
            </w:r>
            <w:r>
              <w:rPr>
                <w:spacing w:val="-4"/>
                <w:sz w:val="16"/>
              </w:rPr>
              <w:t>12.3</w:t>
            </w:r>
          </w:p>
        </w:tc>
        <w:tc>
          <w:tcPr>
            <w:tcW w:w="703" w:type="dxa"/>
            <w:tcBorders>
              <w:top w:val="single" w:color="DCDDDE" w:sz="4" w:space="0"/>
              <w:bottom w:val="single" w:color="DCDDDE" w:sz="4" w:space="0"/>
            </w:tcBorders>
          </w:tcPr>
          <w:p w:rsidR="00C31389" w:rsidRDefault="00561FBD" w14:paraId="5C21F636" w14:textId="77777777">
            <w:pPr>
              <w:pStyle w:val="TableParagraph"/>
              <w:spacing w:before="47"/>
              <w:ind w:right="112"/>
              <w:jc w:val="right"/>
              <w:rPr>
                <w:sz w:val="16"/>
              </w:rPr>
            </w:pPr>
            <w:r>
              <w:rPr>
                <w:spacing w:val="-2"/>
                <w:sz w:val="16"/>
              </w:rPr>
              <w:t>-</w:t>
            </w:r>
            <w:r>
              <w:rPr>
                <w:spacing w:val="-4"/>
                <w:sz w:val="16"/>
              </w:rPr>
              <w:t>13.7</w:t>
            </w:r>
          </w:p>
        </w:tc>
        <w:tc>
          <w:tcPr>
            <w:tcW w:w="687" w:type="dxa"/>
            <w:tcBorders>
              <w:top w:val="single" w:color="DCDDDE" w:sz="4" w:space="0"/>
              <w:bottom w:val="single" w:color="DCDDDE" w:sz="4" w:space="0"/>
            </w:tcBorders>
          </w:tcPr>
          <w:p w:rsidR="00C31389" w:rsidRDefault="00561FBD" w14:paraId="1DEF6EEE" w14:textId="77777777">
            <w:pPr>
              <w:pStyle w:val="TableParagraph"/>
              <w:spacing w:before="47"/>
              <w:ind w:right="119"/>
              <w:jc w:val="right"/>
              <w:rPr>
                <w:sz w:val="16"/>
              </w:rPr>
            </w:pPr>
            <w:r>
              <w:rPr>
                <w:spacing w:val="-2"/>
                <w:sz w:val="16"/>
              </w:rPr>
              <w:t>-</w:t>
            </w:r>
            <w:r>
              <w:rPr>
                <w:spacing w:val="-4"/>
                <w:sz w:val="16"/>
              </w:rPr>
              <w:t>14.4</w:t>
            </w:r>
          </w:p>
        </w:tc>
        <w:tc>
          <w:tcPr>
            <w:tcW w:w="694" w:type="dxa"/>
            <w:tcBorders>
              <w:top w:val="single" w:color="DCDDDE" w:sz="4" w:space="0"/>
              <w:bottom w:val="single" w:color="DCDDDE" w:sz="4" w:space="0"/>
            </w:tcBorders>
          </w:tcPr>
          <w:p w:rsidR="00C31389" w:rsidRDefault="00561FBD" w14:paraId="057F56DD" w14:textId="77777777">
            <w:pPr>
              <w:pStyle w:val="TableParagraph"/>
              <w:spacing w:before="47"/>
              <w:ind w:right="119"/>
              <w:jc w:val="right"/>
              <w:rPr>
                <w:sz w:val="16"/>
              </w:rPr>
            </w:pPr>
            <w:r>
              <w:rPr>
                <w:spacing w:val="-2"/>
                <w:sz w:val="16"/>
              </w:rPr>
              <w:t>-</w:t>
            </w:r>
            <w:r>
              <w:rPr>
                <w:spacing w:val="-4"/>
                <w:sz w:val="16"/>
              </w:rPr>
              <w:t>15.1</w:t>
            </w:r>
          </w:p>
        </w:tc>
        <w:tc>
          <w:tcPr>
            <w:tcW w:w="694" w:type="dxa"/>
            <w:tcBorders>
              <w:top w:val="single" w:color="DCDDDE" w:sz="4" w:space="0"/>
              <w:bottom w:val="single" w:color="DCDDDE" w:sz="4" w:space="0"/>
            </w:tcBorders>
          </w:tcPr>
          <w:p w:rsidR="00C31389" w:rsidRDefault="00561FBD" w14:paraId="01340AD2" w14:textId="77777777">
            <w:pPr>
              <w:pStyle w:val="TableParagraph"/>
              <w:spacing w:before="47"/>
              <w:ind w:left="156" w:right="68"/>
              <w:jc w:val="center"/>
              <w:rPr>
                <w:sz w:val="16"/>
              </w:rPr>
            </w:pPr>
            <w:r>
              <w:rPr>
                <w:spacing w:val="-2"/>
                <w:sz w:val="16"/>
              </w:rPr>
              <w:t>-</w:t>
            </w:r>
            <w:r>
              <w:rPr>
                <w:spacing w:val="-4"/>
                <w:sz w:val="16"/>
              </w:rPr>
              <w:t>15.8</w:t>
            </w:r>
          </w:p>
        </w:tc>
        <w:tc>
          <w:tcPr>
            <w:tcW w:w="720" w:type="dxa"/>
            <w:tcBorders>
              <w:top w:val="single" w:color="DCDDDE" w:sz="4" w:space="0"/>
              <w:bottom w:val="single" w:color="DCDDDE" w:sz="4" w:space="0"/>
            </w:tcBorders>
          </w:tcPr>
          <w:p w:rsidR="00C31389" w:rsidRDefault="00561FBD" w14:paraId="448FC60C" w14:textId="77777777">
            <w:pPr>
              <w:pStyle w:val="TableParagraph"/>
              <w:spacing w:before="47"/>
              <w:ind w:right="145"/>
              <w:jc w:val="right"/>
              <w:rPr>
                <w:sz w:val="16"/>
              </w:rPr>
            </w:pPr>
            <w:r>
              <w:rPr>
                <w:spacing w:val="-2"/>
                <w:sz w:val="16"/>
              </w:rPr>
              <w:t>-</w:t>
            </w:r>
            <w:r>
              <w:rPr>
                <w:spacing w:val="-4"/>
                <w:sz w:val="16"/>
              </w:rPr>
              <w:t>15.9</w:t>
            </w:r>
          </w:p>
        </w:tc>
        <w:tc>
          <w:tcPr>
            <w:tcW w:w="695" w:type="dxa"/>
            <w:tcBorders>
              <w:top w:val="single" w:color="DCDDDE" w:sz="4" w:space="0"/>
              <w:bottom w:val="single" w:color="DCDDDE" w:sz="4" w:space="0"/>
            </w:tcBorders>
          </w:tcPr>
          <w:p w:rsidR="00C31389" w:rsidRDefault="00561FBD" w14:paraId="5AAD9732" w14:textId="77777777">
            <w:pPr>
              <w:pStyle w:val="TableParagraph"/>
              <w:spacing w:before="47"/>
              <w:ind w:left="132" w:right="10"/>
              <w:jc w:val="center"/>
              <w:rPr>
                <w:sz w:val="16"/>
              </w:rPr>
            </w:pPr>
            <w:r>
              <w:rPr>
                <w:spacing w:val="-2"/>
                <w:sz w:val="16"/>
              </w:rPr>
              <w:t>-</w:t>
            </w:r>
            <w:r>
              <w:rPr>
                <w:spacing w:val="-5"/>
                <w:sz w:val="16"/>
              </w:rPr>
              <w:t>3.3</w:t>
            </w:r>
          </w:p>
        </w:tc>
        <w:tc>
          <w:tcPr>
            <w:tcW w:w="695" w:type="dxa"/>
            <w:tcBorders>
              <w:top w:val="single" w:color="DCDDDE" w:sz="4" w:space="0"/>
              <w:bottom w:val="single" w:color="DCDDDE" w:sz="4" w:space="0"/>
            </w:tcBorders>
          </w:tcPr>
          <w:p w:rsidR="00C31389" w:rsidRDefault="00561FBD" w14:paraId="508E407D" w14:textId="77777777">
            <w:pPr>
              <w:pStyle w:val="TableParagraph"/>
              <w:spacing w:before="47"/>
              <w:ind w:right="145"/>
              <w:jc w:val="right"/>
              <w:rPr>
                <w:sz w:val="16"/>
              </w:rPr>
            </w:pPr>
            <w:r>
              <w:rPr>
                <w:spacing w:val="-2"/>
                <w:sz w:val="16"/>
              </w:rPr>
              <w:t>-</w:t>
            </w:r>
            <w:r>
              <w:rPr>
                <w:spacing w:val="-5"/>
                <w:sz w:val="16"/>
              </w:rPr>
              <w:t>3.5</w:t>
            </w:r>
          </w:p>
        </w:tc>
        <w:tc>
          <w:tcPr>
            <w:tcW w:w="694" w:type="dxa"/>
            <w:tcBorders>
              <w:top w:val="single" w:color="DCDDDE" w:sz="4" w:space="0"/>
              <w:bottom w:val="single" w:color="DCDDDE" w:sz="4" w:space="0"/>
            </w:tcBorders>
          </w:tcPr>
          <w:p w:rsidR="00C31389" w:rsidRDefault="00561FBD" w14:paraId="7C4CE7C1" w14:textId="77777777">
            <w:pPr>
              <w:pStyle w:val="TableParagraph"/>
              <w:spacing w:before="47"/>
              <w:ind w:right="146"/>
              <w:jc w:val="right"/>
              <w:rPr>
                <w:sz w:val="16"/>
              </w:rPr>
            </w:pPr>
            <w:r>
              <w:rPr>
                <w:spacing w:val="-2"/>
                <w:sz w:val="16"/>
              </w:rPr>
              <w:t>-</w:t>
            </w:r>
            <w:r>
              <w:rPr>
                <w:spacing w:val="-5"/>
                <w:sz w:val="16"/>
              </w:rPr>
              <w:t>3.7</w:t>
            </w:r>
          </w:p>
        </w:tc>
        <w:tc>
          <w:tcPr>
            <w:tcW w:w="694" w:type="dxa"/>
            <w:tcBorders>
              <w:top w:val="single" w:color="DCDDDE" w:sz="4" w:space="0"/>
              <w:bottom w:val="single" w:color="DCDDDE" w:sz="4" w:space="0"/>
            </w:tcBorders>
          </w:tcPr>
          <w:p w:rsidR="00C31389" w:rsidRDefault="00561FBD" w14:paraId="2D63C9FB" w14:textId="77777777">
            <w:pPr>
              <w:pStyle w:val="TableParagraph"/>
              <w:spacing w:before="47"/>
              <w:ind w:left="156" w:right="32"/>
              <w:jc w:val="center"/>
              <w:rPr>
                <w:sz w:val="16"/>
              </w:rPr>
            </w:pPr>
            <w:r>
              <w:rPr>
                <w:spacing w:val="-2"/>
                <w:sz w:val="16"/>
              </w:rPr>
              <w:t>-</w:t>
            </w:r>
            <w:r>
              <w:rPr>
                <w:spacing w:val="-5"/>
                <w:sz w:val="16"/>
              </w:rPr>
              <w:t>4.1</w:t>
            </w:r>
          </w:p>
        </w:tc>
        <w:tc>
          <w:tcPr>
            <w:tcW w:w="695" w:type="dxa"/>
            <w:tcBorders>
              <w:top w:val="single" w:color="DCDDDE" w:sz="4" w:space="0"/>
              <w:bottom w:val="single" w:color="DCDDDE" w:sz="4" w:space="0"/>
            </w:tcBorders>
          </w:tcPr>
          <w:p w:rsidR="00C31389" w:rsidRDefault="00561FBD" w14:paraId="68486731" w14:textId="77777777">
            <w:pPr>
              <w:pStyle w:val="TableParagraph"/>
              <w:spacing w:before="47"/>
              <w:ind w:right="146"/>
              <w:jc w:val="right"/>
              <w:rPr>
                <w:sz w:val="16"/>
              </w:rPr>
            </w:pPr>
            <w:r>
              <w:rPr>
                <w:spacing w:val="-2"/>
                <w:sz w:val="16"/>
              </w:rPr>
              <w:t>-</w:t>
            </w:r>
            <w:r>
              <w:rPr>
                <w:spacing w:val="-5"/>
                <w:sz w:val="16"/>
              </w:rPr>
              <w:t>4.3</w:t>
            </w:r>
          </w:p>
        </w:tc>
        <w:tc>
          <w:tcPr>
            <w:tcW w:w="655" w:type="dxa"/>
            <w:tcBorders>
              <w:top w:val="single" w:color="DCDDDE" w:sz="4" w:space="0"/>
              <w:bottom w:val="single" w:color="DCDDDE" w:sz="4" w:space="0"/>
            </w:tcBorders>
          </w:tcPr>
          <w:p w:rsidR="00C31389" w:rsidRDefault="00561FBD" w14:paraId="3CABA7CE" w14:textId="77777777">
            <w:pPr>
              <w:pStyle w:val="TableParagraph"/>
              <w:spacing w:before="47"/>
              <w:ind w:right="105"/>
              <w:jc w:val="right"/>
              <w:rPr>
                <w:sz w:val="16"/>
              </w:rPr>
            </w:pPr>
            <w:r>
              <w:rPr>
                <w:spacing w:val="-2"/>
                <w:sz w:val="16"/>
              </w:rPr>
              <w:t>-</w:t>
            </w:r>
            <w:r>
              <w:rPr>
                <w:spacing w:val="-5"/>
                <w:sz w:val="16"/>
              </w:rPr>
              <w:t>4.6</w:t>
            </w:r>
          </w:p>
        </w:tc>
      </w:tr>
      <w:tr w:rsidR="00C31389" w14:paraId="655CEA35" w14:textId="77777777">
        <w:trPr>
          <w:trHeight w:val="275"/>
        </w:trPr>
        <w:tc>
          <w:tcPr>
            <w:tcW w:w="1033" w:type="dxa"/>
            <w:tcBorders>
              <w:top w:val="single" w:color="DCDDDE" w:sz="4" w:space="0"/>
              <w:bottom w:val="single" w:color="DCDDDE" w:sz="4" w:space="0"/>
            </w:tcBorders>
          </w:tcPr>
          <w:p w:rsidR="00C31389" w:rsidRDefault="00561FBD" w14:paraId="6C8F3F59" w14:textId="77777777">
            <w:pPr>
              <w:pStyle w:val="TableParagraph"/>
              <w:spacing w:before="42"/>
              <w:ind w:left="122"/>
              <w:rPr>
                <w:sz w:val="17"/>
              </w:rPr>
            </w:pPr>
            <w:r>
              <w:rPr>
                <w:spacing w:val="-4"/>
                <w:sz w:val="17"/>
              </w:rPr>
              <w:t>BROs</w:t>
            </w:r>
          </w:p>
        </w:tc>
        <w:tc>
          <w:tcPr>
            <w:tcW w:w="715" w:type="dxa"/>
            <w:tcBorders>
              <w:top w:val="single" w:color="DCDDDE" w:sz="4" w:space="0"/>
              <w:bottom w:val="single" w:color="DCDDDE" w:sz="4" w:space="0"/>
            </w:tcBorders>
          </w:tcPr>
          <w:p w:rsidR="00C31389" w:rsidRDefault="00561FBD" w14:paraId="4E7E1904" w14:textId="77777777">
            <w:pPr>
              <w:pStyle w:val="TableParagraph"/>
              <w:spacing w:before="46"/>
              <w:ind w:right="119"/>
              <w:jc w:val="right"/>
              <w:rPr>
                <w:sz w:val="16"/>
              </w:rPr>
            </w:pPr>
            <w:r>
              <w:rPr>
                <w:spacing w:val="-2"/>
                <w:sz w:val="16"/>
              </w:rPr>
              <w:t>218.1</w:t>
            </w:r>
          </w:p>
        </w:tc>
        <w:tc>
          <w:tcPr>
            <w:tcW w:w="703" w:type="dxa"/>
            <w:tcBorders>
              <w:top w:val="single" w:color="DCDDDE" w:sz="4" w:space="0"/>
              <w:bottom w:val="single" w:color="DCDDDE" w:sz="4" w:space="0"/>
            </w:tcBorders>
          </w:tcPr>
          <w:p w:rsidR="00C31389" w:rsidRDefault="00561FBD" w14:paraId="569286A5" w14:textId="77777777">
            <w:pPr>
              <w:pStyle w:val="TableParagraph"/>
              <w:spacing w:before="46"/>
              <w:ind w:right="112"/>
              <w:jc w:val="right"/>
              <w:rPr>
                <w:sz w:val="16"/>
              </w:rPr>
            </w:pPr>
            <w:r>
              <w:rPr>
                <w:spacing w:val="-2"/>
                <w:sz w:val="16"/>
              </w:rPr>
              <w:t>230.6</w:t>
            </w:r>
          </w:p>
        </w:tc>
        <w:tc>
          <w:tcPr>
            <w:tcW w:w="687" w:type="dxa"/>
            <w:tcBorders>
              <w:top w:val="single" w:color="DCDDDE" w:sz="4" w:space="0"/>
              <w:bottom w:val="single" w:color="DCDDDE" w:sz="4" w:space="0"/>
            </w:tcBorders>
          </w:tcPr>
          <w:p w:rsidR="00C31389" w:rsidRDefault="00561FBD" w14:paraId="4E4439C3" w14:textId="77777777">
            <w:pPr>
              <w:pStyle w:val="TableParagraph"/>
              <w:spacing w:before="46"/>
              <w:ind w:right="119"/>
              <w:jc w:val="right"/>
              <w:rPr>
                <w:sz w:val="16"/>
              </w:rPr>
            </w:pPr>
            <w:r>
              <w:rPr>
                <w:spacing w:val="-2"/>
                <w:sz w:val="16"/>
              </w:rPr>
              <w:t>243.1</w:t>
            </w:r>
          </w:p>
        </w:tc>
        <w:tc>
          <w:tcPr>
            <w:tcW w:w="694" w:type="dxa"/>
            <w:tcBorders>
              <w:top w:val="single" w:color="DCDDDE" w:sz="4" w:space="0"/>
              <w:bottom w:val="single" w:color="DCDDDE" w:sz="4" w:space="0"/>
            </w:tcBorders>
          </w:tcPr>
          <w:p w:rsidR="00C31389" w:rsidRDefault="00561FBD" w14:paraId="2A68D52B" w14:textId="77777777">
            <w:pPr>
              <w:pStyle w:val="TableParagraph"/>
              <w:spacing w:before="46"/>
              <w:ind w:right="119"/>
              <w:jc w:val="right"/>
              <w:rPr>
                <w:sz w:val="16"/>
              </w:rPr>
            </w:pPr>
            <w:r>
              <w:rPr>
                <w:spacing w:val="-2"/>
                <w:sz w:val="16"/>
              </w:rPr>
              <w:t>254.0</w:t>
            </w:r>
          </w:p>
        </w:tc>
        <w:tc>
          <w:tcPr>
            <w:tcW w:w="694" w:type="dxa"/>
            <w:tcBorders>
              <w:top w:val="single" w:color="DCDDDE" w:sz="4" w:space="0"/>
              <w:bottom w:val="single" w:color="DCDDDE" w:sz="4" w:space="0"/>
            </w:tcBorders>
          </w:tcPr>
          <w:p w:rsidR="00C31389" w:rsidRDefault="00561FBD" w14:paraId="12C6989B" w14:textId="77777777">
            <w:pPr>
              <w:pStyle w:val="TableParagraph"/>
              <w:spacing w:before="46"/>
              <w:ind w:left="156" w:right="104"/>
              <w:jc w:val="center"/>
              <w:rPr>
                <w:sz w:val="16"/>
              </w:rPr>
            </w:pPr>
            <w:r>
              <w:rPr>
                <w:spacing w:val="-2"/>
                <w:sz w:val="16"/>
              </w:rPr>
              <w:t>264.8</w:t>
            </w:r>
          </w:p>
        </w:tc>
        <w:tc>
          <w:tcPr>
            <w:tcW w:w="720" w:type="dxa"/>
            <w:tcBorders>
              <w:top w:val="single" w:color="DCDDDE" w:sz="4" w:space="0"/>
              <w:bottom w:val="single" w:color="DCDDDE" w:sz="4" w:space="0"/>
            </w:tcBorders>
          </w:tcPr>
          <w:p w:rsidR="00C31389" w:rsidRDefault="00561FBD" w14:paraId="67D93ECF" w14:textId="77777777">
            <w:pPr>
              <w:pStyle w:val="TableParagraph"/>
              <w:spacing w:before="46"/>
              <w:ind w:right="145"/>
              <w:jc w:val="right"/>
              <w:rPr>
                <w:sz w:val="16"/>
              </w:rPr>
            </w:pPr>
            <w:r>
              <w:rPr>
                <w:spacing w:val="-2"/>
                <w:sz w:val="16"/>
              </w:rPr>
              <w:t>276.3</w:t>
            </w:r>
          </w:p>
        </w:tc>
        <w:tc>
          <w:tcPr>
            <w:tcW w:w="695" w:type="dxa"/>
            <w:tcBorders>
              <w:top w:val="single" w:color="DCDDDE" w:sz="4" w:space="0"/>
              <w:bottom w:val="single" w:color="DCDDDE" w:sz="4" w:space="0"/>
            </w:tcBorders>
          </w:tcPr>
          <w:p w:rsidR="00C31389" w:rsidRDefault="00561FBD" w14:paraId="144B7680" w14:textId="77777777">
            <w:pPr>
              <w:pStyle w:val="TableParagraph"/>
              <w:spacing w:before="46"/>
              <w:ind w:left="132" w:right="132"/>
              <w:jc w:val="center"/>
              <w:rPr>
                <w:sz w:val="16"/>
              </w:rPr>
            </w:pPr>
            <w:r>
              <w:rPr>
                <w:spacing w:val="-2"/>
                <w:sz w:val="16"/>
              </w:rPr>
              <w:t>289.0</w:t>
            </w:r>
          </w:p>
        </w:tc>
        <w:tc>
          <w:tcPr>
            <w:tcW w:w="695" w:type="dxa"/>
            <w:tcBorders>
              <w:top w:val="single" w:color="DCDDDE" w:sz="4" w:space="0"/>
              <w:bottom w:val="single" w:color="DCDDDE" w:sz="4" w:space="0"/>
            </w:tcBorders>
          </w:tcPr>
          <w:p w:rsidR="00C31389" w:rsidRDefault="00561FBD" w14:paraId="2E0DC42C" w14:textId="77777777">
            <w:pPr>
              <w:pStyle w:val="TableParagraph"/>
              <w:spacing w:before="46"/>
              <w:ind w:right="145"/>
              <w:jc w:val="right"/>
              <w:rPr>
                <w:sz w:val="16"/>
              </w:rPr>
            </w:pPr>
            <w:r>
              <w:rPr>
                <w:spacing w:val="-2"/>
                <w:sz w:val="16"/>
              </w:rPr>
              <w:t>302.0</w:t>
            </w:r>
          </w:p>
        </w:tc>
        <w:tc>
          <w:tcPr>
            <w:tcW w:w="694" w:type="dxa"/>
            <w:tcBorders>
              <w:top w:val="single" w:color="DCDDDE" w:sz="4" w:space="0"/>
              <w:bottom w:val="single" w:color="DCDDDE" w:sz="4" w:space="0"/>
            </w:tcBorders>
          </w:tcPr>
          <w:p w:rsidR="00C31389" w:rsidRDefault="00561FBD" w14:paraId="612BA440" w14:textId="77777777">
            <w:pPr>
              <w:pStyle w:val="TableParagraph"/>
              <w:spacing w:before="46"/>
              <w:ind w:right="146"/>
              <w:jc w:val="right"/>
              <w:rPr>
                <w:sz w:val="16"/>
              </w:rPr>
            </w:pPr>
            <w:r>
              <w:rPr>
                <w:spacing w:val="-2"/>
                <w:sz w:val="16"/>
              </w:rPr>
              <w:t>315.5</w:t>
            </w:r>
          </w:p>
        </w:tc>
        <w:tc>
          <w:tcPr>
            <w:tcW w:w="694" w:type="dxa"/>
            <w:tcBorders>
              <w:top w:val="single" w:color="DCDDDE" w:sz="4" w:space="0"/>
              <w:bottom w:val="single" w:color="DCDDDE" w:sz="4" w:space="0"/>
            </w:tcBorders>
          </w:tcPr>
          <w:p w:rsidR="00C31389" w:rsidRDefault="00561FBD" w14:paraId="6249040A" w14:textId="77777777">
            <w:pPr>
              <w:pStyle w:val="TableParagraph"/>
              <w:spacing w:before="46"/>
              <w:ind w:left="105" w:right="105"/>
              <w:jc w:val="center"/>
              <w:rPr>
                <w:sz w:val="16"/>
              </w:rPr>
            </w:pPr>
            <w:r>
              <w:rPr>
                <w:spacing w:val="-2"/>
                <w:sz w:val="16"/>
              </w:rPr>
              <w:t>333.5</w:t>
            </w:r>
          </w:p>
        </w:tc>
        <w:tc>
          <w:tcPr>
            <w:tcW w:w="695" w:type="dxa"/>
            <w:tcBorders>
              <w:top w:val="single" w:color="DCDDDE" w:sz="4" w:space="0"/>
              <w:bottom w:val="single" w:color="DCDDDE" w:sz="4" w:space="0"/>
            </w:tcBorders>
          </w:tcPr>
          <w:p w:rsidR="00C31389" w:rsidRDefault="00561FBD" w14:paraId="262CD6D7" w14:textId="77777777">
            <w:pPr>
              <w:pStyle w:val="TableParagraph"/>
              <w:spacing w:before="46"/>
              <w:ind w:right="146"/>
              <w:jc w:val="right"/>
              <w:rPr>
                <w:sz w:val="16"/>
              </w:rPr>
            </w:pPr>
            <w:r>
              <w:rPr>
                <w:spacing w:val="-2"/>
                <w:sz w:val="16"/>
              </w:rPr>
              <w:t>337.7</w:t>
            </w:r>
          </w:p>
        </w:tc>
        <w:tc>
          <w:tcPr>
            <w:tcW w:w="655" w:type="dxa"/>
            <w:tcBorders>
              <w:top w:val="single" w:color="DCDDDE" w:sz="4" w:space="0"/>
              <w:bottom w:val="single" w:color="DCDDDE" w:sz="4" w:space="0"/>
            </w:tcBorders>
          </w:tcPr>
          <w:p w:rsidR="00C31389" w:rsidRDefault="00561FBD" w14:paraId="213ABC77" w14:textId="77777777">
            <w:pPr>
              <w:pStyle w:val="TableParagraph"/>
              <w:spacing w:before="46"/>
              <w:ind w:right="105"/>
              <w:jc w:val="right"/>
              <w:rPr>
                <w:sz w:val="16"/>
              </w:rPr>
            </w:pPr>
            <w:r>
              <w:rPr>
                <w:spacing w:val="-2"/>
                <w:sz w:val="16"/>
              </w:rPr>
              <w:t>355.3</w:t>
            </w:r>
          </w:p>
        </w:tc>
      </w:tr>
      <w:tr w:rsidR="00C31389" w14:paraId="51BCE69B"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3891F04F"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7F6FDF3B" w14:textId="77777777">
        <w:trPr>
          <w:trHeight w:val="275"/>
        </w:trPr>
        <w:tc>
          <w:tcPr>
            <w:tcW w:w="1033" w:type="dxa"/>
            <w:tcBorders>
              <w:top w:val="single" w:color="DCDDDE" w:sz="4" w:space="0"/>
              <w:bottom w:val="single" w:color="DCDDDE" w:sz="4" w:space="0"/>
            </w:tcBorders>
          </w:tcPr>
          <w:p w:rsidR="00C31389" w:rsidRDefault="00561FBD" w14:paraId="56E7B554" w14:textId="77777777">
            <w:pPr>
              <w:pStyle w:val="TableParagraph"/>
              <w:ind w:left="122"/>
              <w:rPr>
                <w:sz w:val="17"/>
              </w:rPr>
            </w:pPr>
            <w:r>
              <w:rPr>
                <w:spacing w:val="-5"/>
                <w:sz w:val="17"/>
              </w:rPr>
              <w:t>EE</w:t>
            </w:r>
          </w:p>
        </w:tc>
        <w:tc>
          <w:tcPr>
            <w:tcW w:w="715" w:type="dxa"/>
            <w:tcBorders>
              <w:top w:val="single" w:color="DCDDDE" w:sz="4" w:space="0"/>
              <w:bottom w:val="single" w:color="DCDDDE" w:sz="4" w:space="0"/>
            </w:tcBorders>
          </w:tcPr>
          <w:p w:rsidR="00C31389" w:rsidRDefault="00561FBD" w14:paraId="12243C5F" w14:textId="77777777">
            <w:pPr>
              <w:pStyle w:val="TableParagraph"/>
              <w:spacing w:before="46"/>
              <w:ind w:right="119"/>
              <w:jc w:val="right"/>
              <w:rPr>
                <w:sz w:val="16"/>
              </w:rPr>
            </w:pPr>
            <w:r>
              <w:rPr>
                <w:spacing w:val="-4"/>
                <w:sz w:val="16"/>
              </w:rPr>
              <w:t>60.1</w:t>
            </w:r>
          </w:p>
        </w:tc>
        <w:tc>
          <w:tcPr>
            <w:tcW w:w="703" w:type="dxa"/>
            <w:tcBorders>
              <w:top w:val="single" w:color="DCDDDE" w:sz="4" w:space="0"/>
              <w:bottom w:val="single" w:color="DCDDDE" w:sz="4" w:space="0"/>
            </w:tcBorders>
          </w:tcPr>
          <w:p w:rsidR="00C31389" w:rsidRDefault="00561FBD" w14:paraId="132CCEB9" w14:textId="77777777">
            <w:pPr>
              <w:pStyle w:val="TableParagraph"/>
              <w:spacing w:before="46"/>
              <w:ind w:right="112"/>
              <w:jc w:val="right"/>
              <w:rPr>
                <w:sz w:val="16"/>
              </w:rPr>
            </w:pPr>
            <w:r>
              <w:rPr>
                <w:spacing w:val="-4"/>
                <w:sz w:val="16"/>
              </w:rPr>
              <w:t>58.9</w:t>
            </w:r>
          </w:p>
        </w:tc>
        <w:tc>
          <w:tcPr>
            <w:tcW w:w="687" w:type="dxa"/>
            <w:tcBorders>
              <w:top w:val="single" w:color="DCDDDE" w:sz="4" w:space="0"/>
              <w:bottom w:val="single" w:color="DCDDDE" w:sz="4" w:space="0"/>
            </w:tcBorders>
          </w:tcPr>
          <w:p w:rsidR="00C31389" w:rsidRDefault="00561FBD" w14:paraId="39034A40" w14:textId="77777777">
            <w:pPr>
              <w:pStyle w:val="TableParagraph"/>
              <w:spacing w:before="46"/>
              <w:ind w:right="119"/>
              <w:jc w:val="right"/>
              <w:rPr>
                <w:sz w:val="16"/>
              </w:rPr>
            </w:pPr>
            <w:r>
              <w:rPr>
                <w:spacing w:val="-4"/>
                <w:sz w:val="16"/>
              </w:rPr>
              <w:t>60.7</w:t>
            </w:r>
          </w:p>
        </w:tc>
        <w:tc>
          <w:tcPr>
            <w:tcW w:w="694" w:type="dxa"/>
            <w:tcBorders>
              <w:top w:val="single" w:color="DCDDDE" w:sz="4" w:space="0"/>
              <w:bottom w:val="single" w:color="DCDDDE" w:sz="4" w:space="0"/>
            </w:tcBorders>
          </w:tcPr>
          <w:p w:rsidR="00C31389" w:rsidRDefault="00561FBD" w14:paraId="4E44582F" w14:textId="77777777">
            <w:pPr>
              <w:pStyle w:val="TableParagraph"/>
              <w:spacing w:before="46"/>
              <w:ind w:right="119"/>
              <w:jc w:val="right"/>
              <w:rPr>
                <w:sz w:val="16"/>
              </w:rPr>
            </w:pPr>
            <w:r>
              <w:rPr>
                <w:spacing w:val="-4"/>
                <w:sz w:val="16"/>
              </w:rPr>
              <w:t>60.7</w:t>
            </w:r>
          </w:p>
        </w:tc>
        <w:tc>
          <w:tcPr>
            <w:tcW w:w="694" w:type="dxa"/>
            <w:tcBorders>
              <w:top w:val="single" w:color="DCDDDE" w:sz="4" w:space="0"/>
              <w:bottom w:val="single" w:color="DCDDDE" w:sz="4" w:space="0"/>
            </w:tcBorders>
          </w:tcPr>
          <w:p w:rsidR="00C31389" w:rsidRDefault="00561FBD" w14:paraId="2EF7E23C" w14:textId="77777777">
            <w:pPr>
              <w:pStyle w:val="TableParagraph"/>
              <w:spacing w:before="46"/>
              <w:ind w:left="156" w:right="15"/>
              <w:jc w:val="center"/>
              <w:rPr>
                <w:sz w:val="16"/>
              </w:rPr>
            </w:pPr>
            <w:r>
              <w:rPr>
                <w:spacing w:val="-4"/>
                <w:sz w:val="16"/>
              </w:rPr>
              <w:t>60.8</w:t>
            </w:r>
          </w:p>
        </w:tc>
        <w:tc>
          <w:tcPr>
            <w:tcW w:w="720" w:type="dxa"/>
            <w:tcBorders>
              <w:top w:val="single" w:color="DCDDDE" w:sz="4" w:space="0"/>
              <w:bottom w:val="single" w:color="DCDDDE" w:sz="4" w:space="0"/>
            </w:tcBorders>
          </w:tcPr>
          <w:p w:rsidR="00C31389" w:rsidRDefault="00561FBD" w14:paraId="76AEE57F" w14:textId="77777777">
            <w:pPr>
              <w:pStyle w:val="TableParagraph"/>
              <w:spacing w:before="46"/>
              <w:ind w:right="145"/>
              <w:jc w:val="right"/>
              <w:rPr>
                <w:sz w:val="16"/>
              </w:rPr>
            </w:pPr>
            <w:r>
              <w:rPr>
                <w:spacing w:val="-4"/>
                <w:sz w:val="16"/>
              </w:rPr>
              <w:t>58.6</w:t>
            </w:r>
          </w:p>
        </w:tc>
        <w:tc>
          <w:tcPr>
            <w:tcW w:w="695" w:type="dxa"/>
            <w:tcBorders>
              <w:top w:val="single" w:color="DCDDDE" w:sz="4" w:space="0"/>
              <w:bottom w:val="single" w:color="DCDDDE" w:sz="4" w:space="0"/>
            </w:tcBorders>
          </w:tcPr>
          <w:p w:rsidR="00C31389" w:rsidRDefault="00561FBD" w14:paraId="2EA720D7" w14:textId="77777777">
            <w:pPr>
              <w:pStyle w:val="TableParagraph"/>
              <w:spacing w:before="46"/>
              <w:ind w:left="132" w:right="46"/>
              <w:jc w:val="center"/>
              <w:rPr>
                <w:sz w:val="16"/>
              </w:rPr>
            </w:pPr>
            <w:r>
              <w:rPr>
                <w:spacing w:val="-4"/>
                <w:sz w:val="16"/>
              </w:rPr>
              <w:t>60.1</w:t>
            </w:r>
          </w:p>
        </w:tc>
        <w:tc>
          <w:tcPr>
            <w:tcW w:w="695" w:type="dxa"/>
            <w:tcBorders>
              <w:top w:val="single" w:color="DCDDDE" w:sz="4" w:space="0"/>
              <w:bottom w:val="single" w:color="DCDDDE" w:sz="4" w:space="0"/>
            </w:tcBorders>
          </w:tcPr>
          <w:p w:rsidR="00C31389" w:rsidRDefault="00561FBD" w14:paraId="5CA39A91" w14:textId="77777777">
            <w:pPr>
              <w:pStyle w:val="TableParagraph"/>
              <w:spacing w:before="46"/>
              <w:ind w:right="145"/>
              <w:jc w:val="right"/>
              <w:rPr>
                <w:sz w:val="16"/>
              </w:rPr>
            </w:pPr>
            <w:r>
              <w:rPr>
                <w:spacing w:val="-4"/>
                <w:sz w:val="16"/>
              </w:rPr>
              <w:t>59.1</w:t>
            </w:r>
          </w:p>
        </w:tc>
        <w:tc>
          <w:tcPr>
            <w:tcW w:w="694" w:type="dxa"/>
            <w:tcBorders>
              <w:top w:val="single" w:color="DCDDDE" w:sz="4" w:space="0"/>
              <w:bottom w:val="single" w:color="DCDDDE" w:sz="4" w:space="0"/>
            </w:tcBorders>
          </w:tcPr>
          <w:p w:rsidR="00C31389" w:rsidRDefault="00561FBD" w14:paraId="0B6D8AF0" w14:textId="77777777">
            <w:pPr>
              <w:pStyle w:val="TableParagraph"/>
              <w:spacing w:before="46"/>
              <w:ind w:right="146"/>
              <w:jc w:val="right"/>
              <w:rPr>
                <w:sz w:val="16"/>
              </w:rPr>
            </w:pPr>
            <w:r>
              <w:rPr>
                <w:spacing w:val="-4"/>
                <w:sz w:val="16"/>
              </w:rPr>
              <w:t>57.4</w:t>
            </w:r>
          </w:p>
        </w:tc>
        <w:tc>
          <w:tcPr>
            <w:tcW w:w="694" w:type="dxa"/>
            <w:tcBorders>
              <w:top w:val="single" w:color="DCDDDE" w:sz="4" w:space="0"/>
              <w:bottom w:val="single" w:color="DCDDDE" w:sz="4" w:space="0"/>
            </w:tcBorders>
          </w:tcPr>
          <w:p w:rsidR="00C31389" w:rsidRDefault="00561FBD" w14:paraId="0477E000" w14:textId="77777777">
            <w:pPr>
              <w:pStyle w:val="TableParagraph"/>
              <w:spacing w:before="46"/>
              <w:ind w:left="156" w:right="68"/>
              <w:jc w:val="center"/>
              <w:rPr>
                <w:sz w:val="16"/>
              </w:rPr>
            </w:pPr>
            <w:r>
              <w:rPr>
                <w:spacing w:val="-4"/>
                <w:sz w:val="16"/>
              </w:rPr>
              <w:t>53.8</w:t>
            </w:r>
          </w:p>
        </w:tc>
        <w:tc>
          <w:tcPr>
            <w:tcW w:w="695" w:type="dxa"/>
            <w:tcBorders>
              <w:top w:val="single" w:color="DCDDDE" w:sz="4" w:space="0"/>
              <w:bottom w:val="single" w:color="DCDDDE" w:sz="4" w:space="0"/>
            </w:tcBorders>
          </w:tcPr>
          <w:p w:rsidR="00C31389" w:rsidRDefault="00561FBD" w14:paraId="05D90611" w14:textId="77777777">
            <w:pPr>
              <w:pStyle w:val="TableParagraph"/>
              <w:spacing w:before="46"/>
              <w:ind w:right="146"/>
              <w:jc w:val="right"/>
              <w:rPr>
                <w:sz w:val="16"/>
              </w:rPr>
            </w:pPr>
            <w:r>
              <w:rPr>
                <w:spacing w:val="-4"/>
                <w:sz w:val="16"/>
              </w:rPr>
              <w:t>53.3</w:t>
            </w:r>
          </w:p>
        </w:tc>
        <w:tc>
          <w:tcPr>
            <w:tcW w:w="655" w:type="dxa"/>
            <w:tcBorders>
              <w:top w:val="single" w:color="DCDDDE" w:sz="4" w:space="0"/>
              <w:bottom w:val="single" w:color="DCDDDE" w:sz="4" w:space="0"/>
            </w:tcBorders>
          </w:tcPr>
          <w:p w:rsidR="00C31389" w:rsidRDefault="00561FBD" w14:paraId="71CA7824" w14:textId="77777777">
            <w:pPr>
              <w:pStyle w:val="TableParagraph"/>
              <w:spacing w:before="46"/>
              <w:ind w:right="105"/>
              <w:jc w:val="right"/>
              <w:rPr>
                <w:sz w:val="16"/>
              </w:rPr>
            </w:pPr>
            <w:r>
              <w:rPr>
                <w:spacing w:val="-4"/>
                <w:sz w:val="16"/>
              </w:rPr>
              <w:t>53.4</w:t>
            </w:r>
          </w:p>
        </w:tc>
      </w:tr>
      <w:tr w:rsidR="00C31389" w14:paraId="074954E4" w14:textId="77777777">
        <w:trPr>
          <w:trHeight w:val="275"/>
        </w:trPr>
        <w:tc>
          <w:tcPr>
            <w:tcW w:w="1033" w:type="dxa"/>
            <w:tcBorders>
              <w:top w:val="single" w:color="DCDDDE" w:sz="4" w:space="0"/>
              <w:bottom w:val="single" w:color="DCDDDE" w:sz="4" w:space="0"/>
            </w:tcBorders>
          </w:tcPr>
          <w:p w:rsidR="00C31389" w:rsidRDefault="00561FBD" w14:paraId="01D3D8D7" w14:textId="77777777">
            <w:pPr>
              <w:pStyle w:val="TableParagraph"/>
              <w:ind w:left="122"/>
              <w:rPr>
                <w:sz w:val="17"/>
              </w:rPr>
            </w:pPr>
            <w:r>
              <w:rPr>
                <w:spacing w:val="-5"/>
                <w:sz w:val="17"/>
              </w:rPr>
              <w:t>FS</w:t>
            </w:r>
          </w:p>
        </w:tc>
        <w:tc>
          <w:tcPr>
            <w:tcW w:w="715" w:type="dxa"/>
            <w:tcBorders>
              <w:top w:val="single" w:color="DCDDDE" w:sz="4" w:space="0"/>
              <w:bottom w:val="single" w:color="DCDDDE" w:sz="4" w:space="0"/>
            </w:tcBorders>
          </w:tcPr>
          <w:p w:rsidR="00C31389" w:rsidRDefault="00561FBD" w14:paraId="37327411" w14:textId="77777777">
            <w:pPr>
              <w:pStyle w:val="TableParagraph"/>
              <w:spacing w:before="46"/>
              <w:ind w:right="119"/>
              <w:jc w:val="right"/>
              <w:rPr>
                <w:sz w:val="16"/>
              </w:rPr>
            </w:pPr>
            <w:r>
              <w:rPr>
                <w:spacing w:val="-2"/>
                <w:sz w:val="16"/>
              </w:rPr>
              <w:t>-111.9</w:t>
            </w:r>
          </w:p>
        </w:tc>
        <w:tc>
          <w:tcPr>
            <w:tcW w:w="703" w:type="dxa"/>
            <w:tcBorders>
              <w:top w:val="single" w:color="DCDDDE" w:sz="4" w:space="0"/>
              <w:bottom w:val="single" w:color="DCDDDE" w:sz="4" w:space="0"/>
            </w:tcBorders>
          </w:tcPr>
          <w:p w:rsidR="00C31389" w:rsidRDefault="00561FBD" w14:paraId="259B805A" w14:textId="77777777">
            <w:pPr>
              <w:pStyle w:val="TableParagraph"/>
              <w:spacing w:before="46"/>
              <w:ind w:right="113"/>
              <w:jc w:val="right"/>
              <w:rPr>
                <w:sz w:val="16"/>
              </w:rPr>
            </w:pPr>
            <w:r>
              <w:rPr>
                <w:spacing w:val="-2"/>
                <w:sz w:val="16"/>
              </w:rPr>
              <w:t>-118.9</w:t>
            </w:r>
          </w:p>
        </w:tc>
        <w:tc>
          <w:tcPr>
            <w:tcW w:w="687" w:type="dxa"/>
            <w:tcBorders>
              <w:top w:val="single" w:color="DCDDDE" w:sz="4" w:space="0"/>
              <w:bottom w:val="single" w:color="DCDDDE" w:sz="4" w:space="0"/>
            </w:tcBorders>
          </w:tcPr>
          <w:p w:rsidR="00C31389" w:rsidRDefault="00561FBD" w14:paraId="5997D4CF" w14:textId="77777777">
            <w:pPr>
              <w:pStyle w:val="TableParagraph"/>
              <w:spacing w:before="46"/>
              <w:ind w:right="119"/>
              <w:jc w:val="right"/>
              <w:rPr>
                <w:sz w:val="16"/>
              </w:rPr>
            </w:pPr>
            <w:r>
              <w:rPr>
                <w:spacing w:val="-2"/>
                <w:sz w:val="16"/>
              </w:rPr>
              <w:t>-123.5</w:t>
            </w:r>
          </w:p>
        </w:tc>
        <w:tc>
          <w:tcPr>
            <w:tcW w:w="694" w:type="dxa"/>
            <w:tcBorders>
              <w:top w:val="single" w:color="DCDDDE" w:sz="4" w:space="0"/>
              <w:bottom w:val="single" w:color="DCDDDE" w:sz="4" w:space="0"/>
            </w:tcBorders>
          </w:tcPr>
          <w:p w:rsidR="00C31389" w:rsidRDefault="00561FBD" w14:paraId="30CBFA6B" w14:textId="77777777">
            <w:pPr>
              <w:pStyle w:val="TableParagraph"/>
              <w:spacing w:before="46"/>
              <w:ind w:right="120"/>
              <w:jc w:val="right"/>
              <w:rPr>
                <w:sz w:val="16"/>
              </w:rPr>
            </w:pPr>
            <w:r>
              <w:rPr>
                <w:spacing w:val="-2"/>
                <w:sz w:val="16"/>
              </w:rPr>
              <w:t>-128.4</w:t>
            </w:r>
          </w:p>
        </w:tc>
        <w:tc>
          <w:tcPr>
            <w:tcW w:w="694" w:type="dxa"/>
            <w:tcBorders>
              <w:top w:val="single" w:color="DCDDDE" w:sz="4" w:space="0"/>
              <w:bottom w:val="single" w:color="DCDDDE" w:sz="4" w:space="0"/>
            </w:tcBorders>
          </w:tcPr>
          <w:p w:rsidR="00C31389" w:rsidRDefault="00561FBD" w14:paraId="1C529FF5" w14:textId="77777777">
            <w:pPr>
              <w:pStyle w:val="TableParagraph"/>
              <w:spacing w:before="46"/>
              <w:ind w:left="105" w:right="105"/>
              <w:jc w:val="center"/>
              <w:rPr>
                <w:sz w:val="16"/>
              </w:rPr>
            </w:pPr>
            <w:r>
              <w:rPr>
                <w:spacing w:val="-2"/>
                <w:sz w:val="16"/>
              </w:rPr>
              <w:t>-132.3</w:t>
            </w:r>
          </w:p>
        </w:tc>
        <w:tc>
          <w:tcPr>
            <w:tcW w:w="720" w:type="dxa"/>
            <w:tcBorders>
              <w:top w:val="single" w:color="DCDDDE" w:sz="4" w:space="0"/>
              <w:bottom w:val="single" w:color="DCDDDE" w:sz="4" w:space="0"/>
            </w:tcBorders>
          </w:tcPr>
          <w:p w:rsidR="00C31389" w:rsidRDefault="00561FBD" w14:paraId="28CF3F9D" w14:textId="77777777">
            <w:pPr>
              <w:pStyle w:val="TableParagraph"/>
              <w:spacing w:before="46"/>
              <w:ind w:right="145"/>
              <w:jc w:val="right"/>
              <w:rPr>
                <w:sz w:val="16"/>
              </w:rPr>
            </w:pPr>
            <w:r>
              <w:rPr>
                <w:spacing w:val="-2"/>
                <w:sz w:val="16"/>
              </w:rPr>
              <w:t>-134.2</w:t>
            </w:r>
          </w:p>
        </w:tc>
        <w:tc>
          <w:tcPr>
            <w:tcW w:w="695" w:type="dxa"/>
            <w:tcBorders>
              <w:top w:val="single" w:color="DCDDDE" w:sz="4" w:space="0"/>
              <w:bottom w:val="single" w:color="DCDDDE" w:sz="4" w:space="0"/>
            </w:tcBorders>
          </w:tcPr>
          <w:p w:rsidR="00C31389" w:rsidRDefault="00561FBD" w14:paraId="31C83A0F" w14:textId="77777777">
            <w:pPr>
              <w:pStyle w:val="TableParagraph"/>
              <w:spacing w:before="46"/>
              <w:ind w:left="132" w:right="46"/>
              <w:jc w:val="center"/>
              <w:rPr>
                <w:sz w:val="16"/>
              </w:rPr>
            </w:pPr>
            <w:r>
              <w:rPr>
                <w:spacing w:val="-4"/>
                <w:sz w:val="16"/>
              </w:rPr>
              <w:t>11.9</w:t>
            </w:r>
          </w:p>
        </w:tc>
        <w:tc>
          <w:tcPr>
            <w:tcW w:w="695" w:type="dxa"/>
            <w:tcBorders>
              <w:top w:val="single" w:color="DCDDDE" w:sz="4" w:space="0"/>
              <w:bottom w:val="single" w:color="DCDDDE" w:sz="4" w:space="0"/>
            </w:tcBorders>
          </w:tcPr>
          <w:p w:rsidR="00C31389" w:rsidRDefault="00561FBD" w14:paraId="69682AFC" w14:textId="77777777">
            <w:pPr>
              <w:pStyle w:val="TableParagraph"/>
              <w:spacing w:before="46"/>
              <w:ind w:right="145"/>
              <w:jc w:val="right"/>
              <w:rPr>
                <w:sz w:val="16"/>
              </w:rPr>
            </w:pPr>
            <w:r>
              <w:rPr>
                <w:spacing w:val="-4"/>
                <w:sz w:val="16"/>
              </w:rPr>
              <w:t>16.0</w:t>
            </w:r>
          </w:p>
        </w:tc>
        <w:tc>
          <w:tcPr>
            <w:tcW w:w="694" w:type="dxa"/>
            <w:tcBorders>
              <w:top w:val="single" w:color="DCDDDE" w:sz="4" w:space="0"/>
              <w:bottom w:val="single" w:color="DCDDDE" w:sz="4" w:space="0"/>
            </w:tcBorders>
          </w:tcPr>
          <w:p w:rsidR="00C31389" w:rsidRDefault="00561FBD" w14:paraId="5C460812" w14:textId="77777777">
            <w:pPr>
              <w:pStyle w:val="TableParagraph"/>
              <w:spacing w:before="46"/>
              <w:ind w:right="146"/>
              <w:jc w:val="right"/>
              <w:rPr>
                <w:sz w:val="16"/>
              </w:rPr>
            </w:pPr>
            <w:r>
              <w:rPr>
                <w:spacing w:val="-4"/>
                <w:sz w:val="16"/>
              </w:rPr>
              <w:t>21.8</w:t>
            </w:r>
          </w:p>
        </w:tc>
        <w:tc>
          <w:tcPr>
            <w:tcW w:w="694" w:type="dxa"/>
            <w:tcBorders>
              <w:top w:val="single" w:color="DCDDDE" w:sz="4" w:space="0"/>
              <w:bottom w:val="single" w:color="DCDDDE" w:sz="4" w:space="0"/>
            </w:tcBorders>
          </w:tcPr>
          <w:p w:rsidR="00C31389" w:rsidRDefault="00561FBD" w14:paraId="05B0846B" w14:textId="77777777">
            <w:pPr>
              <w:pStyle w:val="TableParagraph"/>
              <w:spacing w:before="46"/>
              <w:ind w:left="156" w:right="32"/>
              <w:jc w:val="center"/>
              <w:rPr>
                <w:sz w:val="16"/>
              </w:rPr>
            </w:pPr>
            <w:r>
              <w:rPr>
                <w:spacing w:val="-2"/>
                <w:sz w:val="16"/>
              </w:rPr>
              <w:t>-</w:t>
            </w:r>
            <w:r>
              <w:rPr>
                <w:spacing w:val="-5"/>
                <w:sz w:val="16"/>
              </w:rPr>
              <w:t>4.1</w:t>
            </w:r>
          </w:p>
        </w:tc>
        <w:tc>
          <w:tcPr>
            <w:tcW w:w="695" w:type="dxa"/>
            <w:tcBorders>
              <w:top w:val="single" w:color="DCDDDE" w:sz="4" w:space="0"/>
              <w:bottom w:val="single" w:color="DCDDDE" w:sz="4" w:space="0"/>
            </w:tcBorders>
          </w:tcPr>
          <w:p w:rsidR="00C31389" w:rsidRDefault="00561FBD" w14:paraId="5FD4A33C" w14:textId="77777777">
            <w:pPr>
              <w:pStyle w:val="TableParagraph"/>
              <w:spacing w:before="46"/>
              <w:ind w:right="146"/>
              <w:jc w:val="right"/>
              <w:rPr>
                <w:sz w:val="16"/>
              </w:rPr>
            </w:pPr>
            <w:r>
              <w:rPr>
                <w:spacing w:val="-2"/>
                <w:sz w:val="16"/>
              </w:rPr>
              <w:t>-</w:t>
            </w:r>
            <w:r>
              <w:rPr>
                <w:spacing w:val="-5"/>
                <w:sz w:val="16"/>
              </w:rPr>
              <w:t>4.3</w:t>
            </w:r>
          </w:p>
        </w:tc>
        <w:tc>
          <w:tcPr>
            <w:tcW w:w="655" w:type="dxa"/>
            <w:tcBorders>
              <w:top w:val="single" w:color="DCDDDE" w:sz="4" w:space="0"/>
              <w:bottom w:val="single" w:color="DCDDDE" w:sz="4" w:space="0"/>
            </w:tcBorders>
          </w:tcPr>
          <w:p w:rsidR="00C31389" w:rsidRDefault="00561FBD" w14:paraId="7B870EA2" w14:textId="77777777">
            <w:pPr>
              <w:pStyle w:val="TableParagraph"/>
              <w:spacing w:before="46"/>
              <w:ind w:right="105"/>
              <w:jc w:val="right"/>
              <w:rPr>
                <w:sz w:val="16"/>
              </w:rPr>
            </w:pPr>
            <w:r>
              <w:rPr>
                <w:spacing w:val="-2"/>
                <w:sz w:val="16"/>
              </w:rPr>
              <w:t>-</w:t>
            </w:r>
            <w:r>
              <w:rPr>
                <w:spacing w:val="-5"/>
                <w:sz w:val="16"/>
              </w:rPr>
              <w:t>4.6</w:t>
            </w:r>
          </w:p>
        </w:tc>
      </w:tr>
      <w:tr w:rsidR="00C31389" w14:paraId="50A88A79" w14:textId="77777777">
        <w:trPr>
          <w:trHeight w:val="275"/>
        </w:trPr>
        <w:tc>
          <w:tcPr>
            <w:tcW w:w="1033" w:type="dxa"/>
            <w:tcBorders>
              <w:top w:val="single" w:color="DCDDDE" w:sz="4" w:space="0"/>
              <w:bottom w:val="single" w:color="DCDDDE" w:sz="4" w:space="0"/>
            </w:tcBorders>
          </w:tcPr>
          <w:p w:rsidR="00C31389" w:rsidRDefault="00561FBD" w14:paraId="234A6202" w14:textId="77777777">
            <w:pPr>
              <w:pStyle w:val="TableParagraph"/>
              <w:ind w:left="122"/>
              <w:rPr>
                <w:sz w:val="17"/>
              </w:rPr>
            </w:pPr>
            <w:r>
              <w:rPr>
                <w:spacing w:val="-4"/>
                <w:sz w:val="17"/>
              </w:rPr>
              <w:t>BROs</w:t>
            </w:r>
          </w:p>
        </w:tc>
        <w:tc>
          <w:tcPr>
            <w:tcW w:w="715" w:type="dxa"/>
            <w:tcBorders>
              <w:top w:val="single" w:color="DCDDDE" w:sz="4" w:space="0"/>
              <w:bottom w:val="single" w:color="DCDDDE" w:sz="4" w:space="0"/>
            </w:tcBorders>
          </w:tcPr>
          <w:p w:rsidR="00C31389" w:rsidRDefault="00561FBD" w14:paraId="779E9C86" w14:textId="77777777">
            <w:pPr>
              <w:pStyle w:val="TableParagraph"/>
              <w:spacing w:before="46"/>
              <w:ind w:right="119"/>
              <w:jc w:val="right"/>
              <w:rPr>
                <w:sz w:val="16"/>
              </w:rPr>
            </w:pPr>
            <w:r>
              <w:rPr>
                <w:spacing w:val="-2"/>
                <w:sz w:val="16"/>
              </w:rPr>
              <w:t>218.1</w:t>
            </w:r>
          </w:p>
        </w:tc>
        <w:tc>
          <w:tcPr>
            <w:tcW w:w="703" w:type="dxa"/>
            <w:tcBorders>
              <w:top w:val="single" w:color="DCDDDE" w:sz="4" w:space="0"/>
              <w:bottom w:val="single" w:color="DCDDDE" w:sz="4" w:space="0"/>
            </w:tcBorders>
          </w:tcPr>
          <w:p w:rsidR="00C31389" w:rsidRDefault="00561FBD" w14:paraId="1AE7AA8E" w14:textId="77777777">
            <w:pPr>
              <w:pStyle w:val="TableParagraph"/>
              <w:spacing w:before="46"/>
              <w:ind w:right="112"/>
              <w:jc w:val="right"/>
              <w:rPr>
                <w:sz w:val="16"/>
              </w:rPr>
            </w:pPr>
            <w:r>
              <w:rPr>
                <w:spacing w:val="-2"/>
                <w:sz w:val="16"/>
              </w:rPr>
              <w:t>230.6</w:t>
            </w:r>
          </w:p>
        </w:tc>
        <w:tc>
          <w:tcPr>
            <w:tcW w:w="687" w:type="dxa"/>
            <w:tcBorders>
              <w:top w:val="single" w:color="DCDDDE" w:sz="4" w:space="0"/>
              <w:bottom w:val="single" w:color="DCDDDE" w:sz="4" w:space="0"/>
            </w:tcBorders>
          </w:tcPr>
          <w:p w:rsidR="00C31389" w:rsidRDefault="00561FBD" w14:paraId="4486D663" w14:textId="77777777">
            <w:pPr>
              <w:pStyle w:val="TableParagraph"/>
              <w:spacing w:before="46"/>
              <w:ind w:right="119"/>
              <w:jc w:val="right"/>
              <w:rPr>
                <w:sz w:val="16"/>
              </w:rPr>
            </w:pPr>
            <w:r>
              <w:rPr>
                <w:spacing w:val="-2"/>
                <w:sz w:val="16"/>
              </w:rPr>
              <w:t>243.1</w:t>
            </w:r>
          </w:p>
        </w:tc>
        <w:tc>
          <w:tcPr>
            <w:tcW w:w="694" w:type="dxa"/>
            <w:tcBorders>
              <w:top w:val="single" w:color="DCDDDE" w:sz="4" w:space="0"/>
              <w:bottom w:val="single" w:color="DCDDDE" w:sz="4" w:space="0"/>
            </w:tcBorders>
          </w:tcPr>
          <w:p w:rsidR="00C31389" w:rsidRDefault="00561FBD" w14:paraId="03DB74C7" w14:textId="77777777">
            <w:pPr>
              <w:pStyle w:val="TableParagraph"/>
              <w:spacing w:before="46"/>
              <w:ind w:right="119"/>
              <w:jc w:val="right"/>
              <w:rPr>
                <w:sz w:val="16"/>
              </w:rPr>
            </w:pPr>
            <w:r>
              <w:rPr>
                <w:spacing w:val="-2"/>
                <w:sz w:val="16"/>
              </w:rPr>
              <w:t>254.0</w:t>
            </w:r>
          </w:p>
        </w:tc>
        <w:tc>
          <w:tcPr>
            <w:tcW w:w="694" w:type="dxa"/>
            <w:tcBorders>
              <w:top w:val="single" w:color="DCDDDE" w:sz="4" w:space="0"/>
              <w:bottom w:val="single" w:color="DCDDDE" w:sz="4" w:space="0"/>
            </w:tcBorders>
          </w:tcPr>
          <w:p w:rsidR="00C31389" w:rsidRDefault="00561FBD" w14:paraId="151B9D7C" w14:textId="77777777">
            <w:pPr>
              <w:pStyle w:val="TableParagraph"/>
              <w:spacing w:before="46"/>
              <w:ind w:left="156" w:right="104"/>
              <w:jc w:val="center"/>
              <w:rPr>
                <w:sz w:val="16"/>
              </w:rPr>
            </w:pPr>
            <w:r>
              <w:rPr>
                <w:spacing w:val="-2"/>
                <w:sz w:val="16"/>
              </w:rPr>
              <w:t>264.8</w:t>
            </w:r>
          </w:p>
        </w:tc>
        <w:tc>
          <w:tcPr>
            <w:tcW w:w="720" w:type="dxa"/>
            <w:tcBorders>
              <w:top w:val="single" w:color="DCDDDE" w:sz="4" w:space="0"/>
              <w:bottom w:val="single" w:color="DCDDDE" w:sz="4" w:space="0"/>
            </w:tcBorders>
          </w:tcPr>
          <w:p w:rsidR="00C31389" w:rsidRDefault="00561FBD" w14:paraId="5F755172" w14:textId="77777777">
            <w:pPr>
              <w:pStyle w:val="TableParagraph"/>
              <w:spacing w:before="46"/>
              <w:ind w:right="145"/>
              <w:jc w:val="right"/>
              <w:rPr>
                <w:sz w:val="16"/>
              </w:rPr>
            </w:pPr>
            <w:r>
              <w:rPr>
                <w:spacing w:val="-2"/>
                <w:sz w:val="16"/>
              </w:rPr>
              <w:t>276.3</w:t>
            </w:r>
          </w:p>
        </w:tc>
        <w:tc>
          <w:tcPr>
            <w:tcW w:w="695" w:type="dxa"/>
            <w:tcBorders>
              <w:top w:val="single" w:color="DCDDDE" w:sz="4" w:space="0"/>
              <w:bottom w:val="single" w:color="DCDDDE" w:sz="4" w:space="0"/>
            </w:tcBorders>
          </w:tcPr>
          <w:p w:rsidR="00C31389" w:rsidRDefault="00561FBD" w14:paraId="32C2737B" w14:textId="77777777">
            <w:pPr>
              <w:pStyle w:val="TableParagraph"/>
              <w:spacing w:before="46"/>
              <w:ind w:left="132" w:right="132"/>
              <w:jc w:val="center"/>
              <w:rPr>
                <w:sz w:val="16"/>
              </w:rPr>
            </w:pPr>
            <w:r>
              <w:rPr>
                <w:spacing w:val="-2"/>
                <w:sz w:val="16"/>
              </w:rPr>
              <w:t>289.0</w:t>
            </w:r>
          </w:p>
        </w:tc>
        <w:tc>
          <w:tcPr>
            <w:tcW w:w="695" w:type="dxa"/>
            <w:tcBorders>
              <w:top w:val="single" w:color="DCDDDE" w:sz="4" w:space="0"/>
              <w:bottom w:val="single" w:color="DCDDDE" w:sz="4" w:space="0"/>
            </w:tcBorders>
          </w:tcPr>
          <w:p w:rsidR="00C31389" w:rsidRDefault="00561FBD" w14:paraId="68D51331" w14:textId="77777777">
            <w:pPr>
              <w:pStyle w:val="TableParagraph"/>
              <w:spacing w:before="46"/>
              <w:ind w:right="145"/>
              <w:jc w:val="right"/>
              <w:rPr>
                <w:sz w:val="16"/>
              </w:rPr>
            </w:pPr>
            <w:r>
              <w:rPr>
                <w:spacing w:val="-2"/>
                <w:sz w:val="16"/>
              </w:rPr>
              <w:t>302.0</w:t>
            </w:r>
          </w:p>
        </w:tc>
        <w:tc>
          <w:tcPr>
            <w:tcW w:w="694" w:type="dxa"/>
            <w:tcBorders>
              <w:top w:val="single" w:color="DCDDDE" w:sz="4" w:space="0"/>
              <w:bottom w:val="single" w:color="DCDDDE" w:sz="4" w:space="0"/>
            </w:tcBorders>
          </w:tcPr>
          <w:p w:rsidR="00C31389" w:rsidRDefault="00561FBD" w14:paraId="514E3304" w14:textId="77777777">
            <w:pPr>
              <w:pStyle w:val="TableParagraph"/>
              <w:spacing w:before="46"/>
              <w:ind w:right="146"/>
              <w:jc w:val="right"/>
              <w:rPr>
                <w:sz w:val="16"/>
              </w:rPr>
            </w:pPr>
            <w:r>
              <w:rPr>
                <w:spacing w:val="-2"/>
                <w:sz w:val="16"/>
              </w:rPr>
              <w:t>315.5</w:t>
            </w:r>
          </w:p>
        </w:tc>
        <w:tc>
          <w:tcPr>
            <w:tcW w:w="694" w:type="dxa"/>
            <w:tcBorders>
              <w:top w:val="single" w:color="DCDDDE" w:sz="4" w:space="0"/>
              <w:bottom w:val="single" w:color="DCDDDE" w:sz="4" w:space="0"/>
            </w:tcBorders>
          </w:tcPr>
          <w:p w:rsidR="00C31389" w:rsidRDefault="00561FBD" w14:paraId="4007EFBA" w14:textId="77777777">
            <w:pPr>
              <w:pStyle w:val="TableParagraph"/>
              <w:spacing w:before="46"/>
              <w:ind w:left="105" w:right="105"/>
              <w:jc w:val="center"/>
              <w:rPr>
                <w:sz w:val="16"/>
              </w:rPr>
            </w:pPr>
            <w:r>
              <w:rPr>
                <w:spacing w:val="-2"/>
                <w:sz w:val="16"/>
              </w:rPr>
              <w:t>333.5</w:t>
            </w:r>
          </w:p>
        </w:tc>
        <w:tc>
          <w:tcPr>
            <w:tcW w:w="695" w:type="dxa"/>
            <w:tcBorders>
              <w:top w:val="single" w:color="DCDDDE" w:sz="4" w:space="0"/>
              <w:bottom w:val="single" w:color="DCDDDE" w:sz="4" w:space="0"/>
            </w:tcBorders>
          </w:tcPr>
          <w:p w:rsidR="00C31389" w:rsidRDefault="00561FBD" w14:paraId="0B849328" w14:textId="77777777">
            <w:pPr>
              <w:pStyle w:val="TableParagraph"/>
              <w:spacing w:before="46"/>
              <w:ind w:right="146"/>
              <w:jc w:val="right"/>
              <w:rPr>
                <w:sz w:val="16"/>
              </w:rPr>
            </w:pPr>
            <w:r>
              <w:rPr>
                <w:spacing w:val="-2"/>
                <w:sz w:val="16"/>
              </w:rPr>
              <w:t>337.7</w:t>
            </w:r>
          </w:p>
        </w:tc>
        <w:tc>
          <w:tcPr>
            <w:tcW w:w="655" w:type="dxa"/>
            <w:tcBorders>
              <w:top w:val="single" w:color="DCDDDE" w:sz="4" w:space="0"/>
              <w:bottom w:val="single" w:color="DCDDDE" w:sz="4" w:space="0"/>
            </w:tcBorders>
          </w:tcPr>
          <w:p w:rsidR="00C31389" w:rsidRDefault="00561FBD" w14:paraId="780E1E2D" w14:textId="77777777">
            <w:pPr>
              <w:pStyle w:val="TableParagraph"/>
              <w:spacing w:before="46"/>
              <w:ind w:right="105"/>
              <w:jc w:val="right"/>
              <w:rPr>
                <w:sz w:val="16"/>
              </w:rPr>
            </w:pPr>
            <w:r>
              <w:rPr>
                <w:spacing w:val="-2"/>
                <w:sz w:val="16"/>
              </w:rPr>
              <w:t>355.3</w:t>
            </w:r>
          </w:p>
        </w:tc>
      </w:tr>
      <w:tr w:rsidR="00C31389" w14:paraId="4A37C680"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6CD533F9"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1853DD67" w14:textId="77777777">
        <w:trPr>
          <w:trHeight w:val="275"/>
        </w:trPr>
        <w:tc>
          <w:tcPr>
            <w:tcW w:w="1033" w:type="dxa"/>
            <w:tcBorders>
              <w:top w:val="single" w:color="DCDDDE" w:sz="4" w:space="0"/>
              <w:bottom w:val="single" w:color="DCDDDE" w:sz="4" w:space="0"/>
            </w:tcBorders>
          </w:tcPr>
          <w:p w:rsidR="00C31389" w:rsidRDefault="00561FBD" w14:paraId="58C6FDD5" w14:textId="77777777">
            <w:pPr>
              <w:pStyle w:val="TableParagraph"/>
              <w:ind w:left="122"/>
              <w:rPr>
                <w:sz w:val="17"/>
              </w:rPr>
            </w:pPr>
            <w:r>
              <w:rPr>
                <w:spacing w:val="-5"/>
                <w:sz w:val="17"/>
              </w:rPr>
              <w:t>EE</w:t>
            </w:r>
          </w:p>
        </w:tc>
        <w:tc>
          <w:tcPr>
            <w:tcW w:w="715" w:type="dxa"/>
            <w:tcBorders>
              <w:top w:val="single" w:color="DCDDDE" w:sz="4" w:space="0"/>
              <w:bottom w:val="single" w:color="DCDDDE" w:sz="4" w:space="0"/>
            </w:tcBorders>
          </w:tcPr>
          <w:p w:rsidR="00C31389" w:rsidRDefault="00561FBD" w14:paraId="6504AC58" w14:textId="77777777">
            <w:pPr>
              <w:pStyle w:val="TableParagraph"/>
              <w:spacing w:before="46"/>
              <w:ind w:right="119"/>
              <w:jc w:val="right"/>
              <w:rPr>
                <w:sz w:val="16"/>
              </w:rPr>
            </w:pPr>
            <w:r>
              <w:rPr>
                <w:spacing w:val="-4"/>
                <w:sz w:val="16"/>
              </w:rPr>
              <w:t>61.4</w:t>
            </w:r>
          </w:p>
        </w:tc>
        <w:tc>
          <w:tcPr>
            <w:tcW w:w="703" w:type="dxa"/>
            <w:tcBorders>
              <w:top w:val="single" w:color="DCDDDE" w:sz="4" w:space="0"/>
              <w:bottom w:val="single" w:color="DCDDDE" w:sz="4" w:space="0"/>
            </w:tcBorders>
          </w:tcPr>
          <w:p w:rsidR="00C31389" w:rsidRDefault="00561FBD" w14:paraId="7F548F3F" w14:textId="77777777">
            <w:pPr>
              <w:pStyle w:val="TableParagraph"/>
              <w:spacing w:before="46"/>
              <w:ind w:right="112"/>
              <w:jc w:val="right"/>
              <w:rPr>
                <w:sz w:val="16"/>
              </w:rPr>
            </w:pPr>
            <w:r>
              <w:rPr>
                <w:spacing w:val="-4"/>
                <w:sz w:val="16"/>
              </w:rPr>
              <w:t>61.7</w:t>
            </w:r>
          </w:p>
        </w:tc>
        <w:tc>
          <w:tcPr>
            <w:tcW w:w="687" w:type="dxa"/>
            <w:tcBorders>
              <w:top w:val="single" w:color="DCDDDE" w:sz="4" w:space="0"/>
              <w:bottom w:val="single" w:color="DCDDDE" w:sz="4" w:space="0"/>
            </w:tcBorders>
          </w:tcPr>
          <w:p w:rsidR="00C31389" w:rsidRDefault="00561FBD" w14:paraId="6A085793" w14:textId="77777777">
            <w:pPr>
              <w:pStyle w:val="TableParagraph"/>
              <w:spacing w:before="46"/>
              <w:ind w:right="119"/>
              <w:jc w:val="right"/>
              <w:rPr>
                <w:sz w:val="16"/>
              </w:rPr>
            </w:pPr>
            <w:r>
              <w:rPr>
                <w:spacing w:val="-4"/>
                <w:sz w:val="16"/>
              </w:rPr>
              <w:t>62.3</w:t>
            </w:r>
          </w:p>
        </w:tc>
        <w:tc>
          <w:tcPr>
            <w:tcW w:w="694" w:type="dxa"/>
            <w:tcBorders>
              <w:top w:val="single" w:color="DCDDDE" w:sz="4" w:space="0"/>
              <w:bottom w:val="single" w:color="DCDDDE" w:sz="4" w:space="0"/>
            </w:tcBorders>
          </w:tcPr>
          <w:p w:rsidR="00C31389" w:rsidRDefault="00561FBD" w14:paraId="5D148DA0" w14:textId="77777777">
            <w:pPr>
              <w:pStyle w:val="TableParagraph"/>
              <w:spacing w:before="46"/>
              <w:ind w:right="119"/>
              <w:jc w:val="right"/>
              <w:rPr>
                <w:sz w:val="16"/>
              </w:rPr>
            </w:pPr>
            <w:r>
              <w:rPr>
                <w:spacing w:val="-4"/>
                <w:sz w:val="16"/>
              </w:rPr>
              <w:t>61.5</w:t>
            </w:r>
          </w:p>
        </w:tc>
        <w:tc>
          <w:tcPr>
            <w:tcW w:w="694" w:type="dxa"/>
            <w:tcBorders>
              <w:top w:val="single" w:color="DCDDDE" w:sz="4" w:space="0"/>
              <w:bottom w:val="single" w:color="DCDDDE" w:sz="4" w:space="0"/>
            </w:tcBorders>
          </w:tcPr>
          <w:p w:rsidR="00C31389" w:rsidRDefault="00561FBD" w14:paraId="788A0A30" w14:textId="77777777">
            <w:pPr>
              <w:pStyle w:val="TableParagraph"/>
              <w:spacing w:before="46"/>
              <w:ind w:left="156" w:right="15"/>
              <w:jc w:val="center"/>
              <w:rPr>
                <w:sz w:val="16"/>
              </w:rPr>
            </w:pPr>
            <w:r>
              <w:rPr>
                <w:spacing w:val="-4"/>
                <w:sz w:val="16"/>
              </w:rPr>
              <w:t>61.3</w:t>
            </w:r>
          </w:p>
        </w:tc>
        <w:tc>
          <w:tcPr>
            <w:tcW w:w="720" w:type="dxa"/>
            <w:tcBorders>
              <w:top w:val="single" w:color="DCDDDE" w:sz="4" w:space="0"/>
              <w:bottom w:val="single" w:color="DCDDDE" w:sz="4" w:space="0"/>
            </w:tcBorders>
          </w:tcPr>
          <w:p w:rsidR="00C31389" w:rsidRDefault="00561FBD" w14:paraId="62B5D630" w14:textId="77777777">
            <w:pPr>
              <w:pStyle w:val="TableParagraph"/>
              <w:spacing w:before="46"/>
              <w:ind w:right="145"/>
              <w:jc w:val="right"/>
              <w:rPr>
                <w:sz w:val="16"/>
              </w:rPr>
            </w:pPr>
            <w:r>
              <w:rPr>
                <w:spacing w:val="-4"/>
                <w:sz w:val="16"/>
              </w:rPr>
              <w:t>59.0</w:t>
            </w:r>
          </w:p>
        </w:tc>
        <w:tc>
          <w:tcPr>
            <w:tcW w:w="695" w:type="dxa"/>
            <w:tcBorders>
              <w:top w:val="single" w:color="DCDDDE" w:sz="4" w:space="0"/>
              <w:bottom w:val="single" w:color="DCDDDE" w:sz="4" w:space="0"/>
            </w:tcBorders>
          </w:tcPr>
          <w:p w:rsidR="00C31389" w:rsidRDefault="00561FBD" w14:paraId="74E6C7ED" w14:textId="77777777">
            <w:pPr>
              <w:pStyle w:val="TableParagraph"/>
              <w:spacing w:before="46"/>
              <w:ind w:left="132" w:right="46"/>
              <w:jc w:val="center"/>
              <w:rPr>
                <w:sz w:val="16"/>
              </w:rPr>
            </w:pPr>
            <w:r>
              <w:rPr>
                <w:spacing w:val="-4"/>
                <w:sz w:val="16"/>
              </w:rPr>
              <w:t>60.5</w:t>
            </w:r>
          </w:p>
        </w:tc>
        <w:tc>
          <w:tcPr>
            <w:tcW w:w="695" w:type="dxa"/>
            <w:tcBorders>
              <w:top w:val="single" w:color="DCDDDE" w:sz="4" w:space="0"/>
              <w:bottom w:val="single" w:color="DCDDDE" w:sz="4" w:space="0"/>
            </w:tcBorders>
          </w:tcPr>
          <w:p w:rsidR="00C31389" w:rsidRDefault="00561FBD" w14:paraId="5490BCCB" w14:textId="77777777">
            <w:pPr>
              <w:pStyle w:val="TableParagraph"/>
              <w:spacing w:before="46"/>
              <w:ind w:right="145"/>
              <w:jc w:val="right"/>
              <w:rPr>
                <w:sz w:val="16"/>
              </w:rPr>
            </w:pPr>
            <w:r>
              <w:rPr>
                <w:spacing w:val="-4"/>
                <w:sz w:val="16"/>
              </w:rPr>
              <w:t>59.2</w:t>
            </w:r>
          </w:p>
        </w:tc>
        <w:tc>
          <w:tcPr>
            <w:tcW w:w="694" w:type="dxa"/>
            <w:tcBorders>
              <w:top w:val="single" w:color="DCDDDE" w:sz="4" w:space="0"/>
              <w:bottom w:val="single" w:color="DCDDDE" w:sz="4" w:space="0"/>
            </w:tcBorders>
          </w:tcPr>
          <w:p w:rsidR="00C31389" w:rsidRDefault="00561FBD" w14:paraId="4FA78E96" w14:textId="77777777">
            <w:pPr>
              <w:pStyle w:val="TableParagraph"/>
              <w:spacing w:before="46"/>
              <w:ind w:right="146"/>
              <w:jc w:val="right"/>
              <w:rPr>
                <w:sz w:val="16"/>
              </w:rPr>
            </w:pPr>
            <w:r>
              <w:rPr>
                <w:spacing w:val="-4"/>
                <w:sz w:val="16"/>
              </w:rPr>
              <w:t>57.4</w:t>
            </w:r>
          </w:p>
        </w:tc>
        <w:tc>
          <w:tcPr>
            <w:tcW w:w="694" w:type="dxa"/>
            <w:tcBorders>
              <w:top w:val="single" w:color="DCDDDE" w:sz="4" w:space="0"/>
              <w:bottom w:val="single" w:color="DCDDDE" w:sz="4" w:space="0"/>
            </w:tcBorders>
          </w:tcPr>
          <w:p w:rsidR="00C31389" w:rsidRDefault="00561FBD" w14:paraId="6A15FE56" w14:textId="77777777">
            <w:pPr>
              <w:pStyle w:val="TableParagraph"/>
              <w:spacing w:before="46"/>
              <w:ind w:left="156" w:right="68"/>
              <w:jc w:val="center"/>
              <w:rPr>
                <w:sz w:val="16"/>
              </w:rPr>
            </w:pPr>
            <w:r>
              <w:rPr>
                <w:spacing w:val="-4"/>
                <w:sz w:val="16"/>
              </w:rPr>
              <w:t>53.7</w:t>
            </w:r>
          </w:p>
        </w:tc>
        <w:tc>
          <w:tcPr>
            <w:tcW w:w="695" w:type="dxa"/>
            <w:tcBorders>
              <w:top w:val="single" w:color="DCDDDE" w:sz="4" w:space="0"/>
              <w:bottom w:val="single" w:color="DCDDDE" w:sz="4" w:space="0"/>
            </w:tcBorders>
          </w:tcPr>
          <w:p w:rsidR="00C31389" w:rsidRDefault="00561FBD" w14:paraId="68CB0E05" w14:textId="77777777">
            <w:pPr>
              <w:pStyle w:val="TableParagraph"/>
              <w:spacing w:before="46"/>
              <w:ind w:right="146"/>
              <w:jc w:val="right"/>
              <w:rPr>
                <w:sz w:val="16"/>
              </w:rPr>
            </w:pPr>
            <w:r>
              <w:rPr>
                <w:spacing w:val="-4"/>
                <w:sz w:val="16"/>
              </w:rPr>
              <w:t>53.1</w:t>
            </w:r>
          </w:p>
        </w:tc>
        <w:tc>
          <w:tcPr>
            <w:tcW w:w="655" w:type="dxa"/>
            <w:tcBorders>
              <w:top w:val="single" w:color="DCDDDE" w:sz="4" w:space="0"/>
              <w:bottom w:val="single" w:color="DCDDDE" w:sz="4" w:space="0"/>
            </w:tcBorders>
          </w:tcPr>
          <w:p w:rsidR="00C31389" w:rsidRDefault="00561FBD" w14:paraId="50E5BB6B" w14:textId="77777777">
            <w:pPr>
              <w:pStyle w:val="TableParagraph"/>
              <w:spacing w:before="46"/>
              <w:ind w:right="105"/>
              <w:jc w:val="right"/>
              <w:rPr>
                <w:sz w:val="16"/>
              </w:rPr>
            </w:pPr>
            <w:r>
              <w:rPr>
                <w:spacing w:val="-4"/>
                <w:sz w:val="16"/>
              </w:rPr>
              <w:t>53.2</w:t>
            </w:r>
          </w:p>
        </w:tc>
      </w:tr>
      <w:tr w:rsidR="00C31389" w14:paraId="4457045E" w14:textId="77777777">
        <w:trPr>
          <w:trHeight w:val="275"/>
        </w:trPr>
        <w:tc>
          <w:tcPr>
            <w:tcW w:w="1033" w:type="dxa"/>
            <w:tcBorders>
              <w:top w:val="single" w:color="DCDDDE" w:sz="4" w:space="0"/>
              <w:bottom w:val="single" w:color="DCDDDE" w:sz="4" w:space="0"/>
            </w:tcBorders>
          </w:tcPr>
          <w:p w:rsidR="00C31389" w:rsidRDefault="00561FBD" w14:paraId="6461709D" w14:textId="77777777">
            <w:pPr>
              <w:pStyle w:val="TableParagraph"/>
              <w:ind w:left="122"/>
              <w:rPr>
                <w:sz w:val="17"/>
              </w:rPr>
            </w:pPr>
            <w:r>
              <w:rPr>
                <w:spacing w:val="-5"/>
                <w:sz w:val="17"/>
              </w:rPr>
              <w:t>FS</w:t>
            </w:r>
          </w:p>
        </w:tc>
        <w:tc>
          <w:tcPr>
            <w:tcW w:w="715" w:type="dxa"/>
            <w:tcBorders>
              <w:top w:val="single" w:color="DCDDDE" w:sz="4" w:space="0"/>
              <w:bottom w:val="single" w:color="DCDDDE" w:sz="4" w:space="0"/>
            </w:tcBorders>
          </w:tcPr>
          <w:p w:rsidR="00C31389" w:rsidRDefault="00561FBD" w14:paraId="092A19B8" w14:textId="77777777">
            <w:pPr>
              <w:pStyle w:val="TableParagraph"/>
              <w:spacing w:before="46"/>
              <w:ind w:right="119"/>
              <w:jc w:val="right"/>
              <w:rPr>
                <w:sz w:val="16"/>
              </w:rPr>
            </w:pPr>
            <w:r>
              <w:rPr>
                <w:spacing w:val="-2"/>
                <w:sz w:val="16"/>
              </w:rPr>
              <w:t>-</w:t>
            </w:r>
            <w:r>
              <w:rPr>
                <w:spacing w:val="-4"/>
                <w:sz w:val="16"/>
              </w:rPr>
              <w:t>12.3</w:t>
            </w:r>
          </w:p>
        </w:tc>
        <w:tc>
          <w:tcPr>
            <w:tcW w:w="703" w:type="dxa"/>
            <w:tcBorders>
              <w:top w:val="single" w:color="DCDDDE" w:sz="4" w:space="0"/>
              <w:bottom w:val="single" w:color="DCDDDE" w:sz="4" w:space="0"/>
            </w:tcBorders>
          </w:tcPr>
          <w:p w:rsidR="00C31389" w:rsidRDefault="00561FBD" w14:paraId="2F2963CA" w14:textId="77777777">
            <w:pPr>
              <w:pStyle w:val="TableParagraph"/>
              <w:spacing w:before="46"/>
              <w:ind w:right="112"/>
              <w:jc w:val="right"/>
              <w:rPr>
                <w:sz w:val="16"/>
              </w:rPr>
            </w:pPr>
            <w:r>
              <w:rPr>
                <w:spacing w:val="-2"/>
                <w:sz w:val="16"/>
              </w:rPr>
              <w:t>-</w:t>
            </w:r>
            <w:r>
              <w:rPr>
                <w:spacing w:val="-4"/>
                <w:sz w:val="16"/>
              </w:rPr>
              <w:t>13.8</w:t>
            </w:r>
          </w:p>
        </w:tc>
        <w:tc>
          <w:tcPr>
            <w:tcW w:w="687" w:type="dxa"/>
            <w:tcBorders>
              <w:top w:val="single" w:color="DCDDDE" w:sz="4" w:space="0"/>
              <w:bottom w:val="single" w:color="DCDDDE" w:sz="4" w:space="0"/>
            </w:tcBorders>
          </w:tcPr>
          <w:p w:rsidR="00C31389" w:rsidRDefault="00561FBD" w14:paraId="61E5FBD8" w14:textId="77777777">
            <w:pPr>
              <w:pStyle w:val="TableParagraph"/>
              <w:spacing w:before="46"/>
              <w:ind w:right="119"/>
              <w:jc w:val="right"/>
              <w:rPr>
                <w:sz w:val="16"/>
              </w:rPr>
            </w:pPr>
            <w:r>
              <w:rPr>
                <w:spacing w:val="-2"/>
                <w:sz w:val="16"/>
              </w:rPr>
              <w:t>-</w:t>
            </w:r>
            <w:r>
              <w:rPr>
                <w:spacing w:val="-4"/>
                <w:sz w:val="16"/>
              </w:rPr>
              <w:t>14.5</w:t>
            </w:r>
          </w:p>
        </w:tc>
        <w:tc>
          <w:tcPr>
            <w:tcW w:w="694" w:type="dxa"/>
            <w:tcBorders>
              <w:top w:val="single" w:color="DCDDDE" w:sz="4" w:space="0"/>
              <w:bottom w:val="single" w:color="DCDDDE" w:sz="4" w:space="0"/>
            </w:tcBorders>
          </w:tcPr>
          <w:p w:rsidR="00C31389" w:rsidRDefault="00561FBD" w14:paraId="4EFB87E7" w14:textId="77777777">
            <w:pPr>
              <w:pStyle w:val="TableParagraph"/>
              <w:spacing w:before="46"/>
              <w:ind w:right="119"/>
              <w:jc w:val="right"/>
              <w:rPr>
                <w:sz w:val="16"/>
              </w:rPr>
            </w:pPr>
            <w:r>
              <w:rPr>
                <w:spacing w:val="-2"/>
                <w:sz w:val="16"/>
              </w:rPr>
              <w:t>-</w:t>
            </w:r>
            <w:r>
              <w:rPr>
                <w:spacing w:val="-4"/>
                <w:sz w:val="16"/>
              </w:rPr>
              <w:t>15.1</w:t>
            </w:r>
          </w:p>
        </w:tc>
        <w:tc>
          <w:tcPr>
            <w:tcW w:w="694" w:type="dxa"/>
            <w:tcBorders>
              <w:top w:val="single" w:color="DCDDDE" w:sz="4" w:space="0"/>
              <w:bottom w:val="single" w:color="DCDDDE" w:sz="4" w:space="0"/>
            </w:tcBorders>
          </w:tcPr>
          <w:p w:rsidR="00C31389" w:rsidRDefault="00561FBD" w14:paraId="22997B1E" w14:textId="77777777">
            <w:pPr>
              <w:pStyle w:val="TableParagraph"/>
              <w:spacing w:before="46"/>
              <w:ind w:left="156" w:right="68"/>
              <w:jc w:val="center"/>
              <w:rPr>
                <w:sz w:val="16"/>
              </w:rPr>
            </w:pPr>
            <w:r>
              <w:rPr>
                <w:spacing w:val="-2"/>
                <w:sz w:val="16"/>
              </w:rPr>
              <w:t>-</w:t>
            </w:r>
            <w:r>
              <w:rPr>
                <w:spacing w:val="-4"/>
                <w:sz w:val="16"/>
              </w:rPr>
              <w:t>15.0</w:t>
            </w:r>
          </w:p>
        </w:tc>
        <w:tc>
          <w:tcPr>
            <w:tcW w:w="720" w:type="dxa"/>
            <w:tcBorders>
              <w:top w:val="single" w:color="DCDDDE" w:sz="4" w:space="0"/>
              <w:bottom w:val="single" w:color="DCDDDE" w:sz="4" w:space="0"/>
            </w:tcBorders>
          </w:tcPr>
          <w:p w:rsidR="00C31389" w:rsidRDefault="00561FBD" w14:paraId="7514EB56" w14:textId="77777777">
            <w:pPr>
              <w:pStyle w:val="TableParagraph"/>
              <w:spacing w:before="46"/>
              <w:ind w:right="145"/>
              <w:jc w:val="right"/>
              <w:rPr>
                <w:sz w:val="16"/>
              </w:rPr>
            </w:pPr>
            <w:r>
              <w:rPr>
                <w:spacing w:val="-2"/>
                <w:sz w:val="16"/>
              </w:rPr>
              <w:t>-</w:t>
            </w:r>
            <w:r>
              <w:rPr>
                <w:spacing w:val="-4"/>
                <w:sz w:val="16"/>
              </w:rPr>
              <w:t>15.4</w:t>
            </w:r>
          </w:p>
        </w:tc>
        <w:tc>
          <w:tcPr>
            <w:tcW w:w="695" w:type="dxa"/>
            <w:tcBorders>
              <w:top w:val="single" w:color="DCDDDE" w:sz="4" w:space="0"/>
              <w:bottom w:val="single" w:color="DCDDDE" w:sz="4" w:space="0"/>
            </w:tcBorders>
          </w:tcPr>
          <w:p w:rsidR="00C31389" w:rsidRDefault="00561FBD" w14:paraId="3E954059" w14:textId="77777777">
            <w:pPr>
              <w:pStyle w:val="TableParagraph"/>
              <w:spacing w:before="46"/>
              <w:ind w:left="132" w:right="10"/>
              <w:jc w:val="center"/>
              <w:rPr>
                <w:sz w:val="16"/>
              </w:rPr>
            </w:pPr>
            <w:r>
              <w:rPr>
                <w:spacing w:val="-2"/>
                <w:sz w:val="16"/>
              </w:rPr>
              <w:t>-</w:t>
            </w:r>
            <w:r>
              <w:rPr>
                <w:spacing w:val="-5"/>
                <w:sz w:val="16"/>
              </w:rPr>
              <w:t>3.3</w:t>
            </w:r>
          </w:p>
        </w:tc>
        <w:tc>
          <w:tcPr>
            <w:tcW w:w="695" w:type="dxa"/>
            <w:tcBorders>
              <w:top w:val="single" w:color="DCDDDE" w:sz="4" w:space="0"/>
              <w:bottom w:val="single" w:color="DCDDDE" w:sz="4" w:space="0"/>
            </w:tcBorders>
          </w:tcPr>
          <w:p w:rsidR="00C31389" w:rsidRDefault="00561FBD" w14:paraId="7ED264C7" w14:textId="77777777">
            <w:pPr>
              <w:pStyle w:val="TableParagraph"/>
              <w:spacing w:before="46"/>
              <w:ind w:right="145"/>
              <w:jc w:val="right"/>
              <w:rPr>
                <w:sz w:val="16"/>
              </w:rPr>
            </w:pPr>
            <w:r>
              <w:rPr>
                <w:spacing w:val="-2"/>
                <w:sz w:val="16"/>
              </w:rPr>
              <w:t>-</w:t>
            </w:r>
            <w:r>
              <w:rPr>
                <w:spacing w:val="-5"/>
                <w:sz w:val="16"/>
              </w:rPr>
              <w:t>3.5</w:t>
            </w:r>
          </w:p>
        </w:tc>
        <w:tc>
          <w:tcPr>
            <w:tcW w:w="694" w:type="dxa"/>
            <w:tcBorders>
              <w:top w:val="single" w:color="DCDDDE" w:sz="4" w:space="0"/>
              <w:bottom w:val="single" w:color="DCDDDE" w:sz="4" w:space="0"/>
            </w:tcBorders>
          </w:tcPr>
          <w:p w:rsidR="00C31389" w:rsidRDefault="00561FBD" w14:paraId="68712D50" w14:textId="77777777">
            <w:pPr>
              <w:pStyle w:val="TableParagraph"/>
              <w:spacing w:before="46"/>
              <w:ind w:right="146"/>
              <w:jc w:val="right"/>
              <w:rPr>
                <w:sz w:val="16"/>
              </w:rPr>
            </w:pPr>
            <w:r>
              <w:rPr>
                <w:spacing w:val="-2"/>
                <w:sz w:val="16"/>
              </w:rPr>
              <w:t>-</w:t>
            </w:r>
            <w:r>
              <w:rPr>
                <w:spacing w:val="-5"/>
                <w:sz w:val="16"/>
              </w:rPr>
              <w:t>3.7</w:t>
            </w:r>
          </w:p>
        </w:tc>
        <w:tc>
          <w:tcPr>
            <w:tcW w:w="694" w:type="dxa"/>
            <w:tcBorders>
              <w:top w:val="single" w:color="DCDDDE" w:sz="4" w:space="0"/>
              <w:bottom w:val="single" w:color="DCDDDE" w:sz="4" w:space="0"/>
            </w:tcBorders>
          </w:tcPr>
          <w:p w:rsidR="00C31389" w:rsidRDefault="00561FBD" w14:paraId="58E43C30" w14:textId="77777777">
            <w:pPr>
              <w:pStyle w:val="TableParagraph"/>
              <w:spacing w:before="46"/>
              <w:ind w:left="156" w:right="32"/>
              <w:jc w:val="center"/>
              <w:rPr>
                <w:sz w:val="16"/>
              </w:rPr>
            </w:pPr>
            <w:r>
              <w:rPr>
                <w:spacing w:val="-2"/>
                <w:sz w:val="16"/>
              </w:rPr>
              <w:t>-</w:t>
            </w:r>
            <w:r>
              <w:rPr>
                <w:spacing w:val="-5"/>
                <w:sz w:val="16"/>
              </w:rPr>
              <w:t>4.1</w:t>
            </w:r>
          </w:p>
        </w:tc>
        <w:tc>
          <w:tcPr>
            <w:tcW w:w="695" w:type="dxa"/>
            <w:tcBorders>
              <w:top w:val="single" w:color="DCDDDE" w:sz="4" w:space="0"/>
              <w:bottom w:val="single" w:color="DCDDDE" w:sz="4" w:space="0"/>
            </w:tcBorders>
          </w:tcPr>
          <w:p w:rsidR="00C31389" w:rsidRDefault="00561FBD" w14:paraId="46E5ED61" w14:textId="77777777">
            <w:pPr>
              <w:pStyle w:val="TableParagraph"/>
              <w:spacing w:before="46"/>
              <w:ind w:right="146"/>
              <w:jc w:val="right"/>
              <w:rPr>
                <w:sz w:val="16"/>
              </w:rPr>
            </w:pPr>
            <w:r>
              <w:rPr>
                <w:spacing w:val="-2"/>
                <w:sz w:val="16"/>
              </w:rPr>
              <w:t>-</w:t>
            </w:r>
            <w:r>
              <w:rPr>
                <w:spacing w:val="-5"/>
                <w:sz w:val="16"/>
              </w:rPr>
              <w:t>4.3</w:t>
            </w:r>
          </w:p>
        </w:tc>
        <w:tc>
          <w:tcPr>
            <w:tcW w:w="655" w:type="dxa"/>
            <w:tcBorders>
              <w:top w:val="single" w:color="DCDDDE" w:sz="4" w:space="0"/>
              <w:bottom w:val="single" w:color="DCDDDE" w:sz="4" w:space="0"/>
            </w:tcBorders>
          </w:tcPr>
          <w:p w:rsidR="00C31389" w:rsidRDefault="00561FBD" w14:paraId="7DD08A4F" w14:textId="77777777">
            <w:pPr>
              <w:pStyle w:val="TableParagraph"/>
              <w:spacing w:before="46"/>
              <w:ind w:right="105"/>
              <w:jc w:val="right"/>
              <w:rPr>
                <w:sz w:val="16"/>
              </w:rPr>
            </w:pPr>
            <w:r>
              <w:rPr>
                <w:spacing w:val="-2"/>
                <w:sz w:val="16"/>
              </w:rPr>
              <w:t>-</w:t>
            </w:r>
            <w:r>
              <w:rPr>
                <w:spacing w:val="-5"/>
                <w:sz w:val="16"/>
              </w:rPr>
              <w:t>4.6</w:t>
            </w:r>
          </w:p>
        </w:tc>
      </w:tr>
      <w:tr w:rsidR="00C31389" w14:paraId="39954D25" w14:textId="77777777">
        <w:trPr>
          <w:trHeight w:val="274"/>
        </w:trPr>
        <w:tc>
          <w:tcPr>
            <w:tcW w:w="1033" w:type="dxa"/>
            <w:tcBorders>
              <w:top w:val="single" w:color="DCDDDE" w:sz="4" w:space="0"/>
              <w:bottom w:val="single" w:color="DCDDDE" w:sz="4" w:space="0"/>
            </w:tcBorders>
          </w:tcPr>
          <w:p w:rsidR="00C31389" w:rsidRDefault="00561FBD" w14:paraId="594F53CD" w14:textId="77777777">
            <w:pPr>
              <w:pStyle w:val="TableParagraph"/>
              <w:ind w:left="122"/>
              <w:rPr>
                <w:sz w:val="17"/>
              </w:rPr>
            </w:pPr>
            <w:r>
              <w:rPr>
                <w:spacing w:val="-4"/>
                <w:sz w:val="17"/>
              </w:rPr>
              <w:t>BROs</w:t>
            </w:r>
          </w:p>
        </w:tc>
        <w:tc>
          <w:tcPr>
            <w:tcW w:w="715" w:type="dxa"/>
            <w:tcBorders>
              <w:top w:val="single" w:color="DCDDDE" w:sz="4" w:space="0"/>
              <w:bottom w:val="single" w:color="DCDDDE" w:sz="4" w:space="0"/>
            </w:tcBorders>
          </w:tcPr>
          <w:p w:rsidR="00C31389" w:rsidRDefault="00561FBD" w14:paraId="534ECE84" w14:textId="77777777">
            <w:pPr>
              <w:pStyle w:val="TableParagraph"/>
              <w:spacing w:before="46"/>
              <w:ind w:right="119"/>
              <w:jc w:val="right"/>
              <w:rPr>
                <w:sz w:val="16"/>
              </w:rPr>
            </w:pPr>
            <w:r>
              <w:rPr>
                <w:spacing w:val="-2"/>
                <w:sz w:val="16"/>
              </w:rPr>
              <w:t>218.1</w:t>
            </w:r>
          </w:p>
        </w:tc>
        <w:tc>
          <w:tcPr>
            <w:tcW w:w="703" w:type="dxa"/>
            <w:tcBorders>
              <w:top w:val="single" w:color="DCDDDE" w:sz="4" w:space="0"/>
              <w:bottom w:val="single" w:color="DCDDDE" w:sz="4" w:space="0"/>
            </w:tcBorders>
          </w:tcPr>
          <w:p w:rsidR="00C31389" w:rsidRDefault="00561FBD" w14:paraId="11557F23" w14:textId="77777777">
            <w:pPr>
              <w:pStyle w:val="TableParagraph"/>
              <w:spacing w:before="46"/>
              <w:ind w:right="112"/>
              <w:jc w:val="right"/>
              <w:rPr>
                <w:sz w:val="16"/>
              </w:rPr>
            </w:pPr>
            <w:r>
              <w:rPr>
                <w:spacing w:val="-2"/>
                <w:sz w:val="16"/>
              </w:rPr>
              <w:t>230.6</w:t>
            </w:r>
          </w:p>
        </w:tc>
        <w:tc>
          <w:tcPr>
            <w:tcW w:w="687" w:type="dxa"/>
            <w:tcBorders>
              <w:top w:val="single" w:color="DCDDDE" w:sz="4" w:space="0"/>
              <w:bottom w:val="single" w:color="DCDDDE" w:sz="4" w:space="0"/>
            </w:tcBorders>
          </w:tcPr>
          <w:p w:rsidR="00C31389" w:rsidRDefault="00561FBD" w14:paraId="17FB2BBF" w14:textId="77777777">
            <w:pPr>
              <w:pStyle w:val="TableParagraph"/>
              <w:spacing w:before="46"/>
              <w:ind w:right="119"/>
              <w:jc w:val="right"/>
              <w:rPr>
                <w:sz w:val="16"/>
              </w:rPr>
            </w:pPr>
            <w:r>
              <w:rPr>
                <w:spacing w:val="-2"/>
                <w:sz w:val="16"/>
              </w:rPr>
              <w:t>243.1</w:t>
            </w:r>
          </w:p>
        </w:tc>
        <w:tc>
          <w:tcPr>
            <w:tcW w:w="694" w:type="dxa"/>
            <w:tcBorders>
              <w:top w:val="single" w:color="DCDDDE" w:sz="4" w:space="0"/>
              <w:bottom w:val="single" w:color="DCDDDE" w:sz="4" w:space="0"/>
            </w:tcBorders>
          </w:tcPr>
          <w:p w:rsidR="00C31389" w:rsidRDefault="00561FBD" w14:paraId="19CA038C" w14:textId="77777777">
            <w:pPr>
              <w:pStyle w:val="TableParagraph"/>
              <w:spacing w:before="46"/>
              <w:ind w:right="119"/>
              <w:jc w:val="right"/>
              <w:rPr>
                <w:sz w:val="16"/>
              </w:rPr>
            </w:pPr>
            <w:r>
              <w:rPr>
                <w:spacing w:val="-2"/>
                <w:sz w:val="16"/>
              </w:rPr>
              <w:t>254.0</w:t>
            </w:r>
          </w:p>
        </w:tc>
        <w:tc>
          <w:tcPr>
            <w:tcW w:w="694" w:type="dxa"/>
            <w:tcBorders>
              <w:top w:val="single" w:color="DCDDDE" w:sz="4" w:space="0"/>
              <w:bottom w:val="single" w:color="DCDDDE" w:sz="4" w:space="0"/>
            </w:tcBorders>
          </w:tcPr>
          <w:p w:rsidR="00C31389" w:rsidRDefault="00561FBD" w14:paraId="75F6DE6F" w14:textId="77777777">
            <w:pPr>
              <w:pStyle w:val="TableParagraph"/>
              <w:spacing w:before="46"/>
              <w:ind w:left="156" w:right="104"/>
              <w:jc w:val="center"/>
              <w:rPr>
                <w:sz w:val="16"/>
              </w:rPr>
            </w:pPr>
            <w:r>
              <w:rPr>
                <w:spacing w:val="-2"/>
                <w:sz w:val="16"/>
              </w:rPr>
              <w:t>264.8</w:t>
            </w:r>
          </w:p>
        </w:tc>
        <w:tc>
          <w:tcPr>
            <w:tcW w:w="720" w:type="dxa"/>
            <w:tcBorders>
              <w:top w:val="single" w:color="DCDDDE" w:sz="4" w:space="0"/>
              <w:bottom w:val="single" w:color="DCDDDE" w:sz="4" w:space="0"/>
            </w:tcBorders>
          </w:tcPr>
          <w:p w:rsidR="00C31389" w:rsidRDefault="00561FBD" w14:paraId="1AC03A98" w14:textId="77777777">
            <w:pPr>
              <w:pStyle w:val="TableParagraph"/>
              <w:spacing w:before="46"/>
              <w:ind w:right="145"/>
              <w:jc w:val="right"/>
              <w:rPr>
                <w:sz w:val="16"/>
              </w:rPr>
            </w:pPr>
            <w:r>
              <w:rPr>
                <w:spacing w:val="-2"/>
                <w:sz w:val="16"/>
              </w:rPr>
              <w:t>276.3</w:t>
            </w:r>
          </w:p>
        </w:tc>
        <w:tc>
          <w:tcPr>
            <w:tcW w:w="695" w:type="dxa"/>
            <w:tcBorders>
              <w:top w:val="single" w:color="DCDDDE" w:sz="4" w:space="0"/>
              <w:bottom w:val="single" w:color="DCDDDE" w:sz="4" w:space="0"/>
            </w:tcBorders>
          </w:tcPr>
          <w:p w:rsidR="00C31389" w:rsidRDefault="00561FBD" w14:paraId="5B948CD8" w14:textId="77777777">
            <w:pPr>
              <w:pStyle w:val="TableParagraph"/>
              <w:spacing w:before="46"/>
              <w:ind w:left="132" w:right="132"/>
              <w:jc w:val="center"/>
              <w:rPr>
                <w:sz w:val="16"/>
              </w:rPr>
            </w:pPr>
            <w:r>
              <w:rPr>
                <w:spacing w:val="-2"/>
                <w:sz w:val="16"/>
              </w:rPr>
              <w:t>289.0</w:t>
            </w:r>
          </w:p>
        </w:tc>
        <w:tc>
          <w:tcPr>
            <w:tcW w:w="695" w:type="dxa"/>
            <w:tcBorders>
              <w:top w:val="single" w:color="DCDDDE" w:sz="4" w:space="0"/>
              <w:bottom w:val="single" w:color="DCDDDE" w:sz="4" w:space="0"/>
            </w:tcBorders>
          </w:tcPr>
          <w:p w:rsidR="00C31389" w:rsidRDefault="00561FBD" w14:paraId="6CEC1A13" w14:textId="77777777">
            <w:pPr>
              <w:pStyle w:val="TableParagraph"/>
              <w:spacing w:before="46"/>
              <w:ind w:right="145"/>
              <w:jc w:val="right"/>
              <w:rPr>
                <w:sz w:val="16"/>
              </w:rPr>
            </w:pPr>
            <w:r>
              <w:rPr>
                <w:spacing w:val="-2"/>
                <w:sz w:val="16"/>
              </w:rPr>
              <w:t>302.0</w:t>
            </w:r>
          </w:p>
        </w:tc>
        <w:tc>
          <w:tcPr>
            <w:tcW w:w="694" w:type="dxa"/>
            <w:tcBorders>
              <w:top w:val="single" w:color="DCDDDE" w:sz="4" w:space="0"/>
              <w:bottom w:val="single" w:color="DCDDDE" w:sz="4" w:space="0"/>
            </w:tcBorders>
          </w:tcPr>
          <w:p w:rsidR="00C31389" w:rsidRDefault="00561FBD" w14:paraId="38B1426A" w14:textId="77777777">
            <w:pPr>
              <w:pStyle w:val="TableParagraph"/>
              <w:spacing w:before="46"/>
              <w:ind w:right="146"/>
              <w:jc w:val="right"/>
              <w:rPr>
                <w:sz w:val="16"/>
              </w:rPr>
            </w:pPr>
            <w:r>
              <w:rPr>
                <w:spacing w:val="-2"/>
                <w:sz w:val="16"/>
              </w:rPr>
              <w:t>315.5</w:t>
            </w:r>
          </w:p>
        </w:tc>
        <w:tc>
          <w:tcPr>
            <w:tcW w:w="694" w:type="dxa"/>
            <w:tcBorders>
              <w:top w:val="single" w:color="DCDDDE" w:sz="4" w:space="0"/>
              <w:bottom w:val="single" w:color="DCDDDE" w:sz="4" w:space="0"/>
            </w:tcBorders>
          </w:tcPr>
          <w:p w:rsidR="00C31389" w:rsidRDefault="00561FBD" w14:paraId="034DAB90" w14:textId="77777777">
            <w:pPr>
              <w:pStyle w:val="TableParagraph"/>
              <w:spacing w:before="46"/>
              <w:ind w:left="105" w:right="105"/>
              <w:jc w:val="center"/>
              <w:rPr>
                <w:sz w:val="16"/>
              </w:rPr>
            </w:pPr>
            <w:r>
              <w:rPr>
                <w:spacing w:val="-2"/>
                <w:sz w:val="16"/>
              </w:rPr>
              <w:t>333.5</w:t>
            </w:r>
          </w:p>
        </w:tc>
        <w:tc>
          <w:tcPr>
            <w:tcW w:w="695" w:type="dxa"/>
            <w:tcBorders>
              <w:top w:val="single" w:color="DCDDDE" w:sz="4" w:space="0"/>
              <w:bottom w:val="single" w:color="DCDDDE" w:sz="4" w:space="0"/>
            </w:tcBorders>
          </w:tcPr>
          <w:p w:rsidR="00C31389" w:rsidRDefault="00561FBD" w14:paraId="55BB58A0" w14:textId="77777777">
            <w:pPr>
              <w:pStyle w:val="TableParagraph"/>
              <w:spacing w:before="46"/>
              <w:ind w:right="146"/>
              <w:jc w:val="right"/>
              <w:rPr>
                <w:sz w:val="16"/>
              </w:rPr>
            </w:pPr>
            <w:r>
              <w:rPr>
                <w:spacing w:val="-2"/>
                <w:sz w:val="16"/>
              </w:rPr>
              <w:t>337.7</w:t>
            </w:r>
          </w:p>
        </w:tc>
        <w:tc>
          <w:tcPr>
            <w:tcW w:w="655" w:type="dxa"/>
            <w:tcBorders>
              <w:top w:val="single" w:color="DCDDDE" w:sz="4" w:space="0"/>
              <w:bottom w:val="single" w:color="DCDDDE" w:sz="4" w:space="0"/>
            </w:tcBorders>
          </w:tcPr>
          <w:p w:rsidR="00C31389" w:rsidRDefault="00561FBD" w14:paraId="0F43DD81" w14:textId="77777777">
            <w:pPr>
              <w:pStyle w:val="TableParagraph"/>
              <w:spacing w:before="46"/>
              <w:ind w:right="105"/>
              <w:jc w:val="right"/>
              <w:rPr>
                <w:sz w:val="16"/>
              </w:rPr>
            </w:pPr>
            <w:r>
              <w:rPr>
                <w:spacing w:val="-2"/>
                <w:sz w:val="16"/>
              </w:rPr>
              <w:t>355.3</w:t>
            </w:r>
          </w:p>
        </w:tc>
      </w:tr>
      <w:tr w:rsidR="00C31389" w14:paraId="0CA07B4F"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2FBD4F85" w14:textId="77777777">
            <w:pPr>
              <w:pStyle w:val="TableParagraph"/>
              <w:spacing w:before="42"/>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4D1B1701" w14:textId="77777777">
        <w:trPr>
          <w:trHeight w:val="666"/>
        </w:trPr>
        <w:tc>
          <w:tcPr>
            <w:tcW w:w="1033" w:type="dxa"/>
            <w:tcBorders>
              <w:top w:val="single" w:color="DCDDDE" w:sz="4" w:space="0"/>
              <w:bottom w:val="single" w:color="DCDDDE" w:sz="4" w:space="0"/>
            </w:tcBorders>
          </w:tcPr>
          <w:p w:rsidR="00C31389" w:rsidRDefault="00561FBD" w14:paraId="03A73EF3" w14:textId="77777777">
            <w:pPr>
              <w:pStyle w:val="TableParagraph"/>
              <w:ind w:left="122" w:right="10"/>
              <w:rPr>
                <w:sz w:val="17"/>
              </w:rPr>
            </w:pPr>
            <w:r>
              <w:rPr>
                <w:spacing w:val="-6"/>
                <w:sz w:val="17"/>
              </w:rPr>
              <w:t xml:space="preserve">w/ </w:t>
            </w:r>
            <w:r>
              <w:rPr>
                <w:spacing w:val="-2"/>
                <w:sz w:val="17"/>
              </w:rPr>
              <w:t>Interactive Effects</w:t>
            </w:r>
          </w:p>
        </w:tc>
        <w:tc>
          <w:tcPr>
            <w:tcW w:w="715" w:type="dxa"/>
            <w:tcBorders>
              <w:top w:val="single" w:color="DCDDDE" w:sz="4" w:space="0"/>
              <w:bottom w:val="single" w:color="DCDDDE" w:sz="4" w:space="0"/>
            </w:tcBorders>
          </w:tcPr>
          <w:p w:rsidR="00C31389" w:rsidRDefault="00C31389" w14:paraId="42269B10" w14:textId="77777777">
            <w:pPr>
              <w:pStyle w:val="TableParagraph"/>
              <w:spacing w:before="0"/>
              <w:rPr>
                <w:b/>
              </w:rPr>
            </w:pPr>
          </w:p>
          <w:p w:rsidR="00C31389" w:rsidRDefault="00561FBD" w14:paraId="5E1783C9" w14:textId="77777777">
            <w:pPr>
              <w:pStyle w:val="TableParagraph"/>
              <w:spacing w:before="0"/>
              <w:ind w:right="118"/>
              <w:jc w:val="right"/>
              <w:rPr>
                <w:sz w:val="14"/>
              </w:rPr>
            </w:pPr>
            <w:r>
              <w:rPr>
                <w:spacing w:val="-2"/>
                <w:sz w:val="14"/>
              </w:rPr>
              <w:t>1,071.2</w:t>
            </w:r>
          </w:p>
        </w:tc>
        <w:tc>
          <w:tcPr>
            <w:tcW w:w="703" w:type="dxa"/>
            <w:tcBorders>
              <w:top w:val="single" w:color="DCDDDE" w:sz="4" w:space="0"/>
              <w:bottom w:val="single" w:color="DCDDDE" w:sz="4" w:space="0"/>
            </w:tcBorders>
          </w:tcPr>
          <w:p w:rsidR="00C31389" w:rsidRDefault="00C31389" w14:paraId="4727A118" w14:textId="77777777">
            <w:pPr>
              <w:pStyle w:val="TableParagraph"/>
              <w:spacing w:before="0"/>
              <w:rPr>
                <w:b/>
              </w:rPr>
            </w:pPr>
          </w:p>
          <w:p w:rsidR="00C31389" w:rsidRDefault="00561FBD" w14:paraId="565BDED9" w14:textId="77777777">
            <w:pPr>
              <w:pStyle w:val="TableParagraph"/>
              <w:spacing w:before="0"/>
              <w:ind w:right="112"/>
              <w:jc w:val="right"/>
              <w:rPr>
                <w:sz w:val="14"/>
              </w:rPr>
            </w:pPr>
            <w:r>
              <w:rPr>
                <w:spacing w:val="-2"/>
                <w:sz w:val="14"/>
              </w:rPr>
              <w:t>1,008.4</w:t>
            </w:r>
          </w:p>
        </w:tc>
        <w:tc>
          <w:tcPr>
            <w:tcW w:w="687" w:type="dxa"/>
            <w:tcBorders>
              <w:top w:val="single" w:color="DCDDDE" w:sz="4" w:space="0"/>
              <w:bottom w:val="single" w:color="DCDDDE" w:sz="4" w:space="0"/>
            </w:tcBorders>
          </w:tcPr>
          <w:p w:rsidR="00C31389" w:rsidRDefault="00C31389" w14:paraId="1D810F77" w14:textId="77777777">
            <w:pPr>
              <w:pStyle w:val="TableParagraph"/>
              <w:spacing w:before="0"/>
              <w:rPr>
                <w:b/>
                <w:sz w:val="21"/>
              </w:rPr>
            </w:pPr>
          </w:p>
          <w:p w:rsidR="00C31389" w:rsidRDefault="00561FBD" w14:paraId="7B3AF988" w14:textId="77777777">
            <w:pPr>
              <w:pStyle w:val="TableParagraph"/>
              <w:spacing w:before="0"/>
              <w:ind w:right="119"/>
              <w:jc w:val="right"/>
              <w:rPr>
                <w:sz w:val="16"/>
              </w:rPr>
            </w:pPr>
            <w:r>
              <w:rPr>
                <w:spacing w:val="-2"/>
                <w:sz w:val="16"/>
              </w:rPr>
              <w:t>987.2</w:t>
            </w:r>
          </w:p>
        </w:tc>
        <w:tc>
          <w:tcPr>
            <w:tcW w:w="694" w:type="dxa"/>
            <w:tcBorders>
              <w:top w:val="single" w:color="DCDDDE" w:sz="4" w:space="0"/>
              <w:bottom w:val="single" w:color="DCDDDE" w:sz="4" w:space="0"/>
            </w:tcBorders>
          </w:tcPr>
          <w:p w:rsidR="00C31389" w:rsidRDefault="00C31389" w14:paraId="2083C42E" w14:textId="77777777">
            <w:pPr>
              <w:pStyle w:val="TableParagraph"/>
              <w:spacing w:before="0"/>
              <w:rPr>
                <w:b/>
                <w:sz w:val="21"/>
              </w:rPr>
            </w:pPr>
          </w:p>
          <w:p w:rsidR="00C31389" w:rsidRDefault="00561FBD" w14:paraId="7A09D03B" w14:textId="77777777">
            <w:pPr>
              <w:pStyle w:val="TableParagraph"/>
              <w:spacing w:before="0"/>
              <w:ind w:right="119"/>
              <w:jc w:val="right"/>
              <w:rPr>
                <w:sz w:val="16"/>
              </w:rPr>
            </w:pPr>
            <w:r>
              <w:rPr>
                <w:spacing w:val="-2"/>
                <w:sz w:val="16"/>
              </w:rPr>
              <w:t>909.8</w:t>
            </w:r>
          </w:p>
        </w:tc>
        <w:tc>
          <w:tcPr>
            <w:tcW w:w="694" w:type="dxa"/>
            <w:tcBorders>
              <w:top w:val="single" w:color="DCDDDE" w:sz="4" w:space="0"/>
              <w:bottom w:val="single" w:color="DCDDDE" w:sz="4" w:space="0"/>
            </w:tcBorders>
          </w:tcPr>
          <w:p w:rsidR="00C31389" w:rsidRDefault="00C31389" w14:paraId="65865820" w14:textId="77777777">
            <w:pPr>
              <w:pStyle w:val="TableParagraph"/>
              <w:spacing w:before="0"/>
              <w:rPr>
                <w:b/>
                <w:sz w:val="21"/>
              </w:rPr>
            </w:pPr>
          </w:p>
          <w:p w:rsidR="00C31389" w:rsidRDefault="00561FBD" w14:paraId="6DEFA4A8" w14:textId="77777777">
            <w:pPr>
              <w:pStyle w:val="TableParagraph"/>
              <w:spacing w:before="0"/>
              <w:ind w:left="156" w:right="104"/>
              <w:jc w:val="center"/>
              <w:rPr>
                <w:sz w:val="16"/>
              </w:rPr>
            </w:pPr>
            <w:r>
              <w:rPr>
                <w:spacing w:val="-2"/>
                <w:sz w:val="16"/>
              </w:rPr>
              <w:t>830.0</w:t>
            </w:r>
          </w:p>
        </w:tc>
        <w:tc>
          <w:tcPr>
            <w:tcW w:w="720" w:type="dxa"/>
            <w:tcBorders>
              <w:top w:val="single" w:color="DCDDDE" w:sz="4" w:space="0"/>
              <w:bottom w:val="single" w:color="DCDDDE" w:sz="4" w:space="0"/>
            </w:tcBorders>
          </w:tcPr>
          <w:p w:rsidR="00C31389" w:rsidRDefault="00C31389" w14:paraId="1D8CA37D" w14:textId="77777777">
            <w:pPr>
              <w:pStyle w:val="TableParagraph"/>
              <w:spacing w:before="0"/>
              <w:rPr>
                <w:b/>
                <w:sz w:val="21"/>
              </w:rPr>
            </w:pPr>
          </w:p>
          <w:p w:rsidR="00C31389" w:rsidRDefault="00561FBD" w14:paraId="3768BFF6" w14:textId="77777777">
            <w:pPr>
              <w:pStyle w:val="TableParagraph"/>
              <w:spacing w:before="0"/>
              <w:ind w:right="145"/>
              <w:jc w:val="right"/>
              <w:rPr>
                <w:sz w:val="16"/>
              </w:rPr>
            </w:pPr>
            <w:r>
              <w:rPr>
                <w:spacing w:val="-2"/>
                <w:sz w:val="16"/>
              </w:rPr>
              <w:t>659.5</w:t>
            </w:r>
          </w:p>
        </w:tc>
        <w:tc>
          <w:tcPr>
            <w:tcW w:w="695" w:type="dxa"/>
            <w:tcBorders>
              <w:top w:val="single" w:color="DCDDDE" w:sz="4" w:space="0"/>
              <w:bottom w:val="single" w:color="DCDDDE" w:sz="4" w:space="0"/>
            </w:tcBorders>
          </w:tcPr>
          <w:p w:rsidR="00C31389" w:rsidRDefault="00C31389" w14:paraId="48991A22" w14:textId="77777777">
            <w:pPr>
              <w:pStyle w:val="TableParagraph"/>
              <w:spacing w:before="0"/>
              <w:rPr>
                <w:b/>
                <w:sz w:val="21"/>
              </w:rPr>
            </w:pPr>
          </w:p>
          <w:p w:rsidR="00C31389" w:rsidRDefault="00561FBD" w14:paraId="348C550E" w14:textId="77777777">
            <w:pPr>
              <w:pStyle w:val="TableParagraph"/>
              <w:spacing w:before="0"/>
              <w:ind w:left="132" w:right="132"/>
              <w:jc w:val="center"/>
              <w:rPr>
                <w:sz w:val="16"/>
              </w:rPr>
            </w:pPr>
            <w:r>
              <w:rPr>
                <w:spacing w:val="-2"/>
                <w:sz w:val="16"/>
              </w:rPr>
              <w:t>599.0</w:t>
            </w:r>
          </w:p>
        </w:tc>
        <w:tc>
          <w:tcPr>
            <w:tcW w:w="695" w:type="dxa"/>
            <w:tcBorders>
              <w:top w:val="single" w:color="DCDDDE" w:sz="4" w:space="0"/>
              <w:bottom w:val="single" w:color="DCDDDE" w:sz="4" w:space="0"/>
            </w:tcBorders>
          </w:tcPr>
          <w:p w:rsidR="00C31389" w:rsidRDefault="00C31389" w14:paraId="06A7D79A" w14:textId="77777777">
            <w:pPr>
              <w:pStyle w:val="TableParagraph"/>
              <w:spacing w:before="0"/>
              <w:rPr>
                <w:b/>
                <w:sz w:val="21"/>
              </w:rPr>
            </w:pPr>
          </w:p>
          <w:p w:rsidR="00C31389" w:rsidRDefault="00561FBD" w14:paraId="7006D66E" w14:textId="77777777">
            <w:pPr>
              <w:pStyle w:val="TableParagraph"/>
              <w:spacing w:before="0"/>
              <w:ind w:right="145"/>
              <w:jc w:val="right"/>
              <w:rPr>
                <w:sz w:val="16"/>
              </w:rPr>
            </w:pPr>
            <w:r>
              <w:rPr>
                <w:spacing w:val="-2"/>
                <w:sz w:val="16"/>
              </w:rPr>
              <w:t>565.9</w:t>
            </w:r>
          </w:p>
        </w:tc>
        <w:tc>
          <w:tcPr>
            <w:tcW w:w="694" w:type="dxa"/>
            <w:tcBorders>
              <w:top w:val="single" w:color="DCDDDE" w:sz="4" w:space="0"/>
              <w:bottom w:val="single" w:color="DCDDDE" w:sz="4" w:space="0"/>
            </w:tcBorders>
          </w:tcPr>
          <w:p w:rsidR="00C31389" w:rsidRDefault="00C31389" w14:paraId="515D2F99" w14:textId="77777777">
            <w:pPr>
              <w:pStyle w:val="TableParagraph"/>
              <w:spacing w:before="0"/>
              <w:rPr>
                <w:b/>
                <w:sz w:val="21"/>
              </w:rPr>
            </w:pPr>
          </w:p>
          <w:p w:rsidR="00C31389" w:rsidRDefault="00561FBD" w14:paraId="7EF7E150" w14:textId="77777777">
            <w:pPr>
              <w:pStyle w:val="TableParagraph"/>
              <w:spacing w:before="0"/>
              <w:ind w:right="146"/>
              <w:jc w:val="right"/>
              <w:rPr>
                <w:sz w:val="16"/>
              </w:rPr>
            </w:pPr>
            <w:r>
              <w:rPr>
                <w:spacing w:val="-2"/>
                <w:sz w:val="16"/>
              </w:rPr>
              <w:t>530.2</w:t>
            </w:r>
          </w:p>
        </w:tc>
        <w:tc>
          <w:tcPr>
            <w:tcW w:w="694" w:type="dxa"/>
            <w:tcBorders>
              <w:top w:val="single" w:color="DCDDDE" w:sz="4" w:space="0"/>
              <w:bottom w:val="single" w:color="DCDDDE" w:sz="4" w:space="0"/>
            </w:tcBorders>
          </w:tcPr>
          <w:p w:rsidR="00C31389" w:rsidRDefault="00C31389" w14:paraId="068BA703" w14:textId="77777777">
            <w:pPr>
              <w:pStyle w:val="TableParagraph"/>
              <w:spacing w:before="0"/>
              <w:rPr>
                <w:b/>
                <w:sz w:val="21"/>
              </w:rPr>
            </w:pPr>
          </w:p>
          <w:p w:rsidR="00C31389" w:rsidRDefault="00561FBD" w14:paraId="3692D5C3" w14:textId="77777777">
            <w:pPr>
              <w:pStyle w:val="TableParagraph"/>
              <w:spacing w:before="0"/>
              <w:ind w:left="105" w:right="105"/>
              <w:jc w:val="center"/>
              <w:rPr>
                <w:sz w:val="16"/>
              </w:rPr>
            </w:pPr>
            <w:r>
              <w:rPr>
                <w:spacing w:val="-2"/>
                <w:sz w:val="16"/>
              </w:rPr>
              <w:t>502.5</w:t>
            </w:r>
          </w:p>
        </w:tc>
        <w:tc>
          <w:tcPr>
            <w:tcW w:w="695" w:type="dxa"/>
            <w:tcBorders>
              <w:top w:val="single" w:color="DCDDDE" w:sz="4" w:space="0"/>
              <w:bottom w:val="single" w:color="DCDDDE" w:sz="4" w:space="0"/>
            </w:tcBorders>
          </w:tcPr>
          <w:p w:rsidR="00C31389" w:rsidRDefault="00C31389" w14:paraId="3A1F721B" w14:textId="77777777">
            <w:pPr>
              <w:pStyle w:val="TableParagraph"/>
              <w:spacing w:before="0"/>
              <w:rPr>
                <w:b/>
                <w:sz w:val="21"/>
              </w:rPr>
            </w:pPr>
          </w:p>
          <w:p w:rsidR="00C31389" w:rsidRDefault="00561FBD" w14:paraId="63694E99" w14:textId="77777777">
            <w:pPr>
              <w:pStyle w:val="TableParagraph"/>
              <w:spacing w:before="0"/>
              <w:ind w:right="146"/>
              <w:jc w:val="right"/>
              <w:rPr>
                <w:sz w:val="16"/>
              </w:rPr>
            </w:pPr>
            <w:r>
              <w:rPr>
                <w:spacing w:val="-2"/>
                <w:sz w:val="16"/>
              </w:rPr>
              <w:t>417.5</w:t>
            </w:r>
          </w:p>
        </w:tc>
        <w:tc>
          <w:tcPr>
            <w:tcW w:w="655" w:type="dxa"/>
            <w:tcBorders>
              <w:top w:val="single" w:color="DCDDDE" w:sz="4" w:space="0"/>
              <w:bottom w:val="single" w:color="DCDDDE" w:sz="4" w:space="0"/>
            </w:tcBorders>
          </w:tcPr>
          <w:p w:rsidR="00C31389" w:rsidRDefault="00C31389" w14:paraId="59F926C9" w14:textId="77777777">
            <w:pPr>
              <w:pStyle w:val="TableParagraph"/>
              <w:spacing w:before="0"/>
              <w:rPr>
                <w:b/>
                <w:sz w:val="21"/>
              </w:rPr>
            </w:pPr>
          </w:p>
          <w:p w:rsidR="00C31389" w:rsidRDefault="00561FBD" w14:paraId="4651D9BE" w14:textId="77777777">
            <w:pPr>
              <w:pStyle w:val="TableParagraph"/>
              <w:spacing w:before="0"/>
              <w:ind w:right="105"/>
              <w:jc w:val="right"/>
              <w:rPr>
                <w:sz w:val="16"/>
              </w:rPr>
            </w:pPr>
            <w:r>
              <w:rPr>
                <w:spacing w:val="-2"/>
                <w:sz w:val="16"/>
              </w:rPr>
              <w:t>401.6</w:t>
            </w:r>
          </w:p>
        </w:tc>
      </w:tr>
      <w:tr w:rsidR="00C31389" w14:paraId="31D6C54E" w14:textId="77777777">
        <w:trPr>
          <w:trHeight w:val="666"/>
        </w:trPr>
        <w:tc>
          <w:tcPr>
            <w:tcW w:w="1033" w:type="dxa"/>
            <w:tcBorders>
              <w:top w:val="single" w:color="DCDDDE" w:sz="4" w:space="0"/>
              <w:bottom w:val="single" w:color="545658" w:sz="8" w:space="0"/>
            </w:tcBorders>
          </w:tcPr>
          <w:p w:rsidR="00C31389" w:rsidRDefault="00561FBD" w14:paraId="234E580F" w14:textId="77777777">
            <w:pPr>
              <w:pStyle w:val="TableParagraph"/>
              <w:spacing w:before="39"/>
              <w:ind w:left="122"/>
              <w:rPr>
                <w:sz w:val="17"/>
              </w:rPr>
            </w:pPr>
            <w:r>
              <w:rPr>
                <w:spacing w:val="-4"/>
                <w:sz w:val="17"/>
              </w:rPr>
              <w:t xml:space="preserve">w/o </w:t>
            </w:r>
            <w:r>
              <w:rPr>
                <w:spacing w:val="-2"/>
                <w:sz w:val="17"/>
              </w:rPr>
              <w:t>Interactive Effects</w:t>
            </w:r>
          </w:p>
        </w:tc>
        <w:tc>
          <w:tcPr>
            <w:tcW w:w="715" w:type="dxa"/>
            <w:tcBorders>
              <w:top w:val="single" w:color="DCDDDE" w:sz="4" w:space="0"/>
              <w:bottom w:val="single" w:color="545658" w:sz="8" w:space="0"/>
            </w:tcBorders>
          </w:tcPr>
          <w:p w:rsidR="00C31389" w:rsidRDefault="00C31389" w14:paraId="0F94F0FF" w14:textId="77777777">
            <w:pPr>
              <w:pStyle w:val="TableParagraph"/>
              <w:spacing w:before="0"/>
              <w:rPr>
                <w:b/>
              </w:rPr>
            </w:pPr>
          </w:p>
          <w:p w:rsidR="00C31389" w:rsidRDefault="00561FBD" w14:paraId="5FEE2D4B" w14:textId="77777777">
            <w:pPr>
              <w:pStyle w:val="TableParagraph"/>
              <w:spacing w:before="0"/>
              <w:ind w:right="118"/>
              <w:jc w:val="right"/>
              <w:rPr>
                <w:sz w:val="14"/>
              </w:rPr>
            </w:pPr>
            <w:r>
              <w:rPr>
                <w:spacing w:val="-2"/>
                <w:sz w:val="14"/>
              </w:rPr>
              <w:t>1,062.2</w:t>
            </w:r>
          </w:p>
        </w:tc>
        <w:tc>
          <w:tcPr>
            <w:tcW w:w="703" w:type="dxa"/>
            <w:tcBorders>
              <w:top w:val="single" w:color="DCDDDE" w:sz="4" w:space="0"/>
              <w:bottom w:val="single" w:color="545658" w:sz="8" w:space="0"/>
            </w:tcBorders>
          </w:tcPr>
          <w:p w:rsidR="00C31389" w:rsidRDefault="00C31389" w14:paraId="4F4C7B19" w14:textId="77777777">
            <w:pPr>
              <w:pStyle w:val="TableParagraph"/>
              <w:spacing w:before="0"/>
              <w:rPr>
                <w:b/>
              </w:rPr>
            </w:pPr>
          </w:p>
          <w:p w:rsidR="00C31389" w:rsidRDefault="00561FBD" w14:paraId="441B5AA7" w14:textId="77777777">
            <w:pPr>
              <w:pStyle w:val="TableParagraph"/>
              <w:spacing w:before="0"/>
              <w:ind w:right="111"/>
              <w:jc w:val="right"/>
              <w:rPr>
                <w:sz w:val="14"/>
              </w:rPr>
            </w:pPr>
            <w:r>
              <w:rPr>
                <w:spacing w:val="-2"/>
                <w:sz w:val="14"/>
              </w:rPr>
              <w:t>999.4</w:t>
            </w:r>
          </w:p>
        </w:tc>
        <w:tc>
          <w:tcPr>
            <w:tcW w:w="687" w:type="dxa"/>
            <w:tcBorders>
              <w:top w:val="single" w:color="DCDDDE" w:sz="4" w:space="0"/>
              <w:bottom w:val="single" w:color="545658" w:sz="8" w:space="0"/>
            </w:tcBorders>
          </w:tcPr>
          <w:p w:rsidR="00C31389" w:rsidRDefault="00C31389" w14:paraId="68719A13" w14:textId="77777777">
            <w:pPr>
              <w:pStyle w:val="TableParagraph"/>
              <w:spacing w:before="0"/>
              <w:rPr>
                <w:b/>
                <w:sz w:val="21"/>
              </w:rPr>
            </w:pPr>
          </w:p>
          <w:p w:rsidR="00C31389" w:rsidRDefault="00561FBD" w14:paraId="6930A9D6" w14:textId="77777777">
            <w:pPr>
              <w:pStyle w:val="TableParagraph"/>
              <w:spacing w:before="0"/>
              <w:ind w:right="119"/>
              <w:jc w:val="right"/>
              <w:rPr>
                <w:sz w:val="16"/>
              </w:rPr>
            </w:pPr>
            <w:r>
              <w:rPr>
                <w:spacing w:val="-2"/>
                <w:sz w:val="16"/>
              </w:rPr>
              <w:t>978.6</w:t>
            </w:r>
          </w:p>
        </w:tc>
        <w:tc>
          <w:tcPr>
            <w:tcW w:w="694" w:type="dxa"/>
            <w:tcBorders>
              <w:top w:val="single" w:color="DCDDDE" w:sz="4" w:space="0"/>
              <w:bottom w:val="single" w:color="545658" w:sz="8" w:space="0"/>
            </w:tcBorders>
          </w:tcPr>
          <w:p w:rsidR="00C31389" w:rsidRDefault="00C31389" w14:paraId="0AF055E8" w14:textId="77777777">
            <w:pPr>
              <w:pStyle w:val="TableParagraph"/>
              <w:spacing w:before="0"/>
              <w:rPr>
                <w:b/>
                <w:sz w:val="21"/>
              </w:rPr>
            </w:pPr>
          </w:p>
          <w:p w:rsidR="00C31389" w:rsidRDefault="00561FBD" w14:paraId="411C4C9E" w14:textId="77777777">
            <w:pPr>
              <w:pStyle w:val="TableParagraph"/>
              <w:spacing w:before="0"/>
              <w:ind w:right="120"/>
              <w:jc w:val="right"/>
              <w:rPr>
                <w:sz w:val="16"/>
              </w:rPr>
            </w:pPr>
            <w:r>
              <w:rPr>
                <w:spacing w:val="-2"/>
                <w:sz w:val="16"/>
              </w:rPr>
              <w:t>903.3</w:t>
            </w:r>
          </w:p>
        </w:tc>
        <w:tc>
          <w:tcPr>
            <w:tcW w:w="694" w:type="dxa"/>
            <w:tcBorders>
              <w:top w:val="single" w:color="DCDDDE" w:sz="4" w:space="0"/>
              <w:bottom w:val="single" w:color="545658" w:sz="8" w:space="0"/>
            </w:tcBorders>
          </w:tcPr>
          <w:p w:rsidR="00C31389" w:rsidRDefault="00C31389" w14:paraId="75B43119" w14:textId="77777777">
            <w:pPr>
              <w:pStyle w:val="TableParagraph"/>
              <w:spacing w:before="0"/>
              <w:rPr>
                <w:b/>
                <w:sz w:val="21"/>
              </w:rPr>
            </w:pPr>
          </w:p>
          <w:p w:rsidR="00C31389" w:rsidRDefault="00561FBD" w14:paraId="1CCC74E9" w14:textId="77777777">
            <w:pPr>
              <w:pStyle w:val="TableParagraph"/>
              <w:spacing w:before="0"/>
              <w:ind w:left="156" w:right="104"/>
              <w:jc w:val="center"/>
              <w:rPr>
                <w:sz w:val="16"/>
              </w:rPr>
            </w:pPr>
            <w:r>
              <w:rPr>
                <w:spacing w:val="-2"/>
                <w:sz w:val="16"/>
              </w:rPr>
              <w:t>826.2</w:t>
            </w:r>
          </w:p>
        </w:tc>
        <w:tc>
          <w:tcPr>
            <w:tcW w:w="720" w:type="dxa"/>
            <w:tcBorders>
              <w:top w:val="single" w:color="DCDDDE" w:sz="4" w:space="0"/>
              <w:bottom w:val="single" w:color="545658" w:sz="8" w:space="0"/>
            </w:tcBorders>
          </w:tcPr>
          <w:p w:rsidR="00C31389" w:rsidRDefault="00C31389" w14:paraId="6AADC69D" w14:textId="77777777">
            <w:pPr>
              <w:pStyle w:val="TableParagraph"/>
              <w:spacing w:before="0"/>
              <w:rPr>
                <w:b/>
                <w:sz w:val="21"/>
              </w:rPr>
            </w:pPr>
          </w:p>
          <w:p w:rsidR="00C31389" w:rsidRDefault="00561FBD" w14:paraId="27A9692D" w14:textId="77777777">
            <w:pPr>
              <w:pStyle w:val="TableParagraph"/>
              <w:spacing w:before="0"/>
              <w:ind w:right="145"/>
              <w:jc w:val="right"/>
              <w:rPr>
                <w:sz w:val="16"/>
              </w:rPr>
            </w:pPr>
            <w:r>
              <w:rPr>
                <w:spacing w:val="-2"/>
                <w:sz w:val="16"/>
              </w:rPr>
              <w:t>661.3</w:t>
            </w:r>
          </w:p>
        </w:tc>
        <w:tc>
          <w:tcPr>
            <w:tcW w:w="695" w:type="dxa"/>
            <w:tcBorders>
              <w:top w:val="single" w:color="DCDDDE" w:sz="4" w:space="0"/>
              <w:bottom w:val="single" w:color="545658" w:sz="8" w:space="0"/>
            </w:tcBorders>
          </w:tcPr>
          <w:p w:rsidR="00C31389" w:rsidRDefault="00C31389" w14:paraId="2934ABA8" w14:textId="77777777">
            <w:pPr>
              <w:pStyle w:val="TableParagraph"/>
              <w:spacing w:before="0"/>
              <w:rPr>
                <w:b/>
                <w:sz w:val="21"/>
              </w:rPr>
            </w:pPr>
          </w:p>
          <w:p w:rsidR="00C31389" w:rsidRDefault="00561FBD" w14:paraId="64AA0A5F" w14:textId="77777777">
            <w:pPr>
              <w:pStyle w:val="TableParagraph"/>
              <w:spacing w:before="0"/>
              <w:ind w:left="132" w:right="132"/>
              <w:jc w:val="center"/>
              <w:rPr>
                <w:sz w:val="16"/>
              </w:rPr>
            </w:pPr>
            <w:r>
              <w:rPr>
                <w:spacing w:val="-2"/>
                <w:sz w:val="16"/>
              </w:rPr>
              <w:t>602.3</w:t>
            </w:r>
          </w:p>
        </w:tc>
        <w:tc>
          <w:tcPr>
            <w:tcW w:w="695" w:type="dxa"/>
            <w:tcBorders>
              <w:top w:val="single" w:color="DCDDDE" w:sz="4" w:space="0"/>
              <w:bottom w:val="single" w:color="545658" w:sz="8" w:space="0"/>
            </w:tcBorders>
          </w:tcPr>
          <w:p w:rsidR="00C31389" w:rsidRDefault="00C31389" w14:paraId="6A5CBD25" w14:textId="77777777">
            <w:pPr>
              <w:pStyle w:val="TableParagraph"/>
              <w:spacing w:before="0"/>
              <w:rPr>
                <w:b/>
                <w:sz w:val="21"/>
              </w:rPr>
            </w:pPr>
          </w:p>
          <w:p w:rsidR="00C31389" w:rsidRDefault="00561FBD" w14:paraId="02D11E18" w14:textId="77777777">
            <w:pPr>
              <w:pStyle w:val="TableParagraph"/>
              <w:spacing w:before="0"/>
              <w:ind w:right="146"/>
              <w:jc w:val="right"/>
              <w:rPr>
                <w:sz w:val="16"/>
              </w:rPr>
            </w:pPr>
            <w:r>
              <w:rPr>
                <w:spacing w:val="-2"/>
                <w:sz w:val="16"/>
              </w:rPr>
              <w:t>569.2</w:t>
            </w:r>
          </w:p>
        </w:tc>
        <w:tc>
          <w:tcPr>
            <w:tcW w:w="694" w:type="dxa"/>
            <w:tcBorders>
              <w:top w:val="single" w:color="DCDDDE" w:sz="4" w:space="0"/>
              <w:bottom w:val="single" w:color="545658" w:sz="8" w:space="0"/>
            </w:tcBorders>
          </w:tcPr>
          <w:p w:rsidR="00C31389" w:rsidRDefault="00C31389" w14:paraId="2B7C368B" w14:textId="77777777">
            <w:pPr>
              <w:pStyle w:val="TableParagraph"/>
              <w:spacing w:before="0"/>
              <w:rPr>
                <w:b/>
                <w:sz w:val="21"/>
              </w:rPr>
            </w:pPr>
          </w:p>
          <w:p w:rsidR="00C31389" w:rsidRDefault="00561FBD" w14:paraId="57453256" w14:textId="77777777">
            <w:pPr>
              <w:pStyle w:val="TableParagraph"/>
              <w:spacing w:before="0"/>
              <w:ind w:right="146"/>
              <w:jc w:val="right"/>
              <w:rPr>
                <w:sz w:val="16"/>
              </w:rPr>
            </w:pPr>
            <w:r>
              <w:rPr>
                <w:spacing w:val="-2"/>
                <w:sz w:val="16"/>
              </w:rPr>
              <w:t>533.4</w:t>
            </w:r>
          </w:p>
        </w:tc>
        <w:tc>
          <w:tcPr>
            <w:tcW w:w="694" w:type="dxa"/>
            <w:tcBorders>
              <w:top w:val="single" w:color="DCDDDE" w:sz="4" w:space="0"/>
              <w:bottom w:val="single" w:color="545658" w:sz="8" w:space="0"/>
            </w:tcBorders>
          </w:tcPr>
          <w:p w:rsidR="00C31389" w:rsidRDefault="00C31389" w14:paraId="14A8F4CC" w14:textId="77777777">
            <w:pPr>
              <w:pStyle w:val="TableParagraph"/>
              <w:spacing w:before="0"/>
              <w:rPr>
                <w:b/>
                <w:sz w:val="21"/>
              </w:rPr>
            </w:pPr>
          </w:p>
          <w:p w:rsidR="00C31389" w:rsidRDefault="00561FBD" w14:paraId="30C3EAA3" w14:textId="77777777">
            <w:pPr>
              <w:pStyle w:val="TableParagraph"/>
              <w:spacing w:before="0"/>
              <w:ind w:left="104" w:right="105"/>
              <w:jc w:val="center"/>
              <w:rPr>
                <w:sz w:val="16"/>
              </w:rPr>
            </w:pPr>
            <w:r>
              <w:rPr>
                <w:spacing w:val="-2"/>
                <w:sz w:val="16"/>
              </w:rPr>
              <w:t>505.7</w:t>
            </w:r>
          </w:p>
        </w:tc>
        <w:tc>
          <w:tcPr>
            <w:tcW w:w="695" w:type="dxa"/>
            <w:tcBorders>
              <w:top w:val="single" w:color="DCDDDE" w:sz="4" w:space="0"/>
              <w:bottom w:val="single" w:color="545658" w:sz="8" w:space="0"/>
            </w:tcBorders>
          </w:tcPr>
          <w:p w:rsidR="00C31389" w:rsidRDefault="00C31389" w14:paraId="670D2F5A" w14:textId="77777777">
            <w:pPr>
              <w:pStyle w:val="TableParagraph"/>
              <w:spacing w:before="0"/>
              <w:rPr>
                <w:b/>
                <w:sz w:val="21"/>
              </w:rPr>
            </w:pPr>
          </w:p>
          <w:p w:rsidR="00C31389" w:rsidRDefault="00561FBD" w14:paraId="7FDE7C1D" w14:textId="77777777">
            <w:pPr>
              <w:pStyle w:val="TableParagraph"/>
              <w:spacing w:before="0"/>
              <w:ind w:right="147"/>
              <w:jc w:val="right"/>
              <w:rPr>
                <w:sz w:val="16"/>
              </w:rPr>
            </w:pPr>
            <w:r>
              <w:rPr>
                <w:spacing w:val="-2"/>
                <w:sz w:val="16"/>
              </w:rPr>
              <w:t>420.6</w:t>
            </w:r>
          </w:p>
        </w:tc>
        <w:tc>
          <w:tcPr>
            <w:tcW w:w="655" w:type="dxa"/>
            <w:tcBorders>
              <w:top w:val="single" w:color="DCDDDE" w:sz="4" w:space="0"/>
              <w:bottom w:val="single" w:color="545658" w:sz="8" w:space="0"/>
            </w:tcBorders>
          </w:tcPr>
          <w:p w:rsidR="00C31389" w:rsidRDefault="00C31389" w14:paraId="154C5E5F" w14:textId="77777777">
            <w:pPr>
              <w:pStyle w:val="TableParagraph"/>
              <w:spacing w:before="0"/>
              <w:rPr>
                <w:b/>
                <w:sz w:val="21"/>
              </w:rPr>
            </w:pPr>
          </w:p>
          <w:p w:rsidR="00C31389" w:rsidRDefault="00561FBD" w14:paraId="2DCD237A" w14:textId="77777777">
            <w:pPr>
              <w:pStyle w:val="TableParagraph"/>
              <w:spacing w:before="0"/>
              <w:ind w:right="105"/>
              <w:jc w:val="right"/>
              <w:rPr>
                <w:sz w:val="16"/>
              </w:rPr>
            </w:pPr>
            <w:r>
              <w:rPr>
                <w:spacing w:val="-2"/>
                <w:sz w:val="16"/>
              </w:rPr>
              <w:t>404.6</w:t>
            </w:r>
          </w:p>
        </w:tc>
      </w:tr>
    </w:tbl>
    <w:p w:rsidR="00C31389" w:rsidRDefault="00561FBD" w14:paraId="175C0DD7" w14:textId="77777777">
      <w:pPr>
        <w:spacing w:before="81"/>
        <w:ind w:left="220"/>
        <w:rPr>
          <w:i/>
          <w:sz w:val="18"/>
        </w:rPr>
      </w:pPr>
      <w:r>
        <w:rPr>
          <w:i/>
          <w:sz w:val="18"/>
        </w:rPr>
        <w:t>Source:</w:t>
      </w:r>
      <w:r>
        <w:rPr>
          <w:i/>
          <w:spacing w:val="-4"/>
          <w:sz w:val="18"/>
        </w:rPr>
        <w:t xml:space="preserve"> </w:t>
      </w:r>
      <w:r>
        <w:rPr>
          <w:i/>
          <w:spacing w:val="-2"/>
          <w:sz w:val="18"/>
        </w:rPr>
        <w:t>Guidehouse</w:t>
      </w:r>
    </w:p>
    <w:p w:rsidR="00C31389" w:rsidRDefault="00C31389" w14:paraId="418BB60A" w14:textId="77777777">
      <w:pPr>
        <w:pStyle w:val="BodyText"/>
        <w:spacing w:before="10"/>
        <w:rPr>
          <w:i/>
          <w:sz w:val="12"/>
        </w:rPr>
      </w:pPr>
    </w:p>
    <w:p w:rsidR="00C31389" w:rsidRDefault="00561FBD" w14:paraId="27D37BAB" w14:textId="77777777">
      <w:pPr>
        <w:pStyle w:val="Heading7"/>
        <w:spacing w:before="93"/>
        <w:ind w:left="1979" w:right="1961"/>
        <w:jc w:val="center"/>
      </w:pPr>
      <w:bookmarkStart w:name="_bookmark532" w:id="697"/>
      <w:bookmarkEnd w:id="697"/>
      <w:r>
        <w:t>Table</w:t>
      </w:r>
      <w:r>
        <w:rPr>
          <w:spacing w:val="-8"/>
        </w:rPr>
        <w:t xml:space="preserve"> </w:t>
      </w:r>
      <w:r>
        <w:t>J-6.</w:t>
      </w:r>
      <w:r>
        <w:rPr>
          <w:spacing w:val="-7"/>
        </w:rPr>
        <w:t xml:space="preserve"> </w:t>
      </w:r>
      <w:r>
        <w:t>SCE</w:t>
      </w:r>
      <w:r>
        <w:rPr>
          <w:spacing w:val="-7"/>
        </w:rPr>
        <w:t xml:space="preserve"> </w:t>
      </w:r>
      <w:r>
        <w:t>Demand</w:t>
      </w:r>
      <w:r>
        <w:rPr>
          <w:spacing w:val="-7"/>
        </w:rPr>
        <w:t xml:space="preserve"> </w:t>
      </w:r>
      <w:r>
        <w:t>Savings</w:t>
      </w:r>
      <w:r>
        <w:rPr>
          <w:spacing w:val="-7"/>
        </w:rPr>
        <w:t xml:space="preserve"> </w:t>
      </w:r>
      <w:r>
        <w:rPr>
          <w:spacing w:val="-4"/>
        </w:rPr>
        <w:t>(MW)</w:t>
      </w:r>
    </w:p>
    <w:p w:rsidR="00C31389" w:rsidRDefault="00C31389" w14:paraId="773C2762" w14:textId="77777777">
      <w:pPr>
        <w:pStyle w:val="BodyText"/>
        <w:rPr>
          <w:b/>
          <w:sz w:val="10"/>
        </w:rPr>
      </w:pPr>
    </w:p>
    <w:tbl>
      <w:tblPr>
        <w:tblW w:w="0" w:type="auto"/>
        <w:tblInd w:w="213" w:type="dxa"/>
        <w:tblLayout w:type="fixed"/>
        <w:tblCellMar>
          <w:left w:w="0" w:type="dxa"/>
          <w:right w:w="0" w:type="dxa"/>
        </w:tblCellMar>
        <w:tblLook w:val="01E0" w:firstRow="1" w:lastRow="1" w:firstColumn="1" w:lastColumn="1" w:noHBand="0" w:noVBand="0"/>
      </w:tblPr>
      <w:tblGrid>
        <w:gridCol w:w="1130"/>
        <w:gridCol w:w="1070"/>
        <w:gridCol w:w="655"/>
        <w:gridCol w:w="654"/>
        <w:gridCol w:w="654"/>
        <w:gridCol w:w="655"/>
        <w:gridCol w:w="655"/>
        <w:gridCol w:w="655"/>
        <w:gridCol w:w="655"/>
        <w:gridCol w:w="654"/>
        <w:gridCol w:w="654"/>
        <w:gridCol w:w="655"/>
        <w:gridCol w:w="624"/>
      </w:tblGrid>
      <w:tr w:rsidR="00C31389" w14:paraId="1A1662E6" w14:textId="77777777">
        <w:trPr>
          <w:trHeight w:val="304"/>
        </w:trPr>
        <w:tc>
          <w:tcPr>
            <w:tcW w:w="1130" w:type="dxa"/>
            <w:shd w:val="clear" w:color="auto" w:fill="92D400"/>
          </w:tcPr>
          <w:p w:rsidR="00C31389" w:rsidRDefault="00561FBD" w14:paraId="59BFD9C1" w14:textId="77777777">
            <w:pPr>
              <w:pStyle w:val="TableParagraph"/>
              <w:spacing w:before="41"/>
              <w:ind w:left="122"/>
              <w:rPr>
                <w:b/>
                <w:sz w:val="17"/>
              </w:rPr>
            </w:pPr>
            <w:r>
              <w:rPr>
                <w:b/>
                <w:spacing w:val="-4"/>
                <w:sz w:val="17"/>
              </w:rPr>
              <w:t>Year</w:t>
            </w:r>
          </w:p>
        </w:tc>
        <w:tc>
          <w:tcPr>
            <w:tcW w:w="1070" w:type="dxa"/>
            <w:shd w:val="clear" w:color="auto" w:fill="92D400"/>
          </w:tcPr>
          <w:p w:rsidR="00C31389" w:rsidRDefault="00561FBD" w14:paraId="3011A465" w14:textId="77777777">
            <w:pPr>
              <w:pStyle w:val="TableParagraph"/>
              <w:spacing w:before="41"/>
              <w:ind w:right="135"/>
              <w:jc w:val="right"/>
              <w:rPr>
                <w:b/>
                <w:sz w:val="17"/>
              </w:rPr>
            </w:pPr>
            <w:r>
              <w:rPr>
                <w:b/>
                <w:spacing w:val="-4"/>
                <w:sz w:val="17"/>
              </w:rPr>
              <w:t>2024</w:t>
            </w:r>
          </w:p>
        </w:tc>
        <w:tc>
          <w:tcPr>
            <w:tcW w:w="655" w:type="dxa"/>
            <w:shd w:val="clear" w:color="auto" w:fill="92D400"/>
          </w:tcPr>
          <w:p w:rsidR="00C31389" w:rsidRDefault="00561FBD" w14:paraId="2FDC8405" w14:textId="77777777">
            <w:pPr>
              <w:pStyle w:val="TableParagraph"/>
              <w:spacing w:before="41"/>
              <w:ind w:left="98" w:right="97"/>
              <w:jc w:val="center"/>
              <w:rPr>
                <w:b/>
                <w:sz w:val="17"/>
              </w:rPr>
            </w:pPr>
            <w:r>
              <w:rPr>
                <w:b/>
                <w:spacing w:val="-4"/>
                <w:sz w:val="17"/>
              </w:rPr>
              <w:t>2025</w:t>
            </w:r>
          </w:p>
        </w:tc>
        <w:tc>
          <w:tcPr>
            <w:tcW w:w="654" w:type="dxa"/>
            <w:shd w:val="clear" w:color="auto" w:fill="92D400"/>
          </w:tcPr>
          <w:p w:rsidR="00C31389" w:rsidRDefault="00561FBD" w14:paraId="39C178AD" w14:textId="77777777">
            <w:pPr>
              <w:pStyle w:val="TableParagraph"/>
              <w:spacing w:before="41"/>
              <w:ind w:right="134"/>
              <w:jc w:val="right"/>
              <w:rPr>
                <w:b/>
                <w:sz w:val="17"/>
              </w:rPr>
            </w:pPr>
            <w:r>
              <w:rPr>
                <w:b/>
                <w:spacing w:val="-4"/>
                <w:sz w:val="17"/>
              </w:rPr>
              <w:t>2026</w:t>
            </w:r>
          </w:p>
        </w:tc>
        <w:tc>
          <w:tcPr>
            <w:tcW w:w="654" w:type="dxa"/>
            <w:shd w:val="clear" w:color="auto" w:fill="92D400"/>
          </w:tcPr>
          <w:p w:rsidR="00C31389" w:rsidRDefault="00561FBD" w14:paraId="4E3F5BEA" w14:textId="77777777">
            <w:pPr>
              <w:pStyle w:val="TableParagraph"/>
              <w:spacing w:before="41"/>
              <w:ind w:right="134"/>
              <w:jc w:val="right"/>
              <w:rPr>
                <w:b/>
                <w:sz w:val="17"/>
              </w:rPr>
            </w:pPr>
            <w:r>
              <w:rPr>
                <w:b/>
                <w:spacing w:val="-4"/>
                <w:sz w:val="17"/>
              </w:rPr>
              <w:t>2027</w:t>
            </w:r>
          </w:p>
        </w:tc>
        <w:tc>
          <w:tcPr>
            <w:tcW w:w="655" w:type="dxa"/>
            <w:shd w:val="clear" w:color="auto" w:fill="92D400"/>
          </w:tcPr>
          <w:p w:rsidR="00C31389" w:rsidRDefault="00561FBD" w14:paraId="6FB5FC64" w14:textId="77777777">
            <w:pPr>
              <w:pStyle w:val="TableParagraph"/>
              <w:spacing w:before="41"/>
              <w:ind w:left="99" w:right="95"/>
              <w:jc w:val="center"/>
              <w:rPr>
                <w:b/>
                <w:sz w:val="17"/>
              </w:rPr>
            </w:pPr>
            <w:r>
              <w:rPr>
                <w:b/>
                <w:spacing w:val="-4"/>
                <w:sz w:val="17"/>
              </w:rPr>
              <w:t>2028</w:t>
            </w:r>
          </w:p>
        </w:tc>
        <w:tc>
          <w:tcPr>
            <w:tcW w:w="655" w:type="dxa"/>
            <w:shd w:val="clear" w:color="auto" w:fill="92D400"/>
          </w:tcPr>
          <w:p w:rsidR="00C31389" w:rsidRDefault="00561FBD" w14:paraId="33A0871C" w14:textId="77777777">
            <w:pPr>
              <w:pStyle w:val="TableParagraph"/>
              <w:spacing w:before="41"/>
              <w:ind w:right="133"/>
              <w:jc w:val="right"/>
              <w:rPr>
                <w:b/>
                <w:sz w:val="17"/>
              </w:rPr>
            </w:pPr>
            <w:r>
              <w:rPr>
                <w:b/>
                <w:spacing w:val="-4"/>
                <w:sz w:val="17"/>
              </w:rPr>
              <w:t>2029</w:t>
            </w:r>
          </w:p>
        </w:tc>
        <w:tc>
          <w:tcPr>
            <w:tcW w:w="655" w:type="dxa"/>
            <w:shd w:val="clear" w:color="auto" w:fill="92D400"/>
          </w:tcPr>
          <w:p w:rsidR="00C31389" w:rsidRDefault="00561FBD" w14:paraId="306BFD89" w14:textId="77777777">
            <w:pPr>
              <w:pStyle w:val="TableParagraph"/>
              <w:spacing w:before="41"/>
              <w:ind w:right="133"/>
              <w:jc w:val="right"/>
              <w:rPr>
                <w:b/>
                <w:sz w:val="17"/>
              </w:rPr>
            </w:pPr>
            <w:r>
              <w:rPr>
                <w:b/>
                <w:spacing w:val="-4"/>
                <w:sz w:val="17"/>
              </w:rPr>
              <w:t>2030</w:t>
            </w:r>
          </w:p>
        </w:tc>
        <w:tc>
          <w:tcPr>
            <w:tcW w:w="655" w:type="dxa"/>
            <w:shd w:val="clear" w:color="auto" w:fill="92D400"/>
          </w:tcPr>
          <w:p w:rsidR="00C31389" w:rsidRDefault="00561FBD" w14:paraId="39EA4BBC" w14:textId="77777777">
            <w:pPr>
              <w:pStyle w:val="TableParagraph"/>
              <w:spacing w:before="41"/>
              <w:ind w:left="99" w:right="94"/>
              <w:jc w:val="center"/>
              <w:rPr>
                <w:b/>
                <w:sz w:val="17"/>
              </w:rPr>
            </w:pPr>
            <w:r>
              <w:rPr>
                <w:b/>
                <w:spacing w:val="-4"/>
                <w:sz w:val="17"/>
              </w:rPr>
              <w:t>2031</w:t>
            </w:r>
          </w:p>
        </w:tc>
        <w:tc>
          <w:tcPr>
            <w:tcW w:w="654" w:type="dxa"/>
            <w:shd w:val="clear" w:color="auto" w:fill="92D400"/>
          </w:tcPr>
          <w:p w:rsidR="00C31389" w:rsidRDefault="00561FBD" w14:paraId="6C683267" w14:textId="77777777">
            <w:pPr>
              <w:pStyle w:val="TableParagraph"/>
              <w:spacing w:before="41"/>
              <w:ind w:right="132"/>
              <w:jc w:val="right"/>
              <w:rPr>
                <w:b/>
                <w:sz w:val="17"/>
              </w:rPr>
            </w:pPr>
            <w:r>
              <w:rPr>
                <w:b/>
                <w:spacing w:val="-4"/>
                <w:sz w:val="17"/>
              </w:rPr>
              <w:t>2032</w:t>
            </w:r>
          </w:p>
        </w:tc>
        <w:tc>
          <w:tcPr>
            <w:tcW w:w="654" w:type="dxa"/>
            <w:shd w:val="clear" w:color="auto" w:fill="92D400"/>
          </w:tcPr>
          <w:p w:rsidR="00C31389" w:rsidRDefault="00561FBD" w14:paraId="746281B7" w14:textId="77777777">
            <w:pPr>
              <w:pStyle w:val="TableParagraph"/>
              <w:spacing w:before="41"/>
              <w:ind w:left="128" w:right="122"/>
              <w:jc w:val="center"/>
              <w:rPr>
                <w:b/>
                <w:sz w:val="17"/>
              </w:rPr>
            </w:pPr>
            <w:r>
              <w:rPr>
                <w:b/>
                <w:spacing w:val="-4"/>
                <w:sz w:val="17"/>
              </w:rPr>
              <w:t>2033</w:t>
            </w:r>
          </w:p>
        </w:tc>
        <w:tc>
          <w:tcPr>
            <w:tcW w:w="655" w:type="dxa"/>
            <w:shd w:val="clear" w:color="auto" w:fill="92D400"/>
          </w:tcPr>
          <w:p w:rsidR="00C31389" w:rsidRDefault="00561FBD" w14:paraId="021743B1" w14:textId="77777777">
            <w:pPr>
              <w:pStyle w:val="TableParagraph"/>
              <w:spacing w:before="41"/>
              <w:ind w:left="99" w:right="91"/>
              <w:jc w:val="center"/>
              <w:rPr>
                <w:b/>
                <w:sz w:val="17"/>
              </w:rPr>
            </w:pPr>
            <w:r>
              <w:rPr>
                <w:b/>
                <w:spacing w:val="-4"/>
                <w:sz w:val="17"/>
              </w:rPr>
              <w:t>2034</w:t>
            </w:r>
          </w:p>
        </w:tc>
        <w:tc>
          <w:tcPr>
            <w:tcW w:w="624" w:type="dxa"/>
            <w:shd w:val="clear" w:color="auto" w:fill="92D400"/>
          </w:tcPr>
          <w:p w:rsidR="00C31389" w:rsidRDefault="00561FBD" w14:paraId="518C9AAB" w14:textId="77777777">
            <w:pPr>
              <w:pStyle w:val="TableParagraph"/>
              <w:spacing w:before="41"/>
              <w:ind w:right="100"/>
              <w:jc w:val="right"/>
              <w:rPr>
                <w:b/>
                <w:sz w:val="17"/>
              </w:rPr>
            </w:pPr>
            <w:r>
              <w:rPr>
                <w:b/>
                <w:spacing w:val="-4"/>
                <w:sz w:val="17"/>
              </w:rPr>
              <w:t>2035</w:t>
            </w:r>
          </w:p>
        </w:tc>
      </w:tr>
      <w:tr w:rsidR="00C31389" w14:paraId="1DD85A8D" w14:textId="77777777">
        <w:trPr>
          <w:trHeight w:val="275"/>
        </w:trPr>
        <w:tc>
          <w:tcPr>
            <w:tcW w:w="9370" w:type="dxa"/>
            <w:gridSpan w:val="13"/>
            <w:tcBorders>
              <w:bottom w:val="single" w:color="DCDDDE" w:sz="4" w:space="0"/>
            </w:tcBorders>
            <w:shd w:val="clear" w:color="auto" w:fill="BEBEBE"/>
          </w:tcPr>
          <w:p w:rsidR="00C31389" w:rsidRDefault="00561FBD" w14:paraId="67DCD4B0"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4FD7C416" w14:textId="77777777">
        <w:trPr>
          <w:trHeight w:val="275"/>
        </w:trPr>
        <w:tc>
          <w:tcPr>
            <w:tcW w:w="1130" w:type="dxa"/>
            <w:tcBorders>
              <w:top w:val="single" w:color="DCDDDE" w:sz="4" w:space="0"/>
              <w:bottom w:val="single" w:color="DCDDDE" w:sz="4" w:space="0"/>
            </w:tcBorders>
          </w:tcPr>
          <w:p w:rsidR="00C31389" w:rsidRDefault="00561FBD" w14:paraId="10169B4F" w14:textId="77777777">
            <w:pPr>
              <w:pStyle w:val="TableParagraph"/>
              <w:ind w:left="122"/>
              <w:rPr>
                <w:sz w:val="17"/>
              </w:rPr>
            </w:pPr>
            <w:r>
              <w:rPr>
                <w:spacing w:val="-5"/>
                <w:sz w:val="17"/>
              </w:rPr>
              <w:t>EE</w:t>
            </w:r>
          </w:p>
        </w:tc>
        <w:tc>
          <w:tcPr>
            <w:tcW w:w="1070" w:type="dxa"/>
            <w:tcBorders>
              <w:top w:val="single" w:color="DCDDDE" w:sz="4" w:space="0"/>
              <w:bottom w:val="single" w:color="DCDDDE" w:sz="4" w:space="0"/>
            </w:tcBorders>
          </w:tcPr>
          <w:p w:rsidR="00C31389" w:rsidRDefault="00561FBD" w14:paraId="4E50CF22" w14:textId="77777777">
            <w:pPr>
              <w:pStyle w:val="TableParagraph"/>
              <w:ind w:right="136"/>
              <w:jc w:val="right"/>
              <w:rPr>
                <w:sz w:val="17"/>
              </w:rPr>
            </w:pPr>
            <w:r>
              <w:rPr>
                <w:spacing w:val="-4"/>
                <w:sz w:val="17"/>
              </w:rPr>
              <w:t>13.6</w:t>
            </w:r>
          </w:p>
        </w:tc>
        <w:tc>
          <w:tcPr>
            <w:tcW w:w="655" w:type="dxa"/>
            <w:tcBorders>
              <w:top w:val="single" w:color="DCDDDE" w:sz="4" w:space="0"/>
              <w:bottom w:val="single" w:color="DCDDDE" w:sz="4" w:space="0"/>
            </w:tcBorders>
          </w:tcPr>
          <w:p w:rsidR="00C31389" w:rsidRDefault="00561FBD" w14:paraId="0D27365A" w14:textId="77777777">
            <w:pPr>
              <w:pStyle w:val="TableParagraph"/>
              <w:ind w:left="99" w:right="52"/>
              <w:jc w:val="center"/>
              <w:rPr>
                <w:sz w:val="17"/>
              </w:rPr>
            </w:pPr>
            <w:r>
              <w:rPr>
                <w:spacing w:val="-4"/>
                <w:sz w:val="17"/>
              </w:rPr>
              <w:t>14.4</w:t>
            </w:r>
          </w:p>
        </w:tc>
        <w:tc>
          <w:tcPr>
            <w:tcW w:w="654" w:type="dxa"/>
            <w:tcBorders>
              <w:top w:val="single" w:color="DCDDDE" w:sz="4" w:space="0"/>
              <w:bottom w:val="single" w:color="DCDDDE" w:sz="4" w:space="0"/>
            </w:tcBorders>
          </w:tcPr>
          <w:p w:rsidR="00C31389" w:rsidRDefault="00561FBD" w14:paraId="345CDCDC" w14:textId="77777777">
            <w:pPr>
              <w:pStyle w:val="TableParagraph"/>
              <w:ind w:right="135"/>
              <w:jc w:val="right"/>
              <w:rPr>
                <w:sz w:val="17"/>
              </w:rPr>
            </w:pPr>
            <w:r>
              <w:rPr>
                <w:spacing w:val="-4"/>
                <w:sz w:val="17"/>
              </w:rPr>
              <w:t>14.3</w:t>
            </w:r>
          </w:p>
        </w:tc>
        <w:tc>
          <w:tcPr>
            <w:tcW w:w="654" w:type="dxa"/>
            <w:tcBorders>
              <w:top w:val="single" w:color="DCDDDE" w:sz="4" w:space="0"/>
              <w:bottom w:val="single" w:color="DCDDDE" w:sz="4" w:space="0"/>
            </w:tcBorders>
          </w:tcPr>
          <w:p w:rsidR="00C31389" w:rsidRDefault="00561FBD" w14:paraId="6991A64E" w14:textId="77777777">
            <w:pPr>
              <w:pStyle w:val="TableParagraph"/>
              <w:ind w:right="135"/>
              <w:jc w:val="right"/>
              <w:rPr>
                <w:sz w:val="17"/>
              </w:rPr>
            </w:pPr>
            <w:r>
              <w:rPr>
                <w:spacing w:val="-4"/>
                <w:sz w:val="17"/>
              </w:rPr>
              <w:t>14.5</w:t>
            </w:r>
          </w:p>
        </w:tc>
        <w:tc>
          <w:tcPr>
            <w:tcW w:w="655" w:type="dxa"/>
            <w:tcBorders>
              <w:top w:val="single" w:color="DCDDDE" w:sz="4" w:space="0"/>
              <w:bottom w:val="single" w:color="DCDDDE" w:sz="4" w:space="0"/>
            </w:tcBorders>
          </w:tcPr>
          <w:p w:rsidR="00C31389" w:rsidRDefault="00561FBD" w14:paraId="13A5FBFE" w14:textId="77777777">
            <w:pPr>
              <w:pStyle w:val="TableParagraph"/>
              <w:ind w:left="99" w:right="49"/>
              <w:jc w:val="center"/>
              <w:rPr>
                <w:sz w:val="17"/>
              </w:rPr>
            </w:pPr>
            <w:r>
              <w:rPr>
                <w:spacing w:val="-4"/>
                <w:sz w:val="17"/>
              </w:rPr>
              <w:t>14.5</w:t>
            </w:r>
          </w:p>
        </w:tc>
        <w:tc>
          <w:tcPr>
            <w:tcW w:w="655" w:type="dxa"/>
            <w:tcBorders>
              <w:top w:val="single" w:color="DCDDDE" w:sz="4" w:space="0"/>
              <w:bottom w:val="single" w:color="DCDDDE" w:sz="4" w:space="0"/>
            </w:tcBorders>
          </w:tcPr>
          <w:p w:rsidR="00C31389" w:rsidRDefault="00561FBD" w14:paraId="61C10A33" w14:textId="77777777">
            <w:pPr>
              <w:pStyle w:val="TableParagraph"/>
              <w:ind w:right="134"/>
              <w:jc w:val="right"/>
              <w:rPr>
                <w:sz w:val="17"/>
              </w:rPr>
            </w:pPr>
            <w:r>
              <w:rPr>
                <w:spacing w:val="-4"/>
                <w:sz w:val="17"/>
              </w:rPr>
              <w:t>14.1</w:t>
            </w:r>
          </w:p>
        </w:tc>
        <w:tc>
          <w:tcPr>
            <w:tcW w:w="655" w:type="dxa"/>
            <w:tcBorders>
              <w:top w:val="single" w:color="DCDDDE" w:sz="4" w:space="0"/>
              <w:bottom w:val="single" w:color="DCDDDE" w:sz="4" w:space="0"/>
            </w:tcBorders>
          </w:tcPr>
          <w:p w:rsidR="00C31389" w:rsidRDefault="00561FBD" w14:paraId="45B138F1" w14:textId="77777777">
            <w:pPr>
              <w:pStyle w:val="TableParagraph"/>
              <w:ind w:right="134"/>
              <w:jc w:val="right"/>
              <w:rPr>
                <w:sz w:val="17"/>
              </w:rPr>
            </w:pPr>
            <w:r>
              <w:rPr>
                <w:spacing w:val="-4"/>
                <w:sz w:val="17"/>
              </w:rPr>
              <w:t>14.5</w:t>
            </w:r>
          </w:p>
        </w:tc>
        <w:tc>
          <w:tcPr>
            <w:tcW w:w="655" w:type="dxa"/>
            <w:tcBorders>
              <w:top w:val="single" w:color="DCDDDE" w:sz="4" w:space="0"/>
              <w:bottom w:val="single" w:color="DCDDDE" w:sz="4" w:space="0"/>
            </w:tcBorders>
          </w:tcPr>
          <w:p w:rsidR="00C31389" w:rsidRDefault="00561FBD" w14:paraId="3AE25D67" w14:textId="77777777">
            <w:pPr>
              <w:pStyle w:val="TableParagraph"/>
              <w:ind w:left="99" w:right="48"/>
              <w:jc w:val="center"/>
              <w:rPr>
                <w:sz w:val="17"/>
              </w:rPr>
            </w:pPr>
            <w:r>
              <w:rPr>
                <w:spacing w:val="-4"/>
                <w:sz w:val="17"/>
              </w:rPr>
              <w:t>14.0</w:t>
            </w:r>
          </w:p>
        </w:tc>
        <w:tc>
          <w:tcPr>
            <w:tcW w:w="654" w:type="dxa"/>
            <w:tcBorders>
              <w:top w:val="single" w:color="DCDDDE" w:sz="4" w:space="0"/>
              <w:bottom w:val="single" w:color="DCDDDE" w:sz="4" w:space="0"/>
            </w:tcBorders>
          </w:tcPr>
          <w:p w:rsidR="00C31389" w:rsidRDefault="00561FBD" w14:paraId="192608D2" w14:textId="77777777">
            <w:pPr>
              <w:pStyle w:val="TableParagraph"/>
              <w:ind w:right="133"/>
              <w:jc w:val="right"/>
              <w:rPr>
                <w:sz w:val="17"/>
              </w:rPr>
            </w:pPr>
            <w:r>
              <w:rPr>
                <w:spacing w:val="-4"/>
                <w:sz w:val="17"/>
              </w:rPr>
              <w:t>13.6</w:t>
            </w:r>
          </w:p>
        </w:tc>
        <w:tc>
          <w:tcPr>
            <w:tcW w:w="654" w:type="dxa"/>
            <w:tcBorders>
              <w:top w:val="single" w:color="DCDDDE" w:sz="4" w:space="0"/>
              <w:bottom w:val="single" w:color="DCDDDE" w:sz="4" w:space="0"/>
            </w:tcBorders>
          </w:tcPr>
          <w:p w:rsidR="00C31389" w:rsidRDefault="00561FBD" w14:paraId="632D0FF1" w14:textId="77777777">
            <w:pPr>
              <w:pStyle w:val="TableParagraph"/>
              <w:ind w:left="128" w:right="76"/>
              <w:jc w:val="center"/>
              <w:rPr>
                <w:sz w:val="17"/>
              </w:rPr>
            </w:pPr>
            <w:r>
              <w:rPr>
                <w:spacing w:val="-4"/>
                <w:sz w:val="17"/>
              </w:rPr>
              <w:t>13.3</w:t>
            </w:r>
          </w:p>
        </w:tc>
        <w:tc>
          <w:tcPr>
            <w:tcW w:w="655" w:type="dxa"/>
            <w:tcBorders>
              <w:top w:val="single" w:color="DCDDDE" w:sz="4" w:space="0"/>
              <w:bottom w:val="single" w:color="DCDDDE" w:sz="4" w:space="0"/>
            </w:tcBorders>
          </w:tcPr>
          <w:p w:rsidR="00C31389" w:rsidRDefault="00561FBD" w14:paraId="52C97E78" w14:textId="77777777">
            <w:pPr>
              <w:pStyle w:val="TableParagraph"/>
              <w:ind w:left="99" w:right="46"/>
              <w:jc w:val="center"/>
              <w:rPr>
                <w:sz w:val="17"/>
              </w:rPr>
            </w:pPr>
            <w:r>
              <w:rPr>
                <w:spacing w:val="-4"/>
                <w:sz w:val="17"/>
              </w:rPr>
              <w:t>13.1</w:t>
            </w:r>
          </w:p>
        </w:tc>
        <w:tc>
          <w:tcPr>
            <w:tcW w:w="624" w:type="dxa"/>
            <w:tcBorders>
              <w:top w:val="single" w:color="DCDDDE" w:sz="4" w:space="0"/>
              <w:bottom w:val="single" w:color="DCDDDE" w:sz="4" w:space="0"/>
            </w:tcBorders>
          </w:tcPr>
          <w:p w:rsidR="00C31389" w:rsidRDefault="00561FBD" w14:paraId="1705AD58" w14:textId="77777777">
            <w:pPr>
              <w:pStyle w:val="TableParagraph"/>
              <w:ind w:right="102"/>
              <w:jc w:val="right"/>
              <w:rPr>
                <w:sz w:val="17"/>
              </w:rPr>
            </w:pPr>
            <w:r>
              <w:rPr>
                <w:spacing w:val="-4"/>
                <w:sz w:val="17"/>
              </w:rPr>
              <w:t>13.0</w:t>
            </w:r>
          </w:p>
        </w:tc>
      </w:tr>
      <w:tr w:rsidR="00C31389" w14:paraId="7F5B3EDF" w14:textId="77777777">
        <w:trPr>
          <w:trHeight w:val="275"/>
        </w:trPr>
        <w:tc>
          <w:tcPr>
            <w:tcW w:w="1130" w:type="dxa"/>
            <w:tcBorders>
              <w:top w:val="single" w:color="DCDDDE" w:sz="4" w:space="0"/>
              <w:bottom w:val="single" w:color="DCDDDE" w:sz="4" w:space="0"/>
            </w:tcBorders>
          </w:tcPr>
          <w:p w:rsidR="00C31389" w:rsidRDefault="00561FBD" w14:paraId="238A65E6" w14:textId="77777777">
            <w:pPr>
              <w:pStyle w:val="TableParagraph"/>
              <w:ind w:left="122"/>
              <w:rPr>
                <w:sz w:val="17"/>
              </w:rPr>
            </w:pPr>
            <w:r>
              <w:rPr>
                <w:spacing w:val="-5"/>
                <w:sz w:val="17"/>
              </w:rPr>
              <w:t>FS</w:t>
            </w:r>
          </w:p>
        </w:tc>
        <w:tc>
          <w:tcPr>
            <w:tcW w:w="1070" w:type="dxa"/>
            <w:tcBorders>
              <w:top w:val="single" w:color="DCDDDE" w:sz="4" w:space="0"/>
              <w:bottom w:val="single" w:color="DCDDDE" w:sz="4" w:space="0"/>
            </w:tcBorders>
          </w:tcPr>
          <w:p w:rsidR="00C31389" w:rsidRDefault="00561FBD" w14:paraId="0F73DD3C" w14:textId="77777777">
            <w:pPr>
              <w:pStyle w:val="TableParagraph"/>
              <w:ind w:right="136"/>
              <w:jc w:val="right"/>
              <w:rPr>
                <w:sz w:val="17"/>
              </w:rPr>
            </w:pPr>
            <w:r>
              <w:rPr>
                <w:spacing w:val="-2"/>
                <w:sz w:val="17"/>
              </w:rPr>
              <w:t>-</w:t>
            </w:r>
            <w:r>
              <w:rPr>
                <w:spacing w:val="-5"/>
                <w:sz w:val="17"/>
              </w:rPr>
              <w:t>0.5</w:t>
            </w:r>
          </w:p>
        </w:tc>
        <w:tc>
          <w:tcPr>
            <w:tcW w:w="655" w:type="dxa"/>
            <w:tcBorders>
              <w:top w:val="single" w:color="DCDDDE" w:sz="4" w:space="0"/>
              <w:bottom w:val="single" w:color="DCDDDE" w:sz="4" w:space="0"/>
            </w:tcBorders>
          </w:tcPr>
          <w:p w:rsidR="00C31389" w:rsidRDefault="00561FBD" w14:paraId="6AFAEE82" w14:textId="77777777">
            <w:pPr>
              <w:pStyle w:val="TableParagraph"/>
              <w:ind w:left="99" w:right="14"/>
              <w:jc w:val="center"/>
              <w:rPr>
                <w:sz w:val="17"/>
              </w:rPr>
            </w:pPr>
            <w:r>
              <w:rPr>
                <w:spacing w:val="-2"/>
                <w:sz w:val="17"/>
              </w:rPr>
              <w:t>-</w:t>
            </w:r>
            <w:r>
              <w:rPr>
                <w:spacing w:val="-5"/>
                <w:sz w:val="17"/>
              </w:rPr>
              <w:t>0.6</w:t>
            </w:r>
          </w:p>
        </w:tc>
        <w:tc>
          <w:tcPr>
            <w:tcW w:w="654" w:type="dxa"/>
            <w:tcBorders>
              <w:top w:val="single" w:color="DCDDDE" w:sz="4" w:space="0"/>
              <w:bottom w:val="single" w:color="DCDDDE" w:sz="4" w:space="0"/>
            </w:tcBorders>
          </w:tcPr>
          <w:p w:rsidR="00C31389" w:rsidRDefault="00561FBD" w14:paraId="379CD568" w14:textId="77777777">
            <w:pPr>
              <w:pStyle w:val="TableParagraph"/>
              <w:ind w:right="135"/>
              <w:jc w:val="right"/>
              <w:rPr>
                <w:sz w:val="17"/>
              </w:rPr>
            </w:pPr>
            <w:r>
              <w:rPr>
                <w:spacing w:val="-2"/>
                <w:sz w:val="17"/>
              </w:rPr>
              <w:t>-</w:t>
            </w:r>
            <w:r>
              <w:rPr>
                <w:spacing w:val="-5"/>
                <w:sz w:val="17"/>
              </w:rPr>
              <w:t>0.7</w:t>
            </w:r>
          </w:p>
        </w:tc>
        <w:tc>
          <w:tcPr>
            <w:tcW w:w="654" w:type="dxa"/>
            <w:tcBorders>
              <w:top w:val="single" w:color="DCDDDE" w:sz="4" w:space="0"/>
              <w:bottom w:val="single" w:color="DCDDDE" w:sz="4" w:space="0"/>
            </w:tcBorders>
          </w:tcPr>
          <w:p w:rsidR="00C31389" w:rsidRDefault="00561FBD" w14:paraId="16B3CB14" w14:textId="77777777">
            <w:pPr>
              <w:pStyle w:val="TableParagraph"/>
              <w:ind w:right="135"/>
              <w:jc w:val="right"/>
              <w:rPr>
                <w:sz w:val="17"/>
              </w:rPr>
            </w:pPr>
            <w:r>
              <w:rPr>
                <w:spacing w:val="-2"/>
                <w:sz w:val="17"/>
              </w:rPr>
              <w:t>-</w:t>
            </w:r>
            <w:r>
              <w:rPr>
                <w:spacing w:val="-5"/>
                <w:sz w:val="17"/>
              </w:rPr>
              <w:t>0.7</w:t>
            </w:r>
          </w:p>
        </w:tc>
        <w:tc>
          <w:tcPr>
            <w:tcW w:w="655" w:type="dxa"/>
            <w:tcBorders>
              <w:top w:val="single" w:color="DCDDDE" w:sz="4" w:space="0"/>
              <w:bottom w:val="single" w:color="DCDDDE" w:sz="4" w:space="0"/>
            </w:tcBorders>
          </w:tcPr>
          <w:p w:rsidR="00C31389" w:rsidRDefault="00561FBD" w14:paraId="0A827F02" w14:textId="77777777">
            <w:pPr>
              <w:pStyle w:val="TableParagraph"/>
              <w:ind w:left="99" w:right="11"/>
              <w:jc w:val="center"/>
              <w:rPr>
                <w:sz w:val="17"/>
              </w:rPr>
            </w:pPr>
            <w:r>
              <w:rPr>
                <w:spacing w:val="-2"/>
                <w:sz w:val="17"/>
              </w:rPr>
              <w:t>-</w:t>
            </w:r>
            <w:r>
              <w:rPr>
                <w:spacing w:val="-5"/>
                <w:sz w:val="17"/>
              </w:rPr>
              <w:t>0.8</w:t>
            </w:r>
          </w:p>
        </w:tc>
        <w:tc>
          <w:tcPr>
            <w:tcW w:w="655" w:type="dxa"/>
            <w:tcBorders>
              <w:top w:val="single" w:color="DCDDDE" w:sz="4" w:space="0"/>
              <w:bottom w:val="single" w:color="DCDDDE" w:sz="4" w:space="0"/>
            </w:tcBorders>
          </w:tcPr>
          <w:p w:rsidR="00C31389" w:rsidRDefault="00561FBD" w14:paraId="4B4F20CE" w14:textId="77777777">
            <w:pPr>
              <w:pStyle w:val="TableParagraph"/>
              <w:ind w:right="134"/>
              <w:jc w:val="right"/>
              <w:rPr>
                <w:sz w:val="17"/>
              </w:rPr>
            </w:pPr>
            <w:r>
              <w:rPr>
                <w:spacing w:val="-2"/>
                <w:sz w:val="17"/>
              </w:rPr>
              <w:t>-</w:t>
            </w:r>
            <w:r>
              <w:rPr>
                <w:spacing w:val="-5"/>
                <w:sz w:val="17"/>
              </w:rPr>
              <w:t>0.8</w:t>
            </w:r>
          </w:p>
        </w:tc>
        <w:tc>
          <w:tcPr>
            <w:tcW w:w="655" w:type="dxa"/>
            <w:tcBorders>
              <w:top w:val="single" w:color="DCDDDE" w:sz="4" w:space="0"/>
              <w:bottom w:val="single" w:color="DCDDDE" w:sz="4" w:space="0"/>
            </w:tcBorders>
          </w:tcPr>
          <w:p w:rsidR="00C31389" w:rsidRDefault="00561FBD" w14:paraId="35AA57B4" w14:textId="77777777">
            <w:pPr>
              <w:pStyle w:val="TableParagraph"/>
              <w:ind w:right="134"/>
              <w:jc w:val="right"/>
              <w:rPr>
                <w:sz w:val="17"/>
              </w:rPr>
            </w:pPr>
            <w:r>
              <w:rPr>
                <w:spacing w:val="-2"/>
                <w:sz w:val="17"/>
              </w:rPr>
              <w:t>-</w:t>
            </w:r>
            <w:r>
              <w:rPr>
                <w:spacing w:val="-5"/>
                <w:sz w:val="17"/>
              </w:rPr>
              <w:t>0.3</w:t>
            </w:r>
          </w:p>
        </w:tc>
        <w:tc>
          <w:tcPr>
            <w:tcW w:w="655" w:type="dxa"/>
            <w:tcBorders>
              <w:top w:val="single" w:color="DCDDDE" w:sz="4" w:space="0"/>
              <w:bottom w:val="single" w:color="DCDDDE" w:sz="4" w:space="0"/>
            </w:tcBorders>
          </w:tcPr>
          <w:p w:rsidR="00C31389" w:rsidRDefault="00561FBD" w14:paraId="62F35833" w14:textId="77777777">
            <w:pPr>
              <w:pStyle w:val="TableParagraph"/>
              <w:ind w:left="99" w:right="10"/>
              <w:jc w:val="center"/>
              <w:rPr>
                <w:sz w:val="17"/>
              </w:rPr>
            </w:pPr>
            <w:r>
              <w:rPr>
                <w:spacing w:val="-2"/>
                <w:sz w:val="17"/>
              </w:rPr>
              <w:t>-</w:t>
            </w:r>
            <w:r>
              <w:rPr>
                <w:spacing w:val="-5"/>
                <w:sz w:val="17"/>
              </w:rPr>
              <w:t>0.3</w:t>
            </w:r>
          </w:p>
        </w:tc>
        <w:tc>
          <w:tcPr>
            <w:tcW w:w="654" w:type="dxa"/>
            <w:tcBorders>
              <w:top w:val="single" w:color="DCDDDE" w:sz="4" w:space="0"/>
              <w:bottom w:val="single" w:color="DCDDDE" w:sz="4" w:space="0"/>
            </w:tcBorders>
          </w:tcPr>
          <w:p w:rsidR="00C31389" w:rsidRDefault="00561FBD" w14:paraId="2C8B8521" w14:textId="77777777">
            <w:pPr>
              <w:pStyle w:val="TableParagraph"/>
              <w:ind w:right="133"/>
              <w:jc w:val="right"/>
              <w:rPr>
                <w:sz w:val="17"/>
              </w:rPr>
            </w:pPr>
            <w:r>
              <w:rPr>
                <w:spacing w:val="-2"/>
                <w:sz w:val="17"/>
              </w:rPr>
              <w:t>-</w:t>
            </w:r>
            <w:r>
              <w:rPr>
                <w:spacing w:val="-5"/>
                <w:sz w:val="17"/>
              </w:rPr>
              <w:t>0.3</w:t>
            </w:r>
          </w:p>
        </w:tc>
        <w:tc>
          <w:tcPr>
            <w:tcW w:w="654" w:type="dxa"/>
            <w:tcBorders>
              <w:top w:val="single" w:color="DCDDDE" w:sz="4" w:space="0"/>
              <w:bottom w:val="single" w:color="DCDDDE" w:sz="4" w:space="0"/>
            </w:tcBorders>
          </w:tcPr>
          <w:p w:rsidR="00C31389" w:rsidRDefault="00561FBD" w14:paraId="7F7F0C57" w14:textId="77777777">
            <w:pPr>
              <w:pStyle w:val="TableParagraph"/>
              <w:ind w:left="128" w:right="37"/>
              <w:jc w:val="center"/>
              <w:rPr>
                <w:sz w:val="17"/>
              </w:rPr>
            </w:pPr>
            <w:r>
              <w:rPr>
                <w:spacing w:val="-2"/>
                <w:sz w:val="17"/>
              </w:rPr>
              <w:t>-</w:t>
            </w:r>
            <w:r>
              <w:rPr>
                <w:spacing w:val="-5"/>
                <w:sz w:val="17"/>
              </w:rPr>
              <w:t>0.3</w:t>
            </w:r>
          </w:p>
        </w:tc>
        <w:tc>
          <w:tcPr>
            <w:tcW w:w="655" w:type="dxa"/>
            <w:tcBorders>
              <w:top w:val="single" w:color="DCDDDE" w:sz="4" w:space="0"/>
              <w:bottom w:val="single" w:color="DCDDDE" w:sz="4" w:space="0"/>
            </w:tcBorders>
          </w:tcPr>
          <w:p w:rsidR="00C31389" w:rsidRDefault="00561FBD" w14:paraId="48095F24" w14:textId="77777777">
            <w:pPr>
              <w:pStyle w:val="TableParagraph"/>
              <w:ind w:left="99" w:right="7"/>
              <w:jc w:val="center"/>
              <w:rPr>
                <w:sz w:val="17"/>
              </w:rPr>
            </w:pPr>
            <w:r>
              <w:rPr>
                <w:spacing w:val="-2"/>
                <w:sz w:val="17"/>
              </w:rPr>
              <w:t>-</w:t>
            </w:r>
            <w:r>
              <w:rPr>
                <w:spacing w:val="-5"/>
                <w:sz w:val="17"/>
              </w:rPr>
              <w:t>0.3</w:t>
            </w:r>
          </w:p>
        </w:tc>
        <w:tc>
          <w:tcPr>
            <w:tcW w:w="624" w:type="dxa"/>
            <w:tcBorders>
              <w:top w:val="single" w:color="DCDDDE" w:sz="4" w:space="0"/>
              <w:bottom w:val="single" w:color="DCDDDE" w:sz="4" w:space="0"/>
            </w:tcBorders>
          </w:tcPr>
          <w:p w:rsidR="00C31389" w:rsidRDefault="00561FBD" w14:paraId="2A93B388" w14:textId="77777777">
            <w:pPr>
              <w:pStyle w:val="TableParagraph"/>
              <w:ind w:right="101"/>
              <w:jc w:val="right"/>
              <w:rPr>
                <w:sz w:val="17"/>
              </w:rPr>
            </w:pPr>
            <w:r>
              <w:rPr>
                <w:spacing w:val="-2"/>
                <w:sz w:val="17"/>
              </w:rPr>
              <w:t>-</w:t>
            </w:r>
            <w:r>
              <w:rPr>
                <w:spacing w:val="-5"/>
                <w:sz w:val="17"/>
              </w:rPr>
              <w:t>0.4</w:t>
            </w:r>
          </w:p>
        </w:tc>
      </w:tr>
      <w:tr w:rsidR="00C31389" w14:paraId="4C457246" w14:textId="77777777">
        <w:trPr>
          <w:trHeight w:val="275"/>
        </w:trPr>
        <w:tc>
          <w:tcPr>
            <w:tcW w:w="1130" w:type="dxa"/>
            <w:tcBorders>
              <w:top w:val="single" w:color="DCDDDE" w:sz="4" w:space="0"/>
              <w:bottom w:val="single" w:color="DCDDDE" w:sz="4" w:space="0"/>
            </w:tcBorders>
          </w:tcPr>
          <w:p w:rsidR="00C31389" w:rsidRDefault="00561FBD" w14:paraId="6A87E260" w14:textId="77777777">
            <w:pPr>
              <w:pStyle w:val="TableParagraph"/>
              <w:ind w:left="122"/>
              <w:rPr>
                <w:sz w:val="17"/>
              </w:rPr>
            </w:pPr>
            <w:r>
              <w:rPr>
                <w:spacing w:val="-4"/>
                <w:sz w:val="17"/>
              </w:rPr>
              <w:t>BROs</w:t>
            </w:r>
          </w:p>
        </w:tc>
        <w:tc>
          <w:tcPr>
            <w:tcW w:w="1070" w:type="dxa"/>
            <w:tcBorders>
              <w:top w:val="single" w:color="DCDDDE" w:sz="4" w:space="0"/>
              <w:bottom w:val="single" w:color="DCDDDE" w:sz="4" w:space="0"/>
            </w:tcBorders>
          </w:tcPr>
          <w:p w:rsidR="00C31389" w:rsidRDefault="00561FBD" w14:paraId="7A047655" w14:textId="77777777">
            <w:pPr>
              <w:pStyle w:val="TableParagraph"/>
              <w:ind w:right="136"/>
              <w:jc w:val="right"/>
              <w:rPr>
                <w:sz w:val="17"/>
              </w:rPr>
            </w:pPr>
            <w:r>
              <w:rPr>
                <w:spacing w:val="-4"/>
                <w:sz w:val="17"/>
              </w:rPr>
              <w:t>45.4</w:t>
            </w:r>
          </w:p>
        </w:tc>
        <w:tc>
          <w:tcPr>
            <w:tcW w:w="655" w:type="dxa"/>
            <w:tcBorders>
              <w:top w:val="single" w:color="DCDDDE" w:sz="4" w:space="0"/>
              <w:bottom w:val="single" w:color="DCDDDE" w:sz="4" w:space="0"/>
            </w:tcBorders>
          </w:tcPr>
          <w:p w:rsidR="00C31389" w:rsidRDefault="00561FBD" w14:paraId="183C8594" w14:textId="77777777">
            <w:pPr>
              <w:pStyle w:val="TableParagraph"/>
              <w:ind w:left="99" w:right="52"/>
              <w:jc w:val="center"/>
              <w:rPr>
                <w:sz w:val="17"/>
              </w:rPr>
            </w:pPr>
            <w:r>
              <w:rPr>
                <w:spacing w:val="-4"/>
                <w:sz w:val="17"/>
              </w:rPr>
              <w:t>47.7</w:t>
            </w:r>
          </w:p>
        </w:tc>
        <w:tc>
          <w:tcPr>
            <w:tcW w:w="654" w:type="dxa"/>
            <w:tcBorders>
              <w:top w:val="single" w:color="DCDDDE" w:sz="4" w:space="0"/>
              <w:bottom w:val="single" w:color="DCDDDE" w:sz="4" w:space="0"/>
            </w:tcBorders>
          </w:tcPr>
          <w:p w:rsidR="00C31389" w:rsidRDefault="00561FBD" w14:paraId="64DD4B6A" w14:textId="77777777">
            <w:pPr>
              <w:pStyle w:val="TableParagraph"/>
              <w:ind w:right="135"/>
              <w:jc w:val="right"/>
              <w:rPr>
                <w:sz w:val="17"/>
              </w:rPr>
            </w:pPr>
            <w:r>
              <w:rPr>
                <w:spacing w:val="-4"/>
                <w:sz w:val="17"/>
              </w:rPr>
              <w:t>50.0</w:t>
            </w:r>
          </w:p>
        </w:tc>
        <w:tc>
          <w:tcPr>
            <w:tcW w:w="654" w:type="dxa"/>
            <w:tcBorders>
              <w:top w:val="single" w:color="DCDDDE" w:sz="4" w:space="0"/>
              <w:bottom w:val="single" w:color="DCDDDE" w:sz="4" w:space="0"/>
            </w:tcBorders>
          </w:tcPr>
          <w:p w:rsidR="00C31389" w:rsidRDefault="00561FBD" w14:paraId="18A31ABF" w14:textId="77777777">
            <w:pPr>
              <w:pStyle w:val="TableParagraph"/>
              <w:ind w:right="135"/>
              <w:jc w:val="right"/>
              <w:rPr>
                <w:sz w:val="17"/>
              </w:rPr>
            </w:pPr>
            <w:r>
              <w:rPr>
                <w:spacing w:val="-4"/>
                <w:sz w:val="17"/>
              </w:rPr>
              <w:t>51.8</w:t>
            </w:r>
          </w:p>
        </w:tc>
        <w:tc>
          <w:tcPr>
            <w:tcW w:w="655" w:type="dxa"/>
            <w:tcBorders>
              <w:top w:val="single" w:color="DCDDDE" w:sz="4" w:space="0"/>
              <w:bottom w:val="single" w:color="DCDDDE" w:sz="4" w:space="0"/>
            </w:tcBorders>
          </w:tcPr>
          <w:p w:rsidR="00C31389" w:rsidRDefault="00561FBD" w14:paraId="4445C0D1" w14:textId="77777777">
            <w:pPr>
              <w:pStyle w:val="TableParagraph"/>
              <w:ind w:left="99" w:right="49"/>
              <w:jc w:val="center"/>
              <w:rPr>
                <w:sz w:val="17"/>
              </w:rPr>
            </w:pPr>
            <w:r>
              <w:rPr>
                <w:spacing w:val="-4"/>
                <w:sz w:val="17"/>
              </w:rPr>
              <w:t>53.4</w:t>
            </w:r>
          </w:p>
        </w:tc>
        <w:tc>
          <w:tcPr>
            <w:tcW w:w="655" w:type="dxa"/>
            <w:tcBorders>
              <w:top w:val="single" w:color="DCDDDE" w:sz="4" w:space="0"/>
              <w:bottom w:val="single" w:color="DCDDDE" w:sz="4" w:space="0"/>
            </w:tcBorders>
          </w:tcPr>
          <w:p w:rsidR="00C31389" w:rsidRDefault="00561FBD" w14:paraId="4302EAF1" w14:textId="77777777">
            <w:pPr>
              <w:pStyle w:val="TableParagraph"/>
              <w:ind w:right="134"/>
              <w:jc w:val="right"/>
              <w:rPr>
                <w:sz w:val="17"/>
              </w:rPr>
            </w:pPr>
            <w:r>
              <w:rPr>
                <w:spacing w:val="-4"/>
                <w:sz w:val="17"/>
              </w:rPr>
              <w:t>55.2</w:t>
            </w:r>
          </w:p>
        </w:tc>
        <w:tc>
          <w:tcPr>
            <w:tcW w:w="655" w:type="dxa"/>
            <w:tcBorders>
              <w:top w:val="single" w:color="DCDDDE" w:sz="4" w:space="0"/>
              <w:bottom w:val="single" w:color="DCDDDE" w:sz="4" w:space="0"/>
            </w:tcBorders>
          </w:tcPr>
          <w:p w:rsidR="00C31389" w:rsidRDefault="00561FBD" w14:paraId="61FBF14C" w14:textId="77777777">
            <w:pPr>
              <w:pStyle w:val="TableParagraph"/>
              <w:ind w:right="134"/>
              <w:jc w:val="right"/>
              <w:rPr>
                <w:sz w:val="17"/>
              </w:rPr>
            </w:pPr>
            <w:r>
              <w:rPr>
                <w:spacing w:val="-4"/>
                <w:sz w:val="17"/>
              </w:rPr>
              <w:t>57.1</w:t>
            </w:r>
          </w:p>
        </w:tc>
        <w:tc>
          <w:tcPr>
            <w:tcW w:w="655" w:type="dxa"/>
            <w:tcBorders>
              <w:top w:val="single" w:color="DCDDDE" w:sz="4" w:space="0"/>
              <w:bottom w:val="single" w:color="DCDDDE" w:sz="4" w:space="0"/>
            </w:tcBorders>
          </w:tcPr>
          <w:p w:rsidR="00C31389" w:rsidRDefault="00561FBD" w14:paraId="1964D0F8" w14:textId="77777777">
            <w:pPr>
              <w:pStyle w:val="TableParagraph"/>
              <w:ind w:left="99" w:right="48"/>
              <w:jc w:val="center"/>
              <w:rPr>
                <w:sz w:val="17"/>
              </w:rPr>
            </w:pPr>
            <w:r>
              <w:rPr>
                <w:spacing w:val="-4"/>
                <w:sz w:val="17"/>
              </w:rPr>
              <w:t>59.0</w:t>
            </w:r>
          </w:p>
        </w:tc>
        <w:tc>
          <w:tcPr>
            <w:tcW w:w="654" w:type="dxa"/>
            <w:tcBorders>
              <w:top w:val="single" w:color="DCDDDE" w:sz="4" w:space="0"/>
              <w:bottom w:val="single" w:color="DCDDDE" w:sz="4" w:space="0"/>
            </w:tcBorders>
          </w:tcPr>
          <w:p w:rsidR="00C31389" w:rsidRDefault="00561FBD" w14:paraId="4BB18433" w14:textId="77777777">
            <w:pPr>
              <w:pStyle w:val="TableParagraph"/>
              <w:ind w:right="133"/>
              <w:jc w:val="right"/>
              <w:rPr>
                <w:sz w:val="17"/>
              </w:rPr>
            </w:pPr>
            <w:r>
              <w:rPr>
                <w:spacing w:val="-4"/>
                <w:sz w:val="17"/>
              </w:rPr>
              <w:t>60.8</w:t>
            </w:r>
          </w:p>
        </w:tc>
        <w:tc>
          <w:tcPr>
            <w:tcW w:w="654" w:type="dxa"/>
            <w:tcBorders>
              <w:top w:val="single" w:color="DCDDDE" w:sz="4" w:space="0"/>
              <w:bottom w:val="single" w:color="DCDDDE" w:sz="4" w:space="0"/>
            </w:tcBorders>
          </w:tcPr>
          <w:p w:rsidR="00C31389" w:rsidRDefault="00561FBD" w14:paraId="742964A7" w14:textId="77777777">
            <w:pPr>
              <w:pStyle w:val="TableParagraph"/>
              <w:ind w:left="128" w:right="76"/>
              <w:jc w:val="center"/>
              <w:rPr>
                <w:sz w:val="17"/>
              </w:rPr>
            </w:pPr>
            <w:r>
              <w:rPr>
                <w:spacing w:val="-4"/>
                <w:sz w:val="17"/>
              </w:rPr>
              <w:t>62.9</w:t>
            </w:r>
          </w:p>
        </w:tc>
        <w:tc>
          <w:tcPr>
            <w:tcW w:w="655" w:type="dxa"/>
            <w:tcBorders>
              <w:top w:val="single" w:color="DCDDDE" w:sz="4" w:space="0"/>
              <w:bottom w:val="single" w:color="DCDDDE" w:sz="4" w:space="0"/>
            </w:tcBorders>
          </w:tcPr>
          <w:p w:rsidR="00C31389" w:rsidRDefault="00561FBD" w14:paraId="7307497C" w14:textId="77777777">
            <w:pPr>
              <w:pStyle w:val="TableParagraph"/>
              <w:ind w:left="99" w:right="45"/>
              <w:jc w:val="center"/>
              <w:rPr>
                <w:sz w:val="17"/>
              </w:rPr>
            </w:pPr>
            <w:r>
              <w:rPr>
                <w:spacing w:val="-4"/>
                <w:sz w:val="17"/>
              </w:rPr>
              <w:t>63.9</w:t>
            </w:r>
          </w:p>
        </w:tc>
        <w:tc>
          <w:tcPr>
            <w:tcW w:w="624" w:type="dxa"/>
            <w:tcBorders>
              <w:top w:val="single" w:color="DCDDDE" w:sz="4" w:space="0"/>
              <w:bottom w:val="single" w:color="DCDDDE" w:sz="4" w:space="0"/>
            </w:tcBorders>
          </w:tcPr>
          <w:p w:rsidR="00C31389" w:rsidRDefault="00561FBD" w14:paraId="799B0CC2" w14:textId="77777777">
            <w:pPr>
              <w:pStyle w:val="TableParagraph"/>
              <w:ind w:right="101"/>
              <w:jc w:val="right"/>
              <w:rPr>
                <w:sz w:val="17"/>
              </w:rPr>
            </w:pPr>
            <w:r>
              <w:rPr>
                <w:spacing w:val="-4"/>
                <w:sz w:val="17"/>
              </w:rPr>
              <w:t>66.2</w:t>
            </w:r>
          </w:p>
        </w:tc>
      </w:tr>
      <w:tr w:rsidR="00C31389" w14:paraId="2217A41E"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1F3DD4C1"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5D0BB8AC" w14:textId="77777777">
        <w:trPr>
          <w:trHeight w:val="274"/>
        </w:trPr>
        <w:tc>
          <w:tcPr>
            <w:tcW w:w="1130" w:type="dxa"/>
            <w:tcBorders>
              <w:top w:val="single" w:color="DCDDDE" w:sz="4" w:space="0"/>
              <w:bottom w:val="single" w:color="DCDDDE" w:sz="4" w:space="0"/>
            </w:tcBorders>
          </w:tcPr>
          <w:p w:rsidR="00C31389" w:rsidRDefault="00561FBD" w14:paraId="7FFFC89E" w14:textId="77777777">
            <w:pPr>
              <w:pStyle w:val="TableParagraph"/>
              <w:ind w:left="122"/>
              <w:rPr>
                <w:sz w:val="17"/>
              </w:rPr>
            </w:pPr>
            <w:r>
              <w:rPr>
                <w:spacing w:val="-5"/>
                <w:sz w:val="17"/>
              </w:rPr>
              <w:t>EE</w:t>
            </w:r>
          </w:p>
        </w:tc>
        <w:tc>
          <w:tcPr>
            <w:tcW w:w="1070" w:type="dxa"/>
            <w:tcBorders>
              <w:top w:val="single" w:color="DCDDDE" w:sz="4" w:space="0"/>
              <w:bottom w:val="single" w:color="DCDDDE" w:sz="4" w:space="0"/>
            </w:tcBorders>
          </w:tcPr>
          <w:p w:rsidR="00C31389" w:rsidRDefault="00561FBD" w14:paraId="12C05EAC" w14:textId="77777777">
            <w:pPr>
              <w:pStyle w:val="TableParagraph"/>
              <w:ind w:right="136"/>
              <w:jc w:val="right"/>
              <w:rPr>
                <w:sz w:val="17"/>
              </w:rPr>
            </w:pPr>
            <w:r>
              <w:rPr>
                <w:spacing w:val="-4"/>
                <w:sz w:val="17"/>
              </w:rPr>
              <w:t>16.1</w:t>
            </w:r>
          </w:p>
        </w:tc>
        <w:tc>
          <w:tcPr>
            <w:tcW w:w="655" w:type="dxa"/>
            <w:tcBorders>
              <w:top w:val="single" w:color="DCDDDE" w:sz="4" w:space="0"/>
              <w:bottom w:val="single" w:color="DCDDDE" w:sz="4" w:space="0"/>
            </w:tcBorders>
          </w:tcPr>
          <w:p w:rsidR="00C31389" w:rsidRDefault="00561FBD" w14:paraId="78FC96F7" w14:textId="77777777">
            <w:pPr>
              <w:pStyle w:val="TableParagraph"/>
              <w:ind w:left="99" w:right="52"/>
              <w:jc w:val="center"/>
              <w:rPr>
                <w:sz w:val="17"/>
              </w:rPr>
            </w:pPr>
            <w:r>
              <w:rPr>
                <w:spacing w:val="-4"/>
                <w:sz w:val="17"/>
              </w:rPr>
              <w:t>15.9</w:t>
            </w:r>
          </w:p>
        </w:tc>
        <w:tc>
          <w:tcPr>
            <w:tcW w:w="654" w:type="dxa"/>
            <w:tcBorders>
              <w:top w:val="single" w:color="DCDDDE" w:sz="4" w:space="0"/>
              <w:bottom w:val="single" w:color="DCDDDE" w:sz="4" w:space="0"/>
            </w:tcBorders>
          </w:tcPr>
          <w:p w:rsidR="00C31389" w:rsidRDefault="00561FBD" w14:paraId="0D388190" w14:textId="77777777">
            <w:pPr>
              <w:pStyle w:val="TableParagraph"/>
              <w:ind w:right="135"/>
              <w:jc w:val="right"/>
              <w:rPr>
                <w:sz w:val="17"/>
              </w:rPr>
            </w:pPr>
            <w:r>
              <w:rPr>
                <w:spacing w:val="-4"/>
                <w:sz w:val="17"/>
              </w:rPr>
              <w:t>15.8</w:t>
            </w:r>
          </w:p>
        </w:tc>
        <w:tc>
          <w:tcPr>
            <w:tcW w:w="654" w:type="dxa"/>
            <w:tcBorders>
              <w:top w:val="single" w:color="DCDDDE" w:sz="4" w:space="0"/>
              <w:bottom w:val="single" w:color="DCDDDE" w:sz="4" w:space="0"/>
            </w:tcBorders>
          </w:tcPr>
          <w:p w:rsidR="00C31389" w:rsidRDefault="00561FBD" w14:paraId="4BCF204B" w14:textId="77777777">
            <w:pPr>
              <w:pStyle w:val="TableParagraph"/>
              <w:ind w:right="135"/>
              <w:jc w:val="right"/>
              <w:rPr>
                <w:sz w:val="17"/>
              </w:rPr>
            </w:pPr>
            <w:r>
              <w:rPr>
                <w:spacing w:val="-4"/>
                <w:sz w:val="17"/>
              </w:rPr>
              <w:t>15.6</w:t>
            </w:r>
          </w:p>
        </w:tc>
        <w:tc>
          <w:tcPr>
            <w:tcW w:w="655" w:type="dxa"/>
            <w:tcBorders>
              <w:top w:val="single" w:color="DCDDDE" w:sz="4" w:space="0"/>
              <w:bottom w:val="single" w:color="DCDDDE" w:sz="4" w:space="0"/>
            </w:tcBorders>
          </w:tcPr>
          <w:p w:rsidR="00C31389" w:rsidRDefault="00561FBD" w14:paraId="6416B2D0" w14:textId="77777777">
            <w:pPr>
              <w:pStyle w:val="TableParagraph"/>
              <w:ind w:left="99" w:right="49"/>
              <w:jc w:val="center"/>
              <w:rPr>
                <w:sz w:val="17"/>
              </w:rPr>
            </w:pPr>
            <w:r>
              <w:rPr>
                <w:spacing w:val="-4"/>
                <w:sz w:val="17"/>
              </w:rPr>
              <w:t>15.5</w:t>
            </w:r>
          </w:p>
        </w:tc>
        <w:tc>
          <w:tcPr>
            <w:tcW w:w="655" w:type="dxa"/>
            <w:tcBorders>
              <w:top w:val="single" w:color="DCDDDE" w:sz="4" w:space="0"/>
              <w:bottom w:val="single" w:color="DCDDDE" w:sz="4" w:space="0"/>
            </w:tcBorders>
          </w:tcPr>
          <w:p w:rsidR="00C31389" w:rsidRDefault="00561FBD" w14:paraId="55D6C009" w14:textId="77777777">
            <w:pPr>
              <w:pStyle w:val="TableParagraph"/>
              <w:ind w:right="134"/>
              <w:jc w:val="right"/>
              <w:rPr>
                <w:sz w:val="17"/>
              </w:rPr>
            </w:pPr>
            <w:r>
              <w:rPr>
                <w:spacing w:val="-4"/>
                <w:sz w:val="17"/>
              </w:rPr>
              <w:t>15.0</w:t>
            </w:r>
          </w:p>
        </w:tc>
        <w:tc>
          <w:tcPr>
            <w:tcW w:w="655" w:type="dxa"/>
            <w:tcBorders>
              <w:top w:val="single" w:color="DCDDDE" w:sz="4" w:space="0"/>
              <w:bottom w:val="single" w:color="DCDDDE" w:sz="4" w:space="0"/>
            </w:tcBorders>
          </w:tcPr>
          <w:p w:rsidR="00C31389" w:rsidRDefault="00561FBD" w14:paraId="2A91F762" w14:textId="77777777">
            <w:pPr>
              <w:pStyle w:val="TableParagraph"/>
              <w:ind w:right="134"/>
              <w:jc w:val="right"/>
              <w:rPr>
                <w:sz w:val="17"/>
              </w:rPr>
            </w:pPr>
            <w:r>
              <w:rPr>
                <w:spacing w:val="-4"/>
                <w:sz w:val="17"/>
              </w:rPr>
              <w:t>15.3</w:t>
            </w:r>
          </w:p>
        </w:tc>
        <w:tc>
          <w:tcPr>
            <w:tcW w:w="655" w:type="dxa"/>
            <w:tcBorders>
              <w:top w:val="single" w:color="DCDDDE" w:sz="4" w:space="0"/>
              <w:bottom w:val="single" w:color="DCDDDE" w:sz="4" w:space="0"/>
            </w:tcBorders>
          </w:tcPr>
          <w:p w:rsidR="00C31389" w:rsidRDefault="00561FBD" w14:paraId="3CCC2379" w14:textId="77777777">
            <w:pPr>
              <w:pStyle w:val="TableParagraph"/>
              <w:ind w:left="99" w:right="49"/>
              <w:jc w:val="center"/>
              <w:rPr>
                <w:sz w:val="17"/>
              </w:rPr>
            </w:pPr>
            <w:r>
              <w:rPr>
                <w:spacing w:val="-4"/>
                <w:sz w:val="17"/>
              </w:rPr>
              <w:t>14.8</w:t>
            </w:r>
          </w:p>
        </w:tc>
        <w:tc>
          <w:tcPr>
            <w:tcW w:w="654" w:type="dxa"/>
            <w:tcBorders>
              <w:top w:val="single" w:color="DCDDDE" w:sz="4" w:space="0"/>
              <w:bottom w:val="single" w:color="DCDDDE" w:sz="4" w:space="0"/>
            </w:tcBorders>
          </w:tcPr>
          <w:p w:rsidR="00C31389" w:rsidRDefault="00561FBD" w14:paraId="7E79AD9F" w14:textId="77777777">
            <w:pPr>
              <w:pStyle w:val="TableParagraph"/>
              <w:ind w:right="133"/>
              <w:jc w:val="right"/>
              <w:rPr>
                <w:sz w:val="17"/>
              </w:rPr>
            </w:pPr>
            <w:r>
              <w:rPr>
                <w:spacing w:val="-4"/>
                <w:sz w:val="17"/>
              </w:rPr>
              <w:t>14.3</w:t>
            </w:r>
          </w:p>
        </w:tc>
        <w:tc>
          <w:tcPr>
            <w:tcW w:w="654" w:type="dxa"/>
            <w:tcBorders>
              <w:top w:val="single" w:color="DCDDDE" w:sz="4" w:space="0"/>
              <w:bottom w:val="single" w:color="DCDDDE" w:sz="4" w:space="0"/>
            </w:tcBorders>
          </w:tcPr>
          <w:p w:rsidR="00C31389" w:rsidRDefault="00561FBD" w14:paraId="1D06B6B5" w14:textId="77777777">
            <w:pPr>
              <w:pStyle w:val="TableParagraph"/>
              <w:ind w:left="128" w:right="76"/>
              <w:jc w:val="center"/>
              <w:rPr>
                <w:sz w:val="17"/>
              </w:rPr>
            </w:pPr>
            <w:r>
              <w:rPr>
                <w:spacing w:val="-4"/>
                <w:sz w:val="17"/>
              </w:rPr>
              <w:t>13.4</w:t>
            </w:r>
          </w:p>
        </w:tc>
        <w:tc>
          <w:tcPr>
            <w:tcW w:w="655" w:type="dxa"/>
            <w:tcBorders>
              <w:top w:val="single" w:color="DCDDDE" w:sz="4" w:space="0"/>
              <w:bottom w:val="single" w:color="DCDDDE" w:sz="4" w:space="0"/>
            </w:tcBorders>
          </w:tcPr>
          <w:p w:rsidR="00C31389" w:rsidRDefault="00561FBD" w14:paraId="259C00AB" w14:textId="77777777">
            <w:pPr>
              <w:pStyle w:val="TableParagraph"/>
              <w:ind w:left="99" w:right="46"/>
              <w:jc w:val="center"/>
              <w:rPr>
                <w:sz w:val="17"/>
              </w:rPr>
            </w:pPr>
            <w:r>
              <w:rPr>
                <w:spacing w:val="-4"/>
                <w:sz w:val="17"/>
              </w:rPr>
              <w:t>13.1</w:t>
            </w:r>
          </w:p>
        </w:tc>
        <w:tc>
          <w:tcPr>
            <w:tcW w:w="624" w:type="dxa"/>
            <w:tcBorders>
              <w:top w:val="single" w:color="DCDDDE" w:sz="4" w:space="0"/>
              <w:bottom w:val="single" w:color="DCDDDE" w:sz="4" w:space="0"/>
            </w:tcBorders>
          </w:tcPr>
          <w:p w:rsidR="00C31389" w:rsidRDefault="00561FBD" w14:paraId="6CD25B76" w14:textId="77777777">
            <w:pPr>
              <w:pStyle w:val="TableParagraph"/>
              <w:ind w:right="102"/>
              <w:jc w:val="right"/>
              <w:rPr>
                <w:sz w:val="17"/>
              </w:rPr>
            </w:pPr>
            <w:r>
              <w:rPr>
                <w:spacing w:val="-4"/>
                <w:sz w:val="17"/>
              </w:rPr>
              <w:t>13.0</w:t>
            </w:r>
          </w:p>
        </w:tc>
      </w:tr>
      <w:tr w:rsidR="00C31389" w14:paraId="137F2C93" w14:textId="77777777">
        <w:trPr>
          <w:trHeight w:val="275"/>
        </w:trPr>
        <w:tc>
          <w:tcPr>
            <w:tcW w:w="1130" w:type="dxa"/>
            <w:tcBorders>
              <w:top w:val="single" w:color="DCDDDE" w:sz="4" w:space="0"/>
              <w:bottom w:val="single" w:color="DCDDDE" w:sz="4" w:space="0"/>
            </w:tcBorders>
          </w:tcPr>
          <w:p w:rsidR="00C31389" w:rsidRDefault="00561FBD" w14:paraId="25B89399" w14:textId="77777777">
            <w:pPr>
              <w:pStyle w:val="TableParagraph"/>
              <w:spacing w:before="42"/>
              <w:ind w:left="122"/>
              <w:rPr>
                <w:sz w:val="17"/>
              </w:rPr>
            </w:pPr>
            <w:r>
              <w:rPr>
                <w:spacing w:val="-5"/>
                <w:sz w:val="17"/>
              </w:rPr>
              <w:t>FS</w:t>
            </w:r>
          </w:p>
        </w:tc>
        <w:tc>
          <w:tcPr>
            <w:tcW w:w="1070" w:type="dxa"/>
            <w:tcBorders>
              <w:top w:val="single" w:color="DCDDDE" w:sz="4" w:space="0"/>
              <w:bottom w:val="single" w:color="DCDDDE" w:sz="4" w:space="0"/>
            </w:tcBorders>
          </w:tcPr>
          <w:p w:rsidR="00C31389" w:rsidRDefault="00561FBD" w14:paraId="35032AC0" w14:textId="77777777">
            <w:pPr>
              <w:pStyle w:val="TableParagraph"/>
              <w:spacing w:before="42"/>
              <w:ind w:right="136"/>
              <w:jc w:val="right"/>
              <w:rPr>
                <w:sz w:val="17"/>
              </w:rPr>
            </w:pPr>
            <w:r>
              <w:rPr>
                <w:spacing w:val="-2"/>
                <w:sz w:val="17"/>
              </w:rPr>
              <w:t>-</w:t>
            </w:r>
            <w:r>
              <w:rPr>
                <w:spacing w:val="-5"/>
                <w:sz w:val="17"/>
              </w:rPr>
              <w:t>0.5</w:t>
            </w:r>
          </w:p>
        </w:tc>
        <w:tc>
          <w:tcPr>
            <w:tcW w:w="655" w:type="dxa"/>
            <w:tcBorders>
              <w:top w:val="single" w:color="DCDDDE" w:sz="4" w:space="0"/>
              <w:bottom w:val="single" w:color="DCDDDE" w:sz="4" w:space="0"/>
            </w:tcBorders>
          </w:tcPr>
          <w:p w:rsidR="00C31389" w:rsidRDefault="00561FBD" w14:paraId="558BDD3E" w14:textId="77777777">
            <w:pPr>
              <w:pStyle w:val="TableParagraph"/>
              <w:spacing w:before="42"/>
              <w:ind w:left="99" w:right="14"/>
              <w:jc w:val="center"/>
              <w:rPr>
                <w:sz w:val="17"/>
              </w:rPr>
            </w:pPr>
            <w:r>
              <w:rPr>
                <w:spacing w:val="-2"/>
                <w:sz w:val="17"/>
              </w:rPr>
              <w:t>-</w:t>
            </w:r>
            <w:r>
              <w:rPr>
                <w:spacing w:val="-5"/>
                <w:sz w:val="17"/>
              </w:rPr>
              <w:t>0.6</w:t>
            </w:r>
          </w:p>
        </w:tc>
        <w:tc>
          <w:tcPr>
            <w:tcW w:w="654" w:type="dxa"/>
            <w:tcBorders>
              <w:top w:val="single" w:color="DCDDDE" w:sz="4" w:space="0"/>
              <w:bottom w:val="single" w:color="DCDDDE" w:sz="4" w:space="0"/>
            </w:tcBorders>
          </w:tcPr>
          <w:p w:rsidR="00C31389" w:rsidRDefault="00561FBD" w14:paraId="71B37707" w14:textId="77777777">
            <w:pPr>
              <w:pStyle w:val="TableParagraph"/>
              <w:spacing w:before="42"/>
              <w:ind w:right="135"/>
              <w:jc w:val="right"/>
              <w:rPr>
                <w:sz w:val="17"/>
              </w:rPr>
            </w:pPr>
            <w:r>
              <w:rPr>
                <w:spacing w:val="-2"/>
                <w:sz w:val="17"/>
              </w:rPr>
              <w:t>-</w:t>
            </w:r>
            <w:r>
              <w:rPr>
                <w:spacing w:val="-5"/>
                <w:sz w:val="17"/>
              </w:rPr>
              <w:t>0.6</w:t>
            </w:r>
          </w:p>
        </w:tc>
        <w:tc>
          <w:tcPr>
            <w:tcW w:w="654" w:type="dxa"/>
            <w:tcBorders>
              <w:top w:val="single" w:color="DCDDDE" w:sz="4" w:space="0"/>
              <w:bottom w:val="single" w:color="DCDDDE" w:sz="4" w:space="0"/>
            </w:tcBorders>
          </w:tcPr>
          <w:p w:rsidR="00C31389" w:rsidRDefault="00561FBD" w14:paraId="0CEA29C7" w14:textId="77777777">
            <w:pPr>
              <w:pStyle w:val="TableParagraph"/>
              <w:spacing w:before="42"/>
              <w:ind w:right="135"/>
              <w:jc w:val="right"/>
              <w:rPr>
                <w:sz w:val="17"/>
              </w:rPr>
            </w:pPr>
            <w:r>
              <w:rPr>
                <w:spacing w:val="-2"/>
                <w:sz w:val="17"/>
              </w:rPr>
              <w:t>-</w:t>
            </w:r>
            <w:r>
              <w:rPr>
                <w:spacing w:val="-5"/>
                <w:sz w:val="17"/>
              </w:rPr>
              <w:t>0.7</w:t>
            </w:r>
          </w:p>
        </w:tc>
        <w:tc>
          <w:tcPr>
            <w:tcW w:w="655" w:type="dxa"/>
            <w:tcBorders>
              <w:top w:val="single" w:color="DCDDDE" w:sz="4" w:space="0"/>
              <w:bottom w:val="single" w:color="DCDDDE" w:sz="4" w:space="0"/>
            </w:tcBorders>
          </w:tcPr>
          <w:p w:rsidR="00C31389" w:rsidRDefault="00561FBD" w14:paraId="0E516FDE" w14:textId="77777777">
            <w:pPr>
              <w:pStyle w:val="TableParagraph"/>
              <w:spacing w:before="42"/>
              <w:ind w:left="99" w:right="11"/>
              <w:jc w:val="center"/>
              <w:rPr>
                <w:sz w:val="17"/>
              </w:rPr>
            </w:pPr>
            <w:r>
              <w:rPr>
                <w:spacing w:val="-2"/>
                <w:sz w:val="17"/>
              </w:rPr>
              <w:t>-</w:t>
            </w:r>
            <w:r>
              <w:rPr>
                <w:spacing w:val="-5"/>
                <w:sz w:val="17"/>
              </w:rPr>
              <w:t>0.7</w:t>
            </w:r>
          </w:p>
        </w:tc>
        <w:tc>
          <w:tcPr>
            <w:tcW w:w="655" w:type="dxa"/>
            <w:tcBorders>
              <w:top w:val="single" w:color="DCDDDE" w:sz="4" w:space="0"/>
              <w:bottom w:val="single" w:color="DCDDDE" w:sz="4" w:space="0"/>
            </w:tcBorders>
          </w:tcPr>
          <w:p w:rsidR="00C31389" w:rsidRDefault="00561FBD" w14:paraId="653D5071" w14:textId="77777777">
            <w:pPr>
              <w:pStyle w:val="TableParagraph"/>
              <w:spacing w:before="42"/>
              <w:ind w:right="134"/>
              <w:jc w:val="right"/>
              <w:rPr>
                <w:sz w:val="17"/>
              </w:rPr>
            </w:pPr>
            <w:r>
              <w:rPr>
                <w:spacing w:val="-2"/>
                <w:sz w:val="17"/>
              </w:rPr>
              <w:t>-</w:t>
            </w:r>
            <w:r>
              <w:rPr>
                <w:spacing w:val="-5"/>
                <w:sz w:val="17"/>
              </w:rPr>
              <w:t>0.8</w:t>
            </w:r>
          </w:p>
        </w:tc>
        <w:tc>
          <w:tcPr>
            <w:tcW w:w="655" w:type="dxa"/>
            <w:tcBorders>
              <w:top w:val="single" w:color="DCDDDE" w:sz="4" w:space="0"/>
              <w:bottom w:val="single" w:color="DCDDDE" w:sz="4" w:space="0"/>
            </w:tcBorders>
          </w:tcPr>
          <w:p w:rsidR="00C31389" w:rsidRDefault="00561FBD" w14:paraId="7C43F31D" w14:textId="77777777">
            <w:pPr>
              <w:pStyle w:val="TableParagraph"/>
              <w:spacing w:before="42"/>
              <w:ind w:right="134"/>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55D2873C" w14:textId="77777777">
            <w:pPr>
              <w:pStyle w:val="TableParagraph"/>
              <w:spacing w:before="42"/>
              <w:ind w:left="99" w:right="10"/>
              <w:jc w:val="center"/>
              <w:rPr>
                <w:sz w:val="17"/>
              </w:rPr>
            </w:pPr>
            <w:r>
              <w:rPr>
                <w:spacing w:val="-2"/>
                <w:sz w:val="17"/>
              </w:rPr>
              <w:t>-</w:t>
            </w:r>
            <w:r>
              <w:rPr>
                <w:spacing w:val="-5"/>
                <w:sz w:val="17"/>
              </w:rPr>
              <w:t>0.3</w:t>
            </w:r>
          </w:p>
        </w:tc>
        <w:tc>
          <w:tcPr>
            <w:tcW w:w="654" w:type="dxa"/>
            <w:tcBorders>
              <w:top w:val="single" w:color="DCDDDE" w:sz="4" w:space="0"/>
              <w:bottom w:val="single" w:color="DCDDDE" w:sz="4" w:space="0"/>
            </w:tcBorders>
          </w:tcPr>
          <w:p w:rsidR="00C31389" w:rsidRDefault="00561FBD" w14:paraId="089AF1A0" w14:textId="77777777">
            <w:pPr>
              <w:pStyle w:val="TableParagraph"/>
              <w:spacing w:before="42"/>
              <w:ind w:right="133"/>
              <w:jc w:val="right"/>
              <w:rPr>
                <w:sz w:val="17"/>
              </w:rPr>
            </w:pPr>
            <w:r>
              <w:rPr>
                <w:spacing w:val="-2"/>
                <w:sz w:val="17"/>
              </w:rPr>
              <w:t>-</w:t>
            </w:r>
            <w:r>
              <w:rPr>
                <w:spacing w:val="-5"/>
                <w:sz w:val="17"/>
              </w:rPr>
              <w:t>0.3</w:t>
            </w:r>
          </w:p>
        </w:tc>
        <w:tc>
          <w:tcPr>
            <w:tcW w:w="654" w:type="dxa"/>
            <w:tcBorders>
              <w:top w:val="single" w:color="DCDDDE" w:sz="4" w:space="0"/>
              <w:bottom w:val="single" w:color="DCDDDE" w:sz="4" w:space="0"/>
            </w:tcBorders>
          </w:tcPr>
          <w:p w:rsidR="00C31389" w:rsidRDefault="00561FBD" w14:paraId="3B343F06" w14:textId="77777777">
            <w:pPr>
              <w:pStyle w:val="TableParagraph"/>
              <w:spacing w:before="42"/>
              <w:ind w:left="128" w:right="37"/>
              <w:jc w:val="center"/>
              <w:rPr>
                <w:sz w:val="17"/>
              </w:rPr>
            </w:pPr>
            <w:r>
              <w:rPr>
                <w:spacing w:val="-2"/>
                <w:sz w:val="17"/>
              </w:rPr>
              <w:t>-</w:t>
            </w:r>
            <w:r>
              <w:rPr>
                <w:spacing w:val="-5"/>
                <w:sz w:val="17"/>
              </w:rPr>
              <w:t>0.3</w:t>
            </w:r>
          </w:p>
        </w:tc>
        <w:tc>
          <w:tcPr>
            <w:tcW w:w="655" w:type="dxa"/>
            <w:tcBorders>
              <w:top w:val="single" w:color="DCDDDE" w:sz="4" w:space="0"/>
              <w:bottom w:val="single" w:color="DCDDDE" w:sz="4" w:space="0"/>
            </w:tcBorders>
          </w:tcPr>
          <w:p w:rsidR="00C31389" w:rsidRDefault="00561FBD" w14:paraId="5E628FFC" w14:textId="77777777">
            <w:pPr>
              <w:pStyle w:val="TableParagraph"/>
              <w:spacing w:before="42"/>
              <w:ind w:left="99" w:right="7"/>
              <w:jc w:val="center"/>
              <w:rPr>
                <w:sz w:val="17"/>
              </w:rPr>
            </w:pPr>
            <w:r>
              <w:rPr>
                <w:spacing w:val="-2"/>
                <w:sz w:val="17"/>
              </w:rPr>
              <w:t>-</w:t>
            </w:r>
            <w:r>
              <w:rPr>
                <w:spacing w:val="-5"/>
                <w:sz w:val="17"/>
              </w:rPr>
              <w:t>0.3</w:t>
            </w:r>
          </w:p>
        </w:tc>
        <w:tc>
          <w:tcPr>
            <w:tcW w:w="624" w:type="dxa"/>
            <w:tcBorders>
              <w:top w:val="single" w:color="DCDDDE" w:sz="4" w:space="0"/>
              <w:bottom w:val="single" w:color="DCDDDE" w:sz="4" w:space="0"/>
            </w:tcBorders>
          </w:tcPr>
          <w:p w:rsidR="00C31389" w:rsidRDefault="00561FBD" w14:paraId="063AA957" w14:textId="77777777">
            <w:pPr>
              <w:pStyle w:val="TableParagraph"/>
              <w:spacing w:before="42"/>
              <w:ind w:right="101"/>
              <w:jc w:val="right"/>
              <w:rPr>
                <w:sz w:val="17"/>
              </w:rPr>
            </w:pPr>
            <w:r>
              <w:rPr>
                <w:spacing w:val="-2"/>
                <w:sz w:val="17"/>
              </w:rPr>
              <w:t>-</w:t>
            </w:r>
            <w:r>
              <w:rPr>
                <w:spacing w:val="-5"/>
                <w:sz w:val="17"/>
              </w:rPr>
              <w:t>0.4</w:t>
            </w:r>
          </w:p>
        </w:tc>
      </w:tr>
      <w:tr w:rsidR="00C31389" w14:paraId="4E0B23BC" w14:textId="77777777">
        <w:trPr>
          <w:trHeight w:val="275"/>
        </w:trPr>
        <w:tc>
          <w:tcPr>
            <w:tcW w:w="1130" w:type="dxa"/>
            <w:tcBorders>
              <w:top w:val="single" w:color="DCDDDE" w:sz="4" w:space="0"/>
              <w:bottom w:val="single" w:color="DCDDDE" w:sz="4" w:space="0"/>
            </w:tcBorders>
          </w:tcPr>
          <w:p w:rsidR="00C31389" w:rsidRDefault="00561FBD" w14:paraId="10DDBF33" w14:textId="77777777">
            <w:pPr>
              <w:pStyle w:val="TableParagraph"/>
              <w:spacing w:before="42"/>
              <w:ind w:left="122"/>
              <w:rPr>
                <w:sz w:val="17"/>
              </w:rPr>
            </w:pPr>
            <w:r>
              <w:rPr>
                <w:spacing w:val="-4"/>
                <w:sz w:val="17"/>
              </w:rPr>
              <w:t>BROs</w:t>
            </w:r>
          </w:p>
        </w:tc>
        <w:tc>
          <w:tcPr>
            <w:tcW w:w="1070" w:type="dxa"/>
            <w:tcBorders>
              <w:top w:val="single" w:color="DCDDDE" w:sz="4" w:space="0"/>
              <w:bottom w:val="single" w:color="DCDDDE" w:sz="4" w:space="0"/>
            </w:tcBorders>
          </w:tcPr>
          <w:p w:rsidR="00C31389" w:rsidRDefault="00561FBD" w14:paraId="25FCB90F" w14:textId="77777777">
            <w:pPr>
              <w:pStyle w:val="TableParagraph"/>
              <w:spacing w:before="42"/>
              <w:ind w:right="136"/>
              <w:jc w:val="right"/>
              <w:rPr>
                <w:sz w:val="17"/>
              </w:rPr>
            </w:pPr>
            <w:r>
              <w:rPr>
                <w:spacing w:val="-4"/>
                <w:sz w:val="17"/>
              </w:rPr>
              <w:t>45.4</w:t>
            </w:r>
          </w:p>
        </w:tc>
        <w:tc>
          <w:tcPr>
            <w:tcW w:w="655" w:type="dxa"/>
            <w:tcBorders>
              <w:top w:val="single" w:color="DCDDDE" w:sz="4" w:space="0"/>
              <w:bottom w:val="single" w:color="DCDDDE" w:sz="4" w:space="0"/>
            </w:tcBorders>
          </w:tcPr>
          <w:p w:rsidR="00C31389" w:rsidRDefault="00561FBD" w14:paraId="6B542A65" w14:textId="77777777">
            <w:pPr>
              <w:pStyle w:val="TableParagraph"/>
              <w:spacing w:before="42"/>
              <w:ind w:left="99" w:right="52"/>
              <w:jc w:val="center"/>
              <w:rPr>
                <w:sz w:val="17"/>
              </w:rPr>
            </w:pPr>
            <w:r>
              <w:rPr>
                <w:spacing w:val="-4"/>
                <w:sz w:val="17"/>
              </w:rPr>
              <w:t>47.7</w:t>
            </w:r>
          </w:p>
        </w:tc>
        <w:tc>
          <w:tcPr>
            <w:tcW w:w="654" w:type="dxa"/>
            <w:tcBorders>
              <w:top w:val="single" w:color="DCDDDE" w:sz="4" w:space="0"/>
              <w:bottom w:val="single" w:color="DCDDDE" w:sz="4" w:space="0"/>
            </w:tcBorders>
          </w:tcPr>
          <w:p w:rsidR="00C31389" w:rsidRDefault="00561FBD" w14:paraId="16EB5C81" w14:textId="77777777">
            <w:pPr>
              <w:pStyle w:val="TableParagraph"/>
              <w:spacing w:before="42"/>
              <w:ind w:right="135"/>
              <w:jc w:val="right"/>
              <w:rPr>
                <w:sz w:val="17"/>
              </w:rPr>
            </w:pPr>
            <w:r>
              <w:rPr>
                <w:spacing w:val="-4"/>
                <w:sz w:val="17"/>
              </w:rPr>
              <w:t>50.0</w:t>
            </w:r>
          </w:p>
        </w:tc>
        <w:tc>
          <w:tcPr>
            <w:tcW w:w="654" w:type="dxa"/>
            <w:tcBorders>
              <w:top w:val="single" w:color="DCDDDE" w:sz="4" w:space="0"/>
              <w:bottom w:val="single" w:color="DCDDDE" w:sz="4" w:space="0"/>
            </w:tcBorders>
          </w:tcPr>
          <w:p w:rsidR="00C31389" w:rsidRDefault="00561FBD" w14:paraId="5E48856C" w14:textId="77777777">
            <w:pPr>
              <w:pStyle w:val="TableParagraph"/>
              <w:spacing w:before="42"/>
              <w:ind w:right="135"/>
              <w:jc w:val="right"/>
              <w:rPr>
                <w:sz w:val="17"/>
              </w:rPr>
            </w:pPr>
            <w:r>
              <w:rPr>
                <w:spacing w:val="-4"/>
                <w:sz w:val="17"/>
              </w:rPr>
              <w:t>51.8</w:t>
            </w:r>
          </w:p>
        </w:tc>
        <w:tc>
          <w:tcPr>
            <w:tcW w:w="655" w:type="dxa"/>
            <w:tcBorders>
              <w:top w:val="single" w:color="DCDDDE" w:sz="4" w:space="0"/>
              <w:bottom w:val="single" w:color="DCDDDE" w:sz="4" w:space="0"/>
            </w:tcBorders>
          </w:tcPr>
          <w:p w:rsidR="00C31389" w:rsidRDefault="00561FBD" w14:paraId="1F3361CB" w14:textId="77777777">
            <w:pPr>
              <w:pStyle w:val="TableParagraph"/>
              <w:spacing w:before="42"/>
              <w:ind w:left="99" w:right="49"/>
              <w:jc w:val="center"/>
              <w:rPr>
                <w:sz w:val="17"/>
              </w:rPr>
            </w:pPr>
            <w:r>
              <w:rPr>
                <w:spacing w:val="-4"/>
                <w:sz w:val="17"/>
              </w:rPr>
              <w:t>53.4</w:t>
            </w:r>
          </w:p>
        </w:tc>
        <w:tc>
          <w:tcPr>
            <w:tcW w:w="655" w:type="dxa"/>
            <w:tcBorders>
              <w:top w:val="single" w:color="DCDDDE" w:sz="4" w:space="0"/>
              <w:bottom w:val="single" w:color="DCDDDE" w:sz="4" w:space="0"/>
            </w:tcBorders>
          </w:tcPr>
          <w:p w:rsidR="00C31389" w:rsidRDefault="00561FBD" w14:paraId="113B6F42" w14:textId="77777777">
            <w:pPr>
              <w:pStyle w:val="TableParagraph"/>
              <w:spacing w:before="42"/>
              <w:ind w:right="134"/>
              <w:jc w:val="right"/>
              <w:rPr>
                <w:sz w:val="17"/>
              </w:rPr>
            </w:pPr>
            <w:r>
              <w:rPr>
                <w:spacing w:val="-4"/>
                <w:sz w:val="17"/>
              </w:rPr>
              <w:t>55.2</w:t>
            </w:r>
          </w:p>
        </w:tc>
        <w:tc>
          <w:tcPr>
            <w:tcW w:w="655" w:type="dxa"/>
            <w:tcBorders>
              <w:top w:val="single" w:color="DCDDDE" w:sz="4" w:space="0"/>
              <w:bottom w:val="single" w:color="DCDDDE" w:sz="4" w:space="0"/>
            </w:tcBorders>
          </w:tcPr>
          <w:p w:rsidR="00C31389" w:rsidRDefault="00561FBD" w14:paraId="3027E788" w14:textId="77777777">
            <w:pPr>
              <w:pStyle w:val="TableParagraph"/>
              <w:spacing w:before="42"/>
              <w:ind w:right="134"/>
              <w:jc w:val="right"/>
              <w:rPr>
                <w:sz w:val="17"/>
              </w:rPr>
            </w:pPr>
            <w:r>
              <w:rPr>
                <w:spacing w:val="-4"/>
                <w:sz w:val="17"/>
              </w:rPr>
              <w:t>57.1</w:t>
            </w:r>
          </w:p>
        </w:tc>
        <w:tc>
          <w:tcPr>
            <w:tcW w:w="655" w:type="dxa"/>
            <w:tcBorders>
              <w:top w:val="single" w:color="DCDDDE" w:sz="4" w:space="0"/>
              <w:bottom w:val="single" w:color="DCDDDE" w:sz="4" w:space="0"/>
            </w:tcBorders>
          </w:tcPr>
          <w:p w:rsidR="00C31389" w:rsidRDefault="00561FBD" w14:paraId="05EA1ADC" w14:textId="77777777">
            <w:pPr>
              <w:pStyle w:val="TableParagraph"/>
              <w:spacing w:before="42"/>
              <w:ind w:left="99" w:right="48"/>
              <w:jc w:val="center"/>
              <w:rPr>
                <w:sz w:val="17"/>
              </w:rPr>
            </w:pPr>
            <w:r>
              <w:rPr>
                <w:spacing w:val="-4"/>
                <w:sz w:val="17"/>
              </w:rPr>
              <w:t>59.0</w:t>
            </w:r>
          </w:p>
        </w:tc>
        <w:tc>
          <w:tcPr>
            <w:tcW w:w="654" w:type="dxa"/>
            <w:tcBorders>
              <w:top w:val="single" w:color="DCDDDE" w:sz="4" w:space="0"/>
              <w:bottom w:val="single" w:color="DCDDDE" w:sz="4" w:space="0"/>
            </w:tcBorders>
          </w:tcPr>
          <w:p w:rsidR="00C31389" w:rsidRDefault="00561FBD" w14:paraId="01152438" w14:textId="77777777">
            <w:pPr>
              <w:pStyle w:val="TableParagraph"/>
              <w:spacing w:before="42"/>
              <w:ind w:right="133"/>
              <w:jc w:val="right"/>
              <w:rPr>
                <w:sz w:val="17"/>
              </w:rPr>
            </w:pPr>
            <w:r>
              <w:rPr>
                <w:spacing w:val="-4"/>
                <w:sz w:val="17"/>
              </w:rPr>
              <w:t>60.8</w:t>
            </w:r>
          </w:p>
        </w:tc>
        <w:tc>
          <w:tcPr>
            <w:tcW w:w="654" w:type="dxa"/>
            <w:tcBorders>
              <w:top w:val="single" w:color="DCDDDE" w:sz="4" w:space="0"/>
              <w:bottom w:val="single" w:color="DCDDDE" w:sz="4" w:space="0"/>
            </w:tcBorders>
          </w:tcPr>
          <w:p w:rsidR="00C31389" w:rsidRDefault="00561FBD" w14:paraId="231B37F6" w14:textId="77777777">
            <w:pPr>
              <w:pStyle w:val="TableParagraph"/>
              <w:spacing w:before="42"/>
              <w:ind w:left="128" w:right="76"/>
              <w:jc w:val="center"/>
              <w:rPr>
                <w:sz w:val="17"/>
              </w:rPr>
            </w:pPr>
            <w:r>
              <w:rPr>
                <w:spacing w:val="-4"/>
                <w:sz w:val="17"/>
              </w:rPr>
              <w:t>62.9</w:t>
            </w:r>
          </w:p>
        </w:tc>
        <w:tc>
          <w:tcPr>
            <w:tcW w:w="655" w:type="dxa"/>
            <w:tcBorders>
              <w:top w:val="single" w:color="DCDDDE" w:sz="4" w:space="0"/>
              <w:bottom w:val="single" w:color="DCDDDE" w:sz="4" w:space="0"/>
            </w:tcBorders>
          </w:tcPr>
          <w:p w:rsidR="00C31389" w:rsidRDefault="00561FBD" w14:paraId="663E9402" w14:textId="77777777">
            <w:pPr>
              <w:pStyle w:val="TableParagraph"/>
              <w:spacing w:before="42"/>
              <w:ind w:left="99" w:right="45"/>
              <w:jc w:val="center"/>
              <w:rPr>
                <w:sz w:val="17"/>
              </w:rPr>
            </w:pPr>
            <w:r>
              <w:rPr>
                <w:spacing w:val="-4"/>
                <w:sz w:val="17"/>
              </w:rPr>
              <w:t>63.9</w:t>
            </w:r>
          </w:p>
        </w:tc>
        <w:tc>
          <w:tcPr>
            <w:tcW w:w="624" w:type="dxa"/>
            <w:tcBorders>
              <w:top w:val="single" w:color="DCDDDE" w:sz="4" w:space="0"/>
              <w:bottom w:val="single" w:color="DCDDDE" w:sz="4" w:space="0"/>
            </w:tcBorders>
          </w:tcPr>
          <w:p w:rsidR="00C31389" w:rsidRDefault="00561FBD" w14:paraId="09C10C8D" w14:textId="77777777">
            <w:pPr>
              <w:pStyle w:val="TableParagraph"/>
              <w:spacing w:before="42"/>
              <w:ind w:right="101"/>
              <w:jc w:val="right"/>
              <w:rPr>
                <w:sz w:val="17"/>
              </w:rPr>
            </w:pPr>
            <w:r>
              <w:rPr>
                <w:spacing w:val="-4"/>
                <w:sz w:val="17"/>
              </w:rPr>
              <w:t>66.2</w:t>
            </w:r>
          </w:p>
        </w:tc>
      </w:tr>
      <w:tr w:rsidR="00C31389" w14:paraId="2E896155"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1C66CB13"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13073F92" w14:textId="77777777">
        <w:trPr>
          <w:trHeight w:val="275"/>
        </w:trPr>
        <w:tc>
          <w:tcPr>
            <w:tcW w:w="1130" w:type="dxa"/>
            <w:tcBorders>
              <w:top w:val="single" w:color="DCDDDE" w:sz="4" w:space="0"/>
              <w:bottom w:val="single" w:color="DCDDDE" w:sz="4" w:space="0"/>
            </w:tcBorders>
          </w:tcPr>
          <w:p w:rsidR="00C31389" w:rsidRDefault="00561FBD" w14:paraId="6767D404" w14:textId="77777777">
            <w:pPr>
              <w:pStyle w:val="TableParagraph"/>
              <w:ind w:left="122"/>
              <w:rPr>
                <w:sz w:val="17"/>
              </w:rPr>
            </w:pPr>
            <w:r>
              <w:rPr>
                <w:spacing w:val="-5"/>
                <w:sz w:val="17"/>
              </w:rPr>
              <w:t>EE</w:t>
            </w:r>
          </w:p>
        </w:tc>
        <w:tc>
          <w:tcPr>
            <w:tcW w:w="1070" w:type="dxa"/>
            <w:tcBorders>
              <w:top w:val="single" w:color="DCDDDE" w:sz="4" w:space="0"/>
              <w:bottom w:val="single" w:color="DCDDDE" w:sz="4" w:space="0"/>
            </w:tcBorders>
          </w:tcPr>
          <w:p w:rsidR="00C31389" w:rsidRDefault="00561FBD" w14:paraId="153D8B00" w14:textId="77777777">
            <w:pPr>
              <w:pStyle w:val="TableParagraph"/>
              <w:ind w:right="136"/>
              <w:jc w:val="right"/>
              <w:rPr>
                <w:sz w:val="17"/>
              </w:rPr>
            </w:pPr>
            <w:r>
              <w:rPr>
                <w:spacing w:val="-4"/>
                <w:sz w:val="17"/>
              </w:rPr>
              <w:t>15.5</w:t>
            </w:r>
          </w:p>
        </w:tc>
        <w:tc>
          <w:tcPr>
            <w:tcW w:w="655" w:type="dxa"/>
            <w:tcBorders>
              <w:top w:val="single" w:color="DCDDDE" w:sz="4" w:space="0"/>
              <w:bottom w:val="single" w:color="DCDDDE" w:sz="4" w:space="0"/>
            </w:tcBorders>
          </w:tcPr>
          <w:p w:rsidR="00C31389" w:rsidRDefault="00561FBD" w14:paraId="750A47E7" w14:textId="77777777">
            <w:pPr>
              <w:pStyle w:val="TableParagraph"/>
              <w:ind w:left="99" w:right="52"/>
              <w:jc w:val="center"/>
              <w:rPr>
                <w:sz w:val="17"/>
              </w:rPr>
            </w:pPr>
            <w:r>
              <w:rPr>
                <w:spacing w:val="-4"/>
                <w:sz w:val="17"/>
              </w:rPr>
              <w:t>15.6</w:t>
            </w:r>
          </w:p>
        </w:tc>
        <w:tc>
          <w:tcPr>
            <w:tcW w:w="654" w:type="dxa"/>
            <w:tcBorders>
              <w:top w:val="single" w:color="DCDDDE" w:sz="4" w:space="0"/>
              <w:bottom w:val="single" w:color="DCDDDE" w:sz="4" w:space="0"/>
            </w:tcBorders>
          </w:tcPr>
          <w:p w:rsidR="00C31389" w:rsidRDefault="00561FBD" w14:paraId="26755F02" w14:textId="77777777">
            <w:pPr>
              <w:pStyle w:val="TableParagraph"/>
              <w:ind w:right="135"/>
              <w:jc w:val="right"/>
              <w:rPr>
                <w:sz w:val="17"/>
              </w:rPr>
            </w:pPr>
            <w:r>
              <w:rPr>
                <w:spacing w:val="-4"/>
                <w:sz w:val="17"/>
              </w:rPr>
              <w:t>15.7</w:t>
            </w:r>
          </w:p>
        </w:tc>
        <w:tc>
          <w:tcPr>
            <w:tcW w:w="654" w:type="dxa"/>
            <w:tcBorders>
              <w:top w:val="single" w:color="DCDDDE" w:sz="4" w:space="0"/>
              <w:bottom w:val="single" w:color="DCDDDE" w:sz="4" w:space="0"/>
            </w:tcBorders>
          </w:tcPr>
          <w:p w:rsidR="00C31389" w:rsidRDefault="00561FBD" w14:paraId="7FCA8D64" w14:textId="77777777">
            <w:pPr>
              <w:pStyle w:val="TableParagraph"/>
              <w:ind w:right="135"/>
              <w:jc w:val="right"/>
              <w:rPr>
                <w:sz w:val="17"/>
              </w:rPr>
            </w:pPr>
            <w:r>
              <w:rPr>
                <w:spacing w:val="-4"/>
                <w:sz w:val="17"/>
              </w:rPr>
              <w:t>15.6</w:t>
            </w:r>
          </w:p>
        </w:tc>
        <w:tc>
          <w:tcPr>
            <w:tcW w:w="655" w:type="dxa"/>
            <w:tcBorders>
              <w:top w:val="single" w:color="DCDDDE" w:sz="4" w:space="0"/>
              <w:bottom w:val="single" w:color="DCDDDE" w:sz="4" w:space="0"/>
            </w:tcBorders>
          </w:tcPr>
          <w:p w:rsidR="00C31389" w:rsidRDefault="00561FBD" w14:paraId="189F21FA" w14:textId="77777777">
            <w:pPr>
              <w:pStyle w:val="TableParagraph"/>
              <w:ind w:left="99" w:right="49"/>
              <w:jc w:val="center"/>
              <w:rPr>
                <w:sz w:val="17"/>
              </w:rPr>
            </w:pPr>
            <w:r>
              <w:rPr>
                <w:spacing w:val="-4"/>
                <w:sz w:val="17"/>
              </w:rPr>
              <w:t>15.5</w:t>
            </w:r>
          </w:p>
        </w:tc>
        <w:tc>
          <w:tcPr>
            <w:tcW w:w="655" w:type="dxa"/>
            <w:tcBorders>
              <w:top w:val="single" w:color="DCDDDE" w:sz="4" w:space="0"/>
              <w:bottom w:val="single" w:color="DCDDDE" w:sz="4" w:space="0"/>
            </w:tcBorders>
          </w:tcPr>
          <w:p w:rsidR="00C31389" w:rsidRDefault="00561FBD" w14:paraId="2BE735FC" w14:textId="77777777">
            <w:pPr>
              <w:pStyle w:val="TableParagraph"/>
              <w:ind w:right="134"/>
              <w:jc w:val="right"/>
              <w:rPr>
                <w:sz w:val="17"/>
              </w:rPr>
            </w:pPr>
            <w:r>
              <w:rPr>
                <w:spacing w:val="-4"/>
                <w:sz w:val="17"/>
              </w:rPr>
              <w:t>15.0</w:t>
            </w:r>
          </w:p>
        </w:tc>
        <w:tc>
          <w:tcPr>
            <w:tcW w:w="655" w:type="dxa"/>
            <w:tcBorders>
              <w:top w:val="single" w:color="DCDDDE" w:sz="4" w:space="0"/>
              <w:bottom w:val="single" w:color="DCDDDE" w:sz="4" w:space="0"/>
            </w:tcBorders>
          </w:tcPr>
          <w:p w:rsidR="00C31389" w:rsidRDefault="00561FBD" w14:paraId="600EC6EF" w14:textId="77777777">
            <w:pPr>
              <w:pStyle w:val="TableParagraph"/>
              <w:ind w:right="134"/>
              <w:jc w:val="right"/>
              <w:rPr>
                <w:sz w:val="17"/>
              </w:rPr>
            </w:pPr>
            <w:r>
              <w:rPr>
                <w:spacing w:val="-4"/>
                <w:sz w:val="17"/>
              </w:rPr>
              <w:t>15.3</w:t>
            </w:r>
          </w:p>
        </w:tc>
        <w:tc>
          <w:tcPr>
            <w:tcW w:w="655" w:type="dxa"/>
            <w:tcBorders>
              <w:top w:val="single" w:color="DCDDDE" w:sz="4" w:space="0"/>
              <w:bottom w:val="single" w:color="DCDDDE" w:sz="4" w:space="0"/>
            </w:tcBorders>
          </w:tcPr>
          <w:p w:rsidR="00C31389" w:rsidRDefault="00561FBD" w14:paraId="31F2961E" w14:textId="77777777">
            <w:pPr>
              <w:pStyle w:val="TableParagraph"/>
              <w:ind w:left="99" w:right="49"/>
              <w:jc w:val="center"/>
              <w:rPr>
                <w:sz w:val="17"/>
              </w:rPr>
            </w:pPr>
            <w:r>
              <w:rPr>
                <w:spacing w:val="-4"/>
                <w:sz w:val="17"/>
              </w:rPr>
              <w:t>14.9</w:t>
            </w:r>
          </w:p>
        </w:tc>
        <w:tc>
          <w:tcPr>
            <w:tcW w:w="654" w:type="dxa"/>
            <w:tcBorders>
              <w:top w:val="single" w:color="DCDDDE" w:sz="4" w:space="0"/>
              <w:bottom w:val="single" w:color="DCDDDE" w:sz="4" w:space="0"/>
            </w:tcBorders>
          </w:tcPr>
          <w:p w:rsidR="00C31389" w:rsidRDefault="00561FBD" w14:paraId="4275C7D4" w14:textId="77777777">
            <w:pPr>
              <w:pStyle w:val="TableParagraph"/>
              <w:ind w:right="133"/>
              <w:jc w:val="right"/>
              <w:rPr>
                <w:sz w:val="17"/>
              </w:rPr>
            </w:pPr>
            <w:r>
              <w:rPr>
                <w:spacing w:val="-4"/>
                <w:sz w:val="17"/>
              </w:rPr>
              <w:t>14.4</w:t>
            </w:r>
          </w:p>
        </w:tc>
        <w:tc>
          <w:tcPr>
            <w:tcW w:w="654" w:type="dxa"/>
            <w:tcBorders>
              <w:top w:val="single" w:color="DCDDDE" w:sz="4" w:space="0"/>
              <w:bottom w:val="single" w:color="DCDDDE" w:sz="4" w:space="0"/>
            </w:tcBorders>
          </w:tcPr>
          <w:p w:rsidR="00C31389" w:rsidRDefault="00561FBD" w14:paraId="3B7FDC12" w14:textId="77777777">
            <w:pPr>
              <w:pStyle w:val="TableParagraph"/>
              <w:ind w:left="128" w:right="76"/>
              <w:jc w:val="center"/>
              <w:rPr>
                <w:sz w:val="17"/>
              </w:rPr>
            </w:pPr>
            <w:r>
              <w:rPr>
                <w:spacing w:val="-4"/>
                <w:sz w:val="17"/>
              </w:rPr>
              <w:t>13.4</w:t>
            </w:r>
          </w:p>
        </w:tc>
        <w:tc>
          <w:tcPr>
            <w:tcW w:w="655" w:type="dxa"/>
            <w:tcBorders>
              <w:top w:val="single" w:color="DCDDDE" w:sz="4" w:space="0"/>
              <w:bottom w:val="single" w:color="DCDDDE" w:sz="4" w:space="0"/>
            </w:tcBorders>
          </w:tcPr>
          <w:p w:rsidR="00C31389" w:rsidRDefault="00561FBD" w14:paraId="332A6007" w14:textId="77777777">
            <w:pPr>
              <w:pStyle w:val="TableParagraph"/>
              <w:ind w:left="99" w:right="46"/>
              <w:jc w:val="center"/>
              <w:rPr>
                <w:sz w:val="17"/>
              </w:rPr>
            </w:pPr>
            <w:r>
              <w:rPr>
                <w:spacing w:val="-4"/>
                <w:sz w:val="17"/>
              </w:rPr>
              <w:t>13.1</w:t>
            </w:r>
          </w:p>
        </w:tc>
        <w:tc>
          <w:tcPr>
            <w:tcW w:w="624" w:type="dxa"/>
            <w:tcBorders>
              <w:top w:val="single" w:color="DCDDDE" w:sz="4" w:space="0"/>
              <w:bottom w:val="single" w:color="DCDDDE" w:sz="4" w:space="0"/>
            </w:tcBorders>
          </w:tcPr>
          <w:p w:rsidR="00C31389" w:rsidRDefault="00561FBD" w14:paraId="7BB2BCF0" w14:textId="77777777">
            <w:pPr>
              <w:pStyle w:val="TableParagraph"/>
              <w:ind w:right="102"/>
              <w:jc w:val="right"/>
              <w:rPr>
                <w:sz w:val="17"/>
              </w:rPr>
            </w:pPr>
            <w:r>
              <w:rPr>
                <w:spacing w:val="-4"/>
                <w:sz w:val="17"/>
              </w:rPr>
              <w:t>13.0</w:t>
            </w:r>
          </w:p>
        </w:tc>
      </w:tr>
      <w:tr w:rsidR="00C31389" w14:paraId="442A16D0" w14:textId="77777777">
        <w:trPr>
          <w:trHeight w:val="275"/>
        </w:trPr>
        <w:tc>
          <w:tcPr>
            <w:tcW w:w="1130" w:type="dxa"/>
            <w:tcBorders>
              <w:top w:val="single" w:color="DCDDDE" w:sz="4" w:space="0"/>
              <w:bottom w:val="single" w:color="DCDDDE" w:sz="4" w:space="0"/>
            </w:tcBorders>
          </w:tcPr>
          <w:p w:rsidR="00C31389" w:rsidRDefault="00561FBD" w14:paraId="181E8B99" w14:textId="77777777">
            <w:pPr>
              <w:pStyle w:val="TableParagraph"/>
              <w:ind w:left="122"/>
              <w:rPr>
                <w:sz w:val="17"/>
              </w:rPr>
            </w:pPr>
            <w:r>
              <w:rPr>
                <w:spacing w:val="-5"/>
                <w:sz w:val="17"/>
              </w:rPr>
              <w:t>FS</w:t>
            </w:r>
          </w:p>
        </w:tc>
        <w:tc>
          <w:tcPr>
            <w:tcW w:w="1070" w:type="dxa"/>
            <w:tcBorders>
              <w:top w:val="single" w:color="DCDDDE" w:sz="4" w:space="0"/>
              <w:bottom w:val="single" w:color="DCDDDE" w:sz="4" w:space="0"/>
            </w:tcBorders>
          </w:tcPr>
          <w:p w:rsidR="00C31389" w:rsidRDefault="00561FBD" w14:paraId="66DE31F7" w14:textId="77777777">
            <w:pPr>
              <w:pStyle w:val="TableParagraph"/>
              <w:ind w:right="136"/>
              <w:jc w:val="right"/>
              <w:rPr>
                <w:sz w:val="17"/>
              </w:rPr>
            </w:pPr>
            <w:r>
              <w:rPr>
                <w:spacing w:val="-2"/>
                <w:sz w:val="17"/>
              </w:rPr>
              <w:t>-</w:t>
            </w:r>
            <w:r>
              <w:rPr>
                <w:spacing w:val="-5"/>
                <w:sz w:val="17"/>
              </w:rPr>
              <w:t>3.7</w:t>
            </w:r>
          </w:p>
        </w:tc>
        <w:tc>
          <w:tcPr>
            <w:tcW w:w="655" w:type="dxa"/>
            <w:tcBorders>
              <w:top w:val="single" w:color="DCDDDE" w:sz="4" w:space="0"/>
              <w:bottom w:val="single" w:color="DCDDDE" w:sz="4" w:space="0"/>
            </w:tcBorders>
          </w:tcPr>
          <w:p w:rsidR="00C31389" w:rsidRDefault="00561FBD" w14:paraId="752FB236" w14:textId="77777777">
            <w:pPr>
              <w:pStyle w:val="TableParagraph"/>
              <w:ind w:left="99" w:right="14"/>
              <w:jc w:val="center"/>
              <w:rPr>
                <w:sz w:val="17"/>
              </w:rPr>
            </w:pPr>
            <w:r>
              <w:rPr>
                <w:spacing w:val="-2"/>
                <w:sz w:val="17"/>
              </w:rPr>
              <w:t>-</w:t>
            </w:r>
            <w:r>
              <w:rPr>
                <w:spacing w:val="-5"/>
                <w:sz w:val="17"/>
              </w:rPr>
              <w:t>3.8</w:t>
            </w:r>
          </w:p>
        </w:tc>
        <w:tc>
          <w:tcPr>
            <w:tcW w:w="654" w:type="dxa"/>
            <w:tcBorders>
              <w:top w:val="single" w:color="DCDDDE" w:sz="4" w:space="0"/>
              <w:bottom w:val="single" w:color="DCDDDE" w:sz="4" w:space="0"/>
            </w:tcBorders>
          </w:tcPr>
          <w:p w:rsidR="00C31389" w:rsidRDefault="00561FBD" w14:paraId="41D4A785" w14:textId="77777777">
            <w:pPr>
              <w:pStyle w:val="TableParagraph"/>
              <w:ind w:right="135"/>
              <w:jc w:val="right"/>
              <w:rPr>
                <w:sz w:val="17"/>
              </w:rPr>
            </w:pPr>
            <w:r>
              <w:rPr>
                <w:spacing w:val="-2"/>
                <w:sz w:val="17"/>
              </w:rPr>
              <w:t>-</w:t>
            </w:r>
            <w:r>
              <w:rPr>
                <w:spacing w:val="-5"/>
                <w:sz w:val="17"/>
              </w:rPr>
              <w:t>3.9</w:t>
            </w:r>
          </w:p>
        </w:tc>
        <w:tc>
          <w:tcPr>
            <w:tcW w:w="654" w:type="dxa"/>
            <w:tcBorders>
              <w:top w:val="single" w:color="DCDDDE" w:sz="4" w:space="0"/>
              <w:bottom w:val="single" w:color="DCDDDE" w:sz="4" w:space="0"/>
            </w:tcBorders>
          </w:tcPr>
          <w:p w:rsidR="00C31389" w:rsidRDefault="00561FBD" w14:paraId="162B745B" w14:textId="77777777">
            <w:pPr>
              <w:pStyle w:val="TableParagraph"/>
              <w:ind w:right="135"/>
              <w:jc w:val="right"/>
              <w:rPr>
                <w:sz w:val="17"/>
              </w:rPr>
            </w:pPr>
            <w:r>
              <w:rPr>
                <w:spacing w:val="-2"/>
                <w:sz w:val="17"/>
              </w:rPr>
              <w:t>-</w:t>
            </w:r>
            <w:r>
              <w:rPr>
                <w:spacing w:val="-5"/>
                <w:sz w:val="17"/>
              </w:rPr>
              <w:t>4.0</w:t>
            </w:r>
          </w:p>
        </w:tc>
        <w:tc>
          <w:tcPr>
            <w:tcW w:w="655" w:type="dxa"/>
            <w:tcBorders>
              <w:top w:val="single" w:color="DCDDDE" w:sz="4" w:space="0"/>
              <w:bottom w:val="single" w:color="DCDDDE" w:sz="4" w:space="0"/>
            </w:tcBorders>
          </w:tcPr>
          <w:p w:rsidR="00C31389" w:rsidRDefault="00561FBD" w14:paraId="1C1B9523" w14:textId="77777777">
            <w:pPr>
              <w:pStyle w:val="TableParagraph"/>
              <w:ind w:left="99" w:right="11"/>
              <w:jc w:val="center"/>
              <w:rPr>
                <w:sz w:val="17"/>
              </w:rPr>
            </w:pPr>
            <w:r>
              <w:rPr>
                <w:spacing w:val="-2"/>
                <w:sz w:val="17"/>
              </w:rPr>
              <w:t>-</w:t>
            </w:r>
            <w:r>
              <w:rPr>
                <w:spacing w:val="-5"/>
                <w:sz w:val="17"/>
              </w:rPr>
              <w:t>4.0</w:t>
            </w:r>
          </w:p>
        </w:tc>
        <w:tc>
          <w:tcPr>
            <w:tcW w:w="655" w:type="dxa"/>
            <w:tcBorders>
              <w:top w:val="single" w:color="DCDDDE" w:sz="4" w:space="0"/>
              <w:bottom w:val="single" w:color="DCDDDE" w:sz="4" w:space="0"/>
            </w:tcBorders>
          </w:tcPr>
          <w:p w:rsidR="00C31389" w:rsidRDefault="00561FBD" w14:paraId="69351D87" w14:textId="77777777">
            <w:pPr>
              <w:pStyle w:val="TableParagraph"/>
              <w:ind w:right="134"/>
              <w:jc w:val="right"/>
              <w:rPr>
                <w:sz w:val="17"/>
              </w:rPr>
            </w:pPr>
            <w:r>
              <w:rPr>
                <w:spacing w:val="-2"/>
                <w:sz w:val="17"/>
              </w:rPr>
              <w:t>-</w:t>
            </w:r>
            <w:r>
              <w:rPr>
                <w:spacing w:val="-5"/>
                <w:sz w:val="17"/>
              </w:rPr>
              <w:t>4.1</w:t>
            </w:r>
          </w:p>
        </w:tc>
        <w:tc>
          <w:tcPr>
            <w:tcW w:w="655" w:type="dxa"/>
            <w:tcBorders>
              <w:top w:val="single" w:color="DCDDDE" w:sz="4" w:space="0"/>
              <w:bottom w:val="single" w:color="DCDDDE" w:sz="4" w:space="0"/>
            </w:tcBorders>
          </w:tcPr>
          <w:p w:rsidR="00C31389" w:rsidRDefault="00561FBD" w14:paraId="35BABEA0" w14:textId="77777777">
            <w:pPr>
              <w:pStyle w:val="TableParagraph"/>
              <w:ind w:right="134"/>
              <w:jc w:val="right"/>
              <w:rPr>
                <w:sz w:val="17"/>
              </w:rPr>
            </w:pPr>
            <w:r>
              <w:rPr>
                <w:spacing w:val="-5"/>
                <w:sz w:val="17"/>
              </w:rPr>
              <w:t>2.7</w:t>
            </w:r>
          </w:p>
        </w:tc>
        <w:tc>
          <w:tcPr>
            <w:tcW w:w="655" w:type="dxa"/>
            <w:tcBorders>
              <w:top w:val="single" w:color="DCDDDE" w:sz="4" w:space="0"/>
              <w:bottom w:val="single" w:color="DCDDDE" w:sz="4" w:space="0"/>
            </w:tcBorders>
          </w:tcPr>
          <w:p w:rsidR="00C31389" w:rsidRDefault="00561FBD" w14:paraId="582FE042" w14:textId="77777777">
            <w:pPr>
              <w:pStyle w:val="TableParagraph"/>
              <w:ind w:left="236" w:right="90"/>
              <w:jc w:val="center"/>
              <w:rPr>
                <w:sz w:val="17"/>
              </w:rPr>
            </w:pPr>
            <w:r>
              <w:rPr>
                <w:spacing w:val="-5"/>
                <w:sz w:val="17"/>
              </w:rPr>
              <w:t>3.5</w:t>
            </w:r>
          </w:p>
        </w:tc>
        <w:tc>
          <w:tcPr>
            <w:tcW w:w="654" w:type="dxa"/>
            <w:tcBorders>
              <w:top w:val="single" w:color="DCDDDE" w:sz="4" w:space="0"/>
              <w:bottom w:val="single" w:color="DCDDDE" w:sz="4" w:space="0"/>
            </w:tcBorders>
          </w:tcPr>
          <w:p w:rsidR="00C31389" w:rsidRDefault="00561FBD" w14:paraId="3FBB1F8A" w14:textId="77777777">
            <w:pPr>
              <w:pStyle w:val="TableParagraph"/>
              <w:ind w:right="133"/>
              <w:jc w:val="right"/>
              <w:rPr>
                <w:sz w:val="17"/>
              </w:rPr>
            </w:pPr>
            <w:r>
              <w:rPr>
                <w:spacing w:val="-5"/>
                <w:sz w:val="17"/>
              </w:rPr>
              <w:t>4.7</w:t>
            </w:r>
          </w:p>
        </w:tc>
        <w:tc>
          <w:tcPr>
            <w:tcW w:w="654" w:type="dxa"/>
            <w:tcBorders>
              <w:top w:val="single" w:color="DCDDDE" w:sz="4" w:space="0"/>
              <w:bottom w:val="single" w:color="DCDDDE" w:sz="4" w:space="0"/>
            </w:tcBorders>
          </w:tcPr>
          <w:p w:rsidR="00C31389" w:rsidRDefault="00561FBD" w14:paraId="08B5C9A0" w14:textId="77777777">
            <w:pPr>
              <w:pStyle w:val="TableParagraph"/>
              <w:ind w:left="128" w:right="37"/>
              <w:jc w:val="center"/>
              <w:rPr>
                <w:sz w:val="17"/>
              </w:rPr>
            </w:pPr>
            <w:r>
              <w:rPr>
                <w:spacing w:val="-2"/>
                <w:sz w:val="17"/>
              </w:rPr>
              <w:t>-</w:t>
            </w:r>
            <w:r>
              <w:rPr>
                <w:spacing w:val="-5"/>
                <w:sz w:val="17"/>
              </w:rPr>
              <w:t>0.3</w:t>
            </w:r>
          </w:p>
        </w:tc>
        <w:tc>
          <w:tcPr>
            <w:tcW w:w="655" w:type="dxa"/>
            <w:tcBorders>
              <w:top w:val="single" w:color="DCDDDE" w:sz="4" w:space="0"/>
              <w:bottom w:val="single" w:color="DCDDDE" w:sz="4" w:space="0"/>
            </w:tcBorders>
          </w:tcPr>
          <w:p w:rsidR="00C31389" w:rsidRDefault="00561FBD" w14:paraId="4104C675" w14:textId="77777777">
            <w:pPr>
              <w:pStyle w:val="TableParagraph"/>
              <w:ind w:left="99" w:right="7"/>
              <w:jc w:val="center"/>
              <w:rPr>
                <w:sz w:val="17"/>
              </w:rPr>
            </w:pPr>
            <w:r>
              <w:rPr>
                <w:spacing w:val="-2"/>
                <w:sz w:val="17"/>
              </w:rPr>
              <w:t>-</w:t>
            </w:r>
            <w:r>
              <w:rPr>
                <w:spacing w:val="-5"/>
                <w:sz w:val="17"/>
              </w:rPr>
              <w:t>0.3</w:t>
            </w:r>
          </w:p>
        </w:tc>
        <w:tc>
          <w:tcPr>
            <w:tcW w:w="624" w:type="dxa"/>
            <w:tcBorders>
              <w:top w:val="single" w:color="DCDDDE" w:sz="4" w:space="0"/>
              <w:bottom w:val="single" w:color="DCDDDE" w:sz="4" w:space="0"/>
            </w:tcBorders>
          </w:tcPr>
          <w:p w:rsidR="00C31389" w:rsidRDefault="00561FBD" w14:paraId="6F3E4D58" w14:textId="77777777">
            <w:pPr>
              <w:pStyle w:val="TableParagraph"/>
              <w:ind w:right="101"/>
              <w:jc w:val="right"/>
              <w:rPr>
                <w:sz w:val="17"/>
              </w:rPr>
            </w:pPr>
            <w:r>
              <w:rPr>
                <w:spacing w:val="-2"/>
                <w:sz w:val="17"/>
              </w:rPr>
              <w:t>-</w:t>
            </w:r>
            <w:r>
              <w:rPr>
                <w:spacing w:val="-5"/>
                <w:sz w:val="17"/>
              </w:rPr>
              <w:t>0.4</w:t>
            </w:r>
          </w:p>
        </w:tc>
      </w:tr>
      <w:tr w:rsidR="00C31389" w14:paraId="6A55525D" w14:textId="77777777">
        <w:trPr>
          <w:trHeight w:val="275"/>
        </w:trPr>
        <w:tc>
          <w:tcPr>
            <w:tcW w:w="1130" w:type="dxa"/>
            <w:tcBorders>
              <w:top w:val="single" w:color="DCDDDE" w:sz="4" w:space="0"/>
              <w:bottom w:val="single" w:color="DCDDDE" w:sz="4" w:space="0"/>
            </w:tcBorders>
          </w:tcPr>
          <w:p w:rsidR="00C31389" w:rsidRDefault="00561FBD" w14:paraId="1DBA0E7E" w14:textId="77777777">
            <w:pPr>
              <w:pStyle w:val="TableParagraph"/>
              <w:ind w:left="122"/>
              <w:rPr>
                <w:sz w:val="17"/>
              </w:rPr>
            </w:pPr>
            <w:r>
              <w:rPr>
                <w:spacing w:val="-4"/>
                <w:sz w:val="17"/>
              </w:rPr>
              <w:t>BROs</w:t>
            </w:r>
          </w:p>
        </w:tc>
        <w:tc>
          <w:tcPr>
            <w:tcW w:w="1070" w:type="dxa"/>
            <w:tcBorders>
              <w:top w:val="single" w:color="DCDDDE" w:sz="4" w:space="0"/>
              <w:bottom w:val="single" w:color="DCDDDE" w:sz="4" w:space="0"/>
            </w:tcBorders>
          </w:tcPr>
          <w:p w:rsidR="00C31389" w:rsidRDefault="00561FBD" w14:paraId="05CAC4F4" w14:textId="77777777">
            <w:pPr>
              <w:pStyle w:val="TableParagraph"/>
              <w:ind w:right="136"/>
              <w:jc w:val="right"/>
              <w:rPr>
                <w:sz w:val="17"/>
              </w:rPr>
            </w:pPr>
            <w:r>
              <w:rPr>
                <w:spacing w:val="-4"/>
                <w:sz w:val="17"/>
              </w:rPr>
              <w:t>45.4</w:t>
            </w:r>
          </w:p>
        </w:tc>
        <w:tc>
          <w:tcPr>
            <w:tcW w:w="655" w:type="dxa"/>
            <w:tcBorders>
              <w:top w:val="single" w:color="DCDDDE" w:sz="4" w:space="0"/>
              <w:bottom w:val="single" w:color="DCDDDE" w:sz="4" w:space="0"/>
            </w:tcBorders>
          </w:tcPr>
          <w:p w:rsidR="00C31389" w:rsidRDefault="00561FBD" w14:paraId="4EF27B90" w14:textId="77777777">
            <w:pPr>
              <w:pStyle w:val="TableParagraph"/>
              <w:ind w:left="99" w:right="52"/>
              <w:jc w:val="center"/>
              <w:rPr>
                <w:sz w:val="17"/>
              </w:rPr>
            </w:pPr>
            <w:r>
              <w:rPr>
                <w:spacing w:val="-4"/>
                <w:sz w:val="17"/>
              </w:rPr>
              <w:t>47.7</w:t>
            </w:r>
          </w:p>
        </w:tc>
        <w:tc>
          <w:tcPr>
            <w:tcW w:w="654" w:type="dxa"/>
            <w:tcBorders>
              <w:top w:val="single" w:color="DCDDDE" w:sz="4" w:space="0"/>
              <w:bottom w:val="single" w:color="DCDDDE" w:sz="4" w:space="0"/>
            </w:tcBorders>
          </w:tcPr>
          <w:p w:rsidR="00C31389" w:rsidRDefault="00561FBD" w14:paraId="477B229F" w14:textId="77777777">
            <w:pPr>
              <w:pStyle w:val="TableParagraph"/>
              <w:ind w:right="135"/>
              <w:jc w:val="right"/>
              <w:rPr>
                <w:sz w:val="17"/>
              </w:rPr>
            </w:pPr>
            <w:r>
              <w:rPr>
                <w:spacing w:val="-4"/>
                <w:sz w:val="17"/>
              </w:rPr>
              <w:t>50.0</w:t>
            </w:r>
          </w:p>
        </w:tc>
        <w:tc>
          <w:tcPr>
            <w:tcW w:w="654" w:type="dxa"/>
            <w:tcBorders>
              <w:top w:val="single" w:color="DCDDDE" w:sz="4" w:space="0"/>
              <w:bottom w:val="single" w:color="DCDDDE" w:sz="4" w:space="0"/>
            </w:tcBorders>
          </w:tcPr>
          <w:p w:rsidR="00C31389" w:rsidRDefault="00561FBD" w14:paraId="59EC0966" w14:textId="77777777">
            <w:pPr>
              <w:pStyle w:val="TableParagraph"/>
              <w:ind w:right="135"/>
              <w:jc w:val="right"/>
              <w:rPr>
                <w:sz w:val="17"/>
              </w:rPr>
            </w:pPr>
            <w:r>
              <w:rPr>
                <w:spacing w:val="-4"/>
                <w:sz w:val="17"/>
              </w:rPr>
              <w:t>51.8</w:t>
            </w:r>
          </w:p>
        </w:tc>
        <w:tc>
          <w:tcPr>
            <w:tcW w:w="655" w:type="dxa"/>
            <w:tcBorders>
              <w:top w:val="single" w:color="DCDDDE" w:sz="4" w:space="0"/>
              <w:bottom w:val="single" w:color="DCDDDE" w:sz="4" w:space="0"/>
            </w:tcBorders>
          </w:tcPr>
          <w:p w:rsidR="00C31389" w:rsidRDefault="00561FBD" w14:paraId="4F316D83" w14:textId="77777777">
            <w:pPr>
              <w:pStyle w:val="TableParagraph"/>
              <w:ind w:left="99" w:right="49"/>
              <w:jc w:val="center"/>
              <w:rPr>
                <w:sz w:val="17"/>
              </w:rPr>
            </w:pPr>
            <w:r>
              <w:rPr>
                <w:spacing w:val="-4"/>
                <w:sz w:val="17"/>
              </w:rPr>
              <w:t>53.4</w:t>
            </w:r>
          </w:p>
        </w:tc>
        <w:tc>
          <w:tcPr>
            <w:tcW w:w="655" w:type="dxa"/>
            <w:tcBorders>
              <w:top w:val="single" w:color="DCDDDE" w:sz="4" w:space="0"/>
              <w:bottom w:val="single" w:color="DCDDDE" w:sz="4" w:space="0"/>
            </w:tcBorders>
          </w:tcPr>
          <w:p w:rsidR="00C31389" w:rsidRDefault="00561FBD" w14:paraId="3643242A" w14:textId="77777777">
            <w:pPr>
              <w:pStyle w:val="TableParagraph"/>
              <w:ind w:right="134"/>
              <w:jc w:val="right"/>
              <w:rPr>
                <w:sz w:val="17"/>
              </w:rPr>
            </w:pPr>
            <w:r>
              <w:rPr>
                <w:spacing w:val="-4"/>
                <w:sz w:val="17"/>
              </w:rPr>
              <w:t>55.2</w:t>
            </w:r>
          </w:p>
        </w:tc>
        <w:tc>
          <w:tcPr>
            <w:tcW w:w="655" w:type="dxa"/>
            <w:tcBorders>
              <w:top w:val="single" w:color="DCDDDE" w:sz="4" w:space="0"/>
              <w:bottom w:val="single" w:color="DCDDDE" w:sz="4" w:space="0"/>
            </w:tcBorders>
          </w:tcPr>
          <w:p w:rsidR="00C31389" w:rsidRDefault="00561FBD" w14:paraId="48CF3679" w14:textId="77777777">
            <w:pPr>
              <w:pStyle w:val="TableParagraph"/>
              <w:ind w:right="134"/>
              <w:jc w:val="right"/>
              <w:rPr>
                <w:sz w:val="17"/>
              </w:rPr>
            </w:pPr>
            <w:r>
              <w:rPr>
                <w:spacing w:val="-4"/>
                <w:sz w:val="17"/>
              </w:rPr>
              <w:t>57.1</w:t>
            </w:r>
          </w:p>
        </w:tc>
        <w:tc>
          <w:tcPr>
            <w:tcW w:w="655" w:type="dxa"/>
            <w:tcBorders>
              <w:top w:val="single" w:color="DCDDDE" w:sz="4" w:space="0"/>
              <w:bottom w:val="single" w:color="DCDDDE" w:sz="4" w:space="0"/>
            </w:tcBorders>
          </w:tcPr>
          <w:p w:rsidR="00C31389" w:rsidRDefault="00561FBD" w14:paraId="5069AA48" w14:textId="77777777">
            <w:pPr>
              <w:pStyle w:val="TableParagraph"/>
              <w:ind w:left="99" w:right="48"/>
              <w:jc w:val="center"/>
              <w:rPr>
                <w:sz w:val="17"/>
              </w:rPr>
            </w:pPr>
            <w:r>
              <w:rPr>
                <w:spacing w:val="-4"/>
                <w:sz w:val="17"/>
              </w:rPr>
              <w:t>59.0</w:t>
            </w:r>
          </w:p>
        </w:tc>
        <w:tc>
          <w:tcPr>
            <w:tcW w:w="654" w:type="dxa"/>
            <w:tcBorders>
              <w:top w:val="single" w:color="DCDDDE" w:sz="4" w:space="0"/>
              <w:bottom w:val="single" w:color="DCDDDE" w:sz="4" w:space="0"/>
            </w:tcBorders>
          </w:tcPr>
          <w:p w:rsidR="00C31389" w:rsidRDefault="00561FBD" w14:paraId="00B65C55" w14:textId="77777777">
            <w:pPr>
              <w:pStyle w:val="TableParagraph"/>
              <w:ind w:right="133"/>
              <w:jc w:val="right"/>
              <w:rPr>
                <w:sz w:val="17"/>
              </w:rPr>
            </w:pPr>
            <w:r>
              <w:rPr>
                <w:spacing w:val="-4"/>
                <w:sz w:val="17"/>
              </w:rPr>
              <w:t>60.8</w:t>
            </w:r>
          </w:p>
        </w:tc>
        <w:tc>
          <w:tcPr>
            <w:tcW w:w="654" w:type="dxa"/>
            <w:tcBorders>
              <w:top w:val="single" w:color="DCDDDE" w:sz="4" w:space="0"/>
              <w:bottom w:val="single" w:color="DCDDDE" w:sz="4" w:space="0"/>
            </w:tcBorders>
          </w:tcPr>
          <w:p w:rsidR="00C31389" w:rsidRDefault="00561FBD" w14:paraId="6F00E9FD" w14:textId="77777777">
            <w:pPr>
              <w:pStyle w:val="TableParagraph"/>
              <w:ind w:left="128" w:right="76"/>
              <w:jc w:val="center"/>
              <w:rPr>
                <w:sz w:val="17"/>
              </w:rPr>
            </w:pPr>
            <w:r>
              <w:rPr>
                <w:spacing w:val="-4"/>
                <w:sz w:val="17"/>
              </w:rPr>
              <w:t>62.9</w:t>
            </w:r>
          </w:p>
        </w:tc>
        <w:tc>
          <w:tcPr>
            <w:tcW w:w="655" w:type="dxa"/>
            <w:tcBorders>
              <w:top w:val="single" w:color="DCDDDE" w:sz="4" w:space="0"/>
              <w:bottom w:val="single" w:color="DCDDDE" w:sz="4" w:space="0"/>
            </w:tcBorders>
          </w:tcPr>
          <w:p w:rsidR="00C31389" w:rsidRDefault="00561FBD" w14:paraId="111D8933" w14:textId="77777777">
            <w:pPr>
              <w:pStyle w:val="TableParagraph"/>
              <w:ind w:left="99" w:right="45"/>
              <w:jc w:val="center"/>
              <w:rPr>
                <w:sz w:val="17"/>
              </w:rPr>
            </w:pPr>
            <w:r>
              <w:rPr>
                <w:spacing w:val="-4"/>
                <w:sz w:val="17"/>
              </w:rPr>
              <w:t>63.9</w:t>
            </w:r>
          </w:p>
        </w:tc>
        <w:tc>
          <w:tcPr>
            <w:tcW w:w="624" w:type="dxa"/>
            <w:tcBorders>
              <w:top w:val="single" w:color="DCDDDE" w:sz="4" w:space="0"/>
              <w:bottom w:val="single" w:color="DCDDDE" w:sz="4" w:space="0"/>
            </w:tcBorders>
          </w:tcPr>
          <w:p w:rsidR="00C31389" w:rsidRDefault="00561FBD" w14:paraId="352512F7" w14:textId="77777777">
            <w:pPr>
              <w:pStyle w:val="TableParagraph"/>
              <w:ind w:right="101"/>
              <w:jc w:val="right"/>
              <w:rPr>
                <w:sz w:val="17"/>
              </w:rPr>
            </w:pPr>
            <w:r>
              <w:rPr>
                <w:spacing w:val="-4"/>
                <w:sz w:val="17"/>
              </w:rPr>
              <w:t>66.2</w:t>
            </w:r>
          </w:p>
        </w:tc>
      </w:tr>
      <w:tr w:rsidR="00C31389" w14:paraId="18709974"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6645A24F"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630D755F" w14:textId="77777777">
        <w:trPr>
          <w:trHeight w:val="275"/>
        </w:trPr>
        <w:tc>
          <w:tcPr>
            <w:tcW w:w="1130" w:type="dxa"/>
            <w:tcBorders>
              <w:top w:val="single" w:color="DCDDDE" w:sz="4" w:space="0"/>
              <w:bottom w:val="single" w:color="DCDDDE" w:sz="4" w:space="0"/>
            </w:tcBorders>
          </w:tcPr>
          <w:p w:rsidR="00C31389" w:rsidRDefault="00561FBD" w14:paraId="32BBA812" w14:textId="77777777">
            <w:pPr>
              <w:pStyle w:val="TableParagraph"/>
              <w:ind w:left="122"/>
              <w:rPr>
                <w:sz w:val="17"/>
              </w:rPr>
            </w:pPr>
            <w:r>
              <w:rPr>
                <w:spacing w:val="-5"/>
                <w:sz w:val="17"/>
              </w:rPr>
              <w:t>EE</w:t>
            </w:r>
          </w:p>
        </w:tc>
        <w:tc>
          <w:tcPr>
            <w:tcW w:w="1070" w:type="dxa"/>
            <w:tcBorders>
              <w:top w:val="single" w:color="DCDDDE" w:sz="4" w:space="0"/>
              <w:bottom w:val="single" w:color="DCDDDE" w:sz="4" w:space="0"/>
            </w:tcBorders>
          </w:tcPr>
          <w:p w:rsidR="00C31389" w:rsidRDefault="00561FBD" w14:paraId="642B8577" w14:textId="77777777">
            <w:pPr>
              <w:pStyle w:val="TableParagraph"/>
              <w:ind w:right="136"/>
              <w:jc w:val="right"/>
              <w:rPr>
                <w:sz w:val="17"/>
              </w:rPr>
            </w:pPr>
            <w:r>
              <w:rPr>
                <w:spacing w:val="-4"/>
                <w:sz w:val="17"/>
              </w:rPr>
              <w:t>16.2</w:t>
            </w:r>
          </w:p>
        </w:tc>
        <w:tc>
          <w:tcPr>
            <w:tcW w:w="655" w:type="dxa"/>
            <w:tcBorders>
              <w:top w:val="single" w:color="DCDDDE" w:sz="4" w:space="0"/>
              <w:bottom w:val="single" w:color="DCDDDE" w:sz="4" w:space="0"/>
            </w:tcBorders>
          </w:tcPr>
          <w:p w:rsidR="00C31389" w:rsidRDefault="00561FBD" w14:paraId="74AC18A5" w14:textId="77777777">
            <w:pPr>
              <w:pStyle w:val="TableParagraph"/>
              <w:ind w:left="99" w:right="52"/>
              <w:jc w:val="center"/>
              <w:rPr>
                <w:sz w:val="17"/>
              </w:rPr>
            </w:pPr>
            <w:r>
              <w:rPr>
                <w:spacing w:val="-4"/>
                <w:sz w:val="17"/>
              </w:rPr>
              <w:t>16.3</w:t>
            </w:r>
          </w:p>
        </w:tc>
        <w:tc>
          <w:tcPr>
            <w:tcW w:w="654" w:type="dxa"/>
            <w:tcBorders>
              <w:top w:val="single" w:color="DCDDDE" w:sz="4" w:space="0"/>
              <w:bottom w:val="single" w:color="DCDDDE" w:sz="4" w:space="0"/>
            </w:tcBorders>
          </w:tcPr>
          <w:p w:rsidR="00C31389" w:rsidRDefault="00561FBD" w14:paraId="093A59CC" w14:textId="77777777">
            <w:pPr>
              <w:pStyle w:val="TableParagraph"/>
              <w:ind w:right="135"/>
              <w:jc w:val="right"/>
              <w:rPr>
                <w:sz w:val="17"/>
              </w:rPr>
            </w:pPr>
            <w:r>
              <w:rPr>
                <w:spacing w:val="-4"/>
                <w:sz w:val="17"/>
              </w:rPr>
              <w:t>16.0</w:t>
            </w:r>
          </w:p>
        </w:tc>
        <w:tc>
          <w:tcPr>
            <w:tcW w:w="654" w:type="dxa"/>
            <w:tcBorders>
              <w:top w:val="single" w:color="DCDDDE" w:sz="4" w:space="0"/>
              <w:bottom w:val="single" w:color="DCDDDE" w:sz="4" w:space="0"/>
            </w:tcBorders>
          </w:tcPr>
          <w:p w:rsidR="00C31389" w:rsidRDefault="00561FBD" w14:paraId="1E93914C" w14:textId="77777777">
            <w:pPr>
              <w:pStyle w:val="TableParagraph"/>
              <w:ind w:right="135"/>
              <w:jc w:val="right"/>
              <w:rPr>
                <w:sz w:val="17"/>
              </w:rPr>
            </w:pPr>
            <w:r>
              <w:rPr>
                <w:spacing w:val="-4"/>
                <w:sz w:val="17"/>
              </w:rPr>
              <w:t>15.7</w:t>
            </w:r>
          </w:p>
        </w:tc>
        <w:tc>
          <w:tcPr>
            <w:tcW w:w="655" w:type="dxa"/>
            <w:tcBorders>
              <w:top w:val="single" w:color="DCDDDE" w:sz="4" w:space="0"/>
              <w:bottom w:val="single" w:color="DCDDDE" w:sz="4" w:space="0"/>
            </w:tcBorders>
          </w:tcPr>
          <w:p w:rsidR="00C31389" w:rsidRDefault="00561FBD" w14:paraId="1E39CE34" w14:textId="77777777">
            <w:pPr>
              <w:pStyle w:val="TableParagraph"/>
              <w:ind w:left="99" w:right="49"/>
              <w:jc w:val="center"/>
              <w:rPr>
                <w:sz w:val="17"/>
              </w:rPr>
            </w:pPr>
            <w:r>
              <w:rPr>
                <w:spacing w:val="-4"/>
                <w:sz w:val="17"/>
              </w:rPr>
              <w:t>15.5</w:t>
            </w:r>
          </w:p>
        </w:tc>
        <w:tc>
          <w:tcPr>
            <w:tcW w:w="655" w:type="dxa"/>
            <w:tcBorders>
              <w:top w:val="single" w:color="DCDDDE" w:sz="4" w:space="0"/>
              <w:bottom w:val="single" w:color="DCDDDE" w:sz="4" w:space="0"/>
            </w:tcBorders>
          </w:tcPr>
          <w:p w:rsidR="00C31389" w:rsidRDefault="00561FBD" w14:paraId="2AA86035" w14:textId="77777777">
            <w:pPr>
              <w:pStyle w:val="TableParagraph"/>
              <w:ind w:right="134"/>
              <w:jc w:val="right"/>
              <w:rPr>
                <w:sz w:val="17"/>
              </w:rPr>
            </w:pPr>
            <w:r>
              <w:rPr>
                <w:spacing w:val="-4"/>
                <w:sz w:val="17"/>
              </w:rPr>
              <w:t>15.0</w:t>
            </w:r>
          </w:p>
        </w:tc>
        <w:tc>
          <w:tcPr>
            <w:tcW w:w="655" w:type="dxa"/>
            <w:tcBorders>
              <w:top w:val="single" w:color="DCDDDE" w:sz="4" w:space="0"/>
              <w:bottom w:val="single" w:color="DCDDDE" w:sz="4" w:space="0"/>
            </w:tcBorders>
          </w:tcPr>
          <w:p w:rsidR="00C31389" w:rsidRDefault="00561FBD" w14:paraId="187F9764" w14:textId="77777777">
            <w:pPr>
              <w:pStyle w:val="TableParagraph"/>
              <w:ind w:right="134"/>
              <w:jc w:val="right"/>
              <w:rPr>
                <w:sz w:val="17"/>
              </w:rPr>
            </w:pPr>
            <w:r>
              <w:rPr>
                <w:spacing w:val="-4"/>
                <w:sz w:val="17"/>
              </w:rPr>
              <w:t>15.4</w:t>
            </w:r>
          </w:p>
        </w:tc>
        <w:tc>
          <w:tcPr>
            <w:tcW w:w="655" w:type="dxa"/>
            <w:tcBorders>
              <w:top w:val="single" w:color="DCDDDE" w:sz="4" w:space="0"/>
              <w:bottom w:val="single" w:color="DCDDDE" w:sz="4" w:space="0"/>
            </w:tcBorders>
          </w:tcPr>
          <w:p w:rsidR="00C31389" w:rsidRDefault="00561FBD" w14:paraId="71DF8B67" w14:textId="77777777">
            <w:pPr>
              <w:pStyle w:val="TableParagraph"/>
              <w:ind w:left="99" w:right="48"/>
              <w:jc w:val="center"/>
              <w:rPr>
                <w:sz w:val="17"/>
              </w:rPr>
            </w:pPr>
            <w:r>
              <w:rPr>
                <w:spacing w:val="-4"/>
                <w:sz w:val="17"/>
              </w:rPr>
              <w:t>14.9</w:t>
            </w:r>
          </w:p>
        </w:tc>
        <w:tc>
          <w:tcPr>
            <w:tcW w:w="654" w:type="dxa"/>
            <w:tcBorders>
              <w:top w:val="single" w:color="DCDDDE" w:sz="4" w:space="0"/>
              <w:bottom w:val="single" w:color="DCDDDE" w:sz="4" w:space="0"/>
            </w:tcBorders>
          </w:tcPr>
          <w:p w:rsidR="00C31389" w:rsidRDefault="00561FBD" w14:paraId="27F3D17A" w14:textId="77777777">
            <w:pPr>
              <w:pStyle w:val="TableParagraph"/>
              <w:ind w:right="133"/>
              <w:jc w:val="right"/>
              <w:rPr>
                <w:sz w:val="17"/>
              </w:rPr>
            </w:pPr>
            <w:r>
              <w:rPr>
                <w:spacing w:val="-4"/>
                <w:sz w:val="17"/>
              </w:rPr>
              <w:t>14.4</w:t>
            </w:r>
          </w:p>
        </w:tc>
        <w:tc>
          <w:tcPr>
            <w:tcW w:w="654" w:type="dxa"/>
            <w:tcBorders>
              <w:top w:val="single" w:color="DCDDDE" w:sz="4" w:space="0"/>
              <w:bottom w:val="single" w:color="DCDDDE" w:sz="4" w:space="0"/>
            </w:tcBorders>
          </w:tcPr>
          <w:p w:rsidR="00C31389" w:rsidRDefault="00561FBD" w14:paraId="4FB7EDE4" w14:textId="77777777">
            <w:pPr>
              <w:pStyle w:val="TableParagraph"/>
              <w:ind w:left="128" w:right="76"/>
              <w:jc w:val="center"/>
              <w:rPr>
                <w:sz w:val="17"/>
              </w:rPr>
            </w:pPr>
            <w:r>
              <w:rPr>
                <w:spacing w:val="-4"/>
                <w:sz w:val="17"/>
              </w:rPr>
              <w:t>13.4</w:t>
            </w:r>
          </w:p>
        </w:tc>
        <w:tc>
          <w:tcPr>
            <w:tcW w:w="655" w:type="dxa"/>
            <w:tcBorders>
              <w:top w:val="single" w:color="DCDDDE" w:sz="4" w:space="0"/>
              <w:bottom w:val="single" w:color="DCDDDE" w:sz="4" w:space="0"/>
            </w:tcBorders>
          </w:tcPr>
          <w:p w:rsidR="00C31389" w:rsidRDefault="00561FBD" w14:paraId="5E2E22FC" w14:textId="77777777">
            <w:pPr>
              <w:pStyle w:val="TableParagraph"/>
              <w:ind w:left="99" w:right="46"/>
              <w:jc w:val="center"/>
              <w:rPr>
                <w:sz w:val="17"/>
              </w:rPr>
            </w:pPr>
            <w:r>
              <w:rPr>
                <w:spacing w:val="-4"/>
                <w:sz w:val="17"/>
              </w:rPr>
              <w:t>13.1</w:t>
            </w:r>
          </w:p>
        </w:tc>
        <w:tc>
          <w:tcPr>
            <w:tcW w:w="624" w:type="dxa"/>
            <w:tcBorders>
              <w:top w:val="single" w:color="DCDDDE" w:sz="4" w:space="0"/>
              <w:bottom w:val="single" w:color="DCDDDE" w:sz="4" w:space="0"/>
            </w:tcBorders>
          </w:tcPr>
          <w:p w:rsidR="00C31389" w:rsidRDefault="00561FBD" w14:paraId="2B01119D" w14:textId="77777777">
            <w:pPr>
              <w:pStyle w:val="TableParagraph"/>
              <w:ind w:right="102"/>
              <w:jc w:val="right"/>
              <w:rPr>
                <w:sz w:val="17"/>
              </w:rPr>
            </w:pPr>
            <w:r>
              <w:rPr>
                <w:spacing w:val="-4"/>
                <w:sz w:val="17"/>
              </w:rPr>
              <w:t>13.0</w:t>
            </w:r>
          </w:p>
        </w:tc>
      </w:tr>
      <w:tr w:rsidR="00C31389" w14:paraId="0F09C8FE" w14:textId="77777777">
        <w:trPr>
          <w:trHeight w:val="275"/>
        </w:trPr>
        <w:tc>
          <w:tcPr>
            <w:tcW w:w="1130" w:type="dxa"/>
            <w:tcBorders>
              <w:top w:val="single" w:color="DCDDDE" w:sz="4" w:space="0"/>
              <w:bottom w:val="single" w:color="DCDDDE" w:sz="4" w:space="0"/>
            </w:tcBorders>
          </w:tcPr>
          <w:p w:rsidR="00C31389" w:rsidRDefault="00561FBD" w14:paraId="165CA657" w14:textId="77777777">
            <w:pPr>
              <w:pStyle w:val="TableParagraph"/>
              <w:ind w:left="122"/>
              <w:rPr>
                <w:sz w:val="17"/>
              </w:rPr>
            </w:pPr>
            <w:r>
              <w:rPr>
                <w:spacing w:val="-5"/>
                <w:sz w:val="17"/>
              </w:rPr>
              <w:t>FS</w:t>
            </w:r>
          </w:p>
        </w:tc>
        <w:tc>
          <w:tcPr>
            <w:tcW w:w="1070" w:type="dxa"/>
            <w:tcBorders>
              <w:top w:val="single" w:color="DCDDDE" w:sz="4" w:space="0"/>
              <w:bottom w:val="single" w:color="DCDDDE" w:sz="4" w:space="0"/>
            </w:tcBorders>
          </w:tcPr>
          <w:p w:rsidR="00C31389" w:rsidRDefault="00561FBD" w14:paraId="7B660F80" w14:textId="77777777">
            <w:pPr>
              <w:pStyle w:val="TableParagraph"/>
              <w:ind w:right="136"/>
              <w:jc w:val="right"/>
              <w:rPr>
                <w:sz w:val="17"/>
              </w:rPr>
            </w:pPr>
            <w:r>
              <w:rPr>
                <w:spacing w:val="-2"/>
                <w:sz w:val="17"/>
              </w:rPr>
              <w:t>-</w:t>
            </w:r>
            <w:r>
              <w:rPr>
                <w:spacing w:val="-5"/>
                <w:sz w:val="17"/>
              </w:rPr>
              <w:t>0.5</w:t>
            </w:r>
          </w:p>
        </w:tc>
        <w:tc>
          <w:tcPr>
            <w:tcW w:w="655" w:type="dxa"/>
            <w:tcBorders>
              <w:top w:val="single" w:color="DCDDDE" w:sz="4" w:space="0"/>
              <w:bottom w:val="single" w:color="DCDDDE" w:sz="4" w:space="0"/>
            </w:tcBorders>
          </w:tcPr>
          <w:p w:rsidR="00C31389" w:rsidRDefault="00561FBD" w14:paraId="156D8EAC" w14:textId="77777777">
            <w:pPr>
              <w:pStyle w:val="TableParagraph"/>
              <w:ind w:left="99" w:right="14"/>
              <w:jc w:val="center"/>
              <w:rPr>
                <w:sz w:val="17"/>
              </w:rPr>
            </w:pPr>
            <w:r>
              <w:rPr>
                <w:spacing w:val="-2"/>
                <w:sz w:val="17"/>
              </w:rPr>
              <w:t>-</w:t>
            </w:r>
            <w:r>
              <w:rPr>
                <w:spacing w:val="-5"/>
                <w:sz w:val="17"/>
              </w:rPr>
              <w:t>0.6</w:t>
            </w:r>
          </w:p>
        </w:tc>
        <w:tc>
          <w:tcPr>
            <w:tcW w:w="654" w:type="dxa"/>
            <w:tcBorders>
              <w:top w:val="single" w:color="DCDDDE" w:sz="4" w:space="0"/>
              <w:bottom w:val="single" w:color="DCDDDE" w:sz="4" w:space="0"/>
            </w:tcBorders>
          </w:tcPr>
          <w:p w:rsidR="00C31389" w:rsidRDefault="00561FBD" w14:paraId="270728FD" w14:textId="77777777">
            <w:pPr>
              <w:pStyle w:val="TableParagraph"/>
              <w:ind w:right="135"/>
              <w:jc w:val="right"/>
              <w:rPr>
                <w:sz w:val="17"/>
              </w:rPr>
            </w:pPr>
            <w:r>
              <w:rPr>
                <w:spacing w:val="-2"/>
                <w:sz w:val="17"/>
              </w:rPr>
              <w:t>-</w:t>
            </w:r>
            <w:r>
              <w:rPr>
                <w:spacing w:val="-5"/>
                <w:sz w:val="17"/>
              </w:rPr>
              <w:t>0.6</w:t>
            </w:r>
          </w:p>
        </w:tc>
        <w:tc>
          <w:tcPr>
            <w:tcW w:w="654" w:type="dxa"/>
            <w:tcBorders>
              <w:top w:val="single" w:color="DCDDDE" w:sz="4" w:space="0"/>
              <w:bottom w:val="single" w:color="DCDDDE" w:sz="4" w:space="0"/>
            </w:tcBorders>
          </w:tcPr>
          <w:p w:rsidR="00C31389" w:rsidRDefault="00561FBD" w14:paraId="58BC36D8" w14:textId="77777777">
            <w:pPr>
              <w:pStyle w:val="TableParagraph"/>
              <w:ind w:right="135"/>
              <w:jc w:val="right"/>
              <w:rPr>
                <w:sz w:val="17"/>
              </w:rPr>
            </w:pPr>
            <w:r>
              <w:rPr>
                <w:spacing w:val="-2"/>
                <w:sz w:val="17"/>
              </w:rPr>
              <w:t>-</w:t>
            </w:r>
            <w:r>
              <w:rPr>
                <w:spacing w:val="-5"/>
                <w:sz w:val="17"/>
              </w:rPr>
              <w:t>0.7</w:t>
            </w:r>
          </w:p>
        </w:tc>
        <w:tc>
          <w:tcPr>
            <w:tcW w:w="655" w:type="dxa"/>
            <w:tcBorders>
              <w:top w:val="single" w:color="DCDDDE" w:sz="4" w:space="0"/>
              <w:bottom w:val="single" w:color="DCDDDE" w:sz="4" w:space="0"/>
            </w:tcBorders>
          </w:tcPr>
          <w:p w:rsidR="00C31389" w:rsidRDefault="00561FBD" w14:paraId="4790DA81" w14:textId="77777777">
            <w:pPr>
              <w:pStyle w:val="TableParagraph"/>
              <w:ind w:left="99" w:right="11"/>
              <w:jc w:val="center"/>
              <w:rPr>
                <w:sz w:val="17"/>
              </w:rPr>
            </w:pPr>
            <w:r>
              <w:rPr>
                <w:spacing w:val="-2"/>
                <w:sz w:val="17"/>
              </w:rPr>
              <w:t>-</w:t>
            </w:r>
            <w:r>
              <w:rPr>
                <w:spacing w:val="-5"/>
                <w:sz w:val="17"/>
              </w:rPr>
              <w:t>0.7</w:t>
            </w:r>
          </w:p>
        </w:tc>
        <w:tc>
          <w:tcPr>
            <w:tcW w:w="655" w:type="dxa"/>
            <w:tcBorders>
              <w:top w:val="single" w:color="DCDDDE" w:sz="4" w:space="0"/>
              <w:bottom w:val="single" w:color="DCDDDE" w:sz="4" w:space="0"/>
            </w:tcBorders>
          </w:tcPr>
          <w:p w:rsidR="00C31389" w:rsidRDefault="00561FBD" w14:paraId="1B1B5F22" w14:textId="77777777">
            <w:pPr>
              <w:pStyle w:val="TableParagraph"/>
              <w:ind w:right="134"/>
              <w:jc w:val="right"/>
              <w:rPr>
                <w:sz w:val="17"/>
              </w:rPr>
            </w:pPr>
            <w:r>
              <w:rPr>
                <w:spacing w:val="-2"/>
                <w:sz w:val="17"/>
              </w:rPr>
              <w:t>-</w:t>
            </w:r>
            <w:r>
              <w:rPr>
                <w:spacing w:val="-5"/>
                <w:sz w:val="17"/>
              </w:rPr>
              <w:t>0.8</w:t>
            </w:r>
          </w:p>
        </w:tc>
        <w:tc>
          <w:tcPr>
            <w:tcW w:w="655" w:type="dxa"/>
            <w:tcBorders>
              <w:top w:val="single" w:color="DCDDDE" w:sz="4" w:space="0"/>
              <w:bottom w:val="single" w:color="DCDDDE" w:sz="4" w:space="0"/>
            </w:tcBorders>
          </w:tcPr>
          <w:p w:rsidR="00C31389" w:rsidRDefault="00561FBD" w14:paraId="041D4DC8" w14:textId="77777777">
            <w:pPr>
              <w:pStyle w:val="TableParagraph"/>
              <w:ind w:right="134"/>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733DAE7F" w14:textId="77777777">
            <w:pPr>
              <w:pStyle w:val="TableParagraph"/>
              <w:ind w:left="99" w:right="10"/>
              <w:jc w:val="center"/>
              <w:rPr>
                <w:sz w:val="17"/>
              </w:rPr>
            </w:pPr>
            <w:r>
              <w:rPr>
                <w:spacing w:val="-2"/>
                <w:sz w:val="17"/>
              </w:rPr>
              <w:t>-</w:t>
            </w:r>
            <w:r>
              <w:rPr>
                <w:spacing w:val="-5"/>
                <w:sz w:val="17"/>
              </w:rPr>
              <w:t>0.3</w:t>
            </w:r>
          </w:p>
        </w:tc>
        <w:tc>
          <w:tcPr>
            <w:tcW w:w="654" w:type="dxa"/>
            <w:tcBorders>
              <w:top w:val="single" w:color="DCDDDE" w:sz="4" w:space="0"/>
              <w:bottom w:val="single" w:color="DCDDDE" w:sz="4" w:space="0"/>
            </w:tcBorders>
          </w:tcPr>
          <w:p w:rsidR="00C31389" w:rsidRDefault="00561FBD" w14:paraId="205C2ADC" w14:textId="77777777">
            <w:pPr>
              <w:pStyle w:val="TableParagraph"/>
              <w:ind w:right="133"/>
              <w:jc w:val="right"/>
              <w:rPr>
                <w:sz w:val="17"/>
              </w:rPr>
            </w:pPr>
            <w:r>
              <w:rPr>
                <w:spacing w:val="-2"/>
                <w:sz w:val="17"/>
              </w:rPr>
              <w:t>-</w:t>
            </w:r>
            <w:r>
              <w:rPr>
                <w:spacing w:val="-5"/>
                <w:sz w:val="17"/>
              </w:rPr>
              <w:t>0.3</w:t>
            </w:r>
          </w:p>
        </w:tc>
        <w:tc>
          <w:tcPr>
            <w:tcW w:w="654" w:type="dxa"/>
            <w:tcBorders>
              <w:top w:val="single" w:color="DCDDDE" w:sz="4" w:space="0"/>
              <w:bottom w:val="single" w:color="DCDDDE" w:sz="4" w:space="0"/>
            </w:tcBorders>
          </w:tcPr>
          <w:p w:rsidR="00C31389" w:rsidRDefault="00561FBD" w14:paraId="0AE502FB" w14:textId="77777777">
            <w:pPr>
              <w:pStyle w:val="TableParagraph"/>
              <w:ind w:left="128" w:right="37"/>
              <w:jc w:val="center"/>
              <w:rPr>
                <w:sz w:val="17"/>
              </w:rPr>
            </w:pPr>
            <w:r>
              <w:rPr>
                <w:spacing w:val="-2"/>
                <w:sz w:val="17"/>
              </w:rPr>
              <w:t>-</w:t>
            </w:r>
            <w:r>
              <w:rPr>
                <w:spacing w:val="-5"/>
                <w:sz w:val="17"/>
              </w:rPr>
              <w:t>0.3</w:t>
            </w:r>
          </w:p>
        </w:tc>
        <w:tc>
          <w:tcPr>
            <w:tcW w:w="655" w:type="dxa"/>
            <w:tcBorders>
              <w:top w:val="single" w:color="DCDDDE" w:sz="4" w:space="0"/>
              <w:bottom w:val="single" w:color="DCDDDE" w:sz="4" w:space="0"/>
            </w:tcBorders>
          </w:tcPr>
          <w:p w:rsidR="00C31389" w:rsidRDefault="00561FBD" w14:paraId="0EB00E7C" w14:textId="77777777">
            <w:pPr>
              <w:pStyle w:val="TableParagraph"/>
              <w:ind w:left="99" w:right="7"/>
              <w:jc w:val="center"/>
              <w:rPr>
                <w:sz w:val="17"/>
              </w:rPr>
            </w:pPr>
            <w:r>
              <w:rPr>
                <w:spacing w:val="-2"/>
                <w:sz w:val="17"/>
              </w:rPr>
              <w:t>-</w:t>
            </w:r>
            <w:r>
              <w:rPr>
                <w:spacing w:val="-5"/>
                <w:sz w:val="17"/>
              </w:rPr>
              <w:t>0.3</w:t>
            </w:r>
          </w:p>
        </w:tc>
        <w:tc>
          <w:tcPr>
            <w:tcW w:w="624" w:type="dxa"/>
            <w:tcBorders>
              <w:top w:val="single" w:color="DCDDDE" w:sz="4" w:space="0"/>
              <w:bottom w:val="single" w:color="DCDDDE" w:sz="4" w:space="0"/>
            </w:tcBorders>
          </w:tcPr>
          <w:p w:rsidR="00C31389" w:rsidRDefault="00561FBD" w14:paraId="13286079" w14:textId="77777777">
            <w:pPr>
              <w:pStyle w:val="TableParagraph"/>
              <w:ind w:right="101"/>
              <w:jc w:val="right"/>
              <w:rPr>
                <w:sz w:val="17"/>
              </w:rPr>
            </w:pPr>
            <w:r>
              <w:rPr>
                <w:spacing w:val="-2"/>
                <w:sz w:val="17"/>
              </w:rPr>
              <w:t>-</w:t>
            </w:r>
            <w:r>
              <w:rPr>
                <w:spacing w:val="-5"/>
                <w:sz w:val="17"/>
              </w:rPr>
              <w:t>0.4</w:t>
            </w:r>
          </w:p>
        </w:tc>
      </w:tr>
    </w:tbl>
    <w:p w:rsidR="00C31389" w:rsidRDefault="00C31389" w14:paraId="0570733F" w14:textId="77777777">
      <w:pPr>
        <w:jc w:val="right"/>
        <w:rPr>
          <w:sz w:val="17"/>
        </w:rPr>
        <w:sectPr w:rsidR="00C31389">
          <w:pgSz w:w="12240" w:h="15840"/>
          <w:pgMar w:top="1380" w:right="1240" w:bottom="1120" w:left="1220" w:header="397" w:footer="936" w:gutter="0"/>
          <w:cols w:space="720"/>
        </w:sectPr>
      </w:pPr>
    </w:p>
    <w:p w:rsidR="00C31389" w:rsidRDefault="00C31389" w14:paraId="4601E97D"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427"/>
        <w:gridCol w:w="749"/>
        <w:gridCol w:w="655"/>
        <w:gridCol w:w="654"/>
        <w:gridCol w:w="654"/>
        <w:gridCol w:w="655"/>
        <w:gridCol w:w="655"/>
        <w:gridCol w:w="655"/>
        <w:gridCol w:w="655"/>
        <w:gridCol w:w="678"/>
        <w:gridCol w:w="654"/>
        <w:gridCol w:w="655"/>
        <w:gridCol w:w="624"/>
      </w:tblGrid>
      <w:tr w:rsidR="00C31389" w14:paraId="0D0919B8" w14:textId="77777777">
        <w:trPr>
          <w:trHeight w:val="252"/>
        </w:trPr>
        <w:tc>
          <w:tcPr>
            <w:tcW w:w="1427" w:type="dxa"/>
            <w:tcBorders>
              <w:top w:val="single" w:color="8B8B8B" w:sz="8" w:space="0"/>
            </w:tcBorders>
          </w:tcPr>
          <w:p w:rsidR="00C31389" w:rsidRDefault="00C31389" w14:paraId="526743B0" w14:textId="77777777">
            <w:pPr>
              <w:pStyle w:val="TableParagraph"/>
              <w:spacing w:before="0"/>
              <w:rPr>
                <w:rFonts w:ascii="Times New Roman"/>
                <w:sz w:val="16"/>
              </w:rPr>
            </w:pPr>
          </w:p>
        </w:tc>
        <w:tc>
          <w:tcPr>
            <w:tcW w:w="749" w:type="dxa"/>
            <w:tcBorders>
              <w:top w:val="single" w:color="8B8B8B" w:sz="8" w:space="0"/>
            </w:tcBorders>
          </w:tcPr>
          <w:p w:rsidR="00C31389" w:rsidRDefault="00C31389" w14:paraId="5E9CAAA0"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3B4AA759" w14:textId="77777777">
            <w:pPr>
              <w:pStyle w:val="TableParagraph"/>
              <w:spacing w:before="0"/>
              <w:rPr>
                <w:rFonts w:ascii="Times New Roman"/>
                <w:sz w:val="16"/>
              </w:rPr>
            </w:pPr>
          </w:p>
        </w:tc>
        <w:tc>
          <w:tcPr>
            <w:tcW w:w="654" w:type="dxa"/>
            <w:tcBorders>
              <w:top w:val="single" w:color="8B8B8B" w:sz="8" w:space="0"/>
            </w:tcBorders>
          </w:tcPr>
          <w:p w:rsidR="00C31389" w:rsidRDefault="00C31389" w14:paraId="3A02D866" w14:textId="77777777">
            <w:pPr>
              <w:pStyle w:val="TableParagraph"/>
              <w:spacing w:before="0"/>
              <w:rPr>
                <w:rFonts w:ascii="Times New Roman"/>
                <w:sz w:val="16"/>
              </w:rPr>
            </w:pPr>
          </w:p>
        </w:tc>
        <w:tc>
          <w:tcPr>
            <w:tcW w:w="654" w:type="dxa"/>
            <w:tcBorders>
              <w:top w:val="single" w:color="8B8B8B" w:sz="8" w:space="0"/>
            </w:tcBorders>
          </w:tcPr>
          <w:p w:rsidR="00C31389" w:rsidRDefault="00C31389" w14:paraId="1A349D72"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6F88D077"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6EB24BF4"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4918D10B"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58186125" w14:textId="77777777">
            <w:pPr>
              <w:pStyle w:val="TableParagraph"/>
              <w:spacing w:before="0"/>
              <w:rPr>
                <w:rFonts w:ascii="Times New Roman"/>
                <w:sz w:val="16"/>
              </w:rPr>
            </w:pPr>
          </w:p>
        </w:tc>
        <w:tc>
          <w:tcPr>
            <w:tcW w:w="678" w:type="dxa"/>
            <w:tcBorders>
              <w:top w:val="single" w:color="8B8B8B" w:sz="8" w:space="0"/>
            </w:tcBorders>
          </w:tcPr>
          <w:p w:rsidR="00C31389" w:rsidRDefault="00C31389" w14:paraId="3A53B397" w14:textId="77777777">
            <w:pPr>
              <w:pStyle w:val="TableParagraph"/>
              <w:spacing w:before="0"/>
              <w:rPr>
                <w:rFonts w:ascii="Times New Roman"/>
                <w:sz w:val="16"/>
              </w:rPr>
            </w:pPr>
          </w:p>
        </w:tc>
        <w:tc>
          <w:tcPr>
            <w:tcW w:w="654" w:type="dxa"/>
            <w:tcBorders>
              <w:top w:val="single" w:color="8B8B8B" w:sz="8" w:space="0"/>
            </w:tcBorders>
          </w:tcPr>
          <w:p w:rsidR="00C31389" w:rsidRDefault="00C31389" w14:paraId="381D77F4" w14:textId="77777777">
            <w:pPr>
              <w:pStyle w:val="TableParagraph"/>
              <w:spacing w:before="0"/>
              <w:rPr>
                <w:rFonts w:ascii="Times New Roman"/>
                <w:sz w:val="16"/>
              </w:rPr>
            </w:pPr>
          </w:p>
        </w:tc>
        <w:tc>
          <w:tcPr>
            <w:tcW w:w="655" w:type="dxa"/>
            <w:tcBorders>
              <w:top w:val="single" w:color="8B8B8B" w:sz="8" w:space="0"/>
            </w:tcBorders>
          </w:tcPr>
          <w:p w:rsidR="00C31389" w:rsidRDefault="00C31389" w14:paraId="5D8FAC26" w14:textId="77777777">
            <w:pPr>
              <w:pStyle w:val="TableParagraph"/>
              <w:spacing w:before="0"/>
              <w:rPr>
                <w:rFonts w:ascii="Times New Roman"/>
                <w:sz w:val="16"/>
              </w:rPr>
            </w:pPr>
          </w:p>
        </w:tc>
        <w:tc>
          <w:tcPr>
            <w:tcW w:w="624" w:type="dxa"/>
            <w:tcBorders>
              <w:top w:val="single" w:color="8B8B8B" w:sz="8" w:space="0"/>
            </w:tcBorders>
          </w:tcPr>
          <w:p w:rsidR="00C31389" w:rsidRDefault="00C31389" w14:paraId="6BCC05D8" w14:textId="77777777">
            <w:pPr>
              <w:pStyle w:val="TableParagraph"/>
              <w:spacing w:before="0"/>
              <w:rPr>
                <w:rFonts w:ascii="Times New Roman"/>
                <w:sz w:val="16"/>
              </w:rPr>
            </w:pPr>
          </w:p>
        </w:tc>
      </w:tr>
      <w:tr w:rsidR="00C31389" w14:paraId="027856A1" w14:textId="77777777">
        <w:trPr>
          <w:trHeight w:val="305"/>
        </w:trPr>
        <w:tc>
          <w:tcPr>
            <w:tcW w:w="1427" w:type="dxa"/>
            <w:shd w:val="clear" w:color="auto" w:fill="92D400"/>
          </w:tcPr>
          <w:p w:rsidR="00C31389" w:rsidRDefault="00561FBD" w14:paraId="312C7133" w14:textId="77777777">
            <w:pPr>
              <w:pStyle w:val="TableParagraph"/>
              <w:spacing w:before="41"/>
              <w:ind w:left="122"/>
              <w:rPr>
                <w:b/>
                <w:sz w:val="17"/>
              </w:rPr>
            </w:pPr>
            <w:r>
              <w:rPr>
                <w:b/>
                <w:spacing w:val="-4"/>
                <w:sz w:val="17"/>
              </w:rPr>
              <w:t>Year</w:t>
            </w:r>
          </w:p>
        </w:tc>
        <w:tc>
          <w:tcPr>
            <w:tcW w:w="749" w:type="dxa"/>
            <w:shd w:val="clear" w:color="auto" w:fill="92D400"/>
          </w:tcPr>
          <w:p w:rsidR="00C31389" w:rsidRDefault="00561FBD" w14:paraId="10FF84B3" w14:textId="77777777">
            <w:pPr>
              <w:pStyle w:val="TableParagraph"/>
              <w:spacing w:before="41"/>
              <w:ind w:right="111"/>
              <w:jc w:val="right"/>
              <w:rPr>
                <w:b/>
                <w:sz w:val="17"/>
              </w:rPr>
            </w:pPr>
            <w:r>
              <w:rPr>
                <w:b/>
                <w:spacing w:val="-4"/>
                <w:sz w:val="17"/>
              </w:rPr>
              <w:t>2024</w:t>
            </w:r>
          </w:p>
        </w:tc>
        <w:tc>
          <w:tcPr>
            <w:tcW w:w="655" w:type="dxa"/>
            <w:shd w:val="clear" w:color="auto" w:fill="92D400"/>
          </w:tcPr>
          <w:p w:rsidR="00C31389" w:rsidRDefault="00561FBD" w14:paraId="35929255" w14:textId="77777777">
            <w:pPr>
              <w:pStyle w:val="TableParagraph"/>
              <w:spacing w:before="41"/>
              <w:ind w:left="99" w:right="50"/>
              <w:jc w:val="center"/>
              <w:rPr>
                <w:b/>
                <w:sz w:val="17"/>
              </w:rPr>
            </w:pPr>
            <w:r>
              <w:rPr>
                <w:b/>
                <w:spacing w:val="-4"/>
                <w:sz w:val="17"/>
              </w:rPr>
              <w:t>2025</w:t>
            </w:r>
          </w:p>
        </w:tc>
        <w:tc>
          <w:tcPr>
            <w:tcW w:w="654" w:type="dxa"/>
            <w:shd w:val="clear" w:color="auto" w:fill="92D400"/>
          </w:tcPr>
          <w:p w:rsidR="00C31389" w:rsidRDefault="00561FBD" w14:paraId="53048F69" w14:textId="77777777">
            <w:pPr>
              <w:pStyle w:val="TableParagraph"/>
              <w:spacing w:before="41"/>
              <w:ind w:right="110"/>
              <w:jc w:val="right"/>
              <w:rPr>
                <w:b/>
                <w:sz w:val="17"/>
              </w:rPr>
            </w:pPr>
            <w:r>
              <w:rPr>
                <w:b/>
                <w:spacing w:val="-4"/>
                <w:sz w:val="17"/>
              </w:rPr>
              <w:t>2026</w:t>
            </w:r>
          </w:p>
        </w:tc>
        <w:tc>
          <w:tcPr>
            <w:tcW w:w="654" w:type="dxa"/>
            <w:shd w:val="clear" w:color="auto" w:fill="92D400"/>
          </w:tcPr>
          <w:p w:rsidR="00C31389" w:rsidRDefault="00561FBD" w14:paraId="70FE8263" w14:textId="77777777">
            <w:pPr>
              <w:pStyle w:val="TableParagraph"/>
              <w:spacing w:before="41"/>
              <w:ind w:right="110"/>
              <w:jc w:val="right"/>
              <w:rPr>
                <w:b/>
                <w:sz w:val="17"/>
              </w:rPr>
            </w:pPr>
            <w:r>
              <w:rPr>
                <w:b/>
                <w:spacing w:val="-4"/>
                <w:sz w:val="17"/>
              </w:rPr>
              <w:t>2027</w:t>
            </w:r>
          </w:p>
        </w:tc>
        <w:tc>
          <w:tcPr>
            <w:tcW w:w="655" w:type="dxa"/>
            <w:shd w:val="clear" w:color="auto" w:fill="92D400"/>
          </w:tcPr>
          <w:p w:rsidR="00C31389" w:rsidRDefault="00561FBD" w14:paraId="6EDD0899" w14:textId="77777777">
            <w:pPr>
              <w:pStyle w:val="TableParagraph"/>
              <w:spacing w:before="41"/>
              <w:ind w:right="109"/>
              <w:jc w:val="right"/>
              <w:rPr>
                <w:b/>
                <w:sz w:val="17"/>
              </w:rPr>
            </w:pPr>
            <w:r>
              <w:rPr>
                <w:b/>
                <w:spacing w:val="-4"/>
                <w:sz w:val="17"/>
              </w:rPr>
              <w:t>2028</w:t>
            </w:r>
          </w:p>
        </w:tc>
        <w:tc>
          <w:tcPr>
            <w:tcW w:w="655" w:type="dxa"/>
            <w:shd w:val="clear" w:color="auto" w:fill="92D400"/>
          </w:tcPr>
          <w:p w:rsidR="00C31389" w:rsidRDefault="00561FBD" w14:paraId="309FC082" w14:textId="77777777">
            <w:pPr>
              <w:pStyle w:val="TableParagraph"/>
              <w:spacing w:before="41"/>
              <w:ind w:left="99" w:right="47"/>
              <w:jc w:val="center"/>
              <w:rPr>
                <w:b/>
                <w:sz w:val="17"/>
              </w:rPr>
            </w:pPr>
            <w:r>
              <w:rPr>
                <w:b/>
                <w:spacing w:val="-4"/>
                <w:sz w:val="17"/>
              </w:rPr>
              <w:t>2029</w:t>
            </w:r>
          </w:p>
        </w:tc>
        <w:tc>
          <w:tcPr>
            <w:tcW w:w="655" w:type="dxa"/>
            <w:shd w:val="clear" w:color="auto" w:fill="92D400"/>
          </w:tcPr>
          <w:p w:rsidR="00C31389" w:rsidRDefault="00561FBD" w14:paraId="7BA8F67E" w14:textId="77777777">
            <w:pPr>
              <w:pStyle w:val="TableParagraph"/>
              <w:spacing w:before="41"/>
              <w:ind w:left="99" w:right="46"/>
              <w:jc w:val="center"/>
              <w:rPr>
                <w:b/>
                <w:sz w:val="17"/>
              </w:rPr>
            </w:pPr>
            <w:r>
              <w:rPr>
                <w:b/>
                <w:spacing w:val="-4"/>
                <w:sz w:val="17"/>
              </w:rPr>
              <w:t>2030</w:t>
            </w:r>
          </w:p>
        </w:tc>
        <w:tc>
          <w:tcPr>
            <w:tcW w:w="655" w:type="dxa"/>
            <w:shd w:val="clear" w:color="auto" w:fill="92D400"/>
          </w:tcPr>
          <w:p w:rsidR="00C31389" w:rsidRDefault="00561FBD" w14:paraId="1C05339D" w14:textId="77777777">
            <w:pPr>
              <w:pStyle w:val="TableParagraph"/>
              <w:spacing w:before="41"/>
              <w:ind w:right="109"/>
              <w:jc w:val="right"/>
              <w:rPr>
                <w:b/>
                <w:sz w:val="17"/>
              </w:rPr>
            </w:pPr>
            <w:r>
              <w:rPr>
                <w:b/>
                <w:spacing w:val="-4"/>
                <w:sz w:val="17"/>
              </w:rPr>
              <w:t>2031</w:t>
            </w:r>
          </w:p>
        </w:tc>
        <w:tc>
          <w:tcPr>
            <w:tcW w:w="678" w:type="dxa"/>
            <w:shd w:val="clear" w:color="auto" w:fill="92D400"/>
          </w:tcPr>
          <w:p w:rsidR="00C31389" w:rsidRDefault="00561FBD" w14:paraId="0E99E0FC" w14:textId="77777777">
            <w:pPr>
              <w:pStyle w:val="TableParagraph"/>
              <w:spacing w:before="41"/>
              <w:ind w:left="165"/>
              <w:rPr>
                <w:b/>
                <w:sz w:val="17"/>
              </w:rPr>
            </w:pPr>
            <w:r>
              <w:rPr>
                <w:b/>
                <w:spacing w:val="-4"/>
                <w:sz w:val="17"/>
              </w:rPr>
              <w:t>2032</w:t>
            </w:r>
          </w:p>
        </w:tc>
        <w:tc>
          <w:tcPr>
            <w:tcW w:w="654" w:type="dxa"/>
            <w:shd w:val="clear" w:color="auto" w:fill="92D400"/>
          </w:tcPr>
          <w:p w:rsidR="00C31389" w:rsidRDefault="00561FBD" w14:paraId="4058D9F2" w14:textId="77777777">
            <w:pPr>
              <w:pStyle w:val="TableParagraph"/>
              <w:spacing w:before="41"/>
              <w:ind w:left="128" w:right="122"/>
              <w:jc w:val="center"/>
              <w:rPr>
                <w:b/>
                <w:sz w:val="17"/>
              </w:rPr>
            </w:pPr>
            <w:r>
              <w:rPr>
                <w:b/>
                <w:spacing w:val="-4"/>
                <w:sz w:val="17"/>
              </w:rPr>
              <w:t>2033</w:t>
            </w:r>
          </w:p>
        </w:tc>
        <w:tc>
          <w:tcPr>
            <w:tcW w:w="655" w:type="dxa"/>
            <w:shd w:val="clear" w:color="auto" w:fill="92D400"/>
          </w:tcPr>
          <w:p w:rsidR="00C31389" w:rsidRDefault="00561FBD" w14:paraId="2BADEDCF" w14:textId="77777777">
            <w:pPr>
              <w:pStyle w:val="TableParagraph"/>
              <w:spacing w:before="41"/>
              <w:ind w:left="99" w:right="91"/>
              <w:jc w:val="center"/>
              <w:rPr>
                <w:b/>
                <w:sz w:val="17"/>
              </w:rPr>
            </w:pPr>
            <w:r>
              <w:rPr>
                <w:b/>
                <w:spacing w:val="-4"/>
                <w:sz w:val="17"/>
              </w:rPr>
              <w:t>2034</w:t>
            </w:r>
          </w:p>
        </w:tc>
        <w:tc>
          <w:tcPr>
            <w:tcW w:w="624" w:type="dxa"/>
            <w:shd w:val="clear" w:color="auto" w:fill="92D400"/>
          </w:tcPr>
          <w:p w:rsidR="00C31389" w:rsidRDefault="00561FBD" w14:paraId="4A88F052" w14:textId="77777777">
            <w:pPr>
              <w:pStyle w:val="TableParagraph"/>
              <w:spacing w:before="41"/>
              <w:ind w:right="100"/>
              <w:jc w:val="right"/>
              <w:rPr>
                <w:b/>
                <w:sz w:val="17"/>
              </w:rPr>
            </w:pPr>
            <w:r>
              <w:rPr>
                <w:b/>
                <w:spacing w:val="-4"/>
                <w:sz w:val="17"/>
              </w:rPr>
              <w:t>2035</w:t>
            </w:r>
          </w:p>
        </w:tc>
      </w:tr>
      <w:tr w:rsidR="00C31389" w14:paraId="104888CE" w14:textId="77777777">
        <w:trPr>
          <w:trHeight w:val="254"/>
        </w:trPr>
        <w:tc>
          <w:tcPr>
            <w:tcW w:w="1427" w:type="dxa"/>
            <w:tcBorders>
              <w:bottom w:val="single" w:color="DCDDDE" w:sz="4" w:space="0"/>
            </w:tcBorders>
          </w:tcPr>
          <w:p w:rsidR="00C31389" w:rsidRDefault="00561FBD" w14:paraId="5DA013FC" w14:textId="77777777">
            <w:pPr>
              <w:pStyle w:val="TableParagraph"/>
              <w:spacing w:before="20"/>
              <w:ind w:left="122"/>
              <w:rPr>
                <w:sz w:val="17"/>
              </w:rPr>
            </w:pPr>
            <w:r>
              <w:rPr>
                <w:spacing w:val="-4"/>
                <w:sz w:val="17"/>
              </w:rPr>
              <w:t>BROs</w:t>
            </w:r>
          </w:p>
        </w:tc>
        <w:tc>
          <w:tcPr>
            <w:tcW w:w="749" w:type="dxa"/>
            <w:tcBorders>
              <w:bottom w:val="single" w:color="DCDDDE" w:sz="4" w:space="0"/>
            </w:tcBorders>
          </w:tcPr>
          <w:p w:rsidR="00C31389" w:rsidRDefault="00561FBD" w14:paraId="612B9EE9" w14:textId="77777777">
            <w:pPr>
              <w:pStyle w:val="TableParagraph"/>
              <w:spacing w:before="20"/>
              <w:ind w:right="112"/>
              <w:jc w:val="right"/>
              <w:rPr>
                <w:sz w:val="17"/>
              </w:rPr>
            </w:pPr>
            <w:r>
              <w:rPr>
                <w:spacing w:val="-4"/>
                <w:sz w:val="17"/>
              </w:rPr>
              <w:t>45.4</w:t>
            </w:r>
          </w:p>
        </w:tc>
        <w:tc>
          <w:tcPr>
            <w:tcW w:w="655" w:type="dxa"/>
            <w:tcBorders>
              <w:bottom w:val="single" w:color="DCDDDE" w:sz="4" w:space="0"/>
            </w:tcBorders>
          </w:tcPr>
          <w:p w:rsidR="00C31389" w:rsidRDefault="00561FBD" w14:paraId="617C44DB" w14:textId="77777777">
            <w:pPr>
              <w:pStyle w:val="TableParagraph"/>
              <w:spacing w:before="20"/>
              <w:ind w:left="99" w:right="4"/>
              <w:jc w:val="center"/>
              <w:rPr>
                <w:sz w:val="17"/>
              </w:rPr>
            </w:pPr>
            <w:r>
              <w:rPr>
                <w:spacing w:val="-4"/>
                <w:sz w:val="17"/>
              </w:rPr>
              <w:t>47.7</w:t>
            </w:r>
          </w:p>
        </w:tc>
        <w:tc>
          <w:tcPr>
            <w:tcW w:w="654" w:type="dxa"/>
            <w:tcBorders>
              <w:bottom w:val="single" w:color="DCDDDE" w:sz="4" w:space="0"/>
            </w:tcBorders>
          </w:tcPr>
          <w:p w:rsidR="00C31389" w:rsidRDefault="00561FBD" w14:paraId="776A7B31" w14:textId="77777777">
            <w:pPr>
              <w:pStyle w:val="TableParagraph"/>
              <w:spacing w:before="20"/>
              <w:ind w:right="111"/>
              <w:jc w:val="right"/>
              <w:rPr>
                <w:sz w:val="17"/>
              </w:rPr>
            </w:pPr>
            <w:r>
              <w:rPr>
                <w:spacing w:val="-4"/>
                <w:sz w:val="17"/>
              </w:rPr>
              <w:t>50.0</w:t>
            </w:r>
          </w:p>
        </w:tc>
        <w:tc>
          <w:tcPr>
            <w:tcW w:w="654" w:type="dxa"/>
            <w:tcBorders>
              <w:bottom w:val="single" w:color="DCDDDE" w:sz="4" w:space="0"/>
            </w:tcBorders>
          </w:tcPr>
          <w:p w:rsidR="00C31389" w:rsidRDefault="00561FBD" w14:paraId="4B050DBF" w14:textId="77777777">
            <w:pPr>
              <w:pStyle w:val="TableParagraph"/>
              <w:spacing w:before="20"/>
              <w:ind w:right="111"/>
              <w:jc w:val="right"/>
              <w:rPr>
                <w:sz w:val="17"/>
              </w:rPr>
            </w:pPr>
            <w:r>
              <w:rPr>
                <w:spacing w:val="-4"/>
                <w:sz w:val="17"/>
              </w:rPr>
              <w:t>51.8</w:t>
            </w:r>
          </w:p>
        </w:tc>
        <w:tc>
          <w:tcPr>
            <w:tcW w:w="655" w:type="dxa"/>
            <w:tcBorders>
              <w:bottom w:val="single" w:color="DCDDDE" w:sz="4" w:space="0"/>
            </w:tcBorders>
          </w:tcPr>
          <w:p w:rsidR="00C31389" w:rsidRDefault="00561FBD" w14:paraId="1BED3779" w14:textId="77777777">
            <w:pPr>
              <w:pStyle w:val="TableParagraph"/>
              <w:spacing w:before="20"/>
              <w:ind w:right="110"/>
              <w:jc w:val="right"/>
              <w:rPr>
                <w:sz w:val="17"/>
              </w:rPr>
            </w:pPr>
            <w:r>
              <w:rPr>
                <w:spacing w:val="-4"/>
                <w:sz w:val="17"/>
              </w:rPr>
              <w:t>53.4</w:t>
            </w:r>
          </w:p>
        </w:tc>
        <w:tc>
          <w:tcPr>
            <w:tcW w:w="655" w:type="dxa"/>
            <w:tcBorders>
              <w:bottom w:val="single" w:color="DCDDDE" w:sz="4" w:space="0"/>
            </w:tcBorders>
          </w:tcPr>
          <w:p w:rsidR="00C31389" w:rsidRDefault="00561FBD" w14:paraId="7675E3B0" w14:textId="77777777">
            <w:pPr>
              <w:pStyle w:val="TableParagraph"/>
              <w:spacing w:before="20"/>
              <w:ind w:left="99" w:right="1"/>
              <w:jc w:val="center"/>
              <w:rPr>
                <w:sz w:val="17"/>
              </w:rPr>
            </w:pPr>
            <w:r>
              <w:rPr>
                <w:spacing w:val="-4"/>
                <w:sz w:val="17"/>
              </w:rPr>
              <w:t>55.2</w:t>
            </w:r>
          </w:p>
        </w:tc>
        <w:tc>
          <w:tcPr>
            <w:tcW w:w="655" w:type="dxa"/>
            <w:tcBorders>
              <w:bottom w:val="single" w:color="DCDDDE" w:sz="4" w:space="0"/>
            </w:tcBorders>
          </w:tcPr>
          <w:p w:rsidR="00C31389" w:rsidRDefault="00561FBD" w14:paraId="23ACC2C3" w14:textId="77777777">
            <w:pPr>
              <w:pStyle w:val="TableParagraph"/>
              <w:spacing w:before="20"/>
              <w:ind w:left="99" w:right="1"/>
              <w:jc w:val="center"/>
              <w:rPr>
                <w:sz w:val="17"/>
              </w:rPr>
            </w:pPr>
            <w:r>
              <w:rPr>
                <w:spacing w:val="-4"/>
                <w:sz w:val="17"/>
              </w:rPr>
              <w:t>57.1</w:t>
            </w:r>
          </w:p>
        </w:tc>
        <w:tc>
          <w:tcPr>
            <w:tcW w:w="655" w:type="dxa"/>
            <w:tcBorders>
              <w:bottom w:val="single" w:color="DCDDDE" w:sz="4" w:space="0"/>
            </w:tcBorders>
          </w:tcPr>
          <w:p w:rsidR="00C31389" w:rsidRDefault="00561FBD" w14:paraId="35B87501" w14:textId="77777777">
            <w:pPr>
              <w:pStyle w:val="TableParagraph"/>
              <w:spacing w:before="20"/>
              <w:ind w:right="110"/>
              <w:jc w:val="right"/>
              <w:rPr>
                <w:sz w:val="17"/>
              </w:rPr>
            </w:pPr>
            <w:r>
              <w:rPr>
                <w:spacing w:val="-4"/>
                <w:sz w:val="17"/>
              </w:rPr>
              <w:t>59.0</w:t>
            </w:r>
          </w:p>
        </w:tc>
        <w:tc>
          <w:tcPr>
            <w:tcW w:w="678" w:type="dxa"/>
            <w:tcBorders>
              <w:bottom w:val="single" w:color="DCDDDE" w:sz="4" w:space="0"/>
            </w:tcBorders>
          </w:tcPr>
          <w:p w:rsidR="00C31389" w:rsidRDefault="00561FBD" w14:paraId="006D69C1" w14:textId="77777777">
            <w:pPr>
              <w:pStyle w:val="TableParagraph"/>
              <w:spacing w:before="20"/>
              <w:ind w:left="211"/>
              <w:rPr>
                <w:sz w:val="17"/>
              </w:rPr>
            </w:pPr>
            <w:r>
              <w:rPr>
                <w:spacing w:val="-4"/>
                <w:sz w:val="17"/>
              </w:rPr>
              <w:t>60.8</w:t>
            </w:r>
          </w:p>
        </w:tc>
        <w:tc>
          <w:tcPr>
            <w:tcW w:w="654" w:type="dxa"/>
            <w:tcBorders>
              <w:bottom w:val="single" w:color="DCDDDE" w:sz="4" w:space="0"/>
            </w:tcBorders>
          </w:tcPr>
          <w:p w:rsidR="00C31389" w:rsidRDefault="00561FBD" w14:paraId="007EC20C" w14:textId="77777777">
            <w:pPr>
              <w:pStyle w:val="TableParagraph"/>
              <w:spacing w:before="20"/>
              <w:ind w:left="128" w:right="76"/>
              <w:jc w:val="center"/>
              <w:rPr>
                <w:sz w:val="17"/>
              </w:rPr>
            </w:pPr>
            <w:r>
              <w:rPr>
                <w:spacing w:val="-4"/>
                <w:sz w:val="17"/>
              </w:rPr>
              <w:t>62.9</w:t>
            </w:r>
          </w:p>
        </w:tc>
        <w:tc>
          <w:tcPr>
            <w:tcW w:w="655" w:type="dxa"/>
            <w:tcBorders>
              <w:bottom w:val="single" w:color="DCDDDE" w:sz="4" w:space="0"/>
            </w:tcBorders>
          </w:tcPr>
          <w:p w:rsidR="00C31389" w:rsidRDefault="00561FBD" w14:paraId="19E6EAEE" w14:textId="77777777">
            <w:pPr>
              <w:pStyle w:val="TableParagraph"/>
              <w:spacing w:before="20"/>
              <w:ind w:left="99" w:right="45"/>
              <w:jc w:val="center"/>
              <w:rPr>
                <w:sz w:val="17"/>
              </w:rPr>
            </w:pPr>
            <w:r>
              <w:rPr>
                <w:spacing w:val="-4"/>
                <w:sz w:val="17"/>
              </w:rPr>
              <w:t>63.9</w:t>
            </w:r>
          </w:p>
        </w:tc>
        <w:tc>
          <w:tcPr>
            <w:tcW w:w="624" w:type="dxa"/>
            <w:tcBorders>
              <w:bottom w:val="single" w:color="DCDDDE" w:sz="4" w:space="0"/>
            </w:tcBorders>
          </w:tcPr>
          <w:p w:rsidR="00C31389" w:rsidRDefault="00561FBD" w14:paraId="4ACF5DA6" w14:textId="77777777">
            <w:pPr>
              <w:pStyle w:val="TableParagraph"/>
              <w:spacing w:before="20"/>
              <w:ind w:right="101"/>
              <w:jc w:val="right"/>
              <w:rPr>
                <w:sz w:val="17"/>
              </w:rPr>
            </w:pPr>
            <w:r>
              <w:rPr>
                <w:spacing w:val="-4"/>
                <w:sz w:val="17"/>
              </w:rPr>
              <w:t>66.2</w:t>
            </w:r>
          </w:p>
        </w:tc>
      </w:tr>
      <w:tr w:rsidR="00C31389" w14:paraId="3EF6809B"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49B4FA63" w14:textId="77777777">
            <w:pPr>
              <w:pStyle w:val="TableParagraph"/>
              <w:spacing w:before="42"/>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757ECFA2" w14:textId="77777777">
        <w:trPr>
          <w:trHeight w:val="471"/>
        </w:trPr>
        <w:tc>
          <w:tcPr>
            <w:tcW w:w="1427" w:type="dxa"/>
            <w:tcBorders>
              <w:top w:val="single" w:color="DCDDDE" w:sz="4" w:space="0"/>
              <w:bottom w:val="single" w:color="DCDDDE" w:sz="4" w:space="0"/>
            </w:tcBorders>
          </w:tcPr>
          <w:p w:rsidR="00C31389" w:rsidRDefault="00561FBD" w14:paraId="11B08F95" w14:textId="77777777">
            <w:pPr>
              <w:pStyle w:val="TableParagraph"/>
              <w:ind w:left="122" w:right="295"/>
              <w:rPr>
                <w:sz w:val="17"/>
              </w:rPr>
            </w:pPr>
            <w:r>
              <w:rPr>
                <w:sz w:val="17"/>
              </w:rPr>
              <w:t>w/</w:t>
            </w:r>
            <w:r>
              <w:rPr>
                <w:spacing w:val="-12"/>
                <w:sz w:val="17"/>
              </w:rPr>
              <w:t xml:space="preserve"> </w:t>
            </w:r>
            <w:r>
              <w:rPr>
                <w:sz w:val="17"/>
              </w:rPr>
              <w:t xml:space="preserve">Interactive </w:t>
            </w:r>
            <w:r>
              <w:rPr>
                <w:spacing w:val="-2"/>
                <w:sz w:val="17"/>
              </w:rPr>
              <w:t>Effects</w:t>
            </w:r>
          </w:p>
        </w:tc>
        <w:tc>
          <w:tcPr>
            <w:tcW w:w="749" w:type="dxa"/>
            <w:tcBorders>
              <w:top w:val="single" w:color="DCDDDE" w:sz="4" w:space="0"/>
              <w:bottom w:val="single" w:color="DCDDDE" w:sz="4" w:space="0"/>
            </w:tcBorders>
          </w:tcPr>
          <w:p w:rsidR="00C31389" w:rsidRDefault="00561FBD" w14:paraId="3D80EF5E" w14:textId="77777777">
            <w:pPr>
              <w:pStyle w:val="TableParagraph"/>
              <w:spacing w:before="139"/>
              <w:ind w:right="112"/>
              <w:jc w:val="right"/>
              <w:rPr>
                <w:sz w:val="17"/>
              </w:rPr>
            </w:pPr>
            <w:r>
              <w:rPr>
                <w:spacing w:val="-2"/>
                <w:sz w:val="17"/>
              </w:rPr>
              <w:t>186.5</w:t>
            </w:r>
          </w:p>
        </w:tc>
        <w:tc>
          <w:tcPr>
            <w:tcW w:w="655" w:type="dxa"/>
            <w:tcBorders>
              <w:top w:val="single" w:color="DCDDDE" w:sz="4" w:space="0"/>
              <w:bottom w:val="single" w:color="DCDDDE" w:sz="4" w:space="0"/>
            </w:tcBorders>
          </w:tcPr>
          <w:p w:rsidR="00C31389" w:rsidRDefault="00561FBD" w14:paraId="166BB162" w14:textId="77777777">
            <w:pPr>
              <w:pStyle w:val="TableParagraph"/>
              <w:spacing w:before="139"/>
              <w:ind w:left="97" w:right="97"/>
              <w:jc w:val="center"/>
              <w:rPr>
                <w:sz w:val="17"/>
              </w:rPr>
            </w:pPr>
            <w:r>
              <w:rPr>
                <w:spacing w:val="-2"/>
                <w:sz w:val="17"/>
              </w:rPr>
              <w:t>172.4</w:t>
            </w:r>
          </w:p>
        </w:tc>
        <w:tc>
          <w:tcPr>
            <w:tcW w:w="654" w:type="dxa"/>
            <w:tcBorders>
              <w:top w:val="single" w:color="DCDDDE" w:sz="4" w:space="0"/>
              <w:bottom w:val="single" w:color="DCDDDE" w:sz="4" w:space="0"/>
            </w:tcBorders>
          </w:tcPr>
          <w:p w:rsidR="00C31389" w:rsidRDefault="00561FBD" w14:paraId="3C80B3F9" w14:textId="77777777">
            <w:pPr>
              <w:pStyle w:val="TableParagraph"/>
              <w:spacing w:before="139"/>
              <w:ind w:right="111"/>
              <w:jc w:val="right"/>
              <w:rPr>
                <w:sz w:val="17"/>
              </w:rPr>
            </w:pPr>
            <w:r>
              <w:rPr>
                <w:spacing w:val="-2"/>
                <w:sz w:val="17"/>
              </w:rPr>
              <w:t>168.9</w:t>
            </w:r>
          </w:p>
        </w:tc>
        <w:tc>
          <w:tcPr>
            <w:tcW w:w="654" w:type="dxa"/>
            <w:tcBorders>
              <w:top w:val="single" w:color="DCDDDE" w:sz="4" w:space="0"/>
              <w:bottom w:val="single" w:color="DCDDDE" w:sz="4" w:space="0"/>
            </w:tcBorders>
          </w:tcPr>
          <w:p w:rsidR="00C31389" w:rsidRDefault="00561FBD" w14:paraId="30853A37" w14:textId="77777777">
            <w:pPr>
              <w:pStyle w:val="TableParagraph"/>
              <w:spacing w:before="139"/>
              <w:ind w:right="111"/>
              <w:jc w:val="right"/>
              <w:rPr>
                <w:sz w:val="17"/>
              </w:rPr>
            </w:pPr>
            <w:r>
              <w:rPr>
                <w:spacing w:val="-2"/>
                <w:sz w:val="17"/>
              </w:rPr>
              <w:t>154.7</w:t>
            </w:r>
          </w:p>
        </w:tc>
        <w:tc>
          <w:tcPr>
            <w:tcW w:w="655" w:type="dxa"/>
            <w:tcBorders>
              <w:top w:val="single" w:color="DCDDDE" w:sz="4" w:space="0"/>
              <w:bottom w:val="single" w:color="DCDDDE" w:sz="4" w:space="0"/>
            </w:tcBorders>
          </w:tcPr>
          <w:p w:rsidR="00C31389" w:rsidRDefault="00561FBD" w14:paraId="021712E5" w14:textId="77777777">
            <w:pPr>
              <w:pStyle w:val="TableParagraph"/>
              <w:spacing w:before="139"/>
              <w:ind w:right="110"/>
              <w:jc w:val="right"/>
              <w:rPr>
                <w:sz w:val="17"/>
              </w:rPr>
            </w:pPr>
            <w:r>
              <w:rPr>
                <w:spacing w:val="-2"/>
                <w:sz w:val="17"/>
              </w:rPr>
              <w:t>147.1</w:t>
            </w:r>
          </w:p>
        </w:tc>
        <w:tc>
          <w:tcPr>
            <w:tcW w:w="655" w:type="dxa"/>
            <w:tcBorders>
              <w:top w:val="single" w:color="DCDDDE" w:sz="4" w:space="0"/>
              <w:bottom w:val="single" w:color="DCDDDE" w:sz="4" w:space="0"/>
            </w:tcBorders>
          </w:tcPr>
          <w:p w:rsidR="00C31389" w:rsidRDefault="00561FBD" w14:paraId="4A3C9689" w14:textId="77777777">
            <w:pPr>
              <w:pStyle w:val="TableParagraph"/>
              <w:spacing w:before="139"/>
              <w:ind w:left="99" w:right="96"/>
              <w:jc w:val="center"/>
              <w:rPr>
                <w:sz w:val="17"/>
              </w:rPr>
            </w:pPr>
            <w:r>
              <w:rPr>
                <w:spacing w:val="-2"/>
                <w:sz w:val="17"/>
              </w:rPr>
              <w:t>121.9</w:t>
            </w:r>
          </w:p>
        </w:tc>
        <w:tc>
          <w:tcPr>
            <w:tcW w:w="655" w:type="dxa"/>
            <w:tcBorders>
              <w:top w:val="single" w:color="DCDDDE" w:sz="4" w:space="0"/>
              <w:bottom w:val="single" w:color="DCDDDE" w:sz="4" w:space="0"/>
            </w:tcBorders>
          </w:tcPr>
          <w:p w:rsidR="00C31389" w:rsidRDefault="00561FBD" w14:paraId="1167DA38" w14:textId="77777777">
            <w:pPr>
              <w:pStyle w:val="TableParagraph"/>
              <w:spacing w:before="139"/>
              <w:ind w:left="99" w:right="95"/>
              <w:jc w:val="center"/>
              <w:rPr>
                <w:sz w:val="17"/>
              </w:rPr>
            </w:pPr>
            <w:r>
              <w:rPr>
                <w:spacing w:val="-2"/>
                <w:sz w:val="17"/>
              </w:rPr>
              <w:t>113.3</w:t>
            </w:r>
          </w:p>
        </w:tc>
        <w:tc>
          <w:tcPr>
            <w:tcW w:w="655" w:type="dxa"/>
            <w:tcBorders>
              <w:top w:val="single" w:color="DCDDDE" w:sz="4" w:space="0"/>
              <w:bottom w:val="single" w:color="DCDDDE" w:sz="4" w:space="0"/>
            </w:tcBorders>
          </w:tcPr>
          <w:p w:rsidR="00C31389" w:rsidRDefault="00561FBD" w14:paraId="582B55A8" w14:textId="77777777">
            <w:pPr>
              <w:pStyle w:val="TableParagraph"/>
              <w:spacing w:before="139"/>
              <w:ind w:right="110"/>
              <w:jc w:val="right"/>
              <w:rPr>
                <w:sz w:val="17"/>
              </w:rPr>
            </w:pPr>
            <w:r>
              <w:rPr>
                <w:spacing w:val="-2"/>
                <w:sz w:val="17"/>
              </w:rPr>
              <w:t>108.7</w:t>
            </w:r>
          </w:p>
        </w:tc>
        <w:tc>
          <w:tcPr>
            <w:tcW w:w="678" w:type="dxa"/>
            <w:tcBorders>
              <w:top w:val="single" w:color="DCDDDE" w:sz="4" w:space="0"/>
              <w:bottom w:val="single" w:color="DCDDDE" w:sz="4" w:space="0"/>
            </w:tcBorders>
          </w:tcPr>
          <w:p w:rsidR="00C31389" w:rsidRDefault="00561FBD" w14:paraId="1181FA88" w14:textId="77777777">
            <w:pPr>
              <w:pStyle w:val="TableParagraph"/>
              <w:spacing w:before="139"/>
              <w:ind w:left="117"/>
              <w:rPr>
                <w:sz w:val="17"/>
              </w:rPr>
            </w:pPr>
            <w:r>
              <w:rPr>
                <w:spacing w:val="-2"/>
                <w:sz w:val="17"/>
              </w:rPr>
              <w:t>101.0</w:t>
            </w:r>
          </w:p>
        </w:tc>
        <w:tc>
          <w:tcPr>
            <w:tcW w:w="654" w:type="dxa"/>
            <w:tcBorders>
              <w:top w:val="single" w:color="DCDDDE" w:sz="4" w:space="0"/>
              <w:bottom w:val="single" w:color="DCDDDE" w:sz="4" w:space="0"/>
            </w:tcBorders>
          </w:tcPr>
          <w:p w:rsidR="00C31389" w:rsidRDefault="00561FBD" w14:paraId="4274E77B" w14:textId="77777777">
            <w:pPr>
              <w:pStyle w:val="TableParagraph"/>
              <w:spacing w:before="139"/>
              <w:ind w:left="128" w:right="76"/>
              <w:jc w:val="center"/>
              <w:rPr>
                <w:sz w:val="17"/>
              </w:rPr>
            </w:pPr>
            <w:r>
              <w:rPr>
                <w:spacing w:val="-4"/>
                <w:sz w:val="17"/>
              </w:rPr>
              <w:t>95.8</w:t>
            </w:r>
          </w:p>
        </w:tc>
        <w:tc>
          <w:tcPr>
            <w:tcW w:w="655" w:type="dxa"/>
            <w:tcBorders>
              <w:top w:val="single" w:color="DCDDDE" w:sz="4" w:space="0"/>
              <w:bottom w:val="single" w:color="DCDDDE" w:sz="4" w:space="0"/>
            </w:tcBorders>
          </w:tcPr>
          <w:p w:rsidR="00C31389" w:rsidRDefault="00561FBD" w14:paraId="19E13CBE" w14:textId="77777777">
            <w:pPr>
              <w:pStyle w:val="TableParagraph"/>
              <w:spacing w:before="139"/>
              <w:ind w:left="99" w:right="45"/>
              <w:jc w:val="center"/>
              <w:rPr>
                <w:sz w:val="17"/>
              </w:rPr>
            </w:pPr>
            <w:r>
              <w:rPr>
                <w:spacing w:val="-4"/>
                <w:sz w:val="17"/>
              </w:rPr>
              <w:t>85.9</w:t>
            </w:r>
          </w:p>
        </w:tc>
        <w:tc>
          <w:tcPr>
            <w:tcW w:w="624" w:type="dxa"/>
            <w:tcBorders>
              <w:top w:val="single" w:color="DCDDDE" w:sz="4" w:space="0"/>
              <w:bottom w:val="single" w:color="DCDDDE" w:sz="4" w:space="0"/>
            </w:tcBorders>
          </w:tcPr>
          <w:p w:rsidR="00C31389" w:rsidRDefault="00561FBD" w14:paraId="70E3FD71" w14:textId="77777777">
            <w:pPr>
              <w:pStyle w:val="TableParagraph"/>
              <w:spacing w:before="139"/>
              <w:ind w:right="101"/>
              <w:jc w:val="right"/>
              <w:rPr>
                <w:sz w:val="17"/>
              </w:rPr>
            </w:pPr>
            <w:r>
              <w:rPr>
                <w:spacing w:val="-4"/>
                <w:sz w:val="17"/>
              </w:rPr>
              <w:t>81.6</w:t>
            </w:r>
          </w:p>
        </w:tc>
      </w:tr>
      <w:tr w:rsidR="00C31389" w14:paraId="75BCF928" w14:textId="77777777">
        <w:trPr>
          <w:trHeight w:val="472"/>
        </w:trPr>
        <w:tc>
          <w:tcPr>
            <w:tcW w:w="1427" w:type="dxa"/>
            <w:tcBorders>
              <w:top w:val="single" w:color="DCDDDE" w:sz="4" w:space="0"/>
              <w:bottom w:val="single" w:color="545658" w:sz="8" w:space="0"/>
            </w:tcBorders>
          </w:tcPr>
          <w:p w:rsidR="00C31389" w:rsidRDefault="00561FBD" w14:paraId="1CF07629" w14:textId="77777777">
            <w:pPr>
              <w:pStyle w:val="TableParagraph"/>
              <w:spacing w:before="39"/>
              <w:ind w:left="122" w:right="200"/>
              <w:rPr>
                <w:sz w:val="17"/>
              </w:rPr>
            </w:pPr>
            <w:r>
              <w:rPr>
                <w:sz w:val="17"/>
              </w:rPr>
              <w:t>w/o</w:t>
            </w:r>
            <w:r>
              <w:rPr>
                <w:spacing w:val="-12"/>
                <w:sz w:val="17"/>
              </w:rPr>
              <w:t xml:space="preserve"> </w:t>
            </w:r>
            <w:r>
              <w:rPr>
                <w:sz w:val="17"/>
              </w:rPr>
              <w:t xml:space="preserve">Interactive </w:t>
            </w:r>
            <w:r>
              <w:rPr>
                <w:spacing w:val="-2"/>
                <w:sz w:val="17"/>
              </w:rPr>
              <w:t>Effects</w:t>
            </w:r>
          </w:p>
        </w:tc>
        <w:tc>
          <w:tcPr>
            <w:tcW w:w="749" w:type="dxa"/>
            <w:tcBorders>
              <w:top w:val="single" w:color="DCDDDE" w:sz="4" w:space="0"/>
              <w:bottom w:val="single" w:color="545658" w:sz="8" w:space="0"/>
            </w:tcBorders>
          </w:tcPr>
          <w:p w:rsidR="00C31389" w:rsidRDefault="00561FBD" w14:paraId="4FF1C38F" w14:textId="77777777">
            <w:pPr>
              <w:pStyle w:val="TableParagraph"/>
              <w:spacing w:before="139"/>
              <w:ind w:right="112"/>
              <w:jc w:val="right"/>
              <w:rPr>
                <w:sz w:val="17"/>
              </w:rPr>
            </w:pPr>
            <w:r>
              <w:rPr>
                <w:spacing w:val="-2"/>
                <w:sz w:val="17"/>
              </w:rPr>
              <w:t>180.2</w:t>
            </w:r>
          </w:p>
        </w:tc>
        <w:tc>
          <w:tcPr>
            <w:tcW w:w="655" w:type="dxa"/>
            <w:tcBorders>
              <w:top w:val="single" w:color="DCDDDE" w:sz="4" w:space="0"/>
              <w:bottom w:val="single" w:color="545658" w:sz="8" w:space="0"/>
            </w:tcBorders>
          </w:tcPr>
          <w:p w:rsidR="00C31389" w:rsidRDefault="00561FBD" w14:paraId="08E8156D" w14:textId="77777777">
            <w:pPr>
              <w:pStyle w:val="TableParagraph"/>
              <w:spacing w:before="139"/>
              <w:ind w:left="97" w:right="97"/>
              <w:jc w:val="center"/>
              <w:rPr>
                <w:sz w:val="17"/>
              </w:rPr>
            </w:pPr>
            <w:r>
              <w:rPr>
                <w:spacing w:val="-2"/>
                <w:sz w:val="17"/>
              </w:rPr>
              <w:t>166.2</w:t>
            </w:r>
          </w:p>
        </w:tc>
        <w:tc>
          <w:tcPr>
            <w:tcW w:w="654" w:type="dxa"/>
            <w:tcBorders>
              <w:top w:val="single" w:color="DCDDDE" w:sz="4" w:space="0"/>
              <w:bottom w:val="single" w:color="545658" w:sz="8" w:space="0"/>
            </w:tcBorders>
          </w:tcPr>
          <w:p w:rsidR="00C31389" w:rsidRDefault="00561FBD" w14:paraId="4A8AAD38" w14:textId="77777777">
            <w:pPr>
              <w:pStyle w:val="TableParagraph"/>
              <w:spacing w:before="139"/>
              <w:ind w:right="111"/>
              <w:jc w:val="right"/>
              <w:rPr>
                <w:sz w:val="17"/>
              </w:rPr>
            </w:pPr>
            <w:r>
              <w:rPr>
                <w:spacing w:val="-2"/>
                <w:sz w:val="17"/>
              </w:rPr>
              <w:t>162.8</w:t>
            </w:r>
          </w:p>
        </w:tc>
        <w:tc>
          <w:tcPr>
            <w:tcW w:w="654" w:type="dxa"/>
            <w:tcBorders>
              <w:top w:val="single" w:color="DCDDDE" w:sz="4" w:space="0"/>
              <w:bottom w:val="single" w:color="545658" w:sz="8" w:space="0"/>
            </w:tcBorders>
          </w:tcPr>
          <w:p w:rsidR="00C31389" w:rsidRDefault="00561FBD" w14:paraId="45242724" w14:textId="77777777">
            <w:pPr>
              <w:pStyle w:val="TableParagraph"/>
              <w:spacing w:before="139"/>
              <w:ind w:right="111"/>
              <w:jc w:val="right"/>
              <w:rPr>
                <w:sz w:val="17"/>
              </w:rPr>
            </w:pPr>
            <w:r>
              <w:rPr>
                <w:spacing w:val="-2"/>
                <w:sz w:val="17"/>
              </w:rPr>
              <w:t>150.2</w:t>
            </w:r>
          </w:p>
        </w:tc>
        <w:tc>
          <w:tcPr>
            <w:tcW w:w="655" w:type="dxa"/>
            <w:tcBorders>
              <w:top w:val="single" w:color="DCDDDE" w:sz="4" w:space="0"/>
              <w:bottom w:val="single" w:color="545658" w:sz="8" w:space="0"/>
            </w:tcBorders>
          </w:tcPr>
          <w:p w:rsidR="00C31389" w:rsidRDefault="00561FBD" w14:paraId="16FE7C34" w14:textId="77777777">
            <w:pPr>
              <w:pStyle w:val="TableParagraph"/>
              <w:spacing w:before="139"/>
              <w:ind w:right="110"/>
              <w:jc w:val="right"/>
              <w:rPr>
                <w:sz w:val="17"/>
              </w:rPr>
            </w:pPr>
            <w:r>
              <w:rPr>
                <w:spacing w:val="-2"/>
                <w:sz w:val="17"/>
              </w:rPr>
              <w:t>142.7</w:t>
            </w:r>
          </w:p>
        </w:tc>
        <w:tc>
          <w:tcPr>
            <w:tcW w:w="655" w:type="dxa"/>
            <w:tcBorders>
              <w:top w:val="single" w:color="DCDDDE" w:sz="4" w:space="0"/>
              <w:bottom w:val="single" w:color="545658" w:sz="8" w:space="0"/>
            </w:tcBorders>
          </w:tcPr>
          <w:p w:rsidR="00C31389" w:rsidRDefault="00561FBD" w14:paraId="3BEF8E7D" w14:textId="77777777">
            <w:pPr>
              <w:pStyle w:val="TableParagraph"/>
              <w:spacing w:before="139"/>
              <w:ind w:left="99" w:right="96"/>
              <w:jc w:val="center"/>
              <w:rPr>
                <w:sz w:val="17"/>
              </w:rPr>
            </w:pPr>
            <w:r>
              <w:rPr>
                <w:spacing w:val="-2"/>
                <w:sz w:val="17"/>
              </w:rPr>
              <w:t>120.5</w:t>
            </w:r>
          </w:p>
        </w:tc>
        <w:tc>
          <w:tcPr>
            <w:tcW w:w="655" w:type="dxa"/>
            <w:tcBorders>
              <w:top w:val="single" w:color="DCDDDE" w:sz="4" w:space="0"/>
              <w:bottom w:val="single" w:color="545658" w:sz="8" w:space="0"/>
            </w:tcBorders>
          </w:tcPr>
          <w:p w:rsidR="00C31389" w:rsidRDefault="00561FBD" w14:paraId="703A22B4" w14:textId="77777777">
            <w:pPr>
              <w:pStyle w:val="TableParagraph"/>
              <w:spacing w:before="139"/>
              <w:ind w:left="99" w:right="95"/>
              <w:jc w:val="center"/>
              <w:rPr>
                <w:sz w:val="17"/>
              </w:rPr>
            </w:pPr>
            <w:r>
              <w:rPr>
                <w:spacing w:val="-2"/>
                <w:sz w:val="17"/>
              </w:rPr>
              <w:t>112.7</w:t>
            </w:r>
          </w:p>
        </w:tc>
        <w:tc>
          <w:tcPr>
            <w:tcW w:w="655" w:type="dxa"/>
            <w:tcBorders>
              <w:top w:val="single" w:color="DCDDDE" w:sz="4" w:space="0"/>
              <w:bottom w:val="single" w:color="545658" w:sz="8" w:space="0"/>
            </w:tcBorders>
          </w:tcPr>
          <w:p w:rsidR="00C31389" w:rsidRDefault="00561FBD" w14:paraId="015256AB" w14:textId="77777777">
            <w:pPr>
              <w:pStyle w:val="TableParagraph"/>
              <w:spacing w:before="139"/>
              <w:ind w:right="110"/>
              <w:jc w:val="right"/>
              <w:rPr>
                <w:sz w:val="17"/>
              </w:rPr>
            </w:pPr>
            <w:r>
              <w:rPr>
                <w:spacing w:val="-2"/>
                <w:sz w:val="17"/>
              </w:rPr>
              <w:t>108.2</w:t>
            </w:r>
          </w:p>
        </w:tc>
        <w:tc>
          <w:tcPr>
            <w:tcW w:w="678" w:type="dxa"/>
            <w:tcBorders>
              <w:top w:val="single" w:color="DCDDDE" w:sz="4" w:space="0"/>
              <w:bottom w:val="single" w:color="545658" w:sz="8" w:space="0"/>
            </w:tcBorders>
          </w:tcPr>
          <w:p w:rsidR="00C31389" w:rsidRDefault="00561FBD" w14:paraId="4ED39A96" w14:textId="77777777">
            <w:pPr>
              <w:pStyle w:val="TableParagraph"/>
              <w:spacing w:before="139"/>
              <w:ind w:left="117"/>
              <w:rPr>
                <w:sz w:val="17"/>
              </w:rPr>
            </w:pPr>
            <w:r>
              <w:rPr>
                <w:spacing w:val="-2"/>
                <w:sz w:val="17"/>
              </w:rPr>
              <w:t>100.4</w:t>
            </w:r>
          </w:p>
        </w:tc>
        <w:tc>
          <w:tcPr>
            <w:tcW w:w="654" w:type="dxa"/>
            <w:tcBorders>
              <w:top w:val="single" w:color="DCDDDE" w:sz="4" w:space="0"/>
              <w:bottom w:val="single" w:color="545658" w:sz="8" w:space="0"/>
            </w:tcBorders>
          </w:tcPr>
          <w:p w:rsidR="00C31389" w:rsidRDefault="00561FBD" w14:paraId="26DE5CBD" w14:textId="77777777">
            <w:pPr>
              <w:pStyle w:val="TableParagraph"/>
              <w:spacing w:before="139"/>
              <w:ind w:left="128" w:right="76"/>
              <w:jc w:val="center"/>
              <w:rPr>
                <w:sz w:val="17"/>
              </w:rPr>
            </w:pPr>
            <w:r>
              <w:rPr>
                <w:spacing w:val="-4"/>
                <w:sz w:val="17"/>
              </w:rPr>
              <w:t>95.2</w:t>
            </w:r>
          </w:p>
        </w:tc>
        <w:tc>
          <w:tcPr>
            <w:tcW w:w="655" w:type="dxa"/>
            <w:tcBorders>
              <w:top w:val="single" w:color="DCDDDE" w:sz="4" w:space="0"/>
              <w:bottom w:val="single" w:color="545658" w:sz="8" w:space="0"/>
            </w:tcBorders>
          </w:tcPr>
          <w:p w:rsidR="00C31389" w:rsidRDefault="00561FBD" w14:paraId="3B988159" w14:textId="77777777">
            <w:pPr>
              <w:pStyle w:val="TableParagraph"/>
              <w:spacing w:before="139"/>
              <w:ind w:left="99" w:right="45"/>
              <w:jc w:val="center"/>
              <w:rPr>
                <w:sz w:val="17"/>
              </w:rPr>
            </w:pPr>
            <w:r>
              <w:rPr>
                <w:spacing w:val="-4"/>
                <w:sz w:val="17"/>
              </w:rPr>
              <w:t>85.3</w:t>
            </w:r>
          </w:p>
        </w:tc>
        <w:tc>
          <w:tcPr>
            <w:tcW w:w="624" w:type="dxa"/>
            <w:tcBorders>
              <w:top w:val="single" w:color="DCDDDE" w:sz="4" w:space="0"/>
              <w:bottom w:val="single" w:color="545658" w:sz="8" w:space="0"/>
            </w:tcBorders>
          </w:tcPr>
          <w:p w:rsidR="00C31389" w:rsidRDefault="00561FBD" w14:paraId="64A70022" w14:textId="77777777">
            <w:pPr>
              <w:pStyle w:val="TableParagraph"/>
              <w:spacing w:before="139"/>
              <w:ind w:right="101"/>
              <w:jc w:val="right"/>
              <w:rPr>
                <w:sz w:val="17"/>
              </w:rPr>
            </w:pPr>
            <w:r>
              <w:rPr>
                <w:spacing w:val="-4"/>
                <w:sz w:val="17"/>
              </w:rPr>
              <w:t>81.0</w:t>
            </w:r>
          </w:p>
        </w:tc>
      </w:tr>
    </w:tbl>
    <w:p w:rsidR="00C31389" w:rsidRDefault="00561FBD" w14:paraId="6DAF6771" w14:textId="77777777">
      <w:pPr>
        <w:spacing w:before="62"/>
        <w:ind w:left="220"/>
        <w:rPr>
          <w:i/>
          <w:sz w:val="18"/>
        </w:rPr>
      </w:pPr>
      <w:r>
        <w:rPr>
          <w:i/>
          <w:sz w:val="18"/>
        </w:rPr>
        <w:t>Source:</w:t>
      </w:r>
      <w:r>
        <w:rPr>
          <w:i/>
          <w:spacing w:val="-4"/>
          <w:sz w:val="18"/>
        </w:rPr>
        <w:t xml:space="preserve"> </w:t>
      </w:r>
      <w:r>
        <w:rPr>
          <w:i/>
          <w:spacing w:val="-2"/>
          <w:sz w:val="18"/>
        </w:rPr>
        <w:t>Guidehouse</w:t>
      </w:r>
    </w:p>
    <w:p w:rsidR="00C31389" w:rsidRDefault="00C31389" w14:paraId="7D205A40" w14:textId="77777777">
      <w:pPr>
        <w:pStyle w:val="BodyText"/>
        <w:spacing w:before="9"/>
        <w:rPr>
          <w:i/>
          <w:sz w:val="12"/>
        </w:rPr>
      </w:pPr>
    </w:p>
    <w:p w:rsidR="00C31389" w:rsidRDefault="00561FBD" w14:paraId="5D33415C" w14:textId="77777777">
      <w:pPr>
        <w:pStyle w:val="Heading7"/>
        <w:spacing w:before="92"/>
        <w:ind w:left="1979" w:right="1960"/>
        <w:jc w:val="center"/>
      </w:pPr>
      <w:bookmarkStart w:name="_bookmark533" w:id="698"/>
      <w:bookmarkEnd w:id="698"/>
      <w:r>
        <w:t>Table</w:t>
      </w:r>
      <w:r>
        <w:rPr>
          <w:spacing w:val="-7"/>
        </w:rPr>
        <w:t xml:space="preserve"> </w:t>
      </w:r>
      <w:r>
        <w:rPr>
          <w:b w:val="0"/>
          <w:sz w:val="20"/>
        </w:rPr>
        <w:t>J</w:t>
      </w:r>
      <w:r>
        <w:t>-</w:t>
      </w:r>
      <w:r>
        <w:rPr>
          <w:b w:val="0"/>
          <w:sz w:val="20"/>
        </w:rPr>
        <w:t>7</w:t>
      </w:r>
      <w:r>
        <w:t>.</w:t>
      </w:r>
      <w:r>
        <w:rPr>
          <w:spacing w:val="-6"/>
        </w:rPr>
        <w:t xml:space="preserve"> </w:t>
      </w:r>
      <w:r>
        <w:t>SCE</w:t>
      </w:r>
      <w:r>
        <w:rPr>
          <w:spacing w:val="-6"/>
        </w:rPr>
        <w:t xml:space="preserve"> </w:t>
      </w:r>
      <w:r>
        <w:t>Gas</w:t>
      </w:r>
      <w:r>
        <w:rPr>
          <w:spacing w:val="-6"/>
        </w:rPr>
        <w:t xml:space="preserve"> </w:t>
      </w:r>
      <w:r>
        <w:t>Savings</w:t>
      </w:r>
      <w:r>
        <w:rPr>
          <w:spacing w:val="-6"/>
        </w:rPr>
        <w:t xml:space="preserve"> </w:t>
      </w:r>
      <w:r>
        <w:t>(MMtherms)</w:t>
      </w:r>
      <w:r>
        <w:rPr>
          <w:spacing w:val="-5"/>
        </w:rPr>
        <w:t xml:space="preserve"> </w:t>
      </w:r>
      <w:r>
        <w:t>–</w:t>
      </w:r>
      <w:r>
        <w:rPr>
          <w:spacing w:val="-6"/>
        </w:rPr>
        <w:t xml:space="preserve"> </w:t>
      </w:r>
      <w:r>
        <w:t>FS</w:t>
      </w:r>
      <w:r>
        <w:rPr>
          <w:spacing w:val="-6"/>
        </w:rPr>
        <w:t xml:space="preserve"> </w:t>
      </w:r>
      <w:r>
        <w:rPr>
          <w:spacing w:val="-4"/>
        </w:rPr>
        <w:t>Only</w:t>
      </w:r>
    </w:p>
    <w:p w:rsidR="00C31389" w:rsidRDefault="00C31389" w14:paraId="125F46DC"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507"/>
        <w:gridCol w:w="861"/>
        <w:gridCol w:w="712"/>
        <w:gridCol w:w="644"/>
        <w:gridCol w:w="631"/>
        <w:gridCol w:w="631"/>
        <w:gridCol w:w="631"/>
        <w:gridCol w:w="631"/>
        <w:gridCol w:w="631"/>
        <w:gridCol w:w="631"/>
        <w:gridCol w:w="631"/>
        <w:gridCol w:w="631"/>
        <w:gridCol w:w="613"/>
      </w:tblGrid>
      <w:tr w:rsidR="00C31389" w14:paraId="53C4FC43" w14:textId="77777777">
        <w:trPr>
          <w:trHeight w:val="304"/>
        </w:trPr>
        <w:tc>
          <w:tcPr>
            <w:tcW w:w="1507" w:type="dxa"/>
            <w:shd w:val="clear" w:color="auto" w:fill="92D400"/>
          </w:tcPr>
          <w:p w:rsidR="00C31389" w:rsidRDefault="00561FBD" w14:paraId="6C2E10A1" w14:textId="77777777">
            <w:pPr>
              <w:pStyle w:val="TableParagraph"/>
              <w:spacing w:before="41"/>
              <w:ind w:left="122"/>
              <w:rPr>
                <w:b/>
                <w:sz w:val="17"/>
              </w:rPr>
            </w:pPr>
            <w:r>
              <w:rPr>
                <w:b/>
                <w:spacing w:val="-4"/>
                <w:sz w:val="17"/>
              </w:rPr>
              <w:t>Year</w:t>
            </w:r>
          </w:p>
        </w:tc>
        <w:tc>
          <w:tcPr>
            <w:tcW w:w="861" w:type="dxa"/>
            <w:shd w:val="clear" w:color="auto" w:fill="92D400"/>
          </w:tcPr>
          <w:p w:rsidR="00C31389" w:rsidRDefault="00561FBD" w14:paraId="3E40DEDC" w14:textId="77777777">
            <w:pPr>
              <w:pStyle w:val="TableParagraph"/>
              <w:spacing w:before="41"/>
              <w:ind w:right="191"/>
              <w:jc w:val="right"/>
              <w:rPr>
                <w:b/>
                <w:sz w:val="17"/>
              </w:rPr>
            </w:pPr>
            <w:r>
              <w:rPr>
                <w:b/>
                <w:spacing w:val="-4"/>
                <w:sz w:val="17"/>
              </w:rPr>
              <w:t>2024</w:t>
            </w:r>
          </w:p>
        </w:tc>
        <w:tc>
          <w:tcPr>
            <w:tcW w:w="712" w:type="dxa"/>
            <w:shd w:val="clear" w:color="auto" w:fill="92D400"/>
          </w:tcPr>
          <w:p w:rsidR="00C31389" w:rsidRDefault="00561FBD" w14:paraId="59B266D3"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2C1FA2BE" w14:textId="77777777">
            <w:pPr>
              <w:pStyle w:val="TableParagraph"/>
              <w:spacing w:before="41"/>
              <w:ind w:right="124"/>
              <w:jc w:val="right"/>
              <w:rPr>
                <w:b/>
                <w:sz w:val="17"/>
              </w:rPr>
            </w:pPr>
            <w:r>
              <w:rPr>
                <w:b/>
                <w:spacing w:val="-4"/>
                <w:sz w:val="17"/>
              </w:rPr>
              <w:t>2026</w:t>
            </w:r>
          </w:p>
        </w:tc>
        <w:tc>
          <w:tcPr>
            <w:tcW w:w="631" w:type="dxa"/>
            <w:shd w:val="clear" w:color="auto" w:fill="92D400"/>
          </w:tcPr>
          <w:p w:rsidR="00C31389" w:rsidRDefault="00561FBD" w14:paraId="54B310B0" w14:textId="77777777">
            <w:pPr>
              <w:pStyle w:val="TableParagraph"/>
              <w:spacing w:before="41"/>
              <w:ind w:right="125"/>
              <w:jc w:val="right"/>
              <w:rPr>
                <w:b/>
                <w:sz w:val="17"/>
              </w:rPr>
            </w:pPr>
            <w:r>
              <w:rPr>
                <w:b/>
                <w:spacing w:val="-4"/>
                <w:sz w:val="17"/>
              </w:rPr>
              <w:t>2027</w:t>
            </w:r>
          </w:p>
        </w:tc>
        <w:tc>
          <w:tcPr>
            <w:tcW w:w="631" w:type="dxa"/>
            <w:shd w:val="clear" w:color="auto" w:fill="92D400"/>
          </w:tcPr>
          <w:p w:rsidR="00C31389" w:rsidRDefault="00561FBD" w14:paraId="74941C95" w14:textId="77777777">
            <w:pPr>
              <w:pStyle w:val="TableParagraph"/>
              <w:spacing w:before="41"/>
              <w:ind w:right="126"/>
              <w:jc w:val="right"/>
              <w:rPr>
                <w:b/>
                <w:sz w:val="17"/>
              </w:rPr>
            </w:pPr>
            <w:r>
              <w:rPr>
                <w:b/>
                <w:spacing w:val="-4"/>
                <w:sz w:val="17"/>
              </w:rPr>
              <w:t>2028</w:t>
            </w:r>
          </w:p>
        </w:tc>
        <w:tc>
          <w:tcPr>
            <w:tcW w:w="631" w:type="dxa"/>
            <w:shd w:val="clear" w:color="auto" w:fill="92D400"/>
          </w:tcPr>
          <w:p w:rsidR="00C31389" w:rsidRDefault="00561FBD" w14:paraId="71196880" w14:textId="77777777">
            <w:pPr>
              <w:pStyle w:val="TableParagraph"/>
              <w:spacing w:before="41"/>
              <w:ind w:left="106" w:right="111"/>
              <w:jc w:val="center"/>
              <w:rPr>
                <w:b/>
                <w:sz w:val="17"/>
              </w:rPr>
            </w:pPr>
            <w:r>
              <w:rPr>
                <w:b/>
                <w:spacing w:val="-4"/>
                <w:sz w:val="17"/>
              </w:rPr>
              <w:t>2029</w:t>
            </w:r>
          </w:p>
        </w:tc>
        <w:tc>
          <w:tcPr>
            <w:tcW w:w="631" w:type="dxa"/>
            <w:shd w:val="clear" w:color="auto" w:fill="92D400"/>
          </w:tcPr>
          <w:p w:rsidR="00C31389" w:rsidRDefault="00561FBD" w14:paraId="76CAF7C0" w14:textId="77777777">
            <w:pPr>
              <w:pStyle w:val="TableParagraph"/>
              <w:spacing w:before="41"/>
              <w:ind w:right="128"/>
              <w:jc w:val="right"/>
              <w:rPr>
                <w:b/>
                <w:sz w:val="17"/>
              </w:rPr>
            </w:pPr>
            <w:r>
              <w:rPr>
                <w:b/>
                <w:spacing w:val="-4"/>
                <w:sz w:val="17"/>
              </w:rPr>
              <w:t>2030</w:t>
            </w:r>
          </w:p>
        </w:tc>
        <w:tc>
          <w:tcPr>
            <w:tcW w:w="631" w:type="dxa"/>
            <w:shd w:val="clear" w:color="auto" w:fill="92D400"/>
          </w:tcPr>
          <w:p w:rsidR="00C31389" w:rsidRDefault="00561FBD" w14:paraId="638F6753" w14:textId="77777777">
            <w:pPr>
              <w:pStyle w:val="TableParagraph"/>
              <w:spacing w:before="41"/>
              <w:ind w:right="129"/>
              <w:jc w:val="right"/>
              <w:rPr>
                <w:b/>
                <w:sz w:val="17"/>
              </w:rPr>
            </w:pPr>
            <w:r>
              <w:rPr>
                <w:b/>
                <w:spacing w:val="-4"/>
                <w:sz w:val="17"/>
              </w:rPr>
              <w:t>2031</w:t>
            </w:r>
          </w:p>
        </w:tc>
        <w:tc>
          <w:tcPr>
            <w:tcW w:w="631" w:type="dxa"/>
            <w:shd w:val="clear" w:color="auto" w:fill="92D400"/>
          </w:tcPr>
          <w:p w:rsidR="00C31389" w:rsidRDefault="00561FBD" w14:paraId="0F7BCE9F" w14:textId="77777777">
            <w:pPr>
              <w:pStyle w:val="TableParagraph"/>
              <w:spacing w:before="41"/>
              <w:ind w:right="130"/>
              <w:jc w:val="right"/>
              <w:rPr>
                <w:b/>
                <w:sz w:val="17"/>
              </w:rPr>
            </w:pPr>
            <w:r>
              <w:rPr>
                <w:b/>
                <w:spacing w:val="-4"/>
                <w:sz w:val="17"/>
              </w:rPr>
              <w:t>2032</w:t>
            </w:r>
          </w:p>
        </w:tc>
        <w:tc>
          <w:tcPr>
            <w:tcW w:w="631" w:type="dxa"/>
            <w:shd w:val="clear" w:color="auto" w:fill="92D400"/>
          </w:tcPr>
          <w:p w:rsidR="00C31389" w:rsidRDefault="00561FBD" w14:paraId="1BB259B8" w14:textId="77777777">
            <w:pPr>
              <w:pStyle w:val="TableParagraph"/>
              <w:spacing w:before="41"/>
              <w:ind w:left="103" w:right="116"/>
              <w:jc w:val="center"/>
              <w:rPr>
                <w:b/>
                <w:sz w:val="17"/>
              </w:rPr>
            </w:pPr>
            <w:r>
              <w:rPr>
                <w:b/>
                <w:spacing w:val="-4"/>
                <w:sz w:val="17"/>
              </w:rPr>
              <w:t>2033</w:t>
            </w:r>
          </w:p>
        </w:tc>
        <w:tc>
          <w:tcPr>
            <w:tcW w:w="631" w:type="dxa"/>
            <w:shd w:val="clear" w:color="auto" w:fill="92D400"/>
          </w:tcPr>
          <w:p w:rsidR="00C31389" w:rsidRDefault="00561FBD" w14:paraId="2428A4EA" w14:textId="77777777">
            <w:pPr>
              <w:pStyle w:val="TableParagraph"/>
              <w:spacing w:before="41"/>
              <w:ind w:right="132"/>
              <w:jc w:val="right"/>
              <w:rPr>
                <w:b/>
                <w:sz w:val="17"/>
              </w:rPr>
            </w:pPr>
            <w:r>
              <w:rPr>
                <w:b/>
                <w:spacing w:val="-4"/>
                <w:sz w:val="17"/>
              </w:rPr>
              <w:t>2034</w:t>
            </w:r>
          </w:p>
        </w:tc>
        <w:tc>
          <w:tcPr>
            <w:tcW w:w="613" w:type="dxa"/>
            <w:shd w:val="clear" w:color="auto" w:fill="92D400"/>
          </w:tcPr>
          <w:p w:rsidR="00C31389" w:rsidRDefault="00561FBD" w14:paraId="464B59E8" w14:textId="77777777">
            <w:pPr>
              <w:pStyle w:val="TableParagraph"/>
              <w:spacing w:before="41"/>
              <w:ind w:right="115"/>
              <w:jc w:val="right"/>
              <w:rPr>
                <w:b/>
                <w:sz w:val="17"/>
              </w:rPr>
            </w:pPr>
            <w:r>
              <w:rPr>
                <w:b/>
                <w:spacing w:val="-4"/>
                <w:sz w:val="17"/>
              </w:rPr>
              <w:t>2035</w:t>
            </w:r>
          </w:p>
        </w:tc>
      </w:tr>
      <w:tr w:rsidR="00C31389" w14:paraId="0FA4C9E1" w14:textId="77777777">
        <w:trPr>
          <w:trHeight w:val="275"/>
        </w:trPr>
        <w:tc>
          <w:tcPr>
            <w:tcW w:w="9385" w:type="dxa"/>
            <w:gridSpan w:val="13"/>
            <w:tcBorders>
              <w:bottom w:val="single" w:color="DCDDDE" w:sz="4" w:space="0"/>
            </w:tcBorders>
            <w:shd w:val="clear" w:color="auto" w:fill="BEBEBE"/>
          </w:tcPr>
          <w:p w:rsidR="00C31389" w:rsidRDefault="00561FBD" w14:paraId="470E6E28"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0EB0F529" w14:textId="77777777">
        <w:trPr>
          <w:trHeight w:val="275"/>
        </w:trPr>
        <w:tc>
          <w:tcPr>
            <w:tcW w:w="1507" w:type="dxa"/>
            <w:tcBorders>
              <w:top w:val="single" w:color="DCDDDE" w:sz="4" w:space="0"/>
              <w:bottom w:val="single" w:color="DCDDDE" w:sz="4" w:space="0"/>
            </w:tcBorders>
          </w:tcPr>
          <w:p w:rsidR="00C31389" w:rsidRDefault="00561FBD" w14:paraId="3FE16BF2"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45F6E706" w14:textId="77777777">
            <w:pPr>
              <w:pStyle w:val="TableParagraph"/>
              <w:ind w:right="192"/>
              <w:jc w:val="right"/>
              <w:rPr>
                <w:sz w:val="17"/>
              </w:rPr>
            </w:pPr>
            <w:r>
              <w:rPr>
                <w:spacing w:val="-5"/>
                <w:sz w:val="17"/>
              </w:rPr>
              <w:t>0.5</w:t>
            </w:r>
          </w:p>
        </w:tc>
        <w:tc>
          <w:tcPr>
            <w:tcW w:w="712" w:type="dxa"/>
            <w:tcBorders>
              <w:top w:val="single" w:color="DCDDDE" w:sz="4" w:space="0"/>
              <w:bottom w:val="single" w:color="DCDDDE" w:sz="4" w:space="0"/>
            </w:tcBorders>
          </w:tcPr>
          <w:p w:rsidR="00C31389" w:rsidRDefault="00561FBD" w14:paraId="2C09AF4B" w14:textId="77777777">
            <w:pPr>
              <w:pStyle w:val="TableParagraph"/>
              <w:ind w:right="137"/>
              <w:jc w:val="right"/>
              <w:rPr>
                <w:sz w:val="17"/>
              </w:rPr>
            </w:pPr>
            <w:r>
              <w:rPr>
                <w:spacing w:val="-5"/>
                <w:sz w:val="17"/>
              </w:rPr>
              <w:t>0.5</w:t>
            </w:r>
          </w:p>
        </w:tc>
        <w:tc>
          <w:tcPr>
            <w:tcW w:w="644" w:type="dxa"/>
            <w:tcBorders>
              <w:top w:val="single" w:color="DCDDDE" w:sz="4" w:space="0"/>
              <w:bottom w:val="single" w:color="DCDDDE" w:sz="4" w:space="0"/>
            </w:tcBorders>
          </w:tcPr>
          <w:p w:rsidR="00C31389" w:rsidRDefault="00561FBD" w14:paraId="0A96891F" w14:textId="77777777">
            <w:pPr>
              <w:pStyle w:val="TableParagraph"/>
              <w:ind w:right="125"/>
              <w:jc w:val="right"/>
              <w:rPr>
                <w:sz w:val="17"/>
              </w:rPr>
            </w:pPr>
            <w:r>
              <w:rPr>
                <w:spacing w:val="-5"/>
                <w:sz w:val="17"/>
              </w:rPr>
              <w:t>0.5</w:t>
            </w:r>
          </w:p>
        </w:tc>
        <w:tc>
          <w:tcPr>
            <w:tcW w:w="631" w:type="dxa"/>
            <w:tcBorders>
              <w:top w:val="single" w:color="DCDDDE" w:sz="4" w:space="0"/>
              <w:bottom w:val="single" w:color="DCDDDE" w:sz="4" w:space="0"/>
            </w:tcBorders>
          </w:tcPr>
          <w:p w:rsidR="00C31389" w:rsidRDefault="00561FBD" w14:paraId="4C171891" w14:textId="77777777">
            <w:pPr>
              <w:pStyle w:val="TableParagraph"/>
              <w:ind w:right="126"/>
              <w:jc w:val="right"/>
              <w:rPr>
                <w:sz w:val="17"/>
              </w:rPr>
            </w:pPr>
            <w:r>
              <w:rPr>
                <w:spacing w:val="-5"/>
                <w:sz w:val="17"/>
              </w:rPr>
              <w:t>0.6</w:t>
            </w:r>
          </w:p>
        </w:tc>
        <w:tc>
          <w:tcPr>
            <w:tcW w:w="631" w:type="dxa"/>
            <w:tcBorders>
              <w:top w:val="single" w:color="DCDDDE" w:sz="4" w:space="0"/>
              <w:bottom w:val="single" w:color="DCDDDE" w:sz="4" w:space="0"/>
            </w:tcBorders>
          </w:tcPr>
          <w:p w:rsidR="00C31389" w:rsidRDefault="00561FBD" w14:paraId="2D165642" w14:textId="77777777">
            <w:pPr>
              <w:pStyle w:val="TableParagraph"/>
              <w:ind w:right="127"/>
              <w:jc w:val="right"/>
              <w:rPr>
                <w:sz w:val="17"/>
              </w:rPr>
            </w:pPr>
            <w:r>
              <w:rPr>
                <w:spacing w:val="-5"/>
                <w:sz w:val="17"/>
              </w:rPr>
              <w:t>0.6</w:t>
            </w:r>
          </w:p>
        </w:tc>
        <w:tc>
          <w:tcPr>
            <w:tcW w:w="631" w:type="dxa"/>
            <w:tcBorders>
              <w:top w:val="single" w:color="DCDDDE" w:sz="4" w:space="0"/>
              <w:bottom w:val="single" w:color="DCDDDE" w:sz="4" w:space="0"/>
            </w:tcBorders>
          </w:tcPr>
          <w:p w:rsidR="00C31389" w:rsidRDefault="00561FBD" w14:paraId="4CF7E4D0" w14:textId="77777777">
            <w:pPr>
              <w:pStyle w:val="TableParagraph"/>
              <w:ind w:left="248" w:right="115"/>
              <w:jc w:val="center"/>
              <w:rPr>
                <w:sz w:val="17"/>
              </w:rPr>
            </w:pPr>
            <w:r>
              <w:rPr>
                <w:spacing w:val="-5"/>
                <w:sz w:val="17"/>
              </w:rPr>
              <w:t>0.7</w:t>
            </w:r>
          </w:p>
        </w:tc>
        <w:tc>
          <w:tcPr>
            <w:tcW w:w="631" w:type="dxa"/>
            <w:tcBorders>
              <w:top w:val="single" w:color="DCDDDE" w:sz="4" w:space="0"/>
              <w:bottom w:val="single" w:color="DCDDDE" w:sz="4" w:space="0"/>
            </w:tcBorders>
          </w:tcPr>
          <w:p w:rsidR="00C31389" w:rsidRDefault="00561FBD" w14:paraId="5D11DA4D" w14:textId="77777777">
            <w:pPr>
              <w:pStyle w:val="TableParagraph"/>
              <w:ind w:right="129"/>
              <w:jc w:val="right"/>
              <w:rPr>
                <w:sz w:val="17"/>
              </w:rPr>
            </w:pPr>
            <w:r>
              <w:rPr>
                <w:spacing w:val="-5"/>
                <w:sz w:val="17"/>
              </w:rPr>
              <w:t>0.7</w:t>
            </w:r>
          </w:p>
        </w:tc>
        <w:tc>
          <w:tcPr>
            <w:tcW w:w="631" w:type="dxa"/>
            <w:tcBorders>
              <w:top w:val="single" w:color="DCDDDE" w:sz="4" w:space="0"/>
              <w:bottom w:val="single" w:color="DCDDDE" w:sz="4" w:space="0"/>
            </w:tcBorders>
          </w:tcPr>
          <w:p w:rsidR="00C31389" w:rsidRDefault="00561FBD" w14:paraId="10F0948B" w14:textId="77777777">
            <w:pPr>
              <w:pStyle w:val="TableParagraph"/>
              <w:ind w:right="130"/>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787F406E" w14:textId="77777777">
            <w:pPr>
              <w:pStyle w:val="TableParagraph"/>
              <w:ind w:right="131"/>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44D7B50C" w14:textId="77777777">
            <w:pPr>
              <w:pStyle w:val="TableParagraph"/>
              <w:ind w:left="241" w:right="116"/>
              <w:jc w:val="center"/>
              <w:rPr>
                <w:sz w:val="17"/>
              </w:rPr>
            </w:pPr>
            <w:r>
              <w:rPr>
                <w:spacing w:val="-5"/>
                <w:sz w:val="17"/>
              </w:rPr>
              <w:t>0.8</w:t>
            </w:r>
          </w:p>
        </w:tc>
        <w:tc>
          <w:tcPr>
            <w:tcW w:w="631" w:type="dxa"/>
            <w:tcBorders>
              <w:top w:val="single" w:color="DCDDDE" w:sz="4" w:space="0"/>
              <w:bottom w:val="single" w:color="DCDDDE" w:sz="4" w:space="0"/>
            </w:tcBorders>
          </w:tcPr>
          <w:p w:rsidR="00C31389" w:rsidRDefault="00561FBD" w14:paraId="22495538" w14:textId="77777777">
            <w:pPr>
              <w:pStyle w:val="TableParagraph"/>
              <w:ind w:right="133"/>
              <w:jc w:val="right"/>
              <w:rPr>
                <w:sz w:val="17"/>
              </w:rPr>
            </w:pPr>
            <w:r>
              <w:rPr>
                <w:spacing w:val="-5"/>
                <w:sz w:val="17"/>
              </w:rPr>
              <w:t>0.8</w:t>
            </w:r>
          </w:p>
        </w:tc>
        <w:tc>
          <w:tcPr>
            <w:tcW w:w="613" w:type="dxa"/>
            <w:tcBorders>
              <w:top w:val="single" w:color="DCDDDE" w:sz="4" w:space="0"/>
              <w:bottom w:val="single" w:color="DCDDDE" w:sz="4" w:space="0"/>
            </w:tcBorders>
          </w:tcPr>
          <w:p w:rsidR="00C31389" w:rsidRDefault="00561FBD" w14:paraId="7257003C" w14:textId="77777777">
            <w:pPr>
              <w:pStyle w:val="TableParagraph"/>
              <w:ind w:right="116"/>
              <w:jc w:val="right"/>
              <w:rPr>
                <w:sz w:val="17"/>
              </w:rPr>
            </w:pPr>
            <w:r>
              <w:rPr>
                <w:spacing w:val="-5"/>
                <w:sz w:val="17"/>
              </w:rPr>
              <w:t>0.8</w:t>
            </w:r>
          </w:p>
        </w:tc>
      </w:tr>
      <w:tr w:rsidR="00C31389" w14:paraId="74CF99C1" w14:textId="77777777">
        <w:trPr>
          <w:trHeight w:val="275"/>
        </w:trPr>
        <w:tc>
          <w:tcPr>
            <w:tcW w:w="1507" w:type="dxa"/>
            <w:tcBorders>
              <w:top w:val="single" w:color="DCDDDE" w:sz="4" w:space="0"/>
              <w:bottom w:val="single" w:color="DCDDDE" w:sz="4" w:space="0"/>
            </w:tcBorders>
          </w:tcPr>
          <w:p w:rsidR="00C31389" w:rsidRDefault="00561FBD" w14:paraId="35B9E702"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37E00BA6" w14:textId="77777777">
            <w:pPr>
              <w:pStyle w:val="TableParagraph"/>
              <w:ind w:right="192"/>
              <w:jc w:val="right"/>
              <w:rPr>
                <w:sz w:val="17"/>
              </w:rPr>
            </w:pPr>
            <w:r>
              <w:rPr>
                <w:spacing w:val="-5"/>
                <w:sz w:val="17"/>
              </w:rPr>
              <w:t>1.9</w:t>
            </w:r>
          </w:p>
        </w:tc>
        <w:tc>
          <w:tcPr>
            <w:tcW w:w="712" w:type="dxa"/>
            <w:tcBorders>
              <w:top w:val="single" w:color="DCDDDE" w:sz="4" w:space="0"/>
              <w:bottom w:val="single" w:color="DCDDDE" w:sz="4" w:space="0"/>
            </w:tcBorders>
          </w:tcPr>
          <w:p w:rsidR="00C31389" w:rsidRDefault="00561FBD" w14:paraId="292BA391" w14:textId="77777777">
            <w:pPr>
              <w:pStyle w:val="TableParagraph"/>
              <w:ind w:right="137"/>
              <w:jc w:val="right"/>
              <w:rPr>
                <w:sz w:val="17"/>
              </w:rPr>
            </w:pPr>
            <w:r>
              <w:rPr>
                <w:spacing w:val="-5"/>
                <w:sz w:val="17"/>
              </w:rPr>
              <w:t>2.2</w:t>
            </w:r>
          </w:p>
        </w:tc>
        <w:tc>
          <w:tcPr>
            <w:tcW w:w="644" w:type="dxa"/>
            <w:tcBorders>
              <w:top w:val="single" w:color="DCDDDE" w:sz="4" w:space="0"/>
              <w:bottom w:val="single" w:color="DCDDDE" w:sz="4" w:space="0"/>
            </w:tcBorders>
          </w:tcPr>
          <w:p w:rsidR="00C31389" w:rsidRDefault="00561FBD" w14:paraId="0A2EB75D" w14:textId="77777777">
            <w:pPr>
              <w:pStyle w:val="TableParagraph"/>
              <w:ind w:right="125"/>
              <w:jc w:val="right"/>
              <w:rPr>
                <w:sz w:val="17"/>
              </w:rPr>
            </w:pPr>
            <w:r>
              <w:rPr>
                <w:spacing w:val="-5"/>
                <w:sz w:val="17"/>
              </w:rPr>
              <w:t>2.3</w:t>
            </w:r>
          </w:p>
        </w:tc>
        <w:tc>
          <w:tcPr>
            <w:tcW w:w="631" w:type="dxa"/>
            <w:tcBorders>
              <w:top w:val="single" w:color="DCDDDE" w:sz="4" w:space="0"/>
              <w:bottom w:val="single" w:color="DCDDDE" w:sz="4" w:space="0"/>
            </w:tcBorders>
          </w:tcPr>
          <w:p w:rsidR="00C31389" w:rsidRDefault="00561FBD" w14:paraId="3D3D1B6A" w14:textId="77777777">
            <w:pPr>
              <w:pStyle w:val="TableParagraph"/>
              <w:ind w:right="126"/>
              <w:jc w:val="right"/>
              <w:rPr>
                <w:sz w:val="17"/>
              </w:rPr>
            </w:pPr>
            <w:r>
              <w:rPr>
                <w:spacing w:val="-5"/>
                <w:sz w:val="17"/>
              </w:rPr>
              <w:t>2.6</w:t>
            </w:r>
          </w:p>
        </w:tc>
        <w:tc>
          <w:tcPr>
            <w:tcW w:w="631" w:type="dxa"/>
            <w:tcBorders>
              <w:top w:val="single" w:color="DCDDDE" w:sz="4" w:space="0"/>
              <w:bottom w:val="single" w:color="DCDDDE" w:sz="4" w:space="0"/>
            </w:tcBorders>
          </w:tcPr>
          <w:p w:rsidR="00C31389" w:rsidRDefault="00561FBD" w14:paraId="6C5186EC" w14:textId="77777777">
            <w:pPr>
              <w:pStyle w:val="TableParagraph"/>
              <w:ind w:right="127"/>
              <w:jc w:val="right"/>
              <w:rPr>
                <w:sz w:val="17"/>
              </w:rPr>
            </w:pPr>
            <w:r>
              <w:rPr>
                <w:spacing w:val="-5"/>
                <w:sz w:val="17"/>
              </w:rPr>
              <w:t>2.7</w:t>
            </w:r>
          </w:p>
        </w:tc>
        <w:tc>
          <w:tcPr>
            <w:tcW w:w="631" w:type="dxa"/>
            <w:tcBorders>
              <w:top w:val="single" w:color="DCDDDE" w:sz="4" w:space="0"/>
              <w:bottom w:val="single" w:color="DCDDDE" w:sz="4" w:space="0"/>
            </w:tcBorders>
          </w:tcPr>
          <w:p w:rsidR="00C31389" w:rsidRDefault="00561FBD" w14:paraId="0EB20EA3" w14:textId="77777777">
            <w:pPr>
              <w:pStyle w:val="TableParagraph"/>
              <w:ind w:left="248" w:right="115"/>
              <w:jc w:val="center"/>
              <w:rPr>
                <w:sz w:val="17"/>
              </w:rPr>
            </w:pPr>
            <w:r>
              <w:rPr>
                <w:spacing w:val="-5"/>
                <w:sz w:val="17"/>
              </w:rPr>
              <w:t>2.8</w:t>
            </w:r>
          </w:p>
        </w:tc>
        <w:tc>
          <w:tcPr>
            <w:tcW w:w="631" w:type="dxa"/>
            <w:tcBorders>
              <w:top w:val="single" w:color="DCDDDE" w:sz="4" w:space="0"/>
              <w:bottom w:val="single" w:color="DCDDDE" w:sz="4" w:space="0"/>
            </w:tcBorders>
          </w:tcPr>
          <w:p w:rsidR="00C31389" w:rsidRDefault="00561FBD" w14:paraId="5FE84347" w14:textId="77777777">
            <w:pPr>
              <w:pStyle w:val="TableParagraph"/>
              <w:ind w:right="129"/>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6C69E03E" w14:textId="77777777">
            <w:pPr>
              <w:pStyle w:val="TableParagraph"/>
              <w:ind w:right="130"/>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34CCA87B" w14:textId="77777777">
            <w:pPr>
              <w:pStyle w:val="TableParagraph"/>
              <w:ind w:right="131"/>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2A683733" w14:textId="77777777">
            <w:pPr>
              <w:pStyle w:val="TableParagraph"/>
              <w:ind w:left="241" w:right="116"/>
              <w:jc w:val="center"/>
              <w:rPr>
                <w:sz w:val="17"/>
              </w:rPr>
            </w:pPr>
            <w:r>
              <w:rPr>
                <w:spacing w:val="-5"/>
                <w:sz w:val="17"/>
              </w:rPr>
              <w:t>0.5</w:t>
            </w:r>
          </w:p>
        </w:tc>
        <w:tc>
          <w:tcPr>
            <w:tcW w:w="631" w:type="dxa"/>
            <w:tcBorders>
              <w:top w:val="single" w:color="DCDDDE" w:sz="4" w:space="0"/>
              <w:bottom w:val="single" w:color="DCDDDE" w:sz="4" w:space="0"/>
            </w:tcBorders>
          </w:tcPr>
          <w:p w:rsidR="00C31389" w:rsidRDefault="00561FBD" w14:paraId="7B1A620F" w14:textId="77777777">
            <w:pPr>
              <w:pStyle w:val="TableParagraph"/>
              <w:ind w:right="133"/>
              <w:jc w:val="right"/>
              <w:rPr>
                <w:sz w:val="17"/>
              </w:rPr>
            </w:pPr>
            <w:r>
              <w:rPr>
                <w:spacing w:val="-5"/>
                <w:sz w:val="17"/>
              </w:rPr>
              <w:t>0.5</w:t>
            </w:r>
          </w:p>
        </w:tc>
        <w:tc>
          <w:tcPr>
            <w:tcW w:w="613" w:type="dxa"/>
            <w:tcBorders>
              <w:top w:val="single" w:color="DCDDDE" w:sz="4" w:space="0"/>
              <w:bottom w:val="single" w:color="DCDDDE" w:sz="4" w:space="0"/>
            </w:tcBorders>
          </w:tcPr>
          <w:p w:rsidR="00C31389" w:rsidRDefault="00561FBD" w14:paraId="3E30E50B" w14:textId="77777777">
            <w:pPr>
              <w:pStyle w:val="TableParagraph"/>
              <w:ind w:right="116"/>
              <w:jc w:val="right"/>
              <w:rPr>
                <w:sz w:val="17"/>
              </w:rPr>
            </w:pPr>
            <w:r>
              <w:rPr>
                <w:spacing w:val="-5"/>
                <w:sz w:val="17"/>
              </w:rPr>
              <w:t>0.5</w:t>
            </w:r>
          </w:p>
        </w:tc>
      </w:tr>
      <w:tr w:rsidR="00C31389" w14:paraId="75DA4438" w14:textId="77777777">
        <w:trPr>
          <w:trHeight w:val="275"/>
        </w:trPr>
        <w:tc>
          <w:tcPr>
            <w:tcW w:w="1507" w:type="dxa"/>
            <w:tcBorders>
              <w:top w:val="single" w:color="DCDDDE" w:sz="4" w:space="0"/>
              <w:bottom w:val="single" w:color="DCDDDE" w:sz="4" w:space="0"/>
            </w:tcBorders>
          </w:tcPr>
          <w:p w:rsidR="00C31389" w:rsidRDefault="00561FBD" w14:paraId="5B4A7B3F"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5366FCB9" w14:textId="77777777">
            <w:pPr>
              <w:pStyle w:val="TableParagraph"/>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30FA2112" w14:textId="77777777">
            <w:pPr>
              <w:pStyle w:val="TableParagraph"/>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06D37D8B" w14:textId="77777777">
            <w:pPr>
              <w:pStyle w:val="TableParagraph"/>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A83F457" w14:textId="77777777">
            <w:pPr>
              <w:pStyle w:val="TableParagraph"/>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341AC4F"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97C3288" w14:textId="77777777">
            <w:pPr>
              <w:pStyle w:val="TableParagraph"/>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2CAB7176" w14:textId="77777777">
            <w:pPr>
              <w:pStyle w:val="TableParagraph"/>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82C7EA1"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6E02BA41"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9B052A9"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7C6011C1"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0C961CC4" w14:textId="77777777">
            <w:pPr>
              <w:pStyle w:val="TableParagraph"/>
              <w:ind w:right="116"/>
              <w:jc w:val="right"/>
              <w:rPr>
                <w:sz w:val="17"/>
              </w:rPr>
            </w:pPr>
            <w:r>
              <w:rPr>
                <w:spacing w:val="-5"/>
                <w:sz w:val="17"/>
              </w:rPr>
              <w:t>0.0</w:t>
            </w:r>
          </w:p>
        </w:tc>
      </w:tr>
      <w:tr w:rsidR="00C31389" w14:paraId="08A2D567"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51782150"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0441CB13" w14:textId="77777777">
        <w:trPr>
          <w:trHeight w:val="275"/>
        </w:trPr>
        <w:tc>
          <w:tcPr>
            <w:tcW w:w="1507" w:type="dxa"/>
            <w:tcBorders>
              <w:top w:val="single" w:color="DCDDDE" w:sz="4" w:space="0"/>
              <w:bottom w:val="single" w:color="DCDDDE" w:sz="4" w:space="0"/>
            </w:tcBorders>
          </w:tcPr>
          <w:p w:rsidR="00C31389" w:rsidRDefault="00561FBD" w14:paraId="69E19400"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0DF7BE10" w14:textId="77777777">
            <w:pPr>
              <w:pStyle w:val="TableParagraph"/>
              <w:ind w:right="192"/>
              <w:jc w:val="right"/>
              <w:rPr>
                <w:sz w:val="17"/>
              </w:rPr>
            </w:pPr>
            <w:r>
              <w:rPr>
                <w:spacing w:val="-5"/>
                <w:sz w:val="17"/>
              </w:rPr>
              <w:t>0.5</w:t>
            </w:r>
          </w:p>
        </w:tc>
        <w:tc>
          <w:tcPr>
            <w:tcW w:w="712" w:type="dxa"/>
            <w:tcBorders>
              <w:top w:val="single" w:color="DCDDDE" w:sz="4" w:space="0"/>
              <w:bottom w:val="single" w:color="DCDDDE" w:sz="4" w:space="0"/>
            </w:tcBorders>
          </w:tcPr>
          <w:p w:rsidR="00C31389" w:rsidRDefault="00561FBD" w14:paraId="74431B2A" w14:textId="77777777">
            <w:pPr>
              <w:pStyle w:val="TableParagraph"/>
              <w:ind w:right="137"/>
              <w:jc w:val="right"/>
              <w:rPr>
                <w:sz w:val="17"/>
              </w:rPr>
            </w:pPr>
            <w:r>
              <w:rPr>
                <w:spacing w:val="-5"/>
                <w:sz w:val="17"/>
              </w:rPr>
              <w:t>0.5</w:t>
            </w:r>
          </w:p>
        </w:tc>
        <w:tc>
          <w:tcPr>
            <w:tcW w:w="644" w:type="dxa"/>
            <w:tcBorders>
              <w:top w:val="single" w:color="DCDDDE" w:sz="4" w:space="0"/>
              <w:bottom w:val="single" w:color="DCDDDE" w:sz="4" w:space="0"/>
            </w:tcBorders>
          </w:tcPr>
          <w:p w:rsidR="00C31389" w:rsidRDefault="00561FBD" w14:paraId="4D7612AB" w14:textId="77777777">
            <w:pPr>
              <w:pStyle w:val="TableParagraph"/>
              <w:ind w:right="125"/>
              <w:jc w:val="right"/>
              <w:rPr>
                <w:sz w:val="17"/>
              </w:rPr>
            </w:pPr>
            <w:r>
              <w:rPr>
                <w:spacing w:val="-5"/>
                <w:sz w:val="17"/>
              </w:rPr>
              <w:t>0.5</w:t>
            </w:r>
          </w:p>
        </w:tc>
        <w:tc>
          <w:tcPr>
            <w:tcW w:w="631" w:type="dxa"/>
            <w:tcBorders>
              <w:top w:val="single" w:color="DCDDDE" w:sz="4" w:space="0"/>
              <w:bottom w:val="single" w:color="DCDDDE" w:sz="4" w:space="0"/>
            </w:tcBorders>
          </w:tcPr>
          <w:p w:rsidR="00C31389" w:rsidRDefault="00561FBD" w14:paraId="45B70010" w14:textId="77777777">
            <w:pPr>
              <w:pStyle w:val="TableParagraph"/>
              <w:ind w:right="126"/>
              <w:jc w:val="right"/>
              <w:rPr>
                <w:sz w:val="17"/>
              </w:rPr>
            </w:pPr>
            <w:r>
              <w:rPr>
                <w:spacing w:val="-5"/>
                <w:sz w:val="17"/>
              </w:rPr>
              <w:t>0.6</w:t>
            </w:r>
          </w:p>
        </w:tc>
        <w:tc>
          <w:tcPr>
            <w:tcW w:w="631" w:type="dxa"/>
            <w:tcBorders>
              <w:top w:val="single" w:color="DCDDDE" w:sz="4" w:space="0"/>
              <w:bottom w:val="single" w:color="DCDDDE" w:sz="4" w:space="0"/>
            </w:tcBorders>
          </w:tcPr>
          <w:p w:rsidR="00C31389" w:rsidRDefault="00561FBD" w14:paraId="188A4CC4" w14:textId="77777777">
            <w:pPr>
              <w:pStyle w:val="TableParagraph"/>
              <w:ind w:right="127"/>
              <w:jc w:val="right"/>
              <w:rPr>
                <w:sz w:val="17"/>
              </w:rPr>
            </w:pPr>
            <w:r>
              <w:rPr>
                <w:spacing w:val="-5"/>
                <w:sz w:val="17"/>
              </w:rPr>
              <w:t>0.7</w:t>
            </w:r>
          </w:p>
        </w:tc>
        <w:tc>
          <w:tcPr>
            <w:tcW w:w="631" w:type="dxa"/>
            <w:tcBorders>
              <w:top w:val="single" w:color="DCDDDE" w:sz="4" w:space="0"/>
              <w:bottom w:val="single" w:color="DCDDDE" w:sz="4" w:space="0"/>
            </w:tcBorders>
          </w:tcPr>
          <w:p w:rsidR="00C31389" w:rsidRDefault="00561FBD" w14:paraId="0CAFC4B6" w14:textId="77777777">
            <w:pPr>
              <w:pStyle w:val="TableParagraph"/>
              <w:ind w:left="248" w:right="115"/>
              <w:jc w:val="center"/>
              <w:rPr>
                <w:sz w:val="17"/>
              </w:rPr>
            </w:pPr>
            <w:r>
              <w:rPr>
                <w:spacing w:val="-5"/>
                <w:sz w:val="17"/>
              </w:rPr>
              <w:t>0.7</w:t>
            </w:r>
          </w:p>
        </w:tc>
        <w:tc>
          <w:tcPr>
            <w:tcW w:w="631" w:type="dxa"/>
            <w:tcBorders>
              <w:top w:val="single" w:color="DCDDDE" w:sz="4" w:space="0"/>
              <w:bottom w:val="single" w:color="DCDDDE" w:sz="4" w:space="0"/>
            </w:tcBorders>
          </w:tcPr>
          <w:p w:rsidR="00C31389" w:rsidRDefault="00561FBD" w14:paraId="4E1A34DC" w14:textId="77777777">
            <w:pPr>
              <w:pStyle w:val="TableParagraph"/>
              <w:ind w:right="129"/>
              <w:jc w:val="right"/>
              <w:rPr>
                <w:sz w:val="17"/>
              </w:rPr>
            </w:pPr>
            <w:r>
              <w:rPr>
                <w:spacing w:val="-5"/>
                <w:sz w:val="17"/>
              </w:rPr>
              <w:t>0.7</w:t>
            </w:r>
          </w:p>
        </w:tc>
        <w:tc>
          <w:tcPr>
            <w:tcW w:w="631" w:type="dxa"/>
            <w:tcBorders>
              <w:top w:val="single" w:color="DCDDDE" w:sz="4" w:space="0"/>
              <w:bottom w:val="single" w:color="DCDDDE" w:sz="4" w:space="0"/>
            </w:tcBorders>
          </w:tcPr>
          <w:p w:rsidR="00C31389" w:rsidRDefault="00561FBD" w14:paraId="5E6AC558" w14:textId="77777777">
            <w:pPr>
              <w:pStyle w:val="TableParagraph"/>
              <w:ind w:right="130"/>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4121B09D" w14:textId="77777777">
            <w:pPr>
              <w:pStyle w:val="TableParagraph"/>
              <w:ind w:right="131"/>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4481433D" w14:textId="77777777">
            <w:pPr>
              <w:pStyle w:val="TableParagraph"/>
              <w:ind w:left="241" w:right="116"/>
              <w:jc w:val="center"/>
              <w:rPr>
                <w:sz w:val="17"/>
              </w:rPr>
            </w:pPr>
            <w:r>
              <w:rPr>
                <w:spacing w:val="-5"/>
                <w:sz w:val="17"/>
              </w:rPr>
              <w:t>0.8</w:t>
            </w:r>
          </w:p>
        </w:tc>
        <w:tc>
          <w:tcPr>
            <w:tcW w:w="631" w:type="dxa"/>
            <w:tcBorders>
              <w:top w:val="single" w:color="DCDDDE" w:sz="4" w:space="0"/>
              <w:bottom w:val="single" w:color="DCDDDE" w:sz="4" w:space="0"/>
            </w:tcBorders>
          </w:tcPr>
          <w:p w:rsidR="00C31389" w:rsidRDefault="00561FBD" w14:paraId="2DFD4A96" w14:textId="77777777">
            <w:pPr>
              <w:pStyle w:val="TableParagraph"/>
              <w:ind w:right="133"/>
              <w:jc w:val="right"/>
              <w:rPr>
                <w:sz w:val="17"/>
              </w:rPr>
            </w:pPr>
            <w:r>
              <w:rPr>
                <w:spacing w:val="-5"/>
                <w:sz w:val="17"/>
              </w:rPr>
              <w:t>0.8</w:t>
            </w:r>
          </w:p>
        </w:tc>
        <w:tc>
          <w:tcPr>
            <w:tcW w:w="613" w:type="dxa"/>
            <w:tcBorders>
              <w:top w:val="single" w:color="DCDDDE" w:sz="4" w:space="0"/>
              <w:bottom w:val="single" w:color="DCDDDE" w:sz="4" w:space="0"/>
            </w:tcBorders>
          </w:tcPr>
          <w:p w:rsidR="00C31389" w:rsidRDefault="00561FBD" w14:paraId="692324A5" w14:textId="77777777">
            <w:pPr>
              <w:pStyle w:val="TableParagraph"/>
              <w:ind w:right="116"/>
              <w:jc w:val="right"/>
              <w:rPr>
                <w:sz w:val="17"/>
              </w:rPr>
            </w:pPr>
            <w:r>
              <w:rPr>
                <w:spacing w:val="-5"/>
                <w:sz w:val="17"/>
              </w:rPr>
              <w:t>0.9</w:t>
            </w:r>
          </w:p>
        </w:tc>
      </w:tr>
      <w:tr w:rsidR="00C31389" w14:paraId="284E86AA" w14:textId="77777777">
        <w:trPr>
          <w:trHeight w:val="274"/>
        </w:trPr>
        <w:tc>
          <w:tcPr>
            <w:tcW w:w="1507" w:type="dxa"/>
            <w:tcBorders>
              <w:top w:val="single" w:color="DCDDDE" w:sz="4" w:space="0"/>
              <w:bottom w:val="single" w:color="DCDDDE" w:sz="4" w:space="0"/>
            </w:tcBorders>
          </w:tcPr>
          <w:p w:rsidR="00C31389" w:rsidRDefault="00561FBD" w14:paraId="6B18586A"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2004C369" w14:textId="77777777">
            <w:pPr>
              <w:pStyle w:val="TableParagraph"/>
              <w:ind w:right="192"/>
              <w:jc w:val="right"/>
              <w:rPr>
                <w:sz w:val="17"/>
              </w:rPr>
            </w:pPr>
            <w:r>
              <w:rPr>
                <w:spacing w:val="-5"/>
                <w:sz w:val="17"/>
              </w:rPr>
              <w:t>2.5</w:t>
            </w:r>
          </w:p>
        </w:tc>
        <w:tc>
          <w:tcPr>
            <w:tcW w:w="712" w:type="dxa"/>
            <w:tcBorders>
              <w:top w:val="single" w:color="DCDDDE" w:sz="4" w:space="0"/>
              <w:bottom w:val="single" w:color="DCDDDE" w:sz="4" w:space="0"/>
            </w:tcBorders>
          </w:tcPr>
          <w:p w:rsidR="00C31389" w:rsidRDefault="00561FBD" w14:paraId="71C95202" w14:textId="77777777">
            <w:pPr>
              <w:pStyle w:val="TableParagraph"/>
              <w:ind w:right="138"/>
              <w:jc w:val="right"/>
              <w:rPr>
                <w:sz w:val="17"/>
              </w:rPr>
            </w:pPr>
            <w:r>
              <w:rPr>
                <w:spacing w:val="-5"/>
                <w:sz w:val="17"/>
              </w:rPr>
              <w:t>2.7</w:t>
            </w:r>
          </w:p>
        </w:tc>
        <w:tc>
          <w:tcPr>
            <w:tcW w:w="644" w:type="dxa"/>
            <w:tcBorders>
              <w:top w:val="single" w:color="DCDDDE" w:sz="4" w:space="0"/>
              <w:bottom w:val="single" w:color="DCDDDE" w:sz="4" w:space="0"/>
            </w:tcBorders>
          </w:tcPr>
          <w:p w:rsidR="00C31389" w:rsidRDefault="00561FBD" w14:paraId="535BFFC6" w14:textId="77777777">
            <w:pPr>
              <w:pStyle w:val="TableParagraph"/>
              <w:ind w:right="125"/>
              <w:jc w:val="right"/>
              <w:rPr>
                <w:sz w:val="17"/>
              </w:rPr>
            </w:pPr>
            <w:r>
              <w:rPr>
                <w:spacing w:val="-5"/>
                <w:sz w:val="17"/>
              </w:rPr>
              <w:t>2.9</w:t>
            </w:r>
          </w:p>
        </w:tc>
        <w:tc>
          <w:tcPr>
            <w:tcW w:w="631" w:type="dxa"/>
            <w:tcBorders>
              <w:top w:val="single" w:color="DCDDDE" w:sz="4" w:space="0"/>
              <w:bottom w:val="single" w:color="DCDDDE" w:sz="4" w:space="0"/>
            </w:tcBorders>
          </w:tcPr>
          <w:p w:rsidR="00C31389" w:rsidRDefault="00561FBD" w14:paraId="0B70423F" w14:textId="77777777">
            <w:pPr>
              <w:pStyle w:val="TableParagraph"/>
              <w:ind w:right="126"/>
              <w:jc w:val="right"/>
              <w:rPr>
                <w:sz w:val="17"/>
              </w:rPr>
            </w:pPr>
            <w:r>
              <w:rPr>
                <w:spacing w:val="-5"/>
                <w:sz w:val="17"/>
              </w:rPr>
              <w:t>3.0</w:t>
            </w:r>
          </w:p>
        </w:tc>
        <w:tc>
          <w:tcPr>
            <w:tcW w:w="631" w:type="dxa"/>
            <w:tcBorders>
              <w:top w:val="single" w:color="DCDDDE" w:sz="4" w:space="0"/>
              <w:bottom w:val="single" w:color="DCDDDE" w:sz="4" w:space="0"/>
            </w:tcBorders>
          </w:tcPr>
          <w:p w:rsidR="00C31389" w:rsidRDefault="00561FBD" w14:paraId="6CAA3344" w14:textId="77777777">
            <w:pPr>
              <w:pStyle w:val="TableParagraph"/>
              <w:ind w:right="127"/>
              <w:jc w:val="right"/>
              <w:rPr>
                <w:sz w:val="17"/>
              </w:rPr>
            </w:pPr>
            <w:r>
              <w:rPr>
                <w:spacing w:val="-5"/>
                <w:sz w:val="17"/>
              </w:rPr>
              <w:t>3.1</w:t>
            </w:r>
          </w:p>
        </w:tc>
        <w:tc>
          <w:tcPr>
            <w:tcW w:w="631" w:type="dxa"/>
            <w:tcBorders>
              <w:top w:val="single" w:color="DCDDDE" w:sz="4" w:space="0"/>
              <w:bottom w:val="single" w:color="DCDDDE" w:sz="4" w:space="0"/>
            </w:tcBorders>
          </w:tcPr>
          <w:p w:rsidR="00C31389" w:rsidRDefault="00561FBD" w14:paraId="587DA360" w14:textId="77777777">
            <w:pPr>
              <w:pStyle w:val="TableParagraph"/>
              <w:ind w:left="248" w:right="115"/>
              <w:jc w:val="center"/>
              <w:rPr>
                <w:sz w:val="17"/>
              </w:rPr>
            </w:pPr>
            <w:r>
              <w:rPr>
                <w:spacing w:val="-5"/>
                <w:sz w:val="17"/>
              </w:rPr>
              <w:t>3.2</w:t>
            </w:r>
          </w:p>
        </w:tc>
        <w:tc>
          <w:tcPr>
            <w:tcW w:w="631" w:type="dxa"/>
            <w:tcBorders>
              <w:top w:val="single" w:color="DCDDDE" w:sz="4" w:space="0"/>
              <w:bottom w:val="single" w:color="DCDDDE" w:sz="4" w:space="0"/>
            </w:tcBorders>
          </w:tcPr>
          <w:p w:rsidR="00C31389" w:rsidRDefault="00561FBD" w14:paraId="66F17476" w14:textId="77777777">
            <w:pPr>
              <w:pStyle w:val="TableParagraph"/>
              <w:ind w:right="129"/>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580DC3DC" w14:textId="77777777">
            <w:pPr>
              <w:pStyle w:val="TableParagraph"/>
              <w:ind w:right="130"/>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231FA577" w14:textId="77777777">
            <w:pPr>
              <w:pStyle w:val="TableParagraph"/>
              <w:ind w:right="131"/>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101B9835" w14:textId="77777777">
            <w:pPr>
              <w:pStyle w:val="TableParagraph"/>
              <w:ind w:left="241" w:right="116"/>
              <w:jc w:val="center"/>
              <w:rPr>
                <w:sz w:val="17"/>
              </w:rPr>
            </w:pPr>
            <w:r>
              <w:rPr>
                <w:spacing w:val="-5"/>
                <w:sz w:val="17"/>
              </w:rPr>
              <w:t>0.5</w:t>
            </w:r>
          </w:p>
        </w:tc>
        <w:tc>
          <w:tcPr>
            <w:tcW w:w="631" w:type="dxa"/>
            <w:tcBorders>
              <w:top w:val="single" w:color="DCDDDE" w:sz="4" w:space="0"/>
              <w:bottom w:val="single" w:color="DCDDDE" w:sz="4" w:space="0"/>
            </w:tcBorders>
          </w:tcPr>
          <w:p w:rsidR="00C31389" w:rsidRDefault="00561FBD" w14:paraId="0DAAD1CB" w14:textId="77777777">
            <w:pPr>
              <w:pStyle w:val="TableParagraph"/>
              <w:ind w:right="133"/>
              <w:jc w:val="right"/>
              <w:rPr>
                <w:sz w:val="17"/>
              </w:rPr>
            </w:pPr>
            <w:r>
              <w:rPr>
                <w:spacing w:val="-5"/>
                <w:sz w:val="17"/>
              </w:rPr>
              <w:t>0.5</w:t>
            </w:r>
          </w:p>
        </w:tc>
        <w:tc>
          <w:tcPr>
            <w:tcW w:w="613" w:type="dxa"/>
            <w:tcBorders>
              <w:top w:val="single" w:color="DCDDDE" w:sz="4" w:space="0"/>
              <w:bottom w:val="single" w:color="DCDDDE" w:sz="4" w:space="0"/>
            </w:tcBorders>
          </w:tcPr>
          <w:p w:rsidR="00C31389" w:rsidRDefault="00561FBD" w14:paraId="6D3F167C" w14:textId="77777777">
            <w:pPr>
              <w:pStyle w:val="TableParagraph"/>
              <w:ind w:right="116"/>
              <w:jc w:val="right"/>
              <w:rPr>
                <w:sz w:val="17"/>
              </w:rPr>
            </w:pPr>
            <w:r>
              <w:rPr>
                <w:spacing w:val="-5"/>
                <w:sz w:val="17"/>
              </w:rPr>
              <w:t>0.5</w:t>
            </w:r>
          </w:p>
        </w:tc>
      </w:tr>
      <w:tr w:rsidR="00C31389" w14:paraId="508E650D" w14:textId="77777777">
        <w:trPr>
          <w:trHeight w:val="275"/>
        </w:trPr>
        <w:tc>
          <w:tcPr>
            <w:tcW w:w="1507" w:type="dxa"/>
            <w:tcBorders>
              <w:top w:val="single" w:color="DCDDDE" w:sz="4" w:space="0"/>
              <w:bottom w:val="single" w:color="DCDDDE" w:sz="4" w:space="0"/>
            </w:tcBorders>
          </w:tcPr>
          <w:p w:rsidR="00C31389" w:rsidRDefault="00561FBD" w14:paraId="6790E5B9" w14:textId="77777777">
            <w:pPr>
              <w:pStyle w:val="TableParagraph"/>
              <w:spacing w:before="42"/>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3CC9CC5D" w14:textId="77777777">
            <w:pPr>
              <w:pStyle w:val="TableParagraph"/>
              <w:spacing w:before="42"/>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24B1E3AE" w14:textId="77777777">
            <w:pPr>
              <w:pStyle w:val="TableParagraph"/>
              <w:spacing w:before="42"/>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57784029" w14:textId="77777777">
            <w:pPr>
              <w:pStyle w:val="TableParagraph"/>
              <w:spacing w:before="42"/>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B423658" w14:textId="77777777">
            <w:pPr>
              <w:pStyle w:val="TableParagraph"/>
              <w:spacing w:before="42"/>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62B9273" w14:textId="77777777">
            <w:pPr>
              <w:pStyle w:val="TableParagraph"/>
              <w:spacing w:before="42"/>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09E46BC" w14:textId="77777777">
            <w:pPr>
              <w:pStyle w:val="TableParagraph"/>
              <w:spacing w:before="42"/>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530C3EA3" w14:textId="77777777">
            <w:pPr>
              <w:pStyle w:val="TableParagraph"/>
              <w:spacing w:before="42"/>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7CBD0BB" w14:textId="77777777">
            <w:pPr>
              <w:pStyle w:val="TableParagraph"/>
              <w:spacing w:before="42"/>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11348E4" w14:textId="77777777">
            <w:pPr>
              <w:pStyle w:val="TableParagraph"/>
              <w:spacing w:before="42"/>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BDFF3B8" w14:textId="77777777">
            <w:pPr>
              <w:pStyle w:val="TableParagraph"/>
              <w:spacing w:before="42"/>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995D015" w14:textId="77777777">
            <w:pPr>
              <w:pStyle w:val="TableParagraph"/>
              <w:spacing w:before="42"/>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435C8CB2" w14:textId="77777777">
            <w:pPr>
              <w:pStyle w:val="TableParagraph"/>
              <w:spacing w:before="42"/>
              <w:ind w:right="116"/>
              <w:jc w:val="right"/>
              <w:rPr>
                <w:sz w:val="17"/>
              </w:rPr>
            </w:pPr>
            <w:r>
              <w:rPr>
                <w:spacing w:val="-5"/>
                <w:sz w:val="17"/>
              </w:rPr>
              <w:t>0.0</w:t>
            </w:r>
          </w:p>
        </w:tc>
      </w:tr>
      <w:tr w:rsidR="00C31389" w14:paraId="5CF23171"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01C77C24"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0AA3CAA6" w14:textId="77777777">
        <w:trPr>
          <w:trHeight w:val="275"/>
        </w:trPr>
        <w:tc>
          <w:tcPr>
            <w:tcW w:w="1507" w:type="dxa"/>
            <w:tcBorders>
              <w:top w:val="single" w:color="DCDDDE" w:sz="4" w:space="0"/>
              <w:bottom w:val="single" w:color="DCDDDE" w:sz="4" w:space="0"/>
            </w:tcBorders>
          </w:tcPr>
          <w:p w:rsidR="00C31389" w:rsidRDefault="00561FBD" w14:paraId="525F9704" w14:textId="77777777">
            <w:pPr>
              <w:pStyle w:val="TableParagraph"/>
              <w:spacing w:before="42"/>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38315290" w14:textId="77777777">
            <w:pPr>
              <w:pStyle w:val="TableParagraph"/>
              <w:spacing w:before="42"/>
              <w:ind w:right="192"/>
              <w:jc w:val="right"/>
              <w:rPr>
                <w:sz w:val="17"/>
              </w:rPr>
            </w:pPr>
            <w:r>
              <w:rPr>
                <w:spacing w:val="-5"/>
                <w:sz w:val="17"/>
              </w:rPr>
              <w:t>0.5</w:t>
            </w:r>
          </w:p>
        </w:tc>
        <w:tc>
          <w:tcPr>
            <w:tcW w:w="712" w:type="dxa"/>
            <w:tcBorders>
              <w:top w:val="single" w:color="DCDDDE" w:sz="4" w:space="0"/>
              <w:bottom w:val="single" w:color="DCDDDE" w:sz="4" w:space="0"/>
            </w:tcBorders>
          </w:tcPr>
          <w:p w:rsidR="00C31389" w:rsidRDefault="00561FBD" w14:paraId="57393D8C" w14:textId="77777777">
            <w:pPr>
              <w:pStyle w:val="TableParagraph"/>
              <w:spacing w:before="42"/>
              <w:ind w:right="137"/>
              <w:jc w:val="right"/>
              <w:rPr>
                <w:sz w:val="17"/>
              </w:rPr>
            </w:pPr>
            <w:r>
              <w:rPr>
                <w:spacing w:val="-5"/>
                <w:sz w:val="17"/>
              </w:rPr>
              <w:t>0.5</w:t>
            </w:r>
          </w:p>
        </w:tc>
        <w:tc>
          <w:tcPr>
            <w:tcW w:w="644" w:type="dxa"/>
            <w:tcBorders>
              <w:top w:val="single" w:color="DCDDDE" w:sz="4" w:space="0"/>
              <w:bottom w:val="single" w:color="DCDDDE" w:sz="4" w:space="0"/>
            </w:tcBorders>
          </w:tcPr>
          <w:p w:rsidR="00C31389" w:rsidRDefault="00561FBD" w14:paraId="49FAF887" w14:textId="77777777">
            <w:pPr>
              <w:pStyle w:val="TableParagraph"/>
              <w:spacing w:before="42"/>
              <w:ind w:right="125"/>
              <w:jc w:val="right"/>
              <w:rPr>
                <w:sz w:val="17"/>
              </w:rPr>
            </w:pPr>
            <w:r>
              <w:rPr>
                <w:spacing w:val="-5"/>
                <w:sz w:val="17"/>
              </w:rPr>
              <w:t>0.5</w:t>
            </w:r>
          </w:p>
        </w:tc>
        <w:tc>
          <w:tcPr>
            <w:tcW w:w="631" w:type="dxa"/>
            <w:tcBorders>
              <w:top w:val="single" w:color="DCDDDE" w:sz="4" w:space="0"/>
              <w:bottom w:val="single" w:color="DCDDDE" w:sz="4" w:space="0"/>
            </w:tcBorders>
          </w:tcPr>
          <w:p w:rsidR="00C31389" w:rsidRDefault="00561FBD" w14:paraId="3C1D36A0" w14:textId="77777777">
            <w:pPr>
              <w:pStyle w:val="TableParagraph"/>
              <w:spacing w:before="42"/>
              <w:ind w:right="126"/>
              <w:jc w:val="right"/>
              <w:rPr>
                <w:sz w:val="17"/>
              </w:rPr>
            </w:pPr>
            <w:r>
              <w:rPr>
                <w:spacing w:val="-5"/>
                <w:sz w:val="17"/>
              </w:rPr>
              <w:t>0.6</w:t>
            </w:r>
          </w:p>
        </w:tc>
        <w:tc>
          <w:tcPr>
            <w:tcW w:w="631" w:type="dxa"/>
            <w:tcBorders>
              <w:top w:val="single" w:color="DCDDDE" w:sz="4" w:space="0"/>
              <w:bottom w:val="single" w:color="DCDDDE" w:sz="4" w:space="0"/>
            </w:tcBorders>
          </w:tcPr>
          <w:p w:rsidR="00C31389" w:rsidRDefault="00561FBD" w14:paraId="47C55AF6" w14:textId="77777777">
            <w:pPr>
              <w:pStyle w:val="TableParagraph"/>
              <w:spacing w:before="42"/>
              <w:ind w:right="127"/>
              <w:jc w:val="right"/>
              <w:rPr>
                <w:sz w:val="17"/>
              </w:rPr>
            </w:pPr>
            <w:r>
              <w:rPr>
                <w:spacing w:val="-5"/>
                <w:sz w:val="17"/>
              </w:rPr>
              <w:t>0.7</w:t>
            </w:r>
          </w:p>
        </w:tc>
        <w:tc>
          <w:tcPr>
            <w:tcW w:w="631" w:type="dxa"/>
            <w:tcBorders>
              <w:top w:val="single" w:color="DCDDDE" w:sz="4" w:space="0"/>
              <w:bottom w:val="single" w:color="DCDDDE" w:sz="4" w:space="0"/>
            </w:tcBorders>
          </w:tcPr>
          <w:p w:rsidR="00C31389" w:rsidRDefault="00561FBD" w14:paraId="793F6A1A" w14:textId="77777777">
            <w:pPr>
              <w:pStyle w:val="TableParagraph"/>
              <w:spacing w:before="42"/>
              <w:ind w:left="248" w:right="115"/>
              <w:jc w:val="center"/>
              <w:rPr>
                <w:sz w:val="17"/>
              </w:rPr>
            </w:pPr>
            <w:r>
              <w:rPr>
                <w:spacing w:val="-5"/>
                <w:sz w:val="17"/>
              </w:rPr>
              <w:t>0.7</w:t>
            </w:r>
          </w:p>
        </w:tc>
        <w:tc>
          <w:tcPr>
            <w:tcW w:w="631" w:type="dxa"/>
            <w:tcBorders>
              <w:top w:val="single" w:color="DCDDDE" w:sz="4" w:space="0"/>
              <w:bottom w:val="single" w:color="DCDDDE" w:sz="4" w:space="0"/>
            </w:tcBorders>
          </w:tcPr>
          <w:p w:rsidR="00C31389" w:rsidRDefault="00561FBD" w14:paraId="10D66661" w14:textId="77777777">
            <w:pPr>
              <w:pStyle w:val="TableParagraph"/>
              <w:spacing w:before="42"/>
              <w:ind w:right="129"/>
              <w:jc w:val="right"/>
              <w:rPr>
                <w:sz w:val="17"/>
              </w:rPr>
            </w:pPr>
            <w:r>
              <w:rPr>
                <w:spacing w:val="-5"/>
                <w:sz w:val="17"/>
              </w:rPr>
              <w:t>0.7</w:t>
            </w:r>
          </w:p>
        </w:tc>
        <w:tc>
          <w:tcPr>
            <w:tcW w:w="631" w:type="dxa"/>
            <w:tcBorders>
              <w:top w:val="single" w:color="DCDDDE" w:sz="4" w:space="0"/>
              <w:bottom w:val="single" w:color="DCDDDE" w:sz="4" w:space="0"/>
            </w:tcBorders>
          </w:tcPr>
          <w:p w:rsidR="00C31389" w:rsidRDefault="00561FBD" w14:paraId="0C223F54" w14:textId="77777777">
            <w:pPr>
              <w:pStyle w:val="TableParagraph"/>
              <w:spacing w:before="42"/>
              <w:ind w:right="130"/>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18E433D0" w14:textId="77777777">
            <w:pPr>
              <w:pStyle w:val="TableParagraph"/>
              <w:spacing w:before="42"/>
              <w:ind w:right="131"/>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05A4722E" w14:textId="77777777">
            <w:pPr>
              <w:pStyle w:val="TableParagraph"/>
              <w:spacing w:before="42"/>
              <w:ind w:left="241" w:right="116"/>
              <w:jc w:val="center"/>
              <w:rPr>
                <w:sz w:val="17"/>
              </w:rPr>
            </w:pPr>
            <w:r>
              <w:rPr>
                <w:spacing w:val="-5"/>
                <w:sz w:val="17"/>
              </w:rPr>
              <w:t>0.8</w:t>
            </w:r>
          </w:p>
        </w:tc>
        <w:tc>
          <w:tcPr>
            <w:tcW w:w="631" w:type="dxa"/>
            <w:tcBorders>
              <w:top w:val="single" w:color="DCDDDE" w:sz="4" w:space="0"/>
              <w:bottom w:val="single" w:color="DCDDDE" w:sz="4" w:space="0"/>
            </w:tcBorders>
          </w:tcPr>
          <w:p w:rsidR="00C31389" w:rsidRDefault="00561FBD" w14:paraId="10BD0A5B" w14:textId="77777777">
            <w:pPr>
              <w:pStyle w:val="TableParagraph"/>
              <w:spacing w:before="42"/>
              <w:ind w:right="133"/>
              <w:jc w:val="right"/>
              <w:rPr>
                <w:sz w:val="17"/>
              </w:rPr>
            </w:pPr>
            <w:r>
              <w:rPr>
                <w:spacing w:val="-5"/>
                <w:sz w:val="17"/>
              </w:rPr>
              <w:t>0.8</w:t>
            </w:r>
          </w:p>
        </w:tc>
        <w:tc>
          <w:tcPr>
            <w:tcW w:w="613" w:type="dxa"/>
            <w:tcBorders>
              <w:top w:val="single" w:color="DCDDDE" w:sz="4" w:space="0"/>
              <w:bottom w:val="single" w:color="DCDDDE" w:sz="4" w:space="0"/>
            </w:tcBorders>
          </w:tcPr>
          <w:p w:rsidR="00C31389" w:rsidRDefault="00561FBD" w14:paraId="3F430F03" w14:textId="77777777">
            <w:pPr>
              <w:pStyle w:val="TableParagraph"/>
              <w:spacing w:before="42"/>
              <w:ind w:right="116"/>
              <w:jc w:val="right"/>
              <w:rPr>
                <w:sz w:val="17"/>
              </w:rPr>
            </w:pPr>
            <w:r>
              <w:rPr>
                <w:spacing w:val="-5"/>
                <w:sz w:val="17"/>
              </w:rPr>
              <w:t>0.9</w:t>
            </w:r>
          </w:p>
        </w:tc>
      </w:tr>
      <w:tr w:rsidR="00C31389" w14:paraId="1B56F7F1" w14:textId="77777777">
        <w:trPr>
          <w:trHeight w:val="275"/>
        </w:trPr>
        <w:tc>
          <w:tcPr>
            <w:tcW w:w="1507" w:type="dxa"/>
            <w:tcBorders>
              <w:top w:val="single" w:color="DCDDDE" w:sz="4" w:space="0"/>
              <w:bottom w:val="single" w:color="DCDDDE" w:sz="4" w:space="0"/>
            </w:tcBorders>
          </w:tcPr>
          <w:p w:rsidR="00C31389" w:rsidRDefault="00561FBD" w14:paraId="48A1ECA4" w14:textId="77777777">
            <w:pPr>
              <w:pStyle w:val="TableParagraph"/>
              <w:spacing w:before="42"/>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07001B1C" w14:textId="77777777">
            <w:pPr>
              <w:pStyle w:val="TableParagraph"/>
              <w:spacing w:before="42"/>
              <w:ind w:right="193"/>
              <w:jc w:val="right"/>
              <w:rPr>
                <w:sz w:val="17"/>
              </w:rPr>
            </w:pPr>
            <w:r>
              <w:rPr>
                <w:spacing w:val="-4"/>
                <w:sz w:val="17"/>
              </w:rPr>
              <w:t>35.6</w:t>
            </w:r>
          </w:p>
        </w:tc>
        <w:tc>
          <w:tcPr>
            <w:tcW w:w="712" w:type="dxa"/>
            <w:tcBorders>
              <w:top w:val="single" w:color="DCDDDE" w:sz="4" w:space="0"/>
              <w:bottom w:val="single" w:color="DCDDDE" w:sz="4" w:space="0"/>
            </w:tcBorders>
          </w:tcPr>
          <w:p w:rsidR="00C31389" w:rsidRDefault="00561FBD" w14:paraId="2A1CB83F" w14:textId="77777777">
            <w:pPr>
              <w:pStyle w:val="TableParagraph"/>
              <w:spacing w:before="42"/>
              <w:ind w:right="138"/>
              <w:jc w:val="right"/>
              <w:rPr>
                <w:sz w:val="17"/>
              </w:rPr>
            </w:pPr>
            <w:r>
              <w:rPr>
                <w:spacing w:val="-4"/>
                <w:sz w:val="17"/>
              </w:rPr>
              <w:t>38.6</w:t>
            </w:r>
          </w:p>
        </w:tc>
        <w:tc>
          <w:tcPr>
            <w:tcW w:w="644" w:type="dxa"/>
            <w:tcBorders>
              <w:top w:val="single" w:color="DCDDDE" w:sz="4" w:space="0"/>
              <w:bottom w:val="single" w:color="DCDDDE" w:sz="4" w:space="0"/>
            </w:tcBorders>
          </w:tcPr>
          <w:p w:rsidR="00C31389" w:rsidRDefault="00561FBD" w14:paraId="2AD50FC5" w14:textId="77777777">
            <w:pPr>
              <w:pStyle w:val="TableParagraph"/>
              <w:spacing w:before="42"/>
              <w:ind w:right="125"/>
              <w:jc w:val="right"/>
              <w:rPr>
                <w:sz w:val="17"/>
              </w:rPr>
            </w:pPr>
            <w:r>
              <w:rPr>
                <w:spacing w:val="-4"/>
                <w:sz w:val="17"/>
              </w:rPr>
              <w:t>41.1</w:t>
            </w:r>
          </w:p>
        </w:tc>
        <w:tc>
          <w:tcPr>
            <w:tcW w:w="631" w:type="dxa"/>
            <w:tcBorders>
              <w:top w:val="single" w:color="DCDDDE" w:sz="4" w:space="0"/>
              <w:bottom w:val="single" w:color="DCDDDE" w:sz="4" w:space="0"/>
            </w:tcBorders>
          </w:tcPr>
          <w:p w:rsidR="00C31389" w:rsidRDefault="00561FBD" w14:paraId="4ACACBF6" w14:textId="77777777">
            <w:pPr>
              <w:pStyle w:val="TableParagraph"/>
              <w:spacing w:before="42"/>
              <w:ind w:right="126"/>
              <w:jc w:val="right"/>
              <w:rPr>
                <w:sz w:val="17"/>
              </w:rPr>
            </w:pPr>
            <w:r>
              <w:rPr>
                <w:spacing w:val="-4"/>
                <w:sz w:val="17"/>
              </w:rPr>
              <w:t>43.4</w:t>
            </w:r>
          </w:p>
        </w:tc>
        <w:tc>
          <w:tcPr>
            <w:tcW w:w="631" w:type="dxa"/>
            <w:tcBorders>
              <w:top w:val="single" w:color="DCDDDE" w:sz="4" w:space="0"/>
              <w:bottom w:val="single" w:color="DCDDDE" w:sz="4" w:space="0"/>
            </w:tcBorders>
          </w:tcPr>
          <w:p w:rsidR="00C31389" w:rsidRDefault="00561FBD" w14:paraId="60FF7C93" w14:textId="77777777">
            <w:pPr>
              <w:pStyle w:val="TableParagraph"/>
              <w:spacing w:before="42"/>
              <w:ind w:right="128"/>
              <w:jc w:val="right"/>
              <w:rPr>
                <w:sz w:val="17"/>
              </w:rPr>
            </w:pPr>
            <w:r>
              <w:rPr>
                <w:spacing w:val="-4"/>
                <w:sz w:val="17"/>
              </w:rPr>
              <w:t>45.3</w:t>
            </w:r>
          </w:p>
        </w:tc>
        <w:tc>
          <w:tcPr>
            <w:tcW w:w="631" w:type="dxa"/>
            <w:tcBorders>
              <w:top w:val="single" w:color="DCDDDE" w:sz="4" w:space="0"/>
              <w:bottom w:val="single" w:color="DCDDDE" w:sz="4" w:space="0"/>
            </w:tcBorders>
          </w:tcPr>
          <w:p w:rsidR="00C31389" w:rsidRDefault="00561FBD" w14:paraId="445AF5EF" w14:textId="77777777">
            <w:pPr>
              <w:pStyle w:val="TableParagraph"/>
              <w:spacing w:before="42"/>
              <w:ind w:left="106" w:right="69"/>
              <w:jc w:val="center"/>
              <w:rPr>
                <w:sz w:val="17"/>
              </w:rPr>
            </w:pPr>
            <w:r>
              <w:rPr>
                <w:spacing w:val="-4"/>
                <w:sz w:val="17"/>
              </w:rPr>
              <w:t>46.3</w:t>
            </w:r>
          </w:p>
        </w:tc>
        <w:tc>
          <w:tcPr>
            <w:tcW w:w="631" w:type="dxa"/>
            <w:tcBorders>
              <w:top w:val="single" w:color="DCDDDE" w:sz="4" w:space="0"/>
              <w:bottom w:val="single" w:color="DCDDDE" w:sz="4" w:space="0"/>
            </w:tcBorders>
          </w:tcPr>
          <w:p w:rsidR="00C31389" w:rsidRDefault="00561FBD" w14:paraId="7099A631" w14:textId="77777777">
            <w:pPr>
              <w:pStyle w:val="TableParagraph"/>
              <w:spacing w:before="42"/>
              <w:ind w:right="129"/>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518993DF" w14:textId="77777777">
            <w:pPr>
              <w:pStyle w:val="TableParagraph"/>
              <w:spacing w:before="42"/>
              <w:ind w:right="130"/>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25FAA569" w14:textId="77777777">
            <w:pPr>
              <w:pStyle w:val="TableParagraph"/>
              <w:spacing w:before="42"/>
              <w:ind w:right="131"/>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1BA866FE" w14:textId="77777777">
            <w:pPr>
              <w:pStyle w:val="TableParagraph"/>
              <w:spacing w:before="42"/>
              <w:ind w:left="241" w:right="116"/>
              <w:jc w:val="center"/>
              <w:rPr>
                <w:sz w:val="17"/>
              </w:rPr>
            </w:pPr>
            <w:r>
              <w:rPr>
                <w:spacing w:val="-5"/>
                <w:sz w:val="17"/>
              </w:rPr>
              <w:t>0.5</w:t>
            </w:r>
          </w:p>
        </w:tc>
        <w:tc>
          <w:tcPr>
            <w:tcW w:w="631" w:type="dxa"/>
            <w:tcBorders>
              <w:top w:val="single" w:color="DCDDDE" w:sz="4" w:space="0"/>
              <w:bottom w:val="single" w:color="DCDDDE" w:sz="4" w:space="0"/>
            </w:tcBorders>
          </w:tcPr>
          <w:p w:rsidR="00C31389" w:rsidRDefault="00561FBD" w14:paraId="2683DA71" w14:textId="77777777">
            <w:pPr>
              <w:pStyle w:val="TableParagraph"/>
              <w:spacing w:before="42"/>
              <w:ind w:right="133"/>
              <w:jc w:val="right"/>
              <w:rPr>
                <w:sz w:val="17"/>
              </w:rPr>
            </w:pPr>
            <w:r>
              <w:rPr>
                <w:spacing w:val="-5"/>
                <w:sz w:val="17"/>
              </w:rPr>
              <w:t>0.5</w:t>
            </w:r>
          </w:p>
        </w:tc>
        <w:tc>
          <w:tcPr>
            <w:tcW w:w="613" w:type="dxa"/>
            <w:tcBorders>
              <w:top w:val="single" w:color="DCDDDE" w:sz="4" w:space="0"/>
              <w:bottom w:val="single" w:color="DCDDDE" w:sz="4" w:space="0"/>
            </w:tcBorders>
          </w:tcPr>
          <w:p w:rsidR="00C31389" w:rsidRDefault="00561FBD" w14:paraId="2B5FF56C" w14:textId="77777777">
            <w:pPr>
              <w:pStyle w:val="TableParagraph"/>
              <w:spacing w:before="42"/>
              <w:ind w:right="116"/>
              <w:jc w:val="right"/>
              <w:rPr>
                <w:sz w:val="17"/>
              </w:rPr>
            </w:pPr>
            <w:r>
              <w:rPr>
                <w:spacing w:val="-5"/>
                <w:sz w:val="17"/>
              </w:rPr>
              <w:t>0.5</w:t>
            </w:r>
          </w:p>
        </w:tc>
      </w:tr>
      <w:tr w:rsidR="00C31389" w14:paraId="07295F46" w14:textId="77777777">
        <w:trPr>
          <w:trHeight w:val="275"/>
        </w:trPr>
        <w:tc>
          <w:tcPr>
            <w:tcW w:w="1507" w:type="dxa"/>
            <w:tcBorders>
              <w:top w:val="single" w:color="DCDDDE" w:sz="4" w:space="0"/>
              <w:bottom w:val="single" w:color="DCDDDE" w:sz="4" w:space="0"/>
            </w:tcBorders>
          </w:tcPr>
          <w:p w:rsidR="00C31389" w:rsidRDefault="00561FBD" w14:paraId="7272ABDE"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34386341" w14:textId="77777777">
            <w:pPr>
              <w:pStyle w:val="TableParagraph"/>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724474F9" w14:textId="77777777">
            <w:pPr>
              <w:pStyle w:val="TableParagraph"/>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474875C8" w14:textId="77777777">
            <w:pPr>
              <w:pStyle w:val="TableParagraph"/>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1DB6747" w14:textId="77777777">
            <w:pPr>
              <w:pStyle w:val="TableParagraph"/>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915DEAB"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70C11B9" w14:textId="77777777">
            <w:pPr>
              <w:pStyle w:val="TableParagraph"/>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2510CA9D" w14:textId="77777777">
            <w:pPr>
              <w:pStyle w:val="TableParagraph"/>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039ABCD"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F8084E2"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076886D"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6E5C8B85"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6F6169EB" w14:textId="77777777">
            <w:pPr>
              <w:pStyle w:val="TableParagraph"/>
              <w:ind w:right="116"/>
              <w:jc w:val="right"/>
              <w:rPr>
                <w:sz w:val="17"/>
              </w:rPr>
            </w:pPr>
            <w:r>
              <w:rPr>
                <w:spacing w:val="-5"/>
                <w:sz w:val="17"/>
              </w:rPr>
              <w:t>0.0</w:t>
            </w:r>
          </w:p>
        </w:tc>
      </w:tr>
      <w:tr w:rsidR="00C31389" w14:paraId="713D8739"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5938C07E"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6C2616DA" w14:textId="77777777">
        <w:trPr>
          <w:trHeight w:val="275"/>
        </w:trPr>
        <w:tc>
          <w:tcPr>
            <w:tcW w:w="1507" w:type="dxa"/>
            <w:tcBorders>
              <w:top w:val="single" w:color="DCDDDE" w:sz="4" w:space="0"/>
              <w:bottom w:val="single" w:color="DCDDDE" w:sz="4" w:space="0"/>
            </w:tcBorders>
          </w:tcPr>
          <w:p w:rsidR="00C31389" w:rsidRDefault="00561FBD" w14:paraId="607993A9"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3322A146" w14:textId="77777777">
            <w:pPr>
              <w:pStyle w:val="TableParagraph"/>
              <w:ind w:right="192"/>
              <w:jc w:val="right"/>
              <w:rPr>
                <w:sz w:val="17"/>
              </w:rPr>
            </w:pPr>
            <w:r>
              <w:rPr>
                <w:spacing w:val="-5"/>
                <w:sz w:val="17"/>
              </w:rPr>
              <w:t>0.5</w:t>
            </w:r>
          </w:p>
        </w:tc>
        <w:tc>
          <w:tcPr>
            <w:tcW w:w="712" w:type="dxa"/>
            <w:tcBorders>
              <w:top w:val="single" w:color="DCDDDE" w:sz="4" w:space="0"/>
              <w:bottom w:val="single" w:color="DCDDDE" w:sz="4" w:space="0"/>
            </w:tcBorders>
          </w:tcPr>
          <w:p w:rsidR="00C31389" w:rsidRDefault="00561FBD" w14:paraId="5291BCF7" w14:textId="77777777">
            <w:pPr>
              <w:pStyle w:val="TableParagraph"/>
              <w:ind w:right="137"/>
              <w:jc w:val="right"/>
              <w:rPr>
                <w:sz w:val="17"/>
              </w:rPr>
            </w:pPr>
            <w:r>
              <w:rPr>
                <w:spacing w:val="-5"/>
                <w:sz w:val="17"/>
              </w:rPr>
              <w:t>0.5</w:t>
            </w:r>
          </w:p>
        </w:tc>
        <w:tc>
          <w:tcPr>
            <w:tcW w:w="644" w:type="dxa"/>
            <w:tcBorders>
              <w:top w:val="single" w:color="DCDDDE" w:sz="4" w:space="0"/>
              <w:bottom w:val="single" w:color="DCDDDE" w:sz="4" w:space="0"/>
            </w:tcBorders>
          </w:tcPr>
          <w:p w:rsidR="00C31389" w:rsidRDefault="00561FBD" w14:paraId="3C0B34F6" w14:textId="77777777">
            <w:pPr>
              <w:pStyle w:val="TableParagraph"/>
              <w:ind w:right="125"/>
              <w:jc w:val="right"/>
              <w:rPr>
                <w:sz w:val="17"/>
              </w:rPr>
            </w:pPr>
            <w:r>
              <w:rPr>
                <w:spacing w:val="-5"/>
                <w:sz w:val="17"/>
              </w:rPr>
              <w:t>0.5</w:t>
            </w:r>
          </w:p>
        </w:tc>
        <w:tc>
          <w:tcPr>
            <w:tcW w:w="631" w:type="dxa"/>
            <w:tcBorders>
              <w:top w:val="single" w:color="DCDDDE" w:sz="4" w:space="0"/>
              <w:bottom w:val="single" w:color="DCDDDE" w:sz="4" w:space="0"/>
            </w:tcBorders>
          </w:tcPr>
          <w:p w:rsidR="00C31389" w:rsidRDefault="00561FBD" w14:paraId="14FB840E" w14:textId="77777777">
            <w:pPr>
              <w:pStyle w:val="TableParagraph"/>
              <w:ind w:right="126"/>
              <w:jc w:val="right"/>
              <w:rPr>
                <w:sz w:val="17"/>
              </w:rPr>
            </w:pPr>
            <w:r>
              <w:rPr>
                <w:spacing w:val="-5"/>
                <w:sz w:val="17"/>
              </w:rPr>
              <w:t>0.6</w:t>
            </w:r>
          </w:p>
        </w:tc>
        <w:tc>
          <w:tcPr>
            <w:tcW w:w="631" w:type="dxa"/>
            <w:tcBorders>
              <w:top w:val="single" w:color="DCDDDE" w:sz="4" w:space="0"/>
              <w:bottom w:val="single" w:color="DCDDDE" w:sz="4" w:space="0"/>
            </w:tcBorders>
          </w:tcPr>
          <w:p w:rsidR="00C31389" w:rsidRDefault="00561FBD" w14:paraId="1005D9E4" w14:textId="77777777">
            <w:pPr>
              <w:pStyle w:val="TableParagraph"/>
              <w:ind w:right="127"/>
              <w:jc w:val="right"/>
              <w:rPr>
                <w:sz w:val="17"/>
              </w:rPr>
            </w:pPr>
            <w:r>
              <w:rPr>
                <w:spacing w:val="-5"/>
                <w:sz w:val="17"/>
              </w:rPr>
              <w:t>0.7</w:t>
            </w:r>
          </w:p>
        </w:tc>
        <w:tc>
          <w:tcPr>
            <w:tcW w:w="631" w:type="dxa"/>
            <w:tcBorders>
              <w:top w:val="single" w:color="DCDDDE" w:sz="4" w:space="0"/>
              <w:bottom w:val="single" w:color="DCDDDE" w:sz="4" w:space="0"/>
            </w:tcBorders>
          </w:tcPr>
          <w:p w:rsidR="00C31389" w:rsidRDefault="00561FBD" w14:paraId="4B84BA46" w14:textId="77777777">
            <w:pPr>
              <w:pStyle w:val="TableParagraph"/>
              <w:ind w:left="248" w:right="115"/>
              <w:jc w:val="center"/>
              <w:rPr>
                <w:sz w:val="17"/>
              </w:rPr>
            </w:pPr>
            <w:r>
              <w:rPr>
                <w:spacing w:val="-5"/>
                <w:sz w:val="17"/>
              </w:rPr>
              <w:t>0.7</w:t>
            </w:r>
          </w:p>
        </w:tc>
        <w:tc>
          <w:tcPr>
            <w:tcW w:w="631" w:type="dxa"/>
            <w:tcBorders>
              <w:top w:val="single" w:color="DCDDDE" w:sz="4" w:space="0"/>
              <w:bottom w:val="single" w:color="DCDDDE" w:sz="4" w:space="0"/>
            </w:tcBorders>
          </w:tcPr>
          <w:p w:rsidR="00C31389" w:rsidRDefault="00561FBD" w14:paraId="3DEADCFB" w14:textId="77777777">
            <w:pPr>
              <w:pStyle w:val="TableParagraph"/>
              <w:ind w:right="129"/>
              <w:jc w:val="right"/>
              <w:rPr>
                <w:sz w:val="17"/>
              </w:rPr>
            </w:pPr>
            <w:r>
              <w:rPr>
                <w:spacing w:val="-5"/>
                <w:sz w:val="17"/>
              </w:rPr>
              <w:t>0.7</w:t>
            </w:r>
          </w:p>
        </w:tc>
        <w:tc>
          <w:tcPr>
            <w:tcW w:w="631" w:type="dxa"/>
            <w:tcBorders>
              <w:top w:val="single" w:color="DCDDDE" w:sz="4" w:space="0"/>
              <w:bottom w:val="single" w:color="DCDDDE" w:sz="4" w:space="0"/>
            </w:tcBorders>
          </w:tcPr>
          <w:p w:rsidR="00C31389" w:rsidRDefault="00561FBD" w14:paraId="762C62F2" w14:textId="77777777">
            <w:pPr>
              <w:pStyle w:val="TableParagraph"/>
              <w:ind w:right="130"/>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1FDCCEFC" w14:textId="77777777">
            <w:pPr>
              <w:pStyle w:val="TableParagraph"/>
              <w:ind w:right="131"/>
              <w:jc w:val="right"/>
              <w:rPr>
                <w:sz w:val="17"/>
              </w:rPr>
            </w:pPr>
            <w:r>
              <w:rPr>
                <w:spacing w:val="-5"/>
                <w:sz w:val="17"/>
              </w:rPr>
              <w:t>0.8</w:t>
            </w:r>
          </w:p>
        </w:tc>
        <w:tc>
          <w:tcPr>
            <w:tcW w:w="631" w:type="dxa"/>
            <w:tcBorders>
              <w:top w:val="single" w:color="DCDDDE" w:sz="4" w:space="0"/>
              <w:bottom w:val="single" w:color="DCDDDE" w:sz="4" w:space="0"/>
            </w:tcBorders>
          </w:tcPr>
          <w:p w:rsidR="00C31389" w:rsidRDefault="00561FBD" w14:paraId="74FD50C4" w14:textId="77777777">
            <w:pPr>
              <w:pStyle w:val="TableParagraph"/>
              <w:ind w:left="241" w:right="116"/>
              <w:jc w:val="center"/>
              <w:rPr>
                <w:sz w:val="17"/>
              </w:rPr>
            </w:pPr>
            <w:r>
              <w:rPr>
                <w:spacing w:val="-5"/>
                <w:sz w:val="17"/>
              </w:rPr>
              <w:t>0.8</w:t>
            </w:r>
          </w:p>
        </w:tc>
        <w:tc>
          <w:tcPr>
            <w:tcW w:w="631" w:type="dxa"/>
            <w:tcBorders>
              <w:top w:val="single" w:color="DCDDDE" w:sz="4" w:space="0"/>
              <w:bottom w:val="single" w:color="DCDDDE" w:sz="4" w:space="0"/>
            </w:tcBorders>
          </w:tcPr>
          <w:p w:rsidR="00C31389" w:rsidRDefault="00561FBD" w14:paraId="35106A63" w14:textId="77777777">
            <w:pPr>
              <w:pStyle w:val="TableParagraph"/>
              <w:ind w:right="133"/>
              <w:jc w:val="right"/>
              <w:rPr>
                <w:sz w:val="17"/>
              </w:rPr>
            </w:pPr>
            <w:r>
              <w:rPr>
                <w:spacing w:val="-5"/>
                <w:sz w:val="17"/>
              </w:rPr>
              <w:t>0.8</w:t>
            </w:r>
          </w:p>
        </w:tc>
        <w:tc>
          <w:tcPr>
            <w:tcW w:w="613" w:type="dxa"/>
            <w:tcBorders>
              <w:top w:val="single" w:color="DCDDDE" w:sz="4" w:space="0"/>
              <w:bottom w:val="single" w:color="DCDDDE" w:sz="4" w:space="0"/>
            </w:tcBorders>
          </w:tcPr>
          <w:p w:rsidR="00C31389" w:rsidRDefault="00561FBD" w14:paraId="51CE231E" w14:textId="77777777">
            <w:pPr>
              <w:pStyle w:val="TableParagraph"/>
              <w:ind w:right="116"/>
              <w:jc w:val="right"/>
              <w:rPr>
                <w:sz w:val="17"/>
              </w:rPr>
            </w:pPr>
            <w:r>
              <w:rPr>
                <w:spacing w:val="-5"/>
                <w:sz w:val="17"/>
              </w:rPr>
              <w:t>0.9</w:t>
            </w:r>
          </w:p>
        </w:tc>
      </w:tr>
      <w:tr w:rsidR="00C31389" w14:paraId="07F21C10" w14:textId="77777777">
        <w:trPr>
          <w:trHeight w:val="275"/>
        </w:trPr>
        <w:tc>
          <w:tcPr>
            <w:tcW w:w="1507" w:type="dxa"/>
            <w:tcBorders>
              <w:top w:val="single" w:color="DCDDDE" w:sz="4" w:space="0"/>
              <w:bottom w:val="single" w:color="DCDDDE" w:sz="4" w:space="0"/>
            </w:tcBorders>
          </w:tcPr>
          <w:p w:rsidR="00C31389" w:rsidRDefault="00561FBD" w14:paraId="0C47AB0D"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3479BCF5" w14:textId="77777777">
            <w:pPr>
              <w:pStyle w:val="TableParagraph"/>
              <w:ind w:right="192"/>
              <w:jc w:val="right"/>
              <w:rPr>
                <w:sz w:val="17"/>
              </w:rPr>
            </w:pPr>
            <w:r>
              <w:rPr>
                <w:spacing w:val="-5"/>
                <w:sz w:val="17"/>
              </w:rPr>
              <w:t>2.5</w:t>
            </w:r>
          </w:p>
        </w:tc>
        <w:tc>
          <w:tcPr>
            <w:tcW w:w="712" w:type="dxa"/>
            <w:tcBorders>
              <w:top w:val="single" w:color="DCDDDE" w:sz="4" w:space="0"/>
              <w:bottom w:val="single" w:color="DCDDDE" w:sz="4" w:space="0"/>
            </w:tcBorders>
          </w:tcPr>
          <w:p w:rsidR="00C31389" w:rsidRDefault="00561FBD" w14:paraId="3D52D56D" w14:textId="77777777">
            <w:pPr>
              <w:pStyle w:val="TableParagraph"/>
              <w:ind w:right="138"/>
              <w:jc w:val="right"/>
              <w:rPr>
                <w:sz w:val="17"/>
              </w:rPr>
            </w:pPr>
            <w:r>
              <w:rPr>
                <w:spacing w:val="-5"/>
                <w:sz w:val="17"/>
              </w:rPr>
              <w:t>2.7</w:t>
            </w:r>
          </w:p>
        </w:tc>
        <w:tc>
          <w:tcPr>
            <w:tcW w:w="644" w:type="dxa"/>
            <w:tcBorders>
              <w:top w:val="single" w:color="DCDDDE" w:sz="4" w:space="0"/>
              <w:bottom w:val="single" w:color="DCDDDE" w:sz="4" w:space="0"/>
            </w:tcBorders>
          </w:tcPr>
          <w:p w:rsidR="00C31389" w:rsidRDefault="00561FBD" w14:paraId="2DD288F2" w14:textId="77777777">
            <w:pPr>
              <w:pStyle w:val="TableParagraph"/>
              <w:ind w:right="125"/>
              <w:jc w:val="right"/>
              <w:rPr>
                <w:sz w:val="17"/>
              </w:rPr>
            </w:pPr>
            <w:r>
              <w:rPr>
                <w:spacing w:val="-5"/>
                <w:sz w:val="17"/>
              </w:rPr>
              <w:t>2.9</w:t>
            </w:r>
          </w:p>
        </w:tc>
        <w:tc>
          <w:tcPr>
            <w:tcW w:w="631" w:type="dxa"/>
            <w:tcBorders>
              <w:top w:val="single" w:color="DCDDDE" w:sz="4" w:space="0"/>
              <w:bottom w:val="single" w:color="DCDDDE" w:sz="4" w:space="0"/>
            </w:tcBorders>
          </w:tcPr>
          <w:p w:rsidR="00C31389" w:rsidRDefault="00561FBD" w14:paraId="00DC774C" w14:textId="77777777">
            <w:pPr>
              <w:pStyle w:val="TableParagraph"/>
              <w:ind w:right="126"/>
              <w:jc w:val="right"/>
              <w:rPr>
                <w:sz w:val="17"/>
              </w:rPr>
            </w:pPr>
            <w:r>
              <w:rPr>
                <w:spacing w:val="-5"/>
                <w:sz w:val="17"/>
              </w:rPr>
              <w:t>3.0</w:t>
            </w:r>
          </w:p>
        </w:tc>
        <w:tc>
          <w:tcPr>
            <w:tcW w:w="631" w:type="dxa"/>
            <w:tcBorders>
              <w:top w:val="single" w:color="DCDDDE" w:sz="4" w:space="0"/>
              <w:bottom w:val="single" w:color="DCDDDE" w:sz="4" w:space="0"/>
            </w:tcBorders>
          </w:tcPr>
          <w:p w:rsidR="00C31389" w:rsidRDefault="00561FBD" w14:paraId="24D947BF" w14:textId="77777777">
            <w:pPr>
              <w:pStyle w:val="TableParagraph"/>
              <w:ind w:right="127"/>
              <w:jc w:val="right"/>
              <w:rPr>
                <w:sz w:val="17"/>
              </w:rPr>
            </w:pPr>
            <w:r>
              <w:rPr>
                <w:spacing w:val="-5"/>
                <w:sz w:val="17"/>
              </w:rPr>
              <w:t>3.2</w:t>
            </w:r>
          </w:p>
        </w:tc>
        <w:tc>
          <w:tcPr>
            <w:tcW w:w="631" w:type="dxa"/>
            <w:tcBorders>
              <w:top w:val="single" w:color="DCDDDE" w:sz="4" w:space="0"/>
              <w:bottom w:val="single" w:color="DCDDDE" w:sz="4" w:space="0"/>
            </w:tcBorders>
          </w:tcPr>
          <w:p w:rsidR="00C31389" w:rsidRDefault="00561FBD" w14:paraId="3EA23983" w14:textId="77777777">
            <w:pPr>
              <w:pStyle w:val="TableParagraph"/>
              <w:ind w:left="248" w:right="115"/>
              <w:jc w:val="center"/>
              <w:rPr>
                <w:sz w:val="17"/>
              </w:rPr>
            </w:pPr>
            <w:r>
              <w:rPr>
                <w:spacing w:val="-5"/>
                <w:sz w:val="17"/>
              </w:rPr>
              <w:t>3.3</w:t>
            </w:r>
          </w:p>
        </w:tc>
        <w:tc>
          <w:tcPr>
            <w:tcW w:w="631" w:type="dxa"/>
            <w:tcBorders>
              <w:top w:val="single" w:color="DCDDDE" w:sz="4" w:space="0"/>
              <w:bottom w:val="single" w:color="DCDDDE" w:sz="4" w:space="0"/>
            </w:tcBorders>
          </w:tcPr>
          <w:p w:rsidR="00C31389" w:rsidRDefault="00561FBD" w14:paraId="708534BC" w14:textId="77777777">
            <w:pPr>
              <w:pStyle w:val="TableParagraph"/>
              <w:ind w:right="129"/>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4145063C" w14:textId="77777777">
            <w:pPr>
              <w:pStyle w:val="TableParagraph"/>
              <w:ind w:right="130"/>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100D020B" w14:textId="77777777">
            <w:pPr>
              <w:pStyle w:val="TableParagraph"/>
              <w:ind w:right="131"/>
              <w:jc w:val="right"/>
              <w:rPr>
                <w:sz w:val="17"/>
              </w:rPr>
            </w:pPr>
            <w:r>
              <w:rPr>
                <w:spacing w:val="-5"/>
                <w:sz w:val="17"/>
              </w:rPr>
              <w:t>0.4</w:t>
            </w:r>
          </w:p>
        </w:tc>
        <w:tc>
          <w:tcPr>
            <w:tcW w:w="631" w:type="dxa"/>
            <w:tcBorders>
              <w:top w:val="single" w:color="DCDDDE" w:sz="4" w:space="0"/>
              <w:bottom w:val="single" w:color="DCDDDE" w:sz="4" w:space="0"/>
            </w:tcBorders>
          </w:tcPr>
          <w:p w:rsidR="00C31389" w:rsidRDefault="00561FBD" w14:paraId="5E141618" w14:textId="77777777">
            <w:pPr>
              <w:pStyle w:val="TableParagraph"/>
              <w:ind w:left="241" w:right="116"/>
              <w:jc w:val="center"/>
              <w:rPr>
                <w:sz w:val="17"/>
              </w:rPr>
            </w:pPr>
            <w:r>
              <w:rPr>
                <w:spacing w:val="-5"/>
                <w:sz w:val="17"/>
              </w:rPr>
              <w:t>0.5</w:t>
            </w:r>
          </w:p>
        </w:tc>
        <w:tc>
          <w:tcPr>
            <w:tcW w:w="631" w:type="dxa"/>
            <w:tcBorders>
              <w:top w:val="single" w:color="DCDDDE" w:sz="4" w:space="0"/>
              <w:bottom w:val="single" w:color="DCDDDE" w:sz="4" w:space="0"/>
            </w:tcBorders>
          </w:tcPr>
          <w:p w:rsidR="00C31389" w:rsidRDefault="00561FBD" w14:paraId="43A0761A" w14:textId="77777777">
            <w:pPr>
              <w:pStyle w:val="TableParagraph"/>
              <w:ind w:right="133"/>
              <w:jc w:val="right"/>
              <w:rPr>
                <w:sz w:val="17"/>
              </w:rPr>
            </w:pPr>
            <w:r>
              <w:rPr>
                <w:spacing w:val="-5"/>
                <w:sz w:val="17"/>
              </w:rPr>
              <w:t>0.5</w:t>
            </w:r>
          </w:p>
        </w:tc>
        <w:tc>
          <w:tcPr>
            <w:tcW w:w="613" w:type="dxa"/>
            <w:tcBorders>
              <w:top w:val="single" w:color="DCDDDE" w:sz="4" w:space="0"/>
              <w:bottom w:val="single" w:color="DCDDDE" w:sz="4" w:space="0"/>
            </w:tcBorders>
          </w:tcPr>
          <w:p w:rsidR="00C31389" w:rsidRDefault="00561FBD" w14:paraId="7DDFA60C" w14:textId="77777777">
            <w:pPr>
              <w:pStyle w:val="TableParagraph"/>
              <w:ind w:right="116"/>
              <w:jc w:val="right"/>
              <w:rPr>
                <w:sz w:val="17"/>
              </w:rPr>
            </w:pPr>
            <w:r>
              <w:rPr>
                <w:spacing w:val="-5"/>
                <w:sz w:val="17"/>
              </w:rPr>
              <w:t>0.5</w:t>
            </w:r>
          </w:p>
        </w:tc>
      </w:tr>
      <w:tr w:rsidR="00C31389" w14:paraId="627EFA2F" w14:textId="77777777">
        <w:trPr>
          <w:trHeight w:val="275"/>
        </w:trPr>
        <w:tc>
          <w:tcPr>
            <w:tcW w:w="1507" w:type="dxa"/>
            <w:tcBorders>
              <w:top w:val="single" w:color="DCDDDE" w:sz="4" w:space="0"/>
              <w:bottom w:val="single" w:color="DCDDDE" w:sz="4" w:space="0"/>
            </w:tcBorders>
          </w:tcPr>
          <w:p w:rsidR="00C31389" w:rsidRDefault="00561FBD" w14:paraId="6E2B5578"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0F7ADDA0" w14:textId="77777777">
            <w:pPr>
              <w:pStyle w:val="TableParagraph"/>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7794EE81" w14:textId="77777777">
            <w:pPr>
              <w:pStyle w:val="TableParagraph"/>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278ED196" w14:textId="77777777">
            <w:pPr>
              <w:pStyle w:val="TableParagraph"/>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D0B31BF" w14:textId="77777777">
            <w:pPr>
              <w:pStyle w:val="TableParagraph"/>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1804674"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11B905A" w14:textId="77777777">
            <w:pPr>
              <w:pStyle w:val="TableParagraph"/>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297DC016" w14:textId="77777777">
            <w:pPr>
              <w:pStyle w:val="TableParagraph"/>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83EDB57"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E718027"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634E596B"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4FC94473"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7753BCCD" w14:textId="77777777">
            <w:pPr>
              <w:pStyle w:val="TableParagraph"/>
              <w:ind w:right="116"/>
              <w:jc w:val="right"/>
              <w:rPr>
                <w:sz w:val="17"/>
              </w:rPr>
            </w:pPr>
            <w:r>
              <w:rPr>
                <w:spacing w:val="-5"/>
                <w:sz w:val="17"/>
              </w:rPr>
              <w:t>0.0</w:t>
            </w:r>
          </w:p>
        </w:tc>
      </w:tr>
      <w:tr w:rsidR="00C31389" w14:paraId="0196E8E3"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3C50C4B3" w14:textId="77777777">
            <w:pPr>
              <w:pStyle w:val="TableParagraph"/>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192921AD" w14:textId="77777777">
        <w:trPr>
          <w:trHeight w:val="469"/>
        </w:trPr>
        <w:tc>
          <w:tcPr>
            <w:tcW w:w="1507" w:type="dxa"/>
            <w:tcBorders>
              <w:top w:val="single" w:color="DCDDDE" w:sz="4" w:space="0"/>
              <w:bottom w:val="single" w:color="DCDDDE" w:sz="4" w:space="0"/>
            </w:tcBorders>
          </w:tcPr>
          <w:p w:rsidR="00C31389" w:rsidRDefault="00561FBD" w14:paraId="1571087C" w14:textId="77777777">
            <w:pPr>
              <w:pStyle w:val="TableParagraph"/>
              <w:spacing w:before="39"/>
              <w:ind w:left="122" w:right="375"/>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2C5F437B" w14:textId="77777777">
            <w:pPr>
              <w:pStyle w:val="TableParagraph"/>
              <w:spacing w:before="138"/>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5DACA122" w14:textId="77777777">
            <w:pPr>
              <w:pStyle w:val="TableParagraph"/>
              <w:spacing w:before="138"/>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42AE7692" w14:textId="77777777">
            <w:pPr>
              <w:pStyle w:val="TableParagraph"/>
              <w:spacing w:before="138"/>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A079FB2" w14:textId="77777777">
            <w:pPr>
              <w:pStyle w:val="TableParagraph"/>
              <w:spacing w:before="138"/>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18655A4" w14:textId="77777777">
            <w:pPr>
              <w:pStyle w:val="TableParagraph"/>
              <w:spacing w:before="138"/>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9905696" w14:textId="77777777">
            <w:pPr>
              <w:pStyle w:val="TableParagraph"/>
              <w:spacing w:before="138"/>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21568273" w14:textId="77777777">
            <w:pPr>
              <w:pStyle w:val="TableParagraph"/>
              <w:spacing w:before="138"/>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ED733F9" w14:textId="77777777">
            <w:pPr>
              <w:pStyle w:val="TableParagraph"/>
              <w:spacing w:before="138"/>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0F181CA" w14:textId="77777777">
            <w:pPr>
              <w:pStyle w:val="TableParagraph"/>
              <w:spacing w:before="138"/>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C0D1445" w14:textId="77777777">
            <w:pPr>
              <w:pStyle w:val="TableParagraph"/>
              <w:spacing w:before="138"/>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1CCF9EDE" w14:textId="77777777">
            <w:pPr>
              <w:pStyle w:val="TableParagraph"/>
              <w:spacing w:before="138"/>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640E719B" w14:textId="77777777">
            <w:pPr>
              <w:pStyle w:val="TableParagraph"/>
              <w:spacing w:before="138"/>
              <w:ind w:right="116"/>
              <w:jc w:val="right"/>
              <w:rPr>
                <w:sz w:val="17"/>
              </w:rPr>
            </w:pPr>
            <w:r>
              <w:rPr>
                <w:spacing w:val="-5"/>
                <w:sz w:val="17"/>
              </w:rPr>
              <w:t>0.0</w:t>
            </w:r>
          </w:p>
        </w:tc>
      </w:tr>
      <w:tr w:rsidR="00C31389" w14:paraId="38ECC42E" w14:textId="77777777">
        <w:trPr>
          <w:trHeight w:val="472"/>
        </w:trPr>
        <w:tc>
          <w:tcPr>
            <w:tcW w:w="1507" w:type="dxa"/>
            <w:tcBorders>
              <w:top w:val="single" w:color="DCDDDE" w:sz="4" w:space="0"/>
              <w:bottom w:val="single" w:color="545658" w:sz="8" w:space="0"/>
            </w:tcBorders>
          </w:tcPr>
          <w:p w:rsidR="00C31389" w:rsidRDefault="00561FBD" w14:paraId="59FD9F92" w14:textId="77777777">
            <w:pPr>
              <w:pStyle w:val="TableParagraph"/>
              <w:ind w:left="122" w:right="280"/>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71DF86F1" w14:textId="77777777">
            <w:pPr>
              <w:pStyle w:val="TableParagraph"/>
              <w:spacing w:before="139"/>
              <w:ind w:right="192"/>
              <w:jc w:val="right"/>
              <w:rPr>
                <w:sz w:val="17"/>
              </w:rPr>
            </w:pPr>
            <w:r>
              <w:rPr>
                <w:spacing w:val="-5"/>
                <w:sz w:val="17"/>
              </w:rPr>
              <w:t>0.0</w:t>
            </w:r>
          </w:p>
        </w:tc>
        <w:tc>
          <w:tcPr>
            <w:tcW w:w="712" w:type="dxa"/>
            <w:tcBorders>
              <w:top w:val="single" w:color="DCDDDE" w:sz="4" w:space="0"/>
              <w:bottom w:val="single" w:color="545658" w:sz="8" w:space="0"/>
            </w:tcBorders>
          </w:tcPr>
          <w:p w:rsidR="00C31389" w:rsidRDefault="00561FBD" w14:paraId="2748C2C3" w14:textId="77777777">
            <w:pPr>
              <w:pStyle w:val="TableParagraph"/>
              <w:spacing w:before="139"/>
              <w:ind w:right="138"/>
              <w:jc w:val="right"/>
              <w:rPr>
                <w:sz w:val="17"/>
              </w:rPr>
            </w:pPr>
            <w:r>
              <w:rPr>
                <w:spacing w:val="-5"/>
                <w:sz w:val="17"/>
              </w:rPr>
              <w:t>0.0</w:t>
            </w:r>
          </w:p>
        </w:tc>
        <w:tc>
          <w:tcPr>
            <w:tcW w:w="644" w:type="dxa"/>
            <w:tcBorders>
              <w:top w:val="single" w:color="DCDDDE" w:sz="4" w:space="0"/>
              <w:bottom w:val="single" w:color="545658" w:sz="8" w:space="0"/>
            </w:tcBorders>
          </w:tcPr>
          <w:p w:rsidR="00C31389" w:rsidRDefault="00561FBD" w14:paraId="2D648C61" w14:textId="77777777">
            <w:pPr>
              <w:pStyle w:val="TableParagraph"/>
              <w:spacing w:before="139"/>
              <w:ind w:right="125"/>
              <w:jc w:val="right"/>
              <w:rPr>
                <w:sz w:val="17"/>
              </w:rPr>
            </w:pPr>
            <w:r>
              <w:rPr>
                <w:spacing w:val="-5"/>
                <w:sz w:val="17"/>
              </w:rPr>
              <w:t>0.0</w:t>
            </w:r>
          </w:p>
        </w:tc>
        <w:tc>
          <w:tcPr>
            <w:tcW w:w="631" w:type="dxa"/>
            <w:tcBorders>
              <w:top w:val="single" w:color="DCDDDE" w:sz="4" w:space="0"/>
              <w:bottom w:val="single" w:color="545658" w:sz="8" w:space="0"/>
            </w:tcBorders>
          </w:tcPr>
          <w:p w:rsidR="00C31389" w:rsidRDefault="00561FBD" w14:paraId="056A4167" w14:textId="77777777">
            <w:pPr>
              <w:pStyle w:val="TableParagraph"/>
              <w:spacing w:before="139"/>
              <w:ind w:right="126"/>
              <w:jc w:val="right"/>
              <w:rPr>
                <w:sz w:val="17"/>
              </w:rPr>
            </w:pPr>
            <w:r>
              <w:rPr>
                <w:spacing w:val="-5"/>
                <w:sz w:val="17"/>
              </w:rPr>
              <w:t>0.0</w:t>
            </w:r>
          </w:p>
        </w:tc>
        <w:tc>
          <w:tcPr>
            <w:tcW w:w="631" w:type="dxa"/>
            <w:tcBorders>
              <w:top w:val="single" w:color="DCDDDE" w:sz="4" w:space="0"/>
              <w:bottom w:val="single" w:color="545658" w:sz="8" w:space="0"/>
            </w:tcBorders>
          </w:tcPr>
          <w:p w:rsidR="00C31389" w:rsidRDefault="00561FBD" w14:paraId="585BCFED" w14:textId="77777777">
            <w:pPr>
              <w:pStyle w:val="TableParagraph"/>
              <w:spacing w:before="139"/>
              <w:ind w:right="127"/>
              <w:jc w:val="right"/>
              <w:rPr>
                <w:sz w:val="17"/>
              </w:rPr>
            </w:pPr>
            <w:r>
              <w:rPr>
                <w:spacing w:val="-5"/>
                <w:sz w:val="17"/>
              </w:rPr>
              <w:t>0.0</w:t>
            </w:r>
          </w:p>
        </w:tc>
        <w:tc>
          <w:tcPr>
            <w:tcW w:w="631" w:type="dxa"/>
            <w:tcBorders>
              <w:top w:val="single" w:color="DCDDDE" w:sz="4" w:space="0"/>
              <w:bottom w:val="single" w:color="545658" w:sz="8" w:space="0"/>
            </w:tcBorders>
          </w:tcPr>
          <w:p w:rsidR="00C31389" w:rsidRDefault="00561FBD" w14:paraId="5544AA30" w14:textId="77777777">
            <w:pPr>
              <w:pStyle w:val="TableParagraph"/>
              <w:spacing w:before="139"/>
              <w:ind w:left="248" w:right="115"/>
              <w:jc w:val="center"/>
              <w:rPr>
                <w:sz w:val="17"/>
              </w:rPr>
            </w:pPr>
            <w:r>
              <w:rPr>
                <w:spacing w:val="-5"/>
                <w:sz w:val="17"/>
              </w:rPr>
              <w:t>0.0</w:t>
            </w:r>
          </w:p>
        </w:tc>
        <w:tc>
          <w:tcPr>
            <w:tcW w:w="631" w:type="dxa"/>
            <w:tcBorders>
              <w:top w:val="single" w:color="DCDDDE" w:sz="4" w:space="0"/>
              <w:bottom w:val="single" w:color="545658" w:sz="8" w:space="0"/>
            </w:tcBorders>
          </w:tcPr>
          <w:p w:rsidR="00C31389" w:rsidRDefault="00561FBD" w14:paraId="4641CD47" w14:textId="77777777">
            <w:pPr>
              <w:pStyle w:val="TableParagraph"/>
              <w:spacing w:before="139"/>
              <w:ind w:right="129"/>
              <w:jc w:val="right"/>
              <w:rPr>
                <w:sz w:val="17"/>
              </w:rPr>
            </w:pPr>
            <w:r>
              <w:rPr>
                <w:spacing w:val="-5"/>
                <w:sz w:val="17"/>
              </w:rPr>
              <w:t>0.0</w:t>
            </w:r>
          </w:p>
        </w:tc>
        <w:tc>
          <w:tcPr>
            <w:tcW w:w="631" w:type="dxa"/>
            <w:tcBorders>
              <w:top w:val="single" w:color="DCDDDE" w:sz="4" w:space="0"/>
              <w:bottom w:val="single" w:color="545658" w:sz="8" w:space="0"/>
            </w:tcBorders>
          </w:tcPr>
          <w:p w:rsidR="00C31389" w:rsidRDefault="00561FBD" w14:paraId="656CEE76" w14:textId="77777777">
            <w:pPr>
              <w:pStyle w:val="TableParagraph"/>
              <w:spacing w:before="139"/>
              <w:ind w:right="130"/>
              <w:jc w:val="right"/>
              <w:rPr>
                <w:sz w:val="17"/>
              </w:rPr>
            </w:pPr>
            <w:r>
              <w:rPr>
                <w:spacing w:val="-5"/>
                <w:sz w:val="17"/>
              </w:rPr>
              <w:t>0.0</w:t>
            </w:r>
          </w:p>
        </w:tc>
        <w:tc>
          <w:tcPr>
            <w:tcW w:w="631" w:type="dxa"/>
            <w:tcBorders>
              <w:top w:val="single" w:color="DCDDDE" w:sz="4" w:space="0"/>
              <w:bottom w:val="single" w:color="545658" w:sz="8" w:space="0"/>
            </w:tcBorders>
          </w:tcPr>
          <w:p w:rsidR="00C31389" w:rsidRDefault="00561FBD" w14:paraId="1F05249F" w14:textId="77777777">
            <w:pPr>
              <w:pStyle w:val="TableParagraph"/>
              <w:spacing w:before="139"/>
              <w:ind w:right="131"/>
              <w:jc w:val="right"/>
              <w:rPr>
                <w:sz w:val="17"/>
              </w:rPr>
            </w:pPr>
            <w:r>
              <w:rPr>
                <w:spacing w:val="-5"/>
                <w:sz w:val="17"/>
              </w:rPr>
              <w:t>0.0</w:t>
            </w:r>
          </w:p>
        </w:tc>
        <w:tc>
          <w:tcPr>
            <w:tcW w:w="631" w:type="dxa"/>
            <w:tcBorders>
              <w:top w:val="single" w:color="DCDDDE" w:sz="4" w:space="0"/>
              <w:bottom w:val="single" w:color="545658" w:sz="8" w:space="0"/>
            </w:tcBorders>
          </w:tcPr>
          <w:p w:rsidR="00C31389" w:rsidRDefault="00561FBD" w14:paraId="235AB5FD" w14:textId="77777777">
            <w:pPr>
              <w:pStyle w:val="TableParagraph"/>
              <w:spacing w:before="139"/>
              <w:ind w:left="241" w:right="116"/>
              <w:jc w:val="center"/>
              <w:rPr>
                <w:sz w:val="17"/>
              </w:rPr>
            </w:pPr>
            <w:r>
              <w:rPr>
                <w:spacing w:val="-5"/>
                <w:sz w:val="17"/>
              </w:rPr>
              <w:t>0.0</w:t>
            </w:r>
          </w:p>
        </w:tc>
        <w:tc>
          <w:tcPr>
            <w:tcW w:w="631" w:type="dxa"/>
            <w:tcBorders>
              <w:top w:val="single" w:color="DCDDDE" w:sz="4" w:space="0"/>
              <w:bottom w:val="single" w:color="545658" w:sz="8" w:space="0"/>
            </w:tcBorders>
          </w:tcPr>
          <w:p w:rsidR="00C31389" w:rsidRDefault="00561FBD" w14:paraId="6A0476A9" w14:textId="77777777">
            <w:pPr>
              <w:pStyle w:val="TableParagraph"/>
              <w:spacing w:before="139"/>
              <w:ind w:right="133"/>
              <w:jc w:val="right"/>
              <w:rPr>
                <w:sz w:val="17"/>
              </w:rPr>
            </w:pPr>
            <w:r>
              <w:rPr>
                <w:spacing w:val="-5"/>
                <w:sz w:val="17"/>
              </w:rPr>
              <w:t>0.0</w:t>
            </w:r>
          </w:p>
        </w:tc>
        <w:tc>
          <w:tcPr>
            <w:tcW w:w="613" w:type="dxa"/>
            <w:tcBorders>
              <w:top w:val="single" w:color="DCDDDE" w:sz="4" w:space="0"/>
              <w:bottom w:val="single" w:color="545658" w:sz="8" w:space="0"/>
            </w:tcBorders>
          </w:tcPr>
          <w:p w:rsidR="00C31389" w:rsidRDefault="00561FBD" w14:paraId="484923BC" w14:textId="77777777">
            <w:pPr>
              <w:pStyle w:val="TableParagraph"/>
              <w:spacing w:before="139"/>
              <w:ind w:right="116"/>
              <w:jc w:val="right"/>
              <w:rPr>
                <w:sz w:val="17"/>
              </w:rPr>
            </w:pPr>
            <w:r>
              <w:rPr>
                <w:spacing w:val="-5"/>
                <w:sz w:val="17"/>
              </w:rPr>
              <w:t>0.0</w:t>
            </w:r>
          </w:p>
        </w:tc>
      </w:tr>
    </w:tbl>
    <w:p w:rsidR="00C31389" w:rsidRDefault="00561FBD" w14:paraId="6E2EED3A" w14:textId="77777777">
      <w:pPr>
        <w:spacing w:before="81"/>
        <w:ind w:left="220"/>
        <w:rPr>
          <w:i/>
          <w:sz w:val="18"/>
        </w:rPr>
      </w:pPr>
      <w:r>
        <w:rPr>
          <w:i/>
          <w:sz w:val="18"/>
        </w:rPr>
        <w:t>Source:</w:t>
      </w:r>
      <w:r>
        <w:rPr>
          <w:i/>
          <w:spacing w:val="-4"/>
          <w:sz w:val="18"/>
        </w:rPr>
        <w:t xml:space="preserve"> </w:t>
      </w:r>
      <w:r>
        <w:rPr>
          <w:i/>
          <w:spacing w:val="-2"/>
          <w:sz w:val="18"/>
        </w:rPr>
        <w:t>Guidehouse</w:t>
      </w:r>
    </w:p>
    <w:p w:rsidR="00C31389" w:rsidRDefault="00C31389" w14:paraId="194FC614" w14:textId="77777777">
      <w:pPr>
        <w:pStyle w:val="BodyText"/>
        <w:spacing w:before="10"/>
        <w:rPr>
          <w:i/>
          <w:sz w:val="20"/>
        </w:rPr>
      </w:pPr>
    </w:p>
    <w:p w:rsidR="00C31389" w:rsidRDefault="00561FBD" w14:paraId="246EB86C" w14:textId="77777777">
      <w:pPr>
        <w:pStyle w:val="ListParagraph"/>
        <w:numPr>
          <w:ilvl w:val="2"/>
          <w:numId w:val="4"/>
        </w:numPr>
        <w:tabs>
          <w:tab w:val="left" w:pos="936"/>
        </w:tabs>
        <w:ind w:left="936" w:hanging="716"/>
        <w:rPr>
          <w:b/>
          <w:sz w:val="24"/>
        </w:rPr>
      </w:pPr>
      <w:bookmarkStart w:name="J.2.3_SCG" w:id="699"/>
      <w:bookmarkEnd w:id="699"/>
      <w:r>
        <w:rPr>
          <w:b/>
          <w:spacing w:val="-5"/>
          <w:sz w:val="24"/>
        </w:rPr>
        <w:t>SCG</w:t>
      </w:r>
    </w:p>
    <w:p w:rsidR="00C31389" w:rsidRDefault="00C31389" w14:paraId="46A5C1D4" w14:textId="77777777">
      <w:pPr>
        <w:pStyle w:val="BodyText"/>
        <w:spacing w:before="9"/>
        <w:rPr>
          <w:b/>
          <w:sz w:val="12"/>
        </w:rPr>
      </w:pPr>
    </w:p>
    <w:p w:rsidR="00C31389" w:rsidRDefault="00561FBD" w14:paraId="6009BD80" w14:textId="77777777">
      <w:pPr>
        <w:pStyle w:val="Heading7"/>
        <w:spacing w:before="93"/>
        <w:ind w:left="1979" w:right="1961"/>
        <w:jc w:val="center"/>
      </w:pPr>
      <w:bookmarkStart w:name="_bookmark534" w:id="700"/>
      <w:bookmarkEnd w:id="700"/>
      <w:r>
        <w:t>Table</w:t>
      </w:r>
      <w:r>
        <w:rPr>
          <w:spacing w:val="-7"/>
        </w:rPr>
        <w:t xml:space="preserve"> </w:t>
      </w:r>
      <w:r>
        <w:t>J-8.</w:t>
      </w:r>
      <w:r>
        <w:rPr>
          <w:spacing w:val="-6"/>
        </w:rPr>
        <w:t xml:space="preserve"> </w:t>
      </w:r>
      <w:r>
        <w:t>SCG</w:t>
      </w:r>
      <w:r>
        <w:rPr>
          <w:spacing w:val="-6"/>
        </w:rPr>
        <w:t xml:space="preserve"> </w:t>
      </w:r>
      <w:r>
        <w:t>Gas</w:t>
      </w:r>
      <w:r>
        <w:rPr>
          <w:spacing w:val="-6"/>
        </w:rPr>
        <w:t xml:space="preserve"> </w:t>
      </w:r>
      <w:r>
        <w:t>Savings</w:t>
      </w:r>
      <w:r>
        <w:rPr>
          <w:spacing w:val="-6"/>
        </w:rPr>
        <w:t xml:space="preserve"> </w:t>
      </w:r>
      <w:r>
        <w:rPr>
          <w:spacing w:val="-2"/>
        </w:rPr>
        <w:t>(MMtherm/year)</w:t>
      </w:r>
    </w:p>
    <w:p w:rsidR="00C31389" w:rsidRDefault="00C31389" w14:paraId="70B7CF62" w14:textId="77777777">
      <w:pPr>
        <w:pStyle w:val="BodyText"/>
        <w:rPr>
          <w:b/>
          <w:sz w:val="10"/>
        </w:rPr>
      </w:pPr>
    </w:p>
    <w:tbl>
      <w:tblPr>
        <w:tblW w:w="0" w:type="auto"/>
        <w:tblInd w:w="213" w:type="dxa"/>
        <w:tblLayout w:type="fixed"/>
        <w:tblCellMar>
          <w:left w:w="0" w:type="dxa"/>
          <w:right w:w="0" w:type="dxa"/>
        </w:tblCellMar>
        <w:tblLook w:val="01E0" w:firstRow="1" w:lastRow="1" w:firstColumn="1" w:lastColumn="1" w:noHBand="0" w:noVBand="0"/>
      </w:tblPr>
      <w:tblGrid>
        <w:gridCol w:w="1186"/>
        <w:gridCol w:w="1182"/>
        <w:gridCol w:w="711"/>
        <w:gridCol w:w="643"/>
        <w:gridCol w:w="630"/>
        <w:gridCol w:w="630"/>
        <w:gridCol w:w="630"/>
        <w:gridCol w:w="630"/>
        <w:gridCol w:w="630"/>
        <w:gridCol w:w="630"/>
        <w:gridCol w:w="630"/>
        <w:gridCol w:w="630"/>
        <w:gridCol w:w="612"/>
      </w:tblGrid>
      <w:tr w:rsidR="00C31389" w14:paraId="67F43C31" w14:textId="77777777">
        <w:trPr>
          <w:trHeight w:val="305"/>
        </w:trPr>
        <w:tc>
          <w:tcPr>
            <w:tcW w:w="1186" w:type="dxa"/>
            <w:shd w:val="clear" w:color="auto" w:fill="92D400"/>
          </w:tcPr>
          <w:p w:rsidR="00C31389" w:rsidRDefault="00561FBD" w14:paraId="569BD46B" w14:textId="77777777">
            <w:pPr>
              <w:pStyle w:val="TableParagraph"/>
              <w:spacing w:before="41"/>
              <w:ind w:left="122"/>
              <w:rPr>
                <w:b/>
                <w:sz w:val="17"/>
              </w:rPr>
            </w:pPr>
            <w:r>
              <w:rPr>
                <w:b/>
                <w:spacing w:val="-4"/>
                <w:sz w:val="17"/>
              </w:rPr>
              <w:t>Year</w:t>
            </w:r>
          </w:p>
        </w:tc>
        <w:tc>
          <w:tcPr>
            <w:tcW w:w="1182" w:type="dxa"/>
            <w:shd w:val="clear" w:color="auto" w:fill="92D400"/>
          </w:tcPr>
          <w:p w:rsidR="00C31389" w:rsidRDefault="00561FBD" w14:paraId="3330E36A" w14:textId="77777777">
            <w:pPr>
              <w:pStyle w:val="TableParagraph"/>
              <w:spacing w:before="41"/>
              <w:ind w:right="191"/>
              <w:jc w:val="right"/>
              <w:rPr>
                <w:b/>
                <w:sz w:val="17"/>
              </w:rPr>
            </w:pPr>
            <w:r>
              <w:rPr>
                <w:b/>
                <w:spacing w:val="-4"/>
                <w:sz w:val="17"/>
              </w:rPr>
              <w:t>2024</w:t>
            </w:r>
          </w:p>
        </w:tc>
        <w:tc>
          <w:tcPr>
            <w:tcW w:w="711" w:type="dxa"/>
            <w:shd w:val="clear" w:color="auto" w:fill="92D400"/>
          </w:tcPr>
          <w:p w:rsidR="00C31389" w:rsidRDefault="00561FBD" w14:paraId="75912B7A" w14:textId="77777777">
            <w:pPr>
              <w:pStyle w:val="TableParagraph"/>
              <w:spacing w:before="41"/>
              <w:ind w:right="136"/>
              <w:jc w:val="right"/>
              <w:rPr>
                <w:b/>
                <w:sz w:val="17"/>
              </w:rPr>
            </w:pPr>
            <w:r>
              <w:rPr>
                <w:b/>
                <w:spacing w:val="-4"/>
                <w:sz w:val="17"/>
              </w:rPr>
              <w:t>2025</w:t>
            </w:r>
          </w:p>
        </w:tc>
        <w:tc>
          <w:tcPr>
            <w:tcW w:w="643" w:type="dxa"/>
            <w:shd w:val="clear" w:color="auto" w:fill="92D400"/>
          </w:tcPr>
          <w:p w:rsidR="00C31389" w:rsidRDefault="00561FBD" w14:paraId="5D3DDC95" w14:textId="77777777">
            <w:pPr>
              <w:pStyle w:val="TableParagraph"/>
              <w:spacing w:before="41"/>
              <w:ind w:right="122"/>
              <w:jc w:val="right"/>
              <w:rPr>
                <w:b/>
                <w:sz w:val="17"/>
              </w:rPr>
            </w:pPr>
            <w:r>
              <w:rPr>
                <w:b/>
                <w:spacing w:val="-4"/>
                <w:sz w:val="17"/>
              </w:rPr>
              <w:t>2026</w:t>
            </w:r>
          </w:p>
        </w:tc>
        <w:tc>
          <w:tcPr>
            <w:tcW w:w="630" w:type="dxa"/>
            <w:shd w:val="clear" w:color="auto" w:fill="92D400"/>
          </w:tcPr>
          <w:p w:rsidR="00C31389" w:rsidRDefault="00561FBD" w14:paraId="2944244F" w14:textId="77777777">
            <w:pPr>
              <w:pStyle w:val="TableParagraph"/>
              <w:spacing w:before="41"/>
              <w:ind w:right="122"/>
              <w:jc w:val="right"/>
              <w:rPr>
                <w:b/>
                <w:sz w:val="17"/>
              </w:rPr>
            </w:pPr>
            <w:r>
              <w:rPr>
                <w:b/>
                <w:spacing w:val="-4"/>
                <w:sz w:val="17"/>
              </w:rPr>
              <w:t>2027</w:t>
            </w:r>
          </w:p>
        </w:tc>
        <w:tc>
          <w:tcPr>
            <w:tcW w:w="630" w:type="dxa"/>
            <w:shd w:val="clear" w:color="auto" w:fill="92D400"/>
          </w:tcPr>
          <w:p w:rsidR="00C31389" w:rsidRDefault="00561FBD" w14:paraId="3631BEEB" w14:textId="77777777">
            <w:pPr>
              <w:pStyle w:val="TableParagraph"/>
              <w:spacing w:before="41"/>
              <w:ind w:right="122"/>
              <w:jc w:val="right"/>
              <w:rPr>
                <w:b/>
                <w:sz w:val="17"/>
              </w:rPr>
            </w:pPr>
            <w:r>
              <w:rPr>
                <w:b/>
                <w:spacing w:val="-4"/>
                <w:sz w:val="17"/>
              </w:rPr>
              <w:t>2028</w:t>
            </w:r>
          </w:p>
        </w:tc>
        <w:tc>
          <w:tcPr>
            <w:tcW w:w="630" w:type="dxa"/>
            <w:shd w:val="clear" w:color="auto" w:fill="92D400"/>
          </w:tcPr>
          <w:p w:rsidR="00C31389" w:rsidRDefault="00561FBD" w14:paraId="2D761D81" w14:textId="77777777">
            <w:pPr>
              <w:pStyle w:val="TableParagraph"/>
              <w:spacing w:before="41"/>
              <w:ind w:left="99" w:right="98"/>
              <w:jc w:val="center"/>
              <w:rPr>
                <w:b/>
                <w:sz w:val="17"/>
              </w:rPr>
            </w:pPr>
            <w:r>
              <w:rPr>
                <w:b/>
                <w:spacing w:val="-4"/>
                <w:sz w:val="17"/>
              </w:rPr>
              <w:t>2029</w:t>
            </w:r>
          </w:p>
        </w:tc>
        <w:tc>
          <w:tcPr>
            <w:tcW w:w="630" w:type="dxa"/>
            <w:shd w:val="clear" w:color="auto" w:fill="92D400"/>
          </w:tcPr>
          <w:p w:rsidR="00C31389" w:rsidRDefault="00561FBD" w14:paraId="2756B96D" w14:textId="77777777">
            <w:pPr>
              <w:pStyle w:val="TableParagraph"/>
              <w:spacing w:before="41"/>
              <w:ind w:left="99" w:right="98"/>
              <w:jc w:val="center"/>
              <w:rPr>
                <w:b/>
                <w:sz w:val="17"/>
              </w:rPr>
            </w:pPr>
            <w:r>
              <w:rPr>
                <w:b/>
                <w:spacing w:val="-4"/>
                <w:sz w:val="17"/>
              </w:rPr>
              <w:t>2030</w:t>
            </w:r>
          </w:p>
        </w:tc>
        <w:tc>
          <w:tcPr>
            <w:tcW w:w="630" w:type="dxa"/>
            <w:shd w:val="clear" w:color="auto" w:fill="92D400"/>
          </w:tcPr>
          <w:p w:rsidR="00C31389" w:rsidRDefault="00561FBD" w14:paraId="45146317" w14:textId="77777777">
            <w:pPr>
              <w:pStyle w:val="TableParagraph"/>
              <w:spacing w:before="41"/>
              <w:ind w:right="122"/>
              <w:jc w:val="right"/>
              <w:rPr>
                <w:b/>
                <w:sz w:val="17"/>
              </w:rPr>
            </w:pPr>
            <w:r>
              <w:rPr>
                <w:b/>
                <w:spacing w:val="-4"/>
                <w:sz w:val="17"/>
              </w:rPr>
              <w:t>2031</w:t>
            </w:r>
          </w:p>
        </w:tc>
        <w:tc>
          <w:tcPr>
            <w:tcW w:w="630" w:type="dxa"/>
            <w:shd w:val="clear" w:color="auto" w:fill="92D400"/>
          </w:tcPr>
          <w:p w:rsidR="00C31389" w:rsidRDefault="00561FBD" w14:paraId="3A2A30B0" w14:textId="77777777">
            <w:pPr>
              <w:pStyle w:val="TableParagraph"/>
              <w:spacing w:before="41"/>
              <w:ind w:right="122"/>
              <w:jc w:val="right"/>
              <w:rPr>
                <w:b/>
                <w:sz w:val="17"/>
              </w:rPr>
            </w:pPr>
            <w:r>
              <w:rPr>
                <w:b/>
                <w:spacing w:val="-4"/>
                <w:sz w:val="17"/>
              </w:rPr>
              <w:t>2032</w:t>
            </w:r>
          </w:p>
        </w:tc>
        <w:tc>
          <w:tcPr>
            <w:tcW w:w="630" w:type="dxa"/>
            <w:shd w:val="clear" w:color="auto" w:fill="92D400"/>
          </w:tcPr>
          <w:p w:rsidR="00C31389" w:rsidRDefault="00561FBD" w14:paraId="7F9AA6C7" w14:textId="77777777">
            <w:pPr>
              <w:pStyle w:val="TableParagraph"/>
              <w:spacing w:before="41"/>
              <w:ind w:left="99" w:right="98"/>
              <w:jc w:val="center"/>
              <w:rPr>
                <w:b/>
                <w:sz w:val="17"/>
              </w:rPr>
            </w:pPr>
            <w:r>
              <w:rPr>
                <w:b/>
                <w:spacing w:val="-4"/>
                <w:sz w:val="17"/>
              </w:rPr>
              <w:t>2033</w:t>
            </w:r>
          </w:p>
        </w:tc>
        <w:tc>
          <w:tcPr>
            <w:tcW w:w="630" w:type="dxa"/>
            <w:shd w:val="clear" w:color="auto" w:fill="92D400"/>
          </w:tcPr>
          <w:p w:rsidR="00C31389" w:rsidRDefault="00561FBD" w14:paraId="6AFD0E23" w14:textId="77777777">
            <w:pPr>
              <w:pStyle w:val="TableParagraph"/>
              <w:spacing w:before="41"/>
              <w:ind w:right="122"/>
              <w:jc w:val="right"/>
              <w:rPr>
                <w:b/>
                <w:sz w:val="17"/>
              </w:rPr>
            </w:pPr>
            <w:r>
              <w:rPr>
                <w:b/>
                <w:spacing w:val="-4"/>
                <w:sz w:val="17"/>
              </w:rPr>
              <w:t>2034</w:t>
            </w:r>
          </w:p>
        </w:tc>
        <w:tc>
          <w:tcPr>
            <w:tcW w:w="612" w:type="dxa"/>
            <w:shd w:val="clear" w:color="auto" w:fill="92D400"/>
          </w:tcPr>
          <w:p w:rsidR="00C31389" w:rsidRDefault="00561FBD" w14:paraId="091439A6" w14:textId="77777777">
            <w:pPr>
              <w:pStyle w:val="TableParagraph"/>
              <w:spacing w:before="41"/>
              <w:ind w:right="104"/>
              <w:jc w:val="right"/>
              <w:rPr>
                <w:b/>
                <w:sz w:val="17"/>
              </w:rPr>
            </w:pPr>
            <w:r>
              <w:rPr>
                <w:b/>
                <w:spacing w:val="-4"/>
                <w:sz w:val="17"/>
              </w:rPr>
              <w:t>2035</w:t>
            </w:r>
          </w:p>
        </w:tc>
      </w:tr>
      <w:tr w:rsidR="00C31389" w14:paraId="255FDC47" w14:textId="77777777">
        <w:trPr>
          <w:trHeight w:val="274"/>
        </w:trPr>
        <w:tc>
          <w:tcPr>
            <w:tcW w:w="9374" w:type="dxa"/>
            <w:gridSpan w:val="13"/>
            <w:tcBorders>
              <w:bottom w:val="single" w:color="DCDDDE" w:sz="4" w:space="0"/>
            </w:tcBorders>
            <w:shd w:val="clear" w:color="auto" w:fill="BEBEBE"/>
          </w:tcPr>
          <w:p w:rsidR="00C31389" w:rsidRDefault="00561FBD" w14:paraId="1FB6080F"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6313908E" w14:textId="77777777">
        <w:trPr>
          <w:trHeight w:val="275"/>
        </w:trPr>
        <w:tc>
          <w:tcPr>
            <w:tcW w:w="1186" w:type="dxa"/>
            <w:tcBorders>
              <w:top w:val="single" w:color="DCDDDE" w:sz="4" w:space="0"/>
              <w:bottom w:val="single" w:color="DCDDDE" w:sz="4" w:space="0"/>
            </w:tcBorders>
          </w:tcPr>
          <w:p w:rsidR="00C31389" w:rsidRDefault="00561FBD" w14:paraId="69924570" w14:textId="77777777">
            <w:pPr>
              <w:pStyle w:val="TableParagraph"/>
              <w:spacing w:before="42"/>
              <w:ind w:left="122"/>
              <w:rPr>
                <w:sz w:val="17"/>
              </w:rPr>
            </w:pPr>
            <w:r>
              <w:rPr>
                <w:spacing w:val="-5"/>
                <w:sz w:val="17"/>
              </w:rPr>
              <w:t>EE</w:t>
            </w:r>
          </w:p>
        </w:tc>
        <w:tc>
          <w:tcPr>
            <w:tcW w:w="1182" w:type="dxa"/>
            <w:tcBorders>
              <w:top w:val="single" w:color="DCDDDE" w:sz="4" w:space="0"/>
              <w:bottom w:val="single" w:color="DCDDDE" w:sz="4" w:space="0"/>
            </w:tcBorders>
          </w:tcPr>
          <w:p w:rsidR="00C31389" w:rsidRDefault="00561FBD" w14:paraId="2B7EDBFD" w14:textId="77777777">
            <w:pPr>
              <w:pStyle w:val="TableParagraph"/>
              <w:spacing w:before="42"/>
              <w:ind w:right="192"/>
              <w:jc w:val="right"/>
              <w:rPr>
                <w:sz w:val="17"/>
              </w:rPr>
            </w:pPr>
            <w:r>
              <w:rPr>
                <w:spacing w:val="-4"/>
                <w:sz w:val="17"/>
              </w:rPr>
              <w:t>10.4</w:t>
            </w:r>
          </w:p>
        </w:tc>
        <w:tc>
          <w:tcPr>
            <w:tcW w:w="711" w:type="dxa"/>
            <w:tcBorders>
              <w:top w:val="single" w:color="DCDDDE" w:sz="4" w:space="0"/>
              <w:bottom w:val="single" w:color="DCDDDE" w:sz="4" w:space="0"/>
            </w:tcBorders>
          </w:tcPr>
          <w:p w:rsidR="00C31389" w:rsidRDefault="00561FBD" w14:paraId="3CCA4DE1" w14:textId="77777777">
            <w:pPr>
              <w:pStyle w:val="TableParagraph"/>
              <w:spacing w:before="42"/>
              <w:ind w:right="137"/>
              <w:jc w:val="right"/>
              <w:rPr>
                <w:sz w:val="17"/>
              </w:rPr>
            </w:pPr>
            <w:r>
              <w:rPr>
                <w:spacing w:val="-4"/>
                <w:sz w:val="17"/>
              </w:rPr>
              <w:t>11.0</w:t>
            </w:r>
          </w:p>
        </w:tc>
        <w:tc>
          <w:tcPr>
            <w:tcW w:w="643" w:type="dxa"/>
            <w:tcBorders>
              <w:top w:val="single" w:color="DCDDDE" w:sz="4" w:space="0"/>
              <w:bottom w:val="single" w:color="DCDDDE" w:sz="4" w:space="0"/>
            </w:tcBorders>
          </w:tcPr>
          <w:p w:rsidR="00C31389" w:rsidRDefault="00561FBD" w14:paraId="381A89D4" w14:textId="77777777">
            <w:pPr>
              <w:pStyle w:val="TableParagraph"/>
              <w:spacing w:before="42"/>
              <w:ind w:right="123"/>
              <w:jc w:val="right"/>
              <w:rPr>
                <w:sz w:val="17"/>
              </w:rPr>
            </w:pPr>
            <w:r>
              <w:rPr>
                <w:spacing w:val="-4"/>
                <w:sz w:val="17"/>
              </w:rPr>
              <w:t>11.3</w:t>
            </w:r>
          </w:p>
        </w:tc>
        <w:tc>
          <w:tcPr>
            <w:tcW w:w="630" w:type="dxa"/>
            <w:tcBorders>
              <w:top w:val="single" w:color="DCDDDE" w:sz="4" w:space="0"/>
              <w:bottom w:val="single" w:color="DCDDDE" w:sz="4" w:space="0"/>
            </w:tcBorders>
          </w:tcPr>
          <w:p w:rsidR="00C31389" w:rsidRDefault="00561FBD" w14:paraId="6D2662BA" w14:textId="77777777">
            <w:pPr>
              <w:pStyle w:val="TableParagraph"/>
              <w:spacing w:before="42"/>
              <w:ind w:right="123"/>
              <w:jc w:val="right"/>
              <w:rPr>
                <w:sz w:val="17"/>
              </w:rPr>
            </w:pPr>
            <w:r>
              <w:rPr>
                <w:spacing w:val="-4"/>
                <w:sz w:val="17"/>
              </w:rPr>
              <w:t>10.8</w:t>
            </w:r>
          </w:p>
        </w:tc>
        <w:tc>
          <w:tcPr>
            <w:tcW w:w="630" w:type="dxa"/>
            <w:tcBorders>
              <w:top w:val="single" w:color="DCDDDE" w:sz="4" w:space="0"/>
              <w:bottom w:val="single" w:color="DCDDDE" w:sz="4" w:space="0"/>
            </w:tcBorders>
          </w:tcPr>
          <w:p w:rsidR="00C31389" w:rsidRDefault="00561FBD" w14:paraId="74A67C2B" w14:textId="77777777">
            <w:pPr>
              <w:pStyle w:val="TableParagraph"/>
              <w:spacing w:before="42"/>
              <w:ind w:right="123"/>
              <w:jc w:val="right"/>
              <w:rPr>
                <w:sz w:val="17"/>
              </w:rPr>
            </w:pPr>
            <w:r>
              <w:rPr>
                <w:spacing w:val="-4"/>
                <w:sz w:val="17"/>
              </w:rPr>
              <w:t>10.4</w:t>
            </w:r>
          </w:p>
        </w:tc>
        <w:tc>
          <w:tcPr>
            <w:tcW w:w="630" w:type="dxa"/>
            <w:tcBorders>
              <w:top w:val="single" w:color="DCDDDE" w:sz="4" w:space="0"/>
              <w:bottom w:val="single" w:color="DCDDDE" w:sz="4" w:space="0"/>
            </w:tcBorders>
          </w:tcPr>
          <w:p w:rsidR="00C31389" w:rsidRDefault="00561FBD" w14:paraId="31F66E8A" w14:textId="77777777">
            <w:pPr>
              <w:pStyle w:val="TableParagraph"/>
              <w:spacing w:before="42"/>
              <w:ind w:left="240" w:right="98"/>
              <w:jc w:val="center"/>
              <w:rPr>
                <w:sz w:val="17"/>
              </w:rPr>
            </w:pPr>
            <w:r>
              <w:rPr>
                <w:spacing w:val="-5"/>
                <w:sz w:val="17"/>
              </w:rPr>
              <w:t>9.7</w:t>
            </w:r>
          </w:p>
        </w:tc>
        <w:tc>
          <w:tcPr>
            <w:tcW w:w="630" w:type="dxa"/>
            <w:tcBorders>
              <w:top w:val="single" w:color="DCDDDE" w:sz="4" w:space="0"/>
              <w:bottom w:val="single" w:color="DCDDDE" w:sz="4" w:space="0"/>
            </w:tcBorders>
          </w:tcPr>
          <w:p w:rsidR="00C31389" w:rsidRDefault="00561FBD" w14:paraId="55FB73C8" w14:textId="77777777">
            <w:pPr>
              <w:pStyle w:val="TableParagraph"/>
              <w:spacing w:before="42"/>
              <w:ind w:left="124" w:right="77"/>
              <w:jc w:val="center"/>
              <w:rPr>
                <w:sz w:val="17"/>
              </w:rPr>
            </w:pPr>
            <w:r>
              <w:rPr>
                <w:spacing w:val="-4"/>
                <w:sz w:val="17"/>
              </w:rPr>
              <w:t>10.8</w:t>
            </w:r>
          </w:p>
        </w:tc>
        <w:tc>
          <w:tcPr>
            <w:tcW w:w="630" w:type="dxa"/>
            <w:tcBorders>
              <w:top w:val="single" w:color="DCDDDE" w:sz="4" w:space="0"/>
              <w:bottom w:val="single" w:color="DCDDDE" w:sz="4" w:space="0"/>
            </w:tcBorders>
          </w:tcPr>
          <w:p w:rsidR="00C31389" w:rsidRDefault="00561FBD" w14:paraId="2A959CB8" w14:textId="77777777">
            <w:pPr>
              <w:pStyle w:val="TableParagraph"/>
              <w:spacing w:before="42"/>
              <w:ind w:right="124"/>
              <w:jc w:val="right"/>
              <w:rPr>
                <w:sz w:val="17"/>
              </w:rPr>
            </w:pPr>
            <w:r>
              <w:rPr>
                <w:spacing w:val="-4"/>
                <w:sz w:val="17"/>
              </w:rPr>
              <w:t>10.3</w:t>
            </w:r>
          </w:p>
        </w:tc>
        <w:tc>
          <w:tcPr>
            <w:tcW w:w="630" w:type="dxa"/>
            <w:tcBorders>
              <w:top w:val="single" w:color="DCDDDE" w:sz="4" w:space="0"/>
              <w:bottom w:val="single" w:color="DCDDDE" w:sz="4" w:space="0"/>
            </w:tcBorders>
          </w:tcPr>
          <w:p w:rsidR="00C31389" w:rsidRDefault="00561FBD" w14:paraId="48AA093F" w14:textId="77777777">
            <w:pPr>
              <w:pStyle w:val="TableParagraph"/>
              <w:spacing w:before="42"/>
              <w:ind w:right="124"/>
              <w:jc w:val="right"/>
              <w:rPr>
                <w:sz w:val="17"/>
              </w:rPr>
            </w:pPr>
            <w:r>
              <w:rPr>
                <w:spacing w:val="-4"/>
                <w:sz w:val="17"/>
              </w:rPr>
              <w:t>11.0</w:t>
            </w:r>
          </w:p>
        </w:tc>
        <w:tc>
          <w:tcPr>
            <w:tcW w:w="630" w:type="dxa"/>
            <w:tcBorders>
              <w:top w:val="single" w:color="DCDDDE" w:sz="4" w:space="0"/>
              <w:bottom w:val="single" w:color="DCDDDE" w:sz="4" w:space="0"/>
            </w:tcBorders>
          </w:tcPr>
          <w:p w:rsidR="00C31389" w:rsidRDefault="00561FBD" w14:paraId="3E319DE3" w14:textId="77777777">
            <w:pPr>
              <w:pStyle w:val="TableParagraph"/>
              <w:spacing w:before="42"/>
              <w:ind w:left="124" w:right="78"/>
              <w:jc w:val="center"/>
              <w:rPr>
                <w:sz w:val="17"/>
              </w:rPr>
            </w:pPr>
            <w:r>
              <w:rPr>
                <w:spacing w:val="-4"/>
                <w:sz w:val="17"/>
              </w:rPr>
              <w:t>10.7</w:t>
            </w:r>
          </w:p>
        </w:tc>
        <w:tc>
          <w:tcPr>
            <w:tcW w:w="630" w:type="dxa"/>
            <w:tcBorders>
              <w:top w:val="single" w:color="DCDDDE" w:sz="4" w:space="0"/>
              <w:bottom w:val="single" w:color="DCDDDE" w:sz="4" w:space="0"/>
            </w:tcBorders>
          </w:tcPr>
          <w:p w:rsidR="00C31389" w:rsidRDefault="00561FBD" w14:paraId="1082EBCE" w14:textId="77777777">
            <w:pPr>
              <w:pStyle w:val="TableParagraph"/>
              <w:spacing w:before="42"/>
              <w:ind w:right="124"/>
              <w:jc w:val="right"/>
              <w:rPr>
                <w:sz w:val="17"/>
              </w:rPr>
            </w:pPr>
            <w:r>
              <w:rPr>
                <w:spacing w:val="-4"/>
                <w:sz w:val="17"/>
              </w:rPr>
              <w:t>10.4</w:t>
            </w:r>
          </w:p>
        </w:tc>
        <w:tc>
          <w:tcPr>
            <w:tcW w:w="612" w:type="dxa"/>
            <w:tcBorders>
              <w:top w:val="single" w:color="DCDDDE" w:sz="4" w:space="0"/>
              <w:bottom w:val="single" w:color="DCDDDE" w:sz="4" w:space="0"/>
            </w:tcBorders>
          </w:tcPr>
          <w:p w:rsidR="00C31389" w:rsidRDefault="00561FBD" w14:paraId="099CE540" w14:textId="77777777">
            <w:pPr>
              <w:pStyle w:val="TableParagraph"/>
              <w:spacing w:before="42"/>
              <w:ind w:right="106"/>
              <w:jc w:val="right"/>
              <w:rPr>
                <w:sz w:val="17"/>
              </w:rPr>
            </w:pPr>
            <w:r>
              <w:rPr>
                <w:spacing w:val="-4"/>
                <w:sz w:val="17"/>
              </w:rPr>
              <w:t>10.1</w:t>
            </w:r>
          </w:p>
        </w:tc>
      </w:tr>
      <w:tr w:rsidR="00C31389" w14:paraId="153612A0" w14:textId="77777777">
        <w:trPr>
          <w:trHeight w:val="275"/>
        </w:trPr>
        <w:tc>
          <w:tcPr>
            <w:tcW w:w="1186" w:type="dxa"/>
            <w:tcBorders>
              <w:top w:val="single" w:color="DCDDDE" w:sz="4" w:space="0"/>
              <w:bottom w:val="single" w:color="DCDDDE" w:sz="4" w:space="0"/>
            </w:tcBorders>
          </w:tcPr>
          <w:p w:rsidR="00C31389" w:rsidRDefault="00561FBD" w14:paraId="009D7C4B" w14:textId="77777777">
            <w:pPr>
              <w:pStyle w:val="TableParagraph"/>
              <w:ind w:left="122"/>
              <w:rPr>
                <w:sz w:val="17"/>
              </w:rPr>
            </w:pPr>
            <w:r>
              <w:rPr>
                <w:spacing w:val="-5"/>
                <w:sz w:val="17"/>
              </w:rPr>
              <w:t>FS</w:t>
            </w:r>
          </w:p>
        </w:tc>
        <w:tc>
          <w:tcPr>
            <w:tcW w:w="1182" w:type="dxa"/>
            <w:tcBorders>
              <w:top w:val="single" w:color="DCDDDE" w:sz="4" w:space="0"/>
              <w:bottom w:val="single" w:color="DCDDDE" w:sz="4" w:space="0"/>
            </w:tcBorders>
          </w:tcPr>
          <w:p w:rsidR="00C31389" w:rsidRDefault="00561FBD" w14:paraId="34B60185" w14:textId="77777777">
            <w:pPr>
              <w:pStyle w:val="TableParagraph"/>
              <w:ind w:right="192"/>
              <w:jc w:val="right"/>
              <w:rPr>
                <w:sz w:val="17"/>
              </w:rPr>
            </w:pPr>
            <w:r>
              <w:rPr>
                <w:spacing w:val="-5"/>
                <w:sz w:val="17"/>
              </w:rPr>
              <w:t>0.0</w:t>
            </w:r>
          </w:p>
        </w:tc>
        <w:tc>
          <w:tcPr>
            <w:tcW w:w="711" w:type="dxa"/>
            <w:tcBorders>
              <w:top w:val="single" w:color="DCDDDE" w:sz="4" w:space="0"/>
              <w:bottom w:val="single" w:color="DCDDDE" w:sz="4" w:space="0"/>
            </w:tcBorders>
          </w:tcPr>
          <w:p w:rsidR="00C31389" w:rsidRDefault="00561FBD" w14:paraId="45650E9A" w14:textId="77777777">
            <w:pPr>
              <w:pStyle w:val="TableParagraph"/>
              <w:ind w:right="137"/>
              <w:jc w:val="right"/>
              <w:rPr>
                <w:sz w:val="17"/>
              </w:rPr>
            </w:pPr>
            <w:r>
              <w:rPr>
                <w:spacing w:val="-5"/>
                <w:sz w:val="17"/>
              </w:rPr>
              <w:t>0.0</w:t>
            </w:r>
          </w:p>
        </w:tc>
        <w:tc>
          <w:tcPr>
            <w:tcW w:w="643" w:type="dxa"/>
            <w:tcBorders>
              <w:top w:val="single" w:color="DCDDDE" w:sz="4" w:space="0"/>
              <w:bottom w:val="single" w:color="DCDDDE" w:sz="4" w:space="0"/>
            </w:tcBorders>
          </w:tcPr>
          <w:p w:rsidR="00C31389" w:rsidRDefault="00561FBD" w14:paraId="50EE13A2"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5873FC60"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74A5D67F"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1922CE5C" w14:textId="77777777">
            <w:pPr>
              <w:pStyle w:val="TableParagraph"/>
              <w:ind w:left="240" w:right="98"/>
              <w:jc w:val="center"/>
              <w:rPr>
                <w:sz w:val="17"/>
              </w:rPr>
            </w:pPr>
            <w:r>
              <w:rPr>
                <w:spacing w:val="-5"/>
                <w:sz w:val="17"/>
              </w:rPr>
              <w:t>0.0</w:t>
            </w:r>
          </w:p>
        </w:tc>
        <w:tc>
          <w:tcPr>
            <w:tcW w:w="630" w:type="dxa"/>
            <w:tcBorders>
              <w:top w:val="single" w:color="DCDDDE" w:sz="4" w:space="0"/>
              <w:bottom w:val="single" w:color="DCDDDE" w:sz="4" w:space="0"/>
            </w:tcBorders>
          </w:tcPr>
          <w:p w:rsidR="00C31389" w:rsidRDefault="00561FBD" w14:paraId="67535B96" w14:textId="77777777">
            <w:pPr>
              <w:pStyle w:val="TableParagraph"/>
              <w:ind w:left="240" w:right="98"/>
              <w:jc w:val="center"/>
              <w:rPr>
                <w:sz w:val="17"/>
              </w:rPr>
            </w:pPr>
            <w:r>
              <w:rPr>
                <w:spacing w:val="-5"/>
                <w:sz w:val="17"/>
              </w:rPr>
              <w:t>0.0</w:t>
            </w:r>
          </w:p>
        </w:tc>
        <w:tc>
          <w:tcPr>
            <w:tcW w:w="630" w:type="dxa"/>
            <w:tcBorders>
              <w:top w:val="single" w:color="DCDDDE" w:sz="4" w:space="0"/>
              <w:bottom w:val="single" w:color="DCDDDE" w:sz="4" w:space="0"/>
            </w:tcBorders>
          </w:tcPr>
          <w:p w:rsidR="00C31389" w:rsidRDefault="00561FBD" w14:paraId="03ED843B"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49F66CC7"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0DB7E19E" w14:textId="77777777">
            <w:pPr>
              <w:pStyle w:val="TableParagraph"/>
              <w:ind w:left="240" w:right="98"/>
              <w:jc w:val="center"/>
              <w:rPr>
                <w:sz w:val="17"/>
              </w:rPr>
            </w:pPr>
            <w:r>
              <w:rPr>
                <w:spacing w:val="-5"/>
                <w:sz w:val="17"/>
              </w:rPr>
              <w:t>0.0</w:t>
            </w:r>
          </w:p>
        </w:tc>
        <w:tc>
          <w:tcPr>
            <w:tcW w:w="630" w:type="dxa"/>
            <w:tcBorders>
              <w:top w:val="single" w:color="DCDDDE" w:sz="4" w:space="0"/>
              <w:bottom w:val="single" w:color="DCDDDE" w:sz="4" w:space="0"/>
            </w:tcBorders>
          </w:tcPr>
          <w:p w:rsidR="00C31389" w:rsidRDefault="00561FBD" w14:paraId="62571D46" w14:textId="77777777">
            <w:pPr>
              <w:pStyle w:val="TableParagraph"/>
              <w:ind w:right="123"/>
              <w:jc w:val="right"/>
              <w:rPr>
                <w:sz w:val="17"/>
              </w:rPr>
            </w:pPr>
            <w:r>
              <w:rPr>
                <w:spacing w:val="-5"/>
                <w:sz w:val="17"/>
              </w:rPr>
              <w:t>0.0</w:t>
            </w:r>
          </w:p>
        </w:tc>
        <w:tc>
          <w:tcPr>
            <w:tcW w:w="612" w:type="dxa"/>
            <w:tcBorders>
              <w:top w:val="single" w:color="DCDDDE" w:sz="4" w:space="0"/>
              <w:bottom w:val="single" w:color="DCDDDE" w:sz="4" w:space="0"/>
            </w:tcBorders>
          </w:tcPr>
          <w:p w:rsidR="00C31389" w:rsidRDefault="00561FBD" w14:paraId="430AED15" w14:textId="77777777">
            <w:pPr>
              <w:pStyle w:val="TableParagraph"/>
              <w:ind w:right="105"/>
              <w:jc w:val="right"/>
              <w:rPr>
                <w:sz w:val="17"/>
              </w:rPr>
            </w:pPr>
            <w:r>
              <w:rPr>
                <w:spacing w:val="-5"/>
                <w:sz w:val="17"/>
              </w:rPr>
              <w:t>0.0</w:t>
            </w:r>
          </w:p>
        </w:tc>
      </w:tr>
      <w:tr w:rsidR="00C31389" w14:paraId="53F2265A" w14:textId="77777777">
        <w:trPr>
          <w:trHeight w:val="275"/>
        </w:trPr>
        <w:tc>
          <w:tcPr>
            <w:tcW w:w="1186" w:type="dxa"/>
            <w:tcBorders>
              <w:top w:val="single" w:color="DCDDDE" w:sz="4" w:space="0"/>
              <w:bottom w:val="single" w:color="DCDDDE" w:sz="4" w:space="0"/>
            </w:tcBorders>
          </w:tcPr>
          <w:p w:rsidR="00C31389" w:rsidRDefault="00561FBD" w14:paraId="56754F5A" w14:textId="77777777">
            <w:pPr>
              <w:pStyle w:val="TableParagraph"/>
              <w:ind w:left="122"/>
              <w:rPr>
                <w:sz w:val="17"/>
              </w:rPr>
            </w:pPr>
            <w:r>
              <w:rPr>
                <w:spacing w:val="-4"/>
                <w:sz w:val="17"/>
              </w:rPr>
              <w:t>BROs</w:t>
            </w:r>
          </w:p>
        </w:tc>
        <w:tc>
          <w:tcPr>
            <w:tcW w:w="1182" w:type="dxa"/>
            <w:tcBorders>
              <w:top w:val="single" w:color="DCDDDE" w:sz="4" w:space="0"/>
              <w:bottom w:val="single" w:color="DCDDDE" w:sz="4" w:space="0"/>
            </w:tcBorders>
          </w:tcPr>
          <w:p w:rsidR="00C31389" w:rsidRDefault="00561FBD" w14:paraId="6D72179E" w14:textId="77777777">
            <w:pPr>
              <w:pStyle w:val="TableParagraph"/>
              <w:ind w:right="192"/>
              <w:jc w:val="right"/>
              <w:rPr>
                <w:sz w:val="17"/>
              </w:rPr>
            </w:pPr>
            <w:r>
              <w:rPr>
                <w:spacing w:val="-5"/>
                <w:sz w:val="17"/>
              </w:rPr>
              <w:t>7.9</w:t>
            </w:r>
          </w:p>
        </w:tc>
        <w:tc>
          <w:tcPr>
            <w:tcW w:w="711" w:type="dxa"/>
            <w:tcBorders>
              <w:top w:val="single" w:color="DCDDDE" w:sz="4" w:space="0"/>
              <w:bottom w:val="single" w:color="DCDDDE" w:sz="4" w:space="0"/>
            </w:tcBorders>
          </w:tcPr>
          <w:p w:rsidR="00C31389" w:rsidRDefault="00561FBD" w14:paraId="4D010621" w14:textId="77777777">
            <w:pPr>
              <w:pStyle w:val="TableParagraph"/>
              <w:ind w:right="137"/>
              <w:jc w:val="right"/>
              <w:rPr>
                <w:sz w:val="17"/>
              </w:rPr>
            </w:pPr>
            <w:r>
              <w:rPr>
                <w:spacing w:val="-5"/>
                <w:sz w:val="17"/>
              </w:rPr>
              <w:t>8.2</w:t>
            </w:r>
          </w:p>
        </w:tc>
        <w:tc>
          <w:tcPr>
            <w:tcW w:w="643" w:type="dxa"/>
            <w:tcBorders>
              <w:top w:val="single" w:color="DCDDDE" w:sz="4" w:space="0"/>
              <w:bottom w:val="single" w:color="DCDDDE" w:sz="4" w:space="0"/>
            </w:tcBorders>
          </w:tcPr>
          <w:p w:rsidR="00C31389" w:rsidRDefault="00561FBD" w14:paraId="3B54F209" w14:textId="77777777">
            <w:pPr>
              <w:pStyle w:val="TableParagraph"/>
              <w:ind w:right="123"/>
              <w:jc w:val="right"/>
              <w:rPr>
                <w:sz w:val="17"/>
              </w:rPr>
            </w:pPr>
            <w:r>
              <w:rPr>
                <w:spacing w:val="-5"/>
                <w:sz w:val="17"/>
              </w:rPr>
              <w:t>8.6</w:t>
            </w:r>
          </w:p>
        </w:tc>
        <w:tc>
          <w:tcPr>
            <w:tcW w:w="630" w:type="dxa"/>
            <w:tcBorders>
              <w:top w:val="single" w:color="DCDDDE" w:sz="4" w:space="0"/>
              <w:bottom w:val="single" w:color="DCDDDE" w:sz="4" w:space="0"/>
            </w:tcBorders>
          </w:tcPr>
          <w:p w:rsidR="00C31389" w:rsidRDefault="00561FBD" w14:paraId="44D61923" w14:textId="77777777">
            <w:pPr>
              <w:pStyle w:val="TableParagraph"/>
              <w:ind w:right="123"/>
              <w:jc w:val="right"/>
              <w:rPr>
                <w:sz w:val="17"/>
              </w:rPr>
            </w:pPr>
            <w:r>
              <w:rPr>
                <w:spacing w:val="-5"/>
                <w:sz w:val="17"/>
              </w:rPr>
              <w:t>8.9</w:t>
            </w:r>
          </w:p>
        </w:tc>
        <w:tc>
          <w:tcPr>
            <w:tcW w:w="630" w:type="dxa"/>
            <w:tcBorders>
              <w:top w:val="single" w:color="DCDDDE" w:sz="4" w:space="0"/>
              <w:bottom w:val="single" w:color="DCDDDE" w:sz="4" w:space="0"/>
            </w:tcBorders>
          </w:tcPr>
          <w:p w:rsidR="00C31389" w:rsidRDefault="00561FBD" w14:paraId="648F33B2" w14:textId="77777777">
            <w:pPr>
              <w:pStyle w:val="TableParagraph"/>
              <w:ind w:right="123"/>
              <w:jc w:val="right"/>
              <w:rPr>
                <w:sz w:val="17"/>
              </w:rPr>
            </w:pPr>
            <w:r>
              <w:rPr>
                <w:spacing w:val="-5"/>
                <w:sz w:val="17"/>
              </w:rPr>
              <w:t>9.3</w:t>
            </w:r>
          </w:p>
        </w:tc>
        <w:tc>
          <w:tcPr>
            <w:tcW w:w="630" w:type="dxa"/>
            <w:tcBorders>
              <w:top w:val="single" w:color="DCDDDE" w:sz="4" w:space="0"/>
              <w:bottom w:val="single" w:color="DCDDDE" w:sz="4" w:space="0"/>
            </w:tcBorders>
          </w:tcPr>
          <w:p w:rsidR="00C31389" w:rsidRDefault="00561FBD" w14:paraId="64BF27A7" w14:textId="77777777">
            <w:pPr>
              <w:pStyle w:val="TableParagraph"/>
              <w:ind w:left="240" w:right="98"/>
              <w:jc w:val="center"/>
              <w:rPr>
                <w:sz w:val="17"/>
              </w:rPr>
            </w:pPr>
            <w:r>
              <w:rPr>
                <w:spacing w:val="-5"/>
                <w:sz w:val="17"/>
              </w:rPr>
              <w:t>9.7</w:t>
            </w:r>
          </w:p>
        </w:tc>
        <w:tc>
          <w:tcPr>
            <w:tcW w:w="630" w:type="dxa"/>
            <w:tcBorders>
              <w:top w:val="single" w:color="DCDDDE" w:sz="4" w:space="0"/>
              <w:bottom w:val="single" w:color="DCDDDE" w:sz="4" w:space="0"/>
            </w:tcBorders>
          </w:tcPr>
          <w:p w:rsidR="00C31389" w:rsidRDefault="00561FBD" w14:paraId="14611267" w14:textId="77777777">
            <w:pPr>
              <w:pStyle w:val="TableParagraph"/>
              <w:ind w:left="124" w:right="77"/>
              <w:jc w:val="center"/>
              <w:rPr>
                <w:sz w:val="17"/>
              </w:rPr>
            </w:pPr>
            <w:r>
              <w:rPr>
                <w:spacing w:val="-4"/>
                <w:sz w:val="17"/>
              </w:rPr>
              <w:t>10.1</w:t>
            </w:r>
          </w:p>
        </w:tc>
        <w:tc>
          <w:tcPr>
            <w:tcW w:w="630" w:type="dxa"/>
            <w:tcBorders>
              <w:top w:val="single" w:color="DCDDDE" w:sz="4" w:space="0"/>
              <w:bottom w:val="single" w:color="DCDDDE" w:sz="4" w:space="0"/>
            </w:tcBorders>
          </w:tcPr>
          <w:p w:rsidR="00C31389" w:rsidRDefault="00561FBD" w14:paraId="6B0BC000" w14:textId="77777777">
            <w:pPr>
              <w:pStyle w:val="TableParagraph"/>
              <w:ind w:right="123"/>
              <w:jc w:val="right"/>
              <w:rPr>
                <w:sz w:val="17"/>
              </w:rPr>
            </w:pPr>
            <w:r>
              <w:rPr>
                <w:spacing w:val="-4"/>
                <w:sz w:val="17"/>
              </w:rPr>
              <w:t>10.6</w:t>
            </w:r>
          </w:p>
        </w:tc>
        <w:tc>
          <w:tcPr>
            <w:tcW w:w="630" w:type="dxa"/>
            <w:tcBorders>
              <w:top w:val="single" w:color="DCDDDE" w:sz="4" w:space="0"/>
              <w:bottom w:val="single" w:color="DCDDDE" w:sz="4" w:space="0"/>
            </w:tcBorders>
          </w:tcPr>
          <w:p w:rsidR="00C31389" w:rsidRDefault="00561FBD" w14:paraId="3CD19DE3" w14:textId="77777777">
            <w:pPr>
              <w:pStyle w:val="TableParagraph"/>
              <w:ind w:right="123"/>
              <w:jc w:val="right"/>
              <w:rPr>
                <w:sz w:val="17"/>
              </w:rPr>
            </w:pPr>
            <w:r>
              <w:rPr>
                <w:spacing w:val="-4"/>
                <w:sz w:val="17"/>
              </w:rPr>
              <w:t>11.1</w:t>
            </w:r>
          </w:p>
        </w:tc>
        <w:tc>
          <w:tcPr>
            <w:tcW w:w="630" w:type="dxa"/>
            <w:tcBorders>
              <w:top w:val="single" w:color="DCDDDE" w:sz="4" w:space="0"/>
              <w:bottom w:val="single" w:color="DCDDDE" w:sz="4" w:space="0"/>
            </w:tcBorders>
          </w:tcPr>
          <w:p w:rsidR="00C31389" w:rsidRDefault="00561FBD" w14:paraId="50A2D7DE" w14:textId="77777777">
            <w:pPr>
              <w:pStyle w:val="TableParagraph"/>
              <w:ind w:left="124" w:right="77"/>
              <w:jc w:val="center"/>
              <w:rPr>
                <w:sz w:val="17"/>
              </w:rPr>
            </w:pPr>
            <w:r>
              <w:rPr>
                <w:spacing w:val="-4"/>
                <w:sz w:val="17"/>
              </w:rPr>
              <w:t>11.6</w:t>
            </w:r>
          </w:p>
        </w:tc>
        <w:tc>
          <w:tcPr>
            <w:tcW w:w="630" w:type="dxa"/>
            <w:tcBorders>
              <w:top w:val="single" w:color="DCDDDE" w:sz="4" w:space="0"/>
              <w:bottom w:val="single" w:color="DCDDDE" w:sz="4" w:space="0"/>
            </w:tcBorders>
          </w:tcPr>
          <w:p w:rsidR="00C31389" w:rsidRDefault="00561FBD" w14:paraId="124047A7" w14:textId="77777777">
            <w:pPr>
              <w:pStyle w:val="TableParagraph"/>
              <w:ind w:right="123"/>
              <w:jc w:val="right"/>
              <w:rPr>
                <w:sz w:val="17"/>
              </w:rPr>
            </w:pPr>
            <w:r>
              <w:rPr>
                <w:spacing w:val="-4"/>
                <w:sz w:val="17"/>
              </w:rPr>
              <w:t>12.1</w:t>
            </w:r>
          </w:p>
        </w:tc>
        <w:tc>
          <w:tcPr>
            <w:tcW w:w="612" w:type="dxa"/>
            <w:tcBorders>
              <w:top w:val="single" w:color="DCDDDE" w:sz="4" w:space="0"/>
              <w:bottom w:val="single" w:color="DCDDDE" w:sz="4" w:space="0"/>
            </w:tcBorders>
          </w:tcPr>
          <w:p w:rsidR="00C31389" w:rsidRDefault="00561FBD" w14:paraId="470989A4" w14:textId="77777777">
            <w:pPr>
              <w:pStyle w:val="TableParagraph"/>
              <w:ind w:right="105"/>
              <w:jc w:val="right"/>
              <w:rPr>
                <w:sz w:val="17"/>
              </w:rPr>
            </w:pPr>
            <w:r>
              <w:rPr>
                <w:spacing w:val="-4"/>
                <w:sz w:val="17"/>
              </w:rPr>
              <w:t>13.5</w:t>
            </w:r>
          </w:p>
        </w:tc>
      </w:tr>
      <w:tr w:rsidR="00C31389" w14:paraId="68C3897D"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0BB6395E"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0307BEAB" w14:textId="77777777">
        <w:trPr>
          <w:trHeight w:val="275"/>
        </w:trPr>
        <w:tc>
          <w:tcPr>
            <w:tcW w:w="1186" w:type="dxa"/>
            <w:tcBorders>
              <w:top w:val="single" w:color="DCDDDE" w:sz="4" w:space="0"/>
              <w:bottom w:val="single" w:color="DCDDDE" w:sz="4" w:space="0"/>
            </w:tcBorders>
          </w:tcPr>
          <w:p w:rsidR="00C31389" w:rsidRDefault="00561FBD" w14:paraId="307E5F0C" w14:textId="77777777">
            <w:pPr>
              <w:pStyle w:val="TableParagraph"/>
              <w:ind w:left="122"/>
              <w:rPr>
                <w:sz w:val="17"/>
              </w:rPr>
            </w:pPr>
            <w:r>
              <w:rPr>
                <w:spacing w:val="-5"/>
                <w:sz w:val="17"/>
              </w:rPr>
              <w:t>EE</w:t>
            </w:r>
          </w:p>
        </w:tc>
        <w:tc>
          <w:tcPr>
            <w:tcW w:w="1182" w:type="dxa"/>
            <w:tcBorders>
              <w:top w:val="single" w:color="DCDDDE" w:sz="4" w:space="0"/>
              <w:bottom w:val="single" w:color="DCDDDE" w:sz="4" w:space="0"/>
            </w:tcBorders>
          </w:tcPr>
          <w:p w:rsidR="00C31389" w:rsidRDefault="00561FBD" w14:paraId="7B1112A4" w14:textId="77777777">
            <w:pPr>
              <w:pStyle w:val="TableParagraph"/>
              <w:ind w:right="192"/>
              <w:jc w:val="right"/>
              <w:rPr>
                <w:sz w:val="17"/>
              </w:rPr>
            </w:pPr>
            <w:r>
              <w:rPr>
                <w:spacing w:val="-4"/>
                <w:sz w:val="17"/>
              </w:rPr>
              <w:t>10.8</w:t>
            </w:r>
          </w:p>
        </w:tc>
        <w:tc>
          <w:tcPr>
            <w:tcW w:w="711" w:type="dxa"/>
            <w:tcBorders>
              <w:top w:val="single" w:color="DCDDDE" w:sz="4" w:space="0"/>
              <w:bottom w:val="single" w:color="DCDDDE" w:sz="4" w:space="0"/>
            </w:tcBorders>
          </w:tcPr>
          <w:p w:rsidR="00C31389" w:rsidRDefault="00561FBD" w14:paraId="59052220" w14:textId="77777777">
            <w:pPr>
              <w:pStyle w:val="TableParagraph"/>
              <w:ind w:right="137"/>
              <w:jc w:val="right"/>
              <w:rPr>
                <w:sz w:val="17"/>
              </w:rPr>
            </w:pPr>
            <w:r>
              <w:rPr>
                <w:spacing w:val="-4"/>
                <w:sz w:val="17"/>
              </w:rPr>
              <w:t>13.1</w:t>
            </w:r>
          </w:p>
        </w:tc>
        <w:tc>
          <w:tcPr>
            <w:tcW w:w="643" w:type="dxa"/>
            <w:tcBorders>
              <w:top w:val="single" w:color="DCDDDE" w:sz="4" w:space="0"/>
              <w:bottom w:val="single" w:color="DCDDDE" w:sz="4" w:space="0"/>
            </w:tcBorders>
          </w:tcPr>
          <w:p w:rsidR="00C31389" w:rsidRDefault="00561FBD" w14:paraId="34FB0BE7" w14:textId="77777777">
            <w:pPr>
              <w:pStyle w:val="TableParagraph"/>
              <w:ind w:right="124"/>
              <w:jc w:val="right"/>
              <w:rPr>
                <w:sz w:val="17"/>
              </w:rPr>
            </w:pPr>
            <w:r>
              <w:rPr>
                <w:spacing w:val="-4"/>
                <w:sz w:val="17"/>
              </w:rPr>
              <w:t>13.3</w:t>
            </w:r>
          </w:p>
        </w:tc>
        <w:tc>
          <w:tcPr>
            <w:tcW w:w="630" w:type="dxa"/>
            <w:tcBorders>
              <w:top w:val="single" w:color="DCDDDE" w:sz="4" w:space="0"/>
              <w:bottom w:val="single" w:color="DCDDDE" w:sz="4" w:space="0"/>
            </w:tcBorders>
          </w:tcPr>
          <w:p w:rsidR="00C31389" w:rsidRDefault="00561FBD" w14:paraId="1E047470" w14:textId="77777777">
            <w:pPr>
              <w:pStyle w:val="TableParagraph"/>
              <w:ind w:right="124"/>
              <w:jc w:val="right"/>
              <w:rPr>
                <w:sz w:val="17"/>
              </w:rPr>
            </w:pPr>
            <w:r>
              <w:rPr>
                <w:spacing w:val="-4"/>
                <w:sz w:val="17"/>
              </w:rPr>
              <w:t>12.7</w:t>
            </w:r>
          </w:p>
        </w:tc>
        <w:tc>
          <w:tcPr>
            <w:tcW w:w="630" w:type="dxa"/>
            <w:tcBorders>
              <w:top w:val="single" w:color="DCDDDE" w:sz="4" w:space="0"/>
              <w:bottom w:val="single" w:color="DCDDDE" w:sz="4" w:space="0"/>
            </w:tcBorders>
          </w:tcPr>
          <w:p w:rsidR="00C31389" w:rsidRDefault="00561FBD" w14:paraId="2BF3A629" w14:textId="77777777">
            <w:pPr>
              <w:pStyle w:val="TableParagraph"/>
              <w:ind w:right="124"/>
              <w:jc w:val="right"/>
              <w:rPr>
                <w:sz w:val="17"/>
              </w:rPr>
            </w:pPr>
            <w:r>
              <w:rPr>
                <w:spacing w:val="-4"/>
                <w:sz w:val="17"/>
              </w:rPr>
              <w:t>12.1</w:t>
            </w:r>
          </w:p>
        </w:tc>
        <w:tc>
          <w:tcPr>
            <w:tcW w:w="630" w:type="dxa"/>
            <w:tcBorders>
              <w:top w:val="single" w:color="DCDDDE" w:sz="4" w:space="0"/>
              <w:bottom w:val="single" w:color="DCDDDE" w:sz="4" w:space="0"/>
            </w:tcBorders>
          </w:tcPr>
          <w:p w:rsidR="00C31389" w:rsidRDefault="00561FBD" w14:paraId="3D3A3296" w14:textId="77777777">
            <w:pPr>
              <w:pStyle w:val="TableParagraph"/>
              <w:ind w:left="124" w:right="78"/>
              <w:jc w:val="center"/>
              <w:rPr>
                <w:sz w:val="17"/>
              </w:rPr>
            </w:pPr>
            <w:r>
              <w:rPr>
                <w:spacing w:val="-4"/>
                <w:sz w:val="17"/>
              </w:rPr>
              <w:t>11.1</w:t>
            </w:r>
          </w:p>
        </w:tc>
        <w:tc>
          <w:tcPr>
            <w:tcW w:w="630" w:type="dxa"/>
            <w:tcBorders>
              <w:top w:val="single" w:color="DCDDDE" w:sz="4" w:space="0"/>
              <w:bottom w:val="single" w:color="DCDDDE" w:sz="4" w:space="0"/>
            </w:tcBorders>
          </w:tcPr>
          <w:p w:rsidR="00C31389" w:rsidRDefault="00561FBD" w14:paraId="7CB3671A" w14:textId="77777777">
            <w:pPr>
              <w:pStyle w:val="TableParagraph"/>
              <w:ind w:left="124" w:right="78"/>
              <w:jc w:val="center"/>
              <w:rPr>
                <w:sz w:val="17"/>
              </w:rPr>
            </w:pPr>
            <w:r>
              <w:rPr>
                <w:spacing w:val="-4"/>
                <w:sz w:val="17"/>
              </w:rPr>
              <w:t>10.8</w:t>
            </w:r>
          </w:p>
        </w:tc>
        <w:tc>
          <w:tcPr>
            <w:tcW w:w="630" w:type="dxa"/>
            <w:tcBorders>
              <w:top w:val="single" w:color="DCDDDE" w:sz="4" w:space="0"/>
              <w:bottom w:val="single" w:color="DCDDDE" w:sz="4" w:space="0"/>
            </w:tcBorders>
          </w:tcPr>
          <w:p w:rsidR="00C31389" w:rsidRDefault="00561FBD" w14:paraId="09873CA5" w14:textId="77777777">
            <w:pPr>
              <w:pStyle w:val="TableParagraph"/>
              <w:ind w:right="124"/>
              <w:jc w:val="right"/>
              <w:rPr>
                <w:sz w:val="17"/>
              </w:rPr>
            </w:pPr>
            <w:r>
              <w:rPr>
                <w:spacing w:val="-4"/>
                <w:sz w:val="17"/>
              </w:rPr>
              <w:t>10.0</w:t>
            </w:r>
          </w:p>
        </w:tc>
        <w:tc>
          <w:tcPr>
            <w:tcW w:w="630" w:type="dxa"/>
            <w:tcBorders>
              <w:top w:val="single" w:color="DCDDDE" w:sz="4" w:space="0"/>
              <w:bottom w:val="single" w:color="DCDDDE" w:sz="4" w:space="0"/>
            </w:tcBorders>
          </w:tcPr>
          <w:p w:rsidR="00C31389" w:rsidRDefault="00561FBD" w14:paraId="242E4482" w14:textId="77777777">
            <w:pPr>
              <w:pStyle w:val="TableParagraph"/>
              <w:ind w:right="124"/>
              <w:jc w:val="right"/>
              <w:rPr>
                <w:sz w:val="17"/>
              </w:rPr>
            </w:pPr>
            <w:r>
              <w:rPr>
                <w:spacing w:val="-4"/>
                <w:sz w:val="17"/>
              </w:rPr>
              <w:t>10.5</w:t>
            </w:r>
          </w:p>
        </w:tc>
        <w:tc>
          <w:tcPr>
            <w:tcW w:w="630" w:type="dxa"/>
            <w:tcBorders>
              <w:top w:val="single" w:color="DCDDDE" w:sz="4" w:space="0"/>
              <w:bottom w:val="single" w:color="DCDDDE" w:sz="4" w:space="0"/>
            </w:tcBorders>
          </w:tcPr>
          <w:p w:rsidR="00C31389" w:rsidRDefault="00561FBD" w14:paraId="1E06FC68" w14:textId="77777777">
            <w:pPr>
              <w:pStyle w:val="TableParagraph"/>
              <w:ind w:left="124" w:right="78"/>
              <w:jc w:val="center"/>
              <w:rPr>
                <w:sz w:val="17"/>
              </w:rPr>
            </w:pPr>
            <w:r>
              <w:rPr>
                <w:spacing w:val="-4"/>
                <w:sz w:val="17"/>
              </w:rPr>
              <w:t>10.0</w:t>
            </w:r>
          </w:p>
        </w:tc>
        <w:tc>
          <w:tcPr>
            <w:tcW w:w="630" w:type="dxa"/>
            <w:tcBorders>
              <w:top w:val="single" w:color="DCDDDE" w:sz="4" w:space="0"/>
              <w:bottom w:val="single" w:color="DCDDDE" w:sz="4" w:space="0"/>
            </w:tcBorders>
          </w:tcPr>
          <w:p w:rsidR="00C31389" w:rsidRDefault="00561FBD" w14:paraId="0D0DD8B5" w14:textId="77777777">
            <w:pPr>
              <w:pStyle w:val="TableParagraph"/>
              <w:ind w:right="124"/>
              <w:jc w:val="right"/>
              <w:rPr>
                <w:sz w:val="17"/>
              </w:rPr>
            </w:pPr>
            <w:r>
              <w:rPr>
                <w:spacing w:val="-5"/>
                <w:sz w:val="17"/>
              </w:rPr>
              <w:t>9.6</w:t>
            </w:r>
          </w:p>
        </w:tc>
        <w:tc>
          <w:tcPr>
            <w:tcW w:w="612" w:type="dxa"/>
            <w:tcBorders>
              <w:top w:val="single" w:color="DCDDDE" w:sz="4" w:space="0"/>
              <w:bottom w:val="single" w:color="DCDDDE" w:sz="4" w:space="0"/>
            </w:tcBorders>
          </w:tcPr>
          <w:p w:rsidR="00C31389" w:rsidRDefault="00561FBD" w14:paraId="673F50B3" w14:textId="77777777">
            <w:pPr>
              <w:pStyle w:val="TableParagraph"/>
              <w:ind w:right="106"/>
              <w:jc w:val="right"/>
              <w:rPr>
                <w:sz w:val="17"/>
              </w:rPr>
            </w:pPr>
            <w:r>
              <w:rPr>
                <w:spacing w:val="-5"/>
                <w:sz w:val="17"/>
              </w:rPr>
              <w:t>9.4</w:t>
            </w:r>
          </w:p>
        </w:tc>
      </w:tr>
    </w:tbl>
    <w:p w:rsidR="00C31389" w:rsidRDefault="00C31389" w14:paraId="5B2A5F37" w14:textId="77777777">
      <w:pPr>
        <w:jc w:val="right"/>
        <w:rPr>
          <w:sz w:val="17"/>
        </w:rPr>
        <w:sectPr w:rsidR="00C31389">
          <w:pgSz w:w="12240" w:h="15840"/>
          <w:pgMar w:top="1380" w:right="1240" w:bottom="1120" w:left="1220" w:header="397" w:footer="936" w:gutter="0"/>
          <w:cols w:space="720"/>
        </w:sectPr>
      </w:pPr>
    </w:p>
    <w:p w:rsidR="00C31389" w:rsidRDefault="00C31389" w14:paraId="0393AA90"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507"/>
        <w:gridCol w:w="861"/>
        <w:gridCol w:w="712"/>
        <w:gridCol w:w="644"/>
        <w:gridCol w:w="631"/>
        <w:gridCol w:w="631"/>
        <w:gridCol w:w="631"/>
        <w:gridCol w:w="631"/>
        <w:gridCol w:w="631"/>
        <w:gridCol w:w="631"/>
        <w:gridCol w:w="631"/>
        <w:gridCol w:w="631"/>
        <w:gridCol w:w="613"/>
      </w:tblGrid>
      <w:tr w:rsidR="00C31389" w14:paraId="0A258FCD" w14:textId="77777777">
        <w:trPr>
          <w:trHeight w:val="252"/>
        </w:trPr>
        <w:tc>
          <w:tcPr>
            <w:tcW w:w="1507" w:type="dxa"/>
            <w:tcBorders>
              <w:top w:val="single" w:color="8B8B8B" w:sz="8" w:space="0"/>
            </w:tcBorders>
          </w:tcPr>
          <w:p w:rsidR="00C31389" w:rsidRDefault="00C31389" w14:paraId="5302F7CE" w14:textId="77777777">
            <w:pPr>
              <w:pStyle w:val="TableParagraph"/>
              <w:spacing w:before="0"/>
              <w:rPr>
                <w:rFonts w:ascii="Times New Roman"/>
                <w:sz w:val="16"/>
              </w:rPr>
            </w:pPr>
          </w:p>
        </w:tc>
        <w:tc>
          <w:tcPr>
            <w:tcW w:w="861" w:type="dxa"/>
            <w:tcBorders>
              <w:top w:val="single" w:color="8B8B8B" w:sz="8" w:space="0"/>
            </w:tcBorders>
          </w:tcPr>
          <w:p w:rsidR="00C31389" w:rsidRDefault="00C31389" w14:paraId="33E97B18" w14:textId="77777777">
            <w:pPr>
              <w:pStyle w:val="TableParagraph"/>
              <w:spacing w:before="0"/>
              <w:rPr>
                <w:rFonts w:ascii="Times New Roman"/>
                <w:sz w:val="16"/>
              </w:rPr>
            </w:pPr>
          </w:p>
        </w:tc>
        <w:tc>
          <w:tcPr>
            <w:tcW w:w="712" w:type="dxa"/>
            <w:tcBorders>
              <w:top w:val="single" w:color="8B8B8B" w:sz="8" w:space="0"/>
            </w:tcBorders>
          </w:tcPr>
          <w:p w:rsidR="00C31389" w:rsidRDefault="00C31389" w14:paraId="1F2418B8" w14:textId="77777777">
            <w:pPr>
              <w:pStyle w:val="TableParagraph"/>
              <w:spacing w:before="0"/>
              <w:rPr>
                <w:rFonts w:ascii="Times New Roman"/>
                <w:sz w:val="16"/>
              </w:rPr>
            </w:pPr>
          </w:p>
        </w:tc>
        <w:tc>
          <w:tcPr>
            <w:tcW w:w="644" w:type="dxa"/>
            <w:tcBorders>
              <w:top w:val="single" w:color="8B8B8B" w:sz="8" w:space="0"/>
            </w:tcBorders>
          </w:tcPr>
          <w:p w:rsidR="00C31389" w:rsidRDefault="00C31389" w14:paraId="46D50BE2"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7635AA0D"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03C9A378"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6990F80D"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7988F32B"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15E5C0C5"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2A20FAB1"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4E3E29D2"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41D74F1B" w14:textId="77777777">
            <w:pPr>
              <w:pStyle w:val="TableParagraph"/>
              <w:spacing w:before="0"/>
              <w:rPr>
                <w:rFonts w:ascii="Times New Roman"/>
                <w:sz w:val="16"/>
              </w:rPr>
            </w:pPr>
          </w:p>
        </w:tc>
        <w:tc>
          <w:tcPr>
            <w:tcW w:w="613" w:type="dxa"/>
            <w:tcBorders>
              <w:top w:val="single" w:color="8B8B8B" w:sz="8" w:space="0"/>
            </w:tcBorders>
          </w:tcPr>
          <w:p w:rsidR="00C31389" w:rsidRDefault="00C31389" w14:paraId="7C029546" w14:textId="77777777">
            <w:pPr>
              <w:pStyle w:val="TableParagraph"/>
              <w:spacing w:before="0"/>
              <w:rPr>
                <w:rFonts w:ascii="Times New Roman"/>
                <w:sz w:val="16"/>
              </w:rPr>
            </w:pPr>
          </w:p>
        </w:tc>
      </w:tr>
      <w:tr w:rsidR="00C31389" w14:paraId="2094A021" w14:textId="77777777">
        <w:trPr>
          <w:trHeight w:val="305"/>
        </w:trPr>
        <w:tc>
          <w:tcPr>
            <w:tcW w:w="1507" w:type="dxa"/>
            <w:shd w:val="clear" w:color="auto" w:fill="92D400"/>
          </w:tcPr>
          <w:p w:rsidR="00C31389" w:rsidRDefault="00561FBD" w14:paraId="5E0A5834" w14:textId="77777777">
            <w:pPr>
              <w:pStyle w:val="TableParagraph"/>
              <w:spacing w:before="41"/>
              <w:ind w:left="122"/>
              <w:rPr>
                <w:b/>
                <w:sz w:val="17"/>
              </w:rPr>
            </w:pPr>
            <w:r>
              <w:rPr>
                <w:b/>
                <w:spacing w:val="-4"/>
                <w:sz w:val="17"/>
              </w:rPr>
              <w:t>Year</w:t>
            </w:r>
          </w:p>
        </w:tc>
        <w:tc>
          <w:tcPr>
            <w:tcW w:w="861" w:type="dxa"/>
            <w:shd w:val="clear" w:color="auto" w:fill="92D400"/>
          </w:tcPr>
          <w:p w:rsidR="00C31389" w:rsidRDefault="00561FBD" w14:paraId="4DE6AD97" w14:textId="77777777">
            <w:pPr>
              <w:pStyle w:val="TableParagraph"/>
              <w:spacing w:before="41"/>
              <w:ind w:right="191"/>
              <w:jc w:val="right"/>
              <w:rPr>
                <w:b/>
                <w:sz w:val="17"/>
              </w:rPr>
            </w:pPr>
            <w:r>
              <w:rPr>
                <w:b/>
                <w:spacing w:val="-4"/>
                <w:sz w:val="17"/>
              </w:rPr>
              <w:t>2024</w:t>
            </w:r>
          </w:p>
        </w:tc>
        <w:tc>
          <w:tcPr>
            <w:tcW w:w="712" w:type="dxa"/>
            <w:shd w:val="clear" w:color="auto" w:fill="92D400"/>
          </w:tcPr>
          <w:p w:rsidR="00C31389" w:rsidRDefault="00561FBD" w14:paraId="259E4682"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4403BC19" w14:textId="77777777">
            <w:pPr>
              <w:pStyle w:val="TableParagraph"/>
              <w:spacing w:before="41"/>
              <w:ind w:right="124"/>
              <w:jc w:val="right"/>
              <w:rPr>
                <w:b/>
                <w:sz w:val="17"/>
              </w:rPr>
            </w:pPr>
            <w:r>
              <w:rPr>
                <w:b/>
                <w:spacing w:val="-4"/>
                <w:sz w:val="17"/>
              </w:rPr>
              <w:t>2026</w:t>
            </w:r>
          </w:p>
        </w:tc>
        <w:tc>
          <w:tcPr>
            <w:tcW w:w="631" w:type="dxa"/>
            <w:shd w:val="clear" w:color="auto" w:fill="92D400"/>
          </w:tcPr>
          <w:p w:rsidR="00C31389" w:rsidRDefault="00561FBD" w14:paraId="5E53E0E0" w14:textId="77777777">
            <w:pPr>
              <w:pStyle w:val="TableParagraph"/>
              <w:spacing w:before="41"/>
              <w:ind w:right="125"/>
              <w:jc w:val="right"/>
              <w:rPr>
                <w:b/>
                <w:sz w:val="17"/>
              </w:rPr>
            </w:pPr>
            <w:r>
              <w:rPr>
                <w:b/>
                <w:spacing w:val="-4"/>
                <w:sz w:val="17"/>
              </w:rPr>
              <w:t>2027</w:t>
            </w:r>
          </w:p>
        </w:tc>
        <w:tc>
          <w:tcPr>
            <w:tcW w:w="631" w:type="dxa"/>
            <w:shd w:val="clear" w:color="auto" w:fill="92D400"/>
          </w:tcPr>
          <w:p w:rsidR="00C31389" w:rsidRDefault="00561FBD" w14:paraId="52E6CA64" w14:textId="77777777">
            <w:pPr>
              <w:pStyle w:val="TableParagraph"/>
              <w:spacing w:before="41"/>
              <w:ind w:right="126"/>
              <w:jc w:val="right"/>
              <w:rPr>
                <w:b/>
                <w:sz w:val="17"/>
              </w:rPr>
            </w:pPr>
            <w:r>
              <w:rPr>
                <w:b/>
                <w:spacing w:val="-4"/>
                <w:sz w:val="17"/>
              </w:rPr>
              <w:t>2028</w:t>
            </w:r>
          </w:p>
        </w:tc>
        <w:tc>
          <w:tcPr>
            <w:tcW w:w="631" w:type="dxa"/>
            <w:shd w:val="clear" w:color="auto" w:fill="92D400"/>
          </w:tcPr>
          <w:p w:rsidR="00C31389" w:rsidRDefault="00561FBD" w14:paraId="7AEF3012" w14:textId="77777777">
            <w:pPr>
              <w:pStyle w:val="TableParagraph"/>
              <w:spacing w:before="41"/>
              <w:ind w:left="106" w:right="111"/>
              <w:jc w:val="center"/>
              <w:rPr>
                <w:b/>
                <w:sz w:val="17"/>
              </w:rPr>
            </w:pPr>
            <w:r>
              <w:rPr>
                <w:b/>
                <w:spacing w:val="-4"/>
                <w:sz w:val="17"/>
              </w:rPr>
              <w:t>2029</w:t>
            </w:r>
          </w:p>
        </w:tc>
        <w:tc>
          <w:tcPr>
            <w:tcW w:w="631" w:type="dxa"/>
            <w:shd w:val="clear" w:color="auto" w:fill="92D400"/>
          </w:tcPr>
          <w:p w:rsidR="00C31389" w:rsidRDefault="00561FBD" w14:paraId="45142943" w14:textId="77777777">
            <w:pPr>
              <w:pStyle w:val="TableParagraph"/>
              <w:spacing w:before="41"/>
              <w:ind w:left="106" w:right="113"/>
              <w:jc w:val="center"/>
              <w:rPr>
                <w:b/>
                <w:sz w:val="17"/>
              </w:rPr>
            </w:pPr>
            <w:r>
              <w:rPr>
                <w:b/>
                <w:spacing w:val="-4"/>
                <w:sz w:val="17"/>
              </w:rPr>
              <w:t>2030</w:t>
            </w:r>
          </w:p>
        </w:tc>
        <w:tc>
          <w:tcPr>
            <w:tcW w:w="631" w:type="dxa"/>
            <w:shd w:val="clear" w:color="auto" w:fill="92D400"/>
          </w:tcPr>
          <w:p w:rsidR="00C31389" w:rsidRDefault="00561FBD" w14:paraId="317FB998" w14:textId="77777777">
            <w:pPr>
              <w:pStyle w:val="TableParagraph"/>
              <w:spacing w:before="41"/>
              <w:ind w:right="129"/>
              <w:jc w:val="right"/>
              <w:rPr>
                <w:b/>
                <w:sz w:val="17"/>
              </w:rPr>
            </w:pPr>
            <w:r>
              <w:rPr>
                <w:b/>
                <w:spacing w:val="-4"/>
                <w:sz w:val="17"/>
              </w:rPr>
              <w:t>2031</w:t>
            </w:r>
          </w:p>
        </w:tc>
        <w:tc>
          <w:tcPr>
            <w:tcW w:w="631" w:type="dxa"/>
            <w:shd w:val="clear" w:color="auto" w:fill="92D400"/>
          </w:tcPr>
          <w:p w:rsidR="00C31389" w:rsidRDefault="00561FBD" w14:paraId="0BFFD649" w14:textId="77777777">
            <w:pPr>
              <w:pStyle w:val="TableParagraph"/>
              <w:spacing w:before="41"/>
              <w:ind w:right="130"/>
              <w:jc w:val="right"/>
              <w:rPr>
                <w:b/>
                <w:sz w:val="17"/>
              </w:rPr>
            </w:pPr>
            <w:r>
              <w:rPr>
                <w:b/>
                <w:spacing w:val="-4"/>
                <w:sz w:val="17"/>
              </w:rPr>
              <w:t>2032</w:t>
            </w:r>
          </w:p>
        </w:tc>
        <w:tc>
          <w:tcPr>
            <w:tcW w:w="631" w:type="dxa"/>
            <w:shd w:val="clear" w:color="auto" w:fill="92D400"/>
          </w:tcPr>
          <w:p w:rsidR="00C31389" w:rsidRDefault="00561FBD" w14:paraId="70CC6EBB" w14:textId="77777777">
            <w:pPr>
              <w:pStyle w:val="TableParagraph"/>
              <w:spacing w:before="41"/>
              <w:ind w:left="103" w:right="116"/>
              <w:jc w:val="center"/>
              <w:rPr>
                <w:b/>
                <w:sz w:val="17"/>
              </w:rPr>
            </w:pPr>
            <w:r>
              <w:rPr>
                <w:b/>
                <w:spacing w:val="-4"/>
                <w:sz w:val="17"/>
              </w:rPr>
              <w:t>2033</w:t>
            </w:r>
          </w:p>
        </w:tc>
        <w:tc>
          <w:tcPr>
            <w:tcW w:w="631" w:type="dxa"/>
            <w:shd w:val="clear" w:color="auto" w:fill="92D400"/>
          </w:tcPr>
          <w:p w:rsidR="00C31389" w:rsidRDefault="00561FBD" w14:paraId="6DC0EF52" w14:textId="77777777">
            <w:pPr>
              <w:pStyle w:val="TableParagraph"/>
              <w:spacing w:before="41"/>
              <w:ind w:right="132"/>
              <w:jc w:val="right"/>
              <w:rPr>
                <w:b/>
                <w:sz w:val="17"/>
              </w:rPr>
            </w:pPr>
            <w:r>
              <w:rPr>
                <w:b/>
                <w:spacing w:val="-4"/>
                <w:sz w:val="17"/>
              </w:rPr>
              <w:t>2034</w:t>
            </w:r>
          </w:p>
        </w:tc>
        <w:tc>
          <w:tcPr>
            <w:tcW w:w="613" w:type="dxa"/>
            <w:shd w:val="clear" w:color="auto" w:fill="92D400"/>
          </w:tcPr>
          <w:p w:rsidR="00C31389" w:rsidRDefault="00561FBD" w14:paraId="1DAA1281" w14:textId="77777777">
            <w:pPr>
              <w:pStyle w:val="TableParagraph"/>
              <w:spacing w:before="41"/>
              <w:ind w:right="115"/>
              <w:jc w:val="right"/>
              <w:rPr>
                <w:b/>
                <w:sz w:val="17"/>
              </w:rPr>
            </w:pPr>
            <w:r>
              <w:rPr>
                <w:b/>
                <w:spacing w:val="-4"/>
                <w:sz w:val="17"/>
              </w:rPr>
              <w:t>2035</w:t>
            </w:r>
          </w:p>
        </w:tc>
      </w:tr>
      <w:tr w:rsidR="00C31389" w14:paraId="12CBF4B3" w14:textId="77777777">
        <w:trPr>
          <w:trHeight w:val="254"/>
        </w:trPr>
        <w:tc>
          <w:tcPr>
            <w:tcW w:w="1507" w:type="dxa"/>
            <w:tcBorders>
              <w:bottom w:val="single" w:color="DCDDDE" w:sz="4" w:space="0"/>
            </w:tcBorders>
          </w:tcPr>
          <w:p w:rsidR="00C31389" w:rsidRDefault="00561FBD" w14:paraId="00CFCD7C" w14:textId="77777777">
            <w:pPr>
              <w:pStyle w:val="TableParagraph"/>
              <w:spacing w:before="20"/>
              <w:ind w:left="122"/>
              <w:rPr>
                <w:sz w:val="17"/>
              </w:rPr>
            </w:pPr>
            <w:r>
              <w:rPr>
                <w:spacing w:val="-5"/>
                <w:sz w:val="17"/>
              </w:rPr>
              <w:t>FS</w:t>
            </w:r>
          </w:p>
        </w:tc>
        <w:tc>
          <w:tcPr>
            <w:tcW w:w="861" w:type="dxa"/>
            <w:tcBorders>
              <w:bottom w:val="single" w:color="DCDDDE" w:sz="4" w:space="0"/>
            </w:tcBorders>
          </w:tcPr>
          <w:p w:rsidR="00C31389" w:rsidRDefault="00561FBD" w14:paraId="3F0ACA11" w14:textId="77777777">
            <w:pPr>
              <w:pStyle w:val="TableParagraph"/>
              <w:spacing w:before="20"/>
              <w:ind w:right="192"/>
              <w:jc w:val="right"/>
              <w:rPr>
                <w:sz w:val="17"/>
              </w:rPr>
            </w:pPr>
            <w:r>
              <w:rPr>
                <w:spacing w:val="-5"/>
                <w:sz w:val="17"/>
              </w:rPr>
              <w:t>0.0</w:t>
            </w:r>
          </w:p>
        </w:tc>
        <w:tc>
          <w:tcPr>
            <w:tcW w:w="712" w:type="dxa"/>
            <w:tcBorders>
              <w:bottom w:val="single" w:color="DCDDDE" w:sz="4" w:space="0"/>
            </w:tcBorders>
          </w:tcPr>
          <w:p w:rsidR="00C31389" w:rsidRDefault="00561FBD" w14:paraId="1BF6B49D" w14:textId="77777777">
            <w:pPr>
              <w:pStyle w:val="TableParagraph"/>
              <w:spacing w:before="20"/>
              <w:ind w:right="138"/>
              <w:jc w:val="right"/>
              <w:rPr>
                <w:sz w:val="17"/>
              </w:rPr>
            </w:pPr>
            <w:r>
              <w:rPr>
                <w:spacing w:val="-5"/>
                <w:sz w:val="17"/>
              </w:rPr>
              <w:t>0.0</w:t>
            </w:r>
          </w:p>
        </w:tc>
        <w:tc>
          <w:tcPr>
            <w:tcW w:w="644" w:type="dxa"/>
            <w:tcBorders>
              <w:bottom w:val="single" w:color="DCDDDE" w:sz="4" w:space="0"/>
            </w:tcBorders>
          </w:tcPr>
          <w:p w:rsidR="00C31389" w:rsidRDefault="00561FBD" w14:paraId="627BA015" w14:textId="77777777">
            <w:pPr>
              <w:pStyle w:val="TableParagraph"/>
              <w:spacing w:before="20"/>
              <w:ind w:right="125"/>
              <w:jc w:val="right"/>
              <w:rPr>
                <w:sz w:val="17"/>
              </w:rPr>
            </w:pPr>
            <w:r>
              <w:rPr>
                <w:spacing w:val="-5"/>
                <w:sz w:val="17"/>
              </w:rPr>
              <w:t>0.0</w:t>
            </w:r>
          </w:p>
        </w:tc>
        <w:tc>
          <w:tcPr>
            <w:tcW w:w="631" w:type="dxa"/>
            <w:tcBorders>
              <w:bottom w:val="single" w:color="DCDDDE" w:sz="4" w:space="0"/>
            </w:tcBorders>
          </w:tcPr>
          <w:p w:rsidR="00C31389" w:rsidRDefault="00561FBD" w14:paraId="3BB9368C" w14:textId="77777777">
            <w:pPr>
              <w:pStyle w:val="TableParagraph"/>
              <w:spacing w:before="20"/>
              <w:ind w:right="126"/>
              <w:jc w:val="right"/>
              <w:rPr>
                <w:sz w:val="17"/>
              </w:rPr>
            </w:pPr>
            <w:r>
              <w:rPr>
                <w:spacing w:val="-5"/>
                <w:sz w:val="17"/>
              </w:rPr>
              <w:t>0.0</w:t>
            </w:r>
          </w:p>
        </w:tc>
        <w:tc>
          <w:tcPr>
            <w:tcW w:w="631" w:type="dxa"/>
            <w:tcBorders>
              <w:bottom w:val="single" w:color="DCDDDE" w:sz="4" w:space="0"/>
            </w:tcBorders>
          </w:tcPr>
          <w:p w:rsidR="00C31389" w:rsidRDefault="00561FBD" w14:paraId="4B6E686F" w14:textId="77777777">
            <w:pPr>
              <w:pStyle w:val="TableParagraph"/>
              <w:spacing w:before="20"/>
              <w:ind w:right="127"/>
              <w:jc w:val="right"/>
              <w:rPr>
                <w:sz w:val="17"/>
              </w:rPr>
            </w:pPr>
            <w:r>
              <w:rPr>
                <w:spacing w:val="-5"/>
                <w:sz w:val="17"/>
              </w:rPr>
              <w:t>0.0</w:t>
            </w:r>
          </w:p>
        </w:tc>
        <w:tc>
          <w:tcPr>
            <w:tcW w:w="631" w:type="dxa"/>
            <w:tcBorders>
              <w:bottom w:val="single" w:color="DCDDDE" w:sz="4" w:space="0"/>
            </w:tcBorders>
          </w:tcPr>
          <w:p w:rsidR="00C31389" w:rsidRDefault="00561FBD" w14:paraId="65A9406A" w14:textId="77777777">
            <w:pPr>
              <w:pStyle w:val="TableParagraph"/>
              <w:spacing w:before="20"/>
              <w:ind w:left="248" w:right="115"/>
              <w:jc w:val="center"/>
              <w:rPr>
                <w:sz w:val="17"/>
              </w:rPr>
            </w:pPr>
            <w:r>
              <w:rPr>
                <w:spacing w:val="-5"/>
                <w:sz w:val="17"/>
              </w:rPr>
              <w:t>0.0</w:t>
            </w:r>
          </w:p>
        </w:tc>
        <w:tc>
          <w:tcPr>
            <w:tcW w:w="631" w:type="dxa"/>
            <w:tcBorders>
              <w:bottom w:val="single" w:color="DCDDDE" w:sz="4" w:space="0"/>
            </w:tcBorders>
          </w:tcPr>
          <w:p w:rsidR="00C31389" w:rsidRDefault="00561FBD" w14:paraId="29191766" w14:textId="77777777">
            <w:pPr>
              <w:pStyle w:val="TableParagraph"/>
              <w:spacing w:before="20"/>
              <w:ind w:left="245" w:right="114"/>
              <w:jc w:val="center"/>
              <w:rPr>
                <w:sz w:val="17"/>
              </w:rPr>
            </w:pPr>
            <w:r>
              <w:rPr>
                <w:spacing w:val="-5"/>
                <w:sz w:val="17"/>
              </w:rPr>
              <w:t>0.0</w:t>
            </w:r>
          </w:p>
        </w:tc>
        <w:tc>
          <w:tcPr>
            <w:tcW w:w="631" w:type="dxa"/>
            <w:tcBorders>
              <w:bottom w:val="single" w:color="DCDDDE" w:sz="4" w:space="0"/>
            </w:tcBorders>
          </w:tcPr>
          <w:p w:rsidR="00C31389" w:rsidRDefault="00561FBD" w14:paraId="42A36551" w14:textId="77777777">
            <w:pPr>
              <w:pStyle w:val="TableParagraph"/>
              <w:spacing w:before="20"/>
              <w:ind w:right="130"/>
              <w:jc w:val="right"/>
              <w:rPr>
                <w:sz w:val="17"/>
              </w:rPr>
            </w:pPr>
            <w:r>
              <w:rPr>
                <w:spacing w:val="-5"/>
                <w:sz w:val="17"/>
              </w:rPr>
              <w:t>0.0</w:t>
            </w:r>
          </w:p>
        </w:tc>
        <w:tc>
          <w:tcPr>
            <w:tcW w:w="631" w:type="dxa"/>
            <w:tcBorders>
              <w:bottom w:val="single" w:color="DCDDDE" w:sz="4" w:space="0"/>
            </w:tcBorders>
          </w:tcPr>
          <w:p w:rsidR="00C31389" w:rsidRDefault="00561FBD" w14:paraId="1172B649" w14:textId="77777777">
            <w:pPr>
              <w:pStyle w:val="TableParagraph"/>
              <w:spacing w:before="20"/>
              <w:ind w:right="131"/>
              <w:jc w:val="right"/>
              <w:rPr>
                <w:sz w:val="17"/>
              </w:rPr>
            </w:pPr>
            <w:r>
              <w:rPr>
                <w:spacing w:val="-5"/>
                <w:sz w:val="17"/>
              </w:rPr>
              <w:t>0.0</w:t>
            </w:r>
          </w:p>
        </w:tc>
        <w:tc>
          <w:tcPr>
            <w:tcW w:w="631" w:type="dxa"/>
            <w:tcBorders>
              <w:bottom w:val="single" w:color="DCDDDE" w:sz="4" w:space="0"/>
            </w:tcBorders>
          </w:tcPr>
          <w:p w:rsidR="00C31389" w:rsidRDefault="00561FBD" w14:paraId="78C7CA89" w14:textId="77777777">
            <w:pPr>
              <w:pStyle w:val="TableParagraph"/>
              <w:spacing w:before="20"/>
              <w:ind w:left="241" w:right="116"/>
              <w:jc w:val="center"/>
              <w:rPr>
                <w:sz w:val="17"/>
              </w:rPr>
            </w:pPr>
            <w:r>
              <w:rPr>
                <w:spacing w:val="-5"/>
                <w:sz w:val="17"/>
              </w:rPr>
              <w:t>0.0</w:t>
            </w:r>
          </w:p>
        </w:tc>
        <w:tc>
          <w:tcPr>
            <w:tcW w:w="631" w:type="dxa"/>
            <w:tcBorders>
              <w:bottom w:val="single" w:color="DCDDDE" w:sz="4" w:space="0"/>
            </w:tcBorders>
          </w:tcPr>
          <w:p w:rsidR="00C31389" w:rsidRDefault="00561FBD" w14:paraId="23B1D691" w14:textId="77777777">
            <w:pPr>
              <w:pStyle w:val="TableParagraph"/>
              <w:spacing w:before="20"/>
              <w:ind w:right="133"/>
              <w:jc w:val="right"/>
              <w:rPr>
                <w:sz w:val="17"/>
              </w:rPr>
            </w:pPr>
            <w:r>
              <w:rPr>
                <w:spacing w:val="-5"/>
                <w:sz w:val="17"/>
              </w:rPr>
              <w:t>0.0</w:t>
            </w:r>
          </w:p>
        </w:tc>
        <w:tc>
          <w:tcPr>
            <w:tcW w:w="613" w:type="dxa"/>
            <w:tcBorders>
              <w:bottom w:val="single" w:color="DCDDDE" w:sz="4" w:space="0"/>
            </w:tcBorders>
          </w:tcPr>
          <w:p w:rsidR="00C31389" w:rsidRDefault="00561FBD" w14:paraId="7881489F" w14:textId="77777777">
            <w:pPr>
              <w:pStyle w:val="TableParagraph"/>
              <w:spacing w:before="20"/>
              <w:ind w:right="116"/>
              <w:jc w:val="right"/>
              <w:rPr>
                <w:sz w:val="17"/>
              </w:rPr>
            </w:pPr>
            <w:r>
              <w:rPr>
                <w:spacing w:val="-5"/>
                <w:sz w:val="17"/>
              </w:rPr>
              <w:t>0.0</w:t>
            </w:r>
          </w:p>
        </w:tc>
      </w:tr>
      <w:tr w:rsidR="00C31389" w14:paraId="52C429A5" w14:textId="77777777">
        <w:trPr>
          <w:trHeight w:val="275"/>
        </w:trPr>
        <w:tc>
          <w:tcPr>
            <w:tcW w:w="1507" w:type="dxa"/>
            <w:tcBorders>
              <w:top w:val="single" w:color="DCDDDE" w:sz="4" w:space="0"/>
              <w:bottom w:val="single" w:color="DCDDDE" w:sz="4" w:space="0"/>
            </w:tcBorders>
          </w:tcPr>
          <w:p w:rsidR="00C31389" w:rsidRDefault="00561FBD" w14:paraId="35773119" w14:textId="77777777">
            <w:pPr>
              <w:pStyle w:val="TableParagraph"/>
              <w:spacing w:before="42"/>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38A35D28" w14:textId="77777777">
            <w:pPr>
              <w:pStyle w:val="TableParagraph"/>
              <w:spacing w:before="42"/>
              <w:ind w:right="192"/>
              <w:jc w:val="right"/>
              <w:rPr>
                <w:sz w:val="17"/>
              </w:rPr>
            </w:pPr>
            <w:r>
              <w:rPr>
                <w:spacing w:val="-5"/>
                <w:sz w:val="17"/>
              </w:rPr>
              <w:t>7.9</w:t>
            </w:r>
          </w:p>
        </w:tc>
        <w:tc>
          <w:tcPr>
            <w:tcW w:w="712" w:type="dxa"/>
            <w:tcBorders>
              <w:top w:val="single" w:color="DCDDDE" w:sz="4" w:space="0"/>
              <w:bottom w:val="single" w:color="DCDDDE" w:sz="4" w:space="0"/>
            </w:tcBorders>
          </w:tcPr>
          <w:p w:rsidR="00C31389" w:rsidRDefault="00561FBD" w14:paraId="6E398F89" w14:textId="77777777">
            <w:pPr>
              <w:pStyle w:val="TableParagraph"/>
              <w:spacing w:before="42"/>
              <w:ind w:right="138"/>
              <w:jc w:val="right"/>
              <w:rPr>
                <w:sz w:val="17"/>
              </w:rPr>
            </w:pPr>
            <w:r>
              <w:rPr>
                <w:spacing w:val="-5"/>
                <w:sz w:val="17"/>
              </w:rPr>
              <w:t>8.2</w:t>
            </w:r>
          </w:p>
        </w:tc>
        <w:tc>
          <w:tcPr>
            <w:tcW w:w="644" w:type="dxa"/>
            <w:tcBorders>
              <w:top w:val="single" w:color="DCDDDE" w:sz="4" w:space="0"/>
              <w:bottom w:val="single" w:color="DCDDDE" w:sz="4" w:space="0"/>
            </w:tcBorders>
          </w:tcPr>
          <w:p w:rsidR="00C31389" w:rsidRDefault="00561FBD" w14:paraId="314469F7" w14:textId="77777777">
            <w:pPr>
              <w:pStyle w:val="TableParagraph"/>
              <w:spacing w:before="42"/>
              <w:ind w:right="125"/>
              <w:jc w:val="right"/>
              <w:rPr>
                <w:sz w:val="17"/>
              </w:rPr>
            </w:pPr>
            <w:r>
              <w:rPr>
                <w:spacing w:val="-5"/>
                <w:sz w:val="17"/>
              </w:rPr>
              <w:t>8.6</w:t>
            </w:r>
          </w:p>
        </w:tc>
        <w:tc>
          <w:tcPr>
            <w:tcW w:w="631" w:type="dxa"/>
            <w:tcBorders>
              <w:top w:val="single" w:color="DCDDDE" w:sz="4" w:space="0"/>
              <w:bottom w:val="single" w:color="DCDDDE" w:sz="4" w:space="0"/>
            </w:tcBorders>
          </w:tcPr>
          <w:p w:rsidR="00C31389" w:rsidRDefault="00561FBD" w14:paraId="28A1F17D" w14:textId="77777777">
            <w:pPr>
              <w:pStyle w:val="TableParagraph"/>
              <w:spacing w:before="42"/>
              <w:ind w:right="126"/>
              <w:jc w:val="right"/>
              <w:rPr>
                <w:sz w:val="17"/>
              </w:rPr>
            </w:pPr>
            <w:r>
              <w:rPr>
                <w:spacing w:val="-5"/>
                <w:sz w:val="17"/>
              </w:rPr>
              <w:t>8.9</w:t>
            </w:r>
          </w:p>
        </w:tc>
        <w:tc>
          <w:tcPr>
            <w:tcW w:w="631" w:type="dxa"/>
            <w:tcBorders>
              <w:top w:val="single" w:color="DCDDDE" w:sz="4" w:space="0"/>
              <w:bottom w:val="single" w:color="DCDDDE" w:sz="4" w:space="0"/>
            </w:tcBorders>
          </w:tcPr>
          <w:p w:rsidR="00C31389" w:rsidRDefault="00561FBD" w14:paraId="67BA0A32" w14:textId="77777777">
            <w:pPr>
              <w:pStyle w:val="TableParagraph"/>
              <w:spacing w:before="42"/>
              <w:ind w:right="127"/>
              <w:jc w:val="right"/>
              <w:rPr>
                <w:sz w:val="17"/>
              </w:rPr>
            </w:pPr>
            <w:r>
              <w:rPr>
                <w:spacing w:val="-5"/>
                <w:sz w:val="17"/>
              </w:rPr>
              <w:t>9.3</w:t>
            </w:r>
          </w:p>
        </w:tc>
        <w:tc>
          <w:tcPr>
            <w:tcW w:w="631" w:type="dxa"/>
            <w:tcBorders>
              <w:top w:val="single" w:color="DCDDDE" w:sz="4" w:space="0"/>
              <w:bottom w:val="single" w:color="DCDDDE" w:sz="4" w:space="0"/>
            </w:tcBorders>
          </w:tcPr>
          <w:p w:rsidR="00C31389" w:rsidRDefault="00561FBD" w14:paraId="67260C6F" w14:textId="77777777">
            <w:pPr>
              <w:pStyle w:val="TableParagraph"/>
              <w:spacing w:before="42"/>
              <w:ind w:left="248"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39B7EA39" w14:textId="77777777">
            <w:pPr>
              <w:pStyle w:val="TableParagraph"/>
              <w:spacing w:before="42"/>
              <w:ind w:left="106" w:right="70"/>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5FA155C3" w14:textId="77777777">
            <w:pPr>
              <w:pStyle w:val="TableParagraph"/>
              <w:spacing w:before="42"/>
              <w:ind w:right="130"/>
              <w:jc w:val="right"/>
              <w:rPr>
                <w:sz w:val="17"/>
              </w:rPr>
            </w:pPr>
            <w:r>
              <w:rPr>
                <w:spacing w:val="-4"/>
                <w:sz w:val="17"/>
              </w:rPr>
              <w:t>10.6</w:t>
            </w:r>
          </w:p>
        </w:tc>
        <w:tc>
          <w:tcPr>
            <w:tcW w:w="631" w:type="dxa"/>
            <w:tcBorders>
              <w:top w:val="single" w:color="DCDDDE" w:sz="4" w:space="0"/>
              <w:bottom w:val="single" w:color="DCDDDE" w:sz="4" w:space="0"/>
            </w:tcBorders>
          </w:tcPr>
          <w:p w:rsidR="00C31389" w:rsidRDefault="00561FBD" w14:paraId="4B63F780" w14:textId="77777777">
            <w:pPr>
              <w:pStyle w:val="TableParagraph"/>
              <w:spacing w:before="42"/>
              <w:ind w:right="131"/>
              <w:jc w:val="right"/>
              <w:rPr>
                <w:sz w:val="17"/>
              </w:rPr>
            </w:pPr>
            <w:r>
              <w:rPr>
                <w:spacing w:val="-4"/>
                <w:sz w:val="17"/>
              </w:rPr>
              <w:t>11.1</w:t>
            </w:r>
          </w:p>
        </w:tc>
        <w:tc>
          <w:tcPr>
            <w:tcW w:w="631" w:type="dxa"/>
            <w:tcBorders>
              <w:top w:val="single" w:color="DCDDDE" w:sz="4" w:space="0"/>
              <w:bottom w:val="single" w:color="DCDDDE" w:sz="4" w:space="0"/>
            </w:tcBorders>
          </w:tcPr>
          <w:p w:rsidR="00C31389" w:rsidRDefault="00561FBD" w14:paraId="551AC549" w14:textId="77777777">
            <w:pPr>
              <w:pStyle w:val="TableParagraph"/>
              <w:spacing w:before="42"/>
              <w:ind w:left="106" w:right="76"/>
              <w:jc w:val="center"/>
              <w:rPr>
                <w:sz w:val="17"/>
              </w:rPr>
            </w:pPr>
            <w:r>
              <w:rPr>
                <w:spacing w:val="-4"/>
                <w:sz w:val="17"/>
              </w:rPr>
              <w:t>11.6</w:t>
            </w:r>
          </w:p>
        </w:tc>
        <w:tc>
          <w:tcPr>
            <w:tcW w:w="631" w:type="dxa"/>
            <w:tcBorders>
              <w:top w:val="single" w:color="DCDDDE" w:sz="4" w:space="0"/>
              <w:bottom w:val="single" w:color="DCDDDE" w:sz="4" w:space="0"/>
            </w:tcBorders>
          </w:tcPr>
          <w:p w:rsidR="00C31389" w:rsidRDefault="00561FBD" w14:paraId="7F0F6EE9" w14:textId="77777777">
            <w:pPr>
              <w:pStyle w:val="TableParagraph"/>
              <w:spacing w:before="42"/>
              <w:ind w:right="133"/>
              <w:jc w:val="right"/>
              <w:rPr>
                <w:sz w:val="17"/>
              </w:rPr>
            </w:pPr>
            <w:r>
              <w:rPr>
                <w:spacing w:val="-4"/>
                <w:sz w:val="17"/>
              </w:rPr>
              <w:t>12.1</w:t>
            </w:r>
          </w:p>
        </w:tc>
        <w:tc>
          <w:tcPr>
            <w:tcW w:w="613" w:type="dxa"/>
            <w:tcBorders>
              <w:top w:val="single" w:color="DCDDDE" w:sz="4" w:space="0"/>
              <w:bottom w:val="single" w:color="DCDDDE" w:sz="4" w:space="0"/>
            </w:tcBorders>
          </w:tcPr>
          <w:p w:rsidR="00C31389" w:rsidRDefault="00561FBD" w14:paraId="0E1EE858" w14:textId="77777777">
            <w:pPr>
              <w:pStyle w:val="TableParagraph"/>
              <w:spacing w:before="42"/>
              <w:ind w:right="116"/>
              <w:jc w:val="right"/>
              <w:rPr>
                <w:sz w:val="17"/>
              </w:rPr>
            </w:pPr>
            <w:r>
              <w:rPr>
                <w:spacing w:val="-4"/>
                <w:sz w:val="17"/>
              </w:rPr>
              <w:t>13.5</w:t>
            </w:r>
          </w:p>
        </w:tc>
      </w:tr>
      <w:tr w:rsidR="00C31389" w14:paraId="7361E601"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4A7E8930"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4B6F4540" w14:textId="77777777">
        <w:trPr>
          <w:trHeight w:val="275"/>
        </w:trPr>
        <w:tc>
          <w:tcPr>
            <w:tcW w:w="1507" w:type="dxa"/>
            <w:tcBorders>
              <w:top w:val="single" w:color="DCDDDE" w:sz="4" w:space="0"/>
              <w:bottom w:val="single" w:color="DCDDDE" w:sz="4" w:space="0"/>
            </w:tcBorders>
          </w:tcPr>
          <w:p w:rsidR="00C31389" w:rsidRDefault="00561FBD" w14:paraId="0DC19FF7" w14:textId="77777777">
            <w:pPr>
              <w:pStyle w:val="TableParagraph"/>
              <w:spacing w:before="42"/>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582273E9" w14:textId="77777777">
            <w:pPr>
              <w:pStyle w:val="TableParagraph"/>
              <w:spacing w:before="42"/>
              <w:ind w:right="192"/>
              <w:jc w:val="right"/>
              <w:rPr>
                <w:sz w:val="17"/>
              </w:rPr>
            </w:pPr>
            <w:r>
              <w:rPr>
                <w:spacing w:val="-4"/>
                <w:sz w:val="17"/>
              </w:rPr>
              <w:t>10.8</w:t>
            </w:r>
          </w:p>
        </w:tc>
        <w:tc>
          <w:tcPr>
            <w:tcW w:w="712" w:type="dxa"/>
            <w:tcBorders>
              <w:top w:val="single" w:color="DCDDDE" w:sz="4" w:space="0"/>
              <w:bottom w:val="single" w:color="DCDDDE" w:sz="4" w:space="0"/>
            </w:tcBorders>
          </w:tcPr>
          <w:p w:rsidR="00C31389" w:rsidRDefault="00561FBD" w14:paraId="3CC59FCA" w14:textId="77777777">
            <w:pPr>
              <w:pStyle w:val="TableParagraph"/>
              <w:spacing w:before="42"/>
              <w:ind w:right="138"/>
              <w:jc w:val="right"/>
              <w:rPr>
                <w:sz w:val="17"/>
              </w:rPr>
            </w:pPr>
            <w:r>
              <w:rPr>
                <w:spacing w:val="-4"/>
                <w:sz w:val="17"/>
              </w:rPr>
              <w:t>13.1</w:t>
            </w:r>
          </w:p>
        </w:tc>
        <w:tc>
          <w:tcPr>
            <w:tcW w:w="644" w:type="dxa"/>
            <w:tcBorders>
              <w:top w:val="single" w:color="DCDDDE" w:sz="4" w:space="0"/>
              <w:bottom w:val="single" w:color="DCDDDE" w:sz="4" w:space="0"/>
            </w:tcBorders>
          </w:tcPr>
          <w:p w:rsidR="00C31389" w:rsidRDefault="00561FBD" w14:paraId="048FE2AD" w14:textId="77777777">
            <w:pPr>
              <w:pStyle w:val="TableParagraph"/>
              <w:spacing w:before="42"/>
              <w:ind w:right="125"/>
              <w:jc w:val="right"/>
              <w:rPr>
                <w:sz w:val="17"/>
              </w:rPr>
            </w:pPr>
            <w:r>
              <w:rPr>
                <w:spacing w:val="-4"/>
                <w:sz w:val="17"/>
              </w:rPr>
              <w:t>13.4</w:t>
            </w:r>
          </w:p>
        </w:tc>
        <w:tc>
          <w:tcPr>
            <w:tcW w:w="631" w:type="dxa"/>
            <w:tcBorders>
              <w:top w:val="single" w:color="DCDDDE" w:sz="4" w:space="0"/>
              <w:bottom w:val="single" w:color="DCDDDE" w:sz="4" w:space="0"/>
            </w:tcBorders>
          </w:tcPr>
          <w:p w:rsidR="00C31389" w:rsidRDefault="00561FBD" w14:paraId="1EF7B59B" w14:textId="77777777">
            <w:pPr>
              <w:pStyle w:val="TableParagraph"/>
              <w:spacing w:before="42"/>
              <w:ind w:right="126"/>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1FFEBBF9" w14:textId="77777777">
            <w:pPr>
              <w:pStyle w:val="TableParagraph"/>
              <w:spacing w:before="42"/>
              <w:ind w:right="127"/>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0A7E0FEF" w14:textId="77777777">
            <w:pPr>
              <w:pStyle w:val="TableParagraph"/>
              <w:spacing w:before="42"/>
              <w:ind w:left="106" w:right="68"/>
              <w:jc w:val="center"/>
              <w:rPr>
                <w:sz w:val="17"/>
              </w:rPr>
            </w:pPr>
            <w:r>
              <w:rPr>
                <w:spacing w:val="-4"/>
                <w:sz w:val="17"/>
              </w:rPr>
              <w:t>11.1</w:t>
            </w:r>
          </w:p>
        </w:tc>
        <w:tc>
          <w:tcPr>
            <w:tcW w:w="631" w:type="dxa"/>
            <w:tcBorders>
              <w:top w:val="single" w:color="DCDDDE" w:sz="4" w:space="0"/>
              <w:bottom w:val="single" w:color="DCDDDE" w:sz="4" w:space="0"/>
            </w:tcBorders>
          </w:tcPr>
          <w:p w:rsidR="00C31389" w:rsidRDefault="00561FBD" w14:paraId="2135FA73" w14:textId="77777777">
            <w:pPr>
              <w:pStyle w:val="TableParagraph"/>
              <w:spacing w:before="42"/>
              <w:ind w:left="106" w:right="70"/>
              <w:jc w:val="center"/>
              <w:rPr>
                <w:sz w:val="17"/>
              </w:rPr>
            </w:pPr>
            <w:r>
              <w:rPr>
                <w:spacing w:val="-4"/>
                <w:sz w:val="17"/>
              </w:rPr>
              <w:t>10.8</w:t>
            </w:r>
          </w:p>
        </w:tc>
        <w:tc>
          <w:tcPr>
            <w:tcW w:w="631" w:type="dxa"/>
            <w:tcBorders>
              <w:top w:val="single" w:color="DCDDDE" w:sz="4" w:space="0"/>
              <w:bottom w:val="single" w:color="DCDDDE" w:sz="4" w:space="0"/>
            </w:tcBorders>
          </w:tcPr>
          <w:p w:rsidR="00C31389" w:rsidRDefault="00561FBD" w14:paraId="2ED5D137" w14:textId="77777777">
            <w:pPr>
              <w:pStyle w:val="TableParagraph"/>
              <w:spacing w:before="42"/>
              <w:ind w:right="130"/>
              <w:jc w:val="right"/>
              <w:rPr>
                <w:sz w:val="17"/>
              </w:rPr>
            </w:pPr>
            <w:r>
              <w:rPr>
                <w:spacing w:val="-4"/>
                <w:sz w:val="17"/>
              </w:rPr>
              <w:t>10.0</w:t>
            </w:r>
          </w:p>
        </w:tc>
        <w:tc>
          <w:tcPr>
            <w:tcW w:w="631" w:type="dxa"/>
            <w:tcBorders>
              <w:top w:val="single" w:color="DCDDDE" w:sz="4" w:space="0"/>
              <w:bottom w:val="single" w:color="DCDDDE" w:sz="4" w:space="0"/>
            </w:tcBorders>
          </w:tcPr>
          <w:p w:rsidR="00C31389" w:rsidRDefault="00561FBD" w14:paraId="5BC7F0BD" w14:textId="77777777">
            <w:pPr>
              <w:pStyle w:val="TableParagraph"/>
              <w:spacing w:before="42"/>
              <w:ind w:right="132"/>
              <w:jc w:val="right"/>
              <w:rPr>
                <w:sz w:val="17"/>
              </w:rPr>
            </w:pPr>
            <w:r>
              <w:rPr>
                <w:spacing w:val="-4"/>
                <w:sz w:val="17"/>
              </w:rPr>
              <w:t>10.5</w:t>
            </w:r>
          </w:p>
        </w:tc>
        <w:tc>
          <w:tcPr>
            <w:tcW w:w="631" w:type="dxa"/>
            <w:tcBorders>
              <w:top w:val="single" w:color="DCDDDE" w:sz="4" w:space="0"/>
              <w:bottom w:val="single" w:color="DCDDDE" w:sz="4" w:space="0"/>
            </w:tcBorders>
          </w:tcPr>
          <w:p w:rsidR="00C31389" w:rsidRDefault="00561FBD" w14:paraId="206B609F" w14:textId="77777777">
            <w:pPr>
              <w:pStyle w:val="TableParagraph"/>
              <w:spacing w:before="42"/>
              <w:ind w:left="106" w:right="77"/>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5266850F" w14:textId="77777777">
            <w:pPr>
              <w:pStyle w:val="TableParagraph"/>
              <w:spacing w:before="42"/>
              <w:ind w:right="134"/>
              <w:jc w:val="right"/>
              <w:rPr>
                <w:sz w:val="17"/>
              </w:rPr>
            </w:pPr>
            <w:r>
              <w:rPr>
                <w:spacing w:val="-5"/>
                <w:sz w:val="17"/>
              </w:rPr>
              <w:t>9.7</w:t>
            </w:r>
          </w:p>
        </w:tc>
        <w:tc>
          <w:tcPr>
            <w:tcW w:w="613" w:type="dxa"/>
            <w:tcBorders>
              <w:top w:val="single" w:color="DCDDDE" w:sz="4" w:space="0"/>
              <w:bottom w:val="single" w:color="DCDDDE" w:sz="4" w:space="0"/>
            </w:tcBorders>
          </w:tcPr>
          <w:p w:rsidR="00C31389" w:rsidRDefault="00561FBD" w14:paraId="420B6D5C" w14:textId="77777777">
            <w:pPr>
              <w:pStyle w:val="TableParagraph"/>
              <w:spacing w:before="42"/>
              <w:ind w:right="117"/>
              <w:jc w:val="right"/>
              <w:rPr>
                <w:sz w:val="17"/>
              </w:rPr>
            </w:pPr>
            <w:r>
              <w:rPr>
                <w:spacing w:val="-5"/>
                <w:sz w:val="17"/>
              </w:rPr>
              <w:t>9.4</w:t>
            </w:r>
          </w:p>
        </w:tc>
      </w:tr>
      <w:tr w:rsidR="00C31389" w14:paraId="37D833C7" w14:textId="77777777">
        <w:trPr>
          <w:trHeight w:val="275"/>
        </w:trPr>
        <w:tc>
          <w:tcPr>
            <w:tcW w:w="1507" w:type="dxa"/>
            <w:tcBorders>
              <w:top w:val="single" w:color="DCDDDE" w:sz="4" w:space="0"/>
              <w:bottom w:val="single" w:color="DCDDDE" w:sz="4" w:space="0"/>
            </w:tcBorders>
          </w:tcPr>
          <w:p w:rsidR="00C31389" w:rsidRDefault="00561FBD" w14:paraId="06C0987F"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25A6F75C" w14:textId="77777777">
            <w:pPr>
              <w:pStyle w:val="TableParagraph"/>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116C593E" w14:textId="77777777">
            <w:pPr>
              <w:pStyle w:val="TableParagraph"/>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04A86AAE" w14:textId="77777777">
            <w:pPr>
              <w:pStyle w:val="TableParagraph"/>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C114FCE" w14:textId="77777777">
            <w:pPr>
              <w:pStyle w:val="TableParagraph"/>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F2F6D53"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6981DAAC" w14:textId="77777777">
            <w:pPr>
              <w:pStyle w:val="TableParagraph"/>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5AEEA4D" w14:textId="77777777">
            <w:pPr>
              <w:pStyle w:val="TableParagraph"/>
              <w:ind w:left="245" w:right="114"/>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125F6271"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050540D"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4B5701B"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4F9A9F8A"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79E741E7" w14:textId="77777777">
            <w:pPr>
              <w:pStyle w:val="TableParagraph"/>
              <w:ind w:right="116"/>
              <w:jc w:val="right"/>
              <w:rPr>
                <w:sz w:val="17"/>
              </w:rPr>
            </w:pPr>
            <w:r>
              <w:rPr>
                <w:spacing w:val="-5"/>
                <w:sz w:val="17"/>
              </w:rPr>
              <w:t>0.0</w:t>
            </w:r>
          </w:p>
        </w:tc>
      </w:tr>
      <w:tr w:rsidR="00C31389" w14:paraId="5453F87C" w14:textId="77777777">
        <w:trPr>
          <w:trHeight w:val="275"/>
        </w:trPr>
        <w:tc>
          <w:tcPr>
            <w:tcW w:w="1507" w:type="dxa"/>
            <w:tcBorders>
              <w:top w:val="single" w:color="DCDDDE" w:sz="4" w:space="0"/>
              <w:bottom w:val="single" w:color="DCDDDE" w:sz="4" w:space="0"/>
            </w:tcBorders>
          </w:tcPr>
          <w:p w:rsidR="00C31389" w:rsidRDefault="00561FBD" w14:paraId="7C4732AE"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527031CC" w14:textId="77777777">
            <w:pPr>
              <w:pStyle w:val="TableParagraph"/>
              <w:ind w:right="192"/>
              <w:jc w:val="right"/>
              <w:rPr>
                <w:sz w:val="17"/>
              </w:rPr>
            </w:pPr>
            <w:r>
              <w:rPr>
                <w:spacing w:val="-5"/>
                <w:sz w:val="17"/>
              </w:rPr>
              <w:t>7.9</w:t>
            </w:r>
          </w:p>
        </w:tc>
        <w:tc>
          <w:tcPr>
            <w:tcW w:w="712" w:type="dxa"/>
            <w:tcBorders>
              <w:top w:val="single" w:color="DCDDDE" w:sz="4" w:space="0"/>
              <w:bottom w:val="single" w:color="DCDDDE" w:sz="4" w:space="0"/>
            </w:tcBorders>
          </w:tcPr>
          <w:p w:rsidR="00C31389" w:rsidRDefault="00561FBD" w14:paraId="3533513A" w14:textId="77777777">
            <w:pPr>
              <w:pStyle w:val="TableParagraph"/>
              <w:ind w:right="138"/>
              <w:jc w:val="right"/>
              <w:rPr>
                <w:sz w:val="17"/>
              </w:rPr>
            </w:pPr>
            <w:r>
              <w:rPr>
                <w:spacing w:val="-5"/>
                <w:sz w:val="17"/>
              </w:rPr>
              <w:t>8.2</w:t>
            </w:r>
          </w:p>
        </w:tc>
        <w:tc>
          <w:tcPr>
            <w:tcW w:w="644" w:type="dxa"/>
            <w:tcBorders>
              <w:top w:val="single" w:color="DCDDDE" w:sz="4" w:space="0"/>
              <w:bottom w:val="single" w:color="DCDDDE" w:sz="4" w:space="0"/>
            </w:tcBorders>
          </w:tcPr>
          <w:p w:rsidR="00C31389" w:rsidRDefault="00561FBD" w14:paraId="0CBFEA0D" w14:textId="77777777">
            <w:pPr>
              <w:pStyle w:val="TableParagraph"/>
              <w:ind w:right="125"/>
              <w:jc w:val="right"/>
              <w:rPr>
                <w:sz w:val="17"/>
              </w:rPr>
            </w:pPr>
            <w:r>
              <w:rPr>
                <w:spacing w:val="-5"/>
                <w:sz w:val="17"/>
              </w:rPr>
              <w:t>8.6</w:t>
            </w:r>
          </w:p>
        </w:tc>
        <w:tc>
          <w:tcPr>
            <w:tcW w:w="631" w:type="dxa"/>
            <w:tcBorders>
              <w:top w:val="single" w:color="DCDDDE" w:sz="4" w:space="0"/>
              <w:bottom w:val="single" w:color="DCDDDE" w:sz="4" w:space="0"/>
            </w:tcBorders>
          </w:tcPr>
          <w:p w:rsidR="00C31389" w:rsidRDefault="00561FBD" w14:paraId="3982AF3E" w14:textId="77777777">
            <w:pPr>
              <w:pStyle w:val="TableParagraph"/>
              <w:ind w:right="126"/>
              <w:jc w:val="right"/>
              <w:rPr>
                <w:sz w:val="17"/>
              </w:rPr>
            </w:pPr>
            <w:r>
              <w:rPr>
                <w:spacing w:val="-5"/>
                <w:sz w:val="17"/>
              </w:rPr>
              <w:t>8.9</w:t>
            </w:r>
          </w:p>
        </w:tc>
        <w:tc>
          <w:tcPr>
            <w:tcW w:w="631" w:type="dxa"/>
            <w:tcBorders>
              <w:top w:val="single" w:color="DCDDDE" w:sz="4" w:space="0"/>
              <w:bottom w:val="single" w:color="DCDDDE" w:sz="4" w:space="0"/>
            </w:tcBorders>
          </w:tcPr>
          <w:p w:rsidR="00C31389" w:rsidRDefault="00561FBD" w14:paraId="6589B20A" w14:textId="77777777">
            <w:pPr>
              <w:pStyle w:val="TableParagraph"/>
              <w:ind w:right="127"/>
              <w:jc w:val="right"/>
              <w:rPr>
                <w:sz w:val="17"/>
              </w:rPr>
            </w:pPr>
            <w:r>
              <w:rPr>
                <w:spacing w:val="-5"/>
                <w:sz w:val="17"/>
              </w:rPr>
              <w:t>9.3</w:t>
            </w:r>
          </w:p>
        </w:tc>
        <w:tc>
          <w:tcPr>
            <w:tcW w:w="631" w:type="dxa"/>
            <w:tcBorders>
              <w:top w:val="single" w:color="DCDDDE" w:sz="4" w:space="0"/>
              <w:bottom w:val="single" w:color="DCDDDE" w:sz="4" w:space="0"/>
            </w:tcBorders>
          </w:tcPr>
          <w:p w:rsidR="00C31389" w:rsidRDefault="00561FBD" w14:paraId="6E8025A3" w14:textId="77777777">
            <w:pPr>
              <w:pStyle w:val="TableParagraph"/>
              <w:ind w:left="248"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4530CFA8" w14:textId="77777777">
            <w:pPr>
              <w:pStyle w:val="TableParagraph"/>
              <w:ind w:left="106" w:right="70"/>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7C9B3A2B" w14:textId="77777777">
            <w:pPr>
              <w:pStyle w:val="TableParagraph"/>
              <w:ind w:right="130"/>
              <w:jc w:val="right"/>
              <w:rPr>
                <w:sz w:val="17"/>
              </w:rPr>
            </w:pPr>
            <w:r>
              <w:rPr>
                <w:spacing w:val="-4"/>
                <w:sz w:val="17"/>
              </w:rPr>
              <w:t>10.6</w:t>
            </w:r>
          </w:p>
        </w:tc>
        <w:tc>
          <w:tcPr>
            <w:tcW w:w="631" w:type="dxa"/>
            <w:tcBorders>
              <w:top w:val="single" w:color="DCDDDE" w:sz="4" w:space="0"/>
              <w:bottom w:val="single" w:color="DCDDDE" w:sz="4" w:space="0"/>
            </w:tcBorders>
          </w:tcPr>
          <w:p w:rsidR="00C31389" w:rsidRDefault="00561FBD" w14:paraId="6A13712A" w14:textId="77777777">
            <w:pPr>
              <w:pStyle w:val="TableParagraph"/>
              <w:ind w:right="131"/>
              <w:jc w:val="right"/>
              <w:rPr>
                <w:sz w:val="17"/>
              </w:rPr>
            </w:pPr>
            <w:r>
              <w:rPr>
                <w:spacing w:val="-4"/>
                <w:sz w:val="17"/>
              </w:rPr>
              <w:t>11.1</w:t>
            </w:r>
          </w:p>
        </w:tc>
        <w:tc>
          <w:tcPr>
            <w:tcW w:w="631" w:type="dxa"/>
            <w:tcBorders>
              <w:top w:val="single" w:color="DCDDDE" w:sz="4" w:space="0"/>
              <w:bottom w:val="single" w:color="DCDDDE" w:sz="4" w:space="0"/>
            </w:tcBorders>
          </w:tcPr>
          <w:p w:rsidR="00C31389" w:rsidRDefault="00561FBD" w14:paraId="06E947AE" w14:textId="77777777">
            <w:pPr>
              <w:pStyle w:val="TableParagraph"/>
              <w:ind w:left="106" w:right="76"/>
              <w:jc w:val="center"/>
              <w:rPr>
                <w:sz w:val="17"/>
              </w:rPr>
            </w:pPr>
            <w:r>
              <w:rPr>
                <w:spacing w:val="-4"/>
                <w:sz w:val="17"/>
              </w:rPr>
              <w:t>11.6</w:t>
            </w:r>
          </w:p>
        </w:tc>
        <w:tc>
          <w:tcPr>
            <w:tcW w:w="631" w:type="dxa"/>
            <w:tcBorders>
              <w:top w:val="single" w:color="DCDDDE" w:sz="4" w:space="0"/>
              <w:bottom w:val="single" w:color="DCDDDE" w:sz="4" w:space="0"/>
            </w:tcBorders>
          </w:tcPr>
          <w:p w:rsidR="00C31389" w:rsidRDefault="00561FBD" w14:paraId="3E6F9582" w14:textId="77777777">
            <w:pPr>
              <w:pStyle w:val="TableParagraph"/>
              <w:ind w:right="133"/>
              <w:jc w:val="right"/>
              <w:rPr>
                <w:sz w:val="17"/>
              </w:rPr>
            </w:pPr>
            <w:r>
              <w:rPr>
                <w:spacing w:val="-4"/>
                <w:sz w:val="17"/>
              </w:rPr>
              <w:t>12.1</w:t>
            </w:r>
          </w:p>
        </w:tc>
        <w:tc>
          <w:tcPr>
            <w:tcW w:w="613" w:type="dxa"/>
            <w:tcBorders>
              <w:top w:val="single" w:color="DCDDDE" w:sz="4" w:space="0"/>
              <w:bottom w:val="single" w:color="DCDDDE" w:sz="4" w:space="0"/>
            </w:tcBorders>
          </w:tcPr>
          <w:p w:rsidR="00C31389" w:rsidRDefault="00561FBD" w14:paraId="59C77803" w14:textId="77777777">
            <w:pPr>
              <w:pStyle w:val="TableParagraph"/>
              <w:ind w:right="116"/>
              <w:jc w:val="right"/>
              <w:rPr>
                <w:sz w:val="17"/>
              </w:rPr>
            </w:pPr>
            <w:r>
              <w:rPr>
                <w:spacing w:val="-4"/>
                <w:sz w:val="17"/>
              </w:rPr>
              <w:t>13.5</w:t>
            </w:r>
          </w:p>
        </w:tc>
      </w:tr>
      <w:tr w:rsidR="00C31389" w14:paraId="5D12F734"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34708E61"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5C1C510E" w14:textId="77777777">
        <w:trPr>
          <w:trHeight w:val="275"/>
        </w:trPr>
        <w:tc>
          <w:tcPr>
            <w:tcW w:w="1507" w:type="dxa"/>
            <w:tcBorders>
              <w:top w:val="single" w:color="DCDDDE" w:sz="4" w:space="0"/>
              <w:bottom w:val="single" w:color="DCDDDE" w:sz="4" w:space="0"/>
            </w:tcBorders>
          </w:tcPr>
          <w:p w:rsidR="00C31389" w:rsidRDefault="00561FBD" w14:paraId="3BA2692C"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60A98A4F" w14:textId="77777777">
            <w:pPr>
              <w:pStyle w:val="TableParagraph"/>
              <w:ind w:right="192"/>
              <w:jc w:val="right"/>
              <w:rPr>
                <w:sz w:val="17"/>
              </w:rPr>
            </w:pPr>
            <w:r>
              <w:rPr>
                <w:spacing w:val="-4"/>
                <w:sz w:val="17"/>
              </w:rPr>
              <w:t>10.9</w:t>
            </w:r>
          </w:p>
        </w:tc>
        <w:tc>
          <w:tcPr>
            <w:tcW w:w="712" w:type="dxa"/>
            <w:tcBorders>
              <w:top w:val="single" w:color="DCDDDE" w:sz="4" w:space="0"/>
              <w:bottom w:val="single" w:color="DCDDDE" w:sz="4" w:space="0"/>
            </w:tcBorders>
          </w:tcPr>
          <w:p w:rsidR="00C31389" w:rsidRDefault="00561FBD" w14:paraId="632BE3EB" w14:textId="77777777">
            <w:pPr>
              <w:pStyle w:val="TableParagraph"/>
              <w:ind w:right="138"/>
              <w:jc w:val="right"/>
              <w:rPr>
                <w:sz w:val="17"/>
              </w:rPr>
            </w:pPr>
            <w:r>
              <w:rPr>
                <w:spacing w:val="-4"/>
                <w:sz w:val="17"/>
              </w:rPr>
              <w:t>13.2</w:t>
            </w:r>
          </w:p>
        </w:tc>
        <w:tc>
          <w:tcPr>
            <w:tcW w:w="644" w:type="dxa"/>
            <w:tcBorders>
              <w:top w:val="single" w:color="DCDDDE" w:sz="4" w:space="0"/>
              <w:bottom w:val="single" w:color="DCDDDE" w:sz="4" w:space="0"/>
            </w:tcBorders>
          </w:tcPr>
          <w:p w:rsidR="00C31389" w:rsidRDefault="00561FBD" w14:paraId="25D3ABCE" w14:textId="77777777">
            <w:pPr>
              <w:pStyle w:val="TableParagraph"/>
              <w:ind w:right="125"/>
              <w:jc w:val="right"/>
              <w:rPr>
                <w:sz w:val="17"/>
              </w:rPr>
            </w:pPr>
            <w:r>
              <w:rPr>
                <w:spacing w:val="-4"/>
                <w:sz w:val="17"/>
              </w:rPr>
              <w:t>13.4</w:t>
            </w:r>
          </w:p>
        </w:tc>
        <w:tc>
          <w:tcPr>
            <w:tcW w:w="631" w:type="dxa"/>
            <w:tcBorders>
              <w:top w:val="single" w:color="DCDDDE" w:sz="4" w:space="0"/>
              <w:bottom w:val="single" w:color="DCDDDE" w:sz="4" w:space="0"/>
            </w:tcBorders>
          </w:tcPr>
          <w:p w:rsidR="00C31389" w:rsidRDefault="00561FBD" w14:paraId="4472B3DC" w14:textId="77777777">
            <w:pPr>
              <w:pStyle w:val="TableParagraph"/>
              <w:ind w:right="126"/>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7F6AD755" w14:textId="77777777">
            <w:pPr>
              <w:pStyle w:val="TableParagraph"/>
              <w:ind w:right="127"/>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40D3E4F8" w14:textId="77777777">
            <w:pPr>
              <w:pStyle w:val="TableParagraph"/>
              <w:ind w:left="106" w:right="68"/>
              <w:jc w:val="center"/>
              <w:rPr>
                <w:sz w:val="17"/>
              </w:rPr>
            </w:pPr>
            <w:r>
              <w:rPr>
                <w:spacing w:val="-4"/>
                <w:sz w:val="17"/>
              </w:rPr>
              <w:t>11.1</w:t>
            </w:r>
          </w:p>
        </w:tc>
        <w:tc>
          <w:tcPr>
            <w:tcW w:w="631" w:type="dxa"/>
            <w:tcBorders>
              <w:top w:val="single" w:color="DCDDDE" w:sz="4" w:space="0"/>
              <w:bottom w:val="single" w:color="DCDDDE" w:sz="4" w:space="0"/>
            </w:tcBorders>
          </w:tcPr>
          <w:p w:rsidR="00C31389" w:rsidRDefault="00561FBD" w14:paraId="1C03D922" w14:textId="77777777">
            <w:pPr>
              <w:pStyle w:val="TableParagraph"/>
              <w:ind w:left="106" w:right="70"/>
              <w:jc w:val="center"/>
              <w:rPr>
                <w:sz w:val="17"/>
              </w:rPr>
            </w:pPr>
            <w:r>
              <w:rPr>
                <w:spacing w:val="-4"/>
                <w:sz w:val="17"/>
              </w:rPr>
              <w:t>10.8</w:t>
            </w:r>
          </w:p>
        </w:tc>
        <w:tc>
          <w:tcPr>
            <w:tcW w:w="631" w:type="dxa"/>
            <w:tcBorders>
              <w:top w:val="single" w:color="DCDDDE" w:sz="4" w:space="0"/>
              <w:bottom w:val="single" w:color="DCDDDE" w:sz="4" w:space="0"/>
            </w:tcBorders>
          </w:tcPr>
          <w:p w:rsidR="00C31389" w:rsidRDefault="00561FBD" w14:paraId="5AADBB6D" w14:textId="77777777">
            <w:pPr>
              <w:pStyle w:val="TableParagraph"/>
              <w:ind w:right="131"/>
              <w:jc w:val="right"/>
              <w:rPr>
                <w:sz w:val="17"/>
              </w:rPr>
            </w:pPr>
            <w:r>
              <w:rPr>
                <w:spacing w:val="-5"/>
                <w:sz w:val="17"/>
              </w:rPr>
              <w:t>9.9</w:t>
            </w:r>
          </w:p>
        </w:tc>
        <w:tc>
          <w:tcPr>
            <w:tcW w:w="631" w:type="dxa"/>
            <w:tcBorders>
              <w:top w:val="single" w:color="DCDDDE" w:sz="4" w:space="0"/>
              <w:bottom w:val="single" w:color="DCDDDE" w:sz="4" w:space="0"/>
            </w:tcBorders>
          </w:tcPr>
          <w:p w:rsidR="00C31389" w:rsidRDefault="00561FBD" w14:paraId="55FC28C7" w14:textId="77777777">
            <w:pPr>
              <w:pStyle w:val="TableParagraph"/>
              <w:ind w:right="132"/>
              <w:jc w:val="right"/>
              <w:rPr>
                <w:sz w:val="17"/>
              </w:rPr>
            </w:pPr>
            <w:r>
              <w:rPr>
                <w:spacing w:val="-4"/>
                <w:sz w:val="17"/>
              </w:rPr>
              <w:t>10.5</w:t>
            </w:r>
          </w:p>
        </w:tc>
        <w:tc>
          <w:tcPr>
            <w:tcW w:w="631" w:type="dxa"/>
            <w:tcBorders>
              <w:top w:val="single" w:color="DCDDDE" w:sz="4" w:space="0"/>
              <w:bottom w:val="single" w:color="DCDDDE" w:sz="4" w:space="0"/>
            </w:tcBorders>
          </w:tcPr>
          <w:p w:rsidR="00C31389" w:rsidRDefault="00561FBD" w14:paraId="45B52E83" w14:textId="77777777">
            <w:pPr>
              <w:pStyle w:val="TableParagraph"/>
              <w:ind w:left="106" w:right="77"/>
              <w:jc w:val="center"/>
              <w:rPr>
                <w:sz w:val="17"/>
              </w:rPr>
            </w:pPr>
            <w:r>
              <w:rPr>
                <w:spacing w:val="-4"/>
                <w:sz w:val="17"/>
              </w:rPr>
              <w:t>10.0</w:t>
            </w:r>
          </w:p>
        </w:tc>
        <w:tc>
          <w:tcPr>
            <w:tcW w:w="631" w:type="dxa"/>
            <w:tcBorders>
              <w:top w:val="single" w:color="DCDDDE" w:sz="4" w:space="0"/>
              <w:bottom w:val="single" w:color="DCDDDE" w:sz="4" w:space="0"/>
            </w:tcBorders>
          </w:tcPr>
          <w:p w:rsidR="00C31389" w:rsidRDefault="00561FBD" w14:paraId="52C637B9" w14:textId="77777777">
            <w:pPr>
              <w:pStyle w:val="TableParagraph"/>
              <w:ind w:right="134"/>
              <w:jc w:val="right"/>
              <w:rPr>
                <w:sz w:val="17"/>
              </w:rPr>
            </w:pPr>
            <w:r>
              <w:rPr>
                <w:spacing w:val="-5"/>
                <w:sz w:val="17"/>
              </w:rPr>
              <w:t>9.6</w:t>
            </w:r>
          </w:p>
        </w:tc>
        <w:tc>
          <w:tcPr>
            <w:tcW w:w="613" w:type="dxa"/>
            <w:tcBorders>
              <w:top w:val="single" w:color="DCDDDE" w:sz="4" w:space="0"/>
              <w:bottom w:val="single" w:color="DCDDDE" w:sz="4" w:space="0"/>
            </w:tcBorders>
          </w:tcPr>
          <w:p w:rsidR="00C31389" w:rsidRDefault="00561FBD" w14:paraId="19548FC6" w14:textId="77777777">
            <w:pPr>
              <w:pStyle w:val="TableParagraph"/>
              <w:ind w:right="117"/>
              <w:jc w:val="right"/>
              <w:rPr>
                <w:sz w:val="17"/>
              </w:rPr>
            </w:pPr>
            <w:r>
              <w:rPr>
                <w:spacing w:val="-5"/>
                <w:sz w:val="17"/>
              </w:rPr>
              <w:t>9.4</w:t>
            </w:r>
          </w:p>
        </w:tc>
      </w:tr>
      <w:tr w:rsidR="00C31389" w14:paraId="17B3F97B" w14:textId="77777777">
        <w:trPr>
          <w:trHeight w:val="275"/>
        </w:trPr>
        <w:tc>
          <w:tcPr>
            <w:tcW w:w="1507" w:type="dxa"/>
            <w:tcBorders>
              <w:top w:val="single" w:color="DCDDDE" w:sz="4" w:space="0"/>
              <w:bottom w:val="single" w:color="DCDDDE" w:sz="4" w:space="0"/>
            </w:tcBorders>
          </w:tcPr>
          <w:p w:rsidR="00C31389" w:rsidRDefault="00561FBD" w14:paraId="455E73C8"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538C967F" w14:textId="77777777">
            <w:pPr>
              <w:pStyle w:val="TableParagraph"/>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537673FB" w14:textId="77777777">
            <w:pPr>
              <w:pStyle w:val="TableParagraph"/>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024C48F7" w14:textId="77777777">
            <w:pPr>
              <w:pStyle w:val="TableParagraph"/>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397EAF8" w14:textId="77777777">
            <w:pPr>
              <w:pStyle w:val="TableParagraph"/>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61E11A0"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A96F653" w14:textId="77777777">
            <w:pPr>
              <w:pStyle w:val="TableParagraph"/>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4C74A7C4" w14:textId="77777777">
            <w:pPr>
              <w:pStyle w:val="TableParagraph"/>
              <w:ind w:left="245" w:right="114"/>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254ED56" w14:textId="77777777">
            <w:pPr>
              <w:pStyle w:val="TableParagraph"/>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F21BBA1"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C2802F4" w14:textId="77777777">
            <w:pPr>
              <w:pStyle w:val="TableParagraph"/>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6062109" w14:textId="77777777">
            <w:pPr>
              <w:pStyle w:val="TableParagraph"/>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242E1A4E" w14:textId="77777777">
            <w:pPr>
              <w:pStyle w:val="TableParagraph"/>
              <w:ind w:right="116"/>
              <w:jc w:val="right"/>
              <w:rPr>
                <w:sz w:val="17"/>
              </w:rPr>
            </w:pPr>
            <w:r>
              <w:rPr>
                <w:spacing w:val="-5"/>
                <w:sz w:val="17"/>
              </w:rPr>
              <w:t>0.0</w:t>
            </w:r>
          </w:p>
        </w:tc>
      </w:tr>
      <w:tr w:rsidR="00C31389" w14:paraId="173307CB" w14:textId="77777777">
        <w:trPr>
          <w:trHeight w:val="275"/>
        </w:trPr>
        <w:tc>
          <w:tcPr>
            <w:tcW w:w="1507" w:type="dxa"/>
            <w:tcBorders>
              <w:top w:val="single" w:color="DCDDDE" w:sz="4" w:space="0"/>
              <w:bottom w:val="single" w:color="DCDDDE" w:sz="4" w:space="0"/>
            </w:tcBorders>
          </w:tcPr>
          <w:p w:rsidR="00C31389" w:rsidRDefault="00561FBD" w14:paraId="6E76A0AC"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57FEE124" w14:textId="77777777">
            <w:pPr>
              <w:pStyle w:val="TableParagraph"/>
              <w:ind w:right="192"/>
              <w:jc w:val="right"/>
              <w:rPr>
                <w:sz w:val="17"/>
              </w:rPr>
            </w:pPr>
            <w:r>
              <w:rPr>
                <w:spacing w:val="-5"/>
                <w:sz w:val="17"/>
              </w:rPr>
              <w:t>7.9</w:t>
            </w:r>
          </w:p>
        </w:tc>
        <w:tc>
          <w:tcPr>
            <w:tcW w:w="712" w:type="dxa"/>
            <w:tcBorders>
              <w:top w:val="single" w:color="DCDDDE" w:sz="4" w:space="0"/>
              <w:bottom w:val="single" w:color="DCDDDE" w:sz="4" w:space="0"/>
            </w:tcBorders>
          </w:tcPr>
          <w:p w:rsidR="00C31389" w:rsidRDefault="00561FBD" w14:paraId="68100941" w14:textId="77777777">
            <w:pPr>
              <w:pStyle w:val="TableParagraph"/>
              <w:ind w:right="138"/>
              <w:jc w:val="right"/>
              <w:rPr>
                <w:sz w:val="17"/>
              </w:rPr>
            </w:pPr>
            <w:r>
              <w:rPr>
                <w:spacing w:val="-5"/>
                <w:sz w:val="17"/>
              </w:rPr>
              <w:t>8.2</w:t>
            </w:r>
          </w:p>
        </w:tc>
        <w:tc>
          <w:tcPr>
            <w:tcW w:w="644" w:type="dxa"/>
            <w:tcBorders>
              <w:top w:val="single" w:color="DCDDDE" w:sz="4" w:space="0"/>
              <w:bottom w:val="single" w:color="DCDDDE" w:sz="4" w:space="0"/>
            </w:tcBorders>
          </w:tcPr>
          <w:p w:rsidR="00C31389" w:rsidRDefault="00561FBD" w14:paraId="4A3FE106" w14:textId="77777777">
            <w:pPr>
              <w:pStyle w:val="TableParagraph"/>
              <w:ind w:right="125"/>
              <w:jc w:val="right"/>
              <w:rPr>
                <w:sz w:val="17"/>
              </w:rPr>
            </w:pPr>
            <w:r>
              <w:rPr>
                <w:spacing w:val="-5"/>
                <w:sz w:val="17"/>
              </w:rPr>
              <w:t>8.6</w:t>
            </w:r>
          </w:p>
        </w:tc>
        <w:tc>
          <w:tcPr>
            <w:tcW w:w="631" w:type="dxa"/>
            <w:tcBorders>
              <w:top w:val="single" w:color="DCDDDE" w:sz="4" w:space="0"/>
              <w:bottom w:val="single" w:color="DCDDDE" w:sz="4" w:space="0"/>
            </w:tcBorders>
          </w:tcPr>
          <w:p w:rsidR="00C31389" w:rsidRDefault="00561FBD" w14:paraId="0FA877ED" w14:textId="77777777">
            <w:pPr>
              <w:pStyle w:val="TableParagraph"/>
              <w:ind w:right="126"/>
              <w:jc w:val="right"/>
              <w:rPr>
                <w:sz w:val="17"/>
              </w:rPr>
            </w:pPr>
            <w:r>
              <w:rPr>
                <w:spacing w:val="-5"/>
                <w:sz w:val="17"/>
              </w:rPr>
              <w:t>8.9</w:t>
            </w:r>
          </w:p>
        </w:tc>
        <w:tc>
          <w:tcPr>
            <w:tcW w:w="631" w:type="dxa"/>
            <w:tcBorders>
              <w:top w:val="single" w:color="DCDDDE" w:sz="4" w:space="0"/>
              <w:bottom w:val="single" w:color="DCDDDE" w:sz="4" w:space="0"/>
            </w:tcBorders>
          </w:tcPr>
          <w:p w:rsidR="00C31389" w:rsidRDefault="00561FBD" w14:paraId="4D0D8348" w14:textId="77777777">
            <w:pPr>
              <w:pStyle w:val="TableParagraph"/>
              <w:ind w:right="127"/>
              <w:jc w:val="right"/>
              <w:rPr>
                <w:sz w:val="17"/>
              </w:rPr>
            </w:pPr>
            <w:r>
              <w:rPr>
                <w:spacing w:val="-5"/>
                <w:sz w:val="17"/>
              </w:rPr>
              <w:t>9.3</w:t>
            </w:r>
          </w:p>
        </w:tc>
        <w:tc>
          <w:tcPr>
            <w:tcW w:w="631" w:type="dxa"/>
            <w:tcBorders>
              <w:top w:val="single" w:color="DCDDDE" w:sz="4" w:space="0"/>
              <w:bottom w:val="single" w:color="DCDDDE" w:sz="4" w:space="0"/>
            </w:tcBorders>
          </w:tcPr>
          <w:p w:rsidR="00C31389" w:rsidRDefault="00561FBD" w14:paraId="1A72463D" w14:textId="77777777">
            <w:pPr>
              <w:pStyle w:val="TableParagraph"/>
              <w:ind w:left="248"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2CFD46E9" w14:textId="77777777">
            <w:pPr>
              <w:pStyle w:val="TableParagraph"/>
              <w:ind w:left="106" w:right="70"/>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0B962DB1" w14:textId="77777777">
            <w:pPr>
              <w:pStyle w:val="TableParagraph"/>
              <w:ind w:right="130"/>
              <w:jc w:val="right"/>
              <w:rPr>
                <w:sz w:val="17"/>
              </w:rPr>
            </w:pPr>
            <w:r>
              <w:rPr>
                <w:spacing w:val="-4"/>
                <w:sz w:val="17"/>
              </w:rPr>
              <w:t>10.6</w:t>
            </w:r>
          </w:p>
        </w:tc>
        <w:tc>
          <w:tcPr>
            <w:tcW w:w="631" w:type="dxa"/>
            <w:tcBorders>
              <w:top w:val="single" w:color="DCDDDE" w:sz="4" w:space="0"/>
              <w:bottom w:val="single" w:color="DCDDDE" w:sz="4" w:space="0"/>
            </w:tcBorders>
          </w:tcPr>
          <w:p w:rsidR="00C31389" w:rsidRDefault="00561FBD" w14:paraId="1B639900" w14:textId="77777777">
            <w:pPr>
              <w:pStyle w:val="TableParagraph"/>
              <w:ind w:right="131"/>
              <w:jc w:val="right"/>
              <w:rPr>
                <w:sz w:val="17"/>
              </w:rPr>
            </w:pPr>
            <w:r>
              <w:rPr>
                <w:spacing w:val="-4"/>
                <w:sz w:val="17"/>
              </w:rPr>
              <w:t>11.1</w:t>
            </w:r>
          </w:p>
        </w:tc>
        <w:tc>
          <w:tcPr>
            <w:tcW w:w="631" w:type="dxa"/>
            <w:tcBorders>
              <w:top w:val="single" w:color="DCDDDE" w:sz="4" w:space="0"/>
              <w:bottom w:val="single" w:color="DCDDDE" w:sz="4" w:space="0"/>
            </w:tcBorders>
          </w:tcPr>
          <w:p w:rsidR="00C31389" w:rsidRDefault="00561FBD" w14:paraId="56F1433B" w14:textId="77777777">
            <w:pPr>
              <w:pStyle w:val="TableParagraph"/>
              <w:ind w:left="106" w:right="76"/>
              <w:jc w:val="center"/>
              <w:rPr>
                <w:sz w:val="17"/>
              </w:rPr>
            </w:pPr>
            <w:r>
              <w:rPr>
                <w:spacing w:val="-4"/>
                <w:sz w:val="17"/>
              </w:rPr>
              <w:t>11.6</w:t>
            </w:r>
          </w:p>
        </w:tc>
        <w:tc>
          <w:tcPr>
            <w:tcW w:w="631" w:type="dxa"/>
            <w:tcBorders>
              <w:top w:val="single" w:color="DCDDDE" w:sz="4" w:space="0"/>
              <w:bottom w:val="single" w:color="DCDDDE" w:sz="4" w:space="0"/>
            </w:tcBorders>
          </w:tcPr>
          <w:p w:rsidR="00C31389" w:rsidRDefault="00561FBD" w14:paraId="00AD0B0D" w14:textId="77777777">
            <w:pPr>
              <w:pStyle w:val="TableParagraph"/>
              <w:ind w:right="133"/>
              <w:jc w:val="right"/>
              <w:rPr>
                <w:sz w:val="17"/>
              </w:rPr>
            </w:pPr>
            <w:r>
              <w:rPr>
                <w:spacing w:val="-4"/>
                <w:sz w:val="17"/>
              </w:rPr>
              <w:t>12.1</w:t>
            </w:r>
          </w:p>
        </w:tc>
        <w:tc>
          <w:tcPr>
            <w:tcW w:w="613" w:type="dxa"/>
            <w:tcBorders>
              <w:top w:val="single" w:color="DCDDDE" w:sz="4" w:space="0"/>
              <w:bottom w:val="single" w:color="DCDDDE" w:sz="4" w:space="0"/>
            </w:tcBorders>
          </w:tcPr>
          <w:p w:rsidR="00C31389" w:rsidRDefault="00561FBD" w14:paraId="098D9252" w14:textId="77777777">
            <w:pPr>
              <w:pStyle w:val="TableParagraph"/>
              <w:ind w:right="116"/>
              <w:jc w:val="right"/>
              <w:rPr>
                <w:sz w:val="17"/>
              </w:rPr>
            </w:pPr>
            <w:r>
              <w:rPr>
                <w:spacing w:val="-4"/>
                <w:sz w:val="17"/>
              </w:rPr>
              <w:t>13.5</w:t>
            </w:r>
          </w:p>
        </w:tc>
      </w:tr>
      <w:tr w:rsidR="00C31389" w14:paraId="7EA496A5" w14:textId="77777777">
        <w:trPr>
          <w:trHeight w:val="274"/>
        </w:trPr>
        <w:tc>
          <w:tcPr>
            <w:tcW w:w="9385" w:type="dxa"/>
            <w:gridSpan w:val="13"/>
            <w:tcBorders>
              <w:top w:val="single" w:color="DCDDDE" w:sz="4" w:space="0"/>
              <w:bottom w:val="single" w:color="DCDDDE" w:sz="4" w:space="0"/>
            </w:tcBorders>
            <w:shd w:val="clear" w:color="auto" w:fill="BEBEBE"/>
          </w:tcPr>
          <w:p w:rsidR="00C31389" w:rsidRDefault="00561FBD" w14:paraId="1BBEB7F9" w14:textId="77777777">
            <w:pPr>
              <w:pStyle w:val="TableParagraph"/>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1A2244FC" w14:textId="77777777">
        <w:trPr>
          <w:trHeight w:val="471"/>
        </w:trPr>
        <w:tc>
          <w:tcPr>
            <w:tcW w:w="1507" w:type="dxa"/>
            <w:tcBorders>
              <w:top w:val="single" w:color="DCDDDE" w:sz="4" w:space="0"/>
              <w:bottom w:val="single" w:color="DCDDDE" w:sz="4" w:space="0"/>
            </w:tcBorders>
          </w:tcPr>
          <w:p w:rsidR="00C31389" w:rsidRDefault="00561FBD" w14:paraId="0B342F91" w14:textId="77777777">
            <w:pPr>
              <w:pStyle w:val="TableParagraph"/>
              <w:ind w:left="122" w:right="375"/>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6C119408" w14:textId="77777777">
            <w:pPr>
              <w:pStyle w:val="TableParagraph"/>
              <w:spacing w:before="139"/>
              <w:ind w:right="192"/>
              <w:jc w:val="right"/>
              <w:rPr>
                <w:sz w:val="17"/>
              </w:rPr>
            </w:pPr>
            <w:r>
              <w:rPr>
                <w:spacing w:val="-4"/>
                <w:sz w:val="17"/>
              </w:rPr>
              <w:t>25.6</w:t>
            </w:r>
          </w:p>
        </w:tc>
        <w:tc>
          <w:tcPr>
            <w:tcW w:w="712" w:type="dxa"/>
            <w:tcBorders>
              <w:top w:val="single" w:color="DCDDDE" w:sz="4" w:space="0"/>
              <w:bottom w:val="single" w:color="DCDDDE" w:sz="4" w:space="0"/>
            </w:tcBorders>
          </w:tcPr>
          <w:p w:rsidR="00C31389" w:rsidRDefault="00561FBD" w14:paraId="7968E63F" w14:textId="77777777">
            <w:pPr>
              <w:pStyle w:val="TableParagraph"/>
              <w:spacing w:before="139"/>
              <w:ind w:right="138"/>
              <w:jc w:val="right"/>
              <w:rPr>
                <w:sz w:val="17"/>
              </w:rPr>
            </w:pPr>
            <w:r>
              <w:rPr>
                <w:spacing w:val="-4"/>
                <w:sz w:val="17"/>
              </w:rPr>
              <w:t>25.0</w:t>
            </w:r>
          </w:p>
        </w:tc>
        <w:tc>
          <w:tcPr>
            <w:tcW w:w="644" w:type="dxa"/>
            <w:tcBorders>
              <w:top w:val="single" w:color="DCDDDE" w:sz="4" w:space="0"/>
              <w:bottom w:val="single" w:color="DCDDDE" w:sz="4" w:space="0"/>
            </w:tcBorders>
          </w:tcPr>
          <w:p w:rsidR="00C31389" w:rsidRDefault="00561FBD" w14:paraId="4855FC17" w14:textId="77777777">
            <w:pPr>
              <w:pStyle w:val="TableParagraph"/>
              <w:spacing w:before="139"/>
              <w:ind w:right="125"/>
              <w:jc w:val="right"/>
              <w:rPr>
                <w:sz w:val="17"/>
              </w:rPr>
            </w:pPr>
            <w:r>
              <w:rPr>
                <w:spacing w:val="-4"/>
                <w:sz w:val="17"/>
              </w:rPr>
              <w:t>16.1</w:t>
            </w:r>
          </w:p>
        </w:tc>
        <w:tc>
          <w:tcPr>
            <w:tcW w:w="631" w:type="dxa"/>
            <w:tcBorders>
              <w:top w:val="single" w:color="DCDDDE" w:sz="4" w:space="0"/>
              <w:bottom w:val="single" w:color="DCDDDE" w:sz="4" w:space="0"/>
            </w:tcBorders>
          </w:tcPr>
          <w:p w:rsidR="00C31389" w:rsidRDefault="00561FBD" w14:paraId="25B4EC47" w14:textId="77777777">
            <w:pPr>
              <w:pStyle w:val="TableParagraph"/>
              <w:spacing w:before="139"/>
              <w:ind w:right="126"/>
              <w:jc w:val="right"/>
              <w:rPr>
                <w:sz w:val="17"/>
              </w:rPr>
            </w:pPr>
            <w:r>
              <w:rPr>
                <w:spacing w:val="-4"/>
                <w:sz w:val="17"/>
              </w:rPr>
              <w:t>16.5</w:t>
            </w:r>
          </w:p>
        </w:tc>
        <w:tc>
          <w:tcPr>
            <w:tcW w:w="631" w:type="dxa"/>
            <w:tcBorders>
              <w:top w:val="single" w:color="DCDDDE" w:sz="4" w:space="0"/>
              <w:bottom w:val="single" w:color="DCDDDE" w:sz="4" w:space="0"/>
            </w:tcBorders>
          </w:tcPr>
          <w:p w:rsidR="00C31389" w:rsidRDefault="00561FBD" w14:paraId="28D9252E" w14:textId="77777777">
            <w:pPr>
              <w:pStyle w:val="TableParagraph"/>
              <w:spacing w:before="139"/>
              <w:ind w:right="127"/>
              <w:jc w:val="right"/>
              <w:rPr>
                <w:sz w:val="17"/>
              </w:rPr>
            </w:pPr>
            <w:r>
              <w:rPr>
                <w:spacing w:val="-4"/>
                <w:sz w:val="17"/>
              </w:rPr>
              <w:t>15.4</w:t>
            </w:r>
          </w:p>
        </w:tc>
        <w:tc>
          <w:tcPr>
            <w:tcW w:w="631" w:type="dxa"/>
            <w:tcBorders>
              <w:top w:val="single" w:color="DCDDDE" w:sz="4" w:space="0"/>
              <w:bottom w:val="single" w:color="DCDDDE" w:sz="4" w:space="0"/>
            </w:tcBorders>
          </w:tcPr>
          <w:p w:rsidR="00C31389" w:rsidRDefault="00561FBD" w14:paraId="2D7410D5" w14:textId="77777777">
            <w:pPr>
              <w:pStyle w:val="TableParagraph"/>
              <w:spacing w:before="139"/>
              <w:ind w:left="106" w:right="68"/>
              <w:jc w:val="center"/>
              <w:rPr>
                <w:sz w:val="17"/>
              </w:rPr>
            </w:pPr>
            <w:r>
              <w:rPr>
                <w:spacing w:val="-4"/>
                <w:sz w:val="17"/>
              </w:rPr>
              <w:t>14.6</w:t>
            </w:r>
          </w:p>
        </w:tc>
        <w:tc>
          <w:tcPr>
            <w:tcW w:w="631" w:type="dxa"/>
            <w:tcBorders>
              <w:top w:val="single" w:color="DCDDDE" w:sz="4" w:space="0"/>
              <w:bottom w:val="single" w:color="DCDDDE" w:sz="4" w:space="0"/>
            </w:tcBorders>
          </w:tcPr>
          <w:p w:rsidR="00C31389" w:rsidRDefault="00561FBD" w14:paraId="58B67AEB" w14:textId="77777777">
            <w:pPr>
              <w:pStyle w:val="TableParagraph"/>
              <w:spacing w:before="139"/>
              <w:ind w:left="106" w:right="70"/>
              <w:jc w:val="center"/>
              <w:rPr>
                <w:sz w:val="17"/>
              </w:rPr>
            </w:pPr>
            <w:r>
              <w:rPr>
                <w:spacing w:val="-4"/>
                <w:sz w:val="17"/>
              </w:rPr>
              <w:t>14.2</w:t>
            </w:r>
          </w:p>
        </w:tc>
        <w:tc>
          <w:tcPr>
            <w:tcW w:w="631" w:type="dxa"/>
            <w:tcBorders>
              <w:top w:val="single" w:color="DCDDDE" w:sz="4" w:space="0"/>
              <w:bottom w:val="single" w:color="DCDDDE" w:sz="4" w:space="0"/>
            </w:tcBorders>
          </w:tcPr>
          <w:p w:rsidR="00C31389" w:rsidRDefault="00561FBD" w14:paraId="6B966468" w14:textId="77777777">
            <w:pPr>
              <w:pStyle w:val="TableParagraph"/>
              <w:spacing w:before="139"/>
              <w:ind w:right="130"/>
              <w:jc w:val="right"/>
              <w:rPr>
                <w:sz w:val="17"/>
              </w:rPr>
            </w:pPr>
            <w:r>
              <w:rPr>
                <w:spacing w:val="-4"/>
                <w:sz w:val="17"/>
              </w:rPr>
              <w:t>13.6</w:t>
            </w:r>
          </w:p>
        </w:tc>
        <w:tc>
          <w:tcPr>
            <w:tcW w:w="631" w:type="dxa"/>
            <w:tcBorders>
              <w:top w:val="single" w:color="DCDDDE" w:sz="4" w:space="0"/>
              <w:bottom w:val="single" w:color="DCDDDE" w:sz="4" w:space="0"/>
            </w:tcBorders>
          </w:tcPr>
          <w:p w:rsidR="00C31389" w:rsidRDefault="00561FBD" w14:paraId="0396DE39" w14:textId="77777777">
            <w:pPr>
              <w:pStyle w:val="TableParagraph"/>
              <w:spacing w:before="139"/>
              <w:ind w:right="131"/>
              <w:jc w:val="right"/>
              <w:rPr>
                <w:sz w:val="17"/>
              </w:rPr>
            </w:pPr>
            <w:r>
              <w:rPr>
                <w:spacing w:val="-4"/>
                <w:sz w:val="17"/>
              </w:rPr>
              <w:t>12.6</w:t>
            </w:r>
          </w:p>
        </w:tc>
        <w:tc>
          <w:tcPr>
            <w:tcW w:w="631" w:type="dxa"/>
            <w:tcBorders>
              <w:top w:val="single" w:color="DCDDDE" w:sz="4" w:space="0"/>
              <w:bottom w:val="single" w:color="DCDDDE" w:sz="4" w:space="0"/>
            </w:tcBorders>
          </w:tcPr>
          <w:p w:rsidR="00C31389" w:rsidRDefault="00561FBD" w14:paraId="4DD7EEAC" w14:textId="77777777">
            <w:pPr>
              <w:pStyle w:val="TableParagraph"/>
              <w:spacing w:before="139"/>
              <w:ind w:left="106" w:right="76"/>
              <w:jc w:val="center"/>
              <w:rPr>
                <w:sz w:val="17"/>
              </w:rPr>
            </w:pPr>
            <w:r>
              <w:rPr>
                <w:spacing w:val="-4"/>
                <w:sz w:val="17"/>
              </w:rPr>
              <w:t>12.3</w:t>
            </w:r>
          </w:p>
        </w:tc>
        <w:tc>
          <w:tcPr>
            <w:tcW w:w="631" w:type="dxa"/>
            <w:tcBorders>
              <w:top w:val="single" w:color="DCDDDE" w:sz="4" w:space="0"/>
              <w:bottom w:val="single" w:color="DCDDDE" w:sz="4" w:space="0"/>
            </w:tcBorders>
          </w:tcPr>
          <w:p w:rsidR="00C31389" w:rsidRDefault="00561FBD" w14:paraId="6FEC1EA3" w14:textId="77777777">
            <w:pPr>
              <w:pStyle w:val="TableParagraph"/>
              <w:spacing w:before="139"/>
              <w:ind w:right="133"/>
              <w:jc w:val="right"/>
              <w:rPr>
                <w:sz w:val="17"/>
              </w:rPr>
            </w:pPr>
            <w:r>
              <w:rPr>
                <w:spacing w:val="-4"/>
                <w:sz w:val="17"/>
              </w:rPr>
              <w:t>11.9</w:t>
            </w:r>
          </w:p>
        </w:tc>
        <w:tc>
          <w:tcPr>
            <w:tcW w:w="613" w:type="dxa"/>
            <w:tcBorders>
              <w:top w:val="single" w:color="DCDDDE" w:sz="4" w:space="0"/>
              <w:bottom w:val="single" w:color="DCDDDE" w:sz="4" w:space="0"/>
            </w:tcBorders>
          </w:tcPr>
          <w:p w:rsidR="00C31389" w:rsidRDefault="00561FBD" w14:paraId="50605178" w14:textId="77777777">
            <w:pPr>
              <w:pStyle w:val="TableParagraph"/>
              <w:spacing w:before="139"/>
              <w:ind w:right="116"/>
              <w:jc w:val="right"/>
              <w:rPr>
                <w:sz w:val="17"/>
              </w:rPr>
            </w:pPr>
            <w:r>
              <w:rPr>
                <w:spacing w:val="-4"/>
                <w:sz w:val="17"/>
              </w:rPr>
              <w:t>11.5</w:t>
            </w:r>
          </w:p>
        </w:tc>
      </w:tr>
      <w:tr w:rsidR="00C31389" w14:paraId="3239B5FD" w14:textId="77777777">
        <w:trPr>
          <w:trHeight w:val="472"/>
        </w:trPr>
        <w:tc>
          <w:tcPr>
            <w:tcW w:w="1507" w:type="dxa"/>
            <w:tcBorders>
              <w:top w:val="single" w:color="DCDDDE" w:sz="4" w:space="0"/>
              <w:bottom w:val="single" w:color="545658" w:sz="8" w:space="0"/>
            </w:tcBorders>
          </w:tcPr>
          <w:p w:rsidR="00C31389" w:rsidRDefault="00561FBD" w14:paraId="2FBD299A" w14:textId="77777777">
            <w:pPr>
              <w:pStyle w:val="TableParagraph"/>
              <w:ind w:left="122" w:right="280"/>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06F1B950" w14:textId="77777777">
            <w:pPr>
              <w:pStyle w:val="TableParagraph"/>
              <w:spacing w:before="139"/>
              <w:ind w:right="192"/>
              <w:jc w:val="right"/>
              <w:rPr>
                <w:sz w:val="17"/>
              </w:rPr>
            </w:pPr>
            <w:r>
              <w:rPr>
                <w:spacing w:val="-4"/>
                <w:sz w:val="17"/>
              </w:rPr>
              <w:t>28.0</w:t>
            </w:r>
          </w:p>
        </w:tc>
        <w:tc>
          <w:tcPr>
            <w:tcW w:w="712" w:type="dxa"/>
            <w:tcBorders>
              <w:top w:val="single" w:color="DCDDDE" w:sz="4" w:space="0"/>
              <w:bottom w:val="single" w:color="545658" w:sz="8" w:space="0"/>
            </w:tcBorders>
          </w:tcPr>
          <w:p w:rsidR="00C31389" w:rsidRDefault="00561FBD" w14:paraId="025EE6AB" w14:textId="77777777">
            <w:pPr>
              <w:pStyle w:val="TableParagraph"/>
              <w:spacing w:before="139"/>
              <w:ind w:right="138"/>
              <w:jc w:val="right"/>
              <w:rPr>
                <w:sz w:val="17"/>
              </w:rPr>
            </w:pPr>
            <w:r>
              <w:rPr>
                <w:spacing w:val="-4"/>
                <w:sz w:val="17"/>
              </w:rPr>
              <w:t>27.3</w:t>
            </w:r>
          </w:p>
        </w:tc>
        <w:tc>
          <w:tcPr>
            <w:tcW w:w="644" w:type="dxa"/>
            <w:tcBorders>
              <w:top w:val="single" w:color="DCDDDE" w:sz="4" w:space="0"/>
              <w:bottom w:val="single" w:color="545658" w:sz="8" w:space="0"/>
            </w:tcBorders>
          </w:tcPr>
          <w:p w:rsidR="00C31389" w:rsidRDefault="00561FBD" w14:paraId="0DC3CEDE" w14:textId="77777777">
            <w:pPr>
              <w:pStyle w:val="TableParagraph"/>
              <w:spacing w:before="139"/>
              <w:ind w:right="125"/>
              <w:jc w:val="right"/>
              <w:rPr>
                <w:sz w:val="17"/>
              </w:rPr>
            </w:pPr>
            <w:r>
              <w:rPr>
                <w:spacing w:val="-4"/>
                <w:sz w:val="17"/>
              </w:rPr>
              <w:t>18.1</w:t>
            </w:r>
          </w:p>
        </w:tc>
        <w:tc>
          <w:tcPr>
            <w:tcW w:w="631" w:type="dxa"/>
            <w:tcBorders>
              <w:top w:val="single" w:color="DCDDDE" w:sz="4" w:space="0"/>
              <w:bottom w:val="single" w:color="545658" w:sz="8" w:space="0"/>
            </w:tcBorders>
          </w:tcPr>
          <w:p w:rsidR="00C31389" w:rsidRDefault="00561FBD" w14:paraId="2BE3DC97" w14:textId="77777777">
            <w:pPr>
              <w:pStyle w:val="TableParagraph"/>
              <w:spacing w:before="139"/>
              <w:ind w:right="126"/>
              <w:jc w:val="right"/>
              <w:rPr>
                <w:sz w:val="17"/>
              </w:rPr>
            </w:pPr>
            <w:r>
              <w:rPr>
                <w:spacing w:val="-4"/>
                <w:sz w:val="17"/>
              </w:rPr>
              <w:t>18.0</w:t>
            </w:r>
          </w:p>
        </w:tc>
        <w:tc>
          <w:tcPr>
            <w:tcW w:w="631" w:type="dxa"/>
            <w:tcBorders>
              <w:top w:val="single" w:color="DCDDDE" w:sz="4" w:space="0"/>
              <w:bottom w:val="single" w:color="545658" w:sz="8" w:space="0"/>
            </w:tcBorders>
          </w:tcPr>
          <w:p w:rsidR="00C31389" w:rsidRDefault="00561FBD" w14:paraId="5F925157" w14:textId="77777777">
            <w:pPr>
              <w:pStyle w:val="TableParagraph"/>
              <w:spacing w:before="139"/>
              <w:ind w:right="127"/>
              <w:jc w:val="right"/>
              <w:rPr>
                <w:sz w:val="17"/>
              </w:rPr>
            </w:pPr>
            <w:r>
              <w:rPr>
                <w:spacing w:val="-4"/>
                <w:sz w:val="17"/>
              </w:rPr>
              <w:t>16.7</w:t>
            </w:r>
          </w:p>
        </w:tc>
        <w:tc>
          <w:tcPr>
            <w:tcW w:w="631" w:type="dxa"/>
            <w:tcBorders>
              <w:top w:val="single" w:color="DCDDDE" w:sz="4" w:space="0"/>
              <w:bottom w:val="single" w:color="545658" w:sz="8" w:space="0"/>
            </w:tcBorders>
          </w:tcPr>
          <w:p w:rsidR="00C31389" w:rsidRDefault="00561FBD" w14:paraId="0B475133" w14:textId="77777777">
            <w:pPr>
              <w:pStyle w:val="TableParagraph"/>
              <w:spacing w:before="139"/>
              <w:ind w:left="106" w:right="68"/>
              <w:jc w:val="center"/>
              <w:rPr>
                <w:sz w:val="17"/>
              </w:rPr>
            </w:pPr>
            <w:r>
              <w:rPr>
                <w:spacing w:val="-4"/>
                <w:sz w:val="17"/>
              </w:rPr>
              <w:t>15.2</w:t>
            </w:r>
          </w:p>
        </w:tc>
        <w:tc>
          <w:tcPr>
            <w:tcW w:w="631" w:type="dxa"/>
            <w:tcBorders>
              <w:top w:val="single" w:color="DCDDDE" w:sz="4" w:space="0"/>
              <w:bottom w:val="single" w:color="545658" w:sz="8" w:space="0"/>
            </w:tcBorders>
          </w:tcPr>
          <w:p w:rsidR="00C31389" w:rsidRDefault="00561FBD" w14:paraId="4A02B5CB" w14:textId="77777777">
            <w:pPr>
              <w:pStyle w:val="TableParagraph"/>
              <w:spacing w:before="139"/>
              <w:ind w:left="106" w:right="70"/>
              <w:jc w:val="center"/>
              <w:rPr>
                <w:sz w:val="17"/>
              </w:rPr>
            </w:pPr>
            <w:r>
              <w:rPr>
                <w:spacing w:val="-4"/>
                <w:sz w:val="17"/>
              </w:rPr>
              <w:t>14.7</w:t>
            </w:r>
          </w:p>
        </w:tc>
        <w:tc>
          <w:tcPr>
            <w:tcW w:w="631" w:type="dxa"/>
            <w:tcBorders>
              <w:top w:val="single" w:color="DCDDDE" w:sz="4" w:space="0"/>
              <w:bottom w:val="single" w:color="545658" w:sz="8" w:space="0"/>
            </w:tcBorders>
          </w:tcPr>
          <w:p w:rsidR="00C31389" w:rsidRDefault="00561FBD" w14:paraId="65050349" w14:textId="77777777">
            <w:pPr>
              <w:pStyle w:val="TableParagraph"/>
              <w:spacing w:before="139"/>
              <w:ind w:right="130"/>
              <w:jc w:val="right"/>
              <w:rPr>
                <w:sz w:val="17"/>
              </w:rPr>
            </w:pPr>
            <w:r>
              <w:rPr>
                <w:spacing w:val="-4"/>
                <w:sz w:val="17"/>
              </w:rPr>
              <w:t>14.0</w:t>
            </w:r>
          </w:p>
        </w:tc>
        <w:tc>
          <w:tcPr>
            <w:tcW w:w="631" w:type="dxa"/>
            <w:tcBorders>
              <w:top w:val="single" w:color="DCDDDE" w:sz="4" w:space="0"/>
              <w:bottom w:val="single" w:color="545658" w:sz="8" w:space="0"/>
            </w:tcBorders>
          </w:tcPr>
          <w:p w:rsidR="00C31389" w:rsidRDefault="00561FBD" w14:paraId="0C5BFFDC" w14:textId="77777777">
            <w:pPr>
              <w:pStyle w:val="TableParagraph"/>
              <w:spacing w:before="139"/>
              <w:ind w:right="131"/>
              <w:jc w:val="right"/>
              <w:rPr>
                <w:sz w:val="17"/>
              </w:rPr>
            </w:pPr>
            <w:r>
              <w:rPr>
                <w:spacing w:val="-4"/>
                <w:sz w:val="17"/>
              </w:rPr>
              <w:t>13.1</w:t>
            </w:r>
          </w:p>
        </w:tc>
        <w:tc>
          <w:tcPr>
            <w:tcW w:w="631" w:type="dxa"/>
            <w:tcBorders>
              <w:top w:val="single" w:color="DCDDDE" w:sz="4" w:space="0"/>
              <w:bottom w:val="single" w:color="545658" w:sz="8" w:space="0"/>
            </w:tcBorders>
          </w:tcPr>
          <w:p w:rsidR="00C31389" w:rsidRDefault="00561FBD" w14:paraId="40734375" w14:textId="77777777">
            <w:pPr>
              <w:pStyle w:val="TableParagraph"/>
              <w:spacing w:before="139"/>
              <w:ind w:left="106" w:right="76"/>
              <w:jc w:val="center"/>
              <w:rPr>
                <w:sz w:val="17"/>
              </w:rPr>
            </w:pPr>
            <w:r>
              <w:rPr>
                <w:spacing w:val="-4"/>
                <w:sz w:val="17"/>
              </w:rPr>
              <w:t>12.7</w:t>
            </w:r>
          </w:p>
        </w:tc>
        <w:tc>
          <w:tcPr>
            <w:tcW w:w="631" w:type="dxa"/>
            <w:tcBorders>
              <w:top w:val="single" w:color="DCDDDE" w:sz="4" w:space="0"/>
              <w:bottom w:val="single" w:color="545658" w:sz="8" w:space="0"/>
            </w:tcBorders>
          </w:tcPr>
          <w:p w:rsidR="00C31389" w:rsidRDefault="00561FBD" w14:paraId="20EFC39C" w14:textId="77777777">
            <w:pPr>
              <w:pStyle w:val="TableParagraph"/>
              <w:spacing w:before="139"/>
              <w:ind w:right="133"/>
              <w:jc w:val="right"/>
              <w:rPr>
                <w:sz w:val="17"/>
              </w:rPr>
            </w:pPr>
            <w:r>
              <w:rPr>
                <w:spacing w:val="-4"/>
                <w:sz w:val="17"/>
              </w:rPr>
              <w:t>12.3</w:t>
            </w:r>
          </w:p>
        </w:tc>
        <w:tc>
          <w:tcPr>
            <w:tcW w:w="613" w:type="dxa"/>
            <w:tcBorders>
              <w:top w:val="single" w:color="DCDDDE" w:sz="4" w:space="0"/>
              <w:bottom w:val="single" w:color="545658" w:sz="8" w:space="0"/>
            </w:tcBorders>
          </w:tcPr>
          <w:p w:rsidR="00C31389" w:rsidRDefault="00561FBD" w14:paraId="293004ED" w14:textId="77777777">
            <w:pPr>
              <w:pStyle w:val="TableParagraph"/>
              <w:spacing w:before="139"/>
              <w:ind w:right="116"/>
              <w:jc w:val="right"/>
              <w:rPr>
                <w:sz w:val="17"/>
              </w:rPr>
            </w:pPr>
            <w:r>
              <w:rPr>
                <w:spacing w:val="-4"/>
                <w:sz w:val="17"/>
              </w:rPr>
              <w:t>11.9</w:t>
            </w:r>
          </w:p>
        </w:tc>
      </w:tr>
    </w:tbl>
    <w:p w:rsidR="00C31389" w:rsidRDefault="00561FBD" w14:paraId="6B078618" w14:textId="77777777">
      <w:pPr>
        <w:spacing w:before="67"/>
        <w:ind w:left="220"/>
        <w:rPr>
          <w:sz w:val="18"/>
        </w:rPr>
      </w:pPr>
      <w:r>
        <w:rPr>
          <w:sz w:val="18"/>
        </w:rPr>
        <w:t>Source:</w:t>
      </w:r>
      <w:r>
        <w:rPr>
          <w:spacing w:val="-4"/>
          <w:sz w:val="18"/>
        </w:rPr>
        <w:t xml:space="preserve"> </w:t>
      </w:r>
      <w:r>
        <w:rPr>
          <w:spacing w:val="-2"/>
          <w:sz w:val="18"/>
        </w:rPr>
        <w:t>Guidehouse</w:t>
      </w:r>
    </w:p>
    <w:p w:rsidR="00C31389" w:rsidRDefault="00C31389" w14:paraId="1AB04919" w14:textId="77777777">
      <w:pPr>
        <w:pStyle w:val="BodyText"/>
        <w:spacing w:before="10"/>
        <w:rPr>
          <w:sz w:val="20"/>
        </w:rPr>
      </w:pPr>
    </w:p>
    <w:p w:rsidR="00C31389" w:rsidRDefault="00561FBD" w14:paraId="77F0F9A7" w14:textId="77777777">
      <w:pPr>
        <w:pStyle w:val="ListParagraph"/>
        <w:numPr>
          <w:ilvl w:val="2"/>
          <w:numId w:val="4"/>
        </w:numPr>
        <w:tabs>
          <w:tab w:val="left" w:pos="936"/>
        </w:tabs>
        <w:ind w:left="936" w:hanging="716"/>
        <w:rPr>
          <w:b/>
          <w:sz w:val="24"/>
        </w:rPr>
      </w:pPr>
      <w:bookmarkStart w:name="J.2.4_SDG&amp;E" w:id="701"/>
      <w:bookmarkEnd w:id="701"/>
      <w:r>
        <w:rPr>
          <w:b/>
          <w:spacing w:val="-2"/>
          <w:sz w:val="24"/>
        </w:rPr>
        <w:t>SDG&amp;E</w:t>
      </w:r>
    </w:p>
    <w:p w:rsidR="00C31389" w:rsidRDefault="00C31389" w14:paraId="72A676FF" w14:textId="77777777">
      <w:pPr>
        <w:pStyle w:val="BodyText"/>
        <w:spacing w:before="9"/>
        <w:rPr>
          <w:b/>
          <w:sz w:val="12"/>
        </w:rPr>
      </w:pPr>
    </w:p>
    <w:p w:rsidR="00C31389" w:rsidRDefault="00561FBD" w14:paraId="7730143D" w14:textId="77777777">
      <w:pPr>
        <w:pStyle w:val="Heading7"/>
        <w:spacing w:before="93"/>
        <w:ind w:left="1979" w:right="1961"/>
        <w:jc w:val="center"/>
      </w:pPr>
      <w:bookmarkStart w:name="_bookmark535" w:id="702"/>
      <w:bookmarkEnd w:id="702"/>
      <w:r>
        <w:t>Table</w:t>
      </w:r>
      <w:r>
        <w:rPr>
          <w:spacing w:val="-9"/>
        </w:rPr>
        <w:t xml:space="preserve"> </w:t>
      </w:r>
      <w:r>
        <w:t>J-9.</w:t>
      </w:r>
      <w:r>
        <w:rPr>
          <w:spacing w:val="-8"/>
        </w:rPr>
        <w:t xml:space="preserve"> </w:t>
      </w:r>
      <w:r>
        <w:t>SDG&amp;E</w:t>
      </w:r>
      <w:r>
        <w:rPr>
          <w:spacing w:val="-8"/>
        </w:rPr>
        <w:t xml:space="preserve"> </w:t>
      </w:r>
      <w:r>
        <w:t>Electric</w:t>
      </w:r>
      <w:r>
        <w:rPr>
          <w:spacing w:val="-8"/>
        </w:rPr>
        <w:t xml:space="preserve"> </w:t>
      </w:r>
      <w:r>
        <w:t>Energy</w:t>
      </w:r>
      <w:r>
        <w:rPr>
          <w:spacing w:val="-7"/>
        </w:rPr>
        <w:t xml:space="preserve"> </w:t>
      </w:r>
      <w:r>
        <w:t>Savings</w:t>
      </w:r>
      <w:r>
        <w:rPr>
          <w:spacing w:val="-8"/>
        </w:rPr>
        <w:t xml:space="preserve"> </w:t>
      </w:r>
      <w:r>
        <w:rPr>
          <w:spacing w:val="-2"/>
        </w:rPr>
        <w:t>(GWh/year)</w:t>
      </w:r>
    </w:p>
    <w:p w:rsidR="00C31389" w:rsidRDefault="00C31389" w14:paraId="0A854EE4"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427"/>
        <w:gridCol w:w="749"/>
        <w:gridCol w:w="655"/>
        <w:gridCol w:w="654"/>
        <w:gridCol w:w="654"/>
        <w:gridCol w:w="655"/>
        <w:gridCol w:w="655"/>
        <w:gridCol w:w="655"/>
        <w:gridCol w:w="655"/>
        <w:gridCol w:w="654"/>
        <w:gridCol w:w="678"/>
        <w:gridCol w:w="655"/>
        <w:gridCol w:w="624"/>
      </w:tblGrid>
      <w:tr w:rsidR="00C31389" w14:paraId="652C80FD" w14:textId="77777777">
        <w:trPr>
          <w:trHeight w:val="306"/>
        </w:trPr>
        <w:tc>
          <w:tcPr>
            <w:tcW w:w="1427" w:type="dxa"/>
            <w:shd w:val="clear" w:color="auto" w:fill="92D400"/>
          </w:tcPr>
          <w:p w:rsidR="00C31389" w:rsidRDefault="00561FBD" w14:paraId="37303581" w14:textId="77777777">
            <w:pPr>
              <w:pStyle w:val="TableParagraph"/>
              <w:spacing w:before="41"/>
              <w:ind w:left="122"/>
              <w:rPr>
                <w:b/>
                <w:sz w:val="17"/>
              </w:rPr>
            </w:pPr>
            <w:r>
              <w:rPr>
                <w:b/>
                <w:spacing w:val="-4"/>
                <w:sz w:val="17"/>
              </w:rPr>
              <w:t>Year</w:t>
            </w:r>
          </w:p>
        </w:tc>
        <w:tc>
          <w:tcPr>
            <w:tcW w:w="749" w:type="dxa"/>
            <w:shd w:val="clear" w:color="auto" w:fill="92D400"/>
          </w:tcPr>
          <w:p w:rsidR="00C31389" w:rsidRDefault="00561FBD" w14:paraId="4F8163F0" w14:textId="77777777">
            <w:pPr>
              <w:pStyle w:val="TableParagraph"/>
              <w:spacing w:before="41"/>
              <w:ind w:right="111"/>
              <w:jc w:val="right"/>
              <w:rPr>
                <w:b/>
                <w:sz w:val="17"/>
              </w:rPr>
            </w:pPr>
            <w:r>
              <w:rPr>
                <w:b/>
                <w:spacing w:val="-4"/>
                <w:sz w:val="17"/>
              </w:rPr>
              <w:t>2024</w:t>
            </w:r>
          </w:p>
        </w:tc>
        <w:tc>
          <w:tcPr>
            <w:tcW w:w="655" w:type="dxa"/>
            <w:shd w:val="clear" w:color="auto" w:fill="92D400"/>
          </w:tcPr>
          <w:p w:rsidR="00C31389" w:rsidRDefault="00561FBD" w14:paraId="31E3D25E" w14:textId="77777777">
            <w:pPr>
              <w:pStyle w:val="TableParagraph"/>
              <w:spacing w:before="41"/>
              <w:ind w:left="99" w:right="50"/>
              <w:jc w:val="center"/>
              <w:rPr>
                <w:b/>
                <w:sz w:val="17"/>
              </w:rPr>
            </w:pPr>
            <w:r>
              <w:rPr>
                <w:b/>
                <w:spacing w:val="-4"/>
                <w:sz w:val="17"/>
              </w:rPr>
              <w:t>2025</w:t>
            </w:r>
          </w:p>
        </w:tc>
        <w:tc>
          <w:tcPr>
            <w:tcW w:w="654" w:type="dxa"/>
            <w:shd w:val="clear" w:color="auto" w:fill="92D400"/>
          </w:tcPr>
          <w:p w:rsidR="00C31389" w:rsidRDefault="00561FBD" w14:paraId="0C0A345F" w14:textId="77777777">
            <w:pPr>
              <w:pStyle w:val="TableParagraph"/>
              <w:spacing w:before="41"/>
              <w:ind w:right="110"/>
              <w:jc w:val="right"/>
              <w:rPr>
                <w:b/>
                <w:sz w:val="17"/>
              </w:rPr>
            </w:pPr>
            <w:r>
              <w:rPr>
                <w:b/>
                <w:spacing w:val="-4"/>
                <w:sz w:val="17"/>
              </w:rPr>
              <w:t>2026</w:t>
            </w:r>
          </w:p>
        </w:tc>
        <w:tc>
          <w:tcPr>
            <w:tcW w:w="654" w:type="dxa"/>
            <w:shd w:val="clear" w:color="auto" w:fill="92D400"/>
          </w:tcPr>
          <w:p w:rsidR="00C31389" w:rsidRDefault="00561FBD" w14:paraId="7E87DA47" w14:textId="77777777">
            <w:pPr>
              <w:pStyle w:val="TableParagraph"/>
              <w:spacing w:before="41"/>
              <w:ind w:right="110"/>
              <w:jc w:val="right"/>
              <w:rPr>
                <w:b/>
                <w:sz w:val="17"/>
              </w:rPr>
            </w:pPr>
            <w:r>
              <w:rPr>
                <w:b/>
                <w:spacing w:val="-4"/>
                <w:sz w:val="17"/>
              </w:rPr>
              <w:t>2027</w:t>
            </w:r>
          </w:p>
        </w:tc>
        <w:tc>
          <w:tcPr>
            <w:tcW w:w="655" w:type="dxa"/>
            <w:shd w:val="clear" w:color="auto" w:fill="92D400"/>
          </w:tcPr>
          <w:p w:rsidR="00C31389" w:rsidRDefault="00561FBD" w14:paraId="3CCDD7B8" w14:textId="77777777">
            <w:pPr>
              <w:pStyle w:val="TableParagraph"/>
              <w:spacing w:before="41"/>
              <w:ind w:right="109"/>
              <w:jc w:val="right"/>
              <w:rPr>
                <w:b/>
                <w:sz w:val="17"/>
              </w:rPr>
            </w:pPr>
            <w:r>
              <w:rPr>
                <w:b/>
                <w:spacing w:val="-4"/>
                <w:sz w:val="17"/>
              </w:rPr>
              <w:t>2028</w:t>
            </w:r>
          </w:p>
        </w:tc>
        <w:tc>
          <w:tcPr>
            <w:tcW w:w="655" w:type="dxa"/>
            <w:shd w:val="clear" w:color="auto" w:fill="92D400"/>
          </w:tcPr>
          <w:p w:rsidR="00C31389" w:rsidRDefault="00561FBD" w14:paraId="3FD9867C" w14:textId="77777777">
            <w:pPr>
              <w:pStyle w:val="TableParagraph"/>
              <w:spacing w:before="41"/>
              <w:ind w:right="109"/>
              <w:jc w:val="right"/>
              <w:rPr>
                <w:b/>
                <w:sz w:val="17"/>
              </w:rPr>
            </w:pPr>
            <w:r>
              <w:rPr>
                <w:b/>
                <w:spacing w:val="-4"/>
                <w:sz w:val="17"/>
              </w:rPr>
              <w:t>2029</w:t>
            </w:r>
          </w:p>
        </w:tc>
        <w:tc>
          <w:tcPr>
            <w:tcW w:w="655" w:type="dxa"/>
            <w:shd w:val="clear" w:color="auto" w:fill="92D400"/>
          </w:tcPr>
          <w:p w:rsidR="00C31389" w:rsidRDefault="00561FBD" w14:paraId="17091851" w14:textId="77777777">
            <w:pPr>
              <w:pStyle w:val="TableParagraph"/>
              <w:spacing w:before="41"/>
              <w:ind w:right="109"/>
              <w:jc w:val="right"/>
              <w:rPr>
                <w:b/>
                <w:sz w:val="17"/>
              </w:rPr>
            </w:pPr>
            <w:r>
              <w:rPr>
                <w:b/>
                <w:spacing w:val="-4"/>
                <w:sz w:val="17"/>
              </w:rPr>
              <w:t>2030</w:t>
            </w:r>
          </w:p>
        </w:tc>
        <w:tc>
          <w:tcPr>
            <w:tcW w:w="655" w:type="dxa"/>
            <w:shd w:val="clear" w:color="auto" w:fill="92D400"/>
          </w:tcPr>
          <w:p w:rsidR="00C31389" w:rsidRDefault="00561FBD" w14:paraId="52F6AA06" w14:textId="77777777">
            <w:pPr>
              <w:pStyle w:val="TableParagraph"/>
              <w:spacing w:before="41"/>
              <w:ind w:right="109"/>
              <w:jc w:val="right"/>
              <w:rPr>
                <w:b/>
                <w:sz w:val="17"/>
              </w:rPr>
            </w:pPr>
            <w:r>
              <w:rPr>
                <w:b/>
                <w:spacing w:val="-4"/>
                <w:sz w:val="17"/>
              </w:rPr>
              <w:t>2031</w:t>
            </w:r>
          </w:p>
        </w:tc>
        <w:tc>
          <w:tcPr>
            <w:tcW w:w="654" w:type="dxa"/>
            <w:shd w:val="clear" w:color="auto" w:fill="92D400"/>
          </w:tcPr>
          <w:p w:rsidR="00C31389" w:rsidRDefault="00561FBD" w14:paraId="5BE596C6" w14:textId="77777777">
            <w:pPr>
              <w:pStyle w:val="TableParagraph"/>
              <w:spacing w:before="41"/>
              <w:ind w:right="108"/>
              <w:jc w:val="right"/>
              <w:rPr>
                <w:b/>
                <w:sz w:val="17"/>
              </w:rPr>
            </w:pPr>
            <w:r>
              <w:rPr>
                <w:b/>
                <w:spacing w:val="-4"/>
                <w:sz w:val="17"/>
              </w:rPr>
              <w:t>2032</w:t>
            </w:r>
          </w:p>
        </w:tc>
        <w:tc>
          <w:tcPr>
            <w:tcW w:w="678" w:type="dxa"/>
            <w:shd w:val="clear" w:color="auto" w:fill="92D400"/>
          </w:tcPr>
          <w:p w:rsidR="00C31389" w:rsidRDefault="00561FBD" w14:paraId="11D607AB" w14:textId="77777777">
            <w:pPr>
              <w:pStyle w:val="TableParagraph"/>
              <w:spacing w:before="41"/>
              <w:ind w:right="132"/>
              <w:jc w:val="right"/>
              <w:rPr>
                <w:b/>
                <w:sz w:val="17"/>
              </w:rPr>
            </w:pPr>
            <w:r>
              <w:rPr>
                <w:b/>
                <w:spacing w:val="-4"/>
                <w:sz w:val="17"/>
              </w:rPr>
              <w:t>2033</w:t>
            </w:r>
          </w:p>
        </w:tc>
        <w:tc>
          <w:tcPr>
            <w:tcW w:w="655" w:type="dxa"/>
            <w:shd w:val="clear" w:color="auto" w:fill="92D400"/>
          </w:tcPr>
          <w:p w:rsidR="00C31389" w:rsidRDefault="00561FBD" w14:paraId="5AF0E783" w14:textId="77777777">
            <w:pPr>
              <w:pStyle w:val="TableParagraph"/>
              <w:spacing w:before="41"/>
              <w:ind w:left="99" w:right="91"/>
              <w:jc w:val="center"/>
              <w:rPr>
                <w:b/>
                <w:sz w:val="17"/>
              </w:rPr>
            </w:pPr>
            <w:r>
              <w:rPr>
                <w:b/>
                <w:spacing w:val="-4"/>
                <w:sz w:val="17"/>
              </w:rPr>
              <w:t>2034</w:t>
            </w:r>
          </w:p>
        </w:tc>
        <w:tc>
          <w:tcPr>
            <w:tcW w:w="624" w:type="dxa"/>
            <w:shd w:val="clear" w:color="auto" w:fill="92D400"/>
          </w:tcPr>
          <w:p w:rsidR="00C31389" w:rsidRDefault="00561FBD" w14:paraId="66EE75DD" w14:textId="77777777">
            <w:pPr>
              <w:pStyle w:val="TableParagraph"/>
              <w:spacing w:before="41"/>
              <w:ind w:right="100"/>
              <w:jc w:val="right"/>
              <w:rPr>
                <w:b/>
                <w:sz w:val="17"/>
              </w:rPr>
            </w:pPr>
            <w:r>
              <w:rPr>
                <w:b/>
                <w:spacing w:val="-4"/>
                <w:sz w:val="17"/>
              </w:rPr>
              <w:t>2035</w:t>
            </w:r>
          </w:p>
        </w:tc>
      </w:tr>
      <w:tr w:rsidR="00C31389" w14:paraId="54EDB584" w14:textId="77777777">
        <w:trPr>
          <w:trHeight w:val="274"/>
        </w:trPr>
        <w:tc>
          <w:tcPr>
            <w:tcW w:w="9370" w:type="dxa"/>
            <w:gridSpan w:val="13"/>
            <w:tcBorders>
              <w:bottom w:val="single" w:color="DCDDDE" w:sz="4" w:space="0"/>
            </w:tcBorders>
            <w:shd w:val="clear" w:color="auto" w:fill="BEBEBE"/>
          </w:tcPr>
          <w:p w:rsidR="00C31389" w:rsidRDefault="00561FBD" w14:paraId="775D64B7"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37FC1EBD" w14:textId="77777777">
        <w:trPr>
          <w:trHeight w:val="275"/>
        </w:trPr>
        <w:tc>
          <w:tcPr>
            <w:tcW w:w="1427" w:type="dxa"/>
            <w:tcBorders>
              <w:top w:val="single" w:color="DCDDDE" w:sz="4" w:space="0"/>
              <w:bottom w:val="single" w:color="DCDDDE" w:sz="4" w:space="0"/>
            </w:tcBorders>
          </w:tcPr>
          <w:p w:rsidR="00C31389" w:rsidRDefault="00561FBD" w14:paraId="3E597EAA" w14:textId="77777777">
            <w:pPr>
              <w:pStyle w:val="TableParagraph"/>
              <w:ind w:left="122"/>
              <w:rPr>
                <w:sz w:val="17"/>
              </w:rPr>
            </w:pPr>
            <w:r>
              <w:rPr>
                <w:spacing w:val="-5"/>
                <w:sz w:val="17"/>
              </w:rPr>
              <w:t>EE</w:t>
            </w:r>
          </w:p>
        </w:tc>
        <w:tc>
          <w:tcPr>
            <w:tcW w:w="749" w:type="dxa"/>
            <w:tcBorders>
              <w:top w:val="single" w:color="DCDDDE" w:sz="4" w:space="0"/>
              <w:bottom w:val="single" w:color="DCDDDE" w:sz="4" w:space="0"/>
            </w:tcBorders>
          </w:tcPr>
          <w:p w:rsidR="00C31389" w:rsidRDefault="00561FBD" w14:paraId="0A5D2750" w14:textId="77777777">
            <w:pPr>
              <w:pStyle w:val="TableParagraph"/>
              <w:ind w:right="112"/>
              <w:jc w:val="right"/>
              <w:rPr>
                <w:sz w:val="17"/>
              </w:rPr>
            </w:pPr>
            <w:r>
              <w:rPr>
                <w:spacing w:val="-4"/>
                <w:sz w:val="17"/>
              </w:rPr>
              <w:t>15.2</w:t>
            </w:r>
          </w:p>
        </w:tc>
        <w:tc>
          <w:tcPr>
            <w:tcW w:w="655" w:type="dxa"/>
            <w:tcBorders>
              <w:top w:val="single" w:color="DCDDDE" w:sz="4" w:space="0"/>
              <w:bottom w:val="single" w:color="DCDDDE" w:sz="4" w:space="0"/>
            </w:tcBorders>
          </w:tcPr>
          <w:p w:rsidR="00C31389" w:rsidRDefault="00561FBD" w14:paraId="32B9DC97" w14:textId="77777777">
            <w:pPr>
              <w:pStyle w:val="TableParagraph"/>
              <w:ind w:left="99" w:right="4"/>
              <w:jc w:val="center"/>
              <w:rPr>
                <w:sz w:val="17"/>
              </w:rPr>
            </w:pPr>
            <w:r>
              <w:rPr>
                <w:spacing w:val="-4"/>
                <w:sz w:val="17"/>
              </w:rPr>
              <w:t>14.0</w:t>
            </w:r>
          </w:p>
        </w:tc>
        <w:tc>
          <w:tcPr>
            <w:tcW w:w="654" w:type="dxa"/>
            <w:tcBorders>
              <w:top w:val="single" w:color="DCDDDE" w:sz="4" w:space="0"/>
              <w:bottom w:val="single" w:color="DCDDDE" w:sz="4" w:space="0"/>
            </w:tcBorders>
          </w:tcPr>
          <w:p w:rsidR="00C31389" w:rsidRDefault="00561FBD" w14:paraId="1F504CFF" w14:textId="77777777">
            <w:pPr>
              <w:pStyle w:val="TableParagraph"/>
              <w:ind w:right="111"/>
              <w:jc w:val="right"/>
              <w:rPr>
                <w:sz w:val="17"/>
              </w:rPr>
            </w:pPr>
            <w:r>
              <w:rPr>
                <w:spacing w:val="-4"/>
                <w:sz w:val="17"/>
              </w:rPr>
              <w:t>12.4</w:t>
            </w:r>
          </w:p>
        </w:tc>
        <w:tc>
          <w:tcPr>
            <w:tcW w:w="654" w:type="dxa"/>
            <w:tcBorders>
              <w:top w:val="single" w:color="DCDDDE" w:sz="4" w:space="0"/>
              <w:bottom w:val="single" w:color="DCDDDE" w:sz="4" w:space="0"/>
            </w:tcBorders>
          </w:tcPr>
          <w:p w:rsidR="00C31389" w:rsidRDefault="00561FBD" w14:paraId="66A698B1" w14:textId="77777777">
            <w:pPr>
              <w:pStyle w:val="TableParagraph"/>
              <w:ind w:right="110"/>
              <w:jc w:val="right"/>
              <w:rPr>
                <w:sz w:val="17"/>
              </w:rPr>
            </w:pPr>
            <w:r>
              <w:rPr>
                <w:spacing w:val="-4"/>
                <w:sz w:val="17"/>
              </w:rPr>
              <w:t>11.6</w:t>
            </w:r>
          </w:p>
        </w:tc>
        <w:tc>
          <w:tcPr>
            <w:tcW w:w="655" w:type="dxa"/>
            <w:tcBorders>
              <w:top w:val="single" w:color="DCDDDE" w:sz="4" w:space="0"/>
              <w:bottom w:val="single" w:color="DCDDDE" w:sz="4" w:space="0"/>
            </w:tcBorders>
          </w:tcPr>
          <w:p w:rsidR="00C31389" w:rsidRDefault="00561FBD" w14:paraId="203CB823" w14:textId="77777777">
            <w:pPr>
              <w:pStyle w:val="TableParagraph"/>
              <w:ind w:right="110"/>
              <w:jc w:val="right"/>
              <w:rPr>
                <w:sz w:val="17"/>
              </w:rPr>
            </w:pPr>
            <w:r>
              <w:rPr>
                <w:spacing w:val="-4"/>
                <w:sz w:val="17"/>
              </w:rPr>
              <w:t>11.0</w:t>
            </w:r>
          </w:p>
        </w:tc>
        <w:tc>
          <w:tcPr>
            <w:tcW w:w="655" w:type="dxa"/>
            <w:tcBorders>
              <w:top w:val="single" w:color="DCDDDE" w:sz="4" w:space="0"/>
              <w:bottom w:val="single" w:color="DCDDDE" w:sz="4" w:space="0"/>
            </w:tcBorders>
          </w:tcPr>
          <w:p w:rsidR="00C31389" w:rsidRDefault="00561FBD" w14:paraId="5470D787" w14:textId="77777777">
            <w:pPr>
              <w:pStyle w:val="TableParagraph"/>
              <w:ind w:right="110"/>
              <w:jc w:val="right"/>
              <w:rPr>
                <w:sz w:val="17"/>
              </w:rPr>
            </w:pPr>
            <w:r>
              <w:rPr>
                <w:spacing w:val="-5"/>
                <w:sz w:val="17"/>
              </w:rPr>
              <w:t>9.4</w:t>
            </w:r>
          </w:p>
        </w:tc>
        <w:tc>
          <w:tcPr>
            <w:tcW w:w="655" w:type="dxa"/>
            <w:tcBorders>
              <w:top w:val="single" w:color="DCDDDE" w:sz="4" w:space="0"/>
              <w:bottom w:val="single" w:color="DCDDDE" w:sz="4" w:space="0"/>
            </w:tcBorders>
          </w:tcPr>
          <w:p w:rsidR="00C31389" w:rsidRDefault="00561FBD" w14:paraId="08093475" w14:textId="77777777">
            <w:pPr>
              <w:pStyle w:val="TableParagraph"/>
              <w:ind w:right="110"/>
              <w:jc w:val="right"/>
              <w:rPr>
                <w:sz w:val="17"/>
              </w:rPr>
            </w:pPr>
            <w:r>
              <w:rPr>
                <w:spacing w:val="-5"/>
                <w:sz w:val="17"/>
              </w:rPr>
              <w:t>9.3</w:t>
            </w:r>
          </w:p>
        </w:tc>
        <w:tc>
          <w:tcPr>
            <w:tcW w:w="655" w:type="dxa"/>
            <w:tcBorders>
              <w:top w:val="single" w:color="DCDDDE" w:sz="4" w:space="0"/>
              <w:bottom w:val="single" w:color="DCDDDE" w:sz="4" w:space="0"/>
            </w:tcBorders>
          </w:tcPr>
          <w:p w:rsidR="00C31389" w:rsidRDefault="00561FBD" w14:paraId="642E1AE2" w14:textId="77777777">
            <w:pPr>
              <w:pStyle w:val="TableParagraph"/>
              <w:ind w:right="110"/>
              <w:jc w:val="right"/>
              <w:rPr>
                <w:sz w:val="17"/>
              </w:rPr>
            </w:pPr>
            <w:r>
              <w:rPr>
                <w:spacing w:val="-5"/>
                <w:sz w:val="17"/>
              </w:rPr>
              <w:t>9.0</w:t>
            </w:r>
          </w:p>
        </w:tc>
        <w:tc>
          <w:tcPr>
            <w:tcW w:w="654" w:type="dxa"/>
            <w:tcBorders>
              <w:top w:val="single" w:color="DCDDDE" w:sz="4" w:space="0"/>
              <w:bottom w:val="single" w:color="DCDDDE" w:sz="4" w:space="0"/>
            </w:tcBorders>
          </w:tcPr>
          <w:p w:rsidR="00C31389" w:rsidRDefault="00561FBD" w14:paraId="57CA3AA6" w14:textId="77777777">
            <w:pPr>
              <w:pStyle w:val="TableParagraph"/>
              <w:ind w:right="109"/>
              <w:jc w:val="right"/>
              <w:rPr>
                <w:sz w:val="17"/>
              </w:rPr>
            </w:pPr>
            <w:r>
              <w:rPr>
                <w:spacing w:val="-5"/>
                <w:sz w:val="17"/>
              </w:rPr>
              <w:t>9.1</w:t>
            </w:r>
          </w:p>
        </w:tc>
        <w:tc>
          <w:tcPr>
            <w:tcW w:w="678" w:type="dxa"/>
            <w:tcBorders>
              <w:top w:val="single" w:color="DCDDDE" w:sz="4" w:space="0"/>
              <w:bottom w:val="single" w:color="DCDDDE" w:sz="4" w:space="0"/>
            </w:tcBorders>
          </w:tcPr>
          <w:p w:rsidR="00C31389" w:rsidRDefault="00561FBD" w14:paraId="0438D763" w14:textId="77777777">
            <w:pPr>
              <w:pStyle w:val="TableParagraph"/>
              <w:ind w:right="133"/>
              <w:jc w:val="right"/>
              <w:rPr>
                <w:sz w:val="17"/>
              </w:rPr>
            </w:pPr>
            <w:r>
              <w:rPr>
                <w:spacing w:val="-5"/>
                <w:sz w:val="17"/>
              </w:rPr>
              <w:t>9.6</w:t>
            </w:r>
          </w:p>
        </w:tc>
        <w:tc>
          <w:tcPr>
            <w:tcW w:w="655" w:type="dxa"/>
            <w:tcBorders>
              <w:top w:val="single" w:color="DCDDDE" w:sz="4" w:space="0"/>
              <w:bottom w:val="single" w:color="DCDDDE" w:sz="4" w:space="0"/>
            </w:tcBorders>
          </w:tcPr>
          <w:p w:rsidR="00C31389" w:rsidRDefault="00561FBD" w14:paraId="13ABA5B8" w14:textId="77777777">
            <w:pPr>
              <w:pStyle w:val="TableParagraph"/>
              <w:ind w:left="236" w:right="88"/>
              <w:jc w:val="center"/>
              <w:rPr>
                <w:sz w:val="17"/>
              </w:rPr>
            </w:pPr>
            <w:r>
              <w:rPr>
                <w:spacing w:val="-5"/>
                <w:sz w:val="17"/>
              </w:rPr>
              <w:t>9.7</w:t>
            </w:r>
          </w:p>
        </w:tc>
        <w:tc>
          <w:tcPr>
            <w:tcW w:w="624" w:type="dxa"/>
            <w:tcBorders>
              <w:top w:val="single" w:color="DCDDDE" w:sz="4" w:space="0"/>
              <w:bottom w:val="single" w:color="DCDDDE" w:sz="4" w:space="0"/>
            </w:tcBorders>
          </w:tcPr>
          <w:p w:rsidR="00C31389" w:rsidRDefault="00561FBD" w14:paraId="3B013286" w14:textId="77777777">
            <w:pPr>
              <w:pStyle w:val="TableParagraph"/>
              <w:ind w:right="102"/>
              <w:jc w:val="right"/>
              <w:rPr>
                <w:sz w:val="17"/>
              </w:rPr>
            </w:pPr>
            <w:r>
              <w:rPr>
                <w:spacing w:val="-4"/>
                <w:sz w:val="17"/>
              </w:rPr>
              <w:t>10.0</w:t>
            </w:r>
          </w:p>
        </w:tc>
      </w:tr>
      <w:tr w:rsidR="00C31389" w14:paraId="74ADA2F6" w14:textId="77777777">
        <w:trPr>
          <w:trHeight w:val="275"/>
        </w:trPr>
        <w:tc>
          <w:tcPr>
            <w:tcW w:w="1427" w:type="dxa"/>
            <w:tcBorders>
              <w:top w:val="single" w:color="DCDDDE" w:sz="4" w:space="0"/>
              <w:bottom w:val="single" w:color="DCDDDE" w:sz="4" w:space="0"/>
            </w:tcBorders>
          </w:tcPr>
          <w:p w:rsidR="00C31389" w:rsidRDefault="00561FBD" w14:paraId="5E340D41" w14:textId="77777777">
            <w:pPr>
              <w:pStyle w:val="TableParagraph"/>
              <w:ind w:left="122"/>
              <w:rPr>
                <w:sz w:val="17"/>
              </w:rPr>
            </w:pPr>
            <w:r>
              <w:rPr>
                <w:spacing w:val="-5"/>
                <w:sz w:val="17"/>
              </w:rPr>
              <w:t>FS</w:t>
            </w:r>
          </w:p>
        </w:tc>
        <w:tc>
          <w:tcPr>
            <w:tcW w:w="749" w:type="dxa"/>
            <w:tcBorders>
              <w:top w:val="single" w:color="DCDDDE" w:sz="4" w:space="0"/>
              <w:bottom w:val="single" w:color="DCDDDE" w:sz="4" w:space="0"/>
            </w:tcBorders>
          </w:tcPr>
          <w:p w:rsidR="00C31389" w:rsidRDefault="00561FBD" w14:paraId="0DED533A" w14:textId="77777777">
            <w:pPr>
              <w:pStyle w:val="TableParagraph"/>
              <w:ind w:right="112"/>
              <w:jc w:val="right"/>
              <w:rPr>
                <w:sz w:val="17"/>
              </w:rPr>
            </w:pPr>
            <w:r>
              <w:rPr>
                <w:spacing w:val="-2"/>
                <w:sz w:val="17"/>
              </w:rPr>
              <w:t>-</w:t>
            </w:r>
            <w:r>
              <w:rPr>
                <w:spacing w:val="-5"/>
                <w:sz w:val="17"/>
              </w:rPr>
              <w:t>0.2</w:t>
            </w:r>
          </w:p>
        </w:tc>
        <w:tc>
          <w:tcPr>
            <w:tcW w:w="655" w:type="dxa"/>
            <w:tcBorders>
              <w:top w:val="single" w:color="DCDDDE" w:sz="4" w:space="0"/>
              <w:bottom w:val="single" w:color="DCDDDE" w:sz="4" w:space="0"/>
            </w:tcBorders>
          </w:tcPr>
          <w:p w:rsidR="00C31389" w:rsidRDefault="00561FBD" w14:paraId="649E9F07" w14:textId="77777777">
            <w:pPr>
              <w:pStyle w:val="TableParagraph"/>
              <w:ind w:left="230" w:right="97"/>
              <w:jc w:val="center"/>
              <w:rPr>
                <w:sz w:val="17"/>
              </w:rPr>
            </w:pPr>
            <w:r>
              <w:rPr>
                <w:spacing w:val="-2"/>
                <w:sz w:val="17"/>
              </w:rPr>
              <w:t>-</w:t>
            </w:r>
            <w:r>
              <w:rPr>
                <w:spacing w:val="-5"/>
                <w:sz w:val="17"/>
              </w:rPr>
              <w:t>0.4</w:t>
            </w:r>
          </w:p>
        </w:tc>
        <w:tc>
          <w:tcPr>
            <w:tcW w:w="654" w:type="dxa"/>
            <w:tcBorders>
              <w:top w:val="single" w:color="DCDDDE" w:sz="4" w:space="0"/>
              <w:bottom w:val="single" w:color="DCDDDE" w:sz="4" w:space="0"/>
            </w:tcBorders>
          </w:tcPr>
          <w:p w:rsidR="00C31389" w:rsidRDefault="00561FBD" w14:paraId="3447A9E8" w14:textId="77777777">
            <w:pPr>
              <w:pStyle w:val="TableParagraph"/>
              <w:ind w:right="111"/>
              <w:jc w:val="right"/>
              <w:rPr>
                <w:sz w:val="17"/>
              </w:rPr>
            </w:pPr>
            <w:r>
              <w:rPr>
                <w:spacing w:val="-2"/>
                <w:sz w:val="17"/>
              </w:rPr>
              <w:t>-</w:t>
            </w:r>
            <w:r>
              <w:rPr>
                <w:spacing w:val="-5"/>
                <w:sz w:val="17"/>
              </w:rPr>
              <w:t>0.9</w:t>
            </w:r>
          </w:p>
        </w:tc>
        <w:tc>
          <w:tcPr>
            <w:tcW w:w="654" w:type="dxa"/>
            <w:tcBorders>
              <w:top w:val="single" w:color="DCDDDE" w:sz="4" w:space="0"/>
              <w:bottom w:val="single" w:color="DCDDDE" w:sz="4" w:space="0"/>
            </w:tcBorders>
          </w:tcPr>
          <w:p w:rsidR="00C31389" w:rsidRDefault="00561FBD" w14:paraId="3C4E055E" w14:textId="77777777">
            <w:pPr>
              <w:pStyle w:val="TableParagraph"/>
              <w:ind w:right="111"/>
              <w:jc w:val="right"/>
              <w:rPr>
                <w:sz w:val="17"/>
              </w:rPr>
            </w:pPr>
            <w:r>
              <w:rPr>
                <w:spacing w:val="-2"/>
                <w:sz w:val="17"/>
              </w:rPr>
              <w:t>-</w:t>
            </w:r>
            <w:r>
              <w:rPr>
                <w:spacing w:val="-5"/>
                <w:sz w:val="17"/>
              </w:rPr>
              <w:t>1.5</w:t>
            </w:r>
          </w:p>
        </w:tc>
        <w:tc>
          <w:tcPr>
            <w:tcW w:w="655" w:type="dxa"/>
            <w:tcBorders>
              <w:top w:val="single" w:color="DCDDDE" w:sz="4" w:space="0"/>
              <w:bottom w:val="single" w:color="DCDDDE" w:sz="4" w:space="0"/>
            </w:tcBorders>
          </w:tcPr>
          <w:p w:rsidR="00C31389" w:rsidRDefault="00561FBD" w14:paraId="1830CA0E" w14:textId="77777777">
            <w:pPr>
              <w:pStyle w:val="TableParagraph"/>
              <w:ind w:right="110"/>
              <w:jc w:val="right"/>
              <w:rPr>
                <w:sz w:val="17"/>
              </w:rPr>
            </w:pPr>
            <w:r>
              <w:rPr>
                <w:spacing w:val="-2"/>
                <w:sz w:val="17"/>
              </w:rPr>
              <w:t>-</w:t>
            </w:r>
            <w:r>
              <w:rPr>
                <w:spacing w:val="-5"/>
                <w:sz w:val="17"/>
              </w:rPr>
              <w:t>2.6</w:t>
            </w:r>
          </w:p>
        </w:tc>
        <w:tc>
          <w:tcPr>
            <w:tcW w:w="655" w:type="dxa"/>
            <w:tcBorders>
              <w:top w:val="single" w:color="DCDDDE" w:sz="4" w:space="0"/>
              <w:bottom w:val="single" w:color="DCDDDE" w:sz="4" w:space="0"/>
            </w:tcBorders>
          </w:tcPr>
          <w:p w:rsidR="00C31389" w:rsidRDefault="00561FBD" w14:paraId="22C44BF0" w14:textId="77777777">
            <w:pPr>
              <w:pStyle w:val="TableParagraph"/>
              <w:ind w:right="110"/>
              <w:jc w:val="right"/>
              <w:rPr>
                <w:sz w:val="17"/>
              </w:rPr>
            </w:pPr>
            <w:r>
              <w:rPr>
                <w:spacing w:val="-2"/>
                <w:sz w:val="17"/>
              </w:rPr>
              <w:t>-</w:t>
            </w:r>
            <w:r>
              <w:rPr>
                <w:spacing w:val="-5"/>
                <w:sz w:val="17"/>
              </w:rPr>
              <w:t>3.5</w:t>
            </w:r>
          </w:p>
        </w:tc>
        <w:tc>
          <w:tcPr>
            <w:tcW w:w="655" w:type="dxa"/>
            <w:tcBorders>
              <w:top w:val="single" w:color="DCDDDE" w:sz="4" w:space="0"/>
              <w:bottom w:val="single" w:color="DCDDDE" w:sz="4" w:space="0"/>
            </w:tcBorders>
          </w:tcPr>
          <w:p w:rsidR="00C31389" w:rsidRDefault="00561FBD" w14:paraId="5FA1E949" w14:textId="77777777">
            <w:pPr>
              <w:pStyle w:val="TableParagraph"/>
              <w:ind w:right="110"/>
              <w:jc w:val="right"/>
              <w:rPr>
                <w:sz w:val="17"/>
              </w:rPr>
            </w:pPr>
            <w:r>
              <w:rPr>
                <w:spacing w:val="-5"/>
                <w:sz w:val="17"/>
              </w:rPr>
              <w:t>4.8</w:t>
            </w:r>
          </w:p>
        </w:tc>
        <w:tc>
          <w:tcPr>
            <w:tcW w:w="655" w:type="dxa"/>
            <w:tcBorders>
              <w:top w:val="single" w:color="DCDDDE" w:sz="4" w:space="0"/>
              <w:bottom w:val="single" w:color="DCDDDE" w:sz="4" w:space="0"/>
            </w:tcBorders>
          </w:tcPr>
          <w:p w:rsidR="00C31389" w:rsidRDefault="00561FBD" w14:paraId="617F9113" w14:textId="77777777">
            <w:pPr>
              <w:pStyle w:val="TableParagraph"/>
              <w:ind w:right="110"/>
              <w:jc w:val="right"/>
              <w:rPr>
                <w:sz w:val="17"/>
              </w:rPr>
            </w:pPr>
            <w:r>
              <w:rPr>
                <w:spacing w:val="-5"/>
                <w:sz w:val="17"/>
              </w:rPr>
              <w:t>5.8</w:t>
            </w:r>
          </w:p>
        </w:tc>
        <w:tc>
          <w:tcPr>
            <w:tcW w:w="654" w:type="dxa"/>
            <w:tcBorders>
              <w:top w:val="single" w:color="DCDDDE" w:sz="4" w:space="0"/>
              <w:bottom w:val="single" w:color="DCDDDE" w:sz="4" w:space="0"/>
            </w:tcBorders>
          </w:tcPr>
          <w:p w:rsidR="00C31389" w:rsidRDefault="00561FBD" w14:paraId="75ED73E5" w14:textId="77777777">
            <w:pPr>
              <w:pStyle w:val="TableParagraph"/>
              <w:ind w:right="109"/>
              <w:jc w:val="right"/>
              <w:rPr>
                <w:sz w:val="17"/>
              </w:rPr>
            </w:pPr>
            <w:r>
              <w:rPr>
                <w:spacing w:val="-5"/>
                <w:sz w:val="17"/>
              </w:rPr>
              <w:t>6.8</w:t>
            </w:r>
          </w:p>
        </w:tc>
        <w:tc>
          <w:tcPr>
            <w:tcW w:w="678" w:type="dxa"/>
            <w:tcBorders>
              <w:top w:val="single" w:color="DCDDDE" w:sz="4" w:space="0"/>
              <w:bottom w:val="single" w:color="DCDDDE" w:sz="4" w:space="0"/>
            </w:tcBorders>
          </w:tcPr>
          <w:p w:rsidR="00C31389" w:rsidRDefault="00561FBD" w14:paraId="31840AE8" w14:textId="77777777">
            <w:pPr>
              <w:pStyle w:val="TableParagraph"/>
              <w:ind w:right="133"/>
              <w:jc w:val="right"/>
              <w:rPr>
                <w:sz w:val="17"/>
              </w:rPr>
            </w:pPr>
            <w:r>
              <w:rPr>
                <w:spacing w:val="-5"/>
                <w:sz w:val="17"/>
              </w:rPr>
              <w:t>7.7</w:t>
            </w:r>
          </w:p>
        </w:tc>
        <w:tc>
          <w:tcPr>
            <w:tcW w:w="655" w:type="dxa"/>
            <w:tcBorders>
              <w:top w:val="single" w:color="DCDDDE" w:sz="4" w:space="0"/>
              <w:bottom w:val="single" w:color="DCDDDE" w:sz="4" w:space="0"/>
            </w:tcBorders>
          </w:tcPr>
          <w:p w:rsidR="00C31389" w:rsidRDefault="00561FBD" w14:paraId="31A343B8" w14:textId="77777777">
            <w:pPr>
              <w:pStyle w:val="TableParagraph"/>
              <w:ind w:left="236" w:right="87"/>
              <w:jc w:val="center"/>
              <w:rPr>
                <w:sz w:val="17"/>
              </w:rPr>
            </w:pPr>
            <w:r>
              <w:rPr>
                <w:spacing w:val="-5"/>
                <w:sz w:val="17"/>
              </w:rPr>
              <w:t>8.5</w:t>
            </w:r>
          </w:p>
        </w:tc>
        <w:tc>
          <w:tcPr>
            <w:tcW w:w="624" w:type="dxa"/>
            <w:tcBorders>
              <w:top w:val="single" w:color="DCDDDE" w:sz="4" w:space="0"/>
              <w:bottom w:val="single" w:color="DCDDDE" w:sz="4" w:space="0"/>
            </w:tcBorders>
          </w:tcPr>
          <w:p w:rsidR="00C31389" w:rsidRDefault="00561FBD" w14:paraId="5F69B0B9" w14:textId="77777777">
            <w:pPr>
              <w:pStyle w:val="TableParagraph"/>
              <w:ind w:right="101"/>
              <w:jc w:val="right"/>
              <w:rPr>
                <w:sz w:val="17"/>
              </w:rPr>
            </w:pPr>
            <w:r>
              <w:rPr>
                <w:spacing w:val="-5"/>
                <w:sz w:val="17"/>
              </w:rPr>
              <w:t>9.2</w:t>
            </w:r>
          </w:p>
        </w:tc>
      </w:tr>
      <w:tr w:rsidR="00C31389" w14:paraId="09A3843F" w14:textId="77777777">
        <w:trPr>
          <w:trHeight w:val="275"/>
        </w:trPr>
        <w:tc>
          <w:tcPr>
            <w:tcW w:w="1427" w:type="dxa"/>
            <w:tcBorders>
              <w:top w:val="single" w:color="DCDDDE" w:sz="4" w:space="0"/>
              <w:bottom w:val="single" w:color="DCDDDE" w:sz="4" w:space="0"/>
            </w:tcBorders>
          </w:tcPr>
          <w:p w:rsidR="00C31389" w:rsidRDefault="00561FBD" w14:paraId="4451BDF0" w14:textId="77777777">
            <w:pPr>
              <w:pStyle w:val="TableParagraph"/>
              <w:ind w:left="122"/>
              <w:rPr>
                <w:sz w:val="17"/>
              </w:rPr>
            </w:pPr>
            <w:r>
              <w:rPr>
                <w:spacing w:val="-4"/>
                <w:sz w:val="17"/>
              </w:rPr>
              <w:t>BROs</w:t>
            </w:r>
          </w:p>
        </w:tc>
        <w:tc>
          <w:tcPr>
            <w:tcW w:w="749" w:type="dxa"/>
            <w:tcBorders>
              <w:top w:val="single" w:color="DCDDDE" w:sz="4" w:space="0"/>
              <w:bottom w:val="single" w:color="DCDDDE" w:sz="4" w:space="0"/>
            </w:tcBorders>
          </w:tcPr>
          <w:p w:rsidR="00C31389" w:rsidRDefault="00561FBD" w14:paraId="0EF082B9" w14:textId="77777777">
            <w:pPr>
              <w:pStyle w:val="TableParagraph"/>
              <w:ind w:right="112"/>
              <w:jc w:val="right"/>
              <w:rPr>
                <w:sz w:val="17"/>
              </w:rPr>
            </w:pPr>
            <w:r>
              <w:rPr>
                <w:spacing w:val="-4"/>
                <w:sz w:val="17"/>
              </w:rPr>
              <w:t>57.5</w:t>
            </w:r>
          </w:p>
        </w:tc>
        <w:tc>
          <w:tcPr>
            <w:tcW w:w="655" w:type="dxa"/>
            <w:tcBorders>
              <w:top w:val="single" w:color="DCDDDE" w:sz="4" w:space="0"/>
              <w:bottom w:val="single" w:color="DCDDDE" w:sz="4" w:space="0"/>
            </w:tcBorders>
          </w:tcPr>
          <w:p w:rsidR="00C31389" w:rsidRDefault="00561FBD" w14:paraId="3BD3A137" w14:textId="77777777">
            <w:pPr>
              <w:pStyle w:val="TableParagraph"/>
              <w:ind w:left="99" w:right="4"/>
              <w:jc w:val="center"/>
              <w:rPr>
                <w:sz w:val="17"/>
              </w:rPr>
            </w:pPr>
            <w:r>
              <w:rPr>
                <w:spacing w:val="-4"/>
                <w:sz w:val="17"/>
              </w:rPr>
              <w:t>59.9</w:t>
            </w:r>
          </w:p>
        </w:tc>
        <w:tc>
          <w:tcPr>
            <w:tcW w:w="654" w:type="dxa"/>
            <w:tcBorders>
              <w:top w:val="single" w:color="DCDDDE" w:sz="4" w:space="0"/>
              <w:bottom w:val="single" w:color="DCDDDE" w:sz="4" w:space="0"/>
            </w:tcBorders>
          </w:tcPr>
          <w:p w:rsidR="00C31389" w:rsidRDefault="00561FBD" w14:paraId="40DC82B0" w14:textId="77777777">
            <w:pPr>
              <w:pStyle w:val="TableParagraph"/>
              <w:ind w:right="111"/>
              <w:jc w:val="right"/>
              <w:rPr>
                <w:sz w:val="17"/>
              </w:rPr>
            </w:pPr>
            <w:r>
              <w:rPr>
                <w:spacing w:val="-4"/>
                <w:sz w:val="17"/>
              </w:rPr>
              <w:t>62.5</w:t>
            </w:r>
          </w:p>
        </w:tc>
        <w:tc>
          <w:tcPr>
            <w:tcW w:w="654" w:type="dxa"/>
            <w:tcBorders>
              <w:top w:val="single" w:color="DCDDDE" w:sz="4" w:space="0"/>
              <w:bottom w:val="single" w:color="DCDDDE" w:sz="4" w:space="0"/>
            </w:tcBorders>
          </w:tcPr>
          <w:p w:rsidR="00C31389" w:rsidRDefault="00561FBD" w14:paraId="668E6D41" w14:textId="77777777">
            <w:pPr>
              <w:pStyle w:val="TableParagraph"/>
              <w:ind w:right="111"/>
              <w:jc w:val="right"/>
              <w:rPr>
                <w:sz w:val="17"/>
              </w:rPr>
            </w:pPr>
            <w:r>
              <w:rPr>
                <w:spacing w:val="-4"/>
                <w:sz w:val="17"/>
              </w:rPr>
              <w:t>65.3</w:t>
            </w:r>
          </w:p>
        </w:tc>
        <w:tc>
          <w:tcPr>
            <w:tcW w:w="655" w:type="dxa"/>
            <w:tcBorders>
              <w:top w:val="single" w:color="DCDDDE" w:sz="4" w:space="0"/>
              <w:bottom w:val="single" w:color="DCDDDE" w:sz="4" w:space="0"/>
            </w:tcBorders>
          </w:tcPr>
          <w:p w:rsidR="00C31389" w:rsidRDefault="00561FBD" w14:paraId="01025638" w14:textId="77777777">
            <w:pPr>
              <w:pStyle w:val="TableParagraph"/>
              <w:ind w:right="110"/>
              <w:jc w:val="right"/>
              <w:rPr>
                <w:sz w:val="17"/>
              </w:rPr>
            </w:pPr>
            <w:r>
              <w:rPr>
                <w:spacing w:val="-4"/>
                <w:sz w:val="17"/>
              </w:rPr>
              <w:t>68.2</w:t>
            </w:r>
          </w:p>
        </w:tc>
        <w:tc>
          <w:tcPr>
            <w:tcW w:w="655" w:type="dxa"/>
            <w:tcBorders>
              <w:top w:val="single" w:color="DCDDDE" w:sz="4" w:space="0"/>
              <w:bottom w:val="single" w:color="DCDDDE" w:sz="4" w:space="0"/>
            </w:tcBorders>
          </w:tcPr>
          <w:p w:rsidR="00C31389" w:rsidRDefault="00561FBD" w14:paraId="51B262A2" w14:textId="77777777">
            <w:pPr>
              <w:pStyle w:val="TableParagraph"/>
              <w:ind w:right="110"/>
              <w:jc w:val="right"/>
              <w:rPr>
                <w:sz w:val="17"/>
              </w:rPr>
            </w:pPr>
            <w:r>
              <w:rPr>
                <w:spacing w:val="-4"/>
                <w:sz w:val="17"/>
              </w:rPr>
              <w:t>71.3</w:t>
            </w:r>
          </w:p>
        </w:tc>
        <w:tc>
          <w:tcPr>
            <w:tcW w:w="655" w:type="dxa"/>
            <w:tcBorders>
              <w:top w:val="single" w:color="DCDDDE" w:sz="4" w:space="0"/>
              <w:bottom w:val="single" w:color="DCDDDE" w:sz="4" w:space="0"/>
            </w:tcBorders>
          </w:tcPr>
          <w:p w:rsidR="00C31389" w:rsidRDefault="00561FBD" w14:paraId="437EB4D9" w14:textId="77777777">
            <w:pPr>
              <w:pStyle w:val="TableParagraph"/>
              <w:ind w:right="110"/>
              <w:jc w:val="right"/>
              <w:rPr>
                <w:sz w:val="17"/>
              </w:rPr>
            </w:pPr>
            <w:r>
              <w:rPr>
                <w:spacing w:val="-4"/>
                <w:sz w:val="17"/>
              </w:rPr>
              <w:t>74.8</w:t>
            </w:r>
          </w:p>
        </w:tc>
        <w:tc>
          <w:tcPr>
            <w:tcW w:w="655" w:type="dxa"/>
            <w:tcBorders>
              <w:top w:val="single" w:color="DCDDDE" w:sz="4" w:space="0"/>
              <w:bottom w:val="single" w:color="DCDDDE" w:sz="4" w:space="0"/>
            </w:tcBorders>
          </w:tcPr>
          <w:p w:rsidR="00C31389" w:rsidRDefault="00561FBD" w14:paraId="6EECBF86" w14:textId="77777777">
            <w:pPr>
              <w:pStyle w:val="TableParagraph"/>
              <w:ind w:right="110"/>
              <w:jc w:val="right"/>
              <w:rPr>
                <w:sz w:val="17"/>
              </w:rPr>
            </w:pPr>
            <w:r>
              <w:rPr>
                <w:spacing w:val="-4"/>
                <w:sz w:val="17"/>
              </w:rPr>
              <w:t>78.6</w:t>
            </w:r>
          </w:p>
        </w:tc>
        <w:tc>
          <w:tcPr>
            <w:tcW w:w="654" w:type="dxa"/>
            <w:tcBorders>
              <w:top w:val="single" w:color="DCDDDE" w:sz="4" w:space="0"/>
              <w:bottom w:val="single" w:color="DCDDDE" w:sz="4" w:space="0"/>
            </w:tcBorders>
          </w:tcPr>
          <w:p w:rsidR="00C31389" w:rsidRDefault="00561FBD" w14:paraId="0B7C5797" w14:textId="77777777">
            <w:pPr>
              <w:pStyle w:val="TableParagraph"/>
              <w:ind w:right="109"/>
              <w:jc w:val="right"/>
              <w:rPr>
                <w:sz w:val="17"/>
              </w:rPr>
            </w:pPr>
            <w:r>
              <w:rPr>
                <w:spacing w:val="-4"/>
                <w:sz w:val="17"/>
              </w:rPr>
              <w:t>82.5</w:t>
            </w:r>
          </w:p>
        </w:tc>
        <w:tc>
          <w:tcPr>
            <w:tcW w:w="678" w:type="dxa"/>
            <w:tcBorders>
              <w:top w:val="single" w:color="DCDDDE" w:sz="4" w:space="0"/>
              <w:bottom w:val="single" w:color="DCDDDE" w:sz="4" w:space="0"/>
            </w:tcBorders>
          </w:tcPr>
          <w:p w:rsidR="00C31389" w:rsidRDefault="00561FBD" w14:paraId="3C390283" w14:textId="77777777">
            <w:pPr>
              <w:pStyle w:val="TableParagraph"/>
              <w:ind w:right="133"/>
              <w:jc w:val="right"/>
              <w:rPr>
                <w:sz w:val="17"/>
              </w:rPr>
            </w:pPr>
            <w:r>
              <w:rPr>
                <w:spacing w:val="-4"/>
                <w:sz w:val="17"/>
              </w:rPr>
              <w:t>87.7</w:t>
            </w:r>
          </w:p>
        </w:tc>
        <w:tc>
          <w:tcPr>
            <w:tcW w:w="655" w:type="dxa"/>
            <w:tcBorders>
              <w:top w:val="single" w:color="DCDDDE" w:sz="4" w:space="0"/>
              <w:bottom w:val="single" w:color="DCDDDE" w:sz="4" w:space="0"/>
            </w:tcBorders>
          </w:tcPr>
          <w:p w:rsidR="00C31389" w:rsidRDefault="00561FBD" w14:paraId="72224071" w14:textId="77777777">
            <w:pPr>
              <w:pStyle w:val="TableParagraph"/>
              <w:ind w:left="99" w:right="45"/>
              <w:jc w:val="center"/>
              <w:rPr>
                <w:sz w:val="17"/>
              </w:rPr>
            </w:pPr>
            <w:r>
              <w:rPr>
                <w:spacing w:val="-4"/>
                <w:sz w:val="17"/>
              </w:rPr>
              <w:t>88.9</w:t>
            </w:r>
          </w:p>
        </w:tc>
        <w:tc>
          <w:tcPr>
            <w:tcW w:w="624" w:type="dxa"/>
            <w:tcBorders>
              <w:top w:val="single" w:color="DCDDDE" w:sz="4" w:space="0"/>
              <w:bottom w:val="single" w:color="DCDDDE" w:sz="4" w:space="0"/>
            </w:tcBorders>
          </w:tcPr>
          <w:p w:rsidR="00C31389" w:rsidRDefault="00561FBD" w14:paraId="270F1BA0" w14:textId="77777777">
            <w:pPr>
              <w:pStyle w:val="TableParagraph"/>
              <w:ind w:right="101"/>
              <w:jc w:val="right"/>
              <w:rPr>
                <w:sz w:val="17"/>
              </w:rPr>
            </w:pPr>
            <w:r>
              <w:rPr>
                <w:spacing w:val="-4"/>
                <w:sz w:val="17"/>
              </w:rPr>
              <w:t>93.8</w:t>
            </w:r>
          </w:p>
        </w:tc>
      </w:tr>
      <w:tr w:rsidR="00C31389" w14:paraId="032344A4"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6115246D"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0D736A0C" w14:textId="77777777">
        <w:trPr>
          <w:trHeight w:val="275"/>
        </w:trPr>
        <w:tc>
          <w:tcPr>
            <w:tcW w:w="1427" w:type="dxa"/>
            <w:tcBorders>
              <w:top w:val="single" w:color="DCDDDE" w:sz="4" w:space="0"/>
              <w:bottom w:val="single" w:color="DCDDDE" w:sz="4" w:space="0"/>
            </w:tcBorders>
          </w:tcPr>
          <w:p w:rsidR="00C31389" w:rsidRDefault="00561FBD" w14:paraId="7B0CEF49" w14:textId="77777777">
            <w:pPr>
              <w:pStyle w:val="TableParagraph"/>
              <w:ind w:left="122"/>
              <w:rPr>
                <w:sz w:val="17"/>
              </w:rPr>
            </w:pPr>
            <w:r>
              <w:rPr>
                <w:spacing w:val="-5"/>
                <w:sz w:val="17"/>
              </w:rPr>
              <w:t>EE</w:t>
            </w:r>
          </w:p>
        </w:tc>
        <w:tc>
          <w:tcPr>
            <w:tcW w:w="749" w:type="dxa"/>
            <w:tcBorders>
              <w:top w:val="single" w:color="DCDDDE" w:sz="4" w:space="0"/>
              <w:bottom w:val="single" w:color="DCDDDE" w:sz="4" w:space="0"/>
            </w:tcBorders>
          </w:tcPr>
          <w:p w:rsidR="00C31389" w:rsidRDefault="00561FBD" w14:paraId="3A44CE11" w14:textId="77777777">
            <w:pPr>
              <w:pStyle w:val="TableParagraph"/>
              <w:ind w:right="112"/>
              <w:jc w:val="right"/>
              <w:rPr>
                <w:sz w:val="17"/>
              </w:rPr>
            </w:pPr>
            <w:r>
              <w:rPr>
                <w:spacing w:val="-4"/>
                <w:sz w:val="17"/>
              </w:rPr>
              <w:t>15.8</w:t>
            </w:r>
          </w:p>
        </w:tc>
        <w:tc>
          <w:tcPr>
            <w:tcW w:w="655" w:type="dxa"/>
            <w:tcBorders>
              <w:top w:val="single" w:color="DCDDDE" w:sz="4" w:space="0"/>
              <w:bottom w:val="single" w:color="DCDDDE" w:sz="4" w:space="0"/>
            </w:tcBorders>
          </w:tcPr>
          <w:p w:rsidR="00C31389" w:rsidRDefault="00561FBD" w14:paraId="7CA22708" w14:textId="77777777">
            <w:pPr>
              <w:pStyle w:val="TableParagraph"/>
              <w:ind w:left="99" w:right="4"/>
              <w:jc w:val="center"/>
              <w:rPr>
                <w:sz w:val="17"/>
              </w:rPr>
            </w:pPr>
            <w:r>
              <w:rPr>
                <w:spacing w:val="-4"/>
                <w:sz w:val="17"/>
              </w:rPr>
              <w:t>14.7</w:t>
            </w:r>
          </w:p>
        </w:tc>
        <w:tc>
          <w:tcPr>
            <w:tcW w:w="654" w:type="dxa"/>
            <w:tcBorders>
              <w:top w:val="single" w:color="DCDDDE" w:sz="4" w:space="0"/>
              <w:bottom w:val="single" w:color="DCDDDE" w:sz="4" w:space="0"/>
            </w:tcBorders>
          </w:tcPr>
          <w:p w:rsidR="00C31389" w:rsidRDefault="00561FBD" w14:paraId="73C05B55" w14:textId="77777777">
            <w:pPr>
              <w:pStyle w:val="TableParagraph"/>
              <w:ind w:right="111"/>
              <w:jc w:val="right"/>
              <w:rPr>
                <w:sz w:val="17"/>
              </w:rPr>
            </w:pPr>
            <w:r>
              <w:rPr>
                <w:spacing w:val="-4"/>
                <w:sz w:val="17"/>
              </w:rPr>
              <w:t>13.0</w:t>
            </w:r>
          </w:p>
        </w:tc>
        <w:tc>
          <w:tcPr>
            <w:tcW w:w="654" w:type="dxa"/>
            <w:tcBorders>
              <w:top w:val="single" w:color="DCDDDE" w:sz="4" w:space="0"/>
              <w:bottom w:val="single" w:color="DCDDDE" w:sz="4" w:space="0"/>
            </w:tcBorders>
          </w:tcPr>
          <w:p w:rsidR="00C31389" w:rsidRDefault="00561FBD" w14:paraId="357CCEC8" w14:textId="77777777">
            <w:pPr>
              <w:pStyle w:val="TableParagraph"/>
              <w:ind w:right="111"/>
              <w:jc w:val="right"/>
              <w:rPr>
                <w:sz w:val="17"/>
              </w:rPr>
            </w:pPr>
            <w:r>
              <w:rPr>
                <w:spacing w:val="-4"/>
                <w:sz w:val="17"/>
              </w:rPr>
              <w:t>12.1</w:t>
            </w:r>
          </w:p>
        </w:tc>
        <w:tc>
          <w:tcPr>
            <w:tcW w:w="655" w:type="dxa"/>
            <w:tcBorders>
              <w:top w:val="single" w:color="DCDDDE" w:sz="4" w:space="0"/>
              <w:bottom w:val="single" w:color="DCDDDE" w:sz="4" w:space="0"/>
            </w:tcBorders>
          </w:tcPr>
          <w:p w:rsidR="00C31389" w:rsidRDefault="00561FBD" w14:paraId="10158EB9" w14:textId="77777777">
            <w:pPr>
              <w:pStyle w:val="TableParagraph"/>
              <w:ind w:right="110"/>
              <w:jc w:val="right"/>
              <w:rPr>
                <w:sz w:val="17"/>
              </w:rPr>
            </w:pPr>
            <w:r>
              <w:rPr>
                <w:spacing w:val="-4"/>
                <w:sz w:val="17"/>
              </w:rPr>
              <w:t>11.6</w:t>
            </w:r>
          </w:p>
        </w:tc>
        <w:tc>
          <w:tcPr>
            <w:tcW w:w="655" w:type="dxa"/>
            <w:tcBorders>
              <w:top w:val="single" w:color="DCDDDE" w:sz="4" w:space="0"/>
              <w:bottom w:val="single" w:color="DCDDDE" w:sz="4" w:space="0"/>
            </w:tcBorders>
          </w:tcPr>
          <w:p w:rsidR="00C31389" w:rsidRDefault="00561FBD" w14:paraId="26110E4C" w14:textId="77777777">
            <w:pPr>
              <w:pStyle w:val="TableParagraph"/>
              <w:ind w:right="110"/>
              <w:jc w:val="right"/>
              <w:rPr>
                <w:sz w:val="17"/>
              </w:rPr>
            </w:pPr>
            <w:r>
              <w:rPr>
                <w:spacing w:val="-4"/>
                <w:sz w:val="17"/>
              </w:rPr>
              <w:t>10.2</w:t>
            </w:r>
          </w:p>
        </w:tc>
        <w:tc>
          <w:tcPr>
            <w:tcW w:w="655" w:type="dxa"/>
            <w:tcBorders>
              <w:top w:val="single" w:color="DCDDDE" w:sz="4" w:space="0"/>
              <w:bottom w:val="single" w:color="DCDDDE" w:sz="4" w:space="0"/>
            </w:tcBorders>
          </w:tcPr>
          <w:p w:rsidR="00C31389" w:rsidRDefault="00561FBD" w14:paraId="775E5133" w14:textId="77777777">
            <w:pPr>
              <w:pStyle w:val="TableParagraph"/>
              <w:ind w:right="110"/>
              <w:jc w:val="right"/>
              <w:rPr>
                <w:sz w:val="17"/>
              </w:rPr>
            </w:pPr>
            <w:r>
              <w:rPr>
                <w:spacing w:val="-5"/>
                <w:sz w:val="17"/>
              </w:rPr>
              <w:t>9.9</w:t>
            </w:r>
          </w:p>
        </w:tc>
        <w:tc>
          <w:tcPr>
            <w:tcW w:w="655" w:type="dxa"/>
            <w:tcBorders>
              <w:top w:val="single" w:color="DCDDDE" w:sz="4" w:space="0"/>
              <w:bottom w:val="single" w:color="DCDDDE" w:sz="4" w:space="0"/>
            </w:tcBorders>
          </w:tcPr>
          <w:p w:rsidR="00C31389" w:rsidRDefault="00561FBD" w14:paraId="785DF853" w14:textId="77777777">
            <w:pPr>
              <w:pStyle w:val="TableParagraph"/>
              <w:ind w:right="110"/>
              <w:jc w:val="right"/>
              <w:rPr>
                <w:sz w:val="17"/>
              </w:rPr>
            </w:pPr>
            <w:r>
              <w:rPr>
                <w:spacing w:val="-5"/>
                <w:sz w:val="17"/>
              </w:rPr>
              <w:t>9.6</w:t>
            </w:r>
          </w:p>
        </w:tc>
        <w:tc>
          <w:tcPr>
            <w:tcW w:w="654" w:type="dxa"/>
            <w:tcBorders>
              <w:top w:val="single" w:color="DCDDDE" w:sz="4" w:space="0"/>
              <w:bottom w:val="single" w:color="DCDDDE" w:sz="4" w:space="0"/>
            </w:tcBorders>
          </w:tcPr>
          <w:p w:rsidR="00C31389" w:rsidRDefault="00561FBD" w14:paraId="480C9072" w14:textId="77777777">
            <w:pPr>
              <w:pStyle w:val="TableParagraph"/>
              <w:ind w:right="109"/>
              <w:jc w:val="right"/>
              <w:rPr>
                <w:sz w:val="17"/>
              </w:rPr>
            </w:pPr>
            <w:r>
              <w:rPr>
                <w:spacing w:val="-5"/>
                <w:sz w:val="17"/>
              </w:rPr>
              <w:t>9.5</w:t>
            </w:r>
          </w:p>
        </w:tc>
        <w:tc>
          <w:tcPr>
            <w:tcW w:w="678" w:type="dxa"/>
            <w:tcBorders>
              <w:top w:val="single" w:color="DCDDDE" w:sz="4" w:space="0"/>
              <w:bottom w:val="single" w:color="DCDDDE" w:sz="4" w:space="0"/>
            </w:tcBorders>
          </w:tcPr>
          <w:p w:rsidR="00C31389" w:rsidRDefault="00561FBD" w14:paraId="250E4ED7" w14:textId="77777777">
            <w:pPr>
              <w:pStyle w:val="TableParagraph"/>
              <w:ind w:right="133"/>
              <w:jc w:val="right"/>
              <w:rPr>
                <w:sz w:val="17"/>
              </w:rPr>
            </w:pPr>
            <w:r>
              <w:rPr>
                <w:spacing w:val="-5"/>
                <w:sz w:val="17"/>
              </w:rPr>
              <w:t>9.6</w:t>
            </w:r>
          </w:p>
        </w:tc>
        <w:tc>
          <w:tcPr>
            <w:tcW w:w="655" w:type="dxa"/>
            <w:tcBorders>
              <w:top w:val="single" w:color="DCDDDE" w:sz="4" w:space="0"/>
              <w:bottom w:val="single" w:color="DCDDDE" w:sz="4" w:space="0"/>
            </w:tcBorders>
          </w:tcPr>
          <w:p w:rsidR="00C31389" w:rsidRDefault="00561FBD" w14:paraId="30F35763" w14:textId="77777777">
            <w:pPr>
              <w:pStyle w:val="TableParagraph"/>
              <w:ind w:left="236" w:right="88"/>
              <w:jc w:val="center"/>
              <w:rPr>
                <w:sz w:val="17"/>
              </w:rPr>
            </w:pPr>
            <w:r>
              <w:rPr>
                <w:spacing w:val="-5"/>
                <w:sz w:val="17"/>
              </w:rPr>
              <w:t>9.7</w:t>
            </w:r>
          </w:p>
        </w:tc>
        <w:tc>
          <w:tcPr>
            <w:tcW w:w="624" w:type="dxa"/>
            <w:tcBorders>
              <w:top w:val="single" w:color="DCDDDE" w:sz="4" w:space="0"/>
              <w:bottom w:val="single" w:color="DCDDDE" w:sz="4" w:space="0"/>
            </w:tcBorders>
          </w:tcPr>
          <w:p w:rsidR="00C31389" w:rsidRDefault="00561FBD" w14:paraId="026C3D2C" w14:textId="77777777">
            <w:pPr>
              <w:pStyle w:val="TableParagraph"/>
              <w:ind w:right="102"/>
              <w:jc w:val="right"/>
              <w:rPr>
                <w:sz w:val="17"/>
              </w:rPr>
            </w:pPr>
            <w:r>
              <w:rPr>
                <w:spacing w:val="-4"/>
                <w:sz w:val="17"/>
              </w:rPr>
              <w:t>10.0</w:t>
            </w:r>
          </w:p>
        </w:tc>
      </w:tr>
      <w:tr w:rsidR="00C31389" w14:paraId="486F4FD7" w14:textId="77777777">
        <w:trPr>
          <w:trHeight w:val="275"/>
        </w:trPr>
        <w:tc>
          <w:tcPr>
            <w:tcW w:w="1427" w:type="dxa"/>
            <w:tcBorders>
              <w:top w:val="single" w:color="DCDDDE" w:sz="4" w:space="0"/>
              <w:bottom w:val="single" w:color="DCDDDE" w:sz="4" w:space="0"/>
            </w:tcBorders>
          </w:tcPr>
          <w:p w:rsidR="00C31389" w:rsidRDefault="00561FBD" w14:paraId="1FB81685" w14:textId="77777777">
            <w:pPr>
              <w:pStyle w:val="TableParagraph"/>
              <w:ind w:left="122"/>
              <w:rPr>
                <w:sz w:val="17"/>
              </w:rPr>
            </w:pPr>
            <w:r>
              <w:rPr>
                <w:spacing w:val="-5"/>
                <w:sz w:val="17"/>
              </w:rPr>
              <w:t>FS</w:t>
            </w:r>
          </w:p>
        </w:tc>
        <w:tc>
          <w:tcPr>
            <w:tcW w:w="749" w:type="dxa"/>
            <w:tcBorders>
              <w:top w:val="single" w:color="DCDDDE" w:sz="4" w:space="0"/>
              <w:bottom w:val="single" w:color="DCDDDE" w:sz="4" w:space="0"/>
            </w:tcBorders>
          </w:tcPr>
          <w:p w:rsidR="00C31389" w:rsidRDefault="00561FBD" w14:paraId="7444B3B8" w14:textId="77777777">
            <w:pPr>
              <w:pStyle w:val="TableParagraph"/>
              <w:ind w:right="112"/>
              <w:jc w:val="right"/>
              <w:rPr>
                <w:sz w:val="17"/>
              </w:rPr>
            </w:pPr>
            <w:r>
              <w:rPr>
                <w:spacing w:val="-2"/>
                <w:sz w:val="17"/>
              </w:rPr>
              <w:t>-</w:t>
            </w:r>
            <w:r>
              <w:rPr>
                <w:spacing w:val="-5"/>
                <w:sz w:val="17"/>
              </w:rPr>
              <w:t>0.3</w:t>
            </w:r>
          </w:p>
        </w:tc>
        <w:tc>
          <w:tcPr>
            <w:tcW w:w="655" w:type="dxa"/>
            <w:tcBorders>
              <w:top w:val="single" w:color="DCDDDE" w:sz="4" w:space="0"/>
              <w:bottom w:val="single" w:color="DCDDDE" w:sz="4" w:space="0"/>
            </w:tcBorders>
          </w:tcPr>
          <w:p w:rsidR="00C31389" w:rsidRDefault="00561FBD" w14:paraId="0AAF9E05" w14:textId="77777777">
            <w:pPr>
              <w:pStyle w:val="TableParagraph"/>
              <w:ind w:left="230" w:right="97"/>
              <w:jc w:val="center"/>
              <w:rPr>
                <w:sz w:val="17"/>
              </w:rPr>
            </w:pPr>
            <w:r>
              <w:rPr>
                <w:spacing w:val="-2"/>
                <w:sz w:val="17"/>
              </w:rPr>
              <w:t>-</w:t>
            </w:r>
            <w:r>
              <w:rPr>
                <w:spacing w:val="-5"/>
                <w:sz w:val="17"/>
              </w:rPr>
              <w:t>0.7</w:t>
            </w:r>
          </w:p>
        </w:tc>
        <w:tc>
          <w:tcPr>
            <w:tcW w:w="654" w:type="dxa"/>
            <w:tcBorders>
              <w:top w:val="single" w:color="DCDDDE" w:sz="4" w:space="0"/>
              <w:bottom w:val="single" w:color="DCDDDE" w:sz="4" w:space="0"/>
            </w:tcBorders>
          </w:tcPr>
          <w:p w:rsidR="00C31389" w:rsidRDefault="00561FBD" w14:paraId="0E4DE92E" w14:textId="77777777">
            <w:pPr>
              <w:pStyle w:val="TableParagraph"/>
              <w:ind w:right="111"/>
              <w:jc w:val="right"/>
              <w:rPr>
                <w:sz w:val="17"/>
              </w:rPr>
            </w:pPr>
            <w:r>
              <w:rPr>
                <w:spacing w:val="-2"/>
                <w:sz w:val="17"/>
              </w:rPr>
              <w:t>-</w:t>
            </w:r>
            <w:r>
              <w:rPr>
                <w:spacing w:val="-5"/>
                <w:sz w:val="17"/>
              </w:rPr>
              <w:t>1.2</w:t>
            </w:r>
          </w:p>
        </w:tc>
        <w:tc>
          <w:tcPr>
            <w:tcW w:w="654" w:type="dxa"/>
            <w:tcBorders>
              <w:top w:val="single" w:color="DCDDDE" w:sz="4" w:space="0"/>
              <w:bottom w:val="single" w:color="DCDDDE" w:sz="4" w:space="0"/>
            </w:tcBorders>
          </w:tcPr>
          <w:p w:rsidR="00C31389" w:rsidRDefault="00561FBD" w14:paraId="5DF74880" w14:textId="77777777">
            <w:pPr>
              <w:pStyle w:val="TableParagraph"/>
              <w:ind w:right="111"/>
              <w:jc w:val="right"/>
              <w:rPr>
                <w:sz w:val="17"/>
              </w:rPr>
            </w:pPr>
            <w:r>
              <w:rPr>
                <w:spacing w:val="-2"/>
                <w:sz w:val="17"/>
              </w:rPr>
              <w:t>-</w:t>
            </w:r>
            <w:r>
              <w:rPr>
                <w:spacing w:val="-5"/>
                <w:sz w:val="17"/>
              </w:rPr>
              <w:t>1.9</w:t>
            </w:r>
          </w:p>
        </w:tc>
        <w:tc>
          <w:tcPr>
            <w:tcW w:w="655" w:type="dxa"/>
            <w:tcBorders>
              <w:top w:val="single" w:color="DCDDDE" w:sz="4" w:space="0"/>
              <w:bottom w:val="single" w:color="DCDDDE" w:sz="4" w:space="0"/>
            </w:tcBorders>
          </w:tcPr>
          <w:p w:rsidR="00C31389" w:rsidRDefault="00561FBD" w14:paraId="72A53894" w14:textId="77777777">
            <w:pPr>
              <w:pStyle w:val="TableParagraph"/>
              <w:ind w:right="110"/>
              <w:jc w:val="right"/>
              <w:rPr>
                <w:sz w:val="17"/>
              </w:rPr>
            </w:pPr>
            <w:r>
              <w:rPr>
                <w:spacing w:val="-2"/>
                <w:sz w:val="17"/>
              </w:rPr>
              <w:t>-</w:t>
            </w:r>
            <w:r>
              <w:rPr>
                <w:spacing w:val="-5"/>
                <w:sz w:val="17"/>
              </w:rPr>
              <w:t>3.1</w:t>
            </w:r>
          </w:p>
        </w:tc>
        <w:tc>
          <w:tcPr>
            <w:tcW w:w="655" w:type="dxa"/>
            <w:tcBorders>
              <w:top w:val="single" w:color="DCDDDE" w:sz="4" w:space="0"/>
              <w:bottom w:val="single" w:color="DCDDDE" w:sz="4" w:space="0"/>
            </w:tcBorders>
          </w:tcPr>
          <w:p w:rsidR="00C31389" w:rsidRDefault="00561FBD" w14:paraId="47787D0D" w14:textId="77777777">
            <w:pPr>
              <w:pStyle w:val="TableParagraph"/>
              <w:ind w:right="110"/>
              <w:jc w:val="right"/>
              <w:rPr>
                <w:sz w:val="17"/>
              </w:rPr>
            </w:pPr>
            <w:r>
              <w:rPr>
                <w:spacing w:val="-2"/>
                <w:sz w:val="17"/>
              </w:rPr>
              <w:t>-</w:t>
            </w:r>
            <w:r>
              <w:rPr>
                <w:spacing w:val="-5"/>
                <w:sz w:val="17"/>
              </w:rPr>
              <w:t>4.1</w:t>
            </w:r>
          </w:p>
        </w:tc>
        <w:tc>
          <w:tcPr>
            <w:tcW w:w="655" w:type="dxa"/>
            <w:tcBorders>
              <w:top w:val="single" w:color="DCDDDE" w:sz="4" w:space="0"/>
              <w:bottom w:val="single" w:color="DCDDDE" w:sz="4" w:space="0"/>
            </w:tcBorders>
          </w:tcPr>
          <w:p w:rsidR="00C31389" w:rsidRDefault="00561FBD" w14:paraId="74623C27" w14:textId="77777777">
            <w:pPr>
              <w:pStyle w:val="TableParagraph"/>
              <w:ind w:right="110"/>
              <w:jc w:val="right"/>
              <w:rPr>
                <w:sz w:val="17"/>
              </w:rPr>
            </w:pPr>
            <w:r>
              <w:rPr>
                <w:spacing w:val="-5"/>
                <w:sz w:val="17"/>
              </w:rPr>
              <w:t>5.2</w:t>
            </w:r>
          </w:p>
        </w:tc>
        <w:tc>
          <w:tcPr>
            <w:tcW w:w="655" w:type="dxa"/>
            <w:tcBorders>
              <w:top w:val="single" w:color="DCDDDE" w:sz="4" w:space="0"/>
              <w:bottom w:val="single" w:color="DCDDDE" w:sz="4" w:space="0"/>
            </w:tcBorders>
          </w:tcPr>
          <w:p w:rsidR="00C31389" w:rsidRDefault="00561FBD" w14:paraId="77AA9B9A" w14:textId="77777777">
            <w:pPr>
              <w:pStyle w:val="TableParagraph"/>
              <w:ind w:right="110"/>
              <w:jc w:val="right"/>
              <w:rPr>
                <w:sz w:val="17"/>
              </w:rPr>
            </w:pPr>
            <w:r>
              <w:rPr>
                <w:spacing w:val="-5"/>
                <w:sz w:val="17"/>
              </w:rPr>
              <w:t>6.1</w:t>
            </w:r>
          </w:p>
        </w:tc>
        <w:tc>
          <w:tcPr>
            <w:tcW w:w="654" w:type="dxa"/>
            <w:tcBorders>
              <w:top w:val="single" w:color="DCDDDE" w:sz="4" w:space="0"/>
              <w:bottom w:val="single" w:color="DCDDDE" w:sz="4" w:space="0"/>
            </w:tcBorders>
          </w:tcPr>
          <w:p w:rsidR="00C31389" w:rsidRDefault="00561FBD" w14:paraId="67205176" w14:textId="77777777">
            <w:pPr>
              <w:pStyle w:val="TableParagraph"/>
              <w:ind w:right="109"/>
              <w:jc w:val="right"/>
              <w:rPr>
                <w:sz w:val="17"/>
              </w:rPr>
            </w:pPr>
            <w:r>
              <w:rPr>
                <w:spacing w:val="-5"/>
                <w:sz w:val="17"/>
              </w:rPr>
              <w:t>7.1</w:t>
            </w:r>
          </w:p>
        </w:tc>
        <w:tc>
          <w:tcPr>
            <w:tcW w:w="678" w:type="dxa"/>
            <w:tcBorders>
              <w:top w:val="single" w:color="DCDDDE" w:sz="4" w:space="0"/>
              <w:bottom w:val="single" w:color="DCDDDE" w:sz="4" w:space="0"/>
            </w:tcBorders>
          </w:tcPr>
          <w:p w:rsidR="00C31389" w:rsidRDefault="00561FBD" w14:paraId="5DE21912" w14:textId="77777777">
            <w:pPr>
              <w:pStyle w:val="TableParagraph"/>
              <w:ind w:right="133"/>
              <w:jc w:val="right"/>
              <w:rPr>
                <w:sz w:val="17"/>
              </w:rPr>
            </w:pPr>
            <w:r>
              <w:rPr>
                <w:spacing w:val="-5"/>
                <w:sz w:val="17"/>
              </w:rPr>
              <w:t>8.0</w:t>
            </w:r>
          </w:p>
        </w:tc>
        <w:tc>
          <w:tcPr>
            <w:tcW w:w="655" w:type="dxa"/>
            <w:tcBorders>
              <w:top w:val="single" w:color="DCDDDE" w:sz="4" w:space="0"/>
              <w:bottom w:val="single" w:color="DCDDDE" w:sz="4" w:space="0"/>
            </w:tcBorders>
          </w:tcPr>
          <w:p w:rsidR="00C31389" w:rsidRDefault="00561FBD" w14:paraId="45E8B562" w14:textId="77777777">
            <w:pPr>
              <w:pStyle w:val="TableParagraph"/>
              <w:ind w:left="236" w:right="88"/>
              <w:jc w:val="center"/>
              <w:rPr>
                <w:sz w:val="17"/>
              </w:rPr>
            </w:pPr>
            <w:r>
              <w:rPr>
                <w:spacing w:val="-5"/>
                <w:sz w:val="17"/>
              </w:rPr>
              <w:t>8.6</w:t>
            </w:r>
          </w:p>
        </w:tc>
        <w:tc>
          <w:tcPr>
            <w:tcW w:w="624" w:type="dxa"/>
            <w:tcBorders>
              <w:top w:val="single" w:color="DCDDDE" w:sz="4" w:space="0"/>
              <w:bottom w:val="single" w:color="DCDDDE" w:sz="4" w:space="0"/>
            </w:tcBorders>
          </w:tcPr>
          <w:p w:rsidR="00C31389" w:rsidRDefault="00561FBD" w14:paraId="0B835562" w14:textId="77777777">
            <w:pPr>
              <w:pStyle w:val="TableParagraph"/>
              <w:ind w:right="101"/>
              <w:jc w:val="right"/>
              <w:rPr>
                <w:sz w:val="17"/>
              </w:rPr>
            </w:pPr>
            <w:r>
              <w:rPr>
                <w:spacing w:val="-5"/>
                <w:sz w:val="17"/>
              </w:rPr>
              <w:t>9.4</w:t>
            </w:r>
          </w:p>
        </w:tc>
      </w:tr>
      <w:tr w:rsidR="00C31389" w14:paraId="3B720570" w14:textId="77777777">
        <w:trPr>
          <w:trHeight w:val="274"/>
        </w:trPr>
        <w:tc>
          <w:tcPr>
            <w:tcW w:w="1427" w:type="dxa"/>
            <w:tcBorders>
              <w:top w:val="single" w:color="DCDDDE" w:sz="4" w:space="0"/>
              <w:bottom w:val="single" w:color="DCDDDE" w:sz="4" w:space="0"/>
            </w:tcBorders>
          </w:tcPr>
          <w:p w:rsidR="00C31389" w:rsidRDefault="00561FBD" w14:paraId="7156D0A1" w14:textId="77777777">
            <w:pPr>
              <w:pStyle w:val="TableParagraph"/>
              <w:ind w:left="122"/>
              <w:rPr>
                <w:sz w:val="17"/>
              </w:rPr>
            </w:pPr>
            <w:r>
              <w:rPr>
                <w:spacing w:val="-4"/>
                <w:sz w:val="17"/>
              </w:rPr>
              <w:t>BROs</w:t>
            </w:r>
          </w:p>
        </w:tc>
        <w:tc>
          <w:tcPr>
            <w:tcW w:w="749" w:type="dxa"/>
            <w:tcBorders>
              <w:top w:val="single" w:color="DCDDDE" w:sz="4" w:space="0"/>
              <w:bottom w:val="single" w:color="DCDDDE" w:sz="4" w:space="0"/>
            </w:tcBorders>
          </w:tcPr>
          <w:p w:rsidR="00C31389" w:rsidRDefault="00561FBD" w14:paraId="2A8EB56A" w14:textId="77777777">
            <w:pPr>
              <w:pStyle w:val="TableParagraph"/>
              <w:ind w:right="112"/>
              <w:jc w:val="right"/>
              <w:rPr>
                <w:sz w:val="17"/>
              </w:rPr>
            </w:pPr>
            <w:r>
              <w:rPr>
                <w:spacing w:val="-4"/>
                <w:sz w:val="17"/>
              </w:rPr>
              <w:t>57.5</w:t>
            </w:r>
          </w:p>
        </w:tc>
        <w:tc>
          <w:tcPr>
            <w:tcW w:w="655" w:type="dxa"/>
            <w:tcBorders>
              <w:top w:val="single" w:color="DCDDDE" w:sz="4" w:space="0"/>
              <w:bottom w:val="single" w:color="DCDDDE" w:sz="4" w:space="0"/>
            </w:tcBorders>
          </w:tcPr>
          <w:p w:rsidR="00C31389" w:rsidRDefault="00561FBD" w14:paraId="3FD25FFA" w14:textId="77777777">
            <w:pPr>
              <w:pStyle w:val="TableParagraph"/>
              <w:ind w:left="99" w:right="4"/>
              <w:jc w:val="center"/>
              <w:rPr>
                <w:sz w:val="17"/>
              </w:rPr>
            </w:pPr>
            <w:r>
              <w:rPr>
                <w:spacing w:val="-4"/>
                <w:sz w:val="17"/>
              </w:rPr>
              <w:t>59.9</w:t>
            </w:r>
          </w:p>
        </w:tc>
        <w:tc>
          <w:tcPr>
            <w:tcW w:w="654" w:type="dxa"/>
            <w:tcBorders>
              <w:top w:val="single" w:color="DCDDDE" w:sz="4" w:space="0"/>
              <w:bottom w:val="single" w:color="DCDDDE" w:sz="4" w:space="0"/>
            </w:tcBorders>
          </w:tcPr>
          <w:p w:rsidR="00C31389" w:rsidRDefault="00561FBD" w14:paraId="04B8C3B4" w14:textId="77777777">
            <w:pPr>
              <w:pStyle w:val="TableParagraph"/>
              <w:ind w:right="111"/>
              <w:jc w:val="right"/>
              <w:rPr>
                <w:sz w:val="17"/>
              </w:rPr>
            </w:pPr>
            <w:r>
              <w:rPr>
                <w:spacing w:val="-4"/>
                <w:sz w:val="17"/>
              </w:rPr>
              <w:t>62.5</w:t>
            </w:r>
          </w:p>
        </w:tc>
        <w:tc>
          <w:tcPr>
            <w:tcW w:w="654" w:type="dxa"/>
            <w:tcBorders>
              <w:top w:val="single" w:color="DCDDDE" w:sz="4" w:space="0"/>
              <w:bottom w:val="single" w:color="DCDDDE" w:sz="4" w:space="0"/>
            </w:tcBorders>
          </w:tcPr>
          <w:p w:rsidR="00C31389" w:rsidRDefault="00561FBD" w14:paraId="3F38879D" w14:textId="77777777">
            <w:pPr>
              <w:pStyle w:val="TableParagraph"/>
              <w:ind w:right="111"/>
              <w:jc w:val="right"/>
              <w:rPr>
                <w:sz w:val="17"/>
              </w:rPr>
            </w:pPr>
            <w:r>
              <w:rPr>
                <w:spacing w:val="-4"/>
                <w:sz w:val="17"/>
              </w:rPr>
              <w:t>65.3</w:t>
            </w:r>
          </w:p>
        </w:tc>
        <w:tc>
          <w:tcPr>
            <w:tcW w:w="655" w:type="dxa"/>
            <w:tcBorders>
              <w:top w:val="single" w:color="DCDDDE" w:sz="4" w:space="0"/>
              <w:bottom w:val="single" w:color="DCDDDE" w:sz="4" w:space="0"/>
            </w:tcBorders>
          </w:tcPr>
          <w:p w:rsidR="00C31389" w:rsidRDefault="00561FBD" w14:paraId="76B766DA" w14:textId="77777777">
            <w:pPr>
              <w:pStyle w:val="TableParagraph"/>
              <w:ind w:right="110"/>
              <w:jc w:val="right"/>
              <w:rPr>
                <w:sz w:val="17"/>
              </w:rPr>
            </w:pPr>
            <w:r>
              <w:rPr>
                <w:spacing w:val="-4"/>
                <w:sz w:val="17"/>
              </w:rPr>
              <w:t>68.2</w:t>
            </w:r>
          </w:p>
        </w:tc>
        <w:tc>
          <w:tcPr>
            <w:tcW w:w="655" w:type="dxa"/>
            <w:tcBorders>
              <w:top w:val="single" w:color="DCDDDE" w:sz="4" w:space="0"/>
              <w:bottom w:val="single" w:color="DCDDDE" w:sz="4" w:space="0"/>
            </w:tcBorders>
          </w:tcPr>
          <w:p w:rsidR="00C31389" w:rsidRDefault="00561FBD" w14:paraId="74F1AAB5" w14:textId="77777777">
            <w:pPr>
              <w:pStyle w:val="TableParagraph"/>
              <w:ind w:right="110"/>
              <w:jc w:val="right"/>
              <w:rPr>
                <w:sz w:val="17"/>
              </w:rPr>
            </w:pPr>
            <w:r>
              <w:rPr>
                <w:spacing w:val="-4"/>
                <w:sz w:val="17"/>
              </w:rPr>
              <w:t>71.3</w:t>
            </w:r>
          </w:p>
        </w:tc>
        <w:tc>
          <w:tcPr>
            <w:tcW w:w="655" w:type="dxa"/>
            <w:tcBorders>
              <w:top w:val="single" w:color="DCDDDE" w:sz="4" w:space="0"/>
              <w:bottom w:val="single" w:color="DCDDDE" w:sz="4" w:space="0"/>
            </w:tcBorders>
          </w:tcPr>
          <w:p w:rsidR="00C31389" w:rsidRDefault="00561FBD" w14:paraId="762EE925" w14:textId="77777777">
            <w:pPr>
              <w:pStyle w:val="TableParagraph"/>
              <w:ind w:right="110"/>
              <w:jc w:val="right"/>
              <w:rPr>
                <w:sz w:val="17"/>
              </w:rPr>
            </w:pPr>
            <w:r>
              <w:rPr>
                <w:spacing w:val="-4"/>
                <w:sz w:val="17"/>
              </w:rPr>
              <w:t>74.8</w:t>
            </w:r>
          </w:p>
        </w:tc>
        <w:tc>
          <w:tcPr>
            <w:tcW w:w="655" w:type="dxa"/>
            <w:tcBorders>
              <w:top w:val="single" w:color="DCDDDE" w:sz="4" w:space="0"/>
              <w:bottom w:val="single" w:color="DCDDDE" w:sz="4" w:space="0"/>
            </w:tcBorders>
          </w:tcPr>
          <w:p w:rsidR="00C31389" w:rsidRDefault="00561FBD" w14:paraId="00B33957" w14:textId="77777777">
            <w:pPr>
              <w:pStyle w:val="TableParagraph"/>
              <w:ind w:right="110"/>
              <w:jc w:val="right"/>
              <w:rPr>
                <w:sz w:val="17"/>
              </w:rPr>
            </w:pPr>
            <w:r>
              <w:rPr>
                <w:spacing w:val="-4"/>
                <w:sz w:val="17"/>
              </w:rPr>
              <w:t>78.6</w:t>
            </w:r>
          </w:p>
        </w:tc>
        <w:tc>
          <w:tcPr>
            <w:tcW w:w="654" w:type="dxa"/>
            <w:tcBorders>
              <w:top w:val="single" w:color="DCDDDE" w:sz="4" w:space="0"/>
              <w:bottom w:val="single" w:color="DCDDDE" w:sz="4" w:space="0"/>
            </w:tcBorders>
          </w:tcPr>
          <w:p w:rsidR="00C31389" w:rsidRDefault="00561FBD" w14:paraId="76AB6CAF" w14:textId="77777777">
            <w:pPr>
              <w:pStyle w:val="TableParagraph"/>
              <w:ind w:right="109"/>
              <w:jc w:val="right"/>
              <w:rPr>
                <w:sz w:val="17"/>
              </w:rPr>
            </w:pPr>
            <w:r>
              <w:rPr>
                <w:spacing w:val="-4"/>
                <w:sz w:val="17"/>
              </w:rPr>
              <w:t>82.5</w:t>
            </w:r>
          </w:p>
        </w:tc>
        <w:tc>
          <w:tcPr>
            <w:tcW w:w="678" w:type="dxa"/>
            <w:tcBorders>
              <w:top w:val="single" w:color="DCDDDE" w:sz="4" w:space="0"/>
              <w:bottom w:val="single" w:color="DCDDDE" w:sz="4" w:space="0"/>
            </w:tcBorders>
          </w:tcPr>
          <w:p w:rsidR="00C31389" w:rsidRDefault="00561FBD" w14:paraId="29756A9D" w14:textId="77777777">
            <w:pPr>
              <w:pStyle w:val="TableParagraph"/>
              <w:ind w:right="133"/>
              <w:jc w:val="right"/>
              <w:rPr>
                <w:sz w:val="17"/>
              </w:rPr>
            </w:pPr>
            <w:r>
              <w:rPr>
                <w:spacing w:val="-4"/>
                <w:sz w:val="17"/>
              </w:rPr>
              <w:t>87.7</w:t>
            </w:r>
          </w:p>
        </w:tc>
        <w:tc>
          <w:tcPr>
            <w:tcW w:w="655" w:type="dxa"/>
            <w:tcBorders>
              <w:top w:val="single" w:color="DCDDDE" w:sz="4" w:space="0"/>
              <w:bottom w:val="single" w:color="DCDDDE" w:sz="4" w:space="0"/>
            </w:tcBorders>
          </w:tcPr>
          <w:p w:rsidR="00C31389" w:rsidRDefault="00561FBD" w14:paraId="1887E3C7" w14:textId="77777777">
            <w:pPr>
              <w:pStyle w:val="TableParagraph"/>
              <w:ind w:left="99" w:right="45"/>
              <w:jc w:val="center"/>
              <w:rPr>
                <w:sz w:val="17"/>
              </w:rPr>
            </w:pPr>
            <w:r>
              <w:rPr>
                <w:spacing w:val="-4"/>
                <w:sz w:val="17"/>
              </w:rPr>
              <w:t>88.9</w:t>
            </w:r>
          </w:p>
        </w:tc>
        <w:tc>
          <w:tcPr>
            <w:tcW w:w="624" w:type="dxa"/>
            <w:tcBorders>
              <w:top w:val="single" w:color="DCDDDE" w:sz="4" w:space="0"/>
              <w:bottom w:val="single" w:color="DCDDDE" w:sz="4" w:space="0"/>
            </w:tcBorders>
          </w:tcPr>
          <w:p w:rsidR="00C31389" w:rsidRDefault="00561FBD" w14:paraId="3039FB7F" w14:textId="77777777">
            <w:pPr>
              <w:pStyle w:val="TableParagraph"/>
              <w:ind w:right="101"/>
              <w:jc w:val="right"/>
              <w:rPr>
                <w:sz w:val="17"/>
              </w:rPr>
            </w:pPr>
            <w:r>
              <w:rPr>
                <w:spacing w:val="-4"/>
                <w:sz w:val="17"/>
              </w:rPr>
              <w:t>93.8</w:t>
            </w:r>
          </w:p>
        </w:tc>
      </w:tr>
      <w:tr w:rsidR="00C31389" w14:paraId="6F16C000"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20476C69"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60CAC56A" w14:textId="77777777">
        <w:trPr>
          <w:trHeight w:val="275"/>
        </w:trPr>
        <w:tc>
          <w:tcPr>
            <w:tcW w:w="1427" w:type="dxa"/>
            <w:tcBorders>
              <w:top w:val="single" w:color="DCDDDE" w:sz="4" w:space="0"/>
              <w:bottom w:val="single" w:color="DCDDDE" w:sz="4" w:space="0"/>
            </w:tcBorders>
          </w:tcPr>
          <w:p w:rsidR="00C31389" w:rsidRDefault="00561FBD" w14:paraId="56D0A142" w14:textId="77777777">
            <w:pPr>
              <w:pStyle w:val="TableParagraph"/>
              <w:spacing w:before="42"/>
              <w:ind w:left="122"/>
              <w:rPr>
                <w:sz w:val="17"/>
              </w:rPr>
            </w:pPr>
            <w:r>
              <w:rPr>
                <w:spacing w:val="-5"/>
                <w:sz w:val="17"/>
              </w:rPr>
              <w:t>EE</w:t>
            </w:r>
          </w:p>
        </w:tc>
        <w:tc>
          <w:tcPr>
            <w:tcW w:w="749" w:type="dxa"/>
            <w:tcBorders>
              <w:top w:val="single" w:color="DCDDDE" w:sz="4" w:space="0"/>
              <w:bottom w:val="single" w:color="DCDDDE" w:sz="4" w:space="0"/>
            </w:tcBorders>
          </w:tcPr>
          <w:p w:rsidR="00C31389" w:rsidRDefault="00561FBD" w14:paraId="1CC73220" w14:textId="77777777">
            <w:pPr>
              <w:pStyle w:val="TableParagraph"/>
              <w:spacing w:before="42"/>
              <w:ind w:right="112"/>
              <w:jc w:val="right"/>
              <w:rPr>
                <w:sz w:val="17"/>
              </w:rPr>
            </w:pPr>
            <w:r>
              <w:rPr>
                <w:spacing w:val="-4"/>
                <w:sz w:val="17"/>
              </w:rPr>
              <w:t>15.9</w:t>
            </w:r>
          </w:p>
        </w:tc>
        <w:tc>
          <w:tcPr>
            <w:tcW w:w="655" w:type="dxa"/>
            <w:tcBorders>
              <w:top w:val="single" w:color="DCDDDE" w:sz="4" w:space="0"/>
              <w:bottom w:val="single" w:color="DCDDDE" w:sz="4" w:space="0"/>
            </w:tcBorders>
          </w:tcPr>
          <w:p w:rsidR="00C31389" w:rsidRDefault="00561FBD" w14:paraId="20DAC49A" w14:textId="77777777">
            <w:pPr>
              <w:pStyle w:val="TableParagraph"/>
              <w:spacing w:before="42"/>
              <w:ind w:left="99" w:right="4"/>
              <w:jc w:val="center"/>
              <w:rPr>
                <w:sz w:val="17"/>
              </w:rPr>
            </w:pPr>
            <w:r>
              <w:rPr>
                <w:spacing w:val="-4"/>
                <w:sz w:val="17"/>
              </w:rPr>
              <w:t>14.8</w:t>
            </w:r>
          </w:p>
        </w:tc>
        <w:tc>
          <w:tcPr>
            <w:tcW w:w="654" w:type="dxa"/>
            <w:tcBorders>
              <w:top w:val="single" w:color="DCDDDE" w:sz="4" w:space="0"/>
              <w:bottom w:val="single" w:color="DCDDDE" w:sz="4" w:space="0"/>
            </w:tcBorders>
          </w:tcPr>
          <w:p w:rsidR="00C31389" w:rsidRDefault="00561FBD" w14:paraId="03B50CA9" w14:textId="77777777">
            <w:pPr>
              <w:pStyle w:val="TableParagraph"/>
              <w:spacing w:before="42"/>
              <w:ind w:right="111"/>
              <w:jc w:val="right"/>
              <w:rPr>
                <w:sz w:val="17"/>
              </w:rPr>
            </w:pPr>
            <w:r>
              <w:rPr>
                <w:spacing w:val="-4"/>
                <w:sz w:val="17"/>
              </w:rPr>
              <w:t>13.1</w:t>
            </w:r>
          </w:p>
        </w:tc>
        <w:tc>
          <w:tcPr>
            <w:tcW w:w="654" w:type="dxa"/>
            <w:tcBorders>
              <w:top w:val="single" w:color="DCDDDE" w:sz="4" w:space="0"/>
              <w:bottom w:val="single" w:color="DCDDDE" w:sz="4" w:space="0"/>
            </w:tcBorders>
          </w:tcPr>
          <w:p w:rsidR="00C31389" w:rsidRDefault="00561FBD" w14:paraId="53B35229" w14:textId="77777777">
            <w:pPr>
              <w:pStyle w:val="TableParagraph"/>
              <w:spacing w:before="42"/>
              <w:ind w:right="111"/>
              <w:jc w:val="right"/>
              <w:rPr>
                <w:sz w:val="17"/>
              </w:rPr>
            </w:pPr>
            <w:r>
              <w:rPr>
                <w:spacing w:val="-4"/>
                <w:sz w:val="17"/>
              </w:rPr>
              <w:t>12.2</w:t>
            </w:r>
          </w:p>
        </w:tc>
        <w:tc>
          <w:tcPr>
            <w:tcW w:w="655" w:type="dxa"/>
            <w:tcBorders>
              <w:top w:val="single" w:color="DCDDDE" w:sz="4" w:space="0"/>
              <w:bottom w:val="single" w:color="DCDDDE" w:sz="4" w:space="0"/>
            </w:tcBorders>
          </w:tcPr>
          <w:p w:rsidR="00C31389" w:rsidRDefault="00561FBD" w14:paraId="2163D387" w14:textId="77777777">
            <w:pPr>
              <w:pStyle w:val="TableParagraph"/>
              <w:spacing w:before="42"/>
              <w:ind w:right="110"/>
              <w:jc w:val="right"/>
              <w:rPr>
                <w:sz w:val="17"/>
              </w:rPr>
            </w:pPr>
            <w:r>
              <w:rPr>
                <w:spacing w:val="-4"/>
                <w:sz w:val="17"/>
              </w:rPr>
              <w:t>11.7</w:t>
            </w:r>
          </w:p>
        </w:tc>
        <w:tc>
          <w:tcPr>
            <w:tcW w:w="655" w:type="dxa"/>
            <w:tcBorders>
              <w:top w:val="single" w:color="DCDDDE" w:sz="4" w:space="0"/>
              <w:bottom w:val="single" w:color="DCDDDE" w:sz="4" w:space="0"/>
            </w:tcBorders>
          </w:tcPr>
          <w:p w:rsidR="00C31389" w:rsidRDefault="00561FBD" w14:paraId="0DB69359" w14:textId="77777777">
            <w:pPr>
              <w:pStyle w:val="TableParagraph"/>
              <w:spacing w:before="42"/>
              <w:ind w:right="110"/>
              <w:jc w:val="right"/>
              <w:rPr>
                <w:sz w:val="17"/>
              </w:rPr>
            </w:pPr>
            <w:r>
              <w:rPr>
                <w:spacing w:val="-4"/>
                <w:sz w:val="17"/>
              </w:rPr>
              <w:t>10.3</w:t>
            </w:r>
          </w:p>
        </w:tc>
        <w:tc>
          <w:tcPr>
            <w:tcW w:w="655" w:type="dxa"/>
            <w:tcBorders>
              <w:top w:val="single" w:color="DCDDDE" w:sz="4" w:space="0"/>
              <w:bottom w:val="single" w:color="DCDDDE" w:sz="4" w:space="0"/>
            </w:tcBorders>
          </w:tcPr>
          <w:p w:rsidR="00C31389" w:rsidRDefault="00561FBD" w14:paraId="303F84BD" w14:textId="77777777">
            <w:pPr>
              <w:pStyle w:val="TableParagraph"/>
              <w:spacing w:before="42"/>
              <w:ind w:right="110"/>
              <w:jc w:val="right"/>
              <w:rPr>
                <w:sz w:val="17"/>
              </w:rPr>
            </w:pPr>
            <w:r>
              <w:rPr>
                <w:spacing w:val="-5"/>
                <w:sz w:val="17"/>
              </w:rPr>
              <w:t>9.9</w:t>
            </w:r>
          </w:p>
        </w:tc>
        <w:tc>
          <w:tcPr>
            <w:tcW w:w="655" w:type="dxa"/>
            <w:tcBorders>
              <w:top w:val="single" w:color="DCDDDE" w:sz="4" w:space="0"/>
              <w:bottom w:val="single" w:color="DCDDDE" w:sz="4" w:space="0"/>
            </w:tcBorders>
          </w:tcPr>
          <w:p w:rsidR="00C31389" w:rsidRDefault="00561FBD" w14:paraId="0FD42479" w14:textId="77777777">
            <w:pPr>
              <w:pStyle w:val="TableParagraph"/>
              <w:spacing w:before="42"/>
              <w:ind w:right="110"/>
              <w:jc w:val="right"/>
              <w:rPr>
                <w:sz w:val="17"/>
              </w:rPr>
            </w:pPr>
            <w:r>
              <w:rPr>
                <w:spacing w:val="-5"/>
                <w:sz w:val="17"/>
              </w:rPr>
              <w:t>9.6</w:t>
            </w:r>
          </w:p>
        </w:tc>
        <w:tc>
          <w:tcPr>
            <w:tcW w:w="654" w:type="dxa"/>
            <w:tcBorders>
              <w:top w:val="single" w:color="DCDDDE" w:sz="4" w:space="0"/>
              <w:bottom w:val="single" w:color="DCDDDE" w:sz="4" w:space="0"/>
            </w:tcBorders>
          </w:tcPr>
          <w:p w:rsidR="00C31389" w:rsidRDefault="00561FBD" w14:paraId="5887F951" w14:textId="77777777">
            <w:pPr>
              <w:pStyle w:val="TableParagraph"/>
              <w:spacing w:before="42"/>
              <w:ind w:right="109"/>
              <w:jc w:val="right"/>
              <w:rPr>
                <w:sz w:val="17"/>
              </w:rPr>
            </w:pPr>
            <w:r>
              <w:rPr>
                <w:spacing w:val="-5"/>
                <w:sz w:val="17"/>
              </w:rPr>
              <w:t>9.6</w:t>
            </w:r>
          </w:p>
        </w:tc>
        <w:tc>
          <w:tcPr>
            <w:tcW w:w="678" w:type="dxa"/>
            <w:tcBorders>
              <w:top w:val="single" w:color="DCDDDE" w:sz="4" w:space="0"/>
              <w:bottom w:val="single" w:color="DCDDDE" w:sz="4" w:space="0"/>
            </w:tcBorders>
          </w:tcPr>
          <w:p w:rsidR="00C31389" w:rsidRDefault="00561FBD" w14:paraId="73747D93" w14:textId="77777777">
            <w:pPr>
              <w:pStyle w:val="TableParagraph"/>
              <w:spacing w:before="42"/>
              <w:ind w:right="133"/>
              <w:jc w:val="right"/>
              <w:rPr>
                <w:sz w:val="17"/>
              </w:rPr>
            </w:pPr>
            <w:r>
              <w:rPr>
                <w:spacing w:val="-5"/>
                <w:sz w:val="17"/>
              </w:rPr>
              <w:t>9.6</w:t>
            </w:r>
          </w:p>
        </w:tc>
        <w:tc>
          <w:tcPr>
            <w:tcW w:w="655" w:type="dxa"/>
            <w:tcBorders>
              <w:top w:val="single" w:color="DCDDDE" w:sz="4" w:space="0"/>
              <w:bottom w:val="single" w:color="DCDDDE" w:sz="4" w:space="0"/>
            </w:tcBorders>
          </w:tcPr>
          <w:p w:rsidR="00C31389" w:rsidRDefault="00561FBD" w14:paraId="570278D8" w14:textId="77777777">
            <w:pPr>
              <w:pStyle w:val="TableParagraph"/>
              <w:spacing w:before="42"/>
              <w:ind w:left="236" w:right="88"/>
              <w:jc w:val="center"/>
              <w:rPr>
                <w:sz w:val="17"/>
              </w:rPr>
            </w:pPr>
            <w:r>
              <w:rPr>
                <w:spacing w:val="-5"/>
                <w:sz w:val="17"/>
              </w:rPr>
              <w:t>9.7</w:t>
            </w:r>
          </w:p>
        </w:tc>
        <w:tc>
          <w:tcPr>
            <w:tcW w:w="624" w:type="dxa"/>
            <w:tcBorders>
              <w:top w:val="single" w:color="DCDDDE" w:sz="4" w:space="0"/>
              <w:bottom w:val="single" w:color="DCDDDE" w:sz="4" w:space="0"/>
            </w:tcBorders>
          </w:tcPr>
          <w:p w:rsidR="00C31389" w:rsidRDefault="00561FBD" w14:paraId="14E2EDD5" w14:textId="77777777">
            <w:pPr>
              <w:pStyle w:val="TableParagraph"/>
              <w:spacing w:before="42"/>
              <w:ind w:right="102"/>
              <w:jc w:val="right"/>
              <w:rPr>
                <w:sz w:val="17"/>
              </w:rPr>
            </w:pPr>
            <w:r>
              <w:rPr>
                <w:spacing w:val="-4"/>
                <w:sz w:val="17"/>
              </w:rPr>
              <w:t>10.0</w:t>
            </w:r>
          </w:p>
        </w:tc>
      </w:tr>
      <w:tr w:rsidR="00C31389" w14:paraId="5A0ED4B7" w14:textId="77777777">
        <w:trPr>
          <w:trHeight w:val="275"/>
        </w:trPr>
        <w:tc>
          <w:tcPr>
            <w:tcW w:w="1427" w:type="dxa"/>
            <w:tcBorders>
              <w:top w:val="single" w:color="DCDDDE" w:sz="4" w:space="0"/>
              <w:bottom w:val="single" w:color="DCDDDE" w:sz="4" w:space="0"/>
            </w:tcBorders>
          </w:tcPr>
          <w:p w:rsidR="00C31389" w:rsidRDefault="00561FBD" w14:paraId="5E0466D2" w14:textId="77777777">
            <w:pPr>
              <w:pStyle w:val="TableParagraph"/>
              <w:spacing w:before="42"/>
              <w:ind w:left="122"/>
              <w:rPr>
                <w:sz w:val="17"/>
              </w:rPr>
            </w:pPr>
            <w:r>
              <w:rPr>
                <w:spacing w:val="-5"/>
                <w:sz w:val="17"/>
              </w:rPr>
              <w:t>FS</w:t>
            </w:r>
          </w:p>
        </w:tc>
        <w:tc>
          <w:tcPr>
            <w:tcW w:w="749" w:type="dxa"/>
            <w:tcBorders>
              <w:top w:val="single" w:color="DCDDDE" w:sz="4" w:space="0"/>
              <w:bottom w:val="single" w:color="DCDDDE" w:sz="4" w:space="0"/>
            </w:tcBorders>
          </w:tcPr>
          <w:p w:rsidR="00C31389" w:rsidRDefault="00561FBD" w14:paraId="69E97508" w14:textId="77777777">
            <w:pPr>
              <w:pStyle w:val="TableParagraph"/>
              <w:spacing w:before="42"/>
              <w:ind w:right="113"/>
              <w:jc w:val="right"/>
              <w:rPr>
                <w:sz w:val="17"/>
              </w:rPr>
            </w:pPr>
            <w:r>
              <w:rPr>
                <w:spacing w:val="-2"/>
                <w:sz w:val="17"/>
              </w:rPr>
              <w:t>-</w:t>
            </w:r>
            <w:r>
              <w:rPr>
                <w:spacing w:val="-4"/>
                <w:sz w:val="17"/>
              </w:rPr>
              <w:t>39.3</w:t>
            </w:r>
          </w:p>
        </w:tc>
        <w:tc>
          <w:tcPr>
            <w:tcW w:w="655" w:type="dxa"/>
            <w:tcBorders>
              <w:top w:val="single" w:color="DCDDDE" w:sz="4" w:space="0"/>
              <w:bottom w:val="single" w:color="DCDDDE" w:sz="4" w:space="0"/>
            </w:tcBorders>
          </w:tcPr>
          <w:p w:rsidR="00C31389" w:rsidRDefault="00561FBD" w14:paraId="3C3B9F94" w14:textId="77777777">
            <w:pPr>
              <w:pStyle w:val="TableParagraph"/>
              <w:spacing w:before="42"/>
              <w:ind w:left="99" w:right="60"/>
              <w:jc w:val="center"/>
              <w:rPr>
                <w:sz w:val="17"/>
              </w:rPr>
            </w:pPr>
            <w:r>
              <w:rPr>
                <w:spacing w:val="-2"/>
                <w:sz w:val="17"/>
              </w:rPr>
              <w:t>-</w:t>
            </w:r>
            <w:r>
              <w:rPr>
                <w:spacing w:val="-4"/>
                <w:sz w:val="17"/>
              </w:rPr>
              <w:t>39.6</w:t>
            </w:r>
          </w:p>
        </w:tc>
        <w:tc>
          <w:tcPr>
            <w:tcW w:w="654" w:type="dxa"/>
            <w:tcBorders>
              <w:top w:val="single" w:color="DCDDDE" w:sz="4" w:space="0"/>
              <w:bottom w:val="single" w:color="DCDDDE" w:sz="4" w:space="0"/>
            </w:tcBorders>
          </w:tcPr>
          <w:p w:rsidR="00C31389" w:rsidRDefault="00561FBD" w14:paraId="5665CB47" w14:textId="77777777">
            <w:pPr>
              <w:pStyle w:val="TableParagraph"/>
              <w:spacing w:before="42"/>
              <w:ind w:right="111"/>
              <w:jc w:val="right"/>
              <w:rPr>
                <w:sz w:val="17"/>
              </w:rPr>
            </w:pPr>
            <w:r>
              <w:rPr>
                <w:spacing w:val="-2"/>
                <w:sz w:val="17"/>
              </w:rPr>
              <w:t>-</w:t>
            </w:r>
            <w:r>
              <w:rPr>
                <w:spacing w:val="-4"/>
                <w:sz w:val="17"/>
              </w:rPr>
              <w:t>40.0</w:t>
            </w:r>
          </w:p>
        </w:tc>
        <w:tc>
          <w:tcPr>
            <w:tcW w:w="654" w:type="dxa"/>
            <w:tcBorders>
              <w:top w:val="single" w:color="DCDDDE" w:sz="4" w:space="0"/>
              <w:bottom w:val="single" w:color="DCDDDE" w:sz="4" w:space="0"/>
            </w:tcBorders>
          </w:tcPr>
          <w:p w:rsidR="00C31389" w:rsidRDefault="00561FBD" w14:paraId="1A344CD2" w14:textId="77777777">
            <w:pPr>
              <w:pStyle w:val="TableParagraph"/>
              <w:spacing w:before="42"/>
              <w:ind w:right="111"/>
              <w:jc w:val="right"/>
              <w:rPr>
                <w:sz w:val="17"/>
              </w:rPr>
            </w:pPr>
            <w:r>
              <w:rPr>
                <w:spacing w:val="-2"/>
                <w:sz w:val="17"/>
              </w:rPr>
              <w:t>-</w:t>
            </w:r>
            <w:r>
              <w:rPr>
                <w:spacing w:val="-4"/>
                <w:sz w:val="17"/>
              </w:rPr>
              <w:t>40.1</w:t>
            </w:r>
          </w:p>
        </w:tc>
        <w:tc>
          <w:tcPr>
            <w:tcW w:w="655" w:type="dxa"/>
            <w:tcBorders>
              <w:top w:val="single" w:color="DCDDDE" w:sz="4" w:space="0"/>
              <w:bottom w:val="single" w:color="DCDDDE" w:sz="4" w:space="0"/>
            </w:tcBorders>
          </w:tcPr>
          <w:p w:rsidR="00C31389" w:rsidRDefault="00561FBD" w14:paraId="6373C896" w14:textId="77777777">
            <w:pPr>
              <w:pStyle w:val="TableParagraph"/>
              <w:spacing w:before="42"/>
              <w:ind w:right="110"/>
              <w:jc w:val="right"/>
              <w:rPr>
                <w:sz w:val="17"/>
              </w:rPr>
            </w:pPr>
            <w:r>
              <w:rPr>
                <w:spacing w:val="-2"/>
                <w:sz w:val="17"/>
              </w:rPr>
              <w:t>-</w:t>
            </w:r>
            <w:r>
              <w:rPr>
                <w:spacing w:val="-4"/>
                <w:sz w:val="17"/>
              </w:rPr>
              <w:t>40.5</w:t>
            </w:r>
          </w:p>
        </w:tc>
        <w:tc>
          <w:tcPr>
            <w:tcW w:w="655" w:type="dxa"/>
            <w:tcBorders>
              <w:top w:val="single" w:color="DCDDDE" w:sz="4" w:space="0"/>
              <w:bottom w:val="single" w:color="DCDDDE" w:sz="4" w:space="0"/>
            </w:tcBorders>
          </w:tcPr>
          <w:p w:rsidR="00C31389" w:rsidRDefault="00561FBD" w14:paraId="6BE31A73" w14:textId="77777777">
            <w:pPr>
              <w:pStyle w:val="TableParagraph"/>
              <w:spacing w:before="42"/>
              <w:ind w:right="110"/>
              <w:jc w:val="right"/>
              <w:rPr>
                <w:sz w:val="17"/>
              </w:rPr>
            </w:pPr>
            <w:r>
              <w:rPr>
                <w:spacing w:val="-2"/>
                <w:sz w:val="17"/>
              </w:rPr>
              <w:t>-</w:t>
            </w:r>
            <w:r>
              <w:rPr>
                <w:spacing w:val="-4"/>
                <w:sz w:val="17"/>
              </w:rPr>
              <w:t>40.9</w:t>
            </w:r>
          </w:p>
        </w:tc>
        <w:tc>
          <w:tcPr>
            <w:tcW w:w="655" w:type="dxa"/>
            <w:tcBorders>
              <w:top w:val="single" w:color="DCDDDE" w:sz="4" w:space="0"/>
              <w:bottom w:val="single" w:color="DCDDDE" w:sz="4" w:space="0"/>
            </w:tcBorders>
          </w:tcPr>
          <w:p w:rsidR="00C31389" w:rsidRDefault="00561FBD" w14:paraId="027AA691" w14:textId="77777777">
            <w:pPr>
              <w:pStyle w:val="TableParagraph"/>
              <w:spacing w:before="42"/>
              <w:ind w:right="110"/>
              <w:jc w:val="right"/>
              <w:rPr>
                <w:sz w:val="17"/>
              </w:rPr>
            </w:pPr>
            <w:r>
              <w:rPr>
                <w:spacing w:val="-5"/>
                <w:sz w:val="17"/>
              </w:rPr>
              <w:t>9.8</w:t>
            </w:r>
          </w:p>
        </w:tc>
        <w:tc>
          <w:tcPr>
            <w:tcW w:w="655" w:type="dxa"/>
            <w:tcBorders>
              <w:top w:val="single" w:color="DCDDDE" w:sz="4" w:space="0"/>
              <w:bottom w:val="single" w:color="DCDDDE" w:sz="4" w:space="0"/>
            </w:tcBorders>
          </w:tcPr>
          <w:p w:rsidR="00C31389" w:rsidRDefault="00561FBD" w14:paraId="3654B4A9" w14:textId="77777777">
            <w:pPr>
              <w:pStyle w:val="TableParagraph"/>
              <w:spacing w:before="42"/>
              <w:ind w:right="110"/>
              <w:jc w:val="right"/>
              <w:rPr>
                <w:sz w:val="17"/>
              </w:rPr>
            </w:pPr>
            <w:r>
              <w:rPr>
                <w:spacing w:val="-4"/>
                <w:sz w:val="17"/>
              </w:rPr>
              <w:t>12.0</w:t>
            </w:r>
          </w:p>
        </w:tc>
        <w:tc>
          <w:tcPr>
            <w:tcW w:w="654" w:type="dxa"/>
            <w:tcBorders>
              <w:top w:val="single" w:color="DCDDDE" w:sz="4" w:space="0"/>
              <w:bottom w:val="single" w:color="DCDDDE" w:sz="4" w:space="0"/>
            </w:tcBorders>
          </w:tcPr>
          <w:p w:rsidR="00C31389" w:rsidRDefault="00561FBD" w14:paraId="6AA382C6" w14:textId="77777777">
            <w:pPr>
              <w:pStyle w:val="TableParagraph"/>
              <w:spacing w:before="42"/>
              <w:ind w:right="109"/>
              <w:jc w:val="right"/>
              <w:rPr>
                <w:sz w:val="17"/>
              </w:rPr>
            </w:pPr>
            <w:r>
              <w:rPr>
                <w:spacing w:val="-4"/>
                <w:sz w:val="17"/>
              </w:rPr>
              <w:t>14.6</w:t>
            </w:r>
          </w:p>
        </w:tc>
        <w:tc>
          <w:tcPr>
            <w:tcW w:w="678" w:type="dxa"/>
            <w:tcBorders>
              <w:top w:val="single" w:color="DCDDDE" w:sz="4" w:space="0"/>
              <w:bottom w:val="single" w:color="DCDDDE" w:sz="4" w:space="0"/>
            </w:tcBorders>
          </w:tcPr>
          <w:p w:rsidR="00C31389" w:rsidRDefault="00561FBD" w14:paraId="1DDCCC6F" w14:textId="77777777">
            <w:pPr>
              <w:pStyle w:val="TableParagraph"/>
              <w:spacing w:before="42"/>
              <w:ind w:right="133"/>
              <w:jc w:val="right"/>
              <w:rPr>
                <w:sz w:val="17"/>
              </w:rPr>
            </w:pPr>
            <w:r>
              <w:rPr>
                <w:spacing w:val="-5"/>
                <w:sz w:val="17"/>
              </w:rPr>
              <w:t>8.0</w:t>
            </w:r>
          </w:p>
        </w:tc>
        <w:tc>
          <w:tcPr>
            <w:tcW w:w="655" w:type="dxa"/>
            <w:tcBorders>
              <w:top w:val="single" w:color="DCDDDE" w:sz="4" w:space="0"/>
              <w:bottom w:val="single" w:color="DCDDDE" w:sz="4" w:space="0"/>
            </w:tcBorders>
          </w:tcPr>
          <w:p w:rsidR="00C31389" w:rsidRDefault="00561FBD" w14:paraId="3A9B8462" w14:textId="77777777">
            <w:pPr>
              <w:pStyle w:val="TableParagraph"/>
              <w:spacing w:before="42"/>
              <w:ind w:left="236" w:right="87"/>
              <w:jc w:val="center"/>
              <w:rPr>
                <w:sz w:val="17"/>
              </w:rPr>
            </w:pPr>
            <w:r>
              <w:rPr>
                <w:spacing w:val="-5"/>
                <w:sz w:val="17"/>
              </w:rPr>
              <w:t>8.7</w:t>
            </w:r>
          </w:p>
        </w:tc>
        <w:tc>
          <w:tcPr>
            <w:tcW w:w="624" w:type="dxa"/>
            <w:tcBorders>
              <w:top w:val="single" w:color="DCDDDE" w:sz="4" w:space="0"/>
              <w:bottom w:val="single" w:color="DCDDDE" w:sz="4" w:space="0"/>
            </w:tcBorders>
          </w:tcPr>
          <w:p w:rsidR="00C31389" w:rsidRDefault="00561FBD" w14:paraId="7B327712" w14:textId="77777777">
            <w:pPr>
              <w:pStyle w:val="TableParagraph"/>
              <w:spacing w:before="42"/>
              <w:ind w:right="101"/>
              <w:jc w:val="right"/>
              <w:rPr>
                <w:sz w:val="17"/>
              </w:rPr>
            </w:pPr>
            <w:r>
              <w:rPr>
                <w:spacing w:val="-4"/>
                <w:sz w:val="17"/>
              </w:rPr>
              <w:t>19.8</w:t>
            </w:r>
          </w:p>
        </w:tc>
      </w:tr>
      <w:tr w:rsidR="00C31389" w14:paraId="56FD1046" w14:textId="77777777">
        <w:trPr>
          <w:trHeight w:val="275"/>
        </w:trPr>
        <w:tc>
          <w:tcPr>
            <w:tcW w:w="1427" w:type="dxa"/>
            <w:tcBorders>
              <w:top w:val="single" w:color="DCDDDE" w:sz="4" w:space="0"/>
              <w:bottom w:val="single" w:color="DCDDDE" w:sz="4" w:space="0"/>
            </w:tcBorders>
          </w:tcPr>
          <w:p w:rsidR="00C31389" w:rsidRDefault="00561FBD" w14:paraId="06034EF8" w14:textId="77777777">
            <w:pPr>
              <w:pStyle w:val="TableParagraph"/>
              <w:spacing w:before="42"/>
              <w:ind w:left="122"/>
              <w:rPr>
                <w:sz w:val="17"/>
              </w:rPr>
            </w:pPr>
            <w:r>
              <w:rPr>
                <w:spacing w:val="-4"/>
                <w:sz w:val="17"/>
              </w:rPr>
              <w:t>BROs</w:t>
            </w:r>
          </w:p>
        </w:tc>
        <w:tc>
          <w:tcPr>
            <w:tcW w:w="749" w:type="dxa"/>
            <w:tcBorders>
              <w:top w:val="single" w:color="DCDDDE" w:sz="4" w:space="0"/>
              <w:bottom w:val="single" w:color="DCDDDE" w:sz="4" w:space="0"/>
            </w:tcBorders>
          </w:tcPr>
          <w:p w:rsidR="00C31389" w:rsidRDefault="00561FBD" w14:paraId="47F93571" w14:textId="77777777">
            <w:pPr>
              <w:pStyle w:val="TableParagraph"/>
              <w:spacing w:before="42"/>
              <w:ind w:right="112"/>
              <w:jc w:val="right"/>
              <w:rPr>
                <w:sz w:val="17"/>
              </w:rPr>
            </w:pPr>
            <w:r>
              <w:rPr>
                <w:spacing w:val="-4"/>
                <w:sz w:val="17"/>
              </w:rPr>
              <w:t>57.5</w:t>
            </w:r>
          </w:p>
        </w:tc>
        <w:tc>
          <w:tcPr>
            <w:tcW w:w="655" w:type="dxa"/>
            <w:tcBorders>
              <w:top w:val="single" w:color="DCDDDE" w:sz="4" w:space="0"/>
              <w:bottom w:val="single" w:color="DCDDDE" w:sz="4" w:space="0"/>
            </w:tcBorders>
          </w:tcPr>
          <w:p w:rsidR="00C31389" w:rsidRDefault="00561FBD" w14:paraId="3E84167A" w14:textId="77777777">
            <w:pPr>
              <w:pStyle w:val="TableParagraph"/>
              <w:spacing w:before="42"/>
              <w:ind w:left="99" w:right="4"/>
              <w:jc w:val="center"/>
              <w:rPr>
                <w:sz w:val="17"/>
              </w:rPr>
            </w:pPr>
            <w:r>
              <w:rPr>
                <w:spacing w:val="-4"/>
                <w:sz w:val="17"/>
              </w:rPr>
              <w:t>59.9</w:t>
            </w:r>
          </w:p>
        </w:tc>
        <w:tc>
          <w:tcPr>
            <w:tcW w:w="654" w:type="dxa"/>
            <w:tcBorders>
              <w:top w:val="single" w:color="DCDDDE" w:sz="4" w:space="0"/>
              <w:bottom w:val="single" w:color="DCDDDE" w:sz="4" w:space="0"/>
            </w:tcBorders>
          </w:tcPr>
          <w:p w:rsidR="00C31389" w:rsidRDefault="00561FBD" w14:paraId="6C5F2BC5" w14:textId="77777777">
            <w:pPr>
              <w:pStyle w:val="TableParagraph"/>
              <w:spacing w:before="42"/>
              <w:ind w:right="111"/>
              <w:jc w:val="right"/>
              <w:rPr>
                <w:sz w:val="17"/>
              </w:rPr>
            </w:pPr>
            <w:r>
              <w:rPr>
                <w:spacing w:val="-4"/>
                <w:sz w:val="17"/>
              </w:rPr>
              <w:t>62.5</w:t>
            </w:r>
          </w:p>
        </w:tc>
        <w:tc>
          <w:tcPr>
            <w:tcW w:w="654" w:type="dxa"/>
            <w:tcBorders>
              <w:top w:val="single" w:color="DCDDDE" w:sz="4" w:space="0"/>
              <w:bottom w:val="single" w:color="DCDDDE" w:sz="4" w:space="0"/>
            </w:tcBorders>
          </w:tcPr>
          <w:p w:rsidR="00C31389" w:rsidRDefault="00561FBD" w14:paraId="1A1F2286" w14:textId="77777777">
            <w:pPr>
              <w:pStyle w:val="TableParagraph"/>
              <w:spacing w:before="42"/>
              <w:ind w:right="111"/>
              <w:jc w:val="right"/>
              <w:rPr>
                <w:sz w:val="17"/>
              </w:rPr>
            </w:pPr>
            <w:r>
              <w:rPr>
                <w:spacing w:val="-4"/>
                <w:sz w:val="17"/>
              </w:rPr>
              <w:t>65.3</w:t>
            </w:r>
          </w:p>
        </w:tc>
        <w:tc>
          <w:tcPr>
            <w:tcW w:w="655" w:type="dxa"/>
            <w:tcBorders>
              <w:top w:val="single" w:color="DCDDDE" w:sz="4" w:space="0"/>
              <w:bottom w:val="single" w:color="DCDDDE" w:sz="4" w:space="0"/>
            </w:tcBorders>
          </w:tcPr>
          <w:p w:rsidR="00C31389" w:rsidRDefault="00561FBD" w14:paraId="377C2F32" w14:textId="77777777">
            <w:pPr>
              <w:pStyle w:val="TableParagraph"/>
              <w:spacing w:before="42"/>
              <w:ind w:right="110"/>
              <w:jc w:val="right"/>
              <w:rPr>
                <w:sz w:val="17"/>
              </w:rPr>
            </w:pPr>
            <w:r>
              <w:rPr>
                <w:spacing w:val="-4"/>
                <w:sz w:val="17"/>
              </w:rPr>
              <w:t>68.2</w:t>
            </w:r>
          </w:p>
        </w:tc>
        <w:tc>
          <w:tcPr>
            <w:tcW w:w="655" w:type="dxa"/>
            <w:tcBorders>
              <w:top w:val="single" w:color="DCDDDE" w:sz="4" w:space="0"/>
              <w:bottom w:val="single" w:color="DCDDDE" w:sz="4" w:space="0"/>
            </w:tcBorders>
          </w:tcPr>
          <w:p w:rsidR="00C31389" w:rsidRDefault="00561FBD" w14:paraId="322B53B4" w14:textId="77777777">
            <w:pPr>
              <w:pStyle w:val="TableParagraph"/>
              <w:spacing w:before="42"/>
              <w:ind w:right="110"/>
              <w:jc w:val="right"/>
              <w:rPr>
                <w:sz w:val="17"/>
              </w:rPr>
            </w:pPr>
            <w:r>
              <w:rPr>
                <w:spacing w:val="-4"/>
                <w:sz w:val="17"/>
              </w:rPr>
              <w:t>71.3</w:t>
            </w:r>
          </w:p>
        </w:tc>
        <w:tc>
          <w:tcPr>
            <w:tcW w:w="655" w:type="dxa"/>
            <w:tcBorders>
              <w:top w:val="single" w:color="DCDDDE" w:sz="4" w:space="0"/>
              <w:bottom w:val="single" w:color="DCDDDE" w:sz="4" w:space="0"/>
            </w:tcBorders>
          </w:tcPr>
          <w:p w:rsidR="00C31389" w:rsidRDefault="00561FBD" w14:paraId="4336DF41" w14:textId="77777777">
            <w:pPr>
              <w:pStyle w:val="TableParagraph"/>
              <w:spacing w:before="42"/>
              <w:ind w:right="110"/>
              <w:jc w:val="right"/>
              <w:rPr>
                <w:sz w:val="17"/>
              </w:rPr>
            </w:pPr>
            <w:r>
              <w:rPr>
                <w:spacing w:val="-4"/>
                <w:sz w:val="17"/>
              </w:rPr>
              <w:t>74.8</w:t>
            </w:r>
          </w:p>
        </w:tc>
        <w:tc>
          <w:tcPr>
            <w:tcW w:w="655" w:type="dxa"/>
            <w:tcBorders>
              <w:top w:val="single" w:color="DCDDDE" w:sz="4" w:space="0"/>
              <w:bottom w:val="single" w:color="DCDDDE" w:sz="4" w:space="0"/>
            </w:tcBorders>
          </w:tcPr>
          <w:p w:rsidR="00C31389" w:rsidRDefault="00561FBD" w14:paraId="2B1FA9AA" w14:textId="77777777">
            <w:pPr>
              <w:pStyle w:val="TableParagraph"/>
              <w:spacing w:before="42"/>
              <w:ind w:right="110"/>
              <w:jc w:val="right"/>
              <w:rPr>
                <w:sz w:val="17"/>
              </w:rPr>
            </w:pPr>
            <w:r>
              <w:rPr>
                <w:spacing w:val="-4"/>
                <w:sz w:val="17"/>
              </w:rPr>
              <w:t>78.6</w:t>
            </w:r>
          </w:p>
        </w:tc>
        <w:tc>
          <w:tcPr>
            <w:tcW w:w="654" w:type="dxa"/>
            <w:tcBorders>
              <w:top w:val="single" w:color="DCDDDE" w:sz="4" w:space="0"/>
              <w:bottom w:val="single" w:color="DCDDDE" w:sz="4" w:space="0"/>
            </w:tcBorders>
          </w:tcPr>
          <w:p w:rsidR="00C31389" w:rsidRDefault="00561FBD" w14:paraId="78BCAB8E" w14:textId="77777777">
            <w:pPr>
              <w:pStyle w:val="TableParagraph"/>
              <w:spacing w:before="42"/>
              <w:ind w:right="109"/>
              <w:jc w:val="right"/>
              <w:rPr>
                <w:sz w:val="17"/>
              </w:rPr>
            </w:pPr>
            <w:r>
              <w:rPr>
                <w:spacing w:val="-4"/>
                <w:sz w:val="17"/>
              </w:rPr>
              <w:t>82.5</w:t>
            </w:r>
          </w:p>
        </w:tc>
        <w:tc>
          <w:tcPr>
            <w:tcW w:w="678" w:type="dxa"/>
            <w:tcBorders>
              <w:top w:val="single" w:color="DCDDDE" w:sz="4" w:space="0"/>
              <w:bottom w:val="single" w:color="DCDDDE" w:sz="4" w:space="0"/>
            </w:tcBorders>
          </w:tcPr>
          <w:p w:rsidR="00C31389" w:rsidRDefault="00561FBD" w14:paraId="790E6DC1" w14:textId="77777777">
            <w:pPr>
              <w:pStyle w:val="TableParagraph"/>
              <w:spacing w:before="42"/>
              <w:ind w:right="133"/>
              <w:jc w:val="right"/>
              <w:rPr>
                <w:sz w:val="17"/>
              </w:rPr>
            </w:pPr>
            <w:r>
              <w:rPr>
                <w:spacing w:val="-4"/>
                <w:sz w:val="17"/>
              </w:rPr>
              <w:t>87.7</w:t>
            </w:r>
          </w:p>
        </w:tc>
        <w:tc>
          <w:tcPr>
            <w:tcW w:w="655" w:type="dxa"/>
            <w:tcBorders>
              <w:top w:val="single" w:color="DCDDDE" w:sz="4" w:space="0"/>
              <w:bottom w:val="single" w:color="DCDDDE" w:sz="4" w:space="0"/>
            </w:tcBorders>
          </w:tcPr>
          <w:p w:rsidR="00C31389" w:rsidRDefault="00561FBD" w14:paraId="39957907" w14:textId="77777777">
            <w:pPr>
              <w:pStyle w:val="TableParagraph"/>
              <w:spacing w:before="42"/>
              <w:ind w:left="99" w:right="45"/>
              <w:jc w:val="center"/>
              <w:rPr>
                <w:sz w:val="17"/>
              </w:rPr>
            </w:pPr>
            <w:r>
              <w:rPr>
                <w:spacing w:val="-4"/>
                <w:sz w:val="17"/>
              </w:rPr>
              <w:t>88.9</w:t>
            </w:r>
          </w:p>
        </w:tc>
        <w:tc>
          <w:tcPr>
            <w:tcW w:w="624" w:type="dxa"/>
            <w:tcBorders>
              <w:top w:val="single" w:color="DCDDDE" w:sz="4" w:space="0"/>
              <w:bottom w:val="single" w:color="DCDDDE" w:sz="4" w:space="0"/>
            </w:tcBorders>
          </w:tcPr>
          <w:p w:rsidR="00C31389" w:rsidRDefault="00561FBD" w14:paraId="3650DB62" w14:textId="77777777">
            <w:pPr>
              <w:pStyle w:val="TableParagraph"/>
              <w:spacing w:before="42"/>
              <w:ind w:right="101"/>
              <w:jc w:val="right"/>
              <w:rPr>
                <w:sz w:val="17"/>
              </w:rPr>
            </w:pPr>
            <w:r>
              <w:rPr>
                <w:spacing w:val="-4"/>
                <w:sz w:val="17"/>
              </w:rPr>
              <w:t>93.8</w:t>
            </w:r>
          </w:p>
        </w:tc>
      </w:tr>
      <w:tr w:rsidR="00C31389" w14:paraId="7AEC1483"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456626D2"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1289F450" w14:textId="77777777">
        <w:trPr>
          <w:trHeight w:val="275"/>
        </w:trPr>
        <w:tc>
          <w:tcPr>
            <w:tcW w:w="1427" w:type="dxa"/>
            <w:tcBorders>
              <w:top w:val="single" w:color="DCDDDE" w:sz="4" w:space="0"/>
              <w:bottom w:val="single" w:color="DCDDDE" w:sz="4" w:space="0"/>
            </w:tcBorders>
          </w:tcPr>
          <w:p w:rsidR="00C31389" w:rsidRDefault="00561FBD" w14:paraId="4DDBD7B5" w14:textId="77777777">
            <w:pPr>
              <w:pStyle w:val="TableParagraph"/>
              <w:ind w:left="122"/>
              <w:rPr>
                <w:sz w:val="17"/>
              </w:rPr>
            </w:pPr>
            <w:r>
              <w:rPr>
                <w:spacing w:val="-5"/>
                <w:sz w:val="17"/>
              </w:rPr>
              <w:t>EE</w:t>
            </w:r>
          </w:p>
        </w:tc>
        <w:tc>
          <w:tcPr>
            <w:tcW w:w="749" w:type="dxa"/>
            <w:tcBorders>
              <w:top w:val="single" w:color="DCDDDE" w:sz="4" w:space="0"/>
              <w:bottom w:val="single" w:color="DCDDDE" w:sz="4" w:space="0"/>
            </w:tcBorders>
          </w:tcPr>
          <w:p w:rsidR="00C31389" w:rsidRDefault="00561FBD" w14:paraId="05EF06CF" w14:textId="77777777">
            <w:pPr>
              <w:pStyle w:val="TableParagraph"/>
              <w:ind w:right="112"/>
              <w:jc w:val="right"/>
              <w:rPr>
                <w:sz w:val="17"/>
              </w:rPr>
            </w:pPr>
            <w:r>
              <w:rPr>
                <w:spacing w:val="-4"/>
                <w:sz w:val="17"/>
              </w:rPr>
              <w:t>16.1</w:t>
            </w:r>
          </w:p>
        </w:tc>
        <w:tc>
          <w:tcPr>
            <w:tcW w:w="655" w:type="dxa"/>
            <w:tcBorders>
              <w:top w:val="single" w:color="DCDDDE" w:sz="4" w:space="0"/>
              <w:bottom w:val="single" w:color="DCDDDE" w:sz="4" w:space="0"/>
            </w:tcBorders>
          </w:tcPr>
          <w:p w:rsidR="00C31389" w:rsidRDefault="00561FBD" w14:paraId="3DE4F4B0" w14:textId="77777777">
            <w:pPr>
              <w:pStyle w:val="TableParagraph"/>
              <w:ind w:left="99" w:right="4"/>
              <w:jc w:val="center"/>
              <w:rPr>
                <w:sz w:val="17"/>
              </w:rPr>
            </w:pPr>
            <w:r>
              <w:rPr>
                <w:spacing w:val="-4"/>
                <w:sz w:val="17"/>
              </w:rPr>
              <w:t>15.0</w:t>
            </w:r>
          </w:p>
        </w:tc>
        <w:tc>
          <w:tcPr>
            <w:tcW w:w="654" w:type="dxa"/>
            <w:tcBorders>
              <w:top w:val="single" w:color="DCDDDE" w:sz="4" w:space="0"/>
              <w:bottom w:val="single" w:color="DCDDDE" w:sz="4" w:space="0"/>
            </w:tcBorders>
          </w:tcPr>
          <w:p w:rsidR="00C31389" w:rsidRDefault="00561FBD" w14:paraId="138BD457" w14:textId="77777777">
            <w:pPr>
              <w:pStyle w:val="TableParagraph"/>
              <w:ind w:right="111"/>
              <w:jc w:val="right"/>
              <w:rPr>
                <w:sz w:val="17"/>
              </w:rPr>
            </w:pPr>
            <w:r>
              <w:rPr>
                <w:spacing w:val="-4"/>
                <w:sz w:val="17"/>
              </w:rPr>
              <w:t>13.4</w:t>
            </w:r>
          </w:p>
        </w:tc>
        <w:tc>
          <w:tcPr>
            <w:tcW w:w="654" w:type="dxa"/>
            <w:tcBorders>
              <w:top w:val="single" w:color="DCDDDE" w:sz="4" w:space="0"/>
              <w:bottom w:val="single" w:color="DCDDDE" w:sz="4" w:space="0"/>
            </w:tcBorders>
          </w:tcPr>
          <w:p w:rsidR="00C31389" w:rsidRDefault="00561FBD" w14:paraId="765DBD42" w14:textId="77777777">
            <w:pPr>
              <w:pStyle w:val="TableParagraph"/>
              <w:ind w:right="111"/>
              <w:jc w:val="right"/>
              <w:rPr>
                <w:sz w:val="17"/>
              </w:rPr>
            </w:pPr>
            <w:r>
              <w:rPr>
                <w:spacing w:val="-4"/>
                <w:sz w:val="17"/>
              </w:rPr>
              <w:t>12.6</w:t>
            </w:r>
          </w:p>
        </w:tc>
        <w:tc>
          <w:tcPr>
            <w:tcW w:w="655" w:type="dxa"/>
            <w:tcBorders>
              <w:top w:val="single" w:color="DCDDDE" w:sz="4" w:space="0"/>
              <w:bottom w:val="single" w:color="DCDDDE" w:sz="4" w:space="0"/>
            </w:tcBorders>
          </w:tcPr>
          <w:p w:rsidR="00C31389" w:rsidRDefault="00561FBD" w14:paraId="05327AE6" w14:textId="77777777">
            <w:pPr>
              <w:pStyle w:val="TableParagraph"/>
              <w:ind w:right="110"/>
              <w:jc w:val="right"/>
              <w:rPr>
                <w:sz w:val="17"/>
              </w:rPr>
            </w:pPr>
            <w:r>
              <w:rPr>
                <w:spacing w:val="-4"/>
                <w:sz w:val="17"/>
              </w:rPr>
              <w:t>12.0</w:t>
            </w:r>
          </w:p>
        </w:tc>
        <w:tc>
          <w:tcPr>
            <w:tcW w:w="655" w:type="dxa"/>
            <w:tcBorders>
              <w:top w:val="single" w:color="DCDDDE" w:sz="4" w:space="0"/>
              <w:bottom w:val="single" w:color="DCDDDE" w:sz="4" w:space="0"/>
            </w:tcBorders>
          </w:tcPr>
          <w:p w:rsidR="00C31389" w:rsidRDefault="00561FBD" w14:paraId="7CA18F03" w14:textId="77777777">
            <w:pPr>
              <w:pStyle w:val="TableParagraph"/>
              <w:ind w:right="110"/>
              <w:jc w:val="right"/>
              <w:rPr>
                <w:sz w:val="17"/>
              </w:rPr>
            </w:pPr>
            <w:r>
              <w:rPr>
                <w:spacing w:val="-4"/>
                <w:sz w:val="17"/>
              </w:rPr>
              <w:t>10.5</w:t>
            </w:r>
          </w:p>
        </w:tc>
        <w:tc>
          <w:tcPr>
            <w:tcW w:w="655" w:type="dxa"/>
            <w:tcBorders>
              <w:top w:val="single" w:color="DCDDDE" w:sz="4" w:space="0"/>
              <w:bottom w:val="single" w:color="DCDDDE" w:sz="4" w:space="0"/>
            </w:tcBorders>
          </w:tcPr>
          <w:p w:rsidR="00C31389" w:rsidRDefault="00561FBD" w14:paraId="5CF84E8A" w14:textId="77777777">
            <w:pPr>
              <w:pStyle w:val="TableParagraph"/>
              <w:ind w:right="110"/>
              <w:jc w:val="right"/>
              <w:rPr>
                <w:sz w:val="17"/>
              </w:rPr>
            </w:pPr>
            <w:r>
              <w:rPr>
                <w:spacing w:val="-4"/>
                <w:sz w:val="17"/>
              </w:rPr>
              <w:t>10.0</w:t>
            </w:r>
          </w:p>
        </w:tc>
        <w:tc>
          <w:tcPr>
            <w:tcW w:w="655" w:type="dxa"/>
            <w:tcBorders>
              <w:top w:val="single" w:color="DCDDDE" w:sz="4" w:space="0"/>
              <w:bottom w:val="single" w:color="DCDDDE" w:sz="4" w:space="0"/>
            </w:tcBorders>
          </w:tcPr>
          <w:p w:rsidR="00C31389" w:rsidRDefault="00561FBD" w14:paraId="3CE9E611" w14:textId="77777777">
            <w:pPr>
              <w:pStyle w:val="TableParagraph"/>
              <w:ind w:right="110"/>
              <w:jc w:val="right"/>
              <w:rPr>
                <w:sz w:val="17"/>
              </w:rPr>
            </w:pPr>
            <w:r>
              <w:rPr>
                <w:spacing w:val="-5"/>
                <w:sz w:val="17"/>
              </w:rPr>
              <w:t>9.8</w:t>
            </w:r>
          </w:p>
        </w:tc>
        <w:tc>
          <w:tcPr>
            <w:tcW w:w="654" w:type="dxa"/>
            <w:tcBorders>
              <w:top w:val="single" w:color="DCDDDE" w:sz="4" w:space="0"/>
              <w:bottom w:val="single" w:color="DCDDDE" w:sz="4" w:space="0"/>
            </w:tcBorders>
          </w:tcPr>
          <w:p w:rsidR="00C31389" w:rsidRDefault="00561FBD" w14:paraId="742BDD29" w14:textId="77777777">
            <w:pPr>
              <w:pStyle w:val="TableParagraph"/>
              <w:ind w:right="109"/>
              <w:jc w:val="right"/>
              <w:rPr>
                <w:sz w:val="17"/>
              </w:rPr>
            </w:pPr>
            <w:r>
              <w:rPr>
                <w:spacing w:val="-5"/>
                <w:sz w:val="17"/>
              </w:rPr>
              <w:t>9.7</w:t>
            </w:r>
          </w:p>
        </w:tc>
        <w:tc>
          <w:tcPr>
            <w:tcW w:w="678" w:type="dxa"/>
            <w:tcBorders>
              <w:top w:val="single" w:color="DCDDDE" w:sz="4" w:space="0"/>
              <w:bottom w:val="single" w:color="DCDDDE" w:sz="4" w:space="0"/>
            </w:tcBorders>
          </w:tcPr>
          <w:p w:rsidR="00C31389" w:rsidRDefault="00561FBD" w14:paraId="51D05692" w14:textId="77777777">
            <w:pPr>
              <w:pStyle w:val="TableParagraph"/>
              <w:ind w:right="133"/>
              <w:jc w:val="right"/>
              <w:rPr>
                <w:sz w:val="17"/>
              </w:rPr>
            </w:pPr>
            <w:r>
              <w:rPr>
                <w:spacing w:val="-5"/>
                <w:sz w:val="17"/>
              </w:rPr>
              <w:t>9.6</w:t>
            </w:r>
          </w:p>
        </w:tc>
        <w:tc>
          <w:tcPr>
            <w:tcW w:w="655" w:type="dxa"/>
            <w:tcBorders>
              <w:top w:val="single" w:color="DCDDDE" w:sz="4" w:space="0"/>
              <w:bottom w:val="single" w:color="DCDDDE" w:sz="4" w:space="0"/>
            </w:tcBorders>
          </w:tcPr>
          <w:p w:rsidR="00C31389" w:rsidRDefault="00561FBD" w14:paraId="4095EF70" w14:textId="77777777">
            <w:pPr>
              <w:pStyle w:val="TableParagraph"/>
              <w:ind w:left="236" w:right="88"/>
              <w:jc w:val="center"/>
              <w:rPr>
                <w:sz w:val="17"/>
              </w:rPr>
            </w:pPr>
            <w:r>
              <w:rPr>
                <w:spacing w:val="-5"/>
                <w:sz w:val="17"/>
              </w:rPr>
              <w:t>9.7</w:t>
            </w:r>
          </w:p>
        </w:tc>
        <w:tc>
          <w:tcPr>
            <w:tcW w:w="624" w:type="dxa"/>
            <w:tcBorders>
              <w:top w:val="single" w:color="DCDDDE" w:sz="4" w:space="0"/>
              <w:bottom w:val="single" w:color="DCDDDE" w:sz="4" w:space="0"/>
            </w:tcBorders>
          </w:tcPr>
          <w:p w:rsidR="00C31389" w:rsidRDefault="00561FBD" w14:paraId="530F71B4" w14:textId="77777777">
            <w:pPr>
              <w:pStyle w:val="TableParagraph"/>
              <w:ind w:right="102"/>
              <w:jc w:val="right"/>
              <w:rPr>
                <w:sz w:val="17"/>
              </w:rPr>
            </w:pPr>
            <w:r>
              <w:rPr>
                <w:spacing w:val="-4"/>
                <w:sz w:val="17"/>
              </w:rPr>
              <w:t>10.0</w:t>
            </w:r>
          </w:p>
        </w:tc>
      </w:tr>
      <w:tr w:rsidR="00C31389" w14:paraId="2DF30205" w14:textId="77777777">
        <w:trPr>
          <w:trHeight w:val="275"/>
        </w:trPr>
        <w:tc>
          <w:tcPr>
            <w:tcW w:w="1427" w:type="dxa"/>
            <w:tcBorders>
              <w:top w:val="single" w:color="DCDDDE" w:sz="4" w:space="0"/>
              <w:bottom w:val="single" w:color="DCDDDE" w:sz="4" w:space="0"/>
            </w:tcBorders>
          </w:tcPr>
          <w:p w:rsidR="00C31389" w:rsidRDefault="00561FBD" w14:paraId="516E6672" w14:textId="77777777">
            <w:pPr>
              <w:pStyle w:val="TableParagraph"/>
              <w:ind w:left="122"/>
              <w:rPr>
                <w:sz w:val="17"/>
              </w:rPr>
            </w:pPr>
            <w:r>
              <w:rPr>
                <w:spacing w:val="-5"/>
                <w:sz w:val="17"/>
              </w:rPr>
              <w:t>FS</w:t>
            </w:r>
          </w:p>
        </w:tc>
        <w:tc>
          <w:tcPr>
            <w:tcW w:w="749" w:type="dxa"/>
            <w:tcBorders>
              <w:top w:val="single" w:color="DCDDDE" w:sz="4" w:space="0"/>
              <w:bottom w:val="single" w:color="DCDDDE" w:sz="4" w:space="0"/>
            </w:tcBorders>
          </w:tcPr>
          <w:p w:rsidR="00C31389" w:rsidRDefault="00561FBD" w14:paraId="135D04E6" w14:textId="77777777">
            <w:pPr>
              <w:pStyle w:val="TableParagraph"/>
              <w:ind w:right="112"/>
              <w:jc w:val="right"/>
              <w:rPr>
                <w:sz w:val="17"/>
              </w:rPr>
            </w:pPr>
            <w:r>
              <w:rPr>
                <w:spacing w:val="-2"/>
                <w:sz w:val="17"/>
              </w:rPr>
              <w:t>-</w:t>
            </w:r>
            <w:r>
              <w:rPr>
                <w:spacing w:val="-5"/>
                <w:sz w:val="17"/>
              </w:rPr>
              <w:t>0.4</w:t>
            </w:r>
          </w:p>
        </w:tc>
        <w:tc>
          <w:tcPr>
            <w:tcW w:w="655" w:type="dxa"/>
            <w:tcBorders>
              <w:top w:val="single" w:color="DCDDDE" w:sz="4" w:space="0"/>
              <w:bottom w:val="single" w:color="DCDDDE" w:sz="4" w:space="0"/>
            </w:tcBorders>
          </w:tcPr>
          <w:p w:rsidR="00C31389" w:rsidRDefault="00561FBD" w14:paraId="7291AB17" w14:textId="77777777">
            <w:pPr>
              <w:pStyle w:val="TableParagraph"/>
              <w:ind w:left="230" w:right="97"/>
              <w:jc w:val="center"/>
              <w:rPr>
                <w:sz w:val="17"/>
              </w:rPr>
            </w:pPr>
            <w:r>
              <w:rPr>
                <w:spacing w:val="-2"/>
                <w:sz w:val="17"/>
              </w:rPr>
              <w:t>-</w:t>
            </w:r>
            <w:r>
              <w:rPr>
                <w:spacing w:val="-5"/>
                <w:sz w:val="17"/>
              </w:rPr>
              <w:t>0.8</w:t>
            </w:r>
          </w:p>
        </w:tc>
        <w:tc>
          <w:tcPr>
            <w:tcW w:w="654" w:type="dxa"/>
            <w:tcBorders>
              <w:top w:val="single" w:color="DCDDDE" w:sz="4" w:space="0"/>
              <w:bottom w:val="single" w:color="DCDDDE" w:sz="4" w:space="0"/>
            </w:tcBorders>
          </w:tcPr>
          <w:p w:rsidR="00C31389" w:rsidRDefault="00561FBD" w14:paraId="595D92C1" w14:textId="77777777">
            <w:pPr>
              <w:pStyle w:val="TableParagraph"/>
              <w:ind w:right="111"/>
              <w:jc w:val="right"/>
              <w:rPr>
                <w:sz w:val="17"/>
              </w:rPr>
            </w:pPr>
            <w:r>
              <w:rPr>
                <w:spacing w:val="-2"/>
                <w:sz w:val="17"/>
              </w:rPr>
              <w:t>-</w:t>
            </w:r>
            <w:r>
              <w:rPr>
                <w:spacing w:val="-5"/>
                <w:sz w:val="17"/>
              </w:rPr>
              <w:t>1.3</w:t>
            </w:r>
          </w:p>
        </w:tc>
        <w:tc>
          <w:tcPr>
            <w:tcW w:w="654" w:type="dxa"/>
            <w:tcBorders>
              <w:top w:val="single" w:color="DCDDDE" w:sz="4" w:space="0"/>
              <w:bottom w:val="single" w:color="DCDDDE" w:sz="4" w:space="0"/>
            </w:tcBorders>
          </w:tcPr>
          <w:p w:rsidR="00C31389" w:rsidRDefault="00561FBD" w14:paraId="75D3EAA0" w14:textId="77777777">
            <w:pPr>
              <w:pStyle w:val="TableParagraph"/>
              <w:ind w:right="111"/>
              <w:jc w:val="right"/>
              <w:rPr>
                <w:sz w:val="17"/>
              </w:rPr>
            </w:pPr>
            <w:r>
              <w:rPr>
                <w:spacing w:val="-2"/>
                <w:sz w:val="17"/>
              </w:rPr>
              <w:t>-</w:t>
            </w:r>
            <w:r>
              <w:rPr>
                <w:spacing w:val="-5"/>
                <w:sz w:val="17"/>
              </w:rPr>
              <w:t>2.0</w:t>
            </w:r>
          </w:p>
        </w:tc>
        <w:tc>
          <w:tcPr>
            <w:tcW w:w="655" w:type="dxa"/>
            <w:tcBorders>
              <w:top w:val="single" w:color="DCDDDE" w:sz="4" w:space="0"/>
              <w:bottom w:val="single" w:color="DCDDDE" w:sz="4" w:space="0"/>
            </w:tcBorders>
          </w:tcPr>
          <w:p w:rsidR="00C31389" w:rsidRDefault="00561FBD" w14:paraId="5DDCE745" w14:textId="77777777">
            <w:pPr>
              <w:pStyle w:val="TableParagraph"/>
              <w:ind w:right="110"/>
              <w:jc w:val="right"/>
              <w:rPr>
                <w:sz w:val="17"/>
              </w:rPr>
            </w:pPr>
            <w:r>
              <w:rPr>
                <w:spacing w:val="-2"/>
                <w:sz w:val="17"/>
              </w:rPr>
              <w:t>-</w:t>
            </w:r>
            <w:r>
              <w:rPr>
                <w:spacing w:val="-5"/>
                <w:sz w:val="17"/>
              </w:rPr>
              <w:t>3.2</w:t>
            </w:r>
          </w:p>
        </w:tc>
        <w:tc>
          <w:tcPr>
            <w:tcW w:w="655" w:type="dxa"/>
            <w:tcBorders>
              <w:top w:val="single" w:color="DCDDDE" w:sz="4" w:space="0"/>
              <w:bottom w:val="single" w:color="DCDDDE" w:sz="4" w:space="0"/>
            </w:tcBorders>
          </w:tcPr>
          <w:p w:rsidR="00C31389" w:rsidRDefault="00561FBD" w14:paraId="7EA138AD" w14:textId="77777777">
            <w:pPr>
              <w:pStyle w:val="TableParagraph"/>
              <w:ind w:right="110"/>
              <w:jc w:val="right"/>
              <w:rPr>
                <w:sz w:val="17"/>
              </w:rPr>
            </w:pPr>
            <w:r>
              <w:rPr>
                <w:spacing w:val="-2"/>
                <w:sz w:val="17"/>
              </w:rPr>
              <w:t>-</w:t>
            </w:r>
            <w:r>
              <w:rPr>
                <w:spacing w:val="-5"/>
                <w:sz w:val="17"/>
              </w:rPr>
              <w:t>4.1</w:t>
            </w:r>
          </w:p>
        </w:tc>
        <w:tc>
          <w:tcPr>
            <w:tcW w:w="655" w:type="dxa"/>
            <w:tcBorders>
              <w:top w:val="single" w:color="DCDDDE" w:sz="4" w:space="0"/>
              <w:bottom w:val="single" w:color="DCDDDE" w:sz="4" w:space="0"/>
            </w:tcBorders>
          </w:tcPr>
          <w:p w:rsidR="00C31389" w:rsidRDefault="00561FBD" w14:paraId="0A08334C" w14:textId="77777777">
            <w:pPr>
              <w:pStyle w:val="TableParagraph"/>
              <w:ind w:right="110"/>
              <w:jc w:val="right"/>
              <w:rPr>
                <w:sz w:val="17"/>
              </w:rPr>
            </w:pPr>
            <w:r>
              <w:rPr>
                <w:spacing w:val="-5"/>
                <w:sz w:val="17"/>
              </w:rPr>
              <w:t>5.3</w:t>
            </w:r>
          </w:p>
        </w:tc>
        <w:tc>
          <w:tcPr>
            <w:tcW w:w="655" w:type="dxa"/>
            <w:tcBorders>
              <w:top w:val="single" w:color="DCDDDE" w:sz="4" w:space="0"/>
              <w:bottom w:val="single" w:color="DCDDDE" w:sz="4" w:space="0"/>
            </w:tcBorders>
          </w:tcPr>
          <w:p w:rsidR="00C31389" w:rsidRDefault="00561FBD" w14:paraId="77A49431" w14:textId="77777777">
            <w:pPr>
              <w:pStyle w:val="TableParagraph"/>
              <w:ind w:right="110"/>
              <w:jc w:val="right"/>
              <w:rPr>
                <w:sz w:val="17"/>
              </w:rPr>
            </w:pPr>
            <w:r>
              <w:rPr>
                <w:spacing w:val="-5"/>
                <w:sz w:val="17"/>
              </w:rPr>
              <w:t>6.2</w:t>
            </w:r>
          </w:p>
        </w:tc>
        <w:tc>
          <w:tcPr>
            <w:tcW w:w="654" w:type="dxa"/>
            <w:tcBorders>
              <w:top w:val="single" w:color="DCDDDE" w:sz="4" w:space="0"/>
              <w:bottom w:val="single" w:color="DCDDDE" w:sz="4" w:space="0"/>
            </w:tcBorders>
          </w:tcPr>
          <w:p w:rsidR="00C31389" w:rsidRDefault="00561FBD" w14:paraId="7FD614BB" w14:textId="77777777">
            <w:pPr>
              <w:pStyle w:val="TableParagraph"/>
              <w:ind w:right="109"/>
              <w:jc w:val="right"/>
              <w:rPr>
                <w:sz w:val="17"/>
              </w:rPr>
            </w:pPr>
            <w:r>
              <w:rPr>
                <w:spacing w:val="-5"/>
                <w:sz w:val="17"/>
              </w:rPr>
              <w:t>7.2</w:t>
            </w:r>
          </w:p>
        </w:tc>
        <w:tc>
          <w:tcPr>
            <w:tcW w:w="678" w:type="dxa"/>
            <w:tcBorders>
              <w:top w:val="single" w:color="DCDDDE" w:sz="4" w:space="0"/>
              <w:bottom w:val="single" w:color="DCDDDE" w:sz="4" w:space="0"/>
            </w:tcBorders>
          </w:tcPr>
          <w:p w:rsidR="00C31389" w:rsidRDefault="00561FBD" w14:paraId="52E650BB" w14:textId="77777777">
            <w:pPr>
              <w:pStyle w:val="TableParagraph"/>
              <w:ind w:right="133"/>
              <w:jc w:val="right"/>
              <w:rPr>
                <w:sz w:val="17"/>
              </w:rPr>
            </w:pPr>
            <w:r>
              <w:rPr>
                <w:spacing w:val="-5"/>
                <w:sz w:val="17"/>
              </w:rPr>
              <w:t>8.0</w:t>
            </w:r>
          </w:p>
        </w:tc>
        <w:tc>
          <w:tcPr>
            <w:tcW w:w="655" w:type="dxa"/>
            <w:tcBorders>
              <w:top w:val="single" w:color="DCDDDE" w:sz="4" w:space="0"/>
              <w:bottom w:val="single" w:color="DCDDDE" w:sz="4" w:space="0"/>
            </w:tcBorders>
          </w:tcPr>
          <w:p w:rsidR="00C31389" w:rsidRDefault="00561FBD" w14:paraId="68B3E714" w14:textId="77777777">
            <w:pPr>
              <w:pStyle w:val="TableParagraph"/>
              <w:ind w:left="236" w:right="88"/>
              <w:jc w:val="center"/>
              <w:rPr>
                <w:sz w:val="17"/>
              </w:rPr>
            </w:pPr>
            <w:r>
              <w:rPr>
                <w:spacing w:val="-5"/>
                <w:sz w:val="17"/>
              </w:rPr>
              <w:t>8.7</w:t>
            </w:r>
          </w:p>
        </w:tc>
        <w:tc>
          <w:tcPr>
            <w:tcW w:w="624" w:type="dxa"/>
            <w:tcBorders>
              <w:top w:val="single" w:color="DCDDDE" w:sz="4" w:space="0"/>
              <w:bottom w:val="single" w:color="DCDDDE" w:sz="4" w:space="0"/>
            </w:tcBorders>
          </w:tcPr>
          <w:p w:rsidR="00C31389" w:rsidRDefault="00561FBD" w14:paraId="58B4DF9A" w14:textId="77777777">
            <w:pPr>
              <w:pStyle w:val="TableParagraph"/>
              <w:ind w:right="101"/>
              <w:jc w:val="right"/>
              <w:rPr>
                <w:sz w:val="17"/>
              </w:rPr>
            </w:pPr>
            <w:r>
              <w:rPr>
                <w:spacing w:val="-5"/>
                <w:sz w:val="17"/>
              </w:rPr>
              <w:t>9.4</w:t>
            </w:r>
          </w:p>
        </w:tc>
      </w:tr>
      <w:tr w:rsidR="00C31389" w14:paraId="0E8245BF" w14:textId="77777777">
        <w:trPr>
          <w:trHeight w:val="275"/>
        </w:trPr>
        <w:tc>
          <w:tcPr>
            <w:tcW w:w="1427" w:type="dxa"/>
            <w:tcBorders>
              <w:top w:val="single" w:color="DCDDDE" w:sz="4" w:space="0"/>
              <w:bottom w:val="single" w:color="DCDDDE" w:sz="4" w:space="0"/>
            </w:tcBorders>
          </w:tcPr>
          <w:p w:rsidR="00C31389" w:rsidRDefault="00561FBD" w14:paraId="5EA142F2" w14:textId="77777777">
            <w:pPr>
              <w:pStyle w:val="TableParagraph"/>
              <w:ind w:left="122"/>
              <w:rPr>
                <w:sz w:val="17"/>
              </w:rPr>
            </w:pPr>
            <w:r>
              <w:rPr>
                <w:spacing w:val="-4"/>
                <w:sz w:val="17"/>
              </w:rPr>
              <w:t>BROs</w:t>
            </w:r>
          </w:p>
        </w:tc>
        <w:tc>
          <w:tcPr>
            <w:tcW w:w="749" w:type="dxa"/>
            <w:tcBorders>
              <w:top w:val="single" w:color="DCDDDE" w:sz="4" w:space="0"/>
              <w:bottom w:val="single" w:color="DCDDDE" w:sz="4" w:space="0"/>
            </w:tcBorders>
          </w:tcPr>
          <w:p w:rsidR="00C31389" w:rsidRDefault="00561FBD" w14:paraId="6B92228A" w14:textId="77777777">
            <w:pPr>
              <w:pStyle w:val="TableParagraph"/>
              <w:ind w:right="112"/>
              <w:jc w:val="right"/>
              <w:rPr>
                <w:sz w:val="17"/>
              </w:rPr>
            </w:pPr>
            <w:r>
              <w:rPr>
                <w:spacing w:val="-4"/>
                <w:sz w:val="17"/>
              </w:rPr>
              <w:t>57.5</w:t>
            </w:r>
          </w:p>
        </w:tc>
        <w:tc>
          <w:tcPr>
            <w:tcW w:w="655" w:type="dxa"/>
            <w:tcBorders>
              <w:top w:val="single" w:color="DCDDDE" w:sz="4" w:space="0"/>
              <w:bottom w:val="single" w:color="DCDDDE" w:sz="4" w:space="0"/>
            </w:tcBorders>
          </w:tcPr>
          <w:p w:rsidR="00C31389" w:rsidRDefault="00561FBD" w14:paraId="60440629" w14:textId="77777777">
            <w:pPr>
              <w:pStyle w:val="TableParagraph"/>
              <w:ind w:left="99" w:right="4"/>
              <w:jc w:val="center"/>
              <w:rPr>
                <w:sz w:val="17"/>
              </w:rPr>
            </w:pPr>
            <w:r>
              <w:rPr>
                <w:spacing w:val="-4"/>
                <w:sz w:val="17"/>
              </w:rPr>
              <w:t>59.9</w:t>
            </w:r>
          </w:p>
        </w:tc>
        <w:tc>
          <w:tcPr>
            <w:tcW w:w="654" w:type="dxa"/>
            <w:tcBorders>
              <w:top w:val="single" w:color="DCDDDE" w:sz="4" w:space="0"/>
              <w:bottom w:val="single" w:color="DCDDDE" w:sz="4" w:space="0"/>
            </w:tcBorders>
          </w:tcPr>
          <w:p w:rsidR="00C31389" w:rsidRDefault="00561FBD" w14:paraId="2CAD40D1" w14:textId="77777777">
            <w:pPr>
              <w:pStyle w:val="TableParagraph"/>
              <w:ind w:right="111"/>
              <w:jc w:val="right"/>
              <w:rPr>
                <w:sz w:val="17"/>
              </w:rPr>
            </w:pPr>
            <w:r>
              <w:rPr>
                <w:spacing w:val="-4"/>
                <w:sz w:val="17"/>
              </w:rPr>
              <w:t>62.5</w:t>
            </w:r>
          </w:p>
        </w:tc>
        <w:tc>
          <w:tcPr>
            <w:tcW w:w="654" w:type="dxa"/>
            <w:tcBorders>
              <w:top w:val="single" w:color="DCDDDE" w:sz="4" w:space="0"/>
              <w:bottom w:val="single" w:color="DCDDDE" w:sz="4" w:space="0"/>
            </w:tcBorders>
          </w:tcPr>
          <w:p w:rsidR="00C31389" w:rsidRDefault="00561FBD" w14:paraId="0D9C5750" w14:textId="77777777">
            <w:pPr>
              <w:pStyle w:val="TableParagraph"/>
              <w:ind w:right="111"/>
              <w:jc w:val="right"/>
              <w:rPr>
                <w:sz w:val="17"/>
              </w:rPr>
            </w:pPr>
            <w:r>
              <w:rPr>
                <w:spacing w:val="-4"/>
                <w:sz w:val="17"/>
              </w:rPr>
              <w:t>65.3</w:t>
            </w:r>
          </w:p>
        </w:tc>
        <w:tc>
          <w:tcPr>
            <w:tcW w:w="655" w:type="dxa"/>
            <w:tcBorders>
              <w:top w:val="single" w:color="DCDDDE" w:sz="4" w:space="0"/>
              <w:bottom w:val="single" w:color="DCDDDE" w:sz="4" w:space="0"/>
            </w:tcBorders>
          </w:tcPr>
          <w:p w:rsidR="00C31389" w:rsidRDefault="00561FBD" w14:paraId="41CE532E" w14:textId="77777777">
            <w:pPr>
              <w:pStyle w:val="TableParagraph"/>
              <w:ind w:right="110"/>
              <w:jc w:val="right"/>
              <w:rPr>
                <w:sz w:val="17"/>
              </w:rPr>
            </w:pPr>
            <w:r>
              <w:rPr>
                <w:spacing w:val="-4"/>
                <w:sz w:val="17"/>
              </w:rPr>
              <w:t>68.2</w:t>
            </w:r>
          </w:p>
        </w:tc>
        <w:tc>
          <w:tcPr>
            <w:tcW w:w="655" w:type="dxa"/>
            <w:tcBorders>
              <w:top w:val="single" w:color="DCDDDE" w:sz="4" w:space="0"/>
              <w:bottom w:val="single" w:color="DCDDDE" w:sz="4" w:space="0"/>
            </w:tcBorders>
          </w:tcPr>
          <w:p w:rsidR="00C31389" w:rsidRDefault="00561FBD" w14:paraId="2359F19E" w14:textId="77777777">
            <w:pPr>
              <w:pStyle w:val="TableParagraph"/>
              <w:ind w:right="110"/>
              <w:jc w:val="right"/>
              <w:rPr>
                <w:sz w:val="17"/>
              </w:rPr>
            </w:pPr>
            <w:r>
              <w:rPr>
                <w:spacing w:val="-4"/>
                <w:sz w:val="17"/>
              </w:rPr>
              <w:t>71.3</w:t>
            </w:r>
          </w:p>
        </w:tc>
        <w:tc>
          <w:tcPr>
            <w:tcW w:w="655" w:type="dxa"/>
            <w:tcBorders>
              <w:top w:val="single" w:color="DCDDDE" w:sz="4" w:space="0"/>
              <w:bottom w:val="single" w:color="DCDDDE" w:sz="4" w:space="0"/>
            </w:tcBorders>
          </w:tcPr>
          <w:p w:rsidR="00C31389" w:rsidRDefault="00561FBD" w14:paraId="4C96EF13" w14:textId="77777777">
            <w:pPr>
              <w:pStyle w:val="TableParagraph"/>
              <w:ind w:right="110"/>
              <w:jc w:val="right"/>
              <w:rPr>
                <w:sz w:val="17"/>
              </w:rPr>
            </w:pPr>
            <w:r>
              <w:rPr>
                <w:spacing w:val="-4"/>
                <w:sz w:val="17"/>
              </w:rPr>
              <w:t>74.8</w:t>
            </w:r>
          </w:p>
        </w:tc>
        <w:tc>
          <w:tcPr>
            <w:tcW w:w="655" w:type="dxa"/>
            <w:tcBorders>
              <w:top w:val="single" w:color="DCDDDE" w:sz="4" w:space="0"/>
              <w:bottom w:val="single" w:color="DCDDDE" w:sz="4" w:space="0"/>
            </w:tcBorders>
          </w:tcPr>
          <w:p w:rsidR="00C31389" w:rsidRDefault="00561FBD" w14:paraId="555E79FA" w14:textId="77777777">
            <w:pPr>
              <w:pStyle w:val="TableParagraph"/>
              <w:ind w:right="110"/>
              <w:jc w:val="right"/>
              <w:rPr>
                <w:sz w:val="17"/>
              </w:rPr>
            </w:pPr>
            <w:r>
              <w:rPr>
                <w:spacing w:val="-4"/>
                <w:sz w:val="17"/>
              </w:rPr>
              <w:t>78.6</w:t>
            </w:r>
          </w:p>
        </w:tc>
        <w:tc>
          <w:tcPr>
            <w:tcW w:w="654" w:type="dxa"/>
            <w:tcBorders>
              <w:top w:val="single" w:color="DCDDDE" w:sz="4" w:space="0"/>
              <w:bottom w:val="single" w:color="DCDDDE" w:sz="4" w:space="0"/>
            </w:tcBorders>
          </w:tcPr>
          <w:p w:rsidR="00C31389" w:rsidRDefault="00561FBD" w14:paraId="247A5000" w14:textId="77777777">
            <w:pPr>
              <w:pStyle w:val="TableParagraph"/>
              <w:ind w:right="109"/>
              <w:jc w:val="right"/>
              <w:rPr>
                <w:sz w:val="17"/>
              </w:rPr>
            </w:pPr>
            <w:r>
              <w:rPr>
                <w:spacing w:val="-4"/>
                <w:sz w:val="17"/>
              </w:rPr>
              <w:t>82.5</w:t>
            </w:r>
          </w:p>
        </w:tc>
        <w:tc>
          <w:tcPr>
            <w:tcW w:w="678" w:type="dxa"/>
            <w:tcBorders>
              <w:top w:val="single" w:color="DCDDDE" w:sz="4" w:space="0"/>
              <w:bottom w:val="single" w:color="DCDDDE" w:sz="4" w:space="0"/>
            </w:tcBorders>
          </w:tcPr>
          <w:p w:rsidR="00C31389" w:rsidRDefault="00561FBD" w14:paraId="035BE439" w14:textId="77777777">
            <w:pPr>
              <w:pStyle w:val="TableParagraph"/>
              <w:ind w:right="133"/>
              <w:jc w:val="right"/>
              <w:rPr>
                <w:sz w:val="17"/>
              </w:rPr>
            </w:pPr>
            <w:r>
              <w:rPr>
                <w:spacing w:val="-4"/>
                <w:sz w:val="17"/>
              </w:rPr>
              <w:t>87.7</w:t>
            </w:r>
          </w:p>
        </w:tc>
        <w:tc>
          <w:tcPr>
            <w:tcW w:w="655" w:type="dxa"/>
            <w:tcBorders>
              <w:top w:val="single" w:color="DCDDDE" w:sz="4" w:space="0"/>
              <w:bottom w:val="single" w:color="DCDDDE" w:sz="4" w:space="0"/>
            </w:tcBorders>
          </w:tcPr>
          <w:p w:rsidR="00C31389" w:rsidRDefault="00561FBD" w14:paraId="774F1879" w14:textId="77777777">
            <w:pPr>
              <w:pStyle w:val="TableParagraph"/>
              <w:ind w:left="99" w:right="45"/>
              <w:jc w:val="center"/>
              <w:rPr>
                <w:sz w:val="17"/>
              </w:rPr>
            </w:pPr>
            <w:r>
              <w:rPr>
                <w:spacing w:val="-4"/>
                <w:sz w:val="17"/>
              </w:rPr>
              <w:t>88.9</w:t>
            </w:r>
          </w:p>
        </w:tc>
        <w:tc>
          <w:tcPr>
            <w:tcW w:w="624" w:type="dxa"/>
            <w:tcBorders>
              <w:top w:val="single" w:color="DCDDDE" w:sz="4" w:space="0"/>
              <w:bottom w:val="single" w:color="DCDDDE" w:sz="4" w:space="0"/>
            </w:tcBorders>
          </w:tcPr>
          <w:p w:rsidR="00C31389" w:rsidRDefault="00561FBD" w14:paraId="306ADBE2" w14:textId="77777777">
            <w:pPr>
              <w:pStyle w:val="TableParagraph"/>
              <w:ind w:right="101"/>
              <w:jc w:val="right"/>
              <w:rPr>
                <w:sz w:val="17"/>
              </w:rPr>
            </w:pPr>
            <w:r>
              <w:rPr>
                <w:spacing w:val="-4"/>
                <w:sz w:val="17"/>
              </w:rPr>
              <w:t>93.8</w:t>
            </w:r>
          </w:p>
        </w:tc>
      </w:tr>
      <w:tr w:rsidR="00C31389" w14:paraId="26E68ED9" w14:textId="77777777">
        <w:trPr>
          <w:trHeight w:val="275"/>
        </w:trPr>
        <w:tc>
          <w:tcPr>
            <w:tcW w:w="9370" w:type="dxa"/>
            <w:gridSpan w:val="13"/>
            <w:tcBorders>
              <w:top w:val="single" w:color="DCDDDE" w:sz="4" w:space="0"/>
              <w:bottom w:val="single" w:color="DCDDDE" w:sz="4" w:space="0"/>
            </w:tcBorders>
            <w:shd w:val="clear" w:color="auto" w:fill="BEBEBE"/>
          </w:tcPr>
          <w:p w:rsidR="00C31389" w:rsidRDefault="00561FBD" w14:paraId="36BA5F4B" w14:textId="77777777">
            <w:pPr>
              <w:pStyle w:val="TableParagraph"/>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44B1E24B" w14:textId="77777777">
        <w:trPr>
          <w:trHeight w:val="469"/>
        </w:trPr>
        <w:tc>
          <w:tcPr>
            <w:tcW w:w="1427" w:type="dxa"/>
            <w:tcBorders>
              <w:top w:val="single" w:color="DCDDDE" w:sz="4" w:space="0"/>
              <w:bottom w:val="single" w:color="DCDDDE" w:sz="4" w:space="0"/>
            </w:tcBorders>
          </w:tcPr>
          <w:p w:rsidR="00C31389" w:rsidRDefault="00561FBD" w14:paraId="7602E30F" w14:textId="77777777">
            <w:pPr>
              <w:pStyle w:val="TableParagraph"/>
              <w:spacing w:before="39"/>
              <w:ind w:left="122" w:right="295"/>
              <w:rPr>
                <w:sz w:val="17"/>
              </w:rPr>
            </w:pPr>
            <w:r>
              <w:rPr>
                <w:sz w:val="17"/>
              </w:rPr>
              <w:t>w/</w:t>
            </w:r>
            <w:r>
              <w:rPr>
                <w:spacing w:val="-12"/>
                <w:sz w:val="17"/>
              </w:rPr>
              <w:t xml:space="preserve"> </w:t>
            </w:r>
            <w:r>
              <w:rPr>
                <w:sz w:val="17"/>
              </w:rPr>
              <w:t xml:space="preserve">Interactive </w:t>
            </w:r>
            <w:r>
              <w:rPr>
                <w:spacing w:val="-2"/>
                <w:sz w:val="17"/>
              </w:rPr>
              <w:t>Effects</w:t>
            </w:r>
          </w:p>
        </w:tc>
        <w:tc>
          <w:tcPr>
            <w:tcW w:w="749" w:type="dxa"/>
            <w:tcBorders>
              <w:top w:val="single" w:color="DCDDDE" w:sz="4" w:space="0"/>
              <w:bottom w:val="single" w:color="DCDDDE" w:sz="4" w:space="0"/>
            </w:tcBorders>
          </w:tcPr>
          <w:p w:rsidR="00C31389" w:rsidRDefault="00561FBD" w14:paraId="67CDBA8C" w14:textId="77777777">
            <w:pPr>
              <w:pStyle w:val="TableParagraph"/>
              <w:spacing w:before="138"/>
              <w:ind w:right="112"/>
              <w:jc w:val="right"/>
              <w:rPr>
                <w:sz w:val="17"/>
              </w:rPr>
            </w:pPr>
            <w:r>
              <w:rPr>
                <w:spacing w:val="-2"/>
                <w:sz w:val="17"/>
              </w:rPr>
              <w:t>219.4</w:t>
            </w:r>
          </w:p>
        </w:tc>
        <w:tc>
          <w:tcPr>
            <w:tcW w:w="655" w:type="dxa"/>
            <w:tcBorders>
              <w:top w:val="single" w:color="DCDDDE" w:sz="4" w:space="0"/>
              <w:bottom w:val="single" w:color="DCDDDE" w:sz="4" w:space="0"/>
            </w:tcBorders>
          </w:tcPr>
          <w:p w:rsidR="00C31389" w:rsidRDefault="00561FBD" w14:paraId="5A7A6FB0" w14:textId="77777777">
            <w:pPr>
              <w:pStyle w:val="TableParagraph"/>
              <w:spacing w:before="138"/>
              <w:ind w:left="97" w:right="97"/>
              <w:jc w:val="center"/>
              <w:rPr>
                <w:sz w:val="17"/>
              </w:rPr>
            </w:pPr>
            <w:r>
              <w:rPr>
                <w:spacing w:val="-2"/>
                <w:sz w:val="17"/>
              </w:rPr>
              <w:t>206.5</w:t>
            </w:r>
          </w:p>
        </w:tc>
        <w:tc>
          <w:tcPr>
            <w:tcW w:w="654" w:type="dxa"/>
            <w:tcBorders>
              <w:top w:val="single" w:color="DCDDDE" w:sz="4" w:space="0"/>
              <w:bottom w:val="single" w:color="DCDDDE" w:sz="4" w:space="0"/>
            </w:tcBorders>
          </w:tcPr>
          <w:p w:rsidR="00C31389" w:rsidRDefault="00561FBD" w14:paraId="261BA32F" w14:textId="77777777">
            <w:pPr>
              <w:pStyle w:val="TableParagraph"/>
              <w:spacing w:before="138"/>
              <w:ind w:right="111"/>
              <w:jc w:val="right"/>
              <w:rPr>
                <w:sz w:val="17"/>
              </w:rPr>
            </w:pPr>
            <w:r>
              <w:rPr>
                <w:spacing w:val="-2"/>
                <w:sz w:val="17"/>
              </w:rPr>
              <w:t>202.2</w:t>
            </w:r>
          </w:p>
        </w:tc>
        <w:tc>
          <w:tcPr>
            <w:tcW w:w="654" w:type="dxa"/>
            <w:tcBorders>
              <w:top w:val="single" w:color="DCDDDE" w:sz="4" w:space="0"/>
              <w:bottom w:val="single" w:color="DCDDDE" w:sz="4" w:space="0"/>
            </w:tcBorders>
          </w:tcPr>
          <w:p w:rsidR="00C31389" w:rsidRDefault="00561FBD" w14:paraId="0D4FF94D" w14:textId="77777777">
            <w:pPr>
              <w:pStyle w:val="TableParagraph"/>
              <w:spacing w:before="138"/>
              <w:ind w:right="111"/>
              <w:jc w:val="right"/>
              <w:rPr>
                <w:sz w:val="17"/>
              </w:rPr>
            </w:pPr>
            <w:r>
              <w:rPr>
                <w:spacing w:val="-2"/>
                <w:sz w:val="17"/>
              </w:rPr>
              <w:t>186.3</w:t>
            </w:r>
          </w:p>
        </w:tc>
        <w:tc>
          <w:tcPr>
            <w:tcW w:w="655" w:type="dxa"/>
            <w:tcBorders>
              <w:top w:val="single" w:color="DCDDDE" w:sz="4" w:space="0"/>
              <w:bottom w:val="single" w:color="DCDDDE" w:sz="4" w:space="0"/>
            </w:tcBorders>
          </w:tcPr>
          <w:p w:rsidR="00C31389" w:rsidRDefault="00561FBD" w14:paraId="501BAD6D" w14:textId="77777777">
            <w:pPr>
              <w:pStyle w:val="TableParagraph"/>
              <w:spacing w:before="138"/>
              <w:ind w:right="110"/>
              <w:jc w:val="right"/>
              <w:rPr>
                <w:sz w:val="17"/>
              </w:rPr>
            </w:pPr>
            <w:r>
              <w:rPr>
                <w:spacing w:val="-2"/>
                <w:sz w:val="17"/>
              </w:rPr>
              <w:t>170.0</w:t>
            </w:r>
          </w:p>
        </w:tc>
        <w:tc>
          <w:tcPr>
            <w:tcW w:w="655" w:type="dxa"/>
            <w:tcBorders>
              <w:top w:val="single" w:color="DCDDDE" w:sz="4" w:space="0"/>
              <w:bottom w:val="single" w:color="DCDDDE" w:sz="4" w:space="0"/>
            </w:tcBorders>
          </w:tcPr>
          <w:p w:rsidR="00C31389" w:rsidRDefault="00561FBD" w14:paraId="50D9201D" w14:textId="77777777">
            <w:pPr>
              <w:pStyle w:val="TableParagraph"/>
              <w:spacing w:before="138"/>
              <w:ind w:right="110"/>
              <w:jc w:val="right"/>
              <w:rPr>
                <w:sz w:val="17"/>
              </w:rPr>
            </w:pPr>
            <w:r>
              <w:rPr>
                <w:spacing w:val="-2"/>
                <w:sz w:val="17"/>
              </w:rPr>
              <w:t>135.1</w:t>
            </w:r>
          </w:p>
        </w:tc>
        <w:tc>
          <w:tcPr>
            <w:tcW w:w="655" w:type="dxa"/>
            <w:tcBorders>
              <w:top w:val="single" w:color="DCDDDE" w:sz="4" w:space="0"/>
              <w:bottom w:val="single" w:color="DCDDDE" w:sz="4" w:space="0"/>
            </w:tcBorders>
          </w:tcPr>
          <w:p w:rsidR="00C31389" w:rsidRDefault="00561FBD" w14:paraId="34B1D97E" w14:textId="77777777">
            <w:pPr>
              <w:pStyle w:val="TableParagraph"/>
              <w:spacing w:before="138"/>
              <w:ind w:right="110"/>
              <w:jc w:val="right"/>
              <w:rPr>
                <w:sz w:val="17"/>
              </w:rPr>
            </w:pPr>
            <w:r>
              <w:rPr>
                <w:spacing w:val="-2"/>
                <w:sz w:val="17"/>
              </w:rPr>
              <w:t>122.7</w:t>
            </w:r>
          </w:p>
        </w:tc>
        <w:tc>
          <w:tcPr>
            <w:tcW w:w="655" w:type="dxa"/>
            <w:tcBorders>
              <w:top w:val="single" w:color="DCDDDE" w:sz="4" w:space="0"/>
              <w:bottom w:val="single" w:color="DCDDDE" w:sz="4" w:space="0"/>
            </w:tcBorders>
          </w:tcPr>
          <w:p w:rsidR="00C31389" w:rsidRDefault="00561FBD" w14:paraId="25F19243" w14:textId="77777777">
            <w:pPr>
              <w:pStyle w:val="TableParagraph"/>
              <w:spacing w:before="138"/>
              <w:ind w:right="110"/>
              <w:jc w:val="right"/>
              <w:rPr>
                <w:sz w:val="17"/>
              </w:rPr>
            </w:pPr>
            <w:r>
              <w:rPr>
                <w:spacing w:val="-2"/>
                <w:sz w:val="17"/>
              </w:rPr>
              <w:t>115.9</w:t>
            </w:r>
          </w:p>
        </w:tc>
        <w:tc>
          <w:tcPr>
            <w:tcW w:w="654" w:type="dxa"/>
            <w:tcBorders>
              <w:top w:val="single" w:color="DCDDDE" w:sz="4" w:space="0"/>
              <w:bottom w:val="single" w:color="DCDDDE" w:sz="4" w:space="0"/>
            </w:tcBorders>
          </w:tcPr>
          <w:p w:rsidR="00C31389" w:rsidRDefault="00561FBD" w14:paraId="3F84E5DD" w14:textId="77777777">
            <w:pPr>
              <w:pStyle w:val="TableParagraph"/>
              <w:spacing w:before="138"/>
              <w:ind w:right="109"/>
              <w:jc w:val="right"/>
              <w:rPr>
                <w:sz w:val="17"/>
              </w:rPr>
            </w:pPr>
            <w:r>
              <w:rPr>
                <w:spacing w:val="-2"/>
                <w:sz w:val="17"/>
              </w:rPr>
              <w:t>108.6</w:t>
            </w:r>
          </w:p>
        </w:tc>
        <w:tc>
          <w:tcPr>
            <w:tcW w:w="678" w:type="dxa"/>
            <w:tcBorders>
              <w:top w:val="single" w:color="DCDDDE" w:sz="4" w:space="0"/>
              <w:bottom w:val="single" w:color="DCDDDE" w:sz="4" w:space="0"/>
            </w:tcBorders>
          </w:tcPr>
          <w:p w:rsidR="00C31389" w:rsidRDefault="00561FBD" w14:paraId="68731ABC" w14:textId="77777777">
            <w:pPr>
              <w:pStyle w:val="TableParagraph"/>
              <w:spacing w:before="138"/>
              <w:ind w:right="133"/>
              <w:jc w:val="right"/>
              <w:rPr>
                <w:sz w:val="17"/>
              </w:rPr>
            </w:pPr>
            <w:r>
              <w:rPr>
                <w:spacing w:val="-2"/>
                <w:sz w:val="17"/>
              </w:rPr>
              <w:t>102.9</w:t>
            </w:r>
          </w:p>
        </w:tc>
        <w:tc>
          <w:tcPr>
            <w:tcW w:w="655" w:type="dxa"/>
            <w:tcBorders>
              <w:top w:val="single" w:color="DCDDDE" w:sz="4" w:space="0"/>
              <w:bottom w:val="single" w:color="DCDDDE" w:sz="4" w:space="0"/>
            </w:tcBorders>
          </w:tcPr>
          <w:p w:rsidR="00C31389" w:rsidRDefault="00561FBD" w14:paraId="22D59B21" w14:textId="77777777">
            <w:pPr>
              <w:pStyle w:val="TableParagraph"/>
              <w:spacing w:before="138"/>
              <w:ind w:left="99" w:right="45"/>
              <w:jc w:val="center"/>
              <w:rPr>
                <w:sz w:val="17"/>
              </w:rPr>
            </w:pPr>
            <w:r>
              <w:rPr>
                <w:spacing w:val="-4"/>
                <w:sz w:val="17"/>
              </w:rPr>
              <w:t>85.5</w:t>
            </w:r>
          </w:p>
        </w:tc>
        <w:tc>
          <w:tcPr>
            <w:tcW w:w="624" w:type="dxa"/>
            <w:tcBorders>
              <w:top w:val="single" w:color="DCDDDE" w:sz="4" w:space="0"/>
              <w:bottom w:val="single" w:color="DCDDDE" w:sz="4" w:space="0"/>
            </w:tcBorders>
          </w:tcPr>
          <w:p w:rsidR="00C31389" w:rsidRDefault="00561FBD" w14:paraId="77AD0BFD" w14:textId="77777777">
            <w:pPr>
              <w:pStyle w:val="TableParagraph"/>
              <w:spacing w:before="138"/>
              <w:ind w:right="101"/>
              <w:jc w:val="right"/>
              <w:rPr>
                <w:sz w:val="17"/>
              </w:rPr>
            </w:pPr>
            <w:r>
              <w:rPr>
                <w:spacing w:val="-4"/>
                <w:sz w:val="17"/>
              </w:rPr>
              <w:t>82.2</w:t>
            </w:r>
          </w:p>
        </w:tc>
      </w:tr>
      <w:tr w:rsidR="00C31389" w14:paraId="7107BB5E" w14:textId="77777777">
        <w:trPr>
          <w:trHeight w:val="472"/>
        </w:trPr>
        <w:tc>
          <w:tcPr>
            <w:tcW w:w="1427" w:type="dxa"/>
            <w:tcBorders>
              <w:top w:val="single" w:color="DCDDDE" w:sz="4" w:space="0"/>
              <w:bottom w:val="single" w:color="545658" w:sz="8" w:space="0"/>
            </w:tcBorders>
          </w:tcPr>
          <w:p w:rsidR="00C31389" w:rsidRDefault="00561FBD" w14:paraId="77433AF9" w14:textId="77777777">
            <w:pPr>
              <w:pStyle w:val="TableParagraph"/>
              <w:ind w:left="122" w:right="200"/>
              <w:rPr>
                <w:sz w:val="17"/>
              </w:rPr>
            </w:pPr>
            <w:r>
              <w:rPr>
                <w:sz w:val="17"/>
              </w:rPr>
              <w:t>w/o</w:t>
            </w:r>
            <w:r>
              <w:rPr>
                <w:spacing w:val="-12"/>
                <w:sz w:val="17"/>
              </w:rPr>
              <w:t xml:space="preserve"> </w:t>
            </w:r>
            <w:r>
              <w:rPr>
                <w:sz w:val="17"/>
              </w:rPr>
              <w:t xml:space="preserve">Interactive </w:t>
            </w:r>
            <w:r>
              <w:rPr>
                <w:spacing w:val="-2"/>
                <w:sz w:val="17"/>
              </w:rPr>
              <w:t>Effects</w:t>
            </w:r>
          </w:p>
        </w:tc>
        <w:tc>
          <w:tcPr>
            <w:tcW w:w="749" w:type="dxa"/>
            <w:tcBorders>
              <w:top w:val="single" w:color="DCDDDE" w:sz="4" w:space="0"/>
              <w:bottom w:val="single" w:color="545658" w:sz="8" w:space="0"/>
            </w:tcBorders>
          </w:tcPr>
          <w:p w:rsidR="00C31389" w:rsidRDefault="00561FBD" w14:paraId="693A5997" w14:textId="77777777">
            <w:pPr>
              <w:pStyle w:val="TableParagraph"/>
              <w:spacing w:before="139"/>
              <w:ind w:right="112"/>
              <w:jc w:val="right"/>
              <w:rPr>
                <w:sz w:val="17"/>
              </w:rPr>
            </w:pPr>
            <w:r>
              <w:rPr>
                <w:spacing w:val="-2"/>
                <w:sz w:val="17"/>
              </w:rPr>
              <w:t>217.5</w:t>
            </w:r>
          </w:p>
        </w:tc>
        <w:tc>
          <w:tcPr>
            <w:tcW w:w="655" w:type="dxa"/>
            <w:tcBorders>
              <w:top w:val="single" w:color="DCDDDE" w:sz="4" w:space="0"/>
              <w:bottom w:val="single" w:color="545658" w:sz="8" w:space="0"/>
            </w:tcBorders>
          </w:tcPr>
          <w:p w:rsidR="00C31389" w:rsidRDefault="00561FBD" w14:paraId="7E8BEEDC" w14:textId="77777777">
            <w:pPr>
              <w:pStyle w:val="TableParagraph"/>
              <w:spacing w:before="139"/>
              <w:ind w:left="97" w:right="97"/>
              <w:jc w:val="center"/>
              <w:rPr>
                <w:sz w:val="17"/>
              </w:rPr>
            </w:pPr>
            <w:r>
              <w:rPr>
                <w:spacing w:val="-2"/>
                <w:sz w:val="17"/>
              </w:rPr>
              <w:t>204.7</w:t>
            </w:r>
          </w:p>
        </w:tc>
        <w:tc>
          <w:tcPr>
            <w:tcW w:w="654" w:type="dxa"/>
            <w:tcBorders>
              <w:top w:val="single" w:color="DCDDDE" w:sz="4" w:space="0"/>
              <w:bottom w:val="single" w:color="545658" w:sz="8" w:space="0"/>
            </w:tcBorders>
          </w:tcPr>
          <w:p w:rsidR="00C31389" w:rsidRDefault="00561FBD" w14:paraId="59577B89" w14:textId="77777777">
            <w:pPr>
              <w:pStyle w:val="TableParagraph"/>
              <w:spacing w:before="139"/>
              <w:ind w:right="111"/>
              <w:jc w:val="right"/>
              <w:rPr>
                <w:sz w:val="17"/>
              </w:rPr>
            </w:pPr>
            <w:r>
              <w:rPr>
                <w:spacing w:val="-2"/>
                <w:sz w:val="17"/>
              </w:rPr>
              <w:t>200.4</w:t>
            </w:r>
          </w:p>
        </w:tc>
        <w:tc>
          <w:tcPr>
            <w:tcW w:w="654" w:type="dxa"/>
            <w:tcBorders>
              <w:top w:val="single" w:color="DCDDDE" w:sz="4" w:space="0"/>
              <w:bottom w:val="single" w:color="545658" w:sz="8" w:space="0"/>
            </w:tcBorders>
          </w:tcPr>
          <w:p w:rsidR="00C31389" w:rsidRDefault="00561FBD" w14:paraId="0C2B1C4D" w14:textId="77777777">
            <w:pPr>
              <w:pStyle w:val="TableParagraph"/>
              <w:spacing w:before="139"/>
              <w:ind w:right="111"/>
              <w:jc w:val="right"/>
              <w:rPr>
                <w:sz w:val="17"/>
              </w:rPr>
            </w:pPr>
            <w:r>
              <w:rPr>
                <w:spacing w:val="-2"/>
                <w:sz w:val="17"/>
              </w:rPr>
              <w:t>185.0</w:t>
            </w:r>
          </w:p>
        </w:tc>
        <w:tc>
          <w:tcPr>
            <w:tcW w:w="655" w:type="dxa"/>
            <w:tcBorders>
              <w:top w:val="single" w:color="DCDDDE" w:sz="4" w:space="0"/>
              <w:bottom w:val="single" w:color="545658" w:sz="8" w:space="0"/>
            </w:tcBorders>
          </w:tcPr>
          <w:p w:rsidR="00C31389" w:rsidRDefault="00561FBD" w14:paraId="6CE96E2B" w14:textId="77777777">
            <w:pPr>
              <w:pStyle w:val="TableParagraph"/>
              <w:spacing w:before="139"/>
              <w:ind w:right="110"/>
              <w:jc w:val="right"/>
              <w:rPr>
                <w:sz w:val="17"/>
              </w:rPr>
            </w:pPr>
            <w:r>
              <w:rPr>
                <w:spacing w:val="-2"/>
                <w:sz w:val="17"/>
              </w:rPr>
              <w:t>169.2</w:t>
            </w:r>
          </w:p>
        </w:tc>
        <w:tc>
          <w:tcPr>
            <w:tcW w:w="655" w:type="dxa"/>
            <w:tcBorders>
              <w:top w:val="single" w:color="DCDDDE" w:sz="4" w:space="0"/>
              <w:bottom w:val="single" w:color="545658" w:sz="8" w:space="0"/>
            </w:tcBorders>
          </w:tcPr>
          <w:p w:rsidR="00C31389" w:rsidRDefault="00561FBD" w14:paraId="52344A4D" w14:textId="77777777">
            <w:pPr>
              <w:pStyle w:val="TableParagraph"/>
              <w:spacing w:before="139"/>
              <w:ind w:right="110"/>
              <w:jc w:val="right"/>
              <w:rPr>
                <w:sz w:val="17"/>
              </w:rPr>
            </w:pPr>
            <w:r>
              <w:rPr>
                <w:spacing w:val="-2"/>
                <w:sz w:val="17"/>
              </w:rPr>
              <w:t>135.4</w:t>
            </w:r>
          </w:p>
        </w:tc>
        <w:tc>
          <w:tcPr>
            <w:tcW w:w="655" w:type="dxa"/>
            <w:tcBorders>
              <w:top w:val="single" w:color="DCDDDE" w:sz="4" w:space="0"/>
              <w:bottom w:val="single" w:color="545658" w:sz="8" w:space="0"/>
            </w:tcBorders>
          </w:tcPr>
          <w:p w:rsidR="00C31389" w:rsidRDefault="00561FBD" w14:paraId="3B134E5B" w14:textId="77777777">
            <w:pPr>
              <w:pStyle w:val="TableParagraph"/>
              <w:spacing w:before="139"/>
              <w:ind w:right="110"/>
              <w:jc w:val="right"/>
              <w:rPr>
                <w:sz w:val="17"/>
              </w:rPr>
            </w:pPr>
            <w:r>
              <w:rPr>
                <w:spacing w:val="-2"/>
                <w:sz w:val="17"/>
              </w:rPr>
              <w:t>123.3</w:t>
            </w:r>
          </w:p>
        </w:tc>
        <w:tc>
          <w:tcPr>
            <w:tcW w:w="655" w:type="dxa"/>
            <w:tcBorders>
              <w:top w:val="single" w:color="DCDDDE" w:sz="4" w:space="0"/>
              <w:bottom w:val="single" w:color="545658" w:sz="8" w:space="0"/>
            </w:tcBorders>
          </w:tcPr>
          <w:p w:rsidR="00C31389" w:rsidRDefault="00561FBD" w14:paraId="6EB1BF7D" w14:textId="77777777">
            <w:pPr>
              <w:pStyle w:val="TableParagraph"/>
              <w:spacing w:before="139"/>
              <w:ind w:right="110"/>
              <w:jc w:val="right"/>
              <w:rPr>
                <w:sz w:val="17"/>
              </w:rPr>
            </w:pPr>
            <w:r>
              <w:rPr>
                <w:spacing w:val="-2"/>
                <w:sz w:val="17"/>
              </w:rPr>
              <w:t>116.6</w:t>
            </w:r>
          </w:p>
        </w:tc>
        <w:tc>
          <w:tcPr>
            <w:tcW w:w="654" w:type="dxa"/>
            <w:tcBorders>
              <w:top w:val="single" w:color="DCDDDE" w:sz="4" w:space="0"/>
              <w:bottom w:val="single" w:color="545658" w:sz="8" w:space="0"/>
            </w:tcBorders>
          </w:tcPr>
          <w:p w:rsidR="00C31389" w:rsidRDefault="00561FBD" w14:paraId="340C14B9" w14:textId="77777777">
            <w:pPr>
              <w:pStyle w:val="TableParagraph"/>
              <w:spacing w:before="139"/>
              <w:ind w:right="109"/>
              <w:jc w:val="right"/>
              <w:rPr>
                <w:sz w:val="17"/>
              </w:rPr>
            </w:pPr>
            <w:r>
              <w:rPr>
                <w:spacing w:val="-2"/>
                <w:sz w:val="17"/>
              </w:rPr>
              <w:t>109.2</w:t>
            </w:r>
          </w:p>
        </w:tc>
        <w:tc>
          <w:tcPr>
            <w:tcW w:w="678" w:type="dxa"/>
            <w:tcBorders>
              <w:top w:val="single" w:color="DCDDDE" w:sz="4" w:space="0"/>
              <w:bottom w:val="single" w:color="545658" w:sz="8" w:space="0"/>
            </w:tcBorders>
          </w:tcPr>
          <w:p w:rsidR="00C31389" w:rsidRDefault="00561FBD" w14:paraId="4E83CFDA" w14:textId="77777777">
            <w:pPr>
              <w:pStyle w:val="TableParagraph"/>
              <w:spacing w:before="139"/>
              <w:ind w:right="133"/>
              <w:jc w:val="right"/>
              <w:rPr>
                <w:sz w:val="17"/>
              </w:rPr>
            </w:pPr>
            <w:r>
              <w:rPr>
                <w:spacing w:val="-2"/>
                <w:sz w:val="17"/>
              </w:rPr>
              <w:t>103.6</w:t>
            </w:r>
          </w:p>
        </w:tc>
        <w:tc>
          <w:tcPr>
            <w:tcW w:w="655" w:type="dxa"/>
            <w:tcBorders>
              <w:top w:val="single" w:color="DCDDDE" w:sz="4" w:space="0"/>
              <w:bottom w:val="single" w:color="545658" w:sz="8" w:space="0"/>
            </w:tcBorders>
          </w:tcPr>
          <w:p w:rsidR="00C31389" w:rsidRDefault="00561FBD" w14:paraId="31C9C573" w14:textId="77777777">
            <w:pPr>
              <w:pStyle w:val="TableParagraph"/>
              <w:spacing w:before="139"/>
              <w:ind w:left="99" w:right="45"/>
              <w:jc w:val="center"/>
              <w:rPr>
                <w:sz w:val="17"/>
              </w:rPr>
            </w:pPr>
            <w:r>
              <w:rPr>
                <w:spacing w:val="-4"/>
                <w:sz w:val="17"/>
              </w:rPr>
              <w:t>86.1</w:t>
            </w:r>
          </w:p>
        </w:tc>
        <w:tc>
          <w:tcPr>
            <w:tcW w:w="624" w:type="dxa"/>
            <w:tcBorders>
              <w:top w:val="single" w:color="DCDDDE" w:sz="4" w:space="0"/>
              <w:bottom w:val="single" w:color="545658" w:sz="8" w:space="0"/>
            </w:tcBorders>
          </w:tcPr>
          <w:p w:rsidR="00C31389" w:rsidRDefault="00561FBD" w14:paraId="24A88BCB" w14:textId="77777777">
            <w:pPr>
              <w:pStyle w:val="TableParagraph"/>
              <w:spacing w:before="139"/>
              <w:ind w:right="101"/>
              <w:jc w:val="right"/>
              <w:rPr>
                <w:sz w:val="17"/>
              </w:rPr>
            </w:pPr>
            <w:r>
              <w:rPr>
                <w:spacing w:val="-4"/>
                <w:sz w:val="17"/>
              </w:rPr>
              <w:t>82.9</w:t>
            </w:r>
          </w:p>
        </w:tc>
      </w:tr>
    </w:tbl>
    <w:p w:rsidR="00C31389" w:rsidRDefault="00561FBD" w14:paraId="50ABF012" w14:textId="77777777">
      <w:pPr>
        <w:spacing w:before="80"/>
        <w:ind w:left="220"/>
        <w:rPr>
          <w:i/>
          <w:sz w:val="18"/>
        </w:rPr>
      </w:pPr>
      <w:r>
        <w:rPr>
          <w:i/>
          <w:sz w:val="18"/>
        </w:rPr>
        <w:t>Source:</w:t>
      </w:r>
      <w:r>
        <w:rPr>
          <w:i/>
          <w:spacing w:val="-4"/>
          <w:sz w:val="18"/>
        </w:rPr>
        <w:t xml:space="preserve"> </w:t>
      </w:r>
      <w:r>
        <w:rPr>
          <w:i/>
          <w:spacing w:val="-2"/>
          <w:sz w:val="18"/>
        </w:rPr>
        <w:t>Guidehouse</w:t>
      </w:r>
    </w:p>
    <w:p w:rsidR="00C31389" w:rsidRDefault="00C31389" w14:paraId="6F25C42B" w14:textId="77777777">
      <w:pPr>
        <w:rPr>
          <w:sz w:val="18"/>
        </w:rPr>
        <w:sectPr w:rsidR="00C31389">
          <w:pgSz w:w="12240" w:h="15840"/>
          <w:pgMar w:top="1380" w:right="1240" w:bottom="1120" w:left="1220" w:header="397" w:footer="936" w:gutter="0"/>
          <w:cols w:space="720"/>
        </w:sectPr>
      </w:pPr>
    </w:p>
    <w:p w:rsidR="00C31389" w:rsidRDefault="00C31389" w14:paraId="16E39977" w14:textId="77777777">
      <w:pPr>
        <w:pStyle w:val="BodyText"/>
        <w:rPr>
          <w:i/>
        </w:rPr>
      </w:pPr>
    </w:p>
    <w:p w:rsidR="00C31389" w:rsidRDefault="00C31389" w14:paraId="240F0653" w14:textId="77777777">
      <w:pPr>
        <w:pStyle w:val="BodyText"/>
        <w:spacing w:before="10"/>
        <w:rPr>
          <w:i/>
          <w:sz w:val="13"/>
        </w:rPr>
      </w:pPr>
    </w:p>
    <w:p w:rsidR="00C31389" w:rsidRDefault="00561FBD" w14:paraId="6F72730B" w14:textId="77777777">
      <w:pPr>
        <w:pStyle w:val="Heading7"/>
        <w:spacing w:before="93"/>
        <w:ind w:left="1979" w:right="1960"/>
        <w:jc w:val="center"/>
      </w:pPr>
      <w:bookmarkStart w:name="_bookmark536" w:id="703"/>
      <w:bookmarkEnd w:id="703"/>
      <w:r>
        <w:t>Table</w:t>
      </w:r>
      <w:r>
        <w:rPr>
          <w:spacing w:val="-8"/>
        </w:rPr>
        <w:t xml:space="preserve"> </w:t>
      </w:r>
      <w:r>
        <w:t>J-10.</w:t>
      </w:r>
      <w:r>
        <w:rPr>
          <w:spacing w:val="-9"/>
        </w:rPr>
        <w:t xml:space="preserve"> </w:t>
      </w:r>
      <w:r>
        <w:t>SDG&amp;E</w:t>
      </w:r>
      <w:r>
        <w:rPr>
          <w:spacing w:val="-8"/>
        </w:rPr>
        <w:t xml:space="preserve"> </w:t>
      </w:r>
      <w:r>
        <w:t>Demand</w:t>
      </w:r>
      <w:r>
        <w:rPr>
          <w:spacing w:val="-7"/>
        </w:rPr>
        <w:t xml:space="preserve"> </w:t>
      </w:r>
      <w:r>
        <w:t>Savings</w:t>
      </w:r>
      <w:r>
        <w:rPr>
          <w:spacing w:val="-8"/>
        </w:rPr>
        <w:t xml:space="preserve"> </w:t>
      </w:r>
      <w:r>
        <w:rPr>
          <w:spacing w:val="-4"/>
        </w:rPr>
        <w:t>(MW)</w:t>
      </w:r>
    </w:p>
    <w:p w:rsidR="00C31389" w:rsidRDefault="00C31389" w14:paraId="14B4657C"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507"/>
        <w:gridCol w:w="861"/>
        <w:gridCol w:w="712"/>
        <w:gridCol w:w="644"/>
        <w:gridCol w:w="631"/>
        <w:gridCol w:w="631"/>
        <w:gridCol w:w="631"/>
        <w:gridCol w:w="631"/>
        <w:gridCol w:w="631"/>
        <w:gridCol w:w="631"/>
        <w:gridCol w:w="631"/>
        <w:gridCol w:w="631"/>
        <w:gridCol w:w="613"/>
      </w:tblGrid>
      <w:tr w:rsidR="00C31389" w14:paraId="7B1B8099" w14:textId="77777777">
        <w:trPr>
          <w:trHeight w:val="304"/>
        </w:trPr>
        <w:tc>
          <w:tcPr>
            <w:tcW w:w="1507" w:type="dxa"/>
            <w:shd w:val="clear" w:color="auto" w:fill="92D400"/>
          </w:tcPr>
          <w:p w:rsidR="00C31389" w:rsidRDefault="00561FBD" w14:paraId="67A5FC85" w14:textId="77777777">
            <w:pPr>
              <w:pStyle w:val="TableParagraph"/>
              <w:spacing w:before="41"/>
              <w:ind w:left="122"/>
              <w:rPr>
                <w:b/>
                <w:sz w:val="17"/>
              </w:rPr>
            </w:pPr>
            <w:r>
              <w:rPr>
                <w:b/>
                <w:spacing w:val="-4"/>
                <w:sz w:val="17"/>
              </w:rPr>
              <w:t>Year</w:t>
            </w:r>
          </w:p>
        </w:tc>
        <w:tc>
          <w:tcPr>
            <w:tcW w:w="861" w:type="dxa"/>
            <w:shd w:val="clear" w:color="auto" w:fill="92D400"/>
          </w:tcPr>
          <w:p w:rsidR="00C31389" w:rsidRDefault="00561FBD" w14:paraId="65D5562D" w14:textId="77777777">
            <w:pPr>
              <w:pStyle w:val="TableParagraph"/>
              <w:spacing w:before="41"/>
              <w:ind w:right="191"/>
              <w:jc w:val="right"/>
              <w:rPr>
                <w:b/>
                <w:sz w:val="17"/>
              </w:rPr>
            </w:pPr>
            <w:r>
              <w:rPr>
                <w:b/>
                <w:spacing w:val="-4"/>
                <w:sz w:val="17"/>
              </w:rPr>
              <w:t>2024</w:t>
            </w:r>
          </w:p>
        </w:tc>
        <w:tc>
          <w:tcPr>
            <w:tcW w:w="712" w:type="dxa"/>
            <w:shd w:val="clear" w:color="auto" w:fill="92D400"/>
          </w:tcPr>
          <w:p w:rsidR="00C31389" w:rsidRDefault="00561FBD" w14:paraId="4457F0B6"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7CBA5353" w14:textId="77777777">
            <w:pPr>
              <w:pStyle w:val="TableParagraph"/>
              <w:spacing w:before="41"/>
              <w:ind w:right="124"/>
              <w:jc w:val="right"/>
              <w:rPr>
                <w:b/>
                <w:sz w:val="17"/>
              </w:rPr>
            </w:pPr>
            <w:r>
              <w:rPr>
                <w:b/>
                <w:spacing w:val="-4"/>
                <w:sz w:val="17"/>
              </w:rPr>
              <w:t>2026</w:t>
            </w:r>
          </w:p>
        </w:tc>
        <w:tc>
          <w:tcPr>
            <w:tcW w:w="631" w:type="dxa"/>
            <w:shd w:val="clear" w:color="auto" w:fill="92D400"/>
          </w:tcPr>
          <w:p w:rsidR="00C31389" w:rsidRDefault="00561FBD" w14:paraId="131B95DC" w14:textId="77777777">
            <w:pPr>
              <w:pStyle w:val="TableParagraph"/>
              <w:spacing w:before="41"/>
              <w:ind w:right="125"/>
              <w:jc w:val="right"/>
              <w:rPr>
                <w:b/>
                <w:sz w:val="17"/>
              </w:rPr>
            </w:pPr>
            <w:r>
              <w:rPr>
                <w:b/>
                <w:spacing w:val="-4"/>
                <w:sz w:val="17"/>
              </w:rPr>
              <w:t>2027</w:t>
            </w:r>
          </w:p>
        </w:tc>
        <w:tc>
          <w:tcPr>
            <w:tcW w:w="631" w:type="dxa"/>
            <w:shd w:val="clear" w:color="auto" w:fill="92D400"/>
          </w:tcPr>
          <w:p w:rsidR="00C31389" w:rsidRDefault="00561FBD" w14:paraId="2450D265" w14:textId="77777777">
            <w:pPr>
              <w:pStyle w:val="TableParagraph"/>
              <w:spacing w:before="41"/>
              <w:ind w:right="126"/>
              <w:jc w:val="right"/>
              <w:rPr>
                <w:b/>
                <w:sz w:val="17"/>
              </w:rPr>
            </w:pPr>
            <w:r>
              <w:rPr>
                <w:b/>
                <w:spacing w:val="-4"/>
                <w:sz w:val="17"/>
              </w:rPr>
              <w:t>2028</w:t>
            </w:r>
          </w:p>
        </w:tc>
        <w:tc>
          <w:tcPr>
            <w:tcW w:w="631" w:type="dxa"/>
            <w:shd w:val="clear" w:color="auto" w:fill="92D400"/>
          </w:tcPr>
          <w:p w:rsidR="00C31389" w:rsidRDefault="00561FBD" w14:paraId="4BA42C61" w14:textId="77777777">
            <w:pPr>
              <w:pStyle w:val="TableParagraph"/>
              <w:spacing w:before="41"/>
              <w:ind w:left="106" w:right="111"/>
              <w:jc w:val="center"/>
              <w:rPr>
                <w:b/>
                <w:sz w:val="17"/>
              </w:rPr>
            </w:pPr>
            <w:r>
              <w:rPr>
                <w:b/>
                <w:spacing w:val="-4"/>
                <w:sz w:val="17"/>
              </w:rPr>
              <w:t>2029</w:t>
            </w:r>
          </w:p>
        </w:tc>
        <w:tc>
          <w:tcPr>
            <w:tcW w:w="631" w:type="dxa"/>
            <w:shd w:val="clear" w:color="auto" w:fill="92D400"/>
          </w:tcPr>
          <w:p w:rsidR="00C31389" w:rsidRDefault="00561FBD" w14:paraId="74476E36" w14:textId="77777777">
            <w:pPr>
              <w:pStyle w:val="TableParagraph"/>
              <w:spacing w:before="41"/>
              <w:ind w:left="106" w:right="113"/>
              <w:jc w:val="center"/>
              <w:rPr>
                <w:b/>
                <w:sz w:val="17"/>
              </w:rPr>
            </w:pPr>
            <w:r>
              <w:rPr>
                <w:b/>
                <w:spacing w:val="-4"/>
                <w:sz w:val="17"/>
              </w:rPr>
              <w:t>2030</w:t>
            </w:r>
          </w:p>
        </w:tc>
        <w:tc>
          <w:tcPr>
            <w:tcW w:w="631" w:type="dxa"/>
            <w:shd w:val="clear" w:color="auto" w:fill="92D400"/>
          </w:tcPr>
          <w:p w:rsidR="00C31389" w:rsidRDefault="00561FBD" w14:paraId="735BF9D0" w14:textId="77777777">
            <w:pPr>
              <w:pStyle w:val="TableParagraph"/>
              <w:spacing w:before="41"/>
              <w:ind w:right="129"/>
              <w:jc w:val="right"/>
              <w:rPr>
                <w:b/>
                <w:sz w:val="17"/>
              </w:rPr>
            </w:pPr>
            <w:r>
              <w:rPr>
                <w:b/>
                <w:spacing w:val="-4"/>
                <w:sz w:val="17"/>
              </w:rPr>
              <w:t>2031</w:t>
            </w:r>
          </w:p>
        </w:tc>
        <w:tc>
          <w:tcPr>
            <w:tcW w:w="631" w:type="dxa"/>
            <w:shd w:val="clear" w:color="auto" w:fill="92D400"/>
          </w:tcPr>
          <w:p w:rsidR="00C31389" w:rsidRDefault="00561FBD" w14:paraId="2A8B857E" w14:textId="77777777">
            <w:pPr>
              <w:pStyle w:val="TableParagraph"/>
              <w:spacing w:before="41"/>
              <w:ind w:right="130"/>
              <w:jc w:val="right"/>
              <w:rPr>
                <w:b/>
                <w:sz w:val="17"/>
              </w:rPr>
            </w:pPr>
            <w:r>
              <w:rPr>
                <w:b/>
                <w:spacing w:val="-4"/>
                <w:sz w:val="17"/>
              </w:rPr>
              <w:t>2032</w:t>
            </w:r>
          </w:p>
        </w:tc>
        <w:tc>
          <w:tcPr>
            <w:tcW w:w="631" w:type="dxa"/>
            <w:shd w:val="clear" w:color="auto" w:fill="92D400"/>
          </w:tcPr>
          <w:p w:rsidR="00C31389" w:rsidRDefault="00561FBD" w14:paraId="458D0006" w14:textId="77777777">
            <w:pPr>
              <w:pStyle w:val="TableParagraph"/>
              <w:spacing w:before="41"/>
              <w:ind w:left="103" w:right="116"/>
              <w:jc w:val="center"/>
              <w:rPr>
                <w:b/>
                <w:sz w:val="17"/>
              </w:rPr>
            </w:pPr>
            <w:r>
              <w:rPr>
                <w:b/>
                <w:spacing w:val="-4"/>
                <w:sz w:val="17"/>
              </w:rPr>
              <w:t>2033</w:t>
            </w:r>
          </w:p>
        </w:tc>
        <w:tc>
          <w:tcPr>
            <w:tcW w:w="631" w:type="dxa"/>
            <w:shd w:val="clear" w:color="auto" w:fill="92D400"/>
          </w:tcPr>
          <w:p w:rsidR="00C31389" w:rsidRDefault="00561FBD" w14:paraId="4D46CA6F" w14:textId="77777777">
            <w:pPr>
              <w:pStyle w:val="TableParagraph"/>
              <w:spacing w:before="41"/>
              <w:ind w:right="132"/>
              <w:jc w:val="right"/>
              <w:rPr>
                <w:b/>
                <w:sz w:val="17"/>
              </w:rPr>
            </w:pPr>
            <w:r>
              <w:rPr>
                <w:b/>
                <w:spacing w:val="-4"/>
                <w:sz w:val="17"/>
              </w:rPr>
              <w:t>2034</w:t>
            </w:r>
          </w:p>
        </w:tc>
        <w:tc>
          <w:tcPr>
            <w:tcW w:w="613" w:type="dxa"/>
            <w:shd w:val="clear" w:color="auto" w:fill="92D400"/>
          </w:tcPr>
          <w:p w:rsidR="00C31389" w:rsidRDefault="00561FBD" w14:paraId="2FD0DF83" w14:textId="77777777">
            <w:pPr>
              <w:pStyle w:val="TableParagraph"/>
              <w:spacing w:before="41"/>
              <w:ind w:right="115"/>
              <w:jc w:val="right"/>
              <w:rPr>
                <w:b/>
                <w:sz w:val="17"/>
              </w:rPr>
            </w:pPr>
            <w:r>
              <w:rPr>
                <w:b/>
                <w:spacing w:val="-4"/>
                <w:sz w:val="17"/>
              </w:rPr>
              <w:t>2035</w:t>
            </w:r>
          </w:p>
        </w:tc>
      </w:tr>
      <w:tr w:rsidR="00C31389" w14:paraId="42CE0625" w14:textId="77777777">
        <w:trPr>
          <w:trHeight w:val="275"/>
        </w:trPr>
        <w:tc>
          <w:tcPr>
            <w:tcW w:w="9385" w:type="dxa"/>
            <w:gridSpan w:val="13"/>
            <w:tcBorders>
              <w:bottom w:val="single" w:color="DCDDDE" w:sz="4" w:space="0"/>
            </w:tcBorders>
            <w:shd w:val="clear" w:color="auto" w:fill="BEBEBE"/>
          </w:tcPr>
          <w:p w:rsidR="00C31389" w:rsidRDefault="00561FBD" w14:paraId="69216FE1"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2FEAEA4B" w14:textId="77777777">
        <w:trPr>
          <w:trHeight w:val="275"/>
        </w:trPr>
        <w:tc>
          <w:tcPr>
            <w:tcW w:w="1507" w:type="dxa"/>
            <w:tcBorders>
              <w:top w:val="single" w:color="DCDDDE" w:sz="4" w:space="0"/>
              <w:bottom w:val="single" w:color="DCDDDE" w:sz="4" w:space="0"/>
            </w:tcBorders>
          </w:tcPr>
          <w:p w:rsidR="00C31389" w:rsidRDefault="00561FBD" w14:paraId="74CE997F"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34E39818" w14:textId="77777777">
            <w:pPr>
              <w:pStyle w:val="TableParagraph"/>
              <w:ind w:right="192"/>
              <w:jc w:val="right"/>
              <w:rPr>
                <w:sz w:val="17"/>
              </w:rPr>
            </w:pPr>
            <w:r>
              <w:rPr>
                <w:spacing w:val="-5"/>
                <w:sz w:val="17"/>
              </w:rPr>
              <w:t>3.7</w:t>
            </w:r>
          </w:p>
        </w:tc>
        <w:tc>
          <w:tcPr>
            <w:tcW w:w="712" w:type="dxa"/>
            <w:tcBorders>
              <w:top w:val="single" w:color="DCDDDE" w:sz="4" w:space="0"/>
              <w:bottom w:val="single" w:color="DCDDDE" w:sz="4" w:space="0"/>
            </w:tcBorders>
          </w:tcPr>
          <w:p w:rsidR="00C31389" w:rsidRDefault="00561FBD" w14:paraId="1A4EAD68" w14:textId="77777777">
            <w:pPr>
              <w:pStyle w:val="TableParagraph"/>
              <w:ind w:right="138"/>
              <w:jc w:val="right"/>
              <w:rPr>
                <w:sz w:val="17"/>
              </w:rPr>
            </w:pPr>
            <w:r>
              <w:rPr>
                <w:spacing w:val="-5"/>
                <w:sz w:val="17"/>
              </w:rPr>
              <w:t>3.5</w:t>
            </w:r>
          </w:p>
        </w:tc>
        <w:tc>
          <w:tcPr>
            <w:tcW w:w="644" w:type="dxa"/>
            <w:tcBorders>
              <w:top w:val="single" w:color="DCDDDE" w:sz="4" w:space="0"/>
              <w:bottom w:val="single" w:color="DCDDDE" w:sz="4" w:space="0"/>
            </w:tcBorders>
          </w:tcPr>
          <w:p w:rsidR="00C31389" w:rsidRDefault="00561FBD" w14:paraId="575F3CB5" w14:textId="77777777">
            <w:pPr>
              <w:pStyle w:val="TableParagraph"/>
              <w:ind w:right="125"/>
              <w:jc w:val="right"/>
              <w:rPr>
                <w:sz w:val="17"/>
              </w:rPr>
            </w:pPr>
            <w:r>
              <w:rPr>
                <w:spacing w:val="-5"/>
                <w:sz w:val="17"/>
              </w:rPr>
              <w:t>3.2</w:t>
            </w:r>
          </w:p>
        </w:tc>
        <w:tc>
          <w:tcPr>
            <w:tcW w:w="631" w:type="dxa"/>
            <w:tcBorders>
              <w:top w:val="single" w:color="DCDDDE" w:sz="4" w:space="0"/>
              <w:bottom w:val="single" w:color="DCDDDE" w:sz="4" w:space="0"/>
            </w:tcBorders>
          </w:tcPr>
          <w:p w:rsidR="00C31389" w:rsidRDefault="00561FBD" w14:paraId="7BA8C1FE" w14:textId="77777777">
            <w:pPr>
              <w:pStyle w:val="TableParagraph"/>
              <w:ind w:right="126"/>
              <w:jc w:val="right"/>
              <w:rPr>
                <w:sz w:val="17"/>
              </w:rPr>
            </w:pPr>
            <w:r>
              <w:rPr>
                <w:spacing w:val="-5"/>
                <w:sz w:val="17"/>
              </w:rPr>
              <w:t>2.9</w:t>
            </w:r>
          </w:p>
        </w:tc>
        <w:tc>
          <w:tcPr>
            <w:tcW w:w="631" w:type="dxa"/>
            <w:tcBorders>
              <w:top w:val="single" w:color="DCDDDE" w:sz="4" w:space="0"/>
              <w:bottom w:val="single" w:color="DCDDDE" w:sz="4" w:space="0"/>
            </w:tcBorders>
          </w:tcPr>
          <w:p w:rsidR="00C31389" w:rsidRDefault="00561FBD" w14:paraId="1427301A" w14:textId="77777777">
            <w:pPr>
              <w:pStyle w:val="TableParagraph"/>
              <w:ind w:right="127"/>
              <w:jc w:val="right"/>
              <w:rPr>
                <w:sz w:val="17"/>
              </w:rPr>
            </w:pPr>
            <w:r>
              <w:rPr>
                <w:spacing w:val="-5"/>
                <w:sz w:val="17"/>
              </w:rPr>
              <w:t>2.7</w:t>
            </w:r>
          </w:p>
        </w:tc>
        <w:tc>
          <w:tcPr>
            <w:tcW w:w="631" w:type="dxa"/>
            <w:tcBorders>
              <w:top w:val="single" w:color="DCDDDE" w:sz="4" w:space="0"/>
              <w:bottom w:val="single" w:color="DCDDDE" w:sz="4" w:space="0"/>
            </w:tcBorders>
          </w:tcPr>
          <w:p w:rsidR="00C31389" w:rsidRDefault="00561FBD" w14:paraId="3E6D0E9E" w14:textId="77777777">
            <w:pPr>
              <w:pStyle w:val="TableParagraph"/>
              <w:ind w:left="248" w:right="115"/>
              <w:jc w:val="center"/>
              <w:rPr>
                <w:sz w:val="17"/>
              </w:rPr>
            </w:pPr>
            <w:r>
              <w:rPr>
                <w:spacing w:val="-5"/>
                <w:sz w:val="17"/>
              </w:rPr>
              <w:t>2.4</w:t>
            </w:r>
          </w:p>
        </w:tc>
        <w:tc>
          <w:tcPr>
            <w:tcW w:w="631" w:type="dxa"/>
            <w:tcBorders>
              <w:top w:val="single" w:color="DCDDDE" w:sz="4" w:space="0"/>
              <w:bottom w:val="single" w:color="DCDDDE" w:sz="4" w:space="0"/>
            </w:tcBorders>
          </w:tcPr>
          <w:p w:rsidR="00C31389" w:rsidRDefault="00561FBD" w14:paraId="78D68D93" w14:textId="77777777">
            <w:pPr>
              <w:pStyle w:val="TableParagraph"/>
              <w:ind w:left="245" w:right="114"/>
              <w:jc w:val="center"/>
              <w:rPr>
                <w:sz w:val="17"/>
              </w:rPr>
            </w:pPr>
            <w:r>
              <w:rPr>
                <w:spacing w:val="-5"/>
                <w:sz w:val="17"/>
              </w:rPr>
              <w:t>2.2</w:t>
            </w:r>
          </w:p>
        </w:tc>
        <w:tc>
          <w:tcPr>
            <w:tcW w:w="631" w:type="dxa"/>
            <w:tcBorders>
              <w:top w:val="single" w:color="DCDDDE" w:sz="4" w:space="0"/>
              <w:bottom w:val="single" w:color="DCDDDE" w:sz="4" w:space="0"/>
            </w:tcBorders>
          </w:tcPr>
          <w:p w:rsidR="00C31389" w:rsidRDefault="00561FBD" w14:paraId="5A0239DC" w14:textId="77777777">
            <w:pPr>
              <w:pStyle w:val="TableParagraph"/>
              <w:ind w:right="130"/>
              <w:jc w:val="right"/>
              <w:rPr>
                <w:sz w:val="17"/>
              </w:rPr>
            </w:pPr>
            <w:r>
              <w:rPr>
                <w:spacing w:val="-5"/>
                <w:sz w:val="17"/>
              </w:rPr>
              <w:t>2.1</w:t>
            </w:r>
          </w:p>
        </w:tc>
        <w:tc>
          <w:tcPr>
            <w:tcW w:w="631" w:type="dxa"/>
            <w:tcBorders>
              <w:top w:val="single" w:color="DCDDDE" w:sz="4" w:space="0"/>
              <w:bottom w:val="single" w:color="DCDDDE" w:sz="4" w:space="0"/>
            </w:tcBorders>
          </w:tcPr>
          <w:p w:rsidR="00C31389" w:rsidRDefault="00561FBD" w14:paraId="227297B2" w14:textId="77777777">
            <w:pPr>
              <w:pStyle w:val="TableParagraph"/>
              <w:ind w:right="131"/>
              <w:jc w:val="right"/>
              <w:rPr>
                <w:sz w:val="17"/>
              </w:rPr>
            </w:pPr>
            <w:r>
              <w:rPr>
                <w:spacing w:val="-5"/>
                <w:sz w:val="17"/>
              </w:rPr>
              <w:t>2.1</w:t>
            </w:r>
          </w:p>
        </w:tc>
        <w:tc>
          <w:tcPr>
            <w:tcW w:w="631" w:type="dxa"/>
            <w:tcBorders>
              <w:top w:val="single" w:color="DCDDDE" w:sz="4" w:space="0"/>
              <w:bottom w:val="single" w:color="DCDDDE" w:sz="4" w:space="0"/>
            </w:tcBorders>
          </w:tcPr>
          <w:p w:rsidR="00C31389" w:rsidRDefault="00561FBD" w14:paraId="21325B49" w14:textId="77777777">
            <w:pPr>
              <w:pStyle w:val="TableParagraph"/>
              <w:ind w:left="241" w:right="116"/>
              <w:jc w:val="center"/>
              <w:rPr>
                <w:sz w:val="17"/>
              </w:rPr>
            </w:pPr>
            <w:r>
              <w:rPr>
                <w:spacing w:val="-5"/>
                <w:sz w:val="17"/>
              </w:rPr>
              <w:t>2.2</w:t>
            </w:r>
          </w:p>
        </w:tc>
        <w:tc>
          <w:tcPr>
            <w:tcW w:w="631" w:type="dxa"/>
            <w:tcBorders>
              <w:top w:val="single" w:color="DCDDDE" w:sz="4" w:space="0"/>
              <w:bottom w:val="single" w:color="DCDDDE" w:sz="4" w:space="0"/>
            </w:tcBorders>
          </w:tcPr>
          <w:p w:rsidR="00C31389" w:rsidRDefault="00561FBD" w14:paraId="23E4CE45" w14:textId="77777777">
            <w:pPr>
              <w:pStyle w:val="TableParagraph"/>
              <w:ind w:right="133"/>
              <w:jc w:val="right"/>
              <w:rPr>
                <w:sz w:val="17"/>
              </w:rPr>
            </w:pPr>
            <w:r>
              <w:rPr>
                <w:spacing w:val="-5"/>
                <w:sz w:val="17"/>
              </w:rPr>
              <w:t>2.2</w:t>
            </w:r>
          </w:p>
        </w:tc>
        <w:tc>
          <w:tcPr>
            <w:tcW w:w="613" w:type="dxa"/>
            <w:tcBorders>
              <w:top w:val="single" w:color="DCDDDE" w:sz="4" w:space="0"/>
              <w:bottom w:val="single" w:color="DCDDDE" w:sz="4" w:space="0"/>
            </w:tcBorders>
          </w:tcPr>
          <w:p w:rsidR="00C31389" w:rsidRDefault="00561FBD" w14:paraId="1BCA033D" w14:textId="77777777">
            <w:pPr>
              <w:pStyle w:val="TableParagraph"/>
              <w:ind w:right="116"/>
              <w:jc w:val="right"/>
              <w:rPr>
                <w:sz w:val="17"/>
              </w:rPr>
            </w:pPr>
            <w:r>
              <w:rPr>
                <w:spacing w:val="-5"/>
                <w:sz w:val="17"/>
              </w:rPr>
              <w:t>2.2</w:t>
            </w:r>
          </w:p>
        </w:tc>
      </w:tr>
      <w:tr w:rsidR="00C31389" w14:paraId="468A1F0B" w14:textId="77777777">
        <w:trPr>
          <w:trHeight w:val="275"/>
        </w:trPr>
        <w:tc>
          <w:tcPr>
            <w:tcW w:w="1507" w:type="dxa"/>
            <w:tcBorders>
              <w:top w:val="single" w:color="DCDDDE" w:sz="4" w:space="0"/>
              <w:bottom w:val="single" w:color="DCDDDE" w:sz="4" w:space="0"/>
            </w:tcBorders>
          </w:tcPr>
          <w:p w:rsidR="00C31389" w:rsidRDefault="00561FBD" w14:paraId="622AFC63"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26214433" w14:textId="77777777">
            <w:pPr>
              <w:pStyle w:val="TableParagraph"/>
              <w:ind w:right="192"/>
              <w:jc w:val="right"/>
              <w:rPr>
                <w:sz w:val="17"/>
              </w:rPr>
            </w:pPr>
            <w:r>
              <w:rPr>
                <w:spacing w:val="-2"/>
                <w:sz w:val="17"/>
              </w:rPr>
              <w:t>-</w:t>
            </w:r>
            <w:r>
              <w:rPr>
                <w:spacing w:val="-5"/>
                <w:sz w:val="17"/>
              </w:rPr>
              <w:t>0.0</w:t>
            </w:r>
          </w:p>
        </w:tc>
        <w:tc>
          <w:tcPr>
            <w:tcW w:w="712" w:type="dxa"/>
            <w:tcBorders>
              <w:top w:val="single" w:color="DCDDDE" w:sz="4" w:space="0"/>
              <w:bottom w:val="single" w:color="DCDDDE" w:sz="4" w:space="0"/>
            </w:tcBorders>
          </w:tcPr>
          <w:p w:rsidR="00C31389" w:rsidRDefault="00561FBD" w14:paraId="65421105" w14:textId="77777777">
            <w:pPr>
              <w:pStyle w:val="TableParagraph"/>
              <w:ind w:right="138"/>
              <w:jc w:val="right"/>
              <w:rPr>
                <w:sz w:val="17"/>
              </w:rPr>
            </w:pPr>
            <w:r>
              <w:rPr>
                <w:spacing w:val="-2"/>
                <w:sz w:val="17"/>
              </w:rPr>
              <w:t>-</w:t>
            </w:r>
            <w:r>
              <w:rPr>
                <w:spacing w:val="-5"/>
                <w:sz w:val="17"/>
              </w:rPr>
              <w:t>0.0</w:t>
            </w:r>
          </w:p>
        </w:tc>
        <w:tc>
          <w:tcPr>
            <w:tcW w:w="644" w:type="dxa"/>
            <w:tcBorders>
              <w:top w:val="single" w:color="DCDDDE" w:sz="4" w:space="0"/>
              <w:bottom w:val="single" w:color="DCDDDE" w:sz="4" w:space="0"/>
            </w:tcBorders>
          </w:tcPr>
          <w:p w:rsidR="00C31389" w:rsidRDefault="00561FBD" w14:paraId="3293EB5F" w14:textId="77777777">
            <w:pPr>
              <w:pStyle w:val="TableParagraph"/>
              <w:ind w:right="125"/>
              <w:jc w:val="right"/>
              <w:rPr>
                <w:sz w:val="17"/>
              </w:rPr>
            </w:pPr>
            <w:r>
              <w:rPr>
                <w:spacing w:val="-2"/>
                <w:sz w:val="17"/>
              </w:rPr>
              <w:t>-</w:t>
            </w:r>
            <w:r>
              <w:rPr>
                <w:spacing w:val="-5"/>
                <w:sz w:val="17"/>
              </w:rPr>
              <w:t>0.1</w:t>
            </w:r>
          </w:p>
        </w:tc>
        <w:tc>
          <w:tcPr>
            <w:tcW w:w="631" w:type="dxa"/>
            <w:tcBorders>
              <w:top w:val="single" w:color="DCDDDE" w:sz="4" w:space="0"/>
              <w:bottom w:val="single" w:color="DCDDDE" w:sz="4" w:space="0"/>
            </w:tcBorders>
          </w:tcPr>
          <w:p w:rsidR="00C31389" w:rsidRDefault="00561FBD" w14:paraId="6FB96D55" w14:textId="77777777">
            <w:pPr>
              <w:pStyle w:val="TableParagraph"/>
              <w:ind w:right="126"/>
              <w:jc w:val="right"/>
              <w:rPr>
                <w:sz w:val="17"/>
              </w:rPr>
            </w:pPr>
            <w:r>
              <w:rPr>
                <w:spacing w:val="-2"/>
                <w:sz w:val="17"/>
              </w:rPr>
              <w:t>-</w:t>
            </w:r>
            <w:r>
              <w:rPr>
                <w:spacing w:val="-5"/>
                <w:sz w:val="17"/>
              </w:rPr>
              <w:t>0.1</w:t>
            </w:r>
          </w:p>
        </w:tc>
        <w:tc>
          <w:tcPr>
            <w:tcW w:w="631" w:type="dxa"/>
            <w:tcBorders>
              <w:top w:val="single" w:color="DCDDDE" w:sz="4" w:space="0"/>
              <w:bottom w:val="single" w:color="DCDDDE" w:sz="4" w:space="0"/>
            </w:tcBorders>
          </w:tcPr>
          <w:p w:rsidR="00C31389" w:rsidRDefault="00561FBD" w14:paraId="37A43D35" w14:textId="77777777">
            <w:pPr>
              <w:pStyle w:val="TableParagraph"/>
              <w:ind w:right="127"/>
              <w:jc w:val="right"/>
              <w:rPr>
                <w:sz w:val="17"/>
              </w:rPr>
            </w:pPr>
            <w:r>
              <w:rPr>
                <w:spacing w:val="-2"/>
                <w:sz w:val="17"/>
              </w:rPr>
              <w:t>-</w:t>
            </w:r>
            <w:r>
              <w:rPr>
                <w:spacing w:val="-5"/>
                <w:sz w:val="17"/>
              </w:rPr>
              <w:t>0.2</w:t>
            </w:r>
          </w:p>
        </w:tc>
        <w:tc>
          <w:tcPr>
            <w:tcW w:w="631" w:type="dxa"/>
            <w:tcBorders>
              <w:top w:val="single" w:color="DCDDDE" w:sz="4" w:space="0"/>
              <w:bottom w:val="single" w:color="DCDDDE" w:sz="4" w:space="0"/>
            </w:tcBorders>
          </w:tcPr>
          <w:p w:rsidR="00C31389" w:rsidRDefault="00561FBD" w14:paraId="32CCE050" w14:textId="77777777">
            <w:pPr>
              <w:pStyle w:val="TableParagraph"/>
              <w:ind w:left="106" w:right="30"/>
              <w:jc w:val="center"/>
              <w:rPr>
                <w:sz w:val="17"/>
              </w:rPr>
            </w:pPr>
            <w:r>
              <w:rPr>
                <w:spacing w:val="-2"/>
                <w:sz w:val="17"/>
              </w:rPr>
              <w:t>-</w:t>
            </w:r>
            <w:r>
              <w:rPr>
                <w:spacing w:val="-5"/>
                <w:sz w:val="17"/>
              </w:rPr>
              <w:t>0.2</w:t>
            </w:r>
          </w:p>
        </w:tc>
        <w:tc>
          <w:tcPr>
            <w:tcW w:w="631" w:type="dxa"/>
            <w:tcBorders>
              <w:top w:val="single" w:color="DCDDDE" w:sz="4" w:space="0"/>
              <w:bottom w:val="single" w:color="DCDDDE" w:sz="4" w:space="0"/>
            </w:tcBorders>
          </w:tcPr>
          <w:p w:rsidR="00C31389" w:rsidRDefault="00561FBD" w14:paraId="78C63088" w14:textId="77777777">
            <w:pPr>
              <w:pStyle w:val="TableParagraph"/>
              <w:ind w:left="245" w:right="114"/>
              <w:jc w:val="center"/>
              <w:rPr>
                <w:sz w:val="17"/>
              </w:rPr>
            </w:pPr>
            <w:r>
              <w:rPr>
                <w:spacing w:val="-5"/>
                <w:sz w:val="17"/>
              </w:rPr>
              <w:t>0.7</w:t>
            </w:r>
          </w:p>
        </w:tc>
        <w:tc>
          <w:tcPr>
            <w:tcW w:w="631" w:type="dxa"/>
            <w:tcBorders>
              <w:top w:val="single" w:color="DCDDDE" w:sz="4" w:space="0"/>
              <w:bottom w:val="single" w:color="DCDDDE" w:sz="4" w:space="0"/>
            </w:tcBorders>
          </w:tcPr>
          <w:p w:rsidR="00C31389" w:rsidRDefault="00561FBD" w14:paraId="6640B895" w14:textId="77777777">
            <w:pPr>
              <w:pStyle w:val="TableParagraph"/>
              <w:ind w:right="130"/>
              <w:jc w:val="right"/>
              <w:rPr>
                <w:sz w:val="17"/>
              </w:rPr>
            </w:pPr>
            <w:r>
              <w:rPr>
                <w:spacing w:val="-5"/>
                <w:sz w:val="17"/>
              </w:rPr>
              <w:t>0.9</w:t>
            </w:r>
          </w:p>
        </w:tc>
        <w:tc>
          <w:tcPr>
            <w:tcW w:w="631" w:type="dxa"/>
            <w:tcBorders>
              <w:top w:val="single" w:color="DCDDDE" w:sz="4" w:space="0"/>
              <w:bottom w:val="single" w:color="DCDDDE" w:sz="4" w:space="0"/>
            </w:tcBorders>
          </w:tcPr>
          <w:p w:rsidR="00C31389" w:rsidRDefault="00561FBD" w14:paraId="5BF60A9D" w14:textId="77777777">
            <w:pPr>
              <w:pStyle w:val="TableParagraph"/>
              <w:ind w:right="131"/>
              <w:jc w:val="right"/>
              <w:rPr>
                <w:sz w:val="17"/>
              </w:rPr>
            </w:pPr>
            <w:r>
              <w:rPr>
                <w:spacing w:val="-5"/>
                <w:sz w:val="17"/>
              </w:rPr>
              <w:t>1.0</w:t>
            </w:r>
          </w:p>
        </w:tc>
        <w:tc>
          <w:tcPr>
            <w:tcW w:w="631" w:type="dxa"/>
            <w:tcBorders>
              <w:top w:val="single" w:color="DCDDDE" w:sz="4" w:space="0"/>
              <w:bottom w:val="single" w:color="DCDDDE" w:sz="4" w:space="0"/>
            </w:tcBorders>
          </w:tcPr>
          <w:p w:rsidR="00C31389" w:rsidRDefault="00561FBD" w14:paraId="090204C0" w14:textId="77777777">
            <w:pPr>
              <w:pStyle w:val="TableParagraph"/>
              <w:ind w:left="241" w:right="116"/>
              <w:jc w:val="center"/>
              <w:rPr>
                <w:sz w:val="17"/>
              </w:rPr>
            </w:pPr>
            <w:r>
              <w:rPr>
                <w:spacing w:val="-5"/>
                <w:sz w:val="17"/>
              </w:rPr>
              <w:t>1.2</w:t>
            </w:r>
          </w:p>
        </w:tc>
        <w:tc>
          <w:tcPr>
            <w:tcW w:w="631" w:type="dxa"/>
            <w:tcBorders>
              <w:top w:val="single" w:color="DCDDDE" w:sz="4" w:space="0"/>
              <w:bottom w:val="single" w:color="DCDDDE" w:sz="4" w:space="0"/>
            </w:tcBorders>
          </w:tcPr>
          <w:p w:rsidR="00C31389" w:rsidRDefault="00561FBD" w14:paraId="2D7CF9D1" w14:textId="77777777">
            <w:pPr>
              <w:pStyle w:val="TableParagraph"/>
              <w:ind w:right="133"/>
              <w:jc w:val="right"/>
              <w:rPr>
                <w:sz w:val="17"/>
              </w:rPr>
            </w:pPr>
            <w:r>
              <w:rPr>
                <w:spacing w:val="-5"/>
                <w:sz w:val="17"/>
              </w:rPr>
              <w:t>1.3</w:t>
            </w:r>
          </w:p>
        </w:tc>
        <w:tc>
          <w:tcPr>
            <w:tcW w:w="613" w:type="dxa"/>
            <w:tcBorders>
              <w:top w:val="single" w:color="DCDDDE" w:sz="4" w:space="0"/>
              <w:bottom w:val="single" w:color="DCDDDE" w:sz="4" w:space="0"/>
            </w:tcBorders>
          </w:tcPr>
          <w:p w:rsidR="00C31389" w:rsidRDefault="00561FBD" w14:paraId="2E888604" w14:textId="77777777">
            <w:pPr>
              <w:pStyle w:val="TableParagraph"/>
              <w:ind w:right="116"/>
              <w:jc w:val="right"/>
              <w:rPr>
                <w:sz w:val="17"/>
              </w:rPr>
            </w:pPr>
            <w:r>
              <w:rPr>
                <w:spacing w:val="-5"/>
                <w:sz w:val="17"/>
              </w:rPr>
              <w:t>1.4</w:t>
            </w:r>
          </w:p>
        </w:tc>
      </w:tr>
      <w:tr w:rsidR="00C31389" w14:paraId="7B09C4B1" w14:textId="77777777">
        <w:trPr>
          <w:trHeight w:val="275"/>
        </w:trPr>
        <w:tc>
          <w:tcPr>
            <w:tcW w:w="1507" w:type="dxa"/>
            <w:tcBorders>
              <w:top w:val="single" w:color="DCDDDE" w:sz="4" w:space="0"/>
              <w:bottom w:val="single" w:color="DCDDDE" w:sz="4" w:space="0"/>
            </w:tcBorders>
          </w:tcPr>
          <w:p w:rsidR="00C31389" w:rsidRDefault="00561FBD" w14:paraId="3BD5CFCC"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1491A70B" w14:textId="77777777">
            <w:pPr>
              <w:pStyle w:val="TableParagraph"/>
              <w:ind w:right="192"/>
              <w:jc w:val="right"/>
              <w:rPr>
                <w:sz w:val="17"/>
              </w:rPr>
            </w:pPr>
            <w:r>
              <w:rPr>
                <w:spacing w:val="-4"/>
                <w:sz w:val="17"/>
              </w:rPr>
              <w:t>11.9</w:t>
            </w:r>
          </w:p>
        </w:tc>
        <w:tc>
          <w:tcPr>
            <w:tcW w:w="712" w:type="dxa"/>
            <w:tcBorders>
              <w:top w:val="single" w:color="DCDDDE" w:sz="4" w:space="0"/>
              <w:bottom w:val="single" w:color="DCDDDE" w:sz="4" w:space="0"/>
            </w:tcBorders>
          </w:tcPr>
          <w:p w:rsidR="00C31389" w:rsidRDefault="00561FBD" w14:paraId="32C213FC" w14:textId="77777777">
            <w:pPr>
              <w:pStyle w:val="TableParagraph"/>
              <w:ind w:right="138"/>
              <w:jc w:val="right"/>
              <w:rPr>
                <w:sz w:val="17"/>
              </w:rPr>
            </w:pPr>
            <w:r>
              <w:rPr>
                <w:spacing w:val="-4"/>
                <w:sz w:val="17"/>
              </w:rPr>
              <w:t>12.3</w:t>
            </w:r>
          </w:p>
        </w:tc>
        <w:tc>
          <w:tcPr>
            <w:tcW w:w="644" w:type="dxa"/>
            <w:tcBorders>
              <w:top w:val="single" w:color="DCDDDE" w:sz="4" w:space="0"/>
              <w:bottom w:val="single" w:color="DCDDDE" w:sz="4" w:space="0"/>
            </w:tcBorders>
          </w:tcPr>
          <w:p w:rsidR="00C31389" w:rsidRDefault="00561FBD" w14:paraId="5A856CDB" w14:textId="77777777">
            <w:pPr>
              <w:pStyle w:val="TableParagraph"/>
              <w:ind w:right="125"/>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4BAE043F" w14:textId="77777777">
            <w:pPr>
              <w:pStyle w:val="TableParagraph"/>
              <w:ind w:right="126"/>
              <w:jc w:val="right"/>
              <w:rPr>
                <w:sz w:val="17"/>
              </w:rPr>
            </w:pPr>
            <w:r>
              <w:rPr>
                <w:spacing w:val="-4"/>
                <w:sz w:val="17"/>
              </w:rPr>
              <w:t>13.2</w:t>
            </w:r>
          </w:p>
        </w:tc>
        <w:tc>
          <w:tcPr>
            <w:tcW w:w="631" w:type="dxa"/>
            <w:tcBorders>
              <w:top w:val="single" w:color="DCDDDE" w:sz="4" w:space="0"/>
              <w:bottom w:val="single" w:color="DCDDDE" w:sz="4" w:space="0"/>
            </w:tcBorders>
          </w:tcPr>
          <w:p w:rsidR="00C31389" w:rsidRDefault="00561FBD" w14:paraId="6DE5B3EF" w14:textId="77777777">
            <w:pPr>
              <w:pStyle w:val="TableParagraph"/>
              <w:ind w:right="127"/>
              <w:jc w:val="right"/>
              <w:rPr>
                <w:sz w:val="17"/>
              </w:rPr>
            </w:pPr>
            <w:r>
              <w:rPr>
                <w:spacing w:val="-4"/>
                <w:sz w:val="17"/>
              </w:rPr>
              <w:t>13.6</w:t>
            </w:r>
          </w:p>
        </w:tc>
        <w:tc>
          <w:tcPr>
            <w:tcW w:w="631" w:type="dxa"/>
            <w:tcBorders>
              <w:top w:val="single" w:color="DCDDDE" w:sz="4" w:space="0"/>
              <w:bottom w:val="single" w:color="DCDDDE" w:sz="4" w:space="0"/>
            </w:tcBorders>
          </w:tcPr>
          <w:p w:rsidR="00C31389" w:rsidRDefault="00561FBD" w14:paraId="2034C9DE" w14:textId="77777777">
            <w:pPr>
              <w:pStyle w:val="TableParagraph"/>
              <w:ind w:left="106" w:right="68"/>
              <w:jc w:val="center"/>
              <w:rPr>
                <w:sz w:val="17"/>
              </w:rPr>
            </w:pPr>
            <w:r>
              <w:rPr>
                <w:spacing w:val="-4"/>
                <w:sz w:val="17"/>
              </w:rPr>
              <w:t>14.1</w:t>
            </w:r>
          </w:p>
        </w:tc>
        <w:tc>
          <w:tcPr>
            <w:tcW w:w="631" w:type="dxa"/>
            <w:tcBorders>
              <w:top w:val="single" w:color="DCDDDE" w:sz="4" w:space="0"/>
              <w:bottom w:val="single" w:color="DCDDDE" w:sz="4" w:space="0"/>
            </w:tcBorders>
          </w:tcPr>
          <w:p w:rsidR="00C31389" w:rsidRDefault="00561FBD" w14:paraId="24310ECF" w14:textId="77777777">
            <w:pPr>
              <w:pStyle w:val="TableParagraph"/>
              <w:ind w:left="106" w:right="70"/>
              <w:jc w:val="center"/>
              <w:rPr>
                <w:sz w:val="17"/>
              </w:rPr>
            </w:pPr>
            <w:r>
              <w:rPr>
                <w:spacing w:val="-4"/>
                <w:sz w:val="17"/>
              </w:rPr>
              <w:t>14.6</w:t>
            </w:r>
          </w:p>
        </w:tc>
        <w:tc>
          <w:tcPr>
            <w:tcW w:w="631" w:type="dxa"/>
            <w:tcBorders>
              <w:top w:val="single" w:color="DCDDDE" w:sz="4" w:space="0"/>
              <w:bottom w:val="single" w:color="DCDDDE" w:sz="4" w:space="0"/>
            </w:tcBorders>
          </w:tcPr>
          <w:p w:rsidR="00C31389" w:rsidRDefault="00561FBD" w14:paraId="0911E7C8" w14:textId="77777777">
            <w:pPr>
              <w:pStyle w:val="TableParagraph"/>
              <w:ind w:right="130"/>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0EF58933" w14:textId="77777777">
            <w:pPr>
              <w:pStyle w:val="TableParagraph"/>
              <w:ind w:right="131"/>
              <w:jc w:val="right"/>
              <w:rPr>
                <w:sz w:val="17"/>
              </w:rPr>
            </w:pPr>
            <w:r>
              <w:rPr>
                <w:spacing w:val="-4"/>
                <w:sz w:val="17"/>
              </w:rPr>
              <w:t>15.6</w:t>
            </w:r>
          </w:p>
        </w:tc>
        <w:tc>
          <w:tcPr>
            <w:tcW w:w="631" w:type="dxa"/>
            <w:tcBorders>
              <w:top w:val="single" w:color="DCDDDE" w:sz="4" w:space="0"/>
              <w:bottom w:val="single" w:color="DCDDDE" w:sz="4" w:space="0"/>
            </w:tcBorders>
          </w:tcPr>
          <w:p w:rsidR="00C31389" w:rsidRDefault="00561FBD" w14:paraId="7C9D1D13" w14:textId="77777777">
            <w:pPr>
              <w:pStyle w:val="TableParagraph"/>
              <w:ind w:left="106" w:right="76"/>
              <w:jc w:val="center"/>
              <w:rPr>
                <w:sz w:val="17"/>
              </w:rPr>
            </w:pPr>
            <w:r>
              <w:rPr>
                <w:spacing w:val="-4"/>
                <w:sz w:val="17"/>
              </w:rPr>
              <w:t>16.2</w:t>
            </w:r>
          </w:p>
        </w:tc>
        <w:tc>
          <w:tcPr>
            <w:tcW w:w="631" w:type="dxa"/>
            <w:tcBorders>
              <w:top w:val="single" w:color="DCDDDE" w:sz="4" w:space="0"/>
              <w:bottom w:val="single" w:color="DCDDDE" w:sz="4" w:space="0"/>
            </w:tcBorders>
          </w:tcPr>
          <w:p w:rsidR="00C31389" w:rsidRDefault="00561FBD" w14:paraId="327160E8" w14:textId="77777777">
            <w:pPr>
              <w:pStyle w:val="TableParagraph"/>
              <w:ind w:right="133"/>
              <w:jc w:val="right"/>
              <w:rPr>
                <w:sz w:val="17"/>
              </w:rPr>
            </w:pPr>
            <w:r>
              <w:rPr>
                <w:spacing w:val="-4"/>
                <w:sz w:val="17"/>
              </w:rPr>
              <w:t>16.5</w:t>
            </w:r>
          </w:p>
        </w:tc>
        <w:tc>
          <w:tcPr>
            <w:tcW w:w="613" w:type="dxa"/>
            <w:tcBorders>
              <w:top w:val="single" w:color="DCDDDE" w:sz="4" w:space="0"/>
              <w:bottom w:val="single" w:color="DCDDDE" w:sz="4" w:space="0"/>
            </w:tcBorders>
          </w:tcPr>
          <w:p w:rsidR="00C31389" w:rsidRDefault="00561FBD" w14:paraId="429F79A0" w14:textId="77777777">
            <w:pPr>
              <w:pStyle w:val="TableParagraph"/>
              <w:ind w:right="116"/>
              <w:jc w:val="right"/>
              <w:rPr>
                <w:sz w:val="17"/>
              </w:rPr>
            </w:pPr>
            <w:r>
              <w:rPr>
                <w:spacing w:val="-4"/>
                <w:sz w:val="17"/>
              </w:rPr>
              <w:t>17.1</w:t>
            </w:r>
          </w:p>
        </w:tc>
      </w:tr>
      <w:tr w:rsidR="00C31389" w14:paraId="5F7D1E1D"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40CBA4C6"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41B3A7EC" w14:textId="77777777">
        <w:trPr>
          <w:trHeight w:val="274"/>
        </w:trPr>
        <w:tc>
          <w:tcPr>
            <w:tcW w:w="1507" w:type="dxa"/>
            <w:tcBorders>
              <w:top w:val="single" w:color="DCDDDE" w:sz="4" w:space="0"/>
              <w:bottom w:val="single" w:color="DCDDDE" w:sz="4" w:space="0"/>
            </w:tcBorders>
          </w:tcPr>
          <w:p w:rsidR="00C31389" w:rsidRDefault="00561FBD" w14:paraId="5DF924BC"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3A033735" w14:textId="77777777">
            <w:pPr>
              <w:pStyle w:val="TableParagraph"/>
              <w:ind w:right="192"/>
              <w:jc w:val="right"/>
              <w:rPr>
                <w:sz w:val="17"/>
              </w:rPr>
            </w:pPr>
            <w:r>
              <w:rPr>
                <w:spacing w:val="-5"/>
                <w:sz w:val="17"/>
              </w:rPr>
              <w:t>3.9</w:t>
            </w:r>
          </w:p>
        </w:tc>
        <w:tc>
          <w:tcPr>
            <w:tcW w:w="712" w:type="dxa"/>
            <w:tcBorders>
              <w:top w:val="single" w:color="DCDDDE" w:sz="4" w:space="0"/>
              <w:bottom w:val="single" w:color="DCDDDE" w:sz="4" w:space="0"/>
            </w:tcBorders>
          </w:tcPr>
          <w:p w:rsidR="00C31389" w:rsidRDefault="00561FBD" w14:paraId="2869D036" w14:textId="77777777">
            <w:pPr>
              <w:pStyle w:val="TableParagraph"/>
              <w:ind w:right="138"/>
              <w:jc w:val="right"/>
              <w:rPr>
                <w:sz w:val="17"/>
              </w:rPr>
            </w:pPr>
            <w:r>
              <w:rPr>
                <w:spacing w:val="-5"/>
                <w:sz w:val="17"/>
              </w:rPr>
              <w:t>3.6</w:t>
            </w:r>
          </w:p>
        </w:tc>
        <w:tc>
          <w:tcPr>
            <w:tcW w:w="644" w:type="dxa"/>
            <w:tcBorders>
              <w:top w:val="single" w:color="DCDDDE" w:sz="4" w:space="0"/>
              <w:bottom w:val="single" w:color="DCDDDE" w:sz="4" w:space="0"/>
            </w:tcBorders>
          </w:tcPr>
          <w:p w:rsidR="00C31389" w:rsidRDefault="00561FBD" w14:paraId="7E6566EE" w14:textId="77777777">
            <w:pPr>
              <w:pStyle w:val="TableParagraph"/>
              <w:ind w:right="125"/>
              <w:jc w:val="right"/>
              <w:rPr>
                <w:sz w:val="17"/>
              </w:rPr>
            </w:pPr>
            <w:r>
              <w:rPr>
                <w:spacing w:val="-5"/>
                <w:sz w:val="17"/>
              </w:rPr>
              <w:t>3.3</w:t>
            </w:r>
          </w:p>
        </w:tc>
        <w:tc>
          <w:tcPr>
            <w:tcW w:w="631" w:type="dxa"/>
            <w:tcBorders>
              <w:top w:val="single" w:color="DCDDDE" w:sz="4" w:space="0"/>
              <w:bottom w:val="single" w:color="DCDDDE" w:sz="4" w:space="0"/>
            </w:tcBorders>
          </w:tcPr>
          <w:p w:rsidR="00C31389" w:rsidRDefault="00561FBD" w14:paraId="132AA4F6" w14:textId="77777777">
            <w:pPr>
              <w:pStyle w:val="TableParagraph"/>
              <w:ind w:right="126"/>
              <w:jc w:val="right"/>
              <w:rPr>
                <w:sz w:val="17"/>
              </w:rPr>
            </w:pPr>
            <w:r>
              <w:rPr>
                <w:spacing w:val="-5"/>
                <w:sz w:val="17"/>
              </w:rPr>
              <w:t>3.0</w:t>
            </w:r>
          </w:p>
        </w:tc>
        <w:tc>
          <w:tcPr>
            <w:tcW w:w="631" w:type="dxa"/>
            <w:tcBorders>
              <w:top w:val="single" w:color="DCDDDE" w:sz="4" w:space="0"/>
              <w:bottom w:val="single" w:color="DCDDDE" w:sz="4" w:space="0"/>
            </w:tcBorders>
          </w:tcPr>
          <w:p w:rsidR="00C31389" w:rsidRDefault="00561FBD" w14:paraId="66072571" w14:textId="77777777">
            <w:pPr>
              <w:pStyle w:val="TableParagraph"/>
              <w:ind w:right="127"/>
              <w:jc w:val="right"/>
              <w:rPr>
                <w:sz w:val="17"/>
              </w:rPr>
            </w:pPr>
            <w:r>
              <w:rPr>
                <w:spacing w:val="-5"/>
                <w:sz w:val="17"/>
              </w:rPr>
              <w:t>2.8</w:t>
            </w:r>
          </w:p>
        </w:tc>
        <w:tc>
          <w:tcPr>
            <w:tcW w:w="631" w:type="dxa"/>
            <w:tcBorders>
              <w:top w:val="single" w:color="DCDDDE" w:sz="4" w:space="0"/>
              <w:bottom w:val="single" w:color="DCDDDE" w:sz="4" w:space="0"/>
            </w:tcBorders>
          </w:tcPr>
          <w:p w:rsidR="00C31389" w:rsidRDefault="00561FBD" w14:paraId="3B34431B" w14:textId="77777777">
            <w:pPr>
              <w:pStyle w:val="TableParagraph"/>
              <w:ind w:left="248" w:right="115"/>
              <w:jc w:val="center"/>
              <w:rPr>
                <w:sz w:val="17"/>
              </w:rPr>
            </w:pPr>
            <w:r>
              <w:rPr>
                <w:spacing w:val="-5"/>
                <w:sz w:val="17"/>
              </w:rPr>
              <w:t>2.5</w:t>
            </w:r>
          </w:p>
        </w:tc>
        <w:tc>
          <w:tcPr>
            <w:tcW w:w="631" w:type="dxa"/>
            <w:tcBorders>
              <w:top w:val="single" w:color="DCDDDE" w:sz="4" w:space="0"/>
              <w:bottom w:val="single" w:color="DCDDDE" w:sz="4" w:space="0"/>
            </w:tcBorders>
          </w:tcPr>
          <w:p w:rsidR="00C31389" w:rsidRDefault="00561FBD" w14:paraId="5EFF4197" w14:textId="77777777">
            <w:pPr>
              <w:pStyle w:val="TableParagraph"/>
              <w:ind w:left="245" w:right="114"/>
              <w:jc w:val="center"/>
              <w:rPr>
                <w:sz w:val="17"/>
              </w:rPr>
            </w:pPr>
            <w:r>
              <w:rPr>
                <w:spacing w:val="-5"/>
                <w:sz w:val="17"/>
              </w:rPr>
              <w:t>2.3</w:t>
            </w:r>
          </w:p>
        </w:tc>
        <w:tc>
          <w:tcPr>
            <w:tcW w:w="631" w:type="dxa"/>
            <w:tcBorders>
              <w:top w:val="single" w:color="DCDDDE" w:sz="4" w:space="0"/>
              <w:bottom w:val="single" w:color="DCDDDE" w:sz="4" w:space="0"/>
            </w:tcBorders>
          </w:tcPr>
          <w:p w:rsidR="00C31389" w:rsidRDefault="00561FBD" w14:paraId="01843572" w14:textId="77777777">
            <w:pPr>
              <w:pStyle w:val="TableParagraph"/>
              <w:ind w:right="130"/>
              <w:jc w:val="right"/>
              <w:rPr>
                <w:sz w:val="17"/>
              </w:rPr>
            </w:pPr>
            <w:r>
              <w:rPr>
                <w:spacing w:val="-5"/>
                <w:sz w:val="17"/>
              </w:rPr>
              <w:t>2.2</w:t>
            </w:r>
          </w:p>
        </w:tc>
        <w:tc>
          <w:tcPr>
            <w:tcW w:w="631" w:type="dxa"/>
            <w:tcBorders>
              <w:top w:val="single" w:color="DCDDDE" w:sz="4" w:space="0"/>
              <w:bottom w:val="single" w:color="DCDDDE" w:sz="4" w:space="0"/>
            </w:tcBorders>
          </w:tcPr>
          <w:p w:rsidR="00C31389" w:rsidRDefault="00561FBD" w14:paraId="480305FE" w14:textId="77777777">
            <w:pPr>
              <w:pStyle w:val="TableParagraph"/>
              <w:ind w:right="131"/>
              <w:jc w:val="right"/>
              <w:rPr>
                <w:sz w:val="17"/>
              </w:rPr>
            </w:pPr>
            <w:r>
              <w:rPr>
                <w:spacing w:val="-5"/>
                <w:sz w:val="17"/>
              </w:rPr>
              <w:t>2.1</w:t>
            </w:r>
          </w:p>
        </w:tc>
        <w:tc>
          <w:tcPr>
            <w:tcW w:w="631" w:type="dxa"/>
            <w:tcBorders>
              <w:top w:val="single" w:color="DCDDDE" w:sz="4" w:space="0"/>
              <w:bottom w:val="single" w:color="DCDDDE" w:sz="4" w:space="0"/>
            </w:tcBorders>
          </w:tcPr>
          <w:p w:rsidR="00C31389" w:rsidRDefault="00561FBD" w14:paraId="3709C83A" w14:textId="77777777">
            <w:pPr>
              <w:pStyle w:val="TableParagraph"/>
              <w:ind w:left="241" w:right="116"/>
              <w:jc w:val="center"/>
              <w:rPr>
                <w:sz w:val="17"/>
              </w:rPr>
            </w:pPr>
            <w:r>
              <w:rPr>
                <w:spacing w:val="-5"/>
                <w:sz w:val="17"/>
              </w:rPr>
              <w:t>2.2</w:t>
            </w:r>
          </w:p>
        </w:tc>
        <w:tc>
          <w:tcPr>
            <w:tcW w:w="631" w:type="dxa"/>
            <w:tcBorders>
              <w:top w:val="single" w:color="DCDDDE" w:sz="4" w:space="0"/>
              <w:bottom w:val="single" w:color="DCDDDE" w:sz="4" w:space="0"/>
            </w:tcBorders>
          </w:tcPr>
          <w:p w:rsidR="00C31389" w:rsidRDefault="00561FBD" w14:paraId="0D532E0B" w14:textId="77777777">
            <w:pPr>
              <w:pStyle w:val="TableParagraph"/>
              <w:ind w:right="133"/>
              <w:jc w:val="right"/>
              <w:rPr>
                <w:sz w:val="17"/>
              </w:rPr>
            </w:pPr>
            <w:r>
              <w:rPr>
                <w:spacing w:val="-5"/>
                <w:sz w:val="17"/>
              </w:rPr>
              <w:t>2.2</w:t>
            </w:r>
          </w:p>
        </w:tc>
        <w:tc>
          <w:tcPr>
            <w:tcW w:w="613" w:type="dxa"/>
            <w:tcBorders>
              <w:top w:val="single" w:color="DCDDDE" w:sz="4" w:space="0"/>
              <w:bottom w:val="single" w:color="DCDDDE" w:sz="4" w:space="0"/>
            </w:tcBorders>
          </w:tcPr>
          <w:p w:rsidR="00C31389" w:rsidRDefault="00561FBD" w14:paraId="4B1A0EB9" w14:textId="77777777">
            <w:pPr>
              <w:pStyle w:val="TableParagraph"/>
              <w:ind w:right="116"/>
              <w:jc w:val="right"/>
              <w:rPr>
                <w:sz w:val="17"/>
              </w:rPr>
            </w:pPr>
            <w:r>
              <w:rPr>
                <w:spacing w:val="-5"/>
                <w:sz w:val="17"/>
              </w:rPr>
              <w:t>2.2</w:t>
            </w:r>
          </w:p>
        </w:tc>
      </w:tr>
      <w:tr w:rsidR="00C31389" w14:paraId="7243CA2D" w14:textId="77777777">
        <w:trPr>
          <w:trHeight w:val="275"/>
        </w:trPr>
        <w:tc>
          <w:tcPr>
            <w:tcW w:w="1507" w:type="dxa"/>
            <w:tcBorders>
              <w:top w:val="single" w:color="DCDDDE" w:sz="4" w:space="0"/>
              <w:bottom w:val="single" w:color="DCDDDE" w:sz="4" w:space="0"/>
            </w:tcBorders>
          </w:tcPr>
          <w:p w:rsidR="00C31389" w:rsidRDefault="00561FBD" w14:paraId="243DE4F9" w14:textId="77777777">
            <w:pPr>
              <w:pStyle w:val="TableParagraph"/>
              <w:spacing w:before="42"/>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7585EEEF" w14:textId="77777777">
            <w:pPr>
              <w:pStyle w:val="TableParagraph"/>
              <w:spacing w:before="42"/>
              <w:ind w:right="192"/>
              <w:jc w:val="right"/>
              <w:rPr>
                <w:sz w:val="17"/>
              </w:rPr>
            </w:pPr>
            <w:r>
              <w:rPr>
                <w:spacing w:val="-2"/>
                <w:sz w:val="17"/>
              </w:rPr>
              <w:t>-</w:t>
            </w:r>
            <w:r>
              <w:rPr>
                <w:spacing w:val="-5"/>
                <w:sz w:val="17"/>
              </w:rPr>
              <w:t>0.0</w:t>
            </w:r>
          </w:p>
        </w:tc>
        <w:tc>
          <w:tcPr>
            <w:tcW w:w="712" w:type="dxa"/>
            <w:tcBorders>
              <w:top w:val="single" w:color="DCDDDE" w:sz="4" w:space="0"/>
              <w:bottom w:val="single" w:color="DCDDDE" w:sz="4" w:space="0"/>
            </w:tcBorders>
          </w:tcPr>
          <w:p w:rsidR="00C31389" w:rsidRDefault="00561FBD" w14:paraId="2E2C35CB" w14:textId="77777777">
            <w:pPr>
              <w:pStyle w:val="TableParagraph"/>
              <w:spacing w:before="42"/>
              <w:ind w:right="138"/>
              <w:jc w:val="right"/>
              <w:rPr>
                <w:sz w:val="17"/>
              </w:rPr>
            </w:pPr>
            <w:r>
              <w:rPr>
                <w:spacing w:val="-2"/>
                <w:sz w:val="17"/>
              </w:rPr>
              <w:t>-</w:t>
            </w:r>
            <w:r>
              <w:rPr>
                <w:spacing w:val="-5"/>
                <w:sz w:val="17"/>
              </w:rPr>
              <w:t>0.0</w:t>
            </w:r>
          </w:p>
        </w:tc>
        <w:tc>
          <w:tcPr>
            <w:tcW w:w="644" w:type="dxa"/>
            <w:tcBorders>
              <w:top w:val="single" w:color="DCDDDE" w:sz="4" w:space="0"/>
              <w:bottom w:val="single" w:color="DCDDDE" w:sz="4" w:space="0"/>
            </w:tcBorders>
          </w:tcPr>
          <w:p w:rsidR="00C31389" w:rsidRDefault="00561FBD" w14:paraId="71188708" w14:textId="77777777">
            <w:pPr>
              <w:pStyle w:val="TableParagraph"/>
              <w:spacing w:before="42"/>
              <w:ind w:right="125"/>
              <w:jc w:val="right"/>
              <w:rPr>
                <w:sz w:val="17"/>
              </w:rPr>
            </w:pPr>
            <w:r>
              <w:rPr>
                <w:spacing w:val="-2"/>
                <w:sz w:val="17"/>
              </w:rPr>
              <w:t>-</w:t>
            </w:r>
            <w:r>
              <w:rPr>
                <w:spacing w:val="-5"/>
                <w:sz w:val="17"/>
              </w:rPr>
              <w:t>0.1</w:t>
            </w:r>
          </w:p>
        </w:tc>
        <w:tc>
          <w:tcPr>
            <w:tcW w:w="631" w:type="dxa"/>
            <w:tcBorders>
              <w:top w:val="single" w:color="DCDDDE" w:sz="4" w:space="0"/>
              <w:bottom w:val="single" w:color="DCDDDE" w:sz="4" w:space="0"/>
            </w:tcBorders>
          </w:tcPr>
          <w:p w:rsidR="00C31389" w:rsidRDefault="00561FBD" w14:paraId="55013963" w14:textId="77777777">
            <w:pPr>
              <w:pStyle w:val="TableParagraph"/>
              <w:spacing w:before="42"/>
              <w:ind w:right="126"/>
              <w:jc w:val="right"/>
              <w:rPr>
                <w:sz w:val="17"/>
              </w:rPr>
            </w:pPr>
            <w:r>
              <w:rPr>
                <w:spacing w:val="-2"/>
                <w:sz w:val="17"/>
              </w:rPr>
              <w:t>-</w:t>
            </w:r>
            <w:r>
              <w:rPr>
                <w:spacing w:val="-5"/>
                <w:sz w:val="17"/>
              </w:rPr>
              <w:t>0.1</w:t>
            </w:r>
          </w:p>
        </w:tc>
        <w:tc>
          <w:tcPr>
            <w:tcW w:w="631" w:type="dxa"/>
            <w:tcBorders>
              <w:top w:val="single" w:color="DCDDDE" w:sz="4" w:space="0"/>
              <w:bottom w:val="single" w:color="DCDDDE" w:sz="4" w:space="0"/>
            </w:tcBorders>
          </w:tcPr>
          <w:p w:rsidR="00C31389" w:rsidRDefault="00561FBD" w14:paraId="2B0371FE" w14:textId="77777777">
            <w:pPr>
              <w:pStyle w:val="TableParagraph"/>
              <w:spacing w:before="42"/>
              <w:ind w:right="127"/>
              <w:jc w:val="right"/>
              <w:rPr>
                <w:sz w:val="17"/>
              </w:rPr>
            </w:pPr>
            <w:r>
              <w:rPr>
                <w:spacing w:val="-2"/>
                <w:sz w:val="17"/>
              </w:rPr>
              <w:t>-</w:t>
            </w:r>
            <w:r>
              <w:rPr>
                <w:spacing w:val="-5"/>
                <w:sz w:val="17"/>
              </w:rPr>
              <w:t>0.2</w:t>
            </w:r>
          </w:p>
        </w:tc>
        <w:tc>
          <w:tcPr>
            <w:tcW w:w="631" w:type="dxa"/>
            <w:tcBorders>
              <w:top w:val="single" w:color="DCDDDE" w:sz="4" w:space="0"/>
              <w:bottom w:val="single" w:color="DCDDDE" w:sz="4" w:space="0"/>
            </w:tcBorders>
          </w:tcPr>
          <w:p w:rsidR="00C31389" w:rsidRDefault="00561FBD" w14:paraId="3E38EDBF" w14:textId="77777777">
            <w:pPr>
              <w:pStyle w:val="TableParagraph"/>
              <w:spacing w:before="42"/>
              <w:ind w:left="106" w:right="30"/>
              <w:jc w:val="center"/>
              <w:rPr>
                <w:sz w:val="17"/>
              </w:rPr>
            </w:pPr>
            <w:r>
              <w:rPr>
                <w:spacing w:val="-2"/>
                <w:sz w:val="17"/>
              </w:rPr>
              <w:t>-</w:t>
            </w:r>
            <w:r>
              <w:rPr>
                <w:spacing w:val="-5"/>
                <w:sz w:val="17"/>
              </w:rPr>
              <w:t>0.2</w:t>
            </w:r>
          </w:p>
        </w:tc>
        <w:tc>
          <w:tcPr>
            <w:tcW w:w="631" w:type="dxa"/>
            <w:tcBorders>
              <w:top w:val="single" w:color="DCDDDE" w:sz="4" w:space="0"/>
              <w:bottom w:val="single" w:color="DCDDDE" w:sz="4" w:space="0"/>
            </w:tcBorders>
          </w:tcPr>
          <w:p w:rsidR="00C31389" w:rsidRDefault="00561FBD" w14:paraId="29059560" w14:textId="77777777">
            <w:pPr>
              <w:pStyle w:val="TableParagraph"/>
              <w:spacing w:before="42"/>
              <w:ind w:left="245" w:right="114"/>
              <w:jc w:val="center"/>
              <w:rPr>
                <w:sz w:val="17"/>
              </w:rPr>
            </w:pPr>
            <w:r>
              <w:rPr>
                <w:spacing w:val="-5"/>
                <w:sz w:val="17"/>
              </w:rPr>
              <w:t>0.8</w:t>
            </w:r>
          </w:p>
        </w:tc>
        <w:tc>
          <w:tcPr>
            <w:tcW w:w="631" w:type="dxa"/>
            <w:tcBorders>
              <w:top w:val="single" w:color="DCDDDE" w:sz="4" w:space="0"/>
              <w:bottom w:val="single" w:color="DCDDDE" w:sz="4" w:space="0"/>
            </w:tcBorders>
          </w:tcPr>
          <w:p w:rsidR="00C31389" w:rsidRDefault="00561FBD" w14:paraId="5640474F" w14:textId="77777777">
            <w:pPr>
              <w:pStyle w:val="TableParagraph"/>
              <w:spacing w:before="42"/>
              <w:ind w:right="130"/>
              <w:jc w:val="right"/>
              <w:rPr>
                <w:sz w:val="17"/>
              </w:rPr>
            </w:pPr>
            <w:r>
              <w:rPr>
                <w:spacing w:val="-5"/>
                <w:sz w:val="17"/>
              </w:rPr>
              <w:t>0.9</w:t>
            </w:r>
          </w:p>
        </w:tc>
        <w:tc>
          <w:tcPr>
            <w:tcW w:w="631" w:type="dxa"/>
            <w:tcBorders>
              <w:top w:val="single" w:color="DCDDDE" w:sz="4" w:space="0"/>
              <w:bottom w:val="single" w:color="DCDDDE" w:sz="4" w:space="0"/>
            </w:tcBorders>
          </w:tcPr>
          <w:p w:rsidR="00C31389" w:rsidRDefault="00561FBD" w14:paraId="7AFC8DD1" w14:textId="77777777">
            <w:pPr>
              <w:pStyle w:val="TableParagraph"/>
              <w:spacing w:before="42"/>
              <w:ind w:right="131"/>
              <w:jc w:val="right"/>
              <w:rPr>
                <w:sz w:val="17"/>
              </w:rPr>
            </w:pPr>
            <w:r>
              <w:rPr>
                <w:spacing w:val="-5"/>
                <w:sz w:val="17"/>
              </w:rPr>
              <w:t>1.1</w:t>
            </w:r>
          </w:p>
        </w:tc>
        <w:tc>
          <w:tcPr>
            <w:tcW w:w="631" w:type="dxa"/>
            <w:tcBorders>
              <w:top w:val="single" w:color="DCDDDE" w:sz="4" w:space="0"/>
              <w:bottom w:val="single" w:color="DCDDDE" w:sz="4" w:space="0"/>
            </w:tcBorders>
          </w:tcPr>
          <w:p w:rsidR="00C31389" w:rsidRDefault="00561FBD" w14:paraId="45D98F40" w14:textId="77777777">
            <w:pPr>
              <w:pStyle w:val="TableParagraph"/>
              <w:spacing w:before="42"/>
              <w:ind w:left="241" w:right="116"/>
              <w:jc w:val="center"/>
              <w:rPr>
                <w:sz w:val="17"/>
              </w:rPr>
            </w:pPr>
            <w:r>
              <w:rPr>
                <w:spacing w:val="-5"/>
                <w:sz w:val="17"/>
              </w:rPr>
              <w:t>1.2</w:t>
            </w:r>
          </w:p>
        </w:tc>
        <w:tc>
          <w:tcPr>
            <w:tcW w:w="631" w:type="dxa"/>
            <w:tcBorders>
              <w:top w:val="single" w:color="DCDDDE" w:sz="4" w:space="0"/>
              <w:bottom w:val="single" w:color="DCDDDE" w:sz="4" w:space="0"/>
            </w:tcBorders>
          </w:tcPr>
          <w:p w:rsidR="00C31389" w:rsidRDefault="00561FBD" w14:paraId="46595BB2" w14:textId="77777777">
            <w:pPr>
              <w:pStyle w:val="TableParagraph"/>
              <w:spacing w:before="42"/>
              <w:ind w:right="133"/>
              <w:jc w:val="right"/>
              <w:rPr>
                <w:sz w:val="17"/>
              </w:rPr>
            </w:pPr>
            <w:r>
              <w:rPr>
                <w:spacing w:val="-5"/>
                <w:sz w:val="17"/>
              </w:rPr>
              <w:t>1.3</w:t>
            </w:r>
          </w:p>
        </w:tc>
        <w:tc>
          <w:tcPr>
            <w:tcW w:w="613" w:type="dxa"/>
            <w:tcBorders>
              <w:top w:val="single" w:color="DCDDDE" w:sz="4" w:space="0"/>
              <w:bottom w:val="single" w:color="DCDDDE" w:sz="4" w:space="0"/>
            </w:tcBorders>
          </w:tcPr>
          <w:p w:rsidR="00C31389" w:rsidRDefault="00561FBD" w14:paraId="6D1FA682" w14:textId="77777777">
            <w:pPr>
              <w:pStyle w:val="TableParagraph"/>
              <w:spacing w:before="42"/>
              <w:ind w:right="116"/>
              <w:jc w:val="right"/>
              <w:rPr>
                <w:sz w:val="17"/>
              </w:rPr>
            </w:pPr>
            <w:r>
              <w:rPr>
                <w:spacing w:val="-5"/>
                <w:sz w:val="17"/>
              </w:rPr>
              <w:t>1.4</w:t>
            </w:r>
          </w:p>
        </w:tc>
      </w:tr>
      <w:tr w:rsidR="00C31389" w14:paraId="671EA3C2" w14:textId="77777777">
        <w:trPr>
          <w:trHeight w:val="275"/>
        </w:trPr>
        <w:tc>
          <w:tcPr>
            <w:tcW w:w="1507" w:type="dxa"/>
            <w:tcBorders>
              <w:top w:val="single" w:color="DCDDDE" w:sz="4" w:space="0"/>
              <w:bottom w:val="single" w:color="DCDDDE" w:sz="4" w:space="0"/>
            </w:tcBorders>
          </w:tcPr>
          <w:p w:rsidR="00C31389" w:rsidRDefault="00561FBD" w14:paraId="2DB0116A" w14:textId="77777777">
            <w:pPr>
              <w:pStyle w:val="TableParagraph"/>
              <w:spacing w:before="42"/>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5698ED18" w14:textId="77777777">
            <w:pPr>
              <w:pStyle w:val="TableParagraph"/>
              <w:spacing w:before="42"/>
              <w:ind w:right="192"/>
              <w:jc w:val="right"/>
              <w:rPr>
                <w:sz w:val="17"/>
              </w:rPr>
            </w:pPr>
            <w:r>
              <w:rPr>
                <w:spacing w:val="-4"/>
                <w:sz w:val="17"/>
              </w:rPr>
              <w:t>11.9</w:t>
            </w:r>
          </w:p>
        </w:tc>
        <w:tc>
          <w:tcPr>
            <w:tcW w:w="712" w:type="dxa"/>
            <w:tcBorders>
              <w:top w:val="single" w:color="DCDDDE" w:sz="4" w:space="0"/>
              <w:bottom w:val="single" w:color="DCDDDE" w:sz="4" w:space="0"/>
            </w:tcBorders>
          </w:tcPr>
          <w:p w:rsidR="00C31389" w:rsidRDefault="00561FBD" w14:paraId="43CC868A" w14:textId="77777777">
            <w:pPr>
              <w:pStyle w:val="TableParagraph"/>
              <w:spacing w:before="42"/>
              <w:ind w:right="138"/>
              <w:jc w:val="right"/>
              <w:rPr>
                <w:sz w:val="17"/>
              </w:rPr>
            </w:pPr>
            <w:r>
              <w:rPr>
                <w:spacing w:val="-4"/>
                <w:sz w:val="17"/>
              </w:rPr>
              <w:t>12.3</w:t>
            </w:r>
          </w:p>
        </w:tc>
        <w:tc>
          <w:tcPr>
            <w:tcW w:w="644" w:type="dxa"/>
            <w:tcBorders>
              <w:top w:val="single" w:color="DCDDDE" w:sz="4" w:space="0"/>
              <w:bottom w:val="single" w:color="DCDDDE" w:sz="4" w:space="0"/>
            </w:tcBorders>
          </w:tcPr>
          <w:p w:rsidR="00C31389" w:rsidRDefault="00561FBD" w14:paraId="1852274A" w14:textId="77777777">
            <w:pPr>
              <w:pStyle w:val="TableParagraph"/>
              <w:spacing w:before="42"/>
              <w:ind w:right="125"/>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22B9FC7B" w14:textId="77777777">
            <w:pPr>
              <w:pStyle w:val="TableParagraph"/>
              <w:spacing w:before="42"/>
              <w:ind w:right="126"/>
              <w:jc w:val="right"/>
              <w:rPr>
                <w:sz w:val="17"/>
              </w:rPr>
            </w:pPr>
            <w:r>
              <w:rPr>
                <w:spacing w:val="-4"/>
                <w:sz w:val="17"/>
              </w:rPr>
              <w:t>13.2</w:t>
            </w:r>
          </w:p>
        </w:tc>
        <w:tc>
          <w:tcPr>
            <w:tcW w:w="631" w:type="dxa"/>
            <w:tcBorders>
              <w:top w:val="single" w:color="DCDDDE" w:sz="4" w:space="0"/>
              <w:bottom w:val="single" w:color="DCDDDE" w:sz="4" w:space="0"/>
            </w:tcBorders>
          </w:tcPr>
          <w:p w:rsidR="00C31389" w:rsidRDefault="00561FBD" w14:paraId="5417AFCF" w14:textId="77777777">
            <w:pPr>
              <w:pStyle w:val="TableParagraph"/>
              <w:spacing w:before="42"/>
              <w:ind w:right="127"/>
              <w:jc w:val="right"/>
              <w:rPr>
                <w:sz w:val="17"/>
              </w:rPr>
            </w:pPr>
            <w:r>
              <w:rPr>
                <w:spacing w:val="-4"/>
                <w:sz w:val="17"/>
              </w:rPr>
              <w:t>13.6</w:t>
            </w:r>
          </w:p>
        </w:tc>
        <w:tc>
          <w:tcPr>
            <w:tcW w:w="631" w:type="dxa"/>
            <w:tcBorders>
              <w:top w:val="single" w:color="DCDDDE" w:sz="4" w:space="0"/>
              <w:bottom w:val="single" w:color="DCDDDE" w:sz="4" w:space="0"/>
            </w:tcBorders>
          </w:tcPr>
          <w:p w:rsidR="00C31389" w:rsidRDefault="00561FBD" w14:paraId="2BC069B9" w14:textId="77777777">
            <w:pPr>
              <w:pStyle w:val="TableParagraph"/>
              <w:spacing w:before="42"/>
              <w:ind w:left="106" w:right="68"/>
              <w:jc w:val="center"/>
              <w:rPr>
                <w:sz w:val="17"/>
              </w:rPr>
            </w:pPr>
            <w:r>
              <w:rPr>
                <w:spacing w:val="-4"/>
                <w:sz w:val="17"/>
              </w:rPr>
              <w:t>14.1</w:t>
            </w:r>
          </w:p>
        </w:tc>
        <w:tc>
          <w:tcPr>
            <w:tcW w:w="631" w:type="dxa"/>
            <w:tcBorders>
              <w:top w:val="single" w:color="DCDDDE" w:sz="4" w:space="0"/>
              <w:bottom w:val="single" w:color="DCDDDE" w:sz="4" w:space="0"/>
            </w:tcBorders>
          </w:tcPr>
          <w:p w:rsidR="00C31389" w:rsidRDefault="00561FBD" w14:paraId="0FA4A9AA" w14:textId="77777777">
            <w:pPr>
              <w:pStyle w:val="TableParagraph"/>
              <w:spacing w:before="42"/>
              <w:ind w:left="106" w:right="70"/>
              <w:jc w:val="center"/>
              <w:rPr>
                <w:sz w:val="17"/>
              </w:rPr>
            </w:pPr>
            <w:r>
              <w:rPr>
                <w:spacing w:val="-4"/>
                <w:sz w:val="17"/>
              </w:rPr>
              <w:t>14.6</w:t>
            </w:r>
          </w:p>
        </w:tc>
        <w:tc>
          <w:tcPr>
            <w:tcW w:w="631" w:type="dxa"/>
            <w:tcBorders>
              <w:top w:val="single" w:color="DCDDDE" w:sz="4" w:space="0"/>
              <w:bottom w:val="single" w:color="DCDDDE" w:sz="4" w:space="0"/>
            </w:tcBorders>
          </w:tcPr>
          <w:p w:rsidR="00C31389" w:rsidRDefault="00561FBD" w14:paraId="3B0D8EDD" w14:textId="77777777">
            <w:pPr>
              <w:pStyle w:val="TableParagraph"/>
              <w:spacing w:before="42"/>
              <w:ind w:right="130"/>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122E7F4B" w14:textId="77777777">
            <w:pPr>
              <w:pStyle w:val="TableParagraph"/>
              <w:spacing w:before="42"/>
              <w:ind w:right="131"/>
              <w:jc w:val="right"/>
              <w:rPr>
                <w:sz w:val="17"/>
              </w:rPr>
            </w:pPr>
            <w:r>
              <w:rPr>
                <w:spacing w:val="-4"/>
                <w:sz w:val="17"/>
              </w:rPr>
              <w:t>15.6</w:t>
            </w:r>
          </w:p>
        </w:tc>
        <w:tc>
          <w:tcPr>
            <w:tcW w:w="631" w:type="dxa"/>
            <w:tcBorders>
              <w:top w:val="single" w:color="DCDDDE" w:sz="4" w:space="0"/>
              <w:bottom w:val="single" w:color="DCDDDE" w:sz="4" w:space="0"/>
            </w:tcBorders>
          </w:tcPr>
          <w:p w:rsidR="00C31389" w:rsidRDefault="00561FBD" w14:paraId="1CD60CE8" w14:textId="77777777">
            <w:pPr>
              <w:pStyle w:val="TableParagraph"/>
              <w:spacing w:before="42"/>
              <w:ind w:left="106" w:right="76"/>
              <w:jc w:val="center"/>
              <w:rPr>
                <w:sz w:val="17"/>
              </w:rPr>
            </w:pPr>
            <w:r>
              <w:rPr>
                <w:spacing w:val="-4"/>
                <w:sz w:val="17"/>
              </w:rPr>
              <w:t>16.2</w:t>
            </w:r>
          </w:p>
        </w:tc>
        <w:tc>
          <w:tcPr>
            <w:tcW w:w="631" w:type="dxa"/>
            <w:tcBorders>
              <w:top w:val="single" w:color="DCDDDE" w:sz="4" w:space="0"/>
              <w:bottom w:val="single" w:color="DCDDDE" w:sz="4" w:space="0"/>
            </w:tcBorders>
          </w:tcPr>
          <w:p w:rsidR="00C31389" w:rsidRDefault="00561FBD" w14:paraId="5AB9DDA5" w14:textId="77777777">
            <w:pPr>
              <w:pStyle w:val="TableParagraph"/>
              <w:spacing w:before="42"/>
              <w:ind w:right="133"/>
              <w:jc w:val="right"/>
              <w:rPr>
                <w:sz w:val="17"/>
              </w:rPr>
            </w:pPr>
            <w:r>
              <w:rPr>
                <w:spacing w:val="-4"/>
                <w:sz w:val="17"/>
              </w:rPr>
              <w:t>16.5</w:t>
            </w:r>
          </w:p>
        </w:tc>
        <w:tc>
          <w:tcPr>
            <w:tcW w:w="613" w:type="dxa"/>
            <w:tcBorders>
              <w:top w:val="single" w:color="DCDDDE" w:sz="4" w:space="0"/>
              <w:bottom w:val="single" w:color="DCDDDE" w:sz="4" w:space="0"/>
            </w:tcBorders>
          </w:tcPr>
          <w:p w:rsidR="00C31389" w:rsidRDefault="00561FBD" w14:paraId="2778FA14" w14:textId="77777777">
            <w:pPr>
              <w:pStyle w:val="TableParagraph"/>
              <w:spacing w:before="42"/>
              <w:ind w:right="116"/>
              <w:jc w:val="right"/>
              <w:rPr>
                <w:sz w:val="17"/>
              </w:rPr>
            </w:pPr>
            <w:r>
              <w:rPr>
                <w:spacing w:val="-4"/>
                <w:sz w:val="17"/>
              </w:rPr>
              <w:t>17.1</w:t>
            </w:r>
          </w:p>
        </w:tc>
      </w:tr>
      <w:tr w:rsidR="00C31389" w14:paraId="6A6C4AC9"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1D7D4928"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678CAD49" w14:textId="77777777">
        <w:trPr>
          <w:trHeight w:val="275"/>
        </w:trPr>
        <w:tc>
          <w:tcPr>
            <w:tcW w:w="1507" w:type="dxa"/>
            <w:tcBorders>
              <w:top w:val="single" w:color="DCDDDE" w:sz="4" w:space="0"/>
              <w:bottom w:val="single" w:color="DCDDDE" w:sz="4" w:space="0"/>
            </w:tcBorders>
          </w:tcPr>
          <w:p w:rsidR="00C31389" w:rsidRDefault="00561FBD" w14:paraId="577DF741"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16836A95" w14:textId="77777777">
            <w:pPr>
              <w:pStyle w:val="TableParagraph"/>
              <w:ind w:right="192"/>
              <w:jc w:val="right"/>
              <w:rPr>
                <w:sz w:val="17"/>
              </w:rPr>
            </w:pPr>
            <w:r>
              <w:rPr>
                <w:spacing w:val="-5"/>
                <w:sz w:val="17"/>
              </w:rPr>
              <w:t>3.9</w:t>
            </w:r>
          </w:p>
        </w:tc>
        <w:tc>
          <w:tcPr>
            <w:tcW w:w="712" w:type="dxa"/>
            <w:tcBorders>
              <w:top w:val="single" w:color="DCDDDE" w:sz="4" w:space="0"/>
              <w:bottom w:val="single" w:color="DCDDDE" w:sz="4" w:space="0"/>
            </w:tcBorders>
          </w:tcPr>
          <w:p w:rsidR="00C31389" w:rsidRDefault="00561FBD" w14:paraId="4A9C942B" w14:textId="77777777">
            <w:pPr>
              <w:pStyle w:val="TableParagraph"/>
              <w:ind w:right="138"/>
              <w:jc w:val="right"/>
              <w:rPr>
                <w:sz w:val="17"/>
              </w:rPr>
            </w:pPr>
            <w:r>
              <w:rPr>
                <w:spacing w:val="-5"/>
                <w:sz w:val="17"/>
              </w:rPr>
              <w:t>3.6</w:t>
            </w:r>
          </w:p>
        </w:tc>
        <w:tc>
          <w:tcPr>
            <w:tcW w:w="644" w:type="dxa"/>
            <w:tcBorders>
              <w:top w:val="single" w:color="DCDDDE" w:sz="4" w:space="0"/>
              <w:bottom w:val="single" w:color="DCDDDE" w:sz="4" w:space="0"/>
            </w:tcBorders>
          </w:tcPr>
          <w:p w:rsidR="00C31389" w:rsidRDefault="00561FBD" w14:paraId="73ED1EBE" w14:textId="77777777">
            <w:pPr>
              <w:pStyle w:val="TableParagraph"/>
              <w:ind w:right="125"/>
              <w:jc w:val="right"/>
              <w:rPr>
                <w:sz w:val="17"/>
              </w:rPr>
            </w:pPr>
            <w:r>
              <w:rPr>
                <w:spacing w:val="-5"/>
                <w:sz w:val="17"/>
              </w:rPr>
              <w:t>3.3</w:t>
            </w:r>
          </w:p>
        </w:tc>
        <w:tc>
          <w:tcPr>
            <w:tcW w:w="631" w:type="dxa"/>
            <w:tcBorders>
              <w:top w:val="single" w:color="DCDDDE" w:sz="4" w:space="0"/>
              <w:bottom w:val="single" w:color="DCDDDE" w:sz="4" w:space="0"/>
            </w:tcBorders>
          </w:tcPr>
          <w:p w:rsidR="00C31389" w:rsidRDefault="00561FBD" w14:paraId="6AC15927" w14:textId="77777777">
            <w:pPr>
              <w:pStyle w:val="TableParagraph"/>
              <w:ind w:right="126"/>
              <w:jc w:val="right"/>
              <w:rPr>
                <w:sz w:val="17"/>
              </w:rPr>
            </w:pPr>
            <w:r>
              <w:rPr>
                <w:spacing w:val="-5"/>
                <w:sz w:val="17"/>
              </w:rPr>
              <w:t>3.0</w:t>
            </w:r>
          </w:p>
        </w:tc>
        <w:tc>
          <w:tcPr>
            <w:tcW w:w="631" w:type="dxa"/>
            <w:tcBorders>
              <w:top w:val="single" w:color="DCDDDE" w:sz="4" w:space="0"/>
              <w:bottom w:val="single" w:color="DCDDDE" w:sz="4" w:space="0"/>
            </w:tcBorders>
          </w:tcPr>
          <w:p w:rsidR="00C31389" w:rsidRDefault="00561FBD" w14:paraId="1686305F" w14:textId="77777777">
            <w:pPr>
              <w:pStyle w:val="TableParagraph"/>
              <w:ind w:right="127"/>
              <w:jc w:val="right"/>
              <w:rPr>
                <w:sz w:val="17"/>
              </w:rPr>
            </w:pPr>
            <w:r>
              <w:rPr>
                <w:spacing w:val="-5"/>
                <w:sz w:val="17"/>
              </w:rPr>
              <w:t>2.8</w:t>
            </w:r>
          </w:p>
        </w:tc>
        <w:tc>
          <w:tcPr>
            <w:tcW w:w="631" w:type="dxa"/>
            <w:tcBorders>
              <w:top w:val="single" w:color="DCDDDE" w:sz="4" w:space="0"/>
              <w:bottom w:val="single" w:color="DCDDDE" w:sz="4" w:space="0"/>
            </w:tcBorders>
          </w:tcPr>
          <w:p w:rsidR="00C31389" w:rsidRDefault="00561FBD" w14:paraId="34FA6203" w14:textId="77777777">
            <w:pPr>
              <w:pStyle w:val="TableParagraph"/>
              <w:ind w:left="248" w:right="115"/>
              <w:jc w:val="center"/>
              <w:rPr>
                <w:sz w:val="17"/>
              </w:rPr>
            </w:pPr>
            <w:r>
              <w:rPr>
                <w:spacing w:val="-5"/>
                <w:sz w:val="17"/>
              </w:rPr>
              <w:t>2.5</w:t>
            </w:r>
          </w:p>
        </w:tc>
        <w:tc>
          <w:tcPr>
            <w:tcW w:w="631" w:type="dxa"/>
            <w:tcBorders>
              <w:top w:val="single" w:color="DCDDDE" w:sz="4" w:space="0"/>
              <w:bottom w:val="single" w:color="DCDDDE" w:sz="4" w:space="0"/>
            </w:tcBorders>
          </w:tcPr>
          <w:p w:rsidR="00C31389" w:rsidRDefault="00561FBD" w14:paraId="048EDB18" w14:textId="77777777">
            <w:pPr>
              <w:pStyle w:val="TableParagraph"/>
              <w:ind w:left="245" w:right="114"/>
              <w:jc w:val="center"/>
              <w:rPr>
                <w:sz w:val="17"/>
              </w:rPr>
            </w:pPr>
            <w:r>
              <w:rPr>
                <w:spacing w:val="-5"/>
                <w:sz w:val="17"/>
              </w:rPr>
              <w:t>2.3</w:t>
            </w:r>
          </w:p>
        </w:tc>
        <w:tc>
          <w:tcPr>
            <w:tcW w:w="631" w:type="dxa"/>
            <w:tcBorders>
              <w:top w:val="single" w:color="DCDDDE" w:sz="4" w:space="0"/>
              <w:bottom w:val="single" w:color="DCDDDE" w:sz="4" w:space="0"/>
            </w:tcBorders>
          </w:tcPr>
          <w:p w:rsidR="00C31389" w:rsidRDefault="00561FBD" w14:paraId="7777DE90" w14:textId="77777777">
            <w:pPr>
              <w:pStyle w:val="TableParagraph"/>
              <w:ind w:right="130"/>
              <w:jc w:val="right"/>
              <w:rPr>
                <w:sz w:val="17"/>
              </w:rPr>
            </w:pPr>
            <w:r>
              <w:rPr>
                <w:spacing w:val="-5"/>
                <w:sz w:val="17"/>
              </w:rPr>
              <w:t>2.2</w:t>
            </w:r>
          </w:p>
        </w:tc>
        <w:tc>
          <w:tcPr>
            <w:tcW w:w="631" w:type="dxa"/>
            <w:tcBorders>
              <w:top w:val="single" w:color="DCDDDE" w:sz="4" w:space="0"/>
              <w:bottom w:val="single" w:color="DCDDDE" w:sz="4" w:space="0"/>
            </w:tcBorders>
          </w:tcPr>
          <w:p w:rsidR="00C31389" w:rsidRDefault="00561FBD" w14:paraId="4CA23904" w14:textId="77777777">
            <w:pPr>
              <w:pStyle w:val="TableParagraph"/>
              <w:ind w:right="131"/>
              <w:jc w:val="right"/>
              <w:rPr>
                <w:sz w:val="17"/>
              </w:rPr>
            </w:pPr>
            <w:r>
              <w:rPr>
                <w:spacing w:val="-5"/>
                <w:sz w:val="17"/>
              </w:rPr>
              <w:t>2.1</w:t>
            </w:r>
          </w:p>
        </w:tc>
        <w:tc>
          <w:tcPr>
            <w:tcW w:w="631" w:type="dxa"/>
            <w:tcBorders>
              <w:top w:val="single" w:color="DCDDDE" w:sz="4" w:space="0"/>
              <w:bottom w:val="single" w:color="DCDDDE" w:sz="4" w:space="0"/>
            </w:tcBorders>
          </w:tcPr>
          <w:p w:rsidR="00C31389" w:rsidRDefault="00561FBD" w14:paraId="06722E4A" w14:textId="77777777">
            <w:pPr>
              <w:pStyle w:val="TableParagraph"/>
              <w:ind w:left="241" w:right="116"/>
              <w:jc w:val="center"/>
              <w:rPr>
                <w:sz w:val="17"/>
              </w:rPr>
            </w:pPr>
            <w:r>
              <w:rPr>
                <w:spacing w:val="-5"/>
                <w:sz w:val="17"/>
              </w:rPr>
              <w:t>2.2</w:t>
            </w:r>
          </w:p>
        </w:tc>
        <w:tc>
          <w:tcPr>
            <w:tcW w:w="631" w:type="dxa"/>
            <w:tcBorders>
              <w:top w:val="single" w:color="DCDDDE" w:sz="4" w:space="0"/>
              <w:bottom w:val="single" w:color="DCDDDE" w:sz="4" w:space="0"/>
            </w:tcBorders>
          </w:tcPr>
          <w:p w:rsidR="00C31389" w:rsidRDefault="00561FBD" w14:paraId="65668C92" w14:textId="77777777">
            <w:pPr>
              <w:pStyle w:val="TableParagraph"/>
              <w:ind w:right="133"/>
              <w:jc w:val="right"/>
              <w:rPr>
                <w:sz w:val="17"/>
              </w:rPr>
            </w:pPr>
            <w:r>
              <w:rPr>
                <w:spacing w:val="-5"/>
                <w:sz w:val="17"/>
              </w:rPr>
              <w:t>2.2</w:t>
            </w:r>
          </w:p>
        </w:tc>
        <w:tc>
          <w:tcPr>
            <w:tcW w:w="613" w:type="dxa"/>
            <w:tcBorders>
              <w:top w:val="single" w:color="DCDDDE" w:sz="4" w:space="0"/>
              <w:bottom w:val="single" w:color="DCDDDE" w:sz="4" w:space="0"/>
            </w:tcBorders>
          </w:tcPr>
          <w:p w:rsidR="00C31389" w:rsidRDefault="00561FBD" w14:paraId="2A2BA604" w14:textId="77777777">
            <w:pPr>
              <w:pStyle w:val="TableParagraph"/>
              <w:ind w:right="116"/>
              <w:jc w:val="right"/>
              <w:rPr>
                <w:sz w:val="17"/>
              </w:rPr>
            </w:pPr>
            <w:r>
              <w:rPr>
                <w:spacing w:val="-5"/>
                <w:sz w:val="17"/>
              </w:rPr>
              <w:t>2.2</w:t>
            </w:r>
          </w:p>
        </w:tc>
      </w:tr>
      <w:tr w:rsidR="00C31389" w14:paraId="74727202" w14:textId="77777777">
        <w:trPr>
          <w:trHeight w:val="275"/>
        </w:trPr>
        <w:tc>
          <w:tcPr>
            <w:tcW w:w="1507" w:type="dxa"/>
            <w:tcBorders>
              <w:top w:val="single" w:color="DCDDDE" w:sz="4" w:space="0"/>
              <w:bottom w:val="single" w:color="DCDDDE" w:sz="4" w:space="0"/>
            </w:tcBorders>
          </w:tcPr>
          <w:p w:rsidR="00C31389" w:rsidRDefault="00561FBD" w14:paraId="1AE0AE73"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38913EF4" w14:textId="77777777">
            <w:pPr>
              <w:pStyle w:val="TableParagraph"/>
              <w:ind w:right="192"/>
              <w:jc w:val="right"/>
              <w:rPr>
                <w:sz w:val="17"/>
              </w:rPr>
            </w:pPr>
            <w:r>
              <w:rPr>
                <w:spacing w:val="-2"/>
                <w:sz w:val="17"/>
              </w:rPr>
              <w:t>-</w:t>
            </w:r>
            <w:r>
              <w:rPr>
                <w:spacing w:val="-5"/>
                <w:sz w:val="17"/>
              </w:rPr>
              <w:t>1.0</w:t>
            </w:r>
          </w:p>
        </w:tc>
        <w:tc>
          <w:tcPr>
            <w:tcW w:w="712" w:type="dxa"/>
            <w:tcBorders>
              <w:top w:val="single" w:color="DCDDDE" w:sz="4" w:space="0"/>
              <w:bottom w:val="single" w:color="DCDDDE" w:sz="4" w:space="0"/>
            </w:tcBorders>
          </w:tcPr>
          <w:p w:rsidR="00C31389" w:rsidRDefault="00561FBD" w14:paraId="3728F3ED" w14:textId="77777777">
            <w:pPr>
              <w:pStyle w:val="TableParagraph"/>
              <w:ind w:right="138"/>
              <w:jc w:val="right"/>
              <w:rPr>
                <w:sz w:val="17"/>
              </w:rPr>
            </w:pPr>
            <w:r>
              <w:rPr>
                <w:spacing w:val="-2"/>
                <w:sz w:val="17"/>
              </w:rPr>
              <w:t>-</w:t>
            </w:r>
            <w:r>
              <w:rPr>
                <w:spacing w:val="-5"/>
                <w:sz w:val="17"/>
              </w:rPr>
              <w:t>1.0</w:t>
            </w:r>
          </w:p>
        </w:tc>
        <w:tc>
          <w:tcPr>
            <w:tcW w:w="644" w:type="dxa"/>
            <w:tcBorders>
              <w:top w:val="single" w:color="DCDDDE" w:sz="4" w:space="0"/>
              <w:bottom w:val="single" w:color="DCDDDE" w:sz="4" w:space="0"/>
            </w:tcBorders>
          </w:tcPr>
          <w:p w:rsidR="00C31389" w:rsidRDefault="00561FBD" w14:paraId="3922AA68" w14:textId="77777777">
            <w:pPr>
              <w:pStyle w:val="TableParagraph"/>
              <w:ind w:right="125"/>
              <w:jc w:val="right"/>
              <w:rPr>
                <w:sz w:val="17"/>
              </w:rPr>
            </w:pPr>
            <w:r>
              <w:rPr>
                <w:spacing w:val="-2"/>
                <w:sz w:val="17"/>
              </w:rPr>
              <w:t>-</w:t>
            </w:r>
            <w:r>
              <w:rPr>
                <w:spacing w:val="-5"/>
                <w:sz w:val="17"/>
              </w:rPr>
              <w:t>1.0</w:t>
            </w:r>
          </w:p>
        </w:tc>
        <w:tc>
          <w:tcPr>
            <w:tcW w:w="631" w:type="dxa"/>
            <w:tcBorders>
              <w:top w:val="single" w:color="DCDDDE" w:sz="4" w:space="0"/>
              <w:bottom w:val="single" w:color="DCDDDE" w:sz="4" w:space="0"/>
            </w:tcBorders>
          </w:tcPr>
          <w:p w:rsidR="00C31389" w:rsidRDefault="00561FBD" w14:paraId="01F0336C" w14:textId="77777777">
            <w:pPr>
              <w:pStyle w:val="TableParagraph"/>
              <w:ind w:right="126"/>
              <w:jc w:val="right"/>
              <w:rPr>
                <w:sz w:val="17"/>
              </w:rPr>
            </w:pPr>
            <w:r>
              <w:rPr>
                <w:spacing w:val="-2"/>
                <w:sz w:val="17"/>
              </w:rPr>
              <w:t>-</w:t>
            </w:r>
            <w:r>
              <w:rPr>
                <w:spacing w:val="-5"/>
                <w:sz w:val="17"/>
              </w:rPr>
              <w:t>1.1</w:t>
            </w:r>
          </w:p>
        </w:tc>
        <w:tc>
          <w:tcPr>
            <w:tcW w:w="631" w:type="dxa"/>
            <w:tcBorders>
              <w:top w:val="single" w:color="DCDDDE" w:sz="4" w:space="0"/>
              <w:bottom w:val="single" w:color="DCDDDE" w:sz="4" w:space="0"/>
            </w:tcBorders>
          </w:tcPr>
          <w:p w:rsidR="00C31389" w:rsidRDefault="00561FBD" w14:paraId="76F16F54" w14:textId="77777777">
            <w:pPr>
              <w:pStyle w:val="TableParagraph"/>
              <w:ind w:right="127"/>
              <w:jc w:val="right"/>
              <w:rPr>
                <w:sz w:val="17"/>
              </w:rPr>
            </w:pPr>
            <w:r>
              <w:rPr>
                <w:spacing w:val="-2"/>
                <w:sz w:val="17"/>
              </w:rPr>
              <w:t>-</w:t>
            </w:r>
            <w:r>
              <w:rPr>
                <w:spacing w:val="-5"/>
                <w:sz w:val="17"/>
              </w:rPr>
              <w:t>1.1</w:t>
            </w:r>
          </w:p>
        </w:tc>
        <w:tc>
          <w:tcPr>
            <w:tcW w:w="631" w:type="dxa"/>
            <w:tcBorders>
              <w:top w:val="single" w:color="DCDDDE" w:sz="4" w:space="0"/>
              <w:bottom w:val="single" w:color="DCDDDE" w:sz="4" w:space="0"/>
            </w:tcBorders>
          </w:tcPr>
          <w:p w:rsidR="00C31389" w:rsidRDefault="00561FBD" w14:paraId="2748D318" w14:textId="77777777">
            <w:pPr>
              <w:pStyle w:val="TableParagraph"/>
              <w:ind w:left="106" w:right="30"/>
              <w:jc w:val="center"/>
              <w:rPr>
                <w:sz w:val="17"/>
              </w:rPr>
            </w:pPr>
            <w:r>
              <w:rPr>
                <w:spacing w:val="-2"/>
                <w:sz w:val="17"/>
              </w:rPr>
              <w:t>-</w:t>
            </w:r>
            <w:r>
              <w:rPr>
                <w:spacing w:val="-5"/>
                <w:sz w:val="17"/>
              </w:rPr>
              <w:t>1.2</w:t>
            </w:r>
          </w:p>
        </w:tc>
        <w:tc>
          <w:tcPr>
            <w:tcW w:w="631" w:type="dxa"/>
            <w:tcBorders>
              <w:top w:val="single" w:color="DCDDDE" w:sz="4" w:space="0"/>
              <w:bottom w:val="single" w:color="DCDDDE" w:sz="4" w:space="0"/>
            </w:tcBorders>
          </w:tcPr>
          <w:p w:rsidR="00C31389" w:rsidRDefault="00561FBD" w14:paraId="2FD70794" w14:textId="77777777">
            <w:pPr>
              <w:pStyle w:val="TableParagraph"/>
              <w:ind w:left="245" w:right="114"/>
              <w:jc w:val="center"/>
              <w:rPr>
                <w:sz w:val="17"/>
              </w:rPr>
            </w:pPr>
            <w:r>
              <w:rPr>
                <w:spacing w:val="-5"/>
                <w:sz w:val="17"/>
              </w:rPr>
              <w:t>1.7</w:t>
            </w:r>
          </w:p>
        </w:tc>
        <w:tc>
          <w:tcPr>
            <w:tcW w:w="631" w:type="dxa"/>
            <w:tcBorders>
              <w:top w:val="single" w:color="DCDDDE" w:sz="4" w:space="0"/>
              <w:bottom w:val="single" w:color="DCDDDE" w:sz="4" w:space="0"/>
            </w:tcBorders>
          </w:tcPr>
          <w:p w:rsidR="00C31389" w:rsidRDefault="00561FBD" w14:paraId="674A73A8" w14:textId="77777777">
            <w:pPr>
              <w:pStyle w:val="TableParagraph"/>
              <w:ind w:right="130"/>
              <w:jc w:val="right"/>
              <w:rPr>
                <w:sz w:val="17"/>
              </w:rPr>
            </w:pPr>
            <w:r>
              <w:rPr>
                <w:spacing w:val="-5"/>
                <w:sz w:val="17"/>
              </w:rPr>
              <w:t>2.1</w:t>
            </w:r>
          </w:p>
        </w:tc>
        <w:tc>
          <w:tcPr>
            <w:tcW w:w="631" w:type="dxa"/>
            <w:tcBorders>
              <w:top w:val="single" w:color="DCDDDE" w:sz="4" w:space="0"/>
              <w:bottom w:val="single" w:color="DCDDDE" w:sz="4" w:space="0"/>
            </w:tcBorders>
          </w:tcPr>
          <w:p w:rsidR="00C31389" w:rsidRDefault="00561FBD" w14:paraId="2E43EB65" w14:textId="77777777">
            <w:pPr>
              <w:pStyle w:val="TableParagraph"/>
              <w:ind w:right="131"/>
              <w:jc w:val="right"/>
              <w:rPr>
                <w:sz w:val="17"/>
              </w:rPr>
            </w:pPr>
            <w:r>
              <w:rPr>
                <w:spacing w:val="-5"/>
                <w:sz w:val="17"/>
              </w:rPr>
              <w:t>2.6</w:t>
            </w:r>
          </w:p>
        </w:tc>
        <w:tc>
          <w:tcPr>
            <w:tcW w:w="631" w:type="dxa"/>
            <w:tcBorders>
              <w:top w:val="single" w:color="DCDDDE" w:sz="4" w:space="0"/>
              <w:bottom w:val="single" w:color="DCDDDE" w:sz="4" w:space="0"/>
            </w:tcBorders>
          </w:tcPr>
          <w:p w:rsidR="00C31389" w:rsidRDefault="00561FBD" w14:paraId="7EAA42BA" w14:textId="77777777">
            <w:pPr>
              <w:pStyle w:val="TableParagraph"/>
              <w:ind w:left="241" w:right="116"/>
              <w:jc w:val="center"/>
              <w:rPr>
                <w:sz w:val="17"/>
              </w:rPr>
            </w:pPr>
            <w:r>
              <w:rPr>
                <w:spacing w:val="-5"/>
                <w:sz w:val="17"/>
              </w:rPr>
              <w:t>1.2</w:t>
            </w:r>
          </w:p>
        </w:tc>
        <w:tc>
          <w:tcPr>
            <w:tcW w:w="631" w:type="dxa"/>
            <w:tcBorders>
              <w:top w:val="single" w:color="DCDDDE" w:sz="4" w:space="0"/>
              <w:bottom w:val="single" w:color="DCDDDE" w:sz="4" w:space="0"/>
            </w:tcBorders>
          </w:tcPr>
          <w:p w:rsidR="00C31389" w:rsidRDefault="00561FBD" w14:paraId="64CECCE2" w14:textId="77777777">
            <w:pPr>
              <w:pStyle w:val="TableParagraph"/>
              <w:ind w:right="133"/>
              <w:jc w:val="right"/>
              <w:rPr>
                <w:sz w:val="17"/>
              </w:rPr>
            </w:pPr>
            <w:r>
              <w:rPr>
                <w:spacing w:val="-5"/>
                <w:sz w:val="17"/>
              </w:rPr>
              <w:t>1.3</w:t>
            </w:r>
          </w:p>
        </w:tc>
        <w:tc>
          <w:tcPr>
            <w:tcW w:w="613" w:type="dxa"/>
            <w:tcBorders>
              <w:top w:val="single" w:color="DCDDDE" w:sz="4" w:space="0"/>
              <w:bottom w:val="single" w:color="DCDDDE" w:sz="4" w:space="0"/>
            </w:tcBorders>
          </w:tcPr>
          <w:p w:rsidR="00C31389" w:rsidRDefault="00561FBD" w14:paraId="6C96E8EB" w14:textId="77777777">
            <w:pPr>
              <w:pStyle w:val="TableParagraph"/>
              <w:ind w:right="116"/>
              <w:jc w:val="right"/>
              <w:rPr>
                <w:sz w:val="17"/>
              </w:rPr>
            </w:pPr>
            <w:r>
              <w:rPr>
                <w:spacing w:val="-5"/>
                <w:sz w:val="17"/>
              </w:rPr>
              <w:t>3.5</w:t>
            </w:r>
          </w:p>
        </w:tc>
      </w:tr>
      <w:tr w:rsidR="00C31389" w14:paraId="1FE05F23" w14:textId="77777777">
        <w:trPr>
          <w:trHeight w:val="275"/>
        </w:trPr>
        <w:tc>
          <w:tcPr>
            <w:tcW w:w="1507" w:type="dxa"/>
            <w:tcBorders>
              <w:top w:val="single" w:color="DCDDDE" w:sz="4" w:space="0"/>
              <w:bottom w:val="single" w:color="DCDDDE" w:sz="4" w:space="0"/>
            </w:tcBorders>
          </w:tcPr>
          <w:p w:rsidR="00C31389" w:rsidRDefault="00561FBD" w14:paraId="658CB3A1"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61D41FE5" w14:textId="77777777">
            <w:pPr>
              <w:pStyle w:val="TableParagraph"/>
              <w:ind w:right="192"/>
              <w:jc w:val="right"/>
              <w:rPr>
                <w:sz w:val="17"/>
              </w:rPr>
            </w:pPr>
            <w:r>
              <w:rPr>
                <w:spacing w:val="-4"/>
                <w:sz w:val="17"/>
              </w:rPr>
              <w:t>11.9</w:t>
            </w:r>
          </w:p>
        </w:tc>
        <w:tc>
          <w:tcPr>
            <w:tcW w:w="712" w:type="dxa"/>
            <w:tcBorders>
              <w:top w:val="single" w:color="DCDDDE" w:sz="4" w:space="0"/>
              <w:bottom w:val="single" w:color="DCDDDE" w:sz="4" w:space="0"/>
            </w:tcBorders>
          </w:tcPr>
          <w:p w:rsidR="00C31389" w:rsidRDefault="00561FBD" w14:paraId="21D8906D" w14:textId="77777777">
            <w:pPr>
              <w:pStyle w:val="TableParagraph"/>
              <w:ind w:right="138"/>
              <w:jc w:val="right"/>
              <w:rPr>
                <w:sz w:val="17"/>
              </w:rPr>
            </w:pPr>
            <w:r>
              <w:rPr>
                <w:spacing w:val="-4"/>
                <w:sz w:val="17"/>
              </w:rPr>
              <w:t>12.3</w:t>
            </w:r>
          </w:p>
        </w:tc>
        <w:tc>
          <w:tcPr>
            <w:tcW w:w="644" w:type="dxa"/>
            <w:tcBorders>
              <w:top w:val="single" w:color="DCDDDE" w:sz="4" w:space="0"/>
              <w:bottom w:val="single" w:color="DCDDDE" w:sz="4" w:space="0"/>
            </w:tcBorders>
          </w:tcPr>
          <w:p w:rsidR="00C31389" w:rsidRDefault="00561FBD" w14:paraId="0C295F39" w14:textId="77777777">
            <w:pPr>
              <w:pStyle w:val="TableParagraph"/>
              <w:ind w:right="125"/>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2A36B4F9" w14:textId="77777777">
            <w:pPr>
              <w:pStyle w:val="TableParagraph"/>
              <w:ind w:right="126"/>
              <w:jc w:val="right"/>
              <w:rPr>
                <w:sz w:val="17"/>
              </w:rPr>
            </w:pPr>
            <w:r>
              <w:rPr>
                <w:spacing w:val="-4"/>
                <w:sz w:val="17"/>
              </w:rPr>
              <w:t>13.2</w:t>
            </w:r>
          </w:p>
        </w:tc>
        <w:tc>
          <w:tcPr>
            <w:tcW w:w="631" w:type="dxa"/>
            <w:tcBorders>
              <w:top w:val="single" w:color="DCDDDE" w:sz="4" w:space="0"/>
              <w:bottom w:val="single" w:color="DCDDDE" w:sz="4" w:space="0"/>
            </w:tcBorders>
          </w:tcPr>
          <w:p w:rsidR="00C31389" w:rsidRDefault="00561FBD" w14:paraId="0FC96ED4" w14:textId="77777777">
            <w:pPr>
              <w:pStyle w:val="TableParagraph"/>
              <w:ind w:right="127"/>
              <w:jc w:val="right"/>
              <w:rPr>
                <w:sz w:val="17"/>
              </w:rPr>
            </w:pPr>
            <w:r>
              <w:rPr>
                <w:spacing w:val="-4"/>
                <w:sz w:val="17"/>
              </w:rPr>
              <w:t>13.6</w:t>
            </w:r>
          </w:p>
        </w:tc>
        <w:tc>
          <w:tcPr>
            <w:tcW w:w="631" w:type="dxa"/>
            <w:tcBorders>
              <w:top w:val="single" w:color="DCDDDE" w:sz="4" w:space="0"/>
              <w:bottom w:val="single" w:color="DCDDDE" w:sz="4" w:space="0"/>
            </w:tcBorders>
          </w:tcPr>
          <w:p w:rsidR="00C31389" w:rsidRDefault="00561FBD" w14:paraId="3DAD8199" w14:textId="77777777">
            <w:pPr>
              <w:pStyle w:val="TableParagraph"/>
              <w:ind w:left="106" w:right="68"/>
              <w:jc w:val="center"/>
              <w:rPr>
                <w:sz w:val="17"/>
              </w:rPr>
            </w:pPr>
            <w:r>
              <w:rPr>
                <w:spacing w:val="-4"/>
                <w:sz w:val="17"/>
              </w:rPr>
              <w:t>14.1</w:t>
            </w:r>
          </w:p>
        </w:tc>
        <w:tc>
          <w:tcPr>
            <w:tcW w:w="631" w:type="dxa"/>
            <w:tcBorders>
              <w:top w:val="single" w:color="DCDDDE" w:sz="4" w:space="0"/>
              <w:bottom w:val="single" w:color="DCDDDE" w:sz="4" w:space="0"/>
            </w:tcBorders>
          </w:tcPr>
          <w:p w:rsidR="00C31389" w:rsidRDefault="00561FBD" w14:paraId="4451A878" w14:textId="77777777">
            <w:pPr>
              <w:pStyle w:val="TableParagraph"/>
              <w:ind w:left="106" w:right="70"/>
              <w:jc w:val="center"/>
              <w:rPr>
                <w:sz w:val="17"/>
              </w:rPr>
            </w:pPr>
            <w:r>
              <w:rPr>
                <w:spacing w:val="-4"/>
                <w:sz w:val="17"/>
              </w:rPr>
              <w:t>14.6</w:t>
            </w:r>
          </w:p>
        </w:tc>
        <w:tc>
          <w:tcPr>
            <w:tcW w:w="631" w:type="dxa"/>
            <w:tcBorders>
              <w:top w:val="single" w:color="DCDDDE" w:sz="4" w:space="0"/>
              <w:bottom w:val="single" w:color="DCDDDE" w:sz="4" w:space="0"/>
            </w:tcBorders>
          </w:tcPr>
          <w:p w:rsidR="00C31389" w:rsidRDefault="00561FBD" w14:paraId="0BB8CDED" w14:textId="77777777">
            <w:pPr>
              <w:pStyle w:val="TableParagraph"/>
              <w:ind w:right="130"/>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4BC0B7C4" w14:textId="77777777">
            <w:pPr>
              <w:pStyle w:val="TableParagraph"/>
              <w:ind w:right="131"/>
              <w:jc w:val="right"/>
              <w:rPr>
                <w:sz w:val="17"/>
              </w:rPr>
            </w:pPr>
            <w:r>
              <w:rPr>
                <w:spacing w:val="-4"/>
                <w:sz w:val="17"/>
              </w:rPr>
              <w:t>15.6</w:t>
            </w:r>
          </w:p>
        </w:tc>
        <w:tc>
          <w:tcPr>
            <w:tcW w:w="631" w:type="dxa"/>
            <w:tcBorders>
              <w:top w:val="single" w:color="DCDDDE" w:sz="4" w:space="0"/>
              <w:bottom w:val="single" w:color="DCDDDE" w:sz="4" w:space="0"/>
            </w:tcBorders>
          </w:tcPr>
          <w:p w:rsidR="00C31389" w:rsidRDefault="00561FBD" w14:paraId="3B56BCA9" w14:textId="77777777">
            <w:pPr>
              <w:pStyle w:val="TableParagraph"/>
              <w:ind w:left="106" w:right="76"/>
              <w:jc w:val="center"/>
              <w:rPr>
                <w:sz w:val="17"/>
              </w:rPr>
            </w:pPr>
            <w:r>
              <w:rPr>
                <w:spacing w:val="-4"/>
                <w:sz w:val="17"/>
              </w:rPr>
              <w:t>16.2</w:t>
            </w:r>
          </w:p>
        </w:tc>
        <w:tc>
          <w:tcPr>
            <w:tcW w:w="631" w:type="dxa"/>
            <w:tcBorders>
              <w:top w:val="single" w:color="DCDDDE" w:sz="4" w:space="0"/>
              <w:bottom w:val="single" w:color="DCDDDE" w:sz="4" w:space="0"/>
            </w:tcBorders>
          </w:tcPr>
          <w:p w:rsidR="00C31389" w:rsidRDefault="00561FBD" w14:paraId="09906CCD" w14:textId="77777777">
            <w:pPr>
              <w:pStyle w:val="TableParagraph"/>
              <w:ind w:right="133"/>
              <w:jc w:val="right"/>
              <w:rPr>
                <w:sz w:val="17"/>
              </w:rPr>
            </w:pPr>
            <w:r>
              <w:rPr>
                <w:spacing w:val="-4"/>
                <w:sz w:val="17"/>
              </w:rPr>
              <w:t>16.5</w:t>
            </w:r>
          </w:p>
        </w:tc>
        <w:tc>
          <w:tcPr>
            <w:tcW w:w="613" w:type="dxa"/>
            <w:tcBorders>
              <w:top w:val="single" w:color="DCDDDE" w:sz="4" w:space="0"/>
              <w:bottom w:val="single" w:color="DCDDDE" w:sz="4" w:space="0"/>
            </w:tcBorders>
          </w:tcPr>
          <w:p w:rsidR="00C31389" w:rsidRDefault="00561FBD" w14:paraId="04AA99F1" w14:textId="77777777">
            <w:pPr>
              <w:pStyle w:val="TableParagraph"/>
              <w:ind w:right="116"/>
              <w:jc w:val="right"/>
              <w:rPr>
                <w:sz w:val="17"/>
              </w:rPr>
            </w:pPr>
            <w:r>
              <w:rPr>
                <w:spacing w:val="-4"/>
                <w:sz w:val="17"/>
              </w:rPr>
              <w:t>17.1</w:t>
            </w:r>
          </w:p>
        </w:tc>
      </w:tr>
      <w:tr w:rsidR="00C31389" w14:paraId="2942C56E"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7DAE781C"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7170FAC3" w14:textId="77777777">
        <w:trPr>
          <w:trHeight w:val="275"/>
        </w:trPr>
        <w:tc>
          <w:tcPr>
            <w:tcW w:w="1507" w:type="dxa"/>
            <w:tcBorders>
              <w:top w:val="single" w:color="DCDDDE" w:sz="4" w:space="0"/>
              <w:bottom w:val="single" w:color="DCDDDE" w:sz="4" w:space="0"/>
            </w:tcBorders>
          </w:tcPr>
          <w:p w:rsidR="00C31389" w:rsidRDefault="00561FBD" w14:paraId="019CDF29" w14:textId="77777777">
            <w:pPr>
              <w:pStyle w:val="TableParagraph"/>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7A29E555" w14:textId="77777777">
            <w:pPr>
              <w:pStyle w:val="TableParagraph"/>
              <w:ind w:right="192"/>
              <w:jc w:val="right"/>
              <w:rPr>
                <w:sz w:val="17"/>
              </w:rPr>
            </w:pPr>
            <w:r>
              <w:rPr>
                <w:spacing w:val="-5"/>
                <w:sz w:val="17"/>
              </w:rPr>
              <w:t>4.0</w:t>
            </w:r>
          </w:p>
        </w:tc>
        <w:tc>
          <w:tcPr>
            <w:tcW w:w="712" w:type="dxa"/>
            <w:tcBorders>
              <w:top w:val="single" w:color="DCDDDE" w:sz="4" w:space="0"/>
              <w:bottom w:val="single" w:color="DCDDDE" w:sz="4" w:space="0"/>
            </w:tcBorders>
          </w:tcPr>
          <w:p w:rsidR="00C31389" w:rsidRDefault="00561FBD" w14:paraId="344FEBFC" w14:textId="77777777">
            <w:pPr>
              <w:pStyle w:val="TableParagraph"/>
              <w:ind w:right="138"/>
              <w:jc w:val="right"/>
              <w:rPr>
                <w:sz w:val="17"/>
              </w:rPr>
            </w:pPr>
            <w:r>
              <w:rPr>
                <w:spacing w:val="-5"/>
                <w:sz w:val="17"/>
              </w:rPr>
              <w:t>3.8</w:t>
            </w:r>
          </w:p>
        </w:tc>
        <w:tc>
          <w:tcPr>
            <w:tcW w:w="644" w:type="dxa"/>
            <w:tcBorders>
              <w:top w:val="single" w:color="DCDDDE" w:sz="4" w:space="0"/>
              <w:bottom w:val="single" w:color="DCDDDE" w:sz="4" w:space="0"/>
            </w:tcBorders>
          </w:tcPr>
          <w:p w:rsidR="00C31389" w:rsidRDefault="00561FBD" w14:paraId="791CFC88" w14:textId="77777777">
            <w:pPr>
              <w:pStyle w:val="TableParagraph"/>
              <w:ind w:right="125"/>
              <w:jc w:val="right"/>
              <w:rPr>
                <w:sz w:val="17"/>
              </w:rPr>
            </w:pPr>
            <w:r>
              <w:rPr>
                <w:spacing w:val="-5"/>
                <w:sz w:val="17"/>
              </w:rPr>
              <w:t>3.4</w:t>
            </w:r>
          </w:p>
        </w:tc>
        <w:tc>
          <w:tcPr>
            <w:tcW w:w="631" w:type="dxa"/>
            <w:tcBorders>
              <w:top w:val="single" w:color="DCDDDE" w:sz="4" w:space="0"/>
              <w:bottom w:val="single" w:color="DCDDDE" w:sz="4" w:space="0"/>
            </w:tcBorders>
          </w:tcPr>
          <w:p w:rsidR="00C31389" w:rsidRDefault="00561FBD" w14:paraId="6810F360" w14:textId="77777777">
            <w:pPr>
              <w:pStyle w:val="TableParagraph"/>
              <w:ind w:right="126"/>
              <w:jc w:val="right"/>
              <w:rPr>
                <w:sz w:val="17"/>
              </w:rPr>
            </w:pPr>
            <w:r>
              <w:rPr>
                <w:spacing w:val="-5"/>
                <w:sz w:val="17"/>
              </w:rPr>
              <w:t>3.2</w:t>
            </w:r>
          </w:p>
        </w:tc>
        <w:tc>
          <w:tcPr>
            <w:tcW w:w="631" w:type="dxa"/>
            <w:tcBorders>
              <w:top w:val="single" w:color="DCDDDE" w:sz="4" w:space="0"/>
              <w:bottom w:val="single" w:color="DCDDDE" w:sz="4" w:space="0"/>
            </w:tcBorders>
          </w:tcPr>
          <w:p w:rsidR="00C31389" w:rsidRDefault="00561FBD" w14:paraId="6D55A162" w14:textId="77777777">
            <w:pPr>
              <w:pStyle w:val="TableParagraph"/>
              <w:ind w:right="127"/>
              <w:jc w:val="right"/>
              <w:rPr>
                <w:sz w:val="17"/>
              </w:rPr>
            </w:pPr>
            <w:r>
              <w:rPr>
                <w:spacing w:val="-5"/>
                <w:sz w:val="17"/>
              </w:rPr>
              <w:t>2.9</w:t>
            </w:r>
          </w:p>
        </w:tc>
        <w:tc>
          <w:tcPr>
            <w:tcW w:w="631" w:type="dxa"/>
            <w:tcBorders>
              <w:top w:val="single" w:color="DCDDDE" w:sz="4" w:space="0"/>
              <w:bottom w:val="single" w:color="DCDDDE" w:sz="4" w:space="0"/>
            </w:tcBorders>
          </w:tcPr>
          <w:p w:rsidR="00C31389" w:rsidRDefault="00561FBD" w14:paraId="091D21F1" w14:textId="77777777">
            <w:pPr>
              <w:pStyle w:val="TableParagraph"/>
              <w:ind w:left="248" w:right="115"/>
              <w:jc w:val="center"/>
              <w:rPr>
                <w:sz w:val="17"/>
              </w:rPr>
            </w:pPr>
            <w:r>
              <w:rPr>
                <w:spacing w:val="-5"/>
                <w:sz w:val="17"/>
              </w:rPr>
              <w:t>2.5</w:t>
            </w:r>
          </w:p>
        </w:tc>
        <w:tc>
          <w:tcPr>
            <w:tcW w:w="631" w:type="dxa"/>
            <w:tcBorders>
              <w:top w:val="single" w:color="DCDDDE" w:sz="4" w:space="0"/>
              <w:bottom w:val="single" w:color="DCDDDE" w:sz="4" w:space="0"/>
            </w:tcBorders>
          </w:tcPr>
          <w:p w:rsidR="00C31389" w:rsidRDefault="00561FBD" w14:paraId="3DABDF69" w14:textId="77777777">
            <w:pPr>
              <w:pStyle w:val="TableParagraph"/>
              <w:ind w:left="245" w:right="114"/>
              <w:jc w:val="center"/>
              <w:rPr>
                <w:sz w:val="17"/>
              </w:rPr>
            </w:pPr>
            <w:r>
              <w:rPr>
                <w:spacing w:val="-5"/>
                <w:sz w:val="17"/>
              </w:rPr>
              <w:t>2.3</w:t>
            </w:r>
          </w:p>
        </w:tc>
        <w:tc>
          <w:tcPr>
            <w:tcW w:w="631" w:type="dxa"/>
            <w:tcBorders>
              <w:top w:val="single" w:color="DCDDDE" w:sz="4" w:space="0"/>
              <w:bottom w:val="single" w:color="DCDDDE" w:sz="4" w:space="0"/>
            </w:tcBorders>
          </w:tcPr>
          <w:p w:rsidR="00C31389" w:rsidRDefault="00561FBD" w14:paraId="05A69637" w14:textId="77777777">
            <w:pPr>
              <w:pStyle w:val="TableParagraph"/>
              <w:ind w:right="130"/>
              <w:jc w:val="right"/>
              <w:rPr>
                <w:sz w:val="17"/>
              </w:rPr>
            </w:pPr>
            <w:r>
              <w:rPr>
                <w:spacing w:val="-5"/>
                <w:sz w:val="17"/>
              </w:rPr>
              <w:t>2.2</w:t>
            </w:r>
          </w:p>
        </w:tc>
        <w:tc>
          <w:tcPr>
            <w:tcW w:w="631" w:type="dxa"/>
            <w:tcBorders>
              <w:top w:val="single" w:color="DCDDDE" w:sz="4" w:space="0"/>
              <w:bottom w:val="single" w:color="DCDDDE" w:sz="4" w:space="0"/>
            </w:tcBorders>
          </w:tcPr>
          <w:p w:rsidR="00C31389" w:rsidRDefault="00561FBD" w14:paraId="62DD7201" w14:textId="77777777">
            <w:pPr>
              <w:pStyle w:val="TableParagraph"/>
              <w:ind w:right="131"/>
              <w:jc w:val="right"/>
              <w:rPr>
                <w:sz w:val="17"/>
              </w:rPr>
            </w:pPr>
            <w:r>
              <w:rPr>
                <w:spacing w:val="-5"/>
                <w:sz w:val="17"/>
              </w:rPr>
              <w:t>2.2</w:t>
            </w:r>
          </w:p>
        </w:tc>
        <w:tc>
          <w:tcPr>
            <w:tcW w:w="631" w:type="dxa"/>
            <w:tcBorders>
              <w:top w:val="single" w:color="DCDDDE" w:sz="4" w:space="0"/>
              <w:bottom w:val="single" w:color="DCDDDE" w:sz="4" w:space="0"/>
            </w:tcBorders>
          </w:tcPr>
          <w:p w:rsidR="00C31389" w:rsidRDefault="00561FBD" w14:paraId="646B68C7" w14:textId="77777777">
            <w:pPr>
              <w:pStyle w:val="TableParagraph"/>
              <w:ind w:left="241" w:right="116"/>
              <w:jc w:val="center"/>
              <w:rPr>
                <w:sz w:val="17"/>
              </w:rPr>
            </w:pPr>
            <w:r>
              <w:rPr>
                <w:spacing w:val="-5"/>
                <w:sz w:val="17"/>
              </w:rPr>
              <w:t>2.2</w:t>
            </w:r>
          </w:p>
        </w:tc>
        <w:tc>
          <w:tcPr>
            <w:tcW w:w="631" w:type="dxa"/>
            <w:tcBorders>
              <w:top w:val="single" w:color="DCDDDE" w:sz="4" w:space="0"/>
              <w:bottom w:val="single" w:color="DCDDDE" w:sz="4" w:space="0"/>
            </w:tcBorders>
          </w:tcPr>
          <w:p w:rsidR="00C31389" w:rsidRDefault="00561FBD" w14:paraId="079F8106" w14:textId="77777777">
            <w:pPr>
              <w:pStyle w:val="TableParagraph"/>
              <w:ind w:right="133"/>
              <w:jc w:val="right"/>
              <w:rPr>
                <w:sz w:val="17"/>
              </w:rPr>
            </w:pPr>
            <w:r>
              <w:rPr>
                <w:spacing w:val="-5"/>
                <w:sz w:val="17"/>
              </w:rPr>
              <w:t>2.2</w:t>
            </w:r>
          </w:p>
        </w:tc>
        <w:tc>
          <w:tcPr>
            <w:tcW w:w="613" w:type="dxa"/>
            <w:tcBorders>
              <w:top w:val="single" w:color="DCDDDE" w:sz="4" w:space="0"/>
              <w:bottom w:val="single" w:color="DCDDDE" w:sz="4" w:space="0"/>
            </w:tcBorders>
          </w:tcPr>
          <w:p w:rsidR="00C31389" w:rsidRDefault="00561FBD" w14:paraId="0D2577C8" w14:textId="77777777">
            <w:pPr>
              <w:pStyle w:val="TableParagraph"/>
              <w:ind w:right="116"/>
              <w:jc w:val="right"/>
              <w:rPr>
                <w:sz w:val="17"/>
              </w:rPr>
            </w:pPr>
            <w:r>
              <w:rPr>
                <w:spacing w:val="-5"/>
                <w:sz w:val="17"/>
              </w:rPr>
              <w:t>2.2</w:t>
            </w:r>
          </w:p>
        </w:tc>
      </w:tr>
      <w:tr w:rsidR="00C31389" w14:paraId="58130028" w14:textId="77777777">
        <w:trPr>
          <w:trHeight w:val="275"/>
        </w:trPr>
        <w:tc>
          <w:tcPr>
            <w:tcW w:w="1507" w:type="dxa"/>
            <w:tcBorders>
              <w:top w:val="single" w:color="DCDDDE" w:sz="4" w:space="0"/>
              <w:bottom w:val="single" w:color="DCDDDE" w:sz="4" w:space="0"/>
            </w:tcBorders>
          </w:tcPr>
          <w:p w:rsidR="00C31389" w:rsidRDefault="00561FBD" w14:paraId="1650F325"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3A8C7FEC" w14:textId="77777777">
            <w:pPr>
              <w:pStyle w:val="TableParagraph"/>
              <w:ind w:right="192"/>
              <w:jc w:val="right"/>
              <w:rPr>
                <w:sz w:val="17"/>
              </w:rPr>
            </w:pPr>
            <w:r>
              <w:rPr>
                <w:spacing w:val="-2"/>
                <w:sz w:val="17"/>
              </w:rPr>
              <w:t>-</w:t>
            </w:r>
            <w:r>
              <w:rPr>
                <w:spacing w:val="-5"/>
                <w:sz w:val="17"/>
              </w:rPr>
              <w:t>0.0</w:t>
            </w:r>
          </w:p>
        </w:tc>
        <w:tc>
          <w:tcPr>
            <w:tcW w:w="712" w:type="dxa"/>
            <w:tcBorders>
              <w:top w:val="single" w:color="DCDDDE" w:sz="4" w:space="0"/>
              <w:bottom w:val="single" w:color="DCDDDE" w:sz="4" w:space="0"/>
            </w:tcBorders>
          </w:tcPr>
          <w:p w:rsidR="00C31389" w:rsidRDefault="00561FBD" w14:paraId="3B146464" w14:textId="77777777">
            <w:pPr>
              <w:pStyle w:val="TableParagraph"/>
              <w:ind w:right="138"/>
              <w:jc w:val="right"/>
              <w:rPr>
                <w:sz w:val="17"/>
              </w:rPr>
            </w:pPr>
            <w:r>
              <w:rPr>
                <w:spacing w:val="-2"/>
                <w:sz w:val="17"/>
              </w:rPr>
              <w:t>-</w:t>
            </w:r>
            <w:r>
              <w:rPr>
                <w:spacing w:val="-5"/>
                <w:sz w:val="17"/>
              </w:rPr>
              <w:t>0.0</w:t>
            </w:r>
          </w:p>
        </w:tc>
        <w:tc>
          <w:tcPr>
            <w:tcW w:w="644" w:type="dxa"/>
            <w:tcBorders>
              <w:top w:val="single" w:color="DCDDDE" w:sz="4" w:space="0"/>
              <w:bottom w:val="single" w:color="DCDDDE" w:sz="4" w:space="0"/>
            </w:tcBorders>
          </w:tcPr>
          <w:p w:rsidR="00C31389" w:rsidRDefault="00561FBD" w14:paraId="185C1A23" w14:textId="77777777">
            <w:pPr>
              <w:pStyle w:val="TableParagraph"/>
              <w:ind w:right="125"/>
              <w:jc w:val="right"/>
              <w:rPr>
                <w:sz w:val="17"/>
              </w:rPr>
            </w:pPr>
            <w:r>
              <w:rPr>
                <w:spacing w:val="-2"/>
                <w:sz w:val="17"/>
              </w:rPr>
              <w:t>-</w:t>
            </w:r>
            <w:r>
              <w:rPr>
                <w:spacing w:val="-5"/>
                <w:sz w:val="17"/>
              </w:rPr>
              <w:t>0.1</w:t>
            </w:r>
          </w:p>
        </w:tc>
        <w:tc>
          <w:tcPr>
            <w:tcW w:w="631" w:type="dxa"/>
            <w:tcBorders>
              <w:top w:val="single" w:color="DCDDDE" w:sz="4" w:space="0"/>
              <w:bottom w:val="single" w:color="DCDDDE" w:sz="4" w:space="0"/>
            </w:tcBorders>
          </w:tcPr>
          <w:p w:rsidR="00C31389" w:rsidRDefault="00561FBD" w14:paraId="206360F9" w14:textId="77777777">
            <w:pPr>
              <w:pStyle w:val="TableParagraph"/>
              <w:ind w:right="126"/>
              <w:jc w:val="right"/>
              <w:rPr>
                <w:sz w:val="17"/>
              </w:rPr>
            </w:pPr>
            <w:r>
              <w:rPr>
                <w:spacing w:val="-2"/>
                <w:sz w:val="17"/>
              </w:rPr>
              <w:t>-</w:t>
            </w:r>
            <w:r>
              <w:rPr>
                <w:spacing w:val="-5"/>
                <w:sz w:val="17"/>
              </w:rPr>
              <w:t>0.1</w:t>
            </w:r>
          </w:p>
        </w:tc>
        <w:tc>
          <w:tcPr>
            <w:tcW w:w="631" w:type="dxa"/>
            <w:tcBorders>
              <w:top w:val="single" w:color="DCDDDE" w:sz="4" w:space="0"/>
              <w:bottom w:val="single" w:color="DCDDDE" w:sz="4" w:space="0"/>
            </w:tcBorders>
          </w:tcPr>
          <w:p w:rsidR="00C31389" w:rsidRDefault="00561FBD" w14:paraId="1F8BE309" w14:textId="77777777">
            <w:pPr>
              <w:pStyle w:val="TableParagraph"/>
              <w:ind w:right="127"/>
              <w:jc w:val="right"/>
              <w:rPr>
                <w:sz w:val="17"/>
              </w:rPr>
            </w:pPr>
            <w:r>
              <w:rPr>
                <w:spacing w:val="-2"/>
                <w:sz w:val="17"/>
              </w:rPr>
              <w:t>-</w:t>
            </w:r>
            <w:r>
              <w:rPr>
                <w:spacing w:val="-5"/>
                <w:sz w:val="17"/>
              </w:rPr>
              <w:t>0.2</w:t>
            </w:r>
          </w:p>
        </w:tc>
        <w:tc>
          <w:tcPr>
            <w:tcW w:w="631" w:type="dxa"/>
            <w:tcBorders>
              <w:top w:val="single" w:color="DCDDDE" w:sz="4" w:space="0"/>
              <w:bottom w:val="single" w:color="DCDDDE" w:sz="4" w:space="0"/>
            </w:tcBorders>
          </w:tcPr>
          <w:p w:rsidR="00C31389" w:rsidRDefault="00561FBD" w14:paraId="54919B0C" w14:textId="77777777">
            <w:pPr>
              <w:pStyle w:val="TableParagraph"/>
              <w:ind w:left="106" w:right="30"/>
              <w:jc w:val="center"/>
              <w:rPr>
                <w:sz w:val="17"/>
              </w:rPr>
            </w:pPr>
            <w:r>
              <w:rPr>
                <w:spacing w:val="-2"/>
                <w:sz w:val="17"/>
              </w:rPr>
              <w:t>-</w:t>
            </w:r>
            <w:r>
              <w:rPr>
                <w:spacing w:val="-5"/>
                <w:sz w:val="17"/>
              </w:rPr>
              <w:t>0.2</w:t>
            </w:r>
          </w:p>
        </w:tc>
        <w:tc>
          <w:tcPr>
            <w:tcW w:w="631" w:type="dxa"/>
            <w:tcBorders>
              <w:top w:val="single" w:color="DCDDDE" w:sz="4" w:space="0"/>
              <w:bottom w:val="single" w:color="DCDDDE" w:sz="4" w:space="0"/>
            </w:tcBorders>
          </w:tcPr>
          <w:p w:rsidR="00C31389" w:rsidRDefault="00561FBD" w14:paraId="70F5FFD6" w14:textId="77777777">
            <w:pPr>
              <w:pStyle w:val="TableParagraph"/>
              <w:ind w:left="245" w:right="114"/>
              <w:jc w:val="center"/>
              <w:rPr>
                <w:sz w:val="17"/>
              </w:rPr>
            </w:pPr>
            <w:r>
              <w:rPr>
                <w:spacing w:val="-5"/>
                <w:sz w:val="17"/>
              </w:rPr>
              <w:t>0.8</w:t>
            </w:r>
          </w:p>
        </w:tc>
        <w:tc>
          <w:tcPr>
            <w:tcW w:w="631" w:type="dxa"/>
            <w:tcBorders>
              <w:top w:val="single" w:color="DCDDDE" w:sz="4" w:space="0"/>
              <w:bottom w:val="single" w:color="DCDDDE" w:sz="4" w:space="0"/>
            </w:tcBorders>
          </w:tcPr>
          <w:p w:rsidR="00C31389" w:rsidRDefault="00561FBD" w14:paraId="2864A4D6" w14:textId="77777777">
            <w:pPr>
              <w:pStyle w:val="TableParagraph"/>
              <w:ind w:right="130"/>
              <w:jc w:val="right"/>
              <w:rPr>
                <w:sz w:val="17"/>
              </w:rPr>
            </w:pPr>
            <w:r>
              <w:rPr>
                <w:spacing w:val="-5"/>
                <w:sz w:val="17"/>
              </w:rPr>
              <w:t>0.9</w:t>
            </w:r>
          </w:p>
        </w:tc>
        <w:tc>
          <w:tcPr>
            <w:tcW w:w="631" w:type="dxa"/>
            <w:tcBorders>
              <w:top w:val="single" w:color="DCDDDE" w:sz="4" w:space="0"/>
              <w:bottom w:val="single" w:color="DCDDDE" w:sz="4" w:space="0"/>
            </w:tcBorders>
          </w:tcPr>
          <w:p w:rsidR="00C31389" w:rsidRDefault="00561FBD" w14:paraId="38147564" w14:textId="77777777">
            <w:pPr>
              <w:pStyle w:val="TableParagraph"/>
              <w:ind w:right="131"/>
              <w:jc w:val="right"/>
              <w:rPr>
                <w:sz w:val="17"/>
              </w:rPr>
            </w:pPr>
            <w:r>
              <w:rPr>
                <w:spacing w:val="-5"/>
                <w:sz w:val="17"/>
              </w:rPr>
              <w:t>1.1</w:t>
            </w:r>
          </w:p>
        </w:tc>
        <w:tc>
          <w:tcPr>
            <w:tcW w:w="631" w:type="dxa"/>
            <w:tcBorders>
              <w:top w:val="single" w:color="DCDDDE" w:sz="4" w:space="0"/>
              <w:bottom w:val="single" w:color="DCDDDE" w:sz="4" w:space="0"/>
            </w:tcBorders>
          </w:tcPr>
          <w:p w:rsidR="00C31389" w:rsidRDefault="00561FBD" w14:paraId="03E85A65" w14:textId="77777777">
            <w:pPr>
              <w:pStyle w:val="TableParagraph"/>
              <w:ind w:left="241" w:right="116"/>
              <w:jc w:val="center"/>
              <w:rPr>
                <w:sz w:val="17"/>
              </w:rPr>
            </w:pPr>
            <w:r>
              <w:rPr>
                <w:spacing w:val="-5"/>
                <w:sz w:val="17"/>
              </w:rPr>
              <w:t>1.2</w:t>
            </w:r>
          </w:p>
        </w:tc>
        <w:tc>
          <w:tcPr>
            <w:tcW w:w="631" w:type="dxa"/>
            <w:tcBorders>
              <w:top w:val="single" w:color="DCDDDE" w:sz="4" w:space="0"/>
              <w:bottom w:val="single" w:color="DCDDDE" w:sz="4" w:space="0"/>
            </w:tcBorders>
          </w:tcPr>
          <w:p w:rsidR="00C31389" w:rsidRDefault="00561FBD" w14:paraId="03E078BC" w14:textId="77777777">
            <w:pPr>
              <w:pStyle w:val="TableParagraph"/>
              <w:ind w:right="133"/>
              <w:jc w:val="right"/>
              <w:rPr>
                <w:sz w:val="17"/>
              </w:rPr>
            </w:pPr>
            <w:r>
              <w:rPr>
                <w:spacing w:val="-5"/>
                <w:sz w:val="17"/>
              </w:rPr>
              <w:t>1.3</w:t>
            </w:r>
          </w:p>
        </w:tc>
        <w:tc>
          <w:tcPr>
            <w:tcW w:w="613" w:type="dxa"/>
            <w:tcBorders>
              <w:top w:val="single" w:color="DCDDDE" w:sz="4" w:space="0"/>
              <w:bottom w:val="single" w:color="DCDDDE" w:sz="4" w:space="0"/>
            </w:tcBorders>
          </w:tcPr>
          <w:p w:rsidR="00C31389" w:rsidRDefault="00561FBD" w14:paraId="558485EF" w14:textId="77777777">
            <w:pPr>
              <w:pStyle w:val="TableParagraph"/>
              <w:ind w:right="116"/>
              <w:jc w:val="right"/>
              <w:rPr>
                <w:sz w:val="17"/>
              </w:rPr>
            </w:pPr>
            <w:r>
              <w:rPr>
                <w:spacing w:val="-5"/>
                <w:sz w:val="17"/>
              </w:rPr>
              <w:t>1.4</w:t>
            </w:r>
          </w:p>
        </w:tc>
      </w:tr>
      <w:tr w:rsidR="00C31389" w14:paraId="051D714E" w14:textId="77777777">
        <w:trPr>
          <w:trHeight w:val="274"/>
        </w:trPr>
        <w:tc>
          <w:tcPr>
            <w:tcW w:w="1507" w:type="dxa"/>
            <w:tcBorders>
              <w:top w:val="single" w:color="DCDDDE" w:sz="4" w:space="0"/>
              <w:bottom w:val="single" w:color="DCDDDE" w:sz="4" w:space="0"/>
            </w:tcBorders>
          </w:tcPr>
          <w:p w:rsidR="00C31389" w:rsidRDefault="00561FBD" w14:paraId="6BF9F2AB"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6EDF78CA" w14:textId="77777777">
            <w:pPr>
              <w:pStyle w:val="TableParagraph"/>
              <w:ind w:right="192"/>
              <w:jc w:val="right"/>
              <w:rPr>
                <w:sz w:val="17"/>
              </w:rPr>
            </w:pPr>
            <w:r>
              <w:rPr>
                <w:spacing w:val="-4"/>
                <w:sz w:val="17"/>
              </w:rPr>
              <w:t>11.9</w:t>
            </w:r>
          </w:p>
        </w:tc>
        <w:tc>
          <w:tcPr>
            <w:tcW w:w="712" w:type="dxa"/>
            <w:tcBorders>
              <w:top w:val="single" w:color="DCDDDE" w:sz="4" w:space="0"/>
              <w:bottom w:val="single" w:color="DCDDDE" w:sz="4" w:space="0"/>
            </w:tcBorders>
          </w:tcPr>
          <w:p w:rsidR="00C31389" w:rsidRDefault="00561FBD" w14:paraId="0E29C22A" w14:textId="77777777">
            <w:pPr>
              <w:pStyle w:val="TableParagraph"/>
              <w:ind w:right="138"/>
              <w:jc w:val="right"/>
              <w:rPr>
                <w:sz w:val="17"/>
              </w:rPr>
            </w:pPr>
            <w:r>
              <w:rPr>
                <w:spacing w:val="-4"/>
                <w:sz w:val="17"/>
              </w:rPr>
              <w:t>12.3</w:t>
            </w:r>
          </w:p>
        </w:tc>
        <w:tc>
          <w:tcPr>
            <w:tcW w:w="644" w:type="dxa"/>
            <w:tcBorders>
              <w:top w:val="single" w:color="DCDDDE" w:sz="4" w:space="0"/>
              <w:bottom w:val="single" w:color="DCDDDE" w:sz="4" w:space="0"/>
            </w:tcBorders>
          </w:tcPr>
          <w:p w:rsidR="00C31389" w:rsidRDefault="00561FBD" w14:paraId="730A8492" w14:textId="77777777">
            <w:pPr>
              <w:pStyle w:val="TableParagraph"/>
              <w:ind w:right="125"/>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758CC188" w14:textId="77777777">
            <w:pPr>
              <w:pStyle w:val="TableParagraph"/>
              <w:ind w:right="126"/>
              <w:jc w:val="right"/>
              <w:rPr>
                <w:sz w:val="17"/>
              </w:rPr>
            </w:pPr>
            <w:r>
              <w:rPr>
                <w:spacing w:val="-4"/>
                <w:sz w:val="17"/>
              </w:rPr>
              <w:t>13.2</w:t>
            </w:r>
          </w:p>
        </w:tc>
        <w:tc>
          <w:tcPr>
            <w:tcW w:w="631" w:type="dxa"/>
            <w:tcBorders>
              <w:top w:val="single" w:color="DCDDDE" w:sz="4" w:space="0"/>
              <w:bottom w:val="single" w:color="DCDDDE" w:sz="4" w:space="0"/>
            </w:tcBorders>
          </w:tcPr>
          <w:p w:rsidR="00C31389" w:rsidRDefault="00561FBD" w14:paraId="33E97F36" w14:textId="77777777">
            <w:pPr>
              <w:pStyle w:val="TableParagraph"/>
              <w:ind w:right="127"/>
              <w:jc w:val="right"/>
              <w:rPr>
                <w:sz w:val="17"/>
              </w:rPr>
            </w:pPr>
            <w:r>
              <w:rPr>
                <w:spacing w:val="-4"/>
                <w:sz w:val="17"/>
              </w:rPr>
              <w:t>13.6</w:t>
            </w:r>
          </w:p>
        </w:tc>
        <w:tc>
          <w:tcPr>
            <w:tcW w:w="631" w:type="dxa"/>
            <w:tcBorders>
              <w:top w:val="single" w:color="DCDDDE" w:sz="4" w:space="0"/>
              <w:bottom w:val="single" w:color="DCDDDE" w:sz="4" w:space="0"/>
            </w:tcBorders>
          </w:tcPr>
          <w:p w:rsidR="00C31389" w:rsidRDefault="00561FBD" w14:paraId="1FC1F763" w14:textId="77777777">
            <w:pPr>
              <w:pStyle w:val="TableParagraph"/>
              <w:ind w:left="106" w:right="68"/>
              <w:jc w:val="center"/>
              <w:rPr>
                <w:sz w:val="17"/>
              </w:rPr>
            </w:pPr>
            <w:r>
              <w:rPr>
                <w:spacing w:val="-4"/>
                <w:sz w:val="17"/>
              </w:rPr>
              <w:t>14.1</w:t>
            </w:r>
          </w:p>
        </w:tc>
        <w:tc>
          <w:tcPr>
            <w:tcW w:w="631" w:type="dxa"/>
            <w:tcBorders>
              <w:top w:val="single" w:color="DCDDDE" w:sz="4" w:space="0"/>
              <w:bottom w:val="single" w:color="DCDDDE" w:sz="4" w:space="0"/>
            </w:tcBorders>
          </w:tcPr>
          <w:p w:rsidR="00C31389" w:rsidRDefault="00561FBD" w14:paraId="6F3C505A" w14:textId="77777777">
            <w:pPr>
              <w:pStyle w:val="TableParagraph"/>
              <w:ind w:left="106" w:right="70"/>
              <w:jc w:val="center"/>
              <w:rPr>
                <w:sz w:val="17"/>
              </w:rPr>
            </w:pPr>
            <w:r>
              <w:rPr>
                <w:spacing w:val="-4"/>
                <w:sz w:val="17"/>
              </w:rPr>
              <w:t>14.6</w:t>
            </w:r>
          </w:p>
        </w:tc>
        <w:tc>
          <w:tcPr>
            <w:tcW w:w="631" w:type="dxa"/>
            <w:tcBorders>
              <w:top w:val="single" w:color="DCDDDE" w:sz="4" w:space="0"/>
              <w:bottom w:val="single" w:color="DCDDDE" w:sz="4" w:space="0"/>
            </w:tcBorders>
          </w:tcPr>
          <w:p w:rsidR="00C31389" w:rsidRDefault="00561FBD" w14:paraId="77E38028" w14:textId="77777777">
            <w:pPr>
              <w:pStyle w:val="TableParagraph"/>
              <w:ind w:right="130"/>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6DB87B49" w14:textId="77777777">
            <w:pPr>
              <w:pStyle w:val="TableParagraph"/>
              <w:ind w:right="131"/>
              <w:jc w:val="right"/>
              <w:rPr>
                <w:sz w:val="17"/>
              </w:rPr>
            </w:pPr>
            <w:r>
              <w:rPr>
                <w:spacing w:val="-4"/>
                <w:sz w:val="17"/>
              </w:rPr>
              <w:t>15.6</w:t>
            </w:r>
          </w:p>
        </w:tc>
        <w:tc>
          <w:tcPr>
            <w:tcW w:w="631" w:type="dxa"/>
            <w:tcBorders>
              <w:top w:val="single" w:color="DCDDDE" w:sz="4" w:space="0"/>
              <w:bottom w:val="single" w:color="DCDDDE" w:sz="4" w:space="0"/>
            </w:tcBorders>
          </w:tcPr>
          <w:p w:rsidR="00C31389" w:rsidRDefault="00561FBD" w14:paraId="595E89FE" w14:textId="77777777">
            <w:pPr>
              <w:pStyle w:val="TableParagraph"/>
              <w:ind w:left="106" w:right="76"/>
              <w:jc w:val="center"/>
              <w:rPr>
                <w:sz w:val="17"/>
              </w:rPr>
            </w:pPr>
            <w:r>
              <w:rPr>
                <w:spacing w:val="-4"/>
                <w:sz w:val="17"/>
              </w:rPr>
              <w:t>16.2</w:t>
            </w:r>
          </w:p>
        </w:tc>
        <w:tc>
          <w:tcPr>
            <w:tcW w:w="631" w:type="dxa"/>
            <w:tcBorders>
              <w:top w:val="single" w:color="DCDDDE" w:sz="4" w:space="0"/>
              <w:bottom w:val="single" w:color="DCDDDE" w:sz="4" w:space="0"/>
            </w:tcBorders>
          </w:tcPr>
          <w:p w:rsidR="00C31389" w:rsidRDefault="00561FBD" w14:paraId="1AE0B376" w14:textId="77777777">
            <w:pPr>
              <w:pStyle w:val="TableParagraph"/>
              <w:ind w:right="133"/>
              <w:jc w:val="right"/>
              <w:rPr>
                <w:sz w:val="17"/>
              </w:rPr>
            </w:pPr>
            <w:r>
              <w:rPr>
                <w:spacing w:val="-4"/>
                <w:sz w:val="17"/>
              </w:rPr>
              <w:t>16.5</w:t>
            </w:r>
          </w:p>
        </w:tc>
        <w:tc>
          <w:tcPr>
            <w:tcW w:w="613" w:type="dxa"/>
            <w:tcBorders>
              <w:top w:val="single" w:color="DCDDDE" w:sz="4" w:space="0"/>
              <w:bottom w:val="single" w:color="DCDDDE" w:sz="4" w:space="0"/>
            </w:tcBorders>
          </w:tcPr>
          <w:p w:rsidR="00C31389" w:rsidRDefault="00561FBD" w14:paraId="395175B5" w14:textId="77777777">
            <w:pPr>
              <w:pStyle w:val="TableParagraph"/>
              <w:ind w:right="116"/>
              <w:jc w:val="right"/>
              <w:rPr>
                <w:sz w:val="17"/>
              </w:rPr>
            </w:pPr>
            <w:r>
              <w:rPr>
                <w:spacing w:val="-4"/>
                <w:sz w:val="17"/>
              </w:rPr>
              <w:t>17.1</w:t>
            </w:r>
          </w:p>
        </w:tc>
      </w:tr>
      <w:tr w:rsidR="00C31389" w14:paraId="22C8BBC7"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55907AED" w14:textId="77777777">
            <w:pPr>
              <w:pStyle w:val="TableParagraph"/>
              <w:spacing w:before="42"/>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0C4E676D" w14:textId="77777777">
        <w:trPr>
          <w:trHeight w:val="471"/>
        </w:trPr>
        <w:tc>
          <w:tcPr>
            <w:tcW w:w="1507" w:type="dxa"/>
            <w:tcBorders>
              <w:top w:val="single" w:color="DCDDDE" w:sz="4" w:space="0"/>
              <w:bottom w:val="single" w:color="DCDDDE" w:sz="4" w:space="0"/>
            </w:tcBorders>
          </w:tcPr>
          <w:p w:rsidR="00C31389" w:rsidRDefault="00561FBD" w14:paraId="09D8876E" w14:textId="77777777">
            <w:pPr>
              <w:pStyle w:val="TableParagraph"/>
              <w:ind w:left="122" w:right="375"/>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52D03B09" w14:textId="77777777">
            <w:pPr>
              <w:pStyle w:val="TableParagraph"/>
              <w:spacing w:before="139"/>
              <w:ind w:right="192"/>
              <w:jc w:val="right"/>
              <w:rPr>
                <w:sz w:val="17"/>
              </w:rPr>
            </w:pPr>
            <w:r>
              <w:rPr>
                <w:spacing w:val="-4"/>
                <w:sz w:val="17"/>
              </w:rPr>
              <w:t>38.2</w:t>
            </w:r>
          </w:p>
        </w:tc>
        <w:tc>
          <w:tcPr>
            <w:tcW w:w="712" w:type="dxa"/>
            <w:tcBorders>
              <w:top w:val="single" w:color="DCDDDE" w:sz="4" w:space="0"/>
              <w:bottom w:val="single" w:color="DCDDDE" w:sz="4" w:space="0"/>
            </w:tcBorders>
          </w:tcPr>
          <w:p w:rsidR="00C31389" w:rsidRDefault="00561FBD" w14:paraId="1975AB54" w14:textId="77777777">
            <w:pPr>
              <w:pStyle w:val="TableParagraph"/>
              <w:spacing w:before="139"/>
              <w:ind w:right="138"/>
              <w:jc w:val="right"/>
              <w:rPr>
                <w:sz w:val="17"/>
              </w:rPr>
            </w:pPr>
            <w:r>
              <w:rPr>
                <w:spacing w:val="-4"/>
                <w:sz w:val="17"/>
              </w:rPr>
              <w:t>35.6</w:t>
            </w:r>
          </w:p>
        </w:tc>
        <w:tc>
          <w:tcPr>
            <w:tcW w:w="644" w:type="dxa"/>
            <w:tcBorders>
              <w:top w:val="single" w:color="DCDDDE" w:sz="4" w:space="0"/>
              <w:bottom w:val="single" w:color="DCDDDE" w:sz="4" w:space="0"/>
            </w:tcBorders>
          </w:tcPr>
          <w:p w:rsidR="00C31389" w:rsidRDefault="00561FBD" w14:paraId="523A6DF0" w14:textId="77777777">
            <w:pPr>
              <w:pStyle w:val="TableParagraph"/>
              <w:spacing w:before="139"/>
              <w:ind w:right="125"/>
              <w:jc w:val="right"/>
              <w:rPr>
                <w:sz w:val="17"/>
              </w:rPr>
            </w:pPr>
            <w:r>
              <w:rPr>
                <w:spacing w:val="-4"/>
                <w:sz w:val="17"/>
              </w:rPr>
              <w:t>34.9</w:t>
            </w:r>
          </w:p>
        </w:tc>
        <w:tc>
          <w:tcPr>
            <w:tcW w:w="631" w:type="dxa"/>
            <w:tcBorders>
              <w:top w:val="single" w:color="DCDDDE" w:sz="4" w:space="0"/>
              <w:bottom w:val="single" w:color="DCDDDE" w:sz="4" w:space="0"/>
            </w:tcBorders>
          </w:tcPr>
          <w:p w:rsidR="00C31389" w:rsidRDefault="00561FBD" w14:paraId="26986169" w14:textId="77777777">
            <w:pPr>
              <w:pStyle w:val="TableParagraph"/>
              <w:spacing w:before="139"/>
              <w:ind w:right="126"/>
              <w:jc w:val="right"/>
              <w:rPr>
                <w:sz w:val="17"/>
              </w:rPr>
            </w:pPr>
            <w:r>
              <w:rPr>
                <w:spacing w:val="-4"/>
                <w:sz w:val="17"/>
              </w:rPr>
              <w:t>31.9</w:t>
            </w:r>
          </w:p>
        </w:tc>
        <w:tc>
          <w:tcPr>
            <w:tcW w:w="631" w:type="dxa"/>
            <w:tcBorders>
              <w:top w:val="single" w:color="DCDDDE" w:sz="4" w:space="0"/>
              <w:bottom w:val="single" w:color="DCDDDE" w:sz="4" w:space="0"/>
            </w:tcBorders>
          </w:tcPr>
          <w:p w:rsidR="00C31389" w:rsidRDefault="00561FBD" w14:paraId="3EDDCF16" w14:textId="77777777">
            <w:pPr>
              <w:pStyle w:val="TableParagraph"/>
              <w:spacing w:before="139"/>
              <w:ind w:right="127"/>
              <w:jc w:val="right"/>
              <w:rPr>
                <w:sz w:val="17"/>
              </w:rPr>
            </w:pPr>
            <w:r>
              <w:rPr>
                <w:spacing w:val="-4"/>
                <w:sz w:val="17"/>
              </w:rPr>
              <w:t>30.3</w:t>
            </w:r>
          </w:p>
        </w:tc>
        <w:tc>
          <w:tcPr>
            <w:tcW w:w="631" w:type="dxa"/>
            <w:tcBorders>
              <w:top w:val="single" w:color="DCDDDE" w:sz="4" w:space="0"/>
              <w:bottom w:val="single" w:color="DCDDDE" w:sz="4" w:space="0"/>
            </w:tcBorders>
          </w:tcPr>
          <w:p w:rsidR="00C31389" w:rsidRDefault="00561FBD" w14:paraId="5E5E65F1" w14:textId="77777777">
            <w:pPr>
              <w:pStyle w:val="TableParagraph"/>
              <w:spacing w:before="139"/>
              <w:ind w:left="106" w:right="68"/>
              <w:jc w:val="center"/>
              <w:rPr>
                <w:sz w:val="17"/>
              </w:rPr>
            </w:pPr>
            <w:r>
              <w:rPr>
                <w:spacing w:val="-4"/>
                <w:sz w:val="17"/>
              </w:rPr>
              <w:t>25.0</w:t>
            </w:r>
          </w:p>
        </w:tc>
        <w:tc>
          <w:tcPr>
            <w:tcW w:w="631" w:type="dxa"/>
            <w:tcBorders>
              <w:top w:val="single" w:color="DCDDDE" w:sz="4" w:space="0"/>
              <w:bottom w:val="single" w:color="DCDDDE" w:sz="4" w:space="0"/>
            </w:tcBorders>
          </w:tcPr>
          <w:p w:rsidR="00C31389" w:rsidRDefault="00561FBD" w14:paraId="6679BE6B" w14:textId="77777777">
            <w:pPr>
              <w:pStyle w:val="TableParagraph"/>
              <w:spacing w:before="139"/>
              <w:ind w:left="106" w:right="70"/>
              <w:jc w:val="center"/>
              <w:rPr>
                <w:sz w:val="17"/>
              </w:rPr>
            </w:pPr>
            <w:r>
              <w:rPr>
                <w:spacing w:val="-4"/>
                <w:sz w:val="17"/>
              </w:rPr>
              <w:t>23.3</w:t>
            </w:r>
          </w:p>
        </w:tc>
        <w:tc>
          <w:tcPr>
            <w:tcW w:w="631" w:type="dxa"/>
            <w:tcBorders>
              <w:top w:val="single" w:color="DCDDDE" w:sz="4" w:space="0"/>
              <w:bottom w:val="single" w:color="DCDDDE" w:sz="4" w:space="0"/>
            </w:tcBorders>
          </w:tcPr>
          <w:p w:rsidR="00C31389" w:rsidRDefault="00561FBD" w14:paraId="678AEFFA" w14:textId="77777777">
            <w:pPr>
              <w:pStyle w:val="TableParagraph"/>
              <w:spacing w:before="139"/>
              <w:ind w:right="130"/>
              <w:jc w:val="right"/>
              <w:rPr>
                <w:sz w:val="17"/>
              </w:rPr>
            </w:pPr>
            <w:r>
              <w:rPr>
                <w:spacing w:val="-4"/>
                <w:sz w:val="17"/>
              </w:rPr>
              <w:t>22.3</w:t>
            </w:r>
          </w:p>
        </w:tc>
        <w:tc>
          <w:tcPr>
            <w:tcW w:w="631" w:type="dxa"/>
            <w:tcBorders>
              <w:top w:val="single" w:color="DCDDDE" w:sz="4" w:space="0"/>
              <w:bottom w:val="single" w:color="DCDDDE" w:sz="4" w:space="0"/>
            </w:tcBorders>
          </w:tcPr>
          <w:p w:rsidR="00C31389" w:rsidRDefault="00561FBD" w14:paraId="5825333E" w14:textId="77777777">
            <w:pPr>
              <w:pStyle w:val="TableParagraph"/>
              <w:spacing w:before="139"/>
              <w:ind w:right="131"/>
              <w:jc w:val="right"/>
              <w:rPr>
                <w:sz w:val="17"/>
              </w:rPr>
            </w:pPr>
            <w:r>
              <w:rPr>
                <w:spacing w:val="-4"/>
                <w:sz w:val="17"/>
              </w:rPr>
              <w:t>20.7</w:t>
            </w:r>
          </w:p>
        </w:tc>
        <w:tc>
          <w:tcPr>
            <w:tcW w:w="631" w:type="dxa"/>
            <w:tcBorders>
              <w:top w:val="single" w:color="DCDDDE" w:sz="4" w:space="0"/>
              <w:bottom w:val="single" w:color="DCDDDE" w:sz="4" w:space="0"/>
            </w:tcBorders>
          </w:tcPr>
          <w:p w:rsidR="00C31389" w:rsidRDefault="00561FBD" w14:paraId="262BC12B" w14:textId="77777777">
            <w:pPr>
              <w:pStyle w:val="TableParagraph"/>
              <w:spacing w:before="139"/>
              <w:ind w:left="106" w:right="76"/>
              <w:jc w:val="center"/>
              <w:rPr>
                <w:sz w:val="17"/>
              </w:rPr>
            </w:pPr>
            <w:r>
              <w:rPr>
                <w:spacing w:val="-4"/>
                <w:sz w:val="17"/>
              </w:rPr>
              <w:t>19.6</w:t>
            </w:r>
          </w:p>
        </w:tc>
        <w:tc>
          <w:tcPr>
            <w:tcW w:w="631" w:type="dxa"/>
            <w:tcBorders>
              <w:top w:val="single" w:color="DCDDDE" w:sz="4" w:space="0"/>
              <w:bottom w:val="single" w:color="DCDDDE" w:sz="4" w:space="0"/>
            </w:tcBorders>
          </w:tcPr>
          <w:p w:rsidR="00C31389" w:rsidRDefault="00561FBD" w14:paraId="779E5AD2" w14:textId="77777777">
            <w:pPr>
              <w:pStyle w:val="TableParagraph"/>
              <w:spacing w:before="139"/>
              <w:ind w:right="133"/>
              <w:jc w:val="right"/>
              <w:rPr>
                <w:sz w:val="17"/>
              </w:rPr>
            </w:pPr>
            <w:r>
              <w:rPr>
                <w:spacing w:val="-4"/>
                <w:sz w:val="17"/>
              </w:rPr>
              <w:t>17.5</w:t>
            </w:r>
          </w:p>
        </w:tc>
        <w:tc>
          <w:tcPr>
            <w:tcW w:w="613" w:type="dxa"/>
            <w:tcBorders>
              <w:top w:val="single" w:color="DCDDDE" w:sz="4" w:space="0"/>
              <w:bottom w:val="single" w:color="DCDDDE" w:sz="4" w:space="0"/>
            </w:tcBorders>
          </w:tcPr>
          <w:p w:rsidR="00C31389" w:rsidRDefault="00561FBD" w14:paraId="110F2014" w14:textId="77777777">
            <w:pPr>
              <w:pStyle w:val="TableParagraph"/>
              <w:spacing w:before="139"/>
              <w:ind w:right="116"/>
              <w:jc w:val="right"/>
              <w:rPr>
                <w:sz w:val="17"/>
              </w:rPr>
            </w:pPr>
            <w:r>
              <w:rPr>
                <w:spacing w:val="-4"/>
                <w:sz w:val="17"/>
              </w:rPr>
              <w:t>16.6</w:t>
            </w:r>
          </w:p>
        </w:tc>
      </w:tr>
      <w:tr w:rsidR="00C31389" w14:paraId="57F91F8C" w14:textId="77777777">
        <w:trPr>
          <w:trHeight w:val="472"/>
        </w:trPr>
        <w:tc>
          <w:tcPr>
            <w:tcW w:w="1507" w:type="dxa"/>
            <w:tcBorders>
              <w:top w:val="single" w:color="DCDDDE" w:sz="4" w:space="0"/>
              <w:bottom w:val="single" w:color="545658" w:sz="8" w:space="0"/>
            </w:tcBorders>
          </w:tcPr>
          <w:p w:rsidR="00C31389" w:rsidRDefault="00561FBD" w14:paraId="36E27101" w14:textId="77777777">
            <w:pPr>
              <w:pStyle w:val="TableParagraph"/>
              <w:ind w:left="122" w:right="280"/>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2815F3E1" w14:textId="77777777">
            <w:pPr>
              <w:pStyle w:val="TableParagraph"/>
              <w:spacing w:before="139"/>
              <w:ind w:right="192"/>
              <w:jc w:val="right"/>
              <w:rPr>
                <w:sz w:val="17"/>
              </w:rPr>
            </w:pPr>
            <w:r>
              <w:rPr>
                <w:spacing w:val="-4"/>
                <w:sz w:val="17"/>
              </w:rPr>
              <w:t>36.9</w:t>
            </w:r>
          </w:p>
        </w:tc>
        <w:tc>
          <w:tcPr>
            <w:tcW w:w="712" w:type="dxa"/>
            <w:tcBorders>
              <w:top w:val="single" w:color="DCDDDE" w:sz="4" w:space="0"/>
              <w:bottom w:val="single" w:color="545658" w:sz="8" w:space="0"/>
            </w:tcBorders>
          </w:tcPr>
          <w:p w:rsidR="00C31389" w:rsidRDefault="00561FBD" w14:paraId="6D39C146" w14:textId="77777777">
            <w:pPr>
              <w:pStyle w:val="TableParagraph"/>
              <w:spacing w:before="139"/>
              <w:ind w:right="138"/>
              <w:jc w:val="right"/>
              <w:rPr>
                <w:sz w:val="17"/>
              </w:rPr>
            </w:pPr>
            <w:r>
              <w:rPr>
                <w:spacing w:val="-4"/>
                <w:sz w:val="17"/>
              </w:rPr>
              <w:t>34.3</w:t>
            </w:r>
          </w:p>
        </w:tc>
        <w:tc>
          <w:tcPr>
            <w:tcW w:w="644" w:type="dxa"/>
            <w:tcBorders>
              <w:top w:val="single" w:color="DCDDDE" w:sz="4" w:space="0"/>
              <w:bottom w:val="single" w:color="545658" w:sz="8" w:space="0"/>
            </w:tcBorders>
          </w:tcPr>
          <w:p w:rsidR="00C31389" w:rsidRDefault="00561FBD" w14:paraId="5BB87FA8" w14:textId="77777777">
            <w:pPr>
              <w:pStyle w:val="TableParagraph"/>
              <w:spacing w:before="139"/>
              <w:ind w:right="125"/>
              <w:jc w:val="right"/>
              <w:rPr>
                <w:sz w:val="17"/>
              </w:rPr>
            </w:pPr>
            <w:r>
              <w:rPr>
                <w:spacing w:val="-4"/>
                <w:sz w:val="17"/>
              </w:rPr>
              <w:t>33.6</w:t>
            </w:r>
          </w:p>
        </w:tc>
        <w:tc>
          <w:tcPr>
            <w:tcW w:w="631" w:type="dxa"/>
            <w:tcBorders>
              <w:top w:val="single" w:color="DCDDDE" w:sz="4" w:space="0"/>
              <w:bottom w:val="single" w:color="545658" w:sz="8" w:space="0"/>
            </w:tcBorders>
          </w:tcPr>
          <w:p w:rsidR="00C31389" w:rsidRDefault="00561FBD" w14:paraId="50063928" w14:textId="77777777">
            <w:pPr>
              <w:pStyle w:val="TableParagraph"/>
              <w:spacing w:before="139"/>
              <w:ind w:right="126"/>
              <w:jc w:val="right"/>
              <w:rPr>
                <w:sz w:val="17"/>
              </w:rPr>
            </w:pPr>
            <w:r>
              <w:rPr>
                <w:spacing w:val="-4"/>
                <w:sz w:val="17"/>
              </w:rPr>
              <w:t>31.0</w:t>
            </w:r>
          </w:p>
        </w:tc>
        <w:tc>
          <w:tcPr>
            <w:tcW w:w="631" w:type="dxa"/>
            <w:tcBorders>
              <w:top w:val="single" w:color="DCDDDE" w:sz="4" w:space="0"/>
              <w:bottom w:val="single" w:color="545658" w:sz="8" w:space="0"/>
            </w:tcBorders>
          </w:tcPr>
          <w:p w:rsidR="00C31389" w:rsidRDefault="00561FBD" w14:paraId="19CB874E" w14:textId="77777777">
            <w:pPr>
              <w:pStyle w:val="TableParagraph"/>
              <w:spacing w:before="139"/>
              <w:ind w:right="127"/>
              <w:jc w:val="right"/>
              <w:rPr>
                <w:sz w:val="17"/>
              </w:rPr>
            </w:pPr>
            <w:r>
              <w:rPr>
                <w:spacing w:val="-4"/>
                <w:sz w:val="17"/>
              </w:rPr>
              <w:t>29.4</w:t>
            </w:r>
          </w:p>
        </w:tc>
        <w:tc>
          <w:tcPr>
            <w:tcW w:w="631" w:type="dxa"/>
            <w:tcBorders>
              <w:top w:val="single" w:color="DCDDDE" w:sz="4" w:space="0"/>
              <w:bottom w:val="single" w:color="545658" w:sz="8" w:space="0"/>
            </w:tcBorders>
          </w:tcPr>
          <w:p w:rsidR="00C31389" w:rsidRDefault="00561FBD" w14:paraId="301271A9" w14:textId="77777777">
            <w:pPr>
              <w:pStyle w:val="TableParagraph"/>
              <w:spacing w:before="139"/>
              <w:ind w:left="106" w:right="68"/>
              <w:jc w:val="center"/>
              <w:rPr>
                <w:sz w:val="17"/>
              </w:rPr>
            </w:pPr>
            <w:r>
              <w:rPr>
                <w:spacing w:val="-4"/>
                <w:sz w:val="17"/>
              </w:rPr>
              <w:t>24.8</w:t>
            </w:r>
          </w:p>
        </w:tc>
        <w:tc>
          <w:tcPr>
            <w:tcW w:w="631" w:type="dxa"/>
            <w:tcBorders>
              <w:top w:val="single" w:color="DCDDDE" w:sz="4" w:space="0"/>
              <w:bottom w:val="single" w:color="545658" w:sz="8" w:space="0"/>
            </w:tcBorders>
          </w:tcPr>
          <w:p w:rsidR="00C31389" w:rsidRDefault="00561FBD" w14:paraId="4E9F2E52" w14:textId="77777777">
            <w:pPr>
              <w:pStyle w:val="TableParagraph"/>
              <w:spacing w:before="139"/>
              <w:ind w:left="106" w:right="70"/>
              <w:jc w:val="center"/>
              <w:rPr>
                <w:sz w:val="17"/>
              </w:rPr>
            </w:pPr>
            <w:r>
              <w:rPr>
                <w:spacing w:val="-4"/>
                <w:sz w:val="17"/>
              </w:rPr>
              <w:t>23.2</w:t>
            </w:r>
          </w:p>
        </w:tc>
        <w:tc>
          <w:tcPr>
            <w:tcW w:w="631" w:type="dxa"/>
            <w:tcBorders>
              <w:top w:val="single" w:color="DCDDDE" w:sz="4" w:space="0"/>
              <w:bottom w:val="single" w:color="545658" w:sz="8" w:space="0"/>
            </w:tcBorders>
          </w:tcPr>
          <w:p w:rsidR="00C31389" w:rsidRDefault="00561FBD" w14:paraId="4BC0D608" w14:textId="77777777">
            <w:pPr>
              <w:pStyle w:val="TableParagraph"/>
              <w:spacing w:before="139"/>
              <w:ind w:right="130"/>
              <w:jc w:val="right"/>
              <w:rPr>
                <w:sz w:val="17"/>
              </w:rPr>
            </w:pPr>
            <w:r>
              <w:rPr>
                <w:spacing w:val="-4"/>
                <w:sz w:val="17"/>
              </w:rPr>
              <w:t>22.2</w:t>
            </w:r>
          </w:p>
        </w:tc>
        <w:tc>
          <w:tcPr>
            <w:tcW w:w="631" w:type="dxa"/>
            <w:tcBorders>
              <w:top w:val="single" w:color="DCDDDE" w:sz="4" w:space="0"/>
              <w:bottom w:val="single" w:color="545658" w:sz="8" w:space="0"/>
            </w:tcBorders>
          </w:tcPr>
          <w:p w:rsidR="00C31389" w:rsidRDefault="00561FBD" w14:paraId="3FDFCD5E" w14:textId="77777777">
            <w:pPr>
              <w:pStyle w:val="TableParagraph"/>
              <w:spacing w:before="139"/>
              <w:ind w:right="131"/>
              <w:jc w:val="right"/>
              <w:rPr>
                <w:sz w:val="17"/>
              </w:rPr>
            </w:pPr>
            <w:r>
              <w:rPr>
                <w:spacing w:val="-4"/>
                <w:sz w:val="17"/>
              </w:rPr>
              <w:t>20.5</w:t>
            </w:r>
          </w:p>
        </w:tc>
        <w:tc>
          <w:tcPr>
            <w:tcW w:w="631" w:type="dxa"/>
            <w:tcBorders>
              <w:top w:val="single" w:color="DCDDDE" w:sz="4" w:space="0"/>
              <w:bottom w:val="single" w:color="545658" w:sz="8" w:space="0"/>
            </w:tcBorders>
          </w:tcPr>
          <w:p w:rsidR="00C31389" w:rsidRDefault="00561FBD" w14:paraId="07D66E89" w14:textId="77777777">
            <w:pPr>
              <w:pStyle w:val="TableParagraph"/>
              <w:spacing w:before="139"/>
              <w:ind w:left="106" w:right="76"/>
              <w:jc w:val="center"/>
              <w:rPr>
                <w:sz w:val="17"/>
              </w:rPr>
            </w:pPr>
            <w:r>
              <w:rPr>
                <w:spacing w:val="-4"/>
                <w:sz w:val="17"/>
              </w:rPr>
              <w:t>19.5</w:t>
            </w:r>
          </w:p>
        </w:tc>
        <w:tc>
          <w:tcPr>
            <w:tcW w:w="631" w:type="dxa"/>
            <w:tcBorders>
              <w:top w:val="single" w:color="DCDDDE" w:sz="4" w:space="0"/>
              <w:bottom w:val="single" w:color="545658" w:sz="8" w:space="0"/>
            </w:tcBorders>
          </w:tcPr>
          <w:p w:rsidR="00C31389" w:rsidRDefault="00561FBD" w14:paraId="485B3A03" w14:textId="77777777">
            <w:pPr>
              <w:pStyle w:val="TableParagraph"/>
              <w:spacing w:before="139"/>
              <w:ind w:right="133"/>
              <w:jc w:val="right"/>
              <w:rPr>
                <w:sz w:val="17"/>
              </w:rPr>
            </w:pPr>
            <w:r>
              <w:rPr>
                <w:spacing w:val="-4"/>
                <w:sz w:val="17"/>
              </w:rPr>
              <w:t>17.4</w:t>
            </w:r>
          </w:p>
        </w:tc>
        <w:tc>
          <w:tcPr>
            <w:tcW w:w="613" w:type="dxa"/>
            <w:tcBorders>
              <w:top w:val="single" w:color="DCDDDE" w:sz="4" w:space="0"/>
              <w:bottom w:val="single" w:color="545658" w:sz="8" w:space="0"/>
            </w:tcBorders>
          </w:tcPr>
          <w:p w:rsidR="00C31389" w:rsidRDefault="00561FBD" w14:paraId="6ECD606D" w14:textId="77777777">
            <w:pPr>
              <w:pStyle w:val="TableParagraph"/>
              <w:spacing w:before="139"/>
              <w:ind w:right="116"/>
              <w:jc w:val="right"/>
              <w:rPr>
                <w:sz w:val="17"/>
              </w:rPr>
            </w:pPr>
            <w:r>
              <w:rPr>
                <w:spacing w:val="-4"/>
                <w:sz w:val="17"/>
              </w:rPr>
              <w:t>16.5</w:t>
            </w:r>
          </w:p>
        </w:tc>
      </w:tr>
    </w:tbl>
    <w:p w:rsidR="00C31389" w:rsidRDefault="00561FBD" w14:paraId="0B3C11B5" w14:textId="77777777">
      <w:pPr>
        <w:spacing w:before="80"/>
        <w:ind w:left="220"/>
        <w:rPr>
          <w:i/>
          <w:sz w:val="18"/>
        </w:rPr>
      </w:pPr>
      <w:r>
        <w:rPr>
          <w:i/>
          <w:sz w:val="18"/>
        </w:rPr>
        <w:t>Source:</w:t>
      </w:r>
      <w:r>
        <w:rPr>
          <w:i/>
          <w:spacing w:val="-4"/>
          <w:sz w:val="18"/>
        </w:rPr>
        <w:t xml:space="preserve"> </w:t>
      </w:r>
      <w:r>
        <w:rPr>
          <w:i/>
          <w:spacing w:val="-2"/>
          <w:sz w:val="18"/>
        </w:rPr>
        <w:t>Guidehouse</w:t>
      </w:r>
    </w:p>
    <w:p w:rsidR="00C31389" w:rsidRDefault="00C31389" w14:paraId="1A800A0C" w14:textId="77777777">
      <w:pPr>
        <w:pStyle w:val="BodyText"/>
        <w:spacing w:before="9"/>
        <w:rPr>
          <w:i/>
          <w:sz w:val="12"/>
        </w:rPr>
      </w:pPr>
    </w:p>
    <w:p w:rsidR="00C31389" w:rsidRDefault="00561FBD" w14:paraId="3D0E382A" w14:textId="77777777">
      <w:pPr>
        <w:pStyle w:val="Heading7"/>
        <w:spacing w:before="93"/>
        <w:ind w:left="1979" w:right="1963"/>
        <w:jc w:val="center"/>
      </w:pPr>
      <w:bookmarkStart w:name="_bookmark537" w:id="704"/>
      <w:bookmarkEnd w:id="704"/>
      <w:r>
        <w:t>Table</w:t>
      </w:r>
      <w:r>
        <w:rPr>
          <w:spacing w:val="-7"/>
        </w:rPr>
        <w:t xml:space="preserve"> </w:t>
      </w:r>
      <w:r>
        <w:t>J-11.</w:t>
      </w:r>
      <w:r>
        <w:rPr>
          <w:spacing w:val="-8"/>
        </w:rPr>
        <w:t xml:space="preserve"> </w:t>
      </w:r>
      <w:r>
        <w:t>SDG&amp;E</w:t>
      </w:r>
      <w:r>
        <w:rPr>
          <w:spacing w:val="-7"/>
        </w:rPr>
        <w:t xml:space="preserve"> </w:t>
      </w:r>
      <w:r>
        <w:t>Gas</w:t>
      </w:r>
      <w:r>
        <w:rPr>
          <w:spacing w:val="-7"/>
        </w:rPr>
        <w:t xml:space="preserve"> </w:t>
      </w:r>
      <w:r>
        <w:t>Energy</w:t>
      </w:r>
      <w:r>
        <w:rPr>
          <w:spacing w:val="-7"/>
        </w:rPr>
        <w:t xml:space="preserve"> </w:t>
      </w:r>
      <w:r>
        <w:t>Savings</w:t>
      </w:r>
      <w:r>
        <w:rPr>
          <w:spacing w:val="-7"/>
        </w:rPr>
        <w:t xml:space="preserve"> </w:t>
      </w:r>
      <w:r>
        <w:rPr>
          <w:spacing w:val="-2"/>
        </w:rPr>
        <w:t>(MMtherm/year)</w:t>
      </w:r>
    </w:p>
    <w:p w:rsidR="00C31389" w:rsidRDefault="00C31389" w14:paraId="658D79DF" w14:textId="77777777">
      <w:pPr>
        <w:pStyle w:val="BodyText"/>
        <w:rPr>
          <w:b/>
          <w:sz w:val="10"/>
        </w:rPr>
      </w:pPr>
    </w:p>
    <w:tbl>
      <w:tblPr>
        <w:tblW w:w="0" w:type="auto"/>
        <w:tblInd w:w="213" w:type="dxa"/>
        <w:tblLayout w:type="fixed"/>
        <w:tblCellMar>
          <w:left w:w="0" w:type="dxa"/>
          <w:right w:w="0" w:type="dxa"/>
        </w:tblCellMar>
        <w:tblLook w:val="01E0" w:firstRow="1" w:lastRow="1" w:firstColumn="1" w:lastColumn="1" w:noHBand="0" w:noVBand="0"/>
      </w:tblPr>
      <w:tblGrid>
        <w:gridCol w:w="1186"/>
        <w:gridCol w:w="1182"/>
        <w:gridCol w:w="711"/>
        <w:gridCol w:w="643"/>
        <w:gridCol w:w="630"/>
        <w:gridCol w:w="630"/>
        <w:gridCol w:w="630"/>
        <w:gridCol w:w="630"/>
        <w:gridCol w:w="630"/>
        <w:gridCol w:w="630"/>
        <w:gridCol w:w="630"/>
        <w:gridCol w:w="630"/>
        <w:gridCol w:w="612"/>
      </w:tblGrid>
      <w:tr w:rsidR="00C31389" w14:paraId="3B80DBF5" w14:textId="77777777">
        <w:trPr>
          <w:trHeight w:val="306"/>
        </w:trPr>
        <w:tc>
          <w:tcPr>
            <w:tcW w:w="1186" w:type="dxa"/>
            <w:shd w:val="clear" w:color="auto" w:fill="92D400"/>
          </w:tcPr>
          <w:p w:rsidR="00C31389" w:rsidRDefault="00561FBD" w14:paraId="7F895F50" w14:textId="77777777">
            <w:pPr>
              <w:pStyle w:val="TableParagraph"/>
              <w:spacing w:before="41"/>
              <w:ind w:left="122"/>
              <w:rPr>
                <w:b/>
                <w:sz w:val="17"/>
              </w:rPr>
            </w:pPr>
            <w:r>
              <w:rPr>
                <w:b/>
                <w:spacing w:val="-4"/>
                <w:sz w:val="17"/>
              </w:rPr>
              <w:t>Year</w:t>
            </w:r>
          </w:p>
        </w:tc>
        <w:tc>
          <w:tcPr>
            <w:tcW w:w="1182" w:type="dxa"/>
            <w:shd w:val="clear" w:color="auto" w:fill="92D400"/>
          </w:tcPr>
          <w:p w:rsidR="00C31389" w:rsidRDefault="00561FBD" w14:paraId="541A7134" w14:textId="77777777">
            <w:pPr>
              <w:pStyle w:val="TableParagraph"/>
              <w:spacing w:before="41"/>
              <w:ind w:right="191"/>
              <w:jc w:val="right"/>
              <w:rPr>
                <w:b/>
                <w:sz w:val="17"/>
              </w:rPr>
            </w:pPr>
            <w:r>
              <w:rPr>
                <w:b/>
                <w:spacing w:val="-4"/>
                <w:sz w:val="17"/>
              </w:rPr>
              <w:t>2024</w:t>
            </w:r>
          </w:p>
        </w:tc>
        <w:tc>
          <w:tcPr>
            <w:tcW w:w="711" w:type="dxa"/>
            <w:shd w:val="clear" w:color="auto" w:fill="92D400"/>
          </w:tcPr>
          <w:p w:rsidR="00C31389" w:rsidRDefault="00561FBD" w14:paraId="1575BC86" w14:textId="77777777">
            <w:pPr>
              <w:pStyle w:val="TableParagraph"/>
              <w:spacing w:before="41"/>
              <w:ind w:right="136"/>
              <w:jc w:val="right"/>
              <w:rPr>
                <w:b/>
                <w:sz w:val="17"/>
              </w:rPr>
            </w:pPr>
            <w:r>
              <w:rPr>
                <w:b/>
                <w:spacing w:val="-4"/>
                <w:sz w:val="17"/>
              </w:rPr>
              <w:t>2025</w:t>
            </w:r>
          </w:p>
        </w:tc>
        <w:tc>
          <w:tcPr>
            <w:tcW w:w="643" w:type="dxa"/>
            <w:shd w:val="clear" w:color="auto" w:fill="92D400"/>
          </w:tcPr>
          <w:p w:rsidR="00C31389" w:rsidRDefault="00561FBD" w14:paraId="60CE11FB" w14:textId="77777777">
            <w:pPr>
              <w:pStyle w:val="TableParagraph"/>
              <w:spacing w:before="41"/>
              <w:ind w:right="122"/>
              <w:jc w:val="right"/>
              <w:rPr>
                <w:b/>
                <w:sz w:val="17"/>
              </w:rPr>
            </w:pPr>
            <w:r>
              <w:rPr>
                <w:b/>
                <w:spacing w:val="-4"/>
                <w:sz w:val="17"/>
              </w:rPr>
              <w:t>2026</w:t>
            </w:r>
          </w:p>
        </w:tc>
        <w:tc>
          <w:tcPr>
            <w:tcW w:w="630" w:type="dxa"/>
            <w:shd w:val="clear" w:color="auto" w:fill="92D400"/>
          </w:tcPr>
          <w:p w:rsidR="00C31389" w:rsidRDefault="00561FBD" w14:paraId="5C94B7F4" w14:textId="77777777">
            <w:pPr>
              <w:pStyle w:val="TableParagraph"/>
              <w:spacing w:before="41"/>
              <w:ind w:right="122"/>
              <w:jc w:val="right"/>
              <w:rPr>
                <w:b/>
                <w:sz w:val="17"/>
              </w:rPr>
            </w:pPr>
            <w:r>
              <w:rPr>
                <w:b/>
                <w:spacing w:val="-4"/>
                <w:sz w:val="17"/>
              </w:rPr>
              <w:t>2027</w:t>
            </w:r>
          </w:p>
        </w:tc>
        <w:tc>
          <w:tcPr>
            <w:tcW w:w="630" w:type="dxa"/>
            <w:shd w:val="clear" w:color="auto" w:fill="92D400"/>
          </w:tcPr>
          <w:p w:rsidR="00C31389" w:rsidRDefault="00561FBD" w14:paraId="5061E973" w14:textId="77777777">
            <w:pPr>
              <w:pStyle w:val="TableParagraph"/>
              <w:spacing w:before="41"/>
              <w:ind w:right="122"/>
              <w:jc w:val="right"/>
              <w:rPr>
                <w:b/>
                <w:sz w:val="17"/>
              </w:rPr>
            </w:pPr>
            <w:r>
              <w:rPr>
                <w:b/>
                <w:spacing w:val="-4"/>
                <w:sz w:val="17"/>
              </w:rPr>
              <w:t>2028</w:t>
            </w:r>
          </w:p>
        </w:tc>
        <w:tc>
          <w:tcPr>
            <w:tcW w:w="630" w:type="dxa"/>
            <w:shd w:val="clear" w:color="auto" w:fill="92D400"/>
          </w:tcPr>
          <w:p w:rsidR="00C31389" w:rsidRDefault="00561FBD" w14:paraId="5745CA80" w14:textId="77777777">
            <w:pPr>
              <w:pStyle w:val="TableParagraph"/>
              <w:spacing w:before="41"/>
              <w:ind w:left="99" w:right="98"/>
              <w:jc w:val="center"/>
              <w:rPr>
                <w:b/>
                <w:sz w:val="17"/>
              </w:rPr>
            </w:pPr>
            <w:r>
              <w:rPr>
                <w:b/>
                <w:spacing w:val="-4"/>
                <w:sz w:val="17"/>
              </w:rPr>
              <w:t>2029</w:t>
            </w:r>
          </w:p>
        </w:tc>
        <w:tc>
          <w:tcPr>
            <w:tcW w:w="630" w:type="dxa"/>
            <w:shd w:val="clear" w:color="auto" w:fill="92D400"/>
          </w:tcPr>
          <w:p w:rsidR="00C31389" w:rsidRDefault="00561FBD" w14:paraId="2B7675A8" w14:textId="77777777">
            <w:pPr>
              <w:pStyle w:val="TableParagraph"/>
              <w:spacing w:before="41"/>
              <w:ind w:right="122"/>
              <w:jc w:val="right"/>
              <w:rPr>
                <w:b/>
                <w:sz w:val="17"/>
              </w:rPr>
            </w:pPr>
            <w:r>
              <w:rPr>
                <w:b/>
                <w:spacing w:val="-4"/>
                <w:sz w:val="17"/>
              </w:rPr>
              <w:t>2030</w:t>
            </w:r>
          </w:p>
        </w:tc>
        <w:tc>
          <w:tcPr>
            <w:tcW w:w="630" w:type="dxa"/>
            <w:shd w:val="clear" w:color="auto" w:fill="92D400"/>
          </w:tcPr>
          <w:p w:rsidR="00C31389" w:rsidRDefault="00561FBD" w14:paraId="7A8C69BF" w14:textId="77777777">
            <w:pPr>
              <w:pStyle w:val="TableParagraph"/>
              <w:spacing w:before="41"/>
              <w:ind w:right="122"/>
              <w:jc w:val="right"/>
              <w:rPr>
                <w:b/>
                <w:sz w:val="17"/>
              </w:rPr>
            </w:pPr>
            <w:r>
              <w:rPr>
                <w:b/>
                <w:spacing w:val="-4"/>
                <w:sz w:val="17"/>
              </w:rPr>
              <w:t>2031</w:t>
            </w:r>
          </w:p>
        </w:tc>
        <w:tc>
          <w:tcPr>
            <w:tcW w:w="630" w:type="dxa"/>
            <w:shd w:val="clear" w:color="auto" w:fill="92D400"/>
          </w:tcPr>
          <w:p w:rsidR="00C31389" w:rsidRDefault="00561FBD" w14:paraId="77C1BBAB" w14:textId="77777777">
            <w:pPr>
              <w:pStyle w:val="TableParagraph"/>
              <w:spacing w:before="41"/>
              <w:ind w:right="122"/>
              <w:jc w:val="right"/>
              <w:rPr>
                <w:b/>
                <w:sz w:val="17"/>
              </w:rPr>
            </w:pPr>
            <w:r>
              <w:rPr>
                <w:b/>
                <w:spacing w:val="-4"/>
                <w:sz w:val="17"/>
              </w:rPr>
              <w:t>2032</w:t>
            </w:r>
          </w:p>
        </w:tc>
        <w:tc>
          <w:tcPr>
            <w:tcW w:w="630" w:type="dxa"/>
            <w:shd w:val="clear" w:color="auto" w:fill="92D400"/>
          </w:tcPr>
          <w:p w:rsidR="00C31389" w:rsidRDefault="00561FBD" w14:paraId="5E4995EA" w14:textId="77777777">
            <w:pPr>
              <w:pStyle w:val="TableParagraph"/>
              <w:spacing w:before="41"/>
              <w:ind w:left="99" w:right="98"/>
              <w:jc w:val="center"/>
              <w:rPr>
                <w:b/>
                <w:sz w:val="17"/>
              </w:rPr>
            </w:pPr>
            <w:r>
              <w:rPr>
                <w:b/>
                <w:spacing w:val="-4"/>
                <w:sz w:val="17"/>
              </w:rPr>
              <w:t>2033</w:t>
            </w:r>
          </w:p>
        </w:tc>
        <w:tc>
          <w:tcPr>
            <w:tcW w:w="630" w:type="dxa"/>
            <w:shd w:val="clear" w:color="auto" w:fill="92D400"/>
          </w:tcPr>
          <w:p w:rsidR="00C31389" w:rsidRDefault="00561FBD" w14:paraId="48092985" w14:textId="77777777">
            <w:pPr>
              <w:pStyle w:val="TableParagraph"/>
              <w:spacing w:before="41"/>
              <w:ind w:right="122"/>
              <w:jc w:val="right"/>
              <w:rPr>
                <w:b/>
                <w:sz w:val="17"/>
              </w:rPr>
            </w:pPr>
            <w:r>
              <w:rPr>
                <w:b/>
                <w:spacing w:val="-4"/>
                <w:sz w:val="17"/>
              </w:rPr>
              <w:t>2034</w:t>
            </w:r>
          </w:p>
        </w:tc>
        <w:tc>
          <w:tcPr>
            <w:tcW w:w="612" w:type="dxa"/>
            <w:shd w:val="clear" w:color="auto" w:fill="92D400"/>
          </w:tcPr>
          <w:p w:rsidR="00C31389" w:rsidRDefault="00561FBD" w14:paraId="228AA24B" w14:textId="77777777">
            <w:pPr>
              <w:pStyle w:val="TableParagraph"/>
              <w:spacing w:before="41"/>
              <w:ind w:right="104"/>
              <w:jc w:val="right"/>
              <w:rPr>
                <w:b/>
                <w:sz w:val="17"/>
              </w:rPr>
            </w:pPr>
            <w:r>
              <w:rPr>
                <w:b/>
                <w:spacing w:val="-4"/>
                <w:sz w:val="17"/>
              </w:rPr>
              <w:t>2035</w:t>
            </w:r>
          </w:p>
        </w:tc>
      </w:tr>
      <w:tr w:rsidR="00C31389" w14:paraId="13E86FFC" w14:textId="77777777">
        <w:trPr>
          <w:trHeight w:val="274"/>
        </w:trPr>
        <w:tc>
          <w:tcPr>
            <w:tcW w:w="9374" w:type="dxa"/>
            <w:gridSpan w:val="13"/>
            <w:tcBorders>
              <w:bottom w:val="single" w:color="DCDDDE" w:sz="4" w:space="0"/>
            </w:tcBorders>
            <w:shd w:val="clear" w:color="auto" w:fill="BEBEBE"/>
          </w:tcPr>
          <w:p w:rsidR="00C31389" w:rsidRDefault="00561FBD" w14:paraId="59830F22"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2EB8DAD0" w14:textId="77777777">
        <w:trPr>
          <w:trHeight w:val="275"/>
        </w:trPr>
        <w:tc>
          <w:tcPr>
            <w:tcW w:w="1186" w:type="dxa"/>
            <w:tcBorders>
              <w:top w:val="single" w:color="DCDDDE" w:sz="4" w:space="0"/>
              <w:bottom w:val="single" w:color="DCDDDE" w:sz="4" w:space="0"/>
            </w:tcBorders>
          </w:tcPr>
          <w:p w:rsidR="00C31389" w:rsidRDefault="00561FBD" w14:paraId="571CC7D9" w14:textId="77777777">
            <w:pPr>
              <w:pStyle w:val="TableParagraph"/>
              <w:ind w:left="122"/>
              <w:rPr>
                <w:sz w:val="17"/>
              </w:rPr>
            </w:pPr>
            <w:r>
              <w:rPr>
                <w:spacing w:val="-5"/>
                <w:sz w:val="17"/>
              </w:rPr>
              <w:t>EE</w:t>
            </w:r>
          </w:p>
        </w:tc>
        <w:tc>
          <w:tcPr>
            <w:tcW w:w="1182" w:type="dxa"/>
            <w:tcBorders>
              <w:top w:val="single" w:color="DCDDDE" w:sz="4" w:space="0"/>
              <w:bottom w:val="single" w:color="DCDDDE" w:sz="4" w:space="0"/>
            </w:tcBorders>
          </w:tcPr>
          <w:p w:rsidR="00C31389" w:rsidRDefault="00561FBD" w14:paraId="062BBD9B" w14:textId="77777777">
            <w:pPr>
              <w:pStyle w:val="TableParagraph"/>
              <w:ind w:right="192"/>
              <w:jc w:val="right"/>
              <w:rPr>
                <w:sz w:val="17"/>
              </w:rPr>
            </w:pPr>
            <w:r>
              <w:rPr>
                <w:spacing w:val="-5"/>
                <w:sz w:val="17"/>
              </w:rPr>
              <w:t>1.0</w:t>
            </w:r>
          </w:p>
        </w:tc>
        <w:tc>
          <w:tcPr>
            <w:tcW w:w="711" w:type="dxa"/>
            <w:tcBorders>
              <w:top w:val="single" w:color="DCDDDE" w:sz="4" w:space="0"/>
              <w:bottom w:val="single" w:color="DCDDDE" w:sz="4" w:space="0"/>
            </w:tcBorders>
          </w:tcPr>
          <w:p w:rsidR="00C31389" w:rsidRDefault="00561FBD" w14:paraId="57159AC1" w14:textId="77777777">
            <w:pPr>
              <w:pStyle w:val="TableParagraph"/>
              <w:ind w:right="137"/>
              <w:jc w:val="right"/>
              <w:rPr>
                <w:sz w:val="17"/>
              </w:rPr>
            </w:pPr>
            <w:r>
              <w:rPr>
                <w:spacing w:val="-5"/>
                <w:sz w:val="17"/>
              </w:rPr>
              <w:t>1.0</w:t>
            </w:r>
          </w:p>
        </w:tc>
        <w:tc>
          <w:tcPr>
            <w:tcW w:w="643" w:type="dxa"/>
            <w:tcBorders>
              <w:top w:val="single" w:color="DCDDDE" w:sz="4" w:space="0"/>
              <w:bottom w:val="single" w:color="DCDDDE" w:sz="4" w:space="0"/>
            </w:tcBorders>
          </w:tcPr>
          <w:p w:rsidR="00C31389" w:rsidRDefault="00561FBD" w14:paraId="72DEC7D6" w14:textId="77777777">
            <w:pPr>
              <w:pStyle w:val="TableParagraph"/>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67A541E5" w14:textId="77777777">
            <w:pPr>
              <w:pStyle w:val="TableParagraph"/>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49DDD06C" w14:textId="77777777">
            <w:pPr>
              <w:pStyle w:val="TableParagraph"/>
              <w:ind w:right="123"/>
              <w:jc w:val="right"/>
              <w:rPr>
                <w:sz w:val="17"/>
              </w:rPr>
            </w:pPr>
            <w:r>
              <w:rPr>
                <w:spacing w:val="-5"/>
                <w:sz w:val="17"/>
              </w:rPr>
              <w:t>1.2</w:t>
            </w:r>
          </w:p>
        </w:tc>
        <w:tc>
          <w:tcPr>
            <w:tcW w:w="630" w:type="dxa"/>
            <w:tcBorders>
              <w:top w:val="single" w:color="DCDDDE" w:sz="4" w:space="0"/>
              <w:bottom w:val="single" w:color="DCDDDE" w:sz="4" w:space="0"/>
            </w:tcBorders>
          </w:tcPr>
          <w:p w:rsidR="00C31389" w:rsidRDefault="00561FBD" w14:paraId="5D919E18" w14:textId="77777777">
            <w:pPr>
              <w:pStyle w:val="TableParagraph"/>
              <w:ind w:left="240" w:right="98"/>
              <w:jc w:val="center"/>
              <w:rPr>
                <w:sz w:val="17"/>
              </w:rPr>
            </w:pPr>
            <w:r>
              <w:rPr>
                <w:spacing w:val="-5"/>
                <w:sz w:val="17"/>
              </w:rPr>
              <w:t>1.2</w:t>
            </w:r>
          </w:p>
        </w:tc>
        <w:tc>
          <w:tcPr>
            <w:tcW w:w="630" w:type="dxa"/>
            <w:tcBorders>
              <w:top w:val="single" w:color="DCDDDE" w:sz="4" w:space="0"/>
              <w:bottom w:val="single" w:color="DCDDDE" w:sz="4" w:space="0"/>
            </w:tcBorders>
          </w:tcPr>
          <w:p w:rsidR="00C31389" w:rsidRDefault="00561FBD" w14:paraId="366AD6E9" w14:textId="77777777">
            <w:pPr>
              <w:pStyle w:val="TableParagraph"/>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3BC37A78" w14:textId="77777777">
            <w:pPr>
              <w:pStyle w:val="TableParagraph"/>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553E0E8E" w14:textId="77777777">
            <w:pPr>
              <w:pStyle w:val="TableParagraph"/>
              <w:ind w:right="123"/>
              <w:jc w:val="right"/>
              <w:rPr>
                <w:sz w:val="17"/>
              </w:rPr>
            </w:pPr>
            <w:r>
              <w:rPr>
                <w:spacing w:val="-5"/>
                <w:sz w:val="17"/>
              </w:rPr>
              <w:t>0.7</w:t>
            </w:r>
          </w:p>
        </w:tc>
        <w:tc>
          <w:tcPr>
            <w:tcW w:w="630" w:type="dxa"/>
            <w:tcBorders>
              <w:top w:val="single" w:color="DCDDDE" w:sz="4" w:space="0"/>
              <w:bottom w:val="single" w:color="DCDDDE" w:sz="4" w:space="0"/>
            </w:tcBorders>
          </w:tcPr>
          <w:p w:rsidR="00C31389" w:rsidRDefault="00561FBD" w14:paraId="48C149EF" w14:textId="77777777">
            <w:pPr>
              <w:pStyle w:val="TableParagraph"/>
              <w:ind w:left="240" w:right="98"/>
              <w:jc w:val="center"/>
              <w:rPr>
                <w:sz w:val="17"/>
              </w:rPr>
            </w:pPr>
            <w:r>
              <w:rPr>
                <w:spacing w:val="-5"/>
                <w:sz w:val="17"/>
              </w:rPr>
              <w:t>0.8</w:t>
            </w:r>
          </w:p>
        </w:tc>
        <w:tc>
          <w:tcPr>
            <w:tcW w:w="630" w:type="dxa"/>
            <w:tcBorders>
              <w:top w:val="single" w:color="DCDDDE" w:sz="4" w:space="0"/>
              <w:bottom w:val="single" w:color="DCDDDE" w:sz="4" w:space="0"/>
            </w:tcBorders>
          </w:tcPr>
          <w:p w:rsidR="00C31389" w:rsidRDefault="00561FBD" w14:paraId="3A3E2254" w14:textId="77777777">
            <w:pPr>
              <w:pStyle w:val="TableParagraph"/>
              <w:ind w:right="123"/>
              <w:jc w:val="right"/>
              <w:rPr>
                <w:sz w:val="17"/>
              </w:rPr>
            </w:pPr>
            <w:r>
              <w:rPr>
                <w:spacing w:val="-5"/>
                <w:sz w:val="17"/>
              </w:rPr>
              <w:t>0.8</w:t>
            </w:r>
          </w:p>
        </w:tc>
        <w:tc>
          <w:tcPr>
            <w:tcW w:w="612" w:type="dxa"/>
            <w:tcBorders>
              <w:top w:val="single" w:color="DCDDDE" w:sz="4" w:space="0"/>
              <w:bottom w:val="single" w:color="DCDDDE" w:sz="4" w:space="0"/>
            </w:tcBorders>
          </w:tcPr>
          <w:p w:rsidR="00C31389" w:rsidRDefault="00561FBD" w14:paraId="7CB7B572" w14:textId="77777777">
            <w:pPr>
              <w:pStyle w:val="TableParagraph"/>
              <w:ind w:right="105"/>
              <w:jc w:val="right"/>
              <w:rPr>
                <w:sz w:val="17"/>
              </w:rPr>
            </w:pPr>
            <w:r>
              <w:rPr>
                <w:spacing w:val="-5"/>
                <w:sz w:val="17"/>
              </w:rPr>
              <w:t>0.8</w:t>
            </w:r>
          </w:p>
        </w:tc>
      </w:tr>
      <w:tr w:rsidR="00C31389" w14:paraId="24F23500" w14:textId="77777777">
        <w:trPr>
          <w:trHeight w:val="275"/>
        </w:trPr>
        <w:tc>
          <w:tcPr>
            <w:tcW w:w="1186" w:type="dxa"/>
            <w:tcBorders>
              <w:top w:val="single" w:color="DCDDDE" w:sz="4" w:space="0"/>
              <w:bottom w:val="single" w:color="DCDDDE" w:sz="4" w:space="0"/>
            </w:tcBorders>
          </w:tcPr>
          <w:p w:rsidR="00C31389" w:rsidRDefault="00561FBD" w14:paraId="04AF35E8" w14:textId="77777777">
            <w:pPr>
              <w:pStyle w:val="TableParagraph"/>
              <w:ind w:left="122"/>
              <w:rPr>
                <w:sz w:val="17"/>
              </w:rPr>
            </w:pPr>
            <w:r>
              <w:rPr>
                <w:spacing w:val="-5"/>
                <w:sz w:val="17"/>
              </w:rPr>
              <w:t>FS</w:t>
            </w:r>
          </w:p>
        </w:tc>
        <w:tc>
          <w:tcPr>
            <w:tcW w:w="1182" w:type="dxa"/>
            <w:tcBorders>
              <w:top w:val="single" w:color="DCDDDE" w:sz="4" w:space="0"/>
              <w:bottom w:val="single" w:color="DCDDDE" w:sz="4" w:space="0"/>
            </w:tcBorders>
          </w:tcPr>
          <w:p w:rsidR="00C31389" w:rsidRDefault="00561FBD" w14:paraId="50B3BEAD" w14:textId="77777777">
            <w:pPr>
              <w:pStyle w:val="TableParagraph"/>
              <w:ind w:right="192"/>
              <w:jc w:val="right"/>
              <w:rPr>
                <w:sz w:val="17"/>
              </w:rPr>
            </w:pPr>
            <w:r>
              <w:rPr>
                <w:spacing w:val="-5"/>
                <w:sz w:val="17"/>
              </w:rPr>
              <w:t>0.0</w:t>
            </w:r>
          </w:p>
        </w:tc>
        <w:tc>
          <w:tcPr>
            <w:tcW w:w="711" w:type="dxa"/>
            <w:tcBorders>
              <w:top w:val="single" w:color="DCDDDE" w:sz="4" w:space="0"/>
              <w:bottom w:val="single" w:color="DCDDDE" w:sz="4" w:space="0"/>
            </w:tcBorders>
          </w:tcPr>
          <w:p w:rsidR="00C31389" w:rsidRDefault="00561FBD" w14:paraId="1AA6D1EF" w14:textId="77777777">
            <w:pPr>
              <w:pStyle w:val="TableParagraph"/>
              <w:ind w:right="137"/>
              <w:jc w:val="right"/>
              <w:rPr>
                <w:sz w:val="17"/>
              </w:rPr>
            </w:pPr>
            <w:r>
              <w:rPr>
                <w:spacing w:val="-5"/>
                <w:sz w:val="17"/>
              </w:rPr>
              <w:t>0.1</w:t>
            </w:r>
          </w:p>
        </w:tc>
        <w:tc>
          <w:tcPr>
            <w:tcW w:w="643" w:type="dxa"/>
            <w:tcBorders>
              <w:top w:val="single" w:color="DCDDDE" w:sz="4" w:space="0"/>
              <w:bottom w:val="single" w:color="DCDDDE" w:sz="4" w:space="0"/>
            </w:tcBorders>
          </w:tcPr>
          <w:p w:rsidR="00C31389" w:rsidRDefault="00561FBD" w14:paraId="0CD0848F" w14:textId="77777777">
            <w:pPr>
              <w:pStyle w:val="TableParagraph"/>
              <w:ind w:right="123"/>
              <w:jc w:val="right"/>
              <w:rPr>
                <w:sz w:val="17"/>
              </w:rPr>
            </w:pPr>
            <w:r>
              <w:rPr>
                <w:spacing w:val="-5"/>
                <w:sz w:val="17"/>
              </w:rPr>
              <w:t>0.1</w:t>
            </w:r>
          </w:p>
        </w:tc>
        <w:tc>
          <w:tcPr>
            <w:tcW w:w="630" w:type="dxa"/>
            <w:tcBorders>
              <w:top w:val="single" w:color="DCDDDE" w:sz="4" w:space="0"/>
              <w:bottom w:val="single" w:color="DCDDDE" w:sz="4" w:space="0"/>
            </w:tcBorders>
          </w:tcPr>
          <w:p w:rsidR="00C31389" w:rsidRDefault="00561FBD" w14:paraId="367A2769" w14:textId="77777777">
            <w:pPr>
              <w:pStyle w:val="TableParagraph"/>
              <w:ind w:right="123"/>
              <w:jc w:val="right"/>
              <w:rPr>
                <w:sz w:val="17"/>
              </w:rPr>
            </w:pPr>
            <w:r>
              <w:rPr>
                <w:spacing w:val="-5"/>
                <w:sz w:val="17"/>
              </w:rPr>
              <w:t>0.2</w:t>
            </w:r>
          </w:p>
        </w:tc>
        <w:tc>
          <w:tcPr>
            <w:tcW w:w="630" w:type="dxa"/>
            <w:tcBorders>
              <w:top w:val="single" w:color="DCDDDE" w:sz="4" w:space="0"/>
              <w:bottom w:val="single" w:color="DCDDDE" w:sz="4" w:space="0"/>
            </w:tcBorders>
          </w:tcPr>
          <w:p w:rsidR="00C31389" w:rsidRDefault="00561FBD" w14:paraId="0746A93C" w14:textId="77777777">
            <w:pPr>
              <w:pStyle w:val="TableParagraph"/>
              <w:ind w:right="123"/>
              <w:jc w:val="right"/>
              <w:rPr>
                <w:sz w:val="17"/>
              </w:rPr>
            </w:pPr>
            <w:r>
              <w:rPr>
                <w:spacing w:val="-5"/>
                <w:sz w:val="17"/>
              </w:rPr>
              <w:t>0.3</w:t>
            </w:r>
          </w:p>
        </w:tc>
        <w:tc>
          <w:tcPr>
            <w:tcW w:w="630" w:type="dxa"/>
            <w:tcBorders>
              <w:top w:val="single" w:color="DCDDDE" w:sz="4" w:space="0"/>
              <w:bottom w:val="single" w:color="DCDDDE" w:sz="4" w:space="0"/>
            </w:tcBorders>
          </w:tcPr>
          <w:p w:rsidR="00C31389" w:rsidRDefault="00561FBD" w14:paraId="3CD71E37" w14:textId="77777777">
            <w:pPr>
              <w:pStyle w:val="TableParagraph"/>
              <w:ind w:left="240" w:right="98"/>
              <w:jc w:val="center"/>
              <w:rPr>
                <w:sz w:val="17"/>
              </w:rPr>
            </w:pPr>
            <w:r>
              <w:rPr>
                <w:spacing w:val="-5"/>
                <w:sz w:val="17"/>
              </w:rPr>
              <w:t>0.3</w:t>
            </w:r>
          </w:p>
        </w:tc>
        <w:tc>
          <w:tcPr>
            <w:tcW w:w="630" w:type="dxa"/>
            <w:tcBorders>
              <w:top w:val="single" w:color="DCDDDE" w:sz="4" w:space="0"/>
              <w:bottom w:val="single" w:color="DCDDDE" w:sz="4" w:space="0"/>
            </w:tcBorders>
          </w:tcPr>
          <w:p w:rsidR="00C31389" w:rsidRDefault="00561FBD" w14:paraId="23AEFF65"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0B889040"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11129077"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103CD4F7" w14:textId="77777777">
            <w:pPr>
              <w:pStyle w:val="TableParagraph"/>
              <w:ind w:left="240" w:right="98"/>
              <w:jc w:val="center"/>
              <w:rPr>
                <w:sz w:val="17"/>
              </w:rPr>
            </w:pPr>
            <w:r>
              <w:rPr>
                <w:spacing w:val="-5"/>
                <w:sz w:val="17"/>
              </w:rPr>
              <w:t>0.0</w:t>
            </w:r>
          </w:p>
        </w:tc>
        <w:tc>
          <w:tcPr>
            <w:tcW w:w="630" w:type="dxa"/>
            <w:tcBorders>
              <w:top w:val="single" w:color="DCDDDE" w:sz="4" w:space="0"/>
              <w:bottom w:val="single" w:color="DCDDDE" w:sz="4" w:space="0"/>
            </w:tcBorders>
          </w:tcPr>
          <w:p w:rsidR="00C31389" w:rsidRDefault="00561FBD" w14:paraId="08C2AFE5" w14:textId="77777777">
            <w:pPr>
              <w:pStyle w:val="TableParagraph"/>
              <w:ind w:right="123"/>
              <w:jc w:val="right"/>
              <w:rPr>
                <w:sz w:val="17"/>
              </w:rPr>
            </w:pPr>
            <w:r>
              <w:rPr>
                <w:spacing w:val="-5"/>
                <w:sz w:val="17"/>
              </w:rPr>
              <w:t>0.0</w:t>
            </w:r>
          </w:p>
        </w:tc>
        <w:tc>
          <w:tcPr>
            <w:tcW w:w="612" w:type="dxa"/>
            <w:tcBorders>
              <w:top w:val="single" w:color="DCDDDE" w:sz="4" w:space="0"/>
              <w:bottom w:val="single" w:color="DCDDDE" w:sz="4" w:space="0"/>
            </w:tcBorders>
          </w:tcPr>
          <w:p w:rsidR="00C31389" w:rsidRDefault="00561FBD" w14:paraId="2FE2A575" w14:textId="77777777">
            <w:pPr>
              <w:pStyle w:val="TableParagraph"/>
              <w:ind w:right="105"/>
              <w:jc w:val="right"/>
              <w:rPr>
                <w:sz w:val="17"/>
              </w:rPr>
            </w:pPr>
            <w:r>
              <w:rPr>
                <w:spacing w:val="-5"/>
                <w:sz w:val="17"/>
              </w:rPr>
              <w:t>0.0</w:t>
            </w:r>
          </w:p>
        </w:tc>
      </w:tr>
      <w:tr w:rsidR="00C31389" w14:paraId="128B40CF" w14:textId="77777777">
        <w:trPr>
          <w:trHeight w:val="275"/>
        </w:trPr>
        <w:tc>
          <w:tcPr>
            <w:tcW w:w="1186" w:type="dxa"/>
            <w:tcBorders>
              <w:top w:val="single" w:color="DCDDDE" w:sz="4" w:space="0"/>
              <w:bottom w:val="single" w:color="DCDDDE" w:sz="4" w:space="0"/>
            </w:tcBorders>
          </w:tcPr>
          <w:p w:rsidR="00C31389" w:rsidRDefault="00561FBD" w14:paraId="7AE7FD04" w14:textId="77777777">
            <w:pPr>
              <w:pStyle w:val="TableParagraph"/>
              <w:ind w:left="122"/>
              <w:rPr>
                <w:sz w:val="17"/>
              </w:rPr>
            </w:pPr>
            <w:r>
              <w:rPr>
                <w:spacing w:val="-4"/>
                <w:sz w:val="17"/>
              </w:rPr>
              <w:t>BROs</w:t>
            </w:r>
          </w:p>
        </w:tc>
        <w:tc>
          <w:tcPr>
            <w:tcW w:w="1182" w:type="dxa"/>
            <w:tcBorders>
              <w:top w:val="single" w:color="DCDDDE" w:sz="4" w:space="0"/>
              <w:bottom w:val="single" w:color="DCDDDE" w:sz="4" w:space="0"/>
            </w:tcBorders>
          </w:tcPr>
          <w:p w:rsidR="00C31389" w:rsidRDefault="00561FBD" w14:paraId="30E26F40" w14:textId="77777777">
            <w:pPr>
              <w:pStyle w:val="TableParagraph"/>
              <w:ind w:right="192"/>
              <w:jc w:val="right"/>
              <w:rPr>
                <w:sz w:val="17"/>
              </w:rPr>
            </w:pPr>
            <w:r>
              <w:rPr>
                <w:spacing w:val="-5"/>
                <w:sz w:val="17"/>
              </w:rPr>
              <w:t>1.8</w:t>
            </w:r>
          </w:p>
        </w:tc>
        <w:tc>
          <w:tcPr>
            <w:tcW w:w="711" w:type="dxa"/>
            <w:tcBorders>
              <w:top w:val="single" w:color="DCDDDE" w:sz="4" w:space="0"/>
              <w:bottom w:val="single" w:color="DCDDDE" w:sz="4" w:space="0"/>
            </w:tcBorders>
          </w:tcPr>
          <w:p w:rsidR="00C31389" w:rsidRDefault="00561FBD" w14:paraId="79D2BA32" w14:textId="77777777">
            <w:pPr>
              <w:pStyle w:val="TableParagraph"/>
              <w:ind w:right="137"/>
              <w:jc w:val="right"/>
              <w:rPr>
                <w:sz w:val="17"/>
              </w:rPr>
            </w:pPr>
            <w:r>
              <w:rPr>
                <w:spacing w:val="-5"/>
                <w:sz w:val="17"/>
              </w:rPr>
              <w:t>1.8</w:t>
            </w:r>
          </w:p>
        </w:tc>
        <w:tc>
          <w:tcPr>
            <w:tcW w:w="643" w:type="dxa"/>
            <w:tcBorders>
              <w:top w:val="single" w:color="DCDDDE" w:sz="4" w:space="0"/>
              <w:bottom w:val="single" w:color="DCDDDE" w:sz="4" w:space="0"/>
            </w:tcBorders>
          </w:tcPr>
          <w:p w:rsidR="00C31389" w:rsidRDefault="00561FBD" w14:paraId="243E091A" w14:textId="77777777">
            <w:pPr>
              <w:pStyle w:val="TableParagraph"/>
              <w:ind w:right="123"/>
              <w:jc w:val="right"/>
              <w:rPr>
                <w:sz w:val="17"/>
              </w:rPr>
            </w:pPr>
            <w:r>
              <w:rPr>
                <w:spacing w:val="-5"/>
                <w:sz w:val="17"/>
              </w:rPr>
              <w:t>1.8</w:t>
            </w:r>
          </w:p>
        </w:tc>
        <w:tc>
          <w:tcPr>
            <w:tcW w:w="630" w:type="dxa"/>
            <w:tcBorders>
              <w:top w:val="single" w:color="DCDDDE" w:sz="4" w:space="0"/>
              <w:bottom w:val="single" w:color="DCDDDE" w:sz="4" w:space="0"/>
            </w:tcBorders>
          </w:tcPr>
          <w:p w:rsidR="00C31389" w:rsidRDefault="00561FBD" w14:paraId="7AEFE483" w14:textId="77777777">
            <w:pPr>
              <w:pStyle w:val="TableParagraph"/>
              <w:ind w:right="123"/>
              <w:jc w:val="right"/>
              <w:rPr>
                <w:sz w:val="17"/>
              </w:rPr>
            </w:pPr>
            <w:r>
              <w:rPr>
                <w:spacing w:val="-5"/>
                <w:sz w:val="17"/>
              </w:rPr>
              <w:t>1.9</w:t>
            </w:r>
          </w:p>
        </w:tc>
        <w:tc>
          <w:tcPr>
            <w:tcW w:w="630" w:type="dxa"/>
            <w:tcBorders>
              <w:top w:val="single" w:color="DCDDDE" w:sz="4" w:space="0"/>
              <w:bottom w:val="single" w:color="DCDDDE" w:sz="4" w:space="0"/>
            </w:tcBorders>
          </w:tcPr>
          <w:p w:rsidR="00C31389" w:rsidRDefault="00561FBD" w14:paraId="601E6D06" w14:textId="77777777">
            <w:pPr>
              <w:pStyle w:val="TableParagraph"/>
              <w:ind w:right="123"/>
              <w:jc w:val="right"/>
              <w:rPr>
                <w:sz w:val="17"/>
              </w:rPr>
            </w:pPr>
            <w:r>
              <w:rPr>
                <w:spacing w:val="-5"/>
                <w:sz w:val="17"/>
              </w:rPr>
              <w:t>2.0</w:t>
            </w:r>
          </w:p>
        </w:tc>
        <w:tc>
          <w:tcPr>
            <w:tcW w:w="630" w:type="dxa"/>
            <w:tcBorders>
              <w:top w:val="single" w:color="DCDDDE" w:sz="4" w:space="0"/>
              <w:bottom w:val="single" w:color="DCDDDE" w:sz="4" w:space="0"/>
            </w:tcBorders>
          </w:tcPr>
          <w:p w:rsidR="00C31389" w:rsidRDefault="00561FBD" w14:paraId="0A496DB4" w14:textId="77777777">
            <w:pPr>
              <w:pStyle w:val="TableParagraph"/>
              <w:ind w:left="240" w:right="98"/>
              <w:jc w:val="center"/>
              <w:rPr>
                <w:sz w:val="17"/>
              </w:rPr>
            </w:pPr>
            <w:r>
              <w:rPr>
                <w:spacing w:val="-5"/>
                <w:sz w:val="17"/>
              </w:rPr>
              <w:t>2.0</w:t>
            </w:r>
          </w:p>
        </w:tc>
        <w:tc>
          <w:tcPr>
            <w:tcW w:w="630" w:type="dxa"/>
            <w:tcBorders>
              <w:top w:val="single" w:color="DCDDDE" w:sz="4" w:space="0"/>
              <w:bottom w:val="single" w:color="DCDDDE" w:sz="4" w:space="0"/>
            </w:tcBorders>
          </w:tcPr>
          <w:p w:rsidR="00C31389" w:rsidRDefault="00561FBD" w14:paraId="3E0242CB" w14:textId="77777777">
            <w:pPr>
              <w:pStyle w:val="TableParagraph"/>
              <w:ind w:right="123"/>
              <w:jc w:val="right"/>
              <w:rPr>
                <w:sz w:val="17"/>
              </w:rPr>
            </w:pPr>
            <w:r>
              <w:rPr>
                <w:spacing w:val="-5"/>
                <w:sz w:val="17"/>
              </w:rPr>
              <w:t>2.1</w:t>
            </w:r>
          </w:p>
        </w:tc>
        <w:tc>
          <w:tcPr>
            <w:tcW w:w="630" w:type="dxa"/>
            <w:tcBorders>
              <w:top w:val="single" w:color="DCDDDE" w:sz="4" w:space="0"/>
              <w:bottom w:val="single" w:color="DCDDDE" w:sz="4" w:space="0"/>
            </w:tcBorders>
          </w:tcPr>
          <w:p w:rsidR="00C31389" w:rsidRDefault="00561FBD" w14:paraId="77C94C9F" w14:textId="77777777">
            <w:pPr>
              <w:pStyle w:val="TableParagraph"/>
              <w:ind w:right="123"/>
              <w:jc w:val="right"/>
              <w:rPr>
                <w:sz w:val="17"/>
              </w:rPr>
            </w:pPr>
            <w:r>
              <w:rPr>
                <w:spacing w:val="-5"/>
                <w:sz w:val="17"/>
              </w:rPr>
              <w:t>2.2</w:t>
            </w:r>
          </w:p>
        </w:tc>
        <w:tc>
          <w:tcPr>
            <w:tcW w:w="630" w:type="dxa"/>
            <w:tcBorders>
              <w:top w:val="single" w:color="DCDDDE" w:sz="4" w:space="0"/>
              <w:bottom w:val="single" w:color="DCDDDE" w:sz="4" w:space="0"/>
            </w:tcBorders>
          </w:tcPr>
          <w:p w:rsidR="00C31389" w:rsidRDefault="00561FBD" w14:paraId="008D58AA" w14:textId="77777777">
            <w:pPr>
              <w:pStyle w:val="TableParagraph"/>
              <w:ind w:right="123"/>
              <w:jc w:val="right"/>
              <w:rPr>
                <w:sz w:val="17"/>
              </w:rPr>
            </w:pPr>
            <w:r>
              <w:rPr>
                <w:spacing w:val="-5"/>
                <w:sz w:val="17"/>
              </w:rPr>
              <w:t>2.3</w:t>
            </w:r>
          </w:p>
        </w:tc>
        <w:tc>
          <w:tcPr>
            <w:tcW w:w="630" w:type="dxa"/>
            <w:tcBorders>
              <w:top w:val="single" w:color="DCDDDE" w:sz="4" w:space="0"/>
              <w:bottom w:val="single" w:color="DCDDDE" w:sz="4" w:space="0"/>
            </w:tcBorders>
          </w:tcPr>
          <w:p w:rsidR="00C31389" w:rsidRDefault="00561FBD" w14:paraId="498F309F" w14:textId="77777777">
            <w:pPr>
              <w:pStyle w:val="TableParagraph"/>
              <w:ind w:left="240" w:right="98"/>
              <w:jc w:val="center"/>
              <w:rPr>
                <w:sz w:val="17"/>
              </w:rPr>
            </w:pPr>
            <w:r>
              <w:rPr>
                <w:spacing w:val="-5"/>
                <w:sz w:val="17"/>
              </w:rPr>
              <w:t>2.6</w:t>
            </w:r>
          </w:p>
        </w:tc>
        <w:tc>
          <w:tcPr>
            <w:tcW w:w="630" w:type="dxa"/>
            <w:tcBorders>
              <w:top w:val="single" w:color="DCDDDE" w:sz="4" w:space="0"/>
              <w:bottom w:val="single" w:color="DCDDDE" w:sz="4" w:space="0"/>
            </w:tcBorders>
          </w:tcPr>
          <w:p w:rsidR="00C31389" w:rsidRDefault="00561FBD" w14:paraId="15492CD1" w14:textId="77777777">
            <w:pPr>
              <w:pStyle w:val="TableParagraph"/>
              <w:ind w:right="123"/>
              <w:jc w:val="right"/>
              <w:rPr>
                <w:sz w:val="17"/>
              </w:rPr>
            </w:pPr>
            <w:r>
              <w:rPr>
                <w:spacing w:val="-5"/>
                <w:sz w:val="17"/>
              </w:rPr>
              <w:t>2.2</w:t>
            </w:r>
          </w:p>
        </w:tc>
        <w:tc>
          <w:tcPr>
            <w:tcW w:w="612" w:type="dxa"/>
            <w:tcBorders>
              <w:top w:val="single" w:color="DCDDDE" w:sz="4" w:space="0"/>
              <w:bottom w:val="single" w:color="DCDDDE" w:sz="4" w:space="0"/>
            </w:tcBorders>
          </w:tcPr>
          <w:p w:rsidR="00C31389" w:rsidRDefault="00561FBD" w14:paraId="3348FFD4" w14:textId="77777777">
            <w:pPr>
              <w:pStyle w:val="TableParagraph"/>
              <w:ind w:right="105"/>
              <w:jc w:val="right"/>
              <w:rPr>
                <w:sz w:val="17"/>
              </w:rPr>
            </w:pPr>
            <w:r>
              <w:rPr>
                <w:spacing w:val="-5"/>
                <w:sz w:val="17"/>
              </w:rPr>
              <w:t>2.3</w:t>
            </w:r>
          </w:p>
        </w:tc>
      </w:tr>
      <w:tr w:rsidR="00C31389" w14:paraId="1655265B"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0342020C" w14:textId="77777777">
            <w:pPr>
              <w:pStyle w:val="TableParagraph"/>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65CE7BCF" w14:textId="77777777">
        <w:trPr>
          <w:trHeight w:val="275"/>
        </w:trPr>
        <w:tc>
          <w:tcPr>
            <w:tcW w:w="1186" w:type="dxa"/>
            <w:tcBorders>
              <w:top w:val="single" w:color="DCDDDE" w:sz="4" w:space="0"/>
              <w:bottom w:val="single" w:color="DCDDDE" w:sz="4" w:space="0"/>
            </w:tcBorders>
          </w:tcPr>
          <w:p w:rsidR="00C31389" w:rsidRDefault="00561FBD" w14:paraId="5BAD3A0A" w14:textId="77777777">
            <w:pPr>
              <w:pStyle w:val="TableParagraph"/>
              <w:ind w:left="122"/>
              <w:rPr>
                <w:sz w:val="17"/>
              </w:rPr>
            </w:pPr>
            <w:r>
              <w:rPr>
                <w:spacing w:val="-5"/>
                <w:sz w:val="17"/>
              </w:rPr>
              <w:t>EE</w:t>
            </w:r>
          </w:p>
        </w:tc>
        <w:tc>
          <w:tcPr>
            <w:tcW w:w="1182" w:type="dxa"/>
            <w:tcBorders>
              <w:top w:val="single" w:color="DCDDDE" w:sz="4" w:space="0"/>
              <w:bottom w:val="single" w:color="DCDDDE" w:sz="4" w:space="0"/>
            </w:tcBorders>
          </w:tcPr>
          <w:p w:rsidR="00C31389" w:rsidRDefault="00561FBD" w14:paraId="1F987F55" w14:textId="77777777">
            <w:pPr>
              <w:pStyle w:val="TableParagraph"/>
              <w:ind w:right="192"/>
              <w:jc w:val="right"/>
              <w:rPr>
                <w:sz w:val="17"/>
              </w:rPr>
            </w:pPr>
            <w:r>
              <w:rPr>
                <w:spacing w:val="-5"/>
                <w:sz w:val="17"/>
              </w:rPr>
              <w:t>1.0</w:t>
            </w:r>
          </w:p>
        </w:tc>
        <w:tc>
          <w:tcPr>
            <w:tcW w:w="711" w:type="dxa"/>
            <w:tcBorders>
              <w:top w:val="single" w:color="DCDDDE" w:sz="4" w:space="0"/>
              <w:bottom w:val="single" w:color="DCDDDE" w:sz="4" w:space="0"/>
            </w:tcBorders>
          </w:tcPr>
          <w:p w:rsidR="00C31389" w:rsidRDefault="00561FBD" w14:paraId="3859905C" w14:textId="77777777">
            <w:pPr>
              <w:pStyle w:val="TableParagraph"/>
              <w:ind w:right="137"/>
              <w:jc w:val="right"/>
              <w:rPr>
                <w:sz w:val="17"/>
              </w:rPr>
            </w:pPr>
            <w:r>
              <w:rPr>
                <w:spacing w:val="-5"/>
                <w:sz w:val="17"/>
              </w:rPr>
              <w:t>1.0</w:t>
            </w:r>
          </w:p>
        </w:tc>
        <w:tc>
          <w:tcPr>
            <w:tcW w:w="643" w:type="dxa"/>
            <w:tcBorders>
              <w:top w:val="single" w:color="DCDDDE" w:sz="4" w:space="0"/>
              <w:bottom w:val="single" w:color="DCDDDE" w:sz="4" w:space="0"/>
            </w:tcBorders>
          </w:tcPr>
          <w:p w:rsidR="00C31389" w:rsidRDefault="00561FBD" w14:paraId="5F03E0E7" w14:textId="77777777">
            <w:pPr>
              <w:pStyle w:val="TableParagraph"/>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32D7E2B3" w14:textId="77777777">
            <w:pPr>
              <w:pStyle w:val="TableParagraph"/>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1F20AC45" w14:textId="77777777">
            <w:pPr>
              <w:pStyle w:val="TableParagraph"/>
              <w:ind w:right="123"/>
              <w:jc w:val="right"/>
              <w:rPr>
                <w:sz w:val="17"/>
              </w:rPr>
            </w:pPr>
            <w:r>
              <w:rPr>
                <w:spacing w:val="-5"/>
                <w:sz w:val="17"/>
              </w:rPr>
              <w:t>1.3</w:t>
            </w:r>
          </w:p>
        </w:tc>
        <w:tc>
          <w:tcPr>
            <w:tcW w:w="630" w:type="dxa"/>
            <w:tcBorders>
              <w:top w:val="single" w:color="DCDDDE" w:sz="4" w:space="0"/>
              <w:bottom w:val="single" w:color="DCDDDE" w:sz="4" w:space="0"/>
            </w:tcBorders>
          </w:tcPr>
          <w:p w:rsidR="00C31389" w:rsidRDefault="00561FBD" w14:paraId="437D923B" w14:textId="77777777">
            <w:pPr>
              <w:pStyle w:val="TableParagraph"/>
              <w:ind w:left="240" w:right="98"/>
              <w:jc w:val="center"/>
              <w:rPr>
                <w:sz w:val="17"/>
              </w:rPr>
            </w:pPr>
            <w:r>
              <w:rPr>
                <w:spacing w:val="-5"/>
                <w:sz w:val="17"/>
              </w:rPr>
              <w:t>1.2</w:t>
            </w:r>
          </w:p>
        </w:tc>
        <w:tc>
          <w:tcPr>
            <w:tcW w:w="630" w:type="dxa"/>
            <w:tcBorders>
              <w:top w:val="single" w:color="DCDDDE" w:sz="4" w:space="0"/>
              <w:bottom w:val="single" w:color="DCDDDE" w:sz="4" w:space="0"/>
            </w:tcBorders>
          </w:tcPr>
          <w:p w:rsidR="00C31389" w:rsidRDefault="00561FBD" w14:paraId="435FBFFE" w14:textId="77777777">
            <w:pPr>
              <w:pStyle w:val="TableParagraph"/>
              <w:ind w:right="123"/>
              <w:jc w:val="right"/>
              <w:rPr>
                <w:sz w:val="17"/>
              </w:rPr>
            </w:pPr>
            <w:r>
              <w:rPr>
                <w:spacing w:val="-5"/>
                <w:sz w:val="17"/>
              </w:rPr>
              <w:t>0.9</w:t>
            </w:r>
          </w:p>
        </w:tc>
        <w:tc>
          <w:tcPr>
            <w:tcW w:w="630" w:type="dxa"/>
            <w:tcBorders>
              <w:top w:val="single" w:color="DCDDDE" w:sz="4" w:space="0"/>
              <w:bottom w:val="single" w:color="DCDDDE" w:sz="4" w:space="0"/>
            </w:tcBorders>
          </w:tcPr>
          <w:p w:rsidR="00C31389" w:rsidRDefault="00561FBD" w14:paraId="4B5555F4" w14:textId="77777777">
            <w:pPr>
              <w:pStyle w:val="TableParagraph"/>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23CF53F3" w14:textId="77777777">
            <w:pPr>
              <w:pStyle w:val="TableParagraph"/>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63D450BD" w14:textId="77777777">
            <w:pPr>
              <w:pStyle w:val="TableParagraph"/>
              <w:ind w:left="240" w:right="98"/>
              <w:jc w:val="center"/>
              <w:rPr>
                <w:sz w:val="17"/>
              </w:rPr>
            </w:pPr>
            <w:r>
              <w:rPr>
                <w:spacing w:val="-5"/>
                <w:sz w:val="17"/>
              </w:rPr>
              <w:t>0.8</w:t>
            </w:r>
          </w:p>
        </w:tc>
        <w:tc>
          <w:tcPr>
            <w:tcW w:w="630" w:type="dxa"/>
            <w:tcBorders>
              <w:top w:val="single" w:color="DCDDDE" w:sz="4" w:space="0"/>
              <w:bottom w:val="single" w:color="DCDDDE" w:sz="4" w:space="0"/>
            </w:tcBorders>
          </w:tcPr>
          <w:p w:rsidR="00C31389" w:rsidRDefault="00561FBD" w14:paraId="632A5D17" w14:textId="77777777">
            <w:pPr>
              <w:pStyle w:val="TableParagraph"/>
              <w:ind w:right="123"/>
              <w:jc w:val="right"/>
              <w:rPr>
                <w:sz w:val="17"/>
              </w:rPr>
            </w:pPr>
            <w:r>
              <w:rPr>
                <w:spacing w:val="-5"/>
                <w:sz w:val="17"/>
              </w:rPr>
              <w:t>0.8</w:t>
            </w:r>
          </w:p>
        </w:tc>
        <w:tc>
          <w:tcPr>
            <w:tcW w:w="612" w:type="dxa"/>
            <w:tcBorders>
              <w:top w:val="single" w:color="DCDDDE" w:sz="4" w:space="0"/>
              <w:bottom w:val="single" w:color="DCDDDE" w:sz="4" w:space="0"/>
            </w:tcBorders>
          </w:tcPr>
          <w:p w:rsidR="00C31389" w:rsidRDefault="00561FBD" w14:paraId="6B4233EA" w14:textId="77777777">
            <w:pPr>
              <w:pStyle w:val="TableParagraph"/>
              <w:ind w:right="105"/>
              <w:jc w:val="right"/>
              <w:rPr>
                <w:sz w:val="17"/>
              </w:rPr>
            </w:pPr>
            <w:r>
              <w:rPr>
                <w:spacing w:val="-5"/>
                <w:sz w:val="17"/>
              </w:rPr>
              <w:t>0.8</w:t>
            </w:r>
          </w:p>
        </w:tc>
      </w:tr>
      <w:tr w:rsidR="00C31389" w14:paraId="5F4CD620" w14:textId="77777777">
        <w:trPr>
          <w:trHeight w:val="275"/>
        </w:trPr>
        <w:tc>
          <w:tcPr>
            <w:tcW w:w="1186" w:type="dxa"/>
            <w:tcBorders>
              <w:top w:val="single" w:color="DCDDDE" w:sz="4" w:space="0"/>
              <w:bottom w:val="single" w:color="DCDDDE" w:sz="4" w:space="0"/>
            </w:tcBorders>
          </w:tcPr>
          <w:p w:rsidR="00C31389" w:rsidRDefault="00561FBD" w14:paraId="3D70B24E" w14:textId="77777777">
            <w:pPr>
              <w:pStyle w:val="TableParagraph"/>
              <w:ind w:left="122"/>
              <w:rPr>
                <w:sz w:val="17"/>
              </w:rPr>
            </w:pPr>
            <w:r>
              <w:rPr>
                <w:spacing w:val="-5"/>
                <w:sz w:val="17"/>
              </w:rPr>
              <w:t>FS</w:t>
            </w:r>
          </w:p>
        </w:tc>
        <w:tc>
          <w:tcPr>
            <w:tcW w:w="1182" w:type="dxa"/>
            <w:tcBorders>
              <w:top w:val="single" w:color="DCDDDE" w:sz="4" w:space="0"/>
              <w:bottom w:val="single" w:color="DCDDDE" w:sz="4" w:space="0"/>
            </w:tcBorders>
          </w:tcPr>
          <w:p w:rsidR="00C31389" w:rsidRDefault="00561FBD" w14:paraId="277528B6" w14:textId="77777777">
            <w:pPr>
              <w:pStyle w:val="TableParagraph"/>
              <w:ind w:right="192"/>
              <w:jc w:val="right"/>
              <w:rPr>
                <w:sz w:val="17"/>
              </w:rPr>
            </w:pPr>
            <w:r>
              <w:rPr>
                <w:spacing w:val="-5"/>
                <w:sz w:val="17"/>
              </w:rPr>
              <w:t>0.1</w:t>
            </w:r>
          </w:p>
        </w:tc>
        <w:tc>
          <w:tcPr>
            <w:tcW w:w="711" w:type="dxa"/>
            <w:tcBorders>
              <w:top w:val="single" w:color="DCDDDE" w:sz="4" w:space="0"/>
              <w:bottom w:val="single" w:color="DCDDDE" w:sz="4" w:space="0"/>
            </w:tcBorders>
          </w:tcPr>
          <w:p w:rsidR="00C31389" w:rsidRDefault="00561FBD" w14:paraId="54A7A7CE" w14:textId="77777777">
            <w:pPr>
              <w:pStyle w:val="TableParagraph"/>
              <w:ind w:right="137"/>
              <w:jc w:val="right"/>
              <w:rPr>
                <w:sz w:val="17"/>
              </w:rPr>
            </w:pPr>
            <w:r>
              <w:rPr>
                <w:spacing w:val="-5"/>
                <w:sz w:val="17"/>
              </w:rPr>
              <w:t>0.1</w:t>
            </w:r>
          </w:p>
        </w:tc>
        <w:tc>
          <w:tcPr>
            <w:tcW w:w="643" w:type="dxa"/>
            <w:tcBorders>
              <w:top w:val="single" w:color="DCDDDE" w:sz="4" w:space="0"/>
              <w:bottom w:val="single" w:color="DCDDDE" w:sz="4" w:space="0"/>
            </w:tcBorders>
          </w:tcPr>
          <w:p w:rsidR="00C31389" w:rsidRDefault="00561FBD" w14:paraId="3EDD73EF" w14:textId="77777777">
            <w:pPr>
              <w:pStyle w:val="TableParagraph"/>
              <w:ind w:right="123"/>
              <w:jc w:val="right"/>
              <w:rPr>
                <w:sz w:val="17"/>
              </w:rPr>
            </w:pPr>
            <w:r>
              <w:rPr>
                <w:spacing w:val="-5"/>
                <w:sz w:val="17"/>
              </w:rPr>
              <w:t>0.2</w:t>
            </w:r>
          </w:p>
        </w:tc>
        <w:tc>
          <w:tcPr>
            <w:tcW w:w="630" w:type="dxa"/>
            <w:tcBorders>
              <w:top w:val="single" w:color="DCDDDE" w:sz="4" w:space="0"/>
              <w:bottom w:val="single" w:color="DCDDDE" w:sz="4" w:space="0"/>
            </w:tcBorders>
          </w:tcPr>
          <w:p w:rsidR="00C31389" w:rsidRDefault="00561FBD" w14:paraId="50B57975" w14:textId="77777777">
            <w:pPr>
              <w:pStyle w:val="TableParagraph"/>
              <w:ind w:right="123"/>
              <w:jc w:val="right"/>
              <w:rPr>
                <w:sz w:val="17"/>
              </w:rPr>
            </w:pPr>
            <w:r>
              <w:rPr>
                <w:spacing w:val="-5"/>
                <w:sz w:val="17"/>
              </w:rPr>
              <w:t>0.3</w:t>
            </w:r>
          </w:p>
        </w:tc>
        <w:tc>
          <w:tcPr>
            <w:tcW w:w="630" w:type="dxa"/>
            <w:tcBorders>
              <w:top w:val="single" w:color="DCDDDE" w:sz="4" w:space="0"/>
              <w:bottom w:val="single" w:color="DCDDDE" w:sz="4" w:space="0"/>
            </w:tcBorders>
          </w:tcPr>
          <w:p w:rsidR="00C31389" w:rsidRDefault="00561FBD" w14:paraId="5D014AFA" w14:textId="77777777">
            <w:pPr>
              <w:pStyle w:val="TableParagraph"/>
              <w:ind w:right="123"/>
              <w:jc w:val="right"/>
              <w:rPr>
                <w:sz w:val="17"/>
              </w:rPr>
            </w:pPr>
            <w:r>
              <w:rPr>
                <w:spacing w:val="-5"/>
                <w:sz w:val="17"/>
              </w:rPr>
              <w:t>0.3</w:t>
            </w:r>
          </w:p>
        </w:tc>
        <w:tc>
          <w:tcPr>
            <w:tcW w:w="630" w:type="dxa"/>
            <w:tcBorders>
              <w:top w:val="single" w:color="DCDDDE" w:sz="4" w:space="0"/>
              <w:bottom w:val="single" w:color="DCDDDE" w:sz="4" w:space="0"/>
            </w:tcBorders>
          </w:tcPr>
          <w:p w:rsidR="00C31389" w:rsidRDefault="00561FBD" w14:paraId="15A651FB" w14:textId="77777777">
            <w:pPr>
              <w:pStyle w:val="TableParagraph"/>
              <w:ind w:left="240" w:right="98"/>
              <w:jc w:val="center"/>
              <w:rPr>
                <w:sz w:val="17"/>
              </w:rPr>
            </w:pPr>
            <w:r>
              <w:rPr>
                <w:spacing w:val="-5"/>
                <w:sz w:val="17"/>
              </w:rPr>
              <w:t>0.4</w:t>
            </w:r>
          </w:p>
        </w:tc>
        <w:tc>
          <w:tcPr>
            <w:tcW w:w="630" w:type="dxa"/>
            <w:tcBorders>
              <w:top w:val="single" w:color="DCDDDE" w:sz="4" w:space="0"/>
              <w:bottom w:val="single" w:color="DCDDDE" w:sz="4" w:space="0"/>
            </w:tcBorders>
          </w:tcPr>
          <w:p w:rsidR="00C31389" w:rsidRDefault="00561FBD" w14:paraId="28A3D903"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30C8FEDD"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29E635A9"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7FA551E8" w14:textId="77777777">
            <w:pPr>
              <w:pStyle w:val="TableParagraph"/>
              <w:ind w:left="240" w:right="98"/>
              <w:jc w:val="center"/>
              <w:rPr>
                <w:sz w:val="17"/>
              </w:rPr>
            </w:pPr>
            <w:r>
              <w:rPr>
                <w:spacing w:val="-5"/>
                <w:sz w:val="17"/>
              </w:rPr>
              <w:t>0.0</w:t>
            </w:r>
          </w:p>
        </w:tc>
        <w:tc>
          <w:tcPr>
            <w:tcW w:w="630" w:type="dxa"/>
            <w:tcBorders>
              <w:top w:val="single" w:color="DCDDDE" w:sz="4" w:space="0"/>
              <w:bottom w:val="single" w:color="DCDDDE" w:sz="4" w:space="0"/>
            </w:tcBorders>
          </w:tcPr>
          <w:p w:rsidR="00C31389" w:rsidRDefault="00561FBD" w14:paraId="0444365C" w14:textId="77777777">
            <w:pPr>
              <w:pStyle w:val="TableParagraph"/>
              <w:ind w:right="123"/>
              <w:jc w:val="right"/>
              <w:rPr>
                <w:sz w:val="17"/>
              </w:rPr>
            </w:pPr>
            <w:r>
              <w:rPr>
                <w:spacing w:val="-5"/>
                <w:sz w:val="17"/>
              </w:rPr>
              <w:t>0.0</w:t>
            </w:r>
          </w:p>
        </w:tc>
        <w:tc>
          <w:tcPr>
            <w:tcW w:w="612" w:type="dxa"/>
            <w:tcBorders>
              <w:top w:val="single" w:color="DCDDDE" w:sz="4" w:space="0"/>
              <w:bottom w:val="single" w:color="DCDDDE" w:sz="4" w:space="0"/>
            </w:tcBorders>
          </w:tcPr>
          <w:p w:rsidR="00C31389" w:rsidRDefault="00561FBD" w14:paraId="47E60B50" w14:textId="77777777">
            <w:pPr>
              <w:pStyle w:val="TableParagraph"/>
              <w:ind w:right="105"/>
              <w:jc w:val="right"/>
              <w:rPr>
                <w:sz w:val="17"/>
              </w:rPr>
            </w:pPr>
            <w:r>
              <w:rPr>
                <w:spacing w:val="-5"/>
                <w:sz w:val="17"/>
              </w:rPr>
              <w:t>0.0</w:t>
            </w:r>
          </w:p>
        </w:tc>
      </w:tr>
      <w:tr w:rsidR="00C31389" w14:paraId="1D953AA2" w14:textId="77777777">
        <w:trPr>
          <w:trHeight w:val="274"/>
        </w:trPr>
        <w:tc>
          <w:tcPr>
            <w:tcW w:w="1186" w:type="dxa"/>
            <w:tcBorders>
              <w:top w:val="single" w:color="DCDDDE" w:sz="4" w:space="0"/>
              <w:bottom w:val="single" w:color="DCDDDE" w:sz="4" w:space="0"/>
            </w:tcBorders>
          </w:tcPr>
          <w:p w:rsidR="00C31389" w:rsidRDefault="00561FBD" w14:paraId="21BF7034" w14:textId="77777777">
            <w:pPr>
              <w:pStyle w:val="TableParagraph"/>
              <w:ind w:left="122"/>
              <w:rPr>
                <w:sz w:val="17"/>
              </w:rPr>
            </w:pPr>
            <w:r>
              <w:rPr>
                <w:spacing w:val="-4"/>
                <w:sz w:val="17"/>
              </w:rPr>
              <w:t>BROs</w:t>
            </w:r>
          </w:p>
        </w:tc>
        <w:tc>
          <w:tcPr>
            <w:tcW w:w="1182" w:type="dxa"/>
            <w:tcBorders>
              <w:top w:val="single" w:color="DCDDDE" w:sz="4" w:space="0"/>
              <w:bottom w:val="single" w:color="DCDDDE" w:sz="4" w:space="0"/>
            </w:tcBorders>
          </w:tcPr>
          <w:p w:rsidR="00C31389" w:rsidRDefault="00561FBD" w14:paraId="484047EB" w14:textId="77777777">
            <w:pPr>
              <w:pStyle w:val="TableParagraph"/>
              <w:ind w:right="192"/>
              <w:jc w:val="right"/>
              <w:rPr>
                <w:sz w:val="17"/>
              </w:rPr>
            </w:pPr>
            <w:r>
              <w:rPr>
                <w:spacing w:val="-5"/>
                <w:sz w:val="17"/>
              </w:rPr>
              <w:t>1.8</w:t>
            </w:r>
          </w:p>
        </w:tc>
        <w:tc>
          <w:tcPr>
            <w:tcW w:w="711" w:type="dxa"/>
            <w:tcBorders>
              <w:top w:val="single" w:color="DCDDDE" w:sz="4" w:space="0"/>
              <w:bottom w:val="single" w:color="DCDDDE" w:sz="4" w:space="0"/>
            </w:tcBorders>
          </w:tcPr>
          <w:p w:rsidR="00C31389" w:rsidRDefault="00561FBD" w14:paraId="6513D1B8" w14:textId="77777777">
            <w:pPr>
              <w:pStyle w:val="TableParagraph"/>
              <w:ind w:right="137"/>
              <w:jc w:val="right"/>
              <w:rPr>
                <w:sz w:val="17"/>
              </w:rPr>
            </w:pPr>
            <w:r>
              <w:rPr>
                <w:spacing w:val="-5"/>
                <w:sz w:val="17"/>
              </w:rPr>
              <w:t>1.8</w:t>
            </w:r>
          </w:p>
        </w:tc>
        <w:tc>
          <w:tcPr>
            <w:tcW w:w="643" w:type="dxa"/>
            <w:tcBorders>
              <w:top w:val="single" w:color="DCDDDE" w:sz="4" w:space="0"/>
              <w:bottom w:val="single" w:color="DCDDDE" w:sz="4" w:space="0"/>
            </w:tcBorders>
          </w:tcPr>
          <w:p w:rsidR="00C31389" w:rsidRDefault="00561FBD" w14:paraId="44616765" w14:textId="77777777">
            <w:pPr>
              <w:pStyle w:val="TableParagraph"/>
              <w:ind w:right="123"/>
              <w:jc w:val="right"/>
              <w:rPr>
                <w:sz w:val="17"/>
              </w:rPr>
            </w:pPr>
            <w:r>
              <w:rPr>
                <w:spacing w:val="-5"/>
                <w:sz w:val="17"/>
              </w:rPr>
              <w:t>1.8</w:t>
            </w:r>
          </w:p>
        </w:tc>
        <w:tc>
          <w:tcPr>
            <w:tcW w:w="630" w:type="dxa"/>
            <w:tcBorders>
              <w:top w:val="single" w:color="DCDDDE" w:sz="4" w:space="0"/>
              <w:bottom w:val="single" w:color="DCDDDE" w:sz="4" w:space="0"/>
            </w:tcBorders>
          </w:tcPr>
          <w:p w:rsidR="00C31389" w:rsidRDefault="00561FBD" w14:paraId="67C86894" w14:textId="77777777">
            <w:pPr>
              <w:pStyle w:val="TableParagraph"/>
              <w:ind w:right="123"/>
              <w:jc w:val="right"/>
              <w:rPr>
                <w:sz w:val="17"/>
              </w:rPr>
            </w:pPr>
            <w:r>
              <w:rPr>
                <w:spacing w:val="-5"/>
                <w:sz w:val="17"/>
              </w:rPr>
              <w:t>1.9</w:t>
            </w:r>
          </w:p>
        </w:tc>
        <w:tc>
          <w:tcPr>
            <w:tcW w:w="630" w:type="dxa"/>
            <w:tcBorders>
              <w:top w:val="single" w:color="DCDDDE" w:sz="4" w:space="0"/>
              <w:bottom w:val="single" w:color="DCDDDE" w:sz="4" w:space="0"/>
            </w:tcBorders>
          </w:tcPr>
          <w:p w:rsidR="00C31389" w:rsidRDefault="00561FBD" w14:paraId="0E60DC45" w14:textId="77777777">
            <w:pPr>
              <w:pStyle w:val="TableParagraph"/>
              <w:ind w:right="123"/>
              <w:jc w:val="right"/>
              <w:rPr>
                <w:sz w:val="17"/>
              </w:rPr>
            </w:pPr>
            <w:r>
              <w:rPr>
                <w:spacing w:val="-5"/>
                <w:sz w:val="17"/>
              </w:rPr>
              <w:t>2.0</w:t>
            </w:r>
          </w:p>
        </w:tc>
        <w:tc>
          <w:tcPr>
            <w:tcW w:w="630" w:type="dxa"/>
            <w:tcBorders>
              <w:top w:val="single" w:color="DCDDDE" w:sz="4" w:space="0"/>
              <w:bottom w:val="single" w:color="DCDDDE" w:sz="4" w:space="0"/>
            </w:tcBorders>
          </w:tcPr>
          <w:p w:rsidR="00C31389" w:rsidRDefault="00561FBD" w14:paraId="34EF0920" w14:textId="77777777">
            <w:pPr>
              <w:pStyle w:val="TableParagraph"/>
              <w:ind w:left="240" w:right="98"/>
              <w:jc w:val="center"/>
              <w:rPr>
                <w:sz w:val="17"/>
              </w:rPr>
            </w:pPr>
            <w:r>
              <w:rPr>
                <w:spacing w:val="-5"/>
                <w:sz w:val="17"/>
              </w:rPr>
              <w:t>2.0</w:t>
            </w:r>
          </w:p>
        </w:tc>
        <w:tc>
          <w:tcPr>
            <w:tcW w:w="630" w:type="dxa"/>
            <w:tcBorders>
              <w:top w:val="single" w:color="DCDDDE" w:sz="4" w:space="0"/>
              <w:bottom w:val="single" w:color="DCDDDE" w:sz="4" w:space="0"/>
            </w:tcBorders>
          </w:tcPr>
          <w:p w:rsidR="00C31389" w:rsidRDefault="00561FBD" w14:paraId="513DE418" w14:textId="77777777">
            <w:pPr>
              <w:pStyle w:val="TableParagraph"/>
              <w:ind w:right="123"/>
              <w:jc w:val="right"/>
              <w:rPr>
                <w:sz w:val="17"/>
              </w:rPr>
            </w:pPr>
            <w:r>
              <w:rPr>
                <w:spacing w:val="-5"/>
                <w:sz w:val="17"/>
              </w:rPr>
              <w:t>2.1</w:t>
            </w:r>
          </w:p>
        </w:tc>
        <w:tc>
          <w:tcPr>
            <w:tcW w:w="630" w:type="dxa"/>
            <w:tcBorders>
              <w:top w:val="single" w:color="DCDDDE" w:sz="4" w:space="0"/>
              <w:bottom w:val="single" w:color="DCDDDE" w:sz="4" w:space="0"/>
            </w:tcBorders>
          </w:tcPr>
          <w:p w:rsidR="00C31389" w:rsidRDefault="00561FBD" w14:paraId="4E6453E5" w14:textId="77777777">
            <w:pPr>
              <w:pStyle w:val="TableParagraph"/>
              <w:ind w:right="123"/>
              <w:jc w:val="right"/>
              <w:rPr>
                <w:sz w:val="17"/>
              </w:rPr>
            </w:pPr>
            <w:r>
              <w:rPr>
                <w:spacing w:val="-5"/>
                <w:sz w:val="17"/>
              </w:rPr>
              <w:t>2.2</w:t>
            </w:r>
          </w:p>
        </w:tc>
        <w:tc>
          <w:tcPr>
            <w:tcW w:w="630" w:type="dxa"/>
            <w:tcBorders>
              <w:top w:val="single" w:color="DCDDDE" w:sz="4" w:space="0"/>
              <w:bottom w:val="single" w:color="DCDDDE" w:sz="4" w:space="0"/>
            </w:tcBorders>
          </w:tcPr>
          <w:p w:rsidR="00C31389" w:rsidRDefault="00561FBD" w14:paraId="79F35699" w14:textId="77777777">
            <w:pPr>
              <w:pStyle w:val="TableParagraph"/>
              <w:ind w:right="123"/>
              <w:jc w:val="right"/>
              <w:rPr>
                <w:sz w:val="17"/>
              </w:rPr>
            </w:pPr>
            <w:r>
              <w:rPr>
                <w:spacing w:val="-5"/>
                <w:sz w:val="17"/>
              </w:rPr>
              <w:t>2.3</w:t>
            </w:r>
          </w:p>
        </w:tc>
        <w:tc>
          <w:tcPr>
            <w:tcW w:w="630" w:type="dxa"/>
            <w:tcBorders>
              <w:top w:val="single" w:color="DCDDDE" w:sz="4" w:space="0"/>
              <w:bottom w:val="single" w:color="DCDDDE" w:sz="4" w:space="0"/>
            </w:tcBorders>
          </w:tcPr>
          <w:p w:rsidR="00C31389" w:rsidRDefault="00561FBD" w14:paraId="074E26B1" w14:textId="77777777">
            <w:pPr>
              <w:pStyle w:val="TableParagraph"/>
              <w:ind w:left="240" w:right="98"/>
              <w:jc w:val="center"/>
              <w:rPr>
                <w:sz w:val="17"/>
              </w:rPr>
            </w:pPr>
            <w:r>
              <w:rPr>
                <w:spacing w:val="-5"/>
                <w:sz w:val="17"/>
              </w:rPr>
              <w:t>2.6</w:t>
            </w:r>
          </w:p>
        </w:tc>
        <w:tc>
          <w:tcPr>
            <w:tcW w:w="630" w:type="dxa"/>
            <w:tcBorders>
              <w:top w:val="single" w:color="DCDDDE" w:sz="4" w:space="0"/>
              <w:bottom w:val="single" w:color="DCDDDE" w:sz="4" w:space="0"/>
            </w:tcBorders>
          </w:tcPr>
          <w:p w:rsidR="00C31389" w:rsidRDefault="00561FBD" w14:paraId="5C2F188F" w14:textId="77777777">
            <w:pPr>
              <w:pStyle w:val="TableParagraph"/>
              <w:ind w:right="123"/>
              <w:jc w:val="right"/>
              <w:rPr>
                <w:sz w:val="17"/>
              </w:rPr>
            </w:pPr>
            <w:r>
              <w:rPr>
                <w:spacing w:val="-5"/>
                <w:sz w:val="17"/>
              </w:rPr>
              <w:t>2.2</w:t>
            </w:r>
          </w:p>
        </w:tc>
        <w:tc>
          <w:tcPr>
            <w:tcW w:w="612" w:type="dxa"/>
            <w:tcBorders>
              <w:top w:val="single" w:color="DCDDDE" w:sz="4" w:space="0"/>
              <w:bottom w:val="single" w:color="DCDDDE" w:sz="4" w:space="0"/>
            </w:tcBorders>
          </w:tcPr>
          <w:p w:rsidR="00C31389" w:rsidRDefault="00561FBD" w14:paraId="15CE1200" w14:textId="77777777">
            <w:pPr>
              <w:pStyle w:val="TableParagraph"/>
              <w:ind w:right="105"/>
              <w:jc w:val="right"/>
              <w:rPr>
                <w:sz w:val="17"/>
              </w:rPr>
            </w:pPr>
            <w:r>
              <w:rPr>
                <w:spacing w:val="-5"/>
                <w:sz w:val="17"/>
              </w:rPr>
              <w:t>2.3</w:t>
            </w:r>
          </w:p>
        </w:tc>
      </w:tr>
      <w:tr w:rsidR="00C31389" w14:paraId="1FF72BD2"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00F707E9"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2BC7641F" w14:textId="77777777">
        <w:trPr>
          <w:trHeight w:val="275"/>
        </w:trPr>
        <w:tc>
          <w:tcPr>
            <w:tcW w:w="1186" w:type="dxa"/>
            <w:tcBorders>
              <w:top w:val="single" w:color="DCDDDE" w:sz="4" w:space="0"/>
              <w:bottom w:val="single" w:color="DCDDDE" w:sz="4" w:space="0"/>
            </w:tcBorders>
          </w:tcPr>
          <w:p w:rsidR="00C31389" w:rsidRDefault="00561FBD" w14:paraId="6858D747" w14:textId="77777777">
            <w:pPr>
              <w:pStyle w:val="TableParagraph"/>
              <w:spacing w:before="42"/>
              <w:ind w:left="122"/>
              <w:rPr>
                <w:sz w:val="17"/>
              </w:rPr>
            </w:pPr>
            <w:r>
              <w:rPr>
                <w:spacing w:val="-5"/>
                <w:sz w:val="17"/>
              </w:rPr>
              <w:t>EE</w:t>
            </w:r>
          </w:p>
        </w:tc>
        <w:tc>
          <w:tcPr>
            <w:tcW w:w="1182" w:type="dxa"/>
            <w:tcBorders>
              <w:top w:val="single" w:color="DCDDDE" w:sz="4" w:space="0"/>
              <w:bottom w:val="single" w:color="DCDDDE" w:sz="4" w:space="0"/>
            </w:tcBorders>
          </w:tcPr>
          <w:p w:rsidR="00C31389" w:rsidRDefault="00561FBD" w14:paraId="3347A8C8" w14:textId="77777777">
            <w:pPr>
              <w:pStyle w:val="TableParagraph"/>
              <w:spacing w:before="42"/>
              <w:ind w:right="192"/>
              <w:jc w:val="right"/>
              <w:rPr>
                <w:sz w:val="17"/>
              </w:rPr>
            </w:pPr>
            <w:r>
              <w:rPr>
                <w:spacing w:val="-5"/>
                <w:sz w:val="17"/>
              </w:rPr>
              <w:t>1.0</w:t>
            </w:r>
          </w:p>
        </w:tc>
        <w:tc>
          <w:tcPr>
            <w:tcW w:w="711" w:type="dxa"/>
            <w:tcBorders>
              <w:top w:val="single" w:color="DCDDDE" w:sz="4" w:space="0"/>
              <w:bottom w:val="single" w:color="DCDDDE" w:sz="4" w:space="0"/>
            </w:tcBorders>
          </w:tcPr>
          <w:p w:rsidR="00C31389" w:rsidRDefault="00561FBD" w14:paraId="5F22C4B1" w14:textId="77777777">
            <w:pPr>
              <w:pStyle w:val="TableParagraph"/>
              <w:spacing w:before="42"/>
              <w:ind w:right="137"/>
              <w:jc w:val="right"/>
              <w:rPr>
                <w:sz w:val="17"/>
              </w:rPr>
            </w:pPr>
            <w:r>
              <w:rPr>
                <w:spacing w:val="-5"/>
                <w:sz w:val="17"/>
              </w:rPr>
              <w:t>1.0</w:t>
            </w:r>
          </w:p>
        </w:tc>
        <w:tc>
          <w:tcPr>
            <w:tcW w:w="643" w:type="dxa"/>
            <w:tcBorders>
              <w:top w:val="single" w:color="DCDDDE" w:sz="4" w:space="0"/>
              <w:bottom w:val="single" w:color="DCDDDE" w:sz="4" w:space="0"/>
            </w:tcBorders>
          </w:tcPr>
          <w:p w:rsidR="00C31389" w:rsidRDefault="00561FBD" w14:paraId="53E09171" w14:textId="77777777">
            <w:pPr>
              <w:pStyle w:val="TableParagraph"/>
              <w:spacing w:before="42"/>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69387F67" w14:textId="77777777">
            <w:pPr>
              <w:pStyle w:val="TableParagraph"/>
              <w:spacing w:before="42"/>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377C8D14" w14:textId="77777777">
            <w:pPr>
              <w:pStyle w:val="TableParagraph"/>
              <w:spacing w:before="42"/>
              <w:ind w:right="123"/>
              <w:jc w:val="right"/>
              <w:rPr>
                <w:sz w:val="17"/>
              </w:rPr>
            </w:pPr>
            <w:r>
              <w:rPr>
                <w:spacing w:val="-5"/>
                <w:sz w:val="17"/>
              </w:rPr>
              <w:t>1.3</w:t>
            </w:r>
          </w:p>
        </w:tc>
        <w:tc>
          <w:tcPr>
            <w:tcW w:w="630" w:type="dxa"/>
            <w:tcBorders>
              <w:top w:val="single" w:color="DCDDDE" w:sz="4" w:space="0"/>
              <w:bottom w:val="single" w:color="DCDDDE" w:sz="4" w:space="0"/>
            </w:tcBorders>
          </w:tcPr>
          <w:p w:rsidR="00C31389" w:rsidRDefault="00561FBD" w14:paraId="403CF901" w14:textId="77777777">
            <w:pPr>
              <w:pStyle w:val="TableParagraph"/>
              <w:spacing w:before="42"/>
              <w:ind w:left="240" w:right="98"/>
              <w:jc w:val="center"/>
              <w:rPr>
                <w:sz w:val="17"/>
              </w:rPr>
            </w:pPr>
            <w:r>
              <w:rPr>
                <w:spacing w:val="-5"/>
                <w:sz w:val="17"/>
              </w:rPr>
              <w:t>1.2</w:t>
            </w:r>
          </w:p>
        </w:tc>
        <w:tc>
          <w:tcPr>
            <w:tcW w:w="630" w:type="dxa"/>
            <w:tcBorders>
              <w:top w:val="single" w:color="DCDDDE" w:sz="4" w:space="0"/>
              <w:bottom w:val="single" w:color="DCDDDE" w:sz="4" w:space="0"/>
            </w:tcBorders>
          </w:tcPr>
          <w:p w:rsidR="00C31389" w:rsidRDefault="00561FBD" w14:paraId="7E2972CD" w14:textId="77777777">
            <w:pPr>
              <w:pStyle w:val="TableParagraph"/>
              <w:spacing w:before="42"/>
              <w:ind w:right="123"/>
              <w:jc w:val="right"/>
              <w:rPr>
                <w:sz w:val="17"/>
              </w:rPr>
            </w:pPr>
            <w:r>
              <w:rPr>
                <w:spacing w:val="-5"/>
                <w:sz w:val="17"/>
              </w:rPr>
              <w:t>0.9</w:t>
            </w:r>
          </w:p>
        </w:tc>
        <w:tc>
          <w:tcPr>
            <w:tcW w:w="630" w:type="dxa"/>
            <w:tcBorders>
              <w:top w:val="single" w:color="DCDDDE" w:sz="4" w:space="0"/>
              <w:bottom w:val="single" w:color="DCDDDE" w:sz="4" w:space="0"/>
            </w:tcBorders>
          </w:tcPr>
          <w:p w:rsidR="00C31389" w:rsidRDefault="00561FBD" w14:paraId="172621B4" w14:textId="77777777">
            <w:pPr>
              <w:pStyle w:val="TableParagraph"/>
              <w:spacing w:before="42"/>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2CE7BA5A" w14:textId="77777777">
            <w:pPr>
              <w:pStyle w:val="TableParagraph"/>
              <w:spacing w:before="42"/>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50E4DEDE" w14:textId="77777777">
            <w:pPr>
              <w:pStyle w:val="TableParagraph"/>
              <w:spacing w:before="42"/>
              <w:ind w:left="240" w:right="98"/>
              <w:jc w:val="center"/>
              <w:rPr>
                <w:sz w:val="17"/>
              </w:rPr>
            </w:pPr>
            <w:r>
              <w:rPr>
                <w:spacing w:val="-5"/>
                <w:sz w:val="17"/>
              </w:rPr>
              <w:t>0.8</w:t>
            </w:r>
          </w:p>
        </w:tc>
        <w:tc>
          <w:tcPr>
            <w:tcW w:w="630" w:type="dxa"/>
            <w:tcBorders>
              <w:top w:val="single" w:color="DCDDDE" w:sz="4" w:space="0"/>
              <w:bottom w:val="single" w:color="DCDDDE" w:sz="4" w:space="0"/>
            </w:tcBorders>
          </w:tcPr>
          <w:p w:rsidR="00C31389" w:rsidRDefault="00561FBD" w14:paraId="7746D21F" w14:textId="77777777">
            <w:pPr>
              <w:pStyle w:val="TableParagraph"/>
              <w:spacing w:before="42"/>
              <w:ind w:right="123"/>
              <w:jc w:val="right"/>
              <w:rPr>
                <w:sz w:val="17"/>
              </w:rPr>
            </w:pPr>
            <w:r>
              <w:rPr>
                <w:spacing w:val="-5"/>
                <w:sz w:val="17"/>
              </w:rPr>
              <w:t>0.8</w:t>
            </w:r>
          </w:p>
        </w:tc>
        <w:tc>
          <w:tcPr>
            <w:tcW w:w="612" w:type="dxa"/>
            <w:tcBorders>
              <w:top w:val="single" w:color="DCDDDE" w:sz="4" w:space="0"/>
              <w:bottom w:val="single" w:color="DCDDDE" w:sz="4" w:space="0"/>
            </w:tcBorders>
          </w:tcPr>
          <w:p w:rsidR="00C31389" w:rsidRDefault="00561FBD" w14:paraId="72F7E98B" w14:textId="77777777">
            <w:pPr>
              <w:pStyle w:val="TableParagraph"/>
              <w:spacing w:before="42"/>
              <w:ind w:right="105"/>
              <w:jc w:val="right"/>
              <w:rPr>
                <w:sz w:val="17"/>
              </w:rPr>
            </w:pPr>
            <w:r>
              <w:rPr>
                <w:spacing w:val="-5"/>
                <w:sz w:val="17"/>
              </w:rPr>
              <w:t>0.8</w:t>
            </w:r>
          </w:p>
        </w:tc>
      </w:tr>
      <w:tr w:rsidR="00C31389" w14:paraId="44BECDFD" w14:textId="77777777">
        <w:trPr>
          <w:trHeight w:val="275"/>
        </w:trPr>
        <w:tc>
          <w:tcPr>
            <w:tcW w:w="1186" w:type="dxa"/>
            <w:tcBorders>
              <w:top w:val="single" w:color="DCDDDE" w:sz="4" w:space="0"/>
              <w:bottom w:val="single" w:color="DCDDDE" w:sz="4" w:space="0"/>
            </w:tcBorders>
          </w:tcPr>
          <w:p w:rsidR="00C31389" w:rsidRDefault="00561FBD" w14:paraId="1B58BF06" w14:textId="77777777">
            <w:pPr>
              <w:pStyle w:val="TableParagraph"/>
              <w:spacing w:before="42"/>
              <w:ind w:left="122"/>
              <w:rPr>
                <w:sz w:val="17"/>
              </w:rPr>
            </w:pPr>
            <w:r>
              <w:rPr>
                <w:spacing w:val="-5"/>
                <w:sz w:val="17"/>
              </w:rPr>
              <w:t>FS</w:t>
            </w:r>
          </w:p>
        </w:tc>
        <w:tc>
          <w:tcPr>
            <w:tcW w:w="1182" w:type="dxa"/>
            <w:tcBorders>
              <w:top w:val="single" w:color="DCDDDE" w:sz="4" w:space="0"/>
              <w:bottom w:val="single" w:color="DCDDDE" w:sz="4" w:space="0"/>
            </w:tcBorders>
          </w:tcPr>
          <w:p w:rsidR="00C31389" w:rsidRDefault="00561FBD" w14:paraId="36A500C7" w14:textId="77777777">
            <w:pPr>
              <w:pStyle w:val="TableParagraph"/>
              <w:spacing w:before="42"/>
              <w:ind w:right="192"/>
              <w:jc w:val="right"/>
              <w:rPr>
                <w:sz w:val="17"/>
              </w:rPr>
            </w:pPr>
            <w:r>
              <w:rPr>
                <w:spacing w:val="-4"/>
                <w:sz w:val="17"/>
              </w:rPr>
              <w:t>17.7</w:t>
            </w:r>
          </w:p>
        </w:tc>
        <w:tc>
          <w:tcPr>
            <w:tcW w:w="711" w:type="dxa"/>
            <w:tcBorders>
              <w:top w:val="single" w:color="DCDDDE" w:sz="4" w:space="0"/>
              <w:bottom w:val="single" w:color="DCDDDE" w:sz="4" w:space="0"/>
            </w:tcBorders>
          </w:tcPr>
          <w:p w:rsidR="00C31389" w:rsidRDefault="00561FBD" w14:paraId="731BA396" w14:textId="77777777">
            <w:pPr>
              <w:pStyle w:val="TableParagraph"/>
              <w:spacing w:before="42"/>
              <w:ind w:right="136"/>
              <w:jc w:val="right"/>
              <w:rPr>
                <w:sz w:val="17"/>
              </w:rPr>
            </w:pPr>
            <w:r>
              <w:rPr>
                <w:spacing w:val="-4"/>
                <w:sz w:val="17"/>
              </w:rPr>
              <w:t>17.8</w:t>
            </w:r>
          </w:p>
        </w:tc>
        <w:tc>
          <w:tcPr>
            <w:tcW w:w="643" w:type="dxa"/>
            <w:tcBorders>
              <w:top w:val="single" w:color="DCDDDE" w:sz="4" w:space="0"/>
              <w:bottom w:val="single" w:color="DCDDDE" w:sz="4" w:space="0"/>
            </w:tcBorders>
          </w:tcPr>
          <w:p w:rsidR="00C31389" w:rsidRDefault="00561FBD" w14:paraId="065FB4C5" w14:textId="77777777">
            <w:pPr>
              <w:pStyle w:val="TableParagraph"/>
              <w:spacing w:before="42"/>
              <w:ind w:right="123"/>
              <w:jc w:val="right"/>
              <w:rPr>
                <w:sz w:val="17"/>
              </w:rPr>
            </w:pPr>
            <w:r>
              <w:rPr>
                <w:spacing w:val="-4"/>
                <w:sz w:val="17"/>
              </w:rPr>
              <w:t>17.7</w:t>
            </w:r>
          </w:p>
        </w:tc>
        <w:tc>
          <w:tcPr>
            <w:tcW w:w="630" w:type="dxa"/>
            <w:tcBorders>
              <w:top w:val="single" w:color="DCDDDE" w:sz="4" w:space="0"/>
              <w:bottom w:val="single" w:color="DCDDDE" w:sz="4" w:space="0"/>
            </w:tcBorders>
          </w:tcPr>
          <w:p w:rsidR="00C31389" w:rsidRDefault="00561FBD" w14:paraId="20A6A609" w14:textId="77777777">
            <w:pPr>
              <w:pStyle w:val="TableParagraph"/>
              <w:spacing w:before="42"/>
              <w:ind w:right="123"/>
              <w:jc w:val="right"/>
              <w:rPr>
                <w:sz w:val="17"/>
              </w:rPr>
            </w:pPr>
            <w:r>
              <w:rPr>
                <w:spacing w:val="-4"/>
                <w:sz w:val="17"/>
              </w:rPr>
              <w:t>17.4</w:t>
            </w:r>
          </w:p>
        </w:tc>
        <w:tc>
          <w:tcPr>
            <w:tcW w:w="630" w:type="dxa"/>
            <w:tcBorders>
              <w:top w:val="single" w:color="DCDDDE" w:sz="4" w:space="0"/>
              <w:bottom w:val="single" w:color="DCDDDE" w:sz="4" w:space="0"/>
            </w:tcBorders>
          </w:tcPr>
          <w:p w:rsidR="00C31389" w:rsidRDefault="00561FBD" w14:paraId="343C7126" w14:textId="77777777">
            <w:pPr>
              <w:pStyle w:val="TableParagraph"/>
              <w:spacing w:before="42"/>
              <w:ind w:right="124"/>
              <w:jc w:val="right"/>
              <w:rPr>
                <w:sz w:val="17"/>
              </w:rPr>
            </w:pPr>
            <w:r>
              <w:rPr>
                <w:spacing w:val="-4"/>
                <w:sz w:val="17"/>
              </w:rPr>
              <w:t>17.0</w:t>
            </w:r>
          </w:p>
        </w:tc>
        <w:tc>
          <w:tcPr>
            <w:tcW w:w="630" w:type="dxa"/>
            <w:tcBorders>
              <w:top w:val="single" w:color="DCDDDE" w:sz="4" w:space="0"/>
              <w:bottom w:val="single" w:color="DCDDDE" w:sz="4" w:space="0"/>
            </w:tcBorders>
          </w:tcPr>
          <w:p w:rsidR="00C31389" w:rsidRDefault="00561FBD" w14:paraId="0DCD9C65" w14:textId="77777777">
            <w:pPr>
              <w:pStyle w:val="TableParagraph"/>
              <w:spacing w:before="42"/>
              <w:ind w:left="124" w:right="77"/>
              <w:jc w:val="center"/>
              <w:rPr>
                <w:sz w:val="17"/>
              </w:rPr>
            </w:pPr>
            <w:r>
              <w:rPr>
                <w:spacing w:val="-4"/>
                <w:sz w:val="17"/>
              </w:rPr>
              <w:t>16.7</w:t>
            </w:r>
          </w:p>
        </w:tc>
        <w:tc>
          <w:tcPr>
            <w:tcW w:w="630" w:type="dxa"/>
            <w:tcBorders>
              <w:top w:val="single" w:color="DCDDDE" w:sz="4" w:space="0"/>
              <w:bottom w:val="single" w:color="DCDDDE" w:sz="4" w:space="0"/>
            </w:tcBorders>
          </w:tcPr>
          <w:p w:rsidR="00C31389" w:rsidRDefault="00561FBD" w14:paraId="23F57D26" w14:textId="77777777">
            <w:pPr>
              <w:pStyle w:val="TableParagraph"/>
              <w:spacing w:before="42"/>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1BCEE5F6" w14:textId="77777777">
            <w:pPr>
              <w:pStyle w:val="TableParagraph"/>
              <w:spacing w:before="42"/>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6B58C8F5" w14:textId="77777777">
            <w:pPr>
              <w:pStyle w:val="TableParagraph"/>
              <w:spacing w:before="42"/>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482260DB" w14:textId="77777777">
            <w:pPr>
              <w:pStyle w:val="TableParagraph"/>
              <w:spacing w:before="42"/>
              <w:ind w:left="240" w:right="98"/>
              <w:jc w:val="center"/>
              <w:rPr>
                <w:sz w:val="17"/>
              </w:rPr>
            </w:pPr>
            <w:r>
              <w:rPr>
                <w:spacing w:val="-5"/>
                <w:sz w:val="17"/>
              </w:rPr>
              <w:t>0.0</w:t>
            </w:r>
          </w:p>
        </w:tc>
        <w:tc>
          <w:tcPr>
            <w:tcW w:w="630" w:type="dxa"/>
            <w:tcBorders>
              <w:top w:val="single" w:color="DCDDDE" w:sz="4" w:space="0"/>
              <w:bottom w:val="single" w:color="DCDDDE" w:sz="4" w:space="0"/>
            </w:tcBorders>
          </w:tcPr>
          <w:p w:rsidR="00C31389" w:rsidRDefault="00561FBD" w14:paraId="69EA8327" w14:textId="77777777">
            <w:pPr>
              <w:pStyle w:val="TableParagraph"/>
              <w:spacing w:before="42"/>
              <w:ind w:right="123"/>
              <w:jc w:val="right"/>
              <w:rPr>
                <w:sz w:val="17"/>
              </w:rPr>
            </w:pPr>
            <w:r>
              <w:rPr>
                <w:spacing w:val="-5"/>
                <w:sz w:val="17"/>
              </w:rPr>
              <w:t>0.0</w:t>
            </w:r>
          </w:p>
        </w:tc>
        <w:tc>
          <w:tcPr>
            <w:tcW w:w="612" w:type="dxa"/>
            <w:tcBorders>
              <w:top w:val="single" w:color="DCDDDE" w:sz="4" w:space="0"/>
              <w:bottom w:val="single" w:color="DCDDDE" w:sz="4" w:space="0"/>
            </w:tcBorders>
          </w:tcPr>
          <w:p w:rsidR="00C31389" w:rsidRDefault="00561FBD" w14:paraId="64B667F3" w14:textId="77777777">
            <w:pPr>
              <w:pStyle w:val="TableParagraph"/>
              <w:spacing w:before="42"/>
              <w:ind w:right="105"/>
              <w:jc w:val="right"/>
              <w:rPr>
                <w:sz w:val="17"/>
              </w:rPr>
            </w:pPr>
            <w:r>
              <w:rPr>
                <w:spacing w:val="-5"/>
                <w:sz w:val="17"/>
              </w:rPr>
              <w:t>0.0</w:t>
            </w:r>
          </w:p>
        </w:tc>
      </w:tr>
      <w:tr w:rsidR="00C31389" w14:paraId="42BBF64B" w14:textId="77777777">
        <w:trPr>
          <w:trHeight w:val="275"/>
        </w:trPr>
        <w:tc>
          <w:tcPr>
            <w:tcW w:w="1186" w:type="dxa"/>
            <w:tcBorders>
              <w:top w:val="single" w:color="DCDDDE" w:sz="4" w:space="0"/>
              <w:bottom w:val="single" w:color="DCDDDE" w:sz="4" w:space="0"/>
            </w:tcBorders>
          </w:tcPr>
          <w:p w:rsidR="00C31389" w:rsidRDefault="00561FBD" w14:paraId="66F12E49" w14:textId="77777777">
            <w:pPr>
              <w:pStyle w:val="TableParagraph"/>
              <w:ind w:left="122"/>
              <w:rPr>
                <w:sz w:val="17"/>
              </w:rPr>
            </w:pPr>
            <w:r>
              <w:rPr>
                <w:spacing w:val="-4"/>
                <w:sz w:val="17"/>
              </w:rPr>
              <w:t>BROs</w:t>
            </w:r>
          </w:p>
        </w:tc>
        <w:tc>
          <w:tcPr>
            <w:tcW w:w="1182" w:type="dxa"/>
            <w:tcBorders>
              <w:top w:val="single" w:color="DCDDDE" w:sz="4" w:space="0"/>
              <w:bottom w:val="single" w:color="DCDDDE" w:sz="4" w:space="0"/>
            </w:tcBorders>
          </w:tcPr>
          <w:p w:rsidR="00C31389" w:rsidRDefault="00561FBD" w14:paraId="4D899C62" w14:textId="77777777">
            <w:pPr>
              <w:pStyle w:val="TableParagraph"/>
              <w:ind w:right="192"/>
              <w:jc w:val="right"/>
              <w:rPr>
                <w:sz w:val="17"/>
              </w:rPr>
            </w:pPr>
            <w:r>
              <w:rPr>
                <w:spacing w:val="-5"/>
                <w:sz w:val="17"/>
              </w:rPr>
              <w:t>1.8</w:t>
            </w:r>
          </w:p>
        </w:tc>
        <w:tc>
          <w:tcPr>
            <w:tcW w:w="711" w:type="dxa"/>
            <w:tcBorders>
              <w:top w:val="single" w:color="DCDDDE" w:sz="4" w:space="0"/>
              <w:bottom w:val="single" w:color="DCDDDE" w:sz="4" w:space="0"/>
            </w:tcBorders>
          </w:tcPr>
          <w:p w:rsidR="00C31389" w:rsidRDefault="00561FBD" w14:paraId="33412ABA" w14:textId="77777777">
            <w:pPr>
              <w:pStyle w:val="TableParagraph"/>
              <w:ind w:right="137"/>
              <w:jc w:val="right"/>
              <w:rPr>
                <w:sz w:val="17"/>
              </w:rPr>
            </w:pPr>
            <w:r>
              <w:rPr>
                <w:spacing w:val="-5"/>
                <w:sz w:val="17"/>
              </w:rPr>
              <w:t>1.8</w:t>
            </w:r>
          </w:p>
        </w:tc>
        <w:tc>
          <w:tcPr>
            <w:tcW w:w="643" w:type="dxa"/>
            <w:tcBorders>
              <w:top w:val="single" w:color="DCDDDE" w:sz="4" w:space="0"/>
              <w:bottom w:val="single" w:color="DCDDDE" w:sz="4" w:space="0"/>
            </w:tcBorders>
          </w:tcPr>
          <w:p w:rsidR="00C31389" w:rsidRDefault="00561FBD" w14:paraId="6610F437" w14:textId="77777777">
            <w:pPr>
              <w:pStyle w:val="TableParagraph"/>
              <w:ind w:right="123"/>
              <w:jc w:val="right"/>
              <w:rPr>
                <w:sz w:val="17"/>
              </w:rPr>
            </w:pPr>
            <w:r>
              <w:rPr>
                <w:spacing w:val="-5"/>
                <w:sz w:val="17"/>
              </w:rPr>
              <w:t>1.8</w:t>
            </w:r>
          </w:p>
        </w:tc>
        <w:tc>
          <w:tcPr>
            <w:tcW w:w="630" w:type="dxa"/>
            <w:tcBorders>
              <w:top w:val="single" w:color="DCDDDE" w:sz="4" w:space="0"/>
              <w:bottom w:val="single" w:color="DCDDDE" w:sz="4" w:space="0"/>
            </w:tcBorders>
          </w:tcPr>
          <w:p w:rsidR="00C31389" w:rsidRDefault="00561FBD" w14:paraId="3375C93C" w14:textId="77777777">
            <w:pPr>
              <w:pStyle w:val="TableParagraph"/>
              <w:ind w:right="123"/>
              <w:jc w:val="right"/>
              <w:rPr>
                <w:sz w:val="17"/>
              </w:rPr>
            </w:pPr>
            <w:r>
              <w:rPr>
                <w:spacing w:val="-5"/>
                <w:sz w:val="17"/>
              </w:rPr>
              <w:t>1.9</w:t>
            </w:r>
          </w:p>
        </w:tc>
        <w:tc>
          <w:tcPr>
            <w:tcW w:w="630" w:type="dxa"/>
            <w:tcBorders>
              <w:top w:val="single" w:color="DCDDDE" w:sz="4" w:space="0"/>
              <w:bottom w:val="single" w:color="DCDDDE" w:sz="4" w:space="0"/>
            </w:tcBorders>
          </w:tcPr>
          <w:p w:rsidR="00C31389" w:rsidRDefault="00561FBD" w14:paraId="48B5C1D0" w14:textId="77777777">
            <w:pPr>
              <w:pStyle w:val="TableParagraph"/>
              <w:ind w:right="123"/>
              <w:jc w:val="right"/>
              <w:rPr>
                <w:sz w:val="17"/>
              </w:rPr>
            </w:pPr>
            <w:r>
              <w:rPr>
                <w:spacing w:val="-5"/>
                <w:sz w:val="17"/>
              </w:rPr>
              <w:t>2.0</w:t>
            </w:r>
          </w:p>
        </w:tc>
        <w:tc>
          <w:tcPr>
            <w:tcW w:w="630" w:type="dxa"/>
            <w:tcBorders>
              <w:top w:val="single" w:color="DCDDDE" w:sz="4" w:space="0"/>
              <w:bottom w:val="single" w:color="DCDDDE" w:sz="4" w:space="0"/>
            </w:tcBorders>
          </w:tcPr>
          <w:p w:rsidR="00C31389" w:rsidRDefault="00561FBD" w14:paraId="7FD9192F" w14:textId="77777777">
            <w:pPr>
              <w:pStyle w:val="TableParagraph"/>
              <w:ind w:left="240" w:right="98"/>
              <w:jc w:val="center"/>
              <w:rPr>
                <w:sz w:val="17"/>
              </w:rPr>
            </w:pPr>
            <w:r>
              <w:rPr>
                <w:spacing w:val="-5"/>
                <w:sz w:val="17"/>
              </w:rPr>
              <w:t>2.0</w:t>
            </w:r>
          </w:p>
        </w:tc>
        <w:tc>
          <w:tcPr>
            <w:tcW w:w="630" w:type="dxa"/>
            <w:tcBorders>
              <w:top w:val="single" w:color="DCDDDE" w:sz="4" w:space="0"/>
              <w:bottom w:val="single" w:color="DCDDDE" w:sz="4" w:space="0"/>
            </w:tcBorders>
          </w:tcPr>
          <w:p w:rsidR="00C31389" w:rsidRDefault="00561FBD" w14:paraId="46A80AFF" w14:textId="77777777">
            <w:pPr>
              <w:pStyle w:val="TableParagraph"/>
              <w:ind w:right="123"/>
              <w:jc w:val="right"/>
              <w:rPr>
                <w:sz w:val="17"/>
              </w:rPr>
            </w:pPr>
            <w:r>
              <w:rPr>
                <w:spacing w:val="-5"/>
                <w:sz w:val="17"/>
              </w:rPr>
              <w:t>2.1</w:t>
            </w:r>
          </w:p>
        </w:tc>
        <w:tc>
          <w:tcPr>
            <w:tcW w:w="630" w:type="dxa"/>
            <w:tcBorders>
              <w:top w:val="single" w:color="DCDDDE" w:sz="4" w:space="0"/>
              <w:bottom w:val="single" w:color="DCDDDE" w:sz="4" w:space="0"/>
            </w:tcBorders>
          </w:tcPr>
          <w:p w:rsidR="00C31389" w:rsidRDefault="00561FBD" w14:paraId="37BABA45" w14:textId="77777777">
            <w:pPr>
              <w:pStyle w:val="TableParagraph"/>
              <w:ind w:right="123"/>
              <w:jc w:val="right"/>
              <w:rPr>
                <w:sz w:val="17"/>
              </w:rPr>
            </w:pPr>
            <w:r>
              <w:rPr>
                <w:spacing w:val="-5"/>
                <w:sz w:val="17"/>
              </w:rPr>
              <w:t>2.2</w:t>
            </w:r>
          </w:p>
        </w:tc>
        <w:tc>
          <w:tcPr>
            <w:tcW w:w="630" w:type="dxa"/>
            <w:tcBorders>
              <w:top w:val="single" w:color="DCDDDE" w:sz="4" w:space="0"/>
              <w:bottom w:val="single" w:color="DCDDDE" w:sz="4" w:space="0"/>
            </w:tcBorders>
          </w:tcPr>
          <w:p w:rsidR="00C31389" w:rsidRDefault="00561FBD" w14:paraId="1188B68C" w14:textId="77777777">
            <w:pPr>
              <w:pStyle w:val="TableParagraph"/>
              <w:ind w:right="123"/>
              <w:jc w:val="right"/>
              <w:rPr>
                <w:sz w:val="17"/>
              </w:rPr>
            </w:pPr>
            <w:r>
              <w:rPr>
                <w:spacing w:val="-5"/>
                <w:sz w:val="17"/>
              </w:rPr>
              <w:t>2.3</w:t>
            </w:r>
          </w:p>
        </w:tc>
        <w:tc>
          <w:tcPr>
            <w:tcW w:w="630" w:type="dxa"/>
            <w:tcBorders>
              <w:top w:val="single" w:color="DCDDDE" w:sz="4" w:space="0"/>
              <w:bottom w:val="single" w:color="DCDDDE" w:sz="4" w:space="0"/>
            </w:tcBorders>
          </w:tcPr>
          <w:p w:rsidR="00C31389" w:rsidRDefault="00561FBD" w14:paraId="44CFC54B" w14:textId="77777777">
            <w:pPr>
              <w:pStyle w:val="TableParagraph"/>
              <w:ind w:left="240" w:right="98"/>
              <w:jc w:val="center"/>
              <w:rPr>
                <w:sz w:val="17"/>
              </w:rPr>
            </w:pPr>
            <w:r>
              <w:rPr>
                <w:spacing w:val="-5"/>
                <w:sz w:val="17"/>
              </w:rPr>
              <w:t>2.6</w:t>
            </w:r>
          </w:p>
        </w:tc>
        <w:tc>
          <w:tcPr>
            <w:tcW w:w="630" w:type="dxa"/>
            <w:tcBorders>
              <w:top w:val="single" w:color="DCDDDE" w:sz="4" w:space="0"/>
              <w:bottom w:val="single" w:color="DCDDDE" w:sz="4" w:space="0"/>
            </w:tcBorders>
          </w:tcPr>
          <w:p w:rsidR="00C31389" w:rsidRDefault="00561FBD" w14:paraId="71D09D11" w14:textId="77777777">
            <w:pPr>
              <w:pStyle w:val="TableParagraph"/>
              <w:ind w:right="123"/>
              <w:jc w:val="right"/>
              <w:rPr>
                <w:sz w:val="17"/>
              </w:rPr>
            </w:pPr>
            <w:r>
              <w:rPr>
                <w:spacing w:val="-5"/>
                <w:sz w:val="17"/>
              </w:rPr>
              <w:t>2.2</w:t>
            </w:r>
          </w:p>
        </w:tc>
        <w:tc>
          <w:tcPr>
            <w:tcW w:w="612" w:type="dxa"/>
            <w:tcBorders>
              <w:top w:val="single" w:color="DCDDDE" w:sz="4" w:space="0"/>
              <w:bottom w:val="single" w:color="DCDDDE" w:sz="4" w:space="0"/>
            </w:tcBorders>
          </w:tcPr>
          <w:p w:rsidR="00C31389" w:rsidRDefault="00561FBD" w14:paraId="6B2698AC" w14:textId="77777777">
            <w:pPr>
              <w:pStyle w:val="TableParagraph"/>
              <w:ind w:right="105"/>
              <w:jc w:val="right"/>
              <w:rPr>
                <w:sz w:val="17"/>
              </w:rPr>
            </w:pPr>
            <w:r>
              <w:rPr>
                <w:spacing w:val="-5"/>
                <w:sz w:val="17"/>
              </w:rPr>
              <w:t>2.3</w:t>
            </w:r>
          </w:p>
        </w:tc>
      </w:tr>
      <w:tr w:rsidR="00C31389" w14:paraId="3CFC012E"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3FE4862B"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0EB6E541" w14:textId="77777777">
        <w:trPr>
          <w:trHeight w:val="275"/>
        </w:trPr>
        <w:tc>
          <w:tcPr>
            <w:tcW w:w="1186" w:type="dxa"/>
            <w:tcBorders>
              <w:top w:val="single" w:color="DCDDDE" w:sz="4" w:space="0"/>
              <w:bottom w:val="single" w:color="DCDDDE" w:sz="4" w:space="0"/>
            </w:tcBorders>
          </w:tcPr>
          <w:p w:rsidR="00C31389" w:rsidRDefault="00561FBD" w14:paraId="2AC60838" w14:textId="77777777">
            <w:pPr>
              <w:pStyle w:val="TableParagraph"/>
              <w:ind w:left="122"/>
              <w:rPr>
                <w:sz w:val="17"/>
              </w:rPr>
            </w:pPr>
            <w:r>
              <w:rPr>
                <w:spacing w:val="-5"/>
                <w:sz w:val="17"/>
              </w:rPr>
              <w:t>EE</w:t>
            </w:r>
          </w:p>
        </w:tc>
        <w:tc>
          <w:tcPr>
            <w:tcW w:w="1182" w:type="dxa"/>
            <w:tcBorders>
              <w:top w:val="single" w:color="DCDDDE" w:sz="4" w:space="0"/>
              <w:bottom w:val="single" w:color="DCDDDE" w:sz="4" w:space="0"/>
            </w:tcBorders>
          </w:tcPr>
          <w:p w:rsidR="00C31389" w:rsidRDefault="00561FBD" w14:paraId="0A362344" w14:textId="77777777">
            <w:pPr>
              <w:pStyle w:val="TableParagraph"/>
              <w:ind w:right="192"/>
              <w:jc w:val="right"/>
              <w:rPr>
                <w:sz w:val="17"/>
              </w:rPr>
            </w:pPr>
            <w:r>
              <w:rPr>
                <w:spacing w:val="-5"/>
                <w:sz w:val="17"/>
              </w:rPr>
              <w:t>1.0</w:t>
            </w:r>
          </w:p>
        </w:tc>
        <w:tc>
          <w:tcPr>
            <w:tcW w:w="711" w:type="dxa"/>
            <w:tcBorders>
              <w:top w:val="single" w:color="DCDDDE" w:sz="4" w:space="0"/>
              <w:bottom w:val="single" w:color="DCDDDE" w:sz="4" w:space="0"/>
            </w:tcBorders>
          </w:tcPr>
          <w:p w:rsidR="00C31389" w:rsidRDefault="00561FBD" w14:paraId="59F38FCA" w14:textId="77777777">
            <w:pPr>
              <w:pStyle w:val="TableParagraph"/>
              <w:ind w:right="137"/>
              <w:jc w:val="right"/>
              <w:rPr>
                <w:sz w:val="17"/>
              </w:rPr>
            </w:pPr>
            <w:r>
              <w:rPr>
                <w:spacing w:val="-5"/>
                <w:sz w:val="17"/>
              </w:rPr>
              <w:t>1.0</w:t>
            </w:r>
          </w:p>
        </w:tc>
        <w:tc>
          <w:tcPr>
            <w:tcW w:w="643" w:type="dxa"/>
            <w:tcBorders>
              <w:top w:val="single" w:color="DCDDDE" w:sz="4" w:space="0"/>
              <w:bottom w:val="single" w:color="DCDDDE" w:sz="4" w:space="0"/>
            </w:tcBorders>
          </w:tcPr>
          <w:p w:rsidR="00C31389" w:rsidRDefault="00561FBD" w14:paraId="6FE0190A" w14:textId="77777777">
            <w:pPr>
              <w:pStyle w:val="TableParagraph"/>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032D7A9D" w14:textId="77777777">
            <w:pPr>
              <w:pStyle w:val="TableParagraph"/>
              <w:ind w:right="123"/>
              <w:jc w:val="right"/>
              <w:rPr>
                <w:sz w:val="17"/>
              </w:rPr>
            </w:pPr>
            <w:r>
              <w:rPr>
                <w:spacing w:val="-5"/>
                <w:sz w:val="17"/>
              </w:rPr>
              <w:t>1.0</w:t>
            </w:r>
          </w:p>
        </w:tc>
        <w:tc>
          <w:tcPr>
            <w:tcW w:w="630" w:type="dxa"/>
            <w:tcBorders>
              <w:top w:val="single" w:color="DCDDDE" w:sz="4" w:space="0"/>
              <w:bottom w:val="single" w:color="DCDDDE" w:sz="4" w:space="0"/>
            </w:tcBorders>
          </w:tcPr>
          <w:p w:rsidR="00C31389" w:rsidRDefault="00561FBD" w14:paraId="02C594C2" w14:textId="77777777">
            <w:pPr>
              <w:pStyle w:val="TableParagraph"/>
              <w:ind w:right="123"/>
              <w:jc w:val="right"/>
              <w:rPr>
                <w:sz w:val="17"/>
              </w:rPr>
            </w:pPr>
            <w:r>
              <w:rPr>
                <w:spacing w:val="-5"/>
                <w:sz w:val="17"/>
              </w:rPr>
              <w:t>1.3</w:t>
            </w:r>
          </w:p>
        </w:tc>
        <w:tc>
          <w:tcPr>
            <w:tcW w:w="630" w:type="dxa"/>
            <w:tcBorders>
              <w:top w:val="single" w:color="DCDDDE" w:sz="4" w:space="0"/>
              <w:bottom w:val="single" w:color="DCDDDE" w:sz="4" w:space="0"/>
            </w:tcBorders>
          </w:tcPr>
          <w:p w:rsidR="00C31389" w:rsidRDefault="00561FBD" w14:paraId="70E88109" w14:textId="77777777">
            <w:pPr>
              <w:pStyle w:val="TableParagraph"/>
              <w:ind w:left="240" w:right="98"/>
              <w:jc w:val="center"/>
              <w:rPr>
                <w:sz w:val="17"/>
              </w:rPr>
            </w:pPr>
            <w:r>
              <w:rPr>
                <w:spacing w:val="-5"/>
                <w:sz w:val="17"/>
              </w:rPr>
              <w:t>1.2</w:t>
            </w:r>
          </w:p>
        </w:tc>
        <w:tc>
          <w:tcPr>
            <w:tcW w:w="630" w:type="dxa"/>
            <w:tcBorders>
              <w:top w:val="single" w:color="DCDDDE" w:sz="4" w:space="0"/>
              <w:bottom w:val="single" w:color="DCDDDE" w:sz="4" w:space="0"/>
            </w:tcBorders>
          </w:tcPr>
          <w:p w:rsidR="00C31389" w:rsidRDefault="00561FBD" w14:paraId="22AB2DB4" w14:textId="77777777">
            <w:pPr>
              <w:pStyle w:val="TableParagraph"/>
              <w:ind w:right="123"/>
              <w:jc w:val="right"/>
              <w:rPr>
                <w:sz w:val="17"/>
              </w:rPr>
            </w:pPr>
            <w:r>
              <w:rPr>
                <w:spacing w:val="-5"/>
                <w:sz w:val="17"/>
              </w:rPr>
              <w:t>0.9</w:t>
            </w:r>
          </w:p>
        </w:tc>
        <w:tc>
          <w:tcPr>
            <w:tcW w:w="630" w:type="dxa"/>
            <w:tcBorders>
              <w:top w:val="single" w:color="DCDDDE" w:sz="4" w:space="0"/>
              <w:bottom w:val="single" w:color="DCDDDE" w:sz="4" w:space="0"/>
            </w:tcBorders>
          </w:tcPr>
          <w:p w:rsidR="00C31389" w:rsidRDefault="00561FBD" w14:paraId="1C0512E8" w14:textId="77777777">
            <w:pPr>
              <w:pStyle w:val="TableParagraph"/>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09B310D2" w14:textId="77777777">
            <w:pPr>
              <w:pStyle w:val="TableParagraph"/>
              <w:ind w:right="123"/>
              <w:jc w:val="right"/>
              <w:rPr>
                <w:sz w:val="17"/>
              </w:rPr>
            </w:pPr>
            <w:r>
              <w:rPr>
                <w:spacing w:val="-5"/>
                <w:sz w:val="17"/>
              </w:rPr>
              <w:t>0.8</w:t>
            </w:r>
          </w:p>
        </w:tc>
        <w:tc>
          <w:tcPr>
            <w:tcW w:w="630" w:type="dxa"/>
            <w:tcBorders>
              <w:top w:val="single" w:color="DCDDDE" w:sz="4" w:space="0"/>
              <w:bottom w:val="single" w:color="DCDDDE" w:sz="4" w:space="0"/>
            </w:tcBorders>
          </w:tcPr>
          <w:p w:rsidR="00C31389" w:rsidRDefault="00561FBD" w14:paraId="35990728" w14:textId="77777777">
            <w:pPr>
              <w:pStyle w:val="TableParagraph"/>
              <w:ind w:left="240" w:right="98"/>
              <w:jc w:val="center"/>
              <w:rPr>
                <w:sz w:val="17"/>
              </w:rPr>
            </w:pPr>
            <w:r>
              <w:rPr>
                <w:spacing w:val="-5"/>
                <w:sz w:val="17"/>
              </w:rPr>
              <w:t>0.8</w:t>
            </w:r>
          </w:p>
        </w:tc>
        <w:tc>
          <w:tcPr>
            <w:tcW w:w="630" w:type="dxa"/>
            <w:tcBorders>
              <w:top w:val="single" w:color="DCDDDE" w:sz="4" w:space="0"/>
              <w:bottom w:val="single" w:color="DCDDDE" w:sz="4" w:space="0"/>
            </w:tcBorders>
          </w:tcPr>
          <w:p w:rsidR="00C31389" w:rsidRDefault="00561FBD" w14:paraId="4AB44C38" w14:textId="77777777">
            <w:pPr>
              <w:pStyle w:val="TableParagraph"/>
              <w:ind w:right="123"/>
              <w:jc w:val="right"/>
              <w:rPr>
                <w:sz w:val="17"/>
              </w:rPr>
            </w:pPr>
            <w:r>
              <w:rPr>
                <w:spacing w:val="-5"/>
                <w:sz w:val="17"/>
              </w:rPr>
              <w:t>0.8</w:t>
            </w:r>
          </w:p>
        </w:tc>
        <w:tc>
          <w:tcPr>
            <w:tcW w:w="612" w:type="dxa"/>
            <w:tcBorders>
              <w:top w:val="single" w:color="DCDDDE" w:sz="4" w:space="0"/>
              <w:bottom w:val="single" w:color="DCDDDE" w:sz="4" w:space="0"/>
            </w:tcBorders>
          </w:tcPr>
          <w:p w:rsidR="00C31389" w:rsidRDefault="00561FBD" w14:paraId="01DCCD26" w14:textId="77777777">
            <w:pPr>
              <w:pStyle w:val="TableParagraph"/>
              <w:ind w:right="105"/>
              <w:jc w:val="right"/>
              <w:rPr>
                <w:sz w:val="17"/>
              </w:rPr>
            </w:pPr>
            <w:r>
              <w:rPr>
                <w:spacing w:val="-5"/>
                <w:sz w:val="17"/>
              </w:rPr>
              <w:t>0.8</w:t>
            </w:r>
          </w:p>
        </w:tc>
      </w:tr>
      <w:tr w:rsidR="00C31389" w14:paraId="2875AB0E" w14:textId="77777777">
        <w:trPr>
          <w:trHeight w:val="275"/>
        </w:trPr>
        <w:tc>
          <w:tcPr>
            <w:tcW w:w="1186" w:type="dxa"/>
            <w:tcBorders>
              <w:top w:val="single" w:color="DCDDDE" w:sz="4" w:space="0"/>
              <w:bottom w:val="single" w:color="DCDDDE" w:sz="4" w:space="0"/>
            </w:tcBorders>
          </w:tcPr>
          <w:p w:rsidR="00C31389" w:rsidRDefault="00561FBD" w14:paraId="198595CE" w14:textId="77777777">
            <w:pPr>
              <w:pStyle w:val="TableParagraph"/>
              <w:ind w:left="122"/>
              <w:rPr>
                <w:sz w:val="17"/>
              </w:rPr>
            </w:pPr>
            <w:r>
              <w:rPr>
                <w:spacing w:val="-5"/>
                <w:sz w:val="17"/>
              </w:rPr>
              <w:t>FS</w:t>
            </w:r>
          </w:p>
        </w:tc>
        <w:tc>
          <w:tcPr>
            <w:tcW w:w="1182" w:type="dxa"/>
            <w:tcBorders>
              <w:top w:val="single" w:color="DCDDDE" w:sz="4" w:space="0"/>
              <w:bottom w:val="single" w:color="DCDDDE" w:sz="4" w:space="0"/>
            </w:tcBorders>
          </w:tcPr>
          <w:p w:rsidR="00C31389" w:rsidRDefault="00561FBD" w14:paraId="34D0CA3E" w14:textId="77777777">
            <w:pPr>
              <w:pStyle w:val="TableParagraph"/>
              <w:ind w:right="192"/>
              <w:jc w:val="right"/>
              <w:rPr>
                <w:sz w:val="17"/>
              </w:rPr>
            </w:pPr>
            <w:r>
              <w:rPr>
                <w:spacing w:val="-5"/>
                <w:sz w:val="17"/>
              </w:rPr>
              <w:t>0.1</w:t>
            </w:r>
          </w:p>
        </w:tc>
        <w:tc>
          <w:tcPr>
            <w:tcW w:w="711" w:type="dxa"/>
            <w:tcBorders>
              <w:top w:val="single" w:color="DCDDDE" w:sz="4" w:space="0"/>
              <w:bottom w:val="single" w:color="DCDDDE" w:sz="4" w:space="0"/>
            </w:tcBorders>
          </w:tcPr>
          <w:p w:rsidR="00C31389" w:rsidRDefault="00561FBD" w14:paraId="48EB6E29" w14:textId="77777777">
            <w:pPr>
              <w:pStyle w:val="TableParagraph"/>
              <w:ind w:right="137"/>
              <w:jc w:val="right"/>
              <w:rPr>
                <w:sz w:val="17"/>
              </w:rPr>
            </w:pPr>
            <w:r>
              <w:rPr>
                <w:spacing w:val="-5"/>
                <w:sz w:val="17"/>
              </w:rPr>
              <w:t>0.1</w:t>
            </w:r>
          </w:p>
        </w:tc>
        <w:tc>
          <w:tcPr>
            <w:tcW w:w="643" w:type="dxa"/>
            <w:tcBorders>
              <w:top w:val="single" w:color="DCDDDE" w:sz="4" w:space="0"/>
              <w:bottom w:val="single" w:color="DCDDDE" w:sz="4" w:space="0"/>
            </w:tcBorders>
          </w:tcPr>
          <w:p w:rsidR="00C31389" w:rsidRDefault="00561FBD" w14:paraId="0AEDF93C" w14:textId="77777777">
            <w:pPr>
              <w:pStyle w:val="TableParagraph"/>
              <w:ind w:right="123"/>
              <w:jc w:val="right"/>
              <w:rPr>
                <w:sz w:val="17"/>
              </w:rPr>
            </w:pPr>
            <w:r>
              <w:rPr>
                <w:spacing w:val="-5"/>
                <w:sz w:val="17"/>
              </w:rPr>
              <w:t>0.2</w:t>
            </w:r>
          </w:p>
        </w:tc>
        <w:tc>
          <w:tcPr>
            <w:tcW w:w="630" w:type="dxa"/>
            <w:tcBorders>
              <w:top w:val="single" w:color="DCDDDE" w:sz="4" w:space="0"/>
              <w:bottom w:val="single" w:color="DCDDDE" w:sz="4" w:space="0"/>
            </w:tcBorders>
          </w:tcPr>
          <w:p w:rsidR="00C31389" w:rsidRDefault="00561FBD" w14:paraId="667F1A35" w14:textId="77777777">
            <w:pPr>
              <w:pStyle w:val="TableParagraph"/>
              <w:ind w:right="123"/>
              <w:jc w:val="right"/>
              <w:rPr>
                <w:sz w:val="17"/>
              </w:rPr>
            </w:pPr>
            <w:r>
              <w:rPr>
                <w:spacing w:val="-5"/>
                <w:sz w:val="17"/>
              </w:rPr>
              <w:t>0.3</w:t>
            </w:r>
          </w:p>
        </w:tc>
        <w:tc>
          <w:tcPr>
            <w:tcW w:w="630" w:type="dxa"/>
            <w:tcBorders>
              <w:top w:val="single" w:color="DCDDDE" w:sz="4" w:space="0"/>
              <w:bottom w:val="single" w:color="DCDDDE" w:sz="4" w:space="0"/>
            </w:tcBorders>
          </w:tcPr>
          <w:p w:rsidR="00C31389" w:rsidRDefault="00561FBD" w14:paraId="351D51ED" w14:textId="77777777">
            <w:pPr>
              <w:pStyle w:val="TableParagraph"/>
              <w:ind w:right="123"/>
              <w:jc w:val="right"/>
              <w:rPr>
                <w:sz w:val="17"/>
              </w:rPr>
            </w:pPr>
            <w:r>
              <w:rPr>
                <w:spacing w:val="-5"/>
                <w:sz w:val="17"/>
              </w:rPr>
              <w:t>0.4</w:t>
            </w:r>
          </w:p>
        </w:tc>
        <w:tc>
          <w:tcPr>
            <w:tcW w:w="630" w:type="dxa"/>
            <w:tcBorders>
              <w:top w:val="single" w:color="DCDDDE" w:sz="4" w:space="0"/>
              <w:bottom w:val="single" w:color="DCDDDE" w:sz="4" w:space="0"/>
            </w:tcBorders>
          </w:tcPr>
          <w:p w:rsidR="00C31389" w:rsidRDefault="00561FBD" w14:paraId="40DCAF70" w14:textId="77777777">
            <w:pPr>
              <w:pStyle w:val="TableParagraph"/>
              <w:ind w:left="240" w:right="98"/>
              <w:jc w:val="center"/>
              <w:rPr>
                <w:sz w:val="17"/>
              </w:rPr>
            </w:pPr>
            <w:r>
              <w:rPr>
                <w:spacing w:val="-5"/>
                <w:sz w:val="17"/>
              </w:rPr>
              <w:t>0.4</w:t>
            </w:r>
          </w:p>
        </w:tc>
        <w:tc>
          <w:tcPr>
            <w:tcW w:w="630" w:type="dxa"/>
            <w:tcBorders>
              <w:top w:val="single" w:color="DCDDDE" w:sz="4" w:space="0"/>
              <w:bottom w:val="single" w:color="DCDDDE" w:sz="4" w:space="0"/>
            </w:tcBorders>
          </w:tcPr>
          <w:p w:rsidR="00C31389" w:rsidRDefault="00561FBD" w14:paraId="6D433A52"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47214570"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6271B805" w14:textId="77777777">
            <w:pPr>
              <w:pStyle w:val="TableParagraph"/>
              <w:ind w:right="123"/>
              <w:jc w:val="right"/>
              <w:rPr>
                <w:sz w:val="17"/>
              </w:rPr>
            </w:pPr>
            <w:r>
              <w:rPr>
                <w:spacing w:val="-5"/>
                <w:sz w:val="17"/>
              </w:rPr>
              <w:t>0.0</w:t>
            </w:r>
          </w:p>
        </w:tc>
        <w:tc>
          <w:tcPr>
            <w:tcW w:w="630" w:type="dxa"/>
            <w:tcBorders>
              <w:top w:val="single" w:color="DCDDDE" w:sz="4" w:space="0"/>
              <w:bottom w:val="single" w:color="DCDDDE" w:sz="4" w:space="0"/>
            </w:tcBorders>
          </w:tcPr>
          <w:p w:rsidR="00C31389" w:rsidRDefault="00561FBD" w14:paraId="3FAD8BF5" w14:textId="77777777">
            <w:pPr>
              <w:pStyle w:val="TableParagraph"/>
              <w:ind w:left="240" w:right="98"/>
              <w:jc w:val="center"/>
              <w:rPr>
                <w:sz w:val="17"/>
              </w:rPr>
            </w:pPr>
            <w:r>
              <w:rPr>
                <w:spacing w:val="-5"/>
                <w:sz w:val="17"/>
              </w:rPr>
              <w:t>0.0</w:t>
            </w:r>
          </w:p>
        </w:tc>
        <w:tc>
          <w:tcPr>
            <w:tcW w:w="630" w:type="dxa"/>
            <w:tcBorders>
              <w:top w:val="single" w:color="DCDDDE" w:sz="4" w:space="0"/>
              <w:bottom w:val="single" w:color="DCDDDE" w:sz="4" w:space="0"/>
            </w:tcBorders>
          </w:tcPr>
          <w:p w:rsidR="00C31389" w:rsidRDefault="00561FBD" w14:paraId="7FDEFE4E" w14:textId="77777777">
            <w:pPr>
              <w:pStyle w:val="TableParagraph"/>
              <w:ind w:right="123"/>
              <w:jc w:val="right"/>
              <w:rPr>
                <w:sz w:val="17"/>
              </w:rPr>
            </w:pPr>
            <w:r>
              <w:rPr>
                <w:spacing w:val="-5"/>
                <w:sz w:val="17"/>
              </w:rPr>
              <w:t>0.0</w:t>
            </w:r>
          </w:p>
        </w:tc>
        <w:tc>
          <w:tcPr>
            <w:tcW w:w="612" w:type="dxa"/>
            <w:tcBorders>
              <w:top w:val="single" w:color="DCDDDE" w:sz="4" w:space="0"/>
              <w:bottom w:val="single" w:color="DCDDDE" w:sz="4" w:space="0"/>
            </w:tcBorders>
          </w:tcPr>
          <w:p w:rsidR="00C31389" w:rsidRDefault="00561FBD" w14:paraId="28CF0168" w14:textId="77777777">
            <w:pPr>
              <w:pStyle w:val="TableParagraph"/>
              <w:ind w:right="105"/>
              <w:jc w:val="right"/>
              <w:rPr>
                <w:sz w:val="17"/>
              </w:rPr>
            </w:pPr>
            <w:r>
              <w:rPr>
                <w:spacing w:val="-5"/>
                <w:sz w:val="17"/>
              </w:rPr>
              <w:t>0.0</w:t>
            </w:r>
          </w:p>
        </w:tc>
      </w:tr>
      <w:tr w:rsidR="00C31389" w14:paraId="142335FA" w14:textId="77777777">
        <w:trPr>
          <w:trHeight w:val="275"/>
        </w:trPr>
        <w:tc>
          <w:tcPr>
            <w:tcW w:w="1186" w:type="dxa"/>
            <w:tcBorders>
              <w:top w:val="single" w:color="DCDDDE" w:sz="4" w:space="0"/>
              <w:bottom w:val="single" w:color="DCDDDE" w:sz="4" w:space="0"/>
            </w:tcBorders>
          </w:tcPr>
          <w:p w:rsidR="00C31389" w:rsidRDefault="00561FBD" w14:paraId="452FFB5F" w14:textId="77777777">
            <w:pPr>
              <w:pStyle w:val="TableParagraph"/>
              <w:ind w:left="122"/>
              <w:rPr>
                <w:sz w:val="17"/>
              </w:rPr>
            </w:pPr>
            <w:r>
              <w:rPr>
                <w:spacing w:val="-4"/>
                <w:sz w:val="17"/>
              </w:rPr>
              <w:t>BROs</w:t>
            </w:r>
          </w:p>
        </w:tc>
        <w:tc>
          <w:tcPr>
            <w:tcW w:w="1182" w:type="dxa"/>
            <w:tcBorders>
              <w:top w:val="single" w:color="DCDDDE" w:sz="4" w:space="0"/>
              <w:bottom w:val="single" w:color="DCDDDE" w:sz="4" w:space="0"/>
            </w:tcBorders>
          </w:tcPr>
          <w:p w:rsidR="00C31389" w:rsidRDefault="00561FBD" w14:paraId="5CCB49B2" w14:textId="77777777">
            <w:pPr>
              <w:pStyle w:val="TableParagraph"/>
              <w:ind w:right="192"/>
              <w:jc w:val="right"/>
              <w:rPr>
                <w:sz w:val="17"/>
              </w:rPr>
            </w:pPr>
            <w:r>
              <w:rPr>
                <w:spacing w:val="-5"/>
                <w:sz w:val="17"/>
              </w:rPr>
              <w:t>1.8</w:t>
            </w:r>
          </w:p>
        </w:tc>
        <w:tc>
          <w:tcPr>
            <w:tcW w:w="711" w:type="dxa"/>
            <w:tcBorders>
              <w:top w:val="single" w:color="DCDDDE" w:sz="4" w:space="0"/>
              <w:bottom w:val="single" w:color="DCDDDE" w:sz="4" w:space="0"/>
            </w:tcBorders>
          </w:tcPr>
          <w:p w:rsidR="00C31389" w:rsidRDefault="00561FBD" w14:paraId="7DD717DD" w14:textId="77777777">
            <w:pPr>
              <w:pStyle w:val="TableParagraph"/>
              <w:ind w:right="137"/>
              <w:jc w:val="right"/>
              <w:rPr>
                <w:sz w:val="17"/>
              </w:rPr>
            </w:pPr>
            <w:r>
              <w:rPr>
                <w:spacing w:val="-5"/>
                <w:sz w:val="17"/>
              </w:rPr>
              <w:t>1.8</w:t>
            </w:r>
          </w:p>
        </w:tc>
        <w:tc>
          <w:tcPr>
            <w:tcW w:w="643" w:type="dxa"/>
            <w:tcBorders>
              <w:top w:val="single" w:color="DCDDDE" w:sz="4" w:space="0"/>
              <w:bottom w:val="single" w:color="DCDDDE" w:sz="4" w:space="0"/>
            </w:tcBorders>
          </w:tcPr>
          <w:p w:rsidR="00C31389" w:rsidRDefault="00561FBD" w14:paraId="3FBB7032" w14:textId="77777777">
            <w:pPr>
              <w:pStyle w:val="TableParagraph"/>
              <w:ind w:right="123"/>
              <w:jc w:val="right"/>
              <w:rPr>
                <w:sz w:val="17"/>
              </w:rPr>
            </w:pPr>
            <w:r>
              <w:rPr>
                <w:spacing w:val="-5"/>
                <w:sz w:val="17"/>
              </w:rPr>
              <w:t>1.8</w:t>
            </w:r>
          </w:p>
        </w:tc>
        <w:tc>
          <w:tcPr>
            <w:tcW w:w="630" w:type="dxa"/>
            <w:tcBorders>
              <w:top w:val="single" w:color="DCDDDE" w:sz="4" w:space="0"/>
              <w:bottom w:val="single" w:color="DCDDDE" w:sz="4" w:space="0"/>
            </w:tcBorders>
          </w:tcPr>
          <w:p w:rsidR="00C31389" w:rsidRDefault="00561FBD" w14:paraId="14CC1232" w14:textId="77777777">
            <w:pPr>
              <w:pStyle w:val="TableParagraph"/>
              <w:ind w:right="123"/>
              <w:jc w:val="right"/>
              <w:rPr>
                <w:sz w:val="17"/>
              </w:rPr>
            </w:pPr>
            <w:r>
              <w:rPr>
                <w:spacing w:val="-5"/>
                <w:sz w:val="17"/>
              </w:rPr>
              <w:t>1.9</w:t>
            </w:r>
          </w:p>
        </w:tc>
        <w:tc>
          <w:tcPr>
            <w:tcW w:w="630" w:type="dxa"/>
            <w:tcBorders>
              <w:top w:val="single" w:color="DCDDDE" w:sz="4" w:space="0"/>
              <w:bottom w:val="single" w:color="DCDDDE" w:sz="4" w:space="0"/>
            </w:tcBorders>
          </w:tcPr>
          <w:p w:rsidR="00C31389" w:rsidRDefault="00561FBD" w14:paraId="73E2CE72" w14:textId="77777777">
            <w:pPr>
              <w:pStyle w:val="TableParagraph"/>
              <w:ind w:right="123"/>
              <w:jc w:val="right"/>
              <w:rPr>
                <w:sz w:val="17"/>
              </w:rPr>
            </w:pPr>
            <w:r>
              <w:rPr>
                <w:spacing w:val="-5"/>
                <w:sz w:val="17"/>
              </w:rPr>
              <w:t>2.0</w:t>
            </w:r>
          </w:p>
        </w:tc>
        <w:tc>
          <w:tcPr>
            <w:tcW w:w="630" w:type="dxa"/>
            <w:tcBorders>
              <w:top w:val="single" w:color="DCDDDE" w:sz="4" w:space="0"/>
              <w:bottom w:val="single" w:color="DCDDDE" w:sz="4" w:space="0"/>
            </w:tcBorders>
          </w:tcPr>
          <w:p w:rsidR="00C31389" w:rsidRDefault="00561FBD" w14:paraId="5F16D3CA" w14:textId="77777777">
            <w:pPr>
              <w:pStyle w:val="TableParagraph"/>
              <w:ind w:left="240" w:right="98"/>
              <w:jc w:val="center"/>
              <w:rPr>
                <w:sz w:val="17"/>
              </w:rPr>
            </w:pPr>
            <w:r>
              <w:rPr>
                <w:spacing w:val="-5"/>
                <w:sz w:val="17"/>
              </w:rPr>
              <w:t>2.0</w:t>
            </w:r>
          </w:p>
        </w:tc>
        <w:tc>
          <w:tcPr>
            <w:tcW w:w="630" w:type="dxa"/>
            <w:tcBorders>
              <w:top w:val="single" w:color="DCDDDE" w:sz="4" w:space="0"/>
              <w:bottom w:val="single" w:color="DCDDDE" w:sz="4" w:space="0"/>
            </w:tcBorders>
          </w:tcPr>
          <w:p w:rsidR="00C31389" w:rsidRDefault="00561FBD" w14:paraId="09C7C746" w14:textId="77777777">
            <w:pPr>
              <w:pStyle w:val="TableParagraph"/>
              <w:ind w:right="123"/>
              <w:jc w:val="right"/>
              <w:rPr>
                <w:sz w:val="17"/>
              </w:rPr>
            </w:pPr>
            <w:r>
              <w:rPr>
                <w:spacing w:val="-5"/>
                <w:sz w:val="17"/>
              </w:rPr>
              <w:t>2.1</w:t>
            </w:r>
          </w:p>
        </w:tc>
        <w:tc>
          <w:tcPr>
            <w:tcW w:w="630" w:type="dxa"/>
            <w:tcBorders>
              <w:top w:val="single" w:color="DCDDDE" w:sz="4" w:space="0"/>
              <w:bottom w:val="single" w:color="DCDDDE" w:sz="4" w:space="0"/>
            </w:tcBorders>
          </w:tcPr>
          <w:p w:rsidR="00C31389" w:rsidRDefault="00561FBD" w14:paraId="50348891" w14:textId="77777777">
            <w:pPr>
              <w:pStyle w:val="TableParagraph"/>
              <w:ind w:right="123"/>
              <w:jc w:val="right"/>
              <w:rPr>
                <w:sz w:val="17"/>
              </w:rPr>
            </w:pPr>
            <w:r>
              <w:rPr>
                <w:spacing w:val="-5"/>
                <w:sz w:val="17"/>
              </w:rPr>
              <w:t>2.2</w:t>
            </w:r>
          </w:p>
        </w:tc>
        <w:tc>
          <w:tcPr>
            <w:tcW w:w="630" w:type="dxa"/>
            <w:tcBorders>
              <w:top w:val="single" w:color="DCDDDE" w:sz="4" w:space="0"/>
              <w:bottom w:val="single" w:color="DCDDDE" w:sz="4" w:space="0"/>
            </w:tcBorders>
          </w:tcPr>
          <w:p w:rsidR="00C31389" w:rsidRDefault="00561FBD" w14:paraId="0A680F1A" w14:textId="77777777">
            <w:pPr>
              <w:pStyle w:val="TableParagraph"/>
              <w:ind w:right="123"/>
              <w:jc w:val="right"/>
              <w:rPr>
                <w:sz w:val="17"/>
              </w:rPr>
            </w:pPr>
            <w:r>
              <w:rPr>
                <w:spacing w:val="-5"/>
                <w:sz w:val="17"/>
              </w:rPr>
              <w:t>2.3</w:t>
            </w:r>
          </w:p>
        </w:tc>
        <w:tc>
          <w:tcPr>
            <w:tcW w:w="630" w:type="dxa"/>
            <w:tcBorders>
              <w:top w:val="single" w:color="DCDDDE" w:sz="4" w:space="0"/>
              <w:bottom w:val="single" w:color="DCDDDE" w:sz="4" w:space="0"/>
            </w:tcBorders>
          </w:tcPr>
          <w:p w:rsidR="00C31389" w:rsidRDefault="00561FBD" w14:paraId="5518058D" w14:textId="77777777">
            <w:pPr>
              <w:pStyle w:val="TableParagraph"/>
              <w:ind w:left="240" w:right="98"/>
              <w:jc w:val="center"/>
              <w:rPr>
                <w:sz w:val="17"/>
              </w:rPr>
            </w:pPr>
            <w:r>
              <w:rPr>
                <w:spacing w:val="-5"/>
                <w:sz w:val="17"/>
              </w:rPr>
              <w:t>2.6</w:t>
            </w:r>
          </w:p>
        </w:tc>
        <w:tc>
          <w:tcPr>
            <w:tcW w:w="630" w:type="dxa"/>
            <w:tcBorders>
              <w:top w:val="single" w:color="DCDDDE" w:sz="4" w:space="0"/>
              <w:bottom w:val="single" w:color="DCDDDE" w:sz="4" w:space="0"/>
            </w:tcBorders>
          </w:tcPr>
          <w:p w:rsidR="00C31389" w:rsidRDefault="00561FBD" w14:paraId="1599D967" w14:textId="77777777">
            <w:pPr>
              <w:pStyle w:val="TableParagraph"/>
              <w:ind w:right="123"/>
              <w:jc w:val="right"/>
              <w:rPr>
                <w:sz w:val="17"/>
              </w:rPr>
            </w:pPr>
            <w:r>
              <w:rPr>
                <w:spacing w:val="-5"/>
                <w:sz w:val="17"/>
              </w:rPr>
              <w:t>2.2</w:t>
            </w:r>
          </w:p>
        </w:tc>
        <w:tc>
          <w:tcPr>
            <w:tcW w:w="612" w:type="dxa"/>
            <w:tcBorders>
              <w:top w:val="single" w:color="DCDDDE" w:sz="4" w:space="0"/>
              <w:bottom w:val="single" w:color="DCDDDE" w:sz="4" w:space="0"/>
            </w:tcBorders>
          </w:tcPr>
          <w:p w:rsidR="00C31389" w:rsidRDefault="00561FBD" w14:paraId="4A35FC77" w14:textId="77777777">
            <w:pPr>
              <w:pStyle w:val="TableParagraph"/>
              <w:ind w:right="105"/>
              <w:jc w:val="right"/>
              <w:rPr>
                <w:sz w:val="17"/>
              </w:rPr>
            </w:pPr>
            <w:r>
              <w:rPr>
                <w:spacing w:val="-5"/>
                <w:sz w:val="17"/>
              </w:rPr>
              <w:t>2.3</w:t>
            </w:r>
          </w:p>
        </w:tc>
      </w:tr>
    </w:tbl>
    <w:p w:rsidR="00C31389" w:rsidRDefault="00C31389" w14:paraId="25DA7C02" w14:textId="77777777">
      <w:pPr>
        <w:jc w:val="right"/>
        <w:rPr>
          <w:sz w:val="17"/>
        </w:rPr>
        <w:sectPr w:rsidR="00C31389">
          <w:pgSz w:w="12240" w:h="15840"/>
          <w:pgMar w:top="1380" w:right="1240" w:bottom="1120" w:left="1220" w:header="397" w:footer="936" w:gutter="0"/>
          <w:cols w:space="720"/>
        </w:sectPr>
      </w:pPr>
    </w:p>
    <w:p w:rsidR="00C31389" w:rsidRDefault="00C31389" w14:paraId="49D41771"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507"/>
        <w:gridCol w:w="861"/>
        <w:gridCol w:w="712"/>
        <w:gridCol w:w="644"/>
        <w:gridCol w:w="631"/>
        <w:gridCol w:w="631"/>
        <w:gridCol w:w="631"/>
        <w:gridCol w:w="631"/>
        <w:gridCol w:w="631"/>
        <w:gridCol w:w="631"/>
        <w:gridCol w:w="631"/>
        <w:gridCol w:w="631"/>
        <w:gridCol w:w="613"/>
      </w:tblGrid>
      <w:tr w:rsidR="00C31389" w14:paraId="18E6CEC0" w14:textId="77777777">
        <w:trPr>
          <w:trHeight w:val="252"/>
        </w:trPr>
        <w:tc>
          <w:tcPr>
            <w:tcW w:w="1507" w:type="dxa"/>
            <w:tcBorders>
              <w:top w:val="single" w:color="8B8B8B" w:sz="8" w:space="0"/>
            </w:tcBorders>
          </w:tcPr>
          <w:p w:rsidR="00C31389" w:rsidRDefault="00C31389" w14:paraId="68942529" w14:textId="77777777">
            <w:pPr>
              <w:pStyle w:val="TableParagraph"/>
              <w:spacing w:before="0"/>
              <w:rPr>
                <w:rFonts w:ascii="Times New Roman"/>
                <w:sz w:val="18"/>
              </w:rPr>
            </w:pPr>
          </w:p>
        </w:tc>
        <w:tc>
          <w:tcPr>
            <w:tcW w:w="861" w:type="dxa"/>
            <w:tcBorders>
              <w:top w:val="single" w:color="8B8B8B" w:sz="8" w:space="0"/>
            </w:tcBorders>
          </w:tcPr>
          <w:p w:rsidR="00C31389" w:rsidRDefault="00C31389" w14:paraId="1662914E" w14:textId="77777777">
            <w:pPr>
              <w:pStyle w:val="TableParagraph"/>
              <w:spacing w:before="0"/>
              <w:rPr>
                <w:rFonts w:ascii="Times New Roman"/>
                <w:sz w:val="18"/>
              </w:rPr>
            </w:pPr>
          </w:p>
        </w:tc>
        <w:tc>
          <w:tcPr>
            <w:tcW w:w="712" w:type="dxa"/>
            <w:tcBorders>
              <w:top w:val="single" w:color="8B8B8B" w:sz="8" w:space="0"/>
            </w:tcBorders>
          </w:tcPr>
          <w:p w:rsidR="00C31389" w:rsidRDefault="00C31389" w14:paraId="5E6D1707" w14:textId="77777777">
            <w:pPr>
              <w:pStyle w:val="TableParagraph"/>
              <w:spacing w:before="0"/>
              <w:rPr>
                <w:rFonts w:ascii="Times New Roman"/>
                <w:sz w:val="18"/>
              </w:rPr>
            </w:pPr>
          </w:p>
        </w:tc>
        <w:tc>
          <w:tcPr>
            <w:tcW w:w="644" w:type="dxa"/>
            <w:tcBorders>
              <w:top w:val="single" w:color="8B8B8B" w:sz="8" w:space="0"/>
            </w:tcBorders>
          </w:tcPr>
          <w:p w:rsidR="00C31389" w:rsidRDefault="00C31389" w14:paraId="1A196281"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5AE4A51C"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109F107F"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41488C23"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1734F6CE"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65ECF960"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4F27CF16"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45405875" w14:textId="77777777">
            <w:pPr>
              <w:pStyle w:val="TableParagraph"/>
              <w:spacing w:before="0"/>
              <w:rPr>
                <w:rFonts w:ascii="Times New Roman"/>
                <w:sz w:val="18"/>
              </w:rPr>
            </w:pPr>
          </w:p>
        </w:tc>
        <w:tc>
          <w:tcPr>
            <w:tcW w:w="631" w:type="dxa"/>
            <w:tcBorders>
              <w:top w:val="single" w:color="8B8B8B" w:sz="8" w:space="0"/>
            </w:tcBorders>
          </w:tcPr>
          <w:p w:rsidR="00C31389" w:rsidRDefault="00C31389" w14:paraId="508E55B2" w14:textId="77777777">
            <w:pPr>
              <w:pStyle w:val="TableParagraph"/>
              <w:spacing w:before="0"/>
              <w:rPr>
                <w:rFonts w:ascii="Times New Roman"/>
                <w:sz w:val="18"/>
              </w:rPr>
            </w:pPr>
          </w:p>
        </w:tc>
        <w:tc>
          <w:tcPr>
            <w:tcW w:w="613" w:type="dxa"/>
            <w:tcBorders>
              <w:top w:val="single" w:color="8B8B8B" w:sz="8" w:space="0"/>
            </w:tcBorders>
          </w:tcPr>
          <w:p w:rsidR="00C31389" w:rsidRDefault="00C31389" w14:paraId="7F7A7BA8" w14:textId="77777777">
            <w:pPr>
              <w:pStyle w:val="TableParagraph"/>
              <w:spacing w:before="0"/>
              <w:rPr>
                <w:rFonts w:ascii="Times New Roman"/>
                <w:sz w:val="18"/>
              </w:rPr>
            </w:pPr>
          </w:p>
        </w:tc>
      </w:tr>
      <w:tr w:rsidR="00C31389" w14:paraId="20F293F0" w14:textId="77777777">
        <w:trPr>
          <w:trHeight w:val="305"/>
        </w:trPr>
        <w:tc>
          <w:tcPr>
            <w:tcW w:w="1507" w:type="dxa"/>
            <w:shd w:val="clear" w:color="auto" w:fill="92D400"/>
          </w:tcPr>
          <w:p w:rsidR="00C31389" w:rsidRDefault="00561FBD" w14:paraId="699652D2" w14:textId="77777777">
            <w:pPr>
              <w:pStyle w:val="TableParagraph"/>
              <w:spacing w:before="41"/>
              <w:ind w:left="122"/>
              <w:rPr>
                <w:b/>
                <w:sz w:val="17"/>
              </w:rPr>
            </w:pPr>
            <w:r>
              <w:rPr>
                <w:b/>
                <w:spacing w:val="-4"/>
                <w:sz w:val="17"/>
              </w:rPr>
              <w:t>Year</w:t>
            </w:r>
          </w:p>
        </w:tc>
        <w:tc>
          <w:tcPr>
            <w:tcW w:w="861" w:type="dxa"/>
            <w:shd w:val="clear" w:color="auto" w:fill="92D400"/>
          </w:tcPr>
          <w:p w:rsidR="00C31389" w:rsidRDefault="00561FBD" w14:paraId="46F42F89" w14:textId="77777777">
            <w:pPr>
              <w:pStyle w:val="TableParagraph"/>
              <w:spacing w:before="41"/>
              <w:ind w:right="191"/>
              <w:jc w:val="right"/>
              <w:rPr>
                <w:b/>
                <w:sz w:val="17"/>
              </w:rPr>
            </w:pPr>
            <w:r>
              <w:rPr>
                <w:b/>
                <w:spacing w:val="-4"/>
                <w:sz w:val="17"/>
              </w:rPr>
              <w:t>2024</w:t>
            </w:r>
          </w:p>
        </w:tc>
        <w:tc>
          <w:tcPr>
            <w:tcW w:w="712" w:type="dxa"/>
            <w:shd w:val="clear" w:color="auto" w:fill="92D400"/>
          </w:tcPr>
          <w:p w:rsidR="00C31389" w:rsidRDefault="00561FBD" w14:paraId="20D06E2B"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771F2176" w14:textId="77777777">
            <w:pPr>
              <w:pStyle w:val="TableParagraph"/>
              <w:spacing w:before="41"/>
              <w:ind w:right="124"/>
              <w:jc w:val="right"/>
              <w:rPr>
                <w:b/>
                <w:sz w:val="17"/>
              </w:rPr>
            </w:pPr>
            <w:r>
              <w:rPr>
                <w:b/>
                <w:spacing w:val="-4"/>
                <w:sz w:val="17"/>
              </w:rPr>
              <w:t>2026</w:t>
            </w:r>
          </w:p>
        </w:tc>
        <w:tc>
          <w:tcPr>
            <w:tcW w:w="631" w:type="dxa"/>
            <w:shd w:val="clear" w:color="auto" w:fill="92D400"/>
          </w:tcPr>
          <w:p w:rsidR="00C31389" w:rsidRDefault="00561FBD" w14:paraId="0053B4C4" w14:textId="77777777">
            <w:pPr>
              <w:pStyle w:val="TableParagraph"/>
              <w:spacing w:before="41"/>
              <w:ind w:right="125"/>
              <w:jc w:val="right"/>
              <w:rPr>
                <w:b/>
                <w:sz w:val="17"/>
              </w:rPr>
            </w:pPr>
            <w:r>
              <w:rPr>
                <w:b/>
                <w:spacing w:val="-4"/>
                <w:sz w:val="17"/>
              </w:rPr>
              <w:t>2027</w:t>
            </w:r>
          </w:p>
        </w:tc>
        <w:tc>
          <w:tcPr>
            <w:tcW w:w="631" w:type="dxa"/>
            <w:shd w:val="clear" w:color="auto" w:fill="92D400"/>
          </w:tcPr>
          <w:p w:rsidR="00C31389" w:rsidRDefault="00561FBD" w14:paraId="264A7149" w14:textId="77777777">
            <w:pPr>
              <w:pStyle w:val="TableParagraph"/>
              <w:spacing w:before="41"/>
              <w:ind w:right="126"/>
              <w:jc w:val="right"/>
              <w:rPr>
                <w:b/>
                <w:sz w:val="17"/>
              </w:rPr>
            </w:pPr>
            <w:r>
              <w:rPr>
                <w:b/>
                <w:spacing w:val="-4"/>
                <w:sz w:val="17"/>
              </w:rPr>
              <w:t>2028</w:t>
            </w:r>
          </w:p>
        </w:tc>
        <w:tc>
          <w:tcPr>
            <w:tcW w:w="631" w:type="dxa"/>
            <w:shd w:val="clear" w:color="auto" w:fill="92D400"/>
          </w:tcPr>
          <w:p w:rsidR="00C31389" w:rsidRDefault="00561FBD" w14:paraId="10E8CC33" w14:textId="77777777">
            <w:pPr>
              <w:pStyle w:val="TableParagraph"/>
              <w:spacing w:before="41"/>
              <w:ind w:left="106" w:right="111"/>
              <w:jc w:val="center"/>
              <w:rPr>
                <w:b/>
                <w:sz w:val="17"/>
              </w:rPr>
            </w:pPr>
            <w:r>
              <w:rPr>
                <w:b/>
                <w:spacing w:val="-4"/>
                <w:sz w:val="17"/>
              </w:rPr>
              <w:t>2029</w:t>
            </w:r>
          </w:p>
        </w:tc>
        <w:tc>
          <w:tcPr>
            <w:tcW w:w="631" w:type="dxa"/>
            <w:shd w:val="clear" w:color="auto" w:fill="92D400"/>
          </w:tcPr>
          <w:p w:rsidR="00C31389" w:rsidRDefault="00561FBD" w14:paraId="4DEE77C0" w14:textId="77777777">
            <w:pPr>
              <w:pStyle w:val="TableParagraph"/>
              <w:spacing w:before="41"/>
              <w:ind w:right="128"/>
              <w:jc w:val="right"/>
              <w:rPr>
                <w:b/>
                <w:sz w:val="17"/>
              </w:rPr>
            </w:pPr>
            <w:r>
              <w:rPr>
                <w:b/>
                <w:spacing w:val="-4"/>
                <w:sz w:val="17"/>
              </w:rPr>
              <w:t>2030</w:t>
            </w:r>
          </w:p>
        </w:tc>
        <w:tc>
          <w:tcPr>
            <w:tcW w:w="631" w:type="dxa"/>
            <w:shd w:val="clear" w:color="auto" w:fill="92D400"/>
          </w:tcPr>
          <w:p w:rsidR="00C31389" w:rsidRDefault="00561FBD" w14:paraId="5074D591" w14:textId="77777777">
            <w:pPr>
              <w:pStyle w:val="TableParagraph"/>
              <w:spacing w:before="41"/>
              <w:ind w:right="129"/>
              <w:jc w:val="right"/>
              <w:rPr>
                <w:b/>
                <w:sz w:val="17"/>
              </w:rPr>
            </w:pPr>
            <w:r>
              <w:rPr>
                <w:b/>
                <w:spacing w:val="-4"/>
                <w:sz w:val="17"/>
              </w:rPr>
              <w:t>2031</w:t>
            </w:r>
          </w:p>
        </w:tc>
        <w:tc>
          <w:tcPr>
            <w:tcW w:w="631" w:type="dxa"/>
            <w:shd w:val="clear" w:color="auto" w:fill="92D400"/>
          </w:tcPr>
          <w:p w:rsidR="00C31389" w:rsidRDefault="00561FBD" w14:paraId="2D320D32" w14:textId="77777777">
            <w:pPr>
              <w:pStyle w:val="TableParagraph"/>
              <w:spacing w:before="41"/>
              <w:ind w:right="130"/>
              <w:jc w:val="right"/>
              <w:rPr>
                <w:b/>
                <w:sz w:val="17"/>
              </w:rPr>
            </w:pPr>
            <w:r>
              <w:rPr>
                <w:b/>
                <w:spacing w:val="-4"/>
                <w:sz w:val="17"/>
              </w:rPr>
              <w:t>2032</w:t>
            </w:r>
          </w:p>
        </w:tc>
        <w:tc>
          <w:tcPr>
            <w:tcW w:w="631" w:type="dxa"/>
            <w:shd w:val="clear" w:color="auto" w:fill="92D400"/>
          </w:tcPr>
          <w:p w:rsidR="00C31389" w:rsidRDefault="00561FBD" w14:paraId="7430F1C1" w14:textId="77777777">
            <w:pPr>
              <w:pStyle w:val="TableParagraph"/>
              <w:spacing w:before="41"/>
              <w:ind w:left="103" w:right="116"/>
              <w:jc w:val="center"/>
              <w:rPr>
                <w:b/>
                <w:sz w:val="17"/>
              </w:rPr>
            </w:pPr>
            <w:r>
              <w:rPr>
                <w:b/>
                <w:spacing w:val="-4"/>
                <w:sz w:val="17"/>
              </w:rPr>
              <w:t>2033</w:t>
            </w:r>
          </w:p>
        </w:tc>
        <w:tc>
          <w:tcPr>
            <w:tcW w:w="631" w:type="dxa"/>
            <w:shd w:val="clear" w:color="auto" w:fill="92D400"/>
          </w:tcPr>
          <w:p w:rsidR="00C31389" w:rsidRDefault="00561FBD" w14:paraId="14B77AF8" w14:textId="77777777">
            <w:pPr>
              <w:pStyle w:val="TableParagraph"/>
              <w:spacing w:before="41"/>
              <w:ind w:right="132"/>
              <w:jc w:val="right"/>
              <w:rPr>
                <w:b/>
                <w:sz w:val="17"/>
              </w:rPr>
            </w:pPr>
            <w:r>
              <w:rPr>
                <w:b/>
                <w:spacing w:val="-4"/>
                <w:sz w:val="17"/>
              </w:rPr>
              <w:t>2034</w:t>
            </w:r>
          </w:p>
        </w:tc>
        <w:tc>
          <w:tcPr>
            <w:tcW w:w="613" w:type="dxa"/>
            <w:shd w:val="clear" w:color="auto" w:fill="92D400"/>
          </w:tcPr>
          <w:p w:rsidR="00C31389" w:rsidRDefault="00561FBD" w14:paraId="5DF52753" w14:textId="77777777">
            <w:pPr>
              <w:pStyle w:val="TableParagraph"/>
              <w:spacing w:before="41"/>
              <w:ind w:right="115"/>
              <w:jc w:val="right"/>
              <w:rPr>
                <w:b/>
                <w:sz w:val="17"/>
              </w:rPr>
            </w:pPr>
            <w:r>
              <w:rPr>
                <w:b/>
                <w:spacing w:val="-4"/>
                <w:sz w:val="17"/>
              </w:rPr>
              <w:t>2035</w:t>
            </w:r>
          </w:p>
        </w:tc>
      </w:tr>
      <w:tr w:rsidR="00C31389" w14:paraId="5BACC325" w14:textId="77777777">
        <w:trPr>
          <w:trHeight w:val="254"/>
        </w:trPr>
        <w:tc>
          <w:tcPr>
            <w:tcW w:w="9385" w:type="dxa"/>
            <w:gridSpan w:val="13"/>
            <w:tcBorders>
              <w:bottom w:val="single" w:color="DCDDDE" w:sz="4" w:space="0"/>
            </w:tcBorders>
            <w:shd w:val="clear" w:color="auto" w:fill="BEBEBE"/>
          </w:tcPr>
          <w:p w:rsidR="00C31389" w:rsidRDefault="00561FBD" w14:paraId="15223089" w14:textId="77777777">
            <w:pPr>
              <w:pStyle w:val="TableParagraph"/>
              <w:spacing w:before="20"/>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0108CD6A" w14:textId="77777777">
        <w:trPr>
          <w:trHeight w:val="471"/>
        </w:trPr>
        <w:tc>
          <w:tcPr>
            <w:tcW w:w="1507" w:type="dxa"/>
            <w:tcBorders>
              <w:top w:val="single" w:color="DCDDDE" w:sz="4" w:space="0"/>
              <w:bottom w:val="single" w:color="DCDDDE" w:sz="4" w:space="0"/>
            </w:tcBorders>
          </w:tcPr>
          <w:p w:rsidR="00C31389" w:rsidRDefault="00561FBD" w14:paraId="0DC7584F" w14:textId="77777777">
            <w:pPr>
              <w:pStyle w:val="TableParagraph"/>
              <w:ind w:left="122" w:right="375"/>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33937776" w14:textId="77777777">
            <w:pPr>
              <w:pStyle w:val="TableParagraph"/>
              <w:spacing w:before="139"/>
              <w:ind w:right="192"/>
              <w:jc w:val="right"/>
              <w:rPr>
                <w:sz w:val="17"/>
              </w:rPr>
            </w:pPr>
            <w:r>
              <w:rPr>
                <w:spacing w:val="-5"/>
                <w:sz w:val="17"/>
              </w:rPr>
              <w:t>2.3</w:t>
            </w:r>
          </w:p>
        </w:tc>
        <w:tc>
          <w:tcPr>
            <w:tcW w:w="712" w:type="dxa"/>
            <w:tcBorders>
              <w:top w:val="single" w:color="DCDDDE" w:sz="4" w:space="0"/>
              <w:bottom w:val="single" w:color="DCDDDE" w:sz="4" w:space="0"/>
            </w:tcBorders>
          </w:tcPr>
          <w:p w:rsidR="00C31389" w:rsidRDefault="00561FBD" w14:paraId="3B5ABC84" w14:textId="77777777">
            <w:pPr>
              <w:pStyle w:val="TableParagraph"/>
              <w:spacing w:before="139"/>
              <w:ind w:right="138"/>
              <w:jc w:val="right"/>
              <w:rPr>
                <w:sz w:val="17"/>
              </w:rPr>
            </w:pPr>
            <w:r>
              <w:rPr>
                <w:spacing w:val="-5"/>
                <w:sz w:val="17"/>
              </w:rPr>
              <w:t>2.3</w:t>
            </w:r>
          </w:p>
        </w:tc>
        <w:tc>
          <w:tcPr>
            <w:tcW w:w="644" w:type="dxa"/>
            <w:tcBorders>
              <w:top w:val="single" w:color="DCDDDE" w:sz="4" w:space="0"/>
              <w:bottom w:val="single" w:color="DCDDDE" w:sz="4" w:space="0"/>
            </w:tcBorders>
          </w:tcPr>
          <w:p w:rsidR="00C31389" w:rsidRDefault="00561FBD" w14:paraId="22FED4D8" w14:textId="77777777">
            <w:pPr>
              <w:pStyle w:val="TableParagraph"/>
              <w:spacing w:before="139"/>
              <w:ind w:right="125"/>
              <w:jc w:val="right"/>
              <w:rPr>
                <w:sz w:val="17"/>
              </w:rPr>
            </w:pPr>
            <w:r>
              <w:rPr>
                <w:spacing w:val="-5"/>
                <w:sz w:val="17"/>
              </w:rPr>
              <w:t>1.5</w:t>
            </w:r>
          </w:p>
        </w:tc>
        <w:tc>
          <w:tcPr>
            <w:tcW w:w="631" w:type="dxa"/>
            <w:tcBorders>
              <w:top w:val="single" w:color="DCDDDE" w:sz="4" w:space="0"/>
              <w:bottom w:val="single" w:color="DCDDDE" w:sz="4" w:space="0"/>
            </w:tcBorders>
          </w:tcPr>
          <w:p w:rsidR="00C31389" w:rsidRDefault="00561FBD" w14:paraId="2538217C" w14:textId="77777777">
            <w:pPr>
              <w:pStyle w:val="TableParagraph"/>
              <w:spacing w:before="139"/>
              <w:ind w:right="126"/>
              <w:jc w:val="right"/>
              <w:rPr>
                <w:sz w:val="17"/>
              </w:rPr>
            </w:pPr>
            <w:r>
              <w:rPr>
                <w:spacing w:val="-5"/>
                <w:sz w:val="17"/>
              </w:rPr>
              <w:t>1.5</w:t>
            </w:r>
          </w:p>
        </w:tc>
        <w:tc>
          <w:tcPr>
            <w:tcW w:w="631" w:type="dxa"/>
            <w:tcBorders>
              <w:top w:val="single" w:color="DCDDDE" w:sz="4" w:space="0"/>
              <w:bottom w:val="single" w:color="DCDDDE" w:sz="4" w:space="0"/>
            </w:tcBorders>
          </w:tcPr>
          <w:p w:rsidR="00C31389" w:rsidRDefault="00561FBD" w14:paraId="756962AB" w14:textId="77777777">
            <w:pPr>
              <w:pStyle w:val="TableParagraph"/>
              <w:spacing w:before="139"/>
              <w:ind w:right="127"/>
              <w:jc w:val="right"/>
              <w:rPr>
                <w:sz w:val="17"/>
              </w:rPr>
            </w:pPr>
            <w:r>
              <w:rPr>
                <w:spacing w:val="-5"/>
                <w:sz w:val="17"/>
              </w:rPr>
              <w:t>1.4</w:t>
            </w:r>
          </w:p>
        </w:tc>
        <w:tc>
          <w:tcPr>
            <w:tcW w:w="631" w:type="dxa"/>
            <w:tcBorders>
              <w:top w:val="single" w:color="DCDDDE" w:sz="4" w:space="0"/>
              <w:bottom w:val="single" w:color="DCDDDE" w:sz="4" w:space="0"/>
            </w:tcBorders>
          </w:tcPr>
          <w:p w:rsidR="00C31389" w:rsidRDefault="00561FBD" w14:paraId="66FB250B" w14:textId="77777777">
            <w:pPr>
              <w:pStyle w:val="TableParagraph"/>
              <w:spacing w:before="139"/>
              <w:ind w:left="248" w:right="115"/>
              <w:jc w:val="center"/>
              <w:rPr>
                <w:sz w:val="17"/>
              </w:rPr>
            </w:pPr>
            <w:r>
              <w:rPr>
                <w:spacing w:val="-5"/>
                <w:sz w:val="17"/>
              </w:rPr>
              <w:t>1.3</w:t>
            </w:r>
          </w:p>
        </w:tc>
        <w:tc>
          <w:tcPr>
            <w:tcW w:w="631" w:type="dxa"/>
            <w:tcBorders>
              <w:top w:val="single" w:color="DCDDDE" w:sz="4" w:space="0"/>
              <w:bottom w:val="single" w:color="DCDDDE" w:sz="4" w:space="0"/>
            </w:tcBorders>
          </w:tcPr>
          <w:p w:rsidR="00C31389" w:rsidRDefault="00561FBD" w14:paraId="4BC8F8A1" w14:textId="77777777">
            <w:pPr>
              <w:pStyle w:val="TableParagraph"/>
              <w:spacing w:before="139"/>
              <w:ind w:right="129"/>
              <w:jc w:val="right"/>
              <w:rPr>
                <w:sz w:val="17"/>
              </w:rPr>
            </w:pPr>
            <w:r>
              <w:rPr>
                <w:spacing w:val="-5"/>
                <w:sz w:val="17"/>
              </w:rPr>
              <w:t>1.3</w:t>
            </w:r>
          </w:p>
        </w:tc>
        <w:tc>
          <w:tcPr>
            <w:tcW w:w="631" w:type="dxa"/>
            <w:tcBorders>
              <w:top w:val="single" w:color="DCDDDE" w:sz="4" w:space="0"/>
              <w:bottom w:val="single" w:color="DCDDDE" w:sz="4" w:space="0"/>
            </w:tcBorders>
          </w:tcPr>
          <w:p w:rsidR="00C31389" w:rsidRDefault="00561FBD" w14:paraId="77F705F6" w14:textId="77777777">
            <w:pPr>
              <w:pStyle w:val="TableParagraph"/>
              <w:spacing w:before="139"/>
              <w:ind w:right="130"/>
              <w:jc w:val="right"/>
              <w:rPr>
                <w:sz w:val="17"/>
              </w:rPr>
            </w:pPr>
            <w:r>
              <w:rPr>
                <w:spacing w:val="-5"/>
                <w:sz w:val="17"/>
              </w:rPr>
              <w:t>1.2</w:t>
            </w:r>
          </w:p>
        </w:tc>
        <w:tc>
          <w:tcPr>
            <w:tcW w:w="631" w:type="dxa"/>
            <w:tcBorders>
              <w:top w:val="single" w:color="DCDDDE" w:sz="4" w:space="0"/>
              <w:bottom w:val="single" w:color="DCDDDE" w:sz="4" w:space="0"/>
            </w:tcBorders>
          </w:tcPr>
          <w:p w:rsidR="00C31389" w:rsidRDefault="00561FBD" w14:paraId="5AACA786" w14:textId="77777777">
            <w:pPr>
              <w:pStyle w:val="TableParagraph"/>
              <w:spacing w:before="139"/>
              <w:ind w:right="131"/>
              <w:jc w:val="right"/>
              <w:rPr>
                <w:sz w:val="17"/>
              </w:rPr>
            </w:pPr>
            <w:r>
              <w:rPr>
                <w:spacing w:val="-5"/>
                <w:sz w:val="17"/>
              </w:rPr>
              <w:t>1.1</w:t>
            </w:r>
          </w:p>
        </w:tc>
        <w:tc>
          <w:tcPr>
            <w:tcW w:w="631" w:type="dxa"/>
            <w:tcBorders>
              <w:top w:val="single" w:color="DCDDDE" w:sz="4" w:space="0"/>
              <w:bottom w:val="single" w:color="DCDDDE" w:sz="4" w:space="0"/>
            </w:tcBorders>
          </w:tcPr>
          <w:p w:rsidR="00C31389" w:rsidRDefault="00561FBD" w14:paraId="2CA3B4F2" w14:textId="77777777">
            <w:pPr>
              <w:pStyle w:val="TableParagraph"/>
              <w:spacing w:before="139"/>
              <w:ind w:left="241" w:right="116"/>
              <w:jc w:val="center"/>
              <w:rPr>
                <w:sz w:val="17"/>
              </w:rPr>
            </w:pPr>
            <w:r>
              <w:rPr>
                <w:spacing w:val="-5"/>
                <w:sz w:val="17"/>
              </w:rPr>
              <w:t>1.1</w:t>
            </w:r>
          </w:p>
        </w:tc>
        <w:tc>
          <w:tcPr>
            <w:tcW w:w="631" w:type="dxa"/>
            <w:tcBorders>
              <w:top w:val="single" w:color="DCDDDE" w:sz="4" w:space="0"/>
              <w:bottom w:val="single" w:color="DCDDDE" w:sz="4" w:space="0"/>
            </w:tcBorders>
          </w:tcPr>
          <w:p w:rsidR="00C31389" w:rsidRDefault="00561FBD" w14:paraId="1F6165A8" w14:textId="77777777">
            <w:pPr>
              <w:pStyle w:val="TableParagraph"/>
              <w:spacing w:before="139"/>
              <w:ind w:right="133"/>
              <w:jc w:val="right"/>
              <w:rPr>
                <w:sz w:val="17"/>
              </w:rPr>
            </w:pPr>
            <w:r>
              <w:rPr>
                <w:spacing w:val="-5"/>
                <w:sz w:val="17"/>
              </w:rPr>
              <w:t>1.1</w:t>
            </w:r>
          </w:p>
        </w:tc>
        <w:tc>
          <w:tcPr>
            <w:tcW w:w="613" w:type="dxa"/>
            <w:tcBorders>
              <w:top w:val="single" w:color="DCDDDE" w:sz="4" w:space="0"/>
              <w:bottom w:val="single" w:color="DCDDDE" w:sz="4" w:space="0"/>
            </w:tcBorders>
          </w:tcPr>
          <w:p w:rsidR="00C31389" w:rsidRDefault="00561FBD" w14:paraId="7685AB48" w14:textId="77777777">
            <w:pPr>
              <w:pStyle w:val="TableParagraph"/>
              <w:spacing w:before="139"/>
              <w:ind w:right="116"/>
              <w:jc w:val="right"/>
              <w:rPr>
                <w:sz w:val="17"/>
              </w:rPr>
            </w:pPr>
            <w:r>
              <w:rPr>
                <w:spacing w:val="-5"/>
                <w:sz w:val="17"/>
              </w:rPr>
              <w:t>1.0</w:t>
            </w:r>
          </w:p>
        </w:tc>
      </w:tr>
      <w:tr w:rsidR="00C31389" w14:paraId="6AD64778" w14:textId="77777777">
        <w:trPr>
          <w:trHeight w:val="472"/>
        </w:trPr>
        <w:tc>
          <w:tcPr>
            <w:tcW w:w="1507" w:type="dxa"/>
            <w:tcBorders>
              <w:top w:val="single" w:color="DCDDDE" w:sz="4" w:space="0"/>
              <w:bottom w:val="single" w:color="545658" w:sz="8" w:space="0"/>
            </w:tcBorders>
          </w:tcPr>
          <w:p w:rsidR="00C31389" w:rsidRDefault="00561FBD" w14:paraId="49BD107B" w14:textId="77777777">
            <w:pPr>
              <w:pStyle w:val="TableParagraph"/>
              <w:ind w:left="122" w:right="280"/>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752E28A1" w14:textId="77777777">
            <w:pPr>
              <w:pStyle w:val="TableParagraph"/>
              <w:spacing w:before="139"/>
              <w:ind w:right="192"/>
              <w:jc w:val="right"/>
              <w:rPr>
                <w:sz w:val="17"/>
              </w:rPr>
            </w:pPr>
            <w:r>
              <w:rPr>
                <w:spacing w:val="-5"/>
                <w:sz w:val="17"/>
              </w:rPr>
              <w:t>2.5</w:t>
            </w:r>
          </w:p>
        </w:tc>
        <w:tc>
          <w:tcPr>
            <w:tcW w:w="712" w:type="dxa"/>
            <w:tcBorders>
              <w:top w:val="single" w:color="DCDDDE" w:sz="4" w:space="0"/>
              <w:bottom w:val="single" w:color="545658" w:sz="8" w:space="0"/>
            </w:tcBorders>
          </w:tcPr>
          <w:p w:rsidR="00C31389" w:rsidRDefault="00561FBD" w14:paraId="06D9AE04" w14:textId="77777777">
            <w:pPr>
              <w:pStyle w:val="TableParagraph"/>
              <w:spacing w:before="139"/>
              <w:ind w:right="138"/>
              <w:jc w:val="right"/>
              <w:rPr>
                <w:sz w:val="17"/>
              </w:rPr>
            </w:pPr>
            <w:r>
              <w:rPr>
                <w:spacing w:val="-5"/>
                <w:sz w:val="17"/>
              </w:rPr>
              <w:t>2.5</w:t>
            </w:r>
          </w:p>
        </w:tc>
        <w:tc>
          <w:tcPr>
            <w:tcW w:w="644" w:type="dxa"/>
            <w:tcBorders>
              <w:top w:val="single" w:color="DCDDDE" w:sz="4" w:space="0"/>
              <w:bottom w:val="single" w:color="545658" w:sz="8" w:space="0"/>
            </w:tcBorders>
          </w:tcPr>
          <w:p w:rsidR="00C31389" w:rsidRDefault="00561FBD" w14:paraId="67F576F0" w14:textId="77777777">
            <w:pPr>
              <w:pStyle w:val="TableParagraph"/>
              <w:spacing w:before="139"/>
              <w:ind w:right="125"/>
              <w:jc w:val="right"/>
              <w:rPr>
                <w:sz w:val="17"/>
              </w:rPr>
            </w:pPr>
            <w:r>
              <w:rPr>
                <w:spacing w:val="-5"/>
                <w:sz w:val="17"/>
              </w:rPr>
              <w:t>1.6</w:t>
            </w:r>
          </w:p>
        </w:tc>
        <w:tc>
          <w:tcPr>
            <w:tcW w:w="631" w:type="dxa"/>
            <w:tcBorders>
              <w:top w:val="single" w:color="DCDDDE" w:sz="4" w:space="0"/>
              <w:bottom w:val="single" w:color="545658" w:sz="8" w:space="0"/>
            </w:tcBorders>
          </w:tcPr>
          <w:p w:rsidR="00C31389" w:rsidRDefault="00561FBD" w14:paraId="4EE0CAD3" w14:textId="77777777">
            <w:pPr>
              <w:pStyle w:val="TableParagraph"/>
              <w:spacing w:before="139"/>
              <w:ind w:right="126"/>
              <w:jc w:val="right"/>
              <w:rPr>
                <w:sz w:val="17"/>
              </w:rPr>
            </w:pPr>
            <w:r>
              <w:rPr>
                <w:spacing w:val="-5"/>
                <w:sz w:val="17"/>
              </w:rPr>
              <w:t>1.6</w:t>
            </w:r>
          </w:p>
        </w:tc>
        <w:tc>
          <w:tcPr>
            <w:tcW w:w="631" w:type="dxa"/>
            <w:tcBorders>
              <w:top w:val="single" w:color="DCDDDE" w:sz="4" w:space="0"/>
              <w:bottom w:val="single" w:color="545658" w:sz="8" w:space="0"/>
            </w:tcBorders>
          </w:tcPr>
          <w:p w:rsidR="00C31389" w:rsidRDefault="00561FBD" w14:paraId="20D1E13D" w14:textId="77777777">
            <w:pPr>
              <w:pStyle w:val="TableParagraph"/>
              <w:spacing w:before="139"/>
              <w:ind w:right="127"/>
              <w:jc w:val="right"/>
              <w:rPr>
                <w:sz w:val="17"/>
              </w:rPr>
            </w:pPr>
            <w:r>
              <w:rPr>
                <w:spacing w:val="-5"/>
                <w:sz w:val="17"/>
              </w:rPr>
              <w:t>1.5</w:t>
            </w:r>
          </w:p>
        </w:tc>
        <w:tc>
          <w:tcPr>
            <w:tcW w:w="631" w:type="dxa"/>
            <w:tcBorders>
              <w:top w:val="single" w:color="DCDDDE" w:sz="4" w:space="0"/>
              <w:bottom w:val="single" w:color="545658" w:sz="8" w:space="0"/>
            </w:tcBorders>
          </w:tcPr>
          <w:p w:rsidR="00C31389" w:rsidRDefault="00561FBD" w14:paraId="2EBA99CF" w14:textId="77777777">
            <w:pPr>
              <w:pStyle w:val="TableParagraph"/>
              <w:spacing w:before="139"/>
              <w:ind w:left="248" w:right="115"/>
              <w:jc w:val="center"/>
              <w:rPr>
                <w:sz w:val="17"/>
              </w:rPr>
            </w:pPr>
            <w:r>
              <w:rPr>
                <w:spacing w:val="-5"/>
                <w:sz w:val="17"/>
              </w:rPr>
              <w:t>1.4</w:t>
            </w:r>
          </w:p>
        </w:tc>
        <w:tc>
          <w:tcPr>
            <w:tcW w:w="631" w:type="dxa"/>
            <w:tcBorders>
              <w:top w:val="single" w:color="DCDDDE" w:sz="4" w:space="0"/>
              <w:bottom w:val="single" w:color="545658" w:sz="8" w:space="0"/>
            </w:tcBorders>
          </w:tcPr>
          <w:p w:rsidR="00C31389" w:rsidRDefault="00561FBD" w14:paraId="47AB59F7" w14:textId="77777777">
            <w:pPr>
              <w:pStyle w:val="TableParagraph"/>
              <w:spacing w:before="139"/>
              <w:ind w:right="129"/>
              <w:jc w:val="right"/>
              <w:rPr>
                <w:sz w:val="17"/>
              </w:rPr>
            </w:pPr>
            <w:r>
              <w:rPr>
                <w:spacing w:val="-5"/>
                <w:sz w:val="17"/>
              </w:rPr>
              <w:t>1.3</w:t>
            </w:r>
          </w:p>
        </w:tc>
        <w:tc>
          <w:tcPr>
            <w:tcW w:w="631" w:type="dxa"/>
            <w:tcBorders>
              <w:top w:val="single" w:color="DCDDDE" w:sz="4" w:space="0"/>
              <w:bottom w:val="single" w:color="545658" w:sz="8" w:space="0"/>
            </w:tcBorders>
          </w:tcPr>
          <w:p w:rsidR="00C31389" w:rsidRDefault="00561FBD" w14:paraId="13A72250" w14:textId="77777777">
            <w:pPr>
              <w:pStyle w:val="TableParagraph"/>
              <w:spacing w:before="139"/>
              <w:ind w:right="130"/>
              <w:jc w:val="right"/>
              <w:rPr>
                <w:sz w:val="17"/>
              </w:rPr>
            </w:pPr>
            <w:r>
              <w:rPr>
                <w:spacing w:val="-5"/>
                <w:sz w:val="17"/>
              </w:rPr>
              <w:t>1.3</w:t>
            </w:r>
          </w:p>
        </w:tc>
        <w:tc>
          <w:tcPr>
            <w:tcW w:w="631" w:type="dxa"/>
            <w:tcBorders>
              <w:top w:val="single" w:color="DCDDDE" w:sz="4" w:space="0"/>
              <w:bottom w:val="single" w:color="545658" w:sz="8" w:space="0"/>
            </w:tcBorders>
          </w:tcPr>
          <w:p w:rsidR="00C31389" w:rsidRDefault="00561FBD" w14:paraId="0DDC18C7" w14:textId="77777777">
            <w:pPr>
              <w:pStyle w:val="TableParagraph"/>
              <w:spacing w:before="139"/>
              <w:ind w:right="131"/>
              <w:jc w:val="right"/>
              <w:rPr>
                <w:sz w:val="17"/>
              </w:rPr>
            </w:pPr>
            <w:r>
              <w:rPr>
                <w:spacing w:val="-5"/>
                <w:sz w:val="17"/>
              </w:rPr>
              <w:t>1.2</w:t>
            </w:r>
          </w:p>
        </w:tc>
        <w:tc>
          <w:tcPr>
            <w:tcW w:w="631" w:type="dxa"/>
            <w:tcBorders>
              <w:top w:val="single" w:color="DCDDDE" w:sz="4" w:space="0"/>
              <w:bottom w:val="single" w:color="545658" w:sz="8" w:space="0"/>
            </w:tcBorders>
          </w:tcPr>
          <w:p w:rsidR="00C31389" w:rsidRDefault="00561FBD" w14:paraId="4FAF493B" w14:textId="77777777">
            <w:pPr>
              <w:pStyle w:val="TableParagraph"/>
              <w:spacing w:before="139"/>
              <w:ind w:left="241" w:right="116"/>
              <w:jc w:val="center"/>
              <w:rPr>
                <w:sz w:val="17"/>
              </w:rPr>
            </w:pPr>
            <w:r>
              <w:rPr>
                <w:spacing w:val="-5"/>
                <w:sz w:val="17"/>
              </w:rPr>
              <w:t>1.2</w:t>
            </w:r>
          </w:p>
        </w:tc>
        <w:tc>
          <w:tcPr>
            <w:tcW w:w="631" w:type="dxa"/>
            <w:tcBorders>
              <w:top w:val="single" w:color="DCDDDE" w:sz="4" w:space="0"/>
              <w:bottom w:val="single" w:color="545658" w:sz="8" w:space="0"/>
            </w:tcBorders>
          </w:tcPr>
          <w:p w:rsidR="00C31389" w:rsidRDefault="00561FBD" w14:paraId="12994C74" w14:textId="77777777">
            <w:pPr>
              <w:pStyle w:val="TableParagraph"/>
              <w:spacing w:before="139"/>
              <w:ind w:right="133"/>
              <w:jc w:val="right"/>
              <w:rPr>
                <w:sz w:val="17"/>
              </w:rPr>
            </w:pPr>
            <w:r>
              <w:rPr>
                <w:spacing w:val="-5"/>
                <w:sz w:val="17"/>
              </w:rPr>
              <w:t>1.1</w:t>
            </w:r>
          </w:p>
        </w:tc>
        <w:tc>
          <w:tcPr>
            <w:tcW w:w="613" w:type="dxa"/>
            <w:tcBorders>
              <w:top w:val="single" w:color="DCDDDE" w:sz="4" w:space="0"/>
              <w:bottom w:val="single" w:color="545658" w:sz="8" w:space="0"/>
            </w:tcBorders>
          </w:tcPr>
          <w:p w:rsidR="00C31389" w:rsidRDefault="00561FBD" w14:paraId="1E16C6D3" w14:textId="77777777">
            <w:pPr>
              <w:pStyle w:val="TableParagraph"/>
              <w:spacing w:before="139"/>
              <w:ind w:right="116"/>
              <w:jc w:val="right"/>
              <w:rPr>
                <w:sz w:val="17"/>
              </w:rPr>
            </w:pPr>
            <w:r>
              <w:rPr>
                <w:spacing w:val="-5"/>
                <w:sz w:val="17"/>
              </w:rPr>
              <w:t>1.1</w:t>
            </w:r>
          </w:p>
        </w:tc>
      </w:tr>
    </w:tbl>
    <w:p w:rsidR="00C31389" w:rsidRDefault="00561FBD" w14:paraId="3980B6FD" w14:textId="77777777">
      <w:pPr>
        <w:spacing w:before="62"/>
        <w:ind w:left="220"/>
        <w:rPr>
          <w:i/>
          <w:sz w:val="18"/>
        </w:rPr>
      </w:pPr>
      <w:r>
        <w:rPr>
          <w:i/>
          <w:sz w:val="18"/>
        </w:rPr>
        <w:t>Source:</w:t>
      </w:r>
      <w:r>
        <w:rPr>
          <w:i/>
          <w:spacing w:val="-4"/>
          <w:sz w:val="18"/>
        </w:rPr>
        <w:t xml:space="preserve"> </w:t>
      </w:r>
      <w:r>
        <w:rPr>
          <w:i/>
          <w:spacing w:val="-2"/>
          <w:sz w:val="18"/>
        </w:rPr>
        <w:t>Guidehouse</w:t>
      </w:r>
    </w:p>
    <w:p w:rsidR="00C31389" w:rsidRDefault="00C31389" w14:paraId="19F8CD12" w14:textId="77777777">
      <w:pPr>
        <w:pStyle w:val="BodyText"/>
        <w:spacing w:before="9"/>
        <w:rPr>
          <w:i/>
          <w:sz w:val="20"/>
        </w:rPr>
      </w:pPr>
    </w:p>
    <w:p w:rsidR="00C31389" w:rsidRDefault="00561FBD" w14:paraId="78DFF81D" w14:textId="77777777">
      <w:pPr>
        <w:pStyle w:val="ListParagraph"/>
        <w:numPr>
          <w:ilvl w:val="1"/>
          <w:numId w:val="4"/>
        </w:numPr>
        <w:tabs>
          <w:tab w:val="left" w:pos="684"/>
          <w:tab w:val="left" w:pos="940"/>
        </w:tabs>
        <w:ind w:left="940" w:right="911" w:hanging="721"/>
        <w:rPr>
          <w:b/>
          <w:sz w:val="28"/>
        </w:rPr>
      </w:pPr>
      <w:bookmarkStart w:name="J.3_Impacts_Converted_to_Energy_Savings_" w:id="705"/>
      <w:bookmarkEnd w:id="705"/>
      <w:r>
        <w:rPr>
          <w:b/>
          <w:sz w:val="28"/>
        </w:rPr>
        <w:t>Impacts</w:t>
      </w:r>
      <w:r>
        <w:rPr>
          <w:b/>
          <w:spacing w:val="-6"/>
          <w:sz w:val="28"/>
        </w:rPr>
        <w:t xml:space="preserve"> </w:t>
      </w:r>
      <w:r>
        <w:rPr>
          <w:b/>
          <w:sz w:val="28"/>
        </w:rPr>
        <w:t>Converted</w:t>
      </w:r>
      <w:r>
        <w:rPr>
          <w:b/>
          <w:spacing w:val="-7"/>
          <w:sz w:val="28"/>
        </w:rPr>
        <w:t xml:space="preserve"> </w:t>
      </w:r>
      <w:r>
        <w:rPr>
          <w:b/>
          <w:sz w:val="28"/>
        </w:rPr>
        <w:t>to</w:t>
      </w:r>
      <w:r>
        <w:rPr>
          <w:b/>
          <w:spacing w:val="-7"/>
          <w:sz w:val="28"/>
        </w:rPr>
        <w:t xml:space="preserve"> </w:t>
      </w:r>
      <w:r>
        <w:rPr>
          <w:b/>
          <w:sz w:val="28"/>
        </w:rPr>
        <w:t>Energy</w:t>
      </w:r>
      <w:r>
        <w:rPr>
          <w:b/>
          <w:spacing w:val="-6"/>
          <w:sz w:val="28"/>
        </w:rPr>
        <w:t xml:space="preserve"> </w:t>
      </w:r>
      <w:r>
        <w:rPr>
          <w:b/>
          <w:sz w:val="28"/>
        </w:rPr>
        <w:t>Savings</w:t>
      </w:r>
      <w:r>
        <w:rPr>
          <w:b/>
          <w:spacing w:val="-6"/>
          <w:sz w:val="28"/>
        </w:rPr>
        <w:t xml:space="preserve"> </w:t>
      </w:r>
      <w:r>
        <w:rPr>
          <w:b/>
          <w:sz w:val="28"/>
        </w:rPr>
        <w:t>Credits</w:t>
      </w:r>
      <w:r>
        <w:rPr>
          <w:b/>
          <w:spacing w:val="-6"/>
          <w:sz w:val="28"/>
        </w:rPr>
        <w:t xml:space="preserve"> </w:t>
      </w:r>
      <w:r>
        <w:rPr>
          <w:b/>
          <w:sz w:val="28"/>
        </w:rPr>
        <w:t>–</w:t>
      </w:r>
      <w:r>
        <w:rPr>
          <w:b/>
          <w:spacing w:val="-6"/>
          <w:sz w:val="28"/>
        </w:rPr>
        <w:t xml:space="preserve"> </w:t>
      </w:r>
      <w:r>
        <w:rPr>
          <w:b/>
          <w:sz w:val="28"/>
        </w:rPr>
        <w:t>2022</w:t>
      </w:r>
      <w:r>
        <w:rPr>
          <w:b/>
          <w:spacing w:val="-17"/>
          <w:sz w:val="28"/>
        </w:rPr>
        <w:t xml:space="preserve"> </w:t>
      </w:r>
      <w:r>
        <w:rPr>
          <w:b/>
          <w:sz w:val="28"/>
        </w:rPr>
        <w:t xml:space="preserve">Avoided </w:t>
      </w:r>
      <w:r>
        <w:rPr>
          <w:b/>
          <w:spacing w:val="-4"/>
          <w:sz w:val="28"/>
        </w:rPr>
        <w:t>Costs</w:t>
      </w:r>
    </w:p>
    <w:p w:rsidR="00C31389" w:rsidRDefault="00561FBD" w14:paraId="433E62CD" w14:textId="77777777">
      <w:pPr>
        <w:pStyle w:val="BodyText"/>
        <w:spacing w:before="241"/>
        <w:ind w:left="220" w:right="165"/>
      </w:pPr>
      <w:r>
        <w:t>This section presents impacts in terms of energy savings credits using the 2022 vintage of avoided costs. The tables reflect FS with their net electric energy savings credit (decreased gas consumption converted into kWh savings credit minus i</w:t>
      </w:r>
      <w:r>
        <w:t>ncreased electric consumption). In this section, FS savings are only expressed in kWh units—no gas units are used to express FS savings.</w:t>
      </w:r>
      <w:r>
        <w:rPr>
          <w:spacing w:val="40"/>
        </w:rPr>
        <w:t xml:space="preserve"> </w:t>
      </w:r>
      <w:r>
        <w:t>The</w:t>
      </w:r>
      <w:r>
        <w:rPr>
          <w:spacing w:val="-3"/>
        </w:rPr>
        <w:t xml:space="preserve"> </w:t>
      </w:r>
      <w:r>
        <w:t>converted</w:t>
      </w:r>
      <w:r>
        <w:rPr>
          <w:spacing w:val="-4"/>
        </w:rPr>
        <w:t xml:space="preserve"> </w:t>
      </w:r>
      <w:r>
        <w:t>values</w:t>
      </w:r>
      <w:r>
        <w:rPr>
          <w:spacing w:val="-3"/>
        </w:rPr>
        <w:t xml:space="preserve"> </w:t>
      </w:r>
      <w:r>
        <w:t>are</w:t>
      </w:r>
      <w:r>
        <w:rPr>
          <w:spacing w:val="-3"/>
        </w:rPr>
        <w:t xml:space="preserve"> </w:t>
      </w:r>
      <w:r>
        <w:t>provided</w:t>
      </w:r>
      <w:r>
        <w:rPr>
          <w:spacing w:val="-3"/>
        </w:rPr>
        <w:t xml:space="preserve"> </w:t>
      </w:r>
      <w:r>
        <w:t>for</w:t>
      </w:r>
      <w:r>
        <w:rPr>
          <w:spacing w:val="-3"/>
        </w:rPr>
        <w:t xml:space="preserve"> </w:t>
      </w:r>
      <w:r>
        <w:t>historical</w:t>
      </w:r>
      <w:r>
        <w:rPr>
          <w:spacing w:val="-3"/>
        </w:rPr>
        <w:t xml:space="preserve"> </w:t>
      </w:r>
      <w:r>
        <w:t>comparison</w:t>
      </w:r>
      <w:r>
        <w:rPr>
          <w:spacing w:val="-3"/>
        </w:rPr>
        <w:t xml:space="preserve"> </w:t>
      </w:r>
      <w:r>
        <w:t>to</w:t>
      </w:r>
      <w:r>
        <w:rPr>
          <w:spacing w:val="-3"/>
        </w:rPr>
        <w:t xml:space="preserve"> </w:t>
      </w:r>
      <w:r>
        <w:t>the</w:t>
      </w:r>
      <w:r>
        <w:rPr>
          <w:spacing w:val="-3"/>
        </w:rPr>
        <w:t xml:space="preserve"> </w:t>
      </w:r>
      <w:r>
        <w:t>2021</w:t>
      </w:r>
      <w:r>
        <w:rPr>
          <w:spacing w:val="-3"/>
        </w:rPr>
        <w:t xml:space="preserve"> </w:t>
      </w:r>
      <w:r>
        <w:t>PG</w:t>
      </w:r>
      <w:r>
        <w:rPr>
          <w:spacing w:val="-4"/>
        </w:rPr>
        <w:t xml:space="preserve"> </w:t>
      </w:r>
      <w:r>
        <w:t>Study</w:t>
      </w:r>
      <w:r>
        <w:rPr>
          <w:spacing w:val="-3"/>
        </w:rPr>
        <w:t xml:space="preserve"> </w:t>
      </w:r>
      <w:r>
        <w:t>and not used for goal setting.</w:t>
      </w:r>
    </w:p>
    <w:p w:rsidR="00C31389" w:rsidRDefault="00C31389" w14:paraId="4B612C76" w14:textId="77777777">
      <w:pPr>
        <w:pStyle w:val="BodyText"/>
        <w:spacing w:before="11"/>
        <w:rPr>
          <w:sz w:val="20"/>
        </w:rPr>
      </w:pPr>
    </w:p>
    <w:p w:rsidR="00C31389" w:rsidRDefault="00561FBD" w14:paraId="69F38A79" w14:textId="77777777">
      <w:pPr>
        <w:pStyle w:val="ListParagraph"/>
        <w:numPr>
          <w:ilvl w:val="2"/>
          <w:numId w:val="4"/>
        </w:numPr>
        <w:tabs>
          <w:tab w:val="left" w:pos="936"/>
        </w:tabs>
        <w:ind w:left="936" w:hanging="716"/>
        <w:rPr>
          <w:b/>
          <w:sz w:val="24"/>
        </w:rPr>
      </w:pPr>
      <w:bookmarkStart w:name="J.3.1_PG&amp;E" w:id="706"/>
      <w:bookmarkEnd w:id="706"/>
      <w:r>
        <w:rPr>
          <w:b/>
          <w:spacing w:val="-4"/>
          <w:sz w:val="24"/>
        </w:rPr>
        <w:t>PG&amp;E</w:t>
      </w:r>
    </w:p>
    <w:p w:rsidR="00C31389" w:rsidRDefault="00C31389" w14:paraId="3F143B78" w14:textId="77777777">
      <w:pPr>
        <w:pStyle w:val="BodyText"/>
        <w:spacing w:before="9"/>
        <w:rPr>
          <w:b/>
          <w:sz w:val="20"/>
        </w:rPr>
      </w:pPr>
    </w:p>
    <w:p w:rsidR="00C31389" w:rsidRDefault="00561FBD" w14:paraId="063A3992" w14:textId="77777777">
      <w:pPr>
        <w:pStyle w:val="Heading7"/>
        <w:spacing w:before="1"/>
        <w:ind w:left="1979" w:right="1961"/>
        <w:jc w:val="center"/>
      </w:pPr>
      <w:bookmarkStart w:name="_bookmark538" w:id="707"/>
      <w:bookmarkEnd w:id="707"/>
      <w:r>
        <w:t>Table</w:t>
      </w:r>
      <w:r>
        <w:rPr>
          <w:spacing w:val="-8"/>
        </w:rPr>
        <w:t xml:space="preserve"> </w:t>
      </w:r>
      <w:r>
        <w:t>J-12.</w:t>
      </w:r>
      <w:r>
        <w:rPr>
          <w:spacing w:val="-8"/>
        </w:rPr>
        <w:t xml:space="preserve"> </w:t>
      </w:r>
      <w:r>
        <w:t>PG&amp;E</w:t>
      </w:r>
      <w:r>
        <w:rPr>
          <w:spacing w:val="-8"/>
        </w:rPr>
        <w:t xml:space="preserve"> </w:t>
      </w:r>
      <w:r>
        <w:t>Electric</w:t>
      </w:r>
      <w:r>
        <w:rPr>
          <w:spacing w:val="-7"/>
        </w:rPr>
        <w:t xml:space="preserve"> </w:t>
      </w:r>
      <w:r>
        <w:t>Energy</w:t>
      </w:r>
      <w:r>
        <w:rPr>
          <w:spacing w:val="-7"/>
        </w:rPr>
        <w:t xml:space="preserve"> </w:t>
      </w:r>
      <w:r>
        <w:t>Savings</w:t>
      </w:r>
      <w:r>
        <w:rPr>
          <w:spacing w:val="-7"/>
        </w:rPr>
        <w:t xml:space="preserve"> </w:t>
      </w:r>
      <w:r>
        <w:rPr>
          <w:spacing w:val="-2"/>
        </w:rPr>
        <w:t>(GWh/year)</w:t>
      </w:r>
    </w:p>
    <w:p w:rsidR="00C31389" w:rsidRDefault="00C31389" w14:paraId="02BF5AC1" w14:textId="77777777">
      <w:pPr>
        <w:pStyle w:val="BodyText"/>
        <w:rPr>
          <w:b/>
          <w:sz w:val="10"/>
        </w:rPr>
      </w:pPr>
    </w:p>
    <w:tbl>
      <w:tblPr>
        <w:tblW w:w="0" w:type="auto"/>
        <w:tblInd w:w="214" w:type="dxa"/>
        <w:tblLayout w:type="fixed"/>
        <w:tblCellMar>
          <w:left w:w="0" w:type="dxa"/>
          <w:right w:w="0" w:type="dxa"/>
        </w:tblCellMar>
        <w:tblLook w:val="01E0" w:firstRow="1" w:lastRow="1" w:firstColumn="1" w:lastColumn="1" w:noHBand="0" w:noVBand="0"/>
      </w:tblPr>
      <w:tblGrid>
        <w:gridCol w:w="1363"/>
        <w:gridCol w:w="839"/>
        <w:gridCol w:w="820"/>
        <w:gridCol w:w="688"/>
        <w:gridCol w:w="630"/>
        <w:gridCol w:w="630"/>
        <w:gridCol w:w="630"/>
        <w:gridCol w:w="630"/>
        <w:gridCol w:w="630"/>
        <w:gridCol w:w="630"/>
        <w:gridCol w:w="630"/>
        <w:gridCol w:w="630"/>
        <w:gridCol w:w="623"/>
      </w:tblGrid>
      <w:tr w:rsidR="00C31389" w14:paraId="25F610A4" w14:textId="77777777">
        <w:trPr>
          <w:trHeight w:val="294"/>
        </w:trPr>
        <w:tc>
          <w:tcPr>
            <w:tcW w:w="1363" w:type="dxa"/>
            <w:shd w:val="clear" w:color="auto" w:fill="92D400"/>
          </w:tcPr>
          <w:p w:rsidR="00C31389" w:rsidRDefault="00561FBD" w14:paraId="020940E2" w14:textId="77777777">
            <w:pPr>
              <w:pStyle w:val="TableParagraph"/>
              <w:ind w:left="120"/>
              <w:rPr>
                <w:b/>
                <w:sz w:val="16"/>
              </w:rPr>
            </w:pPr>
            <w:r>
              <w:rPr>
                <w:b/>
                <w:spacing w:val="-4"/>
                <w:sz w:val="16"/>
              </w:rPr>
              <w:t>Year</w:t>
            </w:r>
          </w:p>
        </w:tc>
        <w:tc>
          <w:tcPr>
            <w:tcW w:w="839" w:type="dxa"/>
            <w:shd w:val="clear" w:color="auto" w:fill="92D400"/>
          </w:tcPr>
          <w:p w:rsidR="00C31389" w:rsidRDefault="00561FBD" w14:paraId="380ADC5F" w14:textId="77777777">
            <w:pPr>
              <w:pStyle w:val="TableParagraph"/>
              <w:ind w:right="136"/>
              <w:jc w:val="right"/>
              <w:rPr>
                <w:b/>
                <w:sz w:val="16"/>
              </w:rPr>
            </w:pPr>
            <w:r>
              <w:rPr>
                <w:b/>
                <w:spacing w:val="-4"/>
                <w:sz w:val="16"/>
              </w:rPr>
              <w:t>2024</w:t>
            </w:r>
          </w:p>
        </w:tc>
        <w:tc>
          <w:tcPr>
            <w:tcW w:w="820" w:type="dxa"/>
            <w:shd w:val="clear" w:color="auto" w:fill="92D400"/>
          </w:tcPr>
          <w:p w:rsidR="00C31389" w:rsidRDefault="00561FBD" w14:paraId="13B4F0D1" w14:textId="77777777">
            <w:pPr>
              <w:pStyle w:val="TableParagraph"/>
              <w:ind w:left="136"/>
              <w:rPr>
                <w:b/>
                <w:sz w:val="16"/>
              </w:rPr>
            </w:pPr>
            <w:r>
              <w:rPr>
                <w:b/>
                <w:spacing w:val="-4"/>
                <w:sz w:val="16"/>
              </w:rPr>
              <w:t>2025</w:t>
            </w:r>
          </w:p>
        </w:tc>
        <w:tc>
          <w:tcPr>
            <w:tcW w:w="688" w:type="dxa"/>
            <w:shd w:val="clear" w:color="auto" w:fill="92D400"/>
          </w:tcPr>
          <w:p w:rsidR="00C31389" w:rsidRDefault="00561FBD" w14:paraId="1F8738A0" w14:textId="77777777">
            <w:pPr>
              <w:pStyle w:val="TableParagraph"/>
              <w:ind w:left="131" w:right="31"/>
              <w:jc w:val="center"/>
              <w:rPr>
                <w:b/>
                <w:sz w:val="16"/>
              </w:rPr>
            </w:pPr>
            <w:r>
              <w:rPr>
                <w:b/>
                <w:spacing w:val="-4"/>
                <w:sz w:val="16"/>
              </w:rPr>
              <w:t>2026</w:t>
            </w:r>
          </w:p>
        </w:tc>
        <w:tc>
          <w:tcPr>
            <w:tcW w:w="630" w:type="dxa"/>
            <w:shd w:val="clear" w:color="auto" w:fill="92D400"/>
          </w:tcPr>
          <w:p w:rsidR="00C31389" w:rsidRDefault="00561FBD" w14:paraId="21941C88" w14:textId="77777777">
            <w:pPr>
              <w:pStyle w:val="TableParagraph"/>
              <w:ind w:right="114"/>
              <w:jc w:val="right"/>
              <w:rPr>
                <w:b/>
                <w:sz w:val="16"/>
              </w:rPr>
            </w:pPr>
            <w:r>
              <w:rPr>
                <w:b/>
                <w:spacing w:val="-4"/>
                <w:sz w:val="16"/>
              </w:rPr>
              <w:t>2027</w:t>
            </w:r>
          </w:p>
        </w:tc>
        <w:tc>
          <w:tcPr>
            <w:tcW w:w="630" w:type="dxa"/>
            <w:shd w:val="clear" w:color="auto" w:fill="92D400"/>
          </w:tcPr>
          <w:p w:rsidR="00C31389" w:rsidRDefault="00561FBD" w14:paraId="4A174F0B" w14:textId="77777777">
            <w:pPr>
              <w:pStyle w:val="TableParagraph"/>
              <w:ind w:right="114"/>
              <w:jc w:val="right"/>
              <w:rPr>
                <w:b/>
                <w:sz w:val="16"/>
              </w:rPr>
            </w:pPr>
            <w:r>
              <w:rPr>
                <w:b/>
                <w:spacing w:val="-4"/>
                <w:sz w:val="16"/>
              </w:rPr>
              <w:t>2028</w:t>
            </w:r>
          </w:p>
        </w:tc>
        <w:tc>
          <w:tcPr>
            <w:tcW w:w="630" w:type="dxa"/>
            <w:shd w:val="clear" w:color="auto" w:fill="92D400"/>
          </w:tcPr>
          <w:p w:rsidR="00C31389" w:rsidRDefault="00561FBD" w14:paraId="7B403754" w14:textId="77777777">
            <w:pPr>
              <w:pStyle w:val="TableParagraph"/>
              <w:ind w:right="114"/>
              <w:jc w:val="right"/>
              <w:rPr>
                <w:b/>
                <w:sz w:val="16"/>
              </w:rPr>
            </w:pPr>
            <w:r>
              <w:rPr>
                <w:b/>
                <w:spacing w:val="-4"/>
                <w:sz w:val="16"/>
              </w:rPr>
              <w:t>2029</w:t>
            </w:r>
          </w:p>
        </w:tc>
        <w:tc>
          <w:tcPr>
            <w:tcW w:w="630" w:type="dxa"/>
            <w:shd w:val="clear" w:color="auto" w:fill="92D400"/>
          </w:tcPr>
          <w:p w:rsidR="00C31389" w:rsidRDefault="00561FBD" w14:paraId="699785A7" w14:textId="77777777">
            <w:pPr>
              <w:pStyle w:val="TableParagraph"/>
              <w:ind w:right="114"/>
              <w:jc w:val="right"/>
              <w:rPr>
                <w:b/>
                <w:sz w:val="16"/>
              </w:rPr>
            </w:pPr>
            <w:r>
              <w:rPr>
                <w:b/>
                <w:spacing w:val="-4"/>
                <w:sz w:val="16"/>
              </w:rPr>
              <w:t>2030</w:t>
            </w:r>
          </w:p>
        </w:tc>
        <w:tc>
          <w:tcPr>
            <w:tcW w:w="630" w:type="dxa"/>
            <w:shd w:val="clear" w:color="auto" w:fill="92D400"/>
          </w:tcPr>
          <w:p w:rsidR="00C31389" w:rsidRDefault="00561FBD" w14:paraId="74EF467C" w14:textId="77777777">
            <w:pPr>
              <w:pStyle w:val="TableParagraph"/>
              <w:ind w:right="114"/>
              <w:jc w:val="right"/>
              <w:rPr>
                <w:b/>
                <w:sz w:val="16"/>
              </w:rPr>
            </w:pPr>
            <w:r>
              <w:rPr>
                <w:b/>
                <w:spacing w:val="-4"/>
                <w:sz w:val="16"/>
              </w:rPr>
              <w:t>2031</w:t>
            </w:r>
          </w:p>
        </w:tc>
        <w:tc>
          <w:tcPr>
            <w:tcW w:w="630" w:type="dxa"/>
            <w:shd w:val="clear" w:color="auto" w:fill="92D400"/>
          </w:tcPr>
          <w:p w:rsidR="00C31389" w:rsidRDefault="00561FBD" w14:paraId="1A6FF5B1" w14:textId="77777777">
            <w:pPr>
              <w:pStyle w:val="TableParagraph"/>
              <w:ind w:right="114"/>
              <w:jc w:val="right"/>
              <w:rPr>
                <w:b/>
                <w:sz w:val="16"/>
              </w:rPr>
            </w:pPr>
            <w:r>
              <w:rPr>
                <w:b/>
                <w:spacing w:val="-4"/>
                <w:sz w:val="16"/>
              </w:rPr>
              <w:t>2032</w:t>
            </w:r>
          </w:p>
        </w:tc>
        <w:tc>
          <w:tcPr>
            <w:tcW w:w="630" w:type="dxa"/>
            <w:shd w:val="clear" w:color="auto" w:fill="92D400"/>
          </w:tcPr>
          <w:p w:rsidR="00C31389" w:rsidRDefault="00561FBD" w14:paraId="5431377B" w14:textId="77777777">
            <w:pPr>
              <w:pStyle w:val="TableParagraph"/>
              <w:ind w:right="114"/>
              <w:jc w:val="right"/>
              <w:rPr>
                <w:b/>
                <w:sz w:val="16"/>
              </w:rPr>
            </w:pPr>
            <w:r>
              <w:rPr>
                <w:b/>
                <w:spacing w:val="-4"/>
                <w:sz w:val="16"/>
              </w:rPr>
              <w:t>2033</w:t>
            </w:r>
          </w:p>
        </w:tc>
        <w:tc>
          <w:tcPr>
            <w:tcW w:w="630" w:type="dxa"/>
            <w:shd w:val="clear" w:color="auto" w:fill="92D400"/>
          </w:tcPr>
          <w:p w:rsidR="00C31389" w:rsidRDefault="00561FBD" w14:paraId="7F2A3BA7" w14:textId="77777777">
            <w:pPr>
              <w:pStyle w:val="TableParagraph"/>
              <w:ind w:right="114"/>
              <w:jc w:val="right"/>
              <w:rPr>
                <w:b/>
                <w:sz w:val="16"/>
              </w:rPr>
            </w:pPr>
            <w:r>
              <w:rPr>
                <w:b/>
                <w:spacing w:val="-4"/>
                <w:sz w:val="16"/>
              </w:rPr>
              <w:t>2034</w:t>
            </w:r>
          </w:p>
        </w:tc>
        <w:tc>
          <w:tcPr>
            <w:tcW w:w="623" w:type="dxa"/>
            <w:shd w:val="clear" w:color="auto" w:fill="92D400"/>
          </w:tcPr>
          <w:p w:rsidR="00C31389" w:rsidRDefault="00561FBD" w14:paraId="123F6AEF" w14:textId="77777777">
            <w:pPr>
              <w:pStyle w:val="TableParagraph"/>
              <w:ind w:right="107"/>
              <w:jc w:val="right"/>
              <w:rPr>
                <w:b/>
                <w:sz w:val="16"/>
              </w:rPr>
            </w:pPr>
            <w:r>
              <w:rPr>
                <w:b/>
                <w:spacing w:val="-4"/>
                <w:sz w:val="16"/>
              </w:rPr>
              <w:t>2035</w:t>
            </w:r>
          </w:p>
        </w:tc>
      </w:tr>
      <w:tr w:rsidR="00C31389" w14:paraId="6D0E6D3D" w14:textId="77777777">
        <w:trPr>
          <w:trHeight w:val="274"/>
        </w:trPr>
        <w:tc>
          <w:tcPr>
            <w:tcW w:w="9373" w:type="dxa"/>
            <w:gridSpan w:val="13"/>
            <w:tcBorders>
              <w:bottom w:val="single" w:color="DCDDDE" w:sz="4" w:space="0"/>
            </w:tcBorders>
            <w:shd w:val="clear" w:color="auto" w:fill="BEBEBE"/>
          </w:tcPr>
          <w:p w:rsidR="00C31389" w:rsidRDefault="00561FBD" w14:paraId="6BE937CC" w14:textId="77777777">
            <w:pPr>
              <w:pStyle w:val="TableParagraph"/>
              <w:spacing w:before="41"/>
              <w:ind w:left="120"/>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1CCC10CC" w14:textId="77777777">
        <w:trPr>
          <w:trHeight w:val="275"/>
        </w:trPr>
        <w:tc>
          <w:tcPr>
            <w:tcW w:w="1363" w:type="dxa"/>
            <w:tcBorders>
              <w:top w:val="single" w:color="DCDDDE" w:sz="4" w:space="0"/>
              <w:bottom w:val="single" w:color="DCDDDE" w:sz="4" w:space="0"/>
            </w:tcBorders>
          </w:tcPr>
          <w:p w:rsidR="00C31389" w:rsidRDefault="00561FBD" w14:paraId="5D81BF29" w14:textId="77777777">
            <w:pPr>
              <w:pStyle w:val="TableParagraph"/>
              <w:spacing w:before="42"/>
              <w:ind w:left="120"/>
              <w:rPr>
                <w:sz w:val="17"/>
              </w:rPr>
            </w:pPr>
            <w:r>
              <w:rPr>
                <w:spacing w:val="-5"/>
                <w:sz w:val="17"/>
              </w:rPr>
              <w:t>EE</w:t>
            </w:r>
          </w:p>
        </w:tc>
        <w:tc>
          <w:tcPr>
            <w:tcW w:w="839" w:type="dxa"/>
            <w:tcBorders>
              <w:top w:val="single" w:color="DCDDDE" w:sz="4" w:space="0"/>
              <w:bottom w:val="single" w:color="D9D9D9" w:sz="8" w:space="0"/>
            </w:tcBorders>
          </w:tcPr>
          <w:p w:rsidR="00C31389" w:rsidRDefault="00561FBD" w14:paraId="558F676D" w14:textId="77777777">
            <w:pPr>
              <w:pStyle w:val="TableParagraph"/>
              <w:spacing w:before="42"/>
              <w:ind w:right="135"/>
              <w:jc w:val="right"/>
              <w:rPr>
                <w:sz w:val="17"/>
              </w:rPr>
            </w:pPr>
            <w:r>
              <w:rPr>
                <w:spacing w:val="-4"/>
                <w:sz w:val="17"/>
              </w:rPr>
              <w:t>81.8</w:t>
            </w:r>
          </w:p>
        </w:tc>
        <w:tc>
          <w:tcPr>
            <w:tcW w:w="820" w:type="dxa"/>
            <w:tcBorders>
              <w:top w:val="single" w:color="DCDDDE" w:sz="4" w:space="0"/>
              <w:bottom w:val="single" w:color="D9D9D9" w:sz="8" w:space="0"/>
            </w:tcBorders>
          </w:tcPr>
          <w:p w:rsidR="00C31389" w:rsidRDefault="00561FBD" w14:paraId="797FB123" w14:textId="77777777">
            <w:pPr>
              <w:pStyle w:val="TableParagraph"/>
              <w:spacing w:before="42"/>
              <w:ind w:right="145"/>
              <w:jc w:val="right"/>
              <w:rPr>
                <w:sz w:val="17"/>
              </w:rPr>
            </w:pPr>
            <w:r>
              <w:rPr>
                <w:spacing w:val="-4"/>
                <w:sz w:val="17"/>
              </w:rPr>
              <w:t>76.7</w:t>
            </w:r>
          </w:p>
        </w:tc>
        <w:tc>
          <w:tcPr>
            <w:tcW w:w="688" w:type="dxa"/>
            <w:tcBorders>
              <w:top w:val="single" w:color="DCDDDE" w:sz="4" w:space="0"/>
              <w:bottom w:val="single" w:color="D9D9D9" w:sz="8" w:space="0"/>
            </w:tcBorders>
          </w:tcPr>
          <w:p w:rsidR="00C31389" w:rsidRDefault="00561FBD" w14:paraId="32BB852D" w14:textId="77777777">
            <w:pPr>
              <w:pStyle w:val="TableParagraph"/>
              <w:spacing w:before="42"/>
              <w:ind w:left="131" w:right="5"/>
              <w:jc w:val="center"/>
              <w:rPr>
                <w:sz w:val="17"/>
              </w:rPr>
            </w:pPr>
            <w:r>
              <w:rPr>
                <w:spacing w:val="-4"/>
                <w:sz w:val="17"/>
              </w:rPr>
              <w:t>68.0</w:t>
            </w:r>
          </w:p>
        </w:tc>
        <w:tc>
          <w:tcPr>
            <w:tcW w:w="630" w:type="dxa"/>
            <w:tcBorders>
              <w:top w:val="single" w:color="DCDDDE" w:sz="4" w:space="0"/>
              <w:bottom w:val="single" w:color="D9D9D9" w:sz="8" w:space="0"/>
            </w:tcBorders>
          </w:tcPr>
          <w:p w:rsidR="00C31389" w:rsidRDefault="00561FBD" w14:paraId="5EF0D3C1" w14:textId="77777777">
            <w:pPr>
              <w:pStyle w:val="TableParagraph"/>
              <w:spacing w:before="42"/>
              <w:ind w:right="113"/>
              <w:jc w:val="right"/>
              <w:rPr>
                <w:sz w:val="17"/>
              </w:rPr>
            </w:pPr>
            <w:r>
              <w:rPr>
                <w:spacing w:val="-4"/>
                <w:sz w:val="17"/>
              </w:rPr>
              <w:t>59.9</w:t>
            </w:r>
          </w:p>
        </w:tc>
        <w:tc>
          <w:tcPr>
            <w:tcW w:w="630" w:type="dxa"/>
            <w:tcBorders>
              <w:top w:val="single" w:color="DCDDDE" w:sz="4" w:space="0"/>
              <w:bottom w:val="single" w:color="D9D9D9" w:sz="8" w:space="0"/>
            </w:tcBorders>
          </w:tcPr>
          <w:p w:rsidR="00C31389" w:rsidRDefault="00561FBD" w14:paraId="57F88D18" w14:textId="77777777">
            <w:pPr>
              <w:pStyle w:val="TableParagraph"/>
              <w:spacing w:before="42"/>
              <w:ind w:right="113"/>
              <w:jc w:val="right"/>
              <w:rPr>
                <w:sz w:val="17"/>
              </w:rPr>
            </w:pPr>
            <w:r>
              <w:rPr>
                <w:spacing w:val="-4"/>
                <w:sz w:val="17"/>
              </w:rPr>
              <w:t>58.5</w:t>
            </w:r>
          </w:p>
        </w:tc>
        <w:tc>
          <w:tcPr>
            <w:tcW w:w="630" w:type="dxa"/>
            <w:tcBorders>
              <w:top w:val="single" w:color="DCDDDE" w:sz="4" w:space="0"/>
              <w:bottom w:val="single" w:color="D9D9D9" w:sz="8" w:space="0"/>
            </w:tcBorders>
          </w:tcPr>
          <w:p w:rsidR="00C31389" w:rsidRDefault="00561FBD" w14:paraId="7549C6D4" w14:textId="77777777">
            <w:pPr>
              <w:pStyle w:val="TableParagraph"/>
              <w:spacing w:before="42"/>
              <w:ind w:right="113"/>
              <w:jc w:val="right"/>
              <w:rPr>
                <w:sz w:val="17"/>
              </w:rPr>
            </w:pPr>
            <w:r>
              <w:rPr>
                <w:spacing w:val="-4"/>
                <w:sz w:val="17"/>
              </w:rPr>
              <w:t>55.0</w:t>
            </w:r>
          </w:p>
        </w:tc>
        <w:tc>
          <w:tcPr>
            <w:tcW w:w="630" w:type="dxa"/>
            <w:tcBorders>
              <w:top w:val="single" w:color="DCDDDE" w:sz="4" w:space="0"/>
              <w:bottom w:val="single" w:color="D9D9D9" w:sz="8" w:space="0"/>
            </w:tcBorders>
          </w:tcPr>
          <w:p w:rsidR="00C31389" w:rsidRDefault="00561FBD" w14:paraId="2A5DAF8C" w14:textId="77777777">
            <w:pPr>
              <w:pStyle w:val="TableParagraph"/>
              <w:spacing w:before="42"/>
              <w:ind w:right="113"/>
              <w:jc w:val="right"/>
              <w:rPr>
                <w:sz w:val="17"/>
              </w:rPr>
            </w:pPr>
            <w:r>
              <w:rPr>
                <w:spacing w:val="-4"/>
                <w:sz w:val="17"/>
              </w:rPr>
              <w:t>62.5</w:t>
            </w:r>
          </w:p>
        </w:tc>
        <w:tc>
          <w:tcPr>
            <w:tcW w:w="630" w:type="dxa"/>
            <w:tcBorders>
              <w:top w:val="single" w:color="DCDDDE" w:sz="4" w:space="0"/>
              <w:bottom w:val="single" w:color="D9D9D9" w:sz="8" w:space="0"/>
            </w:tcBorders>
          </w:tcPr>
          <w:p w:rsidR="00C31389" w:rsidRDefault="00561FBD" w14:paraId="67246380" w14:textId="77777777">
            <w:pPr>
              <w:pStyle w:val="TableParagraph"/>
              <w:spacing w:before="42"/>
              <w:ind w:right="113"/>
              <w:jc w:val="right"/>
              <w:rPr>
                <w:sz w:val="17"/>
              </w:rPr>
            </w:pPr>
            <w:r>
              <w:rPr>
                <w:spacing w:val="-4"/>
                <w:sz w:val="17"/>
              </w:rPr>
              <w:t>55.6</w:t>
            </w:r>
          </w:p>
        </w:tc>
        <w:tc>
          <w:tcPr>
            <w:tcW w:w="630" w:type="dxa"/>
            <w:tcBorders>
              <w:top w:val="single" w:color="DCDDDE" w:sz="4" w:space="0"/>
              <w:bottom w:val="single" w:color="D9D9D9" w:sz="8" w:space="0"/>
            </w:tcBorders>
          </w:tcPr>
          <w:p w:rsidR="00C31389" w:rsidRDefault="00561FBD" w14:paraId="7A0A16F0" w14:textId="77777777">
            <w:pPr>
              <w:pStyle w:val="TableParagraph"/>
              <w:spacing w:before="42"/>
              <w:ind w:right="113"/>
              <w:jc w:val="right"/>
              <w:rPr>
                <w:sz w:val="17"/>
              </w:rPr>
            </w:pPr>
            <w:r>
              <w:rPr>
                <w:spacing w:val="-4"/>
                <w:sz w:val="17"/>
              </w:rPr>
              <w:t>54.9</w:t>
            </w:r>
          </w:p>
        </w:tc>
        <w:tc>
          <w:tcPr>
            <w:tcW w:w="630" w:type="dxa"/>
            <w:tcBorders>
              <w:top w:val="single" w:color="DCDDDE" w:sz="4" w:space="0"/>
              <w:bottom w:val="single" w:color="D9D9D9" w:sz="8" w:space="0"/>
            </w:tcBorders>
          </w:tcPr>
          <w:p w:rsidR="00C31389" w:rsidRDefault="00561FBD" w14:paraId="701EF589" w14:textId="77777777">
            <w:pPr>
              <w:pStyle w:val="TableParagraph"/>
              <w:spacing w:before="42"/>
              <w:ind w:right="113"/>
              <w:jc w:val="right"/>
              <w:rPr>
                <w:sz w:val="17"/>
              </w:rPr>
            </w:pPr>
            <w:r>
              <w:rPr>
                <w:spacing w:val="-4"/>
                <w:sz w:val="17"/>
              </w:rPr>
              <w:t>53.7</w:t>
            </w:r>
          </w:p>
        </w:tc>
        <w:tc>
          <w:tcPr>
            <w:tcW w:w="630" w:type="dxa"/>
            <w:tcBorders>
              <w:top w:val="single" w:color="DCDDDE" w:sz="4" w:space="0"/>
              <w:bottom w:val="single" w:color="D9D9D9" w:sz="8" w:space="0"/>
            </w:tcBorders>
          </w:tcPr>
          <w:p w:rsidR="00C31389" w:rsidRDefault="00561FBD" w14:paraId="6EBE8ED0" w14:textId="77777777">
            <w:pPr>
              <w:pStyle w:val="TableParagraph"/>
              <w:spacing w:before="42"/>
              <w:ind w:right="113"/>
              <w:jc w:val="right"/>
              <w:rPr>
                <w:sz w:val="17"/>
              </w:rPr>
            </w:pPr>
            <w:r>
              <w:rPr>
                <w:spacing w:val="-4"/>
                <w:sz w:val="17"/>
              </w:rPr>
              <w:t>53.4</w:t>
            </w:r>
          </w:p>
        </w:tc>
        <w:tc>
          <w:tcPr>
            <w:tcW w:w="623" w:type="dxa"/>
            <w:tcBorders>
              <w:top w:val="single" w:color="DCDDDE" w:sz="4" w:space="0"/>
              <w:bottom w:val="single" w:color="D9D9D9" w:sz="8" w:space="0"/>
            </w:tcBorders>
          </w:tcPr>
          <w:p w:rsidR="00C31389" w:rsidRDefault="00561FBD" w14:paraId="1F79C01E" w14:textId="77777777">
            <w:pPr>
              <w:pStyle w:val="TableParagraph"/>
              <w:spacing w:before="42"/>
              <w:ind w:right="106"/>
              <w:jc w:val="right"/>
              <w:rPr>
                <w:sz w:val="17"/>
              </w:rPr>
            </w:pPr>
            <w:r>
              <w:rPr>
                <w:spacing w:val="-4"/>
                <w:sz w:val="17"/>
              </w:rPr>
              <w:t>53.3</w:t>
            </w:r>
          </w:p>
        </w:tc>
      </w:tr>
      <w:tr w:rsidR="00C31389" w14:paraId="0145A66F" w14:textId="77777777">
        <w:trPr>
          <w:trHeight w:val="275"/>
        </w:trPr>
        <w:tc>
          <w:tcPr>
            <w:tcW w:w="1363" w:type="dxa"/>
            <w:tcBorders>
              <w:top w:val="single" w:color="DCDDDE" w:sz="4" w:space="0"/>
              <w:bottom w:val="single" w:color="DCDDDE" w:sz="4" w:space="0"/>
            </w:tcBorders>
          </w:tcPr>
          <w:p w:rsidR="00C31389" w:rsidRDefault="00561FBD" w14:paraId="5BAD2A0A" w14:textId="77777777">
            <w:pPr>
              <w:pStyle w:val="TableParagraph"/>
              <w:spacing w:before="41"/>
              <w:ind w:left="120"/>
              <w:rPr>
                <w:sz w:val="17"/>
              </w:rPr>
            </w:pPr>
            <w:r>
              <w:rPr>
                <w:spacing w:val="-5"/>
                <w:sz w:val="17"/>
              </w:rPr>
              <w:t>FS</w:t>
            </w:r>
          </w:p>
        </w:tc>
        <w:tc>
          <w:tcPr>
            <w:tcW w:w="839" w:type="dxa"/>
            <w:tcBorders>
              <w:top w:val="single" w:color="D9D9D9" w:sz="8" w:space="0"/>
              <w:bottom w:val="single" w:color="D9D9D9" w:sz="8" w:space="0"/>
            </w:tcBorders>
          </w:tcPr>
          <w:p w:rsidR="00C31389" w:rsidRDefault="00561FBD" w14:paraId="1D32A9DC" w14:textId="77777777">
            <w:pPr>
              <w:pStyle w:val="TableParagraph"/>
              <w:spacing w:before="41"/>
              <w:ind w:right="135"/>
              <w:jc w:val="right"/>
              <w:rPr>
                <w:sz w:val="17"/>
              </w:rPr>
            </w:pPr>
            <w:r>
              <w:rPr>
                <w:spacing w:val="-4"/>
                <w:sz w:val="17"/>
              </w:rPr>
              <w:t>15.5</w:t>
            </w:r>
          </w:p>
        </w:tc>
        <w:tc>
          <w:tcPr>
            <w:tcW w:w="820" w:type="dxa"/>
            <w:tcBorders>
              <w:top w:val="single" w:color="D9D9D9" w:sz="8" w:space="0"/>
              <w:bottom w:val="single" w:color="D9D9D9" w:sz="8" w:space="0"/>
            </w:tcBorders>
          </w:tcPr>
          <w:p w:rsidR="00C31389" w:rsidRDefault="00561FBD" w14:paraId="3BAB29CD" w14:textId="77777777">
            <w:pPr>
              <w:pStyle w:val="TableParagraph"/>
              <w:spacing w:before="41"/>
              <w:ind w:right="145"/>
              <w:jc w:val="right"/>
              <w:rPr>
                <w:sz w:val="17"/>
              </w:rPr>
            </w:pPr>
            <w:r>
              <w:rPr>
                <w:spacing w:val="-4"/>
                <w:sz w:val="17"/>
              </w:rPr>
              <w:t>15.8</w:t>
            </w:r>
          </w:p>
        </w:tc>
        <w:tc>
          <w:tcPr>
            <w:tcW w:w="688" w:type="dxa"/>
            <w:tcBorders>
              <w:top w:val="single" w:color="D9D9D9" w:sz="8" w:space="0"/>
              <w:bottom w:val="single" w:color="D9D9D9" w:sz="8" w:space="0"/>
            </w:tcBorders>
          </w:tcPr>
          <w:p w:rsidR="00C31389" w:rsidRDefault="00561FBD" w14:paraId="306F5EE3" w14:textId="77777777">
            <w:pPr>
              <w:pStyle w:val="TableParagraph"/>
              <w:spacing w:before="41"/>
              <w:ind w:left="131" w:right="5"/>
              <w:jc w:val="center"/>
              <w:rPr>
                <w:sz w:val="17"/>
              </w:rPr>
            </w:pPr>
            <w:r>
              <w:rPr>
                <w:spacing w:val="-4"/>
                <w:sz w:val="17"/>
              </w:rPr>
              <w:t>19.1</w:t>
            </w:r>
          </w:p>
        </w:tc>
        <w:tc>
          <w:tcPr>
            <w:tcW w:w="630" w:type="dxa"/>
            <w:tcBorders>
              <w:top w:val="single" w:color="D9D9D9" w:sz="8" w:space="0"/>
              <w:bottom w:val="single" w:color="D9D9D9" w:sz="8" w:space="0"/>
            </w:tcBorders>
          </w:tcPr>
          <w:p w:rsidR="00C31389" w:rsidRDefault="00561FBD" w14:paraId="3B97F3E5" w14:textId="77777777">
            <w:pPr>
              <w:pStyle w:val="TableParagraph"/>
              <w:spacing w:before="41"/>
              <w:ind w:right="113"/>
              <w:jc w:val="right"/>
              <w:rPr>
                <w:sz w:val="17"/>
              </w:rPr>
            </w:pPr>
            <w:r>
              <w:rPr>
                <w:spacing w:val="-4"/>
                <w:sz w:val="17"/>
              </w:rPr>
              <w:t>19.4</w:t>
            </w:r>
          </w:p>
        </w:tc>
        <w:tc>
          <w:tcPr>
            <w:tcW w:w="630" w:type="dxa"/>
            <w:tcBorders>
              <w:top w:val="single" w:color="D9D9D9" w:sz="8" w:space="0"/>
              <w:bottom w:val="single" w:color="D9D9D9" w:sz="8" w:space="0"/>
            </w:tcBorders>
          </w:tcPr>
          <w:p w:rsidR="00C31389" w:rsidRDefault="00561FBD" w14:paraId="4F747254" w14:textId="77777777">
            <w:pPr>
              <w:pStyle w:val="TableParagraph"/>
              <w:spacing w:before="41"/>
              <w:ind w:right="113"/>
              <w:jc w:val="right"/>
              <w:rPr>
                <w:sz w:val="17"/>
              </w:rPr>
            </w:pPr>
            <w:r>
              <w:rPr>
                <w:spacing w:val="-4"/>
                <w:sz w:val="17"/>
              </w:rPr>
              <w:t>21.2</w:t>
            </w:r>
          </w:p>
        </w:tc>
        <w:tc>
          <w:tcPr>
            <w:tcW w:w="630" w:type="dxa"/>
            <w:tcBorders>
              <w:top w:val="single" w:color="D9D9D9" w:sz="8" w:space="0"/>
              <w:bottom w:val="single" w:color="D9D9D9" w:sz="8" w:space="0"/>
            </w:tcBorders>
          </w:tcPr>
          <w:p w:rsidR="00C31389" w:rsidRDefault="00561FBD" w14:paraId="4152EE10" w14:textId="77777777">
            <w:pPr>
              <w:pStyle w:val="TableParagraph"/>
              <w:spacing w:before="41"/>
              <w:ind w:right="113"/>
              <w:jc w:val="right"/>
              <w:rPr>
                <w:sz w:val="17"/>
              </w:rPr>
            </w:pPr>
            <w:r>
              <w:rPr>
                <w:spacing w:val="-4"/>
                <w:sz w:val="17"/>
              </w:rPr>
              <w:t>24.6</w:t>
            </w:r>
          </w:p>
        </w:tc>
        <w:tc>
          <w:tcPr>
            <w:tcW w:w="630" w:type="dxa"/>
            <w:tcBorders>
              <w:top w:val="single" w:color="D9D9D9" w:sz="8" w:space="0"/>
              <w:bottom w:val="single" w:color="D9D9D9" w:sz="8" w:space="0"/>
            </w:tcBorders>
          </w:tcPr>
          <w:p w:rsidR="00C31389" w:rsidRDefault="00561FBD" w14:paraId="2583A4B8" w14:textId="77777777">
            <w:pPr>
              <w:pStyle w:val="TableParagraph"/>
              <w:spacing w:before="41"/>
              <w:ind w:right="113"/>
              <w:jc w:val="right"/>
              <w:rPr>
                <w:sz w:val="17"/>
              </w:rPr>
            </w:pPr>
            <w:r>
              <w:rPr>
                <w:spacing w:val="-5"/>
                <w:sz w:val="17"/>
              </w:rPr>
              <w:t>0.6</w:t>
            </w:r>
          </w:p>
        </w:tc>
        <w:tc>
          <w:tcPr>
            <w:tcW w:w="630" w:type="dxa"/>
            <w:tcBorders>
              <w:top w:val="single" w:color="D9D9D9" w:sz="8" w:space="0"/>
              <w:bottom w:val="single" w:color="D9D9D9" w:sz="8" w:space="0"/>
            </w:tcBorders>
          </w:tcPr>
          <w:p w:rsidR="00C31389" w:rsidRDefault="00561FBD" w14:paraId="4652F691" w14:textId="77777777">
            <w:pPr>
              <w:pStyle w:val="TableParagraph"/>
              <w:spacing w:before="41"/>
              <w:ind w:right="113"/>
              <w:jc w:val="right"/>
              <w:rPr>
                <w:sz w:val="17"/>
              </w:rPr>
            </w:pPr>
            <w:r>
              <w:rPr>
                <w:spacing w:val="-5"/>
                <w:sz w:val="17"/>
              </w:rPr>
              <w:t>0.6</w:t>
            </w:r>
          </w:p>
        </w:tc>
        <w:tc>
          <w:tcPr>
            <w:tcW w:w="630" w:type="dxa"/>
            <w:tcBorders>
              <w:top w:val="single" w:color="D9D9D9" w:sz="8" w:space="0"/>
              <w:bottom w:val="single" w:color="D9D9D9" w:sz="8" w:space="0"/>
            </w:tcBorders>
          </w:tcPr>
          <w:p w:rsidR="00C31389" w:rsidRDefault="00561FBD" w14:paraId="77C9FCB4" w14:textId="77777777">
            <w:pPr>
              <w:pStyle w:val="TableParagraph"/>
              <w:spacing w:before="41"/>
              <w:ind w:right="113"/>
              <w:jc w:val="right"/>
              <w:rPr>
                <w:sz w:val="17"/>
              </w:rPr>
            </w:pPr>
            <w:r>
              <w:rPr>
                <w:spacing w:val="-5"/>
                <w:sz w:val="17"/>
              </w:rPr>
              <w:t>0.7</w:t>
            </w:r>
          </w:p>
        </w:tc>
        <w:tc>
          <w:tcPr>
            <w:tcW w:w="630" w:type="dxa"/>
            <w:tcBorders>
              <w:top w:val="single" w:color="D9D9D9" w:sz="8" w:space="0"/>
              <w:bottom w:val="single" w:color="D9D9D9" w:sz="8" w:space="0"/>
            </w:tcBorders>
          </w:tcPr>
          <w:p w:rsidR="00C31389" w:rsidRDefault="00561FBD" w14:paraId="1AF0720A" w14:textId="77777777">
            <w:pPr>
              <w:pStyle w:val="TableParagraph"/>
              <w:spacing w:before="41"/>
              <w:ind w:right="113"/>
              <w:jc w:val="right"/>
              <w:rPr>
                <w:sz w:val="17"/>
              </w:rPr>
            </w:pPr>
            <w:r>
              <w:rPr>
                <w:spacing w:val="-5"/>
                <w:sz w:val="17"/>
              </w:rPr>
              <w:t>0.9</w:t>
            </w:r>
          </w:p>
        </w:tc>
        <w:tc>
          <w:tcPr>
            <w:tcW w:w="630" w:type="dxa"/>
            <w:tcBorders>
              <w:top w:val="single" w:color="D9D9D9" w:sz="8" w:space="0"/>
              <w:bottom w:val="single" w:color="D9D9D9" w:sz="8" w:space="0"/>
            </w:tcBorders>
          </w:tcPr>
          <w:p w:rsidR="00C31389" w:rsidRDefault="00561FBD" w14:paraId="1553ABCC" w14:textId="77777777">
            <w:pPr>
              <w:pStyle w:val="TableParagraph"/>
              <w:spacing w:before="41"/>
              <w:ind w:right="113"/>
              <w:jc w:val="right"/>
              <w:rPr>
                <w:sz w:val="17"/>
              </w:rPr>
            </w:pPr>
            <w:r>
              <w:rPr>
                <w:spacing w:val="-5"/>
                <w:sz w:val="17"/>
              </w:rPr>
              <w:t>1.0</w:t>
            </w:r>
          </w:p>
        </w:tc>
        <w:tc>
          <w:tcPr>
            <w:tcW w:w="623" w:type="dxa"/>
            <w:tcBorders>
              <w:top w:val="single" w:color="D9D9D9" w:sz="8" w:space="0"/>
              <w:bottom w:val="single" w:color="D9D9D9" w:sz="8" w:space="0"/>
            </w:tcBorders>
          </w:tcPr>
          <w:p w:rsidR="00C31389" w:rsidRDefault="00561FBD" w14:paraId="45F2737F" w14:textId="77777777">
            <w:pPr>
              <w:pStyle w:val="TableParagraph"/>
              <w:spacing w:before="41"/>
              <w:ind w:right="106"/>
              <w:jc w:val="right"/>
              <w:rPr>
                <w:sz w:val="17"/>
              </w:rPr>
            </w:pPr>
            <w:r>
              <w:rPr>
                <w:spacing w:val="-5"/>
                <w:sz w:val="17"/>
              </w:rPr>
              <w:t>1.0</w:t>
            </w:r>
          </w:p>
        </w:tc>
      </w:tr>
      <w:tr w:rsidR="00C31389" w14:paraId="6BCD1394" w14:textId="77777777">
        <w:trPr>
          <w:trHeight w:val="471"/>
        </w:trPr>
        <w:tc>
          <w:tcPr>
            <w:tcW w:w="1363" w:type="dxa"/>
            <w:tcBorders>
              <w:top w:val="single" w:color="DCDDDE" w:sz="4" w:space="0"/>
              <w:bottom w:val="single" w:color="DCDDDE" w:sz="4" w:space="0"/>
            </w:tcBorders>
          </w:tcPr>
          <w:p w:rsidR="00C31389" w:rsidRDefault="00561FBD" w14:paraId="680E94E3" w14:textId="77777777">
            <w:pPr>
              <w:pStyle w:val="TableParagraph"/>
              <w:spacing w:before="139"/>
              <w:ind w:left="120"/>
              <w:rPr>
                <w:sz w:val="17"/>
              </w:rPr>
            </w:pPr>
            <w:r>
              <w:rPr>
                <w:spacing w:val="-4"/>
                <w:sz w:val="17"/>
              </w:rPr>
              <w:t>BROs</w:t>
            </w:r>
          </w:p>
        </w:tc>
        <w:tc>
          <w:tcPr>
            <w:tcW w:w="839" w:type="dxa"/>
            <w:tcBorders>
              <w:top w:val="single" w:color="D9D9D9" w:sz="8" w:space="0"/>
              <w:bottom w:val="single" w:color="DCDDDE" w:sz="4" w:space="0"/>
            </w:tcBorders>
          </w:tcPr>
          <w:p w:rsidR="00C31389" w:rsidRDefault="00561FBD" w14:paraId="1272BAE2" w14:textId="77777777">
            <w:pPr>
              <w:pStyle w:val="TableParagraph"/>
              <w:spacing w:before="139"/>
              <w:ind w:right="135"/>
              <w:jc w:val="right"/>
              <w:rPr>
                <w:sz w:val="17"/>
              </w:rPr>
            </w:pPr>
            <w:r>
              <w:rPr>
                <w:spacing w:val="-2"/>
                <w:sz w:val="17"/>
              </w:rPr>
              <w:t>231.3</w:t>
            </w:r>
          </w:p>
        </w:tc>
        <w:tc>
          <w:tcPr>
            <w:tcW w:w="820" w:type="dxa"/>
            <w:tcBorders>
              <w:top w:val="single" w:color="D9D9D9" w:sz="8" w:space="0"/>
              <w:bottom w:val="single" w:color="DCDDDE" w:sz="4" w:space="0"/>
            </w:tcBorders>
          </w:tcPr>
          <w:p w:rsidR="00C31389" w:rsidRDefault="00561FBD" w14:paraId="56783D0D" w14:textId="77777777">
            <w:pPr>
              <w:pStyle w:val="TableParagraph"/>
              <w:spacing w:before="139"/>
              <w:ind w:right="145"/>
              <w:jc w:val="right"/>
              <w:rPr>
                <w:sz w:val="17"/>
              </w:rPr>
            </w:pPr>
            <w:r>
              <w:rPr>
                <w:spacing w:val="-2"/>
                <w:sz w:val="17"/>
              </w:rPr>
              <w:t>240.6</w:t>
            </w:r>
          </w:p>
        </w:tc>
        <w:tc>
          <w:tcPr>
            <w:tcW w:w="688" w:type="dxa"/>
            <w:tcBorders>
              <w:top w:val="single" w:color="D9D9D9" w:sz="8" w:space="0"/>
              <w:bottom w:val="single" w:color="DCDDDE" w:sz="4" w:space="0"/>
            </w:tcBorders>
          </w:tcPr>
          <w:p w:rsidR="00C31389" w:rsidRDefault="00561FBD" w14:paraId="5DCB0A77" w14:textId="77777777">
            <w:pPr>
              <w:pStyle w:val="TableParagraph"/>
              <w:spacing w:before="139"/>
              <w:ind w:left="122" w:right="91"/>
              <w:jc w:val="center"/>
              <w:rPr>
                <w:sz w:val="17"/>
              </w:rPr>
            </w:pPr>
            <w:r>
              <w:rPr>
                <w:spacing w:val="-2"/>
                <w:sz w:val="17"/>
              </w:rPr>
              <w:t>250.6</w:t>
            </w:r>
          </w:p>
        </w:tc>
        <w:tc>
          <w:tcPr>
            <w:tcW w:w="630" w:type="dxa"/>
            <w:tcBorders>
              <w:top w:val="single" w:color="D9D9D9" w:sz="8" w:space="0"/>
              <w:bottom w:val="single" w:color="DCDDDE" w:sz="4" w:space="0"/>
            </w:tcBorders>
          </w:tcPr>
          <w:p w:rsidR="00C31389" w:rsidRDefault="00561FBD" w14:paraId="515D62E7" w14:textId="77777777">
            <w:pPr>
              <w:pStyle w:val="TableParagraph"/>
              <w:ind w:right="112"/>
              <w:jc w:val="right"/>
              <w:rPr>
                <w:sz w:val="17"/>
              </w:rPr>
            </w:pPr>
            <w:r>
              <w:rPr>
                <w:spacing w:val="-4"/>
                <w:sz w:val="17"/>
              </w:rPr>
              <w:t>261.</w:t>
            </w:r>
          </w:p>
          <w:p w:rsidR="00C31389" w:rsidRDefault="00561FBD" w14:paraId="06A8126F"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78D7EFFB" w14:textId="77777777">
            <w:pPr>
              <w:pStyle w:val="TableParagraph"/>
              <w:ind w:right="112"/>
              <w:jc w:val="right"/>
              <w:rPr>
                <w:sz w:val="17"/>
              </w:rPr>
            </w:pPr>
            <w:r>
              <w:rPr>
                <w:spacing w:val="-4"/>
                <w:sz w:val="17"/>
              </w:rPr>
              <w:t>271.</w:t>
            </w:r>
          </w:p>
          <w:p w:rsidR="00C31389" w:rsidRDefault="00561FBD" w14:paraId="0F1E7137" w14:textId="77777777">
            <w:pPr>
              <w:pStyle w:val="TableParagraph"/>
              <w:spacing w:before="0"/>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1DE9F65E" w14:textId="77777777">
            <w:pPr>
              <w:pStyle w:val="TableParagraph"/>
              <w:ind w:right="112"/>
              <w:jc w:val="right"/>
              <w:rPr>
                <w:sz w:val="17"/>
              </w:rPr>
            </w:pPr>
            <w:r>
              <w:rPr>
                <w:spacing w:val="-4"/>
                <w:sz w:val="17"/>
              </w:rPr>
              <w:t>283.</w:t>
            </w:r>
          </w:p>
          <w:p w:rsidR="00C31389" w:rsidRDefault="00561FBD" w14:paraId="339D2E25" w14:textId="77777777">
            <w:pPr>
              <w:pStyle w:val="TableParagraph"/>
              <w:spacing w:before="0"/>
              <w:ind w:right="113"/>
              <w:jc w:val="right"/>
              <w:rPr>
                <w:sz w:val="17"/>
              </w:rPr>
            </w:pPr>
            <w:r>
              <w:rPr>
                <w:sz w:val="17"/>
              </w:rPr>
              <w:t>1</w:t>
            </w:r>
          </w:p>
        </w:tc>
        <w:tc>
          <w:tcPr>
            <w:tcW w:w="630" w:type="dxa"/>
            <w:tcBorders>
              <w:top w:val="single" w:color="D9D9D9" w:sz="8" w:space="0"/>
              <w:bottom w:val="single" w:color="DCDDDE" w:sz="4" w:space="0"/>
            </w:tcBorders>
          </w:tcPr>
          <w:p w:rsidR="00C31389" w:rsidRDefault="00561FBD" w14:paraId="30000B8C" w14:textId="77777777">
            <w:pPr>
              <w:pStyle w:val="TableParagraph"/>
              <w:ind w:right="112"/>
              <w:jc w:val="right"/>
              <w:rPr>
                <w:sz w:val="17"/>
              </w:rPr>
            </w:pPr>
            <w:r>
              <w:rPr>
                <w:spacing w:val="-4"/>
                <w:sz w:val="17"/>
              </w:rPr>
              <w:t>295.</w:t>
            </w:r>
          </w:p>
          <w:p w:rsidR="00C31389" w:rsidRDefault="00561FBD" w14:paraId="0CC7C5FD" w14:textId="77777777">
            <w:pPr>
              <w:pStyle w:val="TableParagraph"/>
              <w:spacing w:before="0"/>
              <w:ind w:right="113"/>
              <w:jc w:val="right"/>
              <w:rPr>
                <w:sz w:val="17"/>
              </w:rPr>
            </w:pPr>
            <w:r>
              <w:rPr>
                <w:sz w:val="17"/>
              </w:rPr>
              <w:t>8</w:t>
            </w:r>
          </w:p>
        </w:tc>
        <w:tc>
          <w:tcPr>
            <w:tcW w:w="630" w:type="dxa"/>
            <w:tcBorders>
              <w:top w:val="single" w:color="D9D9D9" w:sz="8" w:space="0"/>
              <w:bottom w:val="single" w:color="DCDDDE" w:sz="4" w:space="0"/>
            </w:tcBorders>
          </w:tcPr>
          <w:p w:rsidR="00C31389" w:rsidRDefault="00561FBD" w14:paraId="6703435D" w14:textId="77777777">
            <w:pPr>
              <w:pStyle w:val="TableParagraph"/>
              <w:ind w:right="112"/>
              <w:jc w:val="right"/>
              <w:rPr>
                <w:sz w:val="17"/>
              </w:rPr>
            </w:pPr>
            <w:r>
              <w:rPr>
                <w:spacing w:val="-4"/>
                <w:sz w:val="17"/>
              </w:rPr>
              <w:t>308.</w:t>
            </w:r>
          </w:p>
          <w:p w:rsidR="00C31389" w:rsidRDefault="00561FBD" w14:paraId="033C396E" w14:textId="77777777">
            <w:pPr>
              <w:pStyle w:val="TableParagraph"/>
              <w:spacing w:before="0"/>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3873E0FE" w14:textId="77777777">
            <w:pPr>
              <w:pStyle w:val="TableParagraph"/>
              <w:ind w:right="112"/>
              <w:jc w:val="right"/>
              <w:rPr>
                <w:sz w:val="17"/>
              </w:rPr>
            </w:pPr>
            <w:r>
              <w:rPr>
                <w:spacing w:val="-4"/>
                <w:sz w:val="17"/>
              </w:rPr>
              <w:t>322.</w:t>
            </w:r>
          </w:p>
          <w:p w:rsidR="00C31389" w:rsidRDefault="00561FBD" w14:paraId="508B344F"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0762A8D9" w14:textId="77777777">
            <w:pPr>
              <w:pStyle w:val="TableParagraph"/>
              <w:ind w:right="112"/>
              <w:jc w:val="right"/>
              <w:rPr>
                <w:sz w:val="17"/>
              </w:rPr>
            </w:pPr>
            <w:r>
              <w:rPr>
                <w:spacing w:val="-4"/>
                <w:sz w:val="17"/>
              </w:rPr>
              <w:t>339.</w:t>
            </w:r>
          </w:p>
          <w:p w:rsidR="00C31389" w:rsidRDefault="00561FBD" w14:paraId="6EF440C1"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2B652799" w14:textId="77777777">
            <w:pPr>
              <w:pStyle w:val="TableParagraph"/>
              <w:ind w:right="112"/>
              <w:jc w:val="right"/>
              <w:rPr>
                <w:sz w:val="17"/>
              </w:rPr>
            </w:pPr>
            <w:r>
              <w:rPr>
                <w:spacing w:val="-4"/>
                <w:sz w:val="17"/>
              </w:rPr>
              <w:t>344.</w:t>
            </w:r>
          </w:p>
          <w:p w:rsidR="00C31389" w:rsidRDefault="00561FBD" w14:paraId="62ACD93E" w14:textId="77777777">
            <w:pPr>
              <w:pStyle w:val="TableParagraph"/>
              <w:spacing w:before="0"/>
              <w:ind w:right="113"/>
              <w:jc w:val="right"/>
              <w:rPr>
                <w:sz w:val="17"/>
              </w:rPr>
            </w:pPr>
            <w:r>
              <w:rPr>
                <w:sz w:val="17"/>
              </w:rPr>
              <w:t>0</w:t>
            </w:r>
          </w:p>
        </w:tc>
        <w:tc>
          <w:tcPr>
            <w:tcW w:w="623" w:type="dxa"/>
            <w:tcBorders>
              <w:top w:val="single" w:color="D9D9D9" w:sz="8" w:space="0"/>
              <w:bottom w:val="single" w:color="DCDDDE" w:sz="4" w:space="0"/>
            </w:tcBorders>
          </w:tcPr>
          <w:p w:rsidR="00C31389" w:rsidRDefault="00561FBD" w14:paraId="1C17165D" w14:textId="77777777">
            <w:pPr>
              <w:pStyle w:val="TableParagraph"/>
              <w:ind w:right="105"/>
              <w:jc w:val="right"/>
              <w:rPr>
                <w:sz w:val="17"/>
              </w:rPr>
            </w:pPr>
            <w:r>
              <w:rPr>
                <w:spacing w:val="-4"/>
                <w:sz w:val="17"/>
              </w:rPr>
              <w:t>360.</w:t>
            </w:r>
          </w:p>
          <w:p w:rsidR="00C31389" w:rsidRDefault="00561FBD" w14:paraId="3CC1A469" w14:textId="77777777">
            <w:pPr>
              <w:pStyle w:val="TableParagraph"/>
              <w:spacing w:before="0"/>
              <w:ind w:right="106"/>
              <w:jc w:val="right"/>
              <w:rPr>
                <w:sz w:val="17"/>
              </w:rPr>
            </w:pPr>
            <w:r>
              <w:rPr>
                <w:sz w:val="17"/>
              </w:rPr>
              <w:t>8</w:t>
            </w:r>
          </w:p>
        </w:tc>
      </w:tr>
      <w:tr w:rsidR="00C31389" w14:paraId="64AFE27F"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357500E3" w14:textId="77777777">
            <w:pPr>
              <w:pStyle w:val="TableParagraph"/>
              <w:spacing w:before="42"/>
              <w:ind w:left="120"/>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21688C30" w14:textId="77777777">
        <w:trPr>
          <w:trHeight w:val="275"/>
        </w:trPr>
        <w:tc>
          <w:tcPr>
            <w:tcW w:w="1363" w:type="dxa"/>
            <w:tcBorders>
              <w:top w:val="single" w:color="DCDDDE" w:sz="4" w:space="0"/>
              <w:bottom w:val="single" w:color="DCDDDE" w:sz="4" w:space="0"/>
            </w:tcBorders>
          </w:tcPr>
          <w:p w:rsidR="00C31389" w:rsidRDefault="00561FBD" w14:paraId="4A9120C4" w14:textId="77777777">
            <w:pPr>
              <w:pStyle w:val="TableParagraph"/>
              <w:spacing w:before="42"/>
              <w:ind w:left="120"/>
              <w:rPr>
                <w:sz w:val="17"/>
              </w:rPr>
            </w:pPr>
            <w:r>
              <w:rPr>
                <w:spacing w:val="-5"/>
                <w:sz w:val="17"/>
              </w:rPr>
              <w:t>EE</w:t>
            </w:r>
          </w:p>
        </w:tc>
        <w:tc>
          <w:tcPr>
            <w:tcW w:w="839" w:type="dxa"/>
            <w:tcBorders>
              <w:top w:val="single" w:color="DCDDDE" w:sz="4" w:space="0"/>
            </w:tcBorders>
          </w:tcPr>
          <w:p w:rsidR="00C31389" w:rsidRDefault="00561FBD" w14:paraId="3CA2D7FE" w14:textId="77777777">
            <w:pPr>
              <w:pStyle w:val="TableParagraph"/>
              <w:spacing w:before="42"/>
              <w:ind w:right="135"/>
              <w:jc w:val="right"/>
              <w:rPr>
                <w:sz w:val="17"/>
              </w:rPr>
            </w:pPr>
            <w:r>
              <w:rPr>
                <w:spacing w:val="-4"/>
                <w:sz w:val="17"/>
              </w:rPr>
              <w:t>86.8</w:t>
            </w:r>
          </w:p>
        </w:tc>
        <w:tc>
          <w:tcPr>
            <w:tcW w:w="820" w:type="dxa"/>
            <w:tcBorders>
              <w:top w:val="single" w:color="DCDDDE" w:sz="4" w:space="0"/>
            </w:tcBorders>
          </w:tcPr>
          <w:p w:rsidR="00C31389" w:rsidRDefault="00561FBD" w14:paraId="4E450E7A" w14:textId="77777777">
            <w:pPr>
              <w:pStyle w:val="TableParagraph"/>
              <w:spacing w:before="42"/>
              <w:ind w:right="145"/>
              <w:jc w:val="right"/>
              <w:rPr>
                <w:sz w:val="17"/>
              </w:rPr>
            </w:pPr>
            <w:r>
              <w:rPr>
                <w:spacing w:val="-4"/>
                <w:sz w:val="17"/>
              </w:rPr>
              <w:t>80.8</w:t>
            </w:r>
          </w:p>
        </w:tc>
        <w:tc>
          <w:tcPr>
            <w:tcW w:w="688" w:type="dxa"/>
            <w:tcBorders>
              <w:top w:val="single" w:color="DCDDDE" w:sz="4" w:space="0"/>
            </w:tcBorders>
          </w:tcPr>
          <w:p w:rsidR="00C31389" w:rsidRDefault="00561FBD" w14:paraId="4A494B0A" w14:textId="77777777">
            <w:pPr>
              <w:pStyle w:val="TableParagraph"/>
              <w:spacing w:before="42"/>
              <w:ind w:left="131" w:right="5"/>
              <w:jc w:val="center"/>
              <w:rPr>
                <w:sz w:val="17"/>
              </w:rPr>
            </w:pPr>
            <w:r>
              <w:rPr>
                <w:spacing w:val="-4"/>
                <w:sz w:val="17"/>
              </w:rPr>
              <w:t>70.6</w:t>
            </w:r>
          </w:p>
        </w:tc>
        <w:tc>
          <w:tcPr>
            <w:tcW w:w="630" w:type="dxa"/>
            <w:tcBorders>
              <w:top w:val="single" w:color="DCDDDE" w:sz="4" w:space="0"/>
            </w:tcBorders>
          </w:tcPr>
          <w:p w:rsidR="00C31389" w:rsidRDefault="00561FBD" w14:paraId="78D0ADF9" w14:textId="77777777">
            <w:pPr>
              <w:pStyle w:val="TableParagraph"/>
              <w:spacing w:before="42"/>
              <w:ind w:right="113"/>
              <w:jc w:val="right"/>
              <w:rPr>
                <w:sz w:val="17"/>
              </w:rPr>
            </w:pPr>
            <w:r>
              <w:rPr>
                <w:spacing w:val="-4"/>
                <w:sz w:val="17"/>
              </w:rPr>
              <w:t>61.7</w:t>
            </w:r>
          </w:p>
        </w:tc>
        <w:tc>
          <w:tcPr>
            <w:tcW w:w="630" w:type="dxa"/>
            <w:tcBorders>
              <w:top w:val="single" w:color="DCDDDE" w:sz="4" w:space="0"/>
            </w:tcBorders>
          </w:tcPr>
          <w:p w:rsidR="00C31389" w:rsidRDefault="00561FBD" w14:paraId="78AF2682" w14:textId="77777777">
            <w:pPr>
              <w:pStyle w:val="TableParagraph"/>
              <w:spacing w:before="42"/>
              <w:ind w:right="113"/>
              <w:jc w:val="right"/>
              <w:rPr>
                <w:sz w:val="17"/>
              </w:rPr>
            </w:pPr>
            <w:r>
              <w:rPr>
                <w:spacing w:val="-4"/>
                <w:sz w:val="17"/>
              </w:rPr>
              <w:t>59.8</w:t>
            </w:r>
          </w:p>
        </w:tc>
        <w:tc>
          <w:tcPr>
            <w:tcW w:w="630" w:type="dxa"/>
            <w:tcBorders>
              <w:top w:val="single" w:color="DCDDDE" w:sz="4" w:space="0"/>
            </w:tcBorders>
          </w:tcPr>
          <w:p w:rsidR="00C31389" w:rsidRDefault="00561FBD" w14:paraId="72654F92" w14:textId="77777777">
            <w:pPr>
              <w:pStyle w:val="TableParagraph"/>
              <w:spacing w:before="42"/>
              <w:ind w:right="113"/>
              <w:jc w:val="right"/>
              <w:rPr>
                <w:sz w:val="17"/>
              </w:rPr>
            </w:pPr>
            <w:r>
              <w:rPr>
                <w:spacing w:val="-4"/>
                <w:sz w:val="17"/>
              </w:rPr>
              <w:t>56.4</w:t>
            </w:r>
          </w:p>
        </w:tc>
        <w:tc>
          <w:tcPr>
            <w:tcW w:w="630" w:type="dxa"/>
            <w:tcBorders>
              <w:top w:val="single" w:color="DCDDDE" w:sz="4" w:space="0"/>
            </w:tcBorders>
          </w:tcPr>
          <w:p w:rsidR="00C31389" w:rsidRDefault="00561FBD" w14:paraId="33AA881B" w14:textId="77777777">
            <w:pPr>
              <w:pStyle w:val="TableParagraph"/>
              <w:spacing w:before="42"/>
              <w:ind w:right="113"/>
              <w:jc w:val="right"/>
              <w:rPr>
                <w:sz w:val="17"/>
              </w:rPr>
            </w:pPr>
            <w:r>
              <w:rPr>
                <w:spacing w:val="-4"/>
                <w:sz w:val="17"/>
              </w:rPr>
              <w:t>64.4</w:t>
            </w:r>
          </w:p>
        </w:tc>
        <w:tc>
          <w:tcPr>
            <w:tcW w:w="630" w:type="dxa"/>
            <w:tcBorders>
              <w:top w:val="single" w:color="DCDDDE" w:sz="4" w:space="0"/>
            </w:tcBorders>
          </w:tcPr>
          <w:p w:rsidR="00C31389" w:rsidRDefault="00561FBD" w14:paraId="30343539" w14:textId="77777777">
            <w:pPr>
              <w:pStyle w:val="TableParagraph"/>
              <w:spacing w:before="42"/>
              <w:ind w:right="113"/>
              <w:jc w:val="right"/>
              <w:rPr>
                <w:sz w:val="17"/>
              </w:rPr>
            </w:pPr>
            <w:r>
              <w:rPr>
                <w:spacing w:val="-4"/>
                <w:sz w:val="17"/>
              </w:rPr>
              <w:t>56.9</w:t>
            </w:r>
          </w:p>
        </w:tc>
        <w:tc>
          <w:tcPr>
            <w:tcW w:w="630" w:type="dxa"/>
            <w:tcBorders>
              <w:top w:val="single" w:color="DCDDDE" w:sz="4" w:space="0"/>
            </w:tcBorders>
          </w:tcPr>
          <w:p w:rsidR="00C31389" w:rsidRDefault="00561FBD" w14:paraId="5DEA9523" w14:textId="77777777">
            <w:pPr>
              <w:pStyle w:val="TableParagraph"/>
              <w:spacing w:before="42"/>
              <w:ind w:right="113"/>
              <w:jc w:val="right"/>
              <w:rPr>
                <w:sz w:val="17"/>
              </w:rPr>
            </w:pPr>
            <w:r>
              <w:rPr>
                <w:spacing w:val="-4"/>
                <w:sz w:val="17"/>
              </w:rPr>
              <w:t>56.0</w:t>
            </w:r>
          </w:p>
        </w:tc>
        <w:tc>
          <w:tcPr>
            <w:tcW w:w="630" w:type="dxa"/>
            <w:tcBorders>
              <w:top w:val="single" w:color="DCDDDE" w:sz="4" w:space="0"/>
            </w:tcBorders>
          </w:tcPr>
          <w:p w:rsidR="00C31389" w:rsidRDefault="00561FBD" w14:paraId="0B6839DB" w14:textId="77777777">
            <w:pPr>
              <w:pStyle w:val="TableParagraph"/>
              <w:spacing w:before="42"/>
              <w:ind w:right="113"/>
              <w:jc w:val="right"/>
              <w:rPr>
                <w:sz w:val="17"/>
              </w:rPr>
            </w:pPr>
            <w:r>
              <w:rPr>
                <w:spacing w:val="-4"/>
                <w:sz w:val="17"/>
              </w:rPr>
              <w:t>54.0</w:t>
            </w:r>
          </w:p>
        </w:tc>
        <w:tc>
          <w:tcPr>
            <w:tcW w:w="630" w:type="dxa"/>
            <w:tcBorders>
              <w:top w:val="single" w:color="DCDDDE" w:sz="4" w:space="0"/>
            </w:tcBorders>
          </w:tcPr>
          <w:p w:rsidR="00C31389" w:rsidRDefault="00561FBD" w14:paraId="38804DBE" w14:textId="77777777">
            <w:pPr>
              <w:pStyle w:val="TableParagraph"/>
              <w:spacing w:before="42"/>
              <w:ind w:right="113"/>
              <w:jc w:val="right"/>
              <w:rPr>
                <w:sz w:val="17"/>
              </w:rPr>
            </w:pPr>
            <w:r>
              <w:rPr>
                <w:spacing w:val="-4"/>
                <w:sz w:val="17"/>
              </w:rPr>
              <w:t>53.4</w:t>
            </w:r>
          </w:p>
        </w:tc>
        <w:tc>
          <w:tcPr>
            <w:tcW w:w="623" w:type="dxa"/>
            <w:tcBorders>
              <w:top w:val="single" w:color="DCDDDE" w:sz="4" w:space="0"/>
            </w:tcBorders>
          </w:tcPr>
          <w:p w:rsidR="00C31389" w:rsidRDefault="00561FBD" w14:paraId="2D333AEE" w14:textId="77777777">
            <w:pPr>
              <w:pStyle w:val="TableParagraph"/>
              <w:spacing w:before="42"/>
              <w:ind w:right="106"/>
              <w:jc w:val="right"/>
              <w:rPr>
                <w:sz w:val="17"/>
              </w:rPr>
            </w:pPr>
            <w:r>
              <w:rPr>
                <w:spacing w:val="-4"/>
                <w:sz w:val="17"/>
              </w:rPr>
              <w:t>53.2</w:t>
            </w:r>
          </w:p>
        </w:tc>
      </w:tr>
      <w:tr w:rsidR="00C31389" w14:paraId="7A8849B6" w14:textId="77777777">
        <w:trPr>
          <w:trHeight w:val="275"/>
        </w:trPr>
        <w:tc>
          <w:tcPr>
            <w:tcW w:w="1363" w:type="dxa"/>
            <w:tcBorders>
              <w:top w:val="single" w:color="DCDDDE" w:sz="4" w:space="0"/>
              <w:bottom w:val="single" w:color="DCDDDE" w:sz="4" w:space="0"/>
            </w:tcBorders>
          </w:tcPr>
          <w:p w:rsidR="00C31389" w:rsidRDefault="00561FBD" w14:paraId="42D6CB1B" w14:textId="77777777">
            <w:pPr>
              <w:pStyle w:val="TableParagraph"/>
              <w:spacing w:before="42"/>
              <w:ind w:left="120"/>
              <w:rPr>
                <w:sz w:val="17"/>
              </w:rPr>
            </w:pPr>
            <w:r>
              <w:rPr>
                <w:spacing w:val="-5"/>
                <w:sz w:val="17"/>
              </w:rPr>
              <w:t>FS</w:t>
            </w:r>
          </w:p>
        </w:tc>
        <w:tc>
          <w:tcPr>
            <w:tcW w:w="839" w:type="dxa"/>
            <w:tcBorders>
              <w:bottom w:val="single" w:color="D9D9D9" w:sz="8" w:space="0"/>
            </w:tcBorders>
          </w:tcPr>
          <w:p w:rsidR="00C31389" w:rsidRDefault="00561FBD" w14:paraId="453A9117" w14:textId="77777777">
            <w:pPr>
              <w:pStyle w:val="TableParagraph"/>
              <w:spacing w:before="42"/>
              <w:ind w:right="135"/>
              <w:jc w:val="right"/>
              <w:rPr>
                <w:sz w:val="17"/>
              </w:rPr>
            </w:pPr>
            <w:r>
              <w:rPr>
                <w:spacing w:val="-4"/>
                <w:sz w:val="17"/>
              </w:rPr>
              <w:t>27.7</w:t>
            </w:r>
          </w:p>
        </w:tc>
        <w:tc>
          <w:tcPr>
            <w:tcW w:w="820" w:type="dxa"/>
            <w:tcBorders>
              <w:bottom w:val="single" w:color="D9D9D9" w:sz="8" w:space="0"/>
            </w:tcBorders>
          </w:tcPr>
          <w:p w:rsidR="00C31389" w:rsidRDefault="00561FBD" w14:paraId="72DD07BA" w14:textId="77777777">
            <w:pPr>
              <w:pStyle w:val="TableParagraph"/>
              <w:spacing w:before="42"/>
              <w:ind w:right="145"/>
              <w:jc w:val="right"/>
              <w:rPr>
                <w:sz w:val="17"/>
              </w:rPr>
            </w:pPr>
            <w:r>
              <w:rPr>
                <w:spacing w:val="-4"/>
                <w:sz w:val="17"/>
              </w:rPr>
              <w:t>27.9</w:t>
            </w:r>
          </w:p>
        </w:tc>
        <w:tc>
          <w:tcPr>
            <w:tcW w:w="688" w:type="dxa"/>
            <w:tcBorders>
              <w:bottom w:val="single" w:color="D9D9D9" w:sz="8" w:space="0"/>
            </w:tcBorders>
          </w:tcPr>
          <w:p w:rsidR="00C31389" w:rsidRDefault="00561FBD" w14:paraId="247E6BC0" w14:textId="77777777">
            <w:pPr>
              <w:pStyle w:val="TableParagraph"/>
              <w:spacing w:before="42"/>
              <w:ind w:left="131" w:right="5"/>
              <w:jc w:val="center"/>
              <w:rPr>
                <w:sz w:val="17"/>
              </w:rPr>
            </w:pPr>
            <w:r>
              <w:rPr>
                <w:spacing w:val="-4"/>
                <w:sz w:val="17"/>
              </w:rPr>
              <w:t>28.0</w:t>
            </w:r>
          </w:p>
        </w:tc>
        <w:tc>
          <w:tcPr>
            <w:tcW w:w="630" w:type="dxa"/>
            <w:tcBorders>
              <w:bottom w:val="single" w:color="D9D9D9" w:sz="8" w:space="0"/>
            </w:tcBorders>
          </w:tcPr>
          <w:p w:rsidR="00C31389" w:rsidRDefault="00561FBD" w14:paraId="20F85DEC" w14:textId="77777777">
            <w:pPr>
              <w:pStyle w:val="TableParagraph"/>
              <w:spacing w:before="42"/>
              <w:ind w:right="113"/>
              <w:jc w:val="right"/>
              <w:rPr>
                <w:sz w:val="17"/>
              </w:rPr>
            </w:pPr>
            <w:r>
              <w:rPr>
                <w:spacing w:val="-4"/>
                <w:sz w:val="17"/>
              </w:rPr>
              <w:t>28.3</w:t>
            </w:r>
          </w:p>
        </w:tc>
        <w:tc>
          <w:tcPr>
            <w:tcW w:w="630" w:type="dxa"/>
            <w:tcBorders>
              <w:bottom w:val="single" w:color="D9D9D9" w:sz="8" w:space="0"/>
            </w:tcBorders>
          </w:tcPr>
          <w:p w:rsidR="00C31389" w:rsidRDefault="00561FBD" w14:paraId="7337F0E9" w14:textId="77777777">
            <w:pPr>
              <w:pStyle w:val="TableParagraph"/>
              <w:spacing w:before="42"/>
              <w:ind w:right="113"/>
              <w:jc w:val="right"/>
              <w:rPr>
                <w:sz w:val="17"/>
              </w:rPr>
            </w:pPr>
            <w:r>
              <w:rPr>
                <w:spacing w:val="-4"/>
                <w:sz w:val="17"/>
              </w:rPr>
              <w:t>28.5</w:t>
            </w:r>
          </w:p>
        </w:tc>
        <w:tc>
          <w:tcPr>
            <w:tcW w:w="630" w:type="dxa"/>
            <w:tcBorders>
              <w:bottom w:val="single" w:color="D9D9D9" w:sz="8" w:space="0"/>
            </w:tcBorders>
          </w:tcPr>
          <w:p w:rsidR="00C31389" w:rsidRDefault="00561FBD" w14:paraId="4422141A" w14:textId="77777777">
            <w:pPr>
              <w:pStyle w:val="TableParagraph"/>
              <w:spacing w:before="42"/>
              <w:ind w:right="113"/>
              <w:jc w:val="right"/>
              <w:rPr>
                <w:sz w:val="17"/>
              </w:rPr>
            </w:pPr>
            <w:r>
              <w:rPr>
                <w:spacing w:val="-4"/>
                <w:sz w:val="17"/>
              </w:rPr>
              <w:t>29.0</w:t>
            </w:r>
          </w:p>
        </w:tc>
        <w:tc>
          <w:tcPr>
            <w:tcW w:w="630" w:type="dxa"/>
            <w:tcBorders>
              <w:bottom w:val="single" w:color="D9D9D9" w:sz="8" w:space="0"/>
            </w:tcBorders>
          </w:tcPr>
          <w:p w:rsidR="00C31389" w:rsidRDefault="00561FBD" w14:paraId="6A6A1437" w14:textId="77777777">
            <w:pPr>
              <w:pStyle w:val="TableParagraph"/>
              <w:spacing w:before="42"/>
              <w:ind w:right="113"/>
              <w:jc w:val="right"/>
              <w:rPr>
                <w:sz w:val="17"/>
              </w:rPr>
            </w:pPr>
            <w:r>
              <w:rPr>
                <w:spacing w:val="-5"/>
                <w:sz w:val="17"/>
              </w:rPr>
              <w:t>0.6</w:t>
            </w:r>
          </w:p>
        </w:tc>
        <w:tc>
          <w:tcPr>
            <w:tcW w:w="630" w:type="dxa"/>
            <w:tcBorders>
              <w:bottom w:val="single" w:color="D9D9D9" w:sz="8" w:space="0"/>
            </w:tcBorders>
          </w:tcPr>
          <w:p w:rsidR="00C31389" w:rsidRDefault="00561FBD" w14:paraId="02967BF8" w14:textId="77777777">
            <w:pPr>
              <w:pStyle w:val="TableParagraph"/>
              <w:spacing w:before="42"/>
              <w:ind w:right="113"/>
              <w:jc w:val="right"/>
              <w:rPr>
                <w:sz w:val="17"/>
              </w:rPr>
            </w:pPr>
            <w:r>
              <w:rPr>
                <w:spacing w:val="-5"/>
                <w:sz w:val="17"/>
              </w:rPr>
              <w:t>0.7</w:t>
            </w:r>
          </w:p>
        </w:tc>
        <w:tc>
          <w:tcPr>
            <w:tcW w:w="630" w:type="dxa"/>
            <w:tcBorders>
              <w:bottom w:val="single" w:color="D9D9D9" w:sz="8" w:space="0"/>
            </w:tcBorders>
          </w:tcPr>
          <w:p w:rsidR="00C31389" w:rsidRDefault="00561FBD" w14:paraId="621E817A" w14:textId="77777777">
            <w:pPr>
              <w:pStyle w:val="TableParagraph"/>
              <w:spacing w:before="42"/>
              <w:ind w:right="113"/>
              <w:jc w:val="right"/>
              <w:rPr>
                <w:sz w:val="17"/>
              </w:rPr>
            </w:pPr>
            <w:r>
              <w:rPr>
                <w:spacing w:val="-5"/>
                <w:sz w:val="17"/>
              </w:rPr>
              <w:t>0.8</w:t>
            </w:r>
          </w:p>
        </w:tc>
        <w:tc>
          <w:tcPr>
            <w:tcW w:w="630" w:type="dxa"/>
            <w:tcBorders>
              <w:bottom w:val="single" w:color="D9D9D9" w:sz="8" w:space="0"/>
            </w:tcBorders>
          </w:tcPr>
          <w:p w:rsidR="00C31389" w:rsidRDefault="00561FBD" w14:paraId="475A21DA" w14:textId="77777777">
            <w:pPr>
              <w:pStyle w:val="TableParagraph"/>
              <w:spacing w:before="42"/>
              <w:ind w:right="113"/>
              <w:jc w:val="right"/>
              <w:rPr>
                <w:sz w:val="17"/>
              </w:rPr>
            </w:pPr>
            <w:r>
              <w:rPr>
                <w:spacing w:val="-5"/>
                <w:sz w:val="17"/>
              </w:rPr>
              <w:t>0.9</w:t>
            </w:r>
          </w:p>
        </w:tc>
        <w:tc>
          <w:tcPr>
            <w:tcW w:w="630" w:type="dxa"/>
            <w:tcBorders>
              <w:bottom w:val="single" w:color="D9D9D9" w:sz="8" w:space="0"/>
            </w:tcBorders>
          </w:tcPr>
          <w:p w:rsidR="00C31389" w:rsidRDefault="00561FBD" w14:paraId="67D194B0" w14:textId="77777777">
            <w:pPr>
              <w:pStyle w:val="TableParagraph"/>
              <w:spacing w:before="42"/>
              <w:ind w:right="113"/>
              <w:jc w:val="right"/>
              <w:rPr>
                <w:sz w:val="17"/>
              </w:rPr>
            </w:pPr>
            <w:r>
              <w:rPr>
                <w:spacing w:val="-5"/>
                <w:sz w:val="17"/>
              </w:rPr>
              <w:t>1.0</w:t>
            </w:r>
          </w:p>
        </w:tc>
        <w:tc>
          <w:tcPr>
            <w:tcW w:w="623" w:type="dxa"/>
            <w:tcBorders>
              <w:bottom w:val="single" w:color="D9D9D9" w:sz="8" w:space="0"/>
            </w:tcBorders>
          </w:tcPr>
          <w:p w:rsidR="00C31389" w:rsidRDefault="00561FBD" w14:paraId="6E4224BD" w14:textId="77777777">
            <w:pPr>
              <w:pStyle w:val="TableParagraph"/>
              <w:spacing w:before="42"/>
              <w:ind w:right="106"/>
              <w:jc w:val="right"/>
              <w:rPr>
                <w:sz w:val="17"/>
              </w:rPr>
            </w:pPr>
            <w:r>
              <w:rPr>
                <w:spacing w:val="-5"/>
                <w:sz w:val="17"/>
              </w:rPr>
              <w:t>1.0</w:t>
            </w:r>
          </w:p>
        </w:tc>
      </w:tr>
      <w:tr w:rsidR="00C31389" w14:paraId="52154AC3" w14:textId="77777777">
        <w:trPr>
          <w:trHeight w:val="471"/>
        </w:trPr>
        <w:tc>
          <w:tcPr>
            <w:tcW w:w="1363" w:type="dxa"/>
            <w:tcBorders>
              <w:top w:val="single" w:color="DCDDDE" w:sz="4" w:space="0"/>
              <w:bottom w:val="single" w:color="DCDDDE" w:sz="4" w:space="0"/>
            </w:tcBorders>
          </w:tcPr>
          <w:p w:rsidR="00C31389" w:rsidRDefault="00561FBD" w14:paraId="5980D06A" w14:textId="77777777">
            <w:pPr>
              <w:pStyle w:val="TableParagraph"/>
              <w:spacing w:before="139"/>
              <w:ind w:left="120"/>
              <w:rPr>
                <w:sz w:val="17"/>
              </w:rPr>
            </w:pPr>
            <w:r>
              <w:rPr>
                <w:spacing w:val="-4"/>
                <w:sz w:val="17"/>
              </w:rPr>
              <w:t>BROs</w:t>
            </w:r>
          </w:p>
        </w:tc>
        <w:tc>
          <w:tcPr>
            <w:tcW w:w="839" w:type="dxa"/>
            <w:tcBorders>
              <w:top w:val="single" w:color="D9D9D9" w:sz="8" w:space="0"/>
              <w:bottom w:val="single" w:color="DCDDDE" w:sz="4" w:space="0"/>
            </w:tcBorders>
          </w:tcPr>
          <w:p w:rsidR="00C31389" w:rsidRDefault="00561FBD" w14:paraId="3DC851BE" w14:textId="77777777">
            <w:pPr>
              <w:pStyle w:val="TableParagraph"/>
              <w:spacing w:before="139"/>
              <w:ind w:right="135"/>
              <w:jc w:val="right"/>
              <w:rPr>
                <w:sz w:val="17"/>
              </w:rPr>
            </w:pPr>
            <w:r>
              <w:rPr>
                <w:spacing w:val="-2"/>
                <w:sz w:val="17"/>
              </w:rPr>
              <w:t>231.3</w:t>
            </w:r>
          </w:p>
        </w:tc>
        <w:tc>
          <w:tcPr>
            <w:tcW w:w="820" w:type="dxa"/>
            <w:tcBorders>
              <w:top w:val="single" w:color="D9D9D9" w:sz="8" w:space="0"/>
              <w:bottom w:val="single" w:color="DCDDDE" w:sz="4" w:space="0"/>
            </w:tcBorders>
          </w:tcPr>
          <w:p w:rsidR="00C31389" w:rsidRDefault="00561FBD" w14:paraId="48F4BAB1" w14:textId="77777777">
            <w:pPr>
              <w:pStyle w:val="TableParagraph"/>
              <w:spacing w:before="139"/>
              <w:ind w:right="145"/>
              <w:jc w:val="right"/>
              <w:rPr>
                <w:sz w:val="17"/>
              </w:rPr>
            </w:pPr>
            <w:r>
              <w:rPr>
                <w:spacing w:val="-2"/>
                <w:sz w:val="17"/>
              </w:rPr>
              <w:t>240.6</w:t>
            </w:r>
          </w:p>
        </w:tc>
        <w:tc>
          <w:tcPr>
            <w:tcW w:w="688" w:type="dxa"/>
            <w:tcBorders>
              <w:top w:val="single" w:color="D9D9D9" w:sz="8" w:space="0"/>
              <w:bottom w:val="single" w:color="DCDDDE" w:sz="4" w:space="0"/>
            </w:tcBorders>
          </w:tcPr>
          <w:p w:rsidR="00C31389" w:rsidRDefault="00561FBD" w14:paraId="6FAAFBE1" w14:textId="77777777">
            <w:pPr>
              <w:pStyle w:val="TableParagraph"/>
              <w:spacing w:before="139"/>
              <w:ind w:left="122" w:right="91"/>
              <w:jc w:val="center"/>
              <w:rPr>
                <w:sz w:val="17"/>
              </w:rPr>
            </w:pPr>
            <w:r>
              <w:rPr>
                <w:spacing w:val="-2"/>
                <w:sz w:val="17"/>
              </w:rPr>
              <w:t>250.6</w:t>
            </w:r>
          </w:p>
        </w:tc>
        <w:tc>
          <w:tcPr>
            <w:tcW w:w="630" w:type="dxa"/>
            <w:tcBorders>
              <w:top w:val="single" w:color="D9D9D9" w:sz="8" w:space="0"/>
              <w:bottom w:val="single" w:color="DCDDDE" w:sz="4" w:space="0"/>
            </w:tcBorders>
          </w:tcPr>
          <w:p w:rsidR="00C31389" w:rsidRDefault="00561FBD" w14:paraId="0D8DCFF1" w14:textId="77777777">
            <w:pPr>
              <w:pStyle w:val="TableParagraph"/>
              <w:ind w:right="112"/>
              <w:jc w:val="right"/>
              <w:rPr>
                <w:sz w:val="17"/>
              </w:rPr>
            </w:pPr>
            <w:r>
              <w:rPr>
                <w:spacing w:val="-4"/>
                <w:sz w:val="17"/>
              </w:rPr>
              <w:t>261.</w:t>
            </w:r>
          </w:p>
          <w:p w:rsidR="00C31389" w:rsidRDefault="00561FBD" w14:paraId="146F04EE"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021CD0AB" w14:textId="77777777">
            <w:pPr>
              <w:pStyle w:val="TableParagraph"/>
              <w:ind w:right="112"/>
              <w:jc w:val="right"/>
              <w:rPr>
                <w:sz w:val="17"/>
              </w:rPr>
            </w:pPr>
            <w:r>
              <w:rPr>
                <w:spacing w:val="-4"/>
                <w:sz w:val="17"/>
              </w:rPr>
              <w:t>271.</w:t>
            </w:r>
          </w:p>
          <w:p w:rsidR="00C31389" w:rsidRDefault="00561FBD" w14:paraId="267DD80F" w14:textId="77777777">
            <w:pPr>
              <w:pStyle w:val="TableParagraph"/>
              <w:spacing w:before="0"/>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44D68A2C" w14:textId="77777777">
            <w:pPr>
              <w:pStyle w:val="TableParagraph"/>
              <w:ind w:right="112"/>
              <w:jc w:val="right"/>
              <w:rPr>
                <w:sz w:val="17"/>
              </w:rPr>
            </w:pPr>
            <w:r>
              <w:rPr>
                <w:spacing w:val="-4"/>
                <w:sz w:val="17"/>
              </w:rPr>
              <w:t>283.</w:t>
            </w:r>
          </w:p>
          <w:p w:rsidR="00C31389" w:rsidRDefault="00561FBD" w14:paraId="757F98D7" w14:textId="77777777">
            <w:pPr>
              <w:pStyle w:val="TableParagraph"/>
              <w:spacing w:before="0"/>
              <w:ind w:right="113"/>
              <w:jc w:val="right"/>
              <w:rPr>
                <w:sz w:val="17"/>
              </w:rPr>
            </w:pPr>
            <w:r>
              <w:rPr>
                <w:sz w:val="17"/>
              </w:rPr>
              <w:t>1</w:t>
            </w:r>
          </w:p>
        </w:tc>
        <w:tc>
          <w:tcPr>
            <w:tcW w:w="630" w:type="dxa"/>
            <w:tcBorders>
              <w:top w:val="single" w:color="D9D9D9" w:sz="8" w:space="0"/>
              <w:bottom w:val="single" w:color="DCDDDE" w:sz="4" w:space="0"/>
            </w:tcBorders>
          </w:tcPr>
          <w:p w:rsidR="00C31389" w:rsidRDefault="00561FBD" w14:paraId="3B176EA9" w14:textId="77777777">
            <w:pPr>
              <w:pStyle w:val="TableParagraph"/>
              <w:ind w:right="112"/>
              <w:jc w:val="right"/>
              <w:rPr>
                <w:sz w:val="17"/>
              </w:rPr>
            </w:pPr>
            <w:r>
              <w:rPr>
                <w:spacing w:val="-4"/>
                <w:sz w:val="17"/>
              </w:rPr>
              <w:t>295.</w:t>
            </w:r>
          </w:p>
          <w:p w:rsidR="00C31389" w:rsidRDefault="00561FBD" w14:paraId="0CFD1B4B" w14:textId="77777777">
            <w:pPr>
              <w:pStyle w:val="TableParagraph"/>
              <w:spacing w:before="0"/>
              <w:ind w:right="113"/>
              <w:jc w:val="right"/>
              <w:rPr>
                <w:sz w:val="17"/>
              </w:rPr>
            </w:pPr>
            <w:r>
              <w:rPr>
                <w:sz w:val="17"/>
              </w:rPr>
              <w:t>8</w:t>
            </w:r>
          </w:p>
        </w:tc>
        <w:tc>
          <w:tcPr>
            <w:tcW w:w="630" w:type="dxa"/>
            <w:tcBorders>
              <w:top w:val="single" w:color="D9D9D9" w:sz="8" w:space="0"/>
              <w:bottom w:val="single" w:color="DCDDDE" w:sz="4" w:space="0"/>
            </w:tcBorders>
          </w:tcPr>
          <w:p w:rsidR="00C31389" w:rsidRDefault="00561FBD" w14:paraId="650CD42D" w14:textId="77777777">
            <w:pPr>
              <w:pStyle w:val="TableParagraph"/>
              <w:ind w:right="112"/>
              <w:jc w:val="right"/>
              <w:rPr>
                <w:sz w:val="17"/>
              </w:rPr>
            </w:pPr>
            <w:r>
              <w:rPr>
                <w:spacing w:val="-4"/>
                <w:sz w:val="17"/>
              </w:rPr>
              <w:t>308.</w:t>
            </w:r>
          </w:p>
          <w:p w:rsidR="00C31389" w:rsidRDefault="00561FBD" w14:paraId="3834AA93" w14:textId="77777777">
            <w:pPr>
              <w:pStyle w:val="TableParagraph"/>
              <w:spacing w:before="0"/>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57809647" w14:textId="77777777">
            <w:pPr>
              <w:pStyle w:val="TableParagraph"/>
              <w:ind w:right="112"/>
              <w:jc w:val="right"/>
              <w:rPr>
                <w:sz w:val="17"/>
              </w:rPr>
            </w:pPr>
            <w:r>
              <w:rPr>
                <w:spacing w:val="-4"/>
                <w:sz w:val="17"/>
              </w:rPr>
              <w:t>322.</w:t>
            </w:r>
          </w:p>
          <w:p w:rsidR="00C31389" w:rsidRDefault="00561FBD" w14:paraId="7B120991"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7E05EF77" w14:textId="77777777">
            <w:pPr>
              <w:pStyle w:val="TableParagraph"/>
              <w:ind w:right="112"/>
              <w:jc w:val="right"/>
              <w:rPr>
                <w:sz w:val="17"/>
              </w:rPr>
            </w:pPr>
            <w:r>
              <w:rPr>
                <w:spacing w:val="-4"/>
                <w:sz w:val="17"/>
              </w:rPr>
              <w:t>339.</w:t>
            </w:r>
          </w:p>
          <w:p w:rsidR="00C31389" w:rsidRDefault="00561FBD" w14:paraId="44C0A8BC"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2E15FB8E" w14:textId="77777777">
            <w:pPr>
              <w:pStyle w:val="TableParagraph"/>
              <w:ind w:right="112"/>
              <w:jc w:val="right"/>
              <w:rPr>
                <w:sz w:val="17"/>
              </w:rPr>
            </w:pPr>
            <w:r>
              <w:rPr>
                <w:spacing w:val="-4"/>
                <w:sz w:val="17"/>
              </w:rPr>
              <w:t>344.</w:t>
            </w:r>
          </w:p>
          <w:p w:rsidR="00C31389" w:rsidRDefault="00561FBD" w14:paraId="1C604676" w14:textId="77777777">
            <w:pPr>
              <w:pStyle w:val="TableParagraph"/>
              <w:spacing w:before="0"/>
              <w:ind w:right="113"/>
              <w:jc w:val="right"/>
              <w:rPr>
                <w:sz w:val="17"/>
              </w:rPr>
            </w:pPr>
            <w:r>
              <w:rPr>
                <w:sz w:val="17"/>
              </w:rPr>
              <w:t>0</w:t>
            </w:r>
          </w:p>
        </w:tc>
        <w:tc>
          <w:tcPr>
            <w:tcW w:w="623" w:type="dxa"/>
            <w:tcBorders>
              <w:top w:val="single" w:color="D9D9D9" w:sz="8" w:space="0"/>
              <w:bottom w:val="single" w:color="DCDDDE" w:sz="4" w:space="0"/>
            </w:tcBorders>
          </w:tcPr>
          <w:p w:rsidR="00C31389" w:rsidRDefault="00561FBD" w14:paraId="347BE879" w14:textId="77777777">
            <w:pPr>
              <w:pStyle w:val="TableParagraph"/>
              <w:ind w:right="105"/>
              <w:jc w:val="right"/>
              <w:rPr>
                <w:sz w:val="17"/>
              </w:rPr>
            </w:pPr>
            <w:r>
              <w:rPr>
                <w:spacing w:val="-4"/>
                <w:sz w:val="17"/>
              </w:rPr>
              <w:t>360.</w:t>
            </w:r>
          </w:p>
          <w:p w:rsidR="00C31389" w:rsidRDefault="00561FBD" w14:paraId="10922800" w14:textId="77777777">
            <w:pPr>
              <w:pStyle w:val="TableParagraph"/>
              <w:spacing w:before="0"/>
              <w:ind w:right="106"/>
              <w:jc w:val="right"/>
              <w:rPr>
                <w:sz w:val="17"/>
              </w:rPr>
            </w:pPr>
            <w:r>
              <w:rPr>
                <w:sz w:val="17"/>
              </w:rPr>
              <w:t>8</w:t>
            </w:r>
          </w:p>
        </w:tc>
      </w:tr>
      <w:tr w:rsidR="00C31389" w14:paraId="178BB35C"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15E1EE9D" w14:textId="77777777">
            <w:pPr>
              <w:pStyle w:val="TableParagraph"/>
              <w:spacing w:before="42"/>
              <w:ind w:left="120"/>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62876B6A" w14:textId="77777777">
        <w:trPr>
          <w:trHeight w:val="275"/>
        </w:trPr>
        <w:tc>
          <w:tcPr>
            <w:tcW w:w="1363" w:type="dxa"/>
            <w:tcBorders>
              <w:top w:val="single" w:color="DCDDDE" w:sz="4" w:space="0"/>
              <w:bottom w:val="single" w:color="DCDDDE" w:sz="4" w:space="0"/>
            </w:tcBorders>
          </w:tcPr>
          <w:p w:rsidR="00C31389" w:rsidRDefault="00561FBD" w14:paraId="656C9E58" w14:textId="77777777">
            <w:pPr>
              <w:pStyle w:val="TableParagraph"/>
              <w:spacing w:before="42"/>
              <w:ind w:left="120"/>
              <w:rPr>
                <w:sz w:val="17"/>
              </w:rPr>
            </w:pPr>
            <w:r>
              <w:rPr>
                <w:spacing w:val="-5"/>
                <w:sz w:val="17"/>
              </w:rPr>
              <w:t>EE</w:t>
            </w:r>
          </w:p>
        </w:tc>
        <w:tc>
          <w:tcPr>
            <w:tcW w:w="839" w:type="dxa"/>
            <w:tcBorders>
              <w:top w:val="single" w:color="DCDDDE" w:sz="4" w:space="0"/>
            </w:tcBorders>
          </w:tcPr>
          <w:p w:rsidR="00C31389" w:rsidRDefault="00561FBD" w14:paraId="13039294" w14:textId="77777777">
            <w:pPr>
              <w:pStyle w:val="TableParagraph"/>
              <w:spacing w:before="42"/>
              <w:ind w:right="135"/>
              <w:jc w:val="right"/>
              <w:rPr>
                <w:sz w:val="17"/>
              </w:rPr>
            </w:pPr>
            <w:r>
              <w:rPr>
                <w:spacing w:val="-4"/>
                <w:sz w:val="17"/>
              </w:rPr>
              <w:t>86.8</w:t>
            </w:r>
          </w:p>
        </w:tc>
        <w:tc>
          <w:tcPr>
            <w:tcW w:w="820" w:type="dxa"/>
            <w:tcBorders>
              <w:top w:val="single" w:color="DCDDDE" w:sz="4" w:space="0"/>
            </w:tcBorders>
          </w:tcPr>
          <w:p w:rsidR="00C31389" w:rsidRDefault="00561FBD" w14:paraId="0B1AEDDE" w14:textId="77777777">
            <w:pPr>
              <w:pStyle w:val="TableParagraph"/>
              <w:spacing w:before="42"/>
              <w:ind w:right="145"/>
              <w:jc w:val="right"/>
              <w:rPr>
                <w:sz w:val="17"/>
              </w:rPr>
            </w:pPr>
            <w:r>
              <w:rPr>
                <w:spacing w:val="-4"/>
                <w:sz w:val="17"/>
              </w:rPr>
              <w:t>80.6</w:t>
            </w:r>
          </w:p>
        </w:tc>
        <w:tc>
          <w:tcPr>
            <w:tcW w:w="688" w:type="dxa"/>
            <w:tcBorders>
              <w:top w:val="single" w:color="DCDDDE" w:sz="4" w:space="0"/>
            </w:tcBorders>
          </w:tcPr>
          <w:p w:rsidR="00C31389" w:rsidRDefault="00561FBD" w14:paraId="232416AC" w14:textId="77777777">
            <w:pPr>
              <w:pStyle w:val="TableParagraph"/>
              <w:spacing w:before="42"/>
              <w:ind w:left="131" w:right="5"/>
              <w:jc w:val="center"/>
              <w:rPr>
                <w:sz w:val="17"/>
              </w:rPr>
            </w:pPr>
            <w:r>
              <w:rPr>
                <w:spacing w:val="-4"/>
                <w:sz w:val="17"/>
              </w:rPr>
              <w:t>70.3</w:t>
            </w:r>
          </w:p>
        </w:tc>
        <w:tc>
          <w:tcPr>
            <w:tcW w:w="630" w:type="dxa"/>
            <w:tcBorders>
              <w:top w:val="single" w:color="DCDDDE" w:sz="4" w:space="0"/>
            </w:tcBorders>
          </w:tcPr>
          <w:p w:rsidR="00C31389" w:rsidRDefault="00561FBD" w14:paraId="3A8680BA" w14:textId="77777777">
            <w:pPr>
              <w:pStyle w:val="TableParagraph"/>
              <w:spacing w:before="42"/>
              <w:ind w:right="113"/>
              <w:jc w:val="right"/>
              <w:rPr>
                <w:sz w:val="17"/>
              </w:rPr>
            </w:pPr>
            <w:r>
              <w:rPr>
                <w:spacing w:val="-4"/>
                <w:sz w:val="17"/>
              </w:rPr>
              <w:t>61.3</w:t>
            </w:r>
          </w:p>
        </w:tc>
        <w:tc>
          <w:tcPr>
            <w:tcW w:w="630" w:type="dxa"/>
            <w:tcBorders>
              <w:top w:val="single" w:color="DCDDDE" w:sz="4" w:space="0"/>
            </w:tcBorders>
          </w:tcPr>
          <w:p w:rsidR="00C31389" w:rsidRDefault="00561FBD" w14:paraId="55053AE8" w14:textId="77777777">
            <w:pPr>
              <w:pStyle w:val="TableParagraph"/>
              <w:spacing w:before="42"/>
              <w:ind w:right="113"/>
              <w:jc w:val="right"/>
              <w:rPr>
                <w:sz w:val="17"/>
              </w:rPr>
            </w:pPr>
            <w:r>
              <w:rPr>
                <w:spacing w:val="-4"/>
                <w:sz w:val="17"/>
              </w:rPr>
              <w:t>59.5</w:t>
            </w:r>
          </w:p>
        </w:tc>
        <w:tc>
          <w:tcPr>
            <w:tcW w:w="630" w:type="dxa"/>
            <w:tcBorders>
              <w:top w:val="single" w:color="DCDDDE" w:sz="4" w:space="0"/>
            </w:tcBorders>
          </w:tcPr>
          <w:p w:rsidR="00C31389" w:rsidRDefault="00561FBD" w14:paraId="44B1C03B" w14:textId="77777777">
            <w:pPr>
              <w:pStyle w:val="TableParagraph"/>
              <w:spacing w:before="42"/>
              <w:ind w:right="113"/>
              <w:jc w:val="right"/>
              <w:rPr>
                <w:sz w:val="17"/>
              </w:rPr>
            </w:pPr>
            <w:r>
              <w:rPr>
                <w:spacing w:val="-4"/>
                <w:sz w:val="17"/>
              </w:rPr>
              <w:t>56.1</w:t>
            </w:r>
          </w:p>
        </w:tc>
        <w:tc>
          <w:tcPr>
            <w:tcW w:w="630" w:type="dxa"/>
            <w:tcBorders>
              <w:top w:val="single" w:color="DCDDDE" w:sz="4" w:space="0"/>
            </w:tcBorders>
          </w:tcPr>
          <w:p w:rsidR="00C31389" w:rsidRDefault="00561FBD" w14:paraId="72286B20" w14:textId="77777777">
            <w:pPr>
              <w:pStyle w:val="TableParagraph"/>
              <w:spacing w:before="42"/>
              <w:ind w:right="113"/>
              <w:jc w:val="right"/>
              <w:rPr>
                <w:sz w:val="17"/>
              </w:rPr>
            </w:pPr>
            <w:r>
              <w:rPr>
                <w:spacing w:val="-4"/>
                <w:sz w:val="17"/>
              </w:rPr>
              <w:t>64.2</w:t>
            </w:r>
          </w:p>
        </w:tc>
        <w:tc>
          <w:tcPr>
            <w:tcW w:w="630" w:type="dxa"/>
            <w:tcBorders>
              <w:top w:val="single" w:color="DCDDDE" w:sz="4" w:space="0"/>
            </w:tcBorders>
          </w:tcPr>
          <w:p w:rsidR="00C31389" w:rsidRDefault="00561FBD" w14:paraId="13A2A6B6" w14:textId="77777777">
            <w:pPr>
              <w:pStyle w:val="TableParagraph"/>
              <w:spacing w:before="42"/>
              <w:ind w:right="113"/>
              <w:jc w:val="right"/>
              <w:rPr>
                <w:sz w:val="17"/>
              </w:rPr>
            </w:pPr>
            <w:r>
              <w:rPr>
                <w:spacing w:val="-4"/>
                <w:sz w:val="17"/>
              </w:rPr>
              <w:t>56.7</w:t>
            </w:r>
          </w:p>
        </w:tc>
        <w:tc>
          <w:tcPr>
            <w:tcW w:w="630" w:type="dxa"/>
            <w:tcBorders>
              <w:top w:val="single" w:color="DCDDDE" w:sz="4" w:space="0"/>
            </w:tcBorders>
          </w:tcPr>
          <w:p w:rsidR="00C31389" w:rsidRDefault="00561FBD" w14:paraId="61E23FCC" w14:textId="77777777">
            <w:pPr>
              <w:pStyle w:val="TableParagraph"/>
              <w:spacing w:before="42"/>
              <w:ind w:right="113"/>
              <w:jc w:val="right"/>
              <w:rPr>
                <w:sz w:val="17"/>
              </w:rPr>
            </w:pPr>
            <w:r>
              <w:rPr>
                <w:spacing w:val="-4"/>
                <w:sz w:val="17"/>
              </w:rPr>
              <w:t>55.9</w:t>
            </w:r>
          </w:p>
        </w:tc>
        <w:tc>
          <w:tcPr>
            <w:tcW w:w="630" w:type="dxa"/>
            <w:tcBorders>
              <w:top w:val="single" w:color="DCDDDE" w:sz="4" w:space="0"/>
            </w:tcBorders>
          </w:tcPr>
          <w:p w:rsidR="00C31389" w:rsidRDefault="00561FBD" w14:paraId="3FB67157" w14:textId="77777777">
            <w:pPr>
              <w:pStyle w:val="TableParagraph"/>
              <w:spacing w:before="42"/>
              <w:ind w:right="113"/>
              <w:jc w:val="right"/>
              <w:rPr>
                <w:sz w:val="17"/>
              </w:rPr>
            </w:pPr>
            <w:r>
              <w:rPr>
                <w:spacing w:val="-4"/>
                <w:sz w:val="17"/>
              </w:rPr>
              <w:t>54.0</w:t>
            </w:r>
          </w:p>
        </w:tc>
        <w:tc>
          <w:tcPr>
            <w:tcW w:w="630" w:type="dxa"/>
            <w:tcBorders>
              <w:top w:val="single" w:color="DCDDDE" w:sz="4" w:space="0"/>
            </w:tcBorders>
          </w:tcPr>
          <w:p w:rsidR="00C31389" w:rsidRDefault="00561FBD" w14:paraId="5526F696" w14:textId="77777777">
            <w:pPr>
              <w:pStyle w:val="TableParagraph"/>
              <w:spacing w:before="42"/>
              <w:ind w:right="113"/>
              <w:jc w:val="right"/>
              <w:rPr>
                <w:sz w:val="17"/>
              </w:rPr>
            </w:pPr>
            <w:r>
              <w:rPr>
                <w:spacing w:val="-4"/>
                <w:sz w:val="17"/>
              </w:rPr>
              <w:t>53.5</w:t>
            </w:r>
          </w:p>
        </w:tc>
        <w:tc>
          <w:tcPr>
            <w:tcW w:w="623" w:type="dxa"/>
            <w:tcBorders>
              <w:top w:val="single" w:color="DCDDDE" w:sz="4" w:space="0"/>
            </w:tcBorders>
          </w:tcPr>
          <w:p w:rsidR="00C31389" w:rsidRDefault="00561FBD" w14:paraId="52CECC7B" w14:textId="77777777">
            <w:pPr>
              <w:pStyle w:val="TableParagraph"/>
              <w:spacing w:before="42"/>
              <w:ind w:right="106"/>
              <w:jc w:val="right"/>
              <w:rPr>
                <w:sz w:val="17"/>
              </w:rPr>
            </w:pPr>
            <w:r>
              <w:rPr>
                <w:spacing w:val="-4"/>
                <w:sz w:val="17"/>
              </w:rPr>
              <w:t>53.4</w:t>
            </w:r>
          </w:p>
        </w:tc>
      </w:tr>
      <w:tr w:rsidR="00C31389" w14:paraId="6155D3BF" w14:textId="77777777">
        <w:trPr>
          <w:trHeight w:val="471"/>
        </w:trPr>
        <w:tc>
          <w:tcPr>
            <w:tcW w:w="1363" w:type="dxa"/>
            <w:tcBorders>
              <w:top w:val="single" w:color="DCDDDE" w:sz="4" w:space="0"/>
              <w:bottom w:val="single" w:color="DCDDDE" w:sz="4" w:space="0"/>
            </w:tcBorders>
          </w:tcPr>
          <w:p w:rsidR="00C31389" w:rsidRDefault="00561FBD" w14:paraId="0030AE75" w14:textId="77777777">
            <w:pPr>
              <w:pStyle w:val="TableParagraph"/>
              <w:spacing w:before="139"/>
              <w:ind w:left="120"/>
              <w:rPr>
                <w:sz w:val="17"/>
              </w:rPr>
            </w:pPr>
            <w:r>
              <w:rPr>
                <w:spacing w:val="-5"/>
                <w:sz w:val="17"/>
              </w:rPr>
              <w:t>FS</w:t>
            </w:r>
          </w:p>
        </w:tc>
        <w:tc>
          <w:tcPr>
            <w:tcW w:w="839" w:type="dxa"/>
            <w:tcBorders>
              <w:bottom w:val="single" w:color="D9D9D9" w:sz="8" w:space="0"/>
            </w:tcBorders>
          </w:tcPr>
          <w:p w:rsidR="00C31389" w:rsidRDefault="00561FBD" w14:paraId="66A17606" w14:textId="77777777">
            <w:pPr>
              <w:pStyle w:val="TableParagraph"/>
              <w:spacing w:before="139"/>
              <w:ind w:right="135"/>
              <w:jc w:val="right"/>
              <w:rPr>
                <w:sz w:val="17"/>
              </w:rPr>
            </w:pPr>
            <w:r>
              <w:rPr>
                <w:spacing w:val="-2"/>
                <w:sz w:val="17"/>
              </w:rPr>
              <w:t>152.4</w:t>
            </w:r>
          </w:p>
        </w:tc>
        <w:tc>
          <w:tcPr>
            <w:tcW w:w="820" w:type="dxa"/>
            <w:tcBorders>
              <w:bottom w:val="single" w:color="D9D9D9" w:sz="8" w:space="0"/>
            </w:tcBorders>
          </w:tcPr>
          <w:p w:rsidR="00C31389" w:rsidRDefault="00561FBD" w14:paraId="5B39B4DF" w14:textId="77777777">
            <w:pPr>
              <w:pStyle w:val="TableParagraph"/>
              <w:spacing w:before="139"/>
              <w:ind w:right="145"/>
              <w:jc w:val="right"/>
              <w:rPr>
                <w:sz w:val="17"/>
              </w:rPr>
            </w:pPr>
            <w:r>
              <w:rPr>
                <w:spacing w:val="-2"/>
                <w:sz w:val="17"/>
              </w:rPr>
              <w:t>164.2</w:t>
            </w:r>
          </w:p>
        </w:tc>
        <w:tc>
          <w:tcPr>
            <w:tcW w:w="688" w:type="dxa"/>
            <w:tcBorders>
              <w:bottom w:val="single" w:color="D9D9D9" w:sz="8" w:space="0"/>
            </w:tcBorders>
          </w:tcPr>
          <w:p w:rsidR="00C31389" w:rsidRDefault="00561FBD" w14:paraId="4FDCBE6E" w14:textId="77777777">
            <w:pPr>
              <w:pStyle w:val="TableParagraph"/>
              <w:spacing w:before="139"/>
              <w:ind w:left="122" w:right="91"/>
              <w:jc w:val="center"/>
              <w:rPr>
                <w:sz w:val="17"/>
              </w:rPr>
            </w:pPr>
            <w:r>
              <w:rPr>
                <w:spacing w:val="-2"/>
                <w:sz w:val="17"/>
              </w:rPr>
              <w:t>174.1</w:t>
            </w:r>
          </w:p>
        </w:tc>
        <w:tc>
          <w:tcPr>
            <w:tcW w:w="630" w:type="dxa"/>
            <w:tcBorders>
              <w:bottom w:val="single" w:color="D9D9D9" w:sz="8" w:space="0"/>
            </w:tcBorders>
          </w:tcPr>
          <w:p w:rsidR="00C31389" w:rsidRDefault="00561FBD" w14:paraId="62825F9F" w14:textId="77777777">
            <w:pPr>
              <w:pStyle w:val="TableParagraph"/>
              <w:spacing w:before="39"/>
              <w:ind w:right="112"/>
              <w:jc w:val="right"/>
              <w:rPr>
                <w:sz w:val="17"/>
              </w:rPr>
            </w:pPr>
            <w:r>
              <w:rPr>
                <w:spacing w:val="-4"/>
                <w:sz w:val="17"/>
              </w:rPr>
              <w:t>183.</w:t>
            </w:r>
          </w:p>
          <w:p w:rsidR="00C31389" w:rsidRDefault="00561FBD" w14:paraId="3E9B328D" w14:textId="77777777">
            <w:pPr>
              <w:pStyle w:val="TableParagraph"/>
              <w:spacing w:before="2"/>
              <w:ind w:right="113"/>
              <w:jc w:val="right"/>
              <w:rPr>
                <w:sz w:val="17"/>
              </w:rPr>
            </w:pPr>
            <w:r>
              <w:rPr>
                <w:sz w:val="17"/>
              </w:rPr>
              <w:t>2</w:t>
            </w:r>
          </w:p>
        </w:tc>
        <w:tc>
          <w:tcPr>
            <w:tcW w:w="630" w:type="dxa"/>
            <w:tcBorders>
              <w:bottom w:val="single" w:color="D9D9D9" w:sz="8" w:space="0"/>
            </w:tcBorders>
          </w:tcPr>
          <w:p w:rsidR="00C31389" w:rsidRDefault="00561FBD" w14:paraId="62EF1241" w14:textId="77777777">
            <w:pPr>
              <w:pStyle w:val="TableParagraph"/>
              <w:spacing w:before="39"/>
              <w:ind w:right="112"/>
              <w:jc w:val="right"/>
              <w:rPr>
                <w:sz w:val="17"/>
              </w:rPr>
            </w:pPr>
            <w:r>
              <w:rPr>
                <w:spacing w:val="-4"/>
                <w:sz w:val="17"/>
              </w:rPr>
              <w:t>191.</w:t>
            </w:r>
          </w:p>
          <w:p w:rsidR="00C31389" w:rsidRDefault="00561FBD" w14:paraId="089C28F3" w14:textId="77777777">
            <w:pPr>
              <w:pStyle w:val="TableParagraph"/>
              <w:spacing w:before="2"/>
              <w:ind w:right="113"/>
              <w:jc w:val="right"/>
              <w:rPr>
                <w:sz w:val="17"/>
              </w:rPr>
            </w:pPr>
            <w:r>
              <w:rPr>
                <w:sz w:val="17"/>
              </w:rPr>
              <w:t>4</w:t>
            </w:r>
          </w:p>
        </w:tc>
        <w:tc>
          <w:tcPr>
            <w:tcW w:w="630" w:type="dxa"/>
            <w:tcBorders>
              <w:bottom w:val="single" w:color="D9D9D9" w:sz="8" w:space="0"/>
            </w:tcBorders>
          </w:tcPr>
          <w:p w:rsidR="00C31389" w:rsidRDefault="00561FBD" w14:paraId="69DBA3E1" w14:textId="77777777">
            <w:pPr>
              <w:pStyle w:val="TableParagraph"/>
              <w:spacing w:before="39"/>
              <w:ind w:right="112"/>
              <w:jc w:val="right"/>
              <w:rPr>
                <w:sz w:val="17"/>
              </w:rPr>
            </w:pPr>
            <w:r>
              <w:rPr>
                <w:spacing w:val="-4"/>
                <w:sz w:val="17"/>
              </w:rPr>
              <w:t>199.</w:t>
            </w:r>
          </w:p>
          <w:p w:rsidR="00C31389" w:rsidRDefault="00561FBD" w14:paraId="2A2AD205" w14:textId="77777777">
            <w:pPr>
              <w:pStyle w:val="TableParagraph"/>
              <w:spacing w:before="2"/>
              <w:ind w:right="113"/>
              <w:jc w:val="right"/>
              <w:rPr>
                <w:sz w:val="17"/>
              </w:rPr>
            </w:pPr>
            <w:r>
              <w:rPr>
                <w:sz w:val="17"/>
              </w:rPr>
              <w:t>6</w:t>
            </w:r>
          </w:p>
        </w:tc>
        <w:tc>
          <w:tcPr>
            <w:tcW w:w="630" w:type="dxa"/>
            <w:tcBorders>
              <w:bottom w:val="single" w:color="D9D9D9" w:sz="8" w:space="0"/>
            </w:tcBorders>
          </w:tcPr>
          <w:p w:rsidR="00C31389" w:rsidRDefault="00561FBD" w14:paraId="47C7D724" w14:textId="77777777">
            <w:pPr>
              <w:pStyle w:val="TableParagraph"/>
              <w:spacing w:before="139"/>
              <w:ind w:right="113"/>
              <w:jc w:val="right"/>
              <w:rPr>
                <w:sz w:val="17"/>
              </w:rPr>
            </w:pPr>
            <w:r>
              <w:rPr>
                <w:spacing w:val="-4"/>
                <w:sz w:val="17"/>
              </w:rPr>
              <w:t>13.8</w:t>
            </w:r>
          </w:p>
        </w:tc>
        <w:tc>
          <w:tcPr>
            <w:tcW w:w="630" w:type="dxa"/>
            <w:tcBorders>
              <w:bottom w:val="single" w:color="D9D9D9" w:sz="8" w:space="0"/>
            </w:tcBorders>
          </w:tcPr>
          <w:p w:rsidR="00C31389" w:rsidRDefault="00561FBD" w14:paraId="58956B4D" w14:textId="77777777">
            <w:pPr>
              <w:pStyle w:val="TableParagraph"/>
              <w:spacing w:before="139"/>
              <w:ind w:right="113"/>
              <w:jc w:val="right"/>
              <w:rPr>
                <w:sz w:val="17"/>
              </w:rPr>
            </w:pPr>
            <w:r>
              <w:rPr>
                <w:spacing w:val="-4"/>
                <w:sz w:val="17"/>
              </w:rPr>
              <w:t>16.6</w:t>
            </w:r>
          </w:p>
        </w:tc>
        <w:tc>
          <w:tcPr>
            <w:tcW w:w="630" w:type="dxa"/>
            <w:tcBorders>
              <w:bottom w:val="single" w:color="D9D9D9" w:sz="8" w:space="0"/>
            </w:tcBorders>
          </w:tcPr>
          <w:p w:rsidR="00C31389" w:rsidRDefault="00561FBD" w14:paraId="77424009" w14:textId="77777777">
            <w:pPr>
              <w:pStyle w:val="TableParagraph"/>
              <w:spacing w:before="139"/>
              <w:ind w:right="113"/>
              <w:jc w:val="right"/>
              <w:rPr>
                <w:sz w:val="17"/>
              </w:rPr>
            </w:pPr>
            <w:r>
              <w:rPr>
                <w:spacing w:val="-4"/>
                <w:sz w:val="17"/>
              </w:rPr>
              <w:t>18.8</w:t>
            </w:r>
          </w:p>
        </w:tc>
        <w:tc>
          <w:tcPr>
            <w:tcW w:w="630" w:type="dxa"/>
            <w:tcBorders>
              <w:bottom w:val="single" w:color="D9D9D9" w:sz="8" w:space="0"/>
            </w:tcBorders>
          </w:tcPr>
          <w:p w:rsidR="00C31389" w:rsidRDefault="00561FBD" w14:paraId="439F9C05" w14:textId="77777777">
            <w:pPr>
              <w:pStyle w:val="TableParagraph"/>
              <w:spacing w:before="139"/>
              <w:ind w:right="113"/>
              <w:jc w:val="right"/>
              <w:rPr>
                <w:sz w:val="17"/>
              </w:rPr>
            </w:pPr>
            <w:r>
              <w:rPr>
                <w:spacing w:val="-4"/>
                <w:sz w:val="17"/>
              </w:rPr>
              <w:t>18.2</w:t>
            </w:r>
          </w:p>
        </w:tc>
        <w:tc>
          <w:tcPr>
            <w:tcW w:w="630" w:type="dxa"/>
            <w:tcBorders>
              <w:bottom w:val="single" w:color="D9D9D9" w:sz="8" w:space="0"/>
            </w:tcBorders>
          </w:tcPr>
          <w:p w:rsidR="00C31389" w:rsidRDefault="00561FBD" w14:paraId="5D31444E" w14:textId="77777777">
            <w:pPr>
              <w:pStyle w:val="TableParagraph"/>
              <w:spacing w:before="139"/>
              <w:ind w:right="113"/>
              <w:jc w:val="right"/>
              <w:rPr>
                <w:sz w:val="17"/>
              </w:rPr>
            </w:pPr>
            <w:r>
              <w:rPr>
                <w:spacing w:val="-4"/>
                <w:sz w:val="17"/>
              </w:rPr>
              <w:t>19.7</w:t>
            </w:r>
          </w:p>
        </w:tc>
        <w:tc>
          <w:tcPr>
            <w:tcW w:w="623" w:type="dxa"/>
            <w:tcBorders>
              <w:bottom w:val="single" w:color="D9D9D9" w:sz="8" w:space="0"/>
            </w:tcBorders>
          </w:tcPr>
          <w:p w:rsidR="00C31389" w:rsidRDefault="00561FBD" w14:paraId="46165208" w14:textId="77777777">
            <w:pPr>
              <w:pStyle w:val="TableParagraph"/>
              <w:spacing w:before="139"/>
              <w:ind w:right="106"/>
              <w:jc w:val="right"/>
              <w:rPr>
                <w:sz w:val="17"/>
              </w:rPr>
            </w:pPr>
            <w:r>
              <w:rPr>
                <w:spacing w:val="-4"/>
                <w:sz w:val="17"/>
              </w:rPr>
              <w:t>20.7</w:t>
            </w:r>
          </w:p>
        </w:tc>
      </w:tr>
      <w:tr w:rsidR="00C31389" w14:paraId="1448D731" w14:textId="77777777">
        <w:trPr>
          <w:trHeight w:val="471"/>
        </w:trPr>
        <w:tc>
          <w:tcPr>
            <w:tcW w:w="1363" w:type="dxa"/>
            <w:tcBorders>
              <w:top w:val="single" w:color="DCDDDE" w:sz="4" w:space="0"/>
              <w:bottom w:val="single" w:color="DCDDDE" w:sz="4" w:space="0"/>
            </w:tcBorders>
          </w:tcPr>
          <w:p w:rsidR="00C31389" w:rsidRDefault="00561FBD" w14:paraId="34A9343C" w14:textId="77777777">
            <w:pPr>
              <w:pStyle w:val="TableParagraph"/>
              <w:spacing w:before="139"/>
              <w:ind w:left="120"/>
              <w:rPr>
                <w:sz w:val="17"/>
              </w:rPr>
            </w:pPr>
            <w:r>
              <w:rPr>
                <w:spacing w:val="-4"/>
                <w:sz w:val="17"/>
              </w:rPr>
              <w:t>BROs</w:t>
            </w:r>
          </w:p>
        </w:tc>
        <w:tc>
          <w:tcPr>
            <w:tcW w:w="839" w:type="dxa"/>
            <w:tcBorders>
              <w:top w:val="single" w:color="D9D9D9" w:sz="8" w:space="0"/>
              <w:bottom w:val="single" w:color="DCDDDE" w:sz="4" w:space="0"/>
            </w:tcBorders>
          </w:tcPr>
          <w:p w:rsidR="00C31389" w:rsidRDefault="00561FBD" w14:paraId="5A45A036" w14:textId="77777777">
            <w:pPr>
              <w:pStyle w:val="TableParagraph"/>
              <w:spacing w:before="139"/>
              <w:ind w:right="135"/>
              <w:jc w:val="right"/>
              <w:rPr>
                <w:sz w:val="17"/>
              </w:rPr>
            </w:pPr>
            <w:r>
              <w:rPr>
                <w:spacing w:val="-2"/>
                <w:sz w:val="17"/>
              </w:rPr>
              <w:t>231.3</w:t>
            </w:r>
          </w:p>
        </w:tc>
        <w:tc>
          <w:tcPr>
            <w:tcW w:w="820" w:type="dxa"/>
            <w:tcBorders>
              <w:top w:val="single" w:color="D9D9D9" w:sz="8" w:space="0"/>
              <w:bottom w:val="single" w:color="DCDDDE" w:sz="4" w:space="0"/>
            </w:tcBorders>
          </w:tcPr>
          <w:p w:rsidR="00C31389" w:rsidRDefault="00561FBD" w14:paraId="3C201D38" w14:textId="77777777">
            <w:pPr>
              <w:pStyle w:val="TableParagraph"/>
              <w:spacing w:before="139"/>
              <w:ind w:right="145"/>
              <w:jc w:val="right"/>
              <w:rPr>
                <w:sz w:val="17"/>
              </w:rPr>
            </w:pPr>
            <w:r>
              <w:rPr>
                <w:spacing w:val="-2"/>
                <w:sz w:val="17"/>
              </w:rPr>
              <w:t>240.6</w:t>
            </w:r>
          </w:p>
        </w:tc>
        <w:tc>
          <w:tcPr>
            <w:tcW w:w="688" w:type="dxa"/>
            <w:tcBorders>
              <w:top w:val="single" w:color="D9D9D9" w:sz="8" w:space="0"/>
              <w:bottom w:val="single" w:color="DCDDDE" w:sz="4" w:space="0"/>
            </w:tcBorders>
          </w:tcPr>
          <w:p w:rsidR="00C31389" w:rsidRDefault="00561FBD" w14:paraId="370DD2DF" w14:textId="77777777">
            <w:pPr>
              <w:pStyle w:val="TableParagraph"/>
              <w:spacing w:before="139"/>
              <w:ind w:left="122" w:right="91"/>
              <w:jc w:val="center"/>
              <w:rPr>
                <w:sz w:val="17"/>
              </w:rPr>
            </w:pPr>
            <w:r>
              <w:rPr>
                <w:spacing w:val="-2"/>
                <w:sz w:val="17"/>
              </w:rPr>
              <w:t>250.6</w:t>
            </w:r>
          </w:p>
        </w:tc>
        <w:tc>
          <w:tcPr>
            <w:tcW w:w="630" w:type="dxa"/>
            <w:tcBorders>
              <w:top w:val="single" w:color="D9D9D9" w:sz="8" w:space="0"/>
              <w:bottom w:val="single" w:color="DCDDDE" w:sz="4" w:space="0"/>
            </w:tcBorders>
          </w:tcPr>
          <w:p w:rsidR="00C31389" w:rsidRDefault="00561FBD" w14:paraId="285F9393" w14:textId="77777777">
            <w:pPr>
              <w:pStyle w:val="TableParagraph"/>
              <w:ind w:right="112"/>
              <w:jc w:val="right"/>
              <w:rPr>
                <w:sz w:val="17"/>
              </w:rPr>
            </w:pPr>
            <w:r>
              <w:rPr>
                <w:spacing w:val="-4"/>
                <w:sz w:val="17"/>
              </w:rPr>
              <w:t>261.</w:t>
            </w:r>
          </w:p>
          <w:p w:rsidR="00C31389" w:rsidRDefault="00561FBD" w14:paraId="75AD2AB7"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0F4CB727" w14:textId="77777777">
            <w:pPr>
              <w:pStyle w:val="TableParagraph"/>
              <w:ind w:right="112"/>
              <w:jc w:val="right"/>
              <w:rPr>
                <w:sz w:val="17"/>
              </w:rPr>
            </w:pPr>
            <w:r>
              <w:rPr>
                <w:spacing w:val="-4"/>
                <w:sz w:val="17"/>
              </w:rPr>
              <w:t>271.</w:t>
            </w:r>
          </w:p>
          <w:p w:rsidR="00C31389" w:rsidRDefault="00561FBD" w14:paraId="0D1B12A3" w14:textId="77777777">
            <w:pPr>
              <w:pStyle w:val="TableParagraph"/>
              <w:spacing w:before="0"/>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62A6A4EB" w14:textId="77777777">
            <w:pPr>
              <w:pStyle w:val="TableParagraph"/>
              <w:ind w:right="112"/>
              <w:jc w:val="right"/>
              <w:rPr>
                <w:sz w:val="17"/>
              </w:rPr>
            </w:pPr>
            <w:r>
              <w:rPr>
                <w:spacing w:val="-4"/>
                <w:sz w:val="17"/>
              </w:rPr>
              <w:t>283.</w:t>
            </w:r>
          </w:p>
          <w:p w:rsidR="00C31389" w:rsidRDefault="00561FBD" w14:paraId="2E11C3EF" w14:textId="77777777">
            <w:pPr>
              <w:pStyle w:val="TableParagraph"/>
              <w:spacing w:before="0"/>
              <w:ind w:right="113"/>
              <w:jc w:val="right"/>
              <w:rPr>
                <w:sz w:val="17"/>
              </w:rPr>
            </w:pPr>
            <w:r>
              <w:rPr>
                <w:sz w:val="17"/>
              </w:rPr>
              <w:t>1</w:t>
            </w:r>
          </w:p>
        </w:tc>
        <w:tc>
          <w:tcPr>
            <w:tcW w:w="630" w:type="dxa"/>
            <w:tcBorders>
              <w:top w:val="single" w:color="D9D9D9" w:sz="8" w:space="0"/>
              <w:bottom w:val="single" w:color="DCDDDE" w:sz="4" w:space="0"/>
            </w:tcBorders>
          </w:tcPr>
          <w:p w:rsidR="00C31389" w:rsidRDefault="00561FBD" w14:paraId="7A966543" w14:textId="77777777">
            <w:pPr>
              <w:pStyle w:val="TableParagraph"/>
              <w:ind w:right="112"/>
              <w:jc w:val="right"/>
              <w:rPr>
                <w:sz w:val="17"/>
              </w:rPr>
            </w:pPr>
            <w:r>
              <w:rPr>
                <w:spacing w:val="-4"/>
                <w:sz w:val="17"/>
              </w:rPr>
              <w:t>295.</w:t>
            </w:r>
          </w:p>
          <w:p w:rsidR="00C31389" w:rsidRDefault="00561FBD" w14:paraId="76B7B971" w14:textId="77777777">
            <w:pPr>
              <w:pStyle w:val="TableParagraph"/>
              <w:spacing w:before="0"/>
              <w:ind w:right="113"/>
              <w:jc w:val="right"/>
              <w:rPr>
                <w:sz w:val="17"/>
              </w:rPr>
            </w:pPr>
            <w:r>
              <w:rPr>
                <w:sz w:val="17"/>
              </w:rPr>
              <w:t>8</w:t>
            </w:r>
          </w:p>
        </w:tc>
        <w:tc>
          <w:tcPr>
            <w:tcW w:w="630" w:type="dxa"/>
            <w:tcBorders>
              <w:top w:val="single" w:color="D9D9D9" w:sz="8" w:space="0"/>
              <w:bottom w:val="single" w:color="DCDDDE" w:sz="4" w:space="0"/>
            </w:tcBorders>
          </w:tcPr>
          <w:p w:rsidR="00C31389" w:rsidRDefault="00561FBD" w14:paraId="015218DE" w14:textId="77777777">
            <w:pPr>
              <w:pStyle w:val="TableParagraph"/>
              <w:ind w:right="112"/>
              <w:jc w:val="right"/>
              <w:rPr>
                <w:sz w:val="17"/>
              </w:rPr>
            </w:pPr>
            <w:r>
              <w:rPr>
                <w:spacing w:val="-4"/>
                <w:sz w:val="17"/>
              </w:rPr>
              <w:t>308.</w:t>
            </w:r>
          </w:p>
          <w:p w:rsidR="00C31389" w:rsidRDefault="00561FBD" w14:paraId="4590B704" w14:textId="77777777">
            <w:pPr>
              <w:pStyle w:val="TableParagraph"/>
              <w:spacing w:before="0"/>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5BCA0166" w14:textId="77777777">
            <w:pPr>
              <w:pStyle w:val="TableParagraph"/>
              <w:ind w:right="112"/>
              <w:jc w:val="right"/>
              <w:rPr>
                <w:sz w:val="17"/>
              </w:rPr>
            </w:pPr>
            <w:r>
              <w:rPr>
                <w:spacing w:val="-4"/>
                <w:sz w:val="17"/>
              </w:rPr>
              <w:t>322.</w:t>
            </w:r>
          </w:p>
          <w:p w:rsidR="00C31389" w:rsidRDefault="00561FBD" w14:paraId="6FA48F67"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171E4B18" w14:textId="77777777">
            <w:pPr>
              <w:pStyle w:val="TableParagraph"/>
              <w:ind w:right="112"/>
              <w:jc w:val="right"/>
              <w:rPr>
                <w:sz w:val="17"/>
              </w:rPr>
            </w:pPr>
            <w:r>
              <w:rPr>
                <w:spacing w:val="-4"/>
                <w:sz w:val="17"/>
              </w:rPr>
              <w:t>339.</w:t>
            </w:r>
          </w:p>
          <w:p w:rsidR="00C31389" w:rsidRDefault="00561FBD" w14:paraId="0033A81F" w14:textId="77777777">
            <w:pPr>
              <w:pStyle w:val="TableParagraph"/>
              <w:spacing w:before="0"/>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58C55CEA" w14:textId="77777777">
            <w:pPr>
              <w:pStyle w:val="TableParagraph"/>
              <w:ind w:right="112"/>
              <w:jc w:val="right"/>
              <w:rPr>
                <w:sz w:val="17"/>
              </w:rPr>
            </w:pPr>
            <w:r>
              <w:rPr>
                <w:spacing w:val="-4"/>
                <w:sz w:val="17"/>
              </w:rPr>
              <w:t>344.</w:t>
            </w:r>
          </w:p>
          <w:p w:rsidR="00C31389" w:rsidRDefault="00561FBD" w14:paraId="268A6AEE" w14:textId="77777777">
            <w:pPr>
              <w:pStyle w:val="TableParagraph"/>
              <w:spacing w:before="0"/>
              <w:ind w:right="113"/>
              <w:jc w:val="right"/>
              <w:rPr>
                <w:sz w:val="17"/>
              </w:rPr>
            </w:pPr>
            <w:r>
              <w:rPr>
                <w:sz w:val="17"/>
              </w:rPr>
              <w:t>0</w:t>
            </w:r>
          </w:p>
        </w:tc>
        <w:tc>
          <w:tcPr>
            <w:tcW w:w="623" w:type="dxa"/>
            <w:tcBorders>
              <w:top w:val="single" w:color="D9D9D9" w:sz="8" w:space="0"/>
              <w:bottom w:val="single" w:color="DCDDDE" w:sz="4" w:space="0"/>
            </w:tcBorders>
          </w:tcPr>
          <w:p w:rsidR="00C31389" w:rsidRDefault="00561FBD" w14:paraId="2735003C" w14:textId="77777777">
            <w:pPr>
              <w:pStyle w:val="TableParagraph"/>
              <w:ind w:right="105"/>
              <w:jc w:val="right"/>
              <w:rPr>
                <w:sz w:val="17"/>
              </w:rPr>
            </w:pPr>
            <w:r>
              <w:rPr>
                <w:spacing w:val="-4"/>
                <w:sz w:val="17"/>
              </w:rPr>
              <w:t>360.</w:t>
            </w:r>
          </w:p>
          <w:p w:rsidR="00C31389" w:rsidRDefault="00561FBD" w14:paraId="3756B41F" w14:textId="77777777">
            <w:pPr>
              <w:pStyle w:val="TableParagraph"/>
              <w:spacing w:before="0"/>
              <w:ind w:right="106"/>
              <w:jc w:val="right"/>
              <w:rPr>
                <w:sz w:val="17"/>
              </w:rPr>
            </w:pPr>
            <w:r>
              <w:rPr>
                <w:sz w:val="17"/>
              </w:rPr>
              <w:t>8</w:t>
            </w:r>
          </w:p>
        </w:tc>
      </w:tr>
      <w:tr w:rsidR="00C31389" w14:paraId="076349AD"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497422AE" w14:textId="77777777">
            <w:pPr>
              <w:pStyle w:val="TableParagraph"/>
              <w:ind w:left="120"/>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5035F76D" w14:textId="77777777">
        <w:trPr>
          <w:trHeight w:val="275"/>
        </w:trPr>
        <w:tc>
          <w:tcPr>
            <w:tcW w:w="1363" w:type="dxa"/>
            <w:tcBorders>
              <w:top w:val="single" w:color="DCDDDE" w:sz="4" w:space="0"/>
              <w:bottom w:val="single" w:color="DCDDDE" w:sz="4" w:space="0"/>
            </w:tcBorders>
          </w:tcPr>
          <w:p w:rsidR="00C31389" w:rsidRDefault="00561FBD" w14:paraId="070E2ADF" w14:textId="77777777">
            <w:pPr>
              <w:pStyle w:val="TableParagraph"/>
              <w:ind w:left="120"/>
              <w:rPr>
                <w:sz w:val="17"/>
              </w:rPr>
            </w:pPr>
            <w:r>
              <w:rPr>
                <w:spacing w:val="-5"/>
                <w:sz w:val="17"/>
              </w:rPr>
              <w:t>EE</w:t>
            </w:r>
          </w:p>
        </w:tc>
        <w:tc>
          <w:tcPr>
            <w:tcW w:w="839" w:type="dxa"/>
            <w:tcBorders>
              <w:top w:val="single" w:color="DCDDDE" w:sz="4" w:space="0"/>
            </w:tcBorders>
          </w:tcPr>
          <w:p w:rsidR="00C31389" w:rsidRDefault="00561FBD" w14:paraId="458F6941" w14:textId="77777777">
            <w:pPr>
              <w:pStyle w:val="TableParagraph"/>
              <w:ind w:right="135"/>
              <w:jc w:val="right"/>
              <w:rPr>
                <w:sz w:val="17"/>
              </w:rPr>
            </w:pPr>
            <w:r>
              <w:rPr>
                <w:spacing w:val="-4"/>
                <w:sz w:val="17"/>
              </w:rPr>
              <w:t>87.2</w:t>
            </w:r>
          </w:p>
        </w:tc>
        <w:tc>
          <w:tcPr>
            <w:tcW w:w="820" w:type="dxa"/>
            <w:tcBorders>
              <w:top w:val="single" w:color="DCDDDE" w:sz="4" w:space="0"/>
            </w:tcBorders>
          </w:tcPr>
          <w:p w:rsidR="00C31389" w:rsidRDefault="00561FBD" w14:paraId="29C5BDF4" w14:textId="77777777">
            <w:pPr>
              <w:pStyle w:val="TableParagraph"/>
              <w:ind w:right="145"/>
              <w:jc w:val="right"/>
              <w:rPr>
                <w:sz w:val="17"/>
              </w:rPr>
            </w:pPr>
            <w:r>
              <w:rPr>
                <w:spacing w:val="-4"/>
                <w:sz w:val="17"/>
              </w:rPr>
              <w:t>81.0</w:t>
            </w:r>
          </w:p>
        </w:tc>
        <w:tc>
          <w:tcPr>
            <w:tcW w:w="688" w:type="dxa"/>
            <w:tcBorders>
              <w:top w:val="single" w:color="DCDDDE" w:sz="4" w:space="0"/>
            </w:tcBorders>
          </w:tcPr>
          <w:p w:rsidR="00C31389" w:rsidRDefault="00561FBD" w14:paraId="2214FD3A" w14:textId="77777777">
            <w:pPr>
              <w:pStyle w:val="TableParagraph"/>
              <w:ind w:left="131" w:right="5"/>
              <w:jc w:val="center"/>
              <w:rPr>
                <w:sz w:val="17"/>
              </w:rPr>
            </w:pPr>
            <w:r>
              <w:rPr>
                <w:spacing w:val="-4"/>
                <w:sz w:val="17"/>
              </w:rPr>
              <w:t>70.8</w:t>
            </w:r>
          </w:p>
        </w:tc>
        <w:tc>
          <w:tcPr>
            <w:tcW w:w="630" w:type="dxa"/>
            <w:tcBorders>
              <w:top w:val="single" w:color="DCDDDE" w:sz="4" w:space="0"/>
            </w:tcBorders>
          </w:tcPr>
          <w:p w:rsidR="00C31389" w:rsidRDefault="00561FBD" w14:paraId="1A436DC5" w14:textId="77777777">
            <w:pPr>
              <w:pStyle w:val="TableParagraph"/>
              <w:ind w:right="113"/>
              <w:jc w:val="right"/>
              <w:rPr>
                <w:sz w:val="17"/>
              </w:rPr>
            </w:pPr>
            <w:r>
              <w:rPr>
                <w:spacing w:val="-4"/>
                <w:sz w:val="17"/>
              </w:rPr>
              <w:t>61.8</w:t>
            </w:r>
          </w:p>
        </w:tc>
        <w:tc>
          <w:tcPr>
            <w:tcW w:w="630" w:type="dxa"/>
            <w:tcBorders>
              <w:top w:val="single" w:color="DCDDDE" w:sz="4" w:space="0"/>
            </w:tcBorders>
          </w:tcPr>
          <w:p w:rsidR="00C31389" w:rsidRDefault="00561FBD" w14:paraId="27D6CDEC" w14:textId="77777777">
            <w:pPr>
              <w:pStyle w:val="TableParagraph"/>
              <w:ind w:right="113"/>
              <w:jc w:val="right"/>
              <w:rPr>
                <w:sz w:val="17"/>
              </w:rPr>
            </w:pPr>
            <w:r>
              <w:rPr>
                <w:spacing w:val="-4"/>
                <w:sz w:val="17"/>
              </w:rPr>
              <w:t>60.1</w:t>
            </w:r>
          </w:p>
        </w:tc>
        <w:tc>
          <w:tcPr>
            <w:tcW w:w="630" w:type="dxa"/>
            <w:tcBorders>
              <w:top w:val="single" w:color="DCDDDE" w:sz="4" w:space="0"/>
            </w:tcBorders>
          </w:tcPr>
          <w:p w:rsidR="00C31389" w:rsidRDefault="00561FBD" w14:paraId="76A6A8C7" w14:textId="77777777">
            <w:pPr>
              <w:pStyle w:val="TableParagraph"/>
              <w:ind w:right="113"/>
              <w:jc w:val="right"/>
              <w:rPr>
                <w:sz w:val="17"/>
              </w:rPr>
            </w:pPr>
            <w:r>
              <w:rPr>
                <w:spacing w:val="-4"/>
                <w:sz w:val="17"/>
              </w:rPr>
              <w:t>56.6</w:t>
            </w:r>
          </w:p>
        </w:tc>
        <w:tc>
          <w:tcPr>
            <w:tcW w:w="630" w:type="dxa"/>
            <w:tcBorders>
              <w:top w:val="single" w:color="DCDDDE" w:sz="4" w:space="0"/>
            </w:tcBorders>
          </w:tcPr>
          <w:p w:rsidR="00C31389" w:rsidRDefault="00561FBD" w14:paraId="72A5D685" w14:textId="77777777">
            <w:pPr>
              <w:pStyle w:val="TableParagraph"/>
              <w:ind w:right="113"/>
              <w:jc w:val="right"/>
              <w:rPr>
                <w:sz w:val="17"/>
              </w:rPr>
            </w:pPr>
            <w:r>
              <w:rPr>
                <w:spacing w:val="-4"/>
                <w:sz w:val="17"/>
              </w:rPr>
              <w:t>64.6</w:t>
            </w:r>
          </w:p>
        </w:tc>
        <w:tc>
          <w:tcPr>
            <w:tcW w:w="630" w:type="dxa"/>
            <w:tcBorders>
              <w:top w:val="single" w:color="DCDDDE" w:sz="4" w:space="0"/>
            </w:tcBorders>
          </w:tcPr>
          <w:p w:rsidR="00C31389" w:rsidRDefault="00561FBD" w14:paraId="5F23B2D0" w14:textId="77777777">
            <w:pPr>
              <w:pStyle w:val="TableParagraph"/>
              <w:ind w:right="113"/>
              <w:jc w:val="right"/>
              <w:rPr>
                <w:sz w:val="17"/>
              </w:rPr>
            </w:pPr>
            <w:r>
              <w:rPr>
                <w:spacing w:val="-4"/>
                <w:sz w:val="17"/>
              </w:rPr>
              <w:t>57.0</w:t>
            </w:r>
          </w:p>
        </w:tc>
        <w:tc>
          <w:tcPr>
            <w:tcW w:w="630" w:type="dxa"/>
            <w:tcBorders>
              <w:top w:val="single" w:color="DCDDDE" w:sz="4" w:space="0"/>
            </w:tcBorders>
          </w:tcPr>
          <w:p w:rsidR="00C31389" w:rsidRDefault="00561FBD" w14:paraId="778FB132" w14:textId="77777777">
            <w:pPr>
              <w:pStyle w:val="TableParagraph"/>
              <w:ind w:right="113"/>
              <w:jc w:val="right"/>
              <w:rPr>
                <w:sz w:val="17"/>
              </w:rPr>
            </w:pPr>
            <w:r>
              <w:rPr>
                <w:spacing w:val="-4"/>
                <w:sz w:val="17"/>
              </w:rPr>
              <w:t>56.1</w:t>
            </w:r>
          </w:p>
        </w:tc>
        <w:tc>
          <w:tcPr>
            <w:tcW w:w="630" w:type="dxa"/>
            <w:tcBorders>
              <w:top w:val="single" w:color="DCDDDE" w:sz="4" w:space="0"/>
            </w:tcBorders>
          </w:tcPr>
          <w:p w:rsidR="00C31389" w:rsidRDefault="00561FBD" w14:paraId="5E8DD0FC" w14:textId="77777777">
            <w:pPr>
              <w:pStyle w:val="TableParagraph"/>
              <w:ind w:right="113"/>
              <w:jc w:val="right"/>
              <w:rPr>
                <w:sz w:val="17"/>
              </w:rPr>
            </w:pPr>
            <w:r>
              <w:rPr>
                <w:spacing w:val="-4"/>
                <w:sz w:val="17"/>
              </w:rPr>
              <w:t>54.1</w:t>
            </w:r>
          </w:p>
        </w:tc>
        <w:tc>
          <w:tcPr>
            <w:tcW w:w="630" w:type="dxa"/>
            <w:tcBorders>
              <w:top w:val="single" w:color="DCDDDE" w:sz="4" w:space="0"/>
            </w:tcBorders>
          </w:tcPr>
          <w:p w:rsidR="00C31389" w:rsidRDefault="00561FBD" w14:paraId="01973D46" w14:textId="77777777">
            <w:pPr>
              <w:pStyle w:val="TableParagraph"/>
              <w:ind w:right="113"/>
              <w:jc w:val="right"/>
              <w:rPr>
                <w:sz w:val="17"/>
              </w:rPr>
            </w:pPr>
            <w:r>
              <w:rPr>
                <w:spacing w:val="-4"/>
                <w:sz w:val="17"/>
              </w:rPr>
              <w:t>53.4</w:t>
            </w:r>
          </w:p>
        </w:tc>
        <w:tc>
          <w:tcPr>
            <w:tcW w:w="623" w:type="dxa"/>
            <w:tcBorders>
              <w:top w:val="single" w:color="DCDDDE" w:sz="4" w:space="0"/>
            </w:tcBorders>
          </w:tcPr>
          <w:p w:rsidR="00C31389" w:rsidRDefault="00561FBD" w14:paraId="22166539" w14:textId="77777777">
            <w:pPr>
              <w:pStyle w:val="TableParagraph"/>
              <w:ind w:right="106"/>
              <w:jc w:val="right"/>
              <w:rPr>
                <w:sz w:val="17"/>
              </w:rPr>
            </w:pPr>
            <w:r>
              <w:rPr>
                <w:spacing w:val="-4"/>
                <w:sz w:val="17"/>
              </w:rPr>
              <w:t>53.2</w:t>
            </w:r>
          </w:p>
        </w:tc>
      </w:tr>
      <w:tr w:rsidR="00C31389" w14:paraId="562AE5A0" w14:textId="77777777">
        <w:trPr>
          <w:trHeight w:val="275"/>
        </w:trPr>
        <w:tc>
          <w:tcPr>
            <w:tcW w:w="1363" w:type="dxa"/>
            <w:tcBorders>
              <w:top w:val="single" w:color="DCDDDE" w:sz="4" w:space="0"/>
              <w:bottom w:val="single" w:color="DCDDDE" w:sz="4" w:space="0"/>
            </w:tcBorders>
          </w:tcPr>
          <w:p w:rsidR="00C31389" w:rsidRDefault="00561FBD" w14:paraId="4161ED06" w14:textId="77777777">
            <w:pPr>
              <w:pStyle w:val="TableParagraph"/>
              <w:ind w:left="120"/>
              <w:rPr>
                <w:sz w:val="17"/>
              </w:rPr>
            </w:pPr>
            <w:r>
              <w:rPr>
                <w:spacing w:val="-5"/>
                <w:sz w:val="17"/>
              </w:rPr>
              <w:t>FS</w:t>
            </w:r>
          </w:p>
        </w:tc>
        <w:tc>
          <w:tcPr>
            <w:tcW w:w="839" w:type="dxa"/>
            <w:tcBorders>
              <w:bottom w:val="single" w:color="D9D9D9" w:sz="8" w:space="0"/>
            </w:tcBorders>
          </w:tcPr>
          <w:p w:rsidR="00C31389" w:rsidRDefault="00561FBD" w14:paraId="64CEC7DC" w14:textId="77777777">
            <w:pPr>
              <w:pStyle w:val="TableParagraph"/>
              <w:ind w:right="135"/>
              <w:jc w:val="right"/>
              <w:rPr>
                <w:sz w:val="17"/>
              </w:rPr>
            </w:pPr>
            <w:r>
              <w:rPr>
                <w:spacing w:val="-4"/>
                <w:sz w:val="17"/>
              </w:rPr>
              <w:t>27.8</w:t>
            </w:r>
          </w:p>
        </w:tc>
        <w:tc>
          <w:tcPr>
            <w:tcW w:w="820" w:type="dxa"/>
            <w:tcBorders>
              <w:bottom w:val="single" w:color="D9D9D9" w:sz="8" w:space="0"/>
            </w:tcBorders>
          </w:tcPr>
          <w:p w:rsidR="00C31389" w:rsidRDefault="00561FBD" w14:paraId="6BD6241A" w14:textId="77777777">
            <w:pPr>
              <w:pStyle w:val="TableParagraph"/>
              <w:ind w:right="145"/>
              <w:jc w:val="right"/>
              <w:rPr>
                <w:sz w:val="17"/>
              </w:rPr>
            </w:pPr>
            <w:r>
              <w:rPr>
                <w:spacing w:val="-4"/>
                <w:sz w:val="17"/>
              </w:rPr>
              <w:t>27.9</w:t>
            </w:r>
          </w:p>
        </w:tc>
        <w:tc>
          <w:tcPr>
            <w:tcW w:w="688" w:type="dxa"/>
            <w:tcBorders>
              <w:bottom w:val="single" w:color="D9D9D9" w:sz="8" w:space="0"/>
            </w:tcBorders>
          </w:tcPr>
          <w:p w:rsidR="00C31389" w:rsidRDefault="00561FBD" w14:paraId="1133E9D7" w14:textId="77777777">
            <w:pPr>
              <w:pStyle w:val="TableParagraph"/>
              <w:ind w:left="131" w:right="5"/>
              <w:jc w:val="center"/>
              <w:rPr>
                <w:sz w:val="17"/>
              </w:rPr>
            </w:pPr>
            <w:r>
              <w:rPr>
                <w:spacing w:val="-4"/>
                <w:sz w:val="17"/>
              </w:rPr>
              <w:t>28.0</w:t>
            </w:r>
          </w:p>
        </w:tc>
        <w:tc>
          <w:tcPr>
            <w:tcW w:w="630" w:type="dxa"/>
            <w:tcBorders>
              <w:bottom w:val="single" w:color="D9D9D9" w:sz="8" w:space="0"/>
            </w:tcBorders>
          </w:tcPr>
          <w:p w:rsidR="00C31389" w:rsidRDefault="00561FBD" w14:paraId="0F9EA244" w14:textId="77777777">
            <w:pPr>
              <w:pStyle w:val="TableParagraph"/>
              <w:ind w:right="113"/>
              <w:jc w:val="right"/>
              <w:rPr>
                <w:sz w:val="17"/>
              </w:rPr>
            </w:pPr>
            <w:r>
              <w:rPr>
                <w:spacing w:val="-4"/>
                <w:sz w:val="17"/>
              </w:rPr>
              <w:t>28.3</w:t>
            </w:r>
          </w:p>
        </w:tc>
        <w:tc>
          <w:tcPr>
            <w:tcW w:w="630" w:type="dxa"/>
            <w:tcBorders>
              <w:bottom w:val="single" w:color="D9D9D9" w:sz="8" w:space="0"/>
            </w:tcBorders>
          </w:tcPr>
          <w:p w:rsidR="00C31389" w:rsidRDefault="00561FBD" w14:paraId="53C3D747" w14:textId="77777777">
            <w:pPr>
              <w:pStyle w:val="TableParagraph"/>
              <w:ind w:right="113"/>
              <w:jc w:val="right"/>
              <w:rPr>
                <w:sz w:val="17"/>
              </w:rPr>
            </w:pPr>
            <w:r>
              <w:rPr>
                <w:spacing w:val="-4"/>
                <w:sz w:val="17"/>
              </w:rPr>
              <w:t>28.6</w:t>
            </w:r>
          </w:p>
        </w:tc>
        <w:tc>
          <w:tcPr>
            <w:tcW w:w="630" w:type="dxa"/>
            <w:tcBorders>
              <w:bottom w:val="single" w:color="D9D9D9" w:sz="8" w:space="0"/>
            </w:tcBorders>
          </w:tcPr>
          <w:p w:rsidR="00C31389" w:rsidRDefault="00561FBD" w14:paraId="1B26B110" w14:textId="77777777">
            <w:pPr>
              <w:pStyle w:val="TableParagraph"/>
              <w:ind w:right="113"/>
              <w:jc w:val="right"/>
              <w:rPr>
                <w:sz w:val="17"/>
              </w:rPr>
            </w:pPr>
            <w:r>
              <w:rPr>
                <w:spacing w:val="-4"/>
                <w:sz w:val="17"/>
              </w:rPr>
              <w:t>29.0</w:t>
            </w:r>
          </w:p>
        </w:tc>
        <w:tc>
          <w:tcPr>
            <w:tcW w:w="630" w:type="dxa"/>
            <w:tcBorders>
              <w:bottom w:val="single" w:color="D9D9D9" w:sz="8" w:space="0"/>
            </w:tcBorders>
          </w:tcPr>
          <w:p w:rsidR="00C31389" w:rsidRDefault="00561FBD" w14:paraId="3663665D" w14:textId="77777777">
            <w:pPr>
              <w:pStyle w:val="TableParagraph"/>
              <w:ind w:right="113"/>
              <w:jc w:val="right"/>
              <w:rPr>
                <w:sz w:val="17"/>
              </w:rPr>
            </w:pPr>
            <w:r>
              <w:rPr>
                <w:spacing w:val="-5"/>
                <w:sz w:val="17"/>
              </w:rPr>
              <w:t>0.6</w:t>
            </w:r>
          </w:p>
        </w:tc>
        <w:tc>
          <w:tcPr>
            <w:tcW w:w="630" w:type="dxa"/>
            <w:tcBorders>
              <w:bottom w:val="single" w:color="D9D9D9" w:sz="8" w:space="0"/>
            </w:tcBorders>
          </w:tcPr>
          <w:p w:rsidR="00C31389" w:rsidRDefault="00561FBD" w14:paraId="1E5AD66D" w14:textId="77777777">
            <w:pPr>
              <w:pStyle w:val="TableParagraph"/>
              <w:ind w:right="113"/>
              <w:jc w:val="right"/>
              <w:rPr>
                <w:sz w:val="17"/>
              </w:rPr>
            </w:pPr>
            <w:r>
              <w:rPr>
                <w:spacing w:val="-5"/>
                <w:sz w:val="17"/>
              </w:rPr>
              <w:t>0.8</w:t>
            </w:r>
          </w:p>
        </w:tc>
        <w:tc>
          <w:tcPr>
            <w:tcW w:w="630" w:type="dxa"/>
            <w:tcBorders>
              <w:bottom w:val="single" w:color="D9D9D9" w:sz="8" w:space="0"/>
            </w:tcBorders>
          </w:tcPr>
          <w:p w:rsidR="00C31389" w:rsidRDefault="00561FBD" w14:paraId="1DE0E8DE" w14:textId="77777777">
            <w:pPr>
              <w:pStyle w:val="TableParagraph"/>
              <w:ind w:right="113"/>
              <w:jc w:val="right"/>
              <w:rPr>
                <w:sz w:val="17"/>
              </w:rPr>
            </w:pPr>
            <w:r>
              <w:rPr>
                <w:spacing w:val="-5"/>
                <w:sz w:val="17"/>
              </w:rPr>
              <w:t>0.9</w:t>
            </w:r>
          </w:p>
        </w:tc>
        <w:tc>
          <w:tcPr>
            <w:tcW w:w="630" w:type="dxa"/>
            <w:tcBorders>
              <w:bottom w:val="single" w:color="D9D9D9" w:sz="8" w:space="0"/>
            </w:tcBorders>
          </w:tcPr>
          <w:p w:rsidR="00C31389" w:rsidRDefault="00561FBD" w14:paraId="58525B3F" w14:textId="77777777">
            <w:pPr>
              <w:pStyle w:val="TableParagraph"/>
              <w:ind w:right="113"/>
              <w:jc w:val="right"/>
              <w:rPr>
                <w:sz w:val="17"/>
              </w:rPr>
            </w:pPr>
            <w:r>
              <w:rPr>
                <w:spacing w:val="-5"/>
                <w:sz w:val="17"/>
              </w:rPr>
              <w:t>0.9</w:t>
            </w:r>
          </w:p>
        </w:tc>
        <w:tc>
          <w:tcPr>
            <w:tcW w:w="630" w:type="dxa"/>
            <w:tcBorders>
              <w:bottom w:val="single" w:color="D9D9D9" w:sz="8" w:space="0"/>
            </w:tcBorders>
          </w:tcPr>
          <w:p w:rsidR="00C31389" w:rsidRDefault="00561FBD" w14:paraId="6A836E7B" w14:textId="77777777">
            <w:pPr>
              <w:pStyle w:val="TableParagraph"/>
              <w:ind w:right="113"/>
              <w:jc w:val="right"/>
              <w:rPr>
                <w:sz w:val="17"/>
              </w:rPr>
            </w:pPr>
            <w:r>
              <w:rPr>
                <w:spacing w:val="-5"/>
                <w:sz w:val="17"/>
              </w:rPr>
              <w:t>1.0</w:t>
            </w:r>
          </w:p>
        </w:tc>
        <w:tc>
          <w:tcPr>
            <w:tcW w:w="623" w:type="dxa"/>
            <w:tcBorders>
              <w:bottom w:val="single" w:color="D9D9D9" w:sz="8" w:space="0"/>
            </w:tcBorders>
          </w:tcPr>
          <w:p w:rsidR="00C31389" w:rsidRDefault="00561FBD" w14:paraId="4F32426B" w14:textId="77777777">
            <w:pPr>
              <w:pStyle w:val="TableParagraph"/>
              <w:ind w:right="106"/>
              <w:jc w:val="right"/>
              <w:rPr>
                <w:sz w:val="17"/>
              </w:rPr>
            </w:pPr>
            <w:r>
              <w:rPr>
                <w:spacing w:val="-5"/>
                <w:sz w:val="17"/>
              </w:rPr>
              <w:t>1.0</w:t>
            </w:r>
          </w:p>
        </w:tc>
      </w:tr>
      <w:tr w:rsidR="00C31389" w14:paraId="52A6C75E" w14:textId="77777777">
        <w:trPr>
          <w:trHeight w:val="471"/>
        </w:trPr>
        <w:tc>
          <w:tcPr>
            <w:tcW w:w="1363" w:type="dxa"/>
            <w:tcBorders>
              <w:top w:val="single" w:color="DCDDDE" w:sz="4" w:space="0"/>
              <w:bottom w:val="single" w:color="DCDDDE" w:sz="4" w:space="0"/>
            </w:tcBorders>
          </w:tcPr>
          <w:p w:rsidR="00C31389" w:rsidRDefault="00561FBD" w14:paraId="46B81466" w14:textId="77777777">
            <w:pPr>
              <w:pStyle w:val="TableParagraph"/>
              <w:spacing w:before="139"/>
              <w:ind w:left="120"/>
              <w:rPr>
                <w:sz w:val="17"/>
              </w:rPr>
            </w:pPr>
            <w:r>
              <w:rPr>
                <w:spacing w:val="-4"/>
                <w:sz w:val="17"/>
              </w:rPr>
              <w:t>BROs</w:t>
            </w:r>
          </w:p>
        </w:tc>
        <w:tc>
          <w:tcPr>
            <w:tcW w:w="839" w:type="dxa"/>
            <w:tcBorders>
              <w:top w:val="single" w:color="D9D9D9" w:sz="8" w:space="0"/>
              <w:bottom w:val="single" w:color="DCDDDE" w:sz="4" w:space="0"/>
            </w:tcBorders>
          </w:tcPr>
          <w:p w:rsidR="00C31389" w:rsidRDefault="00561FBD" w14:paraId="1EF36EC3" w14:textId="77777777">
            <w:pPr>
              <w:pStyle w:val="TableParagraph"/>
              <w:spacing w:before="139"/>
              <w:ind w:right="135"/>
              <w:jc w:val="right"/>
              <w:rPr>
                <w:sz w:val="17"/>
              </w:rPr>
            </w:pPr>
            <w:r>
              <w:rPr>
                <w:spacing w:val="-2"/>
                <w:sz w:val="17"/>
              </w:rPr>
              <w:t>231.3</w:t>
            </w:r>
          </w:p>
        </w:tc>
        <w:tc>
          <w:tcPr>
            <w:tcW w:w="820" w:type="dxa"/>
            <w:tcBorders>
              <w:top w:val="single" w:color="D9D9D9" w:sz="8" w:space="0"/>
              <w:bottom w:val="single" w:color="DCDDDE" w:sz="4" w:space="0"/>
            </w:tcBorders>
          </w:tcPr>
          <w:p w:rsidR="00C31389" w:rsidRDefault="00561FBD" w14:paraId="7BED0348" w14:textId="77777777">
            <w:pPr>
              <w:pStyle w:val="TableParagraph"/>
              <w:spacing w:before="139"/>
              <w:ind w:right="145"/>
              <w:jc w:val="right"/>
              <w:rPr>
                <w:sz w:val="17"/>
              </w:rPr>
            </w:pPr>
            <w:r>
              <w:rPr>
                <w:spacing w:val="-2"/>
                <w:sz w:val="17"/>
              </w:rPr>
              <w:t>240.6</w:t>
            </w:r>
          </w:p>
        </w:tc>
        <w:tc>
          <w:tcPr>
            <w:tcW w:w="688" w:type="dxa"/>
            <w:tcBorders>
              <w:top w:val="single" w:color="D9D9D9" w:sz="8" w:space="0"/>
              <w:bottom w:val="single" w:color="DCDDDE" w:sz="4" w:space="0"/>
            </w:tcBorders>
          </w:tcPr>
          <w:p w:rsidR="00C31389" w:rsidRDefault="00561FBD" w14:paraId="4EA3D632" w14:textId="77777777">
            <w:pPr>
              <w:pStyle w:val="TableParagraph"/>
              <w:spacing w:before="139"/>
              <w:ind w:left="122" w:right="91"/>
              <w:jc w:val="center"/>
              <w:rPr>
                <w:sz w:val="17"/>
              </w:rPr>
            </w:pPr>
            <w:r>
              <w:rPr>
                <w:spacing w:val="-2"/>
                <w:sz w:val="17"/>
              </w:rPr>
              <w:t>250.6</w:t>
            </w:r>
          </w:p>
        </w:tc>
        <w:tc>
          <w:tcPr>
            <w:tcW w:w="630" w:type="dxa"/>
            <w:tcBorders>
              <w:top w:val="single" w:color="D9D9D9" w:sz="8" w:space="0"/>
              <w:bottom w:val="single" w:color="DCDDDE" w:sz="4" w:space="0"/>
            </w:tcBorders>
          </w:tcPr>
          <w:p w:rsidR="00C31389" w:rsidRDefault="00561FBD" w14:paraId="7E5D0B82" w14:textId="77777777">
            <w:pPr>
              <w:pStyle w:val="TableParagraph"/>
              <w:spacing w:before="39"/>
              <w:ind w:right="112"/>
              <w:jc w:val="right"/>
              <w:rPr>
                <w:sz w:val="17"/>
              </w:rPr>
            </w:pPr>
            <w:r>
              <w:rPr>
                <w:spacing w:val="-4"/>
                <w:sz w:val="17"/>
              </w:rPr>
              <w:t>261.</w:t>
            </w:r>
          </w:p>
          <w:p w:rsidR="00C31389" w:rsidRDefault="00561FBD" w14:paraId="528F8824" w14:textId="77777777">
            <w:pPr>
              <w:pStyle w:val="TableParagraph"/>
              <w:spacing w:before="1"/>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6766A81D" w14:textId="77777777">
            <w:pPr>
              <w:pStyle w:val="TableParagraph"/>
              <w:spacing w:before="39"/>
              <w:ind w:right="112"/>
              <w:jc w:val="right"/>
              <w:rPr>
                <w:sz w:val="17"/>
              </w:rPr>
            </w:pPr>
            <w:r>
              <w:rPr>
                <w:spacing w:val="-4"/>
                <w:sz w:val="17"/>
              </w:rPr>
              <w:t>271.</w:t>
            </w:r>
          </w:p>
          <w:p w:rsidR="00C31389" w:rsidRDefault="00561FBD" w14:paraId="684C54F9" w14:textId="77777777">
            <w:pPr>
              <w:pStyle w:val="TableParagraph"/>
              <w:spacing w:before="1"/>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5364B8A3" w14:textId="77777777">
            <w:pPr>
              <w:pStyle w:val="TableParagraph"/>
              <w:spacing w:before="39"/>
              <w:ind w:right="112"/>
              <w:jc w:val="right"/>
              <w:rPr>
                <w:sz w:val="17"/>
              </w:rPr>
            </w:pPr>
            <w:r>
              <w:rPr>
                <w:spacing w:val="-4"/>
                <w:sz w:val="17"/>
              </w:rPr>
              <w:t>283.</w:t>
            </w:r>
          </w:p>
          <w:p w:rsidR="00C31389" w:rsidRDefault="00561FBD" w14:paraId="5A0C196F" w14:textId="77777777">
            <w:pPr>
              <w:pStyle w:val="TableParagraph"/>
              <w:spacing w:before="1"/>
              <w:ind w:right="113"/>
              <w:jc w:val="right"/>
              <w:rPr>
                <w:sz w:val="17"/>
              </w:rPr>
            </w:pPr>
            <w:r>
              <w:rPr>
                <w:sz w:val="17"/>
              </w:rPr>
              <w:t>1</w:t>
            </w:r>
          </w:p>
        </w:tc>
        <w:tc>
          <w:tcPr>
            <w:tcW w:w="630" w:type="dxa"/>
            <w:tcBorders>
              <w:top w:val="single" w:color="D9D9D9" w:sz="8" w:space="0"/>
              <w:bottom w:val="single" w:color="DCDDDE" w:sz="4" w:space="0"/>
            </w:tcBorders>
          </w:tcPr>
          <w:p w:rsidR="00C31389" w:rsidRDefault="00561FBD" w14:paraId="1D389776" w14:textId="77777777">
            <w:pPr>
              <w:pStyle w:val="TableParagraph"/>
              <w:spacing w:before="39"/>
              <w:ind w:right="112"/>
              <w:jc w:val="right"/>
              <w:rPr>
                <w:sz w:val="17"/>
              </w:rPr>
            </w:pPr>
            <w:r>
              <w:rPr>
                <w:spacing w:val="-4"/>
                <w:sz w:val="17"/>
              </w:rPr>
              <w:t>295.</w:t>
            </w:r>
          </w:p>
          <w:p w:rsidR="00C31389" w:rsidRDefault="00561FBD" w14:paraId="1F173F12" w14:textId="77777777">
            <w:pPr>
              <w:pStyle w:val="TableParagraph"/>
              <w:spacing w:before="1"/>
              <w:ind w:right="113"/>
              <w:jc w:val="right"/>
              <w:rPr>
                <w:sz w:val="17"/>
              </w:rPr>
            </w:pPr>
            <w:r>
              <w:rPr>
                <w:sz w:val="17"/>
              </w:rPr>
              <w:t>8</w:t>
            </w:r>
          </w:p>
        </w:tc>
        <w:tc>
          <w:tcPr>
            <w:tcW w:w="630" w:type="dxa"/>
            <w:tcBorders>
              <w:top w:val="single" w:color="D9D9D9" w:sz="8" w:space="0"/>
              <w:bottom w:val="single" w:color="DCDDDE" w:sz="4" w:space="0"/>
            </w:tcBorders>
          </w:tcPr>
          <w:p w:rsidR="00C31389" w:rsidRDefault="00561FBD" w14:paraId="59DB47AA" w14:textId="77777777">
            <w:pPr>
              <w:pStyle w:val="TableParagraph"/>
              <w:spacing w:before="39"/>
              <w:ind w:right="112"/>
              <w:jc w:val="right"/>
              <w:rPr>
                <w:sz w:val="17"/>
              </w:rPr>
            </w:pPr>
            <w:r>
              <w:rPr>
                <w:spacing w:val="-4"/>
                <w:sz w:val="17"/>
              </w:rPr>
              <w:t>308.</w:t>
            </w:r>
          </w:p>
          <w:p w:rsidR="00C31389" w:rsidRDefault="00561FBD" w14:paraId="4C593274" w14:textId="77777777">
            <w:pPr>
              <w:pStyle w:val="TableParagraph"/>
              <w:spacing w:before="1"/>
              <w:ind w:right="113"/>
              <w:jc w:val="right"/>
              <w:rPr>
                <w:sz w:val="17"/>
              </w:rPr>
            </w:pPr>
            <w:r>
              <w:rPr>
                <w:sz w:val="17"/>
              </w:rPr>
              <w:t>7</w:t>
            </w:r>
          </w:p>
        </w:tc>
        <w:tc>
          <w:tcPr>
            <w:tcW w:w="630" w:type="dxa"/>
            <w:tcBorders>
              <w:top w:val="single" w:color="D9D9D9" w:sz="8" w:space="0"/>
              <w:bottom w:val="single" w:color="DCDDDE" w:sz="4" w:space="0"/>
            </w:tcBorders>
          </w:tcPr>
          <w:p w:rsidR="00C31389" w:rsidRDefault="00561FBD" w14:paraId="14F162FC" w14:textId="77777777">
            <w:pPr>
              <w:pStyle w:val="TableParagraph"/>
              <w:spacing w:before="39"/>
              <w:ind w:right="112"/>
              <w:jc w:val="right"/>
              <w:rPr>
                <w:sz w:val="17"/>
              </w:rPr>
            </w:pPr>
            <w:r>
              <w:rPr>
                <w:spacing w:val="-4"/>
                <w:sz w:val="17"/>
              </w:rPr>
              <w:t>322.</w:t>
            </w:r>
          </w:p>
          <w:p w:rsidR="00C31389" w:rsidRDefault="00561FBD" w14:paraId="0B6F2508" w14:textId="77777777">
            <w:pPr>
              <w:pStyle w:val="TableParagraph"/>
              <w:spacing w:before="1"/>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41EC6252" w14:textId="77777777">
            <w:pPr>
              <w:pStyle w:val="TableParagraph"/>
              <w:spacing w:before="39"/>
              <w:ind w:right="112"/>
              <w:jc w:val="right"/>
              <w:rPr>
                <w:sz w:val="17"/>
              </w:rPr>
            </w:pPr>
            <w:r>
              <w:rPr>
                <w:spacing w:val="-4"/>
                <w:sz w:val="17"/>
              </w:rPr>
              <w:t>339.</w:t>
            </w:r>
          </w:p>
          <w:p w:rsidR="00C31389" w:rsidRDefault="00561FBD" w14:paraId="2484C965" w14:textId="77777777">
            <w:pPr>
              <w:pStyle w:val="TableParagraph"/>
              <w:spacing w:before="1"/>
              <w:ind w:right="113"/>
              <w:jc w:val="right"/>
              <w:rPr>
                <w:sz w:val="17"/>
              </w:rPr>
            </w:pPr>
            <w:r>
              <w:rPr>
                <w:sz w:val="17"/>
              </w:rPr>
              <w:t>0</w:t>
            </w:r>
          </w:p>
        </w:tc>
        <w:tc>
          <w:tcPr>
            <w:tcW w:w="630" w:type="dxa"/>
            <w:tcBorders>
              <w:top w:val="single" w:color="D9D9D9" w:sz="8" w:space="0"/>
              <w:bottom w:val="single" w:color="DCDDDE" w:sz="4" w:space="0"/>
            </w:tcBorders>
          </w:tcPr>
          <w:p w:rsidR="00C31389" w:rsidRDefault="00561FBD" w14:paraId="152EE6DC" w14:textId="77777777">
            <w:pPr>
              <w:pStyle w:val="TableParagraph"/>
              <w:spacing w:before="39"/>
              <w:ind w:right="112"/>
              <w:jc w:val="right"/>
              <w:rPr>
                <w:sz w:val="17"/>
              </w:rPr>
            </w:pPr>
            <w:r>
              <w:rPr>
                <w:spacing w:val="-4"/>
                <w:sz w:val="17"/>
              </w:rPr>
              <w:t>344.</w:t>
            </w:r>
          </w:p>
          <w:p w:rsidR="00C31389" w:rsidRDefault="00561FBD" w14:paraId="435B3E1E" w14:textId="77777777">
            <w:pPr>
              <w:pStyle w:val="TableParagraph"/>
              <w:spacing w:before="1"/>
              <w:ind w:right="113"/>
              <w:jc w:val="right"/>
              <w:rPr>
                <w:sz w:val="17"/>
              </w:rPr>
            </w:pPr>
            <w:r>
              <w:rPr>
                <w:sz w:val="17"/>
              </w:rPr>
              <w:t>0</w:t>
            </w:r>
          </w:p>
        </w:tc>
        <w:tc>
          <w:tcPr>
            <w:tcW w:w="623" w:type="dxa"/>
            <w:tcBorders>
              <w:top w:val="single" w:color="D9D9D9" w:sz="8" w:space="0"/>
              <w:bottom w:val="single" w:color="DCDDDE" w:sz="4" w:space="0"/>
            </w:tcBorders>
          </w:tcPr>
          <w:p w:rsidR="00C31389" w:rsidRDefault="00561FBD" w14:paraId="1E6AE795" w14:textId="77777777">
            <w:pPr>
              <w:pStyle w:val="TableParagraph"/>
              <w:spacing w:before="39"/>
              <w:ind w:right="105"/>
              <w:jc w:val="right"/>
              <w:rPr>
                <w:sz w:val="17"/>
              </w:rPr>
            </w:pPr>
            <w:r>
              <w:rPr>
                <w:spacing w:val="-4"/>
                <w:sz w:val="17"/>
              </w:rPr>
              <w:t>360.</w:t>
            </w:r>
          </w:p>
          <w:p w:rsidR="00C31389" w:rsidRDefault="00561FBD" w14:paraId="0642FB13" w14:textId="77777777">
            <w:pPr>
              <w:pStyle w:val="TableParagraph"/>
              <w:spacing w:before="1"/>
              <w:ind w:right="106"/>
              <w:jc w:val="right"/>
              <w:rPr>
                <w:sz w:val="17"/>
              </w:rPr>
            </w:pPr>
            <w:r>
              <w:rPr>
                <w:sz w:val="17"/>
              </w:rPr>
              <w:t>8</w:t>
            </w:r>
          </w:p>
        </w:tc>
      </w:tr>
      <w:tr w:rsidR="00C31389" w14:paraId="7175778A" w14:textId="77777777">
        <w:trPr>
          <w:trHeight w:val="275"/>
        </w:trPr>
        <w:tc>
          <w:tcPr>
            <w:tcW w:w="9373" w:type="dxa"/>
            <w:gridSpan w:val="13"/>
            <w:tcBorders>
              <w:top w:val="single" w:color="DCDDDE" w:sz="4" w:space="0"/>
              <w:bottom w:val="single" w:color="DCDDDE" w:sz="4" w:space="0"/>
            </w:tcBorders>
            <w:shd w:val="clear" w:color="auto" w:fill="BEBEBE"/>
          </w:tcPr>
          <w:p w:rsidR="00C31389" w:rsidRDefault="00561FBD" w14:paraId="633B3537" w14:textId="77777777">
            <w:pPr>
              <w:pStyle w:val="TableParagraph"/>
              <w:ind w:left="120"/>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40E0FD97" w14:textId="77777777">
        <w:trPr>
          <w:trHeight w:val="471"/>
        </w:trPr>
        <w:tc>
          <w:tcPr>
            <w:tcW w:w="1363" w:type="dxa"/>
            <w:tcBorders>
              <w:top w:val="single" w:color="DCDDDE" w:sz="4" w:space="0"/>
              <w:bottom w:val="single" w:color="DCDDDE" w:sz="4" w:space="0"/>
            </w:tcBorders>
          </w:tcPr>
          <w:p w:rsidR="00C31389" w:rsidRDefault="00561FBD" w14:paraId="4277CCF0" w14:textId="77777777">
            <w:pPr>
              <w:pStyle w:val="TableParagraph"/>
              <w:spacing w:before="39"/>
              <w:ind w:left="120" w:right="233"/>
              <w:rPr>
                <w:sz w:val="17"/>
              </w:rPr>
            </w:pPr>
            <w:r>
              <w:rPr>
                <w:sz w:val="17"/>
              </w:rPr>
              <w:t>w/</w:t>
            </w:r>
            <w:r>
              <w:rPr>
                <w:spacing w:val="-12"/>
                <w:sz w:val="17"/>
              </w:rPr>
              <w:t xml:space="preserve"> </w:t>
            </w:r>
            <w:r>
              <w:rPr>
                <w:sz w:val="17"/>
              </w:rPr>
              <w:t xml:space="preserve">Interactive </w:t>
            </w:r>
            <w:r>
              <w:rPr>
                <w:spacing w:val="-2"/>
                <w:sz w:val="17"/>
              </w:rPr>
              <w:t>Effects</w:t>
            </w:r>
          </w:p>
        </w:tc>
        <w:tc>
          <w:tcPr>
            <w:tcW w:w="839" w:type="dxa"/>
            <w:tcBorders>
              <w:top w:val="single" w:color="DCDDDE" w:sz="4" w:space="0"/>
              <w:bottom w:val="single" w:color="DCDDDE" w:sz="4" w:space="0"/>
            </w:tcBorders>
          </w:tcPr>
          <w:p w:rsidR="00C31389" w:rsidRDefault="00561FBD" w14:paraId="08FDEAEF" w14:textId="77777777">
            <w:pPr>
              <w:pStyle w:val="TableParagraph"/>
              <w:spacing w:before="143"/>
              <w:ind w:right="135"/>
              <w:jc w:val="right"/>
              <w:rPr>
                <w:sz w:val="16"/>
              </w:rPr>
            </w:pPr>
            <w:r>
              <w:rPr>
                <w:spacing w:val="-2"/>
                <w:sz w:val="16"/>
              </w:rPr>
              <w:t>1,071.2</w:t>
            </w:r>
          </w:p>
        </w:tc>
        <w:tc>
          <w:tcPr>
            <w:tcW w:w="820" w:type="dxa"/>
            <w:tcBorders>
              <w:top w:val="single" w:color="DCDDDE" w:sz="4" w:space="0"/>
              <w:bottom w:val="single" w:color="DCDDDE" w:sz="4" w:space="0"/>
            </w:tcBorders>
          </w:tcPr>
          <w:p w:rsidR="00C31389" w:rsidRDefault="00561FBD" w14:paraId="102A7AD7" w14:textId="77777777">
            <w:pPr>
              <w:pStyle w:val="TableParagraph"/>
              <w:spacing w:before="143"/>
              <w:ind w:left="140"/>
              <w:rPr>
                <w:sz w:val="16"/>
              </w:rPr>
            </w:pPr>
            <w:r>
              <w:rPr>
                <w:spacing w:val="-2"/>
                <w:sz w:val="16"/>
              </w:rPr>
              <w:t>1,008.4</w:t>
            </w:r>
          </w:p>
        </w:tc>
        <w:tc>
          <w:tcPr>
            <w:tcW w:w="688" w:type="dxa"/>
            <w:tcBorders>
              <w:top w:val="single" w:color="DCDDDE" w:sz="4" w:space="0"/>
              <w:bottom w:val="single" w:color="DCDDDE" w:sz="4" w:space="0"/>
            </w:tcBorders>
          </w:tcPr>
          <w:p w:rsidR="00C31389" w:rsidRDefault="00561FBD" w14:paraId="48B73D6E" w14:textId="77777777">
            <w:pPr>
              <w:pStyle w:val="TableParagraph"/>
              <w:spacing w:before="143"/>
              <w:ind w:left="131" w:right="74"/>
              <w:jc w:val="center"/>
              <w:rPr>
                <w:sz w:val="16"/>
              </w:rPr>
            </w:pPr>
            <w:r>
              <w:rPr>
                <w:spacing w:val="-2"/>
                <w:sz w:val="16"/>
              </w:rPr>
              <w:t>987.2</w:t>
            </w:r>
          </w:p>
        </w:tc>
        <w:tc>
          <w:tcPr>
            <w:tcW w:w="630" w:type="dxa"/>
            <w:tcBorders>
              <w:top w:val="single" w:color="DCDDDE" w:sz="4" w:space="0"/>
              <w:bottom w:val="single" w:color="DCDDDE" w:sz="4" w:space="0"/>
            </w:tcBorders>
          </w:tcPr>
          <w:p w:rsidR="00C31389" w:rsidRDefault="00561FBD" w14:paraId="38BC8F0F" w14:textId="77777777">
            <w:pPr>
              <w:pStyle w:val="TableParagraph"/>
              <w:spacing w:before="143"/>
              <w:ind w:right="113"/>
              <w:jc w:val="right"/>
              <w:rPr>
                <w:sz w:val="16"/>
              </w:rPr>
            </w:pPr>
            <w:r>
              <w:rPr>
                <w:spacing w:val="-2"/>
                <w:sz w:val="16"/>
              </w:rPr>
              <w:t>909.8</w:t>
            </w:r>
          </w:p>
        </w:tc>
        <w:tc>
          <w:tcPr>
            <w:tcW w:w="630" w:type="dxa"/>
            <w:tcBorders>
              <w:top w:val="single" w:color="DCDDDE" w:sz="4" w:space="0"/>
              <w:bottom w:val="single" w:color="DCDDDE" w:sz="4" w:space="0"/>
            </w:tcBorders>
          </w:tcPr>
          <w:p w:rsidR="00C31389" w:rsidRDefault="00561FBD" w14:paraId="34C91415" w14:textId="77777777">
            <w:pPr>
              <w:pStyle w:val="TableParagraph"/>
              <w:spacing w:before="143"/>
              <w:ind w:right="113"/>
              <w:jc w:val="right"/>
              <w:rPr>
                <w:sz w:val="16"/>
              </w:rPr>
            </w:pPr>
            <w:r>
              <w:rPr>
                <w:spacing w:val="-2"/>
                <w:sz w:val="16"/>
              </w:rPr>
              <w:t>830.0</w:t>
            </w:r>
          </w:p>
        </w:tc>
        <w:tc>
          <w:tcPr>
            <w:tcW w:w="630" w:type="dxa"/>
            <w:tcBorders>
              <w:top w:val="single" w:color="DCDDDE" w:sz="4" w:space="0"/>
              <w:bottom w:val="single" w:color="DCDDDE" w:sz="4" w:space="0"/>
            </w:tcBorders>
          </w:tcPr>
          <w:p w:rsidR="00C31389" w:rsidRDefault="00561FBD" w14:paraId="2114371B" w14:textId="77777777">
            <w:pPr>
              <w:pStyle w:val="TableParagraph"/>
              <w:spacing w:before="143"/>
              <w:ind w:right="113"/>
              <w:jc w:val="right"/>
              <w:rPr>
                <w:sz w:val="16"/>
              </w:rPr>
            </w:pPr>
            <w:r>
              <w:rPr>
                <w:spacing w:val="-2"/>
                <w:sz w:val="16"/>
              </w:rPr>
              <w:t>659.5</w:t>
            </w:r>
          </w:p>
        </w:tc>
        <w:tc>
          <w:tcPr>
            <w:tcW w:w="630" w:type="dxa"/>
            <w:tcBorders>
              <w:top w:val="single" w:color="DCDDDE" w:sz="4" w:space="0"/>
              <w:bottom w:val="single" w:color="DCDDDE" w:sz="4" w:space="0"/>
            </w:tcBorders>
          </w:tcPr>
          <w:p w:rsidR="00C31389" w:rsidRDefault="00561FBD" w14:paraId="1F92D99B" w14:textId="77777777">
            <w:pPr>
              <w:pStyle w:val="TableParagraph"/>
              <w:spacing w:before="143"/>
              <w:ind w:right="113"/>
              <w:jc w:val="right"/>
              <w:rPr>
                <w:sz w:val="16"/>
              </w:rPr>
            </w:pPr>
            <w:r>
              <w:rPr>
                <w:spacing w:val="-2"/>
                <w:sz w:val="16"/>
              </w:rPr>
              <w:t>599.0</w:t>
            </w:r>
          </w:p>
        </w:tc>
        <w:tc>
          <w:tcPr>
            <w:tcW w:w="630" w:type="dxa"/>
            <w:tcBorders>
              <w:top w:val="single" w:color="DCDDDE" w:sz="4" w:space="0"/>
              <w:bottom w:val="single" w:color="DCDDDE" w:sz="4" w:space="0"/>
            </w:tcBorders>
          </w:tcPr>
          <w:p w:rsidR="00C31389" w:rsidRDefault="00561FBD" w14:paraId="5FB2DE22" w14:textId="77777777">
            <w:pPr>
              <w:pStyle w:val="TableParagraph"/>
              <w:spacing w:before="143"/>
              <w:ind w:right="113"/>
              <w:jc w:val="right"/>
              <w:rPr>
                <w:sz w:val="16"/>
              </w:rPr>
            </w:pPr>
            <w:r>
              <w:rPr>
                <w:spacing w:val="-2"/>
                <w:sz w:val="16"/>
              </w:rPr>
              <w:t>565.9</w:t>
            </w:r>
          </w:p>
        </w:tc>
        <w:tc>
          <w:tcPr>
            <w:tcW w:w="630" w:type="dxa"/>
            <w:tcBorders>
              <w:top w:val="single" w:color="DCDDDE" w:sz="4" w:space="0"/>
              <w:bottom w:val="single" w:color="DCDDDE" w:sz="4" w:space="0"/>
            </w:tcBorders>
          </w:tcPr>
          <w:p w:rsidR="00C31389" w:rsidRDefault="00561FBD" w14:paraId="6C009B7C" w14:textId="77777777">
            <w:pPr>
              <w:pStyle w:val="TableParagraph"/>
              <w:spacing w:before="143"/>
              <w:ind w:right="113"/>
              <w:jc w:val="right"/>
              <w:rPr>
                <w:sz w:val="16"/>
              </w:rPr>
            </w:pPr>
            <w:r>
              <w:rPr>
                <w:spacing w:val="-2"/>
                <w:sz w:val="16"/>
              </w:rPr>
              <w:t>530.2</w:t>
            </w:r>
          </w:p>
        </w:tc>
        <w:tc>
          <w:tcPr>
            <w:tcW w:w="630" w:type="dxa"/>
            <w:tcBorders>
              <w:top w:val="single" w:color="DCDDDE" w:sz="4" w:space="0"/>
              <w:bottom w:val="single" w:color="DCDDDE" w:sz="4" w:space="0"/>
            </w:tcBorders>
          </w:tcPr>
          <w:p w:rsidR="00C31389" w:rsidRDefault="00561FBD" w14:paraId="6E59DBC8" w14:textId="77777777">
            <w:pPr>
              <w:pStyle w:val="TableParagraph"/>
              <w:spacing w:before="143"/>
              <w:ind w:right="113"/>
              <w:jc w:val="right"/>
              <w:rPr>
                <w:sz w:val="16"/>
              </w:rPr>
            </w:pPr>
            <w:r>
              <w:rPr>
                <w:spacing w:val="-2"/>
                <w:sz w:val="16"/>
              </w:rPr>
              <w:t>502.5</w:t>
            </w:r>
          </w:p>
        </w:tc>
        <w:tc>
          <w:tcPr>
            <w:tcW w:w="630" w:type="dxa"/>
            <w:tcBorders>
              <w:top w:val="single" w:color="DCDDDE" w:sz="4" w:space="0"/>
              <w:bottom w:val="single" w:color="DCDDDE" w:sz="4" w:space="0"/>
            </w:tcBorders>
          </w:tcPr>
          <w:p w:rsidR="00C31389" w:rsidRDefault="00561FBD" w14:paraId="08516BB0" w14:textId="77777777">
            <w:pPr>
              <w:pStyle w:val="TableParagraph"/>
              <w:spacing w:before="143"/>
              <w:ind w:right="113"/>
              <w:jc w:val="right"/>
              <w:rPr>
                <w:sz w:val="16"/>
              </w:rPr>
            </w:pPr>
            <w:r>
              <w:rPr>
                <w:spacing w:val="-2"/>
                <w:sz w:val="16"/>
              </w:rPr>
              <w:t>417.5</w:t>
            </w:r>
          </w:p>
        </w:tc>
        <w:tc>
          <w:tcPr>
            <w:tcW w:w="623" w:type="dxa"/>
            <w:tcBorders>
              <w:top w:val="single" w:color="DCDDDE" w:sz="4" w:space="0"/>
              <w:bottom w:val="single" w:color="DCDDDE" w:sz="4" w:space="0"/>
            </w:tcBorders>
          </w:tcPr>
          <w:p w:rsidR="00C31389" w:rsidRDefault="00561FBD" w14:paraId="369D054C" w14:textId="77777777">
            <w:pPr>
              <w:pStyle w:val="TableParagraph"/>
              <w:spacing w:before="143"/>
              <w:ind w:right="106"/>
              <w:jc w:val="right"/>
              <w:rPr>
                <w:sz w:val="16"/>
              </w:rPr>
            </w:pPr>
            <w:r>
              <w:rPr>
                <w:spacing w:val="-2"/>
                <w:sz w:val="16"/>
              </w:rPr>
              <w:t>401.6</w:t>
            </w:r>
          </w:p>
        </w:tc>
      </w:tr>
    </w:tbl>
    <w:p w:rsidR="00C31389" w:rsidRDefault="00C31389" w14:paraId="126D608D" w14:textId="77777777">
      <w:pPr>
        <w:jc w:val="right"/>
        <w:rPr>
          <w:sz w:val="16"/>
        </w:rPr>
        <w:sectPr w:rsidR="00C31389">
          <w:pgSz w:w="12240" w:h="15840"/>
          <w:pgMar w:top="1380" w:right="1240" w:bottom="1120" w:left="1220" w:header="397" w:footer="936" w:gutter="0"/>
          <w:cols w:space="720"/>
        </w:sectPr>
      </w:pPr>
    </w:p>
    <w:p w:rsidR="00C31389" w:rsidRDefault="00C31389" w14:paraId="091DBAC5"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376"/>
        <w:gridCol w:w="826"/>
        <w:gridCol w:w="833"/>
        <w:gridCol w:w="675"/>
        <w:gridCol w:w="630"/>
        <w:gridCol w:w="630"/>
        <w:gridCol w:w="630"/>
        <w:gridCol w:w="630"/>
        <w:gridCol w:w="630"/>
        <w:gridCol w:w="630"/>
        <w:gridCol w:w="630"/>
        <w:gridCol w:w="630"/>
        <w:gridCol w:w="623"/>
      </w:tblGrid>
      <w:tr w:rsidR="00C31389" w14:paraId="28BF8205" w14:textId="77777777">
        <w:trPr>
          <w:trHeight w:val="252"/>
        </w:trPr>
        <w:tc>
          <w:tcPr>
            <w:tcW w:w="1376" w:type="dxa"/>
            <w:tcBorders>
              <w:top w:val="single" w:color="8B8B8B" w:sz="8" w:space="0"/>
            </w:tcBorders>
          </w:tcPr>
          <w:p w:rsidR="00C31389" w:rsidRDefault="00C31389" w14:paraId="5492DE39" w14:textId="77777777">
            <w:pPr>
              <w:pStyle w:val="TableParagraph"/>
              <w:spacing w:before="0"/>
              <w:rPr>
                <w:rFonts w:ascii="Times New Roman"/>
                <w:sz w:val="16"/>
              </w:rPr>
            </w:pPr>
          </w:p>
        </w:tc>
        <w:tc>
          <w:tcPr>
            <w:tcW w:w="826" w:type="dxa"/>
            <w:tcBorders>
              <w:top w:val="single" w:color="8B8B8B" w:sz="8" w:space="0"/>
            </w:tcBorders>
          </w:tcPr>
          <w:p w:rsidR="00C31389" w:rsidRDefault="00C31389" w14:paraId="21641590" w14:textId="77777777">
            <w:pPr>
              <w:pStyle w:val="TableParagraph"/>
              <w:spacing w:before="0"/>
              <w:rPr>
                <w:rFonts w:ascii="Times New Roman"/>
                <w:sz w:val="16"/>
              </w:rPr>
            </w:pPr>
          </w:p>
        </w:tc>
        <w:tc>
          <w:tcPr>
            <w:tcW w:w="833" w:type="dxa"/>
            <w:tcBorders>
              <w:top w:val="single" w:color="8B8B8B" w:sz="8" w:space="0"/>
            </w:tcBorders>
          </w:tcPr>
          <w:p w:rsidR="00C31389" w:rsidRDefault="00C31389" w14:paraId="179BFB86"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560CFEB9"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4B94DE24"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291AEA3D"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0898F3DD"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6ED0269F"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42668A96"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72DF7AD3"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0277E4CC" w14:textId="77777777">
            <w:pPr>
              <w:pStyle w:val="TableParagraph"/>
              <w:spacing w:before="0"/>
              <w:rPr>
                <w:rFonts w:ascii="Times New Roman"/>
                <w:sz w:val="16"/>
              </w:rPr>
            </w:pPr>
          </w:p>
        </w:tc>
        <w:tc>
          <w:tcPr>
            <w:tcW w:w="630" w:type="dxa"/>
            <w:tcBorders>
              <w:top w:val="single" w:color="8B8B8B" w:sz="8" w:space="0"/>
            </w:tcBorders>
          </w:tcPr>
          <w:p w:rsidR="00C31389" w:rsidRDefault="00C31389" w14:paraId="4C910834" w14:textId="77777777">
            <w:pPr>
              <w:pStyle w:val="TableParagraph"/>
              <w:spacing w:before="0"/>
              <w:rPr>
                <w:rFonts w:ascii="Times New Roman"/>
                <w:sz w:val="16"/>
              </w:rPr>
            </w:pPr>
          </w:p>
        </w:tc>
        <w:tc>
          <w:tcPr>
            <w:tcW w:w="623" w:type="dxa"/>
            <w:tcBorders>
              <w:top w:val="single" w:color="8B8B8B" w:sz="8" w:space="0"/>
            </w:tcBorders>
          </w:tcPr>
          <w:p w:rsidR="00C31389" w:rsidRDefault="00C31389" w14:paraId="72F47F2B" w14:textId="77777777">
            <w:pPr>
              <w:pStyle w:val="TableParagraph"/>
              <w:spacing w:before="0"/>
              <w:rPr>
                <w:rFonts w:ascii="Times New Roman"/>
                <w:sz w:val="16"/>
              </w:rPr>
            </w:pPr>
          </w:p>
        </w:tc>
      </w:tr>
      <w:tr w:rsidR="00C31389" w14:paraId="5675FBA2" w14:textId="77777777">
        <w:trPr>
          <w:trHeight w:val="294"/>
        </w:trPr>
        <w:tc>
          <w:tcPr>
            <w:tcW w:w="1376" w:type="dxa"/>
            <w:shd w:val="clear" w:color="auto" w:fill="92D400"/>
          </w:tcPr>
          <w:p w:rsidR="00C31389" w:rsidRDefault="00561FBD" w14:paraId="55EBB4C9" w14:textId="77777777">
            <w:pPr>
              <w:pStyle w:val="TableParagraph"/>
              <w:ind w:left="122"/>
              <w:rPr>
                <w:b/>
                <w:sz w:val="16"/>
              </w:rPr>
            </w:pPr>
            <w:r>
              <w:rPr>
                <w:b/>
                <w:spacing w:val="-4"/>
                <w:sz w:val="16"/>
              </w:rPr>
              <w:t>Year</w:t>
            </w:r>
          </w:p>
        </w:tc>
        <w:tc>
          <w:tcPr>
            <w:tcW w:w="826" w:type="dxa"/>
            <w:shd w:val="clear" w:color="auto" w:fill="92D400"/>
          </w:tcPr>
          <w:p w:rsidR="00C31389" w:rsidRDefault="00561FBD" w14:paraId="4E835AFC" w14:textId="77777777">
            <w:pPr>
              <w:pStyle w:val="TableParagraph"/>
              <w:ind w:right="135"/>
              <w:jc w:val="right"/>
              <w:rPr>
                <w:b/>
                <w:sz w:val="16"/>
              </w:rPr>
            </w:pPr>
            <w:r>
              <w:rPr>
                <w:b/>
                <w:spacing w:val="-4"/>
                <w:sz w:val="16"/>
              </w:rPr>
              <w:t>2024</w:t>
            </w:r>
          </w:p>
        </w:tc>
        <w:tc>
          <w:tcPr>
            <w:tcW w:w="833" w:type="dxa"/>
            <w:shd w:val="clear" w:color="auto" w:fill="92D400"/>
          </w:tcPr>
          <w:p w:rsidR="00C31389" w:rsidRDefault="00561FBD" w14:paraId="204658D4" w14:textId="77777777">
            <w:pPr>
              <w:pStyle w:val="TableParagraph"/>
              <w:ind w:left="138"/>
              <w:rPr>
                <w:b/>
                <w:sz w:val="16"/>
              </w:rPr>
            </w:pPr>
            <w:r>
              <w:rPr>
                <w:b/>
                <w:spacing w:val="-4"/>
                <w:sz w:val="16"/>
              </w:rPr>
              <w:t>2025</w:t>
            </w:r>
          </w:p>
        </w:tc>
        <w:tc>
          <w:tcPr>
            <w:tcW w:w="675" w:type="dxa"/>
            <w:shd w:val="clear" w:color="auto" w:fill="92D400"/>
          </w:tcPr>
          <w:p w:rsidR="00C31389" w:rsidRDefault="00561FBD" w14:paraId="45CA8A57" w14:textId="77777777">
            <w:pPr>
              <w:pStyle w:val="TableParagraph"/>
              <w:ind w:right="113"/>
              <w:jc w:val="right"/>
              <w:rPr>
                <w:b/>
                <w:sz w:val="16"/>
              </w:rPr>
            </w:pPr>
            <w:r>
              <w:rPr>
                <w:b/>
                <w:spacing w:val="-4"/>
                <w:sz w:val="16"/>
              </w:rPr>
              <w:t>2026</w:t>
            </w:r>
          </w:p>
        </w:tc>
        <w:tc>
          <w:tcPr>
            <w:tcW w:w="630" w:type="dxa"/>
            <w:shd w:val="clear" w:color="auto" w:fill="92D400"/>
          </w:tcPr>
          <w:p w:rsidR="00C31389" w:rsidRDefault="00561FBD" w14:paraId="062A16D5" w14:textId="77777777">
            <w:pPr>
              <w:pStyle w:val="TableParagraph"/>
              <w:ind w:right="113"/>
              <w:jc w:val="right"/>
              <w:rPr>
                <w:b/>
                <w:sz w:val="16"/>
              </w:rPr>
            </w:pPr>
            <w:r>
              <w:rPr>
                <w:b/>
                <w:spacing w:val="-4"/>
                <w:sz w:val="16"/>
              </w:rPr>
              <w:t>2027</w:t>
            </w:r>
          </w:p>
        </w:tc>
        <w:tc>
          <w:tcPr>
            <w:tcW w:w="630" w:type="dxa"/>
            <w:shd w:val="clear" w:color="auto" w:fill="92D400"/>
          </w:tcPr>
          <w:p w:rsidR="00C31389" w:rsidRDefault="00561FBD" w14:paraId="17BA9A16" w14:textId="77777777">
            <w:pPr>
              <w:pStyle w:val="TableParagraph"/>
              <w:ind w:right="113"/>
              <w:jc w:val="right"/>
              <w:rPr>
                <w:b/>
                <w:sz w:val="16"/>
              </w:rPr>
            </w:pPr>
            <w:r>
              <w:rPr>
                <w:b/>
                <w:spacing w:val="-4"/>
                <w:sz w:val="16"/>
              </w:rPr>
              <w:t>2028</w:t>
            </w:r>
          </w:p>
        </w:tc>
        <w:tc>
          <w:tcPr>
            <w:tcW w:w="630" w:type="dxa"/>
            <w:shd w:val="clear" w:color="auto" w:fill="92D400"/>
          </w:tcPr>
          <w:p w:rsidR="00C31389" w:rsidRDefault="00561FBD" w14:paraId="6CB5F403" w14:textId="77777777">
            <w:pPr>
              <w:pStyle w:val="TableParagraph"/>
              <w:ind w:left="160"/>
              <w:rPr>
                <w:b/>
                <w:sz w:val="16"/>
              </w:rPr>
            </w:pPr>
            <w:r>
              <w:rPr>
                <w:b/>
                <w:spacing w:val="-4"/>
                <w:sz w:val="16"/>
              </w:rPr>
              <w:t>2029</w:t>
            </w:r>
          </w:p>
        </w:tc>
        <w:tc>
          <w:tcPr>
            <w:tcW w:w="630" w:type="dxa"/>
            <w:shd w:val="clear" w:color="auto" w:fill="92D400"/>
          </w:tcPr>
          <w:p w:rsidR="00C31389" w:rsidRDefault="00561FBD" w14:paraId="1B5F15DF" w14:textId="77777777">
            <w:pPr>
              <w:pStyle w:val="TableParagraph"/>
              <w:ind w:left="160"/>
              <w:rPr>
                <w:b/>
                <w:sz w:val="16"/>
              </w:rPr>
            </w:pPr>
            <w:r>
              <w:rPr>
                <w:b/>
                <w:spacing w:val="-4"/>
                <w:sz w:val="16"/>
              </w:rPr>
              <w:t>2030</w:t>
            </w:r>
          </w:p>
        </w:tc>
        <w:tc>
          <w:tcPr>
            <w:tcW w:w="630" w:type="dxa"/>
            <w:shd w:val="clear" w:color="auto" w:fill="92D400"/>
          </w:tcPr>
          <w:p w:rsidR="00C31389" w:rsidRDefault="00561FBD" w14:paraId="29D6CC60" w14:textId="77777777">
            <w:pPr>
              <w:pStyle w:val="TableParagraph"/>
              <w:ind w:left="160"/>
              <w:rPr>
                <w:b/>
                <w:sz w:val="16"/>
              </w:rPr>
            </w:pPr>
            <w:r>
              <w:rPr>
                <w:b/>
                <w:spacing w:val="-4"/>
                <w:sz w:val="16"/>
              </w:rPr>
              <w:t>2031</w:t>
            </w:r>
          </w:p>
        </w:tc>
        <w:tc>
          <w:tcPr>
            <w:tcW w:w="630" w:type="dxa"/>
            <w:shd w:val="clear" w:color="auto" w:fill="92D400"/>
          </w:tcPr>
          <w:p w:rsidR="00C31389" w:rsidRDefault="00561FBD" w14:paraId="306B59D7" w14:textId="77777777">
            <w:pPr>
              <w:pStyle w:val="TableParagraph"/>
              <w:ind w:left="124" w:right="80"/>
              <w:jc w:val="center"/>
              <w:rPr>
                <w:b/>
                <w:sz w:val="16"/>
              </w:rPr>
            </w:pPr>
            <w:r>
              <w:rPr>
                <w:b/>
                <w:spacing w:val="-4"/>
                <w:sz w:val="16"/>
              </w:rPr>
              <w:t>2032</w:t>
            </w:r>
          </w:p>
        </w:tc>
        <w:tc>
          <w:tcPr>
            <w:tcW w:w="630" w:type="dxa"/>
            <w:shd w:val="clear" w:color="auto" w:fill="92D400"/>
          </w:tcPr>
          <w:p w:rsidR="00C31389" w:rsidRDefault="00561FBD" w14:paraId="21625437" w14:textId="77777777">
            <w:pPr>
              <w:pStyle w:val="TableParagraph"/>
              <w:ind w:right="113"/>
              <w:jc w:val="right"/>
              <w:rPr>
                <w:b/>
                <w:sz w:val="16"/>
              </w:rPr>
            </w:pPr>
            <w:r>
              <w:rPr>
                <w:b/>
                <w:spacing w:val="-4"/>
                <w:sz w:val="16"/>
              </w:rPr>
              <w:t>2033</w:t>
            </w:r>
          </w:p>
        </w:tc>
        <w:tc>
          <w:tcPr>
            <w:tcW w:w="630" w:type="dxa"/>
            <w:shd w:val="clear" w:color="auto" w:fill="92D400"/>
          </w:tcPr>
          <w:p w:rsidR="00C31389" w:rsidRDefault="00561FBD" w14:paraId="544583EB" w14:textId="77777777">
            <w:pPr>
              <w:pStyle w:val="TableParagraph"/>
              <w:ind w:right="113"/>
              <w:jc w:val="right"/>
              <w:rPr>
                <w:b/>
                <w:sz w:val="16"/>
              </w:rPr>
            </w:pPr>
            <w:r>
              <w:rPr>
                <w:b/>
                <w:spacing w:val="-4"/>
                <w:sz w:val="16"/>
              </w:rPr>
              <w:t>2034</w:t>
            </w:r>
          </w:p>
        </w:tc>
        <w:tc>
          <w:tcPr>
            <w:tcW w:w="623" w:type="dxa"/>
            <w:shd w:val="clear" w:color="auto" w:fill="92D400"/>
          </w:tcPr>
          <w:p w:rsidR="00C31389" w:rsidRDefault="00561FBD" w14:paraId="09E2A238" w14:textId="77777777">
            <w:pPr>
              <w:pStyle w:val="TableParagraph"/>
              <w:ind w:right="106"/>
              <w:jc w:val="right"/>
              <w:rPr>
                <w:b/>
                <w:sz w:val="16"/>
              </w:rPr>
            </w:pPr>
            <w:r>
              <w:rPr>
                <w:b/>
                <w:spacing w:val="-4"/>
                <w:sz w:val="16"/>
              </w:rPr>
              <w:t>2035</w:t>
            </w:r>
          </w:p>
        </w:tc>
      </w:tr>
      <w:tr w:rsidR="00C31389" w14:paraId="3F70D79D" w14:textId="77777777">
        <w:trPr>
          <w:trHeight w:val="450"/>
        </w:trPr>
        <w:tc>
          <w:tcPr>
            <w:tcW w:w="1376" w:type="dxa"/>
            <w:tcBorders>
              <w:bottom w:val="single" w:color="545658" w:sz="8" w:space="0"/>
            </w:tcBorders>
          </w:tcPr>
          <w:p w:rsidR="00C31389" w:rsidRDefault="00561FBD" w14:paraId="07436606" w14:textId="77777777">
            <w:pPr>
              <w:pStyle w:val="TableParagraph"/>
              <w:spacing w:before="19"/>
              <w:ind w:left="122" w:right="149"/>
              <w:rPr>
                <w:sz w:val="17"/>
              </w:rPr>
            </w:pPr>
            <w:r>
              <w:rPr>
                <w:sz w:val="17"/>
              </w:rPr>
              <w:t>w/o</w:t>
            </w:r>
            <w:r>
              <w:rPr>
                <w:spacing w:val="-12"/>
                <w:sz w:val="17"/>
              </w:rPr>
              <w:t xml:space="preserve"> </w:t>
            </w:r>
            <w:r>
              <w:rPr>
                <w:sz w:val="17"/>
              </w:rPr>
              <w:t xml:space="preserve">Interactive </w:t>
            </w:r>
            <w:r>
              <w:rPr>
                <w:spacing w:val="-2"/>
                <w:sz w:val="17"/>
              </w:rPr>
              <w:t>Effects</w:t>
            </w:r>
          </w:p>
        </w:tc>
        <w:tc>
          <w:tcPr>
            <w:tcW w:w="826" w:type="dxa"/>
            <w:tcBorders>
              <w:bottom w:val="single" w:color="545658" w:sz="8" w:space="0"/>
            </w:tcBorders>
          </w:tcPr>
          <w:p w:rsidR="00C31389" w:rsidRDefault="00561FBD" w14:paraId="3FADA46F" w14:textId="77777777">
            <w:pPr>
              <w:pStyle w:val="TableParagraph"/>
              <w:spacing w:before="124"/>
              <w:ind w:right="134"/>
              <w:jc w:val="right"/>
              <w:rPr>
                <w:sz w:val="16"/>
              </w:rPr>
            </w:pPr>
            <w:r>
              <w:rPr>
                <w:spacing w:val="-2"/>
                <w:sz w:val="16"/>
              </w:rPr>
              <w:t>1,062.2</w:t>
            </w:r>
          </w:p>
        </w:tc>
        <w:tc>
          <w:tcPr>
            <w:tcW w:w="833" w:type="dxa"/>
            <w:tcBorders>
              <w:bottom w:val="single" w:color="545658" w:sz="8" w:space="0"/>
            </w:tcBorders>
          </w:tcPr>
          <w:p w:rsidR="00C31389" w:rsidRDefault="00561FBD" w14:paraId="038A0F45" w14:textId="77777777">
            <w:pPr>
              <w:pStyle w:val="TableParagraph"/>
              <w:spacing w:before="124"/>
              <w:ind w:left="274"/>
              <w:rPr>
                <w:sz w:val="16"/>
              </w:rPr>
            </w:pPr>
            <w:r>
              <w:rPr>
                <w:spacing w:val="-2"/>
                <w:sz w:val="16"/>
              </w:rPr>
              <w:t>999.4</w:t>
            </w:r>
          </w:p>
        </w:tc>
        <w:tc>
          <w:tcPr>
            <w:tcW w:w="675" w:type="dxa"/>
            <w:tcBorders>
              <w:bottom w:val="single" w:color="545658" w:sz="8" w:space="0"/>
            </w:tcBorders>
          </w:tcPr>
          <w:p w:rsidR="00C31389" w:rsidRDefault="00561FBD" w14:paraId="62786E7B" w14:textId="77777777">
            <w:pPr>
              <w:pStyle w:val="TableParagraph"/>
              <w:spacing w:before="124"/>
              <w:ind w:right="111"/>
              <w:jc w:val="right"/>
              <w:rPr>
                <w:sz w:val="16"/>
              </w:rPr>
            </w:pPr>
            <w:r>
              <w:rPr>
                <w:spacing w:val="-2"/>
                <w:sz w:val="16"/>
              </w:rPr>
              <w:t>978.6</w:t>
            </w:r>
          </w:p>
        </w:tc>
        <w:tc>
          <w:tcPr>
            <w:tcW w:w="630" w:type="dxa"/>
            <w:tcBorders>
              <w:bottom w:val="single" w:color="545658" w:sz="8" w:space="0"/>
            </w:tcBorders>
          </w:tcPr>
          <w:p w:rsidR="00C31389" w:rsidRDefault="00561FBD" w14:paraId="4133492A" w14:textId="77777777">
            <w:pPr>
              <w:pStyle w:val="TableParagraph"/>
              <w:spacing w:before="124"/>
              <w:ind w:right="111"/>
              <w:jc w:val="right"/>
              <w:rPr>
                <w:sz w:val="16"/>
              </w:rPr>
            </w:pPr>
            <w:r>
              <w:rPr>
                <w:spacing w:val="-2"/>
                <w:sz w:val="16"/>
              </w:rPr>
              <w:t>903.3</w:t>
            </w:r>
          </w:p>
        </w:tc>
        <w:tc>
          <w:tcPr>
            <w:tcW w:w="630" w:type="dxa"/>
            <w:tcBorders>
              <w:bottom w:val="single" w:color="545658" w:sz="8" w:space="0"/>
            </w:tcBorders>
          </w:tcPr>
          <w:p w:rsidR="00C31389" w:rsidRDefault="00561FBD" w14:paraId="678A99FC" w14:textId="77777777">
            <w:pPr>
              <w:pStyle w:val="TableParagraph"/>
              <w:spacing w:before="124"/>
              <w:ind w:right="111"/>
              <w:jc w:val="right"/>
              <w:rPr>
                <w:sz w:val="16"/>
              </w:rPr>
            </w:pPr>
            <w:r>
              <w:rPr>
                <w:spacing w:val="-2"/>
                <w:sz w:val="16"/>
              </w:rPr>
              <w:t>826.2</w:t>
            </w:r>
          </w:p>
        </w:tc>
        <w:tc>
          <w:tcPr>
            <w:tcW w:w="630" w:type="dxa"/>
            <w:tcBorders>
              <w:bottom w:val="single" w:color="545658" w:sz="8" w:space="0"/>
            </w:tcBorders>
          </w:tcPr>
          <w:p w:rsidR="00C31389" w:rsidRDefault="00561FBD" w14:paraId="4B424E8F" w14:textId="77777777">
            <w:pPr>
              <w:pStyle w:val="TableParagraph"/>
              <w:spacing w:before="124"/>
              <w:ind w:left="116"/>
              <w:rPr>
                <w:sz w:val="16"/>
              </w:rPr>
            </w:pPr>
            <w:r>
              <w:rPr>
                <w:spacing w:val="-2"/>
                <w:sz w:val="16"/>
              </w:rPr>
              <w:t>661.3</w:t>
            </w:r>
          </w:p>
        </w:tc>
        <w:tc>
          <w:tcPr>
            <w:tcW w:w="630" w:type="dxa"/>
            <w:tcBorders>
              <w:bottom w:val="single" w:color="545658" w:sz="8" w:space="0"/>
            </w:tcBorders>
          </w:tcPr>
          <w:p w:rsidR="00C31389" w:rsidRDefault="00561FBD" w14:paraId="49CCA103" w14:textId="77777777">
            <w:pPr>
              <w:pStyle w:val="TableParagraph"/>
              <w:spacing w:before="124"/>
              <w:ind w:left="116"/>
              <w:rPr>
                <w:sz w:val="16"/>
              </w:rPr>
            </w:pPr>
            <w:r>
              <w:rPr>
                <w:spacing w:val="-2"/>
                <w:sz w:val="16"/>
              </w:rPr>
              <w:t>602.3</w:t>
            </w:r>
          </w:p>
        </w:tc>
        <w:tc>
          <w:tcPr>
            <w:tcW w:w="630" w:type="dxa"/>
            <w:tcBorders>
              <w:bottom w:val="single" w:color="545658" w:sz="8" w:space="0"/>
            </w:tcBorders>
          </w:tcPr>
          <w:p w:rsidR="00C31389" w:rsidRDefault="00561FBD" w14:paraId="4A49BA7E" w14:textId="77777777">
            <w:pPr>
              <w:pStyle w:val="TableParagraph"/>
              <w:spacing w:before="124"/>
              <w:ind w:left="116"/>
              <w:rPr>
                <w:sz w:val="16"/>
              </w:rPr>
            </w:pPr>
            <w:r>
              <w:rPr>
                <w:spacing w:val="-2"/>
                <w:sz w:val="16"/>
              </w:rPr>
              <w:t>569.2</w:t>
            </w:r>
          </w:p>
        </w:tc>
        <w:tc>
          <w:tcPr>
            <w:tcW w:w="630" w:type="dxa"/>
            <w:tcBorders>
              <w:bottom w:val="single" w:color="545658" w:sz="8" w:space="0"/>
            </w:tcBorders>
          </w:tcPr>
          <w:p w:rsidR="00C31389" w:rsidRDefault="00561FBD" w14:paraId="09845BC7" w14:textId="77777777">
            <w:pPr>
              <w:pStyle w:val="TableParagraph"/>
              <w:spacing w:before="124"/>
              <w:ind w:left="99" w:right="97"/>
              <w:jc w:val="center"/>
              <w:rPr>
                <w:sz w:val="16"/>
              </w:rPr>
            </w:pPr>
            <w:r>
              <w:rPr>
                <w:spacing w:val="-2"/>
                <w:sz w:val="16"/>
              </w:rPr>
              <w:t>533.4</w:t>
            </w:r>
          </w:p>
        </w:tc>
        <w:tc>
          <w:tcPr>
            <w:tcW w:w="630" w:type="dxa"/>
            <w:tcBorders>
              <w:bottom w:val="single" w:color="545658" w:sz="8" w:space="0"/>
            </w:tcBorders>
          </w:tcPr>
          <w:p w:rsidR="00C31389" w:rsidRDefault="00561FBD" w14:paraId="35C19944" w14:textId="77777777">
            <w:pPr>
              <w:pStyle w:val="TableParagraph"/>
              <w:spacing w:before="124"/>
              <w:ind w:right="111"/>
              <w:jc w:val="right"/>
              <w:rPr>
                <w:sz w:val="16"/>
              </w:rPr>
            </w:pPr>
            <w:r>
              <w:rPr>
                <w:spacing w:val="-2"/>
                <w:sz w:val="16"/>
              </w:rPr>
              <w:t>505.7</w:t>
            </w:r>
          </w:p>
        </w:tc>
        <w:tc>
          <w:tcPr>
            <w:tcW w:w="630" w:type="dxa"/>
            <w:tcBorders>
              <w:bottom w:val="single" w:color="545658" w:sz="8" w:space="0"/>
            </w:tcBorders>
          </w:tcPr>
          <w:p w:rsidR="00C31389" w:rsidRDefault="00561FBD" w14:paraId="5F21937A" w14:textId="77777777">
            <w:pPr>
              <w:pStyle w:val="TableParagraph"/>
              <w:spacing w:before="124"/>
              <w:ind w:right="111"/>
              <w:jc w:val="right"/>
              <w:rPr>
                <w:sz w:val="16"/>
              </w:rPr>
            </w:pPr>
            <w:r>
              <w:rPr>
                <w:spacing w:val="-2"/>
                <w:sz w:val="16"/>
              </w:rPr>
              <w:t>420.6</w:t>
            </w:r>
          </w:p>
        </w:tc>
        <w:tc>
          <w:tcPr>
            <w:tcW w:w="623" w:type="dxa"/>
            <w:tcBorders>
              <w:bottom w:val="single" w:color="545658" w:sz="8" w:space="0"/>
            </w:tcBorders>
          </w:tcPr>
          <w:p w:rsidR="00C31389" w:rsidRDefault="00561FBD" w14:paraId="26239DFE" w14:textId="77777777">
            <w:pPr>
              <w:pStyle w:val="TableParagraph"/>
              <w:spacing w:before="124"/>
              <w:ind w:right="104"/>
              <w:jc w:val="right"/>
              <w:rPr>
                <w:sz w:val="16"/>
              </w:rPr>
            </w:pPr>
            <w:r>
              <w:rPr>
                <w:spacing w:val="-2"/>
                <w:sz w:val="16"/>
              </w:rPr>
              <w:t>404.6</w:t>
            </w:r>
          </w:p>
        </w:tc>
      </w:tr>
    </w:tbl>
    <w:p w:rsidR="00C31389" w:rsidRDefault="00561FBD" w14:paraId="670C80AB" w14:textId="77777777">
      <w:pPr>
        <w:spacing w:before="61"/>
        <w:ind w:left="220"/>
        <w:rPr>
          <w:i/>
          <w:sz w:val="18"/>
        </w:rPr>
      </w:pPr>
      <w:r>
        <w:rPr>
          <w:i/>
          <w:sz w:val="18"/>
        </w:rPr>
        <w:t>Source:</w:t>
      </w:r>
      <w:r>
        <w:rPr>
          <w:i/>
          <w:spacing w:val="-4"/>
          <w:sz w:val="18"/>
        </w:rPr>
        <w:t xml:space="preserve"> </w:t>
      </w:r>
      <w:r>
        <w:rPr>
          <w:i/>
          <w:spacing w:val="-2"/>
          <w:sz w:val="18"/>
        </w:rPr>
        <w:t>Guidehouse</w:t>
      </w:r>
    </w:p>
    <w:p w:rsidR="00C31389" w:rsidRDefault="00C31389" w14:paraId="65B109C5" w14:textId="77777777">
      <w:pPr>
        <w:pStyle w:val="BodyText"/>
        <w:spacing w:before="10"/>
        <w:rPr>
          <w:i/>
          <w:sz w:val="12"/>
        </w:rPr>
      </w:pPr>
    </w:p>
    <w:p w:rsidR="00C31389" w:rsidRDefault="00561FBD" w14:paraId="53D0A8C0" w14:textId="77777777">
      <w:pPr>
        <w:pStyle w:val="Heading7"/>
        <w:spacing w:before="92"/>
        <w:ind w:left="1979" w:right="1960"/>
        <w:jc w:val="center"/>
      </w:pPr>
      <w:bookmarkStart w:name="_bookmark539" w:id="708"/>
      <w:bookmarkEnd w:id="708"/>
      <w:r>
        <w:t>Table</w:t>
      </w:r>
      <w:r>
        <w:rPr>
          <w:spacing w:val="-8"/>
        </w:rPr>
        <w:t xml:space="preserve"> </w:t>
      </w:r>
      <w:r>
        <w:t>J-13.</w:t>
      </w:r>
      <w:r>
        <w:rPr>
          <w:spacing w:val="-7"/>
        </w:rPr>
        <w:t xml:space="preserve"> </w:t>
      </w:r>
      <w:r>
        <w:t>PG&amp;E</w:t>
      </w:r>
      <w:r>
        <w:rPr>
          <w:spacing w:val="-8"/>
        </w:rPr>
        <w:t xml:space="preserve"> </w:t>
      </w:r>
      <w:r>
        <w:t>Demand</w:t>
      </w:r>
      <w:r>
        <w:rPr>
          <w:spacing w:val="-7"/>
        </w:rPr>
        <w:t xml:space="preserve"> </w:t>
      </w:r>
      <w:r>
        <w:t>Savings</w:t>
      </w:r>
      <w:r>
        <w:rPr>
          <w:spacing w:val="-7"/>
        </w:rPr>
        <w:t xml:space="preserve"> </w:t>
      </w:r>
      <w:r>
        <w:rPr>
          <w:spacing w:val="-4"/>
        </w:rPr>
        <w:t>(MW)</w:t>
      </w:r>
    </w:p>
    <w:p w:rsidR="00C31389" w:rsidRDefault="00C31389" w14:paraId="06E6B3F5"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514"/>
        <w:gridCol w:w="830"/>
        <w:gridCol w:w="712"/>
        <w:gridCol w:w="657"/>
        <w:gridCol w:w="631"/>
        <w:gridCol w:w="631"/>
        <w:gridCol w:w="631"/>
        <w:gridCol w:w="631"/>
        <w:gridCol w:w="631"/>
        <w:gridCol w:w="631"/>
        <w:gridCol w:w="642"/>
        <w:gridCol w:w="631"/>
        <w:gridCol w:w="613"/>
      </w:tblGrid>
      <w:tr w:rsidR="00C31389" w14:paraId="5DFC9FFA" w14:textId="77777777">
        <w:trPr>
          <w:trHeight w:val="304"/>
        </w:trPr>
        <w:tc>
          <w:tcPr>
            <w:tcW w:w="1514" w:type="dxa"/>
            <w:shd w:val="clear" w:color="auto" w:fill="92D400"/>
          </w:tcPr>
          <w:p w:rsidR="00C31389" w:rsidRDefault="00561FBD" w14:paraId="5B926830" w14:textId="77777777">
            <w:pPr>
              <w:pStyle w:val="TableParagraph"/>
              <w:spacing w:before="41"/>
              <w:ind w:left="121"/>
              <w:rPr>
                <w:b/>
                <w:sz w:val="17"/>
              </w:rPr>
            </w:pPr>
            <w:r>
              <w:rPr>
                <w:b/>
                <w:spacing w:val="-4"/>
                <w:sz w:val="17"/>
              </w:rPr>
              <w:t>Year</w:t>
            </w:r>
          </w:p>
        </w:tc>
        <w:tc>
          <w:tcPr>
            <w:tcW w:w="830" w:type="dxa"/>
            <w:shd w:val="clear" w:color="auto" w:fill="92D400"/>
          </w:tcPr>
          <w:p w:rsidR="00C31389" w:rsidRDefault="00561FBD" w14:paraId="1AB3DD65" w14:textId="77777777">
            <w:pPr>
              <w:pStyle w:val="TableParagraph"/>
              <w:spacing w:before="41"/>
              <w:ind w:right="168"/>
              <w:jc w:val="right"/>
              <w:rPr>
                <w:b/>
                <w:sz w:val="17"/>
              </w:rPr>
            </w:pPr>
            <w:r>
              <w:rPr>
                <w:b/>
                <w:spacing w:val="-4"/>
                <w:sz w:val="17"/>
              </w:rPr>
              <w:t>2024</w:t>
            </w:r>
          </w:p>
        </w:tc>
        <w:tc>
          <w:tcPr>
            <w:tcW w:w="712" w:type="dxa"/>
            <w:shd w:val="clear" w:color="auto" w:fill="92D400"/>
          </w:tcPr>
          <w:p w:rsidR="00C31389" w:rsidRDefault="00561FBD" w14:paraId="01412B03" w14:textId="77777777">
            <w:pPr>
              <w:pStyle w:val="TableParagraph"/>
              <w:spacing w:before="41"/>
              <w:ind w:right="113"/>
              <w:jc w:val="right"/>
              <w:rPr>
                <w:b/>
                <w:sz w:val="17"/>
              </w:rPr>
            </w:pPr>
            <w:r>
              <w:rPr>
                <w:b/>
                <w:spacing w:val="-4"/>
                <w:sz w:val="17"/>
              </w:rPr>
              <w:t>2025</w:t>
            </w:r>
          </w:p>
        </w:tc>
        <w:tc>
          <w:tcPr>
            <w:tcW w:w="657" w:type="dxa"/>
            <w:shd w:val="clear" w:color="auto" w:fill="92D400"/>
          </w:tcPr>
          <w:p w:rsidR="00C31389" w:rsidRDefault="00561FBD" w14:paraId="3C1BB1DC" w14:textId="77777777">
            <w:pPr>
              <w:pStyle w:val="TableParagraph"/>
              <w:spacing w:before="41"/>
              <w:ind w:left="100" w:right="55"/>
              <w:jc w:val="center"/>
              <w:rPr>
                <w:b/>
                <w:sz w:val="17"/>
              </w:rPr>
            </w:pPr>
            <w:r>
              <w:rPr>
                <w:b/>
                <w:spacing w:val="-4"/>
                <w:sz w:val="17"/>
              </w:rPr>
              <w:t>2026</w:t>
            </w:r>
          </w:p>
        </w:tc>
        <w:tc>
          <w:tcPr>
            <w:tcW w:w="631" w:type="dxa"/>
            <w:shd w:val="clear" w:color="auto" w:fill="92D400"/>
          </w:tcPr>
          <w:p w:rsidR="00C31389" w:rsidRDefault="00561FBD" w14:paraId="0D831F5D" w14:textId="77777777">
            <w:pPr>
              <w:pStyle w:val="TableParagraph"/>
              <w:spacing w:before="41"/>
              <w:ind w:right="115"/>
              <w:jc w:val="right"/>
              <w:rPr>
                <w:b/>
                <w:sz w:val="17"/>
              </w:rPr>
            </w:pPr>
            <w:r>
              <w:rPr>
                <w:b/>
                <w:spacing w:val="-4"/>
                <w:sz w:val="17"/>
              </w:rPr>
              <w:t>2027</w:t>
            </w:r>
          </w:p>
        </w:tc>
        <w:tc>
          <w:tcPr>
            <w:tcW w:w="631" w:type="dxa"/>
            <w:shd w:val="clear" w:color="auto" w:fill="92D400"/>
          </w:tcPr>
          <w:p w:rsidR="00C31389" w:rsidRDefault="00561FBD" w14:paraId="7A56FAF0" w14:textId="77777777">
            <w:pPr>
              <w:pStyle w:val="TableParagraph"/>
              <w:spacing w:before="41"/>
              <w:ind w:right="116"/>
              <w:jc w:val="right"/>
              <w:rPr>
                <w:b/>
                <w:sz w:val="17"/>
              </w:rPr>
            </w:pPr>
            <w:r>
              <w:rPr>
                <w:b/>
                <w:spacing w:val="-4"/>
                <w:sz w:val="17"/>
              </w:rPr>
              <w:t>2028</w:t>
            </w:r>
          </w:p>
        </w:tc>
        <w:tc>
          <w:tcPr>
            <w:tcW w:w="631" w:type="dxa"/>
            <w:shd w:val="clear" w:color="auto" w:fill="92D400"/>
          </w:tcPr>
          <w:p w:rsidR="00C31389" w:rsidRDefault="00561FBD" w14:paraId="75E5C651" w14:textId="77777777">
            <w:pPr>
              <w:pStyle w:val="TableParagraph"/>
              <w:spacing w:before="41"/>
              <w:ind w:right="117"/>
              <w:jc w:val="right"/>
              <w:rPr>
                <w:b/>
                <w:sz w:val="17"/>
              </w:rPr>
            </w:pPr>
            <w:r>
              <w:rPr>
                <w:b/>
                <w:spacing w:val="-4"/>
                <w:sz w:val="17"/>
              </w:rPr>
              <w:t>2029</w:t>
            </w:r>
          </w:p>
        </w:tc>
        <w:tc>
          <w:tcPr>
            <w:tcW w:w="631" w:type="dxa"/>
            <w:shd w:val="clear" w:color="auto" w:fill="92D400"/>
          </w:tcPr>
          <w:p w:rsidR="00C31389" w:rsidRDefault="00561FBD" w14:paraId="0AF5F875" w14:textId="77777777">
            <w:pPr>
              <w:pStyle w:val="TableParagraph"/>
              <w:spacing w:before="41"/>
              <w:ind w:right="118"/>
              <w:jc w:val="right"/>
              <w:rPr>
                <w:b/>
                <w:sz w:val="17"/>
              </w:rPr>
            </w:pPr>
            <w:r>
              <w:rPr>
                <w:b/>
                <w:spacing w:val="-4"/>
                <w:sz w:val="17"/>
              </w:rPr>
              <w:t>2030</w:t>
            </w:r>
          </w:p>
        </w:tc>
        <w:tc>
          <w:tcPr>
            <w:tcW w:w="631" w:type="dxa"/>
            <w:shd w:val="clear" w:color="auto" w:fill="92D400"/>
          </w:tcPr>
          <w:p w:rsidR="00C31389" w:rsidRDefault="00561FBD" w14:paraId="19494AB1" w14:textId="77777777">
            <w:pPr>
              <w:pStyle w:val="TableParagraph"/>
              <w:spacing w:before="41"/>
              <w:ind w:right="119"/>
              <w:jc w:val="right"/>
              <w:rPr>
                <w:b/>
                <w:sz w:val="17"/>
              </w:rPr>
            </w:pPr>
            <w:r>
              <w:rPr>
                <w:b/>
                <w:spacing w:val="-4"/>
                <w:sz w:val="17"/>
              </w:rPr>
              <w:t>2031</w:t>
            </w:r>
          </w:p>
        </w:tc>
        <w:tc>
          <w:tcPr>
            <w:tcW w:w="631" w:type="dxa"/>
            <w:shd w:val="clear" w:color="auto" w:fill="92D400"/>
          </w:tcPr>
          <w:p w:rsidR="00C31389" w:rsidRDefault="00561FBD" w14:paraId="2BC325E5" w14:textId="77777777">
            <w:pPr>
              <w:pStyle w:val="TableParagraph"/>
              <w:spacing w:before="41"/>
              <w:ind w:right="120"/>
              <w:jc w:val="right"/>
              <w:rPr>
                <w:b/>
                <w:sz w:val="17"/>
              </w:rPr>
            </w:pPr>
            <w:r>
              <w:rPr>
                <w:b/>
                <w:spacing w:val="-4"/>
                <w:sz w:val="17"/>
              </w:rPr>
              <w:t>2032</w:t>
            </w:r>
          </w:p>
        </w:tc>
        <w:tc>
          <w:tcPr>
            <w:tcW w:w="642" w:type="dxa"/>
            <w:shd w:val="clear" w:color="auto" w:fill="92D400"/>
          </w:tcPr>
          <w:p w:rsidR="00C31389" w:rsidRDefault="00561FBD" w14:paraId="78918181" w14:textId="77777777">
            <w:pPr>
              <w:pStyle w:val="TableParagraph"/>
              <w:spacing w:before="41"/>
              <w:ind w:right="132"/>
              <w:jc w:val="right"/>
              <w:rPr>
                <w:b/>
                <w:sz w:val="17"/>
              </w:rPr>
            </w:pPr>
            <w:r>
              <w:rPr>
                <w:b/>
                <w:spacing w:val="-4"/>
                <w:sz w:val="17"/>
              </w:rPr>
              <w:t>2033</w:t>
            </w:r>
          </w:p>
        </w:tc>
        <w:tc>
          <w:tcPr>
            <w:tcW w:w="631" w:type="dxa"/>
            <w:shd w:val="clear" w:color="auto" w:fill="92D400"/>
          </w:tcPr>
          <w:p w:rsidR="00C31389" w:rsidRDefault="00561FBD" w14:paraId="01221E5D" w14:textId="77777777">
            <w:pPr>
              <w:pStyle w:val="TableParagraph"/>
              <w:spacing w:before="41"/>
              <w:ind w:right="133"/>
              <w:jc w:val="right"/>
              <w:rPr>
                <w:b/>
                <w:sz w:val="17"/>
              </w:rPr>
            </w:pPr>
            <w:r>
              <w:rPr>
                <w:b/>
                <w:spacing w:val="-4"/>
                <w:sz w:val="17"/>
              </w:rPr>
              <w:t>2034</w:t>
            </w:r>
          </w:p>
        </w:tc>
        <w:tc>
          <w:tcPr>
            <w:tcW w:w="613" w:type="dxa"/>
            <w:shd w:val="clear" w:color="auto" w:fill="92D400"/>
          </w:tcPr>
          <w:p w:rsidR="00C31389" w:rsidRDefault="00561FBD" w14:paraId="14F389DD" w14:textId="77777777">
            <w:pPr>
              <w:pStyle w:val="TableParagraph"/>
              <w:spacing w:before="41"/>
              <w:ind w:right="116"/>
              <w:jc w:val="right"/>
              <w:rPr>
                <w:b/>
                <w:sz w:val="17"/>
              </w:rPr>
            </w:pPr>
            <w:r>
              <w:rPr>
                <w:b/>
                <w:spacing w:val="-4"/>
                <w:sz w:val="17"/>
              </w:rPr>
              <w:t>2035</w:t>
            </w:r>
          </w:p>
        </w:tc>
      </w:tr>
      <w:tr w:rsidR="00C31389" w14:paraId="647FFFB7" w14:textId="77777777">
        <w:trPr>
          <w:trHeight w:val="275"/>
        </w:trPr>
        <w:tc>
          <w:tcPr>
            <w:tcW w:w="9385" w:type="dxa"/>
            <w:gridSpan w:val="13"/>
            <w:tcBorders>
              <w:bottom w:val="single" w:color="DCDDDE" w:sz="4" w:space="0"/>
            </w:tcBorders>
            <w:shd w:val="clear" w:color="auto" w:fill="BEBEBE"/>
          </w:tcPr>
          <w:p w:rsidR="00C31389" w:rsidRDefault="00561FBD" w14:paraId="3F92241B" w14:textId="77777777">
            <w:pPr>
              <w:pStyle w:val="TableParagraph"/>
              <w:spacing w:before="41"/>
              <w:ind w:left="121"/>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7F0404E6" w14:textId="77777777">
        <w:trPr>
          <w:trHeight w:val="275"/>
        </w:trPr>
        <w:tc>
          <w:tcPr>
            <w:tcW w:w="1514" w:type="dxa"/>
            <w:tcBorders>
              <w:top w:val="single" w:color="DCDDDE" w:sz="4" w:space="0"/>
              <w:bottom w:val="single" w:color="DCDDDE" w:sz="4" w:space="0"/>
            </w:tcBorders>
          </w:tcPr>
          <w:p w:rsidR="00C31389" w:rsidRDefault="00561FBD" w14:paraId="1D81FC81" w14:textId="77777777">
            <w:pPr>
              <w:pStyle w:val="TableParagraph"/>
              <w:ind w:left="121"/>
              <w:rPr>
                <w:sz w:val="17"/>
              </w:rPr>
            </w:pPr>
            <w:r>
              <w:rPr>
                <w:spacing w:val="-5"/>
                <w:sz w:val="17"/>
              </w:rPr>
              <w:t>EE</w:t>
            </w:r>
          </w:p>
        </w:tc>
        <w:tc>
          <w:tcPr>
            <w:tcW w:w="830" w:type="dxa"/>
            <w:tcBorders>
              <w:top w:val="single" w:color="DCDDDE" w:sz="4" w:space="0"/>
              <w:bottom w:val="single" w:color="D9D9D9" w:sz="8" w:space="0"/>
            </w:tcBorders>
          </w:tcPr>
          <w:p w:rsidR="00C31389" w:rsidRDefault="00561FBD" w14:paraId="1EC09F5B" w14:textId="77777777">
            <w:pPr>
              <w:pStyle w:val="TableParagraph"/>
              <w:ind w:right="169"/>
              <w:jc w:val="right"/>
              <w:rPr>
                <w:sz w:val="17"/>
              </w:rPr>
            </w:pPr>
            <w:r>
              <w:rPr>
                <w:spacing w:val="-4"/>
                <w:sz w:val="17"/>
              </w:rPr>
              <w:t>29.0</w:t>
            </w:r>
          </w:p>
        </w:tc>
        <w:tc>
          <w:tcPr>
            <w:tcW w:w="712" w:type="dxa"/>
            <w:tcBorders>
              <w:top w:val="single" w:color="DCDDDE" w:sz="4" w:space="0"/>
              <w:bottom w:val="single" w:color="D9D9D9" w:sz="8" w:space="0"/>
            </w:tcBorders>
          </w:tcPr>
          <w:p w:rsidR="00C31389" w:rsidRDefault="00561FBD" w14:paraId="5EAE2C44" w14:textId="77777777">
            <w:pPr>
              <w:pStyle w:val="TableParagraph"/>
              <w:ind w:right="114"/>
              <w:jc w:val="right"/>
              <w:rPr>
                <w:sz w:val="17"/>
              </w:rPr>
            </w:pPr>
            <w:r>
              <w:rPr>
                <w:spacing w:val="-4"/>
                <w:sz w:val="17"/>
              </w:rPr>
              <w:t>27.0</w:t>
            </w:r>
          </w:p>
        </w:tc>
        <w:tc>
          <w:tcPr>
            <w:tcW w:w="657" w:type="dxa"/>
            <w:tcBorders>
              <w:top w:val="single" w:color="DCDDDE" w:sz="4" w:space="0"/>
              <w:bottom w:val="single" w:color="D9D9D9" w:sz="8" w:space="0"/>
            </w:tcBorders>
          </w:tcPr>
          <w:p w:rsidR="00C31389" w:rsidRDefault="00561FBD" w14:paraId="5AE50E1C" w14:textId="77777777">
            <w:pPr>
              <w:pStyle w:val="TableParagraph"/>
              <w:ind w:left="100" w:right="9"/>
              <w:jc w:val="center"/>
              <w:rPr>
                <w:sz w:val="17"/>
              </w:rPr>
            </w:pPr>
            <w:r>
              <w:rPr>
                <w:spacing w:val="-4"/>
                <w:sz w:val="17"/>
              </w:rPr>
              <w:t>23.0</w:t>
            </w:r>
          </w:p>
        </w:tc>
        <w:tc>
          <w:tcPr>
            <w:tcW w:w="631" w:type="dxa"/>
            <w:tcBorders>
              <w:top w:val="single" w:color="DCDDDE" w:sz="4" w:space="0"/>
              <w:bottom w:val="single" w:color="D9D9D9" w:sz="8" w:space="0"/>
            </w:tcBorders>
          </w:tcPr>
          <w:p w:rsidR="00C31389" w:rsidRDefault="00561FBD" w14:paraId="205B271C" w14:textId="77777777">
            <w:pPr>
              <w:pStyle w:val="TableParagraph"/>
              <w:ind w:right="116"/>
              <w:jc w:val="right"/>
              <w:rPr>
                <w:sz w:val="17"/>
              </w:rPr>
            </w:pPr>
            <w:r>
              <w:rPr>
                <w:spacing w:val="-4"/>
                <w:sz w:val="17"/>
              </w:rPr>
              <w:t>18.6</w:t>
            </w:r>
          </w:p>
        </w:tc>
        <w:tc>
          <w:tcPr>
            <w:tcW w:w="631" w:type="dxa"/>
            <w:tcBorders>
              <w:top w:val="single" w:color="DCDDDE" w:sz="4" w:space="0"/>
              <w:bottom w:val="single" w:color="D9D9D9" w:sz="8" w:space="0"/>
            </w:tcBorders>
          </w:tcPr>
          <w:p w:rsidR="00C31389" w:rsidRDefault="00561FBD" w14:paraId="63F815F7" w14:textId="77777777">
            <w:pPr>
              <w:pStyle w:val="TableParagraph"/>
              <w:ind w:right="117"/>
              <w:jc w:val="right"/>
              <w:rPr>
                <w:sz w:val="17"/>
              </w:rPr>
            </w:pPr>
            <w:r>
              <w:rPr>
                <w:spacing w:val="-4"/>
                <w:sz w:val="17"/>
              </w:rPr>
              <w:t>17.0</w:t>
            </w:r>
          </w:p>
        </w:tc>
        <w:tc>
          <w:tcPr>
            <w:tcW w:w="631" w:type="dxa"/>
            <w:tcBorders>
              <w:top w:val="single" w:color="DCDDDE" w:sz="4" w:space="0"/>
              <w:bottom w:val="single" w:color="D9D9D9" w:sz="8" w:space="0"/>
            </w:tcBorders>
          </w:tcPr>
          <w:p w:rsidR="00C31389" w:rsidRDefault="00561FBD" w14:paraId="3F6F98CB" w14:textId="77777777">
            <w:pPr>
              <w:pStyle w:val="TableParagraph"/>
              <w:ind w:right="118"/>
              <w:jc w:val="right"/>
              <w:rPr>
                <w:sz w:val="17"/>
              </w:rPr>
            </w:pPr>
            <w:r>
              <w:rPr>
                <w:spacing w:val="-4"/>
                <w:sz w:val="17"/>
              </w:rPr>
              <w:t>14.9</w:t>
            </w:r>
          </w:p>
        </w:tc>
        <w:tc>
          <w:tcPr>
            <w:tcW w:w="631" w:type="dxa"/>
            <w:tcBorders>
              <w:top w:val="single" w:color="DCDDDE" w:sz="4" w:space="0"/>
              <w:bottom w:val="single" w:color="D9D9D9" w:sz="8" w:space="0"/>
            </w:tcBorders>
          </w:tcPr>
          <w:p w:rsidR="00C31389" w:rsidRDefault="00561FBD" w14:paraId="37458B73" w14:textId="77777777">
            <w:pPr>
              <w:pStyle w:val="TableParagraph"/>
              <w:ind w:right="119"/>
              <w:jc w:val="right"/>
              <w:rPr>
                <w:sz w:val="17"/>
              </w:rPr>
            </w:pPr>
            <w:r>
              <w:rPr>
                <w:spacing w:val="-4"/>
                <w:sz w:val="17"/>
              </w:rPr>
              <w:t>16.7</w:t>
            </w:r>
          </w:p>
        </w:tc>
        <w:tc>
          <w:tcPr>
            <w:tcW w:w="631" w:type="dxa"/>
            <w:tcBorders>
              <w:top w:val="single" w:color="DCDDDE" w:sz="4" w:space="0"/>
              <w:bottom w:val="single" w:color="D9D9D9" w:sz="8" w:space="0"/>
            </w:tcBorders>
          </w:tcPr>
          <w:p w:rsidR="00C31389" w:rsidRDefault="00561FBD" w14:paraId="02037D3E" w14:textId="77777777">
            <w:pPr>
              <w:pStyle w:val="TableParagraph"/>
              <w:ind w:right="120"/>
              <w:jc w:val="right"/>
              <w:rPr>
                <w:sz w:val="17"/>
              </w:rPr>
            </w:pPr>
            <w:r>
              <w:rPr>
                <w:spacing w:val="-4"/>
                <w:sz w:val="17"/>
              </w:rPr>
              <w:t>13.3</w:t>
            </w:r>
          </w:p>
        </w:tc>
        <w:tc>
          <w:tcPr>
            <w:tcW w:w="631" w:type="dxa"/>
            <w:tcBorders>
              <w:top w:val="single" w:color="DCDDDE" w:sz="4" w:space="0"/>
              <w:bottom w:val="single" w:color="D9D9D9" w:sz="8" w:space="0"/>
            </w:tcBorders>
          </w:tcPr>
          <w:p w:rsidR="00C31389" w:rsidRDefault="00561FBD" w14:paraId="5AE86B6B" w14:textId="77777777">
            <w:pPr>
              <w:pStyle w:val="TableParagraph"/>
              <w:ind w:right="121"/>
              <w:jc w:val="right"/>
              <w:rPr>
                <w:sz w:val="17"/>
              </w:rPr>
            </w:pPr>
            <w:r>
              <w:rPr>
                <w:spacing w:val="-4"/>
                <w:sz w:val="17"/>
              </w:rPr>
              <w:t>12.8</w:t>
            </w:r>
          </w:p>
        </w:tc>
        <w:tc>
          <w:tcPr>
            <w:tcW w:w="642" w:type="dxa"/>
            <w:tcBorders>
              <w:top w:val="single" w:color="DCDDDE" w:sz="4" w:space="0"/>
              <w:bottom w:val="single" w:color="D9D9D9" w:sz="8" w:space="0"/>
            </w:tcBorders>
          </w:tcPr>
          <w:p w:rsidR="00C31389" w:rsidRDefault="00561FBD" w14:paraId="216DD50C" w14:textId="77777777">
            <w:pPr>
              <w:pStyle w:val="TableParagraph"/>
              <w:ind w:right="133"/>
              <w:jc w:val="right"/>
              <w:rPr>
                <w:sz w:val="17"/>
              </w:rPr>
            </w:pPr>
            <w:r>
              <w:rPr>
                <w:spacing w:val="-4"/>
                <w:sz w:val="17"/>
              </w:rPr>
              <w:t>12.2</w:t>
            </w:r>
          </w:p>
        </w:tc>
        <w:tc>
          <w:tcPr>
            <w:tcW w:w="631" w:type="dxa"/>
            <w:tcBorders>
              <w:top w:val="single" w:color="DCDDDE" w:sz="4" w:space="0"/>
              <w:bottom w:val="single" w:color="D9D9D9" w:sz="8" w:space="0"/>
            </w:tcBorders>
          </w:tcPr>
          <w:p w:rsidR="00C31389" w:rsidRDefault="00561FBD" w14:paraId="0D92EA6E" w14:textId="77777777">
            <w:pPr>
              <w:pStyle w:val="TableParagraph"/>
              <w:ind w:right="134"/>
              <w:jc w:val="right"/>
              <w:rPr>
                <w:sz w:val="17"/>
              </w:rPr>
            </w:pPr>
            <w:r>
              <w:rPr>
                <w:spacing w:val="-4"/>
                <w:sz w:val="17"/>
              </w:rPr>
              <w:t>12.0</w:t>
            </w:r>
          </w:p>
        </w:tc>
        <w:tc>
          <w:tcPr>
            <w:tcW w:w="613" w:type="dxa"/>
            <w:tcBorders>
              <w:top w:val="single" w:color="DCDDDE" w:sz="4" w:space="0"/>
              <w:bottom w:val="single" w:color="D9D9D9" w:sz="8" w:space="0"/>
            </w:tcBorders>
          </w:tcPr>
          <w:p w:rsidR="00C31389" w:rsidRDefault="00561FBD" w14:paraId="583832DC" w14:textId="77777777">
            <w:pPr>
              <w:pStyle w:val="TableParagraph"/>
              <w:ind w:right="117"/>
              <w:jc w:val="right"/>
              <w:rPr>
                <w:sz w:val="17"/>
              </w:rPr>
            </w:pPr>
            <w:r>
              <w:rPr>
                <w:spacing w:val="-4"/>
                <w:sz w:val="17"/>
              </w:rPr>
              <w:t>11.9</w:t>
            </w:r>
          </w:p>
        </w:tc>
      </w:tr>
      <w:tr w:rsidR="00C31389" w14:paraId="7E841684" w14:textId="77777777">
        <w:trPr>
          <w:trHeight w:val="275"/>
        </w:trPr>
        <w:tc>
          <w:tcPr>
            <w:tcW w:w="1514" w:type="dxa"/>
            <w:tcBorders>
              <w:top w:val="single" w:color="DCDDDE" w:sz="4" w:space="0"/>
              <w:bottom w:val="single" w:color="DCDDDE" w:sz="4" w:space="0"/>
            </w:tcBorders>
          </w:tcPr>
          <w:p w:rsidR="00C31389" w:rsidRDefault="00561FBD" w14:paraId="583CE9BC" w14:textId="77777777">
            <w:pPr>
              <w:pStyle w:val="TableParagraph"/>
              <w:ind w:left="121"/>
              <w:rPr>
                <w:sz w:val="17"/>
              </w:rPr>
            </w:pPr>
            <w:r>
              <w:rPr>
                <w:spacing w:val="-5"/>
                <w:sz w:val="17"/>
              </w:rPr>
              <w:t>FS</w:t>
            </w:r>
          </w:p>
        </w:tc>
        <w:tc>
          <w:tcPr>
            <w:tcW w:w="830" w:type="dxa"/>
            <w:tcBorders>
              <w:top w:val="single" w:color="D9D9D9" w:sz="8" w:space="0"/>
              <w:bottom w:val="single" w:color="D9D9D9" w:sz="8" w:space="0"/>
            </w:tcBorders>
          </w:tcPr>
          <w:p w:rsidR="00C31389" w:rsidRDefault="00561FBD" w14:paraId="33DFA6A4" w14:textId="77777777">
            <w:pPr>
              <w:pStyle w:val="TableParagraph"/>
              <w:ind w:right="169"/>
              <w:jc w:val="right"/>
              <w:rPr>
                <w:sz w:val="17"/>
              </w:rPr>
            </w:pPr>
            <w:r>
              <w:rPr>
                <w:spacing w:val="-4"/>
                <w:sz w:val="17"/>
              </w:rPr>
              <w:t>20.5</w:t>
            </w:r>
          </w:p>
        </w:tc>
        <w:tc>
          <w:tcPr>
            <w:tcW w:w="712" w:type="dxa"/>
            <w:tcBorders>
              <w:top w:val="single" w:color="D9D9D9" w:sz="8" w:space="0"/>
              <w:bottom w:val="single" w:color="D9D9D9" w:sz="8" w:space="0"/>
            </w:tcBorders>
          </w:tcPr>
          <w:p w:rsidR="00C31389" w:rsidRDefault="00561FBD" w14:paraId="2608B726" w14:textId="77777777">
            <w:pPr>
              <w:pStyle w:val="TableParagraph"/>
              <w:ind w:right="114"/>
              <w:jc w:val="right"/>
              <w:rPr>
                <w:sz w:val="17"/>
              </w:rPr>
            </w:pPr>
            <w:r>
              <w:rPr>
                <w:spacing w:val="-4"/>
                <w:sz w:val="17"/>
              </w:rPr>
              <w:t>20.9</w:t>
            </w:r>
          </w:p>
        </w:tc>
        <w:tc>
          <w:tcPr>
            <w:tcW w:w="657" w:type="dxa"/>
            <w:tcBorders>
              <w:top w:val="single" w:color="D9D9D9" w:sz="8" w:space="0"/>
              <w:bottom w:val="single" w:color="D9D9D9" w:sz="8" w:space="0"/>
            </w:tcBorders>
          </w:tcPr>
          <w:p w:rsidR="00C31389" w:rsidRDefault="00561FBD" w14:paraId="3766F0EA" w14:textId="77777777">
            <w:pPr>
              <w:pStyle w:val="TableParagraph"/>
              <w:ind w:left="100" w:right="9"/>
              <w:jc w:val="center"/>
              <w:rPr>
                <w:sz w:val="17"/>
              </w:rPr>
            </w:pPr>
            <w:r>
              <w:rPr>
                <w:spacing w:val="-4"/>
                <w:sz w:val="17"/>
              </w:rPr>
              <w:t>25.3</w:t>
            </w:r>
          </w:p>
        </w:tc>
        <w:tc>
          <w:tcPr>
            <w:tcW w:w="631" w:type="dxa"/>
            <w:tcBorders>
              <w:top w:val="single" w:color="D9D9D9" w:sz="8" w:space="0"/>
              <w:bottom w:val="single" w:color="D9D9D9" w:sz="8" w:space="0"/>
            </w:tcBorders>
          </w:tcPr>
          <w:p w:rsidR="00C31389" w:rsidRDefault="00561FBD" w14:paraId="03351F1F" w14:textId="77777777">
            <w:pPr>
              <w:pStyle w:val="TableParagraph"/>
              <w:ind w:right="116"/>
              <w:jc w:val="right"/>
              <w:rPr>
                <w:sz w:val="17"/>
              </w:rPr>
            </w:pPr>
            <w:r>
              <w:rPr>
                <w:spacing w:val="-4"/>
                <w:sz w:val="17"/>
              </w:rPr>
              <w:t>25.7</w:t>
            </w:r>
          </w:p>
        </w:tc>
        <w:tc>
          <w:tcPr>
            <w:tcW w:w="631" w:type="dxa"/>
            <w:tcBorders>
              <w:top w:val="single" w:color="D9D9D9" w:sz="8" w:space="0"/>
              <w:bottom w:val="single" w:color="D9D9D9" w:sz="8" w:space="0"/>
            </w:tcBorders>
          </w:tcPr>
          <w:p w:rsidR="00C31389" w:rsidRDefault="00561FBD" w14:paraId="27F7A122" w14:textId="77777777">
            <w:pPr>
              <w:pStyle w:val="TableParagraph"/>
              <w:ind w:right="117"/>
              <w:jc w:val="right"/>
              <w:rPr>
                <w:sz w:val="17"/>
              </w:rPr>
            </w:pPr>
            <w:r>
              <w:rPr>
                <w:spacing w:val="-4"/>
                <w:sz w:val="17"/>
              </w:rPr>
              <w:t>27.8</w:t>
            </w:r>
          </w:p>
        </w:tc>
        <w:tc>
          <w:tcPr>
            <w:tcW w:w="631" w:type="dxa"/>
            <w:tcBorders>
              <w:top w:val="single" w:color="D9D9D9" w:sz="8" w:space="0"/>
              <w:bottom w:val="single" w:color="D9D9D9" w:sz="8" w:space="0"/>
            </w:tcBorders>
          </w:tcPr>
          <w:p w:rsidR="00C31389" w:rsidRDefault="00561FBD" w14:paraId="61ED6A05" w14:textId="77777777">
            <w:pPr>
              <w:pStyle w:val="TableParagraph"/>
              <w:ind w:right="118"/>
              <w:jc w:val="right"/>
              <w:rPr>
                <w:sz w:val="17"/>
              </w:rPr>
            </w:pPr>
            <w:r>
              <w:rPr>
                <w:spacing w:val="-4"/>
                <w:sz w:val="17"/>
              </w:rPr>
              <w:t>32.3</w:t>
            </w:r>
          </w:p>
        </w:tc>
        <w:tc>
          <w:tcPr>
            <w:tcW w:w="631" w:type="dxa"/>
            <w:tcBorders>
              <w:top w:val="single" w:color="D9D9D9" w:sz="8" w:space="0"/>
              <w:bottom w:val="single" w:color="D9D9D9" w:sz="8" w:space="0"/>
            </w:tcBorders>
          </w:tcPr>
          <w:p w:rsidR="00C31389" w:rsidRDefault="00561FBD" w14:paraId="6C093C66" w14:textId="77777777">
            <w:pPr>
              <w:pStyle w:val="TableParagraph"/>
              <w:ind w:right="119"/>
              <w:jc w:val="right"/>
              <w:rPr>
                <w:sz w:val="17"/>
              </w:rPr>
            </w:pPr>
            <w:r>
              <w:rPr>
                <w:spacing w:val="-5"/>
                <w:sz w:val="17"/>
              </w:rPr>
              <w:t>0.2</w:t>
            </w:r>
          </w:p>
        </w:tc>
        <w:tc>
          <w:tcPr>
            <w:tcW w:w="631" w:type="dxa"/>
            <w:tcBorders>
              <w:top w:val="single" w:color="D9D9D9" w:sz="8" w:space="0"/>
              <w:bottom w:val="single" w:color="D9D9D9" w:sz="8" w:space="0"/>
            </w:tcBorders>
          </w:tcPr>
          <w:p w:rsidR="00C31389" w:rsidRDefault="00561FBD" w14:paraId="395EF530" w14:textId="77777777">
            <w:pPr>
              <w:pStyle w:val="TableParagraph"/>
              <w:ind w:right="120"/>
              <w:jc w:val="right"/>
              <w:rPr>
                <w:sz w:val="17"/>
              </w:rPr>
            </w:pPr>
            <w:r>
              <w:rPr>
                <w:spacing w:val="-5"/>
                <w:sz w:val="17"/>
              </w:rPr>
              <w:t>0.2</w:t>
            </w:r>
          </w:p>
        </w:tc>
        <w:tc>
          <w:tcPr>
            <w:tcW w:w="631" w:type="dxa"/>
            <w:tcBorders>
              <w:top w:val="single" w:color="D9D9D9" w:sz="8" w:space="0"/>
              <w:bottom w:val="single" w:color="D9D9D9" w:sz="8" w:space="0"/>
            </w:tcBorders>
          </w:tcPr>
          <w:p w:rsidR="00C31389" w:rsidRDefault="00561FBD" w14:paraId="0AF10E14" w14:textId="77777777">
            <w:pPr>
              <w:pStyle w:val="TableParagraph"/>
              <w:ind w:right="121"/>
              <w:jc w:val="right"/>
              <w:rPr>
                <w:sz w:val="17"/>
              </w:rPr>
            </w:pPr>
            <w:r>
              <w:rPr>
                <w:spacing w:val="-5"/>
                <w:sz w:val="17"/>
              </w:rPr>
              <w:t>0.2</w:t>
            </w:r>
          </w:p>
        </w:tc>
        <w:tc>
          <w:tcPr>
            <w:tcW w:w="642" w:type="dxa"/>
            <w:tcBorders>
              <w:top w:val="single" w:color="D9D9D9" w:sz="8" w:space="0"/>
              <w:bottom w:val="single" w:color="D9D9D9" w:sz="8" w:space="0"/>
            </w:tcBorders>
          </w:tcPr>
          <w:p w:rsidR="00C31389" w:rsidRDefault="00561FBD" w14:paraId="5CB5CE5C" w14:textId="77777777">
            <w:pPr>
              <w:pStyle w:val="TableParagraph"/>
              <w:ind w:right="133"/>
              <w:jc w:val="right"/>
              <w:rPr>
                <w:sz w:val="17"/>
              </w:rPr>
            </w:pPr>
            <w:r>
              <w:rPr>
                <w:spacing w:val="-5"/>
                <w:sz w:val="17"/>
              </w:rPr>
              <w:t>0.3</w:t>
            </w:r>
          </w:p>
        </w:tc>
        <w:tc>
          <w:tcPr>
            <w:tcW w:w="631" w:type="dxa"/>
            <w:tcBorders>
              <w:top w:val="single" w:color="D9D9D9" w:sz="8" w:space="0"/>
              <w:bottom w:val="single" w:color="D9D9D9" w:sz="8" w:space="0"/>
            </w:tcBorders>
          </w:tcPr>
          <w:p w:rsidR="00C31389" w:rsidRDefault="00561FBD" w14:paraId="45BA88FF" w14:textId="77777777">
            <w:pPr>
              <w:pStyle w:val="TableParagraph"/>
              <w:ind w:right="134"/>
              <w:jc w:val="right"/>
              <w:rPr>
                <w:sz w:val="17"/>
              </w:rPr>
            </w:pPr>
            <w:r>
              <w:rPr>
                <w:spacing w:val="-5"/>
                <w:sz w:val="17"/>
              </w:rPr>
              <w:t>0.3</w:t>
            </w:r>
          </w:p>
        </w:tc>
        <w:tc>
          <w:tcPr>
            <w:tcW w:w="613" w:type="dxa"/>
            <w:tcBorders>
              <w:top w:val="single" w:color="D9D9D9" w:sz="8" w:space="0"/>
              <w:bottom w:val="single" w:color="D9D9D9" w:sz="8" w:space="0"/>
            </w:tcBorders>
          </w:tcPr>
          <w:p w:rsidR="00C31389" w:rsidRDefault="00561FBD" w14:paraId="202675DB" w14:textId="77777777">
            <w:pPr>
              <w:pStyle w:val="TableParagraph"/>
              <w:ind w:right="117"/>
              <w:jc w:val="right"/>
              <w:rPr>
                <w:sz w:val="17"/>
              </w:rPr>
            </w:pPr>
            <w:r>
              <w:rPr>
                <w:spacing w:val="-5"/>
                <w:sz w:val="17"/>
              </w:rPr>
              <w:t>0.3</w:t>
            </w:r>
          </w:p>
        </w:tc>
      </w:tr>
      <w:tr w:rsidR="00C31389" w14:paraId="58A2CD80" w14:textId="77777777">
        <w:trPr>
          <w:trHeight w:val="275"/>
        </w:trPr>
        <w:tc>
          <w:tcPr>
            <w:tcW w:w="1514" w:type="dxa"/>
            <w:tcBorders>
              <w:top w:val="single" w:color="DCDDDE" w:sz="4" w:space="0"/>
              <w:bottom w:val="single" w:color="DCDDDE" w:sz="4" w:space="0"/>
            </w:tcBorders>
          </w:tcPr>
          <w:p w:rsidR="00C31389" w:rsidRDefault="00561FBD" w14:paraId="2C60BC7E" w14:textId="77777777">
            <w:pPr>
              <w:pStyle w:val="TableParagraph"/>
              <w:spacing w:before="41"/>
              <w:ind w:left="121"/>
              <w:rPr>
                <w:sz w:val="17"/>
              </w:rPr>
            </w:pPr>
            <w:r>
              <w:rPr>
                <w:spacing w:val="-4"/>
                <w:sz w:val="17"/>
              </w:rPr>
              <w:t>BROs</w:t>
            </w:r>
          </w:p>
        </w:tc>
        <w:tc>
          <w:tcPr>
            <w:tcW w:w="830" w:type="dxa"/>
            <w:tcBorders>
              <w:top w:val="single" w:color="D9D9D9" w:sz="8" w:space="0"/>
              <w:bottom w:val="single" w:color="DCDDDE" w:sz="4" w:space="0"/>
            </w:tcBorders>
          </w:tcPr>
          <w:p w:rsidR="00C31389" w:rsidRDefault="00561FBD" w14:paraId="162BEF0A" w14:textId="77777777">
            <w:pPr>
              <w:pStyle w:val="TableParagraph"/>
              <w:spacing w:before="41"/>
              <w:ind w:right="169"/>
              <w:jc w:val="right"/>
              <w:rPr>
                <w:sz w:val="17"/>
              </w:rPr>
            </w:pPr>
            <w:r>
              <w:rPr>
                <w:spacing w:val="-4"/>
                <w:sz w:val="17"/>
              </w:rPr>
              <w:t>35.1</w:t>
            </w:r>
          </w:p>
        </w:tc>
        <w:tc>
          <w:tcPr>
            <w:tcW w:w="712" w:type="dxa"/>
            <w:tcBorders>
              <w:top w:val="single" w:color="D9D9D9" w:sz="8" w:space="0"/>
              <w:bottom w:val="single" w:color="DCDDDE" w:sz="4" w:space="0"/>
            </w:tcBorders>
          </w:tcPr>
          <w:p w:rsidR="00C31389" w:rsidRDefault="00561FBD" w14:paraId="2E7E0E21" w14:textId="77777777">
            <w:pPr>
              <w:pStyle w:val="TableParagraph"/>
              <w:spacing w:before="41"/>
              <w:ind w:right="114"/>
              <w:jc w:val="right"/>
              <w:rPr>
                <w:sz w:val="17"/>
              </w:rPr>
            </w:pPr>
            <w:r>
              <w:rPr>
                <w:spacing w:val="-4"/>
                <w:sz w:val="17"/>
              </w:rPr>
              <w:t>36.5</w:t>
            </w:r>
          </w:p>
        </w:tc>
        <w:tc>
          <w:tcPr>
            <w:tcW w:w="657" w:type="dxa"/>
            <w:tcBorders>
              <w:top w:val="single" w:color="D9D9D9" w:sz="8" w:space="0"/>
              <w:bottom w:val="single" w:color="DCDDDE" w:sz="4" w:space="0"/>
            </w:tcBorders>
          </w:tcPr>
          <w:p w:rsidR="00C31389" w:rsidRDefault="00561FBD" w14:paraId="34F0C402" w14:textId="77777777">
            <w:pPr>
              <w:pStyle w:val="TableParagraph"/>
              <w:spacing w:before="41"/>
              <w:ind w:left="100" w:right="9"/>
              <w:jc w:val="center"/>
              <w:rPr>
                <w:sz w:val="17"/>
              </w:rPr>
            </w:pPr>
            <w:r>
              <w:rPr>
                <w:spacing w:val="-4"/>
                <w:sz w:val="17"/>
              </w:rPr>
              <w:t>38.0</w:t>
            </w:r>
          </w:p>
        </w:tc>
        <w:tc>
          <w:tcPr>
            <w:tcW w:w="631" w:type="dxa"/>
            <w:tcBorders>
              <w:top w:val="single" w:color="D9D9D9" w:sz="8" w:space="0"/>
              <w:bottom w:val="single" w:color="DCDDDE" w:sz="4" w:space="0"/>
            </w:tcBorders>
          </w:tcPr>
          <w:p w:rsidR="00C31389" w:rsidRDefault="00561FBD" w14:paraId="139C472A" w14:textId="77777777">
            <w:pPr>
              <w:pStyle w:val="TableParagraph"/>
              <w:spacing w:before="41"/>
              <w:ind w:right="116"/>
              <w:jc w:val="right"/>
              <w:rPr>
                <w:sz w:val="17"/>
              </w:rPr>
            </w:pPr>
            <w:r>
              <w:rPr>
                <w:spacing w:val="-4"/>
                <w:sz w:val="17"/>
              </w:rPr>
              <w:t>39.5</w:t>
            </w:r>
          </w:p>
        </w:tc>
        <w:tc>
          <w:tcPr>
            <w:tcW w:w="631" w:type="dxa"/>
            <w:tcBorders>
              <w:top w:val="single" w:color="D9D9D9" w:sz="8" w:space="0"/>
              <w:bottom w:val="single" w:color="DCDDDE" w:sz="4" w:space="0"/>
            </w:tcBorders>
          </w:tcPr>
          <w:p w:rsidR="00C31389" w:rsidRDefault="00561FBD" w14:paraId="6D62BFD7" w14:textId="77777777">
            <w:pPr>
              <w:pStyle w:val="TableParagraph"/>
              <w:spacing w:before="41"/>
              <w:ind w:right="117"/>
              <w:jc w:val="right"/>
              <w:rPr>
                <w:sz w:val="17"/>
              </w:rPr>
            </w:pPr>
            <w:r>
              <w:rPr>
                <w:spacing w:val="-4"/>
                <w:sz w:val="17"/>
              </w:rPr>
              <w:t>41.0</w:t>
            </w:r>
          </w:p>
        </w:tc>
        <w:tc>
          <w:tcPr>
            <w:tcW w:w="631" w:type="dxa"/>
            <w:tcBorders>
              <w:top w:val="single" w:color="D9D9D9" w:sz="8" w:space="0"/>
              <w:bottom w:val="single" w:color="DCDDDE" w:sz="4" w:space="0"/>
            </w:tcBorders>
          </w:tcPr>
          <w:p w:rsidR="00C31389" w:rsidRDefault="00561FBD" w14:paraId="0066940B" w14:textId="77777777">
            <w:pPr>
              <w:pStyle w:val="TableParagraph"/>
              <w:spacing w:before="41"/>
              <w:ind w:right="118"/>
              <w:jc w:val="right"/>
              <w:rPr>
                <w:sz w:val="17"/>
              </w:rPr>
            </w:pPr>
            <w:r>
              <w:rPr>
                <w:spacing w:val="-4"/>
                <w:sz w:val="17"/>
              </w:rPr>
              <w:t>42.6</w:t>
            </w:r>
          </w:p>
        </w:tc>
        <w:tc>
          <w:tcPr>
            <w:tcW w:w="631" w:type="dxa"/>
            <w:tcBorders>
              <w:top w:val="single" w:color="D9D9D9" w:sz="8" w:space="0"/>
              <w:bottom w:val="single" w:color="DCDDDE" w:sz="4" w:space="0"/>
            </w:tcBorders>
          </w:tcPr>
          <w:p w:rsidR="00C31389" w:rsidRDefault="00561FBD" w14:paraId="7A4A2410" w14:textId="77777777">
            <w:pPr>
              <w:pStyle w:val="TableParagraph"/>
              <w:spacing w:before="41"/>
              <w:ind w:right="119"/>
              <w:jc w:val="right"/>
              <w:rPr>
                <w:sz w:val="17"/>
              </w:rPr>
            </w:pPr>
            <w:r>
              <w:rPr>
                <w:spacing w:val="-4"/>
                <w:sz w:val="17"/>
              </w:rPr>
              <w:t>44.4</w:t>
            </w:r>
          </w:p>
        </w:tc>
        <w:tc>
          <w:tcPr>
            <w:tcW w:w="631" w:type="dxa"/>
            <w:tcBorders>
              <w:top w:val="single" w:color="D9D9D9" w:sz="8" w:space="0"/>
              <w:bottom w:val="single" w:color="DCDDDE" w:sz="4" w:space="0"/>
            </w:tcBorders>
          </w:tcPr>
          <w:p w:rsidR="00C31389" w:rsidRDefault="00561FBD" w14:paraId="09567141" w14:textId="77777777">
            <w:pPr>
              <w:pStyle w:val="TableParagraph"/>
              <w:spacing w:before="41"/>
              <w:ind w:right="120"/>
              <w:jc w:val="right"/>
              <w:rPr>
                <w:sz w:val="17"/>
              </w:rPr>
            </w:pPr>
            <w:r>
              <w:rPr>
                <w:spacing w:val="-4"/>
                <w:sz w:val="17"/>
              </w:rPr>
              <w:t>46.2</w:t>
            </w:r>
          </w:p>
        </w:tc>
        <w:tc>
          <w:tcPr>
            <w:tcW w:w="631" w:type="dxa"/>
            <w:tcBorders>
              <w:top w:val="single" w:color="D9D9D9" w:sz="8" w:space="0"/>
              <w:bottom w:val="single" w:color="DCDDDE" w:sz="4" w:space="0"/>
            </w:tcBorders>
          </w:tcPr>
          <w:p w:rsidR="00C31389" w:rsidRDefault="00561FBD" w14:paraId="54437AA4" w14:textId="77777777">
            <w:pPr>
              <w:pStyle w:val="TableParagraph"/>
              <w:spacing w:before="41"/>
              <w:ind w:right="121"/>
              <w:jc w:val="right"/>
              <w:rPr>
                <w:sz w:val="17"/>
              </w:rPr>
            </w:pPr>
            <w:r>
              <w:rPr>
                <w:spacing w:val="-4"/>
                <w:sz w:val="17"/>
              </w:rPr>
              <w:t>48.1</w:t>
            </w:r>
          </w:p>
        </w:tc>
        <w:tc>
          <w:tcPr>
            <w:tcW w:w="642" w:type="dxa"/>
            <w:tcBorders>
              <w:top w:val="single" w:color="D9D9D9" w:sz="8" w:space="0"/>
              <w:bottom w:val="single" w:color="DCDDDE" w:sz="4" w:space="0"/>
            </w:tcBorders>
          </w:tcPr>
          <w:p w:rsidR="00C31389" w:rsidRDefault="00561FBD" w14:paraId="3BC4CFFA" w14:textId="77777777">
            <w:pPr>
              <w:pStyle w:val="TableParagraph"/>
              <w:spacing w:before="41"/>
              <w:ind w:right="133"/>
              <w:jc w:val="right"/>
              <w:rPr>
                <w:sz w:val="17"/>
              </w:rPr>
            </w:pPr>
            <w:r>
              <w:rPr>
                <w:spacing w:val="-4"/>
                <w:sz w:val="17"/>
              </w:rPr>
              <w:t>50.0</w:t>
            </w:r>
          </w:p>
        </w:tc>
        <w:tc>
          <w:tcPr>
            <w:tcW w:w="631" w:type="dxa"/>
            <w:tcBorders>
              <w:top w:val="single" w:color="D9D9D9" w:sz="8" w:space="0"/>
              <w:bottom w:val="single" w:color="DCDDDE" w:sz="4" w:space="0"/>
            </w:tcBorders>
          </w:tcPr>
          <w:p w:rsidR="00C31389" w:rsidRDefault="00561FBD" w14:paraId="086B80F7" w14:textId="77777777">
            <w:pPr>
              <w:pStyle w:val="TableParagraph"/>
              <w:spacing w:before="41"/>
              <w:ind w:right="134"/>
              <w:jc w:val="right"/>
              <w:rPr>
                <w:sz w:val="17"/>
              </w:rPr>
            </w:pPr>
            <w:r>
              <w:rPr>
                <w:spacing w:val="-4"/>
                <w:sz w:val="17"/>
              </w:rPr>
              <w:t>51.1</w:t>
            </w:r>
          </w:p>
        </w:tc>
        <w:tc>
          <w:tcPr>
            <w:tcW w:w="613" w:type="dxa"/>
            <w:tcBorders>
              <w:top w:val="single" w:color="D9D9D9" w:sz="8" w:space="0"/>
              <w:bottom w:val="single" w:color="DCDDDE" w:sz="4" w:space="0"/>
            </w:tcBorders>
          </w:tcPr>
          <w:p w:rsidR="00C31389" w:rsidRDefault="00561FBD" w14:paraId="1F3F40B9" w14:textId="77777777">
            <w:pPr>
              <w:pStyle w:val="TableParagraph"/>
              <w:spacing w:before="41"/>
              <w:ind w:right="117"/>
              <w:jc w:val="right"/>
              <w:rPr>
                <w:sz w:val="17"/>
              </w:rPr>
            </w:pPr>
            <w:r>
              <w:rPr>
                <w:spacing w:val="-4"/>
                <w:sz w:val="17"/>
              </w:rPr>
              <w:t>53.3</w:t>
            </w:r>
          </w:p>
        </w:tc>
      </w:tr>
      <w:tr w:rsidR="00C31389" w14:paraId="75158162"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78B28E99" w14:textId="77777777">
            <w:pPr>
              <w:pStyle w:val="TableParagraph"/>
              <w:spacing w:before="42"/>
              <w:ind w:left="121"/>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488B4D47" w14:textId="77777777">
        <w:trPr>
          <w:trHeight w:val="275"/>
        </w:trPr>
        <w:tc>
          <w:tcPr>
            <w:tcW w:w="1514" w:type="dxa"/>
            <w:tcBorders>
              <w:top w:val="single" w:color="DCDDDE" w:sz="4" w:space="0"/>
              <w:bottom w:val="single" w:color="DCDDDE" w:sz="4" w:space="0"/>
            </w:tcBorders>
          </w:tcPr>
          <w:p w:rsidR="00C31389" w:rsidRDefault="00561FBD" w14:paraId="55118BE7" w14:textId="77777777">
            <w:pPr>
              <w:pStyle w:val="TableParagraph"/>
              <w:ind w:left="121"/>
              <w:rPr>
                <w:sz w:val="17"/>
              </w:rPr>
            </w:pPr>
            <w:r>
              <w:rPr>
                <w:spacing w:val="-5"/>
                <w:sz w:val="17"/>
              </w:rPr>
              <w:t>EE</w:t>
            </w:r>
          </w:p>
        </w:tc>
        <w:tc>
          <w:tcPr>
            <w:tcW w:w="830" w:type="dxa"/>
            <w:tcBorders>
              <w:top w:val="single" w:color="DCDDDE" w:sz="4" w:space="0"/>
            </w:tcBorders>
          </w:tcPr>
          <w:p w:rsidR="00C31389" w:rsidRDefault="00561FBD" w14:paraId="1D310E23" w14:textId="77777777">
            <w:pPr>
              <w:pStyle w:val="TableParagraph"/>
              <w:ind w:right="169"/>
              <w:jc w:val="right"/>
              <w:rPr>
                <w:sz w:val="17"/>
              </w:rPr>
            </w:pPr>
            <w:r>
              <w:rPr>
                <w:spacing w:val="-4"/>
                <w:sz w:val="17"/>
              </w:rPr>
              <w:t>31.3</w:t>
            </w:r>
          </w:p>
        </w:tc>
        <w:tc>
          <w:tcPr>
            <w:tcW w:w="712" w:type="dxa"/>
            <w:tcBorders>
              <w:top w:val="single" w:color="DCDDDE" w:sz="4" w:space="0"/>
            </w:tcBorders>
          </w:tcPr>
          <w:p w:rsidR="00C31389" w:rsidRDefault="00561FBD" w14:paraId="7DF819CC" w14:textId="77777777">
            <w:pPr>
              <w:pStyle w:val="TableParagraph"/>
              <w:ind w:right="114"/>
              <w:jc w:val="right"/>
              <w:rPr>
                <w:sz w:val="17"/>
              </w:rPr>
            </w:pPr>
            <w:r>
              <w:rPr>
                <w:spacing w:val="-4"/>
                <w:sz w:val="17"/>
              </w:rPr>
              <w:t>28.4</w:t>
            </w:r>
          </w:p>
        </w:tc>
        <w:tc>
          <w:tcPr>
            <w:tcW w:w="657" w:type="dxa"/>
            <w:tcBorders>
              <w:top w:val="single" w:color="DCDDDE" w:sz="4" w:space="0"/>
            </w:tcBorders>
          </w:tcPr>
          <w:p w:rsidR="00C31389" w:rsidRDefault="00561FBD" w14:paraId="32029315" w14:textId="77777777">
            <w:pPr>
              <w:pStyle w:val="TableParagraph"/>
              <w:ind w:left="100" w:right="9"/>
              <w:jc w:val="center"/>
              <w:rPr>
                <w:sz w:val="17"/>
              </w:rPr>
            </w:pPr>
            <w:r>
              <w:rPr>
                <w:spacing w:val="-4"/>
                <w:sz w:val="17"/>
              </w:rPr>
              <w:t>23.7</w:t>
            </w:r>
          </w:p>
        </w:tc>
        <w:tc>
          <w:tcPr>
            <w:tcW w:w="631" w:type="dxa"/>
            <w:tcBorders>
              <w:top w:val="single" w:color="DCDDDE" w:sz="4" w:space="0"/>
            </w:tcBorders>
          </w:tcPr>
          <w:p w:rsidR="00C31389" w:rsidRDefault="00561FBD" w14:paraId="27D15CBB" w14:textId="77777777">
            <w:pPr>
              <w:pStyle w:val="TableParagraph"/>
              <w:ind w:right="116"/>
              <w:jc w:val="right"/>
              <w:rPr>
                <w:sz w:val="17"/>
              </w:rPr>
            </w:pPr>
            <w:r>
              <w:rPr>
                <w:spacing w:val="-4"/>
                <w:sz w:val="17"/>
              </w:rPr>
              <w:t>18.9</w:t>
            </w:r>
          </w:p>
        </w:tc>
        <w:tc>
          <w:tcPr>
            <w:tcW w:w="631" w:type="dxa"/>
            <w:tcBorders>
              <w:top w:val="single" w:color="DCDDDE" w:sz="4" w:space="0"/>
            </w:tcBorders>
          </w:tcPr>
          <w:p w:rsidR="00C31389" w:rsidRDefault="00561FBD" w14:paraId="25DF2C14" w14:textId="77777777">
            <w:pPr>
              <w:pStyle w:val="TableParagraph"/>
              <w:ind w:right="117"/>
              <w:jc w:val="right"/>
              <w:rPr>
                <w:sz w:val="17"/>
              </w:rPr>
            </w:pPr>
            <w:r>
              <w:rPr>
                <w:spacing w:val="-4"/>
                <w:sz w:val="17"/>
              </w:rPr>
              <w:t>17.2</w:t>
            </w:r>
          </w:p>
        </w:tc>
        <w:tc>
          <w:tcPr>
            <w:tcW w:w="631" w:type="dxa"/>
            <w:tcBorders>
              <w:top w:val="single" w:color="DCDDDE" w:sz="4" w:space="0"/>
            </w:tcBorders>
          </w:tcPr>
          <w:p w:rsidR="00C31389" w:rsidRDefault="00561FBD" w14:paraId="7DAAD34E" w14:textId="77777777">
            <w:pPr>
              <w:pStyle w:val="TableParagraph"/>
              <w:ind w:right="118"/>
              <w:jc w:val="right"/>
              <w:rPr>
                <w:sz w:val="17"/>
              </w:rPr>
            </w:pPr>
            <w:r>
              <w:rPr>
                <w:spacing w:val="-4"/>
                <w:sz w:val="17"/>
              </w:rPr>
              <w:t>15.4</w:t>
            </w:r>
          </w:p>
        </w:tc>
        <w:tc>
          <w:tcPr>
            <w:tcW w:w="631" w:type="dxa"/>
            <w:tcBorders>
              <w:top w:val="single" w:color="DCDDDE" w:sz="4" w:space="0"/>
            </w:tcBorders>
          </w:tcPr>
          <w:p w:rsidR="00C31389" w:rsidRDefault="00561FBD" w14:paraId="1D794196" w14:textId="77777777">
            <w:pPr>
              <w:pStyle w:val="TableParagraph"/>
              <w:ind w:right="119"/>
              <w:jc w:val="right"/>
              <w:rPr>
                <w:sz w:val="17"/>
              </w:rPr>
            </w:pPr>
            <w:r>
              <w:rPr>
                <w:spacing w:val="-4"/>
                <w:sz w:val="17"/>
              </w:rPr>
              <w:t>17.5</w:t>
            </w:r>
          </w:p>
        </w:tc>
        <w:tc>
          <w:tcPr>
            <w:tcW w:w="631" w:type="dxa"/>
            <w:tcBorders>
              <w:top w:val="single" w:color="DCDDDE" w:sz="4" w:space="0"/>
            </w:tcBorders>
          </w:tcPr>
          <w:p w:rsidR="00C31389" w:rsidRDefault="00561FBD" w14:paraId="4FD5E0D9" w14:textId="77777777">
            <w:pPr>
              <w:pStyle w:val="TableParagraph"/>
              <w:ind w:right="120"/>
              <w:jc w:val="right"/>
              <w:rPr>
                <w:sz w:val="17"/>
              </w:rPr>
            </w:pPr>
            <w:r>
              <w:rPr>
                <w:spacing w:val="-4"/>
                <w:sz w:val="17"/>
              </w:rPr>
              <w:t>13.8</w:t>
            </w:r>
          </w:p>
        </w:tc>
        <w:tc>
          <w:tcPr>
            <w:tcW w:w="631" w:type="dxa"/>
            <w:tcBorders>
              <w:top w:val="single" w:color="DCDDDE" w:sz="4" w:space="0"/>
            </w:tcBorders>
          </w:tcPr>
          <w:p w:rsidR="00C31389" w:rsidRDefault="00561FBD" w14:paraId="5B1FB800" w14:textId="77777777">
            <w:pPr>
              <w:pStyle w:val="TableParagraph"/>
              <w:ind w:right="121"/>
              <w:jc w:val="right"/>
              <w:rPr>
                <w:sz w:val="17"/>
              </w:rPr>
            </w:pPr>
            <w:r>
              <w:rPr>
                <w:spacing w:val="-4"/>
                <w:sz w:val="17"/>
              </w:rPr>
              <w:t>13.2</w:t>
            </w:r>
          </w:p>
        </w:tc>
        <w:tc>
          <w:tcPr>
            <w:tcW w:w="642" w:type="dxa"/>
            <w:tcBorders>
              <w:top w:val="single" w:color="DCDDDE" w:sz="4" w:space="0"/>
            </w:tcBorders>
          </w:tcPr>
          <w:p w:rsidR="00C31389" w:rsidRDefault="00561FBD" w14:paraId="6AE2C9AA" w14:textId="77777777">
            <w:pPr>
              <w:pStyle w:val="TableParagraph"/>
              <w:ind w:right="133"/>
              <w:jc w:val="right"/>
              <w:rPr>
                <w:sz w:val="17"/>
              </w:rPr>
            </w:pPr>
            <w:r>
              <w:rPr>
                <w:spacing w:val="-4"/>
                <w:sz w:val="17"/>
              </w:rPr>
              <w:t>12.3</w:t>
            </w:r>
          </w:p>
        </w:tc>
        <w:tc>
          <w:tcPr>
            <w:tcW w:w="631" w:type="dxa"/>
            <w:tcBorders>
              <w:top w:val="single" w:color="DCDDDE" w:sz="4" w:space="0"/>
            </w:tcBorders>
          </w:tcPr>
          <w:p w:rsidR="00C31389" w:rsidRDefault="00561FBD" w14:paraId="195F6DA8" w14:textId="77777777">
            <w:pPr>
              <w:pStyle w:val="TableParagraph"/>
              <w:ind w:right="134"/>
              <w:jc w:val="right"/>
              <w:rPr>
                <w:sz w:val="17"/>
              </w:rPr>
            </w:pPr>
            <w:r>
              <w:rPr>
                <w:spacing w:val="-4"/>
                <w:sz w:val="17"/>
              </w:rPr>
              <w:t>12.0</w:t>
            </w:r>
          </w:p>
        </w:tc>
        <w:tc>
          <w:tcPr>
            <w:tcW w:w="613" w:type="dxa"/>
            <w:tcBorders>
              <w:top w:val="single" w:color="DCDDDE" w:sz="4" w:space="0"/>
            </w:tcBorders>
          </w:tcPr>
          <w:p w:rsidR="00C31389" w:rsidRDefault="00561FBD" w14:paraId="7CFE72E9" w14:textId="77777777">
            <w:pPr>
              <w:pStyle w:val="TableParagraph"/>
              <w:ind w:right="117"/>
              <w:jc w:val="right"/>
              <w:rPr>
                <w:sz w:val="17"/>
              </w:rPr>
            </w:pPr>
            <w:r>
              <w:rPr>
                <w:spacing w:val="-4"/>
                <w:sz w:val="17"/>
              </w:rPr>
              <w:t>11.9</w:t>
            </w:r>
          </w:p>
        </w:tc>
      </w:tr>
      <w:tr w:rsidR="00C31389" w14:paraId="6A9D1257" w14:textId="77777777">
        <w:trPr>
          <w:trHeight w:val="275"/>
        </w:trPr>
        <w:tc>
          <w:tcPr>
            <w:tcW w:w="1514" w:type="dxa"/>
            <w:tcBorders>
              <w:top w:val="single" w:color="DCDDDE" w:sz="4" w:space="0"/>
              <w:bottom w:val="single" w:color="DCDDDE" w:sz="4" w:space="0"/>
            </w:tcBorders>
          </w:tcPr>
          <w:p w:rsidR="00C31389" w:rsidRDefault="00561FBD" w14:paraId="232087B8" w14:textId="77777777">
            <w:pPr>
              <w:pStyle w:val="TableParagraph"/>
              <w:ind w:left="121"/>
              <w:rPr>
                <w:sz w:val="17"/>
              </w:rPr>
            </w:pPr>
            <w:r>
              <w:rPr>
                <w:spacing w:val="-5"/>
                <w:sz w:val="17"/>
              </w:rPr>
              <w:t>FS</w:t>
            </w:r>
          </w:p>
        </w:tc>
        <w:tc>
          <w:tcPr>
            <w:tcW w:w="830" w:type="dxa"/>
            <w:tcBorders>
              <w:bottom w:val="single" w:color="D9D9D9" w:sz="8" w:space="0"/>
            </w:tcBorders>
          </w:tcPr>
          <w:p w:rsidR="00C31389" w:rsidRDefault="00561FBD" w14:paraId="3203590A" w14:textId="77777777">
            <w:pPr>
              <w:pStyle w:val="TableParagraph"/>
              <w:ind w:right="169"/>
              <w:jc w:val="right"/>
              <w:rPr>
                <w:sz w:val="17"/>
              </w:rPr>
            </w:pPr>
            <w:r>
              <w:rPr>
                <w:spacing w:val="-4"/>
                <w:sz w:val="17"/>
              </w:rPr>
              <w:t>36.2</w:t>
            </w:r>
          </w:p>
        </w:tc>
        <w:tc>
          <w:tcPr>
            <w:tcW w:w="712" w:type="dxa"/>
            <w:tcBorders>
              <w:bottom w:val="single" w:color="D9D9D9" w:sz="8" w:space="0"/>
            </w:tcBorders>
          </w:tcPr>
          <w:p w:rsidR="00C31389" w:rsidRDefault="00561FBD" w14:paraId="457B9B24" w14:textId="77777777">
            <w:pPr>
              <w:pStyle w:val="TableParagraph"/>
              <w:ind w:right="114"/>
              <w:jc w:val="right"/>
              <w:rPr>
                <w:sz w:val="17"/>
              </w:rPr>
            </w:pPr>
            <w:r>
              <w:rPr>
                <w:spacing w:val="-4"/>
                <w:sz w:val="17"/>
              </w:rPr>
              <w:t>36.4</w:t>
            </w:r>
          </w:p>
        </w:tc>
        <w:tc>
          <w:tcPr>
            <w:tcW w:w="657" w:type="dxa"/>
            <w:tcBorders>
              <w:bottom w:val="single" w:color="D9D9D9" w:sz="8" w:space="0"/>
            </w:tcBorders>
          </w:tcPr>
          <w:p w:rsidR="00C31389" w:rsidRDefault="00561FBD" w14:paraId="31FB8AFF" w14:textId="77777777">
            <w:pPr>
              <w:pStyle w:val="TableParagraph"/>
              <w:ind w:left="100" w:right="9"/>
              <w:jc w:val="center"/>
              <w:rPr>
                <w:sz w:val="17"/>
              </w:rPr>
            </w:pPr>
            <w:r>
              <w:rPr>
                <w:spacing w:val="-4"/>
                <w:sz w:val="17"/>
              </w:rPr>
              <w:t>36.6</w:t>
            </w:r>
          </w:p>
        </w:tc>
        <w:tc>
          <w:tcPr>
            <w:tcW w:w="631" w:type="dxa"/>
            <w:tcBorders>
              <w:bottom w:val="single" w:color="D9D9D9" w:sz="8" w:space="0"/>
            </w:tcBorders>
          </w:tcPr>
          <w:p w:rsidR="00C31389" w:rsidRDefault="00561FBD" w14:paraId="1A102717" w14:textId="77777777">
            <w:pPr>
              <w:pStyle w:val="TableParagraph"/>
              <w:ind w:right="116"/>
              <w:jc w:val="right"/>
              <w:rPr>
                <w:sz w:val="17"/>
              </w:rPr>
            </w:pPr>
            <w:r>
              <w:rPr>
                <w:spacing w:val="-4"/>
                <w:sz w:val="17"/>
              </w:rPr>
              <w:t>36.9</w:t>
            </w:r>
          </w:p>
        </w:tc>
        <w:tc>
          <w:tcPr>
            <w:tcW w:w="631" w:type="dxa"/>
            <w:tcBorders>
              <w:bottom w:val="single" w:color="D9D9D9" w:sz="8" w:space="0"/>
            </w:tcBorders>
          </w:tcPr>
          <w:p w:rsidR="00C31389" w:rsidRDefault="00561FBD" w14:paraId="78B857A6" w14:textId="77777777">
            <w:pPr>
              <w:pStyle w:val="TableParagraph"/>
              <w:ind w:right="117"/>
              <w:jc w:val="right"/>
              <w:rPr>
                <w:sz w:val="17"/>
              </w:rPr>
            </w:pPr>
            <w:r>
              <w:rPr>
                <w:spacing w:val="-4"/>
                <w:sz w:val="17"/>
              </w:rPr>
              <w:t>37.2</w:t>
            </w:r>
          </w:p>
        </w:tc>
        <w:tc>
          <w:tcPr>
            <w:tcW w:w="631" w:type="dxa"/>
            <w:tcBorders>
              <w:bottom w:val="single" w:color="D9D9D9" w:sz="8" w:space="0"/>
            </w:tcBorders>
          </w:tcPr>
          <w:p w:rsidR="00C31389" w:rsidRDefault="00561FBD" w14:paraId="53076148" w14:textId="77777777">
            <w:pPr>
              <w:pStyle w:val="TableParagraph"/>
              <w:ind w:right="118"/>
              <w:jc w:val="right"/>
              <w:rPr>
                <w:sz w:val="17"/>
              </w:rPr>
            </w:pPr>
            <w:r>
              <w:rPr>
                <w:spacing w:val="-4"/>
                <w:sz w:val="17"/>
              </w:rPr>
              <w:t>37.8</w:t>
            </w:r>
          </w:p>
        </w:tc>
        <w:tc>
          <w:tcPr>
            <w:tcW w:w="631" w:type="dxa"/>
            <w:tcBorders>
              <w:bottom w:val="single" w:color="D9D9D9" w:sz="8" w:space="0"/>
            </w:tcBorders>
          </w:tcPr>
          <w:p w:rsidR="00C31389" w:rsidRDefault="00561FBD" w14:paraId="5D2BE93C" w14:textId="77777777">
            <w:pPr>
              <w:pStyle w:val="TableParagraph"/>
              <w:ind w:right="119"/>
              <w:jc w:val="right"/>
              <w:rPr>
                <w:sz w:val="17"/>
              </w:rPr>
            </w:pPr>
            <w:r>
              <w:rPr>
                <w:spacing w:val="-5"/>
                <w:sz w:val="17"/>
              </w:rPr>
              <w:t>0.2</w:t>
            </w:r>
          </w:p>
        </w:tc>
        <w:tc>
          <w:tcPr>
            <w:tcW w:w="631" w:type="dxa"/>
            <w:tcBorders>
              <w:bottom w:val="single" w:color="D9D9D9" w:sz="8" w:space="0"/>
            </w:tcBorders>
          </w:tcPr>
          <w:p w:rsidR="00C31389" w:rsidRDefault="00561FBD" w14:paraId="789F9A14" w14:textId="77777777">
            <w:pPr>
              <w:pStyle w:val="TableParagraph"/>
              <w:ind w:right="120"/>
              <w:jc w:val="right"/>
              <w:rPr>
                <w:sz w:val="17"/>
              </w:rPr>
            </w:pPr>
            <w:r>
              <w:rPr>
                <w:spacing w:val="-5"/>
                <w:sz w:val="17"/>
              </w:rPr>
              <w:t>0.2</w:t>
            </w:r>
          </w:p>
        </w:tc>
        <w:tc>
          <w:tcPr>
            <w:tcW w:w="631" w:type="dxa"/>
            <w:tcBorders>
              <w:bottom w:val="single" w:color="D9D9D9" w:sz="8" w:space="0"/>
            </w:tcBorders>
          </w:tcPr>
          <w:p w:rsidR="00C31389" w:rsidRDefault="00561FBD" w14:paraId="1DE6F810" w14:textId="77777777">
            <w:pPr>
              <w:pStyle w:val="TableParagraph"/>
              <w:ind w:right="121"/>
              <w:jc w:val="right"/>
              <w:rPr>
                <w:sz w:val="17"/>
              </w:rPr>
            </w:pPr>
            <w:r>
              <w:rPr>
                <w:spacing w:val="-5"/>
                <w:sz w:val="17"/>
              </w:rPr>
              <w:t>0.2</w:t>
            </w:r>
          </w:p>
        </w:tc>
        <w:tc>
          <w:tcPr>
            <w:tcW w:w="642" w:type="dxa"/>
            <w:tcBorders>
              <w:bottom w:val="single" w:color="D9D9D9" w:sz="8" w:space="0"/>
            </w:tcBorders>
          </w:tcPr>
          <w:p w:rsidR="00C31389" w:rsidRDefault="00561FBD" w14:paraId="40C74EF6" w14:textId="77777777">
            <w:pPr>
              <w:pStyle w:val="TableParagraph"/>
              <w:ind w:right="133"/>
              <w:jc w:val="right"/>
              <w:rPr>
                <w:sz w:val="17"/>
              </w:rPr>
            </w:pPr>
            <w:r>
              <w:rPr>
                <w:spacing w:val="-5"/>
                <w:sz w:val="17"/>
              </w:rPr>
              <w:t>0.3</w:t>
            </w:r>
          </w:p>
        </w:tc>
        <w:tc>
          <w:tcPr>
            <w:tcW w:w="631" w:type="dxa"/>
            <w:tcBorders>
              <w:bottom w:val="single" w:color="D9D9D9" w:sz="8" w:space="0"/>
            </w:tcBorders>
          </w:tcPr>
          <w:p w:rsidR="00C31389" w:rsidRDefault="00561FBD" w14:paraId="392D0258" w14:textId="77777777">
            <w:pPr>
              <w:pStyle w:val="TableParagraph"/>
              <w:ind w:right="134"/>
              <w:jc w:val="right"/>
              <w:rPr>
                <w:sz w:val="17"/>
              </w:rPr>
            </w:pPr>
            <w:r>
              <w:rPr>
                <w:spacing w:val="-5"/>
                <w:sz w:val="17"/>
              </w:rPr>
              <w:t>0.3</w:t>
            </w:r>
          </w:p>
        </w:tc>
        <w:tc>
          <w:tcPr>
            <w:tcW w:w="613" w:type="dxa"/>
            <w:tcBorders>
              <w:bottom w:val="single" w:color="D9D9D9" w:sz="8" w:space="0"/>
            </w:tcBorders>
          </w:tcPr>
          <w:p w:rsidR="00C31389" w:rsidRDefault="00561FBD" w14:paraId="0EBFAEAE" w14:textId="77777777">
            <w:pPr>
              <w:pStyle w:val="TableParagraph"/>
              <w:ind w:right="117"/>
              <w:jc w:val="right"/>
              <w:rPr>
                <w:sz w:val="17"/>
              </w:rPr>
            </w:pPr>
            <w:r>
              <w:rPr>
                <w:spacing w:val="-5"/>
                <w:sz w:val="17"/>
              </w:rPr>
              <w:t>0.3</w:t>
            </w:r>
          </w:p>
        </w:tc>
      </w:tr>
      <w:tr w:rsidR="00C31389" w14:paraId="12A67050" w14:textId="77777777">
        <w:trPr>
          <w:trHeight w:val="275"/>
        </w:trPr>
        <w:tc>
          <w:tcPr>
            <w:tcW w:w="1514" w:type="dxa"/>
            <w:tcBorders>
              <w:top w:val="single" w:color="DCDDDE" w:sz="4" w:space="0"/>
              <w:bottom w:val="single" w:color="DCDDDE" w:sz="4" w:space="0"/>
            </w:tcBorders>
          </w:tcPr>
          <w:p w:rsidR="00C31389" w:rsidRDefault="00561FBD" w14:paraId="26D5783C" w14:textId="77777777">
            <w:pPr>
              <w:pStyle w:val="TableParagraph"/>
              <w:spacing w:before="41"/>
              <w:ind w:left="121"/>
              <w:rPr>
                <w:sz w:val="17"/>
              </w:rPr>
            </w:pPr>
            <w:r>
              <w:rPr>
                <w:spacing w:val="-4"/>
                <w:sz w:val="17"/>
              </w:rPr>
              <w:t>BROs</w:t>
            </w:r>
          </w:p>
        </w:tc>
        <w:tc>
          <w:tcPr>
            <w:tcW w:w="830" w:type="dxa"/>
            <w:tcBorders>
              <w:top w:val="single" w:color="D9D9D9" w:sz="8" w:space="0"/>
              <w:bottom w:val="single" w:color="DCDDDE" w:sz="4" w:space="0"/>
            </w:tcBorders>
          </w:tcPr>
          <w:p w:rsidR="00C31389" w:rsidRDefault="00561FBD" w14:paraId="66726D76" w14:textId="77777777">
            <w:pPr>
              <w:pStyle w:val="TableParagraph"/>
              <w:spacing w:before="41"/>
              <w:ind w:right="169"/>
              <w:jc w:val="right"/>
              <w:rPr>
                <w:sz w:val="17"/>
              </w:rPr>
            </w:pPr>
            <w:r>
              <w:rPr>
                <w:spacing w:val="-4"/>
                <w:sz w:val="17"/>
              </w:rPr>
              <w:t>35.1</w:t>
            </w:r>
          </w:p>
        </w:tc>
        <w:tc>
          <w:tcPr>
            <w:tcW w:w="712" w:type="dxa"/>
            <w:tcBorders>
              <w:top w:val="single" w:color="D9D9D9" w:sz="8" w:space="0"/>
              <w:bottom w:val="single" w:color="DCDDDE" w:sz="4" w:space="0"/>
            </w:tcBorders>
          </w:tcPr>
          <w:p w:rsidR="00C31389" w:rsidRDefault="00561FBD" w14:paraId="4EDE35A3" w14:textId="77777777">
            <w:pPr>
              <w:pStyle w:val="TableParagraph"/>
              <w:spacing w:before="41"/>
              <w:ind w:right="114"/>
              <w:jc w:val="right"/>
              <w:rPr>
                <w:sz w:val="17"/>
              </w:rPr>
            </w:pPr>
            <w:r>
              <w:rPr>
                <w:spacing w:val="-4"/>
                <w:sz w:val="17"/>
              </w:rPr>
              <w:t>36.5</w:t>
            </w:r>
          </w:p>
        </w:tc>
        <w:tc>
          <w:tcPr>
            <w:tcW w:w="657" w:type="dxa"/>
            <w:tcBorders>
              <w:top w:val="single" w:color="D9D9D9" w:sz="8" w:space="0"/>
              <w:bottom w:val="single" w:color="DCDDDE" w:sz="4" w:space="0"/>
            </w:tcBorders>
          </w:tcPr>
          <w:p w:rsidR="00C31389" w:rsidRDefault="00561FBD" w14:paraId="3DBC8C07" w14:textId="77777777">
            <w:pPr>
              <w:pStyle w:val="TableParagraph"/>
              <w:spacing w:before="41"/>
              <w:ind w:left="100" w:right="9"/>
              <w:jc w:val="center"/>
              <w:rPr>
                <w:sz w:val="17"/>
              </w:rPr>
            </w:pPr>
            <w:r>
              <w:rPr>
                <w:spacing w:val="-4"/>
                <w:sz w:val="17"/>
              </w:rPr>
              <w:t>38.0</w:t>
            </w:r>
          </w:p>
        </w:tc>
        <w:tc>
          <w:tcPr>
            <w:tcW w:w="631" w:type="dxa"/>
            <w:tcBorders>
              <w:top w:val="single" w:color="D9D9D9" w:sz="8" w:space="0"/>
              <w:bottom w:val="single" w:color="DCDDDE" w:sz="4" w:space="0"/>
            </w:tcBorders>
          </w:tcPr>
          <w:p w:rsidR="00C31389" w:rsidRDefault="00561FBD" w14:paraId="0554ABE8" w14:textId="77777777">
            <w:pPr>
              <w:pStyle w:val="TableParagraph"/>
              <w:spacing w:before="41"/>
              <w:ind w:right="116"/>
              <w:jc w:val="right"/>
              <w:rPr>
                <w:sz w:val="17"/>
              </w:rPr>
            </w:pPr>
            <w:r>
              <w:rPr>
                <w:spacing w:val="-4"/>
                <w:sz w:val="17"/>
              </w:rPr>
              <w:t>39.5</w:t>
            </w:r>
          </w:p>
        </w:tc>
        <w:tc>
          <w:tcPr>
            <w:tcW w:w="631" w:type="dxa"/>
            <w:tcBorders>
              <w:top w:val="single" w:color="D9D9D9" w:sz="8" w:space="0"/>
              <w:bottom w:val="single" w:color="DCDDDE" w:sz="4" w:space="0"/>
            </w:tcBorders>
          </w:tcPr>
          <w:p w:rsidR="00C31389" w:rsidRDefault="00561FBD" w14:paraId="1C53A213" w14:textId="77777777">
            <w:pPr>
              <w:pStyle w:val="TableParagraph"/>
              <w:spacing w:before="41"/>
              <w:ind w:right="117"/>
              <w:jc w:val="right"/>
              <w:rPr>
                <w:sz w:val="17"/>
              </w:rPr>
            </w:pPr>
            <w:r>
              <w:rPr>
                <w:spacing w:val="-4"/>
                <w:sz w:val="17"/>
              </w:rPr>
              <w:t>41.0</w:t>
            </w:r>
          </w:p>
        </w:tc>
        <w:tc>
          <w:tcPr>
            <w:tcW w:w="631" w:type="dxa"/>
            <w:tcBorders>
              <w:top w:val="single" w:color="D9D9D9" w:sz="8" w:space="0"/>
              <w:bottom w:val="single" w:color="DCDDDE" w:sz="4" w:space="0"/>
            </w:tcBorders>
          </w:tcPr>
          <w:p w:rsidR="00C31389" w:rsidRDefault="00561FBD" w14:paraId="4F7D6E9F" w14:textId="77777777">
            <w:pPr>
              <w:pStyle w:val="TableParagraph"/>
              <w:spacing w:before="41"/>
              <w:ind w:right="118"/>
              <w:jc w:val="right"/>
              <w:rPr>
                <w:sz w:val="17"/>
              </w:rPr>
            </w:pPr>
            <w:r>
              <w:rPr>
                <w:spacing w:val="-4"/>
                <w:sz w:val="17"/>
              </w:rPr>
              <w:t>42.6</w:t>
            </w:r>
          </w:p>
        </w:tc>
        <w:tc>
          <w:tcPr>
            <w:tcW w:w="631" w:type="dxa"/>
            <w:tcBorders>
              <w:top w:val="single" w:color="D9D9D9" w:sz="8" w:space="0"/>
              <w:bottom w:val="single" w:color="DCDDDE" w:sz="4" w:space="0"/>
            </w:tcBorders>
          </w:tcPr>
          <w:p w:rsidR="00C31389" w:rsidRDefault="00561FBD" w14:paraId="1A099AB0" w14:textId="77777777">
            <w:pPr>
              <w:pStyle w:val="TableParagraph"/>
              <w:spacing w:before="41"/>
              <w:ind w:right="119"/>
              <w:jc w:val="right"/>
              <w:rPr>
                <w:sz w:val="17"/>
              </w:rPr>
            </w:pPr>
            <w:r>
              <w:rPr>
                <w:spacing w:val="-4"/>
                <w:sz w:val="17"/>
              </w:rPr>
              <w:t>44.4</w:t>
            </w:r>
          </w:p>
        </w:tc>
        <w:tc>
          <w:tcPr>
            <w:tcW w:w="631" w:type="dxa"/>
            <w:tcBorders>
              <w:top w:val="single" w:color="D9D9D9" w:sz="8" w:space="0"/>
              <w:bottom w:val="single" w:color="DCDDDE" w:sz="4" w:space="0"/>
            </w:tcBorders>
          </w:tcPr>
          <w:p w:rsidR="00C31389" w:rsidRDefault="00561FBD" w14:paraId="7D800C01" w14:textId="77777777">
            <w:pPr>
              <w:pStyle w:val="TableParagraph"/>
              <w:spacing w:before="41"/>
              <w:ind w:right="120"/>
              <w:jc w:val="right"/>
              <w:rPr>
                <w:sz w:val="17"/>
              </w:rPr>
            </w:pPr>
            <w:r>
              <w:rPr>
                <w:spacing w:val="-4"/>
                <w:sz w:val="17"/>
              </w:rPr>
              <w:t>46.2</w:t>
            </w:r>
          </w:p>
        </w:tc>
        <w:tc>
          <w:tcPr>
            <w:tcW w:w="631" w:type="dxa"/>
            <w:tcBorders>
              <w:top w:val="single" w:color="D9D9D9" w:sz="8" w:space="0"/>
              <w:bottom w:val="single" w:color="DCDDDE" w:sz="4" w:space="0"/>
            </w:tcBorders>
          </w:tcPr>
          <w:p w:rsidR="00C31389" w:rsidRDefault="00561FBD" w14:paraId="345979CD" w14:textId="77777777">
            <w:pPr>
              <w:pStyle w:val="TableParagraph"/>
              <w:spacing w:before="41"/>
              <w:ind w:right="121"/>
              <w:jc w:val="right"/>
              <w:rPr>
                <w:sz w:val="17"/>
              </w:rPr>
            </w:pPr>
            <w:r>
              <w:rPr>
                <w:spacing w:val="-4"/>
                <w:sz w:val="17"/>
              </w:rPr>
              <w:t>48.1</w:t>
            </w:r>
          </w:p>
        </w:tc>
        <w:tc>
          <w:tcPr>
            <w:tcW w:w="642" w:type="dxa"/>
            <w:tcBorders>
              <w:top w:val="single" w:color="D9D9D9" w:sz="8" w:space="0"/>
              <w:bottom w:val="single" w:color="DCDDDE" w:sz="4" w:space="0"/>
            </w:tcBorders>
          </w:tcPr>
          <w:p w:rsidR="00C31389" w:rsidRDefault="00561FBD" w14:paraId="67A275A0" w14:textId="77777777">
            <w:pPr>
              <w:pStyle w:val="TableParagraph"/>
              <w:spacing w:before="41"/>
              <w:ind w:right="133"/>
              <w:jc w:val="right"/>
              <w:rPr>
                <w:sz w:val="17"/>
              </w:rPr>
            </w:pPr>
            <w:r>
              <w:rPr>
                <w:spacing w:val="-4"/>
                <w:sz w:val="17"/>
              </w:rPr>
              <w:t>50.0</w:t>
            </w:r>
          </w:p>
        </w:tc>
        <w:tc>
          <w:tcPr>
            <w:tcW w:w="631" w:type="dxa"/>
            <w:tcBorders>
              <w:top w:val="single" w:color="D9D9D9" w:sz="8" w:space="0"/>
              <w:bottom w:val="single" w:color="DCDDDE" w:sz="4" w:space="0"/>
            </w:tcBorders>
          </w:tcPr>
          <w:p w:rsidR="00C31389" w:rsidRDefault="00561FBD" w14:paraId="5E877841" w14:textId="77777777">
            <w:pPr>
              <w:pStyle w:val="TableParagraph"/>
              <w:spacing w:before="41"/>
              <w:ind w:right="134"/>
              <w:jc w:val="right"/>
              <w:rPr>
                <w:sz w:val="17"/>
              </w:rPr>
            </w:pPr>
            <w:r>
              <w:rPr>
                <w:spacing w:val="-4"/>
                <w:sz w:val="17"/>
              </w:rPr>
              <w:t>51.1</w:t>
            </w:r>
          </w:p>
        </w:tc>
        <w:tc>
          <w:tcPr>
            <w:tcW w:w="613" w:type="dxa"/>
            <w:tcBorders>
              <w:top w:val="single" w:color="D9D9D9" w:sz="8" w:space="0"/>
              <w:bottom w:val="single" w:color="DCDDDE" w:sz="4" w:space="0"/>
            </w:tcBorders>
          </w:tcPr>
          <w:p w:rsidR="00C31389" w:rsidRDefault="00561FBD" w14:paraId="0E1D3C7E" w14:textId="77777777">
            <w:pPr>
              <w:pStyle w:val="TableParagraph"/>
              <w:spacing w:before="41"/>
              <w:ind w:right="117"/>
              <w:jc w:val="right"/>
              <w:rPr>
                <w:sz w:val="17"/>
              </w:rPr>
            </w:pPr>
            <w:r>
              <w:rPr>
                <w:spacing w:val="-4"/>
                <w:sz w:val="17"/>
              </w:rPr>
              <w:t>53.3</w:t>
            </w:r>
          </w:p>
        </w:tc>
      </w:tr>
      <w:tr w:rsidR="00C31389" w14:paraId="344C4C26"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162F6BEE" w14:textId="77777777">
            <w:pPr>
              <w:pStyle w:val="TableParagraph"/>
              <w:spacing w:before="42"/>
              <w:ind w:left="121"/>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65CF6A59" w14:textId="77777777">
        <w:trPr>
          <w:trHeight w:val="275"/>
        </w:trPr>
        <w:tc>
          <w:tcPr>
            <w:tcW w:w="1514" w:type="dxa"/>
            <w:tcBorders>
              <w:top w:val="single" w:color="DCDDDE" w:sz="4" w:space="0"/>
              <w:bottom w:val="single" w:color="DCDDDE" w:sz="4" w:space="0"/>
            </w:tcBorders>
          </w:tcPr>
          <w:p w:rsidR="00C31389" w:rsidRDefault="00561FBD" w14:paraId="6E121A9B" w14:textId="77777777">
            <w:pPr>
              <w:pStyle w:val="TableParagraph"/>
              <w:ind w:left="121"/>
              <w:rPr>
                <w:sz w:val="17"/>
              </w:rPr>
            </w:pPr>
            <w:r>
              <w:rPr>
                <w:spacing w:val="-5"/>
                <w:sz w:val="17"/>
              </w:rPr>
              <w:t>EE</w:t>
            </w:r>
          </w:p>
        </w:tc>
        <w:tc>
          <w:tcPr>
            <w:tcW w:w="830" w:type="dxa"/>
            <w:tcBorders>
              <w:top w:val="single" w:color="DCDDDE" w:sz="4" w:space="0"/>
            </w:tcBorders>
          </w:tcPr>
          <w:p w:rsidR="00C31389" w:rsidRDefault="00561FBD" w14:paraId="47938D1E" w14:textId="77777777">
            <w:pPr>
              <w:pStyle w:val="TableParagraph"/>
              <w:ind w:right="169"/>
              <w:jc w:val="right"/>
              <w:rPr>
                <w:sz w:val="17"/>
              </w:rPr>
            </w:pPr>
            <w:r>
              <w:rPr>
                <w:spacing w:val="-4"/>
                <w:sz w:val="17"/>
              </w:rPr>
              <w:t>31.1</w:t>
            </w:r>
          </w:p>
        </w:tc>
        <w:tc>
          <w:tcPr>
            <w:tcW w:w="712" w:type="dxa"/>
            <w:tcBorders>
              <w:top w:val="single" w:color="DCDDDE" w:sz="4" w:space="0"/>
            </w:tcBorders>
          </w:tcPr>
          <w:p w:rsidR="00C31389" w:rsidRDefault="00561FBD" w14:paraId="02998574" w14:textId="77777777">
            <w:pPr>
              <w:pStyle w:val="TableParagraph"/>
              <w:ind w:right="114"/>
              <w:jc w:val="right"/>
              <w:rPr>
                <w:sz w:val="17"/>
              </w:rPr>
            </w:pPr>
            <w:r>
              <w:rPr>
                <w:spacing w:val="-4"/>
                <w:sz w:val="17"/>
              </w:rPr>
              <w:t>28.2</w:t>
            </w:r>
          </w:p>
        </w:tc>
        <w:tc>
          <w:tcPr>
            <w:tcW w:w="657" w:type="dxa"/>
            <w:tcBorders>
              <w:top w:val="single" w:color="DCDDDE" w:sz="4" w:space="0"/>
            </w:tcBorders>
          </w:tcPr>
          <w:p w:rsidR="00C31389" w:rsidRDefault="00561FBD" w14:paraId="56A1668A" w14:textId="77777777">
            <w:pPr>
              <w:pStyle w:val="TableParagraph"/>
              <w:ind w:left="100" w:right="9"/>
              <w:jc w:val="center"/>
              <w:rPr>
                <w:sz w:val="17"/>
              </w:rPr>
            </w:pPr>
            <w:r>
              <w:rPr>
                <w:spacing w:val="-4"/>
                <w:sz w:val="17"/>
              </w:rPr>
              <w:t>23.5</w:t>
            </w:r>
          </w:p>
        </w:tc>
        <w:tc>
          <w:tcPr>
            <w:tcW w:w="631" w:type="dxa"/>
            <w:tcBorders>
              <w:top w:val="single" w:color="DCDDDE" w:sz="4" w:space="0"/>
            </w:tcBorders>
          </w:tcPr>
          <w:p w:rsidR="00C31389" w:rsidRDefault="00561FBD" w14:paraId="08E7AD35" w14:textId="77777777">
            <w:pPr>
              <w:pStyle w:val="TableParagraph"/>
              <w:ind w:right="116"/>
              <w:jc w:val="right"/>
              <w:rPr>
                <w:sz w:val="17"/>
              </w:rPr>
            </w:pPr>
            <w:r>
              <w:rPr>
                <w:spacing w:val="-4"/>
                <w:sz w:val="17"/>
              </w:rPr>
              <w:t>18.6</w:t>
            </w:r>
          </w:p>
        </w:tc>
        <w:tc>
          <w:tcPr>
            <w:tcW w:w="631" w:type="dxa"/>
            <w:tcBorders>
              <w:top w:val="single" w:color="DCDDDE" w:sz="4" w:space="0"/>
            </w:tcBorders>
          </w:tcPr>
          <w:p w:rsidR="00C31389" w:rsidRDefault="00561FBD" w14:paraId="3AEC720B" w14:textId="77777777">
            <w:pPr>
              <w:pStyle w:val="TableParagraph"/>
              <w:ind w:right="117"/>
              <w:jc w:val="right"/>
              <w:rPr>
                <w:sz w:val="17"/>
              </w:rPr>
            </w:pPr>
            <w:r>
              <w:rPr>
                <w:spacing w:val="-4"/>
                <w:sz w:val="17"/>
              </w:rPr>
              <w:t>17.0</w:t>
            </w:r>
          </w:p>
        </w:tc>
        <w:tc>
          <w:tcPr>
            <w:tcW w:w="631" w:type="dxa"/>
            <w:tcBorders>
              <w:top w:val="single" w:color="DCDDDE" w:sz="4" w:space="0"/>
            </w:tcBorders>
          </w:tcPr>
          <w:p w:rsidR="00C31389" w:rsidRDefault="00561FBD" w14:paraId="1BDFD4C8" w14:textId="77777777">
            <w:pPr>
              <w:pStyle w:val="TableParagraph"/>
              <w:ind w:right="118"/>
              <w:jc w:val="right"/>
              <w:rPr>
                <w:sz w:val="17"/>
              </w:rPr>
            </w:pPr>
            <w:r>
              <w:rPr>
                <w:spacing w:val="-4"/>
                <w:sz w:val="17"/>
              </w:rPr>
              <w:t>15.2</w:t>
            </w:r>
          </w:p>
        </w:tc>
        <w:tc>
          <w:tcPr>
            <w:tcW w:w="631" w:type="dxa"/>
            <w:tcBorders>
              <w:top w:val="single" w:color="DCDDDE" w:sz="4" w:space="0"/>
            </w:tcBorders>
          </w:tcPr>
          <w:p w:rsidR="00C31389" w:rsidRDefault="00561FBD" w14:paraId="74F2CCC0" w14:textId="77777777">
            <w:pPr>
              <w:pStyle w:val="TableParagraph"/>
              <w:ind w:right="119"/>
              <w:jc w:val="right"/>
              <w:rPr>
                <w:sz w:val="17"/>
              </w:rPr>
            </w:pPr>
            <w:r>
              <w:rPr>
                <w:spacing w:val="-4"/>
                <w:sz w:val="17"/>
              </w:rPr>
              <w:t>17.4</w:t>
            </w:r>
          </w:p>
        </w:tc>
        <w:tc>
          <w:tcPr>
            <w:tcW w:w="631" w:type="dxa"/>
            <w:tcBorders>
              <w:top w:val="single" w:color="DCDDDE" w:sz="4" w:space="0"/>
            </w:tcBorders>
          </w:tcPr>
          <w:p w:rsidR="00C31389" w:rsidRDefault="00561FBD" w14:paraId="21A5E8A0" w14:textId="77777777">
            <w:pPr>
              <w:pStyle w:val="TableParagraph"/>
              <w:ind w:right="120"/>
              <w:jc w:val="right"/>
              <w:rPr>
                <w:sz w:val="17"/>
              </w:rPr>
            </w:pPr>
            <w:r>
              <w:rPr>
                <w:spacing w:val="-4"/>
                <w:sz w:val="17"/>
              </w:rPr>
              <w:t>13.7</w:t>
            </w:r>
          </w:p>
        </w:tc>
        <w:tc>
          <w:tcPr>
            <w:tcW w:w="631" w:type="dxa"/>
            <w:tcBorders>
              <w:top w:val="single" w:color="DCDDDE" w:sz="4" w:space="0"/>
            </w:tcBorders>
          </w:tcPr>
          <w:p w:rsidR="00C31389" w:rsidRDefault="00561FBD" w14:paraId="74D9F3CD" w14:textId="77777777">
            <w:pPr>
              <w:pStyle w:val="TableParagraph"/>
              <w:ind w:right="121"/>
              <w:jc w:val="right"/>
              <w:rPr>
                <w:sz w:val="17"/>
              </w:rPr>
            </w:pPr>
            <w:r>
              <w:rPr>
                <w:spacing w:val="-4"/>
                <w:sz w:val="17"/>
              </w:rPr>
              <w:t>13.2</w:t>
            </w:r>
          </w:p>
        </w:tc>
        <w:tc>
          <w:tcPr>
            <w:tcW w:w="642" w:type="dxa"/>
            <w:tcBorders>
              <w:top w:val="single" w:color="DCDDDE" w:sz="4" w:space="0"/>
            </w:tcBorders>
          </w:tcPr>
          <w:p w:rsidR="00C31389" w:rsidRDefault="00561FBD" w14:paraId="686AE9B8" w14:textId="77777777">
            <w:pPr>
              <w:pStyle w:val="TableParagraph"/>
              <w:ind w:right="133"/>
              <w:jc w:val="right"/>
              <w:rPr>
                <w:sz w:val="17"/>
              </w:rPr>
            </w:pPr>
            <w:r>
              <w:rPr>
                <w:spacing w:val="-4"/>
                <w:sz w:val="17"/>
              </w:rPr>
              <w:t>12.3</w:t>
            </w:r>
          </w:p>
        </w:tc>
        <w:tc>
          <w:tcPr>
            <w:tcW w:w="631" w:type="dxa"/>
            <w:tcBorders>
              <w:top w:val="single" w:color="DCDDDE" w:sz="4" w:space="0"/>
            </w:tcBorders>
          </w:tcPr>
          <w:p w:rsidR="00C31389" w:rsidRDefault="00561FBD" w14:paraId="6895278F" w14:textId="77777777">
            <w:pPr>
              <w:pStyle w:val="TableParagraph"/>
              <w:ind w:right="134"/>
              <w:jc w:val="right"/>
              <w:rPr>
                <w:sz w:val="17"/>
              </w:rPr>
            </w:pPr>
            <w:r>
              <w:rPr>
                <w:spacing w:val="-4"/>
                <w:sz w:val="17"/>
              </w:rPr>
              <w:t>12.0</w:t>
            </w:r>
          </w:p>
        </w:tc>
        <w:tc>
          <w:tcPr>
            <w:tcW w:w="613" w:type="dxa"/>
            <w:tcBorders>
              <w:top w:val="single" w:color="DCDDDE" w:sz="4" w:space="0"/>
            </w:tcBorders>
          </w:tcPr>
          <w:p w:rsidR="00C31389" w:rsidRDefault="00561FBD" w14:paraId="3D1B927C" w14:textId="77777777">
            <w:pPr>
              <w:pStyle w:val="TableParagraph"/>
              <w:ind w:right="117"/>
              <w:jc w:val="right"/>
              <w:rPr>
                <w:sz w:val="17"/>
              </w:rPr>
            </w:pPr>
            <w:r>
              <w:rPr>
                <w:spacing w:val="-4"/>
                <w:sz w:val="17"/>
              </w:rPr>
              <w:t>11.9</w:t>
            </w:r>
          </w:p>
        </w:tc>
      </w:tr>
      <w:tr w:rsidR="00C31389" w14:paraId="10F17430" w14:textId="77777777">
        <w:trPr>
          <w:trHeight w:val="471"/>
        </w:trPr>
        <w:tc>
          <w:tcPr>
            <w:tcW w:w="1514" w:type="dxa"/>
            <w:tcBorders>
              <w:top w:val="single" w:color="DCDDDE" w:sz="4" w:space="0"/>
              <w:bottom w:val="single" w:color="DCDDDE" w:sz="4" w:space="0"/>
            </w:tcBorders>
          </w:tcPr>
          <w:p w:rsidR="00C31389" w:rsidRDefault="00561FBD" w14:paraId="612FC739" w14:textId="77777777">
            <w:pPr>
              <w:pStyle w:val="TableParagraph"/>
              <w:spacing w:before="139"/>
              <w:ind w:left="121"/>
              <w:rPr>
                <w:sz w:val="17"/>
              </w:rPr>
            </w:pPr>
            <w:r>
              <w:rPr>
                <w:spacing w:val="-5"/>
                <w:sz w:val="17"/>
              </w:rPr>
              <w:t>FS</w:t>
            </w:r>
          </w:p>
        </w:tc>
        <w:tc>
          <w:tcPr>
            <w:tcW w:w="830" w:type="dxa"/>
            <w:tcBorders>
              <w:bottom w:val="single" w:color="D9D9D9" w:sz="8" w:space="0"/>
            </w:tcBorders>
          </w:tcPr>
          <w:p w:rsidR="00C31389" w:rsidRDefault="00561FBD" w14:paraId="00FACF52" w14:textId="77777777">
            <w:pPr>
              <w:pStyle w:val="TableParagraph"/>
              <w:spacing w:before="139"/>
              <w:ind w:right="169"/>
              <w:jc w:val="right"/>
              <w:rPr>
                <w:sz w:val="17"/>
              </w:rPr>
            </w:pPr>
            <w:r>
              <w:rPr>
                <w:spacing w:val="-2"/>
                <w:sz w:val="17"/>
              </w:rPr>
              <w:t>199.3</w:t>
            </w:r>
          </w:p>
        </w:tc>
        <w:tc>
          <w:tcPr>
            <w:tcW w:w="712" w:type="dxa"/>
            <w:tcBorders>
              <w:bottom w:val="single" w:color="D9D9D9" w:sz="8" w:space="0"/>
            </w:tcBorders>
          </w:tcPr>
          <w:p w:rsidR="00C31389" w:rsidRDefault="00561FBD" w14:paraId="30F028B3" w14:textId="77777777">
            <w:pPr>
              <w:pStyle w:val="TableParagraph"/>
              <w:spacing w:before="139"/>
              <w:ind w:right="114"/>
              <w:jc w:val="right"/>
              <w:rPr>
                <w:sz w:val="17"/>
              </w:rPr>
            </w:pPr>
            <w:r>
              <w:rPr>
                <w:spacing w:val="-2"/>
                <w:sz w:val="17"/>
              </w:rPr>
              <w:t>212.8</w:t>
            </w:r>
          </w:p>
        </w:tc>
        <w:tc>
          <w:tcPr>
            <w:tcW w:w="657" w:type="dxa"/>
            <w:tcBorders>
              <w:bottom w:val="single" w:color="D9D9D9" w:sz="8" w:space="0"/>
            </w:tcBorders>
          </w:tcPr>
          <w:p w:rsidR="00C31389" w:rsidRDefault="00561FBD" w14:paraId="08561F71" w14:textId="77777777">
            <w:pPr>
              <w:pStyle w:val="TableParagraph"/>
              <w:spacing w:before="139"/>
              <w:ind w:left="100" w:right="101"/>
              <w:jc w:val="center"/>
              <w:rPr>
                <w:sz w:val="17"/>
              </w:rPr>
            </w:pPr>
            <w:r>
              <w:rPr>
                <w:spacing w:val="-2"/>
                <w:sz w:val="17"/>
              </w:rPr>
              <w:t>224.2</w:t>
            </w:r>
          </w:p>
        </w:tc>
        <w:tc>
          <w:tcPr>
            <w:tcW w:w="631" w:type="dxa"/>
            <w:tcBorders>
              <w:bottom w:val="single" w:color="D9D9D9" w:sz="8" w:space="0"/>
            </w:tcBorders>
          </w:tcPr>
          <w:p w:rsidR="00C31389" w:rsidRDefault="00561FBD" w14:paraId="6B00EACF" w14:textId="77777777">
            <w:pPr>
              <w:pStyle w:val="TableParagraph"/>
              <w:spacing w:before="39"/>
              <w:ind w:right="115"/>
              <w:jc w:val="right"/>
              <w:rPr>
                <w:sz w:val="17"/>
              </w:rPr>
            </w:pPr>
            <w:r>
              <w:rPr>
                <w:spacing w:val="-4"/>
                <w:sz w:val="17"/>
              </w:rPr>
              <w:t>234.</w:t>
            </w:r>
          </w:p>
          <w:p w:rsidR="00C31389" w:rsidRDefault="00561FBD" w14:paraId="1D3CE49A" w14:textId="77777777">
            <w:pPr>
              <w:pStyle w:val="TableParagraph"/>
              <w:spacing w:before="2"/>
              <w:ind w:right="116"/>
              <w:jc w:val="right"/>
              <w:rPr>
                <w:sz w:val="17"/>
              </w:rPr>
            </w:pPr>
            <w:r>
              <w:rPr>
                <w:sz w:val="17"/>
              </w:rPr>
              <w:t>6</w:t>
            </w:r>
          </w:p>
        </w:tc>
        <w:tc>
          <w:tcPr>
            <w:tcW w:w="631" w:type="dxa"/>
            <w:tcBorders>
              <w:bottom w:val="single" w:color="D9D9D9" w:sz="8" w:space="0"/>
            </w:tcBorders>
          </w:tcPr>
          <w:p w:rsidR="00C31389" w:rsidRDefault="00561FBD" w14:paraId="441A9846" w14:textId="77777777">
            <w:pPr>
              <w:pStyle w:val="TableParagraph"/>
              <w:spacing w:before="39"/>
              <w:ind w:right="116"/>
              <w:jc w:val="right"/>
              <w:rPr>
                <w:sz w:val="17"/>
              </w:rPr>
            </w:pPr>
            <w:r>
              <w:rPr>
                <w:spacing w:val="-4"/>
                <w:sz w:val="17"/>
              </w:rPr>
              <w:t>244.</w:t>
            </w:r>
          </w:p>
          <w:p w:rsidR="00C31389" w:rsidRDefault="00561FBD" w14:paraId="4B509556" w14:textId="77777777">
            <w:pPr>
              <w:pStyle w:val="TableParagraph"/>
              <w:spacing w:before="2"/>
              <w:ind w:right="117"/>
              <w:jc w:val="right"/>
              <w:rPr>
                <w:sz w:val="17"/>
              </w:rPr>
            </w:pPr>
            <w:r>
              <w:rPr>
                <w:sz w:val="17"/>
              </w:rPr>
              <w:t>0</w:t>
            </w:r>
          </w:p>
        </w:tc>
        <w:tc>
          <w:tcPr>
            <w:tcW w:w="631" w:type="dxa"/>
            <w:tcBorders>
              <w:bottom w:val="single" w:color="D9D9D9" w:sz="8" w:space="0"/>
            </w:tcBorders>
          </w:tcPr>
          <w:p w:rsidR="00C31389" w:rsidRDefault="00561FBD" w14:paraId="6D7DF143" w14:textId="77777777">
            <w:pPr>
              <w:pStyle w:val="TableParagraph"/>
              <w:spacing w:before="39"/>
              <w:ind w:right="117"/>
              <w:jc w:val="right"/>
              <w:rPr>
                <w:sz w:val="17"/>
              </w:rPr>
            </w:pPr>
            <w:r>
              <w:rPr>
                <w:spacing w:val="-4"/>
                <w:sz w:val="17"/>
              </w:rPr>
              <w:t>253.</w:t>
            </w:r>
          </w:p>
          <w:p w:rsidR="00C31389" w:rsidRDefault="00561FBD" w14:paraId="139D7C32" w14:textId="77777777">
            <w:pPr>
              <w:pStyle w:val="TableParagraph"/>
              <w:spacing w:before="2"/>
              <w:ind w:right="118"/>
              <w:jc w:val="right"/>
              <w:rPr>
                <w:sz w:val="17"/>
              </w:rPr>
            </w:pPr>
            <w:r>
              <w:rPr>
                <w:sz w:val="17"/>
              </w:rPr>
              <w:t>5</w:t>
            </w:r>
          </w:p>
        </w:tc>
        <w:tc>
          <w:tcPr>
            <w:tcW w:w="631" w:type="dxa"/>
            <w:tcBorders>
              <w:bottom w:val="single" w:color="D9D9D9" w:sz="8" w:space="0"/>
            </w:tcBorders>
          </w:tcPr>
          <w:p w:rsidR="00C31389" w:rsidRDefault="00561FBD" w14:paraId="1BB25086" w14:textId="77777777">
            <w:pPr>
              <w:pStyle w:val="TableParagraph"/>
              <w:spacing w:before="139"/>
              <w:ind w:right="119"/>
              <w:jc w:val="right"/>
              <w:rPr>
                <w:sz w:val="17"/>
              </w:rPr>
            </w:pPr>
            <w:r>
              <w:rPr>
                <w:spacing w:val="-5"/>
                <w:sz w:val="17"/>
              </w:rPr>
              <w:t>2.6</w:t>
            </w:r>
          </w:p>
        </w:tc>
        <w:tc>
          <w:tcPr>
            <w:tcW w:w="631" w:type="dxa"/>
            <w:tcBorders>
              <w:bottom w:val="single" w:color="D9D9D9" w:sz="8" w:space="0"/>
            </w:tcBorders>
          </w:tcPr>
          <w:p w:rsidR="00C31389" w:rsidRDefault="00561FBD" w14:paraId="22C7EDA9" w14:textId="77777777">
            <w:pPr>
              <w:pStyle w:val="TableParagraph"/>
              <w:spacing w:before="139"/>
              <w:ind w:right="120"/>
              <w:jc w:val="right"/>
              <w:rPr>
                <w:sz w:val="17"/>
              </w:rPr>
            </w:pPr>
            <w:r>
              <w:rPr>
                <w:spacing w:val="-5"/>
                <w:sz w:val="17"/>
              </w:rPr>
              <w:t>3.1</w:t>
            </w:r>
          </w:p>
        </w:tc>
        <w:tc>
          <w:tcPr>
            <w:tcW w:w="631" w:type="dxa"/>
            <w:tcBorders>
              <w:bottom w:val="single" w:color="D9D9D9" w:sz="8" w:space="0"/>
            </w:tcBorders>
          </w:tcPr>
          <w:p w:rsidR="00C31389" w:rsidRDefault="00561FBD" w14:paraId="6AF54316" w14:textId="77777777">
            <w:pPr>
              <w:pStyle w:val="TableParagraph"/>
              <w:spacing w:before="139"/>
              <w:ind w:right="121"/>
              <w:jc w:val="right"/>
              <w:rPr>
                <w:sz w:val="17"/>
              </w:rPr>
            </w:pPr>
            <w:r>
              <w:rPr>
                <w:spacing w:val="-5"/>
                <w:sz w:val="17"/>
              </w:rPr>
              <w:t>3.5</w:t>
            </w:r>
          </w:p>
        </w:tc>
        <w:tc>
          <w:tcPr>
            <w:tcW w:w="642" w:type="dxa"/>
            <w:tcBorders>
              <w:bottom w:val="single" w:color="D9D9D9" w:sz="8" w:space="0"/>
            </w:tcBorders>
          </w:tcPr>
          <w:p w:rsidR="00C31389" w:rsidRDefault="00561FBD" w14:paraId="5E1B82E6" w14:textId="77777777">
            <w:pPr>
              <w:pStyle w:val="TableParagraph"/>
              <w:spacing w:before="139"/>
              <w:ind w:right="133"/>
              <w:jc w:val="right"/>
              <w:rPr>
                <w:sz w:val="17"/>
              </w:rPr>
            </w:pPr>
            <w:r>
              <w:rPr>
                <w:spacing w:val="-5"/>
                <w:sz w:val="17"/>
              </w:rPr>
              <w:t>3.5</w:t>
            </w:r>
          </w:p>
        </w:tc>
        <w:tc>
          <w:tcPr>
            <w:tcW w:w="631" w:type="dxa"/>
            <w:tcBorders>
              <w:bottom w:val="single" w:color="D9D9D9" w:sz="8" w:space="0"/>
            </w:tcBorders>
          </w:tcPr>
          <w:p w:rsidR="00C31389" w:rsidRDefault="00561FBD" w14:paraId="60799E93" w14:textId="77777777">
            <w:pPr>
              <w:pStyle w:val="TableParagraph"/>
              <w:spacing w:before="139"/>
              <w:ind w:right="134"/>
              <w:jc w:val="right"/>
              <w:rPr>
                <w:sz w:val="17"/>
              </w:rPr>
            </w:pPr>
            <w:r>
              <w:rPr>
                <w:spacing w:val="-5"/>
                <w:sz w:val="17"/>
              </w:rPr>
              <w:t>3.8</w:t>
            </w:r>
          </w:p>
        </w:tc>
        <w:tc>
          <w:tcPr>
            <w:tcW w:w="613" w:type="dxa"/>
            <w:tcBorders>
              <w:bottom w:val="single" w:color="D9D9D9" w:sz="8" w:space="0"/>
            </w:tcBorders>
          </w:tcPr>
          <w:p w:rsidR="00C31389" w:rsidRDefault="00561FBD" w14:paraId="34C55242" w14:textId="77777777">
            <w:pPr>
              <w:pStyle w:val="TableParagraph"/>
              <w:spacing w:before="139"/>
              <w:ind w:right="117"/>
              <w:jc w:val="right"/>
              <w:rPr>
                <w:sz w:val="17"/>
              </w:rPr>
            </w:pPr>
            <w:r>
              <w:rPr>
                <w:spacing w:val="-5"/>
                <w:sz w:val="17"/>
              </w:rPr>
              <w:t>4.1</w:t>
            </w:r>
          </w:p>
        </w:tc>
      </w:tr>
      <w:tr w:rsidR="00C31389" w14:paraId="43AF3E03" w14:textId="77777777">
        <w:trPr>
          <w:trHeight w:val="275"/>
        </w:trPr>
        <w:tc>
          <w:tcPr>
            <w:tcW w:w="1514" w:type="dxa"/>
            <w:tcBorders>
              <w:top w:val="single" w:color="DCDDDE" w:sz="4" w:space="0"/>
              <w:bottom w:val="single" w:color="DCDDDE" w:sz="4" w:space="0"/>
            </w:tcBorders>
          </w:tcPr>
          <w:p w:rsidR="00C31389" w:rsidRDefault="00561FBD" w14:paraId="1A03107C" w14:textId="77777777">
            <w:pPr>
              <w:pStyle w:val="TableParagraph"/>
              <w:ind w:left="121"/>
              <w:rPr>
                <w:sz w:val="17"/>
              </w:rPr>
            </w:pPr>
            <w:r>
              <w:rPr>
                <w:spacing w:val="-4"/>
                <w:sz w:val="17"/>
              </w:rPr>
              <w:t>BROs</w:t>
            </w:r>
          </w:p>
        </w:tc>
        <w:tc>
          <w:tcPr>
            <w:tcW w:w="830" w:type="dxa"/>
            <w:tcBorders>
              <w:top w:val="single" w:color="D9D9D9" w:sz="8" w:space="0"/>
              <w:bottom w:val="single" w:color="DCDDDE" w:sz="4" w:space="0"/>
            </w:tcBorders>
          </w:tcPr>
          <w:p w:rsidR="00C31389" w:rsidRDefault="00561FBD" w14:paraId="029C1D9F" w14:textId="77777777">
            <w:pPr>
              <w:pStyle w:val="TableParagraph"/>
              <w:ind w:right="169"/>
              <w:jc w:val="right"/>
              <w:rPr>
                <w:sz w:val="17"/>
              </w:rPr>
            </w:pPr>
            <w:r>
              <w:rPr>
                <w:spacing w:val="-4"/>
                <w:sz w:val="17"/>
              </w:rPr>
              <w:t>35.1</w:t>
            </w:r>
          </w:p>
        </w:tc>
        <w:tc>
          <w:tcPr>
            <w:tcW w:w="712" w:type="dxa"/>
            <w:tcBorders>
              <w:top w:val="single" w:color="D9D9D9" w:sz="8" w:space="0"/>
              <w:bottom w:val="single" w:color="DCDDDE" w:sz="4" w:space="0"/>
            </w:tcBorders>
          </w:tcPr>
          <w:p w:rsidR="00C31389" w:rsidRDefault="00561FBD" w14:paraId="3A29158F" w14:textId="77777777">
            <w:pPr>
              <w:pStyle w:val="TableParagraph"/>
              <w:ind w:right="114"/>
              <w:jc w:val="right"/>
              <w:rPr>
                <w:sz w:val="17"/>
              </w:rPr>
            </w:pPr>
            <w:r>
              <w:rPr>
                <w:spacing w:val="-4"/>
                <w:sz w:val="17"/>
              </w:rPr>
              <w:t>36.5</w:t>
            </w:r>
          </w:p>
        </w:tc>
        <w:tc>
          <w:tcPr>
            <w:tcW w:w="657" w:type="dxa"/>
            <w:tcBorders>
              <w:top w:val="single" w:color="D9D9D9" w:sz="8" w:space="0"/>
              <w:bottom w:val="single" w:color="DCDDDE" w:sz="4" w:space="0"/>
            </w:tcBorders>
          </w:tcPr>
          <w:p w:rsidR="00C31389" w:rsidRDefault="00561FBD" w14:paraId="552CDCA7" w14:textId="77777777">
            <w:pPr>
              <w:pStyle w:val="TableParagraph"/>
              <w:ind w:left="100" w:right="9"/>
              <w:jc w:val="center"/>
              <w:rPr>
                <w:sz w:val="17"/>
              </w:rPr>
            </w:pPr>
            <w:r>
              <w:rPr>
                <w:spacing w:val="-4"/>
                <w:sz w:val="17"/>
              </w:rPr>
              <w:t>38.0</w:t>
            </w:r>
          </w:p>
        </w:tc>
        <w:tc>
          <w:tcPr>
            <w:tcW w:w="631" w:type="dxa"/>
            <w:tcBorders>
              <w:top w:val="single" w:color="D9D9D9" w:sz="8" w:space="0"/>
              <w:bottom w:val="single" w:color="DCDDDE" w:sz="4" w:space="0"/>
            </w:tcBorders>
          </w:tcPr>
          <w:p w:rsidR="00C31389" w:rsidRDefault="00561FBD" w14:paraId="3519CB02" w14:textId="77777777">
            <w:pPr>
              <w:pStyle w:val="TableParagraph"/>
              <w:ind w:right="116"/>
              <w:jc w:val="right"/>
              <w:rPr>
                <w:sz w:val="17"/>
              </w:rPr>
            </w:pPr>
            <w:r>
              <w:rPr>
                <w:spacing w:val="-4"/>
                <w:sz w:val="17"/>
              </w:rPr>
              <w:t>39.5</w:t>
            </w:r>
          </w:p>
        </w:tc>
        <w:tc>
          <w:tcPr>
            <w:tcW w:w="631" w:type="dxa"/>
            <w:tcBorders>
              <w:top w:val="single" w:color="D9D9D9" w:sz="8" w:space="0"/>
              <w:bottom w:val="single" w:color="DCDDDE" w:sz="4" w:space="0"/>
            </w:tcBorders>
          </w:tcPr>
          <w:p w:rsidR="00C31389" w:rsidRDefault="00561FBD" w14:paraId="398DEB7C" w14:textId="77777777">
            <w:pPr>
              <w:pStyle w:val="TableParagraph"/>
              <w:ind w:right="117"/>
              <w:jc w:val="right"/>
              <w:rPr>
                <w:sz w:val="17"/>
              </w:rPr>
            </w:pPr>
            <w:r>
              <w:rPr>
                <w:spacing w:val="-4"/>
                <w:sz w:val="17"/>
              </w:rPr>
              <w:t>41.0</w:t>
            </w:r>
          </w:p>
        </w:tc>
        <w:tc>
          <w:tcPr>
            <w:tcW w:w="631" w:type="dxa"/>
            <w:tcBorders>
              <w:top w:val="single" w:color="D9D9D9" w:sz="8" w:space="0"/>
              <w:bottom w:val="single" w:color="DCDDDE" w:sz="4" w:space="0"/>
            </w:tcBorders>
          </w:tcPr>
          <w:p w:rsidR="00C31389" w:rsidRDefault="00561FBD" w14:paraId="148FD322" w14:textId="77777777">
            <w:pPr>
              <w:pStyle w:val="TableParagraph"/>
              <w:ind w:right="118"/>
              <w:jc w:val="right"/>
              <w:rPr>
                <w:sz w:val="17"/>
              </w:rPr>
            </w:pPr>
            <w:r>
              <w:rPr>
                <w:spacing w:val="-4"/>
                <w:sz w:val="17"/>
              </w:rPr>
              <w:t>42.6</w:t>
            </w:r>
          </w:p>
        </w:tc>
        <w:tc>
          <w:tcPr>
            <w:tcW w:w="631" w:type="dxa"/>
            <w:tcBorders>
              <w:top w:val="single" w:color="D9D9D9" w:sz="8" w:space="0"/>
              <w:bottom w:val="single" w:color="DCDDDE" w:sz="4" w:space="0"/>
            </w:tcBorders>
          </w:tcPr>
          <w:p w:rsidR="00C31389" w:rsidRDefault="00561FBD" w14:paraId="6CA38615" w14:textId="77777777">
            <w:pPr>
              <w:pStyle w:val="TableParagraph"/>
              <w:ind w:right="119"/>
              <w:jc w:val="right"/>
              <w:rPr>
                <w:sz w:val="17"/>
              </w:rPr>
            </w:pPr>
            <w:r>
              <w:rPr>
                <w:spacing w:val="-4"/>
                <w:sz w:val="17"/>
              </w:rPr>
              <w:t>44.4</w:t>
            </w:r>
          </w:p>
        </w:tc>
        <w:tc>
          <w:tcPr>
            <w:tcW w:w="631" w:type="dxa"/>
            <w:tcBorders>
              <w:top w:val="single" w:color="D9D9D9" w:sz="8" w:space="0"/>
              <w:bottom w:val="single" w:color="DCDDDE" w:sz="4" w:space="0"/>
            </w:tcBorders>
          </w:tcPr>
          <w:p w:rsidR="00C31389" w:rsidRDefault="00561FBD" w14:paraId="585BBF73" w14:textId="77777777">
            <w:pPr>
              <w:pStyle w:val="TableParagraph"/>
              <w:ind w:right="120"/>
              <w:jc w:val="right"/>
              <w:rPr>
                <w:sz w:val="17"/>
              </w:rPr>
            </w:pPr>
            <w:r>
              <w:rPr>
                <w:spacing w:val="-4"/>
                <w:sz w:val="17"/>
              </w:rPr>
              <w:t>46.2</w:t>
            </w:r>
          </w:p>
        </w:tc>
        <w:tc>
          <w:tcPr>
            <w:tcW w:w="631" w:type="dxa"/>
            <w:tcBorders>
              <w:top w:val="single" w:color="D9D9D9" w:sz="8" w:space="0"/>
              <w:bottom w:val="single" w:color="DCDDDE" w:sz="4" w:space="0"/>
            </w:tcBorders>
          </w:tcPr>
          <w:p w:rsidR="00C31389" w:rsidRDefault="00561FBD" w14:paraId="52CC874D" w14:textId="77777777">
            <w:pPr>
              <w:pStyle w:val="TableParagraph"/>
              <w:ind w:right="121"/>
              <w:jc w:val="right"/>
              <w:rPr>
                <w:sz w:val="17"/>
              </w:rPr>
            </w:pPr>
            <w:r>
              <w:rPr>
                <w:spacing w:val="-4"/>
                <w:sz w:val="17"/>
              </w:rPr>
              <w:t>48.1</w:t>
            </w:r>
          </w:p>
        </w:tc>
        <w:tc>
          <w:tcPr>
            <w:tcW w:w="642" w:type="dxa"/>
            <w:tcBorders>
              <w:top w:val="single" w:color="D9D9D9" w:sz="8" w:space="0"/>
              <w:bottom w:val="single" w:color="DCDDDE" w:sz="4" w:space="0"/>
            </w:tcBorders>
          </w:tcPr>
          <w:p w:rsidR="00C31389" w:rsidRDefault="00561FBD" w14:paraId="0B6F7DBA" w14:textId="77777777">
            <w:pPr>
              <w:pStyle w:val="TableParagraph"/>
              <w:ind w:right="133"/>
              <w:jc w:val="right"/>
              <w:rPr>
                <w:sz w:val="17"/>
              </w:rPr>
            </w:pPr>
            <w:r>
              <w:rPr>
                <w:spacing w:val="-4"/>
                <w:sz w:val="17"/>
              </w:rPr>
              <w:t>50.0</w:t>
            </w:r>
          </w:p>
        </w:tc>
        <w:tc>
          <w:tcPr>
            <w:tcW w:w="631" w:type="dxa"/>
            <w:tcBorders>
              <w:top w:val="single" w:color="D9D9D9" w:sz="8" w:space="0"/>
              <w:bottom w:val="single" w:color="DCDDDE" w:sz="4" w:space="0"/>
            </w:tcBorders>
          </w:tcPr>
          <w:p w:rsidR="00C31389" w:rsidRDefault="00561FBD" w14:paraId="4F36F97F" w14:textId="77777777">
            <w:pPr>
              <w:pStyle w:val="TableParagraph"/>
              <w:ind w:right="134"/>
              <w:jc w:val="right"/>
              <w:rPr>
                <w:sz w:val="17"/>
              </w:rPr>
            </w:pPr>
            <w:r>
              <w:rPr>
                <w:spacing w:val="-4"/>
                <w:sz w:val="17"/>
              </w:rPr>
              <w:t>51.1</w:t>
            </w:r>
          </w:p>
        </w:tc>
        <w:tc>
          <w:tcPr>
            <w:tcW w:w="613" w:type="dxa"/>
            <w:tcBorders>
              <w:top w:val="single" w:color="D9D9D9" w:sz="8" w:space="0"/>
              <w:bottom w:val="single" w:color="DCDDDE" w:sz="4" w:space="0"/>
            </w:tcBorders>
          </w:tcPr>
          <w:p w:rsidR="00C31389" w:rsidRDefault="00561FBD" w14:paraId="0B0E6E6F" w14:textId="77777777">
            <w:pPr>
              <w:pStyle w:val="TableParagraph"/>
              <w:ind w:right="117"/>
              <w:jc w:val="right"/>
              <w:rPr>
                <w:sz w:val="17"/>
              </w:rPr>
            </w:pPr>
            <w:r>
              <w:rPr>
                <w:spacing w:val="-4"/>
                <w:sz w:val="17"/>
              </w:rPr>
              <w:t>53.3</w:t>
            </w:r>
          </w:p>
        </w:tc>
      </w:tr>
      <w:tr w:rsidR="00C31389" w14:paraId="31C44DF3"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34EAE0F1" w14:textId="77777777">
            <w:pPr>
              <w:pStyle w:val="TableParagraph"/>
              <w:ind w:left="121"/>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03FF55FF" w14:textId="77777777">
        <w:trPr>
          <w:trHeight w:val="275"/>
        </w:trPr>
        <w:tc>
          <w:tcPr>
            <w:tcW w:w="1514" w:type="dxa"/>
            <w:tcBorders>
              <w:top w:val="single" w:color="DCDDDE" w:sz="4" w:space="0"/>
              <w:bottom w:val="single" w:color="DCDDDE" w:sz="4" w:space="0"/>
            </w:tcBorders>
          </w:tcPr>
          <w:p w:rsidR="00C31389" w:rsidRDefault="00561FBD" w14:paraId="52EF394B" w14:textId="77777777">
            <w:pPr>
              <w:pStyle w:val="TableParagraph"/>
              <w:ind w:left="121"/>
              <w:rPr>
                <w:sz w:val="17"/>
              </w:rPr>
            </w:pPr>
            <w:r>
              <w:rPr>
                <w:spacing w:val="-5"/>
                <w:sz w:val="17"/>
              </w:rPr>
              <w:t>EE</w:t>
            </w:r>
          </w:p>
        </w:tc>
        <w:tc>
          <w:tcPr>
            <w:tcW w:w="830" w:type="dxa"/>
            <w:tcBorders>
              <w:top w:val="single" w:color="DCDDDE" w:sz="4" w:space="0"/>
            </w:tcBorders>
          </w:tcPr>
          <w:p w:rsidR="00C31389" w:rsidRDefault="00561FBD" w14:paraId="3E75E02B" w14:textId="77777777">
            <w:pPr>
              <w:pStyle w:val="TableParagraph"/>
              <w:ind w:right="169"/>
              <w:jc w:val="right"/>
              <w:rPr>
                <w:sz w:val="17"/>
              </w:rPr>
            </w:pPr>
            <w:r>
              <w:rPr>
                <w:spacing w:val="-4"/>
                <w:sz w:val="17"/>
              </w:rPr>
              <w:t>31.1</w:t>
            </w:r>
          </w:p>
        </w:tc>
        <w:tc>
          <w:tcPr>
            <w:tcW w:w="712" w:type="dxa"/>
            <w:tcBorders>
              <w:top w:val="single" w:color="DCDDDE" w:sz="4" w:space="0"/>
            </w:tcBorders>
          </w:tcPr>
          <w:p w:rsidR="00C31389" w:rsidRDefault="00561FBD" w14:paraId="4B259701" w14:textId="77777777">
            <w:pPr>
              <w:pStyle w:val="TableParagraph"/>
              <w:ind w:right="114"/>
              <w:jc w:val="right"/>
              <w:rPr>
                <w:sz w:val="17"/>
              </w:rPr>
            </w:pPr>
            <w:r>
              <w:rPr>
                <w:spacing w:val="-4"/>
                <w:sz w:val="17"/>
              </w:rPr>
              <w:t>28.3</w:t>
            </w:r>
          </w:p>
        </w:tc>
        <w:tc>
          <w:tcPr>
            <w:tcW w:w="657" w:type="dxa"/>
            <w:tcBorders>
              <w:top w:val="single" w:color="DCDDDE" w:sz="4" w:space="0"/>
            </w:tcBorders>
          </w:tcPr>
          <w:p w:rsidR="00C31389" w:rsidRDefault="00561FBD" w14:paraId="7C1EE2D7" w14:textId="77777777">
            <w:pPr>
              <w:pStyle w:val="TableParagraph"/>
              <w:ind w:left="100" w:right="9"/>
              <w:jc w:val="center"/>
              <w:rPr>
                <w:sz w:val="17"/>
              </w:rPr>
            </w:pPr>
            <w:r>
              <w:rPr>
                <w:spacing w:val="-4"/>
                <w:sz w:val="17"/>
              </w:rPr>
              <w:t>23.7</w:t>
            </w:r>
          </w:p>
        </w:tc>
        <w:tc>
          <w:tcPr>
            <w:tcW w:w="631" w:type="dxa"/>
            <w:tcBorders>
              <w:top w:val="single" w:color="DCDDDE" w:sz="4" w:space="0"/>
            </w:tcBorders>
          </w:tcPr>
          <w:p w:rsidR="00C31389" w:rsidRDefault="00561FBD" w14:paraId="47F15E5F" w14:textId="77777777">
            <w:pPr>
              <w:pStyle w:val="TableParagraph"/>
              <w:ind w:right="116"/>
              <w:jc w:val="right"/>
              <w:rPr>
                <w:sz w:val="17"/>
              </w:rPr>
            </w:pPr>
            <w:r>
              <w:rPr>
                <w:spacing w:val="-4"/>
                <w:sz w:val="17"/>
              </w:rPr>
              <w:t>18.8</w:t>
            </w:r>
          </w:p>
        </w:tc>
        <w:tc>
          <w:tcPr>
            <w:tcW w:w="631" w:type="dxa"/>
            <w:tcBorders>
              <w:top w:val="single" w:color="DCDDDE" w:sz="4" w:space="0"/>
            </w:tcBorders>
          </w:tcPr>
          <w:p w:rsidR="00C31389" w:rsidRDefault="00561FBD" w14:paraId="11BE3D8E" w14:textId="77777777">
            <w:pPr>
              <w:pStyle w:val="TableParagraph"/>
              <w:ind w:right="117"/>
              <w:jc w:val="right"/>
              <w:rPr>
                <w:sz w:val="17"/>
              </w:rPr>
            </w:pPr>
            <w:r>
              <w:rPr>
                <w:spacing w:val="-4"/>
                <w:sz w:val="17"/>
              </w:rPr>
              <w:t>17.2</w:t>
            </w:r>
          </w:p>
        </w:tc>
        <w:tc>
          <w:tcPr>
            <w:tcW w:w="631" w:type="dxa"/>
            <w:tcBorders>
              <w:top w:val="single" w:color="DCDDDE" w:sz="4" w:space="0"/>
            </w:tcBorders>
          </w:tcPr>
          <w:p w:rsidR="00C31389" w:rsidRDefault="00561FBD" w14:paraId="4A4C184C" w14:textId="77777777">
            <w:pPr>
              <w:pStyle w:val="TableParagraph"/>
              <w:ind w:right="118"/>
              <w:jc w:val="right"/>
              <w:rPr>
                <w:sz w:val="17"/>
              </w:rPr>
            </w:pPr>
            <w:r>
              <w:rPr>
                <w:spacing w:val="-4"/>
                <w:sz w:val="17"/>
              </w:rPr>
              <w:t>15.4</w:t>
            </w:r>
          </w:p>
        </w:tc>
        <w:tc>
          <w:tcPr>
            <w:tcW w:w="631" w:type="dxa"/>
            <w:tcBorders>
              <w:top w:val="single" w:color="DCDDDE" w:sz="4" w:space="0"/>
            </w:tcBorders>
          </w:tcPr>
          <w:p w:rsidR="00C31389" w:rsidRDefault="00561FBD" w14:paraId="644CFFC9" w14:textId="77777777">
            <w:pPr>
              <w:pStyle w:val="TableParagraph"/>
              <w:ind w:right="119"/>
              <w:jc w:val="right"/>
              <w:rPr>
                <w:sz w:val="17"/>
              </w:rPr>
            </w:pPr>
            <w:r>
              <w:rPr>
                <w:spacing w:val="-4"/>
                <w:sz w:val="17"/>
              </w:rPr>
              <w:t>17.5</w:t>
            </w:r>
          </w:p>
        </w:tc>
        <w:tc>
          <w:tcPr>
            <w:tcW w:w="631" w:type="dxa"/>
            <w:tcBorders>
              <w:top w:val="single" w:color="DCDDDE" w:sz="4" w:space="0"/>
            </w:tcBorders>
          </w:tcPr>
          <w:p w:rsidR="00C31389" w:rsidRDefault="00561FBD" w14:paraId="78FDBC99" w14:textId="77777777">
            <w:pPr>
              <w:pStyle w:val="TableParagraph"/>
              <w:ind w:right="120"/>
              <w:jc w:val="right"/>
              <w:rPr>
                <w:sz w:val="17"/>
              </w:rPr>
            </w:pPr>
            <w:r>
              <w:rPr>
                <w:spacing w:val="-4"/>
                <w:sz w:val="17"/>
              </w:rPr>
              <w:t>13.9</w:t>
            </w:r>
          </w:p>
        </w:tc>
        <w:tc>
          <w:tcPr>
            <w:tcW w:w="631" w:type="dxa"/>
            <w:tcBorders>
              <w:top w:val="single" w:color="DCDDDE" w:sz="4" w:space="0"/>
            </w:tcBorders>
          </w:tcPr>
          <w:p w:rsidR="00C31389" w:rsidRDefault="00561FBD" w14:paraId="39394014" w14:textId="77777777">
            <w:pPr>
              <w:pStyle w:val="TableParagraph"/>
              <w:ind w:right="121"/>
              <w:jc w:val="right"/>
              <w:rPr>
                <w:sz w:val="17"/>
              </w:rPr>
            </w:pPr>
            <w:r>
              <w:rPr>
                <w:spacing w:val="-4"/>
                <w:sz w:val="17"/>
              </w:rPr>
              <w:t>13.3</w:t>
            </w:r>
          </w:p>
        </w:tc>
        <w:tc>
          <w:tcPr>
            <w:tcW w:w="642" w:type="dxa"/>
            <w:tcBorders>
              <w:top w:val="single" w:color="DCDDDE" w:sz="4" w:space="0"/>
            </w:tcBorders>
          </w:tcPr>
          <w:p w:rsidR="00C31389" w:rsidRDefault="00561FBD" w14:paraId="645C1AE7" w14:textId="77777777">
            <w:pPr>
              <w:pStyle w:val="TableParagraph"/>
              <w:ind w:right="133"/>
              <w:jc w:val="right"/>
              <w:rPr>
                <w:sz w:val="17"/>
              </w:rPr>
            </w:pPr>
            <w:r>
              <w:rPr>
                <w:spacing w:val="-4"/>
                <w:sz w:val="17"/>
              </w:rPr>
              <w:t>12.3</w:t>
            </w:r>
          </w:p>
        </w:tc>
        <w:tc>
          <w:tcPr>
            <w:tcW w:w="631" w:type="dxa"/>
            <w:tcBorders>
              <w:top w:val="single" w:color="DCDDDE" w:sz="4" w:space="0"/>
            </w:tcBorders>
          </w:tcPr>
          <w:p w:rsidR="00C31389" w:rsidRDefault="00561FBD" w14:paraId="3C80EF61" w14:textId="77777777">
            <w:pPr>
              <w:pStyle w:val="TableParagraph"/>
              <w:ind w:right="134"/>
              <w:jc w:val="right"/>
              <w:rPr>
                <w:sz w:val="17"/>
              </w:rPr>
            </w:pPr>
            <w:r>
              <w:rPr>
                <w:spacing w:val="-4"/>
                <w:sz w:val="17"/>
              </w:rPr>
              <w:t>12.0</w:t>
            </w:r>
          </w:p>
        </w:tc>
        <w:tc>
          <w:tcPr>
            <w:tcW w:w="613" w:type="dxa"/>
            <w:tcBorders>
              <w:top w:val="single" w:color="DCDDDE" w:sz="4" w:space="0"/>
            </w:tcBorders>
          </w:tcPr>
          <w:p w:rsidR="00C31389" w:rsidRDefault="00561FBD" w14:paraId="396C1F73" w14:textId="77777777">
            <w:pPr>
              <w:pStyle w:val="TableParagraph"/>
              <w:ind w:right="117"/>
              <w:jc w:val="right"/>
              <w:rPr>
                <w:sz w:val="17"/>
              </w:rPr>
            </w:pPr>
            <w:r>
              <w:rPr>
                <w:spacing w:val="-4"/>
                <w:sz w:val="17"/>
              </w:rPr>
              <w:t>11.9</w:t>
            </w:r>
          </w:p>
        </w:tc>
      </w:tr>
      <w:tr w:rsidR="00C31389" w14:paraId="0E25DE88" w14:textId="77777777">
        <w:trPr>
          <w:trHeight w:val="275"/>
        </w:trPr>
        <w:tc>
          <w:tcPr>
            <w:tcW w:w="1514" w:type="dxa"/>
            <w:tcBorders>
              <w:top w:val="single" w:color="DCDDDE" w:sz="4" w:space="0"/>
              <w:bottom w:val="single" w:color="DCDDDE" w:sz="4" w:space="0"/>
            </w:tcBorders>
          </w:tcPr>
          <w:p w:rsidR="00C31389" w:rsidRDefault="00561FBD" w14:paraId="7592DB98" w14:textId="77777777">
            <w:pPr>
              <w:pStyle w:val="TableParagraph"/>
              <w:ind w:left="121"/>
              <w:rPr>
                <w:sz w:val="17"/>
              </w:rPr>
            </w:pPr>
            <w:r>
              <w:rPr>
                <w:spacing w:val="-5"/>
                <w:sz w:val="17"/>
              </w:rPr>
              <w:t>FS</w:t>
            </w:r>
          </w:p>
        </w:tc>
        <w:tc>
          <w:tcPr>
            <w:tcW w:w="830" w:type="dxa"/>
            <w:tcBorders>
              <w:bottom w:val="single" w:color="D9D9D9" w:sz="8" w:space="0"/>
            </w:tcBorders>
          </w:tcPr>
          <w:p w:rsidR="00C31389" w:rsidRDefault="00561FBD" w14:paraId="1DFF4CC2" w14:textId="77777777">
            <w:pPr>
              <w:pStyle w:val="TableParagraph"/>
              <w:ind w:right="169"/>
              <w:jc w:val="right"/>
              <w:rPr>
                <w:sz w:val="17"/>
              </w:rPr>
            </w:pPr>
            <w:r>
              <w:rPr>
                <w:spacing w:val="-4"/>
                <w:sz w:val="17"/>
              </w:rPr>
              <w:t>36.3</w:t>
            </w:r>
          </w:p>
        </w:tc>
        <w:tc>
          <w:tcPr>
            <w:tcW w:w="712" w:type="dxa"/>
            <w:tcBorders>
              <w:bottom w:val="single" w:color="D9D9D9" w:sz="8" w:space="0"/>
            </w:tcBorders>
          </w:tcPr>
          <w:p w:rsidR="00C31389" w:rsidRDefault="00561FBD" w14:paraId="66306FBD" w14:textId="77777777">
            <w:pPr>
              <w:pStyle w:val="TableParagraph"/>
              <w:ind w:right="114"/>
              <w:jc w:val="right"/>
              <w:rPr>
                <w:sz w:val="17"/>
              </w:rPr>
            </w:pPr>
            <w:r>
              <w:rPr>
                <w:spacing w:val="-4"/>
                <w:sz w:val="17"/>
              </w:rPr>
              <w:t>36.5</w:t>
            </w:r>
          </w:p>
        </w:tc>
        <w:tc>
          <w:tcPr>
            <w:tcW w:w="657" w:type="dxa"/>
            <w:tcBorders>
              <w:bottom w:val="single" w:color="D9D9D9" w:sz="8" w:space="0"/>
            </w:tcBorders>
          </w:tcPr>
          <w:p w:rsidR="00C31389" w:rsidRDefault="00561FBD" w14:paraId="6B3B8784" w14:textId="77777777">
            <w:pPr>
              <w:pStyle w:val="TableParagraph"/>
              <w:ind w:left="100" w:right="9"/>
              <w:jc w:val="center"/>
              <w:rPr>
                <w:sz w:val="17"/>
              </w:rPr>
            </w:pPr>
            <w:r>
              <w:rPr>
                <w:spacing w:val="-4"/>
                <w:sz w:val="17"/>
              </w:rPr>
              <w:t>36.6</w:t>
            </w:r>
          </w:p>
        </w:tc>
        <w:tc>
          <w:tcPr>
            <w:tcW w:w="631" w:type="dxa"/>
            <w:tcBorders>
              <w:bottom w:val="single" w:color="D9D9D9" w:sz="8" w:space="0"/>
            </w:tcBorders>
          </w:tcPr>
          <w:p w:rsidR="00C31389" w:rsidRDefault="00561FBD" w14:paraId="65CAB555" w14:textId="77777777">
            <w:pPr>
              <w:pStyle w:val="TableParagraph"/>
              <w:ind w:right="116"/>
              <w:jc w:val="right"/>
              <w:rPr>
                <w:sz w:val="17"/>
              </w:rPr>
            </w:pPr>
            <w:r>
              <w:rPr>
                <w:spacing w:val="-4"/>
                <w:sz w:val="17"/>
              </w:rPr>
              <w:t>36.9</w:t>
            </w:r>
          </w:p>
        </w:tc>
        <w:tc>
          <w:tcPr>
            <w:tcW w:w="631" w:type="dxa"/>
            <w:tcBorders>
              <w:bottom w:val="single" w:color="D9D9D9" w:sz="8" w:space="0"/>
            </w:tcBorders>
          </w:tcPr>
          <w:p w:rsidR="00C31389" w:rsidRDefault="00561FBD" w14:paraId="2C9B6AC0" w14:textId="77777777">
            <w:pPr>
              <w:pStyle w:val="TableParagraph"/>
              <w:ind w:right="117"/>
              <w:jc w:val="right"/>
              <w:rPr>
                <w:sz w:val="17"/>
              </w:rPr>
            </w:pPr>
            <w:r>
              <w:rPr>
                <w:spacing w:val="-4"/>
                <w:sz w:val="17"/>
              </w:rPr>
              <w:t>37.2</w:t>
            </w:r>
          </w:p>
        </w:tc>
        <w:tc>
          <w:tcPr>
            <w:tcW w:w="631" w:type="dxa"/>
            <w:tcBorders>
              <w:bottom w:val="single" w:color="D9D9D9" w:sz="8" w:space="0"/>
            </w:tcBorders>
          </w:tcPr>
          <w:p w:rsidR="00C31389" w:rsidRDefault="00561FBD" w14:paraId="615B1EAA" w14:textId="77777777">
            <w:pPr>
              <w:pStyle w:val="TableParagraph"/>
              <w:ind w:right="118"/>
              <w:jc w:val="right"/>
              <w:rPr>
                <w:sz w:val="17"/>
              </w:rPr>
            </w:pPr>
            <w:r>
              <w:rPr>
                <w:spacing w:val="-4"/>
                <w:sz w:val="17"/>
              </w:rPr>
              <w:t>37.8</w:t>
            </w:r>
          </w:p>
        </w:tc>
        <w:tc>
          <w:tcPr>
            <w:tcW w:w="631" w:type="dxa"/>
            <w:tcBorders>
              <w:bottom w:val="single" w:color="D9D9D9" w:sz="8" w:space="0"/>
            </w:tcBorders>
          </w:tcPr>
          <w:p w:rsidR="00C31389" w:rsidRDefault="00561FBD" w14:paraId="7FB45491" w14:textId="77777777">
            <w:pPr>
              <w:pStyle w:val="TableParagraph"/>
              <w:ind w:right="119"/>
              <w:jc w:val="right"/>
              <w:rPr>
                <w:sz w:val="17"/>
              </w:rPr>
            </w:pPr>
            <w:r>
              <w:rPr>
                <w:spacing w:val="-5"/>
                <w:sz w:val="17"/>
              </w:rPr>
              <w:t>0.2</w:t>
            </w:r>
          </w:p>
        </w:tc>
        <w:tc>
          <w:tcPr>
            <w:tcW w:w="631" w:type="dxa"/>
            <w:tcBorders>
              <w:bottom w:val="single" w:color="D9D9D9" w:sz="8" w:space="0"/>
            </w:tcBorders>
          </w:tcPr>
          <w:p w:rsidR="00C31389" w:rsidRDefault="00561FBD" w14:paraId="441D45B2" w14:textId="77777777">
            <w:pPr>
              <w:pStyle w:val="TableParagraph"/>
              <w:ind w:right="120"/>
              <w:jc w:val="right"/>
              <w:rPr>
                <w:sz w:val="17"/>
              </w:rPr>
            </w:pPr>
            <w:r>
              <w:rPr>
                <w:spacing w:val="-5"/>
                <w:sz w:val="17"/>
              </w:rPr>
              <w:t>0.2</w:t>
            </w:r>
          </w:p>
        </w:tc>
        <w:tc>
          <w:tcPr>
            <w:tcW w:w="631" w:type="dxa"/>
            <w:tcBorders>
              <w:bottom w:val="single" w:color="D9D9D9" w:sz="8" w:space="0"/>
            </w:tcBorders>
          </w:tcPr>
          <w:p w:rsidR="00C31389" w:rsidRDefault="00561FBD" w14:paraId="3207A3CB" w14:textId="77777777">
            <w:pPr>
              <w:pStyle w:val="TableParagraph"/>
              <w:ind w:right="121"/>
              <w:jc w:val="right"/>
              <w:rPr>
                <w:sz w:val="17"/>
              </w:rPr>
            </w:pPr>
            <w:r>
              <w:rPr>
                <w:spacing w:val="-5"/>
                <w:sz w:val="17"/>
              </w:rPr>
              <w:t>0.2</w:t>
            </w:r>
          </w:p>
        </w:tc>
        <w:tc>
          <w:tcPr>
            <w:tcW w:w="642" w:type="dxa"/>
            <w:tcBorders>
              <w:bottom w:val="single" w:color="D9D9D9" w:sz="8" w:space="0"/>
            </w:tcBorders>
          </w:tcPr>
          <w:p w:rsidR="00C31389" w:rsidRDefault="00561FBD" w14:paraId="6A236C53" w14:textId="77777777">
            <w:pPr>
              <w:pStyle w:val="TableParagraph"/>
              <w:ind w:right="133"/>
              <w:jc w:val="right"/>
              <w:rPr>
                <w:sz w:val="17"/>
              </w:rPr>
            </w:pPr>
            <w:r>
              <w:rPr>
                <w:spacing w:val="-5"/>
                <w:sz w:val="17"/>
              </w:rPr>
              <w:t>0.3</w:t>
            </w:r>
          </w:p>
        </w:tc>
        <w:tc>
          <w:tcPr>
            <w:tcW w:w="631" w:type="dxa"/>
            <w:tcBorders>
              <w:bottom w:val="single" w:color="D9D9D9" w:sz="8" w:space="0"/>
            </w:tcBorders>
          </w:tcPr>
          <w:p w:rsidR="00C31389" w:rsidRDefault="00561FBD" w14:paraId="6BFF943A" w14:textId="77777777">
            <w:pPr>
              <w:pStyle w:val="TableParagraph"/>
              <w:ind w:right="134"/>
              <w:jc w:val="right"/>
              <w:rPr>
                <w:sz w:val="17"/>
              </w:rPr>
            </w:pPr>
            <w:r>
              <w:rPr>
                <w:spacing w:val="-5"/>
                <w:sz w:val="17"/>
              </w:rPr>
              <w:t>0.3</w:t>
            </w:r>
          </w:p>
        </w:tc>
        <w:tc>
          <w:tcPr>
            <w:tcW w:w="613" w:type="dxa"/>
            <w:tcBorders>
              <w:bottom w:val="single" w:color="D9D9D9" w:sz="8" w:space="0"/>
            </w:tcBorders>
          </w:tcPr>
          <w:p w:rsidR="00C31389" w:rsidRDefault="00561FBD" w14:paraId="46E65A60" w14:textId="77777777">
            <w:pPr>
              <w:pStyle w:val="TableParagraph"/>
              <w:ind w:right="117"/>
              <w:jc w:val="right"/>
              <w:rPr>
                <w:sz w:val="17"/>
              </w:rPr>
            </w:pPr>
            <w:r>
              <w:rPr>
                <w:spacing w:val="-5"/>
                <w:sz w:val="17"/>
              </w:rPr>
              <w:t>0.3</w:t>
            </w:r>
          </w:p>
        </w:tc>
      </w:tr>
      <w:tr w:rsidR="00C31389" w14:paraId="42608DA3" w14:textId="77777777">
        <w:trPr>
          <w:trHeight w:val="275"/>
        </w:trPr>
        <w:tc>
          <w:tcPr>
            <w:tcW w:w="1514" w:type="dxa"/>
            <w:tcBorders>
              <w:top w:val="single" w:color="DCDDDE" w:sz="4" w:space="0"/>
              <w:bottom w:val="single" w:color="DCDDDE" w:sz="4" w:space="0"/>
            </w:tcBorders>
          </w:tcPr>
          <w:p w:rsidR="00C31389" w:rsidRDefault="00561FBD" w14:paraId="5DD6D016" w14:textId="77777777">
            <w:pPr>
              <w:pStyle w:val="TableParagraph"/>
              <w:ind w:left="121"/>
              <w:rPr>
                <w:sz w:val="17"/>
              </w:rPr>
            </w:pPr>
            <w:r>
              <w:rPr>
                <w:spacing w:val="-4"/>
                <w:sz w:val="17"/>
              </w:rPr>
              <w:t>BROs</w:t>
            </w:r>
          </w:p>
        </w:tc>
        <w:tc>
          <w:tcPr>
            <w:tcW w:w="830" w:type="dxa"/>
            <w:tcBorders>
              <w:top w:val="single" w:color="D9D9D9" w:sz="8" w:space="0"/>
              <w:bottom w:val="single" w:color="DCDDDE" w:sz="4" w:space="0"/>
            </w:tcBorders>
          </w:tcPr>
          <w:p w:rsidR="00C31389" w:rsidRDefault="00561FBD" w14:paraId="14F9BD2D" w14:textId="77777777">
            <w:pPr>
              <w:pStyle w:val="TableParagraph"/>
              <w:ind w:right="169"/>
              <w:jc w:val="right"/>
              <w:rPr>
                <w:sz w:val="17"/>
              </w:rPr>
            </w:pPr>
            <w:r>
              <w:rPr>
                <w:spacing w:val="-4"/>
                <w:sz w:val="17"/>
              </w:rPr>
              <w:t>35.1</w:t>
            </w:r>
          </w:p>
        </w:tc>
        <w:tc>
          <w:tcPr>
            <w:tcW w:w="712" w:type="dxa"/>
            <w:tcBorders>
              <w:top w:val="single" w:color="D9D9D9" w:sz="8" w:space="0"/>
              <w:bottom w:val="single" w:color="DCDDDE" w:sz="4" w:space="0"/>
            </w:tcBorders>
          </w:tcPr>
          <w:p w:rsidR="00C31389" w:rsidRDefault="00561FBD" w14:paraId="4BDB3160" w14:textId="77777777">
            <w:pPr>
              <w:pStyle w:val="TableParagraph"/>
              <w:ind w:right="114"/>
              <w:jc w:val="right"/>
              <w:rPr>
                <w:sz w:val="17"/>
              </w:rPr>
            </w:pPr>
            <w:r>
              <w:rPr>
                <w:spacing w:val="-4"/>
                <w:sz w:val="17"/>
              </w:rPr>
              <w:t>36.5</w:t>
            </w:r>
          </w:p>
        </w:tc>
        <w:tc>
          <w:tcPr>
            <w:tcW w:w="657" w:type="dxa"/>
            <w:tcBorders>
              <w:top w:val="single" w:color="D9D9D9" w:sz="8" w:space="0"/>
              <w:bottom w:val="single" w:color="DCDDDE" w:sz="4" w:space="0"/>
            </w:tcBorders>
          </w:tcPr>
          <w:p w:rsidR="00C31389" w:rsidRDefault="00561FBD" w14:paraId="33021B66" w14:textId="77777777">
            <w:pPr>
              <w:pStyle w:val="TableParagraph"/>
              <w:ind w:left="100" w:right="9"/>
              <w:jc w:val="center"/>
              <w:rPr>
                <w:sz w:val="17"/>
              </w:rPr>
            </w:pPr>
            <w:r>
              <w:rPr>
                <w:spacing w:val="-4"/>
                <w:sz w:val="17"/>
              </w:rPr>
              <w:t>38.0</w:t>
            </w:r>
          </w:p>
        </w:tc>
        <w:tc>
          <w:tcPr>
            <w:tcW w:w="631" w:type="dxa"/>
            <w:tcBorders>
              <w:top w:val="single" w:color="D9D9D9" w:sz="8" w:space="0"/>
              <w:bottom w:val="single" w:color="DCDDDE" w:sz="4" w:space="0"/>
            </w:tcBorders>
          </w:tcPr>
          <w:p w:rsidR="00C31389" w:rsidRDefault="00561FBD" w14:paraId="72E1E4A1" w14:textId="77777777">
            <w:pPr>
              <w:pStyle w:val="TableParagraph"/>
              <w:ind w:right="116"/>
              <w:jc w:val="right"/>
              <w:rPr>
                <w:sz w:val="17"/>
              </w:rPr>
            </w:pPr>
            <w:r>
              <w:rPr>
                <w:spacing w:val="-4"/>
                <w:sz w:val="17"/>
              </w:rPr>
              <w:t>39.5</w:t>
            </w:r>
          </w:p>
        </w:tc>
        <w:tc>
          <w:tcPr>
            <w:tcW w:w="631" w:type="dxa"/>
            <w:tcBorders>
              <w:top w:val="single" w:color="D9D9D9" w:sz="8" w:space="0"/>
              <w:bottom w:val="single" w:color="DCDDDE" w:sz="4" w:space="0"/>
            </w:tcBorders>
          </w:tcPr>
          <w:p w:rsidR="00C31389" w:rsidRDefault="00561FBD" w14:paraId="5F0CE6C1" w14:textId="77777777">
            <w:pPr>
              <w:pStyle w:val="TableParagraph"/>
              <w:ind w:right="117"/>
              <w:jc w:val="right"/>
              <w:rPr>
                <w:sz w:val="17"/>
              </w:rPr>
            </w:pPr>
            <w:r>
              <w:rPr>
                <w:spacing w:val="-4"/>
                <w:sz w:val="17"/>
              </w:rPr>
              <w:t>41.0</w:t>
            </w:r>
          </w:p>
        </w:tc>
        <w:tc>
          <w:tcPr>
            <w:tcW w:w="631" w:type="dxa"/>
            <w:tcBorders>
              <w:top w:val="single" w:color="D9D9D9" w:sz="8" w:space="0"/>
              <w:bottom w:val="single" w:color="DCDDDE" w:sz="4" w:space="0"/>
            </w:tcBorders>
          </w:tcPr>
          <w:p w:rsidR="00C31389" w:rsidRDefault="00561FBD" w14:paraId="0CFD541B" w14:textId="77777777">
            <w:pPr>
              <w:pStyle w:val="TableParagraph"/>
              <w:ind w:right="118"/>
              <w:jc w:val="right"/>
              <w:rPr>
                <w:sz w:val="17"/>
              </w:rPr>
            </w:pPr>
            <w:r>
              <w:rPr>
                <w:spacing w:val="-4"/>
                <w:sz w:val="17"/>
              </w:rPr>
              <w:t>42.6</w:t>
            </w:r>
          </w:p>
        </w:tc>
        <w:tc>
          <w:tcPr>
            <w:tcW w:w="631" w:type="dxa"/>
            <w:tcBorders>
              <w:top w:val="single" w:color="D9D9D9" w:sz="8" w:space="0"/>
              <w:bottom w:val="single" w:color="DCDDDE" w:sz="4" w:space="0"/>
            </w:tcBorders>
          </w:tcPr>
          <w:p w:rsidR="00C31389" w:rsidRDefault="00561FBD" w14:paraId="6D90490D" w14:textId="77777777">
            <w:pPr>
              <w:pStyle w:val="TableParagraph"/>
              <w:ind w:right="119"/>
              <w:jc w:val="right"/>
              <w:rPr>
                <w:sz w:val="17"/>
              </w:rPr>
            </w:pPr>
            <w:r>
              <w:rPr>
                <w:spacing w:val="-4"/>
                <w:sz w:val="17"/>
              </w:rPr>
              <w:t>44.4</w:t>
            </w:r>
          </w:p>
        </w:tc>
        <w:tc>
          <w:tcPr>
            <w:tcW w:w="631" w:type="dxa"/>
            <w:tcBorders>
              <w:top w:val="single" w:color="D9D9D9" w:sz="8" w:space="0"/>
              <w:bottom w:val="single" w:color="DCDDDE" w:sz="4" w:space="0"/>
            </w:tcBorders>
          </w:tcPr>
          <w:p w:rsidR="00C31389" w:rsidRDefault="00561FBD" w14:paraId="534F6F3C" w14:textId="77777777">
            <w:pPr>
              <w:pStyle w:val="TableParagraph"/>
              <w:ind w:right="120"/>
              <w:jc w:val="right"/>
              <w:rPr>
                <w:sz w:val="17"/>
              </w:rPr>
            </w:pPr>
            <w:r>
              <w:rPr>
                <w:spacing w:val="-4"/>
                <w:sz w:val="17"/>
              </w:rPr>
              <w:t>46.2</w:t>
            </w:r>
          </w:p>
        </w:tc>
        <w:tc>
          <w:tcPr>
            <w:tcW w:w="631" w:type="dxa"/>
            <w:tcBorders>
              <w:top w:val="single" w:color="D9D9D9" w:sz="8" w:space="0"/>
              <w:bottom w:val="single" w:color="DCDDDE" w:sz="4" w:space="0"/>
            </w:tcBorders>
          </w:tcPr>
          <w:p w:rsidR="00C31389" w:rsidRDefault="00561FBD" w14:paraId="296B1FD9" w14:textId="77777777">
            <w:pPr>
              <w:pStyle w:val="TableParagraph"/>
              <w:ind w:right="121"/>
              <w:jc w:val="right"/>
              <w:rPr>
                <w:sz w:val="17"/>
              </w:rPr>
            </w:pPr>
            <w:r>
              <w:rPr>
                <w:spacing w:val="-4"/>
                <w:sz w:val="17"/>
              </w:rPr>
              <w:t>48.1</w:t>
            </w:r>
          </w:p>
        </w:tc>
        <w:tc>
          <w:tcPr>
            <w:tcW w:w="642" w:type="dxa"/>
            <w:tcBorders>
              <w:top w:val="single" w:color="D9D9D9" w:sz="8" w:space="0"/>
              <w:bottom w:val="single" w:color="DCDDDE" w:sz="4" w:space="0"/>
            </w:tcBorders>
          </w:tcPr>
          <w:p w:rsidR="00C31389" w:rsidRDefault="00561FBD" w14:paraId="0DB19383" w14:textId="77777777">
            <w:pPr>
              <w:pStyle w:val="TableParagraph"/>
              <w:ind w:right="133"/>
              <w:jc w:val="right"/>
              <w:rPr>
                <w:sz w:val="17"/>
              </w:rPr>
            </w:pPr>
            <w:r>
              <w:rPr>
                <w:spacing w:val="-4"/>
                <w:sz w:val="17"/>
              </w:rPr>
              <w:t>50.0</w:t>
            </w:r>
          </w:p>
        </w:tc>
        <w:tc>
          <w:tcPr>
            <w:tcW w:w="631" w:type="dxa"/>
            <w:tcBorders>
              <w:top w:val="single" w:color="D9D9D9" w:sz="8" w:space="0"/>
              <w:bottom w:val="single" w:color="DCDDDE" w:sz="4" w:space="0"/>
            </w:tcBorders>
          </w:tcPr>
          <w:p w:rsidR="00C31389" w:rsidRDefault="00561FBD" w14:paraId="7074CD99" w14:textId="77777777">
            <w:pPr>
              <w:pStyle w:val="TableParagraph"/>
              <w:ind w:right="134"/>
              <w:jc w:val="right"/>
              <w:rPr>
                <w:sz w:val="17"/>
              </w:rPr>
            </w:pPr>
            <w:r>
              <w:rPr>
                <w:spacing w:val="-4"/>
                <w:sz w:val="17"/>
              </w:rPr>
              <w:t>51.1</w:t>
            </w:r>
          </w:p>
        </w:tc>
        <w:tc>
          <w:tcPr>
            <w:tcW w:w="613" w:type="dxa"/>
            <w:tcBorders>
              <w:top w:val="single" w:color="D9D9D9" w:sz="8" w:space="0"/>
              <w:bottom w:val="single" w:color="DCDDDE" w:sz="4" w:space="0"/>
            </w:tcBorders>
          </w:tcPr>
          <w:p w:rsidR="00C31389" w:rsidRDefault="00561FBD" w14:paraId="4C004B96" w14:textId="77777777">
            <w:pPr>
              <w:pStyle w:val="TableParagraph"/>
              <w:ind w:right="117"/>
              <w:jc w:val="right"/>
              <w:rPr>
                <w:sz w:val="17"/>
              </w:rPr>
            </w:pPr>
            <w:r>
              <w:rPr>
                <w:spacing w:val="-4"/>
                <w:sz w:val="17"/>
              </w:rPr>
              <w:t>53.3</w:t>
            </w:r>
          </w:p>
        </w:tc>
      </w:tr>
      <w:tr w:rsidR="00C31389" w14:paraId="18F18BED"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0D267F62" w14:textId="77777777">
            <w:pPr>
              <w:pStyle w:val="TableParagraph"/>
              <w:ind w:left="121"/>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35CC8139" w14:textId="77777777">
        <w:trPr>
          <w:trHeight w:val="471"/>
        </w:trPr>
        <w:tc>
          <w:tcPr>
            <w:tcW w:w="1514" w:type="dxa"/>
            <w:tcBorders>
              <w:top w:val="single" w:color="DCDDDE" w:sz="4" w:space="0"/>
              <w:bottom w:val="single" w:color="DCDDDE" w:sz="4" w:space="0"/>
            </w:tcBorders>
          </w:tcPr>
          <w:p w:rsidR="00C31389" w:rsidRDefault="00561FBD" w14:paraId="0591B4DB" w14:textId="77777777">
            <w:pPr>
              <w:pStyle w:val="TableParagraph"/>
              <w:spacing w:before="39"/>
              <w:ind w:left="121" w:right="383"/>
              <w:rPr>
                <w:sz w:val="17"/>
              </w:rPr>
            </w:pPr>
            <w:r>
              <w:rPr>
                <w:sz w:val="17"/>
              </w:rPr>
              <w:t>w/</w:t>
            </w:r>
            <w:r>
              <w:rPr>
                <w:spacing w:val="-12"/>
                <w:sz w:val="17"/>
              </w:rPr>
              <w:t xml:space="preserve"> </w:t>
            </w:r>
            <w:r>
              <w:rPr>
                <w:sz w:val="17"/>
              </w:rPr>
              <w:t xml:space="preserve">Interactive </w:t>
            </w:r>
            <w:r>
              <w:rPr>
                <w:spacing w:val="-2"/>
                <w:sz w:val="17"/>
              </w:rPr>
              <w:t>Effects</w:t>
            </w:r>
          </w:p>
        </w:tc>
        <w:tc>
          <w:tcPr>
            <w:tcW w:w="830" w:type="dxa"/>
            <w:tcBorders>
              <w:top w:val="single" w:color="DCDDDE" w:sz="4" w:space="0"/>
              <w:bottom w:val="single" w:color="DCDDDE" w:sz="4" w:space="0"/>
            </w:tcBorders>
          </w:tcPr>
          <w:p w:rsidR="00C31389" w:rsidRDefault="00561FBD" w14:paraId="41D3DA0D" w14:textId="77777777">
            <w:pPr>
              <w:pStyle w:val="TableParagraph"/>
              <w:spacing w:before="139"/>
              <w:ind w:right="169"/>
              <w:jc w:val="right"/>
              <w:rPr>
                <w:sz w:val="17"/>
              </w:rPr>
            </w:pPr>
            <w:r>
              <w:rPr>
                <w:spacing w:val="-2"/>
                <w:sz w:val="17"/>
              </w:rPr>
              <w:t>201.9</w:t>
            </w:r>
          </w:p>
        </w:tc>
        <w:tc>
          <w:tcPr>
            <w:tcW w:w="712" w:type="dxa"/>
            <w:tcBorders>
              <w:top w:val="single" w:color="DCDDDE" w:sz="4" w:space="0"/>
              <w:bottom w:val="single" w:color="DCDDDE" w:sz="4" w:space="0"/>
            </w:tcBorders>
          </w:tcPr>
          <w:p w:rsidR="00C31389" w:rsidRDefault="00561FBD" w14:paraId="7760E9CE" w14:textId="77777777">
            <w:pPr>
              <w:pStyle w:val="TableParagraph"/>
              <w:spacing w:before="139"/>
              <w:ind w:right="114"/>
              <w:jc w:val="right"/>
              <w:rPr>
                <w:sz w:val="17"/>
              </w:rPr>
            </w:pPr>
            <w:r>
              <w:rPr>
                <w:spacing w:val="-2"/>
                <w:sz w:val="17"/>
              </w:rPr>
              <w:t>184.7</w:t>
            </w:r>
          </w:p>
        </w:tc>
        <w:tc>
          <w:tcPr>
            <w:tcW w:w="657" w:type="dxa"/>
            <w:tcBorders>
              <w:top w:val="single" w:color="DCDDDE" w:sz="4" w:space="0"/>
              <w:bottom w:val="single" w:color="DCDDDE" w:sz="4" w:space="0"/>
            </w:tcBorders>
          </w:tcPr>
          <w:p w:rsidR="00C31389" w:rsidRDefault="00561FBD" w14:paraId="5BF66FCE" w14:textId="77777777">
            <w:pPr>
              <w:pStyle w:val="TableParagraph"/>
              <w:spacing w:before="139"/>
              <w:ind w:left="100" w:right="101"/>
              <w:jc w:val="center"/>
              <w:rPr>
                <w:sz w:val="17"/>
              </w:rPr>
            </w:pPr>
            <w:r>
              <w:rPr>
                <w:spacing w:val="-2"/>
                <w:sz w:val="17"/>
              </w:rPr>
              <w:t>180.7</w:t>
            </w:r>
          </w:p>
        </w:tc>
        <w:tc>
          <w:tcPr>
            <w:tcW w:w="631" w:type="dxa"/>
            <w:tcBorders>
              <w:top w:val="single" w:color="DCDDDE" w:sz="4" w:space="0"/>
              <w:bottom w:val="single" w:color="DCDDDE" w:sz="4" w:space="0"/>
            </w:tcBorders>
          </w:tcPr>
          <w:p w:rsidR="00C31389" w:rsidRDefault="00561FBD" w14:paraId="182C284D" w14:textId="77777777">
            <w:pPr>
              <w:pStyle w:val="TableParagraph"/>
              <w:spacing w:before="143"/>
              <w:ind w:right="116"/>
              <w:jc w:val="right"/>
              <w:rPr>
                <w:sz w:val="16"/>
              </w:rPr>
            </w:pPr>
            <w:r>
              <w:rPr>
                <w:spacing w:val="-2"/>
                <w:sz w:val="16"/>
              </w:rPr>
              <w:t>165.9</w:t>
            </w:r>
          </w:p>
        </w:tc>
        <w:tc>
          <w:tcPr>
            <w:tcW w:w="631" w:type="dxa"/>
            <w:tcBorders>
              <w:top w:val="single" w:color="DCDDDE" w:sz="4" w:space="0"/>
              <w:bottom w:val="single" w:color="DCDDDE" w:sz="4" w:space="0"/>
            </w:tcBorders>
          </w:tcPr>
          <w:p w:rsidR="00C31389" w:rsidRDefault="00561FBD" w14:paraId="7112CC1D" w14:textId="77777777">
            <w:pPr>
              <w:pStyle w:val="TableParagraph"/>
              <w:spacing w:before="143"/>
              <w:ind w:right="117"/>
              <w:jc w:val="right"/>
              <w:rPr>
                <w:sz w:val="16"/>
              </w:rPr>
            </w:pPr>
            <w:r>
              <w:rPr>
                <w:spacing w:val="-2"/>
                <w:sz w:val="16"/>
              </w:rPr>
              <w:t>157.8</w:t>
            </w:r>
          </w:p>
        </w:tc>
        <w:tc>
          <w:tcPr>
            <w:tcW w:w="631" w:type="dxa"/>
            <w:tcBorders>
              <w:top w:val="single" w:color="DCDDDE" w:sz="4" w:space="0"/>
              <w:bottom w:val="single" w:color="DCDDDE" w:sz="4" w:space="0"/>
            </w:tcBorders>
          </w:tcPr>
          <w:p w:rsidR="00C31389" w:rsidRDefault="00561FBD" w14:paraId="792D72F0" w14:textId="77777777">
            <w:pPr>
              <w:pStyle w:val="TableParagraph"/>
              <w:spacing w:before="143"/>
              <w:ind w:right="118"/>
              <w:jc w:val="right"/>
              <w:rPr>
                <w:sz w:val="16"/>
              </w:rPr>
            </w:pPr>
            <w:r>
              <w:rPr>
                <w:spacing w:val="-2"/>
                <w:sz w:val="16"/>
              </w:rPr>
              <w:t>132.0</w:t>
            </w:r>
          </w:p>
        </w:tc>
        <w:tc>
          <w:tcPr>
            <w:tcW w:w="631" w:type="dxa"/>
            <w:tcBorders>
              <w:top w:val="single" w:color="DCDDDE" w:sz="4" w:space="0"/>
              <w:bottom w:val="single" w:color="DCDDDE" w:sz="4" w:space="0"/>
            </w:tcBorders>
          </w:tcPr>
          <w:p w:rsidR="00C31389" w:rsidRDefault="00561FBD" w14:paraId="5F9F4B82" w14:textId="77777777">
            <w:pPr>
              <w:pStyle w:val="TableParagraph"/>
              <w:spacing w:before="143"/>
              <w:ind w:right="119"/>
              <w:jc w:val="right"/>
              <w:rPr>
                <w:sz w:val="16"/>
              </w:rPr>
            </w:pPr>
            <w:r>
              <w:rPr>
                <w:spacing w:val="-2"/>
                <w:sz w:val="16"/>
              </w:rPr>
              <w:t>123.2</w:t>
            </w:r>
          </w:p>
        </w:tc>
        <w:tc>
          <w:tcPr>
            <w:tcW w:w="631" w:type="dxa"/>
            <w:tcBorders>
              <w:top w:val="single" w:color="DCDDDE" w:sz="4" w:space="0"/>
              <w:bottom w:val="single" w:color="DCDDDE" w:sz="4" w:space="0"/>
            </w:tcBorders>
          </w:tcPr>
          <w:p w:rsidR="00C31389" w:rsidRDefault="00561FBD" w14:paraId="7D20B0D6" w14:textId="77777777">
            <w:pPr>
              <w:pStyle w:val="TableParagraph"/>
              <w:spacing w:before="143"/>
              <w:ind w:right="120"/>
              <w:jc w:val="right"/>
              <w:rPr>
                <w:sz w:val="16"/>
              </w:rPr>
            </w:pPr>
            <w:r>
              <w:rPr>
                <w:spacing w:val="-2"/>
                <w:sz w:val="16"/>
              </w:rPr>
              <w:t>118.3</w:t>
            </w:r>
          </w:p>
        </w:tc>
        <w:tc>
          <w:tcPr>
            <w:tcW w:w="631" w:type="dxa"/>
            <w:tcBorders>
              <w:top w:val="single" w:color="DCDDDE" w:sz="4" w:space="0"/>
              <w:bottom w:val="single" w:color="DCDDDE" w:sz="4" w:space="0"/>
            </w:tcBorders>
          </w:tcPr>
          <w:p w:rsidR="00C31389" w:rsidRDefault="00561FBD" w14:paraId="6A2CF02F" w14:textId="77777777">
            <w:pPr>
              <w:pStyle w:val="TableParagraph"/>
              <w:spacing w:before="143"/>
              <w:ind w:right="121"/>
              <w:jc w:val="right"/>
              <w:rPr>
                <w:sz w:val="16"/>
              </w:rPr>
            </w:pPr>
            <w:r>
              <w:rPr>
                <w:spacing w:val="-2"/>
                <w:sz w:val="16"/>
              </w:rPr>
              <w:t>110.0</w:t>
            </w:r>
          </w:p>
        </w:tc>
        <w:tc>
          <w:tcPr>
            <w:tcW w:w="642" w:type="dxa"/>
            <w:tcBorders>
              <w:top w:val="single" w:color="DCDDDE" w:sz="4" w:space="0"/>
              <w:bottom w:val="single" w:color="DCDDDE" w:sz="4" w:space="0"/>
            </w:tcBorders>
          </w:tcPr>
          <w:p w:rsidR="00C31389" w:rsidRDefault="00561FBD" w14:paraId="59073163" w14:textId="77777777">
            <w:pPr>
              <w:pStyle w:val="TableParagraph"/>
              <w:spacing w:before="143"/>
              <w:ind w:right="133"/>
              <w:jc w:val="right"/>
              <w:rPr>
                <w:sz w:val="16"/>
              </w:rPr>
            </w:pPr>
            <w:r>
              <w:rPr>
                <w:spacing w:val="-2"/>
                <w:sz w:val="16"/>
              </w:rPr>
              <w:t>104.3</w:t>
            </w:r>
          </w:p>
        </w:tc>
        <w:tc>
          <w:tcPr>
            <w:tcW w:w="631" w:type="dxa"/>
            <w:tcBorders>
              <w:top w:val="single" w:color="DCDDDE" w:sz="4" w:space="0"/>
              <w:bottom w:val="single" w:color="DCDDDE" w:sz="4" w:space="0"/>
            </w:tcBorders>
          </w:tcPr>
          <w:p w:rsidR="00C31389" w:rsidRDefault="00561FBD" w14:paraId="03FE758A" w14:textId="77777777">
            <w:pPr>
              <w:pStyle w:val="TableParagraph"/>
              <w:spacing w:before="139"/>
              <w:ind w:right="134"/>
              <w:jc w:val="right"/>
              <w:rPr>
                <w:sz w:val="17"/>
              </w:rPr>
            </w:pPr>
            <w:r>
              <w:rPr>
                <w:spacing w:val="-4"/>
                <w:sz w:val="17"/>
              </w:rPr>
              <w:t>94.0</w:t>
            </w:r>
          </w:p>
        </w:tc>
        <w:tc>
          <w:tcPr>
            <w:tcW w:w="613" w:type="dxa"/>
            <w:tcBorders>
              <w:top w:val="single" w:color="DCDDDE" w:sz="4" w:space="0"/>
              <w:bottom w:val="single" w:color="DCDDDE" w:sz="4" w:space="0"/>
            </w:tcBorders>
          </w:tcPr>
          <w:p w:rsidR="00C31389" w:rsidRDefault="00561FBD" w14:paraId="53EFE90D" w14:textId="77777777">
            <w:pPr>
              <w:pStyle w:val="TableParagraph"/>
              <w:spacing w:before="139"/>
              <w:ind w:right="117"/>
              <w:jc w:val="right"/>
              <w:rPr>
                <w:sz w:val="17"/>
              </w:rPr>
            </w:pPr>
            <w:r>
              <w:rPr>
                <w:spacing w:val="-4"/>
                <w:sz w:val="17"/>
              </w:rPr>
              <w:t>89.5</w:t>
            </w:r>
          </w:p>
        </w:tc>
      </w:tr>
      <w:tr w:rsidR="00C31389" w14:paraId="156CD225" w14:textId="77777777">
        <w:trPr>
          <w:trHeight w:val="471"/>
        </w:trPr>
        <w:tc>
          <w:tcPr>
            <w:tcW w:w="1514" w:type="dxa"/>
            <w:tcBorders>
              <w:top w:val="single" w:color="DCDDDE" w:sz="4" w:space="0"/>
              <w:bottom w:val="single" w:color="545658" w:sz="8" w:space="0"/>
            </w:tcBorders>
          </w:tcPr>
          <w:p w:rsidR="00C31389" w:rsidRDefault="00561FBD" w14:paraId="018637F6" w14:textId="77777777">
            <w:pPr>
              <w:pStyle w:val="TableParagraph"/>
              <w:spacing w:before="39"/>
              <w:ind w:left="121" w:right="288"/>
              <w:rPr>
                <w:sz w:val="17"/>
              </w:rPr>
            </w:pPr>
            <w:r>
              <w:rPr>
                <w:sz w:val="17"/>
              </w:rPr>
              <w:t>w/o</w:t>
            </w:r>
            <w:r>
              <w:rPr>
                <w:spacing w:val="-12"/>
                <w:sz w:val="17"/>
              </w:rPr>
              <w:t xml:space="preserve"> </w:t>
            </w:r>
            <w:r>
              <w:rPr>
                <w:sz w:val="17"/>
              </w:rPr>
              <w:t xml:space="preserve">Interactive </w:t>
            </w:r>
            <w:r>
              <w:rPr>
                <w:spacing w:val="-2"/>
                <w:sz w:val="17"/>
              </w:rPr>
              <w:t>Effects</w:t>
            </w:r>
          </w:p>
        </w:tc>
        <w:tc>
          <w:tcPr>
            <w:tcW w:w="830" w:type="dxa"/>
            <w:tcBorders>
              <w:top w:val="single" w:color="DCDDDE" w:sz="4" w:space="0"/>
              <w:bottom w:val="single" w:color="545658" w:sz="8" w:space="0"/>
            </w:tcBorders>
          </w:tcPr>
          <w:p w:rsidR="00C31389" w:rsidRDefault="00561FBD" w14:paraId="151D7A16" w14:textId="77777777">
            <w:pPr>
              <w:pStyle w:val="TableParagraph"/>
              <w:spacing w:before="138"/>
              <w:ind w:right="169"/>
              <w:jc w:val="right"/>
              <w:rPr>
                <w:sz w:val="17"/>
              </w:rPr>
            </w:pPr>
            <w:r>
              <w:rPr>
                <w:spacing w:val="-2"/>
                <w:sz w:val="17"/>
              </w:rPr>
              <w:t>195.4</w:t>
            </w:r>
          </w:p>
        </w:tc>
        <w:tc>
          <w:tcPr>
            <w:tcW w:w="712" w:type="dxa"/>
            <w:tcBorders>
              <w:top w:val="single" w:color="DCDDDE" w:sz="4" w:space="0"/>
              <w:bottom w:val="single" w:color="545658" w:sz="8" w:space="0"/>
            </w:tcBorders>
          </w:tcPr>
          <w:p w:rsidR="00C31389" w:rsidRDefault="00561FBD" w14:paraId="26E16DCB" w14:textId="77777777">
            <w:pPr>
              <w:pStyle w:val="TableParagraph"/>
              <w:spacing w:before="138"/>
              <w:ind w:right="114"/>
              <w:jc w:val="right"/>
              <w:rPr>
                <w:sz w:val="17"/>
              </w:rPr>
            </w:pPr>
            <w:r>
              <w:rPr>
                <w:spacing w:val="-2"/>
                <w:sz w:val="17"/>
              </w:rPr>
              <w:t>178.4</w:t>
            </w:r>
          </w:p>
        </w:tc>
        <w:tc>
          <w:tcPr>
            <w:tcW w:w="657" w:type="dxa"/>
            <w:tcBorders>
              <w:top w:val="single" w:color="DCDDDE" w:sz="4" w:space="0"/>
              <w:bottom w:val="single" w:color="545658" w:sz="8" w:space="0"/>
            </w:tcBorders>
          </w:tcPr>
          <w:p w:rsidR="00C31389" w:rsidRDefault="00561FBD" w14:paraId="313DD4E2" w14:textId="77777777">
            <w:pPr>
              <w:pStyle w:val="TableParagraph"/>
              <w:spacing w:before="138"/>
              <w:ind w:left="100" w:right="101"/>
              <w:jc w:val="center"/>
              <w:rPr>
                <w:sz w:val="17"/>
              </w:rPr>
            </w:pPr>
            <w:r>
              <w:rPr>
                <w:spacing w:val="-2"/>
                <w:sz w:val="17"/>
              </w:rPr>
              <w:t>174.5</w:t>
            </w:r>
          </w:p>
        </w:tc>
        <w:tc>
          <w:tcPr>
            <w:tcW w:w="631" w:type="dxa"/>
            <w:tcBorders>
              <w:top w:val="single" w:color="DCDDDE" w:sz="4" w:space="0"/>
              <w:bottom w:val="single" w:color="545658" w:sz="8" w:space="0"/>
            </w:tcBorders>
          </w:tcPr>
          <w:p w:rsidR="00C31389" w:rsidRDefault="00561FBD" w14:paraId="2C1CB2EA" w14:textId="77777777">
            <w:pPr>
              <w:pStyle w:val="TableParagraph"/>
              <w:spacing w:before="143"/>
              <w:ind w:right="116"/>
              <w:jc w:val="right"/>
              <w:rPr>
                <w:sz w:val="16"/>
              </w:rPr>
            </w:pPr>
            <w:r>
              <w:rPr>
                <w:spacing w:val="-2"/>
                <w:sz w:val="16"/>
              </w:rPr>
              <w:t>161.3</w:t>
            </w:r>
          </w:p>
        </w:tc>
        <w:tc>
          <w:tcPr>
            <w:tcW w:w="631" w:type="dxa"/>
            <w:tcBorders>
              <w:top w:val="single" w:color="DCDDDE" w:sz="4" w:space="0"/>
              <w:bottom w:val="single" w:color="545658" w:sz="8" w:space="0"/>
            </w:tcBorders>
          </w:tcPr>
          <w:p w:rsidR="00C31389" w:rsidRDefault="00561FBD" w14:paraId="64087DCE" w14:textId="77777777">
            <w:pPr>
              <w:pStyle w:val="TableParagraph"/>
              <w:spacing w:before="143"/>
              <w:ind w:right="117"/>
              <w:jc w:val="right"/>
              <w:rPr>
                <w:sz w:val="16"/>
              </w:rPr>
            </w:pPr>
            <w:r>
              <w:rPr>
                <w:spacing w:val="-2"/>
                <w:sz w:val="16"/>
              </w:rPr>
              <w:t>153.3</w:t>
            </w:r>
          </w:p>
        </w:tc>
        <w:tc>
          <w:tcPr>
            <w:tcW w:w="631" w:type="dxa"/>
            <w:tcBorders>
              <w:top w:val="single" w:color="DCDDDE" w:sz="4" w:space="0"/>
              <w:bottom w:val="single" w:color="545658" w:sz="8" w:space="0"/>
            </w:tcBorders>
          </w:tcPr>
          <w:p w:rsidR="00C31389" w:rsidRDefault="00561FBD" w14:paraId="34CF3246" w14:textId="77777777">
            <w:pPr>
              <w:pStyle w:val="TableParagraph"/>
              <w:spacing w:before="143"/>
              <w:ind w:right="118"/>
              <w:jc w:val="right"/>
              <w:rPr>
                <w:sz w:val="16"/>
              </w:rPr>
            </w:pPr>
            <w:r>
              <w:rPr>
                <w:spacing w:val="-2"/>
                <w:sz w:val="16"/>
              </w:rPr>
              <w:t>130.6</w:t>
            </w:r>
          </w:p>
        </w:tc>
        <w:tc>
          <w:tcPr>
            <w:tcW w:w="631" w:type="dxa"/>
            <w:tcBorders>
              <w:top w:val="single" w:color="DCDDDE" w:sz="4" w:space="0"/>
              <w:bottom w:val="single" w:color="545658" w:sz="8" w:space="0"/>
            </w:tcBorders>
          </w:tcPr>
          <w:p w:rsidR="00C31389" w:rsidRDefault="00561FBD" w14:paraId="0BC86EEA" w14:textId="77777777">
            <w:pPr>
              <w:pStyle w:val="TableParagraph"/>
              <w:spacing w:before="143"/>
              <w:ind w:right="119"/>
              <w:jc w:val="right"/>
              <w:rPr>
                <w:sz w:val="16"/>
              </w:rPr>
            </w:pPr>
            <w:r>
              <w:rPr>
                <w:spacing w:val="-2"/>
                <w:sz w:val="16"/>
              </w:rPr>
              <w:t>122.5</w:t>
            </w:r>
          </w:p>
        </w:tc>
        <w:tc>
          <w:tcPr>
            <w:tcW w:w="631" w:type="dxa"/>
            <w:tcBorders>
              <w:top w:val="single" w:color="DCDDDE" w:sz="4" w:space="0"/>
              <w:bottom w:val="single" w:color="545658" w:sz="8" w:space="0"/>
            </w:tcBorders>
          </w:tcPr>
          <w:p w:rsidR="00C31389" w:rsidRDefault="00561FBD" w14:paraId="2353C56D" w14:textId="77777777">
            <w:pPr>
              <w:pStyle w:val="TableParagraph"/>
              <w:spacing w:before="143"/>
              <w:ind w:right="120"/>
              <w:jc w:val="right"/>
              <w:rPr>
                <w:sz w:val="16"/>
              </w:rPr>
            </w:pPr>
            <w:r>
              <w:rPr>
                <w:spacing w:val="-2"/>
                <w:sz w:val="16"/>
              </w:rPr>
              <w:t>117.7</w:t>
            </w:r>
          </w:p>
        </w:tc>
        <w:tc>
          <w:tcPr>
            <w:tcW w:w="631" w:type="dxa"/>
            <w:tcBorders>
              <w:top w:val="single" w:color="DCDDDE" w:sz="4" w:space="0"/>
              <w:bottom w:val="single" w:color="545658" w:sz="8" w:space="0"/>
            </w:tcBorders>
          </w:tcPr>
          <w:p w:rsidR="00C31389" w:rsidRDefault="00561FBD" w14:paraId="5FC9A5D6" w14:textId="77777777">
            <w:pPr>
              <w:pStyle w:val="TableParagraph"/>
              <w:spacing w:before="143"/>
              <w:ind w:right="121"/>
              <w:jc w:val="right"/>
              <w:rPr>
                <w:sz w:val="16"/>
              </w:rPr>
            </w:pPr>
            <w:r>
              <w:rPr>
                <w:spacing w:val="-2"/>
                <w:sz w:val="16"/>
              </w:rPr>
              <w:t>109.5</w:t>
            </w:r>
          </w:p>
        </w:tc>
        <w:tc>
          <w:tcPr>
            <w:tcW w:w="642" w:type="dxa"/>
            <w:tcBorders>
              <w:top w:val="single" w:color="DCDDDE" w:sz="4" w:space="0"/>
              <w:bottom w:val="single" w:color="545658" w:sz="8" w:space="0"/>
            </w:tcBorders>
          </w:tcPr>
          <w:p w:rsidR="00C31389" w:rsidRDefault="00561FBD" w14:paraId="55EBE845" w14:textId="77777777">
            <w:pPr>
              <w:pStyle w:val="TableParagraph"/>
              <w:spacing w:before="143"/>
              <w:ind w:right="133"/>
              <w:jc w:val="right"/>
              <w:rPr>
                <w:sz w:val="16"/>
              </w:rPr>
            </w:pPr>
            <w:r>
              <w:rPr>
                <w:spacing w:val="-2"/>
                <w:sz w:val="16"/>
              </w:rPr>
              <w:t>103.8</w:t>
            </w:r>
          </w:p>
        </w:tc>
        <w:tc>
          <w:tcPr>
            <w:tcW w:w="631" w:type="dxa"/>
            <w:tcBorders>
              <w:top w:val="single" w:color="DCDDDE" w:sz="4" w:space="0"/>
              <w:bottom w:val="single" w:color="545658" w:sz="8" w:space="0"/>
            </w:tcBorders>
          </w:tcPr>
          <w:p w:rsidR="00C31389" w:rsidRDefault="00561FBD" w14:paraId="563A7DA0" w14:textId="77777777">
            <w:pPr>
              <w:pStyle w:val="TableParagraph"/>
              <w:spacing w:before="138"/>
              <w:ind w:right="134"/>
              <w:jc w:val="right"/>
              <w:rPr>
                <w:sz w:val="17"/>
              </w:rPr>
            </w:pPr>
            <w:r>
              <w:rPr>
                <w:spacing w:val="-4"/>
                <w:sz w:val="17"/>
              </w:rPr>
              <w:t>93.4</w:t>
            </w:r>
          </w:p>
        </w:tc>
        <w:tc>
          <w:tcPr>
            <w:tcW w:w="613" w:type="dxa"/>
            <w:tcBorders>
              <w:top w:val="single" w:color="DCDDDE" w:sz="4" w:space="0"/>
              <w:bottom w:val="single" w:color="545658" w:sz="8" w:space="0"/>
            </w:tcBorders>
          </w:tcPr>
          <w:p w:rsidR="00C31389" w:rsidRDefault="00561FBD" w14:paraId="1CF245CF" w14:textId="77777777">
            <w:pPr>
              <w:pStyle w:val="TableParagraph"/>
              <w:spacing w:before="138"/>
              <w:ind w:right="117"/>
              <w:jc w:val="right"/>
              <w:rPr>
                <w:sz w:val="17"/>
              </w:rPr>
            </w:pPr>
            <w:r>
              <w:rPr>
                <w:spacing w:val="-4"/>
                <w:sz w:val="17"/>
              </w:rPr>
              <w:t>88.9</w:t>
            </w:r>
          </w:p>
        </w:tc>
      </w:tr>
    </w:tbl>
    <w:p w:rsidR="00C31389" w:rsidRDefault="00561FBD" w14:paraId="0AC694E9" w14:textId="77777777">
      <w:pPr>
        <w:spacing w:before="78"/>
        <w:ind w:left="220"/>
        <w:rPr>
          <w:i/>
          <w:sz w:val="18"/>
        </w:rPr>
      </w:pPr>
      <w:r>
        <w:rPr>
          <w:i/>
          <w:sz w:val="18"/>
        </w:rPr>
        <w:t>Source:</w:t>
      </w:r>
      <w:r>
        <w:rPr>
          <w:i/>
          <w:spacing w:val="-4"/>
          <w:sz w:val="18"/>
        </w:rPr>
        <w:t xml:space="preserve"> </w:t>
      </w:r>
      <w:r>
        <w:rPr>
          <w:i/>
          <w:spacing w:val="-2"/>
          <w:sz w:val="18"/>
        </w:rPr>
        <w:t>Guidehouse</w:t>
      </w:r>
    </w:p>
    <w:p w:rsidR="00C31389" w:rsidRDefault="00C31389" w14:paraId="7F4B5C59" w14:textId="77777777">
      <w:pPr>
        <w:pStyle w:val="BodyText"/>
        <w:rPr>
          <w:i/>
          <w:sz w:val="20"/>
        </w:rPr>
      </w:pPr>
    </w:p>
    <w:p w:rsidR="00C31389" w:rsidRDefault="00C31389" w14:paraId="0922BAE5" w14:textId="77777777">
      <w:pPr>
        <w:pStyle w:val="BodyText"/>
        <w:spacing w:before="10"/>
        <w:rPr>
          <w:i/>
          <w:sz w:val="18"/>
        </w:rPr>
      </w:pPr>
    </w:p>
    <w:p w:rsidR="00C31389" w:rsidRDefault="00561FBD" w14:paraId="1468A0B6" w14:textId="77777777">
      <w:pPr>
        <w:pStyle w:val="Heading7"/>
        <w:ind w:left="1979" w:right="1963"/>
        <w:jc w:val="center"/>
      </w:pPr>
      <w:bookmarkStart w:name="_bookmark540" w:id="709"/>
      <w:bookmarkEnd w:id="709"/>
      <w:r>
        <w:t>Table</w:t>
      </w:r>
      <w:r>
        <w:rPr>
          <w:spacing w:val="-7"/>
        </w:rPr>
        <w:t xml:space="preserve"> </w:t>
      </w:r>
      <w:r>
        <w:t>J-14.</w:t>
      </w:r>
      <w:r>
        <w:rPr>
          <w:spacing w:val="-8"/>
        </w:rPr>
        <w:t xml:space="preserve"> </w:t>
      </w:r>
      <w:r>
        <w:t>PG&amp;E</w:t>
      </w:r>
      <w:r>
        <w:rPr>
          <w:spacing w:val="-6"/>
        </w:rPr>
        <w:t xml:space="preserve"> </w:t>
      </w:r>
      <w:r>
        <w:t>Gas</w:t>
      </w:r>
      <w:r>
        <w:rPr>
          <w:spacing w:val="-6"/>
        </w:rPr>
        <w:t xml:space="preserve"> </w:t>
      </w:r>
      <w:r>
        <w:t>Energy</w:t>
      </w:r>
      <w:r>
        <w:rPr>
          <w:spacing w:val="-7"/>
        </w:rPr>
        <w:t xml:space="preserve"> </w:t>
      </w:r>
      <w:r>
        <w:t>Savings</w:t>
      </w:r>
      <w:r>
        <w:rPr>
          <w:spacing w:val="-7"/>
        </w:rPr>
        <w:t xml:space="preserve"> </w:t>
      </w:r>
      <w:r>
        <w:rPr>
          <w:spacing w:val="-2"/>
        </w:rPr>
        <w:t>(MMtherm/year)</w:t>
      </w:r>
    </w:p>
    <w:p w:rsidR="00C31389" w:rsidRDefault="00C31389" w14:paraId="0CEA1E77" w14:textId="77777777">
      <w:pPr>
        <w:pStyle w:val="BodyText"/>
        <w:rPr>
          <w:b/>
          <w:sz w:val="10"/>
        </w:rPr>
      </w:pPr>
    </w:p>
    <w:tbl>
      <w:tblPr>
        <w:tblW w:w="0" w:type="auto"/>
        <w:tblInd w:w="214" w:type="dxa"/>
        <w:tblLayout w:type="fixed"/>
        <w:tblCellMar>
          <w:left w:w="0" w:type="dxa"/>
          <w:right w:w="0" w:type="dxa"/>
        </w:tblCellMar>
        <w:tblLook w:val="01E0" w:firstRow="1" w:lastRow="1" w:firstColumn="1" w:lastColumn="1" w:noHBand="0" w:noVBand="0"/>
      </w:tblPr>
      <w:tblGrid>
        <w:gridCol w:w="1513"/>
        <w:gridCol w:w="854"/>
        <w:gridCol w:w="712"/>
        <w:gridCol w:w="644"/>
        <w:gridCol w:w="631"/>
        <w:gridCol w:w="631"/>
        <w:gridCol w:w="631"/>
        <w:gridCol w:w="631"/>
        <w:gridCol w:w="631"/>
        <w:gridCol w:w="631"/>
        <w:gridCol w:w="631"/>
        <w:gridCol w:w="631"/>
        <w:gridCol w:w="613"/>
      </w:tblGrid>
      <w:tr w:rsidR="00C31389" w14:paraId="46F2D8B8" w14:textId="77777777">
        <w:trPr>
          <w:trHeight w:val="305"/>
        </w:trPr>
        <w:tc>
          <w:tcPr>
            <w:tcW w:w="1513" w:type="dxa"/>
            <w:shd w:val="clear" w:color="auto" w:fill="92D400"/>
          </w:tcPr>
          <w:p w:rsidR="00C31389" w:rsidRDefault="00561FBD" w14:paraId="0C9F857D" w14:textId="77777777">
            <w:pPr>
              <w:pStyle w:val="TableParagraph"/>
              <w:spacing w:before="41"/>
              <w:ind w:left="120"/>
              <w:rPr>
                <w:b/>
                <w:sz w:val="17"/>
              </w:rPr>
            </w:pPr>
            <w:r>
              <w:rPr>
                <w:b/>
                <w:spacing w:val="-4"/>
                <w:sz w:val="17"/>
              </w:rPr>
              <w:t>Year</w:t>
            </w:r>
          </w:p>
        </w:tc>
        <w:tc>
          <w:tcPr>
            <w:tcW w:w="854" w:type="dxa"/>
            <w:shd w:val="clear" w:color="auto" w:fill="92D400"/>
          </w:tcPr>
          <w:p w:rsidR="00C31389" w:rsidRDefault="00561FBD" w14:paraId="5ED0C01C" w14:textId="77777777">
            <w:pPr>
              <w:pStyle w:val="TableParagraph"/>
              <w:spacing w:before="41"/>
              <w:ind w:right="192"/>
              <w:jc w:val="right"/>
              <w:rPr>
                <w:b/>
                <w:sz w:val="17"/>
              </w:rPr>
            </w:pPr>
            <w:r>
              <w:rPr>
                <w:b/>
                <w:spacing w:val="-4"/>
                <w:sz w:val="17"/>
              </w:rPr>
              <w:t>2024</w:t>
            </w:r>
          </w:p>
        </w:tc>
        <w:tc>
          <w:tcPr>
            <w:tcW w:w="712" w:type="dxa"/>
            <w:shd w:val="clear" w:color="auto" w:fill="92D400"/>
          </w:tcPr>
          <w:p w:rsidR="00C31389" w:rsidRDefault="00561FBD" w14:paraId="0966D8C1"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49960AC7" w14:textId="77777777">
            <w:pPr>
              <w:pStyle w:val="TableParagraph"/>
              <w:spacing w:before="41"/>
              <w:ind w:right="125"/>
              <w:jc w:val="right"/>
              <w:rPr>
                <w:b/>
                <w:sz w:val="17"/>
              </w:rPr>
            </w:pPr>
            <w:r>
              <w:rPr>
                <w:b/>
                <w:spacing w:val="-4"/>
                <w:sz w:val="17"/>
              </w:rPr>
              <w:t>2026</w:t>
            </w:r>
          </w:p>
        </w:tc>
        <w:tc>
          <w:tcPr>
            <w:tcW w:w="631" w:type="dxa"/>
            <w:shd w:val="clear" w:color="auto" w:fill="92D400"/>
          </w:tcPr>
          <w:p w:rsidR="00C31389" w:rsidRDefault="00561FBD" w14:paraId="1C2843A5" w14:textId="77777777">
            <w:pPr>
              <w:pStyle w:val="TableParagraph"/>
              <w:spacing w:before="41"/>
              <w:ind w:right="126"/>
              <w:jc w:val="right"/>
              <w:rPr>
                <w:b/>
                <w:sz w:val="17"/>
              </w:rPr>
            </w:pPr>
            <w:r>
              <w:rPr>
                <w:b/>
                <w:spacing w:val="-4"/>
                <w:sz w:val="17"/>
              </w:rPr>
              <w:t>2027</w:t>
            </w:r>
          </w:p>
        </w:tc>
        <w:tc>
          <w:tcPr>
            <w:tcW w:w="631" w:type="dxa"/>
            <w:shd w:val="clear" w:color="auto" w:fill="92D400"/>
          </w:tcPr>
          <w:p w:rsidR="00C31389" w:rsidRDefault="00561FBD" w14:paraId="4FB7D221" w14:textId="77777777">
            <w:pPr>
              <w:pStyle w:val="TableParagraph"/>
              <w:spacing w:before="41"/>
              <w:ind w:right="127"/>
              <w:jc w:val="right"/>
              <w:rPr>
                <w:b/>
                <w:sz w:val="17"/>
              </w:rPr>
            </w:pPr>
            <w:r>
              <w:rPr>
                <w:b/>
                <w:spacing w:val="-4"/>
                <w:sz w:val="17"/>
              </w:rPr>
              <w:t>2028</w:t>
            </w:r>
          </w:p>
        </w:tc>
        <w:tc>
          <w:tcPr>
            <w:tcW w:w="631" w:type="dxa"/>
            <w:shd w:val="clear" w:color="auto" w:fill="92D400"/>
          </w:tcPr>
          <w:p w:rsidR="00C31389" w:rsidRDefault="00561FBD" w14:paraId="5A0516E0" w14:textId="77777777">
            <w:pPr>
              <w:pStyle w:val="TableParagraph"/>
              <w:spacing w:before="41"/>
              <w:ind w:left="106" w:right="112"/>
              <w:jc w:val="center"/>
              <w:rPr>
                <w:b/>
                <w:sz w:val="17"/>
              </w:rPr>
            </w:pPr>
            <w:r>
              <w:rPr>
                <w:b/>
                <w:spacing w:val="-4"/>
                <w:sz w:val="17"/>
              </w:rPr>
              <w:t>2029</w:t>
            </w:r>
          </w:p>
        </w:tc>
        <w:tc>
          <w:tcPr>
            <w:tcW w:w="631" w:type="dxa"/>
            <w:shd w:val="clear" w:color="auto" w:fill="92D400"/>
          </w:tcPr>
          <w:p w:rsidR="00C31389" w:rsidRDefault="00561FBD" w14:paraId="104B75E1" w14:textId="77777777">
            <w:pPr>
              <w:pStyle w:val="TableParagraph"/>
              <w:spacing w:before="41"/>
              <w:ind w:left="106" w:right="114"/>
              <w:jc w:val="center"/>
              <w:rPr>
                <w:b/>
                <w:sz w:val="17"/>
              </w:rPr>
            </w:pPr>
            <w:r>
              <w:rPr>
                <w:b/>
                <w:spacing w:val="-4"/>
                <w:sz w:val="17"/>
              </w:rPr>
              <w:t>2030</w:t>
            </w:r>
          </w:p>
        </w:tc>
        <w:tc>
          <w:tcPr>
            <w:tcW w:w="631" w:type="dxa"/>
            <w:shd w:val="clear" w:color="auto" w:fill="92D400"/>
          </w:tcPr>
          <w:p w:rsidR="00C31389" w:rsidRDefault="00561FBD" w14:paraId="39F5FECC" w14:textId="77777777">
            <w:pPr>
              <w:pStyle w:val="TableParagraph"/>
              <w:spacing w:before="41"/>
              <w:ind w:right="130"/>
              <w:jc w:val="right"/>
              <w:rPr>
                <w:b/>
                <w:sz w:val="17"/>
              </w:rPr>
            </w:pPr>
            <w:r>
              <w:rPr>
                <w:b/>
                <w:spacing w:val="-4"/>
                <w:sz w:val="17"/>
              </w:rPr>
              <w:t>2031</w:t>
            </w:r>
          </w:p>
        </w:tc>
        <w:tc>
          <w:tcPr>
            <w:tcW w:w="631" w:type="dxa"/>
            <w:shd w:val="clear" w:color="auto" w:fill="92D400"/>
          </w:tcPr>
          <w:p w:rsidR="00C31389" w:rsidRDefault="00561FBD" w14:paraId="2D3CAB95" w14:textId="77777777">
            <w:pPr>
              <w:pStyle w:val="TableParagraph"/>
              <w:spacing w:before="41"/>
              <w:ind w:right="131"/>
              <w:jc w:val="right"/>
              <w:rPr>
                <w:b/>
                <w:sz w:val="17"/>
              </w:rPr>
            </w:pPr>
            <w:r>
              <w:rPr>
                <w:b/>
                <w:spacing w:val="-4"/>
                <w:sz w:val="17"/>
              </w:rPr>
              <w:t>2032</w:t>
            </w:r>
          </w:p>
        </w:tc>
        <w:tc>
          <w:tcPr>
            <w:tcW w:w="631" w:type="dxa"/>
            <w:shd w:val="clear" w:color="auto" w:fill="92D400"/>
          </w:tcPr>
          <w:p w:rsidR="00C31389" w:rsidRDefault="00561FBD" w14:paraId="0B8F33F2" w14:textId="77777777">
            <w:pPr>
              <w:pStyle w:val="TableParagraph"/>
              <w:spacing w:before="41"/>
              <w:ind w:left="102" w:right="116"/>
              <w:jc w:val="center"/>
              <w:rPr>
                <w:b/>
                <w:sz w:val="17"/>
              </w:rPr>
            </w:pPr>
            <w:r>
              <w:rPr>
                <w:b/>
                <w:spacing w:val="-4"/>
                <w:sz w:val="17"/>
              </w:rPr>
              <w:t>2033</w:t>
            </w:r>
          </w:p>
        </w:tc>
        <w:tc>
          <w:tcPr>
            <w:tcW w:w="631" w:type="dxa"/>
            <w:shd w:val="clear" w:color="auto" w:fill="92D400"/>
          </w:tcPr>
          <w:p w:rsidR="00C31389" w:rsidRDefault="00561FBD" w14:paraId="0FC882F7" w14:textId="77777777">
            <w:pPr>
              <w:pStyle w:val="TableParagraph"/>
              <w:spacing w:before="41"/>
              <w:ind w:right="133"/>
              <w:jc w:val="right"/>
              <w:rPr>
                <w:b/>
                <w:sz w:val="17"/>
              </w:rPr>
            </w:pPr>
            <w:r>
              <w:rPr>
                <w:b/>
                <w:spacing w:val="-4"/>
                <w:sz w:val="17"/>
              </w:rPr>
              <w:t>2034</w:t>
            </w:r>
          </w:p>
        </w:tc>
        <w:tc>
          <w:tcPr>
            <w:tcW w:w="613" w:type="dxa"/>
            <w:shd w:val="clear" w:color="auto" w:fill="92D400"/>
          </w:tcPr>
          <w:p w:rsidR="00C31389" w:rsidRDefault="00561FBD" w14:paraId="1A54EC1D" w14:textId="77777777">
            <w:pPr>
              <w:pStyle w:val="TableParagraph"/>
              <w:spacing w:before="41"/>
              <w:ind w:right="116"/>
              <w:jc w:val="right"/>
              <w:rPr>
                <w:b/>
                <w:sz w:val="17"/>
              </w:rPr>
            </w:pPr>
            <w:r>
              <w:rPr>
                <w:b/>
                <w:spacing w:val="-4"/>
                <w:sz w:val="17"/>
              </w:rPr>
              <w:t>2035</w:t>
            </w:r>
          </w:p>
        </w:tc>
      </w:tr>
      <w:tr w:rsidR="00C31389" w14:paraId="20B10BD9" w14:textId="77777777">
        <w:trPr>
          <w:trHeight w:val="274"/>
        </w:trPr>
        <w:tc>
          <w:tcPr>
            <w:tcW w:w="9384" w:type="dxa"/>
            <w:gridSpan w:val="13"/>
            <w:tcBorders>
              <w:bottom w:val="single" w:color="DCDDDE" w:sz="4" w:space="0"/>
            </w:tcBorders>
            <w:shd w:val="clear" w:color="auto" w:fill="BEBEBE"/>
          </w:tcPr>
          <w:p w:rsidR="00C31389" w:rsidRDefault="00561FBD" w14:paraId="6D70EFEB" w14:textId="77777777">
            <w:pPr>
              <w:pStyle w:val="TableParagraph"/>
              <w:spacing w:before="41"/>
              <w:ind w:left="120"/>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281B973E" w14:textId="77777777">
        <w:trPr>
          <w:trHeight w:val="275"/>
        </w:trPr>
        <w:tc>
          <w:tcPr>
            <w:tcW w:w="1513" w:type="dxa"/>
            <w:tcBorders>
              <w:top w:val="single" w:color="DCDDDE" w:sz="4" w:space="0"/>
              <w:bottom w:val="single" w:color="DCDDDE" w:sz="4" w:space="0"/>
            </w:tcBorders>
          </w:tcPr>
          <w:p w:rsidR="00C31389" w:rsidRDefault="00561FBD" w14:paraId="432058E0" w14:textId="77777777">
            <w:pPr>
              <w:pStyle w:val="TableParagraph"/>
              <w:ind w:left="120"/>
              <w:rPr>
                <w:sz w:val="17"/>
              </w:rPr>
            </w:pPr>
            <w:r>
              <w:rPr>
                <w:spacing w:val="-5"/>
                <w:sz w:val="17"/>
              </w:rPr>
              <w:t>EE</w:t>
            </w:r>
          </w:p>
        </w:tc>
        <w:tc>
          <w:tcPr>
            <w:tcW w:w="854" w:type="dxa"/>
            <w:tcBorders>
              <w:top w:val="single" w:color="DCDDDE" w:sz="4" w:space="0"/>
              <w:bottom w:val="single" w:color="D9D9D9" w:sz="8" w:space="0"/>
            </w:tcBorders>
          </w:tcPr>
          <w:p w:rsidR="00C31389" w:rsidRDefault="00561FBD" w14:paraId="4AFE696F" w14:textId="77777777">
            <w:pPr>
              <w:pStyle w:val="TableParagraph"/>
              <w:ind w:right="193"/>
              <w:jc w:val="right"/>
              <w:rPr>
                <w:sz w:val="17"/>
              </w:rPr>
            </w:pPr>
            <w:r>
              <w:rPr>
                <w:spacing w:val="-5"/>
                <w:sz w:val="17"/>
              </w:rPr>
              <w:t>6.7</w:t>
            </w:r>
          </w:p>
        </w:tc>
        <w:tc>
          <w:tcPr>
            <w:tcW w:w="712" w:type="dxa"/>
            <w:tcBorders>
              <w:top w:val="single" w:color="DCDDDE" w:sz="4" w:space="0"/>
              <w:bottom w:val="single" w:color="D9D9D9" w:sz="8" w:space="0"/>
            </w:tcBorders>
          </w:tcPr>
          <w:p w:rsidR="00C31389" w:rsidRDefault="00561FBD" w14:paraId="1D1F9BEC" w14:textId="77777777">
            <w:pPr>
              <w:pStyle w:val="TableParagraph"/>
              <w:ind w:right="138"/>
              <w:jc w:val="right"/>
              <w:rPr>
                <w:sz w:val="17"/>
              </w:rPr>
            </w:pPr>
            <w:r>
              <w:rPr>
                <w:spacing w:val="-5"/>
                <w:sz w:val="17"/>
              </w:rPr>
              <w:t>6.0</w:t>
            </w:r>
          </w:p>
        </w:tc>
        <w:tc>
          <w:tcPr>
            <w:tcW w:w="644" w:type="dxa"/>
            <w:tcBorders>
              <w:top w:val="single" w:color="DCDDDE" w:sz="4" w:space="0"/>
              <w:bottom w:val="single" w:color="D9D9D9" w:sz="8" w:space="0"/>
            </w:tcBorders>
          </w:tcPr>
          <w:p w:rsidR="00C31389" w:rsidRDefault="00561FBD" w14:paraId="60AD62FB" w14:textId="77777777">
            <w:pPr>
              <w:pStyle w:val="TableParagraph"/>
              <w:ind w:right="126"/>
              <w:jc w:val="right"/>
              <w:rPr>
                <w:sz w:val="17"/>
              </w:rPr>
            </w:pPr>
            <w:r>
              <w:rPr>
                <w:spacing w:val="-5"/>
                <w:sz w:val="17"/>
              </w:rPr>
              <w:t>5.2</w:t>
            </w:r>
          </w:p>
        </w:tc>
        <w:tc>
          <w:tcPr>
            <w:tcW w:w="631" w:type="dxa"/>
            <w:tcBorders>
              <w:top w:val="single" w:color="DCDDDE" w:sz="4" w:space="0"/>
              <w:bottom w:val="single" w:color="D9D9D9" w:sz="8" w:space="0"/>
            </w:tcBorders>
          </w:tcPr>
          <w:p w:rsidR="00C31389" w:rsidRDefault="00561FBD" w14:paraId="76BB2480" w14:textId="77777777">
            <w:pPr>
              <w:pStyle w:val="TableParagraph"/>
              <w:ind w:right="127"/>
              <w:jc w:val="right"/>
              <w:rPr>
                <w:sz w:val="17"/>
              </w:rPr>
            </w:pPr>
            <w:r>
              <w:rPr>
                <w:spacing w:val="-5"/>
                <w:sz w:val="17"/>
              </w:rPr>
              <w:t>4.6</w:t>
            </w:r>
          </w:p>
        </w:tc>
        <w:tc>
          <w:tcPr>
            <w:tcW w:w="631" w:type="dxa"/>
            <w:tcBorders>
              <w:top w:val="single" w:color="DCDDDE" w:sz="4" w:space="0"/>
              <w:bottom w:val="single" w:color="D9D9D9" w:sz="8" w:space="0"/>
            </w:tcBorders>
          </w:tcPr>
          <w:p w:rsidR="00C31389" w:rsidRDefault="00561FBD" w14:paraId="0474433B" w14:textId="77777777">
            <w:pPr>
              <w:pStyle w:val="TableParagraph"/>
              <w:ind w:right="128"/>
              <w:jc w:val="right"/>
              <w:rPr>
                <w:sz w:val="17"/>
              </w:rPr>
            </w:pPr>
            <w:r>
              <w:rPr>
                <w:spacing w:val="-5"/>
                <w:sz w:val="17"/>
              </w:rPr>
              <w:t>4.2</w:t>
            </w:r>
          </w:p>
        </w:tc>
        <w:tc>
          <w:tcPr>
            <w:tcW w:w="631" w:type="dxa"/>
            <w:tcBorders>
              <w:top w:val="single" w:color="DCDDDE" w:sz="4" w:space="0"/>
              <w:bottom w:val="single" w:color="D9D9D9" w:sz="8" w:space="0"/>
            </w:tcBorders>
          </w:tcPr>
          <w:p w:rsidR="00C31389" w:rsidRDefault="00561FBD" w14:paraId="7B43E44E" w14:textId="77777777">
            <w:pPr>
              <w:pStyle w:val="TableParagraph"/>
              <w:ind w:left="245" w:right="113"/>
              <w:jc w:val="center"/>
              <w:rPr>
                <w:sz w:val="17"/>
              </w:rPr>
            </w:pPr>
            <w:r>
              <w:rPr>
                <w:spacing w:val="-5"/>
                <w:sz w:val="17"/>
              </w:rPr>
              <w:t>4.0</w:t>
            </w:r>
          </w:p>
        </w:tc>
        <w:tc>
          <w:tcPr>
            <w:tcW w:w="631" w:type="dxa"/>
            <w:tcBorders>
              <w:top w:val="single" w:color="DCDDDE" w:sz="4" w:space="0"/>
              <w:bottom w:val="single" w:color="D9D9D9" w:sz="8" w:space="0"/>
            </w:tcBorders>
          </w:tcPr>
          <w:p w:rsidR="00C31389" w:rsidRDefault="00561FBD" w14:paraId="769A752D" w14:textId="77777777">
            <w:pPr>
              <w:pStyle w:val="TableParagraph"/>
              <w:ind w:left="245" w:right="115"/>
              <w:jc w:val="center"/>
              <w:rPr>
                <w:sz w:val="17"/>
              </w:rPr>
            </w:pPr>
            <w:r>
              <w:rPr>
                <w:spacing w:val="-5"/>
                <w:sz w:val="17"/>
              </w:rPr>
              <w:t>4.1</w:t>
            </w:r>
          </w:p>
        </w:tc>
        <w:tc>
          <w:tcPr>
            <w:tcW w:w="631" w:type="dxa"/>
            <w:tcBorders>
              <w:top w:val="single" w:color="DCDDDE" w:sz="4" w:space="0"/>
              <w:bottom w:val="single" w:color="D9D9D9" w:sz="8" w:space="0"/>
            </w:tcBorders>
          </w:tcPr>
          <w:p w:rsidR="00C31389" w:rsidRDefault="00561FBD" w14:paraId="1E8E2E78" w14:textId="77777777">
            <w:pPr>
              <w:pStyle w:val="TableParagraph"/>
              <w:ind w:right="131"/>
              <w:jc w:val="right"/>
              <w:rPr>
                <w:sz w:val="17"/>
              </w:rPr>
            </w:pPr>
            <w:r>
              <w:rPr>
                <w:spacing w:val="-5"/>
                <w:sz w:val="17"/>
              </w:rPr>
              <w:t>3.5</w:t>
            </w:r>
          </w:p>
        </w:tc>
        <w:tc>
          <w:tcPr>
            <w:tcW w:w="631" w:type="dxa"/>
            <w:tcBorders>
              <w:top w:val="single" w:color="DCDDDE" w:sz="4" w:space="0"/>
              <w:bottom w:val="single" w:color="D9D9D9" w:sz="8" w:space="0"/>
            </w:tcBorders>
          </w:tcPr>
          <w:p w:rsidR="00C31389" w:rsidRDefault="00561FBD" w14:paraId="4F997375" w14:textId="77777777">
            <w:pPr>
              <w:pStyle w:val="TableParagraph"/>
              <w:ind w:right="132"/>
              <w:jc w:val="right"/>
              <w:rPr>
                <w:sz w:val="17"/>
              </w:rPr>
            </w:pPr>
            <w:r>
              <w:rPr>
                <w:spacing w:val="-5"/>
                <w:sz w:val="17"/>
              </w:rPr>
              <w:t>3.5</w:t>
            </w:r>
          </w:p>
        </w:tc>
        <w:tc>
          <w:tcPr>
            <w:tcW w:w="631" w:type="dxa"/>
            <w:tcBorders>
              <w:top w:val="single" w:color="DCDDDE" w:sz="4" w:space="0"/>
              <w:bottom w:val="single" w:color="D9D9D9" w:sz="8" w:space="0"/>
            </w:tcBorders>
          </w:tcPr>
          <w:p w:rsidR="00C31389" w:rsidRDefault="00561FBD" w14:paraId="4CEF1C61" w14:textId="77777777">
            <w:pPr>
              <w:pStyle w:val="TableParagraph"/>
              <w:ind w:left="240" w:right="116"/>
              <w:jc w:val="center"/>
              <w:rPr>
                <w:sz w:val="17"/>
              </w:rPr>
            </w:pPr>
            <w:r>
              <w:rPr>
                <w:spacing w:val="-5"/>
                <w:sz w:val="17"/>
              </w:rPr>
              <w:t>3.6</w:t>
            </w:r>
          </w:p>
        </w:tc>
        <w:tc>
          <w:tcPr>
            <w:tcW w:w="631" w:type="dxa"/>
            <w:tcBorders>
              <w:top w:val="single" w:color="DCDDDE" w:sz="4" w:space="0"/>
              <w:bottom w:val="single" w:color="D9D9D9" w:sz="8" w:space="0"/>
            </w:tcBorders>
          </w:tcPr>
          <w:p w:rsidR="00C31389" w:rsidRDefault="00561FBD" w14:paraId="0C209D04" w14:textId="77777777">
            <w:pPr>
              <w:pStyle w:val="TableParagraph"/>
              <w:ind w:right="134"/>
              <w:jc w:val="right"/>
              <w:rPr>
                <w:sz w:val="17"/>
              </w:rPr>
            </w:pPr>
            <w:r>
              <w:rPr>
                <w:spacing w:val="-5"/>
                <w:sz w:val="17"/>
              </w:rPr>
              <w:t>3.6</w:t>
            </w:r>
          </w:p>
        </w:tc>
        <w:tc>
          <w:tcPr>
            <w:tcW w:w="613" w:type="dxa"/>
            <w:tcBorders>
              <w:top w:val="single" w:color="DCDDDE" w:sz="4" w:space="0"/>
              <w:bottom w:val="single" w:color="D9D9D9" w:sz="8" w:space="0"/>
            </w:tcBorders>
          </w:tcPr>
          <w:p w:rsidR="00C31389" w:rsidRDefault="00561FBD" w14:paraId="5A346BE2" w14:textId="77777777">
            <w:pPr>
              <w:pStyle w:val="TableParagraph"/>
              <w:ind w:right="117"/>
              <w:jc w:val="right"/>
              <w:rPr>
                <w:sz w:val="17"/>
              </w:rPr>
            </w:pPr>
            <w:r>
              <w:rPr>
                <w:spacing w:val="-5"/>
                <w:sz w:val="17"/>
              </w:rPr>
              <w:t>3.6</w:t>
            </w:r>
          </w:p>
        </w:tc>
      </w:tr>
      <w:tr w:rsidR="00C31389" w14:paraId="5DDA8DAB" w14:textId="77777777">
        <w:trPr>
          <w:trHeight w:val="275"/>
        </w:trPr>
        <w:tc>
          <w:tcPr>
            <w:tcW w:w="1513" w:type="dxa"/>
            <w:tcBorders>
              <w:top w:val="single" w:color="DCDDDE" w:sz="4" w:space="0"/>
              <w:bottom w:val="single" w:color="DCDDDE" w:sz="4" w:space="0"/>
            </w:tcBorders>
          </w:tcPr>
          <w:p w:rsidR="00C31389" w:rsidRDefault="00561FBD" w14:paraId="4585ECB5" w14:textId="77777777">
            <w:pPr>
              <w:pStyle w:val="TableParagraph"/>
              <w:spacing w:before="41"/>
              <w:ind w:left="120"/>
              <w:rPr>
                <w:sz w:val="17"/>
              </w:rPr>
            </w:pPr>
            <w:r>
              <w:rPr>
                <w:spacing w:val="-5"/>
                <w:sz w:val="17"/>
              </w:rPr>
              <w:t>FS</w:t>
            </w:r>
          </w:p>
        </w:tc>
        <w:tc>
          <w:tcPr>
            <w:tcW w:w="854" w:type="dxa"/>
            <w:tcBorders>
              <w:top w:val="single" w:color="D9D9D9" w:sz="8" w:space="0"/>
              <w:bottom w:val="single" w:color="D9D9D9" w:sz="8" w:space="0"/>
            </w:tcBorders>
          </w:tcPr>
          <w:p w:rsidR="00C31389" w:rsidRDefault="00561FBD" w14:paraId="3DD6A4A9" w14:textId="77777777">
            <w:pPr>
              <w:pStyle w:val="TableParagraph"/>
              <w:spacing w:before="41"/>
              <w:ind w:right="193"/>
              <w:jc w:val="right"/>
              <w:rPr>
                <w:sz w:val="17"/>
              </w:rPr>
            </w:pPr>
            <w:r>
              <w:rPr>
                <w:spacing w:val="-5"/>
                <w:sz w:val="17"/>
              </w:rPr>
              <w:t>0.0</w:t>
            </w:r>
          </w:p>
        </w:tc>
        <w:tc>
          <w:tcPr>
            <w:tcW w:w="712" w:type="dxa"/>
            <w:tcBorders>
              <w:top w:val="single" w:color="D9D9D9" w:sz="8" w:space="0"/>
              <w:bottom w:val="single" w:color="D9D9D9" w:sz="8" w:space="0"/>
            </w:tcBorders>
          </w:tcPr>
          <w:p w:rsidR="00C31389" w:rsidRDefault="00561FBD" w14:paraId="6E77B71E" w14:textId="77777777">
            <w:pPr>
              <w:pStyle w:val="TableParagraph"/>
              <w:spacing w:before="41"/>
              <w:ind w:right="139"/>
              <w:jc w:val="right"/>
              <w:rPr>
                <w:sz w:val="17"/>
              </w:rPr>
            </w:pPr>
            <w:r>
              <w:rPr>
                <w:spacing w:val="-5"/>
                <w:sz w:val="17"/>
              </w:rPr>
              <w:t>0.0</w:t>
            </w:r>
          </w:p>
        </w:tc>
        <w:tc>
          <w:tcPr>
            <w:tcW w:w="644" w:type="dxa"/>
            <w:tcBorders>
              <w:top w:val="single" w:color="D9D9D9" w:sz="8" w:space="0"/>
              <w:bottom w:val="single" w:color="D9D9D9" w:sz="8" w:space="0"/>
            </w:tcBorders>
          </w:tcPr>
          <w:p w:rsidR="00C31389" w:rsidRDefault="00561FBD" w14:paraId="01B8DDEF" w14:textId="77777777">
            <w:pPr>
              <w:pStyle w:val="TableParagraph"/>
              <w:spacing w:before="41"/>
              <w:ind w:right="126"/>
              <w:jc w:val="right"/>
              <w:rPr>
                <w:sz w:val="17"/>
              </w:rPr>
            </w:pPr>
            <w:r>
              <w:rPr>
                <w:spacing w:val="-5"/>
                <w:sz w:val="17"/>
              </w:rPr>
              <w:t>0.0</w:t>
            </w:r>
          </w:p>
        </w:tc>
        <w:tc>
          <w:tcPr>
            <w:tcW w:w="631" w:type="dxa"/>
            <w:tcBorders>
              <w:top w:val="single" w:color="D9D9D9" w:sz="8" w:space="0"/>
              <w:bottom w:val="single" w:color="D9D9D9" w:sz="8" w:space="0"/>
            </w:tcBorders>
          </w:tcPr>
          <w:p w:rsidR="00C31389" w:rsidRDefault="00561FBD" w14:paraId="2C26B9D2" w14:textId="77777777">
            <w:pPr>
              <w:pStyle w:val="TableParagraph"/>
              <w:spacing w:before="41"/>
              <w:ind w:right="127"/>
              <w:jc w:val="right"/>
              <w:rPr>
                <w:sz w:val="17"/>
              </w:rPr>
            </w:pPr>
            <w:r>
              <w:rPr>
                <w:spacing w:val="-5"/>
                <w:sz w:val="17"/>
              </w:rPr>
              <w:t>0.0</w:t>
            </w:r>
          </w:p>
        </w:tc>
        <w:tc>
          <w:tcPr>
            <w:tcW w:w="631" w:type="dxa"/>
            <w:tcBorders>
              <w:top w:val="single" w:color="D9D9D9" w:sz="8" w:space="0"/>
              <w:bottom w:val="single" w:color="D9D9D9" w:sz="8" w:space="0"/>
            </w:tcBorders>
          </w:tcPr>
          <w:p w:rsidR="00C31389" w:rsidRDefault="00561FBD" w14:paraId="64B37645" w14:textId="77777777">
            <w:pPr>
              <w:pStyle w:val="TableParagraph"/>
              <w:spacing w:before="41"/>
              <w:ind w:right="128"/>
              <w:jc w:val="right"/>
              <w:rPr>
                <w:sz w:val="17"/>
              </w:rPr>
            </w:pPr>
            <w:r>
              <w:rPr>
                <w:spacing w:val="-5"/>
                <w:sz w:val="17"/>
              </w:rPr>
              <w:t>0.0</w:t>
            </w:r>
          </w:p>
        </w:tc>
        <w:tc>
          <w:tcPr>
            <w:tcW w:w="631" w:type="dxa"/>
            <w:tcBorders>
              <w:top w:val="single" w:color="D9D9D9" w:sz="8" w:space="0"/>
              <w:bottom w:val="single" w:color="D9D9D9" w:sz="8" w:space="0"/>
            </w:tcBorders>
          </w:tcPr>
          <w:p w:rsidR="00C31389" w:rsidRDefault="00561FBD" w14:paraId="53CD22C3" w14:textId="77777777">
            <w:pPr>
              <w:pStyle w:val="TableParagraph"/>
              <w:spacing w:before="41"/>
              <w:ind w:left="245" w:right="114"/>
              <w:jc w:val="center"/>
              <w:rPr>
                <w:sz w:val="17"/>
              </w:rPr>
            </w:pPr>
            <w:r>
              <w:rPr>
                <w:spacing w:val="-5"/>
                <w:sz w:val="17"/>
              </w:rPr>
              <w:t>0.0</w:t>
            </w:r>
          </w:p>
        </w:tc>
        <w:tc>
          <w:tcPr>
            <w:tcW w:w="631" w:type="dxa"/>
            <w:tcBorders>
              <w:top w:val="single" w:color="D9D9D9" w:sz="8" w:space="0"/>
              <w:bottom w:val="single" w:color="D9D9D9" w:sz="8" w:space="0"/>
            </w:tcBorders>
          </w:tcPr>
          <w:p w:rsidR="00C31389" w:rsidRDefault="00561FBD" w14:paraId="7FBB69AE" w14:textId="77777777">
            <w:pPr>
              <w:pStyle w:val="TableParagraph"/>
              <w:spacing w:before="41"/>
              <w:ind w:left="245" w:right="115"/>
              <w:jc w:val="center"/>
              <w:rPr>
                <w:sz w:val="17"/>
              </w:rPr>
            </w:pPr>
            <w:r>
              <w:rPr>
                <w:spacing w:val="-5"/>
                <w:sz w:val="17"/>
              </w:rPr>
              <w:t>0.0</w:t>
            </w:r>
          </w:p>
        </w:tc>
        <w:tc>
          <w:tcPr>
            <w:tcW w:w="631" w:type="dxa"/>
            <w:tcBorders>
              <w:top w:val="single" w:color="D9D9D9" w:sz="8" w:space="0"/>
              <w:bottom w:val="single" w:color="D9D9D9" w:sz="8" w:space="0"/>
            </w:tcBorders>
          </w:tcPr>
          <w:p w:rsidR="00C31389" w:rsidRDefault="00561FBD" w14:paraId="53D2260E" w14:textId="77777777">
            <w:pPr>
              <w:pStyle w:val="TableParagraph"/>
              <w:spacing w:before="41"/>
              <w:ind w:right="131"/>
              <w:jc w:val="right"/>
              <w:rPr>
                <w:sz w:val="17"/>
              </w:rPr>
            </w:pPr>
            <w:r>
              <w:rPr>
                <w:spacing w:val="-5"/>
                <w:sz w:val="17"/>
              </w:rPr>
              <w:t>0.0</w:t>
            </w:r>
          </w:p>
        </w:tc>
        <w:tc>
          <w:tcPr>
            <w:tcW w:w="631" w:type="dxa"/>
            <w:tcBorders>
              <w:top w:val="single" w:color="D9D9D9" w:sz="8" w:space="0"/>
              <w:bottom w:val="single" w:color="D9D9D9" w:sz="8" w:space="0"/>
            </w:tcBorders>
          </w:tcPr>
          <w:p w:rsidR="00C31389" w:rsidRDefault="00561FBD" w14:paraId="400ACC04" w14:textId="77777777">
            <w:pPr>
              <w:pStyle w:val="TableParagraph"/>
              <w:spacing w:before="41"/>
              <w:ind w:right="132"/>
              <w:jc w:val="right"/>
              <w:rPr>
                <w:sz w:val="17"/>
              </w:rPr>
            </w:pPr>
            <w:r>
              <w:rPr>
                <w:spacing w:val="-5"/>
                <w:sz w:val="17"/>
              </w:rPr>
              <w:t>0.0</w:t>
            </w:r>
          </w:p>
        </w:tc>
        <w:tc>
          <w:tcPr>
            <w:tcW w:w="631" w:type="dxa"/>
            <w:tcBorders>
              <w:top w:val="single" w:color="D9D9D9" w:sz="8" w:space="0"/>
              <w:bottom w:val="single" w:color="D9D9D9" w:sz="8" w:space="0"/>
            </w:tcBorders>
          </w:tcPr>
          <w:p w:rsidR="00C31389" w:rsidRDefault="00561FBD" w14:paraId="794182A0" w14:textId="77777777">
            <w:pPr>
              <w:pStyle w:val="TableParagraph"/>
              <w:spacing w:before="41"/>
              <w:ind w:left="240" w:right="116"/>
              <w:jc w:val="center"/>
              <w:rPr>
                <w:sz w:val="17"/>
              </w:rPr>
            </w:pPr>
            <w:r>
              <w:rPr>
                <w:spacing w:val="-5"/>
                <w:sz w:val="17"/>
              </w:rPr>
              <w:t>0.0</w:t>
            </w:r>
          </w:p>
        </w:tc>
        <w:tc>
          <w:tcPr>
            <w:tcW w:w="631" w:type="dxa"/>
            <w:tcBorders>
              <w:top w:val="single" w:color="D9D9D9" w:sz="8" w:space="0"/>
              <w:bottom w:val="single" w:color="D9D9D9" w:sz="8" w:space="0"/>
            </w:tcBorders>
          </w:tcPr>
          <w:p w:rsidR="00C31389" w:rsidRDefault="00561FBD" w14:paraId="613D37C6" w14:textId="77777777">
            <w:pPr>
              <w:pStyle w:val="TableParagraph"/>
              <w:spacing w:before="41"/>
              <w:ind w:right="134"/>
              <w:jc w:val="right"/>
              <w:rPr>
                <w:sz w:val="17"/>
              </w:rPr>
            </w:pPr>
            <w:r>
              <w:rPr>
                <w:spacing w:val="-5"/>
                <w:sz w:val="17"/>
              </w:rPr>
              <w:t>0.0</w:t>
            </w:r>
          </w:p>
        </w:tc>
        <w:tc>
          <w:tcPr>
            <w:tcW w:w="613" w:type="dxa"/>
            <w:tcBorders>
              <w:top w:val="single" w:color="D9D9D9" w:sz="8" w:space="0"/>
              <w:bottom w:val="single" w:color="D9D9D9" w:sz="8" w:space="0"/>
            </w:tcBorders>
          </w:tcPr>
          <w:p w:rsidR="00C31389" w:rsidRDefault="00561FBD" w14:paraId="04918651" w14:textId="77777777">
            <w:pPr>
              <w:pStyle w:val="TableParagraph"/>
              <w:spacing w:before="41"/>
              <w:ind w:right="117"/>
              <w:jc w:val="right"/>
              <w:rPr>
                <w:sz w:val="17"/>
              </w:rPr>
            </w:pPr>
            <w:r>
              <w:rPr>
                <w:spacing w:val="-5"/>
                <w:sz w:val="17"/>
              </w:rPr>
              <w:t>0.0</w:t>
            </w:r>
          </w:p>
        </w:tc>
      </w:tr>
      <w:tr w:rsidR="00C31389" w14:paraId="2164B29F" w14:textId="77777777">
        <w:trPr>
          <w:trHeight w:val="275"/>
        </w:trPr>
        <w:tc>
          <w:tcPr>
            <w:tcW w:w="1513" w:type="dxa"/>
            <w:tcBorders>
              <w:top w:val="single" w:color="DCDDDE" w:sz="4" w:space="0"/>
              <w:bottom w:val="single" w:color="DCDDDE" w:sz="4" w:space="0"/>
            </w:tcBorders>
          </w:tcPr>
          <w:p w:rsidR="00C31389" w:rsidRDefault="00561FBD" w14:paraId="2479B476" w14:textId="77777777">
            <w:pPr>
              <w:pStyle w:val="TableParagraph"/>
              <w:spacing w:before="41"/>
              <w:ind w:left="120"/>
              <w:rPr>
                <w:sz w:val="17"/>
              </w:rPr>
            </w:pPr>
            <w:r>
              <w:rPr>
                <w:spacing w:val="-4"/>
                <w:sz w:val="17"/>
              </w:rPr>
              <w:t>BROs</w:t>
            </w:r>
          </w:p>
        </w:tc>
        <w:tc>
          <w:tcPr>
            <w:tcW w:w="854" w:type="dxa"/>
            <w:tcBorders>
              <w:top w:val="single" w:color="D9D9D9" w:sz="8" w:space="0"/>
              <w:bottom w:val="single" w:color="DCDDDE" w:sz="4" w:space="0"/>
            </w:tcBorders>
          </w:tcPr>
          <w:p w:rsidR="00C31389" w:rsidRDefault="00561FBD" w14:paraId="6C0CD673" w14:textId="77777777">
            <w:pPr>
              <w:pStyle w:val="TableParagraph"/>
              <w:spacing w:before="41"/>
              <w:ind w:right="193"/>
              <w:jc w:val="right"/>
              <w:rPr>
                <w:sz w:val="17"/>
              </w:rPr>
            </w:pPr>
            <w:r>
              <w:rPr>
                <w:spacing w:val="-4"/>
                <w:sz w:val="17"/>
              </w:rPr>
              <w:t>11.3</w:t>
            </w:r>
          </w:p>
        </w:tc>
        <w:tc>
          <w:tcPr>
            <w:tcW w:w="712" w:type="dxa"/>
            <w:tcBorders>
              <w:top w:val="single" w:color="D9D9D9" w:sz="8" w:space="0"/>
              <w:bottom w:val="single" w:color="DCDDDE" w:sz="4" w:space="0"/>
            </w:tcBorders>
          </w:tcPr>
          <w:p w:rsidR="00C31389" w:rsidRDefault="00561FBD" w14:paraId="438BF3D6" w14:textId="77777777">
            <w:pPr>
              <w:pStyle w:val="TableParagraph"/>
              <w:spacing w:before="41"/>
              <w:ind w:right="138"/>
              <w:jc w:val="right"/>
              <w:rPr>
                <w:sz w:val="17"/>
              </w:rPr>
            </w:pPr>
            <w:r>
              <w:rPr>
                <w:spacing w:val="-4"/>
                <w:sz w:val="17"/>
              </w:rPr>
              <w:t>11.7</w:t>
            </w:r>
          </w:p>
        </w:tc>
        <w:tc>
          <w:tcPr>
            <w:tcW w:w="644" w:type="dxa"/>
            <w:tcBorders>
              <w:top w:val="single" w:color="D9D9D9" w:sz="8" w:space="0"/>
              <w:bottom w:val="single" w:color="DCDDDE" w:sz="4" w:space="0"/>
            </w:tcBorders>
          </w:tcPr>
          <w:p w:rsidR="00C31389" w:rsidRDefault="00561FBD" w14:paraId="6B162E88" w14:textId="77777777">
            <w:pPr>
              <w:pStyle w:val="TableParagraph"/>
              <w:spacing w:before="41"/>
              <w:ind w:right="126"/>
              <w:jc w:val="right"/>
              <w:rPr>
                <w:sz w:val="17"/>
              </w:rPr>
            </w:pPr>
            <w:r>
              <w:rPr>
                <w:spacing w:val="-4"/>
                <w:sz w:val="17"/>
              </w:rPr>
              <w:t>12.1</w:t>
            </w:r>
          </w:p>
        </w:tc>
        <w:tc>
          <w:tcPr>
            <w:tcW w:w="631" w:type="dxa"/>
            <w:tcBorders>
              <w:top w:val="single" w:color="D9D9D9" w:sz="8" w:space="0"/>
              <w:bottom w:val="single" w:color="DCDDDE" w:sz="4" w:space="0"/>
            </w:tcBorders>
          </w:tcPr>
          <w:p w:rsidR="00C31389" w:rsidRDefault="00561FBD" w14:paraId="4D0416C9" w14:textId="77777777">
            <w:pPr>
              <w:pStyle w:val="TableParagraph"/>
              <w:spacing w:before="41"/>
              <w:ind w:right="127"/>
              <w:jc w:val="right"/>
              <w:rPr>
                <w:sz w:val="17"/>
              </w:rPr>
            </w:pPr>
            <w:r>
              <w:rPr>
                <w:spacing w:val="-4"/>
                <w:sz w:val="17"/>
              </w:rPr>
              <w:t>12.5</w:t>
            </w:r>
          </w:p>
        </w:tc>
        <w:tc>
          <w:tcPr>
            <w:tcW w:w="631" w:type="dxa"/>
            <w:tcBorders>
              <w:top w:val="single" w:color="D9D9D9" w:sz="8" w:space="0"/>
              <w:bottom w:val="single" w:color="DCDDDE" w:sz="4" w:space="0"/>
            </w:tcBorders>
          </w:tcPr>
          <w:p w:rsidR="00C31389" w:rsidRDefault="00561FBD" w14:paraId="30EAEEC4" w14:textId="77777777">
            <w:pPr>
              <w:pStyle w:val="TableParagraph"/>
              <w:spacing w:before="41"/>
              <w:ind w:right="128"/>
              <w:jc w:val="right"/>
              <w:rPr>
                <w:sz w:val="17"/>
              </w:rPr>
            </w:pPr>
            <w:r>
              <w:rPr>
                <w:spacing w:val="-4"/>
                <w:sz w:val="17"/>
              </w:rPr>
              <w:t>13.0</w:t>
            </w:r>
          </w:p>
        </w:tc>
        <w:tc>
          <w:tcPr>
            <w:tcW w:w="631" w:type="dxa"/>
            <w:tcBorders>
              <w:top w:val="single" w:color="D9D9D9" w:sz="8" w:space="0"/>
              <w:bottom w:val="single" w:color="DCDDDE" w:sz="4" w:space="0"/>
            </w:tcBorders>
          </w:tcPr>
          <w:p w:rsidR="00C31389" w:rsidRDefault="00561FBD" w14:paraId="3FD6B590" w14:textId="77777777">
            <w:pPr>
              <w:pStyle w:val="TableParagraph"/>
              <w:spacing w:before="41"/>
              <w:ind w:left="106" w:right="69"/>
              <w:jc w:val="center"/>
              <w:rPr>
                <w:sz w:val="17"/>
              </w:rPr>
            </w:pPr>
            <w:r>
              <w:rPr>
                <w:spacing w:val="-4"/>
                <w:sz w:val="17"/>
              </w:rPr>
              <w:t>13.4</w:t>
            </w:r>
          </w:p>
        </w:tc>
        <w:tc>
          <w:tcPr>
            <w:tcW w:w="631" w:type="dxa"/>
            <w:tcBorders>
              <w:top w:val="single" w:color="D9D9D9" w:sz="8" w:space="0"/>
              <w:bottom w:val="single" w:color="DCDDDE" w:sz="4" w:space="0"/>
            </w:tcBorders>
          </w:tcPr>
          <w:p w:rsidR="00C31389" w:rsidRDefault="00561FBD" w14:paraId="2B001F6B" w14:textId="77777777">
            <w:pPr>
              <w:pStyle w:val="TableParagraph"/>
              <w:spacing w:before="41"/>
              <w:ind w:left="106" w:right="71"/>
              <w:jc w:val="center"/>
              <w:rPr>
                <w:sz w:val="17"/>
              </w:rPr>
            </w:pPr>
            <w:r>
              <w:rPr>
                <w:spacing w:val="-4"/>
                <w:sz w:val="17"/>
              </w:rPr>
              <w:t>14.0</w:t>
            </w:r>
          </w:p>
        </w:tc>
        <w:tc>
          <w:tcPr>
            <w:tcW w:w="631" w:type="dxa"/>
            <w:tcBorders>
              <w:top w:val="single" w:color="D9D9D9" w:sz="8" w:space="0"/>
              <w:bottom w:val="single" w:color="DCDDDE" w:sz="4" w:space="0"/>
            </w:tcBorders>
          </w:tcPr>
          <w:p w:rsidR="00C31389" w:rsidRDefault="00561FBD" w14:paraId="3EC21800" w14:textId="77777777">
            <w:pPr>
              <w:pStyle w:val="TableParagraph"/>
              <w:spacing w:before="41"/>
              <w:ind w:right="131"/>
              <w:jc w:val="right"/>
              <w:rPr>
                <w:sz w:val="17"/>
              </w:rPr>
            </w:pPr>
            <w:r>
              <w:rPr>
                <w:spacing w:val="-4"/>
                <w:sz w:val="17"/>
              </w:rPr>
              <w:t>14.5</w:t>
            </w:r>
          </w:p>
        </w:tc>
        <w:tc>
          <w:tcPr>
            <w:tcW w:w="631" w:type="dxa"/>
            <w:tcBorders>
              <w:top w:val="single" w:color="D9D9D9" w:sz="8" w:space="0"/>
              <w:bottom w:val="single" w:color="DCDDDE" w:sz="4" w:space="0"/>
            </w:tcBorders>
          </w:tcPr>
          <w:p w:rsidR="00C31389" w:rsidRDefault="00561FBD" w14:paraId="371F8075" w14:textId="77777777">
            <w:pPr>
              <w:pStyle w:val="TableParagraph"/>
              <w:spacing w:before="41"/>
              <w:ind w:right="132"/>
              <w:jc w:val="right"/>
              <w:rPr>
                <w:sz w:val="17"/>
              </w:rPr>
            </w:pPr>
            <w:r>
              <w:rPr>
                <w:spacing w:val="-4"/>
                <w:sz w:val="17"/>
              </w:rPr>
              <w:t>15.1</w:t>
            </w:r>
          </w:p>
        </w:tc>
        <w:tc>
          <w:tcPr>
            <w:tcW w:w="631" w:type="dxa"/>
            <w:tcBorders>
              <w:top w:val="single" w:color="D9D9D9" w:sz="8" w:space="0"/>
              <w:bottom w:val="single" w:color="DCDDDE" w:sz="4" w:space="0"/>
            </w:tcBorders>
          </w:tcPr>
          <w:p w:rsidR="00C31389" w:rsidRDefault="00561FBD" w14:paraId="4E8FD4C8" w14:textId="77777777">
            <w:pPr>
              <w:pStyle w:val="TableParagraph"/>
              <w:spacing w:before="41"/>
              <w:ind w:left="106" w:right="77"/>
              <w:jc w:val="center"/>
              <w:rPr>
                <w:sz w:val="17"/>
              </w:rPr>
            </w:pPr>
            <w:r>
              <w:rPr>
                <w:spacing w:val="-4"/>
                <w:sz w:val="17"/>
              </w:rPr>
              <w:t>16.3</w:t>
            </w:r>
          </w:p>
        </w:tc>
        <w:tc>
          <w:tcPr>
            <w:tcW w:w="631" w:type="dxa"/>
            <w:tcBorders>
              <w:top w:val="single" w:color="D9D9D9" w:sz="8" w:space="0"/>
              <w:bottom w:val="single" w:color="DCDDDE" w:sz="4" w:space="0"/>
            </w:tcBorders>
          </w:tcPr>
          <w:p w:rsidR="00C31389" w:rsidRDefault="00561FBD" w14:paraId="7EE2D30C" w14:textId="77777777">
            <w:pPr>
              <w:pStyle w:val="TableParagraph"/>
              <w:spacing w:before="41"/>
              <w:ind w:right="134"/>
              <w:jc w:val="right"/>
              <w:rPr>
                <w:sz w:val="17"/>
              </w:rPr>
            </w:pPr>
            <w:r>
              <w:rPr>
                <w:spacing w:val="-4"/>
                <w:sz w:val="17"/>
              </w:rPr>
              <w:t>15.4</w:t>
            </w:r>
          </w:p>
        </w:tc>
        <w:tc>
          <w:tcPr>
            <w:tcW w:w="613" w:type="dxa"/>
            <w:tcBorders>
              <w:top w:val="single" w:color="D9D9D9" w:sz="8" w:space="0"/>
              <w:bottom w:val="single" w:color="DCDDDE" w:sz="4" w:space="0"/>
            </w:tcBorders>
          </w:tcPr>
          <w:p w:rsidR="00C31389" w:rsidRDefault="00561FBD" w14:paraId="5EC75DC2" w14:textId="77777777">
            <w:pPr>
              <w:pStyle w:val="TableParagraph"/>
              <w:spacing w:before="41"/>
              <w:ind w:right="117"/>
              <w:jc w:val="right"/>
              <w:rPr>
                <w:sz w:val="17"/>
              </w:rPr>
            </w:pPr>
            <w:r>
              <w:rPr>
                <w:spacing w:val="-4"/>
                <w:sz w:val="17"/>
              </w:rPr>
              <w:t>16.1</w:t>
            </w:r>
          </w:p>
        </w:tc>
      </w:tr>
      <w:tr w:rsidR="00C31389" w14:paraId="424BD268" w14:textId="77777777">
        <w:trPr>
          <w:trHeight w:val="275"/>
        </w:trPr>
        <w:tc>
          <w:tcPr>
            <w:tcW w:w="9384" w:type="dxa"/>
            <w:gridSpan w:val="13"/>
            <w:tcBorders>
              <w:top w:val="single" w:color="DCDDDE" w:sz="4" w:space="0"/>
              <w:bottom w:val="single" w:color="DCDDDE" w:sz="4" w:space="0"/>
            </w:tcBorders>
            <w:shd w:val="clear" w:color="auto" w:fill="BEBEBE"/>
          </w:tcPr>
          <w:p w:rsidR="00C31389" w:rsidRDefault="00561FBD" w14:paraId="2F253AC1" w14:textId="77777777">
            <w:pPr>
              <w:pStyle w:val="TableParagraph"/>
              <w:spacing w:before="42"/>
              <w:ind w:left="120"/>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04CD0259" w14:textId="77777777">
        <w:trPr>
          <w:trHeight w:val="275"/>
        </w:trPr>
        <w:tc>
          <w:tcPr>
            <w:tcW w:w="1513" w:type="dxa"/>
            <w:tcBorders>
              <w:top w:val="single" w:color="DCDDDE" w:sz="4" w:space="0"/>
              <w:bottom w:val="single" w:color="DCDDDE" w:sz="4" w:space="0"/>
            </w:tcBorders>
          </w:tcPr>
          <w:p w:rsidR="00C31389" w:rsidRDefault="00561FBD" w14:paraId="71D3C6E1" w14:textId="77777777">
            <w:pPr>
              <w:pStyle w:val="TableParagraph"/>
              <w:spacing w:before="42"/>
              <w:ind w:left="120"/>
              <w:rPr>
                <w:sz w:val="17"/>
              </w:rPr>
            </w:pPr>
            <w:r>
              <w:rPr>
                <w:spacing w:val="-5"/>
                <w:sz w:val="17"/>
              </w:rPr>
              <w:t>EE</w:t>
            </w:r>
          </w:p>
        </w:tc>
        <w:tc>
          <w:tcPr>
            <w:tcW w:w="854" w:type="dxa"/>
            <w:tcBorders>
              <w:top w:val="single" w:color="DCDDDE" w:sz="4" w:space="0"/>
            </w:tcBorders>
          </w:tcPr>
          <w:p w:rsidR="00C31389" w:rsidRDefault="00561FBD" w14:paraId="6481A38A" w14:textId="77777777">
            <w:pPr>
              <w:pStyle w:val="TableParagraph"/>
              <w:spacing w:before="42"/>
              <w:ind w:right="193"/>
              <w:jc w:val="right"/>
              <w:rPr>
                <w:sz w:val="17"/>
              </w:rPr>
            </w:pPr>
            <w:r>
              <w:rPr>
                <w:spacing w:val="-5"/>
                <w:sz w:val="17"/>
              </w:rPr>
              <w:t>7.0</w:t>
            </w:r>
          </w:p>
        </w:tc>
        <w:tc>
          <w:tcPr>
            <w:tcW w:w="712" w:type="dxa"/>
            <w:tcBorders>
              <w:top w:val="single" w:color="DCDDDE" w:sz="4" w:space="0"/>
            </w:tcBorders>
          </w:tcPr>
          <w:p w:rsidR="00C31389" w:rsidRDefault="00561FBD" w14:paraId="5C6BE46F" w14:textId="77777777">
            <w:pPr>
              <w:pStyle w:val="TableParagraph"/>
              <w:spacing w:before="42"/>
              <w:ind w:right="138"/>
              <w:jc w:val="right"/>
              <w:rPr>
                <w:sz w:val="17"/>
              </w:rPr>
            </w:pPr>
            <w:r>
              <w:rPr>
                <w:spacing w:val="-5"/>
                <w:sz w:val="17"/>
              </w:rPr>
              <w:t>6.2</w:t>
            </w:r>
          </w:p>
        </w:tc>
        <w:tc>
          <w:tcPr>
            <w:tcW w:w="644" w:type="dxa"/>
            <w:tcBorders>
              <w:top w:val="single" w:color="DCDDDE" w:sz="4" w:space="0"/>
            </w:tcBorders>
          </w:tcPr>
          <w:p w:rsidR="00C31389" w:rsidRDefault="00561FBD" w14:paraId="32276778" w14:textId="77777777">
            <w:pPr>
              <w:pStyle w:val="TableParagraph"/>
              <w:spacing w:before="42"/>
              <w:ind w:right="126"/>
              <w:jc w:val="right"/>
              <w:rPr>
                <w:sz w:val="17"/>
              </w:rPr>
            </w:pPr>
            <w:r>
              <w:rPr>
                <w:spacing w:val="-5"/>
                <w:sz w:val="17"/>
              </w:rPr>
              <w:t>5.4</w:t>
            </w:r>
          </w:p>
        </w:tc>
        <w:tc>
          <w:tcPr>
            <w:tcW w:w="631" w:type="dxa"/>
            <w:tcBorders>
              <w:top w:val="single" w:color="DCDDDE" w:sz="4" w:space="0"/>
            </w:tcBorders>
          </w:tcPr>
          <w:p w:rsidR="00C31389" w:rsidRDefault="00561FBD" w14:paraId="2CB924B6" w14:textId="77777777">
            <w:pPr>
              <w:pStyle w:val="TableParagraph"/>
              <w:spacing w:before="42"/>
              <w:ind w:right="127"/>
              <w:jc w:val="right"/>
              <w:rPr>
                <w:sz w:val="17"/>
              </w:rPr>
            </w:pPr>
            <w:r>
              <w:rPr>
                <w:spacing w:val="-5"/>
                <w:sz w:val="17"/>
              </w:rPr>
              <w:t>4.7</w:t>
            </w:r>
          </w:p>
        </w:tc>
        <w:tc>
          <w:tcPr>
            <w:tcW w:w="631" w:type="dxa"/>
            <w:tcBorders>
              <w:top w:val="single" w:color="DCDDDE" w:sz="4" w:space="0"/>
            </w:tcBorders>
          </w:tcPr>
          <w:p w:rsidR="00C31389" w:rsidRDefault="00561FBD" w14:paraId="55C223D8" w14:textId="77777777">
            <w:pPr>
              <w:pStyle w:val="TableParagraph"/>
              <w:spacing w:before="42"/>
              <w:ind w:right="128"/>
              <w:jc w:val="right"/>
              <w:rPr>
                <w:sz w:val="17"/>
              </w:rPr>
            </w:pPr>
            <w:r>
              <w:rPr>
                <w:spacing w:val="-5"/>
                <w:sz w:val="17"/>
              </w:rPr>
              <w:t>4.3</w:t>
            </w:r>
          </w:p>
        </w:tc>
        <w:tc>
          <w:tcPr>
            <w:tcW w:w="631" w:type="dxa"/>
            <w:tcBorders>
              <w:top w:val="single" w:color="DCDDDE" w:sz="4" w:space="0"/>
            </w:tcBorders>
          </w:tcPr>
          <w:p w:rsidR="00C31389" w:rsidRDefault="00561FBD" w14:paraId="13E60B7C" w14:textId="77777777">
            <w:pPr>
              <w:pStyle w:val="TableParagraph"/>
              <w:spacing w:before="42"/>
              <w:ind w:left="245" w:right="113"/>
              <w:jc w:val="center"/>
              <w:rPr>
                <w:sz w:val="17"/>
              </w:rPr>
            </w:pPr>
            <w:r>
              <w:rPr>
                <w:spacing w:val="-5"/>
                <w:sz w:val="17"/>
              </w:rPr>
              <w:t>4.0</w:t>
            </w:r>
          </w:p>
        </w:tc>
        <w:tc>
          <w:tcPr>
            <w:tcW w:w="631" w:type="dxa"/>
            <w:tcBorders>
              <w:top w:val="single" w:color="DCDDDE" w:sz="4" w:space="0"/>
            </w:tcBorders>
          </w:tcPr>
          <w:p w:rsidR="00C31389" w:rsidRDefault="00561FBD" w14:paraId="7B534ABE" w14:textId="77777777">
            <w:pPr>
              <w:pStyle w:val="TableParagraph"/>
              <w:spacing w:before="42"/>
              <w:ind w:left="245" w:right="115"/>
              <w:jc w:val="center"/>
              <w:rPr>
                <w:sz w:val="17"/>
              </w:rPr>
            </w:pPr>
            <w:r>
              <w:rPr>
                <w:spacing w:val="-5"/>
                <w:sz w:val="17"/>
              </w:rPr>
              <w:t>4.1</w:t>
            </w:r>
          </w:p>
        </w:tc>
        <w:tc>
          <w:tcPr>
            <w:tcW w:w="631" w:type="dxa"/>
            <w:tcBorders>
              <w:top w:val="single" w:color="DCDDDE" w:sz="4" w:space="0"/>
            </w:tcBorders>
          </w:tcPr>
          <w:p w:rsidR="00C31389" w:rsidRDefault="00561FBD" w14:paraId="45674BCA" w14:textId="77777777">
            <w:pPr>
              <w:pStyle w:val="TableParagraph"/>
              <w:spacing w:before="42"/>
              <w:ind w:right="131"/>
              <w:jc w:val="right"/>
              <w:rPr>
                <w:sz w:val="17"/>
              </w:rPr>
            </w:pPr>
            <w:r>
              <w:rPr>
                <w:spacing w:val="-5"/>
                <w:sz w:val="17"/>
              </w:rPr>
              <w:t>3.6</w:t>
            </w:r>
          </w:p>
        </w:tc>
        <w:tc>
          <w:tcPr>
            <w:tcW w:w="631" w:type="dxa"/>
            <w:tcBorders>
              <w:top w:val="single" w:color="DCDDDE" w:sz="4" w:space="0"/>
            </w:tcBorders>
          </w:tcPr>
          <w:p w:rsidR="00C31389" w:rsidRDefault="00561FBD" w14:paraId="26D36C76" w14:textId="77777777">
            <w:pPr>
              <w:pStyle w:val="TableParagraph"/>
              <w:spacing w:before="42"/>
              <w:ind w:right="132"/>
              <w:jc w:val="right"/>
              <w:rPr>
                <w:sz w:val="17"/>
              </w:rPr>
            </w:pPr>
            <w:r>
              <w:rPr>
                <w:spacing w:val="-5"/>
                <w:sz w:val="17"/>
              </w:rPr>
              <w:t>3.6</w:t>
            </w:r>
          </w:p>
        </w:tc>
        <w:tc>
          <w:tcPr>
            <w:tcW w:w="631" w:type="dxa"/>
            <w:tcBorders>
              <w:top w:val="single" w:color="DCDDDE" w:sz="4" w:space="0"/>
            </w:tcBorders>
          </w:tcPr>
          <w:p w:rsidR="00C31389" w:rsidRDefault="00561FBD" w14:paraId="17F4A9CF" w14:textId="77777777">
            <w:pPr>
              <w:pStyle w:val="TableParagraph"/>
              <w:spacing w:before="42"/>
              <w:ind w:left="240" w:right="116"/>
              <w:jc w:val="center"/>
              <w:rPr>
                <w:sz w:val="17"/>
              </w:rPr>
            </w:pPr>
            <w:r>
              <w:rPr>
                <w:spacing w:val="-5"/>
                <w:sz w:val="17"/>
              </w:rPr>
              <w:t>3.6</w:t>
            </w:r>
          </w:p>
        </w:tc>
        <w:tc>
          <w:tcPr>
            <w:tcW w:w="631" w:type="dxa"/>
            <w:tcBorders>
              <w:top w:val="single" w:color="DCDDDE" w:sz="4" w:space="0"/>
            </w:tcBorders>
          </w:tcPr>
          <w:p w:rsidR="00C31389" w:rsidRDefault="00561FBD" w14:paraId="202333DB" w14:textId="77777777">
            <w:pPr>
              <w:pStyle w:val="TableParagraph"/>
              <w:spacing w:before="42"/>
              <w:ind w:right="134"/>
              <w:jc w:val="right"/>
              <w:rPr>
                <w:sz w:val="17"/>
              </w:rPr>
            </w:pPr>
            <w:r>
              <w:rPr>
                <w:spacing w:val="-5"/>
                <w:sz w:val="17"/>
              </w:rPr>
              <w:t>3.6</w:t>
            </w:r>
          </w:p>
        </w:tc>
        <w:tc>
          <w:tcPr>
            <w:tcW w:w="613" w:type="dxa"/>
            <w:tcBorders>
              <w:top w:val="single" w:color="DCDDDE" w:sz="4" w:space="0"/>
            </w:tcBorders>
          </w:tcPr>
          <w:p w:rsidR="00C31389" w:rsidRDefault="00561FBD" w14:paraId="0189213E" w14:textId="77777777">
            <w:pPr>
              <w:pStyle w:val="TableParagraph"/>
              <w:spacing w:before="42"/>
              <w:ind w:right="117"/>
              <w:jc w:val="right"/>
              <w:rPr>
                <w:sz w:val="17"/>
              </w:rPr>
            </w:pPr>
            <w:r>
              <w:rPr>
                <w:spacing w:val="-5"/>
                <w:sz w:val="17"/>
              </w:rPr>
              <w:t>3.6</w:t>
            </w:r>
          </w:p>
        </w:tc>
      </w:tr>
      <w:tr w:rsidR="00C31389" w14:paraId="4E3E453F" w14:textId="77777777">
        <w:trPr>
          <w:trHeight w:val="275"/>
        </w:trPr>
        <w:tc>
          <w:tcPr>
            <w:tcW w:w="1513" w:type="dxa"/>
            <w:tcBorders>
              <w:top w:val="single" w:color="DCDDDE" w:sz="4" w:space="0"/>
              <w:bottom w:val="single" w:color="DCDDDE" w:sz="4" w:space="0"/>
            </w:tcBorders>
          </w:tcPr>
          <w:p w:rsidR="00C31389" w:rsidRDefault="00561FBD" w14:paraId="47DFB400" w14:textId="77777777">
            <w:pPr>
              <w:pStyle w:val="TableParagraph"/>
              <w:spacing w:before="42"/>
              <w:ind w:left="120"/>
              <w:rPr>
                <w:sz w:val="17"/>
              </w:rPr>
            </w:pPr>
            <w:r>
              <w:rPr>
                <w:spacing w:val="-5"/>
                <w:sz w:val="17"/>
              </w:rPr>
              <w:t>FS</w:t>
            </w:r>
          </w:p>
        </w:tc>
        <w:tc>
          <w:tcPr>
            <w:tcW w:w="854" w:type="dxa"/>
            <w:tcBorders>
              <w:bottom w:val="single" w:color="D9D9D9" w:sz="8" w:space="0"/>
            </w:tcBorders>
          </w:tcPr>
          <w:p w:rsidR="00C31389" w:rsidRDefault="00561FBD" w14:paraId="6C0934A7" w14:textId="77777777">
            <w:pPr>
              <w:pStyle w:val="TableParagraph"/>
              <w:spacing w:before="42"/>
              <w:ind w:right="193"/>
              <w:jc w:val="right"/>
              <w:rPr>
                <w:sz w:val="17"/>
              </w:rPr>
            </w:pPr>
            <w:r>
              <w:rPr>
                <w:spacing w:val="-5"/>
                <w:sz w:val="17"/>
              </w:rPr>
              <w:t>0.0</w:t>
            </w:r>
          </w:p>
        </w:tc>
        <w:tc>
          <w:tcPr>
            <w:tcW w:w="712" w:type="dxa"/>
            <w:tcBorders>
              <w:bottom w:val="single" w:color="D9D9D9" w:sz="8" w:space="0"/>
            </w:tcBorders>
          </w:tcPr>
          <w:p w:rsidR="00C31389" w:rsidRDefault="00561FBD" w14:paraId="3835E4A7" w14:textId="77777777">
            <w:pPr>
              <w:pStyle w:val="TableParagraph"/>
              <w:spacing w:before="42"/>
              <w:ind w:right="139"/>
              <w:jc w:val="right"/>
              <w:rPr>
                <w:sz w:val="17"/>
              </w:rPr>
            </w:pPr>
            <w:r>
              <w:rPr>
                <w:spacing w:val="-5"/>
                <w:sz w:val="17"/>
              </w:rPr>
              <w:t>0.0</w:t>
            </w:r>
          </w:p>
        </w:tc>
        <w:tc>
          <w:tcPr>
            <w:tcW w:w="644" w:type="dxa"/>
            <w:tcBorders>
              <w:bottom w:val="single" w:color="D9D9D9" w:sz="8" w:space="0"/>
            </w:tcBorders>
          </w:tcPr>
          <w:p w:rsidR="00C31389" w:rsidRDefault="00561FBD" w14:paraId="0691A96C" w14:textId="77777777">
            <w:pPr>
              <w:pStyle w:val="TableParagraph"/>
              <w:spacing w:before="42"/>
              <w:ind w:right="126"/>
              <w:jc w:val="right"/>
              <w:rPr>
                <w:sz w:val="17"/>
              </w:rPr>
            </w:pPr>
            <w:r>
              <w:rPr>
                <w:spacing w:val="-5"/>
                <w:sz w:val="17"/>
              </w:rPr>
              <w:t>0.0</w:t>
            </w:r>
          </w:p>
        </w:tc>
        <w:tc>
          <w:tcPr>
            <w:tcW w:w="631" w:type="dxa"/>
            <w:tcBorders>
              <w:bottom w:val="single" w:color="D9D9D9" w:sz="8" w:space="0"/>
            </w:tcBorders>
          </w:tcPr>
          <w:p w:rsidR="00C31389" w:rsidRDefault="00561FBD" w14:paraId="1D1D440B" w14:textId="77777777">
            <w:pPr>
              <w:pStyle w:val="TableParagraph"/>
              <w:spacing w:before="42"/>
              <w:ind w:right="127"/>
              <w:jc w:val="right"/>
              <w:rPr>
                <w:sz w:val="17"/>
              </w:rPr>
            </w:pPr>
            <w:r>
              <w:rPr>
                <w:spacing w:val="-5"/>
                <w:sz w:val="17"/>
              </w:rPr>
              <w:t>0.0</w:t>
            </w:r>
          </w:p>
        </w:tc>
        <w:tc>
          <w:tcPr>
            <w:tcW w:w="631" w:type="dxa"/>
            <w:tcBorders>
              <w:bottom w:val="single" w:color="D9D9D9" w:sz="8" w:space="0"/>
            </w:tcBorders>
          </w:tcPr>
          <w:p w:rsidR="00C31389" w:rsidRDefault="00561FBD" w14:paraId="06C80921" w14:textId="77777777">
            <w:pPr>
              <w:pStyle w:val="TableParagraph"/>
              <w:spacing w:before="42"/>
              <w:ind w:right="128"/>
              <w:jc w:val="right"/>
              <w:rPr>
                <w:sz w:val="17"/>
              </w:rPr>
            </w:pPr>
            <w:r>
              <w:rPr>
                <w:spacing w:val="-5"/>
                <w:sz w:val="17"/>
              </w:rPr>
              <w:t>0.0</w:t>
            </w:r>
          </w:p>
        </w:tc>
        <w:tc>
          <w:tcPr>
            <w:tcW w:w="631" w:type="dxa"/>
            <w:tcBorders>
              <w:bottom w:val="single" w:color="D9D9D9" w:sz="8" w:space="0"/>
            </w:tcBorders>
          </w:tcPr>
          <w:p w:rsidR="00C31389" w:rsidRDefault="00561FBD" w14:paraId="4312F421" w14:textId="77777777">
            <w:pPr>
              <w:pStyle w:val="TableParagraph"/>
              <w:spacing w:before="42"/>
              <w:ind w:left="245" w:right="114"/>
              <w:jc w:val="center"/>
              <w:rPr>
                <w:sz w:val="17"/>
              </w:rPr>
            </w:pPr>
            <w:r>
              <w:rPr>
                <w:spacing w:val="-5"/>
                <w:sz w:val="17"/>
              </w:rPr>
              <w:t>0.0</w:t>
            </w:r>
          </w:p>
        </w:tc>
        <w:tc>
          <w:tcPr>
            <w:tcW w:w="631" w:type="dxa"/>
            <w:tcBorders>
              <w:bottom w:val="single" w:color="D9D9D9" w:sz="8" w:space="0"/>
            </w:tcBorders>
          </w:tcPr>
          <w:p w:rsidR="00C31389" w:rsidRDefault="00561FBD" w14:paraId="492C7838" w14:textId="77777777">
            <w:pPr>
              <w:pStyle w:val="TableParagraph"/>
              <w:spacing w:before="42"/>
              <w:ind w:left="245" w:right="115"/>
              <w:jc w:val="center"/>
              <w:rPr>
                <w:sz w:val="17"/>
              </w:rPr>
            </w:pPr>
            <w:r>
              <w:rPr>
                <w:spacing w:val="-5"/>
                <w:sz w:val="17"/>
              </w:rPr>
              <w:t>0.0</w:t>
            </w:r>
          </w:p>
        </w:tc>
        <w:tc>
          <w:tcPr>
            <w:tcW w:w="631" w:type="dxa"/>
            <w:tcBorders>
              <w:bottom w:val="single" w:color="D9D9D9" w:sz="8" w:space="0"/>
            </w:tcBorders>
          </w:tcPr>
          <w:p w:rsidR="00C31389" w:rsidRDefault="00561FBD" w14:paraId="4A0CDB34" w14:textId="77777777">
            <w:pPr>
              <w:pStyle w:val="TableParagraph"/>
              <w:spacing w:before="42"/>
              <w:ind w:right="131"/>
              <w:jc w:val="right"/>
              <w:rPr>
                <w:sz w:val="17"/>
              </w:rPr>
            </w:pPr>
            <w:r>
              <w:rPr>
                <w:spacing w:val="-5"/>
                <w:sz w:val="17"/>
              </w:rPr>
              <w:t>0.0</w:t>
            </w:r>
          </w:p>
        </w:tc>
        <w:tc>
          <w:tcPr>
            <w:tcW w:w="631" w:type="dxa"/>
            <w:tcBorders>
              <w:bottom w:val="single" w:color="D9D9D9" w:sz="8" w:space="0"/>
            </w:tcBorders>
          </w:tcPr>
          <w:p w:rsidR="00C31389" w:rsidRDefault="00561FBD" w14:paraId="6A423214" w14:textId="77777777">
            <w:pPr>
              <w:pStyle w:val="TableParagraph"/>
              <w:spacing w:before="42"/>
              <w:ind w:right="132"/>
              <w:jc w:val="right"/>
              <w:rPr>
                <w:sz w:val="17"/>
              </w:rPr>
            </w:pPr>
            <w:r>
              <w:rPr>
                <w:spacing w:val="-5"/>
                <w:sz w:val="17"/>
              </w:rPr>
              <w:t>0.0</w:t>
            </w:r>
          </w:p>
        </w:tc>
        <w:tc>
          <w:tcPr>
            <w:tcW w:w="631" w:type="dxa"/>
            <w:tcBorders>
              <w:bottom w:val="single" w:color="D9D9D9" w:sz="8" w:space="0"/>
            </w:tcBorders>
          </w:tcPr>
          <w:p w:rsidR="00C31389" w:rsidRDefault="00561FBD" w14:paraId="08882174" w14:textId="77777777">
            <w:pPr>
              <w:pStyle w:val="TableParagraph"/>
              <w:spacing w:before="42"/>
              <w:ind w:left="240" w:right="116"/>
              <w:jc w:val="center"/>
              <w:rPr>
                <w:sz w:val="17"/>
              </w:rPr>
            </w:pPr>
            <w:r>
              <w:rPr>
                <w:spacing w:val="-5"/>
                <w:sz w:val="17"/>
              </w:rPr>
              <w:t>0.0</w:t>
            </w:r>
          </w:p>
        </w:tc>
        <w:tc>
          <w:tcPr>
            <w:tcW w:w="631" w:type="dxa"/>
            <w:tcBorders>
              <w:bottom w:val="single" w:color="D9D9D9" w:sz="8" w:space="0"/>
            </w:tcBorders>
          </w:tcPr>
          <w:p w:rsidR="00C31389" w:rsidRDefault="00561FBD" w14:paraId="6978201A" w14:textId="77777777">
            <w:pPr>
              <w:pStyle w:val="TableParagraph"/>
              <w:spacing w:before="42"/>
              <w:ind w:right="134"/>
              <w:jc w:val="right"/>
              <w:rPr>
                <w:sz w:val="17"/>
              </w:rPr>
            </w:pPr>
            <w:r>
              <w:rPr>
                <w:spacing w:val="-5"/>
                <w:sz w:val="17"/>
              </w:rPr>
              <w:t>0.0</w:t>
            </w:r>
          </w:p>
        </w:tc>
        <w:tc>
          <w:tcPr>
            <w:tcW w:w="613" w:type="dxa"/>
            <w:tcBorders>
              <w:bottom w:val="single" w:color="D9D9D9" w:sz="8" w:space="0"/>
            </w:tcBorders>
          </w:tcPr>
          <w:p w:rsidR="00C31389" w:rsidRDefault="00561FBD" w14:paraId="407471CB" w14:textId="77777777">
            <w:pPr>
              <w:pStyle w:val="TableParagraph"/>
              <w:spacing w:before="42"/>
              <w:ind w:right="117"/>
              <w:jc w:val="right"/>
              <w:rPr>
                <w:sz w:val="17"/>
              </w:rPr>
            </w:pPr>
            <w:r>
              <w:rPr>
                <w:spacing w:val="-5"/>
                <w:sz w:val="17"/>
              </w:rPr>
              <w:t>0.0</w:t>
            </w:r>
          </w:p>
        </w:tc>
      </w:tr>
      <w:tr w:rsidR="00C31389" w14:paraId="5F3BBC0B" w14:textId="77777777">
        <w:trPr>
          <w:trHeight w:val="275"/>
        </w:trPr>
        <w:tc>
          <w:tcPr>
            <w:tcW w:w="1513" w:type="dxa"/>
            <w:tcBorders>
              <w:top w:val="single" w:color="DCDDDE" w:sz="4" w:space="0"/>
              <w:bottom w:val="single" w:color="DCDDDE" w:sz="4" w:space="0"/>
            </w:tcBorders>
          </w:tcPr>
          <w:p w:rsidR="00C31389" w:rsidRDefault="00561FBD" w14:paraId="45F36D2F" w14:textId="77777777">
            <w:pPr>
              <w:pStyle w:val="TableParagraph"/>
              <w:spacing w:before="41"/>
              <w:ind w:left="120"/>
              <w:rPr>
                <w:sz w:val="17"/>
              </w:rPr>
            </w:pPr>
            <w:r>
              <w:rPr>
                <w:spacing w:val="-4"/>
                <w:sz w:val="17"/>
              </w:rPr>
              <w:t>BROs</w:t>
            </w:r>
          </w:p>
        </w:tc>
        <w:tc>
          <w:tcPr>
            <w:tcW w:w="854" w:type="dxa"/>
            <w:tcBorders>
              <w:top w:val="single" w:color="D9D9D9" w:sz="8" w:space="0"/>
              <w:bottom w:val="single" w:color="DCDDDE" w:sz="4" w:space="0"/>
            </w:tcBorders>
          </w:tcPr>
          <w:p w:rsidR="00C31389" w:rsidRDefault="00561FBD" w14:paraId="26B0821C" w14:textId="77777777">
            <w:pPr>
              <w:pStyle w:val="TableParagraph"/>
              <w:spacing w:before="41"/>
              <w:ind w:right="193"/>
              <w:jc w:val="right"/>
              <w:rPr>
                <w:sz w:val="17"/>
              </w:rPr>
            </w:pPr>
            <w:r>
              <w:rPr>
                <w:spacing w:val="-4"/>
                <w:sz w:val="17"/>
              </w:rPr>
              <w:t>11.3</w:t>
            </w:r>
          </w:p>
        </w:tc>
        <w:tc>
          <w:tcPr>
            <w:tcW w:w="712" w:type="dxa"/>
            <w:tcBorders>
              <w:top w:val="single" w:color="D9D9D9" w:sz="8" w:space="0"/>
              <w:bottom w:val="single" w:color="DCDDDE" w:sz="4" w:space="0"/>
            </w:tcBorders>
          </w:tcPr>
          <w:p w:rsidR="00C31389" w:rsidRDefault="00561FBD" w14:paraId="5C7C4470" w14:textId="77777777">
            <w:pPr>
              <w:pStyle w:val="TableParagraph"/>
              <w:spacing w:before="41"/>
              <w:ind w:right="138"/>
              <w:jc w:val="right"/>
              <w:rPr>
                <w:sz w:val="17"/>
              </w:rPr>
            </w:pPr>
            <w:r>
              <w:rPr>
                <w:spacing w:val="-4"/>
                <w:sz w:val="17"/>
              </w:rPr>
              <w:t>11.7</w:t>
            </w:r>
          </w:p>
        </w:tc>
        <w:tc>
          <w:tcPr>
            <w:tcW w:w="644" w:type="dxa"/>
            <w:tcBorders>
              <w:top w:val="single" w:color="D9D9D9" w:sz="8" w:space="0"/>
              <w:bottom w:val="single" w:color="DCDDDE" w:sz="4" w:space="0"/>
            </w:tcBorders>
          </w:tcPr>
          <w:p w:rsidR="00C31389" w:rsidRDefault="00561FBD" w14:paraId="265A557B" w14:textId="77777777">
            <w:pPr>
              <w:pStyle w:val="TableParagraph"/>
              <w:spacing w:before="41"/>
              <w:ind w:right="126"/>
              <w:jc w:val="right"/>
              <w:rPr>
                <w:sz w:val="17"/>
              </w:rPr>
            </w:pPr>
            <w:r>
              <w:rPr>
                <w:spacing w:val="-4"/>
                <w:sz w:val="17"/>
              </w:rPr>
              <w:t>12.1</w:t>
            </w:r>
          </w:p>
        </w:tc>
        <w:tc>
          <w:tcPr>
            <w:tcW w:w="631" w:type="dxa"/>
            <w:tcBorders>
              <w:top w:val="single" w:color="D9D9D9" w:sz="8" w:space="0"/>
              <w:bottom w:val="single" w:color="DCDDDE" w:sz="4" w:space="0"/>
            </w:tcBorders>
          </w:tcPr>
          <w:p w:rsidR="00C31389" w:rsidRDefault="00561FBD" w14:paraId="728E0C86" w14:textId="77777777">
            <w:pPr>
              <w:pStyle w:val="TableParagraph"/>
              <w:spacing w:before="41"/>
              <w:ind w:right="127"/>
              <w:jc w:val="right"/>
              <w:rPr>
                <w:sz w:val="17"/>
              </w:rPr>
            </w:pPr>
            <w:r>
              <w:rPr>
                <w:spacing w:val="-4"/>
                <w:sz w:val="17"/>
              </w:rPr>
              <w:t>12.5</w:t>
            </w:r>
          </w:p>
        </w:tc>
        <w:tc>
          <w:tcPr>
            <w:tcW w:w="631" w:type="dxa"/>
            <w:tcBorders>
              <w:top w:val="single" w:color="D9D9D9" w:sz="8" w:space="0"/>
              <w:bottom w:val="single" w:color="DCDDDE" w:sz="4" w:space="0"/>
            </w:tcBorders>
          </w:tcPr>
          <w:p w:rsidR="00C31389" w:rsidRDefault="00561FBD" w14:paraId="4E835D66" w14:textId="77777777">
            <w:pPr>
              <w:pStyle w:val="TableParagraph"/>
              <w:spacing w:before="41"/>
              <w:ind w:right="128"/>
              <w:jc w:val="right"/>
              <w:rPr>
                <w:sz w:val="17"/>
              </w:rPr>
            </w:pPr>
            <w:r>
              <w:rPr>
                <w:spacing w:val="-4"/>
                <w:sz w:val="17"/>
              </w:rPr>
              <w:t>13.0</w:t>
            </w:r>
          </w:p>
        </w:tc>
        <w:tc>
          <w:tcPr>
            <w:tcW w:w="631" w:type="dxa"/>
            <w:tcBorders>
              <w:top w:val="single" w:color="D9D9D9" w:sz="8" w:space="0"/>
              <w:bottom w:val="single" w:color="DCDDDE" w:sz="4" w:space="0"/>
            </w:tcBorders>
          </w:tcPr>
          <w:p w:rsidR="00C31389" w:rsidRDefault="00561FBD" w14:paraId="20A3017A" w14:textId="77777777">
            <w:pPr>
              <w:pStyle w:val="TableParagraph"/>
              <w:spacing w:before="41"/>
              <w:ind w:left="106" w:right="69"/>
              <w:jc w:val="center"/>
              <w:rPr>
                <w:sz w:val="17"/>
              </w:rPr>
            </w:pPr>
            <w:r>
              <w:rPr>
                <w:spacing w:val="-4"/>
                <w:sz w:val="17"/>
              </w:rPr>
              <w:t>13.4</w:t>
            </w:r>
          </w:p>
        </w:tc>
        <w:tc>
          <w:tcPr>
            <w:tcW w:w="631" w:type="dxa"/>
            <w:tcBorders>
              <w:top w:val="single" w:color="D9D9D9" w:sz="8" w:space="0"/>
              <w:bottom w:val="single" w:color="DCDDDE" w:sz="4" w:space="0"/>
            </w:tcBorders>
          </w:tcPr>
          <w:p w:rsidR="00C31389" w:rsidRDefault="00561FBD" w14:paraId="287C5C9F" w14:textId="77777777">
            <w:pPr>
              <w:pStyle w:val="TableParagraph"/>
              <w:spacing w:before="41"/>
              <w:ind w:left="106" w:right="71"/>
              <w:jc w:val="center"/>
              <w:rPr>
                <w:sz w:val="17"/>
              </w:rPr>
            </w:pPr>
            <w:r>
              <w:rPr>
                <w:spacing w:val="-4"/>
                <w:sz w:val="17"/>
              </w:rPr>
              <w:t>14.0</w:t>
            </w:r>
          </w:p>
        </w:tc>
        <w:tc>
          <w:tcPr>
            <w:tcW w:w="631" w:type="dxa"/>
            <w:tcBorders>
              <w:top w:val="single" w:color="D9D9D9" w:sz="8" w:space="0"/>
              <w:bottom w:val="single" w:color="DCDDDE" w:sz="4" w:space="0"/>
            </w:tcBorders>
          </w:tcPr>
          <w:p w:rsidR="00C31389" w:rsidRDefault="00561FBD" w14:paraId="45F9F530" w14:textId="77777777">
            <w:pPr>
              <w:pStyle w:val="TableParagraph"/>
              <w:spacing w:before="41"/>
              <w:ind w:right="131"/>
              <w:jc w:val="right"/>
              <w:rPr>
                <w:sz w:val="17"/>
              </w:rPr>
            </w:pPr>
            <w:r>
              <w:rPr>
                <w:spacing w:val="-4"/>
                <w:sz w:val="17"/>
              </w:rPr>
              <w:t>14.5</w:t>
            </w:r>
          </w:p>
        </w:tc>
        <w:tc>
          <w:tcPr>
            <w:tcW w:w="631" w:type="dxa"/>
            <w:tcBorders>
              <w:top w:val="single" w:color="D9D9D9" w:sz="8" w:space="0"/>
              <w:bottom w:val="single" w:color="DCDDDE" w:sz="4" w:space="0"/>
            </w:tcBorders>
          </w:tcPr>
          <w:p w:rsidR="00C31389" w:rsidRDefault="00561FBD" w14:paraId="213FF979" w14:textId="77777777">
            <w:pPr>
              <w:pStyle w:val="TableParagraph"/>
              <w:spacing w:before="41"/>
              <w:ind w:right="132"/>
              <w:jc w:val="right"/>
              <w:rPr>
                <w:sz w:val="17"/>
              </w:rPr>
            </w:pPr>
            <w:r>
              <w:rPr>
                <w:spacing w:val="-4"/>
                <w:sz w:val="17"/>
              </w:rPr>
              <w:t>15.1</w:t>
            </w:r>
          </w:p>
        </w:tc>
        <w:tc>
          <w:tcPr>
            <w:tcW w:w="631" w:type="dxa"/>
            <w:tcBorders>
              <w:top w:val="single" w:color="D9D9D9" w:sz="8" w:space="0"/>
              <w:bottom w:val="single" w:color="DCDDDE" w:sz="4" w:space="0"/>
            </w:tcBorders>
          </w:tcPr>
          <w:p w:rsidR="00C31389" w:rsidRDefault="00561FBD" w14:paraId="2E5251ED" w14:textId="77777777">
            <w:pPr>
              <w:pStyle w:val="TableParagraph"/>
              <w:spacing w:before="41"/>
              <w:ind w:left="106" w:right="77"/>
              <w:jc w:val="center"/>
              <w:rPr>
                <w:sz w:val="17"/>
              </w:rPr>
            </w:pPr>
            <w:r>
              <w:rPr>
                <w:spacing w:val="-4"/>
                <w:sz w:val="17"/>
              </w:rPr>
              <w:t>16.3</w:t>
            </w:r>
          </w:p>
        </w:tc>
        <w:tc>
          <w:tcPr>
            <w:tcW w:w="631" w:type="dxa"/>
            <w:tcBorders>
              <w:top w:val="single" w:color="D9D9D9" w:sz="8" w:space="0"/>
              <w:bottom w:val="single" w:color="DCDDDE" w:sz="4" w:space="0"/>
            </w:tcBorders>
          </w:tcPr>
          <w:p w:rsidR="00C31389" w:rsidRDefault="00561FBD" w14:paraId="271DC911" w14:textId="77777777">
            <w:pPr>
              <w:pStyle w:val="TableParagraph"/>
              <w:spacing w:before="41"/>
              <w:ind w:right="134"/>
              <w:jc w:val="right"/>
              <w:rPr>
                <w:sz w:val="17"/>
              </w:rPr>
            </w:pPr>
            <w:r>
              <w:rPr>
                <w:spacing w:val="-4"/>
                <w:sz w:val="17"/>
              </w:rPr>
              <w:t>15.4</w:t>
            </w:r>
          </w:p>
        </w:tc>
        <w:tc>
          <w:tcPr>
            <w:tcW w:w="613" w:type="dxa"/>
            <w:tcBorders>
              <w:top w:val="single" w:color="D9D9D9" w:sz="8" w:space="0"/>
              <w:bottom w:val="single" w:color="DCDDDE" w:sz="4" w:space="0"/>
            </w:tcBorders>
          </w:tcPr>
          <w:p w:rsidR="00C31389" w:rsidRDefault="00561FBD" w14:paraId="3CB74E18" w14:textId="77777777">
            <w:pPr>
              <w:pStyle w:val="TableParagraph"/>
              <w:spacing w:before="41"/>
              <w:ind w:right="117"/>
              <w:jc w:val="right"/>
              <w:rPr>
                <w:sz w:val="17"/>
              </w:rPr>
            </w:pPr>
            <w:r>
              <w:rPr>
                <w:spacing w:val="-4"/>
                <w:sz w:val="17"/>
              </w:rPr>
              <w:t>16.1</w:t>
            </w:r>
          </w:p>
        </w:tc>
      </w:tr>
      <w:tr w:rsidR="00C31389" w14:paraId="3C988469" w14:textId="77777777">
        <w:trPr>
          <w:trHeight w:val="275"/>
        </w:trPr>
        <w:tc>
          <w:tcPr>
            <w:tcW w:w="9384" w:type="dxa"/>
            <w:gridSpan w:val="13"/>
            <w:tcBorders>
              <w:top w:val="single" w:color="DCDDDE" w:sz="4" w:space="0"/>
              <w:bottom w:val="single" w:color="DCDDDE" w:sz="4" w:space="0"/>
            </w:tcBorders>
            <w:shd w:val="clear" w:color="auto" w:fill="BEBEBE"/>
          </w:tcPr>
          <w:p w:rsidR="00C31389" w:rsidRDefault="00561FBD" w14:paraId="11A9DD39" w14:textId="77777777">
            <w:pPr>
              <w:pStyle w:val="TableParagraph"/>
              <w:spacing w:before="42"/>
              <w:ind w:left="120"/>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3AC3FCB1" w14:textId="77777777">
        <w:trPr>
          <w:trHeight w:val="276"/>
        </w:trPr>
        <w:tc>
          <w:tcPr>
            <w:tcW w:w="1513" w:type="dxa"/>
            <w:tcBorders>
              <w:top w:val="single" w:color="DCDDDE" w:sz="4" w:space="0"/>
              <w:bottom w:val="single" w:color="DCDDDE" w:sz="4" w:space="0"/>
            </w:tcBorders>
          </w:tcPr>
          <w:p w:rsidR="00C31389" w:rsidRDefault="00561FBD" w14:paraId="421C8C88" w14:textId="77777777">
            <w:pPr>
              <w:pStyle w:val="TableParagraph"/>
              <w:spacing w:before="42"/>
              <w:ind w:left="120"/>
              <w:rPr>
                <w:sz w:val="17"/>
              </w:rPr>
            </w:pPr>
            <w:r>
              <w:rPr>
                <w:spacing w:val="-5"/>
                <w:sz w:val="17"/>
              </w:rPr>
              <w:t>EE</w:t>
            </w:r>
          </w:p>
        </w:tc>
        <w:tc>
          <w:tcPr>
            <w:tcW w:w="854" w:type="dxa"/>
            <w:tcBorders>
              <w:top w:val="single" w:color="DCDDDE" w:sz="4" w:space="0"/>
              <w:bottom w:val="single" w:color="DCDDDE" w:sz="4" w:space="0"/>
            </w:tcBorders>
          </w:tcPr>
          <w:p w:rsidR="00C31389" w:rsidRDefault="00561FBD" w14:paraId="5C4815D2" w14:textId="77777777">
            <w:pPr>
              <w:pStyle w:val="TableParagraph"/>
              <w:spacing w:before="42"/>
              <w:ind w:right="193"/>
              <w:jc w:val="right"/>
              <w:rPr>
                <w:sz w:val="17"/>
              </w:rPr>
            </w:pPr>
            <w:r>
              <w:rPr>
                <w:spacing w:val="-5"/>
                <w:sz w:val="17"/>
              </w:rPr>
              <w:t>7.0</w:t>
            </w:r>
          </w:p>
        </w:tc>
        <w:tc>
          <w:tcPr>
            <w:tcW w:w="712" w:type="dxa"/>
            <w:tcBorders>
              <w:top w:val="single" w:color="DCDDDE" w:sz="4" w:space="0"/>
              <w:bottom w:val="single" w:color="DCDDDE" w:sz="4" w:space="0"/>
            </w:tcBorders>
          </w:tcPr>
          <w:p w:rsidR="00C31389" w:rsidRDefault="00561FBD" w14:paraId="547A0004" w14:textId="77777777">
            <w:pPr>
              <w:pStyle w:val="TableParagraph"/>
              <w:spacing w:before="42"/>
              <w:ind w:right="138"/>
              <w:jc w:val="right"/>
              <w:rPr>
                <w:sz w:val="17"/>
              </w:rPr>
            </w:pPr>
            <w:r>
              <w:rPr>
                <w:spacing w:val="-5"/>
                <w:sz w:val="17"/>
              </w:rPr>
              <w:t>6.3</w:t>
            </w:r>
          </w:p>
        </w:tc>
        <w:tc>
          <w:tcPr>
            <w:tcW w:w="644" w:type="dxa"/>
            <w:tcBorders>
              <w:top w:val="single" w:color="DCDDDE" w:sz="4" w:space="0"/>
              <w:bottom w:val="single" w:color="DCDDDE" w:sz="4" w:space="0"/>
            </w:tcBorders>
          </w:tcPr>
          <w:p w:rsidR="00C31389" w:rsidRDefault="00561FBD" w14:paraId="675F746A" w14:textId="77777777">
            <w:pPr>
              <w:pStyle w:val="TableParagraph"/>
              <w:spacing w:before="42"/>
              <w:ind w:right="126"/>
              <w:jc w:val="right"/>
              <w:rPr>
                <w:sz w:val="17"/>
              </w:rPr>
            </w:pPr>
            <w:r>
              <w:rPr>
                <w:spacing w:val="-5"/>
                <w:sz w:val="17"/>
              </w:rPr>
              <w:t>5.4</w:t>
            </w:r>
          </w:p>
        </w:tc>
        <w:tc>
          <w:tcPr>
            <w:tcW w:w="631" w:type="dxa"/>
            <w:tcBorders>
              <w:top w:val="single" w:color="DCDDDE" w:sz="4" w:space="0"/>
              <w:bottom w:val="single" w:color="DCDDDE" w:sz="4" w:space="0"/>
            </w:tcBorders>
          </w:tcPr>
          <w:p w:rsidR="00C31389" w:rsidRDefault="00561FBD" w14:paraId="5401F3FA" w14:textId="77777777">
            <w:pPr>
              <w:pStyle w:val="TableParagraph"/>
              <w:spacing w:before="42"/>
              <w:ind w:right="127"/>
              <w:jc w:val="right"/>
              <w:rPr>
                <w:sz w:val="17"/>
              </w:rPr>
            </w:pPr>
            <w:r>
              <w:rPr>
                <w:spacing w:val="-5"/>
                <w:sz w:val="17"/>
              </w:rPr>
              <w:t>4.7</w:t>
            </w:r>
          </w:p>
        </w:tc>
        <w:tc>
          <w:tcPr>
            <w:tcW w:w="631" w:type="dxa"/>
            <w:tcBorders>
              <w:top w:val="single" w:color="DCDDDE" w:sz="4" w:space="0"/>
              <w:bottom w:val="single" w:color="DCDDDE" w:sz="4" w:space="0"/>
            </w:tcBorders>
          </w:tcPr>
          <w:p w:rsidR="00C31389" w:rsidRDefault="00561FBD" w14:paraId="69F9A61E" w14:textId="77777777">
            <w:pPr>
              <w:pStyle w:val="TableParagraph"/>
              <w:spacing w:before="42"/>
              <w:ind w:right="128"/>
              <w:jc w:val="right"/>
              <w:rPr>
                <w:sz w:val="17"/>
              </w:rPr>
            </w:pPr>
            <w:r>
              <w:rPr>
                <w:spacing w:val="-5"/>
                <w:sz w:val="17"/>
              </w:rPr>
              <w:t>4.3</w:t>
            </w:r>
          </w:p>
        </w:tc>
        <w:tc>
          <w:tcPr>
            <w:tcW w:w="631" w:type="dxa"/>
            <w:tcBorders>
              <w:top w:val="single" w:color="DCDDDE" w:sz="4" w:space="0"/>
              <w:bottom w:val="single" w:color="DCDDDE" w:sz="4" w:space="0"/>
            </w:tcBorders>
          </w:tcPr>
          <w:p w:rsidR="00C31389" w:rsidRDefault="00561FBD" w14:paraId="2966C71C" w14:textId="77777777">
            <w:pPr>
              <w:pStyle w:val="TableParagraph"/>
              <w:spacing w:before="42"/>
              <w:ind w:left="245" w:right="113"/>
              <w:jc w:val="center"/>
              <w:rPr>
                <w:sz w:val="17"/>
              </w:rPr>
            </w:pPr>
            <w:r>
              <w:rPr>
                <w:spacing w:val="-5"/>
                <w:sz w:val="17"/>
              </w:rPr>
              <w:t>4.0</w:t>
            </w:r>
          </w:p>
        </w:tc>
        <w:tc>
          <w:tcPr>
            <w:tcW w:w="631" w:type="dxa"/>
            <w:tcBorders>
              <w:top w:val="single" w:color="DCDDDE" w:sz="4" w:space="0"/>
              <w:bottom w:val="single" w:color="DCDDDE" w:sz="4" w:space="0"/>
            </w:tcBorders>
          </w:tcPr>
          <w:p w:rsidR="00C31389" w:rsidRDefault="00561FBD" w14:paraId="66F13A76" w14:textId="77777777">
            <w:pPr>
              <w:pStyle w:val="TableParagraph"/>
              <w:spacing w:before="42"/>
              <w:ind w:left="245" w:right="115"/>
              <w:jc w:val="center"/>
              <w:rPr>
                <w:sz w:val="17"/>
              </w:rPr>
            </w:pPr>
            <w:r>
              <w:rPr>
                <w:spacing w:val="-5"/>
                <w:sz w:val="17"/>
              </w:rPr>
              <w:t>4.2</w:t>
            </w:r>
          </w:p>
        </w:tc>
        <w:tc>
          <w:tcPr>
            <w:tcW w:w="631" w:type="dxa"/>
            <w:tcBorders>
              <w:top w:val="single" w:color="DCDDDE" w:sz="4" w:space="0"/>
              <w:bottom w:val="single" w:color="DCDDDE" w:sz="4" w:space="0"/>
            </w:tcBorders>
          </w:tcPr>
          <w:p w:rsidR="00C31389" w:rsidRDefault="00561FBD" w14:paraId="4F5CB109" w14:textId="77777777">
            <w:pPr>
              <w:pStyle w:val="TableParagraph"/>
              <w:spacing w:before="42"/>
              <w:ind w:right="131"/>
              <w:jc w:val="right"/>
              <w:rPr>
                <w:sz w:val="17"/>
              </w:rPr>
            </w:pPr>
            <w:r>
              <w:rPr>
                <w:spacing w:val="-5"/>
                <w:sz w:val="17"/>
              </w:rPr>
              <w:t>4.4</w:t>
            </w:r>
          </w:p>
        </w:tc>
        <w:tc>
          <w:tcPr>
            <w:tcW w:w="631" w:type="dxa"/>
            <w:tcBorders>
              <w:top w:val="single" w:color="DCDDDE" w:sz="4" w:space="0"/>
              <w:bottom w:val="single" w:color="DCDDDE" w:sz="4" w:space="0"/>
            </w:tcBorders>
          </w:tcPr>
          <w:p w:rsidR="00C31389" w:rsidRDefault="00561FBD" w14:paraId="32007CE3" w14:textId="77777777">
            <w:pPr>
              <w:pStyle w:val="TableParagraph"/>
              <w:spacing w:before="42"/>
              <w:ind w:right="132"/>
              <w:jc w:val="right"/>
              <w:rPr>
                <w:sz w:val="17"/>
              </w:rPr>
            </w:pPr>
            <w:r>
              <w:rPr>
                <w:spacing w:val="-5"/>
                <w:sz w:val="17"/>
              </w:rPr>
              <w:t>5.7</w:t>
            </w:r>
          </w:p>
        </w:tc>
        <w:tc>
          <w:tcPr>
            <w:tcW w:w="631" w:type="dxa"/>
            <w:tcBorders>
              <w:top w:val="single" w:color="DCDDDE" w:sz="4" w:space="0"/>
              <w:bottom w:val="single" w:color="DCDDDE" w:sz="4" w:space="0"/>
            </w:tcBorders>
          </w:tcPr>
          <w:p w:rsidR="00C31389" w:rsidRDefault="00561FBD" w14:paraId="57C3E967" w14:textId="77777777">
            <w:pPr>
              <w:pStyle w:val="TableParagraph"/>
              <w:spacing w:before="42"/>
              <w:ind w:left="240" w:right="116"/>
              <w:jc w:val="center"/>
              <w:rPr>
                <w:sz w:val="17"/>
              </w:rPr>
            </w:pPr>
            <w:r>
              <w:rPr>
                <w:spacing w:val="-5"/>
                <w:sz w:val="17"/>
              </w:rPr>
              <w:t>7.0</w:t>
            </w:r>
          </w:p>
        </w:tc>
        <w:tc>
          <w:tcPr>
            <w:tcW w:w="631" w:type="dxa"/>
            <w:tcBorders>
              <w:top w:val="single" w:color="DCDDDE" w:sz="4" w:space="0"/>
              <w:bottom w:val="single" w:color="DCDDDE" w:sz="4" w:space="0"/>
            </w:tcBorders>
          </w:tcPr>
          <w:p w:rsidR="00C31389" w:rsidRDefault="00561FBD" w14:paraId="11DE0590" w14:textId="77777777">
            <w:pPr>
              <w:pStyle w:val="TableParagraph"/>
              <w:spacing w:before="42"/>
              <w:ind w:right="134"/>
              <w:jc w:val="right"/>
              <w:rPr>
                <w:sz w:val="17"/>
              </w:rPr>
            </w:pPr>
            <w:r>
              <w:rPr>
                <w:spacing w:val="-5"/>
                <w:sz w:val="17"/>
              </w:rPr>
              <w:t>7.0</w:t>
            </w:r>
          </w:p>
        </w:tc>
        <w:tc>
          <w:tcPr>
            <w:tcW w:w="613" w:type="dxa"/>
            <w:tcBorders>
              <w:top w:val="single" w:color="DCDDDE" w:sz="4" w:space="0"/>
              <w:bottom w:val="single" w:color="DCDDDE" w:sz="4" w:space="0"/>
            </w:tcBorders>
          </w:tcPr>
          <w:p w:rsidR="00C31389" w:rsidRDefault="00561FBD" w14:paraId="0D88236E" w14:textId="77777777">
            <w:pPr>
              <w:pStyle w:val="TableParagraph"/>
              <w:spacing w:before="42"/>
              <w:ind w:right="117"/>
              <w:jc w:val="right"/>
              <w:rPr>
                <w:sz w:val="17"/>
              </w:rPr>
            </w:pPr>
            <w:r>
              <w:rPr>
                <w:spacing w:val="-5"/>
                <w:sz w:val="17"/>
              </w:rPr>
              <w:t>7.0</w:t>
            </w:r>
          </w:p>
        </w:tc>
      </w:tr>
    </w:tbl>
    <w:p w:rsidR="00C31389" w:rsidRDefault="00C31389" w14:paraId="0BC1E1F4" w14:textId="77777777">
      <w:pPr>
        <w:jc w:val="right"/>
        <w:rPr>
          <w:sz w:val="17"/>
        </w:rPr>
        <w:sectPr w:rsidR="00C31389">
          <w:pgSz w:w="12240" w:h="15840"/>
          <w:pgMar w:top="1380" w:right="1240" w:bottom="1120" w:left="1220" w:header="397" w:footer="936" w:gutter="0"/>
          <w:cols w:space="720"/>
        </w:sectPr>
      </w:pPr>
    </w:p>
    <w:p w:rsidR="00C31389" w:rsidRDefault="00C31389" w14:paraId="28060457"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507"/>
        <w:gridCol w:w="861"/>
        <w:gridCol w:w="712"/>
        <w:gridCol w:w="644"/>
        <w:gridCol w:w="631"/>
        <w:gridCol w:w="631"/>
        <w:gridCol w:w="631"/>
        <w:gridCol w:w="631"/>
        <w:gridCol w:w="631"/>
        <w:gridCol w:w="631"/>
        <w:gridCol w:w="631"/>
        <w:gridCol w:w="631"/>
        <w:gridCol w:w="613"/>
      </w:tblGrid>
      <w:tr w:rsidR="00C31389" w14:paraId="59FB0B60" w14:textId="77777777">
        <w:trPr>
          <w:trHeight w:val="252"/>
        </w:trPr>
        <w:tc>
          <w:tcPr>
            <w:tcW w:w="1507" w:type="dxa"/>
            <w:tcBorders>
              <w:top w:val="single" w:color="8B8B8B" w:sz="8" w:space="0"/>
            </w:tcBorders>
          </w:tcPr>
          <w:p w:rsidR="00C31389" w:rsidRDefault="00C31389" w14:paraId="09E14803" w14:textId="77777777">
            <w:pPr>
              <w:pStyle w:val="TableParagraph"/>
              <w:spacing w:before="0"/>
              <w:rPr>
                <w:rFonts w:ascii="Times New Roman"/>
                <w:sz w:val="16"/>
              </w:rPr>
            </w:pPr>
          </w:p>
        </w:tc>
        <w:tc>
          <w:tcPr>
            <w:tcW w:w="861" w:type="dxa"/>
            <w:tcBorders>
              <w:top w:val="single" w:color="8B8B8B" w:sz="8" w:space="0"/>
            </w:tcBorders>
          </w:tcPr>
          <w:p w:rsidR="00C31389" w:rsidRDefault="00C31389" w14:paraId="22945CBB" w14:textId="77777777">
            <w:pPr>
              <w:pStyle w:val="TableParagraph"/>
              <w:spacing w:before="0"/>
              <w:rPr>
                <w:rFonts w:ascii="Times New Roman"/>
                <w:sz w:val="16"/>
              </w:rPr>
            </w:pPr>
          </w:p>
        </w:tc>
        <w:tc>
          <w:tcPr>
            <w:tcW w:w="712" w:type="dxa"/>
            <w:tcBorders>
              <w:top w:val="single" w:color="8B8B8B" w:sz="8" w:space="0"/>
            </w:tcBorders>
          </w:tcPr>
          <w:p w:rsidR="00C31389" w:rsidRDefault="00C31389" w14:paraId="30B629E8" w14:textId="77777777">
            <w:pPr>
              <w:pStyle w:val="TableParagraph"/>
              <w:spacing w:before="0"/>
              <w:rPr>
                <w:rFonts w:ascii="Times New Roman"/>
                <w:sz w:val="16"/>
              </w:rPr>
            </w:pPr>
          </w:p>
        </w:tc>
        <w:tc>
          <w:tcPr>
            <w:tcW w:w="644" w:type="dxa"/>
            <w:tcBorders>
              <w:top w:val="single" w:color="8B8B8B" w:sz="8" w:space="0"/>
            </w:tcBorders>
          </w:tcPr>
          <w:p w:rsidR="00C31389" w:rsidRDefault="00C31389" w14:paraId="5772770E"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5D4E42C1"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1E63CAD2"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7568928F"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47CB6199"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606C08EA"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2B9EED26"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0AFC931D"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16A47DE1" w14:textId="77777777">
            <w:pPr>
              <w:pStyle w:val="TableParagraph"/>
              <w:spacing w:before="0"/>
              <w:rPr>
                <w:rFonts w:ascii="Times New Roman"/>
                <w:sz w:val="16"/>
              </w:rPr>
            </w:pPr>
          </w:p>
        </w:tc>
        <w:tc>
          <w:tcPr>
            <w:tcW w:w="613" w:type="dxa"/>
            <w:tcBorders>
              <w:top w:val="single" w:color="8B8B8B" w:sz="8" w:space="0"/>
            </w:tcBorders>
          </w:tcPr>
          <w:p w:rsidR="00C31389" w:rsidRDefault="00C31389" w14:paraId="3F7DD903" w14:textId="77777777">
            <w:pPr>
              <w:pStyle w:val="TableParagraph"/>
              <w:spacing w:before="0"/>
              <w:rPr>
                <w:rFonts w:ascii="Times New Roman"/>
                <w:sz w:val="16"/>
              </w:rPr>
            </w:pPr>
          </w:p>
        </w:tc>
      </w:tr>
      <w:tr w:rsidR="00C31389" w14:paraId="5E33FDDF" w14:textId="77777777">
        <w:trPr>
          <w:trHeight w:val="305"/>
        </w:trPr>
        <w:tc>
          <w:tcPr>
            <w:tcW w:w="1507" w:type="dxa"/>
            <w:shd w:val="clear" w:color="auto" w:fill="92D400"/>
          </w:tcPr>
          <w:p w:rsidR="00C31389" w:rsidRDefault="00561FBD" w14:paraId="0EF04010" w14:textId="77777777">
            <w:pPr>
              <w:pStyle w:val="TableParagraph"/>
              <w:spacing w:before="41"/>
              <w:ind w:left="122"/>
              <w:rPr>
                <w:b/>
                <w:sz w:val="17"/>
              </w:rPr>
            </w:pPr>
            <w:r>
              <w:rPr>
                <w:b/>
                <w:spacing w:val="-4"/>
                <w:sz w:val="17"/>
              </w:rPr>
              <w:t>Year</w:t>
            </w:r>
          </w:p>
        </w:tc>
        <w:tc>
          <w:tcPr>
            <w:tcW w:w="861" w:type="dxa"/>
            <w:shd w:val="clear" w:color="auto" w:fill="92D400"/>
          </w:tcPr>
          <w:p w:rsidR="00C31389" w:rsidRDefault="00561FBD" w14:paraId="31D665A7" w14:textId="77777777">
            <w:pPr>
              <w:pStyle w:val="TableParagraph"/>
              <w:spacing w:before="41"/>
              <w:ind w:right="191"/>
              <w:jc w:val="right"/>
              <w:rPr>
                <w:b/>
                <w:sz w:val="17"/>
              </w:rPr>
            </w:pPr>
            <w:r>
              <w:rPr>
                <w:b/>
                <w:spacing w:val="-4"/>
                <w:sz w:val="17"/>
              </w:rPr>
              <w:t>2024</w:t>
            </w:r>
          </w:p>
        </w:tc>
        <w:tc>
          <w:tcPr>
            <w:tcW w:w="712" w:type="dxa"/>
            <w:shd w:val="clear" w:color="auto" w:fill="92D400"/>
          </w:tcPr>
          <w:p w:rsidR="00C31389" w:rsidRDefault="00561FBD" w14:paraId="09068838"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5AA489EF" w14:textId="77777777">
            <w:pPr>
              <w:pStyle w:val="TableParagraph"/>
              <w:spacing w:before="41"/>
              <w:ind w:right="124"/>
              <w:jc w:val="right"/>
              <w:rPr>
                <w:b/>
                <w:sz w:val="17"/>
              </w:rPr>
            </w:pPr>
            <w:r>
              <w:rPr>
                <w:b/>
                <w:spacing w:val="-4"/>
                <w:sz w:val="17"/>
              </w:rPr>
              <w:t>2026</w:t>
            </w:r>
          </w:p>
        </w:tc>
        <w:tc>
          <w:tcPr>
            <w:tcW w:w="631" w:type="dxa"/>
            <w:shd w:val="clear" w:color="auto" w:fill="92D400"/>
          </w:tcPr>
          <w:p w:rsidR="00C31389" w:rsidRDefault="00561FBD" w14:paraId="754C7B80" w14:textId="77777777">
            <w:pPr>
              <w:pStyle w:val="TableParagraph"/>
              <w:spacing w:before="41"/>
              <w:ind w:right="125"/>
              <w:jc w:val="right"/>
              <w:rPr>
                <w:b/>
                <w:sz w:val="17"/>
              </w:rPr>
            </w:pPr>
            <w:r>
              <w:rPr>
                <w:b/>
                <w:spacing w:val="-4"/>
                <w:sz w:val="17"/>
              </w:rPr>
              <w:t>2027</w:t>
            </w:r>
          </w:p>
        </w:tc>
        <w:tc>
          <w:tcPr>
            <w:tcW w:w="631" w:type="dxa"/>
            <w:shd w:val="clear" w:color="auto" w:fill="92D400"/>
          </w:tcPr>
          <w:p w:rsidR="00C31389" w:rsidRDefault="00561FBD" w14:paraId="122ACA00" w14:textId="77777777">
            <w:pPr>
              <w:pStyle w:val="TableParagraph"/>
              <w:spacing w:before="41"/>
              <w:ind w:right="126"/>
              <w:jc w:val="right"/>
              <w:rPr>
                <w:b/>
                <w:sz w:val="17"/>
              </w:rPr>
            </w:pPr>
            <w:r>
              <w:rPr>
                <w:b/>
                <w:spacing w:val="-4"/>
                <w:sz w:val="17"/>
              </w:rPr>
              <w:t>2028</w:t>
            </w:r>
          </w:p>
        </w:tc>
        <w:tc>
          <w:tcPr>
            <w:tcW w:w="631" w:type="dxa"/>
            <w:shd w:val="clear" w:color="auto" w:fill="92D400"/>
          </w:tcPr>
          <w:p w:rsidR="00C31389" w:rsidRDefault="00561FBD" w14:paraId="0E941614" w14:textId="77777777">
            <w:pPr>
              <w:pStyle w:val="TableParagraph"/>
              <w:spacing w:before="41"/>
              <w:ind w:left="106" w:right="111"/>
              <w:jc w:val="center"/>
              <w:rPr>
                <w:b/>
                <w:sz w:val="17"/>
              </w:rPr>
            </w:pPr>
            <w:r>
              <w:rPr>
                <w:b/>
                <w:spacing w:val="-4"/>
                <w:sz w:val="17"/>
              </w:rPr>
              <w:t>2029</w:t>
            </w:r>
          </w:p>
        </w:tc>
        <w:tc>
          <w:tcPr>
            <w:tcW w:w="631" w:type="dxa"/>
            <w:shd w:val="clear" w:color="auto" w:fill="92D400"/>
          </w:tcPr>
          <w:p w:rsidR="00C31389" w:rsidRDefault="00561FBD" w14:paraId="621FB9F5" w14:textId="77777777">
            <w:pPr>
              <w:pStyle w:val="TableParagraph"/>
              <w:spacing w:before="41"/>
              <w:ind w:left="106" w:right="113"/>
              <w:jc w:val="center"/>
              <w:rPr>
                <w:b/>
                <w:sz w:val="17"/>
              </w:rPr>
            </w:pPr>
            <w:r>
              <w:rPr>
                <w:b/>
                <w:spacing w:val="-4"/>
                <w:sz w:val="17"/>
              </w:rPr>
              <w:t>2030</w:t>
            </w:r>
          </w:p>
        </w:tc>
        <w:tc>
          <w:tcPr>
            <w:tcW w:w="631" w:type="dxa"/>
            <w:shd w:val="clear" w:color="auto" w:fill="92D400"/>
          </w:tcPr>
          <w:p w:rsidR="00C31389" w:rsidRDefault="00561FBD" w14:paraId="762DCAC9" w14:textId="77777777">
            <w:pPr>
              <w:pStyle w:val="TableParagraph"/>
              <w:spacing w:before="41"/>
              <w:ind w:right="129"/>
              <w:jc w:val="right"/>
              <w:rPr>
                <w:b/>
                <w:sz w:val="17"/>
              </w:rPr>
            </w:pPr>
            <w:r>
              <w:rPr>
                <w:b/>
                <w:spacing w:val="-4"/>
                <w:sz w:val="17"/>
              </w:rPr>
              <w:t>2031</w:t>
            </w:r>
          </w:p>
        </w:tc>
        <w:tc>
          <w:tcPr>
            <w:tcW w:w="631" w:type="dxa"/>
            <w:shd w:val="clear" w:color="auto" w:fill="92D400"/>
          </w:tcPr>
          <w:p w:rsidR="00C31389" w:rsidRDefault="00561FBD" w14:paraId="55C9789B" w14:textId="77777777">
            <w:pPr>
              <w:pStyle w:val="TableParagraph"/>
              <w:spacing w:before="41"/>
              <w:ind w:right="130"/>
              <w:jc w:val="right"/>
              <w:rPr>
                <w:b/>
                <w:sz w:val="17"/>
              </w:rPr>
            </w:pPr>
            <w:r>
              <w:rPr>
                <w:b/>
                <w:spacing w:val="-4"/>
                <w:sz w:val="17"/>
              </w:rPr>
              <w:t>2032</w:t>
            </w:r>
          </w:p>
        </w:tc>
        <w:tc>
          <w:tcPr>
            <w:tcW w:w="631" w:type="dxa"/>
            <w:shd w:val="clear" w:color="auto" w:fill="92D400"/>
          </w:tcPr>
          <w:p w:rsidR="00C31389" w:rsidRDefault="00561FBD" w14:paraId="2D24A841" w14:textId="77777777">
            <w:pPr>
              <w:pStyle w:val="TableParagraph"/>
              <w:spacing w:before="41"/>
              <w:ind w:left="103" w:right="116"/>
              <w:jc w:val="center"/>
              <w:rPr>
                <w:b/>
                <w:sz w:val="17"/>
              </w:rPr>
            </w:pPr>
            <w:r>
              <w:rPr>
                <w:b/>
                <w:spacing w:val="-4"/>
                <w:sz w:val="17"/>
              </w:rPr>
              <w:t>2033</w:t>
            </w:r>
          </w:p>
        </w:tc>
        <w:tc>
          <w:tcPr>
            <w:tcW w:w="631" w:type="dxa"/>
            <w:shd w:val="clear" w:color="auto" w:fill="92D400"/>
          </w:tcPr>
          <w:p w:rsidR="00C31389" w:rsidRDefault="00561FBD" w14:paraId="72578633" w14:textId="77777777">
            <w:pPr>
              <w:pStyle w:val="TableParagraph"/>
              <w:spacing w:before="41"/>
              <w:ind w:right="132"/>
              <w:jc w:val="right"/>
              <w:rPr>
                <w:b/>
                <w:sz w:val="17"/>
              </w:rPr>
            </w:pPr>
            <w:r>
              <w:rPr>
                <w:b/>
                <w:spacing w:val="-4"/>
                <w:sz w:val="17"/>
              </w:rPr>
              <w:t>2034</w:t>
            </w:r>
          </w:p>
        </w:tc>
        <w:tc>
          <w:tcPr>
            <w:tcW w:w="613" w:type="dxa"/>
            <w:shd w:val="clear" w:color="auto" w:fill="92D400"/>
          </w:tcPr>
          <w:p w:rsidR="00C31389" w:rsidRDefault="00561FBD" w14:paraId="22C44266" w14:textId="77777777">
            <w:pPr>
              <w:pStyle w:val="TableParagraph"/>
              <w:spacing w:before="41"/>
              <w:ind w:right="115"/>
              <w:jc w:val="right"/>
              <w:rPr>
                <w:b/>
                <w:sz w:val="17"/>
              </w:rPr>
            </w:pPr>
            <w:r>
              <w:rPr>
                <w:b/>
                <w:spacing w:val="-4"/>
                <w:sz w:val="17"/>
              </w:rPr>
              <w:t>2035</w:t>
            </w:r>
          </w:p>
        </w:tc>
      </w:tr>
      <w:tr w:rsidR="00C31389" w14:paraId="418A6A91" w14:textId="77777777">
        <w:trPr>
          <w:trHeight w:val="254"/>
        </w:trPr>
        <w:tc>
          <w:tcPr>
            <w:tcW w:w="1507" w:type="dxa"/>
            <w:tcBorders>
              <w:bottom w:val="single" w:color="DCDDDE" w:sz="4" w:space="0"/>
            </w:tcBorders>
          </w:tcPr>
          <w:p w:rsidR="00C31389" w:rsidRDefault="00561FBD" w14:paraId="0B9F4468" w14:textId="77777777">
            <w:pPr>
              <w:pStyle w:val="TableParagraph"/>
              <w:spacing w:before="20"/>
              <w:ind w:left="122"/>
              <w:rPr>
                <w:sz w:val="17"/>
              </w:rPr>
            </w:pPr>
            <w:r>
              <w:rPr>
                <w:spacing w:val="-5"/>
                <w:sz w:val="17"/>
              </w:rPr>
              <w:t>FS</w:t>
            </w:r>
          </w:p>
        </w:tc>
        <w:tc>
          <w:tcPr>
            <w:tcW w:w="861" w:type="dxa"/>
            <w:tcBorders>
              <w:bottom w:val="single" w:color="DCDDDE" w:sz="4" w:space="0"/>
            </w:tcBorders>
          </w:tcPr>
          <w:p w:rsidR="00C31389" w:rsidRDefault="00561FBD" w14:paraId="78100EF0" w14:textId="77777777">
            <w:pPr>
              <w:pStyle w:val="TableParagraph"/>
              <w:spacing w:before="20"/>
              <w:ind w:right="193"/>
              <w:jc w:val="right"/>
              <w:rPr>
                <w:sz w:val="17"/>
              </w:rPr>
            </w:pPr>
            <w:r>
              <w:rPr>
                <w:spacing w:val="-5"/>
                <w:sz w:val="17"/>
              </w:rPr>
              <w:t>0.0</w:t>
            </w:r>
          </w:p>
        </w:tc>
        <w:tc>
          <w:tcPr>
            <w:tcW w:w="712" w:type="dxa"/>
            <w:tcBorders>
              <w:bottom w:val="single" w:color="DCDDDE" w:sz="4" w:space="0"/>
            </w:tcBorders>
          </w:tcPr>
          <w:p w:rsidR="00C31389" w:rsidRDefault="00561FBD" w14:paraId="1B1A0021" w14:textId="77777777">
            <w:pPr>
              <w:pStyle w:val="TableParagraph"/>
              <w:spacing w:before="20"/>
              <w:ind w:right="138"/>
              <w:jc w:val="right"/>
              <w:rPr>
                <w:sz w:val="17"/>
              </w:rPr>
            </w:pPr>
            <w:r>
              <w:rPr>
                <w:spacing w:val="-5"/>
                <w:sz w:val="17"/>
              </w:rPr>
              <w:t>0.0</w:t>
            </w:r>
          </w:p>
        </w:tc>
        <w:tc>
          <w:tcPr>
            <w:tcW w:w="644" w:type="dxa"/>
            <w:tcBorders>
              <w:bottom w:val="single" w:color="DCDDDE" w:sz="4" w:space="0"/>
            </w:tcBorders>
          </w:tcPr>
          <w:p w:rsidR="00C31389" w:rsidRDefault="00561FBD" w14:paraId="4F83BE0A" w14:textId="77777777">
            <w:pPr>
              <w:pStyle w:val="TableParagraph"/>
              <w:spacing w:before="20"/>
              <w:ind w:right="126"/>
              <w:jc w:val="right"/>
              <w:rPr>
                <w:sz w:val="17"/>
              </w:rPr>
            </w:pPr>
            <w:r>
              <w:rPr>
                <w:spacing w:val="-5"/>
                <w:sz w:val="17"/>
              </w:rPr>
              <w:t>0.0</w:t>
            </w:r>
          </w:p>
        </w:tc>
        <w:tc>
          <w:tcPr>
            <w:tcW w:w="631" w:type="dxa"/>
            <w:tcBorders>
              <w:bottom w:val="single" w:color="DCDDDE" w:sz="4" w:space="0"/>
            </w:tcBorders>
          </w:tcPr>
          <w:p w:rsidR="00C31389" w:rsidRDefault="00561FBD" w14:paraId="0C1E6D7D" w14:textId="77777777">
            <w:pPr>
              <w:pStyle w:val="TableParagraph"/>
              <w:spacing w:before="20"/>
              <w:ind w:right="127"/>
              <w:jc w:val="right"/>
              <w:rPr>
                <w:sz w:val="17"/>
              </w:rPr>
            </w:pPr>
            <w:r>
              <w:rPr>
                <w:spacing w:val="-5"/>
                <w:sz w:val="17"/>
              </w:rPr>
              <w:t>0.0</w:t>
            </w:r>
          </w:p>
        </w:tc>
        <w:tc>
          <w:tcPr>
            <w:tcW w:w="631" w:type="dxa"/>
            <w:tcBorders>
              <w:bottom w:val="single" w:color="DCDDDE" w:sz="4" w:space="0"/>
            </w:tcBorders>
          </w:tcPr>
          <w:p w:rsidR="00C31389" w:rsidRDefault="00561FBD" w14:paraId="065AFE73" w14:textId="77777777">
            <w:pPr>
              <w:pStyle w:val="TableParagraph"/>
              <w:spacing w:before="20"/>
              <w:ind w:right="128"/>
              <w:jc w:val="right"/>
              <w:rPr>
                <w:sz w:val="17"/>
              </w:rPr>
            </w:pPr>
            <w:r>
              <w:rPr>
                <w:spacing w:val="-5"/>
                <w:sz w:val="17"/>
              </w:rPr>
              <w:t>0.0</w:t>
            </w:r>
          </w:p>
        </w:tc>
        <w:tc>
          <w:tcPr>
            <w:tcW w:w="631" w:type="dxa"/>
            <w:tcBorders>
              <w:bottom w:val="single" w:color="DCDDDE" w:sz="4" w:space="0"/>
            </w:tcBorders>
          </w:tcPr>
          <w:p w:rsidR="00C31389" w:rsidRDefault="00561FBD" w14:paraId="6BE0316E" w14:textId="77777777">
            <w:pPr>
              <w:pStyle w:val="TableParagraph"/>
              <w:spacing w:before="20"/>
              <w:ind w:left="245" w:right="113"/>
              <w:jc w:val="center"/>
              <w:rPr>
                <w:sz w:val="17"/>
              </w:rPr>
            </w:pPr>
            <w:r>
              <w:rPr>
                <w:spacing w:val="-5"/>
                <w:sz w:val="17"/>
              </w:rPr>
              <w:t>0.0</w:t>
            </w:r>
          </w:p>
        </w:tc>
        <w:tc>
          <w:tcPr>
            <w:tcW w:w="631" w:type="dxa"/>
            <w:tcBorders>
              <w:bottom w:val="single" w:color="DCDDDE" w:sz="4" w:space="0"/>
            </w:tcBorders>
          </w:tcPr>
          <w:p w:rsidR="00C31389" w:rsidRDefault="00561FBD" w14:paraId="12D536E2" w14:textId="77777777">
            <w:pPr>
              <w:pStyle w:val="TableParagraph"/>
              <w:spacing w:before="20"/>
              <w:ind w:left="245" w:right="115"/>
              <w:jc w:val="center"/>
              <w:rPr>
                <w:sz w:val="17"/>
              </w:rPr>
            </w:pPr>
            <w:r>
              <w:rPr>
                <w:spacing w:val="-5"/>
                <w:sz w:val="17"/>
              </w:rPr>
              <w:t>0.0</w:t>
            </w:r>
          </w:p>
        </w:tc>
        <w:tc>
          <w:tcPr>
            <w:tcW w:w="631" w:type="dxa"/>
            <w:tcBorders>
              <w:bottom w:val="single" w:color="DCDDDE" w:sz="4" w:space="0"/>
            </w:tcBorders>
          </w:tcPr>
          <w:p w:rsidR="00C31389" w:rsidRDefault="00561FBD" w14:paraId="18A74190" w14:textId="77777777">
            <w:pPr>
              <w:pStyle w:val="TableParagraph"/>
              <w:spacing w:before="20"/>
              <w:ind w:right="131"/>
              <w:jc w:val="right"/>
              <w:rPr>
                <w:sz w:val="17"/>
              </w:rPr>
            </w:pPr>
            <w:r>
              <w:rPr>
                <w:spacing w:val="-5"/>
                <w:sz w:val="17"/>
              </w:rPr>
              <w:t>0.0</w:t>
            </w:r>
          </w:p>
        </w:tc>
        <w:tc>
          <w:tcPr>
            <w:tcW w:w="631" w:type="dxa"/>
            <w:tcBorders>
              <w:bottom w:val="single" w:color="DCDDDE" w:sz="4" w:space="0"/>
            </w:tcBorders>
          </w:tcPr>
          <w:p w:rsidR="00C31389" w:rsidRDefault="00561FBD" w14:paraId="638AF366" w14:textId="77777777">
            <w:pPr>
              <w:pStyle w:val="TableParagraph"/>
              <w:spacing w:before="20"/>
              <w:ind w:right="132"/>
              <w:jc w:val="right"/>
              <w:rPr>
                <w:sz w:val="17"/>
              </w:rPr>
            </w:pPr>
            <w:r>
              <w:rPr>
                <w:spacing w:val="-5"/>
                <w:sz w:val="17"/>
              </w:rPr>
              <w:t>0.0</w:t>
            </w:r>
          </w:p>
        </w:tc>
        <w:tc>
          <w:tcPr>
            <w:tcW w:w="631" w:type="dxa"/>
            <w:tcBorders>
              <w:bottom w:val="single" w:color="DCDDDE" w:sz="4" w:space="0"/>
            </w:tcBorders>
          </w:tcPr>
          <w:p w:rsidR="00C31389" w:rsidRDefault="00561FBD" w14:paraId="64A871D6" w14:textId="77777777">
            <w:pPr>
              <w:pStyle w:val="TableParagraph"/>
              <w:spacing w:before="20"/>
              <w:ind w:left="240" w:right="116"/>
              <w:jc w:val="center"/>
              <w:rPr>
                <w:sz w:val="17"/>
              </w:rPr>
            </w:pPr>
            <w:r>
              <w:rPr>
                <w:spacing w:val="-5"/>
                <w:sz w:val="17"/>
              </w:rPr>
              <w:t>0.0</w:t>
            </w:r>
          </w:p>
        </w:tc>
        <w:tc>
          <w:tcPr>
            <w:tcW w:w="631" w:type="dxa"/>
            <w:tcBorders>
              <w:bottom w:val="single" w:color="DCDDDE" w:sz="4" w:space="0"/>
            </w:tcBorders>
          </w:tcPr>
          <w:p w:rsidR="00C31389" w:rsidRDefault="00561FBD" w14:paraId="2D23FA28" w14:textId="77777777">
            <w:pPr>
              <w:pStyle w:val="TableParagraph"/>
              <w:spacing w:before="20"/>
              <w:ind w:right="134"/>
              <w:jc w:val="right"/>
              <w:rPr>
                <w:sz w:val="17"/>
              </w:rPr>
            </w:pPr>
            <w:r>
              <w:rPr>
                <w:spacing w:val="-5"/>
                <w:sz w:val="17"/>
              </w:rPr>
              <w:t>0.0</w:t>
            </w:r>
          </w:p>
        </w:tc>
        <w:tc>
          <w:tcPr>
            <w:tcW w:w="613" w:type="dxa"/>
            <w:tcBorders>
              <w:bottom w:val="single" w:color="DCDDDE" w:sz="4" w:space="0"/>
            </w:tcBorders>
          </w:tcPr>
          <w:p w:rsidR="00C31389" w:rsidRDefault="00561FBD" w14:paraId="58409B15" w14:textId="77777777">
            <w:pPr>
              <w:pStyle w:val="TableParagraph"/>
              <w:spacing w:before="20"/>
              <w:ind w:right="117"/>
              <w:jc w:val="right"/>
              <w:rPr>
                <w:sz w:val="17"/>
              </w:rPr>
            </w:pPr>
            <w:r>
              <w:rPr>
                <w:spacing w:val="-5"/>
                <w:sz w:val="17"/>
              </w:rPr>
              <w:t>0.0</w:t>
            </w:r>
          </w:p>
        </w:tc>
      </w:tr>
      <w:tr w:rsidR="00C31389" w14:paraId="4DB99CB2" w14:textId="77777777">
        <w:trPr>
          <w:trHeight w:val="275"/>
        </w:trPr>
        <w:tc>
          <w:tcPr>
            <w:tcW w:w="1507" w:type="dxa"/>
            <w:tcBorders>
              <w:top w:val="single" w:color="DCDDDE" w:sz="4" w:space="0"/>
              <w:bottom w:val="single" w:color="DCDDDE" w:sz="4" w:space="0"/>
            </w:tcBorders>
          </w:tcPr>
          <w:p w:rsidR="00C31389" w:rsidRDefault="00561FBD" w14:paraId="762712C4" w14:textId="77777777">
            <w:pPr>
              <w:pStyle w:val="TableParagraph"/>
              <w:spacing w:before="42"/>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5407DE17" w14:textId="77777777">
            <w:pPr>
              <w:pStyle w:val="TableParagraph"/>
              <w:spacing w:before="42"/>
              <w:ind w:right="192"/>
              <w:jc w:val="right"/>
              <w:rPr>
                <w:sz w:val="17"/>
              </w:rPr>
            </w:pPr>
            <w:r>
              <w:rPr>
                <w:spacing w:val="-4"/>
                <w:sz w:val="17"/>
              </w:rPr>
              <w:t>11.3</w:t>
            </w:r>
          </w:p>
        </w:tc>
        <w:tc>
          <w:tcPr>
            <w:tcW w:w="712" w:type="dxa"/>
            <w:tcBorders>
              <w:top w:val="single" w:color="DCDDDE" w:sz="4" w:space="0"/>
              <w:bottom w:val="single" w:color="DCDDDE" w:sz="4" w:space="0"/>
            </w:tcBorders>
          </w:tcPr>
          <w:p w:rsidR="00C31389" w:rsidRDefault="00561FBD" w14:paraId="4CDFFFFB" w14:textId="77777777">
            <w:pPr>
              <w:pStyle w:val="TableParagraph"/>
              <w:spacing w:before="42"/>
              <w:ind w:right="138"/>
              <w:jc w:val="right"/>
              <w:rPr>
                <w:sz w:val="17"/>
              </w:rPr>
            </w:pPr>
            <w:r>
              <w:rPr>
                <w:spacing w:val="-4"/>
                <w:sz w:val="17"/>
              </w:rPr>
              <w:t>11.7</w:t>
            </w:r>
          </w:p>
        </w:tc>
        <w:tc>
          <w:tcPr>
            <w:tcW w:w="644" w:type="dxa"/>
            <w:tcBorders>
              <w:top w:val="single" w:color="DCDDDE" w:sz="4" w:space="0"/>
              <w:bottom w:val="single" w:color="DCDDDE" w:sz="4" w:space="0"/>
            </w:tcBorders>
          </w:tcPr>
          <w:p w:rsidR="00C31389" w:rsidRDefault="00561FBD" w14:paraId="486C220A" w14:textId="77777777">
            <w:pPr>
              <w:pStyle w:val="TableParagraph"/>
              <w:spacing w:before="42"/>
              <w:ind w:right="125"/>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7762BC03" w14:textId="77777777">
            <w:pPr>
              <w:pStyle w:val="TableParagraph"/>
              <w:spacing w:before="42"/>
              <w:ind w:right="126"/>
              <w:jc w:val="right"/>
              <w:rPr>
                <w:sz w:val="17"/>
              </w:rPr>
            </w:pPr>
            <w:r>
              <w:rPr>
                <w:spacing w:val="-4"/>
                <w:sz w:val="17"/>
              </w:rPr>
              <w:t>12.5</w:t>
            </w:r>
          </w:p>
        </w:tc>
        <w:tc>
          <w:tcPr>
            <w:tcW w:w="631" w:type="dxa"/>
            <w:tcBorders>
              <w:top w:val="single" w:color="DCDDDE" w:sz="4" w:space="0"/>
              <w:bottom w:val="single" w:color="DCDDDE" w:sz="4" w:space="0"/>
            </w:tcBorders>
          </w:tcPr>
          <w:p w:rsidR="00C31389" w:rsidRDefault="00561FBD" w14:paraId="21D3ABE3" w14:textId="77777777">
            <w:pPr>
              <w:pStyle w:val="TableParagraph"/>
              <w:spacing w:before="42"/>
              <w:ind w:right="127"/>
              <w:jc w:val="right"/>
              <w:rPr>
                <w:sz w:val="17"/>
              </w:rPr>
            </w:pPr>
            <w:r>
              <w:rPr>
                <w:spacing w:val="-4"/>
                <w:sz w:val="17"/>
              </w:rPr>
              <w:t>13.0</w:t>
            </w:r>
          </w:p>
        </w:tc>
        <w:tc>
          <w:tcPr>
            <w:tcW w:w="631" w:type="dxa"/>
            <w:tcBorders>
              <w:top w:val="single" w:color="DCDDDE" w:sz="4" w:space="0"/>
              <w:bottom w:val="single" w:color="DCDDDE" w:sz="4" w:space="0"/>
            </w:tcBorders>
          </w:tcPr>
          <w:p w:rsidR="00C31389" w:rsidRDefault="00561FBD" w14:paraId="5075F36A" w14:textId="77777777">
            <w:pPr>
              <w:pStyle w:val="TableParagraph"/>
              <w:spacing w:before="42"/>
              <w:ind w:left="106" w:right="68"/>
              <w:jc w:val="center"/>
              <w:rPr>
                <w:sz w:val="17"/>
              </w:rPr>
            </w:pPr>
            <w:r>
              <w:rPr>
                <w:spacing w:val="-4"/>
                <w:sz w:val="17"/>
              </w:rPr>
              <w:t>13.4</w:t>
            </w:r>
          </w:p>
        </w:tc>
        <w:tc>
          <w:tcPr>
            <w:tcW w:w="631" w:type="dxa"/>
            <w:tcBorders>
              <w:top w:val="single" w:color="DCDDDE" w:sz="4" w:space="0"/>
              <w:bottom w:val="single" w:color="DCDDDE" w:sz="4" w:space="0"/>
            </w:tcBorders>
          </w:tcPr>
          <w:p w:rsidR="00C31389" w:rsidRDefault="00561FBD" w14:paraId="5807FC14" w14:textId="77777777">
            <w:pPr>
              <w:pStyle w:val="TableParagraph"/>
              <w:spacing w:before="42"/>
              <w:ind w:left="106" w:right="70"/>
              <w:jc w:val="center"/>
              <w:rPr>
                <w:sz w:val="17"/>
              </w:rPr>
            </w:pPr>
            <w:r>
              <w:rPr>
                <w:spacing w:val="-4"/>
                <w:sz w:val="17"/>
              </w:rPr>
              <w:t>14.0</w:t>
            </w:r>
          </w:p>
        </w:tc>
        <w:tc>
          <w:tcPr>
            <w:tcW w:w="631" w:type="dxa"/>
            <w:tcBorders>
              <w:top w:val="single" w:color="DCDDDE" w:sz="4" w:space="0"/>
              <w:bottom w:val="single" w:color="DCDDDE" w:sz="4" w:space="0"/>
            </w:tcBorders>
          </w:tcPr>
          <w:p w:rsidR="00C31389" w:rsidRDefault="00561FBD" w14:paraId="455E6B8C" w14:textId="77777777">
            <w:pPr>
              <w:pStyle w:val="TableParagraph"/>
              <w:spacing w:before="42"/>
              <w:ind w:right="130"/>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5250C35C" w14:textId="77777777">
            <w:pPr>
              <w:pStyle w:val="TableParagraph"/>
              <w:spacing w:before="42"/>
              <w:ind w:right="131"/>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7F6370AB" w14:textId="77777777">
            <w:pPr>
              <w:pStyle w:val="TableParagraph"/>
              <w:spacing w:before="42"/>
              <w:ind w:left="106" w:right="76"/>
              <w:jc w:val="center"/>
              <w:rPr>
                <w:sz w:val="17"/>
              </w:rPr>
            </w:pPr>
            <w:r>
              <w:rPr>
                <w:spacing w:val="-4"/>
                <w:sz w:val="17"/>
              </w:rPr>
              <w:t>16.3</w:t>
            </w:r>
          </w:p>
        </w:tc>
        <w:tc>
          <w:tcPr>
            <w:tcW w:w="631" w:type="dxa"/>
            <w:tcBorders>
              <w:top w:val="single" w:color="DCDDDE" w:sz="4" w:space="0"/>
              <w:bottom w:val="single" w:color="DCDDDE" w:sz="4" w:space="0"/>
            </w:tcBorders>
          </w:tcPr>
          <w:p w:rsidR="00C31389" w:rsidRDefault="00561FBD" w14:paraId="24E63E91" w14:textId="77777777">
            <w:pPr>
              <w:pStyle w:val="TableParagraph"/>
              <w:spacing w:before="42"/>
              <w:ind w:right="133"/>
              <w:jc w:val="right"/>
              <w:rPr>
                <w:sz w:val="17"/>
              </w:rPr>
            </w:pPr>
            <w:r>
              <w:rPr>
                <w:spacing w:val="-4"/>
                <w:sz w:val="17"/>
              </w:rPr>
              <w:t>15.4</w:t>
            </w:r>
          </w:p>
        </w:tc>
        <w:tc>
          <w:tcPr>
            <w:tcW w:w="613" w:type="dxa"/>
            <w:tcBorders>
              <w:top w:val="single" w:color="DCDDDE" w:sz="4" w:space="0"/>
              <w:bottom w:val="single" w:color="DCDDDE" w:sz="4" w:space="0"/>
            </w:tcBorders>
          </w:tcPr>
          <w:p w:rsidR="00C31389" w:rsidRDefault="00561FBD" w14:paraId="2FFB10A0" w14:textId="77777777">
            <w:pPr>
              <w:pStyle w:val="TableParagraph"/>
              <w:spacing w:before="42"/>
              <w:ind w:right="116"/>
              <w:jc w:val="right"/>
              <w:rPr>
                <w:sz w:val="17"/>
              </w:rPr>
            </w:pPr>
            <w:r>
              <w:rPr>
                <w:spacing w:val="-4"/>
                <w:sz w:val="17"/>
              </w:rPr>
              <w:t>16.1</w:t>
            </w:r>
          </w:p>
        </w:tc>
      </w:tr>
      <w:tr w:rsidR="00C31389" w14:paraId="4A3E856A"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64BD38F2" w14:textId="77777777">
            <w:pPr>
              <w:pStyle w:val="TableParagraph"/>
              <w:spacing w:before="42"/>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3AB54021" w14:textId="77777777">
        <w:trPr>
          <w:trHeight w:val="275"/>
        </w:trPr>
        <w:tc>
          <w:tcPr>
            <w:tcW w:w="1507" w:type="dxa"/>
            <w:tcBorders>
              <w:top w:val="single" w:color="DCDDDE" w:sz="4" w:space="0"/>
              <w:bottom w:val="single" w:color="DCDDDE" w:sz="4" w:space="0"/>
            </w:tcBorders>
          </w:tcPr>
          <w:p w:rsidR="00C31389" w:rsidRDefault="00561FBD" w14:paraId="5B9103C1" w14:textId="77777777">
            <w:pPr>
              <w:pStyle w:val="TableParagraph"/>
              <w:spacing w:before="42"/>
              <w:ind w:left="122"/>
              <w:rPr>
                <w:sz w:val="17"/>
              </w:rPr>
            </w:pPr>
            <w:r>
              <w:rPr>
                <w:spacing w:val="-5"/>
                <w:sz w:val="17"/>
              </w:rPr>
              <w:t>EE</w:t>
            </w:r>
          </w:p>
        </w:tc>
        <w:tc>
          <w:tcPr>
            <w:tcW w:w="861" w:type="dxa"/>
            <w:tcBorders>
              <w:top w:val="single" w:color="DCDDDE" w:sz="4" w:space="0"/>
              <w:bottom w:val="single" w:color="DCDDDE" w:sz="4" w:space="0"/>
            </w:tcBorders>
          </w:tcPr>
          <w:p w:rsidR="00C31389" w:rsidRDefault="00561FBD" w14:paraId="6549F18E" w14:textId="77777777">
            <w:pPr>
              <w:pStyle w:val="TableParagraph"/>
              <w:spacing w:before="42"/>
              <w:ind w:right="192"/>
              <w:jc w:val="right"/>
              <w:rPr>
                <w:sz w:val="17"/>
              </w:rPr>
            </w:pPr>
            <w:r>
              <w:rPr>
                <w:spacing w:val="-5"/>
                <w:sz w:val="17"/>
              </w:rPr>
              <w:t>7.0</w:t>
            </w:r>
          </w:p>
        </w:tc>
        <w:tc>
          <w:tcPr>
            <w:tcW w:w="712" w:type="dxa"/>
            <w:tcBorders>
              <w:top w:val="single" w:color="DCDDDE" w:sz="4" w:space="0"/>
              <w:bottom w:val="single" w:color="DCDDDE" w:sz="4" w:space="0"/>
            </w:tcBorders>
          </w:tcPr>
          <w:p w:rsidR="00C31389" w:rsidRDefault="00561FBD" w14:paraId="60C4CABF" w14:textId="77777777">
            <w:pPr>
              <w:pStyle w:val="TableParagraph"/>
              <w:spacing w:before="42"/>
              <w:ind w:right="138"/>
              <w:jc w:val="right"/>
              <w:rPr>
                <w:sz w:val="17"/>
              </w:rPr>
            </w:pPr>
            <w:r>
              <w:rPr>
                <w:spacing w:val="-5"/>
                <w:sz w:val="17"/>
              </w:rPr>
              <w:t>6.2</w:t>
            </w:r>
          </w:p>
        </w:tc>
        <w:tc>
          <w:tcPr>
            <w:tcW w:w="644" w:type="dxa"/>
            <w:tcBorders>
              <w:top w:val="single" w:color="DCDDDE" w:sz="4" w:space="0"/>
              <w:bottom w:val="single" w:color="DCDDDE" w:sz="4" w:space="0"/>
            </w:tcBorders>
          </w:tcPr>
          <w:p w:rsidR="00C31389" w:rsidRDefault="00561FBD" w14:paraId="78A2EC62" w14:textId="77777777">
            <w:pPr>
              <w:pStyle w:val="TableParagraph"/>
              <w:spacing w:before="42"/>
              <w:ind w:right="125"/>
              <w:jc w:val="right"/>
              <w:rPr>
                <w:sz w:val="17"/>
              </w:rPr>
            </w:pPr>
            <w:r>
              <w:rPr>
                <w:spacing w:val="-5"/>
                <w:sz w:val="17"/>
              </w:rPr>
              <w:t>5.4</w:t>
            </w:r>
          </w:p>
        </w:tc>
        <w:tc>
          <w:tcPr>
            <w:tcW w:w="631" w:type="dxa"/>
            <w:tcBorders>
              <w:top w:val="single" w:color="DCDDDE" w:sz="4" w:space="0"/>
              <w:bottom w:val="single" w:color="DCDDDE" w:sz="4" w:space="0"/>
            </w:tcBorders>
          </w:tcPr>
          <w:p w:rsidR="00C31389" w:rsidRDefault="00561FBD" w14:paraId="1D535421" w14:textId="77777777">
            <w:pPr>
              <w:pStyle w:val="TableParagraph"/>
              <w:spacing w:before="42"/>
              <w:ind w:right="126"/>
              <w:jc w:val="right"/>
              <w:rPr>
                <w:sz w:val="17"/>
              </w:rPr>
            </w:pPr>
            <w:r>
              <w:rPr>
                <w:spacing w:val="-5"/>
                <w:sz w:val="17"/>
              </w:rPr>
              <w:t>4.7</w:t>
            </w:r>
          </w:p>
        </w:tc>
        <w:tc>
          <w:tcPr>
            <w:tcW w:w="631" w:type="dxa"/>
            <w:tcBorders>
              <w:top w:val="single" w:color="DCDDDE" w:sz="4" w:space="0"/>
              <w:bottom w:val="single" w:color="DCDDDE" w:sz="4" w:space="0"/>
            </w:tcBorders>
          </w:tcPr>
          <w:p w:rsidR="00C31389" w:rsidRDefault="00561FBD" w14:paraId="20CF3874" w14:textId="77777777">
            <w:pPr>
              <w:pStyle w:val="TableParagraph"/>
              <w:spacing w:before="42"/>
              <w:ind w:right="127"/>
              <w:jc w:val="right"/>
              <w:rPr>
                <w:sz w:val="17"/>
              </w:rPr>
            </w:pPr>
            <w:r>
              <w:rPr>
                <w:spacing w:val="-5"/>
                <w:sz w:val="17"/>
              </w:rPr>
              <w:t>4.3</w:t>
            </w:r>
          </w:p>
        </w:tc>
        <w:tc>
          <w:tcPr>
            <w:tcW w:w="631" w:type="dxa"/>
            <w:tcBorders>
              <w:top w:val="single" w:color="DCDDDE" w:sz="4" w:space="0"/>
              <w:bottom w:val="single" w:color="DCDDDE" w:sz="4" w:space="0"/>
            </w:tcBorders>
          </w:tcPr>
          <w:p w:rsidR="00C31389" w:rsidRDefault="00561FBD" w14:paraId="48B57209" w14:textId="77777777">
            <w:pPr>
              <w:pStyle w:val="TableParagraph"/>
              <w:spacing w:before="42"/>
              <w:ind w:left="248" w:right="115"/>
              <w:jc w:val="center"/>
              <w:rPr>
                <w:sz w:val="17"/>
              </w:rPr>
            </w:pPr>
            <w:r>
              <w:rPr>
                <w:spacing w:val="-5"/>
                <w:sz w:val="17"/>
              </w:rPr>
              <w:t>4.0</w:t>
            </w:r>
          </w:p>
        </w:tc>
        <w:tc>
          <w:tcPr>
            <w:tcW w:w="631" w:type="dxa"/>
            <w:tcBorders>
              <w:top w:val="single" w:color="DCDDDE" w:sz="4" w:space="0"/>
              <w:bottom w:val="single" w:color="DCDDDE" w:sz="4" w:space="0"/>
            </w:tcBorders>
          </w:tcPr>
          <w:p w:rsidR="00C31389" w:rsidRDefault="00561FBD" w14:paraId="73E4B070" w14:textId="77777777">
            <w:pPr>
              <w:pStyle w:val="TableParagraph"/>
              <w:spacing w:before="42"/>
              <w:ind w:left="245" w:right="114"/>
              <w:jc w:val="center"/>
              <w:rPr>
                <w:sz w:val="17"/>
              </w:rPr>
            </w:pPr>
            <w:r>
              <w:rPr>
                <w:spacing w:val="-5"/>
                <w:sz w:val="17"/>
              </w:rPr>
              <w:t>4.2</w:t>
            </w:r>
          </w:p>
        </w:tc>
        <w:tc>
          <w:tcPr>
            <w:tcW w:w="631" w:type="dxa"/>
            <w:tcBorders>
              <w:top w:val="single" w:color="DCDDDE" w:sz="4" w:space="0"/>
              <w:bottom w:val="single" w:color="DCDDDE" w:sz="4" w:space="0"/>
            </w:tcBorders>
          </w:tcPr>
          <w:p w:rsidR="00C31389" w:rsidRDefault="00561FBD" w14:paraId="2751AB7B" w14:textId="77777777">
            <w:pPr>
              <w:pStyle w:val="TableParagraph"/>
              <w:spacing w:before="42"/>
              <w:ind w:right="130"/>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032C4BA7" w14:textId="77777777">
            <w:pPr>
              <w:pStyle w:val="TableParagraph"/>
              <w:spacing w:before="42"/>
              <w:ind w:right="131"/>
              <w:jc w:val="right"/>
              <w:rPr>
                <w:sz w:val="17"/>
              </w:rPr>
            </w:pPr>
            <w:r>
              <w:rPr>
                <w:spacing w:val="-5"/>
                <w:sz w:val="17"/>
              </w:rPr>
              <w:t>3.6</w:t>
            </w:r>
          </w:p>
        </w:tc>
        <w:tc>
          <w:tcPr>
            <w:tcW w:w="631" w:type="dxa"/>
            <w:tcBorders>
              <w:top w:val="single" w:color="DCDDDE" w:sz="4" w:space="0"/>
              <w:bottom w:val="single" w:color="DCDDDE" w:sz="4" w:space="0"/>
            </w:tcBorders>
          </w:tcPr>
          <w:p w:rsidR="00C31389" w:rsidRDefault="00561FBD" w14:paraId="555F0176" w14:textId="77777777">
            <w:pPr>
              <w:pStyle w:val="TableParagraph"/>
              <w:spacing w:before="42"/>
              <w:ind w:left="241" w:right="116"/>
              <w:jc w:val="center"/>
              <w:rPr>
                <w:sz w:val="17"/>
              </w:rPr>
            </w:pPr>
            <w:r>
              <w:rPr>
                <w:spacing w:val="-5"/>
                <w:sz w:val="17"/>
              </w:rPr>
              <w:t>3.6</w:t>
            </w:r>
          </w:p>
        </w:tc>
        <w:tc>
          <w:tcPr>
            <w:tcW w:w="631" w:type="dxa"/>
            <w:tcBorders>
              <w:top w:val="single" w:color="DCDDDE" w:sz="4" w:space="0"/>
              <w:bottom w:val="single" w:color="DCDDDE" w:sz="4" w:space="0"/>
            </w:tcBorders>
          </w:tcPr>
          <w:p w:rsidR="00C31389" w:rsidRDefault="00561FBD" w14:paraId="38C7E3C3" w14:textId="77777777">
            <w:pPr>
              <w:pStyle w:val="TableParagraph"/>
              <w:spacing w:before="42"/>
              <w:ind w:right="133"/>
              <w:jc w:val="right"/>
              <w:rPr>
                <w:sz w:val="17"/>
              </w:rPr>
            </w:pPr>
            <w:r>
              <w:rPr>
                <w:spacing w:val="-5"/>
                <w:sz w:val="17"/>
              </w:rPr>
              <w:t>3.6</w:t>
            </w:r>
          </w:p>
        </w:tc>
        <w:tc>
          <w:tcPr>
            <w:tcW w:w="613" w:type="dxa"/>
            <w:tcBorders>
              <w:top w:val="single" w:color="DCDDDE" w:sz="4" w:space="0"/>
              <w:bottom w:val="single" w:color="DCDDDE" w:sz="4" w:space="0"/>
            </w:tcBorders>
          </w:tcPr>
          <w:p w:rsidR="00C31389" w:rsidRDefault="00561FBD" w14:paraId="67797CCA" w14:textId="77777777">
            <w:pPr>
              <w:pStyle w:val="TableParagraph"/>
              <w:spacing w:before="42"/>
              <w:ind w:right="116"/>
              <w:jc w:val="right"/>
              <w:rPr>
                <w:sz w:val="17"/>
              </w:rPr>
            </w:pPr>
            <w:r>
              <w:rPr>
                <w:spacing w:val="-5"/>
                <w:sz w:val="17"/>
              </w:rPr>
              <w:t>3.6</w:t>
            </w:r>
          </w:p>
        </w:tc>
      </w:tr>
      <w:tr w:rsidR="00C31389" w14:paraId="1AC605A4" w14:textId="77777777">
        <w:trPr>
          <w:trHeight w:val="275"/>
        </w:trPr>
        <w:tc>
          <w:tcPr>
            <w:tcW w:w="1507" w:type="dxa"/>
            <w:tcBorders>
              <w:top w:val="single" w:color="DCDDDE" w:sz="4" w:space="0"/>
              <w:bottom w:val="single" w:color="DCDDDE" w:sz="4" w:space="0"/>
            </w:tcBorders>
          </w:tcPr>
          <w:p w:rsidR="00C31389" w:rsidRDefault="00561FBD" w14:paraId="5669F74C" w14:textId="77777777">
            <w:pPr>
              <w:pStyle w:val="TableParagraph"/>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3A40F920" w14:textId="77777777">
            <w:pPr>
              <w:pStyle w:val="TableParagraph"/>
              <w:ind w:right="193"/>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69A20448" w14:textId="77777777">
            <w:pPr>
              <w:pStyle w:val="TableParagraph"/>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078B3F30" w14:textId="77777777">
            <w:pPr>
              <w:pStyle w:val="TableParagraph"/>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403BFAD"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EDCFBE8" w14:textId="77777777">
            <w:pPr>
              <w:pStyle w:val="TableParagraph"/>
              <w:ind w:right="128"/>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EB8C5A1" w14:textId="77777777">
            <w:pPr>
              <w:pStyle w:val="TableParagraph"/>
              <w:ind w:left="245" w:right="113"/>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1827CDE" w14:textId="77777777">
            <w:pPr>
              <w:pStyle w:val="TableParagraph"/>
              <w:ind w:left="245"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75FD2025" w14:textId="77777777">
            <w:pPr>
              <w:pStyle w:val="TableParagraph"/>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AC720EF" w14:textId="77777777">
            <w:pPr>
              <w:pStyle w:val="TableParagraph"/>
              <w:ind w:right="132"/>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4471D1C" w14:textId="77777777">
            <w:pPr>
              <w:pStyle w:val="TableParagraph"/>
              <w:ind w:left="240"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07347C10" w14:textId="77777777">
            <w:pPr>
              <w:pStyle w:val="TableParagraph"/>
              <w:ind w:right="134"/>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038830D5" w14:textId="77777777">
            <w:pPr>
              <w:pStyle w:val="TableParagraph"/>
              <w:ind w:right="117"/>
              <w:jc w:val="right"/>
              <w:rPr>
                <w:sz w:val="17"/>
              </w:rPr>
            </w:pPr>
            <w:r>
              <w:rPr>
                <w:spacing w:val="-5"/>
                <w:sz w:val="17"/>
              </w:rPr>
              <w:t>0.0</w:t>
            </w:r>
          </w:p>
        </w:tc>
      </w:tr>
      <w:tr w:rsidR="00C31389" w14:paraId="2E3D697F" w14:textId="77777777">
        <w:trPr>
          <w:trHeight w:val="275"/>
        </w:trPr>
        <w:tc>
          <w:tcPr>
            <w:tcW w:w="1507" w:type="dxa"/>
            <w:tcBorders>
              <w:top w:val="single" w:color="DCDDDE" w:sz="4" w:space="0"/>
              <w:bottom w:val="single" w:color="DCDDDE" w:sz="4" w:space="0"/>
            </w:tcBorders>
          </w:tcPr>
          <w:p w:rsidR="00C31389" w:rsidRDefault="00561FBD" w14:paraId="39D32923" w14:textId="77777777">
            <w:pPr>
              <w:pStyle w:val="TableParagraph"/>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74DE0545" w14:textId="77777777">
            <w:pPr>
              <w:pStyle w:val="TableParagraph"/>
              <w:ind w:right="192"/>
              <w:jc w:val="right"/>
              <w:rPr>
                <w:sz w:val="17"/>
              </w:rPr>
            </w:pPr>
            <w:r>
              <w:rPr>
                <w:spacing w:val="-4"/>
                <w:sz w:val="17"/>
              </w:rPr>
              <w:t>11.3</w:t>
            </w:r>
          </w:p>
        </w:tc>
        <w:tc>
          <w:tcPr>
            <w:tcW w:w="712" w:type="dxa"/>
            <w:tcBorders>
              <w:top w:val="single" w:color="DCDDDE" w:sz="4" w:space="0"/>
              <w:bottom w:val="single" w:color="DCDDDE" w:sz="4" w:space="0"/>
            </w:tcBorders>
          </w:tcPr>
          <w:p w:rsidR="00C31389" w:rsidRDefault="00561FBD" w14:paraId="047D14F1" w14:textId="77777777">
            <w:pPr>
              <w:pStyle w:val="TableParagraph"/>
              <w:ind w:right="138"/>
              <w:jc w:val="right"/>
              <w:rPr>
                <w:sz w:val="17"/>
              </w:rPr>
            </w:pPr>
            <w:r>
              <w:rPr>
                <w:spacing w:val="-4"/>
                <w:sz w:val="17"/>
              </w:rPr>
              <w:t>11.7</w:t>
            </w:r>
          </w:p>
        </w:tc>
        <w:tc>
          <w:tcPr>
            <w:tcW w:w="644" w:type="dxa"/>
            <w:tcBorders>
              <w:top w:val="single" w:color="DCDDDE" w:sz="4" w:space="0"/>
              <w:bottom w:val="single" w:color="DCDDDE" w:sz="4" w:space="0"/>
            </w:tcBorders>
          </w:tcPr>
          <w:p w:rsidR="00C31389" w:rsidRDefault="00561FBD" w14:paraId="4D99122E" w14:textId="77777777">
            <w:pPr>
              <w:pStyle w:val="TableParagraph"/>
              <w:ind w:right="125"/>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045B4422" w14:textId="77777777">
            <w:pPr>
              <w:pStyle w:val="TableParagraph"/>
              <w:ind w:right="126"/>
              <w:jc w:val="right"/>
              <w:rPr>
                <w:sz w:val="17"/>
              </w:rPr>
            </w:pPr>
            <w:r>
              <w:rPr>
                <w:spacing w:val="-4"/>
                <w:sz w:val="17"/>
              </w:rPr>
              <w:t>12.5</w:t>
            </w:r>
          </w:p>
        </w:tc>
        <w:tc>
          <w:tcPr>
            <w:tcW w:w="631" w:type="dxa"/>
            <w:tcBorders>
              <w:top w:val="single" w:color="DCDDDE" w:sz="4" w:space="0"/>
              <w:bottom w:val="single" w:color="DCDDDE" w:sz="4" w:space="0"/>
            </w:tcBorders>
          </w:tcPr>
          <w:p w:rsidR="00C31389" w:rsidRDefault="00561FBD" w14:paraId="3C518286" w14:textId="77777777">
            <w:pPr>
              <w:pStyle w:val="TableParagraph"/>
              <w:ind w:right="127"/>
              <w:jc w:val="right"/>
              <w:rPr>
                <w:sz w:val="17"/>
              </w:rPr>
            </w:pPr>
            <w:r>
              <w:rPr>
                <w:spacing w:val="-4"/>
                <w:sz w:val="17"/>
              </w:rPr>
              <w:t>13.0</w:t>
            </w:r>
          </w:p>
        </w:tc>
        <w:tc>
          <w:tcPr>
            <w:tcW w:w="631" w:type="dxa"/>
            <w:tcBorders>
              <w:top w:val="single" w:color="DCDDDE" w:sz="4" w:space="0"/>
              <w:bottom w:val="single" w:color="DCDDDE" w:sz="4" w:space="0"/>
            </w:tcBorders>
          </w:tcPr>
          <w:p w:rsidR="00C31389" w:rsidRDefault="00561FBD" w14:paraId="1E093509" w14:textId="77777777">
            <w:pPr>
              <w:pStyle w:val="TableParagraph"/>
              <w:ind w:left="106" w:right="68"/>
              <w:jc w:val="center"/>
              <w:rPr>
                <w:sz w:val="17"/>
              </w:rPr>
            </w:pPr>
            <w:r>
              <w:rPr>
                <w:spacing w:val="-4"/>
                <w:sz w:val="17"/>
              </w:rPr>
              <w:t>13.4</w:t>
            </w:r>
          </w:p>
        </w:tc>
        <w:tc>
          <w:tcPr>
            <w:tcW w:w="631" w:type="dxa"/>
            <w:tcBorders>
              <w:top w:val="single" w:color="DCDDDE" w:sz="4" w:space="0"/>
              <w:bottom w:val="single" w:color="DCDDDE" w:sz="4" w:space="0"/>
            </w:tcBorders>
          </w:tcPr>
          <w:p w:rsidR="00C31389" w:rsidRDefault="00561FBD" w14:paraId="62445264" w14:textId="77777777">
            <w:pPr>
              <w:pStyle w:val="TableParagraph"/>
              <w:ind w:left="106" w:right="70"/>
              <w:jc w:val="center"/>
              <w:rPr>
                <w:sz w:val="17"/>
              </w:rPr>
            </w:pPr>
            <w:r>
              <w:rPr>
                <w:spacing w:val="-4"/>
                <w:sz w:val="17"/>
              </w:rPr>
              <w:t>14.0</w:t>
            </w:r>
          </w:p>
        </w:tc>
        <w:tc>
          <w:tcPr>
            <w:tcW w:w="631" w:type="dxa"/>
            <w:tcBorders>
              <w:top w:val="single" w:color="DCDDDE" w:sz="4" w:space="0"/>
              <w:bottom w:val="single" w:color="DCDDDE" w:sz="4" w:space="0"/>
            </w:tcBorders>
          </w:tcPr>
          <w:p w:rsidR="00C31389" w:rsidRDefault="00561FBD" w14:paraId="7219A20A" w14:textId="77777777">
            <w:pPr>
              <w:pStyle w:val="TableParagraph"/>
              <w:ind w:right="130"/>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5C6A400F" w14:textId="77777777">
            <w:pPr>
              <w:pStyle w:val="TableParagraph"/>
              <w:ind w:right="131"/>
              <w:jc w:val="right"/>
              <w:rPr>
                <w:sz w:val="17"/>
              </w:rPr>
            </w:pPr>
            <w:r>
              <w:rPr>
                <w:spacing w:val="-4"/>
                <w:sz w:val="17"/>
              </w:rPr>
              <w:t>15.1</w:t>
            </w:r>
          </w:p>
        </w:tc>
        <w:tc>
          <w:tcPr>
            <w:tcW w:w="631" w:type="dxa"/>
            <w:tcBorders>
              <w:top w:val="single" w:color="DCDDDE" w:sz="4" w:space="0"/>
              <w:bottom w:val="single" w:color="DCDDDE" w:sz="4" w:space="0"/>
            </w:tcBorders>
          </w:tcPr>
          <w:p w:rsidR="00C31389" w:rsidRDefault="00561FBD" w14:paraId="732864F9" w14:textId="77777777">
            <w:pPr>
              <w:pStyle w:val="TableParagraph"/>
              <w:ind w:left="106" w:right="76"/>
              <w:jc w:val="center"/>
              <w:rPr>
                <w:sz w:val="17"/>
              </w:rPr>
            </w:pPr>
            <w:r>
              <w:rPr>
                <w:spacing w:val="-4"/>
                <w:sz w:val="17"/>
              </w:rPr>
              <w:t>16.3</w:t>
            </w:r>
          </w:p>
        </w:tc>
        <w:tc>
          <w:tcPr>
            <w:tcW w:w="631" w:type="dxa"/>
            <w:tcBorders>
              <w:top w:val="single" w:color="DCDDDE" w:sz="4" w:space="0"/>
              <w:bottom w:val="single" w:color="DCDDDE" w:sz="4" w:space="0"/>
            </w:tcBorders>
          </w:tcPr>
          <w:p w:rsidR="00C31389" w:rsidRDefault="00561FBD" w14:paraId="6FB6A961" w14:textId="77777777">
            <w:pPr>
              <w:pStyle w:val="TableParagraph"/>
              <w:ind w:right="133"/>
              <w:jc w:val="right"/>
              <w:rPr>
                <w:sz w:val="17"/>
              </w:rPr>
            </w:pPr>
            <w:r>
              <w:rPr>
                <w:spacing w:val="-4"/>
                <w:sz w:val="17"/>
              </w:rPr>
              <w:t>15.4</w:t>
            </w:r>
          </w:p>
        </w:tc>
        <w:tc>
          <w:tcPr>
            <w:tcW w:w="613" w:type="dxa"/>
            <w:tcBorders>
              <w:top w:val="single" w:color="DCDDDE" w:sz="4" w:space="0"/>
              <w:bottom w:val="single" w:color="DCDDDE" w:sz="4" w:space="0"/>
            </w:tcBorders>
          </w:tcPr>
          <w:p w:rsidR="00C31389" w:rsidRDefault="00561FBD" w14:paraId="4D8CD111" w14:textId="77777777">
            <w:pPr>
              <w:pStyle w:val="TableParagraph"/>
              <w:ind w:right="116"/>
              <w:jc w:val="right"/>
              <w:rPr>
                <w:sz w:val="17"/>
              </w:rPr>
            </w:pPr>
            <w:r>
              <w:rPr>
                <w:spacing w:val="-4"/>
                <w:sz w:val="17"/>
              </w:rPr>
              <w:t>16.1</w:t>
            </w:r>
          </w:p>
        </w:tc>
      </w:tr>
      <w:tr w:rsidR="00C31389" w14:paraId="28C4C637"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0504EB55" w14:textId="77777777">
            <w:pPr>
              <w:pStyle w:val="TableParagraph"/>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2F9B45AC" w14:textId="77777777">
        <w:trPr>
          <w:trHeight w:val="471"/>
        </w:trPr>
        <w:tc>
          <w:tcPr>
            <w:tcW w:w="1507" w:type="dxa"/>
            <w:tcBorders>
              <w:top w:val="single" w:color="DCDDDE" w:sz="4" w:space="0"/>
              <w:bottom w:val="single" w:color="DCDDDE" w:sz="4" w:space="0"/>
            </w:tcBorders>
          </w:tcPr>
          <w:p w:rsidR="00C31389" w:rsidRDefault="00561FBD" w14:paraId="1FF4F783" w14:textId="77777777">
            <w:pPr>
              <w:pStyle w:val="TableParagraph"/>
              <w:spacing w:before="39"/>
              <w:ind w:left="122" w:right="375"/>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13C813AA" w14:textId="77777777">
            <w:pPr>
              <w:pStyle w:val="TableParagraph"/>
              <w:spacing w:before="139"/>
              <w:ind w:right="192"/>
              <w:jc w:val="right"/>
              <w:rPr>
                <w:sz w:val="17"/>
              </w:rPr>
            </w:pPr>
            <w:r>
              <w:rPr>
                <w:spacing w:val="-4"/>
                <w:sz w:val="17"/>
              </w:rPr>
              <w:t>23.0</w:t>
            </w:r>
          </w:p>
        </w:tc>
        <w:tc>
          <w:tcPr>
            <w:tcW w:w="712" w:type="dxa"/>
            <w:tcBorders>
              <w:top w:val="single" w:color="DCDDDE" w:sz="4" w:space="0"/>
              <w:bottom w:val="single" w:color="DCDDDE" w:sz="4" w:space="0"/>
            </w:tcBorders>
          </w:tcPr>
          <w:p w:rsidR="00C31389" w:rsidRDefault="00561FBD" w14:paraId="7DA727A3" w14:textId="77777777">
            <w:pPr>
              <w:pStyle w:val="TableParagraph"/>
              <w:spacing w:before="139"/>
              <w:ind w:right="138"/>
              <w:jc w:val="right"/>
              <w:rPr>
                <w:sz w:val="17"/>
              </w:rPr>
            </w:pPr>
            <w:r>
              <w:rPr>
                <w:spacing w:val="-4"/>
                <w:sz w:val="17"/>
              </w:rPr>
              <w:t>22.5</w:t>
            </w:r>
          </w:p>
        </w:tc>
        <w:tc>
          <w:tcPr>
            <w:tcW w:w="644" w:type="dxa"/>
            <w:tcBorders>
              <w:top w:val="single" w:color="DCDDDE" w:sz="4" w:space="0"/>
              <w:bottom w:val="single" w:color="DCDDDE" w:sz="4" w:space="0"/>
            </w:tcBorders>
          </w:tcPr>
          <w:p w:rsidR="00C31389" w:rsidRDefault="00561FBD" w14:paraId="10A891FA" w14:textId="77777777">
            <w:pPr>
              <w:pStyle w:val="TableParagraph"/>
              <w:spacing w:before="139"/>
              <w:ind w:right="125"/>
              <w:jc w:val="right"/>
              <w:rPr>
                <w:sz w:val="17"/>
              </w:rPr>
            </w:pPr>
            <w:r>
              <w:rPr>
                <w:spacing w:val="-4"/>
                <w:sz w:val="17"/>
              </w:rPr>
              <w:t>14.5</w:t>
            </w:r>
          </w:p>
        </w:tc>
        <w:tc>
          <w:tcPr>
            <w:tcW w:w="631" w:type="dxa"/>
            <w:tcBorders>
              <w:top w:val="single" w:color="DCDDDE" w:sz="4" w:space="0"/>
              <w:bottom w:val="single" w:color="DCDDDE" w:sz="4" w:space="0"/>
            </w:tcBorders>
          </w:tcPr>
          <w:p w:rsidR="00C31389" w:rsidRDefault="00561FBD" w14:paraId="2DF4DDBE" w14:textId="77777777">
            <w:pPr>
              <w:pStyle w:val="TableParagraph"/>
              <w:spacing w:before="139"/>
              <w:ind w:right="126"/>
              <w:jc w:val="right"/>
              <w:rPr>
                <w:sz w:val="17"/>
              </w:rPr>
            </w:pPr>
            <w:r>
              <w:rPr>
                <w:spacing w:val="-4"/>
                <w:sz w:val="17"/>
              </w:rPr>
              <w:t>14.8</w:t>
            </w:r>
          </w:p>
        </w:tc>
        <w:tc>
          <w:tcPr>
            <w:tcW w:w="631" w:type="dxa"/>
            <w:tcBorders>
              <w:top w:val="single" w:color="DCDDDE" w:sz="4" w:space="0"/>
              <w:bottom w:val="single" w:color="DCDDDE" w:sz="4" w:space="0"/>
            </w:tcBorders>
          </w:tcPr>
          <w:p w:rsidR="00C31389" w:rsidRDefault="00561FBD" w14:paraId="25EB8529" w14:textId="77777777">
            <w:pPr>
              <w:pStyle w:val="TableParagraph"/>
              <w:spacing w:before="139"/>
              <w:ind w:right="127"/>
              <w:jc w:val="right"/>
              <w:rPr>
                <w:sz w:val="17"/>
              </w:rPr>
            </w:pPr>
            <w:r>
              <w:rPr>
                <w:spacing w:val="-4"/>
                <w:sz w:val="17"/>
              </w:rPr>
              <w:t>13.8</w:t>
            </w:r>
          </w:p>
        </w:tc>
        <w:tc>
          <w:tcPr>
            <w:tcW w:w="631" w:type="dxa"/>
            <w:tcBorders>
              <w:top w:val="single" w:color="DCDDDE" w:sz="4" w:space="0"/>
              <w:bottom w:val="single" w:color="DCDDDE" w:sz="4" w:space="0"/>
            </w:tcBorders>
          </w:tcPr>
          <w:p w:rsidR="00C31389" w:rsidRDefault="00561FBD" w14:paraId="57604624" w14:textId="77777777">
            <w:pPr>
              <w:pStyle w:val="TableParagraph"/>
              <w:spacing w:before="139"/>
              <w:ind w:left="106" w:right="68"/>
              <w:jc w:val="center"/>
              <w:rPr>
                <w:sz w:val="17"/>
              </w:rPr>
            </w:pPr>
            <w:r>
              <w:rPr>
                <w:spacing w:val="-4"/>
                <w:sz w:val="17"/>
              </w:rPr>
              <w:t>13.1</w:t>
            </w:r>
          </w:p>
        </w:tc>
        <w:tc>
          <w:tcPr>
            <w:tcW w:w="631" w:type="dxa"/>
            <w:tcBorders>
              <w:top w:val="single" w:color="DCDDDE" w:sz="4" w:space="0"/>
              <w:bottom w:val="single" w:color="DCDDDE" w:sz="4" w:space="0"/>
            </w:tcBorders>
          </w:tcPr>
          <w:p w:rsidR="00C31389" w:rsidRDefault="00561FBD" w14:paraId="236FC186" w14:textId="77777777">
            <w:pPr>
              <w:pStyle w:val="TableParagraph"/>
              <w:spacing w:before="139"/>
              <w:ind w:left="106" w:right="70"/>
              <w:jc w:val="center"/>
              <w:rPr>
                <w:sz w:val="17"/>
              </w:rPr>
            </w:pPr>
            <w:r>
              <w:rPr>
                <w:spacing w:val="-4"/>
                <w:sz w:val="17"/>
              </w:rPr>
              <w:t>12.7</w:t>
            </w:r>
          </w:p>
        </w:tc>
        <w:tc>
          <w:tcPr>
            <w:tcW w:w="631" w:type="dxa"/>
            <w:tcBorders>
              <w:top w:val="single" w:color="DCDDDE" w:sz="4" w:space="0"/>
              <w:bottom w:val="single" w:color="DCDDDE" w:sz="4" w:space="0"/>
            </w:tcBorders>
          </w:tcPr>
          <w:p w:rsidR="00C31389" w:rsidRDefault="00561FBD" w14:paraId="1160017B" w14:textId="77777777">
            <w:pPr>
              <w:pStyle w:val="TableParagraph"/>
              <w:spacing w:before="139"/>
              <w:ind w:right="130"/>
              <w:jc w:val="right"/>
              <w:rPr>
                <w:sz w:val="17"/>
              </w:rPr>
            </w:pPr>
            <w:r>
              <w:rPr>
                <w:spacing w:val="-4"/>
                <w:sz w:val="17"/>
              </w:rPr>
              <w:t>12.2</w:t>
            </w:r>
          </w:p>
        </w:tc>
        <w:tc>
          <w:tcPr>
            <w:tcW w:w="631" w:type="dxa"/>
            <w:tcBorders>
              <w:top w:val="single" w:color="DCDDDE" w:sz="4" w:space="0"/>
              <w:bottom w:val="single" w:color="DCDDDE" w:sz="4" w:space="0"/>
            </w:tcBorders>
          </w:tcPr>
          <w:p w:rsidR="00C31389" w:rsidRDefault="00561FBD" w14:paraId="2B259052" w14:textId="77777777">
            <w:pPr>
              <w:pStyle w:val="TableParagraph"/>
              <w:spacing w:before="139"/>
              <w:ind w:right="131"/>
              <w:jc w:val="right"/>
              <w:rPr>
                <w:sz w:val="17"/>
              </w:rPr>
            </w:pPr>
            <w:r>
              <w:rPr>
                <w:spacing w:val="-4"/>
                <w:sz w:val="17"/>
              </w:rPr>
              <w:t>11.4</w:t>
            </w:r>
          </w:p>
        </w:tc>
        <w:tc>
          <w:tcPr>
            <w:tcW w:w="631" w:type="dxa"/>
            <w:tcBorders>
              <w:top w:val="single" w:color="DCDDDE" w:sz="4" w:space="0"/>
              <w:bottom w:val="single" w:color="DCDDDE" w:sz="4" w:space="0"/>
            </w:tcBorders>
          </w:tcPr>
          <w:p w:rsidR="00C31389" w:rsidRDefault="00561FBD" w14:paraId="5B1E5BF3" w14:textId="77777777">
            <w:pPr>
              <w:pStyle w:val="TableParagraph"/>
              <w:spacing w:before="139"/>
              <w:ind w:left="106" w:right="76"/>
              <w:jc w:val="center"/>
              <w:rPr>
                <w:sz w:val="17"/>
              </w:rPr>
            </w:pPr>
            <w:r>
              <w:rPr>
                <w:spacing w:val="-4"/>
                <w:sz w:val="17"/>
              </w:rPr>
              <w:t>11.0</w:t>
            </w:r>
          </w:p>
        </w:tc>
        <w:tc>
          <w:tcPr>
            <w:tcW w:w="631" w:type="dxa"/>
            <w:tcBorders>
              <w:top w:val="single" w:color="DCDDDE" w:sz="4" w:space="0"/>
              <w:bottom w:val="single" w:color="DCDDDE" w:sz="4" w:space="0"/>
            </w:tcBorders>
          </w:tcPr>
          <w:p w:rsidR="00C31389" w:rsidRDefault="00561FBD" w14:paraId="36BA6207" w14:textId="77777777">
            <w:pPr>
              <w:pStyle w:val="TableParagraph"/>
              <w:spacing w:before="139"/>
              <w:ind w:right="133"/>
              <w:jc w:val="right"/>
              <w:rPr>
                <w:sz w:val="17"/>
              </w:rPr>
            </w:pPr>
            <w:r>
              <w:rPr>
                <w:spacing w:val="-4"/>
                <w:sz w:val="17"/>
              </w:rPr>
              <w:t>10.7</w:t>
            </w:r>
          </w:p>
        </w:tc>
        <w:tc>
          <w:tcPr>
            <w:tcW w:w="613" w:type="dxa"/>
            <w:tcBorders>
              <w:top w:val="single" w:color="DCDDDE" w:sz="4" w:space="0"/>
              <w:bottom w:val="single" w:color="DCDDDE" w:sz="4" w:space="0"/>
            </w:tcBorders>
          </w:tcPr>
          <w:p w:rsidR="00C31389" w:rsidRDefault="00561FBD" w14:paraId="274F7DD6" w14:textId="77777777">
            <w:pPr>
              <w:pStyle w:val="TableParagraph"/>
              <w:spacing w:before="139"/>
              <w:ind w:right="116"/>
              <w:jc w:val="right"/>
              <w:rPr>
                <w:sz w:val="17"/>
              </w:rPr>
            </w:pPr>
            <w:r>
              <w:rPr>
                <w:spacing w:val="-4"/>
                <w:sz w:val="17"/>
              </w:rPr>
              <w:t>10.3</w:t>
            </w:r>
          </w:p>
        </w:tc>
      </w:tr>
      <w:tr w:rsidR="00C31389" w14:paraId="7ED9DA7D" w14:textId="77777777">
        <w:trPr>
          <w:trHeight w:val="470"/>
        </w:trPr>
        <w:tc>
          <w:tcPr>
            <w:tcW w:w="1507" w:type="dxa"/>
            <w:tcBorders>
              <w:top w:val="single" w:color="DCDDDE" w:sz="4" w:space="0"/>
              <w:bottom w:val="single" w:color="545658" w:sz="8" w:space="0"/>
            </w:tcBorders>
          </w:tcPr>
          <w:p w:rsidR="00C31389" w:rsidRDefault="00561FBD" w14:paraId="72CCA389" w14:textId="77777777">
            <w:pPr>
              <w:pStyle w:val="TableParagraph"/>
              <w:spacing w:before="39"/>
              <w:ind w:left="122" w:right="280"/>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2FAAA69F" w14:textId="77777777">
            <w:pPr>
              <w:pStyle w:val="TableParagraph"/>
              <w:spacing w:before="138"/>
              <w:ind w:right="192"/>
              <w:jc w:val="right"/>
              <w:rPr>
                <w:sz w:val="17"/>
              </w:rPr>
            </w:pPr>
            <w:r>
              <w:rPr>
                <w:spacing w:val="-4"/>
                <w:sz w:val="17"/>
              </w:rPr>
              <w:t>25.1</w:t>
            </w:r>
          </w:p>
        </w:tc>
        <w:tc>
          <w:tcPr>
            <w:tcW w:w="712" w:type="dxa"/>
            <w:tcBorders>
              <w:top w:val="single" w:color="DCDDDE" w:sz="4" w:space="0"/>
              <w:bottom w:val="single" w:color="545658" w:sz="8" w:space="0"/>
            </w:tcBorders>
          </w:tcPr>
          <w:p w:rsidR="00C31389" w:rsidRDefault="00561FBD" w14:paraId="40C6F24F" w14:textId="77777777">
            <w:pPr>
              <w:pStyle w:val="TableParagraph"/>
              <w:spacing w:before="138"/>
              <w:ind w:right="138"/>
              <w:jc w:val="right"/>
              <w:rPr>
                <w:sz w:val="17"/>
              </w:rPr>
            </w:pPr>
            <w:r>
              <w:rPr>
                <w:spacing w:val="-4"/>
                <w:sz w:val="17"/>
              </w:rPr>
              <w:t>24.5</w:t>
            </w:r>
          </w:p>
        </w:tc>
        <w:tc>
          <w:tcPr>
            <w:tcW w:w="644" w:type="dxa"/>
            <w:tcBorders>
              <w:top w:val="single" w:color="DCDDDE" w:sz="4" w:space="0"/>
              <w:bottom w:val="single" w:color="545658" w:sz="8" w:space="0"/>
            </w:tcBorders>
          </w:tcPr>
          <w:p w:rsidR="00C31389" w:rsidRDefault="00561FBD" w14:paraId="2B4AA4A8" w14:textId="77777777">
            <w:pPr>
              <w:pStyle w:val="TableParagraph"/>
              <w:spacing w:before="138"/>
              <w:ind w:right="125"/>
              <w:jc w:val="right"/>
              <w:rPr>
                <w:sz w:val="17"/>
              </w:rPr>
            </w:pPr>
            <w:r>
              <w:rPr>
                <w:spacing w:val="-4"/>
                <w:sz w:val="17"/>
              </w:rPr>
              <w:t>16.3</w:t>
            </w:r>
          </w:p>
        </w:tc>
        <w:tc>
          <w:tcPr>
            <w:tcW w:w="631" w:type="dxa"/>
            <w:tcBorders>
              <w:top w:val="single" w:color="DCDDDE" w:sz="4" w:space="0"/>
              <w:bottom w:val="single" w:color="545658" w:sz="8" w:space="0"/>
            </w:tcBorders>
          </w:tcPr>
          <w:p w:rsidR="00C31389" w:rsidRDefault="00561FBD" w14:paraId="699B8058" w14:textId="77777777">
            <w:pPr>
              <w:pStyle w:val="TableParagraph"/>
              <w:spacing w:before="138"/>
              <w:ind w:right="126"/>
              <w:jc w:val="right"/>
              <w:rPr>
                <w:sz w:val="17"/>
              </w:rPr>
            </w:pPr>
            <w:r>
              <w:rPr>
                <w:spacing w:val="-4"/>
                <w:sz w:val="17"/>
              </w:rPr>
              <w:t>16.2</w:t>
            </w:r>
          </w:p>
        </w:tc>
        <w:tc>
          <w:tcPr>
            <w:tcW w:w="631" w:type="dxa"/>
            <w:tcBorders>
              <w:top w:val="single" w:color="DCDDDE" w:sz="4" w:space="0"/>
              <w:bottom w:val="single" w:color="545658" w:sz="8" w:space="0"/>
            </w:tcBorders>
          </w:tcPr>
          <w:p w:rsidR="00C31389" w:rsidRDefault="00561FBD" w14:paraId="0D979C78" w14:textId="77777777">
            <w:pPr>
              <w:pStyle w:val="TableParagraph"/>
              <w:spacing w:before="138"/>
              <w:ind w:right="127"/>
              <w:jc w:val="right"/>
              <w:rPr>
                <w:sz w:val="17"/>
              </w:rPr>
            </w:pPr>
            <w:r>
              <w:rPr>
                <w:spacing w:val="-4"/>
                <w:sz w:val="17"/>
              </w:rPr>
              <w:t>15.0</w:t>
            </w:r>
          </w:p>
        </w:tc>
        <w:tc>
          <w:tcPr>
            <w:tcW w:w="631" w:type="dxa"/>
            <w:tcBorders>
              <w:top w:val="single" w:color="DCDDDE" w:sz="4" w:space="0"/>
              <w:bottom w:val="single" w:color="545658" w:sz="8" w:space="0"/>
            </w:tcBorders>
          </w:tcPr>
          <w:p w:rsidR="00C31389" w:rsidRDefault="00561FBD" w14:paraId="0C5A5BAC" w14:textId="77777777">
            <w:pPr>
              <w:pStyle w:val="TableParagraph"/>
              <w:spacing w:before="138"/>
              <w:ind w:left="106" w:right="68"/>
              <w:jc w:val="center"/>
              <w:rPr>
                <w:sz w:val="17"/>
              </w:rPr>
            </w:pPr>
            <w:r>
              <w:rPr>
                <w:spacing w:val="-4"/>
                <w:sz w:val="17"/>
              </w:rPr>
              <w:t>13.7</w:t>
            </w:r>
          </w:p>
        </w:tc>
        <w:tc>
          <w:tcPr>
            <w:tcW w:w="631" w:type="dxa"/>
            <w:tcBorders>
              <w:top w:val="single" w:color="DCDDDE" w:sz="4" w:space="0"/>
              <w:bottom w:val="single" w:color="545658" w:sz="8" w:space="0"/>
            </w:tcBorders>
          </w:tcPr>
          <w:p w:rsidR="00C31389" w:rsidRDefault="00561FBD" w14:paraId="017B922E" w14:textId="77777777">
            <w:pPr>
              <w:pStyle w:val="TableParagraph"/>
              <w:spacing w:before="138"/>
              <w:ind w:left="106" w:right="70"/>
              <w:jc w:val="center"/>
              <w:rPr>
                <w:sz w:val="17"/>
              </w:rPr>
            </w:pPr>
            <w:r>
              <w:rPr>
                <w:spacing w:val="-4"/>
                <w:sz w:val="17"/>
              </w:rPr>
              <w:t>13.2</w:t>
            </w:r>
          </w:p>
        </w:tc>
        <w:tc>
          <w:tcPr>
            <w:tcW w:w="631" w:type="dxa"/>
            <w:tcBorders>
              <w:top w:val="single" w:color="DCDDDE" w:sz="4" w:space="0"/>
              <w:bottom w:val="single" w:color="545658" w:sz="8" w:space="0"/>
            </w:tcBorders>
          </w:tcPr>
          <w:p w:rsidR="00C31389" w:rsidRDefault="00561FBD" w14:paraId="7CA3A721" w14:textId="77777777">
            <w:pPr>
              <w:pStyle w:val="TableParagraph"/>
              <w:spacing w:before="138"/>
              <w:ind w:right="130"/>
              <w:jc w:val="right"/>
              <w:rPr>
                <w:sz w:val="17"/>
              </w:rPr>
            </w:pPr>
            <w:r>
              <w:rPr>
                <w:spacing w:val="-4"/>
                <w:sz w:val="17"/>
              </w:rPr>
              <w:t>12.6</w:t>
            </w:r>
          </w:p>
        </w:tc>
        <w:tc>
          <w:tcPr>
            <w:tcW w:w="631" w:type="dxa"/>
            <w:tcBorders>
              <w:top w:val="single" w:color="DCDDDE" w:sz="4" w:space="0"/>
              <w:bottom w:val="single" w:color="545658" w:sz="8" w:space="0"/>
            </w:tcBorders>
          </w:tcPr>
          <w:p w:rsidR="00C31389" w:rsidRDefault="00561FBD" w14:paraId="2D4F9494" w14:textId="77777777">
            <w:pPr>
              <w:pStyle w:val="TableParagraph"/>
              <w:spacing w:before="138"/>
              <w:ind w:right="131"/>
              <w:jc w:val="right"/>
              <w:rPr>
                <w:sz w:val="17"/>
              </w:rPr>
            </w:pPr>
            <w:r>
              <w:rPr>
                <w:spacing w:val="-4"/>
                <w:sz w:val="17"/>
              </w:rPr>
              <w:t>11.8</w:t>
            </w:r>
          </w:p>
        </w:tc>
        <w:tc>
          <w:tcPr>
            <w:tcW w:w="631" w:type="dxa"/>
            <w:tcBorders>
              <w:top w:val="single" w:color="DCDDDE" w:sz="4" w:space="0"/>
              <w:bottom w:val="single" w:color="545658" w:sz="8" w:space="0"/>
            </w:tcBorders>
          </w:tcPr>
          <w:p w:rsidR="00C31389" w:rsidRDefault="00561FBD" w14:paraId="6103ACE2" w14:textId="77777777">
            <w:pPr>
              <w:pStyle w:val="TableParagraph"/>
              <w:spacing w:before="138"/>
              <w:ind w:left="106" w:right="76"/>
              <w:jc w:val="center"/>
              <w:rPr>
                <w:sz w:val="17"/>
              </w:rPr>
            </w:pPr>
            <w:r>
              <w:rPr>
                <w:spacing w:val="-4"/>
                <w:sz w:val="17"/>
              </w:rPr>
              <w:t>11.4</w:t>
            </w:r>
          </w:p>
        </w:tc>
        <w:tc>
          <w:tcPr>
            <w:tcW w:w="631" w:type="dxa"/>
            <w:tcBorders>
              <w:top w:val="single" w:color="DCDDDE" w:sz="4" w:space="0"/>
              <w:bottom w:val="single" w:color="545658" w:sz="8" w:space="0"/>
            </w:tcBorders>
          </w:tcPr>
          <w:p w:rsidR="00C31389" w:rsidRDefault="00561FBD" w14:paraId="650C4001" w14:textId="77777777">
            <w:pPr>
              <w:pStyle w:val="TableParagraph"/>
              <w:spacing w:before="138"/>
              <w:ind w:right="133"/>
              <w:jc w:val="right"/>
              <w:rPr>
                <w:sz w:val="17"/>
              </w:rPr>
            </w:pPr>
            <w:r>
              <w:rPr>
                <w:spacing w:val="-4"/>
                <w:sz w:val="17"/>
              </w:rPr>
              <w:t>11.1</w:t>
            </w:r>
          </w:p>
        </w:tc>
        <w:tc>
          <w:tcPr>
            <w:tcW w:w="613" w:type="dxa"/>
            <w:tcBorders>
              <w:top w:val="single" w:color="DCDDDE" w:sz="4" w:space="0"/>
              <w:bottom w:val="single" w:color="545658" w:sz="8" w:space="0"/>
            </w:tcBorders>
          </w:tcPr>
          <w:p w:rsidR="00C31389" w:rsidRDefault="00561FBD" w14:paraId="22004167" w14:textId="77777777">
            <w:pPr>
              <w:pStyle w:val="TableParagraph"/>
              <w:spacing w:before="138"/>
              <w:ind w:right="116"/>
              <w:jc w:val="right"/>
              <w:rPr>
                <w:sz w:val="17"/>
              </w:rPr>
            </w:pPr>
            <w:r>
              <w:rPr>
                <w:spacing w:val="-4"/>
                <w:sz w:val="17"/>
              </w:rPr>
              <w:t>10.7</w:t>
            </w:r>
          </w:p>
        </w:tc>
      </w:tr>
    </w:tbl>
    <w:p w:rsidR="00C31389" w:rsidRDefault="00561FBD" w14:paraId="069FF7F5" w14:textId="77777777">
      <w:pPr>
        <w:spacing w:before="66"/>
        <w:ind w:left="220"/>
        <w:rPr>
          <w:i/>
          <w:sz w:val="18"/>
        </w:rPr>
      </w:pPr>
      <w:r>
        <w:rPr>
          <w:i/>
          <w:sz w:val="18"/>
        </w:rPr>
        <w:t>Source:</w:t>
      </w:r>
      <w:r>
        <w:rPr>
          <w:i/>
          <w:spacing w:val="-4"/>
          <w:sz w:val="18"/>
        </w:rPr>
        <w:t xml:space="preserve"> </w:t>
      </w:r>
      <w:r>
        <w:rPr>
          <w:i/>
          <w:spacing w:val="-2"/>
          <w:sz w:val="18"/>
        </w:rPr>
        <w:t>Guidehouse</w:t>
      </w:r>
    </w:p>
    <w:p w:rsidR="00C31389" w:rsidRDefault="00C31389" w14:paraId="41F81FEF" w14:textId="77777777">
      <w:pPr>
        <w:pStyle w:val="BodyText"/>
        <w:spacing w:before="11"/>
        <w:rPr>
          <w:i/>
          <w:sz w:val="20"/>
        </w:rPr>
      </w:pPr>
    </w:p>
    <w:p w:rsidR="00C31389" w:rsidRDefault="00561FBD" w14:paraId="66EDFAEC" w14:textId="77777777">
      <w:pPr>
        <w:pStyle w:val="ListParagraph"/>
        <w:numPr>
          <w:ilvl w:val="2"/>
          <w:numId w:val="4"/>
        </w:numPr>
        <w:tabs>
          <w:tab w:val="left" w:pos="936"/>
        </w:tabs>
        <w:ind w:left="936" w:hanging="716"/>
        <w:rPr>
          <w:b/>
          <w:sz w:val="24"/>
        </w:rPr>
      </w:pPr>
      <w:bookmarkStart w:name="J.3.2_SCE" w:id="710"/>
      <w:bookmarkEnd w:id="710"/>
      <w:r>
        <w:rPr>
          <w:b/>
          <w:spacing w:val="-5"/>
          <w:sz w:val="24"/>
        </w:rPr>
        <w:t>SCE</w:t>
      </w:r>
    </w:p>
    <w:p w:rsidR="00C31389" w:rsidRDefault="00C31389" w14:paraId="52C02D8A" w14:textId="77777777">
      <w:pPr>
        <w:pStyle w:val="BodyText"/>
        <w:spacing w:before="9"/>
        <w:rPr>
          <w:b/>
          <w:sz w:val="12"/>
        </w:rPr>
      </w:pPr>
    </w:p>
    <w:p w:rsidR="00C31389" w:rsidRDefault="00561FBD" w14:paraId="319FE000" w14:textId="77777777">
      <w:pPr>
        <w:pStyle w:val="Heading7"/>
        <w:spacing w:before="92"/>
        <w:ind w:left="1979" w:right="1961"/>
        <w:jc w:val="center"/>
      </w:pPr>
      <w:bookmarkStart w:name="_bookmark541" w:id="711"/>
      <w:bookmarkEnd w:id="711"/>
      <w:r>
        <w:t>Table</w:t>
      </w:r>
      <w:r>
        <w:rPr>
          <w:spacing w:val="-8"/>
        </w:rPr>
        <w:t xml:space="preserve"> </w:t>
      </w:r>
      <w:r>
        <w:t>J-15.</w:t>
      </w:r>
      <w:r>
        <w:rPr>
          <w:spacing w:val="-7"/>
        </w:rPr>
        <w:t xml:space="preserve"> </w:t>
      </w:r>
      <w:r>
        <w:t>SCE</w:t>
      </w:r>
      <w:r>
        <w:rPr>
          <w:spacing w:val="-7"/>
        </w:rPr>
        <w:t xml:space="preserve"> </w:t>
      </w:r>
      <w:r>
        <w:t>Electric</w:t>
      </w:r>
      <w:r>
        <w:rPr>
          <w:spacing w:val="-8"/>
        </w:rPr>
        <w:t xml:space="preserve"> </w:t>
      </w:r>
      <w:r>
        <w:t>Energy</w:t>
      </w:r>
      <w:r>
        <w:rPr>
          <w:spacing w:val="-7"/>
        </w:rPr>
        <w:t xml:space="preserve"> </w:t>
      </w:r>
      <w:r>
        <w:t>Savings</w:t>
      </w:r>
      <w:r>
        <w:rPr>
          <w:spacing w:val="-7"/>
        </w:rPr>
        <w:t xml:space="preserve"> </w:t>
      </w:r>
      <w:r>
        <w:rPr>
          <w:spacing w:val="-2"/>
        </w:rPr>
        <w:t>(GWh/year)</w:t>
      </w:r>
    </w:p>
    <w:p w:rsidR="00C31389" w:rsidRDefault="00C31389" w14:paraId="5D6123CF" w14:textId="77777777">
      <w:pPr>
        <w:pStyle w:val="BodyText"/>
        <w:spacing w:before="6"/>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122"/>
        <w:gridCol w:w="698"/>
        <w:gridCol w:w="698"/>
        <w:gridCol w:w="688"/>
        <w:gridCol w:w="688"/>
        <w:gridCol w:w="687"/>
        <w:gridCol w:w="689"/>
        <w:gridCol w:w="687"/>
        <w:gridCol w:w="688"/>
        <w:gridCol w:w="687"/>
        <w:gridCol w:w="688"/>
        <w:gridCol w:w="680"/>
        <w:gridCol w:w="669"/>
      </w:tblGrid>
      <w:tr w:rsidR="00C31389" w14:paraId="3B096AE6" w14:textId="77777777">
        <w:trPr>
          <w:trHeight w:val="306"/>
        </w:trPr>
        <w:tc>
          <w:tcPr>
            <w:tcW w:w="1122" w:type="dxa"/>
            <w:shd w:val="clear" w:color="auto" w:fill="92D400"/>
          </w:tcPr>
          <w:p w:rsidR="00C31389" w:rsidRDefault="00561FBD" w14:paraId="72A7A4CC" w14:textId="77777777">
            <w:pPr>
              <w:pStyle w:val="TableParagraph"/>
              <w:spacing w:before="41"/>
              <w:ind w:left="212"/>
              <w:rPr>
                <w:b/>
                <w:sz w:val="17"/>
              </w:rPr>
            </w:pPr>
            <w:r>
              <w:rPr>
                <w:noProof/>
              </w:rPr>
              <mc:AlternateContent>
                <mc:Choice Requires="wpg">
                  <w:drawing>
                    <wp:anchor distT="0" distB="0" distL="0" distR="0" simplePos="0" relativeHeight="465581568" behindDoc="1" locked="0" layoutInCell="1" allowOverlap="1" wp14:editId="293628A7" wp14:anchorId="005A748E">
                      <wp:simplePos x="0" y="0"/>
                      <wp:positionH relativeFrom="column">
                        <wp:posOffset>66293</wp:posOffset>
                      </wp:positionH>
                      <wp:positionV relativeFrom="paragraph">
                        <wp:posOffset>36</wp:posOffset>
                      </wp:positionV>
                      <wp:extent cx="5829300" cy="369570"/>
                      <wp:effectExtent l="0" t="0" r="0" b="0"/>
                      <wp:wrapNone/>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369570"/>
                                <a:chOff x="0" y="0"/>
                                <a:chExt cx="5829300" cy="369570"/>
                              </a:xfrm>
                            </wpg:grpSpPr>
                            <wps:wsp>
                              <wps:cNvPr id="1004" name="Graphic 1004"/>
                              <wps:cNvSpPr/>
                              <wps:spPr>
                                <a:xfrm>
                                  <a:off x="0" y="0"/>
                                  <a:ext cx="5829300" cy="175260"/>
                                </a:xfrm>
                                <a:custGeom>
                                  <a:avLst/>
                                  <a:gdLst/>
                                  <a:ahLst/>
                                  <a:cxnLst/>
                                  <a:rect l="l" t="t" r="r" b="b"/>
                                  <a:pathLst>
                                    <a:path w="5829300" h="175260">
                                      <a:moveTo>
                                        <a:pt x="1078979" y="0"/>
                                      </a:moveTo>
                                      <a:lnTo>
                                        <a:pt x="646176" y="0"/>
                                      </a:lnTo>
                                      <a:lnTo>
                                        <a:pt x="0" y="0"/>
                                      </a:lnTo>
                                      <a:lnTo>
                                        <a:pt x="0" y="175260"/>
                                      </a:lnTo>
                                      <a:lnTo>
                                        <a:pt x="646176" y="175260"/>
                                      </a:lnTo>
                                      <a:lnTo>
                                        <a:pt x="1078979" y="175260"/>
                                      </a:lnTo>
                                      <a:lnTo>
                                        <a:pt x="1078979" y="0"/>
                                      </a:lnTo>
                                      <a:close/>
                                    </a:path>
                                    <a:path w="5829300" h="175260">
                                      <a:moveTo>
                                        <a:pt x="3243059" y="0"/>
                                      </a:moveTo>
                                      <a:lnTo>
                                        <a:pt x="3243059" y="0"/>
                                      </a:lnTo>
                                      <a:lnTo>
                                        <a:pt x="1078992" y="0"/>
                                      </a:lnTo>
                                      <a:lnTo>
                                        <a:pt x="1078992" y="175260"/>
                                      </a:lnTo>
                                      <a:lnTo>
                                        <a:pt x="3243059" y="175260"/>
                                      </a:lnTo>
                                      <a:lnTo>
                                        <a:pt x="3243059" y="0"/>
                                      </a:lnTo>
                                      <a:close/>
                                    </a:path>
                                    <a:path w="5829300" h="175260">
                                      <a:moveTo>
                                        <a:pt x="4540745" y="0"/>
                                      </a:moveTo>
                                      <a:lnTo>
                                        <a:pt x="4108704" y="0"/>
                                      </a:lnTo>
                                      <a:lnTo>
                                        <a:pt x="3675126" y="0"/>
                                      </a:lnTo>
                                      <a:lnTo>
                                        <a:pt x="3243072" y="0"/>
                                      </a:lnTo>
                                      <a:lnTo>
                                        <a:pt x="3243072" y="175260"/>
                                      </a:lnTo>
                                      <a:lnTo>
                                        <a:pt x="3675126" y="175260"/>
                                      </a:lnTo>
                                      <a:lnTo>
                                        <a:pt x="4108704" y="175260"/>
                                      </a:lnTo>
                                      <a:lnTo>
                                        <a:pt x="4540745" y="175260"/>
                                      </a:lnTo>
                                      <a:lnTo>
                                        <a:pt x="4540745" y="0"/>
                                      </a:lnTo>
                                      <a:close/>
                                    </a:path>
                                    <a:path w="5829300" h="175260">
                                      <a:moveTo>
                                        <a:pt x="5829300" y="0"/>
                                      </a:moveTo>
                                      <a:lnTo>
                                        <a:pt x="5406390" y="0"/>
                                      </a:lnTo>
                                      <a:lnTo>
                                        <a:pt x="4974336" y="0"/>
                                      </a:lnTo>
                                      <a:lnTo>
                                        <a:pt x="4973574" y="0"/>
                                      </a:lnTo>
                                      <a:lnTo>
                                        <a:pt x="4540758" y="0"/>
                                      </a:lnTo>
                                      <a:lnTo>
                                        <a:pt x="4540758" y="175260"/>
                                      </a:lnTo>
                                      <a:lnTo>
                                        <a:pt x="4973574" y="175260"/>
                                      </a:lnTo>
                                      <a:lnTo>
                                        <a:pt x="4974336" y="175260"/>
                                      </a:lnTo>
                                      <a:lnTo>
                                        <a:pt x="5406390" y="175260"/>
                                      </a:lnTo>
                                      <a:lnTo>
                                        <a:pt x="5829300" y="175260"/>
                                      </a:lnTo>
                                      <a:lnTo>
                                        <a:pt x="5829300" y="0"/>
                                      </a:lnTo>
                                      <a:close/>
                                    </a:path>
                                  </a:pathLst>
                                </a:custGeom>
                                <a:solidFill>
                                  <a:srgbClr val="92D400"/>
                                </a:solidFill>
                              </wps:spPr>
                              <wps:bodyPr wrap="square" lIns="0" tIns="0" rIns="0" bIns="0" rtlCol="0">
                                <a:prstTxWarp prst="textNoShape">
                                  <a:avLst/>
                                </a:prstTxWarp>
                                <a:noAutofit/>
                              </wps:bodyPr>
                            </wps:wsp>
                            <wps:wsp>
                              <wps:cNvPr id="1005" name="Graphic 1005"/>
                              <wps:cNvSpPr/>
                              <wps:spPr>
                                <a:xfrm>
                                  <a:off x="0" y="194309"/>
                                  <a:ext cx="5829300" cy="175260"/>
                                </a:xfrm>
                                <a:custGeom>
                                  <a:avLst/>
                                  <a:gdLst/>
                                  <a:ahLst/>
                                  <a:cxnLst/>
                                  <a:rect l="l" t="t" r="r" b="b"/>
                                  <a:pathLst>
                                    <a:path w="5829300" h="175260">
                                      <a:moveTo>
                                        <a:pt x="5829300" y="0"/>
                                      </a:moveTo>
                                      <a:lnTo>
                                        <a:pt x="2908554" y="0"/>
                                      </a:lnTo>
                                      <a:lnTo>
                                        <a:pt x="0" y="0"/>
                                      </a:lnTo>
                                      <a:lnTo>
                                        <a:pt x="0" y="175260"/>
                                      </a:lnTo>
                                      <a:lnTo>
                                        <a:pt x="2908554" y="175260"/>
                                      </a:lnTo>
                                      <a:lnTo>
                                        <a:pt x="5829300" y="175260"/>
                                      </a:lnTo>
                                      <a:lnTo>
                                        <a:pt x="5829300" y="0"/>
                                      </a:lnTo>
                                      <a:close/>
                                    </a:path>
                                  </a:pathLst>
                                </a:custGeom>
                                <a:solidFill>
                                  <a:srgbClr val="BEBEBE"/>
                                </a:solidFill>
                              </wps:spPr>
                              <wps:bodyPr wrap="square" lIns="0" tIns="0" rIns="0" bIns="0" rtlCol="0">
                                <a:prstTxWarp prst="textNoShape">
                                  <a:avLst/>
                                </a:prstTxWarp>
                                <a:noAutofit/>
                              </wps:bodyPr>
                            </wps:wsp>
                            <wps:wsp>
                              <wps:cNvPr id="1006" name="Graphic 1006"/>
                              <wps:cNvSpPr/>
                              <wps:spPr>
                                <a:xfrm>
                                  <a:off x="4559808" y="175259"/>
                                  <a:ext cx="1270000" cy="19050"/>
                                </a:xfrm>
                                <a:custGeom>
                                  <a:avLst/>
                                  <a:gdLst/>
                                  <a:ahLst/>
                                  <a:cxnLst/>
                                  <a:rect l="l" t="t" r="r" b="b"/>
                                  <a:pathLst>
                                    <a:path w="1270000" h="19050">
                                      <a:moveTo>
                                        <a:pt x="414528" y="0"/>
                                      </a:moveTo>
                                      <a:lnTo>
                                        <a:pt x="0" y="0"/>
                                      </a:lnTo>
                                      <a:lnTo>
                                        <a:pt x="0" y="19050"/>
                                      </a:lnTo>
                                      <a:lnTo>
                                        <a:pt x="414528" y="19050"/>
                                      </a:lnTo>
                                      <a:lnTo>
                                        <a:pt x="414528" y="0"/>
                                      </a:lnTo>
                                      <a:close/>
                                    </a:path>
                                    <a:path w="1270000" h="19050">
                                      <a:moveTo>
                                        <a:pt x="846582" y="0"/>
                                      </a:moveTo>
                                      <a:lnTo>
                                        <a:pt x="433578" y="0"/>
                                      </a:lnTo>
                                      <a:lnTo>
                                        <a:pt x="433578" y="19050"/>
                                      </a:lnTo>
                                      <a:lnTo>
                                        <a:pt x="846582" y="19050"/>
                                      </a:lnTo>
                                      <a:lnTo>
                                        <a:pt x="846582" y="0"/>
                                      </a:lnTo>
                                      <a:close/>
                                    </a:path>
                                    <a:path w="1270000" h="19050">
                                      <a:moveTo>
                                        <a:pt x="1269492" y="0"/>
                                      </a:moveTo>
                                      <a:lnTo>
                                        <a:pt x="865632" y="0"/>
                                      </a:lnTo>
                                      <a:lnTo>
                                        <a:pt x="865632" y="19050"/>
                                      </a:lnTo>
                                      <a:lnTo>
                                        <a:pt x="1269492" y="19050"/>
                                      </a:lnTo>
                                      <a:lnTo>
                                        <a:pt x="1269492" y="0"/>
                                      </a:lnTo>
                                      <a:close/>
                                    </a:path>
                                  </a:pathLst>
                                </a:custGeom>
                                <a:solidFill>
                                  <a:srgbClr val="94D500"/>
                                </a:solidFill>
                              </wps:spPr>
                              <wps:bodyPr wrap="square" lIns="0" tIns="0" rIns="0" bIns="0" rtlCol="0">
                                <a:prstTxWarp prst="textNoShape">
                                  <a:avLst/>
                                </a:prstTxWarp>
                                <a:noAutofit/>
                              </wps:bodyPr>
                            </wps:wsp>
                          </wpg:wgp>
                        </a:graphicData>
                      </a:graphic>
                    </wp:anchor>
                  </w:drawing>
                </mc:Choice>
                <mc:Fallback>
                  <w:pict>
                    <v:group id="Group 1003" style="position:absolute;margin-left:5.2pt;margin-top:0;width:459pt;height:29.1pt;z-index:-37734912;mso-wrap-distance-left:0;mso-wrap-distance-right:0" coordsize="58293,3695" o:spid="_x0000_s1026" w14:anchorId="188EC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">
                      <v:shape id="Graphic 1004" style="position:absolute;width:58293;height:1752;visibility:visible;mso-wrap-style:square;v-text-anchor:top" coordsize="5829300,175260" o:spid="_x0000_s1027" fillcolor="#92d400" stroked="f" path="m1078979,l646176,,,,,175260r646176,l1078979,175260,1078979,xem3243059,r,l1078992,r,175260l3243059,175260,3243059,xem4540745,l4108704,,3675126,,3243072,r,175260l3675126,175260r433578,l4540745,175260,4540745,xem5829300,l5406390,,4974336,r-762,l4540758,r,175260l4973574,175260r762,l5406390,175260r422910,l5829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">
                        <v:path arrowok="t"/>
                      </v:shape>
                      <v:shape id="Graphic 1005" style="position:absolute;top:1943;width:58293;height:1752;visibility:visible;mso-wrap-style:square;v-text-anchor:top" coordsize="5829300,175260" o:spid="_x0000_s1028" fillcolor="#bebebe" stroked="f" path="m5829300,l2908554,,,,,175260r2908554,l5829300,175260,5829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">
                        <v:path arrowok="t"/>
                      </v:shape>
                      <v:shape id="Graphic 1006" style="position:absolute;left:45598;top:1752;width:12700;height:191;visibility:visible;mso-wrap-style:square;v-text-anchor:top" coordsize="1270000,19050" o:spid="_x0000_s1029" fillcolor="#94d500" stroked="f" path="m414528,l,,,19050r414528,l414528,xem846582,l433578,r,19050l846582,19050,846582,xem1269492,l865632,r,19050l1269492,19050r,-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">
                        <v:path arrowok="t"/>
                      </v:shape>
                    </v:group>
                  </w:pict>
                </mc:Fallback>
              </mc:AlternateContent>
            </w:r>
            <w:r>
              <w:rPr>
                <w:b/>
                <w:spacing w:val="-4"/>
                <w:sz w:val="17"/>
              </w:rPr>
              <w:t>Year</w:t>
            </w:r>
          </w:p>
        </w:tc>
        <w:tc>
          <w:tcPr>
            <w:tcW w:w="698" w:type="dxa"/>
            <w:shd w:val="clear" w:color="auto" w:fill="92D400"/>
          </w:tcPr>
          <w:p w:rsidR="00C31389" w:rsidRDefault="00561FBD" w14:paraId="246A15D4" w14:textId="77777777">
            <w:pPr>
              <w:pStyle w:val="TableParagraph"/>
              <w:spacing w:before="41"/>
              <w:ind w:left="117" w:right="45"/>
              <w:jc w:val="center"/>
              <w:rPr>
                <w:b/>
                <w:sz w:val="17"/>
              </w:rPr>
            </w:pPr>
            <w:r>
              <w:rPr>
                <w:b/>
                <w:spacing w:val="-4"/>
                <w:sz w:val="17"/>
              </w:rPr>
              <w:t>2024</w:t>
            </w:r>
          </w:p>
        </w:tc>
        <w:tc>
          <w:tcPr>
            <w:tcW w:w="698" w:type="dxa"/>
            <w:shd w:val="clear" w:color="auto" w:fill="92D400"/>
          </w:tcPr>
          <w:p w:rsidR="00C31389" w:rsidRDefault="00561FBD" w14:paraId="14D43944" w14:textId="77777777">
            <w:pPr>
              <w:pStyle w:val="TableParagraph"/>
              <w:spacing w:before="41"/>
              <w:ind w:left="117" w:right="78"/>
              <w:jc w:val="center"/>
              <w:rPr>
                <w:b/>
                <w:sz w:val="17"/>
              </w:rPr>
            </w:pPr>
            <w:r>
              <w:rPr>
                <w:b/>
                <w:spacing w:val="-4"/>
                <w:sz w:val="17"/>
              </w:rPr>
              <w:t>2025</w:t>
            </w:r>
          </w:p>
        </w:tc>
        <w:tc>
          <w:tcPr>
            <w:tcW w:w="688" w:type="dxa"/>
            <w:shd w:val="clear" w:color="auto" w:fill="92D400"/>
          </w:tcPr>
          <w:p w:rsidR="00C31389" w:rsidRDefault="00561FBD" w14:paraId="2CA5919D" w14:textId="77777777">
            <w:pPr>
              <w:pStyle w:val="TableParagraph"/>
              <w:spacing w:before="41"/>
              <w:ind w:left="107" w:right="91"/>
              <w:jc w:val="center"/>
              <w:rPr>
                <w:b/>
                <w:sz w:val="17"/>
              </w:rPr>
            </w:pPr>
            <w:r>
              <w:rPr>
                <w:b/>
                <w:spacing w:val="-4"/>
                <w:sz w:val="17"/>
              </w:rPr>
              <w:t>2026</w:t>
            </w:r>
          </w:p>
        </w:tc>
        <w:tc>
          <w:tcPr>
            <w:tcW w:w="688" w:type="dxa"/>
            <w:shd w:val="clear" w:color="auto" w:fill="92D400"/>
          </w:tcPr>
          <w:p w:rsidR="00C31389" w:rsidRDefault="00561FBD" w14:paraId="66CFF871" w14:textId="77777777">
            <w:pPr>
              <w:pStyle w:val="TableParagraph"/>
              <w:spacing w:before="41"/>
              <w:ind w:right="150"/>
              <w:jc w:val="right"/>
              <w:rPr>
                <w:b/>
                <w:sz w:val="17"/>
              </w:rPr>
            </w:pPr>
            <w:r>
              <w:rPr>
                <w:b/>
                <w:spacing w:val="-4"/>
                <w:sz w:val="17"/>
              </w:rPr>
              <w:t>2027</w:t>
            </w:r>
          </w:p>
        </w:tc>
        <w:tc>
          <w:tcPr>
            <w:tcW w:w="687" w:type="dxa"/>
            <w:shd w:val="clear" w:color="auto" w:fill="92D400"/>
          </w:tcPr>
          <w:p w:rsidR="00C31389" w:rsidRDefault="00561FBD" w14:paraId="537B0108" w14:textId="77777777">
            <w:pPr>
              <w:pStyle w:val="TableParagraph"/>
              <w:spacing w:before="41"/>
              <w:ind w:left="150"/>
              <w:rPr>
                <w:b/>
                <w:sz w:val="17"/>
              </w:rPr>
            </w:pPr>
            <w:r>
              <w:rPr>
                <w:b/>
                <w:spacing w:val="-4"/>
                <w:sz w:val="17"/>
              </w:rPr>
              <w:t>2028</w:t>
            </w:r>
          </w:p>
        </w:tc>
        <w:tc>
          <w:tcPr>
            <w:tcW w:w="689" w:type="dxa"/>
          </w:tcPr>
          <w:p w:rsidR="00C31389" w:rsidRDefault="00561FBD" w14:paraId="30E38505" w14:textId="77777777">
            <w:pPr>
              <w:pStyle w:val="TableParagraph"/>
              <w:spacing w:before="41"/>
              <w:ind w:right="164"/>
              <w:jc w:val="right"/>
              <w:rPr>
                <w:b/>
                <w:sz w:val="17"/>
              </w:rPr>
            </w:pPr>
            <w:r>
              <w:rPr>
                <w:b/>
                <w:spacing w:val="-4"/>
                <w:sz w:val="17"/>
              </w:rPr>
              <w:t>2029</w:t>
            </w:r>
          </w:p>
        </w:tc>
        <w:tc>
          <w:tcPr>
            <w:tcW w:w="687" w:type="dxa"/>
          </w:tcPr>
          <w:p w:rsidR="00C31389" w:rsidRDefault="00561FBD" w14:paraId="2372E6FC" w14:textId="77777777">
            <w:pPr>
              <w:pStyle w:val="TableParagraph"/>
              <w:spacing w:before="41"/>
              <w:ind w:left="137"/>
              <w:rPr>
                <w:b/>
                <w:sz w:val="17"/>
              </w:rPr>
            </w:pPr>
            <w:r>
              <w:rPr>
                <w:b/>
                <w:spacing w:val="-4"/>
                <w:sz w:val="17"/>
              </w:rPr>
              <w:t>2030</w:t>
            </w:r>
          </w:p>
        </w:tc>
        <w:tc>
          <w:tcPr>
            <w:tcW w:w="688" w:type="dxa"/>
          </w:tcPr>
          <w:p w:rsidR="00C31389" w:rsidRDefault="00561FBD" w14:paraId="0A14270B" w14:textId="77777777">
            <w:pPr>
              <w:pStyle w:val="TableParagraph"/>
              <w:spacing w:before="41"/>
              <w:ind w:left="130"/>
              <w:rPr>
                <w:b/>
                <w:sz w:val="17"/>
              </w:rPr>
            </w:pPr>
            <w:r>
              <w:rPr>
                <w:b/>
                <w:spacing w:val="-4"/>
                <w:sz w:val="17"/>
              </w:rPr>
              <w:t>2031</w:t>
            </w:r>
          </w:p>
        </w:tc>
        <w:tc>
          <w:tcPr>
            <w:tcW w:w="687" w:type="dxa"/>
          </w:tcPr>
          <w:p w:rsidR="00C31389" w:rsidRDefault="00561FBD" w14:paraId="422A8E23" w14:textId="77777777">
            <w:pPr>
              <w:pStyle w:val="TableParagraph"/>
              <w:spacing w:before="41"/>
              <w:ind w:left="125"/>
              <w:rPr>
                <w:b/>
                <w:sz w:val="17"/>
              </w:rPr>
            </w:pPr>
            <w:r>
              <w:rPr>
                <w:b/>
                <w:spacing w:val="-4"/>
                <w:sz w:val="17"/>
              </w:rPr>
              <w:t>2032</w:t>
            </w:r>
          </w:p>
        </w:tc>
        <w:tc>
          <w:tcPr>
            <w:tcW w:w="688" w:type="dxa"/>
          </w:tcPr>
          <w:p w:rsidR="00C31389" w:rsidRDefault="00561FBD" w14:paraId="759BB6F1" w14:textId="77777777">
            <w:pPr>
              <w:pStyle w:val="TableParagraph"/>
              <w:spacing w:before="41"/>
              <w:ind w:left="118"/>
              <w:rPr>
                <w:b/>
                <w:sz w:val="17"/>
              </w:rPr>
            </w:pPr>
            <w:r>
              <w:rPr>
                <w:noProof/>
              </w:rPr>
              <mc:AlternateContent>
                <mc:Choice Requires="wpg">
                  <w:drawing>
                    <wp:anchor distT="0" distB="0" distL="0" distR="0" simplePos="0" relativeHeight="15895552" behindDoc="0" locked="0" layoutInCell="1" allowOverlap="1" wp14:editId="4666C0D4" wp14:anchorId="1DC269EF">
                      <wp:simplePos x="0" y="0"/>
                      <wp:positionH relativeFrom="column">
                        <wp:posOffset>382153</wp:posOffset>
                      </wp:positionH>
                      <wp:positionV relativeFrom="paragraph">
                        <wp:posOffset>175296</wp:posOffset>
                      </wp:positionV>
                      <wp:extent cx="19050" cy="19050"/>
                      <wp:effectExtent l="0" t="0" r="0" b="0"/>
                      <wp:wrapNone/>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008" name="Graphic 1008"/>
                              <wps:cNvSpPr/>
                              <wps:spPr>
                                <a:xfrm>
                                  <a:off x="0" y="0"/>
                                  <a:ext cx="19050" cy="19050"/>
                                </a:xfrm>
                                <a:custGeom>
                                  <a:avLst/>
                                  <a:gdLst/>
                                  <a:ahLst/>
                                  <a:cxnLst/>
                                  <a:rect l="l" t="t" r="r" b="b"/>
                                  <a:pathLst>
                                    <a:path w="19050" h="19050">
                                      <a:moveTo>
                                        <a:pt x="19050" y="0"/>
                                      </a:moveTo>
                                      <a:lnTo>
                                        <a:pt x="0" y="0"/>
                                      </a:lnTo>
                                      <a:lnTo>
                                        <a:pt x="0" y="19050"/>
                                      </a:lnTo>
                                      <a:lnTo>
                                        <a:pt x="19050" y="19050"/>
                                      </a:lnTo>
                                      <a:lnTo>
                                        <a:pt x="19050" y="0"/>
                                      </a:lnTo>
                                      <a:close/>
                                    </a:path>
                                  </a:pathLst>
                                </a:custGeom>
                                <a:solidFill>
                                  <a:srgbClr val="94D500"/>
                                </a:solidFill>
                              </wps:spPr>
                              <wps:bodyPr wrap="square" lIns="0" tIns="0" rIns="0" bIns="0" rtlCol="0">
                                <a:prstTxWarp prst="textNoShape">
                                  <a:avLst/>
                                </a:prstTxWarp>
                                <a:noAutofit/>
                              </wps:bodyPr>
                            </wps:wsp>
                          </wpg:wgp>
                        </a:graphicData>
                      </a:graphic>
                    </wp:anchor>
                  </w:drawing>
                </mc:Choice>
                <mc:Fallback>
                  <w:pict>
                    <v:group id="Group 1007" style="position:absolute;margin-left:30.1pt;margin-top:13.8pt;width:1.5pt;height:1.5pt;z-index:15895552;mso-wrap-distance-left:0;mso-wrap-distance-right:0" coordsize="19050,19050" o:spid="_x0000_s1026" w14:anchorId="3B0CC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">
                      <v:shape id="Graphic 1008" style="position:absolute;width:19050;height:19050;visibility:visible;mso-wrap-style:square;v-text-anchor:top" coordsize="19050,19050" o:spid="_x0000_s1027" fillcolor="#94d500" stroked="f" path="m19050,l,,,19050r19050,l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">
                        <v:path arrowok="t"/>
                      </v:shape>
                    </v:group>
                  </w:pict>
                </mc:Fallback>
              </mc:AlternateContent>
            </w:r>
            <w:r>
              <w:rPr>
                <w:b/>
                <w:spacing w:val="-4"/>
                <w:sz w:val="17"/>
              </w:rPr>
              <w:t>2033</w:t>
            </w:r>
          </w:p>
        </w:tc>
        <w:tc>
          <w:tcPr>
            <w:tcW w:w="680" w:type="dxa"/>
          </w:tcPr>
          <w:p w:rsidR="00C31389" w:rsidRDefault="00561FBD" w14:paraId="71C640C5" w14:textId="77777777">
            <w:pPr>
              <w:pStyle w:val="TableParagraph"/>
              <w:spacing w:before="41"/>
              <w:ind w:left="112"/>
              <w:rPr>
                <w:b/>
                <w:sz w:val="17"/>
              </w:rPr>
            </w:pPr>
            <w:r>
              <w:rPr>
                <w:noProof/>
              </w:rPr>
              <mc:AlternateContent>
                <mc:Choice Requires="wpg">
                  <w:drawing>
                    <wp:anchor distT="0" distB="0" distL="0" distR="0" simplePos="0" relativeHeight="15896064" behindDoc="0" locked="0" layoutInCell="1" allowOverlap="1" wp14:editId="7B3E34FF" wp14:anchorId="6F005809">
                      <wp:simplePos x="0" y="0"/>
                      <wp:positionH relativeFrom="column">
                        <wp:posOffset>376819</wp:posOffset>
                      </wp:positionH>
                      <wp:positionV relativeFrom="paragraph">
                        <wp:posOffset>175296</wp:posOffset>
                      </wp:positionV>
                      <wp:extent cx="19050" cy="19050"/>
                      <wp:effectExtent l="0" t="0" r="0" b="0"/>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010" name="Graphic 1010"/>
                              <wps:cNvSpPr/>
                              <wps:spPr>
                                <a:xfrm>
                                  <a:off x="0" y="0"/>
                                  <a:ext cx="19050" cy="19050"/>
                                </a:xfrm>
                                <a:custGeom>
                                  <a:avLst/>
                                  <a:gdLst/>
                                  <a:ahLst/>
                                  <a:cxnLst/>
                                  <a:rect l="l" t="t" r="r" b="b"/>
                                  <a:pathLst>
                                    <a:path w="19050" h="19050">
                                      <a:moveTo>
                                        <a:pt x="19050" y="0"/>
                                      </a:moveTo>
                                      <a:lnTo>
                                        <a:pt x="0" y="0"/>
                                      </a:lnTo>
                                      <a:lnTo>
                                        <a:pt x="0" y="19050"/>
                                      </a:lnTo>
                                      <a:lnTo>
                                        <a:pt x="19050" y="19050"/>
                                      </a:lnTo>
                                      <a:lnTo>
                                        <a:pt x="19050" y="0"/>
                                      </a:lnTo>
                                      <a:close/>
                                    </a:path>
                                  </a:pathLst>
                                </a:custGeom>
                                <a:solidFill>
                                  <a:srgbClr val="94D500"/>
                                </a:solidFill>
                              </wps:spPr>
                              <wps:bodyPr wrap="square" lIns="0" tIns="0" rIns="0" bIns="0" rtlCol="0">
                                <a:prstTxWarp prst="textNoShape">
                                  <a:avLst/>
                                </a:prstTxWarp>
                                <a:noAutofit/>
                              </wps:bodyPr>
                            </wps:wsp>
                          </wpg:wgp>
                        </a:graphicData>
                      </a:graphic>
                    </wp:anchor>
                  </w:drawing>
                </mc:Choice>
                <mc:Fallback>
                  <w:pict>
                    <v:group id="Group 1009" style="position:absolute;margin-left:29.65pt;margin-top:13.8pt;width:1.5pt;height:1.5pt;z-index:15896064;mso-wrap-distance-left:0;mso-wrap-distance-right:0" coordsize="19050,19050" o:spid="_x0000_s1026" w14:anchorId="64F3E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">
                      <v:shape id="Graphic 1010" style="position:absolute;width:19050;height:19050;visibility:visible;mso-wrap-style:square;v-text-anchor:top" coordsize="19050,19050" o:spid="_x0000_s1027" fillcolor="#94d500" stroked="f" path="m19050,l,,,19050r19050,l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">
                        <v:path arrowok="t"/>
                      </v:shape>
                    </v:group>
                  </w:pict>
                </mc:Fallback>
              </mc:AlternateContent>
            </w:r>
            <w:r>
              <w:rPr>
                <w:b/>
                <w:spacing w:val="-4"/>
                <w:sz w:val="17"/>
              </w:rPr>
              <w:t>2034</w:t>
            </w:r>
          </w:p>
        </w:tc>
        <w:tc>
          <w:tcPr>
            <w:tcW w:w="669" w:type="dxa"/>
          </w:tcPr>
          <w:p w:rsidR="00C31389" w:rsidRDefault="00561FBD" w14:paraId="5DAFC445" w14:textId="77777777">
            <w:pPr>
              <w:pStyle w:val="TableParagraph"/>
              <w:spacing w:before="41"/>
              <w:ind w:right="189"/>
              <w:jc w:val="right"/>
              <w:rPr>
                <w:b/>
                <w:sz w:val="17"/>
              </w:rPr>
            </w:pPr>
            <w:r>
              <w:rPr>
                <w:b/>
                <w:spacing w:val="-4"/>
                <w:sz w:val="17"/>
              </w:rPr>
              <w:t>2035</w:t>
            </w:r>
          </w:p>
        </w:tc>
      </w:tr>
      <w:tr w:rsidR="00C31389" w14:paraId="66CD2648" w14:textId="77777777">
        <w:trPr>
          <w:trHeight w:val="280"/>
        </w:trPr>
        <w:tc>
          <w:tcPr>
            <w:tcW w:w="9369" w:type="dxa"/>
            <w:gridSpan w:val="13"/>
            <w:shd w:val="clear" w:color="auto" w:fill="BEBEBE"/>
          </w:tcPr>
          <w:p w:rsidR="00C31389" w:rsidRDefault="00561FBD" w14:paraId="7356DF9B" w14:textId="77777777">
            <w:pPr>
              <w:pStyle w:val="TableParagraph"/>
              <w:spacing w:before="41"/>
              <w:ind w:left="212"/>
              <w:rPr>
                <w:b/>
                <w:sz w:val="17"/>
              </w:rPr>
            </w:pPr>
            <w:r>
              <w:rPr>
                <w:noProof/>
              </w:rPr>
              <mc:AlternateContent>
                <mc:Choice Requires="wpg">
                  <w:drawing>
                    <wp:anchor distT="0" distB="0" distL="0" distR="0" simplePos="0" relativeHeight="15895040" behindDoc="0" locked="0" layoutInCell="1" allowOverlap="1" wp14:editId="11AD8B60" wp14:anchorId="1C8411DA">
                      <wp:simplePos x="0" y="0"/>
                      <wp:positionH relativeFrom="column">
                        <wp:posOffset>66293</wp:posOffset>
                      </wp:positionH>
                      <wp:positionV relativeFrom="paragraph">
                        <wp:posOffset>-19012</wp:posOffset>
                      </wp:positionV>
                      <wp:extent cx="4559935" cy="19050"/>
                      <wp:effectExtent l="0" t="0" r="0" b="0"/>
                      <wp:wrapNone/>
                      <wp:docPr id="101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935" cy="19050"/>
                                <a:chOff x="0" y="0"/>
                                <a:chExt cx="4559935" cy="19050"/>
                              </a:xfrm>
                            </wpg:grpSpPr>
                            <wps:wsp>
                              <wps:cNvPr id="1012" name="Graphic 1012"/>
                              <wps:cNvSpPr/>
                              <wps:spPr>
                                <a:xfrm>
                                  <a:off x="0" y="0"/>
                                  <a:ext cx="4559935" cy="19050"/>
                                </a:xfrm>
                                <a:custGeom>
                                  <a:avLst/>
                                  <a:gdLst/>
                                  <a:ahLst/>
                                  <a:cxnLst/>
                                  <a:rect l="l" t="t" r="r" b="b"/>
                                  <a:pathLst>
                                    <a:path w="4559935" h="19050">
                                      <a:moveTo>
                                        <a:pt x="1078979" y="0"/>
                                      </a:moveTo>
                                      <a:lnTo>
                                        <a:pt x="665226" y="0"/>
                                      </a:lnTo>
                                      <a:lnTo>
                                        <a:pt x="646176" y="0"/>
                                      </a:lnTo>
                                      <a:lnTo>
                                        <a:pt x="0" y="0"/>
                                      </a:lnTo>
                                      <a:lnTo>
                                        <a:pt x="0" y="19050"/>
                                      </a:lnTo>
                                      <a:lnTo>
                                        <a:pt x="646176" y="19050"/>
                                      </a:lnTo>
                                      <a:lnTo>
                                        <a:pt x="665226" y="19050"/>
                                      </a:lnTo>
                                      <a:lnTo>
                                        <a:pt x="1078979" y="19050"/>
                                      </a:lnTo>
                                      <a:lnTo>
                                        <a:pt x="1078979" y="0"/>
                                      </a:lnTo>
                                      <a:close/>
                                    </a:path>
                                    <a:path w="4559935" h="19050">
                                      <a:moveTo>
                                        <a:pt x="3243059" y="0"/>
                                      </a:moveTo>
                                      <a:lnTo>
                                        <a:pt x="3243059" y="0"/>
                                      </a:lnTo>
                                      <a:lnTo>
                                        <a:pt x="1078992" y="0"/>
                                      </a:lnTo>
                                      <a:lnTo>
                                        <a:pt x="1078992" y="19050"/>
                                      </a:lnTo>
                                      <a:lnTo>
                                        <a:pt x="3243059" y="19050"/>
                                      </a:lnTo>
                                      <a:lnTo>
                                        <a:pt x="3243059" y="0"/>
                                      </a:lnTo>
                                      <a:close/>
                                    </a:path>
                                    <a:path w="4559935" h="19050">
                                      <a:moveTo>
                                        <a:pt x="4540745" y="0"/>
                                      </a:moveTo>
                                      <a:lnTo>
                                        <a:pt x="4540745" y="0"/>
                                      </a:lnTo>
                                      <a:lnTo>
                                        <a:pt x="3243072" y="0"/>
                                      </a:lnTo>
                                      <a:lnTo>
                                        <a:pt x="3243072" y="19050"/>
                                      </a:lnTo>
                                      <a:lnTo>
                                        <a:pt x="4540745" y="19050"/>
                                      </a:lnTo>
                                      <a:lnTo>
                                        <a:pt x="4540745" y="0"/>
                                      </a:lnTo>
                                      <a:close/>
                                    </a:path>
                                    <a:path w="4559935" h="19050">
                                      <a:moveTo>
                                        <a:pt x="4559808" y="0"/>
                                      </a:moveTo>
                                      <a:lnTo>
                                        <a:pt x="4540758" y="0"/>
                                      </a:lnTo>
                                      <a:lnTo>
                                        <a:pt x="4540758" y="19050"/>
                                      </a:lnTo>
                                      <a:lnTo>
                                        <a:pt x="4559808" y="19050"/>
                                      </a:lnTo>
                                      <a:lnTo>
                                        <a:pt x="4559808" y="0"/>
                                      </a:lnTo>
                                      <a:close/>
                                    </a:path>
                                  </a:pathLst>
                                </a:custGeom>
                                <a:solidFill>
                                  <a:srgbClr val="94D500"/>
                                </a:solidFill>
                              </wps:spPr>
                              <wps:bodyPr wrap="square" lIns="0" tIns="0" rIns="0" bIns="0" rtlCol="0">
                                <a:prstTxWarp prst="textNoShape">
                                  <a:avLst/>
                                </a:prstTxWarp>
                                <a:noAutofit/>
                              </wps:bodyPr>
                            </wps:wsp>
                          </wpg:wgp>
                        </a:graphicData>
                      </a:graphic>
                    </wp:anchor>
                  </w:drawing>
                </mc:Choice>
                <mc:Fallback>
                  <w:pict>
                    <v:group id="Group 1011" style="position:absolute;margin-left:5.2pt;margin-top:-1.5pt;width:359.05pt;height:1.5pt;z-index:15895040;mso-wrap-distance-left:0;mso-wrap-distance-right:0" coordsize="45599,190" o:spid="_x0000_s1026" w14:anchorId="190ED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">
                      <v:shape id="Graphic 1012" style="position:absolute;width:45599;height:190;visibility:visible;mso-wrap-style:square;v-text-anchor:top" coordsize="4559935,19050" o:spid="_x0000_s1027" fillcolor="#94d500" stroked="f" path="m1078979,l665226,,646176,,,,,19050r646176,l665226,19050r413753,l1078979,xem3243059,r,l1078992,r,19050l3243059,19050r,-19050xem4540745,r,l3243072,r,19050l4540745,19050r,-19050xem4559808,r-19050,l4540758,19050r19050,l45598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15896576" behindDoc="0" locked="0" layoutInCell="1" allowOverlap="1" wp14:editId="2F6F8B5C" wp14:anchorId="49C897AC">
                      <wp:simplePos x="0" y="0"/>
                      <wp:positionH relativeFrom="column">
                        <wp:posOffset>66293</wp:posOffset>
                      </wp:positionH>
                      <wp:positionV relativeFrom="paragraph">
                        <wp:posOffset>175297</wp:posOffset>
                      </wp:positionV>
                      <wp:extent cx="5829300" cy="6350"/>
                      <wp:effectExtent l="0" t="0" r="0" b="0"/>
                      <wp:wrapNone/>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350"/>
                                <a:chOff x="0" y="0"/>
                                <a:chExt cx="5829300" cy="6350"/>
                              </a:xfrm>
                            </wpg:grpSpPr>
                            <wps:wsp>
                              <wps:cNvPr id="1014" name="Graphic 1014"/>
                              <wps:cNvSpPr/>
                              <wps:spPr>
                                <a:xfrm>
                                  <a:off x="0" y="0"/>
                                  <a:ext cx="5829300" cy="6350"/>
                                </a:xfrm>
                                <a:custGeom>
                                  <a:avLst/>
                                  <a:gdLst/>
                                  <a:ahLst/>
                                  <a:cxnLst/>
                                  <a:rect l="l" t="t" r="r" b="b"/>
                                  <a:pathLst>
                                    <a:path w="5829300" h="6350">
                                      <a:moveTo>
                                        <a:pt x="1517891" y="0"/>
                                      </a:moveTo>
                                      <a:lnTo>
                                        <a:pt x="1517891" y="0"/>
                                      </a:lnTo>
                                      <a:lnTo>
                                        <a:pt x="0" y="0"/>
                                      </a:lnTo>
                                      <a:lnTo>
                                        <a:pt x="0" y="6096"/>
                                      </a:lnTo>
                                      <a:lnTo>
                                        <a:pt x="1517891" y="6096"/>
                                      </a:lnTo>
                                      <a:lnTo>
                                        <a:pt x="1517891" y="0"/>
                                      </a:lnTo>
                                      <a:close/>
                                    </a:path>
                                    <a:path w="5829300" h="6350">
                                      <a:moveTo>
                                        <a:pt x="3675100" y="0"/>
                                      </a:moveTo>
                                      <a:lnTo>
                                        <a:pt x="3675100" y="0"/>
                                      </a:lnTo>
                                      <a:lnTo>
                                        <a:pt x="1517904" y="0"/>
                                      </a:lnTo>
                                      <a:lnTo>
                                        <a:pt x="1517904" y="6096"/>
                                      </a:lnTo>
                                      <a:lnTo>
                                        <a:pt x="3675100" y="6096"/>
                                      </a:lnTo>
                                      <a:lnTo>
                                        <a:pt x="3675100" y="0"/>
                                      </a:lnTo>
                                      <a:close/>
                                    </a:path>
                                    <a:path w="5829300" h="6350">
                                      <a:moveTo>
                                        <a:pt x="4974323" y="0"/>
                                      </a:moveTo>
                                      <a:lnTo>
                                        <a:pt x="4974323" y="0"/>
                                      </a:lnTo>
                                      <a:lnTo>
                                        <a:pt x="3675126" y="0"/>
                                      </a:lnTo>
                                      <a:lnTo>
                                        <a:pt x="3675126" y="6096"/>
                                      </a:lnTo>
                                      <a:lnTo>
                                        <a:pt x="4974323" y="6096"/>
                                      </a:lnTo>
                                      <a:lnTo>
                                        <a:pt x="4974323" y="0"/>
                                      </a:lnTo>
                                      <a:close/>
                                    </a:path>
                                    <a:path w="5829300" h="6350">
                                      <a:moveTo>
                                        <a:pt x="5829300" y="0"/>
                                      </a:moveTo>
                                      <a:lnTo>
                                        <a:pt x="5412486" y="0"/>
                                      </a:lnTo>
                                      <a:lnTo>
                                        <a:pt x="5406390" y="0"/>
                                      </a:lnTo>
                                      <a:lnTo>
                                        <a:pt x="4980432" y="0"/>
                                      </a:lnTo>
                                      <a:lnTo>
                                        <a:pt x="4974336" y="0"/>
                                      </a:lnTo>
                                      <a:lnTo>
                                        <a:pt x="4974336" y="6096"/>
                                      </a:lnTo>
                                      <a:lnTo>
                                        <a:pt x="4980432" y="6096"/>
                                      </a:lnTo>
                                      <a:lnTo>
                                        <a:pt x="5406390" y="6096"/>
                                      </a:lnTo>
                                      <a:lnTo>
                                        <a:pt x="5412486" y="6096"/>
                                      </a:lnTo>
                                      <a:lnTo>
                                        <a:pt x="5829300" y="6096"/>
                                      </a:lnTo>
                                      <a:lnTo>
                                        <a:pt x="5829300"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13" style="position:absolute;margin-left:5.2pt;margin-top:13.8pt;width:459pt;height:.5pt;z-index:15896576;mso-wrap-distance-left:0;mso-wrap-distance-right:0" coordsize="58293,63" o:spid="_x0000_s1026" w14:anchorId="5601D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">
                      <v:shape id="Graphic 1014" style="position:absolute;width:58293;height:63;visibility:visible;mso-wrap-style:square;v-text-anchor:top" coordsize="5829300,6350" o:spid="_x0000_s1027" fillcolor="#dcddde" stroked="f" path="m1517891,r,l,,,6096r1517891,l1517891,xem3675100,r,l1517904,r,6096l3675100,6096r,-6096xem4974323,r,l3675126,r,6096l4974323,6096r,-6096xem5829300,l5412486,r-6096,l4980432,r-6096,l4974336,6096r6096,l5406390,6096r6096,l5829300,6096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">
                        <v:path arrowok="t"/>
                      </v:shape>
                    </v:group>
                  </w:pict>
                </mc:Fallback>
              </mc:AlternateContent>
            </w: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63E58E0D" w14:textId="77777777">
        <w:trPr>
          <w:trHeight w:val="279"/>
        </w:trPr>
        <w:tc>
          <w:tcPr>
            <w:tcW w:w="1122" w:type="dxa"/>
            <w:tcBorders>
              <w:bottom w:val="single" w:color="DCDDDE" w:sz="4" w:space="0"/>
            </w:tcBorders>
          </w:tcPr>
          <w:p w:rsidR="00C31389" w:rsidRDefault="00561FBD" w14:paraId="6742846D" w14:textId="77777777">
            <w:pPr>
              <w:pStyle w:val="TableParagraph"/>
              <w:spacing w:before="45"/>
              <w:ind w:left="212"/>
              <w:rPr>
                <w:sz w:val="17"/>
              </w:rPr>
            </w:pPr>
            <w:r>
              <w:rPr>
                <w:spacing w:val="-5"/>
                <w:sz w:val="17"/>
              </w:rPr>
              <w:t>EE</w:t>
            </w:r>
          </w:p>
        </w:tc>
        <w:tc>
          <w:tcPr>
            <w:tcW w:w="698" w:type="dxa"/>
            <w:tcBorders>
              <w:bottom w:val="single" w:color="D9D9D9" w:sz="8" w:space="0"/>
            </w:tcBorders>
          </w:tcPr>
          <w:p w:rsidR="00C31389" w:rsidRDefault="00561FBD" w14:paraId="7DDF357E" w14:textId="77777777">
            <w:pPr>
              <w:pStyle w:val="TableParagraph"/>
              <w:spacing w:before="45"/>
              <w:ind w:left="117"/>
              <w:jc w:val="center"/>
              <w:rPr>
                <w:sz w:val="17"/>
              </w:rPr>
            </w:pPr>
            <w:r>
              <w:rPr>
                <w:spacing w:val="-4"/>
                <w:sz w:val="17"/>
              </w:rPr>
              <w:t>46.4</w:t>
            </w:r>
          </w:p>
        </w:tc>
        <w:tc>
          <w:tcPr>
            <w:tcW w:w="698" w:type="dxa"/>
            <w:tcBorders>
              <w:bottom w:val="single" w:color="D9D9D9" w:sz="8" w:space="0"/>
            </w:tcBorders>
          </w:tcPr>
          <w:p w:rsidR="00C31389" w:rsidRDefault="00561FBD" w14:paraId="77141230" w14:textId="77777777">
            <w:pPr>
              <w:pStyle w:val="TableParagraph"/>
              <w:spacing w:before="45"/>
              <w:ind w:left="117" w:right="32"/>
              <w:jc w:val="center"/>
              <w:rPr>
                <w:sz w:val="17"/>
              </w:rPr>
            </w:pPr>
            <w:r>
              <w:rPr>
                <w:spacing w:val="-4"/>
                <w:sz w:val="17"/>
              </w:rPr>
              <w:t>52.1</w:t>
            </w:r>
          </w:p>
        </w:tc>
        <w:tc>
          <w:tcPr>
            <w:tcW w:w="688" w:type="dxa"/>
            <w:tcBorders>
              <w:bottom w:val="single" w:color="D9D9D9" w:sz="8" w:space="0"/>
            </w:tcBorders>
          </w:tcPr>
          <w:p w:rsidR="00C31389" w:rsidRDefault="00561FBD" w14:paraId="580ABF89" w14:textId="77777777">
            <w:pPr>
              <w:pStyle w:val="TableParagraph"/>
              <w:spacing w:before="45"/>
              <w:ind w:left="131" w:right="69"/>
              <w:jc w:val="center"/>
              <w:rPr>
                <w:sz w:val="17"/>
              </w:rPr>
            </w:pPr>
            <w:r>
              <w:rPr>
                <w:spacing w:val="-4"/>
                <w:sz w:val="17"/>
              </w:rPr>
              <w:t>54.1</w:t>
            </w:r>
          </w:p>
        </w:tc>
        <w:tc>
          <w:tcPr>
            <w:tcW w:w="688" w:type="dxa"/>
            <w:tcBorders>
              <w:bottom w:val="single" w:color="D9D9D9" w:sz="8" w:space="0"/>
            </w:tcBorders>
          </w:tcPr>
          <w:p w:rsidR="00C31389" w:rsidRDefault="00561FBD" w14:paraId="2F62CD9A" w14:textId="77777777">
            <w:pPr>
              <w:pStyle w:val="TableParagraph"/>
              <w:spacing w:before="45"/>
              <w:ind w:right="151"/>
              <w:jc w:val="right"/>
              <w:rPr>
                <w:sz w:val="17"/>
              </w:rPr>
            </w:pPr>
            <w:r>
              <w:rPr>
                <w:spacing w:val="-4"/>
                <w:sz w:val="17"/>
              </w:rPr>
              <w:t>56.0</w:t>
            </w:r>
          </w:p>
        </w:tc>
        <w:tc>
          <w:tcPr>
            <w:tcW w:w="687" w:type="dxa"/>
            <w:tcBorders>
              <w:bottom w:val="single" w:color="D9D9D9" w:sz="8" w:space="0"/>
            </w:tcBorders>
          </w:tcPr>
          <w:p w:rsidR="00C31389" w:rsidRDefault="00561FBD" w14:paraId="7C7656D2" w14:textId="77777777">
            <w:pPr>
              <w:pStyle w:val="TableParagraph"/>
              <w:spacing w:before="45"/>
              <w:ind w:left="196"/>
              <w:rPr>
                <w:sz w:val="17"/>
              </w:rPr>
            </w:pPr>
            <w:r>
              <w:rPr>
                <w:spacing w:val="-4"/>
                <w:sz w:val="17"/>
              </w:rPr>
              <w:t>56.7</w:t>
            </w:r>
          </w:p>
        </w:tc>
        <w:tc>
          <w:tcPr>
            <w:tcW w:w="689" w:type="dxa"/>
            <w:tcBorders>
              <w:bottom w:val="single" w:color="D9D9D9" w:sz="8" w:space="0"/>
            </w:tcBorders>
          </w:tcPr>
          <w:p w:rsidR="00C31389" w:rsidRDefault="00561FBD" w14:paraId="62EDBA3C" w14:textId="77777777">
            <w:pPr>
              <w:pStyle w:val="TableParagraph"/>
              <w:spacing w:before="45"/>
              <w:ind w:right="165"/>
              <w:jc w:val="right"/>
              <w:rPr>
                <w:sz w:val="17"/>
              </w:rPr>
            </w:pPr>
            <w:r>
              <w:rPr>
                <w:spacing w:val="-4"/>
                <w:sz w:val="17"/>
              </w:rPr>
              <w:t>55.0</w:t>
            </w:r>
          </w:p>
        </w:tc>
        <w:tc>
          <w:tcPr>
            <w:tcW w:w="687" w:type="dxa"/>
            <w:tcBorders>
              <w:bottom w:val="single" w:color="D9D9D9" w:sz="8" w:space="0"/>
            </w:tcBorders>
          </w:tcPr>
          <w:p w:rsidR="00C31389" w:rsidRDefault="00561FBD" w14:paraId="550E8B0E" w14:textId="77777777">
            <w:pPr>
              <w:pStyle w:val="TableParagraph"/>
              <w:spacing w:before="45"/>
              <w:ind w:left="183"/>
              <w:rPr>
                <w:sz w:val="17"/>
              </w:rPr>
            </w:pPr>
            <w:r>
              <w:rPr>
                <w:spacing w:val="-4"/>
                <w:sz w:val="17"/>
              </w:rPr>
              <w:t>56.6</w:t>
            </w:r>
          </w:p>
        </w:tc>
        <w:tc>
          <w:tcPr>
            <w:tcW w:w="688" w:type="dxa"/>
            <w:tcBorders>
              <w:bottom w:val="single" w:color="D9D9D9" w:sz="8" w:space="0"/>
            </w:tcBorders>
          </w:tcPr>
          <w:p w:rsidR="00C31389" w:rsidRDefault="00561FBD" w14:paraId="29F96A36" w14:textId="77777777">
            <w:pPr>
              <w:pStyle w:val="TableParagraph"/>
              <w:spacing w:before="45"/>
              <w:ind w:left="177"/>
              <w:rPr>
                <w:sz w:val="17"/>
              </w:rPr>
            </w:pPr>
            <w:r>
              <w:rPr>
                <w:spacing w:val="-4"/>
                <w:sz w:val="17"/>
              </w:rPr>
              <w:t>55.6</w:t>
            </w:r>
          </w:p>
        </w:tc>
        <w:tc>
          <w:tcPr>
            <w:tcW w:w="687" w:type="dxa"/>
            <w:tcBorders>
              <w:bottom w:val="single" w:color="D9D9D9" w:sz="8" w:space="0"/>
            </w:tcBorders>
          </w:tcPr>
          <w:p w:rsidR="00C31389" w:rsidRDefault="00561FBD" w14:paraId="606C5017" w14:textId="77777777">
            <w:pPr>
              <w:pStyle w:val="TableParagraph"/>
              <w:spacing w:before="45"/>
              <w:ind w:left="172"/>
              <w:rPr>
                <w:sz w:val="17"/>
              </w:rPr>
            </w:pPr>
            <w:r>
              <w:rPr>
                <w:spacing w:val="-4"/>
                <w:sz w:val="17"/>
              </w:rPr>
              <w:t>54.0</w:t>
            </w:r>
          </w:p>
        </w:tc>
        <w:tc>
          <w:tcPr>
            <w:tcW w:w="688" w:type="dxa"/>
            <w:tcBorders>
              <w:bottom w:val="single" w:color="D9D9D9" w:sz="8" w:space="0"/>
            </w:tcBorders>
          </w:tcPr>
          <w:p w:rsidR="00C31389" w:rsidRDefault="00561FBD" w14:paraId="36495E38" w14:textId="77777777">
            <w:pPr>
              <w:pStyle w:val="TableParagraph"/>
              <w:spacing w:before="45"/>
              <w:ind w:left="165"/>
              <w:rPr>
                <w:sz w:val="17"/>
              </w:rPr>
            </w:pPr>
            <w:r>
              <w:rPr>
                <w:spacing w:val="-4"/>
                <w:sz w:val="17"/>
              </w:rPr>
              <w:t>53.4</w:t>
            </w:r>
          </w:p>
        </w:tc>
        <w:tc>
          <w:tcPr>
            <w:tcW w:w="680" w:type="dxa"/>
            <w:tcBorders>
              <w:bottom w:val="single" w:color="D9D9D9" w:sz="8" w:space="0"/>
            </w:tcBorders>
          </w:tcPr>
          <w:p w:rsidR="00C31389" w:rsidRDefault="00561FBD" w14:paraId="37B05858" w14:textId="77777777">
            <w:pPr>
              <w:pStyle w:val="TableParagraph"/>
              <w:spacing w:before="45"/>
              <w:ind w:left="159"/>
              <w:rPr>
                <w:sz w:val="17"/>
              </w:rPr>
            </w:pPr>
            <w:r>
              <w:rPr>
                <w:spacing w:val="-4"/>
                <w:sz w:val="17"/>
              </w:rPr>
              <w:t>53.1</w:t>
            </w:r>
          </w:p>
        </w:tc>
        <w:tc>
          <w:tcPr>
            <w:tcW w:w="669" w:type="dxa"/>
            <w:tcBorders>
              <w:bottom w:val="single" w:color="D9D9D9" w:sz="8" w:space="0"/>
            </w:tcBorders>
          </w:tcPr>
          <w:p w:rsidR="00C31389" w:rsidRDefault="00561FBD" w14:paraId="033A052F" w14:textId="77777777">
            <w:pPr>
              <w:pStyle w:val="TableParagraph"/>
              <w:spacing w:before="45"/>
              <w:ind w:right="190"/>
              <w:jc w:val="right"/>
              <w:rPr>
                <w:sz w:val="17"/>
              </w:rPr>
            </w:pPr>
            <w:r>
              <w:rPr>
                <w:spacing w:val="-4"/>
                <w:sz w:val="17"/>
              </w:rPr>
              <w:t>53.3</w:t>
            </w:r>
          </w:p>
        </w:tc>
      </w:tr>
      <w:tr w:rsidR="00C31389" w14:paraId="27E91DBE" w14:textId="77777777">
        <w:trPr>
          <w:trHeight w:val="276"/>
        </w:trPr>
        <w:tc>
          <w:tcPr>
            <w:tcW w:w="1122" w:type="dxa"/>
            <w:tcBorders>
              <w:top w:val="single" w:color="DCDDDE" w:sz="4" w:space="0"/>
              <w:bottom w:val="single" w:color="DCDDDE" w:sz="4" w:space="0"/>
            </w:tcBorders>
          </w:tcPr>
          <w:p w:rsidR="00C31389" w:rsidRDefault="00561FBD" w14:paraId="7887687B" w14:textId="77777777">
            <w:pPr>
              <w:pStyle w:val="TableParagraph"/>
              <w:spacing w:before="41"/>
              <w:ind w:left="212"/>
              <w:rPr>
                <w:sz w:val="17"/>
              </w:rPr>
            </w:pPr>
            <w:r>
              <w:rPr>
                <w:spacing w:val="-5"/>
                <w:sz w:val="17"/>
              </w:rPr>
              <w:t>FS</w:t>
            </w:r>
          </w:p>
        </w:tc>
        <w:tc>
          <w:tcPr>
            <w:tcW w:w="698" w:type="dxa"/>
            <w:tcBorders>
              <w:top w:val="single" w:color="D9D9D9" w:sz="8" w:space="0"/>
              <w:bottom w:val="single" w:color="D9D9D9" w:sz="8" w:space="0"/>
            </w:tcBorders>
          </w:tcPr>
          <w:p w:rsidR="00C31389" w:rsidRDefault="00561FBD" w14:paraId="7DC02CC4" w14:textId="77777777">
            <w:pPr>
              <w:pStyle w:val="TableParagraph"/>
              <w:spacing w:before="41"/>
              <w:ind w:left="117"/>
              <w:jc w:val="center"/>
              <w:rPr>
                <w:sz w:val="17"/>
              </w:rPr>
            </w:pPr>
            <w:r>
              <w:rPr>
                <w:spacing w:val="-4"/>
                <w:sz w:val="17"/>
              </w:rPr>
              <w:t>46.3</w:t>
            </w:r>
          </w:p>
        </w:tc>
        <w:tc>
          <w:tcPr>
            <w:tcW w:w="698" w:type="dxa"/>
            <w:tcBorders>
              <w:top w:val="single" w:color="D9D9D9" w:sz="8" w:space="0"/>
              <w:bottom w:val="single" w:color="D9D9D9" w:sz="8" w:space="0"/>
            </w:tcBorders>
          </w:tcPr>
          <w:p w:rsidR="00C31389" w:rsidRDefault="00561FBD" w14:paraId="50826598" w14:textId="77777777">
            <w:pPr>
              <w:pStyle w:val="TableParagraph"/>
              <w:spacing w:before="41"/>
              <w:ind w:left="117" w:right="32"/>
              <w:jc w:val="center"/>
              <w:rPr>
                <w:sz w:val="17"/>
              </w:rPr>
            </w:pPr>
            <w:r>
              <w:rPr>
                <w:spacing w:val="-4"/>
                <w:sz w:val="17"/>
              </w:rPr>
              <w:t>51.3</w:t>
            </w:r>
          </w:p>
        </w:tc>
        <w:tc>
          <w:tcPr>
            <w:tcW w:w="688" w:type="dxa"/>
            <w:tcBorders>
              <w:top w:val="single" w:color="D9D9D9" w:sz="8" w:space="0"/>
              <w:bottom w:val="single" w:color="D9D9D9" w:sz="8" w:space="0"/>
            </w:tcBorders>
          </w:tcPr>
          <w:p w:rsidR="00C31389" w:rsidRDefault="00561FBD" w14:paraId="358064F1" w14:textId="77777777">
            <w:pPr>
              <w:pStyle w:val="TableParagraph"/>
              <w:spacing w:before="41"/>
              <w:ind w:left="131" w:right="69"/>
              <w:jc w:val="center"/>
              <w:rPr>
                <w:sz w:val="17"/>
              </w:rPr>
            </w:pPr>
            <w:r>
              <w:rPr>
                <w:spacing w:val="-4"/>
                <w:sz w:val="17"/>
              </w:rPr>
              <w:t>54.4</w:t>
            </w:r>
          </w:p>
        </w:tc>
        <w:tc>
          <w:tcPr>
            <w:tcW w:w="688" w:type="dxa"/>
            <w:tcBorders>
              <w:top w:val="single" w:color="D9D9D9" w:sz="8" w:space="0"/>
              <w:bottom w:val="single" w:color="D9D9D9" w:sz="8" w:space="0"/>
            </w:tcBorders>
          </w:tcPr>
          <w:p w:rsidR="00C31389" w:rsidRDefault="00561FBD" w14:paraId="19AD3A89" w14:textId="77777777">
            <w:pPr>
              <w:pStyle w:val="TableParagraph"/>
              <w:spacing w:before="41"/>
              <w:ind w:right="151"/>
              <w:jc w:val="right"/>
              <w:rPr>
                <w:sz w:val="17"/>
              </w:rPr>
            </w:pPr>
            <w:r>
              <w:rPr>
                <w:spacing w:val="-4"/>
                <w:sz w:val="17"/>
              </w:rPr>
              <w:t>61.6</w:t>
            </w:r>
          </w:p>
        </w:tc>
        <w:tc>
          <w:tcPr>
            <w:tcW w:w="687" w:type="dxa"/>
            <w:tcBorders>
              <w:top w:val="single" w:color="D9D9D9" w:sz="8" w:space="0"/>
              <w:bottom w:val="single" w:color="D9D9D9" w:sz="8" w:space="0"/>
            </w:tcBorders>
          </w:tcPr>
          <w:p w:rsidR="00C31389" w:rsidRDefault="00561FBD" w14:paraId="25AB4A1A" w14:textId="77777777">
            <w:pPr>
              <w:pStyle w:val="TableParagraph"/>
              <w:spacing w:before="41"/>
              <w:ind w:left="196"/>
              <w:rPr>
                <w:sz w:val="17"/>
              </w:rPr>
            </w:pPr>
            <w:r>
              <w:rPr>
                <w:spacing w:val="-4"/>
                <w:sz w:val="17"/>
              </w:rPr>
              <w:t>65.0</w:t>
            </w:r>
          </w:p>
        </w:tc>
        <w:tc>
          <w:tcPr>
            <w:tcW w:w="689" w:type="dxa"/>
            <w:tcBorders>
              <w:top w:val="single" w:color="D9D9D9" w:sz="8" w:space="0"/>
              <w:bottom w:val="single" w:color="D9D9D9" w:sz="8" w:space="0"/>
            </w:tcBorders>
          </w:tcPr>
          <w:p w:rsidR="00C31389" w:rsidRDefault="00561FBD" w14:paraId="374680FE" w14:textId="77777777">
            <w:pPr>
              <w:pStyle w:val="TableParagraph"/>
              <w:spacing w:before="41"/>
              <w:ind w:right="165"/>
              <w:jc w:val="right"/>
              <w:rPr>
                <w:sz w:val="17"/>
              </w:rPr>
            </w:pPr>
            <w:r>
              <w:rPr>
                <w:spacing w:val="-4"/>
                <w:sz w:val="17"/>
              </w:rPr>
              <w:t>67.6</w:t>
            </w:r>
          </w:p>
        </w:tc>
        <w:tc>
          <w:tcPr>
            <w:tcW w:w="687" w:type="dxa"/>
            <w:tcBorders>
              <w:top w:val="single" w:color="D9D9D9" w:sz="8" w:space="0"/>
              <w:bottom w:val="single" w:color="D9D9D9" w:sz="8" w:space="0"/>
            </w:tcBorders>
          </w:tcPr>
          <w:p w:rsidR="00C31389" w:rsidRDefault="00561FBD" w14:paraId="26CF56EF" w14:textId="77777777">
            <w:pPr>
              <w:pStyle w:val="TableParagraph"/>
              <w:spacing w:before="41"/>
              <w:ind w:left="278"/>
              <w:rPr>
                <w:sz w:val="17"/>
              </w:rPr>
            </w:pPr>
            <w:r>
              <w:rPr>
                <w:spacing w:val="-5"/>
                <w:sz w:val="17"/>
              </w:rPr>
              <w:t>7.7</w:t>
            </w:r>
          </w:p>
        </w:tc>
        <w:tc>
          <w:tcPr>
            <w:tcW w:w="688" w:type="dxa"/>
            <w:tcBorders>
              <w:top w:val="single" w:color="D9D9D9" w:sz="8" w:space="0"/>
              <w:bottom w:val="single" w:color="D9D9D9" w:sz="8" w:space="0"/>
            </w:tcBorders>
          </w:tcPr>
          <w:p w:rsidR="00C31389" w:rsidRDefault="00561FBD" w14:paraId="7B46CD50" w14:textId="77777777">
            <w:pPr>
              <w:pStyle w:val="TableParagraph"/>
              <w:spacing w:before="41"/>
              <w:ind w:left="272"/>
              <w:rPr>
                <w:sz w:val="17"/>
              </w:rPr>
            </w:pPr>
            <w:r>
              <w:rPr>
                <w:spacing w:val="-5"/>
                <w:sz w:val="17"/>
              </w:rPr>
              <w:t>8.2</w:t>
            </w:r>
          </w:p>
        </w:tc>
        <w:tc>
          <w:tcPr>
            <w:tcW w:w="687" w:type="dxa"/>
            <w:tcBorders>
              <w:top w:val="single" w:color="D9D9D9" w:sz="8" w:space="0"/>
              <w:bottom w:val="single" w:color="D9D9D9" w:sz="8" w:space="0"/>
            </w:tcBorders>
          </w:tcPr>
          <w:p w:rsidR="00C31389" w:rsidRDefault="00561FBD" w14:paraId="663F62A2" w14:textId="77777777">
            <w:pPr>
              <w:pStyle w:val="TableParagraph"/>
              <w:spacing w:before="41"/>
              <w:ind w:left="266"/>
              <w:rPr>
                <w:sz w:val="17"/>
              </w:rPr>
            </w:pPr>
            <w:r>
              <w:rPr>
                <w:spacing w:val="-5"/>
                <w:sz w:val="17"/>
              </w:rPr>
              <w:t>8.7</w:t>
            </w:r>
          </w:p>
        </w:tc>
        <w:tc>
          <w:tcPr>
            <w:tcW w:w="688" w:type="dxa"/>
            <w:tcBorders>
              <w:top w:val="single" w:color="D9D9D9" w:sz="8" w:space="0"/>
              <w:bottom w:val="single" w:color="D9D9D9" w:sz="8" w:space="0"/>
            </w:tcBorders>
          </w:tcPr>
          <w:p w:rsidR="00C31389" w:rsidRDefault="00561FBD" w14:paraId="28B7C256" w14:textId="77777777">
            <w:pPr>
              <w:pStyle w:val="TableParagraph"/>
              <w:spacing w:before="41"/>
              <w:ind w:left="260"/>
              <w:rPr>
                <w:sz w:val="17"/>
              </w:rPr>
            </w:pPr>
            <w:r>
              <w:rPr>
                <w:spacing w:val="-5"/>
                <w:sz w:val="17"/>
              </w:rPr>
              <w:t>9.1</w:t>
            </w:r>
          </w:p>
        </w:tc>
        <w:tc>
          <w:tcPr>
            <w:tcW w:w="680" w:type="dxa"/>
            <w:tcBorders>
              <w:top w:val="single" w:color="D9D9D9" w:sz="8" w:space="0"/>
              <w:bottom w:val="single" w:color="D9D9D9" w:sz="8" w:space="0"/>
            </w:tcBorders>
          </w:tcPr>
          <w:p w:rsidR="00C31389" w:rsidRDefault="00561FBD" w14:paraId="2CA71CC8" w14:textId="77777777">
            <w:pPr>
              <w:pStyle w:val="TableParagraph"/>
              <w:spacing w:before="41"/>
              <w:ind w:left="253"/>
              <w:rPr>
                <w:sz w:val="17"/>
              </w:rPr>
            </w:pPr>
            <w:r>
              <w:rPr>
                <w:spacing w:val="-5"/>
                <w:sz w:val="17"/>
              </w:rPr>
              <w:t>9.6</w:t>
            </w:r>
          </w:p>
        </w:tc>
        <w:tc>
          <w:tcPr>
            <w:tcW w:w="669" w:type="dxa"/>
            <w:tcBorders>
              <w:top w:val="single" w:color="D9D9D9" w:sz="8" w:space="0"/>
              <w:bottom w:val="single" w:color="D9D9D9" w:sz="8" w:space="0"/>
            </w:tcBorders>
          </w:tcPr>
          <w:p w:rsidR="00C31389" w:rsidRDefault="00561FBD" w14:paraId="2207FFB2" w14:textId="77777777">
            <w:pPr>
              <w:pStyle w:val="TableParagraph"/>
              <w:spacing w:before="41"/>
              <w:ind w:right="190"/>
              <w:jc w:val="right"/>
              <w:rPr>
                <w:sz w:val="17"/>
              </w:rPr>
            </w:pPr>
            <w:r>
              <w:rPr>
                <w:spacing w:val="-4"/>
                <w:sz w:val="17"/>
              </w:rPr>
              <w:t>10.0</w:t>
            </w:r>
          </w:p>
        </w:tc>
      </w:tr>
      <w:tr w:rsidR="00C31389" w14:paraId="1B87038F" w14:textId="77777777">
        <w:trPr>
          <w:trHeight w:val="280"/>
        </w:trPr>
        <w:tc>
          <w:tcPr>
            <w:tcW w:w="1122" w:type="dxa"/>
            <w:tcBorders>
              <w:top w:val="single" w:color="DCDDDE" w:sz="4" w:space="0"/>
            </w:tcBorders>
          </w:tcPr>
          <w:p w:rsidR="00C31389" w:rsidRDefault="00561FBD" w14:paraId="3526BFD7" w14:textId="77777777">
            <w:pPr>
              <w:pStyle w:val="TableParagraph"/>
              <w:ind w:left="212"/>
              <w:rPr>
                <w:sz w:val="17"/>
              </w:rPr>
            </w:pPr>
            <w:r>
              <w:rPr>
                <w:spacing w:val="-4"/>
                <w:sz w:val="17"/>
              </w:rPr>
              <w:t>BROs</w:t>
            </w:r>
          </w:p>
        </w:tc>
        <w:tc>
          <w:tcPr>
            <w:tcW w:w="698" w:type="dxa"/>
            <w:tcBorders>
              <w:top w:val="single" w:color="D9D9D9" w:sz="8" w:space="0"/>
            </w:tcBorders>
          </w:tcPr>
          <w:p w:rsidR="00C31389" w:rsidRDefault="00561FBD" w14:paraId="2A9A6F54" w14:textId="77777777">
            <w:pPr>
              <w:pStyle w:val="TableParagraph"/>
              <w:ind w:left="117" w:right="94"/>
              <w:jc w:val="center"/>
              <w:rPr>
                <w:sz w:val="17"/>
              </w:rPr>
            </w:pPr>
            <w:r>
              <w:rPr>
                <w:spacing w:val="-2"/>
                <w:sz w:val="17"/>
              </w:rPr>
              <w:t>218.1</w:t>
            </w:r>
          </w:p>
        </w:tc>
        <w:tc>
          <w:tcPr>
            <w:tcW w:w="698" w:type="dxa"/>
            <w:tcBorders>
              <w:top w:val="single" w:color="D9D9D9" w:sz="8" w:space="0"/>
            </w:tcBorders>
          </w:tcPr>
          <w:p w:rsidR="00C31389" w:rsidRDefault="00561FBD" w14:paraId="01ADA34A" w14:textId="77777777">
            <w:pPr>
              <w:pStyle w:val="TableParagraph"/>
              <w:ind w:left="102" w:right="109"/>
              <w:jc w:val="center"/>
              <w:rPr>
                <w:sz w:val="17"/>
              </w:rPr>
            </w:pPr>
            <w:r>
              <w:rPr>
                <w:spacing w:val="-2"/>
                <w:sz w:val="17"/>
              </w:rPr>
              <w:t>230.6</w:t>
            </w:r>
          </w:p>
        </w:tc>
        <w:tc>
          <w:tcPr>
            <w:tcW w:w="688" w:type="dxa"/>
            <w:tcBorders>
              <w:top w:val="single" w:color="D9D9D9" w:sz="8" w:space="0"/>
            </w:tcBorders>
          </w:tcPr>
          <w:p w:rsidR="00C31389" w:rsidRDefault="00561FBD" w14:paraId="7D5E0314" w14:textId="77777777">
            <w:pPr>
              <w:pStyle w:val="TableParagraph"/>
              <w:ind w:left="61" w:right="91"/>
              <w:jc w:val="center"/>
              <w:rPr>
                <w:sz w:val="17"/>
              </w:rPr>
            </w:pPr>
            <w:r>
              <w:rPr>
                <w:spacing w:val="-2"/>
                <w:sz w:val="17"/>
              </w:rPr>
              <w:t>243.1</w:t>
            </w:r>
          </w:p>
        </w:tc>
        <w:tc>
          <w:tcPr>
            <w:tcW w:w="688" w:type="dxa"/>
            <w:tcBorders>
              <w:top w:val="single" w:color="D9D9D9" w:sz="8" w:space="0"/>
            </w:tcBorders>
          </w:tcPr>
          <w:p w:rsidR="00C31389" w:rsidRDefault="00561FBD" w14:paraId="1AA91520" w14:textId="77777777">
            <w:pPr>
              <w:pStyle w:val="TableParagraph"/>
              <w:ind w:right="151"/>
              <w:jc w:val="right"/>
              <w:rPr>
                <w:sz w:val="17"/>
              </w:rPr>
            </w:pPr>
            <w:r>
              <w:rPr>
                <w:spacing w:val="-2"/>
                <w:sz w:val="17"/>
              </w:rPr>
              <w:t>254.0</w:t>
            </w:r>
          </w:p>
        </w:tc>
        <w:tc>
          <w:tcPr>
            <w:tcW w:w="687" w:type="dxa"/>
            <w:tcBorders>
              <w:top w:val="single" w:color="D9D9D9" w:sz="8" w:space="0"/>
            </w:tcBorders>
          </w:tcPr>
          <w:p w:rsidR="00C31389" w:rsidRDefault="00561FBD" w14:paraId="639C2498" w14:textId="77777777">
            <w:pPr>
              <w:pStyle w:val="TableParagraph"/>
              <w:ind w:left="101"/>
              <w:rPr>
                <w:sz w:val="17"/>
              </w:rPr>
            </w:pPr>
            <w:r>
              <w:rPr>
                <w:spacing w:val="-2"/>
                <w:sz w:val="17"/>
              </w:rPr>
              <w:t>264.8</w:t>
            </w:r>
          </w:p>
        </w:tc>
        <w:tc>
          <w:tcPr>
            <w:tcW w:w="689" w:type="dxa"/>
            <w:tcBorders>
              <w:top w:val="single" w:color="D9D9D9" w:sz="8" w:space="0"/>
            </w:tcBorders>
          </w:tcPr>
          <w:p w:rsidR="00C31389" w:rsidRDefault="00561FBD" w14:paraId="7834CF5B" w14:textId="77777777">
            <w:pPr>
              <w:pStyle w:val="TableParagraph"/>
              <w:ind w:right="165"/>
              <w:jc w:val="right"/>
              <w:rPr>
                <w:sz w:val="17"/>
              </w:rPr>
            </w:pPr>
            <w:r>
              <w:rPr>
                <w:spacing w:val="-2"/>
                <w:sz w:val="17"/>
              </w:rPr>
              <w:t>276.3</w:t>
            </w:r>
          </w:p>
        </w:tc>
        <w:tc>
          <w:tcPr>
            <w:tcW w:w="687" w:type="dxa"/>
            <w:tcBorders>
              <w:top w:val="single" w:color="D9D9D9" w:sz="8" w:space="0"/>
            </w:tcBorders>
          </w:tcPr>
          <w:p w:rsidR="00C31389" w:rsidRDefault="00561FBD" w14:paraId="1D03C4BB" w14:textId="77777777">
            <w:pPr>
              <w:pStyle w:val="TableParagraph"/>
              <w:ind w:left="89"/>
              <w:rPr>
                <w:sz w:val="17"/>
              </w:rPr>
            </w:pPr>
            <w:r>
              <w:rPr>
                <w:spacing w:val="-2"/>
                <w:sz w:val="17"/>
              </w:rPr>
              <w:t>289.0</w:t>
            </w:r>
          </w:p>
        </w:tc>
        <w:tc>
          <w:tcPr>
            <w:tcW w:w="688" w:type="dxa"/>
            <w:tcBorders>
              <w:top w:val="single" w:color="D9D9D9" w:sz="8" w:space="0"/>
            </w:tcBorders>
          </w:tcPr>
          <w:p w:rsidR="00C31389" w:rsidRDefault="00561FBD" w14:paraId="349EF85A" w14:textId="77777777">
            <w:pPr>
              <w:pStyle w:val="TableParagraph"/>
              <w:ind w:left="82"/>
              <w:rPr>
                <w:sz w:val="17"/>
              </w:rPr>
            </w:pPr>
            <w:r>
              <w:rPr>
                <w:spacing w:val="-2"/>
                <w:sz w:val="17"/>
              </w:rPr>
              <w:t>302.0</w:t>
            </w:r>
          </w:p>
        </w:tc>
        <w:tc>
          <w:tcPr>
            <w:tcW w:w="687" w:type="dxa"/>
            <w:tcBorders>
              <w:top w:val="single" w:color="D9D9D9" w:sz="8" w:space="0"/>
            </w:tcBorders>
          </w:tcPr>
          <w:p w:rsidR="00C31389" w:rsidRDefault="00561FBD" w14:paraId="51AA53EF" w14:textId="77777777">
            <w:pPr>
              <w:pStyle w:val="TableParagraph"/>
              <w:ind w:left="77"/>
              <w:rPr>
                <w:sz w:val="17"/>
              </w:rPr>
            </w:pPr>
            <w:r>
              <w:rPr>
                <w:spacing w:val="-2"/>
                <w:sz w:val="17"/>
              </w:rPr>
              <w:t>315.5</w:t>
            </w:r>
          </w:p>
        </w:tc>
        <w:tc>
          <w:tcPr>
            <w:tcW w:w="688" w:type="dxa"/>
            <w:tcBorders>
              <w:top w:val="single" w:color="D9D9D9" w:sz="8" w:space="0"/>
            </w:tcBorders>
          </w:tcPr>
          <w:p w:rsidR="00C31389" w:rsidRDefault="00561FBD" w14:paraId="0E62DD5B" w14:textId="77777777">
            <w:pPr>
              <w:pStyle w:val="TableParagraph"/>
              <w:ind w:left="70"/>
              <w:rPr>
                <w:sz w:val="17"/>
              </w:rPr>
            </w:pPr>
            <w:r>
              <w:rPr>
                <w:spacing w:val="-2"/>
                <w:sz w:val="17"/>
              </w:rPr>
              <w:t>333.5</w:t>
            </w:r>
          </w:p>
        </w:tc>
        <w:tc>
          <w:tcPr>
            <w:tcW w:w="680" w:type="dxa"/>
            <w:tcBorders>
              <w:top w:val="single" w:color="D9D9D9" w:sz="8" w:space="0"/>
            </w:tcBorders>
          </w:tcPr>
          <w:p w:rsidR="00C31389" w:rsidRDefault="00561FBD" w14:paraId="01D2A442" w14:textId="77777777">
            <w:pPr>
              <w:pStyle w:val="TableParagraph"/>
              <w:ind w:left="64"/>
              <w:rPr>
                <w:sz w:val="17"/>
              </w:rPr>
            </w:pPr>
            <w:r>
              <w:rPr>
                <w:spacing w:val="-2"/>
                <w:sz w:val="17"/>
              </w:rPr>
              <w:t>337.7</w:t>
            </w:r>
          </w:p>
        </w:tc>
        <w:tc>
          <w:tcPr>
            <w:tcW w:w="669" w:type="dxa"/>
            <w:tcBorders>
              <w:top w:val="single" w:color="D9D9D9" w:sz="8" w:space="0"/>
            </w:tcBorders>
          </w:tcPr>
          <w:p w:rsidR="00C31389" w:rsidRDefault="00561FBD" w14:paraId="08F4344C" w14:textId="77777777">
            <w:pPr>
              <w:pStyle w:val="TableParagraph"/>
              <w:ind w:right="190"/>
              <w:jc w:val="right"/>
              <w:rPr>
                <w:sz w:val="17"/>
              </w:rPr>
            </w:pPr>
            <w:r>
              <w:rPr>
                <w:spacing w:val="-2"/>
                <w:sz w:val="17"/>
              </w:rPr>
              <w:t>355.3</w:t>
            </w:r>
          </w:p>
        </w:tc>
      </w:tr>
      <w:tr w:rsidR="00C31389" w14:paraId="7473451F" w14:textId="77777777">
        <w:trPr>
          <w:trHeight w:val="285"/>
        </w:trPr>
        <w:tc>
          <w:tcPr>
            <w:tcW w:w="9369" w:type="dxa"/>
            <w:gridSpan w:val="13"/>
            <w:shd w:val="clear" w:color="auto" w:fill="BEBEBE"/>
          </w:tcPr>
          <w:p w:rsidR="00C31389" w:rsidRDefault="00561FBD" w14:paraId="0E1FC91E" w14:textId="77777777">
            <w:pPr>
              <w:pStyle w:val="TableParagraph"/>
              <w:spacing w:before="25"/>
              <w:ind w:left="212"/>
              <w:rPr>
                <w:b/>
                <w:sz w:val="17"/>
              </w:rPr>
            </w:pPr>
            <w:r>
              <w:rPr>
                <w:noProof/>
              </w:rPr>
              <mc:AlternateContent>
                <mc:Choice Requires="wpg">
                  <w:drawing>
                    <wp:anchor distT="0" distB="0" distL="0" distR="0" simplePos="0" relativeHeight="465582080" behindDoc="1" locked="0" layoutInCell="1" allowOverlap="1" wp14:editId="1B4A6B6D" wp14:anchorId="26E7879D">
                      <wp:simplePos x="0" y="0"/>
                      <wp:positionH relativeFrom="column">
                        <wp:posOffset>66293</wp:posOffset>
                      </wp:positionH>
                      <wp:positionV relativeFrom="paragraph">
                        <wp:posOffset>-16231</wp:posOffset>
                      </wp:positionV>
                      <wp:extent cx="5829300" cy="181610"/>
                      <wp:effectExtent l="0" t="0" r="0" b="0"/>
                      <wp:wrapNone/>
                      <wp:docPr id="101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181610"/>
                                <a:chOff x="0" y="0"/>
                                <a:chExt cx="5829300" cy="181610"/>
                              </a:xfrm>
                            </wpg:grpSpPr>
                            <wps:wsp>
                              <wps:cNvPr id="1018" name="Graphic 1018"/>
                              <wps:cNvSpPr/>
                              <wps:spPr>
                                <a:xfrm>
                                  <a:off x="0" y="6108"/>
                                  <a:ext cx="5829300" cy="175260"/>
                                </a:xfrm>
                                <a:custGeom>
                                  <a:avLst/>
                                  <a:gdLst/>
                                  <a:ahLst/>
                                  <a:cxnLst/>
                                  <a:rect l="l" t="t" r="r" b="b"/>
                                  <a:pathLst>
                                    <a:path w="5829300" h="175260">
                                      <a:moveTo>
                                        <a:pt x="5829300" y="0"/>
                                      </a:moveTo>
                                      <a:lnTo>
                                        <a:pt x="2908554" y="0"/>
                                      </a:lnTo>
                                      <a:lnTo>
                                        <a:pt x="0" y="0"/>
                                      </a:lnTo>
                                      <a:lnTo>
                                        <a:pt x="0" y="175260"/>
                                      </a:lnTo>
                                      <a:lnTo>
                                        <a:pt x="2908554" y="175260"/>
                                      </a:lnTo>
                                      <a:lnTo>
                                        <a:pt x="5829300" y="175260"/>
                                      </a:lnTo>
                                      <a:lnTo>
                                        <a:pt x="5829300" y="0"/>
                                      </a:lnTo>
                                      <a:close/>
                                    </a:path>
                                  </a:pathLst>
                                </a:custGeom>
                                <a:solidFill>
                                  <a:srgbClr val="BEBEBE"/>
                                </a:solidFill>
                              </wps:spPr>
                              <wps:bodyPr wrap="square" lIns="0" tIns="0" rIns="0" bIns="0" rtlCol="0">
                                <a:prstTxWarp prst="textNoShape">
                                  <a:avLst/>
                                </a:prstTxWarp>
                                <a:noAutofit/>
                              </wps:bodyPr>
                            </wps:wsp>
                            <wps:wsp>
                              <wps:cNvPr id="1019" name="Graphic 1019"/>
                              <wps:cNvSpPr/>
                              <wps:spPr>
                                <a:xfrm>
                                  <a:off x="0" y="0"/>
                                  <a:ext cx="5412740" cy="6350"/>
                                </a:xfrm>
                                <a:custGeom>
                                  <a:avLst/>
                                  <a:gdLst/>
                                  <a:ahLst/>
                                  <a:cxnLst/>
                                  <a:rect l="l" t="t" r="r" b="b"/>
                                  <a:pathLst>
                                    <a:path w="5412740" h="6350">
                                      <a:moveTo>
                                        <a:pt x="1517891" y="0"/>
                                      </a:moveTo>
                                      <a:lnTo>
                                        <a:pt x="1517891" y="0"/>
                                      </a:lnTo>
                                      <a:lnTo>
                                        <a:pt x="0" y="0"/>
                                      </a:lnTo>
                                      <a:lnTo>
                                        <a:pt x="0" y="6108"/>
                                      </a:lnTo>
                                      <a:lnTo>
                                        <a:pt x="1517891" y="6108"/>
                                      </a:lnTo>
                                      <a:lnTo>
                                        <a:pt x="1517891" y="0"/>
                                      </a:lnTo>
                                      <a:close/>
                                    </a:path>
                                    <a:path w="5412740" h="6350">
                                      <a:moveTo>
                                        <a:pt x="3249180" y="0"/>
                                      </a:moveTo>
                                      <a:lnTo>
                                        <a:pt x="3249180" y="0"/>
                                      </a:lnTo>
                                      <a:lnTo>
                                        <a:pt x="1517904" y="0"/>
                                      </a:lnTo>
                                      <a:lnTo>
                                        <a:pt x="1517904" y="6108"/>
                                      </a:lnTo>
                                      <a:lnTo>
                                        <a:pt x="3249180" y="6108"/>
                                      </a:lnTo>
                                      <a:lnTo>
                                        <a:pt x="3249180" y="0"/>
                                      </a:lnTo>
                                      <a:close/>
                                    </a:path>
                                    <a:path w="5412740" h="6350">
                                      <a:moveTo>
                                        <a:pt x="3681234" y="0"/>
                                      </a:moveTo>
                                      <a:lnTo>
                                        <a:pt x="3675126" y="0"/>
                                      </a:lnTo>
                                      <a:lnTo>
                                        <a:pt x="3675126" y="6108"/>
                                      </a:lnTo>
                                      <a:lnTo>
                                        <a:pt x="3681234" y="6108"/>
                                      </a:lnTo>
                                      <a:lnTo>
                                        <a:pt x="3681234" y="0"/>
                                      </a:lnTo>
                                      <a:close/>
                                    </a:path>
                                    <a:path w="5412740" h="6350">
                                      <a:moveTo>
                                        <a:pt x="4114800" y="0"/>
                                      </a:moveTo>
                                      <a:lnTo>
                                        <a:pt x="4108704" y="0"/>
                                      </a:lnTo>
                                      <a:lnTo>
                                        <a:pt x="4108704" y="6108"/>
                                      </a:lnTo>
                                      <a:lnTo>
                                        <a:pt x="4114800" y="6108"/>
                                      </a:lnTo>
                                      <a:lnTo>
                                        <a:pt x="4114800" y="0"/>
                                      </a:lnTo>
                                      <a:close/>
                                    </a:path>
                                    <a:path w="5412740" h="6350">
                                      <a:moveTo>
                                        <a:pt x="4546854" y="0"/>
                                      </a:moveTo>
                                      <a:lnTo>
                                        <a:pt x="4540758" y="0"/>
                                      </a:lnTo>
                                      <a:lnTo>
                                        <a:pt x="4540758" y="6108"/>
                                      </a:lnTo>
                                      <a:lnTo>
                                        <a:pt x="4546854" y="6108"/>
                                      </a:lnTo>
                                      <a:lnTo>
                                        <a:pt x="4546854" y="0"/>
                                      </a:lnTo>
                                      <a:close/>
                                    </a:path>
                                    <a:path w="5412740" h="6350">
                                      <a:moveTo>
                                        <a:pt x="4980432" y="0"/>
                                      </a:moveTo>
                                      <a:lnTo>
                                        <a:pt x="4974336" y="0"/>
                                      </a:lnTo>
                                      <a:lnTo>
                                        <a:pt x="4974336" y="6108"/>
                                      </a:lnTo>
                                      <a:lnTo>
                                        <a:pt x="4980432" y="6108"/>
                                      </a:lnTo>
                                      <a:lnTo>
                                        <a:pt x="4980432" y="0"/>
                                      </a:lnTo>
                                      <a:close/>
                                    </a:path>
                                    <a:path w="5412740" h="6350">
                                      <a:moveTo>
                                        <a:pt x="5412486" y="0"/>
                                      </a:moveTo>
                                      <a:lnTo>
                                        <a:pt x="5406390" y="0"/>
                                      </a:lnTo>
                                      <a:lnTo>
                                        <a:pt x="5406390" y="6108"/>
                                      </a:lnTo>
                                      <a:lnTo>
                                        <a:pt x="5412486" y="6108"/>
                                      </a:lnTo>
                                      <a:lnTo>
                                        <a:pt x="5412486"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17" style="position:absolute;margin-left:5.2pt;margin-top:-1.3pt;width:459pt;height:14.3pt;z-index:-37734400;mso-wrap-distance-left:0;mso-wrap-distance-right:0" coordsize="58293,1816" o:spid="_x0000_s1026" w14:anchorId="4E9F4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">
                      <v:shape id="Graphic 1018" style="position:absolute;top:61;width:58293;height:1752;visibility:visible;mso-wrap-style:square;v-text-anchor:top" coordsize="5829300,175260" o:spid="_x0000_s1027" fillcolor="#bebebe" stroked="f" path="m5829300,l2908554,,,,,175260r2908554,l5829300,175260,5829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">
                        <v:path arrowok="t"/>
                      </v:shape>
                      <v:shape id="Graphic 1019" style="position:absolute;width:54127;height:63;visibility:visible;mso-wrap-style:square;v-text-anchor:top" coordsize="5412740,6350" o:spid="_x0000_s1028" fillcolor="#dcddde" stroked="f" path="m1517891,r,l,,,6108r1517891,l1517891,xem3249180,r,l1517904,r,6108l3249180,6108r,-6108xem3681234,r-6108,l3675126,6108r6108,l3681234,xem4114800,r-6096,l4108704,6108r6096,l4114800,xem4546854,r-6096,l4540758,6108r6096,l4546854,xem4980432,r-6096,l4974336,6108r6096,l4980432,xem5412486,r-6096,l5406390,6108r6096,l5412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">
                        <v:path arrowok="t"/>
                      </v:shape>
                    </v:group>
                  </w:pict>
                </mc:Fallback>
              </mc:AlternateContent>
            </w:r>
            <w:r>
              <w:rPr>
                <w:noProof/>
              </w:rPr>
              <mc:AlternateContent>
                <mc:Choice Requires="wpg">
                  <w:drawing>
                    <wp:anchor distT="0" distB="0" distL="0" distR="0" simplePos="0" relativeHeight="15897088" behindDoc="0" locked="0" layoutInCell="1" allowOverlap="1" wp14:editId="7B612467" wp14:anchorId="110802D3">
                      <wp:simplePos x="0" y="0"/>
                      <wp:positionH relativeFrom="column">
                        <wp:posOffset>66293</wp:posOffset>
                      </wp:positionH>
                      <wp:positionV relativeFrom="paragraph">
                        <wp:posOffset>165136</wp:posOffset>
                      </wp:positionV>
                      <wp:extent cx="5829300" cy="6350"/>
                      <wp:effectExtent l="0" t="0" r="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350"/>
                                <a:chOff x="0" y="0"/>
                                <a:chExt cx="5829300" cy="6350"/>
                              </a:xfrm>
                            </wpg:grpSpPr>
                            <wps:wsp>
                              <wps:cNvPr id="1021" name="Graphic 1021"/>
                              <wps:cNvSpPr/>
                              <wps:spPr>
                                <a:xfrm>
                                  <a:off x="0" y="0"/>
                                  <a:ext cx="5829300" cy="6350"/>
                                </a:xfrm>
                                <a:custGeom>
                                  <a:avLst/>
                                  <a:gdLst/>
                                  <a:ahLst/>
                                  <a:cxnLst/>
                                  <a:rect l="l" t="t" r="r" b="b"/>
                                  <a:pathLst>
                                    <a:path w="5829300" h="6350">
                                      <a:moveTo>
                                        <a:pt x="1517891" y="0"/>
                                      </a:moveTo>
                                      <a:lnTo>
                                        <a:pt x="1517891" y="0"/>
                                      </a:lnTo>
                                      <a:lnTo>
                                        <a:pt x="0" y="0"/>
                                      </a:lnTo>
                                      <a:lnTo>
                                        <a:pt x="0" y="6096"/>
                                      </a:lnTo>
                                      <a:lnTo>
                                        <a:pt x="1517891" y="6096"/>
                                      </a:lnTo>
                                      <a:lnTo>
                                        <a:pt x="1517891" y="0"/>
                                      </a:lnTo>
                                      <a:close/>
                                    </a:path>
                                    <a:path w="5829300" h="6350">
                                      <a:moveTo>
                                        <a:pt x="3675100" y="0"/>
                                      </a:moveTo>
                                      <a:lnTo>
                                        <a:pt x="3675100" y="0"/>
                                      </a:lnTo>
                                      <a:lnTo>
                                        <a:pt x="1517904" y="0"/>
                                      </a:lnTo>
                                      <a:lnTo>
                                        <a:pt x="1517904" y="6096"/>
                                      </a:lnTo>
                                      <a:lnTo>
                                        <a:pt x="3675100" y="6096"/>
                                      </a:lnTo>
                                      <a:lnTo>
                                        <a:pt x="3675100" y="0"/>
                                      </a:lnTo>
                                      <a:close/>
                                    </a:path>
                                    <a:path w="5829300" h="6350">
                                      <a:moveTo>
                                        <a:pt x="4974323" y="0"/>
                                      </a:moveTo>
                                      <a:lnTo>
                                        <a:pt x="4974323" y="0"/>
                                      </a:lnTo>
                                      <a:lnTo>
                                        <a:pt x="3675126" y="0"/>
                                      </a:lnTo>
                                      <a:lnTo>
                                        <a:pt x="3675126" y="6096"/>
                                      </a:lnTo>
                                      <a:lnTo>
                                        <a:pt x="4974323" y="6096"/>
                                      </a:lnTo>
                                      <a:lnTo>
                                        <a:pt x="4974323" y="0"/>
                                      </a:lnTo>
                                      <a:close/>
                                    </a:path>
                                    <a:path w="5829300" h="6350">
                                      <a:moveTo>
                                        <a:pt x="5829300" y="0"/>
                                      </a:moveTo>
                                      <a:lnTo>
                                        <a:pt x="5412486" y="0"/>
                                      </a:lnTo>
                                      <a:lnTo>
                                        <a:pt x="5406390" y="0"/>
                                      </a:lnTo>
                                      <a:lnTo>
                                        <a:pt x="4980432" y="0"/>
                                      </a:lnTo>
                                      <a:lnTo>
                                        <a:pt x="4974336" y="0"/>
                                      </a:lnTo>
                                      <a:lnTo>
                                        <a:pt x="4974336" y="6096"/>
                                      </a:lnTo>
                                      <a:lnTo>
                                        <a:pt x="4980432" y="6096"/>
                                      </a:lnTo>
                                      <a:lnTo>
                                        <a:pt x="5406390" y="6096"/>
                                      </a:lnTo>
                                      <a:lnTo>
                                        <a:pt x="5412486" y="6096"/>
                                      </a:lnTo>
                                      <a:lnTo>
                                        <a:pt x="5829300" y="6096"/>
                                      </a:lnTo>
                                      <a:lnTo>
                                        <a:pt x="5829300"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20" style="position:absolute;margin-left:5.2pt;margin-top:13pt;width:459pt;height:.5pt;z-index:15897088;mso-wrap-distance-left:0;mso-wrap-distance-right:0" coordsize="58293,63" o:spid="_x0000_s1026" w14:anchorId="1096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">
                      <v:shape id="Graphic 1021" style="position:absolute;width:58293;height:63;visibility:visible;mso-wrap-style:square;v-text-anchor:top" coordsize="5829300,6350" o:spid="_x0000_s1027" fillcolor="#dcddde" stroked="f" path="m1517891,r,l,,,6096r1517891,l1517891,xem3675100,r,l1517904,r,6096l3675100,6096r,-6096xem4974323,r,l3675126,r,6096l4974323,6096r,-6096xem5829300,l5412486,r-6096,l4980432,r-6096,l4974336,6096r6096,l5406390,6096r6096,l5829300,6096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">
                        <v:path arrowok="t"/>
                      </v:shape>
                    </v:group>
                  </w:pict>
                </mc:Fallback>
              </mc:AlternateContent>
            </w: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4370B7E3" w14:textId="77777777">
        <w:trPr>
          <w:trHeight w:val="285"/>
        </w:trPr>
        <w:tc>
          <w:tcPr>
            <w:tcW w:w="1122" w:type="dxa"/>
          </w:tcPr>
          <w:p w:rsidR="00C31389" w:rsidRDefault="00561FBD" w14:paraId="052FA7D2" w14:textId="77777777">
            <w:pPr>
              <w:pStyle w:val="TableParagraph"/>
              <w:spacing w:before="45"/>
              <w:ind w:left="212"/>
              <w:rPr>
                <w:sz w:val="17"/>
              </w:rPr>
            </w:pPr>
            <w:r>
              <w:rPr>
                <w:spacing w:val="-5"/>
                <w:sz w:val="17"/>
              </w:rPr>
              <w:t>EE</w:t>
            </w:r>
          </w:p>
        </w:tc>
        <w:tc>
          <w:tcPr>
            <w:tcW w:w="698" w:type="dxa"/>
          </w:tcPr>
          <w:p w:rsidR="00C31389" w:rsidRDefault="00561FBD" w14:paraId="1045CE3A" w14:textId="77777777">
            <w:pPr>
              <w:pStyle w:val="TableParagraph"/>
              <w:spacing w:before="45"/>
              <w:ind w:left="117"/>
              <w:jc w:val="center"/>
              <w:rPr>
                <w:sz w:val="17"/>
              </w:rPr>
            </w:pPr>
            <w:r>
              <w:rPr>
                <w:spacing w:val="-4"/>
                <w:sz w:val="17"/>
              </w:rPr>
              <w:t>61.1</w:t>
            </w:r>
          </w:p>
        </w:tc>
        <w:tc>
          <w:tcPr>
            <w:tcW w:w="698" w:type="dxa"/>
          </w:tcPr>
          <w:p w:rsidR="00C31389" w:rsidRDefault="00561FBD" w14:paraId="61053D9E" w14:textId="77777777">
            <w:pPr>
              <w:pStyle w:val="TableParagraph"/>
              <w:spacing w:before="45"/>
              <w:ind w:left="117" w:right="32"/>
              <w:jc w:val="center"/>
              <w:rPr>
                <w:sz w:val="17"/>
              </w:rPr>
            </w:pPr>
            <w:r>
              <w:rPr>
                <w:spacing w:val="-4"/>
                <w:sz w:val="17"/>
              </w:rPr>
              <w:t>59.5</w:t>
            </w:r>
          </w:p>
        </w:tc>
        <w:tc>
          <w:tcPr>
            <w:tcW w:w="688" w:type="dxa"/>
          </w:tcPr>
          <w:p w:rsidR="00C31389" w:rsidRDefault="00561FBD" w14:paraId="2119B93B" w14:textId="77777777">
            <w:pPr>
              <w:pStyle w:val="TableParagraph"/>
              <w:spacing w:before="45"/>
              <w:ind w:left="131" w:right="69"/>
              <w:jc w:val="center"/>
              <w:rPr>
                <w:sz w:val="17"/>
              </w:rPr>
            </w:pPr>
            <w:r>
              <w:rPr>
                <w:spacing w:val="-4"/>
                <w:sz w:val="17"/>
              </w:rPr>
              <w:t>60.9</w:t>
            </w:r>
          </w:p>
        </w:tc>
        <w:tc>
          <w:tcPr>
            <w:tcW w:w="688" w:type="dxa"/>
          </w:tcPr>
          <w:p w:rsidR="00C31389" w:rsidRDefault="00561FBD" w14:paraId="72E3D64F" w14:textId="77777777">
            <w:pPr>
              <w:pStyle w:val="TableParagraph"/>
              <w:spacing w:before="45"/>
              <w:ind w:right="151"/>
              <w:jc w:val="right"/>
              <w:rPr>
                <w:sz w:val="17"/>
              </w:rPr>
            </w:pPr>
            <w:r>
              <w:rPr>
                <w:spacing w:val="-4"/>
                <w:sz w:val="17"/>
              </w:rPr>
              <w:t>60.7</w:t>
            </w:r>
          </w:p>
        </w:tc>
        <w:tc>
          <w:tcPr>
            <w:tcW w:w="687" w:type="dxa"/>
          </w:tcPr>
          <w:p w:rsidR="00C31389" w:rsidRDefault="00561FBD" w14:paraId="29A198A6" w14:textId="77777777">
            <w:pPr>
              <w:pStyle w:val="TableParagraph"/>
              <w:spacing w:before="45"/>
              <w:ind w:left="196"/>
              <w:rPr>
                <w:sz w:val="17"/>
              </w:rPr>
            </w:pPr>
            <w:r>
              <w:rPr>
                <w:spacing w:val="-4"/>
                <w:sz w:val="17"/>
              </w:rPr>
              <w:t>60.7</w:t>
            </w:r>
          </w:p>
        </w:tc>
        <w:tc>
          <w:tcPr>
            <w:tcW w:w="689" w:type="dxa"/>
          </w:tcPr>
          <w:p w:rsidR="00C31389" w:rsidRDefault="00561FBD" w14:paraId="3769ED33" w14:textId="77777777">
            <w:pPr>
              <w:pStyle w:val="TableParagraph"/>
              <w:spacing w:before="45"/>
              <w:ind w:right="165"/>
              <w:jc w:val="right"/>
              <w:rPr>
                <w:sz w:val="17"/>
              </w:rPr>
            </w:pPr>
            <w:r>
              <w:rPr>
                <w:spacing w:val="-4"/>
                <w:sz w:val="17"/>
              </w:rPr>
              <w:t>58.5</w:t>
            </w:r>
          </w:p>
        </w:tc>
        <w:tc>
          <w:tcPr>
            <w:tcW w:w="687" w:type="dxa"/>
          </w:tcPr>
          <w:p w:rsidR="00C31389" w:rsidRDefault="00561FBD" w14:paraId="75BD8FA5" w14:textId="77777777">
            <w:pPr>
              <w:pStyle w:val="TableParagraph"/>
              <w:spacing w:before="45"/>
              <w:ind w:left="183"/>
              <w:rPr>
                <w:sz w:val="17"/>
              </w:rPr>
            </w:pPr>
            <w:r>
              <w:rPr>
                <w:spacing w:val="-4"/>
                <w:sz w:val="17"/>
              </w:rPr>
              <w:t>60.0</w:t>
            </w:r>
          </w:p>
        </w:tc>
        <w:tc>
          <w:tcPr>
            <w:tcW w:w="688" w:type="dxa"/>
          </w:tcPr>
          <w:p w:rsidR="00C31389" w:rsidRDefault="00561FBD" w14:paraId="043CB025" w14:textId="77777777">
            <w:pPr>
              <w:pStyle w:val="TableParagraph"/>
              <w:spacing w:before="45"/>
              <w:ind w:left="177"/>
              <w:rPr>
                <w:sz w:val="17"/>
              </w:rPr>
            </w:pPr>
            <w:r>
              <w:rPr>
                <w:spacing w:val="-4"/>
                <w:sz w:val="17"/>
              </w:rPr>
              <w:t>59.0</w:t>
            </w:r>
          </w:p>
        </w:tc>
        <w:tc>
          <w:tcPr>
            <w:tcW w:w="687" w:type="dxa"/>
          </w:tcPr>
          <w:p w:rsidR="00C31389" w:rsidRDefault="00561FBD" w14:paraId="273E3104" w14:textId="77777777">
            <w:pPr>
              <w:pStyle w:val="TableParagraph"/>
              <w:spacing w:before="45"/>
              <w:ind w:left="172"/>
              <w:rPr>
                <w:sz w:val="17"/>
              </w:rPr>
            </w:pPr>
            <w:r>
              <w:rPr>
                <w:spacing w:val="-4"/>
                <w:sz w:val="17"/>
              </w:rPr>
              <w:t>57.3</w:t>
            </w:r>
          </w:p>
        </w:tc>
        <w:tc>
          <w:tcPr>
            <w:tcW w:w="688" w:type="dxa"/>
          </w:tcPr>
          <w:p w:rsidR="00C31389" w:rsidRDefault="00561FBD" w14:paraId="17EB3B6D" w14:textId="77777777">
            <w:pPr>
              <w:pStyle w:val="TableParagraph"/>
              <w:spacing w:before="45"/>
              <w:ind w:left="165"/>
              <w:rPr>
                <w:sz w:val="17"/>
              </w:rPr>
            </w:pPr>
            <w:r>
              <w:rPr>
                <w:spacing w:val="-4"/>
                <w:sz w:val="17"/>
              </w:rPr>
              <w:t>53.7</w:t>
            </w:r>
          </w:p>
        </w:tc>
        <w:tc>
          <w:tcPr>
            <w:tcW w:w="680" w:type="dxa"/>
          </w:tcPr>
          <w:p w:rsidR="00C31389" w:rsidRDefault="00561FBD" w14:paraId="36537753" w14:textId="77777777">
            <w:pPr>
              <w:pStyle w:val="TableParagraph"/>
              <w:spacing w:before="45"/>
              <w:ind w:left="159"/>
              <w:rPr>
                <w:sz w:val="17"/>
              </w:rPr>
            </w:pPr>
            <w:r>
              <w:rPr>
                <w:spacing w:val="-4"/>
                <w:sz w:val="17"/>
              </w:rPr>
              <w:t>53.1</w:t>
            </w:r>
          </w:p>
        </w:tc>
        <w:tc>
          <w:tcPr>
            <w:tcW w:w="669" w:type="dxa"/>
          </w:tcPr>
          <w:p w:rsidR="00C31389" w:rsidRDefault="00561FBD" w14:paraId="3B1583DE" w14:textId="77777777">
            <w:pPr>
              <w:pStyle w:val="TableParagraph"/>
              <w:spacing w:before="45"/>
              <w:ind w:right="190"/>
              <w:jc w:val="right"/>
              <w:rPr>
                <w:sz w:val="17"/>
              </w:rPr>
            </w:pPr>
            <w:r>
              <w:rPr>
                <w:spacing w:val="-4"/>
                <w:sz w:val="17"/>
              </w:rPr>
              <w:t>53.2</w:t>
            </w:r>
          </w:p>
        </w:tc>
      </w:tr>
      <w:tr w:rsidR="00C31389" w14:paraId="47285B53" w14:textId="77777777">
        <w:trPr>
          <w:trHeight w:val="280"/>
        </w:trPr>
        <w:tc>
          <w:tcPr>
            <w:tcW w:w="1122" w:type="dxa"/>
            <w:tcBorders>
              <w:bottom w:val="single" w:color="DCDDDE" w:sz="4" w:space="0"/>
            </w:tcBorders>
          </w:tcPr>
          <w:p w:rsidR="00C31389" w:rsidRDefault="00561FBD" w14:paraId="21609186" w14:textId="77777777">
            <w:pPr>
              <w:pStyle w:val="TableParagraph"/>
              <w:spacing w:before="25"/>
              <w:ind w:left="212"/>
              <w:rPr>
                <w:sz w:val="17"/>
              </w:rPr>
            </w:pPr>
            <w:r>
              <w:rPr>
                <w:spacing w:val="-5"/>
                <w:sz w:val="17"/>
              </w:rPr>
              <w:t>FS</w:t>
            </w:r>
          </w:p>
        </w:tc>
        <w:tc>
          <w:tcPr>
            <w:tcW w:w="698" w:type="dxa"/>
            <w:tcBorders>
              <w:bottom w:val="single" w:color="D9D9D9" w:sz="8" w:space="0"/>
            </w:tcBorders>
          </w:tcPr>
          <w:p w:rsidR="00C31389" w:rsidRDefault="00561FBD" w14:paraId="10BB7589" w14:textId="77777777">
            <w:pPr>
              <w:pStyle w:val="TableParagraph"/>
              <w:spacing w:before="45"/>
              <w:ind w:left="117"/>
              <w:jc w:val="center"/>
              <w:rPr>
                <w:sz w:val="17"/>
              </w:rPr>
            </w:pPr>
            <w:r>
              <w:rPr>
                <w:spacing w:val="-4"/>
                <w:sz w:val="17"/>
              </w:rPr>
              <w:t>59.9</w:t>
            </w:r>
          </w:p>
        </w:tc>
        <w:tc>
          <w:tcPr>
            <w:tcW w:w="698" w:type="dxa"/>
            <w:tcBorders>
              <w:bottom w:val="single" w:color="D9D9D9" w:sz="8" w:space="0"/>
            </w:tcBorders>
          </w:tcPr>
          <w:p w:rsidR="00C31389" w:rsidRDefault="00561FBD" w14:paraId="0298B08F" w14:textId="77777777">
            <w:pPr>
              <w:pStyle w:val="TableParagraph"/>
              <w:spacing w:before="45"/>
              <w:ind w:left="117" w:right="32"/>
              <w:jc w:val="center"/>
              <w:rPr>
                <w:sz w:val="17"/>
              </w:rPr>
            </w:pPr>
            <w:r>
              <w:rPr>
                <w:spacing w:val="-4"/>
                <w:sz w:val="17"/>
              </w:rPr>
              <w:t>65.7</w:t>
            </w:r>
          </w:p>
        </w:tc>
        <w:tc>
          <w:tcPr>
            <w:tcW w:w="688" w:type="dxa"/>
            <w:tcBorders>
              <w:bottom w:val="single" w:color="D9D9D9" w:sz="8" w:space="0"/>
            </w:tcBorders>
          </w:tcPr>
          <w:p w:rsidR="00C31389" w:rsidRDefault="00561FBD" w14:paraId="36BA22BC" w14:textId="77777777">
            <w:pPr>
              <w:pStyle w:val="TableParagraph"/>
              <w:spacing w:before="45"/>
              <w:ind w:left="131" w:right="69"/>
              <w:jc w:val="center"/>
              <w:rPr>
                <w:sz w:val="17"/>
              </w:rPr>
            </w:pPr>
            <w:r>
              <w:rPr>
                <w:spacing w:val="-4"/>
                <w:sz w:val="17"/>
              </w:rPr>
              <w:t>69.3</w:t>
            </w:r>
          </w:p>
        </w:tc>
        <w:tc>
          <w:tcPr>
            <w:tcW w:w="688" w:type="dxa"/>
            <w:tcBorders>
              <w:bottom w:val="single" w:color="D9D9D9" w:sz="8" w:space="0"/>
            </w:tcBorders>
          </w:tcPr>
          <w:p w:rsidR="00C31389" w:rsidRDefault="00561FBD" w14:paraId="1DD35666" w14:textId="77777777">
            <w:pPr>
              <w:pStyle w:val="TableParagraph"/>
              <w:spacing w:before="45"/>
              <w:ind w:right="151"/>
              <w:jc w:val="right"/>
              <w:rPr>
                <w:sz w:val="17"/>
              </w:rPr>
            </w:pPr>
            <w:r>
              <w:rPr>
                <w:spacing w:val="-4"/>
                <w:sz w:val="17"/>
              </w:rPr>
              <w:t>72.8</w:t>
            </w:r>
          </w:p>
        </w:tc>
        <w:tc>
          <w:tcPr>
            <w:tcW w:w="687" w:type="dxa"/>
            <w:tcBorders>
              <w:bottom w:val="single" w:color="D9D9D9" w:sz="8" w:space="0"/>
            </w:tcBorders>
          </w:tcPr>
          <w:p w:rsidR="00C31389" w:rsidRDefault="00561FBD" w14:paraId="4FA65834" w14:textId="77777777">
            <w:pPr>
              <w:pStyle w:val="TableParagraph"/>
              <w:spacing w:before="45"/>
              <w:ind w:left="196"/>
              <w:rPr>
                <w:sz w:val="17"/>
              </w:rPr>
            </w:pPr>
            <w:r>
              <w:rPr>
                <w:spacing w:val="-4"/>
                <w:sz w:val="17"/>
              </w:rPr>
              <w:t>75.5</w:t>
            </w:r>
          </w:p>
        </w:tc>
        <w:tc>
          <w:tcPr>
            <w:tcW w:w="689" w:type="dxa"/>
            <w:tcBorders>
              <w:bottom w:val="single" w:color="D9D9D9" w:sz="8" w:space="0"/>
            </w:tcBorders>
          </w:tcPr>
          <w:p w:rsidR="00C31389" w:rsidRDefault="00561FBD" w14:paraId="3B9291DE" w14:textId="77777777">
            <w:pPr>
              <w:pStyle w:val="TableParagraph"/>
              <w:spacing w:before="45"/>
              <w:ind w:right="165"/>
              <w:jc w:val="right"/>
              <w:rPr>
                <w:sz w:val="17"/>
              </w:rPr>
            </w:pPr>
            <w:r>
              <w:rPr>
                <w:spacing w:val="-4"/>
                <w:sz w:val="17"/>
              </w:rPr>
              <w:t>79.0</w:t>
            </w:r>
          </w:p>
        </w:tc>
        <w:tc>
          <w:tcPr>
            <w:tcW w:w="687" w:type="dxa"/>
            <w:tcBorders>
              <w:bottom w:val="single" w:color="D9D9D9" w:sz="8" w:space="0"/>
            </w:tcBorders>
          </w:tcPr>
          <w:p w:rsidR="00C31389" w:rsidRDefault="00561FBD" w14:paraId="00F2B65D" w14:textId="77777777">
            <w:pPr>
              <w:pStyle w:val="TableParagraph"/>
              <w:spacing w:before="45"/>
              <w:ind w:left="278"/>
              <w:rPr>
                <w:sz w:val="17"/>
              </w:rPr>
            </w:pPr>
            <w:r>
              <w:rPr>
                <w:spacing w:val="-5"/>
                <w:sz w:val="17"/>
              </w:rPr>
              <w:t>7.8</w:t>
            </w:r>
          </w:p>
        </w:tc>
        <w:tc>
          <w:tcPr>
            <w:tcW w:w="688" w:type="dxa"/>
            <w:tcBorders>
              <w:bottom w:val="single" w:color="D9D9D9" w:sz="8" w:space="0"/>
            </w:tcBorders>
          </w:tcPr>
          <w:p w:rsidR="00C31389" w:rsidRDefault="00561FBD" w14:paraId="7A4AB08C" w14:textId="77777777">
            <w:pPr>
              <w:pStyle w:val="TableParagraph"/>
              <w:spacing w:before="45"/>
              <w:ind w:left="272"/>
              <w:rPr>
                <w:sz w:val="17"/>
              </w:rPr>
            </w:pPr>
            <w:r>
              <w:rPr>
                <w:spacing w:val="-5"/>
                <w:sz w:val="17"/>
              </w:rPr>
              <w:t>8.4</w:t>
            </w:r>
          </w:p>
        </w:tc>
        <w:tc>
          <w:tcPr>
            <w:tcW w:w="687" w:type="dxa"/>
            <w:tcBorders>
              <w:bottom w:val="single" w:color="D9D9D9" w:sz="8" w:space="0"/>
            </w:tcBorders>
          </w:tcPr>
          <w:p w:rsidR="00C31389" w:rsidRDefault="00561FBD" w14:paraId="1E63F5DB" w14:textId="77777777">
            <w:pPr>
              <w:pStyle w:val="TableParagraph"/>
              <w:spacing w:before="45"/>
              <w:ind w:left="266"/>
              <w:rPr>
                <w:sz w:val="17"/>
              </w:rPr>
            </w:pPr>
            <w:r>
              <w:rPr>
                <w:spacing w:val="-5"/>
                <w:sz w:val="17"/>
              </w:rPr>
              <w:t>8.9</w:t>
            </w:r>
          </w:p>
        </w:tc>
        <w:tc>
          <w:tcPr>
            <w:tcW w:w="688" w:type="dxa"/>
            <w:tcBorders>
              <w:bottom w:val="single" w:color="D9D9D9" w:sz="8" w:space="0"/>
            </w:tcBorders>
          </w:tcPr>
          <w:p w:rsidR="00C31389" w:rsidRDefault="00561FBD" w14:paraId="7BDB8F79" w14:textId="77777777">
            <w:pPr>
              <w:pStyle w:val="TableParagraph"/>
              <w:spacing w:before="45"/>
              <w:ind w:left="260"/>
              <w:rPr>
                <w:sz w:val="17"/>
              </w:rPr>
            </w:pPr>
            <w:r>
              <w:rPr>
                <w:spacing w:val="-5"/>
                <w:sz w:val="17"/>
              </w:rPr>
              <w:t>9.1</w:t>
            </w:r>
          </w:p>
        </w:tc>
        <w:tc>
          <w:tcPr>
            <w:tcW w:w="680" w:type="dxa"/>
            <w:tcBorders>
              <w:bottom w:val="single" w:color="D9D9D9" w:sz="8" w:space="0"/>
            </w:tcBorders>
          </w:tcPr>
          <w:p w:rsidR="00C31389" w:rsidRDefault="00561FBD" w14:paraId="311C08A6" w14:textId="77777777">
            <w:pPr>
              <w:pStyle w:val="TableParagraph"/>
              <w:spacing w:before="45"/>
              <w:ind w:left="253"/>
              <w:rPr>
                <w:sz w:val="17"/>
              </w:rPr>
            </w:pPr>
            <w:r>
              <w:rPr>
                <w:spacing w:val="-5"/>
                <w:sz w:val="17"/>
              </w:rPr>
              <w:t>9.6</w:t>
            </w:r>
          </w:p>
        </w:tc>
        <w:tc>
          <w:tcPr>
            <w:tcW w:w="669" w:type="dxa"/>
            <w:tcBorders>
              <w:bottom w:val="single" w:color="D9D9D9" w:sz="8" w:space="0"/>
            </w:tcBorders>
          </w:tcPr>
          <w:p w:rsidR="00C31389" w:rsidRDefault="00561FBD" w14:paraId="1B848D2B" w14:textId="77777777">
            <w:pPr>
              <w:pStyle w:val="TableParagraph"/>
              <w:spacing w:before="45"/>
              <w:ind w:right="190"/>
              <w:jc w:val="right"/>
              <w:rPr>
                <w:sz w:val="17"/>
              </w:rPr>
            </w:pPr>
            <w:r>
              <w:rPr>
                <w:spacing w:val="-4"/>
                <w:sz w:val="17"/>
              </w:rPr>
              <w:t>10.0</w:t>
            </w:r>
          </w:p>
        </w:tc>
      </w:tr>
      <w:tr w:rsidR="00C31389" w14:paraId="550A80AF" w14:textId="77777777">
        <w:trPr>
          <w:trHeight w:val="280"/>
        </w:trPr>
        <w:tc>
          <w:tcPr>
            <w:tcW w:w="1122" w:type="dxa"/>
            <w:tcBorders>
              <w:top w:val="single" w:color="DCDDDE" w:sz="4" w:space="0"/>
            </w:tcBorders>
          </w:tcPr>
          <w:p w:rsidR="00C31389" w:rsidRDefault="00561FBD" w14:paraId="72445B89" w14:textId="77777777">
            <w:pPr>
              <w:pStyle w:val="TableParagraph"/>
              <w:ind w:left="212"/>
              <w:rPr>
                <w:sz w:val="17"/>
              </w:rPr>
            </w:pPr>
            <w:r>
              <w:rPr>
                <w:spacing w:val="-4"/>
                <w:sz w:val="17"/>
              </w:rPr>
              <w:t>BROs</w:t>
            </w:r>
          </w:p>
        </w:tc>
        <w:tc>
          <w:tcPr>
            <w:tcW w:w="698" w:type="dxa"/>
            <w:tcBorders>
              <w:top w:val="single" w:color="D9D9D9" w:sz="8" w:space="0"/>
            </w:tcBorders>
          </w:tcPr>
          <w:p w:rsidR="00C31389" w:rsidRDefault="00561FBD" w14:paraId="4378958C" w14:textId="77777777">
            <w:pPr>
              <w:pStyle w:val="TableParagraph"/>
              <w:ind w:left="117" w:right="94"/>
              <w:jc w:val="center"/>
              <w:rPr>
                <w:sz w:val="17"/>
              </w:rPr>
            </w:pPr>
            <w:r>
              <w:rPr>
                <w:spacing w:val="-2"/>
                <w:sz w:val="17"/>
              </w:rPr>
              <w:t>218.1</w:t>
            </w:r>
          </w:p>
        </w:tc>
        <w:tc>
          <w:tcPr>
            <w:tcW w:w="698" w:type="dxa"/>
            <w:tcBorders>
              <w:top w:val="single" w:color="D9D9D9" w:sz="8" w:space="0"/>
            </w:tcBorders>
          </w:tcPr>
          <w:p w:rsidR="00C31389" w:rsidRDefault="00561FBD" w14:paraId="040E0297" w14:textId="77777777">
            <w:pPr>
              <w:pStyle w:val="TableParagraph"/>
              <w:ind w:left="102" w:right="109"/>
              <w:jc w:val="center"/>
              <w:rPr>
                <w:sz w:val="17"/>
              </w:rPr>
            </w:pPr>
            <w:r>
              <w:rPr>
                <w:spacing w:val="-2"/>
                <w:sz w:val="17"/>
              </w:rPr>
              <w:t>230.6</w:t>
            </w:r>
          </w:p>
        </w:tc>
        <w:tc>
          <w:tcPr>
            <w:tcW w:w="688" w:type="dxa"/>
            <w:tcBorders>
              <w:top w:val="single" w:color="D9D9D9" w:sz="8" w:space="0"/>
            </w:tcBorders>
          </w:tcPr>
          <w:p w:rsidR="00C31389" w:rsidRDefault="00561FBD" w14:paraId="28860F75" w14:textId="77777777">
            <w:pPr>
              <w:pStyle w:val="TableParagraph"/>
              <w:ind w:left="61" w:right="91"/>
              <w:jc w:val="center"/>
              <w:rPr>
                <w:sz w:val="17"/>
              </w:rPr>
            </w:pPr>
            <w:r>
              <w:rPr>
                <w:spacing w:val="-2"/>
                <w:sz w:val="17"/>
              </w:rPr>
              <w:t>243.1</w:t>
            </w:r>
          </w:p>
        </w:tc>
        <w:tc>
          <w:tcPr>
            <w:tcW w:w="688" w:type="dxa"/>
            <w:tcBorders>
              <w:top w:val="single" w:color="D9D9D9" w:sz="8" w:space="0"/>
            </w:tcBorders>
          </w:tcPr>
          <w:p w:rsidR="00C31389" w:rsidRDefault="00561FBD" w14:paraId="3A0BC29D" w14:textId="77777777">
            <w:pPr>
              <w:pStyle w:val="TableParagraph"/>
              <w:ind w:right="151"/>
              <w:jc w:val="right"/>
              <w:rPr>
                <w:sz w:val="17"/>
              </w:rPr>
            </w:pPr>
            <w:r>
              <w:rPr>
                <w:spacing w:val="-2"/>
                <w:sz w:val="17"/>
              </w:rPr>
              <w:t>254.0</w:t>
            </w:r>
          </w:p>
        </w:tc>
        <w:tc>
          <w:tcPr>
            <w:tcW w:w="687" w:type="dxa"/>
            <w:tcBorders>
              <w:top w:val="single" w:color="D9D9D9" w:sz="8" w:space="0"/>
            </w:tcBorders>
          </w:tcPr>
          <w:p w:rsidR="00C31389" w:rsidRDefault="00561FBD" w14:paraId="7035C2F8" w14:textId="77777777">
            <w:pPr>
              <w:pStyle w:val="TableParagraph"/>
              <w:ind w:left="101"/>
              <w:rPr>
                <w:sz w:val="17"/>
              </w:rPr>
            </w:pPr>
            <w:r>
              <w:rPr>
                <w:spacing w:val="-2"/>
                <w:sz w:val="17"/>
              </w:rPr>
              <w:t>264.8</w:t>
            </w:r>
          </w:p>
        </w:tc>
        <w:tc>
          <w:tcPr>
            <w:tcW w:w="689" w:type="dxa"/>
            <w:tcBorders>
              <w:top w:val="single" w:color="D9D9D9" w:sz="8" w:space="0"/>
            </w:tcBorders>
          </w:tcPr>
          <w:p w:rsidR="00C31389" w:rsidRDefault="00561FBD" w14:paraId="59859E4D" w14:textId="77777777">
            <w:pPr>
              <w:pStyle w:val="TableParagraph"/>
              <w:ind w:right="165"/>
              <w:jc w:val="right"/>
              <w:rPr>
                <w:sz w:val="17"/>
              </w:rPr>
            </w:pPr>
            <w:r>
              <w:rPr>
                <w:spacing w:val="-2"/>
                <w:sz w:val="17"/>
              </w:rPr>
              <w:t>276.3</w:t>
            </w:r>
          </w:p>
        </w:tc>
        <w:tc>
          <w:tcPr>
            <w:tcW w:w="687" w:type="dxa"/>
            <w:tcBorders>
              <w:top w:val="single" w:color="D9D9D9" w:sz="8" w:space="0"/>
            </w:tcBorders>
          </w:tcPr>
          <w:p w:rsidR="00C31389" w:rsidRDefault="00561FBD" w14:paraId="7616D3B3" w14:textId="77777777">
            <w:pPr>
              <w:pStyle w:val="TableParagraph"/>
              <w:ind w:left="89"/>
              <w:rPr>
                <w:sz w:val="17"/>
              </w:rPr>
            </w:pPr>
            <w:r>
              <w:rPr>
                <w:spacing w:val="-2"/>
                <w:sz w:val="17"/>
              </w:rPr>
              <w:t>289.0</w:t>
            </w:r>
          </w:p>
        </w:tc>
        <w:tc>
          <w:tcPr>
            <w:tcW w:w="688" w:type="dxa"/>
            <w:tcBorders>
              <w:top w:val="single" w:color="D9D9D9" w:sz="8" w:space="0"/>
            </w:tcBorders>
          </w:tcPr>
          <w:p w:rsidR="00C31389" w:rsidRDefault="00561FBD" w14:paraId="64C47129" w14:textId="77777777">
            <w:pPr>
              <w:pStyle w:val="TableParagraph"/>
              <w:ind w:left="82"/>
              <w:rPr>
                <w:sz w:val="17"/>
              </w:rPr>
            </w:pPr>
            <w:r>
              <w:rPr>
                <w:spacing w:val="-2"/>
                <w:sz w:val="17"/>
              </w:rPr>
              <w:t>302.0</w:t>
            </w:r>
          </w:p>
        </w:tc>
        <w:tc>
          <w:tcPr>
            <w:tcW w:w="687" w:type="dxa"/>
            <w:tcBorders>
              <w:top w:val="single" w:color="D9D9D9" w:sz="8" w:space="0"/>
            </w:tcBorders>
          </w:tcPr>
          <w:p w:rsidR="00C31389" w:rsidRDefault="00561FBD" w14:paraId="5F362AE7" w14:textId="77777777">
            <w:pPr>
              <w:pStyle w:val="TableParagraph"/>
              <w:ind w:left="77"/>
              <w:rPr>
                <w:sz w:val="17"/>
              </w:rPr>
            </w:pPr>
            <w:r>
              <w:rPr>
                <w:spacing w:val="-2"/>
                <w:sz w:val="17"/>
              </w:rPr>
              <w:t>315.5</w:t>
            </w:r>
          </w:p>
        </w:tc>
        <w:tc>
          <w:tcPr>
            <w:tcW w:w="688" w:type="dxa"/>
            <w:tcBorders>
              <w:top w:val="single" w:color="D9D9D9" w:sz="8" w:space="0"/>
            </w:tcBorders>
          </w:tcPr>
          <w:p w:rsidR="00C31389" w:rsidRDefault="00561FBD" w14:paraId="3C18C72B" w14:textId="77777777">
            <w:pPr>
              <w:pStyle w:val="TableParagraph"/>
              <w:ind w:left="70"/>
              <w:rPr>
                <w:sz w:val="17"/>
              </w:rPr>
            </w:pPr>
            <w:r>
              <w:rPr>
                <w:spacing w:val="-2"/>
                <w:sz w:val="17"/>
              </w:rPr>
              <w:t>333.5</w:t>
            </w:r>
          </w:p>
        </w:tc>
        <w:tc>
          <w:tcPr>
            <w:tcW w:w="680" w:type="dxa"/>
            <w:tcBorders>
              <w:top w:val="single" w:color="D9D9D9" w:sz="8" w:space="0"/>
            </w:tcBorders>
          </w:tcPr>
          <w:p w:rsidR="00C31389" w:rsidRDefault="00561FBD" w14:paraId="1D9DA200" w14:textId="77777777">
            <w:pPr>
              <w:pStyle w:val="TableParagraph"/>
              <w:ind w:left="64"/>
              <w:rPr>
                <w:sz w:val="17"/>
              </w:rPr>
            </w:pPr>
            <w:r>
              <w:rPr>
                <w:spacing w:val="-2"/>
                <w:sz w:val="17"/>
              </w:rPr>
              <w:t>337.7</w:t>
            </w:r>
          </w:p>
        </w:tc>
        <w:tc>
          <w:tcPr>
            <w:tcW w:w="669" w:type="dxa"/>
            <w:tcBorders>
              <w:top w:val="single" w:color="D9D9D9" w:sz="8" w:space="0"/>
            </w:tcBorders>
          </w:tcPr>
          <w:p w:rsidR="00C31389" w:rsidRDefault="00561FBD" w14:paraId="435CAA9F" w14:textId="77777777">
            <w:pPr>
              <w:pStyle w:val="TableParagraph"/>
              <w:ind w:right="190"/>
              <w:jc w:val="right"/>
              <w:rPr>
                <w:sz w:val="17"/>
              </w:rPr>
            </w:pPr>
            <w:r>
              <w:rPr>
                <w:spacing w:val="-2"/>
                <w:sz w:val="17"/>
              </w:rPr>
              <w:t>355.3</w:t>
            </w:r>
          </w:p>
        </w:tc>
      </w:tr>
      <w:tr w:rsidR="00C31389" w14:paraId="4A7727D7" w14:textId="77777777">
        <w:trPr>
          <w:trHeight w:val="285"/>
        </w:trPr>
        <w:tc>
          <w:tcPr>
            <w:tcW w:w="9369" w:type="dxa"/>
            <w:gridSpan w:val="13"/>
            <w:shd w:val="clear" w:color="auto" w:fill="BEBEBE"/>
          </w:tcPr>
          <w:p w:rsidR="00C31389" w:rsidRDefault="00561FBD" w14:paraId="4C072DDC" w14:textId="77777777">
            <w:pPr>
              <w:pStyle w:val="TableParagraph"/>
              <w:spacing w:before="25"/>
              <w:ind w:left="212"/>
              <w:rPr>
                <w:b/>
                <w:sz w:val="17"/>
              </w:rPr>
            </w:pPr>
            <w:r>
              <w:rPr>
                <w:noProof/>
              </w:rPr>
              <mc:AlternateContent>
                <mc:Choice Requires="wpg">
                  <w:drawing>
                    <wp:anchor distT="0" distB="0" distL="0" distR="0" simplePos="0" relativeHeight="465582592" behindDoc="1" locked="0" layoutInCell="1" allowOverlap="1" wp14:editId="7ED1E83F" wp14:anchorId="228FB9A6">
                      <wp:simplePos x="0" y="0"/>
                      <wp:positionH relativeFrom="column">
                        <wp:posOffset>66293</wp:posOffset>
                      </wp:positionH>
                      <wp:positionV relativeFrom="paragraph">
                        <wp:posOffset>-16231</wp:posOffset>
                      </wp:positionV>
                      <wp:extent cx="5829300" cy="181610"/>
                      <wp:effectExtent l="0" t="0" r="0" b="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181610"/>
                                <a:chOff x="0" y="0"/>
                                <a:chExt cx="5829300" cy="181610"/>
                              </a:xfrm>
                            </wpg:grpSpPr>
                            <wps:wsp>
                              <wps:cNvPr id="1027" name="Graphic 1027"/>
                              <wps:cNvSpPr/>
                              <wps:spPr>
                                <a:xfrm>
                                  <a:off x="0" y="6108"/>
                                  <a:ext cx="5829300" cy="175260"/>
                                </a:xfrm>
                                <a:custGeom>
                                  <a:avLst/>
                                  <a:gdLst/>
                                  <a:ahLst/>
                                  <a:cxnLst/>
                                  <a:rect l="l" t="t" r="r" b="b"/>
                                  <a:pathLst>
                                    <a:path w="5829300" h="175260">
                                      <a:moveTo>
                                        <a:pt x="5829300" y="0"/>
                                      </a:moveTo>
                                      <a:lnTo>
                                        <a:pt x="2908554" y="0"/>
                                      </a:lnTo>
                                      <a:lnTo>
                                        <a:pt x="0" y="0"/>
                                      </a:lnTo>
                                      <a:lnTo>
                                        <a:pt x="0" y="175260"/>
                                      </a:lnTo>
                                      <a:lnTo>
                                        <a:pt x="2908554" y="175260"/>
                                      </a:lnTo>
                                      <a:lnTo>
                                        <a:pt x="5829300" y="175260"/>
                                      </a:lnTo>
                                      <a:lnTo>
                                        <a:pt x="5829300" y="0"/>
                                      </a:lnTo>
                                      <a:close/>
                                    </a:path>
                                  </a:pathLst>
                                </a:custGeom>
                                <a:solidFill>
                                  <a:srgbClr val="BEBEBE"/>
                                </a:solidFill>
                              </wps:spPr>
                              <wps:bodyPr wrap="square" lIns="0" tIns="0" rIns="0" bIns="0" rtlCol="0">
                                <a:prstTxWarp prst="textNoShape">
                                  <a:avLst/>
                                </a:prstTxWarp>
                                <a:noAutofit/>
                              </wps:bodyPr>
                            </wps:wsp>
                            <wps:wsp>
                              <wps:cNvPr id="1028" name="Graphic 1028"/>
                              <wps:cNvSpPr/>
                              <wps:spPr>
                                <a:xfrm>
                                  <a:off x="0" y="0"/>
                                  <a:ext cx="5412740" cy="6350"/>
                                </a:xfrm>
                                <a:custGeom>
                                  <a:avLst/>
                                  <a:gdLst/>
                                  <a:ahLst/>
                                  <a:cxnLst/>
                                  <a:rect l="l" t="t" r="r" b="b"/>
                                  <a:pathLst>
                                    <a:path w="5412740" h="6350">
                                      <a:moveTo>
                                        <a:pt x="1517891" y="0"/>
                                      </a:moveTo>
                                      <a:lnTo>
                                        <a:pt x="1517891" y="0"/>
                                      </a:lnTo>
                                      <a:lnTo>
                                        <a:pt x="0" y="0"/>
                                      </a:lnTo>
                                      <a:lnTo>
                                        <a:pt x="0" y="6108"/>
                                      </a:lnTo>
                                      <a:lnTo>
                                        <a:pt x="1517891" y="6108"/>
                                      </a:lnTo>
                                      <a:lnTo>
                                        <a:pt x="1517891" y="0"/>
                                      </a:lnTo>
                                      <a:close/>
                                    </a:path>
                                    <a:path w="5412740" h="6350">
                                      <a:moveTo>
                                        <a:pt x="3249180" y="0"/>
                                      </a:moveTo>
                                      <a:lnTo>
                                        <a:pt x="3249180" y="0"/>
                                      </a:lnTo>
                                      <a:lnTo>
                                        <a:pt x="1517904" y="0"/>
                                      </a:lnTo>
                                      <a:lnTo>
                                        <a:pt x="1517904" y="6108"/>
                                      </a:lnTo>
                                      <a:lnTo>
                                        <a:pt x="3249180" y="6108"/>
                                      </a:lnTo>
                                      <a:lnTo>
                                        <a:pt x="3249180" y="0"/>
                                      </a:lnTo>
                                      <a:close/>
                                    </a:path>
                                    <a:path w="5412740" h="6350">
                                      <a:moveTo>
                                        <a:pt x="3681234" y="0"/>
                                      </a:moveTo>
                                      <a:lnTo>
                                        <a:pt x="3675126" y="0"/>
                                      </a:lnTo>
                                      <a:lnTo>
                                        <a:pt x="3675126" y="6108"/>
                                      </a:lnTo>
                                      <a:lnTo>
                                        <a:pt x="3681234" y="6108"/>
                                      </a:lnTo>
                                      <a:lnTo>
                                        <a:pt x="3681234" y="0"/>
                                      </a:lnTo>
                                      <a:close/>
                                    </a:path>
                                    <a:path w="5412740" h="6350">
                                      <a:moveTo>
                                        <a:pt x="4114800" y="0"/>
                                      </a:moveTo>
                                      <a:lnTo>
                                        <a:pt x="4108704" y="0"/>
                                      </a:lnTo>
                                      <a:lnTo>
                                        <a:pt x="4108704" y="6108"/>
                                      </a:lnTo>
                                      <a:lnTo>
                                        <a:pt x="4114800" y="6108"/>
                                      </a:lnTo>
                                      <a:lnTo>
                                        <a:pt x="4114800" y="0"/>
                                      </a:lnTo>
                                      <a:close/>
                                    </a:path>
                                    <a:path w="5412740" h="6350">
                                      <a:moveTo>
                                        <a:pt x="4546854" y="0"/>
                                      </a:moveTo>
                                      <a:lnTo>
                                        <a:pt x="4540758" y="0"/>
                                      </a:lnTo>
                                      <a:lnTo>
                                        <a:pt x="4540758" y="6108"/>
                                      </a:lnTo>
                                      <a:lnTo>
                                        <a:pt x="4546854" y="6108"/>
                                      </a:lnTo>
                                      <a:lnTo>
                                        <a:pt x="4546854" y="0"/>
                                      </a:lnTo>
                                      <a:close/>
                                    </a:path>
                                    <a:path w="5412740" h="6350">
                                      <a:moveTo>
                                        <a:pt x="4980432" y="0"/>
                                      </a:moveTo>
                                      <a:lnTo>
                                        <a:pt x="4974336" y="0"/>
                                      </a:lnTo>
                                      <a:lnTo>
                                        <a:pt x="4974336" y="6108"/>
                                      </a:lnTo>
                                      <a:lnTo>
                                        <a:pt x="4980432" y="6108"/>
                                      </a:lnTo>
                                      <a:lnTo>
                                        <a:pt x="4980432" y="0"/>
                                      </a:lnTo>
                                      <a:close/>
                                    </a:path>
                                    <a:path w="5412740" h="6350">
                                      <a:moveTo>
                                        <a:pt x="5412486" y="0"/>
                                      </a:moveTo>
                                      <a:lnTo>
                                        <a:pt x="5406390" y="0"/>
                                      </a:lnTo>
                                      <a:lnTo>
                                        <a:pt x="5406390" y="6108"/>
                                      </a:lnTo>
                                      <a:lnTo>
                                        <a:pt x="5412486" y="6108"/>
                                      </a:lnTo>
                                      <a:lnTo>
                                        <a:pt x="5412486"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26" style="position:absolute;margin-left:5.2pt;margin-top:-1.3pt;width:459pt;height:14.3pt;z-index:-37733888;mso-wrap-distance-left:0;mso-wrap-distance-right:0" coordsize="58293,1816" o:spid="_x0000_s1026" w14:anchorId="0DF7E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">
                      <v:shape id="Graphic 1027" style="position:absolute;top:61;width:58293;height:1752;visibility:visible;mso-wrap-style:square;v-text-anchor:top" coordsize="5829300,175260" o:spid="_x0000_s1027" fillcolor="#bebebe" stroked="f" path="m5829300,l2908554,,,,,175260r2908554,l5829300,175260,5829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">
                        <v:path arrowok="t"/>
                      </v:shape>
                      <v:shape id="Graphic 1028" style="position:absolute;width:54127;height:63;visibility:visible;mso-wrap-style:square;v-text-anchor:top" coordsize="5412740,6350" o:spid="_x0000_s1028" fillcolor="#dcddde" stroked="f" path="m1517891,r,l,,,6108r1517891,l1517891,xem3249180,r,l1517904,r,6108l3249180,6108r,-6108xem3681234,r-6108,l3675126,6108r6108,l3681234,xem4114800,r-6096,l4108704,6108r6096,l4114800,xem4546854,r-6096,l4540758,6108r6096,l4546854,xem4980432,r-6096,l4974336,6108r6096,l4980432,xem5412486,r-6096,l5406390,6108r6096,l5412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">
                        <v:path arrowok="t"/>
                      </v:shape>
                    </v:group>
                  </w:pict>
                </mc:Fallback>
              </mc:AlternateContent>
            </w:r>
            <w:r>
              <w:rPr>
                <w:noProof/>
              </w:rPr>
              <mc:AlternateContent>
                <mc:Choice Requires="wpg">
                  <w:drawing>
                    <wp:anchor distT="0" distB="0" distL="0" distR="0" simplePos="0" relativeHeight="15897600" behindDoc="0" locked="0" layoutInCell="1" allowOverlap="1" wp14:editId="6A849422" wp14:anchorId="55C7BC03">
                      <wp:simplePos x="0" y="0"/>
                      <wp:positionH relativeFrom="column">
                        <wp:posOffset>66293</wp:posOffset>
                      </wp:positionH>
                      <wp:positionV relativeFrom="paragraph">
                        <wp:posOffset>165136</wp:posOffset>
                      </wp:positionV>
                      <wp:extent cx="5829300" cy="6350"/>
                      <wp:effectExtent l="0" t="0" r="0" b="0"/>
                      <wp:wrapNone/>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350"/>
                                <a:chOff x="0" y="0"/>
                                <a:chExt cx="5829300" cy="6350"/>
                              </a:xfrm>
                            </wpg:grpSpPr>
                            <wps:wsp>
                              <wps:cNvPr id="1030" name="Graphic 1030"/>
                              <wps:cNvSpPr/>
                              <wps:spPr>
                                <a:xfrm>
                                  <a:off x="0" y="0"/>
                                  <a:ext cx="5829300" cy="6350"/>
                                </a:xfrm>
                                <a:custGeom>
                                  <a:avLst/>
                                  <a:gdLst/>
                                  <a:ahLst/>
                                  <a:cxnLst/>
                                  <a:rect l="l" t="t" r="r" b="b"/>
                                  <a:pathLst>
                                    <a:path w="5829300" h="6350">
                                      <a:moveTo>
                                        <a:pt x="1517891" y="0"/>
                                      </a:moveTo>
                                      <a:lnTo>
                                        <a:pt x="1517891" y="0"/>
                                      </a:lnTo>
                                      <a:lnTo>
                                        <a:pt x="0" y="0"/>
                                      </a:lnTo>
                                      <a:lnTo>
                                        <a:pt x="0" y="6096"/>
                                      </a:lnTo>
                                      <a:lnTo>
                                        <a:pt x="1517891" y="6096"/>
                                      </a:lnTo>
                                      <a:lnTo>
                                        <a:pt x="1517891" y="0"/>
                                      </a:lnTo>
                                      <a:close/>
                                    </a:path>
                                    <a:path w="5829300" h="6350">
                                      <a:moveTo>
                                        <a:pt x="3675100" y="0"/>
                                      </a:moveTo>
                                      <a:lnTo>
                                        <a:pt x="3675100" y="0"/>
                                      </a:lnTo>
                                      <a:lnTo>
                                        <a:pt x="1517904" y="0"/>
                                      </a:lnTo>
                                      <a:lnTo>
                                        <a:pt x="1517904" y="6096"/>
                                      </a:lnTo>
                                      <a:lnTo>
                                        <a:pt x="3675100" y="6096"/>
                                      </a:lnTo>
                                      <a:lnTo>
                                        <a:pt x="3675100" y="0"/>
                                      </a:lnTo>
                                      <a:close/>
                                    </a:path>
                                    <a:path w="5829300" h="6350">
                                      <a:moveTo>
                                        <a:pt x="4974323" y="0"/>
                                      </a:moveTo>
                                      <a:lnTo>
                                        <a:pt x="4974323" y="0"/>
                                      </a:lnTo>
                                      <a:lnTo>
                                        <a:pt x="3675126" y="0"/>
                                      </a:lnTo>
                                      <a:lnTo>
                                        <a:pt x="3675126" y="6096"/>
                                      </a:lnTo>
                                      <a:lnTo>
                                        <a:pt x="4974323" y="6096"/>
                                      </a:lnTo>
                                      <a:lnTo>
                                        <a:pt x="4974323" y="0"/>
                                      </a:lnTo>
                                      <a:close/>
                                    </a:path>
                                    <a:path w="5829300" h="6350">
                                      <a:moveTo>
                                        <a:pt x="5829300" y="0"/>
                                      </a:moveTo>
                                      <a:lnTo>
                                        <a:pt x="5412486" y="0"/>
                                      </a:lnTo>
                                      <a:lnTo>
                                        <a:pt x="5406390" y="0"/>
                                      </a:lnTo>
                                      <a:lnTo>
                                        <a:pt x="4980432" y="0"/>
                                      </a:lnTo>
                                      <a:lnTo>
                                        <a:pt x="4974336" y="0"/>
                                      </a:lnTo>
                                      <a:lnTo>
                                        <a:pt x="4974336" y="6096"/>
                                      </a:lnTo>
                                      <a:lnTo>
                                        <a:pt x="4980432" y="6096"/>
                                      </a:lnTo>
                                      <a:lnTo>
                                        <a:pt x="5406390" y="6096"/>
                                      </a:lnTo>
                                      <a:lnTo>
                                        <a:pt x="5412486" y="6096"/>
                                      </a:lnTo>
                                      <a:lnTo>
                                        <a:pt x="5829300" y="6096"/>
                                      </a:lnTo>
                                      <a:lnTo>
                                        <a:pt x="5829300"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29" style="position:absolute;margin-left:5.2pt;margin-top:13pt;width:459pt;height:.5pt;z-index:15897600;mso-wrap-distance-left:0;mso-wrap-distance-right:0" coordsize="58293,63" o:spid="_x0000_s1026" w14:anchorId="7736C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">
                      <v:shape id="Graphic 1030" style="position:absolute;width:58293;height:63;visibility:visible;mso-wrap-style:square;v-text-anchor:top" coordsize="5829300,6350" o:spid="_x0000_s1027" fillcolor="#dcddde" stroked="f" path="m1517891,r,l,,,6096r1517891,l1517891,xem3675100,r,l1517904,r,6096l3675100,6096r,-6096xem4974323,r,l3675126,r,6096l4974323,6096r,-6096xem5829300,l5412486,r-6096,l4980432,r-6096,l4974336,6096r6096,l5406390,6096r6096,l5829300,6096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">
                        <v:path arrowok="t"/>
                      </v:shape>
                    </v:group>
                  </w:pict>
                </mc:Fallback>
              </mc:AlternateContent>
            </w: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711A4630" w14:textId="77777777">
        <w:trPr>
          <w:trHeight w:val="285"/>
        </w:trPr>
        <w:tc>
          <w:tcPr>
            <w:tcW w:w="1122" w:type="dxa"/>
          </w:tcPr>
          <w:p w:rsidR="00C31389" w:rsidRDefault="00561FBD" w14:paraId="5840318E" w14:textId="77777777">
            <w:pPr>
              <w:pStyle w:val="TableParagraph"/>
              <w:spacing w:before="45"/>
              <w:ind w:left="212"/>
              <w:rPr>
                <w:sz w:val="17"/>
              </w:rPr>
            </w:pPr>
            <w:r>
              <w:rPr>
                <w:spacing w:val="-5"/>
                <w:sz w:val="17"/>
              </w:rPr>
              <w:t>EE</w:t>
            </w:r>
          </w:p>
        </w:tc>
        <w:tc>
          <w:tcPr>
            <w:tcW w:w="698" w:type="dxa"/>
          </w:tcPr>
          <w:p w:rsidR="00C31389" w:rsidRDefault="00561FBD" w14:paraId="31B9F53F" w14:textId="77777777">
            <w:pPr>
              <w:pStyle w:val="TableParagraph"/>
              <w:spacing w:before="45"/>
              <w:ind w:left="117"/>
              <w:jc w:val="center"/>
              <w:rPr>
                <w:sz w:val="17"/>
              </w:rPr>
            </w:pPr>
            <w:r>
              <w:rPr>
                <w:spacing w:val="-4"/>
                <w:sz w:val="17"/>
              </w:rPr>
              <w:t>60.1</w:t>
            </w:r>
          </w:p>
        </w:tc>
        <w:tc>
          <w:tcPr>
            <w:tcW w:w="698" w:type="dxa"/>
          </w:tcPr>
          <w:p w:rsidR="00C31389" w:rsidRDefault="00561FBD" w14:paraId="46023180" w14:textId="77777777">
            <w:pPr>
              <w:pStyle w:val="TableParagraph"/>
              <w:spacing w:before="45"/>
              <w:ind w:left="117" w:right="32"/>
              <w:jc w:val="center"/>
              <w:rPr>
                <w:sz w:val="17"/>
              </w:rPr>
            </w:pPr>
            <w:r>
              <w:rPr>
                <w:spacing w:val="-4"/>
                <w:sz w:val="17"/>
              </w:rPr>
              <w:t>58.9</w:t>
            </w:r>
          </w:p>
        </w:tc>
        <w:tc>
          <w:tcPr>
            <w:tcW w:w="688" w:type="dxa"/>
          </w:tcPr>
          <w:p w:rsidR="00C31389" w:rsidRDefault="00561FBD" w14:paraId="5D31DD81" w14:textId="77777777">
            <w:pPr>
              <w:pStyle w:val="TableParagraph"/>
              <w:spacing w:before="45"/>
              <w:ind w:left="131" w:right="69"/>
              <w:jc w:val="center"/>
              <w:rPr>
                <w:sz w:val="17"/>
              </w:rPr>
            </w:pPr>
            <w:r>
              <w:rPr>
                <w:spacing w:val="-4"/>
                <w:sz w:val="17"/>
              </w:rPr>
              <w:t>60.7</w:t>
            </w:r>
          </w:p>
        </w:tc>
        <w:tc>
          <w:tcPr>
            <w:tcW w:w="688" w:type="dxa"/>
          </w:tcPr>
          <w:p w:rsidR="00C31389" w:rsidRDefault="00561FBD" w14:paraId="5D0B8E2E" w14:textId="77777777">
            <w:pPr>
              <w:pStyle w:val="TableParagraph"/>
              <w:spacing w:before="45"/>
              <w:ind w:right="151"/>
              <w:jc w:val="right"/>
              <w:rPr>
                <w:sz w:val="17"/>
              </w:rPr>
            </w:pPr>
            <w:r>
              <w:rPr>
                <w:spacing w:val="-4"/>
                <w:sz w:val="17"/>
              </w:rPr>
              <w:t>60.7</w:t>
            </w:r>
          </w:p>
        </w:tc>
        <w:tc>
          <w:tcPr>
            <w:tcW w:w="687" w:type="dxa"/>
          </w:tcPr>
          <w:p w:rsidR="00C31389" w:rsidRDefault="00561FBD" w14:paraId="1F5A5F44" w14:textId="77777777">
            <w:pPr>
              <w:pStyle w:val="TableParagraph"/>
              <w:spacing w:before="45"/>
              <w:ind w:left="196"/>
              <w:rPr>
                <w:sz w:val="17"/>
              </w:rPr>
            </w:pPr>
            <w:r>
              <w:rPr>
                <w:spacing w:val="-4"/>
                <w:sz w:val="17"/>
              </w:rPr>
              <w:t>60.8</w:t>
            </w:r>
          </w:p>
        </w:tc>
        <w:tc>
          <w:tcPr>
            <w:tcW w:w="689" w:type="dxa"/>
          </w:tcPr>
          <w:p w:rsidR="00C31389" w:rsidRDefault="00561FBD" w14:paraId="69058466" w14:textId="77777777">
            <w:pPr>
              <w:pStyle w:val="TableParagraph"/>
              <w:spacing w:before="45"/>
              <w:ind w:right="165"/>
              <w:jc w:val="right"/>
              <w:rPr>
                <w:sz w:val="17"/>
              </w:rPr>
            </w:pPr>
            <w:r>
              <w:rPr>
                <w:spacing w:val="-4"/>
                <w:sz w:val="17"/>
              </w:rPr>
              <w:t>58.6</w:t>
            </w:r>
          </w:p>
        </w:tc>
        <w:tc>
          <w:tcPr>
            <w:tcW w:w="687" w:type="dxa"/>
          </w:tcPr>
          <w:p w:rsidR="00C31389" w:rsidRDefault="00561FBD" w14:paraId="13B52EF3" w14:textId="77777777">
            <w:pPr>
              <w:pStyle w:val="TableParagraph"/>
              <w:spacing w:before="45"/>
              <w:ind w:left="183"/>
              <w:rPr>
                <w:sz w:val="17"/>
              </w:rPr>
            </w:pPr>
            <w:r>
              <w:rPr>
                <w:spacing w:val="-4"/>
                <w:sz w:val="17"/>
              </w:rPr>
              <w:t>60.1</w:t>
            </w:r>
          </w:p>
        </w:tc>
        <w:tc>
          <w:tcPr>
            <w:tcW w:w="688" w:type="dxa"/>
          </w:tcPr>
          <w:p w:rsidR="00C31389" w:rsidRDefault="00561FBD" w14:paraId="28D6D75A" w14:textId="77777777">
            <w:pPr>
              <w:pStyle w:val="TableParagraph"/>
              <w:spacing w:before="45"/>
              <w:ind w:left="177"/>
              <w:rPr>
                <w:sz w:val="17"/>
              </w:rPr>
            </w:pPr>
            <w:r>
              <w:rPr>
                <w:spacing w:val="-4"/>
                <w:sz w:val="17"/>
              </w:rPr>
              <w:t>59.1</w:t>
            </w:r>
          </w:p>
        </w:tc>
        <w:tc>
          <w:tcPr>
            <w:tcW w:w="687" w:type="dxa"/>
          </w:tcPr>
          <w:p w:rsidR="00C31389" w:rsidRDefault="00561FBD" w14:paraId="55105E94" w14:textId="77777777">
            <w:pPr>
              <w:pStyle w:val="TableParagraph"/>
              <w:spacing w:before="45"/>
              <w:ind w:left="172"/>
              <w:rPr>
                <w:sz w:val="17"/>
              </w:rPr>
            </w:pPr>
            <w:r>
              <w:rPr>
                <w:spacing w:val="-4"/>
                <w:sz w:val="17"/>
              </w:rPr>
              <w:t>57.4</w:t>
            </w:r>
          </w:p>
        </w:tc>
        <w:tc>
          <w:tcPr>
            <w:tcW w:w="688" w:type="dxa"/>
          </w:tcPr>
          <w:p w:rsidR="00C31389" w:rsidRDefault="00561FBD" w14:paraId="70092729" w14:textId="77777777">
            <w:pPr>
              <w:pStyle w:val="TableParagraph"/>
              <w:spacing w:before="45"/>
              <w:ind w:left="165"/>
              <w:rPr>
                <w:sz w:val="17"/>
              </w:rPr>
            </w:pPr>
            <w:r>
              <w:rPr>
                <w:spacing w:val="-4"/>
                <w:sz w:val="17"/>
              </w:rPr>
              <w:t>53.8</w:t>
            </w:r>
          </w:p>
        </w:tc>
        <w:tc>
          <w:tcPr>
            <w:tcW w:w="680" w:type="dxa"/>
          </w:tcPr>
          <w:p w:rsidR="00C31389" w:rsidRDefault="00561FBD" w14:paraId="2A30301B" w14:textId="77777777">
            <w:pPr>
              <w:pStyle w:val="TableParagraph"/>
              <w:spacing w:before="45"/>
              <w:ind w:left="159"/>
              <w:rPr>
                <w:sz w:val="17"/>
              </w:rPr>
            </w:pPr>
            <w:r>
              <w:rPr>
                <w:spacing w:val="-4"/>
                <w:sz w:val="17"/>
              </w:rPr>
              <w:t>53.3</w:t>
            </w:r>
          </w:p>
        </w:tc>
        <w:tc>
          <w:tcPr>
            <w:tcW w:w="669" w:type="dxa"/>
          </w:tcPr>
          <w:p w:rsidR="00C31389" w:rsidRDefault="00561FBD" w14:paraId="15B237FB" w14:textId="77777777">
            <w:pPr>
              <w:pStyle w:val="TableParagraph"/>
              <w:spacing w:before="45"/>
              <w:ind w:right="190"/>
              <w:jc w:val="right"/>
              <w:rPr>
                <w:sz w:val="17"/>
              </w:rPr>
            </w:pPr>
            <w:r>
              <w:rPr>
                <w:spacing w:val="-4"/>
                <w:sz w:val="17"/>
              </w:rPr>
              <w:t>53.4</w:t>
            </w:r>
          </w:p>
        </w:tc>
      </w:tr>
      <w:tr w:rsidR="00C31389" w14:paraId="0629466E" w14:textId="77777777">
        <w:trPr>
          <w:trHeight w:val="474"/>
        </w:trPr>
        <w:tc>
          <w:tcPr>
            <w:tcW w:w="1122" w:type="dxa"/>
            <w:tcBorders>
              <w:bottom w:val="single" w:color="DCDDDE" w:sz="4" w:space="0"/>
            </w:tcBorders>
          </w:tcPr>
          <w:p w:rsidR="00C31389" w:rsidRDefault="00561FBD" w14:paraId="5B58879F" w14:textId="77777777">
            <w:pPr>
              <w:pStyle w:val="TableParagraph"/>
              <w:spacing w:before="123"/>
              <w:ind w:left="212"/>
              <w:rPr>
                <w:sz w:val="17"/>
              </w:rPr>
            </w:pPr>
            <w:r>
              <w:rPr>
                <w:spacing w:val="-5"/>
                <w:sz w:val="17"/>
              </w:rPr>
              <w:t>FS</w:t>
            </w:r>
          </w:p>
        </w:tc>
        <w:tc>
          <w:tcPr>
            <w:tcW w:w="698" w:type="dxa"/>
            <w:tcBorders>
              <w:bottom w:val="single" w:color="D9D9D9" w:sz="8" w:space="0"/>
            </w:tcBorders>
          </w:tcPr>
          <w:p w:rsidR="00C31389" w:rsidRDefault="00561FBD" w14:paraId="6E57BEF8" w14:textId="77777777">
            <w:pPr>
              <w:pStyle w:val="TableParagraph"/>
              <w:spacing w:before="143"/>
              <w:ind w:left="117" w:right="94"/>
              <w:jc w:val="center"/>
              <w:rPr>
                <w:sz w:val="17"/>
              </w:rPr>
            </w:pPr>
            <w:r>
              <w:rPr>
                <w:spacing w:val="-2"/>
                <w:sz w:val="17"/>
              </w:rPr>
              <w:t>931.9</w:t>
            </w:r>
          </w:p>
        </w:tc>
        <w:tc>
          <w:tcPr>
            <w:tcW w:w="698" w:type="dxa"/>
            <w:tcBorders>
              <w:bottom w:val="single" w:color="D9D9D9" w:sz="8" w:space="0"/>
            </w:tcBorders>
          </w:tcPr>
          <w:p w:rsidR="00C31389" w:rsidRDefault="00561FBD" w14:paraId="374612A0" w14:textId="77777777">
            <w:pPr>
              <w:pStyle w:val="TableParagraph"/>
              <w:spacing w:before="44"/>
              <w:ind w:right="137"/>
              <w:jc w:val="right"/>
              <w:rPr>
                <w:sz w:val="17"/>
              </w:rPr>
            </w:pPr>
            <w:r>
              <w:rPr>
                <w:spacing w:val="-2"/>
                <w:sz w:val="17"/>
              </w:rPr>
              <w:t>1,013</w:t>
            </w:r>
          </w:p>
          <w:p w:rsidR="00C31389" w:rsidRDefault="00561FBD" w14:paraId="16455892" w14:textId="77777777">
            <w:pPr>
              <w:pStyle w:val="TableParagraph"/>
              <w:spacing w:before="0"/>
              <w:ind w:right="139"/>
              <w:jc w:val="right"/>
              <w:rPr>
                <w:sz w:val="17"/>
              </w:rPr>
            </w:pPr>
            <w:r>
              <w:rPr>
                <w:spacing w:val="-5"/>
                <w:sz w:val="17"/>
              </w:rPr>
              <w:t>.5</w:t>
            </w:r>
          </w:p>
        </w:tc>
        <w:tc>
          <w:tcPr>
            <w:tcW w:w="688" w:type="dxa"/>
            <w:tcBorders>
              <w:bottom w:val="single" w:color="D9D9D9" w:sz="8" w:space="0"/>
            </w:tcBorders>
          </w:tcPr>
          <w:p w:rsidR="00C31389" w:rsidRDefault="00561FBD" w14:paraId="7D63A7B6" w14:textId="77777777">
            <w:pPr>
              <w:pStyle w:val="TableParagraph"/>
              <w:spacing w:before="44"/>
              <w:ind w:right="144"/>
              <w:jc w:val="right"/>
              <w:rPr>
                <w:sz w:val="17"/>
              </w:rPr>
            </w:pPr>
            <w:r>
              <w:rPr>
                <w:spacing w:val="-2"/>
                <w:sz w:val="17"/>
              </w:rPr>
              <w:t>1,080</w:t>
            </w:r>
          </w:p>
          <w:p w:rsidR="00C31389" w:rsidRDefault="00561FBD" w14:paraId="7325E6AD" w14:textId="77777777">
            <w:pPr>
              <w:pStyle w:val="TableParagraph"/>
              <w:spacing w:before="0"/>
              <w:ind w:right="145"/>
              <w:jc w:val="right"/>
              <w:rPr>
                <w:sz w:val="17"/>
              </w:rPr>
            </w:pPr>
            <w:r>
              <w:rPr>
                <w:spacing w:val="-5"/>
                <w:sz w:val="17"/>
              </w:rPr>
              <w:t>.3</w:t>
            </w:r>
          </w:p>
        </w:tc>
        <w:tc>
          <w:tcPr>
            <w:tcW w:w="688" w:type="dxa"/>
            <w:tcBorders>
              <w:bottom w:val="single" w:color="D9D9D9" w:sz="8" w:space="0"/>
            </w:tcBorders>
          </w:tcPr>
          <w:p w:rsidR="00C31389" w:rsidRDefault="00561FBD" w14:paraId="100F7AE7" w14:textId="77777777">
            <w:pPr>
              <w:pStyle w:val="TableParagraph"/>
              <w:spacing w:before="44"/>
              <w:ind w:right="150"/>
              <w:jc w:val="right"/>
              <w:rPr>
                <w:sz w:val="17"/>
              </w:rPr>
            </w:pPr>
            <w:r>
              <w:rPr>
                <w:spacing w:val="-2"/>
                <w:sz w:val="17"/>
              </w:rPr>
              <w:t>1,144</w:t>
            </w:r>
          </w:p>
          <w:p w:rsidR="00C31389" w:rsidRDefault="00561FBD" w14:paraId="3CEAB3BB" w14:textId="77777777">
            <w:pPr>
              <w:pStyle w:val="TableParagraph"/>
              <w:spacing w:before="0"/>
              <w:ind w:right="152"/>
              <w:jc w:val="right"/>
              <w:rPr>
                <w:sz w:val="17"/>
              </w:rPr>
            </w:pPr>
            <w:r>
              <w:rPr>
                <w:spacing w:val="-5"/>
                <w:sz w:val="17"/>
              </w:rPr>
              <w:t>.2</w:t>
            </w:r>
          </w:p>
        </w:tc>
        <w:tc>
          <w:tcPr>
            <w:tcW w:w="687" w:type="dxa"/>
            <w:tcBorders>
              <w:bottom w:val="single" w:color="D9D9D9" w:sz="8" w:space="0"/>
            </w:tcBorders>
          </w:tcPr>
          <w:p w:rsidR="00C31389" w:rsidRDefault="00561FBD" w14:paraId="12FDCF2C" w14:textId="77777777">
            <w:pPr>
              <w:pStyle w:val="TableParagraph"/>
              <w:spacing w:before="44"/>
              <w:ind w:right="155"/>
              <w:jc w:val="right"/>
              <w:rPr>
                <w:sz w:val="17"/>
              </w:rPr>
            </w:pPr>
            <w:r>
              <w:rPr>
                <w:spacing w:val="-2"/>
                <w:sz w:val="17"/>
              </w:rPr>
              <w:t>1,196</w:t>
            </w:r>
          </w:p>
          <w:p w:rsidR="00C31389" w:rsidRDefault="00561FBD" w14:paraId="2E019457" w14:textId="77777777">
            <w:pPr>
              <w:pStyle w:val="TableParagraph"/>
              <w:spacing w:before="0"/>
              <w:ind w:right="157"/>
              <w:jc w:val="right"/>
              <w:rPr>
                <w:sz w:val="17"/>
              </w:rPr>
            </w:pPr>
            <w:r>
              <w:rPr>
                <w:spacing w:val="-5"/>
                <w:sz w:val="17"/>
              </w:rPr>
              <w:t>.4</w:t>
            </w:r>
          </w:p>
        </w:tc>
        <w:tc>
          <w:tcPr>
            <w:tcW w:w="689" w:type="dxa"/>
            <w:tcBorders>
              <w:bottom w:val="single" w:color="D9D9D9" w:sz="8" w:space="0"/>
            </w:tcBorders>
          </w:tcPr>
          <w:p w:rsidR="00C31389" w:rsidRDefault="00561FBD" w14:paraId="0DA4A0C7" w14:textId="77777777">
            <w:pPr>
              <w:pStyle w:val="TableParagraph"/>
              <w:spacing w:before="44"/>
              <w:ind w:right="164"/>
              <w:jc w:val="right"/>
              <w:rPr>
                <w:sz w:val="17"/>
              </w:rPr>
            </w:pPr>
            <w:r>
              <w:rPr>
                <w:spacing w:val="-2"/>
                <w:sz w:val="17"/>
              </w:rPr>
              <w:t>1,223</w:t>
            </w:r>
          </w:p>
          <w:p w:rsidR="00C31389" w:rsidRDefault="00561FBD" w14:paraId="7FB8BD98" w14:textId="77777777">
            <w:pPr>
              <w:pStyle w:val="TableParagraph"/>
              <w:spacing w:before="0"/>
              <w:ind w:right="166"/>
              <w:jc w:val="right"/>
              <w:rPr>
                <w:sz w:val="17"/>
              </w:rPr>
            </w:pPr>
            <w:r>
              <w:rPr>
                <w:spacing w:val="-5"/>
                <w:sz w:val="17"/>
              </w:rPr>
              <w:t>.2</w:t>
            </w:r>
          </w:p>
        </w:tc>
        <w:tc>
          <w:tcPr>
            <w:tcW w:w="687" w:type="dxa"/>
            <w:tcBorders>
              <w:bottom w:val="single" w:color="D9D9D9" w:sz="8" w:space="0"/>
            </w:tcBorders>
          </w:tcPr>
          <w:p w:rsidR="00C31389" w:rsidRDefault="00561FBD" w14:paraId="6D4E5F1C" w14:textId="77777777">
            <w:pPr>
              <w:pStyle w:val="TableParagraph"/>
              <w:spacing w:before="143"/>
              <w:ind w:left="183"/>
              <w:rPr>
                <w:sz w:val="17"/>
              </w:rPr>
            </w:pPr>
            <w:r>
              <w:rPr>
                <w:spacing w:val="-4"/>
                <w:sz w:val="17"/>
              </w:rPr>
              <w:t>23.0</w:t>
            </w:r>
          </w:p>
        </w:tc>
        <w:tc>
          <w:tcPr>
            <w:tcW w:w="688" w:type="dxa"/>
            <w:tcBorders>
              <w:bottom w:val="single" w:color="D9D9D9" w:sz="8" w:space="0"/>
            </w:tcBorders>
          </w:tcPr>
          <w:p w:rsidR="00C31389" w:rsidRDefault="00561FBD" w14:paraId="72A3AEC7" w14:textId="77777777">
            <w:pPr>
              <w:pStyle w:val="TableParagraph"/>
              <w:spacing w:before="143"/>
              <w:ind w:left="177"/>
              <w:rPr>
                <w:sz w:val="17"/>
              </w:rPr>
            </w:pPr>
            <w:r>
              <w:rPr>
                <w:spacing w:val="-4"/>
                <w:sz w:val="17"/>
              </w:rPr>
              <w:t>27.9</w:t>
            </w:r>
          </w:p>
        </w:tc>
        <w:tc>
          <w:tcPr>
            <w:tcW w:w="687" w:type="dxa"/>
            <w:tcBorders>
              <w:bottom w:val="single" w:color="D9D9D9" w:sz="8" w:space="0"/>
            </w:tcBorders>
          </w:tcPr>
          <w:p w:rsidR="00C31389" w:rsidRDefault="00561FBD" w14:paraId="0C750102" w14:textId="77777777">
            <w:pPr>
              <w:pStyle w:val="TableParagraph"/>
              <w:spacing w:before="143"/>
              <w:ind w:left="172"/>
              <w:rPr>
                <w:sz w:val="17"/>
              </w:rPr>
            </w:pPr>
            <w:r>
              <w:rPr>
                <w:spacing w:val="-4"/>
                <w:sz w:val="17"/>
              </w:rPr>
              <w:t>34.4</w:t>
            </w:r>
          </w:p>
        </w:tc>
        <w:tc>
          <w:tcPr>
            <w:tcW w:w="688" w:type="dxa"/>
            <w:tcBorders>
              <w:bottom w:val="single" w:color="D9D9D9" w:sz="8" w:space="0"/>
            </w:tcBorders>
          </w:tcPr>
          <w:p w:rsidR="00C31389" w:rsidRDefault="00561FBD" w14:paraId="7FB44ED0" w14:textId="77777777">
            <w:pPr>
              <w:pStyle w:val="TableParagraph"/>
              <w:spacing w:before="143"/>
              <w:ind w:left="260"/>
              <w:rPr>
                <w:sz w:val="17"/>
              </w:rPr>
            </w:pPr>
            <w:r>
              <w:rPr>
                <w:spacing w:val="-5"/>
                <w:sz w:val="17"/>
              </w:rPr>
              <w:t>9.2</w:t>
            </w:r>
          </w:p>
        </w:tc>
        <w:tc>
          <w:tcPr>
            <w:tcW w:w="680" w:type="dxa"/>
            <w:tcBorders>
              <w:bottom w:val="single" w:color="D9D9D9" w:sz="8" w:space="0"/>
            </w:tcBorders>
          </w:tcPr>
          <w:p w:rsidR="00C31389" w:rsidRDefault="00561FBD" w14:paraId="43407E65" w14:textId="77777777">
            <w:pPr>
              <w:pStyle w:val="TableParagraph"/>
              <w:spacing w:before="143"/>
              <w:ind w:left="253"/>
              <w:rPr>
                <w:sz w:val="17"/>
              </w:rPr>
            </w:pPr>
            <w:r>
              <w:rPr>
                <w:spacing w:val="-5"/>
                <w:sz w:val="17"/>
              </w:rPr>
              <w:t>9.6</w:t>
            </w:r>
          </w:p>
        </w:tc>
        <w:tc>
          <w:tcPr>
            <w:tcW w:w="669" w:type="dxa"/>
            <w:tcBorders>
              <w:bottom w:val="single" w:color="D9D9D9" w:sz="8" w:space="0"/>
            </w:tcBorders>
          </w:tcPr>
          <w:p w:rsidR="00C31389" w:rsidRDefault="00561FBD" w14:paraId="1C3DB3D9" w14:textId="77777777">
            <w:pPr>
              <w:pStyle w:val="TableParagraph"/>
              <w:spacing w:before="143"/>
              <w:ind w:right="190"/>
              <w:jc w:val="right"/>
              <w:rPr>
                <w:sz w:val="17"/>
              </w:rPr>
            </w:pPr>
            <w:r>
              <w:rPr>
                <w:spacing w:val="-4"/>
                <w:sz w:val="17"/>
              </w:rPr>
              <w:t>10.0</w:t>
            </w:r>
          </w:p>
        </w:tc>
      </w:tr>
      <w:tr w:rsidR="00C31389" w14:paraId="47D979DA" w14:textId="77777777">
        <w:trPr>
          <w:trHeight w:val="281"/>
        </w:trPr>
        <w:tc>
          <w:tcPr>
            <w:tcW w:w="1122" w:type="dxa"/>
            <w:tcBorders>
              <w:top w:val="single" w:color="DCDDDE" w:sz="4" w:space="0"/>
            </w:tcBorders>
          </w:tcPr>
          <w:p w:rsidR="00C31389" w:rsidRDefault="00561FBD" w14:paraId="787F9F15" w14:textId="77777777">
            <w:pPr>
              <w:pStyle w:val="TableParagraph"/>
              <w:spacing w:before="41"/>
              <w:ind w:left="212"/>
              <w:rPr>
                <w:sz w:val="17"/>
              </w:rPr>
            </w:pPr>
            <w:r>
              <w:rPr>
                <w:spacing w:val="-4"/>
                <w:sz w:val="17"/>
              </w:rPr>
              <w:t>BROs</w:t>
            </w:r>
          </w:p>
        </w:tc>
        <w:tc>
          <w:tcPr>
            <w:tcW w:w="698" w:type="dxa"/>
            <w:tcBorders>
              <w:top w:val="single" w:color="D9D9D9" w:sz="8" w:space="0"/>
            </w:tcBorders>
          </w:tcPr>
          <w:p w:rsidR="00C31389" w:rsidRDefault="00561FBD" w14:paraId="5306E083" w14:textId="77777777">
            <w:pPr>
              <w:pStyle w:val="TableParagraph"/>
              <w:spacing w:before="41"/>
              <w:ind w:left="117" w:right="94"/>
              <w:jc w:val="center"/>
              <w:rPr>
                <w:sz w:val="17"/>
              </w:rPr>
            </w:pPr>
            <w:r>
              <w:rPr>
                <w:spacing w:val="-2"/>
                <w:sz w:val="17"/>
              </w:rPr>
              <w:t>218.1</w:t>
            </w:r>
          </w:p>
        </w:tc>
        <w:tc>
          <w:tcPr>
            <w:tcW w:w="698" w:type="dxa"/>
            <w:tcBorders>
              <w:top w:val="single" w:color="D9D9D9" w:sz="8" w:space="0"/>
            </w:tcBorders>
          </w:tcPr>
          <w:p w:rsidR="00C31389" w:rsidRDefault="00561FBD" w14:paraId="49DFF368" w14:textId="77777777">
            <w:pPr>
              <w:pStyle w:val="TableParagraph"/>
              <w:spacing w:before="41"/>
              <w:ind w:left="102" w:right="109"/>
              <w:jc w:val="center"/>
              <w:rPr>
                <w:sz w:val="17"/>
              </w:rPr>
            </w:pPr>
            <w:r>
              <w:rPr>
                <w:spacing w:val="-2"/>
                <w:sz w:val="17"/>
              </w:rPr>
              <w:t>230.6</w:t>
            </w:r>
          </w:p>
        </w:tc>
        <w:tc>
          <w:tcPr>
            <w:tcW w:w="688" w:type="dxa"/>
            <w:tcBorders>
              <w:top w:val="single" w:color="D9D9D9" w:sz="8" w:space="0"/>
            </w:tcBorders>
          </w:tcPr>
          <w:p w:rsidR="00C31389" w:rsidRDefault="00561FBD" w14:paraId="2F89B340" w14:textId="77777777">
            <w:pPr>
              <w:pStyle w:val="TableParagraph"/>
              <w:spacing w:before="41"/>
              <w:ind w:left="61" w:right="91"/>
              <w:jc w:val="center"/>
              <w:rPr>
                <w:sz w:val="17"/>
              </w:rPr>
            </w:pPr>
            <w:r>
              <w:rPr>
                <w:spacing w:val="-2"/>
                <w:sz w:val="17"/>
              </w:rPr>
              <w:t>243.1</w:t>
            </w:r>
          </w:p>
        </w:tc>
        <w:tc>
          <w:tcPr>
            <w:tcW w:w="688" w:type="dxa"/>
            <w:tcBorders>
              <w:top w:val="single" w:color="D9D9D9" w:sz="8" w:space="0"/>
            </w:tcBorders>
          </w:tcPr>
          <w:p w:rsidR="00C31389" w:rsidRDefault="00561FBD" w14:paraId="50AE6941" w14:textId="77777777">
            <w:pPr>
              <w:pStyle w:val="TableParagraph"/>
              <w:spacing w:before="41"/>
              <w:ind w:right="151"/>
              <w:jc w:val="right"/>
              <w:rPr>
                <w:sz w:val="17"/>
              </w:rPr>
            </w:pPr>
            <w:r>
              <w:rPr>
                <w:spacing w:val="-2"/>
                <w:sz w:val="17"/>
              </w:rPr>
              <w:t>254.0</w:t>
            </w:r>
          </w:p>
        </w:tc>
        <w:tc>
          <w:tcPr>
            <w:tcW w:w="687" w:type="dxa"/>
            <w:tcBorders>
              <w:top w:val="single" w:color="D9D9D9" w:sz="8" w:space="0"/>
            </w:tcBorders>
          </w:tcPr>
          <w:p w:rsidR="00C31389" w:rsidRDefault="00561FBD" w14:paraId="4E08B5A2" w14:textId="77777777">
            <w:pPr>
              <w:pStyle w:val="TableParagraph"/>
              <w:spacing w:before="41"/>
              <w:ind w:left="101"/>
              <w:rPr>
                <w:sz w:val="17"/>
              </w:rPr>
            </w:pPr>
            <w:r>
              <w:rPr>
                <w:spacing w:val="-2"/>
                <w:sz w:val="17"/>
              </w:rPr>
              <w:t>264.8</w:t>
            </w:r>
          </w:p>
        </w:tc>
        <w:tc>
          <w:tcPr>
            <w:tcW w:w="689" w:type="dxa"/>
            <w:tcBorders>
              <w:top w:val="single" w:color="D9D9D9" w:sz="8" w:space="0"/>
            </w:tcBorders>
          </w:tcPr>
          <w:p w:rsidR="00C31389" w:rsidRDefault="00561FBD" w14:paraId="3F2CEB95" w14:textId="77777777">
            <w:pPr>
              <w:pStyle w:val="TableParagraph"/>
              <w:spacing w:before="41"/>
              <w:ind w:right="165"/>
              <w:jc w:val="right"/>
              <w:rPr>
                <w:sz w:val="17"/>
              </w:rPr>
            </w:pPr>
            <w:r>
              <w:rPr>
                <w:spacing w:val="-2"/>
                <w:sz w:val="17"/>
              </w:rPr>
              <w:t>276.3</w:t>
            </w:r>
          </w:p>
        </w:tc>
        <w:tc>
          <w:tcPr>
            <w:tcW w:w="687" w:type="dxa"/>
            <w:tcBorders>
              <w:top w:val="single" w:color="D9D9D9" w:sz="8" w:space="0"/>
            </w:tcBorders>
          </w:tcPr>
          <w:p w:rsidR="00C31389" w:rsidRDefault="00561FBD" w14:paraId="395683E7" w14:textId="77777777">
            <w:pPr>
              <w:pStyle w:val="TableParagraph"/>
              <w:spacing w:before="41"/>
              <w:ind w:left="89"/>
              <w:rPr>
                <w:sz w:val="17"/>
              </w:rPr>
            </w:pPr>
            <w:r>
              <w:rPr>
                <w:spacing w:val="-2"/>
                <w:sz w:val="17"/>
              </w:rPr>
              <w:t>289.0</w:t>
            </w:r>
          </w:p>
        </w:tc>
        <w:tc>
          <w:tcPr>
            <w:tcW w:w="688" w:type="dxa"/>
            <w:tcBorders>
              <w:top w:val="single" w:color="D9D9D9" w:sz="8" w:space="0"/>
            </w:tcBorders>
          </w:tcPr>
          <w:p w:rsidR="00C31389" w:rsidRDefault="00561FBD" w14:paraId="470F076A" w14:textId="77777777">
            <w:pPr>
              <w:pStyle w:val="TableParagraph"/>
              <w:spacing w:before="41"/>
              <w:ind w:left="82"/>
              <w:rPr>
                <w:sz w:val="17"/>
              </w:rPr>
            </w:pPr>
            <w:r>
              <w:rPr>
                <w:spacing w:val="-2"/>
                <w:sz w:val="17"/>
              </w:rPr>
              <w:t>302.0</w:t>
            </w:r>
          </w:p>
        </w:tc>
        <w:tc>
          <w:tcPr>
            <w:tcW w:w="687" w:type="dxa"/>
            <w:tcBorders>
              <w:top w:val="single" w:color="D9D9D9" w:sz="8" w:space="0"/>
            </w:tcBorders>
          </w:tcPr>
          <w:p w:rsidR="00C31389" w:rsidRDefault="00561FBD" w14:paraId="269C46D3" w14:textId="77777777">
            <w:pPr>
              <w:pStyle w:val="TableParagraph"/>
              <w:spacing w:before="41"/>
              <w:ind w:left="77"/>
              <w:rPr>
                <w:sz w:val="17"/>
              </w:rPr>
            </w:pPr>
            <w:r>
              <w:rPr>
                <w:spacing w:val="-2"/>
                <w:sz w:val="17"/>
              </w:rPr>
              <w:t>315.5</w:t>
            </w:r>
          </w:p>
        </w:tc>
        <w:tc>
          <w:tcPr>
            <w:tcW w:w="688" w:type="dxa"/>
            <w:tcBorders>
              <w:top w:val="single" w:color="D9D9D9" w:sz="8" w:space="0"/>
            </w:tcBorders>
          </w:tcPr>
          <w:p w:rsidR="00C31389" w:rsidRDefault="00561FBD" w14:paraId="5455D3E9" w14:textId="77777777">
            <w:pPr>
              <w:pStyle w:val="TableParagraph"/>
              <w:spacing w:before="41"/>
              <w:ind w:left="70"/>
              <w:rPr>
                <w:sz w:val="17"/>
              </w:rPr>
            </w:pPr>
            <w:r>
              <w:rPr>
                <w:spacing w:val="-2"/>
                <w:sz w:val="17"/>
              </w:rPr>
              <w:t>333.5</w:t>
            </w:r>
          </w:p>
        </w:tc>
        <w:tc>
          <w:tcPr>
            <w:tcW w:w="680" w:type="dxa"/>
            <w:tcBorders>
              <w:top w:val="single" w:color="D9D9D9" w:sz="8" w:space="0"/>
            </w:tcBorders>
          </w:tcPr>
          <w:p w:rsidR="00C31389" w:rsidRDefault="00561FBD" w14:paraId="7BAF6184" w14:textId="77777777">
            <w:pPr>
              <w:pStyle w:val="TableParagraph"/>
              <w:spacing w:before="41"/>
              <w:ind w:left="64"/>
              <w:rPr>
                <w:sz w:val="17"/>
              </w:rPr>
            </w:pPr>
            <w:r>
              <w:rPr>
                <w:spacing w:val="-2"/>
                <w:sz w:val="17"/>
              </w:rPr>
              <w:t>337.7</w:t>
            </w:r>
          </w:p>
        </w:tc>
        <w:tc>
          <w:tcPr>
            <w:tcW w:w="669" w:type="dxa"/>
            <w:tcBorders>
              <w:top w:val="single" w:color="D9D9D9" w:sz="8" w:space="0"/>
            </w:tcBorders>
          </w:tcPr>
          <w:p w:rsidR="00C31389" w:rsidRDefault="00561FBD" w14:paraId="123CF6EC" w14:textId="77777777">
            <w:pPr>
              <w:pStyle w:val="TableParagraph"/>
              <w:spacing w:before="41"/>
              <w:ind w:right="190"/>
              <w:jc w:val="right"/>
              <w:rPr>
                <w:sz w:val="17"/>
              </w:rPr>
            </w:pPr>
            <w:r>
              <w:rPr>
                <w:spacing w:val="-2"/>
                <w:sz w:val="17"/>
              </w:rPr>
              <w:t>355.3</w:t>
            </w:r>
          </w:p>
        </w:tc>
      </w:tr>
      <w:tr w:rsidR="00C31389" w14:paraId="22251486" w14:textId="77777777">
        <w:trPr>
          <w:trHeight w:val="285"/>
        </w:trPr>
        <w:tc>
          <w:tcPr>
            <w:tcW w:w="9369" w:type="dxa"/>
            <w:gridSpan w:val="13"/>
            <w:shd w:val="clear" w:color="auto" w:fill="BEBEBE"/>
          </w:tcPr>
          <w:p w:rsidR="00C31389" w:rsidRDefault="00561FBD" w14:paraId="790078BE" w14:textId="77777777">
            <w:pPr>
              <w:pStyle w:val="TableParagraph"/>
              <w:spacing w:before="25"/>
              <w:ind w:left="212"/>
              <w:rPr>
                <w:b/>
                <w:sz w:val="17"/>
              </w:rPr>
            </w:pPr>
            <w:r>
              <w:rPr>
                <w:noProof/>
              </w:rPr>
              <mc:AlternateContent>
                <mc:Choice Requires="wpg">
                  <w:drawing>
                    <wp:anchor distT="0" distB="0" distL="0" distR="0" simplePos="0" relativeHeight="465583104" behindDoc="1" locked="0" layoutInCell="1" allowOverlap="1" wp14:editId="28C99DCF" wp14:anchorId="0EE60139">
                      <wp:simplePos x="0" y="0"/>
                      <wp:positionH relativeFrom="column">
                        <wp:posOffset>66293</wp:posOffset>
                      </wp:positionH>
                      <wp:positionV relativeFrom="paragraph">
                        <wp:posOffset>-16219</wp:posOffset>
                      </wp:positionV>
                      <wp:extent cx="5829300" cy="181610"/>
                      <wp:effectExtent l="0" t="0" r="0" b="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181610"/>
                                <a:chOff x="0" y="0"/>
                                <a:chExt cx="5829300" cy="181610"/>
                              </a:xfrm>
                            </wpg:grpSpPr>
                            <wps:wsp>
                              <wps:cNvPr id="1036" name="Graphic 1036"/>
                              <wps:cNvSpPr/>
                              <wps:spPr>
                                <a:xfrm>
                                  <a:off x="0" y="6095"/>
                                  <a:ext cx="5829300" cy="175260"/>
                                </a:xfrm>
                                <a:custGeom>
                                  <a:avLst/>
                                  <a:gdLst/>
                                  <a:ahLst/>
                                  <a:cxnLst/>
                                  <a:rect l="l" t="t" r="r" b="b"/>
                                  <a:pathLst>
                                    <a:path w="5829300" h="175260">
                                      <a:moveTo>
                                        <a:pt x="5829300" y="0"/>
                                      </a:moveTo>
                                      <a:lnTo>
                                        <a:pt x="2908554" y="0"/>
                                      </a:lnTo>
                                      <a:lnTo>
                                        <a:pt x="0" y="0"/>
                                      </a:lnTo>
                                      <a:lnTo>
                                        <a:pt x="0" y="175260"/>
                                      </a:lnTo>
                                      <a:lnTo>
                                        <a:pt x="2908554" y="175260"/>
                                      </a:lnTo>
                                      <a:lnTo>
                                        <a:pt x="5829300" y="175260"/>
                                      </a:lnTo>
                                      <a:lnTo>
                                        <a:pt x="5829300" y="0"/>
                                      </a:lnTo>
                                      <a:close/>
                                    </a:path>
                                  </a:pathLst>
                                </a:custGeom>
                                <a:solidFill>
                                  <a:srgbClr val="BEBEBE"/>
                                </a:solidFill>
                              </wps:spPr>
                              <wps:bodyPr wrap="square" lIns="0" tIns="0" rIns="0" bIns="0" rtlCol="0">
                                <a:prstTxWarp prst="textNoShape">
                                  <a:avLst/>
                                </a:prstTxWarp>
                                <a:noAutofit/>
                              </wps:bodyPr>
                            </wps:wsp>
                            <wps:wsp>
                              <wps:cNvPr id="1037" name="Graphic 1037"/>
                              <wps:cNvSpPr/>
                              <wps:spPr>
                                <a:xfrm>
                                  <a:off x="0" y="0"/>
                                  <a:ext cx="5412740" cy="6350"/>
                                </a:xfrm>
                                <a:custGeom>
                                  <a:avLst/>
                                  <a:gdLst/>
                                  <a:ahLst/>
                                  <a:cxnLst/>
                                  <a:rect l="l" t="t" r="r" b="b"/>
                                  <a:pathLst>
                                    <a:path w="5412740" h="6350">
                                      <a:moveTo>
                                        <a:pt x="1517891" y="0"/>
                                      </a:moveTo>
                                      <a:lnTo>
                                        <a:pt x="1517891" y="0"/>
                                      </a:lnTo>
                                      <a:lnTo>
                                        <a:pt x="0" y="0"/>
                                      </a:lnTo>
                                      <a:lnTo>
                                        <a:pt x="0" y="6096"/>
                                      </a:lnTo>
                                      <a:lnTo>
                                        <a:pt x="1517891" y="6096"/>
                                      </a:lnTo>
                                      <a:lnTo>
                                        <a:pt x="1517891" y="0"/>
                                      </a:lnTo>
                                      <a:close/>
                                    </a:path>
                                    <a:path w="5412740" h="6350">
                                      <a:moveTo>
                                        <a:pt x="3249180" y="0"/>
                                      </a:moveTo>
                                      <a:lnTo>
                                        <a:pt x="3249180" y="0"/>
                                      </a:lnTo>
                                      <a:lnTo>
                                        <a:pt x="1517904" y="0"/>
                                      </a:lnTo>
                                      <a:lnTo>
                                        <a:pt x="1517904" y="6096"/>
                                      </a:lnTo>
                                      <a:lnTo>
                                        <a:pt x="3249180" y="6096"/>
                                      </a:lnTo>
                                      <a:lnTo>
                                        <a:pt x="3249180" y="0"/>
                                      </a:lnTo>
                                      <a:close/>
                                    </a:path>
                                    <a:path w="5412740" h="6350">
                                      <a:moveTo>
                                        <a:pt x="3681234" y="0"/>
                                      </a:moveTo>
                                      <a:lnTo>
                                        <a:pt x="3675126" y="0"/>
                                      </a:lnTo>
                                      <a:lnTo>
                                        <a:pt x="3675126" y="6096"/>
                                      </a:lnTo>
                                      <a:lnTo>
                                        <a:pt x="3681234" y="6096"/>
                                      </a:lnTo>
                                      <a:lnTo>
                                        <a:pt x="3681234" y="0"/>
                                      </a:lnTo>
                                      <a:close/>
                                    </a:path>
                                    <a:path w="5412740" h="6350">
                                      <a:moveTo>
                                        <a:pt x="4114800" y="0"/>
                                      </a:moveTo>
                                      <a:lnTo>
                                        <a:pt x="4108704" y="0"/>
                                      </a:lnTo>
                                      <a:lnTo>
                                        <a:pt x="4108704" y="6096"/>
                                      </a:lnTo>
                                      <a:lnTo>
                                        <a:pt x="4114800" y="6096"/>
                                      </a:lnTo>
                                      <a:lnTo>
                                        <a:pt x="4114800" y="0"/>
                                      </a:lnTo>
                                      <a:close/>
                                    </a:path>
                                    <a:path w="5412740" h="6350">
                                      <a:moveTo>
                                        <a:pt x="4546854" y="0"/>
                                      </a:moveTo>
                                      <a:lnTo>
                                        <a:pt x="4540758" y="0"/>
                                      </a:lnTo>
                                      <a:lnTo>
                                        <a:pt x="4540758" y="6096"/>
                                      </a:lnTo>
                                      <a:lnTo>
                                        <a:pt x="4546854" y="6096"/>
                                      </a:lnTo>
                                      <a:lnTo>
                                        <a:pt x="4546854" y="0"/>
                                      </a:lnTo>
                                      <a:close/>
                                    </a:path>
                                    <a:path w="5412740" h="6350">
                                      <a:moveTo>
                                        <a:pt x="4980432" y="0"/>
                                      </a:moveTo>
                                      <a:lnTo>
                                        <a:pt x="4974336" y="0"/>
                                      </a:lnTo>
                                      <a:lnTo>
                                        <a:pt x="4974336" y="6096"/>
                                      </a:lnTo>
                                      <a:lnTo>
                                        <a:pt x="4980432" y="6096"/>
                                      </a:lnTo>
                                      <a:lnTo>
                                        <a:pt x="4980432" y="0"/>
                                      </a:lnTo>
                                      <a:close/>
                                    </a:path>
                                    <a:path w="5412740" h="6350">
                                      <a:moveTo>
                                        <a:pt x="5412486" y="0"/>
                                      </a:moveTo>
                                      <a:lnTo>
                                        <a:pt x="5406390" y="0"/>
                                      </a:lnTo>
                                      <a:lnTo>
                                        <a:pt x="5406390" y="6096"/>
                                      </a:lnTo>
                                      <a:lnTo>
                                        <a:pt x="5412486" y="6096"/>
                                      </a:lnTo>
                                      <a:lnTo>
                                        <a:pt x="5412486"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35" style="position:absolute;margin-left:5.2pt;margin-top:-1.3pt;width:459pt;height:14.3pt;z-index:-37733376;mso-wrap-distance-left:0;mso-wrap-distance-right:0" coordsize="58293,1816" o:spid="_x0000_s1026" w14:anchorId="15158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">
                      <v:shape id="Graphic 1036" style="position:absolute;top:60;width:58293;height:1753;visibility:visible;mso-wrap-style:square;v-text-anchor:top" coordsize="5829300,175260" o:spid="_x0000_s1027" fillcolor="#bebebe" stroked="f" path="m5829300,l2908554,,,,,175260r2908554,l5829300,175260,5829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">
                        <v:path arrowok="t"/>
                      </v:shape>
                      <v:shape id="Graphic 1037" style="position:absolute;width:54127;height:63;visibility:visible;mso-wrap-style:square;v-text-anchor:top" coordsize="5412740,6350" o:spid="_x0000_s1028" fillcolor="#dcddde" stroked="f" path="m1517891,r,l,,,6096r1517891,l1517891,xem3249180,r,l1517904,r,6096l3249180,6096r,-6096xem3681234,r-6108,l3675126,6096r6108,l3681234,xem4114800,r-6096,l4108704,6096r6096,l4114800,xem4546854,r-6096,l4540758,6096r6096,l4546854,xem4980432,r-6096,l4974336,6096r6096,l4980432,xem5412486,r-6096,l5406390,6096r6096,l5412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15898112" behindDoc="0" locked="0" layoutInCell="1" allowOverlap="1" wp14:editId="7A6291F2" wp14:anchorId="59B7C738">
                      <wp:simplePos x="0" y="0"/>
                      <wp:positionH relativeFrom="column">
                        <wp:posOffset>66293</wp:posOffset>
                      </wp:positionH>
                      <wp:positionV relativeFrom="paragraph">
                        <wp:posOffset>165136</wp:posOffset>
                      </wp:positionV>
                      <wp:extent cx="5829300" cy="6350"/>
                      <wp:effectExtent l="0" t="0" r="0" b="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350"/>
                                <a:chOff x="0" y="0"/>
                                <a:chExt cx="5829300" cy="6350"/>
                              </a:xfrm>
                            </wpg:grpSpPr>
                            <wps:wsp>
                              <wps:cNvPr id="1039" name="Graphic 1039"/>
                              <wps:cNvSpPr/>
                              <wps:spPr>
                                <a:xfrm>
                                  <a:off x="0" y="12"/>
                                  <a:ext cx="5829300" cy="6350"/>
                                </a:xfrm>
                                <a:custGeom>
                                  <a:avLst/>
                                  <a:gdLst/>
                                  <a:ahLst/>
                                  <a:cxnLst/>
                                  <a:rect l="l" t="t" r="r" b="b"/>
                                  <a:pathLst>
                                    <a:path w="5829300" h="6350">
                                      <a:moveTo>
                                        <a:pt x="1517891" y="0"/>
                                      </a:moveTo>
                                      <a:lnTo>
                                        <a:pt x="1517891" y="0"/>
                                      </a:lnTo>
                                      <a:lnTo>
                                        <a:pt x="0" y="0"/>
                                      </a:lnTo>
                                      <a:lnTo>
                                        <a:pt x="0" y="6083"/>
                                      </a:lnTo>
                                      <a:lnTo>
                                        <a:pt x="1517891" y="6083"/>
                                      </a:lnTo>
                                      <a:lnTo>
                                        <a:pt x="1517891" y="0"/>
                                      </a:lnTo>
                                      <a:close/>
                                    </a:path>
                                    <a:path w="5829300" h="6350">
                                      <a:moveTo>
                                        <a:pt x="3675100" y="0"/>
                                      </a:moveTo>
                                      <a:lnTo>
                                        <a:pt x="3675100" y="0"/>
                                      </a:lnTo>
                                      <a:lnTo>
                                        <a:pt x="1517904" y="0"/>
                                      </a:lnTo>
                                      <a:lnTo>
                                        <a:pt x="1517904" y="6083"/>
                                      </a:lnTo>
                                      <a:lnTo>
                                        <a:pt x="3675100" y="6083"/>
                                      </a:lnTo>
                                      <a:lnTo>
                                        <a:pt x="3675100" y="0"/>
                                      </a:lnTo>
                                      <a:close/>
                                    </a:path>
                                    <a:path w="5829300" h="6350">
                                      <a:moveTo>
                                        <a:pt x="4974323" y="0"/>
                                      </a:moveTo>
                                      <a:lnTo>
                                        <a:pt x="4974323" y="0"/>
                                      </a:lnTo>
                                      <a:lnTo>
                                        <a:pt x="3675126" y="0"/>
                                      </a:lnTo>
                                      <a:lnTo>
                                        <a:pt x="3675126" y="6083"/>
                                      </a:lnTo>
                                      <a:lnTo>
                                        <a:pt x="4974323" y="6083"/>
                                      </a:lnTo>
                                      <a:lnTo>
                                        <a:pt x="4974323" y="0"/>
                                      </a:lnTo>
                                      <a:close/>
                                    </a:path>
                                    <a:path w="5829300" h="6350">
                                      <a:moveTo>
                                        <a:pt x="5829300" y="0"/>
                                      </a:moveTo>
                                      <a:lnTo>
                                        <a:pt x="5412486" y="0"/>
                                      </a:lnTo>
                                      <a:lnTo>
                                        <a:pt x="5406390" y="0"/>
                                      </a:lnTo>
                                      <a:lnTo>
                                        <a:pt x="4980432" y="0"/>
                                      </a:lnTo>
                                      <a:lnTo>
                                        <a:pt x="4974336" y="0"/>
                                      </a:lnTo>
                                      <a:lnTo>
                                        <a:pt x="4974336" y="6083"/>
                                      </a:lnTo>
                                      <a:lnTo>
                                        <a:pt x="4980432" y="6083"/>
                                      </a:lnTo>
                                      <a:lnTo>
                                        <a:pt x="5406390" y="6083"/>
                                      </a:lnTo>
                                      <a:lnTo>
                                        <a:pt x="5412486" y="6083"/>
                                      </a:lnTo>
                                      <a:lnTo>
                                        <a:pt x="5829300" y="6083"/>
                                      </a:lnTo>
                                      <a:lnTo>
                                        <a:pt x="5829300"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38" style="position:absolute;margin-left:5.2pt;margin-top:13pt;width:459pt;height:.5pt;z-index:15898112;mso-wrap-distance-left:0;mso-wrap-distance-right:0" coordsize="58293,63" o:spid="_x0000_s1026" w14:anchorId="5303C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">
                      <v:shape id="Graphic 1039" style="position:absolute;width:58293;height:63;visibility:visible;mso-wrap-style:square;v-text-anchor:top" coordsize="5829300,6350" o:spid="_x0000_s1027" fillcolor="#dcddde" stroked="f" path="m1517891,r,l,,,6083r1517891,l1517891,xem3675100,r,l1517904,r,6083l3675100,6083r,-6083xem4974323,r,l3675126,r,6083l4974323,6083r,-6083xem5829300,l5412486,r-6096,l4980432,r-6096,l4974336,6083r6096,l5406390,6083r6096,l5829300,6083r,-60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">
                        <v:path arrowok="t"/>
                      </v:shape>
                    </v:group>
                  </w:pict>
                </mc:Fallback>
              </mc:AlternateContent>
            </w: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753E6A37" w14:textId="77777777">
        <w:trPr>
          <w:trHeight w:val="285"/>
        </w:trPr>
        <w:tc>
          <w:tcPr>
            <w:tcW w:w="1122" w:type="dxa"/>
          </w:tcPr>
          <w:p w:rsidR="00C31389" w:rsidRDefault="00561FBD" w14:paraId="03912A21" w14:textId="77777777">
            <w:pPr>
              <w:pStyle w:val="TableParagraph"/>
              <w:spacing w:before="45"/>
              <w:ind w:left="212"/>
              <w:rPr>
                <w:sz w:val="17"/>
              </w:rPr>
            </w:pPr>
            <w:r>
              <w:rPr>
                <w:spacing w:val="-5"/>
                <w:sz w:val="17"/>
              </w:rPr>
              <w:t>EE</w:t>
            </w:r>
          </w:p>
        </w:tc>
        <w:tc>
          <w:tcPr>
            <w:tcW w:w="698" w:type="dxa"/>
          </w:tcPr>
          <w:p w:rsidR="00C31389" w:rsidRDefault="00561FBD" w14:paraId="7309F878" w14:textId="77777777">
            <w:pPr>
              <w:pStyle w:val="TableParagraph"/>
              <w:spacing w:before="45"/>
              <w:ind w:left="117"/>
              <w:jc w:val="center"/>
              <w:rPr>
                <w:sz w:val="17"/>
              </w:rPr>
            </w:pPr>
            <w:r>
              <w:rPr>
                <w:spacing w:val="-4"/>
                <w:sz w:val="17"/>
              </w:rPr>
              <w:t>61.4</w:t>
            </w:r>
          </w:p>
        </w:tc>
        <w:tc>
          <w:tcPr>
            <w:tcW w:w="698" w:type="dxa"/>
          </w:tcPr>
          <w:p w:rsidR="00C31389" w:rsidRDefault="00561FBD" w14:paraId="608E148B" w14:textId="77777777">
            <w:pPr>
              <w:pStyle w:val="TableParagraph"/>
              <w:spacing w:before="45"/>
              <w:ind w:left="117" w:right="32"/>
              <w:jc w:val="center"/>
              <w:rPr>
                <w:sz w:val="17"/>
              </w:rPr>
            </w:pPr>
            <w:r>
              <w:rPr>
                <w:spacing w:val="-4"/>
                <w:sz w:val="17"/>
              </w:rPr>
              <w:t>61.7</w:t>
            </w:r>
          </w:p>
        </w:tc>
        <w:tc>
          <w:tcPr>
            <w:tcW w:w="688" w:type="dxa"/>
          </w:tcPr>
          <w:p w:rsidR="00C31389" w:rsidRDefault="00561FBD" w14:paraId="45B70990" w14:textId="77777777">
            <w:pPr>
              <w:pStyle w:val="TableParagraph"/>
              <w:spacing w:before="45"/>
              <w:ind w:left="131" w:right="69"/>
              <w:jc w:val="center"/>
              <w:rPr>
                <w:sz w:val="17"/>
              </w:rPr>
            </w:pPr>
            <w:r>
              <w:rPr>
                <w:spacing w:val="-4"/>
                <w:sz w:val="17"/>
              </w:rPr>
              <w:t>62.3</w:t>
            </w:r>
          </w:p>
        </w:tc>
        <w:tc>
          <w:tcPr>
            <w:tcW w:w="688" w:type="dxa"/>
          </w:tcPr>
          <w:p w:rsidR="00C31389" w:rsidRDefault="00561FBD" w14:paraId="19F6B6D3" w14:textId="77777777">
            <w:pPr>
              <w:pStyle w:val="TableParagraph"/>
              <w:spacing w:before="45"/>
              <w:ind w:right="151"/>
              <w:jc w:val="right"/>
              <w:rPr>
                <w:sz w:val="17"/>
              </w:rPr>
            </w:pPr>
            <w:r>
              <w:rPr>
                <w:spacing w:val="-4"/>
                <w:sz w:val="17"/>
              </w:rPr>
              <w:t>61.5</w:t>
            </w:r>
          </w:p>
        </w:tc>
        <w:tc>
          <w:tcPr>
            <w:tcW w:w="687" w:type="dxa"/>
          </w:tcPr>
          <w:p w:rsidR="00C31389" w:rsidRDefault="00561FBD" w14:paraId="28D08A81" w14:textId="77777777">
            <w:pPr>
              <w:pStyle w:val="TableParagraph"/>
              <w:spacing w:before="45"/>
              <w:ind w:left="196"/>
              <w:rPr>
                <w:sz w:val="17"/>
              </w:rPr>
            </w:pPr>
            <w:r>
              <w:rPr>
                <w:spacing w:val="-4"/>
                <w:sz w:val="17"/>
              </w:rPr>
              <w:t>61.3</w:t>
            </w:r>
          </w:p>
        </w:tc>
        <w:tc>
          <w:tcPr>
            <w:tcW w:w="689" w:type="dxa"/>
          </w:tcPr>
          <w:p w:rsidR="00C31389" w:rsidRDefault="00561FBD" w14:paraId="635E4623" w14:textId="77777777">
            <w:pPr>
              <w:pStyle w:val="TableParagraph"/>
              <w:spacing w:before="45"/>
              <w:ind w:right="165"/>
              <w:jc w:val="right"/>
              <w:rPr>
                <w:sz w:val="17"/>
              </w:rPr>
            </w:pPr>
            <w:r>
              <w:rPr>
                <w:spacing w:val="-4"/>
                <w:sz w:val="17"/>
              </w:rPr>
              <w:t>59.0</w:t>
            </w:r>
          </w:p>
        </w:tc>
        <w:tc>
          <w:tcPr>
            <w:tcW w:w="687" w:type="dxa"/>
          </w:tcPr>
          <w:p w:rsidR="00C31389" w:rsidRDefault="00561FBD" w14:paraId="32B58D4C" w14:textId="77777777">
            <w:pPr>
              <w:pStyle w:val="TableParagraph"/>
              <w:spacing w:before="45"/>
              <w:ind w:left="183"/>
              <w:rPr>
                <w:sz w:val="17"/>
              </w:rPr>
            </w:pPr>
            <w:r>
              <w:rPr>
                <w:spacing w:val="-4"/>
                <w:sz w:val="17"/>
              </w:rPr>
              <w:t>60.5</w:t>
            </w:r>
          </w:p>
        </w:tc>
        <w:tc>
          <w:tcPr>
            <w:tcW w:w="688" w:type="dxa"/>
          </w:tcPr>
          <w:p w:rsidR="00C31389" w:rsidRDefault="00561FBD" w14:paraId="79FA7B9E" w14:textId="77777777">
            <w:pPr>
              <w:pStyle w:val="TableParagraph"/>
              <w:spacing w:before="45"/>
              <w:ind w:left="177"/>
              <w:rPr>
                <w:sz w:val="17"/>
              </w:rPr>
            </w:pPr>
            <w:r>
              <w:rPr>
                <w:spacing w:val="-4"/>
                <w:sz w:val="17"/>
              </w:rPr>
              <w:t>59.2</w:t>
            </w:r>
          </w:p>
        </w:tc>
        <w:tc>
          <w:tcPr>
            <w:tcW w:w="687" w:type="dxa"/>
          </w:tcPr>
          <w:p w:rsidR="00C31389" w:rsidRDefault="00561FBD" w14:paraId="19654287" w14:textId="77777777">
            <w:pPr>
              <w:pStyle w:val="TableParagraph"/>
              <w:spacing w:before="45"/>
              <w:ind w:left="172"/>
              <w:rPr>
                <w:sz w:val="17"/>
              </w:rPr>
            </w:pPr>
            <w:r>
              <w:rPr>
                <w:spacing w:val="-4"/>
                <w:sz w:val="17"/>
              </w:rPr>
              <w:t>57.4</w:t>
            </w:r>
          </w:p>
        </w:tc>
        <w:tc>
          <w:tcPr>
            <w:tcW w:w="688" w:type="dxa"/>
          </w:tcPr>
          <w:p w:rsidR="00C31389" w:rsidRDefault="00561FBD" w14:paraId="5CB5FEB2" w14:textId="77777777">
            <w:pPr>
              <w:pStyle w:val="TableParagraph"/>
              <w:spacing w:before="45"/>
              <w:ind w:left="165"/>
              <w:rPr>
                <w:sz w:val="17"/>
              </w:rPr>
            </w:pPr>
            <w:r>
              <w:rPr>
                <w:spacing w:val="-4"/>
                <w:sz w:val="17"/>
              </w:rPr>
              <w:t>53.7</w:t>
            </w:r>
          </w:p>
        </w:tc>
        <w:tc>
          <w:tcPr>
            <w:tcW w:w="680" w:type="dxa"/>
          </w:tcPr>
          <w:p w:rsidR="00C31389" w:rsidRDefault="00561FBD" w14:paraId="4CF8E1B5" w14:textId="77777777">
            <w:pPr>
              <w:pStyle w:val="TableParagraph"/>
              <w:spacing w:before="45"/>
              <w:ind w:left="159"/>
              <w:rPr>
                <w:sz w:val="17"/>
              </w:rPr>
            </w:pPr>
            <w:r>
              <w:rPr>
                <w:spacing w:val="-4"/>
                <w:sz w:val="17"/>
              </w:rPr>
              <w:t>53.1</w:t>
            </w:r>
          </w:p>
        </w:tc>
        <w:tc>
          <w:tcPr>
            <w:tcW w:w="669" w:type="dxa"/>
          </w:tcPr>
          <w:p w:rsidR="00C31389" w:rsidRDefault="00561FBD" w14:paraId="02F7BDF1" w14:textId="77777777">
            <w:pPr>
              <w:pStyle w:val="TableParagraph"/>
              <w:spacing w:before="45"/>
              <w:ind w:right="190"/>
              <w:jc w:val="right"/>
              <w:rPr>
                <w:sz w:val="17"/>
              </w:rPr>
            </w:pPr>
            <w:r>
              <w:rPr>
                <w:spacing w:val="-4"/>
                <w:sz w:val="17"/>
              </w:rPr>
              <w:t>53.2</w:t>
            </w:r>
          </w:p>
        </w:tc>
      </w:tr>
      <w:tr w:rsidR="00C31389" w14:paraId="5B281F48" w14:textId="77777777">
        <w:trPr>
          <w:trHeight w:val="279"/>
        </w:trPr>
        <w:tc>
          <w:tcPr>
            <w:tcW w:w="1122" w:type="dxa"/>
            <w:tcBorders>
              <w:bottom w:val="single" w:color="DCDDDE" w:sz="4" w:space="0"/>
            </w:tcBorders>
          </w:tcPr>
          <w:p w:rsidR="00C31389" w:rsidRDefault="00561FBD" w14:paraId="4E295771" w14:textId="77777777">
            <w:pPr>
              <w:pStyle w:val="TableParagraph"/>
              <w:spacing w:before="25"/>
              <w:ind w:left="212"/>
              <w:rPr>
                <w:sz w:val="17"/>
              </w:rPr>
            </w:pPr>
            <w:r>
              <w:rPr>
                <w:spacing w:val="-5"/>
                <w:sz w:val="17"/>
              </w:rPr>
              <w:t>FS</w:t>
            </w:r>
          </w:p>
        </w:tc>
        <w:tc>
          <w:tcPr>
            <w:tcW w:w="698" w:type="dxa"/>
            <w:tcBorders>
              <w:bottom w:val="single" w:color="D9D9D9" w:sz="8" w:space="0"/>
            </w:tcBorders>
          </w:tcPr>
          <w:p w:rsidR="00C31389" w:rsidRDefault="00561FBD" w14:paraId="230C7354" w14:textId="77777777">
            <w:pPr>
              <w:pStyle w:val="TableParagraph"/>
              <w:spacing w:before="45"/>
              <w:ind w:left="117"/>
              <w:jc w:val="center"/>
              <w:rPr>
                <w:sz w:val="17"/>
              </w:rPr>
            </w:pPr>
            <w:r>
              <w:rPr>
                <w:spacing w:val="-4"/>
                <w:sz w:val="17"/>
              </w:rPr>
              <w:t>60.7</w:t>
            </w:r>
          </w:p>
        </w:tc>
        <w:tc>
          <w:tcPr>
            <w:tcW w:w="698" w:type="dxa"/>
            <w:tcBorders>
              <w:bottom w:val="single" w:color="D9D9D9" w:sz="8" w:space="0"/>
            </w:tcBorders>
          </w:tcPr>
          <w:p w:rsidR="00C31389" w:rsidRDefault="00561FBD" w14:paraId="2FB118DC" w14:textId="77777777">
            <w:pPr>
              <w:pStyle w:val="TableParagraph"/>
              <w:spacing w:before="45"/>
              <w:ind w:left="117" w:right="32"/>
              <w:jc w:val="center"/>
              <w:rPr>
                <w:sz w:val="17"/>
              </w:rPr>
            </w:pPr>
            <w:r>
              <w:rPr>
                <w:spacing w:val="-4"/>
                <w:sz w:val="17"/>
              </w:rPr>
              <w:t>66.3</w:t>
            </w:r>
          </w:p>
        </w:tc>
        <w:tc>
          <w:tcPr>
            <w:tcW w:w="688" w:type="dxa"/>
            <w:tcBorders>
              <w:bottom w:val="single" w:color="D9D9D9" w:sz="8" w:space="0"/>
            </w:tcBorders>
          </w:tcPr>
          <w:p w:rsidR="00C31389" w:rsidRDefault="00561FBD" w14:paraId="3813845E" w14:textId="77777777">
            <w:pPr>
              <w:pStyle w:val="TableParagraph"/>
              <w:spacing w:before="45"/>
              <w:ind w:left="131" w:right="69"/>
              <w:jc w:val="center"/>
              <w:rPr>
                <w:sz w:val="17"/>
              </w:rPr>
            </w:pPr>
            <w:r>
              <w:rPr>
                <w:spacing w:val="-4"/>
                <w:sz w:val="17"/>
              </w:rPr>
              <w:t>69.9</w:t>
            </w:r>
          </w:p>
        </w:tc>
        <w:tc>
          <w:tcPr>
            <w:tcW w:w="688" w:type="dxa"/>
            <w:tcBorders>
              <w:bottom w:val="single" w:color="D9D9D9" w:sz="8" w:space="0"/>
            </w:tcBorders>
          </w:tcPr>
          <w:p w:rsidR="00C31389" w:rsidRDefault="00561FBD" w14:paraId="5FC9D8D2" w14:textId="77777777">
            <w:pPr>
              <w:pStyle w:val="TableParagraph"/>
              <w:spacing w:before="45"/>
              <w:ind w:right="151"/>
              <w:jc w:val="right"/>
              <w:rPr>
                <w:sz w:val="17"/>
              </w:rPr>
            </w:pPr>
            <w:r>
              <w:rPr>
                <w:spacing w:val="-4"/>
                <w:sz w:val="17"/>
              </w:rPr>
              <w:t>73.0</w:t>
            </w:r>
          </w:p>
        </w:tc>
        <w:tc>
          <w:tcPr>
            <w:tcW w:w="687" w:type="dxa"/>
            <w:tcBorders>
              <w:bottom w:val="single" w:color="D9D9D9" w:sz="8" w:space="0"/>
            </w:tcBorders>
          </w:tcPr>
          <w:p w:rsidR="00C31389" w:rsidRDefault="00561FBD" w14:paraId="5D8FE5DA" w14:textId="77777777">
            <w:pPr>
              <w:pStyle w:val="TableParagraph"/>
              <w:spacing w:before="45"/>
              <w:ind w:left="196"/>
              <w:rPr>
                <w:sz w:val="17"/>
              </w:rPr>
            </w:pPr>
            <w:r>
              <w:rPr>
                <w:spacing w:val="-4"/>
                <w:sz w:val="17"/>
              </w:rPr>
              <w:t>79.0</w:t>
            </w:r>
          </w:p>
        </w:tc>
        <w:tc>
          <w:tcPr>
            <w:tcW w:w="689" w:type="dxa"/>
            <w:tcBorders>
              <w:bottom w:val="single" w:color="D9D9D9" w:sz="8" w:space="0"/>
            </w:tcBorders>
          </w:tcPr>
          <w:p w:rsidR="00C31389" w:rsidRDefault="00561FBD" w14:paraId="7471B5CF" w14:textId="77777777">
            <w:pPr>
              <w:pStyle w:val="TableParagraph"/>
              <w:spacing w:before="45"/>
              <w:ind w:right="165"/>
              <w:jc w:val="right"/>
              <w:rPr>
                <w:sz w:val="17"/>
              </w:rPr>
            </w:pPr>
            <w:r>
              <w:rPr>
                <w:spacing w:val="-4"/>
                <w:sz w:val="17"/>
              </w:rPr>
              <w:t>80.9</w:t>
            </w:r>
          </w:p>
        </w:tc>
        <w:tc>
          <w:tcPr>
            <w:tcW w:w="687" w:type="dxa"/>
            <w:tcBorders>
              <w:bottom w:val="single" w:color="D9D9D9" w:sz="8" w:space="0"/>
            </w:tcBorders>
          </w:tcPr>
          <w:p w:rsidR="00C31389" w:rsidRDefault="00561FBD" w14:paraId="4958A954" w14:textId="77777777">
            <w:pPr>
              <w:pStyle w:val="TableParagraph"/>
              <w:spacing w:before="45"/>
              <w:ind w:left="278"/>
              <w:rPr>
                <w:sz w:val="17"/>
              </w:rPr>
            </w:pPr>
            <w:r>
              <w:rPr>
                <w:spacing w:val="-5"/>
                <w:sz w:val="17"/>
              </w:rPr>
              <w:t>7.8</w:t>
            </w:r>
          </w:p>
        </w:tc>
        <w:tc>
          <w:tcPr>
            <w:tcW w:w="688" w:type="dxa"/>
            <w:tcBorders>
              <w:bottom w:val="single" w:color="D9D9D9" w:sz="8" w:space="0"/>
            </w:tcBorders>
          </w:tcPr>
          <w:p w:rsidR="00C31389" w:rsidRDefault="00561FBD" w14:paraId="6964E157" w14:textId="77777777">
            <w:pPr>
              <w:pStyle w:val="TableParagraph"/>
              <w:spacing w:before="45"/>
              <w:ind w:left="272"/>
              <w:rPr>
                <w:sz w:val="17"/>
              </w:rPr>
            </w:pPr>
            <w:r>
              <w:rPr>
                <w:spacing w:val="-5"/>
                <w:sz w:val="17"/>
              </w:rPr>
              <w:t>8.4</w:t>
            </w:r>
          </w:p>
        </w:tc>
        <w:tc>
          <w:tcPr>
            <w:tcW w:w="687" w:type="dxa"/>
            <w:tcBorders>
              <w:bottom w:val="single" w:color="D9D9D9" w:sz="8" w:space="0"/>
            </w:tcBorders>
          </w:tcPr>
          <w:p w:rsidR="00C31389" w:rsidRDefault="00561FBD" w14:paraId="5E25C109" w14:textId="77777777">
            <w:pPr>
              <w:pStyle w:val="TableParagraph"/>
              <w:spacing w:before="45"/>
              <w:ind w:left="266"/>
              <w:rPr>
                <w:sz w:val="17"/>
              </w:rPr>
            </w:pPr>
            <w:r>
              <w:rPr>
                <w:spacing w:val="-5"/>
                <w:sz w:val="17"/>
              </w:rPr>
              <w:t>8.9</w:t>
            </w:r>
          </w:p>
        </w:tc>
        <w:tc>
          <w:tcPr>
            <w:tcW w:w="688" w:type="dxa"/>
            <w:tcBorders>
              <w:bottom w:val="single" w:color="D9D9D9" w:sz="8" w:space="0"/>
            </w:tcBorders>
          </w:tcPr>
          <w:p w:rsidR="00C31389" w:rsidRDefault="00561FBD" w14:paraId="696B6ED4" w14:textId="77777777">
            <w:pPr>
              <w:pStyle w:val="TableParagraph"/>
              <w:spacing w:before="45"/>
              <w:ind w:left="260"/>
              <w:rPr>
                <w:sz w:val="17"/>
              </w:rPr>
            </w:pPr>
            <w:r>
              <w:rPr>
                <w:spacing w:val="-5"/>
                <w:sz w:val="17"/>
              </w:rPr>
              <w:t>9.1</w:t>
            </w:r>
          </w:p>
        </w:tc>
        <w:tc>
          <w:tcPr>
            <w:tcW w:w="680" w:type="dxa"/>
            <w:tcBorders>
              <w:bottom w:val="single" w:color="D9D9D9" w:sz="8" w:space="0"/>
            </w:tcBorders>
          </w:tcPr>
          <w:p w:rsidR="00C31389" w:rsidRDefault="00561FBD" w14:paraId="59879ED2" w14:textId="77777777">
            <w:pPr>
              <w:pStyle w:val="TableParagraph"/>
              <w:spacing w:before="45"/>
              <w:ind w:left="253"/>
              <w:rPr>
                <w:sz w:val="17"/>
              </w:rPr>
            </w:pPr>
            <w:r>
              <w:rPr>
                <w:spacing w:val="-5"/>
                <w:sz w:val="17"/>
              </w:rPr>
              <w:t>9.6</w:t>
            </w:r>
          </w:p>
        </w:tc>
        <w:tc>
          <w:tcPr>
            <w:tcW w:w="669" w:type="dxa"/>
            <w:tcBorders>
              <w:bottom w:val="single" w:color="D9D9D9" w:sz="8" w:space="0"/>
            </w:tcBorders>
          </w:tcPr>
          <w:p w:rsidR="00C31389" w:rsidRDefault="00561FBD" w14:paraId="42E4B608" w14:textId="77777777">
            <w:pPr>
              <w:pStyle w:val="TableParagraph"/>
              <w:spacing w:before="45"/>
              <w:ind w:right="190"/>
              <w:jc w:val="right"/>
              <w:rPr>
                <w:sz w:val="17"/>
              </w:rPr>
            </w:pPr>
            <w:r>
              <w:rPr>
                <w:spacing w:val="-4"/>
                <w:sz w:val="17"/>
              </w:rPr>
              <w:t>10.0</w:t>
            </w:r>
          </w:p>
        </w:tc>
      </w:tr>
      <w:tr w:rsidR="00C31389" w14:paraId="0AAB152B" w14:textId="77777777">
        <w:trPr>
          <w:trHeight w:val="281"/>
        </w:trPr>
        <w:tc>
          <w:tcPr>
            <w:tcW w:w="1122" w:type="dxa"/>
            <w:tcBorders>
              <w:top w:val="single" w:color="DCDDDE" w:sz="4" w:space="0"/>
            </w:tcBorders>
          </w:tcPr>
          <w:p w:rsidR="00C31389" w:rsidRDefault="00561FBD" w14:paraId="2D44E6D9" w14:textId="77777777">
            <w:pPr>
              <w:pStyle w:val="TableParagraph"/>
              <w:spacing w:before="41"/>
              <w:ind w:left="212"/>
              <w:rPr>
                <w:sz w:val="17"/>
              </w:rPr>
            </w:pPr>
            <w:r>
              <w:rPr>
                <w:spacing w:val="-4"/>
                <w:sz w:val="17"/>
              </w:rPr>
              <w:t>BROs</w:t>
            </w:r>
          </w:p>
        </w:tc>
        <w:tc>
          <w:tcPr>
            <w:tcW w:w="698" w:type="dxa"/>
            <w:tcBorders>
              <w:top w:val="single" w:color="D9D9D9" w:sz="8" w:space="0"/>
            </w:tcBorders>
          </w:tcPr>
          <w:p w:rsidR="00C31389" w:rsidRDefault="00561FBD" w14:paraId="4758D691" w14:textId="77777777">
            <w:pPr>
              <w:pStyle w:val="TableParagraph"/>
              <w:spacing w:before="41"/>
              <w:ind w:left="117" w:right="94"/>
              <w:jc w:val="center"/>
              <w:rPr>
                <w:sz w:val="17"/>
              </w:rPr>
            </w:pPr>
            <w:r>
              <w:rPr>
                <w:spacing w:val="-2"/>
                <w:sz w:val="17"/>
              </w:rPr>
              <w:t>218.1</w:t>
            </w:r>
          </w:p>
        </w:tc>
        <w:tc>
          <w:tcPr>
            <w:tcW w:w="698" w:type="dxa"/>
            <w:tcBorders>
              <w:top w:val="single" w:color="D9D9D9" w:sz="8" w:space="0"/>
            </w:tcBorders>
          </w:tcPr>
          <w:p w:rsidR="00C31389" w:rsidRDefault="00561FBD" w14:paraId="362C5A4F" w14:textId="77777777">
            <w:pPr>
              <w:pStyle w:val="TableParagraph"/>
              <w:spacing w:before="41"/>
              <w:ind w:left="102" w:right="109"/>
              <w:jc w:val="center"/>
              <w:rPr>
                <w:sz w:val="17"/>
              </w:rPr>
            </w:pPr>
            <w:r>
              <w:rPr>
                <w:spacing w:val="-2"/>
                <w:sz w:val="17"/>
              </w:rPr>
              <w:t>230.6</w:t>
            </w:r>
          </w:p>
        </w:tc>
        <w:tc>
          <w:tcPr>
            <w:tcW w:w="688" w:type="dxa"/>
            <w:tcBorders>
              <w:top w:val="single" w:color="D9D9D9" w:sz="8" w:space="0"/>
            </w:tcBorders>
          </w:tcPr>
          <w:p w:rsidR="00C31389" w:rsidRDefault="00561FBD" w14:paraId="5E91562C" w14:textId="77777777">
            <w:pPr>
              <w:pStyle w:val="TableParagraph"/>
              <w:spacing w:before="41"/>
              <w:ind w:left="61" w:right="91"/>
              <w:jc w:val="center"/>
              <w:rPr>
                <w:sz w:val="17"/>
              </w:rPr>
            </w:pPr>
            <w:r>
              <w:rPr>
                <w:spacing w:val="-2"/>
                <w:sz w:val="17"/>
              </w:rPr>
              <w:t>243.1</w:t>
            </w:r>
          </w:p>
        </w:tc>
        <w:tc>
          <w:tcPr>
            <w:tcW w:w="688" w:type="dxa"/>
            <w:tcBorders>
              <w:top w:val="single" w:color="D9D9D9" w:sz="8" w:space="0"/>
            </w:tcBorders>
          </w:tcPr>
          <w:p w:rsidR="00C31389" w:rsidRDefault="00561FBD" w14:paraId="08A3CF26" w14:textId="77777777">
            <w:pPr>
              <w:pStyle w:val="TableParagraph"/>
              <w:spacing w:before="41"/>
              <w:ind w:right="151"/>
              <w:jc w:val="right"/>
              <w:rPr>
                <w:sz w:val="17"/>
              </w:rPr>
            </w:pPr>
            <w:r>
              <w:rPr>
                <w:spacing w:val="-2"/>
                <w:sz w:val="17"/>
              </w:rPr>
              <w:t>254.0</w:t>
            </w:r>
          </w:p>
        </w:tc>
        <w:tc>
          <w:tcPr>
            <w:tcW w:w="687" w:type="dxa"/>
            <w:tcBorders>
              <w:top w:val="single" w:color="D9D9D9" w:sz="8" w:space="0"/>
            </w:tcBorders>
          </w:tcPr>
          <w:p w:rsidR="00C31389" w:rsidRDefault="00561FBD" w14:paraId="0F4E8D45" w14:textId="77777777">
            <w:pPr>
              <w:pStyle w:val="TableParagraph"/>
              <w:spacing w:before="41"/>
              <w:ind w:left="101"/>
              <w:rPr>
                <w:sz w:val="17"/>
              </w:rPr>
            </w:pPr>
            <w:r>
              <w:rPr>
                <w:spacing w:val="-2"/>
                <w:sz w:val="17"/>
              </w:rPr>
              <w:t>264.8</w:t>
            </w:r>
          </w:p>
        </w:tc>
        <w:tc>
          <w:tcPr>
            <w:tcW w:w="689" w:type="dxa"/>
            <w:tcBorders>
              <w:top w:val="single" w:color="D9D9D9" w:sz="8" w:space="0"/>
            </w:tcBorders>
          </w:tcPr>
          <w:p w:rsidR="00C31389" w:rsidRDefault="00561FBD" w14:paraId="538E46D7" w14:textId="77777777">
            <w:pPr>
              <w:pStyle w:val="TableParagraph"/>
              <w:spacing w:before="41"/>
              <w:ind w:right="165"/>
              <w:jc w:val="right"/>
              <w:rPr>
                <w:sz w:val="17"/>
              </w:rPr>
            </w:pPr>
            <w:r>
              <w:rPr>
                <w:spacing w:val="-2"/>
                <w:sz w:val="17"/>
              </w:rPr>
              <w:t>276.3</w:t>
            </w:r>
          </w:p>
        </w:tc>
        <w:tc>
          <w:tcPr>
            <w:tcW w:w="687" w:type="dxa"/>
            <w:tcBorders>
              <w:top w:val="single" w:color="D9D9D9" w:sz="8" w:space="0"/>
            </w:tcBorders>
          </w:tcPr>
          <w:p w:rsidR="00C31389" w:rsidRDefault="00561FBD" w14:paraId="1440777B" w14:textId="77777777">
            <w:pPr>
              <w:pStyle w:val="TableParagraph"/>
              <w:spacing w:before="41"/>
              <w:ind w:left="89"/>
              <w:rPr>
                <w:sz w:val="17"/>
              </w:rPr>
            </w:pPr>
            <w:r>
              <w:rPr>
                <w:spacing w:val="-2"/>
                <w:sz w:val="17"/>
              </w:rPr>
              <w:t>289.0</w:t>
            </w:r>
          </w:p>
        </w:tc>
        <w:tc>
          <w:tcPr>
            <w:tcW w:w="688" w:type="dxa"/>
            <w:tcBorders>
              <w:top w:val="single" w:color="D9D9D9" w:sz="8" w:space="0"/>
            </w:tcBorders>
          </w:tcPr>
          <w:p w:rsidR="00C31389" w:rsidRDefault="00561FBD" w14:paraId="08346734" w14:textId="77777777">
            <w:pPr>
              <w:pStyle w:val="TableParagraph"/>
              <w:spacing w:before="41"/>
              <w:ind w:left="82"/>
              <w:rPr>
                <w:sz w:val="17"/>
              </w:rPr>
            </w:pPr>
            <w:r>
              <w:rPr>
                <w:spacing w:val="-2"/>
                <w:sz w:val="17"/>
              </w:rPr>
              <w:t>302.0</w:t>
            </w:r>
          </w:p>
        </w:tc>
        <w:tc>
          <w:tcPr>
            <w:tcW w:w="687" w:type="dxa"/>
            <w:tcBorders>
              <w:top w:val="single" w:color="D9D9D9" w:sz="8" w:space="0"/>
            </w:tcBorders>
          </w:tcPr>
          <w:p w:rsidR="00C31389" w:rsidRDefault="00561FBD" w14:paraId="5D67EE3C" w14:textId="77777777">
            <w:pPr>
              <w:pStyle w:val="TableParagraph"/>
              <w:spacing w:before="41"/>
              <w:ind w:left="77"/>
              <w:rPr>
                <w:sz w:val="17"/>
              </w:rPr>
            </w:pPr>
            <w:r>
              <w:rPr>
                <w:spacing w:val="-2"/>
                <w:sz w:val="17"/>
              </w:rPr>
              <w:t>315.5</w:t>
            </w:r>
          </w:p>
        </w:tc>
        <w:tc>
          <w:tcPr>
            <w:tcW w:w="688" w:type="dxa"/>
            <w:tcBorders>
              <w:top w:val="single" w:color="D9D9D9" w:sz="8" w:space="0"/>
            </w:tcBorders>
          </w:tcPr>
          <w:p w:rsidR="00C31389" w:rsidRDefault="00561FBD" w14:paraId="772B6469" w14:textId="77777777">
            <w:pPr>
              <w:pStyle w:val="TableParagraph"/>
              <w:spacing w:before="41"/>
              <w:ind w:left="70"/>
              <w:rPr>
                <w:sz w:val="17"/>
              </w:rPr>
            </w:pPr>
            <w:r>
              <w:rPr>
                <w:spacing w:val="-2"/>
                <w:sz w:val="17"/>
              </w:rPr>
              <w:t>333.5</w:t>
            </w:r>
          </w:p>
        </w:tc>
        <w:tc>
          <w:tcPr>
            <w:tcW w:w="680" w:type="dxa"/>
            <w:tcBorders>
              <w:top w:val="single" w:color="D9D9D9" w:sz="8" w:space="0"/>
            </w:tcBorders>
          </w:tcPr>
          <w:p w:rsidR="00C31389" w:rsidRDefault="00561FBD" w14:paraId="56B81092" w14:textId="77777777">
            <w:pPr>
              <w:pStyle w:val="TableParagraph"/>
              <w:spacing w:before="41"/>
              <w:ind w:left="64"/>
              <w:rPr>
                <w:sz w:val="17"/>
              </w:rPr>
            </w:pPr>
            <w:r>
              <w:rPr>
                <w:spacing w:val="-2"/>
                <w:sz w:val="17"/>
              </w:rPr>
              <w:t>337.7</w:t>
            </w:r>
          </w:p>
        </w:tc>
        <w:tc>
          <w:tcPr>
            <w:tcW w:w="669" w:type="dxa"/>
            <w:tcBorders>
              <w:top w:val="single" w:color="D9D9D9" w:sz="8" w:space="0"/>
            </w:tcBorders>
          </w:tcPr>
          <w:p w:rsidR="00C31389" w:rsidRDefault="00561FBD" w14:paraId="6E6097C3" w14:textId="77777777">
            <w:pPr>
              <w:pStyle w:val="TableParagraph"/>
              <w:spacing w:before="41"/>
              <w:ind w:right="190"/>
              <w:jc w:val="right"/>
              <w:rPr>
                <w:sz w:val="17"/>
              </w:rPr>
            </w:pPr>
            <w:r>
              <w:rPr>
                <w:spacing w:val="-2"/>
                <w:sz w:val="17"/>
              </w:rPr>
              <w:t>355.3</w:t>
            </w:r>
          </w:p>
        </w:tc>
      </w:tr>
      <w:tr w:rsidR="00C31389" w14:paraId="4A43BEA3" w14:textId="77777777">
        <w:trPr>
          <w:trHeight w:val="285"/>
        </w:trPr>
        <w:tc>
          <w:tcPr>
            <w:tcW w:w="9369" w:type="dxa"/>
            <w:gridSpan w:val="13"/>
            <w:shd w:val="clear" w:color="auto" w:fill="BEBEBE"/>
          </w:tcPr>
          <w:p w:rsidR="00C31389" w:rsidRDefault="00561FBD" w14:paraId="254E5C9D" w14:textId="77777777">
            <w:pPr>
              <w:pStyle w:val="TableParagraph"/>
              <w:spacing w:before="25"/>
              <w:ind w:left="212"/>
              <w:rPr>
                <w:b/>
                <w:sz w:val="17"/>
              </w:rPr>
            </w:pPr>
            <w:r>
              <w:rPr>
                <w:noProof/>
              </w:rPr>
              <mc:AlternateContent>
                <mc:Choice Requires="wpg">
                  <w:drawing>
                    <wp:anchor distT="0" distB="0" distL="0" distR="0" simplePos="0" relativeHeight="465583616" behindDoc="1" locked="0" layoutInCell="1" allowOverlap="1" wp14:editId="2F732726" wp14:anchorId="4E4E5DD9">
                      <wp:simplePos x="0" y="0"/>
                      <wp:positionH relativeFrom="column">
                        <wp:posOffset>66293</wp:posOffset>
                      </wp:positionH>
                      <wp:positionV relativeFrom="paragraph">
                        <wp:posOffset>-16219</wp:posOffset>
                      </wp:positionV>
                      <wp:extent cx="5829300" cy="181610"/>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181610"/>
                                <a:chOff x="0" y="0"/>
                                <a:chExt cx="5829300" cy="181610"/>
                              </a:xfrm>
                            </wpg:grpSpPr>
                            <wps:wsp>
                              <wps:cNvPr id="1045" name="Graphic 1045"/>
                              <wps:cNvSpPr/>
                              <wps:spPr>
                                <a:xfrm>
                                  <a:off x="0" y="6095"/>
                                  <a:ext cx="5829300" cy="175260"/>
                                </a:xfrm>
                                <a:custGeom>
                                  <a:avLst/>
                                  <a:gdLst/>
                                  <a:ahLst/>
                                  <a:cxnLst/>
                                  <a:rect l="l" t="t" r="r" b="b"/>
                                  <a:pathLst>
                                    <a:path w="5829300" h="175260">
                                      <a:moveTo>
                                        <a:pt x="5829300" y="0"/>
                                      </a:moveTo>
                                      <a:lnTo>
                                        <a:pt x="2908554" y="0"/>
                                      </a:lnTo>
                                      <a:lnTo>
                                        <a:pt x="0" y="0"/>
                                      </a:lnTo>
                                      <a:lnTo>
                                        <a:pt x="0" y="175260"/>
                                      </a:lnTo>
                                      <a:lnTo>
                                        <a:pt x="2908554" y="175260"/>
                                      </a:lnTo>
                                      <a:lnTo>
                                        <a:pt x="5829300" y="175260"/>
                                      </a:lnTo>
                                      <a:lnTo>
                                        <a:pt x="5829300" y="0"/>
                                      </a:lnTo>
                                      <a:close/>
                                    </a:path>
                                  </a:pathLst>
                                </a:custGeom>
                                <a:solidFill>
                                  <a:srgbClr val="BEBEBE"/>
                                </a:solidFill>
                              </wps:spPr>
                              <wps:bodyPr wrap="square" lIns="0" tIns="0" rIns="0" bIns="0" rtlCol="0">
                                <a:prstTxWarp prst="textNoShape">
                                  <a:avLst/>
                                </a:prstTxWarp>
                                <a:noAutofit/>
                              </wps:bodyPr>
                            </wps:wsp>
                            <wps:wsp>
                              <wps:cNvPr id="1046" name="Graphic 1046"/>
                              <wps:cNvSpPr/>
                              <wps:spPr>
                                <a:xfrm>
                                  <a:off x="0" y="0"/>
                                  <a:ext cx="5412740" cy="6350"/>
                                </a:xfrm>
                                <a:custGeom>
                                  <a:avLst/>
                                  <a:gdLst/>
                                  <a:ahLst/>
                                  <a:cxnLst/>
                                  <a:rect l="l" t="t" r="r" b="b"/>
                                  <a:pathLst>
                                    <a:path w="5412740" h="6350">
                                      <a:moveTo>
                                        <a:pt x="1517891" y="0"/>
                                      </a:moveTo>
                                      <a:lnTo>
                                        <a:pt x="1517891" y="0"/>
                                      </a:lnTo>
                                      <a:lnTo>
                                        <a:pt x="0" y="0"/>
                                      </a:lnTo>
                                      <a:lnTo>
                                        <a:pt x="0" y="6096"/>
                                      </a:lnTo>
                                      <a:lnTo>
                                        <a:pt x="1517891" y="6096"/>
                                      </a:lnTo>
                                      <a:lnTo>
                                        <a:pt x="1517891" y="0"/>
                                      </a:lnTo>
                                      <a:close/>
                                    </a:path>
                                    <a:path w="5412740" h="6350">
                                      <a:moveTo>
                                        <a:pt x="3249180" y="0"/>
                                      </a:moveTo>
                                      <a:lnTo>
                                        <a:pt x="3249180" y="0"/>
                                      </a:lnTo>
                                      <a:lnTo>
                                        <a:pt x="1517904" y="0"/>
                                      </a:lnTo>
                                      <a:lnTo>
                                        <a:pt x="1517904" y="6096"/>
                                      </a:lnTo>
                                      <a:lnTo>
                                        <a:pt x="3249180" y="6096"/>
                                      </a:lnTo>
                                      <a:lnTo>
                                        <a:pt x="3249180" y="0"/>
                                      </a:lnTo>
                                      <a:close/>
                                    </a:path>
                                    <a:path w="5412740" h="6350">
                                      <a:moveTo>
                                        <a:pt x="3681234" y="0"/>
                                      </a:moveTo>
                                      <a:lnTo>
                                        <a:pt x="3675126" y="0"/>
                                      </a:lnTo>
                                      <a:lnTo>
                                        <a:pt x="3675126" y="6096"/>
                                      </a:lnTo>
                                      <a:lnTo>
                                        <a:pt x="3681234" y="6096"/>
                                      </a:lnTo>
                                      <a:lnTo>
                                        <a:pt x="3681234" y="0"/>
                                      </a:lnTo>
                                      <a:close/>
                                    </a:path>
                                    <a:path w="5412740" h="6350">
                                      <a:moveTo>
                                        <a:pt x="4114800" y="0"/>
                                      </a:moveTo>
                                      <a:lnTo>
                                        <a:pt x="4108704" y="0"/>
                                      </a:lnTo>
                                      <a:lnTo>
                                        <a:pt x="4108704" y="6096"/>
                                      </a:lnTo>
                                      <a:lnTo>
                                        <a:pt x="4114800" y="6096"/>
                                      </a:lnTo>
                                      <a:lnTo>
                                        <a:pt x="4114800" y="0"/>
                                      </a:lnTo>
                                      <a:close/>
                                    </a:path>
                                    <a:path w="5412740" h="6350">
                                      <a:moveTo>
                                        <a:pt x="4546854" y="0"/>
                                      </a:moveTo>
                                      <a:lnTo>
                                        <a:pt x="4540758" y="0"/>
                                      </a:lnTo>
                                      <a:lnTo>
                                        <a:pt x="4540758" y="6096"/>
                                      </a:lnTo>
                                      <a:lnTo>
                                        <a:pt x="4546854" y="6096"/>
                                      </a:lnTo>
                                      <a:lnTo>
                                        <a:pt x="4546854" y="0"/>
                                      </a:lnTo>
                                      <a:close/>
                                    </a:path>
                                    <a:path w="5412740" h="6350">
                                      <a:moveTo>
                                        <a:pt x="4980432" y="0"/>
                                      </a:moveTo>
                                      <a:lnTo>
                                        <a:pt x="4974336" y="0"/>
                                      </a:lnTo>
                                      <a:lnTo>
                                        <a:pt x="4974336" y="6096"/>
                                      </a:lnTo>
                                      <a:lnTo>
                                        <a:pt x="4980432" y="6096"/>
                                      </a:lnTo>
                                      <a:lnTo>
                                        <a:pt x="4980432" y="0"/>
                                      </a:lnTo>
                                      <a:close/>
                                    </a:path>
                                    <a:path w="5412740" h="6350">
                                      <a:moveTo>
                                        <a:pt x="5412486" y="0"/>
                                      </a:moveTo>
                                      <a:lnTo>
                                        <a:pt x="5406390" y="0"/>
                                      </a:lnTo>
                                      <a:lnTo>
                                        <a:pt x="5406390" y="6096"/>
                                      </a:lnTo>
                                      <a:lnTo>
                                        <a:pt x="5412486" y="6096"/>
                                      </a:lnTo>
                                      <a:lnTo>
                                        <a:pt x="5412486"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44" style="position:absolute;margin-left:5.2pt;margin-top:-1.3pt;width:459pt;height:14.3pt;z-index:-37732864;mso-wrap-distance-left:0;mso-wrap-distance-right:0" coordsize="58293,1816" o:spid="_x0000_s1026" w14:anchorId="4B355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">
                      <v:shape id="Graphic 1045" style="position:absolute;top:60;width:58293;height:1753;visibility:visible;mso-wrap-style:square;v-text-anchor:top" coordsize="5829300,175260" o:spid="_x0000_s1027" fillcolor="#bebebe" stroked="f" path="m5829300,l2908554,,,,,175260r2908554,l5829300,175260,5829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">
                        <v:path arrowok="t"/>
                      </v:shape>
                      <v:shape id="Graphic 1046" style="position:absolute;width:54127;height:63;visibility:visible;mso-wrap-style:square;v-text-anchor:top" coordsize="5412740,6350" o:spid="_x0000_s1028" fillcolor="#dcddde" stroked="f" path="m1517891,r,l,,,6096r1517891,l1517891,xem3249180,r,l1517904,r,6096l3249180,6096r,-6096xem3681234,r-6108,l3675126,6096r6108,l3681234,xem4114800,r-6096,l4108704,6096r6096,l4114800,xem4546854,r-6096,l4540758,6096r6096,l4546854,xem4980432,r-6096,l4974336,6096r6096,l4980432,xem5412486,r-6096,l5406390,6096r6096,l5412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">
                        <v:path arrowok="t"/>
                      </v:shape>
                    </v:group>
                  </w:pict>
                </mc:Fallback>
              </mc:AlternateContent>
            </w:r>
            <w:r>
              <w:rPr>
                <w:noProof/>
              </w:rPr>
              <mc:AlternateContent>
                <mc:Choice Requires="wpg">
                  <w:drawing>
                    <wp:anchor distT="0" distB="0" distL="0" distR="0" simplePos="0" relativeHeight="15898624" behindDoc="0" locked="0" layoutInCell="1" allowOverlap="1" wp14:editId="0CEFC9B1" wp14:anchorId="6FB1A40F">
                      <wp:simplePos x="0" y="0"/>
                      <wp:positionH relativeFrom="column">
                        <wp:posOffset>66293</wp:posOffset>
                      </wp:positionH>
                      <wp:positionV relativeFrom="paragraph">
                        <wp:posOffset>165136</wp:posOffset>
                      </wp:positionV>
                      <wp:extent cx="5829300" cy="6350"/>
                      <wp:effectExtent l="0" t="0" r="0"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350"/>
                                <a:chOff x="0" y="0"/>
                                <a:chExt cx="5829300" cy="6350"/>
                              </a:xfrm>
                            </wpg:grpSpPr>
                            <wps:wsp>
                              <wps:cNvPr id="1048" name="Graphic 1048"/>
                              <wps:cNvSpPr/>
                              <wps:spPr>
                                <a:xfrm>
                                  <a:off x="0" y="0"/>
                                  <a:ext cx="5829300" cy="6350"/>
                                </a:xfrm>
                                <a:custGeom>
                                  <a:avLst/>
                                  <a:gdLst/>
                                  <a:ahLst/>
                                  <a:cxnLst/>
                                  <a:rect l="l" t="t" r="r" b="b"/>
                                  <a:pathLst>
                                    <a:path w="5829300" h="6350">
                                      <a:moveTo>
                                        <a:pt x="1535417" y="0"/>
                                      </a:moveTo>
                                      <a:lnTo>
                                        <a:pt x="1535417" y="0"/>
                                      </a:lnTo>
                                      <a:lnTo>
                                        <a:pt x="0" y="0"/>
                                      </a:lnTo>
                                      <a:lnTo>
                                        <a:pt x="0" y="6096"/>
                                      </a:lnTo>
                                      <a:lnTo>
                                        <a:pt x="1535417" y="6096"/>
                                      </a:lnTo>
                                      <a:lnTo>
                                        <a:pt x="1535417" y="0"/>
                                      </a:lnTo>
                                      <a:close/>
                                    </a:path>
                                    <a:path w="5829300" h="6350">
                                      <a:moveTo>
                                        <a:pt x="4619231" y="0"/>
                                      </a:moveTo>
                                      <a:lnTo>
                                        <a:pt x="4619231" y="0"/>
                                      </a:lnTo>
                                      <a:lnTo>
                                        <a:pt x="1535430" y="0"/>
                                      </a:lnTo>
                                      <a:lnTo>
                                        <a:pt x="1535430" y="6096"/>
                                      </a:lnTo>
                                      <a:lnTo>
                                        <a:pt x="4619231" y="6096"/>
                                      </a:lnTo>
                                      <a:lnTo>
                                        <a:pt x="4619231" y="0"/>
                                      </a:lnTo>
                                      <a:close/>
                                    </a:path>
                                    <a:path w="5829300" h="6350">
                                      <a:moveTo>
                                        <a:pt x="5060429" y="0"/>
                                      </a:moveTo>
                                      <a:lnTo>
                                        <a:pt x="4625352" y="0"/>
                                      </a:lnTo>
                                      <a:lnTo>
                                        <a:pt x="4619244" y="0"/>
                                      </a:lnTo>
                                      <a:lnTo>
                                        <a:pt x="4619244" y="6096"/>
                                      </a:lnTo>
                                      <a:lnTo>
                                        <a:pt x="4625340" y="6096"/>
                                      </a:lnTo>
                                      <a:lnTo>
                                        <a:pt x="5060429" y="6096"/>
                                      </a:lnTo>
                                      <a:lnTo>
                                        <a:pt x="5060429" y="0"/>
                                      </a:lnTo>
                                      <a:close/>
                                    </a:path>
                                    <a:path w="5829300" h="6350">
                                      <a:moveTo>
                                        <a:pt x="5501627" y="0"/>
                                      </a:moveTo>
                                      <a:lnTo>
                                        <a:pt x="5066550" y="0"/>
                                      </a:lnTo>
                                      <a:lnTo>
                                        <a:pt x="5060442" y="0"/>
                                      </a:lnTo>
                                      <a:lnTo>
                                        <a:pt x="5060442" y="6096"/>
                                      </a:lnTo>
                                      <a:lnTo>
                                        <a:pt x="5066538" y="6096"/>
                                      </a:lnTo>
                                      <a:lnTo>
                                        <a:pt x="5501627" y="6096"/>
                                      </a:lnTo>
                                      <a:lnTo>
                                        <a:pt x="5501627" y="0"/>
                                      </a:lnTo>
                                      <a:close/>
                                    </a:path>
                                    <a:path w="5829300" h="6350">
                                      <a:moveTo>
                                        <a:pt x="5829300" y="0"/>
                                      </a:moveTo>
                                      <a:lnTo>
                                        <a:pt x="5507748" y="0"/>
                                      </a:lnTo>
                                      <a:lnTo>
                                        <a:pt x="5501640" y="0"/>
                                      </a:lnTo>
                                      <a:lnTo>
                                        <a:pt x="5501640" y="6096"/>
                                      </a:lnTo>
                                      <a:lnTo>
                                        <a:pt x="5507736" y="6096"/>
                                      </a:lnTo>
                                      <a:lnTo>
                                        <a:pt x="5829300" y="6096"/>
                                      </a:lnTo>
                                      <a:lnTo>
                                        <a:pt x="5829300"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47" style="position:absolute;margin-left:5.2pt;margin-top:13pt;width:459pt;height:.5pt;z-index:15898624;mso-wrap-distance-left:0;mso-wrap-distance-right:0" coordsize="58293,63" o:spid="_x0000_s1026" w14:anchorId="50705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">
                      <v:shape id="Graphic 1048" style="position:absolute;width:58293;height:63;visibility:visible;mso-wrap-style:square;v-text-anchor:top" coordsize="5829300,6350" o:spid="_x0000_s1027" fillcolor="#dcddde" stroked="f" path="m1535417,r,l,,,6096r1535417,l1535417,xem4619231,r,l1535430,r,6096l4619231,6096r,-6096xem5060429,l4625352,r-6108,l4619244,6096r6096,l5060429,6096r,-6096xem5501627,l5066550,r-6108,l5060442,6096r6096,l5501627,6096r,-6096xem5829300,l5507748,r-6108,l5501640,6096r6096,l5829300,6096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">
                        <v:path arrowok="t"/>
                      </v:shape>
                    </v:group>
                  </w:pict>
                </mc:Fallback>
              </mc:AlternateContent>
            </w:r>
            <w:r>
              <w:rPr>
                <w:b/>
                <w:sz w:val="17"/>
              </w:rPr>
              <w:t>C&amp;S</w:t>
            </w:r>
            <w:r>
              <w:rPr>
                <w:b/>
                <w:spacing w:val="-3"/>
                <w:sz w:val="17"/>
              </w:rPr>
              <w:t xml:space="preserve"> </w:t>
            </w:r>
            <w:r>
              <w:rPr>
                <w:b/>
                <w:sz w:val="17"/>
              </w:rPr>
              <w:t>(All</w:t>
            </w:r>
            <w:r>
              <w:rPr>
                <w:b/>
                <w:spacing w:val="-2"/>
                <w:sz w:val="17"/>
              </w:rPr>
              <w:t xml:space="preserve"> Scenarios)</w:t>
            </w:r>
          </w:p>
        </w:tc>
      </w:tr>
      <w:tr w:rsidR="00C31389" w14:paraId="3240A596" w14:textId="77777777">
        <w:trPr>
          <w:trHeight w:val="670"/>
        </w:trPr>
        <w:tc>
          <w:tcPr>
            <w:tcW w:w="1122" w:type="dxa"/>
            <w:tcBorders>
              <w:bottom w:val="single" w:color="DCDDDE" w:sz="4" w:space="0"/>
            </w:tcBorders>
          </w:tcPr>
          <w:p w:rsidR="00C31389" w:rsidRDefault="00561FBD" w14:paraId="23F5579F" w14:textId="77777777">
            <w:pPr>
              <w:pStyle w:val="TableParagraph"/>
              <w:spacing w:before="44"/>
              <w:ind w:left="212" w:right="9"/>
              <w:rPr>
                <w:sz w:val="17"/>
              </w:rPr>
            </w:pPr>
            <w:r>
              <w:rPr>
                <w:spacing w:val="-6"/>
                <w:sz w:val="17"/>
              </w:rPr>
              <w:t xml:space="preserve">w/ </w:t>
            </w:r>
            <w:r>
              <w:rPr>
                <w:spacing w:val="-2"/>
                <w:sz w:val="17"/>
              </w:rPr>
              <w:t>Interactive Effects</w:t>
            </w:r>
          </w:p>
        </w:tc>
        <w:tc>
          <w:tcPr>
            <w:tcW w:w="698" w:type="dxa"/>
            <w:tcBorders>
              <w:bottom w:val="single" w:color="DCDDDE" w:sz="4" w:space="0"/>
            </w:tcBorders>
          </w:tcPr>
          <w:p w:rsidR="00C31389" w:rsidRDefault="00561FBD" w14:paraId="162F3187" w14:textId="77777777">
            <w:pPr>
              <w:pStyle w:val="TableParagraph"/>
              <w:spacing w:before="141"/>
              <w:ind w:right="108"/>
              <w:jc w:val="right"/>
              <w:rPr>
                <w:sz w:val="17"/>
              </w:rPr>
            </w:pPr>
            <w:r>
              <w:rPr>
                <w:spacing w:val="-2"/>
                <w:sz w:val="17"/>
              </w:rPr>
              <w:t>1,071.</w:t>
            </w:r>
          </w:p>
          <w:p w:rsidR="00C31389" w:rsidRDefault="00561FBD" w14:paraId="2B8BB573" w14:textId="77777777">
            <w:pPr>
              <w:pStyle w:val="TableParagraph"/>
              <w:spacing w:before="2"/>
              <w:ind w:right="109"/>
              <w:jc w:val="right"/>
              <w:rPr>
                <w:sz w:val="17"/>
              </w:rPr>
            </w:pPr>
            <w:r>
              <w:rPr>
                <w:sz w:val="17"/>
              </w:rPr>
              <w:t>2</w:t>
            </w:r>
          </w:p>
        </w:tc>
        <w:tc>
          <w:tcPr>
            <w:tcW w:w="698" w:type="dxa"/>
            <w:tcBorders>
              <w:bottom w:val="single" w:color="DCDDDE" w:sz="4" w:space="0"/>
            </w:tcBorders>
          </w:tcPr>
          <w:p w:rsidR="00C31389" w:rsidRDefault="00561FBD" w14:paraId="29BCD977" w14:textId="77777777">
            <w:pPr>
              <w:pStyle w:val="TableParagraph"/>
              <w:spacing w:before="141"/>
              <w:ind w:right="111"/>
              <w:jc w:val="right"/>
              <w:rPr>
                <w:sz w:val="17"/>
              </w:rPr>
            </w:pPr>
            <w:r>
              <w:rPr>
                <w:spacing w:val="-2"/>
                <w:sz w:val="17"/>
              </w:rPr>
              <w:t>1,008.</w:t>
            </w:r>
          </w:p>
          <w:p w:rsidR="00C31389" w:rsidRDefault="00561FBD" w14:paraId="4CEF7828" w14:textId="77777777">
            <w:pPr>
              <w:pStyle w:val="TableParagraph"/>
              <w:spacing w:before="2"/>
              <w:ind w:right="112"/>
              <w:jc w:val="right"/>
              <w:rPr>
                <w:sz w:val="17"/>
              </w:rPr>
            </w:pPr>
            <w:r>
              <w:rPr>
                <w:sz w:val="17"/>
              </w:rPr>
              <w:t>4</w:t>
            </w:r>
          </w:p>
        </w:tc>
        <w:tc>
          <w:tcPr>
            <w:tcW w:w="688" w:type="dxa"/>
            <w:tcBorders>
              <w:bottom w:val="single" w:color="DCDDDE" w:sz="4" w:space="0"/>
            </w:tcBorders>
          </w:tcPr>
          <w:p w:rsidR="00C31389" w:rsidRDefault="00C31389" w14:paraId="19E16CC7" w14:textId="77777777">
            <w:pPr>
              <w:pStyle w:val="TableParagraph"/>
              <w:spacing w:before="11"/>
              <w:rPr>
                <w:b/>
                <w:sz w:val="20"/>
              </w:rPr>
            </w:pPr>
          </w:p>
          <w:p w:rsidR="00C31389" w:rsidRDefault="00561FBD" w14:paraId="7816C463" w14:textId="77777777">
            <w:pPr>
              <w:pStyle w:val="TableParagraph"/>
              <w:spacing w:before="0"/>
              <w:ind w:left="131" w:right="82"/>
              <w:jc w:val="center"/>
              <w:rPr>
                <w:sz w:val="17"/>
              </w:rPr>
            </w:pPr>
            <w:r>
              <w:rPr>
                <w:spacing w:val="-2"/>
                <w:sz w:val="17"/>
              </w:rPr>
              <w:t>987.2</w:t>
            </w:r>
          </w:p>
        </w:tc>
        <w:tc>
          <w:tcPr>
            <w:tcW w:w="688" w:type="dxa"/>
            <w:tcBorders>
              <w:bottom w:val="single" w:color="DCDDDE" w:sz="4" w:space="0"/>
            </w:tcBorders>
          </w:tcPr>
          <w:p w:rsidR="00C31389" w:rsidRDefault="00C31389" w14:paraId="1C790FB7" w14:textId="77777777">
            <w:pPr>
              <w:pStyle w:val="TableParagraph"/>
              <w:spacing w:before="11"/>
              <w:rPr>
                <w:b/>
                <w:sz w:val="20"/>
              </w:rPr>
            </w:pPr>
          </w:p>
          <w:p w:rsidR="00C31389" w:rsidRDefault="00561FBD" w14:paraId="6B5C9BCC" w14:textId="77777777">
            <w:pPr>
              <w:pStyle w:val="TableParagraph"/>
              <w:spacing w:before="0"/>
              <w:ind w:right="97"/>
              <w:jc w:val="right"/>
              <w:rPr>
                <w:sz w:val="17"/>
              </w:rPr>
            </w:pPr>
            <w:r>
              <w:rPr>
                <w:spacing w:val="-2"/>
                <w:sz w:val="17"/>
              </w:rPr>
              <w:t>909.8</w:t>
            </w:r>
          </w:p>
        </w:tc>
        <w:tc>
          <w:tcPr>
            <w:tcW w:w="687" w:type="dxa"/>
            <w:tcBorders>
              <w:bottom w:val="single" w:color="DCDDDE" w:sz="4" w:space="0"/>
            </w:tcBorders>
          </w:tcPr>
          <w:p w:rsidR="00C31389" w:rsidRDefault="00C31389" w14:paraId="5AD1C36A" w14:textId="77777777">
            <w:pPr>
              <w:pStyle w:val="TableParagraph"/>
              <w:spacing w:before="11"/>
              <w:rPr>
                <w:b/>
                <w:sz w:val="20"/>
              </w:rPr>
            </w:pPr>
          </w:p>
          <w:p w:rsidR="00C31389" w:rsidRDefault="00561FBD" w14:paraId="3C429F56" w14:textId="77777777">
            <w:pPr>
              <w:pStyle w:val="TableParagraph"/>
              <w:spacing w:before="0"/>
              <w:ind w:left="169"/>
              <w:rPr>
                <w:sz w:val="17"/>
              </w:rPr>
            </w:pPr>
            <w:r>
              <w:rPr>
                <w:spacing w:val="-2"/>
                <w:sz w:val="17"/>
              </w:rPr>
              <w:t>830.0</w:t>
            </w:r>
          </w:p>
        </w:tc>
        <w:tc>
          <w:tcPr>
            <w:tcW w:w="689" w:type="dxa"/>
            <w:tcBorders>
              <w:bottom w:val="single" w:color="DCDDDE" w:sz="4" w:space="0"/>
            </w:tcBorders>
          </w:tcPr>
          <w:p w:rsidR="00C31389" w:rsidRDefault="00C31389" w14:paraId="62E77A4F" w14:textId="77777777">
            <w:pPr>
              <w:pStyle w:val="TableParagraph"/>
              <w:spacing w:before="11"/>
              <w:rPr>
                <w:b/>
                <w:sz w:val="20"/>
              </w:rPr>
            </w:pPr>
          </w:p>
          <w:p w:rsidR="00C31389" w:rsidRDefault="00561FBD" w14:paraId="654C2142" w14:textId="77777777">
            <w:pPr>
              <w:pStyle w:val="TableParagraph"/>
              <w:spacing w:before="0"/>
              <w:ind w:right="82"/>
              <w:jc w:val="right"/>
              <w:rPr>
                <w:sz w:val="17"/>
              </w:rPr>
            </w:pPr>
            <w:r>
              <w:rPr>
                <w:spacing w:val="-2"/>
                <w:sz w:val="17"/>
              </w:rPr>
              <w:t>659.5</w:t>
            </w:r>
          </w:p>
        </w:tc>
        <w:tc>
          <w:tcPr>
            <w:tcW w:w="687" w:type="dxa"/>
            <w:tcBorders>
              <w:bottom w:val="single" w:color="DCDDDE" w:sz="4" w:space="0"/>
            </w:tcBorders>
          </w:tcPr>
          <w:p w:rsidR="00C31389" w:rsidRDefault="00C31389" w14:paraId="34A4C4C8" w14:textId="77777777">
            <w:pPr>
              <w:pStyle w:val="TableParagraph"/>
              <w:spacing w:before="11"/>
              <w:rPr>
                <w:b/>
                <w:sz w:val="20"/>
              </w:rPr>
            </w:pPr>
          </w:p>
          <w:p w:rsidR="00C31389" w:rsidRDefault="00561FBD" w14:paraId="301E0466" w14:textId="77777777">
            <w:pPr>
              <w:pStyle w:val="TableParagraph"/>
              <w:spacing w:before="0"/>
              <w:ind w:left="183"/>
              <w:rPr>
                <w:sz w:val="17"/>
              </w:rPr>
            </w:pPr>
            <w:r>
              <w:rPr>
                <w:spacing w:val="-2"/>
                <w:sz w:val="17"/>
              </w:rPr>
              <w:t>599.0</w:t>
            </w:r>
          </w:p>
        </w:tc>
        <w:tc>
          <w:tcPr>
            <w:tcW w:w="688" w:type="dxa"/>
            <w:tcBorders>
              <w:bottom w:val="single" w:color="DCDDDE" w:sz="4" w:space="0"/>
            </w:tcBorders>
          </w:tcPr>
          <w:p w:rsidR="00C31389" w:rsidRDefault="00C31389" w14:paraId="0A9B8B6F" w14:textId="77777777">
            <w:pPr>
              <w:pStyle w:val="TableParagraph"/>
              <w:spacing w:before="11"/>
              <w:rPr>
                <w:b/>
                <w:sz w:val="20"/>
              </w:rPr>
            </w:pPr>
          </w:p>
          <w:p w:rsidR="00C31389" w:rsidRDefault="00561FBD" w14:paraId="0C40D4A7" w14:textId="77777777">
            <w:pPr>
              <w:pStyle w:val="TableParagraph"/>
              <w:spacing w:before="0"/>
              <w:ind w:left="191"/>
              <w:rPr>
                <w:sz w:val="17"/>
              </w:rPr>
            </w:pPr>
            <w:r>
              <w:rPr>
                <w:spacing w:val="-2"/>
                <w:sz w:val="17"/>
              </w:rPr>
              <w:t>565.9</w:t>
            </w:r>
          </w:p>
        </w:tc>
        <w:tc>
          <w:tcPr>
            <w:tcW w:w="687" w:type="dxa"/>
            <w:tcBorders>
              <w:bottom w:val="single" w:color="DCDDDE" w:sz="4" w:space="0"/>
            </w:tcBorders>
          </w:tcPr>
          <w:p w:rsidR="00C31389" w:rsidRDefault="00C31389" w14:paraId="2E2ACE68" w14:textId="77777777">
            <w:pPr>
              <w:pStyle w:val="TableParagraph"/>
              <w:spacing w:before="11"/>
              <w:rPr>
                <w:b/>
                <w:sz w:val="20"/>
              </w:rPr>
            </w:pPr>
          </w:p>
          <w:p w:rsidR="00C31389" w:rsidRDefault="00561FBD" w14:paraId="3B3D270D" w14:textId="77777777">
            <w:pPr>
              <w:pStyle w:val="TableParagraph"/>
              <w:spacing w:before="0"/>
              <w:ind w:left="198"/>
              <w:rPr>
                <w:sz w:val="17"/>
              </w:rPr>
            </w:pPr>
            <w:r>
              <w:rPr>
                <w:spacing w:val="-2"/>
                <w:sz w:val="17"/>
              </w:rPr>
              <w:t>530.2</w:t>
            </w:r>
          </w:p>
        </w:tc>
        <w:tc>
          <w:tcPr>
            <w:tcW w:w="688" w:type="dxa"/>
            <w:tcBorders>
              <w:bottom w:val="single" w:color="DCDDDE" w:sz="4" w:space="0"/>
            </w:tcBorders>
          </w:tcPr>
          <w:p w:rsidR="00C31389" w:rsidRDefault="00C31389" w14:paraId="340FEB33" w14:textId="77777777">
            <w:pPr>
              <w:pStyle w:val="TableParagraph"/>
              <w:spacing w:before="11"/>
              <w:rPr>
                <w:b/>
                <w:sz w:val="20"/>
              </w:rPr>
            </w:pPr>
          </w:p>
          <w:p w:rsidR="00C31389" w:rsidRDefault="00561FBD" w14:paraId="61BED652" w14:textId="77777777">
            <w:pPr>
              <w:pStyle w:val="TableParagraph"/>
              <w:spacing w:before="0"/>
              <w:ind w:left="207"/>
              <w:rPr>
                <w:sz w:val="17"/>
              </w:rPr>
            </w:pPr>
            <w:r>
              <w:rPr>
                <w:spacing w:val="-2"/>
                <w:sz w:val="17"/>
              </w:rPr>
              <w:t>502.5</w:t>
            </w:r>
          </w:p>
        </w:tc>
        <w:tc>
          <w:tcPr>
            <w:tcW w:w="680" w:type="dxa"/>
            <w:tcBorders>
              <w:bottom w:val="single" w:color="DCDDDE" w:sz="4" w:space="0"/>
            </w:tcBorders>
          </w:tcPr>
          <w:p w:rsidR="00C31389" w:rsidRDefault="00C31389" w14:paraId="7130FCF9" w14:textId="77777777">
            <w:pPr>
              <w:pStyle w:val="TableParagraph"/>
              <w:spacing w:before="11"/>
              <w:rPr>
                <w:b/>
                <w:sz w:val="20"/>
              </w:rPr>
            </w:pPr>
          </w:p>
          <w:p w:rsidR="00C31389" w:rsidRDefault="00561FBD" w14:paraId="7F65DFF4" w14:textId="77777777">
            <w:pPr>
              <w:pStyle w:val="TableParagraph"/>
              <w:spacing w:before="0"/>
              <w:ind w:left="214"/>
              <w:rPr>
                <w:sz w:val="17"/>
              </w:rPr>
            </w:pPr>
            <w:r>
              <w:rPr>
                <w:spacing w:val="-2"/>
                <w:sz w:val="17"/>
              </w:rPr>
              <w:t>417.5</w:t>
            </w:r>
          </w:p>
        </w:tc>
        <w:tc>
          <w:tcPr>
            <w:tcW w:w="669" w:type="dxa"/>
            <w:tcBorders>
              <w:bottom w:val="single" w:color="DCDDDE" w:sz="4" w:space="0"/>
            </w:tcBorders>
          </w:tcPr>
          <w:p w:rsidR="00C31389" w:rsidRDefault="00561FBD" w14:paraId="024D8B74" w14:textId="77777777">
            <w:pPr>
              <w:pStyle w:val="TableParagraph"/>
              <w:spacing w:before="141"/>
              <w:ind w:right="189"/>
              <w:jc w:val="right"/>
              <w:rPr>
                <w:sz w:val="17"/>
              </w:rPr>
            </w:pPr>
            <w:r>
              <w:rPr>
                <w:spacing w:val="-5"/>
                <w:sz w:val="17"/>
              </w:rPr>
              <w:t>401</w:t>
            </w:r>
          </w:p>
          <w:p w:rsidR="00C31389" w:rsidRDefault="00561FBD" w14:paraId="73EBA5B2" w14:textId="77777777">
            <w:pPr>
              <w:pStyle w:val="TableParagraph"/>
              <w:spacing w:before="2"/>
              <w:ind w:right="191"/>
              <w:jc w:val="right"/>
              <w:rPr>
                <w:sz w:val="17"/>
              </w:rPr>
            </w:pPr>
            <w:r>
              <w:rPr>
                <w:spacing w:val="-5"/>
                <w:sz w:val="17"/>
              </w:rPr>
              <w:t>.6</w:t>
            </w:r>
          </w:p>
        </w:tc>
      </w:tr>
      <w:tr w:rsidR="00C31389" w14:paraId="2546F82A" w14:textId="77777777">
        <w:trPr>
          <w:trHeight w:val="667"/>
        </w:trPr>
        <w:tc>
          <w:tcPr>
            <w:tcW w:w="1122" w:type="dxa"/>
            <w:tcBorders>
              <w:top w:val="single" w:color="DCDDDE" w:sz="4" w:space="0"/>
              <w:bottom w:val="single" w:color="545658" w:sz="8" w:space="0"/>
            </w:tcBorders>
          </w:tcPr>
          <w:p w:rsidR="00C31389" w:rsidRDefault="00561FBD" w14:paraId="751D4913" w14:textId="77777777">
            <w:pPr>
              <w:pStyle w:val="TableParagraph"/>
              <w:ind w:left="212"/>
              <w:rPr>
                <w:sz w:val="17"/>
              </w:rPr>
            </w:pPr>
            <w:r>
              <w:rPr>
                <w:spacing w:val="-4"/>
                <w:sz w:val="17"/>
              </w:rPr>
              <w:t xml:space="preserve">w/o </w:t>
            </w:r>
            <w:r>
              <w:rPr>
                <w:spacing w:val="-2"/>
                <w:sz w:val="17"/>
              </w:rPr>
              <w:t>Interactive Effects</w:t>
            </w:r>
          </w:p>
        </w:tc>
        <w:tc>
          <w:tcPr>
            <w:tcW w:w="698" w:type="dxa"/>
            <w:tcBorders>
              <w:top w:val="single" w:color="DCDDDE" w:sz="4" w:space="0"/>
              <w:bottom w:val="single" w:color="545658" w:sz="8" w:space="0"/>
            </w:tcBorders>
          </w:tcPr>
          <w:p w:rsidR="00C31389" w:rsidRDefault="00561FBD" w14:paraId="7F895915" w14:textId="77777777">
            <w:pPr>
              <w:pStyle w:val="TableParagraph"/>
              <w:spacing w:before="138"/>
              <w:ind w:right="115"/>
              <w:jc w:val="right"/>
              <w:rPr>
                <w:sz w:val="17"/>
              </w:rPr>
            </w:pPr>
            <w:r>
              <w:rPr>
                <w:spacing w:val="-2"/>
                <w:sz w:val="17"/>
              </w:rPr>
              <w:t>1,062</w:t>
            </w:r>
          </w:p>
          <w:p w:rsidR="00C31389" w:rsidRDefault="00561FBD" w14:paraId="532B6C25" w14:textId="77777777">
            <w:pPr>
              <w:pStyle w:val="TableParagraph"/>
              <w:spacing w:before="0"/>
              <w:ind w:right="116"/>
              <w:jc w:val="right"/>
              <w:rPr>
                <w:sz w:val="17"/>
              </w:rPr>
            </w:pPr>
            <w:r>
              <w:rPr>
                <w:spacing w:val="-5"/>
                <w:sz w:val="17"/>
              </w:rPr>
              <w:t>.2</w:t>
            </w:r>
          </w:p>
        </w:tc>
        <w:tc>
          <w:tcPr>
            <w:tcW w:w="698" w:type="dxa"/>
            <w:tcBorders>
              <w:top w:val="single" w:color="DCDDDE" w:sz="4" w:space="0"/>
              <w:bottom w:val="single" w:color="545658" w:sz="8" w:space="0"/>
            </w:tcBorders>
          </w:tcPr>
          <w:p w:rsidR="00C31389" w:rsidRDefault="00C31389" w14:paraId="43E0A879" w14:textId="77777777">
            <w:pPr>
              <w:pStyle w:val="TableParagraph"/>
              <w:spacing w:before="7"/>
              <w:rPr>
                <w:b/>
                <w:sz w:val="20"/>
              </w:rPr>
            </w:pPr>
          </w:p>
          <w:p w:rsidR="00C31389" w:rsidRDefault="00561FBD" w14:paraId="1CAC0C6A" w14:textId="77777777">
            <w:pPr>
              <w:pStyle w:val="TableParagraph"/>
              <w:spacing w:before="0"/>
              <w:ind w:left="117" w:right="103"/>
              <w:jc w:val="center"/>
              <w:rPr>
                <w:sz w:val="17"/>
              </w:rPr>
            </w:pPr>
            <w:r>
              <w:rPr>
                <w:spacing w:val="-2"/>
                <w:sz w:val="17"/>
              </w:rPr>
              <w:t>999.4</w:t>
            </w:r>
          </w:p>
        </w:tc>
        <w:tc>
          <w:tcPr>
            <w:tcW w:w="688" w:type="dxa"/>
            <w:tcBorders>
              <w:top w:val="single" w:color="DCDDDE" w:sz="4" w:space="0"/>
              <w:bottom w:val="single" w:color="545658" w:sz="8" w:space="0"/>
            </w:tcBorders>
          </w:tcPr>
          <w:p w:rsidR="00C31389" w:rsidRDefault="00C31389" w14:paraId="0F650BE9" w14:textId="77777777">
            <w:pPr>
              <w:pStyle w:val="TableParagraph"/>
              <w:spacing w:before="7"/>
              <w:rPr>
                <w:b/>
                <w:sz w:val="20"/>
              </w:rPr>
            </w:pPr>
          </w:p>
          <w:p w:rsidR="00C31389" w:rsidRDefault="00561FBD" w14:paraId="3286B579" w14:textId="77777777">
            <w:pPr>
              <w:pStyle w:val="TableParagraph"/>
              <w:spacing w:before="0"/>
              <w:ind w:left="92" w:right="91"/>
              <w:jc w:val="center"/>
              <w:rPr>
                <w:sz w:val="17"/>
              </w:rPr>
            </w:pPr>
            <w:r>
              <w:rPr>
                <w:spacing w:val="-2"/>
                <w:sz w:val="17"/>
              </w:rPr>
              <w:t>978.6</w:t>
            </w:r>
          </w:p>
        </w:tc>
        <w:tc>
          <w:tcPr>
            <w:tcW w:w="688" w:type="dxa"/>
            <w:tcBorders>
              <w:top w:val="single" w:color="DCDDDE" w:sz="4" w:space="0"/>
              <w:bottom w:val="single" w:color="545658" w:sz="8" w:space="0"/>
            </w:tcBorders>
          </w:tcPr>
          <w:p w:rsidR="00C31389" w:rsidRDefault="00C31389" w14:paraId="74ECB5E6" w14:textId="77777777">
            <w:pPr>
              <w:pStyle w:val="TableParagraph"/>
              <w:spacing w:before="7"/>
              <w:rPr>
                <w:b/>
                <w:sz w:val="20"/>
              </w:rPr>
            </w:pPr>
          </w:p>
          <w:p w:rsidR="00C31389" w:rsidRDefault="00561FBD" w14:paraId="380B3BAE" w14:textId="77777777">
            <w:pPr>
              <w:pStyle w:val="TableParagraph"/>
              <w:spacing w:before="0"/>
              <w:ind w:right="128"/>
              <w:jc w:val="right"/>
              <w:rPr>
                <w:sz w:val="17"/>
              </w:rPr>
            </w:pPr>
            <w:r>
              <w:rPr>
                <w:spacing w:val="-2"/>
                <w:sz w:val="17"/>
              </w:rPr>
              <w:t>903.3</w:t>
            </w:r>
          </w:p>
        </w:tc>
        <w:tc>
          <w:tcPr>
            <w:tcW w:w="687" w:type="dxa"/>
            <w:tcBorders>
              <w:top w:val="single" w:color="DCDDDE" w:sz="4" w:space="0"/>
              <w:bottom w:val="single" w:color="545658" w:sz="8" w:space="0"/>
            </w:tcBorders>
          </w:tcPr>
          <w:p w:rsidR="00C31389" w:rsidRDefault="00C31389" w14:paraId="21FD5742" w14:textId="77777777">
            <w:pPr>
              <w:pStyle w:val="TableParagraph"/>
              <w:spacing w:before="7"/>
              <w:rPr>
                <w:b/>
                <w:sz w:val="20"/>
              </w:rPr>
            </w:pPr>
          </w:p>
          <w:p w:rsidR="00C31389" w:rsidRDefault="00561FBD" w14:paraId="0F0938AD" w14:textId="77777777">
            <w:pPr>
              <w:pStyle w:val="TableParagraph"/>
              <w:spacing w:before="0"/>
              <w:ind w:left="130"/>
              <w:rPr>
                <w:sz w:val="17"/>
              </w:rPr>
            </w:pPr>
            <w:r>
              <w:rPr>
                <w:spacing w:val="-2"/>
                <w:sz w:val="17"/>
              </w:rPr>
              <w:t>826.2</w:t>
            </w:r>
          </w:p>
        </w:tc>
        <w:tc>
          <w:tcPr>
            <w:tcW w:w="689" w:type="dxa"/>
            <w:tcBorders>
              <w:top w:val="single" w:color="DCDDDE" w:sz="4" w:space="0"/>
              <w:bottom w:val="single" w:color="545658" w:sz="8" w:space="0"/>
            </w:tcBorders>
          </w:tcPr>
          <w:p w:rsidR="00C31389" w:rsidRDefault="00C31389" w14:paraId="6FCFF313" w14:textId="77777777">
            <w:pPr>
              <w:pStyle w:val="TableParagraph"/>
              <w:spacing w:before="7"/>
              <w:rPr>
                <w:b/>
                <w:sz w:val="20"/>
              </w:rPr>
            </w:pPr>
          </w:p>
          <w:p w:rsidR="00C31389" w:rsidRDefault="00561FBD" w14:paraId="17AD22E1" w14:textId="77777777">
            <w:pPr>
              <w:pStyle w:val="TableParagraph"/>
              <w:spacing w:before="0"/>
              <w:ind w:right="129"/>
              <w:jc w:val="right"/>
              <w:rPr>
                <w:sz w:val="17"/>
              </w:rPr>
            </w:pPr>
            <w:r>
              <w:rPr>
                <w:spacing w:val="-2"/>
                <w:sz w:val="17"/>
              </w:rPr>
              <w:t>661.3</w:t>
            </w:r>
          </w:p>
        </w:tc>
        <w:tc>
          <w:tcPr>
            <w:tcW w:w="687" w:type="dxa"/>
            <w:tcBorders>
              <w:top w:val="single" w:color="DCDDDE" w:sz="4" w:space="0"/>
              <w:bottom w:val="single" w:color="545658" w:sz="8" w:space="0"/>
            </w:tcBorders>
          </w:tcPr>
          <w:p w:rsidR="00C31389" w:rsidRDefault="00C31389" w14:paraId="681FD8B1" w14:textId="77777777">
            <w:pPr>
              <w:pStyle w:val="TableParagraph"/>
              <w:spacing w:before="7"/>
              <w:rPr>
                <w:b/>
                <w:sz w:val="20"/>
              </w:rPr>
            </w:pPr>
          </w:p>
          <w:p w:rsidR="00C31389" w:rsidRDefault="00561FBD" w14:paraId="28C8FF08" w14:textId="77777777">
            <w:pPr>
              <w:pStyle w:val="TableParagraph"/>
              <w:spacing w:before="0"/>
              <w:ind w:left="128"/>
              <w:rPr>
                <w:sz w:val="17"/>
              </w:rPr>
            </w:pPr>
            <w:r>
              <w:rPr>
                <w:spacing w:val="-2"/>
                <w:sz w:val="17"/>
              </w:rPr>
              <w:t>602.3</w:t>
            </w:r>
          </w:p>
        </w:tc>
        <w:tc>
          <w:tcPr>
            <w:tcW w:w="688" w:type="dxa"/>
            <w:tcBorders>
              <w:top w:val="single" w:color="DCDDDE" w:sz="4" w:space="0"/>
              <w:bottom w:val="single" w:color="545658" w:sz="8" w:space="0"/>
            </w:tcBorders>
          </w:tcPr>
          <w:p w:rsidR="00C31389" w:rsidRDefault="00C31389" w14:paraId="41EC8BA1" w14:textId="77777777">
            <w:pPr>
              <w:pStyle w:val="TableParagraph"/>
              <w:spacing w:before="7"/>
              <w:rPr>
                <w:b/>
                <w:sz w:val="20"/>
              </w:rPr>
            </w:pPr>
          </w:p>
          <w:p w:rsidR="00C31389" w:rsidRDefault="00561FBD" w14:paraId="2AB58265" w14:textId="77777777">
            <w:pPr>
              <w:pStyle w:val="TableParagraph"/>
              <w:spacing w:before="0"/>
              <w:ind w:left="129"/>
              <w:rPr>
                <w:sz w:val="17"/>
              </w:rPr>
            </w:pPr>
            <w:r>
              <w:rPr>
                <w:spacing w:val="-2"/>
                <w:sz w:val="17"/>
              </w:rPr>
              <w:t>569.2</w:t>
            </w:r>
          </w:p>
        </w:tc>
        <w:tc>
          <w:tcPr>
            <w:tcW w:w="687" w:type="dxa"/>
            <w:tcBorders>
              <w:top w:val="single" w:color="DCDDDE" w:sz="4" w:space="0"/>
              <w:bottom w:val="single" w:color="545658" w:sz="8" w:space="0"/>
            </w:tcBorders>
          </w:tcPr>
          <w:p w:rsidR="00C31389" w:rsidRDefault="00C31389" w14:paraId="10582D8B" w14:textId="77777777">
            <w:pPr>
              <w:pStyle w:val="TableParagraph"/>
              <w:spacing w:before="7"/>
              <w:rPr>
                <w:b/>
                <w:sz w:val="20"/>
              </w:rPr>
            </w:pPr>
          </w:p>
          <w:p w:rsidR="00C31389" w:rsidRDefault="00561FBD" w14:paraId="21D7E099" w14:textId="77777777">
            <w:pPr>
              <w:pStyle w:val="TableParagraph"/>
              <w:spacing w:before="0"/>
              <w:ind w:left="129"/>
              <w:rPr>
                <w:sz w:val="17"/>
              </w:rPr>
            </w:pPr>
            <w:r>
              <w:rPr>
                <w:spacing w:val="-2"/>
                <w:sz w:val="17"/>
              </w:rPr>
              <w:t>533.4</w:t>
            </w:r>
          </w:p>
        </w:tc>
        <w:tc>
          <w:tcPr>
            <w:tcW w:w="688" w:type="dxa"/>
            <w:tcBorders>
              <w:top w:val="single" w:color="DCDDDE" w:sz="4" w:space="0"/>
              <w:bottom w:val="single" w:color="545658" w:sz="8" w:space="0"/>
            </w:tcBorders>
          </w:tcPr>
          <w:p w:rsidR="00C31389" w:rsidRDefault="00C31389" w14:paraId="71D022C6" w14:textId="77777777">
            <w:pPr>
              <w:pStyle w:val="TableParagraph"/>
              <w:spacing w:before="7"/>
              <w:rPr>
                <w:b/>
                <w:sz w:val="20"/>
              </w:rPr>
            </w:pPr>
          </w:p>
          <w:p w:rsidR="00C31389" w:rsidRDefault="00561FBD" w14:paraId="58D2F3EC" w14:textId="77777777">
            <w:pPr>
              <w:pStyle w:val="TableParagraph"/>
              <w:spacing w:before="0"/>
              <w:ind w:left="128"/>
              <w:rPr>
                <w:sz w:val="17"/>
              </w:rPr>
            </w:pPr>
            <w:r>
              <w:rPr>
                <w:spacing w:val="-2"/>
                <w:sz w:val="17"/>
              </w:rPr>
              <w:t>505.7</w:t>
            </w:r>
          </w:p>
        </w:tc>
        <w:tc>
          <w:tcPr>
            <w:tcW w:w="680" w:type="dxa"/>
            <w:tcBorders>
              <w:top w:val="single" w:color="DCDDDE" w:sz="4" w:space="0"/>
              <w:bottom w:val="single" w:color="545658" w:sz="8" w:space="0"/>
            </w:tcBorders>
          </w:tcPr>
          <w:p w:rsidR="00C31389" w:rsidRDefault="00C31389" w14:paraId="2FE49773" w14:textId="77777777">
            <w:pPr>
              <w:pStyle w:val="TableParagraph"/>
              <w:spacing w:before="7"/>
              <w:rPr>
                <w:b/>
                <w:sz w:val="20"/>
              </w:rPr>
            </w:pPr>
          </w:p>
          <w:p w:rsidR="00C31389" w:rsidRDefault="00561FBD" w14:paraId="6F92F423" w14:textId="77777777">
            <w:pPr>
              <w:pStyle w:val="TableParagraph"/>
              <w:spacing w:before="0"/>
              <w:ind w:left="127"/>
              <w:rPr>
                <w:sz w:val="17"/>
              </w:rPr>
            </w:pPr>
            <w:r>
              <w:rPr>
                <w:spacing w:val="-2"/>
                <w:sz w:val="17"/>
              </w:rPr>
              <w:t>420.6</w:t>
            </w:r>
          </w:p>
        </w:tc>
        <w:tc>
          <w:tcPr>
            <w:tcW w:w="669" w:type="dxa"/>
            <w:tcBorders>
              <w:top w:val="single" w:color="DCDDDE" w:sz="4" w:space="0"/>
              <w:bottom w:val="single" w:color="545658" w:sz="8" w:space="0"/>
            </w:tcBorders>
          </w:tcPr>
          <w:p w:rsidR="00C31389" w:rsidRDefault="00561FBD" w14:paraId="73ACC8FD" w14:textId="77777777">
            <w:pPr>
              <w:pStyle w:val="TableParagraph"/>
              <w:spacing w:before="138"/>
              <w:ind w:right="188"/>
              <w:jc w:val="right"/>
              <w:rPr>
                <w:sz w:val="17"/>
              </w:rPr>
            </w:pPr>
            <w:r>
              <w:rPr>
                <w:spacing w:val="-4"/>
                <w:sz w:val="17"/>
              </w:rPr>
              <w:t>404.</w:t>
            </w:r>
          </w:p>
          <w:p w:rsidR="00C31389" w:rsidRDefault="00561FBD" w14:paraId="46A78FDD" w14:textId="77777777">
            <w:pPr>
              <w:pStyle w:val="TableParagraph"/>
              <w:spacing w:before="0"/>
              <w:ind w:right="189"/>
              <w:jc w:val="right"/>
              <w:rPr>
                <w:sz w:val="17"/>
              </w:rPr>
            </w:pPr>
            <w:r>
              <w:rPr>
                <w:sz w:val="17"/>
              </w:rPr>
              <w:t>6</w:t>
            </w:r>
          </w:p>
        </w:tc>
      </w:tr>
    </w:tbl>
    <w:p w:rsidR="00C31389" w:rsidRDefault="00561FBD" w14:paraId="2EAB25CC" w14:textId="77777777">
      <w:pPr>
        <w:spacing w:before="80"/>
        <w:ind w:left="220"/>
        <w:rPr>
          <w:i/>
          <w:sz w:val="18"/>
        </w:rPr>
      </w:pPr>
      <w:r>
        <w:rPr>
          <w:i/>
          <w:sz w:val="18"/>
        </w:rPr>
        <w:t>Source:</w:t>
      </w:r>
      <w:r>
        <w:rPr>
          <w:i/>
          <w:spacing w:val="-4"/>
          <w:sz w:val="18"/>
        </w:rPr>
        <w:t xml:space="preserve"> </w:t>
      </w:r>
      <w:r>
        <w:rPr>
          <w:i/>
          <w:spacing w:val="-2"/>
          <w:sz w:val="18"/>
        </w:rPr>
        <w:t>Guidehouse</w:t>
      </w:r>
    </w:p>
    <w:p w:rsidR="00C31389" w:rsidRDefault="00C31389" w14:paraId="76D5C1F9" w14:textId="77777777">
      <w:pPr>
        <w:rPr>
          <w:sz w:val="18"/>
        </w:rPr>
        <w:sectPr w:rsidR="00C31389">
          <w:pgSz w:w="12240" w:h="15840"/>
          <w:pgMar w:top="1380" w:right="1240" w:bottom="1120" w:left="1220" w:header="397" w:footer="936" w:gutter="0"/>
          <w:cols w:space="720"/>
        </w:sectPr>
      </w:pPr>
    </w:p>
    <w:p w:rsidR="00C31389" w:rsidRDefault="00C31389" w14:paraId="017F5683" w14:textId="77777777">
      <w:pPr>
        <w:pStyle w:val="BodyText"/>
        <w:rPr>
          <w:i/>
        </w:rPr>
      </w:pPr>
    </w:p>
    <w:p w:rsidR="00C31389" w:rsidRDefault="00C31389" w14:paraId="19F65B18" w14:textId="77777777">
      <w:pPr>
        <w:pStyle w:val="BodyText"/>
        <w:spacing w:before="10"/>
        <w:rPr>
          <w:i/>
          <w:sz w:val="13"/>
        </w:rPr>
      </w:pPr>
    </w:p>
    <w:p w:rsidR="00C31389" w:rsidRDefault="00561FBD" w14:paraId="1B117888" w14:textId="77777777">
      <w:pPr>
        <w:pStyle w:val="Heading7"/>
        <w:spacing w:before="93"/>
        <w:ind w:left="1979" w:right="1961"/>
        <w:jc w:val="center"/>
      </w:pPr>
      <w:bookmarkStart w:name="_bookmark542" w:id="712"/>
      <w:bookmarkEnd w:id="712"/>
      <w:r>
        <w:t>Table</w:t>
      </w:r>
      <w:r>
        <w:rPr>
          <w:spacing w:val="-7"/>
        </w:rPr>
        <w:t xml:space="preserve"> </w:t>
      </w:r>
      <w:r>
        <w:t>J-16.</w:t>
      </w:r>
      <w:r>
        <w:rPr>
          <w:spacing w:val="-8"/>
        </w:rPr>
        <w:t xml:space="preserve"> </w:t>
      </w:r>
      <w:r>
        <w:t>SCE</w:t>
      </w:r>
      <w:r>
        <w:rPr>
          <w:spacing w:val="-7"/>
        </w:rPr>
        <w:t xml:space="preserve"> </w:t>
      </w:r>
      <w:r>
        <w:t>Demand</w:t>
      </w:r>
      <w:r>
        <w:rPr>
          <w:spacing w:val="-7"/>
        </w:rPr>
        <w:t xml:space="preserve"> </w:t>
      </w:r>
      <w:r>
        <w:t>Savings</w:t>
      </w:r>
      <w:r>
        <w:rPr>
          <w:spacing w:val="-7"/>
        </w:rPr>
        <w:t xml:space="preserve"> </w:t>
      </w:r>
      <w:r>
        <w:rPr>
          <w:spacing w:val="-4"/>
        </w:rPr>
        <w:t>(MW)</w:t>
      </w:r>
    </w:p>
    <w:p w:rsidR="00C31389" w:rsidRDefault="00C31389" w14:paraId="0849BC35" w14:textId="77777777">
      <w:pPr>
        <w:pStyle w:val="BodyText"/>
        <w:spacing w:before="7"/>
        <w:rPr>
          <w:b/>
          <w:sz w:val="9"/>
        </w:rPr>
      </w:pPr>
    </w:p>
    <w:tbl>
      <w:tblPr>
        <w:tblW w:w="0" w:type="auto"/>
        <w:tblInd w:w="126" w:type="dxa"/>
        <w:tblLayout w:type="fixed"/>
        <w:tblCellMar>
          <w:left w:w="0" w:type="dxa"/>
          <w:right w:w="0" w:type="dxa"/>
        </w:tblCellMar>
        <w:tblLook w:val="01E0" w:firstRow="1" w:lastRow="1" w:firstColumn="1" w:lastColumn="1" w:noHBand="0" w:noVBand="0"/>
      </w:tblPr>
      <w:tblGrid>
        <w:gridCol w:w="947"/>
        <w:gridCol w:w="797"/>
        <w:gridCol w:w="751"/>
        <w:gridCol w:w="751"/>
        <w:gridCol w:w="750"/>
        <w:gridCol w:w="750"/>
        <w:gridCol w:w="753"/>
        <w:gridCol w:w="677"/>
        <w:gridCol w:w="677"/>
        <w:gridCol w:w="696"/>
        <w:gridCol w:w="676"/>
        <w:gridCol w:w="677"/>
        <w:gridCol w:w="640"/>
      </w:tblGrid>
      <w:tr w:rsidR="00C31389" w14:paraId="589267A8" w14:textId="77777777">
        <w:trPr>
          <w:trHeight w:val="294"/>
        </w:trPr>
        <w:tc>
          <w:tcPr>
            <w:tcW w:w="947" w:type="dxa"/>
            <w:shd w:val="clear" w:color="auto" w:fill="92D400"/>
          </w:tcPr>
          <w:p w:rsidR="00C31389" w:rsidRDefault="00561FBD" w14:paraId="0FC60154" w14:textId="77777777">
            <w:pPr>
              <w:pStyle w:val="TableParagraph"/>
              <w:ind w:left="121"/>
              <w:rPr>
                <w:b/>
                <w:sz w:val="16"/>
              </w:rPr>
            </w:pPr>
            <w:r>
              <w:rPr>
                <w:b/>
                <w:spacing w:val="-4"/>
                <w:sz w:val="16"/>
              </w:rPr>
              <w:t>Year</w:t>
            </w:r>
          </w:p>
        </w:tc>
        <w:tc>
          <w:tcPr>
            <w:tcW w:w="797" w:type="dxa"/>
            <w:shd w:val="clear" w:color="auto" w:fill="92D400"/>
          </w:tcPr>
          <w:p w:rsidR="00C31389" w:rsidRDefault="00561FBD" w14:paraId="3A2DBAF6" w14:textId="77777777">
            <w:pPr>
              <w:pStyle w:val="TableParagraph"/>
              <w:ind w:right="154"/>
              <w:jc w:val="right"/>
              <w:rPr>
                <w:b/>
                <w:sz w:val="16"/>
              </w:rPr>
            </w:pPr>
            <w:r>
              <w:rPr>
                <w:b/>
                <w:spacing w:val="-4"/>
                <w:sz w:val="16"/>
              </w:rPr>
              <w:t>2024</w:t>
            </w:r>
          </w:p>
        </w:tc>
        <w:tc>
          <w:tcPr>
            <w:tcW w:w="751" w:type="dxa"/>
            <w:shd w:val="clear" w:color="auto" w:fill="92D400"/>
          </w:tcPr>
          <w:p w:rsidR="00C31389" w:rsidRDefault="00561FBD" w14:paraId="076A3D7C" w14:textId="77777777">
            <w:pPr>
              <w:pStyle w:val="TableParagraph"/>
              <w:ind w:left="187" w:right="103"/>
              <w:jc w:val="center"/>
              <w:rPr>
                <w:b/>
                <w:sz w:val="16"/>
              </w:rPr>
            </w:pPr>
            <w:r>
              <w:rPr>
                <w:b/>
                <w:spacing w:val="-4"/>
                <w:sz w:val="16"/>
              </w:rPr>
              <w:t>2025</w:t>
            </w:r>
          </w:p>
        </w:tc>
        <w:tc>
          <w:tcPr>
            <w:tcW w:w="751" w:type="dxa"/>
            <w:shd w:val="clear" w:color="auto" w:fill="92D400"/>
          </w:tcPr>
          <w:p w:rsidR="00C31389" w:rsidRDefault="00561FBD" w14:paraId="11C56C35" w14:textId="77777777">
            <w:pPr>
              <w:pStyle w:val="TableParagraph"/>
              <w:ind w:left="187" w:right="103"/>
              <w:jc w:val="center"/>
              <w:rPr>
                <w:b/>
                <w:sz w:val="16"/>
              </w:rPr>
            </w:pPr>
            <w:r>
              <w:rPr>
                <w:b/>
                <w:spacing w:val="-4"/>
                <w:sz w:val="16"/>
              </w:rPr>
              <w:t>2026</w:t>
            </w:r>
          </w:p>
        </w:tc>
        <w:tc>
          <w:tcPr>
            <w:tcW w:w="750" w:type="dxa"/>
            <w:shd w:val="clear" w:color="auto" w:fill="92D400"/>
          </w:tcPr>
          <w:p w:rsidR="00C31389" w:rsidRDefault="00561FBD" w14:paraId="5DD4DC88" w14:textId="77777777">
            <w:pPr>
              <w:pStyle w:val="TableParagraph"/>
              <w:ind w:right="152"/>
              <w:jc w:val="right"/>
              <w:rPr>
                <w:b/>
                <w:sz w:val="16"/>
              </w:rPr>
            </w:pPr>
            <w:r>
              <w:rPr>
                <w:b/>
                <w:spacing w:val="-4"/>
                <w:sz w:val="16"/>
              </w:rPr>
              <w:t>2027</w:t>
            </w:r>
          </w:p>
        </w:tc>
        <w:tc>
          <w:tcPr>
            <w:tcW w:w="750" w:type="dxa"/>
            <w:shd w:val="clear" w:color="auto" w:fill="92D400"/>
          </w:tcPr>
          <w:p w:rsidR="00C31389" w:rsidRDefault="00561FBD" w14:paraId="4A1D3ED9" w14:textId="77777777">
            <w:pPr>
              <w:pStyle w:val="TableParagraph"/>
              <w:ind w:left="188" w:right="100"/>
              <w:jc w:val="center"/>
              <w:rPr>
                <w:b/>
                <w:sz w:val="16"/>
              </w:rPr>
            </w:pPr>
            <w:r>
              <w:rPr>
                <w:b/>
                <w:spacing w:val="-4"/>
                <w:sz w:val="16"/>
              </w:rPr>
              <w:t>2028</w:t>
            </w:r>
          </w:p>
        </w:tc>
        <w:tc>
          <w:tcPr>
            <w:tcW w:w="753" w:type="dxa"/>
            <w:shd w:val="clear" w:color="auto" w:fill="92D400"/>
          </w:tcPr>
          <w:p w:rsidR="00C31389" w:rsidRDefault="00561FBD" w14:paraId="5F00E4D2" w14:textId="77777777">
            <w:pPr>
              <w:pStyle w:val="TableParagraph"/>
              <w:ind w:right="154"/>
              <w:jc w:val="right"/>
              <w:rPr>
                <w:b/>
                <w:sz w:val="16"/>
              </w:rPr>
            </w:pPr>
            <w:r>
              <w:rPr>
                <w:b/>
                <w:spacing w:val="-4"/>
                <w:sz w:val="16"/>
              </w:rPr>
              <w:t>2029</w:t>
            </w:r>
          </w:p>
        </w:tc>
        <w:tc>
          <w:tcPr>
            <w:tcW w:w="677" w:type="dxa"/>
            <w:shd w:val="clear" w:color="auto" w:fill="92D400"/>
          </w:tcPr>
          <w:p w:rsidR="00C31389" w:rsidRDefault="00561FBD" w14:paraId="40572BE6" w14:textId="77777777">
            <w:pPr>
              <w:pStyle w:val="TableParagraph"/>
              <w:ind w:left="165"/>
              <w:rPr>
                <w:b/>
                <w:sz w:val="16"/>
              </w:rPr>
            </w:pPr>
            <w:r>
              <w:rPr>
                <w:b/>
                <w:spacing w:val="-4"/>
                <w:sz w:val="16"/>
              </w:rPr>
              <w:t>2030</w:t>
            </w:r>
          </w:p>
        </w:tc>
        <w:tc>
          <w:tcPr>
            <w:tcW w:w="677" w:type="dxa"/>
            <w:shd w:val="clear" w:color="auto" w:fill="92D400"/>
          </w:tcPr>
          <w:p w:rsidR="00C31389" w:rsidRDefault="00561FBD" w14:paraId="6B3BE7B3" w14:textId="77777777">
            <w:pPr>
              <w:pStyle w:val="TableParagraph"/>
              <w:ind w:left="114" w:right="104"/>
              <w:jc w:val="center"/>
              <w:rPr>
                <w:b/>
                <w:sz w:val="16"/>
              </w:rPr>
            </w:pPr>
            <w:r>
              <w:rPr>
                <w:b/>
                <w:spacing w:val="-4"/>
                <w:sz w:val="16"/>
              </w:rPr>
              <w:t>2031</w:t>
            </w:r>
          </w:p>
        </w:tc>
        <w:tc>
          <w:tcPr>
            <w:tcW w:w="696" w:type="dxa"/>
            <w:shd w:val="clear" w:color="auto" w:fill="92D400"/>
          </w:tcPr>
          <w:p w:rsidR="00C31389" w:rsidRDefault="00561FBD" w14:paraId="7434B35D" w14:textId="77777777">
            <w:pPr>
              <w:pStyle w:val="TableParagraph"/>
              <w:ind w:left="115" w:right="121"/>
              <w:jc w:val="center"/>
              <w:rPr>
                <w:b/>
                <w:sz w:val="16"/>
              </w:rPr>
            </w:pPr>
            <w:r>
              <w:rPr>
                <w:b/>
                <w:spacing w:val="-4"/>
                <w:sz w:val="16"/>
              </w:rPr>
              <w:t>2032</w:t>
            </w:r>
          </w:p>
        </w:tc>
        <w:tc>
          <w:tcPr>
            <w:tcW w:w="676" w:type="dxa"/>
            <w:shd w:val="clear" w:color="auto" w:fill="92D400"/>
          </w:tcPr>
          <w:p w:rsidR="00C31389" w:rsidRDefault="00561FBD" w14:paraId="24D1E202" w14:textId="77777777">
            <w:pPr>
              <w:pStyle w:val="TableParagraph"/>
              <w:ind w:left="149"/>
              <w:rPr>
                <w:b/>
                <w:sz w:val="16"/>
              </w:rPr>
            </w:pPr>
            <w:r>
              <w:rPr>
                <w:b/>
                <w:spacing w:val="-4"/>
                <w:sz w:val="16"/>
              </w:rPr>
              <w:t>2033</w:t>
            </w:r>
          </w:p>
        </w:tc>
        <w:tc>
          <w:tcPr>
            <w:tcW w:w="677" w:type="dxa"/>
            <w:shd w:val="clear" w:color="auto" w:fill="92D400"/>
          </w:tcPr>
          <w:p w:rsidR="00C31389" w:rsidRDefault="00561FBD" w14:paraId="22D83DDF" w14:textId="77777777">
            <w:pPr>
              <w:pStyle w:val="TableParagraph"/>
              <w:ind w:right="170"/>
              <w:jc w:val="right"/>
              <w:rPr>
                <w:b/>
                <w:sz w:val="16"/>
              </w:rPr>
            </w:pPr>
            <w:r>
              <w:rPr>
                <w:b/>
                <w:spacing w:val="-4"/>
                <w:sz w:val="16"/>
              </w:rPr>
              <w:t>2034</w:t>
            </w:r>
          </w:p>
        </w:tc>
        <w:tc>
          <w:tcPr>
            <w:tcW w:w="640" w:type="dxa"/>
            <w:shd w:val="clear" w:color="auto" w:fill="92D400"/>
          </w:tcPr>
          <w:p w:rsidR="00C31389" w:rsidRDefault="00561FBD" w14:paraId="5CCA5100" w14:textId="77777777">
            <w:pPr>
              <w:pStyle w:val="TableParagraph"/>
              <w:ind w:left="106" w:right="89"/>
              <w:jc w:val="center"/>
              <w:rPr>
                <w:b/>
                <w:sz w:val="16"/>
              </w:rPr>
            </w:pPr>
            <w:r>
              <w:rPr>
                <w:b/>
                <w:spacing w:val="-4"/>
                <w:sz w:val="16"/>
              </w:rPr>
              <w:t>2035</w:t>
            </w:r>
          </w:p>
        </w:tc>
      </w:tr>
      <w:tr w:rsidR="00C31389" w14:paraId="18DD12CC" w14:textId="77777777">
        <w:trPr>
          <w:trHeight w:val="263"/>
        </w:trPr>
        <w:tc>
          <w:tcPr>
            <w:tcW w:w="9542" w:type="dxa"/>
            <w:gridSpan w:val="13"/>
            <w:tcBorders>
              <w:bottom w:val="single" w:color="DCDDDE" w:sz="4" w:space="0"/>
            </w:tcBorders>
            <w:shd w:val="clear" w:color="auto" w:fill="BEBEBE"/>
          </w:tcPr>
          <w:p w:rsidR="00C31389" w:rsidRDefault="00561FBD" w14:paraId="039F7F23" w14:textId="77777777">
            <w:pPr>
              <w:pStyle w:val="TableParagraph"/>
              <w:ind w:left="121"/>
              <w:rPr>
                <w:b/>
                <w:sz w:val="16"/>
              </w:rPr>
            </w:pPr>
            <w:r>
              <w:rPr>
                <w:b/>
                <w:sz w:val="16"/>
              </w:rPr>
              <w:t>Scenario</w:t>
            </w:r>
            <w:r>
              <w:rPr>
                <w:b/>
                <w:spacing w:val="-5"/>
                <w:sz w:val="16"/>
              </w:rPr>
              <w:t xml:space="preserve"> </w:t>
            </w:r>
            <w:r>
              <w:rPr>
                <w:b/>
                <w:sz w:val="16"/>
              </w:rPr>
              <w:t>1:</w:t>
            </w:r>
            <w:r>
              <w:rPr>
                <w:b/>
                <w:spacing w:val="-4"/>
                <w:sz w:val="16"/>
              </w:rPr>
              <w:t xml:space="preserve"> </w:t>
            </w:r>
            <w:r>
              <w:rPr>
                <w:b/>
                <w:sz w:val="16"/>
              </w:rPr>
              <w:t>No</w:t>
            </w:r>
            <w:r>
              <w:rPr>
                <w:b/>
                <w:spacing w:val="-5"/>
                <w:sz w:val="16"/>
              </w:rPr>
              <w:t xml:space="preserve"> IRA</w:t>
            </w:r>
          </w:p>
        </w:tc>
      </w:tr>
      <w:tr w:rsidR="00C31389" w14:paraId="7EF10C31" w14:textId="77777777">
        <w:trPr>
          <w:trHeight w:val="275"/>
        </w:trPr>
        <w:tc>
          <w:tcPr>
            <w:tcW w:w="947" w:type="dxa"/>
            <w:tcBorders>
              <w:top w:val="single" w:color="DCDDDE" w:sz="4" w:space="0"/>
              <w:bottom w:val="single" w:color="DCDDDE" w:sz="4" w:space="0"/>
            </w:tcBorders>
          </w:tcPr>
          <w:p w:rsidR="00C31389" w:rsidRDefault="00561FBD" w14:paraId="7426CE9C" w14:textId="77777777">
            <w:pPr>
              <w:pStyle w:val="TableParagraph"/>
              <w:spacing w:before="46"/>
              <w:ind w:left="121"/>
              <w:rPr>
                <w:sz w:val="16"/>
              </w:rPr>
            </w:pPr>
            <w:r>
              <w:rPr>
                <w:spacing w:val="-5"/>
                <w:sz w:val="16"/>
              </w:rPr>
              <w:t>EE</w:t>
            </w:r>
          </w:p>
        </w:tc>
        <w:tc>
          <w:tcPr>
            <w:tcW w:w="797" w:type="dxa"/>
            <w:tcBorders>
              <w:top w:val="single" w:color="DCDDDE" w:sz="4" w:space="0"/>
              <w:bottom w:val="single" w:color="D9D9D9" w:sz="8" w:space="0"/>
            </w:tcBorders>
          </w:tcPr>
          <w:p w:rsidR="00C31389" w:rsidRDefault="00561FBD" w14:paraId="0FD120D9" w14:textId="77777777">
            <w:pPr>
              <w:pStyle w:val="TableParagraph"/>
              <w:ind w:right="152"/>
              <w:jc w:val="right"/>
              <w:rPr>
                <w:sz w:val="17"/>
              </w:rPr>
            </w:pPr>
            <w:r>
              <w:rPr>
                <w:spacing w:val="-4"/>
                <w:sz w:val="17"/>
              </w:rPr>
              <w:t>13.6</w:t>
            </w:r>
          </w:p>
        </w:tc>
        <w:tc>
          <w:tcPr>
            <w:tcW w:w="751" w:type="dxa"/>
            <w:tcBorders>
              <w:top w:val="single" w:color="DCDDDE" w:sz="4" w:space="0"/>
              <w:bottom w:val="single" w:color="D9D9D9" w:sz="8" w:space="0"/>
            </w:tcBorders>
          </w:tcPr>
          <w:p w:rsidR="00C31389" w:rsidRDefault="00561FBD" w14:paraId="64E5E724" w14:textId="77777777">
            <w:pPr>
              <w:pStyle w:val="TableParagraph"/>
              <w:ind w:left="187" w:right="77"/>
              <w:jc w:val="center"/>
              <w:rPr>
                <w:sz w:val="17"/>
              </w:rPr>
            </w:pPr>
            <w:r>
              <w:rPr>
                <w:spacing w:val="-4"/>
                <w:sz w:val="17"/>
              </w:rPr>
              <w:t>14.4</w:t>
            </w:r>
          </w:p>
        </w:tc>
        <w:tc>
          <w:tcPr>
            <w:tcW w:w="751" w:type="dxa"/>
            <w:tcBorders>
              <w:top w:val="single" w:color="DCDDDE" w:sz="4" w:space="0"/>
              <w:bottom w:val="single" w:color="D9D9D9" w:sz="8" w:space="0"/>
            </w:tcBorders>
          </w:tcPr>
          <w:p w:rsidR="00C31389" w:rsidRDefault="00561FBD" w14:paraId="62E146C3" w14:textId="77777777">
            <w:pPr>
              <w:pStyle w:val="TableParagraph"/>
              <w:ind w:left="187" w:right="76"/>
              <w:jc w:val="center"/>
              <w:rPr>
                <w:sz w:val="17"/>
              </w:rPr>
            </w:pPr>
            <w:r>
              <w:rPr>
                <w:spacing w:val="-4"/>
                <w:sz w:val="17"/>
              </w:rPr>
              <w:t>14.3</w:t>
            </w:r>
          </w:p>
        </w:tc>
        <w:tc>
          <w:tcPr>
            <w:tcW w:w="750" w:type="dxa"/>
            <w:tcBorders>
              <w:top w:val="single" w:color="DCDDDE" w:sz="4" w:space="0"/>
              <w:bottom w:val="single" w:color="D9D9D9" w:sz="8" w:space="0"/>
            </w:tcBorders>
          </w:tcPr>
          <w:p w:rsidR="00C31389" w:rsidRDefault="00561FBD" w14:paraId="77649C40" w14:textId="77777777">
            <w:pPr>
              <w:pStyle w:val="TableParagraph"/>
              <w:ind w:right="151"/>
              <w:jc w:val="right"/>
              <w:rPr>
                <w:sz w:val="17"/>
              </w:rPr>
            </w:pPr>
            <w:r>
              <w:rPr>
                <w:spacing w:val="-4"/>
                <w:sz w:val="17"/>
              </w:rPr>
              <w:t>14.5</w:t>
            </w:r>
          </w:p>
        </w:tc>
        <w:tc>
          <w:tcPr>
            <w:tcW w:w="750" w:type="dxa"/>
            <w:tcBorders>
              <w:top w:val="single" w:color="DCDDDE" w:sz="4" w:space="0"/>
              <w:bottom w:val="single" w:color="D9D9D9" w:sz="8" w:space="0"/>
            </w:tcBorders>
          </w:tcPr>
          <w:p w:rsidR="00C31389" w:rsidRDefault="00561FBD" w14:paraId="69CB354A" w14:textId="77777777">
            <w:pPr>
              <w:pStyle w:val="TableParagraph"/>
              <w:ind w:left="188" w:right="74"/>
              <w:jc w:val="center"/>
              <w:rPr>
                <w:sz w:val="17"/>
              </w:rPr>
            </w:pPr>
            <w:r>
              <w:rPr>
                <w:spacing w:val="-4"/>
                <w:sz w:val="17"/>
              </w:rPr>
              <w:t>14.5</w:t>
            </w:r>
          </w:p>
        </w:tc>
        <w:tc>
          <w:tcPr>
            <w:tcW w:w="753" w:type="dxa"/>
            <w:tcBorders>
              <w:top w:val="single" w:color="DCDDDE" w:sz="4" w:space="0"/>
              <w:bottom w:val="single" w:color="D9D9D9" w:sz="8" w:space="0"/>
            </w:tcBorders>
          </w:tcPr>
          <w:p w:rsidR="00C31389" w:rsidRDefault="00561FBD" w14:paraId="33C84368" w14:textId="77777777">
            <w:pPr>
              <w:pStyle w:val="TableParagraph"/>
              <w:ind w:right="152"/>
              <w:jc w:val="right"/>
              <w:rPr>
                <w:sz w:val="17"/>
              </w:rPr>
            </w:pPr>
            <w:r>
              <w:rPr>
                <w:spacing w:val="-4"/>
                <w:sz w:val="17"/>
              </w:rPr>
              <w:t>14.1</w:t>
            </w:r>
          </w:p>
        </w:tc>
        <w:tc>
          <w:tcPr>
            <w:tcW w:w="677" w:type="dxa"/>
            <w:tcBorders>
              <w:top w:val="single" w:color="DCDDDE" w:sz="4" w:space="0"/>
              <w:bottom w:val="single" w:color="D9D9D9" w:sz="8" w:space="0"/>
            </w:tcBorders>
          </w:tcPr>
          <w:p w:rsidR="00C31389" w:rsidRDefault="00561FBD" w14:paraId="24CEB95C" w14:textId="77777777">
            <w:pPr>
              <w:pStyle w:val="TableParagraph"/>
              <w:ind w:left="190"/>
              <w:rPr>
                <w:sz w:val="17"/>
              </w:rPr>
            </w:pPr>
            <w:r>
              <w:rPr>
                <w:spacing w:val="-4"/>
                <w:sz w:val="17"/>
              </w:rPr>
              <w:t>14.5</w:t>
            </w:r>
          </w:p>
        </w:tc>
        <w:tc>
          <w:tcPr>
            <w:tcW w:w="677" w:type="dxa"/>
            <w:tcBorders>
              <w:top w:val="single" w:color="DCDDDE" w:sz="4" w:space="0"/>
              <w:bottom w:val="single" w:color="D9D9D9" w:sz="8" w:space="0"/>
            </w:tcBorders>
          </w:tcPr>
          <w:p w:rsidR="00C31389" w:rsidRDefault="00561FBD" w14:paraId="29A9CA53" w14:textId="77777777">
            <w:pPr>
              <w:pStyle w:val="TableParagraph"/>
              <w:ind w:left="114" w:right="77"/>
              <w:jc w:val="center"/>
              <w:rPr>
                <w:sz w:val="17"/>
              </w:rPr>
            </w:pPr>
            <w:r>
              <w:rPr>
                <w:spacing w:val="-4"/>
                <w:sz w:val="17"/>
              </w:rPr>
              <w:t>14.0</w:t>
            </w:r>
          </w:p>
        </w:tc>
        <w:tc>
          <w:tcPr>
            <w:tcW w:w="696" w:type="dxa"/>
            <w:tcBorders>
              <w:top w:val="single" w:color="DCDDDE" w:sz="4" w:space="0"/>
              <w:bottom w:val="single" w:color="D9D9D9" w:sz="8" w:space="0"/>
            </w:tcBorders>
          </w:tcPr>
          <w:p w:rsidR="00C31389" w:rsidRDefault="00561FBD" w14:paraId="71C3AC10" w14:textId="77777777">
            <w:pPr>
              <w:pStyle w:val="TableParagraph"/>
              <w:ind w:left="115" w:right="97"/>
              <w:jc w:val="center"/>
              <w:rPr>
                <w:sz w:val="17"/>
              </w:rPr>
            </w:pPr>
            <w:r>
              <w:rPr>
                <w:spacing w:val="-4"/>
                <w:sz w:val="17"/>
              </w:rPr>
              <w:t>13.6</w:t>
            </w:r>
          </w:p>
        </w:tc>
        <w:tc>
          <w:tcPr>
            <w:tcW w:w="676" w:type="dxa"/>
            <w:tcBorders>
              <w:top w:val="single" w:color="DCDDDE" w:sz="4" w:space="0"/>
              <w:bottom w:val="single" w:color="D9D9D9" w:sz="8" w:space="0"/>
            </w:tcBorders>
          </w:tcPr>
          <w:p w:rsidR="00C31389" w:rsidRDefault="00561FBD" w14:paraId="7AACE0D0" w14:textId="77777777">
            <w:pPr>
              <w:pStyle w:val="TableParagraph"/>
              <w:ind w:left="174"/>
              <w:rPr>
                <w:sz w:val="17"/>
              </w:rPr>
            </w:pPr>
            <w:r>
              <w:rPr>
                <w:spacing w:val="-4"/>
                <w:sz w:val="17"/>
              </w:rPr>
              <w:t>13.3</w:t>
            </w:r>
          </w:p>
        </w:tc>
        <w:tc>
          <w:tcPr>
            <w:tcW w:w="677" w:type="dxa"/>
            <w:tcBorders>
              <w:top w:val="single" w:color="DCDDDE" w:sz="4" w:space="0"/>
              <w:bottom w:val="single" w:color="D9D9D9" w:sz="8" w:space="0"/>
            </w:tcBorders>
          </w:tcPr>
          <w:p w:rsidR="00C31389" w:rsidRDefault="00561FBD" w14:paraId="55398745" w14:textId="77777777">
            <w:pPr>
              <w:pStyle w:val="TableParagraph"/>
              <w:ind w:right="169"/>
              <w:jc w:val="right"/>
              <w:rPr>
                <w:sz w:val="17"/>
              </w:rPr>
            </w:pPr>
            <w:r>
              <w:rPr>
                <w:spacing w:val="-4"/>
                <w:sz w:val="17"/>
              </w:rPr>
              <w:t>13.1</w:t>
            </w:r>
          </w:p>
        </w:tc>
        <w:tc>
          <w:tcPr>
            <w:tcW w:w="640" w:type="dxa"/>
            <w:tcBorders>
              <w:top w:val="single" w:color="DCDDDE" w:sz="4" w:space="0"/>
              <w:bottom w:val="single" w:color="D9D9D9" w:sz="8" w:space="0"/>
            </w:tcBorders>
          </w:tcPr>
          <w:p w:rsidR="00C31389" w:rsidRDefault="00561FBD" w14:paraId="1B0737B6" w14:textId="77777777">
            <w:pPr>
              <w:pStyle w:val="TableParagraph"/>
              <w:ind w:left="133" w:right="89"/>
              <w:jc w:val="center"/>
              <w:rPr>
                <w:sz w:val="17"/>
              </w:rPr>
            </w:pPr>
            <w:r>
              <w:rPr>
                <w:spacing w:val="-4"/>
                <w:sz w:val="17"/>
              </w:rPr>
              <w:t>13.0</w:t>
            </w:r>
          </w:p>
        </w:tc>
      </w:tr>
      <w:tr w:rsidR="00C31389" w14:paraId="3C26CA09" w14:textId="77777777">
        <w:trPr>
          <w:trHeight w:val="275"/>
        </w:trPr>
        <w:tc>
          <w:tcPr>
            <w:tcW w:w="947" w:type="dxa"/>
            <w:tcBorders>
              <w:top w:val="single" w:color="DCDDDE" w:sz="4" w:space="0"/>
              <w:bottom w:val="single" w:color="DCDDDE" w:sz="4" w:space="0"/>
            </w:tcBorders>
          </w:tcPr>
          <w:p w:rsidR="00C31389" w:rsidRDefault="00561FBD" w14:paraId="006DB428" w14:textId="77777777">
            <w:pPr>
              <w:pStyle w:val="TableParagraph"/>
              <w:spacing w:before="46"/>
              <w:ind w:left="121"/>
              <w:rPr>
                <w:sz w:val="16"/>
              </w:rPr>
            </w:pPr>
            <w:r>
              <w:rPr>
                <w:spacing w:val="-5"/>
                <w:sz w:val="16"/>
              </w:rPr>
              <w:t>FS</w:t>
            </w:r>
          </w:p>
        </w:tc>
        <w:tc>
          <w:tcPr>
            <w:tcW w:w="797" w:type="dxa"/>
            <w:tcBorders>
              <w:top w:val="single" w:color="D9D9D9" w:sz="8" w:space="0"/>
              <w:bottom w:val="single" w:color="D9D9D9" w:sz="8" w:space="0"/>
            </w:tcBorders>
          </w:tcPr>
          <w:p w:rsidR="00C31389" w:rsidRDefault="00561FBD" w14:paraId="0BA51BDB" w14:textId="77777777">
            <w:pPr>
              <w:pStyle w:val="TableParagraph"/>
              <w:ind w:right="152"/>
              <w:jc w:val="right"/>
              <w:rPr>
                <w:sz w:val="17"/>
              </w:rPr>
            </w:pPr>
            <w:r>
              <w:rPr>
                <w:spacing w:val="-4"/>
                <w:sz w:val="17"/>
              </w:rPr>
              <w:t>56.3</w:t>
            </w:r>
          </w:p>
        </w:tc>
        <w:tc>
          <w:tcPr>
            <w:tcW w:w="751" w:type="dxa"/>
            <w:tcBorders>
              <w:top w:val="single" w:color="D9D9D9" w:sz="8" w:space="0"/>
              <w:bottom w:val="single" w:color="D9D9D9" w:sz="8" w:space="0"/>
            </w:tcBorders>
          </w:tcPr>
          <w:p w:rsidR="00C31389" w:rsidRDefault="00561FBD" w14:paraId="582A5250" w14:textId="77777777">
            <w:pPr>
              <w:pStyle w:val="TableParagraph"/>
              <w:ind w:left="187" w:right="77"/>
              <w:jc w:val="center"/>
              <w:rPr>
                <w:sz w:val="17"/>
              </w:rPr>
            </w:pPr>
            <w:r>
              <w:rPr>
                <w:spacing w:val="-4"/>
                <w:sz w:val="17"/>
              </w:rPr>
              <w:t>62.6</w:t>
            </w:r>
          </w:p>
        </w:tc>
        <w:tc>
          <w:tcPr>
            <w:tcW w:w="751" w:type="dxa"/>
            <w:tcBorders>
              <w:top w:val="single" w:color="D9D9D9" w:sz="8" w:space="0"/>
              <w:bottom w:val="single" w:color="D9D9D9" w:sz="8" w:space="0"/>
            </w:tcBorders>
          </w:tcPr>
          <w:p w:rsidR="00C31389" w:rsidRDefault="00561FBD" w14:paraId="6AA49D6A" w14:textId="77777777">
            <w:pPr>
              <w:pStyle w:val="TableParagraph"/>
              <w:ind w:left="187" w:right="76"/>
              <w:jc w:val="center"/>
              <w:rPr>
                <w:sz w:val="17"/>
              </w:rPr>
            </w:pPr>
            <w:r>
              <w:rPr>
                <w:spacing w:val="-4"/>
                <w:sz w:val="17"/>
              </w:rPr>
              <w:t>66.3</w:t>
            </w:r>
          </w:p>
        </w:tc>
        <w:tc>
          <w:tcPr>
            <w:tcW w:w="750" w:type="dxa"/>
            <w:tcBorders>
              <w:top w:val="single" w:color="D9D9D9" w:sz="8" w:space="0"/>
              <w:bottom w:val="single" w:color="D9D9D9" w:sz="8" w:space="0"/>
            </w:tcBorders>
          </w:tcPr>
          <w:p w:rsidR="00C31389" w:rsidRDefault="00561FBD" w14:paraId="4837E5A4" w14:textId="77777777">
            <w:pPr>
              <w:pStyle w:val="TableParagraph"/>
              <w:ind w:right="151"/>
              <w:jc w:val="right"/>
              <w:rPr>
                <w:sz w:val="17"/>
              </w:rPr>
            </w:pPr>
            <w:r>
              <w:rPr>
                <w:spacing w:val="-4"/>
                <w:sz w:val="17"/>
              </w:rPr>
              <w:t>74.5</w:t>
            </w:r>
          </w:p>
        </w:tc>
        <w:tc>
          <w:tcPr>
            <w:tcW w:w="750" w:type="dxa"/>
            <w:tcBorders>
              <w:top w:val="single" w:color="D9D9D9" w:sz="8" w:space="0"/>
              <w:bottom w:val="single" w:color="D9D9D9" w:sz="8" w:space="0"/>
            </w:tcBorders>
          </w:tcPr>
          <w:p w:rsidR="00C31389" w:rsidRDefault="00561FBD" w14:paraId="2371A144" w14:textId="77777777">
            <w:pPr>
              <w:pStyle w:val="TableParagraph"/>
              <w:ind w:left="188" w:right="74"/>
              <w:jc w:val="center"/>
              <w:rPr>
                <w:sz w:val="17"/>
              </w:rPr>
            </w:pPr>
            <w:r>
              <w:rPr>
                <w:spacing w:val="-4"/>
                <w:sz w:val="17"/>
              </w:rPr>
              <w:t>78.7</w:t>
            </w:r>
          </w:p>
        </w:tc>
        <w:tc>
          <w:tcPr>
            <w:tcW w:w="753" w:type="dxa"/>
            <w:tcBorders>
              <w:top w:val="single" w:color="D9D9D9" w:sz="8" w:space="0"/>
              <w:bottom w:val="single" w:color="D9D9D9" w:sz="8" w:space="0"/>
            </w:tcBorders>
          </w:tcPr>
          <w:p w:rsidR="00C31389" w:rsidRDefault="00561FBD" w14:paraId="59447BA1" w14:textId="77777777">
            <w:pPr>
              <w:pStyle w:val="TableParagraph"/>
              <w:ind w:right="152"/>
              <w:jc w:val="right"/>
              <w:rPr>
                <w:sz w:val="17"/>
              </w:rPr>
            </w:pPr>
            <w:r>
              <w:rPr>
                <w:spacing w:val="-4"/>
                <w:sz w:val="17"/>
              </w:rPr>
              <w:t>82.0</w:t>
            </w:r>
          </w:p>
        </w:tc>
        <w:tc>
          <w:tcPr>
            <w:tcW w:w="677" w:type="dxa"/>
            <w:tcBorders>
              <w:top w:val="single" w:color="D9D9D9" w:sz="8" w:space="0"/>
              <w:bottom w:val="single" w:color="D9D9D9" w:sz="8" w:space="0"/>
            </w:tcBorders>
          </w:tcPr>
          <w:p w:rsidR="00C31389" w:rsidRDefault="00561FBD" w14:paraId="3347A5BB" w14:textId="77777777">
            <w:pPr>
              <w:pStyle w:val="TableParagraph"/>
              <w:ind w:left="190"/>
              <w:rPr>
                <w:sz w:val="17"/>
              </w:rPr>
            </w:pPr>
            <w:r>
              <w:rPr>
                <w:spacing w:val="-4"/>
                <w:sz w:val="17"/>
              </w:rPr>
              <w:t>10.8</w:t>
            </w:r>
          </w:p>
        </w:tc>
        <w:tc>
          <w:tcPr>
            <w:tcW w:w="677" w:type="dxa"/>
            <w:tcBorders>
              <w:top w:val="single" w:color="D9D9D9" w:sz="8" w:space="0"/>
              <w:bottom w:val="single" w:color="D9D9D9" w:sz="8" w:space="0"/>
            </w:tcBorders>
          </w:tcPr>
          <w:p w:rsidR="00C31389" w:rsidRDefault="00561FBD" w14:paraId="5EADD365" w14:textId="77777777">
            <w:pPr>
              <w:pStyle w:val="TableParagraph"/>
              <w:ind w:left="114" w:right="77"/>
              <w:jc w:val="center"/>
              <w:rPr>
                <w:sz w:val="17"/>
              </w:rPr>
            </w:pPr>
            <w:r>
              <w:rPr>
                <w:spacing w:val="-4"/>
                <w:sz w:val="17"/>
              </w:rPr>
              <w:t>11.6</w:t>
            </w:r>
          </w:p>
        </w:tc>
        <w:tc>
          <w:tcPr>
            <w:tcW w:w="696" w:type="dxa"/>
            <w:tcBorders>
              <w:top w:val="single" w:color="D9D9D9" w:sz="8" w:space="0"/>
              <w:bottom w:val="single" w:color="D9D9D9" w:sz="8" w:space="0"/>
            </w:tcBorders>
          </w:tcPr>
          <w:p w:rsidR="00C31389" w:rsidRDefault="00561FBD" w14:paraId="4D93A913" w14:textId="77777777">
            <w:pPr>
              <w:pStyle w:val="TableParagraph"/>
              <w:ind w:left="115" w:right="97"/>
              <w:jc w:val="center"/>
              <w:rPr>
                <w:sz w:val="17"/>
              </w:rPr>
            </w:pPr>
            <w:r>
              <w:rPr>
                <w:spacing w:val="-4"/>
                <w:sz w:val="17"/>
              </w:rPr>
              <w:t>12.3</w:t>
            </w:r>
          </w:p>
        </w:tc>
        <w:tc>
          <w:tcPr>
            <w:tcW w:w="676" w:type="dxa"/>
            <w:tcBorders>
              <w:top w:val="single" w:color="D9D9D9" w:sz="8" w:space="0"/>
              <w:bottom w:val="single" w:color="D9D9D9" w:sz="8" w:space="0"/>
            </w:tcBorders>
          </w:tcPr>
          <w:p w:rsidR="00C31389" w:rsidRDefault="00561FBD" w14:paraId="34CA2082" w14:textId="77777777">
            <w:pPr>
              <w:pStyle w:val="TableParagraph"/>
              <w:ind w:left="174"/>
              <w:rPr>
                <w:sz w:val="17"/>
              </w:rPr>
            </w:pPr>
            <w:r>
              <w:rPr>
                <w:spacing w:val="-4"/>
                <w:sz w:val="17"/>
              </w:rPr>
              <w:t>12.9</w:t>
            </w:r>
          </w:p>
        </w:tc>
        <w:tc>
          <w:tcPr>
            <w:tcW w:w="677" w:type="dxa"/>
            <w:tcBorders>
              <w:top w:val="single" w:color="D9D9D9" w:sz="8" w:space="0"/>
              <w:bottom w:val="single" w:color="D9D9D9" w:sz="8" w:space="0"/>
            </w:tcBorders>
          </w:tcPr>
          <w:p w:rsidR="00C31389" w:rsidRDefault="00561FBD" w14:paraId="494DF690" w14:textId="77777777">
            <w:pPr>
              <w:pStyle w:val="TableParagraph"/>
              <w:ind w:right="169"/>
              <w:jc w:val="right"/>
              <w:rPr>
                <w:sz w:val="17"/>
              </w:rPr>
            </w:pPr>
            <w:r>
              <w:rPr>
                <w:spacing w:val="-4"/>
                <w:sz w:val="17"/>
              </w:rPr>
              <w:t>13.6</w:t>
            </w:r>
          </w:p>
        </w:tc>
        <w:tc>
          <w:tcPr>
            <w:tcW w:w="640" w:type="dxa"/>
            <w:tcBorders>
              <w:top w:val="single" w:color="D9D9D9" w:sz="8" w:space="0"/>
              <w:bottom w:val="single" w:color="D9D9D9" w:sz="8" w:space="0"/>
            </w:tcBorders>
          </w:tcPr>
          <w:p w:rsidR="00C31389" w:rsidRDefault="00561FBD" w14:paraId="4EF8DC43" w14:textId="77777777">
            <w:pPr>
              <w:pStyle w:val="TableParagraph"/>
              <w:ind w:left="133" w:right="89"/>
              <w:jc w:val="center"/>
              <w:rPr>
                <w:sz w:val="17"/>
              </w:rPr>
            </w:pPr>
            <w:r>
              <w:rPr>
                <w:spacing w:val="-4"/>
                <w:sz w:val="17"/>
              </w:rPr>
              <w:t>14.2</w:t>
            </w:r>
          </w:p>
        </w:tc>
      </w:tr>
      <w:tr w:rsidR="00C31389" w14:paraId="309CEBBB" w14:textId="77777777">
        <w:trPr>
          <w:trHeight w:val="275"/>
        </w:trPr>
        <w:tc>
          <w:tcPr>
            <w:tcW w:w="947" w:type="dxa"/>
            <w:tcBorders>
              <w:top w:val="single" w:color="DCDDDE" w:sz="4" w:space="0"/>
              <w:bottom w:val="single" w:color="DCDDDE" w:sz="4" w:space="0"/>
            </w:tcBorders>
          </w:tcPr>
          <w:p w:rsidR="00C31389" w:rsidRDefault="00561FBD" w14:paraId="372190FD" w14:textId="77777777">
            <w:pPr>
              <w:pStyle w:val="TableParagraph"/>
              <w:spacing w:before="46"/>
              <w:ind w:left="121"/>
              <w:rPr>
                <w:sz w:val="16"/>
              </w:rPr>
            </w:pPr>
            <w:r>
              <w:rPr>
                <w:spacing w:val="-4"/>
                <w:sz w:val="16"/>
              </w:rPr>
              <w:t>BROs</w:t>
            </w:r>
          </w:p>
        </w:tc>
        <w:tc>
          <w:tcPr>
            <w:tcW w:w="797" w:type="dxa"/>
            <w:tcBorders>
              <w:top w:val="single" w:color="D9D9D9" w:sz="8" w:space="0"/>
              <w:bottom w:val="single" w:color="DCDDDE" w:sz="4" w:space="0"/>
            </w:tcBorders>
          </w:tcPr>
          <w:p w:rsidR="00C31389" w:rsidRDefault="00561FBD" w14:paraId="1DC40BF6" w14:textId="77777777">
            <w:pPr>
              <w:pStyle w:val="TableParagraph"/>
              <w:spacing w:before="41"/>
              <w:ind w:right="152"/>
              <w:jc w:val="right"/>
              <w:rPr>
                <w:sz w:val="17"/>
              </w:rPr>
            </w:pPr>
            <w:r>
              <w:rPr>
                <w:spacing w:val="-4"/>
                <w:sz w:val="17"/>
              </w:rPr>
              <w:t>45.4</w:t>
            </w:r>
          </w:p>
        </w:tc>
        <w:tc>
          <w:tcPr>
            <w:tcW w:w="751" w:type="dxa"/>
            <w:tcBorders>
              <w:top w:val="single" w:color="D9D9D9" w:sz="8" w:space="0"/>
              <w:bottom w:val="single" w:color="DCDDDE" w:sz="4" w:space="0"/>
            </w:tcBorders>
          </w:tcPr>
          <w:p w:rsidR="00C31389" w:rsidRDefault="00561FBD" w14:paraId="050B8BE0" w14:textId="77777777">
            <w:pPr>
              <w:pStyle w:val="TableParagraph"/>
              <w:spacing w:before="41"/>
              <w:ind w:left="187" w:right="77"/>
              <w:jc w:val="center"/>
              <w:rPr>
                <w:sz w:val="17"/>
              </w:rPr>
            </w:pPr>
            <w:r>
              <w:rPr>
                <w:spacing w:val="-4"/>
                <w:sz w:val="17"/>
              </w:rPr>
              <w:t>47.7</w:t>
            </w:r>
          </w:p>
        </w:tc>
        <w:tc>
          <w:tcPr>
            <w:tcW w:w="751" w:type="dxa"/>
            <w:tcBorders>
              <w:top w:val="single" w:color="D9D9D9" w:sz="8" w:space="0"/>
              <w:bottom w:val="single" w:color="DCDDDE" w:sz="4" w:space="0"/>
            </w:tcBorders>
          </w:tcPr>
          <w:p w:rsidR="00C31389" w:rsidRDefault="00561FBD" w14:paraId="2701C9FF" w14:textId="77777777">
            <w:pPr>
              <w:pStyle w:val="TableParagraph"/>
              <w:spacing w:before="41"/>
              <w:ind w:left="187" w:right="76"/>
              <w:jc w:val="center"/>
              <w:rPr>
                <w:sz w:val="17"/>
              </w:rPr>
            </w:pPr>
            <w:r>
              <w:rPr>
                <w:spacing w:val="-4"/>
                <w:sz w:val="17"/>
              </w:rPr>
              <w:t>50.0</w:t>
            </w:r>
          </w:p>
        </w:tc>
        <w:tc>
          <w:tcPr>
            <w:tcW w:w="750" w:type="dxa"/>
            <w:tcBorders>
              <w:top w:val="single" w:color="D9D9D9" w:sz="8" w:space="0"/>
              <w:bottom w:val="single" w:color="DCDDDE" w:sz="4" w:space="0"/>
            </w:tcBorders>
          </w:tcPr>
          <w:p w:rsidR="00C31389" w:rsidRDefault="00561FBD" w14:paraId="0AAF0944" w14:textId="77777777">
            <w:pPr>
              <w:pStyle w:val="TableParagraph"/>
              <w:spacing w:before="41"/>
              <w:ind w:right="151"/>
              <w:jc w:val="right"/>
              <w:rPr>
                <w:sz w:val="17"/>
              </w:rPr>
            </w:pPr>
            <w:r>
              <w:rPr>
                <w:spacing w:val="-4"/>
                <w:sz w:val="17"/>
              </w:rPr>
              <w:t>51.8</w:t>
            </w:r>
          </w:p>
        </w:tc>
        <w:tc>
          <w:tcPr>
            <w:tcW w:w="750" w:type="dxa"/>
            <w:tcBorders>
              <w:top w:val="single" w:color="D9D9D9" w:sz="8" w:space="0"/>
              <w:bottom w:val="single" w:color="DCDDDE" w:sz="4" w:space="0"/>
            </w:tcBorders>
          </w:tcPr>
          <w:p w:rsidR="00C31389" w:rsidRDefault="00561FBD" w14:paraId="78033012" w14:textId="77777777">
            <w:pPr>
              <w:pStyle w:val="TableParagraph"/>
              <w:spacing w:before="41"/>
              <w:ind w:left="188" w:right="74"/>
              <w:jc w:val="center"/>
              <w:rPr>
                <w:sz w:val="17"/>
              </w:rPr>
            </w:pPr>
            <w:r>
              <w:rPr>
                <w:spacing w:val="-4"/>
                <w:sz w:val="17"/>
              </w:rPr>
              <w:t>53.4</w:t>
            </w:r>
          </w:p>
        </w:tc>
        <w:tc>
          <w:tcPr>
            <w:tcW w:w="753" w:type="dxa"/>
            <w:tcBorders>
              <w:top w:val="single" w:color="D9D9D9" w:sz="8" w:space="0"/>
              <w:bottom w:val="single" w:color="DCDDDE" w:sz="4" w:space="0"/>
            </w:tcBorders>
          </w:tcPr>
          <w:p w:rsidR="00C31389" w:rsidRDefault="00561FBD" w14:paraId="2D580F7C" w14:textId="77777777">
            <w:pPr>
              <w:pStyle w:val="TableParagraph"/>
              <w:spacing w:before="41"/>
              <w:ind w:right="152"/>
              <w:jc w:val="right"/>
              <w:rPr>
                <w:sz w:val="17"/>
              </w:rPr>
            </w:pPr>
            <w:r>
              <w:rPr>
                <w:spacing w:val="-4"/>
                <w:sz w:val="17"/>
              </w:rPr>
              <w:t>55.2</w:t>
            </w:r>
          </w:p>
        </w:tc>
        <w:tc>
          <w:tcPr>
            <w:tcW w:w="677" w:type="dxa"/>
            <w:tcBorders>
              <w:top w:val="single" w:color="D9D9D9" w:sz="8" w:space="0"/>
              <w:bottom w:val="single" w:color="DCDDDE" w:sz="4" w:space="0"/>
            </w:tcBorders>
          </w:tcPr>
          <w:p w:rsidR="00C31389" w:rsidRDefault="00561FBD" w14:paraId="2656E615" w14:textId="77777777">
            <w:pPr>
              <w:pStyle w:val="TableParagraph"/>
              <w:spacing w:before="41"/>
              <w:ind w:left="190"/>
              <w:rPr>
                <w:sz w:val="17"/>
              </w:rPr>
            </w:pPr>
            <w:r>
              <w:rPr>
                <w:spacing w:val="-4"/>
                <w:sz w:val="17"/>
              </w:rPr>
              <w:t>57.1</w:t>
            </w:r>
          </w:p>
        </w:tc>
        <w:tc>
          <w:tcPr>
            <w:tcW w:w="677" w:type="dxa"/>
            <w:tcBorders>
              <w:top w:val="single" w:color="D9D9D9" w:sz="8" w:space="0"/>
              <w:bottom w:val="single" w:color="DCDDDE" w:sz="4" w:space="0"/>
            </w:tcBorders>
          </w:tcPr>
          <w:p w:rsidR="00C31389" w:rsidRDefault="00561FBD" w14:paraId="6EC58BE4" w14:textId="77777777">
            <w:pPr>
              <w:pStyle w:val="TableParagraph"/>
              <w:spacing w:before="41"/>
              <w:ind w:left="114" w:right="77"/>
              <w:jc w:val="center"/>
              <w:rPr>
                <w:sz w:val="17"/>
              </w:rPr>
            </w:pPr>
            <w:r>
              <w:rPr>
                <w:spacing w:val="-4"/>
                <w:sz w:val="17"/>
              </w:rPr>
              <w:t>59.0</w:t>
            </w:r>
          </w:p>
        </w:tc>
        <w:tc>
          <w:tcPr>
            <w:tcW w:w="696" w:type="dxa"/>
            <w:tcBorders>
              <w:top w:val="single" w:color="D9D9D9" w:sz="8" w:space="0"/>
              <w:bottom w:val="single" w:color="DCDDDE" w:sz="4" w:space="0"/>
            </w:tcBorders>
          </w:tcPr>
          <w:p w:rsidR="00C31389" w:rsidRDefault="00561FBD" w14:paraId="2B94A8FC" w14:textId="77777777">
            <w:pPr>
              <w:pStyle w:val="TableParagraph"/>
              <w:spacing w:before="41"/>
              <w:ind w:left="115" w:right="97"/>
              <w:jc w:val="center"/>
              <w:rPr>
                <w:sz w:val="17"/>
              </w:rPr>
            </w:pPr>
            <w:r>
              <w:rPr>
                <w:spacing w:val="-4"/>
                <w:sz w:val="17"/>
              </w:rPr>
              <w:t>60.8</w:t>
            </w:r>
          </w:p>
        </w:tc>
        <w:tc>
          <w:tcPr>
            <w:tcW w:w="676" w:type="dxa"/>
            <w:tcBorders>
              <w:top w:val="single" w:color="D9D9D9" w:sz="8" w:space="0"/>
              <w:bottom w:val="single" w:color="DCDDDE" w:sz="4" w:space="0"/>
            </w:tcBorders>
          </w:tcPr>
          <w:p w:rsidR="00C31389" w:rsidRDefault="00561FBD" w14:paraId="01238878" w14:textId="77777777">
            <w:pPr>
              <w:pStyle w:val="TableParagraph"/>
              <w:spacing w:before="41"/>
              <w:ind w:left="174"/>
              <w:rPr>
                <w:sz w:val="17"/>
              </w:rPr>
            </w:pPr>
            <w:r>
              <w:rPr>
                <w:spacing w:val="-4"/>
                <w:sz w:val="17"/>
              </w:rPr>
              <w:t>62.9</w:t>
            </w:r>
          </w:p>
        </w:tc>
        <w:tc>
          <w:tcPr>
            <w:tcW w:w="677" w:type="dxa"/>
            <w:tcBorders>
              <w:top w:val="single" w:color="D9D9D9" w:sz="8" w:space="0"/>
              <w:bottom w:val="single" w:color="DCDDDE" w:sz="4" w:space="0"/>
            </w:tcBorders>
          </w:tcPr>
          <w:p w:rsidR="00C31389" w:rsidRDefault="00561FBD" w14:paraId="4B370A8E" w14:textId="77777777">
            <w:pPr>
              <w:pStyle w:val="TableParagraph"/>
              <w:spacing w:before="41"/>
              <w:ind w:right="169"/>
              <w:jc w:val="right"/>
              <w:rPr>
                <w:sz w:val="17"/>
              </w:rPr>
            </w:pPr>
            <w:r>
              <w:rPr>
                <w:spacing w:val="-4"/>
                <w:sz w:val="17"/>
              </w:rPr>
              <w:t>63.9</w:t>
            </w:r>
          </w:p>
        </w:tc>
        <w:tc>
          <w:tcPr>
            <w:tcW w:w="640" w:type="dxa"/>
            <w:tcBorders>
              <w:top w:val="single" w:color="D9D9D9" w:sz="8" w:space="0"/>
              <w:bottom w:val="single" w:color="DCDDDE" w:sz="4" w:space="0"/>
            </w:tcBorders>
          </w:tcPr>
          <w:p w:rsidR="00C31389" w:rsidRDefault="00561FBD" w14:paraId="199CD4D0" w14:textId="77777777">
            <w:pPr>
              <w:pStyle w:val="TableParagraph"/>
              <w:spacing w:before="41"/>
              <w:ind w:left="133" w:right="89"/>
              <w:jc w:val="center"/>
              <w:rPr>
                <w:sz w:val="17"/>
              </w:rPr>
            </w:pPr>
            <w:r>
              <w:rPr>
                <w:spacing w:val="-4"/>
                <w:sz w:val="17"/>
              </w:rPr>
              <w:t>66.2</w:t>
            </w:r>
          </w:p>
        </w:tc>
      </w:tr>
      <w:tr w:rsidR="00C31389" w14:paraId="62FF2D0A" w14:textId="77777777">
        <w:trPr>
          <w:trHeight w:val="263"/>
        </w:trPr>
        <w:tc>
          <w:tcPr>
            <w:tcW w:w="9542" w:type="dxa"/>
            <w:gridSpan w:val="13"/>
            <w:tcBorders>
              <w:top w:val="single" w:color="DCDDDE" w:sz="4" w:space="0"/>
              <w:bottom w:val="single" w:color="DCDDDE" w:sz="4" w:space="0"/>
            </w:tcBorders>
            <w:shd w:val="clear" w:color="auto" w:fill="BEBEBE"/>
          </w:tcPr>
          <w:p w:rsidR="00C31389" w:rsidRDefault="00561FBD" w14:paraId="0F0C394E" w14:textId="77777777">
            <w:pPr>
              <w:pStyle w:val="TableParagraph"/>
              <w:ind w:left="121"/>
              <w:rPr>
                <w:b/>
                <w:sz w:val="16"/>
              </w:rPr>
            </w:pPr>
            <w:r>
              <w:rPr>
                <w:b/>
                <w:sz w:val="16"/>
              </w:rPr>
              <w:t>Scenario</w:t>
            </w:r>
            <w:r>
              <w:rPr>
                <w:b/>
                <w:spacing w:val="-7"/>
                <w:sz w:val="16"/>
              </w:rPr>
              <w:t xml:space="preserve"> </w:t>
            </w:r>
            <w:r>
              <w:rPr>
                <w:b/>
                <w:sz w:val="16"/>
              </w:rPr>
              <w:t>2:</w:t>
            </w:r>
            <w:r>
              <w:rPr>
                <w:b/>
                <w:spacing w:val="-6"/>
                <w:sz w:val="16"/>
              </w:rPr>
              <w:t xml:space="preserve"> </w:t>
            </w:r>
            <w:r>
              <w:rPr>
                <w:b/>
                <w:sz w:val="16"/>
              </w:rPr>
              <w:t>Reference</w:t>
            </w:r>
            <w:r>
              <w:rPr>
                <w:b/>
                <w:spacing w:val="-6"/>
                <w:sz w:val="16"/>
              </w:rPr>
              <w:t xml:space="preserve"> </w:t>
            </w:r>
            <w:r>
              <w:rPr>
                <w:b/>
                <w:sz w:val="16"/>
              </w:rPr>
              <w:t>IRA</w:t>
            </w:r>
            <w:r>
              <w:rPr>
                <w:b/>
                <w:spacing w:val="-6"/>
                <w:sz w:val="16"/>
              </w:rPr>
              <w:t xml:space="preserve"> </w:t>
            </w:r>
            <w:r>
              <w:rPr>
                <w:b/>
                <w:sz w:val="16"/>
              </w:rPr>
              <w:t>and</w:t>
            </w:r>
            <w:r>
              <w:rPr>
                <w:b/>
                <w:spacing w:val="-5"/>
                <w:sz w:val="16"/>
              </w:rPr>
              <w:t xml:space="preserve"> FS</w:t>
            </w:r>
          </w:p>
        </w:tc>
      </w:tr>
      <w:tr w:rsidR="00C31389" w14:paraId="6553FBD9" w14:textId="77777777">
        <w:trPr>
          <w:trHeight w:val="275"/>
        </w:trPr>
        <w:tc>
          <w:tcPr>
            <w:tcW w:w="947" w:type="dxa"/>
            <w:tcBorders>
              <w:top w:val="single" w:color="DCDDDE" w:sz="4" w:space="0"/>
              <w:bottom w:val="single" w:color="DCDDDE" w:sz="4" w:space="0"/>
            </w:tcBorders>
          </w:tcPr>
          <w:p w:rsidR="00C31389" w:rsidRDefault="00561FBD" w14:paraId="726FD250" w14:textId="77777777">
            <w:pPr>
              <w:pStyle w:val="TableParagraph"/>
              <w:spacing w:before="47"/>
              <w:ind w:left="121"/>
              <w:rPr>
                <w:sz w:val="16"/>
              </w:rPr>
            </w:pPr>
            <w:r>
              <w:rPr>
                <w:spacing w:val="-5"/>
                <w:sz w:val="16"/>
              </w:rPr>
              <w:t>EE</w:t>
            </w:r>
          </w:p>
        </w:tc>
        <w:tc>
          <w:tcPr>
            <w:tcW w:w="797" w:type="dxa"/>
            <w:tcBorders>
              <w:top w:val="single" w:color="DCDDDE" w:sz="4" w:space="0"/>
            </w:tcBorders>
          </w:tcPr>
          <w:p w:rsidR="00C31389" w:rsidRDefault="00561FBD" w14:paraId="46E446AA" w14:textId="77777777">
            <w:pPr>
              <w:pStyle w:val="TableParagraph"/>
              <w:spacing w:before="42"/>
              <w:ind w:right="152"/>
              <w:jc w:val="right"/>
              <w:rPr>
                <w:sz w:val="17"/>
              </w:rPr>
            </w:pPr>
            <w:r>
              <w:rPr>
                <w:spacing w:val="-4"/>
                <w:sz w:val="17"/>
              </w:rPr>
              <w:t>16.1</w:t>
            </w:r>
          </w:p>
        </w:tc>
        <w:tc>
          <w:tcPr>
            <w:tcW w:w="751" w:type="dxa"/>
            <w:tcBorders>
              <w:top w:val="single" w:color="DCDDDE" w:sz="4" w:space="0"/>
            </w:tcBorders>
          </w:tcPr>
          <w:p w:rsidR="00C31389" w:rsidRDefault="00561FBD" w14:paraId="3E77CE7C" w14:textId="77777777">
            <w:pPr>
              <w:pStyle w:val="TableParagraph"/>
              <w:spacing w:before="42"/>
              <w:ind w:left="187" w:right="77"/>
              <w:jc w:val="center"/>
              <w:rPr>
                <w:sz w:val="17"/>
              </w:rPr>
            </w:pPr>
            <w:r>
              <w:rPr>
                <w:spacing w:val="-4"/>
                <w:sz w:val="17"/>
              </w:rPr>
              <w:t>15.9</w:t>
            </w:r>
          </w:p>
        </w:tc>
        <w:tc>
          <w:tcPr>
            <w:tcW w:w="751" w:type="dxa"/>
            <w:tcBorders>
              <w:top w:val="single" w:color="DCDDDE" w:sz="4" w:space="0"/>
            </w:tcBorders>
          </w:tcPr>
          <w:p w:rsidR="00C31389" w:rsidRDefault="00561FBD" w14:paraId="15394603" w14:textId="77777777">
            <w:pPr>
              <w:pStyle w:val="TableParagraph"/>
              <w:spacing w:before="42"/>
              <w:ind w:left="187" w:right="76"/>
              <w:jc w:val="center"/>
              <w:rPr>
                <w:sz w:val="17"/>
              </w:rPr>
            </w:pPr>
            <w:r>
              <w:rPr>
                <w:spacing w:val="-4"/>
                <w:sz w:val="17"/>
              </w:rPr>
              <w:t>15.8</w:t>
            </w:r>
          </w:p>
        </w:tc>
        <w:tc>
          <w:tcPr>
            <w:tcW w:w="750" w:type="dxa"/>
            <w:tcBorders>
              <w:top w:val="single" w:color="DCDDDE" w:sz="4" w:space="0"/>
            </w:tcBorders>
          </w:tcPr>
          <w:p w:rsidR="00C31389" w:rsidRDefault="00561FBD" w14:paraId="513FA832" w14:textId="77777777">
            <w:pPr>
              <w:pStyle w:val="TableParagraph"/>
              <w:spacing w:before="42"/>
              <w:ind w:right="151"/>
              <w:jc w:val="right"/>
              <w:rPr>
                <w:sz w:val="17"/>
              </w:rPr>
            </w:pPr>
            <w:r>
              <w:rPr>
                <w:spacing w:val="-4"/>
                <w:sz w:val="17"/>
              </w:rPr>
              <w:t>15.6</w:t>
            </w:r>
          </w:p>
        </w:tc>
        <w:tc>
          <w:tcPr>
            <w:tcW w:w="750" w:type="dxa"/>
            <w:tcBorders>
              <w:top w:val="single" w:color="DCDDDE" w:sz="4" w:space="0"/>
            </w:tcBorders>
          </w:tcPr>
          <w:p w:rsidR="00C31389" w:rsidRDefault="00561FBD" w14:paraId="12246E78" w14:textId="77777777">
            <w:pPr>
              <w:pStyle w:val="TableParagraph"/>
              <w:spacing w:before="42"/>
              <w:ind w:left="188" w:right="74"/>
              <w:jc w:val="center"/>
              <w:rPr>
                <w:sz w:val="17"/>
              </w:rPr>
            </w:pPr>
            <w:r>
              <w:rPr>
                <w:spacing w:val="-4"/>
                <w:sz w:val="17"/>
              </w:rPr>
              <w:t>15.5</w:t>
            </w:r>
          </w:p>
        </w:tc>
        <w:tc>
          <w:tcPr>
            <w:tcW w:w="753" w:type="dxa"/>
            <w:tcBorders>
              <w:top w:val="single" w:color="DCDDDE" w:sz="4" w:space="0"/>
            </w:tcBorders>
          </w:tcPr>
          <w:p w:rsidR="00C31389" w:rsidRDefault="00561FBD" w14:paraId="1AAE9F14" w14:textId="77777777">
            <w:pPr>
              <w:pStyle w:val="TableParagraph"/>
              <w:spacing w:before="42"/>
              <w:ind w:right="152"/>
              <w:jc w:val="right"/>
              <w:rPr>
                <w:sz w:val="17"/>
              </w:rPr>
            </w:pPr>
            <w:r>
              <w:rPr>
                <w:spacing w:val="-4"/>
                <w:sz w:val="17"/>
              </w:rPr>
              <w:t>15.0</w:t>
            </w:r>
          </w:p>
        </w:tc>
        <w:tc>
          <w:tcPr>
            <w:tcW w:w="677" w:type="dxa"/>
            <w:tcBorders>
              <w:top w:val="single" w:color="DCDDDE" w:sz="4" w:space="0"/>
            </w:tcBorders>
          </w:tcPr>
          <w:p w:rsidR="00C31389" w:rsidRDefault="00561FBD" w14:paraId="38197F8F" w14:textId="77777777">
            <w:pPr>
              <w:pStyle w:val="TableParagraph"/>
              <w:spacing w:before="42"/>
              <w:ind w:left="190"/>
              <w:rPr>
                <w:sz w:val="17"/>
              </w:rPr>
            </w:pPr>
            <w:r>
              <w:rPr>
                <w:spacing w:val="-4"/>
                <w:sz w:val="17"/>
              </w:rPr>
              <w:t>15.3</w:t>
            </w:r>
          </w:p>
        </w:tc>
        <w:tc>
          <w:tcPr>
            <w:tcW w:w="677" w:type="dxa"/>
            <w:tcBorders>
              <w:top w:val="single" w:color="DCDDDE" w:sz="4" w:space="0"/>
            </w:tcBorders>
          </w:tcPr>
          <w:p w:rsidR="00C31389" w:rsidRDefault="00561FBD" w14:paraId="453F5AC1" w14:textId="77777777">
            <w:pPr>
              <w:pStyle w:val="TableParagraph"/>
              <w:spacing w:before="42"/>
              <w:ind w:left="114" w:right="77"/>
              <w:jc w:val="center"/>
              <w:rPr>
                <w:sz w:val="17"/>
              </w:rPr>
            </w:pPr>
            <w:r>
              <w:rPr>
                <w:spacing w:val="-4"/>
                <w:sz w:val="17"/>
              </w:rPr>
              <w:t>14.8</w:t>
            </w:r>
          </w:p>
        </w:tc>
        <w:tc>
          <w:tcPr>
            <w:tcW w:w="696" w:type="dxa"/>
            <w:tcBorders>
              <w:top w:val="single" w:color="DCDDDE" w:sz="4" w:space="0"/>
            </w:tcBorders>
          </w:tcPr>
          <w:p w:rsidR="00C31389" w:rsidRDefault="00561FBD" w14:paraId="2A8974BB" w14:textId="77777777">
            <w:pPr>
              <w:pStyle w:val="TableParagraph"/>
              <w:spacing w:before="42"/>
              <w:ind w:left="115" w:right="97"/>
              <w:jc w:val="center"/>
              <w:rPr>
                <w:sz w:val="17"/>
              </w:rPr>
            </w:pPr>
            <w:r>
              <w:rPr>
                <w:spacing w:val="-4"/>
                <w:sz w:val="17"/>
              </w:rPr>
              <w:t>14.3</w:t>
            </w:r>
          </w:p>
        </w:tc>
        <w:tc>
          <w:tcPr>
            <w:tcW w:w="676" w:type="dxa"/>
            <w:tcBorders>
              <w:top w:val="single" w:color="DCDDDE" w:sz="4" w:space="0"/>
            </w:tcBorders>
          </w:tcPr>
          <w:p w:rsidR="00C31389" w:rsidRDefault="00561FBD" w14:paraId="765002DF" w14:textId="77777777">
            <w:pPr>
              <w:pStyle w:val="TableParagraph"/>
              <w:spacing w:before="42"/>
              <w:ind w:left="174"/>
              <w:rPr>
                <w:sz w:val="17"/>
              </w:rPr>
            </w:pPr>
            <w:r>
              <w:rPr>
                <w:spacing w:val="-4"/>
                <w:sz w:val="17"/>
              </w:rPr>
              <w:t>13.4</w:t>
            </w:r>
          </w:p>
        </w:tc>
        <w:tc>
          <w:tcPr>
            <w:tcW w:w="677" w:type="dxa"/>
            <w:tcBorders>
              <w:top w:val="single" w:color="DCDDDE" w:sz="4" w:space="0"/>
            </w:tcBorders>
          </w:tcPr>
          <w:p w:rsidR="00C31389" w:rsidRDefault="00561FBD" w14:paraId="768B1627" w14:textId="77777777">
            <w:pPr>
              <w:pStyle w:val="TableParagraph"/>
              <w:spacing w:before="42"/>
              <w:ind w:right="169"/>
              <w:jc w:val="right"/>
              <w:rPr>
                <w:sz w:val="17"/>
              </w:rPr>
            </w:pPr>
            <w:r>
              <w:rPr>
                <w:spacing w:val="-4"/>
                <w:sz w:val="17"/>
              </w:rPr>
              <w:t>13.1</w:t>
            </w:r>
          </w:p>
        </w:tc>
        <w:tc>
          <w:tcPr>
            <w:tcW w:w="640" w:type="dxa"/>
            <w:tcBorders>
              <w:top w:val="single" w:color="DCDDDE" w:sz="4" w:space="0"/>
            </w:tcBorders>
          </w:tcPr>
          <w:p w:rsidR="00C31389" w:rsidRDefault="00561FBD" w14:paraId="50DDBACC" w14:textId="77777777">
            <w:pPr>
              <w:pStyle w:val="TableParagraph"/>
              <w:spacing w:before="42"/>
              <w:ind w:left="133" w:right="89"/>
              <w:jc w:val="center"/>
              <w:rPr>
                <w:sz w:val="17"/>
              </w:rPr>
            </w:pPr>
            <w:r>
              <w:rPr>
                <w:spacing w:val="-4"/>
                <w:sz w:val="17"/>
              </w:rPr>
              <w:t>13.0</w:t>
            </w:r>
          </w:p>
        </w:tc>
      </w:tr>
      <w:tr w:rsidR="00C31389" w14:paraId="19B984E4" w14:textId="77777777">
        <w:trPr>
          <w:trHeight w:val="275"/>
        </w:trPr>
        <w:tc>
          <w:tcPr>
            <w:tcW w:w="947" w:type="dxa"/>
            <w:tcBorders>
              <w:top w:val="single" w:color="DCDDDE" w:sz="4" w:space="0"/>
              <w:bottom w:val="single" w:color="DCDDDE" w:sz="4" w:space="0"/>
            </w:tcBorders>
          </w:tcPr>
          <w:p w:rsidR="00C31389" w:rsidRDefault="00561FBD" w14:paraId="61F1A892" w14:textId="77777777">
            <w:pPr>
              <w:pStyle w:val="TableParagraph"/>
              <w:spacing w:before="46"/>
              <w:ind w:left="121"/>
              <w:rPr>
                <w:sz w:val="16"/>
              </w:rPr>
            </w:pPr>
            <w:r>
              <w:rPr>
                <w:spacing w:val="-5"/>
                <w:sz w:val="16"/>
              </w:rPr>
              <w:t>FS</w:t>
            </w:r>
          </w:p>
        </w:tc>
        <w:tc>
          <w:tcPr>
            <w:tcW w:w="797" w:type="dxa"/>
            <w:tcBorders>
              <w:bottom w:val="single" w:color="D9D9D9" w:sz="8" w:space="0"/>
            </w:tcBorders>
          </w:tcPr>
          <w:p w:rsidR="00C31389" w:rsidRDefault="00561FBD" w14:paraId="0EDCC2BB" w14:textId="77777777">
            <w:pPr>
              <w:pStyle w:val="TableParagraph"/>
              <w:spacing w:before="42"/>
              <w:ind w:right="152"/>
              <w:jc w:val="right"/>
              <w:rPr>
                <w:sz w:val="17"/>
              </w:rPr>
            </w:pPr>
            <w:r>
              <w:rPr>
                <w:spacing w:val="-4"/>
                <w:sz w:val="17"/>
              </w:rPr>
              <w:t>71.7</w:t>
            </w:r>
          </w:p>
        </w:tc>
        <w:tc>
          <w:tcPr>
            <w:tcW w:w="751" w:type="dxa"/>
            <w:tcBorders>
              <w:bottom w:val="single" w:color="D9D9D9" w:sz="8" w:space="0"/>
            </w:tcBorders>
          </w:tcPr>
          <w:p w:rsidR="00C31389" w:rsidRDefault="00561FBD" w14:paraId="462743AB" w14:textId="77777777">
            <w:pPr>
              <w:pStyle w:val="TableParagraph"/>
              <w:spacing w:before="42"/>
              <w:ind w:left="187" w:right="77"/>
              <w:jc w:val="center"/>
              <w:rPr>
                <w:sz w:val="17"/>
              </w:rPr>
            </w:pPr>
            <w:r>
              <w:rPr>
                <w:spacing w:val="-4"/>
                <w:sz w:val="17"/>
              </w:rPr>
              <w:t>78.8</w:t>
            </w:r>
          </w:p>
        </w:tc>
        <w:tc>
          <w:tcPr>
            <w:tcW w:w="751" w:type="dxa"/>
            <w:tcBorders>
              <w:bottom w:val="single" w:color="D9D9D9" w:sz="8" w:space="0"/>
            </w:tcBorders>
          </w:tcPr>
          <w:p w:rsidR="00C31389" w:rsidRDefault="00561FBD" w14:paraId="6B5BD8C0" w14:textId="77777777">
            <w:pPr>
              <w:pStyle w:val="TableParagraph"/>
              <w:spacing w:before="42"/>
              <w:ind w:left="187" w:right="76"/>
              <w:jc w:val="center"/>
              <w:rPr>
                <w:sz w:val="17"/>
              </w:rPr>
            </w:pPr>
            <w:r>
              <w:rPr>
                <w:spacing w:val="-4"/>
                <w:sz w:val="17"/>
              </w:rPr>
              <w:t>83.0</w:t>
            </w:r>
          </w:p>
        </w:tc>
        <w:tc>
          <w:tcPr>
            <w:tcW w:w="750" w:type="dxa"/>
            <w:tcBorders>
              <w:bottom w:val="single" w:color="D9D9D9" w:sz="8" w:space="0"/>
            </w:tcBorders>
          </w:tcPr>
          <w:p w:rsidR="00C31389" w:rsidRDefault="00561FBD" w14:paraId="3D973197" w14:textId="77777777">
            <w:pPr>
              <w:pStyle w:val="TableParagraph"/>
              <w:spacing w:before="42"/>
              <w:ind w:right="151"/>
              <w:jc w:val="right"/>
              <w:rPr>
                <w:sz w:val="17"/>
              </w:rPr>
            </w:pPr>
            <w:r>
              <w:rPr>
                <w:spacing w:val="-4"/>
                <w:sz w:val="17"/>
              </w:rPr>
              <w:t>87.3</w:t>
            </w:r>
          </w:p>
        </w:tc>
        <w:tc>
          <w:tcPr>
            <w:tcW w:w="750" w:type="dxa"/>
            <w:tcBorders>
              <w:bottom w:val="single" w:color="D9D9D9" w:sz="8" w:space="0"/>
            </w:tcBorders>
          </w:tcPr>
          <w:p w:rsidR="00C31389" w:rsidRDefault="00561FBD" w14:paraId="6C5640CC" w14:textId="77777777">
            <w:pPr>
              <w:pStyle w:val="TableParagraph"/>
              <w:spacing w:before="42"/>
              <w:ind w:left="188" w:right="74"/>
              <w:jc w:val="center"/>
              <w:rPr>
                <w:sz w:val="17"/>
              </w:rPr>
            </w:pPr>
            <w:r>
              <w:rPr>
                <w:spacing w:val="-4"/>
                <w:sz w:val="17"/>
              </w:rPr>
              <w:t>90.6</w:t>
            </w:r>
          </w:p>
        </w:tc>
        <w:tc>
          <w:tcPr>
            <w:tcW w:w="753" w:type="dxa"/>
            <w:tcBorders>
              <w:bottom w:val="single" w:color="D9D9D9" w:sz="8" w:space="0"/>
            </w:tcBorders>
          </w:tcPr>
          <w:p w:rsidR="00C31389" w:rsidRDefault="00561FBD" w14:paraId="4400D53C" w14:textId="77777777">
            <w:pPr>
              <w:pStyle w:val="TableParagraph"/>
              <w:spacing w:before="42"/>
              <w:ind w:right="152"/>
              <w:jc w:val="right"/>
              <w:rPr>
                <w:sz w:val="17"/>
              </w:rPr>
            </w:pPr>
            <w:r>
              <w:rPr>
                <w:spacing w:val="-4"/>
                <w:sz w:val="17"/>
              </w:rPr>
              <w:t>94.1</w:t>
            </w:r>
          </w:p>
        </w:tc>
        <w:tc>
          <w:tcPr>
            <w:tcW w:w="677" w:type="dxa"/>
            <w:tcBorders>
              <w:bottom w:val="single" w:color="D9D9D9" w:sz="8" w:space="0"/>
            </w:tcBorders>
          </w:tcPr>
          <w:p w:rsidR="00C31389" w:rsidRDefault="00561FBD" w14:paraId="6F0133D7" w14:textId="77777777">
            <w:pPr>
              <w:pStyle w:val="TableParagraph"/>
              <w:spacing w:before="42"/>
              <w:ind w:left="190"/>
              <w:rPr>
                <w:sz w:val="17"/>
              </w:rPr>
            </w:pPr>
            <w:r>
              <w:rPr>
                <w:spacing w:val="-4"/>
                <w:sz w:val="17"/>
              </w:rPr>
              <w:t>10.8</w:t>
            </w:r>
          </w:p>
        </w:tc>
        <w:tc>
          <w:tcPr>
            <w:tcW w:w="677" w:type="dxa"/>
            <w:tcBorders>
              <w:bottom w:val="single" w:color="D9D9D9" w:sz="8" w:space="0"/>
            </w:tcBorders>
          </w:tcPr>
          <w:p w:rsidR="00C31389" w:rsidRDefault="00561FBD" w14:paraId="1C2E9F2B" w14:textId="77777777">
            <w:pPr>
              <w:pStyle w:val="TableParagraph"/>
              <w:spacing w:before="42"/>
              <w:ind w:left="114" w:right="77"/>
              <w:jc w:val="center"/>
              <w:rPr>
                <w:sz w:val="17"/>
              </w:rPr>
            </w:pPr>
            <w:r>
              <w:rPr>
                <w:spacing w:val="-4"/>
                <w:sz w:val="17"/>
              </w:rPr>
              <w:t>11.6</w:t>
            </w:r>
          </w:p>
        </w:tc>
        <w:tc>
          <w:tcPr>
            <w:tcW w:w="696" w:type="dxa"/>
            <w:tcBorders>
              <w:bottom w:val="single" w:color="D9D9D9" w:sz="8" w:space="0"/>
            </w:tcBorders>
          </w:tcPr>
          <w:p w:rsidR="00C31389" w:rsidRDefault="00561FBD" w14:paraId="439CE300" w14:textId="77777777">
            <w:pPr>
              <w:pStyle w:val="TableParagraph"/>
              <w:spacing w:before="42"/>
              <w:ind w:left="115" w:right="97"/>
              <w:jc w:val="center"/>
              <w:rPr>
                <w:sz w:val="17"/>
              </w:rPr>
            </w:pPr>
            <w:r>
              <w:rPr>
                <w:spacing w:val="-4"/>
                <w:sz w:val="17"/>
              </w:rPr>
              <w:t>12.3</w:t>
            </w:r>
          </w:p>
        </w:tc>
        <w:tc>
          <w:tcPr>
            <w:tcW w:w="676" w:type="dxa"/>
            <w:tcBorders>
              <w:bottom w:val="single" w:color="D9D9D9" w:sz="8" w:space="0"/>
            </w:tcBorders>
          </w:tcPr>
          <w:p w:rsidR="00C31389" w:rsidRDefault="00561FBD" w14:paraId="74BD618C" w14:textId="77777777">
            <w:pPr>
              <w:pStyle w:val="TableParagraph"/>
              <w:spacing w:before="42"/>
              <w:ind w:left="174"/>
              <w:rPr>
                <w:sz w:val="17"/>
              </w:rPr>
            </w:pPr>
            <w:r>
              <w:rPr>
                <w:spacing w:val="-4"/>
                <w:sz w:val="17"/>
              </w:rPr>
              <w:t>12.9</w:t>
            </w:r>
          </w:p>
        </w:tc>
        <w:tc>
          <w:tcPr>
            <w:tcW w:w="677" w:type="dxa"/>
            <w:tcBorders>
              <w:bottom w:val="single" w:color="D9D9D9" w:sz="8" w:space="0"/>
            </w:tcBorders>
          </w:tcPr>
          <w:p w:rsidR="00C31389" w:rsidRDefault="00561FBD" w14:paraId="20541CF1" w14:textId="77777777">
            <w:pPr>
              <w:pStyle w:val="TableParagraph"/>
              <w:spacing w:before="42"/>
              <w:ind w:right="169"/>
              <w:jc w:val="right"/>
              <w:rPr>
                <w:sz w:val="17"/>
              </w:rPr>
            </w:pPr>
            <w:r>
              <w:rPr>
                <w:spacing w:val="-4"/>
                <w:sz w:val="17"/>
              </w:rPr>
              <w:t>13.6</w:t>
            </w:r>
          </w:p>
        </w:tc>
        <w:tc>
          <w:tcPr>
            <w:tcW w:w="640" w:type="dxa"/>
            <w:tcBorders>
              <w:bottom w:val="single" w:color="D9D9D9" w:sz="8" w:space="0"/>
            </w:tcBorders>
          </w:tcPr>
          <w:p w:rsidR="00C31389" w:rsidRDefault="00561FBD" w14:paraId="55E6FE60" w14:textId="77777777">
            <w:pPr>
              <w:pStyle w:val="TableParagraph"/>
              <w:spacing w:before="42"/>
              <w:ind w:left="133" w:right="89"/>
              <w:jc w:val="center"/>
              <w:rPr>
                <w:sz w:val="17"/>
              </w:rPr>
            </w:pPr>
            <w:r>
              <w:rPr>
                <w:spacing w:val="-4"/>
                <w:sz w:val="17"/>
              </w:rPr>
              <w:t>14.2</w:t>
            </w:r>
          </w:p>
        </w:tc>
      </w:tr>
      <w:tr w:rsidR="00C31389" w14:paraId="2AC17C9D" w14:textId="77777777">
        <w:trPr>
          <w:trHeight w:val="275"/>
        </w:trPr>
        <w:tc>
          <w:tcPr>
            <w:tcW w:w="947" w:type="dxa"/>
            <w:tcBorders>
              <w:top w:val="single" w:color="DCDDDE" w:sz="4" w:space="0"/>
              <w:bottom w:val="single" w:color="DCDDDE" w:sz="4" w:space="0"/>
            </w:tcBorders>
          </w:tcPr>
          <w:p w:rsidR="00C31389" w:rsidRDefault="00561FBD" w14:paraId="7D2BD466" w14:textId="77777777">
            <w:pPr>
              <w:pStyle w:val="TableParagraph"/>
              <w:spacing w:before="47"/>
              <w:ind w:left="121"/>
              <w:rPr>
                <w:sz w:val="16"/>
              </w:rPr>
            </w:pPr>
            <w:r>
              <w:rPr>
                <w:spacing w:val="-4"/>
                <w:sz w:val="16"/>
              </w:rPr>
              <w:t>BROs</w:t>
            </w:r>
          </w:p>
        </w:tc>
        <w:tc>
          <w:tcPr>
            <w:tcW w:w="797" w:type="dxa"/>
            <w:tcBorders>
              <w:top w:val="single" w:color="D9D9D9" w:sz="8" w:space="0"/>
              <w:bottom w:val="single" w:color="DCDDDE" w:sz="4" w:space="0"/>
            </w:tcBorders>
          </w:tcPr>
          <w:p w:rsidR="00C31389" w:rsidRDefault="00561FBD" w14:paraId="15804864" w14:textId="77777777">
            <w:pPr>
              <w:pStyle w:val="TableParagraph"/>
              <w:spacing w:before="41"/>
              <w:ind w:right="152"/>
              <w:jc w:val="right"/>
              <w:rPr>
                <w:sz w:val="17"/>
              </w:rPr>
            </w:pPr>
            <w:r>
              <w:rPr>
                <w:spacing w:val="-4"/>
                <w:sz w:val="17"/>
              </w:rPr>
              <w:t>45.4</w:t>
            </w:r>
          </w:p>
        </w:tc>
        <w:tc>
          <w:tcPr>
            <w:tcW w:w="751" w:type="dxa"/>
            <w:tcBorders>
              <w:top w:val="single" w:color="D9D9D9" w:sz="8" w:space="0"/>
              <w:bottom w:val="single" w:color="DCDDDE" w:sz="4" w:space="0"/>
            </w:tcBorders>
          </w:tcPr>
          <w:p w:rsidR="00C31389" w:rsidRDefault="00561FBD" w14:paraId="7565D734" w14:textId="77777777">
            <w:pPr>
              <w:pStyle w:val="TableParagraph"/>
              <w:spacing w:before="41"/>
              <w:ind w:left="187" w:right="77"/>
              <w:jc w:val="center"/>
              <w:rPr>
                <w:sz w:val="17"/>
              </w:rPr>
            </w:pPr>
            <w:r>
              <w:rPr>
                <w:spacing w:val="-4"/>
                <w:sz w:val="17"/>
              </w:rPr>
              <w:t>47.7</w:t>
            </w:r>
          </w:p>
        </w:tc>
        <w:tc>
          <w:tcPr>
            <w:tcW w:w="751" w:type="dxa"/>
            <w:tcBorders>
              <w:top w:val="single" w:color="D9D9D9" w:sz="8" w:space="0"/>
              <w:bottom w:val="single" w:color="DCDDDE" w:sz="4" w:space="0"/>
            </w:tcBorders>
          </w:tcPr>
          <w:p w:rsidR="00C31389" w:rsidRDefault="00561FBD" w14:paraId="5EFDCC8A" w14:textId="77777777">
            <w:pPr>
              <w:pStyle w:val="TableParagraph"/>
              <w:spacing w:before="41"/>
              <w:ind w:left="187" w:right="76"/>
              <w:jc w:val="center"/>
              <w:rPr>
                <w:sz w:val="17"/>
              </w:rPr>
            </w:pPr>
            <w:r>
              <w:rPr>
                <w:spacing w:val="-4"/>
                <w:sz w:val="17"/>
              </w:rPr>
              <w:t>50.0</w:t>
            </w:r>
          </w:p>
        </w:tc>
        <w:tc>
          <w:tcPr>
            <w:tcW w:w="750" w:type="dxa"/>
            <w:tcBorders>
              <w:top w:val="single" w:color="D9D9D9" w:sz="8" w:space="0"/>
              <w:bottom w:val="single" w:color="DCDDDE" w:sz="4" w:space="0"/>
            </w:tcBorders>
          </w:tcPr>
          <w:p w:rsidR="00C31389" w:rsidRDefault="00561FBD" w14:paraId="499CC4A4" w14:textId="77777777">
            <w:pPr>
              <w:pStyle w:val="TableParagraph"/>
              <w:spacing w:before="41"/>
              <w:ind w:right="151"/>
              <w:jc w:val="right"/>
              <w:rPr>
                <w:sz w:val="17"/>
              </w:rPr>
            </w:pPr>
            <w:r>
              <w:rPr>
                <w:spacing w:val="-4"/>
                <w:sz w:val="17"/>
              </w:rPr>
              <w:t>51.8</w:t>
            </w:r>
          </w:p>
        </w:tc>
        <w:tc>
          <w:tcPr>
            <w:tcW w:w="750" w:type="dxa"/>
            <w:tcBorders>
              <w:top w:val="single" w:color="D9D9D9" w:sz="8" w:space="0"/>
              <w:bottom w:val="single" w:color="DCDDDE" w:sz="4" w:space="0"/>
            </w:tcBorders>
          </w:tcPr>
          <w:p w:rsidR="00C31389" w:rsidRDefault="00561FBD" w14:paraId="1E30A0BF" w14:textId="77777777">
            <w:pPr>
              <w:pStyle w:val="TableParagraph"/>
              <w:spacing w:before="41"/>
              <w:ind w:left="188" w:right="74"/>
              <w:jc w:val="center"/>
              <w:rPr>
                <w:sz w:val="17"/>
              </w:rPr>
            </w:pPr>
            <w:r>
              <w:rPr>
                <w:spacing w:val="-4"/>
                <w:sz w:val="17"/>
              </w:rPr>
              <w:t>53.4</w:t>
            </w:r>
          </w:p>
        </w:tc>
        <w:tc>
          <w:tcPr>
            <w:tcW w:w="753" w:type="dxa"/>
            <w:tcBorders>
              <w:top w:val="single" w:color="D9D9D9" w:sz="8" w:space="0"/>
              <w:bottom w:val="single" w:color="DCDDDE" w:sz="4" w:space="0"/>
            </w:tcBorders>
          </w:tcPr>
          <w:p w:rsidR="00C31389" w:rsidRDefault="00561FBD" w14:paraId="4A9378B5" w14:textId="77777777">
            <w:pPr>
              <w:pStyle w:val="TableParagraph"/>
              <w:spacing w:before="41"/>
              <w:ind w:right="152"/>
              <w:jc w:val="right"/>
              <w:rPr>
                <w:sz w:val="17"/>
              </w:rPr>
            </w:pPr>
            <w:r>
              <w:rPr>
                <w:spacing w:val="-4"/>
                <w:sz w:val="17"/>
              </w:rPr>
              <w:t>55.2</w:t>
            </w:r>
          </w:p>
        </w:tc>
        <w:tc>
          <w:tcPr>
            <w:tcW w:w="677" w:type="dxa"/>
            <w:tcBorders>
              <w:top w:val="single" w:color="D9D9D9" w:sz="8" w:space="0"/>
              <w:bottom w:val="single" w:color="DCDDDE" w:sz="4" w:space="0"/>
            </w:tcBorders>
          </w:tcPr>
          <w:p w:rsidR="00C31389" w:rsidRDefault="00561FBD" w14:paraId="168A8FDF" w14:textId="77777777">
            <w:pPr>
              <w:pStyle w:val="TableParagraph"/>
              <w:spacing w:before="41"/>
              <w:ind w:left="190"/>
              <w:rPr>
                <w:sz w:val="17"/>
              </w:rPr>
            </w:pPr>
            <w:r>
              <w:rPr>
                <w:spacing w:val="-4"/>
                <w:sz w:val="17"/>
              </w:rPr>
              <w:t>57.1</w:t>
            </w:r>
          </w:p>
        </w:tc>
        <w:tc>
          <w:tcPr>
            <w:tcW w:w="677" w:type="dxa"/>
            <w:tcBorders>
              <w:top w:val="single" w:color="D9D9D9" w:sz="8" w:space="0"/>
              <w:bottom w:val="single" w:color="DCDDDE" w:sz="4" w:space="0"/>
            </w:tcBorders>
          </w:tcPr>
          <w:p w:rsidR="00C31389" w:rsidRDefault="00561FBD" w14:paraId="5CBE28DD" w14:textId="77777777">
            <w:pPr>
              <w:pStyle w:val="TableParagraph"/>
              <w:spacing w:before="41"/>
              <w:ind w:left="114" w:right="77"/>
              <w:jc w:val="center"/>
              <w:rPr>
                <w:sz w:val="17"/>
              </w:rPr>
            </w:pPr>
            <w:r>
              <w:rPr>
                <w:spacing w:val="-4"/>
                <w:sz w:val="17"/>
              </w:rPr>
              <w:t>59.0</w:t>
            </w:r>
          </w:p>
        </w:tc>
        <w:tc>
          <w:tcPr>
            <w:tcW w:w="696" w:type="dxa"/>
            <w:tcBorders>
              <w:top w:val="single" w:color="D9D9D9" w:sz="8" w:space="0"/>
              <w:bottom w:val="single" w:color="DCDDDE" w:sz="4" w:space="0"/>
            </w:tcBorders>
          </w:tcPr>
          <w:p w:rsidR="00C31389" w:rsidRDefault="00561FBD" w14:paraId="063291BC" w14:textId="77777777">
            <w:pPr>
              <w:pStyle w:val="TableParagraph"/>
              <w:spacing w:before="41"/>
              <w:ind w:left="115" w:right="97"/>
              <w:jc w:val="center"/>
              <w:rPr>
                <w:sz w:val="17"/>
              </w:rPr>
            </w:pPr>
            <w:r>
              <w:rPr>
                <w:spacing w:val="-4"/>
                <w:sz w:val="17"/>
              </w:rPr>
              <w:t>60.8</w:t>
            </w:r>
          </w:p>
        </w:tc>
        <w:tc>
          <w:tcPr>
            <w:tcW w:w="676" w:type="dxa"/>
            <w:tcBorders>
              <w:top w:val="single" w:color="D9D9D9" w:sz="8" w:space="0"/>
              <w:bottom w:val="single" w:color="DCDDDE" w:sz="4" w:space="0"/>
            </w:tcBorders>
          </w:tcPr>
          <w:p w:rsidR="00C31389" w:rsidRDefault="00561FBD" w14:paraId="5D0D9EE7" w14:textId="77777777">
            <w:pPr>
              <w:pStyle w:val="TableParagraph"/>
              <w:spacing w:before="41"/>
              <w:ind w:left="174"/>
              <w:rPr>
                <w:sz w:val="17"/>
              </w:rPr>
            </w:pPr>
            <w:r>
              <w:rPr>
                <w:spacing w:val="-4"/>
                <w:sz w:val="17"/>
              </w:rPr>
              <w:t>62.9</w:t>
            </w:r>
          </w:p>
        </w:tc>
        <w:tc>
          <w:tcPr>
            <w:tcW w:w="677" w:type="dxa"/>
            <w:tcBorders>
              <w:top w:val="single" w:color="D9D9D9" w:sz="8" w:space="0"/>
              <w:bottom w:val="single" w:color="DCDDDE" w:sz="4" w:space="0"/>
            </w:tcBorders>
          </w:tcPr>
          <w:p w:rsidR="00C31389" w:rsidRDefault="00561FBD" w14:paraId="6E95FA4D" w14:textId="77777777">
            <w:pPr>
              <w:pStyle w:val="TableParagraph"/>
              <w:spacing w:before="41"/>
              <w:ind w:right="169"/>
              <w:jc w:val="right"/>
              <w:rPr>
                <w:sz w:val="17"/>
              </w:rPr>
            </w:pPr>
            <w:r>
              <w:rPr>
                <w:spacing w:val="-4"/>
                <w:sz w:val="17"/>
              </w:rPr>
              <w:t>63.9</w:t>
            </w:r>
          </w:p>
        </w:tc>
        <w:tc>
          <w:tcPr>
            <w:tcW w:w="640" w:type="dxa"/>
            <w:tcBorders>
              <w:top w:val="single" w:color="D9D9D9" w:sz="8" w:space="0"/>
              <w:bottom w:val="single" w:color="DCDDDE" w:sz="4" w:space="0"/>
            </w:tcBorders>
          </w:tcPr>
          <w:p w:rsidR="00C31389" w:rsidRDefault="00561FBD" w14:paraId="0AB05BE1" w14:textId="77777777">
            <w:pPr>
              <w:pStyle w:val="TableParagraph"/>
              <w:spacing w:before="41"/>
              <w:ind w:left="133" w:right="89"/>
              <w:jc w:val="center"/>
              <w:rPr>
                <w:sz w:val="17"/>
              </w:rPr>
            </w:pPr>
            <w:r>
              <w:rPr>
                <w:spacing w:val="-4"/>
                <w:sz w:val="17"/>
              </w:rPr>
              <w:t>66.2</w:t>
            </w:r>
          </w:p>
        </w:tc>
      </w:tr>
      <w:tr w:rsidR="00C31389" w14:paraId="49CE598F" w14:textId="77777777">
        <w:trPr>
          <w:trHeight w:val="264"/>
        </w:trPr>
        <w:tc>
          <w:tcPr>
            <w:tcW w:w="9542" w:type="dxa"/>
            <w:gridSpan w:val="13"/>
            <w:tcBorders>
              <w:top w:val="single" w:color="DCDDDE" w:sz="4" w:space="0"/>
              <w:bottom w:val="single" w:color="DCDDDE" w:sz="4" w:space="0"/>
            </w:tcBorders>
            <w:shd w:val="clear" w:color="auto" w:fill="BEBEBE"/>
          </w:tcPr>
          <w:p w:rsidR="00C31389" w:rsidRDefault="00561FBD" w14:paraId="5BD65D83" w14:textId="77777777">
            <w:pPr>
              <w:pStyle w:val="TableParagraph"/>
              <w:spacing w:before="41"/>
              <w:ind w:left="121"/>
              <w:rPr>
                <w:b/>
                <w:sz w:val="16"/>
              </w:rPr>
            </w:pPr>
            <w:r>
              <w:rPr>
                <w:b/>
                <w:sz w:val="16"/>
              </w:rPr>
              <w:t>Scenario</w:t>
            </w:r>
            <w:r>
              <w:rPr>
                <w:b/>
                <w:spacing w:val="-7"/>
                <w:sz w:val="16"/>
              </w:rPr>
              <w:t xml:space="preserve"> </w:t>
            </w:r>
            <w:r>
              <w:rPr>
                <w:b/>
                <w:sz w:val="16"/>
              </w:rPr>
              <w:t>3:</w:t>
            </w:r>
            <w:r>
              <w:rPr>
                <w:b/>
                <w:spacing w:val="-7"/>
                <w:sz w:val="16"/>
              </w:rPr>
              <w:t xml:space="preserve"> </w:t>
            </w:r>
            <w:r>
              <w:rPr>
                <w:b/>
                <w:sz w:val="16"/>
              </w:rPr>
              <w:t>Reference</w:t>
            </w:r>
            <w:r>
              <w:rPr>
                <w:b/>
                <w:spacing w:val="-7"/>
                <w:sz w:val="16"/>
              </w:rPr>
              <w:t xml:space="preserve"> </w:t>
            </w:r>
            <w:r>
              <w:rPr>
                <w:b/>
                <w:sz w:val="16"/>
              </w:rPr>
              <w:t>IRA</w:t>
            </w:r>
            <w:r>
              <w:rPr>
                <w:b/>
                <w:spacing w:val="-7"/>
                <w:sz w:val="16"/>
              </w:rPr>
              <w:t xml:space="preserve"> </w:t>
            </w:r>
            <w:r>
              <w:rPr>
                <w:b/>
                <w:sz w:val="16"/>
              </w:rPr>
              <w:t>and</w:t>
            </w:r>
            <w:r>
              <w:rPr>
                <w:b/>
                <w:spacing w:val="-6"/>
                <w:sz w:val="16"/>
              </w:rPr>
              <w:t xml:space="preserve"> </w:t>
            </w:r>
            <w:r>
              <w:rPr>
                <w:b/>
                <w:sz w:val="16"/>
              </w:rPr>
              <w:t>aggressive</w:t>
            </w:r>
            <w:r>
              <w:rPr>
                <w:b/>
                <w:spacing w:val="-7"/>
                <w:sz w:val="16"/>
              </w:rPr>
              <w:t xml:space="preserve"> </w:t>
            </w:r>
            <w:r>
              <w:rPr>
                <w:b/>
                <w:spacing w:val="-5"/>
                <w:sz w:val="16"/>
              </w:rPr>
              <w:t>FS</w:t>
            </w:r>
          </w:p>
        </w:tc>
      </w:tr>
      <w:tr w:rsidR="00C31389" w14:paraId="473144D3" w14:textId="77777777">
        <w:trPr>
          <w:trHeight w:val="275"/>
        </w:trPr>
        <w:tc>
          <w:tcPr>
            <w:tcW w:w="947" w:type="dxa"/>
            <w:tcBorders>
              <w:top w:val="single" w:color="DCDDDE" w:sz="4" w:space="0"/>
              <w:bottom w:val="single" w:color="DCDDDE" w:sz="4" w:space="0"/>
            </w:tcBorders>
          </w:tcPr>
          <w:p w:rsidR="00C31389" w:rsidRDefault="00561FBD" w14:paraId="0C4E9D2B" w14:textId="77777777">
            <w:pPr>
              <w:pStyle w:val="TableParagraph"/>
              <w:spacing w:before="46"/>
              <w:ind w:left="121"/>
              <w:rPr>
                <w:sz w:val="16"/>
              </w:rPr>
            </w:pPr>
            <w:r>
              <w:rPr>
                <w:spacing w:val="-5"/>
                <w:sz w:val="16"/>
              </w:rPr>
              <w:t>EE</w:t>
            </w:r>
          </w:p>
        </w:tc>
        <w:tc>
          <w:tcPr>
            <w:tcW w:w="797" w:type="dxa"/>
            <w:tcBorders>
              <w:top w:val="single" w:color="DCDDDE" w:sz="4" w:space="0"/>
            </w:tcBorders>
          </w:tcPr>
          <w:p w:rsidR="00C31389" w:rsidRDefault="00561FBD" w14:paraId="3EF02269" w14:textId="77777777">
            <w:pPr>
              <w:pStyle w:val="TableParagraph"/>
              <w:ind w:right="152"/>
              <w:jc w:val="right"/>
              <w:rPr>
                <w:sz w:val="17"/>
              </w:rPr>
            </w:pPr>
            <w:r>
              <w:rPr>
                <w:spacing w:val="-4"/>
                <w:sz w:val="17"/>
              </w:rPr>
              <w:t>15.5</w:t>
            </w:r>
          </w:p>
        </w:tc>
        <w:tc>
          <w:tcPr>
            <w:tcW w:w="751" w:type="dxa"/>
            <w:tcBorders>
              <w:top w:val="single" w:color="DCDDDE" w:sz="4" w:space="0"/>
            </w:tcBorders>
          </w:tcPr>
          <w:p w:rsidR="00C31389" w:rsidRDefault="00561FBD" w14:paraId="1D64DAEE" w14:textId="77777777">
            <w:pPr>
              <w:pStyle w:val="TableParagraph"/>
              <w:ind w:left="187" w:right="77"/>
              <w:jc w:val="center"/>
              <w:rPr>
                <w:sz w:val="17"/>
              </w:rPr>
            </w:pPr>
            <w:r>
              <w:rPr>
                <w:spacing w:val="-4"/>
                <w:sz w:val="17"/>
              </w:rPr>
              <w:t>15.6</w:t>
            </w:r>
          </w:p>
        </w:tc>
        <w:tc>
          <w:tcPr>
            <w:tcW w:w="751" w:type="dxa"/>
            <w:tcBorders>
              <w:top w:val="single" w:color="DCDDDE" w:sz="4" w:space="0"/>
            </w:tcBorders>
          </w:tcPr>
          <w:p w:rsidR="00C31389" w:rsidRDefault="00561FBD" w14:paraId="412FAC8F" w14:textId="77777777">
            <w:pPr>
              <w:pStyle w:val="TableParagraph"/>
              <w:ind w:left="187" w:right="76"/>
              <w:jc w:val="center"/>
              <w:rPr>
                <w:sz w:val="17"/>
              </w:rPr>
            </w:pPr>
            <w:r>
              <w:rPr>
                <w:spacing w:val="-4"/>
                <w:sz w:val="17"/>
              </w:rPr>
              <w:t>15.7</w:t>
            </w:r>
          </w:p>
        </w:tc>
        <w:tc>
          <w:tcPr>
            <w:tcW w:w="750" w:type="dxa"/>
            <w:tcBorders>
              <w:top w:val="single" w:color="DCDDDE" w:sz="4" w:space="0"/>
            </w:tcBorders>
          </w:tcPr>
          <w:p w:rsidR="00C31389" w:rsidRDefault="00561FBD" w14:paraId="5CFBCA75" w14:textId="77777777">
            <w:pPr>
              <w:pStyle w:val="TableParagraph"/>
              <w:ind w:right="151"/>
              <w:jc w:val="right"/>
              <w:rPr>
                <w:sz w:val="17"/>
              </w:rPr>
            </w:pPr>
            <w:r>
              <w:rPr>
                <w:spacing w:val="-4"/>
                <w:sz w:val="17"/>
              </w:rPr>
              <w:t>15.6</w:t>
            </w:r>
          </w:p>
        </w:tc>
        <w:tc>
          <w:tcPr>
            <w:tcW w:w="750" w:type="dxa"/>
            <w:tcBorders>
              <w:top w:val="single" w:color="DCDDDE" w:sz="4" w:space="0"/>
            </w:tcBorders>
          </w:tcPr>
          <w:p w:rsidR="00C31389" w:rsidRDefault="00561FBD" w14:paraId="4292C28B" w14:textId="77777777">
            <w:pPr>
              <w:pStyle w:val="TableParagraph"/>
              <w:ind w:left="188" w:right="74"/>
              <w:jc w:val="center"/>
              <w:rPr>
                <w:sz w:val="17"/>
              </w:rPr>
            </w:pPr>
            <w:r>
              <w:rPr>
                <w:spacing w:val="-4"/>
                <w:sz w:val="17"/>
              </w:rPr>
              <w:t>15.5</w:t>
            </w:r>
          </w:p>
        </w:tc>
        <w:tc>
          <w:tcPr>
            <w:tcW w:w="753" w:type="dxa"/>
            <w:tcBorders>
              <w:top w:val="single" w:color="DCDDDE" w:sz="4" w:space="0"/>
            </w:tcBorders>
          </w:tcPr>
          <w:p w:rsidR="00C31389" w:rsidRDefault="00561FBD" w14:paraId="133E38BF" w14:textId="77777777">
            <w:pPr>
              <w:pStyle w:val="TableParagraph"/>
              <w:ind w:right="152"/>
              <w:jc w:val="right"/>
              <w:rPr>
                <w:sz w:val="17"/>
              </w:rPr>
            </w:pPr>
            <w:r>
              <w:rPr>
                <w:spacing w:val="-4"/>
                <w:sz w:val="17"/>
              </w:rPr>
              <w:t>15.0</w:t>
            </w:r>
          </w:p>
        </w:tc>
        <w:tc>
          <w:tcPr>
            <w:tcW w:w="677" w:type="dxa"/>
            <w:tcBorders>
              <w:top w:val="single" w:color="DCDDDE" w:sz="4" w:space="0"/>
            </w:tcBorders>
          </w:tcPr>
          <w:p w:rsidR="00C31389" w:rsidRDefault="00561FBD" w14:paraId="5513C097" w14:textId="77777777">
            <w:pPr>
              <w:pStyle w:val="TableParagraph"/>
              <w:ind w:left="190"/>
              <w:rPr>
                <w:sz w:val="17"/>
              </w:rPr>
            </w:pPr>
            <w:r>
              <w:rPr>
                <w:spacing w:val="-4"/>
                <w:sz w:val="17"/>
              </w:rPr>
              <w:t>15.3</w:t>
            </w:r>
          </w:p>
        </w:tc>
        <w:tc>
          <w:tcPr>
            <w:tcW w:w="677" w:type="dxa"/>
            <w:tcBorders>
              <w:top w:val="single" w:color="DCDDDE" w:sz="4" w:space="0"/>
            </w:tcBorders>
          </w:tcPr>
          <w:p w:rsidR="00C31389" w:rsidRDefault="00561FBD" w14:paraId="71D04C73" w14:textId="77777777">
            <w:pPr>
              <w:pStyle w:val="TableParagraph"/>
              <w:ind w:left="114" w:right="77"/>
              <w:jc w:val="center"/>
              <w:rPr>
                <w:sz w:val="17"/>
              </w:rPr>
            </w:pPr>
            <w:r>
              <w:rPr>
                <w:spacing w:val="-4"/>
                <w:sz w:val="17"/>
              </w:rPr>
              <w:t>14.9</w:t>
            </w:r>
          </w:p>
        </w:tc>
        <w:tc>
          <w:tcPr>
            <w:tcW w:w="696" w:type="dxa"/>
            <w:tcBorders>
              <w:top w:val="single" w:color="DCDDDE" w:sz="4" w:space="0"/>
            </w:tcBorders>
          </w:tcPr>
          <w:p w:rsidR="00C31389" w:rsidRDefault="00561FBD" w14:paraId="5F11D1AF" w14:textId="77777777">
            <w:pPr>
              <w:pStyle w:val="TableParagraph"/>
              <w:ind w:left="115" w:right="97"/>
              <w:jc w:val="center"/>
              <w:rPr>
                <w:sz w:val="17"/>
              </w:rPr>
            </w:pPr>
            <w:r>
              <w:rPr>
                <w:spacing w:val="-4"/>
                <w:sz w:val="17"/>
              </w:rPr>
              <w:t>14.4</w:t>
            </w:r>
          </w:p>
        </w:tc>
        <w:tc>
          <w:tcPr>
            <w:tcW w:w="676" w:type="dxa"/>
            <w:tcBorders>
              <w:top w:val="single" w:color="DCDDDE" w:sz="4" w:space="0"/>
            </w:tcBorders>
          </w:tcPr>
          <w:p w:rsidR="00C31389" w:rsidRDefault="00561FBD" w14:paraId="49A614CB" w14:textId="77777777">
            <w:pPr>
              <w:pStyle w:val="TableParagraph"/>
              <w:ind w:left="174"/>
              <w:rPr>
                <w:sz w:val="17"/>
              </w:rPr>
            </w:pPr>
            <w:r>
              <w:rPr>
                <w:spacing w:val="-4"/>
                <w:sz w:val="17"/>
              </w:rPr>
              <w:t>13.4</w:t>
            </w:r>
          </w:p>
        </w:tc>
        <w:tc>
          <w:tcPr>
            <w:tcW w:w="677" w:type="dxa"/>
            <w:tcBorders>
              <w:top w:val="single" w:color="DCDDDE" w:sz="4" w:space="0"/>
            </w:tcBorders>
          </w:tcPr>
          <w:p w:rsidR="00C31389" w:rsidRDefault="00561FBD" w14:paraId="03789102" w14:textId="77777777">
            <w:pPr>
              <w:pStyle w:val="TableParagraph"/>
              <w:ind w:right="169"/>
              <w:jc w:val="right"/>
              <w:rPr>
                <w:sz w:val="17"/>
              </w:rPr>
            </w:pPr>
            <w:r>
              <w:rPr>
                <w:spacing w:val="-4"/>
                <w:sz w:val="17"/>
              </w:rPr>
              <w:t>13.1</w:t>
            </w:r>
          </w:p>
        </w:tc>
        <w:tc>
          <w:tcPr>
            <w:tcW w:w="640" w:type="dxa"/>
            <w:tcBorders>
              <w:top w:val="single" w:color="DCDDDE" w:sz="4" w:space="0"/>
            </w:tcBorders>
          </w:tcPr>
          <w:p w:rsidR="00C31389" w:rsidRDefault="00561FBD" w14:paraId="435FA45C" w14:textId="77777777">
            <w:pPr>
              <w:pStyle w:val="TableParagraph"/>
              <w:ind w:left="133" w:right="89"/>
              <w:jc w:val="center"/>
              <w:rPr>
                <w:sz w:val="17"/>
              </w:rPr>
            </w:pPr>
            <w:r>
              <w:rPr>
                <w:spacing w:val="-4"/>
                <w:sz w:val="17"/>
              </w:rPr>
              <w:t>13.0</w:t>
            </w:r>
          </w:p>
        </w:tc>
      </w:tr>
      <w:tr w:rsidR="00C31389" w14:paraId="1E81942B" w14:textId="77777777">
        <w:trPr>
          <w:trHeight w:val="471"/>
        </w:trPr>
        <w:tc>
          <w:tcPr>
            <w:tcW w:w="947" w:type="dxa"/>
            <w:tcBorders>
              <w:top w:val="single" w:color="DCDDDE" w:sz="4" w:space="0"/>
              <w:bottom w:val="single" w:color="DCDDDE" w:sz="4" w:space="0"/>
            </w:tcBorders>
          </w:tcPr>
          <w:p w:rsidR="00C31389" w:rsidRDefault="00561FBD" w14:paraId="482A1F9B" w14:textId="77777777">
            <w:pPr>
              <w:pStyle w:val="TableParagraph"/>
              <w:spacing w:before="143"/>
              <w:ind w:left="121"/>
              <w:rPr>
                <w:sz w:val="16"/>
              </w:rPr>
            </w:pPr>
            <w:r>
              <w:rPr>
                <w:spacing w:val="-5"/>
                <w:sz w:val="16"/>
              </w:rPr>
              <w:t>FS</w:t>
            </w:r>
          </w:p>
        </w:tc>
        <w:tc>
          <w:tcPr>
            <w:tcW w:w="797" w:type="dxa"/>
            <w:tcBorders>
              <w:bottom w:val="single" w:color="D9D9D9" w:sz="8" w:space="0"/>
            </w:tcBorders>
          </w:tcPr>
          <w:p w:rsidR="00C31389" w:rsidRDefault="00561FBD" w14:paraId="130B45B1" w14:textId="77777777">
            <w:pPr>
              <w:pStyle w:val="TableParagraph"/>
              <w:spacing w:before="39"/>
              <w:ind w:right="152"/>
              <w:jc w:val="right"/>
              <w:rPr>
                <w:sz w:val="17"/>
              </w:rPr>
            </w:pPr>
            <w:r>
              <w:rPr>
                <w:spacing w:val="-2"/>
                <w:sz w:val="17"/>
              </w:rPr>
              <w:t>1,040.</w:t>
            </w:r>
          </w:p>
          <w:p w:rsidR="00C31389" w:rsidRDefault="00561FBD" w14:paraId="327D5C9C" w14:textId="77777777">
            <w:pPr>
              <w:pStyle w:val="TableParagraph"/>
              <w:spacing w:before="0"/>
              <w:ind w:right="152"/>
              <w:jc w:val="right"/>
              <w:rPr>
                <w:sz w:val="17"/>
              </w:rPr>
            </w:pPr>
            <w:r>
              <w:rPr>
                <w:sz w:val="17"/>
              </w:rPr>
              <w:t>1</w:t>
            </w:r>
          </w:p>
        </w:tc>
        <w:tc>
          <w:tcPr>
            <w:tcW w:w="751" w:type="dxa"/>
            <w:tcBorders>
              <w:bottom w:val="single" w:color="D9D9D9" w:sz="8" w:space="0"/>
            </w:tcBorders>
          </w:tcPr>
          <w:p w:rsidR="00C31389" w:rsidRDefault="00561FBD" w14:paraId="0E56A730" w14:textId="77777777">
            <w:pPr>
              <w:pStyle w:val="TableParagraph"/>
              <w:spacing w:before="39"/>
              <w:ind w:right="151"/>
              <w:jc w:val="right"/>
              <w:rPr>
                <w:sz w:val="17"/>
              </w:rPr>
            </w:pPr>
            <w:r>
              <w:rPr>
                <w:spacing w:val="-2"/>
                <w:sz w:val="17"/>
              </w:rPr>
              <w:t>1,128.</w:t>
            </w:r>
          </w:p>
          <w:p w:rsidR="00C31389" w:rsidRDefault="00561FBD" w14:paraId="2D58A019" w14:textId="77777777">
            <w:pPr>
              <w:pStyle w:val="TableParagraph"/>
              <w:spacing w:before="0"/>
              <w:ind w:right="152"/>
              <w:jc w:val="right"/>
              <w:rPr>
                <w:sz w:val="17"/>
              </w:rPr>
            </w:pPr>
            <w:r>
              <w:rPr>
                <w:sz w:val="17"/>
              </w:rPr>
              <w:t>6</w:t>
            </w:r>
          </w:p>
        </w:tc>
        <w:tc>
          <w:tcPr>
            <w:tcW w:w="751" w:type="dxa"/>
            <w:tcBorders>
              <w:bottom w:val="single" w:color="D9D9D9" w:sz="8" w:space="0"/>
            </w:tcBorders>
          </w:tcPr>
          <w:p w:rsidR="00C31389" w:rsidRDefault="00561FBD" w14:paraId="3C02B9BF" w14:textId="77777777">
            <w:pPr>
              <w:pStyle w:val="TableParagraph"/>
              <w:spacing w:before="39"/>
              <w:ind w:right="151"/>
              <w:jc w:val="right"/>
              <w:rPr>
                <w:sz w:val="17"/>
              </w:rPr>
            </w:pPr>
            <w:r>
              <w:rPr>
                <w:spacing w:val="-2"/>
                <w:sz w:val="17"/>
              </w:rPr>
              <w:t>1,199.</w:t>
            </w:r>
          </w:p>
          <w:p w:rsidR="00C31389" w:rsidRDefault="00561FBD" w14:paraId="4F9CA5FC" w14:textId="77777777">
            <w:pPr>
              <w:pStyle w:val="TableParagraph"/>
              <w:spacing w:before="0"/>
              <w:ind w:right="152"/>
              <w:jc w:val="right"/>
              <w:rPr>
                <w:sz w:val="17"/>
              </w:rPr>
            </w:pPr>
            <w:r>
              <w:rPr>
                <w:sz w:val="17"/>
              </w:rPr>
              <w:t>9</w:t>
            </w:r>
          </w:p>
        </w:tc>
        <w:tc>
          <w:tcPr>
            <w:tcW w:w="750" w:type="dxa"/>
            <w:tcBorders>
              <w:bottom w:val="single" w:color="D9D9D9" w:sz="8" w:space="0"/>
            </w:tcBorders>
          </w:tcPr>
          <w:p w:rsidR="00C31389" w:rsidRDefault="00561FBD" w14:paraId="479886F8" w14:textId="77777777">
            <w:pPr>
              <w:pStyle w:val="TableParagraph"/>
              <w:spacing w:before="39"/>
              <w:ind w:right="150"/>
              <w:jc w:val="right"/>
              <w:rPr>
                <w:sz w:val="17"/>
              </w:rPr>
            </w:pPr>
            <w:r>
              <w:rPr>
                <w:spacing w:val="-2"/>
                <w:sz w:val="17"/>
              </w:rPr>
              <w:t>1,268.</w:t>
            </w:r>
          </w:p>
          <w:p w:rsidR="00C31389" w:rsidRDefault="00561FBD" w14:paraId="417EAA71" w14:textId="77777777">
            <w:pPr>
              <w:pStyle w:val="TableParagraph"/>
              <w:spacing w:before="0"/>
              <w:ind w:right="151"/>
              <w:jc w:val="right"/>
              <w:rPr>
                <w:sz w:val="17"/>
              </w:rPr>
            </w:pPr>
            <w:r>
              <w:rPr>
                <w:sz w:val="17"/>
              </w:rPr>
              <w:t>6</w:t>
            </w:r>
          </w:p>
        </w:tc>
        <w:tc>
          <w:tcPr>
            <w:tcW w:w="750" w:type="dxa"/>
            <w:tcBorders>
              <w:bottom w:val="single" w:color="D9D9D9" w:sz="8" w:space="0"/>
            </w:tcBorders>
          </w:tcPr>
          <w:p w:rsidR="00C31389" w:rsidRDefault="00561FBD" w14:paraId="335D7C6E" w14:textId="77777777">
            <w:pPr>
              <w:pStyle w:val="TableParagraph"/>
              <w:spacing w:before="39"/>
              <w:ind w:right="149"/>
              <w:jc w:val="right"/>
              <w:rPr>
                <w:sz w:val="17"/>
              </w:rPr>
            </w:pPr>
            <w:r>
              <w:rPr>
                <w:spacing w:val="-2"/>
                <w:sz w:val="17"/>
              </w:rPr>
              <w:t>1,324.</w:t>
            </w:r>
          </w:p>
          <w:p w:rsidR="00C31389" w:rsidRDefault="00561FBD" w14:paraId="247B5776" w14:textId="77777777">
            <w:pPr>
              <w:pStyle w:val="TableParagraph"/>
              <w:spacing w:before="0"/>
              <w:ind w:right="149"/>
              <w:jc w:val="right"/>
              <w:rPr>
                <w:sz w:val="17"/>
              </w:rPr>
            </w:pPr>
            <w:r>
              <w:rPr>
                <w:sz w:val="17"/>
              </w:rPr>
              <w:t>6</w:t>
            </w:r>
          </w:p>
        </w:tc>
        <w:tc>
          <w:tcPr>
            <w:tcW w:w="753" w:type="dxa"/>
            <w:tcBorders>
              <w:bottom w:val="single" w:color="D9D9D9" w:sz="8" w:space="0"/>
            </w:tcBorders>
          </w:tcPr>
          <w:p w:rsidR="00C31389" w:rsidRDefault="00561FBD" w14:paraId="2AD718FE" w14:textId="77777777">
            <w:pPr>
              <w:pStyle w:val="TableParagraph"/>
              <w:spacing w:before="39"/>
              <w:ind w:right="152"/>
              <w:jc w:val="right"/>
              <w:rPr>
                <w:sz w:val="17"/>
              </w:rPr>
            </w:pPr>
            <w:r>
              <w:rPr>
                <w:spacing w:val="-2"/>
                <w:sz w:val="17"/>
              </w:rPr>
              <w:t>1,353.</w:t>
            </w:r>
          </w:p>
          <w:p w:rsidR="00C31389" w:rsidRDefault="00561FBD" w14:paraId="18E69AEC" w14:textId="77777777">
            <w:pPr>
              <w:pStyle w:val="TableParagraph"/>
              <w:spacing w:before="0"/>
              <w:ind w:right="152"/>
              <w:jc w:val="right"/>
              <w:rPr>
                <w:sz w:val="17"/>
              </w:rPr>
            </w:pPr>
            <w:r>
              <w:rPr>
                <w:sz w:val="17"/>
              </w:rPr>
              <w:t>3</w:t>
            </w:r>
          </w:p>
        </w:tc>
        <w:tc>
          <w:tcPr>
            <w:tcW w:w="677" w:type="dxa"/>
            <w:tcBorders>
              <w:bottom w:val="single" w:color="D9D9D9" w:sz="8" w:space="0"/>
            </w:tcBorders>
          </w:tcPr>
          <w:p w:rsidR="00C31389" w:rsidRDefault="00561FBD" w14:paraId="61D2109F" w14:textId="77777777">
            <w:pPr>
              <w:pStyle w:val="TableParagraph"/>
              <w:spacing w:before="138"/>
              <w:ind w:left="190"/>
              <w:rPr>
                <w:sz w:val="17"/>
              </w:rPr>
            </w:pPr>
            <w:r>
              <w:rPr>
                <w:spacing w:val="-4"/>
                <w:sz w:val="17"/>
              </w:rPr>
              <w:t>13.8</w:t>
            </w:r>
          </w:p>
        </w:tc>
        <w:tc>
          <w:tcPr>
            <w:tcW w:w="677" w:type="dxa"/>
            <w:tcBorders>
              <w:bottom w:val="single" w:color="D9D9D9" w:sz="8" w:space="0"/>
            </w:tcBorders>
          </w:tcPr>
          <w:p w:rsidR="00C31389" w:rsidRDefault="00561FBD" w14:paraId="52D48924" w14:textId="77777777">
            <w:pPr>
              <w:pStyle w:val="TableParagraph"/>
              <w:spacing w:before="138"/>
              <w:ind w:left="114" w:right="77"/>
              <w:jc w:val="center"/>
              <w:rPr>
                <w:sz w:val="17"/>
              </w:rPr>
            </w:pPr>
            <w:r>
              <w:rPr>
                <w:spacing w:val="-4"/>
                <w:sz w:val="17"/>
              </w:rPr>
              <w:t>15.4</w:t>
            </w:r>
          </w:p>
        </w:tc>
        <w:tc>
          <w:tcPr>
            <w:tcW w:w="696" w:type="dxa"/>
            <w:tcBorders>
              <w:bottom w:val="single" w:color="D9D9D9" w:sz="8" w:space="0"/>
            </w:tcBorders>
          </w:tcPr>
          <w:p w:rsidR="00C31389" w:rsidRDefault="00561FBD" w14:paraId="3E9DFAB4" w14:textId="77777777">
            <w:pPr>
              <w:pStyle w:val="TableParagraph"/>
              <w:spacing w:before="138"/>
              <w:ind w:left="115" w:right="97"/>
              <w:jc w:val="center"/>
              <w:rPr>
                <w:sz w:val="17"/>
              </w:rPr>
            </w:pPr>
            <w:r>
              <w:rPr>
                <w:spacing w:val="-4"/>
                <w:sz w:val="17"/>
              </w:rPr>
              <w:t>17.3</w:t>
            </w:r>
          </w:p>
        </w:tc>
        <w:tc>
          <w:tcPr>
            <w:tcW w:w="676" w:type="dxa"/>
            <w:tcBorders>
              <w:bottom w:val="single" w:color="D9D9D9" w:sz="8" w:space="0"/>
            </w:tcBorders>
          </w:tcPr>
          <w:p w:rsidR="00C31389" w:rsidRDefault="00561FBD" w14:paraId="4DA78FF3" w14:textId="77777777">
            <w:pPr>
              <w:pStyle w:val="TableParagraph"/>
              <w:spacing w:before="138"/>
              <w:ind w:left="174"/>
              <w:rPr>
                <w:sz w:val="17"/>
              </w:rPr>
            </w:pPr>
            <w:r>
              <w:rPr>
                <w:spacing w:val="-4"/>
                <w:sz w:val="17"/>
              </w:rPr>
              <w:t>13.0</w:t>
            </w:r>
          </w:p>
        </w:tc>
        <w:tc>
          <w:tcPr>
            <w:tcW w:w="677" w:type="dxa"/>
            <w:tcBorders>
              <w:bottom w:val="single" w:color="D9D9D9" w:sz="8" w:space="0"/>
            </w:tcBorders>
          </w:tcPr>
          <w:p w:rsidR="00C31389" w:rsidRDefault="00561FBD" w14:paraId="304A3ED6" w14:textId="77777777">
            <w:pPr>
              <w:pStyle w:val="TableParagraph"/>
              <w:spacing w:before="138"/>
              <w:ind w:right="169"/>
              <w:jc w:val="right"/>
              <w:rPr>
                <w:sz w:val="17"/>
              </w:rPr>
            </w:pPr>
            <w:r>
              <w:rPr>
                <w:spacing w:val="-4"/>
                <w:sz w:val="17"/>
              </w:rPr>
              <w:t>13.6</w:t>
            </w:r>
          </w:p>
        </w:tc>
        <w:tc>
          <w:tcPr>
            <w:tcW w:w="640" w:type="dxa"/>
            <w:tcBorders>
              <w:bottom w:val="single" w:color="D9D9D9" w:sz="8" w:space="0"/>
            </w:tcBorders>
          </w:tcPr>
          <w:p w:rsidR="00C31389" w:rsidRDefault="00561FBD" w14:paraId="2B595E40" w14:textId="77777777">
            <w:pPr>
              <w:pStyle w:val="TableParagraph"/>
              <w:spacing w:before="138"/>
              <w:ind w:left="133" w:right="89"/>
              <w:jc w:val="center"/>
              <w:rPr>
                <w:sz w:val="17"/>
              </w:rPr>
            </w:pPr>
            <w:r>
              <w:rPr>
                <w:spacing w:val="-4"/>
                <w:sz w:val="17"/>
              </w:rPr>
              <w:t>14.2</w:t>
            </w:r>
          </w:p>
        </w:tc>
      </w:tr>
      <w:tr w:rsidR="00C31389" w14:paraId="60A6BD87" w14:textId="77777777">
        <w:trPr>
          <w:trHeight w:val="275"/>
        </w:trPr>
        <w:tc>
          <w:tcPr>
            <w:tcW w:w="947" w:type="dxa"/>
            <w:tcBorders>
              <w:top w:val="single" w:color="DCDDDE" w:sz="4" w:space="0"/>
              <w:bottom w:val="single" w:color="DCDDDE" w:sz="4" w:space="0"/>
            </w:tcBorders>
          </w:tcPr>
          <w:p w:rsidR="00C31389" w:rsidRDefault="00561FBD" w14:paraId="6C1E0412" w14:textId="77777777">
            <w:pPr>
              <w:pStyle w:val="TableParagraph"/>
              <w:spacing w:before="46"/>
              <w:ind w:left="121"/>
              <w:rPr>
                <w:sz w:val="16"/>
              </w:rPr>
            </w:pPr>
            <w:r>
              <w:rPr>
                <w:spacing w:val="-4"/>
                <w:sz w:val="16"/>
              </w:rPr>
              <w:t>BROs</w:t>
            </w:r>
          </w:p>
        </w:tc>
        <w:tc>
          <w:tcPr>
            <w:tcW w:w="797" w:type="dxa"/>
            <w:tcBorders>
              <w:top w:val="single" w:color="D9D9D9" w:sz="8" w:space="0"/>
              <w:bottom w:val="single" w:color="DCDDDE" w:sz="4" w:space="0"/>
            </w:tcBorders>
          </w:tcPr>
          <w:p w:rsidR="00C31389" w:rsidRDefault="00561FBD" w14:paraId="568F0732" w14:textId="77777777">
            <w:pPr>
              <w:pStyle w:val="TableParagraph"/>
              <w:ind w:right="152"/>
              <w:jc w:val="right"/>
              <w:rPr>
                <w:sz w:val="17"/>
              </w:rPr>
            </w:pPr>
            <w:r>
              <w:rPr>
                <w:spacing w:val="-4"/>
                <w:sz w:val="17"/>
              </w:rPr>
              <w:t>45.4</w:t>
            </w:r>
          </w:p>
        </w:tc>
        <w:tc>
          <w:tcPr>
            <w:tcW w:w="751" w:type="dxa"/>
            <w:tcBorders>
              <w:top w:val="single" w:color="D9D9D9" w:sz="8" w:space="0"/>
              <w:bottom w:val="single" w:color="DCDDDE" w:sz="4" w:space="0"/>
            </w:tcBorders>
          </w:tcPr>
          <w:p w:rsidR="00C31389" w:rsidRDefault="00561FBD" w14:paraId="4813EF4B" w14:textId="77777777">
            <w:pPr>
              <w:pStyle w:val="TableParagraph"/>
              <w:ind w:left="187" w:right="77"/>
              <w:jc w:val="center"/>
              <w:rPr>
                <w:sz w:val="17"/>
              </w:rPr>
            </w:pPr>
            <w:r>
              <w:rPr>
                <w:spacing w:val="-4"/>
                <w:sz w:val="17"/>
              </w:rPr>
              <w:t>47.7</w:t>
            </w:r>
          </w:p>
        </w:tc>
        <w:tc>
          <w:tcPr>
            <w:tcW w:w="751" w:type="dxa"/>
            <w:tcBorders>
              <w:top w:val="single" w:color="D9D9D9" w:sz="8" w:space="0"/>
              <w:bottom w:val="single" w:color="DCDDDE" w:sz="4" w:space="0"/>
            </w:tcBorders>
          </w:tcPr>
          <w:p w:rsidR="00C31389" w:rsidRDefault="00561FBD" w14:paraId="3FCFD9D3" w14:textId="77777777">
            <w:pPr>
              <w:pStyle w:val="TableParagraph"/>
              <w:ind w:left="187" w:right="76"/>
              <w:jc w:val="center"/>
              <w:rPr>
                <w:sz w:val="17"/>
              </w:rPr>
            </w:pPr>
            <w:r>
              <w:rPr>
                <w:spacing w:val="-4"/>
                <w:sz w:val="17"/>
              </w:rPr>
              <w:t>50.0</w:t>
            </w:r>
          </w:p>
        </w:tc>
        <w:tc>
          <w:tcPr>
            <w:tcW w:w="750" w:type="dxa"/>
            <w:tcBorders>
              <w:top w:val="single" w:color="D9D9D9" w:sz="8" w:space="0"/>
              <w:bottom w:val="single" w:color="DCDDDE" w:sz="4" w:space="0"/>
            </w:tcBorders>
          </w:tcPr>
          <w:p w:rsidR="00C31389" w:rsidRDefault="00561FBD" w14:paraId="23E45BBB" w14:textId="77777777">
            <w:pPr>
              <w:pStyle w:val="TableParagraph"/>
              <w:ind w:right="151"/>
              <w:jc w:val="right"/>
              <w:rPr>
                <w:sz w:val="17"/>
              </w:rPr>
            </w:pPr>
            <w:r>
              <w:rPr>
                <w:spacing w:val="-4"/>
                <w:sz w:val="17"/>
              </w:rPr>
              <w:t>51.8</w:t>
            </w:r>
          </w:p>
        </w:tc>
        <w:tc>
          <w:tcPr>
            <w:tcW w:w="750" w:type="dxa"/>
            <w:tcBorders>
              <w:top w:val="single" w:color="D9D9D9" w:sz="8" w:space="0"/>
              <w:bottom w:val="single" w:color="DCDDDE" w:sz="4" w:space="0"/>
            </w:tcBorders>
          </w:tcPr>
          <w:p w:rsidR="00C31389" w:rsidRDefault="00561FBD" w14:paraId="0A9FD3E0" w14:textId="77777777">
            <w:pPr>
              <w:pStyle w:val="TableParagraph"/>
              <w:ind w:left="188" w:right="74"/>
              <w:jc w:val="center"/>
              <w:rPr>
                <w:sz w:val="17"/>
              </w:rPr>
            </w:pPr>
            <w:r>
              <w:rPr>
                <w:spacing w:val="-4"/>
                <w:sz w:val="17"/>
              </w:rPr>
              <w:t>53.4</w:t>
            </w:r>
          </w:p>
        </w:tc>
        <w:tc>
          <w:tcPr>
            <w:tcW w:w="753" w:type="dxa"/>
            <w:tcBorders>
              <w:top w:val="single" w:color="D9D9D9" w:sz="8" w:space="0"/>
              <w:bottom w:val="single" w:color="DCDDDE" w:sz="4" w:space="0"/>
            </w:tcBorders>
          </w:tcPr>
          <w:p w:rsidR="00C31389" w:rsidRDefault="00561FBD" w14:paraId="30900208" w14:textId="77777777">
            <w:pPr>
              <w:pStyle w:val="TableParagraph"/>
              <w:ind w:right="152"/>
              <w:jc w:val="right"/>
              <w:rPr>
                <w:sz w:val="17"/>
              </w:rPr>
            </w:pPr>
            <w:r>
              <w:rPr>
                <w:spacing w:val="-4"/>
                <w:sz w:val="17"/>
              </w:rPr>
              <w:t>55.2</w:t>
            </w:r>
          </w:p>
        </w:tc>
        <w:tc>
          <w:tcPr>
            <w:tcW w:w="677" w:type="dxa"/>
            <w:tcBorders>
              <w:top w:val="single" w:color="D9D9D9" w:sz="8" w:space="0"/>
              <w:bottom w:val="single" w:color="DCDDDE" w:sz="4" w:space="0"/>
            </w:tcBorders>
          </w:tcPr>
          <w:p w:rsidR="00C31389" w:rsidRDefault="00561FBD" w14:paraId="1FAAB597" w14:textId="77777777">
            <w:pPr>
              <w:pStyle w:val="TableParagraph"/>
              <w:ind w:left="190"/>
              <w:rPr>
                <w:sz w:val="17"/>
              </w:rPr>
            </w:pPr>
            <w:r>
              <w:rPr>
                <w:spacing w:val="-4"/>
                <w:sz w:val="17"/>
              </w:rPr>
              <w:t>57.1</w:t>
            </w:r>
          </w:p>
        </w:tc>
        <w:tc>
          <w:tcPr>
            <w:tcW w:w="677" w:type="dxa"/>
            <w:tcBorders>
              <w:top w:val="single" w:color="D9D9D9" w:sz="8" w:space="0"/>
              <w:bottom w:val="single" w:color="DCDDDE" w:sz="4" w:space="0"/>
            </w:tcBorders>
          </w:tcPr>
          <w:p w:rsidR="00C31389" w:rsidRDefault="00561FBD" w14:paraId="73051CAC" w14:textId="77777777">
            <w:pPr>
              <w:pStyle w:val="TableParagraph"/>
              <w:ind w:left="114" w:right="77"/>
              <w:jc w:val="center"/>
              <w:rPr>
                <w:sz w:val="17"/>
              </w:rPr>
            </w:pPr>
            <w:r>
              <w:rPr>
                <w:spacing w:val="-4"/>
                <w:sz w:val="17"/>
              </w:rPr>
              <w:t>59.0</w:t>
            </w:r>
          </w:p>
        </w:tc>
        <w:tc>
          <w:tcPr>
            <w:tcW w:w="696" w:type="dxa"/>
            <w:tcBorders>
              <w:top w:val="single" w:color="D9D9D9" w:sz="8" w:space="0"/>
              <w:bottom w:val="single" w:color="DCDDDE" w:sz="4" w:space="0"/>
            </w:tcBorders>
          </w:tcPr>
          <w:p w:rsidR="00C31389" w:rsidRDefault="00561FBD" w14:paraId="2629E2E1" w14:textId="77777777">
            <w:pPr>
              <w:pStyle w:val="TableParagraph"/>
              <w:ind w:left="115" w:right="97"/>
              <w:jc w:val="center"/>
              <w:rPr>
                <w:sz w:val="17"/>
              </w:rPr>
            </w:pPr>
            <w:r>
              <w:rPr>
                <w:spacing w:val="-4"/>
                <w:sz w:val="17"/>
              </w:rPr>
              <w:t>60.8</w:t>
            </w:r>
          </w:p>
        </w:tc>
        <w:tc>
          <w:tcPr>
            <w:tcW w:w="676" w:type="dxa"/>
            <w:tcBorders>
              <w:top w:val="single" w:color="D9D9D9" w:sz="8" w:space="0"/>
              <w:bottom w:val="single" w:color="DCDDDE" w:sz="4" w:space="0"/>
            </w:tcBorders>
          </w:tcPr>
          <w:p w:rsidR="00C31389" w:rsidRDefault="00561FBD" w14:paraId="2FF196E6" w14:textId="77777777">
            <w:pPr>
              <w:pStyle w:val="TableParagraph"/>
              <w:ind w:left="174"/>
              <w:rPr>
                <w:sz w:val="17"/>
              </w:rPr>
            </w:pPr>
            <w:r>
              <w:rPr>
                <w:spacing w:val="-4"/>
                <w:sz w:val="17"/>
              </w:rPr>
              <w:t>62.9</w:t>
            </w:r>
          </w:p>
        </w:tc>
        <w:tc>
          <w:tcPr>
            <w:tcW w:w="677" w:type="dxa"/>
            <w:tcBorders>
              <w:top w:val="single" w:color="D9D9D9" w:sz="8" w:space="0"/>
              <w:bottom w:val="single" w:color="DCDDDE" w:sz="4" w:space="0"/>
            </w:tcBorders>
          </w:tcPr>
          <w:p w:rsidR="00C31389" w:rsidRDefault="00561FBD" w14:paraId="6236C221" w14:textId="77777777">
            <w:pPr>
              <w:pStyle w:val="TableParagraph"/>
              <w:ind w:right="169"/>
              <w:jc w:val="right"/>
              <w:rPr>
                <w:sz w:val="17"/>
              </w:rPr>
            </w:pPr>
            <w:r>
              <w:rPr>
                <w:spacing w:val="-4"/>
                <w:sz w:val="17"/>
              </w:rPr>
              <w:t>63.9</w:t>
            </w:r>
          </w:p>
        </w:tc>
        <w:tc>
          <w:tcPr>
            <w:tcW w:w="640" w:type="dxa"/>
            <w:tcBorders>
              <w:top w:val="single" w:color="D9D9D9" w:sz="8" w:space="0"/>
              <w:bottom w:val="single" w:color="DCDDDE" w:sz="4" w:space="0"/>
            </w:tcBorders>
          </w:tcPr>
          <w:p w:rsidR="00C31389" w:rsidRDefault="00561FBD" w14:paraId="69C25E40" w14:textId="77777777">
            <w:pPr>
              <w:pStyle w:val="TableParagraph"/>
              <w:ind w:left="133" w:right="89"/>
              <w:jc w:val="center"/>
              <w:rPr>
                <w:sz w:val="17"/>
              </w:rPr>
            </w:pPr>
            <w:r>
              <w:rPr>
                <w:spacing w:val="-4"/>
                <w:sz w:val="17"/>
              </w:rPr>
              <w:t>66.2</w:t>
            </w:r>
          </w:p>
        </w:tc>
      </w:tr>
      <w:tr w:rsidR="00C31389" w14:paraId="5E705AD7" w14:textId="77777777">
        <w:trPr>
          <w:trHeight w:val="263"/>
        </w:trPr>
        <w:tc>
          <w:tcPr>
            <w:tcW w:w="9542" w:type="dxa"/>
            <w:gridSpan w:val="13"/>
            <w:tcBorders>
              <w:top w:val="single" w:color="DCDDDE" w:sz="4" w:space="0"/>
              <w:bottom w:val="single" w:color="DCDDDE" w:sz="4" w:space="0"/>
            </w:tcBorders>
            <w:shd w:val="clear" w:color="auto" w:fill="BEBEBE"/>
          </w:tcPr>
          <w:p w:rsidR="00C31389" w:rsidRDefault="00561FBD" w14:paraId="77C1BCAE" w14:textId="77777777">
            <w:pPr>
              <w:pStyle w:val="TableParagraph"/>
              <w:ind w:left="121"/>
              <w:rPr>
                <w:b/>
                <w:sz w:val="16"/>
              </w:rPr>
            </w:pPr>
            <w:r>
              <w:rPr>
                <w:b/>
                <w:sz w:val="16"/>
              </w:rPr>
              <w:t>Scenario</w:t>
            </w:r>
            <w:r>
              <w:rPr>
                <w:b/>
                <w:spacing w:val="-8"/>
                <w:sz w:val="16"/>
              </w:rPr>
              <w:t xml:space="preserve"> </w:t>
            </w:r>
            <w:r>
              <w:rPr>
                <w:b/>
                <w:sz w:val="16"/>
              </w:rPr>
              <w:t>4:</w:t>
            </w:r>
            <w:r>
              <w:rPr>
                <w:b/>
                <w:spacing w:val="-8"/>
                <w:sz w:val="16"/>
              </w:rPr>
              <w:t xml:space="preserve"> </w:t>
            </w:r>
            <w:r>
              <w:rPr>
                <w:b/>
                <w:sz w:val="16"/>
              </w:rPr>
              <w:t>Aggressive</w:t>
            </w:r>
            <w:r>
              <w:rPr>
                <w:b/>
                <w:spacing w:val="-8"/>
                <w:sz w:val="16"/>
              </w:rPr>
              <w:t xml:space="preserve"> </w:t>
            </w:r>
            <w:r>
              <w:rPr>
                <w:b/>
                <w:sz w:val="16"/>
              </w:rPr>
              <w:t>IRA</w:t>
            </w:r>
            <w:r>
              <w:rPr>
                <w:b/>
                <w:spacing w:val="-7"/>
                <w:sz w:val="16"/>
              </w:rPr>
              <w:t xml:space="preserve"> </w:t>
            </w:r>
            <w:r>
              <w:rPr>
                <w:b/>
                <w:sz w:val="16"/>
              </w:rPr>
              <w:t>and</w:t>
            </w:r>
            <w:r>
              <w:rPr>
                <w:b/>
                <w:spacing w:val="-7"/>
                <w:sz w:val="16"/>
              </w:rPr>
              <w:t xml:space="preserve"> </w:t>
            </w:r>
            <w:r>
              <w:rPr>
                <w:b/>
                <w:sz w:val="16"/>
              </w:rPr>
              <w:t>reference</w:t>
            </w:r>
            <w:r>
              <w:rPr>
                <w:b/>
                <w:spacing w:val="-6"/>
                <w:sz w:val="16"/>
              </w:rPr>
              <w:t xml:space="preserve"> </w:t>
            </w:r>
            <w:r>
              <w:rPr>
                <w:b/>
                <w:spacing w:val="-5"/>
                <w:sz w:val="16"/>
              </w:rPr>
              <w:t>FS</w:t>
            </w:r>
          </w:p>
        </w:tc>
      </w:tr>
      <w:tr w:rsidR="00C31389" w14:paraId="15D564DC" w14:textId="77777777">
        <w:trPr>
          <w:trHeight w:val="275"/>
        </w:trPr>
        <w:tc>
          <w:tcPr>
            <w:tcW w:w="947" w:type="dxa"/>
            <w:tcBorders>
              <w:top w:val="single" w:color="DCDDDE" w:sz="4" w:space="0"/>
              <w:bottom w:val="single" w:color="DCDDDE" w:sz="4" w:space="0"/>
            </w:tcBorders>
          </w:tcPr>
          <w:p w:rsidR="00C31389" w:rsidRDefault="00561FBD" w14:paraId="1759DF39" w14:textId="77777777">
            <w:pPr>
              <w:pStyle w:val="TableParagraph"/>
              <w:spacing w:before="46"/>
              <w:ind w:left="121"/>
              <w:rPr>
                <w:sz w:val="16"/>
              </w:rPr>
            </w:pPr>
            <w:r>
              <w:rPr>
                <w:spacing w:val="-5"/>
                <w:sz w:val="16"/>
              </w:rPr>
              <w:t>EE</w:t>
            </w:r>
          </w:p>
        </w:tc>
        <w:tc>
          <w:tcPr>
            <w:tcW w:w="797" w:type="dxa"/>
            <w:tcBorders>
              <w:top w:val="single" w:color="DCDDDE" w:sz="4" w:space="0"/>
            </w:tcBorders>
          </w:tcPr>
          <w:p w:rsidR="00C31389" w:rsidRDefault="00561FBD" w14:paraId="6DD53D82" w14:textId="77777777">
            <w:pPr>
              <w:pStyle w:val="TableParagraph"/>
              <w:ind w:right="152"/>
              <w:jc w:val="right"/>
              <w:rPr>
                <w:sz w:val="17"/>
              </w:rPr>
            </w:pPr>
            <w:r>
              <w:rPr>
                <w:spacing w:val="-4"/>
                <w:sz w:val="17"/>
              </w:rPr>
              <w:t>16.2</w:t>
            </w:r>
          </w:p>
        </w:tc>
        <w:tc>
          <w:tcPr>
            <w:tcW w:w="751" w:type="dxa"/>
            <w:tcBorders>
              <w:top w:val="single" w:color="DCDDDE" w:sz="4" w:space="0"/>
            </w:tcBorders>
          </w:tcPr>
          <w:p w:rsidR="00C31389" w:rsidRDefault="00561FBD" w14:paraId="28A5A016" w14:textId="77777777">
            <w:pPr>
              <w:pStyle w:val="TableParagraph"/>
              <w:ind w:left="187" w:right="77"/>
              <w:jc w:val="center"/>
              <w:rPr>
                <w:sz w:val="17"/>
              </w:rPr>
            </w:pPr>
            <w:r>
              <w:rPr>
                <w:spacing w:val="-4"/>
                <w:sz w:val="17"/>
              </w:rPr>
              <w:t>16.3</w:t>
            </w:r>
          </w:p>
        </w:tc>
        <w:tc>
          <w:tcPr>
            <w:tcW w:w="751" w:type="dxa"/>
            <w:tcBorders>
              <w:top w:val="single" w:color="DCDDDE" w:sz="4" w:space="0"/>
            </w:tcBorders>
          </w:tcPr>
          <w:p w:rsidR="00C31389" w:rsidRDefault="00561FBD" w14:paraId="74FB2935" w14:textId="77777777">
            <w:pPr>
              <w:pStyle w:val="TableParagraph"/>
              <w:ind w:left="187" w:right="76"/>
              <w:jc w:val="center"/>
              <w:rPr>
                <w:sz w:val="17"/>
              </w:rPr>
            </w:pPr>
            <w:r>
              <w:rPr>
                <w:spacing w:val="-4"/>
                <w:sz w:val="17"/>
              </w:rPr>
              <w:t>16.0</w:t>
            </w:r>
          </w:p>
        </w:tc>
        <w:tc>
          <w:tcPr>
            <w:tcW w:w="750" w:type="dxa"/>
            <w:tcBorders>
              <w:top w:val="single" w:color="DCDDDE" w:sz="4" w:space="0"/>
            </w:tcBorders>
          </w:tcPr>
          <w:p w:rsidR="00C31389" w:rsidRDefault="00561FBD" w14:paraId="6268BF74" w14:textId="77777777">
            <w:pPr>
              <w:pStyle w:val="TableParagraph"/>
              <w:ind w:right="151"/>
              <w:jc w:val="right"/>
              <w:rPr>
                <w:sz w:val="17"/>
              </w:rPr>
            </w:pPr>
            <w:r>
              <w:rPr>
                <w:spacing w:val="-4"/>
                <w:sz w:val="17"/>
              </w:rPr>
              <w:t>15.7</w:t>
            </w:r>
          </w:p>
        </w:tc>
        <w:tc>
          <w:tcPr>
            <w:tcW w:w="750" w:type="dxa"/>
            <w:tcBorders>
              <w:top w:val="single" w:color="DCDDDE" w:sz="4" w:space="0"/>
            </w:tcBorders>
          </w:tcPr>
          <w:p w:rsidR="00C31389" w:rsidRDefault="00561FBD" w14:paraId="67859FE0" w14:textId="77777777">
            <w:pPr>
              <w:pStyle w:val="TableParagraph"/>
              <w:ind w:left="188" w:right="74"/>
              <w:jc w:val="center"/>
              <w:rPr>
                <w:sz w:val="17"/>
              </w:rPr>
            </w:pPr>
            <w:r>
              <w:rPr>
                <w:spacing w:val="-4"/>
                <w:sz w:val="17"/>
              </w:rPr>
              <w:t>15.5</w:t>
            </w:r>
          </w:p>
        </w:tc>
        <w:tc>
          <w:tcPr>
            <w:tcW w:w="753" w:type="dxa"/>
            <w:tcBorders>
              <w:top w:val="single" w:color="DCDDDE" w:sz="4" w:space="0"/>
            </w:tcBorders>
          </w:tcPr>
          <w:p w:rsidR="00C31389" w:rsidRDefault="00561FBD" w14:paraId="0C53534F" w14:textId="77777777">
            <w:pPr>
              <w:pStyle w:val="TableParagraph"/>
              <w:ind w:right="152"/>
              <w:jc w:val="right"/>
              <w:rPr>
                <w:sz w:val="17"/>
              </w:rPr>
            </w:pPr>
            <w:r>
              <w:rPr>
                <w:spacing w:val="-4"/>
                <w:sz w:val="17"/>
              </w:rPr>
              <w:t>15.0</w:t>
            </w:r>
          </w:p>
        </w:tc>
        <w:tc>
          <w:tcPr>
            <w:tcW w:w="677" w:type="dxa"/>
            <w:tcBorders>
              <w:top w:val="single" w:color="DCDDDE" w:sz="4" w:space="0"/>
            </w:tcBorders>
          </w:tcPr>
          <w:p w:rsidR="00C31389" w:rsidRDefault="00561FBD" w14:paraId="73AFA5A2" w14:textId="77777777">
            <w:pPr>
              <w:pStyle w:val="TableParagraph"/>
              <w:ind w:left="190"/>
              <w:rPr>
                <w:sz w:val="17"/>
              </w:rPr>
            </w:pPr>
            <w:r>
              <w:rPr>
                <w:spacing w:val="-4"/>
                <w:sz w:val="17"/>
              </w:rPr>
              <w:t>15.4</w:t>
            </w:r>
          </w:p>
        </w:tc>
        <w:tc>
          <w:tcPr>
            <w:tcW w:w="677" w:type="dxa"/>
            <w:tcBorders>
              <w:top w:val="single" w:color="DCDDDE" w:sz="4" w:space="0"/>
            </w:tcBorders>
          </w:tcPr>
          <w:p w:rsidR="00C31389" w:rsidRDefault="00561FBD" w14:paraId="347230F0" w14:textId="77777777">
            <w:pPr>
              <w:pStyle w:val="TableParagraph"/>
              <w:ind w:left="114" w:right="77"/>
              <w:jc w:val="center"/>
              <w:rPr>
                <w:sz w:val="17"/>
              </w:rPr>
            </w:pPr>
            <w:r>
              <w:rPr>
                <w:spacing w:val="-4"/>
                <w:sz w:val="17"/>
              </w:rPr>
              <w:t>14.9</w:t>
            </w:r>
          </w:p>
        </w:tc>
        <w:tc>
          <w:tcPr>
            <w:tcW w:w="696" w:type="dxa"/>
            <w:tcBorders>
              <w:top w:val="single" w:color="DCDDDE" w:sz="4" w:space="0"/>
            </w:tcBorders>
          </w:tcPr>
          <w:p w:rsidR="00C31389" w:rsidRDefault="00561FBD" w14:paraId="1BCC2F0C" w14:textId="77777777">
            <w:pPr>
              <w:pStyle w:val="TableParagraph"/>
              <w:ind w:left="115" w:right="97"/>
              <w:jc w:val="center"/>
              <w:rPr>
                <w:sz w:val="17"/>
              </w:rPr>
            </w:pPr>
            <w:r>
              <w:rPr>
                <w:spacing w:val="-4"/>
                <w:sz w:val="17"/>
              </w:rPr>
              <w:t>14.4</w:t>
            </w:r>
          </w:p>
        </w:tc>
        <w:tc>
          <w:tcPr>
            <w:tcW w:w="676" w:type="dxa"/>
            <w:tcBorders>
              <w:top w:val="single" w:color="DCDDDE" w:sz="4" w:space="0"/>
            </w:tcBorders>
          </w:tcPr>
          <w:p w:rsidR="00C31389" w:rsidRDefault="00561FBD" w14:paraId="03359A42" w14:textId="77777777">
            <w:pPr>
              <w:pStyle w:val="TableParagraph"/>
              <w:ind w:left="174"/>
              <w:rPr>
                <w:sz w:val="17"/>
              </w:rPr>
            </w:pPr>
            <w:r>
              <w:rPr>
                <w:spacing w:val="-4"/>
                <w:sz w:val="17"/>
              </w:rPr>
              <w:t>13.4</w:t>
            </w:r>
          </w:p>
        </w:tc>
        <w:tc>
          <w:tcPr>
            <w:tcW w:w="677" w:type="dxa"/>
            <w:tcBorders>
              <w:top w:val="single" w:color="DCDDDE" w:sz="4" w:space="0"/>
            </w:tcBorders>
          </w:tcPr>
          <w:p w:rsidR="00C31389" w:rsidRDefault="00561FBD" w14:paraId="3A6B809D" w14:textId="77777777">
            <w:pPr>
              <w:pStyle w:val="TableParagraph"/>
              <w:ind w:right="169"/>
              <w:jc w:val="right"/>
              <w:rPr>
                <w:sz w:val="17"/>
              </w:rPr>
            </w:pPr>
            <w:r>
              <w:rPr>
                <w:spacing w:val="-4"/>
                <w:sz w:val="17"/>
              </w:rPr>
              <w:t>13.1</w:t>
            </w:r>
          </w:p>
        </w:tc>
        <w:tc>
          <w:tcPr>
            <w:tcW w:w="640" w:type="dxa"/>
            <w:tcBorders>
              <w:top w:val="single" w:color="DCDDDE" w:sz="4" w:space="0"/>
            </w:tcBorders>
          </w:tcPr>
          <w:p w:rsidR="00C31389" w:rsidRDefault="00561FBD" w14:paraId="4931C813" w14:textId="77777777">
            <w:pPr>
              <w:pStyle w:val="TableParagraph"/>
              <w:ind w:left="133" w:right="89"/>
              <w:jc w:val="center"/>
              <w:rPr>
                <w:sz w:val="17"/>
              </w:rPr>
            </w:pPr>
            <w:r>
              <w:rPr>
                <w:spacing w:val="-4"/>
                <w:sz w:val="17"/>
              </w:rPr>
              <w:t>13.0</w:t>
            </w:r>
          </w:p>
        </w:tc>
      </w:tr>
      <w:tr w:rsidR="00C31389" w14:paraId="5CEC8ECF" w14:textId="77777777">
        <w:trPr>
          <w:trHeight w:val="275"/>
        </w:trPr>
        <w:tc>
          <w:tcPr>
            <w:tcW w:w="947" w:type="dxa"/>
            <w:tcBorders>
              <w:top w:val="single" w:color="DCDDDE" w:sz="4" w:space="0"/>
              <w:bottom w:val="single" w:color="DCDDDE" w:sz="4" w:space="0"/>
            </w:tcBorders>
          </w:tcPr>
          <w:p w:rsidR="00C31389" w:rsidRDefault="00561FBD" w14:paraId="368B0B3D" w14:textId="77777777">
            <w:pPr>
              <w:pStyle w:val="TableParagraph"/>
              <w:spacing w:before="46"/>
              <w:ind w:left="121"/>
              <w:rPr>
                <w:sz w:val="16"/>
              </w:rPr>
            </w:pPr>
            <w:r>
              <w:rPr>
                <w:spacing w:val="-5"/>
                <w:sz w:val="16"/>
              </w:rPr>
              <w:t>FS</w:t>
            </w:r>
          </w:p>
        </w:tc>
        <w:tc>
          <w:tcPr>
            <w:tcW w:w="797" w:type="dxa"/>
            <w:tcBorders>
              <w:bottom w:val="single" w:color="D9D9D9" w:sz="8" w:space="0"/>
            </w:tcBorders>
          </w:tcPr>
          <w:p w:rsidR="00C31389" w:rsidRDefault="00561FBD" w14:paraId="0F3AE94C" w14:textId="77777777">
            <w:pPr>
              <w:pStyle w:val="TableParagraph"/>
              <w:ind w:right="152"/>
              <w:jc w:val="right"/>
              <w:rPr>
                <w:sz w:val="17"/>
              </w:rPr>
            </w:pPr>
            <w:r>
              <w:rPr>
                <w:spacing w:val="-4"/>
                <w:sz w:val="17"/>
              </w:rPr>
              <w:t>72.5</w:t>
            </w:r>
          </w:p>
        </w:tc>
        <w:tc>
          <w:tcPr>
            <w:tcW w:w="751" w:type="dxa"/>
            <w:tcBorders>
              <w:bottom w:val="single" w:color="D9D9D9" w:sz="8" w:space="0"/>
            </w:tcBorders>
          </w:tcPr>
          <w:p w:rsidR="00C31389" w:rsidRDefault="00561FBD" w14:paraId="6214BCAF" w14:textId="77777777">
            <w:pPr>
              <w:pStyle w:val="TableParagraph"/>
              <w:ind w:left="187" w:right="77"/>
              <w:jc w:val="center"/>
              <w:rPr>
                <w:sz w:val="17"/>
              </w:rPr>
            </w:pPr>
            <w:r>
              <w:rPr>
                <w:spacing w:val="-4"/>
                <w:sz w:val="17"/>
              </w:rPr>
              <w:t>79.5</w:t>
            </w:r>
          </w:p>
        </w:tc>
        <w:tc>
          <w:tcPr>
            <w:tcW w:w="751" w:type="dxa"/>
            <w:tcBorders>
              <w:bottom w:val="single" w:color="D9D9D9" w:sz="8" w:space="0"/>
            </w:tcBorders>
          </w:tcPr>
          <w:p w:rsidR="00C31389" w:rsidRDefault="00561FBD" w14:paraId="509768A1" w14:textId="77777777">
            <w:pPr>
              <w:pStyle w:val="TableParagraph"/>
              <w:ind w:left="187" w:right="76"/>
              <w:jc w:val="center"/>
              <w:rPr>
                <w:sz w:val="17"/>
              </w:rPr>
            </w:pPr>
            <w:r>
              <w:rPr>
                <w:spacing w:val="-4"/>
                <w:sz w:val="17"/>
              </w:rPr>
              <w:t>83.7</w:t>
            </w:r>
          </w:p>
        </w:tc>
        <w:tc>
          <w:tcPr>
            <w:tcW w:w="750" w:type="dxa"/>
            <w:tcBorders>
              <w:bottom w:val="single" w:color="D9D9D9" w:sz="8" w:space="0"/>
            </w:tcBorders>
          </w:tcPr>
          <w:p w:rsidR="00C31389" w:rsidRDefault="00561FBD" w14:paraId="5B95C745" w14:textId="77777777">
            <w:pPr>
              <w:pStyle w:val="TableParagraph"/>
              <w:ind w:right="151"/>
              <w:jc w:val="right"/>
              <w:rPr>
                <w:sz w:val="17"/>
              </w:rPr>
            </w:pPr>
            <w:r>
              <w:rPr>
                <w:spacing w:val="-4"/>
                <w:sz w:val="17"/>
              </w:rPr>
              <w:t>87.5</w:t>
            </w:r>
          </w:p>
        </w:tc>
        <w:tc>
          <w:tcPr>
            <w:tcW w:w="750" w:type="dxa"/>
            <w:tcBorders>
              <w:bottom w:val="single" w:color="D9D9D9" w:sz="8" w:space="0"/>
            </w:tcBorders>
          </w:tcPr>
          <w:p w:rsidR="00C31389" w:rsidRDefault="00561FBD" w14:paraId="1C0A99A8" w14:textId="77777777">
            <w:pPr>
              <w:pStyle w:val="TableParagraph"/>
              <w:ind w:left="188" w:right="74"/>
              <w:jc w:val="center"/>
              <w:rPr>
                <w:sz w:val="17"/>
              </w:rPr>
            </w:pPr>
            <w:r>
              <w:rPr>
                <w:spacing w:val="-4"/>
                <w:sz w:val="17"/>
              </w:rPr>
              <w:t>93.2</w:t>
            </w:r>
          </w:p>
        </w:tc>
        <w:tc>
          <w:tcPr>
            <w:tcW w:w="753" w:type="dxa"/>
            <w:tcBorders>
              <w:bottom w:val="single" w:color="D9D9D9" w:sz="8" w:space="0"/>
            </w:tcBorders>
          </w:tcPr>
          <w:p w:rsidR="00C31389" w:rsidRDefault="00561FBD" w14:paraId="5DB5719C" w14:textId="77777777">
            <w:pPr>
              <w:pStyle w:val="TableParagraph"/>
              <w:ind w:right="152"/>
              <w:jc w:val="right"/>
              <w:rPr>
                <w:sz w:val="17"/>
              </w:rPr>
            </w:pPr>
            <w:r>
              <w:rPr>
                <w:spacing w:val="-4"/>
                <w:sz w:val="17"/>
              </w:rPr>
              <w:t>95.5</w:t>
            </w:r>
          </w:p>
        </w:tc>
        <w:tc>
          <w:tcPr>
            <w:tcW w:w="677" w:type="dxa"/>
            <w:tcBorders>
              <w:bottom w:val="single" w:color="D9D9D9" w:sz="8" w:space="0"/>
            </w:tcBorders>
          </w:tcPr>
          <w:p w:rsidR="00C31389" w:rsidRDefault="00561FBD" w14:paraId="14D454A0" w14:textId="77777777">
            <w:pPr>
              <w:pStyle w:val="TableParagraph"/>
              <w:ind w:left="190"/>
              <w:rPr>
                <w:sz w:val="17"/>
              </w:rPr>
            </w:pPr>
            <w:r>
              <w:rPr>
                <w:spacing w:val="-4"/>
                <w:sz w:val="17"/>
              </w:rPr>
              <w:t>10.8</w:t>
            </w:r>
          </w:p>
        </w:tc>
        <w:tc>
          <w:tcPr>
            <w:tcW w:w="677" w:type="dxa"/>
            <w:tcBorders>
              <w:bottom w:val="single" w:color="D9D9D9" w:sz="8" w:space="0"/>
            </w:tcBorders>
          </w:tcPr>
          <w:p w:rsidR="00C31389" w:rsidRDefault="00561FBD" w14:paraId="30BF47A2" w14:textId="77777777">
            <w:pPr>
              <w:pStyle w:val="TableParagraph"/>
              <w:ind w:left="114" w:right="77"/>
              <w:jc w:val="center"/>
              <w:rPr>
                <w:sz w:val="17"/>
              </w:rPr>
            </w:pPr>
            <w:r>
              <w:rPr>
                <w:spacing w:val="-4"/>
                <w:sz w:val="17"/>
              </w:rPr>
              <w:t>11.6</w:t>
            </w:r>
          </w:p>
        </w:tc>
        <w:tc>
          <w:tcPr>
            <w:tcW w:w="696" w:type="dxa"/>
            <w:tcBorders>
              <w:bottom w:val="single" w:color="D9D9D9" w:sz="8" w:space="0"/>
            </w:tcBorders>
          </w:tcPr>
          <w:p w:rsidR="00C31389" w:rsidRDefault="00561FBD" w14:paraId="352BCC99" w14:textId="77777777">
            <w:pPr>
              <w:pStyle w:val="TableParagraph"/>
              <w:ind w:left="115" w:right="97"/>
              <w:jc w:val="center"/>
              <w:rPr>
                <w:sz w:val="17"/>
              </w:rPr>
            </w:pPr>
            <w:r>
              <w:rPr>
                <w:spacing w:val="-4"/>
                <w:sz w:val="17"/>
              </w:rPr>
              <w:t>12.3</w:t>
            </w:r>
          </w:p>
        </w:tc>
        <w:tc>
          <w:tcPr>
            <w:tcW w:w="676" w:type="dxa"/>
            <w:tcBorders>
              <w:bottom w:val="single" w:color="D9D9D9" w:sz="8" w:space="0"/>
            </w:tcBorders>
          </w:tcPr>
          <w:p w:rsidR="00C31389" w:rsidRDefault="00561FBD" w14:paraId="6C54CCA4" w14:textId="77777777">
            <w:pPr>
              <w:pStyle w:val="TableParagraph"/>
              <w:ind w:left="174"/>
              <w:rPr>
                <w:sz w:val="17"/>
              </w:rPr>
            </w:pPr>
            <w:r>
              <w:rPr>
                <w:spacing w:val="-4"/>
                <w:sz w:val="17"/>
              </w:rPr>
              <w:t>12.9</w:t>
            </w:r>
          </w:p>
        </w:tc>
        <w:tc>
          <w:tcPr>
            <w:tcW w:w="677" w:type="dxa"/>
            <w:tcBorders>
              <w:bottom w:val="single" w:color="D9D9D9" w:sz="8" w:space="0"/>
            </w:tcBorders>
          </w:tcPr>
          <w:p w:rsidR="00C31389" w:rsidRDefault="00561FBD" w14:paraId="0C3B9F3A" w14:textId="77777777">
            <w:pPr>
              <w:pStyle w:val="TableParagraph"/>
              <w:ind w:right="169"/>
              <w:jc w:val="right"/>
              <w:rPr>
                <w:sz w:val="17"/>
              </w:rPr>
            </w:pPr>
            <w:r>
              <w:rPr>
                <w:spacing w:val="-4"/>
                <w:sz w:val="17"/>
              </w:rPr>
              <w:t>13.6</w:t>
            </w:r>
          </w:p>
        </w:tc>
        <w:tc>
          <w:tcPr>
            <w:tcW w:w="640" w:type="dxa"/>
            <w:tcBorders>
              <w:bottom w:val="single" w:color="D9D9D9" w:sz="8" w:space="0"/>
            </w:tcBorders>
          </w:tcPr>
          <w:p w:rsidR="00C31389" w:rsidRDefault="00561FBD" w14:paraId="66581A0F" w14:textId="77777777">
            <w:pPr>
              <w:pStyle w:val="TableParagraph"/>
              <w:ind w:left="133" w:right="89"/>
              <w:jc w:val="center"/>
              <w:rPr>
                <w:sz w:val="17"/>
              </w:rPr>
            </w:pPr>
            <w:r>
              <w:rPr>
                <w:spacing w:val="-4"/>
                <w:sz w:val="17"/>
              </w:rPr>
              <w:t>14.2</w:t>
            </w:r>
          </w:p>
        </w:tc>
      </w:tr>
      <w:tr w:rsidR="00C31389" w14:paraId="1EA04445" w14:textId="77777777">
        <w:trPr>
          <w:trHeight w:val="275"/>
        </w:trPr>
        <w:tc>
          <w:tcPr>
            <w:tcW w:w="947" w:type="dxa"/>
            <w:tcBorders>
              <w:top w:val="single" w:color="DCDDDE" w:sz="4" w:space="0"/>
              <w:bottom w:val="single" w:color="DCDDDE" w:sz="4" w:space="0"/>
            </w:tcBorders>
          </w:tcPr>
          <w:p w:rsidR="00C31389" w:rsidRDefault="00561FBD" w14:paraId="7A2F8179" w14:textId="77777777">
            <w:pPr>
              <w:pStyle w:val="TableParagraph"/>
              <w:spacing w:before="46"/>
              <w:ind w:left="121"/>
              <w:rPr>
                <w:sz w:val="16"/>
              </w:rPr>
            </w:pPr>
            <w:r>
              <w:rPr>
                <w:spacing w:val="-4"/>
                <w:sz w:val="16"/>
              </w:rPr>
              <w:t>BROs</w:t>
            </w:r>
          </w:p>
        </w:tc>
        <w:tc>
          <w:tcPr>
            <w:tcW w:w="797" w:type="dxa"/>
            <w:tcBorders>
              <w:top w:val="single" w:color="D9D9D9" w:sz="8" w:space="0"/>
              <w:bottom w:val="single" w:color="DCDDDE" w:sz="4" w:space="0"/>
            </w:tcBorders>
          </w:tcPr>
          <w:p w:rsidR="00C31389" w:rsidRDefault="00561FBD" w14:paraId="0B86FCD7" w14:textId="77777777">
            <w:pPr>
              <w:pStyle w:val="TableParagraph"/>
              <w:spacing w:before="41"/>
              <w:ind w:right="152"/>
              <w:jc w:val="right"/>
              <w:rPr>
                <w:sz w:val="17"/>
              </w:rPr>
            </w:pPr>
            <w:r>
              <w:rPr>
                <w:spacing w:val="-4"/>
                <w:sz w:val="17"/>
              </w:rPr>
              <w:t>45.4</w:t>
            </w:r>
          </w:p>
        </w:tc>
        <w:tc>
          <w:tcPr>
            <w:tcW w:w="751" w:type="dxa"/>
            <w:tcBorders>
              <w:top w:val="single" w:color="D9D9D9" w:sz="8" w:space="0"/>
              <w:bottom w:val="single" w:color="DCDDDE" w:sz="4" w:space="0"/>
            </w:tcBorders>
          </w:tcPr>
          <w:p w:rsidR="00C31389" w:rsidRDefault="00561FBD" w14:paraId="549E7D93" w14:textId="77777777">
            <w:pPr>
              <w:pStyle w:val="TableParagraph"/>
              <w:spacing w:before="41"/>
              <w:ind w:left="187" w:right="77"/>
              <w:jc w:val="center"/>
              <w:rPr>
                <w:sz w:val="17"/>
              </w:rPr>
            </w:pPr>
            <w:r>
              <w:rPr>
                <w:spacing w:val="-4"/>
                <w:sz w:val="17"/>
              </w:rPr>
              <w:t>47.7</w:t>
            </w:r>
          </w:p>
        </w:tc>
        <w:tc>
          <w:tcPr>
            <w:tcW w:w="751" w:type="dxa"/>
            <w:tcBorders>
              <w:top w:val="single" w:color="D9D9D9" w:sz="8" w:space="0"/>
              <w:bottom w:val="single" w:color="DCDDDE" w:sz="4" w:space="0"/>
            </w:tcBorders>
          </w:tcPr>
          <w:p w:rsidR="00C31389" w:rsidRDefault="00561FBD" w14:paraId="5F445674" w14:textId="77777777">
            <w:pPr>
              <w:pStyle w:val="TableParagraph"/>
              <w:spacing w:before="41"/>
              <w:ind w:left="187" w:right="76"/>
              <w:jc w:val="center"/>
              <w:rPr>
                <w:sz w:val="17"/>
              </w:rPr>
            </w:pPr>
            <w:r>
              <w:rPr>
                <w:spacing w:val="-4"/>
                <w:sz w:val="17"/>
              </w:rPr>
              <w:t>50.0</w:t>
            </w:r>
          </w:p>
        </w:tc>
        <w:tc>
          <w:tcPr>
            <w:tcW w:w="750" w:type="dxa"/>
            <w:tcBorders>
              <w:top w:val="single" w:color="D9D9D9" w:sz="8" w:space="0"/>
              <w:bottom w:val="single" w:color="DCDDDE" w:sz="4" w:space="0"/>
            </w:tcBorders>
          </w:tcPr>
          <w:p w:rsidR="00C31389" w:rsidRDefault="00561FBD" w14:paraId="5BB5891D" w14:textId="77777777">
            <w:pPr>
              <w:pStyle w:val="TableParagraph"/>
              <w:spacing w:before="41"/>
              <w:ind w:right="151"/>
              <w:jc w:val="right"/>
              <w:rPr>
                <w:sz w:val="17"/>
              </w:rPr>
            </w:pPr>
            <w:r>
              <w:rPr>
                <w:spacing w:val="-4"/>
                <w:sz w:val="17"/>
              </w:rPr>
              <w:t>51.8</w:t>
            </w:r>
          </w:p>
        </w:tc>
        <w:tc>
          <w:tcPr>
            <w:tcW w:w="750" w:type="dxa"/>
            <w:tcBorders>
              <w:top w:val="single" w:color="D9D9D9" w:sz="8" w:space="0"/>
              <w:bottom w:val="single" w:color="DCDDDE" w:sz="4" w:space="0"/>
            </w:tcBorders>
          </w:tcPr>
          <w:p w:rsidR="00C31389" w:rsidRDefault="00561FBD" w14:paraId="5E5A09BB" w14:textId="77777777">
            <w:pPr>
              <w:pStyle w:val="TableParagraph"/>
              <w:spacing w:before="41"/>
              <w:ind w:left="188" w:right="74"/>
              <w:jc w:val="center"/>
              <w:rPr>
                <w:sz w:val="17"/>
              </w:rPr>
            </w:pPr>
            <w:r>
              <w:rPr>
                <w:spacing w:val="-4"/>
                <w:sz w:val="17"/>
              </w:rPr>
              <w:t>53.4</w:t>
            </w:r>
          </w:p>
        </w:tc>
        <w:tc>
          <w:tcPr>
            <w:tcW w:w="753" w:type="dxa"/>
            <w:tcBorders>
              <w:top w:val="single" w:color="D9D9D9" w:sz="8" w:space="0"/>
              <w:bottom w:val="single" w:color="DCDDDE" w:sz="4" w:space="0"/>
            </w:tcBorders>
          </w:tcPr>
          <w:p w:rsidR="00C31389" w:rsidRDefault="00561FBD" w14:paraId="3F342FDD" w14:textId="77777777">
            <w:pPr>
              <w:pStyle w:val="TableParagraph"/>
              <w:spacing w:before="41"/>
              <w:ind w:right="152"/>
              <w:jc w:val="right"/>
              <w:rPr>
                <w:sz w:val="17"/>
              </w:rPr>
            </w:pPr>
            <w:r>
              <w:rPr>
                <w:spacing w:val="-4"/>
                <w:sz w:val="17"/>
              </w:rPr>
              <w:t>55.2</w:t>
            </w:r>
          </w:p>
        </w:tc>
        <w:tc>
          <w:tcPr>
            <w:tcW w:w="677" w:type="dxa"/>
            <w:tcBorders>
              <w:top w:val="single" w:color="D9D9D9" w:sz="8" w:space="0"/>
              <w:bottom w:val="single" w:color="DCDDDE" w:sz="4" w:space="0"/>
            </w:tcBorders>
          </w:tcPr>
          <w:p w:rsidR="00C31389" w:rsidRDefault="00561FBD" w14:paraId="501CFE76" w14:textId="77777777">
            <w:pPr>
              <w:pStyle w:val="TableParagraph"/>
              <w:spacing w:before="41"/>
              <w:ind w:left="190"/>
              <w:rPr>
                <w:sz w:val="17"/>
              </w:rPr>
            </w:pPr>
            <w:r>
              <w:rPr>
                <w:spacing w:val="-4"/>
                <w:sz w:val="17"/>
              </w:rPr>
              <w:t>57.1</w:t>
            </w:r>
          </w:p>
        </w:tc>
        <w:tc>
          <w:tcPr>
            <w:tcW w:w="677" w:type="dxa"/>
            <w:tcBorders>
              <w:top w:val="single" w:color="D9D9D9" w:sz="8" w:space="0"/>
              <w:bottom w:val="single" w:color="DCDDDE" w:sz="4" w:space="0"/>
            </w:tcBorders>
          </w:tcPr>
          <w:p w:rsidR="00C31389" w:rsidRDefault="00561FBD" w14:paraId="035AD228" w14:textId="77777777">
            <w:pPr>
              <w:pStyle w:val="TableParagraph"/>
              <w:spacing w:before="41"/>
              <w:ind w:left="114" w:right="77"/>
              <w:jc w:val="center"/>
              <w:rPr>
                <w:sz w:val="17"/>
              </w:rPr>
            </w:pPr>
            <w:r>
              <w:rPr>
                <w:spacing w:val="-4"/>
                <w:sz w:val="17"/>
              </w:rPr>
              <w:t>59.0</w:t>
            </w:r>
          </w:p>
        </w:tc>
        <w:tc>
          <w:tcPr>
            <w:tcW w:w="696" w:type="dxa"/>
            <w:tcBorders>
              <w:top w:val="single" w:color="D9D9D9" w:sz="8" w:space="0"/>
              <w:bottom w:val="single" w:color="DCDDDE" w:sz="4" w:space="0"/>
            </w:tcBorders>
          </w:tcPr>
          <w:p w:rsidR="00C31389" w:rsidRDefault="00561FBD" w14:paraId="4E3D017A" w14:textId="77777777">
            <w:pPr>
              <w:pStyle w:val="TableParagraph"/>
              <w:spacing w:before="41"/>
              <w:ind w:left="115" w:right="97"/>
              <w:jc w:val="center"/>
              <w:rPr>
                <w:sz w:val="17"/>
              </w:rPr>
            </w:pPr>
            <w:r>
              <w:rPr>
                <w:spacing w:val="-4"/>
                <w:sz w:val="17"/>
              </w:rPr>
              <w:t>60.8</w:t>
            </w:r>
          </w:p>
        </w:tc>
        <w:tc>
          <w:tcPr>
            <w:tcW w:w="676" w:type="dxa"/>
            <w:tcBorders>
              <w:top w:val="single" w:color="D9D9D9" w:sz="8" w:space="0"/>
              <w:bottom w:val="single" w:color="DCDDDE" w:sz="4" w:space="0"/>
            </w:tcBorders>
          </w:tcPr>
          <w:p w:rsidR="00C31389" w:rsidRDefault="00561FBD" w14:paraId="156E80F6" w14:textId="77777777">
            <w:pPr>
              <w:pStyle w:val="TableParagraph"/>
              <w:spacing w:before="41"/>
              <w:ind w:left="174"/>
              <w:rPr>
                <w:sz w:val="17"/>
              </w:rPr>
            </w:pPr>
            <w:r>
              <w:rPr>
                <w:spacing w:val="-4"/>
                <w:sz w:val="17"/>
              </w:rPr>
              <w:t>62.9</w:t>
            </w:r>
          </w:p>
        </w:tc>
        <w:tc>
          <w:tcPr>
            <w:tcW w:w="677" w:type="dxa"/>
            <w:tcBorders>
              <w:top w:val="single" w:color="D9D9D9" w:sz="8" w:space="0"/>
              <w:bottom w:val="single" w:color="DCDDDE" w:sz="4" w:space="0"/>
            </w:tcBorders>
          </w:tcPr>
          <w:p w:rsidR="00C31389" w:rsidRDefault="00561FBD" w14:paraId="4B561676" w14:textId="77777777">
            <w:pPr>
              <w:pStyle w:val="TableParagraph"/>
              <w:spacing w:before="41"/>
              <w:ind w:right="169"/>
              <w:jc w:val="right"/>
              <w:rPr>
                <w:sz w:val="17"/>
              </w:rPr>
            </w:pPr>
            <w:r>
              <w:rPr>
                <w:spacing w:val="-4"/>
                <w:sz w:val="17"/>
              </w:rPr>
              <w:t>63.9</w:t>
            </w:r>
          </w:p>
        </w:tc>
        <w:tc>
          <w:tcPr>
            <w:tcW w:w="640" w:type="dxa"/>
            <w:tcBorders>
              <w:top w:val="single" w:color="D9D9D9" w:sz="8" w:space="0"/>
              <w:bottom w:val="single" w:color="DCDDDE" w:sz="4" w:space="0"/>
            </w:tcBorders>
          </w:tcPr>
          <w:p w:rsidR="00C31389" w:rsidRDefault="00561FBD" w14:paraId="40A89671" w14:textId="77777777">
            <w:pPr>
              <w:pStyle w:val="TableParagraph"/>
              <w:spacing w:before="41"/>
              <w:ind w:left="133" w:right="89"/>
              <w:jc w:val="center"/>
              <w:rPr>
                <w:sz w:val="17"/>
              </w:rPr>
            </w:pPr>
            <w:r>
              <w:rPr>
                <w:spacing w:val="-4"/>
                <w:sz w:val="17"/>
              </w:rPr>
              <w:t>66.2</w:t>
            </w:r>
          </w:p>
        </w:tc>
      </w:tr>
      <w:tr w:rsidR="00C31389" w14:paraId="7A7E0FB7" w14:textId="77777777">
        <w:trPr>
          <w:trHeight w:val="263"/>
        </w:trPr>
        <w:tc>
          <w:tcPr>
            <w:tcW w:w="9542" w:type="dxa"/>
            <w:gridSpan w:val="13"/>
            <w:tcBorders>
              <w:top w:val="single" w:color="DCDDDE" w:sz="4" w:space="0"/>
              <w:bottom w:val="single" w:color="DCDDDE" w:sz="4" w:space="0"/>
            </w:tcBorders>
            <w:shd w:val="clear" w:color="auto" w:fill="A6A6A6"/>
          </w:tcPr>
          <w:p w:rsidR="00C31389" w:rsidRDefault="00561FBD" w14:paraId="0567CF08" w14:textId="77777777">
            <w:pPr>
              <w:pStyle w:val="TableParagraph"/>
              <w:ind w:left="121"/>
              <w:rPr>
                <w:b/>
                <w:sz w:val="16"/>
              </w:rPr>
            </w:pPr>
            <w:r>
              <w:rPr>
                <w:b/>
                <w:sz w:val="16"/>
              </w:rPr>
              <w:t>C&amp;S</w:t>
            </w:r>
            <w:r>
              <w:rPr>
                <w:b/>
                <w:spacing w:val="-4"/>
                <w:sz w:val="16"/>
              </w:rPr>
              <w:t xml:space="preserve"> </w:t>
            </w:r>
            <w:r>
              <w:rPr>
                <w:b/>
                <w:sz w:val="16"/>
              </w:rPr>
              <w:t>(All</w:t>
            </w:r>
            <w:r>
              <w:rPr>
                <w:b/>
                <w:spacing w:val="-4"/>
                <w:sz w:val="16"/>
              </w:rPr>
              <w:t xml:space="preserve"> </w:t>
            </w:r>
            <w:r>
              <w:rPr>
                <w:b/>
                <w:spacing w:val="-2"/>
                <w:sz w:val="16"/>
              </w:rPr>
              <w:t>Scenarios)</w:t>
            </w:r>
          </w:p>
        </w:tc>
      </w:tr>
      <w:tr w:rsidR="00C31389" w14:paraId="55E23662" w14:textId="77777777">
        <w:trPr>
          <w:trHeight w:val="631"/>
        </w:trPr>
        <w:tc>
          <w:tcPr>
            <w:tcW w:w="947" w:type="dxa"/>
            <w:tcBorders>
              <w:top w:val="single" w:color="DCDDDE" w:sz="4" w:space="0"/>
              <w:bottom w:val="single" w:color="DCDDDE" w:sz="4" w:space="0"/>
            </w:tcBorders>
          </w:tcPr>
          <w:p w:rsidR="00C31389" w:rsidRDefault="00561FBD" w14:paraId="512DC6F5" w14:textId="77777777">
            <w:pPr>
              <w:pStyle w:val="TableParagraph"/>
              <w:ind w:left="121"/>
              <w:rPr>
                <w:sz w:val="16"/>
              </w:rPr>
            </w:pPr>
            <w:r>
              <w:rPr>
                <w:spacing w:val="-6"/>
                <w:sz w:val="16"/>
              </w:rPr>
              <w:t>w/</w:t>
            </w:r>
            <w:r>
              <w:rPr>
                <w:spacing w:val="-2"/>
                <w:sz w:val="16"/>
              </w:rPr>
              <w:t xml:space="preserve"> Interactive Effects</w:t>
            </w:r>
          </w:p>
        </w:tc>
        <w:tc>
          <w:tcPr>
            <w:tcW w:w="797" w:type="dxa"/>
            <w:tcBorders>
              <w:top w:val="single" w:color="DCDDDE" w:sz="4" w:space="0"/>
              <w:bottom w:val="single" w:color="DCDDDE" w:sz="4" w:space="0"/>
            </w:tcBorders>
          </w:tcPr>
          <w:p w:rsidR="00C31389" w:rsidRDefault="00C31389" w14:paraId="643678FF" w14:textId="77777777">
            <w:pPr>
              <w:pStyle w:val="TableParagraph"/>
              <w:spacing w:before="1"/>
              <w:rPr>
                <w:b/>
                <w:sz w:val="19"/>
              </w:rPr>
            </w:pPr>
          </w:p>
          <w:p w:rsidR="00C31389" w:rsidRDefault="00561FBD" w14:paraId="18CCC03B" w14:textId="77777777">
            <w:pPr>
              <w:pStyle w:val="TableParagraph"/>
              <w:spacing w:before="0"/>
              <w:ind w:right="120"/>
              <w:jc w:val="right"/>
              <w:rPr>
                <w:sz w:val="17"/>
              </w:rPr>
            </w:pPr>
            <w:r>
              <w:rPr>
                <w:spacing w:val="-2"/>
                <w:sz w:val="17"/>
              </w:rPr>
              <w:t>186.5</w:t>
            </w:r>
          </w:p>
        </w:tc>
        <w:tc>
          <w:tcPr>
            <w:tcW w:w="751" w:type="dxa"/>
            <w:tcBorders>
              <w:top w:val="single" w:color="DCDDDE" w:sz="4" w:space="0"/>
              <w:bottom w:val="single" w:color="DCDDDE" w:sz="4" w:space="0"/>
            </w:tcBorders>
          </w:tcPr>
          <w:p w:rsidR="00C31389" w:rsidRDefault="00C31389" w14:paraId="01F75900" w14:textId="77777777">
            <w:pPr>
              <w:pStyle w:val="TableParagraph"/>
              <w:spacing w:before="1"/>
              <w:rPr>
                <w:b/>
                <w:sz w:val="19"/>
              </w:rPr>
            </w:pPr>
          </w:p>
          <w:p w:rsidR="00C31389" w:rsidRDefault="00561FBD" w14:paraId="091E0602" w14:textId="77777777">
            <w:pPr>
              <w:pStyle w:val="TableParagraph"/>
              <w:spacing w:before="0"/>
              <w:ind w:left="187" w:right="107"/>
              <w:jc w:val="center"/>
              <w:rPr>
                <w:sz w:val="17"/>
              </w:rPr>
            </w:pPr>
            <w:r>
              <w:rPr>
                <w:spacing w:val="-2"/>
                <w:sz w:val="17"/>
              </w:rPr>
              <w:t>172.4</w:t>
            </w:r>
          </w:p>
        </w:tc>
        <w:tc>
          <w:tcPr>
            <w:tcW w:w="751" w:type="dxa"/>
            <w:tcBorders>
              <w:top w:val="single" w:color="DCDDDE" w:sz="4" w:space="0"/>
              <w:bottom w:val="single" w:color="DCDDDE" w:sz="4" w:space="0"/>
            </w:tcBorders>
          </w:tcPr>
          <w:p w:rsidR="00C31389" w:rsidRDefault="00C31389" w14:paraId="5FD92643" w14:textId="77777777">
            <w:pPr>
              <w:pStyle w:val="TableParagraph"/>
              <w:spacing w:before="1"/>
              <w:rPr>
                <w:b/>
                <w:sz w:val="19"/>
              </w:rPr>
            </w:pPr>
          </w:p>
          <w:p w:rsidR="00C31389" w:rsidRDefault="00561FBD" w14:paraId="289DB744" w14:textId="77777777">
            <w:pPr>
              <w:pStyle w:val="TableParagraph"/>
              <w:spacing w:before="0"/>
              <w:ind w:left="187" w:right="106"/>
              <w:jc w:val="center"/>
              <w:rPr>
                <w:sz w:val="17"/>
              </w:rPr>
            </w:pPr>
            <w:r>
              <w:rPr>
                <w:spacing w:val="-2"/>
                <w:sz w:val="17"/>
              </w:rPr>
              <w:t>168.9</w:t>
            </w:r>
          </w:p>
        </w:tc>
        <w:tc>
          <w:tcPr>
            <w:tcW w:w="750" w:type="dxa"/>
            <w:tcBorders>
              <w:top w:val="single" w:color="DCDDDE" w:sz="4" w:space="0"/>
              <w:bottom w:val="single" w:color="DCDDDE" w:sz="4" w:space="0"/>
            </w:tcBorders>
          </w:tcPr>
          <w:p w:rsidR="00C31389" w:rsidRDefault="00C31389" w14:paraId="458C7B94" w14:textId="77777777">
            <w:pPr>
              <w:pStyle w:val="TableParagraph"/>
              <w:spacing w:before="1"/>
              <w:rPr>
                <w:b/>
                <w:sz w:val="19"/>
              </w:rPr>
            </w:pPr>
          </w:p>
          <w:p w:rsidR="00C31389" w:rsidRDefault="00561FBD" w14:paraId="396DA85E" w14:textId="77777777">
            <w:pPr>
              <w:pStyle w:val="TableParagraph"/>
              <w:spacing w:before="0"/>
              <w:ind w:right="119"/>
              <w:jc w:val="right"/>
              <w:rPr>
                <w:sz w:val="17"/>
              </w:rPr>
            </w:pPr>
            <w:r>
              <w:rPr>
                <w:spacing w:val="-2"/>
                <w:sz w:val="17"/>
              </w:rPr>
              <w:t>154.7</w:t>
            </w:r>
          </w:p>
        </w:tc>
        <w:tc>
          <w:tcPr>
            <w:tcW w:w="750" w:type="dxa"/>
            <w:tcBorders>
              <w:top w:val="single" w:color="DCDDDE" w:sz="4" w:space="0"/>
              <w:bottom w:val="single" w:color="DCDDDE" w:sz="4" w:space="0"/>
            </w:tcBorders>
          </w:tcPr>
          <w:p w:rsidR="00C31389" w:rsidRDefault="00C31389" w14:paraId="3EE1028E" w14:textId="77777777">
            <w:pPr>
              <w:pStyle w:val="TableParagraph"/>
              <w:spacing w:before="1"/>
              <w:rPr>
                <w:b/>
                <w:sz w:val="19"/>
              </w:rPr>
            </w:pPr>
          </w:p>
          <w:p w:rsidR="00C31389" w:rsidRDefault="00561FBD" w14:paraId="592BC459" w14:textId="77777777">
            <w:pPr>
              <w:pStyle w:val="TableParagraph"/>
              <w:spacing w:before="0"/>
              <w:ind w:left="188" w:right="106"/>
              <w:jc w:val="center"/>
              <w:rPr>
                <w:sz w:val="17"/>
              </w:rPr>
            </w:pPr>
            <w:r>
              <w:rPr>
                <w:spacing w:val="-2"/>
                <w:sz w:val="17"/>
              </w:rPr>
              <w:t>147.1</w:t>
            </w:r>
          </w:p>
        </w:tc>
        <w:tc>
          <w:tcPr>
            <w:tcW w:w="753" w:type="dxa"/>
            <w:tcBorders>
              <w:top w:val="single" w:color="DCDDDE" w:sz="4" w:space="0"/>
              <w:bottom w:val="single" w:color="DCDDDE" w:sz="4" w:space="0"/>
            </w:tcBorders>
          </w:tcPr>
          <w:p w:rsidR="00C31389" w:rsidRDefault="00C31389" w14:paraId="7F185E19" w14:textId="77777777">
            <w:pPr>
              <w:pStyle w:val="TableParagraph"/>
              <w:spacing w:before="1"/>
              <w:rPr>
                <w:b/>
                <w:sz w:val="19"/>
              </w:rPr>
            </w:pPr>
          </w:p>
          <w:p w:rsidR="00C31389" w:rsidRDefault="00561FBD" w14:paraId="64DEE821" w14:textId="77777777">
            <w:pPr>
              <w:pStyle w:val="TableParagraph"/>
              <w:spacing w:before="0"/>
              <w:ind w:right="120"/>
              <w:jc w:val="right"/>
              <w:rPr>
                <w:sz w:val="17"/>
              </w:rPr>
            </w:pPr>
            <w:r>
              <w:rPr>
                <w:spacing w:val="-2"/>
                <w:sz w:val="17"/>
              </w:rPr>
              <w:t>121.9</w:t>
            </w:r>
          </w:p>
        </w:tc>
        <w:tc>
          <w:tcPr>
            <w:tcW w:w="677" w:type="dxa"/>
            <w:tcBorders>
              <w:top w:val="single" w:color="DCDDDE" w:sz="4" w:space="0"/>
              <w:bottom w:val="single" w:color="DCDDDE" w:sz="4" w:space="0"/>
            </w:tcBorders>
          </w:tcPr>
          <w:p w:rsidR="00C31389" w:rsidRDefault="00C31389" w14:paraId="567C2E5A" w14:textId="77777777">
            <w:pPr>
              <w:pStyle w:val="TableParagraph"/>
              <w:spacing w:before="1"/>
              <w:rPr>
                <w:b/>
                <w:sz w:val="19"/>
              </w:rPr>
            </w:pPr>
          </w:p>
          <w:p w:rsidR="00C31389" w:rsidRDefault="00561FBD" w14:paraId="750B0FE7" w14:textId="77777777">
            <w:pPr>
              <w:pStyle w:val="TableParagraph"/>
              <w:spacing w:before="0"/>
              <w:ind w:left="128"/>
              <w:rPr>
                <w:sz w:val="17"/>
              </w:rPr>
            </w:pPr>
            <w:r>
              <w:rPr>
                <w:spacing w:val="-2"/>
                <w:sz w:val="17"/>
              </w:rPr>
              <w:t>113.3</w:t>
            </w:r>
          </w:p>
        </w:tc>
        <w:tc>
          <w:tcPr>
            <w:tcW w:w="677" w:type="dxa"/>
            <w:tcBorders>
              <w:top w:val="single" w:color="DCDDDE" w:sz="4" w:space="0"/>
              <w:bottom w:val="single" w:color="DCDDDE" w:sz="4" w:space="0"/>
            </w:tcBorders>
          </w:tcPr>
          <w:p w:rsidR="00C31389" w:rsidRDefault="00C31389" w14:paraId="446E0F9F" w14:textId="77777777">
            <w:pPr>
              <w:pStyle w:val="TableParagraph"/>
              <w:spacing w:before="1"/>
              <w:rPr>
                <w:b/>
                <w:sz w:val="19"/>
              </w:rPr>
            </w:pPr>
          </w:p>
          <w:p w:rsidR="00C31389" w:rsidRDefault="00561FBD" w14:paraId="4D5A2698" w14:textId="77777777">
            <w:pPr>
              <w:pStyle w:val="TableParagraph"/>
              <w:spacing w:before="0"/>
              <w:ind w:left="114" w:right="107"/>
              <w:jc w:val="center"/>
              <w:rPr>
                <w:sz w:val="17"/>
              </w:rPr>
            </w:pPr>
            <w:r>
              <w:rPr>
                <w:spacing w:val="-2"/>
                <w:sz w:val="17"/>
              </w:rPr>
              <w:t>108.7</w:t>
            </w:r>
          </w:p>
        </w:tc>
        <w:tc>
          <w:tcPr>
            <w:tcW w:w="696" w:type="dxa"/>
            <w:tcBorders>
              <w:top w:val="single" w:color="DCDDDE" w:sz="4" w:space="0"/>
              <w:bottom w:val="single" w:color="DCDDDE" w:sz="4" w:space="0"/>
            </w:tcBorders>
          </w:tcPr>
          <w:p w:rsidR="00C31389" w:rsidRDefault="00C31389" w14:paraId="16877B46" w14:textId="77777777">
            <w:pPr>
              <w:pStyle w:val="TableParagraph"/>
              <w:spacing w:before="1"/>
              <w:rPr>
                <w:b/>
                <w:sz w:val="19"/>
              </w:rPr>
            </w:pPr>
          </w:p>
          <w:p w:rsidR="00C31389" w:rsidRDefault="00561FBD" w14:paraId="6690EF0A" w14:textId="77777777">
            <w:pPr>
              <w:pStyle w:val="TableParagraph"/>
              <w:spacing w:before="0"/>
              <w:ind w:left="115" w:right="124"/>
              <w:jc w:val="center"/>
              <w:rPr>
                <w:sz w:val="17"/>
              </w:rPr>
            </w:pPr>
            <w:r>
              <w:rPr>
                <w:spacing w:val="-2"/>
                <w:sz w:val="17"/>
              </w:rPr>
              <w:t>101.0</w:t>
            </w:r>
          </w:p>
        </w:tc>
        <w:tc>
          <w:tcPr>
            <w:tcW w:w="676" w:type="dxa"/>
            <w:tcBorders>
              <w:top w:val="single" w:color="DCDDDE" w:sz="4" w:space="0"/>
              <w:bottom w:val="single" w:color="DCDDDE" w:sz="4" w:space="0"/>
            </w:tcBorders>
          </w:tcPr>
          <w:p w:rsidR="00C31389" w:rsidRDefault="00C31389" w14:paraId="612F3ED4" w14:textId="77777777">
            <w:pPr>
              <w:pStyle w:val="TableParagraph"/>
              <w:spacing w:before="1"/>
              <w:rPr>
                <w:b/>
                <w:sz w:val="19"/>
              </w:rPr>
            </w:pPr>
          </w:p>
          <w:p w:rsidR="00C31389" w:rsidRDefault="00561FBD" w14:paraId="6C8A2FF1" w14:textId="77777777">
            <w:pPr>
              <w:pStyle w:val="TableParagraph"/>
              <w:spacing w:before="0"/>
              <w:ind w:left="205"/>
              <w:rPr>
                <w:sz w:val="17"/>
              </w:rPr>
            </w:pPr>
            <w:r>
              <w:rPr>
                <w:spacing w:val="-4"/>
                <w:sz w:val="17"/>
              </w:rPr>
              <w:t>95.8</w:t>
            </w:r>
          </w:p>
        </w:tc>
        <w:tc>
          <w:tcPr>
            <w:tcW w:w="677" w:type="dxa"/>
            <w:tcBorders>
              <w:top w:val="single" w:color="DCDDDE" w:sz="4" w:space="0"/>
              <w:bottom w:val="single" w:color="DCDDDE" w:sz="4" w:space="0"/>
            </w:tcBorders>
          </w:tcPr>
          <w:p w:rsidR="00C31389" w:rsidRDefault="00C31389" w14:paraId="0C5E2418" w14:textId="77777777">
            <w:pPr>
              <w:pStyle w:val="TableParagraph"/>
              <w:spacing w:before="1"/>
              <w:rPr>
                <w:b/>
                <w:sz w:val="19"/>
              </w:rPr>
            </w:pPr>
          </w:p>
          <w:p w:rsidR="00C31389" w:rsidRDefault="00561FBD" w14:paraId="129B63CB" w14:textId="77777777">
            <w:pPr>
              <w:pStyle w:val="TableParagraph"/>
              <w:spacing w:before="0"/>
              <w:ind w:right="137"/>
              <w:jc w:val="right"/>
              <w:rPr>
                <w:sz w:val="17"/>
              </w:rPr>
            </w:pPr>
            <w:r>
              <w:rPr>
                <w:spacing w:val="-4"/>
                <w:sz w:val="17"/>
              </w:rPr>
              <w:t>85.9</w:t>
            </w:r>
          </w:p>
        </w:tc>
        <w:tc>
          <w:tcPr>
            <w:tcW w:w="640" w:type="dxa"/>
            <w:tcBorders>
              <w:top w:val="single" w:color="DCDDDE" w:sz="4" w:space="0"/>
              <w:bottom w:val="single" w:color="DCDDDE" w:sz="4" w:space="0"/>
            </w:tcBorders>
          </w:tcPr>
          <w:p w:rsidR="00C31389" w:rsidRDefault="00C31389" w14:paraId="6E5029A0" w14:textId="77777777">
            <w:pPr>
              <w:pStyle w:val="TableParagraph"/>
              <w:spacing w:before="1"/>
              <w:rPr>
                <w:b/>
                <w:sz w:val="19"/>
              </w:rPr>
            </w:pPr>
          </w:p>
          <w:p w:rsidR="00C31389" w:rsidRDefault="00561FBD" w14:paraId="1459D8E3" w14:textId="77777777">
            <w:pPr>
              <w:pStyle w:val="TableParagraph"/>
              <w:spacing w:before="0"/>
              <w:ind w:left="138" w:right="32"/>
              <w:jc w:val="center"/>
              <w:rPr>
                <w:sz w:val="17"/>
              </w:rPr>
            </w:pPr>
            <w:r>
              <w:rPr>
                <w:spacing w:val="-4"/>
                <w:sz w:val="17"/>
              </w:rPr>
              <w:t>81.6</w:t>
            </w:r>
          </w:p>
        </w:tc>
      </w:tr>
      <w:tr w:rsidR="00C31389" w14:paraId="46B70272" w14:textId="77777777">
        <w:trPr>
          <w:trHeight w:val="633"/>
        </w:trPr>
        <w:tc>
          <w:tcPr>
            <w:tcW w:w="947" w:type="dxa"/>
            <w:tcBorders>
              <w:top w:val="single" w:color="DCDDDE" w:sz="4" w:space="0"/>
              <w:bottom w:val="single" w:color="545658" w:sz="8" w:space="0"/>
            </w:tcBorders>
          </w:tcPr>
          <w:p w:rsidR="00C31389" w:rsidRDefault="00561FBD" w14:paraId="624D3719" w14:textId="77777777">
            <w:pPr>
              <w:pStyle w:val="TableParagraph"/>
              <w:ind w:left="121"/>
              <w:rPr>
                <w:sz w:val="16"/>
              </w:rPr>
            </w:pPr>
            <w:r>
              <w:rPr>
                <w:spacing w:val="-4"/>
                <w:sz w:val="16"/>
              </w:rPr>
              <w:t xml:space="preserve">w/o </w:t>
            </w:r>
            <w:r>
              <w:rPr>
                <w:spacing w:val="-2"/>
                <w:sz w:val="16"/>
              </w:rPr>
              <w:t>Interactive Effects</w:t>
            </w:r>
          </w:p>
        </w:tc>
        <w:tc>
          <w:tcPr>
            <w:tcW w:w="797" w:type="dxa"/>
            <w:tcBorders>
              <w:top w:val="single" w:color="DCDDDE" w:sz="4" w:space="0"/>
              <w:bottom w:val="single" w:color="545658" w:sz="8" w:space="0"/>
            </w:tcBorders>
          </w:tcPr>
          <w:p w:rsidR="00C31389" w:rsidRDefault="00C31389" w14:paraId="4747B0B2" w14:textId="77777777">
            <w:pPr>
              <w:pStyle w:val="TableParagraph"/>
              <w:spacing w:before="1"/>
              <w:rPr>
                <w:b/>
                <w:sz w:val="19"/>
              </w:rPr>
            </w:pPr>
          </w:p>
          <w:p w:rsidR="00C31389" w:rsidRDefault="00561FBD" w14:paraId="245264BF" w14:textId="77777777">
            <w:pPr>
              <w:pStyle w:val="TableParagraph"/>
              <w:spacing w:before="0"/>
              <w:ind w:right="120"/>
              <w:jc w:val="right"/>
              <w:rPr>
                <w:sz w:val="17"/>
              </w:rPr>
            </w:pPr>
            <w:r>
              <w:rPr>
                <w:spacing w:val="-2"/>
                <w:sz w:val="17"/>
              </w:rPr>
              <w:t>180.2</w:t>
            </w:r>
          </w:p>
        </w:tc>
        <w:tc>
          <w:tcPr>
            <w:tcW w:w="751" w:type="dxa"/>
            <w:tcBorders>
              <w:top w:val="single" w:color="DCDDDE" w:sz="4" w:space="0"/>
              <w:bottom w:val="single" w:color="545658" w:sz="8" w:space="0"/>
            </w:tcBorders>
          </w:tcPr>
          <w:p w:rsidR="00C31389" w:rsidRDefault="00C31389" w14:paraId="07EFC330" w14:textId="77777777">
            <w:pPr>
              <w:pStyle w:val="TableParagraph"/>
              <w:spacing w:before="1"/>
              <w:rPr>
                <w:b/>
                <w:sz w:val="19"/>
              </w:rPr>
            </w:pPr>
          </w:p>
          <w:p w:rsidR="00C31389" w:rsidRDefault="00561FBD" w14:paraId="141FCD13" w14:textId="77777777">
            <w:pPr>
              <w:pStyle w:val="TableParagraph"/>
              <w:spacing w:before="0"/>
              <w:ind w:left="187" w:right="107"/>
              <w:jc w:val="center"/>
              <w:rPr>
                <w:sz w:val="17"/>
              </w:rPr>
            </w:pPr>
            <w:r>
              <w:rPr>
                <w:spacing w:val="-2"/>
                <w:sz w:val="17"/>
              </w:rPr>
              <w:t>166.2</w:t>
            </w:r>
          </w:p>
        </w:tc>
        <w:tc>
          <w:tcPr>
            <w:tcW w:w="751" w:type="dxa"/>
            <w:tcBorders>
              <w:top w:val="single" w:color="DCDDDE" w:sz="4" w:space="0"/>
              <w:bottom w:val="single" w:color="545658" w:sz="8" w:space="0"/>
            </w:tcBorders>
          </w:tcPr>
          <w:p w:rsidR="00C31389" w:rsidRDefault="00C31389" w14:paraId="230B1411" w14:textId="77777777">
            <w:pPr>
              <w:pStyle w:val="TableParagraph"/>
              <w:spacing w:before="1"/>
              <w:rPr>
                <w:b/>
                <w:sz w:val="19"/>
              </w:rPr>
            </w:pPr>
          </w:p>
          <w:p w:rsidR="00C31389" w:rsidRDefault="00561FBD" w14:paraId="7B0D928F" w14:textId="77777777">
            <w:pPr>
              <w:pStyle w:val="TableParagraph"/>
              <w:spacing w:before="0"/>
              <w:ind w:left="187" w:right="106"/>
              <w:jc w:val="center"/>
              <w:rPr>
                <w:sz w:val="17"/>
              </w:rPr>
            </w:pPr>
            <w:r>
              <w:rPr>
                <w:spacing w:val="-2"/>
                <w:sz w:val="17"/>
              </w:rPr>
              <w:t>162.8</w:t>
            </w:r>
          </w:p>
        </w:tc>
        <w:tc>
          <w:tcPr>
            <w:tcW w:w="750" w:type="dxa"/>
            <w:tcBorders>
              <w:top w:val="single" w:color="DCDDDE" w:sz="4" w:space="0"/>
              <w:bottom w:val="single" w:color="545658" w:sz="8" w:space="0"/>
            </w:tcBorders>
          </w:tcPr>
          <w:p w:rsidR="00C31389" w:rsidRDefault="00C31389" w14:paraId="52BC759A" w14:textId="77777777">
            <w:pPr>
              <w:pStyle w:val="TableParagraph"/>
              <w:spacing w:before="1"/>
              <w:rPr>
                <w:b/>
                <w:sz w:val="19"/>
              </w:rPr>
            </w:pPr>
          </w:p>
          <w:p w:rsidR="00C31389" w:rsidRDefault="00561FBD" w14:paraId="22F88650" w14:textId="77777777">
            <w:pPr>
              <w:pStyle w:val="TableParagraph"/>
              <w:spacing w:before="0"/>
              <w:ind w:right="119"/>
              <w:jc w:val="right"/>
              <w:rPr>
                <w:sz w:val="17"/>
              </w:rPr>
            </w:pPr>
            <w:r>
              <w:rPr>
                <w:spacing w:val="-2"/>
                <w:sz w:val="17"/>
              </w:rPr>
              <w:t>150.2</w:t>
            </w:r>
          </w:p>
        </w:tc>
        <w:tc>
          <w:tcPr>
            <w:tcW w:w="750" w:type="dxa"/>
            <w:tcBorders>
              <w:top w:val="single" w:color="DCDDDE" w:sz="4" w:space="0"/>
              <w:bottom w:val="single" w:color="545658" w:sz="8" w:space="0"/>
            </w:tcBorders>
          </w:tcPr>
          <w:p w:rsidR="00C31389" w:rsidRDefault="00C31389" w14:paraId="33457E16" w14:textId="77777777">
            <w:pPr>
              <w:pStyle w:val="TableParagraph"/>
              <w:spacing w:before="1"/>
              <w:rPr>
                <w:b/>
                <w:sz w:val="19"/>
              </w:rPr>
            </w:pPr>
          </w:p>
          <w:p w:rsidR="00C31389" w:rsidRDefault="00561FBD" w14:paraId="0C02CF5D" w14:textId="77777777">
            <w:pPr>
              <w:pStyle w:val="TableParagraph"/>
              <w:spacing w:before="0"/>
              <w:ind w:left="188" w:right="106"/>
              <w:jc w:val="center"/>
              <w:rPr>
                <w:sz w:val="17"/>
              </w:rPr>
            </w:pPr>
            <w:r>
              <w:rPr>
                <w:spacing w:val="-2"/>
                <w:sz w:val="17"/>
              </w:rPr>
              <w:t>142.7</w:t>
            </w:r>
          </w:p>
        </w:tc>
        <w:tc>
          <w:tcPr>
            <w:tcW w:w="753" w:type="dxa"/>
            <w:tcBorders>
              <w:top w:val="single" w:color="DCDDDE" w:sz="4" w:space="0"/>
              <w:bottom w:val="single" w:color="545658" w:sz="8" w:space="0"/>
            </w:tcBorders>
          </w:tcPr>
          <w:p w:rsidR="00C31389" w:rsidRDefault="00C31389" w14:paraId="62D9CD31" w14:textId="77777777">
            <w:pPr>
              <w:pStyle w:val="TableParagraph"/>
              <w:spacing w:before="1"/>
              <w:rPr>
                <w:b/>
                <w:sz w:val="19"/>
              </w:rPr>
            </w:pPr>
          </w:p>
          <w:p w:rsidR="00C31389" w:rsidRDefault="00561FBD" w14:paraId="58A1C9A9" w14:textId="77777777">
            <w:pPr>
              <w:pStyle w:val="TableParagraph"/>
              <w:spacing w:before="0"/>
              <w:ind w:right="120"/>
              <w:jc w:val="right"/>
              <w:rPr>
                <w:sz w:val="17"/>
              </w:rPr>
            </w:pPr>
            <w:r>
              <w:rPr>
                <w:spacing w:val="-2"/>
                <w:sz w:val="17"/>
              </w:rPr>
              <w:t>120.5</w:t>
            </w:r>
          </w:p>
        </w:tc>
        <w:tc>
          <w:tcPr>
            <w:tcW w:w="677" w:type="dxa"/>
            <w:tcBorders>
              <w:top w:val="single" w:color="DCDDDE" w:sz="4" w:space="0"/>
              <w:bottom w:val="single" w:color="545658" w:sz="8" w:space="0"/>
            </w:tcBorders>
          </w:tcPr>
          <w:p w:rsidR="00C31389" w:rsidRDefault="00C31389" w14:paraId="51C231B5" w14:textId="77777777">
            <w:pPr>
              <w:pStyle w:val="TableParagraph"/>
              <w:spacing w:before="1"/>
              <w:rPr>
                <w:b/>
                <w:sz w:val="19"/>
              </w:rPr>
            </w:pPr>
          </w:p>
          <w:p w:rsidR="00C31389" w:rsidRDefault="00561FBD" w14:paraId="21F9DA60" w14:textId="77777777">
            <w:pPr>
              <w:pStyle w:val="TableParagraph"/>
              <w:spacing w:before="0"/>
              <w:ind w:left="128"/>
              <w:rPr>
                <w:sz w:val="17"/>
              </w:rPr>
            </w:pPr>
            <w:r>
              <w:rPr>
                <w:spacing w:val="-2"/>
                <w:sz w:val="17"/>
              </w:rPr>
              <w:t>112.7</w:t>
            </w:r>
          </w:p>
        </w:tc>
        <w:tc>
          <w:tcPr>
            <w:tcW w:w="677" w:type="dxa"/>
            <w:tcBorders>
              <w:top w:val="single" w:color="DCDDDE" w:sz="4" w:space="0"/>
              <w:bottom w:val="single" w:color="545658" w:sz="8" w:space="0"/>
            </w:tcBorders>
          </w:tcPr>
          <w:p w:rsidR="00C31389" w:rsidRDefault="00C31389" w14:paraId="093B64C1" w14:textId="77777777">
            <w:pPr>
              <w:pStyle w:val="TableParagraph"/>
              <w:spacing w:before="1"/>
              <w:rPr>
                <w:b/>
                <w:sz w:val="19"/>
              </w:rPr>
            </w:pPr>
          </w:p>
          <w:p w:rsidR="00C31389" w:rsidRDefault="00561FBD" w14:paraId="4694E55A" w14:textId="77777777">
            <w:pPr>
              <w:pStyle w:val="TableParagraph"/>
              <w:spacing w:before="0"/>
              <w:ind w:left="114" w:right="107"/>
              <w:jc w:val="center"/>
              <w:rPr>
                <w:sz w:val="17"/>
              </w:rPr>
            </w:pPr>
            <w:r>
              <w:rPr>
                <w:spacing w:val="-2"/>
                <w:sz w:val="17"/>
              </w:rPr>
              <w:t>108.2</w:t>
            </w:r>
          </w:p>
        </w:tc>
        <w:tc>
          <w:tcPr>
            <w:tcW w:w="696" w:type="dxa"/>
            <w:tcBorders>
              <w:top w:val="single" w:color="DCDDDE" w:sz="4" w:space="0"/>
              <w:bottom w:val="single" w:color="545658" w:sz="8" w:space="0"/>
            </w:tcBorders>
          </w:tcPr>
          <w:p w:rsidR="00C31389" w:rsidRDefault="00C31389" w14:paraId="592F9219" w14:textId="77777777">
            <w:pPr>
              <w:pStyle w:val="TableParagraph"/>
              <w:spacing w:before="1"/>
              <w:rPr>
                <w:b/>
                <w:sz w:val="19"/>
              </w:rPr>
            </w:pPr>
          </w:p>
          <w:p w:rsidR="00C31389" w:rsidRDefault="00561FBD" w14:paraId="1104B236" w14:textId="77777777">
            <w:pPr>
              <w:pStyle w:val="TableParagraph"/>
              <w:spacing w:before="0"/>
              <w:ind w:left="115" w:right="124"/>
              <w:jc w:val="center"/>
              <w:rPr>
                <w:sz w:val="17"/>
              </w:rPr>
            </w:pPr>
            <w:r>
              <w:rPr>
                <w:spacing w:val="-2"/>
                <w:sz w:val="17"/>
              </w:rPr>
              <w:t>100.4</w:t>
            </w:r>
          </w:p>
        </w:tc>
        <w:tc>
          <w:tcPr>
            <w:tcW w:w="676" w:type="dxa"/>
            <w:tcBorders>
              <w:top w:val="single" w:color="DCDDDE" w:sz="4" w:space="0"/>
              <w:bottom w:val="single" w:color="545658" w:sz="8" w:space="0"/>
            </w:tcBorders>
          </w:tcPr>
          <w:p w:rsidR="00C31389" w:rsidRDefault="00C31389" w14:paraId="7C356F05" w14:textId="77777777">
            <w:pPr>
              <w:pStyle w:val="TableParagraph"/>
              <w:spacing w:before="1"/>
              <w:rPr>
                <w:b/>
                <w:sz w:val="19"/>
              </w:rPr>
            </w:pPr>
          </w:p>
          <w:p w:rsidR="00C31389" w:rsidRDefault="00561FBD" w14:paraId="28F115DE" w14:textId="77777777">
            <w:pPr>
              <w:pStyle w:val="TableParagraph"/>
              <w:spacing w:before="0"/>
              <w:ind w:left="205"/>
              <w:rPr>
                <w:sz w:val="17"/>
              </w:rPr>
            </w:pPr>
            <w:r>
              <w:rPr>
                <w:spacing w:val="-4"/>
                <w:sz w:val="17"/>
              </w:rPr>
              <w:t>95.2</w:t>
            </w:r>
          </w:p>
        </w:tc>
        <w:tc>
          <w:tcPr>
            <w:tcW w:w="677" w:type="dxa"/>
            <w:tcBorders>
              <w:top w:val="single" w:color="DCDDDE" w:sz="4" w:space="0"/>
              <w:bottom w:val="single" w:color="545658" w:sz="8" w:space="0"/>
            </w:tcBorders>
          </w:tcPr>
          <w:p w:rsidR="00C31389" w:rsidRDefault="00C31389" w14:paraId="43E0B3A6" w14:textId="77777777">
            <w:pPr>
              <w:pStyle w:val="TableParagraph"/>
              <w:spacing w:before="1"/>
              <w:rPr>
                <w:b/>
                <w:sz w:val="19"/>
              </w:rPr>
            </w:pPr>
          </w:p>
          <w:p w:rsidR="00C31389" w:rsidRDefault="00561FBD" w14:paraId="1E58C485" w14:textId="77777777">
            <w:pPr>
              <w:pStyle w:val="TableParagraph"/>
              <w:spacing w:before="0"/>
              <w:ind w:right="137"/>
              <w:jc w:val="right"/>
              <w:rPr>
                <w:sz w:val="17"/>
              </w:rPr>
            </w:pPr>
            <w:r>
              <w:rPr>
                <w:spacing w:val="-4"/>
                <w:sz w:val="17"/>
              </w:rPr>
              <w:t>85.3</w:t>
            </w:r>
          </w:p>
        </w:tc>
        <w:tc>
          <w:tcPr>
            <w:tcW w:w="640" w:type="dxa"/>
            <w:tcBorders>
              <w:top w:val="single" w:color="DCDDDE" w:sz="4" w:space="0"/>
              <w:bottom w:val="single" w:color="545658" w:sz="8" w:space="0"/>
            </w:tcBorders>
          </w:tcPr>
          <w:p w:rsidR="00C31389" w:rsidRDefault="00C31389" w14:paraId="4E77D44B" w14:textId="77777777">
            <w:pPr>
              <w:pStyle w:val="TableParagraph"/>
              <w:spacing w:before="1"/>
              <w:rPr>
                <w:b/>
                <w:sz w:val="19"/>
              </w:rPr>
            </w:pPr>
          </w:p>
          <w:p w:rsidR="00C31389" w:rsidRDefault="00561FBD" w14:paraId="66182101" w14:textId="77777777">
            <w:pPr>
              <w:pStyle w:val="TableParagraph"/>
              <w:spacing w:before="0"/>
              <w:ind w:left="138" w:right="32"/>
              <w:jc w:val="center"/>
              <w:rPr>
                <w:sz w:val="17"/>
              </w:rPr>
            </w:pPr>
            <w:r>
              <w:rPr>
                <w:spacing w:val="-4"/>
                <w:sz w:val="17"/>
              </w:rPr>
              <w:t>81.0</w:t>
            </w:r>
          </w:p>
        </w:tc>
      </w:tr>
    </w:tbl>
    <w:p w:rsidR="00C31389" w:rsidRDefault="00561FBD" w14:paraId="75E5BC82" w14:textId="77777777">
      <w:pPr>
        <w:spacing w:before="78"/>
        <w:ind w:left="220"/>
        <w:rPr>
          <w:i/>
          <w:sz w:val="18"/>
        </w:rPr>
      </w:pPr>
      <w:r>
        <w:rPr>
          <w:i/>
          <w:sz w:val="18"/>
        </w:rPr>
        <w:t>Source:</w:t>
      </w:r>
      <w:r>
        <w:rPr>
          <w:i/>
          <w:spacing w:val="-4"/>
          <w:sz w:val="18"/>
        </w:rPr>
        <w:t xml:space="preserve"> </w:t>
      </w:r>
      <w:r>
        <w:rPr>
          <w:i/>
          <w:spacing w:val="-2"/>
          <w:sz w:val="18"/>
        </w:rPr>
        <w:t>Guidehouse</w:t>
      </w:r>
    </w:p>
    <w:p w:rsidR="00C31389" w:rsidRDefault="00C31389" w14:paraId="097DB30D" w14:textId="77777777">
      <w:pPr>
        <w:pStyle w:val="BodyText"/>
        <w:rPr>
          <w:i/>
          <w:sz w:val="21"/>
        </w:rPr>
      </w:pPr>
    </w:p>
    <w:p w:rsidR="00C31389" w:rsidRDefault="00561FBD" w14:paraId="364ABBE3" w14:textId="77777777">
      <w:pPr>
        <w:pStyle w:val="ListParagraph"/>
        <w:numPr>
          <w:ilvl w:val="2"/>
          <w:numId w:val="4"/>
        </w:numPr>
        <w:tabs>
          <w:tab w:val="left" w:pos="936"/>
        </w:tabs>
        <w:ind w:left="936" w:hanging="716"/>
        <w:rPr>
          <w:b/>
          <w:sz w:val="24"/>
        </w:rPr>
      </w:pPr>
      <w:bookmarkStart w:name="J.3.3_SCG" w:id="713"/>
      <w:bookmarkEnd w:id="713"/>
      <w:r>
        <w:rPr>
          <w:b/>
          <w:spacing w:val="-5"/>
          <w:sz w:val="24"/>
        </w:rPr>
        <w:t>SCG</w:t>
      </w:r>
    </w:p>
    <w:p w:rsidR="00C31389" w:rsidRDefault="00C31389" w14:paraId="6C16B5D9" w14:textId="77777777">
      <w:pPr>
        <w:pStyle w:val="BodyText"/>
        <w:spacing w:before="7"/>
        <w:rPr>
          <w:b/>
          <w:sz w:val="12"/>
        </w:rPr>
      </w:pPr>
    </w:p>
    <w:p w:rsidR="00C31389" w:rsidRDefault="00561FBD" w14:paraId="3E4B437D" w14:textId="77777777">
      <w:pPr>
        <w:pStyle w:val="Heading7"/>
        <w:spacing w:before="93"/>
        <w:ind w:left="1979" w:right="1960"/>
        <w:jc w:val="center"/>
      </w:pPr>
      <w:bookmarkStart w:name="_bookmark543" w:id="714"/>
      <w:bookmarkEnd w:id="714"/>
      <w:r>
        <w:t>Table</w:t>
      </w:r>
      <w:r>
        <w:rPr>
          <w:spacing w:val="-6"/>
        </w:rPr>
        <w:t xml:space="preserve"> </w:t>
      </w:r>
      <w:r>
        <w:t>J-17.</w:t>
      </w:r>
      <w:r>
        <w:rPr>
          <w:spacing w:val="-6"/>
        </w:rPr>
        <w:t xml:space="preserve"> </w:t>
      </w:r>
      <w:r>
        <w:t>SCG</w:t>
      </w:r>
      <w:r>
        <w:rPr>
          <w:spacing w:val="-6"/>
        </w:rPr>
        <w:t xml:space="preserve"> </w:t>
      </w:r>
      <w:r>
        <w:t>Gas</w:t>
      </w:r>
      <w:r>
        <w:rPr>
          <w:spacing w:val="-5"/>
        </w:rPr>
        <w:t xml:space="preserve"> </w:t>
      </w:r>
      <w:r>
        <w:rPr>
          <w:spacing w:val="-2"/>
        </w:rPr>
        <w:t>Savings</w:t>
      </w:r>
    </w:p>
    <w:p w:rsidR="00C31389" w:rsidRDefault="00C31389" w14:paraId="6868DD69" w14:textId="77777777">
      <w:pPr>
        <w:pStyle w:val="BodyText"/>
        <w:rPr>
          <w:b/>
          <w:sz w:val="10"/>
        </w:rPr>
      </w:pPr>
    </w:p>
    <w:tbl>
      <w:tblPr>
        <w:tblW w:w="0" w:type="auto"/>
        <w:tblInd w:w="227" w:type="dxa"/>
        <w:tblLayout w:type="fixed"/>
        <w:tblCellMar>
          <w:left w:w="0" w:type="dxa"/>
          <w:right w:w="0" w:type="dxa"/>
        </w:tblCellMar>
        <w:tblLook w:val="01E0" w:firstRow="1" w:lastRow="1" w:firstColumn="1" w:lastColumn="1" w:noHBand="0" w:noVBand="0"/>
      </w:tblPr>
      <w:tblGrid>
        <w:gridCol w:w="1172"/>
        <w:gridCol w:w="1183"/>
        <w:gridCol w:w="712"/>
        <w:gridCol w:w="644"/>
        <w:gridCol w:w="631"/>
        <w:gridCol w:w="631"/>
        <w:gridCol w:w="631"/>
        <w:gridCol w:w="631"/>
        <w:gridCol w:w="631"/>
        <w:gridCol w:w="631"/>
        <w:gridCol w:w="631"/>
        <w:gridCol w:w="631"/>
        <w:gridCol w:w="613"/>
      </w:tblGrid>
      <w:tr w:rsidR="00C31389" w14:paraId="0B079E73" w14:textId="77777777">
        <w:trPr>
          <w:trHeight w:val="305"/>
        </w:trPr>
        <w:tc>
          <w:tcPr>
            <w:tcW w:w="1172" w:type="dxa"/>
            <w:shd w:val="clear" w:color="auto" w:fill="92D400"/>
          </w:tcPr>
          <w:p w:rsidR="00C31389" w:rsidRDefault="00561FBD" w14:paraId="1A02FE88" w14:textId="77777777">
            <w:pPr>
              <w:pStyle w:val="TableParagraph"/>
              <w:spacing w:before="41"/>
              <w:ind w:left="108"/>
              <w:rPr>
                <w:b/>
                <w:sz w:val="17"/>
              </w:rPr>
            </w:pPr>
            <w:r>
              <w:rPr>
                <w:b/>
                <w:spacing w:val="-4"/>
                <w:sz w:val="17"/>
              </w:rPr>
              <w:t>Year</w:t>
            </w:r>
          </w:p>
        </w:tc>
        <w:tc>
          <w:tcPr>
            <w:tcW w:w="1183" w:type="dxa"/>
            <w:shd w:val="clear" w:color="auto" w:fill="92D400"/>
          </w:tcPr>
          <w:p w:rsidR="00C31389" w:rsidRDefault="00561FBD" w14:paraId="7FEB64C5" w14:textId="77777777">
            <w:pPr>
              <w:pStyle w:val="TableParagraph"/>
              <w:spacing w:before="41"/>
              <w:ind w:right="193"/>
              <w:jc w:val="right"/>
              <w:rPr>
                <w:b/>
                <w:sz w:val="17"/>
              </w:rPr>
            </w:pPr>
            <w:r>
              <w:rPr>
                <w:b/>
                <w:spacing w:val="-4"/>
                <w:sz w:val="17"/>
              </w:rPr>
              <w:t>2024</w:t>
            </w:r>
          </w:p>
        </w:tc>
        <w:tc>
          <w:tcPr>
            <w:tcW w:w="712" w:type="dxa"/>
            <w:shd w:val="clear" w:color="auto" w:fill="92D400"/>
          </w:tcPr>
          <w:p w:rsidR="00C31389" w:rsidRDefault="00561FBD" w14:paraId="0485D0B5" w14:textId="77777777">
            <w:pPr>
              <w:pStyle w:val="TableParagraph"/>
              <w:spacing w:before="41"/>
              <w:ind w:right="138"/>
              <w:jc w:val="right"/>
              <w:rPr>
                <w:b/>
                <w:sz w:val="17"/>
              </w:rPr>
            </w:pPr>
            <w:r>
              <w:rPr>
                <w:b/>
                <w:spacing w:val="-4"/>
                <w:sz w:val="17"/>
              </w:rPr>
              <w:t>2025</w:t>
            </w:r>
          </w:p>
        </w:tc>
        <w:tc>
          <w:tcPr>
            <w:tcW w:w="644" w:type="dxa"/>
            <w:shd w:val="clear" w:color="auto" w:fill="92D400"/>
          </w:tcPr>
          <w:p w:rsidR="00C31389" w:rsidRDefault="00561FBD" w14:paraId="1CA45C0A" w14:textId="77777777">
            <w:pPr>
              <w:pStyle w:val="TableParagraph"/>
              <w:spacing w:before="41"/>
              <w:ind w:right="126"/>
              <w:jc w:val="right"/>
              <w:rPr>
                <w:b/>
                <w:sz w:val="17"/>
              </w:rPr>
            </w:pPr>
            <w:r>
              <w:rPr>
                <w:b/>
                <w:spacing w:val="-4"/>
                <w:sz w:val="17"/>
              </w:rPr>
              <w:t>2026</w:t>
            </w:r>
          </w:p>
        </w:tc>
        <w:tc>
          <w:tcPr>
            <w:tcW w:w="631" w:type="dxa"/>
            <w:shd w:val="clear" w:color="auto" w:fill="92D400"/>
          </w:tcPr>
          <w:p w:rsidR="00C31389" w:rsidRDefault="00561FBD" w14:paraId="686BAC85" w14:textId="77777777">
            <w:pPr>
              <w:pStyle w:val="TableParagraph"/>
              <w:spacing w:before="41"/>
              <w:ind w:right="127"/>
              <w:jc w:val="right"/>
              <w:rPr>
                <w:b/>
                <w:sz w:val="17"/>
              </w:rPr>
            </w:pPr>
            <w:r>
              <w:rPr>
                <w:b/>
                <w:spacing w:val="-4"/>
                <w:sz w:val="17"/>
              </w:rPr>
              <w:t>2027</w:t>
            </w:r>
          </w:p>
        </w:tc>
        <w:tc>
          <w:tcPr>
            <w:tcW w:w="631" w:type="dxa"/>
            <w:shd w:val="clear" w:color="auto" w:fill="92D400"/>
          </w:tcPr>
          <w:p w:rsidR="00C31389" w:rsidRDefault="00561FBD" w14:paraId="05C64FB3" w14:textId="77777777">
            <w:pPr>
              <w:pStyle w:val="TableParagraph"/>
              <w:spacing w:before="41"/>
              <w:ind w:right="128"/>
              <w:jc w:val="right"/>
              <w:rPr>
                <w:b/>
                <w:sz w:val="17"/>
              </w:rPr>
            </w:pPr>
            <w:r>
              <w:rPr>
                <w:b/>
                <w:spacing w:val="-4"/>
                <w:sz w:val="17"/>
              </w:rPr>
              <w:t>2028</w:t>
            </w:r>
          </w:p>
        </w:tc>
        <w:tc>
          <w:tcPr>
            <w:tcW w:w="631" w:type="dxa"/>
            <w:shd w:val="clear" w:color="auto" w:fill="92D400"/>
          </w:tcPr>
          <w:p w:rsidR="00C31389" w:rsidRDefault="00561FBD" w14:paraId="23EC304A" w14:textId="77777777">
            <w:pPr>
              <w:pStyle w:val="TableParagraph"/>
              <w:spacing w:before="41"/>
              <w:ind w:left="106" w:right="114"/>
              <w:jc w:val="center"/>
              <w:rPr>
                <w:b/>
                <w:sz w:val="17"/>
              </w:rPr>
            </w:pPr>
            <w:r>
              <w:rPr>
                <w:b/>
                <w:spacing w:val="-4"/>
                <w:sz w:val="17"/>
              </w:rPr>
              <w:t>2029</w:t>
            </w:r>
          </w:p>
        </w:tc>
        <w:tc>
          <w:tcPr>
            <w:tcW w:w="631" w:type="dxa"/>
            <w:shd w:val="clear" w:color="auto" w:fill="92D400"/>
          </w:tcPr>
          <w:p w:rsidR="00C31389" w:rsidRDefault="00561FBD" w14:paraId="37054B71" w14:textId="77777777">
            <w:pPr>
              <w:pStyle w:val="TableParagraph"/>
              <w:spacing w:before="41"/>
              <w:ind w:left="106" w:right="116"/>
              <w:jc w:val="center"/>
              <w:rPr>
                <w:b/>
                <w:sz w:val="17"/>
              </w:rPr>
            </w:pPr>
            <w:r>
              <w:rPr>
                <w:b/>
                <w:spacing w:val="-4"/>
                <w:sz w:val="17"/>
              </w:rPr>
              <w:t>2030</w:t>
            </w:r>
          </w:p>
        </w:tc>
        <w:tc>
          <w:tcPr>
            <w:tcW w:w="631" w:type="dxa"/>
            <w:shd w:val="clear" w:color="auto" w:fill="92D400"/>
          </w:tcPr>
          <w:p w:rsidR="00C31389" w:rsidRDefault="00561FBD" w14:paraId="612C0F9B" w14:textId="77777777">
            <w:pPr>
              <w:pStyle w:val="TableParagraph"/>
              <w:spacing w:before="41"/>
              <w:ind w:right="131"/>
              <w:jc w:val="right"/>
              <w:rPr>
                <w:b/>
                <w:sz w:val="17"/>
              </w:rPr>
            </w:pPr>
            <w:r>
              <w:rPr>
                <w:b/>
                <w:spacing w:val="-4"/>
                <w:sz w:val="17"/>
              </w:rPr>
              <w:t>2031</w:t>
            </w:r>
          </w:p>
        </w:tc>
        <w:tc>
          <w:tcPr>
            <w:tcW w:w="631" w:type="dxa"/>
            <w:shd w:val="clear" w:color="auto" w:fill="92D400"/>
          </w:tcPr>
          <w:p w:rsidR="00C31389" w:rsidRDefault="00561FBD" w14:paraId="725F9A2D" w14:textId="77777777">
            <w:pPr>
              <w:pStyle w:val="TableParagraph"/>
              <w:spacing w:before="41"/>
              <w:ind w:right="132"/>
              <w:jc w:val="right"/>
              <w:rPr>
                <w:b/>
                <w:sz w:val="17"/>
              </w:rPr>
            </w:pPr>
            <w:r>
              <w:rPr>
                <w:b/>
                <w:spacing w:val="-4"/>
                <w:sz w:val="17"/>
              </w:rPr>
              <w:t>2032</w:t>
            </w:r>
          </w:p>
        </w:tc>
        <w:tc>
          <w:tcPr>
            <w:tcW w:w="631" w:type="dxa"/>
            <w:shd w:val="clear" w:color="auto" w:fill="92D400"/>
          </w:tcPr>
          <w:p w:rsidR="00C31389" w:rsidRDefault="00561FBD" w14:paraId="58AAADA0" w14:textId="77777777">
            <w:pPr>
              <w:pStyle w:val="TableParagraph"/>
              <w:spacing w:before="41"/>
              <w:ind w:left="100" w:right="116"/>
              <w:jc w:val="center"/>
              <w:rPr>
                <w:b/>
                <w:sz w:val="17"/>
              </w:rPr>
            </w:pPr>
            <w:r>
              <w:rPr>
                <w:b/>
                <w:spacing w:val="-4"/>
                <w:sz w:val="17"/>
              </w:rPr>
              <w:t>2033</w:t>
            </w:r>
          </w:p>
        </w:tc>
        <w:tc>
          <w:tcPr>
            <w:tcW w:w="631" w:type="dxa"/>
            <w:shd w:val="clear" w:color="auto" w:fill="92D400"/>
          </w:tcPr>
          <w:p w:rsidR="00C31389" w:rsidRDefault="00561FBD" w14:paraId="26D3C7F1" w14:textId="77777777">
            <w:pPr>
              <w:pStyle w:val="TableParagraph"/>
              <w:spacing w:before="41"/>
              <w:ind w:right="134"/>
              <w:jc w:val="right"/>
              <w:rPr>
                <w:b/>
                <w:sz w:val="17"/>
              </w:rPr>
            </w:pPr>
            <w:r>
              <w:rPr>
                <w:b/>
                <w:spacing w:val="-4"/>
                <w:sz w:val="17"/>
              </w:rPr>
              <w:t>2034</w:t>
            </w:r>
          </w:p>
        </w:tc>
        <w:tc>
          <w:tcPr>
            <w:tcW w:w="613" w:type="dxa"/>
            <w:shd w:val="clear" w:color="auto" w:fill="92D400"/>
          </w:tcPr>
          <w:p w:rsidR="00C31389" w:rsidRDefault="00561FBD" w14:paraId="25AA22D9" w14:textId="77777777">
            <w:pPr>
              <w:pStyle w:val="TableParagraph"/>
              <w:spacing w:before="41"/>
              <w:ind w:right="117"/>
              <w:jc w:val="right"/>
              <w:rPr>
                <w:b/>
                <w:sz w:val="17"/>
              </w:rPr>
            </w:pPr>
            <w:r>
              <w:rPr>
                <w:b/>
                <w:spacing w:val="-4"/>
                <w:sz w:val="17"/>
              </w:rPr>
              <w:t>2035</w:t>
            </w:r>
          </w:p>
        </w:tc>
      </w:tr>
      <w:tr w:rsidR="00C31389" w14:paraId="124AC231" w14:textId="77777777">
        <w:trPr>
          <w:trHeight w:val="274"/>
        </w:trPr>
        <w:tc>
          <w:tcPr>
            <w:tcW w:w="9372" w:type="dxa"/>
            <w:gridSpan w:val="13"/>
            <w:tcBorders>
              <w:bottom w:val="single" w:color="DCDDDE" w:sz="4" w:space="0"/>
            </w:tcBorders>
            <w:shd w:val="clear" w:color="auto" w:fill="BEBEBE"/>
          </w:tcPr>
          <w:p w:rsidR="00C31389" w:rsidRDefault="00561FBD" w14:paraId="3E565D6C" w14:textId="77777777">
            <w:pPr>
              <w:pStyle w:val="TableParagraph"/>
              <w:spacing w:before="41"/>
              <w:ind w:left="108"/>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1F895837" w14:textId="77777777">
        <w:trPr>
          <w:trHeight w:val="275"/>
        </w:trPr>
        <w:tc>
          <w:tcPr>
            <w:tcW w:w="1172" w:type="dxa"/>
            <w:tcBorders>
              <w:top w:val="single" w:color="DCDDDE" w:sz="4" w:space="0"/>
              <w:bottom w:val="single" w:color="DCDDDE" w:sz="4" w:space="0"/>
            </w:tcBorders>
          </w:tcPr>
          <w:p w:rsidR="00C31389" w:rsidRDefault="00561FBD" w14:paraId="59088FFD" w14:textId="77777777">
            <w:pPr>
              <w:pStyle w:val="TableParagraph"/>
              <w:spacing w:before="42"/>
              <w:ind w:left="108"/>
              <w:rPr>
                <w:sz w:val="17"/>
              </w:rPr>
            </w:pPr>
            <w:r>
              <w:rPr>
                <w:spacing w:val="-5"/>
                <w:sz w:val="17"/>
              </w:rPr>
              <w:t>EE</w:t>
            </w:r>
          </w:p>
        </w:tc>
        <w:tc>
          <w:tcPr>
            <w:tcW w:w="1183" w:type="dxa"/>
            <w:tcBorders>
              <w:top w:val="single" w:color="DCDDDE" w:sz="4" w:space="0"/>
              <w:bottom w:val="single" w:color="DCDDDE" w:sz="4" w:space="0"/>
            </w:tcBorders>
          </w:tcPr>
          <w:p w:rsidR="00C31389" w:rsidRDefault="00561FBD" w14:paraId="3888D3F9" w14:textId="77777777">
            <w:pPr>
              <w:pStyle w:val="TableParagraph"/>
              <w:spacing w:before="42"/>
              <w:ind w:right="194"/>
              <w:jc w:val="right"/>
              <w:rPr>
                <w:sz w:val="17"/>
              </w:rPr>
            </w:pPr>
            <w:r>
              <w:rPr>
                <w:spacing w:val="-4"/>
                <w:sz w:val="17"/>
              </w:rPr>
              <w:t>10.4</w:t>
            </w:r>
          </w:p>
        </w:tc>
        <w:tc>
          <w:tcPr>
            <w:tcW w:w="712" w:type="dxa"/>
            <w:tcBorders>
              <w:top w:val="single" w:color="DCDDDE" w:sz="4" w:space="0"/>
              <w:bottom w:val="single" w:color="DCDDDE" w:sz="4" w:space="0"/>
            </w:tcBorders>
          </w:tcPr>
          <w:p w:rsidR="00C31389" w:rsidRDefault="00561FBD" w14:paraId="7438C2FB" w14:textId="77777777">
            <w:pPr>
              <w:pStyle w:val="TableParagraph"/>
              <w:spacing w:before="42"/>
              <w:ind w:right="139"/>
              <w:jc w:val="right"/>
              <w:rPr>
                <w:sz w:val="17"/>
              </w:rPr>
            </w:pPr>
            <w:r>
              <w:rPr>
                <w:spacing w:val="-4"/>
                <w:sz w:val="17"/>
              </w:rPr>
              <w:t>11.0</w:t>
            </w:r>
          </w:p>
        </w:tc>
        <w:tc>
          <w:tcPr>
            <w:tcW w:w="644" w:type="dxa"/>
            <w:tcBorders>
              <w:top w:val="single" w:color="DCDDDE" w:sz="4" w:space="0"/>
              <w:bottom w:val="single" w:color="DCDDDE" w:sz="4" w:space="0"/>
            </w:tcBorders>
          </w:tcPr>
          <w:p w:rsidR="00C31389" w:rsidRDefault="00561FBD" w14:paraId="409D1AFC" w14:textId="77777777">
            <w:pPr>
              <w:pStyle w:val="TableParagraph"/>
              <w:spacing w:before="42"/>
              <w:ind w:right="127"/>
              <w:jc w:val="right"/>
              <w:rPr>
                <w:sz w:val="17"/>
              </w:rPr>
            </w:pPr>
            <w:r>
              <w:rPr>
                <w:spacing w:val="-4"/>
                <w:sz w:val="17"/>
              </w:rPr>
              <w:t>11.3</w:t>
            </w:r>
          </w:p>
        </w:tc>
        <w:tc>
          <w:tcPr>
            <w:tcW w:w="631" w:type="dxa"/>
            <w:tcBorders>
              <w:top w:val="single" w:color="DCDDDE" w:sz="4" w:space="0"/>
              <w:bottom w:val="single" w:color="DCDDDE" w:sz="4" w:space="0"/>
            </w:tcBorders>
          </w:tcPr>
          <w:p w:rsidR="00C31389" w:rsidRDefault="00561FBD" w14:paraId="6620FC81" w14:textId="77777777">
            <w:pPr>
              <w:pStyle w:val="TableParagraph"/>
              <w:spacing w:before="42"/>
              <w:ind w:right="128"/>
              <w:jc w:val="right"/>
              <w:rPr>
                <w:sz w:val="17"/>
              </w:rPr>
            </w:pPr>
            <w:r>
              <w:rPr>
                <w:spacing w:val="-4"/>
                <w:sz w:val="17"/>
              </w:rPr>
              <w:t>10.8</w:t>
            </w:r>
          </w:p>
        </w:tc>
        <w:tc>
          <w:tcPr>
            <w:tcW w:w="631" w:type="dxa"/>
            <w:tcBorders>
              <w:top w:val="single" w:color="DCDDDE" w:sz="4" w:space="0"/>
              <w:bottom w:val="single" w:color="DCDDDE" w:sz="4" w:space="0"/>
            </w:tcBorders>
          </w:tcPr>
          <w:p w:rsidR="00C31389" w:rsidRDefault="00561FBD" w14:paraId="1A83BB3B" w14:textId="77777777">
            <w:pPr>
              <w:pStyle w:val="TableParagraph"/>
              <w:spacing w:before="42"/>
              <w:ind w:right="129"/>
              <w:jc w:val="right"/>
              <w:rPr>
                <w:sz w:val="17"/>
              </w:rPr>
            </w:pPr>
            <w:r>
              <w:rPr>
                <w:spacing w:val="-4"/>
                <w:sz w:val="17"/>
              </w:rPr>
              <w:t>10.4</w:t>
            </w:r>
          </w:p>
        </w:tc>
        <w:tc>
          <w:tcPr>
            <w:tcW w:w="631" w:type="dxa"/>
            <w:tcBorders>
              <w:top w:val="single" w:color="DCDDDE" w:sz="4" w:space="0"/>
              <w:bottom w:val="single" w:color="DCDDDE" w:sz="4" w:space="0"/>
            </w:tcBorders>
          </w:tcPr>
          <w:p w:rsidR="00C31389" w:rsidRDefault="00561FBD" w14:paraId="4AB27C28" w14:textId="77777777">
            <w:pPr>
              <w:pStyle w:val="TableParagraph"/>
              <w:spacing w:before="42"/>
              <w:ind w:left="245"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3C51ED70" w14:textId="77777777">
            <w:pPr>
              <w:pStyle w:val="TableParagraph"/>
              <w:spacing w:before="42"/>
              <w:ind w:left="106" w:right="73"/>
              <w:jc w:val="center"/>
              <w:rPr>
                <w:sz w:val="17"/>
              </w:rPr>
            </w:pPr>
            <w:r>
              <w:rPr>
                <w:spacing w:val="-4"/>
                <w:sz w:val="17"/>
              </w:rPr>
              <w:t>10.8</w:t>
            </w:r>
          </w:p>
        </w:tc>
        <w:tc>
          <w:tcPr>
            <w:tcW w:w="631" w:type="dxa"/>
            <w:tcBorders>
              <w:top w:val="single" w:color="DCDDDE" w:sz="4" w:space="0"/>
              <w:bottom w:val="single" w:color="DCDDDE" w:sz="4" w:space="0"/>
            </w:tcBorders>
          </w:tcPr>
          <w:p w:rsidR="00C31389" w:rsidRDefault="00561FBD" w14:paraId="2E0EB289" w14:textId="77777777">
            <w:pPr>
              <w:pStyle w:val="TableParagraph"/>
              <w:spacing w:before="42"/>
              <w:ind w:right="132"/>
              <w:jc w:val="right"/>
              <w:rPr>
                <w:sz w:val="17"/>
              </w:rPr>
            </w:pPr>
            <w:r>
              <w:rPr>
                <w:spacing w:val="-4"/>
                <w:sz w:val="17"/>
              </w:rPr>
              <w:t>10.3</w:t>
            </w:r>
          </w:p>
        </w:tc>
        <w:tc>
          <w:tcPr>
            <w:tcW w:w="631" w:type="dxa"/>
            <w:tcBorders>
              <w:top w:val="single" w:color="DCDDDE" w:sz="4" w:space="0"/>
              <w:bottom w:val="single" w:color="DCDDDE" w:sz="4" w:space="0"/>
            </w:tcBorders>
          </w:tcPr>
          <w:p w:rsidR="00C31389" w:rsidRDefault="00561FBD" w14:paraId="04E40B3D" w14:textId="77777777">
            <w:pPr>
              <w:pStyle w:val="TableParagraph"/>
              <w:spacing w:before="42"/>
              <w:ind w:right="133"/>
              <w:jc w:val="right"/>
              <w:rPr>
                <w:sz w:val="17"/>
              </w:rPr>
            </w:pPr>
            <w:r>
              <w:rPr>
                <w:spacing w:val="-4"/>
                <w:sz w:val="17"/>
              </w:rPr>
              <w:t>11.0</w:t>
            </w:r>
          </w:p>
        </w:tc>
        <w:tc>
          <w:tcPr>
            <w:tcW w:w="631" w:type="dxa"/>
            <w:tcBorders>
              <w:top w:val="single" w:color="DCDDDE" w:sz="4" w:space="0"/>
              <w:bottom w:val="single" w:color="DCDDDE" w:sz="4" w:space="0"/>
            </w:tcBorders>
          </w:tcPr>
          <w:p w:rsidR="00C31389" w:rsidRDefault="00561FBD" w14:paraId="3B8FD1FE" w14:textId="77777777">
            <w:pPr>
              <w:pStyle w:val="TableParagraph"/>
              <w:spacing w:before="42"/>
              <w:ind w:left="106" w:right="79"/>
              <w:jc w:val="center"/>
              <w:rPr>
                <w:sz w:val="17"/>
              </w:rPr>
            </w:pPr>
            <w:r>
              <w:rPr>
                <w:spacing w:val="-4"/>
                <w:sz w:val="17"/>
              </w:rPr>
              <w:t>10.7</w:t>
            </w:r>
          </w:p>
        </w:tc>
        <w:tc>
          <w:tcPr>
            <w:tcW w:w="631" w:type="dxa"/>
            <w:tcBorders>
              <w:top w:val="single" w:color="DCDDDE" w:sz="4" w:space="0"/>
              <w:bottom w:val="single" w:color="DCDDDE" w:sz="4" w:space="0"/>
            </w:tcBorders>
          </w:tcPr>
          <w:p w:rsidR="00C31389" w:rsidRDefault="00561FBD" w14:paraId="1777C4E8" w14:textId="77777777">
            <w:pPr>
              <w:pStyle w:val="TableParagraph"/>
              <w:spacing w:before="42"/>
              <w:ind w:right="135"/>
              <w:jc w:val="right"/>
              <w:rPr>
                <w:sz w:val="17"/>
              </w:rPr>
            </w:pPr>
            <w:r>
              <w:rPr>
                <w:spacing w:val="-4"/>
                <w:sz w:val="17"/>
              </w:rPr>
              <w:t>10.4</w:t>
            </w:r>
          </w:p>
        </w:tc>
        <w:tc>
          <w:tcPr>
            <w:tcW w:w="613" w:type="dxa"/>
            <w:tcBorders>
              <w:top w:val="single" w:color="DCDDDE" w:sz="4" w:space="0"/>
              <w:bottom w:val="single" w:color="DCDDDE" w:sz="4" w:space="0"/>
            </w:tcBorders>
          </w:tcPr>
          <w:p w:rsidR="00C31389" w:rsidRDefault="00561FBD" w14:paraId="68C9C4A2" w14:textId="77777777">
            <w:pPr>
              <w:pStyle w:val="TableParagraph"/>
              <w:spacing w:before="42"/>
              <w:ind w:right="117"/>
              <w:jc w:val="right"/>
              <w:rPr>
                <w:sz w:val="17"/>
              </w:rPr>
            </w:pPr>
            <w:r>
              <w:rPr>
                <w:spacing w:val="-4"/>
                <w:sz w:val="17"/>
              </w:rPr>
              <w:t>10.1</w:t>
            </w:r>
          </w:p>
        </w:tc>
      </w:tr>
      <w:tr w:rsidR="00C31389" w14:paraId="716BB80E" w14:textId="77777777">
        <w:trPr>
          <w:trHeight w:val="275"/>
        </w:trPr>
        <w:tc>
          <w:tcPr>
            <w:tcW w:w="1172" w:type="dxa"/>
            <w:tcBorders>
              <w:top w:val="single" w:color="DCDDDE" w:sz="4" w:space="0"/>
              <w:bottom w:val="single" w:color="DCDDDE" w:sz="4" w:space="0"/>
            </w:tcBorders>
          </w:tcPr>
          <w:p w:rsidR="00C31389" w:rsidRDefault="00561FBD" w14:paraId="7309F5E4" w14:textId="77777777">
            <w:pPr>
              <w:pStyle w:val="TableParagraph"/>
              <w:spacing w:before="42"/>
              <w:ind w:left="108"/>
              <w:rPr>
                <w:sz w:val="17"/>
              </w:rPr>
            </w:pPr>
            <w:r>
              <w:rPr>
                <w:spacing w:val="-5"/>
                <w:sz w:val="17"/>
              </w:rPr>
              <w:t>FS</w:t>
            </w:r>
          </w:p>
        </w:tc>
        <w:tc>
          <w:tcPr>
            <w:tcW w:w="1183" w:type="dxa"/>
            <w:tcBorders>
              <w:top w:val="single" w:color="DCDDDE" w:sz="4" w:space="0"/>
              <w:bottom w:val="single" w:color="DCDDDE" w:sz="4" w:space="0"/>
            </w:tcBorders>
          </w:tcPr>
          <w:p w:rsidR="00C31389" w:rsidRDefault="00561FBD" w14:paraId="602B29B5" w14:textId="77777777">
            <w:pPr>
              <w:pStyle w:val="TableParagraph"/>
              <w:spacing w:before="42"/>
              <w:ind w:right="194"/>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72EBE496" w14:textId="77777777">
            <w:pPr>
              <w:pStyle w:val="TableParagraph"/>
              <w:spacing w:before="42"/>
              <w:ind w:right="139"/>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5EAD348B" w14:textId="77777777">
            <w:pPr>
              <w:pStyle w:val="TableParagraph"/>
              <w:spacing w:before="42"/>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5C5A19F" w14:textId="77777777">
            <w:pPr>
              <w:pStyle w:val="TableParagraph"/>
              <w:spacing w:before="42"/>
              <w:ind w:right="128"/>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9D62487" w14:textId="77777777">
            <w:pPr>
              <w:pStyle w:val="TableParagraph"/>
              <w:spacing w:before="42"/>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7445218" w14:textId="77777777">
            <w:pPr>
              <w:pStyle w:val="TableParagraph"/>
              <w:spacing w:before="42"/>
              <w:ind w:left="245"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030E30B9" w14:textId="77777777">
            <w:pPr>
              <w:pStyle w:val="TableParagraph"/>
              <w:spacing w:before="42"/>
              <w:ind w:left="246" w:right="118"/>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526FE00E" w14:textId="77777777">
            <w:pPr>
              <w:pStyle w:val="TableParagraph"/>
              <w:spacing w:before="42"/>
              <w:ind w:right="132"/>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8F3516E" w14:textId="77777777">
            <w:pPr>
              <w:pStyle w:val="TableParagraph"/>
              <w:spacing w:before="42"/>
              <w:ind w:right="133"/>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987B95D" w14:textId="77777777">
            <w:pPr>
              <w:pStyle w:val="TableParagraph"/>
              <w:spacing w:before="42"/>
              <w:ind w:left="238"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06DED472" w14:textId="77777777">
            <w:pPr>
              <w:pStyle w:val="TableParagraph"/>
              <w:spacing w:before="42"/>
              <w:ind w:right="135"/>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2D88BA9C" w14:textId="77777777">
            <w:pPr>
              <w:pStyle w:val="TableParagraph"/>
              <w:spacing w:before="42"/>
              <w:ind w:right="118"/>
              <w:jc w:val="right"/>
              <w:rPr>
                <w:sz w:val="17"/>
              </w:rPr>
            </w:pPr>
            <w:r>
              <w:rPr>
                <w:spacing w:val="-5"/>
                <w:sz w:val="17"/>
              </w:rPr>
              <w:t>0.0</w:t>
            </w:r>
          </w:p>
        </w:tc>
      </w:tr>
      <w:tr w:rsidR="00C31389" w14:paraId="55BA629A" w14:textId="77777777">
        <w:trPr>
          <w:trHeight w:val="275"/>
        </w:trPr>
        <w:tc>
          <w:tcPr>
            <w:tcW w:w="1172" w:type="dxa"/>
            <w:tcBorders>
              <w:top w:val="single" w:color="DCDDDE" w:sz="4" w:space="0"/>
              <w:bottom w:val="single" w:color="DCDDDE" w:sz="4" w:space="0"/>
            </w:tcBorders>
          </w:tcPr>
          <w:p w:rsidR="00C31389" w:rsidRDefault="00561FBD" w14:paraId="4C80D291" w14:textId="77777777">
            <w:pPr>
              <w:pStyle w:val="TableParagraph"/>
              <w:spacing w:before="42"/>
              <w:ind w:left="108"/>
              <w:rPr>
                <w:sz w:val="17"/>
              </w:rPr>
            </w:pPr>
            <w:r>
              <w:rPr>
                <w:spacing w:val="-4"/>
                <w:sz w:val="17"/>
              </w:rPr>
              <w:t>BROs</w:t>
            </w:r>
          </w:p>
        </w:tc>
        <w:tc>
          <w:tcPr>
            <w:tcW w:w="1183" w:type="dxa"/>
            <w:tcBorders>
              <w:top w:val="single" w:color="DCDDDE" w:sz="4" w:space="0"/>
              <w:bottom w:val="single" w:color="DCDDDE" w:sz="4" w:space="0"/>
            </w:tcBorders>
          </w:tcPr>
          <w:p w:rsidR="00C31389" w:rsidRDefault="00561FBD" w14:paraId="051AEAA8" w14:textId="77777777">
            <w:pPr>
              <w:pStyle w:val="TableParagraph"/>
              <w:spacing w:before="42"/>
              <w:ind w:right="194"/>
              <w:jc w:val="right"/>
              <w:rPr>
                <w:sz w:val="17"/>
              </w:rPr>
            </w:pPr>
            <w:r>
              <w:rPr>
                <w:spacing w:val="-5"/>
                <w:sz w:val="17"/>
              </w:rPr>
              <w:t>7.9</w:t>
            </w:r>
          </w:p>
        </w:tc>
        <w:tc>
          <w:tcPr>
            <w:tcW w:w="712" w:type="dxa"/>
            <w:tcBorders>
              <w:top w:val="single" w:color="DCDDDE" w:sz="4" w:space="0"/>
              <w:bottom w:val="single" w:color="DCDDDE" w:sz="4" w:space="0"/>
            </w:tcBorders>
          </w:tcPr>
          <w:p w:rsidR="00C31389" w:rsidRDefault="00561FBD" w14:paraId="74A8EAAC" w14:textId="77777777">
            <w:pPr>
              <w:pStyle w:val="TableParagraph"/>
              <w:spacing w:before="42"/>
              <w:ind w:right="139"/>
              <w:jc w:val="right"/>
              <w:rPr>
                <w:sz w:val="17"/>
              </w:rPr>
            </w:pPr>
            <w:r>
              <w:rPr>
                <w:spacing w:val="-5"/>
                <w:sz w:val="17"/>
              </w:rPr>
              <w:t>8.2</w:t>
            </w:r>
          </w:p>
        </w:tc>
        <w:tc>
          <w:tcPr>
            <w:tcW w:w="644" w:type="dxa"/>
            <w:tcBorders>
              <w:top w:val="single" w:color="DCDDDE" w:sz="4" w:space="0"/>
              <w:bottom w:val="single" w:color="DCDDDE" w:sz="4" w:space="0"/>
            </w:tcBorders>
          </w:tcPr>
          <w:p w:rsidR="00C31389" w:rsidRDefault="00561FBD" w14:paraId="0F3FB8CE" w14:textId="77777777">
            <w:pPr>
              <w:pStyle w:val="TableParagraph"/>
              <w:spacing w:before="42"/>
              <w:ind w:right="127"/>
              <w:jc w:val="right"/>
              <w:rPr>
                <w:sz w:val="17"/>
              </w:rPr>
            </w:pPr>
            <w:r>
              <w:rPr>
                <w:spacing w:val="-5"/>
                <w:sz w:val="17"/>
              </w:rPr>
              <w:t>8.6</w:t>
            </w:r>
          </w:p>
        </w:tc>
        <w:tc>
          <w:tcPr>
            <w:tcW w:w="631" w:type="dxa"/>
            <w:tcBorders>
              <w:top w:val="single" w:color="DCDDDE" w:sz="4" w:space="0"/>
              <w:bottom w:val="single" w:color="DCDDDE" w:sz="4" w:space="0"/>
            </w:tcBorders>
          </w:tcPr>
          <w:p w:rsidR="00C31389" w:rsidRDefault="00561FBD" w14:paraId="1AA1751B" w14:textId="77777777">
            <w:pPr>
              <w:pStyle w:val="TableParagraph"/>
              <w:spacing w:before="42"/>
              <w:ind w:right="128"/>
              <w:jc w:val="right"/>
              <w:rPr>
                <w:sz w:val="17"/>
              </w:rPr>
            </w:pPr>
            <w:r>
              <w:rPr>
                <w:spacing w:val="-5"/>
                <w:sz w:val="17"/>
              </w:rPr>
              <w:t>8.9</w:t>
            </w:r>
          </w:p>
        </w:tc>
        <w:tc>
          <w:tcPr>
            <w:tcW w:w="631" w:type="dxa"/>
            <w:tcBorders>
              <w:top w:val="single" w:color="DCDDDE" w:sz="4" w:space="0"/>
              <w:bottom w:val="single" w:color="DCDDDE" w:sz="4" w:space="0"/>
            </w:tcBorders>
          </w:tcPr>
          <w:p w:rsidR="00C31389" w:rsidRDefault="00561FBD" w14:paraId="3F163E1D" w14:textId="77777777">
            <w:pPr>
              <w:pStyle w:val="TableParagraph"/>
              <w:spacing w:before="42"/>
              <w:ind w:right="129"/>
              <w:jc w:val="right"/>
              <w:rPr>
                <w:sz w:val="17"/>
              </w:rPr>
            </w:pPr>
            <w:r>
              <w:rPr>
                <w:spacing w:val="-5"/>
                <w:sz w:val="17"/>
              </w:rPr>
              <w:t>9.3</w:t>
            </w:r>
          </w:p>
        </w:tc>
        <w:tc>
          <w:tcPr>
            <w:tcW w:w="631" w:type="dxa"/>
            <w:tcBorders>
              <w:top w:val="single" w:color="DCDDDE" w:sz="4" w:space="0"/>
              <w:bottom w:val="single" w:color="DCDDDE" w:sz="4" w:space="0"/>
            </w:tcBorders>
          </w:tcPr>
          <w:p w:rsidR="00C31389" w:rsidRDefault="00561FBD" w14:paraId="5359A5F1" w14:textId="77777777">
            <w:pPr>
              <w:pStyle w:val="TableParagraph"/>
              <w:spacing w:before="42"/>
              <w:ind w:left="245"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313FEC5D" w14:textId="77777777">
            <w:pPr>
              <w:pStyle w:val="TableParagraph"/>
              <w:spacing w:before="42"/>
              <w:ind w:left="106" w:right="73"/>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7C5B6F24" w14:textId="77777777">
            <w:pPr>
              <w:pStyle w:val="TableParagraph"/>
              <w:spacing w:before="42"/>
              <w:ind w:right="132"/>
              <w:jc w:val="right"/>
              <w:rPr>
                <w:sz w:val="17"/>
              </w:rPr>
            </w:pPr>
            <w:r>
              <w:rPr>
                <w:spacing w:val="-4"/>
                <w:sz w:val="17"/>
              </w:rPr>
              <w:t>10.6</w:t>
            </w:r>
          </w:p>
        </w:tc>
        <w:tc>
          <w:tcPr>
            <w:tcW w:w="631" w:type="dxa"/>
            <w:tcBorders>
              <w:top w:val="single" w:color="DCDDDE" w:sz="4" w:space="0"/>
              <w:bottom w:val="single" w:color="DCDDDE" w:sz="4" w:space="0"/>
            </w:tcBorders>
          </w:tcPr>
          <w:p w:rsidR="00C31389" w:rsidRDefault="00561FBD" w14:paraId="5AC3C398" w14:textId="77777777">
            <w:pPr>
              <w:pStyle w:val="TableParagraph"/>
              <w:spacing w:before="42"/>
              <w:ind w:right="133"/>
              <w:jc w:val="right"/>
              <w:rPr>
                <w:sz w:val="17"/>
              </w:rPr>
            </w:pPr>
            <w:r>
              <w:rPr>
                <w:spacing w:val="-4"/>
                <w:sz w:val="17"/>
              </w:rPr>
              <w:t>11.1</w:t>
            </w:r>
          </w:p>
        </w:tc>
        <w:tc>
          <w:tcPr>
            <w:tcW w:w="631" w:type="dxa"/>
            <w:tcBorders>
              <w:top w:val="single" w:color="DCDDDE" w:sz="4" w:space="0"/>
              <w:bottom w:val="single" w:color="DCDDDE" w:sz="4" w:space="0"/>
            </w:tcBorders>
          </w:tcPr>
          <w:p w:rsidR="00C31389" w:rsidRDefault="00561FBD" w14:paraId="23338074" w14:textId="77777777">
            <w:pPr>
              <w:pStyle w:val="TableParagraph"/>
              <w:spacing w:before="42"/>
              <w:ind w:left="106" w:right="79"/>
              <w:jc w:val="center"/>
              <w:rPr>
                <w:sz w:val="17"/>
              </w:rPr>
            </w:pPr>
            <w:r>
              <w:rPr>
                <w:spacing w:val="-4"/>
                <w:sz w:val="17"/>
              </w:rPr>
              <w:t>11.6</w:t>
            </w:r>
          </w:p>
        </w:tc>
        <w:tc>
          <w:tcPr>
            <w:tcW w:w="631" w:type="dxa"/>
            <w:tcBorders>
              <w:top w:val="single" w:color="DCDDDE" w:sz="4" w:space="0"/>
              <w:bottom w:val="single" w:color="DCDDDE" w:sz="4" w:space="0"/>
            </w:tcBorders>
          </w:tcPr>
          <w:p w:rsidR="00C31389" w:rsidRDefault="00561FBD" w14:paraId="09D39AA4" w14:textId="77777777">
            <w:pPr>
              <w:pStyle w:val="TableParagraph"/>
              <w:spacing w:before="42"/>
              <w:ind w:right="135"/>
              <w:jc w:val="right"/>
              <w:rPr>
                <w:sz w:val="17"/>
              </w:rPr>
            </w:pPr>
            <w:r>
              <w:rPr>
                <w:spacing w:val="-4"/>
                <w:sz w:val="17"/>
              </w:rPr>
              <w:t>12.1</w:t>
            </w:r>
          </w:p>
        </w:tc>
        <w:tc>
          <w:tcPr>
            <w:tcW w:w="613" w:type="dxa"/>
            <w:tcBorders>
              <w:top w:val="single" w:color="DCDDDE" w:sz="4" w:space="0"/>
              <w:bottom w:val="single" w:color="DCDDDE" w:sz="4" w:space="0"/>
            </w:tcBorders>
          </w:tcPr>
          <w:p w:rsidR="00C31389" w:rsidRDefault="00561FBD" w14:paraId="15E03769" w14:textId="77777777">
            <w:pPr>
              <w:pStyle w:val="TableParagraph"/>
              <w:spacing w:before="42"/>
              <w:ind w:right="118"/>
              <w:jc w:val="right"/>
              <w:rPr>
                <w:sz w:val="17"/>
              </w:rPr>
            </w:pPr>
            <w:r>
              <w:rPr>
                <w:spacing w:val="-4"/>
                <w:sz w:val="17"/>
              </w:rPr>
              <w:t>13.5</w:t>
            </w:r>
          </w:p>
        </w:tc>
      </w:tr>
      <w:tr w:rsidR="00C31389" w14:paraId="561C6469" w14:textId="77777777">
        <w:trPr>
          <w:trHeight w:val="275"/>
        </w:trPr>
        <w:tc>
          <w:tcPr>
            <w:tcW w:w="9372" w:type="dxa"/>
            <w:gridSpan w:val="13"/>
            <w:tcBorders>
              <w:top w:val="single" w:color="DCDDDE" w:sz="4" w:space="0"/>
              <w:bottom w:val="single" w:color="DCDDDE" w:sz="4" w:space="0"/>
            </w:tcBorders>
            <w:shd w:val="clear" w:color="auto" w:fill="BEBEBE"/>
          </w:tcPr>
          <w:p w:rsidR="00C31389" w:rsidRDefault="00561FBD" w14:paraId="6A659545" w14:textId="77777777">
            <w:pPr>
              <w:pStyle w:val="TableParagraph"/>
              <w:ind w:left="108"/>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39CB4BD7" w14:textId="77777777">
        <w:trPr>
          <w:trHeight w:val="275"/>
        </w:trPr>
        <w:tc>
          <w:tcPr>
            <w:tcW w:w="1172" w:type="dxa"/>
            <w:tcBorders>
              <w:top w:val="single" w:color="DCDDDE" w:sz="4" w:space="0"/>
              <w:bottom w:val="single" w:color="DCDDDE" w:sz="4" w:space="0"/>
            </w:tcBorders>
          </w:tcPr>
          <w:p w:rsidR="00C31389" w:rsidRDefault="00561FBD" w14:paraId="1A450303" w14:textId="77777777">
            <w:pPr>
              <w:pStyle w:val="TableParagraph"/>
              <w:ind w:left="108"/>
              <w:rPr>
                <w:sz w:val="17"/>
              </w:rPr>
            </w:pPr>
            <w:r>
              <w:rPr>
                <w:spacing w:val="-5"/>
                <w:sz w:val="17"/>
              </w:rPr>
              <w:t>EE</w:t>
            </w:r>
          </w:p>
        </w:tc>
        <w:tc>
          <w:tcPr>
            <w:tcW w:w="1183" w:type="dxa"/>
            <w:tcBorders>
              <w:top w:val="single" w:color="DCDDDE" w:sz="4" w:space="0"/>
              <w:bottom w:val="single" w:color="DCDDDE" w:sz="4" w:space="0"/>
            </w:tcBorders>
          </w:tcPr>
          <w:p w:rsidR="00C31389" w:rsidRDefault="00561FBD" w14:paraId="64914F06" w14:textId="77777777">
            <w:pPr>
              <w:pStyle w:val="TableParagraph"/>
              <w:ind w:right="194"/>
              <w:jc w:val="right"/>
              <w:rPr>
                <w:sz w:val="17"/>
              </w:rPr>
            </w:pPr>
            <w:r>
              <w:rPr>
                <w:spacing w:val="-4"/>
                <w:sz w:val="17"/>
              </w:rPr>
              <w:t>10.8</w:t>
            </w:r>
          </w:p>
        </w:tc>
        <w:tc>
          <w:tcPr>
            <w:tcW w:w="712" w:type="dxa"/>
            <w:tcBorders>
              <w:top w:val="single" w:color="DCDDDE" w:sz="4" w:space="0"/>
              <w:bottom w:val="single" w:color="DCDDDE" w:sz="4" w:space="0"/>
            </w:tcBorders>
          </w:tcPr>
          <w:p w:rsidR="00C31389" w:rsidRDefault="00561FBD" w14:paraId="35917737" w14:textId="77777777">
            <w:pPr>
              <w:pStyle w:val="TableParagraph"/>
              <w:ind w:right="139"/>
              <w:jc w:val="right"/>
              <w:rPr>
                <w:sz w:val="17"/>
              </w:rPr>
            </w:pPr>
            <w:r>
              <w:rPr>
                <w:spacing w:val="-4"/>
                <w:sz w:val="17"/>
              </w:rPr>
              <w:t>13.1</w:t>
            </w:r>
          </w:p>
        </w:tc>
        <w:tc>
          <w:tcPr>
            <w:tcW w:w="644" w:type="dxa"/>
            <w:tcBorders>
              <w:top w:val="single" w:color="DCDDDE" w:sz="4" w:space="0"/>
              <w:bottom w:val="single" w:color="DCDDDE" w:sz="4" w:space="0"/>
            </w:tcBorders>
          </w:tcPr>
          <w:p w:rsidR="00C31389" w:rsidRDefault="00561FBD" w14:paraId="2897513F" w14:textId="77777777">
            <w:pPr>
              <w:pStyle w:val="TableParagraph"/>
              <w:ind w:right="127"/>
              <w:jc w:val="right"/>
              <w:rPr>
                <w:sz w:val="17"/>
              </w:rPr>
            </w:pPr>
            <w:r>
              <w:rPr>
                <w:spacing w:val="-4"/>
                <w:sz w:val="17"/>
              </w:rPr>
              <w:t>13.3</w:t>
            </w:r>
          </w:p>
        </w:tc>
        <w:tc>
          <w:tcPr>
            <w:tcW w:w="631" w:type="dxa"/>
            <w:tcBorders>
              <w:top w:val="single" w:color="DCDDDE" w:sz="4" w:space="0"/>
              <w:bottom w:val="single" w:color="DCDDDE" w:sz="4" w:space="0"/>
            </w:tcBorders>
          </w:tcPr>
          <w:p w:rsidR="00C31389" w:rsidRDefault="00561FBD" w14:paraId="5014B6AD" w14:textId="77777777">
            <w:pPr>
              <w:pStyle w:val="TableParagraph"/>
              <w:ind w:right="128"/>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45B0EE0D" w14:textId="77777777">
            <w:pPr>
              <w:pStyle w:val="TableParagraph"/>
              <w:ind w:right="128"/>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2FA95572" w14:textId="77777777">
            <w:pPr>
              <w:pStyle w:val="TableParagraph"/>
              <w:ind w:left="106" w:right="71"/>
              <w:jc w:val="center"/>
              <w:rPr>
                <w:sz w:val="17"/>
              </w:rPr>
            </w:pPr>
            <w:r>
              <w:rPr>
                <w:spacing w:val="-4"/>
                <w:sz w:val="17"/>
              </w:rPr>
              <w:t>11.1</w:t>
            </w:r>
          </w:p>
        </w:tc>
        <w:tc>
          <w:tcPr>
            <w:tcW w:w="631" w:type="dxa"/>
            <w:tcBorders>
              <w:top w:val="single" w:color="DCDDDE" w:sz="4" w:space="0"/>
              <w:bottom w:val="single" w:color="DCDDDE" w:sz="4" w:space="0"/>
            </w:tcBorders>
          </w:tcPr>
          <w:p w:rsidR="00C31389" w:rsidRDefault="00561FBD" w14:paraId="0E3FBF66" w14:textId="77777777">
            <w:pPr>
              <w:pStyle w:val="TableParagraph"/>
              <w:ind w:left="106" w:right="73"/>
              <w:jc w:val="center"/>
              <w:rPr>
                <w:sz w:val="17"/>
              </w:rPr>
            </w:pPr>
            <w:r>
              <w:rPr>
                <w:spacing w:val="-4"/>
                <w:sz w:val="17"/>
              </w:rPr>
              <w:t>10.8</w:t>
            </w:r>
          </w:p>
        </w:tc>
        <w:tc>
          <w:tcPr>
            <w:tcW w:w="631" w:type="dxa"/>
            <w:tcBorders>
              <w:top w:val="single" w:color="DCDDDE" w:sz="4" w:space="0"/>
              <w:bottom w:val="single" w:color="DCDDDE" w:sz="4" w:space="0"/>
            </w:tcBorders>
          </w:tcPr>
          <w:p w:rsidR="00C31389" w:rsidRDefault="00561FBD" w14:paraId="3E9E5C62" w14:textId="77777777">
            <w:pPr>
              <w:pStyle w:val="TableParagraph"/>
              <w:ind w:right="132"/>
              <w:jc w:val="right"/>
              <w:rPr>
                <w:sz w:val="17"/>
              </w:rPr>
            </w:pPr>
            <w:r>
              <w:rPr>
                <w:spacing w:val="-4"/>
                <w:sz w:val="17"/>
              </w:rPr>
              <w:t>10.0</w:t>
            </w:r>
          </w:p>
        </w:tc>
        <w:tc>
          <w:tcPr>
            <w:tcW w:w="631" w:type="dxa"/>
            <w:tcBorders>
              <w:top w:val="single" w:color="DCDDDE" w:sz="4" w:space="0"/>
              <w:bottom w:val="single" w:color="DCDDDE" w:sz="4" w:space="0"/>
            </w:tcBorders>
          </w:tcPr>
          <w:p w:rsidR="00C31389" w:rsidRDefault="00561FBD" w14:paraId="5C4AFB82" w14:textId="77777777">
            <w:pPr>
              <w:pStyle w:val="TableParagraph"/>
              <w:ind w:right="133"/>
              <w:jc w:val="right"/>
              <w:rPr>
                <w:sz w:val="17"/>
              </w:rPr>
            </w:pPr>
            <w:r>
              <w:rPr>
                <w:spacing w:val="-4"/>
                <w:sz w:val="17"/>
              </w:rPr>
              <w:t>10.5</w:t>
            </w:r>
          </w:p>
        </w:tc>
        <w:tc>
          <w:tcPr>
            <w:tcW w:w="631" w:type="dxa"/>
            <w:tcBorders>
              <w:top w:val="single" w:color="DCDDDE" w:sz="4" w:space="0"/>
              <w:bottom w:val="single" w:color="DCDDDE" w:sz="4" w:space="0"/>
            </w:tcBorders>
          </w:tcPr>
          <w:p w:rsidR="00C31389" w:rsidRDefault="00561FBD" w14:paraId="439F973F" w14:textId="77777777">
            <w:pPr>
              <w:pStyle w:val="TableParagraph"/>
              <w:ind w:left="106" w:right="79"/>
              <w:jc w:val="center"/>
              <w:rPr>
                <w:sz w:val="17"/>
              </w:rPr>
            </w:pPr>
            <w:r>
              <w:rPr>
                <w:spacing w:val="-4"/>
                <w:sz w:val="17"/>
              </w:rPr>
              <w:t>10.0</w:t>
            </w:r>
          </w:p>
        </w:tc>
        <w:tc>
          <w:tcPr>
            <w:tcW w:w="631" w:type="dxa"/>
            <w:tcBorders>
              <w:top w:val="single" w:color="DCDDDE" w:sz="4" w:space="0"/>
              <w:bottom w:val="single" w:color="DCDDDE" w:sz="4" w:space="0"/>
            </w:tcBorders>
          </w:tcPr>
          <w:p w:rsidR="00C31389" w:rsidRDefault="00561FBD" w14:paraId="5C7A30BD" w14:textId="77777777">
            <w:pPr>
              <w:pStyle w:val="TableParagraph"/>
              <w:ind w:right="135"/>
              <w:jc w:val="right"/>
              <w:rPr>
                <w:sz w:val="17"/>
              </w:rPr>
            </w:pPr>
            <w:r>
              <w:rPr>
                <w:spacing w:val="-5"/>
                <w:sz w:val="17"/>
              </w:rPr>
              <w:t>9.6</w:t>
            </w:r>
          </w:p>
        </w:tc>
        <w:tc>
          <w:tcPr>
            <w:tcW w:w="613" w:type="dxa"/>
            <w:tcBorders>
              <w:top w:val="single" w:color="DCDDDE" w:sz="4" w:space="0"/>
              <w:bottom w:val="single" w:color="DCDDDE" w:sz="4" w:space="0"/>
            </w:tcBorders>
          </w:tcPr>
          <w:p w:rsidR="00C31389" w:rsidRDefault="00561FBD" w14:paraId="56ACAF3B" w14:textId="77777777">
            <w:pPr>
              <w:pStyle w:val="TableParagraph"/>
              <w:ind w:right="118"/>
              <w:jc w:val="right"/>
              <w:rPr>
                <w:sz w:val="17"/>
              </w:rPr>
            </w:pPr>
            <w:r>
              <w:rPr>
                <w:spacing w:val="-5"/>
                <w:sz w:val="17"/>
              </w:rPr>
              <w:t>9.4</w:t>
            </w:r>
          </w:p>
        </w:tc>
      </w:tr>
      <w:tr w:rsidR="00C31389" w14:paraId="78BEC0A1" w14:textId="77777777">
        <w:trPr>
          <w:trHeight w:val="275"/>
        </w:trPr>
        <w:tc>
          <w:tcPr>
            <w:tcW w:w="1172" w:type="dxa"/>
            <w:tcBorders>
              <w:top w:val="single" w:color="DCDDDE" w:sz="4" w:space="0"/>
              <w:bottom w:val="single" w:color="DCDDDE" w:sz="4" w:space="0"/>
            </w:tcBorders>
          </w:tcPr>
          <w:p w:rsidR="00C31389" w:rsidRDefault="00561FBD" w14:paraId="4729560A" w14:textId="77777777">
            <w:pPr>
              <w:pStyle w:val="TableParagraph"/>
              <w:ind w:left="108"/>
              <w:rPr>
                <w:sz w:val="17"/>
              </w:rPr>
            </w:pPr>
            <w:r>
              <w:rPr>
                <w:spacing w:val="-5"/>
                <w:sz w:val="17"/>
              </w:rPr>
              <w:t>FS</w:t>
            </w:r>
          </w:p>
        </w:tc>
        <w:tc>
          <w:tcPr>
            <w:tcW w:w="1183" w:type="dxa"/>
            <w:tcBorders>
              <w:top w:val="single" w:color="DCDDDE" w:sz="4" w:space="0"/>
              <w:bottom w:val="single" w:color="DCDDDE" w:sz="4" w:space="0"/>
            </w:tcBorders>
          </w:tcPr>
          <w:p w:rsidR="00C31389" w:rsidRDefault="00561FBD" w14:paraId="17D69CCB" w14:textId="77777777">
            <w:pPr>
              <w:pStyle w:val="TableParagraph"/>
              <w:ind w:right="194"/>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1F49E573" w14:textId="77777777">
            <w:pPr>
              <w:pStyle w:val="TableParagraph"/>
              <w:ind w:right="139"/>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70F42E1D"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6299F75C" w14:textId="77777777">
            <w:pPr>
              <w:pStyle w:val="TableParagraph"/>
              <w:ind w:right="128"/>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7B362C2" w14:textId="77777777">
            <w:pPr>
              <w:pStyle w:val="TableParagraph"/>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47E07A41" w14:textId="77777777">
            <w:pPr>
              <w:pStyle w:val="TableParagraph"/>
              <w:ind w:left="245"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09BED7EC" w14:textId="77777777">
            <w:pPr>
              <w:pStyle w:val="TableParagraph"/>
              <w:ind w:left="246" w:right="118"/>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796E3712" w14:textId="77777777">
            <w:pPr>
              <w:pStyle w:val="TableParagraph"/>
              <w:ind w:right="132"/>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1443B28A" w14:textId="77777777">
            <w:pPr>
              <w:pStyle w:val="TableParagraph"/>
              <w:ind w:right="133"/>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4251B7F" w14:textId="77777777">
            <w:pPr>
              <w:pStyle w:val="TableParagraph"/>
              <w:ind w:left="238"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1E9C95EE" w14:textId="77777777">
            <w:pPr>
              <w:pStyle w:val="TableParagraph"/>
              <w:ind w:right="135"/>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7830872D" w14:textId="77777777">
            <w:pPr>
              <w:pStyle w:val="TableParagraph"/>
              <w:ind w:right="118"/>
              <w:jc w:val="right"/>
              <w:rPr>
                <w:sz w:val="17"/>
              </w:rPr>
            </w:pPr>
            <w:r>
              <w:rPr>
                <w:spacing w:val="-5"/>
                <w:sz w:val="17"/>
              </w:rPr>
              <w:t>0.0</w:t>
            </w:r>
          </w:p>
        </w:tc>
      </w:tr>
      <w:tr w:rsidR="00C31389" w14:paraId="477AF87B" w14:textId="77777777">
        <w:trPr>
          <w:trHeight w:val="275"/>
        </w:trPr>
        <w:tc>
          <w:tcPr>
            <w:tcW w:w="1172" w:type="dxa"/>
            <w:tcBorders>
              <w:top w:val="single" w:color="DCDDDE" w:sz="4" w:space="0"/>
              <w:bottom w:val="single" w:color="DCDDDE" w:sz="4" w:space="0"/>
            </w:tcBorders>
          </w:tcPr>
          <w:p w:rsidR="00C31389" w:rsidRDefault="00561FBD" w14:paraId="48F0E749" w14:textId="77777777">
            <w:pPr>
              <w:pStyle w:val="TableParagraph"/>
              <w:ind w:left="108"/>
              <w:rPr>
                <w:sz w:val="17"/>
              </w:rPr>
            </w:pPr>
            <w:r>
              <w:rPr>
                <w:spacing w:val="-4"/>
                <w:sz w:val="17"/>
              </w:rPr>
              <w:t>BROs</w:t>
            </w:r>
          </w:p>
        </w:tc>
        <w:tc>
          <w:tcPr>
            <w:tcW w:w="1183" w:type="dxa"/>
            <w:tcBorders>
              <w:top w:val="single" w:color="DCDDDE" w:sz="4" w:space="0"/>
              <w:bottom w:val="single" w:color="DCDDDE" w:sz="4" w:space="0"/>
            </w:tcBorders>
          </w:tcPr>
          <w:p w:rsidR="00C31389" w:rsidRDefault="00561FBD" w14:paraId="5CE5ACAA" w14:textId="77777777">
            <w:pPr>
              <w:pStyle w:val="TableParagraph"/>
              <w:ind w:right="194"/>
              <w:jc w:val="right"/>
              <w:rPr>
                <w:sz w:val="17"/>
              </w:rPr>
            </w:pPr>
            <w:r>
              <w:rPr>
                <w:spacing w:val="-5"/>
                <w:sz w:val="17"/>
              </w:rPr>
              <w:t>7.9</w:t>
            </w:r>
          </w:p>
        </w:tc>
        <w:tc>
          <w:tcPr>
            <w:tcW w:w="712" w:type="dxa"/>
            <w:tcBorders>
              <w:top w:val="single" w:color="DCDDDE" w:sz="4" w:space="0"/>
              <w:bottom w:val="single" w:color="DCDDDE" w:sz="4" w:space="0"/>
            </w:tcBorders>
          </w:tcPr>
          <w:p w:rsidR="00C31389" w:rsidRDefault="00561FBD" w14:paraId="721DEB18" w14:textId="77777777">
            <w:pPr>
              <w:pStyle w:val="TableParagraph"/>
              <w:ind w:right="139"/>
              <w:jc w:val="right"/>
              <w:rPr>
                <w:sz w:val="17"/>
              </w:rPr>
            </w:pPr>
            <w:r>
              <w:rPr>
                <w:spacing w:val="-5"/>
                <w:sz w:val="17"/>
              </w:rPr>
              <w:t>8.2</w:t>
            </w:r>
          </w:p>
        </w:tc>
        <w:tc>
          <w:tcPr>
            <w:tcW w:w="644" w:type="dxa"/>
            <w:tcBorders>
              <w:top w:val="single" w:color="DCDDDE" w:sz="4" w:space="0"/>
              <w:bottom w:val="single" w:color="DCDDDE" w:sz="4" w:space="0"/>
            </w:tcBorders>
          </w:tcPr>
          <w:p w:rsidR="00C31389" w:rsidRDefault="00561FBD" w14:paraId="00D0E2CC" w14:textId="77777777">
            <w:pPr>
              <w:pStyle w:val="TableParagraph"/>
              <w:ind w:right="127"/>
              <w:jc w:val="right"/>
              <w:rPr>
                <w:sz w:val="17"/>
              </w:rPr>
            </w:pPr>
            <w:r>
              <w:rPr>
                <w:spacing w:val="-5"/>
                <w:sz w:val="17"/>
              </w:rPr>
              <w:t>8.6</w:t>
            </w:r>
          </w:p>
        </w:tc>
        <w:tc>
          <w:tcPr>
            <w:tcW w:w="631" w:type="dxa"/>
            <w:tcBorders>
              <w:top w:val="single" w:color="DCDDDE" w:sz="4" w:space="0"/>
              <w:bottom w:val="single" w:color="DCDDDE" w:sz="4" w:space="0"/>
            </w:tcBorders>
          </w:tcPr>
          <w:p w:rsidR="00C31389" w:rsidRDefault="00561FBD" w14:paraId="68994EF3" w14:textId="77777777">
            <w:pPr>
              <w:pStyle w:val="TableParagraph"/>
              <w:ind w:right="128"/>
              <w:jc w:val="right"/>
              <w:rPr>
                <w:sz w:val="17"/>
              </w:rPr>
            </w:pPr>
            <w:r>
              <w:rPr>
                <w:spacing w:val="-5"/>
                <w:sz w:val="17"/>
              </w:rPr>
              <w:t>8.9</w:t>
            </w:r>
          </w:p>
        </w:tc>
        <w:tc>
          <w:tcPr>
            <w:tcW w:w="631" w:type="dxa"/>
            <w:tcBorders>
              <w:top w:val="single" w:color="DCDDDE" w:sz="4" w:space="0"/>
              <w:bottom w:val="single" w:color="DCDDDE" w:sz="4" w:space="0"/>
            </w:tcBorders>
          </w:tcPr>
          <w:p w:rsidR="00C31389" w:rsidRDefault="00561FBD" w14:paraId="5C76ABE0" w14:textId="77777777">
            <w:pPr>
              <w:pStyle w:val="TableParagraph"/>
              <w:ind w:right="129"/>
              <w:jc w:val="right"/>
              <w:rPr>
                <w:sz w:val="17"/>
              </w:rPr>
            </w:pPr>
            <w:r>
              <w:rPr>
                <w:spacing w:val="-5"/>
                <w:sz w:val="17"/>
              </w:rPr>
              <w:t>9.3</w:t>
            </w:r>
          </w:p>
        </w:tc>
        <w:tc>
          <w:tcPr>
            <w:tcW w:w="631" w:type="dxa"/>
            <w:tcBorders>
              <w:top w:val="single" w:color="DCDDDE" w:sz="4" w:space="0"/>
              <w:bottom w:val="single" w:color="DCDDDE" w:sz="4" w:space="0"/>
            </w:tcBorders>
          </w:tcPr>
          <w:p w:rsidR="00C31389" w:rsidRDefault="00561FBD" w14:paraId="4FAC8F62" w14:textId="77777777">
            <w:pPr>
              <w:pStyle w:val="TableParagraph"/>
              <w:ind w:left="245"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2A0588BB" w14:textId="77777777">
            <w:pPr>
              <w:pStyle w:val="TableParagraph"/>
              <w:ind w:left="106" w:right="73"/>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315B3784" w14:textId="77777777">
            <w:pPr>
              <w:pStyle w:val="TableParagraph"/>
              <w:ind w:right="132"/>
              <w:jc w:val="right"/>
              <w:rPr>
                <w:sz w:val="17"/>
              </w:rPr>
            </w:pPr>
            <w:r>
              <w:rPr>
                <w:spacing w:val="-4"/>
                <w:sz w:val="17"/>
              </w:rPr>
              <w:t>10.6</w:t>
            </w:r>
          </w:p>
        </w:tc>
        <w:tc>
          <w:tcPr>
            <w:tcW w:w="631" w:type="dxa"/>
            <w:tcBorders>
              <w:top w:val="single" w:color="DCDDDE" w:sz="4" w:space="0"/>
              <w:bottom w:val="single" w:color="DCDDDE" w:sz="4" w:space="0"/>
            </w:tcBorders>
          </w:tcPr>
          <w:p w:rsidR="00C31389" w:rsidRDefault="00561FBD" w14:paraId="136D84AB" w14:textId="77777777">
            <w:pPr>
              <w:pStyle w:val="TableParagraph"/>
              <w:ind w:right="133"/>
              <w:jc w:val="right"/>
              <w:rPr>
                <w:sz w:val="17"/>
              </w:rPr>
            </w:pPr>
            <w:r>
              <w:rPr>
                <w:spacing w:val="-4"/>
                <w:sz w:val="17"/>
              </w:rPr>
              <w:t>11.1</w:t>
            </w:r>
          </w:p>
        </w:tc>
        <w:tc>
          <w:tcPr>
            <w:tcW w:w="631" w:type="dxa"/>
            <w:tcBorders>
              <w:top w:val="single" w:color="DCDDDE" w:sz="4" w:space="0"/>
              <w:bottom w:val="single" w:color="DCDDDE" w:sz="4" w:space="0"/>
            </w:tcBorders>
          </w:tcPr>
          <w:p w:rsidR="00C31389" w:rsidRDefault="00561FBD" w14:paraId="6B87530F" w14:textId="77777777">
            <w:pPr>
              <w:pStyle w:val="TableParagraph"/>
              <w:ind w:left="106" w:right="79"/>
              <w:jc w:val="center"/>
              <w:rPr>
                <w:sz w:val="17"/>
              </w:rPr>
            </w:pPr>
            <w:r>
              <w:rPr>
                <w:spacing w:val="-4"/>
                <w:sz w:val="17"/>
              </w:rPr>
              <w:t>11.6</w:t>
            </w:r>
          </w:p>
        </w:tc>
        <w:tc>
          <w:tcPr>
            <w:tcW w:w="631" w:type="dxa"/>
            <w:tcBorders>
              <w:top w:val="single" w:color="DCDDDE" w:sz="4" w:space="0"/>
              <w:bottom w:val="single" w:color="DCDDDE" w:sz="4" w:space="0"/>
            </w:tcBorders>
          </w:tcPr>
          <w:p w:rsidR="00C31389" w:rsidRDefault="00561FBD" w14:paraId="418A5678" w14:textId="77777777">
            <w:pPr>
              <w:pStyle w:val="TableParagraph"/>
              <w:ind w:right="135"/>
              <w:jc w:val="right"/>
              <w:rPr>
                <w:sz w:val="17"/>
              </w:rPr>
            </w:pPr>
            <w:r>
              <w:rPr>
                <w:spacing w:val="-4"/>
                <w:sz w:val="17"/>
              </w:rPr>
              <w:t>12.1</w:t>
            </w:r>
          </w:p>
        </w:tc>
        <w:tc>
          <w:tcPr>
            <w:tcW w:w="613" w:type="dxa"/>
            <w:tcBorders>
              <w:top w:val="single" w:color="DCDDDE" w:sz="4" w:space="0"/>
              <w:bottom w:val="single" w:color="DCDDDE" w:sz="4" w:space="0"/>
            </w:tcBorders>
          </w:tcPr>
          <w:p w:rsidR="00C31389" w:rsidRDefault="00561FBD" w14:paraId="73240259" w14:textId="77777777">
            <w:pPr>
              <w:pStyle w:val="TableParagraph"/>
              <w:ind w:right="118"/>
              <w:jc w:val="right"/>
              <w:rPr>
                <w:sz w:val="17"/>
              </w:rPr>
            </w:pPr>
            <w:r>
              <w:rPr>
                <w:spacing w:val="-4"/>
                <w:sz w:val="17"/>
              </w:rPr>
              <w:t>13.5</w:t>
            </w:r>
          </w:p>
        </w:tc>
      </w:tr>
      <w:tr w:rsidR="00C31389" w14:paraId="0D9BA648" w14:textId="77777777">
        <w:trPr>
          <w:trHeight w:val="275"/>
        </w:trPr>
        <w:tc>
          <w:tcPr>
            <w:tcW w:w="9372" w:type="dxa"/>
            <w:gridSpan w:val="13"/>
            <w:tcBorders>
              <w:top w:val="single" w:color="DCDDDE" w:sz="4" w:space="0"/>
              <w:bottom w:val="single" w:color="DCDDDE" w:sz="4" w:space="0"/>
            </w:tcBorders>
            <w:shd w:val="clear" w:color="auto" w:fill="BEBEBE"/>
          </w:tcPr>
          <w:p w:rsidR="00C31389" w:rsidRDefault="00561FBD" w14:paraId="539B731B" w14:textId="77777777">
            <w:pPr>
              <w:pStyle w:val="TableParagraph"/>
              <w:ind w:left="108"/>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131E29FF" w14:textId="77777777">
        <w:trPr>
          <w:trHeight w:val="275"/>
        </w:trPr>
        <w:tc>
          <w:tcPr>
            <w:tcW w:w="1172" w:type="dxa"/>
            <w:tcBorders>
              <w:top w:val="single" w:color="DCDDDE" w:sz="4" w:space="0"/>
              <w:bottom w:val="single" w:color="DCDDDE" w:sz="4" w:space="0"/>
            </w:tcBorders>
          </w:tcPr>
          <w:p w:rsidR="00C31389" w:rsidRDefault="00561FBD" w14:paraId="2746D8F9" w14:textId="77777777">
            <w:pPr>
              <w:pStyle w:val="TableParagraph"/>
              <w:ind w:left="108"/>
              <w:rPr>
                <w:sz w:val="17"/>
              </w:rPr>
            </w:pPr>
            <w:r>
              <w:rPr>
                <w:spacing w:val="-5"/>
                <w:sz w:val="17"/>
              </w:rPr>
              <w:t>EE</w:t>
            </w:r>
          </w:p>
        </w:tc>
        <w:tc>
          <w:tcPr>
            <w:tcW w:w="1183" w:type="dxa"/>
            <w:tcBorders>
              <w:top w:val="single" w:color="DCDDDE" w:sz="4" w:space="0"/>
              <w:bottom w:val="single" w:color="DCDDDE" w:sz="4" w:space="0"/>
            </w:tcBorders>
          </w:tcPr>
          <w:p w:rsidR="00C31389" w:rsidRDefault="00561FBD" w14:paraId="63FE8080" w14:textId="77777777">
            <w:pPr>
              <w:pStyle w:val="TableParagraph"/>
              <w:ind w:right="194"/>
              <w:jc w:val="right"/>
              <w:rPr>
                <w:sz w:val="17"/>
              </w:rPr>
            </w:pPr>
            <w:r>
              <w:rPr>
                <w:spacing w:val="-4"/>
                <w:sz w:val="17"/>
              </w:rPr>
              <w:t>10.8</w:t>
            </w:r>
          </w:p>
        </w:tc>
        <w:tc>
          <w:tcPr>
            <w:tcW w:w="712" w:type="dxa"/>
            <w:tcBorders>
              <w:top w:val="single" w:color="DCDDDE" w:sz="4" w:space="0"/>
              <w:bottom w:val="single" w:color="DCDDDE" w:sz="4" w:space="0"/>
            </w:tcBorders>
          </w:tcPr>
          <w:p w:rsidR="00C31389" w:rsidRDefault="00561FBD" w14:paraId="3594A99C" w14:textId="77777777">
            <w:pPr>
              <w:pStyle w:val="TableParagraph"/>
              <w:ind w:right="139"/>
              <w:jc w:val="right"/>
              <w:rPr>
                <w:sz w:val="17"/>
              </w:rPr>
            </w:pPr>
            <w:r>
              <w:rPr>
                <w:spacing w:val="-4"/>
                <w:sz w:val="17"/>
              </w:rPr>
              <w:t>13.1</w:t>
            </w:r>
          </w:p>
        </w:tc>
        <w:tc>
          <w:tcPr>
            <w:tcW w:w="644" w:type="dxa"/>
            <w:tcBorders>
              <w:top w:val="single" w:color="DCDDDE" w:sz="4" w:space="0"/>
              <w:bottom w:val="single" w:color="DCDDDE" w:sz="4" w:space="0"/>
            </w:tcBorders>
          </w:tcPr>
          <w:p w:rsidR="00C31389" w:rsidRDefault="00561FBD" w14:paraId="233B89DC" w14:textId="77777777">
            <w:pPr>
              <w:pStyle w:val="TableParagraph"/>
              <w:ind w:right="127"/>
              <w:jc w:val="right"/>
              <w:rPr>
                <w:sz w:val="17"/>
              </w:rPr>
            </w:pPr>
            <w:r>
              <w:rPr>
                <w:spacing w:val="-4"/>
                <w:sz w:val="17"/>
              </w:rPr>
              <w:t>13.4</w:t>
            </w:r>
          </w:p>
        </w:tc>
        <w:tc>
          <w:tcPr>
            <w:tcW w:w="631" w:type="dxa"/>
            <w:tcBorders>
              <w:top w:val="single" w:color="DCDDDE" w:sz="4" w:space="0"/>
              <w:bottom w:val="single" w:color="DCDDDE" w:sz="4" w:space="0"/>
            </w:tcBorders>
          </w:tcPr>
          <w:p w:rsidR="00C31389" w:rsidRDefault="00561FBD" w14:paraId="3E247BA3" w14:textId="77777777">
            <w:pPr>
              <w:pStyle w:val="TableParagraph"/>
              <w:ind w:right="128"/>
              <w:jc w:val="right"/>
              <w:rPr>
                <w:sz w:val="17"/>
              </w:rPr>
            </w:pPr>
            <w:r>
              <w:rPr>
                <w:spacing w:val="-4"/>
                <w:sz w:val="17"/>
              </w:rPr>
              <w:t>12.7</w:t>
            </w:r>
          </w:p>
        </w:tc>
        <w:tc>
          <w:tcPr>
            <w:tcW w:w="631" w:type="dxa"/>
            <w:tcBorders>
              <w:top w:val="single" w:color="DCDDDE" w:sz="4" w:space="0"/>
              <w:bottom w:val="single" w:color="DCDDDE" w:sz="4" w:space="0"/>
            </w:tcBorders>
          </w:tcPr>
          <w:p w:rsidR="00C31389" w:rsidRDefault="00561FBD" w14:paraId="18A7F755" w14:textId="77777777">
            <w:pPr>
              <w:pStyle w:val="TableParagraph"/>
              <w:ind w:right="129"/>
              <w:jc w:val="right"/>
              <w:rPr>
                <w:sz w:val="17"/>
              </w:rPr>
            </w:pPr>
            <w:r>
              <w:rPr>
                <w:spacing w:val="-4"/>
                <w:sz w:val="17"/>
              </w:rPr>
              <w:t>12.1</w:t>
            </w:r>
          </w:p>
        </w:tc>
        <w:tc>
          <w:tcPr>
            <w:tcW w:w="631" w:type="dxa"/>
            <w:tcBorders>
              <w:top w:val="single" w:color="DCDDDE" w:sz="4" w:space="0"/>
              <w:bottom w:val="single" w:color="DCDDDE" w:sz="4" w:space="0"/>
            </w:tcBorders>
          </w:tcPr>
          <w:p w:rsidR="00C31389" w:rsidRDefault="00561FBD" w14:paraId="7EC8268E" w14:textId="77777777">
            <w:pPr>
              <w:pStyle w:val="TableParagraph"/>
              <w:ind w:left="106" w:right="71"/>
              <w:jc w:val="center"/>
              <w:rPr>
                <w:sz w:val="17"/>
              </w:rPr>
            </w:pPr>
            <w:r>
              <w:rPr>
                <w:spacing w:val="-4"/>
                <w:sz w:val="17"/>
              </w:rPr>
              <w:t>11.1</w:t>
            </w:r>
          </w:p>
        </w:tc>
        <w:tc>
          <w:tcPr>
            <w:tcW w:w="631" w:type="dxa"/>
            <w:tcBorders>
              <w:top w:val="single" w:color="DCDDDE" w:sz="4" w:space="0"/>
              <w:bottom w:val="single" w:color="DCDDDE" w:sz="4" w:space="0"/>
            </w:tcBorders>
          </w:tcPr>
          <w:p w:rsidR="00C31389" w:rsidRDefault="00561FBD" w14:paraId="5F7C1C01" w14:textId="77777777">
            <w:pPr>
              <w:pStyle w:val="TableParagraph"/>
              <w:ind w:left="106" w:right="73"/>
              <w:jc w:val="center"/>
              <w:rPr>
                <w:sz w:val="17"/>
              </w:rPr>
            </w:pPr>
            <w:r>
              <w:rPr>
                <w:spacing w:val="-4"/>
                <w:sz w:val="17"/>
              </w:rPr>
              <w:t>10.8</w:t>
            </w:r>
          </w:p>
        </w:tc>
        <w:tc>
          <w:tcPr>
            <w:tcW w:w="631" w:type="dxa"/>
            <w:tcBorders>
              <w:top w:val="single" w:color="DCDDDE" w:sz="4" w:space="0"/>
              <w:bottom w:val="single" w:color="DCDDDE" w:sz="4" w:space="0"/>
            </w:tcBorders>
          </w:tcPr>
          <w:p w:rsidR="00C31389" w:rsidRDefault="00561FBD" w14:paraId="374B4D79" w14:textId="77777777">
            <w:pPr>
              <w:pStyle w:val="TableParagraph"/>
              <w:ind w:right="131"/>
              <w:jc w:val="right"/>
              <w:rPr>
                <w:sz w:val="17"/>
              </w:rPr>
            </w:pPr>
            <w:r>
              <w:rPr>
                <w:spacing w:val="-4"/>
                <w:sz w:val="17"/>
              </w:rPr>
              <w:t>10.0</w:t>
            </w:r>
          </w:p>
        </w:tc>
        <w:tc>
          <w:tcPr>
            <w:tcW w:w="631" w:type="dxa"/>
            <w:tcBorders>
              <w:top w:val="single" w:color="DCDDDE" w:sz="4" w:space="0"/>
              <w:bottom w:val="single" w:color="DCDDDE" w:sz="4" w:space="0"/>
            </w:tcBorders>
          </w:tcPr>
          <w:p w:rsidR="00C31389" w:rsidRDefault="00561FBD" w14:paraId="5EE7DF24" w14:textId="77777777">
            <w:pPr>
              <w:pStyle w:val="TableParagraph"/>
              <w:ind w:right="133"/>
              <w:jc w:val="right"/>
              <w:rPr>
                <w:sz w:val="17"/>
              </w:rPr>
            </w:pPr>
            <w:r>
              <w:rPr>
                <w:spacing w:val="-4"/>
                <w:sz w:val="17"/>
              </w:rPr>
              <w:t>10.5</w:t>
            </w:r>
          </w:p>
        </w:tc>
        <w:tc>
          <w:tcPr>
            <w:tcW w:w="631" w:type="dxa"/>
            <w:tcBorders>
              <w:top w:val="single" w:color="DCDDDE" w:sz="4" w:space="0"/>
              <w:bottom w:val="single" w:color="DCDDDE" w:sz="4" w:space="0"/>
            </w:tcBorders>
          </w:tcPr>
          <w:p w:rsidR="00C31389" w:rsidRDefault="00561FBD" w14:paraId="00684D29" w14:textId="77777777">
            <w:pPr>
              <w:pStyle w:val="TableParagraph"/>
              <w:ind w:left="106" w:right="79"/>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3C64D2A5" w14:textId="77777777">
            <w:pPr>
              <w:pStyle w:val="TableParagraph"/>
              <w:ind w:right="135"/>
              <w:jc w:val="right"/>
              <w:rPr>
                <w:sz w:val="17"/>
              </w:rPr>
            </w:pPr>
            <w:r>
              <w:rPr>
                <w:spacing w:val="-5"/>
                <w:sz w:val="17"/>
              </w:rPr>
              <w:t>9.7</w:t>
            </w:r>
          </w:p>
        </w:tc>
        <w:tc>
          <w:tcPr>
            <w:tcW w:w="613" w:type="dxa"/>
            <w:tcBorders>
              <w:top w:val="single" w:color="DCDDDE" w:sz="4" w:space="0"/>
              <w:bottom w:val="single" w:color="DCDDDE" w:sz="4" w:space="0"/>
            </w:tcBorders>
          </w:tcPr>
          <w:p w:rsidR="00C31389" w:rsidRDefault="00561FBD" w14:paraId="02F1D8FE" w14:textId="77777777">
            <w:pPr>
              <w:pStyle w:val="TableParagraph"/>
              <w:ind w:right="118"/>
              <w:jc w:val="right"/>
              <w:rPr>
                <w:sz w:val="17"/>
              </w:rPr>
            </w:pPr>
            <w:r>
              <w:rPr>
                <w:spacing w:val="-5"/>
                <w:sz w:val="17"/>
              </w:rPr>
              <w:t>9.4</w:t>
            </w:r>
          </w:p>
        </w:tc>
      </w:tr>
      <w:tr w:rsidR="00C31389" w14:paraId="229D6D23" w14:textId="77777777">
        <w:trPr>
          <w:trHeight w:val="274"/>
        </w:trPr>
        <w:tc>
          <w:tcPr>
            <w:tcW w:w="1172" w:type="dxa"/>
            <w:tcBorders>
              <w:top w:val="single" w:color="DCDDDE" w:sz="4" w:space="0"/>
              <w:bottom w:val="single" w:color="DCDDDE" w:sz="4" w:space="0"/>
            </w:tcBorders>
          </w:tcPr>
          <w:p w:rsidR="00C31389" w:rsidRDefault="00561FBD" w14:paraId="073DC514" w14:textId="77777777">
            <w:pPr>
              <w:pStyle w:val="TableParagraph"/>
              <w:ind w:left="108"/>
              <w:rPr>
                <w:sz w:val="17"/>
              </w:rPr>
            </w:pPr>
            <w:r>
              <w:rPr>
                <w:spacing w:val="-5"/>
                <w:sz w:val="17"/>
              </w:rPr>
              <w:t>FS</w:t>
            </w:r>
          </w:p>
        </w:tc>
        <w:tc>
          <w:tcPr>
            <w:tcW w:w="1183" w:type="dxa"/>
            <w:tcBorders>
              <w:top w:val="single" w:color="DCDDDE" w:sz="4" w:space="0"/>
              <w:bottom w:val="single" w:color="DCDDDE" w:sz="4" w:space="0"/>
            </w:tcBorders>
          </w:tcPr>
          <w:p w:rsidR="00C31389" w:rsidRDefault="00561FBD" w14:paraId="67BE458A" w14:textId="77777777">
            <w:pPr>
              <w:pStyle w:val="TableParagraph"/>
              <w:ind w:right="194"/>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097E9E98" w14:textId="77777777">
            <w:pPr>
              <w:pStyle w:val="TableParagraph"/>
              <w:ind w:right="139"/>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5996F06E" w14:textId="77777777">
            <w:pPr>
              <w:pStyle w:val="TableParagraph"/>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E92832E" w14:textId="77777777">
            <w:pPr>
              <w:pStyle w:val="TableParagraph"/>
              <w:ind w:right="128"/>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25BF3FAC" w14:textId="77777777">
            <w:pPr>
              <w:pStyle w:val="TableParagraph"/>
              <w:ind w:right="129"/>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4FA79A9" w14:textId="77777777">
            <w:pPr>
              <w:pStyle w:val="TableParagraph"/>
              <w:ind w:left="245"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081A0983" w14:textId="77777777">
            <w:pPr>
              <w:pStyle w:val="TableParagraph"/>
              <w:ind w:left="246" w:right="118"/>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69EB9425" w14:textId="77777777">
            <w:pPr>
              <w:pStyle w:val="TableParagraph"/>
              <w:ind w:right="132"/>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D9F3A11" w14:textId="77777777">
            <w:pPr>
              <w:pStyle w:val="TableParagraph"/>
              <w:ind w:right="133"/>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308363DC" w14:textId="77777777">
            <w:pPr>
              <w:pStyle w:val="TableParagraph"/>
              <w:ind w:left="238"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B9AC5EA" w14:textId="77777777">
            <w:pPr>
              <w:pStyle w:val="TableParagraph"/>
              <w:ind w:right="135"/>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3BA7776D" w14:textId="77777777">
            <w:pPr>
              <w:pStyle w:val="TableParagraph"/>
              <w:ind w:right="118"/>
              <w:jc w:val="right"/>
              <w:rPr>
                <w:sz w:val="17"/>
              </w:rPr>
            </w:pPr>
            <w:r>
              <w:rPr>
                <w:spacing w:val="-5"/>
                <w:sz w:val="17"/>
              </w:rPr>
              <w:t>0.0</w:t>
            </w:r>
          </w:p>
        </w:tc>
      </w:tr>
      <w:tr w:rsidR="00C31389" w14:paraId="6A38E08D" w14:textId="77777777">
        <w:trPr>
          <w:trHeight w:val="275"/>
        </w:trPr>
        <w:tc>
          <w:tcPr>
            <w:tcW w:w="1172" w:type="dxa"/>
            <w:tcBorders>
              <w:top w:val="single" w:color="DCDDDE" w:sz="4" w:space="0"/>
              <w:bottom w:val="single" w:color="DCDDDE" w:sz="4" w:space="0"/>
            </w:tcBorders>
          </w:tcPr>
          <w:p w:rsidR="00C31389" w:rsidRDefault="00561FBD" w14:paraId="0C7097B5" w14:textId="77777777">
            <w:pPr>
              <w:pStyle w:val="TableParagraph"/>
              <w:spacing w:before="42"/>
              <w:ind w:left="108"/>
              <w:rPr>
                <w:sz w:val="17"/>
              </w:rPr>
            </w:pPr>
            <w:r>
              <w:rPr>
                <w:spacing w:val="-4"/>
                <w:sz w:val="17"/>
              </w:rPr>
              <w:t>BROs</w:t>
            </w:r>
          </w:p>
        </w:tc>
        <w:tc>
          <w:tcPr>
            <w:tcW w:w="1183" w:type="dxa"/>
            <w:tcBorders>
              <w:top w:val="single" w:color="DCDDDE" w:sz="4" w:space="0"/>
              <w:bottom w:val="single" w:color="DCDDDE" w:sz="4" w:space="0"/>
            </w:tcBorders>
          </w:tcPr>
          <w:p w:rsidR="00C31389" w:rsidRDefault="00561FBD" w14:paraId="5678B2E0" w14:textId="77777777">
            <w:pPr>
              <w:pStyle w:val="TableParagraph"/>
              <w:spacing w:before="42"/>
              <w:ind w:right="194"/>
              <w:jc w:val="right"/>
              <w:rPr>
                <w:sz w:val="17"/>
              </w:rPr>
            </w:pPr>
            <w:r>
              <w:rPr>
                <w:spacing w:val="-5"/>
                <w:sz w:val="17"/>
              </w:rPr>
              <w:t>7.9</w:t>
            </w:r>
          </w:p>
        </w:tc>
        <w:tc>
          <w:tcPr>
            <w:tcW w:w="712" w:type="dxa"/>
            <w:tcBorders>
              <w:top w:val="single" w:color="DCDDDE" w:sz="4" w:space="0"/>
              <w:bottom w:val="single" w:color="DCDDDE" w:sz="4" w:space="0"/>
            </w:tcBorders>
          </w:tcPr>
          <w:p w:rsidR="00C31389" w:rsidRDefault="00561FBD" w14:paraId="6F731716" w14:textId="77777777">
            <w:pPr>
              <w:pStyle w:val="TableParagraph"/>
              <w:spacing w:before="42"/>
              <w:ind w:right="139"/>
              <w:jc w:val="right"/>
              <w:rPr>
                <w:sz w:val="17"/>
              </w:rPr>
            </w:pPr>
            <w:r>
              <w:rPr>
                <w:spacing w:val="-5"/>
                <w:sz w:val="17"/>
              </w:rPr>
              <w:t>8.2</w:t>
            </w:r>
          </w:p>
        </w:tc>
        <w:tc>
          <w:tcPr>
            <w:tcW w:w="644" w:type="dxa"/>
            <w:tcBorders>
              <w:top w:val="single" w:color="DCDDDE" w:sz="4" w:space="0"/>
              <w:bottom w:val="single" w:color="DCDDDE" w:sz="4" w:space="0"/>
            </w:tcBorders>
          </w:tcPr>
          <w:p w:rsidR="00C31389" w:rsidRDefault="00561FBD" w14:paraId="2D498D6C" w14:textId="77777777">
            <w:pPr>
              <w:pStyle w:val="TableParagraph"/>
              <w:spacing w:before="42"/>
              <w:ind w:right="127"/>
              <w:jc w:val="right"/>
              <w:rPr>
                <w:sz w:val="17"/>
              </w:rPr>
            </w:pPr>
            <w:r>
              <w:rPr>
                <w:spacing w:val="-5"/>
                <w:sz w:val="17"/>
              </w:rPr>
              <w:t>8.6</w:t>
            </w:r>
          </w:p>
        </w:tc>
        <w:tc>
          <w:tcPr>
            <w:tcW w:w="631" w:type="dxa"/>
            <w:tcBorders>
              <w:top w:val="single" w:color="DCDDDE" w:sz="4" w:space="0"/>
              <w:bottom w:val="single" w:color="DCDDDE" w:sz="4" w:space="0"/>
            </w:tcBorders>
          </w:tcPr>
          <w:p w:rsidR="00C31389" w:rsidRDefault="00561FBD" w14:paraId="79C32765" w14:textId="77777777">
            <w:pPr>
              <w:pStyle w:val="TableParagraph"/>
              <w:spacing w:before="42"/>
              <w:ind w:right="128"/>
              <w:jc w:val="right"/>
              <w:rPr>
                <w:sz w:val="17"/>
              </w:rPr>
            </w:pPr>
            <w:r>
              <w:rPr>
                <w:spacing w:val="-5"/>
                <w:sz w:val="17"/>
              </w:rPr>
              <w:t>8.9</w:t>
            </w:r>
          </w:p>
        </w:tc>
        <w:tc>
          <w:tcPr>
            <w:tcW w:w="631" w:type="dxa"/>
            <w:tcBorders>
              <w:top w:val="single" w:color="DCDDDE" w:sz="4" w:space="0"/>
              <w:bottom w:val="single" w:color="DCDDDE" w:sz="4" w:space="0"/>
            </w:tcBorders>
          </w:tcPr>
          <w:p w:rsidR="00C31389" w:rsidRDefault="00561FBD" w14:paraId="4ECB529D" w14:textId="77777777">
            <w:pPr>
              <w:pStyle w:val="TableParagraph"/>
              <w:spacing w:before="42"/>
              <w:ind w:right="129"/>
              <w:jc w:val="right"/>
              <w:rPr>
                <w:sz w:val="17"/>
              </w:rPr>
            </w:pPr>
            <w:r>
              <w:rPr>
                <w:spacing w:val="-5"/>
                <w:sz w:val="17"/>
              </w:rPr>
              <w:t>9.3</w:t>
            </w:r>
          </w:p>
        </w:tc>
        <w:tc>
          <w:tcPr>
            <w:tcW w:w="631" w:type="dxa"/>
            <w:tcBorders>
              <w:top w:val="single" w:color="DCDDDE" w:sz="4" w:space="0"/>
              <w:bottom w:val="single" w:color="DCDDDE" w:sz="4" w:space="0"/>
            </w:tcBorders>
          </w:tcPr>
          <w:p w:rsidR="00C31389" w:rsidRDefault="00561FBD" w14:paraId="692D33DD" w14:textId="77777777">
            <w:pPr>
              <w:pStyle w:val="TableParagraph"/>
              <w:spacing w:before="42"/>
              <w:ind w:left="245"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062B9588" w14:textId="77777777">
            <w:pPr>
              <w:pStyle w:val="TableParagraph"/>
              <w:spacing w:before="42"/>
              <w:ind w:left="106" w:right="73"/>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511439A1" w14:textId="77777777">
            <w:pPr>
              <w:pStyle w:val="TableParagraph"/>
              <w:spacing w:before="42"/>
              <w:ind w:right="132"/>
              <w:jc w:val="right"/>
              <w:rPr>
                <w:sz w:val="17"/>
              </w:rPr>
            </w:pPr>
            <w:r>
              <w:rPr>
                <w:spacing w:val="-4"/>
                <w:sz w:val="17"/>
              </w:rPr>
              <w:t>10.6</w:t>
            </w:r>
          </w:p>
        </w:tc>
        <w:tc>
          <w:tcPr>
            <w:tcW w:w="631" w:type="dxa"/>
            <w:tcBorders>
              <w:top w:val="single" w:color="DCDDDE" w:sz="4" w:space="0"/>
              <w:bottom w:val="single" w:color="DCDDDE" w:sz="4" w:space="0"/>
            </w:tcBorders>
          </w:tcPr>
          <w:p w:rsidR="00C31389" w:rsidRDefault="00561FBD" w14:paraId="0FF3AA4F" w14:textId="77777777">
            <w:pPr>
              <w:pStyle w:val="TableParagraph"/>
              <w:spacing w:before="42"/>
              <w:ind w:right="133"/>
              <w:jc w:val="right"/>
              <w:rPr>
                <w:sz w:val="17"/>
              </w:rPr>
            </w:pPr>
            <w:r>
              <w:rPr>
                <w:spacing w:val="-4"/>
                <w:sz w:val="17"/>
              </w:rPr>
              <w:t>11.1</w:t>
            </w:r>
          </w:p>
        </w:tc>
        <w:tc>
          <w:tcPr>
            <w:tcW w:w="631" w:type="dxa"/>
            <w:tcBorders>
              <w:top w:val="single" w:color="DCDDDE" w:sz="4" w:space="0"/>
              <w:bottom w:val="single" w:color="DCDDDE" w:sz="4" w:space="0"/>
            </w:tcBorders>
          </w:tcPr>
          <w:p w:rsidR="00C31389" w:rsidRDefault="00561FBD" w14:paraId="11D963DB" w14:textId="77777777">
            <w:pPr>
              <w:pStyle w:val="TableParagraph"/>
              <w:spacing w:before="42"/>
              <w:ind w:left="106" w:right="79"/>
              <w:jc w:val="center"/>
              <w:rPr>
                <w:sz w:val="17"/>
              </w:rPr>
            </w:pPr>
            <w:r>
              <w:rPr>
                <w:spacing w:val="-4"/>
                <w:sz w:val="17"/>
              </w:rPr>
              <w:t>11.6</w:t>
            </w:r>
          </w:p>
        </w:tc>
        <w:tc>
          <w:tcPr>
            <w:tcW w:w="631" w:type="dxa"/>
            <w:tcBorders>
              <w:top w:val="single" w:color="DCDDDE" w:sz="4" w:space="0"/>
              <w:bottom w:val="single" w:color="DCDDDE" w:sz="4" w:space="0"/>
            </w:tcBorders>
          </w:tcPr>
          <w:p w:rsidR="00C31389" w:rsidRDefault="00561FBD" w14:paraId="5BD88327" w14:textId="77777777">
            <w:pPr>
              <w:pStyle w:val="TableParagraph"/>
              <w:spacing w:before="42"/>
              <w:ind w:right="135"/>
              <w:jc w:val="right"/>
              <w:rPr>
                <w:sz w:val="17"/>
              </w:rPr>
            </w:pPr>
            <w:r>
              <w:rPr>
                <w:spacing w:val="-4"/>
                <w:sz w:val="17"/>
              </w:rPr>
              <w:t>12.1</w:t>
            </w:r>
          </w:p>
        </w:tc>
        <w:tc>
          <w:tcPr>
            <w:tcW w:w="613" w:type="dxa"/>
            <w:tcBorders>
              <w:top w:val="single" w:color="DCDDDE" w:sz="4" w:space="0"/>
              <w:bottom w:val="single" w:color="DCDDDE" w:sz="4" w:space="0"/>
            </w:tcBorders>
          </w:tcPr>
          <w:p w:rsidR="00C31389" w:rsidRDefault="00561FBD" w14:paraId="1C2C4AA8" w14:textId="77777777">
            <w:pPr>
              <w:pStyle w:val="TableParagraph"/>
              <w:spacing w:before="42"/>
              <w:ind w:right="118"/>
              <w:jc w:val="right"/>
              <w:rPr>
                <w:sz w:val="17"/>
              </w:rPr>
            </w:pPr>
            <w:r>
              <w:rPr>
                <w:spacing w:val="-4"/>
                <w:sz w:val="17"/>
              </w:rPr>
              <w:t>13.5</w:t>
            </w:r>
          </w:p>
        </w:tc>
      </w:tr>
      <w:tr w:rsidR="00C31389" w14:paraId="0889F88C" w14:textId="77777777">
        <w:trPr>
          <w:trHeight w:val="276"/>
        </w:trPr>
        <w:tc>
          <w:tcPr>
            <w:tcW w:w="3711" w:type="dxa"/>
            <w:gridSpan w:val="4"/>
            <w:tcBorders>
              <w:top w:val="single" w:color="DCDDDE" w:sz="4" w:space="0"/>
              <w:bottom w:val="single" w:color="DCDDDE" w:sz="4" w:space="0"/>
            </w:tcBorders>
            <w:shd w:val="clear" w:color="auto" w:fill="BEBEBE"/>
          </w:tcPr>
          <w:p w:rsidR="00C31389" w:rsidRDefault="00561FBD" w14:paraId="230B730A" w14:textId="77777777">
            <w:pPr>
              <w:pStyle w:val="TableParagraph"/>
              <w:spacing w:before="42"/>
              <w:ind w:left="108" w:right="-58"/>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c>
          <w:tcPr>
            <w:tcW w:w="631" w:type="dxa"/>
            <w:tcBorders>
              <w:top w:val="single" w:color="DCDDDE" w:sz="4" w:space="0"/>
              <w:bottom w:val="single" w:color="DCDDDE" w:sz="4" w:space="0"/>
            </w:tcBorders>
            <w:shd w:val="clear" w:color="auto" w:fill="BEBEBE"/>
          </w:tcPr>
          <w:p w:rsidR="00C31389" w:rsidRDefault="00C31389" w14:paraId="09491D1B" w14:textId="77777777">
            <w:pPr>
              <w:pStyle w:val="TableParagraph"/>
              <w:spacing w:before="0"/>
              <w:rPr>
                <w:rFonts w:ascii="Times New Roman"/>
                <w:sz w:val="16"/>
              </w:rPr>
            </w:pPr>
          </w:p>
        </w:tc>
        <w:tc>
          <w:tcPr>
            <w:tcW w:w="631" w:type="dxa"/>
            <w:tcBorders>
              <w:top w:val="single" w:color="DCDDDE" w:sz="4" w:space="0"/>
              <w:bottom w:val="single" w:color="DCDDDE" w:sz="4" w:space="0"/>
            </w:tcBorders>
            <w:shd w:val="clear" w:color="auto" w:fill="BEBEBE"/>
          </w:tcPr>
          <w:p w:rsidR="00C31389" w:rsidRDefault="00C31389" w14:paraId="54EE3973" w14:textId="77777777">
            <w:pPr>
              <w:pStyle w:val="TableParagraph"/>
              <w:spacing w:before="0"/>
              <w:rPr>
                <w:rFonts w:ascii="Times New Roman"/>
                <w:sz w:val="16"/>
              </w:rPr>
            </w:pPr>
          </w:p>
        </w:tc>
        <w:tc>
          <w:tcPr>
            <w:tcW w:w="631" w:type="dxa"/>
            <w:tcBorders>
              <w:top w:val="single" w:color="DCDDDE" w:sz="4" w:space="0"/>
              <w:bottom w:val="single" w:color="DCDDDE" w:sz="4" w:space="0"/>
            </w:tcBorders>
            <w:shd w:val="clear" w:color="auto" w:fill="BEBEBE"/>
          </w:tcPr>
          <w:p w:rsidR="00C31389" w:rsidRDefault="00C31389" w14:paraId="521EC3CC" w14:textId="77777777">
            <w:pPr>
              <w:pStyle w:val="TableParagraph"/>
              <w:spacing w:before="0"/>
              <w:rPr>
                <w:rFonts w:ascii="Times New Roman"/>
                <w:sz w:val="16"/>
              </w:rPr>
            </w:pPr>
          </w:p>
        </w:tc>
        <w:tc>
          <w:tcPr>
            <w:tcW w:w="631" w:type="dxa"/>
            <w:tcBorders>
              <w:top w:val="single" w:color="DCDDDE" w:sz="4" w:space="0"/>
              <w:bottom w:val="single" w:color="DCDDDE" w:sz="4" w:space="0"/>
            </w:tcBorders>
            <w:shd w:val="clear" w:color="auto" w:fill="BEBEBE"/>
          </w:tcPr>
          <w:p w:rsidR="00C31389" w:rsidRDefault="00C31389" w14:paraId="014A4CD8" w14:textId="77777777">
            <w:pPr>
              <w:pStyle w:val="TableParagraph"/>
              <w:spacing w:before="0"/>
              <w:rPr>
                <w:rFonts w:ascii="Times New Roman"/>
                <w:sz w:val="16"/>
              </w:rPr>
            </w:pPr>
          </w:p>
        </w:tc>
        <w:tc>
          <w:tcPr>
            <w:tcW w:w="631" w:type="dxa"/>
            <w:tcBorders>
              <w:top w:val="single" w:color="DCDDDE" w:sz="4" w:space="0"/>
              <w:bottom w:val="single" w:color="DCDDDE" w:sz="4" w:space="0"/>
            </w:tcBorders>
            <w:shd w:val="clear" w:color="auto" w:fill="BEBEBE"/>
          </w:tcPr>
          <w:p w:rsidR="00C31389" w:rsidRDefault="00C31389" w14:paraId="1A72A4E1" w14:textId="77777777">
            <w:pPr>
              <w:pStyle w:val="TableParagraph"/>
              <w:spacing w:before="0"/>
              <w:rPr>
                <w:rFonts w:ascii="Times New Roman"/>
                <w:sz w:val="16"/>
              </w:rPr>
            </w:pPr>
          </w:p>
        </w:tc>
        <w:tc>
          <w:tcPr>
            <w:tcW w:w="631" w:type="dxa"/>
            <w:tcBorders>
              <w:top w:val="single" w:color="DCDDDE" w:sz="4" w:space="0"/>
              <w:bottom w:val="single" w:color="DCDDDE" w:sz="4" w:space="0"/>
            </w:tcBorders>
            <w:shd w:val="clear" w:color="auto" w:fill="BEBEBE"/>
          </w:tcPr>
          <w:p w:rsidR="00C31389" w:rsidRDefault="00C31389" w14:paraId="3B2C1E3C" w14:textId="77777777">
            <w:pPr>
              <w:pStyle w:val="TableParagraph"/>
              <w:spacing w:before="0"/>
              <w:rPr>
                <w:rFonts w:ascii="Times New Roman"/>
                <w:sz w:val="16"/>
              </w:rPr>
            </w:pPr>
          </w:p>
        </w:tc>
        <w:tc>
          <w:tcPr>
            <w:tcW w:w="631" w:type="dxa"/>
            <w:tcBorders>
              <w:top w:val="single" w:color="DCDDDE" w:sz="4" w:space="0"/>
              <w:bottom w:val="single" w:color="DCDDDE" w:sz="4" w:space="0"/>
            </w:tcBorders>
            <w:shd w:val="clear" w:color="auto" w:fill="BEBEBE"/>
          </w:tcPr>
          <w:p w:rsidR="00C31389" w:rsidRDefault="00C31389" w14:paraId="2690C89D" w14:textId="77777777">
            <w:pPr>
              <w:pStyle w:val="TableParagraph"/>
              <w:spacing w:before="0"/>
              <w:rPr>
                <w:rFonts w:ascii="Times New Roman"/>
                <w:sz w:val="16"/>
              </w:rPr>
            </w:pPr>
          </w:p>
        </w:tc>
        <w:tc>
          <w:tcPr>
            <w:tcW w:w="631" w:type="dxa"/>
            <w:tcBorders>
              <w:top w:val="single" w:color="DCDDDE" w:sz="4" w:space="0"/>
              <w:bottom w:val="single" w:color="DCDDDE" w:sz="4" w:space="0"/>
            </w:tcBorders>
            <w:shd w:val="clear" w:color="auto" w:fill="BEBEBE"/>
          </w:tcPr>
          <w:p w:rsidR="00C31389" w:rsidRDefault="00C31389" w14:paraId="1B6D04E8" w14:textId="77777777">
            <w:pPr>
              <w:pStyle w:val="TableParagraph"/>
              <w:spacing w:before="0"/>
              <w:rPr>
                <w:rFonts w:ascii="Times New Roman"/>
                <w:sz w:val="16"/>
              </w:rPr>
            </w:pPr>
          </w:p>
        </w:tc>
        <w:tc>
          <w:tcPr>
            <w:tcW w:w="613" w:type="dxa"/>
            <w:tcBorders>
              <w:top w:val="single" w:color="DCDDDE" w:sz="4" w:space="0"/>
              <w:bottom w:val="single" w:color="DCDDDE" w:sz="4" w:space="0"/>
            </w:tcBorders>
            <w:shd w:val="clear" w:color="auto" w:fill="BEBEBE"/>
          </w:tcPr>
          <w:p w:rsidR="00C31389" w:rsidRDefault="00C31389" w14:paraId="4061F1E7" w14:textId="77777777">
            <w:pPr>
              <w:pStyle w:val="TableParagraph"/>
              <w:spacing w:before="0"/>
              <w:rPr>
                <w:rFonts w:ascii="Times New Roman"/>
                <w:sz w:val="16"/>
              </w:rPr>
            </w:pPr>
          </w:p>
        </w:tc>
      </w:tr>
    </w:tbl>
    <w:p w:rsidR="00C31389" w:rsidRDefault="00C31389" w14:paraId="3010CD3B" w14:textId="77777777">
      <w:pPr>
        <w:rPr>
          <w:rFonts w:ascii="Times New Roman"/>
          <w:sz w:val="16"/>
        </w:rPr>
        <w:sectPr w:rsidR="00C31389">
          <w:pgSz w:w="12240" w:h="15840"/>
          <w:pgMar w:top="1380" w:right="1240" w:bottom="1120" w:left="1220" w:header="397" w:footer="936" w:gutter="0"/>
          <w:cols w:space="720"/>
        </w:sectPr>
      </w:pPr>
    </w:p>
    <w:p w:rsidR="00C31389" w:rsidRDefault="00C31389" w14:paraId="0F9E1705"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507"/>
        <w:gridCol w:w="861"/>
        <w:gridCol w:w="712"/>
        <w:gridCol w:w="644"/>
        <w:gridCol w:w="631"/>
        <w:gridCol w:w="631"/>
        <w:gridCol w:w="631"/>
        <w:gridCol w:w="631"/>
        <w:gridCol w:w="631"/>
        <w:gridCol w:w="631"/>
        <w:gridCol w:w="631"/>
        <w:gridCol w:w="631"/>
        <w:gridCol w:w="613"/>
      </w:tblGrid>
      <w:tr w:rsidR="00C31389" w14:paraId="79B5248F" w14:textId="77777777">
        <w:trPr>
          <w:trHeight w:val="252"/>
        </w:trPr>
        <w:tc>
          <w:tcPr>
            <w:tcW w:w="1507" w:type="dxa"/>
            <w:tcBorders>
              <w:top w:val="single" w:color="8B8B8B" w:sz="8" w:space="0"/>
            </w:tcBorders>
          </w:tcPr>
          <w:p w:rsidR="00C31389" w:rsidRDefault="00C31389" w14:paraId="3EE5D257" w14:textId="77777777">
            <w:pPr>
              <w:pStyle w:val="TableParagraph"/>
              <w:spacing w:before="0"/>
              <w:rPr>
                <w:rFonts w:ascii="Times New Roman"/>
                <w:sz w:val="16"/>
              </w:rPr>
            </w:pPr>
          </w:p>
        </w:tc>
        <w:tc>
          <w:tcPr>
            <w:tcW w:w="861" w:type="dxa"/>
            <w:tcBorders>
              <w:top w:val="single" w:color="8B8B8B" w:sz="8" w:space="0"/>
            </w:tcBorders>
          </w:tcPr>
          <w:p w:rsidR="00C31389" w:rsidRDefault="00C31389" w14:paraId="11C31DF0" w14:textId="77777777">
            <w:pPr>
              <w:pStyle w:val="TableParagraph"/>
              <w:spacing w:before="0"/>
              <w:rPr>
                <w:rFonts w:ascii="Times New Roman"/>
                <w:sz w:val="16"/>
              </w:rPr>
            </w:pPr>
          </w:p>
        </w:tc>
        <w:tc>
          <w:tcPr>
            <w:tcW w:w="712" w:type="dxa"/>
            <w:tcBorders>
              <w:top w:val="single" w:color="8B8B8B" w:sz="8" w:space="0"/>
            </w:tcBorders>
          </w:tcPr>
          <w:p w:rsidR="00C31389" w:rsidRDefault="00C31389" w14:paraId="05603ADC" w14:textId="77777777">
            <w:pPr>
              <w:pStyle w:val="TableParagraph"/>
              <w:spacing w:before="0"/>
              <w:rPr>
                <w:rFonts w:ascii="Times New Roman"/>
                <w:sz w:val="16"/>
              </w:rPr>
            </w:pPr>
          </w:p>
        </w:tc>
        <w:tc>
          <w:tcPr>
            <w:tcW w:w="644" w:type="dxa"/>
            <w:tcBorders>
              <w:top w:val="single" w:color="8B8B8B" w:sz="8" w:space="0"/>
            </w:tcBorders>
          </w:tcPr>
          <w:p w:rsidR="00C31389" w:rsidRDefault="00C31389" w14:paraId="57BEC603"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4CBF54DB"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63272162"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6F38A5E8"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6B41B867"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534C42D3"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2FAC78C9"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06A29296" w14:textId="77777777">
            <w:pPr>
              <w:pStyle w:val="TableParagraph"/>
              <w:spacing w:before="0"/>
              <w:rPr>
                <w:rFonts w:ascii="Times New Roman"/>
                <w:sz w:val="16"/>
              </w:rPr>
            </w:pPr>
          </w:p>
        </w:tc>
        <w:tc>
          <w:tcPr>
            <w:tcW w:w="631" w:type="dxa"/>
            <w:tcBorders>
              <w:top w:val="single" w:color="8B8B8B" w:sz="8" w:space="0"/>
            </w:tcBorders>
          </w:tcPr>
          <w:p w:rsidR="00C31389" w:rsidRDefault="00C31389" w14:paraId="25DE369F" w14:textId="77777777">
            <w:pPr>
              <w:pStyle w:val="TableParagraph"/>
              <w:spacing w:before="0"/>
              <w:rPr>
                <w:rFonts w:ascii="Times New Roman"/>
                <w:sz w:val="16"/>
              </w:rPr>
            </w:pPr>
          </w:p>
        </w:tc>
        <w:tc>
          <w:tcPr>
            <w:tcW w:w="613" w:type="dxa"/>
            <w:tcBorders>
              <w:top w:val="single" w:color="8B8B8B" w:sz="8" w:space="0"/>
            </w:tcBorders>
          </w:tcPr>
          <w:p w:rsidR="00C31389" w:rsidRDefault="00C31389" w14:paraId="58E23918" w14:textId="77777777">
            <w:pPr>
              <w:pStyle w:val="TableParagraph"/>
              <w:spacing w:before="0"/>
              <w:rPr>
                <w:rFonts w:ascii="Times New Roman"/>
                <w:sz w:val="16"/>
              </w:rPr>
            </w:pPr>
          </w:p>
        </w:tc>
      </w:tr>
      <w:tr w:rsidR="00C31389" w14:paraId="7D2D0BD5" w14:textId="77777777">
        <w:trPr>
          <w:trHeight w:val="305"/>
        </w:trPr>
        <w:tc>
          <w:tcPr>
            <w:tcW w:w="1507" w:type="dxa"/>
            <w:shd w:val="clear" w:color="auto" w:fill="92D400"/>
          </w:tcPr>
          <w:p w:rsidR="00C31389" w:rsidRDefault="00561FBD" w14:paraId="35486FCC" w14:textId="77777777">
            <w:pPr>
              <w:pStyle w:val="TableParagraph"/>
              <w:spacing w:before="41"/>
              <w:ind w:left="122"/>
              <w:rPr>
                <w:b/>
                <w:sz w:val="17"/>
              </w:rPr>
            </w:pPr>
            <w:r>
              <w:rPr>
                <w:b/>
                <w:spacing w:val="-4"/>
                <w:sz w:val="17"/>
              </w:rPr>
              <w:t>Year</w:t>
            </w:r>
          </w:p>
        </w:tc>
        <w:tc>
          <w:tcPr>
            <w:tcW w:w="861" w:type="dxa"/>
            <w:shd w:val="clear" w:color="auto" w:fill="92D400"/>
          </w:tcPr>
          <w:p w:rsidR="00C31389" w:rsidRDefault="00561FBD" w14:paraId="36F5A3AD" w14:textId="77777777">
            <w:pPr>
              <w:pStyle w:val="TableParagraph"/>
              <w:spacing w:before="41"/>
              <w:ind w:right="191"/>
              <w:jc w:val="right"/>
              <w:rPr>
                <w:b/>
                <w:sz w:val="17"/>
              </w:rPr>
            </w:pPr>
            <w:r>
              <w:rPr>
                <w:b/>
                <w:spacing w:val="-4"/>
                <w:sz w:val="17"/>
              </w:rPr>
              <w:t>2024</w:t>
            </w:r>
          </w:p>
        </w:tc>
        <w:tc>
          <w:tcPr>
            <w:tcW w:w="712" w:type="dxa"/>
            <w:shd w:val="clear" w:color="auto" w:fill="92D400"/>
          </w:tcPr>
          <w:p w:rsidR="00C31389" w:rsidRDefault="00561FBD" w14:paraId="0894F107" w14:textId="77777777">
            <w:pPr>
              <w:pStyle w:val="TableParagraph"/>
              <w:spacing w:before="41"/>
              <w:ind w:right="137"/>
              <w:jc w:val="right"/>
              <w:rPr>
                <w:b/>
                <w:sz w:val="17"/>
              </w:rPr>
            </w:pPr>
            <w:r>
              <w:rPr>
                <w:b/>
                <w:spacing w:val="-4"/>
                <w:sz w:val="17"/>
              </w:rPr>
              <w:t>2025</w:t>
            </w:r>
          </w:p>
        </w:tc>
        <w:tc>
          <w:tcPr>
            <w:tcW w:w="644" w:type="dxa"/>
            <w:shd w:val="clear" w:color="auto" w:fill="92D400"/>
          </w:tcPr>
          <w:p w:rsidR="00C31389" w:rsidRDefault="00561FBD" w14:paraId="54EF5077" w14:textId="77777777">
            <w:pPr>
              <w:pStyle w:val="TableParagraph"/>
              <w:spacing w:before="41"/>
              <w:ind w:right="124"/>
              <w:jc w:val="right"/>
              <w:rPr>
                <w:b/>
                <w:sz w:val="17"/>
              </w:rPr>
            </w:pPr>
            <w:r>
              <w:rPr>
                <w:b/>
                <w:spacing w:val="-4"/>
                <w:sz w:val="17"/>
              </w:rPr>
              <w:t>2026</w:t>
            </w:r>
          </w:p>
        </w:tc>
        <w:tc>
          <w:tcPr>
            <w:tcW w:w="631" w:type="dxa"/>
            <w:shd w:val="clear" w:color="auto" w:fill="92D400"/>
          </w:tcPr>
          <w:p w:rsidR="00C31389" w:rsidRDefault="00561FBD" w14:paraId="7BEEC489" w14:textId="77777777">
            <w:pPr>
              <w:pStyle w:val="TableParagraph"/>
              <w:spacing w:before="41"/>
              <w:ind w:right="125"/>
              <w:jc w:val="right"/>
              <w:rPr>
                <w:b/>
                <w:sz w:val="17"/>
              </w:rPr>
            </w:pPr>
            <w:r>
              <w:rPr>
                <w:b/>
                <w:spacing w:val="-4"/>
                <w:sz w:val="17"/>
              </w:rPr>
              <w:t>2027</w:t>
            </w:r>
          </w:p>
        </w:tc>
        <w:tc>
          <w:tcPr>
            <w:tcW w:w="631" w:type="dxa"/>
            <w:shd w:val="clear" w:color="auto" w:fill="92D400"/>
          </w:tcPr>
          <w:p w:rsidR="00C31389" w:rsidRDefault="00561FBD" w14:paraId="11F6BDC6" w14:textId="77777777">
            <w:pPr>
              <w:pStyle w:val="TableParagraph"/>
              <w:spacing w:before="41"/>
              <w:ind w:right="126"/>
              <w:jc w:val="right"/>
              <w:rPr>
                <w:b/>
                <w:sz w:val="17"/>
              </w:rPr>
            </w:pPr>
            <w:r>
              <w:rPr>
                <w:b/>
                <w:spacing w:val="-4"/>
                <w:sz w:val="17"/>
              </w:rPr>
              <w:t>2028</w:t>
            </w:r>
          </w:p>
        </w:tc>
        <w:tc>
          <w:tcPr>
            <w:tcW w:w="631" w:type="dxa"/>
            <w:shd w:val="clear" w:color="auto" w:fill="92D400"/>
          </w:tcPr>
          <w:p w:rsidR="00C31389" w:rsidRDefault="00561FBD" w14:paraId="41DB0E1A" w14:textId="77777777">
            <w:pPr>
              <w:pStyle w:val="TableParagraph"/>
              <w:spacing w:before="41"/>
              <w:ind w:left="106" w:right="111"/>
              <w:jc w:val="center"/>
              <w:rPr>
                <w:b/>
                <w:sz w:val="17"/>
              </w:rPr>
            </w:pPr>
            <w:r>
              <w:rPr>
                <w:b/>
                <w:spacing w:val="-4"/>
                <w:sz w:val="17"/>
              </w:rPr>
              <w:t>2029</w:t>
            </w:r>
          </w:p>
        </w:tc>
        <w:tc>
          <w:tcPr>
            <w:tcW w:w="631" w:type="dxa"/>
            <w:shd w:val="clear" w:color="auto" w:fill="92D400"/>
          </w:tcPr>
          <w:p w:rsidR="00C31389" w:rsidRDefault="00561FBD" w14:paraId="0BB8C5A1" w14:textId="77777777">
            <w:pPr>
              <w:pStyle w:val="TableParagraph"/>
              <w:spacing w:before="41"/>
              <w:ind w:left="106" w:right="113"/>
              <w:jc w:val="center"/>
              <w:rPr>
                <w:b/>
                <w:sz w:val="17"/>
              </w:rPr>
            </w:pPr>
            <w:r>
              <w:rPr>
                <w:b/>
                <w:spacing w:val="-4"/>
                <w:sz w:val="17"/>
              </w:rPr>
              <w:t>2030</w:t>
            </w:r>
          </w:p>
        </w:tc>
        <w:tc>
          <w:tcPr>
            <w:tcW w:w="631" w:type="dxa"/>
            <w:shd w:val="clear" w:color="auto" w:fill="92D400"/>
          </w:tcPr>
          <w:p w:rsidR="00C31389" w:rsidRDefault="00561FBD" w14:paraId="4A825E38" w14:textId="77777777">
            <w:pPr>
              <w:pStyle w:val="TableParagraph"/>
              <w:spacing w:before="41"/>
              <w:ind w:right="129"/>
              <w:jc w:val="right"/>
              <w:rPr>
                <w:b/>
                <w:sz w:val="17"/>
              </w:rPr>
            </w:pPr>
            <w:r>
              <w:rPr>
                <w:b/>
                <w:spacing w:val="-4"/>
                <w:sz w:val="17"/>
              </w:rPr>
              <w:t>2031</w:t>
            </w:r>
          </w:p>
        </w:tc>
        <w:tc>
          <w:tcPr>
            <w:tcW w:w="631" w:type="dxa"/>
            <w:shd w:val="clear" w:color="auto" w:fill="92D400"/>
          </w:tcPr>
          <w:p w:rsidR="00C31389" w:rsidRDefault="00561FBD" w14:paraId="0665750C" w14:textId="77777777">
            <w:pPr>
              <w:pStyle w:val="TableParagraph"/>
              <w:spacing w:before="41"/>
              <w:ind w:right="130"/>
              <w:jc w:val="right"/>
              <w:rPr>
                <w:b/>
                <w:sz w:val="17"/>
              </w:rPr>
            </w:pPr>
            <w:r>
              <w:rPr>
                <w:b/>
                <w:spacing w:val="-4"/>
                <w:sz w:val="17"/>
              </w:rPr>
              <w:t>2032</w:t>
            </w:r>
          </w:p>
        </w:tc>
        <w:tc>
          <w:tcPr>
            <w:tcW w:w="631" w:type="dxa"/>
            <w:shd w:val="clear" w:color="auto" w:fill="92D400"/>
          </w:tcPr>
          <w:p w:rsidR="00C31389" w:rsidRDefault="00561FBD" w14:paraId="7D47F3A5" w14:textId="77777777">
            <w:pPr>
              <w:pStyle w:val="TableParagraph"/>
              <w:spacing w:before="41"/>
              <w:ind w:left="103" w:right="116"/>
              <w:jc w:val="center"/>
              <w:rPr>
                <w:b/>
                <w:sz w:val="17"/>
              </w:rPr>
            </w:pPr>
            <w:r>
              <w:rPr>
                <w:b/>
                <w:spacing w:val="-4"/>
                <w:sz w:val="17"/>
              </w:rPr>
              <w:t>2033</w:t>
            </w:r>
          </w:p>
        </w:tc>
        <w:tc>
          <w:tcPr>
            <w:tcW w:w="631" w:type="dxa"/>
            <w:shd w:val="clear" w:color="auto" w:fill="92D400"/>
          </w:tcPr>
          <w:p w:rsidR="00C31389" w:rsidRDefault="00561FBD" w14:paraId="4C5AFA2D" w14:textId="77777777">
            <w:pPr>
              <w:pStyle w:val="TableParagraph"/>
              <w:spacing w:before="41"/>
              <w:ind w:right="132"/>
              <w:jc w:val="right"/>
              <w:rPr>
                <w:b/>
                <w:sz w:val="17"/>
              </w:rPr>
            </w:pPr>
            <w:r>
              <w:rPr>
                <w:b/>
                <w:spacing w:val="-4"/>
                <w:sz w:val="17"/>
              </w:rPr>
              <w:t>2034</w:t>
            </w:r>
          </w:p>
        </w:tc>
        <w:tc>
          <w:tcPr>
            <w:tcW w:w="613" w:type="dxa"/>
            <w:shd w:val="clear" w:color="auto" w:fill="92D400"/>
          </w:tcPr>
          <w:p w:rsidR="00C31389" w:rsidRDefault="00561FBD" w14:paraId="593C664A" w14:textId="77777777">
            <w:pPr>
              <w:pStyle w:val="TableParagraph"/>
              <w:spacing w:before="41"/>
              <w:ind w:right="115"/>
              <w:jc w:val="right"/>
              <w:rPr>
                <w:b/>
                <w:sz w:val="17"/>
              </w:rPr>
            </w:pPr>
            <w:r>
              <w:rPr>
                <w:b/>
                <w:spacing w:val="-4"/>
                <w:sz w:val="17"/>
              </w:rPr>
              <w:t>2035</w:t>
            </w:r>
          </w:p>
        </w:tc>
      </w:tr>
      <w:tr w:rsidR="00C31389" w14:paraId="160E8A06" w14:textId="77777777">
        <w:trPr>
          <w:trHeight w:val="254"/>
        </w:trPr>
        <w:tc>
          <w:tcPr>
            <w:tcW w:w="1507" w:type="dxa"/>
            <w:tcBorders>
              <w:bottom w:val="single" w:color="DCDDDE" w:sz="4" w:space="0"/>
            </w:tcBorders>
          </w:tcPr>
          <w:p w:rsidR="00C31389" w:rsidRDefault="00561FBD" w14:paraId="442BDA3F" w14:textId="77777777">
            <w:pPr>
              <w:pStyle w:val="TableParagraph"/>
              <w:spacing w:before="20"/>
              <w:ind w:left="122"/>
              <w:rPr>
                <w:sz w:val="17"/>
              </w:rPr>
            </w:pPr>
            <w:r>
              <w:rPr>
                <w:spacing w:val="-5"/>
                <w:sz w:val="17"/>
              </w:rPr>
              <w:t>EE</w:t>
            </w:r>
          </w:p>
        </w:tc>
        <w:tc>
          <w:tcPr>
            <w:tcW w:w="861" w:type="dxa"/>
            <w:tcBorders>
              <w:bottom w:val="single" w:color="DCDDDE" w:sz="4" w:space="0"/>
            </w:tcBorders>
          </w:tcPr>
          <w:p w:rsidR="00C31389" w:rsidRDefault="00561FBD" w14:paraId="61608411" w14:textId="77777777">
            <w:pPr>
              <w:pStyle w:val="TableParagraph"/>
              <w:spacing w:before="20"/>
              <w:ind w:right="192"/>
              <w:jc w:val="right"/>
              <w:rPr>
                <w:sz w:val="17"/>
              </w:rPr>
            </w:pPr>
            <w:r>
              <w:rPr>
                <w:spacing w:val="-4"/>
                <w:sz w:val="17"/>
              </w:rPr>
              <w:t>10.9</w:t>
            </w:r>
          </w:p>
        </w:tc>
        <w:tc>
          <w:tcPr>
            <w:tcW w:w="712" w:type="dxa"/>
            <w:tcBorders>
              <w:bottom w:val="single" w:color="DCDDDE" w:sz="4" w:space="0"/>
            </w:tcBorders>
          </w:tcPr>
          <w:p w:rsidR="00C31389" w:rsidRDefault="00561FBD" w14:paraId="4EB77091" w14:textId="77777777">
            <w:pPr>
              <w:pStyle w:val="TableParagraph"/>
              <w:spacing w:before="20"/>
              <w:ind w:right="138"/>
              <w:jc w:val="right"/>
              <w:rPr>
                <w:sz w:val="17"/>
              </w:rPr>
            </w:pPr>
            <w:r>
              <w:rPr>
                <w:spacing w:val="-4"/>
                <w:sz w:val="17"/>
              </w:rPr>
              <w:t>13.2</w:t>
            </w:r>
          </w:p>
        </w:tc>
        <w:tc>
          <w:tcPr>
            <w:tcW w:w="644" w:type="dxa"/>
            <w:tcBorders>
              <w:bottom w:val="single" w:color="DCDDDE" w:sz="4" w:space="0"/>
            </w:tcBorders>
          </w:tcPr>
          <w:p w:rsidR="00C31389" w:rsidRDefault="00561FBD" w14:paraId="6E665632" w14:textId="77777777">
            <w:pPr>
              <w:pStyle w:val="TableParagraph"/>
              <w:spacing w:before="20"/>
              <w:ind w:right="125"/>
              <w:jc w:val="right"/>
              <w:rPr>
                <w:sz w:val="17"/>
              </w:rPr>
            </w:pPr>
            <w:r>
              <w:rPr>
                <w:spacing w:val="-4"/>
                <w:sz w:val="17"/>
              </w:rPr>
              <w:t>13.4</w:t>
            </w:r>
          </w:p>
        </w:tc>
        <w:tc>
          <w:tcPr>
            <w:tcW w:w="631" w:type="dxa"/>
            <w:tcBorders>
              <w:bottom w:val="single" w:color="DCDDDE" w:sz="4" w:space="0"/>
            </w:tcBorders>
          </w:tcPr>
          <w:p w:rsidR="00C31389" w:rsidRDefault="00561FBD" w14:paraId="6705AF1A" w14:textId="77777777">
            <w:pPr>
              <w:pStyle w:val="TableParagraph"/>
              <w:spacing w:before="20"/>
              <w:ind w:right="126"/>
              <w:jc w:val="right"/>
              <w:rPr>
                <w:sz w:val="17"/>
              </w:rPr>
            </w:pPr>
            <w:r>
              <w:rPr>
                <w:spacing w:val="-4"/>
                <w:sz w:val="17"/>
              </w:rPr>
              <w:t>12.7</w:t>
            </w:r>
          </w:p>
        </w:tc>
        <w:tc>
          <w:tcPr>
            <w:tcW w:w="631" w:type="dxa"/>
            <w:tcBorders>
              <w:bottom w:val="single" w:color="DCDDDE" w:sz="4" w:space="0"/>
            </w:tcBorders>
          </w:tcPr>
          <w:p w:rsidR="00C31389" w:rsidRDefault="00561FBD" w14:paraId="601B6ADC" w14:textId="77777777">
            <w:pPr>
              <w:pStyle w:val="TableParagraph"/>
              <w:spacing w:before="20"/>
              <w:ind w:right="127"/>
              <w:jc w:val="right"/>
              <w:rPr>
                <w:sz w:val="17"/>
              </w:rPr>
            </w:pPr>
            <w:r>
              <w:rPr>
                <w:spacing w:val="-4"/>
                <w:sz w:val="17"/>
              </w:rPr>
              <w:t>12.1</w:t>
            </w:r>
          </w:p>
        </w:tc>
        <w:tc>
          <w:tcPr>
            <w:tcW w:w="631" w:type="dxa"/>
            <w:tcBorders>
              <w:bottom w:val="single" w:color="DCDDDE" w:sz="4" w:space="0"/>
            </w:tcBorders>
          </w:tcPr>
          <w:p w:rsidR="00C31389" w:rsidRDefault="00561FBD" w14:paraId="16DF61C6" w14:textId="77777777">
            <w:pPr>
              <w:pStyle w:val="TableParagraph"/>
              <w:spacing w:before="20"/>
              <w:ind w:left="106" w:right="68"/>
              <w:jc w:val="center"/>
              <w:rPr>
                <w:sz w:val="17"/>
              </w:rPr>
            </w:pPr>
            <w:r>
              <w:rPr>
                <w:spacing w:val="-4"/>
                <w:sz w:val="17"/>
              </w:rPr>
              <w:t>11.1</w:t>
            </w:r>
          </w:p>
        </w:tc>
        <w:tc>
          <w:tcPr>
            <w:tcW w:w="631" w:type="dxa"/>
            <w:tcBorders>
              <w:bottom w:val="single" w:color="DCDDDE" w:sz="4" w:space="0"/>
            </w:tcBorders>
          </w:tcPr>
          <w:p w:rsidR="00C31389" w:rsidRDefault="00561FBD" w14:paraId="12B6B955" w14:textId="77777777">
            <w:pPr>
              <w:pStyle w:val="TableParagraph"/>
              <w:spacing w:before="20"/>
              <w:ind w:left="106" w:right="70"/>
              <w:jc w:val="center"/>
              <w:rPr>
                <w:sz w:val="17"/>
              </w:rPr>
            </w:pPr>
            <w:r>
              <w:rPr>
                <w:spacing w:val="-4"/>
                <w:sz w:val="17"/>
              </w:rPr>
              <w:t>10.8</w:t>
            </w:r>
          </w:p>
        </w:tc>
        <w:tc>
          <w:tcPr>
            <w:tcW w:w="631" w:type="dxa"/>
            <w:tcBorders>
              <w:bottom w:val="single" w:color="DCDDDE" w:sz="4" w:space="0"/>
            </w:tcBorders>
          </w:tcPr>
          <w:p w:rsidR="00C31389" w:rsidRDefault="00561FBD" w14:paraId="06F0A18A" w14:textId="77777777">
            <w:pPr>
              <w:pStyle w:val="TableParagraph"/>
              <w:spacing w:before="20"/>
              <w:ind w:right="131"/>
              <w:jc w:val="right"/>
              <w:rPr>
                <w:sz w:val="17"/>
              </w:rPr>
            </w:pPr>
            <w:r>
              <w:rPr>
                <w:spacing w:val="-5"/>
                <w:sz w:val="17"/>
              </w:rPr>
              <w:t>9.9</w:t>
            </w:r>
          </w:p>
        </w:tc>
        <w:tc>
          <w:tcPr>
            <w:tcW w:w="631" w:type="dxa"/>
            <w:tcBorders>
              <w:bottom w:val="single" w:color="DCDDDE" w:sz="4" w:space="0"/>
            </w:tcBorders>
          </w:tcPr>
          <w:p w:rsidR="00C31389" w:rsidRDefault="00561FBD" w14:paraId="5871CC53" w14:textId="77777777">
            <w:pPr>
              <w:pStyle w:val="TableParagraph"/>
              <w:spacing w:before="20"/>
              <w:ind w:right="132"/>
              <w:jc w:val="right"/>
              <w:rPr>
                <w:sz w:val="17"/>
              </w:rPr>
            </w:pPr>
            <w:r>
              <w:rPr>
                <w:spacing w:val="-4"/>
                <w:sz w:val="17"/>
              </w:rPr>
              <w:t>10.5</w:t>
            </w:r>
          </w:p>
        </w:tc>
        <w:tc>
          <w:tcPr>
            <w:tcW w:w="631" w:type="dxa"/>
            <w:tcBorders>
              <w:bottom w:val="single" w:color="DCDDDE" w:sz="4" w:space="0"/>
            </w:tcBorders>
          </w:tcPr>
          <w:p w:rsidR="00C31389" w:rsidRDefault="00561FBD" w14:paraId="20B877E7" w14:textId="77777777">
            <w:pPr>
              <w:pStyle w:val="TableParagraph"/>
              <w:spacing w:before="20"/>
              <w:ind w:left="106" w:right="77"/>
              <w:jc w:val="center"/>
              <w:rPr>
                <w:sz w:val="17"/>
              </w:rPr>
            </w:pPr>
            <w:r>
              <w:rPr>
                <w:spacing w:val="-4"/>
                <w:sz w:val="17"/>
              </w:rPr>
              <w:t>10.0</w:t>
            </w:r>
          </w:p>
        </w:tc>
        <w:tc>
          <w:tcPr>
            <w:tcW w:w="631" w:type="dxa"/>
            <w:tcBorders>
              <w:bottom w:val="single" w:color="DCDDDE" w:sz="4" w:space="0"/>
            </w:tcBorders>
          </w:tcPr>
          <w:p w:rsidR="00C31389" w:rsidRDefault="00561FBD" w14:paraId="5FDC9409" w14:textId="77777777">
            <w:pPr>
              <w:pStyle w:val="TableParagraph"/>
              <w:spacing w:before="20"/>
              <w:ind w:right="134"/>
              <w:jc w:val="right"/>
              <w:rPr>
                <w:sz w:val="17"/>
              </w:rPr>
            </w:pPr>
            <w:r>
              <w:rPr>
                <w:spacing w:val="-5"/>
                <w:sz w:val="17"/>
              </w:rPr>
              <w:t>9.6</w:t>
            </w:r>
          </w:p>
        </w:tc>
        <w:tc>
          <w:tcPr>
            <w:tcW w:w="613" w:type="dxa"/>
            <w:tcBorders>
              <w:bottom w:val="single" w:color="DCDDDE" w:sz="4" w:space="0"/>
            </w:tcBorders>
          </w:tcPr>
          <w:p w:rsidR="00C31389" w:rsidRDefault="00561FBD" w14:paraId="2C28032C" w14:textId="77777777">
            <w:pPr>
              <w:pStyle w:val="TableParagraph"/>
              <w:spacing w:before="20"/>
              <w:ind w:right="117"/>
              <w:jc w:val="right"/>
              <w:rPr>
                <w:sz w:val="17"/>
              </w:rPr>
            </w:pPr>
            <w:r>
              <w:rPr>
                <w:spacing w:val="-5"/>
                <w:sz w:val="17"/>
              </w:rPr>
              <w:t>9.4</w:t>
            </w:r>
          </w:p>
        </w:tc>
      </w:tr>
      <w:tr w:rsidR="00C31389" w14:paraId="7FCA4501" w14:textId="77777777">
        <w:trPr>
          <w:trHeight w:val="275"/>
        </w:trPr>
        <w:tc>
          <w:tcPr>
            <w:tcW w:w="1507" w:type="dxa"/>
            <w:tcBorders>
              <w:top w:val="single" w:color="DCDDDE" w:sz="4" w:space="0"/>
              <w:bottom w:val="single" w:color="DCDDDE" w:sz="4" w:space="0"/>
            </w:tcBorders>
          </w:tcPr>
          <w:p w:rsidR="00C31389" w:rsidRDefault="00561FBD" w14:paraId="46D1D641" w14:textId="77777777">
            <w:pPr>
              <w:pStyle w:val="TableParagraph"/>
              <w:spacing w:before="42"/>
              <w:ind w:left="122"/>
              <w:rPr>
                <w:sz w:val="17"/>
              </w:rPr>
            </w:pPr>
            <w:r>
              <w:rPr>
                <w:spacing w:val="-5"/>
                <w:sz w:val="17"/>
              </w:rPr>
              <w:t>FS</w:t>
            </w:r>
          </w:p>
        </w:tc>
        <w:tc>
          <w:tcPr>
            <w:tcW w:w="861" w:type="dxa"/>
            <w:tcBorders>
              <w:top w:val="single" w:color="DCDDDE" w:sz="4" w:space="0"/>
              <w:bottom w:val="single" w:color="DCDDDE" w:sz="4" w:space="0"/>
            </w:tcBorders>
          </w:tcPr>
          <w:p w:rsidR="00C31389" w:rsidRDefault="00561FBD" w14:paraId="7B155FCA" w14:textId="77777777">
            <w:pPr>
              <w:pStyle w:val="TableParagraph"/>
              <w:spacing w:before="42"/>
              <w:ind w:right="192"/>
              <w:jc w:val="right"/>
              <w:rPr>
                <w:sz w:val="17"/>
              </w:rPr>
            </w:pPr>
            <w:r>
              <w:rPr>
                <w:spacing w:val="-5"/>
                <w:sz w:val="17"/>
              </w:rPr>
              <w:t>0.0</w:t>
            </w:r>
          </w:p>
        </w:tc>
        <w:tc>
          <w:tcPr>
            <w:tcW w:w="712" w:type="dxa"/>
            <w:tcBorders>
              <w:top w:val="single" w:color="DCDDDE" w:sz="4" w:space="0"/>
              <w:bottom w:val="single" w:color="DCDDDE" w:sz="4" w:space="0"/>
            </w:tcBorders>
          </w:tcPr>
          <w:p w:rsidR="00C31389" w:rsidRDefault="00561FBD" w14:paraId="7E08C2F6" w14:textId="77777777">
            <w:pPr>
              <w:pStyle w:val="TableParagraph"/>
              <w:spacing w:before="42"/>
              <w:ind w:right="138"/>
              <w:jc w:val="right"/>
              <w:rPr>
                <w:sz w:val="17"/>
              </w:rPr>
            </w:pPr>
            <w:r>
              <w:rPr>
                <w:spacing w:val="-5"/>
                <w:sz w:val="17"/>
              </w:rPr>
              <w:t>0.0</w:t>
            </w:r>
          </w:p>
        </w:tc>
        <w:tc>
          <w:tcPr>
            <w:tcW w:w="644" w:type="dxa"/>
            <w:tcBorders>
              <w:top w:val="single" w:color="DCDDDE" w:sz="4" w:space="0"/>
              <w:bottom w:val="single" w:color="DCDDDE" w:sz="4" w:space="0"/>
            </w:tcBorders>
          </w:tcPr>
          <w:p w:rsidR="00C31389" w:rsidRDefault="00561FBD" w14:paraId="312C5DDD" w14:textId="77777777">
            <w:pPr>
              <w:pStyle w:val="TableParagraph"/>
              <w:spacing w:before="42"/>
              <w:ind w:right="125"/>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E19C2ED" w14:textId="77777777">
            <w:pPr>
              <w:pStyle w:val="TableParagraph"/>
              <w:spacing w:before="42"/>
              <w:ind w:right="126"/>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D57B732" w14:textId="77777777">
            <w:pPr>
              <w:pStyle w:val="TableParagraph"/>
              <w:spacing w:before="42"/>
              <w:ind w:right="127"/>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791BBC5F" w14:textId="77777777">
            <w:pPr>
              <w:pStyle w:val="TableParagraph"/>
              <w:spacing w:before="42"/>
              <w:ind w:left="248" w:right="115"/>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38168618" w14:textId="77777777">
            <w:pPr>
              <w:pStyle w:val="TableParagraph"/>
              <w:spacing w:before="42"/>
              <w:ind w:left="245" w:right="114"/>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53230AAE" w14:textId="77777777">
            <w:pPr>
              <w:pStyle w:val="TableParagraph"/>
              <w:spacing w:before="42"/>
              <w:ind w:right="130"/>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025D8563" w14:textId="77777777">
            <w:pPr>
              <w:pStyle w:val="TableParagraph"/>
              <w:spacing w:before="42"/>
              <w:ind w:right="131"/>
              <w:jc w:val="right"/>
              <w:rPr>
                <w:sz w:val="17"/>
              </w:rPr>
            </w:pPr>
            <w:r>
              <w:rPr>
                <w:spacing w:val="-5"/>
                <w:sz w:val="17"/>
              </w:rPr>
              <w:t>0.0</w:t>
            </w:r>
          </w:p>
        </w:tc>
        <w:tc>
          <w:tcPr>
            <w:tcW w:w="631" w:type="dxa"/>
            <w:tcBorders>
              <w:top w:val="single" w:color="DCDDDE" w:sz="4" w:space="0"/>
              <w:bottom w:val="single" w:color="DCDDDE" w:sz="4" w:space="0"/>
            </w:tcBorders>
          </w:tcPr>
          <w:p w:rsidR="00C31389" w:rsidRDefault="00561FBD" w14:paraId="58D2E814" w14:textId="77777777">
            <w:pPr>
              <w:pStyle w:val="TableParagraph"/>
              <w:spacing w:before="42"/>
              <w:ind w:left="241" w:right="116"/>
              <w:jc w:val="center"/>
              <w:rPr>
                <w:sz w:val="17"/>
              </w:rPr>
            </w:pPr>
            <w:r>
              <w:rPr>
                <w:spacing w:val="-5"/>
                <w:sz w:val="17"/>
              </w:rPr>
              <w:t>0.0</w:t>
            </w:r>
          </w:p>
        </w:tc>
        <w:tc>
          <w:tcPr>
            <w:tcW w:w="631" w:type="dxa"/>
            <w:tcBorders>
              <w:top w:val="single" w:color="DCDDDE" w:sz="4" w:space="0"/>
              <w:bottom w:val="single" w:color="DCDDDE" w:sz="4" w:space="0"/>
            </w:tcBorders>
          </w:tcPr>
          <w:p w:rsidR="00C31389" w:rsidRDefault="00561FBD" w14:paraId="2E1E1B30" w14:textId="77777777">
            <w:pPr>
              <w:pStyle w:val="TableParagraph"/>
              <w:spacing w:before="42"/>
              <w:ind w:right="133"/>
              <w:jc w:val="right"/>
              <w:rPr>
                <w:sz w:val="17"/>
              </w:rPr>
            </w:pPr>
            <w:r>
              <w:rPr>
                <w:spacing w:val="-5"/>
                <w:sz w:val="17"/>
              </w:rPr>
              <w:t>0.0</w:t>
            </w:r>
          </w:p>
        </w:tc>
        <w:tc>
          <w:tcPr>
            <w:tcW w:w="613" w:type="dxa"/>
            <w:tcBorders>
              <w:top w:val="single" w:color="DCDDDE" w:sz="4" w:space="0"/>
              <w:bottom w:val="single" w:color="DCDDDE" w:sz="4" w:space="0"/>
            </w:tcBorders>
          </w:tcPr>
          <w:p w:rsidR="00C31389" w:rsidRDefault="00561FBD" w14:paraId="5405DBB3" w14:textId="77777777">
            <w:pPr>
              <w:pStyle w:val="TableParagraph"/>
              <w:spacing w:before="42"/>
              <w:ind w:right="116"/>
              <w:jc w:val="right"/>
              <w:rPr>
                <w:sz w:val="17"/>
              </w:rPr>
            </w:pPr>
            <w:r>
              <w:rPr>
                <w:spacing w:val="-5"/>
                <w:sz w:val="17"/>
              </w:rPr>
              <w:t>0.0</w:t>
            </w:r>
          </w:p>
        </w:tc>
      </w:tr>
      <w:tr w:rsidR="00C31389" w14:paraId="53BEE7B3" w14:textId="77777777">
        <w:trPr>
          <w:trHeight w:val="275"/>
        </w:trPr>
        <w:tc>
          <w:tcPr>
            <w:tcW w:w="1507" w:type="dxa"/>
            <w:tcBorders>
              <w:top w:val="single" w:color="DCDDDE" w:sz="4" w:space="0"/>
              <w:bottom w:val="single" w:color="DCDDDE" w:sz="4" w:space="0"/>
            </w:tcBorders>
          </w:tcPr>
          <w:p w:rsidR="00C31389" w:rsidRDefault="00561FBD" w14:paraId="0DC6358C" w14:textId="77777777">
            <w:pPr>
              <w:pStyle w:val="TableParagraph"/>
              <w:spacing w:before="42"/>
              <w:ind w:left="122"/>
              <w:rPr>
                <w:sz w:val="17"/>
              </w:rPr>
            </w:pPr>
            <w:r>
              <w:rPr>
                <w:spacing w:val="-4"/>
                <w:sz w:val="17"/>
              </w:rPr>
              <w:t>BROs</w:t>
            </w:r>
          </w:p>
        </w:tc>
        <w:tc>
          <w:tcPr>
            <w:tcW w:w="861" w:type="dxa"/>
            <w:tcBorders>
              <w:top w:val="single" w:color="DCDDDE" w:sz="4" w:space="0"/>
              <w:bottom w:val="single" w:color="DCDDDE" w:sz="4" w:space="0"/>
            </w:tcBorders>
          </w:tcPr>
          <w:p w:rsidR="00C31389" w:rsidRDefault="00561FBD" w14:paraId="0800EAD8" w14:textId="77777777">
            <w:pPr>
              <w:pStyle w:val="TableParagraph"/>
              <w:spacing w:before="42"/>
              <w:ind w:right="192"/>
              <w:jc w:val="right"/>
              <w:rPr>
                <w:sz w:val="17"/>
              </w:rPr>
            </w:pPr>
            <w:r>
              <w:rPr>
                <w:spacing w:val="-5"/>
                <w:sz w:val="17"/>
              </w:rPr>
              <w:t>7.9</w:t>
            </w:r>
          </w:p>
        </w:tc>
        <w:tc>
          <w:tcPr>
            <w:tcW w:w="712" w:type="dxa"/>
            <w:tcBorders>
              <w:top w:val="single" w:color="DCDDDE" w:sz="4" w:space="0"/>
              <w:bottom w:val="single" w:color="DCDDDE" w:sz="4" w:space="0"/>
            </w:tcBorders>
          </w:tcPr>
          <w:p w:rsidR="00C31389" w:rsidRDefault="00561FBD" w14:paraId="263E0FAD" w14:textId="77777777">
            <w:pPr>
              <w:pStyle w:val="TableParagraph"/>
              <w:spacing w:before="42"/>
              <w:ind w:right="138"/>
              <w:jc w:val="right"/>
              <w:rPr>
                <w:sz w:val="17"/>
              </w:rPr>
            </w:pPr>
            <w:r>
              <w:rPr>
                <w:spacing w:val="-5"/>
                <w:sz w:val="17"/>
              </w:rPr>
              <w:t>8.2</w:t>
            </w:r>
          </w:p>
        </w:tc>
        <w:tc>
          <w:tcPr>
            <w:tcW w:w="644" w:type="dxa"/>
            <w:tcBorders>
              <w:top w:val="single" w:color="DCDDDE" w:sz="4" w:space="0"/>
              <w:bottom w:val="single" w:color="DCDDDE" w:sz="4" w:space="0"/>
            </w:tcBorders>
          </w:tcPr>
          <w:p w:rsidR="00C31389" w:rsidRDefault="00561FBD" w14:paraId="35EC23F5" w14:textId="77777777">
            <w:pPr>
              <w:pStyle w:val="TableParagraph"/>
              <w:spacing w:before="42"/>
              <w:ind w:right="125"/>
              <w:jc w:val="right"/>
              <w:rPr>
                <w:sz w:val="17"/>
              </w:rPr>
            </w:pPr>
            <w:r>
              <w:rPr>
                <w:spacing w:val="-5"/>
                <w:sz w:val="17"/>
              </w:rPr>
              <w:t>8.6</w:t>
            </w:r>
          </w:p>
        </w:tc>
        <w:tc>
          <w:tcPr>
            <w:tcW w:w="631" w:type="dxa"/>
            <w:tcBorders>
              <w:top w:val="single" w:color="DCDDDE" w:sz="4" w:space="0"/>
              <w:bottom w:val="single" w:color="DCDDDE" w:sz="4" w:space="0"/>
            </w:tcBorders>
          </w:tcPr>
          <w:p w:rsidR="00C31389" w:rsidRDefault="00561FBD" w14:paraId="3F2C4C1D" w14:textId="77777777">
            <w:pPr>
              <w:pStyle w:val="TableParagraph"/>
              <w:spacing w:before="42"/>
              <w:ind w:right="126"/>
              <w:jc w:val="right"/>
              <w:rPr>
                <w:sz w:val="17"/>
              </w:rPr>
            </w:pPr>
            <w:r>
              <w:rPr>
                <w:spacing w:val="-5"/>
                <w:sz w:val="17"/>
              </w:rPr>
              <w:t>8.9</w:t>
            </w:r>
          </w:p>
        </w:tc>
        <w:tc>
          <w:tcPr>
            <w:tcW w:w="631" w:type="dxa"/>
            <w:tcBorders>
              <w:top w:val="single" w:color="DCDDDE" w:sz="4" w:space="0"/>
              <w:bottom w:val="single" w:color="DCDDDE" w:sz="4" w:space="0"/>
            </w:tcBorders>
          </w:tcPr>
          <w:p w:rsidR="00C31389" w:rsidRDefault="00561FBD" w14:paraId="2170D3C5" w14:textId="77777777">
            <w:pPr>
              <w:pStyle w:val="TableParagraph"/>
              <w:spacing w:before="42"/>
              <w:ind w:right="127"/>
              <w:jc w:val="right"/>
              <w:rPr>
                <w:sz w:val="17"/>
              </w:rPr>
            </w:pPr>
            <w:r>
              <w:rPr>
                <w:spacing w:val="-5"/>
                <w:sz w:val="17"/>
              </w:rPr>
              <w:t>9.3</w:t>
            </w:r>
          </w:p>
        </w:tc>
        <w:tc>
          <w:tcPr>
            <w:tcW w:w="631" w:type="dxa"/>
            <w:tcBorders>
              <w:top w:val="single" w:color="DCDDDE" w:sz="4" w:space="0"/>
              <w:bottom w:val="single" w:color="DCDDDE" w:sz="4" w:space="0"/>
            </w:tcBorders>
          </w:tcPr>
          <w:p w:rsidR="00C31389" w:rsidRDefault="00561FBD" w14:paraId="0079013D" w14:textId="77777777">
            <w:pPr>
              <w:pStyle w:val="TableParagraph"/>
              <w:spacing w:before="42"/>
              <w:ind w:left="248" w:right="115"/>
              <w:jc w:val="center"/>
              <w:rPr>
                <w:sz w:val="17"/>
              </w:rPr>
            </w:pPr>
            <w:r>
              <w:rPr>
                <w:spacing w:val="-5"/>
                <w:sz w:val="17"/>
              </w:rPr>
              <w:t>9.7</w:t>
            </w:r>
          </w:p>
        </w:tc>
        <w:tc>
          <w:tcPr>
            <w:tcW w:w="631" w:type="dxa"/>
            <w:tcBorders>
              <w:top w:val="single" w:color="DCDDDE" w:sz="4" w:space="0"/>
              <w:bottom w:val="single" w:color="DCDDDE" w:sz="4" w:space="0"/>
            </w:tcBorders>
          </w:tcPr>
          <w:p w:rsidR="00C31389" w:rsidRDefault="00561FBD" w14:paraId="3D313E61" w14:textId="77777777">
            <w:pPr>
              <w:pStyle w:val="TableParagraph"/>
              <w:spacing w:before="42"/>
              <w:ind w:left="106" w:right="70"/>
              <w:jc w:val="center"/>
              <w:rPr>
                <w:sz w:val="17"/>
              </w:rPr>
            </w:pPr>
            <w:r>
              <w:rPr>
                <w:spacing w:val="-4"/>
                <w:sz w:val="17"/>
              </w:rPr>
              <w:t>10.1</w:t>
            </w:r>
          </w:p>
        </w:tc>
        <w:tc>
          <w:tcPr>
            <w:tcW w:w="631" w:type="dxa"/>
            <w:tcBorders>
              <w:top w:val="single" w:color="DCDDDE" w:sz="4" w:space="0"/>
              <w:bottom w:val="single" w:color="DCDDDE" w:sz="4" w:space="0"/>
            </w:tcBorders>
          </w:tcPr>
          <w:p w:rsidR="00C31389" w:rsidRDefault="00561FBD" w14:paraId="2532D214" w14:textId="77777777">
            <w:pPr>
              <w:pStyle w:val="TableParagraph"/>
              <w:spacing w:before="42"/>
              <w:ind w:right="130"/>
              <w:jc w:val="right"/>
              <w:rPr>
                <w:sz w:val="17"/>
              </w:rPr>
            </w:pPr>
            <w:r>
              <w:rPr>
                <w:spacing w:val="-4"/>
                <w:sz w:val="17"/>
              </w:rPr>
              <w:t>10.6</w:t>
            </w:r>
          </w:p>
        </w:tc>
        <w:tc>
          <w:tcPr>
            <w:tcW w:w="631" w:type="dxa"/>
            <w:tcBorders>
              <w:top w:val="single" w:color="DCDDDE" w:sz="4" w:space="0"/>
              <w:bottom w:val="single" w:color="DCDDDE" w:sz="4" w:space="0"/>
            </w:tcBorders>
          </w:tcPr>
          <w:p w:rsidR="00C31389" w:rsidRDefault="00561FBD" w14:paraId="29B2091B" w14:textId="77777777">
            <w:pPr>
              <w:pStyle w:val="TableParagraph"/>
              <w:spacing w:before="42"/>
              <w:ind w:right="131"/>
              <w:jc w:val="right"/>
              <w:rPr>
                <w:sz w:val="17"/>
              </w:rPr>
            </w:pPr>
            <w:r>
              <w:rPr>
                <w:spacing w:val="-4"/>
                <w:sz w:val="17"/>
              </w:rPr>
              <w:t>11.1</w:t>
            </w:r>
          </w:p>
        </w:tc>
        <w:tc>
          <w:tcPr>
            <w:tcW w:w="631" w:type="dxa"/>
            <w:tcBorders>
              <w:top w:val="single" w:color="DCDDDE" w:sz="4" w:space="0"/>
              <w:bottom w:val="single" w:color="DCDDDE" w:sz="4" w:space="0"/>
            </w:tcBorders>
          </w:tcPr>
          <w:p w:rsidR="00C31389" w:rsidRDefault="00561FBD" w14:paraId="2E14215C" w14:textId="77777777">
            <w:pPr>
              <w:pStyle w:val="TableParagraph"/>
              <w:spacing w:before="42"/>
              <w:ind w:left="106" w:right="76"/>
              <w:jc w:val="center"/>
              <w:rPr>
                <w:sz w:val="17"/>
              </w:rPr>
            </w:pPr>
            <w:r>
              <w:rPr>
                <w:spacing w:val="-4"/>
                <w:sz w:val="17"/>
              </w:rPr>
              <w:t>11.6</w:t>
            </w:r>
          </w:p>
        </w:tc>
        <w:tc>
          <w:tcPr>
            <w:tcW w:w="631" w:type="dxa"/>
            <w:tcBorders>
              <w:top w:val="single" w:color="DCDDDE" w:sz="4" w:space="0"/>
              <w:bottom w:val="single" w:color="DCDDDE" w:sz="4" w:space="0"/>
            </w:tcBorders>
          </w:tcPr>
          <w:p w:rsidR="00C31389" w:rsidRDefault="00561FBD" w14:paraId="55508403" w14:textId="77777777">
            <w:pPr>
              <w:pStyle w:val="TableParagraph"/>
              <w:spacing w:before="42"/>
              <w:ind w:right="133"/>
              <w:jc w:val="right"/>
              <w:rPr>
                <w:sz w:val="17"/>
              </w:rPr>
            </w:pPr>
            <w:r>
              <w:rPr>
                <w:spacing w:val="-4"/>
                <w:sz w:val="17"/>
              </w:rPr>
              <w:t>12.1</w:t>
            </w:r>
          </w:p>
        </w:tc>
        <w:tc>
          <w:tcPr>
            <w:tcW w:w="613" w:type="dxa"/>
            <w:tcBorders>
              <w:top w:val="single" w:color="DCDDDE" w:sz="4" w:space="0"/>
              <w:bottom w:val="single" w:color="DCDDDE" w:sz="4" w:space="0"/>
            </w:tcBorders>
          </w:tcPr>
          <w:p w:rsidR="00C31389" w:rsidRDefault="00561FBD" w14:paraId="0CE54CC5" w14:textId="77777777">
            <w:pPr>
              <w:pStyle w:val="TableParagraph"/>
              <w:spacing w:before="42"/>
              <w:ind w:right="116"/>
              <w:jc w:val="right"/>
              <w:rPr>
                <w:sz w:val="17"/>
              </w:rPr>
            </w:pPr>
            <w:r>
              <w:rPr>
                <w:spacing w:val="-4"/>
                <w:sz w:val="17"/>
              </w:rPr>
              <w:t>13.5</w:t>
            </w:r>
          </w:p>
        </w:tc>
      </w:tr>
      <w:tr w:rsidR="00C31389" w14:paraId="66A4F049" w14:textId="77777777">
        <w:trPr>
          <w:trHeight w:val="275"/>
        </w:trPr>
        <w:tc>
          <w:tcPr>
            <w:tcW w:w="9385" w:type="dxa"/>
            <w:gridSpan w:val="13"/>
            <w:tcBorders>
              <w:top w:val="single" w:color="DCDDDE" w:sz="4" w:space="0"/>
              <w:bottom w:val="single" w:color="DCDDDE" w:sz="4" w:space="0"/>
            </w:tcBorders>
            <w:shd w:val="clear" w:color="auto" w:fill="BEBEBE"/>
          </w:tcPr>
          <w:p w:rsidR="00C31389" w:rsidRDefault="00561FBD" w14:paraId="5DCB9877" w14:textId="77777777">
            <w:pPr>
              <w:pStyle w:val="TableParagraph"/>
              <w:spacing w:before="42"/>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26A9F10D" w14:textId="77777777">
        <w:trPr>
          <w:trHeight w:val="471"/>
        </w:trPr>
        <w:tc>
          <w:tcPr>
            <w:tcW w:w="1507" w:type="dxa"/>
            <w:tcBorders>
              <w:top w:val="single" w:color="DCDDDE" w:sz="4" w:space="0"/>
              <w:bottom w:val="single" w:color="DCDDDE" w:sz="4" w:space="0"/>
            </w:tcBorders>
          </w:tcPr>
          <w:p w:rsidR="00C31389" w:rsidRDefault="00561FBD" w14:paraId="60A2FF4D" w14:textId="77777777">
            <w:pPr>
              <w:pStyle w:val="TableParagraph"/>
              <w:spacing w:before="39"/>
              <w:ind w:left="122" w:right="375"/>
              <w:rPr>
                <w:sz w:val="17"/>
              </w:rPr>
            </w:pPr>
            <w:r>
              <w:rPr>
                <w:sz w:val="17"/>
              </w:rPr>
              <w:t>w/</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DCDDDE" w:sz="4" w:space="0"/>
            </w:tcBorders>
          </w:tcPr>
          <w:p w:rsidR="00C31389" w:rsidRDefault="00561FBD" w14:paraId="6829248E" w14:textId="77777777">
            <w:pPr>
              <w:pStyle w:val="TableParagraph"/>
              <w:spacing w:before="139"/>
              <w:ind w:right="192"/>
              <w:jc w:val="right"/>
              <w:rPr>
                <w:sz w:val="17"/>
              </w:rPr>
            </w:pPr>
            <w:r>
              <w:rPr>
                <w:spacing w:val="-4"/>
                <w:sz w:val="17"/>
              </w:rPr>
              <w:t>25.6</w:t>
            </w:r>
          </w:p>
        </w:tc>
        <w:tc>
          <w:tcPr>
            <w:tcW w:w="712" w:type="dxa"/>
            <w:tcBorders>
              <w:top w:val="single" w:color="DCDDDE" w:sz="4" w:space="0"/>
              <w:bottom w:val="single" w:color="DCDDDE" w:sz="4" w:space="0"/>
            </w:tcBorders>
          </w:tcPr>
          <w:p w:rsidR="00C31389" w:rsidRDefault="00561FBD" w14:paraId="0D6C57E5" w14:textId="77777777">
            <w:pPr>
              <w:pStyle w:val="TableParagraph"/>
              <w:spacing w:before="139"/>
              <w:ind w:right="138"/>
              <w:jc w:val="right"/>
              <w:rPr>
                <w:sz w:val="17"/>
              </w:rPr>
            </w:pPr>
            <w:r>
              <w:rPr>
                <w:spacing w:val="-4"/>
                <w:sz w:val="17"/>
              </w:rPr>
              <w:t>25.0</w:t>
            </w:r>
          </w:p>
        </w:tc>
        <w:tc>
          <w:tcPr>
            <w:tcW w:w="644" w:type="dxa"/>
            <w:tcBorders>
              <w:top w:val="single" w:color="DCDDDE" w:sz="4" w:space="0"/>
              <w:bottom w:val="single" w:color="DCDDDE" w:sz="4" w:space="0"/>
            </w:tcBorders>
          </w:tcPr>
          <w:p w:rsidR="00C31389" w:rsidRDefault="00561FBD" w14:paraId="1074ACC8" w14:textId="77777777">
            <w:pPr>
              <w:pStyle w:val="TableParagraph"/>
              <w:spacing w:before="139"/>
              <w:ind w:right="125"/>
              <w:jc w:val="right"/>
              <w:rPr>
                <w:sz w:val="17"/>
              </w:rPr>
            </w:pPr>
            <w:r>
              <w:rPr>
                <w:spacing w:val="-4"/>
                <w:sz w:val="17"/>
              </w:rPr>
              <w:t>16.1</w:t>
            </w:r>
          </w:p>
        </w:tc>
        <w:tc>
          <w:tcPr>
            <w:tcW w:w="631" w:type="dxa"/>
            <w:tcBorders>
              <w:top w:val="single" w:color="DCDDDE" w:sz="4" w:space="0"/>
              <w:bottom w:val="single" w:color="DCDDDE" w:sz="4" w:space="0"/>
            </w:tcBorders>
          </w:tcPr>
          <w:p w:rsidR="00C31389" w:rsidRDefault="00561FBD" w14:paraId="67153E29" w14:textId="77777777">
            <w:pPr>
              <w:pStyle w:val="TableParagraph"/>
              <w:spacing w:before="139"/>
              <w:ind w:right="126"/>
              <w:jc w:val="right"/>
              <w:rPr>
                <w:sz w:val="17"/>
              </w:rPr>
            </w:pPr>
            <w:r>
              <w:rPr>
                <w:spacing w:val="-4"/>
                <w:sz w:val="17"/>
              </w:rPr>
              <w:t>16.5</w:t>
            </w:r>
          </w:p>
        </w:tc>
        <w:tc>
          <w:tcPr>
            <w:tcW w:w="631" w:type="dxa"/>
            <w:tcBorders>
              <w:top w:val="single" w:color="DCDDDE" w:sz="4" w:space="0"/>
              <w:bottom w:val="single" w:color="DCDDDE" w:sz="4" w:space="0"/>
            </w:tcBorders>
          </w:tcPr>
          <w:p w:rsidR="00C31389" w:rsidRDefault="00561FBD" w14:paraId="34FE8C01" w14:textId="77777777">
            <w:pPr>
              <w:pStyle w:val="TableParagraph"/>
              <w:spacing w:before="139"/>
              <w:ind w:right="127"/>
              <w:jc w:val="right"/>
              <w:rPr>
                <w:sz w:val="17"/>
              </w:rPr>
            </w:pPr>
            <w:r>
              <w:rPr>
                <w:spacing w:val="-4"/>
                <w:sz w:val="17"/>
              </w:rPr>
              <w:t>15.4</w:t>
            </w:r>
          </w:p>
        </w:tc>
        <w:tc>
          <w:tcPr>
            <w:tcW w:w="631" w:type="dxa"/>
            <w:tcBorders>
              <w:top w:val="single" w:color="DCDDDE" w:sz="4" w:space="0"/>
              <w:bottom w:val="single" w:color="DCDDDE" w:sz="4" w:space="0"/>
            </w:tcBorders>
          </w:tcPr>
          <w:p w:rsidR="00C31389" w:rsidRDefault="00561FBD" w14:paraId="244DC56D" w14:textId="77777777">
            <w:pPr>
              <w:pStyle w:val="TableParagraph"/>
              <w:spacing w:before="139"/>
              <w:ind w:left="106" w:right="68"/>
              <w:jc w:val="center"/>
              <w:rPr>
                <w:sz w:val="17"/>
              </w:rPr>
            </w:pPr>
            <w:r>
              <w:rPr>
                <w:spacing w:val="-4"/>
                <w:sz w:val="17"/>
              </w:rPr>
              <w:t>14.6</w:t>
            </w:r>
          </w:p>
        </w:tc>
        <w:tc>
          <w:tcPr>
            <w:tcW w:w="631" w:type="dxa"/>
            <w:tcBorders>
              <w:top w:val="single" w:color="DCDDDE" w:sz="4" w:space="0"/>
              <w:bottom w:val="single" w:color="DCDDDE" w:sz="4" w:space="0"/>
            </w:tcBorders>
          </w:tcPr>
          <w:p w:rsidR="00C31389" w:rsidRDefault="00561FBD" w14:paraId="569BAFE0" w14:textId="77777777">
            <w:pPr>
              <w:pStyle w:val="TableParagraph"/>
              <w:spacing w:before="139"/>
              <w:ind w:left="106" w:right="70"/>
              <w:jc w:val="center"/>
              <w:rPr>
                <w:sz w:val="17"/>
              </w:rPr>
            </w:pPr>
            <w:r>
              <w:rPr>
                <w:spacing w:val="-4"/>
                <w:sz w:val="17"/>
              </w:rPr>
              <w:t>14.2</w:t>
            </w:r>
          </w:p>
        </w:tc>
        <w:tc>
          <w:tcPr>
            <w:tcW w:w="631" w:type="dxa"/>
            <w:tcBorders>
              <w:top w:val="single" w:color="DCDDDE" w:sz="4" w:space="0"/>
              <w:bottom w:val="single" w:color="DCDDDE" w:sz="4" w:space="0"/>
            </w:tcBorders>
          </w:tcPr>
          <w:p w:rsidR="00C31389" w:rsidRDefault="00561FBD" w14:paraId="2DB716F1" w14:textId="77777777">
            <w:pPr>
              <w:pStyle w:val="TableParagraph"/>
              <w:spacing w:before="139"/>
              <w:ind w:right="130"/>
              <w:jc w:val="right"/>
              <w:rPr>
                <w:sz w:val="17"/>
              </w:rPr>
            </w:pPr>
            <w:r>
              <w:rPr>
                <w:spacing w:val="-4"/>
                <w:sz w:val="17"/>
              </w:rPr>
              <w:t>13.6</w:t>
            </w:r>
          </w:p>
        </w:tc>
        <w:tc>
          <w:tcPr>
            <w:tcW w:w="631" w:type="dxa"/>
            <w:tcBorders>
              <w:top w:val="single" w:color="DCDDDE" w:sz="4" w:space="0"/>
              <w:bottom w:val="single" w:color="DCDDDE" w:sz="4" w:space="0"/>
            </w:tcBorders>
          </w:tcPr>
          <w:p w:rsidR="00C31389" w:rsidRDefault="00561FBD" w14:paraId="63F7EAF9" w14:textId="77777777">
            <w:pPr>
              <w:pStyle w:val="TableParagraph"/>
              <w:spacing w:before="139"/>
              <w:ind w:right="131"/>
              <w:jc w:val="right"/>
              <w:rPr>
                <w:sz w:val="17"/>
              </w:rPr>
            </w:pPr>
            <w:r>
              <w:rPr>
                <w:spacing w:val="-4"/>
                <w:sz w:val="17"/>
              </w:rPr>
              <w:t>12.6</w:t>
            </w:r>
          </w:p>
        </w:tc>
        <w:tc>
          <w:tcPr>
            <w:tcW w:w="631" w:type="dxa"/>
            <w:tcBorders>
              <w:top w:val="single" w:color="DCDDDE" w:sz="4" w:space="0"/>
              <w:bottom w:val="single" w:color="DCDDDE" w:sz="4" w:space="0"/>
            </w:tcBorders>
          </w:tcPr>
          <w:p w:rsidR="00C31389" w:rsidRDefault="00561FBD" w14:paraId="38FE40FA" w14:textId="77777777">
            <w:pPr>
              <w:pStyle w:val="TableParagraph"/>
              <w:spacing w:before="139"/>
              <w:ind w:left="106" w:right="76"/>
              <w:jc w:val="center"/>
              <w:rPr>
                <w:sz w:val="17"/>
              </w:rPr>
            </w:pPr>
            <w:r>
              <w:rPr>
                <w:spacing w:val="-4"/>
                <w:sz w:val="17"/>
              </w:rPr>
              <w:t>12.3</w:t>
            </w:r>
          </w:p>
        </w:tc>
        <w:tc>
          <w:tcPr>
            <w:tcW w:w="631" w:type="dxa"/>
            <w:tcBorders>
              <w:top w:val="single" w:color="DCDDDE" w:sz="4" w:space="0"/>
              <w:bottom w:val="single" w:color="DCDDDE" w:sz="4" w:space="0"/>
            </w:tcBorders>
          </w:tcPr>
          <w:p w:rsidR="00C31389" w:rsidRDefault="00561FBD" w14:paraId="0D0F8D97" w14:textId="77777777">
            <w:pPr>
              <w:pStyle w:val="TableParagraph"/>
              <w:spacing w:before="139"/>
              <w:ind w:right="133"/>
              <w:jc w:val="right"/>
              <w:rPr>
                <w:sz w:val="17"/>
              </w:rPr>
            </w:pPr>
            <w:r>
              <w:rPr>
                <w:spacing w:val="-4"/>
                <w:sz w:val="17"/>
              </w:rPr>
              <w:t>11.9</w:t>
            </w:r>
          </w:p>
        </w:tc>
        <w:tc>
          <w:tcPr>
            <w:tcW w:w="613" w:type="dxa"/>
            <w:tcBorders>
              <w:top w:val="single" w:color="DCDDDE" w:sz="4" w:space="0"/>
              <w:bottom w:val="single" w:color="DCDDDE" w:sz="4" w:space="0"/>
            </w:tcBorders>
          </w:tcPr>
          <w:p w:rsidR="00C31389" w:rsidRDefault="00561FBD" w14:paraId="28B79A5F" w14:textId="77777777">
            <w:pPr>
              <w:pStyle w:val="TableParagraph"/>
              <w:spacing w:before="139"/>
              <w:ind w:right="116"/>
              <w:jc w:val="right"/>
              <w:rPr>
                <w:sz w:val="17"/>
              </w:rPr>
            </w:pPr>
            <w:r>
              <w:rPr>
                <w:spacing w:val="-4"/>
                <w:sz w:val="17"/>
              </w:rPr>
              <w:t>11.5</w:t>
            </w:r>
          </w:p>
        </w:tc>
      </w:tr>
      <w:tr w:rsidR="00C31389" w14:paraId="01EA1B94" w14:textId="77777777">
        <w:trPr>
          <w:trHeight w:val="470"/>
        </w:trPr>
        <w:tc>
          <w:tcPr>
            <w:tcW w:w="1507" w:type="dxa"/>
            <w:tcBorders>
              <w:top w:val="single" w:color="DCDDDE" w:sz="4" w:space="0"/>
              <w:bottom w:val="single" w:color="545658" w:sz="8" w:space="0"/>
            </w:tcBorders>
          </w:tcPr>
          <w:p w:rsidR="00C31389" w:rsidRDefault="00561FBD" w14:paraId="60913E96" w14:textId="77777777">
            <w:pPr>
              <w:pStyle w:val="TableParagraph"/>
              <w:spacing w:before="39"/>
              <w:ind w:left="122" w:right="280"/>
              <w:rPr>
                <w:sz w:val="17"/>
              </w:rPr>
            </w:pPr>
            <w:r>
              <w:rPr>
                <w:sz w:val="17"/>
              </w:rPr>
              <w:t>w/o</w:t>
            </w:r>
            <w:r>
              <w:rPr>
                <w:spacing w:val="-12"/>
                <w:sz w:val="17"/>
              </w:rPr>
              <w:t xml:space="preserve"> </w:t>
            </w:r>
            <w:r>
              <w:rPr>
                <w:sz w:val="17"/>
              </w:rPr>
              <w:t xml:space="preserve">Interactive </w:t>
            </w:r>
            <w:r>
              <w:rPr>
                <w:spacing w:val="-2"/>
                <w:sz w:val="17"/>
              </w:rPr>
              <w:t>Effects</w:t>
            </w:r>
          </w:p>
        </w:tc>
        <w:tc>
          <w:tcPr>
            <w:tcW w:w="861" w:type="dxa"/>
            <w:tcBorders>
              <w:top w:val="single" w:color="DCDDDE" w:sz="4" w:space="0"/>
              <w:bottom w:val="single" w:color="545658" w:sz="8" w:space="0"/>
            </w:tcBorders>
          </w:tcPr>
          <w:p w:rsidR="00C31389" w:rsidRDefault="00561FBD" w14:paraId="3F1AE98B" w14:textId="77777777">
            <w:pPr>
              <w:pStyle w:val="TableParagraph"/>
              <w:spacing w:before="139"/>
              <w:ind w:right="192"/>
              <w:jc w:val="right"/>
              <w:rPr>
                <w:sz w:val="17"/>
              </w:rPr>
            </w:pPr>
            <w:r>
              <w:rPr>
                <w:spacing w:val="-4"/>
                <w:sz w:val="17"/>
              </w:rPr>
              <w:t>28.0</w:t>
            </w:r>
          </w:p>
        </w:tc>
        <w:tc>
          <w:tcPr>
            <w:tcW w:w="712" w:type="dxa"/>
            <w:tcBorders>
              <w:top w:val="single" w:color="DCDDDE" w:sz="4" w:space="0"/>
              <w:bottom w:val="single" w:color="545658" w:sz="8" w:space="0"/>
            </w:tcBorders>
          </w:tcPr>
          <w:p w:rsidR="00C31389" w:rsidRDefault="00561FBD" w14:paraId="067E464D" w14:textId="77777777">
            <w:pPr>
              <w:pStyle w:val="TableParagraph"/>
              <w:spacing w:before="139"/>
              <w:ind w:right="138"/>
              <w:jc w:val="right"/>
              <w:rPr>
                <w:sz w:val="17"/>
              </w:rPr>
            </w:pPr>
            <w:r>
              <w:rPr>
                <w:spacing w:val="-4"/>
                <w:sz w:val="17"/>
              </w:rPr>
              <w:t>27.3</w:t>
            </w:r>
          </w:p>
        </w:tc>
        <w:tc>
          <w:tcPr>
            <w:tcW w:w="644" w:type="dxa"/>
            <w:tcBorders>
              <w:top w:val="single" w:color="DCDDDE" w:sz="4" w:space="0"/>
              <w:bottom w:val="single" w:color="545658" w:sz="8" w:space="0"/>
            </w:tcBorders>
          </w:tcPr>
          <w:p w:rsidR="00C31389" w:rsidRDefault="00561FBD" w14:paraId="355BB26B" w14:textId="77777777">
            <w:pPr>
              <w:pStyle w:val="TableParagraph"/>
              <w:spacing w:before="139"/>
              <w:ind w:right="125"/>
              <w:jc w:val="right"/>
              <w:rPr>
                <w:sz w:val="17"/>
              </w:rPr>
            </w:pPr>
            <w:r>
              <w:rPr>
                <w:spacing w:val="-4"/>
                <w:sz w:val="17"/>
              </w:rPr>
              <w:t>18.1</w:t>
            </w:r>
          </w:p>
        </w:tc>
        <w:tc>
          <w:tcPr>
            <w:tcW w:w="631" w:type="dxa"/>
            <w:tcBorders>
              <w:top w:val="single" w:color="DCDDDE" w:sz="4" w:space="0"/>
              <w:bottom w:val="single" w:color="545658" w:sz="8" w:space="0"/>
            </w:tcBorders>
          </w:tcPr>
          <w:p w:rsidR="00C31389" w:rsidRDefault="00561FBD" w14:paraId="19D8806D" w14:textId="77777777">
            <w:pPr>
              <w:pStyle w:val="TableParagraph"/>
              <w:spacing w:before="139"/>
              <w:ind w:right="126"/>
              <w:jc w:val="right"/>
              <w:rPr>
                <w:sz w:val="17"/>
              </w:rPr>
            </w:pPr>
            <w:r>
              <w:rPr>
                <w:spacing w:val="-4"/>
                <w:sz w:val="17"/>
              </w:rPr>
              <w:t>18.0</w:t>
            </w:r>
          </w:p>
        </w:tc>
        <w:tc>
          <w:tcPr>
            <w:tcW w:w="631" w:type="dxa"/>
            <w:tcBorders>
              <w:top w:val="single" w:color="DCDDDE" w:sz="4" w:space="0"/>
              <w:bottom w:val="single" w:color="545658" w:sz="8" w:space="0"/>
            </w:tcBorders>
          </w:tcPr>
          <w:p w:rsidR="00C31389" w:rsidRDefault="00561FBD" w14:paraId="21C38900" w14:textId="77777777">
            <w:pPr>
              <w:pStyle w:val="TableParagraph"/>
              <w:spacing w:before="139"/>
              <w:ind w:right="127"/>
              <w:jc w:val="right"/>
              <w:rPr>
                <w:sz w:val="17"/>
              </w:rPr>
            </w:pPr>
            <w:r>
              <w:rPr>
                <w:spacing w:val="-4"/>
                <w:sz w:val="17"/>
              </w:rPr>
              <w:t>16.7</w:t>
            </w:r>
          </w:p>
        </w:tc>
        <w:tc>
          <w:tcPr>
            <w:tcW w:w="631" w:type="dxa"/>
            <w:tcBorders>
              <w:top w:val="single" w:color="DCDDDE" w:sz="4" w:space="0"/>
              <w:bottom w:val="single" w:color="545658" w:sz="8" w:space="0"/>
            </w:tcBorders>
          </w:tcPr>
          <w:p w:rsidR="00C31389" w:rsidRDefault="00561FBD" w14:paraId="656B8FB4" w14:textId="77777777">
            <w:pPr>
              <w:pStyle w:val="TableParagraph"/>
              <w:spacing w:before="139"/>
              <w:ind w:left="106" w:right="68"/>
              <w:jc w:val="center"/>
              <w:rPr>
                <w:sz w:val="17"/>
              </w:rPr>
            </w:pPr>
            <w:r>
              <w:rPr>
                <w:spacing w:val="-4"/>
                <w:sz w:val="17"/>
              </w:rPr>
              <w:t>15.2</w:t>
            </w:r>
          </w:p>
        </w:tc>
        <w:tc>
          <w:tcPr>
            <w:tcW w:w="631" w:type="dxa"/>
            <w:tcBorders>
              <w:top w:val="single" w:color="DCDDDE" w:sz="4" w:space="0"/>
              <w:bottom w:val="single" w:color="545658" w:sz="8" w:space="0"/>
            </w:tcBorders>
          </w:tcPr>
          <w:p w:rsidR="00C31389" w:rsidRDefault="00561FBD" w14:paraId="6A74C9E6" w14:textId="77777777">
            <w:pPr>
              <w:pStyle w:val="TableParagraph"/>
              <w:spacing w:before="139"/>
              <w:ind w:left="106" w:right="70"/>
              <w:jc w:val="center"/>
              <w:rPr>
                <w:sz w:val="17"/>
              </w:rPr>
            </w:pPr>
            <w:r>
              <w:rPr>
                <w:spacing w:val="-4"/>
                <w:sz w:val="17"/>
              </w:rPr>
              <w:t>14.7</w:t>
            </w:r>
          </w:p>
        </w:tc>
        <w:tc>
          <w:tcPr>
            <w:tcW w:w="631" w:type="dxa"/>
            <w:tcBorders>
              <w:top w:val="single" w:color="DCDDDE" w:sz="4" w:space="0"/>
              <w:bottom w:val="single" w:color="545658" w:sz="8" w:space="0"/>
            </w:tcBorders>
          </w:tcPr>
          <w:p w:rsidR="00C31389" w:rsidRDefault="00561FBD" w14:paraId="1D7270C5" w14:textId="77777777">
            <w:pPr>
              <w:pStyle w:val="TableParagraph"/>
              <w:spacing w:before="139"/>
              <w:ind w:right="130"/>
              <w:jc w:val="right"/>
              <w:rPr>
                <w:sz w:val="17"/>
              </w:rPr>
            </w:pPr>
            <w:r>
              <w:rPr>
                <w:spacing w:val="-4"/>
                <w:sz w:val="17"/>
              </w:rPr>
              <w:t>14.0</w:t>
            </w:r>
          </w:p>
        </w:tc>
        <w:tc>
          <w:tcPr>
            <w:tcW w:w="631" w:type="dxa"/>
            <w:tcBorders>
              <w:top w:val="single" w:color="DCDDDE" w:sz="4" w:space="0"/>
              <w:bottom w:val="single" w:color="545658" w:sz="8" w:space="0"/>
            </w:tcBorders>
          </w:tcPr>
          <w:p w:rsidR="00C31389" w:rsidRDefault="00561FBD" w14:paraId="4A5D04D7" w14:textId="77777777">
            <w:pPr>
              <w:pStyle w:val="TableParagraph"/>
              <w:spacing w:before="139"/>
              <w:ind w:right="131"/>
              <w:jc w:val="right"/>
              <w:rPr>
                <w:sz w:val="17"/>
              </w:rPr>
            </w:pPr>
            <w:r>
              <w:rPr>
                <w:spacing w:val="-4"/>
                <w:sz w:val="17"/>
              </w:rPr>
              <w:t>13.1</w:t>
            </w:r>
          </w:p>
        </w:tc>
        <w:tc>
          <w:tcPr>
            <w:tcW w:w="631" w:type="dxa"/>
            <w:tcBorders>
              <w:top w:val="single" w:color="DCDDDE" w:sz="4" w:space="0"/>
              <w:bottom w:val="single" w:color="545658" w:sz="8" w:space="0"/>
            </w:tcBorders>
          </w:tcPr>
          <w:p w:rsidR="00C31389" w:rsidRDefault="00561FBD" w14:paraId="6D8F8CB0" w14:textId="77777777">
            <w:pPr>
              <w:pStyle w:val="TableParagraph"/>
              <w:spacing w:before="139"/>
              <w:ind w:left="106" w:right="76"/>
              <w:jc w:val="center"/>
              <w:rPr>
                <w:sz w:val="17"/>
              </w:rPr>
            </w:pPr>
            <w:r>
              <w:rPr>
                <w:spacing w:val="-4"/>
                <w:sz w:val="17"/>
              </w:rPr>
              <w:t>12.7</w:t>
            </w:r>
          </w:p>
        </w:tc>
        <w:tc>
          <w:tcPr>
            <w:tcW w:w="631" w:type="dxa"/>
            <w:tcBorders>
              <w:top w:val="single" w:color="DCDDDE" w:sz="4" w:space="0"/>
              <w:bottom w:val="single" w:color="545658" w:sz="8" w:space="0"/>
            </w:tcBorders>
          </w:tcPr>
          <w:p w:rsidR="00C31389" w:rsidRDefault="00561FBD" w14:paraId="37151AF3" w14:textId="77777777">
            <w:pPr>
              <w:pStyle w:val="TableParagraph"/>
              <w:spacing w:before="139"/>
              <w:ind w:right="133"/>
              <w:jc w:val="right"/>
              <w:rPr>
                <w:sz w:val="17"/>
              </w:rPr>
            </w:pPr>
            <w:r>
              <w:rPr>
                <w:spacing w:val="-4"/>
                <w:sz w:val="17"/>
              </w:rPr>
              <w:t>12.3</w:t>
            </w:r>
          </w:p>
        </w:tc>
        <w:tc>
          <w:tcPr>
            <w:tcW w:w="613" w:type="dxa"/>
            <w:tcBorders>
              <w:top w:val="single" w:color="DCDDDE" w:sz="4" w:space="0"/>
              <w:bottom w:val="single" w:color="545658" w:sz="8" w:space="0"/>
            </w:tcBorders>
          </w:tcPr>
          <w:p w:rsidR="00C31389" w:rsidRDefault="00561FBD" w14:paraId="3FB79C0B" w14:textId="77777777">
            <w:pPr>
              <w:pStyle w:val="TableParagraph"/>
              <w:spacing w:before="139"/>
              <w:ind w:right="116"/>
              <w:jc w:val="right"/>
              <w:rPr>
                <w:sz w:val="17"/>
              </w:rPr>
            </w:pPr>
            <w:r>
              <w:rPr>
                <w:spacing w:val="-4"/>
                <w:sz w:val="17"/>
              </w:rPr>
              <w:t>11.9</w:t>
            </w:r>
          </w:p>
        </w:tc>
      </w:tr>
    </w:tbl>
    <w:p w:rsidR="00C31389" w:rsidRDefault="00561FBD" w14:paraId="0D30BE7B" w14:textId="77777777">
      <w:pPr>
        <w:spacing w:before="64"/>
        <w:ind w:left="220"/>
        <w:rPr>
          <w:i/>
          <w:sz w:val="18"/>
        </w:rPr>
      </w:pPr>
      <w:r>
        <w:rPr>
          <w:i/>
          <w:sz w:val="18"/>
        </w:rPr>
        <w:t>Source:</w:t>
      </w:r>
      <w:r>
        <w:rPr>
          <w:i/>
          <w:spacing w:val="-4"/>
          <w:sz w:val="18"/>
        </w:rPr>
        <w:t xml:space="preserve"> </w:t>
      </w:r>
      <w:r>
        <w:rPr>
          <w:i/>
          <w:spacing w:val="-2"/>
          <w:sz w:val="18"/>
        </w:rPr>
        <w:t>Guidehouse</w:t>
      </w:r>
    </w:p>
    <w:p w:rsidR="00C31389" w:rsidRDefault="00C31389" w14:paraId="220833A1" w14:textId="77777777">
      <w:pPr>
        <w:pStyle w:val="BodyText"/>
        <w:spacing w:before="11"/>
        <w:rPr>
          <w:i/>
          <w:sz w:val="20"/>
        </w:rPr>
      </w:pPr>
    </w:p>
    <w:p w:rsidR="00C31389" w:rsidRDefault="00561FBD" w14:paraId="2FB161C6" w14:textId="77777777">
      <w:pPr>
        <w:pStyle w:val="ListParagraph"/>
        <w:numPr>
          <w:ilvl w:val="2"/>
          <w:numId w:val="4"/>
        </w:numPr>
        <w:tabs>
          <w:tab w:val="left" w:pos="936"/>
        </w:tabs>
        <w:ind w:left="936" w:hanging="716"/>
        <w:rPr>
          <w:b/>
          <w:sz w:val="24"/>
        </w:rPr>
      </w:pPr>
      <w:bookmarkStart w:name="J.3.4_SDG&amp;E" w:id="715"/>
      <w:bookmarkEnd w:id="715"/>
      <w:r>
        <w:rPr>
          <w:b/>
          <w:spacing w:val="-2"/>
          <w:sz w:val="24"/>
        </w:rPr>
        <w:t>SDG&amp;E</w:t>
      </w:r>
    </w:p>
    <w:p w:rsidR="00C31389" w:rsidRDefault="00C31389" w14:paraId="4300BFA9" w14:textId="77777777">
      <w:pPr>
        <w:pStyle w:val="BodyText"/>
        <w:spacing w:before="9"/>
        <w:rPr>
          <w:b/>
          <w:sz w:val="12"/>
        </w:rPr>
      </w:pPr>
    </w:p>
    <w:p w:rsidR="00C31389" w:rsidRDefault="00561FBD" w14:paraId="0EC5869C" w14:textId="77777777">
      <w:pPr>
        <w:pStyle w:val="Heading7"/>
        <w:spacing w:before="93"/>
        <w:ind w:left="1979" w:right="1962"/>
        <w:jc w:val="center"/>
      </w:pPr>
      <w:bookmarkStart w:name="_bookmark544" w:id="716"/>
      <w:bookmarkEnd w:id="716"/>
      <w:r>
        <w:t>Table</w:t>
      </w:r>
      <w:r>
        <w:rPr>
          <w:spacing w:val="-8"/>
        </w:rPr>
        <w:t xml:space="preserve"> </w:t>
      </w:r>
      <w:r>
        <w:t>J-18.</w:t>
      </w:r>
      <w:r>
        <w:rPr>
          <w:spacing w:val="-9"/>
        </w:rPr>
        <w:t xml:space="preserve"> </w:t>
      </w:r>
      <w:r>
        <w:t>SDG&amp;E</w:t>
      </w:r>
      <w:r>
        <w:rPr>
          <w:spacing w:val="-8"/>
        </w:rPr>
        <w:t xml:space="preserve"> </w:t>
      </w:r>
      <w:r>
        <w:t>Electric</w:t>
      </w:r>
      <w:r>
        <w:rPr>
          <w:spacing w:val="-8"/>
        </w:rPr>
        <w:t xml:space="preserve"> </w:t>
      </w:r>
      <w:r>
        <w:t>Energy</w:t>
      </w:r>
      <w:r>
        <w:rPr>
          <w:spacing w:val="-8"/>
        </w:rPr>
        <w:t xml:space="preserve"> </w:t>
      </w:r>
      <w:r>
        <w:t>Savings</w:t>
      </w:r>
      <w:r>
        <w:rPr>
          <w:spacing w:val="-8"/>
        </w:rPr>
        <w:t xml:space="preserve"> </w:t>
      </w:r>
      <w:r>
        <w:rPr>
          <w:spacing w:val="-2"/>
        </w:rPr>
        <w:t>(GWh/year)</w:t>
      </w:r>
    </w:p>
    <w:p w:rsidR="00C31389" w:rsidRDefault="00C31389" w14:paraId="4AC9C020"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364"/>
        <w:gridCol w:w="681"/>
        <w:gridCol w:w="667"/>
        <w:gridCol w:w="667"/>
        <w:gridCol w:w="668"/>
        <w:gridCol w:w="668"/>
        <w:gridCol w:w="667"/>
        <w:gridCol w:w="667"/>
        <w:gridCol w:w="668"/>
        <w:gridCol w:w="668"/>
        <w:gridCol w:w="691"/>
        <w:gridCol w:w="667"/>
        <w:gridCol w:w="631"/>
      </w:tblGrid>
      <w:tr w:rsidR="00C31389" w14:paraId="4EBFD494" w14:textId="77777777">
        <w:trPr>
          <w:trHeight w:val="304"/>
        </w:trPr>
        <w:tc>
          <w:tcPr>
            <w:tcW w:w="1364" w:type="dxa"/>
            <w:shd w:val="clear" w:color="auto" w:fill="92D400"/>
          </w:tcPr>
          <w:p w:rsidR="00C31389" w:rsidRDefault="00561FBD" w14:paraId="38DC60F8" w14:textId="77777777">
            <w:pPr>
              <w:pStyle w:val="TableParagraph"/>
              <w:spacing w:before="41"/>
              <w:ind w:left="121"/>
              <w:rPr>
                <w:b/>
                <w:sz w:val="17"/>
              </w:rPr>
            </w:pPr>
            <w:r>
              <w:rPr>
                <w:b/>
                <w:spacing w:val="-4"/>
                <w:sz w:val="17"/>
              </w:rPr>
              <w:t>Year</w:t>
            </w:r>
          </w:p>
        </w:tc>
        <w:tc>
          <w:tcPr>
            <w:tcW w:w="681" w:type="dxa"/>
            <w:shd w:val="clear" w:color="auto" w:fill="92D400"/>
          </w:tcPr>
          <w:p w:rsidR="00C31389" w:rsidRDefault="00561FBD" w14:paraId="7980DFA9" w14:textId="77777777">
            <w:pPr>
              <w:pStyle w:val="TableParagraph"/>
              <w:spacing w:before="41"/>
              <w:ind w:right="119"/>
              <w:jc w:val="right"/>
              <w:rPr>
                <w:b/>
                <w:sz w:val="17"/>
              </w:rPr>
            </w:pPr>
            <w:r>
              <w:rPr>
                <w:b/>
                <w:spacing w:val="-4"/>
                <w:sz w:val="17"/>
              </w:rPr>
              <w:t>2024</w:t>
            </w:r>
          </w:p>
        </w:tc>
        <w:tc>
          <w:tcPr>
            <w:tcW w:w="667" w:type="dxa"/>
            <w:shd w:val="clear" w:color="auto" w:fill="92D400"/>
          </w:tcPr>
          <w:p w:rsidR="00C31389" w:rsidRDefault="00561FBD" w14:paraId="601140DE" w14:textId="77777777">
            <w:pPr>
              <w:pStyle w:val="TableParagraph"/>
              <w:spacing w:before="41"/>
              <w:ind w:left="105" w:right="57"/>
              <w:jc w:val="center"/>
              <w:rPr>
                <w:b/>
                <w:sz w:val="17"/>
              </w:rPr>
            </w:pPr>
            <w:r>
              <w:rPr>
                <w:b/>
                <w:spacing w:val="-4"/>
                <w:sz w:val="17"/>
              </w:rPr>
              <w:t>2025</w:t>
            </w:r>
          </w:p>
        </w:tc>
        <w:tc>
          <w:tcPr>
            <w:tcW w:w="667" w:type="dxa"/>
            <w:shd w:val="clear" w:color="auto" w:fill="92D400"/>
          </w:tcPr>
          <w:p w:rsidR="00C31389" w:rsidRDefault="00561FBD" w14:paraId="10F262D6" w14:textId="77777777">
            <w:pPr>
              <w:pStyle w:val="TableParagraph"/>
              <w:spacing w:before="41"/>
              <w:ind w:right="118"/>
              <w:jc w:val="right"/>
              <w:rPr>
                <w:b/>
                <w:sz w:val="17"/>
              </w:rPr>
            </w:pPr>
            <w:r>
              <w:rPr>
                <w:b/>
                <w:spacing w:val="-4"/>
                <w:sz w:val="17"/>
              </w:rPr>
              <w:t>2026</w:t>
            </w:r>
          </w:p>
        </w:tc>
        <w:tc>
          <w:tcPr>
            <w:tcW w:w="668" w:type="dxa"/>
            <w:shd w:val="clear" w:color="auto" w:fill="92D400"/>
          </w:tcPr>
          <w:p w:rsidR="00C31389" w:rsidRDefault="00561FBD" w14:paraId="3DC66B95" w14:textId="77777777">
            <w:pPr>
              <w:pStyle w:val="TableParagraph"/>
              <w:spacing w:before="41"/>
              <w:ind w:right="118"/>
              <w:jc w:val="right"/>
              <w:rPr>
                <w:b/>
                <w:sz w:val="17"/>
              </w:rPr>
            </w:pPr>
            <w:r>
              <w:rPr>
                <w:b/>
                <w:spacing w:val="-4"/>
                <w:sz w:val="17"/>
              </w:rPr>
              <w:t>2027</w:t>
            </w:r>
          </w:p>
        </w:tc>
        <w:tc>
          <w:tcPr>
            <w:tcW w:w="668" w:type="dxa"/>
            <w:shd w:val="clear" w:color="auto" w:fill="92D400"/>
          </w:tcPr>
          <w:p w:rsidR="00C31389" w:rsidRDefault="00561FBD" w14:paraId="001A03AE" w14:textId="77777777">
            <w:pPr>
              <w:pStyle w:val="TableParagraph"/>
              <w:spacing w:before="41"/>
              <w:ind w:left="106" w:right="60"/>
              <w:jc w:val="center"/>
              <w:rPr>
                <w:b/>
                <w:sz w:val="17"/>
              </w:rPr>
            </w:pPr>
            <w:r>
              <w:rPr>
                <w:b/>
                <w:spacing w:val="-4"/>
                <w:sz w:val="17"/>
              </w:rPr>
              <w:t>2028</w:t>
            </w:r>
          </w:p>
        </w:tc>
        <w:tc>
          <w:tcPr>
            <w:tcW w:w="667" w:type="dxa"/>
            <w:shd w:val="clear" w:color="auto" w:fill="92D400"/>
          </w:tcPr>
          <w:p w:rsidR="00C31389" w:rsidRDefault="00561FBD" w14:paraId="010BE7CE" w14:textId="77777777">
            <w:pPr>
              <w:pStyle w:val="TableParagraph"/>
              <w:spacing w:before="41"/>
              <w:ind w:right="117"/>
              <w:jc w:val="right"/>
              <w:rPr>
                <w:b/>
                <w:sz w:val="17"/>
              </w:rPr>
            </w:pPr>
            <w:r>
              <w:rPr>
                <w:b/>
                <w:spacing w:val="-4"/>
                <w:sz w:val="17"/>
              </w:rPr>
              <w:t>2029</w:t>
            </w:r>
          </w:p>
        </w:tc>
        <w:tc>
          <w:tcPr>
            <w:tcW w:w="667" w:type="dxa"/>
            <w:shd w:val="clear" w:color="auto" w:fill="92D400"/>
          </w:tcPr>
          <w:p w:rsidR="00C31389" w:rsidRDefault="00561FBD" w14:paraId="40C88927" w14:textId="77777777">
            <w:pPr>
              <w:pStyle w:val="TableParagraph"/>
              <w:spacing w:before="41"/>
              <w:ind w:right="118"/>
              <w:jc w:val="right"/>
              <w:rPr>
                <w:b/>
                <w:sz w:val="17"/>
              </w:rPr>
            </w:pPr>
            <w:r>
              <w:rPr>
                <w:b/>
                <w:spacing w:val="-4"/>
                <w:sz w:val="17"/>
              </w:rPr>
              <w:t>2030</w:t>
            </w:r>
          </w:p>
        </w:tc>
        <w:tc>
          <w:tcPr>
            <w:tcW w:w="668" w:type="dxa"/>
            <w:shd w:val="clear" w:color="auto" w:fill="92D400"/>
          </w:tcPr>
          <w:p w:rsidR="00C31389" w:rsidRDefault="00561FBD" w14:paraId="684271AC" w14:textId="77777777">
            <w:pPr>
              <w:pStyle w:val="TableParagraph"/>
              <w:spacing w:before="41"/>
              <w:ind w:left="106" w:right="58"/>
              <w:jc w:val="center"/>
              <w:rPr>
                <w:b/>
                <w:sz w:val="17"/>
              </w:rPr>
            </w:pPr>
            <w:r>
              <w:rPr>
                <w:b/>
                <w:spacing w:val="-4"/>
                <w:sz w:val="17"/>
              </w:rPr>
              <w:t>2031</w:t>
            </w:r>
          </w:p>
        </w:tc>
        <w:tc>
          <w:tcPr>
            <w:tcW w:w="668" w:type="dxa"/>
            <w:shd w:val="clear" w:color="auto" w:fill="92D400"/>
          </w:tcPr>
          <w:p w:rsidR="00C31389" w:rsidRDefault="00561FBD" w14:paraId="580FC41A" w14:textId="77777777">
            <w:pPr>
              <w:pStyle w:val="TableParagraph"/>
              <w:spacing w:before="41"/>
              <w:ind w:right="119"/>
              <w:jc w:val="right"/>
              <w:rPr>
                <w:b/>
                <w:sz w:val="17"/>
              </w:rPr>
            </w:pPr>
            <w:r>
              <w:rPr>
                <w:b/>
                <w:spacing w:val="-4"/>
                <w:sz w:val="17"/>
              </w:rPr>
              <w:t>2032</w:t>
            </w:r>
          </w:p>
        </w:tc>
        <w:tc>
          <w:tcPr>
            <w:tcW w:w="691" w:type="dxa"/>
            <w:shd w:val="clear" w:color="auto" w:fill="92D400"/>
          </w:tcPr>
          <w:p w:rsidR="00C31389" w:rsidRDefault="00561FBD" w14:paraId="6FE2F382" w14:textId="77777777">
            <w:pPr>
              <w:pStyle w:val="TableParagraph"/>
              <w:spacing w:before="41"/>
              <w:ind w:right="141"/>
              <w:jc w:val="right"/>
              <w:rPr>
                <w:b/>
                <w:sz w:val="17"/>
              </w:rPr>
            </w:pPr>
            <w:r>
              <w:rPr>
                <w:b/>
                <w:spacing w:val="-4"/>
                <w:sz w:val="17"/>
              </w:rPr>
              <w:t>2033</w:t>
            </w:r>
          </w:p>
        </w:tc>
        <w:tc>
          <w:tcPr>
            <w:tcW w:w="667" w:type="dxa"/>
            <w:shd w:val="clear" w:color="auto" w:fill="92D400"/>
          </w:tcPr>
          <w:p w:rsidR="00C31389" w:rsidRDefault="00561FBD" w14:paraId="70A4A8CD" w14:textId="77777777">
            <w:pPr>
              <w:pStyle w:val="TableParagraph"/>
              <w:spacing w:before="41"/>
              <w:ind w:left="104" w:right="105"/>
              <w:jc w:val="center"/>
              <w:rPr>
                <w:b/>
                <w:sz w:val="17"/>
              </w:rPr>
            </w:pPr>
            <w:r>
              <w:rPr>
                <w:b/>
                <w:spacing w:val="-4"/>
                <w:sz w:val="17"/>
              </w:rPr>
              <w:t>2034</w:t>
            </w:r>
          </w:p>
        </w:tc>
        <w:tc>
          <w:tcPr>
            <w:tcW w:w="631" w:type="dxa"/>
            <w:shd w:val="clear" w:color="auto" w:fill="92D400"/>
          </w:tcPr>
          <w:p w:rsidR="00C31389" w:rsidRDefault="00561FBD" w14:paraId="77ECB3EF" w14:textId="77777777">
            <w:pPr>
              <w:pStyle w:val="TableParagraph"/>
              <w:spacing w:before="41"/>
              <w:ind w:right="105"/>
              <w:jc w:val="right"/>
              <w:rPr>
                <w:b/>
                <w:sz w:val="17"/>
              </w:rPr>
            </w:pPr>
            <w:r>
              <w:rPr>
                <w:b/>
                <w:spacing w:val="-4"/>
                <w:sz w:val="17"/>
              </w:rPr>
              <w:t>2035</w:t>
            </w:r>
          </w:p>
        </w:tc>
      </w:tr>
      <w:tr w:rsidR="00C31389" w14:paraId="4C872E45" w14:textId="77777777">
        <w:trPr>
          <w:trHeight w:val="275"/>
        </w:trPr>
        <w:tc>
          <w:tcPr>
            <w:tcW w:w="9374" w:type="dxa"/>
            <w:gridSpan w:val="13"/>
            <w:tcBorders>
              <w:bottom w:val="single" w:color="DCDDDE" w:sz="4" w:space="0"/>
            </w:tcBorders>
            <w:shd w:val="clear" w:color="auto" w:fill="BEBEBE"/>
          </w:tcPr>
          <w:p w:rsidR="00C31389" w:rsidRDefault="00561FBD" w14:paraId="304B1C3D" w14:textId="77777777">
            <w:pPr>
              <w:pStyle w:val="TableParagraph"/>
              <w:spacing w:before="41"/>
              <w:ind w:left="121"/>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221B247B" w14:textId="77777777">
        <w:trPr>
          <w:trHeight w:val="275"/>
        </w:trPr>
        <w:tc>
          <w:tcPr>
            <w:tcW w:w="1364" w:type="dxa"/>
            <w:tcBorders>
              <w:top w:val="single" w:color="DCDDDE" w:sz="4" w:space="0"/>
              <w:bottom w:val="single" w:color="DCDDDE" w:sz="4" w:space="0"/>
            </w:tcBorders>
          </w:tcPr>
          <w:p w:rsidR="00C31389" w:rsidRDefault="00561FBD" w14:paraId="7906EC4C" w14:textId="77777777">
            <w:pPr>
              <w:pStyle w:val="TableParagraph"/>
              <w:ind w:left="121"/>
              <w:rPr>
                <w:sz w:val="17"/>
              </w:rPr>
            </w:pPr>
            <w:r>
              <w:rPr>
                <w:spacing w:val="-5"/>
                <w:sz w:val="17"/>
              </w:rPr>
              <w:t>EE</w:t>
            </w:r>
          </w:p>
        </w:tc>
        <w:tc>
          <w:tcPr>
            <w:tcW w:w="681" w:type="dxa"/>
            <w:tcBorders>
              <w:top w:val="single" w:color="DCDDDE" w:sz="4" w:space="0"/>
              <w:bottom w:val="single" w:color="D9D9D9" w:sz="8" w:space="0"/>
            </w:tcBorders>
          </w:tcPr>
          <w:p w:rsidR="00C31389" w:rsidRDefault="00561FBD" w14:paraId="19A41AA5" w14:textId="77777777">
            <w:pPr>
              <w:pStyle w:val="TableParagraph"/>
              <w:ind w:right="120"/>
              <w:jc w:val="right"/>
              <w:rPr>
                <w:sz w:val="17"/>
              </w:rPr>
            </w:pPr>
            <w:r>
              <w:rPr>
                <w:spacing w:val="-4"/>
                <w:sz w:val="17"/>
              </w:rPr>
              <w:t>15.2</w:t>
            </w:r>
          </w:p>
        </w:tc>
        <w:tc>
          <w:tcPr>
            <w:tcW w:w="667" w:type="dxa"/>
            <w:tcBorders>
              <w:top w:val="single" w:color="DCDDDE" w:sz="4" w:space="0"/>
              <w:bottom w:val="single" w:color="D9D9D9" w:sz="8" w:space="0"/>
            </w:tcBorders>
          </w:tcPr>
          <w:p w:rsidR="00C31389" w:rsidRDefault="00561FBD" w14:paraId="479EE94F" w14:textId="77777777">
            <w:pPr>
              <w:pStyle w:val="TableParagraph"/>
              <w:ind w:left="105" w:right="11"/>
              <w:jc w:val="center"/>
              <w:rPr>
                <w:sz w:val="17"/>
              </w:rPr>
            </w:pPr>
            <w:r>
              <w:rPr>
                <w:spacing w:val="-4"/>
                <w:sz w:val="17"/>
              </w:rPr>
              <w:t>14.0</w:t>
            </w:r>
          </w:p>
        </w:tc>
        <w:tc>
          <w:tcPr>
            <w:tcW w:w="667" w:type="dxa"/>
            <w:tcBorders>
              <w:top w:val="single" w:color="DCDDDE" w:sz="4" w:space="0"/>
              <w:bottom w:val="single" w:color="D9D9D9" w:sz="8" w:space="0"/>
            </w:tcBorders>
          </w:tcPr>
          <w:p w:rsidR="00C31389" w:rsidRDefault="00561FBD" w14:paraId="36694C79" w14:textId="77777777">
            <w:pPr>
              <w:pStyle w:val="TableParagraph"/>
              <w:ind w:right="119"/>
              <w:jc w:val="right"/>
              <w:rPr>
                <w:sz w:val="17"/>
              </w:rPr>
            </w:pPr>
            <w:r>
              <w:rPr>
                <w:spacing w:val="-4"/>
                <w:sz w:val="17"/>
              </w:rPr>
              <w:t>12.4</w:t>
            </w:r>
          </w:p>
        </w:tc>
        <w:tc>
          <w:tcPr>
            <w:tcW w:w="668" w:type="dxa"/>
            <w:tcBorders>
              <w:top w:val="single" w:color="DCDDDE" w:sz="4" w:space="0"/>
              <w:bottom w:val="single" w:color="D9D9D9" w:sz="8" w:space="0"/>
            </w:tcBorders>
          </w:tcPr>
          <w:p w:rsidR="00C31389" w:rsidRDefault="00561FBD" w14:paraId="00A79075" w14:textId="77777777">
            <w:pPr>
              <w:pStyle w:val="TableParagraph"/>
              <w:ind w:right="119"/>
              <w:jc w:val="right"/>
              <w:rPr>
                <w:sz w:val="17"/>
              </w:rPr>
            </w:pPr>
            <w:r>
              <w:rPr>
                <w:spacing w:val="-4"/>
                <w:sz w:val="17"/>
              </w:rPr>
              <w:t>11.6</w:t>
            </w:r>
          </w:p>
        </w:tc>
        <w:tc>
          <w:tcPr>
            <w:tcW w:w="668" w:type="dxa"/>
            <w:tcBorders>
              <w:top w:val="single" w:color="DCDDDE" w:sz="4" w:space="0"/>
              <w:bottom w:val="single" w:color="D9D9D9" w:sz="8" w:space="0"/>
            </w:tcBorders>
          </w:tcPr>
          <w:p w:rsidR="00C31389" w:rsidRDefault="00561FBD" w14:paraId="375D8B75" w14:textId="77777777">
            <w:pPr>
              <w:pStyle w:val="TableParagraph"/>
              <w:ind w:left="106" w:right="14"/>
              <w:jc w:val="center"/>
              <w:rPr>
                <w:sz w:val="17"/>
              </w:rPr>
            </w:pPr>
            <w:r>
              <w:rPr>
                <w:spacing w:val="-4"/>
                <w:sz w:val="17"/>
              </w:rPr>
              <w:t>11.0</w:t>
            </w:r>
          </w:p>
        </w:tc>
        <w:tc>
          <w:tcPr>
            <w:tcW w:w="667" w:type="dxa"/>
            <w:tcBorders>
              <w:top w:val="single" w:color="DCDDDE" w:sz="4" w:space="0"/>
              <w:bottom w:val="single" w:color="D9D9D9" w:sz="8" w:space="0"/>
            </w:tcBorders>
          </w:tcPr>
          <w:p w:rsidR="00C31389" w:rsidRDefault="00561FBD" w14:paraId="1ABBCEC4" w14:textId="77777777">
            <w:pPr>
              <w:pStyle w:val="TableParagraph"/>
              <w:ind w:right="118"/>
              <w:jc w:val="right"/>
              <w:rPr>
                <w:sz w:val="17"/>
              </w:rPr>
            </w:pPr>
            <w:r>
              <w:rPr>
                <w:spacing w:val="-5"/>
                <w:sz w:val="17"/>
              </w:rPr>
              <w:t>9.4</w:t>
            </w:r>
          </w:p>
        </w:tc>
        <w:tc>
          <w:tcPr>
            <w:tcW w:w="667" w:type="dxa"/>
            <w:tcBorders>
              <w:top w:val="single" w:color="DCDDDE" w:sz="4" w:space="0"/>
              <w:bottom w:val="single" w:color="D9D9D9" w:sz="8" w:space="0"/>
            </w:tcBorders>
          </w:tcPr>
          <w:p w:rsidR="00C31389" w:rsidRDefault="00561FBD" w14:paraId="31F7EA2E" w14:textId="77777777">
            <w:pPr>
              <w:pStyle w:val="TableParagraph"/>
              <w:ind w:right="119"/>
              <w:jc w:val="right"/>
              <w:rPr>
                <w:sz w:val="17"/>
              </w:rPr>
            </w:pPr>
            <w:r>
              <w:rPr>
                <w:spacing w:val="-5"/>
                <w:sz w:val="17"/>
              </w:rPr>
              <w:t>9.3</w:t>
            </w:r>
          </w:p>
        </w:tc>
        <w:tc>
          <w:tcPr>
            <w:tcW w:w="668" w:type="dxa"/>
            <w:tcBorders>
              <w:top w:val="single" w:color="DCDDDE" w:sz="4" w:space="0"/>
              <w:bottom w:val="single" w:color="D9D9D9" w:sz="8" w:space="0"/>
            </w:tcBorders>
          </w:tcPr>
          <w:p w:rsidR="00C31389" w:rsidRDefault="00561FBD" w14:paraId="0EDFAA4D" w14:textId="77777777">
            <w:pPr>
              <w:pStyle w:val="TableParagraph"/>
              <w:ind w:left="294" w:right="106"/>
              <w:jc w:val="center"/>
              <w:rPr>
                <w:sz w:val="17"/>
              </w:rPr>
            </w:pPr>
            <w:r>
              <w:rPr>
                <w:spacing w:val="-5"/>
                <w:sz w:val="17"/>
              </w:rPr>
              <w:t>9.0</w:t>
            </w:r>
          </w:p>
        </w:tc>
        <w:tc>
          <w:tcPr>
            <w:tcW w:w="668" w:type="dxa"/>
            <w:tcBorders>
              <w:top w:val="single" w:color="DCDDDE" w:sz="4" w:space="0"/>
              <w:bottom w:val="single" w:color="D9D9D9" w:sz="8" w:space="0"/>
            </w:tcBorders>
          </w:tcPr>
          <w:p w:rsidR="00C31389" w:rsidRDefault="00561FBD" w14:paraId="3594F94E" w14:textId="77777777">
            <w:pPr>
              <w:pStyle w:val="TableParagraph"/>
              <w:ind w:right="120"/>
              <w:jc w:val="right"/>
              <w:rPr>
                <w:sz w:val="17"/>
              </w:rPr>
            </w:pPr>
            <w:r>
              <w:rPr>
                <w:spacing w:val="-5"/>
                <w:sz w:val="17"/>
              </w:rPr>
              <w:t>9.1</w:t>
            </w:r>
          </w:p>
        </w:tc>
        <w:tc>
          <w:tcPr>
            <w:tcW w:w="691" w:type="dxa"/>
            <w:tcBorders>
              <w:top w:val="single" w:color="DCDDDE" w:sz="4" w:space="0"/>
              <w:bottom w:val="single" w:color="D9D9D9" w:sz="8" w:space="0"/>
            </w:tcBorders>
          </w:tcPr>
          <w:p w:rsidR="00C31389" w:rsidRDefault="00561FBD" w14:paraId="2F2CFB0E" w14:textId="77777777">
            <w:pPr>
              <w:pStyle w:val="TableParagraph"/>
              <w:ind w:right="142"/>
              <w:jc w:val="right"/>
              <w:rPr>
                <w:sz w:val="17"/>
              </w:rPr>
            </w:pPr>
            <w:r>
              <w:rPr>
                <w:spacing w:val="-5"/>
                <w:sz w:val="17"/>
              </w:rPr>
              <w:t>9.6</w:t>
            </w:r>
          </w:p>
        </w:tc>
        <w:tc>
          <w:tcPr>
            <w:tcW w:w="667" w:type="dxa"/>
            <w:tcBorders>
              <w:top w:val="single" w:color="DCDDDE" w:sz="4" w:space="0"/>
              <w:bottom w:val="single" w:color="D9D9D9" w:sz="8" w:space="0"/>
            </w:tcBorders>
          </w:tcPr>
          <w:p w:rsidR="00C31389" w:rsidRDefault="00561FBD" w14:paraId="6BA81A21" w14:textId="77777777">
            <w:pPr>
              <w:pStyle w:val="TableParagraph"/>
              <w:ind w:left="244" w:right="105"/>
              <w:jc w:val="center"/>
              <w:rPr>
                <w:sz w:val="17"/>
              </w:rPr>
            </w:pPr>
            <w:r>
              <w:rPr>
                <w:spacing w:val="-5"/>
                <w:sz w:val="17"/>
              </w:rPr>
              <w:t>9.7</w:t>
            </w:r>
          </w:p>
        </w:tc>
        <w:tc>
          <w:tcPr>
            <w:tcW w:w="631" w:type="dxa"/>
            <w:tcBorders>
              <w:top w:val="single" w:color="DCDDDE" w:sz="4" w:space="0"/>
              <w:bottom w:val="single" w:color="D9D9D9" w:sz="8" w:space="0"/>
            </w:tcBorders>
          </w:tcPr>
          <w:p w:rsidR="00C31389" w:rsidRDefault="00561FBD" w14:paraId="2AFF6039" w14:textId="77777777">
            <w:pPr>
              <w:pStyle w:val="TableParagraph"/>
              <w:ind w:right="106"/>
              <w:jc w:val="right"/>
              <w:rPr>
                <w:sz w:val="17"/>
              </w:rPr>
            </w:pPr>
            <w:r>
              <w:rPr>
                <w:spacing w:val="-4"/>
                <w:sz w:val="17"/>
              </w:rPr>
              <w:t>10.0</w:t>
            </w:r>
          </w:p>
        </w:tc>
      </w:tr>
      <w:tr w:rsidR="00C31389" w14:paraId="072F958C" w14:textId="77777777">
        <w:trPr>
          <w:trHeight w:val="275"/>
        </w:trPr>
        <w:tc>
          <w:tcPr>
            <w:tcW w:w="1364" w:type="dxa"/>
            <w:tcBorders>
              <w:top w:val="single" w:color="DCDDDE" w:sz="4" w:space="0"/>
              <w:bottom w:val="single" w:color="DCDDDE" w:sz="4" w:space="0"/>
            </w:tcBorders>
          </w:tcPr>
          <w:p w:rsidR="00C31389" w:rsidRDefault="00561FBD" w14:paraId="065337E3" w14:textId="77777777">
            <w:pPr>
              <w:pStyle w:val="TableParagraph"/>
              <w:ind w:left="121"/>
              <w:rPr>
                <w:sz w:val="17"/>
              </w:rPr>
            </w:pPr>
            <w:r>
              <w:rPr>
                <w:spacing w:val="-5"/>
                <w:sz w:val="17"/>
              </w:rPr>
              <w:t>FS</w:t>
            </w:r>
          </w:p>
        </w:tc>
        <w:tc>
          <w:tcPr>
            <w:tcW w:w="681" w:type="dxa"/>
            <w:tcBorders>
              <w:top w:val="single" w:color="D9D9D9" w:sz="8" w:space="0"/>
              <w:bottom w:val="single" w:color="D9D9D9" w:sz="8" w:space="0"/>
            </w:tcBorders>
          </w:tcPr>
          <w:p w:rsidR="00C31389" w:rsidRDefault="00561FBD" w14:paraId="4193B198" w14:textId="77777777">
            <w:pPr>
              <w:pStyle w:val="TableParagraph"/>
              <w:ind w:right="120"/>
              <w:jc w:val="right"/>
              <w:rPr>
                <w:sz w:val="17"/>
              </w:rPr>
            </w:pPr>
            <w:r>
              <w:rPr>
                <w:spacing w:val="-5"/>
                <w:sz w:val="17"/>
              </w:rPr>
              <w:t>0.9</w:t>
            </w:r>
          </w:p>
        </w:tc>
        <w:tc>
          <w:tcPr>
            <w:tcW w:w="667" w:type="dxa"/>
            <w:tcBorders>
              <w:top w:val="single" w:color="D9D9D9" w:sz="8" w:space="0"/>
              <w:bottom w:val="single" w:color="D9D9D9" w:sz="8" w:space="0"/>
            </w:tcBorders>
          </w:tcPr>
          <w:p w:rsidR="00C31389" w:rsidRDefault="00561FBD" w14:paraId="5A10DB8D" w14:textId="77777777">
            <w:pPr>
              <w:pStyle w:val="TableParagraph"/>
              <w:ind w:left="272" w:right="83"/>
              <w:jc w:val="center"/>
              <w:rPr>
                <w:sz w:val="17"/>
              </w:rPr>
            </w:pPr>
            <w:r>
              <w:rPr>
                <w:spacing w:val="-5"/>
                <w:sz w:val="17"/>
              </w:rPr>
              <w:t>1.3</w:t>
            </w:r>
          </w:p>
        </w:tc>
        <w:tc>
          <w:tcPr>
            <w:tcW w:w="667" w:type="dxa"/>
            <w:tcBorders>
              <w:top w:val="single" w:color="D9D9D9" w:sz="8" w:space="0"/>
              <w:bottom w:val="single" w:color="D9D9D9" w:sz="8" w:space="0"/>
            </w:tcBorders>
          </w:tcPr>
          <w:p w:rsidR="00C31389" w:rsidRDefault="00561FBD" w14:paraId="53C38710" w14:textId="77777777">
            <w:pPr>
              <w:pStyle w:val="TableParagraph"/>
              <w:ind w:right="119"/>
              <w:jc w:val="right"/>
              <w:rPr>
                <w:sz w:val="17"/>
              </w:rPr>
            </w:pPr>
            <w:r>
              <w:rPr>
                <w:spacing w:val="-5"/>
                <w:sz w:val="17"/>
              </w:rPr>
              <w:t>3.0</w:t>
            </w:r>
          </w:p>
        </w:tc>
        <w:tc>
          <w:tcPr>
            <w:tcW w:w="668" w:type="dxa"/>
            <w:tcBorders>
              <w:top w:val="single" w:color="D9D9D9" w:sz="8" w:space="0"/>
              <w:bottom w:val="single" w:color="D9D9D9" w:sz="8" w:space="0"/>
            </w:tcBorders>
          </w:tcPr>
          <w:p w:rsidR="00C31389" w:rsidRDefault="00561FBD" w14:paraId="0F215EA9" w14:textId="77777777">
            <w:pPr>
              <w:pStyle w:val="TableParagraph"/>
              <w:ind w:right="119"/>
              <w:jc w:val="right"/>
              <w:rPr>
                <w:sz w:val="17"/>
              </w:rPr>
            </w:pPr>
            <w:r>
              <w:rPr>
                <w:spacing w:val="-5"/>
                <w:sz w:val="17"/>
              </w:rPr>
              <w:t>3.9</w:t>
            </w:r>
          </w:p>
        </w:tc>
        <w:tc>
          <w:tcPr>
            <w:tcW w:w="668" w:type="dxa"/>
            <w:tcBorders>
              <w:top w:val="single" w:color="D9D9D9" w:sz="8" w:space="0"/>
              <w:bottom w:val="single" w:color="D9D9D9" w:sz="8" w:space="0"/>
            </w:tcBorders>
          </w:tcPr>
          <w:p w:rsidR="00C31389" w:rsidRDefault="00561FBD" w14:paraId="0E3937D0" w14:textId="77777777">
            <w:pPr>
              <w:pStyle w:val="TableParagraph"/>
              <w:ind w:left="293" w:right="106"/>
              <w:jc w:val="center"/>
              <w:rPr>
                <w:sz w:val="17"/>
              </w:rPr>
            </w:pPr>
            <w:r>
              <w:rPr>
                <w:spacing w:val="-5"/>
                <w:sz w:val="17"/>
              </w:rPr>
              <w:t>4.8</w:t>
            </w:r>
          </w:p>
        </w:tc>
        <w:tc>
          <w:tcPr>
            <w:tcW w:w="667" w:type="dxa"/>
            <w:tcBorders>
              <w:top w:val="single" w:color="D9D9D9" w:sz="8" w:space="0"/>
              <w:bottom w:val="single" w:color="D9D9D9" w:sz="8" w:space="0"/>
            </w:tcBorders>
          </w:tcPr>
          <w:p w:rsidR="00C31389" w:rsidRDefault="00561FBD" w14:paraId="441EE5CD" w14:textId="77777777">
            <w:pPr>
              <w:pStyle w:val="TableParagraph"/>
              <w:ind w:right="118"/>
              <w:jc w:val="right"/>
              <w:rPr>
                <w:sz w:val="17"/>
              </w:rPr>
            </w:pPr>
            <w:r>
              <w:rPr>
                <w:spacing w:val="-5"/>
                <w:sz w:val="17"/>
              </w:rPr>
              <w:t>5.7</w:t>
            </w:r>
          </w:p>
        </w:tc>
        <w:tc>
          <w:tcPr>
            <w:tcW w:w="667" w:type="dxa"/>
            <w:tcBorders>
              <w:top w:val="single" w:color="D9D9D9" w:sz="8" w:space="0"/>
              <w:bottom w:val="single" w:color="D9D9D9" w:sz="8" w:space="0"/>
            </w:tcBorders>
          </w:tcPr>
          <w:p w:rsidR="00C31389" w:rsidRDefault="00561FBD" w14:paraId="7062CEFF" w14:textId="77777777">
            <w:pPr>
              <w:pStyle w:val="TableParagraph"/>
              <w:ind w:right="119"/>
              <w:jc w:val="right"/>
              <w:rPr>
                <w:sz w:val="17"/>
              </w:rPr>
            </w:pPr>
            <w:r>
              <w:rPr>
                <w:spacing w:val="-5"/>
                <w:sz w:val="17"/>
              </w:rPr>
              <w:t>4.9</w:t>
            </w:r>
          </w:p>
        </w:tc>
        <w:tc>
          <w:tcPr>
            <w:tcW w:w="668" w:type="dxa"/>
            <w:tcBorders>
              <w:top w:val="single" w:color="D9D9D9" w:sz="8" w:space="0"/>
              <w:bottom w:val="single" w:color="D9D9D9" w:sz="8" w:space="0"/>
            </w:tcBorders>
          </w:tcPr>
          <w:p w:rsidR="00C31389" w:rsidRDefault="00561FBD" w14:paraId="19AC1190" w14:textId="77777777">
            <w:pPr>
              <w:pStyle w:val="TableParagraph"/>
              <w:ind w:left="294" w:right="106"/>
              <w:jc w:val="center"/>
              <w:rPr>
                <w:sz w:val="17"/>
              </w:rPr>
            </w:pPr>
            <w:r>
              <w:rPr>
                <w:spacing w:val="-5"/>
                <w:sz w:val="17"/>
              </w:rPr>
              <w:t>5.9</w:t>
            </w:r>
          </w:p>
        </w:tc>
        <w:tc>
          <w:tcPr>
            <w:tcW w:w="668" w:type="dxa"/>
            <w:tcBorders>
              <w:top w:val="single" w:color="D9D9D9" w:sz="8" w:space="0"/>
              <w:bottom w:val="single" w:color="D9D9D9" w:sz="8" w:space="0"/>
            </w:tcBorders>
          </w:tcPr>
          <w:p w:rsidR="00C31389" w:rsidRDefault="00561FBD" w14:paraId="792A7DC7" w14:textId="77777777">
            <w:pPr>
              <w:pStyle w:val="TableParagraph"/>
              <w:ind w:right="120"/>
              <w:jc w:val="right"/>
              <w:rPr>
                <w:sz w:val="17"/>
              </w:rPr>
            </w:pPr>
            <w:r>
              <w:rPr>
                <w:spacing w:val="-5"/>
                <w:sz w:val="17"/>
              </w:rPr>
              <w:t>6.9</w:t>
            </w:r>
          </w:p>
        </w:tc>
        <w:tc>
          <w:tcPr>
            <w:tcW w:w="691" w:type="dxa"/>
            <w:tcBorders>
              <w:top w:val="single" w:color="D9D9D9" w:sz="8" w:space="0"/>
              <w:bottom w:val="single" w:color="D9D9D9" w:sz="8" w:space="0"/>
            </w:tcBorders>
          </w:tcPr>
          <w:p w:rsidR="00C31389" w:rsidRDefault="00561FBD" w14:paraId="6E282B88" w14:textId="77777777">
            <w:pPr>
              <w:pStyle w:val="TableParagraph"/>
              <w:ind w:right="142"/>
              <w:jc w:val="right"/>
              <w:rPr>
                <w:sz w:val="17"/>
              </w:rPr>
            </w:pPr>
            <w:r>
              <w:rPr>
                <w:spacing w:val="-5"/>
                <w:sz w:val="17"/>
              </w:rPr>
              <w:t>7.9</w:t>
            </w:r>
          </w:p>
        </w:tc>
        <w:tc>
          <w:tcPr>
            <w:tcW w:w="667" w:type="dxa"/>
            <w:tcBorders>
              <w:top w:val="single" w:color="D9D9D9" w:sz="8" w:space="0"/>
              <w:bottom w:val="single" w:color="D9D9D9" w:sz="8" w:space="0"/>
            </w:tcBorders>
          </w:tcPr>
          <w:p w:rsidR="00C31389" w:rsidRDefault="00561FBD" w14:paraId="161B0482" w14:textId="77777777">
            <w:pPr>
              <w:pStyle w:val="TableParagraph"/>
              <w:ind w:left="244" w:right="105"/>
              <w:jc w:val="center"/>
              <w:rPr>
                <w:sz w:val="17"/>
              </w:rPr>
            </w:pPr>
            <w:r>
              <w:rPr>
                <w:spacing w:val="-5"/>
                <w:sz w:val="17"/>
              </w:rPr>
              <w:t>8.6</w:t>
            </w:r>
          </w:p>
        </w:tc>
        <w:tc>
          <w:tcPr>
            <w:tcW w:w="631" w:type="dxa"/>
            <w:tcBorders>
              <w:top w:val="single" w:color="D9D9D9" w:sz="8" w:space="0"/>
              <w:bottom w:val="single" w:color="D9D9D9" w:sz="8" w:space="0"/>
            </w:tcBorders>
          </w:tcPr>
          <w:p w:rsidR="00C31389" w:rsidRDefault="00561FBD" w14:paraId="2588ABB2" w14:textId="77777777">
            <w:pPr>
              <w:pStyle w:val="TableParagraph"/>
              <w:ind w:right="106"/>
              <w:jc w:val="right"/>
              <w:rPr>
                <w:sz w:val="17"/>
              </w:rPr>
            </w:pPr>
            <w:r>
              <w:rPr>
                <w:spacing w:val="-5"/>
                <w:sz w:val="17"/>
              </w:rPr>
              <w:t>9.4</w:t>
            </w:r>
          </w:p>
        </w:tc>
      </w:tr>
      <w:tr w:rsidR="00C31389" w14:paraId="57415C28" w14:textId="77777777">
        <w:trPr>
          <w:trHeight w:val="275"/>
        </w:trPr>
        <w:tc>
          <w:tcPr>
            <w:tcW w:w="1364" w:type="dxa"/>
            <w:tcBorders>
              <w:top w:val="single" w:color="DCDDDE" w:sz="4" w:space="0"/>
              <w:bottom w:val="single" w:color="DCDDDE" w:sz="4" w:space="0"/>
            </w:tcBorders>
          </w:tcPr>
          <w:p w:rsidR="00C31389" w:rsidRDefault="00561FBD" w14:paraId="4788D315" w14:textId="77777777">
            <w:pPr>
              <w:pStyle w:val="TableParagraph"/>
              <w:spacing w:before="41"/>
              <w:ind w:left="121"/>
              <w:rPr>
                <w:sz w:val="17"/>
              </w:rPr>
            </w:pPr>
            <w:r>
              <w:rPr>
                <w:spacing w:val="-4"/>
                <w:sz w:val="17"/>
              </w:rPr>
              <w:t>BROs</w:t>
            </w:r>
          </w:p>
        </w:tc>
        <w:tc>
          <w:tcPr>
            <w:tcW w:w="681" w:type="dxa"/>
            <w:tcBorders>
              <w:top w:val="single" w:color="D9D9D9" w:sz="8" w:space="0"/>
              <w:bottom w:val="single" w:color="DCDDDE" w:sz="4" w:space="0"/>
            </w:tcBorders>
          </w:tcPr>
          <w:p w:rsidR="00C31389" w:rsidRDefault="00561FBD" w14:paraId="6716A172" w14:textId="77777777">
            <w:pPr>
              <w:pStyle w:val="TableParagraph"/>
              <w:spacing w:before="41"/>
              <w:ind w:right="120"/>
              <w:jc w:val="right"/>
              <w:rPr>
                <w:sz w:val="17"/>
              </w:rPr>
            </w:pPr>
            <w:r>
              <w:rPr>
                <w:spacing w:val="-4"/>
                <w:sz w:val="17"/>
              </w:rPr>
              <w:t>57.5</w:t>
            </w:r>
          </w:p>
        </w:tc>
        <w:tc>
          <w:tcPr>
            <w:tcW w:w="667" w:type="dxa"/>
            <w:tcBorders>
              <w:top w:val="single" w:color="D9D9D9" w:sz="8" w:space="0"/>
              <w:bottom w:val="single" w:color="DCDDDE" w:sz="4" w:space="0"/>
            </w:tcBorders>
          </w:tcPr>
          <w:p w:rsidR="00C31389" w:rsidRDefault="00561FBD" w14:paraId="6A3C83EE" w14:textId="77777777">
            <w:pPr>
              <w:pStyle w:val="TableParagraph"/>
              <w:spacing w:before="41"/>
              <w:ind w:left="105" w:right="11"/>
              <w:jc w:val="center"/>
              <w:rPr>
                <w:sz w:val="17"/>
              </w:rPr>
            </w:pPr>
            <w:r>
              <w:rPr>
                <w:spacing w:val="-4"/>
                <w:sz w:val="17"/>
              </w:rPr>
              <w:t>59.9</w:t>
            </w:r>
          </w:p>
        </w:tc>
        <w:tc>
          <w:tcPr>
            <w:tcW w:w="667" w:type="dxa"/>
            <w:tcBorders>
              <w:top w:val="single" w:color="D9D9D9" w:sz="8" w:space="0"/>
              <w:bottom w:val="single" w:color="DCDDDE" w:sz="4" w:space="0"/>
            </w:tcBorders>
          </w:tcPr>
          <w:p w:rsidR="00C31389" w:rsidRDefault="00561FBD" w14:paraId="2E9E226B" w14:textId="77777777">
            <w:pPr>
              <w:pStyle w:val="TableParagraph"/>
              <w:spacing w:before="41"/>
              <w:ind w:right="119"/>
              <w:jc w:val="right"/>
              <w:rPr>
                <w:sz w:val="17"/>
              </w:rPr>
            </w:pPr>
            <w:r>
              <w:rPr>
                <w:spacing w:val="-4"/>
                <w:sz w:val="17"/>
              </w:rPr>
              <w:t>62.5</w:t>
            </w:r>
          </w:p>
        </w:tc>
        <w:tc>
          <w:tcPr>
            <w:tcW w:w="668" w:type="dxa"/>
            <w:tcBorders>
              <w:top w:val="single" w:color="D9D9D9" w:sz="8" w:space="0"/>
              <w:bottom w:val="single" w:color="DCDDDE" w:sz="4" w:space="0"/>
            </w:tcBorders>
          </w:tcPr>
          <w:p w:rsidR="00C31389" w:rsidRDefault="00561FBD" w14:paraId="039B3E5D" w14:textId="77777777">
            <w:pPr>
              <w:pStyle w:val="TableParagraph"/>
              <w:spacing w:before="41"/>
              <w:ind w:right="119"/>
              <w:jc w:val="right"/>
              <w:rPr>
                <w:sz w:val="17"/>
              </w:rPr>
            </w:pPr>
            <w:r>
              <w:rPr>
                <w:spacing w:val="-4"/>
                <w:sz w:val="17"/>
              </w:rPr>
              <w:t>65.3</w:t>
            </w:r>
          </w:p>
        </w:tc>
        <w:tc>
          <w:tcPr>
            <w:tcW w:w="668" w:type="dxa"/>
            <w:tcBorders>
              <w:top w:val="single" w:color="D9D9D9" w:sz="8" w:space="0"/>
              <w:bottom w:val="single" w:color="DCDDDE" w:sz="4" w:space="0"/>
            </w:tcBorders>
          </w:tcPr>
          <w:p w:rsidR="00C31389" w:rsidRDefault="00561FBD" w14:paraId="75B420F1" w14:textId="77777777">
            <w:pPr>
              <w:pStyle w:val="TableParagraph"/>
              <w:spacing w:before="41"/>
              <w:ind w:left="106" w:right="14"/>
              <w:jc w:val="center"/>
              <w:rPr>
                <w:sz w:val="17"/>
              </w:rPr>
            </w:pPr>
            <w:r>
              <w:rPr>
                <w:spacing w:val="-4"/>
                <w:sz w:val="17"/>
              </w:rPr>
              <w:t>68.2</w:t>
            </w:r>
          </w:p>
        </w:tc>
        <w:tc>
          <w:tcPr>
            <w:tcW w:w="667" w:type="dxa"/>
            <w:tcBorders>
              <w:top w:val="single" w:color="D9D9D9" w:sz="8" w:space="0"/>
              <w:bottom w:val="single" w:color="DCDDDE" w:sz="4" w:space="0"/>
            </w:tcBorders>
          </w:tcPr>
          <w:p w:rsidR="00C31389" w:rsidRDefault="00561FBD" w14:paraId="1A60AF5F" w14:textId="77777777">
            <w:pPr>
              <w:pStyle w:val="TableParagraph"/>
              <w:spacing w:before="41"/>
              <w:ind w:right="118"/>
              <w:jc w:val="right"/>
              <w:rPr>
                <w:sz w:val="17"/>
              </w:rPr>
            </w:pPr>
            <w:r>
              <w:rPr>
                <w:spacing w:val="-4"/>
                <w:sz w:val="17"/>
              </w:rPr>
              <w:t>71.3</w:t>
            </w:r>
          </w:p>
        </w:tc>
        <w:tc>
          <w:tcPr>
            <w:tcW w:w="667" w:type="dxa"/>
            <w:tcBorders>
              <w:top w:val="single" w:color="D9D9D9" w:sz="8" w:space="0"/>
              <w:bottom w:val="single" w:color="DCDDDE" w:sz="4" w:space="0"/>
            </w:tcBorders>
          </w:tcPr>
          <w:p w:rsidR="00C31389" w:rsidRDefault="00561FBD" w14:paraId="0A347FB2" w14:textId="77777777">
            <w:pPr>
              <w:pStyle w:val="TableParagraph"/>
              <w:spacing w:before="41"/>
              <w:ind w:right="119"/>
              <w:jc w:val="right"/>
              <w:rPr>
                <w:sz w:val="17"/>
              </w:rPr>
            </w:pPr>
            <w:r>
              <w:rPr>
                <w:spacing w:val="-4"/>
                <w:sz w:val="17"/>
              </w:rPr>
              <w:t>74.8</w:t>
            </w:r>
          </w:p>
        </w:tc>
        <w:tc>
          <w:tcPr>
            <w:tcW w:w="668" w:type="dxa"/>
            <w:tcBorders>
              <w:top w:val="single" w:color="D9D9D9" w:sz="8" w:space="0"/>
              <w:bottom w:val="single" w:color="DCDDDE" w:sz="4" w:space="0"/>
            </w:tcBorders>
          </w:tcPr>
          <w:p w:rsidR="00C31389" w:rsidRDefault="00561FBD" w14:paraId="1B137B46" w14:textId="77777777">
            <w:pPr>
              <w:pStyle w:val="TableParagraph"/>
              <w:spacing w:before="41"/>
              <w:ind w:left="106" w:right="12"/>
              <w:jc w:val="center"/>
              <w:rPr>
                <w:sz w:val="17"/>
              </w:rPr>
            </w:pPr>
            <w:r>
              <w:rPr>
                <w:spacing w:val="-4"/>
                <w:sz w:val="17"/>
              </w:rPr>
              <w:t>78.6</w:t>
            </w:r>
          </w:p>
        </w:tc>
        <w:tc>
          <w:tcPr>
            <w:tcW w:w="668" w:type="dxa"/>
            <w:tcBorders>
              <w:top w:val="single" w:color="D9D9D9" w:sz="8" w:space="0"/>
              <w:bottom w:val="single" w:color="DCDDDE" w:sz="4" w:space="0"/>
            </w:tcBorders>
          </w:tcPr>
          <w:p w:rsidR="00C31389" w:rsidRDefault="00561FBD" w14:paraId="556CFB54" w14:textId="77777777">
            <w:pPr>
              <w:pStyle w:val="TableParagraph"/>
              <w:spacing w:before="41"/>
              <w:ind w:right="120"/>
              <w:jc w:val="right"/>
              <w:rPr>
                <w:sz w:val="17"/>
              </w:rPr>
            </w:pPr>
            <w:r>
              <w:rPr>
                <w:spacing w:val="-4"/>
                <w:sz w:val="17"/>
              </w:rPr>
              <w:t>82.5</w:t>
            </w:r>
          </w:p>
        </w:tc>
        <w:tc>
          <w:tcPr>
            <w:tcW w:w="691" w:type="dxa"/>
            <w:tcBorders>
              <w:top w:val="single" w:color="D9D9D9" w:sz="8" w:space="0"/>
              <w:bottom w:val="single" w:color="DCDDDE" w:sz="4" w:space="0"/>
            </w:tcBorders>
          </w:tcPr>
          <w:p w:rsidR="00C31389" w:rsidRDefault="00561FBD" w14:paraId="50F2A99E" w14:textId="77777777">
            <w:pPr>
              <w:pStyle w:val="TableParagraph"/>
              <w:spacing w:before="41"/>
              <w:ind w:right="142"/>
              <w:jc w:val="right"/>
              <w:rPr>
                <w:sz w:val="17"/>
              </w:rPr>
            </w:pPr>
            <w:r>
              <w:rPr>
                <w:spacing w:val="-4"/>
                <w:sz w:val="17"/>
              </w:rPr>
              <w:t>87.7</w:t>
            </w:r>
          </w:p>
        </w:tc>
        <w:tc>
          <w:tcPr>
            <w:tcW w:w="667" w:type="dxa"/>
            <w:tcBorders>
              <w:top w:val="single" w:color="D9D9D9" w:sz="8" w:space="0"/>
              <w:bottom w:val="single" w:color="DCDDDE" w:sz="4" w:space="0"/>
            </w:tcBorders>
          </w:tcPr>
          <w:p w:rsidR="00C31389" w:rsidRDefault="00561FBD" w14:paraId="08620604" w14:textId="77777777">
            <w:pPr>
              <w:pStyle w:val="TableParagraph"/>
              <w:spacing w:before="41"/>
              <w:ind w:left="105" w:right="61"/>
              <w:jc w:val="center"/>
              <w:rPr>
                <w:sz w:val="17"/>
              </w:rPr>
            </w:pPr>
            <w:r>
              <w:rPr>
                <w:spacing w:val="-4"/>
                <w:sz w:val="17"/>
              </w:rPr>
              <w:t>88.9</w:t>
            </w:r>
          </w:p>
        </w:tc>
        <w:tc>
          <w:tcPr>
            <w:tcW w:w="631" w:type="dxa"/>
            <w:tcBorders>
              <w:top w:val="single" w:color="D9D9D9" w:sz="8" w:space="0"/>
              <w:bottom w:val="single" w:color="DCDDDE" w:sz="4" w:space="0"/>
            </w:tcBorders>
          </w:tcPr>
          <w:p w:rsidR="00C31389" w:rsidRDefault="00561FBD" w14:paraId="338D8558" w14:textId="77777777">
            <w:pPr>
              <w:pStyle w:val="TableParagraph"/>
              <w:spacing w:before="41"/>
              <w:ind w:right="106"/>
              <w:jc w:val="right"/>
              <w:rPr>
                <w:sz w:val="17"/>
              </w:rPr>
            </w:pPr>
            <w:r>
              <w:rPr>
                <w:spacing w:val="-4"/>
                <w:sz w:val="17"/>
              </w:rPr>
              <w:t>93.8</w:t>
            </w:r>
          </w:p>
        </w:tc>
      </w:tr>
      <w:tr w:rsidR="00C31389" w14:paraId="24941E6F"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0179468C" w14:textId="77777777">
            <w:pPr>
              <w:pStyle w:val="TableParagraph"/>
              <w:spacing w:before="42"/>
              <w:ind w:left="121"/>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1E1DB462" w14:textId="77777777">
        <w:trPr>
          <w:trHeight w:val="275"/>
        </w:trPr>
        <w:tc>
          <w:tcPr>
            <w:tcW w:w="1364" w:type="dxa"/>
            <w:tcBorders>
              <w:top w:val="single" w:color="DCDDDE" w:sz="4" w:space="0"/>
              <w:bottom w:val="single" w:color="DCDDDE" w:sz="4" w:space="0"/>
            </w:tcBorders>
          </w:tcPr>
          <w:p w:rsidR="00C31389" w:rsidRDefault="00561FBD" w14:paraId="61605D4B" w14:textId="77777777">
            <w:pPr>
              <w:pStyle w:val="TableParagraph"/>
              <w:ind w:left="121"/>
              <w:rPr>
                <w:sz w:val="17"/>
              </w:rPr>
            </w:pPr>
            <w:r>
              <w:rPr>
                <w:spacing w:val="-5"/>
                <w:sz w:val="17"/>
              </w:rPr>
              <w:t>EE</w:t>
            </w:r>
          </w:p>
        </w:tc>
        <w:tc>
          <w:tcPr>
            <w:tcW w:w="681" w:type="dxa"/>
            <w:tcBorders>
              <w:top w:val="single" w:color="DCDDDE" w:sz="4" w:space="0"/>
            </w:tcBorders>
          </w:tcPr>
          <w:p w:rsidR="00C31389" w:rsidRDefault="00561FBD" w14:paraId="48E7EAD6" w14:textId="77777777">
            <w:pPr>
              <w:pStyle w:val="TableParagraph"/>
              <w:ind w:right="120"/>
              <w:jc w:val="right"/>
              <w:rPr>
                <w:sz w:val="17"/>
              </w:rPr>
            </w:pPr>
            <w:r>
              <w:rPr>
                <w:spacing w:val="-4"/>
                <w:sz w:val="17"/>
              </w:rPr>
              <w:t>15.8</w:t>
            </w:r>
          </w:p>
        </w:tc>
        <w:tc>
          <w:tcPr>
            <w:tcW w:w="667" w:type="dxa"/>
            <w:tcBorders>
              <w:top w:val="single" w:color="DCDDDE" w:sz="4" w:space="0"/>
            </w:tcBorders>
          </w:tcPr>
          <w:p w:rsidR="00C31389" w:rsidRDefault="00561FBD" w14:paraId="0428FB26" w14:textId="77777777">
            <w:pPr>
              <w:pStyle w:val="TableParagraph"/>
              <w:ind w:left="105" w:right="11"/>
              <w:jc w:val="center"/>
              <w:rPr>
                <w:sz w:val="17"/>
              </w:rPr>
            </w:pPr>
            <w:r>
              <w:rPr>
                <w:spacing w:val="-4"/>
                <w:sz w:val="17"/>
              </w:rPr>
              <w:t>14.7</w:t>
            </w:r>
          </w:p>
        </w:tc>
        <w:tc>
          <w:tcPr>
            <w:tcW w:w="667" w:type="dxa"/>
            <w:tcBorders>
              <w:top w:val="single" w:color="DCDDDE" w:sz="4" w:space="0"/>
            </w:tcBorders>
          </w:tcPr>
          <w:p w:rsidR="00C31389" w:rsidRDefault="00561FBD" w14:paraId="33378765" w14:textId="77777777">
            <w:pPr>
              <w:pStyle w:val="TableParagraph"/>
              <w:ind w:right="119"/>
              <w:jc w:val="right"/>
              <w:rPr>
                <w:sz w:val="17"/>
              </w:rPr>
            </w:pPr>
            <w:r>
              <w:rPr>
                <w:spacing w:val="-4"/>
                <w:sz w:val="17"/>
              </w:rPr>
              <w:t>13.0</w:t>
            </w:r>
          </w:p>
        </w:tc>
        <w:tc>
          <w:tcPr>
            <w:tcW w:w="668" w:type="dxa"/>
            <w:tcBorders>
              <w:top w:val="single" w:color="DCDDDE" w:sz="4" w:space="0"/>
            </w:tcBorders>
          </w:tcPr>
          <w:p w:rsidR="00C31389" w:rsidRDefault="00561FBD" w14:paraId="7451F612" w14:textId="77777777">
            <w:pPr>
              <w:pStyle w:val="TableParagraph"/>
              <w:ind w:right="119"/>
              <w:jc w:val="right"/>
              <w:rPr>
                <w:sz w:val="17"/>
              </w:rPr>
            </w:pPr>
            <w:r>
              <w:rPr>
                <w:spacing w:val="-4"/>
                <w:sz w:val="17"/>
              </w:rPr>
              <w:t>12.1</w:t>
            </w:r>
          </w:p>
        </w:tc>
        <w:tc>
          <w:tcPr>
            <w:tcW w:w="668" w:type="dxa"/>
            <w:tcBorders>
              <w:top w:val="single" w:color="DCDDDE" w:sz="4" w:space="0"/>
            </w:tcBorders>
          </w:tcPr>
          <w:p w:rsidR="00C31389" w:rsidRDefault="00561FBD" w14:paraId="0759FC37" w14:textId="77777777">
            <w:pPr>
              <w:pStyle w:val="TableParagraph"/>
              <w:ind w:left="106" w:right="14"/>
              <w:jc w:val="center"/>
              <w:rPr>
                <w:sz w:val="17"/>
              </w:rPr>
            </w:pPr>
            <w:r>
              <w:rPr>
                <w:spacing w:val="-4"/>
                <w:sz w:val="17"/>
              </w:rPr>
              <w:t>11.6</w:t>
            </w:r>
          </w:p>
        </w:tc>
        <w:tc>
          <w:tcPr>
            <w:tcW w:w="667" w:type="dxa"/>
            <w:tcBorders>
              <w:top w:val="single" w:color="DCDDDE" w:sz="4" w:space="0"/>
            </w:tcBorders>
          </w:tcPr>
          <w:p w:rsidR="00C31389" w:rsidRDefault="00561FBD" w14:paraId="222D7E35" w14:textId="77777777">
            <w:pPr>
              <w:pStyle w:val="TableParagraph"/>
              <w:ind w:right="118"/>
              <w:jc w:val="right"/>
              <w:rPr>
                <w:sz w:val="17"/>
              </w:rPr>
            </w:pPr>
            <w:r>
              <w:rPr>
                <w:spacing w:val="-4"/>
                <w:sz w:val="17"/>
              </w:rPr>
              <w:t>10.2</w:t>
            </w:r>
          </w:p>
        </w:tc>
        <w:tc>
          <w:tcPr>
            <w:tcW w:w="667" w:type="dxa"/>
            <w:tcBorders>
              <w:top w:val="single" w:color="DCDDDE" w:sz="4" w:space="0"/>
            </w:tcBorders>
          </w:tcPr>
          <w:p w:rsidR="00C31389" w:rsidRDefault="00561FBD" w14:paraId="464F81E2" w14:textId="77777777">
            <w:pPr>
              <w:pStyle w:val="TableParagraph"/>
              <w:ind w:right="119"/>
              <w:jc w:val="right"/>
              <w:rPr>
                <w:sz w:val="17"/>
              </w:rPr>
            </w:pPr>
            <w:r>
              <w:rPr>
                <w:spacing w:val="-5"/>
                <w:sz w:val="17"/>
              </w:rPr>
              <w:t>9.9</w:t>
            </w:r>
          </w:p>
        </w:tc>
        <w:tc>
          <w:tcPr>
            <w:tcW w:w="668" w:type="dxa"/>
            <w:tcBorders>
              <w:top w:val="single" w:color="DCDDDE" w:sz="4" w:space="0"/>
            </w:tcBorders>
          </w:tcPr>
          <w:p w:rsidR="00C31389" w:rsidRDefault="00561FBD" w14:paraId="733691A4" w14:textId="77777777">
            <w:pPr>
              <w:pStyle w:val="TableParagraph"/>
              <w:ind w:left="294" w:right="106"/>
              <w:jc w:val="center"/>
              <w:rPr>
                <w:sz w:val="17"/>
              </w:rPr>
            </w:pPr>
            <w:r>
              <w:rPr>
                <w:spacing w:val="-5"/>
                <w:sz w:val="17"/>
              </w:rPr>
              <w:t>9.6</w:t>
            </w:r>
          </w:p>
        </w:tc>
        <w:tc>
          <w:tcPr>
            <w:tcW w:w="668" w:type="dxa"/>
            <w:tcBorders>
              <w:top w:val="single" w:color="DCDDDE" w:sz="4" w:space="0"/>
            </w:tcBorders>
          </w:tcPr>
          <w:p w:rsidR="00C31389" w:rsidRDefault="00561FBD" w14:paraId="0F7E38EB" w14:textId="77777777">
            <w:pPr>
              <w:pStyle w:val="TableParagraph"/>
              <w:ind w:right="120"/>
              <w:jc w:val="right"/>
              <w:rPr>
                <w:sz w:val="17"/>
              </w:rPr>
            </w:pPr>
            <w:r>
              <w:rPr>
                <w:spacing w:val="-5"/>
                <w:sz w:val="17"/>
              </w:rPr>
              <w:t>9.5</w:t>
            </w:r>
          </w:p>
        </w:tc>
        <w:tc>
          <w:tcPr>
            <w:tcW w:w="691" w:type="dxa"/>
            <w:tcBorders>
              <w:top w:val="single" w:color="DCDDDE" w:sz="4" w:space="0"/>
            </w:tcBorders>
          </w:tcPr>
          <w:p w:rsidR="00C31389" w:rsidRDefault="00561FBD" w14:paraId="785A380E" w14:textId="77777777">
            <w:pPr>
              <w:pStyle w:val="TableParagraph"/>
              <w:ind w:right="142"/>
              <w:jc w:val="right"/>
              <w:rPr>
                <w:sz w:val="17"/>
              </w:rPr>
            </w:pPr>
            <w:r>
              <w:rPr>
                <w:spacing w:val="-5"/>
                <w:sz w:val="17"/>
              </w:rPr>
              <w:t>9.6</w:t>
            </w:r>
          </w:p>
        </w:tc>
        <w:tc>
          <w:tcPr>
            <w:tcW w:w="667" w:type="dxa"/>
            <w:tcBorders>
              <w:top w:val="single" w:color="DCDDDE" w:sz="4" w:space="0"/>
            </w:tcBorders>
          </w:tcPr>
          <w:p w:rsidR="00C31389" w:rsidRDefault="00561FBD" w14:paraId="38256321" w14:textId="77777777">
            <w:pPr>
              <w:pStyle w:val="TableParagraph"/>
              <w:ind w:left="244" w:right="105"/>
              <w:jc w:val="center"/>
              <w:rPr>
                <w:sz w:val="17"/>
              </w:rPr>
            </w:pPr>
            <w:r>
              <w:rPr>
                <w:spacing w:val="-5"/>
                <w:sz w:val="17"/>
              </w:rPr>
              <w:t>9.7</w:t>
            </w:r>
          </w:p>
        </w:tc>
        <w:tc>
          <w:tcPr>
            <w:tcW w:w="631" w:type="dxa"/>
            <w:tcBorders>
              <w:top w:val="single" w:color="DCDDDE" w:sz="4" w:space="0"/>
            </w:tcBorders>
          </w:tcPr>
          <w:p w:rsidR="00C31389" w:rsidRDefault="00561FBD" w14:paraId="0D58AE27" w14:textId="77777777">
            <w:pPr>
              <w:pStyle w:val="TableParagraph"/>
              <w:ind w:right="106"/>
              <w:jc w:val="right"/>
              <w:rPr>
                <w:sz w:val="17"/>
              </w:rPr>
            </w:pPr>
            <w:r>
              <w:rPr>
                <w:spacing w:val="-4"/>
                <w:sz w:val="17"/>
              </w:rPr>
              <w:t>10.0</w:t>
            </w:r>
          </w:p>
        </w:tc>
      </w:tr>
      <w:tr w:rsidR="00C31389" w14:paraId="62817D8E" w14:textId="77777777">
        <w:trPr>
          <w:trHeight w:val="275"/>
        </w:trPr>
        <w:tc>
          <w:tcPr>
            <w:tcW w:w="1364" w:type="dxa"/>
            <w:tcBorders>
              <w:top w:val="single" w:color="DCDDDE" w:sz="4" w:space="0"/>
              <w:bottom w:val="single" w:color="DCDDDE" w:sz="4" w:space="0"/>
            </w:tcBorders>
          </w:tcPr>
          <w:p w:rsidR="00C31389" w:rsidRDefault="00561FBD" w14:paraId="749DDF80" w14:textId="77777777">
            <w:pPr>
              <w:pStyle w:val="TableParagraph"/>
              <w:ind w:left="121"/>
              <w:rPr>
                <w:sz w:val="17"/>
              </w:rPr>
            </w:pPr>
            <w:r>
              <w:rPr>
                <w:spacing w:val="-5"/>
                <w:sz w:val="17"/>
              </w:rPr>
              <w:t>FS</w:t>
            </w:r>
          </w:p>
        </w:tc>
        <w:tc>
          <w:tcPr>
            <w:tcW w:w="681" w:type="dxa"/>
            <w:tcBorders>
              <w:bottom w:val="single" w:color="D9D9D9" w:sz="8" w:space="0"/>
            </w:tcBorders>
          </w:tcPr>
          <w:p w:rsidR="00C31389" w:rsidRDefault="00561FBD" w14:paraId="679431C6" w14:textId="77777777">
            <w:pPr>
              <w:pStyle w:val="TableParagraph"/>
              <w:ind w:right="120"/>
              <w:jc w:val="right"/>
              <w:rPr>
                <w:sz w:val="17"/>
              </w:rPr>
            </w:pPr>
            <w:r>
              <w:rPr>
                <w:spacing w:val="-5"/>
                <w:sz w:val="17"/>
              </w:rPr>
              <w:t>1.3</w:t>
            </w:r>
          </w:p>
        </w:tc>
        <w:tc>
          <w:tcPr>
            <w:tcW w:w="667" w:type="dxa"/>
            <w:tcBorders>
              <w:bottom w:val="single" w:color="D9D9D9" w:sz="8" w:space="0"/>
            </w:tcBorders>
          </w:tcPr>
          <w:p w:rsidR="00C31389" w:rsidRDefault="00561FBD" w14:paraId="3B4677EF" w14:textId="77777777">
            <w:pPr>
              <w:pStyle w:val="TableParagraph"/>
              <w:ind w:left="272" w:right="83"/>
              <w:jc w:val="center"/>
              <w:rPr>
                <w:sz w:val="17"/>
              </w:rPr>
            </w:pPr>
            <w:r>
              <w:rPr>
                <w:spacing w:val="-5"/>
                <w:sz w:val="17"/>
              </w:rPr>
              <w:t>2.7</w:t>
            </w:r>
          </w:p>
        </w:tc>
        <w:tc>
          <w:tcPr>
            <w:tcW w:w="667" w:type="dxa"/>
            <w:tcBorders>
              <w:bottom w:val="single" w:color="D9D9D9" w:sz="8" w:space="0"/>
            </w:tcBorders>
          </w:tcPr>
          <w:p w:rsidR="00C31389" w:rsidRDefault="00561FBD" w14:paraId="1973E118" w14:textId="77777777">
            <w:pPr>
              <w:pStyle w:val="TableParagraph"/>
              <w:ind w:right="119"/>
              <w:jc w:val="right"/>
              <w:rPr>
                <w:sz w:val="17"/>
              </w:rPr>
            </w:pPr>
            <w:r>
              <w:rPr>
                <w:spacing w:val="-5"/>
                <w:sz w:val="17"/>
              </w:rPr>
              <w:t>4.5</w:t>
            </w:r>
          </w:p>
        </w:tc>
        <w:tc>
          <w:tcPr>
            <w:tcW w:w="668" w:type="dxa"/>
            <w:tcBorders>
              <w:bottom w:val="single" w:color="D9D9D9" w:sz="8" w:space="0"/>
            </w:tcBorders>
          </w:tcPr>
          <w:p w:rsidR="00C31389" w:rsidRDefault="00561FBD" w14:paraId="0D8F2452" w14:textId="77777777">
            <w:pPr>
              <w:pStyle w:val="TableParagraph"/>
              <w:ind w:right="119"/>
              <w:jc w:val="right"/>
              <w:rPr>
                <w:sz w:val="17"/>
              </w:rPr>
            </w:pPr>
            <w:r>
              <w:rPr>
                <w:spacing w:val="-5"/>
                <w:sz w:val="17"/>
              </w:rPr>
              <w:t>5.8</w:t>
            </w:r>
          </w:p>
        </w:tc>
        <w:tc>
          <w:tcPr>
            <w:tcW w:w="668" w:type="dxa"/>
            <w:tcBorders>
              <w:bottom w:val="single" w:color="D9D9D9" w:sz="8" w:space="0"/>
            </w:tcBorders>
          </w:tcPr>
          <w:p w:rsidR="00C31389" w:rsidRDefault="00561FBD" w14:paraId="47712605" w14:textId="77777777">
            <w:pPr>
              <w:pStyle w:val="TableParagraph"/>
              <w:ind w:left="293" w:right="106"/>
              <w:jc w:val="center"/>
              <w:rPr>
                <w:sz w:val="17"/>
              </w:rPr>
            </w:pPr>
            <w:r>
              <w:rPr>
                <w:spacing w:val="-5"/>
                <w:sz w:val="17"/>
              </w:rPr>
              <w:t>6.9</w:t>
            </w:r>
          </w:p>
        </w:tc>
        <w:tc>
          <w:tcPr>
            <w:tcW w:w="667" w:type="dxa"/>
            <w:tcBorders>
              <w:bottom w:val="single" w:color="D9D9D9" w:sz="8" w:space="0"/>
            </w:tcBorders>
          </w:tcPr>
          <w:p w:rsidR="00C31389" w:rsidRDefault="00561FBD" w14:paraId="5ACC6B8D" w14:textId="77777777">
            <w:pPr>
              <w:pStyle w:val="TableParagraph"/>
              <w:ind w:right="118"/>
              <w:jc w:val="right"/>
              <w:rPr>
                <w:sz w:val="17"/>
              </w:rPr>
            </w:pPr>
            <w:r>
              <w:rPr>
                <w:spacing w:val="-5"/>
                <w:sz w:val="17"/>
              </w:rPr>
              <w:t>8.1</w:t>
            </w:r>
          </w:p>
        </w:tc>
        <w:tc>
          <w:tcPr>
            <w:tcW w:w="667" w:type="dxa"/>
            <w:tcBorders>
              <w:bottom w:val="single" w:color="D9D9D9" w:sz="8" w:space="0"/>
            </w:tcBorders>
          </w:tcPr>
          <w:p w:rsidR="00C31389" w:rsidRDefault="00561FBD" w14:paraId="6F46E2FA" w14:textId="77777777">
            <w:pPr>
              <w:pStyle w:val="TableParagraph"/>
              <w:ind w:right="119"/>
              <w:jc w:val="right"/>
              <w:rPr>
                <w:sz w:val="17"/>
              </w:rPr>
            </w:pPr>
            <w:r>
              <w:rPr>
                <w:spacing w:val="-5"/>
                <w:sz w:val="17"/>
              </w:rPr>
              <w:t>5.3</w:t>
            </w:r>
          </w:p>
        </w:tc>
        <w:tc>
          <w:tcPr>
            <w:tcW w:w="668" w:type="dxa"/>
            <w:tcBorders>
              <w:bottom w:val="single" w:color="D9D9D9" w:sz="8" w:space="0"/>
            </w:tcBorders>
          </w:tcPr>
          <w:p w:rsidR="00C31389" w:rsidRDefault="00561FBD" w14:paraId="0D7E7A19" w14:textId="77777777">
            <w:pPr>
              <w:pStyle w:val="TableParagraph"/>
              <w:ind w:left="294" w:right="106"/>
              <w:jc w:val="center"/>
              <w:rPr>
                <w:sz w:val="17"/>
              </w:rPr>
            </w:pPr>
            <w:r>
              <w:rPr>
                <w:spacing w:val="-5"/>
                <w:sz w:val="17"/>
              </w:rPr>
              <w:t>6.2</w:t>
            </w:r>
          </w:p>
        </w:tc>
        <w:tc>
          <w:tcPr>
            <w:tcW w:w="668" w:type="dxa"/>
            <w:tcBorders>
              <w:bottom w:val="single" w:color="D9D9D9" w:sz="8" w:space="0"/>
            </w:tcBorders>
          </w:tcPr>
          <w:p w:rsidR="00C31389" w:rsidRDefault="00561FBD" w14:paraId="481ECC80" w14:textId="77777777">
            <w:pPr>
              <w:pStyle w:val="TableParagraph"/>
              <w:ind w:right="120"/>
              <w:jc w:val="right"/>
              <w:rPr>
                <w:sz w:val="17"/>
              </w:rPr>
            </w:pPr>
            <w:r>
              <w:rPr>
                <w:spacing w:val="-5"/>
                <w:sz w:val="17"/>
              </w:rPr>
              <w:t>7.2</w:t>
            </w:r>
          </w:p>
        </w:tc>
        <w:tc>
          <w:tcPr>
            <w:tcW w:w="691" w:type="dxa"/>
            <w:tcBorders>
              <w:bottom w:val="single" w:color="D9D9D9" w:sz="8" w:space="0"/>
            </w:tcBorders>
          </w:tcPr>
          <w:p w:rsidR="00C31389" w:rsidRDefault="00561FBD" w14:paraId="609825E9" w14:textId="77777777">
            <w:pPr>
              <w:pStyle w:val="TableParagraph"/>
              <w:ind w:right="142"/>
              <w:jc w:val="right"/>
              <w:rPr>
                <w:sz w:val="17"/>
              </w:rPr>
            </w:pPr>
            <w:r>
              <w:rPr>
                <w:spacing w:val="-5"/>
                <w:sz w:val="17"/>
              </w:rPr>
              <w:t>8.1</w:t>
            </w:r>
          </w:p>
        </w:tc>
        <w:tc>
          <w:tcPr>
            <w:tcW w:w="667" w:type="dxa"/>
            <w:tcBorders>
              <w:bottom w:val="single" w:color="D9D9D9" w:sz="8" w:space="0"/>
            </w:tcBorders>
          </w:tcPr>
          <w:p w:rsidR="00C31389" w:rsidRDefault="00561FBD" w14:paraId="47F34C90" w14:textId="77777777">
            <w:pPr>
              <w:pStyle w:val="TableParagraph"/>
              <w:ind w:left="244" w:right="105"/>
              <w:jc w:val="center"/>
              <w:rPr>
                <w:sz w:val="17"/>
              </w:rPr>
            </w:pPr>
            <w:r>
              <w:rPr>
                <w:spacing w:val="-5"/>
                <w:sz w:val="17"/>
              </w:rPr>
              <w:t>8.8</w:t>
            </w:r>
          </w:p>
        </w:tc>
        <w:tc>
          <w:tcPr>
            <w:tcW w:w="631" w:type="dxa"/>
            <w:tcBorders>
              <w:bottom w:val="single" w:color="D9D9D9" w:sz="8" w:space="0"/>
            </w:tcBorders>
          </w:tcPr>
          <w:p w:rsidR="00C31389" w:rsidRDefault="00561FBD" w14:paraId="5BCCFFE3" w14:textId="77777777">
            <w:pPr>
              <w:pStyle w:val="TableParagraph"/>
              <w:ind w:right="106"/>
              <w:jc w:val="right"/>
              <w:rPr>
                <w:sz w:val="17"/>
              </w:rPr>
            </w:pPr>
            <w:r>
              <w:rPr>
                <w:spacing w:val="-5"/>
                <w:sz w:val="17"/>
              </w:rPr>
              <w:t>9.6</w:t>
            </w:r>
          </w:p>
        </w:tc>
      </w:tr>
      <w:tr w:rsidR="00C31389" w14:paraId="50927724" w14:textId="77777777">
        <w:trPr>
          <w:trHeight w:val="275"/>
        </w:trPr>
        <w:tc>
          <w:tcPr>
            <w:tcW w:w="1364" w:type="dxa"/>
            <w:tcBorders>
              <w:top w:val="single" w:color="DCDDDE" w:sz="4" w:space="0"/>
              <w:bottom w:val="single" w:color="DCDDDE" w:sz="4" w:space="0"/>
            </w:tcBorders>
          </w:tcPr>
          <w:p w:rsidR="00C31389" w:rsidRDefault="00561FBD" w14:paraId="1CBAA57A" w14:textId="77777777">
            <w:pPr>
              <w:pStyle w:val="TableParagraph"/>
              <w:spacing w:before="41"/>
              <w:ind w:left="121"/>
              <w:rPr>
                <w:sz w:val="17"/>
              </w:rPr>
            </w:pPr>
            <w:r>
              <w:rPr>
                <w:spacing w:val="-4"/>
                <w:sz w:val="17"/>
              </w:rPr>
              <w:t>BROs</w:t>
            </w:r>
          </w:p>
        </w:tc>
        <w:tc>
          <w:tcPr>
            <w:tcW w:w="681" w:type="dxa"/>
            <w:tcBorders>
              <w:top w:val="single" w:color="D9D9D9" w:sz="8" w:space="0"/>
              <w:bottom w:val="single" w:color="DCDDDE" w:sz="4" w:space="0"/>
            </w:tcBorders>
          </w:tcPr>
          <w:p w:rsidR="00C31389" w:rsidRDefault="00561FBD" w14:paraId="3F6AFA95" w14:textId="77777777">
            <w:pPr>
              <w:pStyle w:val="TableParagraph"/>
              <w:spacing w:before="41"/>
              <w:ind w:right="120"/>
              <w:jc w:val="right"/>
              <w:rPr>
                <w:sz w:val="17"/>
              </w:rPr>
            </w:pPr>
            <w:r>
              <w:rPr>
                <w:spacing w:val="-4"/>
                <w:sz w:val="17"/>
              </w:rPr>
              <w:t>57.5</w:t>
            </w:r>
          </w:p>
        </w:tc>
        <w:tc>
          <w:tcPr>
            <w:tcW w:w="667" w:type="dxa"/>
            <w:tcBorders>
              <w:top w:val="single" w:color="D9D9D9" w:sz="8" w:space="0"/>
              <w:bottom w:val="single" w:color="DCDDDE" w:sz="4" w:space="0"/>
            </w:tcBorders>
          </w:tcPr>
          <w:p w:rsidR="00C31389" w:rsidRDefault="00561FBD" w14:paraId="061C07FD" w14:textId="77777777">
            <w:pPr>
              <w:pStyle w:val="TableParagraph"/>
              <w:spacing w:before="41"/>
              <w:ind w:left="105" w:right="11"/>
              <w:jc w:val="center"/>
              <w:rPr>
                <w:sz w:val="17"/>
              </w:rPr>
            </w:pPr>
            <w:r>
              <w:rPr>
                <w:spacing w:val="-4"/>
                <w:sz w:val="17"/>
              </w:rPr>
              <w:t>59.9</w:t>
            </w:r>
          </w:p>
        </w:tc>
        <w:tc>
          <w:tcPr>
            <w:tcW w:w="667" w:type="dxa"/>
            <w:tcBorders>
              <w:top w:val="single" w:color="D9D9D9" w:sz="8" w:space="0"/>
              <w:bottom w:val="single" w:color="DCDDDE" w:sz="4" w:space="0"/>
            </w:tcBorders>
          </w:tcPr>
          <w:p w:rsidR="00C31389" w:rsidRDefault="00561FBD" w14:paraId="7C6B30ED" w14:textId="77777777">
            <w:pPr>
              <w:pStyle w:val="TableParagraph"/>
              <w:spacing w:before="41"/>
              <w:ind w:right="119"/>
              <w:jc w:val="right"/>
              <w:rPr>
                <w:sz w:val="17"/>
              </w:rPr>
            </w:pPr>
            <w:r>
              <w:rPr>
                <w:spacing w:val="-4"/>
                <w:sz w:val="17"/>
              </w:rPr>
              <w:t>62.5</w:t>
            </w:r>
          </w:p>
        </w:tc>
        <w:tc>
          <w:tcPr>
            <w:tcW w:w="668" w:type="dxa"/>
            <w:tcBorders>
              <w:top w:val="single" w:color="D9D9D9" w:sz="8" w:space="0"/>
              <w:bottom w:val="single" w:color="DCDDDE" w:sz="4" w:space="0"/>
            </w:tcBorders>
          </w:tcPr>
          <w:p w:rsidR="00C31389" w:rsidRDefault="00561FBD" w14:paraId="3740E0E5" w14:textId="77777777">
            <w:pPr>
              <w:pStyle w:val="TableParagraph"/>
              <w:spacing w:before="41"/>
              <w:ind w:right="119"/>
              <w:jc w:val="right"/>
              <w:rPr>
                <w:sz w:val="17"/>
              </w:rPr>
            </w:pPr>
            <w:r>
              <w:rPr>
                <w:spacing w:val="-4"/>
                <w:sz w:val="17"/>
              </w:rPr>
              <w:t>65.3</w:t>
            </w:r>
          </w:p>
        </w:tc>
        <w:tc>
          <w:tcPr>
            <w:tcW w:w="668" w:type="dxa"/>
            <w:tcBorders>
              <w:top w:val="single" w:color="D9D9D9" w:sz="8" w:space="0"/>
              <w:bottom w:val="single" w:color="DCDDDE" w:sz="4" w:space="0"/>
            </w:tcBorders>
          </w:tcPr>
          <w:p w:rsidR="00C31389" w:rsidRDefault="00561FBD" w14:paraId="4F008124" w14:textId="77777777">
            <w:pPr>
              <w:pStyle w:val="TableParagraph"/>
              <w:spacing w:before="41"/>
              <w:ind w:left="106" w:right="14"/>
              <w:jc w:val="center"/>
              <w:rPr>
                <w:sz w:val="17"/>
              </w:rPr>
            </w:pPr>
            <w:r>
              <w:rPr>
                <w:spacing w:val="-4"/>
                <w:sz w:val="17"/>
              </w:rPr>
              <w:t>68.2</w:t>
            </w:r>
          </w:p>
        </w:tc>
        <w:tc>
          <w:tcPr>
            <w:tcW w:w="667" w:type="dxa"/>
            <w:tcBorders>
              <w:top w:val="single" w:color="D9D9D9" w:sz="8" w:space="0"/>
              <w:bottom w:val="single" w:color="DCDDDE" w:sz="4" w:space="0"/>
            </w:tcBorders>
          </w:tcPr>
          <w:p w:rsidR="00C31389" w:rsidRDefault="00561FBD" w14:paraId="616714A6" w14:textId="77777777">
            <w:pPr>
              <w:pStyle w:val="TableParagraph"/>
              <w:spacing w:before="41"/>
              <w:ind w:right="118"/>
              <w:jc w:val="right"/>
              <w:rPr>
                <w:sz w:val="17"/>
              </w:rPr>
            </w:pPr>
            <w:r>
              <w:rPr>
                <w:spacing w:val="-4"/>
                <w:sz w:val="17"/>
              </w:rPr>
              <w:t>71.3</w:t>
            </w:r>
          </w:p>
        </w:tc>
        <w:tc>
          <w:tcPr>
            <w:tcW w:w="667" w:type="dxa"/>
            <w:tcBorders>
              <w:top w:val="single" w:color="D9D9D9" w:sz="8" w:space="0"/>
              <w:bottom w:val="single" w:color="DCDDDE" w:sz="4" w:space="0"/>
            </w:tcBorders>
          </w:tcPr>
          <w:p w:rsidR="00C31389" w:rsidRDefault="00561FBD" w14:paraId="4A900496" w14:textId="77777777">
            <w:pPr>
              <w:pStyle w:val="TableParagraph"/>
              <w:spacing w:before="41"/>
              <w:ind w:right="119"/>
              <w:jc w:val="right"/>
              <w:rPr>
                <w:sz w:val="17"/>
              </w:rPr>
            </w:pPr>
            <w:r>
              <w:rPr>
                <w:spacing w:val="-4"/>
                <w:sz w:val="17"/>
              </w:rPr>
              <w:t>74.8</w:t>
            </w:r>
          </w:p>
        </w:tc>
        <w:tc>
          <w:tcPr>
            <w:tcW w:w="668" w:type="dxa"/>
            <w:tcBorders>
              <w:top w:val="single" w:color="D9D9D9" w:sz="8" w:space="0"/>
              <w:bottom w:val="single" w:color="DCDDDE" w:sz="4" w:space="0"/>
            </w:tcBorders>
          </w:tcPr>
          <w:p w:rsidR="00C31389" w:rsidRDefault="00561FBD" w14:paraId="120CD7FF" w14:textId="77777777">
            <w:pPr>
              <w:pStyle w:val="TableParagraph"/>
              <w:spacing w:before="41"/>
              <w:ind w:left="106" w:right="12"/>
              <w:jc w:val="center"/>
              <w:rPr>
                <w:sz w:val="17"/>
              </w:rPr>
            </w:pPr>
            <w:r>
              <w:rPr>
                <w:spacing w:val="-4"/>
                <w:sz w:val="17"/>
              </w:rPr>
              <w:t>78.6</w:t>
            </w:r>
          </w:p>
        </w:tc>
        <w:tc>
          <w:tcPr>
            <w:tcW w:w="668" w:type="dxa"/>
            <w:tcBorders>
              <w:top w:val="single" w:color="D9D9D9" w:sz="8" w:space="0"/>
              <w:bottom w:val="single" w:color="DCDDDE" w:sz="4" w:space="0"/>
            </w:tcBorders>
          </w:tcPr>
          <w:p w:rsidR="00C31389" w:rsidRDefault="00561FBD" w14:paraId="11C6FB86" w14:textId="77777777">
            <w:pPr>
              <w:pStyle w:val="TableParagraph"/>
              <w:spacing w:before="41"/>
              <w:ind w:right="120"/>
              <w:jc w:val="right"/>
              <w:rPr>
                <w:sz w:val="17"/>
              </w:rPr>
            </w:pPr>
            <w:r>
              <w:rPr>
                <w:spacing w:val="-4"/>
                <w:sz w:val="17"/>
              </w:rPr>
              <w:t>82.5</w:t>
            </w:r>
          </w:p>
        </w:tc>
        <w:tc>
          <w:tcPr>
            <w:tcW w:w="691" w:type="dxa"/>
            <w:tcBorders>
              <w:top w:val="single" w:color="D9D9D9" w:sz="8" w:space="0"/>
              <w:bottom w:val="single" w:color="DCDDDE" w:sz="4" w:space="0"/>
            </w:tcBorders>
          </w:tcPr>
          <w:p w:rsidR="00C31389" w:rsidRDefault="00561FBD" w14:paraId="19AC0BC3" w14:textId="77777777">
            <w:pPr>
              <w:pStyle w:val="TableParagraph"/>
              <w:spacing w:before="41"/>
              <w:ind w:right="142"/>
              <w:jc w:val="right"/>
              <w:rPr>
                <w:sz w:val="17"/>
              </w:rPr>
            </w:pPr>
            <w:r>
              <w:rPr>
                <w:spacing w:val="-4"/>
                <w:sz w:val="17"/>
              </w:rPr>
              <w:t>87.7</w:t>
            </w:r>
          </w:p>
        </w:tc>
        <w:tc>
          <w:tcPr>
            <w:tcW w:w="667" w:type="dxa"/>
            <w:tcBorders>
              <w:top w:val="single" w:color="D9D9D9" w:sz="8" w:space="0"/>
              <w:bottom w:val="single" w:color="DCDDDE" w:sz="4" w:space="0"/>
            </w:tcBorders>
          </w:tcPr>
          <w:p w:rsidR="00C31389" w:rsidRDefault="00561FBD" w14:paraId="784C07A3" w14:textId="77777777">
            <w:pPr>
              <w:pStyle w:val="TableParagraph"/>
              <w:spacing w:before="41"/>
              <w:ind w:left="105" w:right="61"/>
              <w:jc w:val="center"/>
              <w:rPr>
                <w:sz w:val="17"/>
              </w:rPr>
            </w:pPr>
            <w:r>
              <w:rPr>
                <w:spacing w:val="-4"/>
                <w:sz w:val="17"/>
              </w:rPr>
              <w:t>88.9</w:t>
            </w:r>
          </w:p>
        </w:tc>
        <w:tc>
          <w:tcPr>
            <w:tcW w:w="631" w:type="dxa"/>
            <w:tcBorders>
              <w:top w:val="single" w:color="D9D9D9" w:sz="8" w:space="0"/>
              <w:bottom w:val="single" w:color="DCDDDE" w:sz="4" w:space="0"/>
            </w:tcBorders>
          </w:tcPr>
          <w:p w:rsidR="00C31389" w:rsidRDefault="00561FBD" w14:paraId="17CDE337" w14:textId="77777777">
            <w:pPr>
              <w:pStyle w:val="TableParagraph"/>
              <w:spacing w:before="41"/>
              <w:ind w:right="106"/>
              <w:jc w:val="right"/>
              <w:rPr>
                <w:sz w:val="17"/>
              </w:rPr>
            </w:pPr>
            <w:r>
              <w:rPr>
                <w:spacing w:val="-4"/>
                <w:sz w:val="17"/>
              </w:rPr>
              <w:t>93.8</w:t>
            </w:r>
          </w:p>
        </w:tc>
      </w:tr>
      <w:tr w:rsidR="00C31389" w14:paraId="561B044E"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1DF188D5" w14:textId="77777777">
            <w:pPr>
              <w:pStyle w:val="TableParagraph"/>
              <w:ind w:left="121"/>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1D98A88B" w14:textId="77777777">
        <w:trPr>
          <w:trHeight w:val="275"/>
        </w:trPr>
        <w:tc>
          <w:tcPr>
            <w:tcW w:w="1364" w:type="dxa"/>
            <w:tcBorders>
              <w:top w:val="single" w:color="DCDDDE" w:sz="4" w:space="0"/>
              <w:bottom w:val="single" w:color="DCDDDE" w:sz="4" w:space="0"/>
            </w:tcBorders>
          </w:tcPr>
          <w:p w:rsidR="00C31389" w:rsidRDefault="00561FBD" w14:paraId="658115A0" w14:textId="77777777">
            <w:pPr>
              <w:pStyle w:val="TableParagraph"/>
              <w:ind w:left="121"/>
              <w:rPr>
                <w:sz w:val="17"/>
              </w:rPr>
            </w:pPr>
            <w:r>
              <w:rPr>
                <w:spacing w:val="-5"/>
                <w:sz w:val="17"/>
              </w:rPr>
              <w:t>EE</w:t>
            </w:r>
          </w:p>
        </w:tc>
        <w:tc>
          <w:tcPr>
            <w:tcW w:w="681" w:type="dxa"/>
            <w:tcBorders>
              <w:top w:val="single" w:color="DCDDDE" w:sz="4" w:space="0"/>
            </w:tcBorders>
          </w:tcPr>
          <w:p w:rsidR="00C31389" w:rsidRDefault="00561FBD" w14:paraId="24278D8B" w14:textId="77777777">
            <w:pPr>
              <w:pStyle w:val="TableParagraph"/>
              <w:ind w:right="120"/>
              <w:jc w:val="right"/>
              <w:rPr>
                <w:sz w:val="17"/>
              </w:rPr>
            </w:pPr>
            <w:r>
              <w:rPr>
                <w:spacing w:val="-4"/>
                <w:sz w:val="17"/>
              </w:rPr>
              <w:t>15.9</w:t>
            </w:r>
          </w:p>
        </w:tc>
        <w:tc>
          <w:tcPr>
            <w:tcW w:w="667" w:type="dxa"/>
            <w:tcBorders>
              <w:top w:val="single" w:color="DCDDDE" w:sz="4" w:space="0"/>
            </w:tcBorders>
          </w:tcPr>
          <w:p w:rsidR="00C31389" w:rsidRDefault="00561FBD" w14:paraId="1C6DCEFC" w14:textId="77777777">
            <w:pPr>
              <w:pStyle w:val="TableParagraph"/>
              <w:ind w:left="105" w:right="11"/>
              <w:jc w:val="center"/>
              <w:rPr>
                <w:sz w:val="17"/>
              </w:rPr>
            </w:pPr>
            <w:r>
              <w:rPr>
                <w:spacing w:val="-4"/>
                <w:sz w:val="17"/>
              </w:rPr>
              <w:t>14.8</w:t>
            </w:r>
          </w:p>
        </w:tc>
        <w:tc>
          <w:tcPr>
            <w:tcW w:w="667" w:type="dxa"/>
            <w:tcBorders>
              <w:top w:val="single" w:color="DCDDDE" w:sz="4" w:space="0"/>
            </w:tcBorders>
          </w:tcPr>
          <w:p w:rsidR="00C31389" w:rsidRDefault="00561FBD" w14:paraId="3BAA69F2" w14:textId="77777777">
            <w:pPr>
              <w:pStyle w:val="TableParagraph"/>
              <w:ind w:right="119"/>
              <w:jc w:val="right"/>
              <w:rPr>
                <w:sz w:val="17"/>
              </w:rPr>
            </w:pPr>
            <w:r>
              <w:rPr>
                <w:spacing w:val="-4"/>
                <w:sz w:val="17"/>
              </w:rPr>
              <w:t>13.1</w:t>
            </w:r>
          </w:p>
        </w:tc>
        <w:tc>
          <w:tcPr>
            <w:tcW w:w="668" w:type="dxa"/>
            <w:tcBorders>
              <w:top w:val="single" w:color="DCDDDE" w:sz="4" w:space="0"/>
            </w:tcBorders>
          </w:tcPr>
          <w:p w:rsidR="00C31389" w:rsidRDefault="00561FBD" w14:paraId="13AF3EEF" w14:textId="77777777">
            <w:pPr>
              <w:pStyle w:val="TableParagraph"/>
              <w:ind w:right="119"/>
              <w:jc w:val="right"/>
              <w:rPr>
                <w:sz w:val="17"/>
              </w:rPr>
            </w:pPr>
            <w:r>
              <w:rPr>
                <w:spacing w:val="-4"/>
                <w:sz w:val="17"/>
              </w:rPr>
              <w:t>12.2</w:t>
            </w:r>
          </w:p>
        </w:tc>
        <w:tc>
          <w:tcPr>
            <w:tcW w:w="668" w:type="dxa"/>
            <w:tcBorders>
              <w:top w:val="single" w:color="DCDDDE" w:sz="4" w:space="0"/>
            </w:tcBorders>
          </w:tcPr>
          <w:p w:rsidR="00C31389" w:rsidRDefault="00561FBD" w14:paraId="450E1E61" w14:textId="77777777">
            <w:pPr>
              <w:pStyle w:val="TableParagraph"/>
              <w:ind w:left="106" w:right="14"/>
              <w:jc w:val="center"/>
              <w:rPr>
                <w:sz w:val="17"/>
              </w:rPr>
            </w:pPr>
            <w:r>
              <w:rPr>
                <w:spacing w:val="-4"/>
                <w:sz w:val="17"/>
              </w:rPr>
              <w:t>11.7</w:t>
            </w:r>
          </w:p>
        </w:tc>
        <w:tc>
          <w:tcPr>
            <w:tcW w:w="667" w:type="dxa"/>
            <w:tcBorders>
              <w:top w:val="single" w:color="DCDDDE" w:sz="4" w:space="0"/>
            </w:tcBorders>
          </w:tcPr>
          <w:p w:rsidR="00C31389" w:rsidRDefault="00561FBD" w14:paraId="49B05AFC" w14:textId="77777777">
            <w:pPr>
              <w:pStyle w:val="TableParagraph"/>
              <w:ind w:right="118"/>
              <w:jc w:val="right"/>
              <w:rPr>
                <w:sz w:val="17"/>
              </w:rPr>
            </w:pPr>
            <w:r>
              <w:rPr>
                <w:spacing w:val="-4"/>
                <w:sz w:val="17"/>
              </w:rPr>
              <w:t>10.3</w:t>
            </w:r>
          </w:p>
        </w:tc>
        <w:tc>
          <w:tcPr>
            <w:tcW w:w="667" w:type="dxa"/>
            <w:tcBorders>
              <w:top w:val="single" w:color="DCDDDE" w:sz="4" w:space="0"/>
            </w:tcBorders>
          </w:tcPr>
          <w:p w:rsidR="00C31389" w:rsidRDefault="00561FBD" w14:paraId="0D9F5708" w14:textId="77777777">
            <w:pPr>
              <w:pStyle w:val="TableParagraph"/>
              <w:ind w:right="119"/>
              <w:jc w:val="right"/>
              <w:rPr>
                <w:sz w:val="17"/>
              </w:rPr>
            </w:pPr>
            <w:r>
              <w:rPr>
                <w:spacing w:val="-5"/>
                <w:sz w:val="17"/>
              </w:rPr>
              <w:t>9.9</w:t>
            </w:r>
          </w:p>
        </w:tc>
        <w:tc>
          <w:tcPr>
            <w:tcW w:w="668" w:type="dxa"/>
            <w:tcBorders>
              <w:top w:val="single" w:color="DCDDDE" w:sz="4" w:space="0"/>
            </w:tcBorders>
          </w:tcPr>
          <w:p w:rsidR="00C31389" w:rsidRDefault="00561FBD" w14:paraId="34DA8D72" w14:textId="77777777">
            <w:pPr>
              <w:pStyle w:val="TableParagraph"/>
              <w:ind w:left="294" w:right="106"/>
              <w:jc w:val="center"/>
              <w:rPr>
                <w:sz w:val="17"/>
              </w:rPr>
            </w:pPr>
            <w:r>
              <w:rPr>
                <w:spacing w:val="-5"/>
                <w:sz w:val="17"/>
              </w:rPr>
              <w:t>9.6</w:t>
            </w:r>
          </w:p>
        </w:tc>
        <w:tc>
          <w:tcPr>
            <w:tcW w:w="668" w:type="dxa"/>
            <w:tcBorders>
              <w:top w:val="single" w:color="DCDDDE" w:sz="4" w:space="0"/>
            </w:tcBorders>
          </w:tcPr>
          <w:p w:rsidR="00C31389" w:rsidRDefault="00561FBD" w14:paraId="3F712974" w14:textId="77777777">
            <w:pPr>
              <w:pStyle w:val="TableParagraph"/>
              <w:ind w:right="120"/>
              <w:jc w:val="right"/>
              <w:rPr>
                <w:sz w:val="17"/>
              </w:rPr>
            </w:pPr>
            <w:r>
              <w:rPr>
                <w:spacing w:val="-5"/>
                <w:sz w:val="17"/>
              </w:rPr>
              <w:t>9.6</w:t>
            </w:r>
          </w:p>
        </w:tc>
        <w:tc>
          <w:tcPr>
            <w:tcW w:w="691" w:type="dxa"/>
            <w:tcBorders>
              <w:top w:val="single" w:color="DCDDDE" w:sz="4" w:space="0"/>
            </w:tcBorders>
          </w:tcPr>
          <w:p w:rsidR="00C31389" w:rsidRDefault="00561FBD" w14:paraId="73501537" w14:textId="77777777">
            <w:pPr>
              <w:pStyle w:val="TableParagraph"/>
              <w:ind w:right="142"/>
              <w:jc w:val="right"/>
              <w:rPr>
                <w:sz w:val="17"/>
              </w:rPr>
            </w:pPr>
            <w:r>
              <w:rPr>
                <w:spacing w:val="-5"/>
                <w:sz w:val="17"/>
              </w:rPr>
              <w:t>9.6</w:t>
            </w:r>
          </w:p>
        </w:tc>
        <w:tc>
          <w:tcPr>
            <w:tcW w:w="667" w:type="dxa"/>
            <w:tcBorders>
              <w:top w:val="single" w:color="DCDDDE" w:sz="4" w:space="0"/>
            </w:tcBorders>
          </w:tcPr>
          <w:p w:rsidR="00C31389" w:rsidRDefault="00561FBD" w14:paraId="624AC328" w14:textId="77777777">
            <w:pPr>
              <w:pStyle w:val="TableParagraph"/>
              <w:ind w:left="244" w:right="105"/>
              <w:jc w:val="center"/>
              <w:rPr>
                <w:sz w:val="17"/>
              </w:rPr>
            </w:pPr>
            <w:r>
              <w:rPr>
                <w:spacing w:val="-5"/>
                <w:sz w:val="17"/>
              </w:rPr>
              <w:t>9.7</w:t>
            </w:r>
          </w:p>
        </w:tc>
        <w:tc>
          <w:tcPr>
            <w:tcW w:w="631" w:type="dxa"/>
            <w:tcBorders>
              <w:top w:val="single" w:color="DCDDDE" w:sz="4" w:space="0"/>
            </w:tcBorders>
          </w:tcPr>
          <w:p w:rsidR="00C31389" w:rsidRDefault="00561FBD" w14:paraId="692DD030" w14:textId="77777777">
            <w:pPr>
              <w:pStyle w:val="TableParagraph"/>
              <w:ind w:right="106"/>
              <w:jc w:val="right"/>
              <w:rPr>
                <w:sz w:val="17"/>
              </w:rPr>
            </w:pPr>
            <w:r>
              <w:rPr>
                <w:spacing w:val="-4"/>
                <w:sz w:val="17"/>
              </w:rPr>
              <w:t>10.0</w:t>
            </w:r>
          </w:p>
        </w:tc>
      </w:tr>
      <w:tr w:rsidR="00C31389" w14:paraId="74A4BF37" w14:textId="77777777">
        <w:trPr>
          <w:trHeight w:val="275"/>
        </w:trPr>
        <w:tc>
          <w:tcPr>
            <w:tcW w:w="1364" w:type="dxa"/>
            <w:tcBorders>
              <w:top w:val="single" w:color="DCDDDE" w:sz="4" w:space="0"/>
              <w:bottom w:val="single" w:color="DCDDDE" w:sz="4" w:space="0"/>
            </w:tcBorders>
          </w:tcPr>
          <w:p w:rsidR="00C31389" w:rsidRDefault="00561FBD" w14:paraId="04868D94" w14:textId="77777777">
            <w:pPr>
              <w:pStyle w:val="TableParagraph"/>
              <w:ind w:left="121"/>
              <w:rPr>
                <w:sz w:val="17"/>
              </w:rPr>
            </w:pPr>
            <w:r>
              <w:rPr>
                <w:spacing w:val="-5"/>
                <w:sz w:val="17"/>
              </w:rPr>
              <w:t>FS</w:t>
            </w:r>
          </w:p>
        </w:tc>
        <w:tc>
          <w:tcPr>
            <w:tcW w:w="681" w:type="dxa"/>
            <w:tcBorders>
              <w:bottom w:val="single" w:color="D9D9D9" w:sz="8" w:space="0"/>
            </w:tcBorders>
          </w:tcPr>
          <w:p w:rsidR="00C31389" w:rsidRDefault="00561FBD" w14:paraId="38F21945" w14:textId="77777777">
            <w:pPr>
              <w:pStyle w:val="TableParagraph"/>
              <w:ind w:right="120"/>
              <w:jc w:val="right"/>
              <w:rPr>
                <w:sz w:val="17"/>
              </w:rPr>
            </w:pPr>
            <w:r>
              <w:rPr>
                <w:spacing w:val="-2"/>
                <w:sz w:val="17"/>
              </w:rPr>
              <w:t>479.2</w:t>
            </w:r>
          </w:p>
        </w:tc>
        <w:tc>
          <w:tcPr>
            <w:tcW w:w="667" w:type="dxa"/>
            <w:tcBorders>
              <w:bottom w:val="single" w:color="D9D9D9" w:sz="8" w:space="0"/>
            </w:tcBorders>
          </w:tcPr>
          <w:p w:rsidR="00C31389" w:rsidRDefault="00561FBD" w14:paraId="3AC02FE1" w14:textId="77777777">
            <w:pPr>
              <w:pStyle w:val="TableParagraph"/>
              <w:ind w:left="105" w:right="105"/>
              <w:jc w:val="center"/>
              <w:rPr>
                <w:sz w:val="17"/>
              </w:rPr>
            </w:pPr>
            <w:r>
              <w:rPr>
                <w:spacing w:val="-2"/>
                <w:sz w:val="17"/>
              </w:rPr>
              <w:t>483.2</w:t>
            </w:r>
          </w:p>
        </w:tc>
        <w:tc>
          <w:tcPr>
            <w:tcW w:w="667" w:type="dxa"/>
            <w:tcBorders>
              <w:bottom w:val="single" w:color="D9D9D9" w:sz="8" w:space="0"/>
            </w:tcBorders>
          </w:tcPr>
          <w:p w:rsidR="00C31389" w:rsidRDefault="00561FBD" w14:paraId="79F98CF9" w14:textId="77777777">
            <w:pPr>
              <w:pStyle w:val="TableParagraph"/>
              <w:ind w:right="119"/>
              <w:jc w:val="right"/>
              <w:rPr>
                <w:sz w:val="17"/>
              </w:rPr>
            </w:pPr>
            <w:r>
              <w:rPr>
                <w:spacing w:val="-2"/>
                <w:sz w:val="17"/>
              </w:rPr>
              <w:t>479.3</w:t>
            </w:r>
          </w:p>
        </w:tc>
        <w:tc>
          <w:tcPr>
            <w:tcW w:w="668" w:type="dxa"/>
            <w:tcBorders>
              <w:bottom w:val="single" w:color="D9D9D9" w:sz="8" w:space="0"/>
            </w:tcBorders>
          </w:tcPr>
          <w:p w:rsidR="00C31389" w:rsidRDefault="00561FBD" w14:paraId="75A21C2C" w14:textId="77777777">
            <w:pPr>
              <w:pStyle w:val="TableParagraph"/>
              <w:ind w:right="119"/>
              <w:jc w:val="right"/>
              <w:rPr>
                <w:sz w:val="17"/>
              </w:rPr>
            </w:pPr>
            <w:r>
              <w:rPr>
                <w:spacing w:val="-2"/>
                <w:sz w:val="17"/>
              </w:rPr>
              <w:t>469.7</w:t>
            </w:r>
          </w:p>
        </w:tc>
        <w:tc>
          <w:tcPr>
            <w:tcW w:w="668" w:type="dxa"/>
            <w:tcBorders>
              <w:bottom w:val="single" w:color="D9D9D9" w:sz="8" w:space="0"/>
            </w:tcBorders>
          </w:tcPr>
          <w:p w:rsidR="00C31389" w:rsidRDefault="00561FBD" w14:paraId="671FBD97" w14:textId="77777777">
            <w:pPr>
              <w:pStyle w:val="TableParagraph"/>
              <w:ind w:left="106" w:right="106"/>
              <w:jc w:val="center"/>
              <w:rPr>
                <w:sz w:val="17"/>
              </w:rPr>
            </w:pPr>
            <w:r>
              <w:rPr>
                <w:spacing w:val="-2"/>
                <w:sz w:val="17"/>
              </w:rPr>
              <w:t>458.3</w:t>
            </w:r>
          </w:p>
        </w:tc>
        <w:tc>
          <w:tcPr>
            <w:tcW w:w="667" w:type="dxa"/>
            <w:tcBorders>
              <w:bottom w:val="single" w:color="D9D9D9" w:sz="8" w:space="0"/>
            </w:tcBorders>
          </w:tcPr>
          <w:p w:rsidR="00C31389" w:rsidRDefault="00561FBD" w14:paraId="47B94291" w14:textId="77777777">
            <w:pPr>
              <w:pStyle w:val="TableParagraph"/>
              <w:ind w:right="118"/>
              <w:jc w:val="right"/>
              <w:rPr>
                <w:sz w:val="17"/>
              </w:rPr>
            </w:pPr>
            <w:r>
              <w:rPr>
                <w:spacing w:val="-2"/>
                <w:sz w:val="17"/>
              </w:rPr>
              <w:t>447.6</w:t>
            </w:r>
          </w:p>
        </w:tc>
        <w:tc>
          <w:tcPr>
            <w:tcW w:w="667" w:type="dxa"/>
            <w:tcBorders>
              <w:bottom w:val="single" w:color="D9D9D9" w:sz="8" w:space="0"/>
            </w:tcBorders>
          </w:tcPr>
          <w:p w:rsidR="00C31389" w:rsidRDefault="00561FBD" w14:paraId="293B800E" w14:textId="77777777">
            <w:pPr>
              <w:pStyle w:val="TableParagraph"/>
              <w:ind w:right="119"/>
              <w:jc w:val="right"/>
              <w:rPr>
                <w:sz w:val="17"/>
              </w:rPr>
            </w:pPr>
            <w:r>
              <w:rPr>
                <w:spacing w:val="-5"/>
                <w:sz w:val="17"/>
              </w:rPr>
              <w:t>9.9</w:t>
            </w:r>
          </w:p>
        </w:tc>
        <w:tc>
          <w:tcPr>
            <w:tcW w:w="668" w:type="dxa"/>
            <w:tcBorders>
              <w:bottom w:val="single" w:color="D9D9D9" w:sz="8" w:space="0"/>
            </w:tcBorders>
          </w:tcPr>
          <w:p w:rsidR="00C31389" w:rsidRDefault="00561FBD" w14:paraId="6AAC6895" w14:textId="77777777">
            <w:pPr>
              <w:pStyle w:val="TableParagraph"/>
              <w:ind w:left="106" w:right="12"/>
              <w:jc w:val="center"/>
              <w:rPr>
                <w:sz w:val="17"/>
              </w:rPr>
            </w:pPr>
            <w:r>
              <w:rPr>
                <w:spacing w:val="-4"/>
                <w:sz w:val="17"/>
              </w:rPr>
              <w:t>12.1</w:t>
            </w:r>
          </w:p>
        </w:tc>
        <w:tc>
          <w:tcPr>
            <w:tcW w:w="668" w:type="dxa"/>
            <w:tcBorders>
              <w:bottom w:val="single" w:color="D9D9D9" w:sz="8" w:space="0"/>
            </w:tcBorders>
          </w:tcPr>
          <w:p w:rsidR="00C31389" w:rsidRDefault="00561FBD" w14:paraId="7335119D" w14:textId="77777777">
            <w:pPr>
              <w:pStyle w:val="TableParagraph"/>
              <w:ind w:right="120"/>
              <w:jc w:val="right"/>
              <w:rPr>
                <w:sz w:val="17"/>
              </w:rPr>
            </w:pPr>
            <w:r>
              <w:rPr>
                <w:spacing w:val="-4"/>
                <w:sz w:val="17"/>
              </w:rPr>
              <w:t>14.8</w:t>
            </w:r>
          </w:p>
        </w:tc>
        <w:tc>
          <w:tcPr>
            <w:tcW w:w="691" w:type="dxa"/>
            <w:tcBorders>
              <w:bottom w:val="single" w:color="D9D9D9" w:sz="8" w:space="0"/>
            </w:tcBorders>
          </w:tcPr>
          <w:p w:rsidR="00C31389" w:rsidRDefault="00561FBD" w14:paraId="55F1AD0B" w14:textId="77777777">
            <w:pPr>
              <w:pStyle w:val="TableParagraph"/>
              <w:ind w:right="142"/>
              <w:jc w:val="right"/>
              <w:rPr>
                <w:sz w:val="17"/>
              </w:rPr>
            </w:pPr>
            <w:r>
              <w:rPr>
                <w:spacing w:val="-5"/>
                <w:sz w:val="17"/>
              </w:rPr>
              <w:t>8.1</w:t>
            </w:r>
          </w:p>
        </w:tc>
        <w:tc>
          <w:tcPr>
            <w:tcW w:w="667" w:type="dxa"/>
            <w:tcBorders>
              <w:bottom w:val="single" w:color="D9D9D9" w:sz="8" w:space="0"/>
            </w:tcBorders>
          </w:tcPr>
          <w:p w:rsidR="00C31389" w:rsidRDefault="00561FBD" w14:paraId="33886653" w14:textId="77777777">
            <w:pPr>
              <w:pStyle w:val="TableParagraph"/>
              <w:ind w:left="244" w:right="105"/>
              <w:jc w:val="center"/>
              <w:rPr>
                <w:sz w:val="17"/>
              </w:rPr>
            </w:pPr>
            <w:r>
              <w:rPr>
                <w:spacing w:val="-5"/>
                <w:sz w:val="17"/>
              </w:rPr>
              <w:t>8.8</w:t>
            </w:r>
          </w:p>
        </w:tc>
        <w:tc>
          <w:tcPr>
            <w:tcW w:w="631" w:type="dxa"/>
            <w:tcBorders>
              <w:bottom w:val="single" w:color="D9D9D9" w:sz="8" w:space="0"/>
            </w:tcBorders>
          </w:tcPr>
          <w:p w:rsidR="00C31389" w:rsidRDefault="00561FBD" w14:paraId="12CA4423" w14:textId="77777777">
            <w:pPr>
              <w:pStyle w:val="TableParagraph"/>
              <w:ind w:right="106"/>
              <w:jc w:val="right"/>
              <w:rPr>
                <w:sz w:val="17"/>
              </w:rPr>
            </w:pPr>
            <w:r>
              <w:rPr>
                <w:spacing w:val="-4"/>
                <w:sz w:val="17"/>
              </w:rPr>
              <w:t>20.0</w:t>
            </w:r>
          </w:p>
        </w:tc>
      </w:tr>
      <w:tr w:rsidR="00C31389" w14:paraId="4DFEE407" w14:textId="77777777">
        <w:trPr>
          <w:trHeight w:val="275"/>
        </w:trPr>
        <w:tc>
          <w:tcPr>
            <w:tcW w:w="1364" w:type="dxa"/>
            <w:tcBorders>
              <w:top w:val="single" w:color="DCDDDE" w:sz="4" w:space="0"/>
              <w:bottom w:val="single" w:color="DCDDDE" w:sz="4" w:space="0"/>
            </w:tcBorders>
          </w:tcPr>
          <w:p w:rsidR="00C31389" w:rsidRDefault="00561FBD" w14:paraId="6F488C46" w14:textId="77777777">
            <w:pPr>
              <w:pStyle w:val="TableParagraph"/>
              <w:spacing w:before="41"/>
              <w:ind w:left="121"/>
              <w:rPr>
                <w:sz w:val="17"/>
              </w:rPr>
            </w:pPr>
            <w:r>
              <w:rPr>
                <w:spacing w:val="-4"/>
                <w:sz w:val="17"/>
              </w:rPr>
              <w:t>BROs</w:t>
            </w:r>
          </w:p>
        </w:tc>
        <w:tc>
          <w:tcPr>
            <w:tcW w:w="681" w:type="dxa"/>
            <w:tcBorders>
              <w:top w:val="single" w:color="D9D9D9" w:sz="8" w:space="0"/>
              <w:bottom w:val="single" w:color="DCDDDE" w:sz="4" w:space="0"/>
            </w:tcBorders>
          </w:tcPr>
          <w:p w:rsidR="00C31389" w:rsidRDefault="00561FBD" w14:paraId="4D3A5DD4" w14:textId="77777777">
            <w:pPr>
              <w:pStyle w:val="TableParagraph"/>
              <w:spacing w:before="41"/>
              <w:ind w:right="120"/>
              <w:jc w:val="right"/>
              <w:rPr>
                <w:sz w:val="17"/>
              </w:rPr>
            </w:pPr>
            <w:r>
              <w:rPr>
                <w:spacing w:val="-4"/>
                <w:sz w:val="17"/>
              </w:rPr>
              <w:t>57.5</w:t>
            </w:r>
          </w:p>
        </w:tc>
        <w:tc>
          <w:tcPr>
            <w:tcW w:w="667" w:type="dxa"/>
            <w:tcBorders>
              <w:top w:val="single" w:color="D9D9D9" w:sz="8" w:space="0"/>
              <w:bottom w:val="single" w:color="DCDDDE" w:sz="4" w:space="0"/>
            </w:tcBorders>
          </w:tcPr>
          <w:p w:rsidR="00C31389" w:rsidRDefault="00561FBD" w14:paraId="532E665B" w14:textId="77777777">
            <w:pPr>
              <w:pStyle w:val="TableParagraph"/>
              <w:spacing w:before="41"/>
              <w:ind w:left="105" w:right="11"/>
              <w:jc w:val="center"/>
              <w:rPr>
                <w:sz w:val="17"/>
              </w:rPr>
            </w:pPr>
            <w:r>
              <w:rPr>
                <w:spacing w:val="-4"/>
                <w:sz w:val="17"/>
              </w:rPr>
              <w:t>59.9</w:t>
            </w:r>
          </w:p>
        </w:tc>
        <w:tc>
          <w:tcPr>
            <w:tcW w:w="667" w:type="dxa"/>
            <w:tcBorders>
              <w:top w:val="single" w:color="D9D9D9" w:sz="8" w:space="0"/>
              <w:bottom w:val="single" w:color="DCDDDE" w:sz="4" w:space="0"/>
            </w:tcBorders>
          </w:tcPr>
          <w:p w:rsidR="00C31389" w:rsidRDefault="00561FBD" w14:paraId="361990D1" w14:textId="77777777">
            <w:pPr>
              <w:pStyle w:val="TableParagraph"/>
              <w:spacing w:before="41"/>
              <w:ind w:right="119"/>
              <w:jc w:val="right"/>
              <w:rPr>
                <w:sz w:val="17"/>
              </w:rPr>
            </w:pPr>
            <w:r>
              <w:rPr>
                <w:spacing w:val="-4"/>
                <w:sz w:val="17"/>
              </w:rPr>
              <w:t>62.5</w:t>
            </w:r>
          </w:p>
        </w:tc>
        <w:tc>
          <w:tcPr>
            <w:tcW w:w="668" w:type="dxa"/>
            <w:tcBorders>
              <w:top w:val="single" w:color="D9D9D9" w:sz="8" w:space="0"/>
              <w:bottom w:val="single" w:color="DCDDDE" w:sz="4" w:space="0"/>
            </w:tcBorders>
          </w:tcPr>
          <w:p w:rsidR="00C31389" w:rsidRDefault="00561FBD" w14:paraId="0DD58103" w14:textId="77777777">
            <w:pPr>
              <w:pStyle w:val="TableParagraph"/>
              <w:spacing w:before="41"/>
              <w:ind w:right="119"/>
              <w:jc w:val="right"/>
              <w:rPr>
                <w:sz w:val="17"/>
              </w:rPr>
            </w:pPr>
            <w:r>
              <w:rPr>
                <w:spacing w:val="-4"/>
                <w:sz w:val="17"/>
              </w:rPr>
              <w:t>65.3</w:t>
            </w:r>
          </w:p>
        </w:tc>
        <w:tc>
          <w:tcPr>
            <w:tcW w:w="668" w:type="dxa"/>
            <w:tcBorders>
              <w:top w:val="single" w:color="D9D9D9" w:sz="8" w:space="0"/>
              <w:bottom w:val="single" w:color="DCDDDE" w:sz="4" w:space="0"/>
            </w:tcBorders>
          </w:tcPr>
          <w:p w:rsidR="00C31389" w:rsidRDefault="00561FBD" w14:paraId="52C316D2" w14:textId="77777777">
            <w:pPr>
              <w:pStyle w:val="TableParagraph"/>
              <w:spacing w:before="41"/>
              <w:ind w:left="106" w:right="14"/>
              <w:jc w:val="center"/>
              <w:rPr>
                <w:sz w:val="17"/>
              </w:rPr>
            </w:pPr>
            <w:r>
              <w:rPr>
                <w:spacing w:val="-4"/>
                <w:sz w:val="17"/>
              </w:rPr>
              <w:t>68.2</w:t>
            </w:r>
          </w:p>
        </w:tc>
        <w:tc>
          <w:tcPr>
            <w:tcW w:w="667" w:type="dxa"/>
            <w:tcBorders>
              <w:top w:val="single" w:color="D9D9D9" w:sz="8" w:space="0"/>
              <w:bottom w:val="single" w:color="DCDDDE" w:sz="4" w:space="0"/>
            </w:tcBorders>
          </w:tcPr>
          <w:p w:rsidR="00C31389" w:rsidRDefault="00561FBD" w14:paraId="214F621D" w14:textId="77777777">
            <w:pPr>
              <w:pStyle w:val="TableParagraph"/>
              <w:spacing w:before="41"/>
              <w:ind w:right="118"/>
              <w:jc w:val="right"/>
              <w:rPr>
                <w:sz w:val="17"/>
              </w:rPr>
            </w:pPr>
            <w:r>
              <w:rPr>
                <w:spacing w:val="-4"/>
                <w:sz w:val="17"/>
              </w:rPr>
              <w:t>71.3</w:t>
            </w:r>
          </w:p>
        </w:tc>
        <w:tc>
          <w:tcPr>
            <w:tcW w:w="667" w:type="dxa"/>
            <w:tcBorders>
              <w:top w:val="single" w:color="D9D9D9" w:sz="8" w:space="0"/>
              <w:bottom w:val="single" w:color="DCDDDE" w:sz="4" w:space="0"/>
            </w:tcBorders>
          </w:tcPr>
          <w:p w:rsidR="00C31389" w:rsidRDefault="00561FBD" w14:paraId="7D73B49E" w14:textId="77777777">
            <w:pPr>
              <w:pStyle w:val="TableParagraph"/>
              <w:spacing w:before="41"/>
              <w:ind w:right="119"/>
              <w:jc w:val="right"/>
              <w:rPr>
                <w:sz w:val="17"/>
              </w:rPr>
            </w:pPr>
            <w:r>
              <w:rPr>
                <w:spacing w:val="-4"/>
                <w:sz w:val="17"/>
              </w:rPr>
              <w:t>74.8</w:t>
            </w:r>
          </w:p>
        </w:tc>
        <w:tc>
          <w:tcPr>
            <w:tcW w:w="668" w:type="dxa"/>
            <w:tcBorders>
              <w:top w:val="single" w:color="D9D9D9" w:sz="8" w:space="0"/>
              <w:bottom w:val="single" w:color="DCDDDE" w:sz="4" w:space="0"/>
            </w:tcBorders>
          </w:tcPr>
          <w:p w:rsidR="00C31389" w:rsidRDefault="00561FBD" w14:paraId="5AE5198B" w14:textId="77777777">
            <w:pPr>
              <w:pStyle w:val="TableParagraph"/>
              <w:spacing w:before="41"/>
              <w:ind w:left="106" w:right="12"/>
              <w:jc w:val="center"/>
              <w:rPr>
                <w:sz w:val="17"/>
              </w:rPr>
            </w:pPr>
            <w:r>
              <w:rPr>
                <w:spacing w:val="-4"/>
                <w:sz w:val="17"/>
              </w:rPr>
              <w:t>78.6</w:t>
            </w:r>
          </w:p>
        </w:tc>
        <w:tc>
          <w:tcPr>
            <w:tcW w:w="668" w:type="dxa"/>
            <w:tcBorders>
              <w:top w:val="single" w:color="D9D9D9" w:sz="8" w:space="0"/>
              <w:bottom w:val="single" w:color="DCDDDE" w:sz="4" w:space="0"/>
            </w:tcBorders>
          </w:tcPr>
          <w:p w:rsidR="00C31389" w:rsidRDefault="00561FBD" w14:paraId="2211C4FC" w14:textId="77777777">
            <w:pPr>
              <w:pStyle w:val="TableParagraph"/>
              <w:spacing w:before="41"/>
              <w:ind w:right="120"/>
              <w:jc w:val="right"/>
              <w:rPr>
                <w:sz w:val="17"/>
              </w:rPr>
            </w:pPr>
            <w:r>
              <w:rPr>
                <w:spacing w:val="-4"/>
                <w:sz w:val="17"/>
              </w:rPr>
              <w:t>82.5</w:t>
            </w:r>
          </w:p>
        </w:tc>
        <w:tc>
          <w:tcPr>
            <w:tcW w:w="691" w:type="dxa"/>
            <w:tcBorders>
              <w:top w:val="single" w:color="D9D9D9" w:sz="8" w:space="0"/>
              <w:bottom w:val="single" w:color="DCDDDE" w:sz="4" w:space="0"/>
            </w:tcBorders>
          </w:tcPr>
          <w:p w:rsidR="00C31389" w:rsidRDefault="00561FBD" w14:paraId="1EBEC912" w14:textId="77777777">
            <w:pPr>
              <w:pStyle w:val="TableParagraph"/>
              <w:spacing w:before="41"/>
              <w:ind w:right="142"/>
              <w:jc w:val="right"/>
              <w:rPr>
                <w:sz w:val="17"/>
              </w:rPr>
            </w:pPr>
            <w:r>
              <w:rPr>
                <w:spacing w:val="-4"/>
                <w:sz w:val="17"/>
              </w:rPr>
              <w:t>87.7</w:t>
            </w:r>
          </w:p>
        </w:tc>
        <w:tc>
          <w:tcPr>
            <w:tcW w:w="667" w:type="dxa"/>
            <w:tcBorders>
              <w:top w:val="single" w:color="D9D9D9" w:sz="8" w:space="0"/>
              <w:bottom w:val="single" w:color="DCDDDE" w:sz="4" w:space="0"/>
            </w:tcBorders>
          </w:tcPr>
          <w:p w:rsidR="00C31389" w:rsidRDefault="00561FBD" w14:paraId="183482FF" w14:textId="77777777">
            <w:pPr>
              <w:pStyle w:val="TableParagraph"/>
              <w:spacing w:before="41"/>
              <w:ind w:left="105" w:right="61"/>
              <w:jc w:val="center"/>
              <w:rPr>
                <w:sz w:val="17"/>
              </w:rPr>
            </w:pPr>
            <w:r>
              <w:rPr>
                <w:spacing w:val="-4"/>
                <w:sz w:val="17"/>
              </w:rPr>
              <w:t>88.9</w:t>
            </w:r>
          </w:p>
        </w:tc>
        <w:tc>
          <w:tcPr>
            <w:tcW w:w="631" w:type="dxa"/>
            <w:tcBorders>
              <w:top w:val="single" w:color="D9D9D9" w:sz="8" w:space="0"/>
              <w:bottom w:val="single" w:color="DCDDDE" w:sz="4" w:space="0"/>
            </w:tcBorders>
          </w:tcPr>
          <w:p w:rsidR="00C31389" w:rsidRDefault="00561FBD" w14:paraId="319220BE" w14:textId="77777777">
            <w:pPr>
              <w:pStyle w:val="TableParagraph"/>
              <w:spacing w:before="41"/>
              <w:ind w:right="106"/>
              <w:jc w:val="right"/>
              <w:rPr>
                <w:sz w:val="17"/>
              </w:rPr>
            </w:pPr>
            <w:r>
              <w:rPr>
                <w:spacing w:val="-4"/>
                <w:sz w:val="17"/>
              </w:rPr>
              <w:t>93.8</w:t>
            </w:r>
          </w:p>
        </w:tc>
      </w:tr>
      <w:tr w:rsidR="00C31389" w14:paraId="05BB7F0C"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467EB390" w14:textId="77777777">
            <w:pPr>
              <w:pStyle w:val="TableParagraph"/>
              <w:ind w:left="121"/>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60382BE5" w14:textId="77777777">
        <w:trPr>
          <w:trHeight w:val="275"/>
        </w:trPr>
        <w:tc>
          <w:tcPr>
            <w:tcW w:w="1364" w:type="dxa"/>
            <w:tcBorders>
              <w:top w:val="single" w:color="DCDDDE" w:sz="4" w:space="0"/>
              <w:bottom w:val="single" w:color="DCDDDE" w:sz="4" w:space="0"/>
            </w:tcBorders>
          </w:tcPr>
          <w:p w:rsidR="00C31389" w:rsidRDefault="00561FBD" w14:paraId="050599C6" w14:textId="77777777">
            <w:pPr>
              <w:pStyle w:val="TableParagraph"/>
              <w:ind w:left="121"/>
              <w:rPr>
                <w:sz w:val="17"/>
              </w:rPr>
            </w:pPr>
            <w:r>
              <w:rPr>
                <w:spacing w:val="-5"/>
                <w:sz w:val="17"/>
              </w:rPr>
              <w:t>EE</w:t>
            </w:r>
          </w:p>
        </w:tc>
        <w:tc>
          <w:tcPr>
            <w:tcW w:w="681" w:type="dxa"/>
            <w:tcBorders>
              <w:top w:val="single" w:color="DCDDDE" w:sz="4" w:space="0"/>
            </w:tcBorders>
          </w:tcPr>
          <w:p w:rsidR="00C31389" w:rsidRDefault="00561FBD" w14:paraId="42E8ED10" w14:textId="77777777">
            <w:pPr>
              <w:pStyle w:val="TableParagraph"/>
              <w:ind w:right="120"/>
              <w:jc w:val="right"/>
              <w:rPr>
                <w:sz w:val="17"/>
              </w:rPr>
            </w:pPr>
            <w:r>
              <w:rPr>
                <w:spacing w:val="-4"/>
                <w:sz w:val="17"/>
              </w:rPr>
              <w:t>16.1</w:t>
            </w:r>
          </w:p>
        </w:tc>
        <w:tc>
          <w:tcPr>
            <w:tcW w:w="667" w:type="dxa"/>
            <w:tcBorders>
              <w:top w:val="single" w:color="DCDDDE" w:sz="4" w:space="0"/>
            </w:tcBorders>
          </w:tcPr>
          <w:p w:rsidR="00C31389" w:rsidRDefault="00561FBD" w14:paraId="7CDB5820" w14:textId="77777777">
            <w:pPr>
              <w:pStyle w:val="TableParagraph"/>
              <w:ind w:left="105" w:right="11"/>
              <w:jc w:val="center"/>
              <w:rPr>
                <w:sz w:val="17"/>
              </w:rPr>
            </w:pPr>
            <w:r>
              <w:rPr>
                <w:spacing w:val="-4"/>
                <w:sz w:val="17"/>
              </w:rPr>
              <w:t>15.0</w:t>
            </w:r>
          </w:p>
        </w:tc>
        <w:tc>
          <w:tcPr>
            <w:tcW w:w="667" w:type="dxa"/>
            <w:tcBorders>
              <w:top w:val="single" w:color="DCDDDE" w:sz="4" w:space="0"/>
            </w:tcBorders>
          </w:tcPr>
          <w:p w:rsidR="00C31389" w:rsidRDefault="00561FBD" w14:paraId="05D0B140" w14:textId="77777777">
            <w:pPr>
              <w:pStyle w:val="TableParagraph"/>
              <w:ind w:right="119"/>
              <w:jc w:val="right"/>
              <w:rPr>
                <w:sz w:val="17"/>
              </w:rPr>
            </w:pPr>
            <w:r>
              <w:rPr>
                <w:spacing w:val="-4"/>
                <w:sz w:val="17"/>
              </w:rPr>
              <w:t>13.4</w:t>
            </w:r>
          </w:p>
        </w:tc>
        <w:tc>
          <w:tcPr>
            <w:tcW w:w="668" w:type="dxa"/>
            <w:tcBorders>
              <w:top w:val="single" w:color="DCDDDE" w:sz="4" w:space="0"/>
            </w:tcBorders>
          </w:tcPr>
          <w:p w:rsidR="00C31389" w:rsidRDefault="00561FBD" w14:paraId="322C8DD6" w14:textId="77777777">
            <w:pPr>
              <w:pStyle w:val="TableParagraph"/>
              <w:ind w:right="119"/>
              <w:jc w:val="right"/>
              <w:rPr>
                <w:sz w:val="17"/>
              </w:rPr>
            </w:pPr>
            <w:r>
              <w:rPr>
                <w:spacing w:val="-4"/>
                <w:sz w:val="17"/>
              </w:rPr>
              <w:t>12.6</w:t>
            </w:r>
          </w:p>
        </w:tc>
        <w:tc>
          <w:tcPr>
            <w:tcW w:w="668" w:type="dxa"/>
            <w:tcBorders>
              <w:top w:val="single" w:color="DCDDDE" w:sz="4" w:space="0"/>
            </w:tcBorders>
          </w:tcPr>
          <w:p w:rsidR="00C31389" w:rsidRDefault="00561FBD" w14:paraId="724A1D4F" w14:textId="77777777">
            <w:pPr>
              <w:pStyle w:val="TableParagraph"/>
              <w:ind w:left="106" w:right="14"/>
              <w:jc w:val="center"/>
              <w:rPr>
                <w:sz w:val="17"/>
              </w:rPr>
            </w:pPr>
            <w:r>
              <w:rPr>
                <w:spacing w:val="-4"/>
                <w:sz w:val="17"/>
              </w:rPr>
              <w:t>12.0</w:t>
            </w:r>
          </w:p>
        </w:tc>
        <w:tc>
          <w:tcPr>
            <w:tcW w:w="667" w:type="dxa"/>
            <w:tcBorders>
              <w:top w:val="single" w:color="DCDDDE" w:sz="4" w:space="0"/>
            </w:tcBorders>
          </w:tcPr>
          <w:p w:rsidR="00C31389" w:rsidRDefault="00561FBD" w14:paraId="20536659" w14:textId="77777777">
            <w:pPr>
              <w:pStyle w:val="TableParagraph"/>
              <w:ind w:right="118"/>
              <w:jc w:val="right"/>
              <w:rPr>
                <w:sz w:val="17"/>
              </w:rPr>
            </w:pPr>
            <w:r>
              <w:rPr>
                <w:spacing w:val="-4"/>
                <w:sz w:val="17"/>
              </w:rPr>
              <w:t>10.5</w:t>
            </w:r>
          </w:p>
        </w:tc>
        <w:tc>
          <w:tcPr>
            <w:tcW w:w="667" w:type="dxa"/>
            <w:tcBorders>
              <w:top w:val="single" w:color="DCDDDE" w:sz="4" w:space="0"/>
            </w:tcBorders>
          </w:tcPr>
          <w:p w:rsidR="00C31389" w:rsidRDefault="00561FBD" w14:paraId="3A8A278B" w14:textId="77777777">
            <w:pPr>
              <w:pStyle w:val="TableParagraph"/>
              <w:ind w:right="119"/>
              <w:jc w:val="right"/>
              <w:rPr>
                <w:sz w:val="17"/>
              </w:rPr>
            </w:pPr>
            <w:r>
              <w:rPr>
                <w:spacing w:val="-4"/>
                <w:sz w:val="17"/>
              </w:rPr>
              <w:t>10.0</w:t>
            </w:r>
          </w:p>
        </w:tc>
        <w:tc>
          <w:tcPr>
            <w:tcW w:w="668" w:type="dxa"/>
            <w:tcBorders>
              <w:top w:val="single" w:color="DCDDDE" w:sz="4" w:space="0"/>
            </w:tcBorders>
          </w:tcPr>
          <w:p w:rsidR="00C31389" w:rsidRDefault="00561FBD" w14:paraId="611BD6B6" w14:textId="77777777">
            <w:pPr>
              <w:pStyle w:val="TableParagraph"/>
              <w:ind w:left="294" w:right="106"/>
              <w:jc w:val="center"/>
              <w:rPr>
                <w:sz w:val="17"/>
              </w:rPr>
            </w:pPr>
            <w:r>
              <w:rPr>
                <w:spacing w:val="-5"/>
                <w:sz w:val="17"/>
              </w:rPr>
              <w:t>9.8</w:t>
            </w:r>
          </w:p>
        </w:tc>
        <w:tc>
          <w:tcPr>
            <w:tcW w:w="668" w:type="dxa"/>
            <w:tcBorders>
              <w:top w:val="single" w:color="DCDDDE" w:sz="4" w:space="0"/>
            </w:tcBorders>
          </w:tcPr>
          <w:p w:rsidR="00C31389" w:rsidRDefault="00561FBD" w14:paraId="0408EE72" w14:textId="77777777">
            <w:pPr>
              <w:pStyle w:val="TableParagraph"/>
              <w:ind w:right="120"/>
              <w:jc w:val="right"/>
              <w:rPr>
                <w:sz w:val="17"/>
              </w:rPr>
            </w:pPr>
            <w:r>
              <w:rPr>
                <w:spacing w:val="-5"/>
                <w:sz w:val="17"/>
              </w:rPr>
              <w:t>9.7</w:t>
            </w:r>
          </w:p>
        </w:tc>
        <w:tc>
          <w:tcPr>
            <w:tcW w:w="691" w:type="dxa"/>
            <w:tcBorders>
              <w:top w:val="single" w:color="DCDDDE" w:sz="4" w:space="0"/>
            </w:tcBorders>
          </w:tcPr>
          <w:p w:rsidR="00C31389" w:rsidRDefault="00561FBD" w14:paraId="65B03539" w14:textId="77777777">
            <w:pPr>
              <w:pStyle w:val="TableParagraph"/>
              <w:ind w:right="142"/>
              <w:jc w:val="right"/>
              <w:rPr>
                <w:sz w:val="17"/>
              </w:rPr>
            </w:pPr>
            <w:r>
              <w:rPr>
                <w:spacing w:val="-5"/>
                <w:sz w:val="17"/>
              </w:rPr>
              <w:t>9.6</w:t>
            </w:r>
          </w:p>
        </w:tc>
        <w:tc>
          <w:tcPr>
            <w:tcW w:w="667" w:type="dxa"/>
            <w:tcBorders>
              <w:top w:val="single" w:color="DCDDDE" w:sz="4" w:space="0"/>
            </w:tcBorders>
          </w:tcPr>
          <w:p w:rsidR="00C31389" w:rsidRDefault="00561FBD" w14:paraId="33F6B32F" w14:textId="77777777">
            <w:pPr>
              <w:pStyle w:val="TableParagraph"/>
              <w:ind w:left="244" w:right="105"/>
              <w:jc w:val="center"/>
              <w:rPr>
                <w:sz w:val="17"/>
              </w:rPr>
            </w:pPr>
            <w:r>
              <w:rPr>
                <w:spacing w:val="-5"/>
                <w:sz w:val="17"/>
              </w:rPr>
              <w:t>9.7</w:t>
            </w:r>
          </w:p>
        </w:tc>
        <w:tc>
          <w:tcPr>
            <w:tcW w:w="631" w:type="dxa"/>
            <w:tcBorders>
              <w:top w:val="single" w:color="DCDDDE" w:sz="4" w:space="0"/>
            </w:tcBorders>
          </w:tcPr>
          <w:p w:rsidR="00C31389" w:rsidRDefault="00561FBD" w14:paraId="1A44E5FF" w14:textId="77777777">
            <w:pPr>
              <w:pStyle w:val="TableParagraph"/>
              <w:ind w:right="106"/>
              <w:jc w:val="right"/>
              <w:rPr>
                <w:sz w:val="17"/>
              </w:rPr>
            </w:pPr>
            <w:r>
              <w:rPr>
                <w:spacing w:val="-4"/>
                <w:sz w:val="17"/>
              </w:rPr>
              <w:t>10.0</w:t>
            </w:r>
          </w:p>
        </w:tc>
      </w:tr>
      <w:tr w:rsidR="00C31389" w14:paraId="75E74FE6" w14:textId="77777777">
        <w:trPr>
          <w:trHeight w:val="275"/>
        </w:trPr>
        <w:tc>
          <w:tcPr>
            <w:tcW w:w="1364" w:type="dxa"/>
            <w:tcBorders>
              <w:top w:val="single" w:color="DCDDDE" w:sz="4" w:space="0"/>
              <w:bottom w:val="single" w:color="DCDDDE" w:sz="4" w:space="0"/>
            </w:tcBorders>
          </w:tcPr>
          <w:p w:rsidR="00C31389" w:rsidRDefault="00561FBD" w14:paraId="65F8DC3C" w14:textId="77777777">
            <w:pPr>
              <w:pStyle w:val="TableParagraph"/>
              <w:ind w:left="121"/>
              <w:rPr>
                <w:sz w:val="17"/>
              </w:rPr>
            </w:pPr>
            <w:r>
              <w:rPr>
                <w:spacing w:val="-5"/>
                <w:sz w:val="17"/>
              </w:rPr>
              <w:t>FS</w:t>
            </w:r>
          </w:p>
        </w:tc>
        <w:tc>
          <w:tcPr>
            <w:tcW w:w="681" w:type="dxa"/>
            <w:tcBorders>
              <w:bottom w:val="single" w:color="D9D9D9" w:sz="8" w:space="0"/>
            </w:tcBorders>
          </w:tcPr>
          <w:p w:rsidR="00C31389" w:rsidRDefault="00561FBD" w14:paraId="1725E728" w14:textId="77777777">
            <w:pPr>
              <w:pStyle w:val="TableParagraph"/>
              <w:ind w:right="120"/>
              <w:jc w:val="right"/>
              <w:rPr>
                <w:sz w:val="17"/>
              </w:rPr>
            </w:pPr>
            <w:r>
              <w:rPr>
                <w:spacing w:val="-5"/>
                <w:sz w:val="17"/>
              </w:rPr>
              <w:t>1.6</w:t>
            </w:r>
          </w:p>
        </w:tc>
        <w:tc>
          <w:tcPr>
            <w:tcW w:w="667" w:type="dxa"/>
            <w:tcBorders>
              <w:bottom w:val="single" w:color="D9D9D9" w:sz="8" w:space="0"/>
            </w:tcBorders>
          </w:tcPr>
          <w:p w:rsidR="00C31389" w:rsidRDefault="00561FBD" w14:paraId="24219897" w14:textId="77777777">
            <w:pPr>
              <w:pStyle w:val="TableParagraph"/>
              <w:ind w:left="272" w:right="83"/>
              <w:jc w:val="center"/>
              <w:rPr>
                <w:sz w:val="17"/>
              </w:rPr>
            </w:pPr>
            <w:r>
              <w:rPr>
                <w:spacing w:val="-5"/>
                <w:sz w:val="17"/>
              </w:rPr>
              <w:t>3.1</w:t>
            </w:r>
          </w:p>
        </w:tc>
        <w:tc>
          <w:tcPr>
            <w:tcW w:w="667" w:type="dxa"/>
            <w:tcBorders>
              <w:bottom w:val="single" w:color="D9D9D9" w:sz="8" w:space="0"/>
            </w:tcBorders>
          </w:tcPr>
          <w:p w:rsidR="00C31389" w:rsidRDefault="00561FBD" w14:paraId="37E78F08" w14:textId="77777777">
            <w:pPr>
              <w:pStyle w:val="TableParagraph"/>
              <w:ind w:right="119"/>
              <w:jc w:val="right"/>
              <w:rPr>
                <w:sz w:val="17"/>
              </w:rPr>
            </w:pPr>
            <w:r>
              <w:rPr>
                <w:spacing w:val="-5"/>
                <w:sz w:val="17"/>
              </w:rPr>
              <w:t>4.9</w:t>
            </w:r>
          </w:p>
        </w:tc>
        <w:tc>
          <w:tcPr>
            <w:tcW w:w="668" w:type="dxa"/>
            <w:tcBorders>
              <w:bottom w:val="single" w:color="D9D9D9" w:sz="8" w:space="0"/>
            </w:tcBorders>
          </w:tcPr>
          <w:p w:rsidR="00C31389" w:rsidRDefault="00561FBD" w14:paraId="4966E5E5" w14:textId="77777777">
            <w:pPr>
              <w:pStyle w:val="TableParagraph"/>
              <w:ind w:right="119"/>
              <w:jc w:val="right"/>
              <w:rPr>
                <w:sz w:val="17"/>
              </w:rPr>
            </w:pPr>
            <w:r>
              <w:rPr>
                <w:spacing w:val="-5"/>
                <w:sz w:val="17"/>
              </w:rPr>
              <w:t>6.2</w:t>
            </w:r>
          </w:p>
        </w:tc>
        <w:tc>
          <w:tcPr>
            <w:tcW w:w="668" w:type="dxa"/>
            <w:tcBorders>
              <w:bottom w:val="single" w:color="D9D9D9" w:sz="8" w:space="0"/>
            </w:tcBorders>
          </w:tcPr>
          <w:p w:rsidR="00C31389" w:rsidRDefault="00561FBD" w14:paraId="0B8E60AE" w14:textId="77777777">
            <w:pPr>
              <w:pStyle w:val="TableParagraph"/>
              <w:ind w:left="293" w:right="106"/>
              <w:jc w:val="center"/>
              <w:rPr>
                <w:sz w:val="17"/>
              </w:rPr>
            </w:pPr>
            <w:r>
              <w:rPr>
                <w:spacing w:val="-5"/>
                <w:sz w:val="17"/>
              </w:rPr>
              <w:t>7.3</w:t>
            </w:r>
          </w:p>
        </w:tc>
        <w:tc>
          <w:tcPr>
            <w:tcW w:w="667" w:type="dxa"/>
            <w:tcBorders>
              <w:bottom w:val="single" w:color="D9D9D9" w:sz="8" w:space="0"/>
            </w:tcBorders>
          </w:tcPr>
          <w:p w:rsidR="00C31389" w:rsidRDefault="00561FBD" w14:paraId="701FA88F" w14:textId="77777777">
            <w:pPr>
              <w:pStyle w:val="TableParagraph"/>
              <w:ind w:right="118"/>
              <w:jc w:val="right"/>
              <w:rPr>
                <w:sz w:val="17"/>
              </w:rPr>
            </w:pPr>
            <w:r>
              <w:rPr>
                <w:spacing w:val="-5"/>
                <w:sz w:val="17"/>
              </w:rPr>
              <w:t>8.2</w:t>
            </w:r>
          </w:p>
        </w:tc>
        <w:tc>
          <w:tcPr>
            <w:tcW w:w="667" w:type="dxa"/>
            <w:tcBorders>
              <w:bottom w:val="single" w:color="D9D9D9" w:sz="8" w:space="0"/>
            </w:tcBorders>
          </w:tcPr>
          <w:p w:rsidR="00C31389" w:rsidRDefault="00561FBD" w14:paraId="09925C61" w14:textId="77777777">
            <w:pPr>
              <w:pStyle w:val="TableParagraph"/>
              <w:ind w:right="119"/>
              <w:jc w:val="right"/>
              <w:rPr>
                <w:sz w:val="17"/>
              </w:rPr>
            </w:pPr>
            <w:r>
              <w:rPr>
                <w:spacing w:val="-5"/>
                <w:sz w:val="17"/>
              </w:rPr>
              <w:t>5.4</w:t>
            </w:r>
          </w:p>
        </w:tc>
        <w:tc>
          <w:tcPr>
            <w:tcW w:w="668" w:type="dxa"/>
            <w:tcBorders>
              <w:bottom w:val="single" w:color="D9D9D9" w:sz="8" w:space="0"/>
            </w:tcBorders>
          </w:tcPr>
          <w:p w:rsidR="00C31389" w:rsidRDefault="00561FBD" w14:paraId="4EEEB467" w14:textId="77777777">
            <w:pPr>
              <w:pStyle w:val="TableParagraph"/>
              <w:ind w:left="294" w:right="106"/>
              <w:jc w:val="center"/>
              <w:rPr>
                <w:sz w:val="17"/>
              </w:rPr>
            </w:pPr>
            <w:r>
              <w:rPr>
                <w:spacing w:val="-5"/>
                <w:sz w:val="17"/>
              </w:rPr>
              <w:t>6.3</w:t>
            </w:r>
          </w:p>
        </w:tc>
        <w:tc>
          <w:tcPr>
            <w:tcW w:w="668" w:type="dxa"/>
            <w:tcBorders>
              <w:bottom w:val="single" w:color="D9D9D9" w:sz="8" w:space="0"/>
            </w:tcBorders>
          </w:tcPr>
          <w:p w:rsidR="00C31389" w:rsidRDefault="00561FBD" w14:paraId="368BB1FA" w14:textId="77777777">
            <w:pPr>
              <w:pStyle w:val="TableParagraph"/>
              <w:ind w:right="120"/>
              <w:jc w:val="right"/>
              <w:rPr>
                <w:sz w:val="17"/>
              </w:rPr>
            </w:pPr>
            <w:r>
              <w:rPr>
                <w:spacing w:val="-5"/>
                <w:sz w:val="17"/>
              </w:rPr>
              <w:t>7.3</w:t>
            </w:r>
          </w:p>
        </w:tc>
        <w:tc>
          <w:tcPr>
            <w:tcW w:w="691" w:type="dxa"/>
            <w:tcBorders>
              <w:bottom w:val="single" w:color="D9D9D9" w:sz="8" w:space="0"/>
            </w:tcBorders>
          </w:tcPr>
          <w:p w:rsidR="00C31389" w:rsidRDefault="00561FBD" w14:paraId="2837A681" w14:textId="77777777">
            <w:pPr>
              <w:pStyle w:val="TableParagraph"/>
              <w:ind w:right="142"/>
              <w:jc w:val="right"/>
              <w:rPr>
                <w:sz w:val="17"/>
              </w:rPr>
            </w:pPr>
            <w:r>
              <w:rPr>
                <w:spacing w:val="-5"/>
                <w:sz w:val="17"/>
              </w:rPr>
              <w:t>8.2</w:t>
            </w:r>
          </w:p>
        </w:tc>
        <w:tc>
          <w:tcPr>
            <w:tcW w:w="667" w:type="dxa"/>
            <w:tcBorders>
              <w:bottom w:val="single" w:color="D9D9D9" w:sz="8" w:space="0"/>
            </w:tcBorders>
          </w:tcPr>
          <w:p w:rsidR="00C31389" w:rsidRDefault="00561FBD" w14:paraId="79FB5ECD" w14:textId="77777777">
            <w:pPr>
              <w:pStyle w:val="TableParagraph"/>
              <w:ind w:left="244" w:right="105"/>
              <w:jc w:val="center"/>
              <w:rPr>
                <w:sz w:val="17"/>
              </w:rPr>
            </w:pPr>
            <w:r>
              <w:rPr>
                <w:spacing w:val="-5"/>
                <w:sz w:val="17"/>
              </w:rPr>
              <w:t>8.9</w:t>
            </w:r>
          </w:p>
        </w:tc>
        <w:tc>
          <w:tcPr>
            <w:tcW w:w="631" w:type="dxa"/>
            <w:tcBorders>
              <w:bottom w:val="single" w:color="D9D9D9" w:sz="8" w:space="0"/>
            </w:tcBorders>
          </w:tcPr>
          <w:p w:rsidR="00C31389" w:rsidRDefault="00561FBD" w14:paraId="3B70EAAA" w14:textId="77777777">
            <w:pPr>
              <w:pStyle w:val="TableParagraph"/>
              <w:ind w:right="106"/>
              <w:jc w:val="right"/>
              <w:rPr>
                <w:sz w:val="17"/>
              </w:rPr>
            </w:pPr>
            <w:r>
              <w:rPr>
                <w:spacing w:val="-5"/>
                <w:sz w:val="17"/>
              </w:rPr>
              <w:t>9.6</w:t>
            </w:r>
          </w:p>
        </w:tc>
      </w:tr>
      <w:tr w:rsidR="00C31389" w14:paraId="2656655E" w14:textId="77777777">
        <w:trPr>
          <w:trHeight w:val="275"/>
        </w:trPr>
        <w:tc>
          <w:tcPr>
            <w:tcW w:w="1364" w:type="dxa"/>
            <w:tcBorders>
              <w:top w:val="single" w:color="DCDDDE" w:sz="4" w:space="0"/>
              <w:bottom w:val="single" w:color="DCDDDE" w:sz="4" w:space="0"/>
            </w:tcBorders>
          </w:tcPr>
          <w:p w:rsidR="00C31389" w:rsidRDefault="00561FBD" w14:paraId="45F12A15" w14:textId="77777777">
            <w:pPr>
              <w:pStyle w:val="TableParagraph"/>
              <w:ind w:left="121"/>
              <w:rPr>
                <w:sz w:val="17"/>
              </w:rPr>
            </w:pPr>
            <w:r>
              <w:rPr>
                <w:spacing w:val="-4"/>
                <w:sz w:val="17"/>
              </w:rPr>
              <w:t>BROs</w:t>
            </w:r>
          </w:p>
        </w:tc>
        <w:tc>
          <w:tcPr>
            <w:tcW w:w="681" w:type="dxa"/>
            <w:tcBorders>
              <w:top w:val="single" w:color="D9D9D9" w:sz="8" w:space="0"/>
              <w:bottom w:val="single" w:color="DCDDDE" w:sz="4" w:space="0"/>
            </w:tcBorders>
          </w:tcPr>
          <w:p w:rsidR="00C31389" w:rsidRDefault="00561FBD" w14:paraId="4FE84776" w14:textId="77777777">
            <w:pPr>
              <w:pStyle w:val="TableParagraph"/>
              <w:ind w:right="120"/>
              <w:jc w:val="right"/>
              <w:rPr>
                <w:sz w:val="17"/>
              </w:rPr>
            </w:pPr>
            <w:r>
              <w:rPr>
                <w:spacing w:val="-4"/>
                <w:sz w:val="17"/>
              </w:rPr>
              <w:t>57.5</w:t>
            </w:r>
          </w:p>
        </w:tc>
        <w:tc>
          <w:tcPr>
            <w:tcW w:w="667" w:type="dxa"/>
            <w:tcBorders>
              <w:top w:val="single" w:color="D9D9D9" w:sz="8" w:space="0"/>
              <w:bottom w:val="single" w:color="DCDDDE" w:sz="4" w:space="0"/>
            </w:tcBorders>
          </w:tcPr>
          <w:p w:rsidR="00C31389" w:rsidRDefault="00561FBD" w14:paraId="1D0A5FEC" w14:textId="77777777">
            <w:pPr>
              <w:pStyle w:val="TableParagraph"/>
              <w:ind w:left="105" w:right="11"/>
              <w:jc w:val="center"/>
              <w:rPr>
                <w:sz w:val="17"/>
              </w:rPr>
            </w:pPr>
            <w:r>
              <w:rPr>
                <w:spacing w:val="-4"/>
                <w:sz w:val="17"/>
              </w:rPr>
              <w:t>59.9</w:t>
            </w:r>
          </w:p>
        </w:tc>
        <w:tc>
          <w:tcPr>
            <w:tcW w:w="667" w:type="dxa"/>
            <w:tcBorders>
              <w:top w:val="single" w:color="D9D9D9" w:sz="8" w:space="0"/>
              <w:bottom w:val="single" w:color="DCDDDE" w:sz="4" w:space="0"/>
            </w:tcBorders>
          </w:tcPr>
          <w:p w:rsidR="00C31389" w:rsidRDefault="00561FBD" w14:paraId="320EA359" w14:textId="77777777">
            <w:pPr>
              <w:pStyle w:val="TableParagraph"/>
              <w:ind w:right="119"/>
              <w:jc w:val="right"/>
              <w:rPr>
                <w:sz w:val="17"/>
              </w:rPr>
            </w:pPr>
            <w:r>
              <w:rPr>
                <w:spacing w:val="-4"/>
                <w:sz w:val="17"/>
              </w:rPr>
              <w:t>62.5</w:t>
            </w:r>
          </w:p>
        </w:tc>
        <w:tc>
          <w:tcPr>
            <w:tcW w:w="668" w:type="dxa"/>
            <w:tcBorders>
              <w:top w:val="single" w:color="D9D9D9" w:sz="8" w:space="0"/>
              <w:bottom w:val="single" w:color="DCDDDE" w:sz="4" w:space="0"/>
            </w:tcBorders>
          </w:tcPr>
          <w:p w:rsidR="00C31389" w:rsidRDefault="00561FBD" w14:paraId="769D532A" w14:textId="77777777">
            <w:pPr>
              <w:pStyle w:val="TableParagraph"/>
              <w:ind w:right="119"/>
              <w:jc w:val="right"/>
              <w:rPr>
                <w:sz w:val="17"/>
              </w:rPr>
            </w:pPr>
            <w:r>
              <w:rPr>
                <w:spacing w:val="-4"/>
                <w:sz w:val="17"/>
              </w:rPr>
              <w:t>65.3</w:t>
            </w:r>
          </w:p>
        </w:tc>
        <w:tc>
          <w:tcPr>
            <w:tcW w:w="668" w:type="dxa"/>
            <w:tcBorders>
              <w:top w:val="single" w:color="D9D9D9" w:sz="8" w:space="0"/>
              <w:bottom w:val="single" w:color="DCDDDE" w:sz="4" w:space="0"/>
            </w:tcBorders>
          </w:tcPr>
          <w:p w:rsidR="00C31389" w:rsidRDefault="00561FBD" w14:paraId="0C8C5731" w14:textId="77777777">
            <w:pPr>
              <w:pStyle w:val="TableParagraph"/>
              <w:ind w:left="106" w:right="14"/>
              <w:jc w:val="center"/>
              <w:rPr>
                <w:sz w:val="17"/>
              </w:rPr>
            </w:pPr>
            <w:r>
              <w:rPr>
                <w:spacing w:val="-4"/>
                <w:sz w:val="17"/>
              </w:rPr>
              <w:t>68.2</w:t>
            </w:r>
          </w:p>
        </w:tc>
        <w:tc>
          <w:tcPr>
            <w:tcW w:w="667" w:type="dxa"/>
            <w:tcBorders>
              <w:top w:val="single" w:color="D9D9D9" w:sz="8" w:space="0"/>
              <w:bottom w:val="single" w:color="DCDDDE" w:sz="4" w:space="0"/>
            </w:tcBorders>
          </w:tcPr>
          <w:p w:rsidR="00C31389" w:rsidRDefault="00561FBD" w14:paraId="7EF999AF" w14:textId="77777777">
            <w:pPr>
              <w:pStyle w:val="TableParagraph"/>
              <w:ind w:right="118"/>
              <w:jc w:val="right"/>
              <w:rPr>
                <w:sz w:val="17"/>
              </w:rPr>
            </w:pPr>
            <w:r>
              <w:rPr>
                <w:spacing w:val="-4"/>
                <w:sz w:val="17"/>
              </w:rPr>
              <w:t>71.3</w:t>
            </w:r>
          </w:p>
        </w:tc>
        <w:tc>
          <w:tcPr>
            <w:tcW w:w="667" w:type="dxa"/>
            <w:tcBorders>
              <w:top w:val="single" w:color="D9D9D9" w:sz="8" w:space="0"/>
              <w:bottom w:val="single" w:color="DCDDDE" w:sz="4" w:space="0"/>
            </w:tcBorders>
          </w:tcPr>
          <w:p w:rsidR="00C31389" w:rsidRDefault="00561FBD" w14:paraId="4889D931" w14:textId="77777777">
            <w:pPr>
              <w:pStyle w:val="TableParagraph"/>
              <w:ind w:right="119"/>
              <w:jc w:val="right"/>
              <w:rPr>
                <w:sz w:val="17"/>
              </w:rPr>
            </w:pPr>
            <w:r>
              <w:rPr>
                <w:spacing w:val="-4"/>
                <w:sz w:val="17"/>
              </w:rPr>
              <w:t>74.8</w:t>
            </w:r>
          </w:p>
        </w:tc>
        <w:tc>
          <w:tcPr>
            <w:tcW w:w="668" w:type="dxa"/>
            <w:tcBorders>
              <w:top w:val="single" w:color="D9D9D9" w:sz="8" w:space="0"/>
              <w:bottom w:val="single" w:color="DCDDDE" w:sz="4" w:space="0"/>
            </w:tcBorders>
          </w:tcPr>
          <w:p w:rsidR="00C31389" w:rsidRDefault="00561FBD" w14:paraId="6B5E0823" w14:textId="77777777">
            <w:pPr>
              <w:pStyle w:val="TableParagraph"/>
              <w:ind w:left="106" w:right="12"/>
              <w:jc w:val="center"/>
              <w:rPr>
                <w:sz w:val="17"/>
              </w:rPr>
            </w:pPr>
            <w:r>
              <w:rPr>
                <w:spacing w:val="-4"/>
                <w:sz w:val="17"/>
              </w:rPr>
              <w:t>78.6</w:t>
            </w:r>
          </w:p>
        </w:tc>
        <w:tc>
          <w:tcPr>
            <w:tcW w:w="668" w:type="dxa"/>
            <w:tcBorders>
              <w:top w:val="single" w:color="D9D9D9" w:sz="8" w:space="0"/>
              <w:bottom w:val="single" w:color="DCDDDE" w:sz="4" w:space="0"/>
            </w:tcBorders>
          </w:tcPr>
          <w:p w:rsidR="00C31389" w:rsidRDefault="00561FBD" w14:paraId="116B10AB" w14:textId="77777777">
            <w:pPr>
              <w:pStyle w:val="TableParagraph"/>
              <w:ind w:right="120"/>
              <w:jc w:val="right"/>
              <w:rPr>
                <w:sz w:val="17"/>
              </w:rPr>
            </w:pPr>
            <w:r>
              <w:rPr>
                <w:spacing w:val="-4"/>
                <w:sz w:val="17"/>
              </w:rPr>
              <w:t>82.5</w:t>
            </w:r>
          </w:p>
        </w:tc>
        <w:tc>
          <w:tcPr>
            <w:tcW w:w="691" w:type="dxa"/>
            <w:tcBorders>
              <w:top w:val="single" w:color="D9D9D9" w:sz="8" w:space="0"/>
              <w:bottom w:val="single" w:color="DCDDDE" w:sz="4" w:space="0"/>
            </w:tcBorders>
          </w:tcPr>
          <w:p w:rsidR="00C31389" w:rsidRDefault="00561FBD" w14:paraId="536B1D9A" w14:textId="77777777">
            <w:pPr>
              <w:pStyle w:val="TableParagraph"/>
              <w:ind w:right="142"/>
              <w:jc w:val="right"/>
              <w:rPr>
                <w:sz w:val="17"/>
              </w:rPr>
            </w:pPr>
            <w:r>
              <w:rPr>
                <w:spacing w:val="-4"/>
                <w:sz w:val="17"/>
              </w:rPr>
              <w:t>87.7</w:t>
            </w:r>
          </w:p>
        </w:tc>
        <w:tc>
          <w:tcPr>
            <w:tcW w:w="667" w:type="dxa"/>
            <w:tcBorders>
              <w:top w:val="single" w:color="D9D9D9" w:sz="8" w:space="0"/>
              <w:bottom w:val="single" w:color="DCDDDE" w:sz="4" w:space="0"/>
            </w:tcBorders>
          </w:tcPr>
          <w:p w:rsidR="00C31389" w:rsidRDefault="00561FBD" w14:paraId="4F5B8099" w14:textId="77777777">
            <w:pPr>
              <w:pStyle w:val="TableParagraph"/>
              <w:ind w:left="105" w:right="61"/>
              <w:jc w:val="center"/>
              <w:rPr>
                <w:sz w:val="17"/>
              </w:rPr>
            </w:pPr>
            <w:r>
              <w:rPr>
                <w:spacing w:val="-4"/>
                <w:sz w:val="17"/>
              </w:rPr>
              <w:t>88.9</w:t>
            </w:r>
          </w:p>
        </w:tc>
        <w:tc>
          <w:tcPr>
            <w:tcW w:w="631" w:type="dxa"/>
            <w:tcBorders>
              <w:top w:val="single" w:color="D9D9D9" w:sz="8" w:space="0"/>
              <w:bottom w:val="single" w:color="DCDDDE" w:sz="4" w:space="0"/>
            </w:tcBorders>
          </w:tcPr>
          <w:p w:rsidR="00C31389" w:rsidRDefault="00561FBD" w14:paraId="04615DC1" w14:textId="77777777">
            <w:pPr>
              <w:pStyle w:val="TableParagraph"/>
              <w:ind w:right="106"/>
              <w:jc w:val="right"/>
              <w:rPr>
                <w:sz w:val="17"/>
              </w:rPr>
            </w:pPr>
            <w:r>
              <w:rPr>
                <w:spacing w:val="-4"/>
                <w:sz w:val="17"/>
              </w:rPr>
              <w:t>93.8</w:t>
            </w:r>
          </w:p>
        </w:tc>
      </w:tr>
      <w:tr w:rsidR="00C31389" w14:paraId="30B95D23"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5B7BA016" w14:textId="77777777">
            <w:pPr>
              <w:pStyle w:val="TableParagraph"/>
              <w:ind w:left="121"/>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4D4F4852" w14:textId="77777777">
        <w:trPr>
          <w:trHeight w:val="471"/>
        </w:trPr>
        <w:tc>
          <w:tcPr>
            <w:tcW w:w="1364" w:type="dxa"/>
            <w:tcBorders>
              <w:top w:val="single" w:color="DCDDDE" w:sz="4" w:space="0"/>
              <w:bottom w:val="single" w:color="DCDDDE" w:sz="4" w:space="0"/>
            </w:tcBorders>
          </w:tcPr>
          <w:p w:rsidR="00C31389" w:rsidRDefault="00561FBD" w14:paraId="5236C5D4" w14:textId="77777777">
            <w:pPr>
              <w:pStyle w:val="TableParagraph"/>
              <w:spacing w:before="39"/>
              <w:ind w:left="121" w:right="233"/>
              <w:rPr>
                <w:sz w:val="17"/>
              </w:rPr>
            </w:pPr>
            <w:r>
              <w:rPr>
                <w:sz w:val="17"/>
              </w:rPr>
              <w:t>w/</w:t>
            </w:r>
            <w:r>
              <w:rPr>
                <w:spacing w:val="-12"/>
                <w:sz w:val="17"/>
              </w:rPr>
              <w:t xml:space="preserve"> </w:t>
            </w:r>
            <w:r>
              <w:rPr>
                <w:sz w:val="17"/>
              </w:rPr>
              <w:t xml:space="preserve">Interactive </w:t>
            </w:r>
            <w:r>
              <w:rPr>
                <w:spacing w:val="-2"/>
                <w:sz w:val="17"/>
              </w:rPr>
              <w:t>Effects</w:t>
            </w:r>
          </w:p>
        </w:tc>
        <w:tc>
          <w:tcPr>
            <w:tcW w:w="681" w:type="dxa"/>
            <w:tcBorders>
              <w:top w:val="single" w:color="DCDDDE" w:sz="4" w:space="0"/>
              <w:bottom w:val="single" w:color="DCDDDE" w:sz="4" w:space="0"/>
            </w:tcBorders>
          </w:tcPr>
          <w:p w:rsidR="00C31389" w:rsidRDefault="00561FBD" w14:paraId="1A50461C" w14:textId="77777777">
            <w:pPr>
              <w:pStyle w:val="TableParagraph"/>
              <w:spacing w:before="139"/>
              <w:ind w:right="120"/>
              <w:jc w:val="right"/>
              <w:rPr>
                <w:sz w:val="17"/>
              </w:rPr>
            </w:pPr>
            <w:r>
              <w:rPr>
                <w:spacing w:val="-2"/>
                <w:sz w:val="17"/>
              </w:rPr>
              <w:t>219.4</w:t>
            </w:r>
          </w:p>
        </w:tc>
        <w:tc>
          <w:tcPr>
            <w:tcW w:w="667" w:type="dxa"/>
            <w:tcBorders>
              <w:top w:val="single" w:color="DCDDDE" w:sz="4" w:space="0"/>
              <w:bottom w:val="single" w:color="DCDDDE" w:sz="4" w:space="0"/>
            </w:tcBorders>
          </w:tcPr>
          <w:p w:rsidR="00C31389" w:rsidRDefault="00561FBD" w14:paraId="149E6FD3" w14:textId="77777777">
            <w:pPr>
              <w:pStyle w:val="TableParagraph"/>
              <w:spacing w:before="139"/>
              <w:ind w:left="105" w:right="105"/>
              <w:jc w:val="center"/>
              <w:rPr>
                <w:sz w:val="17"/>
              </w:rPr>
            </w:pPr>
            <w:r>
              <w:rPr>
                <w:spacing w:val="-2"/>
                <w:sz w:val="17"/>
              </w:rPr>
              <w:t>206.5</w:t>
            </w:r>
          </w:p>
        </w:tc>
        <w:tc>
          <w:tcPr>
            <w:tcW w:w="667" w:type="dxa"/>
            <w:tcBorders>
              <w:top w:val="single" w:color="DCDDDE" w:sz="4" w:space="0"/>
              <w:bottom w:val="single" w:color="DCDDDE" w:sz="4" w:space="0"/>
            </w:tcBorders>
          </w:tcPr>
          <w:p w:rsidR="00C31389" w:rsidRDefault="00561FBD" w14:paraId="1D34A85A" w14:textId="77777777">
            <w:pPr>
              <w:pStyle w:val="TableParagraph"/>
              <w:spacing w:before="139"/>
              <w:ind w:right="119"/>
              <w:jc w:val="right"/>
              <w:rPr>
                <w:sz w:val="17"/>
              </w:rPr>
            </w:pPr>
            <w:r>
              <w:rPr>
                <w:spacing w:val="-2"/>
                <w:sz w:val="17"/>
              </w:rPr>
              <w:t>202.2</w:t>
            </w:r>
          </w:p>
        </w:tc>
        <w:tc>
          <w:tcPr>
            <w:tcW w:w="668" w:type="dxa"/>
            <w:tcBorders>
              <w:top w:val="single" w:color="DCDDDE" w:sz="4" w:space="0"/>
              <w:bottom w:val="single" w:color="DCDDDE" w:sz="4" w:space="0"/>
            </w:tcBorders>
          </w:tcPr>
          <w:p w:rsidR="00C31389" w:rsidRDefault="00561FBD" w14:paraId="082B4F1A" w14:textId="77777777">
            <w:pPr>
              <w:pStyle w:val="TableParagraph"/>
              <w:spacing w:before="139"/>
              <w:ind w:right="119"/>
              <w:jc w:val="right"/>
              <w:rPr>
                <w:sz w:val="17"/>
              </w:rPr>
            </w:pPr>
            <w:r>
              <w:rPr>
                <w:spacing w:val="-2"/>
                <w:sz w:val="17"/>
              </w:rPr>
              <w:t>186.3</w:t>
            </w:r>
          </w:p>
        </w:tc>
        <w:tc>
          <w:tcPr>
            <w:tcW w:w="668" w:type="dxa"/>
            <w:tcBorders>
              <w:top w:val="single" w:color="DCDDDE" w:sz="4" w:space="0"/>
              <w:bottom w:val="single" w:color="DCDDDE" w:sz="4" w:space="0"/>
            </w:tcBorders>
          </w:tcPr>
          <w:p w:rsidR="00C31389" w:rsidRDefault="00561FBD" w14:paraId="00865A16" w14:textId="77777777">
            <w:pPr>
              <w:pStyle w:val="TableParagraph"/>
              <w:spacing w:before="139"/>
              <w:ind w:left="106" w:right="106"/>
              <w:jc w:val="center"/>
              <w:rPr>
                <w:sz w:val="17"/>
              </w:rPr>
            </w:pPr>
            <w:r>
              <w:rPr>
                <w:spacing w:val="-2"/>
                <w:sz w:val="17"/>
              </w:rPr>
              <w:t>170.0</w:t>
            </w:r>
          </w:p>
        </w:tc>
        <w:tc>
          <w:tcPr>
            <w:tcW w:w="667" w:type="dxa"/>
            <w:tcBorders>
              <w:top w:val="single" w:color="DCDDDE" w:sz="4" w:space="0"/>
              <w:bottom w:val="single" w:color="DCDDDE" w:sz="4" w:space="0"/>
            </w:tcBorders>
          </w:tcPr>
          <w:p w:rsidR="00C31389" w:rsidRDefault="00561FBD" w14:paraId="3D3AB5F7" w14:textId="77777777">
            <w:pPr>
              <w:pStyle w:val="TableParagraph"/>
              <w:spacing w:before="139"/>
              <w:ind w:right="118"/>
              <w:jc w:val="right"/>
              <w:rPr>
                <w:sz w:val="17"/>
              </w:rPr>
            </w:pPr>
            <w:r>
              <w:rPr>
                <w:spacing w:val="-2"/>
                <w:sz w:val="17"/>
              </w:rPr>
              <w:t>135.1</w:t>
            </w:r>
          </w:p>
        </w:tc>
        <w:tc>
          <w:tcPr>
            <w:tcW w:w="667" w:type="dxa"/>
            <w:tcBorders>
              <w:top w:val="single" w:color="DCDDDE" w:sz="4" w:space="0"/>
              <w:bottom w:val="single" w:color="DCDDDE" w:sz="4" w:space="0"/>
            </w:tcBorders>
          </w:tcPr>
          <w:p w:rsidR="00C31389" w:rsidRDefault="00561FBD" w14:paraId="10639283" w14:textId="77777777">
            <w:pPr>
              <w:pStyle w:val="TableParagraph"/>
              <w:spacing w:before="139"/>
              <w:ind w:right="119"/>
              <w:jc w:val="right"/>
              <w:rPr>
                <w:sz w:val="17"/>
              </w:rPr>
            </w:pPr>
            <w:r>
              <w:rPr>
                <w:spacing w:val="-2"/>
                <w:sz w:val="17"/>
              </w:rPr>
              <w:t>122.7</w:t>
            </w:r>
          </w:p>
        </w:tc>
        <w:tc>
          <w:tcPr>
            <w:tcW w:w="668" w:type="dxa"/>
            <w:tcBorders>
              <w:top w:val="single" w:color="DCDDDE" w:sz="4" w:space="0"/>
              <w:bottom w:val="single" w:color="DCDDDE" w:sz="4" w:space="0"/>
            </w:tcBorders>
          </w:tcPr>
          <w:p w:rsidR="00C31389" w:rsidRDefault="00561FBD" w14:paraId="56F858FF" w14:textId="77777777">
            <w:pPr>
              <w:pStyle w:val="TableParagraph"/>
              <w:spacing w:before="139"/>
              <w:ind w:left="106" w:right="106"/>
              <w:jc w:val="center"/>
              <w:rPr>
                <w:sz w:val="17"/>
              </w:rPr>
            </w:pPr>
            <w:r>
              <w:rPr>
                <w:spacing w:val="-2"/>
                <w:sz w:val="17"/>
              </w:rPr>
              <w:t>115.9</w:t>
            </w:r>
          </w:p>
        </w:tc>
        <w:tc>
          <w:tcPr>
            <w:tcW w:w="668" w:type="dxa"/>
            <w:tcBorders>
              <w:top w:val="single" w:color="DCDDDE" w:sz="4" w:space="0"/>
              <w:bottom w:val="single" w:color="DCDDDE" w:sz="4" w:space="0"/>
            </w:tcBorders>
          </w:tcPr>
          <w:p w:rsidR="00C31389" w:rsidRDefault="00561FBD" w14:paraId="107B0B54" w14:textId="77777777">
            <w:pPr>
              <w:pStyle w:val="TableParagraph"/>
              <w:spacing w:before="139"/>
              <w:ind w:right="120"/>
              <w:jc w:val="right"/>
              <w:rPr>
                <w:sz w:val="17"/>
              </w:rPr>
            </w:pPr>
            <w:r>
              <w:rPr>
                <w:spacing w:val="-2"/>
                <w:sz w:val="17"/>
              </w:rPr>
              <w:t>108.6</w:t>
            </w:r>
          </w:p>
        </w:tc>
        <w:tc>
          <w:tcPr>
            <w:tcW w:w="691" w:type="dxa"/>
            <w:tcBorders>
              <w:top w:val="single" w:color="DCDDDE" w:sz="4" w:space="0"/>
              <w:bottom w:val="single" w:color="DCDDDE" w:sz="4" w:space="0"/>
            </w:tcBorders>
          </w:tcPr>
          <w:p w:rsidR="00C31389" w:rsidRDefault="00561FBD" w14:paraId="5B6E3D14" w14:textId="77777777">
            <w:pPr>
              <w:pStyle w:val="TableParagraph"/>
              <w:spacing w:before="139"/>
              <w:ind w:right="142"/>
              <w:jc w:val="right"/>
              <w:rPr>
                <w:sz w:val="17"/>
              </w:rPr>
            </w:pPr>
            <w:r>
              <w:rPr>
                <w:spacing w:val="-2"/>
                <w:sz w:val="17"/>
              </w:rPr>
              <w:t>102.9</w:t>
            </w:r>
          </w:p>
        </w:tc>
        <w:tc>
          <w:tcPr>
            <w:tcW w:w="667" w:type="dxa"/>
            <w:tcBorders>
              <w:top w:val="single" w:color="DCDDDE" w:sz="4" w:space="0"/>
              <w:bottom w:val="single" w:color="DCDDDE" w:sz="4" w:space="0"/>
            </w:tcBorders>
          </w:tcPr>
          <w:p w:rsidR="00C31389" w:rsidRDefault="00561FBD" w14:paraId="2F29FE82" w14:textId="77777777">
            <w:pPr>
              <w:pStyle w:val="TableParagraph"/>
              <w:spacing w:before="139"/>
              <w:ind w:left="105" w:right="61"/>
              <w:jc w:val="center"/>
              <w:rPr>
                <w:sz w:val="17"/>
              </w:rPr>
            </w:pPr>
            <w:r>
              <w:rPr>
                <w:spacing w:val="-4"/>
                <w:sz w:val="17"/>
              </w:rPr>
              <w:t>85.5</w:t>
            </w:r>
          </w:p>
        </w:tc>
        <w:tc>
          <w:tcPr>
            <w:tcW w:w="631" w:type="dxa"/>
            <w:tcBorders>
              <w:top w:val="single" w:color="DCDDDE" w:sz="4" w:space="0"/>
              <w:bottom w:val="single" w:color="DCDDDE" w:sz="4" w:space="0"/>
            </w:tcBorders>
          </w:tcPr>
          <w:p w:rsidR="00C31389" w:rsidRDefault="00561FBD" w14:paraId="79159DAF" w14:textId="77777777">
            <w:pPr>
              <w:pStyle w:val="TableParagraph"/>
              <w:spacing w:before="139"/>
              <w:ind w:right="106"/>
              <w:jc w:val="right"/>
              <w:rPr>
                <w:sz w:val="17"/>
              </w:rPr>
            </w:pPr>
            <w:r>
              <w:rPr>
                <w:spacing w:val="-4"/>
                <w:sz w:val="17"/>
              </w:rPr>
              <w:t>82.2</w:t>
            </w:r>
          </w:p>
        </w:tc>
      </w:tr>
      <w:tr w:rsidR="00C31389" w14:paraId="75E5ADF3" w14:textId="77777777">
        <w:trPr>
          <w:trHeight w:val="471"/>
        </w:trPr>
        <w:tc>
          <w:tcPr>
            <w:tcW w:w="1364" w:type="dxa"/>
            <w:tcBorders>
              <w:top w:val="single" w:color="DCDDDE" w:sz="4" w:space="0"/>
              <w:bottom w:val="single" w:color="545658" w:sz="8" w:space="0"/>
            </w:tcBorders>
          </w:tcPr>
          <w:p w:rsidR="00C31389" w:rsidRDefault="00561FBD" w14:paraId="75965477" w14:textId="77777777">
            <w:pPr>
              <w:pStyle w:val="TableParagraph"/>
              <w:spacing w:before="39"/>
              <w:ind w:left="121" w:right="138"/>
              <w:rPr>
                <w:sz w:val="17"/>
              </w:rPr>
            </w:pPr>
            <w:r>
              <w:rPr>
                <w:sz w:val="17"/>
              </w:rPr>
              <w:t>w/o</w:t>
            </w:r>
            <w:r>
              <w:rPr>
                <w:spacing w:val="-12"/>
                <w:sz w:val="17"/>
              </w:rPr>
              <w:t xml:space="preserve"> </w:t>
            </w:r>
            <w:r>
              <w:rPr>
                <w:sz w:val="17"/>
              </w:rPr>
              <w:t xml:space="preserve">Interactive </w:t>
            </w:r>
            <w:r>
              <w:rPr>
                <w:spacing w:val="-2"/>
                <w:sz w:val="17"/>
              </w:rPr>
              <w:t>Effects</w:t>
            </w:r>
          </w:p>
        </w:tc>
        <w:tc>
          <w:tcPr>
            <w:tcW w:w="681" w:type="dxa"/>
            <w:tcBorders>
              <w:top w:val="single" w:color="DCDDDE" w:sz="4" w:space="0"/>
              <w:bottom w:val="single" w:color="545658" w:sz="8" w:space="0"/>
            </w:tcBorders>
          </w:tcPr>
          <w:p w:rsidR="00C31389" w:rsidRDefault="00561FBD" w14:paraId="233361E7" w14:textId="77777777">
            <w:pPr>
              <w:pStyle w:val="TableParagraph"/>
              <w:spacing w:before="139"/>
              <w:ind w:right="120"/>
              <w:jc w:val="right"/>
              <w:rPr>
                <w:sz w:val="17"/>
              </w:rPr>
            </w:pPr>
            <w:r>
              <w:rPr>
                <w:spacing w:val="-2"/>
                <w:sz w:val="17"/>
              </w:rPr>
              <w:t>217.5</w:t>
            </w:r>
          </w:p>
        </w:tc>
        <w:tc>
          <w:tcPr>
            <w:tcW w:w="667" w:type="dxa"/>
            <w:tcBorders>
              <w:top w:val="single" w:color="DCDDDE" w:sz="4" w:space="0"/>
              <w:bottom w:val="single" w:color="545658" w:sz="8" w:space="0"/>
            </w:tcBorders>
          </w:tcPr>
          <w:p w:rsidR="00C31389" w:rsidRDefault="00561FBD" w14:paraId="053F9A63" w14:textId="77777777">
            <w:pPr>
              <w:pStyle w:val="TableParagraph"/>
              <w:spacing w:before="139"/>
              <w:ind w:left="105" w:right="105"/>
              <w:jc w:val="center"/>
              <w:rPr>
                <w:sz w:val="17"/>
              </w:rPr>
            </w:pPr>
            <w:r>
              <w:rPr>
                <w:spacing w:val="-2"/>
                <w:sz w:val="17"/>
              </w:rPr>
              <w:t>204.7</w:t>
            </w:r>
          </w:p>
        </w:tc>
        <w:tc>
          <w:tcPr>
            <w:tcW w:w="667" w:type="dxa"/>
            <w:tcBorders>
              <w:top w:val="single" w:color="DCDDDE" w:sz="4" w:space="0"/>
              <w:bottom w:val="single" w:color="545658" w:sz="8" w:space="0"/>
            </w:tcBorders>
          </w:tcPr>
          <w:p w:rsidR="00C31389" w:rsidRDefault="00561FBD" w14:paraId="741275AB" w14:textId="77777777">
            <w:pPr>
              <w:pStyle w:val="TableParagraph"/>
              <w:spacing w:before="139"/>
              <w:ind w:right="119"/>
              <w:jc w:val="right"/>
              <w:rPr>
                <w:sz w:val="17"/>
              </w:rPr>
            </w:pPr>
            <w:r>
              <w:rPr>
                <w:spacing w:val="-2"/>
                <w:sz w:val="17"/>
              </w:rPr>
              <w:t>200.4</w:t>
            </w:r>
          </w:p>
        </w:tc>
        <w:tc>
          <w:tcPr>
            <w:tcW w:w="668" w:type="dxa"/>
            <w:tcBorders>
              <w:top w:val="single" w:color="DCDDDE" w:sz="4" w:space="0"/>
              <w:bottom w:val="single" w:color="545658" w:sz="8" w:space="0"/>
            </w:tcBorders>
          </w:tcPr>
          <w:p w:rsidR="00C31389" w:rsidRDefault="00561FBD" w14:paraId="033919AF" w14:textId="77777777">
            <w:pPr>
              <w:pStyle w:val="TableParagraph"/>
              <w:spacing w:before="139"/>
              <w:ind w:right="119"/>
              <w:jc w:val="right"/>
              <w:rPr>
                <w:sz w:val="17"/>
              </w:rPr>
            </w:pPr>
            <w:r>
              <w:rPr>
                <w:spacing w:val="-2"/>
                <w:sz w:val="17"/>
              </w:rPr>
              <w:t>185.0</w:t>
            </w:r>
          </w:p>
        </w:tc>
        <w:tc>
          <w:tcPr>
            <w:tcW w:w="668" w:type="dxa"/>
            <w:tcBorders>
              <w:top w:val="single" w:color="DCDDDE" w:sz="4" w:space="0"/>
              <w:bottom w:val="single" w:color="545658" w:sz="8" w:space="0"/>
            </w:tcBorders>
          </w:tcPr>
          <w:p w:rsidR="00C31389" w:rsidRDefault="00561FBD" w14:paraId="409B0C17" w14:textId="77777777">
            <w:pPr>
              <w:pStyle w:val="TableParagraph"/>
              <w:spacing w:before="139"/>
              <w:ind w:left="106" w:right="106"/>
              <w:jc w:val="center"/>
              <w:rPr>
                <w:sz w:val="17"/>
              </w:rPr>
            </w:pPr>
            <w:r>
              <w:rPr>
                <w:spacing w:val="-2"/>
                <w:sz w:val="17"/>
              </w:rPr>
              <w:t>169.2</w:t>
            </w:r>
          </w:p>
        </w:tc>
        <w:tc>
          <w:tcPr>
            <w:tcW w:w="667" w:type="dxa"/>
            <w:tcBorders>
              <w:top w:val="single" w:color="DCDDDE" w:sz="4" w:space="0"/>
              <w:bottom w:val="single" w:color="545658" w:sz="8" w:space="0"/>
            </w:tcBorders>
          </w:tcPr>
          <w:p w:rsidR="00C31389" w:rsidRDefault="00561FBD" w14:paraId="172BAD12" w14:textId="77777777">
            <w:pPr>
              <w:pStyle w:val="TableParagraph"/>
              <w:spacing w:before="139"/>
              <w:ind w:right="118"/>
              <w:jc w:val="right"/>
              <w:rPr>
                <w:sz w:val="17"/>
              </w:rPr>
            </w:pPr>
            <w:r>
              <w:rPr>
                <w:spacing w:val="-2"/>
                <w:sz w:val="17"/>
              </w:rPr>
              <w:t>135.4</w:t>
            </w:r>
          </w:p>
        </w:tc>
        <w:tc>
          <w:tcPr>
            <w:tcW w:w="667" w:type="dxa"/>
            <w:tcBorders>
              <w:top w:val="single" w:color="DCDDDE" w:sz="4" w:space="0"/>
              <w:bottom w:val="single" w:color="545658" w:sz="8" w:space="0"/>
            </w:tcBorders>
          </w:tcPr>
          <w:p w:rsidR="00C31389" w:rsidRDefault="00561FBD" w14:paraId="019B4670" w14:textId="77777777">
            <w:pPr>
              <w:pStyle w:val="TableParagraph"/>
              <w:spacing w:before="139"/>
              <w:ind w:right="119"/>
              <w:jc w:val="right"/>
              <w:rPr>
                <w:sz w:val="17"/>
              </w:rPr>
            </w:pPr>
            <w:r>
              <w:rPr>
                <w:spacing w:val="-2"/>
                <w:sz w:val="17"/>
              </w:rPr>
              <w:t>123.3</w:t>
            </w:r>
          </w:p>
        </w:tc>
        <w:tc>
          <w:tcPr>
            <w:tcW w:w="668" w:type="dxa"/>
            <w:tcBorders>
              <w:top w:val="single" w:color="DCDDDE" w:sz="4" w:space="0"/>
              <w:bottom w:val="single" w:color="545658" w:sz="8" w:space="0"/>
            </w:tcBorders>
          </w:tcPr>
          <w:p w:rsidR="00C31389" w:rsidRDefault="00561FBD" w14:paraId="3CE9E152" w14:textId="77777777">
            <w:pPr>
              <w:pStyle w:val="TableParagraph"/>
              <w:spacing w:before="139"/>
              <w:ind w:left="106" w:right="106"/>
              <w:jc w:val="center"/>
              <w:rPr>
                <w:sz w:val="17"/>
              </w:rPr>
            </w:pPr>
            <w:r>
              <w:rPr>
                <w:spacing w:val="-2"/>
                <w:sz w:val="17"/>
              </w:rPr>
              <w:t>116.6</w:t>
            </w:r>
          </w:p>
        </w:tc>
        <w:tc>
          <w:tcPr>
            <w:tcW w:w="668" w:type="dxa"/>
            <w:tcBorders>
              <w:top w:val="single" w:color="DCDDDE" w:sz="4" w:space="0"/>
              <w:bottom w:val="single" w:color="545658" w:sz="8" w:space="0"/>
            </w:tcBorders>
          </w:tcPr>
          <w:p w:rsidR="00C31389" w:rsidRDefault="00561FBD" w14:paraId="7375EE30" w14:textId="77777777">
            <w:pPr>
              <w:pStyle w:val="TableParagraph"/>
              <w:spacing w:before="139"/>
              <w:ind w:right="120"/>
              <w:jc w:val="right"/>
              <w:rPr>
                <w:sz w:val="17"/>
              </w:rPr>
            </w:pPr>
            <w:r>
              <w:rPr>
                <w:spacing w:val="-2"/>
                <w:sz w:val="17"/>
              </w:rPr>
              <w:t>109.2</w:t>
            </w:r>
          </w:p>
        </w:tc>
        <w:tc>
          <w:tcPr>
            <w:tcW w:w="691" w:type="dxa"/>
            <w:tcBorders>
              <w:top w:val="single" w:color="DCDDDE" w:sz="4" w:space="0"/>
              <w:bottom w:val="single" w:color="545658" w:sz="8" w:space="0"/>
            </w:tcBorders>
          </w:tcPr>
          <w:p w:rsidR="00C31389" w:rsidRDefault="00561FBD" w14:paraId="0E3FA638" w14:textId="77777777">
            <w:pPr>
              <w:pStyle w:val="TableParagraph"/>
              <w:spacing w:before="139"/>
              <w:ind w:right="142"/>
              <w:jc w:val="right"/>
              <w:rPr>
                <w:sz w:val="17"/>
              </w:rPr>
            </w:pPr>
            <w:r>
              <w:rPr>
                <w:spacing w:val="-2"/>
                <w:sz w:val="17"/>
              </w:rPr>
              <w:t>103.6</w:t>
            </w:r>
          </w:p>
        </w:tc>
        <w:tc>
          <w:tcPr>
            <w:tcW w:w="667" w:type="dxa"/>
            <w:tcBorders>
              <w:top w:val="single" w:color="DCDDDE" w:sz="4" w:space="0"/>
              <w:bottom w:val="single" w:color="545658" w:sz="8" w:space="0"/>
            </w:tcBorders>
          </w:tcPr>
          <w:p w:rsidR="00C31389" w:rsidRDefault="00561FBD" w14:paraId="3AD872B5" w14:textId="77777777">
            <w:pPr>
              <w:pStyle w:val="TableParagraph"/>
              <w:spacing w:before="139"/>
              <w:ind w:left="105" w:right="61"/>
              <w:jc w:val="center"/>
              <w:rPr>
                <w:sz w:val="17"/>
              </w:rPr>
            </w:pPr>
            <w:r>
              <w:rPr>
                <w:spacing w:val="-4"/>
                <w:sz w:val="17"/>
              </w:rPr>
              <w:t>86.1</w:t>
            </w:r>
          </w:p>
        </w:tc>
        <w:tc>
          <w:tcPr>
            <w:tcW w:w="631" w:type="dxa"/>
            <w:tcBorders>
              <w:top w:val="single" w:color="DCDDDE" w:sz="4" w:space="0"/>
              <w:bottom w:val="single" w:color="545658" w:sz="8" w:space="0"/>
            </w:tcBorders>
          </w:tcPr>
          <w:p w:rsidR="00C31389" w:rsidRDefault="00561FBD" w14:paraId="1CB564B8" w14:textId="77777777">
            <w:pPr>
              <w:pStyle w:val="TableParagraph"/>
              <w:spacing w:before="139"/>
              <w:ind w:right="106"/>
              <w:jc w:val="right"/>
              <w:rPr>
                <w:sz w:val="17"/>
              </w:rPr>
            </w:pPr>
            <w:r>
              <w:rPr>
                <w:spacing w:val="-4"/>
                <w:sz w:val="17"/>
              </w:rPr>
              <w:t>82.9</w:t>
            </w:r>
          </w:p>
        </w:tc>
      </w:tr>
    </w:tbl>
    <w:p w:rsidR="00C31389" w:rsidRDefault="00561FBD" w14:paraId="074F2B95" w14:textId="77777777">
      <w:pPr>
        <w:spacing w:before="79"/>
        <w:ind w:left="220"/>
        <w:rPr>
          <w:i/>
          <w:sz w:val="18"/>
        </w:rPr>
      </w:pPr>
      <w:r>
        <w:rPr>
          <w:i/>
          <w:sz w:val="18"/>
        </w:rPr>
        <w:t>Source:</w:t>
      </w:r>
      <w:r>
        <w:rPr>
          <w:i/>
          <w:spacing w:val="-4"/>
          <w:sz w:val="18"/>
        </w:rPr>
        <w:t xml:space="preserve"> </w:t>
      </w:r>
      <w:r>
        <w:rPr>
          <w:i/>
          <w:spacing w:val="-2"/>
          <w:sz w:val="18"/>
        </w:rPr>
        <w:t>Guidehouse</w:t>
      </w:r>
    </w:p>
    <w:p w:rsidR="00C31389" w:rsidRDefault="00C31389" w14:paraId="0347A09D" w14:textId="77777777">
      <w:pPr>
        <w:pStyle w:val="BodyText"/>
        <w:spacing w:before="9"/>
        <w:rPr>
          <w:i/>
          <w:sz w:val="12"/>
        </w:rPr>
      </w:pPr>
    </w:p>
    <w:p w:rsidR="00C31389" w:rsidRDefault="00561FBD" w14:paraId="6DE96453" w14:textId="77777777">
      <w:pPr>
        <w:pStyle w:val="Heading7"/>
        <w:spacing w:before="93"/>
        <w:ind w:left="1979" w:right="1960"/>
        <w:jc w:val="center"/>
      </w:pPr>
      <w:bookmarkStart w:name="_bookmark545" w:id="717"/>
      <w:bookmarkEnd w:id="717"/>
      <w:r>
        <w:t>Table</w:t>
      </w:r>
      <w:r>
        <w:rPr>
          <w:spacing w:val="-8"/>
        </w:rPr>
        <w:t xml:space="preserve"> </w:t>
      </w:r>
      <w:r>
        <w:t>J-19.</w:t>
      </w:r>
      <w:r>
        <w:rPr>
          <w:spacing w:val="-9"/>
        </w:rPr>
        <w:t xml:space="preserve"> </w:t>
      </w:r>
      <w:r>
        <w:t>SDG&amp;E</w:t>
      </w:r>
      <w:r>
        <w:rPr>
          <w:spacing w:val="-8"/>
        </w:rPr>
        <w:t xml:space="preserve"> </w:t>
      </w:r>
      <w:r>
        <w:t>Demand</w:t>
      </w:r>
      <w:r>
        <w:rPr>
          <w:spacing w:val="-7"/>
        </w:rPr>
        <w:t xml:space="preserve"> </w:t>
      </w:r>
      <w:r>
        <w:t>Savings</w:t>
      </w:r>
      <w:r>
        <w:rPr>
          <w:spacing w:val="-8"/>
        </w:rPr>
        <w:t xml:space="preserve"> </w:t>
      </w:r>
      <w:r>
        <w:rPr>
          <w:spacing w:val="-4"/>
        </w:rPr>
        <w:t>(MW)</w:t>
      </w:r>
    </w:p>
    <w:p w:rsidR="00C31389" w:rsidRDefault="00C31389" w14:paraId="2DBAB453" w14:textId="77777777">
      <w:pPr>
        <w:pStyle w:val="BodyText"/>
        <w:spacing w:before="5"/>
        <w:rPr>
          <w:b/>
          <w:sz w:val="10"/>
        </w:rPr>
      </w:pPr>
    </w:p>
    <w:tbl>
      <w:tblPr>
        <w:tblW w:w="0" w:type="auto"/>
        <w:tblInd w:w="223" w:type="dxa"/>
        <w:tblLayout w:type="fixed"/>
        <w:tblCellMar>
          <w:left w:w="0" w:type="dxa"/>
          <w:right w:w="0" w:type="dxa"/>
        </w:tblCellMar>
        <w:tblLook w:val="01E0" w:firstRow="1" w:lastRow="1" w:firstColumn="1" w:lastColumn="1" w:noHBand="0" w:noVBand="0"/>
      </w:tblPr>
      <w:tblGrid>
        <w:gridCol w:w="1009"/>
        <w:gridCol w:w="970"/>
        <w:gridCol w:w="675"/>
        <w:gridCol w:w="675"/>
        <w:gridCol w:w="675"/>
        <w:gridCol w:w="675"/>
        <w:gridCol w:w="675"/>
        <w:gridCol w:w="675"/>
        <w:gridCol w:w="675"/>
        <w:gridCol w:w="675"/>
        <w:gridCol w:w="675"/>
        <w:gridCol w:w="675"/>
        <w:gridCol w:w="635"/>
      </w:tblGrid>
      <w:tr w:rsidR="00C31389" w14:paraId="4C98F40F" w14:textId="77777777">
        <w:trPr>
          <w:trHeight w:val="304"/>
        </w:trPr>
        <w:tc>
          <w:tcPr>
            <w:tcW w:w="1009" w:type="dxa"/>
            <w:shd w:val="clear" w:color="auto" w:fill="92D400"/>
          </w:tcPr>
          <w:p w:rsidR="00C31389" w:rsidRDefault="00561FBD" w14:paraId="6EA49B68" w14:textId="77777777">
            <w:pPr>
              <w:pStyle w:val="TableParagraph"/>
              <w:spacing w:before="41"/>
              <w:ind w:left="111"/>
              <w:rPr>
                <w:b/>
                <w:sz w:val="17"/>
              </w:rPr>
            </w:pPr>
            <w:r>
              <w:rPr>
                <w:b/>
                <w:spacing w:val="-4"/>
                <w:sz w:val="17"/>
              </w:rPr>
              <w:t>Year</w:t>
            </w:r>
          </w:p>
        </w:tc>
        <w:tc>
          <w:tcPr>
            <w:tcW w:w="970" w:type="dxa"/>
            <w:shd w:val="clear" w:color="auto" w:fill="92D400"/>
          </w:tcPr>
          <w:p w:rsidR="00C31389" w:rsidRDefault="00561FBD" w14:paraId="3BEADB05" w14:textId="77777777">
            <w:pPr>
              <w:pStyle w:val="TableParagraph"/>
              <w:spacing w:before="41"/>
              <w:ind w:right="146"/>
              <w:jc w:val="right"/>
              <w:rPr>
                <w:b/>
                <w:sz w:val="17"/>
              </w:rPr>
            </w:pPr>
            <w:r>
              <w:rPr>
                <w:b/>
                <w:spacing w:val="-4"/>
                <w:sz w:val="17"/>
              </w:rPr>
              <w:t>2024</w:t>
            </w:r>
          </w:p>
        </w:tc>
        <w:tc>
          <w:tcPr>
            <w:tcW w:w="675" w:type="dxa"/>
            <w:shd w:val="clear" w:color="auto" w:fill="92D400"/>
          </w:tcPr>
          <w:p w:rsidR="00C31389" w:rsidRDefault="00561FBD" w14:paraId="3BE11A92" w14:textId="77777777">
            <w:pPr>
              <w:pStyle w:val="TableParagraph"/>
              <w:spacing w:before="41"/>
              <w:ind w:left="108" w:right="109"/>
              <w:jc w:val="center"/>
              <w:rPr>
                <w:b/>
                <w:sz w:val="17"/>
              </w:rPr>
            </w:pPr>
            <w:r>
              <w:rPr>
                <w:b/>
                <w:spacing w:val="-4"/>
                <w:sz w:val="17"/>
              </w:rPr>
              <w:t>2025</w:t>
            </w:r>
          </w:p>
        </w:tc>
        <w:tc>
          <w:tcPr>
            <w:tcW w:w="675" w:type="dxa"/>
            <w:shd w:val="clear" w:color="auto" w:fill="92D400"/>
          </w:tcPr>
          <w:p w:rsidR="00C31389" w:rsidRDefault="00561FBD" w14:paraId="45C51F04" w14:textId="77777777">
            <w:pPr>
              <w:pStyle w:val="TableParagraph"/>
              <w:spacing w:before="41"/>
              <w:ind w:right="146"/>
              <w:jc w:val="right"/>
              <w:rPr>
                <w:b/>
                <w:sz w:val="17"/>
              </w:rPr>
            </w:pPr>
            <w:r>
              <w:rPr>
                <w:b/>
                <w:spacing w:val="-4"/>
                <w:sz w:val="17"/>
              </w:rPr>
              <w:t>2026</w:t>
            </w:r>
          </w:p>
        </w:tc>
        <w:tc>
          <w:tcPr>
            <w:tcW w:w="675" w:type="dxa"/>
            <w:shd w:val="clear" w:color="auto" w:fill="92D400"/>
          </w:tcPr>
          <w:p w:rsidR="00C31389" w:rsidRDefault="00561FBD" w14:paraId="3643BD56" w14:textId="77777777">
            <w:pPr>
              <w:pStyle w:val="TableParagraph"/>
              <w:spacing w:before="41"/>
              <w:ind w:right="146"/>
              <w:jc w:val="right"/>
              <w:rPr>
                <w:b/>
                <w:sz w:val="17"/>
              </w:rPr>
            </w:pPr>
            <w:r>
              <w:rPr>
                <w:b/>
                <w:spacing w:val="-4"/>
                <w:sz w:val="17"/>
              </w:rPr>
              <w:t>2027</w:t>
            </w:r>
          </w:p>
        </w:tc>
        <w:tc>
          <w:tcPr>
            <w:tcW w:w="675" w:type="dxa"/>
            <w:shd w:val="clear" w:color="auto" w:fill="92D400"/>
          </w:tcPr>
          <w:p w:rsidR="00C31389" w:rsidRDefault="00561FBD" w14:paraId="5FC360C2" w14:textId="77777777">
            <w:pPr>
              <w:pStyle w:val="TableParagraph"/>
              <w:spacing w:before="41"/>
              <w:ind w:right="146"/>
              <w:jc w:val="right"/>
              <w:rPr>
                <w:b/>
                <w:sz w:val="17"/>
              </w:rPr>
            </w:pPr>
            <w:r>
              <w:rPr>
                <w:b/>
                <w:spacing w:val="-4"/>
                <w:sz w:val="17"/>
              </w:rPr>
              <w:t>2028</w:t>
            </w:r>
          </w:p>
        </w:tc>
        <w:tc>
          <w:tcPr>
            <w:tcW w:w="675" w:type="dxa"/>
            <w:shd w:val="clear" w:color="auto" w:fill="92D400"/>
          </w:tcPr>
          <w:p w:rsidR="00C31389" w:rsidRDefault="00561FBD" w14:paraId="6563EE7B" w14:textId="77777777">
            <w:pPr>
              <w:pStyle w:val="TableParagraph"/>
              <w:spacing w:before="41"/>
              <w:ind w:right="146"/>
              <w:jc w:val="right"/>
              <w:rPr>
                <w:b/>
                <w:sz w:val="17"/>
              </w:rPr>
            </w:pPr>
            <w:r>
              <w:rPr>
                <w:b/>
                <w:spacing w:val="-4"/>
                <w:sz w:val="17"/>
              </w:rPr>
              <w:t>2029</w:t>
            </w:r>
          </w:p>
        </w:tc>
        <w:tc>
          <w:tcPr>
            <w:tcW w:w="675" w:type="dxa"/>
            <w:shd w:val="clear" w:color="auto" w:fill="92D400"/>
          </w:tcPr>
          <w:p w:rsidR="00C31389" w:rsidRDefault="00561FBD" w14:paraId="45C0D620" w14:textId="77777777">
            <w:pPr>
              <w:pStyle w:val="TableParagraph"/>
              <w:spacing w:before="41"/>
              <w:ind w:left="109" w:right="109"/>
              <w:jc w:val="center"/>
              <w:rPr>
                <w:b/>
                <w:sz w:val="17"/>
              </w:rPr>
            </w:pPr>
            <w:r>
              <w:rPr>
                <w:b/>
                <w:spacing w:val="-4"/>
                <w:sz w:val="17"/>
              </w:rPr>
              <w:t>2030</w:t>
            </w:r>
          </w:p>
        </w:tc>
        <w:tc>
          <w:tcPr>
            <w:tcW w:w="675" w:type="dxa"/>
            <w:shd w:val="clear" w:color="auto" w:fill="92D400"/>
          </w:tcPr>
          <w:p w:rsidR="00C31389" w:rsidRDefault="00561FBD" w14:paraId="11E3639E" w14:textId="77777777">
            <w:pPr>
              <w:pStyle w:val="TableParagraph"/>
              <w:spacing w:before="41"/>
              <w:ind w:left="108" w:right="109"/>
              <w:jc w:val="center"/>
              <w:rPr>
                <w:b/>
                <w:sz w:val="17"/>
              </w:rPr>
            </w:pPr>
            <w:r>
              <w:rPr>
                <w:b/>
                <w:spacing w:val="-4"/>
                <w:sz w:val="17"/>
              </w:rPr>
              <w:t>2031</w:t>
            </w:r>
          </w:p>
        </w:tc>
        <w:tc>
          <w:tcPr>
            <w:tcW w:w="675" w:type="dxa"/>
            <w:shd w:val="clear" w:color="auto" w:fill="92D400"/>
          </w:tcPr>
          <w:p w:rsidR="00C31389" w:rsidRDefault="00561FBD" w14:paraId="5B715DA4" w14:textId="77777777">
            <w:pPr>
              <w:pStyle w:val="TableParagraph"/>
              <w:spacing w:before="41"/>
              <w:ind w:left="109" w:right="109"/>
              <w:jc w:val="center"/>
              <w:rPr>
                <w:b/>
                <w:sz w:val="17"/>
              </w:rPr>
            </w:pPr>
            <w:r>
              <w:rPr>
                <w:b/>
                <w:spacing w:val="-4"/>
                <w:sz w:val="17"/>
              </w:rPr>
              <w:t>2032</w:t>
            </w:r>
          </w:p>
        </w:tc>
        <w:tc>
          <w:tcPr>
            <w:tcW w:w="675" w:type="dxa"/>
            <w:shd w:val="clear" w:color="auto" w:fill="92D400"/>
          </w:tcPr>
          <w:p w:rsidR="00C31389" w:rsidRDefault="00561FBD" w14:paraId="27225417" w14:textId="77777777">
            <w:pPr>
              <w:pStyle w:val="TableParagraph"/>
              <w:spacing w:before="41"/>
              <w:ind w:right="146"/>
              <w:jc w:val="right"/>
              <w:rPr>
                <w:b/>
                <w:sz w:val="17"/>
              </w:rPr>
            </w:pPr>
            <w:r>
              <w:rPr>
                <w:b/>
                <w:spacing w:val="-4"/>
                <w:sz w:val="17"/>
              </w:rPr>
              <w:t>2033</w:t>
            </w:r>
          </w:p>
        </w:tc>
        <w:tc>
          <w:tcPr>
            <w:tcW w:w="675" w:type="dxa"/>
            <w:shd w:val="clear" w:color="auto" w:fill="92D400"/>
          </w:tcPr>
          <w:p w:rsidR="00C31389" w:rsidRDefault="00561FBD" w14:paraId="6B00C554" w14:textId="77777777">
            <w:pPr>
              <w:pStyle w:val="TableParagraph"/>
              <w:spacing w:before="41"/>
              <w:ind w:right="146"/>
              <w:jc w:val="right"/>
              <w:rPr>
                <w:b/>
                <w:sz w:val="17"/>
              </w:rPr>
            </w:pPr>
            <w:r>
              <w:rPr>
                <w:b/>
                <w:spacing w:val="-4"/>
                <w:sz w:val="17"/>
              </w:rPr>
              <w:t>2034</w:t>
            </w:r>
          </w:p>
        </w:tc>
        <w:tc>
          <w:tcPr>
            <w:tcW w:w="635" w:type="dxa"/>
            <w:shd w:val="clear" w:color="auto" w:fill="92D400"/>
          </w:tcPr>
          <w:p w:rsidR="00C31389" w:rsidRDefault="00561FBD" w14:paraId="179F1297" w14:textId="77777777">
            <w:pPr>
              <w:pStyle w:val="TableParagraph"/>
              <w:spacing w:before="41"/>
              <w:ind w:right="106"/>
              <w:jc w:val="right"/>
              <w:rPr>
                <w:b/>
                <w:sz w:val="17"/>
              </w:rPr>
            </w:pPr>
            <w:r>
              <w:rPr>
                <w:b/>
                <w:spacing w:val="-4"/>
                <w:sz w:val="17"/>
              </w:rPr>
              <w:t>2035</w:t>
            </w:r>
          </w:p>
        </w:tc>
      </w:tr>
      <w:tr w:rsidR="00C31389" w14:paraId="4C2ED2E7" w14:textId="77777777">
        <w:trPr>
          <w:trHeight w:val="275"/>
        </w:trPr>
        <w:tc>
          <w:tcPr>
            <w:tcW w:w="9364" w:type="dxa"/>
            <w:gridSpan w:val="13"/>
            <w:tcBorders>
              <w:bottom w:val="single" w:color="DCDDDE" w:sz="4" w:space="0"/>
            </w:tcBorders>
            <w:shd w:val="clear" w:color="auto" w:fill="BEBEBE"/>
          </w:tcPr>
          <w:p w:rsidR="00C31389" w:rsidRDefault="00561FBD" w14:paraId="22D7CF0C" w14:textId="77777777">
            <w:pPr>
              <w:pStyle w:val="TableParagraph"/>
              <w:spacing w:before="41"/>
              <w:ind w:left="111"/>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16678ECA" w14:textId="77777777">
        <w:trPr>
          <w:trHeight w:val="275"/>
        </w:trPr>
        <w:tc>
          <w:tcPr>
            <w:tcW w:w="1009" w:type="dxa"/>
            <w:tcBorders>
              <w:top w:val="single" w:color="DCDDDE" w:sz="4" w:space="0"/>
              <w:bottom w:val="single" w:color="DCDDDE" w:sz="4" w:space="0"/>
            </w:tcBorders>
          </w:tcPr>
          <w:p w:rsidR="00C31389" w:rsidRDefault="00561FBD" w14:paraId="3B5DD610" w14:textId="77777777">
            <w:pPr>
              <w:pStyle w:val="TableParagraph"/>
              <w:ind w:left="111"/>
              <w:rPr>
                <w:sz w:val="17"/>
              </w:rPr>
            </w:pPr>
            <w:r>
              <w:rPr>
                <w:spacing w:val="-5"/>
                <w:sz w:val="17"/>
              </w:rPr>
              <w:t>EE</w:t>
            </w:r>
          </w:p>
        </w:tc>
        <w:tc>
          <w:tcPr>
            <w:tcW w:w="970" w:type="dxa"/>
            <w:tcBorders>
              <w:top w:val="single" w:color="DCDDDE" w:sz="4" w:space="0"/>
              <w:bottom w:val="single" w:color="D9D9D9" w:sz="8" w:space="0"/>
            </w:tcBorders>
          </w:tcPr>
          <w:p w:rsidR="00C31389" w:rsidRDefault="00561FBD" w14:paraId="19E9FE1B" w14:textId="77777777">
            <w:pPr>
              <w:pStyle w:val="TableParagraph"/>
              <w:ind w:right="147"/>
              <w:jc w:val="right"/>
              <w:rPr>
                <w:sz w:val="17"/>
              </w:rPr>
            </w:pPr>
            <w:r>
              <w:rPr>
                <w:spacing w:val="-5"/>
                <w:sz w:val="17"/>
              </w:rPr>
              <w:t>3.7</w:t>
            </w:r>
          </w:p>
        </w:tc>
        <w:tc>
          <w:tcPr>
            <w:tcW w:w="675" w:type="dxa"/>
            <w:tcBorders>
              <w:top w:val="single" w:color="DCDDDE" w:sz="4" w:space="0"/>
              <w:bottom w:val="single" w:color="D9D9D9" w:sz="8" w:space="0"/>
            </w:tcBorders>
          </w:tcPr>
          <w:p w:rsidR="00C31389" w:rsidRDefault="00561FBD" w14:paraId="40C60090" w14:textId="77777777">
            <w:pPr>
              <w:pStyle w:val="TableParagraph"/>
              <w:ind w:left="248" w:right="109"/>
              <w:jc w:val="center"/>
              <w:rPr>
                <w:sz w:val="17"/>
              </w:rPr>
            </w:pPr>
            <w:r>
              <w:rPr>
                <w:spacing w:val="-5"/>
                <w:sz w:val="17"/>
              </w:rPr>
              <w:t>3.5</w:t>
            </w:r>
          </w:p>
        </w:tc>
        <w:tc>
          <w:tcPr>
            <w:tcW w:w="675" w:type="dxa"/>
            <w:tcBorders>
              <w:top w:val="single" w:color="DCDDDE" w:sz="4" w:space="0"/>
              <w:bottom w:val="single" w:color="D9D9D9" w:sz="8" w:space="0"/>
            </w:tcBorders>
          </w:tcPr>
          <w:p w:rsidR="00C31389" w:rsidRDefault="00561FBD" w14:paraId="07107B58" w14:textId="77777777">
            <w:pPr>
              <w:pStyle w:val="TableParagraph"/>
              <w:ind w:right="147"/>
              <w:jc w:val="right"/>
              <w:rPr>
                <w:sz w:val="17"/>
              </w:rPr>
            </w:pPr>
            <w:r>
              <w:rPr>
                <w:spacing w:val="-5"/>
                <w:sz w:val="17"/>
              </w:rPr>
              <w:t>3.2</w:t>
            </w:r>
          </w:p>
        </w:tc>
        <w:tc>
          <w:tcPr>
            <w:tcW w:w="675" w:type="dxa"/>
            <w:tcBorders>
              <w:top w:val="single" w:color="DCDDDE" w:sz="4" w:space="0"/>
              <w:bottom w:val="single" w:color="D9D9D9" w:sz="8" w:space="0"/>
            </w:tcBorders>
          </w:tcPr>
          <w:p w:rsidR="00C31389" w:rsidRDefault="00561FBD" w14:paraId="1E588915" w14:textId="77777777">
            <w:pPr>
              <w:pStyle w:val="TableParagraph"/>
              <w:ind w:right="147"/>
              <w:jc w:val="right"/>
              <w:rPr>
                <w:sz w:val="17"/>
              </w:rPr>
            </w:pPr>
            <w:r>
              <w:rPr>
                <w:spacing w:val="-5"/>
                <w:sz w:val="17"/>
              </w:rPr>
              <w:t>2.9</w:t>
            </w:r>
          </w:p>
        </w:tc>
        <w:tc>
          <w:tcPr>
            <w:tcW w:w="675" w:type="dxa"/>
            <w:tcBorders>
              <w:top w:val="single" w:color="DCDDDE" w:sz="4" w:space="0"/>
              <w:bottom w:val="single" w:color="D9D9D9" w:sz="8" w:space="0"/>
            </w:tcBorders>
          </w:tcPr>
          <w:p w:rsidR="00C31389" w:rsidRDefault="00561FBD" w14:paraId="458FA140" w14:textId="77777777">
            <w:pPr>
              <w:pStyle w:val="TableParagraph"/>
              <w:ind w:right="147"/>
              <w:jc w:val="right"/>
              <w:rPr>
                <w:sz w:val="17"/>
              </w:rPr>
            </w:pPr>
            <w:r>
              <w:rPr>
                <w:spacing w:val="-5"/>
                <w:sz w:val="17"/>
              </w:rPr>
              <w:t>2.7</w:t>
            </w:r>
          </w:p>
        </w:tc>
        <w:tc>
          <w:tcPr>
            <w:tcW w:w="675" w:type="dxa"/>
            <w:tcBorders>
              <w:top w:val="single" w:color="DCDDDE" w:sz="4" w:space="0"/>
              <w:bottom w:val="single" w:color="D9D9D9" w:sz="8" w:space="0"/>
            </w:tcBorders>
          </w:tcPr>
          <w:p w:rsidR="00C31389" w:rsidRDefault="00561FBD" w14:paraId="3229FE0D" w14:textId="77777777">
            <w:pPr>
              <w:pStyle w:val="TableParagraph"/>
              <w:ind w:right="147"/>
              <w:jc w:val="right"/>
              <w:rPr>
                <w:sz w:val="17"/>
              </w:rPr>
            </w:pPr>
            <w:r>
              <w:rPr>
                <w:spacing w:val="-5"/>
                <w:sz w:val="17"/>
              </w:rPr>
              <w:t>2.4</w:t>
            </w:r>
          </w:p>
        </w:tc>
        <w:tc>
          <w:tcPr>
            <w:tcW w:w="675" w:type="dxa"/>
            <w:tcBorders>
              <w:top w:val="single" w:color="DCDDDE" w:sz="4" w:space="0"/>
              <w:bottom w:val="single" w:color="D9D9D9" w:sz="8" w:space="0"/>
            </w:tcBorders>
          </w:tcPr>
          <w:p w:rsidR="00C31389" w:rsidRDefault="00561FBD" w14:paraId="1003FE7C" w14:textId="77777777">
            <w:pPr>
              <w:pStyle w:val="TableParagraph"/>
              <w:ind w:left="249" w:right="109"/>
              <w:jc w:val="center"/>
              <w:rPr>
                <w:sz w:val="17"/>
              </w:rPr>
            </w:pPr>
            <w:r>
              <w:rPr>
                <w:spacing w:val="-5"/>
                <w:sz w:val="17"/>
              </w:rPr>
              <w:t>2.2</w:t>
            </w:r>
          </w:p>
        </w:tc>
        <w:tc>
          <w:tcPr>
            <w:tcW w:w="675" w:type="dxa"/>
            <w:tcBorders>
              <w:top w:val="single" w:color="DCDDDE" w:sz="4" w:space="0"/>
              <w:bottom w:val="single" w:color="D9D9D9" w:sz="8" w:space="0"/>
            </w:tcBorders>
          </w:tcPr>
          <w:p w:rsidR="00C31389" w:rsidRDefault="00561FBD" w14:paraId="044692A6" w14:textId="77777777">
            <w:pPr>
              <w:pStyle w:val="TableParagraph"/>
              <w:ind w:left="248" w:right="109"/>
              <w:jc w:val="center"/>
              <w:rPr>
                <w:sz w:val="17"/>
              </w:rPr>
            </w:pPr>
            <w:r>
              <w:rPr>
                <w:spacing w:val="-5"/>
                <w:sz w:val="17"/>
              </w:rPr>
              <w:t>2.1</w:t>
            </w:r>
          </w:p>
        </w:tc>
        <w:tc>
          <w:tcPr>
            <w:tcW w:w="675" w:type="dxa"/>
            <w:tcBorders>
              <w:top w:val="single" w:color="DCDDDE" w:sz="4" w:space="0"/>
              <w:bottom w:val="single" w:color="D9D9D9" w:sz="8" w:space="0"/>
            </w:tcBorders>
          </w:tcPr>
          <w:p w:rsidR="00C31389" w:rsidRDefault="00561FBD" w14:paraId="2274953E" w14:textId="77777777">
            <w:pPr>
              <w:pStyle w:val="TableParagraph"/>
              <w:ind w:left="249" w:right="109"/>
              <w:jc w:val="center"/>
              <w:rPr>
                <w:sz w:val="17"/>
              </w:rPr>
            </w:pPr>
            <w:r>
              <w:rPr>
                <w:spacing w:val="-5"/>
                <w:sz w:val="17"/>
              </w:rPr>
              <w:t>2.1</w:t>
            </w:r>
          </w:p>
        </w:tc>
        <w:tc>
          <w:tcPr>
            <w:tcW w:w="675" w:type="dxa"/>
            <w:tcBorders>
              <w:top w:val="single" w:color="DCDDDE" w:sz="4" w:space="0"/>
              <w:bottom w:val="single" w:color="D9D9D9" w:sz="8" w:space="0"/>
            </w:tcBorders>
          </w:tcPr>
          <w:p w:rsidR="00C31389" w:rsidRDefault="00561FBD" w14:paraId="6D8E2212" w14:textId="77777777">
            <w:pPr>
              <w:pStyle w:val="TableParagraph"/>
              <w:ind w:right="147"/>
              <w:jc w:val="right"/>
              <w:rPr>
                <w:sz w:val="17"/>
              </w:rPr>
            </w:pPr>
            <w:r>
              <w:rPr>
                <w:spacing w:val="-5"/>
                <w:sz w:val="17"/>
              </w:rPr>
              <w:t>2.2</w:t>
            </w:r>
          </w:p>
        </w:tc>
        <w:tc>
          <w:tcPr>
            <w:tcW w:w="675" w:type="dxa"/>
            <w:tcBorders>
              <w:top w:val="single" w:color="DCDDDE" w:sz="4" w:space="0"/>
              <w:bottom w:val="single" w:color="D9D9D9" w:sz="8" w:space="0"/>
            </w:tcBorders>
          </w:tcPr>
          <w:p w:rsidR="00C31389" w:rsidRDefault="00561FBD" w14:paraId="00BDEF60" w14:textId="77777777">
            <w:pPr>
              <w:pStyle w:val="TableParagraph"/>
              <w:ind w:right="147"/>
              <w:jc w:val="right"/>
              <w:rPr>
                <w:sz w:val="17"/>
              </w:rPr>
            </w:pPr>
            <w:r>
              <w:rPr>
                <w:spacing w:val="-5"/>
                <w:sz w:val="17"/>
              </w:rPr>
              <w:t>2.2</w:t>
            </w:r>
          </w:p>
        </w:tc>
        <w:tc>
          <w:tcPr>
            <w:tcW w:w="635" w:type="dxa"/>
            <w:tcBorders>
              <w:top w:val="single" w:color="DCDDDE" w:sz="4" w:space="0"/>
              <w:bottom w:val="single" w:color="D9D9D9" w:sz="8" w:space="0"/>
            </w:tcBorders>
          </w:tcPr>
          <w:p w:rsidR="00C31389" w:rsidRDefault="00561FBD" w14:paraId="1194D978" w14:textId="77777777">
            <w:pPr>
              <w:pStyle w:val="TableParagraph"/>
              <w:ind w:right="107"/>
              <w:jc w:val="right"/>
              <w:rPr>
                <w:sz w:val="17"/>
              </w:rPr>
            </w:pPr>
            <w:r>
              <w:rPr>
                <w:spacing w:val="-5"/>
                <w:sz w:val="17"/>
              </w:rPr>
              <w:t>2.2</w:t>
            </w:r>
          </w:p>
        </w:tc>
      </w:tr>
      <w:tr w:rsidR="00C31389" w14:paraId="7143E8FF" w14:textId="77777777">
        <w:trPr>
          <w:trHeight w:val="275"/>
        </w:trPr>
        <w:tc>
          <w:tcPr>
            <w:tcW w:w="1009" w:type="dxa"/>
            <w:tcBorders>
              <w:top w:val="single" w:color="DCDDDE" w:sz="4" w:space="0"/>
              <w:bottom w:val="single" w:color="DCDDDE" w:sz="4" w:space="0"/>
            </w:tcBorders>
          </w:tcPr>
          <w:p w:rsidR="00C31389" w:rsidRDefault="00561FBD" w14:paraId="1DDD9139" w14:textId="77777777">
            <w:pPr>
              <w:pStyle w:val="TableParagraph"/>
              <w:ind w:left="111"/>
              <w:rPr>
                <w:sz w:val="17"/>
              </w:rPr>
            </w:pPr>
            <w:r>
              <w:rPr>
                <w:spacing w:val="-5"/>
                <w:sz w:val="17"/>
              </w:rPr>
              <w:t>FS</w:t>
            </w:r>
          </w:p>
        </w:tc>
        <w:tc>
          <w:tcPr>
            <w:tcW w:w="970" w:type="dxa"/>
            <w:tcBorders>
              <w:top w:val="single" w:color="D9D9D9" w:sz="8" w:space="0"/>
              <w:bottom w:val="single" w:color="D9D9D9" w:sz="8" w:space="0"/>
            </w:tcBorders>
          </w:tcPr>
          <w:p w:rsidR="00C31389" w:rsidRDefault="00561FBD" w14:paraId="5818EB85" w14:textId="77777777">
            <w:pPr>
              <w:pStyle w:val="TableParagraph"/>
              <w:ind w:right="147"/>
              <w:jc w:val="right"/>
              <w:rPr>
                <w:sz w:val="17"/>
              </w:rPr>
            </w:pPr>
            <w:r>
              <w:rPr>
                <w:spacing w:val="-5"/>
                <w:sz w:val="17"/>
              </w:rPr>
              <w:t>1.1</w:t>
            </w:r>
          </w:p>
        </w:tc>
        <w:tc>
          <w:tcPr>
            <w:tcW w:w="675" w:type="dxa"/>
            <w:tcBorders>
              <w:top w:val="single" w:color="D9D9D9" w:sz="8" w:space="0"/>
              <w:bottom w:val="single" w:color="D9D9D9" w:sz="8" w:space="0"/>
            </w:tcBorders>
          </w:tcPr>
          <w:p w:rsidR="00C31389" w:rsidRDefault="00561FBD" w14:paraId="4F102B2A" w14:textId="77777777">
            <w:pPr>
              <w:pStyle w:val="TableParagraph"/>
              <w:ind w:left="248" w:right="109"/>
              <w:jc w:val="center"/>
              <w:rPr>
                <w:sz w:val="17"/>
              </w:rPr>
            </w:pPr>
            <w:r>
              <w:rPr>
                <w:spacing w:val="-5"/>
                <w:sz w:val="17"/>
              </w:rPr>
              <w:t>1.7</w:t>
            </w:r>
          </w:p>
        </w:tc>
        <w:tc>
          <w:tcPr>
            <w:tcW w:w="675" w:type="dxa"/>
            <w:tcBorders>
              <w:top w:val="single" w:color="D9D9D9" w:sz="8" w:space="0"/>
              <w:bottom w:val="single" w:color="D9D9D9" w:sz="8" w:space="0"/>
            </w:tcBorders>
          </w:tcPr>
          <w:p w:rsidR="00C31389" w:rsidRDefault="00561FBD" w14:paraId="3A54C453" w14:textId="77777777">
            <w:pPr>
              <w:pStyle w:val="TableParagraph"/>
              <w:ind w:right="147"/>
              <w:jc w:val="right"/>
              <w:rPr>
                <w:sz w:val="17"/>
              </w:rPr>
            </w:pPr>
            <w:r>
              <w:rPr>
                <w:spacing w:val="-5"/>
                <w:sz w:val="17"/>
              </w:rPr>
              <w:t>3.8</w:t>
            </w:r>
          </w:p>
        </w:tc>
        <w:tc>
          <w:tcPr>
            <w:tcW w:w="675" w:type="dxa"/>
            <w:tcBorders>
              <w:top w:val="single" w:color="D9D9D9" w:sz="8" w:space="0"/>
              <w:bottom w:val="single" w:color="D9D9D9" w:sz="8" w:space="0"/>
            </w:tcBorders>
          </w:tcPr>
          <w:p w:rsidR="00C31389" w:rsidRDefault="00561FBD" w14:paraId="60FC645D" w14:textId="77777777">
            <w:pPr>
              <w:pStyle w:val="TableParagraph"/>
              <w:ind w:right="147"/>
              <w:jc w:val="right"/>
              <w:rPr>
                <w:sz w:val="17"/>
              </w:rPr>
            </w:pPr>
            <w:r>
              <w:rPr>
                <w:spacing w:val="-5"/>
                <w:sz w:val="17"/>
              </w:rPr>
              <w:t>5.3</w:t>
            </w:r>
          </w:p>
        </w:tc>
        <w:tc>
          <w:tcPr>
            <w:tcW w:w="675" w:type="dxa"/>
            <w:tcBorders>
              <w:top w:val="single" w:color="D9D9D9" w:sz="8" w:space="0"/>
              <w:bottom w:val="single" w:color="D9D9D9" w:sz="8" w:space="0"/>
            </w:tcBorders>
          </w:tcPr>
          <w:p w:rsidR="00C31389" w:rsidRDefault="00561FBD" w14:paraId="4DA3372D" w14:textId="77777777">
            <w:pPr>
              <w:pStyle w:val="TableParagraph"/>
              <w:ind w:right="147"/>
              <w:jc w:val="right"/>
              <w:rPr>
                <w:sz w:val="17"/>
              </w:rPr>
            </w:pPr>
            <w:r>
              <w:rPr>
                <w:spacing w:val="-5"/>
                <w:sz w:val="17"/>
              </w:rPr>
              <w:t>7.3</w:t>
            </w:r>
          </w:p>
        </w:tc>
        <w:tc>
          <w:tcPr>
            <w:tcW w:w="675" w:type="dxa"/>
            <w:tcBorders>
              <w:top w:val="single" w:color="D9D9D9" w:sz="8" w:space="0"/>
              <w:bottom w:val="single" w:color="D9D9D9" w:sz="8" w:space="0"/>
            </w:tcBorders>
          </w:tcPr>
          <w:p w:rsidR="00C31389" w:rsidRDefault="00561FBD" w14:paraId="098888B3" w14:textId="77777777">
            <w:pPr>
              <w:pStyle w:val="TableParagraph"/>
              <w:ind w:right="147"/>
              <w:jc w:val="right"/>
              <w:rPr>
                <w:sz w:val="17"/>
              </w:rPr>
            </w:pPr>
            <w:r>
              <w:rPr>
                <w:spacing w:val="-5"/>
                <w:sz w:val="17"/>
              </w:rPr>
              <w:t>9.0</w:t>
            </w:r>
          </w:p>
        </w:tc>
        <w:tc>
          <w:tcPr>
            <w:tcW w:w="675" w:type="dxa"/>
            <w:tcBorders>
              <w:top w:val="single" w:color="D9D9D9" w:sz="8" w:space="0"/>
              <w:bottom w:val="single" w:color="D9D9D9" w:sz="8" w:space="0"/>
            </w:tcBorders>
          </w:tcPr>
          <w:p w:rsidR="00C31389" w:rsidRDefault="00561FBD" w14:paraId="55F0FC37" w14:textId="77777777">
            <w:pPr>
              <w:pStyle w:val="TableParagraph"/>
              <w:ind w:left="249" w:right="109"/>
              <w:jc w:val="center"/>
              <w:rPr>
                <w:sz w:val="17"/>
              </w:rPr>
            </w:pPr>
            <w:r>
              <w:rPr>
                <w:spacing w:val="-5"/>
                <w:sz w:val="17"/>
              </w:rPr>
              <w:t>0.8</w:t>
            </w:r>
          </w:p>
        </w:tc>
        <w:tc>
          <w:tcPr>
            <w:tcW w:w="675" w:type="dxa"/>
            <w:tcBorders>
              <w:top w:val="single" w:color="D9D9D9" w:sz="8" w:space="0"/>
              <w:bottom w:val="single" w:color="D9D9D9" w:sz="8" w:space="0"/>
            </w:tcBorders>
          </w:tcPr>
          <w:p w:rsidR="00C31389" w:rsidRDefault="00561FBD" w14:paraId="1908A4DF" w14:textId="77777777">
            <w:pPr>
              <w:pStyle w:val="TableParagraph"/>
              <w:ind w:left="248" w:right="109"/>
              <w:jc w:val="center"/>
              <w:rPr>
                <w:sz w:val="17"/>
              </w:rPr>
            </w:pPr>
            <w:r>
              <w:rPr>
                <w:spacing w:val="-5"/>
                <w:sz w:val="17"/>
              </w:rPr>
              <w:t>1.0</w:t>
            </w:r>
          </w:p>
        </w:tc>
        <w:tc>
          <w:tcPr>
            <w:tcW w:w="675" w:type="dxa"/>
            <w:tcBorders>
              <w:top w:val="single" w:color="D9D9D9" w:sz="8" w:space="0"/>
              <w:bottom w:val="single" w:color="D9D9D9" w:sz="8" w:space="0"/>
            </w:tcBorders>
          </w:tcPr>
          <w:p w:rsidR="00C31389" w:rsidRDefault="00561FBD" w14:paraId="7BA9BF26" w14:textId="77777777">
            <w:pPr>
              <w:pStyle w:val="TableParagraph"/>
              <w:ind w:left="249" w:right="109"/>
              <w:jc w:val="center"/>
              <w:rPr>
                <w:sz w:val="17"/>
              </w:rPr>
            </w:pPr>
            <w:r>
              <w:rPr>
                <w:spacing w:val="-5"/>
                <w:sz w:val="17"/>
              </w:rPr>
              <w:t>1.2</w:t>
            </w:r>
          </w:p>
        </w:tc>
        <w:tc>
          <w:tcPr>
            <w:tcW w:w="675" w:type="dxa"/>
            <w:tcBorders>
              <w:top w:val="single" w:color="D9D9D9" w:sz="8" w:space="0"/>
              <w:bottom w:val="single" w:color="D9D9D9" w:sz="8" w:space="0"/>
            </w:tcBorders>
          </w:tcPr>
          <w:p w:rsidR="00C31389" w:rsidRDefault="00561FBD" w14:paraId="3A17013A" w14:textId="77777777">
            <w:pPr>
              <w:pStyle w:val="TableParagraph"/>
              <w:ind w:right="147"/>
              <w:jc w:val="right"/>
              <w:rPr>
                <w:sz w:val="17"/>
              </w:rPr>
            </w:pPr>
            <w:r>
              <w:rPr>
                <w:spacing w:val="-5"/>
                <w:sz w:val="17"/>
              </w:rPr>
              <w:t>1.3</w:t>
            </w:r>
          </w:p>
        </w:tc>
        <w:tc>
          <w:tcPr>
            <w:tcW w:w="675" w:type="dxa"/>
            <w:tcBorders>
              <w:top w:val="single" w:color="D9D9D9" w:sz="8" w:space="0"/>
              <w:bottom w:val="single" w:color="D9D9D9" w:sz="8" w:space="0"/>
            </w:tcBorders>
          </w:tcPr>
          <w:p w:rsidR="00C31389" w:rsidRDefault="00561FBD" w14:paraId="1F96E19E" w14:textId="77777777">
            <w:pPr>
              <w:pStyle w:val="TableParagraph"/>
              <w:ind w:right="147"/>
              <w:jc w:val="right"/>
              <w:rPr>
                <w:sz w:val="17"/>
              </w:rPr>
            </w:pPr>
            <w:r>
              <w:rPr>
                <w:spacing w:val="-5"/>
                <w:sz w:val="17"/>
              </w:rPr>
              <w:t>1.5</w:t>
            </w:r>
          </w:p>
        </w:tc>
        <w:tc>
          <w:tcPr>
            <w:tcW w:w="635" w:type="dxa"/>
            <w:tcBorders>
              <w:top w:val="single" w:color="D9D9D9" w:sz="8" w:space="0"/>
              <w:bottom w:val="single" w:color="D9D9D9" w:sz="8" w:space="0"/>
            </w:tcBorders>
          </w:tcPr>
          <w:p w:rsidR="00C31389" w:rsidRDefault="00561FBD" w14:paraId="7A5A322D" w14:textId="77777777">
            <w:pPr>
              <w:pStyle w:val="TableParagraph"/>
              <w:ind w:right="107"/>
              <w:jc w:val="right"/>
              <w:rPr>
                <w:sz w:val="17"/>
              </w:rPr>
            </w:pPr>
            <w:r>
              <w:rPr>
                <w:spacing w:val="-5"/>
                <w:sz w:val="17"/>
              </w:rPr>
              <w:t>1.6</w:t>
            </w:r>
          </w:p>
        </w:tc>
      </w:tr>
      <w:tr w:rsidR="00C31389" w14:paraId="2B09DC2A" w14:textId="77777777">
        <w:trPr>
          <w:trHeight w:val="285"/>
        </w:trPr>
        <w:tc>
          <w:tcPr>
            <w:tcW w:w="1009" w:type="dxa"/>
            <w:tcBorders>
              <w:top w:val="single" w:color="DCDDDE" w:sz="4" w:space="0"/>
            </w:tcBorders>
          </w:tcPr>
          <w:p w:rsidR="00C31389" w:rsidRDefault="00561FBD" w14:paraId="554E7A31" w14:textId="77777777">
            <w:pPr>
              <w:pStyle w:val="TableParagraph"/>
              <w:ind w:left="111"/>
              <w:rPr>
                <w:sz w:val="17"/>
              </w:rPr>
            </w:pPr>
            <w:r>
              <w:rPr>
                <w:noProof/>
              </w:rPr>
              <mc:AlternateContent>
                <mc:Choice Requires="wpg">
                  <w:drawing>
                    <wp:anchor distT="0" distB="0" distL="0" distR="0" simplePos="0" relativeHeight="15899648" behindDoc="0" locked="0" layoutInCell="1" allowOverlap="1" wp14:editId="33B10771" wp14:anchorId="60C2FEAC">
                      <wp:simplePos x="0" y="0"/>
                      <wp:positionH relativeFrom="column">
                        <wp:posOffset>-6858</wp:posOffset>
                      </wp:positionH>
                      <wp:positionV relativeFrom="paragraph">
                        <wp:posOffset>174661</wp:posOffset>
                      </wp:positionV>
                      <wp:extent cx="809625" cy="6350"/>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6350"/>
                                <a:chOff x="0" y="0"/>
                                <a:chExt cx="809625" cy="6350"/>
                              </a:xfrm>
                            </wpg:grpSpPr>
                            <wps:wsp>
                              <wps:cNvPr id="1052" name="Graphic 1052"/>
                              <wps:cNvSpPr/>
                              <wps:spPr>
                                <a:xfrm>
                                  <a:off x="0" y="0"/>
                                  <a:ext cx="809625" cy="6350"/>
                                </a:xfrm>
                                <a:custGeom>
                                  <a:avLst/>
                                  <a:gdLst/>
                                  <a:ahLst/>
                                  <a:cxnLst/>
                                  <a:rect l="l" t="t" r="r" b="b"/>
                                  <a:pathLst>
                                    <a:path w="809625" h="6350">
                                      <a:moveTo>
                                        <a:pt x="809244" y="0"/>
                                      </a:moveTo>
                                      <a:lnTo>
                                        <a:pt x="0" y="0"/>
                                      </a:lnTo>
                                      <a:lnTo>
                                        <a:pt x="0" y="6095"/>
                                      </a:lnTo>
                                      <a:lnTo>
                                        <a:pt x="809244" y="6095"/>
                                      </a:lnTo>
                                      <a:lnTo>
                                        <a:pt x="809244"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id="Group 1051" style="position:absolute;margin-left:-.55pt;margin-top:13.75pt;width:63.75pt;height:.5pt;z-index:15899648;mso-wrap-distance-left:0;mso-wrap-distance-right:0" coordsize="8096,63" o:spid="_x0000_s1026" w14:anchorId="69449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">
                      <v:shape id="Graphic 1052" style="position:absolute;width:8096;height:63;visibility:visible;mso-wrap-style:square;v-text-anchor:top" coordsize="809625,6350" o:spid="_x0000_s1027" fillcolor="#dcddde" stroked="f" path="m809244,l,,,6095r809244,l809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">
                        <v:path arrowok="t"/>
                      </v:shape>
                    </v:group>
                  </w:pict>
                </mc:Fallback>
              </mc:AlternateContent>
            </w:r>
            <w:r>
              <w:rPr>
                <w:spacing w:val="-4"/>
                <w:sz w:val="17"/>
              </w:rPr>
              <w:t>BROs</w:t>
            </w:r>
          </w:p>
        </w:tc>
        <w:tc>
          <w:tcPr>
            <w:tcW w:w="970" w:type="dxa"/>
            <w:tcBorders>
              <w:top w:val="single" w:color="D9D9D9" w:sz="8" w:space="0"/>
            </w:tcBorders>
          </w:tcPr>
          <w:p w:rsidR="00C31389" w:rsidRDefault="00561FBD" w14:paraId="3EB297DF" w14:textId="77777777">
            <w:pPr>
              <w:pStyle w:val="TableParagraph"/>
              <w:ind w:right="147"/>
              <w:jc w:val="right"/>
              <w:rPr>
                <w:sz w:val="17"/>
              </w:rPr>
            </w:pPr>
            <w:r>
              <w:rPr>
                <w:spacing w:val="-4"/>
                <w:sz w:val="17"/>
              </w:rPr>
              <w:t>11.9</w:t>
            </w:r>
          </w:p>
        </w:tc>
        <w:tc>
          <w:tcPr>
            <w:tcW w:w="675" w:type="dxa"/>
            <w:tcBorders>
              <w:top w:val="single" w:color="D9D9D9" w:sz="8" w:space="0"/>
            </w:tcBorders>
          </w:tcPr>
          <w:p w:rsidR="00C31389" w:rsidRDefault="00561FBD" w14:paraId="64791955" w14:textId="77777777">
            <w:pPr>
              <w:pStyle w:val="TableParagraph"/>
              <w:ind w:left="109" w:right="65"/>
              <w:jc w:val="center"/>
              <w:rPr>
                <w:sz w:val="17"/>
              </w:rPr>
            </w:pPr>
            <w:r>
              <w:rPr>
                <w:spacing w:val="-4"/>
                <w:sz w:val="17"/>
              </w:rPr>
              <w:t>12.3</w:t>
            </w:r>
          </w:p>
        </w:tc>
        <w:tc>
          <w:tcPr>
            <w:tcW w:w="675" w:type="dxa"/>
            <w:tcBorders>
              <w:top w:val="single" w:color="D9D9D9" w:sz="8" w:space="0"/>
            </w:tcBorders>
          </w:tcPr>
          <w:p w:rsidR="00C31389" w:rsidRDefault="00561FBD" w14:paraId="14CDAB1F" w14:textId="77777777">
            <w:pPr>
              <w:pStyle w:val="TableParagraph"/>
              <w:ind w:right="147"/>
              <w:jc w:val="right"/>
              <w:rPr>
                <w:sz w:val="17"/>
              </w:rPr>
            </w:pPr>
            <w:r>
              <w:rPr>
                <w:spacing w:val="-4"/>
                <w:sz w:val="17"/>
              </w:rPr>
              <w:t>12.7</w:t>
            </w:r>
          </w:p>
        </w:tc>
        <w:tc>
          <w:tcPr>
            <w:tcW w:w="675" w:type="dxa"/>
            <w:tcBorders>
              <w:top w:val="single" w:color="D9D9D9" w:sz="8" w:space="0"/>
            </w:tcBorders>
          </w:tcPr>
          <w:p w:rsidR="00C31389" w:rsidRDefault="00561FBD" w14:paraId="312A848D" w14:textId="77777777">
            <w:pPr>
              <w:pStyle w:val="TableParagraph"/>
              <w:ind w:right="147"/>
              <w:jc w:val="right"/>
              <w:rPr>
                <w:sz w:val="17"/>
              </w:rPr>
            </w:pPr>
            <w:r>
              <w:rPr>
                <w:spacing w:val="-4"/>
                <w:sz w:val="17"/>
              </w:rPr>
              <w:t>13.2</w:t>
            </w:r>
          </w:p>
        </w:tc>
        <w:tc>
          <w:tcPr>
            <w:tcW w:w="675" w:type="dxa"/>
            <w:tcBorders>
              <w:top w:val="single" w:color="D9D9D9" w:sz="8" w:space="0"/>
            </w:tcBorders>
          </w:tcPr>
          <w:p w:rsidR="00C31389" w:rsidRDefault="00561FBD" w14:paraId="472BE938" w14:textId="77777777">
            <w:pPr>
              <w:pStyle w:val="TableParagraph"/>
              <w:ind w:right="147"/>
              <w:jc w:val="right"/>
              <w:rPr>
                <w:sz w:val="17"/>
              </w:rPr>
            </w:pPr>
            <w:r>
              <w:rPr>
                <w:spacing w:val="-4"/>
                <w:sz w:val="17"/>
              </w:rPr>
              <w:t>13.6</w:t>
            </w:r>
          </w:p>
        </w:tc>
        <w:tc>
          <w:tcPr>
            <w:tcW w:w="675" w:type="dxa"/>
            <w:tcBorders>
              <w:top w:val="single" w:color="D9D9D9" w:sz="8" w:space="0"/>
            </w:tcBorders>
          </w:tcPr>
          <w:p w:rsidR="00C31389" w:rsidRDefault="00561FBD" w14:paraId="7A9ED492" w14:textId="77777777">
            <w:pPr>
              <w:pStyle w:val="TableParagraph"/>
              <w:ind w:right="147"/>
              <w:jc w:val="right"/>
              <w:rPr>
                <w:sz w:val="17"/>
              </w:rPr>
            </w:pPr>
            <w:r>
              <w:rPr>
                <w:spacing w:val="-4"/>
                <w:sz w:val="17"/>
              </w:rPr>
              <w:t>14.1</w:t>
            </w:r>
          </w:p>
        </w:tc>
        <w:tc>
          <w:tcPr>
            <w:tcW w:w="675" w:type="dxa"/>
            <w:tcBorders>
              <w:top w:val="single" w:color="D9D9D9" w:sz="8" w:space="0"/>
            </w:tcBorders>
          </w:tcPr>
          <w:p w:rsidR="00C31389" w:rsidRDefault="00561FBD" w14:paraId="3A4DCCF7" w14:textId="77777777">
            <w:pPr>
              <w:pStyle w:val="TableParagraph"/>
              <w:ind w:left="109" w:right="64"/>
              <w:jc w:val="center"/>
              <w:rPr>
                <w:sz w:val="17"/>
              </w:rPr>
            </w:pPr>
            <w:r>
              <w:rPr>
                <w:spacing w:val="-4"/>
                <w:sz w:val="17"/>
              </w:rPr>
              <w:t>14.6</w:t>
            </w:r>
          </w:p>
        </w:tc>
        <w:tc>
          <w:tcPr>
            <w:tcW w:w="675" w:type="dxa"/>
            <w:tcBorders>
              <w:top w:val="single" w:color="D9D9D9" w:sz="8" w:space="0"/>
            </w:tcBorders>
          </w:tcPr>
          <w:p w:rsidR="00C31389" w:rsidRDefault="00561FBD" w14:paraId="55BCF72C" w14:textId="77777777">
            <w:pPr>
              <w:pStyle w:val="TableParagraph"/>
              <w:ind w:left="109" w:right="65"/>
              <w:jc w:val="center"/>
              <w:rPr>
                <w:sz w:val="17"/>
              </w:rPr>
            </w:pPr>
            <w:r>
              <w:rPr>
                <w:spacing w:val="-4"/>
                <w:sz w:val="17"/>
              </w:rPr>
              <w:t>15.1</w:t>
            </w:r>
          </w:p>
        </w:tc>
        <w:tc>
          <w:tcPr>
            <w:tcW w:w="675" w:type="dxa"/>
            <w:tcBorders>
              <w:top w:val="single" w:color="D9D9D9" w:sz="8" w:space="0"/>
            </w:tcBorders>
          </w:tcPr>
          <w:p w:rsidR="00C31389" w:rsidRDefault="00561FBD" w14:paraId="4D632BD9" w14:textId="77777777">
            <w:pPr>
              <w:pStyle w:val="TableParagraph"/>
              <w:ind w:left="109" w:right="64"/>
              <w:jc w:val="center"/>
              <w:rPr>
                <w:sz w:val="17"/>
              </w:rPr>
            </w:pPr>
            <w:r>
              <w:rPr>
                <w:spacing w:val="-4"/>
                <w:sz w:val="17"/>
              </w:rPr>
              <w:t>15.6</w:t>
            </w:r>
          </w:p>
        </w:tc>
        <w:tc>
          <w:tcPr>
            <w:tcW w:w="675" w:type="dxa"/>
            <w:tcBorders>
              <w:top w:val="single" w:color="D9D9D9" w:sz="8" w:space="0"/>
            </w:tcBorders>
          </w:tcPr>
          <w:p w:rsidR="00C31389" w:rsidRDefault="00561FBD" w14:paraId="70960E01" w14:textId="77777777">
            <w:pPr>
              <w:pStyle w:val="TableParagraph"/>
              <w:ind w:right="147"/>
              <w:jc w:val="right"/>
              <w:rPr>
                <w:sz w:val="17"/>
              </w:rPr>
            </w:pPr>
            <w:r>
              <w:rPr>
                <w:spacing w:val="-4"/>
                <w:sz w:val="17"/>
              </w:rPr>
              <w:t>16.2</w:t>
            </w:r>
          </w:p>
        </w:tc>
        <w:tc>
          <w:tcPr>
            <w:tcW w:w="675" w:type="dxa"/>
            <w:tcBorders>
              <w:top w:val="single" w:color="D9D9D9" w:sz="8" w:space="0"/>
            </w:tcBorders>
          </w:tcPr>
          <w:p w:rsidR="00C31389" w:rsidRDefault="00561FBD" w14:paraId="47A424F7" w14:textId="77777777">
            <w:pPr>
              <w:pStyle w:val="TableParagraph"/>
              <w:ind w:right="147"/>
              <w:jc w:val="right"/>
              <w:rPr>
                <w:sz w:val="17"/>
              </w:rPr>
            </w:pPr>
            <w:r>
              <w:rPr>
                <w:spacing w:val="-4"/>
                <w:sz w:val="17"/>
              </w:rPr>
              <w:t>16.5</w:t>
            </w:r>
          </w:p>
        </w:tc>
        <w:tc>
          <w:tcPr>
            <w:tcW w:w="635" w:type="dxa"/>
            <w:tcBorders>
              <w:top w:val="single" w:color="D9D9D9" w:sz="8" w:space="0"/>
            </w:tcBorders>
          </w:tcPr>
          <w:p w:rsidR="00C31389" w:rsidRDefault="00561FBD" w14:paraId="7F2AE115" w14:textId="77777777">
            <w:pPr>
              <w:pStyle w:val="TableParagraph"/>
              <w:ind w:right="107"/>
              <w:jc w:val="right"/>
              <w:rPr>
                <w:sz w:val="17"/>
              </w:rPr>
            </w:pPr>
            <w:r>
              <w:rPr>
                <w:spacing w:val="-4"/>
                <w:sz w:val="17"/>
              </w:rPr>
              <w:t>17.1</w:t>
            </w:r>
          </w:p>
        </w:tc>
      </w:tr>
    </w:tbl>
    <w:p w:rsidR="00C31389" w:rsidRDefault="00C31389" w14:paraId="345002B6" w14:textId="77777777">
      <w:pPr>
        <w:jc w:val="right"/>
        <w:rPr>
          <w:sz w:val="17"/>
        </w:rPr>
        <w:sectPr w:rsidR="00C31389">
          <w:pgSz w:w="12240" w:h="15840"/>
          <w:pgMar w:top="1380" w:right="1240" w:bottom="1120" w:left="1220" w:header="397" w:footer="936" w:gutter="0"/>
          <w:cols w:space="720"/>
        </w:sectPr>
      </w:pPr>
    </w:p>
    <w:p w:rsidR="00C31389" w:rsidRDefault="00C31389" w14:paraId="7C84D695" w14:textId="77777777">
      <w:pPr>
        <w:pStyle w:val="BodyText"/>
        <w:rPr>
          <w:b/>
        </w:rPr>
      </w:pPr>
    </w:p>
    <w:tbl>
      <w:tblPr>
        <w:tblW w:w="0" w:type="auto"/>
        <w:tblInd w:w="213" w:type="dxa"/>
        <w:tblLayout w:type="fixed"/>
        <w:tblCellMar>
          <w:left w:w="0" w:type="dxa"/>
          <w:right w:w="0" w:type="dxa"/>
        </w:tblCellMar>
        <w:tblLook w:val="01E0" w:firstRow="1" w:lastRow="1" w:firstColumn="1" w:lastColumn="1" w:noHBand="0" w:noVBand="0"/>
      </w:tblPr>
      <w:tblGrid>
        <w:gridCol w:w="1274"/>
        <w:gridCol w:w="691"/>
        <w:gridCol w:w="675"/>
        <w:gridCol w:w="675"/>
        <w:gridCol w:w="675"/>
        <w:gridCol w:w="675"/>
        <w:gridCol w:w="699"/>
        <w:gridCol w:w="675"/>
        <w:gridCol w:w="675"/>
        <w:gridCol w:w="675"/>
        <w:gridCol w:w="675"/>
        <w:gridCol w:w="675"/>
        <w:gridCol w:w="635"/>
      </w:tblGrid>
      <w:tr w:rsidR="00C31389" w14:paraId="40717D97" w14:textId="77777777">
        <w:trPr>
          <w:trHeight w:val="252"/>
        </w:trPr>
        <w:tc>
          <w:tcPr>
            <w:tcW w:w="1274" w:type="dxa"/>
            <w:tcBorders>
              <w:top w:val="single" w:color="8B8B8B" w:sz="8" w:space="0"/>
            </w:tcBorders>
          </w:tcPr>
          <w:p w:rsidR="00C31389" w:rsidRDefault="00C31389" w14:paraId="0F290380" w14:textId="77777777">
            <w:pPr>
              <w:pStyle w:val="TableParagraph"/>
              <w:spacing w:before="0"/>
              <w:rPr>
                <w:rFonts w:ascii="Times New Roman"/>
                <w:sz w:val="16"/>
              </w:rPr>
            </w:pPr>
          </w:p>
        </w:tc>
        <w:tc>
          <w:tcPr>
            <w:tcW w:w="691" w:type="dxa"/>
            <w:tcBorders>
              <w:top w:val="single" w:color="8B8B8B" w:sz="8" w:space="0"/>
            </w:tcBorders>
          </w:tcPr>
          <w:p w:rsidR="00C31389" w:rsidRDefault="00C31389" w14:paraId="3377F23C"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1B94AC22"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319C6101"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5742363C"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22277198" w14:textId="77777777">
            <w:pPr>
              <w:pStyle w:val="TableParagraph"/>
              <w:spacing w:before="0"/>
              <w:rPr>
                <w:rFonts w:ascii="Times New Roman"/>
                <w:sz w:val="16"/>
              </w:rPr>
            </w:pPr>
          </w:p>
        </w:tc>
        <w:tc>
          <w:tcPr>
            <w:tcW w:w="699" w:type="dxa"/>
            <w:tcBorders>
              <w:top w:val="single" w:color="8B8B8B" w:sz="8" w:space="0"/>
            </w:tcBorders>
          </w:tcPr>
          <w:p w:rsidR="00C31389" w:rsidRDefault="00C31389" w14:paraId="5E3D86DE"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796BEAC1"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3C19F4D6"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4AD27FFF"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088533B4" w14:textId="77777777">
            <w:pPr>
              <w:pStyle w:val="TableParagraph"/>
              <w:spacing w:before="0"/>
              <w:rPr>
                <w:rFonts w:ascii="Times New Roman"/>
                <w:sz w:val="16"/>
              </w:rPr>
            </w:pPr>
          </w:p>
        </w:tc>
        <w:tc>
          <w:tcPr>
            <w:tcW w:w="675" w:type="dxa"/>
            <w:tcBorders>
              <w:top w:val="single" w:color="8B8B8B" w:sz="8" w:space="0"/>
            </w:tcBorders>
          </w:tcPr>
          <w:p w:rsidR="00C31389" w:rsidRDefault="00C31389" w14:paraId="791D409A" w14:textId="77777777">
            <w:pPr>
              <w:pStyle w:val="TableParagraph"/>
              <w:spacing w:before="0"/>
              <w:rPr>
                <w:rFonts w:ascii="Times New Roman"/>
                <w:sz w:val="16"/>
              </w:rPr>
            </w:pPr>
          </w:p>
        </w:tc>
        <w:tc>
          <w:tcPr>
            <w:tcW w:w="635" w:type="dxa"/>
            <w:tcBorders>
              <w:top w:val="single" w:color="8B8B8B" w:sz="8" w:space="0"/>
            </w:tcBorders>
          </w:tcPr>
          <w:p w:rsidR="00C31389" w:rsidRDefault="00C31389" w14:paraId="72444755" w14:textId="77777777">
            <w:pPr>
              <w:pStyle w:val="TableParagraph"/>
              <w:spacing w:before="0"/>
              <w:rPr>
                <w:rFonts w:ascii="Times New Roman"/>
                <w:sz w:val="16"/>
              </w:rPr>
            </w:pPr>
          </w:p>
        </w:tc>
      </w:tr>
      <w:tr w:rsidR="00C31389" w14:paraId="614105DE" w14:textId="77777777">
        <w:trPr>
          <w:trHeight w:val="305"/>
        </w:trPr>
        <w:tc>
          <w:tcPr>
            <w:tcW w:w="1274" w:type="dxa"/>
            <w:shd w:val="clear" w:color="auto" w:fill="92D400"/>
          </w:tcPr>
          <w:p w:rsidR="00C31389" w:rsidRDefault="00561FBD" w14:paraId="5CEBF17B" w14:textId="77777777">
            <w:pPr>
              <w:pStyle w:val="TableParagraph"/>
              <w:spacing w:before="41"/>
              <w:ind w:left="121"/>
              <w:rPr>
                <w:b/>
                <w:sz w:val="17"/>
              </w:rPr>
            </w:pPr>
            <w:r>
              <w:rPr>
                <w:b/>
                <w:spacing w:val="-4"/>
                <w:sz w:val="17"/>
              </w:rPr>
              <w:t>Year</w:t>
            </w:r>
          </w:p>
        </w:tc>
        <w:tc>
          <w:tcPr>
            <w:tcW w:w="691" w:type="dxa"/>
            <w:shd w:val="clear" w:color="auto" w:fill="92D400"/>
          </w:tcPr>
          <w:p w:rsidR="00C31389" w:rsidRDefault="00561FBD" w14:paraId="629BDD8A" w14:textId="77777777">
            <w:pPr>
              <w:pStyle w:val="TableParagraph"/>
              <w:spacing w:before="41"/>
              <w:ind w:right="121"/>
              <w:jc w:val="right"/>
              <w:rPr>
                <w:b/>
                <w:sz w:val="17"/>
              </w:rPr>
            </w:pPr>
            <w:r>
              <w:rPr>
                <w:b/>
                <w:spacing w:val="-4"/>
                <w:sz w:val="17"/>
              </w:rPr>
              <w:t>2024</w:t>
            </w:r>
          </w:p>
        </w:tc>
        <w:tc>
          <w:tcPr>
            <w:tcW w:w="675" w:type="dxa"/>
            <w:shd w:val="clear" w:color="auto" w:fill="92D400"/>
          </w:tcPr>
          <w:p w:rsidR="00C31389" w:rsidRDefault="00561FBD" w14:paraId="108ED984" w14:textId="77777777">
            <w:pPr>
              <w:pStyle w:val="TableParagraph"/>
              <w:spacing w:before="41"/>
              <w:ind w:left="109" w:right="63"/>
              <w:jc w:val="center"/>
              <w:rPr>
                <w:b/>
                <w:sz w:val="17"/>
              </w:rPr>
            </w:pPr>
            <w:r>
              <w:rPr>
                <w:b/>
                <w:spacing w:val="-4"/>
                <w:sz w:val="17"/>
              </w:rPr>
              <w:t>2025</w:t>
            </w:r>
          </w:p>
        </w:tc>
        <w:tc>
          <w:tcPr>
            <w:tcW w:w="675" w:type="dxa"/>
            <w:shd w:val="clear" w:color="auto" w:fill="92D400"/>
          </w:tcPr>
          <w:p w:rsidR="00C31389" w:rsidRDefault="00561FBD" w14:paraId="533B6363" w14:textId="77777777">
            <w:pPr>
              <w:pStyle w:val="TableParagraph"/>
              <w:spacing w:before="41"/>
              <w:ind w:right="121"/>
              <w:jc w:val="right"/>
              <w:rPr>
                <w:b/>
                <w:sz w:val="17"/>
              </w:rPr>
            </w:pPr>
            <w:r>
              <w:rPr>
                <w:b/>
                <w:spacing w:val="-4"/>
                <w:sz w:val="17"/>
              </w:rPr>
              <w:t>2026</w:t>
            </w:r>
          </w:p>
        </w:tc>
        <w:tc>
          <w:tcPr>
            <w:tcW w:w="675" w:type="dxa"/>
            <w:shd w:val="clear" w:color="auto" w:fill="92D400"/>
          </w:tcPr>
          <w:p w:rsidR="00C31389" w:rsidRDefault="00561FBD" w14:paraId="28609CEA" w14:textId="77777777">
            <w:pPr>
              <w:pStyle w:val="TableParagraph"/>
              <w:spacing w:before="41"/>
              <w:ind w:right="122"/>
              <w:jc w:val="right"/>
              <w:rPr>
                <w:b/>
                <w:sz w:val="17"/>
              </w:rPr>
            </w:pPr>
            <w:r>
              <w:rPr>
                <w:b/>
                <w:spacing w:val="-4"/>
                <w:sz w:val="17"/>
              </w:rPr>
              <w:t>2027</w:t>
            </w:r>
          </w:p>
        </w:tc>
        <w:tc>
          <w:tcPr>
            <w:tcW w:w="675" w:type="dxa"/>
            <w:shd w:val="clear" w:color="auto" w:fill="92D400"/>
          </w:tcPr>
          <w:p w:rsidR="00C31389" w:rsidRDefault="00561FBD" w14:paraId="1D708F95" w14:textId="77777777">
            <w:pPr>
              <w:pStyle w:val="TableParagraph"/>
              <w:spacing w:before="41"/>
              <w:ind w:right="121"/>
              <w:jc w:val="right"/>
              <w:rPr>
                <w:b/>
                <w:sz w:val="17"/>
              </w:rPr>
            </w:pPr>
            <w:r>
              <w:rPr>
                <w:b/>
                <w:spacing w:val="-4"/>
                <w:sz w:val="17"/>
              </w:rPr>
              <w:t>2028</w:t>
            </w:r>
          </w:p>
        </w:tc>
        <w:tc>
          <w:tcPr>
            <w:tcW w:w="699" w:type="dxa"/>
            <w:shd w:val="clear" w:color="auto" w:fill="92D400"/>
          </w:tcPr>
          <w:p w:rsidR="00C31389" w:rsidRDefault="00561FBD" w14:paraId="0241010D" w14:textId="77777777">
            <w:pPr>
              <w:pStyle w:val="TableParagraph"/>
              <w:spacing w:before="41"/>
              <w:ind w:right="146"/>
              <w:jc w:val="right"/>
              <w:rPr>
                <w:b/>
                <w:sz w:val="17"/>
              </w:rPr>
            </w:pPr>
            <w:r>
              <w:rPr>
                <w:b/>
                <w:spacing w:val="-4"/>
                <w:sz w:val="17"/>
              </w:rPr>
              <w:t>2029</w:t>
            </w:r>
          </w:p>
        </w:tc>
        <w:tc>
          <w:tcPr>
            <w:tcW w:w="675" w:type="dxa"/>
            <w:shd w:val="clear" w:color="auto" w:fill="92D400"/>
          </w:tcPr>
          <w:p w:rsidR="00C31389" w:rsidRDefault="00561FBD" w14:paraId="12D212DD" w14:textId="77777777">
            <w:pPr>
              <w:pStyle w:val="TableParagraph"/>
              <w:spacing w:before="41"/>
              <w:ind w:left="109" w:right="109"/>
              <w:jc w:val="center"/>
              <w:rPr>
                <w:b/>
                <w:sz w:val="17"/>
              </w:rPr>
            </w:pPr>
            <w:r>
              <w:rPr>
                <w:b/>
                <w:spacing w:val="-4"/>
                <w:sz w:val="17"/>
              </w:rPr>
              <w:t>2030</w:t>
            </w:r>
          </w:p>
        </w:tc>
        <w:tc>
          <w:tcPr>
            <w:tcW w:w="675" w:type="dxa"/>
            <w:shd w:val="clear" w:color="auto" w:fill="92D400"/>
          </w:tcPr>
          <w:p w:rsidR="00C31389" w:rsidRDefault="00561FBD" w14:paraId="202A522D" w14:textId="77777777">
            <w:pPr>
              <w:pStyle w:val="TableParagraph"/>
              <w:spacing w:before="41"/>
              <w:ind w:left="108" w:right="109"/>
              <w:jc w:val="center"/>
              <w:rPr>
                <w:b/>
                <w:sz w:val="17"/>
              </w:rPr>
            </w:pPr>
            <w:r>
              <w:rPr>
                <w:b/>
                <w:spacing w:val="-4"/>
                <w:sz w:val="17"/>
              </w:rPr>
              <w:t>2031</w:t>
            </w:r>
          </w:p>
        </w:tc>
        <w:tc>
          <w:tcPr>
            <w:tcW w:w="675" w:type="dxa"/>
            <w:shd w:val="clear" w:color="auto" w:fill="92D400"/>
          </w:tcPr>
          <w:p w:rsidR="00C31389" w:rsidRDefault="00561FBD" w14:paraId="129F4112" w14:textId="77777777">
            <w:pPr>
              <w:pStyle w:val="TableParagraph"/>
              <w:spacing w:before="41"/>
              <w:ind w:left="109" w:right="109"/>
              <w:jc w:val="center"/>
              <w:rPr>
                <w:b/>
                <w:sz w:val="17"/>
              </w:rPr>
            </w:pPr>
            <w:r>
              <w:rPr>
                <w:b/>
                <w:spacing w:val="-4"/>
                <w:sz w:val="17"/>
              </w:rPr>
              <w:t>2032</w:t>
            </w:r>
          </w:p>
        </w:tc>
        <w:tc>
          <w:tcPr>
            <w:tcW w:w="675" w:type="dxa"/>
            <w:shd w:val="clear" w:color="auto" w:fill="92D400"/>
          </w:tcPr>
          <w:p w:rsidR="00C31389" w:rsidRDefault="00561FBD" w14:paraId="02901647" w14:textId="77777777">
            <w:pPr>
              <w:pStyle w:val="TableParagraph"/>
              <w:spacing w:before="41"/>
              <w:ind w:right="146"/>
              <w:jc w:val="right"/>
              <w:rPr>
                <w:b/>
                <w:sz w:val="17"/>
              </w:rPr>
            </w:pPr>
            <w:r>
              <w:rPr>
                <w:b/>
                <w:spacing w:val="-4"/>
                <w:sz w:val="17"/>
              </w:rPr>
              <w:t>2033</w:t>
            </w:r>
          </w:p>
        </w:tc>
        <w:tc>
          <w:tcPr>
            <w:tcW w:w="675" w:type="dxa"/>
            <w:shd w:val="clear" w:color="auto" w:fill="92D400"/>
          </w:tcPr>
          <w:p w:rsidR="00C31389" w:rsidRDefault="00561FBD" w14:paraId="6CB340E3" w14:textId="77777777">
            <w:pPr>
              <w:pStyle w:val="TableParagraph"/>
              <w:spacing w:before="41"/>
              <w:ind w:right="145"/>
              <w:jc w:val="right"/>
              <w:rPr>
                <w:b/>
                <w:sz w:val="17"/>
              </w:rPr>
            </w:pPr>
            <w:r>
              <w:rPr>
                <w:b/>
                <w:spacing w:val="-4"/>
                <w:sz w:val="17"/>
              </w:rPr>
              <w:t>2034</w:t>
            </w:r>
          </w:p>
        </w:tc>
        <w:tc>
          <w:tcPr>
            <w:tcW w:w="635" w:type="dxa"/>
            <w:shd w:val="clear" w:color="auto" w:fill="92D400"/>
          </w:tcPr>
          <w:p w:rsidR="00C31389" w:rsidRDefault="00561FBD" w14:paraId="33CD2CEB" w14:textId="77777777">
            <w:pPr>
              <w:pStyle w:val="TableParagraph"/>
              <w:spacing w:before="41"/>
              <w:ind w:right="106"/>
              <w:jc w:val="right"/>
              <w:rPr>
                <w:b/>
                <w:sz w:val="17"/>
              </w:rPr>
            </w:pPr>
            <w:r>
              <w:rPr>
                <w:b/>
                <w:spacing w:val="-4"/>
                <w:sz w:val="17"/>
              </w:rPr>
              <w:t>2035</w:t>
            </w:r>
          </w:p>
        </w:tc>
      </w:tr>
      <w:tr w:rsidR="00C31389" w14:paraId="6AFE40FC" w14:textId="77777777">
        <w:trPr>
          <w:trHeight w:val="254"/>
        </w:trPr>
        <w:tc>
          <w:tcPr>
            <w:tcW w:w="9374" w:type="dxa"/>
            <w:gridSpan w:val="13"/>
            <w:tcBorders>
              <w:bottom w:val="single" w:color="DCDDDE" w:sz="4" w:space="0"/>
            </w:tcBorders>
            <w:shd w:val="clear" w:color="auto" w:fill="BEBEBE"/>
          </w:tcPr>
          <w:p w:rsidR="00C31389" w:rsidRDefault="00561FBD" w14:paraId="168AEEF7" w14:textId="77777777">
            <w:pPr>
              <w:pStyle w:val="TableParagraph"/>
              <w:spacing w:before="20"/>
              <w:ind w:left="121"/>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2A7A996F" w14:textId="77777777">
        <w:trPr>
          <w:trHeight w:val="275"/>
        </w:trPr>
        <w:tc>
          <w:tcPr>
            <w:tcW w:w="1274" w:type="dxa"/>
            <w:tcBorders>
              <w:top w:val="single" w:color="DCDDDE" w:sz="4" w:space="0"/>
              <w:bottom w:val="single" w:color="DCDDDE" w:sz="4" w:space="0"/>
            </w:tcBorders>
          </w:tcPr>
          <w:p w:rsidR="00C31389" w:rsidRDefault="00561FBD" w14:paraId="370FF9C9" w14:textId="77777777">
            <w:pPr>
              <w:pStyle w:val="TableParagraph"/>
              <w:spacing w:before="42"/>
              <w:ind w:left="121"/>
              <w:rPr>
                <w:sz w:val="17"/>
              </w:rPr>
            </w:pPr>
            <w:r>
              <w:rPr>
                <w:spacing w:val="-5"/>
                <w:sz w:val="17"/>
              </w:rPr>
              <w:t>EE</w:t>
            </w:r>
          </w:p>
        </w:tc>
        <w:tc>
          <w:tcPr>
            <w:tcW w:w="691" w:type="dxa"/>
            <w:tcBorders>
              <w:top w:val="single" w:color="DCDDDE" w:sz="4" w:space="0"/>
            </w:tcBorders>
          </w:tcPr>
          <w:p w:rsidR="00C31389" w:rsidRDefault="00561FBD" w14:paraId="7AEE5FC5" w14:textId="77777777">
            <w:pPr>
              <w:pStyle w:val="TableParagraph"/>
              <w:spacing w:before="42"/>
              <w:ind w:right="122"/>
              <w:jc w:val="right"/>
              <w:rPr>
                <w:sz w:val="17"/>
              </w:rPr>
            </w:pPr>
            <w:r>
              <w:rPr>
                <w:spacing w:val="-5"/>
                <w:sz w:val="17"/>
              </w:rPr>
              <w:t>3.9</w:t>
            </w:r>
          </w:p>
        </w:tc>
        <w:tc>
          <w:tcPr>
            <w:tcW w:w="675" w:type="dxa"/>
            <w:tcBorders>
              <w:top w:val="single" w:color="DCDDDE" w:sz="4" w:space="0"/>
            </w:tcBorders>
          </w:tcPr>
          <w:p w:rsidR="00C31389" w:rsidRDefault="00561FBD" w14:paraId="25DCFAE9" w14:textId="77777777">
            <w:pPr>
              <w:pStyle w:val="TableParagraph"/>
              <w:spacing w:before="42"/>
              <w:ind w:left="276" w:right="89"/>
              <w:jc w:val="center"/>
              <w:rPr>
                <w:sz w:val="17"/>
              </w:rPr>
            </w:pPr>
            <w:r>
              <w:rPr>
                <w:spacing w:val="-5"/>
                <w:sz w:val="17"/>
              </w:rPr>
              <w:t>3.6</w:t>
            </w:r>
          </w:p>
        </w:tc>
        <w:tc>
          <w:tcPr>
            <w:tcW w:w="675" w:type="dxa"/>
            <w:tcBorders>
              <w:top w:val="single" w:color="DCDDDE" w:sz="4" w:space="0"/>
            </w:tcBorders>
          </w:tcPr>
          <w:p w:rsidR="00C31389" w:rsidRDefault="00561FBD" w14:paraId="29927751" w14:textId="77777777">
            <w:pPr>
              <w:pStyle w:val="TableParagraph"/>
              <w:spacing w:before="42"/>
              <w:ind w:right="122"/>
              <w:jc w:val="right"/>
              <w:rPr>
                <w:sz w:val="17"/>
              </w:rPr>
            </w:pPr>
            <w:r>
              <w:rPr>
                <w:spacing w:val="-5"/>
                <w:sz w:val="17"/>
              </w:rPr>
              <w:t>3.3</w:t>
            </w:r>
          </w:p>
        </w:tc>
        <w:tc>
          <w:tcPr>
            <w:tcW w:w="675" w:type="dxa"/>
            <w:tcBorders>
              <w:top w:val="single" w:color="DCDDDE" w:sz="4" w:space="0"/>
            </w:tcBorders>
          </w:tcPr>
          <w:p w:rsidR="00C31389" w:rsidRDefault="00561FBD" w14:paraId="72F81A84" w14:textId="77777777">
            <w:pPr>
              <w:pStyle w:val="TableParagraph"/>
              <w:spacing w:before="42"/>
              <w:ind w:right="123"/>
              <w:jc w:val="right"/>
              <w:rPr>
                <w:sz w:val="17"/>
              </w:rPr>
            </w:pPr>
            <w:r>
              <w:rPr>
                <w:spacing w:val="-5"/>
                <w:sz w:val="17"/>
              </w:rPr>
              <w:t>3.0</w:t>
            </w:r>
          </w:p>
        </w:tc>
        <w:tc>
          <w:tcPr>
            <w:tcW w:w="675" w:type="dxa"/>
            <w:tcBorders>
              <w:top w:val="single" w:color="DCDDDE" w:sz="4" w:space="0"/>
            </w:tcBorders>
          </w:tcPr>
          <w:p w:rsidR="00C31389" w:rsidRDefault="00561FBD" w14:paraId="331E2DB8" w14:textId="77777777">
            <w:pPr>
              <w:pStyle w:val="TableParagraph"/>
              <w:spacing w:before="42"/>
              <w:ind w:right="122"/>
              <w:jc w:val="right"/>
              <w:rPr>
                <w:sz w:val="17"/>
              </w:rPr>
            </w:pPr>
            <w:r>
              <w:rPr>
                <w:spacing w:val="-5"/>
                <w:sz w:val="17"/>
              </w:rPr>
              <w:t>2.8</w:t>
            </w:r>
          </w:p>
        </w:tc>
        <w:tc>
          <w:tcPr>
            <w:tcW w:w="699" w:type="dxa"/>
            <w:tcBorders>
              <w:top w:val="single" w:color="DCDDDE" w:sz="4" w:space="0"/>
            </w:tcBorders>
          </w:tcPr>
          <w:p w:rsidR="00C31389" w:rsidRDefault="00561FBD" w14:paraId="27CCB7BF" w14:textId="77777777">
            <w:pPr>
              <w:pStyle w:val="TableParagraph"/>
              <w:spacing w:before="42"/>
              <w:ind w:right="147"/>
              <w:jc w:val="right"/>
              <w:rPr>
                <w:sz w:val="17"/>
              </w:rPr>
            </w:pPr>
            <w:r>
              <w:rPr>
                <w:spacing w:val="-5"/>
                <w:sz w:val="17"/>
              </w:rPr>
              <w:t>2.5</w:t>
            </w:r>
          </w:p>
        </w:tc>
        <w:tc>
          <w:tcPr>
            <w:tcW w:w="675" w:type="dxa"/>
            <w:tcBorders>
              <w:top w:val="single" w:color="DCDDDE" w:sz="4" w:space="0"/>
            </w:tcBorders>
          </w:tcPr>
          <w:p w:rsidR="00C31389" w:rsidRDefault="00561FBD" w14:paraId="73B1F44C" w14:textId="77777777">
            <w:pPr>
              <w:pStyle w:val="TableParagraph"/>
              <w:spacing w:before="42"/>
              <w:ind w:left="249" w:right="109"/>
              <w:jc w:val="center"/>
              <w:rPr>
                <w:sz w:val="17"/>
              </w:rPr>
            </w:pPr>
            <w:r>
              <w:rPr>
                <w:spacing w:val="-5"/>
                <w:sz w:val="17"/>
              </w:rPr>
              <w:t>2.3</w:t>
            </w:r>
          </w:p>
        </w:tc>
        <w:tc>
          <w:tcPr>
            <w:tcW w:w="675" w:type="dxa"/>
            <w:tcBorders>
              <w:top w:val="single" w:color="DCDDDE" w:sz="4" w:space="0"/>
            </w:tcBorders>
          </w:tcPr>
          <w:p w:rsidR="00C31389" w:rsidRDefault="00561FBD" w14:paraId="0CF6069E" w14:textId="77777777">
            <w:pPr>
              <w:pStyle w:val="TableParagraph"/>
              <w:spacing w:before="42"/>
              <w:ind w:left="248" w:right="109"/>
              <w:jc w:val="center"/>
              <w:rPr>
                <w:sz w:val="17"/>
              </w:rPr>
            </w:pPr>
            <w:r>
              <w:rPr>
                <w:spacing w:val="-5"/>
                <w:sz w:val="17"/>
              </w:rPr>
              <w:t>2.2</w:t>
            </w:r>
          </w:p>
        </w:tc>
        <w:tc>
          <w:tcPr>
            <w:tcW w:w="675" w:type="dxa"/>
            <w:tcBorders>
              <w:top w:val="single" w:color="DCDDDE" w:sz="4" w:space="0"/>
            </w:tcBorders>
          </w:tcPr>
          <w:p w:rsidR="00C31389" w:rsidRDefault="00561FBD" w14:paraId="55688A61" w14:textId="77777777">
            <w:pPr>
              <w:pStyle w:val="TableParagraph"/>
              <w:spacing w:before="42"/>
              <w:ind w:left="249" w:right="109"/>
              <w:jc w:val="center"/>
              <w:rPr>
                <w:sz w:val="17"/>
              </w:rPr>
            </w:pPr>
            <w:r>
              <w:rPr>
                <w:spacing w:val="-5"/>
                <w:sz w:val="17"/>
              </w:rPr>
              <w:t>2.1</w:t>
            </w:r>
          </w:p>
        </w:tc>
        <w:tc>
          <w:tcPr>
            <w:tcW w:w="675" w:type="dxa"/>
            <w:tcBorders>
              <w:top w:val="single" w:color="DCDDDE" w:sz="4" w:space="0"/>
            </w:tcBorders>
          </w:tcPr>
          <w:p w:rsidR="00C31389" w:rsidRDefault="00561FBD" w14:paraId="269180CF" w14:textId="77777777">
            <w:pPr>
              <w:pStyle w:val="TableParagraph"/>
              <w:spacing w:before="42"/>
              <w:ind w:right="147"/>
              <w:jc w:val="right"/>
              <w:rPr>
                <w:sz w:val="17"/>
              </w:rPr>
            </w:pPr>
            <w:r>
              <w:rPr>
                <w:spacing w:val="-5"/>
                <w:sz w:val="17"/>
              </w:rPr>
              <w:t>2.2</w:t>
            </w:r>
          </w:p>
        </w:tc>
        <w:tc>
          <w:tcPr>
            <w:tcW w:w="675" w:type="dxa"/>
            <w:tcBorders>
              <w:top w:val="single" w:color="DCDDDE" w:sz="4" w:space="0"/>
            </w:tcBorders>
          </w:tcPr>
          <w:p w:rsidR="00C31389" w:rsidRDefault="00561FBD" w14:paraId="3707494F" w14:textId="77777777">
            <w:pPr>
              <w:pStyle w:val="TableParagraph"/>
              <w:spacing w:before="42"/>
              <w:ind w:right="146"/>
              <w:jc w:val="right"/>
              <w:rPr>
                <w:sz w:val="17"/>
              </w:rPr>
            </w:pPr>
            <w:r>
              <w:rPr>
                <w:spacing w:val="-5"/>
                <w:sz w:val="17"/>
              </w:rPr>
              <w:t>2.2</w:t>
            </w:r>
          </w:p>
        </w:tc>
        <w:tc>
          <w:tcPr>
            <w:tcW w:w="635" w:type="dxa"/>
            <w:tcBorders>
              <w:top w:val="single" w:color="DCDDDE" w:sz="4" w:space="0"/>
            </w:tcBorders>
          </w:tcPr>
          <w:p w:rsidR="00C31389" w:rsidRDefault="00561FBD" w14:paraId="2D9439D0" w14:textId="77777777">
            <w:pPr>
              <w:pStyle w:val="TableParagraph"/>
              <w:spacing w:before="42"/>
              <w:ind w:right="107"/>
              <w:jc w:val="right"/>
              <w:rPr>
                <w:sz w:val="17"/>
              </w:rPr>
            </w:pPr>
            <w:r>
              <w:rPr>
                <w:spacing w:val="-5"/>
                <w:sz w:val="17"/>
              </w:rPr>
              <w:t>2.2</w:t>
            </w:r>
          </w:p>
        </w:tc>
      </w:tr>
      <w:tr w:rsidR="00C31389" w14:paraId="5BF3747D" w14:textId="77777777">
        <w:trPr>
          <w:trHeight w:val="275"/>
        </w:trPr>
        <w:tc>
          <w:tcPr>
            <w:tcW w:w="1274" w:type="dxa"/>
            <w:tcBorders>
              <w:top w:val="single" w:color="DCDDDE" w:sz="4" w:space="0"/>
              <w:bottom w:val="single" w:color="DCDDDE" w:sz="4" w:space="0"/>
            </w:tcBorders>
          </w:tcPr>
          <w:p w:rsidR="00C31389" w:rsidRDefault="00561FBD" w14:paraId="3C5D0BFE" w14:textId="77777777">
            <w:pPr>
              <w:pStyle w:val="TableParagraph"/>
              <w:spacing w:before="42"/>
              <w:ind w:left="121"/>
              <w:rPr>
                <w:sz w:val="17"/>
              </w:rPr>
            </w:pPr>
            <w:r>
              <w:rPr>
                <w:spacing w:val="-5"/>
                <w:sz w:val="17"/>
              </w:rPr>
              <w:t>FS</w:t>
            </w:r>
          </w:p>
        </w:tc>
        <w:tc>
          <w:tcPr>
            <w:tcW w:w="691" w:type="dxa"/>
            <w:tcBorders>
              <w:bottom w:val="single" w:color="D9D9D9" w:sz="8" w:space="0"/>
            </w:tcBorders>
          </w:tcPr>
          <w:p w:rsidR="00C31389" w:rsidRDefault="00561FBD" w14:paraId="58A1F2DA" w14:textId="77777777">
            <w:pPr>
              <w:pStyle w:val="TableParagraph"/>
              <w:spacing w:before="42"/>
              <w:ind w:right="122"/>
              <w:jc w:val="right"/>
              <w:rPr>
                <w:sz w:val="17"/>
              </w:rPr>
            </w:pPr>
            <w:r>
              <w:rPr>
                <w:spacing w:val="-5"/>
                <w:sz w:val="17"/>
              </w:rPr>
              <w:t>1.6</w:t>
            </w:r>
          </w:p>
        </w:tc>
        <w:tc>
          <w:tcPr>
            <w:tcW w:w="675" w:type="dxa"/>
            <w:tcBorders>
              <w:bottom w:val="single" w:color="D9D9D9" w:sz="8" w:space="0"/>
            </w:tcBorders>
          </w:tcPr>
          <w:p w:rsidR="00C31389" w:rsidRDefault="00561FBD" w14:paraId="57EE7E65" w14:textId="77777777">
            <w:pPr>
              <w:pStyle w:val="TableParagraph"/>
              <w:spacing w:before="42"/>
              <w:ind w:left="276" w:right="89"/>
              <w:jc w:val="center"/>
              <w:rPr>
                <w:sz w:val="17"/>
              </w:rPr>
            </w:pPr>
            <w:r>
              <w:rPr>
                <w:spacing w:val="-5"/>
                <w:sz w:val="17"/>
              </w:rPr>
              <w:t>3.4</w:t>
            </w:r>
          </w:p>
        </w:tc>
        <w:tc>
          <w:tcPr>
            <w:tcW w:w="675" w:type="dxa"/>
            <w:tcBorders>
              <w:bottom w:val="single" w:color="D9D9D9" w:sz="8" w:space="0"/>
            </w:tcBorders>
          </w:tcPr>
          <w:p w:rsidR="00C31389" w:rsidRDefault="00561FBD" w14:paraId="7373C36D" w14:textId="77777777">
            <w:pPr>
              <w:pStyle w:val="TableParagraph"/>
              <w:spacing w:before="42"/>
              <w:ind w:right="122"/>
              <w:jc w:val="right"/>
              <w:rPr>
                <w:sz w:val="17"/>
              </w:rPr>
            </w:pPr>
            <w:r>
              <w:rPr>
                <w:spacing w:val="-5"/>
                <w:sz w:val="17"/>
              </w:rPr>
              <w:t>5.7</w:t>
            </w:r>
          </w:p>
        </w:tc>
        <w:tc>
          <w:tcPr>
            <w:tcW w:w="675" w:type="dxa"/>
            <w:tcBorders>
              <w:bottom w:val="single" w:color="D9D9D9" w:sz="8" w:space="0"/>
            </w:tcBorders>
          </w:tcPr>
          <w:p w:rsidR="00C31389" w:rsidRDefault="00561FBD" w14:paraId="3B1D2B87" w14:textId="77777777">
            <w:pPr>
              <w:pStyle w:val="TableParagraph"/>
              <w:spacing w:before="42"/>
              <w:ind w:right="123"/>
              <w:jc w:val="right"/>
              <w:rPr>
                <w:sz w:val="17"/>
              </w:rPr>
            </w:pPr>
            <w:r>
              <w:rPr>
                <w:spacing w:val="-5"/>
                <w:sz w:val="17"/>
              </w:rPr>
              <w:t>7.6</w:t>
            </w:r>
          </w:p>
        </w:tc>
        <w:tc>
          <w:tcPr>
            <w:tcW w:w="675" w:type="dxa"/>
            <w:tcBorders>
              <w:bottom w:val="single" w:color="D9D9D9" w:sz="8" w:space="0"/>
            </w:tcBorders>
          </w:tcPr>
          <w:p w:rsidR="00C31389" w:rsidRDefault="00561FBD" w14:paraId="691BA87E" w14:textId="77777777">
            <w:pPr>
              <w:pStyle w:val="TableParagraph"/>
              <w:spacing w:before="42"/>
              <w:ind w:right="122"/>
              <w:jc w:val="right"/>
              <w:rPr>
                <w:sz w:val="17"/>
              </w:rPr>
            </w:pPr>
            <w:r>
              <w:rPr>
                <w:spacing w:val="-5"/>
                <w:sz w:val="17"/>
              </w:rPr>
              <w:t>9.8</w:t>
            </w:r>
          </w:p>
        </w:tc>
        <w:tc>
          <w:tcPr>
            <w:tcW w:w="699" w:type="dxa"/>
            <w:tcBorders>
              <w:bottom w:val="single" w:color="D9D9D9" w:sz="8" w:space="0"/>
            </w:tcBorders>
          </w:tcPr>
          <w:p w:rsidR="00C31389" w:rsidRDefault="00561FBD" w14:paraId="651BCA6E" w14:textId="77777777">
            <w:pPr>
              <w:pStyle w:val="TableParagraph"/>
              <w:spacing w:before="42"/>
              <w:ind w:right="147"/>
              <w:jc w:val="right"/>
              <w:rPr>
                <w:sz w:val="17"/>
              </w:rPr>
            </w:pPr>
            <w:r>
              <w:rPr>
                <w:spacing w:val="-4"/>
                <w:sz w:val="17"/>
              </w:rPr>
              <w:t>12.0</w:t>
            </w:r>
          </w:p>
        </w:tc>
        <w:tc>
          <w:tcPr>
            <w:tcW w:w="675" w:type="dxa"/>
            <w:tcBorders>
              <w:bottom w:val="single" w:color="D9D9D9" w:sz="8" w:space="0"/>
            </w:tcBorders>
          </w:tcPr>
          <w:p w:rsidR="00C31389" w:rsidRDefault="00561FBD" w14:paraId="7631C3EF" w14:textId="77777777">
            <w:pPr>
              <w:pStyle w:val="TableParagraph"/>
              <w:spacing w:before="42"/>
              <w:ind w:left="249" w:right="109"/>
              <w:jc w:val="center"/>
              <w:rPr>
                <w:sz w:val="17"/>
              </w:rPr>
            </w:pPr>
            <w:r>
              <w:rPr>
                <w:spacing w:val="-5"/>
                <w:sz w:val="17"/>
              </w:rPr>
              <w:t>0.9</w:t>
            </w:r>
          </w:p>
        </w:tc>
        <w:tc>
          <w:tcPr>
            <w:tcW w:w="675" w:type="dxa"/>
            <w:tcBorders>
              <w:bottom w:val="single" w:color="D9D9D9" w:sz="8" w:space="0"/>
            </w:tcBorders>
          </w:tcPr>
          <w:p w:rsidR="00C31389" w:rsidRDefault="00561FBD" w14:paraId="6E36B031" w14:textId="77777777">
            <w:pPr>
              <w:pStyle w:val="TableParagraph"/>
              <w:spacing w:before="42"/>
              <w:ind w:left="248" w:right="109"/>
              <w:jc w:val="center"/>
              <w:rPr>
                <w:sz w:val="17"/>
              </w:rPr>
            </w:pPr>
            <w:r>
              <w:rPr>
                <w:spacing w:val="-5"/>
                <w:sz w:val="17"/>
              </w:rPr>
              <w:t>1.0</w:t>
            </w:r>
          </w:p>
        </w:tc>
        <w:tc>
          <w:tcPr>
            <w:tcW w:w="675" w:type="dxa"/>
            <w:tcBorders>
              <w:bottom w:val="single" w:color="D9D9D9" w:sz="8" w:space="0"/>
            </w:tcBorders>
          </w:tcPr>
          <w:p w:rsidR="00C31389" w:rsidRDefault="00561FBD" w14:paraId="4312381E" w14:textId="77777777">
            <w:pPr>
              <w:pStyle w:val="TableParagraph"/>
              <w:spacing w:before="42"/>
              <w:ind w:left="249" w:right="109"/>
              <w:jc w:val="center"/>
              <w:rPr>
                <w:sz w:val="17"/>
              </w:rPr>
            </w:pPr>
            <w:r>
              <w:rPr>
                <w:spacing w:val="-5"/>
                <w:sz w:val="17"/>
              </w:rPr>
              <w:t>1.2</w:t>
            </w:r>
          </w:p>
        </w:tc>
        <w:tc>
          <w:tcPr>
            <w:tcW w:w="675" w:type="dxa"/>
            <w:tcBorders>
              <w:bottom w:val="single" w:color="D9D9D9" w:sz="8" w:space="0"/>
            </w:tcBorders>
          </w:tcPr>
          <w:p w:rsidR="00C31389" w:rsidRDefault="00561FBD" w14:paraId="2CFFBB87" w14:textId="77777777">
            <w:pPr>
              <w:pStyle w:val="TableParagraph"/>
              <w:spacing w:before="42"/>
              <w:ind w:right="147"/>
              <w:jc w:val="right"/>
              <w:rPr>
                <w:sz w:val="17"/>
              </w:rPr>
            </w:pPr>
            <w:r>
              <w:rPr>
                <w:spacing w:val="-5"/>
                <w:sz w:val="17"/>
              </w:rPr>
              <w:t>1.4</w:t>
            </w:r>
          </w:p>
        </w:tc>
        <w:tc>
          <w:tcPr>
            <w:tcW w:w="675" w:type="dxa"/>
            <w:tcBorders>
              <w:bottom w:val="single" w:color="D9D9D9" w:sz="8" w:space="0"/>
            </w:tcBorders>
          </w:tcPr>
          <w:p w:rsidR="00C31389" w:rsidRDefault="00561FBD" w14:paraId="69CA01B5" w14:textId="77777777">
            <w:pPr>
              <w:pStyle w:val="TableParagraph"/>
              <w:spacing w:before="42"/>
              <w:ind w:right="146"/>
              <w:jc w:val="right"/>
              <w:rPr>
                <w:sz w:val="17"/>
              </w:rPr>
            </w:pPr>
            <w:r>
              <w:rPr>
                <w:spacing w:val="-5"/>
                <w:sz w:val="17"/>
              </w:rPr>
              <w:t>1.5</w:t>
            </w:r>
          </w:p>
        </w:tc>
        <w:tc>
          <w:tcPr>
            <w:tcW w:w="635" w:type="dxa"/>
            <w:tcBorders>
              <w:bottom w:val="single" w:color="D9D9D9" w:sz="8" w:space="0"/>
            </w:tcBorders>
          </w:tcPr>
          <w:p w:rsidR="00C31389" w:rsidRDefault="00561FBD" w14:paraId="05B06A87" w14:textId="77777777">
            <w:pPr>
              <w:pStyle w:val="TableParagraph"/>
              <w:spacing w:before="42"/>
              <w:ind w:right="107"/>
              <w:jc w:val="right"/>
              <w:rPr>
                <w:sz w:val="17"/>
              </w:rPr>
            </w:pPr>
            <w:r>
              <w:rPr>
                <w:spacing w:val="-5"/>
                <w:sz w:val="17"/>
              </w:rPr>
              <w:t>1.6</w:t>
            </w:r>
          </w:p>
        </w:tc>
      </w:tr>
      <w:tr w:rsidR="00C31389" w14:paraId="6C7ED9E5" w14:textId="77777777">
        <w:trPr>
          <w:trHeight w:val="275"/>
        </w:trPr>
        <w:tc>
          <w:tcPr>
            <w:tcW w:w="1274" w:type="dxa"/>
            <w:tcBorders>
              <w:top w:val="single" w:color="DCDDDE" w:sz="4" w:space="0"/>
              <w:bottom w:val="single" w:color="DCDDDE" w:sz="4" w:space="0"/>
            </w:tcBorders>
          </w:tcPr>
          <w:p w:rsidR="00C31389" w:rsidRDefault="00561FBD" w14:paraId="25C8C923" w14:textId="77777777">
            <w:pPr>
              <w:pStyle w:val="TableParagraph"/>
              <w:spacing w:before="41"/>
              <w:ind w:left="121"/>
              <w:rPr>
                <w:sz w:val="17"/>
              </w:rPr>
            </w:pPr>
            <w:r>
              <w:rPr>
                <w:spacing w:val="-4"/>
                <w:sz w:val="17"/>
              </w:rPr>
              <w:t>BROs</w:t>
            </w:r>
          </w:p>
        </w:tc>
        <w:tc>
          <w:tcPr>
            <w:tcW w:w="691" w:type="dxa"/>
            <w:tcBorders>
              <w:top w:val="single" w:color="D9D9D9" w:sz="8" w:space="0"/>
              <w:bottom w:val="single" w:color="DCDDDE" w:sz="4" w:space="0"/>
            </w:tcBorders>
          </w:tcPr>
          <w:p w:rsidR="00C31389" w:rsidRDefault="00561FBD" w14:paraId="22D90282" w14:textId="77777777">
            <w:pPr>
              <w:pStyle w:val="TableParagraph"/>
              <w:spacing w:before="41"/>
              <w:ind w:right="122"/>
              <w:jc w:val="right"/>
              <w:rPr>
                <w:sz w:val="17"/>
              </w:rPr>
            </w:pPr>
            <w:r>
              <w:rPr>
                <w:spacing w:val="-4"/>
                <w:sz w:val="17"/>
              </w:rPr>
              <w:t>11.9</w:t>
            </w:r>
          </w:p>
        </w:tc>
        <w:tc>
          <w:tcPr>
            <w:tcW w:w="675" w:type="dxa"/>
            <w:tcBorders>
              <w:top w:val="single" w:color="D9D9D9" w:sz="8" w:space="0"/>
              <w:bottom w:val="single" w:color="DCDDDE" w:sz="4" w:space="0"/>
            </w:tcBorders>
          </w:tcPr>
          <w:p w:rsidR="00C31389" w:rsidRDefault="00561FBD" w14:paraId="7A41F0F1" w14:textId="77777777">
            <w:pPr>
              <w:pStyle w:val="TableParagraph"/>
              <w:spacing w:before="41"/>
              <w:ind w:left="109" w:right="17"/>
              <w:jc w:val="center"/>
              <w:rPr>
                <w:sz w:val="17"/>
              </w:rPr>
            </w:pPr>
            <w:r>
              <w:rPr>
                <w:spacing w:val="-4"/>
                <w:sz w:val="17"/>
              </w:rPr>
              <w:t>12.3</w:t>
            </w:r>
          </w:p>
        </w:tc>
        <w:tc>
          <w:tcPr>
            <w:tcW w:w="675" w:type="dxa"/>
            <w:tcBorders>
              <w:top w:val="single" w:color="D9D9D9" w:sz="8" w:space="0"/>
              <w:bottom w:val="single" w:color="DCDDDE" w:sz="4" w:space="0"/>
            </w:tcBorders>
          </w:tcPr>
          <w:p w:rsidR="00C31389" w:rsidRDefault="00561FBD" w14:paraId="4EC544D6" w14:textId="77777777">
            <w:pPr>
              <w:pStyle w:val="TableParagraph"/>
              <w:spacing w:before="41"/>
              <w:ind w:right="122"/>
              <w:jc w:val="right"/>
              <w:rPr>
                <w:sz w:val="17"/>
              </w:rPr>
            </w:pPr>
            <w:r>
              <w:rPr>
                <w:spacing w:val="-4"/>
                <w:sz w:val="17"/>
              </w:rPr>
              <w:t>12.7</w:t>
            </w:r>
          </w:p>
        </w:tc>
        <w:tc>
          <w:tcPr>
            <w:tcW w:w="675" w:type="dxa"/>
            <w:tcBorders>
              <w:top w:val="single" w:color="D9D9D9" w:sz="8" w:space="0"/>
              <w:bottom w:val="single" w:color="DCDDDE" w:sz="4" w:space="0"/>
            </w:tcBorders>
          </w:tcPr>
          <w:p w:rsidR="00C31389" w:rsidRDefault="00561FBD" w14:paraId="00EEA62E" w14:textId="77777777">
            <w:pPr>
              <w:pStyle w:val="TableParagraph"/>
              <w:spacing w:before="41"/>
              <w:ind w:right="123"/>
              <w:jc w:val="right"/>
              <w:rPr>
                <w:sz w:val="17"/>
              </w:rPr>
            </w:pPr>
            <w:r>
              <w:rPr>
                <w:spacing w:val="-4"/>
                <w:sz w:val="17"/>
              </w:rPr>
              <w:t>13.2</w:t>
            </w:r>
          </w:p>
        </w:tc>
        <w:tc>
          <w:tcPr>
            <w:tcW w:w="675" w:type="dxa"/>
            <w:tcBorders>
              <w:top w:val="single" w:color="D9D9D9" w:sz="8" w:space="0"/>
              <w:bottom w:val="single" w:color="DCDDDE" w:sz="4" w:space="0"/>
            </w:tcBorders>
          </w:tcPr>
          <w:p w:rsidR="00C31389" w:rsidRDefault="00561FBD" w14:paraId="5E69DD6B" w14:textId="77777777">
            <w:pPr>
              <w:pStyle w:val="TableParagraph"/>
              <w:spacing w:before="41"/>
              <w:ind w:right="122"/>
              <w:jc w:val="right"/>
              <w:rPr>
                <w:sz w:val="17"/>
              </w:rPr>
            </w:pPr>
            <w:r>
              <w:rPr>
                <w:spacing w:val="-4"/>
                <w:sz w:val="17"/>
              </w:rPr>
              <w:t>13.6</w:t>
            </w:r>
          </w:p>
        </w:tc>
        <w:tc>
          <w:tcPr>
            <w:tcW w:w="699" w:type="dxa"/>
            <w:tcBorders>
              <w:top w:val="single" w:color="D9D9D9" w:sz="8" w:space="0"/>
              <w:bottom w:val="single" w:color="DCDDDE" w:sz="4" w:space="0"/>
            </w:tcBorders>
          </w:tcPr>
          <w:p w:rsidR="00C31389" w:rsidRDefault="00561FBD" w14:paraId="1E60403E" w14:textId="77777777">
            <w:pPr>
              <w:pStyle w:val="TableParagraph"/>
              <w:spacing w:before="41"/>
              <w:ind w:right="147"/>
              <w:jc w:val="right"/>
              <w:rPr>
                <w:sz w:val="17"/>
              </w:rPr>
            </w:pPr>
            <w:r>
              <w:rPr>
                <w:spacing w:val="-4"/>
                <w:sz w:val="17"/>
              </w:rPr>
              <w:t>14.1</w:t>
            </w:r>
          </w:p>
        </w:tc>
        <w:tc>
          <w:tcPr>
            <w:tcW w:w="675" w:type="dxa"/>
            <w:tcBorders>
              <w:top w:val="single" w:color="D9D9D9" w:sz="8" w:space="0"/>
              <w:bottom w:val="single" w:color="DCDDDE" w:sz="4" w:space="0"/>
            </w:tcBorders>
          </w:tcPr>
          <w:p w:rsidR="00C31389" w:rsidRDefault="00561FBD" w14:paraId="6D8D5ED1" w14:textId="77777777">
            <w:pPr>
              <w:pStyle w:val="TableParagraph"/>
              <w:spacing w:before="41"/>
              <w:ind w:left="109" w:right="64"/>
              <w:jc w:val="center"/>
              <w:rPr>
                <w:sz w:val="17"/>
              </w:rPr>
            </w:pPr>
            <w:r>
              <w:rPr>
                <w:spacing w:val="-4"/>
                <w:sz w:val="17"/>
              </w:rPr>
              <w:t>14.6</w:t>
            </w:r>
          </w:p>
        </w:tc>
        <w:tc>
          <w:tcPr>
            <w:tcW w:w="675" w:type="dxa"/>
            <w:tcBorders>
              <w:top w:val="single" w:color="D9D9D9" w:sz="8" w:space="0"/>
              <w:bottom w:val="single" w:color="DCDDDE" w:sz="4" w:space="0"/>
            </w:tcBorders>
          </w:tcPr>
          <w:p w:rsidR="00C31389" w:rsidRDefault="00561FBD" w14:paraId="637B5F06" w14:textId="77777777">
            <w:pPr>
              <w:pStyle w:val="TableParagraph"/>
              <w:spacing w:before="41"/>
              <w:ind w:left="109" w:right="65"/>
              <w:jc w:val="center"/>
              <w:rPr>
                <w:sz w:val="17"/>
              </w:rPr>
            </w:pPr>
            <w:r>
              <w:rPr>
                <w:spacing w:val="-4"/>
                <w:sz w:val="17"/>
              </w:rPr>
              <w:t>15.1</w:t>
            </w:r>
          </w:p>
        </w:tc>
        <w:tc>
          <w:tcPr>
            <w:tcW w:w="675" w:type="dxa"/>
            <w:tcBorders>
              <w:top w:val="single" w:color="D9D9D9" w:sz="8" w:space="0"/>
              <w:bottom w:val="single" w:color="DCDDDE" w:sz="4" w:space="0"/>
            </w:tcBorders>
          </w:tcPr>
          <w:p w:rsidR="00C31389" w:rsidRDefault="00561FBD" w14:paraId="0EF966FD" w14:textId="77777777">
            <w:pPr>
              <w:pStyle w:val="TableParagraph"/>
              <w:spacing w:before="41"/>
              <w:ind w:left="109" w:right="64"/>
              <w:jc w:val="center"/>
              <w:rPr>
                <w:sz w:val="17"/>
              </w:rPr>
            </w:pPr>
            <w:r>
              <w:rPr>
                <w:spacing w:val="-4"/>
                <w:sz w:val="17"/>
              </w:rPr>
              <w:t>15.6</w:t>
            </w:r>
          </w:p>
        </w:tc>
        <w:tc>
          <w:tcPr>
            <w:tcW w:w="675" w:type="dxa"/>
            <w:tcBorders>
              <w:top w:val="single" w:color="D9D9D9" w:sz="8" w:space="0"/>
              <w:bottom w:val="single" w:color="DCDDDE" w:sz="4" w:space="0"/>
            </w:tcBorders>
          </w:tcPr>
          <w:p w:rsidR="00C31389" w:rsidRDefault="00561FBD" w14:paraId="10F0AA6A" w14:textId="77777777">
            <w:pPr>
              <w:pStyle w:val="TableParagraph"/>
              <w:spacing w:before="41"/>
              <w:ind w:right="147"/>
              <w:jc w:val="right"/>
              <w:rPr>
                <w:sz w:val="17"/>
              </w:rPr>
            </w:pPr>
            <w:r>
              <w:rPr>
                <w:spacing w:val="-4"/>
                <w:sz w:val="17"/>
              </w:rPr>
              <w:t>16.2</w:t>
            </w:r>
          </w:p>
        </w:tc>
        <w:tc>
          <w:tcPr>
            <w:tcW w:w="675" w:type="dxa"/>
            <w:tcBorders>
              <w:top w:val="single" w:color="D9D9D9" w:sz="8" w:space="0"/>
              <w:bottom w:val="single" w:color="DCDDDE" w:sz="4" w:space="0"/>
            </w:tcBorders>
          </w:tcPr>
          <w:p w:rsidR="00C31389" w:rsidRDefault="00561FBD" w14:paraId="7BC66851" w14:textId="77777777">
            <w:pPr>
              <w:pStyle w:val="TableParagraph"/>
              <w:spacing w:before="41"/>
              <w:ind w:right="146"/>
              <w:jc w:val="right"/>
              <w:rPr>
                <w:sz w:val="17"/>
              </w:rPr>
            </w:pPr>
            <w:r>
              <w:rPr>
                <w:spacing w:val="-4"/>
                <w:sz w:val="17"/>
              </w:rPr>
              <w:t>16.5</w:t>
            </w:r>
          </w:p>
        </w:tc>
        <w:tc>
          <w:tcPr>
            <w:tcW w:w="635" w:type="dxa"/>
            <w:tcBorders>
              <w:top w:val="single" w:color="D9D9D9" w:sz="8" w:space="0"/>
              <w:bottom w:val="single" w:color="DCDDDE" w:sz="4" w:space="0"/>
            </w:tcBorders>
          </w:tcPr>
          <w:p w:rsidR="00C31389" w:rsidRDefault="00561FBD" w14:paraId="059CD408" w14:textId="77777777">
            <w:pPr>
              <w:pStyle w:val="TableParagraph"/>
              <w:spacing w:before="41"/>
              <w:ind w:right="107"/>
              <w:jc w:val="right"/>
              <w:rPr>
                <w:sz w:val="17"/>
              </w:rPr>
            </w:pPr>
            <w:r>
              <w:rPr>
                <w:spacing w:val="-4"/>
                <w:sz w:val="17"/>
              </w:rPr>
              <w:t>17.1</w:t>
            </w:r>
          </w:p>
        </w:tc>
      </w:tr>
      <w:tr w:rsidR="00C31389" w14:paraId="3D1FEE06"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597A1FB9" w14:textId="77777777">
            <w:pPr>
              <w:pStyle w:val="TableParagraph"/>
              <w:spacing w:before="42"/>
              <w:ind w:left="121"/>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1172587E" w14:textId="77777777">
        <w:trPr>
          <w:trHeight w:val="275"/>
        </w:trPr>
        <w:tc>
          <w:tcPr>
            <w:tcW w:w="1274" w:type="dxa"/>
            <w:tcBorders>
              <w:top w:val="single" w:color="DCDDDE" w:sz="4" w:space="0"/>
              <w:bottom w:val="single" w:color="DCDDDE" w:sz="4" w:space="0"/>
            </w:tcBorders>
          </w:tcPr>
          <w:p w:rsidR="00C31389" w:rsidRDefault="00561FBD" w14:paraId="0CFB32A6" w14:textId="77777777">
            <w:pPr>
              <w:pStyle w:val="TableParagraph"/>
              <w:spacing w:before="42"/>
              <w:ind w:left="121"/>
              <w:rPr>
                <w:sz w:val="17"/>
              </w:rPr>
            </w:pPr>
            <w:r>
              <w:rPr>
                <w:spacing w:val="-5"/>
                <w:sz w:val="17"/>
              </w:rPr>
              <w:t>EE</w:t>
            </w:r>
          </w:p>
        </w:tc>
        <w:tc>
          <w:tcPr>
            <w:tcW w:w="691" w:type="dxa"/>
            <w:tcBorders>
              <w:top w:val="single" w:color="DCDDDE" w:sz="4" w:space="0"/>
            </w:tcBorders>
          </w:tcPr>
          <w:p w:rsidR="00C31389" w:rsidRDefault="00561FBD" w14:paraId="1BD2D54F" w14:textId="77777777">
            <w:pPr>
              <w:pStyle w:val="TableParagraph"/>
              <w:spacing w:before="42"/>
              <w:ind w:right="122"/>
              <w:jc w:val="right"/>
              <w:rPr>
                <w:sz w:val="17"/>
              </w:rPr>
            </w:pPr>
            <w:r>
              <w:rPr>
                <w:spacing w:val="-5"/>
                <w:sz w:val="17"/>
              </w:rPr>
              <w:t>3.9</w:t>
            </w:r>
          </w:p>
        </w:tc>
        <w:tc>
          <w:tcPr>
            <w:tcW w:w="675" w:type="dxa"/>
            <w:tcBorders>
              <w:top w:val="single" w:color="DCDDDE" w:sz="4" w:space="0"/>
            </w:tcBorders>
          </w:tcPr>
          <w:p w:rsidR="00C31389" w:rsidRDefault="00561FBD" w14:paraId="024E0AB9" w14:textId="77777777">
            <w:pPr>
              <w:pStyle w:val="TableParagraph"/>
              <w:spacing w:before="42"/>
              <w:ind w:left="276" w:right="89"/>
              <w:jc w:val="center"/>
              <w:rPr>
                <w:sz w:val="17"/>
              </w:rPr>
            </w:pPr>
            <w:r>
              <w:rPr>
                <w:spacing w:val="-5"/>
                <w:sz w:val="17"/>
              </w:rPr>
              <w:t>3.6</w:t>
            </w:r>
          </w:p>
        </w:tc>
        <w:tc>
          <w:tcPr>
            <w:tcW w:w="675" w:type="dxa"/>
            <w:tcBorders>
              <w:top w:val="single" w:color="DCDDDE" w:sz="4" w:space="0"/>
            </w:tcBorders>
          </w:tcPr>
          <w:p w:rsidR="00C31389" w:rsidRDefault="00561FBD" w14:paraId="06FE1894" w14:textId="77777777">
            <w:pPr>
              <w:pStyle w:val="TableParagraph"/>
              <w:spacing w:before="42"/>
              <w:ind w:right="122"/>
              <w:jc w:val="right"/>
              <w:rPr>
                <w:sz w:val="17"/>
              </w:rPr>
            </w:pPr>
            <w:r>
              <w:rPr>
                <w:spacing w:val="-5"/>
                <w:sz w:val="17"/>
              </w:rPr>
              <w:t>3.3</w:t>
            </w:r>
          </w:p>
        </w:tc>
        <w:tc>
          <w:tcPr>
            <w:tcW w:w="675" w:type="dxa"/>
            <w:tcBorders>
              <w:top w:val="single" w:color="DCDDDE" w:sz="4" w:space="0"/>
            </w:tcBorders>
          </w:tcPr>
          <w:p w:rsidR="00C31389" w:rsidRDefault="00561FBD" w14:paraId="5D01902D" w14:textId="77777777">
            <w:pPr>
              <w:pStyle w:val="TableParagraph"/>
              <w:spacing w:before="42"/>
              <w:ind w:right="123"/>
              <w:jc w:val="right"/>
              <w:rPr>
                <w:sz w:val="17"/>
              </w:rPr>
            </w:pPr>
            <w:r>
              <w:rPr>
                <w:spacing w:val="-5"/>
                <w:sz w:val="17"/>
              </w:rPr>
              <w:t>3.0</w:t>
            </w:r>
          </w:p>
        </w:tc>
        <w:tc>
          <w:tcPr>
            <w:tcW w:w="675" w:type="dxa"/>
            <w:tcBorders>
              <w:top w:val="single" w:color="DCDDDE" w:sz="4" w:space="0"/>
            </w:tcBorders>
          </w:tcPr>
          <w:p w:rsidR="00C31389" w:rsidRDefault="00561FBD" w14:paraId="2004F7D7" w14:textId="77777777">
            <w:pPr>
              <w:pStyle w:val="TableParagraph"/>
              <w:spacing w:before="42"/>
              <w:ind w:right="122"/>
              <w:jc w:val="right"/>
              <w:rPr>
                <w:sz w:val="17"/>
              </w:rPr>
            </w:pPr>
            <w:r>
              <w:rPr>
                <w:spacing w:val="-5"/>
                <w:sz w:val="17"/>
              </w:rPr>
              <w:t>2.8</w:t>
            </w:r>
          </w:p>
        </w:tc>
        <w:tc>
          <w:tcPr>
            <w:tcW w:w="699" w:type="dxa"/>
            <w:tcBorders>
              <w:top w:val="single" w:color="DCDDDE" w:sz="4" w:space="0"/>
            </w:tcBorders>
          </w:tcPr>
          <w:p w:rsidR="00C31389" w:rsidRDefault="00561FBD" w14:paraId="79A4B411" w14:textId="77777777">
            <w:pPr>
              <w:pStyle w:val="TableParagraph"/>
              <w:spacing w:before="42"/>
              <w:ind w:right="147"/>
              <w:jc w:val="right"/>
              <w:rPr>
                <w:sz w:val="17"/>
              </w:rPr>
            </w:pPr>
            <w:r>
              <w:rPr>
                <w:spacing w:val="-5"/>
                <w:sz w:val="17"/>
              </w:rPr>
              <w:t>2.5</w:t>
            </w:r>
          </w:p>
        </w:tc>
        <w:tc>
          <w:tcPr>
            <w:tcW w:w="675" w:type="dxa"/>
            <w:tcBorders>
              <w:top w:val="single" w:color="DCDDDE" w:sz="4" w:space="0"/>
            </w:tcBorders>
          </w:tcPr>
          <w:p w:rsidR="00C31389" w:rsidRDefault="00561FBD" w14:paraId="3E9CDC86" w14:textId="77777777">
            <w:pPr>
              <w:pStyle w:val="TableParagraph"/>
              <w:spacing w:before="42"/>
              <w:ind w:left="249" w:right="109"/>
              <w:jc w:val="center"/>
              <w:rPr>
                <w:sz w:val="17"/>
              </w:rPr>
            </w:pPr>
            <w:r>
              <w:rPr>
                <w:spacing w:val="-5"/>
                <w:sz w:val="17"/>
              </w:rPr>
              <w:t>2.3</w:t>
            </w:r>
          </w:p>
        </w:tc>
        <w:tc>
          <w:tcPr>
            <w:tcW w:w="675" w:type="dxa"/>
            <w:tcBorders>
              <w:top w:val="single" w:color="DCDDDE" w:sz="4" w:space="0"/>
            </w:tcBorders>
          </w:tcPr>
          <w:p w:rsidR="00C31389" w:rsidRDefault="00561FBD" w14:paraId="22C4CD55" w14:textId="77777777">
            <w:pPr>
              <w:pStyle w:val="TableParagraph"/>
              <w:spacing w:before="42"/>
              <w:ind w:left="248" w:right="109"/>
              <w:jc w:val="center"/>
              <w:rPr>
                <w:sz w:val="17"/>
              </w:rPr>
            </w:pPr>
            <w:r>
              <w:rPr>
                <w:spacing w:val="-5"/>
                <w:sz w:val="17"/>
              </w:rPr>
              <w:t>2.2</w:t>
            </w:r>
          </w:p>
        </w:tc>
        <w:tc>
          <w:tcPr>
            <w:tcW w:w="675" w:type="dxa"/>
            <w:tcBorders>
              <w:top w:val="single" w:color="DCDDDE" w:sz="4" w:space="0"/>
            </w:tcBorders>
          </w:tcPr>
          <w:p w:rsidR="00C31389" w:rsidRDefault="00561FBD" w14:paraId="730608BF" w14:textId="77777777">
            <w:pPr>
              <w:pStyle w:val="TableParagraph"/>
              <w:spacing w:before="42"/>
              <w:ind w:left="249" w:right="109"/>
              <w:jc w:val="center"/>
              <w:rPr>
                <w:sz w:val="17"/>
              </w:rPr>
            </w:pPr>
            <w:r>
              <w:rPr>
                <w:spacing w:val="-5"/>
                <w:sz w:val="17"/>
              </w:rPr>
              <w:t>2.1</w:t>
            </w:r>
          </w:p>
        </w:tc>
        <w:tc>
          <w:tcPr>
            <w:tcW w:w="675" w:type="dxa"/>
            <w:tcBorders>
              <w:top w:val="single" w:color="DCDDDE" w:sz="4" w:space="0"/>
            </w:tcBorders>
          </w:tcPr>
          <w:p w:rsidR="00C31389" w:rsidRDefault="00561FBD" w14:paraId="498A838B" w14:textId="77777777">
            <w:pPr>
              <w:pStyle w:val="TableParagraph"/>
              <w:spacing w:before="42"/>
              <w:ind w:right="147"/>
              <w:jc w:val="right"/>
              <w:rPr>
                <w:sz w:val="17"/>
              </w:rPr>
            </w:pPr>
            <w:r>
              <w:rPr>
                <w:spacing w:val="-5"/>
                <w:sz w:val="17"/>
              </w:rPr>
              <w:t>2.2</w:t>
            </w:r>
          </w:p>
        </w:tc>
        <w:tc>
          <w:tcPr>
            <w:tcW w:w="675" w:type="dxa"/>
            <w:tcBorders>
              <w:top w:val="single" w:color="DCDDDE" w:sz="4" w:space="0"/>
            </w:tcBorders>
          </w:tcPr>
          <w:p w:rsidR="00C31389" w:rsidRDefault="00561FBD" w14:paraId="61E54496" w14:textId="77777777">
            <w:pPr>
              <w:pStyle w:val="TableParagraph"/>
              <w:spacing w:before="42"/>
              <w:ind w:right="146"/>
              <w:jc w:val="right"/>
              <w:rPr>
                <w:sz w:val="17"/>
              </w:rPr>
            </w:pPr>
            <w:r>
              <w:rPr>
                <w:spacing w:val="-5"/>
                <w:sz w:val="17"/>
              </w:rPr>
              <w:t>2.2</w:t>
            </w:r>
          </w:p>
        </w:tc>
        <w:tc>
          <w:tcPr>
            <w:tcW w:w="635" w:type="dxa"/>
            <w:tcBorders>
              <w:top w:val="single" w:color="DCDDDE" w:sz="4" w:space="0"/>
            </w:tcBorders>
          </w:tcPr>
          <w:p w:rsidR="00C31389" w:rsidRDefault="00561FBD" w14:paraId="33850735" w14:textId="77777777">
            <w:pPr>
              <w:pStyle w:val="TableParagraph"/>
              <w:spacing w:before="42"/>
              <w:ind w:right="107"/>
              <w:jc w:val="right"/>
              <w:rPr>
                <w:sz w:val="17"/>
              </w:rPr>
            </w:pPr>
            <w:r>
              <w:rPr>
                <w:spacing w:val="-5"/>
                <w:sz w:val="17"/>
              </w:rPr>
              <w:t>2.2</w:t>
            </w:r>
          </w:p>
        </w:tc>
      </w:tr>
      <w:tr w:rsidR="00C31389" w14:paraId="79B5B6A1" w14:textId="77777777">
        <w:trPr>
          <w:trHeight w:val="275"/>
        </w:trPr>
        <w:tc>
          <w:tcPr>
            <w:tcW w:w="1274" w:type="dxa"/>
            <w:tcBorders>
              <w:top w:val="single" w:color="DCDDDE" w:sz="4" w:space="0"/>
              <w:bottom w:val="single" w:color="DCDDDE" w:sz="4" w:space="0"/>
            </w:tcBorders>
          </w:tcPr>
          <w:p w:rsidR="00C31389" w:rsidRDefault="00561FBD" w14:paraId="6AB9A440" w14:textId="77777777">
            <w:pPr>
              <w:pStyle w:val="TableParagraph"/>
              <w:spacing w:before="42"/>
              <w:ind w:left="121"/>
              <w:rPr>
                <w:sz w:val="17"/>
              </w:rPr>
            </w:pPr>
            <w:r>
              <w:rPr>
                <w:spacing w:val="-5"/>
                <w:sz w:val="17"/>
              </w:rPr>
              <w:t>FS</w:t>
            </w:r>
          </w:p>
        </w:tc>
        <w:tc>
          <w:tcPr>
            <w:tcW w:w="691" w:type="dxa"/>
            <w:tcBorders>
              <w:bottom w:val="single" w:color="D9D9D9" w:sz="8" w:space="0"/>
            </w:tcBorders>
          </w:tcPr>
          <w:p w:rsidR="00C31389" w:rsidRDefault="00561FBD" w14:paraId="6EDF1A37" w14:textId="77777777">
            <w:pPr>
              <w:pStyle w:val="TableParagraph"/>
              <w:spacing w:before="42"/>
              <w:ind w:right="122"/>
              <w:jc w:val="right"/>
              <w:rPr>
                <w:sz w:val="17"/>
              </w:rPr>
            </w:pPr>
            <w:r>
              <w:rPr>
                <w:spacing w:val="-2"/>
                <w:sz w:val="17"/>
              </w:rPr>
              <w:t>517.5</w:t>
            </w:r>
          </w:p>
        </w:tc>
        <w:tc>
          <w:tcPr>
            <w:tcW w:w="675" w:type="dxa"/>
            <w:tcBorders>
              <w:bottom w:val="single" w:color="D9D9D9" w:sz="8" w:space="0"/>
            </w:tcBorders>
          </w:tcPr>
          <w:p w:rsidR="00C31389" w:rsidRDefault="00561FBD" w14:paraId="7FFDB08E" w14:textId="77777777">
            <w:pPr>
              <w:pStyle w:val="TableParagraph"/>
              <w:spacing w:before="42"/>
              <w:ind w:left="109" w:right="109"/>
              <w:jc w:val="center"/>
              <w:rPr>
                <w:sz w:val="17"/>
              </w:rPr>
            </w:pPr>
            <w:r>
              <w:rPr>
                <w:spacing w:val="-2"/>
                <w:sz w:val="17"/>
              </w:rPr>
              <w:t>521.9</w:t>
            </w:r>
          </w:p>
        </w:tc>
        <w:tc>
          <w:tcPr>
            <w:tcW w:w="675" w:type="dxa"/>
            <w:tcBorders>
              <w:bottom w:val="single" w:color="D9D9D9" w:sz="8" w:space="0"/>
            </w:tcBorders>
          </w:tcPr>
          <w:p w:rsidR="00C31389" w:rsidRDefault="00561FBD" w14:paraId="426B2C1A" w14:textId="77777777">
            <w:pPr>
              <w:pStyle w:val="TableParagraph"/>
              <w:spacing w:before="42"/>
              <w:ind w:right="122"/>
              <w:jc w:val="right"/>
              <w:rPr>
                <w:sz w:val="17"/>
              </w:rPr>
            </w:pPr>
            <w:r>
              <w:rPr>
                <w:spacing w:val="-2"/>
                <w:sz w:val="17"/>
              </w:rPr>
              <w:t>518.2</w:t>
            </w:r>
          </w:p>
        </w:tc>
        <w:tc>
          <w:tcPr>
            <w:tcW w:w="675" w:type="dxa"/>
            <w:tcBorders>
              <w:bottom w:val="single" w:color="D9D9D9" w:sz="8" w:space="0"/>
            </w:tcBorders>
          </w:tcPr>
          <w:p w:rsidR="00C31389" w:rsidRDefault="00561FBD" w14:paraId="2487A64E" w14:textId="77777777">
            <w:pPr>
              <w:pStyle w:val="TableParagraph"/>
              <w:spacing w:before="42"/>
              <w:ind w:right="123"/>
              <w:jc w:val="right"/>
              <w:rPr>
                <w:sz w:val="17"/>
              </w:rPr>
            </w:pPr>
            <w:r>
              <w:rPr>
                <w:spacing w:val="-2"/>
                <w:sz w:val="17"/>
              </w:rPr>
              <w:t>508.7</w:t>
            </w:r>
          </w:p>
        </w:tc>
        <w:tc>
          <w:tcPr>
            <w:tcW w:w="675" w:type="dxa"/>
            <w:tcBorders>
              <w:bottom w:val="single" w:color="D9D9D9" w:sz="8" w:space="0"/>
            </w:tcBorders>
          </w:tcPr>
          <w:p w:rsidR="00C31389" w:rsidRDefault="00561FBD" w14:paraId="0303D568" w14:textId="77777777">
            <w:pPr>
              <w:pStyle w:val="TableParagraph"/>
              <w:spacing w:before="42"/>
              <w:ind w:right="122"/>
              <w:jc w:val="right"/>
              <w:rPr>
                <w:sz w:val="17"/>
              </w:rPr>
            </w:pPr>
            <w:r>
              <w:rPr>
                <w:spacing w:val="-2"/>
                <w:sz w:val="17"/>
              </w:rPr>
              <w:t>497.7</w:t>
            </w:r>
          </w:p>
        </w:tc>
        <w:tc>
          <w:tcPr>
            <w:tcW w:w="699" w:type="dxa"/>
            <w:tcBorders>
              <w:bottom w:val="single" w:color="D9D9D9" w:sz="8" w:space="0"/>
            </w:tcBorders>
          </w:tcPr>
          <w:p w:rsidR="00C31389" w:rsidRDefault="00561FBD" w14:paraId="451EACCE" w14:textId="77777777">
            <w:pPr>
              <w:pStyle w:val="TableParagraph"/>
              <w:spacing w:before="42"/>
              <w:ind w:right="147"/>
              <w:jc w:val="right"/>
              <w:rPr>
                <w:sz w:val="17"/>
              </w:rPr>
            </w:pPr>
            <w:r>
              <w:rPr>
                <w:spacing w:val="-2"/>
                <w:sz w:val="17"/>
              </w:rPr>
              <w:t>487.3</w:t>
            </w:r>
          </w:p>
        </w:tc>
        <w:tc>
          <w:tcPr>
            <w:tcW w:w="675" w:type="dxa"/>
            <w:tcBorders>
              <w:bottom w:val="single" w:color="D9D9D9" w:sz="8" w:space="0"/>
            </w:tcBorders>
          </w:tcPr>
          <w:p w:rsidR="00C31389" w:rsidRDefault="00561FBD" w14:paraId="44D83341" w14:textId="77777777">
            <w:pPr>
              <w:pStyle w:val="TableParagraph"/>
              <w:spacing w:before="42"/>
              <w:ind w:left="249" w:right="109"/>
              <w:jc w:val="center"/>
              <w:rPr>
                <w:sz w:val="17"/>
              </w:rPr>
            </w:pPr>
            <w:r>
              <w:rPr>
                <w:spacing w:val="-5"/>
                <w:sz w:val="17"/>
              </w:rPr>
              <w:t>1.8</w:t>
            </w:r>
          </w:p>
        </w:tc>
        <w:tc>
          <w:tcPr>
            <w:tcW w:w="675" w:type="dxa"/>
            <w:tcBorders>
              <w:bottom w:val="single" w:color="D9D9D9" w:sz="8" w:space="0"/>
            </w:tcBorders>
          </w:tcPr>
          <w:p w:rsidR="00C31389" w:rsidRDefault="00561FBD" w14:paraId="35331BFB" w14:textId="77777777">
            <w:pPr>
              <w:pStyle w:val="TableParagraph"/>
              <w:spacing w:before="42"/>
              <w:ind w:left="248" w:right="109"/>
              <w:jc w:val="center"/>
              <w:rPr>
                <w:sz w:val="17"/>
              </w:rPr>
            </w:pPr>
            <w:r>
              <w:rPr>
                <w:spacing w:val="-5"/>
                <w:sz w:val="17"/>
              </w:rPr>
              <w:t>2.2</w:t>
            </w:r>
          </w:p>
        </w:tc>
        <w:tc>
          <w:tcPr>
            <w:tcW w:w="675" w:type="dxa"/>
            <w:tcBorders>
              <w:bottom w:val="single" w:color="D9D9D9" w:sz="8" w:space="0"/>
            </w:tcBorders>
          </w:tcPr>
          <w:p w:rsidR="00C31389" w:rsidRDefault="00561FBD" w14:paraId="04C53E16" w14:textId="77777777">
            <w:pPr>
              <w:pStyle w:val="TableParagraph"/>
              <w:spacing w:before="42"/>
              <w:ind w:left="249" w:right="109"/>
              <w:jc w:val="center"/>
              <w:rPr>
                <w:sz w:val="17"/>
              </w:rPr>
            </w:pPr>
            <w:r>
              <w:rPr>
                <w:spacing w:val="-5"/>
                <w:sz w:val="17"/>
              </w:rPr>
              <w:t>2.7</w:t>
            </w:r>
          </w:p>
        </w:tc>
        <w:tc>
          <w:tcPr>
            <w:tcW w:w="675" w:type="dxa"/>
            <w:tcBorders>
              <w:bottom w:val="single" w:color="D9D9D9" w:sz="8" w:space="0"/>
            </w:tcBorders>
          </w:tcPr>
          <w:p w:rsidR="00C31389" w:rsidRDefault="00561FBD" w14:paraId="1DEB7390" w14:textId="77777777">
            <w:pPr>
              <w:pStyle w:val="TableParagraph"/>
              <w:spacing w:before="42"/>
              <w:ind w:right="147"/>
              <w:jc w:val="right"/>
              <w:rPr>
                <w:sz w:val="17"/>
              </w:rPr>
            </w:pPr>
            <w:r>
              <w:rPr>
                <w:spacing w:val="-5"/>
                <w:sz w:val="17"/>
              </w:rPr>
              <w:t>1.4</w:t>
            </w:r>
          </w:p>
        </w:tc>
        <w:tc>
          <w:tcPr>
            <w:tcW w:w="675" w:type="dxa"/>
            <w:tcBorders>
              <w:bottom w:val="single" w:color="D9D9D9" w:sz="8" w:space="0"/>
            </w:tcBorders>
          </w:tcPr>
          <w:p w:rsidR="00C31389" w:rsidRDefault="00561FBD" w14:paraId="6CBD1D2C" w14:textId="77777777">
            <w:pPr>
              <w:pStyle w:val="TableParagraph"/>
              <w:spacing w:before="42"/>
              <w:ind w:right="146"/>
              <w:jc w:val="right"/>
              <w:rPr>
                <w:sz w:val="17"/>
              </w:rPr>
            </w:pPr>
            <w:r>
              <w:rPr>
                <w:spacing w:val="-5"/>
                <w:sz w:val="17"/>
              </w:rPr>
              <w:t>1.5</w:t>
            </w:r>
          </w:p>
        </w:tc>
        <w:tc>
          <w:tcPr>
            <w:tcW w:w="635" w:type="dxa"/>
            <w:tcBorders>
              <w:bottom w:val="single" w:color="D9D9D9" w:sz="8" w:space="0"/>
            </w:tcBorders>
          </w:tcPr>
          <w:p w:rsidR="00C31389" w:rsidRDefault="00561FBD" w14:paraId="2E15143A" w14:textId="77777777">
            <w:pPr>
              <w:pStyle w:val="TableParagraph"/>
              <w:spacing w:before="42"/>
              <w:ind w:right="107"/>
              <w:jc w:val="right"/>
              <w:rPr>
                <w:sz w:val="17"/>
              </w:rPr>
            </w:pPr>
            <w:r>
              <w:rPr>
                <w:spacing w:val="-5"/>
                <w:sz w:val="17"/>
              </w:rPr>
              <w:t>3.7</w:t>
            </w:r>
          </w:p>
        </w:tc>
      </w:tr>
      <w:tr w:rsidR="00C31389" w14:paraId="7354C6C3" w14:textId="77777777">
        <w:trPr>
          <w:trHeight w:val="275"/>
        </w:trPr>
        <w:tc>
          <w:tcPr>
            <w:tcW w:w="1274" w:type="dxa"/>
            <w:tcBorders>
              <w:top w:val="single" w:color="DCDDDE" w:sz="4" w:space="0"/>
              <w:bottom w:val="single" w:color="DCDDDE" w:sz="4" w:space="0"/>
            </w:tcBorders>
          </w:tcPr>
          <w:p w:rsidR="00C31389" w:rsidRDefault="00561FBD" w14:paraId="4B2C3C38" w14:textId="77777777">
            <w:pPr>
              <w:pStyle w:val="TableParagraph"/>
              <w:spacing w:before="41"/>
              <w:ind w:left="121"/>
              <w:rPr>
                <w:sz w:val="17"/>
              </w:rPr>
            </w:pPr>
            <w:r>
              <w:rPr>
                <w:spacing w:val="-4"/>
                <w:sz w:val="17"/>
              </w:rPr>
              <w:t>BROs</w:t>
            </w:r>
          </w:p>
        </w:tc>
        <w:tc>
          <w:tcPr>
            <w:tcW w:w="691" w:type="dxa"/>
            <w:tcBorders>
              <w:top w:val="single" w:color="D9D9D9" w:sz="8" w:space="0"/>
              <w:bottom w:val="single" w:color="DCDDDE" w:sz="4" w:space="0"/>
            </w:tcBorders>
          </w:tcPr>
          <w:p w:rsidR="00C31389" w:rsidRDefault="00561FBD" w14:paraId="7B0F0263" w14:textId="77777777">
            <w:pPr>
              <w:pStyle w:val="TableParagraph"/>
              <w:spacing w:before="41"/>
              <w:ind w:right="122"/>
              <w:jc w:val="right"/>
              <w:rPr>
                <w:sz w:val="17"/>
              </w:rPr>
            </w:pPr>
            <w:r>
              <w:rPr>
                <w:spacing w:val="-4"/>
                <w:sz w:val="17"/>
              </w:rPr>
              <w:t>11.9</w:t>
            </w:r>
          </w:p>
        </w:tc>
        <w:tc>
          <w:tcPr>
            <w:tcW w:w="675" w:type="dxa"/>
            <w:tcBorders>
              <w:top w:val="single" w:color="D9D9D9" w:sz="8" w:space="0"/>
              <w:bottom w:val="single" w:color="DCDDDE" w:sz="4" w:space="0"/>
            </w:tcBorders>
          </w:tcPr>
          <w:p w:rsidR="00C31389" w:rsidRDefault="00561FBD" w14:paraId="09DB8C33" w14:textId="77777777">
            <w:pPr>
              <w:pStyle w:val="TableParagraph"/>
              <w:spacing w:before="41"/>
              <w:ind w:left="109" w:right="17"/>
              <w:jc w:val="center"/>
              <w:rPr>
                <w:sz w:val="17"/>
              </w:rPr>
            </w:pPr>
            <w:r>
              <w:rPr>
                <w:spacing w:val="-4"/>
                <w:sz w:val="17"/>
              </w:rPr>
              <w:t>12.3</w:t>
            </w:r>
          </w:p>
        </w:tc>
        <w:tc>
          <w:tcPr>
            <w:tcW w:w="675" w:type="dxa"/>
            <w:tcBorders>
              <w:top w:val="single" w:color="D9D9D9" w:sz="8" w:space="0"/>
              <w:bottom w:val="single" w:color="DCDDDE" w:sz="4" w:space="0"/>
            </w:tcBorders>
          </w:tcPr>
          <w:p w:rsidR="00C31389" w:rsidRDefault="00561FBD" w14:paraId="469E3A4C" w14:textId="77777777">
            <w:pPr>
              <w:pStyle w:val="TableParagraph"/>
              <w:spacing w:before="41"/>
              <w:ind w:right="122"/>
              <w:jc w:val="right"/>
              <w:rPr>
                <w:sz w:val="17"/>
              </w:rPr>
            </w:pPr>
            <w:r>
              <w:rPr>
                <w:spacing w:val="-4"/>
                <w:sz w:val="17"/>
              </w:rPr>
              <w:t>12.7</w:t>
            </w:r>
          </w:p>
        </w:tc>
        <w:tc>
          <w:tcPr>
            <w:tcW w:w="675" w:type="dxa"/>
            <w:tcBorders>
              <w:top w:val="single" w:color="D9D9D9" w:sz="8" w:space="0"/>
              <w:bottom w:val="single" w:color="DCDDDE" w:sz="4" w:space="0"/>
            </w:tcBorders>
          </w:tcPr>
          <w:p w:rsidR="00C31389" w:rsidRDefault="00561FBD" w14:paraId="3F2F512C" w14:textId="77777777">
            <w:pPr>
              <w:pStyle w:val="TableParagraph"/>
              <w:spacing w:before="41"/>
              <w:ind w:right="123"/>
              <w:jc w:val="right"/>
              <w:rPr>
                <w:sz w:val="17"/>
              </w:rPr>
            </w:pPr>
            <w:r>
              <w:rPr>
                <w:spacing w:val="-4"/>
                <w:sz w:val="17"/>
              </w:rPr>
              <w:t>13.2</w:t>
            </w:r>
          </w:p>
        </w:tc>
        <w:tc>
          <w:tcPr>
            <w:tcW w:w="675" w:type="dxa"/>
            <w:tcBorders>
              <w:top w:val="single" w:color="D9D9D9" w:sz="8" w:space="0"/>
              <w:bottom w:val="single" w:color="DCDDDE" w:sz="4" w:space="0"/>
            </w:tcBorders>
          </w:tcPr>
          <w:p w:rsidR="00C31389" w:rsidRDefault="00561FBD" w14:paraId="1549DD7A" w14:textId="77777777">
            <w:pPr>
              <w:pStyle w:val="TableParagraph"/>
              <w:spacing w:before="41"/>
              <w:ind w:right="122"/>
              <w:jc w:val="right"/>
              <w:rPr>
                <w:sz w:val="17"/>
              </w:rPr>
            </w:pPr>
            <w:r>
              <w:rPr>
                <w:spacing w:val="-4"/>
                <w:sz w:val="17"/>
              </w:rPr>
              <w:t>13.6</w:t>
            </w:r>
          </w:p>
        </w:tc>
        <w:tc>
          <w:tcPr>
            <w:tcW w:w="699" w:type="dxa"/>
            <w:tcBorders>
              <w:top w:val="single" w:color="D9D9D9" w:sz="8" w:space="0"/>
              <w:bottom w:val="single" w:color="DCDDDE" w:sz="4" w:space="0"/>
            </w:tcBorders>
          </w:tcPr>
          <w:p w:rsidR="00C31389" w:rsidRDefault="00561FBD" w14:paraId="4DC258A7" w14:textId="77777777">
            <w:pPr>
              <w:pStyle w:val="TableParagraph"/>
              <w:spacing w:before="41"/>
              <w:ind w:right="147"/>
              <w:jc w:val="right"/>
              <w:rPr>
                <w:sz w:val="17"/>
              </w:rPr>
            </w:pPr>
            <w:r>
              <w:rPr>
                <w:spacing w:val="-4"/>
                <w:sz w:val="17"/>
              </w:rPr>
              <w:t>14.1</w:t>
            </w:r>
          </w:p>
        </w:tc>
        <w:tc>
          <w:tcPr>
            <w:tcW w:w="675" w:type="dxa"/>
            <w:tcBorders>
              <w:top w:val="single" w:color="D9D9D9" w:sz="8" w:space="0"/>
              <w:bottom w:val="single" w:color="DCDDDE" w:sz="4" w:space="0"/>
            </w:tcBorders>
          </w:tcPr>
          <w:p w:rsidR="00C31389" w:rsidRDefault="00561FBD" w14:paraId="33CFD583" w14:textId="77777777">
            <w:pPr>
              <w:pStyle w:val="TableParagraph"/>
              <w:spacing w:before="41"/>
              <w:ind w:left="109" w:right="64"/>
              <w:jc w:val="center"/>
              <w:rPr>
                <w:sz w:val="17"/>
              </w:rPr>
            </w:pPr>
            <w:r>
              <w:rPr>
                <w:spacing w:val="-4"/>
                <w:sz w:val="17"/>
              </w:rPr>
              <w:t>14.6</w:t>
            </w:r>
          </w:p>
        </w:tc>
        <w:tc>
          <w:tcPr>
            <w:tcW w:w="675" w:type="dxa"/>
            <w:tcBorders>
              <w:top w:val="single" w:color="D9D9D9" w:sz="8" w:space="0"/>
              <w:bottom w:val="single" w:color="DCDDDE" w:sz="4" w:space="0"/>
            </w:tcBorders>
          </w:tcPr>
          <w:p w:rsidR="00C31389" w:rsidRDefault="00561FBD" w14:paraId="473ECA12" w14:textId="77777777">
            <w:pPr>
              <w:pStyle w:val="TableParagraph"/>
              <w:spacing w:before="41"/>
              <w:ind w:left="109" w:right="65"/>
              <w:jc w:val="center"/>
              <w:rPr>
                <w:sz w:val="17"/>
              </w:rPr>
            </w:pPr>
            <w:r>
              <w:rPr>
                <w:spacing w:val="-4"/>
                <w:sz w:val="17"/>
              </w:rPr>
              <w:t>15.1</w:t>
            </w:r>
          </w:p>
        </w:tc>
        <w:tc>
          <w:tcPr>
            <w:tcW w:w="675" w:type="dxa"/>
            <w:tcBorders>
              <w:top w:val="single" w:color="D9D9D9" w:sz="8" w:space="0"/>
              <w:bottom w:val="single" w:color="DCDDDE" w:sz="4" w:space="0"/>
            </w:tcBorders>
          </w:tcPr>
          <w:p w:rsidR="00C31389" w:rsidRDefault="00561FBD" w14:paraId="4EDAF951" w14:textId="77777777">
            <w:pPr>
              <w:pStyle w:val="TableParagraph"/>
              <w:spacing w:before="41"/>
              <w:ind w:left="109" w:right="64"/>
              <w:jc w:val="center"/>
              <w:rPr>
                <w:sz w:val="17"/>
              </w:rPr>
            </w:pPr>
            <w:r>
              <w:rPr>
                <w:spacing w:val="-4"/>
                <w:sz w:val="17"/>
              </w:rPr>
              <w:t>15.6</w:t>
            </w:r>
          </w:p>
        </w:tc>
        <w:tc>
          <w:tcPr>
            <w:tcW w:w="675" w:type="dxa"/>
            <w:tcBorders>
              <w:top w:val="single" w:color="D9D9D9" w:sz="8" w:space="0"/>
              <w:bottom w:val="single" w:color="DCDDDE" w:sz="4" w:space="0"/>
            </w:tcBorders>
          </w:tcPr>
          <w:p w:rsidR="00C31389" w:rsidRDefault="00561FBD" w14:paraId="419B7E07" w14:textId="77777777">
            <w:pPr>
              <w:pStyle w:val="TableParagraph"/>
              <w:spacing w:before="41"/>
              <w:ind w:right="147"/>
              <w:jc w:val="right"/>
              <w:rPr>
                <w:sz w:val="17"/>
              </w:rPr>
            </w:pPr>
            <w:r>
              <w:rPr>
                <w:spacing w:val="-4"/>
                <w:sz w:val="17"/>
              </w:rPr>
              <w:t>16.2</w:t>
            </w:r>
          </w:p>
        </w:tc>
        <w:tc>
          <w:tcPr>
            <w:tcW w:w="675" w:type="dxa"/>
            <w:tcBorders>
              <w:top w:val="single" w:color="D9D9D9" w:sz="8" w:space="0"/>
              <w:bottom w:val="single" w:color="DCDDDE" w:sz="4" w:space="0"/>
            </w:tcBorders>
          </w:tcPr>
          <w:p w:rsidR="00C31389" w:rsidRDefault="00561FBD" w14:paraId="053EB813" w14:textId="77777777">
            <w:pPr>
              <w:pStyle w:val="TableParagraph"/>
              <w:spacing w:before="41"/>
              <w:ind w:right="146"/>
              <w:jc w:val="right"/>
              <w:rPr>
                <w:sz w:val="17"/>
              </w:rPr>
            </w:pPr>
            <w:r>
              <w:rPr>
                <w:spacing w:val="-4"/>
                <w:sz w:val="17"/>
              </w:rPr>
              <w:t>16.5</w:t>
            </w:r>
          </w:p>
        </w:tc>
        <w:tc>
          <w:tcPr>
            <w:tcW w:w="635" w:type="dxa"/>
            <w:tcBorders>
              <w:top w:val="single" w:color="D9D9D9" w:sz="8" w:space="0"/>
              <w:bottom w:val="single" w:color="DCDDDE" w:sz="4" w:space="0"/>
            </w:tcBorders>
          </w:tcPr>
          <w:p w:rsidR="00C31389" w:rsidRDefault="00561FBD" w14:paraId="52286919" w14:textId="77777777">
            <w:pPr>
              <w:pStyle w:val="TableParagraph"/>
              <w:spacing w:before="41"/>
              <w:ind w:right="107"/>
              <w:jc w:val="right"/>
              <w:rPr>
                <w:sz w:val="17"/>
              </w:rPr>
            </w:pPr>
            <w:r>
              <w:rPr>
                <w:spacing w:val="-4"/>
                <w:sz w:val="17"/>
              </w:rPr>
              <w:t>17.1</w:t>
            </w:r>
          </w:p>
        </w:tc>
      </w:tr>
      <w:tr w:rsidR="00C31389" w14:paraId="171DB646"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165A0926" w14:textId="77777777">
            <w:pPr>
              <w:pStyle w:val="TableParagraph"/>
              <w:spacing w:before="42"/>
              <w:ind w:left="121"/>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34863460" w14:textId="77777777">
        <w:trPr>
          <w:trHeight w:val="275"/>
        </w:trPr>
        <w:tc>
          <w:tcPr>
            <w:tcW w:w="1274" w:type="dxa"/>
            <w:tcBorders>
              <w:top w:val="single" w:color="DCDDDE" w:sz="4" w:space="0"/>
              <w:bottom w:val="single" w:color="DCDDDE" w:sz="4" w:space="0"/>
            </w:tcBorders>
          </w:tcPr>
          <w:p w:rsidR="00C31389" w:rsidRDefault="00561FBD" w14:paraId="69E64922" w14:textId="77777777">
            <w:pPr>
              <w:pStyle w:val="TableParagraph"/>
              <w:spacing w:before="42"/>
              <w:ind w:left="121"/>
              <w:rPr>
                <w:sz w:val="17"/>
              </w:rPr>
            </w:pPr>
            <w:r>
              <w:rPr>
                <w:spacing w:val="-5"/>
                <w:sz w:val="17"/>
              </w:rPr>
              <w:t>EE</w:t>
            </w:r>
          </w:p>
        </w:tc>
        <w:tc>
          <w:tcPr>
            <w:tcW w:w="691" w:type="dxa"/>
            <w:tcBorders>
              <w:top w:val="single" w:color="DCDDDE" w:sz="4" w:space="0"/>
            </w:tcBorders>
          </w:tcPr>
          <w:p w:rsidR="00C31389" w:rsidRDefault="00561FBD" w14:paraId="429095E9" w14:textId="77777777">
            <w:pPr>
              <w:pStyle w:val="TableParagraph"/>
              <w:spacing w:before="42"/>
              <w:ind w:right="122"/>
              <w:jc w:val="right"/>
              <w:rPr>
                <w:sz w:val="17"/>
              </w:rPr>
            </w:pPr>
            <w:r>
              <w:rPr>
                <w:spacing w:val="-5"/>
                <w:sz w:val="17"/>
              </w:rPr>
              <w:t>4.0</w:t>
            </w:r>
          </w:p>
        </w:tc>
        <w:tc>
          <w:tcPr>
            <w:tcW w:w="675" w:type="dxa"/>
            <w:tcBorders>
              <w:top w:val="single" w:color="DCDDDE" w:sz="4" w:space="0"/>
            </w:tcBorders>
          </w:tcPr>
          <w:p w:rsidR="00C31389" w:rsidRDefault="00561FBD" w14:paraId="3FD3EF73" w14:textId="77777777">
            <w:pPr>
              <w:pStyle w:val="TableParagraph"/>
              <w:spacing w:before="42"/>
              <w:ind w:left="276" w:right="89"/>
              <w:jc w:val="center"/>
              <w:rPr>
                <w:sz w:val="17"/>
              </w:rPr>
            </w:pPr>
            <w:r>
              <w:rPr>
                <w:spacing w:val="-5"/>
                <w:sz w:val="17"/>
              </w:rPr>
              <w:t>3.8</w:t>
            </w:r>
          </w:p>
        </w:tc>
        <w:tc>
          <w:tcPr>
            <w:tcW w:w="675" w:type="dxa"/>
            <w:tcBorders>
              <w:top w:val="single" w:color="DCDDDE" w:sz="4" w:space="0"/>
            </w:tcBorders>
          </w:tcPr>
          <w:p w:rsidR="00C31389" w:rsidRDefault="00561FBD" w14:paraId="4095E685" w14:textId="77777777">
            <w:pPr>
              <w:pStyle w:val="TableParagraph"/>
              <w:spacing w:before="42"/>
              <w:ind w:right="122"/>
              <w:jc w:val="right"/>
              <w:rPr>
                <w:sz w:val="17"/>
              </w:rPr>
            </w:pPr>
            <w:r>
              <w:rPr>
                <w:spacing w:val="-5"/>
                <w:sz w:val="17"/>
              </w:rPr>
              <w:t>3.4</w:t>
            </w:r>
          </w:p>
        </w:tc>
        <w:tc>
          <w:tcPr>
            <w:tcW w:w="675" w:type="dxa"/>
            <w:tcBorders>
              <w:top w:val="single" w:color="DCDDDE" w:sz="4" w:space="0"/>
            </w:tcBorders>
          </w:tcPr>
          <w:p w:rsidR="00C31389" w:rsidRDefault="00561FBD" w14:paraId="51B94AB1" w14:textId="77777777">
            <w:pPr>
              <w:pStyle w:val="TableParagraph"/>
              <w:spacing w:before="42"/>
              <w:ind w:right="123"/>
              <w:jc w:val="right"/>
              <w:rPr>
                <w:sz w:val="17"/>
              </w:rPr>
            </w:pPr>
            <w:r>
              <w:rPr>
                <w:spacing w:val="-5"/>
                <w:sz w:val="17"/>
              </w:rPr>
              <w:t>3.2</w:t>
            </w:r>
          </w:p>
        </w:tc>
        <w:tc>
          <w:tcPr>
            <w:tcW w:w="675" w:type="dxa"/>
            <w:tcBorders>
              <w:top w:val="single" w:color="DCDDDE" w:sz="4" w:space="0"/>
            </w:tcBorders>
          </w:tcPr>
          <w:p w:rsidR="00C31389" w:rsidRDefault="00561FBD" w14:paraId="4C7341FD" w14:textId="77777777">
            <w:pPr>
              <w:pStyle w:val="TableParagraph"/>
              <w:spacing w:before="42"/>
              <w:ind w:right="122"/>
              <w:jc w:val="right"/>
              <w:rPr>
                <w:sz w:val="17"/>
              </w:rPr>
            </w:pPr>
            <w:r>
              <w:rPr>
                <w:spacing w:val="-5"/>
                <w:sz w:val="17"/>
              </w:rPr>
              <w:t>2.9</w:t>
            </w:r>
          </w:p>
        </w:tc>
        <w:tc>
          <w:tcPr>
            <w:tcW w:w="699" w:type="dxa"/>
            <w:tcBorders>
              <w:top w:val="single" w:color="DCDDDE" w:sz="4" w:space="0"/>
            </w:tcBorders>
          </w:tcPr>
          <w:p w:rsidR="00C31389" w:rsidRDefault="00561FBD" w14:paraId="7CB77101" w14:textId="77777777">
            <w:pPr>
              <w:pStyle w:val="TableParagraph"/>
              <w:spacing w:before="42"/>
              <w:ind w:right="147"/>
              <w:jc w:val="right"/>
              <w:rPr>
                <w:sz w:val="17"/>
              </w:rPr>
            </w:pPr>
            <w:r>
              <w:rPr>
                <w:spacing w:val="-5"/>
                <w:sz w:val="17"/>
              </w:rPr>
              <w:t>2.5</w:t>
            </w:r>
          </w:p>
        </w:tc>
        <w:tc>
          <w:tcPr>
            <w:tcW w:w="675" w:type="dxa"/>
            <w:tcBorders>
              <w:top w:val="single" w:color="DCDDDE" w:sz="4" w:space="0"/>
            </w:tcBorders>
          </w:tcPr>
          <w:p w:rsidR="00C31389" w:rsidRDefault="00561FBD" w14:paraId="24773B5C" w14:textId="77777777">
            <w:pPr>
              <w:pStyle w:val="TableParagraph"/>
              <w:spacing w:before="42"/>
              <w:ind w:left="249" w:right="109"/>
              <w:jc w:val="center"/>
              <w:rPr>
                <w:sz w:val="17"/>
              </w:rPr>
            </w:pPr>
            <w:r>
              <w:rPr>
                <w:spacing w:val="-5"/>
                <w:sz w:val="17"/>
              </w:rPr>
              <w:t>2.3</w:t>
            </w:r>
          </w:p>
        </w:tc>
        <w:tc>
          <w:tcPr>
            <w:tcW w:w="675" w:type="dxa"/>
            <w:tcBorders>
              <w:top w:val="single" w:color="DCDDDE" w:sz="4" w:space="0"/>
            </w:tcBorders>
          </w:tcPr>
          <w:p w:rsidR="00C31389" w:rsidRDefault="00561FBD" w14:paraId="0D2D05FA" w14:textId="77777777">
            <w:pPr>
              <w:pStyle w:val="TableParagraph"/>
              <w:spacing w:before="42"/>
              <w:ind w:left="248" w:right="109"/>
              <w:jc w:val="center"/>
              <w:rPr>
                <w:sz w:val="17"/>
              </w:rPr>
            </w:pPr>
            <w:r>
              <w:rPr>
                <w:spacing w:val="-5"/>
                <w:sz w:val="17"/>
              </w:rPr>
              <w:t>2.2</w:t>
            </w:r>
          </w:p>
        </w:tc>
        <w:tc>
          <w:tcPr>
            <w:tcW w:w="675" w:type="dxa"/>
            <w:tcBorders>
              <w:top w:val="single" w:color="DCDDDE" w:sz="4" w:space="0"/>
            </w:tcBorders>
          </w:tcPr>
          <w:p w:rsidR="00C31389" w:rsidRDefault="00561FBD" w14:paraId="134AFB39" w14:textId="77777777">
            <w:pPr>
              <w:pStyle w:val="TableParagraph"/>
              <w:spacing w:before="42"/>
              <w:ind w:left="249" w:right="109"/>
              <w:jc w:val="center"/>
              <w:rPr>
                <w:sz w:val="17"/>
              </w:rPr>
            </w:pPr>
            <w:r>
              <w:rPr>
                <w:spacing w:val="-5"/>
                <w:sz w:val="17"/>
              </w:rPr>
              <w:t>2.2</w:t>
            </w:r>
          </w:p>
        </w:tc>
        <w:tc>
          <w:tcPr>
            <w:tcW w:w="675" w:type="dxa"/>
            <w:tcBorders>
              <w:top w:val="single" w:color="DCDDDE" w:sz="4" w:space="0"/>
            </w:tcBorders>
          </w:tcPr>
          <w:p w:rsidR="00C31389" w:rsidRDefault="00561FBD" w14:paraId="3E948469" w14:textId="77777777">
            <w:pPr>
              <w:pStyle w:val="TableParagraph"/>
              <w:spacing w:before="42"/>
              <w:ind w:right="147"/>
              <w:jc w:val="right"/>
              <w:rPr>
                <w:sz w:val="17"/>
              </w:rPr>
            </w:pPr>
            <w:r>
              <w:rPr>
                <w:spacing w:val="-5"/>
                <w:sz w:val="17"/>
              </w:rPr>
              <w:t>2.2</w:t>
            </w:r>
          </w:p>
        </w:tc>
        <w:tc>
          <w:tcPr>
            <w:tcW w:w="675" w:type="dxa"/>
            <w:tcBorders>
              <w:top w:val="single" w:color="DCDDDE" w:sz="4" w:space="0"/>
            </w:tcBorders>
          </w:tcPr>
          <w:p w:rsidR="00C31389" w:rsidRDefault="00561FBD" w14:paraId="62A88DA7" w14:textId="77777777">
            <w:pPr>
              <w:pStyle w:val="TableParagraph"/>
              <w:spacing w:before="42"/>
              <w:ind w:right="146"/>
              <w:jc w:val="right"/>
              <w:rPr>
                <w:sz w:val="17"/>
              </w:rPr>
            </w:pPr>
            <w:r>
              <w:rPr>
                <w:spacing w:val="-5"/>
                <w:sz w:val="17"/>
              </w:rPr>
              <w:t>2.2</w:t>
            </w:r>
          </w:p>
        </w:tc>
        <w:tc>
          <w:tcPr>
            <w:tcW w:w="635" w:type="dxa"/>
            <w:tcBorders>
              <w:top w:val="single" w:color="DCDDDE" w:sz="4" w:space="0"/>
            </w:tcBorders>
          </w:tcPr>
          <w:p w:rsidR="00C31389" w:rsidRDefault="00561FBD" w14:paraId="774F33E1" w14:textId="77777777">
            <w:pPr>
              <w:pStyle w:val="TableParagraph"/>
              <w:spacing w:before="42"/>
              <w:ind w:right="107"/>
              <w:jc w:val="right"/>
              <w:rPr>
                <w:sz w:val="17"/>
              </w:rPr>
            </w:pPr>
            <w:r>
              <w:rPr>
                <w:spacing w:val="-5"/>
                <w:sz w:val="17"/>
              </w:rPr>
              <w:t>2.2</w:t>
            </w:r>
          </w:p>
        </w:tc>
      </w:tr>
      <w:tr w:rsidR="00C31389" w14:paraId="0B52C39F" w14:textId="77777777">
        <w:trPr>
          <w:trHeight w:val="275"/>
        </w:trPr>
        <w:tc>
          <w:tcPr>
            <w:tcW w:w="1274" w:type="dxa"/>
            <w:tcBorders>
              <w:top w:val="single" w:color="DCDDDE" w:sz="4" w:space="0"/>
              <w:bottom w:val="single" w:color="DCDDDE" w:sz="4" w:space="0"/>
            </w:tcBorders>
          </w:tcPr>
          <w:p w:rsidR="00C31389" w:rsidRDefault="00561FBD" w14:paraId="1B94279C" w14:textId="77777777">
            <w:pPr>
              <w:pStyle w:val="TableParagraph"/>
              <w:spacing w:before="42"/>
              <w:ind w:left="121"/>
              <w:rPr>
                <w:sz w:val="17"/>
              </w:rPr>
            </w:pPr>
            <w:r>
              <w:rPr>
                <w:spacing w:val="-5"/>
                <w:sz w:val="17"/>
              </w:rPr>
              <w:t>FS</w:t>
            </w:r>
          </w:p>
        </w:tc>
        <w:tc>
          <w:tcPr>
            <w:tcW w:w="691" w:type="dxa"/>
            <w:tcBorders>
              <w:bottom w:val="single" w:color="D9D9D9" w:sz="8" w:space="0"/>
            </w:tcBorders>
          </w:tcPr>
          <w:p w:rsidR="00C31389" w:rsidRDefault="00561FBD" w14:paraId="1DC05242" w14:textId="77777777">
            <w:pPr>
              <w:pStyle w:val="TableParagraph"/>
              <w:spacing w:before="42"/>
              <w:ind w:right="122"/>
              <w:jc w:val="right"/>
              <w:rPr>
                <w:sz w:val="17"/>
              </w:rPr>
            </w:pPr>
            <w:r>
              <w:rPr>
                <w:spacing w:val="-5"/>
                <w:sz w:val="17"/>
              </w:rPr>
              <w:t>2.0</w:t>
            </w:r>
          </w:p>
        </w:tc>
        <w:tc>
          <w:tcPr>
            <w:tcW w:w="675" w:type="dxa"/>
            <w:tcBorders>
              <w:bottom w:val="single" w:color="D9D9D9" w:sz="8" w:space="0"/>
            </w:tcBorders>
          </w:tcPr>
          <w:p w:rsidR="00C31389" w:rsidRDefault="00561FBD" w14:paraId="7620657F" w14:textId="77777777">
            <w:pPr>
              <w:pStyle w:val="TableParagraph"/>
              <w:spacing w:before="42"/>
              <w:ind w:left="276" w:right="89"/>
              <w:jc w:val="center"/>
              <w:rPr>
                <w:sz w:val="17"/>
              </w:rPr>
            </w:pPr>
            <w:r>
              <w:rPr>
                <w:spacing w:val="-5"/>
                <w:sz w:val="17"/>
              </w:rPr>
              <w:t>3.9</w:t>
            </w:r>
          </w:p>
        </w:tc>
        <w:tc>
          <w:tcPr>
            <w:tcW w:w="675" w:type="dxa"/>
            <w:tcBorders>
              <w:bottom w:val="single" w:color="D9D9D9" w:sz="8" w:space="0"/>
            </w:tcBorders>
          </w:tcPr>
          <w:p w:rsidR="00C31389" w:rsidRDefault="00561FBD" w14:paraId="53E2A9D4" w14:textId="77777777">
            <w:pPr>
              <w:pStyle w:val="TableParagraph"/>
              <w:spacing w:before="42"/>
              <w:ind w:right="122"/>
              <w:jc w:val="right"/>
              <w:rPr>
                <w:sz w:val="17"/>
              </w:rPr>
            </w:pPr>
            <w:r>
              <w:rPr>
                <w:spacing w:val="-5"/>
                <w:sz w:val="17"/>
              </w:rPr>
              <w:t>6.2</w:t>
            </w:r>
          </w:p>
        </w:tc>
        <w:tc>
          <w:tcPr>
            <w:tcW w:w="675" w:type="dxa"/>
            <w:tcBorders>
              <w:bottom w:val="single" w:color="D9D9D9" w:sz="8" w:space="0"/>
            </w:tcBorders>
          </w:tcPr>
          <w:p w:rsidR="00C31389" w:rsidRDefault="00561FBD" w14:paraId="399A0B0C" w14:textId="77777777">
            <w:pPr>
              <w:pStyle w:val="TableParagraph"/>
              <w:spacing w:before="42"/>
              <w:ind w:right="123"/>
              <w:jc w:val="right"/>
              <w:rPr>
                <w:sz w:val="17"/>
              </w:rPr>
            </w:pPr>
            <w:r>
              <w:rPr>
                <w:spacing w:val="-5"/>
                <w:sz w:val="17"/>
              </w:rPr>
              <w:t>8.2</w:t>
            </w:r>
          </w:p>
        </w:tc>
        <w:tc>
          <w:tcPr>
            <w:tcW w:w="675" w:type="dxa"/>
            <w:tcBorders>
              <w:bottom w:val="single" w:color="D9D9D9" w:sz="8" w:space="0"/>
            </w:tcBorders>
          </w:tcPr>
          <w:p w:rsidR="00C31389" w:rsidRDefault="00561FBD" w14:paraId="65A6ADD0" w14:textId="77777777">
            <w:pPr>
              <w:pStyle w:val="TableParagraph"/>
              <w:spacing w:before="42"/>
              <w:ind w:right="122"/>
              <w:jc w:val="right"/>
              <w:rPr>
                <w:sz w:val="17"/>
              </w:rPr>
            </w:pPr>
            <w:r>
              <w:rPr>
                <w:spacing w:val="-4"/>
                <w:sz w:val="17"/>
              </w:rPr>
              <w:t>10.3</w:t>
            </w:r>
          </w:p>
        </w:tc>
        <w:tc>
          <w:tcPr>
            <w:tcW w:w="699" w:type="dxa"/>
            <w:tcBorders>
              <w:bottom w:val="single" w:color="D9D9D9" w:sz="8" w:space="0"/>
            </w:tcBorders>
          </w:tcPr>
          <w:p w:rsidR="00C31389" w:rsidRDefault="00561FBD" w14:paraId="4666F854" w14:textId="77777777">
            <w:pPr>
              <w:pStyle w:val="TableParagraph"/>
              <w:spacing w:before="42"/>
              <w:ind w:right="147"/>
              <w:jc w:val="right"/>
              <w:rPr>
                <w:sz w:val="17"/>
              </w:rPr>
            </w:pPr>
            <w:r>
              <w:rPr>
                <w:spacing w:val="-4"/>
                <w:sz w:val="17"/>
              </w:rPr>
              <w:t>12.1</w:t>
            </w:r>
          </w:p>
        </w:tc>
        <w:tc>
          <w:tcPr>
            <w:tcW w:w="675" w:type="dxa"/>
            <w:tcBorders>
              <w:bottom w:val="single" w:color="D9D9D9" w:sz="8" w:space="0"/>
            </w:tcBorders>
          </w:tcPr>
          <w:p w:rsidR="00C31389" w:rsidRDefault="00561FBD" w14:paraId="77517A57" w14:textId="77777777">
            <w:pPr>
              <w:pStyle w:val="TableParagraph"/>
              <w:spacing w:before="42"/>
              <w:ind w:left="249" w:right="109"/>
              <w:jc w:val="center"/>
              <w:rPr>
                <w:sz w:val="17"/>
              </w:rPr>
            </w:pPr>
            <w:r>
              <w:rPr>
                <w:spacing w:val="-5"/>
                <w:sz w:val="17"/>
              </w:rPr>
              <w:t>0.9</w:t>
            </w:r>
          </w:p>
        </w:tc>
        <w:tc>
          <w:tcPr>
            <w:tcW w:w="675" w:type="dxa"/>
            <w:tcBorders>
              <w:bottom w:val="single" w:color="D9D9D9" w:sz="8" w:space="0"/>
            </w:tcBorders>
          </w:tcPr>
          <w:p w:rsidR="00C31389" w:rsidRDefault="00561FBD" w14:paraId="0BCF54EB" w14:textId="77777777">
            <w:pPr>
              <w:pStyle w:val="TableParagraph"/>
              <w:spacing w:before="42"/>
              <w:ind w:left="248" w:right="109"/>
              <w:jc w:val="center"/>
              <w:rPr>
                <w:sz w:val="17"/>
              </w:rPr>
            </w:pPr>
            <w:r>
              <w:rPr>
                <w:spacing w:val="-5"/>
                <w:sz w:val="17"/>
              </w:rPr>
              <w:t>1.1</w:t>
            </w:r>
          </w:p>
        </w:tc>
        <w:tc>
          <w:tcPr>
            <w:tcW w:w="675" w:type="dxa"/>
            <w:tcBorders>
              <w:bottom w:val="single" w:color="D9D9D9" w:sz="8" w:space="0"/>
            </w:tcBorders>
          </w:tcPr>
          <w:p w:rsidR="00C31389" w:rsidRDefault="00561FBD" w14:paraId="2BF971D8" w14:textId="77777777">
            <w:pPr>
              <w:pStyle w:val="TableParagraph"/>
              <w:spacing w:before="42"/>
              <w:ind w:left="249" w:right="109"/>
              <w:jc w:val="center"/>
              <w:rPr>
                <w:sz w:val="17"/>
              </w:rPr>
            </w:pPr>
            <w:r>
              <w:rPr>
                <w:spacing w:val="-5"/>
                <w:sz w:val="17"/>
              </w:rPr>
              <w:t>1.2</w:t>
            </w:r>
          </w:p>
        </w:tc>
        <w:tc>
          <w:tcPr>
            <w:tcW w:w="675" w:type="dxa"/>
            <w:tcBorders>
              <w:bottom w:val="single" w:color="D9D9D9" w:sz="8" w:space="0"/>
            </w:tcBorders>
          </w:tcPr>
          <w:p w:rsidR="00C31389" w:rsidRDefault="00561FBD" w14:paraId="1B914755" w14:textId="77777777">
            <w:pPr>
              <w:pStyle w:val="TableParagraph"/>
              <w:spacing w:before="42"/>
              <w:ind w:right="147"/>
              <w:jc w:val="right"/>
              <w:rPr>
                <w:sz w:val="17"/>
              </w:rPr>
            </w:pPr>
            <w:r>
              <w:rPr>
                <w:spacing w:val="-5"/>
                <w:sz w:val="17"/>
              </w:rPr>
              <w:t>1.4</w:t>
            </w:r>
          </w:p>
        </w:tc>
        <w:tc>
          <w:tcPr>
            <w:tcW w:w="675" w:type="dxa"/>
            <w:tcBorders>
              <w:bottom w:val="single" w:color="D9D9D9" w:sz="8" w:space="0"/>
            </w:tcBorders>
          </w:tcPr>
          <w:p w:rsidR="00C31389" w:rsidRDefault="00561FBD" w14:paraId="2F6A55E1" w14:textId="77777777">
            <w:pPr>
              <w:pStyle w:val="TableParagraph"/>
              <w:spacing w:before="42"/>
              <w:ind w:right="146"/>
              <w:jc w:val="right"/>
              <w:rPr>
                <w:sz w:val="17"/>
              </w:rPr>
            </w:pPr>
            <w:r>
              <w:rPr>
                <w:spacing w:val="-5"/>
                <w:sz w:val="17"/>
              </w:rPr>
              <w:t>1.5</w:t>
            </w:r>
          </w:p>
        </w:tc>
        <w:tc>
          <w:tcPr>
            <w:tcW w:w="635" w:type="dxa"/>
            <w:tcBorders>
              <w:bottom w:val="single" w:color="D9D9D9" w:sz="8" w:space="0"/>
            </w:tcBorders>
          </w:tcPr>
          <w:p w:rsidR="00C31389" w:rsidRDefault="00561FBD" w14:paraId="1D6D75F4" w14:textId="77777777">
            <w:pPr>
              <w:pStyle w:val="TableParagraph"/>
              <w:spacing w:before="42"/>
              <w:ind w:right="107"/>
              <w:jc w:val="right"/>
              <w:rPr>
                <w:sz w:val="17"/>
              </w:rPr>
            </w:pPr>
            <w:r>
              <w:rPr>
                <w:spacing w:val="-5"/>
                <w:sz w:val="17"/>
              </w:rPr>
              <w:t>1.6</w:t>
            </w:r>
          </w:p>
        </w:tc>
      </w:tr>
      <w:tr w:rsidR="00C31389" w14:paraId="7A702933" w14:textId="77777777">
        <w:trPr>
          <w:trHeight w:val="275"/>
        </w:trPr>
        <w:tc>
          <w:tcPr>
            <w:tcW w:w="1274" w:type="dxa"/>
            <w:tcBorders>
              <w:top w:val="single" w:color="DCDDDE" w:sz="4" w:space="0"/>
              <w:bottom w:val="single" w:color="DCDDDE" w:sz="4" w:space="0"/>
            </w:tcBorders>
          </w:tcPr>
          <w:p w:rsidR="00C31389" w:rsidRDefault="00561FBD" w14:paraId="01276429" w14:textId="77777777">
            <w:pPr>
              <w:pStyle w:val="TableParagraph"/>
              <w:spacing w:before="41"/>
              <w:ind w:left="121"/>
              <w:rPr>
                <w:sz w:val="17"/>
              </w:rPr>
            </w:pPr>
            <w:r>
              <w:rPr>
                <w:spacing w:val="-4"/>
                <w:sz w:val="17"/>
              </w:rPr>
              <w:t>BROs</w:t>
            </w:r>
          </w:p>
        </w:tc>
        <w:tc>
          <w:tcPr>
            <w:tcW w:w="691" w:type="dxa"/>
            <w:tcBorders>
              <w:top w:val="single" w:color="D9D9D9" w:sz="8" w:space="0"/>
              <w:bottom w:val="single" w:color="DCDDDE" w:sz="4" w:space="0"/>
            </w:tcBorders>
          </w:tcPr>
          <w:p w:rsidR="00C31389" w:rsidRDefault="00561FBD" w14:paraId="5F3A319D" w14:textId="77777777">
            <w:pPr>
              <w:pStyle w:val="TableParagraph"/>
              <w:spacing w:before="41"/>
              <w:ind w:right="122"/>
              <w:jc w:val="right"/>
              <w:rPr>
                <w:sz w:val="17"/>
              </w:rPr>
            </w:pPr>
            <w:r>
              <w:rPr>
                <w:spacing w:val="-4"/>
                <w:sz w:val="17"/>
              </w:rPr>
              <w:t>11.9</w:t>
            </w:r>
          </w:p>
        </w:tc>
        <w:tc>
          <w:tcPr>
            <w:tcW w:w="675" w:type="dxa"/>
            <w:tcBorders>
              <w:top w:val="single" w:color="D9D9D9" w:sz="8" w:space="0"/>
              <w:bottom w:val="single" w:color="DCDDDE" w:sz="4" w:space="0"/>
            </w:tcBorders>
          </w:tcPr>
          <w:p w:rsidR="00C31389" w:rsidRDefault="00561FBD" w14:paraId="568E4122" w14:textId="77777777">
            <w:pPr>
              <w:pStyle w:val="TableParagraph"/>
              <w:spacing w:before="41"/>
              <w:ind w:left="109" w:right="17"/>
              <w:jc w:val="center"/>
              <w:rPr>
                <w:sz w:val="17"/>
              </w:rPr>
            </w:pPr>
            <w:r>
              <w:rPr>
                <w:spacing w:val="-4"/>
                <w:sz w:val="17"/>
              </w:rPr>
              <w:t>12.3</w:t>
            </w:r>
          </w:p>
        </w:tc>
        <w:tc>
          <w:tcPr>
            <w:tcW w:w="675" w:type="dxa"/>
            <w:tcBorders>
              <w:top w:val="single" w:color="D9D9D9" w:sz="8" w:space="0"/>
              <w:bottom w:val="single" w:color="DCDDDE" w:sz="4" w:space="0"/>
            </w:tcBorders>
          </w:tcPr>
          <w:p w:rsidR="00C31389" w:rsidRDefault="00561FBD" w14:paraId="2A658647" w14:textId="77777777">
            <w:pPr>
              <w:pStyle w:val="TableParagraph"/>
              <w:spacing w:before="41"/>
              <w:ind w:right="122"/>
              <w:jc w:val="right"/>
              <w:rPr>
                <w:sz w:val="17"/>
              </w:rPr>
            </w:pPr>
            <w:r>
              <w:rPr>
                <w:spacing w:val="-4"/>
                <w:sz w:val="17"/>
              </w:rPr>
              <w:t>12.7</w:t>
            </w:r>
          </w:p>
        </w:tc>
        <w:tc>
          <w:tcPr>
            <w:tcW w:w="675" w:type="dxa"/>
            <w:tcBorders>
              <w:top w:val="single" w:color="D9D9D9" w:sz="8" w:space="0"/>
              <w:bottom w:val="single" w:color="DCDDDE" w:sz="4" w:space="0"/>
            </w:tcBorders>
          </w:tcPr>
          <w:p w:rsidR="00C31389" w:rsidRDefault="00561FBD" w14:paraId="13DD0BDE" w14:textId="77777777">
            <w:pPr>
              <w:pStyle w:val="TableParagraph"/>
              <w:spacing w:before="41"/>
              <w:ind w:right="123"/>
              <w:jc w:val="right"/>
              <w:rPr>
                <w:sz w:val="17"/>
              </w:rPr>
            </w:pPr>
            <w:r>
              <w:rPr>
                <w:spacing w:val="-4"/>
                <w:sz w:val="17"/>
              </w:rPr>
              <w:t>13.2</w:t>
            </w:r>
          </w:p>
        </w:tc>
        <w:tc>
          <w:tcPr>
            <w:tcW w:w="675" w:type="dxa"/>
            <w:tcBorders>
              <w:top w:val="single" w:color="D9D9D9" w:sz="8" w:space="0"/>
              <w:bottom w:val="single" w:color="DCDDDE" w:sz="4" w:space="0"/>
            </w:tcBorders>
          </w:tcPr>
          <w:p w:rsidR="00C31389" w:rsidRDefault="00561FBD" w14:paraId="221CEE5C" w14:textId="77777777">
            <w:pPr>
              <w:pStyle w:val="TableParagraph"/>
              <w:spacing w:before="41"/>
              <w:ind w:right="122"/>
              <w:jc w:val="right"/>
              <w:rPr>
                <w:sz w:val="17"/>
              </w:rPr>
            </w:pPr>
            <w:r>
              <w:rPr>
                <w:spacing w:val="-4"/>
                <w:sz w:val="17"/>
              </w:rPr>
              <w:t>13.6</w:t>
            </w:r>
          </w:p>
        </w:tc>
        <w:tc>
          <w:tcPr>
            <w:tcW w:w="699" w:type="dxa"/>
            <w:tcBorders>
              <w:top w:val="single" w:color="D9D9D9" w:sz="8" w:space="0"/>
              <w:bottom w:val="single" w:color="DCDDDE" w:sz="4" w:space="0"/>
            </w:tcBorders>
          </w:tcPr>
          <w:p w:rsidR="00C31389" w:rsidRDefault="00561FBD" w14:paraId="4AF1076D" w14:textId="77777777">
            <w:pPr>
              <w:pStyle w:val="TableParagraph"/>
              <w:spacing w:before="41"/>
              <w:ind w:right="147"/>
              <w:jc w:val="right"/>
              <w:rPr>
                <w:sz w:val="17"/>
              </w:rPr>
            </w:pPr>
            <w:r>
              <w:rPr>
                <w:spacing w:val="-4"/>
                <w:sz w:val="17"/>
              </w:rPr>
              <w:t>14.1</w:t>
            </w:r>
          </w:p>
        </w:tc>
        <w:tc>
          <w:tcPr>
            <w:tcW w:w="675" w:type="dxa"/>
            <w:tcBorders>
              <w:top w:val="single" w:color="D9D9D9" w:sz="8" w:space="0"/>
              <w:bottom w:val="single" w:color="DCDDDE" w:sz="4" w:space="0"/>
            </w:tcBorders>
          </w:tcPr>
          <w:p w:rsidR="00C31389" w:rsidRDefault="00561FBD" w14:paraId="1BB6CFCB" w14:textId="77777777">
            <w:pPr>
              <w:pStyle w:val="TableParagraph"/>
              <w:spacing w:before="41"/>
              <w:ind w:left="109" w:right="64"/>
              <w:jc w:val="center"/>
              <w:rPr>
                <w:sz w:val="17"/>
              </w:rPr>
            </w:pPr>
            <w:r>
              <w:rPr>
                <w:spacing w:val="-4"/>
                <w:sz w:val="17"/>
              </w:rPr>
              <w:t>14.6</w:t>
            </w:r>
          </w:p>
        </w:tc>
        <w:tc>
          <w:tcPr>
            <w:tcW w:w="675" w:type="dxa"/>
            <w:tcBorders>
              <w:top w:val="single" w:color="D9D9D9" w:sz="8" w:space="0"/>
              <w:bottom w:val="single" w:color="DCDDDE" w:sz="4" w:space="0"/>
            </w:tcBorders>
          </w:tcPr>
          <w:p w:rsidR="00C31389" w:rsidRDefault="00561FBD" w14:paraId="4F4E6780" w14:textId="77777777">
            <w:pPr>
              <w:pStyle w:val="TableParagraph"/>
              <w:spacing w:before="41"/>
              <w:ind w:left="109" w:right="65"/>
              <w:jc w:val="center"/>
              <w:rPr>
                <w:sz w:val="17"/>
              </w:rPr>
            </w:pPr>
            <w:r>
              <w:rPr>
                <w:spacing w:val="-4"/>
                <w:sz w:val="17"/>
              </w:rPr>
              <w:t>15.1</w:t>
            </w:r>
          </w:p>
        </w:tc>
        <w:tc>
          <w:tcPr>
            <w:tcW w:w="675" w:type="dxa"/>
            <w:tcBorders>
              <w:top w:val="single" w:color="D9D9D9" w:sz="8" w:space="0"/>
              <w:bottom w:val="single" w:color="DCDDDE" w:sz="4" w:space="0"/>
            </w:tcBorders>
          </w:tcPr>
          <w:p w:rsidR="00C31389" w:rsidRDefault="00561FBD" w14:paraId="0DE581A7" w14:textId="77777777">
            <w:pPr>
              <w:pStyle w:val="TableParagraph"/>
              <w:spacing w:before="41"/>
              <w:ind w:left="109" w:right="64"/>
              <w:jc w:val="center"/>
              <w:rPr>
                <w:sz w:val="17"/>
              </w:rPr>
            </w:pPr>
            <w:r>
              <w:rPr>
                <w:spacing w:val="-4"/>
                <w:sz w:val="17"/>
              </w:rPr>
              <w:t>15.6</w:t>
            </w:r>
          </w:p>
        </w:tc>
        <w:tc>
          <w:tcPr>
            <w:tcW w:w="675" w:type="dxa"/>
            <w:tcBorders>
              <w:top w:val="single" w:color="D9D9D9" w:sz="8" w:space="0"/>
              <w:bottom w:val="single" w:color="DCDDDE" w:sz="4" w:space="0"/>
            </w:tcBorders>
          </w:tcPr>
          <w:p w:rsidR="00C31389" w:rsidRDefault="00561FBD" w14:paraId="38ABA994" w14:textId="77777777">
            <w:pPr>
              <w:pStyle w:val="TableParagraph"/>
              <w:spacing w:before="41"/>
              <w:ind w:right="147"/>
              <w:jc w:val="right"/>
              <w:rPr>
                <w:sz w:val="17"/>
              </w:rPr>
            </w:pPr>
            <w:r>
              <w:rPr>
                <w:spacing w:val="-4"/>
                <w:sz w:val="17"/>
              </w:rPr>
              <w:t>16.2</w:t>
            </w:r>
          </w:p>
        </w:tc>
        <w:tc>
          <w:tcPr>
            <w:tcW w:w="675" w:type="dxa"/>
            <w:tcBorders>
              <w:top w:val="single" w:color="D9D9D9" w:sz="8" w:space="0"/>
              <w:bottom w:val="single" w:color="DCDDDE" w:sz="4" w:space="0"/>
            </w:tcBorders>
          </w:tcPr>
          <w:p w:rsidR="00C31389" w:rsidRDefault="00561FBD" w14:paraId="2C95584D" w14:textId="77777777">
            <w:pPr>
              <w:pStyle w:val="TableParagraph"/>
              <w:spacing w:before="41"/>
              <w:ind w:right="146"/>
              <w:jc w:val="right"/>
              <w:rPr>
                <w:sz w:val="17"/>
              </w:rPr>
            </w:pPr>
            <w:r>
              <w:rPr>
                <w:spacing w:val="-4"/>
                <w:sz w:val="17"/>
              </w:rPr>
              <w:t>16.5</w:t>
            </w:r>
          </w:p>
        </w:tc>
        <w:tc>
          <w:tcPr>
            <w:tcW w:w="635" w:type="dxa"/>
            <w:tcBorders>
              <w:top w:val="single" w:color="D9D9D9" w:sz="8" w:space="0"/>
              <w:bottom w:val="single" w:color="DCDDDE" w:sz="4" w:space="0"/>
            </w:tcBorders>
          </w:tcPr>
          <w:p w:rsidR="00C31389" w:rsidRDefault="00561FBD" w14:paraId="78694B06" w14:textId="77777777">
            <w:pPr>
              <w:pStyle w:val="TableParagraph"/>
              <w:spacing w:before="41"/>
              <w:ind w:right="107"/>
              <w:jc w:val="right"/>
              <w:rPr>
                <w:sz w:val="17"/>
              </w:rPr>
            </w:pPr>
            <w:r>
              <w:rPr>
                <w:spacing w:val="-4"/>
                <w:sz w:val="17"/>
              </w:rPr>
              <w:t>17.1</w:t>
            </w:r>
          </w:p>
        </w:tc>
      </w:tr>
      <w:tr w:rsidR="00C31389" w14:paraId="09A61910" w14:textId="77777777">
        <w:trPr>
          <w:trHeight w:val="275"/>
        </w:trPr>
        <w:tc>
          <w:tcPr>
            <w:tcW w:w="9374" w:type="dxa"/>
            <w:gridSpan w:val="13"/>
            <w:tcBorders>
              <w:top w:val="single" w:color="DCDDDE" w:sz="4" w:space="0"/>
              <w:bottom w:val="single" w:color="DCDDDE" w:sz="4" w:space="0"/>
            </w:tcBorders>
            <w:shd w:val="clear" w:color="auto" w:fill="BEBEBE"/>
          </w:tcPr>
          <w:p w:rsidR="00C31389" w:rsidRDefault="00561FBD" w14:paraId="3BE98BD4" w14:textId="77777777">
            <w:pPr>
              <w:pStyle w:val="TableParagraph"/>
              <w:spacing w:before="42"/>
              <w:ind w:left="121"/>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152901B2" w14:textId="77777777">
        <w:trPr>
          <w:trHeight w:val="471"/>
        </w:trPr>
        <w:tc>
          <w:tcPr>
            <w:tcW w:w="1274" w:type="dxa"/>
            <w:tcBorders>
              <w:top w:val="single" w:color="DCDDDE" w:sz="4" w:space="0"/>
              <w:bottom w:val="single" w:color="DCDDDE" w:sz="4" w:space="0"/>
            </w:tcBorders>
          </w:tcPr>
          <w:p w:rsidR="00C31389" w:rsidRDefault="00561FBD" w14:paraId="441C3482" w14:textId="77777777">
            <w:pPr>
              <w:pStyle w:val="TableParagraph"/>
              <w:ind w:left="121" w:right="143"/>
              <w:rPr>
                <w:sz w:val="17"/>
              </w:rPr>
            </w:pPr>
            <w:r>
              <w:rPr>
                <w:sz w:val="17"/>
              </w:rPr>
              <w:t>w/</w:t>
            </w:r>
            <w:r>
              <w:rPr>
                <w:spacing w:val="-12"/>
                <w:sz w:val="17"/>
              </w:rPr>
              <w:t xml:space="preserve"> </w:t>
            </w:r>
            <w:r>
              <w:rPr>
                <w:sz w:val="17"/>
              </w:rPr>
              <w:t xml:space="preserve">Interactive </w:t>
            </w:r>
            <w:r>
              <w:rPr>
                <w:spacing w:val="-2"/>
                <w:sz w:val="17"/>
              </w:rPr>
              <w:t>Effects</w:t>
            </w:r>
          </w:p>
        </w:tc>
        <w:tc>
          <w:tcPr>
            <w:tcW w:w="691" w:type="dxa"/>
            <w:tcBorders>
              <w:top w:val="single" w:color="DCDDDE" w:sz="4" w:space="0"/>
              <w:bottom w:val="single" w:color="DCDDDE" w:sz="4" w:space="0"/>
            </w:tcBorders>
          </w:tcPr>
          <w:p w:rsidR="00C31389" w:rsidRDefault="00561FBD" w14:paraId="091733D3" w14:textId="77777777">
            <w:pPr>
              <w:pStyle w:val="TableParagraph"/>
              <w:spacing w:before="139"/>
              <w:ind w:right="122"/>
              <w:jc w:val="right"/>
              <w:rPr>
                <w:sz w:val="17"/>
              </w:rPr>
            </w:pPr>
            <w:r>
              <w:rPr>
                <w:spacing w:val="-4"/>
                <w:sz w:val="17"/>
              </w:rPr>
              <w:t>38.2</w:t>
            </w:r>
          </w:p>
        </w:tc>
        <w:tc>
          <w:tcPr>
            <w:tcW w:w="675" w:type="dxa"/>
            <w:tcBorders>
              <w:top w:val="single" w:color="DCDDDE" w:sz="4" w:space="0"/>
              <w:bottom w:val="single" w:color="DCDDDE" w:sz="4" w:space="0"/>
            </w:tcBorders>
          </w:tcPr>
          <w:p w:rsidR="00C31389" w:rsidRDefault="00561FBD" w14:paraId="5A2BDBE6" w14:textId="77777777">
            <w:pPr>
              <w:pStyle w:val="TableParagraph"/>
              <w:spacing w:before="139"/>
              <w:ind w:left="109" w:right="17"/>
              <w:jc w:val="center"/>
              <w:rPr>
                <w:sz w:val="17"/>
              </w:rPr>
            </w:pPr>
            <w:r>
              <w:rPr>
                <w:spacing w:val="-4"/>
                <w:sz w:val="17"/>
              </w:rPr>
              <w:t>35.6</w:t>
            </w:r>
          </w:p>
        </w:tc>
        <w:tc>
          <w:tcPr>
            <w:tcW w:w="675" w:type="dxa"/>
            <w:tcBorders>
              <w:top w:val="single" w:color="DCDDDE" w:sz="4" w:space="0"/>
              <w:bottom w:val="single" w:color="DCDDDE" w:sz="4" w:space="0"/>
            </w:tcBorders>
          </w:tcPr>
          <w:p w:rsidR="00C31389" w:rsidRDefault="00561FBD" w14:paraId="5F9FF3E0" w14:textId="77777777">
            <w:pPr>
              <w:pStyle w:val="TableParagraph"/>
              <w:spacing w:before="139"/>
              <w:ind w:right="122"/>
              <w:jc w:val="right"/>
              <w:rPr>
                <w:sz w:val="17"/>
              </w:rPr>
            </w:pPr>
            <w:r>
              <w:rPr>
                <w:spacing w:val="-4"/>
                <w:sz w:val="17"/>
              </w:rPr>
              <w:t>34.9</w:t>
            </w:r>
          </w:p>
        </w:tc>
        <w:tc>
          <w:tcPr>
            <w:tcW w:w="675" w:type="dxa"/>
            <w:tcBorders>
              <w:top w:val="single" w:color="DCDDDE" w:sz="4" w:space="0"/>
              <w:bottom w:val="single" w:color="DCDDDE" w:sz="4" w:space="0"/>
            </w:tcBorders>
          </w:tcPr>
          <w:p w:rsidR="00C31389" w:rsidRDefault="00561FBD" w14:paraId="165BB2BE" w14:textId="77777777">
            <w:pPr>
              <w:pStyle w:val="TableParagraph"/>
              <w:spacing w:before="139"/>
              <w:ind w:right="123"/>
              <w:jc w:val="right"/>
              <w:rPr>
                <w:sz w:val="17"/>
              </w:rPr>
            </w:pPr>
            <w:r>
              <w:rPr>
                <w:spacing w:val="-4"/>
                <w:sz w:val="17"/>
              </w:rPr>
              <w:t>31.9</w:t>
            </w:r>
          </w:p>
        </w:tc>
        <w:tc>
          <w:tcPr>
            <w:tcW w:w="675" w:type="dxa"/>
            <w:tcBorders>
              <w:top w:val="single" w:color="DCDDDE" w:sz="4" w:space="0"/>
              <w:bottom w:val="single" w:color="DCDDDE" w:sz="4" w:space="0"/>
            </w:tcBorders>
          </w:tcPr>
          <w:p w:rsidR="00C31389" w:rsidRDefault="00561FBD" w14:paraId="56E4D8BF" w14:textId="77777777">
            <w:pPr>
              <w:pStyle w:val="TableParagraph"/>
              <w:spacing w:before="139"/>
              <w:ind w:right="122"/>
              <w:jc w:val="right"/>
              <w:rPr>
                <w:sz w:val="17"/>
              </w:rPr>
            </w:pPr>
            <w:r>
              <w:rPr>
                <w:spacing w:val="-4"/>
                <w:sz w:val="17"/>
              </w:rPr>
              <w:t>30.3</w:t>
            </w:r>
          </w:p>
        </w:tc>
        <w:tc>
          <w:tcPr>
            <w:tcW w:w="699" w:type="dxa"/>
            <w:tcBorders>
              <w:top w:val="single" w:color="DCDDDE" w:sz="4" w:space="0"/>
              <w:bottom w:val="single" w:color="DCDDDE" w:sz="4" w:space="0"/>
            </w:tcBorders>
          </w:tcPr>
          <w:p w:rsidR="00C31389" w:rsidRDefault="00561FBD" w14:paraId="245BFA4B" w14:textId="77777777">
            <w:pPr>
              <w:pStyle w:val="TableParagraph"/>
              <w:spacing w:before="139"/>
              <w:ind w:right="147"/>
              <w:jc w:val="right"/>
              <w:rPr>
                <w:sz w:val="17"/>
              </w:rPr>
            </w:pPr>
            <w:r>
              <w:rPr>
                <w:spacing w:val="-4"/>
                <w:sz w:val="17"/>
              </w:rPr>
              <w:t>25.0</w:t>
            </w:r>
          </w:p>
        </w:tc>
        <w:tc>
          <w:tcPr>
            <w:tcW w:w="675" w:type="dxa"/>
            <w:tcBorders>
              <w:top w:val="single" w:color="DCDDDE" w:sz="4" w:space="0"/>
              <w:bottom w:val="single" w:color="DCDDDE" w:sz="4" w:space="0"/>
            </w:tcBorders>
          </w:tcPr>
          <w:p w:rsidR="00C31389" w:rsidRDefault="00561FBD" w14:paraId="779DE017" w14:textId="77777777">
            <w:pPr>
              <w:pStyle w:val="TableParagraph"/>
              <w:spacing w:before="139"/>
              <w:ind w:left="109" w:right="64"/>
              <w:jc w:val="center"/>
              <w:rPr>
                <w:sz w:val="17"/>
              </w:rPr>
            </w:pPr>
            <w:r>
              <w:rPr>
                <w:spacing w:val="-4"/>
                <w:sz w:val="17"/>
              </w:rPr>
              <w:t>23.3</w:t>
            </w:r>
          </w:p>
        </w:tc>
        <w:tc>
          <w:tcPr>
            <w:tcW w:w="675" w:type="dxa"/>
            <w:tcBorders>
              <w:top w:val="single" w:color="DCDDDE" w:sz="4" w:space="0"/>
              <w:bottom w:val="single" w:color="DCDDDE" w:sz="4" w:space="0"/>
            </w:tcBorders>
          </w:tcPr>
          <w:p w:rsidR="00C31389" w:rsidRDefault="00561FBD" w14:paraId="7EAAD22E" w14:textId="77777777">
            <w:pPr>
              <w:pStyle w:val="TableParagraph"/>
              <w:spacing w:before="139"/>
              <w:ind w:left="109" w:right="65"/>
              <w:jc w:val="center"/>
              <w:rPr>
                <w:sz w:val="17"/>
              </w:rPr>
            </w:pPr>
            <w:r>
              <w:rPr>
                <w:spacing w:val="-4"/>
                <w:sz w:val="17"/>
              </w:rPr>
              <w:t>22.3</w:t>
            </w:r>
          </w:p>
        </w:tc>
        <w:tc>
          <w:tcPr>
            <w:tcW w:w="675" w:type="dxa"/>
            <w:tcBorders>
              <w:top w:val="single" w:color="DCDDDE" w:sz="4" w:space="0"/>
              <w:bottom w:val="single" w:color="DCDDDE" w:sz="4" w:space="0"/>
            </w:tcBorders>
          </w:tcPr>
          <w:p w:rsidR="00C31389" w:rsidRDefault="00561FBD" w14:paraId="7A4E2A6A" w14:textId="77777777">
            <w:pPr>
              <w:pStyle w:val="TableParagraph"/>
              <w:spacing w:before="139"/>
              <w:ind w:left="109" w:right="64"/>
              <w:jc w:val="center"/>
              <w:rPr>
                <w:sz w:val="17"/>
              </w:rPr>
            </w:pPr>
            <w:r>
              <w:rPr>
                <w:spacing w:val="-4"/>
                <w:sz w:val="17"/>
              </w:rPr>
              <w:t>20.7</w:t>
            </w:r>
          </w:p>
        </w:tc>
        <w:tc>
          <w:tcPr>
            <w:tcW w:w="675" w:type="dxa"/>
            <w:tcBorders>
              <w:top w:val="single" w:color="DCDDDE" w:sz="4" w:space="0"/>
              <w:bottom w:val="single" w:color="DCDDDE" w:sz="4" w:space="0"/>
            </w:tcBorders>
          </w:tcPr>
          <w:p w:rsidR="00C31389" w:rsidRDefault="00561FBD" w14:paraId="23BE2084" w14:textId="77777777">
            <w:pPr>
              <w:pStyle w:val="TableParagraph"/>
              <w:spacing w:before="139"/>
              <w:ind w:right="147"/>
              <w:jc w:val="right"/>
              <w:rPr>
                <w:sz w:val="17"/>
              </w:rPr>
            </w:pPr>
            <w:r>
              <w:rPr>
                <w:spacing w:val="-4"/>
                <w:sz w:val="17"/>
              </w:rPr>
              <w:t>19.6</w:t>
            </w:r>
          </w:p>
        </w:tc>
        <w:tc>
          <w:tcPr>
            <w:tcW w:w="675" w:type="dxa"/>
            <w:tcBorders>
              <w:top w:val="single" w:color="DCDDDE" w:sz="4" w:space="0"/>
              <w:bottom w:val="single" w:color="DCDDDE" w:sz="4" w:space="0"/>
            </w:tcBorders>
          </w:tcPr>
          <w:p w:rsidR="00C31389" w:rsidRDefault="00561FBD" w14:paraId="4FF2331B" w14:textId="77777777">
            <w:pPr>
              <w:pStyle w:val="TableParagraph"/>
              <w:spacing w:before="139"/>
              <w:ind w:right="146"/>
              <w:jc w:val="right"/>
              <w:rPr>
                <w:sz w:val="17"/>
              </w:rPr>
            </w:pPr>
            <w:r>
              <w:rPr>
                <w:spacing w:val="-4"/>
                <w:sz w:val="17"/>
              </w:rPr>
              <w:t>17.5</w:t>
            </w:r>
          </w:p>
        </w:tc>
        <w:tc>
          <w:tcPr>
            <w:tcW w:w="635" w:type="dxa"/>
            <w:tcBorders>
              <w:top w:val="single" w:color="DCDDDE" w:sz="4" w:space="0"/>
              <w:bottom w:val="single" w:color="DCDDDE" w:sz="4" w:space="0"/>
            </w:tcBorders>
          </w:tcPr>
          <w:p w:rsidR="00C31389" w:rsidRDefault="00561FBD" w14:paraId="199F73C5" w14:textId="77777777">
            <w:pPr>
              <w:pStyle w:val="TableParagraph"/>
              <w:spacing w:before="139"/>
              <w:ind w:right="107"/>
              <w:jc w:val="right"/>
              <w:rPr>
                <w:sz w:val="17"/>
              </w:rPr>
            </w:pPr>
            <w:r>
              <w:rPr>
                <w:spacing w:val="-4"/>
                <w:sz w:val="17"/>
              </w:rPr>
              <w:t>16.6</w:t>
            </w:r>
          </w:p>
        </w:tc>
      </w:tr>
      <w:tr w:rsidR="00C31389" w14:paraId="6FF18941" w14:textId="77777777">
        <w:trPr>
          <w:trHeight w:val="666"/>
        </w:trPr>
        <w:tc>
          <w:tcPr>
            <w:tcW w:w="1274" w:type="dxa"/>
            <w:tcBorders>
              <w:top w:val="single" w:color="DCDDDE" w:sz="4" w:space="0"/>
              <w:bottom w:val="single" w:color="545658" w:sz="8" w:space="0"/>
            </w:tcBorders>
          </w:tcPr>
          <w:p w:rsidR="00C31389" w:rsidRDefault="00561FBD" w14:paraId="6132B4D2" w14:textId="77777777">
            <w:pPr>
              <w:pStyle w:val="TableParagraph"/>
              <w:spacing w:before="39"/>
              <w:ind w:left="121" w:right="158"/>
              <w:rPr>
                <w:sz w:val="17"/>
              </w:rPr>
            </w:pPr>
            <w:r>
              <w:rPr>
                <w:spacing w:val="-4"/>
                <w:sz w:val="17"/>
              </w:rPr>
              <w:t xml:space="preserve">w/o </w:t>
            </w:r>
            <w:r>
              <w:rPr>
                <w:spacing w:val="-2"/>
                <w:sz w:val="17"/>
              </w:rPr>
              <w:t>Interactive Effects</w:t>
            </w:r>
          </w:p>
        </w:tc>
        <w:tc>
          <w:tcPr>
            <w:tcW w:w="691" w:type="dxa"/>
            <w:tcBorders>
              <w:top w:val="single" w:color="DCDDDE" w:sz="4" w:space="0"/>
              <w:bottom w:val="single" w:color="545658" w:sz="8" w:space="0"/>
            </w:tcBorders>
          </w:tcPr>
          <w:p w:rsidR="00C31389" w:rsidRDefault="00C31389" w14:paraId="714FCE1A" w14:textId="77777777">
            <w:pPr>
              <w:pStyle w:val="TableParagraph"/>
              <w:spacing w:before="6"/>
              <w:rPr>
                <w:b/>
                <w:sz w:val="20"/>
              </w:rPr>
            </w:pPr>
          </w:p>
          <w:p w:rsidR="00C31389" w:rsidRDefault="00561FBD" w14:paraId="1DA2B847" w14:textId="77777777">
            <w:pPr>
              <w:pStyle w:val="TableParagraph"/>
              <w:spacing w:before="0"/>
              <w:ind w:right="122"/>
              <w:jc w:val="right"/>
              <w:rPr>
                <w:sz w:val="17"/>
              </w:rPr>
            </w:pPr>
            <w:r>
              <w:rPr>
                <w:spacing w:val="-4"/>
                <w:sz w:val="17"/>
              </w:rPr>
              <w:t>36.9</w:t>
            </w:r>
          </w:p>
        </w:tc>
        <w:tc>
          <w:tcPr>
            <w:tcW w:w="675" w:type="dxa"/>
            <w:tcBorders>
              <w:top w:val="single" w:color="DCDDDE" w:sz="4" w:space="0"/>
              <w:bottom w:val="single" w:color="545658" w:sz="8" w:space="0"/>
            </w:tcBorders>
          </w:tcPr>
          <w:p w:rsidR="00C31389" w:rsidRDefault="00C31389" w14:paraId="068446F3" w14:textId="77777777">
            <w:pPr>
              <w:pStyle w:val="TableParagraph"/>
              <w:spacing w:before="6"/>
              <w:rPr>
                <w:b/>
                <w:sz w:val="20"/>
              </w:rPr>
            </w:pPr>
          </w:p>
          <w:p w:rsidR="00C31389" w:rsidRDefault="00561FBD" w14:paraId="1BA292E0" w14:textId="77777777">
            <w:pPr>
              <w:pStyle w:val="TableParagraph"/>
              <w:spacing w:before="0"/>
              <w:ind w:left="109" w:right="17"/>
              <w:jc w:val="center"/>
              <w:rPr>
                <w:sz w:val="17"/>
              </w:rPr>
            </w:pPr>
            <w:r>
              <w:rPr>
                <w:spacing w:val="-4"/>
                <w:sz w:val="17"/>
              </w:rPr>
              <w:t>34.3</w:t>
            </w:r>
          </w:p>
        </w:tc>
        <w:tc>
          <w:tcPr>
            <w:tcW w:w="675" w:type="dxa"/>
            <w:tcBorders>
              <w:top w:val="single" w:color="DCDDDE" w:sz="4" w:space="0"/>
              <w:bottom w:val="single" w:color="545658" w:sz="8" w:space="0"/>
            </w:tcBorders>
          </w:tcPr>
          <w:p w:rsidR="00C31389" w:rsidRDefault="00C31389" w14:paraId="46E95080" w14:textId="77777777">
            <w:pPr>
              <w:pStyle w:val="TableParagraph"/>
              <w:spacing w:before="6"/>
              <w:rPr>
                <w:b/>
                <w:sz w:val="20"/>
              </w:rPr>
            </w:pPr>
          </w:p>
          <w:p w:rsidR="00C31389" w:rsidRDefault="00561FBD" w14:paraId="7FC21005" w14:textId="77777777">
            <w:pPr>
              <w:pStyle w:val="TableParagraph"/>
              <w:spacing w:before="0"/>
              <w:ind w:right="123"/>
              <w:jc w:val="right"/>
              <w:rPr>
                <w:sz w:val="17"/>
              </w:rPr>
            </w:pPr>
            <w:r>
              <w:rPr>
                <w:spacing w:val="-4"/>
                <w:sz w:val="17"/>
              </w:rPr>
              <w:t>33.6</w:t>
            </w:r>
          </w:p>
        </w:tc>
        <w:tc>
          <w:tcPr>
            <w:tcW w:w="675" w:type="dxa"/>
            <w:tcBorders>
              <w:top w:val="single" w:color="DCDDDE" w:sz="4" w:space="0"/>
              <w:bottom w:val="single" w:color="545658" w:sz="8" w:space="0"/>
            </w:tcBorders>
          </w:tcPr>
          <w:p w:rsidR="00C31389" w:rsidRDefault="00C31389" w14:paraId="52ED81A2" w14:textId="77777777">
            <w:pPr>
              <w:pStyle w:val="TableParagraph"/>
              <w:spacing w:before="6"/>
              <w:rPr>
                <w:b/>
                <w:sz w:val="20"/>
              </w:rPr>
            </w:pPr>
          </w:p>
          <w:p w:rsidR="00C31389" w:rsidRDefault="00561FBD" w14:paraId="7C92FA64" w14:textId="77777777">
            <w:pPr>
              <w:pStyle w:val="TableParagraph"/>
              <w:spacing w:before="0"/>
              <w:ind w:right="123"/>
              <w:jc w:val="right"/>
              <w:rPr>
                <w:sz w:val="17"/>
              </w:rPr>
            </w:pPr>
            <w:r>
              <w:rPr>
                <w:spacing w:val="-4"/>
                <w:sz w:val="17"/>
              </w:rPr>
              <w:t>31.0</w:t>
            </w:r>
          </w:p>
        </w:tc>
        <w:tc>
          <w:tcPr>
            <w:tcW w:w="675" w:type="dxa"/>
            <w:tcBorders>
              <w:top w:val="single" w:color="DCDDDE" w:sz="4" w:space="0"/>
              <w:bottom w:val="single" w:color="545658" w:sz="8" w:space="0"/>
            </w:tcBorders>
          </w:tcPr>
          <w:p w:rsidR="00C31389" w:rsidRDefault="00C31389" w14:paraId="2D9CC6AA" w14:textId="77777777">
            <w:pPr>
              <w:pStyle w:val="TableParagraph"/>
              <w:spacing w:before="6"/>
              <w:rPr>
                <w:b/>
                <w:sz w:val="20"/>
              </w:rPr>
            </w:pPr>
          </w:p>
          <w:p w:rsidR="00C31389" w:rsidRDefault="00561FBD" w14:paraId="727E36CE" w14:textId="77777777">
            <w:pPr>
              <w:pStyle w:val="TableParagraph"/>
              <w:spacing w:before="0"/>
              <w:ind w:right="122"/>
              <w:jc w:val="right"/>
              <w:rPr>
                <w:sz w:val="17"/>
              </w:rPr>
            </w:pPr>
            <w:r>
              <w:rPr>
                <w:spacing w:val="-4"/>
                <w:sz w:val="17"/>
              </w:rPr>
              <w:t>29.4</w:t>
            </w:r>
          </w:p>
        </w:tc>
        <w:tc>
          <w:tcPr>
            <w:tcW w:w="699" w:type="dxa"/>
            <w:tcBorders>
              <w:top w:val="single" w:color="DCDDDE" w:sz="4" w:space="0"/>
              <w:bottom w:val="single" w:color="545658" w:sz="8" w:space="0"/>
            </w:tcBorders>
          </w:tcPr>
          <w:p w:rsidR="00C31389" w:rsidRDefault="00C31389" w14:paraId="6F096EE0" w14:textId="77777777">
            <w:pPr>
              <w:pStyle w:val="TableParagraph"/>
              <w:spacing w:before="6"/>
              <w:rPr>
                <w:b/>
                <w:sz w:val="20"/>
              </w:rPr>
            </w:pPr>
          </w:p>
          <w:p w:rsidR="00C31389" w:rsidRDefault="00561FBD" w14:paraId="57EF72E5" w14:textId="77777777">
            <w:pPr>
              <w:pStyle w:val="TableParagraph"/>
              <w:spacing w:before="0"/>
              <w:ind w:right="147"/>
              <w:jc w:val="right"/>
              <w:rPr>
                <w:sz w:val="17"/>
              </w:rPr>
            </w:pPr>
            <w:r>
              <w:rPr>
                <w:spacing w:val="-4"/>
                <w:sz w:val="17"/>
              </w:rPr>
              <w:t>24.8</w:t>
            </w:r>
          </w:p>
        </w:tc>
        <w:tc>
          <w:tcPr>
            <w:tcW w:w="675" w:type="dxa"/>
            <w:tcBorders>
              <w:top w:val="single" w:color="DCDDDE" w:sz="4" w:space="0"/>
              <w:bottom w:val="single" w:color="545658" w:sz="8" w:space="0"/>
            </w:tcBorders>
          </w:tcPr>
          <w:p w:rsidR="00C31389" w:rsidRDefault="00C31389" w14:paraId="1817AE36" w14:textId="77777777">
            <w:pPr>
              <w:pStyle w:val="TableParagraph"/>
              <w:spacing w:before="6"/>
              <w:rPr>
                <w:b/>
                <w:sz w:val="20"/>
              </w:rPr>
            </w:pPr>
          </w:p>
          <w:p w:rsidR="00C31389" w:rsidRDefault="00561FBD" w14:paraId="5F82FA1F" w14:textId="77777777">
            <w:pPr>
              <w:pStyle w:val="TableParagraph"/>
              <w:spacing w:before="0"/>
              <w:ind w:left="109" w:right="64"/>
              <w:jc w:val="center"/>
              <w:rPr>
                <w:sz w:val="17"/>
              </w:rPr>
            </w:pPr>
            <w:r>
              <w:rPr>
                <w:spacing w:val="-4"/>
                <w:sz w:val="17"/>
              </w:rPr>
              <w:t>23.2</w:t>
            </w:r>
          </w:p>
        </w:tc>
        <w:tc>
          <w:tcPr>
            <w:tcW w:w="675" w:type="dxa"/>
            <w:tcBorders>
              <w:top w:val="single" w:color="DCDDDE" w:sz="4" w:space="0"/>
              <w:bottom w:val="single" w:color="545658" w:sz="8" w:space="0"/>
            </w:tcBorders>
          </w:tcPr>
          <w:p w:rsidR="00C31389" w:rsidRDefault="00C31389" w14:paraId="3EC2736B" w14:textId="77777777">
            <w:pPr>
              <w:pStyle w:val="TableParagraph"/>
              <w:spacing w:before="6"/>
              <w:rPr>
                <w:b/>
                <w:sz w:val="20"/>
              </w:rPr>
            </w:pPr>
          </w:p>
          <w:p w:rsidR="00C31389" w:rsidRDefault="00561FBD" w14:paraId="44D2A8E3" w14:textId="77777777">
            <w:pPr>
              <w:pStyle w:val="TableParagraph"/>
              <w:spacing w:before="0"/>
              <w:ind w:left="109" w:right="65"/>
              <w:jc w:val="center"/>
              <w:rPr>
                <w:sz w:val="17"/>
              </w:rPr>
            </w:pPr>
            <w:r>
              <w:rPr>
                <w:spacing w:val="-4"/>
                <w:sz w:val="17"/>
              </w:rPr>
              <w:t>22.2</w:t>
            </w:r>
          </w:p>
        </w:tc>
        <w:tc>
          <w:tcPr>
            <w:tcW w:w="675" w:type="dxa"/>
            <w:tcBorders>
              <w:top w:val="single" w:color="DCDDDE" w:sz="4" w:space="0"/>
              <w:bottom w:val="single" w:color="545658" w:sz="8" w:space="0"/>
            </w:tcBorders>
          </w:tcPr>
          <w:p w:rsidR="00C31389" w:rsidRDefault="00C31389" w14:paraId="60A5DE36" w14:textId="77777777">
            <w:pPr>
              <w:pStyle w:val="TableParagraph"/>
              <w:spacing w:before="6"/>
              <w:rPr>
                <w:b/>
                <w:sz w:val="20"/>
              </w:rPr>
            </w:pPr>
          </w:p>
          <w:p w:rsidR="00C31389" w:rsidRDefault="00561FBD" w14:paraId="564A9DF9" w14:textId="77777777">
            <w:pPr>
              <w:pStyle w:val="TableParagraph"/>
              <w:spacing w:before="0"/>
              <w:ind w:left="109" w:right="64"/>
              <w:jc w:val="center"/>
              <w:rPr>
                <w:sz w:val="17"/>
              </w:rPr>
            </w:pPr>
            <w:r>
              <w:rPr>
                <w:spacing w:val="-4"/>
                <w:sz w:val="17"/>
              </w:rPr>
              <w:t>20.5</w:t>
            </w:r>
          </w:p>
        </w:tc>
        <w:tc>
          <w:tcPr>
            <w:tcW w:w="675" w:type="dxa"/>
            <w:tcBorders>
              <w:top w:val="single" w:color="DCDDDE" w:sz="4" w:space="0"/>
              <w:bottom w:val="single" w:color="545658" w:sz="8" w:space="0"/>
            </w:tcBorders>
          </w:tcPr>
          <w:p w:rsidR="00C31389" w:rsidRDefault="00C31389" w14:paraId="079B49EE" w14:textId="77777777">
            <w:pPr>
              <w:pStyle w:val="TableParagraph"/>
              <w:spacing w:before="6"/>
              <w:rPr>
                <w:b/>
                <w:sz w:val="20"/>
              </w:rPr>
            </w:pPr>
          </w:p>
          <w:p w:rsidR="00C31389" w:rsidRDefault="00561FBD" w14:paraId="6B6FD539" w14:textId="77777777">
            <w:pPr>
              <w:pStyle w:val="TableParagraph"/>
              <w:spacing w:before="0"/>
              <w:ind w:right="147"/>
              <w:jc w:val="right"/>
              <w:rPr>
                <w:sz w:val="17"/>
              </w:rPr>
            </w:pPr>
            <w:r>
              <w:rPr>
                <w:spacing w:val="-4"/>
                <w:sz w:val="17"/>
              </w:rPr>
              <w:t>19.5</w:t>
            </w:r>
          </w:p>
        </w:tc>
        <w:tc>
          <w:tcPr>
            <w:tcW w:w="675" w:type="dxa"/>
            <w:tcBorders>
              <w:top w:val="single" w:color="DCDDDE" w:sz="4" w:space="0"/>
              <w:bottom w:val="single" w:color="545658" w:sz="8" w:space="0"/>
            </w:tcBorders>
          </w:tcPr>
          <w:p w:rsidR="00C31389" w:rsidRDefault="00C31389" w14:paraId="3C53DA87" w14:textId="77777777">
            <w:pPr>
              <w:pStyle w:val="TableParagraph"/>
              <w:spacing w:before="6"/>
              <w:rPr>
                <w:b/>
                <w:sz w:val="20"/>
              </w:rPr>
            </w:pPr>
          </w:p>
          <w:p w:rsidR="00C31389" w:rsidRDefault="00561FBD" w14:paraId="77F33964" w14:textId="77777777">
            <w:pPr>
              <w:pStyle w:val="TableParagraph"/>
              <w:spacing w:before="0"/>
              <w:ind w:right="147"/>
              <w:jc w:val="right"/>
              <w:rPr>
                <w:sz w:val="17"/>
              </w:rPr>
            </w:pPr>
            <w:r>
              <w:rPr>
                <w:spacing w:val="-4"/>
                <w:sz w:val="17"/>
              </w:rPr>
              <w:t>17.4</w:t>
            </w:r>
          </w:p>
        </w:tc>
        <w:tc>
          <w:tcPr>
            <w:tcW w:w="635" w:type="dxa"/>
            <w:tcBorders>
              <w:top w:val="single" w:color="DCDDDE" w:sz="4" w:space="0"/>
              <w:bottom w:val="single" w:color="545658" w:sz="8" w:space="0"/>
            </w:tcBorders>
          </w:tcPr>
          <w:p w:rsidR="00C31389" w:rsidRDefault="00C31389" w14:paraId="48EDB50D" w14:textId="77777777">
            <w:pPr>
              <w:pStyle w:val="TableParagraph"/>
              <w:spacing w:before="6"/>
              <w:rPr>
                <w:b/>
                <w:sz w:val="20"/>
              </w:rPr>
            </w:pPr>
          </w:p>
          <w:p w:rsidR="00C31389" w:rsidRDefault="00561FBD" w14:paraId="62479A26" w14:textId="77777777">
            <w:pPr>
              <w:pStyle w:val="TableParagraph"/>
              <w:spacing w:before="0"/>
              <w:ind w:right="107"/>
              <w:jc w:val="right"/>
              <w:rPr>
                <w:sz w:val="17"/>
              </w:rPr>
            </w:pPr>
            <w:r>
              <w:rPr>
                <w:spacing w:val="-4"/>
                <w:sz w:val="17"/>
              </w:rPr>
              <w:t>16.5</w:t>
            </w:r>
          </w:p>
        </w:tc>
      </w:tr>
    </w:tbl>
    <w:p w:rsidR="00C31389" w:rsidRDefault="00561FBD" w14:paraId="202B8092" w14:textId="77777777">
      <w:pPr>
        <w:spacing w:before="68"/>
        <w:ind w:left="220"/>
        <w:rPr>
          <w:i/>
          <w:sz w:val="18"/>
        </w:rPr>
      </w:pPr>
      <w:r>
        <w:rPr>
          <w:i/>
          <w:sz w:val="18"/>
        </w:rPr>
        <w:t>Source:</w:t>
      </w:r>
      <w:r>
        <w:rPr>
          <w:i/>
          <w:spacing w:val="-4"/>
          <w:sz w:val="18"/>
        </w:rPr>
        <w:t xml:space="preserve"> </w:t>
      </w:r>
      <w:r>
        <w:rPr>
          <w:i/>
          <w:spacing w:val="-2"/>
          <w:sz w:val="18"/>
        </w:rPr>
        <w:t>Guidehouse</w:t>
      </w:r>
    </w:p>
    <w:p w:rsidR="00C31389" w:rsidRDefault="00C31389" w14:paraId="3FF0218D" w14:textId="77777777">
      <w:pPr>
        <w:pStyle w:val="BodyText"/>
        <w:spacing w:before="10"/>
        <w:rPr>
          <w:i/>
          <w:sz w:val="12"/>
        </w:rPr>
      </w:pPr>
    </w:p>
    <w:p w:rsidR="00C31389" w:rsidRDefault="00561FBD" w14:paraId="7A44071E" w14:textId="77777777">
      <w:pPr>
        <w:pStyle w:val="Heading7"/>
        <w:spacing w:before="92"/>
        <w:ind w:left="1979" w:right="1963"/>
        <w:jc w:val="center"/>
      </w:pPr>
      <w:bookmarkStart w:name="_bookmark546" w:id="718"/>
      <w:bookmarkEnd w:id="718"/>
      <w:r>
        <w:t>Table</w:t>
      </w:r>
      <w:r>
        <w:rPr>
          <w:spacing w:val="-7"/>
        </w:rPr>
        <w:t xml:space="preserve"> </w:t>
      </w:r>
      <w:r>
        <w:t>J-20.</w:t>
      </w:r>
      <w:r>
        <w:rPr>
          <w:spacing w:val="-8"/>
        </w:rPr>
        <w:t xml:space="preserve"> </w:t>
      </w:r>
      <w:r>
        <w:t>SDG&amp;E</w:t>
      </w:r>
      <w:r>
        <w:rPr>
          <w:spacing w:val="-7"/>
        </w:rPr>
        <w:t xml:space="preserve"> </w:t>
      </w:r>
      <w:r>
        <w:t>Gas</w:t>
      </w:r>
      <w:r>
        <w:rPr>
          <w:spacing w:val="-7"/>
        </w:rPr>
        <w:t xml:space="preserve"> </w:t>
      </w:r>
      <w:r>
        <w:t>Energy</w:t>
      </w:r>
      <w:r>
        <w:rPr>
          <w:spacing w:val="-7"/>
        </w:rPr>
        <w:t xml:space="preserve"> </w:t>
      </w:r>
      <w:r>
        <w:t>Savings</w:t>
      </w:r>
      <w:r>
        <w:rPr>
          <w:spacing w:val="-7"/>
        </w:rPr>
        <w:t xml:space="preserve"> </w:t>
      </w:r>
      <w:r>
        <w:rPr>
          <w:spacing w:val="-2"/>
        </w:rPr>
        <w:t>(MMtherm/year)</w:t>
      </w:r>
    </w:p>
    <w:p w:rsidR="00C31389" w:rsidRDefault="00C31389" w14:paraId="1ED2157E" w14:textId="77777777">
      <w:pPr>
        <w:pStyle w:val="BodyText"/>
        <w:spacing w:before="7"/>
        <w:rPr>
          <w:b/>
          <w:sz w:val="9"/>
        </w:rPr>
      </w:pPr>
    </w:p>
    <w:tbl>
      <w:tblPr>
        <w:tblW w:w="0" w:type="auto"/>
        <w:tblInd w:w="213" w:type="dxa"/>
        <w:tblLayout w:type="fixed"/>
        <w:tblCellMar>
          <w:left w:w="0" w:type="dxa"/>
          <w:right w:w="0" w:type="dxa"/>
        </w:tblCellMar>
        <w:tblLook w:val="01E0" w:firstRow="1" w:lastRow="1" w:firstColumn="1" w:lastColumn="1" w:noHBand="0" w:noVBand="0"/>
      </w:tblPr>
      <w:tblGrid>
        <w:gridCol w:w="1460"/>
        <w:gridCol w:w="757"/>
        <w:gridCol w:w="653"/>
        <w:gridCol w:w="653"/>
        <w:gridCol w:w="652"/>
        <w:gridCol w:w="653"/>
        <w:gridCol w:w="653"/>
        <w:gridCol w:w="652"/>
        <w:gridCol w:w="653"/>
        <w:gridCol w:w="653"/>
        <w:gridCol w:w="652"/>
        <w:gridCol w:w="653"/>
        <w:gridCol w:w="623"/>
      </w:tblGrid>
      <w:tr w:rsidR="00C31389" w14:paraId="7633C938" w14:textId="77777777">
        <w:trPr>
          <w:trHeight w:val="304"/>
        </w:trPr>
        <w:tc>
          <w:tcPr>
            <w:tcW w:w="1460" w:type="dxa"/>
            <w:shd w:val="clear" w:color="auto" w:fill="92D400"/>
          </w:tcPr>
          <w:p w:rsidR="00C31389" w:rsidRDefault="00561FBD" w14:paraId="7C8F4588" w14:textId="77777777">
            <w:pPr>
              <w:pStyle w:val="TableParagraph"/>
              <w:spacing w:before="41"/>
              <w:ind w:left="122"/>
              <w:rPr>
                <w:b/>
                <w:sz w:val="17"/>
              </w:rPr>
            </w:pPr>
            <w:r>
              <w:rPr>
                <w:b/>
                <w:spacing w:val="-4"/>
                <w:sz w:val="17"/>
              </w:rPr>
              <w:t>Year</w:t>
            </w:r>
          </w:p>
        </w:tc>
        <w:tc>
          <w:tcPr>
            <w:tcW w:w="757" w:type="dxa"/>
            <w:shd w:val="clear" w:color="auto" w:fill="92D400"/>
          </w:tcPr>
          <w:p w:rsidR="00C31389" w:rsidRDefault="00561FBD" w14:paraId="1F6B6C8B" w14:textId="77777777">
            <w:pPr>
              <w:pStyle w:val="TableParagraph"/>
              <w:spacing w:before="41"/>
              <w:ind w:right="134"/>
              <w:jc w:val="right"/>
              <w:rPr>
                <w:b/>
                <w:sz w:val="17"/>
              </w:rPr>
            </w:pPr>
            <w:r>
              <w:rPr>
                <w:b/>
                <w:spacing w:val="-4"/>
                <w:sz w:val="17"/>
              </w:rPr>
              <w:t>2024</w:t>
            </w:r>
          </w:p>
        </w:tc>
        <w:tc>
          <w:tcPr>
            <w:tcW w:w="653" w:type="dxa"/>
            <w:shd w:val="clear" w:color="auto" w:fill="92D400"/>
          </w:tcPr>
          <w:p w:rsidR="00C31389" w:rsidRDefault="00561FBD" w14:paraId="772FC6F7" w14:textId="77777777">
            <w:pPr>
              <w:pStyle w:val="TableParagraph"/>
              <w:spacing w:before="41"/>
              <w:ind w:right="134"/>
              <w:jc w:val="right"/>
              <w:rPr>
                <w:b/>
                <w:sz w:val="17"/>
              </w:rPr>
            </w:pPr>
            <w:r>
              <w:rPr>
                <w:b/>
                <w:spacing w:val="-4"/>
                <w:sz w:val="17"/>
              </w:rPr>
              <w:t>2025</w:t>
            </w:r>
          </w:p>
        </w:tc>
        <w:tc>
          <w:tcPr>
            <w:tcW w:w="653" w:type="dxa"/>
            <w:shd w:val="clear" w:color="auto" w:fill="92D400"/>
          </w:tcPr>
          <w:p w:rsidR="00C31389" w:rsidRDefault="00561FBD" w14:paraId="7EF0F3F4" w14:textId="77777777">
            <w:pPr>
              <w:pStyle w:val="TableParagraph"/>
              <w:spacing w:before="41"/>
              <w:ind w:right="133"/>
              <w:jc w:val="right"/>
              <w:rPr>
                <w:b/>
                <w:sz w:val="17"/>
              </w:rPr>
            </w:pPr>
            <w:r>
              <w:rPr>
                <w:b/>
                <w:spacing w:val="-4"/>
                <w:sz w:val="17"/>
              </w:rPr>
              <w:t>2026</w:t>
            </w:r>
          </w:p>
        </w:tc>
        <w:tc>
          <w:tcPr>
            <w:tcW w:w="652" w:type="dxa"/>
            <w:shd w:val="clear" w:color="auto" w:fill="92D400"/>
          </w:tcPr>
          <w:p w:rsidR="00C31389" w:rsidRDefault="00561FBD" w14:paraId="7CCBCC27" w14:textId="77777777">
            <w:pPr>
              <w:pStyle w:val="TableParagraph"/>
              <w:spacing w:before="41"/>
              <w:ind w:right="133"/>
              <w:jc w:val="right"/>
              <w:rPr>
                <w:b/>
                <w:sz w:val="17"/>
              </w:rPr>
            </w:pPr>
            <w:r>
              <w:rPr>
                <w:b/>
                <w:spacing w:val="-4"/>
                <w:sz w:val="17"/>
              </w:rPr>
              <w:t>2027</w:t>
            </w:r>
          </w:p>
        </w:tc>
        <w:tc>
          <w:tcPr>
            <w:tcW w:w="653" w:type="dxa"/>
            <w:shd w:val="clear" w:color="auto" w:fill="92D400"/>
          </w:tcPr>
          <w:p w:rsidR="00C31389" w:rsidRDefault="00561FBD" w14:paraId="3163DF64" w14:textId="77777777">
            <w:pPr>
              <w:pStyle w:val="TableParagraph"/>
              <w:spacing w:before="41"/>
              <w:ind w:left="122" w:right="119"/>
              <w:jc w:val="center"/>
              <w:rPr>
                <w:b/>
                <w:sz w:val="17"/>
              </w:rPr>
            </w:pPr>
            <w:r>
              <w:rPr>
                <w:b/>
                <w:spacing w:val="-4"/>
                <w:sz w:val="17"/>
              </w:rPr>
              <w:t>2028</w:t>
            </w:r>
          </w:p>
        </w:tc>
        <w:tc>
          <w:tcPr>
            <w:tcW w:w="653" w:type="dxa"/>
            <w:shd w:val="clear" w:color="auto" w:fill="92D400"/>
          </w:tcPr>
          <w:p w:rsidR="00C31389" w:rsidRDefault="00561FBD" w14:paraId="5F7DD678" w14:textId="77777777">
            <w:pPr>
              <w:pStyle w:val="TableParagraph"/>
              <w:spacing w:before="41"/>
              <w:ind w:right="132"/>
              <w:jc w:val="right"/>
              <w:rPr>
                <w:b/>
                <w:sz w:val="17"/>
              </w:rPr>
            </w:pPr>
            <w:r>
              <w:rPr>
                <w:b/>
                <w:spacing w:val="-4"/>
                <w:sz w:val="17"/>
              </w:rPr>
              <w:t>2029</w:t>
            </w:r>
          </w:p>
        </w:tc>
        <w:tc>
          <w:tcPr>
            <w:tcW w:w="652" w:type="dxa"/>
            <w:shd w:val="clear" w:color="auto" w:fill="92D400"/>
          </w:tcPr>
          <w:p w:rsidR="00C31389" w:rsidRDefault="00561FBD" w14:paraId="79999CF2" w14:textId="77777777">
            <w:pPr>
              <w:pStyle w:val="TableParagraph"/>
              <w:spacing w:before="41"/>
              <w:ind w:right="131"/>
              <w:jc w:val="right"/>
              <w:rPr>
                <w:b/>
                <w:sz w:val="17"/>
              </w:rPr>
            </w:pPr>
            <w:r>
              <w:rPr>
                <w:b/>
                <w:spacing w:val="-4"/>
                <w:sz w:val="17"/>
              </w:rPr>
              <w:t>2030</w:t>
            </w:r>
          </w:p>
        </w:tc>
        <w:tc>
          <w:tcPr>
            <w:tcW w:w="653" w:type="dxa"/>
            <w:shd w:val="clear" w:color="auto" w:fill="92D400"/>
          </w:tcPr>
          <w:p w:rsidR="00C31389" w:rsidRDefault="00561FBD" w14:paraId="1526EA93" w14:textId="77777777">
            <w:pPr>
              <w:pStyle w:val="TableParagraph"/>
              <w:spacing w:before="41"/>
              <w:ind w:right="131"/>
              <w:jc w:val="right"/>
              <w:rPr>
                <w:b/>
                <w:sz w:val="17"/>
              </w:rPr>
            </w:pPr>
            <w:r>
              <w:rPr>
                <w:b/>
                <w:spacing w:val="-4"/>
                <w:sz w:val="17"/>
              </w:rPr>
              <w:t>2031</w:t>
            </w:r>
          </w:p>
        </w:tc>
        <w:tc>
          <w:tcPr>
            <w:tcW w:w="653" w:type="dxa"/>
            <w:shd w:val="clear" w:color="auto" w:fill="92D400"/>
          </w:tcPr>
          <w:p w:rsidR="00C31389" w:rsidRDefault="00561FBD" w14:paraId="1101CA38" w14:textId="77777777">
            <w:pPr>
              <w:pStyle w:val="TableParagraph"/>
              <w:spacing w:before="41"/>
              <w:ind w:right="129"/>
              <w:jc w:val="right"/>
              <w:rPr>
                <w:b/>
                <w:sz w:val="17"/>
              </w:rPr>
            </w:pPr>
            <w:r>
              <w:rPr>
                <w:b/>
                <w:spacing w:val="-4"/>
                <w:sz w:val="17"/>
              </w:rPr>
              <w:t>2032</w:t>
            </w:r>
          </w:p>
        </w:tc>
        <w:tc>
          <w:tcPr>
            <w:tcW w:w="652" w:type="dxa"/>
            <w:shd w:val="clear" w:color="auto" w:fill="92D400"/>
          </w:tcPr>
          <w:p w:rsidR="00C31389" w:rsidRDefault="00561FBD" w14:paraId="0CB77E65" w14:textId="77777777">
            <w:pPr>
              <w:pStyle w:val="TableParagraph"/>
              <w:spacing w:before="41"/>
              <w:ind w:right="128"/>
              <w:jc w:val="right"/>
              <w:rPr>
                <w:b/>
                <w:sz w:val="17"/>
              </w:rPr>
            </w:pPr>
            <w:r>
              <w:rPr>
                <w:b/>
                <w:spacing w:val="-4"/>
                <w:sz w:val="17"/>
              </w:rPr>
              <w:t>2033</w:t>
            </w:r>
          </w:p>
        </w:tc>
        <w:tc>
          <w:tcPr>
            <w:tcW w:w="653" w:type="dxa"/>
            <w:shd w:val="clear" w:color="auto" w:fill="92D400"/>
          </w:tcPr>
          <w:p w:rsidR="00C31389" w:rsidRDefault="00561FBD" w14:paraId="76789712" w14:textId="77777777">
            <w:pPr>
              <w:pStyle w:val="TableParagraph"/>
              <w:spacing w:before="41"/>
              <w:ind w:left="126" w:right="114"/>
              <w:jc w:val="center"/>
              <w:rPr>
                <w:b/>
                <w:sz w:val="17"/>
              </w:rPr>
            </w:pPr>
            <w:r>
              <w:rPr>
                <w:b/>
                <w:spacing w:val="-4"/>
                <w:sz w:val="17"/>
              </w:rPr>
              <w:t>2034</w:t>
            </w:r>
          </w:p>
        </w:tc>
        <w:tc>
          <w:tcPr>
            <w:tcW w:w="623" w:type="dxa"/>
            <w:shd w:val="clear" w:color="auto" w:fill="92D400"/>
          </w:tcPr>
          <w:p w:rsidR="00C31389" w:rsidRDefault="00561FBD" w14:paraId="0B487817" w14:textId="77777777">
            <w:pPr>
              <w:pStyle w:val="TableParagraph"/>
              <w:spacing w:before="41"/>
              <w:ind w:right="97"/>
              <w:jc w:val="right"/>
              <w:rPr>
                <w:b/>
                <w:sz w:val="17"/>
              </w:rPr>
            </w:pPr>
            <w:r>
              <w:rPr>
                <w:b/>
                <w:spacing w:val="-4"/>
                <w:sz w:val="17"/>
              </w:rPr>
              <w:t>2035</w:t>
            </w:r>
          </w:p>
        </w:tc>
      </w:tr>
      <w:tr w:rsidR="00C31389" w14:paraId="1C54B9A5" w14:textId="77777777">
        <w:trPr>
          <w:trHeight w:val="275"/>
        </w:trPr>
        <w:tc>
          <w:tcPr>
            <w:tcW w:w="9367" w:type="dxa"/>
            <w:gridSpan w:val="13"/>
            <w:tcBorders>
              <w:bottom w:val="single" w:color="DCDDDE" w:sz="4" w:space="0"/>
            </w:tcBorders>
            <w:shd w:val="clear" w:color="auto" w:fill="BEBEBE"/>
          </w:tcPr>
          <w:p w:rsidR="00C31389" w:rsidRDefault="00561FBD" w14:paraId="3BBB5265" w14:textId="77777777">
            <w:pPr>
              <w:pStyle w:val="TableParagraph"/>
              <w:spacing w:before="41"/>
              <w:ind w:left="122"/>
              <w:rPr>
                <w:b/>
                <w:sz w:val="17"/>
              </w:rPr>
            </w:pPr>
            <w:r>
              <w:rPr>
                <w:b/>
                <w:sz w:val="17"/>
              </w:rPr>
              <w:t>Scenario</w:t>
            </w:r>
            <w:r>
              <w:rPr>
                <w:b/>
                <w:spacing w:val="-3"/>
                <w:sz w:val="17"/>
              </w:rPr>
              <w:t xml:space="preserve"> </w:t>
            </w:r>
            <w:r>
              <w:rPr>
                <w:b/>
                <w:sz w:val="17"/>
              </w:rPr>
              <w:t>1:</w:t>
            </w:r>
            <w:r>
              <w:rPr>
                <w:b/>
                <w:spacing w:val="-2"/>
                <w:sz w:val="17"/>
              </w:rPr>
              <w:t xml:space="preserve"> </w:t>
            </w:r>
            <w:r>
              <w:rPr>
                <w:b/>
                <w:sz w:val="17"/>
              </w:rPr>
              <w:t>No</w:t>
            </w:r>
            <w:r>
              <w:rPr>
                <w:b/>
                <w:spacing w:val="-3"/>
                <w:sz w:val="17"/>
              </w:rPr>
              <w:t xml:space="preserve"> </w:t>
            </w:r>
            <w:r>
              <w:rPr>
                <w:b/>
                <w:spacing w:val="-5"/>
                <w:sz w:val="17"/>
              </w:rPr>
              <w:t>IRA</w:t>
            </w:r>
          </w:p>
        </w:tc>
      </w:tr>
      <w:tr w:rsidR="00C31389" w14:paraId="41AEC03B" w14:textId="77777777">
        <w:trPr>
          <w:trHeight w:val="275"/>
        </w:trPr>
        <w:tc>
          <w:tcPr>
            <w:tcW w:w="1460" w:type="dxa"/>
            <w:tcBorders>
              <w:top w:val="single" w:color="DCDDDE" w:sz="4" w:space="0"/>
              <w:bottom w:val="single" w:color="DCDDDE" w:sz="4" w:space="0"/>
            </w:tcBorders>
          </w:tcPr>
          <w:p w:rsidR="00C31389" w:rsidRDefault="00561FBD" w14:paraId="7962B752" w14:textId="77777777">
            <w:pPr>
              <w:pStyle w:val="TableParagraph"/>
              <w:ind w:left="122"/>
              <w:rPr>
                <w:sz w:val="17"/>
              </w:rPr>
            </w:pPr>
            <w:r>
              <w:rPr>
                <w:spacing w:val="-5"/>
                <w:sz w:val="17"/>
              </w:rPr>
              <w:t>EE</w:t>
            </w:r>
          </w:p>
        </w:tc>
        <w:tc>
          <w:tcPr>
            <w:tcW w:w="757" w:type="dxa"/>
            <w:tcBorders>
              <w:top w:val="single" w:color="DCDDDE" w:sz="4" w:space="0"/>
              <w:bottom w:val="single" w:color="D9D9D9" w:sz="8" w:space="0"/>
            </w:tcBorders>
          </w:tcPr>
          <w:p w:rsidR="00C31389" w:rsidRDefault="00561FBD" w14:paraId="5B1FB076" w14:textId="77777777">
            <w:pPr>
              <w:pStyle w:val="TableParagraph"/>
              <w:ind w:right="135"/>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69C17974" w14:textId="77777777">
            <w:pPr>
              <w:pStyle w:val="TableParagraph"/>
              <w:ind w:right="135"/>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3E5D4822" w14:textId="77777777">
            <w:pPr>
              <w:pStyle w:val="TableParagraph"/>
              <w:ind w:right="134"/>
              <w:jc w:val="right"/>
              <w:rPr>
                <w:sz w:val="17"/>
              </w:rPr>
            </w:pPr>
            <w:r>
              <w:rPr>
                <w:spacing w:val="-5"/>
                <w:sz w:val="17"/>
              </w:rPr>
              <w:t>1.0</w:t>
            </w:r>
          </w:p>
        </w:tc>
        <w:tc>
          <w:tcPr>
            <w:tcW w:w="652" w:type="dxa"/>
            <w:tcBorders>
              <w:top w:val="single" w:color="DCDDDE" w:sz="4" w:space="0"/>
              <w:bottom w:val="single" w:color="D9D9D9" w:sz="8" w:space="0"/>
            </w:tcBorders>
          </w:tcPr>
          <w:p w:rsidR="00C31389" w:rsidRDefault="00561FBD" w14:paraId="1BA516E5" w14:textId="77777777">
            <w:pPr>
              <w:pStyle w:val="TableParagraph"/>
              <w:ind w:right="134"/>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276C212A" w14:textId="77777777">
            <w:pPr>
              <w:pStyle w:val="TableParagraph"/>
              <w:ind w:left="263" w:right="119"/>
              <w:jc w:val="center"/>
              <w:rPr>
                <w:sz w:val="17"/>
              </w:rPr>
            </w:pPr>
            <w:r>
              <w:rPr>
                <w:spacing w:val="-5"/>
                <w:sz w:val="17"/>
              </w:rPr>
              <w:t>1.2</w:t>
            </w:r>
          </w:p>
        </w:tc>
        <w:tc>
          <w:tcPr>
            <w:tcW w:w="653" w:type="dxa"/>
            <w:tcBorders>
              <w:top w:val="single" w:color="DCDDDE" w:sz="4" w:space="0"/>
              <w:bottom w:val="single" w:color="D9D9D9" w:sz="8" w:space="0"/>
            </w:tcBorders>
          </w:tcPr>
          <w:p w:rsidR="00C31389" w:rsidRDefault="00561FBD" w14:paraId="7A411727" w14:textId="77777777">
            <w:pPr>
              <w:pStyle w:val="TableParagraph"/>
              <w:ind w:right="133"/>
              <w:jc w:val="right"/>
              <w:rPr>
                <w:sz w:val="17"/>
              </w:rPr>
            </w:pPr>
            <w:r>
              <w:rPr>
                <w:spacing w:val="-5"/>
                <w:sz w:val="17"/>
              </w:rPr>
              <w:t>1.2</w:t>
            </w:r>
          </w:p>
        </w:tc>
        <w:tc>
          <w:tcPr>
            <w:tcW w:w="652" w:type="dxa"/>
            <w:tcBorders>
              <w:top w:val="single" w:color="DCDDDE" w:sz="4" w:space="0"/>
              <w:bottom w:val="single" w:color="D9D9D9" w:sz="8" w:space="0"/>
            </w:tcBorders>
          </w:tcPr>
          <w:p w:rsidR="00C31389" w:rsidRDefault="00561FBD" w14:paraId="2E223DA3" w14:textId="77777777">
            <w:pPr>
              <w:pStyle w:val="TableParagraph"/>
              <w:ind w:right="132"/>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72A36377" w14:textId="77777777">
            <w:pPr>
              <w:pStyle w:val="TableParagraph"/>
              <w:ind w:right="132"/>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012BB07D" w14:textId="77777777">
            <w:pPr>
              <w:pStyle w:val="TableParagraph"/>
              <w:ind w:right="130"/>
              <w:jc w:val="right"/>
              <w:rPr>
                <w:sz w:val="17"/>
              </w:rPr>
            </w:pPr>
            <w:r>
              <w:rPr>
                <w:spacing w:val="-5"/>
                <w:sz w:val="17"/>
              </w:rPr>
              <w:t>0.7</w:t>
            </w:r>
          </w:p>
        </w:tc>
        <w:tc>
          <w:tcPr>
            <w:tcW w:w="652" w:type="dxa"/>
            <w:tcBorders>
              <w:top w:val="single" w:color="DCDDDE" w:sz="4" w:space="0"/>
              <w:bottom w:val="single" w:color="D9D9D9" w:sz="8" w:space="0"/>
            </w:tcBorders>
          </w:tcPr>
          <w:p w:rsidR="00C31389" w:rsidRDefault="00561FBD" w14:paraId="041E6063" w14:textId="77777777">
            <w:pPr>
              <w:pStyle w:val="TableParagraph"/>
              <w:ind w:right="129"/>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1C64798E" w14:textId="77777777">
            <w:pPr>
              <w:pStyle w:val="TableParagraph"/>
              <w:ind w:left="267" w:right="115"/>
              <w:jc w:val="center"/>
              <w:rPr>
                <w:sz w:val="17"/>
              </w:rPr>
            </w:pPr>
            <w:r>
              <w:rPr>
                <w:spacing w:val="-5"/>
                <w:sz w:val="17"/>
              </w:rPr>
              <w:t>0.8</w:t>
            </w:r>
          </w:p>
        </w:tc>
        <w:tc>
          <w:tcPr>
            <w:tcW w:w="623" w:type="dxa"/>
            <w:tcBorders>
              <w:top w:val="single" w:color="DCDDDE" w:sz="4" w:space="0"/>
              <w:bottom w:val="single" w:color="D9D9D9" w:sz="8" w:space="0"/>
            </w:tcBorders>
          </w:tcPr>
          <w:p w:rsidR="00C31389" w:rsidRDefault="00561FBD" w14:paraId="5597F56A" w14:textId="77777777">
            <w:pPr>
              <w:pStyle w:val="TableParagraph"/>
              <w:ind w:right="98"/>
              <w:jc w:val="right"/>
              <w:rPr>
                <w:sz w:val="17"/>
              </w:rPr>
            </w:pPr>
            <w:r>
              <w:rPr>
                <w:spacing w:val="-5"/>
                <w:sz w:val="17"/>
              </w:rPr>
              <w:t>0.8</w:t>
            </w:r>
          </w:p>
        </w:tc>
      </w:tr>
      <w:tr w:rsidR="00C31389" w14:paraId="72F0892C" w14:textId="77777777">
        <w:trPr>
          <w:trHeight w:val="275"/>
        </w:trPr>
        <w:tc>
          <w:tcPr>
            <w:tcW w:w="1460" w:type="dxa"/>
            <w:tcBorders>
              <w:top w:val="single" w:color="DCDDDE" w:sz="4" w:space="0"/>
              <w:bottom w:val="single" w:color="DCDDDE" w:sz="4" w:space="0"/>
            </w:tcBorders>
          </w:tcPr>
          <w:p w:rsidR="00C31389" w:rsidRDefault="00561FBD" w14:paraId="68117BFC" w14:textId="77777777">
            <w:pPr>
              <w:pStyle w:val="TableParagraph"/>
              <w:ind w:left="122"/>
              <w:rPr>
                <w:sz w:val="17"/>
              </w:rPr>
            </w:pPr>
            <w:r>
              <w:rPr>
                <w:spacing w:val="-5"/>
                <w:sz w:val="17"/>
              </w:rPr>
              <w:t>FS</w:t>
            </w:r>
          </w:p>
        </w:tc>
        <w:tc>
          <w:tcPr>
            <w:tcW w:w="757" w:type="dxa"/>
            <w:tcBorders>
              <w:top w:val="single" w:color="D9D9D9" w:sz="8" w:space="0"/>
              <w:bottom w:val="single" w:color="D9D9D9" w:sz="8" w:space="0"/>
            </w:tcBorders>
          </w:tcPr>
          <w:p w:rsidR="00C31389" w:rsidRDefault="00561FBD" w14:paraId="01CE699D" w14:textId="77777777">
            <w:pPr>
              <w:pStyle w:val="TableParagraph"/>
              <w:ind w:right="135"/>
              <w:jc w:val="right"/>
              <w:rPr>
                <w:sz w:val="17"/>
              </w:rPr>
            </w:pPr>
            <w:r>
              <w:rPr>
                <w:spacing w:val="-5"/>
                <w:sz w:val="17"/>
              </w:rPr>
              <w:t>0.0</w:t>
            </w:r>
          </w:p>
        </w:tc>
        <w:tc>
          <w:tcPr>
            <w:tcW w:w="653" w:type="dxa"/>
            <w:tcBorders>
              <w:top w:val="single" w:color="D9D9D9" w:sz="8" w:space="0"/>
              <w:bottom w:val="single" w:color="D9D9D9" w:sz="8" w:space="0"/>
            </w:tcBorders>
          </w:tcPr>
          <w:p w:rsidR="00C31389" w:rsidRDefault="00561FBD" w14:paraId="66B65133" w14:textId="77777777">
            <w:pPr>
              <w:pStyle w:val="TableParagraph"/>
              <w:ind w:right="135"/>
              <w:jc w:val="right"/>
              <w:rPr>
                <w:sz w:val="17"/>
              </w:rPr>
            </w:pPr>
            <w:r>
              <w:rPr>
                <w:spacing w:val="-5"/>
                <w:sz w:val="17"/>
              </w:rPr>
              <w:t>0.0</w:t>
            </w:r>
          </w:p>
        </w:tc>
        <w:tc>
          <w:tcPr>
            <w:tcW w:w="653" w:type="dxa"/>
            <w:tcBorders>
              <w:top w:val="single" w:color="D9D9D9" w:sz="8" w:space="0"/>
              <w:bottom w:val="single" w:color="D9D9D9" w:sz="8" w:space="0"/>
            </w:tcBorders>
          </w:tcPr>
          <w:p w:rsidR="00C31389" w:rsidRDefault="00561FBD" w14:paraId="7B55EEF6" w14:textId="77777777">
            <w:pPr>
              <w:pStyle w:val="TableParagraph"/>
              <w:ind w:right="134"/>
              <w:jc w:val="right"/>
              <w:rPr>
                <w:sz w:val="17"/>
              </w:rPr>
            </w:pPr>
            <w:r>
              <w:rPr>
                <w:spacing w:val="-5"/>
                <w:sz w:val="17"/>
              </w:rPr>
              <w:t>0.0</w:t>
            </w:r>
          </w:p>
        </w:tc>
        <w:tc>
          <w:tcPr>
            <w:tcW w:w="652" w:type="dxa"/>
            <w:tcBorders>
              <w:top w:val="single" w:color="D9D9D9" w:sz="8" w:space="0"/>
              <w:bottom w:val="single" w:color="D9D9D9" w:sz="8" w:space="0"/>
            </w:tcBorders>
          </w:tcPr>
          <w:p w:rsidR="00C31389" w:rsidRDefault="00561FBD" w14:paraId="2ABD579E" w14:textId="77777777">
            <w:pPr>
              <w:pStyle w:val="TableParagraph"/>
              <w:ind w:right="134"/>
              <w:jc w:val="right"/>
              <w:rPr>
                <w:sz w:val="17"/>
              </w:rPr>
            </w:pPr>
            <w:r>
              <w:rPr>
                <w:spacing w:val="-5"/>
                <w:sz w:val="17"/>
              </w:rPr>
              <w:t>0.0</w:t>
            </w:r>
          </w:p>
        </w:tc>
        <w:tc>
          <w:tcPr>
            <w:tcW w:w="653" w:type="dxa"/>
            <w:tcBorders>
              <w:top w:val="single" w:color="D9D9D9" w:sz="8" w:space="0"/>
              <w:bottom w:val="single" w:color="D9D9D9" w:sz="8" w:space="0"/>
            </w:tcBorders>
          </w:tcPr>
          <w:p w:rsidR="00C31389" w:rsidRDefault="00561FBD" w14:paraId="3CD712CE" w14:textId="77777777">
            <w:pPr>
              <w:pStyle w:val="TableParagraph"/>
              <w:ind w:left="263" w:right="119"/>
              <w:jc w:val="center"/>
              <w:rPr>
                <w:sz w:val="17"/>
              </w:rPr>
            </w:pPr>
            <w:r>
              <w:rPr>
                <w:spacing w:val="-5"/>
                <w:sz w:val="17"/>
              </w:rPr>
              <w:t>0.0</w:t>
            </w:r>
          </w:p>
        </w:tc>
        <w:tc>
          <w:tcPr>
            <w:tcW w:w="653" w:type="dxa"/>
            <w:tcBorders>
              <w:top w:val="single" w:color="D9D9D9" w:sz="8" w:space="0"/>
              <w:bottom w:val="single" w:color="D9D9D9" w:sz="8" w:space="0"/>
            </w:tcBorders>
          </w:tcPr>
          <w:p w:rsidR="00C31389" w:rsidRDefault="00561FBD" w14:paraId="21F92A7A" w14:textId="77777777">
            <w:pPr>
              <w:pStyle w:val="TableParagraph"/>
              <w:ind w:right="133"/>
              <w:jc w:val="right"/>
              <w:rPr>
                <w:sz w:val="17"/>
              </w:rPr>
            </w:pPr>
            <w:r>
              <w:rPr>
                <w:spacing w:val="-5"/>
                <w:sz w:val="17"/>
              </w:rPr>
              <w:t>0.0</w:t>
            </w:r>
          </w:p>
        </w:tc>
        <w:tc>
          <w:tcPr>
            <w:tcW w:w="652" w:type="dxa"/>
            <w:tcBorders>
              <w:top w:val="single" w:color="D9D9D9" w:sz="8" w:space="0"/>
              <w:bottom w:val="single" w:color="D9D9D9" w:sz="8" w:space="0"/>
            </w:tcBorders>
          </w:tcPr>
          <w:p w:rsidR="00C31389" w:rsidRDefault="00561FBD" w14:paraId="6EDF424A" w14:textId="77777777">
            <w:pPr>
              <w:pStyle w:val="TableParagraph"/>
              <w:ind w:right="132"/>
              <w:jc w:val="right"/>
              <w:rPr>
                <w:sz w:val="17"/>
              </w:rPr>
            </w:pPr>
            <w:r>
              <w:rPr>
                <w:spacing w:val="-5"/>
                <w:sz w:val="17"/>
              </w:rPr>
              <w:t>0.0</w:t>
            </w:r>
          </w:p>
        </w:tc>
        <w:tc>
          <w:tcPr>
            <w:tcW w:w="653" w:type="dxa"/>
            <w:tcBorders>
              <w:top w:val="single" w:color="D9D9D9" w:sz="8" w:space="0"/>
              <w:bottom w:val="single" w:color="D9D9D9" w:sz="8" w:space="0"/>
            </w:tcBorders>
          </w:tcPr>
          <w:p w:rsidR="00C31389" w:rsidRDefault="00561FBD" w14:paraId="05FF0507" w14:textId="77777777">
            <w:pPr>
              <w:pStyle w:val="TableParagraph"/>
              <w:ind w:right="132"/>
              <w:jc w:val="right"/>
              <w:rPr>
                <w:sz w:val="17"/>
              </w:rPr>
            </w:pPr>
            <w:r>
              <w:rPr>
                <w:spacing w:val="-5"/>
                <w:sz w:val="17"/>
              </w:rPr>
              <w:t>0.0</w:t>
            </w:r>
          </w:p>
        </w:tc>
        <w:tc>
          <w:tcPr>
            <w:tcW w:w="653" w:type="dxa"/>
            <w:tcBorders>
              <w:top w:val="single" w:color="D9D9D9" w:sz="8" w:space="0"/>
              <w:bottom w:val="single" w:color="D9D9D9" w:sz="8" w:space="0"/>
            </w:tcBorders>
          </w:tcPr>
          <w:p w:rsidR="00C31389" w:rsidRDefault="00561FBD" w14:paraId="23707FA3" w14:textId="77777777">
            <w:pPr>
              <w:pStyle w:val="TableParagraph"/>
              <w:ind w:right="130"/>
              <w:jc w:val="right"/>
              <w:rPr>
                <w:sz w:val="17"/>
              </w:rPr>
            </w:pPr>
            <w:r>
              <w:rPr>
                <w:spacing w:val="-5"/>
                <w:sz w:val="17"/>
              </w:rPr>
              <w:t>0.0</w:t>
            </w:r>
          </w:p>
        </w:tc>
        <w:tc>
          <w:tcPr>
            <w:tcW w:w="652" w:type="dxa"/>
            <w:tcBorders>
              <w:top w:val="single" w:color="D9D9D9" w:sz="8" w:space="0"/>
              <w:bottom w:val="single" w:color="D9D9D9" w:sz="8" w:space="0"/>
            </w:tcBorders>
          </w:tcPr>
          <w:p w:rsidR="00C31389" w:rsidRDefault="00561FBD" w14:paraId="2DDD5C7E" w14:textId="77777777">
            <w:pPr>
              <w:pStyle w:val="TableParagraph"/>
              <w:ind w:right="129"/>
              <w:jc w:val="right"/>
              <w:rPr>
                <w:sz w:val="17"/>
              </w:rPr>
            </w:pPr>
            <w:r>
              <w:rPr>
                <w:spacing w:val="-5"/>
                <w:sz w:val="17"/>
              </w:rPr>
              <w:t>0.0</w:t>
            </w:r>
          </w:p>
        </w:tc>
        <w:tc>
          <w:tcPr>
            <w:tcW w:w="653" w:type="dxa"/>
            <w:tcBorders>
              <w:top w:val="single" w:color="D9D9D9" w:sz="8" w:space="0"/>
              <w:bottom w:val="single" w:color="D9D9D9" w:sz="8" w:space="0"/>
            </w:tcBorders>
          </w:tcPr>
          <w:p w:rsidR="00C31389" w:rsidRDefault="00561FBD" w14:paraId="2032242B" w14:textId="77777777">
            <w:pPr>
              <w:pStyle w:val="TableParagraph"/>
              <w:ind w:left="267" w:right="115"/>
              <w:jc w:val="center"/>
              <w:rPr>
                <w:sz w:val="17"/>
              </w:rPr>
            </w:pPr>
            <w:r>
              <w:rPr>
                <w:spacing w:val="-5"/>
                <w:sz w:val="17"/>
              </w:rPr>
              <w:t>0.0</w:t>
            </w:r>
          </w:p>
        </w:tc>
        <w:tc>
          <w:tcPr>
            <w:tcW w:w="623" w:type="dxa"/>
            <w:tcBorders>
              <w:top w:val="single" w:color="D9D9D9" w:sz="8" w:space="0"/>
              <w:bottom w:val="single" w:color="D9D9D9" w:sz="8" w:space="0"/>
            </w:tcBorders>
          </w:tcPr>
          <w:p w:rsidR="00C31389" w:rsidRDefault="00561FBD" w14:paraId="3EA249A8" w14:textId="77777777">
            <w:pPr>
              <w:pStyle w:val="TableParagraph"/>
              <w:ind w:right="98"/>
              <w:jc w:val="right"/>
              <w:rPr>
                <w:sz w:val="17"/>
              </w:rPr>
            </w:pPr>
            <w:r>
              <w:rPr>
                <w:spacing w:val="-5"/>
                <w:sz w:val="17"/>
              </w:rPr>
              <w:t>0.0</w:t>
            </w:r>
          </w:p>
        </w:tc>
      </w:tr>
      <w:tr w:rsidR="00C31389" w14:paraId="368DDC5B" w14:textId="77777777">
        <w:trPr>
          <w:trHeight w:val="275"/>
        </w:trPr>
        <w:tc>
          <w:tcPr>
            <w:tcW w:w="1460" w:type="dxa"/>
            <w:tcBorders>
              <w:top w:val="single" w:color="DCDDDE" w:sz="4" w:space="0"/>
              <w:bottom w:val="single" w:color="DCDDDE" w:sz="4" w:space="0"/>
            </w:tcBorders>
          </w:tcPr>
          <w:p w:rsidR="00C31389" w:rsidRDefault="00561FBD" w14:paraId="10CB4058" w14:textId="77777777">
            <w:pPr>
              <w:pStyle w:val="TableParagraph"/>
              <w:spacing w:before="41"/>
              <w:ind w:left="122"/>
              <w:rPr>
                <w:sz w:val="17"/>
              </w:rPr>
            </w:pPr>
            <w:r>
              <w:rPr>
                <w:spacing w:val="-4"/>
                <w:sz w:val="17"/>
              </w:rPr>
              <w:t>BROs</w:t>
            </w:r>
          </w:p>
        </w:tc>
        <w:tc>
          <w:tcPr>
            <w:tcW w:w="757" w:type="dxa"/>
            <w:tcBorders>
              <w:top w:val="single" w:color="D9D9D9" w:sz="8" w:space="0"/>
              <w:bottom w:val="single" w:color="DCDDDE" w:sz="4" w:space="0"/>
            </w:tcBorders>
          </w:tcPr>
          <w:p w:rsidR="00C31389" w:rsidRDefault="00561FBD" w14:paraId="60701E0C" w14:textId="77777777">
            <w:pPr>
              <w:pStyle w:val="TableParagraph"/>
              <w:spacing w:before="41"/>
              <w:ind w:right="135"/>
              <w:jc w:val="right"/>
              <w:rPr>
                <w:sz w:val="17"/>
              </w:rPr>
            </w:pPr>
            <w:r>
              <w:rPr>
                <w:spacing w:val="-5"/>
                <w:sz w:val="17"/>
              </w:rPr>
              <w:t>1.8</w:t>
            </w:r>
          </w:p>
        </w:tc>
        <w:tc>
          <w:tcPr>
            <w:tcW w:w="653" w:type="dxa"/>
            <w:tcBorders>
              <w:top w:val="single" w:color="D9D9D9" w:sz="8" w:space="0"/>
              <w:bottom w:val="single" w:color="DCDDDE" w:sz="4" w:space="0"/>
            </w:tcBorders>
          </w:tcPr>
          <w:p w:rsidR="00C31389" w:rsidRDefault="00561FBD" w14:paraId="483DA766" w14:textId="77777777">
            <w:pPr>
              <w:pStyle w:val="TableParagraph"/>
              <w:spacing w:before="41"/>
              <w:ind w:right="135"/>
              <w:jc w:val="right"/>
              <w:rPr>
                <w:sz w:val="17"/>
              </w:rPr>
            </w:pPr>
            <w:r>
              <w:rPr>
                <w:spacing w:val="-5"/>
                <w:sz w:val="17"/>
              </w:rPr>
              <w:t>1.8</w:t>
            </w:r>
          </w:p>
        </w:tc>
        <w:tc>
          <w:tcPr>
            <w:tcW w:w="653" w:type="dxa"/>
            <w:tcBorders>
              <w:top w:val="single" w:color="D9D9D9" w:sz="8" w:space="0"/>
              <w:bottom w:val="single" w:color="DCDDDE" w:sz="4" w:space="0"/>
            </w:tcBorders>
          </w:tcPr>
          <w:p w:rsidR="00C31389" w:rsidRDefault="00561FBD" w14:paraId="004BC342" w14:textId="77777777">
            <w:pPr>
              <w:pStyle w:val="TableParagraph"/>
              <w:spacing w:before="41"/>
              <w:ind w:right="134"/>
              <w:jc w:val="right"/>
              <w:rPr>
                <w:sz w:val="17"/>
              </w:rPr>
            </w:pPr>
            <w:r>
              <w:rPr>
                <w:spacing w:val="-5"/>
                <w:sz w:val="17"/>
              </w:rPr>
              <w:t>1.8</w:t>
            </w:r>
          </w:p>
        </w:tc>
        <w:tc>
          <w:tcPr>
            <w:tcW w:w="652" w:type="dxa"/>
            <w:tcBorders>
              <w:top w:val="single" w:color="D9D9D9" w:sz="8" w:space="0"/>
              <w:bottom w:val="single" w:color="DCDDDE" w:sz="4" w:space="0"/>
            </w:tcBorders>
          </w:tcPr>
          <w:p w:rsidR="00C31389" w:rsidRDefault="00561FBD" w14:paraId="758E6E39" w14:textId="77777777">
            <w:pPr>
              <w:pStyle w:val="TableParagraph"/>
              <w:spacing w:before="41"/>
              <w:ind w:right="134"/>
              <w:jc w:val="right"/>
              <w:rPr>
                <w:sz w:val="17"/>
              </w:rPr>
            </w:pPr>
            <w:r>
              <w:rPr>
                <w:spacing w:val="-5"/>
                <w:sz w:val="17"/>
              </w:rPr>
              <w:t>1.9</w:t>
            </w:r>
          </w:p>
        </w:tc>
        <w:tc>
          <w:tcPr>
            <w:tcW w:w="653" w:type="dxa"/>
            <w:tcBorders>
              <w:top w:val="single" w:color="D9D9D9" w:sz="8" w:space="0"/>
              <w:bottom w:val="single" w:color="DCDDDE" w:sz="4" w:space="0"/>
            </w:tcBorders>
          </w:tcPr>
          <w:p w:rsidR="00C31389" w:rsidRDefault="00561FBD" w14:paraId="74278A33" w14:textId="77777777">
            <w:pPr>
              <w:pStyle w:val="TableParagraph"/>
              <w:spacing w:before="41"/>
              <w:ind w:left="263" w:right="119"/>
              <w:jc w:val="center"/>
              <w:rPr>
                <w:sz w:val="17"/>
              </w:rPr>
            </w:pPr>
            <w:r>
              <w:rPr>
                <w:spacing w:val="-5"/>
                <w:sz w:val="17"/>
              </w:rPr>
              <w:t>2.0</w:t>
            </w:r>
          </w:p>
        </w:tc>
        <w:tc>
          <w:tcPr>
            <w:tcW w:w="653" w:type="dxa"/>
            <w:tcBorders>
              <w:top w:val="single" w:color="D9D9D9" w:sz="8" w:space="0"/>
              <w:bottom w:val="single" w:color="DCDDDE" w:sz="4" w:space="0"/>
            </w:tcBorders>
          </w:tcPr>
          <w:p w:rsidR="00C31389" w:rsidRDefault="00561FBD" w14:paraId="2BEDBABE" w14:textId="77777777">
            <w:pPr>
              <w:pStyle w:val="TableParagraph"/>
              <w:spacing w:before="41"/>
              <w:ind w:right="133"/>
              <w:jc w:val="right"/>
              <w:rPr>
                <w:sz w:val="17"/>
              </w:rPr>
            </w:pPr>
            <w:r>
              <w:rPr>
                <w:spacing w:val="-5"/>
                <w:sz w:val="17"/>
              </w:rPr>
              <w:t>2.0</w:t>
            </w:r>
          </w:p>
        </w:tc>
        <w:tc>
          <w:tcPr>
            <w:tcW w:w="652" w:type="dxa"/>
            <w:tcBorders>
              <w:top w:val="single" w:color="D9D9D9" w:sz="8" w:space="0"/>
              <w:bottom w:val="single" w:color="DCDDDE" w:sz="4" w:space="0"/>
            </w:tcBorders>
          </w:tcPr>
          <w:p w:rsidR="00C31389" w:rsidRDefault="00561FBD" w14:paraId="5A21DA5F" w14:textId="77777777">
            <w:pPr>
              <w:pStyle w:val="TableParagraph"/>
              <w:spacing w:before="41"/>
              <w:ind w:right="132"/>
              <w:jc w:val="right"/>
              <w:rPr>
                <w:sz w:val="17"/>
              </w:rPr>
            </w:pPr>
            <w:r>
              <w:rPr>
                <w:spacing w:val="-5"/>
                <w:sz w:val="17"/>
              </w:rPr>
              <w:t>2.1</w:t>
            </w:r>
          </w:p>
        </w:tc>
        <w:tc>
          <w:tcPr>
            <w:tcW w:w="653" w:type="dxa"/>
            <w:tcBorders>
              <w:top w:val="single" w:color="D9D9D9" w:sz="8" w:space="0"/>
              <w:bottom w:val="single" w:color="DCDDDE" w:sz="4" w:space="0"/>
            </w:tcBorders>
          </w:tcPr>
          <w:p w:rsidR="00C31389" w:rsidRDefault="00561FBD" w14:paraId="5FC35610" w14:textId="77777777">
            <w:pPr>
              <w:pStyle w:val="TableParagraph"/>
              <w:spacing w:before="41"/>
              <w:ind w:right="132"/>
              <w:jc w:val="right"/>
              <w:rPr>
                <w:sz w:val="17"/>
              </w:rPr>
            </w:pPr>
            <w:r>
              <w:rPr>
                <w:spacing w:val="-5"/>
                <w:sz w:val="17"/>
              </w:rPr>
              <w:t>2.2</w:t>
            </w:r>
          </w:p>
        </w:tc>
        <w:tc>
          <w:tcPr>
            <w:tcW w:w="653" w:type="dxa"/>
            <w:tcBorders>
              <w:top w:val="single" w:color="D9D9D9" w:sz="8" w:space="0"/>
              <w:bottom w:val="single" w:color="DCDDDE" w:sz="4" w:space="0"/>
            </w:tcBorders>
          </w:tcPr>
          <w:p w:rsidR="00C31389" w:rsidRDefault="00561FBD" w14:paraId="63C97EB3" w14:textId="77777777">
            <w:pPr>
              <w:pStyle w:val="TableParagraph"/>
              <w:spacing w:before="41"/>
              <w:ind w:right="130"/>
              <w:jc w:val="right"/>
              <w:rPr>
                <w:sz w:val="17"/>
              </w:rPr>
            </w:pPr>
            <w:r>
              <w:rPr>
                <w:spacing w:val="-5"/>
                <w:sz w:val="17"/>
              </w:rPr>
              <w:t>2.3</w:t>
            </w:r>
          </w:p>
        </w:tc>
        <w:tc>
          <w:tcPr>
            <w:tcW w:w="652" w:type="dxa"/>
            <w:tcBorders>
              <w:top w:val="single" w:color="D9D9D9" w:sz="8" w:space="0"/>
              <w:bottom w:val="single" w:color="DCDDDE" w:sz="4" w:space="0"/>
            </w:tcBorders>
          </w:tcPr>
          <w:p w:rsidR="00C31389" w:rsidRDefault="00561FBD" w14:paraId="440E7F88" w14:textId="77777777">
            <w:pPr>
              <w:pStyle w:val="TableParagraph"/>
              <w:spacing w:before="41"/>
              <w:ind w:right="129"/>
              <w:jc w:val="right"/>
              <w:rPr>
                <w:sz w:val="17"/>
              </w:rPr>
            </w:pPr>
            <w:r>
              <w:rPr>
                <w:spacing w:val="-5"/>
                <w:sz w:val="17"/>
              </w:rPr>
              <w:t>2.6</w:t>
            </w:r>
          </w:p>
        </w:tc>
        <w:tc>
          <w:tcPr>
            <w:tcW w:w="653" w:type="dxa"/>
            <w:tcBorders>
              <w:top w:val="single" w:color="D9D9D9" w:sz="8" w:space="0"/>
              <w:bottom w:val="single" w:color="DCDDDE" w:sz="4" w:space="0"/>
            </w:tcBorders>
          </w:tcPr>
          <w:p w:rsidR="00C31389" w:rsidRDefault="00561FBD" w14:paraId="7B3F4A76" w14:textId="77777777">
            <w:pPr>
              <w:pStyle w:val="TableParagraph"/>
              <w:spacing w:before="41"/>
              <w:ind w:left="267" w:right="115"/>
              <w:jc w:val="center"/>
              <w:rPr>
                <w:sz w:val="17"/>
              </w:rPr>
            </w:pPr>
            <w:r>
              <w:rPr>
                <w:spacing w:val="-5"/>
                <w:sz w:val="17"/>
              </w:rPr>
              <w:t>2.2</w:t>
            </w:r>
          </w:p>
        </w:tc>
        <w:tc>
          <w:tcPr>
            <w:tcW w:w="623" w:type="dxa"/>
            <w:tcBorders>
              <w:top w:val="single" w:color="D9D9D9" w:sz="8" w:space="0"/>
              <w:bottom w:val="single" w:color="DCDDDE" w:sz="4" w:space="0"/>
            </w:tcBorders>
          </w:tcPr>
          <w:p w:rsidR="00C31389" w:rsidRDefault="00561FBD" w14:paraId="46188AB3" w14:textId="77777777">
            <w:pPr>
              <w:pStyle w:val="TableParagraph"/>
              <w:spacing w:before="41"/>
              <w:ind w:right="98"/>
              <w:jc w:val="right"/>
              <w:rPr>
                <w:sz w:val="17"/>
              </w:rPr>
            </w:pPr>
            <w:r>
              <w:rPr>
                <w:spacing w:val="-5"/>
                <w:sz w:val="17"/>
              </w:rPr>
              <w:t>2.3</w:t>
            </w:r>
          </w:p>
        </w:tc>
      </w:tr>
      <w:tr w:rsidR="00C31389" w14:paraId="140A5380" w14:textId="77777777">
        <w:trPr>
          <w:trHeight w:val="275"/>
        </w:trPr>
        <w:tc>
          <w:tcPr>
            <w:tcW w:w="9367" w:type="dxa"/>
            <w:gridSpan w:val="13"/>
            <w:tcBorders>
              <w:top w:val="single" w:color="DCDDDE" w:sz="4" w:space="0"/>
              <w:bottom w:val="single" w:color="DCDDDE" w:sz="4" w:space="0"/>
            </w:tcBorders>
            <w:shd w:val="clear" w:color="auto" w:fill="BEBEBE"/>
          </w:tcPr>
          <w:p w:rsidR="00C31389" w:rsidRDefault="00561FBD" w14:paraId="7B4B550A" w14:textId="77777777">
            <w:pPr>
              <w:pStyle w:val="TableParagraph"/>
              <w:spacing w:before="42"/>
              <w:ind w:left="122"/>
              <w:rPr>
                <w:b/>
                <w:sz w:val="17"/>
              </w:rPr>
            </w:pPr>
            <w:r>
              <w:rPr>
                <w:b/>
                <w:sz w:val="17"/>
              </w:rPr>
              <w:t>Scenario</w:t>
            </w:r>
            <w:r>
              <w:rPr>
                <w:b/>
                <w:spacing w:val="-4"/>
                <w:sz w:val="17"/>
              </w:rPr>
              <w:t xml:space="preserve"> </w:t>
            </w:r>
            <w:r>
              <w:rPr>
                <w:b/>
                <w:sz w:val="17"/>
              </w:rPr>
              <w:t>2:</w:t>
            </w:r>
            <w:r>
              <w:rPr>
                <w:b/>
                <w:spacing w:val="-4"/>
                <w:sz w:val="17"/>
              </w:rPr>
              <w:t xml:space="preserve"> </w:t>
            </w:r>
            <w:r>
              <w:rPr>
                <w:b/>
                <w:sz w:val="17"/>
              </w:rPr>
              <w:t>Reference</w:t>
            </w:r>
            <w:r>
              <w:rPr>
                <w:b/>
                <w:spacing w:val="-3"/>
                <w:sz w:val="17"/>
              </w:rPr>
              <w:t xml:space="preserve"> </w:t>
            </w:r>
            <w:r>
              <w:rPr>
                <w:b/>
                <w:sz w:val="17"/>
              </w:rPr>
              <w:t>IRA</w:t>
            </w:r>
            <w:r>
              <w:rPr>
                <w:b/>
                <w:spacing w:val="-3"/>
                <w:sz w:val="17"/>
              </w:rPr>
              <w:t xml:space="preserve"> </w:t>
            </w:r>
            <w:r>
              <w:rPr>
                <w:b/>
                <w:sz w:val="17"/>
              </w:rPr>
              <w:t>and</w:t>
            </w:r>
            <w:r>
              <w:rPr>
                <w:b/>
                <w:spacing w:val="-3"/>
                <w:sz w:val="17"/>
              </w:rPr>
              <w:t xml:space="preserve"> </w:t>
            </w:r>
            <w:r>
              <w:rPr>
                <w:b/>
                <w:spacing w:val="-5"/>
                <w:sz w:val="17"/>
              </w:rPr>
              <w:t>FS</w:t>
            </w:r>
          </w:p>
        </w:tc>
      </w:tr>
      <w:tr w:rsidR="00C31389" w14:paraId="1D3FE78A" w14:textId="77777777">
        <w:trPr>
          <w:trHeight w:val="275"/>
        </w:trPr>
        <w:tc>
          <w:tcPr>
            <w:tcW w:w="1460" w:type="dxa"/>
            <w:tcBorders>
              <w:top w:val="single" w:color="DCDDDE" w:sz="4" w:space="0"/>
              <w:bottom w:val="single" w:color="DCDDDE" w:sz="4" w:space="0"/>
            </w:tcBorders>
          </w:tcPr>
          <w:p w:rsidR="00C31389" w:rsidRDefault="00561FBD" w14:paraId="6B321A82" w14:textId="77777777">
            <w:pPr>
              <w:pStyle w:val="TableParagraph"/>
              <w:spacing w:before="42"/>
              <w:ind w:left="122"/>
              <w:rPr>
                <w:sz w:val="17"/>
              </w:rPr>
            </w:pPr>
            <w:r>
              <w:rPr>
                <w:spacing w:val="-5"/>
                <w:sz w:val="17"/>
              </w:rPr>
              <w:t>EE</w:t>
            </w:r>
          </w:p>
        </w:tc>
        <w:tc>
          <w:tcPr>
            <w:tcW w:w="757" w:type="dxa"/>
            <w:tcBorders>
              <w:top w:val="single" w:color="DCDDDE" w:sz="4" w:space="0"/>
              <w:bottom w:val="single" w:color="D9D9D9" w:sz="8" w:space="0"/>
            </w:tcBorders>
          </w:tcPr>
          <w:p w:rsidR="00C31389" w:rsidRDefault="00561FBD" w14:paraId="7C2FD23A" w14:textId="77777777">
            <w:pPr>
              <w:pStyle w:val="TableParagraph"/>
              <w:spacing w:before="42"/>
              <w:ind w:right="135"/>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51A0F594" w14:textId="77777777">
            <w:pPr>
              <w:pStyle w:val="TableParagraph"/>
              <w:spacing w:before="42"/>
              <w:ind w:right="135"/>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26FA0802" w14:textId="77777777">
            <w:pPr>
              <w:pStyle w:val="TableParagraph"/>
              <w:spacing w:before="42"/>
              <w:ind w:right="134"/>
              <w:jc w:val="right"/>
              <w:rPr>
                <w:sz w:val="17"/>
              </w:rPr>
            </w:pPr>
            <w:r>
              <w:rPr>
                <w:spacing w:val="-5"/>
                <w:sz w:val="17"/>
              </w:rPr>
              <w:t>1.0</w:t>
            </w:r>
          </w:p>
        </w:tc>
        <w:tc>
          <w:tcPr>
            <w:tcW w:w="652" w:type="dxa"/>
            <w:tcBorders>
              <w:top w:val="single" w:color="DCDDDE" w:sz="4" w:space="0"/>
              <w:bottom w:val="single" w:color="D9D9D9" w:sz="8" w:space="0"/>
            </w:tcBorders>
          </w:tcPr>
          <w:p w:rsidR="00C31389" w:rsidRDefault="00561FBD" w14:paraId="6111F503" w14:textId="77777777">
            <w:pPr>
              <w:pStyle w:val="TableParagraph"/>
              <w:spacing w:before="42"/>
              <w:ind w:right="134"/>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08F16E74" w14:textId="77777777">
            <w:pPr>
              <w:pStyle w:val="TableParagraph"/>
              <w:spacing w:before="42"/>
              <w:ind w:left="263" w:right="119"/>
              <w:jc w:val="center"/>
              <w:rPr>
                <w:sz w:val="17"/>
              </w:rPr>
            </w:pPr>
            <w:r>
              <w:rPr>
                <w:spacing w:val="-5"/>
                <w:sz w:val="17"/>
              </w:rPr>
              <w:t>1.3</w:t>
            </w:r>
          </w:p>
        </w:tc>
        <w:tc>
          <w:tcPr>
            <w:tcW w:w="653" w:type="dxa"/>
            <w:tcBorders>
              <w:top w:val="single" w:color="DCDDDE" w:sz="4" w:space="0"/>
              <w:bottom w:val="single" w:color="D9D9D9" w:sz="8" w:space="0"/>
            </w:tcBorders>
          </w:tcPr>
          <w:p w:rsidR="00C31389" w:rsidRDefault="00561FBD" w14:paraId="3126FD02" w14:textId="77777777">
            <w:pPr>
              <w:pStyle w:val="TableParagraph"/>
              <w:spacing w:before="42"/>
              <w:ind w:right="133"/>
              <w:jc w:val="right"/>
              <w:rPr>
                <w:sz w:val="17"/>
              </w:rPr>
            </w:pPr>
            <w:r>
              <w:rPr>
                <w:spacing w:val="-5"/>
                <w:sz w:val="17"/>
              </w:rPr>
              <w:t>1.2</w:t>
            </w:r>
          </w:p>
        </w:tc>
        <w:tc>
          <w:tcPr>
            <w:tcW w:w="652" w:type="dxa"/>
            <w:tcBorders>
              <w:top w:val="single" w:color="DCDDDE" w:sz="4" w:space="0"/>
              <w:bottom w:val="single" w:color="D9D9D9" w:sz="8" w:space="0"/>
            </w:tcBorders>
          </w:tcPr>
          <w:p w:rsidR="00C31389" w:rsidRDefault="00561FBD" w14:paraId="3FC4F74A" w14:textId="77777777">
            <w:pPr>
              <w:pStyle w:val="TableParagraph"/>
              <w:spacing w:before="42"/>
              <w:ind w:right="132"/>
              <w:jc w:val="right"/>
              <w:rPr>
                <w:sz w:val="17"/>
              </w:rPr>
            </w:pPr>
            <w:r>
              <w:rPr>
                <w:spacing w:val="-5"/>
                <w:sz w:val="17"/>
              </w:rPr>
              <w:t>0.9</w:t>
            </w:r>
          </w:p>
        </w:tc>
        <w:tc>
          <w:tcPr>
            <w:tcW w:w="653" w:type="dxa"/>
            <w:tcBorders>
              <w:top w:val="single" w:color="DCDDDE" w:sz="4" w:space="0"/>
              <w:bottom w:val="single" w:color="D9D9D9" w:sz="8" w:space="0"/>
            </w:tcBorders>
          </w:tcPr>
          <w:p w:rsidR="00C31389" w:rsidRDefault="00561FBD" w14:paraId="024FA941" w14:textId="77777777">
            <w:pPr>
              <w:pStyle w:val="TableParagraph"/>
              <w:spacing w:before="42"/>
              <w:ind w:right="132"/>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451CCE26" w14:textId="77777777">
            <w:pPr>
              <w:pStyle w:val="TableParagraph"/>
              <w:spacing w:before="42"/>
              <w:ind w:right="130"/>
              <w:jc w:val="right"/>
              <w:rPr>
                <w:sz w:val="17"/>
              </w:rPr>
            </w:pPr>
            <w:r>
              <w:rPr>
                <w:spacing w:val="-5"/>
                <w:sz w:val="17"/>
              </w:rPr>
              <w:t>0.8</w:t>
            </w:r>
          </w:p>
        </w:tc>
        <w:tc>
          <w:tcPr>
            <w:tcW w:w="652" w:type="dxa"/>
            <w:tcBorders>
              <w:top w:val="single" w:color="DCDDDE" w:sz="4" w:space="0"/>
              <w:bottom w:val="single" w:color="D9D9D9" w:sz="8" w:space="0"/>
            </w:tcBorders>
          </w:tcPr>
          <w:p w:rsidR="00C31389" w:rsidRDefault="00561FBD" w14:paraId="7D1D4FBC" w14:textId="77777777">
            <w:pPr>
              <w:pStyle w:val="TableParagraph"/>
              <w:spacing w:before="42"/>
              <w:ind w:right="129"/>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6888DE86" w14:textId="77777777">
            <w:pPr>
              <w:pStyle w:val="TableParagraph"/>
              <w:spacing w:before="42"/>
              <w:ind w:left="267" w:right="115"/>
              <w:jc w:val="center"/>
              <w:rPr>
                <w:sz w:val="17"/>
              </w:rPr>
            </w:pPr>
            <w:r>
              <w:rPr>
                <w:spacing w:val="-5"/>
                <w:sz w:val="17"/>
              </w:rPr>
              <w:t>0.8</w:t>
            </w:r>
          </w:p>
        </w:tc>
        <w:tc>
          <w:tcPr>
            <w:tcW w:w="623" w:type="dxa"/>
            <w:tcBorders>
              <w:top w:val="single" w:color="DCDDDE" w:sz="4" w:space="0"/>
              <w:bottom w:val="single" w:color="D9D9D9" w:sz="8" w:space="0"/>
            </w:tcBorders>
          </w:tcPr>
          <w:p w:rsidR="00C31389" w:rsidRDefault="00561FBD" w14:paraId="65CDA500" w14:textId="77777777">
            <w:pPr>
              <w:pStyle w:val="TableParagraph"/>
              <w:spacing w:before="42"/>
              <w:ind w:right="98"/>
              <w:jc w:val="right"/>
              <w:rPr>
                <w:sz w:val="17"/>
              </w:rPr>
            </w:pPr>
            <w:r>
              <w:rPr>
                <w:spacing w:val="-5"/>
                <w:sz w:val="17"/>
              </w:rPr>
              <w:t>0.8</w:t>
            </w:r>
          </w:p>
        </w:tc>
      </w:tr>
      <w:tr w:rsidR="00C31389" w14:paraId="699BE172" w14:textId="77777777">
        <w:trPr>
          <w:trHeight w:val="275"/>
        </w:trPr>
        <w:tc>
          <w:tcPr>
            <w:tcW w:w="1460" w:type="dxa"/>
            <w:tcBorders>
              <w:top w:val="single" w:color="DCDDDE" w:sz="4" w:space="0"/>
              <w:bottom w:val="single" w:color="DCDDDE" w:sz="4" w:space="0"/>
            </w:tcBorders>
          </w:tcPr>
          <w:p w:rsidR="00C31389" w:rsidRDefault="00561FBD" w14:paraId="37A25A3F" w14:textId="77777777">
            <w:pPr>
              <w:pStyle w:val="TableParagraph"/>
              <w:spacing w:before="41"/>
              <w:ind w:left="122"/>
              <w:rPr>
                <w:sz w:val="17"/>
              </w:rPr>
            </w:pPr>
            <w:r>
              <w:rPr>
                <w:spacing w:val="-5"/>
                <w:sz w:val="17"/>
              </w:rPr>
              <w:t>FS</w:t>
            </w:r>
          </w:p>
        </w:tc>
        <w:tc>
          <w:tcPr>
            <w:tcW w:w="757" w:type="dxa"/>
            <w:tcBorders>
              <w:top w:val="single" w:color="D9D9D9" w:sz="8" w:space="0"/>
              <w:bottom w:val="single" w:color="DCDDDE" w:sz="4" w:space="0"/>
            </w:tcBorders>
          </w:tcPr>
          <w:p w:rsidR="00C31389" w:rsidRDefault="00561FBD" w14:paraId="6A6CF6CE" w14:textId="77777777">
            <w:pPr>
              <w:pStyle w:val="TableParagraph"/>
              <w:spacing w:before="41"/>
              <w:ind w:right="135"/>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71452775" w14:textId="77777777">
            <w:pPr>
              <w:pStyle w:val="TableParagraph"/>
              <w:spacing w:before="41"/>
              <w:ind w:right="135"/>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05079F8E" w14:textId="77777777">
            <w:pPr>
              <w:pStyle w:val="TableParagraph"/>
              <w:spacing w:before="41"/>
              <w:ind w:right="134"/>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1080BB5E" w14:textId="77777777">
            <w:pPr>
              <w:pStyle w:val="TableParagraph"/>
              <w:spacing w:before="41"/>
              <w:ind w:right="134"/>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35A0C224" w14:textId="77777777">
            <w:pPr>
              <w:pStyle w:val="TableParagraph"/>
              <w:spacing w:before="41"/>
              <w:ind w:left="263" w:right="119"/>
              <w:jc w:val="center"/>
              <w:rPr>
                <w:sz w:val="17"/>
              </w:rPr>
            </w:pPr>
            <w:r>
              <w:rPr>
                <w:spacing w:val="-5"/>
                <w:sz w:val="17"/>
              </w:rPr>
              <w:t>0.0</w:t>
            </w:r>
          </w:p>
        </w:tc>
        <w:tc>
          <w:tcPr>
            <w:tcW w:w="653" w:type="dxa"/>
            <w:tcBorders>
              <w:top w:val="single" w:color="D9D9D9" w:sz="8" w:space="0"/>
              <w:bottom w:val="single" w:color="DCDDDE" w:sz="4" w:space="0"/>
            </w:tcBorders>
          </w:tcPr>
          <w:p w:rsidR="00C31389" w:rsidRDefault="00561FBD" w14:paraId="7344B35F" w14:textId="77777777">
            <w:pPr>
              <w:pStyle w:val="TableParagraph"/>
              <w:spacing w:before="41"/>
              <w:ind w:right="133"/>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2DA22A9D" w14:textId="77777777">
            <w:pPr>
              <w:pStyle w:val="TableParagraph"/>
              <w:spacing w:before="41"/>
              <w:ind w:right="132"/>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4149A07A" w14:textId="77777777">
            <w:pPr>
              <w:pStyle w:val="TableParagraph"/>
              <w:spacing w:before="41"/>
              <w:ind w:right="132"/>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409E4130" w14:textId="77777777">
            <w:pPr>
              <w:pStyle w:val="TableParagraph"/>
              <w:spacing w:before="41"/>
              <w:ind w:right="130"/>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12379240" w14:textId="77777777">
            <w:pPr>
              <w:pStyle w:val="TableParagraph"/>
              <w:spacing w:before="41"/>
              <w:ind w:right="129"/>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78F2637C" w14:textId="77777777">
            <w:pPr>
              <w:pStyle w:val="TableParagraph"/>
              <w:spacing w:before="41"/>
              <w:ind w:left="267" w:right="115"/>
              <w:jc w:val="center"/>
              <w:rPr>
                <w:sz w:val="17"/>
              </w:rPr>
            </w:pPr>
            <w:r>
              <w:rPr>
                <w:spacing w:val="-5"/>
                <w:sz w:val="17"/>
              </w:rPr>
              <w:t>0.0</w:t>
            </w:r>
          </w:p>
        </w:tc>
        <w:tc>
          <w:tcPr>
            <w:tcW w:w="623" w:type="dxa"/>
            <w:tcBorders>
              <w:top w:val="single" w:color="D9D9D9" w:sz="8" w:space="0"/>
              <w:bottom w:val="single" w:color="DCDDDE" w:sz="4" w:space="0"/>
            </w:tcBorders>
          </w:tcPr>
          <w:p w:rsidR="00C31389" w:rsidRDefault="00561FBD" w14:paraId="05DF7BC5" w14:textId="77777777">
            <w:pPr>
              <w:pStyle w:val="TableParagraph"/>
              <w:spacing w:before="41"/>
              <w:ind w:right="98"/>
              <w:jc w:val="right"/>
              <w:rPr>
                <w:sz w:val="17"/>
              </w:rPr>
            </w:pPr>
            <w:r>
              <w:rPr>
                <w:spacing w:val="-5"/>
                <w:sz w:val="17"/>
              </w:rPr>
              <w:t>0.0</w:t>
            </w:r>
          </w:p>
        </w:tc>
      </w:tr>
      <w:tr w:rsidR="00C31389" w14:paraId="2DFFB04E" w14:textId="77777777">
        <w:trPr>
          <w:trHeight w:val="275"/>
        </w:trPr>
        <w:tc>
          <w:tcPr>
            <w:tcW w:w="1460" w:type="dxa"/>
            <w:tcBorders>
              <w:top w:val="single" w:color="DCDDDE" w:sz="4" w:space="0"/>
              <w:bottom w:val="single" w:color="DCDDDE" w:sz="4" w:space="0"/>
            </w:tcBorders>
          </w:tcPr>
          <w:p w:rsidR="00C31389" w:rsidRDefault="00561FBD" w14:paraId="1C24CB0D" w14:textId="77777777">
            <w:pPr>
              <w:pStyle w:val="TableParagraph"/>
              <w:spacing w:before="42"/>
              <w:ind w:left="122"/>
              <w:rPr>
                <w:sz w:val="17"/>
              </w:rPr>
            </w:pPr>
            <w:r>
              <w:rPr>
                <w:spacing w:val="-4"/>
                <w:sz w:val="17"/>
              </w:rPr>
              <w:t>BROs</w:t>
            </w:r>
          </w:p>
        </w:tc>
        <w:tc>
          <w:tcPr>
            <w:tcW w:w="757" w:type="dxa"/>
            <w:tcBorders>
              <w:top w:val="single" w:color="DCDDDE" w:sz="4" w:space="0"/>
              <w:bottom w:val="single" w:color="DCDDDE" w:sz="4" w:space="0"/>
            </w:tcBorders>
          </w:tcPr>
          <w:p w:rsidR="00C31389" w:rsidRDefault="00561FBD" w14:paraId="4A8E7622" w14:textId="77777777">
            <w:pPr>
              <w:pStyle w:val="TableParagraph"/>
              <w:spacing w:before="42"/>
              <w:ind w:right="135"/>
              <w:jc w:val="right"/>
              <w:rPr>
                <w:sz w:val="17"/>
              </w:rPr>
            </w:pPr>
            <w:r>
              <w:rPr>
                <w:spacing w:val="-5"/>
                <w:sz w:val="17"/>
              </w:rPr>
              <w:t>1.8</w:t>
            </w:r>
          </w:p>
        </w:tc>
        <w:tc>
          <w:tcPr>
            <w:tcW w:w="653" w:type="dxa"/>
            <w:tcBorders>
              <w:top w:val="single" w:color="DCDDDE" w:sz="4" w:space="0"/>
              <w:bottom w:val="single" w:color="DCDDDE" w:sz="4" w:space="0"/>
            </w:tcBorders>
          </w:tcPr>
          <w:p w:rsidR="00C31389" w:rsidRDefault="00561FBD" w14:paraId="5656C9F8" w14:textId="77777777">
            <w:pPr>
              <w:pStyle w:val="TableParagraph"/>
              <w:spacing w:before="42"/>
              <w:ind w:right="135"/>
              <w:jc w:val="right"/>
              <w:rPr>
                <w:sz w:val="17"/>
              </w:rPr>
            </w:pPr>
            <w:r>
              <w:rPr>
                <w:spacing w:val="-5"/>
                <w:sz w:val="17"/>
              </w:rPr>
              <w:t>1.8</w:t>
            </w:r>
          </w:p>
        </w:tc>
        <w:tc>
          <w:tcPr>
            <w:tcW w:w="653" w:type="dxa"/>
            <w:tcBorders>
              <w:top w:val="single" w:color="DCDDDE" w:sz="4" w:space="0"/>
              <w:bottom w:val="single" w:color="DCDDDE" w:sz="4" w:space="0"/>
            </w:tcBorders>
          </w:tcPr>
          <w:p w:rsidR="00C31389" w:rsidRDefault="00561FBD" w14:paraId="5A8F2435" w14:textId="77777777">
            <w:pPr>
              <w:pStyle w:val="TableParagraph"/>
              <w:spacing w:before="42"/>
              <w:ind w:right="134"/>
              <w:jc w:val="right"/>
              <w:rPr>
                <w:sz w:val="17"/>
              </w:rPr>
            </w:pPr>
            <w:r>
              <w:rPr>
                <w:spacing w:val="-5"/>
                <w:sz w:val="17"/>
              </w:rPr>
              <w:t>1.8</w:t>
            </w:r>
          </w:p>
        </w:tc>
        <w:tc>
          <w:tcPr>
            <w:tcW w:w="652" w:type="dxa"/>
            <w:tcBorders>
              <w:top w:val="single" w:color="DCDDDE" w:sz="4" w:space="0"/>
              <w:bottom w:val="single" w:color="DCDDDE" w:sz="4" w:space="0"/>
            </w:tcBorders>
          </w:tcPr>
          <w:p w:rsidR="00C31389" w:rsidRDefault="00561FBD" w14:paraId="406CDB6C" w14:textId="77777777">
            <w:pPr>
              <w:pStyle w:val="TableParagraph"/>
              <w:spacing w:before="42"/>
              <w:ind w:right="134"/>
              <w:jc w:val="right"/>
              <w:rPr>
                <w:sz w:val="17"/>
              </w:rPr>
            </w:pPr>
            <w:r>
              <w:rPr>
                <w:spacing w:val="-5"/>
                <w:sz w:val="17"/>
              </w:rPr>
              <w:t>1.9</w:t>
            </w:r>
          </w:p>
        </w:tc>
        <w:tc>
          <w:tcPr>
            <w:tcW w:w="653" w:type="dxa"/>
            <w:tcBorders>
              <w:top w:val="single" w:color="DCDDDE" w:sz="4" w:space="0"/>
              <w:bottom w:val="single" w:color="DCDDDE" w:sz="4" w:space="0"/>
            </w:tcBorders>
          </w:tcPr>
          <w:p w:rsidR="00C31389" w:rsidRDefault="00561FBD" w14:paraId="2B2A93BB" w14:textId="77777777">
            <w:pPr>
              <w:pStyle w:val="TableParagraph"/>
              <w:spacing w:before="42"/>
              <w:ind w:left="263" w:right="119"/>
              <w:jc w:val="center"/>
              <w:rPr>
                <w:sz w:val="17"/>
              </w:rPr>
            </w:pPr>
            <w:r>
              <w:rPr>
                <w:spacing w:val="-5"/>
                <w:sz w:val="17"/>
              </w:rPr>
              <w:t>2.0</w:t>
            </w:r>
          </w:p>
        </w:tc>
        <w:tc>
          <w:tcPr>
            <w:tcW w:w="653" w:type="dxa"/>
            <w:tcBorders>
              <w:top w:val="single" w:color="DCDDDE" w:sz="4" w:space="0"/>
              <w:bottom w:val="single" w:color="DCDDDE" w:sz="4" w:space="0"/>
            </w:tcBorders>
          </w:tcPr>
          <w:p w:rsidR="00C31389" w:rsidRDefault="00561FBD" w14:paraId="1B722A14" w14:textId="77777777">
            <w:pPr>
              <w:pStyle w:val="TableParagraph"/>
              <w:spacing w:before="42"/>
              <w:ind w:right="133"/>
              <w:jc w:val="right"/>
              <w:rPr>
                <w:sz w:val="17"/>
              </w:rPr>
            </w:pPr>
            <w:r>
              <w:rPr>
                <w:spacing w:val="-5"/>
                <w:sz w:val="17"/>
              </w:rPr>
              <w:t>2.0</w:t>
            </w:r>
          </w:p>
        </w:tc>
        <w:tc>
          <w:tcPr>
            <w:tcW w:w="652" w:type="dxa"/>
            <w:tcBorders>
              <w:top w:val="single" w:color="DCDDDE" w:sz="4" w:space="0"/>
              <w:bottom w:val="single" w:color="DCDDDE" w:sz="4" w:space="0"/>
            </w:tcBorders>
          </w:tcPr>
          <w:p w:rsidR="00C31389" w:rsidRDefault="00561FBD" w14:paraId="05C4FD23" w14:textId="77777777">
            <w:pPr>
              <w:pStyle w:val="TableParagraph"/>
              <w:spacing w:before="42"/>
              <w:ind w:right="132"/>
              <w:jc w:val="right"/>
              <w:rPr>
                <w:sz w:val="17"/>
              </w:rPr>
            </w:pPr>
            <w:r>
              <w:rPr>
                <w:spacing w:val="-5"/>
                <w:sz w:val="17"/>
              </w:rPr>
              <w:t>2.1</w:t>
            </w:r>
          </w:p>
        </w:tc>
        <w:tc>
          <w:tcPr>
            <w:tcW w:w="653" w:type="dxa"/>
            <w:tcBorders>
              <w:top w:val="single" w:color="DCDDDE" w:sz="4" w:space="0"/>
              <w:bottom w:val="single" w:color="DCDDDE" w:sz="4" w:space="0"/>
            </w:tcBorders>
          </w:tcPr>
          <w:p w:rsidR="00C31389" w:rsidRDefault="00561FBD" w14:paraId="712FE035" w14:textId="77777777">
            <w:pPr>
              <w:pStyle w:val="TableParagraph"/>
              <w:spacing w:before="42"/>
              <w:ind w:right="132"/>
              <w:jc w:val="right"/>
              <w:rPr>
                <w:sz w:val="17"/>
              </w:rPr>
            </w:pPr>
            <w:r>
              <w:rPr>
                <w:spacing w:val="-5"/>
                <w:sz w:val="17"/>
              </w:rPr>
              <w:t>2.2</w:t>
            </w:r>
          </w:p>
        </w:tc>
        <w:tc>
          <w:tcPr>
            <w:tcW w:w="653" w:type="dxa"/>
            <w:tcBorders>
              <w:top w:val="single" w:color="DCDDDE" w:sz="4" w:space="0"/>
              <w:bottom w:val="single" w:color="DCDDDE" w:sz="4" w:space="0"/>
            </w:tcBorders>
          </w:tcPr>
          <w:p w:rsidR="00C31389" w:rsidRDefault="00561FBD" w14:paraId="54B94FCF" w14:textId="77777777">
            <w:pPr>
              <w:pStyle w:val="TableParagraph"/>
              <w:spacing w:before="42"/>
              <w:ind w:right="130"/>
              <w:jc w:val="right"/>
              <w:rPr>
                <w:sz w:val="17"/>
              </w:rPr>
            </w:pPr>
            <w:r>
              <w:rPr>
                <w:spacing w:val="-5"/>
                <w:sz w:val="17"/>
              </w:rPr>
              <w:t>2.3</w:t>
            </w:r>
          </w:p>
        </w:tc>
        <w:tc>
          <w:tcPr>
            <w:tcW w:w="652" w:type="dxa"/>
            <w:tcBorders>
              <w:top w:val="single" w:color="DCDDDE" w:sz="4" w:space="0"/>
              <w:bottom w:val="single" w:color="DCDDDE" w:sz="4" w:space="0"/>
            </w:tcBorders>
          </w:tcPr>
          <w:p w:rsidR="00C31389" w:rsidRDefault="00561FBD" w14:paraId="64378A18" w14:textId="77777777">
            <w:pPr>
              <w:pStyle w:val="TableParagraph"/>
              <w:spacing w:before="42"/>
              <w:ind w:right="129"/>
              <w:jc w:val="right"/>
              <w:rPr>
                <w:sz w:val="17"/>
              </w:rPr>
            </w:pPr>
            <w:r>
              <w:rPr>
                <w:spacing w:val="-5"/>
                <w:sz w:val="17"/>
              </w:rPr>
              <w:t>2.6</w:t>
            </w:r>
          </w:p>
        </w:tc>
        <w:tc>
          <w:tcPr>
            <w:tcW w:w="653" w:type="dxa"/>
            <w:tcBorders>
              <w:top w:val="single" w:color="DCDDDE" w:sz="4" w:space="0"/>
              <w:bottom w:val="single" w:color="DCDDDE" w:sz="4" w:space="0"/>
            </w:tcBorders>
          </w:tcPr>
          <w:p w:rsidR="00C31389" w:rsidRDefault="00561FBD" w14:paraId="41B9A903" w14:textId="77777777">
            <w:pPr>
              <w:pStyle w:val="TableParagraph"/>
              <w:spacing w:before="42"/>
              <w:ind w:left="267" w:right="115"/>
              <w:jc w:val="center"/>
              <w:rPr>
                <w:sz w:val="17"/>
              </w:rPr>
            </w:pPr>
            <w:r>
              <w:rPr>
                <w:spacing w:val="-5"/>
                <w:sz w:val="17"/>
              </w:rPr>
              <w:t>2.2</w:t>
            </w:r>
          </w:p>
        </w:tc>
        <w:tc>
          <w:tcPr>
            <w:tcW w:w="623" w:type="dxa"/>
            <w:tcBorders>
              <w:top w:val="single" w:color="DCDDDE" w:sz="4" w:space="0"/>
              <w:bottom w:val="single" w:color="DCDDDE" w:sz="4" w:space="0"/>
            </w:tcBorders>
          </w:tcPr>
          <w:p w:rsidR="00C31389" w:rsidRDefault="00561FBD" w14:paraId="0A95C052" w14:textId="77777777">
            <w:pPr>
              <w:pStyle w:val="TableParagraph"/>
              <w:spacing w:before="42"/>
              <w:ind w:right="98"/>
              <w:jc w:val="right"/>
              <w:rPr>
                <w:sz w:val="17"/>
              </w:rPr>
            </w:pPr>
            <w:r>
              <w:rPr>
                <w:spacing w:val="-5"/>
                <w:sz w:val="17"/>
              </w:rPr>
              <w:t>2.3</w:t>
            </w:r>
          </w:p>
        </w:tc>
      </w:tr>
      <w:tr w:rsidR="00C31389" w14:paraId="4681CC2E" w14:textId="77777777">
        <w:trPr>
          <w:trHeight w:val="275"/>
        </w:trPr>
        <w:tc>
          <w:tcPr>
            <w:tcW w:w="9367" w:type="dxa"/>
            <w:gridSpan w:val="13"/>
            <w:tcBorders>
              <w:top w:val="single" w:color="DCDDDE" w:sz="4" w:space="0"/>
              <w:bottom w:val="single" w:color="DCDDDE" w:sz="4" w:space="0"/>
            </w:tcBorders>
            <w:shd w:val="clear" w:color="auto" w:fill="BEBEBE"/>
          </w:tcPr>
          <w:p w:rsidR="00C31389" w:rsidRDefault="00561FBD" w14:paraId="451B61C0" w14:textId="77777777">
            <w:pPr>
              <w:pStyle w:val="TableParagraph"/>
              <w:spacing w:before="42"/>
              <w:ind w:left="122"/>
              <w:rPr>
                <w:b/>
                <w:sz w:val="17"/>
              </w:rPr>
            </w:pPr>
            <w:r>
              <w:rPr>
                <w:b/>
                <w:sz w:val="17"/>
              </w:rPr>
              <w:t>Scenario</w:t>
            </w:r>
            <w:r>
              <w:rPr>
                <w:b/>
                <w:spacing w:val="-4"/>
                <w:sz w:val="17"/>
              </w:rPr>
              <w:t xml:space="preserve"> </w:t>
            </w:r>
            <w:r>
              <w:rPr>
                <w:b/>
                <w:sz w:val="17"/>
              </w:rPr>
              <w:t>3:</w:t>
            </w:r>
            <w:r>
              <w:rPr>
                <w:b/>
                <w:spacing w:val="-4"/>
                <w:sz w:val="17"/>
              </w:rPr>
              <w:t xml:space="preserve"> </w:t>
            </w:r>
            <w:r>
              <w:rPr>
                <w:b/>
                <w:sz w:val="17"/>
              </w:rPr>
              <w:t>Reference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aggressive</w:t>
            </w:r>
            <w:r>
              <w:rPr>
                <w:b/>
                <w:spacing w:val="-3"/>
                <w:sz w:val="17"/>
              </w:rPr>
              <w:t xml:space="preserve"> </w:t>
            </w:r>
            <w:r>
              <w:rPr>
                <w:b/>
                <w:spacing w:val="-5"/>
                <w:sz w:val="17"/>
              </w:rPr>
              <w:t>FS</w:t>
            </w:r>
          </w:p>
        </w:tc>
      </w:tr>
      <w:tr w:rsidR="00C31389" w14:paraId="05A4AC0A" w14:textId="77777777">
        <w:trPr>
          <w:trHeight w:val="348"/>
        </w:trPr>
        <w:tc>
          <w:tcPr>
            <w:tcW w:w="1460" w:type="dxa"/>
            <w:tcBorders>
              <w:top w:val="single" w:color="DCDDDE" w:sz="4" w:space="0"/>
              <w:bottom w:val="single" w:color="DCDDDE" w:sz="4" w:space="0"/>
            </w:tcBorders>
          </w:tcPr>
          <w:p w:rsidR="00C31389" w:rsidRDefault="00561FBD" w14:paraId="7C82DAD9" w14:textId="77777777">
            <w:pPr>
              <w:pStyle w:val="TableParagraph"/>
              <w:spacing w:before="78"/>
              <w:ind w:left="122"/>
              <w:rPr>
                <w:sz w:val="17"/>
              </w:rPr>
            </w:pPr>
            <w:r>
              <w:rPr>
                <w:spacing w:val="-5"/>
                <w:sz w:val="17"/>
              </w:rPr>
              <w:t>EE</w:t>
            </w:r>
          </w:p>
        </w:tc>
        <w:tc>
          <w:tcPr>
            <w:tcW w:w="757" w:type="dxa"/>
            <w:tcBorders>
              <w:top w:val="single" w:color="DCDDDE" w:sz="4" w:space="0"/>
              <w:bottom w:val="single" w:color="D9D9D9" w:sz="8" w:space="0"/>
            </w:tcBorders>
          </w:tcPr>
          <w:p w:rsidR="00C31389" w:rsidRDefault="00561FBD" w14:paraId="4312A461" w14:textId="77777777">
            <w:pPr>
              <w:pStyle w:val="TableParagraph"/>
              <w:ind w:right="136"/>
              <w:jc w:val="right"/>
              <w:rPr>
                <w:rFonts w:ascii="Calibri"/>
              </w:rPr>
            </w:pPr>
            <w:r>
              <w:rPr>
                <w:rFonts w:ascii="Calibri"/>
                <w:spacing w:val="-5"/>
              </w:rPr>
              <w:t>1.0</w:t>
            </w:r>
          </w:p>
        </w:tc>
        <w:tc>
          <w:tcPr>
            <w:tcW w:w="653" w:type="dxa"/>
            <w:tcBorders>
              <w:top w:val="single" w:color="DCDDDE" w:sz="4" w:space="0"/>
              <w:bottom w:val="single" w:color="D9D9D9" w:sz="8" w:space="0"/>
            </w:tcBorders>
          </w:tcPr>
          <w:p w:rsidR="00C31389" w:rsidRDefault="00561FBD" w14:paraId="3D38E64B" w14:textId="77777777">
            <w:pPr>
              <w:pStyle w:val="TableParagraph"/>
              <w:ind w:right="136"/>
              <w:jc w:val="right"/>
              <w:rPr>
                <w:rFonts w:ascii="Calibri"/>
              </w:rPr>
            </w:pPr>
            <w:r>
              <w:rPr>
                <w:rFonts w:ascii="Calibri"/>
                <w:spacing w:val="-5"/>
              </w:rPr>
              <w:t>1.0</w:t>
            </w:r>
          </w:p>
        </w:tc>
        <w:tc>
          <w:tcPr>
            <w:tcW w:w="653" w:type="dxa"/>
            <w:tcBorders>
              <w:top w:val="single" w:color="DCDDDE" w:sz="4" w:space="0"/>
              <w:bottom w:val="single" w:color="D9D9D9" w:sz="8" w:space="0"/>
            </w:tcBorders>
          </w:tcPr>
          <w:p w:rsidR="00C31389" w:rsidRDefault="00561FBD" w14:paraId="4AE7A8E8" w14:textId="77777777">
            <w:pPr>
              <w:pStyle w:val="TableParagraph"/>
              <w:spacing w:before="78"/>
              <w:ind w:right="134"/>
              <w:jc w:val="right"/>
              <w:rPr>
                <w:sz w:val="17"/>
              </w:rPr>
            </w:pPr>
            <w:r>
              <w:rPr>
                <w:spacing w:val="-5"/>
                <w:sz w:val="17"/>
              </w:rPr>
              <w:t>1.0</w:t>
            </w:r>
          </w:p>
        </w:tc>
        <w:tc>
          <w:tcPr>
            <w:tcW w:w="652" w:type="dxa"/>
            <w:tcBorders>
              <w:top w:val="single" w:color="DCDDDE" w:sz="4" w:space="0"/>
              <w:bottom w:val="single" w:color="D9D9D9" w:sz="8" w:space="0"/>
            </w:tcBorders>
          </w:tcPr>
          <w:p w:rsidR="00C31389" w:rsidRDefault="00561FBD" w14:paraId="3447A812" w14:textId="77777777">
            <w:pPr>
              <w:pStyle w:val="TableParagraph"/>
              <w:spacing w:before="78"/>
              <w:ind w:right="134"/>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3C078192" w14:textId="77777777">
            <w:pPr>
              <w:pStyle w:val="TableParagraph"/>
              <w:spacing w:before="78"/>
              <w:ind w:left="263" w:right="119"/>
              <w:jc w:val="center"/>
              <w:rPr>
                <w:sz w:val="17"/>
              </w:rPr>
            </w:pPr>
            <w:r>
              <w:rPr>
                <w:spacing w:val="-5"/>
                <w:sz w:val="17"/>
              </w:rPr>
              <w:t>1.3</w:t>
            </w:r>
          </w:p>
        </w:tc>
        <w:tc>
          <w:tcPr>
            <w:tcW w:w="653" w:type="dxa"/>
            <w:tcBorders>
              <w:top w:val="single" w:color="DCDDDE" w:sz="4" w:space="0"/>
              <w:bottom w:val="single" w:color="D9D9D9" w:sz="8" w:space="0"/>
            </w:tcBorders>
          </w:tcPr>
          <w:p w:rsidR="00C31389" w:rsidRDefault="00561FBD" w14:paraId="07029F60" w14:textId="77777777">
            <w:pPr>
              <w:pStyle w:val="TableParagraph"/>
              <w:spacing w:before="78"/>
              <w:ind w:right="133"/>
              <w:jc w:val="right"/>
              <w:rPr>
                <w:sz w:val="17"/>
              </w:rPr>
            </w:pPr>
            <w:r>
              <w:rPr>
                <w:spacing w:val="-5"/>
                <w:sz w:val="17"/>
              </w:rPr>
              <w:t>1.2</w:t>
            </w:r>
          </w:p>
        </w:tc>
        <w:tc>
          <w:tcPr>
            <w:tcW w:w="652" w:type="dxa"/>
            <w:tcBorders>
              <w:top w:val="single" w:color="DCDDDE" w:sz="4" w:space="0"/>
              <w:bottom w:val="single" w:color="D9D9D9" w:sz="8" w:space="0"/>
            </w:tcBorders>
          </w:tcPr>
          <w:p w:rsidR="00C31389" w:rsidRDefault="00561FBD" w14:paraId="0AA8D77B" w14:textId="77777777">
            <w:pPr>
              <w:pStyle w:val="TableParagraph"/>
              <w:spacing w:before="78"/>
              <w:ind w:right="132"/>
              <w:jc w:val="right"/>
              <w:rPr>
                <w:sz w:val="17"/>
              </w:rPr>
            </w:pPr>
            <w:r>
              <w:rPr>
                <w:spacing w:val="-5"/>
                <w:sz w:val="17"/>
              </w:rPr>
              <w:t>0.9</w:t>
            </w:r>
          </w:p>
        </w:tc>
        <w:tc>
          <w:tcPr>
            <w:tcW w:w="653" w:type="dxa"/>
            <w:tcBorders>
              <w:top w:val="single" w:color="DCDDDE" w:sz="4" w:space="0"/>
              <w:bottom w:val="single" w:color="D9D9D9" w:sz="8" w:space="0"/>
            </w:tcBorders>
          </w:tcPr>
          <w:p w:rsidR="00C31389" w:rsidRDefault="00561FBD" w14:paraId="0A5F469B" w14:textId="77777777">
            <w:pPr>
              <w:pStyle w:val="TableParagraph"/>
              <w:spacing w:before="78"/>
              <w:ind w:right="132"/>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04244F46" w14:textId="77777777">
            <w:pPr>
              <w:pStyle w:val="TableParagraph"/>
              <w:spacing w:before="78"/>
              <w:ind w:right="130"/>
              <w:jc w:val="right"/>
              <w:rPr>
                <w:sz w:val="17"/>
              </w:rPr>
            </w:pPr>
            <w:r>
              <w:rPr>
                <w:spacing w:val="-5"/>
                <w:sz w:val="17"/>
              </w:rPr>
              <w:t>0.8</w:t>
            </w:r>
          </w:p>
        </w:tc>
        <w:tc>
          <w:tcPr>
            <w:tcW w:w="652" w:type="dxa"/>
            <w:tcBorders>
              <w:top w:val="single" w:color="DCDDDE" w:sz="4" w:space="0"/>
              <w:bottom w:val="single" w:color="D9D9D9" w:sz="8" w:space="0"/>
            </w:tcBorders>
          </w:tcPr>
          <w:p w:rsidR="00C31389" w:rsidRDefault="00561FBD" w14:paraId="0001F54B" w14:textId="77777777">
            <w:pPr>
              <w:pStyle w:val="TableParagraph"/>
              <w:spacing w:before="78"/>
              <w:ind w:right="129"/>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662BEEF3" w14:textId="77777777">
            <w:pPr>
              <w:pStyle w:val="TableParagraph"/>
              <w:spacing w:before="78"/>
              <w:ind w:left="267" w:right="115"/>
              <w:jc w:val="center"/>
              <w:rPr>
                <w:sz w:val="17"/>
              </w:rPr>
            </w:pPr>
            <w:r>
              <w:rPr>
                <w:spacing w:val="-5"/>
                <w:sz w:val="17"/>
              </w:rPr>
              <w:t>0.8</w:t>
            </w:r>
          </w:p>
        </w:tc>
        <w:tc>
          <w:tcPr>
            <w:tcW w:w="623" w:type="dxa"/>
            <w:tcBorders>
              <w:top w:val="single" w:color="DCDDDE" w:sz="4" w:space="0"/>
              <w:bottom w:val="single" w:color="D9D9D9" w:sz="8" w:space="0"/>
            </w:tcBorders>
          </w:tcPr>
          <w:p w:rsidR="00C31389" w:rsidRDefault="00561FBD" w14:paraId="3E7ABCAA" w14:textId="77777777">
            <w:pPr>
              <w:pStyle w:val="TableParagraph"/>
              <w:spacing w:before="78"/>
              <w:ind w:right="98"/>
              <w:jc w:val="right"/>
              <w:rPr>
                <w:sz w:val="17"/>
              </w:rPr>
            </w:pPr>
            <w:r>
              <w:rPr>
                <w:spacing w:val="-5"/>
                <w:sz w:val="17"/>
              </w:rPr>
              <w:t>0.8</w:t>
            </w:r>
          </w:p>
        </w:tc>
      </w:tr>
      <w:tr w:rsidR="00C31389" w14:paraId="5D935D25" w14:textId="77777777">
        <w:trPr>
          <w:trHeight w:val="275"/>
        </w:trPr>
        <w:tc>
          <w:tcPr>
            <w:tcW w:w="1460" w:type="dxa"/>
            <w:tcBorders>
              <w:top w:val="single" w:color="DCDDDE" w:sz="4" w:space="0"/>
              <w:bottom w:val="single" w:color="DCDDDE" w:sz="4" w:space="0"/>
            </w:tcBorders>
          </w:tcPr>
          <w:p w:rsidR="00C31389" w:rsidRDefault="00561FBD" w14:paraId="1968ACCA" w14:textId="77777777">
            <w:pPr>
              <w:pStyle w:val="TableParagraph"/>
              <w:spacing w:before="41"/>
              <w:ind w:left="122"/>
              <w:rPr>
                <w:sz w:val="17"/>
              </w:rPr>
            </w:pPr>
            <w:r>
              <w:rPr>
                <w:spacing w:val="-5"/>
                <w:sz w:val="17"/>
              </w:rPr>
              <w:t>FS</w:t>
            </w:r>
          </w:p>
        </w:tc>
        <w:tc>
          <w:tcPr>
            <w:tcW w:w="757" w:type="dxa"/>
            <w:tcBorders>
              <w:top w:val="single" w:color="D9D9D9" w:sz="8" w:space="0"/>
              <w:bottom w:val="single" w:color="DCDDDE" w:sz="4" w:space="0"/>
            </w:tcBorders>
          </w:tcPr>
          <w:p w:rsidR="00C31389" w:rsidRDefault="00561FBD" w14:paraId="5FB97ADA" w14:textId="77777777">
            <w:pPr>
              <w:pStyle w:val="TableParagraph"/>
              <w:spacing w:before="41"/>
              <w:ind w:right="135"/>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69AAE33F" w14:textId="77777777">
            <w:pPr>
              <w:pStyle w:val="TableParagraph"/>
              <w:spacing w:before="41"/>
              <w:ind w:right="135"/>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5BDCD0DC" w14:textId="77777777">
            <w:pPr>
              <w:pStyle w:val="TableParagraph"/>
              <w:spacing w:before="41"/>
              <w:ind w:right="134"/>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4145741E" w14:textId="77777777">
            <w:pPr>
              <w:pStyle w:val="TableParagraph"/>
              <w:spacing w:before="41"/>
              <w:ind w:right="134"/>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208487D4" w14:textId="77777777">
            <w:pPr>
              <w:pStyle w:val="TableParagraph"/>
              <w:spacing w:before="41"/>
              <w:ind w:left="263" w:right="119"/>
              <w:jc w:val="center"/>
              <w:rPr>
                <w:sz w:val="17"/>
              </w:rPr>
            </w:pPr>
            <w:r>
              <w:rPr>
                <w:spacing w:val="-5"/>
                <w:sz w:val="17"/>
              </w:rPr>
              <w:t>0.0</w:t>
            </w:r>
          </w:p>
        </w:tc>
        <w:tc>
          <w:tcPr>
            <w:tcW w:w="653" w:type="dxa"/>
            <w:tcBorders>
              <w:top w:val="single" w:color="D9D9D9" w:sz="8" w:space="0"/>
              <w:bottom w:val="single" w:color="DCDDDE" w:sz="4" w:space="0"/>
            </w:tcBorders>
          </w:tcPr>
          <w:p w:rsidR="00C31389" w:rsidRDefault="00561FBD" w14:paraId="175B9D32" w14:textId="77777777">
            <w:pPr>
              <w:pStyle w:val="TableParagraph"/>
              <w:spacing w:before="41"/>
              <w:ind w:right="133"/>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30AA3E16" w14:textId="77777777">
            <w:pPr>
              <w:pStyle w:val="TableParagraph"/>
              <w:spacing w:before="41"/>
              <w:ind w:right="132"/>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0E1CB14E" w14:textId="77777777">
            <w:pPr>
              <w:pStyle w:val="TableParagraph"/>
              <w:spacing w:before="41"/>
              <w:ind w:right="132"/>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7DCAB29B" w14:textId="77777777">
            <w:pPr>
              <w:pStyle w:val="TableParagraph"/>
              <w:spacing w:before="41"/>
              <w:ind w:right="130"/>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6432EA21" w14:textId="77777777">
            <w:pPr>
              <w:pStyle w:val="TableParagraph"/>
              <w:spacing w:before="41"/>
              <w:ind w:right="129"/>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104CDDB7" w14:textId="77777777">
            <w:pPr>
              <w:pStyle w:val="TableParagraph"/>
              <w:spacing w:before="41"/>
              <w:ind w:left="267" w:right="115"/>
              <w:jc w:val="center"/>
              <w:rPr>
                <w:sz w:val="17"/>
              </w:rPr>
            </w:pPr>
            <w:r>
              <w:rPr>
                <w:spacing w:val="-5"/>
                <w:sz w:val="17"/>
              </w:rPr>
              <w:t>0.0</w:t>
            </w:r>
          </w:p>
        </w:tc>
        <w:tc>
          <w:tcPr>
            <w:tcW w:w="623" w:type="dxa"/>
            <w:tcBorders>
              <w:top w:val="single" w:color="D9D9D9" w:sz="8" w:space="0"/>
              <w:bottom w:val="single" w:color="DCDDDE" w:sz="4" w:space="0"/>
            </w:tcBorders>
          </w:tcPr>
          <w:p w:rsidR="00C31389" w:rsidRDefault="00561FBD" w14:paraId="6FE27445" w14:textId="77777777">
            <w:pPr>
              <w:pStyle w:val="TableParagraph"/>
              <w:spacing w:before="41"/>
              <w:ind w:right="98"/>
              <w:jc w:val="right"/>
              <w:rPr>
                <w:sz w:val="17"/>
              </w:rPr>
            </w:pPr>
            <w:r>
              <w:rPr>
                <w:spacing w:val="-5"/>
                <w:sz w:val="17"/>
              </w:rPr>
              <w:t>0.0</w:t>
            </w:r>
          </w:p>
        </w:tc>
      </w:tr>
      <w:tr w:rsidR="00C31389" w14:paraId="23B255C6" w14:textId="77777777">
        <w:trPr>
          <w:trHeight w:val="348"/>
        </w:trPr>
        <w:tc>
          <w:tcPr>
            <w:tcW w:w="1460" w:type="dxa"/>
            <w:tcBorders>
              <w:top w:val="single" w:color="DCDDDE" w:sz="4" w:space="0"/>
              <w:bottom w:val="single" w:color="DCDDDE" w:sz="4" w:space="0"/>
            </w:tcBorders>
          </w:tcPr>
          <w:p w:rsidR="00C31389" w:rsidRDefault="00561FBD" w14:paraId="79694BCD" w14:textId="77777777">
            <w:pPr>
              <w:pStyle w:val="TableParagraph"/>
              <w:spacing w:before="78"/>
              <w:ind w:left="122"/>
              <w:rPr>
                <w:sz w:val="17"/>
              </w:rPr>
            </w:pPr>
            <w:r>
              <w:rPr>
                <w:spacing w:val="-4"/>
                <w:sz w:val="17"/>
              </w:rPr>
              <w:t>BROs</w:t>
            </w:r>
          </w:p>
        </w:tc>
        <w:tc>
          <w:tcPr>
            <w:tcW w:w="757" w:type="dxa"/>
            <w:tcBorders>
              <w:top w:val="single" w:color="DCDDDE" w:sz="4" w:space="0"/>
              <w:bottom w:val="single" w:color="DCDDDE" w:sz="4" w:space="0"/>
            </w:tcBorders>
          </w:tcPr>
          <w:p w:rsidR="00C31389" w:rsidRDefault="00561FBD" w14:paraId="578DDEDF" w14:textId="77777777">
            <w:pPr>
              <w:pStyle w:val="TableParagraph"/>
              <w:ind w:right="136"/>
              <w:jc w:val="right"/>
              <w:rPr>
                <w:rFonts w:ascii="Calibri"/>
              </w:rPr>
            </w:pPr>
            <w:r>
              <w:rPr>
                <w:rFonts w:ascii="Calibri"/>
                <w:spacing w:val="-5"/>
              </w:rPr>
              <w:t>1.8</w:t>
            </w:r>
          </w:p>
        </w:tc>
        <w:tc>
          <w:tcPr>
            <w:tcW w:w="653" w:type="dxa"/>
            <w:tcBorders>
              <w:top w:val="single" w:color="DCDDDE" w:sz="4" w:space="0"/>
              <w:bottom w:val="single" w:color="DCDDDE" w:sz="4" w:space="0"/>
            </w:tcBorders>
          </w:tcPr>
          <w:p w:rsidR="00C31389" w:rsidRDefault="00561FBD" w14:paraId="78AC0453" w14:textId="77777777">
            <w:pPr>
              <w:pStyle w:val="TableParagraph"/>
              <w:ind w:right="136"/>
              <w:jc w:val="right"/>
              <w:rPr>
                <w:rFonts w:ascii="Calibri"/>
              </w:rPr>
            </w:pPr>
            <w:r>
              <w:rPr>
                <w:rFonts w:ascii="Calibri"/>
                <w:spacing w:val="-5"/>
              </w:rPr>
              <w:t>1.8</w:t>
            </w:r>
          </w:p>
        </w:tc>
        <w:tc>
          <w:tcPr>
            <w:tcW w:w="653" w:type="dxa"/>
            <w:tcBorders>
              <w:top w:val="single" w:color="DCDDDE" w:sz="4" w:space="0"/>
              <w:bottom w:val="single" w:color="DCDDDE" w:sz="4" w:space="0"/>
            </w:tcBorders>
          </w:tcPr>
          <w:p w:rsidR="00C31389" w:rsidRDefault="00561FBD" w14:paraId="7A2ED2E5" w14:textId="77777777">
            <w:pPr>
              <w:pStyle w:val="TableParagraph"/>
              <w:spacing w:before="78"/>
              <w:ind w:right="134"/>
              <w:jc w:val="right"/>
              <w:rPr>
                <w:sz w:val="17"/>
              </w:rPr>
            </w:pPr>
            <w:r>
              <w:rPr>
                <w:spacing w:val="-5"/>
                <w:sz w:val="17"/>
              </w:rPr>
              <w:t>1.8</w:t>
            </w:r>
          </w:p>
        </w:tc>
        <w:tc>
          <w:tcPr>
            <w:tcW w:w="652" w:type="dxa"/>
            <w:tcBorders>
              <w:top w:val="single" w:color="DCDDDE" w:sz="4" w:space="0"/>
              <w:bottom w:val="single" w:color="DCDDDE" w:sz="4" w:space="0"/>
            </w:tcBorders>
          </w:tcPr>
          <w:p w:rsidR="00C31389" w:rsidRDefault="00561FBD" w14:paraId="715D8703" w14:textId="77777777">
            <w:pPr>
              <w:pStyle w:val="TableParagraph"/>
              <w:spacing w:before="78"/>
              <w:ind w:right="134"/>
              <w:jc w:val="right"/>
              <w:rPr>
                <w:sz w:val="17"/>
              </w:rPr>
            </w:pPr>
            <w:r>
              <w:rPr>
                <w:spacing w:val="-5"/>
                <w:sz w:val="17"/>
              </w:rPr>
              <w:t>1.9</w:t>
            </w:r>
          </w:p>
        </w:tc>
        <w:tc>
          <w:tcPr>
            <w:tcW w:w="653" w:type="dxa"/>
            <w:tcBorders>
              <w:top w:val="single" w:color="DCDDDE" w:sz="4" w:space="0"/>
              <w:bottom w:val="single" w:color="DCDDDE" w:sz="4" w:space="0"/>
            </w:tcBorders>
          </w:tcPr>
          <w:p w:rsidR="00C31389" w:rsidRDefault="00561FBD" w14:paraId="2C11669E" w14:textId="77777777">
            <w:pPr>
              <w:pStyle w:val="TableParagraph"/>
              <w:spacing w:before="78"/>
              <w:ind w:left="263" w:right="119"/>
              <w:jc w:val="center"/>
              <w:rPr>
                <w:sz w:val="17"/>
              </w:rPr>
            </w:pPr>
            <w:r>
              <w:rPr>
                <w:spacing w:val="-5"/>
                <w:sz w:val="17"/>
              </w:rPr>
              <w:t>2.0</w:t>
            </w:r>
          </w:p>
        </w:tc>
        <w:tc>
          <w:tcPr>
            <w:tcW w:w="653" w:type="dxa"/>
            <w:tcBorders>
              <w:top w:val="single" w:color="DCDDDE" w:sz="4" w:space="0"/>
              <w:bottom w:val="single" w:color="DCDDDE" w:sz="4" w:space="0"/>
            </w:tcBorders>
          </w:tcPr>
          <w:p w:rsidR="00C31389" w:rsidRDefault="00561FBD" w14:paraId="329A7DDC" w14:textId="77777777">
            <w:pPr>
              <w:pStyle w:val="TableParagraph"/>
              <w:spacing w:before="78"/>
              <w:ind w:right="133"/>
              <w:jc w:val="right"/>
              <w:rPr>
                <w:sz w:val="17"/>
              </w:rPr>
            </w:pPr>
            <w:r>
              <w:rPr>
                <w:spacing w:val="-5"/>
                <w:sz w:val="17"/>
              </w:rPr>
              <w:t>2.0</w:t>
            </w:r>
          </w:p>
        </w:tc>
        <w:tc>
          <w:tcPr>
            <w:tcW w:w="652" w:type="dxa"/>
            <w:tcBorders>
              <w:top w:val="single" w:color="DCDDDE" w:sz="4" w:space="0"/>
              <w:bottom w:val="single" w:color="DCDDDE" w:sz="4" w:space="0"/>
            </w:tcBorders>
          </w:tcPr>
          <w:p w:rsidR="00C31389" w:rsidRDefault="00561FBD" w14:paraId="6BDB3F2E" w14:textId="77777777">
            <w:pPr>
              <w:pStyle w:val="TableParagraph"/>
              <w:spacing w:before="78"/>
              <w:ind w:right="132"/>
              <w:jc w:val="right"/>
              <w:rPr>
                <w:sz w:val="17"/>
              </w:rPr>
            </w:pPr>
            <w:r>
              <w:rPr>
                <w:spacing w:val="-5"/>
                <w:sz w:val="17"/>
              </w:rPr>
              <w:t>2.1</w:t>
            </w:r>
          </w:p>
        </w:tc>
        <w:tc>
          <w:tcPr>
            <w:tcW w:w="653" w:type="dxa"/>
            <w:tcBorders>
              <w:top w:val="single" w:color="DCDDDE" w:sz="4" w:space="0"/>
              <w:bottom w:val="single" w:color="DCDDDE" w:sz="4" w:space="0"/>
            </w:tcBorders>
          </w:tcPr>
          <w:p w:rsidR="00C31389" w:rsidRDefault="00561FBD" w14:paraId="5513B4E1" w14:textId="77777777">
            <w:pPr>
              <w:pStyle w:val="TableParagraph"/>
              <w:spacing w:before="78"/>
              <w:ind w:right="132"/>
              <w:jc w:val="right"/>
              <w:rPr>
                <w:sz w:val="17"/>
              </w:rPr>
            </w:pPr>
            <w:r>
              <w:rPr>
                <w:spacing w:val="-5"/>
                <w:sz w:val="17"/>
              </w:rPr>
              <w:t>2.2</w:t>
            </w:r>
          </w:p>
        </w:tc>
        <w:tc>
          <w:tcPr>
            <w:tcW w:w="653" w:type="dxa"/>
            <w:tcBorders>
              <w:top w:val="single" w:color="DCDDDE" w:sz="4" w:space="0"/>
              <w:bottom w:val="single" w:color="DCDDDE" w:sz="4" w:space="0"/>
            </w:tcBorders>
          </w:tcPr>
          <w:p w:rsidR="00C31389" w:rsidRDefault="00561FBD" w14:paraId="700F0E9A" w14:textId="77777777">
            <w:pPr>
              <w:pStyle w:val="TableParagraph"/>
              <w:spacing w:before="78"/>
              <w:ind w:right="130"/>
              <w:jc w:val="right"/>
              <w:rPr>
                <w:sz w:val="17"/>
              </w:rPr>
            </w:pPr>
            <w:r>
              <w:rPr>
                <w:spacing w:val="-5"/>
                <w:sz w:val="17"/>
              </w:rPr>
              <w:t>2.3</w:t>
            </w:r>
          </w:p>
        </w:tc>
        <w:tc>
          <w:tcPr>
            <w:tcW w:w="652" w:type="dxa"/>
            <w:tcBorders>
              <w:top w:val="single" w:color="DCDDDE" w:sz="4" w:space="0"/>
              <w:bottom w:val="single" w:color="DCDDDE" w:sz="4" w:space="0"/>
            </w:tcBorders>
          </w:tcPr>
          <w:p w:rsidR="00C31389" w:rsidRDefault="00561FBD" w14:paraId="0CB0153F" w14:textId="77777777">
            <w:pPr>
              <w:pStyle w:val="TableParagraph"/>
              <w:spacing w:before="78"/>
              <w:ind w:right="129"/>
              <w:jc w:val="right"/>
              <w:rPr>
                <w:sz w:val="17"/>
              </w:rPr>
            </w:pPr>
            <w:r>
              <w:rPr>
                <w:spacing w:val="-5"/>
                <w:sz w:val="17"/>
              </w:rPr>
              <w:t>2.6</w:t>
            </w:r>
          </w:p>
        </w:tc>
        <w:tc>
          <w:tcPr>
            <w:tcW w:w="653" w:type="dxa"/>
            <w:tcBorders>
              <w:top w:val="single" w:color="DCDDDE" w:sz="4" w:space="0"/>
              <w:bottom w:val="single" w:color="DCDDDE" w:sz="4" w:space="0"/>
            </w:tcBorders>
          </w:tcPr>
          <w:p w:rsidR="00C31389" w:rsidRDefault="00561FBD" w14:paraId="5A2BC98F" w14:textId="77777777">
            <w:pPr>
              <w:pStyle w:val="TableParagraph"/>
              <w:spacing w:before="78"/>
              <w:ind w:left="267" w:right="115"/>
              <w:jc w:val="center"/>
              <w:rPr>
                <w:sz w:val="17"/>
              </w:rPr>
            </w:pPr>
            <w:r>
              <w:rPr>
                <w:spacing w:val="-5"/>
                <w:sz w:val="17"/>
              </w:rPr>
              <w:t>2.2</w:t>
            </w:r>
          </w:p>
        </w:tc>
        <w:tc>
          <w:tcPr>
            <w:tcW w:w="623" w:type="dxa"/>
            <w:tcBorders>
              <w:top w:val="single" w:color="DCDDDE" w:sz="4" w:space="0"/>
              <w:bottom w:val="single" w:color="DCDDDE" w:sz="4" w:space="0"/>
            </w:tcBorders>
          </w:tcPr>
          <w:p w:rsidR="00C31389" w:rsidRDefault="00561FBD" w14:paraId="5CE04B37" w14:textId="77777777">
            <w:pPr>
              <w:pStyle w:val="TableParagraph"/>
              <w:spacing w:before="78"/>
              <w:ind w:right="98"/>
              <w:jc w:val="right"/>
              <w:rPr>
                <w:sz w:val="17"/>
              </w:rPr>
            </w:pPr>
            <w:r>
              <w:rPr>
                <w:spacing w:val="-5"/>
                <w:sz w:val="17"/>
              </w:rPr>
              <w:t>2.3</w:t>
            </w:r>
          </w:p>
        </w:tc>
      </w:tr>
      <w:tr w:rsidR="00C31389" w14:paraId="5FC7F749" w14:textId="77777777">
        <w:trPr>
          <w:trHeight w:val="275"/>
        </w:trPr>
        <w:tc>
          <w:tcPr>
            <w:tcW w:w="9367" w:type="dxa"/>
            <w:gridSpan w:val="13"/>
            <w:tcBorders>
              <w:top w:val="single" w:color="DCDDDE" w:sz="4" w:space="0"/>
              <w:bottom w:val="single" w:color="DCDDDE" w:sz="4" w:space="0"/>
            </w:tcBorders>
            <w:shd w:val="clear" w:color="auto" w:fill="BEBEBE"/>
          </w:tcPr>
          <w:p w:rsidR="00C31389" w:rsidRDefault="00561FBD" w14:paraId="0B9149C6" w14:textId="77777777">
            <w:pPr>
              <w:pStyle w:val="TableParagraph"/>
              <w:ind w:left="122"/>
              <w:rPr>
                <w:b/>
                <w:sz w:val="17"/>
              </w:rPr>
            </w:pPr>
            <w:r>
              <w:rPr>
                <w:b/>
                <w:sz w:val="17"/>
              </w:rPr>
              <w:t>Scenario</w:t>
            </w:r>
            <w:r>
              <w:rPr>
                <w:b/>
                <w:spacing w:val="-4"/>
                <w:sz w:val="17"/>
              </w:rPr>
              <w:t xml:space="preserve"> </w:t>
            </w:r>
            <w:r>
              <w:rPr>
                <w:b/>
                <w:sz w:val="17"/>
              </w:rPr>
              <w:t>4:</w:t>
            </w:r>
            <w:r>
              <w:rPr>
                <w:b/>
                <w:spacing w:val="-4"/>
                <w:sz w:val="17"/>
              </w:rPr>
              <w:t xml:space="preserve"> </w:t>
            </w:r>
            <w:r>
              <w:rPr>
                <w:b/>
                <w:sz w:val="17"/>
              </w:rPr>
              <w:t>Aggressive</w:t>
            </w:r>
            <w:r>
              <w:rPr>
                <w:b/>
                <w:spacing w:val="-4"/>
                <w:sz w:val="17"/>
              </w:rPr>
              <w:t xml:space="preserve"> </w:t>
            </w:r>
            <w:r>
              <w:rPr>
                <w:b/>
                <w:sz w:val="17"/>
              </w:rPr>
              <w:t>IRA</w:t>
            </w:r>
            <w:r>
              <w:rPr>
                <w:b/>
                <w:spacing w:val="-4"/>
                <w:sz w:val="17"/>
              </w:rPr>
              <w:t xml:space="preserve"> </w:t>
            </w:r>
            <w:r>
              <w:rPr>
                <w:b/>
                <w:sz w:val="17"/>
              </w:rPr>
              <w:t>and</w:t>
            </w:r>
            <w:r>
              <w:rPr>
                <w:b/>
                <w:spacing w:val="-4"/>
                <w:sz w:val="17"/>
              </w:rPr>
              <w:t xml:space="preserve"> </w:t>
            </w:r>
            <w:r>
              <w:rPr>
                <w:b/>
                <w:sz w:val="17"/>
              </w:rPr>
              <w:t>reference</w:t>
            </w:r>
            <w:r>
              <w:rPr>
                <w:b/>
                <w:spacing w:val="-3"/>
                <w:sz w:val="17"/>
              </w:rPr>
              <w:t xml:space="preserve"> </w:t>
            </w:r>
            <w:r>
              <w:rPr>
                <w:b/>
                <w:spacing w:val="-5"/>
                <w:sz w:val="17"/>
              </w:rPr>
              <w:t>FS</w:t>
            </w:r>
          </w:p>
        </w:tc>
      </w:tr>
      <w:tr w:rsidR="00C31389" w14:paraId="6D1FF779" w14:textId="77777777">
        <w:trPr>
          <w:trHeight w:val="275"/>
        </w:trPr>
        <w:tc>
          <w:tcPr>
            <w:tcW w:w="1460" w:type="dxa"/>
            <w:tcBorders>
              <w:top w:val="single" w:color="DCDDDE" w:sz="4" w:space="0"/>
              <w:bottom w:val="single" w:color="DCDDDE" w:sz="4" w:space="0"/>
            </w:tcBorders>
          </w:tcPr>
          <w:p w:rsidR="00C31389" w:rsidRDefault="00561FBD" w14:paraId="15669ADE" w14:textId="77777777">
            <w:pPr>
              <w:pStyle w:val="TableParagraph"/>
              <w:ind w:left="122"/>
              <w:rPr>
                <w:sz w:val="17"/>
              </w:rPr>
            </w:pPr>
            <w:r>
              <w:rPr>
                <w:spacing w:val="-5"/>
                <w:sz w:val="17"/>
              </w:rPr>
              <w:t>EE</w:t>
            </w:r>
          </w:p>
        </w:tc>
        <w:tc>
          <w:tcPr>
            <w:tcW w:w="757" w:type="dxa"/>
            <w:tcBorders>
              <w:top w:val="single" w:color="DCDDDE" w:sz="4" w:space="0"/>
              <w:bottom w:val="single" w:color="D9D9D9" w:sz="8" w:space="0"/>
            </w:tcBorders>
          </w:tcPr>
          <w:p w:rsidR="00C31389" w:rsidRDefault="00561FBD" w14:paraId="1C4FE6FB" w14:textId="77777777">
            <w:pPr>
              <w:pStyle w:val="TableParagraph"/>
              <w:ind w:right="135"/>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405CE4BB" w14:textId="77777777">
            <w:pPr>
              <w:pStyle w:val="TableParagraph"/>
              <w:ind w:right="135"/>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46BFA097" w14:textId="77777777">
            <w:pPr>
              <w:pStyle w:val="TableParagraph"/>
              <w:ind w:right="134"/>
              <w:jc w:val="right"/>
              <w:rPr>
                <w:sz w:val="17"/>
              </w:rPr>
            </w:pPr>
            <w:r>
              <w:rPr>
                <w:spacing w:val="-5"/>
                <w:sz w:val="17"/>
              </w:rPr>
              <w:t>1.0</w:t>
            </w:r>
          </w:p>
        </w:tc>
        <w:tc>
          <w:tcPr>
            <w:tcW w:w="652" w:type="dxa"/>
            <w:tcBorders>
              <w:top w:val="single" w:color="DCDDDE" w:sz="4" w:space="0"/>
              <w:bottom w:val="single" w:color="D9D9D9" w:sz="8" w:space="0"/>
            </w:tcBorders>
          </w:tcPr>
          <w:p w:rsidR="00C31389" w:rsidRDefault="00561FBD" w14:paraId="4080A5B6" w14:textId="77777777">
            <w:pPr>
              <w:pStyle w:val="TableParagraph"/>
              <w:ind w:right="134"/>
              <w:jc w:val="right"/>
              <w:rPr>
                <w:sz w:val="17"/>
              </w:rPr>
            </w:pPr>
            <w:r>
              <w:rPr>
                <w:spacing w:val="-5"/>
                <w:sz w:val="17"/>
              </w:rPr>
              <w:t>1.0</w:t>
            </w:r>
          </w:p>
        </w:tc>
        <w:tc>
          <w:tcPr>
            <w:tcW w:w="653" w:type="dxa"/>
            <w:tcBorders>
              <w:top w:val="single" w:color="DCDDDE" w:sz="4" w:space="0"/>
              <w:bottom w:val="single" w:color="D9D9D9" w:sz="8" w:space="0"/>
            </w:tcBorders>
          </w:tcPr>
          <w:p w:rsidR="00C31389" w:rsidRDefault="00561FBD" w14:paraId="2261FD54" w14:textId="77777777">
            <w:pPr>
              <w:pStyle w:val="TableParagraph"/>
              <w:ind w:left="263" w:right="119"/>
              <w:jc w:val="center"/>
              <w:rPr>
                <w:sz w:val="17"/>
              </w:rPr>
            </w:pPr>
            <w:r>
              <w:rPr>
                <w:spacing w:val="-5"/>
                <w:sz w:val="17"/>
              </w:rPr>
              <w:t>1.3</w:t>
            </w:r>
          </w:p>
        </w:tc>
        <w:tc>
          <w:tcPr>
            <w:tcW w:w="653" w:type="dxa"/>
            <w:tcBorders>
              <w:top w:val="single" w:color="DCDDDE" w:sz="4" w:space="0"/>
              <w:bottom w:val="single" w:color="D9D9D9" w:sz="8" w:space="0"/>
            </w:tcBorders>
          </w:tcPr>
          <w:p w:rsidR="00C31389" w:rsidRDefault="00561FBD" w14:paraId="24403A90" w14:textId="77777777">
            <w:pPr>
              <w:pStyle w:val="TableParagraph"/>
              <w:ind w:right="133"/>
              <w:jc w:val="right"/>
              <w:rPr>
                <w:sz w:val="17"/>
              </w:rPr>
            </w:pPr>
            <w:r>
              <w:rPr>
                <w:spacing w:val="-5"/>
                <w:sz w:val="17"/>
              </w:rPr>
              <w:t>1.2</w:t>
            </w:r>
          </w:p>
        </w:tc>
        <w:tc>
          <w:tcPr>
            <w:tcW w:w="652" w:type="dxa"/>
            <w:tcBorders>
              <w:top w:val="single" w:color="DCDDDE" w:sz="4" w:space="0"/>
              <w:bottom w:val="single" w:color="D9D9D9" w:sz="8" w:space="0"/>
            </w:tcBorders>
          </w:tcPr>
          <w:p w:rsidR="00C31389" w:rsidRDefault="00561FBD" w14:paraId="4F135EE2" w14:textId="77777777">
            <w:pPr>
              <w:pStyle w:val="TableParagraph"/>
              <w:ind w:right="132"/>
              <w:jc w:val="right"/>
              <w:rPr>
                <w:sz w:val="17"/>
              </w:rPr>
            </w:pPr>
            <w:r>
              <w:rPr>
                <w:spacing w:val="-5"/>
                <w:sz w:val="17"/>
              </w:rPr>
              <w:t>0.9</w:t>
            </w:r>
          </w:p>
        </w:tc>
        <w:tc>
          <w:tcPr>
            <w:tcW w:w="653" w:type="dxa"/>
            <w:tcBorders>
              <w:top w:val="single" w:color="DCDDDE" w:sz="4" w:space="0"/>
              <w:bottom w:val="single" w:color="D9D9D9" w:sz="8" w:space="0"/>
            </w:tcBorders>
          </w:tcPr>
          <w:p w:rsidR="00C31389" w:rsidRDefault="00561FBD" w14:paraId="352BE343" w14:textId="77777777">
            <w:pPr>
              <w:pStyle w:val="TableParagraph"/>
              <w:ind w:right="132"/>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6FBA4F0A" w14:textId="77777777">
            <w:pPr>
              <w:pStyle w:val="TableParagraph"/>
              <w:ind w:right="130"/>
              <w:jc w:val="right"/>
              <w:rPr>
                <w:sz w:val="17"/>
              </w:rPr>
            </w:pPr>
            <w:r>
              <w:rPr>
                <w:spacing w:val="-5"/>
                <w:sz w:val="17"/>
              </w:rPr>
              <w:t>0.8</w:t>
            </w:r>
          </w:p>
        </w:tc>
        <w:tc>
          <w:tcPr>
            <w:tcW w:w="652" w:type="dxa"/>
            <w:tcBorders>
              <w:top w:val="single" w:color="DCDDDE" w:sz="4" w:space="0"/>
              <w:bottom w:val="single" w:color="D9D9D9" w:sz="8" w:space="0"/>
            </w:tcBorders>
          </w:tcPr>
          <w:p w:rsidR="00C31389" w:rsidRDefault="00561FBD" w14:paraId="59771A55" w14:textId="77777777">
            <w:pPr>
              <w:pStyle w:val="TableParagraph"/>
              <w:ind w:right="129"/>
              <w:jc w:val="right"/>
              <w:rPr>
                <w:sz w:val="17"/>
              </w:rPr>
            </w:pPr>
            <w:r>
              <w:rPr>
                <w:spacing w:val="-5"/>
                <w:sz w:val="17"/>
              </w:rPr>
              <w:t>0.8</w:t>
            </w:r>
          </w:p>
        </w:tc>
        <w:tc>
          <w:tcPr>
            <w:tcW w:w="653" w:type="dxa"/>
            <w:tcBorders>
              <w:top w:val="single" w:color="DCDDDE" w:sz="4" w:space="0"/>
              <w:bottom w:val="single" w:color="D9D9D9" w:sz="8" w:space="0"/>
            </w:tcBorders>
          </w:tcPr>
          <w:p w:rsidR="00C31389" w:rsidRDefault="00561FBD" w14:paraId="493A17B4" w14:textId="77777777">
            <w:pPr>
              <w:pStyle w:val="TableParagraph"/>
              <w:ind w:left="267" w:right="115"/>
              <w:jc w:val="center"/>
              <w:rPr>
                <w:sz w:val="17"/>
              </w:rPr>
            </w:pPr>
            <w:r>
              <w:rPr>
                <w:spacing w:val="-5"/>
                <w:sz w:val="17"/>
              </w:rPr>
              <w:t>0.8</w:t>
            </w:r>
          </w:p>
        </w:tc>
        <w:tc>
          <w:tcPr>
            <w:tcW w:w="623" w:type="dxa"/>
            <w:tcBorders>
              <w:top w:val="single" w:color="DCDDDE" w:sz="4" w:space="0"/>
              <w:bottom w:val="single" w:color="D9D9D9" w:sz="8" w:space="0"/>
            </w:tcBorders>
          </w:tcPr>
          <w:p w:rsidR="00C31389" w:rsidRDefault="00561FBD" w14:paraId="54AC32A6" w14:textId="77777777">
            <w:pPr>
              <w:pStyle w:val="TableParagraph"/>
              <w:ind w:right="98"/>
              <w:jc w:val="right"/>
              <w:rPr>
                <w:sz w:val="17"/>
              </w:rPr>
            </w:pPr>
            <w:r>
              <w:rPr>
                <w:spacing w:val="-5"/>
                <w:sz w:val="17"/>
              </w:rPr>
              <w:t>0.8</w:t>
            </w:r>
          </w:p>
        </w:tc>
      </w:tr>
      <w:tr w:rsidR="00C31389" w14:paraId="00B675B1" w14:textId="77777777">
        <w:trPr>
          <w:trHeight w:val="275"/>
        </w:trPr>
        <w:tc>
          <w:tcPr>
            <w:tcW w:w="1460" w:type="dxa"/>
            <w:tcBorders>
              <w:top w:val="single" w:color="DCDDDE" w:sz="4" w:space="0"/>
              <w:bottom w:val="single" w:color="DCDDDE" w:sz="4" w:space="0"/>
            </w:tcBorders>
          </w:tcPr>
          <w:p w:rsidR="00C31389" w:rsidRDefault="00561FBD" w14:paraId="7E65CFBE" w14:textId="77777777">
            <w:pPr>
              <w:pStyle w:val="TableParagraph"/>
              <w:ind w:left="122"/>
              <w:rPr>
                <w:sz w:val="17"/>
              </w:rPr>
            </w:pPr>
            <w:r>
              <w:rPr>
                <w:spacing w:val="-5"/>
                <w:sz w:val="17"/>
              </w:rPr>
              <w:t>FS</w:t>
            </w:r>
          </w:p>
        </w:tc>
        <w:tc>
          <w:tcPr>
            <w:tcW w:w="757" w:type="dxa"/>
            <w:tcBorders>
              <w:top w:val="single" w:color="D9D9D9" w:sz="8" w:space="0"/>
              <w:bottom w:val="single" w:color="DCDDDE" w:sz="4" w:space="0"/>
            </w:tcBorders>
          </w:tcPr>
          <w:p w:rsidR="00C31389" w:rsidRDefault="00561FBD" w14:paraId="22DFB6B8" w14:textId="77777777">
            <w:pPr>
              <w:pStyle w:val="TableParagraph"/>
              <w:ind w:right="135"/>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7B716CB5" w14:textId="77777777">
            <w:pPr>
              <w:pStyle w:val="TableParagraph"/>
              <w:ind w:right="135"/>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496460FA" w14:textId="77777777">
            <w:pPr>
              <w:pStyle w:val="TableParagraph"/>
              <w:ind w:right="134"/>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2AE92F2A" w14:textId="77777777">
            <w:pPr>
              <w:pStyle w:val="TableParagraph"/>
              <w:ind w:right="134"/>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4EC317A7" w14:textId="77777777">
            <w:pPr>
              <w:pStyle w:val="TableParagraph"/>
              <w:ind w:left="263" w:right="119"/>
              <w:jc w:val="center"/>
              <w:rPr>
                <w:sz w:val="17"/>
              </w:rPr>
            </w:pPr>
            <w:r>
              <w:rPr>
                <w:spacing w:val="-5"/>
                <w:sz w:val="17"/>
              </w:rPr>
              <w:t>0.0</w:t>
            </w:r>
          </w:p>
        </w:tc>
        <w:tc>
          <w:tcPr>
            <w:tcW w:w="653" w:type="dxa"/>
            <w:tcBorders>
              <w:top w:val="single" w:color="D9D9D9" w:sz="8" w:space="0"/>
              <w:bottom w:val="single" w:color="DCDDDE" w:sz="4" w:space="0"/>
            </w:tcBorders>
          </w:tcPr>
          <w:p w:rsidR="00C31389" w:rsidRDefault="00561FBD" w14:paraId="2D6F40C1" w14:textId="77777777">
            <w:pPr>
              <w:pStyle w:val="TableParagraph"/>
              <w:ind w:right="133"/>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2013F2D9" w14:textId="77777777">
            <w:pPr>
              <w:pStyle w:val="TableParagraph"/>
              <w:ind w:right="132"/>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3858344B" w14:textId="77777777">
            <w:pPr>
              <w:pStyle w:val="TableParagraph"/>
              <w:ind w:right="132"/>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2ADAE356" w14:textId="77777777">
            <w:pPr>
              <w:pStyle w:val="TableParagraph"/>
              <w:ind w:right="130"/>
              <w:jc w:val="right"/>
              <w:rPr>
                <w:sz w:val="17"/>
              </w:rPr>
            </w:pPr>
            <w:r>
              <w:rPr>
                <w:spacing w:val="-5"/>
                <w:sz w:val="17"/>
              </w:rPr>
              <w:t>0.0</w:t>
            </w:r>
          </w:p>
        </w:tc>
        <w:tc>
          <w:tcPr>
            <w:tcW w:w="652" w:type="dxa"/>
            <w:tcBorders>
              <w:top w:val="single" w:color="D9D9D9" w:sz="8" w:space="0"/>
              <w:bottom w:val="single" w:color="DCDDDE" w:sz="4" w:space="0"/>
            </w:tcBorders>
          </w:tcPr>
          <w:p w:rsidR="00C31389" w:rsidRDefault="00561FBD" w14:paraId="2A5015A9" w14:textId="77777777">
            <w:pPr>
              <w:pStyle w:val="TableParagraph"/>
              <w:ind w:right="129"/>
              <w:jc w:val="right"/>
              <w:rPr>
                <w:sz w:val="17"/>
              </w:rPr>
            </w:pPr>
            <w:r>
              <w:rPr>
                <w:spacing w:val="-5"/>
                <w:sz w:val="17"/>
              </w:rPr>
              <w:t>0.0</w:t>
            </w:r>
          </w:p>
        </w:tc>
        <w:tc>
          <w:tcPr>
            <w:tcW w:w="653" w:type="dxa"/>
            <w:tcBorders>
              <w:top w:val="single" w:color="D9D9D9" w:sz="8" w:space="0"/>
              <w:bottom w:val="single" w:color="DCDDDE" w:sz="4" w:space="0"/>
            </w:tcBorders>
          </w:tcPr>
          <w:p w:rsidR="00C31389" w:rsidRDefault="00561FBD" w14:paraId="5D5BCFCE" w14:textId="77777777">
            <w:pPr>
              <w:pStyle w:val="TableParagraph"/>
              <w:ind w:left="267" w:right="115"/>
              <w:jc w:val="center"/>
              <w:rPr>
                <w:sz w:val="17"/>
              </w:rPr>
            </w:pPr>
            <w:r>
              <w:rPr>
                <w:spacing w:val="-5"/>
                <w:sz w:val="17"/>
              </w:rPr>
              <w:t>0.0</w:t>
            </w:r>
          </w:p>
        </w:tc>
        <w:tc>
          <w:tcPr>
            <w:tcW w:w="623" w:type="dxa"/>
            <w:tcBorders>
              <w:top w:val="single" w:color="D9D9D9" w:sz="8" w:space="0"/>
              <w:bottom w:val="single" w:color="DCDDDE" w:sz="4" w:space="0"/>
            </w:tcBorders>
          </w:tcPr>
          <w:p w:rsidR="00C31389" w:rsidRDefault="00561FBD" w14:paraId="264002C1" w14:textId="77777777">
            <w:pPr>
              <w:pStyle w:val="TableParagraph"/>
              <w:ind w:right="98"/>
              <w:jc w:val="right"/>
              <w:rPr>
                <w:sz w:val="17"/>
              </w:rPr>
            </w:pPr>
            <w:r>
              <w:rPr>
                <w:spacing w:val="-5"/>
                <w:sz w:val="17"/>
              </w:rPr>
              <w:t>0.0</w:t>
            </w:r>
          </w:p>
        </w:tc>
      </w:tr>
      <w:tr w:rsidR="00C31389" w14:paraId="7AA8F3CB" w14:textId="77777777">
        <w:trPr>
          <w:trHeight w:val="275"/>
        </w:trPr>
        <w:tc>
          <w:tcPr>
            <w:tcW w:w="1460" w:type="dxa"/>
            <w:tcBorders>
              <w:top w:val="single" w:color="DCDDDE" w:sz="4" w:space="0"/>
              <w:bottom w:val="single" w:color="DCDDDE" w:sz="4" w:space="0"/>
            </w:tcBorders>
          </w:tcPr>
          <w:p w:rsidR="00C31389" w:rsidRDefault="00561FBD" w14:paraId="72CDB707" w14:textId="77777777">
            <w:pPr>
              <w:pStyle w:val="TableParagraph"/>
              <w:ind w:left="122"/>
              <w:rPr>
                <w:sz w:val="17"/>
              </w:rPr>
            </w:pPr>
            <w:r>
              <w:rPr>
                <w:spacing w:val="-4"/>
                <w:sz w:val="17"/>
              </w:rPr>
              <w:t>BROs</w:t>
            </w:r>
          </w:p>
        </w:tc>
        <w:tc>
          <w:tcPr>
            <w:tcW w:w="757" w:type="dxa"/>
            <w:tcBorders>
              <w:top w:val="single" w:color="DCDDDE" w:sz="4" w:space="0"/>
              <w:bottom w:val="single" w:color="DCDDDE" w:sz="4" w:space="0"/>
            </w:tcBorders>
          </w:tcPr>
          <w:p w:rsidR="00C31389" w:rsidRDefault="00561FBD" w14:paraId="58F37C6E" w14:textId="77777777">
            <w:pPr>
              <w:pStyle w:val="TableParagraph"/>
              <w:ind w:right="135"/>
              <w:jc w:val="right"/>
              <w:rPr>
                <w:sz w:val="17"/>
              </w:rPr>
            </w:pPr>
            <w:r>
              <w:rPr>
                <w:spacing w:val="-5"/>
                <w:sz w:val="17"/>
              </w:rPr>
              <w:t>1.8</w:t>
            </w:r>
          </w:p>
        </w:tc>
        <w:tc>
          <w:tcPr>
            <w:tcW w:w="653" w:type="dxa"/>
            <w:tcBorders>
              <w:top w:val="single" w:color="DCDDDE" w:sz="4" w:space="0"/>
              <w:bottom w:val="single" w:color="DCDDDE" w:sz="4" w:space="0"/>
            </w:tcBorders>
          </w:tcPr>
          <w:p w:rsidR="00C31389" w:rsidRDefault="00561FBD" w14:paraId="0FF97B21" w14:textId="77777777">
            <w:pPr>
              <w:pStyle w:val="TableParagraph"/>
              <w:ind w:right="135"/>
              <w:jc w:val="right"/>
              <w:rPr>
                <w:sz w:val="17"/>
              </w:rPr>
            </w:pPr>
            <w:r>
              <w:rPr>
                <w:spacing w:val="-5"/>
                <w:sz w:val="17"/>
              </w:rPr>
              <w:t>1.8</w:t>
            </w:r>
          </w:p>
        </w:tc>
        <w:tc>
          <w:tcPr>
            <w:tcW w:w="653" w:type="dxa"/>
            <w:tcBorders>
              <w:top w:val="single" w:color="DCDDDE" w:sz="4" w:space="0"/>
              <w:bottom w:val="single" w:color="DCDDDE" w:sz="4" w:space="0"/>
            </w:tcBorders>
          </w:tcPr>
          <w:p w:rsidR="00C31389" w:rsidRDefault="00561FBD" w14:paraId="70F55B6E" w14:textId="77777777">
            <w:pPr>
              <w:pStyle w:val="TableParagraph"/>
              <w:ind w:right="134"/>
              <w:jc w:val="right"/>
              <w:rPr>
                <w:sz w:val="17"/>
              </w:rPr>
            </w:pPr>
            <w:r>
              <w:rPr>
                <w:spacing w:val="-5"/>
                <w:sz w:val="17"/>
              </w:rPr>
              <w:t>1.8</w:t>
            </w:r>
          </w:p>
        </w:tc>
        <w:tc>
          <w:tcPr>
            <w:tcW w:w="652" w:type="dxa"/>
            <w:tcBorders>
              <w:top w:val="single" w:color="DCDDDE" w:sz="4" w:space="0"/>
              <w:bottom w:val="single" w:color="DCDDDE" w:sz="4" w:space="0"/>
            </w:tcBorders>
          </w:tcPr>
          <w:p w:rsidR="00C31389" w:rsidRDefault="00561FBD" w14:paraId="0FC17EE1" w14:textId="77777777">
            <w:pPr>
              <w:pStyle w:val="TableParagraph"/>
              <w:ind w:right="134"/>
              <w:jc w:val="right"/>
              <w:rPr>
                <w:sz w:val="17"/>
              </w:rPr>
            </w:pPr>
            <w:r>
              <w:rPr>
                <w:spacing w:val="-5"/>
                <w:sz w:val="17"/>
              </w:rPr>
              <w:t>1.9</w:t>
            </w:r>
          </w:p>
        </w:tc>
        <w:tc>
          <w:tcPr>
            <w:tcW w:w="653" w:type="dxa"/>
            <w:tcBorders>
              <w:top w:val="single" w:color="DCDDDE" w:sz="4" w:space="0"/>
              <w:bottom w:val="single" w:color="DCDDDE" w:sz="4" w:space="0"/>
            </w:tcBorders>
          </w:tcPr>
          <w:p w:rsidR="00C31389" w:rsidRDefault="00561FBD" w14:paraId="0D2D3138" w14:textId="77777777">
            <w:pPr>
              <w:pStyle w:val="TableParagraph"/>
              <w:ind w:left="263" w:right="119"/>
              <w:jc w:val="center"/>
              <w:rPr>
                <w:sz w:val="17"/>
              </w:rPr>
            </w:pPr>
            <w:r>
              <w:rPr>
                <w:spacing w:val="-5"/>
                <w:sz w:val="17"/>
              </w:rPr>
              <w:t>2.0</w:t>
            </w:r>
          </w:p>
        </w:tc>
        <w:tc>
          <w:tcPr>
            <w:tcW w:w="653" w:type="dxa"/>
            <w:tcBorders>
              <w:top w:val="single" w:color="DCDDDE" w:sz="4" w:space="0"/>
              <w:bottom w:val="single" w:color="DCDDDE" w:sz="4" w:space="0"/>
            </w:tcBorders>
          </w:tcPr>
          <w:p w:rsidR="00C31389" w:rsidRDefault="00561FBD" w14:paraId="19C5DCA8" w14:textId="77777777">
            <w:pPr>
              <w:pStyle w:val="TableParagraph"/>
              <w:ind w:right="133"/>
              <w:jc w:val="right"/>
              <w:rPr>
                <w:sz w:val="17"/>
              </w:rPr>
            </w:pPr>
            <w:r>
              <w:rPr>
                <w:spacing w:val="-5"/>
                <w:sz w:val="17"/>
              </w:rPr>
              <w:t>2.0</w:t>
            </w:r>
          </w:p>
        </w:tc>
        <w:tc>
          <w:tcPr>
            <w:tcW w:w="652" w:type="dxa"/>
            <w:tcBorders>
              <w:top w:val="single" w:color="DCDDDE" w:sz="4" w:space="0"/>
              <w:bottom w:val="single" w:color="DCDDDE" w:sz="4" w:space="0"/>
            </w:tcBorders>
          </w:tcPr>
          <w:p w:rsidR="00C31389" w:rsidRDefault="00561FBD" w14:paraId="56AECC0E" w14:textId="77777777">
            <w:pPr>
              <w:pStyle w:val="TableParagraph"/>
              <w:ind w:right="132"/>
              <w:jc w:val="right"/>
              <w:rPr>
                <w:sz w:val="17"/>
              </w:rPr>
            </w:pPr>
            <w:r>
              <w:rPr>
                <w:spacing w:val="-5"/>
                <w:sz w:val="17"/>
              </w:rPr>
              <w:t>2.1</w:t>
            </w:r>
          </w:p>
        </w:tc>
        <w:tc>
          <w:tcPr>
            <w:tcW w:w="653" w:type="dxa"/>
            <w:tcBorders>
              <w:top w:val="single" w:color="DCDDDE" w:sz="4" w:space="0"/>
              <w:bottom w:val="single" w:color="DCDDDE" w:sz="4" w:space="0"/>
            </w:tcBorders>
          </w:tcPr>
          <w:p w:rsidR="00C31389" w:rsidRDefault="00561FBD" w14:paraId="0AD729AE" w14:textId="77777777">
            <w:pPr>
              <w:pStyle w:val="TableParagraph"/>
              <w:ind w:right="132"/>
              <w:jc w:val="right"/>
              <w:rPr>
                <w:sz w:val="17"/>
              </w:rPr>
            </w:pPr>
            <w:r>
              <w:rPr>
                <w:spacing w:val="-5"/>
                <w:sz w:val="17"/>
              </w:rPr>
              <w:t>2.2</w:t>
            </w:r>
          </w:p>
        </w:tc>
        <w:tc>
          <w:tcPr>
            <w:tcW w:w="653" w:type="dxa"/>
            <w:tcBorders>
              <w:top w:val="single" w:color="DCDDDE" w:sz="4" w:space="0"/>
              <w:bottom w:val="single" w:color="DCDDDE" w:sz="4" w:space="0"/>
            </w:tcBorders>
          </w:tcPr>
          <w:p w:rsidR="00C31389" w:rsidRDefault="00561FBD" w14:paraId="7B669D99" w14:textId="77777777">
            <w:pPr>
              <w:pStyle w:val="TableParagraph"/>
              <w:ind w:right="130"/>
              <w:jc w:val="right"/>
              <w:rPr>
                <w:sz w:val="17"/>
              </w:rPr>
            </w:pPr>
            <w:r>
              <w:rPr>
                <w:spacing w:val="-5"/>
                <w:sz w:val="17"/>
              </w:rPr>
              <w:t>2.3</w:t>
            </w:r>
          </w:p>
        </w:tc>
        <w:tc>
          <w:tcPr>
            <w:tcW w:w="652" w:type="dxa"/>
            <w:tcBorders>
              <w:top w:val="single" w:color="DCDDDE" w:sz="4" w:space="0"/>
              <w:bottom w:val="single" w:color="DCDDDE" w:sz="4" w:space="0"/>
            </w:tcBorders>
          </w:tcPr>
          <w:p w:rsidR="00C31389" w:rsidRDefault="00561FBD" w14:paraId="2AB8E8ED" w14:textId="77777777">
            <w:pPr>
              <w:pStyle w:val="TableParagraph"/>
              <w:ind w:right="129"/>
              <w:jc w:val="right"/>
              <w:rPr>
                <w:sz w:val="17"/>
              </w:rPr>
            </w:pPr>
            <w:r>
              <w:rPr>
                <w:spacing w:val="-5"/>
                <w:sz w:val="17"/>
              </w:rPr>
              <w:t>2.6</w:t>
            </w:r>
          </w:p>
        </w:tc>
        <w:tc>
          <w:tcPr>
            <w:tcW w:w="653" w:type="dxa"/>
            <w:tcBorders>
              <w:top w:val="single" w:color="DCDDDE" w:sz="4" w:space="0"/>
              <w:bottom w:val="single" w:color="DCDDDE" w:sz="4" w:space="0"/>
            </w:tcBorders>
          </w:tcPr>
          <w:p w:rsidR="00C31389" w:rsidRDefault="00561FBD" w14:paraId="12CC86C5" w14:textId="77777777">
            <w:pPr>
              <w:pStyle w:val="TableParagraph"/>
              <w:ind w:left="267" w:right="115"/>
              <w:jc w:val="center"/>
              <w:rPr>
                <w:sz w:val="17"/>
              </w:rPr>
            </w:pPr>
            <w:r>
              <w:rPr>
                <w:spacing w:val="-5"/>
                <w:sz w:val="17"/>
              </w:rPr>
              <w:t>2.2</w:t>
            </w:r>
          </w:p>
        </w:tc>
        <w:tc>
          <w:tcPr>
            <w:tcW w:w="623" w:type="dxa"/>
            <w:tcBorders>
              <w:top w:val="single" w:color="DCDDDE" w:sz="4" w:space="0"/>
              <w:bottom w:val="single" w:color="DCDDDE" w:sz="4" w:space="0"/>
            </w:tcBorders>
          </w:tcPr>
          <w:p w:rsidR="00C31389" w:rsidRDefault="00561FBD" w14:paraId="4B5AEFA9" w14:textId="77777777">
            <w:pPr>
              <w:pStyle w:val="TableParagraph"/>
              <w:ind w:right="98"/>
              <w:jc w:val="right"/>
              <w:rPr>
                <w:sz w:val="17"/>
              </w:rPr>
            </w:pPr>
            <w:r>
              <w:rPr>
                <w:spacing w:val="-5"/>
                <w:sz w:val="17"/>
              </w:rPr>
              <w:t>2.3</w:t>
            </w:r>
          </w:p>
        </w:tc>
      </w:tr>
      <w:tr w:rsidR="00C31389" w14:paraId="40CD5E22" w14:textId="77777777">
        <w:trPr>
          <w:trHeight w:val="275"/>
        </w:trPr>
        <w:tc>
          <w:tcPr>
            <w:tcW w:w="9367" w:type="dxa"/>
            <w:gridSpan w:val="13"/>
            <w:tcBorders>
              <w:top w:val="single" w:color="DCDDDE" w:sz="4" w:space="0"/>
              <w:bottom w:val="single" w:color="DCDDDE" w:sz="4" w:space="0"/>
            </w:tcBorders>
            <w:shd w:val="clear" w:color="auto" w:fill="BEBEBE"/>
          </w:tcPr>
          <w:p w:rsidR="00C31389" w:rsidRDefault="00561FBD" w14:paraId="3E9DA4F0" w14:textId="77777777">
            <w:pPr>
              <w:pStyle w:val="TableParagraph"/>
              <w:ind w:left="122"/>
              <w:rPr>
                <w:b/>
                <w:sz w:val="17"/>
              </w:rPr>
            </w:pPr>
            <w:r>
              <w:rPr>
                <w:b/>
                <w:sz w:val="17"/>
              </w:rPr>
              <w:t>C&amp;S</w:t>
            </w:r>
            <w:r>
              <w:rPr>
                <w:b/>
                <w:spacing w:val="-3"/>
                <w:sz w:val="17"/>
              </w:rPr>
              <w:t xml:space="preserve"> </w:t>
            </w:r>
            <w:r>
              <w:rPr>
                <w:b/>
                <w:sz w:val="17"/>
              </w:rPr>
              <w:t>(All</w:t>
            </w:r>
            <w:r>
              <w:rPr>
                <w:b/>
                <w:spacing w:val="-2"/>
                <w:sz w:val="17"/>
              </w:rPr>
              <w:t xml:space="preserve"> Scenarios)</w:t>
            </w:r>
          </w:p>
        </w:tc>
      </w:tr>
      <w:tr w:rsidR="00C31389" w14:paraId="096A31C8" w14:textId="77777777">
        <w:trPr>
          <w:trHeight w:val="471"/>
        </w:trPr>
        <w:tc>
          <w:tcPr>
            <w:tcW w:w="1460" w:type="dxa"/>
            <w:tcBorders>
              <w:top w:val="single" w:color="DCDDDE" w:sz="4" w:space="0"/>
              <w:bottom w:val="single" w:color="DCDDDE" w:sz="4" w:space="0"/>
            </w:tcBorders>
          </w:tcPr>
          <w:p w:rsidR="00C31389" w:rsidRDefault="00561FBD" w14:paraId="21A11B1D" w14:textId="77777777">
            <w:pPr>
              <w:pStyle w:val="TableParagraph"/>
              <w:spacing w:before="39"/>
              <w:ind w:left="122" w:right="328"/>
              <w:rPr>
                <w:sz w:val="17"/>
              </w:rPr>
            </w:pPr>
            <w:r>
              <w:rPr>
                <w:sz w:val="17"/>
              </w:rPr>
              <w:t>w/</w:t>
            </w:r>
            <w:r>
              <w:rPr>
                <w:spacing w:val="-12"/>
                <w:sz w:val="17"/>
              </w:rPr>
              <w:t xml:space="preserve"> </w:t>
            </w:r>
            <w:r>
              <w:rPr>
                <w:sz w:val="17"/>
              </w:rPr>
              <w:t xml:space="preserve">Interactive </w:t>
            </w:r>
            <w:r>
              <w:rPr>
                <w:spacing w:val="-2"/>
                <w:sz w:val="17"/>
              </w:rPr>
              <w:t>Effects</w:t>
            </w:r>
          </w:p>
        </w:tc>
        <w:tc>
          <w:tcPr>
            <w:tcW w:w="757" w:type="dxa"/>
            <w:tcBorders>
              <w:top w:val="single" w:color="DCDDDE" w:sz="4" w:space="0"/>
              <w:bottom w:val="single" w:color="DCDDDE" w:sz="4" w:space="0"/>
            </w:tcBorders>
          </w:tcPr>
          <w:p w:rsidR="00C31389" w:rsidRDefault="00561FBD" w14:paraId="3C99FC6E" w14:textId="77777777">
            <w:pPr>
              <w:pStyle w:val="TableParagraph"/>
              <w:spacing w:before="139"/>
              <w:ind w:right="135"/>
              <w:jc w:val="right"/>
              <w:rPr>
                <w:sz w:val="17"/>
              </w:rPr>
            </w:pPr>
            <w:r>
              <w:rPr>
                <w:spacing w:val="-5"/>
                <w:sz w:val="17"/>
              </w:rPr>
              <w:t>2.3</w:t>
            </w:r>
          </w:p>
        </w:tc>
        <w:tc>
          <w:tcPr>
            <w:tcW w:w="653" w:type="dxa"/>
            <w:tcBorders>
              <w:top w:val="single" w:color="DCDDDE" w:sz="4" w:space="0"/>
              <w:bottom w:val="single" w:color="DCDDDE" w:sz="4" w:space="0"/>
            </w:tcBorders>
          </w:tcPr>
          <w:p w:rsidR="00C31389" w:rsidRDefault="00561FBD" w14:paraId="7A75DA14" w14:textId="77777777">
            <w:pPr>
              <w:pStyle w:val="TableParagraph"/>
              <w:spacing w:before="139"/>
              <w:ind w:right="135"/>
              <w:jc w:val="right"/>
              <w:rPr>
                <w:sz w:val="17"/>
              </w:rPr>
            </w:pPr>
            <w:r>
              <w:rPr>
                <w:spacing w:val="-5"/>
                <w:sz w:val="17"/>
              </w:rPr>
              <w:t>2.3</w:t>
            </w:r>
          </w:p>
        </w:tc>
        <w:tc>
          <w:tcPr>
            <w:tcW w:w="653" w:type="dxa"/>
            <w:tcBorders>
              <w:top w:val="single" w:color="DCDDDE" w:sz="4" w:space="0"/>
              <w:bottom w:val="single" w:color="DCDDDE" w:sz="4" w:space="0"/>
            </w:tcBorders>
          </w:tcPr>
          <w:p w:rsidR="00C31389" w:rsidRDefault="00561FBD" w14:paraId="163C3478" w14:textId="77777777">
            <w:pPr>
              <w:pStyle w:val="TableParagraph"/>
              <w:spacing w:before="139"/>
              <w:ind w:right="134"/>
              <w:jc w:val="right"/>
              <w:rPr>
                <w:sz w:val="17"/>
              </w:rPr>
            </w:pPr>
            <w:r>
              <w:rPr>
                <w:spacing w:val="-5"/>
                <w:sz w:val="17"/>
              </w:rPr>
              <w:t>1.5</w:t>
            </w:r>
          </w:p>
        </w:tc>
        <w:tc>
          <w:tcPr>
            <w:tcW w:w="652" w:type="dxa"/>
            <w:tcBorders>
              <w:top w:val="single" w:color="DCDDDE" w:sz="4" w:space="0"/>
              <w:bottom w:val="single" w:color="DCDDDE" w:sz="4" w:space="0"/>
            </w:tcBorders>
          </w:tcPr>
          <w:p w:rsidR="00C31389" w:rsidRDefault="00561FBD" w14:paraId="1EB5952B" w14:textId="77777777">
            <w:pPr>
              <w:pStyle w:val="TableParagraph"/>
              <w:spacing w:before="139"/>
              <w:ind w:right="134"/>
              <w:jc w:val="right"/>
              <w:rPr>
                <w:sz w:val="17"/>
              </w:rPr>
            </w:pPr>
            <w:r>
              <w:rPr>
                <w:spacing w:val="-5"/>
                <w:sz w:val="17"/>
              </w:rPr>
              <w:t>1.5</w:t>
            </w:r>
          </w:p>
        </w:tc>
        <w:tc>
          <w:tcPr>
            <w:tcW w:w="653" w:type="dxa"/>
            <w:tcBorders>
              <w:top w:val="single" w:color="DCDDDE" w:sz="4" w:space="0"/>
              <w:bottom w:val="single" w:color="DCDDDE" w:sz="4" w:space="0"/>
            </w:tcBorders>
          </w:tcPr>
          <w:p w:rsidR="00C31389" w:rsidRDefault="00561FBD" w14:paraId="37286797" w14:textId="77777777">
            <w:pPr>
              <w:pStyle w:val="TableParagraph"/>
              <w:spacing w:before="139"/>
              <w:ind w:left="263" w:right="119"/>
              <w:jc w:val="center"/>
              <w:rPr>
                <w:sz w:val="17"/>
              </w:rPr>
            </w:pPr>
            <w:r>
              <w:rPr>
                <w:spacing w:val="-5"/>
                <w:sz w:val="17"/>
              </w:rPr>
              <w:t>1.4</w:t>
            </w:r>
          </w:p>
        </w:tc>
        <w:tc>
          <w:tcPr>
            <w:tcW w:w="653" w:type="dxa"/>
            <w:tcBorders>
              <w:top w:val="single" w:color="DCDDDE" w:sz="4" w:space="0"/>
              <w:bottom w:val="single" w:color="DCDDDE" w:sz="4" w:space="0"/>
            </w:tcBorders>
          </w:tcPr>
          <w:p w:rsidR="00C31389" w:rsidRDefault="00561FBD" w14:paraId="241AE4F2" w14:textId="77777777">
            <w:pPr>
              <w:pStyle w:val="TableParagraph"/>
              <w:spacing w:before="139"/>
              <w:ind w:right="133"/>
              <w:jc w:val="right"/>
              <w:rPr>
                <w:sz w:val="17"/>
              </w:rPr>
            </w:pPr>
            <w:r>
              <w:rPr>
                <w:spacing w:val="-5"/>
                <w:sz w:val="17"/>
              </w:rPr>
              <w:t>1.3</w:t>
            </w:r>
          </w:p>
        </w:tc>
        <w:tc>
          <w:tcPr>
            <w:tcW w:w="652" w:type="dxa"/>
            <w:tcBorders>
              <w:top w:val="single" w:color="DCDDDE" w:sz="4" w:space="0"/>
              <w:bottom w:val="single" w:color="DCDDDE" w:sz="4" w:space="0"/>
            </w:tcBorders>
          </w:tcPr>
          <w:p w:rsidR="00C31389" w:rsidRDefault="00561FBD" w14:paraId="36CDF0A1" w14:textId="77777777">
            <w:pPr>
              <w:pStyle w:val="TableParagraph"/>
              <w:spacing w:before="139"/>
              <w:ind w:right="132"/>
              <w:jc w:val="right"/>
              <w:rPr>
                <w:sz w:val="17"/>
              </w:rPr>
            </w:pPr>
            <w:r>
              <w:rPr>
                <w:spacing w:val="-5"/>
                <w:sz w:val="17"/>
              </w:rPr>
              <w:t>1.3</w:t>
            </w:r>
          </w:p>
        </w:tc>
        <w:tc>
          <w:tcPr>
            <w:tcW w:w="653" w:type="dxa"/>
            <w:tcBorders>
              <w:top w:val="single" w:color="DCDDDE" w:sz="4" w:space="0"/>
              <w:bottom w:val="single" w:color="DCDDDE" w:sz="4" w:space="0"/>
            </w:tcBorders>
          </w:tcPr>
          <w:p w:rsidR="00C31389" w:rsidRDefault="00561FBD" w14:paraId="15952CBA" w14:textId="77777777">
            <w:pPr>
              <w:pStyle w:val="TableParagraph"/>
              <w:spacing w:before="139"/>
              <w:ind w:right="132"/>
              <w:jc w:val="right"/>
              <w:rPr>
                <w:sz w:val="17"/>
              </w:rPr>
            </w:pPr>
            <w:r>
              <w:rPr>
                <w:spacing w:val="-5"/>
                <w:sz w:val="17"/>
              </w:rPr>
              <w:t>1.2</w:t>
            </w:r>
          </w:p>
        </w:tc>
        <w:tc>
          <w:tcPr>
            <w:tcW w:w="653" w:type="dxa"/>
            <w:tcBorders>
              <w:top w:val="single" w:color="DCDDDE" w:sz="4" w:space="0"/>
              <w:bottom w:val="single" w:color="DCDDDE" w:sz="4" w:space="0"/>
            </w:tcBorders>
          </w:tcPr>
          <w:p w:rsidR="00C31389" w:rsidRDefault="00561FBD" w14:paraId="16E1A60D" w14:textId="77777777">
            <w:pPr>
              <w:pStyle w:val="TableParagraph"/>
              <w:spacing w:before="139"/>
              <w:ind w:right="130"/>
              <w:jc w:val="right"/>
              <w:rPr>
                <w:sz w:val="17"/>
              </w:rPr>
            </w:pPr>
            <w:r>
              <w:rPr>
                <w:spacing w:val="-5"/>
                <w:sz w:val="17"/>
              </w:rPr>
              <w:t>1.1</w:t>
            </w:r>
          </w:p>
        </w:tc>
        <w:tc>
          <w:tcPr>
            <w:tcW w:w="652" w:type="dxa"/>
            <w:tcBorders>
              <w:top w:val="single" w:color="DCDDDE" w:sz="4" w:space="0"/>
              <w:bottom w:val="single" w:color="DCDDDE" w:sz="4" w:space="0"/>
            </w:tcBorders>
          </w:tcPr>
          <w:p w:rsidR="00C31389" w:rsidRDefault="00561FBD" w14:paraId="69AC0953" w14:textId="77777777">
            <w:pPr>
              <w:pStyle w:val="TableParagraph"/>
              <w:spacing w:before="139"/>
              <w:ind w:right="129"/>
              <w:jc w:val="right"/>
              <w:rPr>
                <w:sz w:val="17"/>
              </w:rPr>
            </w:pPr>
            <w:r>
              <w:rPr>
                <w:spacing w:val="-5"/>
                <w:sz w:val="17"/>
              </w:rPr>
              <w:t>1.1</w:t>
            </w:r>
          </w:p>
        </w:tc>
        <w:tc>
          <w:tcPr>
            <w:tcW w:w="653" w:type="dxa"/>
            <w:tcBorders>
              <w:top w:val="single" w:color="DCDDDE" w:sz="4" w:space="0"/>
              <w:bottom w:val="single" w:color="DCDDDE" w:sz="4" w:space="0"/>
            </w:tcBorders>
          </w:tcPr>
          <w:p w:rsidR="00C31389" w:rsidRDefault="00561FBD" w14:paraId="07EEB5BC" w14:textId="77777777">
            <w:pPr>
              <w:pStyle w:val="TableParagraph"/>
              <w:spacing w:before="139"/>
              <w:ind w:left="267" w:right="115"/>
              <w:jc w:val="center"/>
              <w:rPr>
                <w:sz w:val="17"/>
              </w:rPr>
            </w:pPr>
            <w:r>
              <w:rPr>
                <w:spacing w:val="-5"/>
                <w:sz w:val="17"/>
              </w:rPr>
              <w:t>1.1</w:t>
            </w:r>
          </w:p>
        </w:tc>
        <w:tc>
          <w:tcPr>
            <w:tcW w:w="623" w:type="dxa"/>
            <w:tcBorders>
              <w:top w:val="single" w:color="DCDDDE" w:sz="4" w:space="0"/>
              <w:bottom w:val="single" w:color="DCDDDE" w:sz="4" w:space="0"/>
            </w:tcBorders>
          </w:tcPr>
          <w:p w:rsidR="00C31389" w:rsidRDefault="00561FBD" w14:paraId="6BBE9515" w14:textId="77777777">
            <w:pPr>
              <w:pStyle w:val="TableParagraph"/>
              <w:spacing w:before="139"/>
              <w:ind w:right="98"/>
              <w:jc w:val="right"/>
              <w:rPr>
                <w:sz w:val="17"/>
              </w:rPr>
            </w:pPr>
            <w:r>
              <w:rPr>
                <w:spacing w:val="-5"/>
                <w:sz w:val="17"/>
              </w:rPr>
              <w:t>1.0</w:t>
            </w:r>
          </w:p>
        </w:tc>
      </w:tr>
      <w:tr w:rsidR="00C31389" w14:paraId="4890463D" w14:textId="77777777">
        <w:trPr>
          <w:trHeight w:val="470"/>
        </w:trPr>
        <w:tc>
          <w:tcPr>
            <w:tcW w:w="1460" w:type="dxa"/>
            <w:tcBorders>
              <w:top w:val="single" w:color="DCDDDE" w:sz="4" w:space="0"/>
              <w:bottom w:val="single" w:color="545658" w:sz="8" w:space="0"/>
            </w:tcBorders>
          </w:tcPr>
          <w:p w:rsidR="00C31389" w:rsidRDefault="00561FBD" w14:paraId="4A046F8A" w14:textId="77777777">
            <w:pPr>
              <w:pStyle w:val="TableParagraph"/>
              <w:spacing w:before="39"/>
              <w:ind w:left="122" w:right="233"/>
              <w:rPr>
                <w:sz w:val="17"/>
              </w:rPr>
            </w:pPr>
            <w:r>
              <w:rPr>
                <w:sz w:val="17"/>
              </w:rPr>
              <w:t>w/o</w:t>
            </w:r>
            <w:r>
              <w:rPr>
                <w:spacing w:val="-12"/>
                <w:sz w:val="17"/>
              </w:rPr>
              <w:t xml:space="preserve"> </w:t>
            </w:r>
            <w:r>
              <w:rPr>
                <w:sz w:val="17"/>
              </w:rPr>
              <w:t xml:space="preserve">Interactive </w:t>
            </w:r>
            <w:r>
              <w:rPr>
                <w:spacing w:val="-2"/>
                <w:sz w:val="17"/>
              </w:rPr>
              <w:t>Effects</w:t>
            </w:r>
          </w:p>
        </w:tc>
        <w:tc>
          <w:tcPr>
            <w:tcW w:w="757" w:type="dxa"/>
            <w:tcBorders>
              <w:top w:val="single" w:color="DCDDDE" w:sz="4" w:space="0"/>
              <w:bottom w:val="single" w:color="545658" w:sz="8" w:space="0"/>
            </w:tcBorders>
          </w:tcPr>
          <w:p w:rsidR="00C31389" w:rsidRDefault="00561FBD" w14:paraId="2737EF94" w14:textId="77777777">
            <w:pPr>
              <w:pStyle w:val="TableParagraph"/>
              <w:spacing w:before="138"/>
              <w:ind w:right="135"/>
              <w:jc w:val="right"/>
              <w:rPr>
                <w:sz w:val="17"/>
              </w:rPr>
            </w:pPr>
            <w:r>
              <w:rPr>
                <w:spacing w:val="-5"/>
                <w:sz w:val="17"/>
              </w:rPr>
              <w:t>2.5</w:t>
            </w:r>
          </w:p>
        </w:tc>
        <w:tc>
          <w:tcPr>
            <w:tcW w:w="653" w:type="dxa"/>
            <w:tcBorders>
              <w:top w:val="single" w:color="DCDDDE" w:sz="4" w:space="0"/>
              <w:bottom w:val="single" w:color="545658" w:sz="8" w:space="0"/>
            </w:tcBorders>
          </w:tcPr>
          <w:p w:rsidR="00C31389" w:rsidRDefault="00561FBD" w14:paraId="27EED091" w14:textId="77777777">
            <w:pPr>
              <w:pStyle w:val="TableParagraph"/>
              <w:spacing w:before="138"/>
              <w:ind w:right="135"/>
              <w:jc w:val="right"/>
              <w:rPr>
                <w:sz w:val="17"/>
              </w:rPr>
            </w:pPr>
            <w:r>
              <w:rPr>
                <w:spacing w:val="-5"/>
                <w:sz w:val="17"/>
              </w:rPr>
              <w:t>2.5</w:t>
            </w:r>
          </w:p>
        </w:tc>
        <w:tc>
          <w:tcPr>
            <w:tcW w:w="653" w:type="dxa"/>
            <w:tcBorders>
              <w:top w:val="single" w:color="DCDDDE" w:sz="4" w:space="0"/>
              <w:bottom w:val="single" w:color="545658" w:sz="8" w:space="0"/>
            </w:tcBorders>
          </w:tcPr>
          <w:p w:rsidR="00C31389" w:rsidRDefault="00561FBD" w14:paraId="0FC40F50" w14:textId="77777777">
            <w:pPr>
              <w:pStyle w:val="TableParagraph"/>
              <w:spacing w:before="138"/>
              <w:ind w:right="134"/>
              <w:jc w:val="right"/>
              <w:rPr>
                <w:sz w:val="17"/>
              </w:rPr>
            </w:pPr>
            <w:r>
              <w:rPr>
                <w:spacing w:val="-5"/>
                <w:sz w:val="17"/>
              </w:rPr>
              <w:t>1.6</w:t>
            </w:r>
          </w:p>
        </w:tc>
        <w:tc>
          <w:tcPr>
            <w:tcW w:w="652" w:type="dxa"/>
            <w:tcBorders>
              <w:top w:val="single" w:color="DCDDDE" w:sz="4" w:space="0"/>
              <w:bottom w:val="single" w:color="545658" w:sz="8" w:space="0"/>
            </w:tcBorders>
          </w:tcPr>
          <w:p w:rsidR="00C31389" w:rsidRDefault="00561FBD" w14:paraId="6F8C3239" w14:textId="77777777">
            <w:pPr>
              <w:pStyle w:val="TableParagraph"/>
              <w:spacing w:before="138"/>
              <w:ind w:right="134"/>
              <w:jc w:val="right"/>
              <w:rPr>
                <w:sz w:val="17"/>
              </w:rPr>
            </w:pPr>
            <w:r>
              <w:rPr>
                <w:spacing w:val="-5"/>
                <w:sz w:val="17"/>
              </w:rPr>
              <w:t>1.6</w:t>
            </w:r>
          </w:p>
        </w:tc>
        <w:tc>
          <w:tcPr>
            <w:tcW w:w="653" w:type="dxa"/>
            <w:tcBorders>
              <w:top w:val="single" w:color="DCDDDE" w:sz="4" w:space="0"/>
              <w:bottom w:val="single" w:color="545658" w:sz="8" w:space="0"/>
            </w:tcBorders>
          </w:tcPr>
          <w:p w:rsidR="00C31389" w:rsidRDefault="00561FBD" w14:paraId="706F9D74" w14:textId="77777777">
            <w:pPr>
              <w:pStyle w:val="TableParagraph"/>
              <w:spacing w:before="138"/>
              <w:ind w:left="263" w:right="119"/>
              <w:jc w:val="center"/>
              <w:rPr>
                <w:sz w:val="17"/>
              </w:rPr>
            </w:pPr>
            <w:r>
              <w:rPr>
                <w:spacing w:val="-5"/>
                <w:sz w:val="17"/>
              </w:rPr>
              <w:t>1.5</w:t>
            </w:r>
          </w:p>
        </w:tc>
        <w:tc>
          <w:tcPr>
            <w:tcW w:w="653" w:type="dxa"/>
            <w:tcBorders>
              <w:top w:val="single" w:color="DCDDDE" w:sz="4" w:space="0"/>
              <w:bottom w:val="single" w:color="545658" w:sz="8" w:space="0"/>
            </w:tcBorders>
          </w:tcPr>
          <w:p w:rsidR="00C31389" w:rsidRDefault="00561FBD" w14:paraId="04F868F3" w14:textId="77777777">
            <w:pPr>
              <w:pStyle w:val="TableParagraph"/>
              <w:spacing w:before="138"/>
              <w:ind w:right="133"/>
              <w:jc w:val="right"/>
              <w:rPr>
                <w:sz w:val="17"/>
              </w:rPr>
            </w:pPr>
            <w:r>
              <w:rPr>
                <w:spacing w:val="-5"/>
                <w:sz w:val="17"/>
              </w:rPr>
              <w:t>1.4</w:t>
            </w:r>
          </w:p>
        </w:tc>
        <w:tc>
          <w:tcPr>
            <w:tcW w:w="652" w:type="dxa"/>
            <w:tcBorders>
              <w:top w:val="single" w:color="DCDDDE" w:sz="4" w:space="0"/>
              <w:bottom w:val="single" w:color="545658" w:sz="8" w:space="0"/>
            </w:tcBorders>
          </w:tcPr>
          <w:p w:rsidR="00C31389" w:rsidRDefault="00561FBD" w14:paraId="48DEE4DB" w14:textId="77777777">
            <w:pPr>
              <w:pStyle w:val="TableParagraph"/>
              <w:spacing w:before="138"/>
              <w:ind w:right="132"/>
              <w:jc w:val="right"/>
              <w:rPr>
                <w:sz w:val="17"/>
              </w:rPr>
            </w:pPr>
            <w:r>
              <w:rPr>
                <w:spacing w:val="-5"/>
                <w:sz w:val="17"/>
              </w:rPr>
              <w:t>1.3</w:t>
            </w:r>
          </w:p>
        </w:tc>
        <w:tc>
          <w:tcPr>
            <w:tcW w:w="653" w:type="dxa"/>
            <w:tcBorders>
              <w:top w:val="single" w:color="DCDDDE" w:sz="4" w:space="0"/>
              <w:bottom w:val="single" w:color="545658" w:sz="8" w:space="0"/>
            </w:tcBorders>
          </w:tcPr>
          <w:p w:rsidR="00C31389" w:rsidRDefault="00561FBD" w14:paraId="29FE7057" w14:textId="77777777">
            <w:pPr>
              <w:pStyle w:val="TableParagraph"/>
              <w:spacing w:before="138"/>
              <w:ind w:right="132"/>
              <w:jc w:val="right"/>
              <w:rPr>
                <w:sz w:val="17"/>
              </w:rPr>
            </w:pPr>
            <w:r>
              <w:rPr>
                <w:spacing w:val="-5"/>
                <w:sz w:val="17"/>
              </w:rPr>
              <w:t>1.3</w:t>
            </w:r>
          </w:p>
        </w:tc>
        <w:tc>
          <w:tcPr>
            <w:tcW w:w="653" w:type="dxa"/>
            <w:tcBorders>
              <w:top w:val="single" w:color="DCDDDE" w:sz="4" w:space="0"/>
              <w:bottom w:val="single" w:color="545658" w:sz="8" w:space="0"/>
            </w:tcBorders>
          </w:tcPr>
          <w:p w:rsidR="00C31389" w:rsidRDefault="00561FBD" w14:paraId="212877B9" w14:textId="77777777">
            <w:pPr>
              <w:pStyle w:val="TableParagraph"/>
              <w:spacing w:before="138"/>
              <w:ind w:right="130"/>
              <w:jc w:val="right"/>
              <w:rPr>
                <w:sz w:val="17"/>
              </w:rPr>
            </w:pPr>
            <w:r>
              <w:rPr>
                <w:spacing w:val="-5"/>
                <w:sz w:val="17"/>
              </w:rPr>
              <w:t>1.2</w:t>
            </w:r>
          </w:p>
        </w:tc>
        <w:tc>
          <w:tcPr>
            <w:tcW w:w="652" w:type="dxa"/>
            <w:tcBorders>
              <w:top w:val="single" w:color="DCDDDE" w:sz="4" w:space="0"/>
              <w:bottom w:val="single" w:color="545658" w:sz="8" w:space="0"/>
            </w:tcBorders>
          </w:tcPr>
          <w:p w:rsidR="00C31389" w:rsidRDefault="00561FBD" w14:paraId="2885BDF0" w14:textId="77777777">
            <w:pPr>
              <w:pStyle w:val="TableParagraph"/>
              <w:spacing w:before="138"/>
              <w:ind w:right="129"/>
              <w:jc w:val="right"/>
              <w:rPr>
                <w:sz w:val="17"/>
              </w:rPr>
            </w:pPr>
            <w:r>
              <w:rPr>
                <w:spacing w:val="-5"/>
                <w:sz w:val="17"/>
              </w:rPr>
              <w:t>1.2</w:t>
            </w:r>
          </w:p>
        </w:tc>
        <w:tc>
          <w:tcPr>
            <w:tcW w:w="653" w:type="dxa"/>
            <w:tcBorders>
              <w:top w:val="single" w:color="DCDDDE" w:sz="4" w:space="0"/>
              <w:bottom w:val="single" w:color="545658" w:sz="8" w:space="0"/>
            </w:tcBorders>
          </w:tcPr>
          <w:p w:rsidR="00C31389" w:rsidRDefault="00561FBD" w14:paraId="2DD46FD6" w14:textId="77777777">
            <w:pPr>
              <w:pStyle w:val="TableParagraph"/>
              <w:spacing w:before="138"/>
              <w:ind w:left="267" w:right="115"/>
              <w:jc w:val="center"/>
              <w:rPr>
                <w:sz w:val="17"/>
              </w:rPr>
            </w:pPr>
            <w:r>
              <w:rPr>
                <w:spacing w:val="-5"/>
                <w:sz w:val="17"/>
              </w:rPr>
              <w:t>1.1</w:t>
            </w:r>
          </w:p>
        </w:tc>
        <w:tc>
          <w:tcPr>
            <w:tcW w:w="623" w:type="dxa"/>
            <w:tcBorders>
              <w:top w:val="single" w:color="DCDDDE" w:sz="4" w:space="0"/>
              <w:bottom w:val="single" w:color="545658" w:sz="8" w:space="0"/>
            </w:tcBorders>
          </w:tcPr>
          <w:p w:rsidR="00C31389" w:rsidRDefault="00561FBD" w14:paraId="49D341CE" w14:textId="77777777">
            <w:pPr>
              <w:pStyle w:val="TableParagraph"/>
              <w:spacing w:before="138"/>
              <w:ind w:right="98"/>
              <w:jc w:val="right"/>
              <w:rPr>
                <w:sz w:val="17"/>
              </w:rPr>
            </w:pPr>
            <w:r>
              <w:rPr>
                <w:spacing w:val="-5"/>
                <w:sz w:val="17"/>
              </w:rPr>
              <w:t>1.1</w:t>
            </w:r>
          </w:p>
        </w:tc>
      </w:tr>
    </w:tbl>
    <w:p w:rsidR="00C31389" w:rsidRDefault="00C31389" w14:paraId="61E37A29" w14:textId="77777777">
      <w:pPr>
        <w:jc w:val="right"/>
        <w:rPr>
          <w:sz w:val="17"/>
        </w:rPr>
        <w:sectPr w:rsidR="00C31389">
          <w:pgSz w:w="12240" w:h="15840"/>
          <w:pgMar w:top="1380" w:right="1240" w:bottom="1120" w:left="1220" w:header="397" w:footer="936" w:gutter="0"/>
          <w:cols w:space="720"/>
        </w:sectPr>
      </w:pPr>
    </w:p>
    <w:p w:rsidR="00C31389" w:rsidRDefault="00C31389" w14:paraId="6ED2553A" w14:textId="77777777">
      <w:pPr>
        <w:pStyle w:val="BodyText"/>
        <w:rPr>
          <w:b/>
        </w:rPr>
      </w:pPr>
    </w:p>
    <w:p w:rsidR="00C31389" w:rsidRDefault="00C31389" w14:paraId="5F558E12" w14:textId="77777777">
      <w:pPr>
        <w:pStyle w:val="BodyText"/>
        <w:spacing w:before="9"/>
        <w:rPr>
          <w:b/>
          <w:sz w:val="13"/>
        </w:rPr>
      </w:pPr>
    </w:p>
    <w:p w:rsidR="00C31389" w:rsidRDefault="00561FBD" w14:paraId="70383B2D" w14:textId="77777777">
      <w:pPr>
        <w:spacing w:before="94"/>
        <w:ind w:left="220"/>
        <w:rPr>
          <w:i/>
          <w:sz w:val="18"/>
        </w:rPr>
      </w:pPr>
      <w:r>
        <w:rPr>
          <w:i/>
          <w:sz w:val="18"/>
        </w:rPr>
        <w:t>Source:</w:t>
      </w:r>
      <w:r>
        <w:rPr>
          <w:i/>
          <w:spacing w:val="-4"/>
          <w:sz w:val="18"/>
        </w:rPr>
        <w:t xml:space="preserve"> </w:t>
      </w:r>
      <w:r>
        <w:rPr>
          <w:i/>
          <w:spacing w:val="-2"/>
          <w:sz w:val="18"/>
        </w:rPr>
        <w:t>Guidehouse</w:t>
      </w:r>
    </w:p>
    <w:p w:rsidR="00C31389" w:rsidRDefault="00C31389" w14:paraId="38432A1B" w14:textId="77777777">
      <w:pPr>
        <w:pStyle w:val="BodyText"/>
        <w:spacing w:before="9"/>
        <w:rPr>
          <w:i/>
          <w:sz w:val="20"/>
        </w:rPr>
      </w:pPr>
    </w:p>
    <w:p w:rsidR="00C31389" w:rsidRDefault="00561FBD" w14:paraId="03B311EC" w14:textId="77777777">
      <w:pPr>
        <w:ind w:left="220"/>
        <w:rPr>
          <w:b/>
          <w:sz w:val="32"/>
        </w:rPr>
      </w:pPr>
      <w:bookmarkStart w:name="Appendix_K._Inflation_Reduction_Act_Tax_" w:id="719"/>
      <w:bookmarkStart w:name="_bookmark547" w:id="720"/>
      <w:bookmarkEnd w:id="719"/>
      <w:bookmarkEnd w:id="720"/>
      <w:r>
        <w:rPr>
          <w:b/>
          <w:sz w:val="32"/>
        </w:rPr>
        <w:t>Appendix</w:t>
      </w:r>
      <w:r>
        <w:rPr>
          <w:b/>
          <w:spacing w:val="-10"/>
          <w:sz w:val="32"/>
        </w:rPr>
        <w:t xml:space="preserve"> </w:t>
      </w:r>
      <w:r>
        <w:rPr>
          <w:b/>
          <w:sz w:val="32"/>
        </w:rPr>
        <w:t>K.</w:t>
      </w:r>
      <w:r>
        <w:rPr>
          <w:b/>
          <w:spacing w:val="-9"/>
          <w:sz w:val="32"/>
        </w:rPr>
        <w:t xml:space="preserve"> </w:t>
      </w:r>
      <w:r>
        <w:rPr>
          <w:b/>
          <w:sz w:val="32"/>
        </w:rPr>
        <w:t>Inflation</w:t>
      </w:r>
      <w:r>
        <w:rPr>
          <w:b/>
          <w:spacing w:val="-8"/>
          <w:sz w:val="32"/>
        </w:rPr>
        <w:t xml:space="preserve"> </w:t>
      </w:r>
      <w:r>
        <w:rPr>
          <w:b/>
          <w:sz w:val="32"/>
        </w:rPr>
        <w:t>Reduction</w:t>
      </w:r>
      <w:r>
        <w:rPr>
          <w:b/>
          <w:spacing w:val="-19"/>
          <w:sz w:val="32"/>
        </w:rPr>
        <w:t xml:space="preserve"> </w:t>
      </w:r>
      <w:r>
        <w:rPr>
          <w:b/>
          <w:sz w:val="32"/>
        </w:rPr>
        <w:t>Act</w:t>
      </w:r>
      <w:r>
        <w:rPr>
          <w:b/>
          <w:spacing w:val="-9"/>
          <w:sz w:val="32"/>
        </w:rPr>
        <w:t xml:space="preserve"> </w:t>
      </w:r>
      <w:r>
        <w:rPr>
          <w:b/>
          <w:sz w:val="32"/>
        </w:rPr>
        <w:t>Tax</w:t>
      </w:r>
      <w:r>
        <w:rPr>
          <w:b/>
          <w:spacing w:val="-8"/>
          <w:sz w:val="32"/>
        </w:rPr>
        <w:t xml:space="preserve"> </w:t>
      </w:r>
      <w:r>
        <w:rPr>
          <w:b/>
          <w:spacing w:val="-2"/>
          <w:sz w:val="32"/>
        </w:rPr>
        <w:t>Credits</w:t>
      </w:r>
    </w:p>
    <w:p w:rsidR="00C31389" w:rsidRDefault="00561FBD" w14:paraId="07C3427C" w14:textId="77777777">
      <w:pPr>
        <w:pStyle w:val="BodyText"/>
        <w:spacing w:before="241"/>
        <w:ind w:left="219" w:right="250"/>
      </w:pPr>
      <w:r>
        <w:t>The Guidehouse team accounted for Inflation Reduction Act (IRA) tax credits within three scenarios in the 2023 Study. While the IRA also specifies EE rebate programs designed to promote the adoption of efficient and electrified end use technologies</w:t>
      </w:r>
      <w:r>
        <w:t>, these programs will be left to individual states to design and administer. At the time of this study, specific details were not finalized regarding qualifying measures and incentive levels. As a result, the 2023 Study accounted</w:t>
      </w:r>
      <w:r>
        <w:rPr>
          <w:spacing w:val="-3"/>
        </w:rPr>
        <w:t xml:space="preserve"> </w:t>
      </w:r>
      <w:r>
        <w:t>only</w:t>
      </w:r>
      <w:r>
        <w:rPr>
          <w:spacing w:val="-3"/>
        </w:rPr>
        <w:t xml:space="preserve"> </w:t>
      </w:r>
      <w:r>
        <w:t>for</w:t>
      </w:r>
      <w:r>
        <w:rPr>
          <w:spacing w:val="-3"/>
        </w:rPr>
        <w:t xml:space="preserve"> </w:t>
      </w:r>
      <w:r>
        <w:t>the</w:t>
      </w:r>
      <w:r>
        <w:rPr>
          <w:spacing w:val="-3"/>
        </w:rPr>
        <w:t xml:space="preserve"> </w:t>
      </w:r>
      <w:r>
        <w:t>IRA</w:t>
      </w:r>
      <w:r>
        <w:rPr>
          <w:spacing w:val="-3"/>
        </w:rPr>
        <w:t xml:space="preserve"> </w:t>
      </w:r>
      <w:r>
        <w:t>tax</w:t>
      </w:r>
      <w:r>
        <w:rPr>
          <w:spacing w:val="-3"/>
        </w:rPr>
        <w:t xml:space="preserve"> </w:t>
      </w:r>
      <w:r>
        <w:t>credi</w:t>
      </w:r>
      <w:r>
        <w:t>ts</w:t>
      </w:r>
      <w:r>
        <w:rPr>
          <w:spacing w:val="-3"/>
        </w:rPr>
        <w:t xml:space="preserve"> </w:t>
      </w:r>
      <w:r>
        <w:t>in</w:t>
      </w:r>
      <w:r>
        <w:rPr>
          <w:spacing w:val="-3"/>
        </w:rPr>
        <w:t xml:space="preserve"> </w:t>
      </w:r>
      <w:r>
        <w:t>its</w:t>
      </w:r>
      <w:r>
        <w:rPr>
          <w:spacing w:val="-3"/>
        </w:rPr>
        <w:t xml:space="preserve"> </w:t>
      </w:r>
      <w:r>
        <w:t>modeled</w:t>
      </w:r>
      <w:r>
        <w:rPr>
          <w:spacing w:val="-3"/>
        </w:rPr>
        <w:t xml:space="preserve"> </w:t>
      </w:r>
      <w:r>
        <w:t>potential.</w:t>
      </w:r>
      <w:r>
        <w:rPr>
          <w:spacing w:val="-2"/>
        </w:rPr>
        <w:t xml:space="preserve"> </w:t>
      </w:r>
      <w:r>
        <w:t>Additional</w:t>
      </w:r>
      <w:r>
        <w:rPr>
          <w:spacing w:val="-3"/>
        </w:rPr>
        <w:t xml:space="preserve"> </w:t>
      </w:r>
      <w:r>
        <w:t>detail</w:t>
      </w:r>
      <w:r>
        <w:rPr>
          <w:spacing w:val="-3"/>
        </w:rPr>
        <w:t xml:space="preserve"> </w:t>
      </w:r>
      <w:r>
        <w:t>regarding</w:t>
      </w:r>
      <w:r>
        <w:rPr>
          <w:spacing w:val="-3"/>
        </w:rPr>
        <w:t xml:space="preserve"> </w:t>
      </w:r>
      <w:r>
        <w:t xml:space="preserve">these programs and their consideration within the 2023 Study can be found in Section </w:t>
      </w:r>
      <w:hyperlink w:history="1" w:anchor="_bookmark226">
        <w:r>
          <w:t>5.2</w:t>
        </w:r>
      </w:hyperlink>
      <w:r>
        <w:t>.</w:t>
      </w:r>
    </w:p>
    <w:p w:rsidR="00C31389" w:rsidRDefault="00C31389" w14:paraId="68DA47EA" w14:textId="77777777">
      <w:pPr>
        <w:pStyle w:val="BodyText"/>
        <w:spacing w:before="10"/>
        <w:rPr>
          <w:sz w:val="20"/>
        </w:rPr>
      </w:pPr>
    </w:p>
    <w:p w:rsidR="00C31389" w:rsidRDefault="00561FBD" w14:paraId="1905D70B" w14:textId="77777777">
      <w:pPr>
        <w:pStyle w:val="BodyText"/>
        <w:ind w:left="220"/>
      </w:pPr>
      <w:r>
        <w:t>The</w:t>
      </w:r>
      <w:r>
        <w:rPr>
          <w:spacing w:val="-6"/>
        </w:rPr>
        <w:t xml:space="preserve"> </w:t>
      </w:r>
      <w:r>
        <w:t>model</w:t>
      </w:r>
      <w:r>
        <w:rPr>
          <w:spacing w:val="-6"/>
        </w:rPr>
        <w:t xml:space="preserve"> </w:t>
      </w:r>
      <w:r>
        <w:t>includes</w:t>
      </w:r>
      <w:r>
        <w:rPr>
          <w:spacing w:val="-5"/>
        </w:rPr>
        <w:t xml:space="preserve"> </w:t>
      </w:r>
      <w:r>
        <w:t>two</w:t>
      </w:r>
      <w:r>
        <w:rPr>
          <w:spacing w:val="-6"/>
        </w:rPr>
        <w:t xml:space="preserve"> </w:t>
      </w:r>
      <w:r>
        <w:t>effects</w:t>
      </w:r>
      <w:r>
        <w:rPr>
          <w:spacing w:val="-6"/>
        </w:rPr>
        <w:t xml:space="preserve"> </w:t>
      </w:r>
      <w:r>
        <w:t>potentially</w:t>
      </w:r>
      <w:r>
        <w:rPr>
          <w:spacing w:val="-7"/>
        </w:rPr>
        <w:t xml:space="preserve"> </w:t>
      </w:r>
      <w:r>
        <w:t>caused</w:t>
      </w:r>
      <w:r>
        <w:rPr>
          <w:spacing w:val="-5"/>
        </w:rPr>
        <w:t xml:space="preserve"> </w:t>
      </w:r>
      <w:r>
        <w:t>by</w:t>
      </w:r>
      <w:r>
        <w:rPr>
          <w:spacing w:val="-6"/>
        </w:rPr>
        <w:t xml:space="preserve"> </w:t>
      </w:r>
      <w:r>
        <w:t>the</w:t>
      </w:r>
      <w:r>
        <w:rPr>
          <w:spacing w:val="-6"/>
        </w:rPr>
        <w:t xml:space="preserve"> </w:t>
      </w:r>
      <w:r>
        <w:t>tax</w:t>
      </w:r>
      <w:r>
        <w:rPr>
          <w:spacing w:val="-7"/>
        </w:rPr>
        <w:t xml:space="preserve"> </w:t>
      </w:r>
      <w:r>
        <w:rPr>
          <w:spacing w:val="-2"/>
        </w:rPr>
        <w:t>credits:</w:t>
      </w:r>
    </w:p>
    <w:p w:rsidR="00C31389" w:rsidRDefault="00C31389" w14:paraId="10177E37" w14:textId="77777777">
      <w:pPr>
        <w:pStyle w:val="BodyText"/>
        <w:spacing w:before="10"/>
        <w:rPr>
          <w:sz w:val="20"/>
        </w:rPr>
      </w:pPr>
    </w:p>
    <w:p w:rsidR="00C31389" w:rsidRDefault="00561FBD" w14:paraId="7051C6D0" w14:textId="77777777">
      <w:pPr>
        <w:pStyle w:val="ListParagraph"/>
        <w:numPr>
          <w:ilvl w:val="0"/>
          <w:numId w:val="3"/>
        </w:numPr>
        <w:tabs>
          <w:tab w:val="left" w:pos="940"/>
        </w:tabs>
        <w:ind w:right="350"/>
      </w:pPr>
      <w:r>
        <w:rPr>
          <w:b/>
        </w:rPr>
        <w:t xml:space="preserve">Changing Cost-Effectiveness: </w:t>
      </w:r>
      <w:r>
        <w:t>Tax credits</w:t>
      </w:r>
      <w:r>
        <w:rPr>
          <w:spacing w:val="-1"/>
        </w:rPr>
        <w:t xml:space="preserve"> </w:t>
      </w:r>
      <w:r>
        <w:t>are</w:t>
      </w:r>
      <w:r>
        <w:rPr>
          <w:spacing w:val="-1"/>
        </w:rPr>
        <w:t xml:space="preserve"> </w:t>
      </w:r>
      <w:r>
        <w:t>a benefit in</w:t>
      </w:r>
      <w:r>
        <w:rPr>
          <w:spacing w:val="-1"/>
        </w:rPr>
        <w:t xml:space="preserve"> </w:t>
      </w:r>
      <w:r>
        <w:t>the TRC</w:t>
      </w:r>
      <w:r>
        <w:rPr>
          <w:spacing w:val="-1"/>
        </w:rPr>
        <w:t xml:space="preserve"> </w:t>
      </w:r>
      <w:r>
        <w:t>test and could</w:t>
      </w:r>
      <w:r>
        <w:rPr>
          <w:spacing w:val="-1"/>
        </w:rPr>
        <w:t xml:space="preserve"> </w:t>
      </w:r>
      <w:r>
        <w:t>act to increase cost-effectiveness of measures. Economic Potential could increase if measures</w:t>
      </w:r>
      <w:r>
        <w:rPr>
          <w:spacing w:val="-3"/>
        </w:rPr>
        <w:t xml:space="preserve"> </w:t>
      </w:r>
      <w:r>
        <w:t>cross</w:t>
      </w:r>
      <w:r>
        <w:rPr>
          <w:spacing w:val="-3"/>
        </w:rPr>
        <w:t xml:space="preserve"> </w:t>
      </w:r>
      <w:r>
        <w:t>the</w:t>
      </w:r>
      <w:r>
        <w:rPr>
          <w:spacing w:val="-3"/>
        </w:rPr>
        <w:t xml:space="preserve"> </w:t>
      </w:r>
      <w:r>
        <w:t>threshold</w:t>
      </w:r>
      <w:r>
        <w:rPr>
          <w:spacing w:val="-3"/>
        </w:rPr>
        <w:t xml:space="preserve"> </w:t>
      </w:r>
      <w:r>
        <w:t>of</w:t>
      </w:r>
      <w:r>
        <w:rPr>
          <w:spacing w:val="-3"/>
        </w:rPr>
        <w:t xml:space="preserve"> </w:t>
      </w:r>
      <w:r>
        <w:t>cost-effectiveness</w:t>
      </w:r>
      <w:r>
        <w:rPr>
          <w:spacing w:val="-3"/>
        </w:rPr>
        <w:t xml:space="preserve"> </w:t>
      </w:r>
      <w:r>
        <w:t>due</w:t>
      </w:r>
      <w:r>
        <w:rPr>
          <w:spacing w:val="-3"/>
        </w:rPr>
        <w:t xml:space="preserve"> </w:t>
      </w:r>
      <w:r>
        <w:t>to</w:t>
      </w:r>
      <w:r>
        <w:rPr>
          <w:spacing w:val="-3"/>
        </w:rPr>
        <w:t xml:space="preserve"> </w:t>
      </w:r>
      <w:r>
        <w:t>the</w:t>
      </w:r>
      <w:r>
        <w:rPr>
          <w:spacing w:val="-3"/>
        </w:rPr>
        <w:t xml:space="preserve"> </w:t>
      </w:r>
      <w:r>
        <w:t>tax</w:t>
      </w:r>
      <w:r>
        <w:rPr>
          <w:spacing w:val="-3"/>
        </w:rPr>
        <w:t xml:space="preserve"> </w:t>
      </w:r>
      <w:r>
        <w:t>credit.</w:t>
      </w:r>
      <w:r>
        <w:rPr>
          <w:spacing w:val="-4"/>
        </w:rPr>
        <w:t xml:space="preserve"> </w:t>
      </w:r>
      <w:r>
        <w:t>The</w:t>
      </w:r>
      <w:r>
        <w:rPr>
          <w:spacing w:val="-3"/>
        </w:rPr>
        <w:t xml:space="preserve"> </w:t>
      </w:r>
      <w:r>
        <w:t>PG</w:t>
      </w:r>
      <w:r>
        <w:rPr>
          <w:spacing w:val="-4"/>
        </w:rPr>
        <w:t xml:space="preserve"> </w:t>
      </w:r>
      <w:r>
        <w:t>Model followed the California Standard Practice Manual and supplemental guidance from CPUC staff to properly incorporate tax credits into the TRC test.</w:t>
      </w:r>
    </w:p>
    <w:p w:rsidR="00C31389" w:rsidRDefault="00C31389" w14:paraId="0C451AAB" w14:textId="77777777">
      <w:pPr>
        <w:pStyle w:val="BodyText"/>
        <w:spacing w:before="7"/>
        <w:rPr>
          <w:sz w:val="20"/>
        </w:rPr>
      </w:pPr>
    </w:p>
    <w:p w:rsidR="00C31389" w:rsidRDefault="00561FBD" w14:paraId="521CC466" w14:textId="77777777">
      <w:pPr>
        <w:pStyle w:val="ListParagraph"/>
        <w:numPr>
          <w:ilvl w:val="0"/>
          <w:numId w:val="3"/>
        </w:numPr>
        <w:tabs>
          <w:tab w:val="left" w:pos="940"/>
        </w:tabs>
        <w:ind w:right="316"/>
      </w:pPr>
      <w:r>
        <w:rPr>
          <w:b/>
        </w:rPr>
        <w:t xml:space="preserve">Increasing Willingness to Adopt: </w:t>
      </w:r>
      <w:r>
        <w:t>Tax credits reduce th</w:t>
      </w:r>
      <w:r>
        <w:t>e lifetime ownership cost of energy efficient equipment. Lifetime cost is an input to the PG Model’s calculation of willingness</w:t>
      </w:r>
      <w:r>
        <w:rPr>
          <w:spacing w:val="-4"/>
        </w:rPr>
        <w:t xml:space="preserve"> </w:t>
      </w:r>
      <w:r>
        <w:t>to</w:t>
      </w:r>
      <w:r>
        <w:rPr>
          <w:spacing w:val="-4"/>
        </w:rPr>
        <w:t xml:space="preserve"> </w:t>
      </w:r>
      <w:r>
        <w:t>adopt;</w:t>
      </w:r>
      <w:r>
        <w:rPr>
          <w:spacing w:val="-4"/>
        </w:rPr>
        <w:t xml:space="preserve"> </w:t>
      </w:r>
      <w:r>
        <w:t>reducing</w:t>
      </w:r>
      <w:r>
        <w:rPr>
          <w:spacing w:val="-4"/>
        </w:rPr>
        <w:t xml:space="preserve"> </w:t>
      </w:r>
      <w:r>
        <w:t>cost</w:t>
      </w:r>
      <w:r>
        <w:rPr>
          <w:spacing w:val="-4"/>
        </w:rPr>
        <w:t xml:space="preserve"> </w:t>
      </w:r>
      <w:r>
        <w:t>increases</w:t>
      </w:r>
      <w:r>
        <w:rPr>
          <w:spacing w:val="-4"/>
        </w:rPr>
        <w:t xml:space="preserve"> </w:t>
      </w:r>
      <w:r>
        <w:t>willingness</w:t>
      </w:r>
      <w:r>
        <w:rPr>
          <w:spacing w:val="-4"/>
        </w:rPr>
        <w:t xml:space="preserve"> </w:t>
      </w:r>
      <w:r>
        <w:t>and</w:t>
      </w:r>
      <w:r>
        <w:rPr>
          <w:spacing w:val="-5"/>
        </w:rPr>
        <w:t xml:space="preserve"> </w:t>
      </w:r>
      <w:r>
        <w:t>thus</w:t>
      </w:r>
      <w:r>
        <w:rPr>
          <w:spacing w:val="-4"/>
        </w:rPr>
        <w:t xml:space="preserve"> </w:t>
      </w:r>
      <w:r>
        <w:t>increases</w:t>
      </w:r>
      <w:r>
        <w:rPr>
          <w:spacing w:val="-4"/>
        </w:rPr>
        <w:t xml:space="preserve"> </w:t>
      </w:r>
      <w:r>
        <w:t>Achievable Potential.</w:t>
      </w:r>
      <w:r>
        <w:rPr>
          <w:spacing w:val="-2"/>
        </w:rPr>
        <w:t xml:space="preserve"> </w:t>
      </w:r>
      <w:r>
        <w:t>We</w:t>
      </w:r>
      <w:r>
        <w:rPr>
          <w:spacing w:val="-2"/>
        </w:rPr>
        <w:t xml:space="preserve"> </w:t>
      </w:r>
      <w:r>
        <w:t>do</w:t>
      </w:r>
      <w:r>
        <w:rPr>
          <w:spacing w:val="-2"/>
        </w:rPr>
        <w:t xml:space="preserve"> </w:t>
      </w:r>
      <w:r>
        <w:t>not</w:t>
      </w:r>
      <w:r>
        <w:rPr>
          <w:spacing w:val="-2"/>
        </w:rPr>
        <w:t xml:space="preserve"> </w:t>
      </w:r>
      <w:r>
        <w:t>expect</w:t>
      </w:r>
      <w:r>
        <w:rPr>
          <w:spacing w:val="-2"/>
        </w:rPr>
        <w:t xml:space="preserve"> </w:t>
      </w:r>
      <w:r>
        <w:t>significant</w:t>
      </w:r>
      <w:r>
        <w:rPr>
          <w:spacing w:val="-2"/>
        </w:rPr>
        <w:t xml:space="preserve"> </w:t>
      </w:r>
      <w:r>
        <w:t>algorithm</w:t>
      </w:r>
      <w:r>
        <w:rPr>
          <w:spacing w:val="-3"/>
        </w:rPr>
        <w:t xml:space="preserve"> </w:t>
      </w:r>
      <w:r>
        <w:t>ch</w:t>
      </w:r>
      <w:r>
        <w:t>anges</w:t>
      </w:r>
      <w:r>
        <w:rPr>
          <w:spacing w:val="-2"/>
        </w:rPr>
        <w:t xml:space="preserve"> </w:t>
      </w:r>
      <w:r>
        <w:t>to</w:t>
      </w:r>
      <w:r>
        <w:rPr>
          <w:spacing w:val="-3"/>
        </w:rPr>
        <w:t xml:space="preserve"> </w:t>
      </w:r>
      <w:r>
        <w:t>be</w:t>
      </w:r>
      <w:r>
        <w:rPr>
          <w:spacing w:val="-2"/>
        </w:rPr>
        <w:t xml:space="preserve"> </w:t>
      </w:r>
      <w:r>
        <w:t>necessary</w:t>
      </w:r>
      <w:r>
        <w:rPr>
          <w:spacing w:val="-2"/>
        </w:rPr>
        <w:t xml:space="preserve"> </w:t>
      </w:r>
      <w:r>
        <w:t>to</w:t>
      </w:r>
      <w:r>
        <w:rPr>
          <w:spacing w:val="-2"/>
        </w:rPr>
        <w:t xml:space="preserve"> </w:t>
      </w:r>
      <w:r>
        <w:t>model</w:t>
      </w:r>
      <w:r>
        <w:rPr>
          <w:spacing w:val="-2"/>
        </w:rPr>
        <w:t xml:space="preserve"> </w:t>
      </w:r>
      <w:r>
        <w:t xml:space="preserve">this </w:t>
      </w:r>
      <w:r>
        <w:rPr>
          <w:spacing w:val="-2"/>
        </w:rPr>
        <w:t>aspect.</w:t>
      </w:r>
    </w:p>
    <w:p w:rsidR="00C31389" w:rsidRDefault="00C31389" w14:paraId="34A75253" w14:textId="77777777">
      <w:pPr>
        <w:pStyle w:val="BodyText"/>
        <w:spacing w:before="8"/>
        <w:rPr>
          <w:sz w:val="20"/>
        </w:rPr>
      </w:pPr>
    </w:p>
    <w:p w:rsidR="00C31389" w:rsidRDefault="00561FBD" w14:paraId="120E08C1" w14:textId="77777777">
      <w:pPr>
        <w:pStyle w:val="BodyText"/>
        <w:spacing w:before="1"/>
        <w:ind w:left="220" w:right="139"/>
      </w:pPr>
      <w:r>
        <w:t>The</w:t>
      </w:r>
      <w:r>
        <w:rPr>
          <w:spacing w:val="-2"/>
        </w:rPr>
        <w:t xml:space="preserve"> </w:t>
      </w:r>
      <w:r>
        <w:t>critical</w:t>
      </w:r>
      <w:r>
        <w:rPr>
          <w:spacing w:val="-3"/>
        </w:rPr>
        <w:t xml:space="preserve"> </w:t>
      </w:r>
      <w:r>
        <w:t>step</w:t>
      </w:r>
      <w:r>
        <w:rPr>
          <w:spacing w:val="-2"/>
        </w:rPr>
        <w:t xml:space="preserve"> </w:t>
      </w:r>
      <w:r>
        <w:t>to</w:t>
      </w:r>
      <w:r>
        <w:rPr>
          <w:spacing w:val="-2"/>
        </w:rPr>
        <w:t xml:space="preserve"> </w:t>
      </w:r>
      <w:r>
        <w:t>modeling</w:t>
      </w:r>
      <w:r>
        <w:rPr>
          <w:spacing w:val="-2"/>
        </w:rPr>
        <w:t xml:space="preserve"> </w:t>
      </w:r>
      <w:r>
        <w:t>the</w:t>
      </w:r>
      <w:r>
        <w:rPr>
          <w:spacing w:val="-2"/>
        </w:rPr>
        <w:t xml:space="preserve"> </w:t>
      </w:r>
      <w:r>
        <w:t>IRA</w:t>
      </w:r>
      <w:r>
        <w:rPr>
          <w:spacing w:val="-2"/>
        </w:rPr>
        <w:t xml:space="preserve"> </w:t>
      </w:r>
      <w:r>
        <w:t>in</w:t>
      </w:r>
      <w:r>
        <w:rPr>
          <w:spacing w:val="-2"/>
        </w:rPr>
        <w:t xml:space="preserve"> </w:t>
      </w:r>
      <w:r>
        <w:t>the</w:t>
      </w:r>
      <w:r>
        <w:rPr>
          <w:spacing w:val="-2"/>
        </w:rPr>
        <w:t xml:space="preserve"> </w:t>
      </w:r>
      <w:r>
        <w:t>PG</w:t>
      </w:r>
      <w:r>
        <w:rPr>
          <w:spacing w:val="-3"/>
        </w:rPr>
        <w:t xml:space="preserve"> </w:t>
      </w:r>
      <w:r>
        <w:t>Model</w:t>
      </w:r>
      <w:r>
        <w:rPr>
          <w:spacing w:val="-1"/>
        </w:rPr>
        <w:t xml:space="preserve"> </w:t>
      </w:r>
      <w:r>
        <w:t>is</w:t>
      </w:r>
      <w:r>
        <w:rPr>
          <w:spacing w:val="-2"/>
        </w:rPr>
        <w:t xml:space="preserve"> </w:t>
      </w:r>
      <w:r>
        <w:t>to</w:t>
      </w:r>
      <w:r>
        <w:rPr>
          <w:spacing w:val="-3"/>
        </w:rPr>
        <w:t xml:space="preserve"> </w:t>
      </w:r>
      <w:r>
        <w:t>characterize</w:t>
      </w:r>
      <w:r>
        <w:rPr>
          <w:spacing w:val="-3"/>
        </w:rPr>
        <w:t xml:space="preserve"> </w:t>
      </w:r>
      <w:r>
        <w:t>the</w:t>
      </w:r>
      <w:r>
        <w:rPr>
          <w:spacing w:val="-2"/>
        </w:rPr>
        <w:t xml:space="preserve"> </w:t>
      </w:r>
      <w:r>
        <w:t>tax</w:t>
      </w:r>
      <w:r>
        <w:rPr>
          <w:spacing w:val="-2"/>
        </w:rPr>
        <w:t xml:space="preserve"> </w:t>
      </w:r>
      <w:r>
        <w:t>credits</w:t>
      </w:r>
      <w:r>
        <w:rPr>
          <w:spacing w:val="-2"/>
        </w:rPr>
        <w:t xml:space="preserve"> </w:t>
      </w:r>
      <w:r>
        <w:t>for</w:t>
      </w:r>
      <w:r>
        <w:rPr>
          <w:spacing w:val="-2"/>
        </w:rPr>
        <w:t xml:space="preserve"> </w:t>
      </w:r>
      <w:r>
        <w:t xml:space="preserve">each applicable measure. Within the PG Model measure input workbooks, there is a field for both residential and </w:t>
      </w:r>
      <w:r>
        <w:t>commercial measures input workbooks for tax credits in a $/unit value.</w:t>
      </w:r>
    </w:p>
    <w:p w:rsidR="00C31389" w:rsidRDefault="00C31389" w14:paraId="3F729C58" w14:textId="77777777">
      <w:pPr>
        <w:pStyle w:val="BodyText"/>
        <w:spacing w:before="10"/>
        <w:rPr>
          <w:sz w:val="20"/>
        </w:rPr>
      </w:pPr>
    </w:p>
    <w:p w:rsidR="00C31389" w:rsidRDefault="00561FBD" w14:paraId="2AE4B9B5" w14:textId="77777777">
      <w:pPr>
        <w:pStyle w:val="BodyText"/>
        <w:ind w:left="220" w:right="165"/>
      </w:pPr>
      <w:r>
        <w:t>The IRA has specific provisions for developing and quantifying the appropriate tax credit for measures</w:t>
      </w:r>
      <w:r>
        <w:rPr>
          <w:spacing w:val="-3"/>
        </w:rPr>
        <w:t xml:space="preserve"> </w:t>
      </w:r>
      <w:r>
        <w:t>in</w:t>
      </w:r>
      <w:r>
        <w:rPr>
          <w:spacing w:val="-3"/>
        </w:rPr>
        <w:t xml:space="preserve"> </w:t>
      </w:r>
      <w:r>
        <w:t>the</w:t>
      </w:r>
      <w:r>
        <w:rPr>
          <w:spacing w:val="-3"/>
        </w:rPr>
        <w:t xml:space="preserve"> </w:t>
      </w:r>
      <w:r>
        <w:t>residential</w:t>
      </w:r>
      <w:r>
        <w:rPr>
          <w:spacing w:val="-2"/>
        </w:rPr>
        <w:t xml:space="preserve"> </w:t>
      </w:r>
      <w:r>
        <w:t>and</w:t>
      </w:r>
      <w:r>
        <w:rPr>
          <w:spacing w:val="-3"/>
        </w:rPr>
        <w:t xml:space="preserve"> </w:t>
      </w:r>
      <w:r>
        <w:t>commercial</w:t>
      </w:r>
      <w:r>
        <w:rPr>
          <w:spacing w:val="-3"/>
        </w:rPr>
        <w:t xml:space="preserve"> </w:t>
      </w:r>
      <w:r>
        <w:t>sectors,</w:t>
      </w:r>
      <w:r>
        <w:rPr>
          <w:spacing w:val="-3"/>
        </w:rPr>
        <w:t xml:space="preserve"> </w:t>
      </w:r>
      <w:r>
        <w:t>which</w:t>
      </w:r>
      <w:r>
        <w:rPr>
          <w:spacing w:val="-3"/>
        </w:rPr>
        <w:t xml:space="preserve"> </w:t>
      </w:r>
      <w:r>
        <w:t>are</w:t>
      </w:r>
      <w:r>
        <w:rPr>
          <w:spacing w:val="-3"/>
        </w:rPr>
        <w:t xml:space="preserve"> </w:t>
      </w:r>
      <w:r>
        <w:t>detailed</w:t>
      </w:r>
      <w:r>
        <w:rPr>
          <w:spacing w:val="-3"/>
        </w:rPr>
        <w:t xml:space="preserve"> </w:t>
      </w:r>
      <w:r>
        <w:t>below.</w:t>
      </w:r>
      <w:r>
        <w:rPr>
          <w:spacing w:val="-3"/>
        </w:rPr>
        <w:t xml:space="preserve"> </w:t>
      </w:r>
      <w:r>
        <w:t>Once</w:t>
      </w:r>
      <w:r>
        <w:rPr>
          <w:spacing w:val="-3"/>
        </w:rPr>
        <w:t xml:space="preserve"> </w:t>
      </w:r>
      <w:r>
        <w:t>the</w:t>
      </w:r>
      <w:r>
        <w:rPr>
          <w:spacing w:val="-3"/>
        </w:rPr>
        <w:t xml:space="preserve"> </w:t>
      </w:r>
      <w:r>
        <w:t>val</w:t>
      </w:r>
      <w:r>
        <w:t xml:space="preserve">ues are characterized, they can be imported to the PG Model and run to calculate the resulting </w:t>
      </w:r>
      <w:r>
        <w:rPr>
          <w:spacing w:val="-2"/>
        </w:rPr>
        <w:t>savings.</w:t>
      </w:r>
    </w:p>
    <w:p w:rsidR="00C31389" w:rsidRDefault="00C31389" w14:paraId="23B51126" w14:textId="77777777">
      <w:pPr>
        <w:pStyle w:val="BodyText"/>
        <w:spacing w:before="10"/>
        <w:rPr>
          <w:sz w:val="20"/>
        </w:rPr>
      </w:pPr>
    </w:p>
    <w:p w:rsidR="00C31389" w:rsidRDefault="00561FBD" w14:paraId="745FA1B6" w14:textId="77777777">
      <w:pPr>
        <w:pStyle w:val="BodyText"/>
        <w:ind w:left="221" w:right="165" w:hanging="1"/>
      </w:pPr>
      <w:r>
        <w:t>The</w:t>
      </w:r>
      <w:r>
        <w:rPr>
          <w:spacing w:val="-3"/>
        </w:rPr>
        <w:t xml:space="preserve"> </w:t>
      </w:r>
      <w:r>
        <w:t>IRA</w:t>
      </w:r>
      <w:r>
        <w:rPr>
          <w:spacing w:val="-3"/>
        </w:rPr>
        <w:t xml:space="preserve"> </w:t>
      </w:r>
      <w:r>
        <w:t>also</w:t>
      </w:r>
      <w:r>
        <w:rPr>
          <w:spacing w:val="-3"/>
        </w:rPr>
        <w:t xml:space="preserve"> </w:t>
      </w:r>
      <w:r>
        <w:t>provides</w:t>
      </w:r>
      <w:r>
        <w:rPr>
          <w:spacing w:val="-3"/>
        </w:rPr>
        <w:t xml:space="preserve"> </w:t>
      </w:r>
      <w:r>
        <w:t>rebates</w:t>
      </w:r>
      <w:r>
        <w:rPr>
          <w:spacing w:val="-3"/>
        </w:rPr>
        <w:t xml:space="preserve"> </w:t>
      </w:r>
      <w:r>
        <w:t>through</w:t>
      </w:r>
      <w:r>
        <w:rPr>
          <w:spacing w:val="-3"/>
        </w:rPr>
        <w:t xml:space="preserve"> </w:t>
      </w:r>
      <w:r>
        <w:t>programs.</w:t>
      </w:r>
      <w:r>
        <w:rPr>
          <w:spacing w:val="-3"/>
        </w:rPr>
        <w:t xml:space="preserve"> </w:t>
      </w:r>
      <w:r>
        <w:t>The</w:t>
      </w:r>
      <w:r>
        <w:rPr>
          <w:spacing w:val="-3"/>
        </w:rPr>
        <w:t xml:space="preserve"> </w:t>
      </w:r>
      <w:r>
        <w:t>modeling</w:t>
      </w:r>
      <w:r>
        <w:rPr>
          <w:spacing w:val="-3"/>
        </w:rPr>
        <w:t xml:space="preserve"> </w:t>
      </w:r>
      <w:r>
        <w:t>of</w:t>
      </w:r>
      <w:r>
        <w:rPr>
          <w:spacing w:val="-3"/>
        </w:rPr>
        <w:t xml:space="preserve"> </w:t>
      </w:r>
      <w:r>
        <w:t>these</w:t>
      </w:r>
      <w:r>
        <w:rPr>
          <w:spacing w:val="-4"/>
        </w:rPr>
        <w:t xml:space="preserve"> </w:t>
      </w:r>
      <w:r>
        <w:t>programs</w:t>
      </w:r>
      <w:r>
        <w:rPr>
          <w:spacing w:val="-3"/>
        </w:rPr>
        <w:t xml:space="preserve"> </w:t>
      </w:r>
      <w:r>
        <w:t>is</w:t>
      </w:r>
      <w:r>
        <w:rPr>
          <w:spacing w:val="-1"/>
        </w:rPr>
        <w:t xml:space="preserve"> </w:t>
      </w:r>
      <w:r>
        <w:t xml:space="preserve">not included in this current study as they are still </w:t>
      </w:r>
      <w:r>
        <w:t>undergoing design as of Q4 2022.</w:t>
      </w:r>
    </w:p>
    <w:p w:rsidR="00C31389" w:rsidRDefault="00C31389" w14:paraId="13CBCB31" w14:textId="77777777">
      <w:pPr>
        <w:pStyle w:val="BodyText"/>
        <w:spacing w:before="10"/>
        <w:rPr>
          <w:sz w:val="20"/>
        </w:rPr>
      </w:pPr>
    </w:p>
    <w:p w:rsidR="00C31389" w:rsidRDefault="00561FBD" w14:paraId="0C3EC4E3" w14:textId="77777777">
      <w:pPr>
        <w:pStyle w:val="ListParagraph"/>
        <w:numPr>
          <w:ilvl w:val="1"/>
          <w:numId w:val="2"/>
        </w:numPr>
        <w:tabs>
          <w:tab w:val="left" w:pos="731"/>
        </w:tabs>
        <w:spacing w:before="1"/>
        <w:ind w:left="731" w:hanging="511"/>
        <w:rPr>
          <w:b/>
          <w:sz w:val="28"/>
        </w:rPr>
      </w:pPr>
      <w:bookmarkStart w:name="K.1_Residential_Sector_Characterization" w:id="721"/>
      <w:bookmarkStart w:name="_bookmark548" w:id="722"/>
      <w:bookmarkEnd w:id="721"/>
      <w:bookmarkEnd w:id="722"/>
      <w:r>
        <w:rPr>
          <w:b/>
          <w:sz w:val="28"/>
        </w:rPr>
        <w:t>Residential</w:t>
      </w:r>
      <w:r>
        <w:rPr>
          <w:b/>
          <w:spacing w:val="-15"/>
          <w:sz w:val="28"/>
        </w:rPr>
        <w:t xml:space="preserve"> </w:t>
      </w:r>
      <w:r>
        <w:rPr>
          <w:b/>
          <w:sz w:val="28"/>
        </w:rPr>
        <w:t>Sector</w:t>
      </w:r>
      <w:r>
        <w:rPr>
          <w:b/>
          <w:spacing w:val="-14"/>
          <w:sz w:val="28"/>
        </w:rPr>
        <w:t xml:space="preserve"> </w:t>
      </w:r>
      <w:r>
        <w:rPr>
          <w:b/>
          <w:spacing w:val="-2"/>
          <w:sz w:val="28"/>
        </w:rPr>
        <w:t>Characterization</w:t>
      </w:r>
    </w:p>
    <w:p w:rsidR="00C31389" w:rsidRDefault="00561FBD" w14:paraId="5F13E0C6" w14:textId="77777777">
      <w:pPr>
        <w:pStyle w:val="BodyText"/>
        <w:spacing w:before="239"/>
        <w:ind w:left="219" w:right="250"/>
      </w:pPr>
      <w:r>
        <w:t>For applicable Residential EE and FS measures, Guidehouse defined a “base” tax credit amount</w:t>
      </w:r>
      <w:r>
        <w:rPr>
          <w:spacing w:val="-3"/>
        </w:rPr>
        <w:t xml:space="preserve"> </w:t>
      </w:r>
      <w:r>
        <w:t>for</w:t>
      </w:r>
      <w:r>
        <w:rPr>
          <w:spacing w:val="-3"/>
        </w:rPr>
        <w:t xml:space="preserve"> </w:t>
      </w:r>
      <w:r>
        <w:t>the</w:t>
      </w:r>
      <w:r>
        <w:rPr>
          <w:spacing w:val="-3"/>
        </w:rPr>
        <w:t xml:space="preserve"> </w:t>
      </w:r>
      <w:r>
        <w:t>value</w:t>
      </w:r>
      <w:r>
        <w:rPr>
          <w:spacing w:val="-3"/>
        </w:rPr>
        <w:t xml:space="preserve"> </w:t>
      </w:r>
      <w:r>
        <w:t>that</w:t>
      </w:r>
      <w:r>
        <w:rPr>
          <w:spacing w:val="-3"/>
        </w:rPr>
        <w:t xml:space="preserve"> </w:t>
      </w:r>
      <w:r>
        <w:t>will</w:t>
      </w:r>
      <w:r>
        <w:rPr>
          <w:spacing w:val="-3"/>
        </w:rPr>
        <w:t xml:space="preserve"> </w:t>
      </w:r>
      <w:r>
        <w:t>be</w:t>
      </w:r>
      <w:r>
        <w:rPr>
          <w:spacing w:val="-3"/>
        </w:rPr>
        <w:t xml:space="preserve"> </w:t>
      </w:r>
      <w:r>
        <w:t>added</w:t>
      </w:r>
      <w:r>
        <w:rPr>
          <w:spacing w:val="-3"/>
        </w:rPr>
        <w:t xml:space="preserve"> </w:t>
      </w:r>
      <w:r>
        <w:t>to</w:t>
      </w:r>
      <w:r>
        <w:rPr>
          <w:spacing w:val="-3"/>
        </w:rPr>
        <w:t xml:space="preserve"> </w:t>
      </w:r>
      <w:r>
        <w:t>the</w:t>
      </w:r>
      <w:r>
        <w:rPr>
          <w:spacing w:val="-3"/>
        </w:rPr>
        <w:t xml:space="preserve"> </w:t>
      </w:r>
      <w:r>
        <w:t>Tax</w:t>
      </w:r>
      <w:r>
        <w:rPr>
          <w:spacing w:val="-3"/>
        </w:rPr>
        <w:t xml:space="preserve"> </w:t>
      </w:r>
      <w:r>
        <w:t>Credit</w:t>
      </w:r>
      <w:r>
        <w:rPr>
          <w:spacing w:val="-3"/>
        </w:rPr>
        <w:t xml:space="preserve"> </w:t>
      </w:r>
      <w:r>
        <w:t>field</w:t>
      </w:r>
      <w:r>
        <w:rPr>
          <w:spacing w:val="-4"/>
        </w:rPr>
        <w:t xml:space="preserve"> </w:t>
      </w:r>
      <w:r>
        <w:t>for</w:t>
      </w:r>
      <w:r>
        <w:rPr>
          <w:spacing w:val="-3"/>
        </w:rPr>
        <w:t xml:space="preserve"> </w:t>
      </w:r>
      <w:r>
        <w:t>each</w:t>
      </w:r>
      <w:r>
        <w:rPr>
          <w:spacing w:val="-3"/>
        </w:rPr>
        <w:t xml:space="preserve"> </w:t>
      </w:r>
      <w:r>
        <w:t>measure.</w:t>
      </w:r>
      <w:r>
        <w:rPr>
          <w:spacing w:val="-3"/>
        </w:rPr>
        <w:t xml:space="preserve"> </w:t>
      </w:r>
      <w:r>
        <w:t>To</w:t>
      </w:r>
      <w:r>
        <w:rPr>
          <w:spacing w:val="-3"/>
        </w:rPr>
        <w:t xml:space="preserve"> </w:t>
      </w:r>
      <w:r>
        <w:t>quantify</w:t>
      </w:r>
      <w:r>
        <w:rPr>
          <w:spacing w:val="-3"/>
        </w:rPr>
        <w:t xml:space="preserve"> </w:t>
      </w:r>
      <w:r>
        <w:t>the ta</w:t>
      </w:r>
      <w:r>
        <w:t xml:space="preserve">x credit amount, Guidehouse quantified scaling factors for the population to account for the requirements that the measures are installed in owner-occupied single-family homes, and the functional requirement that the homeowner has sufficient tax burden to </w:t>
      </w:r>
      <w:r>
        <w:t>receive the value of the tax credit.</w:t>
      </w:r>
    </w:p>
    <w:p w:rsidR="00C31389" w:rsidRDefault="00C31389" w14:paraId="18A3017F" w14:textId="77777777">
      <w:pPr>
        <w:pStyle w:val="BodyText"/>
        <w:spacing w:before="11"/>
        <w:rPr>
          <w:sz w:val="20"/>
        </w:rPr>
      </w:pPr>
    </w:p>
    <w:p w:rsidR="00C31389" w:rsidRDefault="00561FBD" w14:paraId="407D1863" w14:textId="77777777">
      <w:pPr>
        <w:pStyle w:val="ListParagraph"/>
        <w:numPr>
          <w:ilvl w:val="2"/>
          <w:numId w:val="2"/>
        </w:numPr>
        <w:tabs>
          <w:tab w:val="left" w:pos="939"/>
        </w:tabs>
        <w:ind w:right="473"/>
        <w:rPr>
          <w:i/>
        </w:rPr>
      </w:pPr>
      <w:r>
        <w:t>Step</w:t>
      </w:r>
      <w:r>
        <w:rPr>
          <w:spacing w:val="-3"/>
        </w:rPr>
        <w:t xml:space="preserve"> </w:t>
      </w:r>
      <w:r>
        <w:t>1</w:t>
      </w:r>
      <w:r>
        <w:rPr>
          <w:spacing w:val="-3"/>
        </w:rPr>
        <w:t xml:space="preserve"> </w:t>
      </w:r>
      <w:r>
        <w:t>–</w:t>
      </w:r>
      <w:r>
        <w:rPr>
          <w:spacing w:val="-3"/>
        </w:rPr>
        <w:t xml:space="preserve"> </w:t>
      </w:r>
      <w:r>
        <w:t>Assign</w:t>
      </w:r>
      <w:r>
        <w:rPr>
          <w:spacing w:val="-3"/>
        </w:rPr>
        <w:t xml:space="preserve"> </w:t>
      </w:r>
      <w:r>
        <w:rPr>
          <w:b/>
        </w:rPr>
        <w:t>base</w:t>
      </w:r>
      <w:r>
        <w:rPr>
          <w:b/>
          <w:spacing w:val="-3"/>
        </w:rPr>
        <w:t xml:space="preserve"> </w:t>
      </w:r>
      <w:r>
        <w:rPr>
          <w:b/>
        </w:rPr>
        <w:t>tax</w:t>
      </w:r>
      <w:r>
        <w:rPr>
          <w:b/>
          <w:spacing w:val="-3"/>
        </w:rPr>
        <w:t xml:space="preserve"> </w:t>
      </w:r>
      <w:r>
        <w:rPr>
          <w:b/>
        </w:rPr>
        <w:t>credit</w:t>
      </w:r>
      <w:r>
        <w:rPr>
          <w:b/>
          <w:spacing w:val="-3"/>
        </w:rPr>
        <w:t xml:space="preserve"> </w:t>
      </w:r>
      <w:r>
        <w:rPr>
          <w:b/>
        </w:rPr>
        <w:t>(</w:t>
      </w:r>
      <w:r>
        <w:t>$/unit)</w:t>
      </w:r>
      <w:r>
        <w:rPr>
          <w:spacing w:val="-3"/>
        </w:rPr>
        <w:t xml:space="preserve"> </w:t>
      </w:r>
      <w:r>
        <w:t>for</w:t>
      </w:r>
      <w:r>
        <w:rPr>
          <w:spacing w:val="-3"/>
        </w:rPr>
        <w:t xml:space="preserve"> </w:t>
      </w:r>
      <w:r>
        <w:t>applicable</w:t>
      </w:r>
      <w:r>
        <w:rPr>
          <w:spacing w:val="-3"/>
        </w:rPr>
        <w:t xml:space="preserve"> </w:t>
      </w:r>
      <w:r>
        <w:t>residential</w:t>
      </w:r>
      <w:r>
        <w:rPr>
          <w:spacing w:val="-3"/>
        </w:rPr>
        <w:t xml:space="preserve"> </w:t>
      </w:r>
      <w:r>
        <w:t>measures</w:t>
      </w:r>
      <w:r>
        <w:rPr>
          <w:spacing w:val="-3"/>
        </w:rPr>
        <w:t xml:space="preserve"> </w:t>
      </w:r>
      <w:r>
        <w:rPr>
          <w:i/>
        </w:rPr>
        <w:t>(Source</w:t>
      </w:r>
      <w:r>
        <w:rPr>
          <w:i/>
          <w:spacing w:val="-4"/>
        </w:rPr>
        <w:t xml:space="preserve"> </w:t>
      </w:r>
      <w:r>
        <w:rPr>
          <w:i/>
        </w:rPr>
        <w:t>– IRA provisions)</w:t>
      </w:r>
    </w:p>
    <w:p w:rsidR="00C31389" w:rsidRDefault="00C31389" w14:paraId="1A1D7119" w14:textId="77777777">
      <w:pPr>
        <w:sectPr w:rsidR="00C31389">
          <w:headerReference w:type="default" r:id="rId345"/>
          <w:footerReference w:type="default" r:id="rId346"/>
          <w:pgSz w:w="12240" w:h="15840"/>
          <w:pgMar w:top="1380" w:right="1240" w:bottom="1120" w:left="1220" w:header="397" w:footer="936" w:gutter="0"/>
          <w:cols w:space="720"/>
        </w:sectPr>
      </w:pPr>
    </w:p>
    <w:p w:rsidR="00C31389" w:rsidRDefault="00C31389" w14:paraId="76888B78" w14:textId="77777777">
      <w:pPr>
        <w:pStyle w:val="BodyText"/>
        <w:rPr>
          <w:i/>
        </w:rPr>
      </w:pPr>
    </w:p>
    <w:p w:rsidR="00C31389" w:rsidRDefault="00C31389" w14:paraId="219A0BD8" w14:textId="77777777">
      <w:pPr>
        <w:pStyle w:val="BodyText"/>
        <w:spacing w:before="10"/>
        <w:rPr>
          <w:i/>
          <w:sz w:val="13"/>
        </w:rPr>
      </w:pPr>
    </w:p>
    <w:p w:rsidR="00C31389" w:rsidRDefault="00561FBD" w14:paraId="2DC52194" w14:textId="77777777">
      <w:pPr>
        <w:pStyle w:val="ListParagraph"/>
        <w:numPr>
          <w:ilvl w:val="3"/>
          <w:numId w:val="2"/>
        </w:numPr>
        <w:tabs>
          <w:tab w:val="left" w:pos="1343"/>
        </w:tabs>
        <w:spacing w:before="106" w:line="223" w:lineRule="auto"/>
        <w:ind w:right="486"/>
      </w:pPr>
      <w:r>
        <w:t>The smaller of $1,200 or 30% of the installed measure cost for non-heat pump HVAC,</w:t>
      </w:r>
      <w:r>
        <w:rPr>
          <w:spacing w:val="-5"/>
        </w:rPr>
        <w:t xml:space="preserve"> </w:t>
      </w:r>
      <w:r>
        <w:t>insulation</w:t>
      </w:r>
      <w:r>
        <w:rPr>
          <w:spacing w:val="-5"/>
        </w:rPr>
        <w:t xml:space="preserve"> </w:t>
      </w:r>
      <w:r>
        <w:t>and</w:t>
      </w:r>
      <w:r>
        <w:rPr>
          <w:spacing w:val="-5"/>
        </w:rPr>
        <w:t xml:space="preserve"> </w:t>
      </w:r>
      <w:r>
        <w:t>envelope</w:t>
      </w:r>
      <w:r>
        <w:rPr>
          <w:spacing w:val="-5"/>
        </w:rPr>
        <w:t xml:space="preserve"> </w:t>
      </w:r>
      <w:r>
        <w:t>measures</w:t>
      </w:r>
      <w:r>
        <w:rPr>
          <w:spacing w:val="-5"/>
        </w:rPr>
        <w:t xml:space="preserve"> </w:t>
      </w:r>
      <w:r>
        <w:t>(excluding</w:t>
      </w:r>
      <w:r>
        <w:rPr>
          <w:spacing w:val="-5"/>
        </w:rPr>
        <w:t xml:space="preserve"> </w:t>
      </w:r>
      <w:r>
        <w:t>windows</w:t>
      </w:r>
      <w:r>
        <w:rPr>
          <w:spacing w:val="-5"/>
        </w:rPr>
        <w:t xml:space="preserve"> </w:t>
      </w:r>
      <w:r>
        <w:t>and</w:t>
      </w:r>
      <w:r>
        <w:rPr>
          <w:spacing w:val="-5"/>
        </w:rPr>
        <w:t xml:space="preserve"> </w:t>
      </w:r>
      <w:r>
        <w:t>exterior</w:t>
      </w:r>
      <w:r>
        <w:rPr>
          <w:spacing w:val="-5"/>
        </w:rPr>
        <w:t xml:space="preserve"> </w:t>
      </w:r>
      <w:r>
        <w:t>doors)</w:t>
      </w:r>
    </w:p>
    <w:p w:rsidR="00C31389" w:rsidRDefault="00561FBD" w14:paraId="7EA608DF" w14:textId="77777777">
      <w:pPr>
        <w:pStyle w:val="ListParagraph"/>
        <w:numPr>
          <w:ilvl w:val="3"/>
          <w:numId w:val="2"/>
        </w:numPr>
        <w:tabs>
          <w:tab w:val="left" w:pos="1343"/>
        </w:tabs>
        <w:spacing w:before="135" w:line="223" w:lineRule="auto"/>
        <w:ind w:right="291"/>
      </w:pPr>
      <w:r>
        <w:t>The</w:t>
      </w:r>
      <w:r>
        <w:rPr>
          <w:spacing w:val="-3"/>
        </w:rPr>
        <w:t xml:space="preserve"> </w:t>
      </w:r>
      <w:r>
        <w:t>smaller</w:t>
      </w:r>
      <w:r>
        <w:rPr>
          <w:spacing w:val="-3"/>
        </w:rPr>
        <w:t xml:space="preserve"> </w:t>
      </w:r>
      <w:r>
        <w:t>of</w:t>
      </w:r>
      <w:r>
        <w:rPr>
          <w:spacing w:val="-3"/>
        </w:rPr>
        <w:t xml:space="preserve"> </w:t>
      </w:r>
      <w:r>
        <w:t>$2000</w:t>
      </w:r>
      <w:r>
        <w:rPr>
          <w:spacing w:val="-3"/>
        </w:rPr>
        <w:t xml:space="preserve"> </w:t>
      </w:r>
      <w:r>
        <w:t>or</w:t>
      </w:r>
      <w:r>
        <w:rPr>
          <w:spacing w:val="-4"/>
        </w:rPr>
        <w:t xml:space="preserve"> </w:t>
      </w:r>
      <w:r>
        <w:t>30%</w:t>
      </w:r>
      <w:r>
        <w:rPr>
          <w:spacing w:val="-3"/>
        </w:rPr>
        <w:t xml:space="preserve"> </w:t>
      </w:r>
      <w:r>
        <w:t>of</w:t>
      </w:r>
      <w:r>
        <w:rPr>
          <w:spacing w:val="-3"/>
        </w:rPr>
        <w:t xml:space="preserve"> </w:t>
      </w:r>
      <w:r>
        <w:t>the</w:t>
      </w:r>
      <w:r>
        <w:rPr>
          <w:spacing w:val="-3"/>
        </w:rPr>
        <w:t xml:space="preserve"> </w:t>
      </w:r>
      <w:r>
        <w:t>installed</w:t>
      </w:r>
      <w:r>
        <w:rPr>
          <w:spacing w:val="-3"/>
        </w:rPr>
        <w:t xml:space="preserve"> </w:t>
      </w:r>
      <w:r>
        <w:t>the</w:t>
      </w:r>
      <w:r>
        <w:rPr>
          <w:spacing w:val="-4"/>
        </w:rPr>
        <w:t xml:space="preserve"> </w:t>
      </w:r>
      <w:r>
        <w:t>measure</w:t>
      </w:r>
      <w:r>
        <w:rPr>
          <w:spacing w:val="-3"/>
        </w:rPr>
        <w:t xml:space="preserve"> </w:t>
      </w:r>
      <w:r>
        <w:t>cost</w:t>
      </w:r>
      <w:r>
        <w:rPr>
          <w:spacing w:val="-3"/>
        </w:rPr>
        <w:t xml:space="preserve"> </w:t>
      </w:r>
      <w:r>
        <w:t>for</w:t>
      </w:r>
      <w:r>
        <w:rPr>
          <w:spacing w:val="-3"/>
        </w:rPr>
        <w:t xml:space="preserve"> </w:t>
      </w:r>
      <w:r>
        <w:t>heat</w:t>
      </w:r>
      <w:r>
        <w:rPr>
          <w:spacing w:val="-3"/>
        </w:rPr>
        <w:t xml:space="preserve"> </w:t>
      </w:r>
      <w:r>
        <w:t>pump</w:t>
      </w:r>
      <w:r>
        <w:rPr>
          <w:spacing w:val="-3"/>
        </w:rPr>
        <w:t xml:space="preserve"> </w:t>
      </w:r>
      <w:r>
        <w:t>HVAC or HPWH</w:t>
      </w:r>
    </w:p>
    <w:p w:rsidR="00C31389" w:rsidRDefault="00561FBD" w14:paraId="42AF589C" w14:textId="77777777">
      <w:pPr>
        <w:pStyle w:val="ListParagraph"/>
        <w:numPr>
          <w:ilvl w:val="3"/>
          <w:numId w:val="2"/>
        </w:numPr>
        <w:tabs>
          <w:tab w:val="left" w:pos="1341"/>
        </w:tabs>
        <w:spacing w:before="123"/>
        <w:ind w:left="1341" w:hanging="359"/>
      </w:pPr>
      <w:r>
        <w:t>The</w:t>
      </w:r>
      <w:r>
        <w:rPr>
          <w:spacing w:val="-5"/>
        </w:rPr>
        <w:t xml:space="preserve"> </w:t>
      </w:r>
      <w:r>
        <w:t>smaller</w:t>
      </w:r>
      <w:r>
        <w:rPr>
          <w:spacing w:val="-5"/>
        </w:rPr>
        <w:t xml:space="preserve"> </w:t>
      </w:r>
      <w:r>
        <w:t>of</w:t>
      </w:r>
      <w:r>
        <w:rPr>
          <w:spacing w:val="-5"/>
        </w:rPr>
        <w:t xml:space="preserve"> </w:t>
      </w:r>
      <w:r>
        <w:t>$600</w:t>
      </w:r>
      <w:r>
        <w:rPr>
          <w:spacing w:val="-5"/>
        </w:rPr>
        <w:t xml:space="preserve"> </w:t>
      </w:r>
      <w:r>
        <w:t>or</w:t>
      </w:r>
      <w:r>
        <w:rPr>
          <w:spacing w:val="-4"/>
        </w:rPr>
        <w:t xml:space="preserve"> </w:t>
      </w:r>
      <w:r>
        <w:t>30%</w:t>
      </w:r>
      <w:r>
        <w:rPr>
          <w:spacing w:val="-5"/>
        </w:rPr>
        <w:t xml:space="preserve"> </w:t>
      </w:r>
      <w:r>
        <w:t>of</w:t>
      </w:r>
      <w:r>
        <w:rPr>
          <w:spacing w:val="-5"/>
        </w:rPr>
        <w:t xml:space="preserve"> </w:t>
      </w:r>
      <w:r>
        <w:t>the</w:t>
      </w:r>
      <w:r>
        <w:rPr>
          <w:spacing w:val="-5"/>
        </w:rPr>
        <w:t xml:space="preserve"> </w:t>
      </w:r>
      <w:r>
        <w:t>installed</w:t>
      </w:r>
      <w:r>
        <w:rPr>
          <w:spacing w:val="-4"/>
        </w:rPr>
        <w:t xml:space="preserve"> </w:t>
      </w:r>
      <w:r>
        <w:t>measure</w:t>
      </w:r>
      <w:r>
        <w:rPr>
          <w:spacing w:val="-5"/>
        </w:rPr>
        <w:t xml:space="preserve"> </w:t>
      </w:r>
      <w:r>
        <w:t>cost</w:t>
      </w:r>
      <w:r>
        <w:rPr>
          <w:spacing w:val="-5"/>
        </w:rPr>
        <w:t xml:space="preserve"> </w:t>
      </w:r>
      <w:r>
        <w:t>for</w:t>
      </w:r>
      <w:r>
        <w:rPr>
          <w:spacing w:val="-6"/>
        </w:rPr>
        <w:t xml:space="preserve"> </w:t>
      </w:r>
      <w:r>
        <w:rPr>
          <w:spacing w:val="-2"/>
        </w:rPr>
        <w:t>windows</w:t>
      </w:r>
    </w:p>
    <w:p w:rsidR="00C31389" w:rsidRDefault="00561FBD" w14:paraId="5BE72D6A" w14:textId="77777777">
      <w:pPr>
        <w:pStyle w:val="ListParagraph"/>
        <w:numPr>
          <w:ilvl w:val="3"/>
          <w:numId w:val="2"/>
        </w:numPr>
        <w:tabs>
          <w:tab w:val="left" w:pos="1341"/>
        </w:tabs>
        <w:spacing w:before="101"/>
        <w:ind w:left="1341" w:hanging="359"/>
      </w:pPr>
      <w:r>
        <w:t>The</w:t>
      </w:r>
      <w:r>
        <w:rPr>
          <w:spacing w:val="-5"/>
        </w:rPr>
        <w:t xml:space="preserve"> </w:t>
      </w:r>
      <w:r>
        <w:t>smaller</w:t>
      </w:r>
      <w:r>
        <w:rPr>
          <w:spacing w:val="-5"/>
        </w:rPr>
        <w:t xml:space="preserve"> </w:t>
      </w:r>
      <w:r>
        <w:t>of</w:t>
      </w:r>
      <w:r>
        <w:rPr>
          <w:spacing w:val="-5"/>
        </w:rPr>
        <w:t xml:space="preserve"> </w:t>
      </w:r>
      <w:r>
        <w:t>$500</w:t>
      </w:r>
      <w:r>
        <w:rPr>
          <w:spacing w:val="-5"/>
        </w:rPr>
        <w:t xml:space="preserve"> </w:t>
      </w:r>
      <w:r>
        <w:t>or</w:t>
      </w:r>
      <w:r>
        <w:rPr>
          <w:spacing w:val="-4"/>
        </w:rPr>
        <w:t xml:space="preserve"> </w:t>
      </w:r>
      <w:r>
        <w:t>30%</w:t>
      </w:r>
      <w:r>
        <w:rPr>
          <w:spacing w:val="-5"/>
        </w:rPr>
        <w:t xml:space="preserve"> </w:t>
      </w:r>
      <w:r>
        <w:t>of</w:t>
      </w:r>
      <w:r>
        <w:rPr>
          <w:spacing w:val="-5"/>
        </w:rPr>
        <w:t xml:space="preserve"> </w:t>
      </w:r>
      <w:r>
        <w:t>the</w:t>
      </w:r>
      <w:r>
        <w:rPr>
          <w:spacing w:val="-5"/>
        </w:rPr>
        <w:t xml:space="preserve"> </w:t>
      </w:r>
      <w:r>
        <w:t>installed</w:t>
      </w:r>
      <w:r>
        <w:rPr>
          <w:spacing w:val="-4"/>
        </w:rPr>
        <w:t xml:space="preserve"> </w:t>
      </w:r>
      <w:r>
        <w:t>measure</w:t>
      </w:r>
      <w:r>
        <w:rPr>
          <w:spacing w:val="-5"/>
        </w:rPr>
        <w:t xml:space="preserve"> </w:t>
      </w:r>
      <w:r>
        <w:t>cost</w:t>
      </w:r>
      <w:r>
        <w:rPr>
          <w:spacing w:val="-5"/>
        </w:rPr>
        <w:t xml:space="preserve"> </w:t>
      </w:r>
      <w:r>
        <w:t>for</w:t>
      </w:r>
      <w:r>
        <w:rPr>
          <w:spacing w:val="-6"/>
        </w:rPr>
        <w:t xml:space="preserve"> </w:t>
      </w:r>
      <w:r>
        <w:rPr>
          <w:spacing w:val="-2"/>
        </w:rPr>
        <w:t>doors</w:t>
      </w:r>
    </w:p>
    <w:p w:rsidR="00C31389" w:rsidRDefault="00561FBD" w14:paraId="4EC6260E" w14:textId="77777777">
      <w:pPr>
        <w:pStyle w:val="ListParagraph"/>
        <w:numPr>
          <w:ilvl w:val="0"/>
          <w:numId w:val="1"/>
        </w:numPr>
        <w:tabs>
          <w:tab w:val="left" w:pos="625"/>
        </w:tabs>
        <w:spacing w:before="100"/>
      </w:pPr>
      <w:r>
        <w:t>Step</w:t>
      </w:r>
      <w:r>
        <w:rPr>
          <w:spacing w:val="-6"/>
        </w:rPr>
        <w:t xml:space="preserve"> </w:t>
      </w:r>
      <w:r>
        <w:t>2</w:t>
      </w:r>
      <w:r>
        <w:rPr>
          <w:spacing w:val="-5"/>
        </w:rPr>
        <w:t xml:space="preserve"> </w:t>
      </w:r>
      <w:r>
        <w:t>–</w:t>
      </w:r>
      <w:r>
        <w:rPr>
          <w:spacing w:val="-6"/>
        </w:rPr>
        <w:t xml:space="preserve"> </w:t>
      </w:r>
      <w:r>
        <w:t>Calculate</w:t>
      </w:r>
      <w:r>
        <w:rPr>
          <w:spacing w:val="-5"/>
        </w:rPr>
        <w:t xml:space="preserve"> </w:t>
      </w:r>
      <w:r>
        <w:rPr>
          <w:b/>
        </w:rPr>
        <w:t>adjusted</w:t>
      </w:r>
      <w:r>
        <w:rPr>
          <w:b/>
          <w:spacing w:val="-6"/>
        </w:rPr>
        <w:t xml:space="preserve"> </w:t>
      </w:r>
      <w:r>
        <w:rPr>
          <w:b/>
        </w:rPr>
        <w:t>tax</w:t>
      </w:r>
      <w:r>
        <w:rPr>
          <w:b/>
          <w:spacing w:val="-5"/>
        </w:rPr>
        <w:t xml:space="preserve"> </w:t>
      </w:r>
      <w:r>
        <w:rPr>
          <w:b/>
        </w:rPr>
        <w:t>credit</w:t>
      </w:r>
      <w:r>
        <w:rPr>
          <w:b/>
          <w:spacing w:val="-6"/>
        </w:rPr>
        <w:t xml:space="preserve"> </w:t>
      </w:r>
      <w:r>
        <w:rPr>
          <w:spacing w:val="-2"/>
        </w:rPr>
        <w:t>($/unit)</w:t>
      </w:r>
    </w:p>
    <w:p w:rsidR="00C31389" w:rsidRDefault="00561FBD" w14:paraId="22AECC2B" w14:textId="77777777">
      <w:pPr>
        <w:pStyle w:val="ListParagraph"/>
        <w:numPr>
          <w:ilvl w:val="1"/>
          <w:numId w:val="1"/>
        </w:numPr>
        <w:tabs>
          <w:tab w:val="left" w:pos="1344"/>
        </w:tabs>
        <w:spacing w:before="119"/>
        <w:ind w:hanging="359"/>
        <w:rPr>
          <w:i/>
        </w:rPr>
      </w:pPr>
      <w:r>
        <w:t>2a</w:t>
      </w:r>
      <w:r>
        <w:rPr>
          <w:spacing w:val="-6"/>
        </w:rPr>
        <w:t xml:space="preserve"> </w:t>
      </w:r>
      <w:r>
        <w:t>-</w:t>
      </w:r>
      <w:r>
        <w:rPr>
          <w:spacing w:val="-4"/>
        </w:rPr>
        <w:t xml:space="preserve"> </w:t>
      </w:r>
      <w:r>
        <w:t>Multiply</w:t>
      </w:r>
      <w:r>
        <w:rPr>
          <w:spacing w:val="-5"/>
        </w:rPr>
        <w:t xml:space="preserve"> </w:t>
      </w:r>
      <w:r>
        <w:t>by</w:t>
      </w:r>
      <w:r>
        <w:rPr>
          <w:spacing w:val="-4"/>
        </w:rPr>
        <w:t xml:space="preserve"> </w:t>
      </w:r>
      <w:r>
        <w:t>the</w:t>
      </w:r>
      <w:r>
        <w:rPr>
          <w:spacing w:val="-4"/>
        </w:rPr>
        <w:t xml:space="preserve"> </w:t>
      </w:r>
      <w:r>
        <w:t>%</w:t>
      </w:r>
      <w:r>
        <w:rPr>
          <w:spacing w:val="-4"/>
        </w:rPr>
        <w:t xml:space="preserve"> </w:t>
      </w:r>
      <w:r>
        <w:t>of</w:t>
      </w:r>
      <w:r>
        <w:rPr>
          <w:spacing w:val="-4"/>
        </w:rPr>
        <w:t xml:space="preserve"> </w:t>
      </w:r>
      <w:r>
        <w:t>homes</w:t>
      </w:r>
      <w:r>
        <w:rPr>
          <w:spacing w:val="-4"/>
        </w:rPr>
        <w:t xml:space="preserve"> </w:t>
      </w:r>
      <w:r>
        <w:t>that</w:t>
      </w:r>
      <w:r>
        <w:rPr>
          <w:spacing w:val="-4"/>
        </w:rPr>
        <w:t xml:space="preserve"> </w:t>
      </w:r>
      <w:r>
        <w:t>are</w:t>
      </w:r>
      <w:r>
        <w:rPr>
          <w:spacing w:val="-4"/>
        </w:rPr>
        <w:t xml:space="preserve"> </w:t>
      </w:r>
      <w:r>
        <w:t>SF</w:t>
      </w:r>
      <w:r>
        <w:rPr>
          <w:spacing w:val="-4"/>
        </w:rPr>
        <w:t xml:space="preserve"> </w:t>
      </w:r>
      <w:r>
        <w:rPr>
          <w:i/>
        </w:rPr>
        <w:t>(Source</w:t>
      </w:r>
      <w:r>
        <w:rPr>
          <w:i/>
          <w:spacing w:val="-4"/>
        </w:rPr>
        <w:t xml:space="preserve"> </w:t>
      </w:r>
      <w:r>
        <w:rPr>
          <w:i/>
        </w:rPr>
        <w:t>–</w:t>
      </w:r>
      <w:r>
        <w:rPr>
          <w:i/>
          <w:spacing w:val="-3"/>
        </w:rPr>
        <w:t xml:space="preserve"> </w:t>
      </w:r>
      <w:r>
        <w:rPr>
          <w:i/>
          <w:spacing w:val="-2"/>
        </w:rPr>
        <w:t>RASS)</w:t>
      </w:r>
    </w:p>
    <w:p w:rsidR="00C31389" w:rsidRDefault="00561FBD" w14:paraId="26DB425F" w14:textId="77777777">
      <w:pPr>
        <w:pStyle w:val="ListParagraph"/>
        <w:numPr>
          <w:ilvl w:val="1"/>
          <w:numId w:val="1"/>
        </w:numPr>
        <w:tabs>
          <w:tab w:val="left" w:pos="1343"/>
        </w:tabs>
        <w:spacing w:before="100"/>
        <w:ind w:left="1343" w:hanging="359"/>
        <w:rPr>
          <w:i/>
        </w:rPr>
      </w:pPr>
      <w:r>
        <w:t>2b</w:t>
      </w:r>
      <w:r>
        <w:rPr>
          <w:spacing w:val="-5"/>
        </w:rPr>
        <w:t xml:space="preserve"> </w:t>
      </w:r>
      <w:r>
        <w:t>-</w:t>
      </w:r>
      <w:r>
        <w:rPr>
          <w:spacing w:val="-5"/>
        </w:rPr>
        <w:t xml:space="preserve"> </w:t>
      </w:r>
      <w:r>
        <w:t>Multiply</w:t>
      </w:r>
      <w:r>
        <w:rPr>
          <w:spacing w:val="-6"/>
        </w:rPr>
        <w:t xml:space="preserve"> </w:t>
      </w:r>
      <w:r>
        <w:t>by</w:t>
      </w:r>
      <w:r>
        <w:rPr>
          <w:spacing w:val="-5"/>
        </w:rPr>
        <w:t xml:space="preserve"> </w:t>
      </w:r>
      <w:r>
        <w:t>the</w:t>
      </w:r>
      <w:r>
        <w:rPr>
          <w:spacing w:val="-5"/>
        </w:rPr>
        <w:t xml:space="preserve"> </w:t>
      </w:r>
      <w:r>
        <w:t>%</w:t>
      </w:r>
      <w:r>
        <w:rPr>
          <w:spacing w:val="-5"/>
        </w:rPr>
        <w:t xml:space="preserve"> </w:t>
      </w:r>
      <w:r>
        <w:t>of</w:t>
      </w:r>
      <w:r>
        <w:rPr>
          <w:spacing w:val="-5"/>
        </w:rPr>
        <w:t xml:space="preserve"> </w:t>
      </w:r>
      <w:r>
        <w:t>above</w:t>
      </w:r>
      <w:r>
        <w:rPr>
          <w:spacing w:val="-5"/>
        </w:rPr>
        <w:t xml:space="preserve"> </w:t>
      </w:r>
      <w:r>
        <w:t>that</w:t>
      </w:r>
      <w:r>
        <w:rPr>
          <w:spacing w:val="-5"/>
        </w:rPr>
        <w:t xml:space="preserve"> </w:t>
      </w:r>
      <w:r>
        <w:t>are</w:t>
      </w:r>
      <w:r>
        <w:rPr>
          <w:spacing w:val="-5"/>
        </w:rPr>
        <w:t xml:space="preserve"> </w:t>
      </w:r>
      <w:r>
        <w:t>owner-occupied</w:t>
      </w:r>
      <w:r>
        <w:rPr>
          <w:spacing w:val="-5"/>
        </w:rPr>
        <w:t xml:space="preserve"> </w:t>
      </w:r>
      <w:r>
        <w:rPr>
          <w:i/>
        </w:rPr>
        <w:t>(Source</w:t>
      </w:r>
      <w:r>
        <w:rPr>
          <w:i/>
          <w:spacing w:val="-5"/>
        </w:rPr>
        <w:t xml:space="preserve"> </w:t>
      </w:r>
      <w:r>
        <w:rPr>
          <w:i/>
        </w:rPr>
        <w:t>–</w:t>
      </w:r>
      <w:r>
        <w:rPr>
          <w:i/>
          <w:spacing w:val="-5"/>
        </w:rPr>
        <w:t xml:space="preserve"> </w:t>
      </w:r>
      <w:r>
        <w:rPr>
          <w:i/>
          <w:spacing w:val="-2"/>
        </w:rPr>
        <w:t>RASS)</w:t>
      </w:r>
    </w:p>
    <w:p w:rsidR="00C31389" w:rsidRDefault="00561FBD" w14:paraId="448E0B8E" w14:textId="77777777">
      <w:pPr>
        <w:pStyle w:val="ListParagraph"/>
        <w:numPr>
          <w:ilvl w:val="1"/>
          <w:numId w:val="1"/>
        </w:numPr>
        <w:tabs>
          <w:tab w:val="left" w:pos="1344"/>
        </w:tabs>
        <w:spacing w:before="107" w:line="230" w:lineRule="auto"/>
        <w:ind w:right="386"/>
      </w:pPr>
      <w:r>
        <w:t>2c - Multiply by the % of homes that meet a conservative estimate of income threshold</w:t>
      </w:r>
      <w:r>
        <w:rPr>
          <w:spacing w:val="-3"/>
        </w:rPr>
        <w:t xml:space="preserve"> </w:t>
      </w:r>
      <w:r>
        <w:t>that</w:t>
      </w:r>
      <w:r>
        <w:rPr>
          <w:spacing w:val="-3"/>
        </w:rPr>
        <w:t xml:space="preserve"> </w:t>
      </w:r>
      <w:r>
        <w:t>would</w:t>
      </w:r>
      <w:r>
        <w:rPr>
          <w:spacing w:val="-3"/>
        </w:rPr>
        <w:t xml:space="preserve"> </w:t>
      </w:r>
      <w:r>
        <w:t>indicate</w:t>
      </w:r>
      <w:r>
        <w:rPr>
          <w:spacing w:val="-3"/>
        </w:rPr>
        <w:t xml:space="preserve"> </w:t>
      </w:r>
      <w:r>
        <w:t>they</w:t>
      </w:r>
      <w:r>
        <w:rPr>
          <w:spacing w:val="-3"/>
        </w:rPr>
        <w:t xml:space="preserve"> </w:t>
      </w:r>
      <w:r>
        <w:t>have</w:t>
      </w:r>
      <w:r>
        <w:rPr>
          <w:spacing w:val="-3"/>
        </w:rPr>
        <w:t xml:space="preserve"> </w:t>
      </w:r>
      <w:r>
        <w:t>a</w:t>
      </w:r>
      <w:r>
        <w:rPr>
          <w:spacing w:val="-3"/>
        </w:rPr>
        <w:t xml:space="preserve"> </w:t>
      </w:r>
      <w:r>
        <w:t>big</w:t>
      </w:r>
      <w:r>
        <w:rPr>
          <w:spacing w:val="-3"/>
        </w:rPr>
        <w:t xml:space="preserve"> </w:t>
      </w:r>
      <w:r>
        <w:t>enough</w:t>
      </w:r>
      <w:r>
        <w:rPr>
          <w:spacing w:val="-3"/>
        </w:rPr>
        <w:t xml:space="preserve"> </w:t>
      </w:r>
      <w:r>
        <w:t>tax</w:t>
      </w:r>
      <w:r>
        <w:rPr>
          <w:spacing w:val="-3"/>
        </w:rPr>
        <w:t xml:space="preserve"> </w:t>
      </w:r>
      <w:r>
        <w:t>burden</w:t>
      </w:r>
      <w:r>
        <w:rPr>
          <w:spacing w:val="-3"/>
        </w:rPr>
        <w:t xml:space="preserve"> </w:t>
      </w:r>
      <w:r>
        <w:t>to</w:t>
      </w:r>
      <w:r>
        <w:rPr>
          <w:spacing w:val="-3"/>
        </w:rPr>
        <w:t xml:space="preserve"> </w:t>
      </w:r>
      <w:r>
        <w:t>take</w:t>
      </w:r>
      <w:r>
        <w:rPr>
          <w:spacing w:val="-3"/>
        </w:rPr>
        <w:t xml:space="preserve"> </w:t>
      </w:r>
      <w:r>
        <w:t xml:space="preserve">advantage of the IRA </w:t>
      </w:r>
      <w:r>
        <w:t>credit.</w:t>
      </w:r>
    </w:p>
    <w:p w:rsidR="00C31389" w:rsidRDefault="00561FBD" w14:paraId="185E26A6" w14:textId="77777777">
      <w:pPr>
        <w:pStyle w:val="ListParagraph"/>
        <w:numPr>
          <w:ilvl w:val="2"/>
          <w:numId w:val="1"/>
        </w:numPr>
        <w:tabs>
          <w:tab w:val="left" w:pos="2064"/>
        </w:tabs>
        <w:spacing w:before="124"/>
        <w:ind w:right="229"/>
        <w:rPr>
          <w:i/>
        </w:rPr>
      </w:pPr>
      <w:r>
        <w:t>For homes that meet the conditions specified in Steps 2a and 2b, estimate the</w:t>
      </w:r>
      <w:r>
        <w:rPr>
          <w:spacing w:val="-3"/>
        </w:rPr>
        <w:t xml:space="preserve"> </w:t>
      </w:r>
      <w:r>
        <w:t>%</w:t>
      </w:r>
      <w:r>
        <w:rPr>
          <w:spacing w:val="-3"/>
        </w:rPr>
        <w:t xml:space="preserve"> </w:t>
      </w:r>
      <w:r>
        <w:t>of</w:t>
      </w:r>
      <w:r>
        <w:rPr>
          <w:spacing w:val="-3"/>
        </w:rPr>
        <w:t xml:space="preserve"> </w:t>
      </w:r>
      <w:r>
        <w:t>households</w:t>
      </w:r>
      <w:r>
        <w:rPr>
          <w:spacing w:val="-3"/>
        </w:rPr>
        <w:t xml:space="preserve"> </w:t>
      </w:r>
      <w:r>
        <w:t>with</w:t>
      </w:r>
      <w:r>
        <w:rPr>
          <w:spacing w:val="-3"/>
        </w:rPr>
        <w:t xml:space="preserve"> </w:t>
      </w:r>
      <w:r>
        <w:t>income</w:t>
      </w:r>
      <w:r>
        <w:rPr>
          <w:spacing w:val="-3"/>
        </w:rPr>
        <w:t xml:space="preserve"> </w:t>
      </w:r>
      <w:r>
        <w:t>sufficient</w:t>
      </w:r>
      <w:r>
        <w:rPr>
          <w:spacing w:val="-3"/>
        </w:rPr>
        <w:t xml:space="preserve"> </w:t>
      </w:r>
      <w:r>
        <w:t>to</w:t>
      </w:r>
      <w:r>
        <w:rPr>
          <w:spacing w:val="-3"/>
        </w:rPr>
        <w:t xml:space="preserve"> </w:t>
      </w:r>
      <w:r>
        <w:t>exceed</w:t>
      </w:r>
      <w:r>
        <w:rPr>
          <w:spacing w:val="-3"/>
        </w:rPr>
        <w:t xml:space="preserve"> </w:t>
      </w:r>
      <w:r>
        <w:t>the</w:t>
      </w:r>
      <w:r>
        <w:rPr>
          <w:spacing w:val="-3"/>
        </w:rPr>
        <w:t xml:space="preserve"> </w:t>
      </w:r>
      <w:r>
        <w:t>tax</w:t>
      </w:r>
      <w:r>
        <w:rPr>
          <w:spacing w:val="-4"/>
        </w:rPr>
        <w:t xml:space="preserve"> </w:t>
      </w:r>
      <w:r>
        <w:t>burden</w:t>
      </w:r>
      <w:r>
        <w:rPr>
          <w:spacing w:val="-3"/>
        </w:rPr>
        <w:t xml:space="preserve"> </w:t>
      </w:r>
      <w:r>
        <w:t>equal</w:t>
      </w:r>
      <w:r>
        <w:rPr>
          <w:spacing w:val="-3"/>
        </w:rPr>
        <w:t xml:space="preserve"> </w:t>
      </w:r>
      <w:r>
        <w:t>or greater</w:t>
      </w:r>
      <w:r>
        <w:rPr>
          <w:spacing w:val="-1"/>
        </w:rPr>
        <w:t xml:space="preserve"> </w:t>
      </w:r>
      <w:r>
        <w:t>to</w:t>
      </w:r>
      <w:r>
        <w:rPr>
          <w:spacing w:val="-1"/>
        </w:rPr>
        <w:t xml:space="preserve"> </w:t>
      </w:r>
      <w:r>
        <w:t>the</w:t>
      </w:r>
      <w:r>
        <w:rPr>
          <w:spacing w:val="-1"/>
        </w:rPr>
        <w:t xml:space="preserve"> </w:t>
      </w:r>
      <w:r>
        <w:t>Base</w:t>
      </w:r>
      <w:r>
        <w:rPr>
          <w:spacing w:val="-1"/>
        </w:rPr>
        <w:t xml:space="preserve"> </w:t>
      </w:r>
      <w:r>
        <w:t>Tax</w:t>
      </w:r>
      <w:r>
        <w:rPr>
          <w:spacing w:val="-2"/>
        </w:rPr>
        <w:t xml:space="preserve"> </w:t>
      </w:r>
      <w:r>
        <w:t>Credit</w:t>
      </w:r>
      <w:r>
        <w:rPr>
          <w:spacing w:val="-1"/>
        </w:rPr>
        <w:t xml:space="preserve"> </w:t>
      </w:r>
      <w:r>
        <w:t>value</w:t>
      </w:r>
      <w:r>
        <w:rPr>
          <w:spacing w:val="-2"/>
        </w:rPr>
        <w:t xml:space="preserve"> </w:t>
      </w:r>
      <w:r>
        <w:t>to</w:t>
      </w:r>
      <w:r>
        <w:rPr>
          <w:spacing w:val="-1"/>
        </w:rPr>
        <w:t xml:space="preserve"> </w:t>
      </w:r>
      <w:r>
        <w:t>qualify</w:t>
      </w:r>
      <w:r>
        <w:rPr>
          <w:spacing w:val="-1"/>
        </w:rPr>
        <w:t xml:space="preserve"> </w:t>
      </w:r>
      <w:r>
        <w:t>receiving</w:t>
      </w:r>
      <w:r>
        <w:rPr>
          <w:spacing w:val="-1"/>
        </w:rPr>
        <w:t xml:space="preserve"> </w:t>
      </w:r>
      <w:r>
        <w:t>the</w:t>
      </w:r>
      <w:r>
        <w:rPr>
          <w:spacing w:val="-1"/>
        </w:rPr>
        <w:t xml:space="preserve"> </w:t>
      </w:r>
      <w:r>
        <w:t>credit.</w:t>
      </w:r>
      <w:r>
        <w:rPr>
          <w:spacing w:val="-1"/>
        </w:rPr>
        <w:t xml:space="preserve"> </w:t>
      </w:r>
      <w:r>
        <w:rPr>
          <w:i/>
        </w:rPr>
        <w:t>(Source</w:t>
      </w:r>
      <w:r>
        <w:rPr>
          <w:i/>
          <w:spacing w:val="-1"/>
        </w:rPr>
        <w:t xml:space="preserve"> </w:t>
      </w:r>
      <w:r>
        <w:rPr>
          <w:i/>
        </w:rPr>
        <w:t xml:space="preserve">– </w:t>
      </w:r>
      <w:r>
        <w:rPr>
          <w:i/>
          <w:spacing w:val="-2"/>
        </w:rPr>
        <w:t>RASS)</w:t>
      </w:r>
    </w:p>
    <w:p w:rsidR="00C31389" w:rsidRDefault="00561FBD" w14:paraId="6EFD5C88" w14:textId="77777777">
      <w:pPr>
        <w:pStyle w:val="ListParagraph"/>
        <w:numPr>
          <w:ilvl w:val="2"/>
          <w:numId w:val="1"/>
        </w:numPr>
        <w:tabs>
          <w:tab w:val="left" w:pos="2064"/>
        </w:tabs>
        <w:spacing w:before="120"/>
        <w:ind w:right="375"/>
        <w:rPr>
          <w:i/>
        </w:rPr>
      </w:pPr>
      <w:r>
        <w:t>The above c</w:t>
      </w:r>
      <w:r>
        <w:t>onsidered the jointly filed household Standard Deduction ($27,700)</w:t>
      </w:r>
      <w:r>
        <w:rPr>
          <w:spacing w:val="-4"/>
        </w:rPr>
        <w:t xml:space="preserve"> </w:t>
      </w:r>
      <w:r>
        <w:t>and</w:t>
      </w:r>
      <w:r>
        <w:rPr>
          <w:spacing w:val="-4"/>
        </w:rPr>
        <w:t xml:space="preserve"> </w:t>
      </w:r>
      <w:r>
        <w:t>the</w:t>
      </w:r>
      <w:r>
        <w:rPr>
          <w:spacing w:val="-4"/>
        </w:rPr>
        <w:t xml:space="preserve"> </w:t>
      </w:r>
      <w:r>
        <w:t>2023</w:t>
      </w:r>
      <w:r>
        <w:rPr>
          <w:spacing w:val="-5"/>
        </w:rPr>
        <w:t xml:space="preserve"> </w:t>
      </w:r>
      <w:r>
        <w:t>federal</w:t>
      </w:r>
      <w:r>
        <w:rPr>
          <w:spacing w:val="-4"/>
        </w:rPr>
        <w:t xml:space="preserve"> </w:t>
      </w:r>
      <w:r>
        <w:t>tax</w:t>
      </w:r>
      <w:r>
        <w:rPr>
          <w:spacing w:val="-4"/>
        </w:rPr>
        <w:t xml:space="preserve"> </w:t>
      </w:r>
      <w:r>
        <w:t>rates</w:t>
      </w:r>
      <w:r>
        <w:rPr>
          <w:spacing w:val="-4"/>
        </w:rPr>
        <w:t xml:space="preserve"> </w:t>
      </w:r>
      <w:r>
        <w:rPr>
          <w:i/>
        </w:rPr>
        <w:t>(Source</w:t>
      </w:r>
      <w:r>
        <w:rPr>
          <w:i/>
          <w:spacing w:val="-3"/>
        </w:rPr>
        <w:t xml:space="preserve"> </w:t>
      </w:r>
      <w:r>
        <w:rPr>
          <w:i/>
        </w:rPr>
        <w:t>-</w:t>
      </w:r>
      <w:r>
        <w:rPr>
          <w:i/>
          <w:spacing w:val="-4"/>
        </w:rPr>
        <w:t xml:space="preserve"> </w:t>
      </w:r>
      <w:r>
        <w:rPr>
          <w:i/>
        </w:rPr>
        <w:t>2023</w:t>
      </w:r>
      <w:r>
        <w:rPr>
          <w:i/>
          <w:spacing w:val="-4"/>
        </w:rPr>
        <w:t xml:space="preserve"> </w:t>
      </w:r>
      <w:r>
        <w:rPr>
          <w:i/>
        </w:rPr>
        <w:t>Federal</w:t>
      </w:r>
      <w:r>
        <w:rPr>
          <w:i/>
          <w:spacing w:val="-4"/>
        </w:rPr>
        <w:t xml:space="preserve"> </w:t>
      </w:r>
      <w:r>
        <w:rPr>
          <w:i/>
        </w:rPr>
        <w:t>Tax</w:t>
      </w:r>
      <w:r>
        <w:rPr>
          <w:i/>
          <w:spacing w:val="-4"/>
        </w:rPr>
        <w:t xml:space="preserve"> </w:t>
      </w:r>
      <w:r>
        <w:rPr>
          <w:i/>
        </w:rPr>
        <w:t>Code)</w:t>
      </w:r>
    </w:p>
    <w:p w:rsidR="00C31389" w:rsidRDefault="00561FBD" w14:paraId="08D3D062" w14:textId="77777777">
      <w:pPr>
        <w:pStyle w:val="ListParagraph"/>
        <w:numPr>
          <w:ilvl w:val="0"/>
          <w:numId w:val="1"/>
        </w:numPr>
        <w:tabs>
          <w:tab w:val="left" w:pos="624"/>
        </w:tabs>
        <w:spacing w:before="120"/>
        <w:ind w:left="624"/>
      </w:pPr>
      <w:r>
        <w:t>Step</w:t>
      </w:r>
      <w:r>
        <w:rPr>
          <w:spacing w:val="-5"/>
        </w:rPr>
        <w:t xml:space="preserve"> </w:t>
      </w:r>
      <w:r>
        <w:t>3</w:t>
      </w:r>
      <w:r>
        <w:rPr>
          <w:spacing w:val="-5"/>
        </w:rPr>
        <w:t xml:space="preserve"> </w:t>
      </w:r>
      <w:r>
        <w:t>-</w:t>
      </w:r>
      <w:r>
        <w:rPr>
          <w:spacing w:val="-5"/>
        </w:rPr>
        <w:t xml:space="preserve"> </w:t>
      </w:r>
      <w:r>
        <w:t>Add</w:t>
      </w:r>
      <w:r>
        <w:rPr>
          <w:spacing w:val="-5"/>
        </w:rPr>
        <w:t xml:space="preserve"> </w:t>
      </w:r>
      <w:r>
        <w:t>adjusted</w:t>
      </w:r>
      <w:r>
        <w:rPr>
          <w:spacing w:val="-5"/>
        </w:rPr>
        <w:t xml:space="preserve"> </w:t>
      </w:r>
      <w:r>
        <w:t>tax</w:t>
      </w:r>
      <w:r>
        <w:rPr>
          <w:spacing w:val="-5"/>
        </w:rPr>
        <w:t xml:space="preserve"> </w:t>
      </w:r>
      <w:r>
        <w:t>credit</w:t>
      </w:r>
      <w:r>
        <w:rPr>
          <w:spacing w:val="-5"/>
        </w:rPr>
        <w:t xml:space="preserve"> </w:t>
      </w:r>
      <w:r>
        <w:t>from</w:t>
      </w:r>
      <w:r>
        <w:rPr>
          <w:spacing w:val="-7"/>
        </w:rPr>
        <w:t xml:space="preserve"> </w:t>
      </w:r>
      <w:r>
        <w:t>Step</w:t>
      </w:r>
      <w:r>
        <w:rPr>
          <w:spacing w:val="-5"/>
        </w:rPr>
        <w:t xml:space="preserve"> </w:t>
      </w:r>
      <w:r>
        <w:t>2</w:t>
      </w:r>
      <w:r>
        <w:rPr>
          <w:spacing w:val="-5"/>
        </w:rPr>
        <w:t xml:space="preserve"> </w:t>
      </w:r>
      <w:r>
        <w:t>to</w:t>
      </w:r>
      <w:r>
        <w:rPr>
          <w:spacing w:val="-5"/>
        </w:rPr>
        <w:t xml:space="preserve"> </w:t>
      </w:r>
      <w:r>
        <w:t>applicable</w:t>
      </w:r>
      <w:r>
        <w:rPr>
          <w:spacing w:val="-5"/>
        </w:rPr>
        <w:t xml:space="preserve"> </w:t>
      </w:r>
      <w:r>
        <w:t>residential</w:t>
      </w:r>
      <w:r>
        <w:rPr>
          <w:spacing w:val="-4"/>
        </w:rPr>
        <w:t xml:space="preserve"> </w:t>
      </w:r>
      <w:r>
        <w:rPr>
          <w:spacing w:val="-2"/>
        </w:rPr>
        <w:t>measures.</w:t>
      </w:r>
    </w:p>
    <w:p w:rsidR="00C31389" w:rsidRDefault="00561FBD" w14:paraId="40EE068F" w14:textId="77777777">
      <w:pPr>
        <w:pStyle w:val="ListParagraph"/>
        <w:numPr>
          <w:ilvl w:val="1"/>
          <w:numId w:val="1"/>
        </w:numPr>
        <w:tabs>
          <w:tab w:val="left" w:pos="1344"/>
        </w:tabs>
        <w:spacing w:before="144" w:line="232" w:lineRule="auto"/>
        <w:ind w:right="289"/>
      </w:pPr>
      <w:r>
        <w:t xml:space="preserve">Applicable measures include HVAC </w:t>
      </w:r>
      <w:r>
        <w:t>equipment, air sealing, insulation, improvements</w:t>
      </w:r>
      <w:r>
        <w:rPr>
          <w:spacing w:val="-5"/>
        </w:rPr>
        <w:t xml:space="preserve"> </w:t>
      </w:r>
      <w:r>
        <w:t>to</w:t>
      </w:r>
      <w:r>
        <w:rPr>
          <w:spacing w:val="-5"/>
        </w:rPr>
        <w:t xml:space="preserve"> </w:t>
      </w:r>
      <w:r>
        <w:t>or</w:t>
      </w:r>
      <w:r>
        <w:rPr>
          <w:spacing w:val="-5"/>
        </w:rPr>
        <w:t xml:space="preserve"> </w:t>
      </w:r>
      <w:r>
        <w:t>replacements</w:t>
      </w:r>
      <w:r>
        <w:rPr>
          <w:spacing w:val="-5"/>
        </w:rPr>
        <w:t xml:space="preserve"> </w:t>
      </w:r>
      <w:r>
        <w:t>of</w:t>
      </w:r>
      <w:r>
        <w:rPr>
          <w:spacing w:val="-5"/>
        </w:rPr>
        <w:t xml:space="preserve"> </w:t>
      </w:r>
      <w:r>
        <w:t>panelboards,</w:t>
      </w:r>
      <w:r>
        <w:rPr>
          <w:spacing w:val="-5"/>
        </w:rPr>
        <w:t xml:space="preserve"> </w:t>
      </w:r>
      <w:r>
        <w:t>sub-panelboards,</w:t>
      </w:r>
      <w:r>
        <w:rPr>
          <w:spacing w:val="-5"/>
        </w:rPr>
        <w:t xml:space="preserve"> </w:t>
      </w:r>
      <w:r>
        <w:t>branch</w:t>
      </w:r>
      <w:r>
        <w:rPr>
          <w:spacing w:val="-5"/>
        </w:rPr>
        <w:t xml:space="preserve"> </w:t>
      </w:r>
      <w:r>
        <w:t>circuits, or feeders used with qualifying property. These may not all be in the PG study measure list.</w:t>
      </w:r>
    </w:p>
    <w:p w:rsidR="00C31389" w:rsidRDefault="00561FBD" w14:paraId="067E7651" w14:textId="77777777">
      <w:pPr>
        <w:pStyle w:val="ListParagraph"/>
        <w:numPr>
          <w:ilvl w:val="1"/>
          <w:numId w:val="1"/>
        </w:numPr>
        <w:tabs>
          <w:tab w:val="left" w:pos="1344"/>
        </w:tabs>
        <w:spacing w:before="129" w:line="235" w:lineRule="auto"/>
        <w:ind w:right="237"/>
      </w:pPr>
      <w:r>
        <w:t>The tax credits provided specifically through</w:t>
      </w:r>
      <w:r>
        <w:t xml:space="preserve"> the IRA are effective as of Jan 1, 2023. There are lower tax credits from prior passed laws that are eligible for measures installed</w:t>
      </w:r>
      <w:r>
        <w:rPr>
          <w:spacing w:val="-4"/>
        </w:rPr>
        <w:t xml:space="preserve"> </w:t>
      </w:r>
      <w:r>
        <w:t>in</w:t>
      </w:r>
      <w:r>
        <w:rPr>
          <w:spacing w:val="-3"/>
        </w:rPr>
        <w:t xml:space="preserve"> </w:t>
      </w:r>
      <w:r>
        <w:t>2022.</w:t>
      </w:r>
      <w:r>
        <w:rPr>
          <w:spacing w:val="-3"/>
        </w:rPr>
        <w:t xml:space="preserve"> </w:t>
      </w:r>
      <w:r>
        <w:t>For</w:t>
      </w:r>
      <w:r>
        <w:rPr>
          <w:spacing w:val="-3"/>
        </w:rPr>
        <w:t xml:space="preserve"> </w:t>
      </w:r>
      <w:r>
        <w:t>the</w:t>
      </w:r>
      <w:r>
        <w:rPr>
          <w:spacing w:val="-3"/>
        </w:rPr>
        <w:t xml:space="preserve"> </w:t>
      </w:r>
      <w:r>
        <w:t>purposes</w:t>
      </w:r>
      <w:r>
        <w:rPr>
          <w:spacing w:val="-3"/>
        </w:rPr>
        <w:t xml:space="preserve"> </w:t>
      </w:r>
      <w:r>
        <w:t>of</w:t>
      </w:r>
      <w:r>
        <w:rPr>
          <w:spacing w:val="-4"/>
        </w:rPr>
        <w:t xml:space="preserve"> </w:t>
      </w:r>
      <w:r>
        <w:t>the</w:t>
      </w:r>
      <w:r>
        <w:rPr>
          <w:spacing w:val="-3"/>
        </w:rPr>
        <w:t xml:space="preserve"> </w:t>
      </w:r>
      <w:r>
        <w:t>2023</w:t>
      </w:r>
      <w:r>
        <w:rPr>
          <w:spacing w:val="-3"/>
        </w:rPr>
        <w:t xml:space="preserve"> </w:t>
      </w:r>
      <w:r>
        <w:t>Study,</w:t>
      </w:r>
      <w:r>
        <w:rPr>
          <w:spacing w:val="-3"/>
        </w:rPr>
        <w:t xml:space="preserve"> </w:t>
      </w:r>
      <w:r>
        <w:t>only</w:t>
      </w:r>
      <w:r>
        <w:rPr>
          <w:spacing w:val="-3"/>
        </w:rPr>
        <w:t xml:space="preserve"> </w:t>
      </w:r>
      <w:r>
        <w:t>the</w:t>
      </w:r>
      <w:r>
        <w:rPr>
          <w:spacing w:val="-3"/>
        </w:rPr>
        <w:t xml:space="preserve"> </w:t>
      </w:r>
      <w:r>
        <w:t>IRA</w:t>
      </w:r>
      <w:r>
        <w:rPr>
          <w:spacing w:val="-3"/>
        </w:rPr>
        <w:t xml:space="preserve"> </w:t>
      </w:r>
      <w:r>
        <w:t>tax</w:t>
      </w:r>
      <w:r>
        <w:rPr>
          <w:spacing w:val="-3"/>
        </w:rPr>
        <w:t xml:space="preserve"> </w:t>
      </w:r>
      <w:r>
        <w:t>credit</w:t>
      </w:r>
      <w:r>
        <w:rPr>
          <w:spacing w:val="-3"/>
        </w:rPr>
        <w:t xml:space="preserve"> </w:t>
      </w:r>
      <w:r>
        <w:t>is</w:t>
      </w:r>
      <w:r>
        <w:rPr>
          <w:spacing w:val="-3"/>
        </w:rPr>
        <w:t xml:space="preserve"> </w:t>
      </w:r>
      <w:r>
        <w:t>used for the 2023-2035 period.</w:t>
      </w:r>
    </w:p>
    <w:p w:rsidR="00C31389" w:rsidRDefault="00561FBD" w14:paraId="3C8DB726" w14:textId="77777777">
      <w:pPr>
        <w:pStyle w:val="ListParagraph"/>
        <w:numPr>
          <w:ilvl w:val="1"/>
          <w:numId w:val="1"/>
        </w:numPr>
        <w:tabs>
          <w:tab w:val="left" w:pos="1343"/>
        </w:tabs>
        <w:spacing w:before="117"/>
        <w:ind w:left="1343" w:hanging="359"/>
      </w:pPr>
      <w:r>
        <w:t>The</w:t>
      </w:r>
      <w:r>
        <w:rPr>
          <w:spacing w:val="-5"/>
        </w:rPr>
        <w:t xml:space="preserve"> </w:t>
      </w:r>
      <w:r>
        <w:t>Home</w:t>
      </w:r>
      <w:r>
        <w:rPr>
          <w:spacing w:val="-5"/>
        </w:rPr>
        <w:t xml:space="preserve"> </w:t>
      </w:r>
      <w:r>
        <w:t>Audit</w:t>
      </w:r>
      <w:r>
        <w:rPr>
          <w:spacing w:val="-4"/>
        </w:rPr>
        <w:t xml:space="preserve"> </w:t>
      </w:r>
      <w:r>
        <w:t>tax</w:t>
      </w:r>
      <w:r>
        <w:rPr>
          <w:spacing w:val="-5"/>
        </w:rPr>
        <w:t xml:space="preserve"> </w:t>
      </w:r>
      <w:r>
        <w:t>credit</w:t>
      </w:r>
      <w:r>
        <w:rPr>
          <w:spacing w:val="-5"/>
        </w:rPr>
        <w:t xml:space="preserve"> </w:t>
      </w:r>
      <w:r>
        <w:t>is</w:t>
      </w:r>
      <w:r>
        <w:rPr>
          <w:spacing w:val="-5"/>
        </w:rPr>
        <w:t xml:space="preserve"> </w:t>
      </w:r>
      <w:r>
        <w:t>not</w:t>
      </w:r>
      <w:r>
        <w:rPr>
          <w:spacing w:val="-5"/>
        </w:rPr>
        <w:t xml:space="preserve"> </w:t>
      </w:r>
      <w:r>
        <w:t>applied</w:t>
      </w:r>
      <w:r>
        <w:rPr>
          <w:spacing w:val="-5"/>
        </w:rPr>
        <w:t xml:space="preserve"> </w:t>
      </w:r>
      <w:r>
        <w:t>to</w:t>
      </w:r>
      <w:r>
        <w:rPr>
          <w:spacing w:val="-5"/>
        </w:rPr>
        <w:t xml:space="preserve"> </w:t>
      </w:r>
      <w:r>
        <w:t>any</w:t>
      </w:r>
      <w:r>
        <w:rPr>
          <w:spacing w:val="-6"/>
        </w:rPr>
        <w:t xml:space="preserve"> </w:t>
      </w:r>
      <w:r>
        <w:t>PG</w:t>
      </w:r>
      <w:r>
        <w:rPr>
          <w:spacing w:val="-6"/>
        </w:rPr>
        <w:t xml:space="preserve"> </w:t>
      </w:r>
      <w:r>
        <w:t>study</w:t>
      </w:r>
      <w:r>
        <w:rPr>
          <w:spacing w:val="-5"/>
        </w:rPr>
        <w:t xml:space="preserve"> </w:t>
      </w:r>
      <w:r>
        <w:t>residential</w:t>
      </w:r>
      <w:r>
        <w:rPr>
          <w:spacing w:val="-5"/>
        </w:rPr>
        <w:t xml:space="preserve"> </w:t>
      </w:r>
      <w:r>
        <w:rPr>
          <w:spacing w:val="-2"/>
        </w:rPr>
        <w:t>measure.</w:t>
      </w:r>
    </w:p>
    <w:p w:rsidR="00C31389" w:rsidRDefault="00561FBD" w14:paraId="23B80FB6" w14:textId="77777777">
      <w:pPr>
        <w:pStyle w:val="ListParagraph"/>
        <w:numPr>
          <w:ilvl w:val="1"/>
          <w:numId w:val="2"/>
        </w:numPr>
        <w:tabs>
          <w:tab w:val="left" w:pos="731"/>
        </w:tabs>
        <w:spacing w:before="221"/>
        <w:ind w:left="731" w:hanging="511"/>
        <w:rPr>
          <w:b/>
          <w:sz w:val="28"/>
        </w:rPr>
      </w:pPr>
      <w:bookmarkStart w:name="K.2_Commercial_Sector_Characterization" w:id="723"/>
      <w:bookmarkStart w:name="_bookmark549" w:id="724"/>
      <w:bookmarkEnd w:id="723"/>
      <w:bookmarkEnd w:id="724"/>
      <w:r>
        <w:rPr>
          <w:b/>
          <w:sz w:val="28"/>
        </w:rPr>
        <w:t>Commercial</w:t>
      </w:r>
      <w:r>
        <w:rPr>
          <w:b/>
          <w:spacing w:val="-15"/>
          <w:sz w:val="28"/>
        </w:rPr>
        <w:t xml:space="preserve"> </w:t>
      </w:r>
      <w:r>
        <w:rPr>
          <w:b/>
          <w:sz w:val="28"/>
        </w:rPr>
        <w:t>Sector</w:t>
      </w:r>
      <w:r>
        <w:rPr>
          <w:b/>
          <w:spacing w:val="-15"/>
          <w:sz w:val="28"/>
        </w:rPr>
        <w:t xml:space="preserve"> </w:t>
      </w:r>
      <w:r>
        <w:rPr>
          <w:b/>
          <w:spacing w:val="-2"/>
          <w:sz w:val="28"/>
        </w:rPr>
        <w:t>Characterization</w:t>
      </w:r>
    </w:p>
    <w:p w:rsidR="00C31389" w:rsidRDefault="00561FBD" w14:paraId="673F89F6" w14:textId="77777777">
      <w:pPr>
        <w:pStyle w:val="BodyText"/>
        <w:spacing w:before="241"/>
        <w:ind w:left="220"/>
      </w:pPr>
      <w:r>
        <w:t>The IRA tax credit for commercial buildings applies to HVAC, Lighting, and Water measures achieving</w:t>
      </w:r>
      <w:r>
        <w:rPr>
          <w:spacing w:val="-4"/>
        </w:rPr>
        <w:t xml:space="preserve"> </w:t>
      </w:r>
      <w:r>
        <w:t>at</w:t>
      </w:r>
      <w:r>
        <w:rPr>
          <w:spacing w:val="-4"/>
        </w:rPr>
        <w:t xml:space="preserve"> </w:t>
      </w:r>
      <w:r>
        <w:t>least</w:t>
      </w:r>
      <w:r>
        <w:rPr>
          <w:spacing w:val="-3"/>
        </w:rPr>
        <w:t xml:space="preserve"> </w:t>
      </w:r>
      <w:r>
        <w:t>25%</w:t>
      </w:r>
      <w:r>
        <w:rPr>
          <w:spacing w:val="-3"/>
        </w:rPr>
        <w:t xml:space="preserve"> </w:t>
      </w:r>
      <w:r>
        <w:t>reduction</w:t>
      </w:r>
      <w:r>
        <w:rPr>
          <w:spacing w:val="-3"/>
        </w:rPr>
        <w:t xml:space="preserve"> </w:t>
      </w:r>
      <w:r>
        <w:t>from</w:t>
      </w:r>
      <w:r>
        <w:rPr>
          <w:spacing w:val="-3"/>
        </w:rPr>
        <w:t xml:space="preserve"> </w:t>
      </w:r>
      <w:r>
        <w:t>baseline</w:t>
      </w:r>
      <w:r>
        <w:rPr>
          <w:spacing w:val="-4"/>
        </w:rPr>
        <w:t xml:space="preserve"> </w:t>
      </w:r>
      <w:r>
        <w:t>energy</w:t>
      </w:r>
      <w:r>
        <w:rPr>
          <w:spacing w:val="-3"/>
        </w:rPr>
        <w:t xml:space="preserve"> </w:t>
      </w:r>
      <w:r>
        <w:t>consumption.</w:t>
      </w:r>
      <w:r>
        <w:rPr>
          <w:spacing w:val="-2"/>
        </w:rPr>
        <w:t xml:space="preserve"> </w:t>
      </w:r>
      <w:r>
        <w:t>T</w:t>
      </w:r>
      <w:r>
        <w:t>he</w:t>
      </w:r>
      <w:r>
        <w:rPr>
          <w:spacing w:val="-3"/>
        </w:rPr>
        <w:t xml:space="preserve"> </w:t>
      </w:r>
      <w:r>
        <w:rPr>
          <w:u w:val="single"/>
        </w:rPr>
        <w:t>tax</w:t>
      </w:r>
      <w:r>
        <w:rPr>
          <w:spacing w:val="-3"/>
          <w:u w:val="single"/>
        </w:rPr>
        <w:t xml:space="preserve"> </w:t>
      </w:r>
      <w:r>
        <w:rPr>
          <w:u w:val="single"/>
        </w:rPr>
        <w:t>credit</w:t>
      </w:r>
      <w:r>
        <w:rPr>
          <w:spacing w:val="-4"/>
          <w:u w:val="single"/>
        </w:rPr>
        <w:t xml:space="preserve"> </w:t>
      </w:r>
      <w:r>
        <w:rPr>
          <w:u w:val="single"/>
        </w:rPr>
        <w:t>is</w:t>
      </w:r>
      <w:r>
        <w:rPr>
          <w:spacing w:val="-3"/>
          <w:u w:val="single"/>
        </w:rPr>
        <w:t xml:space="preserve"> </w:t>
      </w:r>
      <w:r>
        <w:rPr>
          <w:u w:val="single"/>
        </w:rPr>
        <w:t>$/sq</w:t>
      </w:r>
      <w:r>
        <w:rPr>
          <w:spacing w:val="-3"/>
          <w:u w:val="single"/>
        </w:rPr>
        <w:t xml:space="preserve"> </w:t>
      </w:r>
      <w:r>
        <w:rPr>
          <w:u w:val="single"/>
        </w:rPr>
        <w:t>ft</w:t>
      </w:r>
      <w:r>
        <w:rPr>
          <w:spacing w:val="-4"/>
        </w:rPr>
        <w:t xml:space="preserve"> </w:t>
      </w:r>
      <w:r>
        <w:t>and dependent on the total reduction in baseline energy usage:</w:t>
      </w:r>
    </w:p>
    <w:p w:rsidR="00C31389" w:rsidRDefault="00C31389" w14:paraId="0B9CA233" w14:textId="77777777">
      <w:pPr>
        <w:pStyle w:val="BodyText"/>
        <w:spacing w:before="9"/>
        <w:rPr>
          <w:sz w:val="20"/>
        </w:rPr>
      </w:pPr>
    </w:p>
    <w:p w:rsidR="00C31389" w:rsidRDefault="00561FBD" w14:paraId="13072D5C" w14:textId="77777777">
      <w:pPr>
        <w:spacing w:before="1"/>
        <w:ind w:left="623" w:right="250"/>
        <w:rPr>
          <w:i/>
        </w:rPr>
      </w:pPr>
      <w:r>
        <w:rPr>
          <w:i/>
        </w:rPr>
        <w:t>The deduction would be set at $0.50 per square foot and increased by $0.02 for each percentage</w:t>
      </w:r>
      <w:r>
        <w:rPr>
          <w:i/>
          <w:spacing w:val="-5"/>
        </w:rPr>
        <w:t xml:space="preserve"> </w:t>
      </w:r>
      <w:r>
        <w:rPr>
          <w:i/>
        </w:rPr>
        <w:t>point</w:t>
      </w:r>
      <w:r>
        <w:rPr>
          <w:i/>
          <w:spacing w:val="-4"/>
        </w:rPr>
        <w:t xml:space="preserve"> </w:t>
      </w:r>
      <w:r>
        <w:rPr>
          <w:i/>
        </w:rPr>
        <w:t>by</w:t>
      </w:r>
      <w:r>
        <w:rPr>
          <w:i/>
          <w:spacing w:val="-4"/>
        </w:rPr>
        <w:t xml:space="preserve"> </w:t>
      </w:r>
      <w:r>
        <w:rPr>
          <w:i/>
        </w:rPr>
        <w:t>which</w:t>
      </w:r>
      <w:r>
        <w:rPr>
          <w:i/>
          <w:spacing w:val="-4"/>
        </w:rPr>
        <w:t xml:space="preserve"> </w:t>
      </w:r>
      <w:r>
        <w:rPr>
          <w:i/>
        </w:rPr>
        <w:t>the</w:t>
      </w:r>
      <w:r>
        <w:rPr>
          <w:i/>
          <w:spacing w:val="-4"/>
        </w:rPr>
        <w:t xml:space="preserve"> </w:t>
      </w:r>
      <w:r>
        <w:rPr>
          <w:i/>
        </w:rPr>
        <w:t>certified</w:t>
      </w:r>
      <w:r>
        <w:rPr>
          <w:i/>
          <w:spacing w:val="-4"/>
        </w:rPr>
        <w:t xml:space="preserve"> </w:t>
      </w:r>
      <w:r>
        <w:rPr>
          <w:i/>
        </w:rPr>
        <w:t>efficiency</w:t>
      </w:r>
      <w:r>
        <w:rPr>
          <w:i/>
          <w:spacing w:val="-5"/>
        </w:rPr>
        <w:t xml:space="preserve"> </w:t>
      </w:r>
      <w:r>
        <w:rPr>
          <w:i/>
        </w:rPr>
        <w:t>improvements</w:t>
      </w:r>
      <w:r>
        <w:rPr>
          <w:i/>
          <w:spacing w:val="-4"/>
        </w:rPr>
        <w:t xml:space="preserve"> </w:t>
      </w:r>
      <w:r>
        <w:rPr>
          <w:i/>
        </w:rPr>
        <w:t>reduce</w:t>
      </w:r>
      <w:r>
        <w:rPr>
          <w:i/>
          <w:spacing w:val="-4"/>
        </w:rPr>
        <w:t xml:space="preserve"> </w:t>
      </w:r>
      <w:r>
        <w:rPr>
          <w:i/>
        </w:rPr>
        <w:t>energy</w:t>
      </w:r>
      <w:r>
        <w:rPr>
          <w:i/>
          <w:spacing w:val="-4"/>
        </w:rPr>
        <w:t xml:space="preserve"> </w:t>
      </w:r>
      <w:r>
        <w:rPr>
          <w:i/>
        </w:rPr>
        <w:t>and</w:t>
      </w:r>
      <w:r>
        <w:rPr>
          <w:i/>
          <w:spacing w:val="-4"/>
        </w:rPr>
        <w:t xml:space="preserve"> </w:t>
      </w:r>
      <w:r>
        <w:rPr>
          <w:i/>
        </w:rPr>
        <w:t>power costs, with a</w:t>
      </w:r>
      <w:r>
        <w:rPr>
          <w:i/>
          <w:spacing w:val="-1"/>
        </w:rPr>
        <w:t xml:space="preserve"> </w:t>
      </w:r>
      <w:r>
        <w:rPr>
          <w:i/>
        </w:rPr>
        <w:t>maximum</w:t>
      </w:r>
      <w:r>
        <w:rPr>
          <w:i/>
          <w:spacing w:val="-1"/>
        </w:rPr>
        <w:t xml:space="preserve"> </w:t>
      </w:r>
      <w:r>
        <w:rPr>
          <w:i/>
        </w:rPr>
        <w:t>amount of $1.00 per square foot. For projects that</w:t>
      </w:r>
      <w:r>
        <w:rPr>
          <w:i/>
          <w:spacing w:val="-1"/>
        </w:rPr>
        <w:t xml:space="preserve"> </w:t>
      </w:r>
      <w:r>
        <w:rPr>
          <w:i/>
        </w:rPr>
        <w:t>meet prevailing wage and registered apprenticeship</w:t>
      </w:r>
      <w:r>
        <w:rPr>
          <w:i/>
          <w:spacing w:val="-1"/>
        </w:rPr>
        <w:t xml:space="preserve"> </w:t>
      </w:r>
      <w:r>
        <w:rPr>
          <w:i/>
        </w:rPr>
        <w:t>requirements the base amount is $2.50, which would be increased by $0.10 for each percentage point increase in energy effi</w:t>
      </w:r>
      <w:r>
        <w:rPr>
          <w:i/>
        </w:rPr>
        <w:t>ciency, with a maximum amount of $5.00 per square foot.</w:t>
      </w:r>
    </w:p>
    <w:p w:rsidR="00C31389" w:rsidRDefault="00561FBD" w14:paraId="1563EA0E" w14:textId="77777777">
      <w:pPr>
        <w:spacing w:before="120"/>
        <w:ind w:left="623"/>
        <w:rPr>
          <w:i/>
        </w:rPr>
      </w:pPr>
      <w:r>
        <w:rPr>
          <w:i/>
        </w:rPr>
        <w:t>(Source</w:t>
      </w:r>
      <w:r>
        <w:rPr>
          <w:i/>
          <w:spacing w:val="-6"/>
        </w:rPr>
        <w:t xml:space="preserve"> </w:t>
      </w:r>
      <w:r>
        <w:rPr>
          <w:i/>
        </w:rPr>
        <w:t>-</w:t>
      </w:r>
      <w:r>
        <w:rPr>
          <w:i/>
          <w:spacing w:val="-5"/>
        </w:rPr>
        <w:t xml:space="preserve"> </w:t>
      </w:r>
      <w:hyperlink r:id="rId347">
        <w:r>
          <w:rPr>
            <w:i/>
            <w:color w:val="163E95"/>
            <w:spacing w:val="-2"/>
            <w:u w:val="single" w:color="68942C"/>
          </w:rPr>
          <w:t>https://crsreports.congress.gov/product/pdf/R/R47202</w:t>
        </w:r>
      </w:hyperlink>
      <w:r>
        <w:rPr>
          <w:i/>
          <w:spacing w:val="-2"/>
        </w:rPr>
        <w:t>)</w:t>
      </w:r>
    </w:p>
    <w:p w:rsidR="00C31389" w:rsidRDefault="00C31389" w14:paraId="3516E770" w14:textId="77777777">
      <w:pPr>
        <w:sectPr w:rsidR="00C31389">
          <w:pgSz w:w="12240" w:h="15840"/>
          <w:pgMar w:top="1380" w:right="1240" w:bottom="1120" w:left="1220" w:header="397" w:footer="936" w:gutter="0"/>
          <w:cols w:space="720"/>
        </w:sectPr>
      </w:pPr>
    </w:p>
    <w:p w:rsidR="00C31389" w:rsidRDefault="00C31389" w14:paraId="4AB9910C" w14:textId="77777777">
      <w:pPr>
        <w:pStyle w:val="BodyText"/>
        <w:spacing w:before="11"/>
        <w:rPr>
          <w:i/>
          <w:sz w:val="13"/>
        </w:rPr>
      </w:pPr>
    </w:p>
    <w:p w:rsidR="00C31389" w:rsidRDefault="00561FBD" w14:paraId="4BFE5FA3" w14:textId="77777777">
      <w:pPr>
        <w:pStyle w:val="BodyText"/>
        <w:spacing w:before="92"/>
        <w:ind w:left="220" w:right="301"/>
      </w:pPr>
      <w:r>
        <w:t>Similar</w:t>
      </w:r>
      <w:r>
        <w:rPr>
          <w:spacing w:val="-3"/>
        </w:rPr>
        <w:t xml:space="preserve"> </w:t>
      </w:r>
      <w:r>
        <w:t>to</w:t>
      </w:r>
      <w:r>
        <w:rPr>
          <w:spacing w:val="-3"/>
        </w:rPr>
        <w:t xml:space="preserve"> </w:t>
      </w:r>
      <w:r>
        <w:t>the</w:t>
      </w:r>
      <w:r>
        <w:rPr>
          <w:spacing w:val="-3"/>
        </w:rPr>
        <w:t xml:space="preserve"> </w:t>
      </w:r>
      <w:r>
        <w:t>R</w:t>
      </w:r>
      <w:r>
        <w:t>esidential</w:t>
      </w:r>
      <w:r>
        <w:rPr>
          <w:spacing w:val="-3"/>
        </w:rPr>
        <w:t xml:space="preserve"> </w:t>
      </w:r>
      <w:r>
        <w:t>Sector,</w:t>
      </w:r>
      <w:r>
        <w:rPr>
          <w:spacing w:val="-3"/>
        </w:rPr>
        <w:t xml:space="preserve"> </w:t>
      </w:r>
      <w:r>
        <w:t>the</w:t>
      </w:r>
      <w:r>
        <w:rPr>
          <w:spacing w:val="-4"/>
        </w:rPr>
        <w:t xml:space="preserve"> </w:t>
      </w:r>
      <w:r>
        <w:t>PG</w:t>
      </w:r>
      <w:r>
        <w:rPr>
          <w:spacing w:val="-4"/>
        </w:rPr>
        <w:t xml:space="preserve"> </w:t>
      </w:r>
      <w:r>
        <w:t>study</w:t>
      </w:r>
      <w:r>
        <w:rPr>
          <w:spacing w:val="-3"/>
        </w:rPr>
        <w:t xml:space="preserve"> </w:t>
      </w:r>
      <w:r>
        <w:t>measure</w:t>
      </w:r>
      <w:r>
        <w:rPr>
          <w:spacing w:val="-3"/>
        </w:rPr>
        <w:t xml:space="preserve"> </w:t>
      </w:r>
      <w:r>
        <w:t>characterization</w:t>
      </w:r>
      <w:r>
        <w:rPr>
          <w:spacing w:val="-4"/>
        </w:rPr>
        <w:t xml:space="preserve"> </w:t>
      </w:r>
      <w:r>
        <w:t>quantifies</w:t>
      </w:r>
      <w:r>
        <w:rPr>
          <w:spacing w:val="-3"/>
        </w:rPr>
        <w:t xml:space="preserve"> </w:t>
      </w:r>
      <w:r>
        <w:t>the</w:t>
      </w:r>
      <w:r>
        <w:rPr>
          <w:spacing w:val="-3"/>
        </w:rPr>
        <w:t xml:space="preserve"> </w:t>
      </w:r>
      <w:r>
        <w:t>tax credit as a $/unit input. The following steps were taken to derive this $/unit value:</w:t>
      </w:r>
    </w:p>
    <w:p w:rsidR="00C31389" w:rsidRDefault="00C31389" w14:paraId="78A7C7BA" w14:textId="77777777">
      <w:pPr>
        <w:pStyle w:val="BodyText"/>
        <w:spacing w:before="10"/>
        <w:rPr>
          <w:sz w:val="20"/>
        </w:rPr>
      </w:pPr>
    </w:p>
    <w:p w:rsidR="00C31389" w:rsidRDefault="00561FBD" w14:paraId="57A630C4" w14:textId="77777777">
      <w:pPr>
        <w:pStyle w:val="ListParagraph"/>
        <w:numPr>
          <w:ilvl w:val="2"/>
          <w:numId w:val="2"/>
        </w:numPr>
        <w:tabs>
          <w:tab w:val="left" w:pos="625"/>
        </w:tabs>
        <w:ind w:left="625" w:right="398"/>
      </w:pPr>
      <w:r>
        <w:t>Step</w:t>
      </w:r>
      <w:r>
        <w:rPr>
          <w:spacing w:val="-3"/>
        </w:rPr>
        <w:t xml:space="preserve"> </w:t>
      </w:r>
      <w:r>
        <w:t>1</w:t>
      </w:r>
      <w:r>
        <w:rPr>
          <w:spacing w:val="-3"/>
        </w:rPr>
        <w:t xml:space="preserve"> </w:t>
      </w:r>
      <w:r>
        <w:t>–</w:t>
      </w:r>
      <w:r>
        <w:rPr>
          <w:spacing w:val="-3"/>
        </w:rPr>
        <w:t xml:space="preserve"> </w:t>
      </w:r>
      <w:r>
        <w:t>Estimate</w:t>
      </w:r>
      <w:r>
        <w:rPr>
          <w:spacing w:val="-3"/>
        </w:rPr>
        <w:t xml:space="preserve"> </w:t>
      </w:r>
      <w:r>
        <w:t>the</w:t>
      </w:r>
      <w:r>
        <w:rPr>
          <w:spacing w:val="-3"/>
        </w:rPr>
        <w:t xml:space="preserve"> </w:t>
      </w:r>
      <w:r>
        <w:rPr>
          <w:b/>
        </w:rPr>
        <w:t>total</w:t>
      </w:r>
      <w:r>
        <w:rPr>
          <w:b/>
          <w:spacing w:val="-3"/>
        </w:rPr>
        <w:t xml:space="preserve"> </w:t>
      </w:r>
      <w:r>
        <w:rPr>
          <w:b/>
        </w:rPr>
        <w:t>portion</w:t>
      </w:r>
      <w:r>
        <w:rPr>
          <w:b/>
          <w:spacing w:val="-3"/>
        </w:rPr>
        <w:t xml:space="preserve"> </w:t>
      </w:r>
      <w:r>
        <w:rPr>
          <w:b/>
        </w:rPr>
        <w:t>of</w:t>
      </w:r>
      <w:r>
        <w:rPr>
          <w:b/>
          <w:spacing w:val="-3"/>
        </w:rPr>
        <w:t xml:space="preserve"> </w:t>
      </w:r>
      <w:r>
        <w:rPr>
          <w:b/>
        </w:rPr>
        <w:t>Commercial</w:t>
      </w:r>
      <w:r>
        <w:rPr>
          <w:b/>
          <w:spacing w:val="-3"/>
        </w:rPr>
        <w:t xml:space="preserve"> </w:t>
      </w:r>
      <w:r>
        <w:rPr>
          <w:b/>
        </w:rPr>
        <w:t>buildings</w:t>
      </w:r>
      <w:r>
        <w:t>,</w:t>
      </w:r>
      <w:r>
        <w:rPr>
          <w:spacing w:val="-3"/>
        </w:rPr>
        <w:t xml:space="preserve"> </w:t>
      </w:r>
      <w:r>
        <w:t>by</w:t>
      </w:r>
      <w:r>
        <w:rPr>
          <w:spacing w:val="-3"/>
        </w:rPr>
        <w:t xml:space="preserve"> </w:t>
      </w:r>
      <w:r>
        <w:t>building</w:t>
      </w:r>
      <w:r>
        <w:rPr>
          <w:spacing w:val="-3"/>
        </w:rPr>
        <w:t xml:space="preserve"> </w:t>
      </w:r>
      <w:r>
        <w:t>type,</w:t>
      </w:r>
      <w:r>
        <w:rPr>
          <w:spacing w:val="-3"/>
        </w:rPr>
        <w:t xml:space="preserve"> </w:t>
      </w:r>
      <w:r>
        <w:t>that</w:t>
      </w:r>
      <w:r>
        <w:rPr>
          <w:spacing w:val="-4"/>
        </w:rPr>
        <w:t xml:space="preserve"> </w:t>
      </w:r>
      <w:r>
        <w:t xml:space="preserve">have </w:t>
      </w:r>
      <w:r>
        <w:t>the potential to achieve at least 25% reduction in baseline energy consumption.</w:t>
      </w:r>
    </w:p>
    <w:p w:rsidR="00C31389" w:rsidRDefault="00561FBD" w14:paraId="1DA9B555" w14:textId="77777777">
      <w:pPr>
        <w:pStyle w:val="ListParagraph"/>
        <w:numPr>
          <w:ilvl w:val="3"/>
          <w:numId w:val="2"/>
        </w:numPr>
        <w:tabs>
          <w:tab w:val="left" w:pos="1345"/>
        </w:tabs>
        <w:spacing w:before="120" w:line="237" w:lineRule="auto"/>
        <w:ind w:left="1345" w:right="336"/>
      </w:pPr>
      <w:r>
        <w:t>While</w:t>
      </w:r>
      <w:r>
        <w:rPr>
          <w:spacing w:val="-3"/>
        </w:rPr>
        <w:t xml:space="preserve"> </w:t>
      </w:r>
      <w:r>
        <w:t>there</w:t>
      </w:r>
      <w:r>
        <w:rPr>
          <w:spacing w:val="-3"/>
        </w:rPr>
        <w:t xml:space="preserve"> </w:t>
      </w:r>
      <w:r>
        <w:t>is</w:t>
      </w:r>
      <w:r>
        <w:rPr>
          <w:spacing w:val="-3"/>
        </w:rPr>
        <w:t xml:space="preserve"> </w:t>
      </w:r>
      <w:r>
        <w:t>not</w:t>
      </w:r>
      <w:r>
        <w:rPr>
          <w:spacing w:val="-3"/>
        </w:rPr>
        <w:t xml:space="preserve"> </w:t>
      </w:r>
      <w:r>
        <w:t>a</w:t>
      </w:r>
      <w:r>
        <w:rPr>
          <w:spacing w:val="-3"/>
        </w:rPr>
        <w:t xml:space="preserve"> </w:t>
      </w:r>
      <w:r>
        <w:t>market-specific</w:t>
      </w:r>
      <w:r>
        <w:rPr>
          <w:spacing w:val="-3"/>
        </w:rPr>
        <w:t xml:space="preserve"> </w:t>
      </w:r>
      <w:r>
        <w:t>data</w:t>
      </w:r>
      <w:r>
        <w:rPr>
          <w:spacing w:val="-3"/>
        </w:rPr>
        <w:t xml:space="preserve"> </w:t>
      </w:r>
      <w:r>
        <w:t>source</w:t>
      </w:r>
      <w:r>
        <w:rPr>
          <w:spacing w:val="-3"/>
        </w:rPr>
        <w:t xml:space="preserve"> </w:t>
      </w:r>
      <w:r>
        <w:t>that</w:t>
      </w:r>
      <w:r>
        <w:rPr>
          <w:spacing w:val="-3"/>
        </w:rPr>
        <w:t xml:space="preserve"> </w:t>
      </w:r>
      <w:r>
        <w:t>has</w:t>
      </w:r>
      <w:r>
        <w:rPr>
          <w:spacing w:val="-3"/>
        </w:rPr>
        <w:t xml:space="preserve"> </w:t>
      </w:r>
      <w:r>
        <w:t>established</w:t>
      </w:r>
      <w:r>
        <w:rPr>
          <w:spacing w:val="-3"/>
        </w:rPr>
        <w:t xml:space="preserve"> </w:t>
      </w:r>
      <w:r>
        <w:t>to</w:t>
      </w:r>
      <w:r>
        <w:rPr>
          <w:spacing w:val="-3"/>
        </w:rPr>
        <w:t xml:space="preserve"> </w:t>
      </w:r>
      <w:r>
        <w:t>quantify</w:t>
      </w:r>
      <w:r>
        <w:rPr>
          <w:spacing w:val="-3"/>
        </w:rPr>
        <w:t xml:space="preserve"> </w:t>
      </w:r>
      <w:r>
        <w:t>the total portion of Commercial buildings, Guidehouse conducted a review of publicly available</w:t>
      </w:r>
      <w:r>
        <w:t xml:space="preserve"> secondary data sources combined with Guidehouse expertise. The Guidehouse team research found that “on average, 30% of the energy used in commercial buildings is wasted</w:t>
      </w:r>
      <w:hyperlink w:history="1" w:anchor="_bookmark551">
        <w:r>
          <w:rPr>
            <w:position w:val="7"/>
            <w:sz w:val="14"/>
          </w:rPr>
          <w:t>199</w:t>
        </w:r>
      </w:hyperlink>
      <w:r>
        <w:t>” and the Commercia</w:t>
      </w:r>
      <w:r>
        <w:t>l Buildings Integration program has set a target of a 30% reduction in commercial building energy use intensity from 2010 levels by 2030.</w:t>
      </w:r>
    </w:p>
    <w:p w:rsidR="00C31389" w:rsidRDefault="00561FBD" w14:paraId="129E4776" w14:textId="77777777">
      <w:pPr>
        <w:pStyle w:val="ListParagraph"/>
        <w:numPr>
          <w:ilvl w:val="3"/>
          <w:numId w:val="2"/>
        </w:numPr>
        <w:tabs>
          <w:tab w:val="left" w:pos="1343"/>
          <w:tab w:val="left" w:pos="1345"/>
        </w:tabs>
        <w:spacing w:before="120" w:line="235" w:lineRule="auto"/>
        <w:ind w:left="1345" w:right="386" w:hanging="361"/>
      </w:pPr>
      <w:r>
        <w:t>To refine this assumption, Guidehouse analyzed the overall commercial building stock by building type by vintage. Only</w:t>
      </w:r>
      <w:r>
        <w:t xml:space="preserve"> the proportion of overall premises constructed</w:t>
      </w:r>
      <w:r>
        <w:rPr>
          <w:spacing w:val="-4"/>
        </w:rPr>
        <w:t xml:space="preserve"> </w:t>
      </w:r>
      <w:r>
        <w:t>prior</w:t>
      </w:r>
      <w:r>
        <w:rPr>
          <w:spacing w:val="-3"/>
        </w:rPr>
        <w:t xml:space="preserve"> </w:t>
      </w:r>
      <w:r>
        <w:t>to</w:t>
      </w:r>
      <w:r>
        <w:rPr>
          <w:spacing w:val="-3"/>
        </w:rPr>
        <w:t xml:space="preserve"> </w:t>
      </w:r>
      <w:r>
        <w:t>1992</w:t>
      </w:r>
      <w:r>
        <w:rPr>
          <w:spacing w:val="-3"/>
        </w:rPr>
        <w:t xml:space="preserve"> </w:t>
      </w:r>
      <w:r>
        <w:t>was</w:t>
      </w:r>
      <w:r>
        <w:rPr>
          <w:spacing w:val="-3"/>
        </w:rPr>
        <w:t xml:space="preserve"> </w:t>
      </w:r>
      <w:r>
        <w:t>assumed</w:t>
      </w:r>
      <w:r>
        <w:rPr>
          <w:spacing w:val="-3"/>
        </w:rPr>
        <w:t xml:space="preserve"> </w:t>
      </w:r>
      <w:r>
        <w:t>to</w:t>
      </w:r>
      <w:r>
        <w:rPr>
          <w:spacing w:val="-3"/>
        </w:rPr>
        <w:t xml:space="preserve"> </w:t>
      </w:r>
      <w:r>
        <w:t>be</w:t>
      </w:r>
      <w:r>
        <w:rPr>
          <w:spacing w:val="-3"/>
        </w:rPr>
        <w:t xml:space="preserve"> </w:t>
      </w:r>
      <w:r>
        <w:t>realistically</w:t>
      </w:r>
      <w:r>
        <w:rPr>
          <w:spacing w:val="-3"/>
        </w:rPr>
        <w:t xml:space="preserve"> </w:t>
      </w:r>
      <w:r>
        <w:t>able</w:t>
      </w:r>
      <w:r>
        <w:rPr>
          <w:spacing w:val="-3"/>
        </w:rPr>
        <w:t xml:space="preserve"> </w:t>
      </w:r>
      <w:r>
        <w:t>to</w:t>
      </w:r>
      <w:r>
        <w:rPr>
          <w:spacing w:val="-3"/>
        </w:rPr>
        <w:t xml:space="preserve"> </w:t>
      </w:r>
      <w:r>
        <w:t>meet</w:t>
      </w:r>
      <w:r>
        <w:rPr>
          <w:spacing w:val="-3"/>
        </w:rPr>
        <w:t xml:space="preserve"> </w:t>
      </w:r>
      <w:r>
        <w:t>the</w:t>
      </w:r>
      <w:r>
        <w:rPr>
          <w:spacing w:val="-3"/>
        </w:rPr>
        <w:t xml:space="preserve"> </w:t>
      </w:r>
      <w:r>
        <w:t xml:space="preserve">baseline energy usage reduction threshold. Of these buildings, it was assumed that on average 30% can reduce energy usage by 25% or greater through analyzed EE </w:t>
      </w:r>
      <w:r>
        <w:rPr>
          <w:spacing w:val="-2"/>
        </w:rPr>
        <w:t>measures.</w:t>
      </w:r>
    </w:p>
    <w:p w:rsidR="00C31389" w:rsidRDefault="00561FBD" w14:paraId="5D283B94" w14:textId="77777777">
      <w:pPr>
        <w:pStyle w:val="ListParagraph"/>
        <w:numPr>
          <w:ilvl w:val="3"/>
          <w:numId w:val="2"/>
        </w:numPr>
        <w:tabs>
          <w:tab w:val="left" w:pos="1345"/>
        </w:tabs>
        <w:spacing w:before="130" w:line="237" w:lineRule="auto"/>
        <w:ind w:left="1345" w:right="215"/>
      </w:pPr>
      <w:r>
        <w:t>To</w:t>
      </w:r>
      <w:r>
        <w:rPr>
          <w:spacing w:val="-2"/>
        </w:rPr>
        <w:t xml:space="preserve"> </w:t>
      </w:r>
      <w:r>
        <w:t>differentiate</w:t>
      </w:r>
      <w:r>
        <w:rPr>
          <w:spacing w:val="-2"/>
        </w:rPr>
        <w:t xml:space="preserve"> </w:t>
      </w:r>
      <w:r>
        <w:t>relative</w:t>
      </w:r>
      <w:r>
        <w:rPr>
          <w:spacing w:val="-3"/>
        </w:rPr>
        <w:t xml:space="preserve"> </w:t>
      </w:r>
      <w:r>
        <w:t>EE</w:t>
      </w:r>
      <w:r>
        <w:rPr>
          <w:spacing w:val="-2"/>
        </w:rPr>
        <w:t xml:space="preserve"> </w:t>
      </w:r>
      <w:r>
        <w:t>savings</w:t>
      </w:r>
      <w:r>
        <w:rPr>
          <w:spacing w:val="-3"/>
        </w:rPr>
        <w:t xml:space="preserve"> </w:t>
      </w:r>
      <w:r>
        <w:t>potential</w:t>
      </w:r>
      <w:r>
        <w:rPr>
          <w:spacing w:val="-2"/>
        </w:rPr>
        <w:t xml:space="preserve"> </w:t>
      </w:r>
      <w:r>
        <w:t>between</w:t>
      </w:r>
      <w:r>
        <w:rPr>
          <w:spacing w:val="-2"/>
        </w:rPr>
        <w:t xml:space="preserve"> </w:t>
      </w:r>
      <w:r>
        <w:t>building</w:t>
      </w:r>
      <w:r>
        <w:rPr>
          <w:spacing w:val="-2"/>
        </w:rPr>
        <w:t xml:space="preserve"> </w:t>
      </w:r>
      <w:r>
        <w:t>types,</w:t>
      </w:r>
      <w:r>
        <w:rPr>
          <w:spacing w:val="-2"/>
        </w:rPr>
        <w:t xml:space="preserve"> </w:t>
      </w:r>
      <w:r>
        <w:t>the</w:t>
      </w:r>
      <w:r>
        <w:rPr>
          <w:spacing w:val="-3"/>
        </w:rPr>
        <w:t xml:space="preserve"> </w:t>
      </w:r>
      <w:r>
        <w:t xml:space="preserve">2021 Study </w:t>
      </w:r>
      <w:r>
        <w:t>results were applied to the Commercial sector building stock to compare the relative achievable potential by overall building area (sq ft) for each of the Commercial</w:t>
      </w:r>
      <w:r>
        <w:rPr>
          <w:spacing w:val="40"/>
        </w:rPr>
        <w:t xml:space="preserve"> </w:t>
      </w:r>
      <w:r>
        <w:t xml:space="preserve">sector building types. These building type-specific values (see </w:t>
      </w:r>
      <w:hyperlink w:history="1" w:anchor="_bookmark550">
        <w:r>
          <w:t>Table K-1</w:t>
        </w:r>
      </w:hyperlink>
      <w:r>
        <w:t xml:space="preserve"> were indexed</w:t>
      </w:r>
      <w:r>
        <w:rPr>
          <w:spacing w:val="-4"/>
        </w:rPr>
        <w:t xml:space="preserve"> </w:t>
      </w:r>
      <w:r>
        <w:t>and</w:t>
      </w:r>
      <w:r>
        <w:rPr>
          <w:spacing w:val="-5"/>
        </w:rPr>
        <w:t xml:space="preserve"> </w:t>
      </w:r>
      <w:r>
        <w:t>assigned</w:t>
      </w:r>
      <w:r>
        <w:rPr>
          <w:spacing w:val="-5"/>
        </w:rPr>
        <w:t xml:space="preserve"> </w:t>
      </w:r>
      <w:r>
        <w:t>varying</w:t>
      </w:r>
      <w:r>
        <w:rPr>
          <w:spacing w:val="-4"/>
        </w:rPr>
        <w:t xml:space="preserve"> </w:t>
      </w:r>
      <w:r>
        <w:t>penetration</w:t>
      </w:r>
      <w:r>
        <w:rPr>
          <w:spacing w:val="-4"/>
        </w:rPr>
        <w:t xml:space="preserve"> </w:t>
      </w:r>
      <w:r>
        <w:t>levels:</w:t>
      </w:r>
      <w:r>
        <w:rPr>
          <w:spacing w:val="-4"/>
        </w:rPr>
        <w:t xml:space="preserve"> </w:t>
      </w:r>
      <w:r>
        <w:t>high</w:t>
      </w:r>
      <w:r>
        <w:rPr>
          <w:spacing w:val="-4"/>
        </w:rPr>
        <w:t xml:space="preserve"> </w:t>
      </w:r>
      <w:r>
        <w:t>(45%</w:t>
      </w:r>
      <w:r>
        <w:rPr>
          <w:spacing w:val="-5"/>
        </w:rPr>
        <w:t xml:space="preserve"> </w:t>
      </w:r>
      <w:r>
        <w:t>of</w:t>
      </w:r>
      <w:r>
        <w:rPr>
          <w:spacing w:val="-4"/>
        </w:rPr>
        <w:t xml:space="preserve"> </w:t>
      </w:r>
      <w:r>
        <w:t>buildings</w:t>
      </w:r>
      <w:r>
        <w:rPr>
          <w:spacing w:val="-5"/>
        </w:rPr>
        <w:t xml:space="preserve"> </w:t>
      </w:r>
      <w:r>
        <w:t>can</w:t>
      </w:r>
      <w:r>
        <w:rPr>
          <w:spacing w:val="-4"/>
        </w:rPr>
        <w:t xml:space="preserve"> </w:t>
      </w:r>
      <w:r>
        <w:t>achieve the IRA savings threshold), medium (30%), or low (15%) potential representing the assumed proportion of buildings bui</w:t>
      </w:r>
      <w:r>
        <w:t>lt prior to 1992 in each category that could achieve required overall energy reduction.</w:t>
      </w:r>
    </w:p>
    <w:p w:rsidR="00C31389" w:rsidRDefault="00561FBD" w14:paraId="6B828211" w14:textId="77777777">
      <w:pPr>
        <w:pStyle w:val="Heading7"/>
        <w:spacing w:before="119"/>
        <w:ind w:left="3366" w:right="139" w:hanging="3067"/>
      </w:pPr>
      <w:bookmarkStart w:name="_bookmark550" w:id="725"/>
      <w:bookmarkEnd w:id="725"/>
      <w:r>
        <w:t>Table</w:t>
      </w:r>
      <w:r>
        <w:rPr>
          <w:spacing w:val="-4"/>
        </w:rPr>
        <w:t xml:space="preserve"> </w:t>
      </w:r>
      <w:r>
        <w:t>K-1.</w:t>
      </w:r>
      <w:r>
        <w:rPr>
          <w:spacing w:val="-5"/>
        </w:rPr>
        <w:t xml:space="preserve"> </w:t>
      </w:r>
      <w:r>
        <w:t>Assumed</w:t>
      </w:r>
      <w:r>
        <w:rPr>
          <w:spacing w:val="-4"/>
        </w:rPr>
        <w:t xml:space="preserve"> </w:t>
      </w:r>
      <w:r>
        <w:t>Penetration</w:t>
      </w:r>
      <w:r>
        <w:rPr>
          <w:spacing w:val="-4"/>
        </w:rPr>
        <w:t xml:space="preserve"> </w:t>
      </w:r>
      <w:r>
        <w:t>Levels</w:t>
      </w:r>
      <w:r>
        <w:rPr>
          <w:spacing w:val="-4"/>
        </w:rPr>
        <w:t xml:space="preserve"> </w:t>
      </w:r>
      <w:r>
        <w:t>of</w:t>
      </w:r>
      <w:r>
        <w:rPr>
          <w:spacing w:val="-4"/>
        </w:rPr>
        <w:t xml:space="preserve"> </w:t>
      </w:r>
      <w:r>
        <w:t>Buildings</w:t>
      </w:r>
      <w:r>
        <w:rPr>
          <w:spacing w:val="-4"/>
        </w:rPr>
        <w:t xml:space="preserve"> </w:t>
      </w:r>
      <w:r>
        <w:t>Achieving</w:t>
      </w:r>
      <w:r>
        <w:rPr>
          <w:spacing w:val="-4"/>
        </w:rPr>
        <w:t xml:space="preserve"> </w:t>
      </w:r>
      <w:r>
        <w:t>&gt;</w:t>
      </w:r>
      <w:r>
        <w:rPr>
          <w:spacing w:val="-4"/>
        </w:rPr>
        <w:t xml:space="preserve"> </w:t>
      </w:r>
      <w:r>
        <w:t>25%</w:t>
      </w:r>
      <w:r>
        <w:rPr>
          <w:spacing w:val="-4"/>
        </w:rPr>
        <w:t xml:space="preserve"> </w:t>
      </w:r>
      <w:r>
        <w:t>Energy</w:t>
      </w:r>
      <w:r>
        <w:rPr>
          <w:spacing w:val="-4"/>
        </w:rPr>
        <w:t xml:space="preserve"> </w:t>
      </w:r>
      <w:r>
        <w:t>Reduction to Qualify for IRA Tax Credits</w:t>
      </w:r>
    </w:p>
    <w:p w:rsidR="00C31389" w:rsidRDefault="00C31389" w14:paraId="08C4B633" w14:textId="77777777">
      <w:pPr>
        <w:pStyle w:val="BodyText"/>
        <w:spacing w:before="4"/>
        <w:rPr>
          <w:b/>
          <w:sz w:val="10"/>
        </w:rPr>
      </w:pPr>
    </w:p>
    <w:tbl>
      <w:tblPr>
        <w:tblW w:w="0" w:type="auto"/>
        <w:tblInd w:w="177" w:type="dxa"/>
        <w:tblLayout w:type="fixed"/>
        <w:tblCellMar>
          <w:left w:w="0" w:type="dxa"/>
          <w:right w:w="0" w:type="dxa"/>
        </w:tblCellMar>
        <w:tblLook w:val="01E0" w:firstRow="1" w:lastRow="1" w:firstColumn="1" w:lastColumn="1" w:noHBand="0" w:noVBand="0"/>
      </w:tblPr>
      <w:tblGrid>
        <w:gridCol w:w="4811"/>
        <w:gridCol w:w="2394"/>
      </w:tblGrid>
      <w:tr w:rsidR="00C31389" w14:paraId="7507A321" w14:textId="77777777">
        <w:trPr>
          <w:trHeight w:val="780"/>
        </w:trPr>
        <w:tc>
          <w:tcPr>
            <w:tcW w:w="4811" w:type="dxa"/>
          </w:tcPr>
          <w:p w:rsidR="00C31389" w:rsidRDefault="00C31389" w14:paraId="7D8E64EA" w14:textId="77777777">
            <w:pPr>
              <w:pStyle w:val="TableParagraph"/>
              <w:spacing w:before="6"/>
              <w:rPr>
                <w:b/>
                <w:sz w:val="23"/>
              </w:rPr>
            </w:pPr>
          </w:p>
          <w:p w:rsidR="00C31389" w:rsidRDefault="00561FBD" w14:paraId="5AC27385" w14:textId="77777777">
            <w:pPr>
              <w:pStyle w:val="TableParagraph"/>
              <w:spacing w:before="0"/>
              <w:ind w:left="2369"/>
              <w:rPr>
                <w:b/>
                <w:sz w:val="20"/>
              </w:rPr>
            </w:pPr>
            <w:r>
              <w:rPr>
                <w:noProof/>
              </w:rPr>
              <mc:AlternateContent>
                <mc:Choice Requires="wpg">
                  <w:drawing>
                    <wp:anchor distT="0" distB="0" distL="0" distR="0" simplePos="0" relativeHeight="465590784" behindDoc="1" locked="0" layoutInCell="1" allowOverlap="1" wp14:editId="42329A7E" wp14:anchorId="413FA891">
                      <wp:simplePos x="0" y="0"/>
                      <wp:positionH relativeFrom="column">
                        <wp:posOffset>1432305</wp:posOffset>
                      </wp:positionH>
                      <wp:positionV relativeFrom="paragraph">
                        <wp:posOffset>-171959</wp:posOffset>
                      </wp:positionV>
                      <wp:extent cx="3145155" cy="495300"/>
                      <wp:effectExtent l="0" t="0" r="0" b="0"/>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5155" cy="495300"/>
                                <a:chOff x="0" y="0"/>
                                <a:chExt cx="3145155" cy="495300"/>
                              </a:xfrm>
                            </wpg:grpSpPr>
                            <wps:wsp>
                              <wps:cNvPr id="1069" name="Graphic 1069"/>
                              <wps:cNvSpPr/>
                              <wps:spPr>
                                <a:xfrm>
                                  <a:off x="0" y="0"/>
                                  <a:ext cx="3145155" cy="495300"/>
                                </a:xfrm>
                                <a:custGeom>
                                  <a:avLst/>
                                  <a:gdLst/>
                                  <a:ahLst/>
                                  <a:cxnLst/>
                                  <a:rect l="l" t="t" r="r" b="b"/>
                                  <a:pathLst>
                                    <a:path w="3145155" h="495300">
                                      <a:moveTo>
                                        <a:pt x="3144786" y="489204"/>
                                      </a:moveTo>
                                      <a:lnTo>
                                        <a:pt x="3143250" y="489204"/>
                                      </a:lnTo>
                                      <a:lnTo>
                                        <a:pt x="3143250" y="0"/>
                                      </a:lnTo>
                                      <a:lnTo>
                                        <a:pt x="1597152" y="0"/>
                                      </a:lnTo>
                                      <a:lnTo>
                                        <a:pt x="0" y="0"/>
                                      </a:lnTo>
                                      <a:lnTo>
                                        <a:pt x="0" y="489204"/>
                                      </a:lnTo>
                                      <a:lnTo>
                                        <a:pt x="0" y="495300"/>
                                      </a:lnTo>
                                      <a:lnTo>
                                        <a:pt x="1597914" y="495300"/>
                                      </a:lnTo>
                                      <a:lnTo>
                                        <a:pt x="1604010" y="495300"/>
                                      </a:lnTo>
                                      <a:lnTo>
                                        <a:pt x="3138665" y="495300"/>
                                      </a:lnTo>
                                      <a:lnTo>
                                        <a:pt x="3138665" y="489204"/>
                                      </a:lnTo>
                                      <a:lnTo>
                                        <a:pt x="3138678" y="495300"/>
                                      </a:lnTo>
                                      <a:lnTo>
                                        <a:pt x="3144786" y="495300"/>
                                      </a:lnTo>
                                      <a:lnTo>
                                        <a:pt x="3144786" y="489204"/>
                                      </a:lnTo>
                                      <a:close/>
                                    </a:path>
                                  </a:pathLst>
                                </a:custGeom>
                                <a:solidFill>
                                  <a:srgbClr val="92D400"/>
                                </a:solidFill>
                              </wps:spPr>
                              <wps:bodyPr wrap="square" lIns="0" tIns="0" rIns="0" bIns="0" rtlCol="0">
                                <a:prstTxWarp prst="textNoShape">
                                  <a:avLst/>
                                </a:prstTxWarp>
                                <a:noAutofit/>
                              </wps:bodyPr>
                            </wps:wsp>
                          </wpg:wgp>
                        </a:graphicData>
                      </a:graphic>
                    </wp:anchor>
                  </w:drawing>
                </mc:Choice>
                <mc:Fallback>
                  <w:pict>
                    <v:group id="Group 1068" style="position:absolute;margin-left:112.8pt;margin-top:-13.55pt;width:247.65pt;height:39pt;z-index:-37725696;mso-wrap-distance-left:0;mso-wrap-distance-right:0" coordsize="31451,4953" o:spid="_x0000_s1026" w14:anchorId="68780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">
                      <v:shape id="Graphic 1069" style="position:absolute;width:31451;height:4953;visibility:visible;mso-wrap-style:square;v-text-anchor:top" coordsize="3145155,495300" o:spid="_x0000_s1027" fillcolor="#92d400" stroked="f" path="m3144786,489204r-1536,l3143250,,1597152,,,,,489204r,6096l1597914,495300r6096,l3138665,495300r,-6096l3138678,495300r6108,l3144786,489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">
                        <v:path arrowok="t"/>
                      </v:shape>
                    </v:group>
                  </w:pict>
                </mc:Fallback>
              </mc:AlternateContent>
            </w:r>
            <w:r>
              <w:rPr>
                <w:b/>
                <w:sz w:val="20"/>
              </w:rPr>
              <w:t>Building</w:t>
            </w:r>
            <w:r>
              <w:rPr>
                <w:b/>
                <w:spacing w:val="-5"/>
                <w:sz w:val="20"/>
              </w:rPr>
              <w:t xml:space="preserve"> </w:t>
            </w:r>
            <w:r>
              <w:rPr>
                <w:b/>
                <w:spacing w:val="-2"/>
                <w:sz w:val="20"/>
              </w:rPr>
              <w:t>Stock</w:t>
            </w:r>
          </w:p>
        </w:tc>
        <w:tc>
          <w:tcPr>
            <w:tcW w:w="2394" w:type="dxa"/>
            <w:shd w:val="clear" w:color="auto" w:fill="92D400"/>
          </w:tcPr>
          <w:p w:rsidR="00C31389" w:rsidRDefault="00561FBD" w14:paraId="70D6A1BC" w14:textId="77777777">
            <w:pPr>
              <w:pStyle w:val="TableParagraph"/>
              <w:ind w:left="204" w:right="242"/>
              <w:jc w:val="center"/>
              <w:rPr>
                <w:b/>
                <w:sz w:val="20"/>
              </w:rPr>
            </w:pPr>
            <w:r>
              <w:rPr>
                <w:b/>
                <w:sz w:val="20"/>
              </w:rPr>
              <w:t>Percent</w:t>
            </w:r>
            <w:r>
              <w:rPr>
                <w:b/>
                <w:spacing w:val="-14"/>
                <w:sz w:val="20"/>
              </w:rPr>
              <w:t xml:space="preserve"> </w:t>
            </w:r>
            <w:r>
              <w:rPr>
                <w:b/>
                <w:sz w:val="20"/>
              </w:rPr>
              <w:t>of</w:t>
            </w:r>
            <w:r>
              <w:rPr>
                <w:b/>
                <w:spacing w:val="-14"/>
                <w:sz w:val="20"/>
              </w:rPr>
              <w:t xml:space="preserve"> </w:t>
            </w:r>
            <w:r>
              <w:rPr>
                <w:b/>
                <w:sz w:val="20"/>
              </w:rPr>
              <w:t xml:space="preserve">Buildings </w:t>
            </w:r>
            <w:r>
              <w:rPr>
                <w:b/>
                <w:sz w:val="20"/>
              </w:rPr>
              <w:t>Achieving &gt;25% Energy Reduction</w:t>
            </w:r>
          </w:p>
        </w:tc>
      </w:tr>
      <w:tr w:rsidR="00C31389" w14:paraId="14789D85" w14:textId="77777777">
        <w:trPr>
          <w:trHeight w:val="646"/>
        </w:trPr>
        <w:tc>
          <w:tcPr>
            <w:tcW w:w="4811" w:type="dxa"/>
            <w:tcBorders>
              <w:bottom w:val="single" w:color="D9D9D9" w:sz="2" w:space="0"/>
            </w:tcBorders>
          </w:tcPr>
          <w:p w:rsidR="00C31389" w:rsidRDefault="00561FBD" w14:paraId="410A1051" w14:textId="77777777">
            <w:pPr>
              <w:pStyle w:val="TableParagraph"/>
              <w:spacing w:before="190"/>
              <w:ind w:left="2369"/>
              <w:rPr>
                <w:rFonts w:ascii="Calibri"/>
              </w:rPr>
            </w:pP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College</w:t>
            </w:r>
          </w:p>
        </w:tc>
        <w:tc>
          <w:tcPr>
            <w:tcW w:w="2394" w:type="dxa"/>
            <w:tcBorders>
              <w:bottom w:val="single" w:color="D9D9D9" w:sz="2" w:space="0"/>
            </w:tcBorders>
          </w:tcPr>
          <w:p w:rsidR="00C31389" w:rsidRDefault="00561FBD" w14:paraId="3A20B97C" w14:textId="77777777">
            <w:pPr>
              <w:pStyle w:val="TableParagraph"/>
              <w:spacing w:before="190"/>
              <w:ind w:left="198" w:right="242"/>
              <w:jc w:val="center"/>
              <w:rPr>
                <w:rFonts w:ascii="Calibri"/>
              </w:rPr>
            </w:pPr>
            <w:r>
              <w:rPr>
                <w:rFonts w:ascii="Calibri"/>
                <w:spacing w:val="-5"/>
              </w:rPr>
              <w:t>15%</w:t>
            </w:r>
          </w:p>
        </w:tc>
      </w:tr>
      <w:tr w:rsidR="00C31389" w14:paraId="1C5425CD" w14:textId="77777777">
        <w:trPr>
          <w:trHeight w:val="348"/>
        </w:trPr>
        <w:tc>
          <w:tcPr>
            <w:tcW w:w="4811" w:type="dxa"/>
            <w:tcBorders>
              <w:top w:val="single" w:color="D9D9D9" w:sz="2" w:space="0"/>
              <w:bottom w:val="single" w:color="D9D9D9" w:sz="2" w:space="0"/>
            </w:tcBorders>
          </w:tcPr>
          <w:p w:rsidR="00C31389" w:rsidRDefault="00561FBD" w14:paraId="723FB820" w14:textId="77777777">
            <w:pPr>
              <w:pStyle w:val="TableParagraph"/>
              <w:spacing w:before="41"/>
              <w:ind w:left="2369"/>
              <w:rPr>
                <w:rFonts w:ascii="Calibri"/>
              </w:rPr>
            </w:pPr>
            <w:r>
              <w:rPr>
                <w:rFonts w:ascii="Calibri"/>
              </w:rPr>
              <w:t>Com</w:t>
            </w:r>
            <w:r>
              <w:rPr>
                <w:rFonts w:ascii="Calibri"/>
                <w:spacing w:val="-4"/>
              </w:rPr>
              <w:t xml:space="preserve"> </w:t>
            </w:r>
            <w:r>
              <w:rPr>
                <w:rFonts w:ascii="Calibri"/>
              </w:rPr>
              <w:t>-</w:t>
            </w:r>
            <w:r>
              <w:rPr>
                <w:rFonts w:ascii="Calibri"/>
                <w:spacing w:val="-2"/>
              </w:rPr>
              <w:t xml:space="preserve"> Grocery</w:t>
            </w:r>
          </w:p>
        </w:tc>
        <w:tc>
          <w:tcPr>
            <w:tcW w:w="2394" w:type="dxa"/>
            <w:tcBorders>
              <w:top w:val="single" w:color="D9D9D9" w:sz="2" w:space="0"/>
              <w:bottom w:val="single" w:color="D9D9D9" w:sz="2" w:space="0"/>
            </w:tcBorders>
          </w:tcPr>
          <w:p w:rsidR="00C31389" w:rsidRDefault="00561FBD" w14:paraId="1187A867" w14:textId="77777777">
            <w:pPr>
              <w:pStyle w:val="TableParagraph"/>
              <w:spacing w:before="41"/>
              <w:ind w:left="204" w:right="241"/>
              <w:jc w:val="center"/>
              <w:rPr>
                <w:rFonts w:ascii="Calibri"/>
              </w:rPr>
            </w:pPr>
            <w:r>
              <w:rPr>
                <w:rFonts w:ascii="Calibri"/>
                <w:spacing w:val="-5"/>
              </w:rPr>
              <w:t>45%</w:t>
            </w:r>
          </w:p>
        </w:tc>
      </w:tr>
      <w:tr w:rsidR="00C31389" w14:paraId="5BCEAC49" w14:textId="77777777">
        <w:trPr>
          <w:trHeight w:val="349"/>
        </w:trPr>
        <w:tc>
          <w:tcPr>
            <w:tcW w:w="4811" w:type="dxa"/>
            <w:tcBorders>
              <w:top w:val="single" w:color="D9D9D9" w:sz="2" w:space="0"/>
              <w:bottom w:val="single" w:color="D9D9D9" w:sz="2" w:space="0"/>
            </w:tcBorders>
          </w:tcPr>
          <w:p w:rsidR="00C31389" w:rsidRDefault="00561FBD" w14:paraId="633AEDA8" w14:textId="77777777">
            <w:pPr>
              <w:pStyle w:val="TableParagraph"/>
              <w:ind w:left="2369"/>
              <w:rPr>
                <w:rFonts w:ascii="Calibri"/>
              </w:rPr>
            </w:pP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Health</w:t>
            </w:r>
          </w:p>
        </w:tc>
        <w:tc>
          <w:tcPr>
            <w:tcW w:w="2394" w:type="dxa"/>
            <w:tcBorders>
              <w:top w:val="single" w:color="D9D9D9" w:sz="2" w:space="0"/>
              <w:bottom w:val="single" w:color="D9D9D9" w:sz="2" w:space="0"/>
            </w:tcBorders>
          </w:tcPr>
          <w:p w:rsidR="00C31389" w:rsidRDefault="00561FBD" w14:paraId="66BC2B1C" w14:textId="77777777">
            <w:pPr>
              <w:pStyle w:val="TableParagraph"/>
              <w:ind w:left="204" w:right="242"/>
              <w:jc w:val="center"/>
              <w:rPr>
                <w:rFonts w:ascii="Calibri"/>
              </w:rPr>
            </w:pPr>
            <w:r>
              <w:rPr>
                <w:rFonts w:ascii="Calibri"/>
                <w:spacing w:val="-5"/>
              </w:rPr>
              <w:t>30%</w:t>
            </w:r>
          </w:p>
        </w:tc>
      </w:tr>
      <w:tr w:rsidR="00C31389" w14:paraId="665B3E1B" w14:textId="77777777">
        <w:trPr>
          <w:trHeight w:val="347"/>
        </w:trPr>
        <w:tc>
          <w:tcPr>
            <w:tcW w:w="4811" w:type="dxa"/>
            <w:tcBorders>
              <w:top w:val="single" w:color="D9D9D9" w:sz="2" w:space="0"/>
              <w:bottom w:val="single" w:color="D9D9D9" w:sz="2" w:space="0"/>
            </w:tcBorders>
          </w:tcPr>
          <w:p w:rsidR="00C31389" w:rsidRDefault="00561FBD" w14:paraId="22B44191" w14:textId="77777777">
            <w:pPr>
              <w:pStyle w:val="TableParagraph"/>
              <w:ind w:left="2369"/>
              <w:rPr>
                <w:rFonts w:ascii="Calibri"/>
              </w:rPr>
            </w:pP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Lodging</w:t>
            </w:r>
          </w:p>
        </w:tc>
        <w:tc>
          <w:tcPr>
            <w:tcW w:w="2394" w:type="dxa"/>
            <w:tcBorders>
              <w:top w:val="single" w:color="D9D9D9" w:sz="2" w:space="0"/>
              <w:bottom w:val="single" w:color="D9D9D9" w:sz="2" w:space="0"/>
            </w:tcBorders>
          </w:tcPr>
          <w:p w:rsidR="00C31389" w:rsidRDefault="00561FBD" w14:paraId="7844115E" w14:textId="77777777">
            <w:pPr>
              <w:pStyle w:val="TableParagraph"/>
              <w:ind w:left="204" w:right="241"/>
              <w:jc w:val="center"/>
              <w:rPr>
                <w:rFonts w:ascii="Calibri"/>
              </w:rPr>
            </w:pPr>
            <w:r>
              <w:rPr>
                <w:rFonts w:ascii="Calibri"/>
                <w:spacing w:val="-5"/>
              </w:rPr>
              <w:t>30%</w:t>
            </w:r>
          </w:p>
        </w:tc>
      </w:tr>
      <w:tr w:rsidR="00C31389" w14:paraId="652A580E" w14:textId="77777777">
        <w:trPr>
          <w:trHeight w:val="348"/>
        </w:trPr>
        <w:tc>
          <w:tcPr>
            <w:tcW w:w="4811" w:type="dxa"/>
            <w:tcBorders>
              <w:top w:val="single" w:color="D9D9D9" w:sz="2" w:space="0"/>
              <w:bottom w:val="single" w:color="D9D9D9" w:sz="2" w:space="0"/>
            </w:tcBorders>
          </w:tcPr>
          <w:p w:rsidR="00C31389" w:rsidRDefault="00561FBD" w14:paraId="556A6E7E" w14:textId="77777777">
            <w:pPr>
              <w:pStyle w:val="TableParagraph"/>
              <w:spacing w:before="41"/>
              <w:ind w:left="2369"/>
              <w:rPr>
                <w:rFonts w:ascii="Calibri"/>
              </w:rPr>
            </w:pPr>
            <w:r>
              <w:rPr>
                <w:rFonts w:ascii="Calibri"/>
              </w:rPr>
              <w:t>Com</w:t>
            </w:r>
            <w:r>
              <w:rPr>
                <w:rFonts w:ascii="Calibri"/>
                <w:spacing w:val="-5"/>
              </w:rPr>
              <w:t xml:space="preserve"> </w:t>
            </w:r>
            <w:r>
              <w:rPr>
                <w:rFonts w:ascii="Calibri"/>
              </w:rPr>
              <w:t>-</w:t>
            </w:r>
            <w:r>
              <w:rPr>
                <w:rFonts w:ascii="Calibri"/>
                <w:spacing w:val="-5"/>
              </w:rPr>
              <w:t xml:space="preserve"> </w:t>
            </w:r>
            <w:r>
              <w:rPr>
                <w:rFonts w:ascii="Calibri"/>
              </w:rPr>
              <w:t>Office</w:t>
            </w:r>
            <w:r>
              <w:rPr>
                <w:rFonts w:ascii="Calibri"/>
                <w:spacing w:val="-5"/>
              </w:rPr>
              <w:t xml:space="preserve"> </w:t>
            </w:r>
            <w:r>
              <w:rPr>
                <w:rFonts w:ascii="Calibri"/>
                <w:spacing w:val="-2"/>
              </w:rPr>
              <w:t>(Large)</w:t>
            </w:r>
          </w:p>
        </w:tc>
        <w:tc>
          <w:tcPr>
            <w:tcW w:w="2394" w:type="dxa"/>
            <w:tcBorders>
              <w:top w:val="single" w:color="D9D9D9" w:sz="2" w:space="0"/>
              <w:bottom w:val="single" w:color="D9D9D9" w:sz="2" w:space="0"/>
            </w:tcBorders>
          </w:tcPr>
          <w:p w:rsidR="00C31389" w:rsidRDefault="00561FBD" w14:paraId="6F1DCC0F" w14:textId="77777777">
            <w:pPr>
              <w:pStyle w:val="TableParagraph"/>
              <w:spacing w:before="41"/>
              <w:ind w:left="204" w:right="242"/>
              <w:jc w:val="center"/>
              <w:rPr>
                <w:rFonts w:ascii="Calibri"/>
              </w:rPr>
            </w:pPr>
            <w:r>
              <w:rPr>
                <w:rFonts w:ascii="Calibri"/>
                <w:spacing w:val="-5"/>
              </w:rPr>
              <w:t>15%</w:t>
            </w:r>
          </w:p>
        </w:tc>
      </w:tr>
      <w:tr w:rsidR="00C31389" w14:paraId="1637DE06" w14:textId="77777777">
        <w:trPr>
          <w:trHeight w:val="349"/>
        </w:trPr>
        <w:tc>
          <w:tcPr>
            <w:tcW w:w="4811" w:type="dxa"/>
            <w:tcBorders>
              <w:top w:val="single" w:color="D9D9D9" w:sz="2" w:space="0"/>
              <w:bottom w:val="single" w:color="D9D9D9" w:sz="2" w:space="0"/>
            </w:tcBorders>
          </w:tcPr>
          <w:p w:rsidR="00C31389" w:rsidRDefault="00561FBD" w14:paraId="2480EDA0" w14:textId="77777777">
            <w:pPr>
              <w:pStyle w:val="TableParagraph"/>
              <w:ind w:left="2369"/>
              <w:rPr>
                <w:rFonts w:ascii="Calibri"/>
              </w:rPr>
            </w:pPr>
            <w:r>
              <w:rPr>
                <w:rFonts w:ascii="Calibri"/>
              </w:rPr>
              <w:t>Com</w:t>
            </w:r>
            <w:r>
              <w:rPr>
                <w:rFonts w:ascii="Calibri"/>
                <w:spacing w:val="-5"/>
              </w:rPr>
              <w:t xml:space="preserve"> </w:t>
            </w:r>
            <w:r>
              <w:rPr>
                <w:rFonts w:ascii="Calibri"/>
              </w:rPr>
              <w:t>-</w:t>
            </w:r>
            <w:r>
              <w:rPr>
                <w:rFonts w:ascii="Calibri"/>
                <w:spacing w:val="-5"/>
              </w:rPr>
              <w:t xml:space="preserve"> </w:t>
            </w:r>
            <w:r>
              <w:rPr>
                <w:rFonts w:ascii="Calibri"/>
              </w:rPr>
              <w:t>Office</w:t>
            </w:r>
            <w:r>
              <w:rPr>
                <w:rFonts w:ascii="Calibri"/>
                <w:spacing w:val="-5"/>
              </w:rPr>
              <w:t xml:space="preserve"> </w:t>
            </w:r>
            <w:r>
              <w:rPr>
                <w:rFonts w:ascii="Calibri"/>
                <w:spacing w:val="-2"/>
              </w:rPr>
              <w:t>(Small)</w:t>
            </w:r>
          </w:p>
        </w:tc>
        <w:tc>
          <w:tcPr>
            <w:tcW w:w="2394" w:type="dxa"/>
            <w:tcBorders>
              <w:top w:val="single" w:color="D9D9D9" w:sz="2" w:space="0"/>
              <w:bottom w:val="single" w:color="D9D9D9" w:sz="2" w:space="0"/>
            </w:tcBorders>
          </w:tcPr>
          <w:p w:rsidR="00C31389" w:rsidRDefault="00561FBD" w14:paraId="0128D31E" w14:textId="77777777">
            <w:pPr>
              <w:pStyle w:val="TableParagraph"/>
              <w:ind w:left="204" w:right="241"/>
              <w:jc w:val="center"/>
              <w:rPr>
                <w:rFonts w:ascii="Calibri"/>
              </w:rPr>
            </w:pPr>
            <w:r>
              <w:rPr>
                <w:rFonts w:ascii="Calibri"/>
                <w:spacing w:val="-5"/>
              </w:rPr>
              <w:t>15%</w:t>
            </w:r>
          </w:p>
        </w:tc>
      </w:tr>
      <w:tr w:rsidR="00C31389" w14:paraId="5F6C234E" w14:textId="77777777">
        <w:trPr>
          <w:trHeight w:val="347"/>
        </w:trPr>
        <w:tc>
          <w:tcPr>
            <w:tcW w:w="4811" w:type="dxa"/>
            <w:tcBorders>
              <w:top w:val="single" w:color="D9D9D9" w:sz="2" w:space="0"/>
              <w:bottom w:val="single" w:color="D9D9D9" w:sz="2" w:space="0"/>
            </w:tcBorders>
          </w:tcPr>
          <w:p w:rsidR="00C31389" w:rsidRDefault="00561FBD" w14:paraId="784D4187" w14:textId="77777777">
            <w:pPr>
              <w:pStyle w:val="TableParagraph"/>
              <w:ind w:left="2369"/>
              <w:rPr>
                <w:rFonts w:ascii="Calibri"/>
              </w:rPr>
            </w:pP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Other</w:t>
            </w:r>
          </w:p>
        </w:tc>
        <w:tc>
          <w:tcPr>
            <w:tcW w:w="2394" w:type="dxa"/>
            <w:tcBorders>
              <w:top w:val="single" w:color="D9D9D9" w:sz="2" w:space="0"/>
              <w:bottom w:val="single" w:color="D9D9D9" w:sz="2" w:space="0"/>
            </w:tcBorders>
          </w:tcPr>
          <w:p w:rsidR="00C31389" w:rsidRDefault="00561FBD" w14:paraId="46D7C9F9" w14:textId="77777777">
            <w:pPr>
              <w:pStyle w:val="TableParagraph"/>
              <w:ind w:left="204" w:right="242"/>
              <w:jc w:val="center"/>
              <w:rPr>
                <w:rFonts w:ascii="Calibri"/>
              </w:rPr>
            </w:pPr>
            <w:r>
              <w:rPr>
                <w:rFonts w:ascii="Calibri"/>
                <w:spacing w:val="-5"/>
              </w:rPr>
              <w:t>30%</w:t>
            </w:r>
          </w:p>
        </w:tc>
      </w:tr>
      <w:tr w:rsidR="00C31389" w14:paraId="342F67A5" w14:textId="77777777">
        <w:trPr>
          <w:trHeight w:val="349"/>
        </w:trPr>
        <w:tc>
          <w:tcPr>
            <w:tcW w:w="4811" w:type="dxa"/>
            <w:tcBorders>
              <w:top w:val="single" w:color="D9D9D9" w:sz="2" w:space="0"/>
              <w:bottom w:val="single" w:color="D9D9D9" w:sz="2" w:space="0"/>
            </w:tcBorders>
          </w:tcPr>
          <w:p w:rsidR="00C31389" w:rsidRDefault="00561FBD" w14:paraId="52935CF9" w14:textId="77777777">
            <w:pPr>
              <w:pStyle w:val="TableParagraph"/>
              <w:ind w:left="2369"/>
              <w:rPr>
                <w:rFonts w:ascii="Calibri"/>
              </w:rPr>
            </w:pPr>
            <w:r>
              <w:rPr>
                <w:rFonts w:ascii="Calibri"/>
              </w:rPr>
              <w:t>Com</w:t>
            </w:r>
            <w:r>
              <w:rPr>
                <w:rFonts w:ascii="Calibri"/>
                <w:spacing w:val="-6"/>
              </w:rPr>
              <w:t xml:space="preserve"> </w:t>
            </w:r>
            <w:r>
              <w:rPr>
                <w:rFonts w:ascii="Calibri"/>
              </w:rPr>
              <w:t>-</w:t>
            </w:r>
            <w:r>
              <w:rPr>
                <w:rFonts w:ascii="Calibri"/>
                <w:spacing w:val="-5"/>
              </w:rPr>
              <w:t xml:space="preserve"> </w:t>
            </w:r>
            <w:r>
              <w:rPr>
                <w:rFonts w:ascii="Calibri"/>
              </w:rPr>
              <w:t>Refrig.</w:t>
            </w:r>
            <w:r>
              <w:rPr>
                <w:rFonts w:ascii="Calibri"/>
                <w:spacing w:val="-3"/>
              </w:rPr>
              <w:t xml:space="preserve"> </w:t>
            </w:r>
            <w:r>
              <w:rPr>
                <w:rFonts w:ascii="Calibri"/>
                <w:spacing w:val="-2"/>
              </w:rPr>
              <w:t>Warehouse</w:t>
            </w:r>
          </w:p>
        </w:tc>
        <w:tc>
          <w:tcPr>
            <w:tcW w:w="2394" w:type="dxa"/>
            <w:tcBorders>
              <w:top w:val="single" w:color="D9D9D9" w:sz="2" w:space="0"/>
              <w:bottom w:val="single" w:color="D9D9D9" w:sz="2" w:space="0"/>
            </w:tcBorders>
          </w:tcPr>
          <w:p w:rsidR="00C31389" w:rsidRDefault="00561FBD" w14:paraId="7A629D09" w14:textId="77777777">
            <w:pPr>
              <w:pStyle w:val="TableParagraph"/>
              <w:ind w:left="204" w:right="241"/>
              <w:jc w:val="center"/>
              <w:rPr>
                <w:rFonts w:ascii="Calibri"/>
              </w:rPr>
            </w:pPr>
            <w:r>
              <w:rPr>
                <w:rFonts w:ascii="Calibri"/>
                <w:spacing w:val="-5"/>
              </w:rPr>
              <w:t>30%</w:t>
            </w:r>
          </w:p>
        </w:tc>
      </w:tr>
      <w:tr w:rsidR="00C31389" w14:paraId="19554DF5" w14:textId="77777777">
        <w:trPr>
          <w:trHeight w:val="554"/>
        </w:trPr>
        <w:tc>
          <w:tcPr>
            <w:tcW w:w="4811" w:type="dxa"/>
            <w:tcBorders>
              <w:top w:val="single" w:color="D9D9D9" w:sz="2" w:space="0"/>
            </w:tcBorders>
          </w:tcPr>
          <w:p w:rsidR="00C31389" w:rsidRDefault="00561FBD" w14:paraId="19A7E4B5" w14:textId="77777777">
            <w:pPr>
              <w:pStyle w:val="TableParagraph"/>
              <w:ind w:left="2369"/>
              <w:rPr>
                <w:rFonts w:ascii="Calibri"/>
              </w:rPr>
            </w:pPr>
            <w:r>
              <w:rPr>
                <w:noProof/>
              </w:rPr>
              <mc:AlternateContent>
                <mc:Choice Requires="wpg">
                  <w:drawing>
                    <wp:anchor distT="0" distB="0" distL="0" distR="0" simplePos="0" relativeHeight="465591296" behindDoc="1" locked="0" layoutInCell="1" allowOverlap="1" wp14:editId="662DB977" wp14:anchorId="2A5DA91E">
                      <wp:simplePos x="0" y="0"/>
                      <wp:positionH relativeFrom="column">
                        <wp:posOffset>1423161</wp:posOffset>
                      </wp:positionH>
                      <wp:positionV relativeFrom="paragraph">
                        <wp:posOffset>221661</wp:posOffset>
                      </wp:positionV>
                      <wp:extent cx="3152775" cy="12700"/>
                      <wp:effectExtent l="0" t="0" r="0" b="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2775" cy="12700"/>
                                <a:chOff x="0" y="0"/>
                                <a:chExt cx="3152775" cy="12700"/>
                              </a:xfrm>
                            </wpg:grpSpPr>
                            <wps:wsp>
                              <wps:cNvPr id="1071" name="Graphic 1071"/>
                              <wps:cNvSpPr/>
                              <wps:spPr>
                                <a:xfrm>
                                  <a:off x="0" y="0"/>
                                  <a:ext cx="3152775" cy="12700"/>
                                </a:xfrm>
                                <a:custGeom>
                                  <a:avLst/>
                                  <a:gdLst/>
                                  <a:ahLst/>
                                  <a:cxnLst/>
                                  <a:rect l="l" t="t" r="r" b="b"/>
                                  <a:pathLst>
                                    <a:path w="3152775" h="12700">
                                      <a:moveTo>
                                        <a:pt x="3152394" y="0"/>
                                      </a:moveTo>
                                      <a:lnTo>
                                        <a:pt x="1610106" y="0"/>
                                      </a:lnTo>
                                      <a:lnTo>
                                        <a:pt x="1607058" y="0"/>
                                      </a:lnTo>
                                      <a:lnTo>
                                        <a:pt x="1597914" y="0"/>
                                      </a:lnTo>
                                      <a:lnTo>
                                        <a:pt x="0" y="0"/>
                                      </a:lnTo>
                                      <a:lnTo>
                                        <a:pt x="0" y="12192"/>
                                      </a:lnTo>
                                      <a:lnTo>
                                        <a:pt x="1597914" y="12192"/>
                                      </a:lnTo>
                                      <a:lnTo>
                                        <a:pt x="1607058" y="12192"/>
                                      </a:lnTo>
                                      <a:lnTo>
                                        <a:pt x="1610106" y="12192"/>
                                      </a:lnTo>
                                      <a:lnTo>
                                        <a:pt x="3152394" y="12192"/>
                                      </a:lnTo>
                                      <a:lnTo>
                                        <a:pt x="31523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070" style="position:absolute;margin-left:112.05pt;margin-top:17.45pt;width:248.25pt;height:1pt;z-index:-37725184;mso-wrap-distance-left:0;mso-wrap-distance-right:0" coordsize="31527,127" o:spid="_x0000_s1026" w14:anchorId="39319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">
                      <v:shape id="Graphic 1071" style="position:absolute;width:31527;height:127;visibility:visible;mso-wrap-style:square;v-text-anchor:top" coordsize="3152775,12700" o:spid="_x0000_s1027" fillcolor="black" stroked="f" path="m3152394,l1610106,r-3048,l1597914,,,,,12192r1597914,l1607058,12192r3048,l3152394,12192r,-12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">
                        <v:path arrowok="t"/>
                      </v:shape>
                    </v:group>
                  </w:pict>
                </mc:Fallback>
              </mc:AlternateContent>
            </w: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Restaurant</w:t>
            </w:r>
          </w:p>
        </w:tc>
        <w:tc>
          <w:tcPr>
            <w:tcW w:w="2394" w:type="dxa"/>
            <w:tcBorders>
              <w:top w:val="single" w:color="D9D9D9" w:sz="2" w:space="0"/>
            </w:tcBorders>
          </w:tcPr>
          <w:p w:rsidR="00C31389" w:rsidRDefault="00561FBD" w14:paraId="58FDBD55" w14:textId="77777777">
            <w:pPr>
              <w:pStyle w:val="TableParagraph"/>
              <w:ind w:left="204" w:right="241"/>
              <w:jc w:val="center"/>
              <w:rPr>
                <w:rFonts w:ascii="Calibri"/>
              </w:rPr>
            </w:pPr>
            <w:r>
              <w:rPr>
                <w:rFonts w:ascii="Calibri"/>
                <w:spacing w:val="-5"/>
              </w:rPr>
              <w:t>45%</w:t>
            </w:r>
          </w:p>
        </w:tc>
      </w:tr>
    </w:tbl>
    <w:p w:rsidR="00C31389" w:rsidRDefault="00561FBD" w14:paraId="24590392" w14:textId="77777777">
      <w:pPr>
        <w:spacing w:before="73"/>
        <w:ind w:left="220"/>
        <w:rPr>
          <w:sz w:val="18"/>
        </w:rPr>
      </w:pPr>
      <w:bookmarkStart w:name="_bookmark551" w:id="726"/>
      <w:bookmarkEnd w:id="726"/>
      <w:r>
        <w:rPr>
          <w:spacing w:val="-2"/>
          <w:position w:val="6"/>
          <w:sz w:val="12"/>
        </w:rPr>
        <w:t>199</w:t>
      </w:r>
      <w:r>
        <w:rPr>
          <w:spacing w:val="51"/>
          <w:position w:val="6"/>
          <w:sz w:val="12"/>
        </w:rPr>
        <w:t xml:space="preserve">  </w:t>
      </w:r>
      <w:hyperlink r:id="rId348">
        <w:r>
          <w:rPr>
            <w:color w:val="68942C"/>
            <w:spacing w:val="-2"/>
            <w:sz w:val="18"/>
            <w:u w:val="single" w:color="68942C"/>
          </w:rPr>
          <w:t>https://www.energy.gov/eere/buildings/about-commercial-buildings-integration-program</w:t>
        </w:r>
      </w:hyperlink>
    </w:p>
    <w:p w:rsidR="00C31389" w:rsidRDefault="00C31389" w14:paraId="05EAC0CC" w14:textId="77777777">
      <w:pPr>
        <w:rPr>
          <w:sz w:val="18"/>
        </w:rPr>
        <w:sectPr w:rsidR="00C31389">
          <w:headerReference w:type="default" r:id="rId349"/>
          <w:footerReference w:type="default" r:id="rId350"/>
          <w:pgSz w:w="12240" w:h="15840"/>
          <w:pgMar w:top="1660" w:right="1240" w:bottom="1120" w:left="1220" w:header="397" w:footer="936" w:gutter="0"/>
          <w:cols w:space="720"/>
        </w:sectPr>
      </w:pPr>
    </w:p>
    <w:p w:rsidR="00C31389" w:rsidRDefault="00C31389" w14:paraId="19F313E6" w14:textId="77777777">
      <w:pPr>
        <w:pStyle w:val="BodyText"/>
        <w:spacing w:before="2"/>
        <w:rPr>
          <w:sz w:val="21"/>
        </w:rPr>
      </w:pPr>
    </w:p>
    <w:tbl>
      <w:tblPr>
        <w:tblW w:w="0" w:type="auto"/>
        <w:tblInd w:w="2425" w:type="dxa"/>
        <w:tblLayout w:type="fixed"/>
        <w:tblCellMar>
          <w:left w:w="0" w:type="dxa"/>
          <w:right w:w="0" w:type="dxa"/>
        </w:tblCellMar>
        <w:tblLook w:val="01E0" w:firstRow="1" w:lastRow="1" w:firstColumn="1" w:lastColumn="1" w:noHBand="0" w:noVBand="0"/>
      </w:tblPr>
      <w:tblGrid>
        <w:gridCol w:w="2247"/>
        <w:gridCol w:w="2710"/>
      </w:tblGrid>
      <w:tr w:rsidR="00C31389" w14:paraId="16BBE7A4" w14:textId="77777777">
        <w:trPr>
          <w:trHeight w:val="780"/>
        </w:trPr>
        <w:tc>
          <w:tcPr>
            <w:tcW w:w="2247" w:type="dxa"/>
            <w:shd w:val="clear" w:color="auto" w:fill="92D400"/>
          </w:tcPr>
          <w:p w:rsidR="00C31389" w:rsidRDefault="00C31389" w14:paraId="1D4F2477" w14:textId="77777777">
            <w:pPr>
              <w:pStyle w:val="TableParagraph"/>
              <w:spacing w:before="6"/>
              <w:rPr>
                <w:sz w:val="23"/>
              </w:rPr>
            </w:pPr>
          </w:p>
          <w:p w:rsidR="00C31389" w:rsidRDefault="00561FBD" w14:paraId="0036AEC5" w14:textId="77777777">
            <w:pPr>
              <w:pStyle w:val="TableParagraph"/>
              <w:spacing w:before="0"/>
              <w:ind w:left="121"/>
              <w:rPr>
                <w:b/>
                <w:sz w:val="20"/>
              </w:rPr>
            </w:pPr>
            <w:r>
              <w:rPr>
                <w:b/>
                <w:sz w:val="20"/>
              </w:rPr>
              <w:t>Building</w:t>
            </w:r>
            <w:r>
              <w:rPr>
                <w:b/>
                <w:spacing w:val="-5"/>
                <w:sz w:val="20"/>
              </w:rPr>
              <w:t xml:space="preserve"> </w:t>
            </w:r>
            <w:r>
              <w:rPr>
                <w:b/>
                <w:spacing w:val="-2"/>
                <w:sz w:val="20"/>
              </w:rPr>
              <w:t>Stock</w:t>
            </w:r>
          </w:p>
        </w:tc>
        <w:tc>
          <w:tcPr>
            <w:tcW w:w="2710" w:type="dxa"/>
            <w:shd w:val="clear" w:color="auto" w:fill="92D400"/>
          </w:tcPr>
          <w:p w:rsidR="00C31389" w:rsidRDefault="00561FBD" w14:paraId="4CDB5E42" w14:textId="77777777">
            <w:pPr>
              <w:pStyle w:val="TableParagraph"/>
              <w:ind w:left="520" w:right="242"/>
              <w:jc w:val="center"/>
              <w:rPr>
                <w:b/>
                <w:sz w:val="20"/>
              </w:rPr>
            </w:pPr>
            <w:r>
              <w:rPr>
                <w:b/>
                <w:sz w:val="20"/>
              </w:rPr>
              <w:t>Percent</w:t>
            </w:r>
            <w:r>
              <w:rPr>
                <w:b/>
                <w:spacing w:val="-14"/>
                <w:sz w:val="20"/>
              </w:rPr>
              <w:t xml:space="preserve"> </w:t>
            </w:r>
            <w:r>
              <w:rPr>
                <w:b/>
                <w:sz w:val="20"/>
              </w:rPr>
              <w:t>of</w:t>
            </w:r>
            <w:r>
              <w:rPr>
                <w:b/>
                <w:spacing w:val="-14"/>
                <w:sz w:val="20"/>
              </w:rPr>
              <w:t xml:space="preserve"> </w:t>
            </w:r>
            <w:r>
              <w:rPr>
                <w:b/>
                <w:sz w:val="20"/>
              </w:rPr>
              <w:t>Buildings Achieving &gt;25% Energy Reduction</w:t>
            </w:r>
          </w:p>
        </w:tc>
      </w:tr>
      <w:tr w:rsidR="00C31389" w14:paraId="001A5C09" w14:textId="77777777">
        <w:trPr>
          <w:trHeight w:val="343"/>
        </w:trPr>
        <w:tc>
          <w:tcPr>
            <w:tcW w:w="2247" w:type="dxa"/>
            <w:tcBorders>
              <w:bottom w:val="single" w:color="D9D9D9" w:sz="2" w:space="0"/>
            </w:tcBorders>
          </w:tcPr>
          <w:p w:rsidR="00C31389" w:rsidRDefault="00561FBD" w14:paraId="41B24263" w14:textId="77777777">
            <w:pPr>
              <w:pStyle w:val="TableParagraph"/>
              <w:spacing w:before="35"/>
              <w:ind w:left="121"/>
              <w:rPr>
                <w:rFonts w:ascii="Calibri"/>
              </w:rPr>
            </w:pP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Retail</w:t>
            </w:r>
          </w:p>
        </w:tc>
        <w:tc>
          <w:tcPr>
            <w:tcW w:w="2710" w:type="dxa"/>
            <w:tcBorders>
              <w:bottom w:val="single" w:color="D9D9D9" w:sz="2" w:space="0"/>
            </w:tcBorders>
          </w:tcPr>
          <w:p w:rsidR="00C31389" w:rsidRDefault="00561FBD" w14:paraId="6EA9B890" w14:textId="77777777">
            <w:pPr>
              <w:pStyle w:val="TableParagraph"/>
              <w:spacing w:before="35"/>
              <w:ind w:right="1024"/>
              <w:jc w:val="right"/>
              <w:rPr>
                <w:rFonts w:ascii="Calibri"/>
              </w:rPr>
            </w:pPr>
            <w:r>
              <w:rPr>
                <w:rFonts w:ascii="Calibri"/>
                <w:spacing w:val="-5"/>
              </w:rPr>
              <w:t>40%</w:t>
            </w:r>
          </w:p>
        </w:tc>
      </w:tr>
      <w:tr w:rsidR="00C31389" w14:paraId="34F605D4" w14:textId="77777777">
        <w:trPr>
          <w:trHeight w:val="348"/>
        </w:trPr>
        <w:tc>
          <w:tcPr>
            <w:tcW w:w="2247" w:type="dxa"/>
            <w:tcBorders>
              <w:top w:val="single" w:color="D9D9D9" w:sz="2" w:space="0"/>
              <w:bottom w:val="single" w:color="D9D9D9" w:sz="2" w:space="0"/>
            </w:tcBorders>
          </w:tcPr>
          <w:p w:rsidR="00C31389" w:rsidRDefault="00561FBD" w14:paraId="0E497228" w14:textId="77777777">
            <w:pPr>
              <w:pStyle w:val="TableParagraph"/>
              <w:ind w:left="121"/>
              <w:rPr>
                <w:rFonts w:ascii="Calibri"/>
              </w:rPr>
            </w:pP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School</w:t>
            </w:r>
          </w:p>
        </w:tc>
        <w:tc>
          <w:tcPr>
            <w:tcW w:w="2710" w:type="dxa"/>
            <w:tcBorders>
              <w:top w:val="single" w:color="D9D9D9" w:sz="2" w:space="0"/>
              <w:bottom w:val="single" w:color="D9D9D9" w:sz="2" w:space="0"/>
            </w:tcBorders>
          </w:tcPr>
          <w:p w:rsidR="00C31389" w:rsidRDefault="00561FBD" w14:paraId="32AD1471" w14:textId="77777777">
            <w:pPr>
              <w:pStyle w:val="TableParagraph"/>
              <w:ind w:right="1025"/>
              <w:jc w:val="right"/>
              <w:rPr>
                <w:rFonts w:ascii="Calibri"/>
              </w:rPr>
            </w:pPr>
            <w:r>
              <w:rPr>
                <w:rFonts w:ascii="Calibri"/>
                <w:spacing w:val="-5"/>
              </w:rPr>
              <w:t>15%</w:t>
            </w:r>
          </w:p>
        </w:tc>
      </w:tr>
      <w:tr w:rsidR="00C31389" w14:paraId="2DB2AF6B" w14:textId="77777777">
        <w:trPr>
          <w:trHeight w:val="348"/>
        </w:trPr>
        <w:tc>
          <w:tcPr>
            <w:tcW w:w="2247" w:type="dxa"/>
            <w:tcBorders>
              <w:top w:val="single" w:color="D9D9D9" w:sz="2" w:space="0"/>
              <w:bottom w:val="single" w:color="000000" w:sz="8" w:space="0"/>
            </w:tcBorders>
          </w:tcPr>
          <w:p w:rsidR="00C31389" w:rsidRDefault="00561FBD" w14:paraId="5D4A6CB5" w14:textId="77777777">
            <w:pPr>
              <w:pStyle w:val="TableParagraph"/>
              <w:ind w:left="121"/>
              <w:rPr>
                <w:rFonts w:ascii="Calibri"/>
              </w:rPr>
            </w:pPr>
            <w:r>
              <w:rPr>
                <w:rFonts w:ascii="Calibri"/>
              </w:rPr>
              <w:t>Com</w:t>
            </w:r>
            <w:r>
              <w:rPr>
                <w:rFonts w:ascii="Calibri"/>
                <w:spacing w:val="-4"/>
              </w:rPr>
              <w:t xml:space="preserve"> </w:t>
            </w:r>
            <w:r>
              <w:rPr>
                <w:rFonts w:ascii="Calibri"/>
              </w:rPr>
              <w:t>-</w:t>
            </w:r>
            <w:r>
              <w:rPr>
                <w:rFonts w:ascii="Calibri"/>
                <w:spacing w:val="-3"/>
              </w:rPr>
              <w:t xml:space="preserve"> </w:t>
            </w:r>
            <w:r>
              <w:rPr>
                <w:rFonts w:ascii="Calibri"/>
                <w:spacing w:val="-2"/>
              </w:rPr>
              <w:t>Warehouse</w:t>
            </w:r>
          </w:p>
        </w:tc>
        <w:tc>
          <w:tcPr>
            <w:tcW w:w="2710" w:type="dxa"/>
            <w:tcBorders>
              <w:top w:val="single" w:color="D9D9D9" w:sz="2" w:space="0"/>
              <w:bottom w:val="single" w:color="000000" w:sz="8" w:space="0"/>
            </w:tcBorders>
          </w:tcPr>
          <w:p w:rsidR="00C31389" w:rsidRDefault="00561FBD" w14:paraId="0B393BAA" w14:textId="77777777">
            <w:pPr>
              <w:pStyle w:val="TableParagraph"/>
              <w:ind w:right="1024"/>
              <w:jc w:val="right"/>
              <w:rPr>
                <w:rFonts w:ascii="Calibri"/>
              </w:rPr>
            </w:pPr>
            <w:r>
              <w:rPr>
                <w:rFonts w:ascii="Calibri"/>
                <w:spacing w:val="-5"/>
              </w:rPr>
              <w:t>30%</w:t>
            </w:r>
          </w:p>
        </w:tc>
      </w:tr>
    </w:tbl>
    <w:p w:rsidR="00C31389" w:rsidRDefault="00561FBD" w14:paraId="3B005A5D" w14:textId="77777777">
      <w:pPr>
        <w:spacing w:before="71"/>
        <w:ind w:left="2380"/>
        <w:rPr>
          <w:i/>
          <w:sz w:val="18"/>
        </w:rPr>
      </w:pPr>
      <w:r>
        <w:rPr>
          <w:i/>
          <w:sz w:val="18"/>
        </w:rPr>
        <w:t>Source:</w:t>
      </w:r>
      <w:r>
        <w:rPr>
          <w:i/>
          <w:spacing w:val="-4"/>
          <w:sz w:val="18"/>
        </w:rPr>
        <w:t xml:space="preserve"> </w:t>
      </w:r>
      <w:r>
        <w:rPr>
          <w:i/>
          <w:spacing w:val="-2"/>
          <w:sz w:val="18"/>
        </w:rPr>
        <w:t>Guidehouse</w:t>
      </w:r>
    </w:p>
    <w:p w:rsidR="00C31389" w:rsidRDefault="00C31389" w14:paraId="179767FF" w14:textId="77777777">
      <w:pPr>
        <w:pStyle w:val="BodyText"/>
        <w:spacing w:before="10"/>
        <w:rPr>
          <w:i/>
          <w:sz w:val="20"/>
        </w:rPr>
      </w:pPr>
    </w:p>
    <w:p w:rsidR="00C31389" w:rsidRDefault="00561FBD" w14:paraId="267D5CAF" w14:textId="77777777">
      <w:pPr>
        <w:pStyle w:val="ListParagraph"/>
        <w:numPr>
          <w:ilvl w:val="2"/>
          <w:numId w:val="2"/>
        </w:numPr>
        <w:tabs>
          <w:tab w:val="left" w:pos="625"/>
        </w:tabs>
        <w:ind w:left="625" w:right="299"/>
      </w:pPr>
      <w:r>
        <w:t>Step</w:t>
      </w:r>
      <w:r>
        <w:rPr>
          <w:spacing w:val="-3"/>
        </w:rPr>
        <w:t xml:space="preserve"> </w:t>
      </w:r>
      <w:r>
        <w:t>2</w:t>
      </w:r>
      <w:r>
        <w:rPr>
          <w:spacing w:val="-3"/>
        </w:rPr>
        <w:t xml:space="preserve"> </w:t>
      </w:r>
      <w:r>
        <w:t>–</w:t>
      </w:r>
      <w:r>
        <w:rPr>
          <w:spacing w:val="-3"/>
        </w:rPr>
        <w:t xml:space="preserve"> </w:t>
      </w:r>
      <w:r>
        <w:t>Generate</w:t>
      </w:r>
      <w:r>
        <w:rPr>
          <w:spacing w:val="-3"/>
        </w:rPr>
        <w:t xml:space="preserve"> </w:t>
      </w:r>
      <w:r>
        <w:t>an</w:t>
      </w:r>
      <w:r>
        <w:rPr>
          <w:spacing w:val="-3"/>
        </w:rPr>
        <w:t xml:space="preserve"> </w:t>
      </w:r>
      <w:r>
        <w:t>estimate</w:t>
      </w:r>
      <w:r>
        <w:rPr>
          <w:spacing w:val="-3"/>
        </w:rPr>
        <w:t xml:space="preserve"> </w:t>
      </w:r>
      <w:r>
        <w:t>for</w:t>
      </w:r>
      <w:r>
        <w:rPr>
          <w:spacing w:val="-3"/>
        </w:rPr>
        <w:t xml:space="preserve"> </w:t>
      </w:r>
      <w:r>
        <w:t>the</w:t>
      </w:r>
      <w:r>
        <w:rPr>
          <w:spacing w:val="-3"/>
        </w:rPr>
        <w:t xml:space="preserve"> </w:t>
      </w:r>
      <w:r>
        <w:rPr>
          <w:b/>
        </w:rPr>
        <w:t>median</w:t>
      </w:r>
      <w:r>
        <w:rPr>
          <w:b/>
          <w:spacing w:val="-3"/>
        </w:rPr>
        <w:t xml:space="preserve"> </w:t>
      </w:r>
      <w:r>
        <w:rPr>
          <w:b/>
        </w:rPr>
        <w:t>savings</w:t>
      </w:r>
      <w:r>
        <w:rPr>
          <w:b/>
          <w:spacing w:val="-3"/>
        </w:rPr>
        <w:t xml:space="preserve"> </w:t>
      </w:r>
      <w:r>
        <w:rPr>
          <w:b/>
        </w:rPr>
        <w:t>potential</w:t>
      </w:r>
      <w:r>
        <w:rPr>
          <w:b/>
          <w:spacing w:val="-2"/>
        </w:rPr>
        <w:t xml:space="preserve"> </w:t>
      </w:r>
      <w:r>
        <w:t>(value</w:t>
      </w:r>
      <w:r>
        <w:rPr>
          <w:spacing w:val="-4"/>
        </w:rPr>
        <w:t xml:space="preserve"> </w:t>
      </w:r>
      <w:r>
        <w:t>between</w:t>
      </w:r>
      <w:r>
        <w:rPr>
          <w:spacing w:val="-3"/>
        </w:rPr>
        <w:t xml:space="preserve"> </w:t>
      </w:r>
      <w:r>
        <w:t>25%</w:t>
      </w:r>
      <w:r>
        <w:rPr>
          <w:spacing w:val="-3"/>
        </w:rPr>
        <w:t xml:space="preserve"> </w:t>
      </w:r>
      <w:r>
        <w:t>and 50% of baseline energy consumption) of the building stock identified in Step 1 achievable through rebated efficiency measures analyzed in the 2023 Study.</w:t>
      </w:r>
    </w:p>
    <w:p w:rsidR="00C31389" w:rsidRDefault="00561FBD" w14:paraId="32595E25" w14:textId="77777777">
      <w:pPr>
        <w:pStyle w:val="ListParagraph"/>
        <w:numPr>
          <w:ilvl w:val="3"/>
          <w:numId w:val="2"/>
        </w:numPr>
        <w:tabs>
          <w:tab w:val="left" w:pos="1345"/>
        </w:tabs>
        <w:spacing w:before="125" w:line="230" w:lineRule="auto"/>
        <w:ind w:left="1345" w:right="225"/>
      </w:pPr>
      <w:r>
        <w:t>Based on the results of p</w:t>
      </w:r>
      <w:r>
        <w:t>ast potential and goals study cycles and the reduction of lighting</w:t>
      </w:r>
      <w:r>
        <w:rPr>
          <w:spacing w:val="-4"/>
        </w:rPr>
        <w:t xml:space="preserve"> </w:t>
      </w:r>
      <w:r>
        <w:t>end</w:t>
      </w:r>
      <w:r>
        <w:rPr>
          <w:spacing w:val="-5"/>
        </w:rPr>
        <w:t xml:space="preserve"> </w:t>
      </w:r>
      <w:r>
        <w:t>use</w:t>
      </w:r>
      <w:r>
        <w:rPr>
          <w:spacing w:val="-4"/>
        </w:rPr>
        <w:t xml:space="preserve"> </w:t>
      </w:r>
      <w:r>
        <w:t>potential,</w:t>
      </w:r>
      <w:r>
        <w:rPr>
          <w:spacing w:val="-4"/>
        </w:rPr>
        <w:t xml:space="preserve"> </w:t>
      </w:r>
      <w:r>
        <w:t>Guidehouse</w:t>
      </w:r>
      <w:r>
        <w:rPr>
          <w:spacing w:val="-4"/>
        </w:rPr>
        <w:t xml:space="preserve"> </w:t>
      </w:r>
      <w:r>
        <w:t>assigned</w:t>
      </w:r>
      <w:r>
        <w:rPr>
          <w:spacing w:val="-5"/>
        </w:rPr>
        <w:t xml:space="preserve"> </w:t>
      </w:r>
      <w:r>
        <w:t>the</w:t>
      </w:r>
      <w:r>
        <w:rPr>
          <w:spacing w:val="-4"/>
        </w:rPr>
        <w:t xml:space="preserve"> </w:t>
      </w:r>
      <w:r>
        <w:t>base</w:t>
      </w:r>
      <w:r>
        <w:rPr>
          <w:spacing w:val="-4"/>
        </w:rPr>
        <w:t xml:space="preserve"> </w:t>
      </w:r>
      <w:r>
        <w:t>threshold</w:t>
      </w:r>
      <w:r>
        <w:rPr>
          <w:spacing w:val="-4"/>
        </w:rPr>
        <w:t xml:space="preserve"> </w:t>
      </w:r>
      <w:r>
        <w:t>value</w:t>
      </w:r>
      <w:r>
        <w:rPr>
          <w:spacing w:val="-2"/>
        </w:rPr>
        <w:t xml:space="preserve"> </w:t>
      </w:r>
      <w:r>
        <w:t>of</w:t>
      </w:r>
      <w:r>
        <w:rPr>
          <w:spacing w:val="-4"/>
        </w:rPr>
        <w:t xml:space="preserve"> </w:t>
      </w:r>
      <w:r>
        <w:t>25%</w:t>
      </w:r>
      <w:r>
        <w:rPr>
          <w:spacing w:val="-4"/>
        </w:rPr>
        <w:t xml:space="preserve"> </w:t>
      </w:r>
      <w:r>
        <w:t>for the conservative IRA Scenarios.</w:t>
      </w:r>
    </w:p>
    <w:p w:rsidR="00C31389" w:rsidRDefault="00561FBD" w14:paraId="297D909A" w14:textId="77777777">
      <w:pPr>
        <w:pStyle w:val="ListParagraph"/>
        <w:numPr>
          <w:ilvl w:val="3"/>
          <w:numId w:val="2"/>
        </w:numPr>
        <w:tabs>
          <w:tab w:val="left" w:pos="1344"/>
        </w:tabs>
        <w:spacing w:before="124"/>
        <w:ind w:left="1344" w:hanging="359"/>
      </w:pPr>
      <w:r>
        <w:t>This</w:t>
      </w:r>
      <w:r>
        <w:rPr>
          <w:spacing w:val="-5"/>
        </w:rPr>
        <w:t xml:space="preserve"> </w:t>
      </w:r>
      <w:r>
        <w:t>value</w:t>
      </w:r>
      <w:r>
        <w:rPr>
          <w:spacing w:val="-6"/>
        </w:rPr>
        <w:t xml:space="preserve"> </w:t>
      </w:r>
      <w:r>
        <w:t>was</w:t>
      </w:r>
      <w:r>
        <w:rPr>
          <w:spacing w:val="-5"/>
        </w:rPr>
        <w:t xml:space="preserve"> </w:t>
      </w:r>
      <w:r>
        <w:t>increased</w:t>
      </w:r>
      <w:r>
        <w:rPr>
          <w:spacing w:val="-5"/>
        </w:rPr>
        <w:t xml:space="preserve"> </w:t>
      </w:r>
      <w:r>
        <w:t>by</w:t>
      </w:r>
      <w:r>
        <w:rPr>
          <w:spacing w:val="-5"/>
        </w:rPr>
        <w:t xml:space="preserve"> </w:t>
      </w:r>
      <w:r>
        <w:t>a</w:t>
      </w:r>
      <w:r>
        <w:rPr>
          <w:spacing w:val="-5"/>
        </w:rPr>
        <w:t xml:space="preserve"> </w:t>
      </w:r>
      <w:r>
        <w:t>factor</w:t>
      </w:r>
      <w:r>
        <w:rPr>
          <w:spacing w:val="-6"/>
        </w:rPr>
        <w:t xml:space="preserve"> </w:t>
      </w:r>
      <w:r>
        <w:t>of</w:t>
      </w:r>
      <w:r>
        <w:rPr>
          <w:spacing w:val="-5"/>
        </w:rPr>
        <w:t xml:space="preserve"> </w:t>
      </w:r>
      <w:r>
        <w:t>1.5</w:t>
      </w:r>
      <w:r>
        <w:rPr>
          <w:spacing w:val="-5"/>
        </w:rPr>
        <w:t xml:space="preserve"> </w:t>
      </w:r>
      <w:r>
        <w:t>for</w:t>
      </w:r>
      <w:r>
        <w:rPr>
          <w:spacing w:val="-5"/>
        </w:rPr>
        <w:t xml:space="preserve"> </w:t>
      </w:r>
      <w:r>
        <w:t>the</w:t>
      </w:r>
      <w:r>
        <w:rPr>
          <w:spacing w:val="-5"/>
        </w:rPr>
        <w:t xml:space="preserve"> </w:t>
      </w:r>
      <w:r>
        <w:t>Aggressive</w:t>
      </w:r>
      <w:r>
        <w:rPr>
          <w:spacing w:val="-5"/>
        </w:rPr>
        <w:t xml:space="preserve"> </w:t>
      </w:r>
      <w:r>
        <w:t>IRA</w:t>
      </w:r>
      <w:r>
        <w:rPr>
          <w:spacing w:val="-4"/>
        </w:rPr>
        <w:t xml:space="preserve"> </w:t>
      </w:r>
      <w:r>
        <w:rPr>
          <w:spacing w:val="-2"/>
        </w:rPr>
        <w:t>Scenario.</w:t>
      </w:r>
    </w:p>
    <w:p w:rsidR="00C31389" w:rsidRDefault="00561FBD" w14:paraId="512131A5" w14:textId="77777777">
      <w:pPr>
        <w:pStyle w:val="ListParagraph"/>
        <w:numPr>
          <w:ilvl w:val="2"/>
          <w:numId w:val="2"/>
        </w:numPr>
        <w:tabs>
          <w:tab w:val="left" w:pos="625"/>
        </w:tabs>
        <w:spacing w:before="101" w:line="256" w:lineRule="auto"/>
        <w:ind w:left="625" w:right="249"/>
      </w:pPr>
      <w:r>
        <w:t>Step</w:t>
      </w:r>
      <w:r>
        <w:rPr>
          <w:spacing w:val="-3"/>
        </w:rPr>
        <w:t xml:space="preserve"> </w:t>
      </w:r>
      <w:r>
        <w:t>3</w:t>
      </w:r>
      <w:r>
        <w:rPr>
          <w:spacing w:val="-3"/>
        </w:rPr>
        <w:t xml:space="preserve"> </w:t>
      </w:r>
      <w:r>
        <w:t>–</w:t>
      </w:r>
      <w:r>
        <w:rPr>
          <w:spacing w:val="-3"/>
        </w:rPr>
        <w:t xml:space="preserve"> </w:t>
      </w:r>
      <w:r>
        <w:t>Calculate</w:t>
      </w:r>
      <w:r>
        <w:rPr>
          <w:spacing w:val="-3"/>
        </w:rPr>
        <w:t xml:space="preserve"> </w:t>
      </w:r>
      <w:r>
        <w:t>the</w:t>
      </w:r>
      <w:r>
        <w:rPr>
          <w:spacing w:val="-3"/>
        </w:rPr>
        <w:t xml:space="preserve"> </w:t>
      </w:r>
      <w:r>
        <w:rPr>
          <w:b/>
        </w:rPr>
        <w:t>effective</w:t>
      </w:r>
      <w:r>
        <w:rPr>
          <w:b/>
          <w:spacing w:val="-3"/>
        </w:rPr>
        <w:t xml:space="preserve"> </w:t>
      </w:r>
      <w:r>
        <w:rPr>
          <w:b/>
        </w:rPr>
        <w:t>median</w:t>
      </w:r>
      <w:r>
        <w:rPr>
          <w:b/>
          <w:spacing w:val="-3"/>
        </w:rPr>
        <w:t xml:space="preserve"> </w:t>
      </w:r>
      <w:r>
        <w:rPr>
          <w:b/>
        </w:rPr>
        <w:t>savings</w:t>
      </w:r>
      <w:r>
        <w:rPr>
          <w:b/>
          <w:spacing w:val="-3"/>
        </w:rPr>
        <w:t xml:space="preserve"> </w:t>
      </w:r>
      <w:r>
        <w:rPr>
          <w:b/>
        </w:rPr>
        <w:t>potential</w:t>
      </w:r>
      <w:r>
        <w:rPr>
          <w:b/>
          <w:spacing w:val="-3"/>
        </w:rPr>
        <w:t xml:space="preserve"> </w:t>
      </w:r>
      <w:r>
        <w:t>by</w:t>
      </w:r>
      <w:r>
        <w:rPr>
          <w:spacing w:val="-3"/>
        </w:rPr>
        <w:t xml:space="preserve"> </w:t>
      </w:r>
      <w:r>
        <w:t>adjusting</w:t>
      </w:r>
      <w:r>
        <w:rPr>
          <w:spacing w:val="-3"/>
        </w:rPr>
        <w:t xml:space="preserve"> </w:t>
      </w:r>
      <w:r>
        <w:t>the</w:t>
      </w:r>
      <w:r>
        <w:rPr>
          <w:spacing w:val="-3"/>
        </w:rPr>
        <w:t xml:space="preserve"> </w:t>
      </w:r>
      <w:r>
        <w:t>base</w:t>
      </w:r>
      <w:r>
        <w:rPr>
          <w:spacing w:val="-3"/>
        </w:rPr>
        <w:t xml:space="preserve"> </w:t>
      </w:r>
      <w:r>
        <w:t>tax</w:t>
      </w:r>
      <w:r>
        <w:rPr>
          <w:spacing w:val="-4"/>
        </w:rPr>
        <w:t xml:space="preserve"> </w:t>
      </w:r>
      <w:r>
        <w:t>credit value to account for prevailing wage and apprenticeship requirements</w:t>
      </w:r>
    </w:p>
    <w:p w:rsidR="00C31389" w:rsidRDefault="00561FBD" w14:paraId="017A6EA5" w14:textId="77777777">
      <w:pPr>
        <w:pStyle w:val="ListParagraph"/>
        <w:numPr>
          <w:ilvl w:val="3"/>
          <w:numId w:val="2"/>
        </w:numPr>
        <w:tabs>
          <w:tab w:val="left" w:pos="1345"/>
        </w:tabs>
        <w:spacing w:before="123" w:line="237" w:lineRule="auto"/>
        <w:ind w:left="1345" w:right="239"/>
      </w:pPr>
      <w:r>
        <w:t>The value assigned for compliance with prevailing wage and apprenticeship requirements</w:t>
      </w:r>
      <w:r>
        <w:t xml:space="preserve"> was estimated to be 85%. With significant confidence, Guidehouse assumed</w:t>
      </w:r>
      <w:r>
        <w:rPr>
          <w:spacing w:val="-3"/>
        </w:rPr>
        <w:t xml:space="preserve"> </w:t>
      </w:r>
      <w:r>
        <w:t>the</w:t>
      </w:r>
      <w:r>
        <w:rPr>
          <w:spacing w:val="-3"/>
        </w:rPr>
        <w:t xml:space="preserve"> </w:t>
      </w:r>
      <w:r>
        <w:t>value</w:t>
      </w:r>
      <w:r>
        <w:rPr>
          <w:spacing w:val="-3"/>
        </w:rPr>
        <w:t xml:space="preserve"> </w:t>
      </w:r>
      <w:r>
        <w:t>less</w:t>
      </w:r>
      <w:r>
        <w:rPr>
          <w:spacing w:val="-4"/>
        </w:rPr>
        <w:t xml:space="preserve"> </w:t>
      </w:r>
      <w:r>
        <w:t>than</w:t>
      </w:r>
      <w:r>
        <w:rPr>
          <w:spacing w:val="-3"/>
        </w:rPr>
        <w:t xml:space="preserve"> </w:t>
      </w:r>
      <w:r>
        <w:t>100%.</w:t>
      </w:r>
      <w:r>
        <w:rPr>
          <w:spacing w:val="-4"/>
        </w:rPr>
        <w:t xml:space="preserve"> </w:t>
      </w:r>
      <w:r>
        <w:t>Given</w:t>
      </w:r>
      <w:r>
        <w:rPr>
          <w:spacing w:val="-3"/>
        </w:rPr>
        <w:t xml:space="preserve"> </w:t>
      </w:r>
      <w:r>
        <w:t>that</w:t>
      </w:r>
      <w:r>
        <w:rPr>
          <w:spacing w:val="-3"/>
        </w:rPr>
        <w:t xml:space="preserve"> </w:t>
      </w:r>
      <w:r>
        <w:t>compliance</w:t>
      </w:r>
      <w:r>
        <w:rPr>
          <w:spacing w:val="-3"/>
        </w:rPr>
        <w:t xml:space="preserve"> </w:t>
      </w:r>
      <w:r>
        <w:t>permits</w:t>
      </w:r>
      <w:r>
        <w:rPr>
          <w:spacing w:val="-3"/>
        </w:rPr>
        <w:t xml:space="preserve"> </w:t>
      </w:r>
      <w:r>
        <w:t>a</w:t>
      </w:r>
      <w:r>
        <w:rPr>
          <w:spacing w:val="-3"/>
        </w:rPr>
        <w:t xml:space="preserve"> </w:t>
      </w:r>
      <w:r>
        <w:t>500%</w:t>
      </w:r>
      <w:r>
        <w:rPr>
          <w:spacing w:val="-3"/>
        </w:rPr>
        <w:t xml:space="preserve"> </w:t>
      </w:r>
      <w:r>
        <w:t xml:space="preserve">increase in the realized tax credit, there is also a case that it should be relatively close to unity, </w:t>
      </w:r>
      <w:r>
        <w:t>particularly over time. It was also noted that California law requires all large public projects to meet prevailing wage requirements where a majority of workers employed on any job earn the designated prevailing wage.</w:t>
      </w:r>
    </w:p>
    <w:p w:rsidR="00C31389" w:rsidRDefault="00561FBD" w14:paraId="50F37267" w14:textId="77777777">
      <w:pPr>
        <w:pStyle w:val="ListParagraph"/>
        <w:numPr>
          <w:ilvl w:val="2"/>
          <w:numId w:val="2"/>
        </w:numPr>
        <w:tabs>
          <w:tab w:val="left" w:pos="625"/>
        </w:tabs>
        <w:spacing w:before="117"/>
        <w:ind w:left="625" w:right="347"/>
      </w:pPr>
      <w:r>
        <w:t>Step</w:t>
      </w:r>
      <w:r>
        <w:rPr>
          <w:spacing w:val="-3"/>
        </w:rPr>
        <w:t xml:space="preserve"> </w:t>
      </w:r>
      <w:r>
        <w:t>4</w:t>
      </w:r>
      <w:r>
        <w:rPr>
          <w:spacing w:val="-3"/>
        </w:rPr>
        <w:t xml:space="preserve"> </w:t>
      </w:r>
      <w:r>
        <w:t>–</w:t>
      </w:r>
      <w:r>
        <w:rPr>
          <w:spacing w:val="-3"/>
        </w:rPr>
        <w:t xml:space="preserve"> </w:t>
      </w:r>
      <w:r>
        <w:t>Using</w:t>
      </w:r>
      <w:r>
        <w:rPr>
          <w:spacing w:val="-3"/>
        </w:rPr>
        <w:t xml:space="preserve"> </w:t>
      </w:r>
      <w:r>
        <w:t>the</w:t>
      </w:r>
      <w:r>
        <w:rPr>
          <w:spacing w:val="-3"/>
        </w:rPr>
        <w:t xml:space="preserve"> </w:t>
      </w:r>
      <w:r>
        <w:t>adjusted</w:t>
      </w:r>
      <w:r>
        <w:rPr>
          <w:spacing w:val="-3"/>
        </w:rPr>
        <w:t xml:space="preserve"> </w:t>
      </w:r>
      <w:r>
        <w:t>%</w:t>
      </w:r>
      <w:r>
        <w:rPr>
          <w:spacing w:val="-3"/>
        </w:rPr>
        <w:t xml:space="preserve"> </w:t>
      </w:r>
      <w:r>
        <w:t>savings</w:t>
      </w:r>
      <w:r>
        <w:rPr>
          <w:spacing w:val="-3"/>
        </w:rPr>
        <w:t xml:space="preserve"> </w:t>
      </w:r>
      <w:r>
        <w:t>estimate</w:t>
      </w:r>
      <w:r>
        <w:rPr>
          <w:spacing w:val="-4"/>
        </w:rPr>
        <w:t xml:space="preserve"> </w:t>
      </w:r>
      <w:r>
        <w:t>from</w:t>
      </w:r>
      <w:r>
        <w:rPr>
          <w:spacing w:val="-4"/>
        </w:rPr>
        <w:t xml:space="preserve"> </w:t>
      </w:r>
      <w:r>
        <w:t>Step</w:t>
      </w:r>
      <w:r>
        <w:rPr>
          <w:spacing w:val="-3"/>
        </w:rPr>
        <w:t xml:space="preserve"> </w:t>
      </w:r>
      <w:r>
        <w:t>2</w:t>
      </w:r>
      <w:r>
        <w:rPr>
          <w:spacing w:val="-2"/>
        </w:rPr>
        <w:t xml:space="preserve"> </w:t>
      </w:r>
      <w:r>
        <w:t>and</w:t>
      </w:r>
      <w:r>
        <w:rPr>
          <w:spacing w:val="-3"/>
        </w:rPr>
        <w:t xml:space="preserve"> </w:t>
      </w:r>
      <w:r>
        <w:t>the</w:t>
      </w:r>
      <w:r>
        <w:rPr>
          <w:spacing w:val="-3"/>
        </w:rPr>
        <w:t xml:space="preserve"> </w:t>
      </w:r>
      <w:r>
        <w:t>IRA</w:t>
      </w:r>
      <w:r>
        <w:rPr>
          <w:spacing w:val="-3"/>
        </w:rPr>
        <w:t xml:space="preserve"> </w:t>
      </w:r>
      <w:r>
        <w:t>guidelines,</w:t>
      </w:r>
      <w:r>
        <w:rPr>
          <w:spacing w:val="-5"/>
        </w:rPr>
        <w:t xml:space="preserve"> </w:t>
      </w:r>
      <w:hyperlink w:history="1" w:anchor="_bookmark552">
        <w:r>
          <w:t>Table</w:t>
        </w:r>
      </w:hyperlink>
      <w:r>
        <w:t xml:space="preserve"> </w:t>
      </w:r>
      <w:hyperlink w:history="1" w:anchor="_bookmark552">
        <w:r>
          <w:t>K-2</w:t>
        </w:r>
      </w:hyperlink>
      <w:r>
        <w:t xml:space="preserve"> provides the </w:t>
      </w:r>
      <w:r>
        <w:rPr>
          <w:b/>
        </w:rPr>
        <w:t xml:space="preserve">base unadjusted $/sq ft tax credit </w:t>
      </w:r>
      <w:r>
        <w:t>for IRA-eligib</w:t>
      </w:r>
      <w:r>
        <w:t>le buildings.</w:t>
      </w:r>
    </w:p>
    <w:p w:rsidR="00C31389" w:rsidRDefault="00561FBD" w14:paraId="2678B7AE" w14:textId="77777777">
      <w:pPr>
        <w:pStyle w:val="Heading7"/>
        <w:spacing w:before="118"/>
        <w:ind w:left="2344"/>
      </w:pPr>
      <w:bookmarkStart w:name="_bookmark552" w:id="727"/>
      <w:bookmarkEnd w:id="727"/>
      <w:r>
        <w:t>Table</w:t>
      </w:r>
      <w:r>
        <w:rPr>
          <w:spacing w:val="-7"/>
        </w:rPr>
        <w:t xml:space="preserve"> </w:t>
      </w:r>
      <w:r>
        <w:t>K-2.</w:t>
      </w:r>
      <w:r>
        <w:rPr>
          <w:spacing w:val="-6"/>
        </w:rPr>
        <w:t xml:space="preserve"> </w:t>
      </w:r>
      <w:r>
        <w:t>IRA</w:t>
      </w:r>
      <w:r>
        <w:rPr>
          <w:spacing w:val="-6"/>
        </w:rPr>
        <w:t xml:space="preserve"> </w:t>
      </w:r>
      <w:r>
        <w:t>Tax</w:t>
      </w:r>
      <w:r>
        <w:rPr>
          <w:spacing w:val="-6"/>
        </w:rPr>
        <w:t xml:space="preserve"> </w:t>
      </w:r>
      <w:r>
        <w:t>Credit</w:t>
      </w:r>
      <w:r>
        <w:rPr>
          <w:spacing w:val="-6"/>
        </w:rPr>
        <w:t xml:space="preserve"> </w:t>
      </w:r>
      <w:r>
        <w:t>Value</w:t>
      </w:r>
      <w:r>
        <w:rPr>
          <w:spacing w:val="-7"/>
        </w:rPr>
        <w:t xml:space="preserve"> </w:t>
      </w:r>
      <w:r>
        <w:t>by</w:t>
      </w:r>
      <w:r>
        <w:rPr>
          <w:spacing w:val="-6"/>
        </w:rPr>
        <w:t xml:space="preserve"> </w:t>
      </w:r>
      <w:r>
        <w:t>Building</w:t>
      </w:r>
      <w:r>
        <w:rPr>
          <w:spacing w:val="-6"/>
        </w:rPr>
        <w:t xml:space="preserve"> </w:t>
      </w:r>
      <w:r>
        <w:rPr>
          <w:spacing w:val="-4"/>
        </w:rPr>
        <w:t>Type</w:t>
      </w:r>
    </w:p>
    <w:p w:rsidR="00C31389" w:rsidRDefault="00C31389" w14:paraId="002B607D" w14:textId="77777777">
      <w:pPr>
        <w:pStyle w:val="BodyText"/>
        <w:spacing w:after="1"/>
        <w:rPr>
          <w:b/>
          <w:sz w:val="10"/>
        </w:rPr>
      </w:pPr>
    </w:p>
    <w:tbl>
      <w:tblPr>
        <w:tblW w:w="0" w:type="auto"/>
        <w:tblInd w:w="855" w:type="dxa"/>
        <w:tblLayout w:type="fixed"/>
        <w:tblCellMar>
          <w:left w:w="0" w:type="dxa"/>
          <w:right w:w="0" w:type="dxa"/>
        </w:tblCellMar>
        <w:tblLook w:val="01E0" w:firstRow="1" w:lastRow="1" w:firstColumn="1" w:lastColumn="1" w:noHBand="0" w:noVBand="0"/>
      </w:tblPr>
      <w:tblGrid>
        <w:gridCol w:w="2973"/>
        <w:gridCol w:w="2743"/>
        <w:gridCol w:w="2382"/>
      </w:tblGrid>
      <w:tr w:rsidR="00C31389" w14:paraId="5F746B36" w14:textId="77777777">
        <w:trPr>
          <w:trHeight w:val="616"/>
        </w:trPr>
        <w:tc>
          <w:tcPr>
            <w:tcW w:w="2973" w:type="dxa"/>
            <w:tcBorders>
              <w:bottom w:val="single" w:color="B6B6B6" w:sz="4" w:space="0"/>
            </w:tcBorders>
            <w:shd w:val="clear" w:color="auto" w:fill="92D400"/>
          </w:tcPr>
          <w:p w:rsidR="00C31389" w:rsidRDefault="00561FBD" w14:paraId="1B213975" w14:textId="77777777">
            <w:pPr>
              <w:pStyle w:val="TableParagraph"/>
              <w:spacing w:before="173"/>
              <w:ind w:left="115"/>
              <w:rPr>
                <w:rFonts w:ascii="Calibri"/>
                <w:b/>
              </w:rPr>
            </w:pPr>
            <w:r>
              <w:rPr>
                <w:rFonts w:ascii="Calibri"/>
                <w:b/>
              </w:rPr>
              <w:t>Building</w:t>
            </w:r>
            <w:r>
              <w:rPr>
                <w:rFonts w:ascii="Calibri"/>
                <w:b/>
                <w:spacing w:val="-12"/>
              </w:rPr>
              <w:t xml:space="preserve"> </w:t>
            </w:r>
            <w:r>
              <w:rPr>
                <w:rFonts w:ascii="Calibri"/>
                <w:b/>
                <w:spacing w:val="-4"/>
              </w:rPr>
              <w:t>Type</w:t>
            </w:r>
          </w:p>
        </w:tc>
        <w:tc>
          <w:tcPr>
            <w:tcW w:w="2743" w:type="dxa"/>
            <w:tcBorders>
              <w:bottom w:val="single" w:color="B6B6B6" w:sz="4" w:space="0"/>
            </w:tcBorders>
            <w:shd w:val="clear" w:color="auto" w:fill="92D400"/>
          </w:tcPr>
          <w:p w:rsidR="00C31389" w:rsidRDefault="00561FBD" w14:paraId="64A61120" w14:textId="77777777">
            <w:pPr>
              <w:pStyle w:val="TableParagraph"/>
              <w:ind w:left="589" w:hanging="10"/>
              <w:rPr>
                <w:rFonts w:ascii="Calibri"/>
                <w:b/>
              </w:rPr>
            </w:pPr>
            <w:r>
              <w:rPr>
                <w:rFonts w:ascii="Calibri"/>
                <w:b/>
              </w:rPr>
              <w:t>Conservative</w:t>
            </w:r>
            <w:r>
              <w:rPr>
                <w:rFonts w:ascii="Calibri"/>
                <w:b/>
                <w:spacing w:val="-13"/>
              </w:rPr>
              <w:t xml:space="preserve"> </w:t>
            </w:r>
            <w:r>
              <w:rPr>
                <w:rFonts w:ascii="Calibri"/>
                <w:b/>
              </w:rPr>
              <w:t>IRA</w:t>
            </w:r>
            <w:r>
              <w:rPr>
                <w:rFonts w:ascii="Calibri"/>
                <w:b/>
                <w:spacing w:val="-12"/>
              </w:rPr>
              <w:t xml:space="preserve"> </w:t>
            </w:r>
            <w:r>
              <w:rPr>
                <w:rFonts w:ascii="Calibri"/>
                <w:b/>
              </w:rPr>
              <w:t>tax credit</w:t>
            </w:r>
            <w:r>
              <w:rPr>
                <w:rFonts w:ascii="Calibri"/>
                <w:b/>
                <w:spacing w:val="-7"/>
              </w:rPr>
              <w:t xml:space="preserve"> </w:t>
            </w:r>
            <w:r>
              <w:rPr>
                <w:rFonts w:ascii="Calibri"/>
                <w:b/>
              </w:rPr>
              <w:t>value</w:t>
            </w:r>
            <w:r>
              <w:rPr>
                <w:rFonts w:ascii="Calibri"/>
                <w:b/>
                <w:spacing w:val="-7"/>
              </w:rPr>
              <w:t xml:space="preserve"> </w:t>
            </w:r>
            <w:r>
              <w:rPr>
                <w:rFonts w:ascii="Calibri"/>
                <w:b/>
              </w:rPr>
              <w:t>($/sq</w:t>
            </w:r>
            <w:r>
              <w:rPr>
                <w:rFonts w:ascii="Calibri"/>
                <w:b/>
                <w:spacing w:val="-7"/>
              </w:rPr>
              <w:t xml:space="preserve"> </w:t>
            </w:r>
            <w:r>
              <w:rPr>
                <w:rFonts w:ascii="Calibri"/>
                <w:b/>
                <w:spacing w:val="-5"/>
              </w:rPr>
              <w:t>ft)</w:t>
            </w:r>
          </w:p>
        </w:tc>
        <w:tc>
          <w:tcPr>
            <w:tcW w:w="2382" w:type="dxa"/>
            <w:tcBorders>
              <w:bottom w:val="single" w:color="B6B6B6" w:sz="4" w:space="0"/>
            </w:tcBorders>
            <w:shd w:val="clear" w:color="auto" w:fill="92D400"/>
          </w:tcPr>
          <w:p w:rsidR="00C31389" w:rsidRDefault="00561FBD" w14:paraId="51EBD5C3" w14:textId="77777777">
            <w:pPr>
              <w:pStyle w:val="TableParagraph"/>
              <w:ind w:left="276" w:firstLine="97"/>
              <w:rPr>
                <w:rFonts w:ascii="Calibri"/>
                <w:b/>
              </w:rPr>
            </w:pPr>
            <w:r>
              <w:rPr>
                <w:rFonts w:ascii="Calibri"/>
                <w:b/>
              </w:rPr>
              <w:t>Aggressive IRA tax credit</w:t>
            </w:r>
            <w:r>
              <w:rPr>
                <w:rFonts w:ascii="Calibri"/>
                <w:b/>
                <w:spacing w:val="-13"/>
              </w:rPr>
              <w:t xml:space="preserve"> </w:t>
            </w:r>
            <w:r>
              <w:rPr>
                <w:rFonts w:ascii="Calibri"/>
                <w:b/>
              </w:rPr>
              <w:t>value</w:t>
            </w:r>
            <w:r>
              <w:rPr>
                <w:rFonts w:ascii="Calibri"/>
                <w:b/>
                <w:spacing w:val="-12"/>
              </w:rPr>
              <w:t xml:space="preserve"> </w:t>
            </w:r>
            <w:r>
              <w:rPr>
                <w:rFonts w:ascii="Calibri"/>
                <w:b/>
              </w:rPr>
              <w:t>($/sq</w:t>
            </w:r>
            <w:r>
              <w:rPr>
                <w:rFonts w:ascii="Calibri"/>
                <w:b/>
                <w:spacing w:val="-13"/>
              </w:rPr>
              <w:t xml:space="preserve"> </w:t>
            </w:r>
            <w:r>
              <w:rPr>
                <w:rFonts w:ascii="Calibri"/>
                <w:b/>
              </w:rPr>
              <w:t>ft)</w:t>
            </w:r>
          </w:p>
        </w:tc>
      </w:tr>
      <w:tr w:rsidR="00C31389" w14:paraId="18B2B10F" w14:textId="77777777">
        <w:trPr>
          <w:trHeight w:val="348"/>
        </w:trPr>
        <w:tc>
          <w:tcPr>
            <w:tcW w:w="2973" w:type="dxa"/>
            <w:tcBorders>
              <w:top w:val="single" w:color="B6B6B6" w:sz="4" w:space="0"/>
              <w:bottom w:val="single" w:color="B6B6B6" w:sz="4" w:space="0"/>
            </w:tcBorders>
          </w:tcPr>
          <w:p w:rsidR="00C31389" w:rsidRDefault="00561FBD" w14:paraId="1041DA80" w14:textId="77777777">
            <w:pPr>
              <w:pStyle w:val="TableParagraph"/>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College</w:t>
            </w:r>
          </w:p>
        </w:tc>
        <w:tc>
          <w:tcPr>
            <w:tcW w:w="2743" w:type="dxa"/>
            <w:tcBorders>
              <w:top w:val="single" w:color="B6B6B6" w:sz="4" w:space="0"/>
              <w:bottom w:val="single" w:color="B6B6B6" w:sz="4" w:space="0"/>
            </w:tcBorders>
          </w:tcPr>
          <w:p w:rsidR="00C31389" w:rsidRDefault="00561FBD" w14:paraId="496818D9" w14:textId="77777777">
            <w:pPr>
              <w:pStyle w:val="TableParagraph"/>
              <w:ind w:right="965"/>
              <w:jc w:val="right"/>
              <w:rPr>
                <w:rFonts w:ascii="Calibri"/>
              </w:rPr>
            </w:pPr>
            <w:r>
              <w:rPr>
                <w:rFonts w:ascii="Calibri"/>
                <w:spacing w:val="-2"/>
              </w:rPr>
              <w:t>$0.28</w:t>
            </w:r>
          </w:p>
        </w:tc>
        <w:tc>
          <w:tcPr>
            <w:tcW w:w="2382" w:type="dxa"/>
            <w:tcBorders>
              <w:top w:val="single" w:color="B6B6B6" w:sz="4" w:space="0"/>
              <w:bottom w:val="single" w:color="B6B6B6" w:sz="4" w:space="0"/>
            </w:tcBorders>
          </w:tcPr>
          <w:p w:rsidR="00C31389" w:rsidRDefault="00561FBD" w14:paraId="398E0716" w14:textId="77777777">
            <w:pPr>
              <w:pStyle w:val="TableParagraph"/>
              <w:ind w:left="960"/>
              <w:rPr>
                <w:rFonts w:ascii="Calibri"/>
              </w:rPr>
            </w:pPr>
            <w:r>
              <w:rPr>
                <w:rFonts w:ascii="Calibri"/>
                <w:spacing w:val="-2"/>
              </w:rPr>
              <w:t>$0.42</w:t>
            </w:r>
          </w:p>
        </w:tc>
      </w:tr>
      <w:tr w:rsidR="00C31389" w14:paraId="405EE5B3" w14:textId="77777777">
        <w:trPr>
          <w:trHeight w:val="347"/>
        </w:trPr>
        <w:tc>
          <w:tcPr>
            <w:tcW w:w="2973" w:type="dxa"/>
            <w:tcBorders>
              <w:top w:val="single" w:color="B6B6B6" w:sz="4" w:space="0"/>
              <w:bottom w:val="single" w:color="B6B6B6" w:sz="4" w:space="0"/>
            </w:tcBorders>
          </w:tcPr>
          <w:p w:rsidR="00C31389" w:rsidRDefault="00561FBD" w14:paraId="1A3F4CAA" w14:textId="77777777">
            <w:pPr>
              <w:pStyle w:val="TableParagraph"/>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Grocery</w:t>
            </w:r>
          </w:p>
        </w:tc>
        <w:tc>
          <w:tcPr>
            <w:tcW w:w="2743" w:type="dxa"/>
            <w:tcBorders>
              <w:top w:val="single" w:color="B6B6B6" w:sz="4" w:space="0"/>
              <w:bottom w:val="single" w:color="B6B6B6" w:sz="4" w:space="0"/>
            </w:tcBorders>
          </w:tcPr>
          <w:p w:rsidR="00C31389" w:rsidRDefault="00561FBD" w14:paraId="096CE2CA" w14:textId="77777777">
            <w:pPr>
              <w:pStyle w:val="TableParagraph"/>
              <w:ind w:right="966"/>
              <w:jc w:val="right"/>
              <w:rPr>
                <w:rFonts w:ascii="Calibri"/>
              </w:rPr>
            </w:pPr>
            <w:r>
              <w:rPr>
                <w:rFonts w:ascii="Calibri"/>
                <w:spacing w:val="-2"/>
              </w:rPr>
              <w:t>$0.80</w:t>
            </w:r>
          </w:p>
        </w:tc>
        <w:tc>
          <w:tcPr>
            <w:tcW w:w="2382" w:type="dxa"/>
            <w:tcBorders>
              <w:top w:val="single" w:color="B6B6B6" w:sz="4" w:space="0"/>
              <w:bottom w:val="single" w:color="B6B6B6" w:sz="4" w:space="0"/>
            </w:tcBorders>
          </w:tcPr>
          <w:p w:rsidR="00C31389" w:rsidRDefault="00561FBD" w14:paraId="3145085F" w14:textId="77777777">
            <w:pPr>
              <w:pStyle w:val="TableParagraph"/>
              <w:ind w:left="960"/>
              <w:rPr>
                <w:rFonts w:ascii="Calibri"/>
              </w:rPr>
            </w:pPr>
            <w:r>
              <w:rPr>
                <w:rFonts w:ascii="Calibri"/>
                <w:spacing w:val="-2"/>
              </w:rPr>
              <w:t>$1.20</w:t>
            </w:r>
          </w:p>
        </w:tc>
      </w:tr>
      <w:tr w:rsidR="00C31389" w14:paraId="49C363C6" w14:textId="77777777">
        <w:trPr>
          <w:trHeight w:val="348"/>
        </w:trPr>
        <w:tc>
          <w:tcPr>
            <w:tcW w:w="2973" w:type="dxa"/>
            <w:tcBorders>
              <w:top w:val="single" w:color="B6B6B6" w:sz="4" w:space="0"/>
              <w:bottom w:val="single" w:color="B6B6B6" w:sz="4" w:space="0"/>
            </w:tcBorders>
          </w:tcPr>
          <w:p w:rsidR="00C31389" w:rsidRDefault="00561FBD" w14:paraId="139EDEEB" w14:textId="77777777">
            <w:pPr>
              <w:pStyle w:val="TableParagraph"/>
              <w:spacing w:before="41"/>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Health</w:t>
            </w:r>
          </w:p>
        </w:tc>
        <w:tc>
          <w:tcPr>
            <w:tcW w:w="2743" w:type="dxa"/>
            <w:tcBorders>
              <w:top w:val="single" w:color="B6B6B6" w:sz="4" w:space="0"/>
              <w:bottom w:val="single" w:color="B6B6B6" w:sz="4" w:space="0"/>
            </w:tcBorders>
          </w:tcPr>
          <w:p w:rsidR="00C31389" w:rsidRDefault="00561FBD" w14:paraId="50DA9D82" w14:textId="77777777">
            <w:pPr>
              <w:pStyle w:val="TableParagraph"/>
              <w:spacing w:before="41"/>
              <w:ind w:right="966"/>
              <w:jc w:val="right"/>
              <w:rPr>
                <w:rFonts w:ascii="Calibri"/>
              </w:rPr>
            </w:pPr>
            <w:r>
              <w:rPr>
                <w:rFonts w:ascii="Calibri"/>
                <w:spacing w:val="-2"/>
              </w:rPr>
              <w:t>$0.45</w:t>
            </w:r>
          </w:p>
        </w:tc>
        <w:tc>
          <w:tcPr>
            <w:tcW w:w="2382" w:type="dxa"/>
            <w:tcBorders>
              <w:top w:val="single" w:color="B6B6B6" w:sz="4" w:space="0"/>
              <w:bottom w:val="single" w:color="B6B6B6" w:sz="4" w:space="0"/>
            </w:tcBorders>
          </w:tcPr>
          <w:p w:rsidR="00C31389" w:rsidRDefault="00561FBD" w14:paraId="6DD970A5" w14:textId="77777777">
            <w:pPr>
              <w:pStyle w:val="TableParagraph"/>
              <w:spacing w:before="41"/>
              <w:ind w:left="960"/>
              <w:rPr>
                <w:rFonts w:ascii="Calibri"/>
              </w:rPr>
            </w:pPr>
            <w:r>
              <w:rPr>
                <w:rFonts w:ascii="Calibri"/>
                <w:spacing w:val="-2"/>
              </w:rPr>
              <w:t>$0.68</w:t>
            </w:r>
          </w:p>
        </w:tc>
      </w:tr>
      <w:tr w:rsidR="00C31389" w14:paraId="1AE3F7F3" w14:textId="77777777">
        <w:trPr>
          <w:trHeight w:val="348"/>
        </w:trPr>
        <w:tc>
          <w:tcPr>
            <w:tcW w:w="2973" w:type="dxa"/>
            <w:tcBorders>
              <w:top w:val="single" w:color="B6B6B6" w:sz="4" w:space="0"/>
              <w:bottom w:val="single" w:color="B6B6B6" w:sz="4" w:space="0"/>
            </w:tcBorders>
          </w:tcPr>
          <w:p w:rsidR="00C31389" w:rsidRDefault="00561FBD" w14:paraId="67D78A41" w14:textId="77777777">
            <w:pPr>
              <w:pStyle w:val="TableParagraph"/>
              <w:spacing w:before="41"/>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Lodging</w:t>
            </w:r>
          </w:p>
        </w:tc>
        <w:tc>
          <w:tcPr>
            <w:tcW w:w="2743" w:type="dxa"/>
            <w:tcBorders>
              <w:top w:val="single" w:color="B6B6B6" w:sz="4" w:space="0"/>
              <w:bottom w:val="single" w:color="B6B6B6" w:sz="4" w:space="0"/>
            </w:tcBorders>
          </w:tcPr>
          <w:p w:rsidR="00C31389" w:rsidRDefault="00561FBD" w14:paraId="52DFCBF5" w14:textId="77777777">
            <w:pPr>
              <w:pStyle w:val="TableParagraph"/>
              <w:spacing w:before="41"/>
              <w:ind w:right="966"/>
              <w:jc w:val="right"/>
              <w:rPr>
                <w:rFonts w:ascii="Calibri"/>
              </w:rPr>
            </w:pPr>
            <w:r>
              <w:rPr>
                <w:rFonts w:ascii="Calibri"/>
                <w:spacing w:val="-2"/>
              </w:rPr>
              <w:t>$0.54</w:t>
            </w:r>
          </w:p>
        </w:tc>
        <w:tc>
          <w:tcPr>
            <w:tcW w:w="2382" w:type="dxa"/>
            <w:tcBorders>
              <w:top w:val="single" w:color="B6B6B6" w:sz="4" w:space="0"/>
              <w:bottom w:val="single" w:color="B6B6B6" w:sz="4" w:space="0"/>
            </w:tcBorders>
          </w:tcPr>
          <w:p w:rsidR="00C31389" w:rsidRDefault="00561FBD" w14:paraId="6EA068DE" w14:textId="77777777">
            <w:pPr>
              <w:pStyle w:val="TableParagraph"/>
              <w:spacing w:before="41"/>
              <w:ind w:left="1015"/>
              <w:rPr>
                <w:rFonts w:ascii="Calibri"/>
              </w:rPr>
            </w:pPr>
            <w:r>
              <w:rPr>
                <w:rFonts w:ascii="Calibri"/>
                <w:spacing w:val="-4"/>
              </w:rPr>
              <w:t>$.80</w:t>
            </w:r>
          </w:p>
        </w:tc>
      </w:tr>
      <w:tr w:rsidR="00C31389" w14:paraId="14A3CACD" w14:textId="77777777">
        <w:trPr>
          <w:trHeight w:val="348"/>
        </w:trPr>
        <w:tc>
          <w:tcPr>
            <w:tcW w:w="2973" w:type="dxa"/>
            <w:tcBorders>
              <w:top w:val="single" w:color="B6B6B6" w:sz="4" w:space="0"/>
              <w:bottom w:val="single" w:color="B6B6B6" w:sz="4" w:space="0"/>
            </w:tcBorders>
          </w:tcPr>
          <w:p w:rsidR="00C31389" w:rsidRDefault="00561FBD" w14:paraId="36ABDCF3" w14:textId="77777777">
            <w:pPr>
              <w:pStyle w:val="TableParagraph"/>
              <w:ind w:left="115"/>
              <w:rPr>
                <w:rFonts w:ascii="Calibri"/>
                <w:b/>
              </w:rPr>
            </w:pPr>
            <w:r>
              <w:rPr>
                <w:rFonts w:ascii="Calibri"/>
                <w:b/>
              </w:rPr>
              <w:t>Com</w:t>
            </w:r>
            <w:r>
              <w:rPr>
                <w:rFonts w:ascii="Calibri"/>
                <w:b/>
                <w:spacing w:val="-6"/>
              </w:rPr>
              <w:t xml:space="preserve"> </w:t>
            </w:r>
            <w:r>
              <w:rPr>
                <w:rFonts w:ascii="Calibri"/>
                <w:b/>
              </w:rPr>
              <w:t>-</w:t>
            </w:r>
            <w:r>
              <w:rPr>
                <w:rFonts w:ascii="Calibri"/>
                <w:b/>
                <w:spacing w:val="-4"/>
              </w:rPr>
              <w:t xml:space="preserve"> </w:t>
            </w:r>
            <w:r>
              <w:rPr>
                <w:rFonts w:ascii="Calibri"/>
                <w:b/>
              </w:rPr>
              <w:t>Office</w:t>
            </w:r>
            <w:r>
              <w:rPr>
                <w:rFonts w:ascii="Calibri"/>
                <w:b/>
                <w:spacing w:val="-4"/>
              </w:rPr>
              <w:t xml:space="preserve"> </w:t>
            </w:r>
            <w:r>
              <w:rPr>
                <w:rFonts w:ascii="Calibri"/>
                <w:b/>
                <w:spacing w:val="-2"/>
              </w:rPr>
              <w:t>(Large)</w:t>
            </w:r>
          </w:p>
        </w:tc>
        <w:tc>
          <w:tcPr>
            <w:tcW w:w="2743" w:type="dxa"/>
            <w:tcBorders>
              <w:top w:val="single" w:color="B6B6B6" w:sz="4" w:space="0"/>
              <w:bottom w:val="single" w:color="B6B6B6" w:sz="4" w:space="0"/>
            </w:tcBorders>
          </w:tcPr>
          <w:p w:rsidR="00C31389" w:rsidRDefault="00561FBD" w14:paraId="7A482E8A" w14:textId="77777777">
            <w:pPr>
              <w:pStyle w:val="TableParagraph"/>
              <w:ind w:right="966"/>
              <w:jc w:val="right"/>
              <w:rPr>
                <w:rFonts w:ascii="Calibri"/>
              </w:rPr>
            </w:pPr>
            <w:r>
              <w:rPr>
                <w:rFonts w:ascii="Calibri"/>
                <w:spacing w:val="-2"/>
              </w:rPr>
              <w:t>$0.26</w:t>
            </w:r>
          </w:p>
        </w:tc>
        <w:tc>
          <w:tcPr>
            <w:tcW w:w="2382" w:type="dxa"/>
            <w:tcBorders>
              <w:top w:val="single" w:color="B6B6B6" w:sz="4" w:space="0"/>
              <w:bottom w:val="single" w:color="B6B6B6" w:sz="4" w:space="0"/>
            </w:tcBorders>
          </w:tcPr>
          <w:p w:rsidR="00C31389" w:rsidRDefault="00561FBD" w14:paraId="3E2E6349" w14:textId="77777777">
            <w:pPr>
              <w:pStyle w:val="TableParagraph"/>
              <w:ind w:left="960"/>
              <w:rPr>
                <w:rFonts w:ascii="Calibri"/>
              </w:rPr>
            </w:pPr>
            <w:r>
              <w:rPr>
                <w:rFonts w:ascii="Calibri"/>
                <w:spacing w:val="-2"/>
              </w:rPr>
              <w:t>$0.40</w:t>
            </w:r>
          </w:p>
        </w:tc>
      </w:tr>
      <w:tr w:rsidR="00C31389" w14:paraId="197B2F4E" w14:textId="77777777">
        <w:trPr>
          <w:trHeight w:val="348"/>
        </w:trPr>
        <w:tc>
          <w:tcPr>
            <w:tcW w:w="2973" w:type="dxa"/>
            <w:tcBorders>
              <w:top w:val="single" w:color="B6B6B6" w:sz="4" w:space="0"/>
              <w:bottom w:val="single" w:color="B6B6B6" w:sz="4" w:space="0"/>
            </w:tcBorders>
          </w:tcPr>
          <w:p w:rsidR="00C31389" w:rsidRDefault="00561FBD" w14:paraId="6AA7E7CC" w14:textId="77777777">
            <w:pPr>
              <w:pStyle w:val="TableParagraph"/>
              <w:ind w:left="115"/>
              <w:rPr>
                <w:rFonts w:ascii="Calibri"/>
                <w:b/>
              </w:rPr>
            </w:pPr>
            <w:r>
              <w:rPr>
                <w:rFonts w:ascii="Calibri"/>
                <w:b/>
              </w:rPr>
              <w:t>Com</w:t>
            </w:r>
            <w:r>
              <w:rPr>
                <w:rFonts w:ascii="Calibri"/>
                <w:b/>
                <w:spacing w:val="-6"/>
              </w:rPr>
              <w:t xml:space="preserve"> </w:t>
            </w:r>
            <w:r>
              <w:rPr>
                <w:rFonts w:ascii="Calibri"/>
                <w:b/>
              </w:rPr>
              <w:t>-</w:t>
            </w:r>
            <w:r>
              <w:rPr>
                <w:rFonts w:ascii="Calibri"/>
                <w:b/>
                <w:spacing w:val="-4"/>
              </w:rPr>
              <w:t xml:space="preserve"> </w:t>
            </w:r>
            <w:r>
              <w:rPr>
                <w:rFonts w:ascii="Calibri"/>
                <w:b/>
              </w:rPr>
              <w:t>Office</w:t>
            </w:r>
            <w:r>
              <w:rPr>
                <w:rFonts w:ascii="Calibri"/>
                <w:b/>
                <w:spacing w:val="-4"/>
              </w:rPr>
              <w:t xml:space="preserve"> </w:t>
            </w:r>
            <w:r>
              <w:rPr>
                <w:rFonts w:ascii="Calibri"/>
                <w:b/>
                <w:spacing w:val="-2"/>
              </w:rPr>
              <w:t>(Small)</w:t>
            </w:r>
          </w:p>
        </w:tc>
        <w:tc>
          <w:tcPr>
            <w:tcW w:w="2743" w:type="dxa"/>
            <w:tcBorders>
              <w:top w:val="single" w:color="B6B6B6" w:sz="4" w:space="0"/>
              <w:bottom w:val="single" w:color="B6B6B6" w:sz="4" w:space="0"/>
            </w:tcBorders>
          </w:tcPr>
          <w:p w:rsidR="00C31389" w:rsidRDefault="00561FBD" w14:paraId="46746855" w14:textId="77777777">
            <w:pPr>
              <w:pStyle w:val="TableParagraph"/>
              <w:ind w:right="966"/>
              <w:jc w:val="right"/>
              <w:rPr>
                <w:rFonts w:ascii="Calibri"/>
              </w:rPr>
            </w:pPr>
            <w:r>
              <w:rPr>
                <w:rFonts w:ascii="Calibri"/>
                <w:spacing w:val="-2"/>
              </w:rPr>
              <w:t>$0.26</w:t>
            </w:r>
          </w:p>
        </w:tc>
        <w:tc>
          <w:tcPr>
            <w:tcW w:w="2382" w:type="dxa"/>
            <w:tcBorders>
              <w:top w:val="single" w:color="B6B6B6" w:sz="4" w:space="0"/>
              <w:bottom w:val="single" w:color="B6B6B6" w:sz="4" w:space="0"/>
            </w:tcBorders>
          </w:tcPr>
          <w:p w:rsidR="00C31389" w:rsidRDefault="00561FBD" w14:paraId="7AD35BF1" w14:textId="77777777">
            <w:pPr>
              <w:pStyle w:val="TableParagraph"/>
              <w:ind w:left="960"/>
              <w:rPr>
                <w:rFonts w:ascii="Calibri"/>
              </w:rPr>
            </w:pPr>
            <w:r>
              <w:rPr>
                <w:rFonts w:ascii="Calibri"/>
                <w:spacing w:val="-2"/>
              </w:rPr>
              <w:t>$0.40</w:t>
            </w:r>
          </w:p>
        </w:tc>
      </w:tr>
      <w:tr w:rsidR="00C31389" w14:paraId="722E6A03" w14:textId="77777777">
        <w:trPr>
          <w:trHeight w:val="347"/>
        </w:trPr>
        <w:tc>
          <w:tcPr>
            <w:tcW w:w="2973" w:type="dxa"/>
            <w:tcBorders>
              <w:top w:val="single" w:color="B6B6B6" w:sz="4" w:space="0"/>
              <w:bottom w:val="single" w:color="B6B6B6" w:sz="4" w:space="0"/>
            </w:tcBorders>
          </w:tcPr>
          <w:p w:rsidR="00C31389" w:rsidRDefault="00561FBD" w14:paraId="25D27577" w14:textId="77777777">
            <w:pPr>
              <w:pStyle w:val="TableParagraph"/>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Other</w:t>
            </w:r>
          </w:p>
        </w:tc>
        <w:tc>
          <w:tcPr>
            <w:tcW w:w="2743" w:type="dxa"/>
            <w:tcBorders>
              <w:top w:val="single" w:color="B6B6B6" w:sz="4" w:space="0"/>
              <w:bottom w:val="single" w:color="B6B6B6" w:sz="4" w:space="0"/>
            </w:tcBorders>
          </w:tcPr>
          <w:p w:rsidR="00C31389" w:rsidRDefault="00561FBD" w14:paraId="15F11D91" w14:textId="77777777">
            <w:pPr>
              <w:pStyle w:val="TableParagraph"/>
              <w:ind w:right="966"/>
              <w:jc w:val="right"/>
              <w:rPr>
                <w:rFonts w:ascii="Calibri"/>
              </w:rPr>
            </w:pPr>
            <w:r>
              <w:rPr>
                <w:rFonts w:ascii="Calibri"/>
                <w:spacing w:val="-2"/>
              </w:rPr>
              <w:t>$0.54</w:t>
            </w:r>
          </w:p>
        </w:tc>
        <w:tc>
          <w:tcPr>
            <w:tcW w:w="2382" w:type="dxa"/>
            <w:tcBorders>
              <w:top w:val="single" w:color="B6B6B6" w:sz="4" w:space="0"/>
              <w:bottom w:val="single" w:color="B6B6B6" w:sz="4" w:space="0"/>
            </w:tcBorders>
          </w:tcPr>
          <w:p w:rsidR="00C31389" w:rsidRDefault="00561FBD" w14:paraId="5E07F427" w14:textId="77777777">
            <w:pPr>
              <w:pStyle w:val="TableParagraph"/>
              <w:ind w:left="960"/>
              <w:rPr>
                <w:rFonts w:ascii="Calibri"/>
              </w:rPr>
            </w:pPr>
            <w:r>
              <w:rPr>
                <w:rFonts w:ascii="Calibri"/>
                <w:spacing w:val="-2"/>
              </w:rPr>
              <w:t>$0.80</w:t>
            </w:r>
          </w:p>
        </w:tc>
      </w:tr>
      <w:tr w:rsidR="00C31389" w14:paraId="460D3D9D" w14:textId="77777777">
        <w:trPr>
          <w:trHeight w:val="348"/>
        </w:trPr>
        <w:tc>
          <w:tcPr>
            <w:tcW w:w="2973" w:type="dxa"/>
            <w:tcBorders>
              <w:top w:val="single" w:color="B6B6B6" w:sz="4" w:space="0"/>
              <w:bottom w:val="single" w:color="B6B6B6" w:sz="4" w:space="0"/>
            </w:tcBorders>
          </w:tcPr>
          <w:p w:rsidR="00C31389" w:rsidRDefault="00561FBD" w14:paraId="79A5D9DD" w14:textId="77777777">
            <w:pPr>
              <w:pStyle w:val="TableParagraph"/>
              <w:spacing w:before="41"/>
              <w:ind w:left="115"/>
              <w:rPr>
                <w:rFonts w:ascii="Calibri"/>
                <w:b/>
              </w:rPr>
            </w:pPr>
            <w:r>
              <w:rPr>
                <w:rFonts w:ascii="Calibri"/>
                <w:b/>
              </w:rPr>
              <w:t>Com</w:t>
            </w:r>
            <w:r>
              <w:rPr>
                <w:rFonts w:ascii="Calibri"/>
                <w:b/>
                <w:spacing w:val="-6"/>
              </w:rPr>
              <w:t xml:space="preserve"> </w:t>
            </w:r>
            <w:r>
              <w:rPr>
                <w:rFonts w:ascii="Calibri"/>
                <w:b/>
              </w:rPr>
              <w:t>-</w:t>
            </w:r>
            <w:r>
              <w:rPr>
                <w:rFonts w:ascii="Calibri"/>
                <w:b/>
                <w:spacing w:val="-5"/>
              </w:rPr>
              <w:t xml:space="preserve"> </w:t>
            </w:r>
            <w:r>
              <w:rPr>
                <w:rFonts w:ascii="Calibri"/>
                <w:b/>
              </w:rPr>
              <w:t>Refrig.</w:t>
            </w:r>
            <w:r>
              <w:rPr>
                <w:rFonts w:ascii="Calibri"/>
                <w:b/>
                <w:spacing w:val="-5"/>
              </w:rPr>
              <w:t xml:space="preserve"> </w:t>
            </w:r>
            <w:r>
              <w:rPr>
                <w:rFonts w:ascii="Calibri"/>
                <w:b/>
                <w:spacing w:val="-2"/>
              </w:rPr>
              <w:t>Warehouse</w:t>
            </w:r>
          </w:p>
        </w:tc>
        <w:tc>
          <w:tcPr>
            <w:tcW w:w="2743" w:type="dxa"/>
            <w:tcBorders>
              <w:top w:val="single" w:color="B6B6B6" w:sz="4" w:space="0"/>
              <w:bottom w:val="single" w:color="B6B6B6" w:sz="4" w:space="0"/>
            </w:tcBorders>
          </w:tcPr>
          <w:p w:rsidR="00C31389" w:rsidRDefault="00561FBD" w14:paraId="6AA3FF53" w14:textId="77777777">
            <w:pPr>
              <w:pStyle w:val="TableParagraph"/>
              <w:spacing w:before="41"/>
              <w:ind w:right="966"/>
              <w:jc w:val="right"/>
              <w:rPr>
                <w:rFonts w:ascii="Calibri"/>
              </w:rPr>
            </w:pPr>
            <w:r>
              <w:rPr>
                <w:rFonts w:ascii="Calibri"/>
                <w:spacing w:val="-2"/>
              </w:rPr>
              <w:t>$0.45</w:t>
            </w:r>
          </w:p>
        </w:tc>
        <w:tc>
          <w:tcPr>
            <w:tcW w:w="2382" w:type="dxa"/>
            <w:tcBorders>
              <w:top w:val="single" w:color="B6B6B6" w:sz="4" w:space="0"/>
              <w:bottom w:val="single" w:color="B6B6B6" w:sz="4" w:space="0"/>
            </w:tcBorders>
          </w:tcPr>
          <w:p w:rsidR="00C31389" w:rsidRDefault="00561FBD" w14:paraId="3086FFBA" w14:textId="77777777">
            <w:pPr>
              <w:pStyle w:val="TableParagraph"/>
              <w:spacing w:before="41"/>
              <w:ind w:left="960"/>
              <w:rPr>
                <w:rFonts w:ascii="Calibri"/>
              </w:rPr>
            </w:pPr>
            <w:r>
              <w:rPr>
                <w:rFonts w:ascii="Calibri"/>
                <w:spacing w:val="-2"/>
              </w:rPr>
              <w:t>$0.68</w:t>
            </w:r>
          </w:p>
        </w:tc>
      </w:tr>
      <w:tr w:rsidR="00C31389" w14:paraId="26D13AC4" w14:textId="77777777">
        <w:trPr>
          <w:trHeight w:val="348"/>
        </w:trPr>
        <w:tc>
          <w:tcPr>
            <w:tcW w:w="2973" w:type="dxa"/>
            <w:tcBorders>
              <w:top w:val="single" w:color="B6B6B6" w:sz="4" w:space="0"/>
              <w:bottom w:val="single" w:color="B6B6B6" w:sz="4" w:space="0"/>
            </w:tcBorders>
          </w:tcPr>
          <w:p w:rsidR="00C31389" w:rsidRDefault="00561FBD" w14:paraId="05018EF9" w14:textId="77777777">
            <w:pPr>
              <w:pStyle w:val="TableParagraph"/>
              <w:spacing w:before="41"/>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Restaurant</w:t>
            </w:r>
          </w:p>
        </w:tc>
        <w:tc>
          <w:tcPr>
            <w:tcW w:w="2743" w:type="dxa"/>
            <w:tcBorders>
              <w:top w:val="single" w:color="B6B6B6" w:sz="4" w:space="0"/>
              <w:bottom w:val="single" w:color="B6B6B6" w:sz="4" w:space="0"/>
            </w:tcBorders>
          </w:tcPr>
          <w:p w:rsidR="00C31389" w:rsidRDefault="00561FBD" w14:paraId="27D69F41" w14:textId="77777777">
            <w:pPr>
              <w:pStyle w:val="TableParagraph"/>
              <w:spacing w:before="41"/>
              <w:ind w:right="966"/>
              <w:jc w:val="right"/>
              <w:rPr>
                <w:rFonts w:ascii="Calibri"/>
              </w:rPr>
            </w:pPr>
            <w:r>
              <w:rPr>
                <w:rFonts w:ascii="Calibri"/>
                <w:spacing w:val="-2"/>
              </w:rPr>
              <w:t>$0.72</w:t>
            </w:r>
          </w:p>
        </w:tc>
        <w:tc>
          <w:tcPr>
            <w:tcW w:w="2382" w:type="dxa"/>
            <w:tcBorders>
              <w:top w:val="single" w:color="B6B6B6" w:sz="4" w:space="0"/>
              <w:bottom w:val="single" w:color="B6B6B6" w:sz="4" w:space="0"/>
            </w:tcBorders>
          </w:tcPr>
          <w:p w:rsidR="00C31389" w:rsidRDefault="00561FBD" w14:paraId="6FA84E50" w14:textId="77777777">
            <w:pPr>
              <w:pStyle w:val="TableParagraph"/>
              <w:spacing w:before="41"/>
              <w:ind w:left="960"/>
              <w:rPr>
                <w:rFonts w:ascii="Calibri"/>
              </w:rPr>
            </w:pPr>
            <w:r>
              <w:rPr>
                <w:rFonts w:ascii="Calibri"/>
                <w:spacing w:val="-2"/>
              </w:rPr>
              <w:t>$1.08</w:t>
            </w:r>
          </w:p>
        </w:tc>
      </w:tr>
      <w:tr w:rsidR="00C31389" w14:paraId="7CC68BA0" w14:textId="77777777">
        <w:trPr>
          <w:trHeight w:val="348"/>
        </w:trPr>
        <w:tc>
          <w:tcPr>
            <w:tcW w:w="2973" w:type="dxa"/>
            <w:tcBorders>
              <w:top w:val="single" w:color="B6B6B6" w:sz="4" w:space="0"/>
              <w:bottom w:val="single" w:color="B6B6B6" w:sz="4" w:space="0"/>
            </w:tcBorders>
          </w:tcPr>
          <w:p w:rsidR="00C31389" w:rsidRDefault="00561FBD" w14:paraId="43C833AA" w14:textId="77777777">
            <w:pPr>
              <w:pStyle w:val="TableParagraph"/>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Retail</w:t>
            </w:r>
          </w:p>
        </w:tc>
        <w:tc>
          <w:tcPr>
            <w:tcW w:w="2743" w:type="dxa"/>
            <w:tcBorders>
              <w:top w:val="single" w:color="B6B6B6" w:sz="4" w:space="0"/>
              <w:bottom w:val="single" w:color="B6B6B6" w:sz="4" w:space="0"/>
            </w:tcBorders>
          </w:tcPr>
          <w:p w:rsidR="00C31389" w:rsidRDefault="00561FBD" w14:paraId="7272DF04" w14:textId="77777777">
            <w:pPr>
              <w:pStyle w:val="TableParagraph"/>
              <w:ind w:right="966"/>
              <w:jc w:val="right"/>
              <w:rPr>
                <w:rFonts w:ascii="Calibri"/>
              </w:rPr>
            </w:pPr>
            <w:r>
              <w:rPr>
                <w:rFonts w:ascii="Calibri"/>
                <w:spacing w:val="-2"/>
              </w:rPr>
              <w:t>$0.81</w:t>
            </w:r>
          </w:p>
        </w:tc>
        <w:tc>
          <w:tcPr>
            <w:tcW w:w="2382" w:type="dxa"/>
            <w:tcBorders>
              <w:top w:val="single" w:color="B6B6B6" w:sz="4" w:space="0"/>
              <w:bottom w:val="single" w:color="B6B6B6" w:sz="4" w:space="0"/>
            </w:tcBorders>
          </w:tcPr>
          <w:p w:rsidR="00C31389" w:rsidRDefault="00561FBD" w14:paraId="3BE289A0" w14:textId="77777777">
            <w:pPr>
              <w:pStyle w:val="TableParagraph"/>
              <w:ind w:left="960"/>
              <w:rPr>
                <w:rFonts w:ascii="Calibri"/>
              </w:rPr>
            </w:pPr>
            <w:r>
              <w:rPr>
                <w:rFonts w:ascii="Calibri"/>
                <w:spacing w:val="-2"/>
              </w:rPr>
              <w:t>$1.22</w:t>
            </w:r>
          </w:p>
        </w:tc>
      </w:tr>
    </w:tbl>
    <w:p w:rsidR="00C31389" w:rsidRDefault="00C31389" w14:paraId="67E7646C" w14:textId="77777777">
      <w:pPr>
        <w:rPr>
          <w:rFonts w:ascii="Calibri"/>
        </w:rPr>
        <w:sectPr w:rsidR="00C31389">
          <w:pgSz w:w="12240" w:h="15840"/>
          <w:pgMar w:top="1660" w:right="1240" w:bottom="1120" w:left="1220" w:header="397" w:footer="936" w:gutter="0"/>
          <w:cols w:space="720"/>
        </w:sectPr>
      </w:pPr>
    </w:p>
    <w:p w:rsidR="00C31389" w:rsidRDefault="00C31389" w14:paraId="33046145" w14:textId="77777777">
      <w:pPr>
        <w:pStyle w:val="BodyText"/>
        <w:rPr>
          <w:b/>
        </w:rPr>
      </w:pPr>
    </w:p>
    <w:tbl>
      <w:tblPr>
        <w:tblW w:w="0" w:type="auto"/>
        <w:tblInd w:w="855" w:type="dxa"/>
        <w:tblLayout w:type="fixed"/>
        <w:tblCellMar>
          <w:left w:w="0" w:type="dxa"/>
          <w:right w:w="0" w:type="dxa"/>
        </w:tblCellMar>
        <w:tblLook w:val="01E0" w:firstRow="1" w:lastRow="1" w:firstColumn="1" w:lastColumn="1" w:noHBand="0" w:noVBand="0"/>
      </w:tblPr>
      <w:tblGrid>
        <w:gridCol w:w="2995"/>
        <w:gridCol w:w="2717"/>
        <w:gridCol w:w="2385"/>
      </w:tblGrid>
      <w:tr w:rsidR="00C31389" w14:paraId="6F660CDF" w14:textId="77777777">
        <w:trPr>
          <w:trHeight w:val="348"/>
        </w:trPr>
        <w:tc>
          <w:tcPr>
            <w:tcW w:w="2995" w:type="dxa"/>
            <w:tcBorders>
              <w:top w:val="single" w:color="B6B6B6" w:sz="4" w:space="0"/>
              <w:bottom w:val="single" w:color="B6B6B6" w:sz="4" w:space="0"/>
            </w:tcBorders>
          </w:tcPr>
          <w:p w:rsidR="00C31389" w:rsidRDefault="00561FBD" w14:paraId="4A146C55" w14:textId="77777777">
            <w:pPr>
              <w:pStyle w:val="TableParagraph"/>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School</w:t>
            </w:r>
          </w:p>
        </w:tc>
        <w:tc>
          <w:tcPr>
            <w:tcW w:w="2717" w:type="dxa"/>
            <w:tcBorders>
              <w:top w:val="single" w:color="B6B6B6" w:sz="4" w:space="0"/>
              <w:bottom w:val="single" w:color="B6B6B6" w:sz="4" w:space="0"/>
            </w:tcBorders>
          </w:tcPr>
          <w:p w:rsidR="00C31389" w:rsidRDefault="00561FBD" w14:paraId="0C8CD1AC" w14:textId="77777777">
            <w:pPr>
              <w:pStyle w:val="TableParagraph"/>
              <w:ind w:right="962"/>
              <w:jc w:val="right"/>
              <w:rPr>
                <w:rFonts w:ascii="Calibri"/>
              </w:rPr>
            </w:pPr>
            <w:r>
              <w:rPr>
                <w:rFonts w:ascii="Calibri"/>
                <w:spacing w:val="-2"/>
              </w:rPr>
              <w:t>$0.28</w:t>
            </w:r>
          </w:p>
        </w:tc>
        <w:tc>
          <w:tcPr>
            <w:tcW w:w="2385" w:type="dxa"/>
            <w:tcBorders>
              <w:top w:val="single" w:color="B6B6B6" w:sz="4" w:space="0"/>
              <w:bottom w:val="single" w:color="B6B6B6" w:sz="4" w:space="0"/>
            </w:tcBorders>
          </w:tcPr>
          <w:p w:rsidR="00C31389" w:rsidRDefault="00561FBD" w14:paraId="11547054" w14:textId="77777777">
            <w:pPr>
              <w:pStyle w:val="TableParagraph"/>
              <w:ind w:right="917"/>
              <w:jc w:val="right"/>
              <w:rPr>
                <w:rFonts w:ascii="Calibri"/>
              </w:rPr>
            </w:pPr>
            <w:r>
              <w:rPr>
                <w:rFonts w:ascii="Calibri"/>
                <w:spacing w:val="-2"/>
              </w:rPr>
              <w:t>$0.42</w:t>
            </w:r>
          </w:p>
        </w:tc>
      </w:tr>
      <w:tr w:rsidR="00C31389" w14:paraId="0BCB6DD6" w14:textId="77777777">
        <w:trPr>
          <w:trHeight w:val="348"/>
        </w:trPr>
        <w:tc>
          <w:tcPr>
            <w:tcW w:w="2995" w:type="dxa"/>
            <w:tcBorders>
              <w:top w:val="single" w:color="B6B6B6" w:sz="4" w:space="0"/>
              <w:bottom w:val="single" w:color="B6B6B6" w:sz="4" w:space="0"/>
            </w:tcBorders>
          </w:tcPr>
          <w:p w:rsidR="00C31389" w:rsidRDefault="00561FBD" w14:paraId="3908B65B" w14:textId="77777777">
            <w:pPr>
              <w:pStyle w:val="TableParagraph"/>
              <w:ind w:left="115"/>
              <w:rPr>
                <w:rFonts w:ascii="Calibri"/>
                <w:b/>
              </w:rPr>
            </w:pPr>
            <w:r>
              <w:rPr>
                <w:rFonts w:ascii="Calibri"/>
                <w:b/>
              </w:rPr>
              <w:t>Com</w:t>
            </w:r>
            <w:r>
              <w:rPr>
                <w:rFonts w:ascii="Calibri"/>
                <w:b/>
                <w:spacing w:val="-4"/>
              </w:rPr>
              <w:t xml:space="preserve"> </w:t>
            </w:r>
            <w:r>
              <w:rPr>
                <w:rFonts w:ascii="Calibri"/>
                <w:b/>
              </w:rPr>
              <w:t>-</w:t>
            </w:r>
            <w:r>
              <w:rPr>
                <w:rFonts w:ascii="Calibri"/>
                <w:b/>
                <w:spacing w:val="-3"/>
              </w:rPr>
              <w:t xml:space="preserve"> </w:t>
            </w:r>
            <w:r>
              <w:rPr>
                <w:rFonts w:ascii="Calibri"/>
                <w:b/>
                <w:spacing w:val="-2"/>
              </w:rPr>
              <w:t>Warehouse</w:t>
            </w:r>
          </w:p>
        </w:tc>
        <w:tc>
          <w:tcPr>
            <w:tcW w:w="2717" w:type="dxa"/>
            <w:tcBorders>
              <w:top w:val="single" w:color="B6B6B6" w:sz="4" w:space="0"/>
              <w:bottom w:val="single" w:color="B6B6B6" w:sz="4" w:space="0"/>
            </w:tcBorders>
          </w:tcPr>
          <w:p w:rsidR="00C31389" w:rsidRDefault="00561FBD" w14:paraId="1E4897E7" w14:textId="77777777">
            <w:pPr>
              <w:pStyle w:val="TableParagraph"/>
              <w:ind w:right="962"/>
              <w:jc w:val="right"/>
              <w:rPr>
                <w:rFonts w:ascii="Calibri"/>
              </w:rPr>
            </w:pPr>
            <w:r>
              <w:rPr>
                <w:rFonts w:ascii="Calibri"/>
                <w:spacing w:val="-2"/>
              </w:rPr>
              <w:t>$0.45</w:t>
            </w:r>
          </w:p>
        </w:tc>
        <w:tc>
          <w:tcPr>
            <w:tcW w:w="2385" w:type="dxa"/>
            <w:tcBorders>
              <w:top w:val="single" w:color="B6B6B6" w:sz="4" w:space="0"/>
              <w:bottom w:val="single" w:color="B6B6B6" w:sz="4" w:space="0"/>
            </w:tcBorders>
          </w:tcPr>
          <w:p w:rsidR="00C31389" w:rsidRDefault="00561FBD" w14:paraId="61F84066" w14:textId="77777777">
            <w:pPr>
              <w:pStyle w:val="TableParagraph"/>
              <w:ind w:right="917"/>
              <w:jc w:val="right"/>
              <w:rPr>
                <w:rFonts w:ascii="Calibri"/>
              </w:rPr>
            </w:pPr>
            <w:r>
              <w:rPr>
                <w:rFonts w:ascii="Calibri"/>
                <w:spacing w:val="-2"/>
              </w:rPr>
              <w:t>$0.68</w:t>
            </w:r>
          </w:p>
        </w:tc>
      </w:tr>
    </w:tbl>
    <w:p w:rsidR="00C31389" w:rsidRDefault="00561FBD" w14:paraId="164169FC" w14:textId="77777777">
      <w:pPr>
        <w:spacing w:before="61"/>
        <w:ind w:left="940"/>
        <w:rPr>
          <w:i/>
          <w:sz w:val="18"/>
        </w:rPr>
      </w:pPr>
      <w:r>
        <w:rPr>
          <w:i/>
          <w:sz w:val="18"/>
        </w:rPr>
        <w:t>Source:</w:t>
      </w:r>
      <w:r>
        <w:rPr>
          <w:i/>
          <w:spacing w:val="-4"/>
          <w:sz w:val="18"/>
        </w:rPr>
        <w:t xml:space="preserve"> </w:t>
      </w:r>
      <w:r>
        <w:rPr>
          <w:i/>
          <w:spacing w:val="-2"/>
          <w:sz w:val="18"/>
        </w:rPr>
        <w:t>Guidehouse</w:t>
      </w:r>
    </w:p>
    <w:p w:rsidR="00C31389" w:rsidRDefault="00C31389" w14:paraId="668BA7B6" w14:textId="77777777">
      <w:pPr>
        <w:pStyle w:val="BodyText"/>
        <w:spacing w:before="9"/>
        <w:rPr>
          <w:i/>
          <w:sz w:val="20"/>
        </w:rPr>
      </w:pPr>
    </w:p>
    <w:p w:rsidR="00C31389" w:rsidRDefault="00561FBD" w14:paraId="16ADCFAE" w14:textId="77777777">
      <w:pPr>
        <w:pStyle w:val="ListParagraph"/>
        <w:numPr>
          <w:ilvl w:val="2"/>
          <w:numId w:val="2"/>
        </w:numPr>
        <w:tabs>
          <w:tab w:val="left" w:pos="625"/>
        </w:tabs>
        <w:ind w:left="625"/>
      </w:pPr>
      <w:r>
        <w:t>Step</w:t>
      </w:r>
      <w:r>
        <w:rPr>
          <w:spacing w:val="-6"/>
        </w:rPr>
        <w:t xml:space="preserve"> </w:t>
      </w:r>
      <w:r>
        <w:t>4</w:t>
      </w:r>
      <w:r>
        <w:rPr>
          <w:spacing w:val="-6"/>
        </w:rPr>
        <w:t xml:space="preserve"> </w:t>
      </w:r>
      <w:r>
        <w:t>–calculate</w:t>
      </w:r>
      <w:r>
        <w:rPr>
          <w:spacing w:val="-6"/>
        </w:rPr>
        <w:t xml:space="preserve"> </w:t>
      </w:r>
      <w:r>
        <w:rPr>
          <w:b/>
        </w:rPr>
        <w:t>Expected</w:t>
      </w:r>
      <w:r>
        <w:rPr>
          <w:b/>
          <w:spacing w:val="-6"/>
        </w:rPr>
        <w:t xml:space="preserve"> </w:t>
      </w:r>
      <w:r>
        <w:rPr>
          <w:b/>
        </w:rPr>
        <w:t>tax</w:t>
      </w:r>
      <w:r>
        <w:rPr>
          <w:b/>
          <w:spacing w:val="-6"/>
        </w:rPr>
        <w:t xml:space="preserve"> </w:t>
      </w:r>
      <w:r>
        <w:rPr>
          <w:b/>
        </w:rPr>
        <w:t>credit</w:t>
      </w:r>
      <w:r>
        <w:rPr>
          <w:b/>
          <w:spacing w:val="-6"/>
        </w:rPr>
        <w:t xml:space="preserve"> </w:t>
      </w:r>
      <w:r>
        <w:rPr>
          <w:b/>
        </w:rPr>
        <w:t>($/unit)</w:t>
      </w:r>
      <w:r>
        <w:rPr>
          <w:b/>
          <w:spacing w:val="-6"/>
        </w:rPr>
        <w:t xml:space="preserve"> </w:t>
      </w:r>
      <w:r>
        <w:t>for</w:t>
      </w:r>
      <w:r>
        <w:rPr>
          <w:spacing w:val="-6"/>
        </w:rPr>
        <w:t xml:space="preserve"> </w:t>
      </w:r>
      <w:r>
        <w:t>each</w:t>
      </w:r>
      <w:r>
        <w:rPr>
          <w:spacing w:val="-6"/>
        </w:rPr>
        <w:t xml:space="preserve"> </w:t>
      </w:r>
      <w:r>
        <w:t>IOU</w:t>
      </w:r>
      <w:r>
        <w:rPr>
          <w:spacing w:val="-7"/>
        </w:rPr>
        <w:t xml:space="preserve"> </w:t>
      </w:r>
      <w:r>
        <w:t>and</w:t>
      </w:r>
      <w:r>
        <w:rPr>
          <w:spacing w:val="-6"/>
        </w:rPr>
        <w:t xml:space="preserve"> </w:t>
      </w:r>
      <w:r>
        <w:t>Building</w:t>
      </w:r>
      <w:r>
        <w:rPr>
          <w:spacing w:val="-6"/>
        </w:rPr>
        <w:t xml:space="preserve"> </w:t>
      </w:r>
      <w:r>
        <w:rPr>
          <w:spacing w:val="-4"/>
        </w:rPr>
        <w:t>Type</w:t>
      </w:r>
    </w:p>
    <w:p w:rsidR="00C31389" w:rsidRDefault="00561FBD" w14:paraId="25050288" w14:textId="77777777">
      <w:pPr>
        <w:pStyle w:val="ListParagraph"/>
        <w:numPr>
          <w:ilvl w:val="3"/>
          <w:numId w:val="2"/>
        </w:numPr>
        <w:tabs>
          <w:tab w:val="left" w:pos="1343"/>
          <w:tab w:val="left" w:pos="1345"/>
        </w:tabs>
        <w:spacing w:before="122" w:line="235" w:lineRule="auto"/>
        <w:ind w:left="1345" w:right="262" w:hanging="361"/>
      </w:pPr>
      <w:r>
        <w:t xml:space="preserve">The above $/sq ft tax credit values were divided by the overall savings per unit building area for each building type (kWh/sq ft or </w:t>
      </w:r>
      <w:r>
        <w:t>Therms/sq ft) resulting in an average</w:t>
      </w:r>
      <w:r>
        <w:rPr>
          <w:spacing w:val="-3"/>
        </w:rPr>
        <w:t xml:space="preserve"> </w:t>
      </w:r>
      <w:r>
        <w:t>IRA</w:t>
      </w:r>
      <w:r>
        <w:rPr>
          <w:spacing w:val="-3"/>
        </w:rPr>
        <w:t xml:space="preserve"> </w:t>
      </w:r>
      <w:r>
        <w:t>tax</w:t>
      </w:r>
      <w:r>
        <w:rPr>
          <w:spacing w:val="-3"/>
        </w:rPr>
        <w:t xml:space="preserve"> </w:t>
      </w:r>
      <w:r>
        <w:t>credit</w:t>
      </w:r>
      <w:r>
        <w:rPr>
          <w:spacing w:val="-3"/>
        </w:rPr>
        <w:t xml:space="preserve"> </w:t>
      </w:r>
      <w:r>
        <w:t>$/unit</w:t>
      </w:r>
      <w:r>
        <w:rPr>
          <w:spacing w:val="-3"/>
        </w:rPr>
        <w:t xml:space="preserve"> </w:t>
      </w:r>
      <w:r>
        <w:t>energy</w:t>
      </w:r>
      <w:r>
        <w:rPr>
          <w:spacing w:val="-4"/>
        </w:rPr>
        <w:t xml:space="preserve"> </w:t>
      </w:r>
      <w:r>
        <w:t>savings.</w:t>
      </w:r>
      <w:r>
        <w:rPr>
          <w:spacing w:val="-4"/>
        </w:rPr>
        <w:t xml:space="preserve"> </w:t>
      </w:r>
      <w:r>
        <w:t>This</w:t>
      </w:r>
      <w:r>
        <w:rPr>
          <w:spacing w:val="-3"/>
        </w:rPr>
        <w:t xml:space="preserve"> </w:t>
      </w:r>
      <w:r>
        <w:t>product</w:t>
      </w:r>
      <w:r>
        <w:rPr>
          <w:spacing w:val="-3"/>
        </w:rPr>
        <w:t xml:space="preserve"> </w:t>
      </w:r>
      <w:r>
        <w:t>was</w:t>
      </w:r>
      <w:r>
        <w:rPr>
          <w:spacing w:val="-3"/>
        </w:rPr>
        <w:t xml:space="preserve"> </w:t>
      </w:r>
      <w:r>
        <w:t>multiplied</w:t>
      </w:r>
      <w:r>
        <w:rPr>
          <w:spacing w:val="-4"/>
        </w:rPr>
        <w:t xml:space="preserve"> </w:t>
      </w:r>
      <w:r>
        <w:t>by</w:t>
      </w:r>
      <w:r>
        <w:rPr>
          <w:spacing w:val="-3"/>
        </w:rPr>
        <w:t xml:space="preserve"> </w:t>
      </w:r>
      <w:r>
        <w:t>the</w:t>
      </w:r>
      <w:r>
        <w:rPr>
          <w:spacing w:val="-3"/>
        </w:rPr>
        <w:t xml:space="preserve"> </w:t>
      </w:r>
      <w:r>
        <w:t>unit energy savings (kWh/Unit or Therms/Unit for each applicable measure, deriving the IRA tax credit $/unit.</w:t>
      </w:r>
    </w:p>
    <w:p w:rsidR="00C31389" w:rsidRDefault="00561FBD" w14:paraId="4C3ED759" w14:textId="77777777">
      <w:pPr>
        <w:pStyle w:val="ListParagraph"/>
        <w:numPr>
          <w:ilvl w:val="2"/>
          <w:numId w:val="2"/>
        </w:numPr>
        <w:tabs>
          <w:tab w:val="left" w:pos="625"/>
        </w:tabs>
        <w:spacing w:before="123"/>
        <w:ind w:left="625" w:right="1142"/>
      </w:pPr>
      <w:r>
        <w:t>Step</w:t>
      </w:r>
      <w:r>
        <w:rPr>
          <w:spacing w:val="-3"/>
        </w:rPr>
        <w:t xml:space="preserve"> </w:t>
      </w:r>
      <w:r>
        <w:t>5</w:t>
      </w:r>
      <w:r>
        <w:rPr>
          <w:spacing w:val="-3"/>
        </w:rPr>
        <w:t xml:space="preserve"> </w:t>
      </w:r>
      <w:r>
        <w:t>-</w:t>
      </w:r>
      <w:r>
        <w:rPr>
          <w:spacing w:val="-3"/>
        </w:rPr>
        <w:t xml:space="preserve"> </w:t>
      </w:r>
      <w:r>
        <w:t>Expected</w:t>
      </w:r>
      <w:r>
        <w:rPr>
          <w:spacing w:val="-3"/>
        </w:rPr>
        <w:t xml:space="preserve"> </w:t>
      </w:r>
      <w:r>
        <w:t>tax</w:t>
      </w:r>
      <w:r>
        <w:rPr>
          <w:spacing w:val="-3"/>
        </w:rPr>
        <w:t xml:space="preserve"> </w:t>
      </w:r>
      <w:r>
        <w:t>credit/unit</w:t>
      </w:r>
      <w:r>
        <w:rPr>
          <w:spacing w:val="-3"/>
        </w:rPr>
        <w:t xml:space="preserve"> </w:t>
      </w:r>
      <w:r>
        <w:t>values</w:t>
      </w:r>
      <w:r>
        <w:rPr>
          <w:spacing w:val="-3"/>
        </w:rPr>
        <w:t xml:space="preserve"> </w:t>
      </w:r>
      <w:r>
        <w:t>from</w:t>
      </w:r>
      <w:r>
        <w:rPr>
          <w:spacing w:val="-4"/>
        </w:rPr>
        <w:t xml:space="preserve"> </w:t>
      </w:r>
      <w:r>
        <w:t>Step</w:t>
      </w:r>
      <w:r>
        <w:rPr>
          <w:spacing w:val="-3"/>
        </w:rPr>
        <w:t xml:space="preserve"> </w:t>
      </w:r>
      <w:r>
        <w:t>4</w:t>
      </w:r>
      <w:r>
        <w:rPr>
          <w:spacing w:val="-3"/>
        </w:rPr>
        <w:t xml:space="preserve"> </w:t>
      </w:r>
      <w:r>
        <w:t>were</w:t>
      </w:r>
      <w:r>
        <w:rPr>
          <w:spacing w:val="-3"/>
        </w:rPr>
        <w:t xml:space="preserve"> </w:t>
      </w:r>
      <w:r>
        <w:t>then</w:t>
      </w:r>
      <w:r>
        <w:rPr>
          <w:spacing w:val="-3"/>
        </w:rPr>
        <w:t xml:space="preserve"> </w:t>
      </w:r>
      <w:r>
        <w:t>added</w:t>
      </w:r>
      <w:r>
        <w:rPr>
          <w:spacing w:val="-3"/>
        </w:rPr>
        <w:t xml:space="preserve"> </w:t>
      </w:r>
      <w:r>
        <w:t>to</w:t>
      </w:r>
      <w:r>
        <w:rPr>
          <w:spacing w:val="-4"/>
        </w:rPr>
        <w:t xml:space="preserve"> </w:t>
      </w:r>
      <w:r>
        <w:t>applicable Commercial measure workbooks</w:t>
      </w:r>
    </w:p>
    <w:p w:rsidR="00C31389" w:rsidRDefault="00C31389" w14:paraId="21D85729" w14:textId="77777777">
      <w:pPr>
        <w:sectPr w:rsidR="00C31389">
          <w:pgSz w:w="12240" w:h="15840"/>
          <w:pgMar w:top="1660" w:right="1240" w:bottom="1120" w:left="1220" w:header="397" w:footer="936" w:gutter="0"/>
          <w:cols w:space="720"/>
        </w:sectPr>
      </w:pPr>
    </w:p>
    <w:p w:rsidR="00C31389" w:rsidRDefault="00C31389" w14:paraId="039493F8" w14:textId="77777777">
      <w:pPr>
        <w:pStyle w:val="BodyText"/>
      </w:pPr>
    </w:p>
    <w:p w:rsidR="00C31389" w:rsidRDefault="00C31389" w14:paraId="0F1733E8" w14:textId="77777777">
      <w:pPr>
        <w:pStyle w:val="BodyText"/>
        <w:spacing w:before="1"/>
        <w:rPr>
          <w:sz w:val="14"/>
        </w:rPr>
      </w:pPr>
    </w:p>
    <w:p w:rsidR="00C31389" w:rsidRDefault="00561FBD" w14:paraId="082EFCAA" w14:textId="77777777">
      <w:pPr>
        <w:spacing w:before="90"/>
        <w:ind w:left="220"/>
        <w:rPr>
          <w:b/>
          <w:sz w:val="32"/>
        </w:rPr>
      </w:pPr>
      <w:bookmarkStart w:name="Appendix_L._Response_Stakeholder_Comment" w:id="728"/>
      <w:bookmarkStart w:name="_bookmark553" w:id="729"/>
      <w:bookmarkEnd w:id="728"/>
      <w:bookmarkEnd w:id="729"/>
      <w:r>
        <w:rPr>
          <w:b/>
          <w:sz w:val="32"/>
        </w:rPr>
        <w:t>Appendix</w:t>
      </w:r>
      <w:r>
        <w:rPr>
          <w:b/>
          <w:spacing w:val="-6"/>
          <w:sz w:val="32"/>
        </w:rPr>
        <w:t xml:space="preserve"> </w:t>
      </w:r>
      <w:r>
        <w:rPr>
          <w:b/>
          <w:sz w:val="32"/>
        </w:rPr>
        <w:t>L.</w:t>
      </w:r>
      <w:r>
        <w:rPr>
          <w:b/>
          <w:spacing w:val="-7"/>
          <w:sz w:val="32"/>
        </w:rPr>
        <w:t xml:space="preserve"> </w:t>
      </w:r>
      <w:r>
        <w:rPr>
          <w:b/>
          <w:sz w:val="32"/>
        </w:rPr>
        <w:t>Response</w:t>
      </w:r>
      <w:r>
        <w:rPr>
          <w:b/>
          <w:spacing w:val="-7"/>
          <w:sz w:val="32"/>
        </w:rPr>
        <w:t xml:space="preserve"> </w:t>
      </w:r>
      <w:r>
        <w:rPr>
          <w:b/>
          <w:sz w:val="32"/>
        </w:rPr>
        <w:t>Stakeholder</w:t>
      </w:r>
      <w:r>
        <w:rPr>
          <w:b/>
          <w:spacing w:val="-6"/>
          <w:sz w:val="32"/>
        </w:rPr>
        <w:t xml:space="preserve"> </w:t>
      </w:r>
      <w:r>
        <w:rPr>
          <w:b/>
          <w:spacing w:val="-2"/>
          <w:sz w:val="32"/>
        </w:rPr>
        <w:t>Comments</w:t>
      </w:r>
    </w:p>
    <w:p w:rsidR="00C31389" w:rsidRDefault="00561FBD" w14:paraId="0D9FADC6" w14:textId="77777777">
      <w:pPr>
        <w:pStyle w:val="BodyText"/>
        <w:spacing w:before="239"/>
        <w:ind w:left="219"/>
      </w:pPr>
      <w:r>
        <w:t xml:space="preserve">The following pages in this appendix summarizes stakeholder </w:t>
      </w:r>
      <w:r>
        <w:rPr>
          <w:b/>
          <w:u w:val="single"/>
        </w:rPr>
        <w:t>technical</w:t>
      </w:r>
      <w:r>
        <w:rPr>
          <w:b/>
        </w:rPr>
        <w:t xml:space="preserve"> </w:t>
      </w:r>
      <w:r>
        <w:t>comments and the Guidehouse team’s response. This section is not meant to include responses to policy-related comments</w:t>
      </w:r>
      <w:r>
        <w:rPr>
          <w:spacing w:val="-3"/>
        </w:rPr>
        <w:t xml:space="preserve"> </w:t>
      </w:r>
      <w:r>
        <w:t>or</w:t>
      </w:r>
      <w:r>
        <w:rPr>
          <w:spacing w:val="-3"/>
        </w:rPr>
        <w:t xml:space="preserve"> </w:t>
      </w:r>
      <w:r>
        <w:t>stakeholder</w:t>
      </w:r>
      <w:r>
        <w:rPr>
          <w:spacing w:val="-3"/>
        </w:rPr>
        <w:t xml:space="preserve"> </w:t>
      </w:r>
      <w:r>
        <w:t>recommendations</w:t>
      </w:r>
      <w:r>
        <w:rPr>
          <w:spacing w:val="-3"/>
        </w:rPr>
        <w:t xml:space="preserve"> </w:t>
      </w:r>
      <w:r>
        <w:t>on</w:t>
      </w:r>
      <w:r>
        <w:rPr>
          <w:spacing w:val="-4"/>
        </w:rPr>
        <w:t xml:space="preserve"> </w:t>
      </w:r>
      <w:r>
        <w:t>what</w:t>
      </w:r>
      <w:r>
        <w:rPr>
          <w:spacing w:val="-3"/>
        </w:rPr>
        <w:t xml:space="preserve"> </w:t>
      </w:r>
      <w:r>
        <w:t>scenario</w:t>
      </w:r>
      <w:r>
        <w:rPr>
          <w:spacing w:val="-3"/>
        </w:rPr>
        <w:t xml:space="preserve"> </w:t>
      </w:r>
      <w:r>
        <w:t>to</w:t>
      </w:r>
      <w:r>
        <w:rPr>
          <w:spacing w:val="-3"/>
        </w:rPr>
        <w:t xml:space="preserve"> </w:t>
      </w:r>
      <w:r>
        <w:t>adopt</w:t>
      </w:r>
      <w:r>
        <w:rPr>
          <w:spacing w:val="-3"/>
        </w:rPr>
        <w:t xml:space="preserve"> </w:t>
      </w:r>
      <w:r>
        <w:t>for</w:t>
      </w:r>
      <w:r>
        <w:rPr>
          <w:spacing w:val="-3"/>
        </w:rPr>
        <w:t xml:space="preserve"> </w:t>
      </w:r>
      <w:r>
        <w:t>goals</w:t>
      </w:r>
      <w:r>
        <w:rPr>
          <w:spacing w:val="-3"/>
        </w:rPr>
        <w:t xml:space="preserve"> </w:t>
      </w:r>
      <w:r>
        <w:t>as</w:t>
      </w:r>
      <w:r>
        <w:rPr>
          <w:spacing w:val="-3"/>
        </w:rPr>
        <w:t xml:space="preserve"> </w:t>
      </w:r>
      <w:r>
        <w:t>they</w:t>
      </w:r>
      <w:r>
        <w:rPr>
          <w:spacing w:val="-3"/>
        </w:rPr>
        <w:t xml:space="preserve"> </w:t>
      </w:r>
      <w:r>
        <w:t>are</w:t>
      </w:r>
      <w:r>
        <w:rPr>
          <w:spacing w:val="-3"/>
        </w:rPr>
        <w:t xml:space="preserve"> </w:t>
      </w:r>
      <w:r>
        <w:t>for CPUC staff to consider.</w:t>
      </w:r>
    </w:p>
    <w:p w:rsidR="00C31389" w:rsidRDefault="00C31389" w14:paraId="41DA3841" w14:textId="77777777">
      <w:pPr>
        <w:sectPr w:rsidR="00C31389">
          <w:headerReference w:type="default" r:id="rId351"/>
          <w:footerReference w:type="default" r:id="rId352"/>
          <w:pgSz w:w="12240" w:h="15840"/>
          <w:pgMar w:top="1380" w:right="1240" w:bottom="1120" w:left="1220" w:header="397" w:footer="936" w:gutter="0"/>
          <w:cols w:space="720"/>
        </w:sectPr>
      </w:pPr>
    </w:p>
    <w:p w:rsidR="00C31389" w:rsidRDefault="00C31389" w14:paraId="6BACFFB6" w14:textId="77777777">
      <w:pPr>
        <w:pStyle w:val="BodyText"/>
        <w:spacing w:before="6"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549"/>
        <w:gridCol w:w="1233"/>
        <w:gridCol w:w="5414"/>
        <w:gridCol w:w="3415"/>
      </w:tblGrid>
      <w:tr w:rsidR="00C31389" w14:paraId="23279A0A" w14:textId="77777777">
        <w:trPr>
          <w:trHeight w:val="261"/>
        </w:trPr>
        <w:tc>
          <w:tcPr>
            <w:tcW w:w="1549" w:type="dxa"/>
            <w:shd w:val="clear" w:color="auto" w:fill="94D500"/>
          </w:tcPr>
          <w:p w:rsidR="00C31389" w:rsidRDefault="00561FBD" w14:paraId="66DACABF" w14:textId="77777777">
            <w:pPr>
              <w:pStyle w:val="TableParagraph"/>
              <w:spacing w:before="26"/>
              <w:ind w:left="122"/>
              <w:rPr>
                <w:b/>
                <w:sz w:val="18"/>
              </w:rPr>
            </w:pPr>
            <w:r>
              <w:rPr>
                <w:b/>
                <w:spacing w:val="-2"/>
                <w:sz w:val="18"/>
              </w:rPr>
              <w:t>Subject</w:t>
            </w:r>
          </w:p>
        </w:tc>
        <w:tc>
          <w:tcPr>
            <w:tcW w:w="1233" w:type="dxa"/>
            <w:shd w:val="clear" w:color="auto" w:fill="94D500"/>
          </w:tcPr>
          <w:p w:rsidR="00C31389" w:rsidRDefault="00561FBD" w14:paraId="72A0F54C" w14:textId="77777777">
            <w:pPr>
              <w:pStyle w:val="TableParagraph"/>
              <w:spacing w:before="26"/>
              <w:ind w:left="278"/>
              <w:rPr>
                <w:b/>
                <w:sz w:val="18"/>
              </w:rPr>
            </w:pPr>
            <w:r>
              <w:rPr>
                <w:b/>
                <w:spacing w:val="-2"/>
                <w:sz w:val="18"/>
              </w:rPr>
              <w:t>Affiliation</w:t>
            </w:r>
          </w:p>
        </w:tc>
        <w:tc>
          <w:tcPr>
            <w:tcW w:w="5414" w:type="dxa"/>
            <w:shd w:val="clear" w:color="auto" w:fill="94D500"/>
          </w:tcPr>
          <w:p w:rsidR="00C31389" w:rsidRDefault="00561FBD" w14:paraId="23EF64BD" w14:textId="77777777">
            <w:pPr>
              <w:pStyle w:val="TableParagraph"/>
              <w:spacing w:before="26"/>
              <w:ind w:left="125"/>
              <w:rPr>
                <w:b/>
                <w:sz w:val="18"/>
              </w:rPr>
            </w:pPr>
            <w:r>
              <w:rPr>
                <w:b/>
                <w:sz w:val="18"/>
              </w:rPr>
              <w:t>Summary</w:t>
            </w:r>
            <w:r>
              <w:rPr>
                <w:b/>
                <w:spacing w:val="-3"/>
                <w:sz w:val="18"/>
              </w:rPr>
              <w:t xml:space="preserve"> </w:t>
            </w:r>
            <w:r>
              <w:rPr>
                <w:b/>
                <w:sz w:val="18"/>
              </w:rPr>
              <w:t>of</w:t>
            </w:r>
            <w:r>
              <w:rPr>
                <w:b/>
                <w:spacing w:val="-2"/>
                <w:sz w:val="18"/>
              </w:rPr>
              <w:t xml:space="preserve"> Issue</w:t>
            </w:r>
          </w:p>
        </w:tc>
        <w:tc>
          <w:tcPr>
            <w:tcW w:w="3415" w:type="dxa"/>
            <w:shd w:val="clear" w:color="auto" w:fill="94D500"/>
          </w:tcPr>
          <w:p w:rsidR="00C31389" w:rsidRDefault="00561FBD" w14:paraId="31F87184" w14:textId="77777777">
            <w:pPr>
              <w:pStyle w:val="TableParagraph"/>
              <w:spacing w:before="26"/>
              <w:ind w:left="111"/>
              <w:rPr>
                <w:b/>
                <w:sz w:val="18"/>
              </w:rPr>
            </w:pPr>
            <w:r>
              <w:rPr>
                <w:b/>
                <w:sz w:val="18"/>
              </w:rPr>
              <w:t>Guidehouse</w:t>
            </w:r>
            <w:r>
              <w:rPr>
                <w:b/>
                <w:spacing w:val="-4"/>
                <w:sz w:val="18"/>
              </w:rPr>
              <w:t xml:space="preserve"> </w:t>
            </w:r>
            <w:r>
              <w:rPr>
                <w:b/>
                <w:spacing w:val="-2"/>
                <w:sz w:val="18"/>
              </w:rPr>
              <w:t>Response</w:t>
            </w:r>
          </w:p>
        </w:tc>
      </w:tr>
      <w:tr w:rsidR="00C31389" w14:paraId="196E5BA0" w14:textId="77777777">
        <w:trPr>
          <w:trHeight w:val="1610"/>
        </w:trPr>
        <w:tc>
          <w:tcPr>
            <w:tcW w:w="1549" w:type="dxa"/>
            <w:tcBorders>
              <w:bottom w:val="single" w:color="94D500" w:sz="4" w:space="0"/>
            </w:tcBorders>
          </w:tcPr>
          <w:p w:rsidR="00C31389" w:rsidRDefault="00C31389" w14:paraId="414D373E" w14:textId="77777777">
            <w:pPr>
              <w:pStyle w:val="TableParagraph"/>
              <w:spacing w:before="0"/>
              <w:rPr>
                <w:sz w:val="20"/>
              </w:rPr>
            </w:pPr>
          </w:p>
          <w:p w:rsidR="00C31389" w:rsidRDefault="00C31389" w14:paraId="4A4D158C" w14:textId="77777777">
            <w:pPr>
              <w:pStyle w:val="TableParagraph"/>
              <w:spacing w:before="0"/>
              <w:rPr>
                <w:sz w:val="20"/>
              </w:rPr>
            </w:pPr>
          </w:p>
          <w:p w:rsidR="00C31389" w:rsidRDefault="00C31389" w14:paraId="0A407567" w14:textId="77777777">
            <w:pPr>
              <w:pStyle w:val="TableParagraph"/>
              <w:spacing w:before="11"/>
              <w:rPr>
                <w:sz w:val="20"/>
              </w:rPr>
            </w:pPr>
          </w:p>
          <w:p w:rsidR="00C31389" w:rsidRDefault="00561FBD" w14:paraId="65E4A637" w14:textId="77777777">
            <w:pPr>
              <w:pStyle w:val="TableParagraph"/>
              <w:spacing w:before="0"/>
              <w:ind w:left="122"/>
              <w:rPr>
                <w:b/>
                <w:sz w:val="18"/>
              </w:rPr>
            </w:pPr>
            <w:r>
              <w:rPr>
                <w:b/>
                <w:spacing w:val="-4"/>
                <w:sz w:val="18"/>
              </w:rPr>
              <w:t>BROs</w:t>
            </w:r>
          </w:p>
        </w:tc>
        <w:tc>
          <w:tcPr>
            <w:tcW w:w="1233" w:type="dxa"/>
            <w:tcBorders>
              <w:bottom w:val="single" w:color="94D500" w:sz="4" w:space="0"/>
            </w:tcBorders>
          </w:tcPr>
          <w:p w:rsidR="00C31389" w:rsidRDefault="00C31389" w14:paraId="0FC975DB" w14:textId="77777777">
            <w:pPr>
              <w:pStyle w:val="TableParagraph"/>
              <w:spacing w:before="0"/>
              <w:rPr>
                <w:sz w:val="20"/>
              </w:rPr>
            </w:pPr>
          </w:p>
          <w:p w:rsidR="00C31389" w:rsidRDefault="00C31389" w14:paraId="3EBB1F49" w14:textId="77777777">
            <w:pPr>
              <w:pStyle w:val="TableParagraph"/>
              <w:spacing w:before="0"/>
              <w:rPr>
                <w:sz w:val="20"/>
              </w:rPr>
            </w:pPr>
          </w:p>
          <w:p w:rsidR="00C31389" w:rsidRDefault="00C31389" w14:paraId="2BAC0D5C" w14:textId="77777777">
            <w:pPr>
              <w:pStyle w:val="TableParagraph"/>
              <w:spacing w:before="11"/>
              <w:rPr>
                <w:sz w:val="20"/>
              </w:rPr>
            </w:pPr>
          </w:p>
          <w:p w:rsidR="00C31389" w:rsidRDefault="00561FBD" w14:paraId="02895419" w14:textId="77777777">
            <w:pPr>
              <w:pStyle w:val="TableParagraph"/>
              <w:spacing w:before="0"/>
              <w:ind w:left="278"/>
              <w:rPr>
                <w:sz w:val="18"/>
              </w:rPr>
            </w:pPr>
            <w:r>
              <w:rPr>
                <w:spacing w:val="-2"/>
                <w:sz w:val="18"/>
              </w:rPr>
              <w:t>CEDMC</w:t>
            </w:r>
          </w:p>
        </w:tc>
        <w:tc>
          <w:tcPr>
            <w:tcW w:w="5414" w:type="dxa"/>
            <w:tcBorders>
              <w:bottom w:val="single" w:color="94D500" w:sz="4" w:space="0"/>
            </w:tcBorders>
          </w:tcPr>
          <w:p w:rsidR="00C31389" w:rsidRDefault="00561FBD" w14:paraId="696BF61B" w14:textId="77777777">
            <w:pPr>
              <w:pStyle w:val="TableParagraph"/>
              <w:spacing w:before="79"/>
              <w:ind w:left="125" w:right="107" w:hanging="1"/>
              <w:rPr>
                <w:sz w:val="18"/>
              </w:rPr>
            </w:pPr>
            <w:r>
              <w:rPr>
                <w:sz w:val="18"/>
              </w:rPr>
              <w:t xml:space="preserve">The </w:t>
            </w:r>
            <w:r>
              <w:rPr>
                <w:sz w:val="18"/>
              </w:rPr>
              <w:t>Commission should address the ongoing issue of BROS EUL.</w:t>
            </w:r>
            <w:r>
              <w:rPr>
                <w:spacing w:val="-6"/>
                <w:sz w:val="18"/>
              </w:rPr>
              <w:t xml:space="preserve"> </w:t>
            </w:r>
            <w:r>
              <w:rPr>
                <w:sz w:val="18"/>
              </w:rPr>
              <w:t>The</w:t>
            </w:r>
            <w:r>
              <w:rPr>
                <w:spacing w:val="-7"/>
                <w:sz w:val="18"/>
              </w:rPr>
              <w:t xml:space="preserve"> </w:t>
            </w:r>
            <w:r>
              <w:rPr>
                <w:sz w:val="18"/>
              </w:rPr>
              <w:t>Council</w:t>
            </w:r>
            <w:r>
              <w:rPr>
                <w:spacing w:val="-6"/>
                <w:sz w:val="18"/>
              </w:rPr>
              <w:t xml:space="preserve"> </w:t>
            </w:r>
            <w:r>
              <w:rPr>
                <w:sz w:val="18"/>
              </w:rPr>
              <w:t>acknowledges</w:t>
            </w:r>
            <w:r>
              <w:rPr>
                <w:spacing w:val="-6"/>
                <w:sz w:val="18"/>
              </w:rPr>
              <w:t xml:space="preserve"> </w:t>
            </w:r>
            <w:r>
              <w:rPr>
                <w:sz w:val="18"/>
              </w:rPr>
              <w:t>that</w:t>
            </w:r>
            <w:r>
              <w:rPr>
                <w:spacing w:val="-6"/>
                <w:sz w:val="18"/>
              </w:rPr>
              <w:t xml:space="preserve"> </w:t>
            </w:r>
            <w:r>
              <w:rPr>
                <w:sz w:val="18"/>
              </w:rPr>
              <w:t>Resolution</w:t>
            </w:r>
            <w:r>
              <w:rPr>
                <w:spacing w:val="-7"/>
                <w:sz w:val="18"/>
              </w:rPr>
              <w:t xml:space="preserve"> </w:t>
            </w:r>
            <w:r>
              <w:rPr>
                <w:sz w:val="18"/>
              </w:rPr>
              <w:t>E-5082</w:t>
            </w:r>
            <w:r>
              <w:rPr>
                <w:spacing w:val="-7"/>
                <w:sz w:val="18"/>
              </w:rPr>
              <w:t xml:space="preserve"> </w:t>
            </w:r>
            <w:r>
              <w:rPr>
                <w:sz w:val="18"/>
              </w:rPr>
              <w:t>requires “EULs for BROs measures… established in Decision D.16-08- 019… can only be updated by a future decision” and therefore may not be able to be r</w:t>
            </w:r>
            <w:r>
              <w:rPr>
                <w:sz w:val="18"/>
              </w:rPr>
              <w:t>esolved through the Draft 2023 P&amp;G Study. However, the Draft 2023 P&amp;G Study continues to capture undervalued</w:t>
            </w:r>
            <w:r>
              <w:rPr>
                <w:spacing w:val="-5"/>
                <w:sz w:val="18"/>
              </w:rPr>
              <w:t xml:space="preserve"> </w:t>
            </w:r>
            <w:r>
              <w:rPr>
                <w:sz w:val="18"/>
              </w:rPr>
              <w:t>BROs</w:t>
            </w:r>
            <w:r>
              <w:rPr>
                <w:spacing w:val="-4"/>
                <w:sz w:val="18"/>
              </w:rPr>
              <w:t xml:space="preserve"> </w:t>
            </w:r>
            <w:r>
              <w:rPr>
                <w:sz w:val="18"/>
              </w:rPr>
              <w:t>due</w:t>
            </w:r>
            <w:r>
              <w:rPr>
                <w:spacing w:val="-5"/>
                <w:sz w:val="18"/>
              </w:rPr>
              <w:t xml:space="preserve"> </w:t>
            </w:r>
            <w:r>
              <w:rPr>
                <w:sz w:val="18"/>
              </w:rPr>
              <w:t>to</w:t>
            </w:r>
            <w:r>
              <w:rPr>
                <w:spacing w:val="-5"/>
                <w:sz w:val="18"/>
              </w:rPr>
              <w:t xml:space="preserve"> </w:t>
            </w:r>
            <w:r>
              <w:rPr>
                <w:sz w:val="18"/>
              </w:rPr>
              <w:t>overly</w:t>
            </w:r>
            <w:r>
              <w:rPr>
                <w:spacing w:val="-4"/>
                <w:sz w:val="18"/>
              </w:rPr>
              <w:t xml:space="preserve"> </w:t>
            </w:r>
            <w:r>
              <w:rPr>
                <w:sz w:val="18"/>
              </w:rPr>
              <w:t>conservative</w:t>
            </w:r>
            <w:r>
              <w:rPr>
                <w:spacing w:val="-5"/>
                <w:sz w:val="18"/>
              </w:rPr>
              <w:t xml:space="preserve"> </w:t>
            </w:r>
            <w:r>
              <w:rPr>
                <w:sz w:val="18"/>
              </w:rPr>
              <w:t>EUL</w:t>
            </w:r>
            <w:r>
              <w:rPr>
                <w:spacing w:val="-5"/>
                <w:sz w:val="18"/>
              </w:rPr>
              <w:t xml:space="preserve"> </w:t>
            </w:r>
            <w:r>
              <w:rPr>
                <w:sz w:val="18"/>
              </w:rPr>
              <w:t>assumptions.</w:t>
            </w:r>
          </w:p>
        </w:tc>
        <w:tc>
          <w:tcPr>
            <w:tcW w:w="3415" w:type="dxa"/>
            <w:tcBorders>
              <w:bottom w:val="single" w:color="94D500" w:sz="4" w:space="0"/>
            </w:tcBorders>
          </w:tcPr>
          <w:p w:rsidR="00C31389" w:rsidRDefault="00C31389" w14:paraId="6DCD5E66" w14:textId="77777777">
            <w:pPr>
              <w:pStyle w:val="TableParagraph"/>
              <w:spacing w:before="11"/>
              <w:rPr>
                <w:sz w:val="24"/>
              </w:rPr>
            </w:pPr>
          </w:p>
          <w:p w:rsidR="00C31389" w:rsidRDefault="00561FBD" w14:paraId="7AAB51CF" w14:textId="77777777">
            <w:pPr>
              <w:pStyle w:val="TableParagraph"/>
              <w:spacing w:before="0"/>
              <w:ind w:left="111" w:right="120"/>
              <w:rPr>
                <w:sz w:val="18"/>
              </w:rPr>
            </w:pPr>
            <w:r>
              <w:rPr>
                <w:sz w:val="18"/>
              </w:rPr>
              <w:t>The PG study continues to use EULs consistent</w:t>
            </w:r>
            <w:r>
              <w:rPr>
                <w:spacing w:val="-10"/>
                <w:sz w:val="18"/>
              </w:rPr>
              <w:t xml:space="preserve"> </w:t>
            </w:r>
            <w:r>
              <w:rPr>
                <w:sz w:val="18"/>
              </w:rPr>
              <w:t>with</w:t>
            </w:r>
            <w:r>
              <w:rPr>
                <w:spacing w:val="-9"/>
                <w:sz w:val="18"/>
              </w:rPr>
              <w:t xml:space="preserve"> </w:t>
            </w:r>
            <w:r>
              <w:rPr>
                <w:sz w:val="18"/>
              </w:rPr>
              <w:t>current</w:t>
            </w:r>
            <w:r>
              <w:rPr>
                <w:spacing w:val="-10"/>
                <w:sz w:val="18"/>
              </w:rPr>
              <w:t xml:space="preserve"> </w:t>
            </w:r>
            <w:r>
              <w:rPr>
                <w:sz w:val="18"/>
              </w:rPr>
              <w:t>policy.</w:t>
            </w:r>
            <w:r>
              <w:rPr>
                <w:spacing w:val="-10"/>
                <w:sz w:val="18"/>
              </w:rPr>
              <w:t xml:space="preserve"> </w:t>
            </w:r>
            <w:r>
              <w:rPr>
                <w:sz w:val="18"/>
              </w:rPr>
              <w:t>However, we do note that EUL d</w:t>
            </w:r>
            <w:r>
              <w:rPr>
                <w:sz w:val="18"/>
              </w:rPr>
              <w:t>oes impact the TSB value and a higher EUL would increase TSB.</w:t>
            </w:r>
          </w:p>
        </w:tc>
      </w:tr>
      <w:tr w:rsidR="00C31389" w14:paraId="6AEA9D85" w14:textId="77777777">
        <w:trPr>
          <w:trHeight w:val="3590"/>
        </w:trPr>
        <w:tc>
          <w:tcPr>
            <w:tcW w:w="1549" w:type="dxa"/>
            <w:tcBorders>
              <w:top w:val="single" w:color="94D500" w:sz="4" w:space="0"/>
              <w:bottom w:val="single" w:color="94D500" w:sz="4" w:space="0"/>
            </w:tcBorders>
          </w:tcPr>
          <w:p w:rsidR="00C31389" w:rsidRDefault="00C31389" w14:paraId="39BDD27B" w14:textId="77777777">
            <w:pPr>
              <w:pStyle w:val="TableParagraph"/>
              <w:spacing w:before="0"/>
              <w:rPr>
                <w:sz w:val="20"/>
              </w:rPr>
            </w:pPr>
          </w:p>
          <w:p w:rsidR="00C31389" w:rsidRDefault="00C31389" w14:paraId="42408BDB" w14:textId="77777777">
            <w:pPr>
              <w:pStyle w:val="TableParagraph"/>
              <w:spacing w:before="0"/>
              <w:rPr>
                <w:sz w:val="20"/>
              </w:rPr>
            </w:pPr>
          </w:p>
          <w:p w:rsidR="00C31389" w:rsidRDefault="00C31389" w14:paraId="41421BDD" w14:textId="77777777">
            <w:pPr>
              <w:pStyle w:val="TableParagraph"/>
              <w:spacing w:before="0"/>
              <w:rPr>
                <w:sz w:val="20"/>
              </w:rPr>
            </w:pPr>
          </w:p>
          <w:p w:rsidR="00C31389" w:rsidRDefault="00C31389" w14:paraId="2033B5D1" w14:textId="77777777">
            <w:pPr>
              <w:pStyle w:val="TableParagraph"/>
              <w:spacing w:before="0"/>
              <w:rPr>
                <w:sz w:val="20"/>
              </w:rPr>
            </w:pPr>
          </w:p>
          <w:p w:rsidR="00C31389" w:rsidRDefault="00C31389" w14:paraId="7AD2E62B" w14:textId="77777777">
            <w:pPr>
              <w:pStyle w:val="TableParagraph"/>
              <w:spacing w:before="0"/>
              <w:rPr>
                <w:sz w:val="20"/>
              </w:rPr>
            </w:pPr>
          </w:p>
          <w:p w:rsidR="00C31389" w:rsidRDefault="00C31389" w14:paraId="07D4F842" w14:textId="77777777">
            <w:pPr>
              <w:pStyle w:val="TableParagraph"/>
              <w:spacing w:before="0"/>
              <w:rPr>
                <w:sz w:val="20"/>
              </w:rPr>
            </w:pPr>
          </w:p>
          <w:p w:rsidR="00C31389" w:rsidRDefault="00C31389" w14:paraId="1044C08A" w14:textId="77777777">
            <w:pPr>
              <w:pStyle w:val="TableParagraph"/>
              <w:spacing w:before="0"/>
              <w:rPr>
                <w:sz w:val="27"/>
              </w:rPr>
            </w:pPr>
          </w:p>
          <w:p w:rsidR="00C31389" w:rsidRDefault="00561FBD" w14:paraId="389B2954" w14:textId="77777777">
            <w:pPr>
              <w:pStyle w:val="TableParagraph"/>
              <w:spacing w:before="0"/>
              <w:ind w:left="122"/>
              <w:rPr>
                <w:b/>
                <w:sz w:val="18"/>
              </w:rPr>
            </w:pPr>
            <w:r>
              <w:rPr>
                <w:b/>
                <w:spacing w:val="-4"/>
                <w:sz w:val="18"/>
              </w:rPr>
              <w:t>BROs</w:t>
            </w:r>
          </w:p>
        </w:tc>
        <w:tc>
          <w:tcPr>
            <w:tcW w:w="1233" w:type="dxa"/>
            <w:tcBorders>
              <w:top w:val="single" w:color="94D500" w:sz="4" w:space="0"/>
              <w:bottom w:val="single" w:color="94D500" w:sz="4" w:space="0"/>
            </w:tcBorders>
          </w:tcPr>
          <w:p w:rsidR="00C31389" w:rsidRDefault="00C31389" w14:paraId="338D4206" w14:textId="77777777">
            <w:pPr>
              <w:pStyle w:val="TableParagraph"/>
              <w:spacing w:before="0"/>
              <w:rPr>
                <w:sz w:val="20"/>
              </w:rPr>
            </w:pPr>
          </w:p>
          <w:p w:rsidR="00C31389" w:rsidRDefault="00C31389" w14:paraId="4D2AB719" w14:textId="77777777">
            <w:pPr>
              <w:pStyle w:val="TableParagraph"/>
              <w:spacing w:before="0"/>
              <w:rPr>
                <w:sz w:val="20"/>
              </w:rPr>
            </w:pPr>
          </w:p>
          <w:p w:rsidR="00C31389" w:rsidRDefault="00C31389" w14:paraId="7ABF0887" w14:textId="77777777">
            <w:pPr>
              <w:pStyle w:val="TableParagraph"/>
              <w:spacing w:before="0"/>
              <w:rPr>
                <w:sz w:val="20"/>
              </w:rPr>
            </w:pPr>
          </w:p>
          <w:p w:rsidR="00C31389" w:rsidRDefault="00C31389" w14:paraId="0DB72A11" w14:textId="77777777">
            <w:pPr>
              <w:pStyle w:val="TableParagraph"/>
              <w:spacing w:before="0"/>
              <w:rPr>
                <w:sz w:val="20"/>
              </w:rPr>
            </w:pPr>
          </w:p>
          <w:p w:rsidR="00C31389" w:rsidRDefault="00C31389" w14:paraId="46D58DF1" w14:textId="77777777">
            <w:pPr>
              <w:pStyle w:val="TableParagraph"/>
              <w:spacing w:before="0"/>
              <w:rPr>
                <w:sz w:val="20"/>
              </w:rPr>
            </w:pPr>
          </w:p>
          <w:p w:rsidR="00C31389" w:rsidRDefault="00C31389" w14:paraId="09B32022" w14:textId="77777777">
            <w:pPr>
              <w:pStyle w:val="TableParagraph"/>
              <w:spacing w:before="0"/>
              <w:rPr>
                <w:sz w:val="20"/>
              </w:rPr>
            </w:pPr>
          </w:p>
          <w:p w:rsidR="00C31389" w:rsidRDefault="00C31389" w14:paraId="37E47A11" w14:textId="77777777">
            <w:pPr>
              <w:pStyle w:val="TableParagraph"/>
              <w:spacing w:before="0"/>
              <w:rPr>
                <w:sz w:val="27"/>
              </w:rPr>
            </w:pPr>
          </w:p>
          <w:p w:rsidR="00C31389" w:rsidRDefault="00561FBD" w14:paraId="532B9D1D" w14:textId="77777777">
            <w:pPr>
              <w:pStyle w:val="TableParagraph"/>
              <w:spacing w:before="0"/>
              <w:ind w:left="278"/>
              <w:rPr>
                <w:sz w:val="18"/>
              </w:rPr>
            </w:pPr>
            <w:r>
              <w:rPr>
                <w:spacing w:val="-4"/>
                <w:sz w:val="18"/>
              </w:rPr>
              <w:t>PG&amp;E</w:t>
            </w:r>
          </w:p>
        </w:tc>
        <w:tc>
          <w:tcPr>
            <w:tcW w:w="5414" w:type="dxa"/>
            <w:tcBorders>
              <w:top w:val="single" w:color="94D500" w:sz="4" w:space="0"/>
              <w:bottom w:val="single" w:color="94D500" w:sz="4" w:space="0"/>
            </w:tcBorders>
          </w:tcPr>
          <w:p w:rsidR="00C31389" w:rsidRDefault="00561FBD" w14:paraId="4B37518D" w14:textId="77777777">
            <w:pPr>
              <w:pStyle w:val="TableParagraph"/>
              <w:spacing w:before="35"/>
              <w:ind w:left="125" w:right="107"/>
              <w:rPr>
                <w:sz w:val="18"/>
              </w:rPr>
            </w:pPr>
            <w:r>
              <w:rPr>
                <w:sz w:val="18"/>
              </w:rPr>
              <w:t>PG&amp;E recommends excluding Web-Based</w:t>
            </w:r>
            <w:r>
              <w:rPr>
                <w:spacing w:val="-1"/>
                <w:sz w:val="18"/>
              </w:rPr>
              <w:t xml:space="preserve"> </w:t>
            </w:r>
            <w:r>
              <w:rPr>
                <w:sz w:val="18"/>
              </w:rPr>
              <w:t>Real-Time</w:t>
            </w:r>
            <w:r>
              <w:rPr>
                <w:spacing w:val="-1"/>
                <w:sz w:val="18"/>
              </w:rPr>
              <w:t xml:space="preserve"> </w:t>
            </w:r>
            <w:r>
              <w:rPr>
                <w:sz w:val="18"/>
              </w:rPr>
              <w:t xml:space="preserve">Feedback (Web RTF) and Building Energy Information Management Systems (BEIMS) measures from the 2023 PGS because the </w:t>
            </w:r>
            <w:r>
              <w:rPr>
                <w:sz w:val="18"/>
              </w:rPr>
              <w:t>IOUs do not currently have a pathway to claim savings for these measures, and therefore would not be able to achieve any potential associated with them. These measures do not have measure packages to</w:t>
            </w:r>
            <w:r>
              <w:rPr>
                <w:spacing w:val="-1"/>
                <w:sz w:val="18"/>
              </w:rPr>
              <w:t xml:space="preserve"> </w:t>
            </w:r>
            <w:r>
              <w:rPr>
                <w:sz w:val="18"/>
              </w:rPr>
              <w:t>determine</w:t>
            </w:r>
            <w:r>
              <w:rPr>
                <w:spacing w:val="-1"/>
                <w:sz w:val="18"/>
              </w:rPr>
              <w:t xml:space="preserve"> </w:t>
            </w:r>
            <w:r>
              <w:rPr>
                <w:sz w:val="18"/>
              </w:rPr>
              <w:t>claimable</w:t>
            </w:r>
            <w:r>
              <w:rPr>
                <w:spacing w:val="-1"/>
                <w:sz w:val="18"/>
              </w:rPr>
              <w:t xml:space="preserve"> </w:t>
            </w:r>
            <w:r>
              <w:rPr>
                <w:sz w:val="18"/>
              </w:rPr>
              <w:t>TSB using</w:t>
            </w:r>
            <w:r>
              <w:rPr>
                <w:spacing w:val="-1"/>
                <w:sz w:val="18"/>
              </w:rPr>
              <w:t xml:space="preserve"> </w:t>
            </w:r>
            <w:r>
              <w:rPr>
                <w:sz w:val="18"/>
              </w:rPr>
              <w:t>a deemed savings approach.</w:t>
            </w:r>
            <w:r>
              <w:rPr>
                <w:sz w:val="18"/>
              </w:rPr>
              <w:t xml:space="preserve"> Furthermore, the EE PAs may lack the ability to demonstrate appropriate levels of program influence, persistence,</w:t>
            </w:r>
            <w:r>
              <w:rPr>
                <w:spacing w:val="-4"/>
                <w:sz w:val="18"/>
              </w:rPr>
              <w:t xml:space="preserve"> </w:t>
            </w:r>
            <w:r>
              <w:rPr>
                <w:sz w:val="18"/>
              </w:rPr>
              <w:t>and</w:t>
            </w:r>
            <w:r>
              <w:rPr>
                <w:spacing w:val="-5"/>
                <w:sz w:val="18"/>
              </w:rPr>
              <w:t xml:space="preserve"> </w:t>
            </w:r>
            <w:r>
              <w:rPr>
                <w:sz w:val="18"/>
              </w:rPr>
              <w:t>measured</w:t>
            </w:r>
            <w:r>
              <w:rPr>
                <w:spacing w:val="-5"/>
                <w:sz w:val="18"/>
              </w:rPr>
              <w:t xml:space="preserve"> </w:t>
            </w:r>
            <w:r>
              <w:rPr>
                <w:sz w:val="18"/>
              </w:rPr>
              <w:t>savings</w:t>
            </w:r>
            <w:r>
              <w:rPr>
                <w:spacing w:val="-4"/>
                <w:sz w:val="18"/>
              </w:rPr>
              <w:t xml:space="preserve"> </w:t>
            </w:r>
            <w:r>
              <w:rPr>
                <w:sz w:val="18"/>
              </w:rPr>
              <w:t>to</w:t>
            </w:r>
            <w:r>
              <w:rPr>
                <w:spacing w:val="-5"/>
                <w:sz w:val="18"/>
              </w:rPr>
              <w:t xml:space="preserve"> </w:t>
            </w:r>
            <w:r>
              <w:rPr>
                <w:sz w:val="18"/>
              </w:rPr>
              <w:t>be</w:t>
            </w:r>
            <w:r>
              <w:rPr>
                <w:spacing w:val="-3"/>
                <w:sz w:val="18"/>
              </w:rPr>
              <w:t xml:space="preserve"> </w:t>
            </w:r>
            <w:r>
              <w:rPr>
                <w:sz w:val="18"/>
              </w:rPr>
              <w:t>able</w:t>
            </w:r>
            <w:r>
              <w:rPr>
                <w:spacing w:val="-5"/>
                <w:sz w:val="18"/>
              </w:rPr>
              <w:t xml:space="preserve"> </w:t>
            </w:r>
            <w:r>
              <w:rPr>
                <w:sz w:val="18"/>
              </w:rPr>
              <w:t>to</w:t>
            </w:r>
            <w:r>
              <w:rPr>
                <w:spacing w:val="-5"/>
                <w:sz w:val="18"/>
              </w:rPr>
              <w:t xml:space="preserve"> </w:t>
            </w:r>
            <w:r>
              <w:rPr>
                <w:sz w:val="18"/>
              </w:rPr>
              <w:t>claim</w:t>
            </w:r>
            <w:r>
              <w:rPr>
                <w:spacing w:val="-4"/>
                <w:sz w:val="18"/>
              </w:rPr>
              <w:t xml:space="preserve"> </w:t>
            </w:r>
            <w:r>
              <w:rPr>
                <w:sz w:val="18"/>
              </w:rPr>
              <w:t>TSB</w:t>
            </w:r>
            <w:r>
              <w:rPr>
                <w:spacing w:val="-4"/>
                <w:sz w:val="18"/>
              </w:rPr>
              <w:t xml:space="preserve"> </w:t>
            </w:r>
            <w:r>
              <w:rPr>
                <w:sz w:val="18"/>
              </w:rPr>
              <w:t>from a custom approach for Web RTF or BEIMS measures. PG&amp;E also recommends that the “competition</w:t>
            </w:r>
            <w:r>
              <w:rPr>
                <w:sz w:val="18"/>
              </w:rPr>
              <w:t>” types of behavioral interventions (i.e., “COM Competitions”, “Large Challenges and Competitions”,</w:t>
            </w:r>
            <w:r>
              <w:rPr>
                <w:spacing w:val="-5"/>
                <w:sz w:val="18"/>
              </w:rPr>
              <w:t xml:space="preserve"> </w:t>
            </w:r>
            <w:r>
              <w:rPr>
                <w:sz w:val="18"/>
              </w:rPr>
              <w:t>and</w:t>
            </w:r>
            <w:r>
              <w:rPr>
                <w:spacing w:val="-7"/>
                <w:sz w:val="18"/>
              </w:rPr>
              <w:t xml:space="preserve"> </w:t>
            </w:r>
            <w:r>
              <w:rPr>
                <w:sz w:val="18"/>
              </w:rPr>
              <w:t>“Small</w:t>
            </w:r>
            <w:r>
              <w:rPr>
                <w:spacing w:val="-6"/>
                <w:sz w:val="18"/>
              </w:rPr>
              <w:t xml:space="preserve"> </w:t>
            </w:r>
            <w:r>
              <w:rPr>
                <w:sz w:val="18"/>
              </w:rPr>
              <w:t>Challenges</w:t>
            </w:r>
            <w:r>
              <w:rPr>
                <w:spacing w:val="-6"/>
                <w:sz w:val="18"/>
              </w:rPr>
              <w:t xml:space="preserve"> </w:t>
            </w:r>
            <w:r>
              <w:rPr>
                <w:sz w:val="18"/>
              </w:rPr>
              <w:t>and</w:t>
            </w:r>
            <w:r>
              <w:rPr>
                <w:spacing w:val="-7"/>
                <w:sz w:val="18"/>
              </w:rPr>
              <w:t xml:space="preserve"> </w:t>
            </w:r>
            <w:r>
              <w:rPr>
                <w:sz w:val="18"/>
              </w:rPr>
              <w:t>Competitions”)</w:t>
            </w:r>
            <w:r>
              <w:rPr>
                <w:spacing w:val="-6"/>
                <w:sz w:val="18"/>
              </w:rPr>
              <w:t xml:space="preserve"> </w:t>
            </w:r>
            <w:r>
              <w:rPr>
                <w:sz w:val="18"/>
              </w:rPr>
              <w:t>for</w:t>
            </w:r>
            <w:r>
              <w:rPr>
                <w:spacing w:val="-6"/>
                <w:sz w:val="18"/>
              </w:rPr>
              <w:t xml:space="preserve"> </w:t>
            </w:r>
            <w:r>
              <w:rPr>
                <w:sz w:val="18"/>
              </w:rPr>
              <w:t>the BRO measure category be excluded from the PGS because these</w:t>
            </w:r>
            <w:r>
              <w:rPr>
                <w:spacing w:val="-1"/>
                <w:sz w:val="18"/>
              </w:rPr>
              <w:t xml:space="preserve"> </w:t>
            </w:r>
            <w:r>
              <w:rPr>
                <w:sz w:val="18"/>
              </w:rPr>
              <w:t>competition-type</w:t>
            </w:r>
            <w:r>
              <w:rPr>
                <w:spacing w:val="-1"/>
                <w:sz w:val="18"/>
              </w:rPr>
              <w:t xml:space="preserve"> </w:t>
            </w:r>
            <w:r>
              <w:rPr>
                <w:sz w:val="18"/>
              </w:rPr>
              <w:t>interventions are</w:t>
            </w:r>
            <w:r>
              <w:rPr>
                <w:spacing w:val="-1"/>
                <w:sz w:val="18"/>
              </w:rPr>
              <w:t xml:space="preserve"> </w:t>
            </w:r>
            <w:r>
              <w:rPr>
                <w:sz w:val="18"/>
              </w:rPr>
              <w:t xml:space="preserve">not part of </w:t>
            </w:r>
            <w:r>
              <w:rPr>
                <w:sz w:val="18"/>
              </w:rPr>
              <w:t>IOU portfolio offerings</w:t>
            </w:r>
            <w:r>
              <w:rPr>
                <w:spacing w:val="-2"/>
                <w:sz w:val="18"/>
              </w:rPr>
              <w:t xml:space="preserve"> </w:t>
            </w:r>
            <w:r>
              <w:rPr>
                <w:sz w:val="18"/>
              </w:rPr>
              <w:t>and</w:t>
            </w:r>
            <w:r>
              <w:rPr>
                <w:spacing w:val="-3"/>
                <w:sz w:val="18"/>
              </w:rPr>
              <w:t xml:space="preserve"> </w:t>
            </w:r>
            <w:r>
              <w:rPr>
                <w:sz w:val="18"/>
              </w:rPr>
              <w:t>thus</w:t>
            </w:r>
            <w:r>
              <w:rPr>
                <w:spacing w:val="-2"/>
                <w:sz w:val="18"/>
              </w:rPr>
              <w:t xml:space="preserve"> </w:t>
            </w:r>
            <w:r>
              <w:rPr>
                <w:sz w:val="18"/>
              </w:rPr>
              <w:t>are</w:t>
            </w:r>
            <w:r>
              <w:rPr>
                <w:spacing w:val="-3"/>
                <w:sz w:val="18"/>
              </w:rPr>
              <w:t xml:space="preserve"> </w:t>
            </w:r>
            <w:r>
              <w:rPr>
                <w:sz w:val="18"/>
              </w:rPr>
              <w:t>not</w:t>
            </w:r>
            <w:r>
              <w:rPr>
                <w:spacing w:val="-2"/>
                <w:sz w:val="18"/>
              </w:rPr>
              <w:t xml:space="preserve"> </w:t>
            </w:r>
            <w:r>
              <w:rPr>
                <w:sz w:val="18"/>
              </w:rPr>
              <w:t>appropriate</w:t>
            </w:r>
            <w:r>
              <w:rPr>
                <w:spacing w:val="-3"/>
                <w:sz w:val="18"/>
              </w:rPr>
              <w:t xml:space="preserve"> </w:t>
            </w:r>
            <w:r>
              <w:rPr>
                <w:sz w:val="18"/>
              </w:rPr>
              <w:t>to</w:t>
            </w:r>
            <w:r>
              <w:rPr>
                <w:spacing w:val="-3"/>
                <w:sz w:val="18"/>
              </w:rPr>
              <w:t xml:space="preserve"> </w:t>
            </w:r>
            <w:r>
              <w:rPr>
                <w:sz w:val="18"/>
              </w:rPr>
              <w:t>include</w:t>
            </w:r>
            <w:r>
              <w:rPr>
                <w:spacing w:val="-3"/>
                <w:sz w:val="18"/>
              </w:rPr>
              <w:t xml:space="preserve"> </w:t>
            </w:r>
            <w:r>
              <w:rPr>
                <w:sz w:val="18"/>
              </w:rPr>
              <w:t>the</w:t>
            </w:r>
            <w:r>
              <w:rPr>
                <w:spacing w:val="-3"/>
                <w:sz w:val="18"/>
              </w:rPr>
              <w:t xml:space="preserve"> </w:t>
            </w:r>
            <w:r>
              <w:rPr>
                <w:sz w:val="18"/>
              </w:rPr>
              <w:t>PGS</w:t>
            </w:r>
            <w:r>
              <w:rPr>
                <w:spacing w:val="-1"/>
                <w:sz w:val="18"/>
              </w:rPr>
              <w:t xml:space="preserve"> </w:t>
            </w:r>
            <w:r>
              <w:rPr>
                <w:spacing w:val="-2"/>
                <w:sz w:val="18"/>
              </w:rPr>
              <w:t>model.</w:t>
            </w:r>
          </w:p>
        </w:tc>
        <w:tc>
          <w:tcPr>
            <w:tcW w:w="3415" w:type="dxa"/>
            <w:tcBorders>
              <w:top w:val="single" w:color="94D500" w:sz="4" w:space="0"/>
              <w:bottom w:val="single" w:color="94D500" w:sz="4" w:space="0"/>
            </w:tcBorders>
          </w:tcPr>
          <w:p w:rsidR="00C31389" w:rsidRDefault="00C31389" w14:paraId="24407D45" w14:textId="77777777">
            <w:pPr>
              <w:pStyle w:val="TableParagraph"/>
              <w:spacing w:before="0"/>
              <w:rPr>
                <w:sz w:val="20"/>
              </w:rPr>
            </w:pPr>
          </w:p>
          <w:p w:rsidR="00C31389" w:rsidRDefault="00C31389" w14:paraId="59127AE2" w14:textId="77777777">
            <w:pPr>
              <w:pStyle w:val="TableParagraph"/>
              <w:spacing w:before="0"/>
              <w:rPr>
                <w:sz w:val="20"/>
              </w:rPr>
            </w:pPr>
          </w:p>
          <w:p w:rsidR="00C31389" w:rsidRDefault="00C31389" w14:paraId="3501207F" w14:textId="77777777">
            <w:pPr>
              <w:pStyle w:val="TableParagraph"/>
              <w:spacing w:before="0"/>
              <w:rPr>
                <w:sz w:val="20"/>
              </w:rPr>
            </w:pPr>
          </w:p>
          <w:p w:rsidR="00C31389" w:rsidRDefault="00C31389" w14:paraId="07486D4D" w14:textId="77777777">
            <w:pPr>
              <w:pStyle w:val="TableParagraph"/>
              <w:spacing w:before="0"/>
              <w:rPr>
                <w:sz w:val="20"/>
              </w:rPr>
            </w:pPr>
          </w:p>
          <w:p w:rsidR="00C31389" w:rsidRDefault="00C31389" w14:paraId="0095C931" w14:textId="77777777">
            <w:pPr>
              <w:pStyle w:val="TableParagraph"/>
              <w:spacing w:before="0"/>
              <w:rPr>
                <w:sz w:val="20"/>
              </w:rPr>
            </w:pPr>
          </w:p>
          <w:p w:rsidR="00C31389" w:rsidRDefault="00561FBD" w14:paraId="0D540258" w14:textId="77777777">
            <w:pPr>
              <w:pStyle w:val="TableParagraph"/>
              <w:spacing w:before="127"/>
              <w:ind w:left="111"/>
              <w:rPr>
                <w:sz w:val="18"/>
              </w:rPr>
            </w:pPr>
            <w:r>
              <w:rPr>
                <w:sz w:val="18"/>
              </w:rPr>
              <w:t>Guidehouse presented the measure list early in the study. No feedback was provided</w:t>
            </w:r>
            <w:r>
              <w:rPr>
                <w:spacing w:val="-3"/>
                <w:sz w:val="18"/>
              </w:rPr>
              <w:t xml:space="preserve"> </w:t>
            </w:r>
            <w:r>
              <w:rPr>
                <w:sz w:val="18"/>
              </w:rPr>
              <w:t>on</w:t>
            </w:r>
            <w:r>
              <w:rPr>
                <w:spacing w:val="-3"/>
                <w:sz w:val="18"/>
              </w:rPr>
              <w:t xml:space="preserve"> </w:t>
            </w:r>
            <w:r>
              <w:rPr>
                <w:sz w:val="18"/>
              </w:rPr>
              <w:t>these</w:t>
            </w:r>
            <w:r>
              <w:rPr>
                <w:spacing w:val="-3"/>
                <w:sz w:val="18"/>
              </w:rPr>
              <w:t xml:space="preserve"> </w:t>
            </w:r>
            <w:r>
              <w:rPr>
                <w:sz w:val="18"/>
              </w:rPr>
              <w:t>measures.</w:t>
            </w:r>
            <w:r>
              <w:rPr>
                <w:spacing w:val="-1"/>
                <w:sz w:val="18"/>
              </w:rPr>
              <w:t xml:space="preserve"> </w:t>
            </w:r>
            <w:r>
              <w:rPr>
                <w:sz w:val="18"/>
              </w:rPr>
              <w:t>For</w:t>
            </w:r>
            <w:r>
              <w:rPr>
                <w:spacing w:val="-2"/>
                <w:sz w:val="18"/>
              </w:rPr>
              <w:t xml:space="preserve"> </w:t>
            </w:r>
            <w:r>
              <w:rPr>
                <w:sz w:val="18"/>
              </w:rPr>
              <w:t>future studies,</w:t>
            </w:r>
            <w:r>
              <w:rPr>
                <w:spacing w:val="-8"/>
                <w:sz w:val="18"/>
              </w:rPr>
              <w:t xml:space="preserve"> </w:t>
            </w:r>
            <w:r>
              <w:rPr>
                <w:sz w:val="18"/>
              </w:rPr>
              <w:t>these</w:t>
            </w:r>
            <w:r>
              <w:rPr>
                <w:spacing w:val="-9"/>
                <w:sz w:val="18"/>
              </w:rPr>
              <w:t xml:space="preserve"> </w:t>
            </w:r>
            <w:r>
              <w:rPr>
                <w:sz w:val="18"/>
              </w:rPr>
              <w:t>measures</w:t>
            </w:r>
            <w:r>
              <w:rPr>
                <w:spacing w:val="-8"/>
                <w:sz w:val="18"/>
              </w:rPr>
              <w:t xml:space="preserve"> </w:t>
            </w:r>
            <w:r>
              <w:rPr>
                <w:sz w:val="18"/>
              </w:rPr>
              <w:t>can</w:t>
            </w:r>
            <w:r>
              <w:rPr>
                <w:spacing w:val="-7"/>
                <w:sz w:val="18"/>
              </w:rPr>
              <w:t xml:space="preserve"> </w:t>
            </w:r>
            <w:r>
              <w:rPr>
                <w:sz w:val="18"/>
              </w:rPr>
              <w:t>be</w:t>
            </w:r>
            <w:r>
              <w:rPr>
                <w:spacing w:val="-9"/>
                <w:sz w:val="18"/>
              </w:rPr>
              <w:t xml:space="preserve"> </w:t>
            </w:r>
            <w:r>
              <w:rPr>
                <w:sz w:val="18"/>
              </w:rPr>
              <w:t xml:space="preserve">flagged for review for </w:t>
            </w:r>
            <w:r>
              <w:rPr>
                <w:sz w:val="18"/>
              </w:rPr>
              <w:t>potential removal.</w:t>
            </w:r>
          </w:p>
        </w:tc>
      </w:tr>
      <w:tr w:rsidR="00C31389" w14:paraId="051984C2" w14:textId="77777777">
        <w:trPr>
          <w:trHeight w:val="1700"/>
        </w:trPr>
        <w:tc>
          <w:tcPr>
            <w:tcW w:w="1549" w:type="dxa"/>
            <w:tcBorders>
              <w:top w:val="single" w:color="94D500" w:sz="4" w:space="0"/>
              <w:bottom w:val="single" w:color="94D500" w:sz="4" w:space="0"/>
            </w:tcBorders>
          </w:tcPr>
          <w:p w:rsidR="00C31389" w:rsidRDefault="00C31389" w14:paraId="45A9DB75" w14:textId="77777777">
            <w:pPr>
              <w:pStyle w:val="TableParagraph"/>
              <w:spacing w:before="0"/>
              <w:rPr>
                <w:sz w:val="20"/>
              </w:rPr>
            </w:pPr>
          </w:p>
          <w:p w:rsidR="00C31389" w:rsidRDefault="00C31389" w14:paraId="2054FB89" w14:textId="77777777">
            <w:pPr>
              <w:pStyle w:val="TableParagraph"/>
              <w:spacing w:before="0"/>
              <w:rPr>
                <w:sz w:val="20"/>
              </w:rPr>
            </w:pPr>
          </w:p>
          <w:p w:rsidR="00C31389" w:rsidRDefault="00C31389" w14:paraId="77427D0D" w14:textId="77777777">
            <w:pPr>
              <w:pStyle w:val="TableParagraph"/>
              <w:spacing w:before="9"/>
              <w:rPr>
                <w:sz w:val="24"/>
              </w:rPr>
            </w:pPr>
          </w:p>
          <w:p w:rsidR="00C31389" w:rsidRDefault="00561FBD" w14:paraId="4CC44419" w14:textId="77777777">
            <w:pPr>
              <w:pStyle w:val="TableParagraph"/>
              <w:spacing w:before="0"/>
              <w:ind w:left="122"/>
              <w:rPr>
                <w:b/>
                <w:sz w:val="18"/>
              </w:rPr>
            </w:pPr>
            <w:r>
              <w:rPr>
                <w:b/>
                <w:spacing w:val="-4"/>
                <w:sz w:val="18"/>
              </w:rPr>
              <w:t>BROs</w:t>
            </w:r>
          </w:p>
        </w:tc>
        <w:tc>
          <w:tcPr>
            <w:tcW w:w="1233" w:type="dxa"/>
            <w:tcBorders>
              <w:top w:val="single" w:color="94D500" w:sz="4" w:space="0"/>
              <w:bottom w:val="single" w:color="94D500" w:sz="4" w:space="0"/>
            </w:tcBorders>
          </w:tcPr>
          <w:p w:rsidR="00C31389" w:rsidRDefault="00C31389" w14:paraId="20754DF9" w14:textId="77777777">
            <w:pPr>
              <w:pStyle w:val="TableParagraph"/>
              <w:spacing w:before="0"/>
              <w:rPr>
                <w:sz w:val="20"/>
              </w:rPr>
            </w:pPr>
          </w:p>
          <w:p w:rsidR="00C31389" w:rsidRDefault="00C31389" w14:paraId="4F3D0998" w14:textId="77777777">
            <w:pPr>
              <w:pStyle w:val="TableParagraph"/>
              <w:spacing w:before="0"/>
              <w:rPr>
                <w:sz w:val="20"/>
              </w:rPr>
            </w:pPr>
          </w:p>
          <w:p w:rsidR="00C31389" w:rsidRDefault="00C31389" w14:paraId="73A5F8A3" w14:textId="77777777">
            <w:pPr>
              <w:pStyle w:val="TableParagraph"/>
              <w:spacing w:before="9"/>
              <w:rPr>
                <w:sz w:val="24"/>
              </w:rPr>
            </w:pPr>
          </w:p>
          <w:p w:rsidR="00C31389" w:rsidRDefault="00561FBD" w14:paraId="41407F0C" w14:textId="77777777">
            <w:pPr>
              <w:pStyle w:val="TableParagraph"/>
              <w:spacing w:before="0"/>
              <w:ind w:left="278"/>
              <w:rPr>
                <w:sz w:val="18"/>
              </w:rPr>
            </w:pPr>
            <w:r>
              <w:rPr>
                <w:spacing w:val="-5"/>
                <w:sz w:val="18"/>
              </w:rPr>
              <w:t>SCE</w:t>
            </w:r>
          </w:p>
        </w:tc>
        <w:tc>
          <w:tcPr>
            <w:tcW w:w="5414" w:type="dxa"/>
            <w:tcBorders>
              <w:top w:val="single" w:color="94D500" w:sz="4" w:space="0"/>
              <w:bottom w:val="single" w:color="94D500" w:sz="4" w:space="0"/>
            </w:tcBorders>
          </w:tcPr>
          <w:p w:rsidR="00C31389" w:rsidRDefault="00561FBD" w14:paraId="6256D6AF" w14:textId="77777777">
            <w:pPr>
              <w:pStyle w:val="TableParagraph"/>
              <w:spacing w:before="21"/>
              <w:ind w:left="125" w:right="159"/>
              <w:rPr>
                <w:sz w:val="18"/>
              </w:rPr>
            </w:pPr>
            <w:r>
              <w:rPr>
                <w:sz w:val="18"/>
              </w:rPr>
              <w:t>While the technical and even financial potential for retrocommissioning</w:t>
            </w:r>
            <w:r>
              <w:rPr>
                <w:spacing w:val="-3"/>
                <w:sz w:val="18"/>
              </w:rPr>
              <w:t xml:space="preserve"> </w:t>
            </w:r>
            <w:r>
              <w:rPr>
                <w:sz w:val="18"/>
              </w:rPr>
              <w:t>does</w:t>
            </w:r>
            <w:r>
              <w:rPr>
                <w:spacing w:val="-2"/>
                <w:sz w:val="18"/>
              </w:rPr>
              <w:t xml:space="preserve"> </w:t>
            </w:r>
            <w:r>
              <w:rPr>
                <w:sz w:val="18"/>
              </w:rPr>
              <w:t>exist,</w:t>
            </w:r>
            <w:r>
              <w:rPr>
                <w:spacing w:val="-2"/>
                <w:sz w:val="18"/>
              </w:rPr>
              <w:t xml:space="preserve"> </w:t>
            </w:r>
            <w:r>
              <w:rPr>
                <w:sz w:val="18"/>
              </w:rPr>
              <w:t>the</w:t>
            </w:r>
            <w:r>
              <w:rPr>
                <w:spacing w:val="-3"/>
                <w:sz w:val="18"/>
              </w:rPr>
              <w:t xml:space="preserve"> </w:t>
            </w:r>
            <w:r>
              <w:rPr>
                <w:sz w:val="18"/>
              </w:rPr>
              <w:t>only</w:t>
            </w:r>
            <w:r>
              <w:rPr>
                <w:spacing w:val="-2"/>
                <w:sz w:val="18"/>
              </w:rPr>
              <w:t xml:space="preserve"> </w:t>
            </w:r>
            <w:r>
              <w:rPr>
                <w:sz w:val="18"/>
              </w:rPr>
              <w:t>current</w:t>
            </w:r>
            <w:r>
              <w:rPr>
                <w:spacing w:val="-2"/>
                <w:sz w:val="18"/>
              </w:rPr>
              <w:t xml:space="preserve"> </w:t>
            </w:r>
            <w:r>
              <w:rPr>
                <w:sz w:val="18"/>
              </w:rPr>
              <w:t>method</w:t>
            </w:r>
            <w:r>
              <w:rPr>
                <w:spacing w:val="-3"/>
                <w:sz w:val="18"/>
              </w:rPr>
              <w:t xml:space="preserve"> </w:t>
            </w:r>
            <w:r>
              <w:rPr>
                <w:sz w:val="18"/>
              </w:rPr>
              <w:t>to</w:t>
            </w:r>
            <w:r>
              <w:rPr>
                <w:spacing w:val="-3"/>
                <w:sz w:val="18"/>
              </w:rPr>
              <w:t xml:space="preserve"> </w:t>
            </w:r>
            <w:r>
              <w:rPr>
                <w:sz w:val="18"/>
              </w:rPr>
              <w:t>claim RCx project savings is to use the Custom process. Due to the complex</w:t>
            </w:r>
            <w:r>
              <w:rPr>
                <w:spacing w:val="-5"/>
                <w:sz w:val="18"/>
              </w:rPr>
              <w:t xml:space="preserve"> </w:t>
            </w:r>
            <w:r>
              <w:rPr>
                <w:sz w:val="18"/>
              </w:rPr>
              <w:t>and</w:t>
            </w:r>
            <w:r>
              <w:rPr>
                <w:spacing w:val="-4"/>
                <w:sz w:val="18"/>
              </w:rPr>
              <w:t xml:space="preserve"> </w:t>
            </w:r>
            <w:r>
              <w:rPr>
                <w:sz w:val="18"/>
              </w:rPr>
              <w:t>uncertain</w:t>
            </w:r>
            <w:r>
              <w:rPr>
                <w:spacing w:val="-6"/>
                <w:sz w:val="18"/>
              </w:rPr>
              <w:t xml:space="preserve"> </w:t>
            </w:r>
            <w:r>
              <w:rPr>
                <w:sz w:val="18"/>
              </w:rPr>
              <w:t>nature</w:t>
            </w:r>
            <w:r>
              <w:rPr>
                <w:spacing w:val="-4"/>
                <w:sz w:val="18"/>
              </w:rPr>
              <w:t xml:space="preserve"> </w:t>
            </w:r>
            <w:r>
              <w:rPr>
                <w:sz w:val="18"/>
              </w:rPr>
              <w:t>of</w:t>
            </w:r>
            <w:r>
              <w:rPr>
                <w:spacing w:val="-5"/>
                <w:sz w:val="18"/>
              </w:rPr>
              <w:t xml:space="preserve"> </w:t>
            </w:r>
            <w:r>
              <w:rPr>
                <w:sz w:val="18"/>
              </w:rPr>
              <w:t>this</w:t>
            </w:r>
            <w:r>
              <w:rPr>
                <w:spacing w:val="-5"/>
                <w:sz w:val="18"/>
              </w:rPr>
              <w:t xml:space="preserve"> </w:t>
            </w:r>
            <w:r>
              <w:rPr>
                <w:sz w:val="18"/>
              </w:rPr>
              <w:t>process</w:t>
            </w:r>
            <w:r>
              <w:rPr>
                <w:spacing w:val="-4"/>
                <w:sz w:val="18"/>
              </w:rPr>
              <w:t xml:space="preserve"> </w:t>
            </w:r>
            <w:r>
              <w:rPr>
                <w:sz w:val="18"/>
              </w:rPr>
              <w:t>for</w:t>
            </w:r>
            <w:r>
              <w:rPr>
                <w:spacing w:val="-5"/>
                <w:sz w:val="18"/>
              </w:rPr>
              <w:t xml:space="preserve"> </w:t>
            </w:r>
            <w:r>
              <w:rPr>
                <w:sz w:val="18"/>
              </w:rPr>
              <w:t>both</w:t>
            </w:r>
            <w:r>
              <w:rPr>
                <w:spacing w:val="-6"/>
                <w:sz w:val="18"/>
              </w:rPr>
              <w:t xml:space="preserve"> </w:t>
            </w:r>
            <w:r>
              <w:rPr>
                <w:sz w:val="18"/>
              </w:rPr>
              <w:t>third-party implementers and the end use customer, participation of this type has drastically dropped since 2015. Thus, while RCx may have</w:t>
            </w:r>
            <w:r>
              <w:rPr>
                <w:spacing w:val="-3"/>
                <w:sz w:val="18"/>
              </w:rPr>
              <w:t xml:space="preserve"> </w:t>
            </w:r>
            <w:r>
              <w:rPr>
                <w:sz w:val="18"/>
              </w:rPr>
              <w:t>theoretical</w:t>
            </w:r>
            <w:r>
              <w:rPr>
                <w:spacing w:val="-3"/>
                <w:sz w:val="18"/>
              </w:rPr>
              <w:t xml:space="preserve"> </w:t>
            </w:r>
            <w:r>
              <w:rPr>
                <w:sz w:val="18"/>
              </w:rPr>
              <w:t>potential,</w:t>
            </w:r>
            <w:r>
              <w:rPr>
                <w:spacing w:val="-3"/>
                <w:sz w:val="18"/>
              </w:rPr>
              <w:t xml:space="preserve"> </w:t>
            </w:r>
            <w:r>
              <w:rPr>
                <w:sz w:val="18"/>
              </w:rPr>
              <w:t>that</w:t>
            </w:r>
            <w:r>
              <w:rPr>
                <w:spacing w:val="-3"/>
                <w:sz w:val="18"/>
              </w:rPr>
              <w:t xml:space="preserve"> </w:t>
            </w:r>
            <w:r>
              <w:rPr>
                <w:sz w:val="18"/>
              </w:rPr>
              <w:t>potential</w:t>
            </w:r>
            <w:r>
              <w:rPr>
                <w:spacing w:val="-3"/>
                <w:sz w:val="18"/>
              </w:rPr>
              <w:t xml:space="preserve"> </w:t>
            </w:r>
            <w:r>
              <w:rPr>
                <w:sz w:val="18"/>
              </w:rPr>
              <w:t>is</w:t>
            </w:r>
            <w:r>
              <w:rPr>
                <w:spacing w:val="-2"/>
                <w:sz w:val="18"/>
              </w:rPr>
              <w:t xml:space="preserve"> </w:t>
            </w:r>
            <w:r>
              <w:rPr>
                <w:sz w:val="18"/>
              </w:rPr>
              <w:t>unlikely</w:t>
            </w:r>
            <w:r>
              <w:rPr>
                <w:spacing w:val="-3"/>
                <w:sz w:val="18"/>
              </w:rPr>
              <w:t xml:space="preserve"> </w:t>
            </w:r>
            <w:r>
              <w:rPr>
                <w:sz w:val="18"/>
              </w:rPr>
              <w:t>to</w:t>
            </w:r>
            <w:r>
              <w:rPr>
                <w:spacing w:val="-3"/>
                <w:sz w:val="18"/>
              </w:rPr>
              <w:t xml:space="preserve"> </w:t>
            </w:r>
            <w:r>
              <w:rPr>
                <w:sz w:val="18"/>
              </w:rPr>
              <w:t>materialize if</w:t>
            </w:r>
            <w:r>
              <w:rPr>
                <w:spacing w:val="-2"/>
                <w:sz w:val="18"/>
              </w:rPr>
              <w:t xml:space="preserve"> </w:t>
            </w:r>
            <w:r>
              <w:rPr>
                <w:sz w:val="18"/>
              </w:rPr>
              <w:t>the</w:t>
            </w:r>
            <w:r>
              <w:rPr>
                <w:spacing w:val="-3"/>
                <w:sz w:val="18"/>
              </w:rPr>
              <w:t xml:space="preserve"> </w:t>
            </w:r>
            <w:r>
              <w:rPr>
                <w:sz w:val="18"/>
              </w:rPr>
              <w:t>past</w:t>
            </w:r>
            <w:r>
              <w:rPr>
                <w:spacing w:val="-1"/>
                <w:sz w:val="18"/>
              </w:rPr>
              <w:t xml:space="preserve"> </w:t>
            </w:r>
            <w:r>
              <w:rPr>
                <w:sz w:val="18"/>
              </w:rPr>
              <w:t>several</w:t>
            </w:r>
            <w:r>
              <w:rPr>
                <w:spacing w:val="-2"/>
                <w:sz w:val="18"/>
              </w:rPr>
              <w:t xml:space="preserve"> </w:t>
            </w:r>
            <w:r>
              <w:rPr>
                <w:sz w:val="18"/>
              </w:rPr>
              <w:t>years</w:t>
            </w:r>
            <w:r>
              <w:rPr>
                <w:spacing w:val="-2"/>
                <w:sz w:val="18"/>
              </w:rPr>
              <w:t xml:space="preserve"> </w:t>
            </w:r>
            <w:r>
              <w:rPr>
                <w:sz w:val="18"/>
              </w:rPr>
              <w:t>are</w:t>
            </w:r>
            <w:r>
              <w:rPr>
                <w:spacing w:val="-2"/>
                <w:sz w:val="18"/>
              </w:rPr>
              <w:t xml:space="preserve"> </w:t>
            </w:r>
            <w:r>
              <w:rPr>
                <w:sz w:val="18"/>
              </w:rPr>
              <w:t>an</w:t>
            </w:r>
            <w:r>
              <w:rPr>
                <w:spacing w:val="-3"/>
                <w:sz w:val="18"/>
              </w:rPr>
              <w:t xml:space="preserve"> </w:t>
            </w:r>
            <w:r>
              <w:rPr>
                <w:sz w:val="18"/>
              </w:rPr>
              <w:t>indication</w:t>
            </w:r>
            <w:r>
              <w:rPr>
                <w:spacing w:val="-2"/>
                <w:sz w:val="18"/>
              </w:rPr>
              <w:t xml:space="preserve"> </w:t>
            </w:r>
            <w:r>
              <w:rPr>
                <w:sz w:val="18"/>
              </w:rPr>
              <w:t>of</w:t>
            </w:r>
            <w:r>
              <w:rPr>
                <w:spacing w:val="-2"/>
                <w:sz w:val="18"/>
              </w:rPr>
              <w:t xml:space="preserve"> </w:t>
            </w:r>
            <w:r>
              <w:rPr>
                <w:sz w:val="18"/>
              </w:rPr>
              <w:t>future</w:t>
            </w:r>
            <w:r>
              <w:rPr>
                <w:spacing w:val="-2"/>
                <w:sz w:val="18"/>
              </w:rPr>
              <w:t xml:space="preserve"> performance.</w:t>
            </w:r>
          </w:p>
        </w:tc>
        <w:tc>
          <w:tcPr>
            <w:tcW w:w="3415" w:type="dxa"/>
            <w:tcBorders>
              <w:top w:val="single" w:color="94D500" w:sz="4" w:space="0"/>
              <w:bottom w:val="single" w:color="94D500" w:sz="4" w:space="0"/>
            </w:tcBorders>
          </w:tcPr>
          <w:p w:rsidR="00C31389" w:rsidRDefault="00C31389" w14:paraId="3876E3EC" w14:textId="77777777">
            <w:pPr>
              <w:pStyle w:val="TableParagraph"/>
              <w:spacing w:before="0"/>
              <w:rPr>
                <w:sz w:val="20"/>
              </w:rPr>
            </w:pPr>
          </w:p>
          <w:p w:rsidR="00C31389" w:rsidRDefault="00C31389" w14:paraId="4412A13C" w14:textId="77777777">
            <w:pPr>
              <w:pStyle w:val="TableParagraph"/>
              <w:spacing w:before="10"/>
              <w:rPr>
                <w:sz w:val="26"/>
              </w:rPr>
            </w:pPr>
          </w:p>
          <w:p w:rsidR="00C31389" w:rsidRDefault="00561FBD" w14:paraId="19C06619" w14:textId="77777777">
            <w:pPr>
              <w:pStyle w:val="TableParagraph"/>
              <w:spacing w:before="0"/>
              <w:ind w:left="111" w:right="120"/>
              <w:rPr>
                <w:sz w:val="18"/>
              </w:rPr>
            </w:pPr>
            <w:r>
              <w:rPr>
                <w:sz w:val="18"/>
              </w:rPr>
              <w:t>The 2025 PG study can consider this recommendation</w:t>
            </w:r>
            <w:r>
              <w:rPr>
                <w:spacing w:val="-11"/>
                <w:sz w:val="18"/>
              </w:rPr>
              <w:t xml:space="preserve"> </w:t>
            </w:r>
            <w:r>
              <w:rPr>
                <w:sz w:val="18"/>
              </w:rPr>
              <w:t>and</w:t>
            </w:r>
            <w:r>
              <w:rPr>
                <w:spacing w:val="-11"/>
                <w:sz w:val="18"/>
              </w:rPr>
              <w:t xml:space="preserve"> </w:t>
            </w:r>
            <w:r>
              <w:rPr>
                <w:sz w:val="18"/>
              </w:rPr>
              <w:t>review</w:t>
            </w:r>
            <w:r>
              <w:rPr>
                <w:spacing w:val="-10"/>
                <w:sz w:val="18"/>
              </w:rPr>
              <w:t xml:space="preserve"> </w:t>
            </w:r>
            <w:r>
              <w:rPr>
                <w:sz w:val="18"/>
              </w:rPr>
              <w:t>the</w:t>
            </w:r>
            <w:r>
              <w:rPr>
                <w:spacing w:val="-11"/>
                <w:sz w:val="18"/>
              </w:rPr>
              <w:t xml:space="preserve"> </w:t>
            </w:r>
            <w:r>
              <w:rPr>
                <w:sz w:val="18"/>
              </w:rPr>
              <w:t>trends of RCx program savings.</w:t>
            </w:r>
          </w:p>
        </w:tc>
      </w:tr>
      <w:tr w:rsidR="00C31389" w14:paraId="7060BD1F" w14:textId="77777777">
        <w:trPr>
          <w:trHeight w:val="1152"/>
        </w:trPr>
        <w:tc>
          <w:tcPr>
            <w:tcW w:w="1549" w:type="dxa"/>
            <w:tcBorders>
              <w:top w:val="single" w:color="94D500" w:sz="4" w:space="0"/>
              <w:bottom w:val="single" w:color="94D500" w:sz="4" w:space="0"/>
            </w:tcBorders>
          </w:tcPr>
          <w:p w:rsidR="00C31389" w:rsidRDefault="00C31389" w14:paraId="3F06B861" w14:textId="77777777">
            <w:pPr>
              <w:pStyle w:val="TableParagraph"/>
              <w:spacing w:before="0"/>
              <w:rPr>
                <w:sz w:val="20"/>
              </w:rPr>
            </w:pPr>
          </w:p>
          <w:p w:rsidR="00C31389" w:rsidRDefault="00C31389" w14:paraId="7FDC3A06" w14:textId="77777777">
            <w:pPr>
              <w:pStyle w:val="TableParagraph"/>
              <w:spacing w:before="0"/>
              <w:rPr>
                <w:sz w:val="21"/>
              </w:rPr>
            </w:pPr>
          </w:p>
          <w:p w:rsidR="00C31389" w:rsidRDefault="00561FBD" w14:paraId="3EAB01C0" w14:textId="77777777">
            <w:pPr>
              <w:pStyle w:val="TableParagraph"/>
              <w:spacing w:before="0"/>
              <w:ind w:left="122"/>
              <w:rPr>
                <w:b/>
                <w:sz w:val="18"/>
              </w:rPr>
            </w:pPr>
            <w:r>
              <w:rPr>
                <w:b/>
                <w:sz w:val="18"/>
              </w:rPr>
              <w:t>Data</w:t>
            </w:r>
            <w:r>
              <w:rPr>
                <w:b/>
                <w:spacing w:val="-5"/>
                <w:sz w:val="18"/>
              </w:rPr>
              <w:t xml:space="preserve"> </w:t>
            </w:r>
            <w:r>
              <w:rPr>
                <w:b/>
                <w:spacing w:val="-2"/>
                <w:sz w:val="18"/>
              </w:rPr>
              <w:t>Request</w:t>
            </w:r>
          </w:p>
        </w:tc>
        <w:tc>
          <w:tcPr>
            <w:tcW w:w="1233" w:type="dxa"/>
            <w:tcBorders>
              <w:top w:val="single" w:color="94D500" w:sz="4" w:space="0"/>
              <w:bottom w:val="single" w:color="94D500" w:sz="4" w:space="0"/>
            </w:tcBorders>
          </w:tcPr>
          <w:p w:rsidR="00C31389" w:rsidRDefault="00C31389" w14:paraId="416EE91C" w14:textId="77777777">
            <w:pPr>
              <w:pStyle w:val="TableParagraph"/>
              <w:spacing w:before="0"/>
              <w:rPr>
                <w:sz w:val="20"/>
              </w:rPr>
            </w:pPr>
          </w:p>
          <w:p w:rsidR="00C31389" w:rsidRDefault="00C31389" w14:paraId="56F1A027" w14:textId="77777777">
            <w:pPr>
              <w:pStyle w:val="TableParagraph"/>
              <w:spacing w:before="0"/>
              <w:rPr>
                <w:sz w:val="21"/>
              </w:rPr>
            </w:pPr>
          </w:p>
          <w:p w:rsidR="00C31389" w:rsidRDefault="00561FBD" w14:paraId="0E99CEDD" w14:textId="77777777">
            <w:pPr>
              <w:pStyle w:val="TableParagraph"/>
              <w:spacing w:before="0"/>
              <w:ind w:left="278"/>
              <w:rPr>
                <w:sz w:val="18"/>
              </w:rPr>
            </w:pPr>
            <w:r>
              <w:rPr>
                <w:spacing w:val="-4"/>
                <w:sz w:val="18"/>
              </w:rPr>
              <w:t>SDG&amp;E</w:t>
            </w:r>
          </w:p>
        </w:tc>
        <w:tc>
          <w:tcPr>
            <w:tcW w:w="5414" w:type="dxa"/>
            <w:tcBorders>
              <w:top w:val="single" w:color="94D500" w:sz="4" w:space="0"/>
              <w:bottom w:val="single" w:color="94D500" w:sz="4" w:space="0"/>
            </w:tcBorders>
          </w:tcPr>
          <w:p w:rsidR="00C31389" w:rsidRDefault="00561FBD" w14:paraId="3DA1ADD5" w14:textId="77777777">
            <w:pPr>
              <w:pStyle w:val="TableParagraph"/>
              <w:spacing w:before="57"/>
              <w:ind w:left="125" w:right="45" w:hanging="1"/>
              <w:rPr>
                <w:sz w:val="18"/>
              </w:rPr>
            </w:pPr>
            <w:r>
              <w:rPr>
                <w:sz w:val="18"/>
              </w:rPr>
              <w:t xml:space="preserve">SDG&amp;E raises the potential disparity in the TSB results using PG&amp;E’s results as a point of </w:t>
            </w:r>
            <w:r>
              <w:rPr>
                <w:sz w:val="18"/>
              </w:rPr>
              <w:t>comparison. As such, SDG&amp;E recommends that Guidehouse provide additional transparency and insight into the data assumptions used to develop this scenario</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technical</w:t>
            </w:r>
            <w:r>
              <w:rPr>
                <w:spacing w:val="-4"/>
                <w:sz w:val="18"/>
              </w:rPr>
              <w:t xml:space="preserve"> </w:t>
            </w:r>
            <w:r>
              <w:rPr>
                <w:sz w:val="18"/>
              </w:rPr>
              <w:t>documentation</w:t>
            </w:r>
            <w:r>
              <w:rPr>
                <w:spacing w:val="-5"/>
                <w:sz w:val="18"/>
              </w:rPr>
              <w:t xml:space="preserve"> </w:t>
            </w:r>
            <w:r>
              <w:rPr>
                <w:sz w:val="18"/>
              </w:rPr>
              <w:t>of</w:t>
            </w:r>
            <w:r>
              <w:rPr>
                <w:spacing w:val="-4"/>
                <w:sz w:val="18"/>
              </w:rPr>
              <w:t xml:space="preserve"> </w:t>
            </w:r>
            <w:r>
              <w:rPr>
                <w:sz w:val="18"/>
              </w:rPr>
              <w:t>final</w:t>
            </w:r>
            <w:r>
              <w:rPr>
                <w:spacing w:val="-4"/>
                <w:sz w:val="18"/>
              </w:rPr>
              <w:t xml:space="preserve"> </w:t>
            </w:r>
            <w:r>
              <w:rPr>
                <w:sz w:val="18"/>
              </w:rPr>
              <w:t>2023</w:t>
            </w:r>
            <w:r>
              <w:rPr>
                <w:spacing w:val="-5"/>
                <w:sz w:val="18"/>
              </w:rPr>
              <w:t xml:space="preserve"> </w:t>
            </w:r>
            <w:r>
              <w:rPr>
                <w:sz w:val="18"/>
              </w:rPr>
              <w:t>P&amp;G</w:t>
            </w:r>
            <w:r>
              <w:rPr>
                <w:spacing w:val="-4"/>
                <w:sz w:val="18"/>
              </w:rPr>
              <w:t xml:space="preserve"> </w:t>
            </w:r>
            <w:r>
              <w:rPr>
                <w:sz w:val="18"/>
              </w:rPr>
              <w:t>Study.</w:t>
            </w:r>
          </w:p>
        </w:tc>
        <w:tc>
          <w:tcPr>
            <w:tcW w:w="3415" w:type="dxa"/>
            <w:tcBorders>
              <w:top w:val="single" w:color="94D500" w:sz="4" w:space="0"/>
              <w:bottom w:val="single" w:color="94D500" w:sz="4" w:space="0"/>
            </w:tcBorders>
          </w:tcPr>
          <w:p w:rsidR="00C31389" w:rsidRDefault="00561FBD" w14:paraId="7E968B08" w14:textId="77777777">
            <w:pPr>
              <w:pStyle w:val="TableParagraph"/>
              <w:spacing w:before="161"/>
              <w:ind w:left="111" w:right="120"/>
              <w:rPr>
                <w:sz w:val="18"/>
              </w:rPr>
            </w:pPr>
            <w:r>
              <w:rPr>
                <w:sz w:val="18"/>
              </w:rPr>
              <w:t>The</w:t>
            </w:r>
            <w:r>
              <w:rPr>
                <w:spacing w:val="-7"/>
                <w:sz w:val="18"/>
              </w:rPr>
              <w:t xml:space="preserve"> </w:t>
            </w:r>
            <w:r>
              <w:rPr>
                <w:sz w:val="18"/>
              </w:rPr>
              <w:t>report</w:t>
            </w:r>
            <w:r>
              <w:rPr>
                <w:spacing w:val="-7"/>
                <w:sz w:val="18"/>
              </w:rPr>
              <w:t xml:space="preserve"> </w:t>
            </w:r>
            <w:r>
              <w:rPr>
                <w:sz w:val="18"/>
              </w:rPr>
              <w:t>does</w:t>
            </w:r>
            <w:r>
              <w:rPr>
                <w:spacing w:val="-7"/>
                <w:sz w:val="18"/>
              </w:rPr>
              <w:t xml:space="preserve"> </w:t>
            </w:r>
            <w:r>
              <w:rPr>
                <w:sz w:val="18"/>
              </w:rPr>
              <w:t>include</w:t>
            </w:r>
            <w:r>
              <w:rPr>
                <w:spacing w:val="-7"/>
                <w:sz w:val="18"/>
              </w:rPr>
              <w:t xml:space="preserve"> </w:t>
            </w:r>
            <w:r>
              <w:rPr>
                <w:sz w:val="18"/>
              </w:rPr>
              <w:t>all</w:t>
            </w:r>
            <w:r>
              <w:rPr>
                <w:spacing w:val="-7"/>
                <w:sz w:val="18"/>
              </w:rPr>
              <w:t xml:space="preserve"> </w:t>
            </w:r>
            <w:r>
              <w:rPr>
                <w:sz w:val="18"/>
              </w:rPr>
              <w:t>the</w:t>
            </w:r>
            <w:r>
              <w:rPr>
                <w:spacing w:val="-7"/>
                <w:sz w:val="18"/>
              </w:rPr>
              <w:t xml:space="preserve"> </w:t>
            </w:r>
            <w:r>
              <w:rPr>
                <w:sz w:val="18"/>
              </w:rPr>
              <w:t xml:space="preserve">data assumptions in the measure characterization workbook and </w:t>
            </w:r>
            <w:r>
              <w:rPr>
                <w:spacing w:val="-2"/>
                <w:sz w:val="18"/>
              </w:rPr>
              <w:t>appendix.</w:t>
            </w:r>
          </w:p>
        </w:tc>
      </w:tr>
    </w:tbl>
    <w:p w:rsidR="00C31389" w:rsidRDefault="00C31389" w14:paraId="4A443AFB" w14:textId="77777777">
      <w:pPr>
        <w:rPr>
          <w:sz w:val="18"/>
        </w:rPr>
        <w:sectPr w:rsidR="00C31389">
          <w:headerReference w:type="default" r:id="rId353"/>
          <w:footerReference w:type="default" r:id="rId354"/>
          <w:pgSz w:w="15840" w:h="12240" w:orient="landscape"/>
          <w:pgMar w:top="1660" w:right="2260" w:bottom="1120" w:left="1320" w:header="397" w:footer="936" w:gutter="0"/>
          <w:pgNumType w:start="1"/>
          <w:cols w:space="720"/>
        </w:sectPr>
      </w:pPr>
    </w:p>
    <w:p w:rsidR="00C31389" w:rsidRDefault="00C31389" w14:paraId="36979E9A" w14:textId="77777777">
      <w:pPr>
        <w:pStyle w:val="BodyText"/>
        <w:spacing w:before="6"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625"/>
        <w:gridCol w:w="1172"/>
        <w:gridCol w:w="5391"/>
        <w:gridCol w:w="3426"/>
      </w:tblGrid>
      <w:tr w:rsidR="00C31389" w14:paraId="39AEC660" w14:textId="77777777">
        <w:trPr>
          <w:trHeight w:val="261"/>
        </w:trPr>
        <w:tc>
          <w:tcPr>
            <w:tcW w:w="1625" w:type="dxa"/>
            <w:shd w:val="clear" w:color="auto" w:fill="94D500"/>
          </w:tcPr>
          <w:p w:rsidR="00C31389" w:rsidRDefault="00561FBD" w14:paraId="71AC579A" w14:textId="77777777">
            <w:pPr>
              <w:pStyle w:val="TableParagraph"/>
              <w:spacing w:before="26"/>
              <w:ind w:left="122"/>
              <w:rPr>
                <w:b/>
                <w:sz w:val="18"/>
              </w:rPr>
            </w:pPr>
            <w:r>
              <w:rPr>
                <w:b/>
                <w:spacing w:val="-2"/>
                <w:sz w:val="18"/>
              </w:rPr>
              <w:t>Subject</w:t>
            </w:r>
          </w:p>
        </w:tc>
        <w:tc>
          <w:tcPr>
            <w:tcW w:w="1172" w:type="dxa"/>
            <w:shd w:val="clear" w:color="auto" w:fill="94D500"/>
          </w:tcPr>
          <w:p w:rsidR="00C31389" w:rsidRDefault="00561FBD" w14:paraId="7BA9B118" w14:textId="77777777">
            <w:pPr>
              <w:pStyle w:val="TableParagraph"/>
              <w:spacing w:before="26"/>
              <w:ind w:left="202"/>
              <w:rPr>
                <w:b/>
                <w:sz w:val="18"/>
              </w:rPr>
            </w:pPr>
            <w:r>
              <w:rPr>
                <w:b/>
                <w:spacing w:val="-2"/>
                <w:sz w:val="18"/>
              </w:rPr>
              <w:t>Affiliation</w:t>
            </w:r>
          </w:p>
        </w:tc>
        <w:tc>
          <w:tcPr>
            <w:tcW w:w="5391" w:type="dxa"/>
            <w:shd w:val="clear" w:color="auto" w:fill="94D500"/>
          </w:tcPr>
          <w:p w:rsidR="00C31389" w:rsidRDefault="00561FBD" w14:paraId="37FBD331" w14:textId="77777777">
            <w:pPr>
              <w:pStyle w:val="TableParagraph"/>
              <w:spacing w:before="26"/>
              <w:ind w:left="110"/>
              <w:rPr>
                <w:b/>
                <w:sz w:val="18"/>
              </w:rPr>
            </w:pPr>
            <w:r>
              <w:rPr>
                <w:b/>
                <w:sz w:val="18"/>
              </w:rPr>
              <w:t>Summary</w:t>
            </w:r>
            <w:r>
              <w:rPr>
                <w:b/>
                <w:spacing w:val="-3"/>
                <w:sz w:val="18"/>
              </w:rPr>
              <w:t xml:space="preserve"> </w:t>
            </w:r>
            <w:r>
              <w:rPr>
                <w:b/>
                <w:sz w:val="18"/>
              </w:rPr>
              <w:t>of</w:t>
            </w:r>
            <w:r>
              <w:rPr>
                <w:b/>
                <w:spacing w:val="-2"/>
                <w:sz w:val="18"/>
              </w:rPr>
              <w:t xml:space="preserve"> Issue</w:t>
            </w:r>
          </w:p>
        </w:tc>
        <w:tc>
          <w:tcPr>
            <w:tcW w:w="3426" w:type="dxa"/>
            <w:shd w:val="clear" w:color="auto" w:fill="94D500"/>
          </w:tcPr>
          <w:p w:rsidR="00C31389" w:rsidRDefault="00561FBD" w14:paraId="52E1C0D0" w14:textId="77777777">
            <w:pPr>
              <w:pStyle w:val="TableParagraph"/>
              <w:spacing w:before="26"/>
              <w:ind w:left="119"/>
              <w:rPr>
                <w:b/>
                <w:sz w:val="18"/>
              </w:rPr>
            </w:pPr>
            <w:r>
              <w:rPr>
                <w:b/>
                <w:sz w:val="18"/>
              </w:rPr>
              <w:t>Guidehouse</w:t>
            </w:r>
            <w:r>
              <w:rPr>
                <w:b/>
                <w:spacing w:val="-4"/>
                <w:sz w:val="18"/>
              </w:rPr>
              <w:t xml:space="preserve"> </w:t>
            </w:r>
            <w:r>
              <w:rPr>
                <w:b/>
                <w:spacing w:val="-2"/>
                <w:sz w:val="18"/>
              </w:rPr>
              <w:t>Response</w:t>
            </w:r>
          </w:p>
        </w:tc>
      </w:tr>
      <w:tr w:rsidR="00C31389" w14:paraId="12778864" w14:textId="77777777">
        <w:trPr>
          <w:trHeight w:val="1160"/>
        </w:trPr>
        <w:tc>
          <w:tcPr>
            <w:tcW w:w="1625" w:type="dxa"/>
            <w:tcBorders>
              <w:bottom w:val="single" w:color="94D500" w:sz="4" w:space="0"/>
            </w:tcBorders>
          </w:tcPr>
          <w:p w:rsidR="00C31389" w:rsidRDefault="00C31389" w14:paraId="00FD306A" w14:textId="77777777">
            <w:pPr>
              <w:pStyle w:val="TableParagraph"/>
              <w:spacing w:before="0"/>
              <w:rPr>
                <w:sz w:val="20"/>
              </w:rPr>
            </w:pPr>
          </w:p>
          <w:p w:rsidR="00C31389" w:rsidRDefault="00C31389" w14:paraId="0C36F654" w14:textId="77777777">
            <w:pPr>
              <w:pStyle w:val="TableParagraph"/>
              <w:spacing w:before="4"/>
              <w:rPr>
                <w:sz w:val="21"/>
              </w:rPr>
            </w:pPr>
          </w:p>
          <w:p w:rsidR="00C31389" w:rsidRDefault="00561FBD" w14:paraId="3394A140" w14:textId="77777777">
            <w:pPr>
              <w:pStyle w:val="TableParagraph"/>
              <w:spacing w:before="0"/>
              <w:ind w:left="122"/>
              <w:rPr>
                <w:b/>
                <w:sz w:val="18"/>
              </w:rPr>
            </w:pPr>
            <w:r>
              <w:rPr>
                <w:b/>
                <w:sz w:val="18"/>
              </w:rPr>
              <w:t>Data</w:t>
            </w:r>
            <w:r>
              <w:rPr>
                <w:b/>
                <w:spacing w:val="-5"/>
                <w:sz w:val="18"/>
              </w:rPr>
              <w:t xml:space="preserve"> </w:t>
            </w:r>
            <w:r>
              <w:rPr>
                <w:b/>
                <w:spacing w:val="-2"/>
                <w:sz w:val="18"/>
              </w:rPr>
              <w:t>Request</w:t>
            </w:r>
          </w:p>
        </w:tc>
        <w:tc>
          <w:tcPr>
            <w:tcW w:w="1172" w:type="dxa"/>
            <w:tcBorders>
              <w:bottom w:val="single" w:color="94D500" w:sz="4" w:space="0"/>
            </w:tcBorders>
          </w:tcPr>
          <w:p w:rsidR="00C31389" w:rsidRDefault="00C31389" w14:paraId="67FAE415" w14:textId="77777777">
            <w:pPr>
              <w:pStyle w:val="TableParagraph"/>
              <w:spacing w:before="0"/>
              <w:rPr>
                <w:sz w:val="20"/>
              </w:rPr>
            </w:pPr>
          </w:p>
          <w:p w:rsidR="00C31389" w:rsidRDefault="00C31389" w14:paraId="1F0CFB4B" w14:textId="77777777">
            <w:pPr>
              <w:pStyle w:val="TableParagraph"/>
              <w:spacing w:before="4"/>
              <w:rPr>
                <w:sz w:val="21"/>
              </w:rPr>
            </w:pPr>
          </w:p>
          <w:p w:rsidR="00C31389" w:rsidRDefault="00561FBD" w14:paraId="50113F91" w14:textId="77777777">
            <w:pPr>
              <w:pStyle w:val="TableParagraph"/>
              <w:spacing w:before="0"/>
              <w:ind w:left="202"/>
              <w:rPr>
                <w:sz w:val="18"/>
              </w:rPr>
            </w:pPr>
            <w:r>
              <w:rPr>
                <w:spacing w:val="-4"/>
                <w:sz w:val="18"/>
              </w:rPr>
              <w:t>SDG&amp;E</w:t>
            </w:r>
          </w:p>
        </w:tc>
        <w:tc>
          <w:tcPr>
            <w:tcW w:w="5391" w:type="dxa"/>
            <w:tcBorders>
              <w:bottom w:val="single" w:color="94D500" w:sz="4" w:space="0"/>
            </w:tcBorders>
          </w:tcPr>
          <w:p w:rsidR="00C31389" w:rsidRDefault="00561FBD" w14:paraId="40C076EA" w14:textId="77777777">
            <w:pPr>
              <w:pStyle w:val="TableParagraph"/>
              <w:spacing w:before="61"/>
              <w:ind w:left="110" w:right="161" w:hanging="1"/>
              <w:rPr>
                <w:sz w:val="18"/>
              </w:rPr>
            </w:pPr>
            <w:r>
              <w:rPr>
                <w:sz w:val="18"/>
              </w:rPr>
              <w:t>SDG&amp;E recommends that the description of the specific measure</w:t>
            </w:r>
            <w:r>
              <w:rPr>
                <w:spacing w:val="-6"/>
                <w:sz w:val="18"/>
              </w:rPr>
              <w:t xml:space="preserve"> </w:t>
            </w:r>
            <w:r>
              <w:rPr>
                <w:sz w:val="18"/>
              </w:rPr>
              <w:t>packages</w:t>
            </w:r>
            <w:r>
              <w:rPr>
                <w:spacing w:val="-5"/>
                <w:sz w:val="18"/>
              </w:rPr>
              <w:t xml:space="preserve"> </w:t>
            </w:r>
            <w:r>
              <w:rPr>
                <w:sz w:val="18"/>
              </w:rPr>
              <w:t>used</w:t>
            </w:r>
            <w:r>
              <w:rPr>
                <w:spacing w:val="-6"/>
                <w:sz w:val="18"/>
              </w:rPr>
              <w:t xml:space="preserve"> </w:t>
            </w:r>
            <w:r>
              <w:rPr>
                <w:sz w:val="18"/>
              </w:rPr>
              <w:t>in</w:t>
            </w:r>
            <w:r>
              <w:rPr>
                <w:spacing w:val="-6"/>
                <w:sz w:val="18"/>
              </w:rPr>
              <w:t xml:space="preserve"> </w:t>
            </w:r>
            <w:r>
              <w:rPr>
                <w:sz w:val="18"/>
              </w:rPr>
              <w:t>the</w:t>
            </w:r>
            <w:r>
              <w:rPr>
                <w:spacing w:val="-6"/>
                <w:sz w:val="18"/>
              </w:rPr>
              <w:t xml:space="preserve"> </w:t>
            </w:r>
            <w:r>
              <w:rPr>
                <w:sz w:val="18"/>
              </w:rPr>
              <w:t>development</w:t>
            </w:r>
            <w:r>
              <w:rPr>
                <w:spacing w:val="-4"/>
                <w:sz w:val="18"/>
              </w:rPr>
              <w:t xml:space="preserve"> </w:t>
            </w:r>
            <w:r>
              <w:rPr>
                <w:sz w:val="18"/>
              </w:rPr>
              <w:t>of</w:t>
            </w:r>
            <w:r>
              <w:rPr>
                <w:spacing w:val="-5"/>
                <w:sz w:val="18"/>
              </w:rPr>
              <w:t xml:space="preserve"> </w:t>
            </w:r>
            <w:r>
              <w:rPr>
                <w:sz w:val="18"/>
              </w:rPr>
              <w:t>the</w:t>
            </w:r>
            <w:r>
              <w:rPr>
                <w:spacing w:val="-6"/>
                <w:sz w:val="18"/>
              </w:rPr>
              <w:t xml:space="preserve"> </w:t>
            </w:r>
            <w:r>
              <w:rPr>
                <w:sz w:val="18"/>
              </w:rPr>
              <w:t xml:space="preserve">aggressive FS and TSB increases for electric-to-electric replacements be made available as part of the </w:t>
            </w:r>
            <w:r>
              <w:rPr>
                <w:sz w:val="18"/>
              </w:rPr>
              <w:t>technical documentation of the 2023 P&amp;G Study.</w:t>
            </w:r>
          </w:p>
        </w:tc>
        <w:tc>
          <w:tcPr>
            <w:tcW w:w="3426" w:type="dxa"/>
            <w:tcBorders>
              <w:bottom w:val="single" w:color="94D500" w:sz="4" w:space="0"/>
            </w:tcBorders>
          </w:tcPr>
          <w:p w:rsidR="00C31389" w:rsidRDefault="00561FBD" w14:paraId="329ED5A9" w14:textId="77777777">
            <w:pPr>
              <w:pStyle w:val="TableParagraph"/>
              <w:spacing w:before="166"/>
              <w:ind w:left="119" w:right="125"/>
              <w:rPr>
                <w:sz w:val="18"/>
              </w:rPr>
            </w:pPr>
            <w:r>
              <w:rPr>
                <w:sz w:val="18"/>
              </w:rPr>
              <w:t>The</w:t>
            </w:r>
            <w:r>
              <w:rPr>
                <w:spacing w:val="-7"/>
                <w:sz w:val="18"/>
              </w:rPr>
              <w:t xml:space="preserve"> </w:t>
            </w:r>
            <w:r>
              <w:rPr>
                <w:sz w:val="18"/>
              </w:rPr>
              <w:t>report</w:t>
            </w:r>
            <w:r>
              <w:rPr>
                <w:spacing w:val="-7"/>
                <w:sz w:val="18"/>
              </w:rPr>
              <w:t xml:space="preserve"> </w:t>
            </w:r>
            <w:r>
              <w:rPr>
                <w:sz w:val="18"/>
              </w:rPr>
              <w:t>does</w:t>
            </w:r>
            <w:r>
              <w:rPr>
                <w:spacing w:val="-7"/>
                <w:sz w:val="18"/>
              </w:rPr>
              <w:t xml:space="preserve"> </w:t>
            </w:r>
            <w:r>
              <w:rPr>
                <w:sz w:val="18"/>
              </w:rPr>
              <w:t>include</w:t>
            </w:r>
            <w:r>
              <w:rPr>
                <w:spacing w:val="-7"/>
                <w:sz w:val="18"/>
              </w:rPr>
              <w:t xml:space="preserve"> </w:t>
            </w:r>
            <w:r>
              <w:rPr>
                <w:sz w:val="18"/>
              </w:rPr>
              <w:t>all</w:t>
            </w:r>
            <w:r>
              <w:rPr>
                <w:spacing w:val="-7"/>
                <w:sz w:val="18"/>
              </w:rPr>
              <w:t xml:space="preserve"> </w:t>
            </w:r>
            <w:r>
              <w:rPr>
                <w:sz w:val="18"/>
              </w:rPr>
              <w:t>the</w:t>
            </w:r>
            <w:r>
              <w:rPr>
                <w:spacing w:val="-7"/>
                <w:sz w:val="18"/>
              </w:rPr>
              <w:t xml:space="preserve"> </w:t>
            </w:r>
            <w:r>
              <w:rPr>
                <w:sz w:val="18"/>
              </w:rPr>
              <w:t xml:space="preserve">data assumptions in the measure characterization workbook and </w:t>
            </w:r>
            <w:r>
              <w:rPr>
                <w:spacing w:val="-2"/>
                <w:sz w:val="18"/>
              </w:rPr>
              <w:t>appendix.</w:t>
            </w:r>
          </w:p>
        </w:tc>
      </w:tr>
      <w:tr w:rsidR="00C31389" w14:paraId="13A2CF47" w14:textId="77777777">
        <w:trPr>
          <w:trHeight w:val="1241"/>
        </w:trPr>
        <w:tc>
          <w:tcPr>
            <w:tcW w:w="1625" w:type="dxa"/>
            <w:tcBorders>
              <w:top w:val="single" w:color="94D500" w:sz="4" w:space="0"/>
              <w:bottom w:val="single" w:color="94D500" w:sz="4" w:space="0"/>
            </w:tcBorders>
          </w:tcPr>
          <w:p w:rsidR="00C31389" w:rsidRDefault="00C31389" w14:paraId="0EB82F8F" w14:textId="77777777">
            <w:pPr>
              <w:pStyle w:val="TableParagraph"/>
              <w:spacing w:before="0"/>
              <w:rPr>
                <w:sz w:val="20"/>
              </w:rPr>
            </w:pPr>
          </w:p>
          <w:p w:rsidR="00C31389" w:rsidRDefault="00C31389" w14:paraId="4B054283" w14:textId="77777777">
            <w:pPr>
              <w:pStyle w:val="TableParagraph"/>
              <w:spacing w:before="11"/>
              <w:rPr>
                <w:sz w:val="24"/>
              </w:rPr>
            </w:pPr>
          </w:p>
          <w:p w:rsidR="00C31389" w:rsidRDefault="00561FBD" w14:paraId="23D572F5" w14:textId="77777777">
            <w:pPr>
              <w:pStyle w:val="TableParagraph"/>
              <w:spacing w:before="0"/>
              <w:ind w:left="122"/>
              <w:rPr>
                <w:b/>
                <w:sz w:val="18"/>
              </w:rPr>
            </w:pPr>
            <w:r>
              <w:rPr>
                <w:b/>
                <w:sz w:val="18"/>
              </w:rPr>
              <w:t>Data</w:t>
            </w:r>
            <w:r>
              <w:rPr>
                <w:b/>
                <w:spacing w:val="-5"/>
                <w:sz w:val="18"/>
              </w:rPr>
              <w:t xml:space="preserve"> </w:t>
            </w:r>
            <w:r>
              <w:rPr>
                <w:b/>
                <w:spacing w:val="-2"/>
                <w:sz w:val="18"/>
              </w:rPr>
              <w:t>Request</w:t>
            </w:r>
          </w:p>
        </w:tc>
        <w:tc>
          <w:tcPr>
            <w:tcW w:w="1172" w:type="dxa"/>
            <w:tcBorders>
              <w:top w:val="single" w:color="94D500" w:sz="4" w:space="0"/>
              <w:bottom w:val="single" w:color="94D500" w:sz="4" w:space="0"/>
            </w:tcBorders>
          </w:tcPr>
          <w:p w:rsidR="00C31389" w:rsidRDefault="00C31389" w14:paraId="4EA7F2E6" w14:textId="77777777">
            <w:pPr>
              <w:pStyle w:val="TableParagraph"/>
              <w:spacing w:before="0"/>
              <w:rPr>
                <w:sz w:val="20"/>
              </w:rPr>
            </w:pPr>
          </w:p>
          <w:p w:rsidR="00C31389" w:rsidRDefault="00C31389" w14:paraId="1C1E4FDA" w14:textId="77777777">
            <w:pPr>
              <w:pStyle w:val="TableParagraph"/>
              <w:spacing w:before="11"/>
              <w:rPr>
                <w:sz w:val="24"/>
              </w:rPr>
            </w:pPr>
          </w:p>
          <w:p w:rsidR="00C31389" w:rsidRDefault="00561FBD" w14:paraId="51EA200E" w14:textId="77777777">
            <w:pPr>
              <w:pStyle w:val="TableParagraph"/>
              <w:spacing w:before="0"/>
              <w:ind w:left="202"/>
              <w:rPr>
                <w:sz w:val="18"/>
              </w:rPr>
            </w:pPr>
            <w:r>
              <w:rPr>
                <w:spacing w:val="-4"/>
                <w:sz w:val="18"/>
              </w:rPr>
              <w:t>SDG&amp;E</w:t>
            </w:r>
          </w:p>
        </w:tc>
        <w:tc>
          <w:tcPr>
            <w:tcW w:w="5391" w:type="dxa"/>
            <w:tcBorders>
              <w:top w:val="single" w:color="94D500" w:sz="4" w:space="0"/>
              <w:bottom w:val="single" w:color="94D500" w:sz="4" w:space="0"/>
            </w:tcBorders>
          </w:tcPr>
          <w:p w:rsidR="00C31389" w:rsidRDefault="00C31389" w14:paraId="1DDCAC54" w14:textId="77777777">
            <w:pPr>
              <w:pStyle w:val="TableParagraph"/>
              <w:spacing w:before="10"/>
              <w:rPr>
                <w:sz w:val="26"/>
              </w:rPr>
            </w:pPr>
          </w:p>
          <w:p w:rsidR="00C31389" w:rsidRDefault="00561FBD" w14:paraId="35CBD3EE" w14:textId="77777777">
            <w:pPr>
              <w:pStyle w:val="TableParagraph"/>
              <w:spacing w:before="1"/>
              <w:ind w:left="110" w:right="161" w:hanging="1"/>
              <w:rPr>
                <w:sz w:val="18"/>
              </w:rPr>
            </w:pPr>
            <w:r>
              <w:rPr>
                <w:sz w:val="18"/>
              </w:rPr>
              <w:t>SDG&amp;E recommends that the counts or quantities used in the P&amp;G</w:t>
            </w:r>
            <w:r>
              <w:rPr>
                <w:spacing w:val="-4"/>
                <w:sz w:val="18"/>
              </w:rPr>
              <w:t xml:space="preserve"> </w:t>
            </w:r>
            <w:r>
              <w:rPr>
                <w:sz w:val="18"/>
              </w:rPr>
              <w:t>model</w:t>
            </w:r>
            <w:r>
              <w:rPr>
                <w:spacing w:val="-4"/>
                <w:sz w:val="18"/>
              </w:rPr>
              <w:t xml:space="preserve"> </w:t>
            </w:r>
            <w:r>
              <w:rPr>
                <w:sz w:val="18"/>
              </w:rPr>
              <w:t>at</w:t>
            </w:r>
            <w:r>
              <w:rPr>
                <w:spacing w:val="-4"/>
                <w:sz w:val="18"/>
              </w:rPr>
              <w:t xml:space="preserve"> </w:t>
            </w:r>
            <w:r>
              <w:rPr>
                <w:sz w:val="18"/>
              </w:rPr>
              <w:t>the</w:t>
            </w:r>
            <w:r>
              <w:rPr>
                <w:spacing w:val="-5"/>
                <w:sz w:val="18"/>
              </w:rPr>
              <w:t xml:space="preserve"> </w:t>
            </w:r>
            <w:r>
              <w:rPr>
                <w:sz w:val="18"/>
              </w:rPr>
              <w:t>measure</w:t>
            </w:r>
            <w:r>
              <w:rPr>
                <w:spacing w:val="-5"/>
                <w:sz w:val="18"/>
              </w:rPr>
              <w:t xml:space="preserve"> </w:t>
            </w:r>
            <w:r>
              <w:rPr>
                <w:sz w:val="18"/>
              </w:rPr>
              <w:t>level</w:t>
            </w:r>
            <w:r>
              <w:rPr>
                <w:spacing w:val="-4"/>
                <w:sz w:val="18"/>
              </w:rPr>
              <w:t xml:space="preserve"> </w:t>
            </w:r>
            <w:r>
              <w:rPr>
                <w:sz w:val="18"/>
              </w:rPr>
              <w:t>for</w:t>
            </w:r>
            <w:r>
              <w:rPr>
                <w:spacing w:val="-4"/>
                <w:sz w:val="18"/>
              </w:rPr>
              <w:t xml:space="preserve"> </w:t>
            </w:r>
            <w:r>
              <w:rPr>
                <w:sz w:val="18"/>
              </w:rPr>
              <w:t>all</w:t>
            </w:r>
            <w:r>
              <w:rPr>
                <w:spacing w:val="-4"/>
                <w:sz w:val="18"/>
              </w:rPr>
              <w:t xml:space="preserve"> </w:t>
            </w:r>
            <w:r>
              <w:rPr>
                <w:sz w:val="18"/>
              </w:rPr>
              <w:t>scenarios</w:t>
            </w:r>
            <w:r>
              <w:rPr>
                <w:spacing w:val="-4"/>
                <w:sz w:val="18"/>
              </w:rPr>
              <w:t xml:space="preserve"> </w:t>
            </w:r>
            <w:r>
              <w:rPr>
                <w:sz w:val="18"/>
              </w:rPr>
              <w:t>be</w:t>
            </w:r>
            <w:r>
              <w:rPr>
                <w:spacing w:val="-5"/>
                <w:sz w:val="18"/>
              </w:rPr>
              <w:t xml:space="preserve"> </w:t>
            </w:r>
            <w:r>
              <w:rPr>
                <w:sz w:val="18"/>
              </w:rPr>
              <w:t>included</w:t>
            </w:r>
            <w:r>
              <w:rPr>
                <w:spacing w:val="-5"/>
                <w:sz w:val="18"/>
              </w:rPr>
              <w:t xml:space="preserve"> </w:t>
            </w:r>
            <w:r>
              <w:rPr>
                <w:sz w:val="18"/>
              </w:rPr>
              <w:t>in the technical documentation.</w:t>
            </w:r>
          </w:p>
        </w:tc>
        <w:tc>
          <w:tcPr>
            <w:tcW w:w="3426" w:type="dxa"/>
            <w:tcBorders>
              <w:top w:val="single" w:color="94D500" w:sz="4" w:space="0"/>
              <w:bottom w:val="single" w:color="94D500" w:sz="4" w:space="0"/>
            </w:tcBorders>
          </w:tcPr>
          <w:p w:rsidR="00C31389" w:rsidRDefault="00561FBD" w14:paraId="678E1AE3" w14:textId="77777777">
            <w:pPr>
              <w:pStyle w:val="TableParagraph"/>
              <w:spacing w:before="0"/>
              <w:ind w:left="119" w:right="125"/>
              <w:rPr>
                <w:sz w:val="18"/>
              </w:rPr>
            </w:pPr>
            <w:r>
              <w:rPr>
                <w:sz w:val="18"/>
              </w:rPr>
              <w:t>Updated</w:t>
            </w:r>
            <w:r>
              <w:rPr>
                <w:spacing w:val="-11"/>
                <w:sz w:val="18"/>
              </w:rPr>
              <w:t xml:space="preserve"> </w:t>
            </w:r>
            <w:r>
              <w:rPr>
                <w:sz w:val="18"/>
              </w:rPr>
              <w:t>graph</w:t>
            </w:r>
            <w:r>
              <w:rPr>
                <w:spacing w:val="-9"/>
                <w:sz w:val="18"/>
              </w:rPr>
              <w:t xml:space="preserve"> </w:t>
            </w:r>
            <w:r>
              <w:rPr>
                <w:sz w:val="18"/>
              </w:rPr>
              <w:t>generator</w:t>
            </w:r>
            <w:r>
              <w:rPr>
                <w:spacing w:val="-10"/>
                <w:sz w:val="18"/>
              </w:rPr>
              <w:t xml:space="preserve"> </w:t>
            </w:r>
            <w:r>
              <w:rPr>
                <w:sz w:val="18"/>
              </w:rPr>
              <w:t>and</w:t>
            </w:r>
            <w:r>
              <w:rPr>
                <w:spacing w:val="-11"/>
                <w:sz w:val="18"/>
              </w:rPr>
              <w:t xml:space="preserve"> </w:t>
            </w:r>
            <w:r>
              <w:rPr>
                <w:sz w:val="18"/>
              </w:rPr>
              <w:t>measure level files have installation counts by measure by scenario. Please note the unit basis of the installation counts as</w:t>
            </w:r>
          </w:p>
          <w:p w:rsidR="00C31389" w:rsidRDefault="00561FBD" w14:paraId="51AA76F7" w14:textId="77777777">
            <w:pPr>
              <w:pStyle w:val="TableParagraph"/>
              <w:spacing w:before="0" w:line="208" w:lineRule="exact"/>
              <w:ind w:left="119"/>
              <w:rPr>
                <w:sz w:val="18"/>
              </w:rPr>
            </w:pPr>
            <w:r>
              <w:rPr>
                <w:sz w:val="18"/>
              </w:rPr>
              <w:t>they</w:t>
            </w:r>
            <w:r>
              <w:rPr>
                <w:spacing w:val="-6"/>
                <w:sz w:val="18"/>
              </w:rPr>
              <w:t xml:space="preserve"> </w:t>
            </w:r>
            <w:r>
              <w:rPr>
                <w:sz w:val="18"/>
              </w:rPr>
              <w:t>are</w:t>
            </w:r>
            <w:r>
              <w:rPr>
                <w:spacing w:val="-7"/>
                <w:sz w:val="18"/>
              </w:rPr>
              <w:t xml:space="preserve"> </w:t>
            </w:r>
            <w:r>
              <w:rPr>
                <w:sz w:val="18"/>
              </w:rPr>
              <w:t>not</w:t>
            </w:r>
            <w:r>
              <w:rPr>
                <w:spacing w:val="-6"/>
                <w:sz w:val="18"/>
              </w:rPr>
              <w:t xml:space="preserve"> </w:t>
            </w:r>
            <w:r>
              <w:rPr>
                <w:sz w:val="18"/>
              </w:rPr>
              <w:t>all</w:t>
            </w:r>
            <w:r>
              <w:rPr>
                <w:spacing w:val="-5"/>
                <w:sz w:val="18"/>
              </w:rPr>
              <w:t xml:space="preserve"> </w:t>
            </w:r>
            <w:r>
              <w:rPr>
                <w:sz w:val="18"/>
              </w:rPr>
              <w:t>the</w:t>
            </w:r>
            <w:r>
              <w:rPr>
                <w:spacing w:val="-7"/>
                <w:sz w:val="18"/>
              </w:rPr>
              <w:t xml:space="preserve"> </w:t>
            </w:r>
            <w:r>
              <w:rPr>
                <w:sz w:val="18"/>
              </w:rPr>
              <w:t>same</w:t>
            </w:r>
            <w:r>
              <w:rPr>
                <w:spacing w:val="-7"/>
                <w:sz w:val="18"/>
              </w:rPr>
              <w:t xml:space="preserve"> </w:t>
            </w:r>
            <w:r>
              <w:rPr>
                <w:sz w:val="18"/>
              </w:rPr>
              <w:t>for</w:t>
            </w:r>
            <w:r>
              <w:rPr>
                <w:spacing w:val="-6"/>
                <w:sz w:val="18"/>
              </w:rPr>
              <w:t xml:space="preserve"> </w:t>
            </w:r>
            <w:r>
              <w:rPr>
                <w:sz w:val="18"/>
              </w:rPr>
              <w:t xml:space="preserve">each </w:t>
            </w:r>
            <w:r>
              <w:rPr>
                <w:spacing w:val="-2"/>
                <w:sz w:val="18"/>
              </w:rPr>
              <w:t>measure.</w:t>
            </w:r>
          </w:p>
        </w:tc>
      </w:tr>
      <w:tr w:rsidR="00C31389" w14:paraId="2B252F46" w14:textId="77777777">
        <w:trPr>
          <w:trHeight w:val="2787"/>
        </w:trPr>
        <w:tc>
          <w:tcPr>
            <w:tcW w:w="1625" w:type="dxa"/>
            <w:tcBorders>
              <w:top w:val="single" w:color="94D500" w:sz="4" w:space="0"/>
              <w:bottom w:val="single" w:color="94D500" w:sz="4" w:space="0"/>
            </w:tcBorders>
          </w:tcPr>
          <w:p w:rsidR="00C31389" w:rsidRDefault="00C31389" w14:paraId="67F69FB2" w14:textId="77777777">
            <w:pPr>
              <w:pStyle w:val="TableParagraph"/>
              <w:spacing w:before="0"/>
              <w:rPr>
                <w:sz w:val="20"/>
              </w:rPr>
            </w:pPr>
          </w:p>
          <w:p w:rsidR="00C31389" w:rsidRDefault="00C31389" w14:paraId="7B5965BF" w14:textId="77777777">
            <w:pPr>
              <w:pStyle w:val="TableParagraph"/>
              <w:spacing w:before="0"/>
              <w:rPr>
                <w:sz w:val="20"/>
              </w:rPr>
            </w:pPr>
          </w:p>
          <w:p w:rsidR="00C31389" w:rsidRDefault="00C31389" w14:paraId="2FA15AC8" w14:textId="77777777">
            <w:pPr>
              <w:pStyle w:val="TableParagraph"/>
              <w:spacing w:before="0"/>
              <w:rPr>
                <w:sz w:val="20"/>
              </w:rPr>
            </w:pPr>
          </w:p>
          <w:p w:rsidR="00C31389" w:rsidRDefault="00C31389" w14:paraId="5C247103" w14:textId="77777777">
            <w:pPr>
              <w:pStyle w:val="TableParagraph"/>
              <w:spacing w:before="0"/>
              <w:rPr>
                <w:sz w:val="20"/>
              </w:rPr>
            </w:pPr>
          </w:p>
          <w:p w:rsidR="00C31389" w:rsidRDefault="00C31389" w14:paraId="7D106F6E" w14:textId="77777777">
            <w:pPr>
              <w:pStyle w:val="TableParagraph"/>
              <w:spacing w:before="0"/>
              <w:rPr>
                <w:sz w:val="20"/>
              </w:rPr>
            </w:pPr>
          </w:p>
          <w:p w:rsidR="00C31389" w:rsidRDefault="00561FBD" w14:paraId="7A8FCC03" w14:textId="77777777">
            <w:pPr>
              <w:pStyle w:val="TableParagraph"/>
              <w:spacing w:before="138"/>
              <w:ind w:left="122"/>
              <w:rPr>
                <w:b/>
                <w:sz w:val="18"/>
              </w:rPr>
            </w:pPr>
            <w:r>
              <w:rPr>
                <w:b/>
                <w:sz w:val="18"/>
              </w:rPr>
              <w:t>Emerging</w:t>
            </w:r>
            <w:r>
              <w:rPr>
                <w:b/>
                <w:spacing w:val="-7"/>
                <w:sz w:val="18"/>
              </w:rPr>
              <w:t xml:space="preserve"> </w:t>
            </w:r>
            <w:r>
              <w:rPr>
                <w:b/>
                <w:spacing w:val="-4"/>
                <w:sz w:val="18"/>
              </w:rPr>
              <w:t>Tech</w:t>
            </w:r>
          </w:p>
        </w:tc>
        <w:tc>
          <w:tcPr>
            <w:tcW w:w="1172" w:type="dxa"/>
            <w:tcBorders>
              <w:top w:val="single" w:color="94D500" w:sz="4" w:space="0"/>
              <w:bottom w:val="single" w:color="94D500" w:sz="4" w:space="0"/>
            </w:tcBorders>
          </w:tcPr>
          <w:p w:rsidR="00C31389" w:rsidRDefault="00C31389" w14:paraId="7992956F" w14:textId="77777777">
            <w:pPr>
              <w:pStyle w:val="TableParagraph"/>
              <w:spacing w:before="0"/>
              <w:rPr>
                <w:sz w:val="20"/>
              </w:rPr>
            </w:pPr>
          </w:p>
          <w:p w:rsidR="00C31389" w:rsidRDefault="00C31389" w14:paraId="077BB764" w14:textId="77777777">
            <w:pPr>
              <w:pStyle w:val="TableParagraph"/>
              <w:spacing w:before="0"/>
              <w:rPr>
                <w:sz w:val="20"/>
              </w:rPr>
            </w:pPr>
          </w:p>
          <w:p w:rsidR="00C31389" w:rsidRDefault="00C31389" w14:paraId="303738BE" w14:textId="77777777">
            <w:pPr>
              <w:pStyle w:val="TableParagraph"/>
              <w:spacing w:before="0"/>
              <w:rPr>
                <w:sz w:val="20"/>
              </w:rPr>
            </w:pPr>
          </w:p>
          <w:p w:rsidR="00C31389" w:rsidRDefault="00C31389" w14:paraId="51889A74" w14:textId="77777777">
            <w:pPr>
              <w:pStyle w:val="TableParagraph"/>
              <w:spacing w:before="0"/>
              <w:rPr>
                <w:sz w:val="20"/>
              </w:rPr>
            </w:pPr>
          </w:p>
          <w:p w:rsidR="00C31389" w:rsidRDefault="00C31389" w14:paraId="009A2E49" w14:textId="77777777">
            <w:pPr>
              <w:pStyle w:val="TableParagraph"/>
              <w:spacing w:before="0"/>
              <w:rPr>
                <w:sz w:val="20"/>
              </w:rPr>
            </w:pPr>
          </w:p>
          <w:p w:rsidR="00C31389" w:rsidRDefault="00561FBD" w14:paraId="35EE4757" w14:textId="77777777">
            <w:pPr>
              <w:pStyle w:val="TableParagraph"/>
              <w:spacing w:before="138"/>
              <w:ind w:left="202"/>
              <w:rPr>
                <w:sz w:val="18"/>
              </w:rPr>
            </w:pPr>
            <w:r>
              <w:rPr>
                <w:spacing w:val="-4"/>
                <w:sz w:val="18"/>
              </w:rPr>
              <w:t>PG&amp;E</w:t>
            </w:r>
          </w:p>
        </w:tc>
        <w:tc>
          <w:tcPr>
            <w:tcW w:w="5391" w:type="dxa"/>
            <w:tcBorders>
              <w:top w:val="single" w:color="94D500" w:sz="4" w:space="0"/>
              <w:bottom w:val="single" w:color="94D500" w:sz="4" w:space="0"/>
            </w:tcBorders>
          </w:tcPr>
          <w:p w:rsidR="00C31389" w:rsidRDefault="00561FBD" w14:paraId="11339D84" w14:textId="77777777">
            <w:pPr>
              <w:pStyle w:val="TableParagraph"/>
              <w:spacing w:before="150"/>
              <w:ind w:left="110" w:right="116" w:hanging="1"/>
              <w:rPr>
                <w:sz w:val="18"/>
              </w:rPr>
            </w:pPr>
            <w:r>
              <w:rPr>
                <w:sz w:val="18"/>
              </w:rPr>
              <w:t>PG&amp;E recommends that the achievable potential for emerging technology (ET) measures in the draft 2023 PGS model be calibrated with historical EE claims data. The PGS assumptions for</w:t>
            </w:r>
            <w:r>
              <w:rPr>
                <w:spacing w:val="-5"/>
                <w:sz w:val="18"/>
              </w:rPr>
              <w:t xml:space="preserve"> </w:t>
            </w:r>
            <w:r>
              <w:rPr>
                <w:sz w:val="18"/>
              </w:rPr>
              <w:t>ET</w:t>
            </w:r>
            <w:r>
              <w:rPr>
                <w:spacing w:val="-5"/>
                <w:sz w:val="18"/>
              </w:rPr>
              <w:t xml:space="preserve"> </w:t>
            </w:r>
            <w:r>
              <w:rPr>
                <w:sz w:val="18"/>
              </w:rPr>
              <w:t>measures</w:t>
            </w:r>
            <w:r>
              <w:rPr>
                <w:spacing w:val="-5"/>
                <w:sz w:val="18"/>
              </w:rPr>
              <w:t xml:space="preserve"> </w:t>
            </w:r>
            <w:r>
              <w:rPr>
                <w:sz w:val="18"/>
              </w:rPr>
              <w:t>result</w:t>
            </w:r>
            <w:r>
              <w:rPr>
                <w:spacing w:val="-5"/>
                <w:sz w:val="18"/>
              </w:rPr>
              <w:t xml:space="preserve"> </w:t>
            </w:r>
            <w:r>
              <w:rPr>
                <w:sz w:val="18"/>
              </w:rPr>
              <w:t>in</w:t>
            </w:r>
            <w:r>
              <w:rPr>
                <w:spacing w:val="-6"/>
                <w:sz w:val="18"/>
              </w:rPr>
              <w:t xml:space="preserve"> </w:t>
            </w:r>
            <w:r>
              <w:rPr>
                <w:sz w:val="18"/>
              </w:rPr>
              <w:t>significant</w:t>
            </w:r>
            <w:r>
              <w:rPr>
                <w:spacing w:val="-5"/>
                <w:sz w:val="18"/>
              </w:rPr>
              <w:t xml:space="preserve"> </w:t>
            </w:r>
            <w:r>
              <w:rPr>
                <w:sz w:val="18"/>
              </w:rPr>
              <w:t>TSB</w:t>
            </w:r>
            <w:r>
              <w:rPr>
                <w:spacing w:val="-5"/>
                <w:sz w:val="18"/>
              </w:rPr>
              <w:t xml:space="preserve"> </w:t>
            </w:r>
            <w:r>
              <w:rPr>
                <w:sz w:val="18"/>
              </w:rPr>
              <w:t>achievable</w:t>
            </w:r>
            <w:r>
              <w:rPr>
                <w:spacing w:val="-6"/>
                <w:sz w:val="18"/>
              </w:rPr>
              <w:t xml:space="preserve"> </w:t>
            </w:r>
            <w:r>
              <w:rPr>
                <w:sz w:val="18"/>
              </w:rPr>
              <w:t>potential</w:t>
            </w:r>
            <w:r>
              <w:rPr>
                <w:spacing w:val="-5"/>
                <w:sz w:val="18"/>
              </w:rPr>
              <w:t xml:space="preserve"> </w:t>
            </w:r>
            <w:r>
              <w:rPr>
                <w:sz w:val="18"/>
              </w:rPr>
              <w:t>for ET measures across all 4 scenarios. The TSB achievable potential for PG&amp;E ET measures increases exponentially from almost $4 million in 2024 to more than $160 million in 2035, which is almost as much achievable pote</w:t>
            </w:r>
            <w:r>
              <w:rPr>
                <w:sz w:val="18"/>
              </w:rPr>
              <w:t>ntial for all measures in PG&amp;E territory in 2024 alone. Furthermore, it may be unreasonable to assume that the EE PAs will be able to incorporate ET measures in EE programs with sufficient time to realize the ET achievable potential beginning in 2024.</w:t>
            </w:r>
          </w:p>
        </w:tc>
        <w:tc>
          <w:tcPr>
            <w:tcW w:w="3426" w:type="dxa"/>
            <w:tcBorders>
              <w:top w:val="single" w:color="94D500" w:sz="4" w:space="0"/>
              <w:bottom w:val="single" w:color="94D500" w:sz="4" w:space="0"/>
            </w:tcBorders>
          </w:tcPr>
          <w:p w:rsidR="00C31389" w:rsidRDefault="00561FBD" w14:paraId="042E85C8" w14:textId="77777777">
            <w:pPr>
              <w:pStyle w:val="TableParagraph"/>
              <w:spacing w:before="46"/>
              <w:ind w:left="119" w:right="125"/>
              <w:rPr>
                <w:sz w:val="18"/>
              </w:rPr>
            </w:pPr>
            <w:r>
              <w:rPr>
                <w:sz w:val="18"/>
              </w:rPr>
              <w:t>The</w:t>
            </w:r>
            <w:r>
              <w:rPr>
                <w:spacing w:val="-7"/>
                <w:sz w:val="18"/>
              </w:rPr>
              <w:t xml:space="preserve"> </w:t>
            </w:r>
            <w:r>
              <w:rPr>
                <w:sz w:val="18"/>
              </w:rPr>
              <w:t>PG</w:t>
            </w:r>
            <w:r>
              <w:rPr>
                <w:spacing w:val="-7"/>
                <w:sz w:val="18"/>
              </w:rPr>
              <w:t xml:space="preserve"> </w:t>
            </w:r>
            <w:r>
              <w:rPr>
                <w:sz w:val="18"/>
              </w:rPr>
              <w:t>study</w:t>
            </w:r>
            <w:r>
              <w:rPr>
                <w:spacing w:val="-7"/>
                <w:sz w:val="18"/>
              </w:rPr>
              <w:t xml:space="preserve"> </w:t>
            </w:r>
            <w:r>
              <w:rPr>
                <w:sz w:val="18"/>
              </w:rPr>
              <w:t>team</w:t>
            </w:r>
            <w:r>
              <w:rPr>
                <w:spacing w:val="-7"/>
                <w:sz w:val="18"/>
              </w:rPr>
              <w:t xml:space="preserve"> </w:t>
            </w:r>
            <w:r>
              <w:rPr>
                <w:sz w:val="18"/>
              </w:rPr>
              <w:t>updated</w:t>
            </w:r>
            <w:r>
              <w:rPr>
                <w:spacing w:val="-7"/>
                <w:sz w:val="18"/>
              </w:rPr>
              <w:t xml:space="preserve"> </w:t>
            </w:r>
            <w:r>
              <w:rPr>
                <w:sz w:val="18"/>
              </w:rPr>
              <w:t>the</w:t>
            </w:r>
            <w:r>
              <w:rPr>
                <w:spacing w:val="-7"/>
                <w:sz w:val="18"/>
              </w:rPr>
              <w:t xml:space="preserve"> </w:t>
            </w:r>
            <w:r>
              <w:rPr>
                <w:sz w:val="18"/>
              </w:rPr>
              <w:t xml:space="preserve">ET potential analysis based on this </w:t>
            </w:r>
            <w:r>
              <w:rPr>
                <w:spacing w:val="-2"/>
                <w:sz w:val="18"/>
              </w:rPr>
              <w:t>comment.</w:t>
            </w:r>
          </w:p>
          <w:p w:rsidR="00C31389" w:rsidRDefault="00561FBD" w14:paraId="07CEFF4F" w14:textId="77777777">
            <w:pPr>
              <w:pStyle w:val="TableParagraph"/>
              <w:spacing w:before="0"/>
              <w:ind w:left="119" w:right="125"/>
              <w:rPr>
                <w:sz w:val="18"/>
              </w:rPr>
            </w:pPr>
            <w:r>
              <w:rPr>
                <w:sz w:val="18"/>
              </w:rPr>
              <w:t>In the 2021 study, we constrained the growth</w:t>
            </w:r>
            <w:r>
              <w:rPr>
                <w:spacing w:val="-5"/>
                <w:sz w:val="18"/>
              </w:rPr>
              <w:t xml:space="preserve"> </w:t>
            </w:r>
            <w:r>
              <w:rPr>
                <w:sz w:val="18"/>
              </w:rPr>
              <w:t>of</w:t>
            </w:r>
            <w:r>
              <w:rPr>
                <w:spacing w:val="-4"/>
                <w:sz w:val="18"/>
              </w:rPr>
              <w:t xml:space="preserve"> </w:t>
            </w:r>
            <w:r>
              <w:rPr>
                <w:sz w:val="18"/>
              </w:rPr>
              <w:t>ET</w:t>
            </w:r>
            <w:r>
              <w:rPr>
                <w:spacing w:val="-4"/>
                <w:sz w:val="18"/>
              </w:rPr>
              <w:t xml:space="preserve"> </w:t>
            </w:r>
            <w:r>
              <w:rPr>
                <w:sz w:val="18"/>
              </w:rPr>
              <w:t>to</w:t>
            </w:r>
            <w:r>
              <w:rPr>
                <w:spacing w:val="-5"/>
                <w:sz w:val="18"/>
              </w:rPr>
              <w:t xml:space="preserve"> </w:t>
            </w:r>
            <w:r>
              <w:rPr>
                <w:sz w:val="18"/>
              </w:rPr>
              <w:t>be</w:t>
            </w:r>
            <w:r>
              <w:rPr>
                <w:spacing w:val="-5"/>
                <w:sz w:val="18"/>
              </w:rPr>
              <w:t xml:space="preserve"> </w:t>
            </w:r>
            <w:r>
              <w:rPr>
                <w:sz w:val="18"/>
              </w:rPr>
              <w:t>flat</w:t>
            </w:r>
            <w:r>
              <w:rPr>
                <w:spacing w:val="-4"/>
                <w:sz w:val="18"/>
              </w:rPr>
              <w:t xml:space="preserve"> </w:t>
            </w:r>
            <w:r>
              <w:rPr>
                <w:sz w:val="18"/>
              </w:rPr>
              <w:t>in</w:t>
            </w:r>
            <w:r>
              <w:rPr>
                <w:spacing w:val="-5"/>
                <w:sz w:val="18"/>
              </w:rPr>
              <w:t xml:space="preserve"> </w:t>
            </w:r>
            <w:r>
              <w:rPr>
                <w:sz w:val="18"/>
              </w:rPr>
              <w:t>year</w:t>
            </w:r>
            <w:r>
              <w:rPr>
                <w:spacing w:val="-3"/>
                <w:sz w:val="18"/>
              </w:rPr>
              <w:t xml:space="preserve"> </w:t>
            </w:r>
            <w:r>
              <w:rPr>
                <w:sz w:val="18"/>
              </w:rPr>
              <w:t>2030</w:t>
            </w:r>
            <w:r>
              <w:rPr>
                <w:spacing w:val="-5"/>
                <w:sz w:val="18"/>
              </w:rPr>
              <w:t xml:space="preserve"> </w:t>
            </w:r>
            <w:r>
              <w:rPr>
                <w:sz w:val="18"/>
              </w:rPr>
              <w:t>and beyond. Since there is no new data to establish an adoption profile, we propose doing the same for this st</w:t>
            </w:r>
            <w:r>
              <w:rPr>
                <w:sz w:val="18"/>
              </w:rPr>
              <w:t>udy and constrain the growth after 2030. In the draft report this constraint on the growth rate was not applied thus the large</w:t>
            </w:r>
            <w:r>
              <w:rPr>
                <w:spacing w:val="-1"/>
                <w:sz w:val="18"/>
              </w:rPr>
              <w:t xml:space="preserve"> </w:t>
            </w:r>
            <w:r>
              <w:rPr>
                <w:sz w:val="18"/>
              </w:rPr>
              <w:t>increase</w:t>
            </w:r>
            <w:r>
              <w:rPr>
                <w:spacing w:val="-1"/>
                <w:sz w:val="18"/>
              </w:rPr>
              <w:t xml:space="preserve"> </w:t>
            </w:r>
            <w:r>
              <w:rPr>
                <w:sz w:val="18"/>
              </w:rPr>
              <w:t>in</w:t>
            </w:r>
            <w:r>
              <w:rPr>
                <w:spacing w:val="-1"/>
                <w:sz w:val="18"/>
              </w:rPr>
              <w:t xml:space="preserve"> </w:t>
            </w:r>
            <w:r>
              <w:rPr>
                <w:sz w:val="18"/>
              </w:rPr>
              <w:t>latter year TSB. It</w:t>
            </w:r>
            <w:r>
              <w:rPr>
                <w:spacing w:val="-1"/>
                <w:sz w:val="18"/>
              </w:rPr>
              <w:t xml:space="preserve"> </w:t>
            </w:r>
            <w:r>
              <w:rPr>
                <w:sz w:val="18"/>
              </w:rPr>
              <w:t>has been corrected.</w:t>
            </w:r>
          </w:p>
        </w:tc>
      </w:tr>
      <w:tr w:rsidR="00C31389" w14:paraId="5EE485ED" w14:textId="77777777">
        <w:trPr>
          <w:trHeight w:val="1880"/>
        </w:trPr>
        <w:tc>
          <w:tcPr>
            <w:tcW w:w="1625" w:type="dxa"/>
            <w:tcBorders>
              <w:top w:val="single" w:color="94D500" w:sz="4" w:space="0"/>
              <w:bottom w:val="single" w:color="94D500" w:sz="4" w:space="0"/>
            </w:tcBorders>
          </w:tcPr>
          <w:p w:rsidR="00C31389" w:rsidRDefault="00C31389" w14:paraId="4C936566" w14:textId="77777777">
            <w:pPr>
              <w:pStyle w:val="TableParagraph"/>
              <w:spacing w:before="0"/>
              <w:rPr>
                <w:sz w:val="20"/>
              </w:rPr>
            </w:pPr>
          </w:p>
          <w:p w:rsidR="00C31389" w:rsidRDefault="00C31389" w14:paraId="4DA5D325" w14:textId="77777777">
            <w:pPr>
              <w:pStyle w:val="TableParagraph"/>
              <w:spacing w:before="0"/>
              <w:rPr>
                <w:sz w:val="20"/>
              </w:rPr>
            </w:pPr>
          </w:p>
          <w:p w:rsidR="00C31389" w:rsidRDefault="00C31389" w14:paraId="6DA20B27" w14:textId="77777777">
            <w:pPr>
              <w:pStyle w:val="TableParagraph"/>
              <w:spacing w:before="0"/>
              <w:rPr>
                <w:sz w:val="20"/>
              </w:rPr>
            </w:pPr>
          </w:p>
          <w:p w:rsidR="00C31389" w:rsidRDefault="00561FBD" w14:paraId="7C92D9C4" w14:textId="77777777">
            <w:pPr>
              <w:pStyle w:val="TableParagraph"/>
              <w:spacing w:before="145"/>
              <w:ind w:left="122"/>
              <w:rPr>
                <w:b/>
                <w:sz w:val="18"/>
              </w:rPr>
            </w:pPr>
            <w:r>
              <w:rPr>
                <w:b/>
                <w:sz w:val="18"/>
              </w:rPr>
              <w:t>ESA</w:t>
            </w:r>
            <w:r>
              <w:rPr>
                <w:b/>
                <w:spacing w:val="-2"/>
                <w:sz w:val="18"/>
              </w:rPr>
              <w:t xml:space="preserve"> Programs</w:t>
            </w:r>
          </w:p>
        </w:tc>
        <w:tc>
          <w:tcPr>
            <w:tcW w:w="1172" w:type="dxa"/>
            <w:tcBorders>
              <w:top w:val="single" w:color="94D500" w:sz="4" w:space="0"/>
              <w:bottom w:val="single" w:color="94D500" w:sz="4" w:space="0"/>
            </w:tcBorders>
          </w:tcPr>
          <w:p w:rsidR="00C31389" w:rsidRDefault="00C31389" w14:paraId="28B9251F" w14:textId="77777777">
            <w:pPr>
              <w:pStyle w:val="TableParagraph"/>
              <w:spacing w:before="0"/>
              <w:rPr>
                <w:sz w:val="20"/>
              </w:rPr>
            </w:pPr>
          </w:p>
          <w:p w:rsidR="00C31389" w:rsidRDefault="00C31389" w14:paraId="61D1E5E9" w14:textId="77777777">
            <w:pPr>
              <w:pStyle w:val="TableParagraph"/>
              <w:spacing w:before="0"/>
              <w:rPr>
                <w:sz w:val="20"/>
              </w:rPr>
            </w:pPr>
          </w:p>
          <w:p w:rsidR="00C31389" w:rsidRDefault="00C31389" w14:paraId="4C6DF8B4" w14:textId="77777777">
            <w:pPr>
              <w:pStyle w:val="TableParagraph"/>
              <w:spacing w:before="0"/>
              <w:rPr>
                <w:sz w:val="20"/>
              </w:rPr>
            </w:pPr>
          </w:p>
          <w:p w:rsidR="00C31389" w:rsidRDefault="00561FBD" w14:paraId="31EB0229" w14:textId="77777777">
            <w:pPr>
              <w:pStyle w:val="TableParagraph"/>
              <w:spacing w:before="145"/>
              <w:ind w:left="202"/>
              <w:rPr>
                <w:sz w:val="18"/>
              </w:rPr>
            </w:pPr>
            <w:r>
              <w:rPr>
                <w:spacing w:val="-2"/>
                <w:sz w:val="18"/>
              </w:rPr>
              <w:t>SolCalRen</w:t>
            </w:r>
          </w:p>
        </w:tc>
        <w:tc>
          <w:tcPr>
            <w:tcW w:w="5391" w:type="dxa"/>
            <w:tcBorders>
              <w:top w:val="single" w:color="94D500" w:sz="4" w:space="0"/>
              <w:bottom w:val="single" w:color="94D500" w:sz="4" w:space="0"/>
            </w:tcBorders>
          </w:tcPr>
          <w:p w:rsidR="00C31389" w:rsidRDefault="00561FBD" w14:paraId="1FBEA089" w14:textId="77777777">
            <w:pPr>
              <w:pStyle w:val="TableParagraph"/>
              <w:spacing w:before="7"/>
              <w:ind w:left="110" w:right="116"/>
              <w:rPr>
                <w:sz w:val="18"/>
              </w:rPr>
            </w:pPr>
            <w:r>
              <w:rPr>
                <w:sz w:val="18"/>
              </w:rPr>
              <w:t xml:space="preserve">SoCalREN is guided by the state’s high </w:t>
            </w:r>
            <w:r>
              <w:rPr>
                <w:sz w:val="18"/>
              </w:rPr>
              <w:t>priority focus on identifying and addressing barriers to advancing energy efficiency and decarbonization actions in Environmental and Social</w:t>
            </w:r>
            <w:r>
              <w:rPr>
                <w:spacing w:val="-7"/>
                <w:sz w:val="18"/>
              </w:rPr>
              <w:t xml:space="preserve"> </w:t>
            </w:r>
            <w:r>
              <w:rPr>
                <w:sz w:val="18"/>
              </w:rPr>
              <w:t>Justice</w:t>
            </w:r>
            <w:r>
              <w:rPr>
                <w:spacing w:val="-6"/>
                <w:sz w:val="18"/>
              </w:rPr>
              <w:t xml:space="preserve"> </w:t>
            </w:r>
            <w:r>
              <w:rPr>
                <w:sz w:val="18"/>
              </w:rPr>
              <w:t>Communities.</w:t>
            </w:r>
            <w:r>
              <w:rPr>
                <w:spacing w:val="-6"/>
                <w:sz w:val="18"/>
              </w:rPr>
              <w:t xml:space="preserve"> </w:t>
            </w:r>
            <w:r>
              <w:rPr>
                <w:sz w:val="18"/>
              </w:rPr>
              <w:t>These</w:t>
            </w:r>
            <w:r>
              <w:rPr>
                <w:spacing w:val="-8"/>
                <w:sz w:val="18"/>
              </w:rPr>
              <w:t xml:space="preserve"> </w:t>
            </w:r>
            <w:r>
              <w:rPr>
                <w:sz w:val="18"/>
              </w:rPr>
              <w:t>customers,</w:t>
            </w:r>
            <w:r>
              <w:rPr>
                <w:spacing w:val="-7"/>
                <w:sz w:val="18"/>
              </w:rPr>
              <w:t xml:space="preserve"> </w:t>
            </w:r>
            <w:r>
              <w:rPr>
                <w:sz w:val="18"/>
              </w:rPr>
              <w:t>which</w:t>
            </w:r>
            <w:r>
              <w:rPr>
                <w:spacing w:val="-8"/>
                <w:sz w:val="18"/>
              </w:rPr>
              <w:t xml:space="preserve"> </w:t>
            </w:r>
            <w:r>
              <w:rPr>
                <w:sz w:val="18"/>
              </w:rPr>
              <w:t>SoCalREN serves, may be less likely to</w:t>
            </w:r>
            <w:r>
              <w:rPr>
                <w:spacing w:val="-1"/>
                <w:sz w:val="18"/>
              </w:rPr>
              <w:t xml:space="preserve"> </w:t>
            </w:r>
            <w:r>
              <w:rPr>
                <w:sz w:val="18"/>
              </w:rPr>
              <w:t>reside</w:t>
            </w:r>
            <w:r>
              <w:rPr>
                <w:spacing w:val="-1"/>
                <w:sz w:val="18"/>
              </w:rPr>
              <w:t xml:space="preserve"> </w:t>
            </w:r>
            <w:r>
              <w:rPr>
                <w:sz w:val="18"/>
              </w:rPr>
              <w:t>in</w:t>
            </w:r>
            <w:r>
              <w:rPr>
                <w:spacing w:val="-1"/>
                <w:sz w:val="18"/>
              </w:rPr>
              <w:t xml:space="preserve"> </w:t>
            </w:r>
            <w:r>
              <w:rPr>
                <w:sz w:val="18"/>
              </w:rPr>
              <w:t>an</w:t>
            </w:r>
            <w:r>
              <w:rPr>
                <w:spacing w:val="-1"/>
                <w:sz w:val="18"/>
              </w:rPr>
              <w:t xml:space="preserve"> </w:t>
            </w:r>
            <w:r>
              <w:rPr>
                <w:sz w:val="18"/>
              </w:rPr>
              <w:t>owner-occupied</w:t>
            </w:r>
            <w:r>
              <w:rPr>
                <w:spacing w:val="-1"/>
                <w:sz w:val="18"/>
              </w:rPr>
              <w:t xml:space="preserve"> </w:t>
            </w:r>
            <w:r>
              <w:rPr>
                <w:sz w:val="18"/>
              </w:rPr>
              <w:t>single- family home or have sufficient tax appetite to take advantage of IRA</w:t>
            </w:r>
            <w:r>
              <w:rPr>
                <w:spacing w:val="-3"/>
                <w:sz w:val="18"/>
              </w:rPr>
              <w:t xml:space="preserve"> </w:t>
            </w:r>
            <w:r>
              <w:rPr>
                <w:sz w:val="18"/>
              </w:rPr>
              <w:t>tax</w:t>
            </w:r>
            <w:r>
              <w:rPr>
                <w:spacing w:val="-3"/>
                <w:sz w:val="18"/>
              </w:rPr>
              <w:t xml:space="preserve"> </w:t>
            </w:r>
            <w:r>
              <w:rPr>
                <w:sz w:val="18"/>
              </w:rPr>
              <w:t>credits.</w:t>
            </w:r>
            <w:r>
              <w:rPr>
                <w:spacing w:val="-3"/>
                <w:sz w:val="18"/>
              </w:rPr>
              <w:t xml:space="preserve"> </w:t>
            </w:r>
            <w:r>
              <w:rPr>
                <w:sz w:val="18"/>
              </w:rPr>
              <w:t>This</w:t>
            </w:r>
            <w:r>
              <w:rPr>
                <w:spacing w:val="-3"/>
                <w:sz w:val="18"/>
              </w:rPr>
              <w:t xml:space="preserve"> </w:t>
            </w:r>
            <w:r>
              <w:rPr>
                <w:sz w:val="18"/>
              </w:rPr>
              <w:t>inequitable</w:t>
            </w:r>
            <w:r>
              <w:rPr>
                <w:spacing w:val="-4"/>
                <w:sz w:val="18"/>
              </w:rPr>
              <w:t xml:space="preserve"> </w:t>
            </w:r>
            <w:r>
              <w:rPr>
                <w:sz w:val="18"/>
              </w:rPr>
              <w:t>allocation</w:t>
            </w:r>
            <w:r>
              <w:rPr>
                <w:spacing w:val="-4"/>
                <w:sz w:val="18"/>
              </w:rPr>
              <w:t xml:space="preserve"> </w:t>
            </w:r>
            <w:r>
              <w:rPr>
                <w:sz w:val="18"/>
              </w:rPr>
              <w:t>of</w:t>
            </w:r>
            <w:r>
              <w:rPr>
                <w:spacing w:val="-3"/>
                <w:sz w:val="18"/>
              </w:rPr>
              <w:t xml:space="preserve"> </w:t>
            </w:r>
            <w:r>
              <w:rPr>
                <w:sz w:val="18"/>
              </w:rPr>
              <w:t>IRA</w:t>
            </w:r>
            <w:r>
              <w:rPr>
                <w:spacing w:val="-3"/>
                <w:sz w:val="18"/>
              </w:rPr>
              <w:t xml:space="preserve"> </w:t>
            </w:r>
            <w:r>
              <w:rPr>
                <w:sz w:val="18"/>
              </w:rPr>
              <w:t>benefits</w:t>
            </w:r>
            <w:r>
              <w:rPr>
                <w:spacing w:val="-3"/>
                <w:sz w:val="18"/>
              </w:rPr>
              <w:t xml:space="preserve"> </w:t>
            </w:r>
            <w:r>
              <w:rPr>
                <w:sz w:val="18"/>
              </w:rPr>
              <w:t>should</w:t>
            </w:r>
          </w:p>
          <w:p w:rsidR="00C31389" w:rsidRDefault="00561FBD" w14:paraId="6F215FBD" w14:textId="77777777">
            <w:pPr>
              <w:pStyle w:val="TableParagraph"/>
              <w:spacing w:before="0" w:line="206" w:lineRule="exact"/>
              <w:ind w:left="110" w:right="161"/>
              <w:rPr>
                <w:sz w:val="18"/>
              </w:rPr>
            </w:pPr>
            <w:r>
              <w:rPr>
                <w:sz w:val="18"/>
              </w:rPr>
              <w:t>be</w:t>
            </w:r>
            <w:r>
              <w:rPr>
                <w:spacing w:val="-5"/>
                <w:sz w:val="18"/>
              </w:rPr>
              <w:t xml:space="preserve"> </w:t>
            </w:r>
            <w:r>
              <w:rPr>
                <w:sz w:val="18"/>
              </w:rPr>
              <w:t>considered</w:t>
            </w:r>
            <w:r>
              <w:rPr>
                <w:spacing w:val="-5"/>
                <w:sz w:val="18"/>
              </w:rPr>
              <w:t xml:space="preserve"> </w:t>
            </w:r>
            <w:r>
              <w:rPr>
                <w:sz w:val="18"/>
              </w:rPr>
              <w:t>in</w:t>
            </w:r>
            <w:r>
              <w:rPr>
                <w:spacing w:val="-5"/>
                <w:sz w:val="18"/>
              </w:rPr>
              <w:t xml:space="preserve"> </w:t>
            </w:r>
            <w:r>
              <w:rPr>
                <w:sz w:val="18"/>
              </w:rPr>
              <w:t>future</w:t>
            </w:r>
            <w:r>
              <w:rPr>
                <w:spacing w:val="-5"/>
                <w:sz w:val="18"/>
              </w:rPr>
              <w:t xml:space="preserve"> </w:t>
            </w:r>
            <w:r>
              <w:rPr>
                <w:sz w:val="18"/>
              </w:rPr>
              <w:t>Potential</w:t>
            </w:r>
            <w:r>
              <w:rPr>
                <w:spacing w:val="-4"/>
                <w:sz w:val="18"/>
              </w:rPr>
              <w:t xml:space="preserve"> </w:t>
            </w:r>
            <w:r>
              <w:rPr>
                <w:sz w:val="18"/>
              </w:rPr>
              <w:t>and</w:t>
            </w:r>
            <w:r>
              <w:rPr>
                <w:spacing w:val="-5"/>
                <w:sz w:val="18"/>
              </w:rPr>
              <w:t xml:space="preserve"> </w:t>
            </w:r>
            <w:r>
              <w:rPr>
                <w:sz w:val="18"/>
              </w:rPr>
              <w:t>Goals</w:t>
            </w:r>
            <w:r>
              <w:rPr>
                <w:spacing w:val="-4"/>
                <w:sz w:val="18"/>
              </w:rPr>
              <w:t xml:space="preserve"> </w:t>
            </w:r>
            <w:r>
              <w:rPr>
                <w:sz w:val="18"/>
              </w:rPr>
              <w:t>studies,</w:t>
            </w:r>
            <w:r>
              <w:rPr>
                <w:spacing w:val="-4"/>
                <w:sz w:val="18"/>
              </w:rPr>
              <w:t xml:space="preserve"> </w:t>
            </w:r>
            <w:r>
              <w:rPr>
                <w:sz w:val="18"/>
              </w:rPr>
              <w:t>and</w:t>
            </w:r>
            <w:r>
              <w:rPr>
                <w:spacing w:val="-5"/>
                <w:sz w:val="18"/>
              </w:rPr>
              <w:t xml:space="preserve"> </w:t>
            </w:r>
            <w:r>
              <w:rPr>
                <w:sz w:val="18"/>
              </w:rPr>
              <w:t>if possible included in future modeling.</w:t>
            </w:r>
          </w:p>
        </w:tc>
        <w:tc>
          <w:tcPr>
            <w:tcW w:w="3426" w:type="dxa"/>
            <w:tcBorders>
              <w:top w:val="single" w:color="94D500" w:sz="4" w:space="0"/>
              <w:bottom w:val="single" w:color="94D500" w:sz="4" w:space="0"/>
            </w:tcBorders>
          </w:tcPr>
          <w:p w:rsidR="00C31389" w:rsidRDefault="00561FBD" w14:paraId="6E62C9CC" w14:textId="77777777">
            <w:pPr>
              <w:pStyle w:val="TableParagraph"/>
              <w:spacing w:before="110"/>
              <w:ind w:left="119" w:right="125"/>
              <w:rPr>
                <w:sz w:val="18"/>
              </w:rPr>
            </w:pPr>
            <w:r>
              <w:rPr>
                <w:sz w:val="18"/>
              </w:rPr>
              <w:t>Th</w:t>
            </w:r>
            <w:r>
              <w:rPr>
                <w:sz w:val="18"/>
              </w:rPr>
              <w:t>e study incorporates an assumption of</w:t>
            </w:r>
            <w:r>
              <w:rPr>
                <w:spacing w:val="-8"/>
                <w:sz w:val="18"/>
              </w:rPr>
              <w:t xml:space="preserve"> </w:t>
            </w:r>
            <w:r>
              <w:rPr>
                <w:sz w:val="18"/>
              </w:rPr>
              <w:t>a</w:t>
            </w:r>
            <w:r>
              <w:rPr>
                <w:spacing w:val="-9"/>
                <w:sz w:val="18"/>
              </w:rPr>
              <w:t xml:space="preserve"> </w:t>
            </w:r>
            <w:r>
              <w:rPr>
                <w:sz w:val="18"/>
              </w:rPr>
              <w:t>proportion</w:t>
            </w:r>
            <w:r>
              <w:rPr>
                <w:spacing w:val="-7"/>
                <w:sz w:val="18"/>
              </w:rPr>
              <w:t xml:space="preserve"> </w:t>
            </w:r>
            <w:r>
              <w:rPr>
                <w:sz w:val="18"/>
              </w:rPr>
              <w:t>of</w:t>
            </w:r>
            <w:r>
              <w:rPr>
                <w:spacing w:val="-8"/>
                <w:sz w:val="18"/>
              </w:rPr>
              <w:t xml:space="preserve"> </w:t>
            </w:r>
            <w:r>
              <w:rPr>
                <w:sz w:val="18"/>
              </w:rPr>
              <w:t>installed</w:t>
            </w:r>
            <w:r>
              <w:rPr>
                <w:spacing w:val="-9"/>
                <w:sz w:val="18"/>
              </w:rPr>
              <w:t xml:space="preserve"> </w:t>
            </w:r>
            <w:r>
              <w:rPr>
                <w:sz w:val="18"/>
              </w:rPr>
              <w:t>technologies will take advantage of the IRA tax benefits. However as the comment rightfully points out, the PG study does not differentiate the population any further than those that qualify f</w:t>
            </w:r>
            <w:r>
              <w:rPr>
                <w:sz w:val="18"/>
              </w:rPr>
              <w:t>or the ESA program and those that do not.</w:t>
            </w:r>
          </w:p>
        </w:tc>
      </w:tr>
      <w:tr w:rsidR="00C31389" w14:paraId="0DF55F61" w14:textId="77777777">
        <w:trPr>
          <w:trHeight w:val="621"/>
        </w:trPr>
        <w:tc>
          <w:tcPr>
            <w:tcW w:w="1625" w:type="dxa"/>
            <w:tcBorders>
              <w:top w:val="single" w:color="94D500" w:sz="4" w:space="0"/>
              <w:bottom w:val="single" w:color="94D500" w:sz="4" w:space="0"/>
            </w:tcBorders>
          </w:tcPr>
          <w:p w:rsidR="00C31389" w:rsidRDefault="00C31389" w14:paraId="7FF2C7CF" w14:textId="77777777">
            <w:pPr>
              <w:pStyle w:val="TableParagraph"/>
              <w:spacing w:before="11"/>
              <w:rPr>
                <w:sz w:val="17"/>
              </w:rPr>
            </w:pPr>
          </w:p>
          <w:p w:rsidR="00C31389" w:rsidRDefault="00561FBD" w14:paraId="1FE853ED" w14:textId="77777777">
            <w:pPr>
              <w:pStyle w:val="TableParagraph"/>
              <w:spacing w:before="0"/>
              <w:ind w:left="122"/>
              <w:rPr>
                <w:b/>
                <w:sz w:val="18"/>
              </w:rPr>
            </w:pPr>
            <w:r>
              <w:rPr>
                <w:b/>
                <w:sz w:val="18"/>
              </w:rPr>
              <w:t>Fuel</w:t>
            </w:r>
            <w:r>
              <w:rPr>
                <w:b/>
                <w:spacing w:val="-1"/>
                <w:sz w:val="18"/>
              </w:rPr>
              <w:t xml:space="preserve"> </w:t>
            </w:r>
            <w:r>
              <w:rPr>
                <w:b/>
                <w:spacing w:val="-5"/>
                <w:sz w:val="18"/>
              </w:rPr>
              <w:t>Sub</w:t>
            </w:r>
          </w:p>
        </w:tc>
        <w:tc>
          <w:tcPr>
            <w:tcW w:w="1172" w:type="dxa"/>
            <w:tcBorders>
              <w:top w:val="single" w:color="94D500" w:sz="4" w:space="0"/>
              <w:bottom w:val="single" w:color="94D500" w:sz="4" w:space="0"/>
            </w:tcBorders>
          </w:tcPr>
          <w:p w:rsidR="00C31389" w:rsidRDefault="00C31389" w14:paraId="2EE86B2A" w14:textId="77777777">
            <w:pPr>
              <w:pStyle w:val="TableParagraph"/>
              <w:spacing w:before="11"/>
              <w:rPr>
                <w:sz w:val="17"/>
              </w:rPr>
            </w:pPr>
          </w:p>
          <w:p w:rsidR="00C31389" w:rsidRDefault="00561FBD" w14:paraId="2563E959" w14:textId="77777777">
            <w:pPr>
              <w:pStyle w:val="TableParagraph"/>
              <w:spacing w:before="0"/>
              <w:ind w:left="202"/>
              <w:rPr>
                <w:sz w:val="18"/>
              </w:rPr>
            </w:pPr>
            <w:r>
              <w:rPr>
                <w:spacing w:val="-4"/>
                <w:sz w:val="18"/>
              </w:rPr>
              <w:t>NRDC</w:t>
            </w:r>
          </w:p>
        </w:tc>
        <w:tc>
          <w:tcPr>
            <w:tcW w:w="5391" w:type="dxa"/>
            <w:tcBorders>
              <w:top w:val="single" w:color="94D500" w:sz="4" w:space="0"/>
              <w:bottom w:val="single" w:color="94D500" w:sz="4" w:space="0"/>
            </w:tcBorders>
          </w:tcPr>
          <w:p w:rsidR="00C31389" w:rsidRDefault="00561FBD" w14:paraId="04FBD2ED" w14:textId="77777777">
            <w:pPr>
              <w:pStyle w:val="TableParagraph"/>
              <w:spacing w:before="102"/>
              <w:ind w:left="110" w:hanging="1"/>
              <w:rPr>
                <w:sz w:val="18"/>
              </w:rPr>
            </w:pPr>
            <w:r>
              <w:rPr>
                <w:sz w:val="18"/>
              </w:rPr>
              <w:t>Consider</w:t>
            </w:r>
            <w:r>
              <w:rPr>
                <w:spacing w:val="-5"/>
                <w:sz w:val="18"/>
              </w:rPr>
              <w:t xml:space="preserve"> </w:t>
            </w:r>
            <w:r>
              <w:rPr>
                <w:sz w:val="18"/>
              </w:rPr>
              <w:t>cost</w:t>
            </w:r>
            <w:r>
              <w:rPr>
                <w:spacing w:val="-4"/>
                <w:sz w:val="18"/>
              </w:rPr>
              <w:t xml:space="preserve"> </w:t>
            </w:r>
            <w:r>
              <w:rPr>
                <w:sz w:val="18"/>
              </w:rPr>
              <w:t>&amp;</w:t>
            </w:r>
            <w:r>
              <w:rPr>
                <w:spacing w:val="-5"/>
                <w:sz w:val="18"/>
              </w:rPr>
              <w:t xml:space="preserve"> </w:t>
            </w:r>
            <w:r>
              <w:rPr>
                <w:sz w:val="18"/>
              </w:rPr>
              <w:t>availability</w:t>
            </w:r>
            <w:r>
              <w:rPr>
                <w:spacing w:val="-5"/>
                <w:sz w:val="18"/>
              </w:rPr>
              <w:t xml:space="preserve"> </w:t>
            </w:r>
            <w:r>
              <w:rPr>
                <w:sz w:val="18"/>
              </w:rPr>
              <w:t>of</w:t>
            </w:r>
            <w:r>
              <w:rPr>
                <w:spacing w:val="-5"/>
                <w:sz w:val="18"/>
              </w:rPr>
              <w:t xml:space="preserve"> </w:t>
            </w:r>
            <w:r>
              <w:rPr>
                <w:sz w:val="18"/>
              </w:rPr>
              <w:t>circuit</w:t>
            </w:r>
            <w:r>
              <w:rPr>
                <w:spacing w:val="-4"/>
                <w:sz w:val="18"/>
              </w:rPr>
              <w:t xml:space="preserve"> </w:t>
            </w:r>
            <w:r>
              <w:rPr>
                <w:sz w:val="18"/>
              </w:rPr>
              <w:t>sharing</w:t>
            </w:r>
            <w:r>
              <w:rPr>
                <w:spacing w:val="-4"/>
                <w:sz w:val="18"/>
              </w:rPr>
              <w:t xml:space="preserve"> </w:t>
            </w:r>
            <w:r>
              <w:rPr>
                <w:sz w:val="18"/>
              </w:rPr>
              <w:t>devices</w:t>
            </w:r>
            <w:r>
              <w:rPr>
                <w:spacing w:val="-5"/>
                <w:sz w:val="18"/>
              </w:rPr>
              <w:t xml:space="preserve"> </w:t>
            </w:r>
            <w:r>
              <w:rPr>
                <w:sz w:val="18"/>
              </w:rPr>
              <w:t>since</w:t>
            </w:r>
            <w:r>
              <w:rPr>
                <w:spacing w:val="-4"/>
                <w:sz w:val="18"/>
              </w:rPr>
              <w:t xml:space="preserve"> </w:t>
            </w:r>
            <w:r>
              <w:rPr>
                <w:sz w:val="18"/>
              </w:rPr>
              <w:t>may negate need for panel upgrade</w:t>
            </w:r>
          </w:p>
        </w:tc>
        <w:tc>
          <w:tcPr>
            <w:tcW w:w="3426" w:type="dxa"/>
            <w:tcBorders>
              <w:top w:val="single" w:color="94D500" w:sz="4" w:space="0"/>
              <w:bottom w:val="single" w:color="94D500" w:sz="4" w:space="0"/>
            </w:tcBorders>
          </w:tcPr>
          <w:p w:rsidR="00C31389" w:rsidRDefault="00561FBD" w14:paraId="4BD78E89" w14:textId="77777777">
            <w:pPr>
              <w:pStyle w:val="TableParagraph"/>
              <w:spacing w:before="0" w:line="206" w:lineRule="exact"/>
              <w:ind w:left="119"/>
              <w:rPr>
                <w:sz w:val="18"/>
              </w:rPr>
            </w:pPr>
            <w:r>
              <w:rPr>
                <w:sz w:val="18"/>
              </w:rPr>
              <w:t>Noted.</w:t>
            </w:r>
            <w:r>
              <w:rPr>
                <w:spacing w:val="-3"/>
                <w:sz w:val="18"/>
              </w:rPr>
              <w:t xml:space="preserve"> </w:t>
            </w:r>
            <w:r>
              <w:rPr>
                <w:sz w:val="18"/>
              </w:rPr>
              <w:t>This</w:t>
            </w:r>
            <w:r>
              <w:rPr>
                <w:spacing w:val="-3"/>
                <w:sz w:val="18"/>
              </w:rPr>
              <w:t xml:space="preserve"> </w:t>
            </w:r>
            <w:r>
              <w:rPr>
                <w:sz w:val="18"/>
              </w:rPr>
              <w:t>information</w:t>
            </w:r>
            <w:r>
              <w:rPr>
                <w:spacing w:val="-4"/>
                <w:sz w:val="18"/>
              </w:rPr>
              <w:t xml:space="preserve"> </w:t>
            </w:r>
            <w:r>
              <w:rPr>
                <w:sz w:val="18"/>
              </w:rPr>
              <w:t>is</w:t>
            </w:r>
            <w:r>
              <w:rPr>
                <w:spacing w:val="-2"/>
                <w:sz w:val="18"/>
              </w:rPr>
              <w:t xml:space="preserve"> being</w:t>
            </w:r>
          </w:p>
          <w:p w:rsidR="00C31389" w:rsidRDefault="00561FBD" w14:paraId="2783FFB4" w14:textId="77777777">
            <w:pPr>
              <w:pStyle w:val="TableParagraph"/>
              <w:spacing w:before="0" w:line="206" w:lineRule="exact"/>
              <w:ind w:left="119"/>
              <w:rPr>
                <w:sz w:val="18"/>
              </w:rPr>
            </w:pPr>
            <w:r>
              <w:rPr>
                <w:sz w:val="18"/>
              </w:rPr>
              <w:t>considered</w:t>
            </w:r>
            <w:r>
              <w:rPr>
                <w:spacing w:val="-7"/>
                <w:sz w:val="18"/>
              </w:rPr>
              <w:t xml:space="preserve"> </w:t>
            </w:r>
            <w:r>
              <w:rPr>
                <w:sz w:val="18"/>
              </w:rPr>
              <w:t>for</w:t>
            </w:r>
            <w:r>
              <w:rPr>
                <w:spacing w:val="-6"/>
                <w:sz w:val="18"/>
              </w:rPr>
              <w:t xml:space="preserve"> </w:t>
            </w:r>
            <w:r>
              <w:rPr>
                <w:sz w:val="18"/>
              </w:rPr>
              <w:t>the</w:t>
            </w:r>
            <w:r>
              <w:rPr>
                <w:spacing w:val="-7"/>
                <w:sz w:val="18"/>
              </w:rPr>
              <w:t xml:space="preserve"> </w:t>
            </w:r>
            <w:r>
              <w:rPr>
                <w:sz w:val="18"/>
              </w:rPr>
              <w:t>FS</w:t>
            </w:r>
            <w:r>
              <w:rPr>
                <w:spacing w:val="-6"/>
                <w:sz w:val="18"/>
              </w:rPr>
              <w:t xml:space="preserve"> </w:t>
            </w:r>
            <w:r>
              <w:rPr>
                <w:sz w:val="18"/>
              </w:rPr>
              <w:t>behind</w:t>
            </w:r>
            <w:r>
              <w:rPr>
                <w:spacing w:val="-7"/>
                <w:sz w:val="18"/>
              </w:rPr>
              <w:t xml:space="preserve"> </w:t>
            </w:r>
            <w:r>
              <w:rPr>
                <w:sz w:val="18"/>
              </w:rPr>
              <w:t>the</w:t>
            </w:r>
            <w:r>
              <w:rPr>
                <w:spacing w:val="-7"/>
                <w:sz w:val="18"/>
              </w:rPr>
              <w:t xml:space="preserve"> </w:t>
            </w:r>
            <w:r>
              <w:rPr>
                <w:sz w:val="18"/>
              </w:rPr>
              <w:t xml:space="preserve">meter Infrastructure Cost </w:t>
            </w:r>
            <w:r>
              <w:rPr>
                <w:sz w:val="18"/>
              </w:rPr>
              <w:t>market study</w:t>
            </w:r>
          </w:p>
        </w:tc>
      </w:tr>
    </w:tbl>
    <w:p w:rsidR="00C31389" w:rsidRDefault="00C31389" w14:paraId="1958CE8D" w14:textId="77777777">
      <w:pPr>
        <w:spacing w:line="206" w:lineRule="exact"/>
        <w:rPr>
          <w:sz w:val="18"/>
        </w:rPr>
        <w:sectPr w:rsidR="00C31389">
          <w:pgSz w:w="15840" w:h="12240" w:orient="landscape"/>
          <w:pgMar w:top="1660" w:right="2260" w:bottom="1120" w:left="1320" w:header="397" w:footer="936" w:gutter="0"/>
          <w:cols w:space="720"/>
        </w:sectPr>
      </w:pPr>
    </w:p>
    <w:p w:rsidR="00C31389" w:rsidRDefault="00C31389" w14:paraId="7EF8C78B" w14:textId="77777777">
      <w:pPr>
        <w:pStyle w:val="BodyText"/>
        <w:spacing w:before="6"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355"/>
        <w:gridCol w:w="1428"/>
        <w:gridCol w:w="5414"/>
        <w:gridCol w:w="3417"/>
      </w:tblGrid>
      <w:tr w:rsidR="00C31389" w14:paraId="64AE5FE6" w14:textId="77777777">
        <w:trPr>
          <w:trHeight w:val="261"/>
        </w:trPr>
        <w:tc>
          <w:tcPr>
            <w:tcW w:w="1355" w:type="dxa"/>
            <w:shd w:val="clear" w:color="auto" w:fill="94D500"/>
          </w:tcPr>
          <w:p w:rsidR="00C31389" w:rsidRDefault="00561FBD" w14:paraId="290C14E9" w14:textId="77777777">
            <w:pPr>
              <w:pStyle w:val="TableParagraph"/>
              <w:spacing w:before="26"/>
              <w:ind w:left="122"/>
              <w:rPr>
                <w:b/>
                <w:sz w:val="18"/>
              </w:rPr>
            </w:pPr>
            <w:r>
              <w:rPr>
                <w:b/>
                <w:spacing w:val="-2"/>
                <w:sz w:val="18"/>
              </w:rPr>
              <w:t>Subject</w:t>
            </w:r>
          </w:p>
        </w:tc>
        <w:tc>
          <w:tcPr>
            <w:tcW w:w="1428" w:type="dxa"/>
            <w:shd w:val="clear" w:color="auto" w:fill="94D500"/>
          </w:tcPr>
          <w:p w:rsidR="00C31389" w:rsidRDefault="00561FBD" w14:paraId="4F8AFA65" w14:textId="77777777">
            <w:pPr>
              <w:pStyle w:val="TableParagraph"/>
              <w:spacing w:before="26"/>
              <w:ind w:left="472"/>
              <w:rPr>
                <w:b/>
                <w:sz w:val="18"/>
              </w:rPr>
            </w:pPr>
            <w:r>
              <w:rPr>
                <w:b/>
                <w:spacing w:val="-2"/>
                <w:sz w:val="18"/>
              </w:rPr>
              <w:t>Affiliation</w:t>
            </w:r>
          </w:p>
        </w:tc>
        <w:tc>
          <w:tcPr>
            <w:tcW w:w="5414" w:type="dxa"/>
            <w:shd w:val="clear" w:color="auto" w:fill="94D500"/>
          </w:tcPr>
          <w:p w:rsidR="00C31389" w:rsidRDefault="00561FBD" w14:paraId="21B4E709" w14:textId="77777777">
            <w:pPr>
              <w:pStyle w:val="TableParagraph"/>
              <w:spacing w:before="26"/>
              <w:ind w:left="124"/>
              <w:rPr>
                <w:b/>
                <w:sz w:val="18"/>
              </w:rPr>
            </w:pPr>
            <w:r>
              <w:rPr>
                <w:b/>
                <w:sz w:val="18"/>
              </w:rPr>
              <w:t>Summary</w:t>
            </w:r>
            <w:r>
              <w:rPr>
                <w:b/>
                <w:spacing w:val="-3"/>
                <w:sz w:val="18"/>
              </w:rPr>
              <w:t xml:space="preserve"> </w:t>
            </w:r>
            <w:r>
              <w:rPr>
                <w:b/>
                <w:sz w:val="18"/>
              </w:rPr>
              <w:t>of</w:t>
            </w:r>
            <w:r>
              <w:rPr>
                <w:b/>
                <w:spacing w:val="-2"/>
                <w:sz w:val="18"/>
              </w:rPr>
              <w:t xml:space="preserve"> Issue</w:t>
            </w:r>
          </w:p>
        </w:tc>
        <w:tc>
          <w:tcPr>
            <w:tcW w:w="3417" w:type="dxa"/>
            <w:shd w:val="clear" w:color="auto" w:fill="94D500"/>
          </w:tcPr>
          <w:p w:rsidR="00C31389" w:rsidRDefault="00561FBD" w14:paraId="340FFECA" w14:textId="77777777">
            <w:pPr>
              <w:pStyle w:val="TableParagraph"/>
              <w:spacing w:before="26"/>
              <w:ind w:left="110"/>
              <w:rPr>
                <w:b/>
                <w:sz w:val="18"/>
              </w:rPr>
            </w:pPr>
            <w:r>
              <w:rPr>
                <w:b/>
                <w:sz w:val="18"/>
              </w:rPr>
              <w:t>Guidehouse</w:t>
            </w:r>
            <w:r>
              <w:rPr>
                <w:b/>
                <w:spacing w:val="-4"/>
                <w:sz w:val="18"/>
              </w:rPr>
              <w:t xml:space="preserve"> </w:t>
            </w:r>
            <w:r>
              <w:rPr>
                <w:b/>
                <w:spacing w:val="-2"/>
                <w:sz w:val="18"/>
              </w:rPr>
              <w:t>Response</w:t>
            </w:r>
          </w:p>
        </w:tc>
      </w:tr>
      <w:tr w:rsidR="00C31389" w14:paraId="23408DA0" w14:textId="77777777">
        <w:trPr>
          <w:trHeight w:val="1449"/>
        </w:trPr>
        <w:tc>
          <w:tcPr>
            <w:tcW w:w="1355" w:type="dxa"/>
            <w:tcBorders>
              <w:bottom w:val="single" w:color="94D500" w:sz="4" w:space="0"/>
            </w:tcBorders>
          </w:tcPr>
          <w:p w:rsidR="00C31389" w:rsidRDefault="00C31389" w14:paraId="10A1F690" w14:textId="77777777">
            <w:pPr>
              <w:pStyle w:val="TableParagraph"/>
              <w:spacing w:before="0"/>
              <w:rPr>
                <w:sz w:val="20"/>
              </w:rPr>
            </w:pPr>
          </w:p>
          <w:p w:rsidR="00C31389" w:rsidRDefault="00C31389" w14:paraId="307CBD64" w14:textId="77777777">
            <w:pPr>
              <w:pStyle w:val="TableParagraph"/>
              <w:spacing w:before="0"/>
              <w:rPr>
                <w:sz w:val="20"/>
              </w:rPr>
            </w:pPr>
          </w:p>
          <w:p w:rsidR="00C31389" w:rsidRDefault="00561FBD" w14:paraId="3C7A7F51" w14:textId="77777777">
            <w:pPr>
              <w:pStyle w:val="TableParagraph"/>
              <w:spacing w:before="161"/>
              <w:ind w:left="122"/>
              <w:rPr>
                <w:b/>
                <w:sz w:val="18"/>
              </w:rPr>
            </w:pPr>
            <w:r>
              <w:rPr>
                <w:b/>
                <w:sz w:val="18"/>
              </w:rPr>
              <w:t>Fuel</w:t>
            </w:r>
            <w:r>
              <w:rPr>
                <w:b/>
                <w:spacing w:val="-1"/>
                <w:sz w:val="18"/>
              </w:rPr>
              <w:t xml:space="preserve"> </w:t>
            </w:r>
            <w:r>
              <w:rPr>
                <w:b/>
                <w:spacing w:val="-5"/>
                <w:sz w:val="18"/>
              </w:rPr>
              <w:t>Sub</w:t>
            </w:r>
          </w:p>
        </w:tc>
        <w:tc>
          <w:tcPr>
            <w:tcW w:w="1428" w:type="dxa"/>
            <w:tcBorders>
              <w:bottom w:val="single" w:color="94D500" w:sz="4" w:space="0"/>
            </w:tcBorders>
          </w:tcPr>
          <w:p w:rsidR="00C31389" w:rsidRDefault="00C31389" w14:paraId="42732609" w14:textId="77777777">
            <w:pPr>
              <w:pStyle w:val="TableParagraph"/>
              <w:spacing w:before="0"/>
              <w:rPr>
                <w:sz w:val="20"/>
              </w:rPr>
            </w:pPr>
          </w:p>
          <w:p w:rsidR="00C31389" w:rsidRDefault="00C31389" w14:paraId="5686F86A" w14:textId="77777777">
            <w:pPr>
              <w:pStyle w:val="TableParagraph"/>
              <w:spacing w:before="0"/>
              <w:rPr>
                <w:sz w:val="20"/>
              </w:rPr>
            </w:pPr>
          </w:p>
          <w:p w:rsidR="00C31389" w:rsidRDefault="00561FBD" w14:paraId="12F4EFD9" w14:textId="77777777">
            <w:pPr>
              <w:pStyle w:val="TableParagraph"/>
              <w:spacing w:before="161"/>
              <w:ind w:left="472"/>
              <w:rPr>
                <w:sz w:val="18"/>
              </w:rPr>
            </w:pPr>
            <w:r>
              <w:rPr>
                <w:spacing w:val="-5"/>
                <w:sz w:val="18"/>
              </w:rPr>
              <w:t>PAO</w:t>
            </w:r>
          </w:p>
        </w:tc>
        <w:tc>
          <w:tcPr>
            <w:tcW w:w="5414" w:type="dxa"/>
            <w:tcBorders>
              <w:bottom w:val="single" w:color="94D500" w:sz="4" w:space="0"/>
            </w:tcBorders>
          </w:tcPr>
          <w:p w:rsidR="00C31389" w:rsidRDefault="00C31389" w14:paraId="59A21C8A" w14:textId="77777777">
            <w:pPr>
              <w:pStyle w:val="TableParagraph"/>
              <w:spacing w:before="0"/>
              <w:rPr>
                <w:sz w:val="20"/>
              </w:rPr>
            </w:pPr>
          </w:p>
          <w:p w:rsidR="00C31389" w:rsidRDefault="00C31389" w14:paraId="3B2DC9A0" w14:textId="77777777">
            <w:pPr>
              <w:pStyle w:val="TableParagraph"/>
              <w:spacing w:before="0"/>
              <w:rPr>
                <w:sz w:val="25"/>
              </w:rPr>
            </w:pPr>
          </w:p>
          <w:p w:rsidR="00C31389" w:rsidRDefault="00561FBD" w14:paraId="669CE3C0" w14:textId="77777777">
            <w:pPr>
              <w:pStyle w:val="TableParagraph"/>
              <w:spacing w:before="0"/>
              <w:ind w:left="124" w:right="159" w:hanging="1"/>
              <w:rPr>
                <w:sz w:val="18"/>
              </w:rPr>
            </w:pPr>
            <w:r>
              <w:rPr>
                <w:sz w:val="18"/>
              </w:rPr>
              <w:t>The</w:t>
            </w:r>
            <w:r>
              <w:rPr>
                <w:spacing w:val="-6"/>
                <w:sz w:val="18"/>
              </w:rPr>
              <w:t xml:space="preserve"> </w:t>
            </w:r>
            <w:r>
              <w:rPr>
                <w:sz w:val="18"/>
              </w:rPr>
              <w:t>Draft</w:t>
            </w:r>
            <w:r>
              <w:rPr>
                <w:spacing w:val="-5"/>
                <w:sz w:val="18"/>
              </w:rPr>
              <w:t xml:space="preserve"> </w:t>
            </w:r>
            <w:r>
              <w:rPr>
                <w:sz w:val="18"/>
              </w:rPr>
              <w:t>Study</w:t>
            </w:r>
            <w:r>
              <w:rPr>
                <w:spacing w:val="-5"/>
                <w:sz w:val="18"/>
              </w:rPr>
              <w:t xml:space="preserve"> </w:t>
            </w:r>
            <w:r>
              <w:rPr>
                <w:sz w:val="18"/>
              </w:rPr>
              <w:t>should</w:t>
            </w:r>
            <w:r>
              <w:rPr>
                <w:spacing w:val="-6"/>
                <w:sz w:val="18"/>
              </w:rPr>
              <w:t xml:space="preserve"> </w:t>
            </w:r>
            <w:r>
              <w:rPr>
                <w:sz w:val="18"/>
              </w:rPr>
              <w:t>conduct</w:t>
            </w:r>
            <w:r>
              <w:rPr>
                <w:spacing w:val="-5"/>
                <w:sz w:val="18"/>
              </w:rPr>
              <w:t xml:space="preserve"> </w:t>
            </w:r>
            <w:r>
              <w:rPr>
                <w:sz w:val="18"/>
              </w:rPr>
              <w:t>further</w:t>
            </w:r>
            <w:r>
              <w:rPr>
                <w:spacing w:val="-5"/>
                <w:sz w:val="18"/>
              </w:rPr>
              <w:t xml:space="preserve"> </w:t>
            </w:r>
            <w:r>
              <w:rPr>
                <w:sz w:val="18"/>
              </w:rPr>
              <w:t>analyses</w:t>
            </w:r>
            <w:r>
              <w:rPr>
                <w:spacing w:val="-5"/>
                <w:sz w:val="18"/>
              </w:rPr>
              <w:t xml:space="preserve"> </w:t>
            </w:r>
            <w:r>
              <w:rPr>
                <w:sz w:val="18"/>
              </w:rPr>
              <w:t>on</w:t>
            </w:r>
            <w:r>
              <w:rPr>
                <w:spacing w:val="-6"/>
                <w:sz w:val="18"/>
              </w:rPr>
              <w:t xml:space="preserve"> </w:t>
            </w:r>
            <w:r>
              <w:rPr>
                <w:sz w:val="18"/>
              </w:rPr>
              <w:t>alternatives to panel upgrades.</w:t>
            </w:r>
          </w:p>
        </w:tc>
        <w:tc>
          <w:tcPr>
            <w:tcW w:w="3417" w:type="dxa"/>
            <w:tcBorders>
              <w:bottom w:val="single" w:color="94D500" w:sz="4" w:space="0"/>
            </w:tcBorders>
          </w:tcPr>
          <w:p w:rsidR="00C31389" w:rsidRDefault="00561FBD" w14:paraId="2BDA3AC8" w14:textId="77777777">
            <w:pPr>
              <w:pStyle w:val="TableParagraph"/>
              <w:spacing w:before="0"/>
              <w:ind w:left="110" w:right="85"/>
              <w:rPr>
                <w:sz w:val="18"/>
              </w:rPr>
            </w:pPr>
            <w:r>
              <w:rPr>
                <w:sz w:val="18"/>
              </w:rPr>
              <w:t xml:space="preserve">The Group E EM&amp;V team is conducting a market study to </w:t>
            </w:r>
            <w:r>
              <w:rPr>
                <w:sz w:val="18"/>
              </w:rPr>
              <w:t>understand the existing implementation activities of infrastructure upgrades (panel or no panel).</w:t>
            </w:r>
            <w:r>
              <w:rPr>
                <w:spacing w:val="-13"/>
                <w:sz w:val="18"/>
              </w:rPr>
              <w:t xml:space="preserve"> </w:t>
            </w:r>
            <w:r>
              <w:rPr>
                <w:sz w:val="18"/>
              </w:rPr>
              <w:t>However,</w:t>
            </w:r>
            <w:r>
              <w:rPr>
                <w:spacing w:val="-12"/>
                <w:sz w:val="18"/>
              </w:rPr>
              <w:t xml:space="preserve"> </w:t>
            </w:r>
            <w:r>
              <w:rPr>
                <w:sz w:val="18"/>
              </w:rPr>
              <w:t>identifying</w:t>
            </w:r>
            <w:r>
              <w:rPr>
                <w:spacing w:val="-13"/>
                <w:sz w:val="18"/>
              </w:rPr>
              <w:t xml:space="preserve"> </w:t>
            </w:r>
            <w:r>
              <w:rPr>
                <w:sz w:val="18"/>
              </w:rPr>
              <w:t>alternatives</w:t>
            </w:r>
          </w:p>
          <w:p w:rsidR="00C31389" w:rsidRDefault="00561FBD" w14:paraId="6E0DD20F" w14:textId="77777777">
            <w:pPr>
              <w:pStyle w:val="TableParagraph"/>
              <w:spacing w:before="0" w:line="206" w:lineRule="exact"/>
              <w:ind w:left="110" w:right="208"/>
              <w:rPr>
                <w:sz w:val="18"/>
              </w:rPr>
            </w:pPr>
            <w:r>
              <w:rPr>
                <w:sz w:val="18"/>
              </w:rPr>
              <w:t>to</w:t>
            </w:r>
            <w:r>
              <w:rPr>
                <w:spacing w:val="-7"/>
                <w:sz w:val="18"/>
              </w:rPr>
              <w:t xml:space="preserve"> </w:t>
            </w:r>
            <w:r>
              <w:rPr>
                <w:sz w:val="18"/>
              </w:rPr>
              <w:t>panel</w:t>
            </w:r>
            <w:r>
              <w:rPr>
                <w:spacing w:val="-6"/>
                <w:sz w:val="18"/>
              </w:rPr>
              <w:t xml:space="preserve"> </w:t>
            </w:r>
            <w:r>
              <w:rPr>
                <w:sz w:val="18"/>
              </w:rPr>
              <w:t>upgrades</w:t>
            </w:r>
            <w:r>
              <w:rPr>
                <w:spacing w:val="-6"/>
                <w:sz w:val="18"/>
              </w:rPr>
              <w:t xml:space="preserve"> </w:t>
            </w:r>
            <w:r>
              <w:rPr>
                <w:sz w:val="18"/>
              </w:rPr>
              <w:t>is</w:t>
            </w:r>
            <w:r>
              <w:rPr>
                <w:spacing w:val="-6"/>
                <w:sz w:val="18"/>
              </w:rPr>
              <w:t xml:space="preserve"> </w:t>
            </w:r>
            <w:r>
              <w:rPr>
                <w:sz w:val="18"/>
              </w:rPr>
              <w:t>out</w:t>
            </w:r>
            <w:r>
              <w:rPr>
                <w:spacing w:val="-6"/>
                <w:sz w:val="18"/>
              </w:rPr>
              <w:t xml:space="preserve"> </w:t>
            </w:r>
            <w:r>
              <w:rPr>
                <w:sz w:val="18"/>
              </w:rPr>
              <w:t>of</w:t>
            </w:r>
            <w:r>
              <w:rPr>
                <w:spacing w:val="-6"/>
                <w:sz w:val="18"/>
              </w:rPr>
              <w:t xml:space="preserve"> </w:t>
            </w:r>
            <w:r>
              <w:rPr>
                <w:sz w:val="18"/>
              </w:rPr>
              <w:t>scope</w:t>
            </w:r>
            <w:r>
              <w:rPr>
                <w:spacing w:val="-7"/>
                <w:sz w:val="18"/>
              </w:rPr>
              <w:t xml:space="preserve"> </w:t>
            </w:r>
            <w:r>
              <w:rPr>
                <w:sz w:val="18"/>
              </w:rPr>
              <w:t>for the market study.</w:t>
            </w:r>
          </w:p>
        </w:tc>
      </w:tr>
      <w:tr w:rsidR="00C31389" w14:paraId="126BB3CD" w14:textId="77777777">
        <w:trPr>
          <w:trHeight w:val="3311"/>
        </w:trPr>
        <w:tc>
          <w:tcPr>
            <w:tcW w:w="1355" w:type="dxa"/>
            <w:tcBorders>
              <w:top w:val="single" w:color="94D500" w:sz="4" w:space="0"/>
              <w:bottom w:val="single" w:color="94D500" w:sz="4" w:space="0"/>
            </w:tcBorders>
          </w:tcPr>
          <w:p w:rsidR="00C31389" w:rsidRDefault="00C31389" w14:paraId="7E85F67B" w14:textId="77777777">
            <w:pPr>
              <w:pStyle w:val="TableParagraph"/>
              <w:spacing w:before="0"/>
              <w:rPr>
                <w:sz w:val="20"/>
              </w:rPr>
            </w:pPr>
          </w:p>
          <w:p w:rsidR="00C31389" w:rsidRDefault="00C31389" w14:paraId="744DD832" w14:textId="77777777">
            <w:pPr>
              <w:pStyle w:val="TableParagraph"/>
              <w:spacing w:before="0"/>
              <w:rPr>
                <w:sz w:val="20"/>
              </w:rPr>
            </w:pPr>
          </w:p>
          <w:p w:rsidR="00C31389" w:rsidRDefault="00C31389" w14:paraId="696BFEC2" w14:textId="77777777">
            <w:pPr>
              <w:pStyle w:val="TableParagraph"/>
              <w:spacing w:before="0"/>
              <w:rPr>
                <w:sz w:val="20"/>
              </w:rPr>
            </w:pPr>
          </w:p>
          <w:p w:rsidR="00C31389" w:rsidRDefault="00C31389" w14:paraId="6F193768" w14:textId="77777777">
            <w:pPr>
              <w:pStyle w:val="TableParagraph"/>
              <w:spacing w:before="0"/>
              <w:rPr>
                <w:sz w:val="20"/>
              </w:rPr>
            </w:pPr>
          </w:p>
          <w:p w:rsidR="00C31389" w:rsidRDefault="00C31389" w14:paraId="356F964E" w14:textId="77777777">
            <w:pPr>
              <w:pStyle w:val="TableParagraph"/>
              <w:spacing w:before="0"/>
              <w:rPr>
                <w:sz w:val="20"/>
              </w:rPr>
            </w:pPr>
          </w:p>
          <w:p w:rsidR="00C31389" w:rsidRDefault="00C31389" w14:paraId="14E5FC30" w14:textId="77777777">
            <w:pPr>
              <w:pStyle w:val="TableParagraph"/>
              <w:spacing w:before="0"/>
              <w:rPr>
                <w:sz w:val="20"/>
              </w:rPr>
            </w:pPr>
          </w:p>
          <w:p w:rsidR="00C31389" w:rsidRDefault="00561FBD" w14:paraId="56088CB6" w14:textId="77777777">
            <w:pPr>
              <w:pStyle w:val="TableParagraph"/>
              <w:spacing w:before="172"/>
              <w:ind w:left="122"/>
              <w:rPr>
                <w:b/>
                <w:sz w:val="18"/>
              </w:rPr>
            </w:pPr>
            <w:r>
              <w:rPr>
                <w:b/>
                <w:sz w:val="18"/>
              </w:rPr>
              <w:t>Fuel</w:t>
            </w:r>
            <w:r>
              <w:rPr>
                <w:b/>
                <w:spacing w:val="-1"/>
                <w:sz w:val="18"/>
              </w:rPr>
              <w:t xml:space="preserve"> </w:t>
            </w:r>
            <w:r>
              <w:rPr>
                <w:b/>
                <w:spacing w:val="-5"/>
                <w:sz w:val="18"/>
              </w:rPr>
              <w:t>Sub</w:t>
            </w:r>
          </w:p>
        </w:tc>
        <w:tc>
          <w:tcPr>
            <w:tcW w:w="1428" w:type="dxa"/>
            <w:tcBorders>
              <w:top w:val="single" w:color="94D500" w:sz="4" w:space="0"/>
              <w:bottom w:val="single" w:color="94D500" w:sz="4" w:space="0"/>
            </w:tcBorders>
          </w:tcPr>
          <w:p w:rsidR="00C31389" w:rsidRDefault="00C31389" w14:paraId="210B02B4" w14:textId="77777777">
            <w:pPr>
              <w:pStyle w:val="TableParagraph"/>
              <w:spacing w:before="0"/>
              <w:rPr>
                <w:sz w:val="20"/>
              </w:rPr>
            </w:pPr>
          </w:p>
          <w:p w:rsidR="00C31389" w:rsidRDefault="00C31389" w14:paraId="3E736C09" w14:textId="77777777">
            <w:pPr>
              <w:pStyle w:val="TableParagraph"/>
              <w:spacing w:before="0"/>
              <w:rPr>
                <w:sz w:val="20"/>
              </w:rPr>
            </w:pPr>
          </w:p>
          <w:p w:rsidR="00C31389" w:rsidRDefault="00C31389" w14:paraId="6D047B65" w14:textId="77777777">
            <w:pPr>
              <w:pStyle w:val="TableParagraph"/>
              <w:spacing w:before="0"/>
              <w:rPr>
                <w:sz w:val="20"/>
              </w:rPr>
            </w:pPr>
          </w:p>
          <w:p w:rsidR="00C31389" w:rsidRDefault="00C31389" w14:paraId="5FFEC1A2" w14:textId="77777777">
            <w:pPr>
              <w:pStyle w:val="TableParagraph"/>
              <w:spacing w:before="0"/>
              <w:rPr>
                <w:sz w:val="20"/>
              </w:rPr>
            </w:pPr>
          </w:p>
          <w:p w:rsidR="00C31389" w:rsidRDefault="00C31389" w14:paraId="4B574C14" w14:textId="77777777">
            <w:pPr>
              <w:pStyle w:val="TableParagraph"/>
              <w:spacing w:before="0"/>
              <w:rPr>
                <w:sz w:val="20"/>
              </w:rPr>
            </w:pPr>
          </w:p>
          <w:p w:rsidR="00C31389" w:rsidRDefault="00C31389" w14:paraId="6F0E6824" w14:textId="77777777">
            <w:pPr>
              <w:pStyle w:val="TableParagraph"/>
              <w:spacing w:before="0"/>
              <w:rPr>
                <w:sz w:val="20"/>
              </w:rPr>
            </w:pPr>
          </w:p>
          <w:p w:rsidR="00C31389" w:rsidRDefault="00561FBD" w14:paraId="16BE14DB" w14:textId="77777777">
            <w:pPr>
              <w:pStyle w:val="TableParagraph"/>
              <w:spacing w:before="172"/>
              <w:ind w:left="472"/>
              <w:rPr>
                <w:sz w:val="18"/>
              </w:rPr>
            </w:pPr>
            <w:r>
              <w:rPr>
                <w:spacing w:val="-4"/>
                <w:sz w:val="18"/>
              </w:rPr>
              <w:t>PG&amp;E</w:t>
            </w:r>
          </w:p>
        </w:tc>
        <w:tc>
          <w:tcPr>
            <w:tcW w:w="5414" w:type="dxa"/>
            <w:tcBorders>
              <w:top w:val="single" w:color="94D500" w:sz="4" w:space="0"/>
              <w:bottom w:val="single" w:color="94D500" w:sz="4" w:space="0"/>
            </w:tcBorders>
          </w:tcPr>
          <w:p w:rsidR="00C31389" w:rsidRDefault="00561FBD" w14:paraId="1532DF11" w14:textId="77777777">
            <w:pPr>
              <w:pStyle w:val="TableParagraph"/>
              <w:spacing w:before="0"/>
              <w:ind w:left="124" w:right="127"/>
              <w:rPr>
                <w:sz w:val="18"/>
              </w:rPr>
            </w:pPr>
            <w:r>
              <w:rPr>
                <w:sz w:val="18"/>
              </w:rPr>
              <w:t xml:space="preserve">PG&amp;E recommends the PGS be </w:t>
            </w:r>
            <w:r>
              <w:rPr>
                <w:sz w:val="18"/>
              </w:rPr>
              <w:t>consistent in its determination</w:t>
            </w:r>
            <w:r>
              <w:rPr>
                <w:spacing w:val="40"/>
                <w:sz w:val="18"/>
              </w:rPr>
              <w:t xml:space="preserve"> </w:t>
            </w:r>
            <w:r>
              <w:rPr>
                <w:sz w:val="18"/>
              </w:rPr>
              <w:t>of inclusion of FS technologies based on technical suitability.</w:t>
            </w:r>
            <w:r>
              <w:rPr>
                <w:spacing w:val="40"/>
                <w:sz w:val="18"/>
              </w:rPr>
              <w:t xml:space="preserve"> </w:t>
            </w:r>
            <w:r>
              <w:rPr>
                <w:sz w:val="18"/>
              </w:rPr>
              <w:t xml:space="preserve">The PGS currently excludes some electric FS technologies that are not considered “technically suitable” while including other FS technologies that do not </w:t>
            </w:r>
            <w:r>
              <w:rPr>
                <w:sz w:val="18"/>
              </w:rPr>
              <w:t>perform as well as gas alternatives and likely</w:t>
            </w:r>
            <w:r>
              <w:rPr>
                <w:spacing w:val="-5"/>
                <w:sz w:val="18"/>
              </w:rPr>
              <w:t xml:space="preserve"> </w:t>
            </w:r>
            <w:r>
              <w:rPr>
                <w:sz w:val="18"/>
              </w:rPr>
              <w:t>have</w:t>
            </w:r>
            <w:r>
              <w:rPr>
                <w:spacing w:val="-6"/>
                <w:sz w:val="18"/>
              </w:rPr>
              <w:t xml:space="preserve"> </w:t>
            </w:r>
            <w:r>
              <w:rPr>
                <w:sz w:val="18"/>
              </w:rPr>
              <w:t>low</w:t>
            </w:r>
            <w:r>
              <w:rPr>
                <w:spacing w:val="-4"/>
                <w:sz w:val="18"/>
              </w:rPr>
              <w:t xml:space="preserve"> </w:t>
            </w:r>
            <w:r>
              <w:rPr>
                <w:sz w:val="18"/>
              </w:rPr>
              <w:t>adoption</w:t>
            </w:r>
            <w:r>
              <w:rPr>
                <w:spacing w:val="-6"/>
                <w:sz w:val="18"/>
              </w:rPr>
              <w:t xml:space="preserve"> </w:t>
            </w:r>
            <w:r>
              <w:rPr>
                <w:sz w:val="18"/>
              </w:rPr>
              <w:t>rates.</w:t>
            </w:r>
            <w:r>
              <w:rPr>
                <w:spacing w:val="-5"/>
                <w:sz w:val="18"/>
              </w:rPr>
              <w:t xml:space="preserve"> </w:t>
            </w:r>
            <w:r>
              <w:rPr>
                <w:sz w:val="18"/>
              </w:rPr>
              <w:t>PG&amp;E</w:t>
            </w:r>
            <w:r>
              <w:rPr>
                <w:spacing w:val="-5"/>
                <w:sz w:val="18"/>
              </w:rPr>
              <w:t xml:space="preserve"> </w:t>
            </w:r>
            <w:r>
              <w:rPr>
                <w:sz w:val="18"/>
              </w:rPr>
              <w:t>suggests</w:t>
            </w:r>
            <w:r>
              <w:rPr>
                <w:spacing w:val="-5"/>
                <w:sz w:val="18"/>
              </w:rPr>
              <w:t xml:space="preserve"> </w:t>
            </w:r>
            <w:r>
              <w:rPr>
                <w:sz w:val="18"/>
              </w:rPr>
              <w:t>the</w:t>
            </w:r>
            <w:r>
              <w:rPr>
                <w:spacing w:val="-6"/>
                <w:sz w:val="18"/>
              </w:rPr>
              <w:t xml:space="preserve"> </w:t>
            </w:r>
            <w:r>
              <w:rPr>
                <w:sz w:val="18"/>
              </w:rPr>
              <w:t>PGS</w:t>
            </w:r>
            <w:r>
              <w:rPr>
                <w:spacing w:val="-5"/>
                <w:sz w:val="18"/>
              </w:rPr>
              <w:t xml:space="preserve"> </w:t>
            </w:r>
            <w:r>
              <w:rPr>
                <w:sz w:val="18"/>
              </w:rPr>
              <w:t>consider including low adoption rates of commercially available FS technologies with low performance relative to the gas alternative when determining how to imple</w:t>
            </w:r>
            <w:r>
              <w:rPr>
                <w:sz w:val="18"/>
              </w:rPr>
              <w:t>ment FS technical suitability in</w:t>
            </w:r>
            <w:r>
              <w:rPr>
                <w:spacing w:val="40"/>
                <w:sz w:val="18"/>
              </w:rPr>
              <w:t xml:space="preserve"> </w:t>
            </w:r>
            <w:r>
              <w:rPr>
                <w:sz w:val="18"/>
              </w:rPr>
              <w:t>the PGS model.</w:t>
            </w:r>
          </w:p>
          <w:p w:rsidR="00C31389" w:rsidRDefault="00561FBD" w14:paraId="5BA449EB" w14:textId="77777777">
            <w:pPr>
              <w:pStyle w:val="TableParagraph"/>
              <w:spacing w:before="0"/>
              <w:ind w:left="124" w:right="198"/>
              <w:rPr>
                <w:sz w:val="18"/>
              </w:rPr>
            </w:pPr>
            <w:r>
              <w:rPr>
                <w:sz w:val="18"/>
              </w:rPr>
              <w:t>PG&amp;E</w:t>
            </w:r>
            <w:r>
              <w:rPr>
                <w:spacing w:val="-5"/>
                <w:sz w:val="18"/>
              </w:rPr>
              <w:t xml:space="preserve"> </w:t>
            </w:r>
            <w:r>
              <w:rPr>
                <w:sz w:val="18"/>
              </w:rPr>
              <w:t>recommends</w:t>
            </w:r>
            <w:r>
              <w:rPr>
                <w:spacing w:val="-5"/>
                <w:sz w:val="18"/>
              </w:rPr>
              <w:t xml:space="preserve"> </w:t>
            </w:r>
            <w:r>
              <w:rPr>
                <w:sz w:val="18"/>
              </w:rPr>
              <w:t>that</w:t>
            </w:r>
            <w:r>
              <w:rPr>
                <w:spacing w:val="-5"/>
                <w:sz w:val="18"/>
              </w:rPr>
              <w:t xml:space="preserve"> </w:t>
            </w:r>
            <w:r>
              <w:rPr>
                <w:sz w:val="18"/>
              </w:rPr>
              <w:t>the</w:t>
            </w:r>
            <w:r>
              <w:rPr>
                <w:spacing w:val="-6"/>
                <w:sz w:val="18"/>
              </w:rPr>
              <w:t xml:space="preserve"> </w:t>
            </w:r>
            <w:r>
              <w:rPr>
                <w:sz w:val="18"/>
              </w:rPr>
              <w:t>PGS</w:t>
            </w:r>
            <w:r>
              <w:rPr>
                <w:spacing w:val="-5"/>
                <w:sz w:val="18"/>
              </w:rPr>
              <w:t xml:space="preserve"> </w:t>
            </w:r>
            <w:r>
              <w:rPr>
                <w:sz w:val="18"/>
              </w:rPr>
              <w:t>include</w:t>
            </w:r>
            <w:r>
              <w:rPr>
                <w:spacing w:val="-6"/>
                <w:sz w:val="18"/>
              </w:rPr>
              <w:t xml:space="preserve"> </w:t>
            </w:r>
            <w:r>
              <w:rPr>
                <w:sz w:val="18"/>
              </w:rPr>
              <w:t>more</w:t>
            </w:r>
            <w:r>
              <w:rPr>
                <w:spacing w:val="-6"/>
                <w:sz w:val="18"/>
              </w:rPr>
              <w:t xml:space="preserve"> </w:t>
            </w:r>
            <w:r>
              <w:rPr>
                <w:sz w:val="18"/>
              </w:rPr>
              <w:t>FS</w:t>
            </w:r>
            <w:r>
              <w:rPr>
                <w:spacing w:val="-5"/>
                <w:sz w:val="18"/>
              </w:rPr>
              <w:t xml:space="preserve"> </w:t>
            </w:r>
            <w:r>
              <w:rPr>
                <w:sz w:val="18"/>
              </w:rPr>
              <w:t>technologies in the PGS model from 2030 onwards than currently assumed. PG&amp;E suggests that if/when the status of the possible CARB zero-emission policy change beco</w:t>
            </w:r>
            <w:r>
              <w:rPr>
                <w:sz w:val="18"/>
              </w:rPr>
              <w:t>mes more definitive, the</w:t>
            </w:r>
          </w:p>
          <w:p w:rsidR="00C31389" w:rsidRDefault="00561FBD" w14:paraId="48B4A5CC" w14:textId="77777777">
            <w:pPr>
              <w:pStyle w:val="TableParagraph"/>
              <w:spacing w:before="0" w:line="206" w:lineRule="exact"/>
              <w:ind w:left="124"/>
              <w:rPr>
                <w:sz w:val="18"/>
              </w:rPr>
            </w:pPr>
            <w:r>
              <w:rPr>
                <w:sz w:val="18"/>
              </w:rPr>
              <w:t>impacts</w:t>
            </w:r>
            <w:r>
              <w:rPr>
                <w:spacing w:val="-4"/>
                <w:sz w:val="18"/>
              </w:rPr>
              <w:t xml:space="preserve"> </w:t>
            </w:r>
            <w:r>
              <w:rPr>
                <w:sz w:val="18"/>
              </w:rPr>
              <w:t>of</w:t>
            </w:r>
            <w:r>
              <w:rPr>
                <w:spacing w:val="-4"/>
                <w:sz w:val="18"/>
              </w:rPr>
              <w:t xml:space="preserve"> </w:t>
            </w:r>
            <w:r>
              <w:rPr>
                <w:sz w:val="18"/>
              </w:rPr>
              <w:t>this</w:t>
            </w:r>
            <w:r>
              <w:rPr>
                <w:spacing w:val="-4"/>
                <w:sz w:val="18"/>
              </w:rPr>
              <w:t xml:space="preserve"> </w:t>
            </w:r>
            <w:r>
              <w:rPr>
                <w:sz w:val="18"/>
              </w:rPr>
              <w:t>policy</w:t>
            </w:r>
            <w:r>
              <w:rPr>
                <w:spacing w:val="-4"/>
                <w:sz w:val="18"/>
              </w:rPr>
              <w:t xml:space="preserve"> </w:t>
            </w:r>
            <w:r>
              <w:rPr>
                <w:sz w:val="18"/>
              </w:rPr>
              <w:t>change</w:t>
            </w:r>
            <w:r>
              <w:rPr>
                <w:spacing w:val="-3"/>
                <w:sz w:val="18"/>
              </w:rPr>
              <w:t xml:space="preserve"> </w:t>
            </w:r>
            <w:r>
              <w:rPr>
                <w:sz w:val="18"/>
              </w:rPr>
              <w:t>can</w:t>
            </w:r>
            <w:r>
              <w:rPr>
                <w:spacing w:val="-5"/>
                <w:sz w:val="18"/>
              </w:rPr>
              <w:t xml:space="preserve"> </w:t>
            </w:r>
            <w:r>
              <w:rPr>
                <w:sz w:val="18"/>
              </w:rPr>
              <w:t>be</w:t>
            </w:r>
            <w:r>
              <w:rPr>
                <w:spacing w:val="-5"/>
                <w:sz w:val="18"/>
              </w:rPr>
              <w:t xml:space="preserve"> </w:t>
            </w:r>
            <w:r>
              <w:rPr>
                <w:sz w:val="18"/>
              </w:rPr>
              <w:t>incorporated</w:t>
            </w:r>
            <w:r>
              <w:rPr>
                <w:spacing w:val="-5"/>
                <w:sz w:val="18"/>
              </w:rPr>
              <w:t xml:space="preserve"> </w:t>
            </w:r>
            <w:r>
              <w:rPr>
                <w:sz w:val="18"/>
              </w:rPr>
              <w:t>into</w:t>
            </w:r>
            <w:r>
              <w:rPr>
                <w:spacing w:val="-5"/>
                <w:sz w:val="18"/>
              </w:rPr>
              <w:t xml:space="preserve"> </w:t>
            </w:r>
            <w:r>
              <w:rPr>
                <w:sz w:val="18"/>
              </w:rPr>
              <w:t>a</w:t>
            </w:r>
            <w:r>
              <w:rPr>
                <w:spacing w:val="-5"/>
                <w:sz w:val="18"/>
              </w:rPr>
              <w:t xml:space="preserve"> </w:t>
            </w:r>
            <w:r>
              <w:rPr>
                <w:sz w:val="18"/>
              </w:rPr>
              <w:t>future version of the PGS.</w:t>
            </w:r>
          </w:p>
        </w:tc>
        <w:tc>
          <w:tcPr>
            <w:tcW w:w="3417" w:type="dxa"/>
            <w:tcBorders>
              <w:top w:val="single" w:color="94D500" w:sz="4" w:space="0"/>
              <w:bottom w:val="single" w:color="94D500" w:sz="4" w:space="0"/>
            </w:tcBorders>
          </w:tcPr>
          <w:p w:rsidR="00C31389" w:rsidRDefault="00C31389" w14:paraId="55494C63" w14:textId="77777777">
            <w:pPr>
              <w:pStyle w:val="TableParagraph"/>
              <w:spacing w:before="0"/>
              <w:rPr>
                <w:sz w:val="20"/>
              </w:rPr>
            </w:pPr>
          </w:p>
          <w:p w:rsidR="00C31389" w:rsidRDefault="00C31389" w14:paraId="78046487" w14:textId="77777777">
            <w:pPr>
              <w:pStyle w:val="TableParagraph"/>
              <w:spacing w:before="0"/>
              <w:rPr>
                <w:sz w:val="20"/>
              </w:rPr>
            </w:pPr>
          </w:p>
          <w:p w:rsidR="00C31389" w:rsidRDefault="00C31389" w14:paraId="5B9184D4" w14:textId="77777777">
            <w:pPr>
              <w:pStyle w:val="TableParagraph"/>
              <w:spacing w:before="0"/>
              <w:rPr>
                <w:sz w:val="20"/>
              </w:rPr>
            </w:pPr>
          </w:p>
          <w:p w:rsidR="00C31389" w:rsidRDefault="00C31389" w14:paraId="78A1A788" w14:textId="77777777">
            <w:pPr>
              <w:pStyle w:val="TableParagraph"/>
              <w:spacing w:before="10"/>
              <w:rPr>
                <w:sz w:val="20"/>
              </w:rPr>
            </w:pPr>
          </w:p>
          <w:p w:rsidR="00C31389" w:rsidRDefault="00561FBD" w14:paraId="6CA50989" w14:textId="77777777">
            <w:pPr>
              <w:pStyle w:val="TableParagraph"/>
              <w:spacing w:before="0"/>
              <w:ind w:left="110" w:right="135"/>
              <w:rPr>
                <w:sz w:val="18"/>
              </w:rPr>
            </w:pPr>
            <w:r>
              <w:rPr>
                <w:sz w:val="18"/>
              </w:rPr>
              <w:t xml:space="preserve">This is something the next PG study can examine next cycle, and we encourage PG&amp;E to bring this up again when CPUC and its contractor are </w:t>
            </w:r>
            <w:r>
              <w:rPr>
                <w:sz w:val="18"/>
              </w:rPr>
              <w:t>developing</w:t>
            </w:r>
            <w:r>
              <w:rPr>
                <w:spacing w:val="-9"/>
                <w:sz w:val="18"/>
              </w:rPr>
              <w:t xml:space="preserve"> </w:t>
            </w:r>
            <w:r>
              <w:rPr>
                <w:sz w:val="18"/>
              </w:rPr>
              <w:t>the</w:t>
            </w:r>
            <w:r>
              <w:rPr>
                <w:spacing w:val="-9"/>
                <w:sz w:val="18"/>
              </w:rPr>
              <w:t xml:space="preserve"> </w:t>
            </w:r>
            <w:r>
              <w:rPr>
                <w:sz w:val="18"/>
              </w:rPr>
              <w:t>2025</w:t>
            </w:r>
            <w:r>
              <w:rPr>
                <w:spacing w:val="-9"/>
                <w:sz w:val="18"/>
              </w:rPr>
              <w:t xml:space="preserve"> </w:t>
            </w:r>
            <w:r>
              <w:rPr>
                <w:sz w:val="18"/>
              </w:rPr>
              <w:t>PGS</w:t>
            </w:r>
            <w:r>
              <w:rPr>
                <w:spacing w:val="-8"/>
                <w:sz w:val="18"/>
              </w:rPr>
              <w:t xml:space="preserve"> </w:t>
            </w:r>
            <w:r>
              <w:rPr>
                <w:sz w:val="18"/>
              </w:rPr>
              <w:t>workplan</w:t>
            </w:r>
            <w:r>
              <w:rPr>
                <w:spacing w:val="-9"/>
                <w:sz w:val="18"/>
              </w:rPr>
              <w:t xml:space="preserve"> </w:t>
            </w:r>
            <w:r>
              <w:rPr>
                <w:sz w:val="18"/>
              </w:rPr>
              <w:t>and specifically during the measure selection process.</w:t>
            </w:r>
          </w:p>
        </w:tc>
      </w:tr>
      <w:tr w:rsidR="00C31389" w14:paraId="5A9E0D41" w14:textId="77777777">
        <w:trPr>
          <w:trHeight w:val="1655"/>
        </w:trPr>
        <w:tc>
          <w:tcPr>
            <w:tcW w:w="1355" w:type="dxa"/>
            <w:tcBorders>
              <w:top w:val="single" w:color="94D500" w:sz="4" w:space="0"/>
              <w:bottom w:val="single" w:color="94D500" w:sz="4" w:space="0"/>
            </w:tcBorders>
          </w:tcPr>
          <w:p w:rsidR="00C31389" w:rsidRDefault="00C31389" w14:paraId="48DD69A8" w14:textId="77777777">
            <w:pPr>
              <w:pStyle w:val="TableParagraph"/>
              <w:spacing w:before="0"/>
              <w:rPr>
                <w:sz w:val="20"/>
              </w:rPr>
            </w:pPr>
          </w:p>
          <w:p w:rsidR="00C31389" w:rsidRDefault="00C31389" w14:paraId="712B35FC" w14:textId="77777777">
            <w:pPr>
              <w:pStyle w:val="TableParagraph"/>
              <w:spacing w:before="0"/>
              <w:rPr>
                <w:sz w:val="20"/>
              </w:rPr>
            </w:pPr>
          </w:p>
          <w:p w:rsidR="00C31389" w:rsidRDefault="00C31389" w14:paraId="21C2EA3A" w14:textId="77777777">
            <w:pPr>
              <w:pStyle w:val="TableParagraph"/>
              <w:spacing w:before="10"/>
            </w:pPr>
          </w:p>
          <w:p w:rsidR="00C31389" w:rsidRDefault="00561FBD" w14:paraId="4DA07947" w14:textId="77777777">
            <w:pPr>
              <w:pStyle w:val="TableParagraph"/>
              <w:spacing w:before="1"/>
              <w:ind w:left="122"/>
              <w:rPr>
                <w:b/>
                <w:sz w:val="18"/>
              </w:rPr>
            </w:pPr>
            <w:r>
              <w:rPr>
                <w:b/>
                <w:sz w:val="18"/>
              </w:rPr>
              <w:t>Fuel</w:t>
            </w:r>
            <w:r>
              <w:rPr>
                <w:b/>
                <w:spacing w:val="-1"/>
                <w:sz w:val="18"/>
              </w:rPr>
              <w:t xml:space="preserve"> </w:t>
            </w:r>
            <w:r>
              <w:rPr>
                <w:b/>
                <w:spacing w:val="-5"/>
                <w:sz w:val="18"/>
              </w:rPr>
              <w:t>Sub</w:t>
            </w:r>
          </w:p>
        </w:tc>
        <w:tc>
          <w:tcPr>
            <w:tcW w:w="1428" w:type="dxa"/>
            <w:tcBorders>
              <w:top w:val="single" w:color="94D500" w:sz="4" w:space="0"/>
              <w:bottom w:val="single" w:color="94D500" w:sz="4" w:space="0"/>
            </w:tcBorders>
          </w:tcPr>
          <w:p w:rsidR="00C31389" w:rsidRDefault="00C31389" w14:paraId="20597A34" w14:textId="77777777">
            <w:pPr>
              <w:pStyle w:val="TableParagraph"/>
              <w:spacing w:before="0"/>
              <w:rPr>
                <w:sz w:val="20"/>
              </w:rPr>
            </w:pPr>
          </w:p>
          <w:p w:rsidR="00C31389" w:rsidRDefault="00C31389" w14:paraId="23B1D577" w14:textId="77777777">
            <w:pPr>
              <w:pStyle w:val="TableParagraph"/>
              <w:spacing w:before="0"/>
              <w:rPr>
                <w:sz w:val="20"/>
              </w:rPr>
            </w:pPr>
          </w:p>
          <w:p w:rsidR="00C31389" w:rsidRDefault="00C31389" w14:paraId="7856EF06" w14:textId="77777777">
            <w:pPr>
              <w:pStyle w:val="TableParagraph"/>
              <w:spacing w:before="10"/>
            </w:pPr>
          </w:p>
          <w:p w:rsidR="00C31389" w:rsidRDefault="00561FBD" w14:paraId="3A1CAD3F" w14:textId="77777777">
            <w:pPr>
              <w:pStyle w:val="TableParagraph"/>
              <w:spacing w:before="1"/>
              <w:ind w:left="472"/>
              <w:rPr>
                <w:sz w:val="18"/>
              </w:rPr>
            </w:pPr>
            <w:r>
              <w:rPr>
                <w:spacing w:val="-5"/>
                <w:sz w:val="18"/>
              </w:rPr>
              <w:t>SCE</w:t>
            </w:r>
          </w:p>
        </w:tc>
        <w:tc>
          <w:tcPr>
            <w:tcW w:w="5414" w:type="dxa"/>
            <w:tcBorders>
              <w:top w:val="single" w:color="94D500" w:sz="4" w:space="0"/>
              <w:bottom w:val="single" w:color="94D500" w:sz="4" w:space="0"/>
            </w:tcBorders>
          </w:tcPr>
          <w:p w:rsidR="00C31389" w:rsidRDefault="00C31389" w14:paraId="792F0B4C" w14:textId="77777777">
            <w:pPr>
              <w:pStyle w:val="TableParagraph"/>
              <w:spacing w:before="11"/>
              <w:rPr>
                <w:sz w:val="17"/>
              </w:rPr>
            </w:pPr>
          </w:p>
          <w:p w:rsidR="00C31389" w:rsidRDefault="00561FBD" w14:paraId="1CD15268" w14:textId="77777777">
            <w:pPr>
              <w:pStyle w:val="TableParagraph"/>
              <w:spacing w:before="0"/>
              <w:ind w:left="124" w:right="159" w:hanging="1"/>
              <w:rPr>
                <w:sz w:val="18"/>
              </w:rPr>
            </w:pPr>
            <w:r>
              <w:rPr>
                <w:sz w:val="18"/>
              </w:rPr>
              <w:t xml:space="preserve">The scenarios in the Draft Study should consider the likely updates to the fuel substitution calculator that will account for </w:t>
            </w:r>
            <w:r>
              <w:rPr>
                <w:sz w:val="18"/>
              </w:rPr>
              <w:t>refrigerant</w:t>
            </w:r>
            <w:r>
              <w:rPr>
                <w:spacing w:val="-6"/>
                <w:sz w:val="18"/>
              </w:rPr>
              <w:t xml:space="preserve"> </w:t>
            </w:r>
            <w:r>
              <w:rPr>
                <w:sz w:val="18"/>
              </w:rPr>
              <w:t>leakage</w:t>
            </w:r>
            <w:r>
              <w:rPr>
                <w:spacing w:val="-7"/>
                <w:sz w:val="18"/>
              </w:rPr>
              <w:t xml:space="preserve"> </w:t>
            </w:r>
            <w:r>
              <w:rPr>
                <w:sz w:val="18"/>
              </w:rPr>
              <w:t>effects</w:t>
            </w:r>
            <w:r>
              <w:rPr>
                <w:spacing w:val="-6"/>
                <w:sz w:val="18"/>
              </w:rPr>
              <w:t xml:space="preserve"> </w:t>
            </w:r>
            <w:r>
              <w:rPr>
                <w:sz w:val="18"/>
              </w:rPr>
              <w:t>and</w:t>
            </w:r>
            <w:r>
              <w:rPr>
                <w:spacing w:val="-7"/>
                <w:sz w:val="18"/>
              </w:rPr>
              <w:t xml:space="preserve"> </w:t>
            </w:r>
            <w:r>
              <w:rPr>
                <w:sz w:val="18"/>
              </w:rPr>
              <w:t>the</w:t>
            </w:r>
            <w:r>
              <w:rPr>
                <w:spacing w:val="-7"/>
                <w:sz w:val="18"/>
              </w:rPr>
              <w:t xml:space="preserve"> </w:t>
            </w:r>
            <w:r>
              <w:rPr>
                <w:sz w:val="18"/>
              </w:rPr>
              <w:t>on-going</w:t>
            </w:r>
            <w:r>
              <w:rPr>
                <w:spacing w:val="-5"/>
                <w:sz w:val="18"/>
              </w:rPr>
              <w:t xml:space="preserve"> </w:t>
            </w:r>
            <w:r>
              <w:rPr>
                <w:sz w:val="18"/>
              </w:rPr>
              <w:t>refrigerant</w:t>
            </w:r>
            <w:r>
              <w:rPr>
                <w:spacing w:val="-6"/>
                <w:sz w:val="18"/>
              </w:rPr>
              <w:t xml:space="preserve"> </w:t>
            </w:r>
            <w:r>
              <w:rPr>
                <w:sz w:val="18"/>
              </w:rPr>
              <w:t>research evaluating nominal unit of refrigerant charge in heat pump equipment, which are expected to adversely affect the adoption of fuel substitution measures.</w:t>
            </w:r>
          </w:p>
        </w:tc>
        <w:tc>
          <w:tcPr>
            <w:tcW w:w="3417" w:type="dxa"/>
            <w:tcBorders>
              <w:top w:val="single" w:color="94D500" w:sz="4" w:space="0"/>
              <w:bottom w:val="single" w:color="94D500" w:sz="4" w:space="0"/>
            </w:tcBorders>
          </w:tcPr>
          <w:p w:rsidR="00C31389" w:rsidRDefault="00561FBD" w14:paraId="2553138F" w14:textId="77777777">
            <w:pPr>
              <w:pStyle w:val="TableParagraph"/>
              <w:spacing w:before="0"/>
              <w:ind w:left="110" w:right="148"/>
              <w:rPr>
                <w:sz w:val="18"/>
              </w:rPr>
            </w:pPr>
            <w:r>
              <w:rPr>
                <w:sz w:val="18"/>
              </w:rPr>
              <w:t>We did include refrigerant avoided</w:t>
            </w:r>
            <w:r>
              <w:rPr>
                <w:spacing w:val="40"/>
                <w:sz w:val="18"/>
              </w:rPr>
              <w:t xml:space="preserve"> </w:t>
            </w:r>
            <w:r>
              <w:rPr>
                <w:sz w:val="18"/>
              </w:rPr>
              <w:t>co</w:t>
            </w:r>
            <w:r>
              <w:rPr>
                <w:sz w:val="18"/>
              </w:rPr>
              <w:t>sts in the measure characterization, which are negative (higher costs incurred) for FS technologies because they use more refrigerant. Any future updates</w:t>
            </w:r>
            <w:r>
              <w:rPr>
                <w:spacing w:val="-8"/>
                <w:sz w:val="18"/>
              </w:rPr>
              <w:t xml:space="preserve"> </w:t>
            </w:r>
            <w:r>
              <w:rPr>
                <w:sz w:val="18"/>
              </w:rPr>
              <w:t>to</w:t>
            </w:r>
            <w:r>
              <w:rPr>
                <w:spacing w:val="-9"/>
                <w:sz w:val="18"/>
              </w:rPr>
              <w:t xml:space="preserve"> </w:t>
            </w:r>
            <w:r>
              <w:rPr>
                <w:sz w:val="18"/>
              </w:rPr>
              <w:t>the</w:t>
            </w:r>
            <w:r>
              <w:rPr>
                <w:spacing w:val="-9"/>
                <w:sz w:val="18"/>
              </w:rPr>
              <w:t xml:space="preserve"> </w:t>
            </w:r>
            <w:r>
              <w:rPr>
                <w:sz w:val="18"/>
              </w:rPr>
              <w:t>refrigerant</w:t>
            </w:r>
            <w:r>
              <w:rPr>
                <w:spacing w:val="-8"/>
                <w:sz w:val="18"/>
              </w:rPr>
              <w:t xml:space="preserve"> </w:t>
            </w:r>
            <w:r>
              <w:rPr>
                <w:sz w:val="18"/>
              </w:rPr>
              <w:t>avoided</w:t>
            </w:r>
            <w:r>
              <w:rPr>
                <w:spacing w:val="-9"/>
                <w:sz w:val="18"/>
              </w:rPr>
              <w:t xml:space="preserve"> </w:t>
            </w:r>
            <w:r>
              <w:rPr>
                <w:sz w:val="18"/>
              </w:rPr>
              <w:t>costs</w:t>
            </w:r>
          </w:p>
          <w:p w:rsidR="00C31389" w:rsidRDefault="00561FBD" w14:paraId="7F221C21" w14:textId="77777777">
            <w:pPr>
              <w:pStyle w:val="TableParagraph"/>
              <w:spacing w:before="0" w:line="208" w:lineRule="exact"/>
              <w:ind w:left="110" w:right="179"/>
              <w:rPr>
                <w:sz w:val="18"/>
              </w:rPr>
            </w:pPr>
            <w:r>
              <w:rPr>
                <w:sz w:val="18"/>
              </w:rPr>
              <w:t>can</w:t>
            </w:r>
            <w:r>
              <w:rPr>
                <w:spacing w:val="-8"/>
                <w:sz w:val="18"/>
              </w:rPr>
              <w:t xml:space="preserve"> </w:t>
            </w:r>
            <w:r>
              <w:rPr>
                <w:sz w:val="18"/>
              </w:rPr>
              <w:t>be</w:t>
            </w:r>
            <w:r>
              <w:rPr>
                <w:spacing w:val="-8"/>
                <w:sz w:val="18"/>
              </w:rPr>
              <w:t xml:space="preserve"> </w:t>
            </w:r>
            <w:r>
              <w:rPr>
                <w:sz w:val="18"/>
              </w:rPr>
              <w:t>considered</w:t>
            </w:r>
            <w:r>
              <w:rPr>
                <w:spacing w:val="-8"/>
                <w:sz w:val="18"/>
              </w:rPr>
              <w:t xml:space="preserve"> </w:t>
            </w:r>
            <w:r>
              <w:rPr>
                <w:sz w:val="18"/>
              </w:rPr>
              <w:t>in</w:t>
            </w:r>
            <w:r>
              <w:rPr>
                <w:spacing w:val="-8"/>
                <w:sz w:val="18"/>
              </w:rPr>
              <w:t xml:space="preserve"> </w:t>
            </w:r>
            <w:r>
              <w:rPr>
                <w:sz w:val="18"/>
              </w:rPr>
              <w:t>future</w:t>
            </w:r>
            <w:r>
              <w:rPr>
                <w:spacing w:val="-8"/>
                <w:sz w:val="18"/>
              </w:rPr>
              <w:t xml:space="preserve"> </w:t>
            </w:r>
            <w:r>
              <w:rPr>
                <w:sz w:val="18"/>
              </w:rPr>
              <w:t xml:space="preserve">study </w:t>
            </w:r>
            <w:r>
              <w:rPr>
                <w:spacing w:val="-2"/>
                <w:sz w:val="18"/>
              </w:rPr>
              <w:t>cycles.</w:t>
            </w:r>
          </w:p>
        </w:tc>
      </w:tr>
      <w:tr w:rsidR="00C31389" w14:paraId="225AD2BD" w14:textId="77777777">
        <w:trPr>
          <w:trHeight w:val="1599"/>
        </w:trPr>
        <w:tc>
          <w:tcPr>
            <w:tcW w:w="1355" w:type="dxa"/>
            <w:tcBorders>
              <w:top w:val="single" w:color="94D500" w:sz="4" w:space="0"/>
              <w:bottom w:val="single" w:color="94D500" w:sz="4" w:space="0"/>
            </w:tcBorders>
          </w:tcPr>
          <w:p w:rsidR="00C31389" w:rsidRDefault="00C31389" w14:paraId="7C6F6CC6" w14:textId="77777777">
            <w:pPr>
              <w:pStyle w:val="TableParagraph"/>
              <w:spacing w:before="0"/>
              <w:rPr>
                <w:sz w:val="20"/>
              </w:rPr>
            </w:pPr>
          </w:p>
          <w:p w:rsidR="00C31389" w:rsidRDefault="00C31389" w14:paraId="59ACD2ED" w14:textId="77777777">
            <w:pPr>
              <w:pStyle w:val="TableParagraph"/>
              <w:spacing w:before="0"/>
              <w:rPr>
                <w:sz w:val="20"/>
              </w:rPr>
            </w:pPr>
          </w:p>
          <w:p w:rsidR="00C31389" w:rsidRDefault="00C31389" w14:paraId="5624B69F" w14:textId="77777777">
            <w:pPr>
              <w:pStyle w:val="TableParagraph"/>
              <w:spacing w:before="3"/>
              <w:rPr>
                <w:sz w:val="20"/>
              </w:rPr>
            </w:pPr>
          </w:p>
          <w:p w:rsidR="00C31389" w:rsidRDefault="00561FBD" w14:paraId="597EDA83" w14:textId="77777777">
            <w:pPr>
              <w:pStyle w:val="TableParagraph"/>
              <w:spacing w:before="1"/>
              <w:ind w:left="122"/>
              <w:rPr>
                <w:b/>
                <w:sz w:val="18"/>
              </w:rPr>
            </w:pPr>
            <w:r>
              <w:rPr>
                <w:b/>
                <w:sz w:val="18"/>
              </w:rPr>
              <w:t>Fuel</w:t>
            </w:r>
            <w:r>
              <w:rPr>
                <w:b/>
                <w:spacing w:val="-1"/>
                <w:sz w:val="18"/>
              </w:rPr>
              <w:t xml:space="preserve"> </w:t>
            </w:r>
            <w:r>
              <w:rPr>
                <w:b/>
                <w:spacing w:val="-5"/>
                <w:sz w:val="18"/>
              </w:rPr>
              <w:t>Sub</w:t>
            </w:r>
          </w:p>
        </w:tc>
        <w:tc>
          <w:tcPr>
            <w:tcW w:w="1428" w:type="dxa"/>
            <w:tcBorders>
              <w:top w:val="single" w:color="94D500" w:sz="4" w:space="0"/>
              <w:bottom w:val="single" w:color="94D500" w:sz="4" w:space="0"/>
            </w:tcBorders>
          </w:tcPr>
          <w:p w:rsidR="00C31389" w:rsidRDefault="00C31389" w14:paraId="7291AAE1" w14:textId="77777777">
            <w:pPr>
              <w:pStyle w:val="TableParagraph"/>
              <w:spacing w:before="0"/>
              <w:rPr>
                <w:sz w:val="20"/>
              </w:rPr>
            </w:pPr>
          </w:p>
          <w:p w:rsidR="00C31389" w:rsidRDefault="00C31389" w14:paraId="59556B07" w14:textId="77777777">
            <w:pPr>
              <w:pStyle w:val="TableParagraph"/>
              <w:spacing w:before="0"/>
              <w:rPr>
                <w:sz w:val="20"/>
              </w:rPr>
            </w:pPr>
          </w:p>
          <w:p w:rsidR="00C31389" w:rsidRDefault="00C31389" w14:paraId="3CF7DDF5" w14:textId="77777777">
            <w:pPr>
              <w:pStyle w:val="TableParagraph"/>
              <w:spacing w:before="3"/>
              <w:rPr>
                <w:sz w:val="20"/>
              </w:rPr>
            </w:pPr>
          </w:p>
          <w:p w:rsidR="00C31389" w:rsidRDefault="00561FBD" w14:paraId="0C0AE7DC" w14:textId="77777777">
            <w:pPr>
              <w:pStyle w:val="TableParagraph"/>
              <w:spacing w:before="1"/>
              <w:ind w:left="472"/>
              <w:rPr>
                <w:sz w:val="18"/>
              </w:rPr>
            </w:pPr>
            <w:r>
              <w:rPr>
                <w:spacing w:val="-5"/>
                <w:sz w:val="18"/>
              </w:rPr>
              <w:t>SCE</w:t>
            </w:r>
          </w:p>
        </w:tc>
        <w:tc>
          <w:tcPr>
            <w:tcW w:w="5414" w:type="dxa"/>
            <w:tcBorders>
              <w:top w:val="single" w:color="94D500" w:sz="4" w:space="0"/>
              <w:bottom w:val="single" w:color="94D500" w:sz="4" w:space="0"/>
            </w:tcBorders>
          </w:tcPr>
          <w:p w:rsidR="00C31389" w:rsidRDefault="00561FBD" w14:paraId="196D8CF6" w14:textId="77777777">
            <w:pPr>
              <w:pStyle w:val="TableParagraph"/>
              <w:spacing w:before="176"/>
              <w:ind w:left="124" w:hanging="1"/>
              <w:rPr>
                <w:sz w:val="18"/>
              </w:rPr>
            </w:pPr>
            <w:r>
              <w:rPr>
                <w:sz w:val="18"/>
              </w:rPr>
              <w:t xml:space="preserve">The </w:t>
            </w:r>
            <w:r>
              <w:rPr>
                <w:sz w:val="18"/>
              </w:rPr>
              <w:t>final study should recalibrate the FS potential based on the DEER</w:t>
            </w:r>
            <w:r>
              <w:rPr>
                <w:spacing w:val="-5"/>
                <w:sz w:val="18"/>
              </w:rPr>
              <w:t xml:space="preserve"> </w:t>
            </w:r>
            <w:r>
              <w:rPr>
                <w:sz w:val="18"/>
              </w:rPr>
              <w:t>Update</w:t>
            </w:r>
            <w:r>
              <w:rPr>
                <w:spacing w:val="-4"/>
                <w:sz w:val="18"/>
              </w:rPr>
              <w:t xml:space="preserve"> </w:t>
            </w:r>
            <w:r>
              <w:rPr>
                <w:sz w:val="18"/>
              </w:rPr>
              <w:t>due</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significant</w:t>
            </w:r>
            <w:r>
              <w:rPr>
                <w:spacing w:val="-5"/>
                <w:sz w:val="18"/>
              </w:rPr>
              <w:t xml:space="preserve"> </w:t>
            </w:r>
            <w:r>
              <w:rPr>
                <w:sz w:val="18"/>
              </w:rPr>
              <w:t>claimable</w:t>
            </w:r>
            <w:r>
              <w:rPr>
                <w:spacing w:val="-6"/>
                <w:sz w:val="18"/>
              </w:rPr>
              <w:t xml:space="preserve"> </w:t>
            </w:r>
            <w:r>
              <w:rPr>
                <w:sz w:val="18"/>
              </w:rPr>
              <w:t>savings</w:t>
            </w:r>
            <w:r>
              <w:rPr>
                <w:spacing w:val="-5"/>
                <w:sz w:val="18"/>
              </w:rPr>
              <w:t xml:space="preserve"> </w:t>
            </w:r>
            <w:r>
              <w:rPr>
                <w:sz w:val="18"/>
              </w:rPr>
              <w:t xml:space="preserve">reduction from the evaluation results and as well as the program design changes this update has influenced (such as pivoting from </w:t>
            </w:r>
            <w:r>
              <w:rPr>
                <w:sz w:val="18"/>
              </w:rPr>
              <w:t>midstream to</w:t>
            </w:r>
            <w:r>
              <w:rPr>
                <w:spacing w:val="-1"/>
                <w:sz w:val="18"/>
              </w:rPr>
              <w:t xml:space="preserve"> </w:t>
            </w:r>
            <w:r>
              <w:rPr>
                <w:sz w:val="18"/>
              </w:rPr>
              <w:t>downstream design), all resulting</w:t>
            </w:r>
            <w:r>
              <w:rPr>
                <w:spacing w:val="-1"/>
                <w:sz w:val="18"/>
              </w:rPr>
              <w:t xml:space="preserve"> </w:t>
            </w:r>
            <w:r>
              <w:rPr>
                <w:sz w:val="18"/>
              </w:rPr>
              <w:t>in</w:t>
            </w:r>
            <w:r>
              <w:rPr>
                <w:spacing w:val="-1"/>
                <w:sz w:val="18"/>
              </w:rPr>
              <w:t xml:space="preserve"> </w:t>
            </w:r>
            <w:r>
              <w:rPr>
                <w:sz w:val="18"/>
              </w:rPr>
              <w:t>reduced</w:t>
            </w:r>
            <w:r>
              <w:rPr>
                <w:spacing w:val="-1"/>
                <w:sz w:val="18"/>
              </w:rPr>
              <w:t xml:space="preserve"> </w:t>
            </w:r>
            <w:r>
              <w:rPr>
                <w:sz w:val="18"/>
              </w:rPr>
              <w:t>cost- effectiveness and achievable FS potential.</w:t>
            </w:r>
          </w:p>
        </w:tc>
        <w:tc>
          <w:tcPr>
            <w:tcW w:w="3417" w:type="dxa"/>
            <w:tcBorders>
              <w:top w:val="single" w:color="94D500" w:sz="4" w:space="0"/>
              <w:bottom w:val="single" w:color="94D500" w:sz="4" w:space="0"/>
            </w:tcBorders>
          </w:tcPr>
          <w:p w:rsidR="00C31389" w:rsidRDefault="00561FBD" w14:paraId="1AC56906" w14:textId="77777777">
            <w:pPr>
              <w:pStyle w:val="TableParagraph"/>
              <w:spacing w:before="73"/>
              <w:ind w:left="110" w:right="154"/>
              <w:rPr>
                <w:sz w:val="18"/>
              </w:rPr>
            </w:pPr>
            <w:r>
              <w:rPr>
                <w:sz w:val="18"/>
              </w:rPr>
              <w:t>The PG study analysis is agnostic to program design and solely based on the technology. The outcomes provide the</w:t>
            </w:r>
            <w:r>
              <w:rPr>
                <w:spacing w:val="-7"/>
                <w:sz w:val="18"/>
              </w:rPr>
              <w:t xml:space="preserve"> </w:t>
            </w:r>
            <w:r>
              <w:rPr>
                <w:sz w:val="18"/>
              </w:rPr>
              <w:t>PAs</w:t>
            </w:r>
            <w:r>
              <w:rPr>
                <w:spacing w:val="-6"/>
                <w:sz w:val="18"/>
              </w:rPr>
              <w:t xml:space="preserve"> </w:t>
            </w:r>
            <w:r>
              <w:rPr>
                <w:sz w:val="18"/>
              </w:rPr>
              <w:t>flexibility</w:t>
            </w:r>
            <w:r>
              <w:rPr>
                <w:spacing w:val="-7"/>
                <w:sz w:val="18"/>
              </w:rPr>
              <w:t xml:space="preserve"> </w:t>
            </w:r>
            <w:r>
              <w:rPr>
                <w:sz w:val="18"/>
              </w:rPr>
              <w:t>to</w:t>
            </w:r>
            <w:r>
              <w:rPr>
                <w:spacing w:val="-7"/>
                <w:sz w:val="18"/>
              </w:rPr>
              <w:t xml:space="preserve"> </w:t>
            </w:r>
            <w:r>
              <w:rPr>
                <w:sz w:val="18"/>
              </w:rPr>
              <w:t>design</w:t>
            </w:r>
            <w:r>
              <w:rPr>
                <w:spacing w:val="-7"/>
                <w:sz w:val="18"/>
              </w:rPr>
              <w:t xml:space="preserve"> </w:t>
            </w:r>
            <w:r>
              <w:rPr>
                <w:sz w:val="18"/>
              </w:rPr>
              <w:t>programs</w:t>
            </w:r>
            <w:r>
              <w:rPr>
                <w:spacing w:val="-6"/>
                <w:sz w:val="18"/>
              </w:rPr>
              <w:t xml:space="preserve"> </w:t>
            </w:r>
            <w:r>
              <w:rPr>
                <w:sz w:val="18"/>
              </w:rPr>
              <w:t>t</w:t>
            </w:r>
            <w:r>
              <w:rPr>
                <w:sz w:val="18"/>
              </w:rPr>
              <w:t xml:space="preserve">o meet goals. Furthermore, we did include the updated NTG in the current </w:t>
            </w:r>
            <w:r>
              <w:rPr>
                <w:spacing w:val="-2"/>
                <w:sz w:val="18"/>
              </w:rPr>
              <w:t>study.</w:t>
            </w:r>
          </w:p>
        </w:tc>
      </w:tr>
    </w:tbl>
    <w:p w:rsidR="00C31389" w:rsidRDefault="00C31389" w14:paraId="1153620C" w14:textId="77777777">
      <w:pPr>
        <w:rPr>
          <w:sz w:val="18"/>
        </w:rPr>
        <w:sectPr w:rsidR="00C31389">
          <w:pgSz w:w="15840" w:h="12240" w:orient="landscape"/>
          <w:pgMar w:top="1660" w:right="2260" w:bottom="1120" w:left="1320" w:header="397" w:footer="936" w:gutter="0"/>
          <w:cols w:space="720"/>
        </w:sectPr>
      </w:pPr>
    </w:p>
    <w:p w:rsidR="00C31389" w:rsidRDefault="00C31389" w14:paraId="46E5217A" w14:textId="77777777">
      <w:pPr>
        <w:pStyle w:val="BodyText"/>
        <w:spacing w:before="6" w:after="1"/>
        <w:rPr>
          <w:sz w:val="21"/>
        </w:rPr>
      </w:pPr>
    </w:p>
    <w:tbl>
      <w:tblPr>
        <w:tblW w:w="0" w:type="auto"/>
        <w:tblInd w:w="124" w:type="dxa"/>
        <w:tblLayout w:type="fixed"/>
        <w:tblCellMar>
          <w:left w:w="0" w:type="dxa"/>
          <w:right w:w="0" w:type="dxa"/>
        </w:tblCellMar>
        <w:tblLook w:val="01E0" w:firstRow="1" w:lastRow="1" w:firstColumn="1" w:lastColumn="1" w:noHBand="0" w:noVBand="0"/>
      </w:tblPr>
      <w:tblGrid>
        <w:gridCol w:w="1349"/>
        <w:gridCol w:w="1428"/>
        <w:gridCol w:w="5415"/>
        <w:gridCol w:w="3417"/>
      </w:tblGrid>
      <w:tr w:rsidR="00C31389" w14:paraId="7CA0B093" w14:textId="77777777">
        <w:trPr>
          <w:trHeight w:val="261"/>
        </w:trPr>
        <w:tc>
          <w:tcPr>
            <w:tcW w:w="1349" w:type="dxa"/>
            <w:shd w:val="clear" w:color="auto" w:fill="94D500"/>
          </w:tcPr>
          <w:p w:rsidR="00C31389" w:rsidRDefault="00561FBD" w14:paraId="5F422B39" w14:textId="77777777">
            <w:pPr>
              <w:pStyle w:val="TableParagraph"/>
              <w:spacing w:before="26"/>
              <w:ind w:left="116"/>
              <w:rPr>
                <w:b/>
                <w:sz w:val="18"/>
              </w:rPr>
            </w:pPr>
            <w:r>
              <w:rPr>
                <w:b/>
                <w:spacing w:val="-2"/>
                <w:sz w:val="18"/>
              </w:rPr>
              <w:t>Subject</w:t>
            </w:r>
          </w:p>
        </w:tc>
        <w:tc>
          <w:tcPr>
            <w:tcW w:w="1428" w:type="dxa"/>
            <w:shd w:val="clear" w:color="auto" w:fill="94D500"/>
          </w:tcPr>
          <w:p w:rsidR="00C31389" w:rsidRDefault="00561FBD" w14:paraId="088104C0" w14:textId="77777777">
            <w:pPr>
              <w:pStyle w:val="TableParagraph"/>
              <w:spacing w:before="26"/>
              <w:ind w:left="472"/>
              <w:rPr>
                <w:b/>
                <w:sz w:val="18"/>
              </w:rPr>
            </w:pPr>
            <w:r>
              <w:rPr>
                <w:b/>
                <w:spacing w:val="-2"/>
                <w:sz w:val="18"/>
              </w:rPr>
              <w:t>Affiliation</w:t>
            </w:r>
          </w:p>
        </w:tc>
        <w:tc>
          <w:tcPr>
            <w:tcW w:w="5415" w:type="dxa"/>
            <w:shd w:val="clear" w:color="auto" w:fill="94D500"/>
          </w:tcPr>
          <w:p w:rsidR="00C31389" w:rsidRDefault="00561FBD" w14:paraId="589FE176" w14:textId="77777777">
            <w:pPr>
              <w:pStyle w:val="TableParagraph"/>
              <w:spacing w:before="26"/>
              <w:ind w:left="124"/>
              <w:rPr>
                <w:b/>
                <w:sz w:val="18"/>
              </w:rPr>
            </w:pPr>
            <w:r>
              <w:rPr>
                <w:b/>
                <w:sz w:val="18"/>
              </w:rPr>
              <w:t>Summary</w:t>
            </w:r>
            <w:r>
              <w:rPr>
                <w:b/>
                <w:spacing w:val="-3"/>
                <w:sz w:val="18"/>
              </w:rPr>
              <w:t xml:space="preserve"> </w:t>
            </w:r>
            <w:r>
              <w:rPr>
                <w:b/>
                <w:sz w:val="18"/>
              </w:rPr>
              <w:t>of</w:t>
            </w:r>
            <w:r>
              <w:rPr>
                <w:b/>
                <w:spacing w:val="-2"/>
                <w:sz w:val="18"/>
              </w:rPr>
              <w:t xml:space="preserve"> Issue</w:t>
            </w:r>
          </w:p>
        </w:tc>
        <w:tc>
          <w:tcPr>
            <w:tcW w:w="3417" w:type="dxa"/>
            <w:shd w:val="clear" w:color="auto" w:fill="94D500"/>
          </w:tcPr>
          <w:p w:rsidR="00C31389" w:rsidRDefault="00561FBD" w14:paraId="0899500D" w14:textId="77777777">
            <w:pPr>
              <w:pStyle w:val="TableParagraph"/>
              <w:spacing w:before="26"/>
              <w:ind w:left="109"/>
              <w:rPr>
                <w:b/>
                <w:sz w:val="18"/>
              </w:rPr>
            </w:pPr>
            <w:r>
              <w:rPr>
                <w:b/>
                <w:sz w:val="18"/>
              </w:rPr>
              <w:t>Guidehouse</w:t>
            </w:r>
            <w:r>
              <w:rPr>
                <w:b/>
                <w:spacing w:val="-4"/>
                <w:sz w:val="18"/>
              </w:rPr>
              <w:t xml:space="preserve"> </w:t>
            </w:r>
            <w:r>
              <w:rPr>
                <w:b/>
                <w:spacing w:val="-2"/>
                <w:sz w:val="18"/>
              </w:rPr>
              <w:t>Response</w:t>
            </w:r>
          </w:p>
        </w:tc>
      </w:tr>
      <w:tr w:rsidR="00C31389" w14:paraId="66741567" w14:textId="77777777">
        <w:trPr>
          <w:trHeight w:val="1449"/>
        </w:trPr>
        <w:tc>
          <w:tcPr>
            <w:tcW w:w="1349" w:type="dxa"/>
            <w:tcBorders>
              <w:bottom w:val="single" w:color="94D500" w:sz="4" w:space="0"/>
            </w:tcBorders>
          </w:tcPr>
          <w:p w:rsidR="00C31389" w:rsidRDefault="00C31389" w14:paraId="3BA2FDE6" w14:textId="77777777">
            <w:pPr>
              <w:pStyle w:val="TableParagraph"/>
              <w:spacing w:before="0"/>
              <w:rPr>
                <w:sz w:val="20"/>
              </w:rPr>
            </w:pPr>
          </w:p>
          <w:p w:rsidR="00C31389" w:rsidRDefault="00C31389" w14:paraId="76F33C30" w14:textId="77777777">
            <w:pPr>
              <w:pStyle w:val="TableParagraph"/>
              <w:spacing w:before="0"/>
              <w:rPr>
                <w:sz w:val="20"/>
              </w:rPr>
            </w:pPr>
          </w:p>
          <w:p w:rsidR="00C31389" w:rsidRDefault="00561FBD" w14:paraId="6C590342" w14:textId="77777777">
            <w:pPr>
              <w:pStyle w:val="TableParagraph"/>
              <w:spacing w:before="161"/>
              <w:ind w:left="116"/>
              <w:rPr>
                <w:b/>
                <w:sz w:val="18"/>
              </w:rPr>
            </w:pPr>
            <w:r>
              <w:rPr>
                <w:b/>
                <w:sz w:val="18"/>
              </w:rPr>
              <w:t>Fuel</w:t>
            </w:r>
            <w:r>
              <w:rPr>
                <w:b/>
                <w:spacing w:val="-1"/>
                <w:sz w:val="18"/>
              </w:rPr>
              <w:t xml:space="preserve"> </w:t>
            </w:r>
            <w:r>
              <w:rPr>
                <w:b/>
                <w:spacing w:val="-5"/>
                <w:sz w:val="18"/>
              </w:rPr>
              <w:t>Sub</w:t>
            </w:r>
          </w:p>
        </w:tc>
        <w:tc>
          <w:tcPr>
            <w:tcW w:w="1428" w:type="dxa"/>
            <w:tcBorders>
              <w:bottom w:val="single" w:color="94D500" w:sz="4" w:space="0"/>
            </w:tcBorders>
          </w:tcPr>
          <w:p w:rsidR="00C31389" w:rsidRDefault="00C31389" w14:paraId="2DDEE4B4" w14:textId="77777777">
            <w:pPr>
              <w:pStyle w:val="TableParagraph"/>
              <w:spacing w:before="0"/>
              <w:rPr>
                <w:sz w:val="20"/>
              </w:rPr>
            </w:pPr>
          </w:p>
          <w:p w:rsidR="00C31389" w:rsidRDefault="00C31389" w14:paraId="5AF88C41" w14:textId="77777777">
            <w:pPr>
              <w:pStyle w:val="TableParagraph"/>
              <w:spacing w:before="0"/>
              <w:rPr>
                <w:sz w:val="20"/>
              </w:rPr>
            </w:pPr>
          </w:p>
          <w:p w:rsidR="00C31389" w:rsidRDefault="00561FBD" w14:paraId="0C2982AB" w14:textId="77777777">
            <w:pPr>
              <w:pStyle w:val="TableParagraph"/>
              <w:spacing w:before="161"/>
              <w:ind w:left="472"/>
              <w:rPr>
                <w:sz w:val="18"/>
              </w:rPr>
            </w:pPr>
            <w:r>
              <w:rPr>
                <w:spacing w:val="-4"/>
                <w:sz w:val="18"/>
              </w:rPr>
              <w:t>SDG&amp;E</w:t>
            </w:r>
          </w:p>
        </w:tc>
        <w:tc>
          <w:tcPr>
            <w:tcW w:w="5415" w:type="dxa"/>
            <w:tcBorders>
              <w:bottom w:val="single" w:color="94D500" w:sz="4" w:space="0"/>
            </w:tcBorders>
          </w:tcPr>
          <w:p w:rsidR="00C31389" w:rsidRDefault="00C31389" w14:paraId="2F868090" w14:textId="77777777">
            <w:pPr>
              <w:pStyle w:val="TableParagraph"/>
              <w:spacing w:before="10"/>
              <w:rPr>
                <w:sz w:val="26"/>
              </w:rPr>
            </w:pPr>
          </w:p>
          <w:p w:rsidR="00C31389" w:rsidRDefault="00561FBD" w14:paraId="55FECEC1" w14:textId="77777777">
            <w:pPr>
              <w:pStyle w:val="TableParagraph"/>
              <w:spacing w:before="1"/>
              <w:ind w:left="124" w:right="199" w:hanging="1"/>
              <w:rPr>
                <w:sz w:val="18"/>
              </w:rPr>
            </w:pPr>
            <w:r>
              <w:rPr>
                <w:sz w:val="18"/>
              </w:rPr>
              <w:t xml:space="preserve">SDG&amp;E notes that the panel/infrastructure costs for fuel </w:t>
            </w:r>
            <w:r>
              <w:rPr>
                <w:sz w:val="18"/>
              </w:rPr>
              <w:t>substitutions</w:t>
            </w:r>
            <w:r>
              <w:rPr>
                <w:spacing w:val="-5"/>
                <w:sz w:val="18"/>
              </w:rPr>
              <w:t xml:space="preserve"> </w:t>
            </w:r>
            <w:r>
              <w:rPr>
                <w:sz w:val="18"/>
              </w:rPr>
              <w:t>measure</w:t>
            </w:r>
            <w:r>
              <w:rPr>
                <w:spacing w:val="-6"/>
                <w:sz w:val="18"/>
              </w:rPr>
              <w:t xml:space="preserve"> </w:t>
            </w:r>
            <w:r>
              <w:rPr>
                <w:sz w:val="18"/>
              </w:rPr>
              <w:t>are</w:t>
            </w:r>
            <w:r>
              <w:rPr>
                <w:spacing w:val="-6"/>
                <w:sz w:val="18"/>
              </w:rPr>
              <w:t xml:space="preserve"> </w:t>
            </w:r>
            <w:r>
              <w:rPr>
                <w:sz w:val="18"/>
              </w:rPr>
              <w:t>site</w:t>
            </w:r>
            <w:r>
              <w:rPr>
                <w:spacing w:val="-4"/>
                <w:sz w:val="18"/>
              </w:rPr>
              <w:t xml:space="preserve"> </w:t>
            </w:r>
            <w:r>
              <w:rPr>
                <w:sz w:val="18"/>
              </w:rPr>
              <w:t>specific</w:t>
            </w:r>
            <w:r>
              <w:rPr>
                <w:spacing w:val="-5"/>
                <w:sz w:val="18"/>
              </w:rPr>
              <w:t xml:space="preserve"> </w:t>
            </w:r>
            <w:r>
              <w:rPr>
                <w:sz w:val="18"/>
              </w:rPr>
              <w:t>and</w:t>
            </w:r>
            <w:r>
              <w:rPr>
                <w:spacing w:val="-6"/>
                <w:sz w:val="18"/>
              </w:rPr>
              <w:t xml:space="preserve"> </w:t>
            </w:r>
            <w:r>
              <w:rPr>
                <w:sz w:val="18"/>
              </w:rPr>
              <w:t>can</w:t>
            </w:r>
            <w:r>
              <w:rPr>
                <w:spacing w:val="-6"/>
                <w:sz w:val="18"/>
              </w:rPr>
              <w:t xml:space="preserve"> </w:t>
            </w:r>
            <w:r>
              <w:rPr>
                <w:sz w:val="18"/>
              </w:rPr>
              <w:t>vary</w:t>
            </w:r>
            <w:r>
              <w:rPr>
                <w:spacing w:val="-5"/>
                <w:sz w:val="18"/>
              </w:rPr>
              <w:t xml:space="preserve"> </w:t>
            </w:r>
            <w:r>
              <w:rPr>
                <w:sz w:val="18"/>
              </w:rPr>
              <w:t>by</w:t>
            </w:r>
            <w:r>
              <w:rPr>
                <w:spacing w:val="-5"/>
                <w:sz w:val="18"/>
              </w:rPr>
              <w:t xml:space="preserve"> </w:t>
            </w:r>
            <w:r>
              <w:rPr>
                <w:sz w:val="18"/>
              </w:rPr>
              <w:t>building and</w:t>
            </w:r>
            <w:r>
              <w:rPr>
                <w:spacing w:val="-2"/>
                <w:sz w:val="18"/>
              </w:rPr>
              <w:t xml:space="preserve"> </w:t>
            </w:r>
            <w:r>
              <w:rPr>
                <w:sz w:val="18"/>
              </w:rPr>
              <w:t>location.</w:t>
            </w:r>
            <w:r>
              <w:rPr>
                <w:spacing w:val="-2"/>
                <w:sz w:val="18"/>
              </w:rPr>
              <w:t xml:space="preserve"> </w:t>
            </w:r>
            <w:r>
              <w:rPr>
                <w:sz w:val="18"/>
              </w:rPr>
              <w:t>As</w:t>
            </w:r>
            <w:r>
              <w:rPr>
                <w:spacing w:val="-2"/>
                <w:sz w:val="18"/>
              </w:rPr>
              <w:t xml:space="preserve"> </w:t>
            </w:r>
            <w:r>
              <w:rPr>
                <w:sz w:val="18"/>
              </w:rPr>
              <w:t>such,</w:t>
            </w:r>
            <w:r>
              <w:rPr>
                <w:spacing w:val="-2"/>
                <w:sz w:val="18"/>
              </w:rPr>
              <w:t xml:space="preserve"> </w:t>
            </w:r>
            <w:r>
              <w:rPr>
                <w:sz w:val="18"/>
              </w:rPr>
              <w:t>SDG&amp;E</w:t>
            </w:r>
            <w:r>
              <w:rPr>
                <w:spacing w:val="-2"/>
                <w:sz w:val="18"/>
              </w:rPr>
              <w:t xml:space="preserve"> </w:t>
            </w:r>
            <w:r>
              <w:rPr>
                <w:sz w:val="18"/>
              </w:rPr>
              <w:t>recommends</w:t>
            </w:r>
            <w:r>
              <w:rPr>
                <w:spacing w:val="-1"/>
                <w:sz w:val="18"/>
              </w:rPr>
              <w:t xml:space="preserve"> </w:t>
            </w:r>
            <w:r>
              <w:rPr>
                <w:sz w:val="18"/>
              </w:rPr>
              <w:t>futures</w:t>
            </w:r>
            <w:r>
              <w:rPr>
                <w:spacing w:val="-2"/>
                <w:sz w:val="18"/>
              </w:rPr>
              <w:t xml:space="preserve"> </w:t>
            </w:r>
            <w:r>
              <w:rPr>
                <w:sz w:val="18"/>
              </w:rPr>
              <w:t>studies</w:t>
            </w:r>
            <w:r>
              <w:rPr>
                <w:spacing w:val="-1"/>
                <w:sz w:val="18"/>
              </w:rPr>
              <w:t xml:space="preserve"> </w:t>
            </w:r>
            <w:r>
              <w:rPr>
                <w:sz w:val="18"/>
              </w:rPr>
              <w:t>be conducted to create a robust panel cost reference.</w:t>
            </w:r>
          </w:p>
        </w:tc>
        <w:tc>
          <w:tcPr>
            <w:tcW w:w="3417" w:type="dxa"/>
            <w:tcBorders>
              <w:bottom w:val="single" w:color="94D500" w:sz="4" w:space="0"/>
            </w:tcBorders>
          </w:tcPr>
          <w:p w:rsidR="00C31389" w:rsidRDefault="00561FBD" w14:paraId="2B4EB607" w14:textId="77777777">
            <w:pPr>
              <w:pStyle w:val="TableParagraph"/>
              <w:spacing w:before="0"/>
              <w:ind w:left="108" w:right="135"/>
              <w:rPr>
                <w:sz w:val="18"/>
              </w:rPr>
            </w:pPr>
            <w:r>
              <w:rPr>
                <w:sz w:val="18"/>
              </w:rPr>
              <w:t>The</w:t>
            </w:r>
            <w:r>
              <w:rPr>
                <w:spacing w:val="-7"/>
                <w:sz w:val="18"/>
              </w:rPr>
              <w:t xml:space="preserve"> </w:t>
            </w:r>
            <w:r>
              <w:rPr>
                <w:sz w:val="18"/>
              </w:rPr>
              <w:t>Group</w:t>
            </w:r>
            <w:r>
              <w:rPr>
                <w:spacing w:val="-7"/>
                <w:sz w:val="18"/>
              </w:rPr>
              <w:t xml:space="preserve"> </w:t>
            </w:r>
            <w:r>
              <w:rPr>
                <w:sz w:val="18"/>
              </w:rPr>
              <w:t>E</w:t>
            </w:r>
            <w:r>
              <w:rPr>
                <w:spacing w:val="-6"/>
                <w:sz w:val="18"/>
              </w:rPr>
              <w:t xml:space="preserve"> </w:t>
            </w:r>
            <w:r>
              <w:rPr>
                <w:sz w:val="18"/>
              </w:rPr>
              <w:t>EM&amp;V</w:t>
            </w:r>
            <w:r>
              <w:rPr>
                <w:spacing w:val="-6"/>
                <w:sz w:val="18"/>
              </w:rPr>
              <w:t xml:space="preserve"> </w:t>
            </w:r>
            <w:r>
              <w:rPr>
                <w:sz w:val="18"/>
              </w:rPr>
              <w:t>team</w:t>
            </w:r>
            <w:r>
              <w:rPr>
                <w:spacing w:val="-6"/>
                <w:sz w:val="18"/>
              </w:rPr>
              <w:t xml:space="preserve"> </w:t>
            </w:r>
            <w:r>
              <w:rPr>
                <w:sz w:val="18"/>
              </w:rPr>
              <w:t>is</w:t>
            </w:r>
            <w:r>
              <w:rPr>
                <w:spacing w:val="-6"/>
                <w:sz w:val="18"/>
              </w:rPr>
              <w:t xml:space="preserve"> </w:t>
            </w:r>
            <w:r>
              <w:rPr>
                <w:sz w:val="18"/>
              </w:rPr>
              <w:t>conducting a market study to understand the existing imp</w:t>
            </w:r>
            <w:r>
              <w:rPr>
                <w:sz w:val="18"/>
              </w:rPr>
              <w:t>lementation activities of behind the meter infrastructure upgrades</w:t>
            </w:r>
            <w:r>
              <w:rPr>
                <w:spacing w:val="-7"/>
                <w:sz w:val="18"/>
              </w:rPr>
              <w:t xml:space="preserve"> </w:t>
            </w:r>
            <w:r>
              <w:rPr>
                <w:sz w:val="18"/>
              </w:rPr>
              <w:t>(panel</w:t>
            </w:r>
            <w:r>
              <w:rPr>
                <w:spacing w:val="-7"/>
                <w:sz w:val="18"/>
              </w:rPr>
              <w:t xml:space="preserve"> </w:t>
            </w:r>
            <w:r>
              <w:rPr>
                <w:sz w:val="18"/>
              </w:rPr>
              <w:t>or</w:t>
            </w:r>
            <w:r>
              <w:rPr>
                <w:spacing w:val="-7"/>
                <w:sz w:val="18"/>
              </w:rPr>
              <w:t xml:space="preserve"> </w:t>
            </w:r>
            <w:r>
              <w:rPr>
                <w:sz w:val="18"/>
              </w:rPr>
              <w:t>no</w:t>
            </w:r>
            <w:r>
              <w:rPr>
                <w:spacing w:val="-8"/>
                <w:sz w:val="18"/>
              </w:rPr>
              <w:t xml:space="preserve"> </w:t>
            </w:r>
            <w:r>
              <w:rPr>
                <w:sz w:val="18"/>
              </w:rPr>
              <w:t>panel)</w:t>
            </w:r>
            <w:r>
              <w:rPr>
                <w:spacing w:val="-5"/>
                <w:sz w:val="18"/>
              </w:rPr>
              <w:t xml:space="preserve"> </w:t>
            </w:r>
            <w:r>
              <w:rPr>
                <w:sz w:val="18"/>
              </w:rPr>
              <w:t>and</w:t>
            </w:r>
            <w:r>
              <w:rPr>
                <w:spacing w:val="-8"/>
                <w:sz w:val="18"/>
              </w:rPr>
              <w:t xml:space="preserve"> </w:t>
            </w:r>
            <w:r>
              <w:rPr>
                <w:sz w:val="18"/>
              </w:rPr>
              <w:t>plans</w:t>
            </w:r>
          </w:p>
          <w:p w:rsidR="00C31389" w:rsidRDefault="00561FBD" w14:paraId="05AA0450" w14:textId="77777777">
            <w:pPr>
              <w:pStyle w:val="TableParagraph"/>
              <w:spacing w:before="0" w:line="206" w:lineRule="exact"/>
              <w:ind w:left="109" w:right="179" w:hanging="1"/>
              <w:rPr>
                <w:sz w:val="18"/>
              </w:rPr>
            </w:pPr>
            <w:r>
              <w:rPr>
                <w:sz w:val="18"/>
              </w:rPr>
              <w:t>on</w:t>
            </w:r>
            <w:r>
              <w:rPr>
                <w:spacing w:val="-9"/>
                <w:sz w:val="18"/>
              </w:rPr>
              <w:t xml:space="preserve"> </w:t>
            </w:r>
            <w:r>
              <w:rPr>
                <w:sz w:val="18"/>
              </w:rPr>
              <w:t>being</w:t>
            </w:r>
            <w:r>
              <w:rPr>
                <w:spacing w:val="-9"/>
                <w:sz w:val="18"/>
              </w:rPr>
              <w:t xml:space="preserve"> </w:t>
            </w:r>
            <w:r>
              <w:rPr>
                <w:sz w:val="18"/>
              </w:rPr>
              <w:t>specific</w:t>
            </w:r>
            <w:r>
              <w:rPr>
                <w:spacing w:val="-8"/>
                <w:sz w:val="18"/>
              </w:rPr>
              <w:t xml:space="preserve"> </w:t>
            </w:r>
            <w:r>
              <w:rPr>
                <w:sz w:val="18"/>
              </w:rPr>
              <w:t>by</w:t>
            </w:r>
            <w:r>
              <w:rPr>
                <w:spacing w:val="-8"/>
                <w:sz w:val="18"/>
              </w:rPr>
              <w:t xml:space="preserve"> </w:t>
            </w:r>
            <w:r>
              <w:rPr>
                <w:sz w:val="18"/>
              </w:rPr>
              <w:t>building</w:t>
            </w:r>
            <w:r>
              <w:rPr>
                <w:spacing w:val="-9"/>
                <w:sz w:val="18"/>
              </w:rPr>
              <w:t xml:space="preserve"> </w:t>
            </w:r>
            <w:r>
              <w:rPr>
                <w:sz w:val="18"/>
              </w:rPr>
              <w:t xml:space="preserve">and </w:t>
            </w:r>
            <w:r>
              <w:rPr>
                <w:spacing w:val="-2"/>
                <w:sz w:val="18"/>
              </w:rPr>
              <w:t>location.</w:t>
            </w:r>
          </w:p>
        </w:tc>
      </w:tr>
      <w:tr w:rsidR="00C31389" w14:paraId="188795B6" w14:textId="77777777">
        <w:trPr>
          <w:trHeight w:val="5903"/>
        </w:trPr>
        <w:tc>
          <w:tcPr>
            <w:tcW w:w="1349" w:type="dxa"/>
            <w:tcBorders>
              <w:top w:val="single" w:color="94D500" w:sz="4" w:space="0"/>
              <w:bottom w:val="single" w:color="94D500" w:sz="4" w:space="0"/>
            </w:tcBorders>
          </w:tcPr>
          <w:p w:rsidR="00C31389" w:rsidRDefault="00C31389" w14:paraId="0E65EDEF" w14:textId="77777777">
            <w:pPr>
              <w:pStyle w:val="TableParagraph"/>
              <w:spacing w:before="0"/>
              <w:rPr>
                <w:sz w:val="20"/>
              </w:rPr>
            </w:pPr>
          </w:p>
          <w:p w:rsidR="00C31389" w:rsidRDefault="00C31389" w14:paraId="7765914F" w14:textId="77777777">
            <w:pPr>
              <w:pStyle w:val="TableParagraph"/>
              <w:spacing w:before="0"/>
              <w:rPr>
                <w:sz w:val="20"/>
              </w:rPr>
            </w:pPr>
          </w:p>
          <w:p w:rsidR="00C31389" w:rsidRDefault="00C31389" w14:paraId="0E847957" w14:textId="77777777">
            <w:pPr>
              <w:pStyle w:val="TableParagraph"/>
              <w:spacing w:before="0"/>
              <w:rPr>
                <w:sz w:val="20"/>
              </w:rPr>
            </w:pPr>
          </w:p>
          <w:p w:rsidR="00C31389" w:rsidRDefault="00C31389" w14:paraId="0B2FB8FA" w14:textId="77777777">
            <w:pPr>
              <w:pStyle w:val="TableParagraph"/>
              <w:spacing w:before="0"/>
              <w:rPr>
                <w:sz w:val="20"/>
              </w:rPr>
            </w:pPr>
          </w:p>
          <w:p w:rsidR="00C31389" w:rsidRDefault="00C31389" w14:paraId="40D81567" w14:textId="77777777">
            <w:pPr>
              <w:pStyle w:val="TableParagraph"/>
              <w:spacing w:before="0"/>
              <w:rPr>
                <w:sz w:val="20"/>
              </w:rPr>
            </w:pPr>
          </w:p>
          <w:p w:rsidR="00C31389" w:rsidRDefault="00C31389" w14:paraId="3CB9EE4E" w14:textId="77777777">
            <w:pPr>
              <w:pStyle w:val="TableParagraph"/>
              <w:spacing w:before="0"/>
              <w:rPr>
                <w:sz w:val="20"/>
              </w:rPr>
            </w:pPr>
          </w:p>
          <w:p w:rsidR="00C31389" w:rsidRDefault="00C31389" w14:paraId="43F7F0AA" w14:textId="77777777">
            <w:pPr>
              <w:pStyle w:val="TableParagraph"/>
              <w:spacing w:before="0"/>
              <w:rPr>
                <w:sz w:val="20"/>
              </w:rPr>
            </w:pPr>
          </w:p>
          <w:p w:rsidR="00C31389" w:rsidRDefault="00C31389" w14:paraId="19D88ACB" w14:textId="77777777">
            <w:pPr>
              <w:pStyle w:val="TableParagraph"/>
              <w:spacing w:before="0"/>
              <w:rPr>
                <w:sz w:val="20"/>
              </w:rPr>
            </w:pPr>
          </w:p>
          <w:p w:rsidR="00C31389" w:rsidRDefault="00C31389" w14:paraId="235149D7" w14:textId="77777777">
            <w:pPr>
              <w:pStyle w:val="TableParagraph"/>
              <w:spacing w:before="0"/>
              <w:rPr>
                <w:sz w:val="20"/>
              </w:rPr>
            </w:pPr>
          </w:p>
          <w:p w:rsidR="00C31389" w:rsidRDefault="00C31389" w14:paraId="008A8A83" w14:textId="77777777">
            <w:pPr>
              <w:pStyle w:val="TableParagraph"/>
              <w:spacing w:before="0"/>
              <w:rPr>
                <w:sz w:val="20"/>
              </w:rPr>
            </w:pPr>
          </w:p>
          <w:p w:rsidR="00C31389" w:rsidRDefault="00C31389" w14:paraId="5DF0690D" w14:textId="77777777">
            <w:pPr>
              <w:pStyle w:val="TableParagraph"/>
              <w:spacing w:before="0"/>
              <w:rPr>
                <w:sz w:val="20"/>
              </w:rPr>
            </w:pPr>
          </w:p>
          <w:p w:rsidR="00C31389" w:rsidRDefault="00C31389" w14:paraId="6AFB1108" w14:textId="77777777">
            <w:pPr>
              <w:pStyle w:val="TableParagraph"/>
              <w:spacing w:before="7"/>
              <w:rPr>
                <w:sz w:val="27"/>
              </w:rPr>
            </w:pPr>
          </w:p>
          <w:p w:rsidR="00C31389" w:rsidRDefault="00561FBD" w14:paraId="3CC94822" w14:textId="77777777">
            <w:pPr>
              <w:pStyle w:val="TableParagraph"/>
              <w:spacing w:before="0"/>
              <w:ind w:left="116"/>
              <w:rPr>
                <w:b/>
                <w:sz w:val="18"/>
              </w:rPr>
            </w:pPr>
            <w:r>
              <w:rPr>
                <w:b/>
                <w:sz w:val="18"/>
              </w:rPr>
              <w:t>Fuel</w:t>
            </w:r>
            <w:r>
              <w:rPr>
                <w:b/>
                <w:spacing w:val="-1"/>
                <w:sz w:val="18"/>
              </w:rPr>
              <w:t xml:space="preserve"> </w:t>
            </w:r>
            <w:r>
              <w:rPr>
                <w:b/>
                <w:spacing w:val="-5"/>
                <w:sz w:val="18"/>
              </w:rPr>
              <w:t>Sub</w:t>
            </w:r>
          </w:p>
        </w:tc>
        <w:tc>
          <w:tcPr>
            <w:tcW w:w="1428" w:type="dxa"/>
            <w:tcBorders>
              <w:top w:val="single" w:color="94D500" w:sz="4" w:space="0"/>
              <w:bottom w:val="single" w:color="94D500" w:sz="4" w:space="0"/>
            </w:tcBorders>
          </w:tcPr>
          <w:p w:rsidR="00C31389" w:rsidRDefault="00C31389" w14:paraId="10E10D4E" w14:textId="77777777">
            <w:pPr>
              <w:pStyle w:val="TableParagraph"/>
              <w:spacing w:before="0"/>
              <w:rPr>
                <w:sz w:val="20"/>
              </w:rPr>
            </w:pPr>
          </w:p>
          <w:p w:rsidR="00C31389" w:rsidRDefault="00C31389" w14:paraId="24C831B8" w14:textId="77777777">
            <w:pPr>
              <w:pStyle w:val="TableParagraph"/>
              <w:spacing w:before="0"/>
              <w:rPr>
                <w:sz w:val="20"/>
              </w:rPr>
            </w:pPr>
          </w:p>
          <w:p w:rsidR="00C31389" w:rsidRDefault="00C31389" w14:paraId="2F282527" w14:textId="77777777">
            <w:pPr>
              <w:pStyle w:val="TableParagraph"/>
              <w:spacing w:before="0"/>
              <w:rPr>
                <w:sz w:val="20"/>
              </w:rPr>
            </w:pPr>
          </w:p>
          <w:p w:rsidR="00C31389" w:rsidRDefault="00C31389" w14:paraId="322623AF" w14:textId="77777777">
            <w:pPr>
              <w:pStyle w:val="TableParagraph"/>
              <w:spacing w:before="0"/>
              <w:rPr>
                <w:sz w:val="20"/>
              </w:rPr>
            </w:pPr>
          </w:p>
          <w:p w:rsidR="00C31389" w:rsidRDefault="00C31389" w14:paraId="7C33B43B" w14:textId="77777777">
            <w:pPr>
              <w:pStyle w:val="TableParagraph"/>
              <w:spacing w:before="0"/>
              <w:rPr>
                <w:sz w:val="20"/>
              </w:rPr>
            </w:pPr>
          </w:p>
          <w:p w:rsidR="00C31389" w:rsidRDefault="00C31389" w14:paraId="66963C75" w14:textId="77777777">
            <w:pPr>
              <w:pStyle w:val="TableParagraph"/>
              <w:spacing w:before="0"/>
              <w:rPr>
                <w:sz w:val="20"/>
              </w:rPr>
            </w:pPr>
          </w:p>
          <w:p w:rsidR="00C31389" w:rsidRDefault="00C31389" w14:paraId="2C9A4C9E" w14:textId="77777777">
            <w:pPr>
              <w:pStyle w:val="TableParagraph"/>
              <w:spacing w:before="0"/>
              <w:rPr>
                <w:sz w:val="20"/>
              </w:rPr>
            </w:pPr>
          </w:p>
          <w:p w:rsidR="00C31389" w:rsidRDefault="00C31389" w14:paraId="367A0365" w14:textId="77777777">
            <w:pPr>
              <w:pStyle w:val="TableParagraph"/>
              <w:spacing w:before="0"/>
              <w:rPr>
                <w:sz w:val="20"/>
              </w:rPr>
            </w:pPr>
          </w:p>
          <w:p w:rsidR="00C31389" w:rsidRDefault="00C31389" w14:paraId="01E103CD" w14:textId="77777777">
            <w:pPr>
              <w:pStyle w:val="TableParagraph"/>
              <w:spacing w:before="0"/>
              <w:rPr>
                <w:sz w:val="20"/>
              </w:rPr>
            </w:pPr>
          </w:p>
          <w:p w:rsidR="00C31389" w:rsidRDefault="00C31389" w14:paraId="305B753D" w14:textId="77777777">
            <w:pPr>
              <w:pStyle w:val="TableParagraph"/>
              <w:spacing w:before="0"/>
              <w:rPr>
                <w:sz w:val="20"/>
              </w:rPr>
            </w:pPr>
          </w:p>
          <w:p w:rsidR="00C31389" w:rsidRDefault="00C31389" w14:paraId="3FAD6D9E" w14:textId="77777777">
            <w:pPr>
              <w:pStyle w:val="TableParagraph"/>
              <w:spacing w:before="0"/>
              <w:rPr>
                <w:sz w:val="20"/>
              </w:rPr>
            </w:pPr>
          </w:p>
          <w:p w:rsidR="00C31389" w:rsidRDefault="00C31389" w14:paraId="7B5329AD" w14:textId="77777777">
            <w:pPr>
              <w:pStyle w:val="TableParagraph"/>
              <w:spacing w:before="7"/>
              <w:rPr>
                <w:sz w:val="27"/>
              </w:rPr>
            </w:pPr>
          </w:p>
          <w:p w:rsidR="00C31389" w:rsidRDefault="00561FBD" w14:paraId="4072C58A" w14:textId="77777777">
            <w:pPr>
              <w:pStyle w:val="TableParagraph"/>
              <w:spacing w:before="0"/>
              <w:ind w:left="472"/>
              <w:rPr>
                <w:sz w:val="18"/>
              </w:rPr>
            </w:pPr>
            <w:r>
              <w:rPr>
                <w:spacing w:val="-4"/>
                <w:sz w:val="18"/>
              </w:rPr>
              <w:t>SPAN</w:t>
            </w:r>
          </w:p>
        </w:tc>
        <w:tc>
          <w:tcPr>
            <w:tcW w:w="5415" w:type="dxa"/>
            <w:tcBorders>
              <w:top w:val="single" w:color="94D500" w:sz="4" w:space="0"/>
              <w:bottom w:val="single" w:color="94D500" w:sz="4" w:space="0"/>
            </w:tcBorders>
          </w:tcPr>
          <w:p w:rsidR="00C31389" w:rsidRDefault="00561FBD" w14:paraId="0E1103FF" w14:textId="77777777">
            <w:pPr>
              <w:pStyle w:val="TableParagraph"/>
              <w:tabs>
                <w:tab w:val="left" w:leader="dot" w:pos="2316"/>
              </w:tabs>
              <w:spacing w:before="53"/>
              <w:ind w:left="124" w:right="199" w:hanging="1"/>
              <w:rPr>
                <w:sz w:val="18"/>
              </w:rPr>
            </w:pPr>
            <w:r>
              <w:rPr>
                <w:sz w:val="18"/>
              </w:rPr>
              <w:t>The</w:t>
            </w:r>
            <w:r>
              <w:rPr>
                <w:spacing w:val="-4"/>
                <w:sz w:val="18"/>
              </w:rPr>
              <w:t xml:space="preserve"> </w:t>
            </w:r>
            <w:r>
              <w:rPr>
                <w:sz w:val="18"/>
              </w:rPr>
              <w:t>study</w:t>
            </w:r>
            <w:r>
              <w:rPr>
                <w:spacing w:val="-3"/>
                <w:sz w:val="18"/>
              </w:rPr>
              <w:t xml:space="preserve"> </w:t>
            </w:r>
            <w:r>
              <w:rPr>
                <w:sz w:val="18"/>
              </w:rPr>
              <w:t>should</w:t>
            </w:r>
            <w:r>
              <w:rPr>
                <w:spacing w:val="-4"/>
                <w:sz w:val="18"/>
              </w:rPr>
              <w:t xml:space="preserve"> </w:t>
            </w:r>
            <w:r>
              <w:rPr>
                <w:sz w:val="18"/>
              </w:rPr>
              <w:t>include</w:t>
            </w:r>
            <w:r>
              <w:rPr>
                <w:spacing w:val="-4"/>
                <w:sz w:val="18"/>
              </w:rPr>
              <w:t xml:space="preserve"> </w:t>
            </w:r>
            <w:r>
              <w:rPr>
                <w:sz w:val="18"/>
              </w:rPr>
              <w:t>the</w:t>
            </w:r>
            <w:r>
              <w:rPr>
                <w:spacing w:val="-2"/>
                <w:sz w:val="18"/>
              </w:rPr>
              <w:t xml:space="preserve"> </w:t>
            </w:r>
            <w:r>
              <w:rPr>
                <w:sz w:val="18"/>
              </w:rPr>
              <w:t>full</w:t>
            </w:r>
            <w:r>
              <w:rPr>
                <w:spacing w:val="-3"/>
                <w:sz w:val="18"/>
              </w:rPr>
              <w:t xml:space="preserve"> </w:t>
            </w:r>
            <w:r>
              <w:rPr>
                <w:sz w:val="18"/>
              </w:rPr>
              <w:t>cost</w:t>
            </w:r>
            <w:r>
              <w:rPr>
                <w:spacing w:val="-3"/>
                <w:sz w:val="18"/>
              </w:rPr>
              <w:t xml:space="preserve"> </w:t>
            </w:r>
            <w:r>
              <w:rPr>
                <w:sz w:val="18"/>
              </w:rPr>
              <w:t>of</w:t>
            </w:r>
            <w:r>
              <w:rPr>
                <w:spacing w:val="-3"/>
                <w:sz w:val="18"/>
              </w:rPr>
              <w:t xml:space="preserve"> </w:t>
            </w:r>
            <w:r>
              <w:rPr>
                <w:sz w:val="18"/>
              </w:rPr>
              <w:t>upgrading</w:t>
            </w:r>
            <w:r>
              <w:rPr>
                <w:spacing w:val="-4"/>
                <w:sz w:val="18"/>
              </w:rPr>
              <w:t xml:space="preserve"> </w:t>
            </w:r>
            <w:r>
              <w:rPr>
                <w:sz w:val="18"/>
              </w:rPr>
              <w:t>utility</w:t>
            </w:r>
            <w:r>
              <w:rPr>
                <w:spacing w:val="-3"/>
                <w:sz w:val="18"/>
              </w:rPr>
              <w:t xml:space="preserve"> </w:t>
            </w:r>
            <w:r>
              <w:rPr>
                <w:sz w:val="18"/>
              </w:rPr>
              <w:t xml:space="preserve">service to </w:t>
            </w:r>
            <w:r>
              <w:rPr>
                <w:sz w:val="18"/>
              </w:rPr>
              <w:t>customers: SPAN has concerns that the Guidehouse study underestimates the full cost of making a home ready for electrification, which could in turn affect the analysis of home electrification measures if those measures include the use of a traditional</w:t>
            </w:r>
            <w:r>
              <w:rPr>
                <w:spacing w:val="-4"/>
                <w:sz w:val="18"/>
              </w:rPr>
              <w:t xml:space="preserve"> </w:t>
            </w:r>
            <w:r>
              <w:rPr>
                <w:sz w:val="18"/>
              </w:rPr>
              <w:t>elec</w:t>
            </w:r>
            <w:r>
              <w:rPr>
                <w:sz w:val="18"/>
              </w:rPr>
              <w:t>tric</w:t>
            </w:r>
            <w:r>
              <w:rPr>
                <w:spacing w:val="-4"/>
                <w:sz w:val="18"/>
              </w:rPr>
              <w:t xml:space="preserve"> </w:t>
            </w:r>
            <w:r>
              <w:rPr>
                <w:spacing w:val="-2"/>
                <w:sz w:val="18"/>
              </w:rPr>
              <w:t>panel</w:t>
            </w:r>
            <w:r>
              <w:rPr>
                <w:sz w:val="18"/>
              </w:rPr>
              <w:tab/>
              <w:t>The</w:t>
            </w:r>
            <w:r>
              <w:rPr>
                <w:spacing w:val="-6"/>
                <w:sz w:val="18"/>
              </w:rPr>
              <w:t xml:space="preserve"> </w:t>
            </w:r>
            <w:r>
              <w:rPr>
                <w:sz w:val="18"/>
              </w:rPr>
              <w:t>costs</w:t>
            </w:r>
            <w:r>
              <w:rPr>
                <w:spacing w:val="-2"/>
                <w:sz w:val="18"/>
              </w:rPr>
              <w:t xml:space="preserve"> </w:t>
            </w:r>
            <w:r>
              <w:rPr>
                <w:sz w:val="18"/>
              </w:rPr>
              <w:t>considered</w:t>
            </w:r>
            <w:r>
              <w:rPr>
                <w:spacing w:val="-3"/>
                <w:sz w:val="18"/>
              </w:rPr>
              <w:t xml:space="preserve"> </w:t>
            </w:r>
            <w:r>
              <w:rPr>
                <w:sz w:val="18"/>
              </w:rPr>
              <w:t>appear</w:t>
            </w:r>
            <w:r>
              <w:rPr>
                <w:spacing w:val="-2"/>
                <w:sz w:val="18"/>
              </w:rPr>
              <w:t xml:space="preserve"> </w:t>
            </w:r>
            <w:r>
              <w:rPr>
                <w:sz w:val="18"/>
              </w:rPr>
              <w:t>to</w:t>
            </w:r>
            <w:r>
              <w:rPr>
                <w:spacing w:val="-3"/>
                <w:sz w:val="18"/>
              </w:rPr>
              <w:t xml:space="preserve"> </w:t>
            </w:r>
            <w:r>
              <w:rPr>
                <w:spacing w:val="-4"/>
                <w:sz w:val="18"/>
              </w:rPr>
              <w:t>only</w:t>
            </w:r>
          </w:p>
          <w:p w:rsidR="00C31389" w:rsidRDefault="00561FBD" w14:paraId="3DD2FE57" w14:textId="77777777">
            <w:pPr>
              <w:pStyle w:val="TableParagraph"/>
              <w:tabs>
                <w:tab w:val="left" w:leader="dot" w:pos="4147"/>
              </w:tabs>
              <w:spacing w:before="0"/>
              <w:ind w:left="124" w:right="148"/>
              <w:rPr>
                <w:sz w:val="18"/>
              </w:rPr>
            </w:pPr>
            <w:r>
              <w:rPr>
                <w:sz w:val="18"/>
              </w:rPr>
              <w:t>include</w:t>
            </w:r>
            <w:r>
              <w:rPr>
                <w:spacing w:val="-2"/>
                <w:sz w:val="18"/>
              </w:rPr>
              <w:t xml:space="preserve"> </w:t>
            </w:r>
            <w:r>
              <w:rPr>
                <w:sz w:val="18"/>
              </w:rPr>
              <w:t>the</w:t>
            </w:r>
            <w:r>
              <w:rPr>
                <w:spacing w:val="-2"/>
                <w:sz w:val="18"/>
              </w:rPr>
              <w:t xml:space="preserve"> </w:t>
            </w:r>
            <w:r>
              <w:rPr>
                <w:sz w:val="18"/>
              </w:rPr>
              <w:t>costs</w:t>
            </w:r>
            <w:r>
              <w:rPr>
                <w:spacing w:val="-1"/>
                <w:sz w:val="18"/>
              </w:rPr>
              <w:t xml:space="preserve"> </w:t>
            </w:r>
            <w:r>
              <w:rPr>
                <w:sz w:val="18"/>
              </w:rPr>
              <w:t>within</w:t>
            </w:r>
            <w:r>
              <w:rPr>
                <w:spacing w:val="-2"/>
                <w:sz w:val="18"/>
              </w:rPr>
              <w:t xml:space="preserve"> </w:t>
            </w:r>
            <w:r>
              <w:rPr>
                <w:sz w:val="18"/>
              </w:rPr>
              <w:t>the</w:t>
            </w:r>
            <w:r>
              <w:rPr>
                <w:spacing w:val="-2"/>
                <w:sz w:val="18"/>
              </w:rPr>
              <w:t xml:space="preserve"> </w:t>
            </w:r>
            <w:r>
              <w:rPr>
                <w:sz w:val="18"/>
              </w:rPr>
              <w:t>house</w:t>
            </w:r>
            <w:r>
              <w:rPr>
                <w:spacing w:val="-2"/>
                <w:sz w:val="18"/>
              </w:rPr>
              <w:t xml:space="preserve"> </w:t>
            </w:r>
            <w:r>
              <w:rPr>
                <w:sz w:val="18"/>
              </w:rPr>
              <w:t>envelope</w:t>
            </w:r>
            <w:r>
              <w:rPr>
                <w:spacing w:val="-2"/>
                <w:sz w:val="18"/>
              </w:rPr>
              <w:t xml:space="preserve"> </w:t>
            </w:r>
            <w:r>
              <w:rPr>
                <w:sz w:val="18"/>
              </w:rPr>
              <w:t>– the</w:t>
            </w:r>
            <w:r>
              <w:rPr>
                <w:spacing w:val="-2"/>
                <w:sz w:val="18"/>
              </w:rPr>
              <w:t xml:space="preserve"> </w:t>
            </w:r>
            <w:r>
              <w:rPr>
                <w:sz w:val="18"/>
              </w:rPr>
              <w:t>physical</w:t>
            </w:r>
            <w:r>
              <w:rPr>
                <w:spacing w:val="-1"/>
                <w:sz w:val="18"/>
              </w:rPr>
              <w:t xml:space="preserve"> </w:t>
            </w:r>
            <w:r>
              <w:rPr>
                <w:sz w:val="18"/>
              </w:rPr>
              <w:t>panel itself,</w:t>
            </w:r>
            <w:r>
              <w:rPr>
                <w:spacing w:val="-5"/>
                <w:sz w:val="18"/>
              </w:rPr>
              <w:t xml:space="preserve"> </w:t>
            </w:r>
            <w:r>
              <w:rPr>
                <w:sz w:val="18"/>
              </w:rPr>
              <w:t>in-home</w:t>
            </w:r>
            <w:r>
              <w:rPr>
                <w:spacing w:val="-6"/>
                <w:sz w:val="18"/>
              </w:rPr>
              <w:t xml:space="preserve"> </w:t>
            </w:r>
            <w:r>
              <w:rPr>
                <w:sz w:val="18"/>
              </w:rPr>
              <w:t>wiring,</w:t>
            </w:r>
            <w:r>
              <w:rPr>
                <w:spacing w:val="-5"/>
                <w:sz w:val="18"/>
              </w:rPr>
              <w:t xml:space="preserve"> </w:t>
            </w:r>
            <w:r>
              <w:rPr>
                <w:sz w:val="18"/>
              </w:rPr>
              <w:t>and</w:t>
            </w:r>
            <w:r>
              <w:rPr>
                <w:spacing w:val="-6"/>
                <w:sz w:val="18"/>
              </w:rPr>
              <w:t xml:space="preserve"> </w:t>
            </w:r>
            <w:r>
              <w:rPr>
                <w:sz w:val="18"/>
              </w:rPr>
              <w:t>any</w:t>
            </w:r>
            <w:r>
              <w:rPr>
                <w:spacing w:val="-4"/>
                <w:sz w:val="18"/>
              </w:rPr>
              <w:t xml:space="preserve"> </w:t>
            </w:r>
            <w:r>
              <w:rPr>
                <w:sz w:val="18"/>
              </w:rPr>
              <w:t>service</w:t>
            </w:r>
            <w:r>
              <w:rPr>
                <w:spacing w:val="-6"/>
                <w:sz w:val="18"/>
              </w:rPr>
              <w:t xml:space="preserve"> </w:t>
            </w:r>
            <w:r>
              <w:rPr>
                <w:sz w:val="18"/>
              </w:rPr>
              <w:t>connection</w:t>
            </w:r>
            <w:r>
              <w:rPr>
                <w:spacing w:val="-6"/>
                <w:sz w:val="18"/>
              </w:rPr>
              <w:t xml:space="preserve"> </w:t>
            </w:r>
            <w:r>
              <w:rPr>
                <w:sz w:val="18"/>
              </w:rPr>
              <w:t>fees.</w:t>
            </w:r>
            <w:r>
              <w:rPr>
                <w:spacing w:val="-5"/>
                <w:sz w:val="18"/>
              </w:rPr>
              <w:t xml:space="preserve"> </w:t>
            </w:r>
            <w:r>
              <w:rPr>
                <w:sz w:val="18"/>
              </w:rPr>
              <w:t xml:space="preserve">Critically, the costs do not include other costs the customer, utility, or </w:t>
            </w:r>
            <w:r>
              <w:rPr>
                <w:sz w:val="18"/>
              </w:rPr>
              <w:t>ratepayers may incur. These costs are identified in one of the studies cited by Guidehouse, the “Service Upgrades for Electrification Retrofits Study Final Report” by NV5 Inc. and Redwood Energy, and include “trenching, permits, easement costs, conduit rep</w:t>
            </w:r>
            <w:r>
              <w:rPr>
                <w:sz w:val="18"/>
              </w:rPr>
              <w:t>lacements, and potential pole and transformer partial cost replacements.” As NV5 notes, these costs could range between $2,850 to more than $30,000, with a substantial portion</w:t>
            </w:r>
            <w:r>
              <w:rPr>
                <w:spacing w:val="-3"/>
                <w:sz w:val="18"/>
              </w:rPr>
              <w:t xml:space="preserve"> </w:t>
            </w:r>
            <w:r>
              <w:rPr>
                <w:sz w:val="18"/>
              </w:rPr>
              <w:t>of</w:t>
            </w:r>
            <w:r>
              <w:rPr>
                <w:spacing w:val="-2"/>
                <w:sz w:val="18"/>
              </w:rPr>
              <w:t xml:space="preserve"> </w:t>
            </w:r>
            <w:r>
              <w:rPr>
                <w:sz w:val="18"/>
              </w:rPr>
              <w:t>that</w:t>
            </w:r>
            <w:r>
              <w:rPr>
                <w:spacing w:val="-2"/>
                <w:sz w:val="18"/>
              </w:rPr>
              <w:t xml:space="preserve"> </w:t>
            </w:r>
            <w:r>
              <w:rPr>
                <w:sz w:val="18"/>
              </w:rPr>
              <w:t>coming</w:t>
            </w:r>
            <w:r>
              <w:rPr>
                <w:spacing w:val="-3"/>
                <w:sz w:val="18"/>
              </w:rPr>
              <w:t xml:space="preserve"> </w:t>
            </w:r>
            <w:r>
              <w:rPr>
                <w:sz w:val="18"/>
              </w:rPr>
              <w:t>through</w:t>
            </w:r>
            <w:r>
              <w:rPr>
                <w:spacing w:val="-3"/>
                <w:sz w:val="18"/>
              </w:rPr>
              <w:t xml:space="preserve"> </w:t>
            </w:r>
            <w:r>
              <w:rPr>
                <w:sz w:val="18"/>
              </w:rPr>
              <w:t>the</w:t>
            </w:r>
            <w:r>
              <w:rPr>
                <w:spacing w:val="-3"/>
                <w:sz w:val="18"/>
              </w:rPr>
              <w:t xml:space="preserve"> </w:t>
            </w:r>
            <w:r>
              <w:rPr>
                <w:sz w:val="18"/>
              </w:rPr>
              <w:t>cost</w:t>
            </w:r>
            <w:r>
              <w:rPr>
                <w:spacing w:val="-2"/>
                <w:sz w:val="18"/>
              </w:rPr>
              <w:t xml:space="preserve"> </w:t>
            </w:r>
            <w:r>
              <w:rPr>
                <w:sz w:val="18"/>
              </w:rPr>
              <w:t>of</w:t>
            </w:r>
            <w:r>
              <w:rPr>
                <w:spacing w:val="-2"/>
                <w:sz w:val="18"/>
              </w:rPr>
              <w:t xml:space="preserve"> </w:t>
            </w:r>
            <w:r>
              <w:rPr>
                <w:sz w:val="18"/>
              </w:rPr>
              <w:t>a</w:t>
            </w:r>
            <w:r>
              <w:rPr>
                <w:spacing w:val="-3"/>
                <w:sz w:val="18"/>
              </w:rPr>
              <w:t xml:space="preserve"> </w:t>
            </w:r>
            <w:r>
              <w:rPr>
                <w:sz w:val="18"/>
              </w:rPr>
              <w:t>new</w:t>
            </w:r>
            <w:r>
              <w:rPr>
                <w:spacing w:val="-2"/>
                <w:sz w:val="18"/>
              </w:rPr>
              <w:t xml:space="preserve"> </w:t>
            </w:r>
            <w:r>
              <w:rPr>
                <w:sz w:val="18"/>
              </w:rPr>
              <w:t>transformer</w:t>
            </w:r>
            <w:r>
              <w:rPr>
                <w:spacing w:val="-2"/>
                <w:sz w:val="18"/>
              </w:rPr>
              <w:t xml:space="preserve"> </w:t>
            </w:r>
            <w:r>
              <w:rPr>
                <w:sz w:val="18"/>
              </w:rPr>
              <w:t>and other utility work. Fur</w:t>
            </w:r>
            <w:r>
              <w:rPr>
                <w:sz w:val="18"/>
              </w:rPr>
              <w:t>thermore, studies have not assessed the costs of distribution improvements that would be necessary should all homes fully electrify in a given geography, costs that utilities and the entire rate base would support.</w:t>
            </w:r>
            <w:r>
              <w:rPr>
                <w:sz w:val="18"/>
              </w:rPr>
              <w:tab/>
              <w:t>we strongly</w:t>
            </w:r>
          </w:p>
          <w:p w:rsidR="00C31389" w:rsidRDefault="00561FBD" w14:paraId="62742BFE" w14:textId="77777777">
            <w:pPr>
              <w:pStyle w:val="TableParagraph"/>
              <w:spacing w:before="0"/>
              <w:ind w:left="124" w:right="107"/>
              <w:rPr>
                <w:sz w:val="18"/>
              </w:rPr>
            </w:pPr>
            <w:r>
              <w:rPr>
                <w:sz w:val="18"/>
              </w:rPr>
              <w:t>believe that California shoul</w:t>
            </w:r>
            <w:r>
              <w:rPr>
                <w:sz w:val="18"/>
              </w:rPr>
              <w:t>d aim to support customers holistically in their electrification ambitions, especially for LMI customers</w:t>
            </w:r>
            <w:r>
              <w:rPr>
                <w:spacing w:val="-5"/>
                <w:sz w:val="18"/>
              </w:rPr>
              <w:t xml:space="preserve"> </w:t>
            </w:r>
            <w:r>
              <w:rPr>
                <w:sz w:val="18"/>
              </w:rPr>
              <w:t>or</w:t>
            </w:r>
            <w:r>
              <w:rPr>
                <w:spacing w:val="-5"/>
                <w:sz w:val="18"/>
              </w:rPr>
              <w:t xml:space="preserve"> </w:t>
            </w:r>
            <w:r>
              <w:rPr>
                <w:sz w:val="18"/>
              </w:rPr>
              <w:t>customers</w:t>
            </w:r>
            <w:r>
              <w:rPr>
                <w:spacing w:val="-5"/>
                <w:sz w:val="18"/>
              </w:rPr>
              <w:t xml:space="preserve"> </w:t>
            </w:r>
            <w:r>
              <w:rPr>
                <w:sz w:val="18"/>
              </w:rPr>
              <w:t>in</w:t>
            </w:r>
            <w:r>
              <w:rPr>
                <w:spacing w:val="-5"/>
                <w:sz w:val="18"/>
              </w:rPr>
              <w:t xml:space="preserve"> </w:t>
            </w:r>
            <w:r>
              <w:rPr>
                <w:sz w:val="18"/>
              </w:rPr>
              <w:t>DACs</w:t>
            </w:r>
            <w:r>
              <w:rPr>
                <w:spacing w:val="-5"/>
                <w:sz w:val="18"/>
              </w:rPr>
              <w:t xml:space="preserve"> </w:t>
            </w:r>
            <w:r>
              <w:rPr>
                <w:sz w:val="18"/>
              </w:rPr>
              <w:t>that,</w:t>
            </w:r>
            <w:r>
              <w:rPr>
                <w:spacing w:val="-5"/>
                <w:sz w:val="18"/>
              </w:rPr>
              <w:t xml:space="preserve"> </w:t>
            </w:r>
            <w:r>
              <w:rPr>
                <w:sz w:val="18"/>
              </w:rPr>
              <w:t>even</w:t>
            </w:r>
            <w:r>
              <w:rPr>
                <w:spacing w:val="-4"/>
                <w:sz w:val="18"/>
              </w:rPr>
              <w:t xml:space="preserve"> </w:t>
            </w:r>
            <w:r>
              <w:rPr>
                <w:sz w:val="18"/>
              </w:rPr>
              <w:t>with</w:t>
            </w:r>
            <w:r>
              <w:rPr>
                <w:spacing w:val="-5"/>
                <w:sz w:val="18"/>
              </w:rPr>
              <w:t xml:space="preserve"> </w:t>
            </w:r>
            <w:r>
              <w:rPr>
                <w:sz w:val="18"/>
              </w:rPr>
              <w:t>forthcoming</w:t>
            </w:r>
            <w:r>
              <w:rPr>
                <w:spacing w:val="-5"/>
                <w:sz w:val="18"/>
              </w:rPr>
              <w:t xml:space="preserve"> </w:t>
            </w:r>
            <w:r>
              <w:rPr>
                <w:sz w:val="18"/>
              </w:rPr>
              <w:t>IRA incentives, may struggle to cover the full cost of electrification.</w:t>
            </w:r>
          </w:p>
          <w:p w:rsidR="00C31389" w:rsidRDefault="00561FBD" w14:paraId="1DC887B1" w14:textId="77777777">
            <w:pPr>
              <w:pStyle w:val="TableParagraph"/>
              <w:spacing w:before="0"/>
              <w:ind w:left="124" w:right="359"/>
              <w:jc w:val="both"/>
              <w:rPr>
                <w:sz w:val="18"/>
              </w:rPr>
            </w:pPr>
            <w:r>
              <w:rPr>
                <w:sz w:val="18"/>
              </w:rPr>
              <w:t>For</w:t>
            </w:r>
            <w:r>
              <w:rPr>
                <w:spacing w:val="-5"/>
                <w:sz w:val="18"/>
              </w:rPr>
              <w:t xml:space="preserve"> </w:t>
            </w:r>
            <w:r>
              <w:rPr>
                <w:sz w:val="18"/>
              </w:rPr>
              <w:t>these</w:t>
            </w:r>
            <w:r>
              <w:rPr>
                <w:spacing w:val="-6"/>
                <w:sz w:val="18"/>
              </w:rPr>
              <w:t xml:space="preserve"> </w:t>
            </w:r>
            <w:r>
              <w:rPr>
                <w:sz w:val="18"/>
              </w:rPr>
              <w:t>reasons,</w:t>
            </w:r>
            <w:r>
              <w:rPr>
                <w:spacing w:val="-5"/>
                <w:sz w:val="18"/>
              </w:rPr>
              <w:t xml:space="preserve"> </w:t>
            </w:r>
            <w:r>
              <w:rPr>
                <w:sz w:val="18"/>
              </w:rPr>
              <w:t>we</w:t>
            </w:r>
            <w:r>
              <w:rPr>
                <w:spacing w:val="-6"/>
                <w:sz w:val="18"/>
              </w:rPr>
              <w:t xml:space="preserve"> </w:t>
            </w:r>
            <w:r>
              <w:rPr>
                <w:sz w:val="18"/>
              </w:rPr>
              <w:t>recommend</w:t>
            </w:r>
            <w:r>
              <w:rPr>
                <w:spacing w:val="-6"/>
                <w:sz w:val="18"/>
              </w:rPr>
              <w:t xml:space="preserve"> </w:t>
            </w:r>
            <w:r>
              <w:rPr>
                <w:sz w:val="18"/>
              </w:rPr>
              <w:t>that</w:t>
            </w:r>
            <w:r>
              <w:rPr>
                <w:spacing w:val="-5"/>
                <w:sz w:val="18"/>
              </w:rPr>
              <w:t xml:space="preserve"> </w:t>
            </w:r>
            <w:r>
              <w:rPr>
                <w:sz w:val="18"/>
              </w:rPr>
              <w:t>the</w:t>
            </w:r>
            <w:r>
              <w:rPr>
                <w:spacing w:val="-4"/>
                <w:sz w:val="18"/>
              </w:rPr>
              <w:t xml:space="preserve"> </w:t>
            </w:r>
            <w:r>
              <w:rPr>
                <w:sz w:val="18"/>
              </w:rPr>
              <w:t>Guidehouse</w:t>
            </w:r>
            <w:r>
              <w:rPr>
                <w:spacing w:val="-6"/>
                <w:sz w:val="18"/>
              </w:rPr>
              <w:t xml:space="preserve"> </w:t>
            </w:r>
            <w:r>
              <w:rPr>
                <w:sz w:val="18"/>
              </w:rPr>
              <w:t xml:space="preserve">study make note of these additional costs and strategies to mitigate </w:t>
            </w:r>
            <w:r>
              <w:rPr>
                <w:spacing w:val="-2"/>
                <w:sz w:val="18"/>
              </w:rPr>
              <w:t>them.</w:t>
            </w:r>
          </w:p>
        </w:tc>
        <w:tc>
          <w:tcPr>
            <w:tcW w:w="3417" w:type="dxa"/>
            <w:tcBorders>
              <w:top w:val="single" w:color="94D500" w:sz="4" w:space="0"/>
              <w:bottom w:val="single" w:color="94D500" w:sz="4" w:space="0"/>
            </w:tcBorders>
          </w:tcPr>
          <w:p w:rsidR="00C31389" w:rsidRDefault="00C31389" w14:paraId="310A51AA" w14:textId="77777777">
            <w:pPr>
              <w:pStyle w:val="TableParagraph"/>
              <w:spacing w:before="0"/>
              <w:rPr>
                <w:sz w:val="20"/>
              </w:rPr>
            </w:pPr>
          </w:p>
          <w:p w:rsidR="00C31389" w:rsidRDefault="00C31389" w14:paraId="73EBC1B8" w14:textId="77777777">
            <w:pPr>
              <w:pStyle w:val="TableParagraph"/>
              <w:spacing w:before="0"/>
              <w:rPr>
                <w:sz w:val="20"/>
              </w:rPr>
            </w:pPr>
          </w:p>
          <w:p w:rsidR="00C31389" w:rsidRDefault="00C31389" w14:paraId="36739D51" w14:textId="77777777">
            <w:pPr>
              <w:pStyle w:val="TableParagraph"/>
              <w:spacing w:before="0"/>
              <w:rPr>
                <w:sz w:val="20"/>
              </w:rPr>
            </w:pPr>
          </w:p>
          <w:p w:rsidR="00C31389" w:rsidRDefault="00C31389" w14:paraId="0C66EE71" w14:textId="77777777">
            <w:pPr>
              <w:pStyle w:val="TableParagraph"/>
              <w:spacing w:before="0"/>
              <w:rPr>
                <w:sz w:val="20"/>
              </w:rPr>
            </w:pPr>
          </w:p>
          <w:p w:rsidR="00C31389" w:rsidRDefault="00C31389" w14:paraId="63D61980" w14:textId="77777777">
            <w:pPr>
              <w:pStyle w:val="TableParagraph"/>
              <w:spacing w:before="0"/>
              <w:rPr>
                <w:sz w:val="20"/>
              </w:rPr>
            </w:pPr>
          </w:p>
          <w:p w:rsidR="00C31389" w:rsidRDefault="00C31389" w14:paraId="279D2309" w14:textId="77777777">
            <w:pPr>
              <w:pStyle w:val="TableParagraph"/>
              <w:spacing w:before="6"/>
              <w:rPr>
                <w:sz w:val="21"/>
              </w:rPr>
            </w:pPr>
          </w:p>
          <w:p w:rsidR="00C31389" w:rsidRDefault="00561FBD" w14:paraId="5255DA73" w14:textId="77777777">
            <w:pPr>
              <w:pStyle w:val="TableParagraph"/>
              <w:spacing w:before="1"/>
              <w:ind w:left="109" w:right="135"/>
              <w:rPr>
                <w:sz w:val="18"/>
              </w:rPr>
            </w:pPr>
            <w:r>
              <w:rPr>
                <w:sz w:val="18"/>
              </w:rPr>
              <w:t>In this study, the panel upgrade cost was</w:t>
            </w:r>
            <w:r>
              <w:rPr>
                <w:spacing w:val="-6"/>
                <w:sz w:val="18"/>
              </w:rPr>
              <w:t xml:space="preserve"> </w:t>
            </w:r>
            <w:r>
              <w:rPr>
                <w:sz w:val="18"/>
              </w:rPr>
              <w:t>intended</w:t>
            </w:r>
            <w:r>
              <w:rPr>
                <w:spacing w:val="-7"/>
                <w:sz w:val="18"/>
              </w:rPr>
              <w:t xml:space="preserve"> </w:t>
            </w:r>
            <w:r>
              <w:rPr>
                <w:sz w:val="18"/>
              </w:rPr>
              <w:t>to</w:t>
            </w:r>
            <w:r>
              <w:rPr>
                <w:spacing w:val="-7"/>
                <w:sz w:val="18"/>
              </w:rPr>
              <w:t xml:space="preserve"> </w:t>
            </w:r>
            <w:r>
              <w:rPr>
                <w:sz w:val="18"/>
              </w:rPr>
              <w:t>represent</w:t>
            </w:r>
            <w:r>
              <w:rPr>
                <w:spacing w:val="-6"/>
                <w:sz w:val="18"/>
              </w:rPr>
              <w:t xml:space="preserve"> </w:t>
            </w:r>
            <w:r>
              <w:rPr>
                <w:sz w:val="18"/>
              </w:rPr>
              <w:t>the</w:t>
            </w:r>
            <w:r>
              <w:rPr>
                <w:spacing w:val="-5"/>
                <w:sz w:val="18"/>
              </w:rPr>
              <w:t xml:space="preserve"> </w:t>
            </w:r>
            <w:r>
              <w:rPr>
                <w:sz w:val="18"/>
              </w:rPr>
              <w:t xml:space="preserve">customer cost only. Non-customer costs such as costs to the utility or </w:t>
            </w:r>
            <w:r>
              <w:rPr>
                <w:sz w:val="18"/>
              </w:rPr>
              <w:t>ratepayers from a single</w:t>
            </w:r>
            <w:r>
              <w:rPr>
                <w:spacing w:val="-11"/>
                <w:sz w:val="18"/>
              </w:rPr>
              <w:t xml:space="preserve"> </w:t>
            </w:r>
            <w:r>
              <w:rPr>
                <w:sz w:val="18"/>
              </w:rPr>
              <w:t>installation,</w:t>
            </w:r>
            <w:r>
              <w:rPr>
                <w:spacing w:val="-10"/>
                <w:sz w:val="18"/>
              </w:rPr>
              <w:t xml:space="preserve"> </w:t>
            </w:r>
            <w:r>
              <w:rPr>
                <w:sz w:val="18"/>
              </w:rPr>
              <w:t>or</w:t>
            </w:r>
            <w:r>
              <w:rPr>
                <w:spacing w:val="-10"/>
                <w:sz w:val="18"/>
              </w:rPr>
              <w:t xml:space="preserve"> </w:t>
            </w:r>
            <w:r>
              <w:rPr>
                <w:sz w:val="18"/>
              </w:rPr>
              <w:t>distribution</w:t>
            </w:r>
            <w:r>
              <w:rPr>
                <w:spacing w:val="-11"/>
                <w:sz w:val="18"/>
              </w:rPr>
              <w:t xml:space="preserve"> </w:t>
            </w:r>
            <w:r>
              <w:rPr>
                <w:sz w:val="18"/>
              </w:rPr>
              <w:t>system upgrades to support electrification of multiple customers, were outside the scope of the analysis. However, the upcoming</w:t>
            </w:r>
            <w:r>
              <w:rPr>
                <w:spacing w:val="-3"/>
                <w:sz w:val="18"/>
              </w:rPr>
              <w:t xml:space="preserve"> </w:t>
            </w:r>
            <w:r>
              <w:rPr>
                <w:sz w:val="18"/>
              </w:rPr>
              <w:t>market</w:t>
            </w:r>
            <w:r>
              <w:rPr>
                <w:spacing w:val="-2"/>
                <w:sz w:val="18"/>
              </w:rPr>
              <w:t xml:space="preserve"> </w:t>
            </w:r>
            <w:r>
              <w:rPr>
                <w:sz w:val="18"/>
              </w:rPr>
              <w:t>study</w:t>
            </w:r>
            <w:r>
              <w:rPr>
                <w:spacing w:val="-2"/>
                <w:sz w:val="18"/>
              </w:rPr>
              <w:t xml:space="preserve"> </w:t>
            </w:r>
            <w:r>
              <w:rPr>
                <w:sz w:val="18"/>
              </w:rPr>
              <w:t>may</w:t>
            </w:r>
            <w:r>
              <w:rPr>
                <w:spacing w:val="-2"/>
                <w:sz w:val="18"/>
              </w:rPr>
              <w:t xml:space="preserve"> </w:t>
            </w:r>
            <w:r>
              <w:rPr>
                <w:sz w:val="18"/>
              </w:rPr>
              <w:t>provide</w:t>
            </w:r>
            <w:r>
              <w:rPr>
                <w:spacing w:val="-3"/>
                <w:sz w:val="18"/>
              </w:rPr>
              <w:t xml:space="preserve"> </w:t>
            </w:r>
            <w:r>
              <w:rPr>
                <w:sz w:val="18"/>
              </w:rPr>
              <w:t>an opportunity to collect primary data on additi</w:t>
            </w:r>
            <w:r>
              <w:rPr>
                <w:sz w:val="18"/>
              </w:rPr>
              <w:t xml:space="preserve">onal costs for inclusion in a future </w:t>
            </w:r>
            <w:r>
              <w:rPr>
                <w:spacing w:val="-2"/>
                <w:sz w:val="18"/>
              </w:rPr>
              <w:t>study.</w:t>
            </w:r>
          </w:p>
          <w:p w:rsidR="00C31389" w:rsidRDefault="00561FBD" w14:paraId="42AA40DF" w14:textId="77777777">
            <w:pPr>
              <w:pStyle w:val="TableParagraph"/>
              <w:spacing w:before="0"/>
              <w:ind w:left="109"/>
              <w:rPr>
                <w:sz w:val="18"/>
              </w:rPr>
            </w:pPr>
            <w:r>
              <w:rPr>
                <w:sz w:val="18"/>
              </w:rPr>
              <w:t>We</w:t>
            </w:r>
            <w:r>
              <w:rPr>
                <w:spacing w:val="-6"/>
                <w:sz w:val="18"/>
              </w:rPr>
              <w:t xml:space="preserve"> </w:t>
            </w:r>
            <w:r>
              <w:rPr>
                <w:sz w:val="18"/>
              </w:rPr>
              <w:t>further</w:t>
            </w:r>
            <w:r>
              <w:rPr>
                <w:spacing w:val="-6"/>
                <w:sz w:val="18"/>
              </w:rPr>
              <w:t xml:space="preserve"> </w:t>
            </w:r>
            <w:r>
              <w:rPr>
                <w:sz w:val="18"/>
              </w:rPr>
              <w:t>note</w:t>
            </w:r>
            <w:r>
              <w:rPr>
                <w:spacing w:val="-6"/>
                <w:sz w:val="18"/>
              </w:rPr>
              <w:t xml:space="preserve"> </w:t>
            </w:r>
            <w:r>
              <w:rPr>
                <w:sz w:val="18"/>
              </w:rPr>
              <w:t>that</w:t>
            </w:r>
            <w:r>
              <w:rPr>
                <w:spacing w:val="-6"/>
                <w:sz w:val="18"/>
              </w:rPr>
              <w:t xml:space="preserve"> </w:t>
            </w:r>
            <w:r>
              <w:rPr>
                <w:sz w:val="18"/>
              </w:rPr>
              <w:t>the</w:t>
            </w:r>
            <w:r>
              <w:rPr>
                <w:spacing w:val="-6"/>
                <w:sz w:val="18"/>
              </w:rPr>
              <w:t xml:space="preserve"> </w:t>
            </w:r>
            <w:r>
              <w:rPr>
                <w:sz w:val="18"/>
              </w:rPr>
              <w:t>scope</w:t>
            </w:r>
            <w:r>
              <w:rPr>
                <w:spacing w:val="-6"/>
                <w:sz w:val="18"/>
              </w:rPr>
              <w:t xml:space="preserve"> </w:t>
            </w:r>
            <w:r>
              <w:rPr>
                <w:sz w:val="18"/>
              </w:rPr>
              <w:t>of</w:t>
            </w:r>
            <w:r>
              <w:rPr>
                <w:spacing w:val="-6"/>
                <w:sz w:val="18"/>
              </w:rPr>
              <w:t xml:space="preserve"> </w:t>
            </w:r>
            <w:r>
              <w:rPr>
                <w:sz w:val="18"/>
              </w:rPr>
              <w:t>utility costs are supposed to fall under the development of avoided costs.</w:t>
            </w:r>
          </w:p>
        </w:tc>
      </w:tr>
    </w:tbl>
    <w:p w:rsidR="00C31389" w:rsidRDefault="00C31389" w14:paraId="248733C5" w14:textId="77777777">
      <w:pPr>
        <w:rPr>
          <w:sz w:val="18"/>
        </w:rPr>
        <w:sectPr w:rsidR="00C31389">
          <w:pgSz w:w="15840" w:h="12240" w:orient="landscape"/>
          <w:pgMar w:top="1660" w:right="2260" w:bottom="1120" w:left="1320" w:header="397" w:footer="936" w:gutter="0"/>
          <w:cols w:space="720"/>
        </w:sectPr>
      </w:pPr>
    </w:p>
    <w:p w:rsidR="00C31389" w:rsidRDefault="00C31389" w14:paraId="71D9DF6F" w14:textId="77777777">
      <w:pPr>
        <w:pStyle w:val="BodyText"/>
        <w:spacing w:before="6" w:after="1"/>
        <w:rPr>
          <w:sz w:val="21"/>
        </w:rPr>
      </w:pPr>
    </w:p>
    <w:tbl>
      <w:tblPr>
        <w:tblW w:w="0" w:type="auto"/>
        <w:tblInd w:w="124" w:type="dxa"/>
        <w:tblLayout w:type="fixed"/>
        <w:tblCellMar>
          <w:left w:w="0" w:type="dxa"/>
          <w:right w:w="0" w:type="dxa"/>
        </w:tblCellMar>
        <w:tblLook w:val="01E0" w:firstRow="1" w:lastRow="1" w:firstColumn="1" w:lastColumn="1" w:noHBand="0" w:noVBand="0"/>
      </w:tblPr>
      <w:tblGrid>
        <w:gridCol w:w="1674"/>
        <w:gridCol w:w="1103"/>
        <w:gridCol w:w="5409"/>
        <w:gridCol w:w="3422"/>
      </w:tblGrid>
      <w:tr w:rsidR="00C31389" w14:paraId="0220A532" w14:textId="77777777">
        <w:trPr>
          <w:trHeight w:val="261"/>
        </w:trPr>
        <w:tc>
          <w:tcPr>
            <w:tcW w:w="1674" w:type="dxa"/>
            <w:shd w:val="clear" w:color="auto" w:fill="94D500"/>
          </w:tcPr>
          <w:p w:rsidR="00C31389" w:rsidRDefault="00561FBD" w14:paraId="4E5DA17B" w14:textId="77777777">
            <w:pPr>
              <w:pStyle w:val="TableParagraph"/>
              <w:spacing w:before="26"/>
              <w:ind w:left="116"/>
              <w:rPr>
                <w:b/>
                <w:sz w:val="18"/>
              </w:rPr>
            </w:pPr>
            <w:r>
              <w:rPr>
                <w:b/>
                <w:spacing w:val="-2"/>
                <w:sz w:val="18"/>
              </w:rPr>
              <w:t>Subject</w:t>
            </w:r>
          </w:p>
        </w:tc>
        <w:tc>
          <w:tcPr>
            <w:tcW w:w="1103" w:type="dxa"/>
            <w:shd w:val="clear" w:color="auto" w:fill="94D500"/>
          </w:tcPr>
          <w:p w:rsidR="00C31389" w:rsidRDefault="00561FBD" w14:paraId="7908C4C5" w14:textId="77777777">
            <w:pPr>
              <w:pStyle w:val="TableParagraph"/>
              <w:spacing w:before="26"/>
              <w:ind w:left="147"/>
              <w:rPr>
                <w:b/>
                <w:sz w:val="18"/>
              </w:rPr>
            </w:pPr>
            <w:r>
              <w:rPr>
                <w:b/>
                <w:spacing w:val="-2"/>
                <w:sz w:val="18"/>
              </w:rPr>
              <w:t>Affiliation</w:t>
            </w:r>
          </w:p>
        </w:tc>
        <w:tc>
          <w:tcPr>
            <w:tcW w:w="5409" w:type="dxa"/>
            <w:shd w:val="clear" w:color="auto" w:fill="94D500"/>
          </w:tcPr>
          <w:p w:rsidR="00C31389" w:rsidRDefault="00561FBD" w14:paraId="6071B8A5" w14:textId="77777777">
            <w:pPr>
              <w:pStyle w:val="TableParagraph"/>
              <w:spacing w:before="26"/>
              <w:ind w:left="124"/>
              <w:rPr>
                <w:b/>
                <w:sz w:val="18"/>
              </w:rPr>
            </w:pPr>
            <w:r>
              <w:rPr>
                <w:b/>
                <w:sz w:val="18"/>
              </w:rPr>
              <w:t>Summary</w:t>
            </w:r>
            <w:r>
              <w:rPr>
                <w:b/>
                <w:spacing w:val="-3"/>
                <w:sz w:val="18"/>
              </w:rPr>
              <w:t xml:space="preserve"> </w:t>
            </w:r>
            <w:r>
              <w:rPr>
                <w:b/>
                <w:sz w:val="18"/>
              </w:rPr>
              <w:t>of</w:t>
            </w:r>
            <w:r>
              <w:rPr>
                <w:b/>
                <w:spacing w:val="-2"/>
                <w:sz w:val="18"/>
              </w:rPr>
              <w:t xml:space="preserve"> Issue</w:t>
            </w:r>
          </w:p>
        </w:tc>
        <w:tc>
          <w:tcPr>
            <w:tcW w:w="3422" w:type="dxa"/>
            <w:shd w:val="clear" w:color="auto" w:fill="94D500"/>
          </w:tcPr>
          <w:p w:rsidR="00C31389" w:rsidRDefault="00561FBD" w14:paraId="05C56E2F" w14:textId="77777777">
            <w:pPr>
              <w:pStyle w:val="TableParagraph"/>
              <w:spacing w:before="26"/>
              <w:ind w:left="115"/>
              <w:rPr>
                <w:b/>
                <w:sz w:val="18"/>
              </w:rPr>
            </w:pPr>
            <w:r>
              <w:rPr>
                <w:b/>
                <w:sz w:val="18"/>
              </w:rPr>
              <w:t>Guidehouse</w:t>
            </w:r>
            <w:r>
              <w:rPr>
                <w:b/>
                <w:spacing w:val="-4"/>
                <w:sz w:val="18"/>
              </w:rPr>
              <w:t xml:space="preserve"> </w:t>
            </w:r>
            <w:r>
              <w:rPr>
                <w:b/>
                <w:spacing w:val="-2"/>
                <w:sz w:val="18"/>
              </w:rPr>
              <w:t>Response</w:t>
            </w:r>
          </w:p>
        </w:tc>
      </w:tr>
      <w:tr w:rsidR="00C31389" w14:paraId="6733954F" w14:textId="77777777">
        <w:trPr>
          <w:trHeight w:val="3590"/>
        </w:trPr>
        <w:tc>
          <w:tcPr>
            <w:tcW w:w="1674" w:type="dxa"/>
            <w:tcBorders>
              <w:bottom w:val="single" w:color="94D500" w:sz="4" w:space="0"/>
            </w:tcBorders>
          </w:tcPr>
          <w:p w:rsidR="00C31389" w:rsidRDefault="00C31389" w14:paraId="396E1168" w14:textId="77777777">
            <w:pPr>
              <w:pStyle w:val="TableParagraph"/>
              <w:spacing w:before="0"/>
              <w:rPr>
                <w:sz w:val="20"/>
              </w:rPr>
            </w:pPr>
          </w:p>
          <w:p w:rsidR="00C31389" w:rsidRDefault="00C31389" w14:paraId="4E9E9CFF" w14:textId="77777777">
            <w:pPr>
              <w:pStyle w:val="TableParagraph"/>
              <w:spacing w:before="0"/>
              <w:rPr>
                <w:sz w:val="20"/>
              </w:rPr>
            </w:pPr>
          </w:p>
          <w:p w:rsidR="00C31389" w:rsidRDefault="00C31389" w14:paraId="35F9C7CA" w14:textId="77777777">
            <w:pPr>
              <w:pStyle w:val="TableParagraph"/>
              <w:spacing w:before="0"/>
              <w:rPr>
                <w:sz w:val="20"/>
              </w:rPr>
            </w:pPr>
          </w:p>
          <w:p w:rsidR="00C31389" w:rsidRDefault="00C31389" w14:paraId="4A727277" w14:textId="77777777">
            <w:pPr>
              <w:pStyle w:val="TableParagraph"/>
              <w:spacing w:before="0"/>
              <w:rPr>
                <w:sz w:val="20"/>
              </w:rPr>
            </w:pPr>
          </w:p>
          <w:p w:rsidR="00C31389" w:rsidRDefault="00C31389" w14:paraId="239E1028" w14:textId="77777777">
            <w:pPr>
              <w:pStyle w:val="TableParagraph"/>
              <w:spacing w:before="0"/>
              <w:rPr>
                <w:sz w:val="20"/>
              </w:rPr>
            </w:pPr>
          </w:p>
          <w:p w:rsidR="00C31389" w:rsidRDefault="00C31389" w14:paraId="01DE889B" w14:textId="77777777">
            <w:pPr>
              <w:pStyle w:val="TableParagraph"/>
              <w:spacing w:before="0"/>
              <w:rPr>
                <w:sz w:val="20"/>
              </w:rPr>
            </w:pPr>
          </w:p>
          <w:p w:rsidR="00C31389" w:rsidRDefault="00C31389" w14:paraId="512B4D04" w14:textId="77777777">
            <w:pPr>
              <w:pStyle w:val="TableParagraph"/>
              <w:spacing w:before="0"/>
              <w:rPr>
                <w:sz w:val="27"/>
              </w:rPr>
            </w:pPr>
          </w:p>
          <w:p w:rsidR="00C31389" w:rsidRDefault="00561FBD" w14:paraId="053680D4" w14:textId="77777777">
            <w:pPr>
              <w:pStyle w:val="TableParagraph"/>
              <w:spacing w:before="1"/>
              <w:ind w:left="116"/>
              <w:rPr>
                <w:b/>
                <w:sz w:val="18"/>
              </w:rPr>
            </w:pPr>
            <w:r>
              <w:rPr>
                <w:b/>
                <w:sz w:val="18"/>
              </w:rPr>
              <w:t>Fuel</w:t>
            </w:r>
            <w:r>
              <w:rPr>
                <w:b/>
                <w:spacing w:val="-1"/>
                <w:sz w:val="18"/>
              </w:rPr>
              <w:t xml:space="preserve"> </w:t>
            </w:r>
            <w:r>
              <w:rPr>
                <w:b/>
                <w:spacing w:val="-5"/>
                <w:sz w:val="18"/>
              </w:rPr>
              <w:t>Sub</w:t>
            </w:r>
          </w:p>
        </w:tc>
        <w:tc>
          <w:tcPr>
            <w:tcW w:w="1103" w:type="dxa"/>
            <w:tcBorders>
              <w:bottom w:val="single" w:color="94D500" w:sz="4" w:space="0"/>
            </w:tcBorders>
          </w:tcPr>
          <w:p w:rsidR="00C31389" w:rsidRDefault="00C31389" w14:paraId="16F8FE7D" w14:textId="77777777">
            <w:pPr>
              <w:pStyle w:val="TableParagraph"/>
              <w:spacing w:before="0"/>
              <w:rPr>
                <w:sz w:val="20"/>
              </w:rPr>
            </w:pPr>
          </w:p>
          <w:p w:rsidR="00C31389" w:rsidRDefault="00C31389" w14:paraId="6947C119" w14:textId="77777777">
            <w:pPr>
              <w:pStyle w:val="TableParagraph"/>
              <w:spacing w:before="0"/>
              <w:rPr>
                <w:sz w:val="20"/>
              </w:rPr>
            </w:pPr>
          </w:p>
          <w:p w:rsidR="00C31389" w:rsidRDefault="00C31389" w14:paraId="00C7C510" w14:textId="77777777">
            <w:pPr>
              <w:pStyle w:val="TableParagraph"/>
              <w:spacing w:before="0"/>
              <w:rPr>
                <w:sz w:val="20"/>
              </w:rPr>
            </w:pPr>
          </w:p>
          <w:p w:rsidR="00C31389" w:rsidRDefault="00C31389" w14:paraId="0ADF9649" w14:textId="77777777">
            <w:pPr>
              <w:pStyle w:val="TableParagraph"/>
              <w:spacing w:before="0"/>
              <w:rPr>
                <w:sz w:val="20"/>
              </w:rPr>
            </w:pPr>
          </w:p>
          <w:p w:rsidR="00C31389" w:rsidRDefault="00C31389" w14:paraId="3E952D16" w14:textId="77777777">
            <w:pPr>
              <w:pStyle w:val="TableParagraph"/>
              <w:spacing w:before="0"/>
              <w:rPr>
                <w:sz w:val="20"/>
              </w:rPr>
            </w:pPr>
          </w:p>
          <w:p w:rsidR="00C31389" w:rsidRDefault="00C31389" w14:paraId="7BEF7DAB" w14:textId="77777777">
            <w:pPr>
              <w:pStyle w:val="TableParagraph"/>
              <w:spacing w:before="0"/>
              <w:rPr>
                <w:sz w:val="20"/>
              </w:rPr>
            </w:pPr>
          </w:p>
          <w:p w:rsidR="00C31389" w:rsidRDefault="00C31389" w14:paraId="2DB4F505" w14:textId="77777777">
            <w:pPr>
              <w:pStyle w:val="TableParagraph"/>
              <w:spacing w:before="0"/>
              <w:rPr>
                <w:sz w:val="27"/>
              </w:rPr>
            </w:pPr>
          </w:p>
          <w:p w:rsidR="00C31389" w:rsidRDefault="00561FBD" w14:paraId="122889E0" w14:textId="77777777">
            <w:pPr>
              <w:pStyle w:val="TableParagraph"/>
              <w:spacing w:before="1"/>
              <w:ind w:left="147"/>
              <w:rPr>
                <w:sz w:val="18"/>
              </w:rPr>
            </w:pPr>
            <w:r>
              <w:rPr>
                <w:spacing w:val="-4"/>
                <w:sz w:val="18"/>
              </w:rPr>
              <w:t>SPAN</w:t>
            </w:r>
          </w:p>
        </w:tc>
        <w:tc>
          <w:tcPr>
            <w:tcW w:w="5409" w:type="dxa"/>
            <w:tcBorders>
              <w:bottom w:val="single" w:color="94D500" w:sz="4" w:space="0"/>
            </w:tcBorders>
          </w:tcPr>
          <w:p w:rsidR="00C31389" w:rsidRDefault="00561FBD" w14:paraId="383E0DAC" w14:textId="77777777">
            <w:pPr>
              <w:pStyle w:val="TableParagraph"/>
              <w:spacing w:before="35"/>
              <w:ind w:left="124" w:right="113" w:hanging="1"/>
              <w:rPr>
                <w:sz w:val="18"/>
              </w:rPr>
            </w:pPr>
            <w:r>
              <w:rPr>
                <w:sz w:val="18"/>
              </w:rPr>
              <w:t>The study should include the costs and benefits of smart panels: SPAN strongly believes that the study would be strengthened with the inclusion of a discussion of alternative technologies to traditional</w:t>
            </w:r>
            <w:r>
              <w:rPr>
                <w:spacing w:val="-5"/>
                <w:sz w:val="18"/>
              </w:rPr>
              <w:t xml:space="preserve"> </w:t>
            </w:r>
            <w:r>
              <w:rPr>
                <w:sz w:val="18"/>
              </w:rPr>
              <w:t>panel</w:t>
            </w:r>
            <w:r>
              <w:rPr>
                <w:spacing w:val="-5"/>
                <w:sz w:val="18"/>
              </w:rPr>
              <w:t xml:space="preserve"> </w:t>
            </w:r>
            <w:r>
              <w:rPr>
                <w:sz w:val="18"/>
              </w:rPr>
              <w:t>upgrades,</w:t>
            </w:r>
            <w:r>
              <w:rPr>
                <w:spacing w:val="-5"/>
                <w:sz w:val="18"/>
              </w:rPr>
              <w:t xml:space="preserve"> </w:t>
            </w:r>
            <w:r>
              <w:rPr>
                <w:sz w:val="18"/>
              </w:rPr>
              <w:t>including</w:t>
            </w:r>
            <w:r>
              <w:rPr>
                <w:spacing w:val="-6"/>
                <w:sz w:val="18"/>
              </w:rPr>
              <w:t xml:space="preserve"> </w:t>
            </w:r>
            <w:r>
              <w:rPr>
                <w:sz w:val="18"/>
              </w:rPr>
              <w:t>smart</w:t>
            </w:r>
            <w:r>
              <w:rPr>
                <w:spacing w:val="-5"/>
                <w:sz w:val="18"/>
              </w:rPr>
              <w:t xml:space="preserve"> </w:t>
            </w:r>
            <w:r>
              <w:rPr>
                <w:sz w:val="18"/>
              </w:rPr>
              <w:t>panels.</w:t>
            </w:r>
            <w:r>
              <w:rPr>
                <w:spacing w:val="-5"/>
                <w:sz w:val="18"/>
              </w:rPr>
              <w:t xml:space="preserve"> </w:t>
            </w:r>
            <w:r>
              <w:rPr>
                <w:sz w:val="18"/>
              </w:rPr>
              <w:t>A</w:t>
            </w:r>
            <w:r>
              <w:rPr>
                <w:spacing w:val="-5"/>
                <w:sz w:val="18"/>
              </w:rPr>
              <w:t xml:space="preserve"> </w:t>
            </w:r>
            <w:r>
              <w:rPr>
                <w:sz w:val="18"/>
              </w:rPr>
              <w:t>smart</w:t>
            </w:r>
            <w:r>
              <w:rPr>
                <w:spacing w:val="-6"/>
                <w:sz w:val="18"/>
              </w:rPr>
              <w:t xml:space="preserve"> </w:t>
            </w:r>
            <w:r>
              <w:rPr>
                <w:sz w:val="18"/>
              </w:rPr>
              <w:t>panel can be installed in approximately the same amount of time as a traditional panel and deliver equivalent functionality as an upgraded 200 amp service, with no need for utility service line, pole, or transformer replacement, keeping the costs to consu</w:t>
            </w:r>
            <w:r>
              <w:rPr>
                <w:sz w:val="18"/>
              </w:rPr>
              <w:t>mers and the utility at just the cost of the hardware (SPAN’s</w:t>
            </w:r>
            <w:r>
              <w:rPr>
                <w:spacing w:val="-2"/>
                <w:sz w:val="18"/>
              </w:rPr>
              <w:t xml:space="preserve"> </w:t>
            </w:r>
            <w:r>
              <w:rPr>
                <w:sz w:val="18"/>
              </w:rPr>
              <w:t>MSRP</w:t>
            </w:r>
            <w:r>
              <w:rPr>
                <w:spacing w:val="-2"/>
                <w:sz w:val="18"/>
              </w:rPr>
              <w:t xml:space="preserve"> </w:t>
            </w:r>
            <w:r>
              <w:rPr>
                <w:sz w:val="18"/>
              </w:rPr>
              <w:t>is</w:t>
            </w:r>
            <w:r>
              <w:rPr>
                <w:spacing w:val="-2"/>
                <w:sz w:val="18"/>
              </w:rPr>
              <w:t xml:space="preserve"> </w:t>
            </w:r>
            <w:r>
              <w:rPr>
                <w:sz w:val="18"/>
              </w:rPr>
              <w:t>$4,500)</w:t>
            </w:r>
            <w:r>
              <w:rPr>
                <w:spacing w:val="-1"/>
                <w:sz w:val="18"/>
              </w:rPr>
              <w:t xml:space="preserve"> </w:t>
            </w:r>
            <w:r>
              <w:rPr>
                <w:sz w:val="18"/>
              </w:rPr>
              <w:t>and</w:t>
            </w:r>
            <w:r>
              <w:rPr>
                <w:spacing w:val="-3"/>
                <w:sz w:val="18"/>
              </w:rPr>
              <w:t xml:space="preserve"> </w:t>
            </w:r>
            <w:r>
              <w:rPr>
                <w:sz w:val="18"/>
              </w:rPr>
              <w:t>installation.</w:t>
            </w:r>
            <w:r>
              <w:rPr>
                <w:spacing w:val="-2"/>
                <w:sz w:val="18"/>
              </w:rPr>
              <w:t xml:space="preserve"> </w:t>
            </w:r>
            <w:r>
              <w:rPr>
                <w:sz w:val="18"/>
              </w:rPr>
              <w:t>And,</w:t>
            </w:r>
            <w:r>
              <w:rPr>
                <w:spacing w:val="-2"/>
                <w:sz w:val="18"/>
              </w:rPr>
              <w:t xml:space="preserve"> </w:t>
            </w:r>
            <w:r>
              <w:rPr>
                <w:sz w:val="18"/>
              </w:rPr>
              <w:t>as</w:t>
            </w:r>
            <w:r>
              <w:rPr>
                <w:spacing w:val="-2"/>
                <w:sz w:val="18"/>
              </w:rPr>
              <w:t xml:space="preserve"> </w:t>
            </w:r>
            <w:r>
              <w:rPr>
                <w:sz w:val="18"/>
              </w:rPr>
              <w:t>noted</w:t>
            </w:r>
            <w:r>
              <w:rPr>
                <w:spacing w:val="-3"/>
                <w:sz w:val="18"/>
              </w:rPr>
              <w:t xml:space="preserve"> </w:t>
            </w:r>
            <w:r>
              <w:rPr>
                <w:sz w:val="18"/>
              </w:rPr>
              <w:t>above, the</w:t>
            </w:r>
            <w:r>
              <w:rPr>
                <w:spacing w:val="-3"/>
                <w:sz w:val="18"/>
              </w:rPr>
              <w:t xml:space="preserve"> </w:t>
            </w:r>
            <w:r>
              <w:rPr>
                <w:sz w:val="18"/>
              </w:rPr>
              <w:t>costs</w:t>
            </w:r>
            <w:r>
              <w:rPr>
                <w:spacing w:val="-2"/>
                <w:sz w:val="18"/>
              </w:rPr>
              <w:t xml:space="preserve"> </w:t>
            </w:r>
            <w:r>
              <w:rPr>
                <w:sz w:val="18"/>
              </w:rPr>
              <w:t>avoided</w:t>
            </w:r>
            <w:r>
              <w:rPr>
                <w:spacing w:val="-3"/>
                <w:sz w:val="18"/>
              </w:rPr>
              <w:t xml:space="preserve"> </w:t>
            </w:r>
            <w:r>
              <w:rPr>
                <w:sz w:val="18"/>
              </w:rPr>
              <w:t>by</w:t>
            </w:r>
            <w:r>
              <w:rPr>
                <w:spacing w:val="-2"/>
                <w:sz w:val="18"/>
              </w:rPr>
              <w:t xml:space="preserve"> </w:t>
            </w:r>
            <w:r>
              <w:rPr>
                <w:sz w:val="18"/>
              </w:rPr>
              <w:t>the</w:t>
            </w:r>
            <w:r>
              <w:rPr>
                <w:spacing w:val="-2"/>
                <w:sz w:val="18"/>
              </w:rPr>
              <w:t xml:space="preserve"> </w:t>
            </w:r>
            <w:r>
              <w:rPr>
                <w:sz w:val="18"/>
              </w:rPr>
              <w:t>smart</w:t>
            </w:r>
            <w:r>
              <w:rPr>
                <w:spacing w:val="-2"/>
                <w:sz w:val="18"/>
              </w:rPr>
              <w:t xml:space="preserve"> </w:t>
            </w:r>
            <w:r>
              <w:rPr>
                <w:sz w:val="18"/>
              </w:rPr>
              <w:t>panel</w:t>
            </w:r>
            <w:r>
              <w:rPr>
                <w:spacing w:val="-2"/>
                <w:sz w:val="18"/>
              </w:rPr>
              <w:t xml:space="preserve"> </w:t>
            </w:r>
            <w:r>
              <w:rPr>
                <w:sz w:val="18"/>
              </w:rPr>
              <w:t>can</w:t>
            </w:r>
            <w:r>
              <w:rPr>
                <w:spacing w:val="-3"/>
                <w:sz w:val="18"/>
              </w:rPr>
              <w:t xml:space="preserve"> </w:t>
            </w:r>
            <w:r>
              <w:rPr>
                <w:sz w:val="18"/>
              </w:rPr>
              <w:t>be</w:t>
            </w:r>
            <w:r>
              <w:rPr>
                <w:spacing w:val="-1"/>
                <w:sz w:val="18"/>
              </w:rPr>
              <w:t xml:space="preserve"> </w:t>
            </w:r>
            <w:r>
              <w:rPr>
                <w:sz w:val="18"/>
              </w:rPr>
              <w:t>significant,</w:t>
            </w:r>
            <w:r>
              <w:rPr>
                <w:spacing w:val="-1"/>
                <w:sz w:val="18"/>
              </w:rPr>
              <w:t xml:space="preserve"> </w:t>
            </w:r>
            <w:r>
              <w:rPr>
                <w:spacing w:val="-2"/>
                <w:sz w:val="18"/>
              </w:rPr>
              <w:t>reaching</w:t>
            </w:r>
          </w:p>
          <w:p w:rsidR="00C31389" w:rsidRDefault="00561FBD" w14:paraId="3F9F5B46" w14:textId="77777777">
            <w:pPr>
              <w:pStyle w:val="TableParagraph"/>
              <w:spacing w:before="0"/>
              <w:ind w:left="124" w:right="142"/>
              <w:rPr>
                <w:sz w:val="18"/>
              </w:rPr>
            </w:pPr>
            <w:r>
              <w:rPr>
                <w:sz w:val="18"/>
              </w:rPr>
              <w:t xml:space="preserve">$30,000 or more, and the length of time to home electrification can also </w:t>
            </w:r>
            <w:r>
              <w:rPr>
                <w:sz w:val="18"/>
              </w:rPr>
              <w:t>be reduced by up to six months with this technology. We</w:t>
            </w:r>
            <w:r>
              <w:rPr>
                <w:spacing w:val="-7"/>
                <w:sz w:val="18"/>
              </w:rPr>
              <w:t xml:space="preserve"> </w:t>
            </w:r>
            <w:r>
              <w:rPr>
                <w:sz w:val="18"/>
              </w:rPr>
              <w:t>encourage</w:t>
            </w:r>
            <w:r>
              <w:rPr>
                <w:spacing w:val="-7"/>
                <w:sz w:val="18"/>
              </w:rPr>
              <w:t xml:space="preserve"> </w:t>
            </w:r>
            <w:r>
              <w:rPr>
                <w:sz w:val="18"/>
              </w:rPr>
              <w:t>Guidehouse</w:t>
            </w:r>
            <w:r>
              <w:rPr>
                <w:spacing w:val="-7"/>
                <w:sz w:val="18"/>
              </w:rPr>
              <w:t xml:space="preserve"> </w:t>
            </w:r>
            <w:r>
              <w:rPr>
                <w:sz w:val="18"/>
              </w:rPr>
              <w:t>to</w:t>
            </w:r>
            <w:r>
              <w:rPr>
                <w:spacing w:val="-7"/>
                <w:sz w:val="18"/>
              </w:rPr>
              <w:t xml:space="preserve"> </w:t>
            </w:r>
            <w:r>
              <w:rPr>
                <w:sz w:val="18"/>
              </w:rPr>
              <w:t>include</w:t>
            </w:r>
            <w:r>
              <w:rPr>
                <w:spacing w:val="-7"/>
                <w:sz w:val="18"/>
              </w:rPr>
              <w:t xml:space="preserve"> </w:t>
            </w:r>
            <w:r>
              <w:rPr>
                <w:sz w:val="18"/>
              </w:rPr>
              <w:t>acknowledgement</w:t>
            </w:r>
            <w:r>
              <w:rPr>
                <w:spacing w:val="-6"/>
                <w:sz w:val="18"/>
              </w:rPr>
              <w:t xml:space="preserve"> </w:t>
            </w:r>
            <w:r>
              <w:rPr>
                <w:sz w:val="18"/>
              </w:rPr>
              <w:t>of</w:t>
            </w:r>
            <w:r>
              <w:rPr>
                <w:spacing w:val="-6"/>
                <w:sz w:val="18"/>
              </w:rPr>
              <w:t xml:space="preserve"> </w:t>
            </w:r>
            <w:r>
              <w:rPr>
                <w:sz w:val="18"/>
              </w:rPr>
              <w:t>the potential</w:t>
            </w:r>
            <w:r>
              <w:rPr>
                <w:spacing w:val="-2"/>
                <w:sz w:val="18"/>
              </w:rPr>
              <w:t xml:space="preserve"> </w:t>
            </w:r>
            <w:r>
              <w:rPr>
                <w:sz w:val="18"/>
              </w:rPr>
              <w:t>option</w:t>
            </w:r>
            <w:r>
              <w:rPr>
                <w:spacing w:val="-1"/>
                <w:sz w:val="18"/>
              </w:rPr>
              <w:t xml:space="preserve"> </w:t>
            </w:r>
            <w:r>
              <w:rPr>
                <w:sz w:val="18"/>
              </w:rPr>
              <w:t>to</w:t>
            </w:r>
            <w:r>
              <w:rPr>
                <w:spacing w:val="-3"/>
                <w:sz w:val="18"/>
              </w:rPr>
              <w:t xml:space="preserve"> </w:t>
            </w:r>
            <w:r>
              <w:rPr>
                <w:sz w:val="18"/>
              </w:rPr>
              <w:t>use</w:t>
            </w:r>
            <w:r>
              <w:rPr>
                <w:spacing w:val="-3"/>
                <w:sz w:val="18"/>
              </w:rPr>
              <w:t xml:space="preserve"> </w:t>
            </w:r>
            <w:r>
              <w:rPr>
                <w:sz w:val="18"/>
              </w:rPr>
              <w:t>smart</w:t>
            </w:r>
            <w:r>
              <w:rPr>
                <w:spacing w:val="-2"/>
                <w:sz w:val="18"/>
              </w:rPr>
              <w:t xml:space="preserve"> </w:t>
            </w:r>
            <w:r>
              <w:rPr>
                <w:sz w:val="18"/>
              </w:rPr>
              <w:t>panels</w:t>
            </w:r>
            <w:r>
              <w:rPr>
                <w:spacing w:val="-2"/>
                <w:sz w:val="18"/>
              </w:rPr>
              <w:t xml:space="preserve"> </w:t>
            </w:r>
            <w:r>
              <w:rPr>
                <w:sz w:val="18"/>
              </w:rPr>
              <w:t>as</w:t>
            </w:r>
            <w:r>
              <w:rPr>
                <w:spacing w:val="-2"/>
                <w:sz w:val="18"/>
              </w:rPr>
              <w:t xml:space="preserve"> </w:t>
            </w:r>
            <w:r>
              <w:rPr>
                <w:sz w:val="18"/>
              </w:rPr>
              <w:t>a</w:t>
            </w:r>
            <w:r>
              <w:rPr>
                <w:spacing w:val="-3"/>
                <w:sz w:val="18"/>
              </w:rPr>
              <w:t xml:space="preserve"> </w:t>
            </w:r>
            <w:r>
              <w:rPr>
                <w:sz w:val="18"/>
              </w:rPr>
              <w:t>time-saving</w:t>
            </w:r>
            <w:r>
              <w:rPr>
                <w:spacing w:val="-3"/>
                <w:sz w:val="18"/>
              </w:rPr>
              <w:t xml:space="preserve"> </w:t>
            </w:r>
            <w:r>
              <w:rPr>
                <w:sz w:val="18"/>
              </w:rPr>
              <w:t>and</w:t>
            </w:r>
            <w:r>
              <w:rPr>
                <w:spacing w:val="-3"/>
                <w:sz w:val="18"/>
              </w:rPr>
              <w:t xml:space="preserve"> </w:t>
            </w:r>
            <w:r>
              <w:rPr>
                <w:sz w:val="18"/>
              </w:rPr>
              <w:t xml:space="preserve">cost- effective alternative when considering the upgrades needed to electrify a </w:t>
            </w:r>
            <w:r>
              <w:rPr>
                <w:sz w:val="18"/>
              </w:rPr>
              <w:t>home.</w:t>
            </w:r>
          </w:p>
        </w:tc>
        <w:tc>
          <w:tcPr>
            <w:tcW w:w="3422" w:type="dxa"/>
            <w:tcBorders>
              <w:bottom w:val="single" w:color="94D500" w:sz="4" w:space="0"/>
            </w:tcBorders>
          </w:tcPr>
          <w:p w:rsidR="00C31389" w:rsidRDefault="00C31389" w14:paraId="5F7D5376" w14:textId="77777777">
            <w:pPr>
              <w:pStyle w:val="TableParagraph"/>
              <w:spacing w:before="0"/>
              <w:rPr>
                <w:sz w:val="20"/>
              </w:rPr>
            </w:pPr>
          </w:p>
          <w:p w:rsidR="00C31389" w:rsidRDefault="00C31389" w14:paraId="65F7B732" w14:textId="77777777">
            <w:pPr>
              <w:pStyle w:val="TableParagraph"/>
              <w:spacing w:before="0"/>
              <w:rPr>
                <w:sz w:val="20"/>
              </w:rPr>
            </w:pPr>
          </w:p>
          <w:p w:rsidR="00C31389" w:rsidRDefault="00C31389" w14:paraId="6B3BF77E" w14:textId="77777777">
            <w:pPr>
              <w:pStyle w:val="TableParagraph"/>
              <w:spacing w:before="0"/>
              <w:rPr>
                <w:sz w:val="20"/>
              </w:rPr>
            </w:pPr>
          </w:p>
          <w:p w:rsidR="00C31389" w:rsidRDefault="00C31389" w14:paraId="7692800D" w14:textId="77777777">
            <w:pPr>
              <w:pStyle w:val="TableParagraph"/>
              <w:spacing w:before="0"/>
              <w:rPr>
                <w:sz w:val="20"/>
              </w:rPr>
            </w:pPr>
          </w:p>
          <w:p w:rsidR="00C31389" w:rsidRDefault="00561FBD" w14:paraId="6D47667C" w14:textId="77777777">
            <w:pPr>
              <w:pStyle w:val="TableParagraph"/>
              <w:spacing w:before="149"/>
              <w:ind w:left="115" w:right="194"/>
              <w:rPr>
                <w:sz w:val="18"/>
              </w:rPr>
            </w:pPr>
            <w:r>
              <w:rPr>
                <w:sz w:val="18"/>
              </w:rPr>
              <w:t>The panel upgrade cost assumption in this study is technology-agnostic and does not preclude the use of a smart panel in place of a traditional electric panel.</w:t>
            </w:r>
            <w:r>
              <w:rPr>
                <w:spacing w:val="-6"/>
                <w:sz w:val="18"/>
              </w:rPr>
              <w:t xml:space="preserve"> </w:t>
            </w:r>
            <w:r>
              <w:rPr>
                <w:sz w:val="18"/>
              </w:rPr>
              <w:t>Any</w:t>
            </w:r>
            <w:r>
              <w:rPr>
                <w:spacing w:val="-6"/>
                <w:sz w:val="18"/>
              </w:rPr>
              <w:t xml:space="preserve"> </w:t>
            </w:r>
            <w:r>
              <w:rPr>
                <w:sz w:val="18"/>
              </w:rPr>
              <w:t>benefit</w:t>
            </w:r>
            <w:r>
              <w:rPr>
                <w:spacing w:val="-6"/>
                <w:sz w:val="18"/>
              </w:rPr>
              <w:t xml:space="preserve"> </w:t>
            </w:r>
            <w:r>
              <w:rPr>
                <w:sz w:val="18"/>
              </w:rPr>
              <w:t>should</w:t>
            </w:r>
            <w:r>
              <w:rPr>
                <w:spacing w:val="-7"/>
                <w:sz w:val="18"/>
              </w:rPr>
              <w:t xml:space="preserve"> </w:t>
            </w:r>
            <w:r>
              <w:rPr>
                <w:sz w:val="18"/>
              </w:rPr>
              <w:t>be</w:t>
            </w:r>
            <w:r>
              <w:rPr>
                <w:spacing w:val="-7"/>
                <w:sz w:val="18"/>
              </w:rPr>
              <w:t xml:space="preserve"> </w:t>
            </w:r>
            <w:r>
              <w:rPr>
                <w:sz w:val="18"/>
              </w:rPr>
              <w:t>tied</w:t>
            </w:r>
            <w:r>
              <w:rPr>
                <w:spacing w:val="-7"/>
                <w:sz w:val="18"/>
              </w:rPr>
              <w:t xml:space="preserve"> </w:t>
            </w:r>
            <w:r>
              <w:rPr>
                <w:sz w:val="18"/>
              </w:rPr>
              <w:t>to</w:t>
            </w:r>
            <w:r>
              <w:rPr>
                <w:spacing w:val="-7"/>
                <w:sz w:val="18"/>
              </w:rPr>
              <w:t xml:space="preserve"> </w:t>
            </w:r>
            <w:r>
              <w:rPr>
                <w:sz w:val="18"/>
              </w:rPr>
              <w:t xml:space="preserve">the co-benefits with DR and DR is not in this </w:t>
            </w:r>
            <w:r>
              <w:rPr>
                <w:sz w:val="18"/>
              </w:rPr>
              <w:t>study.</w:t>
            </w:r>
          </w:p>
        </w:tc>
      </w:tr>
      <w:tr w:rsidR="00C31389" w14:paraId="57F97C1D" w14:textId="77777777">
        <w:trPr>
          <w:trHeight w:val="4139"/>
        </w:trPr>
        <w:tc>
          <w:tcPr>
            <w:tcW w:w="1674" w:type="dxa"/>
            <w:tcBorders>
              <w:top w:val="single" w:color="94D500" w:sz="4" w:space="0"/>
              <w:bottom w:val="single" w:color="94D500" w:sz="4" w:space="0"/>
            </w:tcBorders>
          </w:tcPr>
          <w:p w:rsidR="00C31389" w:rsidRDefault="00C31389" w14:paraId="40F3F80D" w14:textId="77777777">
            <w:pPr>
              <w:pStyle w:val="TableParagraph"/>
              <w:spacing w:before="0"/>
              <w:rPr>
                <w:sz w:val="20"/>
              </w:rPr>
            </w:pPr>
          </w:p>
          <w:p w:rsidR="00C31389" w:rsidRDefault="00C31389" w14:paraId="6A7FEA54" w14:textId="77777777">
            <w:pPr>
              <w:pStyle w:val="TableParagraph"/>
              <w:spacing w:before="0"/>
              <w:rPr>
                <w:sz w:val="20"/>
              </w:rPr>
            </w:pPr>
          </w:p>
          <w:p w:rsidR="00C31389" w:rsidRDefault="00C31389" w14:paraId="484D9007" w14:textId="77777777">
            <w:pPr>
              <w:pStyle w:val="TableParagraph"/>
              <w:spacing w:before="0"/>
              <w:rPr>
                <w:sz w:val="20"/>
              </w:rPr>
            </w:pPr>
          </w:p>
          <w:p w:rsidR="00C31389" w:rsidRDefault="00C31389" w14:paraId="629B2B84" w14:textId="77777777">
            <w:pPr>
              <w:pStyle w:val="TableParagraph"/>
              <w:spacing w:before="0"/>
              <w:rPr>
                <w:sz w:val="20"/>
              </w:rPr>
            </w:pPr>
          </w:p>
          <w:p w:rsidR="00C31389" w:rsidRDefault="00C31389" w14:paraId="75E15206" w14:textId="77777777">
            <w:pPr>
              <w:pStyle w:val="TableParagraph"/>
              <w:spacing w:before="0"/>
              <w:rPr>
                <w:sz w:val="20"/>
              </w:rPr>
            </w:pPr>
          </w:p>
          <w:p w:rsidR="00C31389" w:rsidRDefault="00C31389" w14:paraId="60149FAC" w14:textId="77777777">
            <w:pPr>
              <w:pStyle w:val="TableParagraph"/>
              <w:spacing w:before="0"/>
              <w:rPr>
                <w:sz w:val="20"/>
              </w:rPr>
            </w:pPr>
          </w:p>
          <w:p w:rsidR="00C31389" w:rsidRDefault="00C31389" w14:paraId="123E6E1E" w14:textId="77777777">
            <w:pPr>
              <w:pStyle w:val="TableParagraph"/>
              <w:spacing w:before="0"/>
              <w:rPr>
                <w:sz w:val="20"/>
              </w:rPr>
            </w:pPr>
          </w:p>
          <w:p w:rsidR="00C31389" w:rsidRDefault="00C31389" w14:paraId="00132635" w14:textId="77777777">
            <w:pPr>
              <w:pStyle w:val="TableParagraph"/>
              <w:spacing w:before="11"/>
              <w:rPr>
                <w:sz w:val="21"/>
              </w:rPr>
            </w:pPr>
          </w:p>
          <w:p w:rsidR="00C31389" w:rsidRDefault="00561FBD" w14:paraId="79AD604B" w14:textId="77777777">
            <w:pPr>
              <w:pStyle w:val="TableParagraph"/>
              <w:spacing w:before="0"/>
              <w:ind w:left="116"/>
              <w:rPr>
                <w:b/>
                <w:sz w:val="18"/>
              </w:rPr>
            </w:pPr>
            <w:r>
              <w:rPr>
                <w:b/>
                <w:spacing w:val="-2"/>
                <w:sz w:val="18"/>
              </w:rPr>
              <w:t>Market Characterization</w:t>
            </w:r>
          </w:p>
        </w:tc>
        <w:tc>
          <w:tcPr>
            <w:tcW w:w="1103" w:type="dxa"/>
            <w:tcBorders>
              <w:top w:val="single" w:color="94D500" w:sz="4" w:space="0"/>
              <w:bottom w:val="single" w:color="94D500" w:sz="4" w:space="0"/>
            </w:tcBorders>
          </w:tcPr>
          <w:p w:rsidR="00C31389" w:rsidRDefault="00C31389" w14:paraId="0B54216D" w14:textId="77777777">
            <w:pPr>
              <w:pStyle w:val="TableParagraph"/>
              <w:spacing w:before="0"/>
              <w:rPr>
                <w:sz w:val="20"/>
              </w:rPr>
            </w:pPr>
          </w:p>
          <w:p w:rsidR="00C31389" w:rsidRDefault="00C31389" w14:paraId="3592FD62" w14:textId="77777777">
            <w:pPr>
              <w:pStyle w:val="TableParagraph"/>
              <w:spacing w:before="0"/>
              <w:rPr>
                <w:sz w:val="20"/>
              </w:rPr>
            </w:pPr>
          </w:p>
          <w:p w:rsidR="00C31389" w:rsidRDefault="00C31389" w14:paraId="630F6793" w14:textId="77777777">
            <w:pPr>
              <w:pStyle w:val="TableParagraph"/>
              <w:spacing w:before="0"/>
              <w:rPr>
                <w:sz w:val="20"/>
              </w:rPr>
            </w:pPr>
          </w:p>
          <w:p w:rsidR="00C31389" w:rsidRDefault="00C31389" w14:paraId="61055D79" w14:textId="77777777">
            <w:pPr>
              <w:pStyle w:val="TableParagraph"/>
              <w:spacing w:before="0"/>
              <w:rPr>
                <w:sz w:val="20"/>
              </w:rPr>
            </w:pPr>
          </w:p>
          <w:p w:rsidR="00C31389" w:rsidRDefault="00C31389" w14:paraId="25DFDA74" w14:textId="77777777">
            <w:pPr>
              <w:pStyle w:val="TableParagraph"/>
              <w:spacing w:before="0"/>
              <w:rPr>
                <w:sz w:val="20"/>
              </w:rPr>
            </w:pPr>
          </w:p>
          <w:p w:rsidR="00C31389" w:rsidRDefault="00C31389" w14:paraId="17CC5269" w14:textId="77777777">
            <w:pPr>
              <w:pStyle w:val="TableParagraph"/>
              <w:spacing w:before="0"/>
              <w:rPr>
                <w:sz w:val="20"/>
              </w:rPr>
            </w:pPr>
          </w:p>
          <w:p w:rsidR="00C31389" w:rsidRDefault="00C31389" w14:paraId="14823773" w14:textId="77777777">
            <w:pPr>
              <w:pStyle w:val="TableParagraph"/>
              <w:spacing w:before="0"/>
              <w:rPr>
                <w:sz w:val="20"/>
              </w:rPr>
            </w:pPr>
          </w:p>
          <w:p w:rsidR="00C31389" w:rsidRDefault="00C31389" w14:paraId="6295FE2F" w14:textId="77777777">
            <w:pPr>
              <w:pStyle w:val="TableParagraph"/>
              <w:spacing w:before="0"/>
              <w:rPr>
                <w:sz w:val="20"/>
              </w:rPr>
            </w:pPr>
          </w:p>
          <w:p w:rsidR="00C31389" w:rsidRDefault="00561FBD" w14:paraId="2F452EE3" w14:textId="77777777">
            <w:pPr>
              <w:pStyle w:val="TableParagraph"/>
              <w:spacing w:before="126"/>
              <w:ind w:left="147"/>
              <w:rPr>
                <w:sz w:val="18"/>
              </w:rPr>
            </w:pPr>
            <w:r>
              <w:rPr>
                <w:spacing w:val="-4"/>
                <w:sz w:val="18"/>
              </w:rPr>
              <w:t>SBUA</w:t>
            </w:r>
          </w:p>
        </w:tc>
        <w:tc>
          <w:tcPr>
            <w:tcW w:w="5409" w:type="dxa"/>
            <w:tcBorders>
              <w:top w:val="single" w:color="94D500" w:sz="4" w:space="0"/>
              <w:bottom w:val="single" w:color="94D500" w:sz="4" w:space="0"/>
            </w:tcBorders>
          </w:tcPr>
          <w:p w:rsidR="00C31389" w:rsidRDefault="00C31389" w14:paraId="0C247DD4" w14:textId="77777777">
            <w:pPr>
              <w:pStyle w:val="TableParagraph"/>
              <w:spacing w:before="0"/>
              <w:rPr>
                <w:sz w:val="20"/>
              </w:rPr>
            </w:pPr>
          </w:p>
          <w:p w:rsidR="00C31389" w:rsidRDefault="00C31389" w14:paraId="6EFBECCE" w14:textId="77777777">
            <w:pPr>
              <w:pStyle w:val="TableParagraph"/>
              <w:spacing w:before="0"/>
              <w:rPr>
                <w:sz w:val="20"/>
              </w:rPr>
            </w:pPr>
          </w:p>
          <w:p w:rsidR="00C31389" w:rsidRDefault="00C31389" w14:paraId="51B87CEB" w14:textId="77777777">
            <w:pPr>
              <w:pStyle w:val="TableParagraph"/>
              <w:spacing w:before="0"/>
              <w:rPr>
                <w:sz w:val="20"/>
              </w:rPr>
            </w:pPr>
          </w:p>
          <w:p w:rsidR="00C31389" w:rsidRDefault="00C31389" w14:paraId="2D9D145F" w14:textId="77777777">
            <w:pPr>
              <w:pStyle w:val="TableParagraph"/>
              <w:spacing w:before="11"/>
              <w:rPr>
                <w:sz w:val="29"/>
              </w:rPr>
            </w:pPr>
          </w:p>
          <w:p w:rsidR="00C31389" w:rsidRDefault="00561FBD" w14:paraId="7E23418C" w14:textId="77777777">
            <w:pPr>
              <w:pStyle w:val="TableParagraph"/>
              <w:spacing w:before="0"/>
              <w:ind w:left="124" w:right="113" w:hanging="1"/>
              <w:rPr>
                <w:sz w:val="18"/>
              </w:rPr>
            </w:pPr>
            <w:r>
              <w:rPr>
                <w:sz w:val="18"/>
              </w:rPr>
              <w:t>The market willingness model used to estimate openness to adopting</w:t>
            </w:r>
            <w:r>
              <w:rPr>
                <w:spacing w:val="-3"/>
                <w:sz w:val="18"/>
              </w:rPr>
              <w:t xml:space="preserve"> </w:t>
            </w:r>
            <w:r>
              <w:rPr>
                <w:sz w:val="18"/>
              </w:rPr>
              <w:t>new</w:t>
            </w:r>
            <w:r>
              <w:rPr>
                <w:spacing w:val="-2"/>
                <w:sz w:val="18"/>
              </w:rPr>
              <w:t xml:space="preserve"> </w:t>
            </w:r>
            <w:r>
              <w:rPr>
                <w:sz w:val="18"/>
              </w:rPr>
              <w:t>technologies</w:t>
            </w:r>
            <w:r>
              <w:rPr>
                <w:spacing w:val="-2"/>
                <w:sz w:val="18"/>
              </w:rPr>
              <w:t xml:space="preserve"> </w:t>
            </w:r>
            <w:r>
              <w:rPr>
                <w:sz w:val="18"/>
              </w:rPr>
              <w:t>excludes</w:t>
            </w:r>
            <w:r>
              <w:rPr>
                <w:spacing w:val="-2"/>
                <w:sz w:val="18"/>
              </w:rPr>
              <w:t xml:space="preserve"> </w:t>
            </w:r>
            <w:r>
              <w:rPr>
                <w:sz w:val="18"/>
              </w:rPr>
              <w:t>multifamily</w:t>
            </w:r>
            <w:r>
              <w:rPr>
                <w:spacing w:val="-2"/>
                <w:sz w:val="18"/>
              </w:rPr>
              <w:t xml:space="preserve"> </w:t>
            </w:r>
            <w:r>
              <w:rPr>
                <w:sz w:val="18"/>
              </w:rPr>
              <w:t>and</w:t>
            </w:r>
            <w:r>
              <w:rPr>
                <w:spacing w:val="-3"/>
                <w:sz w:val="18"/>
              </w:rPr>
              <w:t xml:space="preserve"> </w:t>
            </w:r>
            <w:r>
              <w:rPr>
                <w:sz w:val="18"/>
              </w:rPr>
              <w:t>commercial customers</w:t>
            </w:r>
            <w:r>
              <w:rPr>
                <w:spacing w:val="-4"/>
                <w:sz w:val="18"/>
              </w:rPr>
              <w:t xml:space="preserve"> </w:t>
            </w:r>
            <w:r>
              <w:rPr>
                <w:sz w:val="18"/>
              </w:rPr>
              <w:t>due</w:t>
            </w:r>
            <w:r>
              <w:rPr>
                <w:spacing w:val="-3"/>
                <w:sz w:val="18"/>
              </w:rPr>
              <w:t xml:space="preserve"> </w:t>
            </w:r>
            <w:r>
              <w:rPr>
                <w:sz w:val="18"/>
              </w:rPr>
              <w:t>to</w:t>
            </w:r>
            <w:r>
              <w:rPr>
                <w:spacing w:val="-5"/>
                <w:sz w:val="18"/>
              </w:rPr>
              <w:t xml:space="preserve"> </w:t>
            </w:r>
            <w:r>
              <w:rPr>
                <w:sz w:val="18"/>
              </w:rPr>
              <w:t>insufficient</w:t>
            </w:r>
            <w:r>
              <w:rPr>
                <w:spacing w:val="-3"/>
                <w:sz w:val="18"/>
              </w:rPr>
              <w:t xml:space="preserve"> </w:t>
            </w:r>
            <w:r>
              <w:rPr>
                <w:sz w:val="18"/>
              </w:rPr>
              <w:t>sample</w:t>
            </w:r>
            <w:r>
              <w:rPr>
                <w:spacing w:val="-5"/>
                <w:sz w:val="18"/>
              </w:rPr>
              <w:t xml:space="preserve"> </w:t>
            </w:r>
            <w:r>
              <w:rPr>
                <w:sz w:val="18"/>
              </w:rPr>
              <w:t>size.</w:t>
            </w:r>
            <w:r>
              <w:rPr>
                <w:spacing w:val="-4"/>
                <w:sz w:val="18"/>
              </w:rPr>
              <w:t xml:space="preserve"> </w:t>
            </w:r>
            <w:r>
              <w:rPr>
                <w:sz w:val="18"/>
              </w:rPr>
              <w:t>Yet,</w:t>
            </w:r>
            <w:r>
              <w:rPr>
                <w:spacing w:val="-4"/>
                <w:sz w:val="18"/>
              </w:rPr>
              <w:t xml:space="preserve"> </w:t>
            </w:r>
            <w:r>
              <w:rPr>
                <w:sz w:val="18"/>
              </w:rPr>
              <w:t>it</w:t>
            </w:r>
            <w:r>
              <w:rPr>
                <w:spacing w:val="-4"/>
                <w:sz w:val="18"/>
              </w:rPr>
              <w:t xml:space="preserve"> </w:t>
            </w:r>
            <w:r>
              <w:rPr>
                <w:sz w:val="18"/>
              </w:rPr>
              <w:t>is</w:t>
            </w:r>
            <w:r>
              <w:rPr>
                <w:spacing w:val="-4"/>
                <w:sz w:val="18"/>
              </w:rPr>
              <w:t xml:space="preserve"> </w:t>
            </w:r>
            <w:r>
              <w:rPr>
                <w:sz w:val="18"/>
              </w:rPr>
              <w:t>not</w:t>
            </w:r>
            <w:r>
              <w:rPr>
                <w:spacing w:val="-4"/>
                <w:sz w:val="18"/>
              </w:rPr>
              <w:t xml:space="preserve"> </w:t>
            </w:r>
            <w:r>
              <w:rPr>
                <w:sz w:val="18"/>
              </w:rPr>
              <w:t>clear</w:t>
            </w:r>
            <w:r>
              <w:rPr>
                <w:spacing w:val="-4"/>
                <w:sz w:val="18"/>
              </w:rPr>
              <w:t xml:space="preserve"> </w:t>
            </w:r>
            <w:r>
              <w:rPr>
                <w:sz w:val="18"/>
              </w:rPr>
              <w:t xml:space="preserve">how or </w:t>
            </w:r>
            <w:r>
              <w:rPr>
                <w:sz w:val="18"/>
              </w:rPr>
              <w:t>whether the PGS addressed this exclusion when anticipating commercial behavior. Small commercial customers and residential customers face different pressures and respond to different incentives. However, the PGS, at times, lumps them together without clear</w:t>
            </w:r>
            <w:r>
              <w:rPr>
                <w:sz w:val="18"/>
              </w:rPr>
              <w:t xml:space="preserve"> justification, such as when it treats them equivalent for EE rebates but recognizes different technology subcategories for industrial and commercial customers.</w:t>
            </w:r>
          </w:p>
        </w:tc>
        <w:tc>
          <w:tcPr>
            <w:tcW w:w="3422" w:type="dxa"/>
            <w:tcBorders>
              <w:top w:val="single" w:color="94D500" w:sz="4" w:space="0"/>
              <w:bottom w:val="single" w:color="94D500" w:sz="4" w:space="0"/>
            </w:tcBorders>
          </w:tcPr>
          <w:p w:rsidR="00C31389" w:rsidRDefault="00561FBD" w14:paraId="29968B2D" w14:textId="77777777">
            <w:pPr>
              <w:pStyle w:val="TableParagraph"/>
              <w:spacing w:before="0"/>
              <w:ind w:left="115" w:right="122"/>
              <w:rPr>
                <w:sz w:val="18"/>
              </w:rPr>
            </w:pPr>
            <w:r>
              <w:rPr>
                <w:sz w:val="18"/>
              </w:rPr>
              <w:t xml:space="preserve">The market adoption model uses separate values for EE vs. FS technology types. The 2021 Market </w:t>
            </w:r>
            <w:r>
              <w:rPr>
                <w:sz w:val="18"/>
              </w:rPr>
              <w:t>Adoption Study explains the research and analysis on the different technologies and value factors used to define the sector behaviors. For example, the commercial sector has different values to define adoption for EE versus FS. However, the commercial sect</w:t>
            </w:r>
            <w:r>
              <w:rPr>
                <w:sz w:val="18"/>
              </w:rPr>
              <w:t>or did not have sufficient data to differentiate between business</w:t>
            </w:r>
            <w:r>
              <w:rPr>
                <w:spacing w:val="-3"/>
                <w:sz w:val="18"/>
              </w:rPr>
              <w:t xml:space="preserve"> </w:t>
            </w:r>
            <w:r>
              <w:rPr>
                <w:sz w:val="18"/>
              </w:rPr>
              <w:t>types</w:t>
            </w:r>
            <w:r>
              <w:rPr>
                <w:spacing w:val="-2"/>
                <w:sz w:val="18"/>
              </w:rPr>
              <w:t xml:space="preserve"> </w:t>
            </w:r>
            <w:r>
              <w:rPr>
                <w:sz w:val="18"/>
              </w:rPr>
              <w:t>and</w:t>
            </w:r>
            <w:r>
              <w:rPr>
                <w:spacing w:val="-4"/>
                <w:sz w:val="18"/>
              </w:rPr>
              <w:t xml:space="preserve"> </w:t>
            </w:r>
            <w:r>
              <w:rPr>
                <w:sz w:val="18"/>
              </w:rPr>
              <w:t>sizes.</w:t>
            </w:r>
            <w:r>
              <w:rPr>
                <w:spacing w:val="-3"/>
                <w:sz w:val="18"/>
              </w:rPr>
              <w:t xml:space="preserve"> </w:t>
            </w:r>
            <w:r>
              <w:rPr>
                <w:sz w:val="18"/>
              </w:rPr>
              <w:t>Link</w:t>
            </w:r>
            <w:r>
              <w:rPr>
                <w:spacing w:val="-3"/>
                <w:sz w:val="18"/>
              </w:rPr>
              <w:t xml:space="preserve"> </w:t>
            </w:r>
            <w:r>
              <w:rPr>
                <w:sz w:val="18"/>
              </w:rPr>
              <w:t>to</w:t>
            </w:r>
            <w:r>
              <w:rPr>
                <w:spacing w:val="-4"/>
                <w:sz w:val="18"/>
              </w:rPr>
              <w:t xml:space="preserve"> </w:t>
            </w:r>
            <w:r>
              <w:rPr>
                <w:sz w:val="18"/>
              </w:rPr>
              <w:t xml:space="preserve">study: </w:t>
            </w:r>
            <w:r>
              <w:rPr>
                <w:spacing w:val="-2"/>
                <w:sz w:val="18"/>
              </w:rPr>
              <w:t>https</w:t>
            </w:r>
            <w:hyperlink r:id="rId355">
              <w:r>
                <w:rPr>
                  <w:spacing w:val="-2"/>
                  <w:sz w:val="18"/>
                </w:rPr>
                <w:t>://w</w:t>
              </w:r>
            </w:hyperlink>
            <w:r>
              <w:rPr>
                <w:spacing w:val="-2"/>
                <w:sz w:val="18"/>
              </w:rPr>
              <w:t>ww</w:t>
            </w:r>
            <w:hyperlink r:id="rId356">
              <w:r>
                <w:rPr>
                  <w:spacing w:val="-2"/>
                  <w:sz w:val="18"/>
                </w:rPr>
                <w:t>.c</w:t>
              </w:r>
            </w:hyperlink>
            <w:r>
              <w:rPr>
                <w:spacing w:val="-2"/>
                <w:sz w:val="18"/>
              </w:rPr>
              <w:t>p</w:t>
            </w:r>
            <w:hyperlink r:id="rId357">
              <w:r>
                <w:rPr>
                  <w:spacing w:val="-2"/>
                  <w:sz w:val="18"/>
                </w:rPr>
                <w:t>uc.ca.gov/-/media/cpuc-</w:t>
              </w:r>
            </w:hyperlink>
            <w:r>
              <w:rPr>
                <w:spacing w:val="-2"/>
                <w:sz w:val="18"/>
              </w:rPr>
              <w:t xml:space="preserve"> website/divisions/energy- division/documents/energy- efficiency/2021-potential-goals- study/market-adoptio</w:t>
            </w:r>
            <w:r>
              <w:rPr>
                <w:spacing w:val="-2"/>
                <w:sz w:val="18"/>
              </w:rPr>
              <w:t>n-report-</w:t>
            </w:r>
          </w:p>
          <w:p w:rsidR="00C31389" w:rsidRDefault="00561FBD" w14:paraId="0F6605CE" w14:textId="77777777">
            <w:pPr>
              <w:pStyle w:val="TableParagraph"/>
              <w:spacing w:before="0" w:line="200" w:lineRule="atLeast"/>
              <w:ind w:left="115"/>
              <w:rPr>
                <w:sz w:val="18"/>
              </w:rPr>
            </w:pPr>
            <w:r>
              <w:rPr>
                <w:spacing w:val="-2"/>
                <w:sz w:val="18"/>
              </w:rPr>
              <w:t>final.pdf?sc_lang=en&amp;hash=131848F75 C4A50EB35D9247F45FB4257</w:t>
            </w:r>
          </w:p>
        </w:tc>
      </w:tr>
    </w:tbl>
    <w:p w:rsidR="00C31389" w:rsidRDefault="00C31389" w14:paraId="191B3AEE" w14:textId="77777777">
      <w:pPr>
        <w:spacing w:line="200" w:lineRule="atLeast"/>
        <w:rPr>
          <w:sz w:val="18"/>
        </w:rPr>
        <w:sectPr w:rsidR="00C31389">
          <w:pgSz w:w="15840" w:h="12240" w:orient="landscape"/>
          <w:pgMar w:top="1660" w:right="2260" w:bottom="1120" w:left="1320" w:header="397" w:footer="936" w:gutter="0"/>
          <w:cols w:space="720"/>
        </w:sectPr>
      </w:pPr>
    </w:p>
    <w:p w:rsidR="00C31389" w:rsidRDefault="00C31389" w14:paraId="44B0807F" w14:textId="77777777">
      <w:pPr>
        <w:pStyle w:val="BodyText"/>
        <w:spacing w:before="6" w:after="1"/>
        <w:rPr>
          <w:sz w:val="21"/>
        </w:rPr>
      </w:pPr>
    </w:p>
    <w:tbl>
      <w:tblPr>
        <w:tblW w:w="0" w:type="auto"/>
        <w:tblInd w:w="124" w:type="dxa"/>
        <w:tblLayout w:type="fixed"/>
        <w:tblCellMar>
          <w:left w:w="0" w:type="dxa"/>
          <w:right w:w="0" w:type="dxa"/>
        </w:tblCellMar>
        <w:tblLook w:val="01E0" w:firstRow="1" w:lastRow="1" w:firstColumn="1" w:lastColumn="1" w:noHBand="0" w:noVBand="0"/>
      </w:tblPr>
      <w:tblGrid>
        <w:gridCol w:w="1674"/>
        <w:gridCol w:w="1103"/>
        <w:gridCol w:w="5410"/>
        <w:gridCol w:w="3422"/>
      </w:tblGrid>
      <w:tr w:rsidR="00C31389" w14:paraId="0C527864" w14:textId="77777777">
        <w:trPr>
          <w:trHeight w:val="261"/>
        </w:trPr>
        <w:tc>
          <w:tcPr>
            <w:tcW w:w="1674" w:type="dxa"/>
            <w:shd w:val="clear" w:color="auto" w:fill="94D500"/>
          </w:tcPr>
          <w:p w:rsidR="00C31389" w:rsidRDefault="00561FBD" w14:paraId="423E5F47" w14:textId="77777777">
            <w:pPr>
              <w:pStyle w:val="TableParagraph"/>
              <w:spacing w:before="26"/>
              <w:ind w:left="115"/>
              <w:rPr>
                <w:b/>
                <w:sz w:val="18"/>
              </w:rPr>
            </w:pPr>
            <w:r>
              <w:rPr>
                <w:b/>
                <w:spacing w:val="-2"/>
                <w:sz w:val="18"/>
              </w:rPr>
              <w:t>Subject</w:t>
            </w:r>
          </w:p>
        </w:tc>
        <w:tc>
          <w:tcPr>
            <w:tcW w:w="1103" w:type="dxa"/>
            <w:shd w:val="clear" w:color="auto" w:fill="94D500"/>
          </w:tcPr>
          <w:p w:rsidR="00C31389" w:rsidRDefault="00561FBD" w14:paraId="6DDA0A25" w14:textId="77777777">
            <w:pPr>
              <w:pStyle w:val="TableParagraph"/>
              <w:spacing w:before="26"/>
              <w:ind w:left="146"/>
              <w:rPr>
                <w:b/>
                <w:sz w:val="18"/>
              </w:rPr>
            </w:pPr>
            <w:r>
              <w:rPr>
                <w:b/>
                <w:spacing w:val="-2"/>
                <w:sz w:val="18"/>
              </w:rPr>
              <w:t>Affiliation</w:t>
            </w:r>
          </w:p>
        </w:tc>
        <w:tc>
          <w:tcPr>
            <w:tcW w:w="5410" w:type="dxa"/>
            <w:shd w:val="clear" w:color="auto" w:fill="94D500"/>
          </w:tcPr>
          <w:p w:rsidR="00C31389" w:rsidRDefault="00561FBD" w14:paraId="60C42819" w14:textId="77777777">
            <w:pPr>
              <w:pStyle w:val="TableParagraph"/>
              <w:spacing w:before="26"/>
              <w:ind w:left="123"/>
              <w:rPr>
                <w:b/>
                <w:sz w:val="18"/>
              </w:rPr>
            </w:pPr>
            <w:r>
              <w:rPr>
                <w:b/>
                <w:sz w:val="18"/>
              </w:rPr>
              <w:t>Summary</w:t>
            </w:r>
            <w:r>
              <w:rPr>
                <w:b/>
                <w:spacing w:val="-3"/>
                <w:sz w:val="18"/>
              </w:rPr>
              <w:t xml:space="preserve"> </w:t>
            </w:r>
            <w:r>
              <w:rPr>
                <w:b/>
                <w:sz w:val="18"/>
              </w:rPr>
              <w:t>of</w:t>
            </w:r>
            <w:r>
              <w:rPr>
                <w:b/>
                <w:spacing w:val="-2"/>
                <w:sz w:val="18"/>
              </w:rPr>
              <w:t xml:space="preserve"> Issue</w:t>
            </w:r>
          </w:p>
        </w:tc>
        <w:tc>
          <w:tcPr>
            <w:tcW w:w="3422" w:type="dxa"/>
            <w:shd w:val="clear" w:color="auto" w:fill="94D500"/>
          </w:tcPr>
          <w:p w:rsidR="00C31389" w:rsidRDefault="00561FBD" w14:paraId="60432E42" w14:textId="77777777">
            <w:pPr>
              <w:pStyle w:val="TableParagraph"/>
              <w:spacing w:before="26"/>
              <w:ind w:left="113"/>
              <w:rPr>
                <w:b/>
                <w:sz w:val="18"/>
              </w:rPr>
            </w:pPr>
            <w:r>
              <w:rPr>
                <w:b/>
                <w:sz w:val="18"/>
              </w:rPr>
              <w:t>Guidehouse</w:t>
            </w:r>
            <w:r>
              <w:rPr>
                <w:b/>
                <w:spacing w:val="-4"/>
                <w:sz w:val="18"/>
              </w:rPr>
              <w:t xml:space="preserve"> </w:t>
            </w:r>
            <w:r>
              <w:rPr>
                <w:b/>
                <w:spacing w:val="-2"/>
                <w:sz w:val="18"/>
              </w:rPr>
              <w:t>Response</w:t>
            </w:r>
          </w:p>
        </w:tc>
      </w:tr>
      <w:tr w:rsidR="00C31389" w14:paraId="067E61AF" w14:textId="77777777">
        <w:trPr>
          <w:trHeight w:val="2591"/>
        </w:trPr>
        <w:tc>
          <w:tcPr>
            <w:tcW w:w="1674" w:type="dxa"/>
            <w:tcBorders>
              <w:bottom w:val="single" w:color="94D500" w:sz="4" w:space="0"/>
            </w:tcBorders>
          </w:tcPr>
          <w:p w:rsidR="00C31389" w:rsidRDefault="00C31389" w14:paraId="52E142B5" w14:textId="77777777">
            <w:pPr>
              <w:pStyle w:val="TableParagraph"/>
              <w:spacing w:before="0"/>
              <w:rPr>
                <w:sz w:val="20"/>
              </w:rPr>
            </w:pPr>
          </w:p>
          <w:p w:rsidR="00C31389" w:rsidRDefault="00C31389" w14:paraId="26C9044E" w14:textId="77777777">
            <w:pPr>
              <w:pStyle w:val="TableParagraph"/>
              <w:spacing w:before="0"/>
              <w:rPr>
                <w:sz w:val="20"/>
              </w:rPr>
            </w:pPr>
          </w:p>
          <w:p w:rsidR="00C31389" w:rsidRDefault="00C31389" w14:paraId="08B6E30E" w14:textId="77777777">
            <w:pPr>
              <w:pStyle w:val="TableParagraph"/>
              <w:spacing w:before="0"/>
              <w:rPr>
                <w:sz w:val="20"/>
              </w:rPr>
            </w:pPr>
          </w:p>
          <w:p w:rsidR="00C31389" w:rsidRDefault="00C31389" w14:paraId="6B3144D5" w14:textId="77777777">
            <w:pPr>
              <w:pStyle w:val="TableParagraph"/>
              <w:spacing w:before="0"/>
              <w:rPr>
                <w:sz w:val="20"/>
              </w:rPr>
            </w:pPr>
          </w:p>
          <w:p w:rsidR="00C31389" w:rsidRDefault="00561FBD" w14:paraId="5C2A9AC9" w14:textId="77777777">
            <w:pPr>
              <w:pStyle w:val="TableParagraph"/>
              <w:spacing w:before="169"/>
              <w:ind w:left="115"/>
              <w:rPr>
                <w:b/>
                <w:sz w:val="18"/>
              </w:rPr>
            </w:pPr>
            <w:r>
              <w:rPr>
                <w:b/>
                <w:spacing w:val="-2"/>
                <w:sz w:val="18"/>
              </w:rPr>
              <w:t>Measure Characterization</w:t>
            </w:r>
          </w:p>
        </w:tc>
        <w:tc>
          <w:tcPr>
            <w:tcW w:w="1103" w:type="dxa"/>
            <w:tcBorders>
              <w:bottom w:val="single" w:color="94D500" w:sz="4" w:space="0"/>
            </w:tcBorders>
          </w:tcPr>
          <w:p w:rsidR="00C31389" w:rsidRDefault="00C31389" w14:paraId="6980F126" w14:textId="77777777">
            <w:pPr>
              <w:pStyle w:val="TableParagraph"/>
              <w:spacing w:before="0"/>
              <w:rPr>
                <w:sz w:val="20"/>
              </w:rPr>
            </w:pPr>
          </w:p>
          <w:p w:rsidR="00C31389" w:rsidRDefault="00C31389" w14:paraId="12B040BC" w14:textId="77777777">
            <w:pPr>
              <w:pStyle w:val="TableParagraph"/>
              <w:spacing w:before="0"/>
              <w:rPr>
                <w:sz w:val="20"/>
              </w:rPr>
            </w:pPr>
          </w:p>
          <w:p w:rsidR="00C31389" w:rsidRDefault="00C31389" w14:paraId="0EB01E6D" w14:textId="77777777">
            <w:pPr>
              <w:pStyle w:val="TableParagraph"/>
              <w:spacing w:before="0"/>
              <w:rPr>
                <w:sz w:val="20"/>
              </w:rPr>
            </w:pPr>
          </w:p>
          <w:p w:rsidR="00C31389" w:rsidRDefault="00C31389" w14:paraId="158C02EF" w14:textId="77777777">
            <w:pPr>
              <w:pStyle w:val="TableParagraph"/>
              <w:spacing w:before="0"/>
              <w:rPr>
                <w:sz w:val="20"/>
              </w:rPr>
            </w:pPr>
          </w:p>
          <w:p w:rsidR="00C31389" w:rsidRDefault="00C31389" w14:paraId="37593B4E" w14:textId="77777777">
            <w:pPr>
              <w:pStyle w:val="TableParagraph"/>
              <w:spacing w:before="7"/>
              <w:rPr>
                <w:sz w:val="23"/>
              </w:rPr>
            </w:pPr>
          </w:p>
          <w:p w:rsidR="00C31389" w:rsidRDefault="00561FBD" w14:paraId="7544E6D1" w14:textId="77777777">
            <w:pPr>
              <w:pStyle w:val="TableParagraph"/>
              <w:spacing w:before="0"/>
              <w:ind w:left="146"/>
              <w:rPr>
                <w:sz w:val="18"/>
              </w:rPr>
            </w:pPr>
            <w:r>
              <w:rPr>
                <w:spacing w:val="-4"/>
                <w:sz w:val="18"/>
              </w:rPr>
              <w:t>PG&amp;E</w:t>
            </w:r>
          </w:p>
        </w:tc>
        <w:tc>
          <w:tcPr>
            <w:tcW w:w="5410" w:type="dxa"/>
            <w:tcBorders>
              <w:bottom w:val="single" w:color="94D500" w:sz="4" w:space="0"/>
            </w:tcBorders>
          </w:tcPr>
          <w:p w:rsidR="00C31389" w:rsidRDefault="00561FBD" w14:paraId="6F57C4B4" w14:textId="77777777">
            <w:pPr>
              <w:pStyle w:val="TableParagraph"/>
              <w:spacing w:before="53"/>
              <w:ind w:left="123" w:right="164" w:hanging="1"/>
              <w:rPr>
                <w:sz w:val="18"/>
              </w:rPr>
            </w:pPr>
            <w:r>
              <w:rPr>
                <w:sz w:val="18"/>
              </w:rPr>
              <w:t>PG&amp;E</w:t>
            </w:r>
            <w:r>
              <w:rPr>
                <w:spacing w:val="-6"/>
                <w:sz w:val="18"/>
              </w:rPr>
              <w:t xml:space="preserve"> </w:t>
            </w:r>
            <w:r>
              <w:rPr>
                <w:sz w:val="18"/>
              </w:rPr>
              <w:t>recommends</w:t>
            </w:r>
            <w:r>
              <w:rPr>
                <w:spacing w:val="-6"/>
                <w:sz w:val="18"/>
              </w:rPr>
              <w:t xml:space="preserve"> </w:t>
            </w:r>
            <w:r>
              <w:rPr>
                <w:sz w:val="18"/>
              </w:rPr>
              <w:t>excluding</w:t>
            </w:r>
            <w:r>
              <w:rPr>
                <w:spacing w:val="-5"/>
                <w:sz w:val="18"/>
              </w:rPr>
              <w:t xml:space="preserve"> </w:t>
            </w:r>
            <w:r>
              <w:rPr>
                <w:sz w:val="18"/>
              </w:rPr>
              <w:t>the</w:t>
            </w:r>
            <w:r>
              <w:rPr>
                <w:spacing w:val="-7"/>
                <w:sz w:val="18"/>
              </w:rPr>
              <w:t xml:space="preserve"> </w:t>
            </w:r>
            <w:r>
              <w:rPr>
                <w:sz w:val="18"/>
              </w:rPr>
              <w:t>refrigerated</w:t>
            </w:r>
            <w:r>
              <w:rPr>
                <w:spacing w:val="-7"/>
                <w:sz w:val="18"/>
              </w:rPr>
              <w:t xml:space="preserve"> </w:t>
            </w:r>
            <w:r>
              <w:rPr>
                <w:sz w:val="18"/>
              </w:rPr>
              <w:t>display</w:t>
            </w:r>
            <w:r>
              <w:rPr>
                <w:spacing w:val="-6"/>
                <w:sz w:val="18"/>
              </w:rPr>
              <w:t xml:space="preserve"> </w:t>
            </w:r>
            <w:r>
              <w:rPr>
                <w:sz w:val="18"/>
              </w:rPr>
              <w:t>case</w:t>
            </w:r>
            <w:r>
              <w:rPr>
                <w:spacing w:val="-5"/>
                <w:sz w:val="18"/>
              </w:rPr>
              <w:t xml:space="preserve"> </w:t>
            </w:r>
            <w:r>
              <w:rPr>
                <w:sz w:val="18"/>
              </w:rPr>
              <w:t xml:space="preserve">LED </w:t>
            </w:r>
            <w:r>
              <w:rPr>
                <w:sz w:val="18"/>
              </w:rPr>
              <w:t>lighting</w:t>
            </w:r>
            <w:r>
              <w:rPr>
                <w:spacing w:val="-1"/>
                <w:sz w:val="18"/>
              </w:rPr>
              <w:t xml:space="preserve"> </w:t>
            </w:r>
            <w:r>
              <w:rPr>
                <w:sz w:val="18"/>
              </w:rPr>
              <w:t>measure</w:t>
            </w:r>
            <w:r>
              <w:rPr>
                <w:spacing w:val="-1"/>
                <w:sz w:val="18"/>
              </w:rPr>
              <w:t xml:space="preserve"> </w:t>
            </w:r>
            <w:r>
              <w:rPr>
                <w:sz w:val="18"/>
              </w:rPr>
              <w:t>from the</w:t>
            </w:r>
            <w:r>
              <w:rPr>
                <w:spacing w:val="-1"/>
                <w:sz w:val="18"/>
              </w:rPr>
              <w:t xml:space="preserve"> </w:t>
            </w:r>
            <w:r>
              <w:rPr>
                <w:sz w:val="18"/>
              </w:rPr>
              <w:t>2023</w:t>
            </w:r>
            <w:r>
              <w:rPr>
                <w:spacing w:val="-1"/>
                <w:sz w:val="18"/>
              </w:rPr>
              <w:t xml:space="preserve"> </w:t>
            </w:r>
            <w:r>
              <w:rPr>
                <w:sz w:val="18"/>
              </w:rPr>
              <w:t>PGS because</w:t>
            </w:r>
            <w:r>
              <w:rPr>
                <w:spacing w:val="-1"/>
                <w:sz w:val="18"/>
              </w:rPr>
              <w:t xml:space="preserve"> </w:t>
            </w:r>
            <w:r>
              <w:rPr>
                <w:sz w:val="18"/>
              </w:rPr>
              <w:t>industry standard practice (ISP) concerns limit the ability for PAs to claim TSB for this measure. The measure package for refrigerated display case LED lighting was retired in 2018 due to the limited availability</w:t>
            </w:r>
            <w:r>
              <w:rPr>
                <w:sz w:val="18"/>
              </w:rPr>
              <w:t xml:space="preserve"> of energy savings and poor cost-effectiveness from the measures because the market had mostly moved to using LED lighting in refrigerated cases. Offering to-code/to-standard- practice custom and meter-based measures for retrofitting refrigerated display c</w:t>
            </w:r>
            <w:r>
              <w:rPr>
                <w:sz w:val="18"/>
              </w:rPr>
              <w:t xml:space="preserve">ases with LED lighting does not appear viable due to limited market potential and poor cost- </w:t>
            </w:r>
            <w:r>
              <w:rPr>
                <w:spacing w:val="-2"/>
                <w:sz w:val="18"/>
              </w:rPr>
              <w:t>effectiveness.</w:t>
            </w:r>
          </w:p>
        </w:tc>
        <w:tc>
          <w:tcPr>
            <w:tcW w:w="3422" w:type="dxa"/>
            <w:tcBorders>
              <w:bottom w:val="single" w:color="94D500" w:sz="4" w:space="0"/>
            </w:tcBorders>
          </w:tcPr>
          <w:p w:rsidR="00C31389" w:rsidRDefault="00C31389" w14:paraId="15221312" w14:textId="77777777">
            <w:pPr>
              <w:pStyle w:val="TableParagraph"/>
              <w:spacing w:before="0"/>
              <w:rPr>
                <w:sz w:val="20"/>
              </w:rPr>
            </w:pPr>
          </w:p>
          <w:p w:rsidR="00C31389" w:rsidRDefault="00C31389" w14:paraId="57425FBF" w14:textId="77777777">
            <w:pPr>
              <w:pStyle w:val="TableParagraph"/>
              <w:spacing w:before="8"/>
              <w:rPr>
                <w:sz w:val="29"/>
              </w:rPr>
            </w:pPr>
          </w:p>
          <w:p w:rsidR="00C31389" w:rsidRDefault="00561FBD" w14:paraId="286003CC" w14:textId="77777777">
            <w:pPr>
              <w:pStyle w:val="TableParagraph"/>
              <w:spacing w:before="0"/>
              <w:ind w:left="113" w:right="122"/>
              <w:rPr>
                <w:sz w:val="18"/>
              </w:rPr>
            </w:pPr>
            <w:r>
              <w:rPr>
                <w:sz w:val="18"/>
              </w:rPr>
              <w:t>Guidehouse presented the measure list early in the study. No feedback was provided</w:t>
            </w:r>
            <w:r>
              <w:rPr>
                <w:spacing w:val="-3"/>
                <w:sz w:val="18"/>
              </w:rPr>
              <w:t xml:space="preserve"> </w:t>
            </w:r>
            <w:r>
              <w:rPr>
                <w:sz w:val="18"/>
              </w:rPr>
              <w:t>on</w:t>
            </w:r>
            <w:r>
              <w:rPr>
                <w:spacing w:val="-3"/>
                <w:sz w:val="18"/>
              </w:rPr>
              <w:t xml:space="preserve"> </w:t>
            </w:r>
            <w:r>
              <w:rPr>
                <w:sz w:val="18"/>
              </w:rPr>
              <w:t>these</w:t>
            </w:r>
            <w:r>
              <w:rPr>
                <w:spacing w:val="-3"/>
                <w:sz w:val="18"/>
              </w:rPr>
              <w:t xml:space="preserve"> </w:t>
            </w:r>
            <w:r>
              <w:rPr>
                <w:sz w:val="18"/>
              </w:rPr>
              <w:t>measures.</w:t>
            </w:r>
            <w:r>
              <w:rPr>
                <w:spacing w:val="-1"/>
                <w:sz w:val="18"/>
              </w:rPr>
              <w:t xml:space="preserve"> </w:t>
            </w:r>
            <w:r>
              <w:rPr>
                <w:sz w:val="18"/>
              </w:rPr>
              <w:t>For</w:t>
            </w:r>
            <w:r>
              <w:rPr>
                <w:spacing w:val="-2"/>
                <w:sz w:val="18"/>
              </w:rPr>
              <w:t xml:space="preserve"> </w:t>
            </w:r>
            <w:r>
              <w:rPr>
                <w:sz w:val="18"/>
              </w:rPr>
              <w:t>future studies,</w:t>
            </w:r>
            <w:r>
              <w:rPr>
                <w:spacing w:val="-8"/>
                <w:sz w:val="18"/>
              </w:rPr>
              <w:t xml:space="preserve"> </w:t>
            </w:r>
            <w:r>
              <w:rPr>
                <w:sz w:val="18"/>
              </w:rPr>
              <w:t>these</w:t>
            </w:r>
            <w:r>
              <w:rPr>
                <w:spacing w:val="-9"/>
                <w:sz w:val="18"/>
              </w:rPr>
              <w:t xml:space="preserve"> </w:t>
            </w:r>
            <w:r>
              <w:rPr>
                <w:sz w:val="18"/>
              </w:rPr>
              <w:t>measures</w:t>
            </w:r>
            <w:r>
              <w:rPr>
                <w:spacing w:val="-8"/>
                <w:sz w:val="18"/>
              </w:rPr>
              <w:t xml:space="preserve"> </w:t>
            </w:r>
            <w:r>
              <w:rPr>
                <w:sz w:val="18"/>
              </w:rPr>
              <w:t>can</w:t>
            </w:r>
            <w:r>
              <w:rPr>
                <w:spacing w:val="-7"/>
                <w:sz w:val="18"/>
              </w:rPr>
              <w:t xml:space="preserve"> </w:t>
            </w:r>
            <w:r>
              <w:rPr>
                <w:sz w:val="18"/>
              </w:rPr>
              <w:t>be</w:t>
            </w:r>
            <w:r>
              <w:rPr>
                <w:spacing w:val="-9"/>
                <w:sz w:val="18"/>
              </w:rPr>
              <w:t xml:space="preserve"> </w:t>
            </w:r>
            <w:r>
              <w:rPr>
                <w:sz w:val="18"/>
              </w:rPr>
              <w:t>fl</w:t>
            </w:r>
            <w:r>
              <w:rPr>
                <w:sz w:val="18"/>
              </w:rPr>
              <w:t>agged for review for potential removal. The latest DEER update has been incorporated into this measure.</w:t>
            </w:r>
          </w:p>
        </w:tc>
      </w:tr>
      <w:tr w:rsidR="00C31389" w14:paraId="082DBD11" w14:textId="77777777">
        <w:trPr>
          <w:trHeight w:val="3725"/>
        </w:trPr>
        <w:tc>
          <w:tcPr>
            <w:tcW w:w="1674" w:type="dxa"/>
            <w:tcBorders>
              <w:top w:val="single" w:color="94D500" w:sz="4" w:space="0"/>
              <w:bottom w:val="single" w:color="94D500" w:sz="4" w:space="0"/>
            </w:tcBorders>
          </w:tcPr>
          <w:p w:rsidR="00C31389" w:rsidRDefault="00C31389" w14:paraId="39762F5F" w14:textId="77777777">
            <w:pPr>
              <w:pStyle w:val="TableParagraph"/>
              <w:spacing w:before="0"/>
              <w:rPr>
                <w:sz w:val="20"/>
              </w:rPr>
            </w:pPr>
          </w:p>
          <w:p w:rsidR="00C31389" w:rsidRDefault="00C31389" w14:paraId="06041D37" w14:textId="77777777">
            <w:pPr>
              <w:pStyle w:val="TableParagraph"/>
              <w:spacing w:before="0"/>
              <w:rPr>
                <w:sz w:val="20"/>
              </w:rPr>
            </w:pPr>
          </w:p>
          <w:p w:rsidR="00C31389" w:rsidRDefault="00C31389" w14:paraId="66E18851" w14:textId="77777777">
            <w:pPr>
              <w:pStyle w:val="TableParagraph"/>
              <w:spacing w:before="0"/>
              <w:rPr>
                <w:sz w:val="20"/>
              </w:rPr>
            </w:pPr>
          </w:p>
          <w:p w:rsidR="00C31389" w:rsidRDefault="00C31389" w14:paraId="7537743F" w14:textId="77777777">
            <w:pPr>
              <w:pStyle w:val="TableParagraph"/>
              <w:spacing w:before="0"/>
              <w:rPr>
                <w:sz w:val="20"/>
              </w:rPr>
            </w:pPr>
          </w:p>
          <w:p w:rsidR="00C31389" w:rsidRDefault="00C31389" w14:paraId="6B739982" w14:textId="77777777">
            <w:pPr>
              <w:pStyle w:val="TableParagraph"/>
              <w:spacing w:before="0"/>
              <w:rPr>
                <w:sz w:val="20"/>
              </w:rPr>
            </w:pPr>
          </w:p>
          <w:p w:rsidR="00C31389" w:rsidRDefault="00C31389" w14:paraId="4CD4FD8C" w14:textId="77777777">
            <w:pPr>
              <w:pStyle w:val="TableParagraph"/>
              <w:spacing w:before="0"/>
              <w:rPr>
                <w:sz w:val="20"/>
              </w:rPr>
            </w:pPr>
          </w:p>
          <w:p w:rsidR="00C31389" w:rsidRDefault="00C31389" w14:paraId="220FBE4D" w14:textId="77777777">
            <w:pPr>
              <w:pStyle w:val="TableParagraph"/>
              <w:spacing w:before="0"/>
              <w:rPr>
                <w:sz w:val="24"/>
              </w:rPr>
            </w:pPr>
          </w:p>
          <w:p w:rsidR="00C31389" w:rsidRDefault="00561FBD" w14:paraId="51044CAA" w14:textId="77777777">
            <w:pPr>
              <w:pStyle w:val="TableParagraph"/>
              <w:spacing w:before="0"/>
              <w:ind w:left="115"/>
              <w:rPr>
                <w:b/>
                <w:sz w:val="18"/>
              </w:rPr>
            </w:pPr>
            <w:r>
              <w:rPr>
                <w:b/>
                <w:spacing w:val="-2"/>
                <w:sz w:val="18"/>
              </w:rPr>
              <w:t>Measure Characterization</w:t>
            </w:r>
          </w:p>
        </w:tc>
        <w:tc>
          <w:tcPr>
            <w:tcW w:w="1103" w:type="dxa"/>
            <w:tcBorders>
              <w:top w:val="single" w:color="94D500" w:sz="4" w:space="0"/>
              <w:bottom w:val="single" w:color="94D500" w:sz="4" w:space="0"/>
            </w:tcBorders>
          </w:tcPr>
          <w:p w:rsidR="00C31389" w:rsidRDefault="00C31389" w14:paraId="2CFDF48B" w14:textId="77777777">
            <w:pPr>
              <w:pStyle w:val="TableParagraph"/>
              <w:spacing w:before="0"/>
              <w:rPr>
                <w:sz w:val="20"/>
              </w:rPr>
            </w:pPr>
          </w:p>
          <w:p w:rsidR="00C31389" w:rsidRDefault="00C31389" w14:paraId="259B49B8" w14:textId="77777777">
            <w:pPr>
              <w:pStyle w:val="TableParagraph"/>
              <w:spacing w:before="0"/>
              <w:rPr>
                <w:sz w:val="20"/>
              </w:rPr>
            </w:pPr>
          </w:p>
          <w:p w:rsidR="00C31389" w:rsidRDefault="00C31389" w14:paraId="5167EDC9" w14:textId="77777777">
            <w:pPr>
              <w:pStyle w:val="TableParagraph"/>
              <w:spacing w:before="0"/>
              <w:rPr>
                <w:sz w:val="20"/>
              </w:rPr>
            </w:pPr>
          </w:p>
          <w:p w:rsidR="00C31389" w:rsidRDefault="00C31389" w14:paraId="1B1A1EF9" w14:textId="77777777">
            <w:pPr>
              <w:pStyle w:val="TableParagraph"/>
              <w:spacing w:before="0"/>
              <w:rPr>
                <w:sz w:val="20"/>
              </w:rPr>
            </w:pPr>
          </w:p>
          <w:p w:rsidR="00C31389" w:rsidRDefault="00C31389" w14:paraId="5422FFF6" w14:textId="77777777">
            <w:pPr>
              <w:pStyle w:val="TableParagraph"/>
              <w:spacing w:before="0"/>
              <w:rPr>
                <w:sz w:val="20"/>
              </w:rPr>
            </w:pPr>
          </w:p>
          <w:p w:rsidR="00C31389" w:rsidRDefault="00C31389" w14:paraId="5DC26179" w14:textId="77777777">
            <w:pPr>
              <w:pStyle w:val="TableParagraph"/>
              <w:spacing w:before="0"/>
              <w:rPr>
                <w:sz w:val="20"/>
              </w:rPr>
            </w:pPr>
          </w:p>
          <w:p w:rsidR="00C31389" w:rsidRDefault="00C31389" w14:paraId="05224863" w14:textId="77777777">
            <w:pPr>
              <w:pStyle w:val="TableParagraph"/>
              <w:spacing w:before="0"/>
              <w:rPr>
                <w:sz w:val="20"/>
              </w:rPr>
            </w:pPr>
          </w:p>
          <w:p w:rsidR="00C31389" w:rsidRDefault="00561FBD" w14:paraId="0F3FA0E2" w14:textId="77777777">
            <w:pPr>
              <w:pStyle w:val="TableParagraph"/>
              <w:spacing w:before="149"/>
              <w:ind w:left="146"/>
              <w:rPr>
                <w:sz w:val="18"/>
              </w:rPr>
            </w:pPr>
            <w:r>
              <w:rPr>
                <w:spacing w:val="-5"/>
                <w:sz w:val="18"/>
              </w:rPr>
              <w:t>SCE</w:t>
            </w:r>
          </w:p>
        </w:tc>
        <w:tc>
          <w:tcPr>
            <w:tcW w:w="5410" w:type="dxa"/>
            <w:tcBorders>
              <w:top w:val="single" w:color="94D500" w:sz="4" w:space="0"/>
              <w:bottom w:val="single" w:color="94D500" w:sz="4" w:space="0"/>
            </w:tcBorders>
          </w:tcPr>
          <w:p w:rsidR="00C31389" w:rsidRDefault="00C31389" w14:paraId="170BCA4E" w14:textId="77777777">
            <w:pPr>
              <w:pStyle w:val="TableParagraph"/>
              <w:spacing w:before="0"/>
              <w:rPr>
                <w:sz w:val="20"/>
              </w:rPr>
            </w:pPr>
          </w:p>
          <w:p w:rsidR="00C31389" w:rsidRDefault="00C31389" w14:paraId="3A5CE1C3" w14:textId="77777777">
            <w:pPr>
              <w:pStyle w:val="TableParagraph"/>
              <w:spacing w:before="11"/>
              <w:rPr>
                <w:sz w:val="24"/>
              </w:rPr>
            </w:pPr>
          </w:p>
          <w:p w:rsidR="00C31389" w:rsidRDefault="00561FBD" w14:paraId="184DBE00" w14:textId="77777777">
            <w:pPr>
              <w:pStyle w:val="TableParagraph"/>
              <w:spacing w:before="0"/>
              <w:ind w:left="123" w:right="119" w:hanging="1"/>
              <w:rPr>
                <w:sz w:val="18"/>
              </w:rPr>
            </w:pPr>
            <w:r>
              <w:rPr>
                <w:sz w:val="18"/>
              </w:rPr>
              <w:t xml:space="preserve">The scenarios in the Draft Study should be updated to reflect certain changes such as (1) </w:t>
            </w:r>
            <w:r>
              <w:rPr>
                <w:sz w:val="18"/>
              </w:rPr>
              <w:t>residential HVAC ductless fuel substitution</w:t>
            </w:r>
            <w:r>
              <w:rPr>
                <w:spacing w:val="-7"/>
                <w:sz w:val="18"/>
              </w:rPr>
              <w:t xml:space="preserve"> </w:t>
            </w:r>
            <w:r>
              <w:rPr>
                <w:sz w:val="18"/>
              </w:rPr>
              <w:t>measures</w:t>
            </w:r>
            <w:r>
              <w:rPr>
                <w:spacing w:val="-6"/>
                <w:sz w:val="18"/>
              </w:rPr>
              <w:t xml:space="preserve"> </w:t>
            </w:r>
            <w:r>
              <w:rPr>
                <w:sz w:val="18"/>
              </w:rPr>
              <w:t>(SWHC044)</w:t>
            </w:r>
            <w:r>
              <w:rPr>
                <w:spacing w:val="-6"/>
                <w:sz w:val="18"/>
              </w:rPr>
              <w:t xml:space="preserve"> </w:t>
            </w:r>
            <w:r>
              <w:rPr>
                <w:sz w:val="18"/>
              </w:rPr>
              <w:t>are</w:t>
            </w:r>
            <w:r>
              <w:rPr>
                <w:spacing w:val="-7"/>
                <w:sz w:val="18"/>
              </w:rPr>
              <w:t xml:space="preserve"> </w:t>
            </w:r>
            <w:r>
              <w:rPr>
                <w:sz w:val="18"/>
              </w:rPr>
              <w:t>being</w:t>
            </w:r>
            <w:r>
              <w:rPr>
                <w:spacing w:val="-5"/>
                <w:sz w:val="18"/>
              </w:rPr>
              <w:t xml:space="preserve"> </w:t>
            </w:r>
            <w:r>
              <w:rPr>
                <w:sz w:val="18"/>
              </w:rPr>
              <w:t>revised</w:t>
            </w:r>
            <w:r>
              <w:rPr>
                <w:spacing w:val="-7"/>
                <w:sz w:val="18"/>
              </w:rPr>
              <w:t xml:space="preserve"> </w:t>
            </w:r>
            <w:r>
              <w:rPr>
                <w:sz w:val="18"/>
              </w:rPr>
              <w:t>to</w:t>
            </w:r>
            <w:r>
              <w:rPr>
                <w:spacing w:val="-7"/>
                <w:sz w:val="18"/>
              </w:rPr>
              <w:t xml:space="preserve"> </w:t>
            </w:r>
            <w:r>
              <w:rPr>
                <w:sz w:val="18"/>
              </w:rPr>
              <w:t>eliminate critical deliveries (e.g., upstream and midstream); (2) net-to- gross (NTG) ratios are being reduced (e.g., SWHC045 - residential HVAC central fuel substitution f</w:t>
            </w:r>
            <w:r>
              <w:rPr>
                <w:sz w:val="18"/>
              </w:rPr>
              <w:t>or midstream, SWHC039 – residential smart thermostat, SWLG011-LED high</w:t>
            </w:r>
            <w:r>
              <w:rPr>
                <w:spacing w:val="40"/>
                <w:sz w:val="18"/>
              </w:rPr>
              <w:t xml:space="preserve"> </w:t>
            </w:r>
            <w:r>
              <w:rPr>
                <w:sz w:val="18"/>
              </w:rPr>
              <w:t xml:space="preserve">or low bay); and (3) energy savings are being reduced due to impact evaluation guidance, industry standard practice (ISP) baseline updates, and database for energy efficiency resources </w:t>
            </w:r>
            <w:r>
              <w:rPr>
                <w:sz w:val="18"/>
              </w:rPr>
              <w:t>(DEER) prototype updates (e.g., SWHC039 - smart thermostat, SWWP004 - water pump upgrade, SWHC030 - whole house</w:t>
            </w:r>
            <w:r>
              <w:rPr>
                <w:spacing w:val="40"/>
                <w:sz w:val="18"/>
              </w:rPr>
              <w:t xml:space="preserve"> </w:t>
            </w:r>
            <w:r>
              <w:rPr>
                <w:spacing w:val="-2"/>
                <w:sz w:val="18"/>
              </w:rPr>
              <w:t>fan).</w:t>
            </w:r>
          </w:p>
        </w:tc>
        <w:tc>
          <w:tcPr>
            <w:tcW w:w="3422" w:type="dxa"/>
            <w:tcBorders>
              <w:top w:val="single" w:color="94D500" w:sz="4" w:space="0"/>
              <w:bottom w:val="single" w:color="94D500" w:sz="4" w:space="0"/>
            </w:tcBorders>
          </w:tcPr>
          <w:p w:rsidR="00C31389" w:rsidRDefault="00561FBD" w14:paraId="797EB667" w14:textId="77777777">
            <w:pPr>
              <w:pStyle w:val="TableParagraph"/>
              <w:spacing w:before="0" w:line="207" w:lineRule="exact"/>
              <w:ind w:left="113"/>
              <w:rPr>
                <w:sz w:val="18"/>
              </w:rPr>
            </w:pPr>
            <w:r>
              <w:rPr>
                <w:sz w:val="18"/>
              </w:rPr>
              <w:t>1)</w:t>
            </w:r>
            <w:r>
              <w:rPr>
                <w:spacing w:val="-4"/>
                <w:sz w:val="18"/>
              </w:rPr>
              <w:t xml:space="preserve"> </w:t>
            </w:r>
            <w:r>
              <w:rPr>
                <w:sz w:val="18"/>
              </w:rPr>
              <w:t>SWHC044-03</w:t>
            </w:r>
            <w:r>
              <w:rPr>
                <w:spacing w:val="-4"/>
                <w:sz w:val="18"/>
              </w:rPr>
              <w:t xml:space="preserve"> </w:t>
            </w:r>
            <w:r>
              <w:rPr>
                <w:sz w:val="18"/>
              </w:rPr>
              <w:t>Ductless</w:t>
            </w:r>
            <w:r>
              <w:rPr>
                <w:spacing w:val="-3"/>
                <w:sz w:val="18"/>
              </w:rPr>
              <w:t xml:space="preserve"> </w:t>
            </w:r>
            <w:r>
              <w:rPr>
                <w:spacing w:val="-2"/>
                <w:sz w:val="18"/>
              </w:rPr>
              <w:t>HVAC,</w:t>
            </w:r>
          </w:p>
          <w:p w:rsidR="00C31389" w:rsidRDefault="00561FBD" w14:paraId="0D28744C" w14:textId="77777777">
            <w:pPr>
              <w:pStyle w:val="TableParagraph"/>
              <w:spacing w:before="0"/>
              <w:ind w:left="113" w:right="156"/>
              <w:rPr>
                <w:sz w:val="18"/>
              </w:rPr>
            </w:pPr>
            <w:r>
              <w:rPr>
                <w:sz w:val="18"/>
              </w:rPr>
              <w:t>Residential, Fuel Substitution is still under revision; 2) We were able to update to the reduced NTG for this</w:t>
            </w:r>
            <w:r>
              <w:rPr>
                <w:sz w:val="18"/>
              </w:rPr>
              <w:t xml:space="preserve"> study</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measure</w:t>
            </w:r>
            <w:r>
              <w:rPr>
                <w:spacing w:val="-10"/>
                <w:sz w:val="18"/>
              </w:rPr>
              <w:t xml:space="preserve"> </w:t>
            </w:r>
            <w:r>
              <w:rPr>
                <w:sz w:val="18"/>
              </w:rPr>
              <w:t>characterization reflects the latest values; and 3) SWHC039-06 Smart Thermostats and SWHC030-03 Whole house fan have not been updated in the PG analysis.</w:t>
            </w:r>
          </w:p>
          <w:p w:rsidR="00C31389" w:rsidRDefault="00561FBD" w14:paraId="64024A38" w14:textId="77777777">
            <w:pPr>
              <w:pStyle w:val="TableParagraph"/>
              <w:spacing w:before="0"/>
              <w:ind w:left="113" w:right="165"/>
              <w:rPr>
                <w:sz w:val="18"/>
              </w:rPr>
            </w:pPr>
            <w:r>
              <w:rPr>
                <w:sz w:val="18"/>
              </w:rPr>
              <w:t xml:space="preserve">However, we expect these two measures to have low level of impact on </w:t>
            </w:r>
            <w:r>
              <w:rPr>
                <w:sz w:val="18"/>
              </w:rPr>
              <w:t>potential, as the potential is already low.</w:t>
            </w:r>
            <w:r>
              <w:rPr>
                <w:spacing w:val="-8"/>
                <w:sz w:val="18"/>
              </w:rPr>
              <w:t xml:space="preserve"> </w:t>
            </w:r>
            <w:r>
              <w:rPr>
                <w:sz w:val="18"/>
              </w:rPr>
              <w:t>SWWP004</w:t>
            </w:r>
            <w:r>
              <w:rPr>
                <w:spacing w:val="-9"/>
                <w:sz w:val="18"/>
              </w:rPr>
              <w:t xml:space="preserve"> </w:t>
            </w:r>
            <w:r>
              <w:rPr>
                <w:sz w:val="18"/>
              </w:rPr>
              <w:t>Water</w:t>
            </w:r>
            <w:r>
              <w:rPr>
                <w:spacing w:val="-8"/>
                <w:sz w:val="18"/>
              </w:rPr>
              <w:t xml:space="preserve"> </w:t>
            </w:r>
            <w:r>
              <w:rPr>
                <w:sz w:val="18"/>
              </w:rPr>
              <w:t>pump</w:t>
            </w:r>
            <w:r>
              <w:rPr>
                <w:spacing w:val="-7"/>
                <w:sz w:val="18"/>
              </w:rPr>
              <w:t xml:space="preserve"> </w:t>
            </w:r>
            <w:r>
              <w:rPr>
                <w:sz w:val="18"/>
              </w:rPr>
              <w:t>upgrade</w:t>
            </w:r>
            <w:r>
              <w:rPr>
                <w:spacing w:val="-7"/>
                <w:sz w:val="18"/>
              </w:rPr>
              <w:t xml:space="preserve"> </w:t>
            </w:r>
            <w:r>
              <w:rPr>
                <w:sz w:val="18"/>
              </w:rPr>
              <w:t>– is in the study, but we used a different characterization</w:t>
            </w:r>
            <w:r>
              <w:rPr>
                <w:spacing w:val="-7"/>
                <w:sz w:val="18"/>
              </w:rPr>
              <w:t xml:space="preserve"> </w:t>
            </w:r>
            <w:r>
              <w:rPr>
                <w:sz w:val="18"/>
              </w:rPr>
              <w:t>method</w:t>
            </w:r>
            <w:r>
              <w:rPr>
                <w:spacing w:val="-7"/>
                <w:sz w:val="18"/>
              </w:rPr>
              <w:t xml:space="preserve"> </w:t>
            </w:r>
            <w:r>
              <w:rPr>
                <w:sz w:val="18"/>
              </w:rPr>
              <w:t>that</w:t>
            </w:r>
            <w:r>
              <w:rPr>
                <w:spacing w:val="-6"/>
                <w:sz w:val="18"/>
              </w:rPr>
              <w:t xml:space="preserve"> </w:t>
            </w:r>
            <w:r>
              <w:rPr>
                <w:sz w:val="18"/>
              </w:rPr>
              <w:t>calculates savings based on a per therm or kWh consumed basis and not the deemed</w:t>
            </w:r>
          </w:p>
          <w:p w:rsidR="00C31389" w:rsidRDefault="00561FBD" w14:paraId="46E6328A" w14:textId="77777777">
            <w:pPr>
              <w:pStyle w:val="TableParagraph"/>
              <w:spacing w:before="0" w:line="187" w:lineRule="exact"/>
              <w:ind w:left="113"/>
              <w:rPr>
                <w:sz w:val="18"/>
              </w:rPr>
            </w:pPr>
            <w:r>
              <w:rPr>
                <w:spacing w:val="-2"/>
                <w:sz w:val="18"/>
              </w:rPr>
              <w:t>value.</w:t>
            </w:r>
          </w:p>
        </w:tc>
      </w:tr>
      <w:tr w:rsidR="00C31389" w14:paraId="4083F44E" w14:textId="77777777">
        <w:trPr>
          <w:trHeight w:val="1008"/>
        </w:trPr>
        <w:tc>
          <w:tcPr>
            <w:tcW w:w="1674" w:type="dxa"/>
            <w:tcBorders>
              <w:top w:val="single" w:color="94D500" w:sz="4" w:space="0"/>
              <w:bottom w:val="single" w:color="94D500" w:sz="4" w:space="0"/>
            </w:tcBorders>
          </w:tcPr>
          <w:p w:rsidR="00C31389" w:rsidRDefault="00C31389" w14:paraId="5DBADBFD" w14:textId="77777777">
            <w:pPr>
              <w:pStyle w:val="TableParagraph"/>
              <w:spacing w:before="9"/>
              <w:rPr>
                <w:sz w:val="25"/>
              </w:rPr>
            </w:pPr>
          </w:p>
          <w:p w:rsidR="00C31389" w:rsidRDefault="00561FBD" w14:paraId="64965632" w14:textId="77777777">
            <w:pPr>
              <w:pStyle w:val="TableParagraph"/>
              <w:spacing w:before="0"/>
              <w:ind w:left="115"/>
              <w:rPr>
                <w:b/>
                <w:sz w:val="18"/>
              </w:rPr>
            </w:pPr>
            <w:r>
              <w:rPr>
                <w:b/>
                <w:spacing w:val="-2"/>
                <w:sz w:val="18"/>
              </w:rPr>
              <w:t xml:space="preserve">Measure </w:t>
            </w:r>
            <w:r>
              <w:rPr>
                <w:b/>
                <w:spacing w:val="-2"/>
                <w:sz w:val="18"/>
              </w:rPr>
              <w:t>Characterization</w:t>
            </w:r>
          </w:p>
        </w:tc>
        <w:tc>
          <w:tcPr>
            <w:tcW w:w="1103" w:type="dxa"/>
            <w:tcBorders>
              <w:top w:val="single" w:color="94D500" w:sz="4" w:space="0"/>
              <w:bottom w:val="single" w:color="94D500" w:sz="4" w:space="0"/>
            </w:tcBorders>
          </w:tcPr>
          <w:p w:rsidR="00C31389" w:rsidRDefault="00C31389" w14:paraId="76759B78" w14:textId="77777777">
            <w:pPr>
              <w:pStyle w:val="TableParagraph"/>
              <w:spacing w:before="0"/>
              <w:rPr>
                <w:sz w:val="20"/>
              </w:rPr>
            </w:pPr>
          </w:p>
          <w:p w:rsidR="00C31389" w:rsidRDefault="00561FBD" w14:paraId="18DA4C99" w14:textId="77777777">
            <w:pPr>
              <w:pStyle w:val="TableParagraph"/>
              <w:spacing w:before="169"/>
              <w:ind w:left="146"/>
              <w:rPr>
                <w:sz w:val="18"/>
              </w:rPr>
            </w:pPr>
            <w:r>
              <w:rPr>
                <w:spacing w:val="-5"/>
                <w:sz w:val="18"/>
              </w:rPr>
              <w:t>SCG</w:t>
            </w:r>
          </w:p>
        </w:tc>
        <w:tc>
          <w:tcPr>
            <w:tcW w:w="5410" w:type="dxa"/>
            <w:tcBorders>
              <w:top w:val="single" w:color="94D500" w:sz="4" w:space="0"/>
              <w:bottom w:val="single" w:color="94D500" w:sz="4" w:space="0"/>
            </w:tcBorders>
          </w:tcPr>
          <w:p w:rsidR="00C31389" w:rsidRDefault="00561FBD" w14:paraId="09B942C2" w14:textId="77777777">
            <w:pPr>
              <w:pStyle w:val="TableParagraph"/>
              <w:spacing w:before="90"/>
              <w:ind w:left="123" w:right="314" w:hanging="1"/>
              <w:rPr>
                <w:sz w:val="18"/>
              </w:rPr>
            </w:pPr>
            <w:r>
              <w:rPr>
                <w:sz w:val="18"/>
              </w:rPr>
              <w:t>SoCalGas</w:t>
            </w:r>
            <w:r>
              <w:rPr>
                <w:spacing w:val="-6"/>
                <w:sz w:val="18"/>
              </w:rPr>
              <w:t xml:space="preserve"> </w:t>
            </w:r>
            <w:r>
              <w:rPr>
                <w:sz w:val="18"/>
              </w:rPr>
              <w:t>recommends</w:t>
            </w:r>
            <w:r>
              <w:rPr>
                <w:spacing w:val="-6"/>
                <w:sz w:val="18"/>
              </w:rPr>
              <w:t xml:space="preserve"> </w:t>
            </w:r>
            <w:r>
              <w:rPr>
                <w:sz w:val="18"/>
              </w:rPr>
              <w:t>that</w:t>
            </w:r>
            <w:r>
              <w:rPr>
                <w:spacing w:val="-6"/>
                <w:sz w:val="18"/>
              </w:rPr>
              <w:t xml:space="preserve"> </w:t>
            </w:r>
            <w:r>
              <w:rPr>
                <w:sz w:val="18"/>
              </w:rPr>
              <w:t>the</w:t>
            </w:r>
            <w:r>
              <w:rPr>
                <w:spacing w:val="-7"/>
                <w:sz w:val="18"/>
              </w:rPr>
              <w:t xml:space="preserve"> </w:t>
            </w:r>
            <w:r>
              <w:rPr>
                <w:sz w:val="18"/>
              </w:rPr>
              <w:t>Commission’s</w:t>
            </w:r>
            <w:r>
              <w:rPr>
                <w:spacing w:val="-6"/>
                <w:sz w:val="18"/>
              </w:rPr>
              <w:t xml:space="preserve"> </w:t>
            </w:r>
            <w:r>
              <w:rPr>
                <w:sz w:val="18"/>
              </w:rPr>
              <w:t>orders</w:t>
            </w:r>
            <w:r>
              <w:rPr>
                <w:spacing w:val="-6"/>
                <w:sz w:val="18"/>
              </w:rPr>
              <w:t xml:space="preserve"> </w:t>
            </w:r>
            <w:r>
              <w:rPr>
                <w:sz w:val="18"/>
              </w:rPr>
              <w:t>in</w:t>
            </w:r>
            <w:r>
              <w:rPr>
                <w:spacing w:val="-7"/>
                <w:sz w:val="18"/>
              </w:rPr>
              <w:t xml:space="preserve"> </w:t>
            </w:r>
            <w:r>
              <w:rPr>
                <w:sz w:val="18"/>
              </w:rPr>
              <w:t>D.23- 04-035 to update EULs of exempt measures and to add new window and door measures to eTRM be included in the report and/or model.</w:t>
            </w:r>
          </w:p>
        </w:tc>
        <w:tc>
          <w:tcPr>
            <w:tcW w:w="3422" w:type="dxa"/>
            <w:tcBorders>
              <w:top w:val="single" w:color="94D500" w:sz="4" w:space="0"/>
              <w:bottom w:val="single" w:color="94D500" w:sz="4" w:space="0"/>
            </w:tcBorders>
          </w:tcPr>
          <w:p w:rsidR="00C31389" w:rsidRDefault="00C31389" w14:paraId="2342B04B" w14:textId="77777777">
            <w:pPr>
              <w:pStyle w:val="TableParagraph"/>
              <w:spacing w:before="9"/>
              <w:rPr>
                <w:sz w:val="16"/>
              </w:rPr>
            </w:pPr>
          </w:p>
          <w:p w:rsidR="00C31389" w:rsidRDefault="00561FBD" w14:paraId="50720057" w14:textId="77777777">
            <w:pPr>
              <w:pStyle w:val="TableParagraph"/>
              <w:spacing w:before="0"/>
              <w:ind w:left="113" w:right="221"/>
              <w:jc w:val="both"/>
              <w:rPr>
                <w:sz w:val="18"/>
              </w:rPr>
            </w:pPr>
            <w:r>
              <w:rPr>
                <w:sz w:val="18"/>
              </w:rPr>
              <w:t>These</w:t>
            </w:r>
            <w:r>
              <w:rPr>
                <w:spacing w:val="-8"/>
                <w:sz w:val="18"/>
              </w:rPr>
              <w:t xml:space="preserve"> </w:t>
            </w:r>
            <w:r>
              <w:rPr>
                <w:sz w:val="18"/>
              </w:rPr>
              <w:t>updates</w:t>
            </w:r>
            <w:r>
              <w:rPr>
                <w:spacing w:val="-6"/>
                <w:sz w:val="18"/>
              </w:rPr>
              <w:t xml:space="preserve"> </w:t>
            </w:r>
            <w:r>
              <w:rPr>
                <w:sz w:val="18"/>
              </w:rPr>
              <w:t>won't</w:t>
            </w:r>
            <w:r>
              <w:rPr>
                <w:spacing w:val="-7"/>
                <w:sz w:val="18"/>
              </w:rPr>
              <w:t xml:space="preserve"> </w:t>
            </w:r>
            <w:r>
              <w:rPr>
                <w:sz w:val="18"/>
              </w:rPr>
              <w:t>be</w:t>
            </w:r>
            <w:r>
              <w:rPr>
                <w:spacing w:val="-8"/>
                <w:sz w:val="18"/>
              </w:rPr>
              <w:t xml:space="preserve"> </w:t>
            </w:r>
            <w:r>
              <w:rPr>
                <w:sz w:val="18"/>
              </w:rPr>
              <w:t>made</w:t>
            </w:r>
            <w:r>
              <w:rPr>
                <w:spacing w:val="-6"/>
                <w:sz w:val="18"/>
              </w:rPr>
              <w:t xml:space="preserve"> </w:t>
            </w:r>
            <w:r>
              <w:rPr>
                <w:sz w:val="18"/>
              </w:rPr>
              <w:t>until</w:t>
            </w:r>
            <w:r>
              <w:rPr>
                <w:spacing w:val="-7"/>
                <w:sz w:val="18"/>
              </w:rPr>
              <w:t xml:space="preserve"> </w:t>
            </w:r>
            <w:r>
              <w:rPr>
                <w:sz w:val="18"/>
              </w:rPr>
              <w:t>the end</w:t>
            </w:r>
            <w:r>
              <w:rPr>
                <w:spacing w:val="-4"/>
                <w:sz w:val="18"/>
              </w:rPr>
              <w:t xml:space="preserve"> </w:t>
            </w:r>
            <w:r>
              <w:rPr>
                <w:sz w:val="18"/>
              </w:rPr>
              <w:t>of</w:t>
            </w:r>
            <w:r>
              <w:rPr>
                <w:spacing w:val="-3"/>
                <w:sz w:val="18"/>
              </w:rPr>
              <w:t xml:space="preserve"> </w:t>
            </w:r>
            <w:r>
              <w:rPr>
                <w:sz w:val="18"/>
              </w:rPr>
              <w:t>this</w:t>
            </w:r>
            <w:r>
              <w:rPr>
                <w:spacing w:val="-3"/>
                <w:sz w:val="18"/>
              </w:rPr>
              <w:t xml:space="preserve"> </w:t>
            </w:r>
            <w:r>
              <w:rPr>
                <w:sz w:val="18"/>
              </w:rPr>
              <w:t>year</w:t>
            </w:r>
            <w:r>
              <w:rPr>
                <w:spacing w:val="-3"/>
                <w:sz w:val="18"/>
              </w:rPr>
              <w:t xml:space="preserve"> </w:t>
            </w:r>
            <w:r>
              <w:rPr>
                <w:sz w:val="18"/>
              </w:rPr>
              <w:t>when</w:t>
            </w:r>
            <w:r>
              <w:rPr>
                <w:spacing w:val="-4"/>
                <w:sz w:val="18"/>
              </w:rPr>
              <w:t xml:space="preserve"> </w:t>
            </w:r>
            <w:r>
              <w:rPr>
                <w:sz w:val="18"/>
              </w:rPr>
              <w:t>the</w:t>
            </w:r>
            <w:r>
              <w:rPr>
                <w:spacing w:val="-4"/>
                <w:sz w:val="18"/>
              </w:rPr>
              <w:t xml:space="preserve"> </w:t>
            </w:r>
            <w:r>
              <w:rPr>
                <w:sz w:val="18"/>
              </w:rPr>
              <w:t>EUL</w:t>
            </w:r>
            <w:r>
              <w:rPr>
                <w:spacing w:val="-4"/>
                <w:sz w:val="18"/>
              </w:rPr>
              <w:t xml:space="preserve"> </w:t>
            </w:r>
            <w:r>
              <w:rPr>
                <w:sz w:val="18"/>
              </w:rPr>
              <w:t>study</w:t>
            </w:r>
            <w:r>
              <w:rPr>
                <w:spacing w:val="-3"/>
                <w:sz w:val="18"/>
              </w:rPr>
              <w:t xml:space="preserve"> </w:t>
            </w:r>
            <w:r>
              <w:rPr>
                <w:sz w:val="18"/>
              </w:rPr>
              <w:t xml:space="preserve">is </w:t>
            </w:r>
            <w:r>
              <w:rPr>
                <w:spacing w:val="-2"/>
                <w:sz w:val="18"/>
              </w:rPr>
              <w:t>completed.</w:t>
            </w:r>
          </w:p>
        </w:tc>
      </w:tr>
    </w:tbl>
    <w:p w:rsidR="00C31389" w:rsidRDefault="00C31389" w14:paraId="214020FD" w14:textId="77777777">
      <w:pPr>
        <w:jc w:val="both"/>
        <w:rPr>
          <w:sz w:val="18"/>
        </w:rPr>
        <w:sectPr w:rsidR="00C31389">
          <w:pgSz w:w="15840" w:h="12240" w:orient="landscape"/>
          <w:pgMar w:top="1660" w:right="2260" w:bottom="1120" w:left="1320" w:header="397" w:footer="936" w:gutter="0"/>
          <w:cols w:space="720"/>
        </w:sectPr>
      </w:pPr>
    </w:p>
    <w:p w:rsidR="00C31389" w:rsidRDefault="00C31389" w14:paraId="343E5CC8" w14:textId="77777777">
      <w:pPr>
        <w:pStyle w:val="BodyText"/>
        <w:spacing w:before="6"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680"/>
        <w:gridCol w:w="1117"/>
        <w:gridCol w:w="5392"/>
        <w:gridCol w:w="3427"/>
      </w:tblGrid>
      <w:tr w:rsidR="00C31389" w14:paraId="4BB8FF75" w14:textId="77777777">
        <w:trPr>
          <w:trHeight w:val="261"/>
        </w:trPr>
        <w:tc>
          <w:tcPr>
            <w:tcW w:w="1680" w:type="dxa"/>
            <w:shd w:val="clear" w:color="auto" w:fill="94D500"/>
          </w:tcPr>
          <w:p w:rsidR="00C31389" w:rsidRDefault="00561FBD" w14:paraId="577A3A73" w14:textId="77777777">
            <w:pPr>
              <w:pStyle w:val="TableParagraph"/>
              <w:spacing w:before="26"/>
              <w:ind w:left="122"/>
              <w:rPr>
                <w:b/>
                <w:sz w:val="18"/>
              </w:rPr>
            </w:pPr>
            <w:r>
              <w:rPr>
                <w:b/>
                <w:spacing w:val="-2"/>
                <w:sz w:val="18"/>
              </w:rPr>
              <w:t>Subject</w:t>
            </w:r>
          </w:p>
        </w:tc>
        <w:tc>
          <w:tcPr>
            <w:tcW w:w="1117" w:type="dxa"/>
            <w:shd w:val="clear" w:color="auto" w:fill="94D500"/>
          </w:tcPr>
          <w:p w:rsidR="00C31389" w:rsidRDefault="00561FBD" w14:paraId="072126CC" w14:textId="77777777">
            <w:pPr>
              <w:pStyle w:val="TableParagraph"/>
              <w:spacing w:before="26"/>
              <w:ind w:left="147"/>
              <w:rPr>
                <w:b/>
                <w:sz w:val="18"/>
              </w:rPr>
            </w:pPr>
            <w:r>
              <w:rPr>
                <w:b/>
                <w:spacing w:val="-2"/>
                <w:sz w:val="18"/>
              </w:rPr>
              <w:t>Affiliation</w:t>
            </w:r>
          </w:p>
        </w:tc>
        <w:tc>
          <w:tcPr>
            <w:tcW w:w="5392" w:type="dxa"/>
            <w:shd w:val="clear" w:color="auto" w:fill="94D500"/>
          </w:tcPr>
          <w:p w:rsidR="00C31389" w:rsidRDefault="00561FBD" w14:paraId="1DDA0B7F" w14:textId="77777777">
            <w:pPr>
              <w:pStyle w:val="TableParagraph"/>
              <w:spacing w:before="26"/>
              <w:ind w:left="110"/>
              <w:rPr>
                <w:b/>
                <w:sz w:val="18"/>
              </w:rPr>
            </w:pPr>
            <w:r>
              <w:rPr>
                <w:b/>
                <w:sz w:val="18"/>
              </w:rPr>
              <w:t>Summary</w:t>
            </w:r>
            <w:r>
              <w:rPr>
                <w:b/>
                <w:spacing w:val="-3"/>
                <w:sz w:val="18"/>
              </w:rPr>
              <w:t xml:space="preserve"> </w:t>
            </w:r>
            <w:r>
              <w:rPr>
                <w:b/>
                <w:sz w:val="18"/>
              </w:rPr>
              <w:t>of</w:t>
            </w:r>
            <w:r>
              <w:rPr>
                <w:b/>
                <w:spacing w:val="-2"/>
                <w:sz w:val="18"/>
              </w:rPr>
              <w:t xml:space="preserve"> Issue</w:t>
            </w:r>
          </w:p>
        </w:tc>
        <w:tc>
          <w:tcPr>
            <w:tcW w:w="3427" w:type="dxa"/>
            <w:shd w:val="clear" w:color="auto" w:fill="94D500"/>
          </w:tcPr>
          <w:p w:rsidR="00C31389" w:rsidRDefault="00561FBD" w14:paraId="50F7C121" w14:textId="77777777">
            <w:pPr>
              <w:pStyle w:val="TableParagraph"/>
              <w:spacing w:before="26"/>
              <w:ind w:left="118"/>
              <w:rPr>
                <w:b/>
                <w:sz w:val="18"/>
              </w:rPr>
            </w:pPr>
            <w:r>
              <w:rPr>
                <w:b/>
                <w:sz w:val="18"/>
              </w:rPr>
              <w:t>Guidehouse</w:t>
            </w:r>
            <w:r>
              <w:rPr>
                <w:b/>
                <w:spacing w:val="-4"/>
                <w:sz w:val="18"/>
              </w:rPr>
              <w:t xml:space="preserve"> </w:t>
            </w:r>
            <w:r>
              <w:rPr>
                <w:b/>
                <w:spacing w:val="-2"/>
                <w:sz w:val="18"/>
              </w:rPr>
              <w:t>Response</w:t>
            </w:r>
          </w:p>
        </w:tc>
      </w:tr>
      <w:tr w:rsidR="00C31389" w14:paraId="340650E3" w14:textId="77777777">
        <w:trPr>
          <w:trHeight w:val="1340"/>
        </w:trPr>
        <w:tc>
          <w:tcPr>
            <w:tcW w:w="1680" w:type="dxa"/>
            <w:tcBorders>
              <w:bottom w:val="single" w:color="94D500" w:sz="4" w:space="0"/>
            </w:tcBorders>
          </w:tcPr>
          <w:p w:rsidR="00C31389" w:rsidRDefault="00C31389" w14:paraId="132CF7A2" w14:textId="77777777">
            <w:pPr>
              <w:pStyle w:val="TableParagraph"/>
              <w:spacing w:before="0"/>
              <w:rPr>
                <w:sz w:val="20"/>
              </w:rPr>
            </w:pPr>
          </w:p>
          <w:p w:rsidR="00C31389" w:rsidRDefault="00C31389" w14:paraId="3F24CA4F" w14:textId="77777777">
            <w:pPr>
              <w:pStyle w:val="TableParagraph"/>
              <w:spacing w:before="2"/>
              <w:rPr>
                <w:sz w:val="20"/>
              </w:rPr>
            </w:pPr>
          </w:p>
          <w:p w:rsidR="00C31389" w:rsidRDefault="00561FBD" w14:paraId="017204FB" w14:textId="77777777">
            <w:pPr>
              <w:pStyle w:val="TableParagraph"/>
              <w:spacing w:before="0"/>
              <w:ind w:left="122"/>
              <w:rPr>
                <w:b/>
                <w:sz w:val="18"/>
              </w:rPr>
            </w:pPr>
            <w:r>
              <w:rPr>
                <w:b/>
                <w:spacing w:val="-2"/>
                <w:sz w:val="18"/>
              </w:rPr>
              <w:t>Measure Characterization</w:t>
            </w:r>
          </w:p>
        </w:tc>
        <w:tc>
          <w:tcPr>
            <w:tcW w:w="1117" w:type="dxa"/>
            <w:tcBorders>
              <w:bottom w:val="single" w:color="94D500" w:sz="4" w:space="0"/>
            </w:tcBorders>
          </w:tcPr>
          <w:p w:rsidR="00C31389" w:rsidRDefault="00C31389" w14:paraId="0E35C137" w14:textId="77777777">
            <w:pPr>
              <w:pStyle w:val="TableParagraph"/>
              <w:spacing w:before="0"/>
              <w:rPr>
                <w:sz w:val="20"/>
              </w:rPr>
            </w:pPr>
          </w:p>
          <w:p w:rsidR="00C31389" w:rsidRDefault="00C31389" w14:paraId="3F421F04" w14:textId="77777777">
            <w:pPr>
              <w:pStyle w:val="TableParagraph"/>
              <w:spacing w:before="2"/>
              <w:rPr>
                <w:sz w:val="29"/>
              </w:rPr>
            </w:pPr>
          </w:p>
          <w:p w:rsidR="00C31389" w:rsidRDefault="00561FBD" w14:paraId="66ACBF18" w14:textId="77777777">
            <w:pPr>
              <w:pStyle w:val="TableParagraph"/>
              <w:spacing w:before="0"/>
              <w:ind w:left="147"/>
              <w:rPr>
                <w:sz w:val="18"/>
              </w:rPr>
            </w:pPr>
            <w:r>
              <w:rPr>
                <w:spacing w:val="-4"/>
                <w:sz w:val="18"/>
              </w:rPr>
              <w:t>SDG&amp;E</w:t>
            </w:r>
          </w:p>
        </w:tc>
        <w:tc>
          <w:tcPr>
            <w:tcW w:w="5392" w:type="dxa"/>
            <w:tcBorders>
              <w:bottom w:val="single" w:color="94D500" w:sz="4" w:space="0"/>
            </w:tcBorders>
          </w:tcPr>
          <w:p w:rsidR="00C31389" w:rsidRDefault="00561FBD" w14:paraId="0C2BEDC3" w14:textId="77777777">
            <w:pPr>
              <w:pStyle w:val="TableParagraph"/>
              <w:spacing w:before="48"/>
              <w:ind w:left="110" w:right="119" w:hanging="1"/>
              <w:rPr>
                <w:sz w:val="18"/>
              </w:rPr>
            </w:pPr>
            <w:r>
              <w:rPr>
                <w:sz w:val="18"/>
              </w:rPr>
              <w:t xml:space="preserve">SDG&amp;E seeks clarification on what, if any, would be the implementation implications to the NTG </w:t>
            </w:r>
            <w:r>
              <w:rPr>
                <w:sz w:val="18"/>
              </w:rPr>
              <w:t>if any of the IRA scenarios</w:t>
            </w:r>
            <w:r>
              <w:rPr>
                <w:spacing w:val="-5"/>
                <w:sz w:val="18"/>
              </w:rPr>
              <w:t xml:space="preserve"> </w:t>
            </w:r>
            <w:r>
              <w:rPr>
                <w:sz w:val="18"/>
              </w:rPr>
              <w:t>are</w:t>
            </w:r>
            <w:r>
              <w:rPr>
                <w:spacing w:val="-6"/>
                <w:sz w:val="18"/>
              </w:rPr>
              <w:t xml:space="preserve"> </w:t>
            </w:r>
            <w:r>
              <w:rPr>
                <w:sz w:val="18"/>
              </w:rPr>
              <w:t>chosen</w:t>
            </w:r>
            <w:r>
              <w:rPr>
                <w:spacing w:val="-6"/>
                <w:sz w:val="18"/>
              </w:rPr>
              <w:t xml:space="preserve"> </w:t>
            </w:r>
            <w:r>
              <w:rPr>
                <w:sz w:val="18"/>
              </w:rPr>
              <w:t>for</w:t>
            </w:r>
            <w:r>
              <w:rPr>
                <w:spacing w:val="-5"/>
                <w:sz w:val="18"/>
              </w:rPr>
              <w:t xml:space="preserve"> </w:t>
            </w:r>
            <w:r>
              <w:rPr>
                <w:sz w:val="18"/>
              </w:rPr>
              <w:t>energy</w:t>
            </w:r>
            <w:r>
              <w:rPr>
                <w:spacing w:val="-5"/>
                <w:sz w:val="18"/>
              </w:rPr>
              <w:t xml:space="preserve"> </w:t>
            </w:r>
            <w:r>
              <w:rPr>
                <w:sz w:val="18"/>
              </w:rPr>
              <w:t>efficiency</w:t>
            </w:r>
            <w:r>
              <w:rPr>
                <w:spacing w:val="-5"/>
                <w:sz w:val="18"/>
              </w:rPr>
              <w:t xml:space="preserve"> </w:t>
            </w:r>
            <w:r>
              <w:rPr>
                <w:sz w:val="18"/>
              </w:rPr>
              <w:t>goals.</w:t>
            </w:r>
            <w:r>
              <w:rPr>
                <w:spacing w:val="-5"/>
                <w:sz w:val="18"/>
              </w:rPr>
              <w:t xml:space="preserve"> </w:t>
            </w:r>
            <w:r>
              <w:rPr>
                <w:sz w:val="18"/>
              </w:rPr>
              <w:t>SDG&amp;E</w:t>
            </w:r>
            <w:r>
              <w:rPr>
                <w:spacing w:val="-5"/>
                <w:sz w:val="18"/>
              </w:rPr>
              <w:t xml:space="preserve"> </w:t>
            </w:r>
            <w:r>
              <w:rPr>
                <w:sz w:val="18"/>
              </w:rPr>
              <w:t>sees potential negative impacts to the program NTG if customer choice is partially influenced by the IRA credits and therefore reduces program influence.</w:t>
            </w:r>
          </w:p>
        </w:tc>
        <w:tc>
          <w:tcPr>
            <w:tcW w:w="3427" w:type="dxa"/>
            <w:tcBorders>
              <w:bottom w:val="single" w:color="94D500" w:sz="4" w:space="0"/>
            </w:tcBorders>
          </w:tcPr>
          <w:p w:rsidR="00C31389" w:rsidRDefault="00C31389" w14:paraId="0C4D16DA" w14:textId="77777777">
            <w:pPr>
              <w:pStyle w:val="TableParagraph"/>
              <w:spacing w:before="2"/>
            </w:pPr>
          </w:p>
          <w:p w:rsidR="00C31389" w:rsidRDefault="00561FBD" w14:paraId="047267D7" w14:textId="77777777">
            <w:pPr>
              <w:pStyle w:val="TableParagraph"/>
              <w:spacing w:before="1"/>
              <w:ind w:left="118" w:right="137"/>
              <w:rPr>
                <w:sz w:val="18"/>
              </w:rPr>
            </w:pPr>
            <w:r>
              <w:rPr>
                <w:sz w:val="18"/>
              </w:rPr>
              <w:t>The PG study leverages exis</w:t>
            </w:r>
            <w:r>
              <w:rPr>
                <w:sz w:val="18"/>
              </w:rPr>
              <w:t>ting datasets and will not make any presumptive</w:t>
            </w:r>
            <w:r>
              <w:rPr>
                <w:spacing w:val="-13"/>
                <w:sz w:val="18"/>
              </w:rPr>
              <w:t xml:space="preserve"> </w:t>
            </w:r>
            <w:r>
              <w:rPr>
                <w:sz w:val="18"/>
              </w:rPr>
              <w:t>assumptions</w:t>
            </w:r>
            <w:r>
              <w:rPr>
                <w:spacing w:val="-12"/>
                <w:sz w:val="18"/>
              </w:rPr>
              <w:t xml:space="preserve"> </w:t>
            </w:r>
            <w:r>
              <w:rPr>
                <w:sz w:val="18"/>
              </w:rPr>
              <w:t>on</w:t>
            </w:r>
            <w:r>
              <w:rPr>
                <w:spacing w:val="-13"/>
                <w:sz w:val="18"/>
              </w:rPr>
              <w:t xml:space="preserve"> </w:t>
            </w:r>
            <w:r>
              <w:rPr>
                <w:sz w:val="18"/>
              </w:rPr>
              <w:t xml:space="preserve">NTG </w:t>
            </w:r>
            <w:r>
              <w:rPr>
                <w:spacing w:val="-2"/>
                <w:sz w:val="18"/>
              </w:rPr>
              <w:t>impacts.</w:t>
            </w:r>
          </w:p>
        </w:tc>
      </w:tr>
      <w:tr w:rsidR="00C31389" w14:paraId="62F275DF" w14:textId="77777777">
        <w:trPr>
          <w:trHeight w:val="3220"/>
        </w:trPr>
        <w:tc>
          <w:tcPr>
            <w:tcW w:w="1680" w:type="dxa"/>
            <w:tcBorders>
              <w:top w:val="single" w:color="94D500" w:sz="4" w:space="0"/>
              <w:bottom w:val="single" w:color="94D500" w:sz="4" w:space="0"/>
            </w:tcBorders>
          </w:tcPr>
          <w:p w:rsidR="00C31389" w:rsidRDefault="00C31389" w14:paraId="7159EDA0" w14:textId="77777777">
            <w:pPr>
              <w:pStyle w:val="TableParagraph"/>
              <w:spacing w:before="0"/>
              <w:rPr>
                <w:sz w:val="20"/>
              </w:rPr>
            </w:pPr>
          </w:p>
          <w:p w:rsidR="00C31389" w:rsidRDefault="00C31389" w14:paraId="21FE192D" w14:textId="77777777">
            <w:pPr>
              <w:pStyle w:val="TableParagraph"/>
              <w:spacing w:before="0"/>
              <w:rPr>
                <w:sz w:val="20"/>
              </w:rPr>
            </w:pPr>
          </w:p>
          <w:p w:rsidR="00C31389" w:rsidRDefault="00C31389" w14:paraId="2C18852D" w14:textId="77777777">
            <w:pPr>
              <w:pStyle w:val="TableParagraph"/>
              <w:spacing w:before="0"/>
              <w:rPr>
                <w:sz w:val="20"/>
              </w:rPr>
            </w:pPr>
          </w:p>
          <w:p w:rsidR="00C31389" w:rsidRDefault="00C31389" w14:paraId="43B9E12B" w14:textId="77777777">
            <w:pPr>
              <w:pStyle w:val="TableParagraph"/>
              <w:spacing w:before="0"/>
              <w:rPr>
                <w:sz w:val="20"/>
              </w:rPr>
            </w:pPr>
          </w:p>
          <w:p w:rsidR="00C31389" w:rsidRDefault="00C31389" w14:paraId="4D0015F2" w14:textId="77777777">
            <w:pPr>
              <w:pStyle w:val="TableParagraph"/>
              <w:spacing w:before="0"/>
              <w:rPr>
                <w:sz w:val="20"/>
              </w:rPr>
            </w:pPr>
          </w:p>
          <w:p w:rsidR="00C31389" w:rsidRDefault="00C31389" w14:paraId="1756D143" w14:textId="77777777">
            <w:pPr>
              <w:pStyle w:val="TableParagraph"/>
              <w:spacing w:before="0"/>
            </w:pPr>
          </w:p>
          <w:p w:rsidR="00C31389" w:rsidRDefault="00561FBD" w14:paraId="78A6C3D7" w14:textId="77777777">
            <w:pPr>
              <w:pStyle w:val="TableParagraph"/>
              <w:spacing w:before="0"/>
              <w:ind w:left="122"/>
              <w:rPr>
                <w:b/>
                <w:sz w:val="18"/>
              </w:rPr>
            </w:pPr>
            <w:r>
              <w:rPr>
                <w:b/>
                <w:spacing w:val="-2"/>
                <w:sz w:val="18"/>
              </w:rPr>
              <w:t>Measure Characterization</w:t>
            </w:r>
          </w:p>
        </w:tc>
        <w:tc>
          <w:tcPr>
            <w:tcW w:w="1117" w:type="dxa"/>
            <w:tcBorders>
              <w:top w:val="single" w:color="94D500" w:sz="4" w:space="0"/>
              <w:bottom w:val="single" w:color="94D500" w:sz="4" w:space="0"/>
            </w:tcBorders>
          </w:tcPr>
          <w:p w:rsidR="00C31389" w:rsidRDefault="00C31389" w14:paraId="30B3FA67" w14:textId="77777777">
            <w:pPr>
              <w:pStyle w:val="TableParagraph"/>
              <w:spacing w:before="0"/>
              <w:rPr>
                <w:sz w:val="20"/>
              </w:rPr>
            </w:pPr>
          </w:p>
          <w:p w:rsidR="00C31389" w:rsidRDefault="00C31389" w14:paraId="039A1F75" w14:textId="77777777">
            <w:pPr>
              <w:pStyle w:val="TableParagraph"/>
              <w:spacing w:before="0"/>
              <w:rPr>
                <w:sz w:val="20"/>
              </w:rPr>
            </w:pPr>
          </w:p>
          <w:p w:rsidR="00C31389" w:rsidRDefault="00C31389" w14:paraId="4AB57D68" w14:textId="77777777">
            <w:pPr>
              <w:pStyle w:val="TableParagraph"/>
              <w:spacing w:before="0"/>
              <w:rPr>
                <w:sz w:val="20"/>
              </w:rPr>
            </w:pPr>
          </w:p>
          <w:p w:rsidR="00C31389" w:rsidRDefault="00C31389" w14:paraId="2F98D793" w14:textId="77777777">
            <w:pPr>
              <w:pStyle w:val="TableParagraph"/>
              <w:spacing w:before="0"/>
              <w:rPr>
                <w:sz w:val="20"/>
              </w:rPr>
            </w:pPr>
          </w:p>
          <w:p w:rsidR="00C31389" w:rsidRDefault="00C31389" w14:paraId="1592DF3F" w14:textId="77777777">
            <w:pPr>
              <w:pStyle w:val="TableParagraph"/>
              <w:spacing w:before="0"/>
              <w:rPr>
                <w:sz w:val="20"/>
              </w:rPr>
            </w:pPr>
          </w:p>
          <w:p w:rsidR="00C31389" w:rsidRDefault="00C31389" w14:paraId="3E8B3A3F" w14:textId="77777777">
            <w:pPr>
              <w:pStyle w:val="TableParagraph"/>
              <w:spacing w:before="0"/>
              <w:rPr>
                <w:sz w:val="20"/>
              </w:rPr>
            </w:pPr>
          </w:p>
          <w:p w:rsidR="00C31389" w:rsidRDefault="00561FBD" w14:paraId="7E464BDD" w14:textId="77777777">
            <w:pPr>
              <w:pStyle w:val="TableParagraph"/>
              <w:spacing w:before="126"/>
              <w:ind w:left="147"/>
              <w:rPr>
                <w:sz w:val="18"/>
              </w:rPr>
            </w:pPr>
            <w:r>
              <w:rPr>
                <w:spacing w:val="-2"/>
                <w:sz w:val="18"/>
              </w:rPr>
              <w:t>SolCalRen</w:t>
            </w:r>
          </w:p>
        </w:tc>
        <w:tc>
          <w:tcPr>
            <w:tcW w:w="5392" w:type="dxa"/>
            <w:tcBorders>
              <w:top w:val="single" w:color="94D500" w:sz="4" w:space="0"/>
              <w:bottom w:val="single" w:color="94D500" w:sz="4" w:space="0"/>
            </w:tcBorders>
          </w:tcPr>
          <w:p w:rsidR="00C31389" w:rsidRDefault="00561FBD" w14:paraId="69D95A57" w14:textId="77777777">
            <w:pPr>
              <w:pStyle w:val="TableParagraph"/>
              <w:spacing w:before="57"/>
              <w:ind w:left="110" w:right="119" w:hanging="1"/>
              <w:rPr>
                <w:sz w:val="18"/>
              </w:rPr>
            </w:pPr>
            <w:r>
              <w:rPr>
                <w:sz w:val="18"/>
              </w:rPr>
              <w:t xml:space="preserve">SoCalREN is concerned that Commercial Retrofits are modeled with outdated or inappropriate assumptions, impacting the </w:t>
            </w:r>
            <w:r>
              <w:rPr>
                <w:sz w:val="18"/>
              </w:rPr>
              <w:t xml:space="preserve">forecasted potential for the multifamily sector. Per Table 3-19, it appears that the residential sector addresses new construction (through energy codes and Zero Net Energy) and retrofit (through Energy Upgrade California assumptions) while the commercial </w:t>
            </w:r>
            <w:r>
              <w:rPr>
                <w:sz w:val="18"/>
              </w:rPr>
              <w:t>sector only appears to be addressed for new construction (energy code and Zero Net Energy). The reference to Energy Upgrade California for residential relies on methodologies that were developed over eight years ago (with the development of the Energy Upgr</w:t>
            </w:r>
            <w:r>
              <w:rPr>
                <w:sz w:val="18"/>
              </w:rPr>
              <w:t>ade California measure package)</w:t>
            </w:r>
            <w:r>
              <w:rPr>
                <w:spacing w:val="-5"/>
                <w:sz w:val="18"/>
              </w:rPr>
              <w:t xml:space="preserve"> </w:t>
            </w:r>
            <w:r>
              <w:rPr>
                <w:sz w:val="18"/>
              </w:rPr>
              <w:t>and</w:t>
            </w:r>
            <w:r>
              <w:rPr>
                <w:spacing w:val="-4"/>
                <w:sz w:val="18"/>
              </w:rPr>
              <w:t xml:space="preserve"> </w:t>
            </w:r>
            <w:r>
              <w:rPr>
                <w:sz w:val="18"/>
              </w:rPr>
              <w:t>may</w:t>
            </w:r>
            <w:r>
              <w:rPr>
                <w:spacing w:val="-5"/>
                <w:sz w:val="18"/>
              </w:rPr>
              <w:t xml:space="preserve"> </w:t>
            </w:r>
            <w:r>
              <w:rPr>
                <w:sz w:val="18"/>
              </w:rPr>
              <w:t>not</w:t>
            </w:r>
            <w:r>
              <w:rPr>
                <w:spacing w:val="-5"/>
                <w:sz w:val="18"/>
              </w:rPr>
              <w:t xml:space="preserve"> </w:t>
            </w:r>
            <w:r>
              <w:rPr>
                <w:sz w:val="18"/>
              </w:rPr>
              <w:t>align</w:t>
            </w:r>
            <w:r>
              <w:rPr>
                <w:spacing w:val="-4"/>
                <w:sz w:val="18"/>
              </w:rPr>
              <w:t xml:space="preserve"> </w:t>
            </w:r>
            <w:r>
              <w:rPr>
                <w:sz w:val="18"/>
              </w:rPr>
              <w:t>with</w:t>
            </w:r>
            <w:r>
              <w:rPr>
                <w:spacing w:val="-6"/>
                <w:sz w:val="18"/>
              </w:rPr>
              <w:t xml:space="preserve"> </w:t>
            </w:r>
            <w:r>
              <w:rPr>
                <w:sz w:val="18"/>
              </w:rPr>
              <w:t>current</w:t>
            </w:r>
            <w:r>
              <w:rPr>
                <w:spacing w:val="-5"/>
                <w:sz w:val="18"/>
              </w:rPr>
              <w:t xml:space="preserve"> </w:t>
            </w:r>
            <w:r>
              <w:rPr>
                <w:sz w:val="18"/>
              </w:rPr>
              <w:t>whole</w:t>
            </w:r>
            <w:r>
              <w:rPr>
                <w:spacing w:val="-6"/>
                <w:sz w:val="18"/>
              </w:rPr>
              <w:t xml:space="preserve"> </w:t>
            </w:r>
            <w:r>
              <w:rPr>
                <w:sz w:val="18"/>
              </w:rPr>
              <w:t>building</w:t>
            </w:r>
            <w:r>
              <w:rPr>
                <w:spacing w:val="-6"/>
                <w:sz w:val="18"/>
              </w:rPr>
              <w:t xml:space="preserve"> </w:t>
            </w:r>
            <w:r>
              <w:rPr>
                <w:sz w:val="18"/>
              </w:rPr>
              <w:t>modeling assumptions that are currently in use by the various multifamily programs. SoCalREN recommends this assumption be reexamined and updated if warranted.</w:t>
            </w:r>
          </w:p>
        </w:tc>
        <w:tc>
          <w:tcPr>
            <w:tcW w:w="3427" w:type="dxa"/>
            <w:tcBorders>
              <w:top w:val="single" w:color="94D500" w:sz="4" w:space="0"/>
              <w:bottom w:val="single" w:color="94D500" w:sz="4" w:space="0"/>
            </w:tcBorders>
          </w:tcPr>
          <w:p w:rsidR="00C31389" w:rsidRDefault="00C31389" w14:paraId="526B9B96" w14:textId="77777777">
            <w:pPr>
              <w:pStyle w:val="TableParagraph"/>
              <w:spacing w:before="0"/>
              <w:rPr>
                <w:sz w:val="20"/>
              </w:rPr>
            </w:pPr>
          </w:p>
          <w:p w:rsidR="00C31389" w:rsidRDefault="00C31389" w14:paraId="053CBD7C" w14:textId="77777777">
            <w:pPr>
              <w:pStyle w:val="TableParagraph"/>
              <w:spacing w:before="0"/>
              <w:rPr>
                <w:sz w:val="20"/>
              </w:rPr>
            </w:pPr>
          </w:p>
          <w:p w:rsidR="00C31389" w:rsidRDefault="00C31389" w14:paraId="063DF86B" w14:textId="77777777">
            <w:pPr>
              <w:pStyle w:val="TableParagraph"/>
              <w:spacing w:before="0"/>
              <w:rPr>
                <w:sz w:val="20"/>
              </w:rPr>
            </w:pPr>
          </w:p>
          <w:p w:rsidR="00C31389" w:rsidRDefault="00C31389" w14:paraId="126FE775" w14:textId="77777777">
            <w:pPr>
              <w:pStyle w:val="TableParagraph"/>
              <w:spacing w:before="0"/>
              <w:rPr>
                <w:sz w:val="17"/>
              </w:rPr>
            </w:pPr>
          </w:p>
          <w:p w:rsidR="00C31389" w:rsidRDefault="00561FBD" w14:paraId="6A0F2B06" w14:textId="77777777">
            <w:pPr>
              <w:pStyle w:val="TableParagraph"/>
              <w:spacing w:before="0"/>
              <w:ind w:left="118" w:right="137"/>
              <w:rPr>
                <w:sz w:val="18"/>
              </w:rPr>
            </w:pPr>
            <w:r>
              <w:rPr>
                <w:sz w:val="18"/>
              </w:rPr>
              <w:t xml:space="preserve">The 2023 </w:t>
            </w:r>
            <w:r>
              <w:rPr>
                <w:sz w:val="18"/>
              </w:rPr>
              <w:t>study was unable to place emphasis on this aspect due to limited time</w:t>
            </w:r>
            <w:r>
              <w:rPr>
                <w:spacing w:val="-6"/>
                <w:sz w:val="18"/>
              </w:rPr>
              <w:t xml:space="preserve"> </w:t>
            </w:r>
            <w:r>
              <w:rPr>
                <w:sz w:val="18"/>
              </w:rPr>
              <w:t>and</w:t>
            </w:r>
            <w:r>
              <w:rPr>
                <w:spacing w:val="-6"/>
                <w:sz w:val="18"/>
              </w:rPr>
              <w:t xml:space="preserve"> </w:t>
            </w:r>
            <w:r>
              <w:rPr>
                <w:sz w:val="18"/>
              </w:rPr>
              <w:t>budget,</w:t>
            </w:r>
            <w:r>
              <w:rPr>
                <w:spacing w:val="-5"/>
                <w:sz w:val="18"/>
              </w:rPr>
              <w:t xml:space="preserve"> </w:t>
            </w:r>
            <w:r>
              <w:rPr>
                <w:sz w:val="18"/>
              </w:rPr>
              <w:t>much</w:t>
            </w:r>
            <w:r>
              <w:rPr>
                <w:spacing w:val="-6"/>
                <w:sz w:val="18"/>
              </w:rPr>
              <w:t xml:space="preserve"> </w:t>
            </w:r>
            <w:r>
              <w:rPr>
                <w:sz w:val="18"/>
              </w:rPr>
              <w:t>of</w:t>
            </w:r>
            <w:r>
              <w:rPr>
                <w:spacing w:val="-5"/>
                <w:sz w:val="18"/>
              </w:rPr>
              <w:t xml:space="preserve"> </w:t>
            </w:r>
            <w:r>
              <w:rPr>
                <w:sz w:val="18"/>
              </w:rPr>
              <w:t>the</w:t>
            </w:r>
            <w:r>
              <w:rPr>
                <w:spacing w:val="-6"/>
                <w:sz w:val="18"/>
              </w:rPr>
              <w:t xml:space="preserve"> </w:t>
            </w:r>
            <w:r>
              <w:rPr>
                <w:sz w:val="18"/>
              </w:rPr>
              <w:t>data</w:t>
            </w:r>
            <w:r>
              <w:rPr>
                <w:spacing w:val="-6"/>
                <w:sz w:val="18"/>
              </w:rPr>
              <w:t xml:space="preserve"> </w:t>
            </w:r>
            <w:r>
              <w:rPr>
                <w:sz w:val="18"/>
              </w:rPr>
              <w:t>from previous PG studies continued to be used in the 2023 study.</w:t>
            </w:r>
            <w:r>
              <w:rPr>
                <w:spacing w:val="40"/>
                <w:sz w:val="18"/>
              </w:rPr>
              <w:t xml:space="preserve"> </w:t>
            </w:r>
            <w:r>
              <w:rPr>
                <w:sz w:val="18"/>
              </w:rPr>
              <w:t xml:space="preserve">The 2025 PG study can consider this </w:t>
            </w:r>
            <w:r>
              <w:rPr>
                <w:spacing w:val="-2"/>
                <w:sz w:val="18"/>
              </w:rPr>
              <w:t>recommendation.</w:t>
            </w:r>
          </w:p>
        </w:tc>
      </w:tr>
      <w:tr w:rsidR="00C31389" w14:paraId="0051895E" w14:textId="77777777">
        <w:trPr>
          <w:trHeight w:val="720"/>
        </w:trPr>
        <w:tc>
          <w:tcPr>
            <w:tcW w:w="1680" w:type="dxa"/>
            <w:tcBorders>
              <w:top w:val="single" w:color="94D500" w:sz="4" w:space="0"/>
              <w:bottom w:val="single" w:color="94D500" w:sz="4" w:space="0"/>
            </w:tcBorders>
          </w:tcPr>
          <w:p w:rsidR="00C31389" w:rsidRDefault="00C31389" w14:paraId="0AA0CD0C" w14:textId="77777777">
            <w:pPr>
              <w:pStyle w:val="TableParagraph"/>
              <w:spacing w:before="3"/>
            </w:pPr>
          </w:p>
          <w:p w:rsidR="00C31389" w:rsidRDefault="00561FBD" w14:paraId="55E70173" w14:textId="77777777">
            <w:pPr>
              <w:pStyle w:val="TableParagraph"/>
              <w:spacing w:before="1"/>
              <w:ind w:left="122"/>
              <w:rPr>
                <w:b/>
                <w:sz w:val="18"/>
              </w:rPr>
            </w:pPr>
            <w:r>
              <w:rPr>
                <w:b/>
                <w:spacing w:val="-2"/>
                <w:sz w:val="18"/>
              </w:rPr>
              <w:t>Methodology</w:t>
            </w:r>
          </w:p>
        </w:tc>
        <w:tc>
          <w:tcPr>
            <w:tcW w:w="1117" w:type="dxa"/>
            <w:tcBorders>
              <w:top w:val="single" w:color="94D500" w:sz="4" w:space="0"/>
              <w:bottom w:val="single" w:color="94D500" w:sz="4" w:space="0"/>
            </w:tcBorders>
          </w:tcPr>
          <w:p w:rsidR="00C31389" w:rsidRDefault="00C31389" w14:paraId="1A2F8C8B" w14:textId="77777777">
            <w:pPr>
              <w:pStyle w:val="TableParagraph"/>
              <w:spacing w:before="3"/>
            </w:pPr>
          </w:p>
          <w:p w:rsidR="00C31389" w:rsidRDefault="00561FBD" w14:paraId="2D2F7C53" w14:textId="77777777">
            <w:pPr>
              <w:pStyle w:val="TableParagraph"/>
              <w:spacing w:before="1"/>
              <w:ind w:left="147"/>
              <w:rPr>
                <w:sz w:val="18"/>
              </w:rPr>
            </w:pPr>
            <w:r>
              <w:rPr>
                <w:spacing w:val="-4"/>
                <w:sz w:val="18"/>
              </w:rPr>
              <w:t>NRDC</w:t>
            </w:r>
          </w:p>
        </w:tc>
        <w:tc>
          <w:tcPr>
            <w:tcW w:w="5392" w:type="dxa"/>
            <w:tcBorders>
              <w:top w:val="single" w:color="94D500" w:sz="4" w:space="0"/>
              <w:bottom w:val="single" w:color="94D500" w:sz="4" w:space="0"/>
            </w:tcBorders>
          </w:tcPr>
          <w:p w:rsidR="00C31389" w:rsidRDefault="00561FBD" w14:paraId="11C14F1A" w14:textId="77777777">
            <w:pPr>
              <w:pStyle w:val="TableParagraph"/>
              <w:spacing w:before="49"/>
              <w:ind w:left="110" w:right="130" w:hanging="1"/>
              <w:rPr>
                <w:sz w:val="18"/>
              </w:rPr>
            </w:pPr>
            <w:r>
              <w:rPr>
                <w:sz w:val="18"/>
              </w:rPr>
              <w:t xml:space="preserve">To account for </w:t>
            </w:r>
            <w:r>
              <w:rPr>
                <w:sz w:val="18"/>
              </w:rPr>
              <w:t>temporal variation in savings, the TSB can capture</w:t>
            </w:r>
            <w:r>
              <w:rPr>
                <w:spacing w:val="-5"/>
                <w:sz w:val="18"/>
              </w:rPr>
              <w:t xml:space="preserve"> </w:t>
            </w:r>
            <w:r>
              <w:rPr>
                <w:sz w:val="18"/>
              </w:rPr>
              <w:t>this</w:t>
            </w:r>
            <w:r>
              <w:rPr>
                <w:spacing w:val="-4"/>
                <w:sz w:val="18"/>
              </w:rPr>
              <w:t xml:space="preserve"> </w:t>
            </w:r>
            <w:r>
              <w:rPr>
                <w:sz w:val="18"/>
              </w:rPr>
              <w:t>variation</w:t>
            </w:r>
            <w:r>
              <w:rPr>
                <w:spacing w:val="-5"/>
                <w:sz w:val="18"/>
              </w:rPr>
              <w:t xml:space="preserve"> </w:t>
            </w:r>
            <w:r>
              <w:rPr>
                <w:sz w:val="18"/>
              </w:rPr>
              <w:t>with</w:t>
            </w:r>
            <w:r>
              <w:rPr>
                <w:spacing w:val="-5"/>
                <w:sz w:val="18"/>
              </w:rPr>
              <w:t xml:space="preserve"> </w:t>
            </w:r>
            <w:r>
              <w:rPr>
                <w:sz w:val="18"/>
              </w:rPr>
              <w:t>more</w:t>
            </w:r>
            <w:r>
              <w:rPr>
                <w:spacing w:val="-5"/>
                <w:sz w:val="18"/>
              </w:rPr>
              <w:t xml:space="preserve"> </w:t>
            </w:r>
            <w:r>
              <w:rPr>
                <w:sz w:val="18"/>
              </w:rPr>
              <w:t>granular</w:t>
            </w:r>
            <w:r>
              <w:rPr>
                <w:spacing w:val="-4"/>
                <w:sz w:val="18"/>
              </w:rPr>
              <w:t xml:space="preserve"> </w:t>
            </w:r>
            <w:r>
              <w:rPr>
                <w:sz w:val="18"/>
              </w:rPr>
              <w:t>load-shape</w:t>
            </w:r>
            <w:r>
              <w:rPr>
                <w:spacing w:val="-5"/>
                <w:sz w:val="18"/>
              </w:rPr>
              <w:t xml:space="preserve"> </w:t>
            </w:r>
            <w:r>
              <w:rPr>
                <w:sz w:val="18"/>
              </w:rPr>
              <w:t>and</w:t>
            </w:r>
            <w:r>
              <w:rPr>
                <w:spacing w:val="-5"/>
                <w:sz w:val="18"/>
              </w:rPr>
              <w:t xml:space="preserve"> </w:t>
            </w:r>
            <w:r>
              <w:rPr>
                <w:sz w:val="18"/>
              </w:rPr>
              <w:t>more granular avoided costs.</w:t>
            </w:r>
          </w:p>
        </w:tc>
        <w:tc>
          <w:tcPr>
            <w:tcW w:w="3427" w:type="dxa"/>
            <w:tcBorders>
              <w:top w:val="single" w:color="94D500" w:sz="4" w:space="0"/>
              <w:bottom w:val="single" w:color="94D500" w:sz="4" w:space="0"/>
            </w:tcBorders>
          </w:tcPr>
          <w:p w:rsidR="00C31389" w:rsidRDefault="00561FBD" w14:paraId="40044ED8" w14:textId="77777777">
            <w:pPr>
              <w:pStyle w:val="TableParagraph"/>
              <w:spacing w:before="152"/>
              <w:ind w:left="118"/>
              <w:rPr>
                <w:sz w:val="18"/>
              </w:rPr>
            </w:pPr>
            <w:r>
              <w:rPr>
                <w:sz w:val="18"/>
              </w:rPr>
              <w:t>The</w:t>
            </w:r>
            <w:r>
              <w:rPr>
                <w:spacing w:val="-7"/>
                <w:sz w:val="18"/>
              </w:rPr>
              <w:t xml:space="preserve"> </w:t>
            </w:r>
            <w:r>
              <w:rPr>
                <w:sz w:val="18"/>
              </w:rPr>
              <w:t>2025</w:t>
            </w:r>
            <w:r>
              <w:rPr>
                <w:spacing w:val="-7"/>
                <w:sz w:val="18"/>
              </w:rPr>
              <w:t xml:space="preserve"> </w:t>
            </w:r>
            <w:r>
              <w:rPr>
                <w:sz w:val="18"/>
              </w:rPr>
              <w:t>PG</w:t>
            </w:r>
            <w:r>
              <w:rPr>
                <w:spacing w:val="-7"/>
                <w:sz w:val="18"/>
              </w:rPr>
              <w:t xml:space="preserve"> </w:t>
            </w:r>
            <w:r>
              <w:rPr>
                <w:sz w:val="18"/>
              </w:rPr>
              <w:t>study</w:t>
            </w:r>
            <w:r>
              <w:rPr>
                <w:spacing w:val="-7"/>
                <w:sz w:val="18"/>
              </w:rPr>
              <w:t xml:space="preserve"> </w:t>
            </w:r>
            <w:r>
              <w:rPr>
                <w:sz w:val="18"/>
              </w:rPr>
              <w:t>can</w:t>
            </w:r>
            <w:r>
              <w:rPr>
                <w:spacing w:val="-7"/>
                <w:sz w:val="18"/>
              </w:rPr>
              <w:t xml:space="preserve"> </w:t>
            </w:r>
            <w:r>
              <w:rPr>
                <w:sz w:val="18"/>
              </w:rPr>
              <w:t>consider</w:t>
            </w:r>
            <w:r>
              <w:rPr>
                <w:spacing w:val="-7"/>
                <w:sz w:val="18"/>
              </w:rPr>
              <w:t xml:space="preserve"> </w:t>
            </w:r>
            <w:r>
              <w:rPr>
                <w:sz w:val="18"/>
              </w:rPr>
              <w:t xml:space="preserve">this </w:t>
            </w:r>
            <w:r>
              <w:rPr>
                <w:spacing w:val="-2"/>
                <w:sz w:val="18"/>
              </w:rPr>
              <w:t>recommendation.</w:t>
            </w:r>
          </w:p>
        </w:tc>
      </w:tr>
      <w:tr w:rsidR="00C31389" w14:paraId="00F7021D" w14:textId="77777777">
        <w:trPr>
          <w:trHeight w:val="2735"/>
        </w:trPr>
        <w:tc>
          <w:tcPr>
            <w:tcW w:w="1680" w:type="dxa"/>
            <w:tcBorders>
              <w:top w:val="single" w:color="94D500" w:sz="4" w:space="0"/>
              <w:bottom w:val="single" w:color="94D500" w:sz="4" w:space="0"/>
            </w:tcBorders>
          </w:tcPr>
          <w:p w:rsidR="00C31389" w:rsidRDefault="00C31389" w14:paraId="530F86E8" w14:textId="77777777">
            <w:pPr>
              <w:pStyle w:val="TableParagraph"/>
              <w:spacing w:before="0"/>
              <w:rPr>
                <w:sz w:val="20"/>
              </w:rPr>
            </w:pPr>
          </w:p>
          <w:p w:rsidR="00C31389" w:rsidRDefault="00C31389" w14:paraId="15B74F1F" w14:textId="77777777">
            <w:pPr>
              <w:pStyle w:val="TableParagraph"/>
              <w:spacing w:before="0"/>
              <w:rPr>
                <w:sz w:val="20"/>
              </w:rPr>
            </w:pPr>
          </w:p>
          <w:p w:rsidR="00C31389" w:rsidRDefault="00C31389" w14:paraId="34631C26" w14:textId="77777777">
            <w:pPr>
              <w:pStyle w:val="TableParagraph"/>
              <w:spacing w:before="0"/>
              <w:rPr>
                <w:sz w:val="20"/>
              </w:rPr>
            </w:pPr>
          </w:p>
          <w:p w:rsidR="00C31389" w:rsidRDefault="00C31389" w14:paraId="593BA702" w14:textId="77777777">
            <w:pPr>
              <w:pStyle w:val="TableParagraph"/>
              <w:spacing w:before="0"/>
              <w:rPr>
                <w:sz w:val="20"/>
              </w:rPr>
            </w:pPr>
          </w:p>
          <w:p w:rsidR="00C31389" w:rsidRDefault="00C31389" w14:paraId="6082E352" w14:textId="77777777">
            <w:pPr>
              <w:pStyle w:val="TableParagraph"/>
              <w:spacing w:before="10"/>
              <w:rPr>
                <w:sz w:val="29"/>
              </w:rPr>
            </w:pPr>
          </w:p>
          <w:p w:rsidR="00C31389" w:rsidRDefault="00561FBD" w14:paraId="1857BAB3" w14:textId="77777777">
            <w:pPr>
              <w:pStyle w:val="TableParagraph"/>
              <w:spacing w:before="0"/>
              <w:ind w:left="122"/>
              <w:rPr>
                <w:b/>
                <w:sz w:val="18"/>
              </w:rPr>
            </w:pPr>
            <w:r>
              <w:rPr>
                <w:b/>
                <w:spacing w:val="-2"/>
                <w:sz w:val="18"/>
              </w:rPr>
              <w:t>Methodology</w:t>
            </w:r>
          </w:p>
        </w:tc>
        <w:tc>
          <w:tcPr>
            <w:tcW w:w="1117" w:type="dxa"/>
            <w:tcBorders>
              <w:top w:val="single" w:color="94D500" w:sz="4" w:space="0"/>
              <w:bottom w:val="single" w:color="94D500" w:sz="4" w:space="0"/>
            </w:tcBorders>
          </w:tcPr>
          <w:p w:rsidR="00C31389" w:rsidRDefault="00C31389" w14:paraId="78A22CCE" w14:textId="77777777">
            <w:pPr>
              <w:pStyle w:val="TableParagraph"/>
              <w:spacing w:before="0"/>
              <w:rPr>
                <w:sz w:val="20"/>
              </w:rPr>
            </w:pPr>
          </w:p>
          <w:p w:rsidR="00C31389" w:rsidRDefault="00C31389" w14:paraId="009DDB7E" w14:textId="77777777">
            <w:pPr>
              <w:pStyle w:val="TableParagraph"/>
              <w:spacing w:before="0"/>
              <w:rPr>
                <w:sz w:val="20"/>
              </w:rPr>
            </w:pPr>
          </w:p>
          <w:p w:rsidR="00C31389" w:rsidRDefault="00C31389" w14:paraId="42FA1F9B" w14:textId="77777777">
            <w:pPr>
              <w:pStyle w:val="TableParagraph"/>
              <w:spacing w:before="0"/>
              <w:rPr>
                <w:sz w:val="20"/>
              </w:rPr>
            </w:pPr>
          </w:p>
          <w:p w:rsidR="00C31389" w:rsidRDefault="00C31389" w14:paraId="109B44F2" w14:textId="77777777">
            <w:pPr>
              <w:pStyle w:val="TableParagraph"/>
              <w:spacing w:before="0"/>
              <w:rPr>
                <w:sz w:val="20"/>
              </w:rPr>
            </w:pPr>
          </w:p>
          <w:p w:rsidR="00C31389" w:rsidRDefault="00C31389" w14:paraId="2FB0A95E" w14:textId="77777777">
            <w:pPr>
              <w:pStyle w:val="TableParagraph"/>
              <w:spacing w:before="10"/>
              <w:rPr>
                <w:sz w:val="29"/>
              </w:rPr>
            </w:pPr>
          </w:p>
          <w:p w:rsidR="00C31389" w:rsidRDefault="00561FBD" w14:paraId="275E507E" w14:textId="77777777">
            <w:pPr>
              <w:pStyle w:val="TableParagraph"/>
              <w:spacing w:before="0"/>
              <w:ind w:left="147"/>
              <w:rPr>
                <w:sz w:val="18"/>
              </w:rPr>
            </w:pPr>
            <w:r>
              <w:rPr>
                <w:spacing w:val="-5"/>
                <w:sz w:val="18"/>
              </w:rPr>
              <w:t>SCE</w:t>
            </w:r>
          </w:p>
        </w:tc>
        <w:tc>
          <w:tcPr>
            <w:tcW w:w="5392" w:type="dxa"/>
            <w:tcBorders>
              <w:top w:val="single" w:color="94D500" w:sz="4" w:space="0"/>
              <w:bottom w:val="single" w:color="94D500" w:sz="4" w:space="0"/>
            </w:tcBorders>
          </w:tcPr>
          <w:p w:rsidR="00C31389" w:rsidRDefault="00561FBD" w14:paraId="6842C757" w14:textId="77777777">
            <w:pPr>
              <w:pStyle w:val="TableParagraph"/>
              <w:spacing w:before="21"/>
              <w:ind w:left="110" w:right="117"/>
              <w:rPr>
                <w:sz w:val="18"/>
              </w:rPr>
            </w:pPr>
            <w:r>
              <w:rPr>
                <w:sz w:val="18"/>
              </w:rPr>
              <w:t xml:space="preserve">The “Logit” approach appears to increase </w:t>
            </w:r>
            <w:r>
              <w:rPr>
                <w:sz w:val="18"/>
              </w:rPr>
              <w:t>potential by including non-financial</w:t>
            </w:r>
            <w:r>
              <w:rPr>
                <w:spacing w:val="-1"/>
                <w:sz w:val="18"/>
              </w:rPr>
              <w:t xml:space="preserve"> </w:t>
            </w:r>
            <w:r>
              <w:rPr>
                <w:sz w:val="18"/>
              </w:rPr>
              <w:t>factors</w:t>
            </w:r>
            <w:r>
              <w:rPr>
                <w:spacing w:val="-1"/>
                <w:sz w:val="18"/>
              </w:rPr>
              <w:t xml:space="preserve"> </w:t>
            </w:r>
            <w:r>
              <w:rPr>
                <w:sz w:val="18"/>
              </w:rPr>
              <w:t>for</w:t>
            </w:r>
            <w:r>
              <w:rPr>
                <w:spacing w:val="-1"/>
                <w:sz w:val="18"/>
              </w:rPr>
              <w:t xml:space="preserve"> </w:t>
            </w:r>
            <w:r>
              <w:rPr>
                <w:sz w:val="18"/>
              </w:rPr>
              <w:t>participant</w:t>
            </w:r>
            <w:r>
              <w:rPr>
                <w:spacing w:val="-1"/>
                <w:sz w:val="18"/>
              </w:rPr>
              <w:t xml:space="preserve"> </w:t>
            </w:r>
            <w:r>
              <w:rPr>
                <w:sz w:val="18"/>
              </w:rPr>
              <w:t>willingness</w:t>
            </w:r>
            <w:r>
              <w:rPr>
                <w:spacing w:val="-1"/>
                <w:sz w:val="18"/>
              </w:rPr>
              <w:t xml:space="preserve"> </w:t>
            </w:r>
            <w:r>
              <w:rPr>
                <w:sz w:val="18"/>
              </w:rPr>
              <w:t>to</w:t>
            </w:r>
            <w:r>
              <w:rPr>
                <w:spacing w:val="-2"/>
                <w:sz w:val="18"/>
              </w:rPr>
              <w:t xml:space="preserve"> </w:t>
            </w:r>
            <w:r>
              <w:rPr>
                <w:sz w:val="18"/>
              </w:rPr>
              <w:t>adopt</w:t>
            </w:r>
            <w:r>
              <w:rPr>
                <w:spacing w:val="-1"/>
                <w:sz w:val="18"/>
              </w:rPr>
              <w:t xml:space="preserve"> </w:t>
            </w:r>
            <w:r>
              <w:rPr>
                <w:sz w:val="18"/>
              </w:rPr>
              <w:t>EE.</w:t>
            </w:r>
            <w:r>
              <w:rPr>
                <w:spacing w:val="-1"/>
                <w:sz w:val="18"/>
              </w:rPr>
              <w:t xml:space="preserve"> </w:t>
            </w:r>
            <w:r>
              <w:rPr>
                <w:sz w:val="18"/>
              </w:rPr>
              <w:t>SCE believes</w:t>
            </w:r>
            <w:r>
              <w:rPr>
                <w:spacing w:val="-4"/>
                <w:sz w:val="18"/>
              </w:rPr>
              <w:t xml:space="preserve"> </w:t>
            </w:r>
            <w:r>
              <w:rPr>
                <w:sz w:val="18"/>
              </w:rPr>
              <w:t>that</w:t>
            </w:r>
            <w:r>
              <w:rPr>
                <w:spacing w:val="-4"/>
                <w:sz w:val="18"/>
              </w:rPr>
              <w:t xml:space="preserve"> </w:t>
            </w:r>
            <w:r>
              <w:rPr>
                <w:sz w:val="18"/>
              </w:rPr>
              <w:t>this</w:t>
            </w:r>
            <w:r>
              <w:rPr>
                <w:spacing w:val="-4"/>
                <w:sz w:val="18"/>
              </w:rPr>
              <w:t xml:space="preserve"> </w:t>
            </w:r>
            <w:r>
              <w:rPr>
                <w:sz w:val="18"/>
              </w:rPr>
              <w:t>approach</w:t>
            </w:r>
            <w:r>
              <w:rPr>
                <w:spacing w:val="-5"/>
                <w:sz w:val="18"/>
              </w:rPr>
              <w:t xml:space="preserve"> </w:t>
            </w:r>
            <w:r>
              <w:rPr>
                <w:sz w:val="18"/>
              </w:rPr>
              <w:t>conflicts</w:t>
            </w:r>
            <w:r>
              <w:rPr>
                <w:spacing w:val="-4"/>
                <w:sz w:val="18"/>
              </w:rPr>
              <w:t xml:space="preserve"> </w:t>
            </w:r>
            <w:r>
              <w:rPr>
                <w:sz w:val="18"/>
              </w:rPr>
              <w:t>with</w:t>
            </w:r>
            <w:r>
              <w:rPr>
                <w:spacing w:val="-5"/>
                <w:sz w:val="18"/>
              </w:rPr>
              <w:t xml:space="preserve"> </w:t>
            </w:r>
            <w:r>
              <w:rPr>
                <w:sz w:val="18"/>
              </w:rPr>
              <w:t>historical</w:t>
            </w:r>
            <w:r>
              <w:rPr>
                <w:spacing w:val="-4"/>
                <w:sz w:val="18"/>
              </w:rPr>
              <w:t xml:space="preserve"> </w:t>
            </w:r>
            <w:r>
              <w:rPr>
                <w:sz w:val="18"/>
              </w:rPr>
              <w:t>EE</w:t>
            </w:r>
            <w:r>
              <w:rPr>
                <w:spacing w:val="-4"/>
                <w:sz w:val="18"/>
              </w:rPr>
              <w:t xml:space="preserve"> </w:t>
            </w:r>
            <w:r>
              <w:rPr>
                <w:sz w:val="18"/>
              </w:rPr>
              <w:t>policies</w:t>
            </w:r>
            <w:r>
              <w:rPr>
                <w:spacing w:val="-4"/>
                <w:sz w:val="18"/>
              </w:rPr>
              <w:t xml:space="preserve"> </w:t>
            </w:r>
            <w:r>
              <w:rPr>
                <w:sz w:val="18"/>
              </w:rPr>
              <w:t>on program attribution. In pages 15-19, the Draft Study determined the willingness of adoption based</w:t>
            </w:r>
            <w:r>
              <w:rPr>
                <w:sz w:val="18"/>
              </w:rPr>
              <w:t xml:space="preserve"> on factors beyond incremental cost such as “hassle factor”, “non-consumption performance”, “eco</w:t>
            </w:r>
            <w:r>
              <w:rPr>
                <w:spacing w:val="-3"/>
                <w:sz w:val="18"/>
              </w:rPr>
              <w:t xml:space="preserve"> </w:t>
            </w:r>
            <w:r>
              <w:rPr>
                <w:sz w:val="18"/>
              </w:rPr>
              <w:t>impacts”,</w:t>
            </w:r>
            <w:r>
              <w:rPr>
                <w:spacing w:val="-2"/>
                <w:sz w:val="18"/>
              </w:rPr>
              <w:t xml:space="preserve"> </w:t>
            </w:r>
            <w:r>
              <w:rPr>
                <w:sz w:val="18"/>
              </w:rPr>
              <w:t>and</w:t>
            </w:r>
            <w:r>
              <w:rPr>
                <w:spacing w:val="-3"/>
                <w:sz w:val="18"/>
              </w:rPr>
              <w:t xml:space="preserve"> </w:t>
            </w:r>
            <w:r>
              <w:rPr>
                <w:sz w:val="18"/>
              </w:rPr>
              <w:t>“social</w:t>
            </w:r>
            <w:r>
              <w:rPr>
                <w:spacing w:val="-2"/>
                <w:sz w:val="18"/>
              </w:rPr>
              <w:t xml:space="preserve"> </w:t>
            </w:r>
            <w:r>
              <w:rPr>
                <w:sz w:val="18"/>
              </w:rPr>
              <w:t>signaling”.</w:t>
            </w:r>
            <w:r>
              <w:rPr>
                <w:spacing w:val="-2"/>
                <w:sz w:val="18"/>
              </w:rPr>
              <w:t xml:space="preserve"> </w:t>
            </w:r>
            <w:r>
              <w:rPr>
                <w:sz w:val="18"/>
              </w:rPr>
              <w:t>These</w:t>
            </w:r>
            <w:r>
              <w:rPr>
                <w:spacing w:val="-1"/>
                <w:sz w:val="18"/>
              </w:rPr>
              <w:t xml:space="preserve"> </w:t>
            </w:r>
            <w:r>
              <w:rPr>
                <w:sz w:val="18"/>
              </w:rPr>
              <w:t>are</w:t>
            </w:r>
            <w:r>
              <w:rPr>
                <w:spacing w:val="-3"/>
                <w:sz w:val="18"/>
              </w:rPr>
              <w:t xml:space="preserve"> </w:t>
            </w:r>
            <w:r>
              <w:rPr>
                <w:sz w:val="18"/>
              </w:rPr>
              <w:t>useful</w:t>
            </w:r>
            <w:r>
              <w:rPr>
                <w:spacing w:val="-2"/>
                <w:sz w:val="18"/>
              </w:rPr>
              <w:t xml:space="preserve"> </w:t>
            </w:r>
            <w:r>
              <w:rPr>
                <w:sz w:val="18"/>
              </w:rPr>
              <w:t>metrics</w:t>
            </w:r>
            <w:r>
              <w:rPr>
                <w:spacing w:val="-2"/>
                <w:sz w:val="18"/>
              </w:rPr>
              <w:t xml:space="preserve"> </w:t>
            </w:r>
            <w:r>
              <w:rPr>
                <w:sz w:val="18"/>
              </w:rPr>
              <w:t>to understand customer acceptance, but current EE policy renders these non-financial reasons as caus</w:t>
            </w:r>
            <w:r>
              <w:rPr>
                <w:sz w:val="18"/>
              </w:rPr>
              <w:t>e to reduce EE program’s claimable savings. The logit approach would more accurately reflect claimable savings if these were factors that reduced the achievable potential from incentive programs, in line with EE attribution policies.</w:t>
            </w:r>
          </w:p>
        </w:tc>
        <w:tc>
          <w:tcPr>
            <w:tcW w:w="3427" w:type="dxa"/>
            <w:tcBorders>
              <w:top w:val="single" w:color="94D500" w:sz="4" w:space="0"/>
              <w:bottom w:val="single" w:color="94D500" w:sz="4" w:space="0"/>
            </w:tcBorders>
          </w:tcPr>
          <w:p w:rsidR="00C31389" w:rsidRDefault="00C31389" w14:paraId="64E63F14" w14:textId="77777777">
            <w:pPr>
              <w:pStyle w:val="TableParagraph"/>
              <w:spacing w:before="9"/>
              <w:rPr>
                <w:sz w:val="19"/>
              </w:rPr>
            </w:pPr>
          </w:p>
          <w:p w:rsidR="00C31389" w:rsidRDefault="00561FBD" w14:paraId="700EC05F" w14:textId="77777777">
            <w:pPr>
              <w:pStyle w:val="TableParagraph"/>
              <w:spacing w:before="0"/>
              <w:ind w:left="118" w:right="117"/>
              <w:rPr>
                <w:sz w:val="18"/>
              </w:rPr>
            </w:pPr>
            <w:r>
              <w:rPr>
                <w:sz w:val="18"/>
              </w:rPr>
              <w:t>There</w:t>
            </w:r>
            <w:r>
              <w:rPr>
                <w:spacing w:val="-9"/>
                <w:sz w:val="18"/>
              </w:rPr>
              <w:t xml:space="preserve"> </w:t>
            </w:r>
            <w:r>
              <w:rPr>
                <w:sz w:val="18"/>
              </w:rPr>
              <w:t>are</w:t>
            </w:r>
            <w:r>
              <w:rPr>
                <w:spacing w:val="-9"/>
                <w:sz w:val="18"/>
              </w:rPr>
              <w:t xml:space="preserve"> </w:t>
            </w:r>
            <w:r>
              <w:rPr>
                <w:sz w:val="18"/>
              </w:rPr>
              <w:t>two</w:t>
            </w:r>
            <w:r>
              <w:rPr>
                <w:spacing w:val="-8"/>
                <w:sz w:val="18"/>
              </w:rPr>
              <w:t xml:space="preserve"> </w:t>
            </w:r>
            <w:r>
              <w:rPr>
                <w:sz w:val="18"/>
              </w:rPr>
              <w:t>element</w:t>
            </w:r>
            <w:r>
              <w:rPr>
                <w:sz w:val="18"/>
              </w:rPr>
              <w:t>s</w:t>
            </w:r>
            <w:r>
              <w:rPr>
                <w:spacing w:val="-8"/>
                <w:sz w:val="18"/>
              </w:rPr>
              <w:t xml:space="preserve"> </w:t>
            </w:r>
            <w:r>
              <w:rPr>
                <w:sz w:val="18"/>
              </w:rPr>
              <w:t>here:</w:t>
            </w:r>
            <w:r>
              <w:rPr>
                <w:spacing w:val="-8"/>
                <w:sz w:val="18"/>
              </w:rPr>
              <w:t xml:space="preserve"> </w:t>
            </w:r>
            <w:r>
              <w:rPr>
                <w:sz w:val="18"/>
              </w:rPr>
              <w:t>attribution and adoption. The PG study is calculating the adoption ideally from program impacts. Programs may provide</w:t>
            </w:r>
            <w:r>
              <w:rPr>
                <w:spacing w:val="-1"/>
                <w:sz w:val="18"/>
              </w:rPr>
              <w:t xml:space="preserve"> </w:t>
            </w:r>
            <w:r>
              <w:rPr>
                <w:sz w:val="18"/>
              </w:rPr>
              <w:t>the</w:t>
            </w:r>
            <w:r>
              <w:rPr>
                <w:spacing w:val="-1"/>
                <w:sz w:val="18"/>
              </w:rPr>
              <w:t xml:space="preserve"> </w:t>
            </w:r>
            <w:r>
              <w:rPr>
                <w:sz w:val="18"/>
              </w:rPr>
              <w:t>nudge</w:t>
            </w:r>
            <w:r>
              <w:rPr>
                <w:spacing w:val="-1"/>
                <w:sz w:val="18"/>
              </w:rPr>
              <w:t xml:space="preserve"> </w:t>
            </w:r>
            <w:r>
              <w:rPr>
                <w:sz w:val="18"/>
              </w:rPr>
              <w:t>using</w:t>
            </w:r>
            <w:r>
              <w:rPr>
                <w:spacing w:val="-1"/>
                <w:sz w:val="18"/>
              </w:rPr>
              <w:t xml:space="preserve"> </w:t>
            </w:r>
            <w:r>
              <w:rPr>
                <w:sz w:val="18"/>
              </w:rPr>
              <w:t>factors beyond cost to encourage participation. It is important to consider these elements in addition to the offe</w:t>
            </w:r>
            <w:r>
              <w:rPr>
                <w:sz w:val="18"/>
              </w:rPr>
              <w:t>red rebate or incentive. It is not meant to be a comment on attribution or policies associated with attribution.</w:t>
            </w:r>
          </w:p>
        </w:tc>
      </w:tr>
    </w:tbl>
    <w:p w:rsidR="00C31389" w:rsidRDefault="00C31389" w14:paraId="1F18C0EB" w14:textId="77777777">
      <w:pPr>
        <w:rPr>
          <w:sz w:val="18"/>
        </w:rPr>
        <w:sectPr w:rsidR="00C31389">
          <w:pgSz w:w="15840" w:h="12240" w:orient="landscape"/>
          <w:pgMar w:top="1660" w:right="2260" w:bottom="1120" w:left="1320" w:header="397" w:footer="936" w:gutter="0"/>
          <w:cols w:space="720"/>
        </w:sectPr>
      </w:pPr>
    </w:p>
    <w:p w:rsidR="00C31389" w:rsidRDefault="00C31389" w14:paraId="13ADBB8F" w14:textId="77777777">
      <w:pPr>
        <w:pStyle w:val="BodyText"/>
        <w:spacing w:before="6" w:after="1"/>
        <w:rPr>
          <w:sz w:val="21"/>
        </w:rPr>
      </w:pPr>
    </w:p>
    <w:tbl>
      <w:tblPr>
        <w:tblW w:w="0" w:type="auto"/>
        <w:tblInd w:w="124" w:type="dxa"/>
        <w:tblLayout w:type="fixed"/>
        <w:tblCellMar>
          <w:left w:w="0" w:type="dxa"/>
          <w:right w:w="0" w:type="dxa"/>
        </w:tblCellMar>
        <w:tblLook w:val="01E0" w:firstRow="1" w:lastRow="1" w:firstColumn="1" w:lastColumn="1" w:noHBand="0" w:noVBand="0"/>
      </w:tblPr>
      <w:tblGrid>
        <w:gridCol w:w="1529"/>
        <w:gridCol w:w="1262"/>
        <w:gridCol w:w="5401"/>
        <w:gridCol w:w="3417"/>
      </w:tblGrid>
      <w:tr w:rsidR="00C31389" w14:paraId="619F571C" w14:textId="77777777">
        <w:trPr>
          <w:trHeight w:val="261"/>
        </w:trPr>
        <w:tc>
          <w:tcPr>
            <w:tcW w:w="1529" w:type="dxa"/>
            <w:shd w:val="clear" w:color="auto" w:fill="94D500"/>
          </w:tcPr>
          <w:p w:rsidR="00C31389" w:rsidRDefault="00561FBD" w14:paraId="0B01272B" w14:textId="77777777">
            <w:pPr>
              <w:pStyle w:val="TableParagraph"/>
              <w:spacing w:before="26"/>
              <w:ind w:left="115"/>
              <w:rPr>
                <w:b/>
                <w:sz w:val="18"/>
              </w:rPr>
            </w:pPr>
            <w:r>
              <w:rPr>
                <w:b/>
                <w:spacing w:val="-2"/>
                <w:sz w:val="18"/>
              </w:rPr>
              <w:t>Subject</w:t>
            </w:r>
          </w:p>
        </w:tc>
        <w:tc>
          <w:tcPr>
            <w:tcW w:w="1262" w:type="dxa"/>
            <w:shd w:val="clear" w:color="auto" w:fill="94D500"/>
          </w:tcPr>
          <w:p w:rsidR="00C31389" w:rsidRDefault="00561FBD" w14:paraId="46486005" w14:textId="77777777">
            <w:pPr>
              <w:pStyle w:val="TableParagraph"/>
              <w:spacing w:before="26"/>
              <w:ind w:left="291"/>
              <w:rPr>
                <w:b/>
                <w:sz w:val="18"/>
              </w:rPr>
            </w:pPr>
            <w:r>
              <w:rPr>
                <w:b/>
                <w:spacing w:val="-2"/>
                <w:sz w:val="18"/>
              </w:rPr>
              <w:t>Affiliation</w:t>
            </w:r>
          </w:p>
        </w:tc>
        <w:tc>
          <w:tcPr>
            <w:tcW w:w="5401" w:type="dxa"/>
            <w:shd w:val="clear" w:color="auto" w:fill="94D500"/>
          </w:tcPr>
          <w:p w:rsidR="00C31389" w:rsidRDefault="00561FBD" w14:paraId="61987545" w14:textId="77777777">
            <w:pPr>
              <w:pStyle w:val="TableParagraph"/>
              <w:spacing w:before="26"/>
              <w:ind w:left="109"/>
              <w:rPr>
                <w:b/>
                <w:sz w:val="18"/>
              </w:rPr>
            </w:pPr>
            <w:r>
              <w:rPr>
                <w:b/>
                <w:sz w:val="18"/>
              </w:rPr>
              <w:t>Summary</w:t>
            </w:r>
            <w:r>
              <w:rPr>
                <w:b/>
                <w:spacing w:val="-3"/>
                <w:sz w:val="18"/>
              </w:rPr>
              <w:t xml:space="preserve"> </w:t>
            </w:r>
            <w:r>
              <w:rPr>
                <w:b/>
                <w:sz w:val="18"/>
              </w:rPr>
              <w:t>of</w:t>
            </w:r>
            <w:r>
              <w:rPr>
                <w:b/>
                <w:spacing w:val="-2"/>
                <w:sz w:val="18"/>
              </w:rPr>
              <w:t xml:space="preserve"> Issue</w:t>
            </w:r>
          </w:p>
        </w:tc>
        <w:tc>
          <w:tcPr>
            <w:tcW w:w="3417" w:type="dxa"/>
            <w:shd w:val="clear" w:color="auto" w:fill="94D500"/>
          </w:tcPr>
          <w:p w:rsidR="00C31389" w:rsidRDefault="00561FBD" w14:paraId="30D7CB4F" w14:textId="77777777">
            <w:pPr>
              <w:pStyle w:val="TableParagraph"/>
              <w:spacing w:before="26"/>
              <w:ind w:left="108"/>
              <w:rPr>
                <w:b/>
                <w:sz w:val="18"/>
              </w:rPr>
            </w:pPr>
            <w:r>
              <w:rPr>
                <w:b/>
                <w:sz w:val="18"/>
              </w:rPr>
              <w:t>Guidehouse</w:t>
            </w:r>
            <w:r>
              <w:rPr>
                <w:b/>
                <w:spacing w:val="-4"/>
                <w:sz w:val="18"/>
              </w:rPr>
              <w:t xml:space="preserve"> </w:t>
            </w:r>
            <w:r>
              <w:rPr>
                <w:b/>
                <w:spacing w:val="-2"/>
                <w:sz w:val="18"/>
              </w:rPr>
              <w:t>Response</w:t>
            </w:r>
          </w:p>
        </w:tc>
      </w:tr>
      <w:tr w:rsidR="00C31389" w14:paraId="78442352" w14:textId="77777777">
        <w:trPr>
          <w:trHeight w:val="2483"/>
        </w:trPr>
        <w:tc>
          <w:tcPr>
            <w:tcW w:w="1529" w:type="dxa"/>
            <w:tcBorders>
              <w:bottom w:val="single" w:color="94D500" w:sz="4" w:space="0"/>
            </w:tcBorders>
          </w:tcPr>
          <w:p w:rsidR="00C31389" w:rsidRDefault="00C31389" w14:paraId="38DDBCF7" w14:textId="77777777">
            <w:pPr>
              <w:pStyle w:val="TableParagraph"/>
              <w:spacing w:before="0"/>
              <w:rPr>
                <w:sz w:val="20"/>
              </w:rPr>
            </w:pPr>
          </w:p>
          <w:p w:rsidR="00C31389" w:rsidRDefault="00C31389" w14:paraId="2DA729DF" w14:textId="77777777">
            <w:pPr>
              <w:pStyle w:val="TableParagraph"/>
              <w:spacing w:before="0"/>
              <w:rPr>
                <w:sz w:val="20"/>
              </w:rPr>
            </w:pPr>
          </w:p>
          <w:p w:rsidR="00C31389" w:rsidRDefault="00C31389" w14:paraId="00FE1733" w14:textId="77777777">
            <w:pPr>
              <w:pStyle w:val="TableParagraph"/>
              <w:spacing w:before="0"/>
              <w:rPr>
                <w:sz w:val="20"/>
              </w:rPr>
            </w:pPr>
          </w:p>
          <w:p w:rsidR="00C31389" w:rsidRDefault="00C31389" w14:paraId="2ECCA212" w14:textId="77777777">
            <w:pPr>
              <w:pStyle w:val="TableParagraph"/>
              <w:spacing w:before="0"/>
              <w:rPr>
                <w:sz w:val="20"/>
              </w:rPr>
            </w:pPr>
          </w:p>
          <w:p w:rsidR="00C31389" w:rsidRDefault="00C31389" w14:paraId="7B725C43" w14:textId="77777777">
            <w:pPr>
              <w:pStyle w:val="TableParagraph"/>
              <w:spacing w:before="11"/>
              <w:rPr>
                <w:sz w:val="18"/>
              </w:rPr>
            </w:pPr>
          </w:p>
          <w:p w:rsidR="00C31389" w:rsidRDefault="00561FBD" w14:paraId="6D4A65DE" w14:textId="77777777">
            <w:pPr>
              <w:pStyle w:val="TableParagraph"/>
              <w:spacing w:before="0"/>
              <w:ind w:left="115"/>
              <w:rPr>
                <w:b/>
                <w:sz w:val="18"/>
              </w:rPr>
            </w:pPr>
            <w:r>
              <w:rPr>
                <w:b/>
                <w:spacing w:val="-2"/>
                <w:sz w:val="18"/>
              </w:rPr>
              <w:t>Methodology</w:t>
            </w:r>
          </w:p>
        </w:tc>
        <w:tc>
          <w:tcPr>
            <w:tcW w:w="1262" w:type="dxa"/>
            <w:tcBorders>
              <w:bottom w:val="single" w:color="94D500" w:sz="4" w:space="0"/>
            </w:tcBorders>
          </w:tcPr>
          <w:p w:rsidR="00C31389" w:rsidRDefault="00C31389" w14:paraId="5A32F10E" w14:textId="77777777">
            <w:pPr>
              <w:pStyle w:val="TableParagraph"/>
              <w:spacing w:before="0"/>
              <w:rPr>
                <w:sz w:val="20"/>
              </w:rPr>
            </w:pPr>
          </w:p>
          <w:p w:rsidR="00C31389" w:rsidRDefault="00C31389" w14:paraId="6F568637" w14:textId="77777777">
            <w:pPr>
              <w:pStyle w:val="TableParagraph"/>
              <w:spacing w:before="0"/>
              <w:rPr>
                <w:sz w:val="20"/>
              </w:rPr>
            </w:pPr>
          </w:p>
          <w:p w:rsidR="00C31389" w:rsidRDefault="00C31389" w14:paraId="6567EDE7" w14:textId="77777777">
            <w:pPr>
              <w:pStyle w:val="TableParagraph"/>
              <w:spacing w:before="0"/>
              <w:rPr>
                <w:sz w:val="20"/>
              </w:rPr>
            </w:pPr>
          </w:p>
          <w:p w:rsidR="00C31389" w:rsidRDefault="00C31389" w14:paraId="5F1EB5EB" w14:textId="77777777">
            <w:pPr>
              <w:pStyle w:val="TableParagraph"/>
              <w:spacing w:before="0"/>
              <w:rPr>
                <w:sz w:val="20"/>
              </w:rPr>
            </w:pPr>
          </w:p>
          <w:p w:rsidR="00C31389" w:rsidRDefault="00C31389" w14:paraId="3835F401" w14:textId="77777777">
            <w:pPr>
              <w:pStyle w:val="TableParagraph"/>
              <w:spacing w:before="11"/>
              <w:rPr>
                <w:sz w:val="18"/>
              </w:rPr>
            </w:pPr>
          </w:p>
          <w:p w:rsidR="00C31389" w:rsidRDefault="00561FBD" w14:paraId="08DE98F7" w14:textId="77777777">
            <w:pPr>
              <w:pStyle w:val="TableParagraph"/>
              <w:spacing w:before="0"/>
              <w:ind w:left="291"/>
              <w:rPr>
                <w:sz w:val="18"/>
              </w:rPr>
            </w:pPr>
            <w:r>
              <w:rPr>
                <w:spacing w:val="-4"/>
                <w:sz w:val="18"/>
              </w:rPr>
              <w:t>SDG&amp;E</w:t>
            </w:r>
          </w:p>
        </w:tc>
        <w:tc>
          <w:tcPr>
            <w:tcW w:w="5401" w:type="dxa"/>
            <w:tcBorders>
              <w:bottom w:val="single" w:color="94D500" w:sz="4" w:space="0"/>
            </w:tcBorders>
          </w:tcPr>
          <w:p w:rsidR="00C31389" w:rsidRDefault="00561FBD" w14:paraId="5E9F03F6" w14:textId="77777777">
            <w:pPr>
              <w:pStyle w:val="TableParagraph"/>
              <w:spacing w:before="0"/>
              <w:ind w:left="109" w:right="179"/>
              <w:rPr>
                <w:sz w:val="18"/>
              </w:rPr>
            </w:pPr>
            <w:r>
              <w:rPr>
                <w:sz w:val="18"/>
              </w:rPr>
              <w:t xml:space="preserve">If the program </w:t>
            </w:r>
            <w:r>
              <w:rPr>
                <w:sz w:val="18"/>
              </w:rPr>
              <w:t>requirements among similar programs, implemented</w:t>
            </w:r>
            <w:r>
              <w:rPr>
                <w:spacing w:val="-7"/>
                <w:sz w:val="18"/>
              </w:rPr>
              <w:t xml:space="preserve"> </w:t>
            </w:r>
            <w:r>
              <w:rPr>
                <w:sz w:val="18"/>
              </w:rPr>
              <w:t>by</w:t>
            </w:r>
            <w:r>
              <w:rPr>
                <w:spacing w:val="-6"/>
                <w:sz w:val="18"/>
              </w:rPr>
              <w:t xml:space="preserve"> </w:t>
            </w:r>
            <w:r>
              <w:rPr>
                <w:sz w:val="18"/>
              </w:rPr>
              <w:t>different</w:t>
            </w:r>
            <w:r>
              <w:rPr>
                <w:spacing w:val="-6"/>
                <w:sz w:val="18"/>
              </w:rPr>
              <w:t xml:space="preserve"> </w:t>
            </w:r>
            <w:r>
              <w:rPr>
                <w:sz w:val="18"/>
              </w:rPr>
              <w:t>Program</w:t>
            </w:r>
            <w:r>
              <w:rPr>
                <w:spacing w:val="-6"/>
                <w:sz w:val="18"/>
              </w:rPr>
              <w:t xml:space="preserve"> </w:t>
            </w:r>
            <w:r>
              <w:rPr>
                <w:sz w:val="18"/>
              </w:rPr>
              <w:t>Administrators</w:t>
            </w:r>
            <w:r>
              <w:rPr>
                <w:spacing w:val="-6"/>
                <w:sz w:val="18"/>
              </w:rPr>
              <w:t xml:space="preserve"> </w:t>
            </w:r>
            <w:r>
              <w:rPr>
                <w:sz w:val="18"/>
              </w:rPr>
              <w:t>(PA),</w:t>
            </w:r>
            <w:r>
              <w:rPr>
                <w:spacing w:val="-6"/>
                <w:sz w:val="18"/>
              </w:rPr>
              <w:t xml:space="preserve"> </w:t>
            </w:r>
            <w:r>
              <w:rPr>
                <w:sz w:val="18"/>
              </w:rPr>
              <w:t>i.e.,</w:t>
            </w:r>
            <w:r>
              <w:rPr>
                <w:spacing w:val="-7"/>
                <w:sz w:val="18"/>
              </w:rPr>
              <w:t xml:space="preserve"> </w:t>
            </w:r>
            <w:r>
              <w:rPr>
                <w:sz w:val="18"/>
              </w:rPr>
              <w:t>the Commission versus CEC PAs, are disparate, and EE program rules</w:t>
            </w:r>
            <w:r>
              <w:rPr>
                <w:spacing w:val="-1"/>
                <w:sz w:val="18"/>
              </w:rPr>
              <w:t xml:space="preserve"> </w:t>
            </w:r>
            <w:r>
              <w:rPr>
                <w:sz w:val="18"/>
              </w:rPr>
              <w:t>are</w:t>
            </w:r>
            <w:r>
              <w:rPr>
                <w:spacing w:val="-2"/>
                <w:sz w:val="18"/>
              </w:rPr>
              <w:t xml:space="preserve"> </w:t>
            </w:r>
            <w:r>
              <w:rPr>
                <w:sz w:val="18"/>
              </w:rPr>
              <w:t>perceived</w:t>
            </w:r>
            <w:r>
              <w:rPr>
                <w:spacing w:val="-2"/>
                <w:sz w:val="18"/>
              </w:rPr>
              <w:t xml:space="preserve"> </w:t>
            </w:r>
            <w:r>
              <w:rPr>
                <w:sz w:val="18"/>
              </w:rPr>
              <w:t>by</w:t>
            </w:r>
            <w:r>
              <w:rPr>
                <w:spacing w:val="-1"/>
                <w:sz w:val="18"/>
              </w:rPr>
              <w:t xml:space="preserve"> </w:t>
            </w:r>
            <w:r>
              <w:rPr>
                <w:sz w:val="18"/>
              </w:rPr>
              <w:t>customers</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more burdensome,</w:t>
            </w:r>
            <w:r>
              <w:rPr>
                <w:spacing w:val="-1"/>
                <w:sz w:val="18"/>
              </w:rPr>
              <w:t xml:space="preserve"> </w:t>
            </w:r>
            <w:r>
              <w:rPr>
                <w:sz w:val="18"/>
              </w:rPr>
              <w:t>it</w:t>
            </w:r>
            <w:r>
              <w:rPr>
                <w:spacing w:val="-1"/>
                <w:sz w:val="18"/>
              </w:rPr>
              <w:t xml:space="preserve"> </w:t>
            </w:r>
            <w:r>
              <w:rPr>
                <w:sz w:val="18"/>
              </w:rPr>
              <w:t>is possible that customers may opt to p</w:t>
            </w:r>
            <w:r>
              <w:rPr>
                <w:sz w:val="18"/>
              </w:rPr>
              <w:t>urchase the minimum required equipment to receive incentives from the least burdensome programs. As such, this action would result in reducing</w:t>
            </w:r>
            <w:r>
              <w:rPr>
                <w:spacing w:val="-5"/>
                <w:sz w:val="18"/>
              </w:rPr>
              <w:t xml:space="preserve"> </w:t>
            </w:r>
            <w:r>
              <w:rPr>
                <w:sz w:val="18"/>
              </w:rPr>
              <w:t>EE</w:t>
            </w:r>
            <w:r>
              <w:rPr>
                <w:spacing w:val="-4"/>
                <w:sz w:val="18"/>
              </w:rPr>
              <w:t xml:space="preserve"> </w:t>
            </w:r>
            <w:r>
              <w:rPr>
                <w:sz w:val="18"/>
              </w:rPr>
              <w:t>program</w:t>
            </w:r>
            <w:r>
              <w:rPr>
                <w:spacing w:val="-4"/>
                <w:sz w:val="18"/>
              </w:rPr>
              <w:t xml:space="preserve"> </w:t>
            </w:r>
            <w:r>
              <w:rPr>
                <w:sz w:val="18"/>
              </w:rPr>
              <w:t>participation</w:t>
            </w:r>
            <w:r>
              <w:rPr>
                <w:spacing w:val="-5"/>
                <w:sz w:val="18"/>
              </w:rPr>
              <w:t xml:space="preserve"> </w:t>
            </w:r>
            <w:r>
              <w:rPr>
                <w:sz w:val="18"/>
              </w:rPr>
              <w:t>and</w:t>
            </w:r>
            <w:r>
              <w:rPr>
                <w:spacing w:val="-5"/>
                <w:sz w:val="18"/>
              </w:rPr>
              <w:t xml:space="preserve"> </w:t>
            </w:r>
            <w:r>
              <w:rPr>
                <w:sz w:val="18"/>
              </w:rPr>
              <w:t>the</w:t>
            </w:r>
            <w:r>
              <w:rPr>
                <w:spacing w:val="-5"/>
                <w:sz w:val="18"/>
              </w:rPr>
              <w:t xml:space="preserve"> </w:t>
            </w:r>
            <w:r>
              <w:rPr>
                <w:sz w:val="18"/>
              </w:rPr>
              <w:t>installation</w:t>
            </w:r>
            <w:r>
              <w:rPr>
                <w:spacing w:val="-3"/>
                <w:sz w:val="18"/>
              </w:rPr>
              <w:t xml:space="preserve"> </w:t>
            </w:r>
            <w:r>
              <w:rPr>
                <w:sz w:val="18"/>
              </w:rPr>
              <w:t>of</w:t>
            </w:r>
            <w:r>
              <w:rPr>
                <w:spacing w:val="-4"/>
                <w:sz w:val="18"/>
              </w:rPr>
              <w:t xml:space="preserve"> </w:t>
            </w:r>
            <w:r>
              <w:rPr>
                <w:sz w:val="18"/>
              </w:rPr>
              <w:t xml:space="preserve">lesser energy efficient models, e.g., installation of base </w:t>
            </w:r>
            <w:r>
              <w:rPr>
                <w:sz w:val="18"/>
              </w:rPr>
              <w:t>models.</w:t>
            </w:r>
          </w:p>
          <w:p w:rsidR="00C31389" w:rsidRDefault="00561FBD" w14:paraId="1567D21B" w14:textId="77777777">
            <w:pPr>
              <w:pStyle w:val="TableParagraph"/>
              <w:spacing w:before="0"/>
              <w:ind w:left="109" w:right="179"/>
              <w:rPr>
                <w:sz w:val="18"/>
              </w:rPr>
            </w:pPr>
            <w:r>
              <w:rPr>
                <w:sz w:val="18"/>
              </w:rPr>
              <w:t>SDG&amp;E</w:t>
            </w:r>
            <w:r>
              <w:rPr>
                <w:spacing w:val="-3"/>
                <w:sz w:val="18"/>
              </w:rPr>
              <w:t xml:space="preserve"> </w:t>
            </w:r>
            <w:r>
              <w:rPr>
                <w:sz w:val="18"/>
              </w:rPr>
              <w:t>recommends</w:t>
            </w:r>
            <w:r>
              <w:rPr>
                <w:spacing w:val="-3"/>
                <w:sz w:val="18"/>
              </w:rPr>
              <w:t xml:space="preserve"> </w:t>
            </w:r>
            <w:r>
              <w:rPr>
                <w:sz w:val="18"/>
              </w:rPr>
              <w:t>that</w:t>
            </w:r>
            <w:r>
              <w:rPr>
                <w:spacing w:val="-3"/>
                <w:sz w:val="18"/>
              </w:rPr>
              <w:t xml:space="preserve"> </w:t>
            </w:r>
            <w:r>
              <w:rPr>
                <w:sz w:val="18"/>
              </w:rPr>
              <w:t>the</w:t>
            </w:r>
            <w:r>
              <w:rPr>
                <w:spacing w:val="-2"/>
                <w:sz w:val="18"/>
              </w:rPr>
              <w:t xml:space="preserve"> </w:t>
            </w:r>
            <w:r>
              <w:rPr>
                <w:sz w:val="18"/>
              </w:rPr>
              <w:t>P&amp;G</w:t>
            </w:r>
            <w:r>
              <w:rPr>
                <w:spacing w:val="-3"/>
                <w:sz w:val="18"/>
              </w:rPr>
              <w:t xml:space="preserve"> </w:t>
            </w:r>
            <w:r>
              <w:rPr>
                <w:sz w:val="18"/>
              </w:rPr>
              <w:t>account</w:t>
            </w:r>
            <w:r>
              <w:rPr>
                <w:spacing w:val="-3"/>
                <w:sz w:val="18"/>
              </w:rPr>
              <w:t xml:space="preserve"> </w:t>
            </w:r>
            <w:r>
              <w:rPr>
                <w:sz w:val="18"/>
              </w:rPr>
              <w:t>for</w:t>
            </w:r>
            <w:r>
              <w:rPr>
                <w:spacing w:val="-3"/>
                <w:sz w:val="18"/>
              </w:rPr>
              <w:t xml:space="preserve"> </w:t>
            </w:r>
            <w:r>
              <w:rPr>
                <w:sz w:val="18"/>
              </w:rPr>
              <w:t>these possibilities</w:t>
            </w:r>
            <w:r>
              <w:rPr>
                <w:spacing w:val="-3"/>
                <w:sz w:val="18"/>
              </w:rPr>
              <w:t xml:space="preserve"> </w:t>
            </w:r>
            <w:r>
              <w:rPr>
                <w:sz w:val="18"/>
              </w:rPr>
              <w:t>so</w:t>
            </w:r>
            <w:r>
              <w:rPr>
                <w:spacing w:val="-1"/>
                <w:sz w:val="18"/>
              </w:rPr>
              <w:t xml:space="preserve"> </w:t>
            </w:r>
            <w:r>
              <w:rPr>
                <w:sz w:val="18"/>
              </w:rPr>
              <w:t>that</w:t>
            </w:r>
            <w:r>
              <w:rPr>
                <w:spacing w:val="-2"/>
                <w:sz w:val="18"/>
              </w:rPr>
              <w:t xml:space="preserve"> </w:t>
            </w:r>
            <w:r>
              <w:rPr>
                <w:sz w:val="18"/>
              </w:rPr>
              <w:t>the</w:t>
            </w:r>
            <w:r>
              <w:rPr>
                <w:spacing w:val="-3"/>
                <w:sz w:val="18"/>
              </w:rPr>
              <w:t xml:space="preserve"> </w:t>
            </w:r>
            <w:r>
              <w:rPr>
                <w:sz w:val="18"/>
              </w:rPr>
              <w:t>Commission</w:t>
            </w:r>
            <w:r>
              <w:rPr>
                <w:spacing w:val="-3"/>
                <w:sz w:val="18"/>
              </w:rPr>
              <w:t xml:space="preserve"> </w:t>
            </w:r>
            <w:r>
              <w:rPr>
                <w:sz w:val="18"/>
              </w:rPr>
              <w:t>can</w:t>
            </w:r>
            <w:r>
              <w:rPr>
                <w:spacing w:val="-3"/>
                <w:sz w:val="18"/>
              </w:rPr>
              <w:t xml:space="preserve"> </w:t>
            </w:r>
            <w:r>
              <w:rPr>
                <w:sz w:val="18"/>
              </w:rPr>
              <w:t>take</w:t>
            </w:r>
            <w:r>
              <w:rPr>
                <w:spacing w:val="-1"/>
                <w:sz w:val="18"/>
              </w:rPr>
              <w:t xml:space="preserve"> </w:t>
            </w:r>
            <w:r>
              <w:rPr>
                <w:sz w:val="18"/>
              </w:rPr>
              <w:t>this</w:t>
            </w:r>
            <w:r>
              <w:rPr>
                <w:spacing w:val="-2"/>
                <w:sz w:val="18"/>
              </w:rPr>
              <w:t xml:space="preserve"> </w:t>
            </w:r>
            <w:r>
              <w:rPr>
                <w:spacing w:val="-4"/>
                <w:sz w:val="18"/>
              </w:rPr>
              <w:t>into</w:t>
            </w:r>
          </w:p>
          <w:p w:rsidR="00C31389" w:rsidRDefault="00561FBD" w14:paraId="4AF41233" w14:textId="77777777">
            <w:pPr>
              <w:pStyle w:val="TableParagraph"/>
              <w:spacing w:before="0" w:line="187" w:lineRule="exact"/>
              <w:ind w:left="109"/>
              <w:rPr>
                <w:sz w:val="18"/>
              </w:rPr>
            </w:pPr>
            <w:r>
              <w:rPr>
                <w:sz w:val="18"/>
              </w:rPr>
              <w:t>consideration</w:t>
            </w:r>
            <w:r>
              <w:rPr>
                <w:spacing w:val="-6"/>
                <w:sz w:val="18"/>
              </w:rPr>
              <w:t xml:space="preserve"> </w:t>
            </w:r>
            <w:r>
              <w:rPr>
                <w:sz w:val="18"/>
              </w:rPr>
              <w:t>in</w:t>
            </w:r>
            <w:r>
              <w:rPr>
                <w:spacing w:val="-3"/>
                <w:sz w:val="18"/>
              </w:rPr>
              <w:t xml:space="preserve"> </w:t>
            </w:r>
            <w:r>
              <w:rPr>
                <w:sz w:val="18"/>
              </w:rPr>
              <w:t>determining</w:t>
            </w:r>
            <w:r>
              <w:rPr>
                <w:spacing w:val="-3"/>
                <w:sz w:val="18"/>
              </w:rPr>
              <w:t xml:space="preserve"> </w:t>
            </w:r>
            <w:r>
              <w:rPr>
                <w:sz w:val="18"/>
              </w:rPr>
              <w:t>the</w:t>
            </w:r>
            <w:r>
              <w:rPr>
                <w:spacing w:val="-3"/>
                <w:sz w:val="18"/>
              </w:rPr>
              <w:t xml:space="preserve"> </w:t>
            </w:r>
            <w:r>
              <w:rPr>
                <w:sz w:val="18"/>
              </w:rPr>
              <w:t>final</w:t>
            </w:r>
            <w:r>
              <w:rPr>
                <w:spacing w:val="-2"/>
                <w:sz w:val="18"/>
              </w:rPr>
              <w:t xml:space="preserve"> </w:t>
            </w:r>
            <w:r>
              <w:rPr>
                <w:sz w:val="18"/>
              </w:rPr>
              <w:t>EE</w:t>
            </w:r>
            <w:r>
              <w:rPr>
                <w:spacing w:val="-2"/>
                <w:sz w:val="18"/>
              </w:rPr>
              <w:t xml:space="preserve"> </w:t>
            </w:r>
            <w:r>
              <w:rPr>
                <w:sz w:val="18"/>
              </w:rPr>
              <w:t>goals</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pacing w:val="-4"/>
                <w:sz w:val="18"/>
              </w:rPr>
              <w:t>PAs.</w:t>
            </w:r>
          </w:p>
        </w:tc>
        <w:tc>
          <w:tcPr>
            <w:tcW w:w="3417" w:type="dxa"/>
            <w:tcBorders>
              <w:bottom w:val="single" w:color="94D500" w:sz="4" w:space="0"/>
            </w:tcBorders>
          </w:tcPr>
          <w:p w:rsidR="00C31389" w:rsidRDefault="00C31389" w14:paraId="106B17CE" w14:textId="77777777">
            <w:pPr>
              <w:pStyle w:val="TableParagraph"/>
              <w:spacing w:before="0"/>
              <w:rPr>
                <w:sz w:val="20"/>
              </w:rPr>
            </w:pPr>
          </w:p>
          <w:p w:rsidR="00C31389" w:rsidRDefault="00C31389" w14:paraId="777CF52D" w14:textId="77777777">
            <w:pPr>
              <w:pStyle w:val="TableParagraph"/>
              <w:spacing w:before="0"/>
              <w:rPr>
                <w:sz w:val="20"/>
              </w:rPr>
            </w:pPr>
          </w:p>
          <w:p w:rsidR="00C31389" w:rsidRDefault="00C31389" w14:paraId="0FD6BA29" w14:textId="77777777">
            <w:pPr>
              <w:pStyle w:val="TableParagraph"/>
              <w:spacing w:before="11"/>
            </w:pPr>
          </w:p>
          <w:p w:rsidR="00C31389" w:rsidRDefault="00561FBD" w14:paraId="3BB05F48" w14:textId="77777777">
            <w:pPr>
              <w:pStyle w:val="TableParagraph"/>
              <w:spacing w:before="0"/>
              <w:ind w:left="108" w:right="85"/>
              <w:rPr>
                <w:sz w:val="18"/>
              </w:rPr>
            </w:pPr>
            <w:r>
              <w:rPr>
                <w:sz w:val="18"/>
              </w:rPr>
              <w:t>The 2025 PG study can consider this recommendation. The PG study team encourages</w:t>
            </w:r>
            <w:r>
              <w:rPr>
                <w:spacing w:val="-10"/>
                <w:sz w:val="18"/>
              </w:rPr>
              <w:t xml:space="preserve"> </w:t>
            </w:r>
            <w:r>
              <w:rPr>
                <w:sz w:val="18"/>
              </w:rPr>
              <w:t>specific</w:t>
            </w:r>
            <w:r>
              <w:rPr>
                <w:spacing w:val="-10"/>
                <w:sz w:val="18"/>
              </w:rPr>
              <w:t xml:space="preserve"> </w:t>
            </w:r>
            <w:r>
              <w:rPr>
                <w:sz w:val="18"/>
              </w:rPr>
              <w:t>examples</w:t>
            </w:r>
            <w:r>
              <w:rPr>
                <w:spacing w:val="-10"/>
                <w:sz w:val="18"/>
              </w:rPr>
              <w:t xml:space="preserve"> </w:t>
            </w:r>
            <w:r>
              <w:rPr>
                <w:sz w:val="18"/>
              </w:rPr>
              <w:t>and</w:t>
            </w:r>
            <w:r>
              <w:rPr>
                <w:spacing w:val="-11"/>
                <w:sz w:val="18"/>
              </w:rPr>
              <w:t xml:space="preserve"> </w:t>
            </w:r>
            <w:r>
              <w:rPr>
                <w:sz w:val="18"/>
              </w:rPr>
              <w:t>data on how these external factors may impact achievable potential.</w:t>
            </w:r>
          </w:p>
        </w:tc>
      </w:tr>
      <w:tr w:rsidR="00C31389" w14:paraId="32B12850" w14:textId="77777777">
        <w:trPr>
          <w:trHeight w:val="2879"/>
        </w:trPr>
        <w:tc>
          <w:tcPr>
            <w:tcW w:w="1529" w:type="dxa"/>
            <w:tcBorders>
              <w:top w:val="single" w:color="94D500" w:sz="4" w:space="0"/>
              <w:bottom w:val="single" w:color="94D500" w:sz="4" w:space="0"/>
            </w:tcBorders>
          </w:tcPr>
          <w:p w:rsidR="00C31389" w:rsidRDefault="00C31389" w14:paraId="690BFCA5" w14:textId="77777777">
            <w:pPr>
              <w:pStyle w:val="TableParagraph"/>
              <w:spacing w:before="0"/>
              <w:rPr>
                <w:sz w:val="20"/>
              </w:rPr>
            </w:pPr>
          </w:p>
          <w:p w:rsidR="00C31389" w:rsidRDefault="00C31389" w14:paraId="0BE82986" w14:textId="77777777">
            <w:pPr>
              <w:pStyle w:val="TableParagraph"/>
              <w:spacing w:before="0"/>
              <w:rPr>
                <w:sz w:val="20"/>
              </w:rPr>
            </w:pPr>
          </w:p>
          <w:p w:rsidR="00C31389" w:rsidRDefault="00C31389" w14:paraId="648DBC84" w14:textId="77777777">
            <w:pPr>
              <w:pStyle w:val="TableParagraph"/>
              <w:spacing w:before="0"/>
              <w:rPr>
                <w:sz w:val="20"/>
              </w:rPr>
            </w:pPr>
          </w:p>
          <w:p w:rsidR="00C31389" w:rsidRDefault="00C31389" w14:paraId="2C85EEB1" w14:textId="77777777">
            <w:pPr>
              <w:pStyle w:val="TableParagraph"/>
              <w:spacing w:before="0"/>
              <w:rPr>
                <w:sz w:val="20"/>
              </w:rPr>
            </w:pPr>
          </w:p>
          <w:p w:rsidR="00C31389" w:rsidRDefault="00C31389" w14:paraId="2922D4DE" w14:textId="77777777">
            <w:pPr>
              <w:pStyle w:val="TableParagraph"/>
              <w:spacing w:before="0"/>
              <w:rPr>
                <w:sz w:val="20"/>
              </w:rPr>
            </w:pPr>
          </w:p>
          <w:p w:rsidR="00C31389" w:rsidRDefault="00C31389" w14:paraId="384D16F3" w14:textId="77777777">
            <w:pPr>
              <w:pStyle w:val="TableParagraph"/>
              <w:spacing w:before="1"/>
              <w:rPr>
                <w:sz w:val="16"/>
              </w:rPr>
            </w:pPr>
          </w:p>
          <w:p w:rsidR="00C31389" w:rsidRDefault="00561FBD" w14:paraId="00763B01" w14:textId="77777777">
            <w:pPr>
              <w:pStyle w:val="TableParagraph"/>
              <w:spacing w:before="1"/>
              <w:ind w:left="115"/>
              <w:rPr>
                <w:b/>
                <w:sz w:val="18"/>
              </w:rPr>
            </w:pPr>
            <w:r>
              <w:rPr>
                <w:b/>
                <w:spacing w:val="-2"/>
                <w:sz w:val="18"/>
              </w:rPr>
              <w:t>Methodology</w:t>
            </w:r>
          </w:p>
        </w:tc>
        <w:tc>
          <w:tcPr>
            <w:tcW w:w="1262" w:type="dxa"/>
            <w:tcBorders>
              <w:top w:val="single" w:color="94D500" w:sz="4" w:space="0"/>
              <w:bottom w:val="single" w:color="94D500" w:sz="4" w:space="0"/>
            </w:tcBorders>
          </w:tcPr>
          <w:p w:rsidR="00C31389" w:rsidRDefault="00C31389" w14:paraId="52C236DB" w14:textId="77777777">
            <w:pPr>
              <w:pStyle w:val="TableParagraph"/>
              <w:spacing w:before="0"/>
              <w:rPr>
                <w:sz w:val="20"/>
              </w:rPr>
            </w:pPr>
          </w:p>
          <w:p w:rsidR="00C31389" w:rsidRDefault="00C31389" w14:paraId="7FBF50D0" w14:textId="77777777">
            <w:pPr>
              <w:pStyle w:val="TableParagraph"/>
              <w:spacing w:before="0"/>
              <w:rPr>
                <w:sz w:val="20"/>
              </w:rPr>
            </w:pPr>
          </w:p>
          <w:p w:rsidR="00C31389" w:rsidRDefault="00C31389" w14:paraId="698C3E63" w14:textId="77777777">
            <w:pPr>
              <w:pStyle w:val="TableParagraph"/>
              <w:spacing w:before="0"/>
              <w:rPr>
                <w:sz w:val="20"/>
              </w:rPr>
            </w:pPr>
          </w:p>
          <w:p w:rsidR="00C31389" w:rsidRDefault="00C31389" w14:paraId="44423B80" w14:textId="77777777">
            <w:pPr>
              <w:pStyle w:val="TableParagraph"/>
              <w:spacing w:before="0"/>
              <w:rPr>
                <w:sz w:val="20"/>
              </w:rPr>
            </w:pPr>
          </w:p>
          <w:p w:rsidR="00C31389" w:rsidRDefault="00C31389" w14:paraId="3BF167AE" w14:textId="77777777">
            <w:pPr>
              <w:pStyle w:val="TableParagraph"/>
              <w:spacing w:before="0"/>
              <w:rPr>
                <w:sz w:val="20"/>
              </w:rPr>
            </w:pPr>
          </w:p>
          <w:p w:rsidR="00C31389" w:rsidRDefault="00C31389" w14:paraId="3723514F" w14:textId="77777777">
            <w:pPr>
              <w:pStyle w:val="TableParagraph"/>
              <w:spacing w:before="1"/>
              <w:rPr>
                <w:sz w:val="16"/>
              </w:rPr>
            </w:pPr>
          </w:p>
          <w:p w:rsidR="00C31389" w:rsidRDefault="00561FBD" w14:paraId="60F30808" w14:textId="77777777">
            <w:pPr>
              <w:pStyle w:val="TableParagraph"/>
              <w:spacing w:before="1"/>
              <w:ind w:left="291"/>
              <w:rPr>
                <w:sz w:val="18"/>
              </w:rPr>
            </w:pPr>
            <w:r>
              <w:rPr>
                <w:spacing w:val="-4"/>
                <w:sz w:val="18"/>
              </w:rPr>
              <w:t>SDG&amp;E</w:t>
            </w:r>
          </w:p>
        </w:tc>
        <w:tc>
          <w:tcPr>
            <w:tcW w:w="5401" w:type="dxa"/>
            <w:tcBorders>
              <w:top w:val="single" w:color="94D500" w:sz="4" w:space="0"/>
              <w:bottom w:val="single" w:color="94D500" w:sz="4" w:space="0"/>
            </w:tcBorders>
          </w:tcPr>
          <w:p w:rsidR="00C31389" w:rsidRDefault="00561FBD" w14:paraId="66880DEB" w14:textId="77777777">
            <w:pPr>
              <w:pStyle w:val="TableParagraph"/>
              <w:spacing w:before="93"/>
              <w:ind w:left="109" w:right="149" w:hanging="1"/>
              <w:rPr>
                <w:sz w:val="18"/>
              </w:rPr>
            </w:pPr>
            <w:r>
              <w:rPr>
                <w:sz w:val="18"/>
              </w:rPr>
              <w:t>This</w:t>
            </w:r>
            <w:r>
              <w:rPr>
                <w:spacing w:val="-4"/>
                <w:sz w:val="18"/>
              </w:rPr>
              <w:t xml:space="preserve"> </w:t>
            </w:r>
            <w:r>
              <w:rPr>
                <w:sz w:val="18"/>
              </w:rPr>
              <w:t>treatment</w:t>
            </w:r>
            <w:r>
              <w:rPr>
                <w:spacing w:val="-4"/>
                <w:sz w:val="18"/>
              </w:rPr>
              <w:t xml:space="preserve"> </w:t>
            </w:r>
            <w:r>
              <w:rPr>
                <w:sz w:val="18"/>
              </w:rPr>
              <w:t>of</w:t>
            </w:r>
            <w:r>
              <w:rPr>
                <w:spacing w:val="-4"/>
                <w:sz w:val="18"/>
              </w:rPr>
              <w:t xml:space="preserve"> </w:t>
            </w:r>
            <w:r>
              <w:rPr>
                <w:sz w:val="18"/>
              </w:rPr>
              <w:t>the</w:t>
            </w:r>
            <w:r>
              <w:rPr>
                <w:spacing w:val="-5"/>
                <w:sz w:val="18"/>
              </w:rPr>
              <w:t xml:space="preserve"> </w:t>
            </w:r>
            <w:r>
              <w:rPr>
                <w:sz w:val="18"/>
              </w:rPr>
              <w:t>SIP</w:t>
            </w:r>
            <w:r>
              <w:rPr>
                <w:spacing w:val="-4"/>
                <w:sz w:val="18"/>
              </w:rPr>
              <w:t xml:space="preserve"> </w:t>
            </w:r>
            <w:r>
              <w:rPr>
                <w:sz w:val="18"/>
              </w:rPr>
              <w:t>memo</w:t>
            </w:r>
            <w:r>
              <w:rPr>
                <w:spacing w:val="-5"/>
                <w:sz w:val="18"/>
              </w:rPr>
              <w:t xml:space="preserve"> </w:t>
            </w:r>
            <w:r>
              <w:rPr>
                <w:sz w:val="18"/>
              </w:rPr>
              <w:t>requirements</w:t>
            </w:r>
            <w:r>
              <w:rPr>
                <w:spacing w:val="-4"/>
                <w:sz w:val="18"/>
              </w:rPr>
              <w:t xml:space="preserve"> </w:t>
            </w:r>
            <w:r>
              <w:rPr>
                <w:sz w:val="18"/>
              </w:rPr>
              <w:t>would</w:t>
            </w:r>
            <w:r>
              <w:rPr>
                <w:spacing w:val="-5"/>
                <w:sz w:val="18"/>
              </w:rPr>
              <w:t xml:space="preserve"> </w:t>
            </w:r>
            <w:r>
              <w:rPr>
                <w:sz w:val="18"/>
              </w:rPr>
              <w:t>result</w:t>
            </w:r>
            <w:r>
              <w:rPr>
                <w:spacing w:val="-4"/>
                <w:sz w:val="18"/>
              </w:rPr>
              <w:t xml:space="preserve"> </w:t>
            </w:r>
            <w:r>
              <w:rPr>
                <w:sz w:val="18"/>
              </w:rPr>
              <w:t>in</w:t>
            </w:r>
            <w:r>
              <w:rPr>
                <w:spacing w:val="-5"/>
                <w:sz w:val="18"/>
              </w:rPr>
              <w:t xml:space="preserve"> </w:t>
            </w:r>
            <w:r>
              <w:rPr>
                <w:sz w:val="18"/>
              </w:rPr>
              <w:t>the adaptation</w:t>
            </w:r>
            <w:r>
              <w:rPr>
                <w:spacing w:val="-5"/>
                <w:sz w:val="18"/>
              </w:rPr>
              <w:t xml:space="preserve"> </w:t>
            </w:r>
            <w:r>
              <w:rPr>
                <w:sz w:val="18"/>
              </w:rPr>
              <w:t>of</w:t>
            </w:r>
            <w:r>
              <w:rPr>
                <w:spacing w:val="-4"/>
                <w:sz w:val="18"/>
              </w:rPr>
              <w:t xml:space="preserve"> </w:t>
            </w:r>
            <w:r>
              <w:rPr>
                <w:sz w:val="18"/>
              </w:rPr>
              <w:t>a</w:t>
            </w:r>
            <w:r>
              <w:rPr>
                <w:spacing w:val="-5"/>
                <w:sz w:val="18"/>
              </w:rPr>
              <w:t xml:space="preserve"> </w:t>
            </w:r>
            <w:r>
              <w:rPr>
                <w:sz w:val="18"/>
              </w:rPr>
              <w:t>new</w:t>
            </w:r>
            <w:r>
              <w:rPr>
                <w:spacing w:val="-4"/>
                <w:sz w:val="18"/>
              </w:rPr>
              <w:t xml:space="preserve"> </w:t>
            </w:r>
            <w:r>
              <w:rPr>
                <w:sz w:val="18"/>
              </w:rPr>
              <w:t>baseline</w:t>
            </w:r>
            <w:r>
              <w:rPr>
                <w:spacing w:val="-3"/>
                <w:sz w:val="18"/>
              </w:rPr>
              <w:t xml:space="preserve"> </w:t>
            </w:r>
            <w:r>
              <w:rPr>
                <w:sz w:val="18"/>
              </w:rPr>
              <w:t>or</w:t>
            </w:r>
            <w:r>
              <w:rPr>
                <w:spacing w:val="-4"/>
                <w:sz w:val="18"/>
              </w:rPr>
              <w:t xml:space="preserve"> </w:t>
            </w:r>
            <w:r>
              <w:rPr>
                <w:sz w:val="18"/>
              </w:rPr>
              <w:t>Industry</w:t>
            </w:r>
            <w:r>
              <w:rPr>
                <w:spacing w:val="-4"/>
                <w:sz w:val="18"/>
              </w:rPr>
              <w:t xml:space="preserve"> </w:t>
            </w:r>
            <w:r>
              <w:rPr>
                <w:sz w:val="18"/>
              </w:rPr>
              <w:t>Standard</w:t>
            </w:r>
            <w:r>
              <w:rPr>
                <w:spacing w:val="-5"/>
                <w:sz w:val="18"/>
              </w:rPr>
              <w:t xml:space="preserve"> </w:t>
            </w:r>
            <w:r>
              <w:rPr>
                <w:sz w:val="18"/>
              </w:rPr>
              <w:t>Practice</w:t>
            </w:r>
            <w:r>
              <w:rPr>
                <w:spacing w:val="-3"/>
                <w:sz w:val="18"/>
              </w:rPr>
              <w:t xml:space="preserve"> </w:t>
            </w:r>
            <w:r>
              <w:rPr>
                <w:sz w:val="18"/>
              </w:rPr>
              <w:t xml:space="preserve">(ISP) </w:t>
            </w:r>
            <w:r>
              <w:rPr>
                <w:sz w:val="18"/>
              </w:rPr>
              <w:t>after 2030, that would only be applicable to the Normal Replacement (NR) measure application type (MAT). It is reasonable to assume that there would still be existing natural gas-burning</w:t>
            </w:r>
            <w:r>
              <w:rPr>
                <w:spacing w:val="-1"/>
                <w:sz w:val="18"/>
              </w:rPr>
              <w:t xml:space="preserve"> </w:t>
            </w:r>
            <w:r>
              <w:rPr>
                <w:sz w:val="18"/>
              </w:rPr>
              <w:t>HVAC and</w:t>
            </w:r>
            <w:r>
              <w:rPr>
                <w:spacing w:val="-1"/>
                <w:sz w:val="18"/>
              </w:rPr>
              <w:t xml:space="preserve"> </w:t>
            </w:r>
            <w:r>
              <w:rPr>
                <w:sz w:val="18"/>
              </w:rPr>
              <w:t>water heating</w:t>
            </w:r>
            <w:r>
              <w:rPr>
                <w:spacing w:val="-1"/>
                <w:sz w:val="18"/>
              </w:rPr>
              <w:t xml:space="preserve"> </w:t>
            </w:r>
            <w:r>
              <w:rPr>
                <w:sz w:val="18"/>
              </w:rPr>
              <w:t>appliances with</w:t>
            </w:r>
            <w:r>
              <w:rPr>
                <w:spacing w:val="-1"/>
                <w:sz w:val="18"/>
              </w:rPr>
              <w:t xml:space="preserve"> </w:t>
            </w:r>
            <w:r>
              <w:rPr>
                <w:sz w:val="18"/>
              </w:rPr>
              <w:t>remaining useful life past 203</w:t>
            </w:r>
            <w:r>
              <w:rPr>
                <w:sz w:val="18"/>
              </w:rPr>
              <w:t>0, the Accelerated Replacement (AR) measure offerings should still be eligible, and the first and second baselines should be determined consistent with current DEER methodologies adopted by the Commission.</w:t>
            </w:r>
            <w:r>
              <w:rPr>
                <w:spacing w:val="40"/>
                <w:sz w:val="18"/>
              </w:rPr>
              <w:t xml:space="preserve"> </w:t>
            </w:r>
            <w:r>
              <w:rPr>
                <w:sz w:val="18"/>
              </w:rPr>
              <w:t>Therefore, SDG&amp;E recommends revising the P&amp;G model</w:t>
            </w:r>
            <w:r>
              <w:rPr>
                <w:sz w:val="18"/>
              </w:rPr>
              <w:t xml:space="preserve"> assumptions to include AR offerings beyond 2030. This may result in additional FS opportunities beyond 2030.</w:t>
            </w:r>
          </w:p>
        </w:tc>
        <w:tc>
          <w:tcPr>
            <w:tcW w:w="3417" w:type="dxa"/>
            <w:tcBorders>
              <w:top w:val="single" w:color="94D500" w:sz="4" w:space="0"/>
              <w:bottom w:val="single" w:color="94D500" w:sz="4" w:space="0"/>
            </w:tcBorders>
          </w:tcPr>
          <w:p w:rsidR="00C31389" w:rsidRDefault="00C31389" w14:paraId="0C8AE99C" w14:textId="77777777">
            <w:pPr>
              <w:pStyle w:val="TableParagraph"/>
              <w:spacing w:before="0"/>
              <w:rPr>
                <w:sz w:val="20"/>
              </w:rPr>
            </w:pPr>
          </w:p>
          <w:p w:rsidR="00C31389" w:rsidRDefault="00C31389" w14:paraId="4830B51A" w14:textId="77777777">
            <w:pPr>
              <w:pStyle w:val="TableParagraph"/>
              <w:spacing w:before="0"/>
              <w:rPr>
                <w:sz w:val="20"/>
              </w:rPr>
            </w:pPr>
          </w:p>
          <w:p w:rsidR="00C31389" w:rsidRDefault="00C31389" w14:paraId="0FA07F77" w14:textId="77777777">
            <w:pPr>
              <w:pStyle w:val="TableParagraph"/>
              <w:spacing w:before="0"/>
              <w:rPr>
                <w:sz w:val="20"/>
              </w:rPr>
            </w:pPr>
          </w:p>
          <w:p w:rsidR="00C31389" w:rsidRDefault="00C31389" w14:paraId="1B46A39E" w14:textId="77777777">
            <w:pPr>
              <w:pStyle w:val="TableParagraph"/>
              <w:spacing w:before="0"/>
              <w:rPr>
                <w:sz w:val="20"/>
              </w:rPr>
            </w:pPr>
          </w:p>
          <w:p w:rsidR="00C31389" w:rsidRDefault="00C31389" w14:paraId="7FFF9E64" w14:textId="77777777">
            <w:pPr>
              <w:pStyle w:val="TableParagraph"/>
              <w:spacing w:before="2"/>
              <w:rPr>
                <w:sz w:val="27"/>
              </w:rPr>
            </w:pPr>
          </w:p>
          <w:p w:rsidR="00C31389" w:rsidRDefault="00561FBD" w14:paraId="0C6C52CD" w14:textId="77777777">
            <w:pPr>
              <w:pStyle w:val="TableParagraph"/>
              <w:spacing w:before="0"/>
              <w:ind w:left="108"/>
              <w:rPr>
                <w:sz w:val="18"/>
              </w:rPr>
            </w:pPr>
            <w:r>
              <w:rPr>
                <w:sz w:val="18"/>
              </w:rPr>
              <w:t>The</w:t>
            </w:r>
            <w:r>
              <w:rPr>
                <w:spacing w:val="-8"/>
                <w:sz w:val="18"/>
              </w:rPr>
              <w:t xml:space="preserve"> </w:t>
            </w:r>
            <w:r>
              <w:rPr>
                <w:sz w:val="18"/>
              </w:rPr>
              <w:t>2025</w:t>
            </w:r>
            <w:r>
              <w:rPr>
                <w:spacing w:val="-8"/>
                <w:sz w:val="18"/>
              </w:rPr>
              <w:t xml:space="preserve"> </w:t>
            </w:r>
            <w:r>
              <w:rPr>
                <w:sz w:val="18"/>
              </w:rPr>
              <w:t>PG</w:t>
            </w:r>
            <w:r>
              <w:rPr>
                <w:spacing w:val="-7"/>
                <w:sz w:val="18"/>
              </w:rPr>
              <w:t xml:space="preserve"> </w:t>
            </w:r>
            <w:r>
              <w:rPr>
                <w:sz w:val="18"/>
              </w:rPr>
              <w:t>study</w:t>
            </w:r>
            <w:r>
              <w:rPr>
                <w:spacing w:val="-7"/>
                <w:sz w:val="18"/>
              </w:rPr>
              <w:t xml:space="preserve"> </w:t>
            </w:r>
            <w:r>
              <w:rPr>
                <w:sz w:val="18"/>
              </w:rPr>
              <w:t>can</w:t>
            </w:r>
            <w:r>
              <w:rPr>
                <w:spacing w:val="-8"/>
                <w:sz w:val="18"/>
              </w:rPr>
              <w:t xml:space="preserve"> </w:t>
            </w:r>
            <w:r>
              <w:rPr>
                <w:sz w:val="18"/>
              </w:rPr>
              <w:t>consider</w:t>
            </w:r>
            <w:r>
              <w:rPr>
                <w:spacing w:val="-7"/>
                <w:sz w:val="18"/>
              </w:rPr>
              <w:t xml:space="preserve"> </w:t>
            </w:r>
            <w:r>
              <w:rPr>
                <w:sz w:val="18"/>
              </w:rPr>
              <w:t xml:space="preserve">this </w:t>
            </w:r>
            <w:r>
              <w:rPr>
                <w:spacing w:val="-2"/>
                <w:sz w:val="18"/>
              </w:rPr>
              <w:t>recommendation.</w:t>
            </w:r>
          </w:p>
        </w:tc>
      </w:tr>
      <w:tr w:rsidR="00C31389" w14:paraId="1949A983" w14:textId="77777777">
        <w:trPr>
          <w:trHeight w:val="2070"/>
        </w:trPr>
        <w:tc>
          <w:tcPr>
            <w:tcW w:w="1529" w:type="dxa"/>
            <w:tcBorders>
              <w:top w:val="single" w:color="94D500" w:sz="4" w:space="0"/>
              <w:bottom w:val="single" w:color="94D500" w:sz="4" w:space="0"/>
            </w:tcBorders>
          </w:tcPr>
          <w:p w:rsidR="00C31389" w:rsidRDefault="00C31389" w14:paraId="5164547C" w14:textId="77777777">
            <w:pPr>
              <w:pStyle w:val="TableParagraph"/>
              <w:spacing w:before="0"/>
              <w:rPr>
                <w:sz w:val="20"/>
              </w:rPr>
            </w:pPr>
          </w:p>
          <w:p w:rsidR="00C31389" w:rsidRDefault="00C31389" w14:paraId="110A0792" w14:textId="77777777">
            <w:pPr>
              <w:pStyle w:val="TableParagraph"/>
              <w:spacing w:before="0"/>
              <w:rPr>
                <w:sz w:val="20"/>
              </w:rPr>
            </w:pPr>
          </w:p>
          <w:p w:rsidR="00C31389" w:rsidRDefault="00C31389" w14:paraId="48D11C71" w14:textId="77777777">
            <w:pPr>
              <w:pStyle w:val="TableParagraph"/>
              <w:spacing w:before="0"/>
              <w:rPr>
                <w:sz w:val="20"/>
              </w:rPr>
            </w:pPr>
          </w:p>
          <w:p w:rsidR="00C31389" w:rsidRDefault="00C31389" w14:paraId="193D01EE" w14:textId="77777777">
            <w:pPr>
              <w:pStyle w:val="TableParagraph"/>
              <w:spacing w:before="11"/>
              <w:rPr>
                <w:sz w:val="20"/>
              </w:rPr>
            </w:pPr>
          </w:p>
          <w:p w:rsidR="00C31389" w:rsidRDefault="00561FBD" w14:paraId="547FC9FF" w14:textId="77777777">
            <w:pPr>
              <w:pStyle w:val="TableParagraph"/>
              <w:spacing w:before="0"/>
              <w:ind w:left="115"/>
              <w:rPr>
                <w:b/>
                <w:sz w:val="18"/>
              </w:rPr>
            </w:pPr>
            <w:r>
              <w:rPr>
                <w:b/>
                <w:spacing w:val="-2"/>
                <w:sz w:val="18"/>
              </w:rPr>
              <w:t>Methodology</w:t>
            </w:r>
          </w:p>
        </w:tc>
        <w:tc>
          <w:tcPr>
            <w:tcW w:w="1262" w:type="dxa"/>
            <w:tcBorders>
              <w:top w:val="single" w:color="94D500" w:sz="4" w:space="0"/>
              <w:bottom w:val="single" w:color="94D500" w:sz="4" w:space="0"/>
            </w:tcBorders>
          </w:tcPr>
          <w:p w:rsidR="00C31389" w:rsidRDefault="00C31389" w14:paraId="457520DD" w14:textId="77777777">
            <w:pPr>
              <w:pStyle w:val="TableParagraph"/>
              <w:spacing w:before="0"/>
              <w:rPr>
                <w:sz w:val="20"/>
              </w:rPr>
            </w:pPr>
          </w:p>
          <w:p w:rsidR="00C31389" w:rsidRDefault="00C31389" w14:paraId="397AA756" w14:textId="77777777">
            <w:pPr>
              <w:pStyle w:val="TableParagraph"/>
              <w:spacing w:before="0"/>
              <w:rPr>
                <w:sz w:val="20"/>
              </w:rPr>
            </w:pPr>
          </w:p>
          <w:p w:rsidR="00C31389" w:rsidRDefault="00C31389" w14:paraId="31725B0B" w14:textId="77777777">
            <w:pPr>
              <w:pStyle w:val="TableParagraph"/>
              <w:spacing w:before="0"/>
              <w:rPr>
                <w:sz w:val="20"/>
              </w:rPr>
            </w:pPr>
          </w:p>
          <w:p w:rsidR="00C31389" w:rsidRDefault="00C31389" w14:paraId="0B1B95CF" w14:textId="77777777">
            <w:pPr>
              <w:pStyle w:val="TableParagraph"/>
              <w:spacing w:before="11"/>
              <w:rPr>
                <w:sz w:val="20"/>
              </w:rPr>
            </w:pPr>
          </w:p>
          <w:p w:rsidR="00C31389" w:rsidRDefault="00561FBD" w14:paraId="3C4ECD63" w14:textId="77777777">
            <w:pPr>
              <w:pStyle w:val="TableParagraph"/>
              <w:spacing w:before="0"/>
              <w:ind w:left="291"/>
              <w:rPr>
                <w:sz w:val="18"/>
              </w:rPr>
            </w:pPr>
            <w:r>
              <w:rPr>
                <w:spacing w:val="-2"/>
                <w:sz w:val="18"/>
              </w:rPr>
              <w:t>SolCalRen</w:t>
            </w:r>
          </w:p>
        </w:tc>
        <w:tc>
          <w:tcPr>
            <w:tcW w:w="5401" w:type="dxa"/>
            <w:tcBorders>
              <w:top w:val="single" w:color="94D500" w:sz="4" w:space="0"/>
              <w:bottom w:val="single" w:color="94D500" w:sz="4" w:space="0"/>
            </w:tcBorders>
          </w:tcPr>
          <w:p w:rsidR="00C31389" w:rsidRDefault="00561FBD" w14:paraId="362A28BB" w14:textId="77777777">
            <w:pPr>
              <w:pStyle w:val="TableParagraph"/>
              <w:spacing w:before="103"/>
              <w:ind w:left="109" w:right="112" w:hanging="1"/>
              <w:rPr>
                <w:sz w:val="18"/>
              </w:rPr>
            </w:pPr>
            <w:r>
              <w:rPr>
                <w:sz w:val="18"/>
              </w:rPr>
              <w:t xml:space="preserve">SoCalREN recommends that in future Potential and </w:t>
            </w:r>
            <w:r>
              <w:rPr>
                <w:sz w:val="18"/>
              </w:rPr>
              <w:t>Goals studies that the public sector be analyzed as a distinct sector, and not be grouped in with commercial, industrial or other sectors. SoCalREN serves the public sector through multiple successful</w:t>
            </w:r>
            <w:r>
              <w:rPr>
                <w:spacing w:val="-5"/>
                <w:sz w:val="18"/>
              </w:rPr>
              <w:t xml:space="preserve"> </w:t>
            </w:r>
            <w:r>
              <w:rPr>
                <w:sz w:val="18"/>
              </w:rPr>
              <w:t>programs,</w:t>
            </w:r>
            <w:r>
              <w:rPr>
                <w:spacing w:val="-5"/>
                <w:sz w:val="18"/>
              </w:rPr>
              <w:t xml:space="preserve"> </w:t>
            </w:r>
            <w:r>
              <w:rPr>
                <w:sz w:val="18"/>
              </w:rPr>
              <w:t>and</w:t>
            </w:r>
            <w:r>
              <w:rPr>
                <w:spacing w:val="-6"/>
                <w:sz w:val="18"/>
              </w:rPr>
              <w:t xml:space="preserve"> </w:t>
            </w:r>
            <w:r>
              <w:rPr>
                <w:sz w:val="18"/>
              </w:rPr>
              <w:t>notes</w:t>
            </w:r>
            <w:r>
              <w:rPr>
                <w:spacing w:val="-5"/>
                <w:sz w:val="18"/>
              </w:rPr>
              <w:t xml:space="preserve"> </w:t>
            </w:r>
            <w:r>
              <w:rPr>
                <w:sz w:val="18"/>
              </w:rPr>
              <w:t>that</w:t>
            </w:r>
            <w:r>
              <w:rPr>
                <w:spacing w:val="-5"/>
                <w:sz w:val="18"/>
              </w:rPr>
              <w:t xml:space="preserve"> </w:t>
            </w:r>
            <w:r>
              <w:rPr>
                <w:sz w:val="18"/>
              </w:rPr>
              <w:t>the</w:t>
            </w:r>
            <w:r>
              <w:rPr>
                <w:spacing w:val="-6"/>
                <w:sz w:val="18"/>
              </w:rPr>
              <w:t xml:space="preserve"> </w:t>
            </w:r>
            <w:r>
              <w:rPr>
                <w:sz w:val="18"/>
              </w:rPr>
              <w:t>public</w:t>
            </w:r>
            <w:r>
              <w:rPr>
                <w:spacing w:val="-5"/>
                <w:sz w:val="18"/>
              </w:rPr>
              <w:t xml:space="preserve"> </w:t>
            </w:r>
            <w:r>
              <w:rPr>
                <w:sz w:val="18"/>
              </w:rPr>
              <w:t>sector</w:t>
            </w:r>
            <w:r>
              <w:rPr>
                <w:spacing w:val="-5"/>
                <w:sz w:val="18"/>
              </w:rPr>
              <w:t xml:space="preserve"> </w:t>
            </w:r>
            <w:r>
              <w:rPr>
                <w:sz w:val="18"/>
              </w:rPr>
              <w:t>has</w:t>
            </w:r>
            <w:r>
              <w:rPr>
                <w:spacing w:val="-5"/>
                <w:sz w:val="18"/>
              </w:rPr>
              <w:t xml:space="preserve"> </w:t>
            </w:r>
            <w:r>
              <w:rPr>
                <w:sz w:val="18"/>
              </w:rPr>
              <w:t>unique c</w:t>
            </w:r>
            <w:r>
              <w:rPr>
                <w:sz w:val="18"/>
              </w:rPr>
              <w:t>haracteristics that lend itself to separate analysis. Specifically, public sector customers have very different expectations as to</w:t>
            </w:r>
            <w:r>
              <w:rPr>
                <w:spacing w:val="40"/>
                <w:sz w:val="18"/>
              </w:rPr>
              <w:t xml:space="preserve"> </w:t>
            </w:r>
            <w:r>
              <w:rPr>
                <w:sz w:val="18"/>
              </w:rPr>
              <w:t>the</w:t>
            </w:r>
            <w:r>
              <w:rPr>
                <w:spacing w:val="-1"/>
                <w:sz w:val="18"/>
              </w:rPr>
              <w:t xml:space="preserve"> </w:t>
            </w:r>
            <w:r>
              <w:rPr>
                <w:sz w:val="18"/>
              </w:rPr>
              <w:t>financial performance</w:t>
            </w:r>
            <w:r>
              <w:rPr>
                <w:spacing w:val="-1"/>
                <w:sz w:val="18"/>
              </w:rPr>
              <w:t xml:space="preserve"> </w:t>
            </w:r>
            <w:r>
              <w:rPr>
                <w:sz w:val="18"/>
              </w:rPr>
              <w:t>(such</w:t>
            </w:r>
            <w:r>
              <w:rPr>
                <w:spacing w:val="-1"/>
                <w:sz w:val="18"/>
              </w:rPr>
              <w:t xml:space="preserve"> </w:t>
            </w:r>
            <w:r>
              <w:rPr>
                <w:sz w:val="18"/>
              </w:rPr>
              <w:t>as expected years until breaking even) of an energy efficient investment.</w:t>
            </w:r>
          </w:p>
        </w:tc>
        <w:tc>
          <w:tcPr>
            <w:tcW w:w="3417" w:type="dxa"/>
            <w:tcBorders>
              <w:top w:val="single" w:color="94D500" w:sz="4" w:space="0"/>
              <w:bottom w:val="single" w:color="94D500" w:sz="4" w:space="0"/>
            </w:tcBorders>
          </w:tcPr>
          <w:p w:rsidR="00C31389" w:rsidRDefault="00561FBD" w14:paraId="0A6958A4" w14:textId="77777777">
            <w:pPr>
              <w:pStyle w:val="TableParagraph"/>
              <w:spacing w:before="0"/>
              <w:ind w:left="108" w:right="85"/>
              <w:rPr>
                <w:sz w:val="18"/>
              </w:rPr>
            </w:pPr>
            <w:r>
              <w:rPr>
                <w:sz w:val="18"/>
              </w:rPr>
              <w:t>Without the IEPR da</w:t>
            </w:r>
            <w:r>
              <w:rPr>
                <w:sz w:val="18"/>
              </w:rPr>
              <w:t>ta for sales and stock</w:t>
            </w:r>
            <w:r>
              <w:rPr>
                <w:spacing w:val="-8"/>
                <w:sz w:val="18"/>
              </w:rPr>
              <w:t xml:space="preserve"> </w:t>
            </w:r>
            <w:r>
              <w:rPr>
                <w:sz w:val="18"/>
              </w:rPr>
              <w:t>differentiated</w:t>
            </w:r>
            <w:r>
              <w:rPr>
                <w:spacing w:val="-9"/>
                <w:sz w:val="18"/>
              </w:rPr>
              <w:t xml:space="preserve"> </w:t>
            </w:r>
            <w:r>
              <w:rPr>
                <w:sz w:val="18"/>
              </w:rPr>
              <w:t>for</w:t>
            </w:r>
            <w:r>
              <w:rPr>
                <w:spacing w:val="-8"/>
                <w:sz w:val="18"/>
              </w:rPr>
              <w:t xml:space="preserve"> </w:t>
            </w:r>
            <w:r>
              <w:rPr>
                <w:sz w:val="18"/>
              </w:rPr>
              <w:t>the</w:t>
            </w:r>
            <w:r>
              <w:rPr>
                <w:spacing w:val="-9"/>
                <w:sz w:val="18"/>
              </w:rPr>
              <w:t xml:space="preserve"> </w:t>
            </w:r>
            <w:r>
              <w:rPr>
                <w:sz w:val="18"/>
              </w:rPr>
              <w:t>public</w:t>
            </w:r>
            <w:r>
              <w:rPr>
                <w:spacing w:val="-8"/>
                <w:sz w:val="18"/>
              </w:rPr>
              <w:t xml:space="preserve"> </w:t>
            </w:r>
            <w:r>
              <w:rPr>
                <w:sz w:val="18"/>
              </w:rPr>
              <w:t>sector by building type, Guidehouse does not have the data for a separate sector.</w:t>
            </w:r>
          </w:p>
          <w:p w:rsidR="00C31389" w:rsidRDefault="00561FBD" w14:paraId="067A42BB" w14:textId="77777777">
            <w:pPr>
              <w:pStyle w:val="TableParagraph"/>
              <w:spacing w:before="0"/>
              <w:ind w:left="108" w:right="85"/>
              <w:rPr>
                <w:sz w:val="18"/>
              </w:rPr>
            </w:pPr>
            <w:r>
              <w:rPr>
                <w:sz w:val="18"/>
              </w:rPr>
              <w:t>Furthermore, we will have to see what the</w:t>
            </w:r>
            <w:r>
              <w:rPr>
                <w:spacing w:val="-8"/>
                <w:sz w:val="18"/>
              </w:rPr>
              <w:t xml:space="preserve"> </w:t>
            </w:r>
            <w:r>
              <w:rPr>
                <w:sz w:val="18"/>
              </w:rPr>
              <w:t>CEUS</w:t>
            </w:r>
            <w:r>
              <w:rPr>
                <w:spacing w:val="-7"/>
                <w:sz w:val="18"/>
              </w:rPr>
              <w:t xml:space="preserve"> </w:t>
            </w:r>
            <w:r>
              <w:rPr>
                <w:sz w:val="18"/>
              </w:rPr>
              <w:t>will</w:t>
            </w:r>
            <w:r>
              <w:rPr>
                <w:spacing w:val="-6"/>
                <w:sz w:val="18"/>
              </w:rPr>
              <w:t xml:space="preserve"> </w:t>
            </w:r>
            <w:r>
              <w:rPr>
                <w:sz w:val="18"/>
              </w:rPr>
              <w:t>provide</w:t>
            </w:r>
            <w:r>
              <w:rPr>
                <w:spacing w:val="-8"/>
                <w:sz w:val="18"/>
              </w:rPr>
              <w:t xml:space="preserve"> </w:t>
            </w:r>
            <w:r>
              <w:rPr>
                <w:sz w:val="18"/>
              </w:rPr>
              <w:t>and</w:t>
            </w:r>
            <w:r>
              <w:rPr>
                <w:spacing w:val="-8"/>
                <w:sz w:val="18"/>
              </w:rPr>
              <w:t xml:space="preserve"> </w:t>
            </w:r>
            <w:r>
              <w:rPr>
                <w:sz w:val="18"/>
              </w:rPr>
              <w:t>if</w:t>
            </w:r>
            <w:r>
              <w:rPr>
                <w:spacing w:val="-7"/>
                <w:sz w:val="18"/>
              </w:rPr>
              <w:t xml:space="preserve"> </w:t>
            </w:r>
            <w:r>
              <w:rPr>
                <w:sz w:val="18"/>
              </w:rPr>
              <w:t>technology characteristics which help define densities</w:t>
            </w:r>
            <w:r>
              <w:rPr>
                <w:sz w:val="18"/>
              </w:rPr>
              <w:t>, saturation, and efficiency penetration are differentiated by public</w:t>
            </w:r>
          </w:p>
          <w:p w:rsidR="00C31389" w:rsidRDefault="00561FBD" w14:paraId="1B5EA76C" w14:textId="77777777">
            <w:pPr>
              <w:pStyle w:val="TableParagraph"/>
              <w:spacing w:before="0" w:line="188" w:lineRule="exact"/>
              <w:ind w:left="108"/>
              <w:rPr>
                <w:sz w:val="18"/>
              </w:rPr>
            </w:pPr>
            <w:r>
              <w:rPr>
                <w:sz w:val="18"/>
              </w:rPr>
              <w:t>vs.</w:t>
            </w:r>
            <w:r>
              <w:rPr>
                <w:spacing w:val="-2"/>
                <w:sz w:val="18"/>
              </w:rPr>
              <w:t xml:space="preserve"> </w:t>
            </w:r>
            <w:r>
              <w:rPr>
                <w:sz w:val="18"/>
              </w:rPr>
              <w:t>private</w:t>
            </w:r>
            <w:r>
              <w:rPr>
                <w:spacing w:val="-3"/>
                <w:sz w:val="18"/>
              </w:rPr>
              <w:t xml:space="preserve"> </w:t>
            </w:r>
            <w:r>
              <w:rPr>
                <w:sz w:val="18"/>
              </w:rPr>
              <w:t>commercial</w:t>
            </w:r>
            <w:r>
              <w:rPr>
                <w:spacing w:val="-2"/>
                <w:sz w:val="18"/>
              </w:rPr>
              <w:t xml:space="preserve"> </w:t>
            </w:r>
            <w:r>
              <w:rPr>
                <w:sz w:val="18"/>
              </w:rPr>
              <w:t>sector</w:t>
            </w:r>
            <w:r>
              <w:rPr>
                <w:spacing w:val="-1"/>
                <w:sz w:val="18"/>
              </w:rPr>
              <w:t xml:space="preserve"> </w:t>
            </w:r>
            <w:r>
              <w:rPr>
                <w:spacing w:val="-2"/>
                <w:sz w:val="18"/>
              </w:rPr>
              <w:t>buildings.</w:t>
            </w:r>
          </w:p>
        </w:tc>
      </w:tr>
    </w:tbl>
    <w:p w:rsidR="00C31389" w:rsidRDefault="00C31389" w14:paraId="39F8C0CF" w14:textId="77777777">
      <w:pPr>
        <w:spacing w:line="188" w:lineRule="exact"/>
        <w:rPr>
          <w:sz w:val="18"/>
        </w:rPr>
        <w:sectPr w:rsidR="00C31389">
          <w:pgSz w:w="15840" w:h="12240" w:orient="landscape"/>
          <w:pgMar w:top="1660" w:right="2260" w:bottom="1120" w:left="1320" w:header="397" w:footer="936" w:gutter="0"/>
          <w:cols w:space="720"/>
        </w:sectPr>
      </w:pPr>
    </w:p>
    <w:p w:rsidR="00C31389" w:rsidRDefault="00C31389" w14:paraId="1709A436" w14:textId="77777777">
      <w:pPr>
        <w:pStyle w:val="BodyText"/>
        <w:spacing w:before="6" w:after="1"/>
        <w:rPr>
          <w:sz w:val="21"/>
        </w:rPr>
      </w:pPr>
    </w:p>
    <w:tbl>
      <w:tblPr>
        <w:tblW w:w="0" w:type="auto"/>
        <w:tblInd w:w="124" w:type="dxa"/>
        <w:tblLayout w:type="fixed"/>
        <w:tblCellMar>
          <w:left w:w="0" w:type="dxa"/>
          <w:right w:w="0" w:type="dxa"/>
        </w:tblCellMar>
        <w:tblLook w:val="01E0" w:firstRow="1" w:lastRow="1" w:firstColumn="1" w:lastColumn="1" w:noHBand="0" w:noVBand="0"/>
      </w:tblPr>
      <w:tblGrid>
        <w:gridCol w:w="1293"/>
        <w:gridCol w:w="1483"/>
        <w:gridCol w:w="5415"/>
        <w:gridCol w:w="3416"/>
      </w:tblGrid>
      <w:tr w:rsidR="00C31389" w14:paraId="686B91CE" w14:textId="77777777">
        <w:trPr>
          <w:trHeight w:val="261"/>
        </w:trPr>
        <w:tc>
          <w:tcPr>
            <w:tcW w:w="1293" w:type="dxa"/>
            <w:shd w:val="clear" w:color="auto" w:fill="94D500"/>
          </w:tcPr>
          <w:p w:rsidR="00C31389" w:rsidRDefault="00561FBD" w14:paraId="67ED6B61" w14:textId="77777777">
            <w:pPr>
              <w:pStyle w:val="TableParagraph"/>
              <w:spacing w:before="26"/>
              <w:ind w:left="115"/>
              <w:rPr>
                <w:b/>
                <w:sz w:val="18"/>
              </w:rPr>
            </w:pPr>
            <w:r>
              <w:rPr>
                <w:b/>
                <w:spacing w:val="-2"/>
                <w:sz w:val="18"/>
              </w:rPr>
              <w:t>Subject</w:t>
            </w:r>
          </w:p>
        </w:tc>
        <w:tc>
          <w:tcPr>
            <w:tcW w:w="1483" w:type="dxa"/>
            <w:shd w:val="clear" w:color="auto" w:fill="94D500"/>
          </w:tcPr>
          <w:p w:rsidR="00C31389" w:rsidRDefault="00561FBD" w14:paraId="1A3D582F" w14:textId="77777777">
            <w:pPr>
              <w:pStyle w:val="TableParagraph"/>
              <w:spacing w:before="26"/>
              <w:ind w:left="527"/>
              <w:rPr>
                <w:b/>
                <w:sz w:val="18"/>
              </w:rPr>
            </w:pPr>
            <w:r>
              <w:rPr>
                <w:b/>
                <w:spacing w:val="-2"/>
                <w:sz w:val="18"/>
              </w:rPr>
              <w:t>Affiliation</w:t>
            </w:r>
          </w:p>
        </w:tc>
        <w:tc>
          <w:tcPr>
            <w:tcW w:w="5415" w:type="dxa"/>
            <w:shd w:val="clear" w:color="auto" w:fill="94D500"/>
          </w:tcPr>
          <w:p w:rsidR="00C31389" w:rsidRDefault="00561FBD" w14:paraId="3E6CC4C9" w14:textId="77777777">
            <w:pPr>
              <w:pStyle w:val="TableParagraph"/>
              <w:spacing w:before="26"/>
              <w:ind w:left="124"/>
              <w:rPr>
                <w:b/>
                <w:sz w:val="18"/>
              </w:rPr>
            </w:pPr>
            <w:r>
              <w:rPr>
                <w:b/>
                <w:sz w:val="18"/>
              </w:rPr>
              <w:t>Summary</w:t>
            </w:r>
            <w:r>
              <w:rPr>
                <w:b/>
                <w:spacing w:val="-3"/>
                <w:sz w:val="18"/>
              </w:rPr>
              <w:t xml:space="preserve"> </w:t>
            </w:r>
            <w:r>
              <w:rPr>
                <w:b/>
                <w:sz w:val="18"/>
              </w:rPr>
              <w:t>of</w:t>
            </w:r>
            <w:r>
              <w:rPr>
                <w:b/>
                <w:spacing w:val="-2"/>
                <w:sz w:val="18"/>
              </w:rPr>
              <w:t xml:space="preserve"> Issue</w:t>
            </w:r>
          </w:p>
        </w:tc>
        <w:tc>
          <w:tcPr>
            <w:tcW w:w="3416" w:type="dxa"/>
            <w:shd w:val="clear" w:color="auto" w:fill="94D500"/>
          </w:tcPr>
          <w:p w:rsidR="00C31389" w:rsidRDefault="00561FBD" w14:paraId="6DC63852" w14:textId="77777777">
            <w:pPr>
              <w:pStyle w:val="TableParagraph"/>
              <w:spacing w:before="26"/>
              <w:ind w:left="109"/>
              <w:rPr>
                <w:b/>
                <w:sz w:val="18"/>
              </w:rPr>
            </w:pPr>
            <w:r>
              <w:rPr>
                <w:b/>
                <w:sz w:val="18"/>
              </w:rPr>
              <w:t>Guidehouse</w:t>
            </w:r>
            <w:r>
              <w:rPr>
                <w:b/>
                <w:spacing w:val="-4"/>
                <w:sz w:val="18"/>
              </w:rPr>
              <w:t xml:space="preserve"> </w:t>
            </w:r>
            <w:r>
              <w:rPr>
                <w:b/>
                <w:spacing w:val="-2"/>
                <w:sz w:val="18"/>
              </w:rPr>
              <w:t>Response</w:t>
            </w:r>
          </w:p>
        </w:tc>
      </w:tr>
      <w:tr w:rsidR="00C31389" w14:paraId="285B9003" w14:textId="77777777">
        <w:trPr>
          <w:trHeight w:val="3105"/>
        </w:trPr>
        <w:tc>
          <w:tcPr>
            <w:tcW w:w="1293" w:type="dxa"/>
            <w:tcBorders>
              <w:bottom w:val="single" w:color="94D500" w:sz="4" w:space="0"/>
            </w:tcBorders>
          </w:tcPr>
          <w:p w:rsidR="00C31389" w:rsidRDefault="00C31389" w14:paraId="01C57AF5" w14:textId="77777777">
            <w:pPr>
              <w:pStyle w:val="TableParagraph"/>
              <w:spacing w:before="0"/>
              <w:rPr>
                <w:sz w:val="20"/>
              </w:rPr>
            </w:pPr>
          </w:p>
          <w:p w:rsidR="00C31389" w:rsidRDefault="00C31389" w14:paraId="100ACACB" w14:textId="77777777">
            <w:pPr>
              <w:pStyle w:val="TableParagraph"/>
              <w:spacing w:before="0"/>
              <w:rPr>
                <w:sz w:val="20"/>
              </w:rPr>
            </w:pPr>
          </w:p>
          <w:p w:rsidR="00C31389" w:rsidRDefault="00C31389" w14:paraId="091293A9" w14:textId="77777777">
            <w:pPr>
              <w:pStyle w:val="TableParagraph"/>
              <w:spacing w:before="0"/>
              <w:rPr>
                <w:sz w:val="20"/>
              </w:rPr>
            </w:pPr>
          </w:p>
          <w:p w:rsidR="00C31389" w:rsidRDefault="00C31389" w14:paraId="28B77092" w14:textId="77777777">
            <w:pPr>
              <w:pStyle w:val="TableParagraph"/>
              <w:spacing w:before="0"/>
              <w:rPr>
                <w:sz w:val="20"/>
              </w:rPr>
            </w:pPr>
          </w:p>
          <w:p w:rsidR="00C31389" w:rsidRDefault="00C31389" w14:paraId="20665108" w14:textId="77777777">
            <w:pPr>
              <w:pStyle w:val="TableParagraph"/>
              <w:spacing w:before="0"/>
              <w:rPr>
                <w:sz w:val="20"/>
              </w:rPr>
            </w:pPr>
          </w:p>
          <w:p w:rsidR="00C31389" w:rsidRDefault="00C31389" w14:paraId="103F5808" w14:textId="77777777">
            <w:pPr>
              <w:pStyle w:val="TableParagraph"/>
              <w:spacing w:before="11"/>
              <w:rPr>
                <w:sz w:val="25"/>
              </w:rPr>
            </w:pPr>
          </w:p>
          <w:p w:rsidR="00C31389" w:rsidRDefault="00561FBD" w14:paraId="6920E041" w14:textId="77777777">
            <w:pPr>
              <w:pStyle w:val="TableParagraph"/>
              <w:spacing w:before="0"/>
              <w:ind w:left="115"/>
              <w:rPr>
                <w:b/>
                <w:sz w:val="18"/>
              </w:rPr>
            </w:pPr>
            <w:r>
              <w:rPr>
                <w:b/>
                <w:spacing w:val="-2"/>
                <w:sz w:val="18"/>
              </w:rPr>
              <w:t>Report</w:t>
            </w:r>
          </w:p>
        </w:tc>
        <w:tc>
          <w:tcPr>
            <w:tcW w:w="1483" w:type="dxa"/>
            <w:tcBorders>
              <w:bottom w:val="single" w:color="94D500" w:sz="4" w:space="0"/>
            </w:tcBorders>
          </w:tcPr>
          <w:p w:rsidR="00C31389" w:rsidRDefault="00C31389" w14:paraId="2D48040B" w14:textId="77777777">
            <w:pPr>
              <w:pStyle w:val="TableParagraph"/>
              <w:spacing w:before="0"/>
              <w:rPr>
                <w:sz w:val="20"/>
              </w:rPr>
            </w:pPr>
          </w:p>
          <w:p w:rsidR="00C31389" w:rsidRDefault="00C31389" w14:paraId="3ECFD916" w14:textId="77777777">
            <w:pPr>
              <w:pStyle w:val="TableParagraph"/>
              <w:spacing w:before="0"/>
              <w:rPr>
                <w:sz w:val="20"/>
              </w:rPr>
            </w:pPr>
          </w:p>
          <w:p w:rsidR="00C31389" w:rsidRDefault="00C31389" w14:paraId="46C7F895" w14:textId="77777777">
            <w:pPr>
              <w:pStyle w:val="TableParagraph"/>
              <w:spacing w:before="0"/>
              <w:rPr>
                <w:sz w:val="20"/>
              </w:rPr>
            </w:pPr>
          </w:p>
          <w:p w:rsidR="00C31389" w:rsidRDefault="00C31389" w14:paraId="009852EF" w14:textId="77777777">
            <w:pPr>
              <w:pStyle w:val="TableParagraph"/>
              <w:spacing w:before="0"/>
              <w:rPr>
                <w:sz w:val="20"/>
              </w:rPr>
            </w:pPr>
          </w:p>
          <w:p w:rsidR="00C31389" w:rsidRDefault="00C31389" w14:paraId="6EB25664" w14:textId="77777777">
            <w:pPr>
              <w:pStyle w:val="TableParagraph"/>
              <w:spacing w:before="0"/>
              <w:rPr>
                <w:sz w:val="20"/>
              </w:rPr>
            </w:pPr>
          </w:p>
          <w:p w:rsidR="00C31389" w:rsidRDefault="00C31389" w14:paraId="4AA923AE" w14:textId="77777777">
            <w:pPr>
              <w:pStyle w:val="TableParagraph"/>
              <w:spacing w:before="11"/>
              <w:rPr>
                <w:sz w:val="25"/>
              </w:rPr>
            </w:pPr>
          </w:p>
          <w:p w:rsidR="00C31389" w:rsidRDefault="00561FBD" w14:paraId="55CA980F" w14:textId="77777777">
            <w:pPr>
              <w:pStyle w:val="TableParagraph"/>
              <w:spacing w:before="0"/>
              <w:ind w:left="527"/>
              <w:rPr>
                <w:sz w:val="18"/>
              </w:rPr>
            </w:pPr>
            <w:r>
              <w:rPr>
                <w:spacing w:val="-4"/>
                <w:sz w:val="18"/>
              </w:rPr>
              <w:t>PG&amp;E</w:t>
            </w:r>
          </w:p>
        </w:tc>
        <w:tc>
          <w:tcPr>
            <w:tcW w:w="5415" w:type="dxa"/>
            <w:tcBorders>
              <w:bottom w:val="single" w:color="94D500" w:sz="4" w:space="0"/>
            </w:tcBorders>
          </w:tcPr>
          <w:p w:rsidR="00C31389" w:rsidRDefault="00561FBD" w14:paraId="58386D16" w14:textId="77777777">
            <w:pPr>
              <w:pStyle w:val="TableParagraph"/>
              <w:spacing w:before="103"/>
              <w:ind w:left="124" w:right="148" w:hanging="1"/>
              <w:rPr>
                <w:sz w:val="18"/>
              </w:rPr>
            </w:pPr>
            <w:r>
              <w:rPr>
                <w:sz w:val="18"/>
              </w:rPr>
              <w:t>PG&amp;E</w:t>
            </w:r>
            <w:r>
              <w:rPr>
                <w:spacing w:val="-4"/>
                <w:sz w:val="18"/>
              </w:rPr>
              <w:t xml:space="preserve"> </w:t>
            </w:r>
            <w:r>
              <w:rPr>
                <w:sz w:val="18"/>
              </w:rPr>
              <w:t>requests</w:t>
            </w:r>
            <w:r>
              <w:rPr>
                <w:spacing w:val="-4"/>
                <w:sz w:val="18"/>
              </w:rPr>
              <w:t xml:space="preserve"> </w:t>
            </w:r>
            <w:r>
              <w:rPr>
                <w:sz w:val="18"/>
              </w:rPr>
              <w:t>that</w:t>
            </w:r>
            <w:r>
              <w:rPr>
                <w:spacing w:val="-4"/>
                <w:sz w:val="18"/>
              </w:rPr>
              <w:t xml:space="preserve"> </w:t>
            </w:r>
            <w:r>
              <w:rPr>
                <w:sz w:val="18"/>
              </w:rPr>
              <w:t>the</w:t>
            </w:r>
            <w:r>
              <w:rPr>
                <w:spacing w:val="-5"/>
                <w:sz w:val="18"/>
              </w:rPr>
              <w:t xml:space="preserve"> </w:t>
            </w:r>
            <w:r>
              <w:rPr>
                <w:sz w:val="18"/>
              </w:rPr>
              <w:t>final</w:t>
            </w:r>
            <w:r>
              <w:rPr>
                <w:spacing w:val="-3"/>
                <w:sz w:val="18"/>
              </w:rPr>
              <w:t xml:space="preserve"> </w:t>
            </w:r>
            <w:r>
              <w:rPr>
                <w:sz w:val="18"/>
              </w:rPr>
              <w:t>PGS</w:t>
            </w:r>
            <w:r>
              <w:rPr>
                <w:spacing w:val="-4"/>
                <w:sz w:val="18"/>
              </w:rPr>
              <w:t xml:space="preserve"> </w:t>
            </w:r>
            <w:r>
              <w:rPr>
                <w:sz w:val="18"/>
              </w:rPr>
              <w:t>include</w:t>
            </w:r>
            <w:r>
              <w:rPr>
                <w:spacing w:val="-5"/>
                <w:sz w:val="18"/>
              </w:rPr>
              <w:t xml:space="preserve"> </w:t>
            </w:r>
            <w:r>
              <w:rPr>
                <w:sz w:val="18"/>
              </w:rPr>
              <w:t>a</w:t>
            </w:r>
            <w:r>
              <w:rPr>
                <w:spacing w:val="-3"/>
                <w:sz w:val="18"/>
              </w:rPr>
              <w:t xml:space="preserve"> </w:t>
            </w:r>
            <w:r>
              <w:rPr>
                <w:sz w:val="18"/>
              </w:rPr>
              <w:t>technical</w:t>
            </w:r>
            <w:r>
              <w:rPr>
                <w:spacing w:val="-4"/>
                <w:sz w:val="18"/>
              </w:rPr>
              <w:t xml:space="preserve"> </w:t>
            </w:r>
            <w:r>
              <w:rPr>
                <w:sz w:val="18"/>
              </w:rPr>
              <w:t>write-up</w:t>
            </w:r>
            <w:r>
              <w:rPr>
                <w:spacing w:val="-5"/>
                <w:sz w:val="18"/>
              </w:rPr>
              <w:t xml:space="preserve"> </w:t>
            </w:r>
            <w:r>
              <w:rPr>
                <w:sz w:val="18"/>
              </w:rPr>
              <w:t>of the methodology used to apportion the potential by IOU. Because C&amp;S is a statewide program, C&amp;S savings achievements are apportioned to IOUs based upon proportional funding shares. The PGS does not appear to follow a similar</w:t>
            </w:r>
            <w:r>
              <w:rPr>
                <w:sz w:val="18"/>
              </w:rPr>
              <w:t xml:space="preserve"> methodology, therefore there may be the potential for misalignment</w:t>
            </w:r>
            <w:r>
              <w:rPr>
                <w:spacing w:val="-2"/>
                <w:sz w:val="18"/>
              </w:rPr>
              <w:t xml:space="preserve"> </w:t>
            </w:r>
            <w:r>
              <w:rPr>
                <w:sz w:val="18"/>
              </w:rPr>
              <w:t>between</w:t>
            </w:r>
            <w:r>
              <w:rPr>
                <w:spacing w:val="-3"/>
                <w:sz w:val="18"/>
              </w:rPr>
              <w:t xml:space="preserve"> </w:t>
            </w:r>
            <w:r>
              <w:rPr>
                <w:sz w:val="18"/>
              </w:rPr>
              <w:t>the</w:t>
            </w:r>
            <w:r>
              <w:rPr>
                <w:spacing w:val="-3"/>
                <w:sz w:val="18"/>
              </w:rPr>
              <w:t xml:space="preserve"> </w:t>
            </w:r>
            <w:r>
              <w:rPr>
                <w:sz w:val="18"/>
              </w:rPr>
              <w:t>C&amp;S</w:t>
            </w:r>
            <w:r>
              <w:rPr>
                <w:spacing w:val="-2"/>
                <w:sz w:val="18"/>
              </w:rPr>
              <w:t xml:space="preserve"> </w:t>
            </w:r>
            <w:r>
              <w:rPr>
                <w:sz w:val="18"/>
              </w:rPr>
              <w:t>goals</w:t>
            </w:r>
            <w:r>
              <w:rPr>
                <w:spacing w:val="-2"/>
                <w:sz w:val="18"/>
              </w:rPr>
              <w:t xml:space="preserve"> </w:t>
            </w:r>
            <w:r>
              <w:rPr>
                <w:sz w:val="18"/>
              </w:rPr>
              <w:t>set</w:t>
            </w:r>
            <w:r>
              <w:rPr>
                <w:spacing w:val="-2"/>
                <w:sz w:val="18"/>
              </w:rPr>
              <w:t xml:space="preserve"> </w:t>
            </w:r>
            <w:r>
              <w:rPr>
                <w:sz w:val="18"/>
              </w:rPr>
              <w:t>for</w:t>
            </w:r>
            <w:r>
              <w:rPr>
                <w:spacing w:val="-2"/>
                <w:sz w:val="18"/>
              </w:rPr>
              <w:t xml:space="preserve"> </w:t>
            </w:r>
            <w:r>
              <w:rPr>
                <w:sz w:val="18"/>
              </w:rPr>
              <w:t>IOUs</w:t>
            </w:r>
            <w:r>
              <w:rPr>
                <w:spacing w:val="-2"/>
                <w:sz w:val="18"/>
              </w:rPr>
              <w:t xml:space="preserve"> </w:t>
            </w:r>
            <w:r>
              <w:rPr>
                <w:sz w:val="18"/>
              </w:rPr>
              <w:t>and</w:t>
            </w:r>
            <w:r>
              <w:rPr>
                <w:spacing w:val="-3"/>
                <w:sz w:val="18"/>
              </w:rPr>
              <w:t xml:space="preserve"> </w:t>
            </w:r>
            <w:r>
              <w:rPr>
                <w:sz w:val="18"/>
              </w:rPr>
              <w:t>an</w:t>
            </w:r>
            <w:r>
              <w:rPr>
                <w:spacing w:val="-3"/>
                <w:sz w:val="18"/>
              </w:rPr>
              <w:t xml:space="preserve"> </w:t>
            </w:r>
            <w:r>
              <w:rPr>
                <w:sz w:val="18"/>
              </w:rPr>
              <w:t>IOU’s ability to claim C&amp;S savings at the right levels to achieve its respective C&amp;S goals.</w:t>
            </w:r>
          </w:p>
          <w:p w:rsidR="00C31389" w:rsidRDefault="00561FBD" w14:paraId="07BDC594" w14:textId="77777777">
            <w:pPr>
              <w:pStyle w:val="TableParagraph"/>
              <w:spacing w:before="0"/>
              <w:ind w:left="124" w:right="107"/>
              <w:rPr>
                <w:sz w:val="18"/>
              </w:rPr>
            </w:pPr>
            <w:r>
              <w:rPr>
                <w:sz w:val="18"/>
              </w:rPr>
              <w:t>Because C&amp;S programs are implemented statewide and the</w:t>
            </w:r>
            <w:r>
              <w:rPr>
                <w:sz w:val="18"/>
              </w:rPr>
              <w:t xml:space="preserve"> savings apportioned to each IOU are based upon the budget each IOU contributes to the statewide C&amp;S program, if in the future,</w:t>
            </w:r>
            <w:r>
              <w:rPr>
                <w:spacing w:val="-5"/>
                <w:sz w:val="18"/>
              </w:rPr>
              <w:t xml:space="preserve"> </w:t>
            </w:r>
            <w:r>
              <w:rPr>
                <w:sz w:val="18"/>
              </w:rPr>
              <w:t>statewide</w:t>
            </w:r>
            <w:r>
              <w:rPr>
                <w:spacing w:val="-6"/>
                <w:sz w:val="18"/>
              </w:rPr>
              <w:t xml:space="preserve"> </w:t>
            </w:r>
            <w:r>
              <w:rPr>
                <w:sz w:val="18"/>
              </w:rPr>
              <w:t>funding</w:t>
            </w:r>
            <w:r>
              <w:rPr>
                <w:spacing w:val="-6"/>
                <w:sz w:val="18"/>
              </w:rPr>
              <w:t xml:space="preserve"> </w:t>
            </w:r>
            <w:r>
              <w:rPr>
                <w:sz w:val="18"/>
              </w:rPr>
              <w:t>share</w:t>
            </w:r>
            <w:r>
              <w:rPr>
                <w:spacing w:val="-6"/>
                <w:sz w:val="18"/>
              </w:rPr>
              <w:t xml:space="preserve"> </w:t>
            </w:r>
            <w:r>
              <w:rPr>
                <w:sz w:val="18"/>
              </w:rPr>
              <w:t>percentages</w:t>
            </w:r>
            <w:r>
              <w:rPr>
                <w:spacing w:val="-5"/>
                <w:sz w:val="18"/>
              </w:rPr>
              <w:t xml:space="preserve"> </w:t>
            </w:r>
            <w:r>
              <w:rPr>
                <w:sz w:val="18"/>
              </w:rPr>
              <w:t>are</w:t>
            </w:r>
            <w:r>
              <w:rPr>
                <w:spacing w:val="-6"/>
                <w:sz w:val="18"/>
              </w:rPr>
              <w:t xml:space="preserve"> </w:t>
            </w:r>
            <w:r>
              <w:rPr>
                <w:sz w:val="18"/>
              </w:rPr>
              <w:t>updated,</w:t>
            </w:r>
            <w:r>
              <w:rPr>
                <w:spacing w:val="-5"/>
                <w:sz w:val="18"/>
              </w:rPr>
              <w:t xml:space="preserve"> </w:t>
            </w:r>
            <w:r>
              <w:rPr>
                <w:sz w:val="18"/>
              </w:rPr>
              <w:t>it</w:t>
            </w:r>
            <w:r>
              <w:rPr>
                <w:spacing w:val="-5"/>
                <w:sz w:val="18"/>
              </w:rPr>
              <w:t xml:space="preserve"> </w:t>
            </w:r>
            <w:r>
              <w:rPr>
                <w:sz w:val="18"/>
              </w:rPr>
              <w:t>could become impossible for some IOUs to meet their C&amp;S goals.</w:t>
            </w:r>
          </w:p>
        </w:tc>
        <w:tc>
          <w:tcPr>
            <w:tcW w:w="3416" w:type="dxa"/>
            <w:tcBorders>
              <w:bottom w:val="single" w:color="94D500" w:sz="4" w:space="0"/>
            </w:tcBorders>
          </w:tcPr>
          <w:p w:rsidR="00C31389" w:rsidRDefault="00561FBD" w14:paraId="1651776A" w14:textId="77777777">
            <w:pPr>
              <w:pStyle w:val="TableParagraph"/>
              <w:spacing w:before="0"/>
              <w:ind w:left="109" w:right="115"/>
              <w:rPr>
                <w:sz w:val="18"/>
              </w:rPr>
            </w:pPr>
            <w:r>
              <w:rPr>
                <w:sz w:val="18"/>
              </w:rPr>
              <w:t xml:space="preserve">PG study </w:t>
            </w:r>
            <w:r>
              <w:rPr>
                <w:sz w:val="18"/>
              </w:rPr>
              <w:t>report has been updated to document the methodology of IOU attribution. In general, the PG study quantifies potential in the IOU service territories</w:t>
            </w:r>
            <w:r>
              <w:rPr>
                <w:spacing w:val="-10"/>
                <w:sz w:val="18"/>
              </w:rPr>
              <w:t xml:space="preserve"> </w:t>
            </w:r>
            <w:r>
              <w:rPr>
                <w:sz w:val="18"/>
              </w:rPr>
              <w:t>where</w:t>
            </w:r>
            <w:r>
              <w:rPr>
                <w:spacing w:val="-10"/>
                <w:sz w:val="18"/>
              </w:rPr>
              <w:t xml:space="preserve"> </w:t>
            </w:r>
            <w:r>
              <w:rPr>
                <w:sz w:val="18"/>
              </w:rPr>
              <w:t>savings</w:t>
            </w:r>
            <w:r>
              <w:rPr>
                <w:spacing w:val="-10"/>
                <w:sz w:val="18"/>
              </w:rPr>
              <w:t xml:space="preserve"> </w:t>
            </w:r>
            <w:r>
              <w:rPr>
                <w:sz w:val="18"/>
              </w:rPr>
              <w:t>actually</w:t>
            </w:r>
            <w:r>
              <w:rPr>
                <w:spacing w:val="-10"/>
                <w:sz w:val="18"/>
              </w:rPr>
              <w:t xml:space="preserve"> </w:t>
            </w:r>
            <w:r>
              <w:rPr>
                <w:sz w:val="18"/>
              </w:rPr>
              <w:t>occurs (i.e. where installations are made and where behavior change is influenced).</w:t>
            </w:r>
            <w:r>
              <w:rPr>
                <w:spacing w:val="40"/>
                <w:sz w:val="18"/>
              </w:rPr>
              <w:t xml:space="preserve"> </w:t>
            </w:r>
            <w:r>
              <w:rPr>
                <w:sz w:val="18"/>
              </w:rPr>
              <w:t xml:space="preserve">In the case of allocation of statewide program savings to IOUs based on funding (including thar approach for C&amp;S program) the PG study continues to forecast </w:t>
            </w:r>
            <w:r>
              <w:rPr>
                <w:sz w:val="18"/>
                <w:u w:val="single"/>
              </w:rPr>
              <w:t>potentia</w:t>
            </w:r>
            <w:r>
              <w:rPr>
                <w:sz w:val="18"/>
              </w:rPr>
              <w:t>l where savings will occur based on where buildings and</w:t>
            </w:r>
          </w:p>
          <w:p w:rsidR="00C31389" w:rsidRDefault="00561FBD" w14:paraId="4E5EDD45" w14:textId="77777777">
            <w:pPr>
              <w:pStyle w:val="TableParagraph"/>
              <w:spacing w:before="0" w:line="206" w:lineRule="exact"/>
              <w:ind w:left="109" w:right="135"/>
              <w:rPr>
                <w:sz w:val="18"/>
              </w:rPr>
            </w:pPr>
            <w:r>
              <w:rPr>
                <w:sz w:val="18"/>
              </w:rPr>
              <w:t>appliances</w:t>
            </w:r>
            <w:r>
              <w:rPr>
                <w:spacing w:val="-8"/>
                <w:sz w:val="18"/>
              </w:rPr>
              <w:t xml:space="preserve"> </w:t>
            </w:r>
            <w:r>
              <w:rPr>
                <w:sz w:val="18"/>
              </w:rPr>
              <w:t>are</w:t>
            </w:r>
            <w:r>
              <w:rPr>
                <w:spacing w:val="-9"/>
                <w:sz w:val="18"/>
              </w:rPr>
              <w:t xml:space="preserve"> </w:t>
            </w:r>
            <w:r>
              <w:rPr>
                <w:sz w:val="18"/>
              </w:rPr>
              <w:t>located.</w:t>
            </w:r>
            <w:r>
              <w:rPr>
                <w:spacing w:val="-8"/>
                <w:sz w:val="18"/>
              </w:rPr>
              <w:t xml:space="preserve"> </w:t>
            </w:r>
            <w:r>
              <w:rPr>
                <w:sz w:val="18"/>
              </w:rPr>
              <w:t>Goals</w:t>
            </w:r>
            <w:r>
              <w:rPr>
                <w:spacing w:val="-7"/>
                <w:sz w:val="18"/>
              </w:rPr>
              <w:t xml:space="preserve"> </w:t>
            </w:r>
            <w:r>
              <w:rPr>
                <w:sz w:val="18"/>
              </w:rPr>
              <w:t>may</w:t>
            </w:r>
            <w:r>
              <w:rPr>
                <w:spacing w:val="-8"/>
                <w:sz w:val="18"/>
              </w:rPr>
              <w:t xml:space="preserve"> </w:t>
            </w:r>
            <w:r>
              <w:rPr>
                <w:sz w:val="18"/>
              </w:rPr>
              <w:t>b</w:t>
            </w:r>
            <w:r>
              <w:rPr>
                <w:sz w:val="18"/>
              </w:rPr>
              <w:t>e set differently.</w:t>
            </w:r>
          </w:p>
        </w:tc>
      </w:tr>
      <w:tr w:rsidR="00C31389" w14:paraId="14F8DAF4" w14:textId="77777777">
        <w:trPr>
          <w:trHeight w:val="2159"/>
        </w:trPr>
        <w:tc>
          <w:tcPr>
            <w:tcW w:w="1293" w:type="dxa"/>
            <w:tcBorders>
              <w:top w:val="single" w:color="94D500" w:sz="4" w:space="0"/>
              <w:bottom w:val="single" w:color="94D500" w:sz="4" w:space="0"/>
            </w:tcBorders>
          </w:tcPr>
          <w:p w:rsidR="00C31389" w:rsidRDefault="00C31389" w14:paraId="5BB084CD" w14:textId="77777777">
            <w:pPr>
              <w:pStyle w:val="TableParagraph"/>
              <w:spacing w:before="0"/>
              <w:rPr>
                <w:sz w:val="20"/>
              </w:rPr>
            </w:pPr>
          </w:p>
          <w:p w:rsidR="00C31389" w:rsidRDefault="00C31389" w14:paraId="1DE391C7" w14:textId="77777777">
            <w:pPr>
              <w:pStyle w:val="TableParagraph"/>
              <w:spacing w:before="0"/>
              <w:rPr>
                <w:sz w:val="20"/>
              </w:rPr>
            </w:pPr>
          </w:p>
          <w:p w:rsidR="00C31389" w:rsidRDefault="00C31389" w14:paraId="3E5C48F3" w14:textId="77777777">
            <w:pPr>
              <w:pStyle w:val="TableParagraph"/>
              <w:spacing w:before="0"/>
              <w:rPr>
                <w:sz w:val="20"/>
              </w:rPr>
            </w:pPr>
          </w:p>
          <w:p w:rsidR="00C31389" w:rsidRDefault="00C31389" w14:paraId="75675AF4" w14:textId="77777777">
            <w:pPr>
              <w:pStyle w:val="TableParagraph"/>
              <w:spacing w:before="9"/>
              <w:rPr>
                <w:sz w:val="24"/>
              </w:rPr>
            </w:pPr>
          </w:p>
          <w:p w:rsidR="00C31389" w:rsidRDefault="00561FBD" w14:paraId="19194A30" w14:textId="77777777">
            <w:pPr>
              <w:pStyle w:val="TableParagraph"/>
              <w:spacing w:before="1"/>
              <w:ind w:left="115"/>
              <w:rPr>
                <w:b/>
                <w:sz w:val="18"/>
              </w:rPr>
            </w:pPr>
            <w:r>
              <w:rPr>
                <w:b/>
                <w:spacing w:val="-2"/>
                <w:sz w:val="18"/>
              </w:rPr>
              <w:t>Report</w:t>
            </w:r>
          </w:p>
        </w:tc>
        <w:tc>
          <w:tcPr>
            <w:tcW w:w="1483" w:type="dxa"/>
            <w:tcBorders>
              <w:top w:val="single" w:color="94D500" w:sz="4" w:space="0"/>
              <w:bottom w:val="single" w:color="94D500" w:sz="4" w:space="0"/>
            </w:tcBorders>
          </w:tcPr>
          <w:p w:rsidR="00C31389" w:rsidRDefault="00C31389" w14:paraId="7A3FDD8A" w14:textId="77777777">
            <w:pPr>
              <w:pStyle w:val="TableParagraph"/>
              <w:spacing w:before="0"/>
              <w:rPr>
                <w:sz w:val="20"/>
              </w:rPr>
            </w:pPr>
          </w:p>
          <w:p w:rsidR="00C31389" w:rsidRDefault="00C31389" w14:paraId="7F22E99F" w14:textId="77777777">
            <w:pPr>
              <w:pStyle w:val="TableParagraph"/>
              <w:spacing w:before="0"/>
              <w:rPr>
                <w:sz w:val="20"/>
              </w:rPr>
            </w:pPr>
          </w:p>
          <w:p w:rsidR="00C31389" w:rsidRDefault="00C31389" w14:paraId="79696794" w14:textId="77777777">
            <w:pPr>
              <w:pStyle w:val="TableParagraph"/>
              <w:spacing w:before="0"/>
              <w:rPr>
                <w:sz w:val="20"/>
              </w:rPr>
            </w:pPr>
          </w:p>
          <w:p w:rsidR="00C31389" w:rsidRDefault="00C31389" w14:paraId="5BB78B7B" w14:textId="77777777">
            <w:pPr>
              <w:pStyle w:val="TableParagraph"/>
              <w:spacing w:before="9"/>
              <w:rPr>
                <w:sz w:val="24"/>
              </w:rPr>
            </w:pPr>
          </w:p>
          <w:p w:rsidR="00C31389" w:rsidRDefault="00561FBD" w14:paraId="2B6ECB1F" w14:textId="77777777">
            <w:pPr>
              <w:pStyle w:val="TableParagraph"/>
              <w:spacing w:before="1"/>
              <w:ind w:left="527"/>
              <w:rPr>
                <w:sz w:val="18"/>
              </w:rPr>
            </w:pPr>
            <w:r>
              <w:rPr>
                <w:spacing w:val="-4"/>
                <w:sz w:val="18"/>
              </w:rPr>
              <w:t>PG&amp;E</w:t>
            </w:r>
          </w:p>
        </w:tc>
        <w:tc>
          <w:tcPr>
            <w:tcW w:w="5415" w:type="dxa"/>
            <w:tcBorders>
              <w:top w:val="single" w:color="94D500" w:sz="4" w:space="0"/>
              <w:bottom w:val="single" w:color="94D500" w:sz="4" w:space="0"/>
            </w:tcBorders>
          </w:tcPr>
          <w:p w:rsidR="00C31389" w:rsidRDefault="00561FBD" w14:paraId="54732B25" w14:textId="77777777">
            <w:pPr>
              <w:pStyle w:val="TableParagraph"/>
              <w:spacing w:before="43"/>
              <w:ind w:left="124" w:right="137" w:hanging="1"/>
              <w:rPr>
                <w:sz w:val="18"/>
              </w:rPr>
            </w:pPr>
            <w:r>
              <w:rPr>
                <w:sz w:val="18"/>
              </w:rPr>
              <w:t xml:space="preserve">PG&amp;E recommends that the PGS study be updated to state that PG&amp;E’s On-Bill Financing (OBF) Alternative Pathway (AP) has claimed cost and savings since its launch as a pilot program in 2018. Currently, the PGS </w:t>
            </w:r>
            <w:r>
              <w:rPr>
                <w:sz w:val="18"/>
              </w:rPr>
              <w:t>states that PG&amp;E’s OBF AP program has not yet claimed costs or savings since its launch in 2018 as part of the explanation for the exclusion of the financing programs</w:t>
            </w:r>
            <w:r>
              <w:rPr>
                <w:spacing w:val="-4"/>
                <w:sz w:val="18"/>
              </w:rPr>
              <w:t xml:space="preserve"> </w:t>
            </w:r>
            <w:r>
              <w:rPr>
                <w:sz w:val="18"/>
              </w:rPr>
              <w:t>category</w:t>
            </w:r>
            <w:r>
              <w:rPr>
                <w:spacing w:val="-4"/>
                <w:sz w:val="18"/>
              </w:rPr>
              <w:t xml:space="preserve"> </w:t>
            </w:r>
            <w:r>
              <w:rPr>
                <w:sz w:val="18"/>
              </w:rPr>
              <w:t>from</w:t>
            </w:r>
            <w:r>
              <w:rPr>
                <w:spacing w:val="-4"/>
                <w:sz w:val="18"/>
              </w:rPr>
              <w:t xml:space="preserve"> </w:t>
            </w:r>
            <w:r>
              <w:rPr>
                <w:sz w:val="18"/>
              </w:rPr>
              <w:t>the</w:t>
            </w:r>
            <w:r>
              <w:rPr>
                <w:spacing w:val="-5"/>
                <w:sz w:val="18"/>
              </w:rPr>
              <w:t xml:space="preserve"> </w:t>
            </w:r>
            <w:r>
              <w:rPr>
                <w:sz w:val="18"/>
              </w:rPr>
              <w:t>PGS</w:t>
            </w:r>
            <w:r>
              <w:rPr>
                <w:spacing w:val="-4"/>
                <w:sz w:val="18"/>
              </w:rPr>
              <w:t xml:space="preserve"> </w:t>
            </w:r>
            <w:r>
              <w:rPr>
                <w:sz w:val="18"/>
              </w:rPr>
              <w:t>model.</w:t>
            </w:r>
            <w:r>
              <w:rPr>
                <w:spacing w:val="-4"/>
                <w:sz w:val="18"/>
              </w:rPr>
              <w:t xml:space="preserve"> </w:t>
            </w:r>
            <w:r>
              <w:rPr>
                <w:sz w:val="18"/>
              </w:rPr>
              <w:t>The</w:t>
            </w:r>
            <w:r>
              <w:rPr>
                <w:spacing w:val="-5"/>
                <w:sz w:val="18"/>
              </w:rPr>
              <w:t xml:space="preserve"> </w:t>
            </w:r>
            <w:r>
              <w:rPr>
                <w:sz w:val="18"/>
              </w:rPr>
              <w:t>PGS</w:t>
            </w:r>
            <w:r>
              <w:rPr>
                <w:spacing w:val="-4"/>
                <w:sz w:val="18"/>
              </w:rPr>
              <w:t xml:space="preserve"> </w:t>
            </w:r>
            <w:r>
              <w:rPr>
                <w:sz w:val="18"/>
              </w:rPr>
              <w:t>states</w:t>
            </w:r>
            <w:r>
              <w:rPr>
                <w:spacing w:val="-4"/>
                <w:sz w:val="18"/>
              </w:rPr>
              <w:t xml:space="preserve"> </w:t>
            </w:r>
            <w:r>
              <w:rPr>
                <w:sz w:val="18"/>
              </w:rPr>
              <w:t>that</w:t>
            </w:r>
            <w:r>
              <w:rPr>
                <w:spacing w:val="-4"/>
                <w:sz w:val="18"/>
              </w:rPr>
              <w:t xml:space="preserve"> </w:t>
            </w:r>
            <w:r>
              <w:rPr>
                <w:sz w:val="18"/>
              </w:rPr>
              <w:t xml:space="preserve">no savings are historically </w:t>
            </w:r>
            <w:r>
              <w:rPr>
                <w:sz w:val="18"/>
              </w:rPr>
              <w:t>reported for most financing programs, however, PG&amp;E has been claiming costs and savings under program ID PGE210911.</w:t>
            </w:r>
          </w:p>
        </w:tc>
        <w:tc>
          <w:tcPr>
            <w:tcW w:w="3416" w:type="dxa"/>
            <w:tcBorders>
              <w:top w:val="single" w:color="94D500" w:sz="4" w:space="0"/>
              <w:bottom w:val="single" w:color="94D500" w:sz="4" w:space="0"/>
            </w:tcBorders>
          </w:tcPr>
          <w:p w:rsidR="00C31389" w:rsidRDefault="00561FBD" w14:paraId="614AFDD6" w14:textId="77777777">
            <w:pPr>
              <w:pStyle w:val="TableParagraph"/>
              <w:spacing w:before="147"/>
              <w:ind w:left="109" w:right="135"/>
              <w:rPr>
                <w:sz w:val="18"/>
              </w:rPr>
            </w:pPr>
            <w:r>
              <w:rPr>
                <w:sz w:val="18"/>
              </w:rPr>
              <w:t>The PG study models technology adoption, not program delivery mechanism. The analysis is program delivery agnostic. Regarding the topic</w:t>
            </w:r>
            <w:r>
              <w:rPr>
                <w:spacing w:val="40"/>
                <w:sz w:val="18"/>
              </w:rPr>
              <w:t xml:space="preserve"> </w:t>
            </w:r>
            <w:r>
              <w:rPr>
                <w:sz w:val="18"/>
              </w:rPr>
              <w:t xml:space="preserve">of </w:t>
            </w:r>
            <w:r>
              <w:rPr>
                <w:sz w:val="18"/>
              </w:rPr>
              <w:t>EE financing, the 2023 PG study did not make it a priority to update this aspect</w:t>
            </w:r>
            <w:r>
              <w:rPr>
                <w:spacing w:val="-7"/>
                <w:sz w:val="18"/>
              </w:rPr>
              <w:t xml:space="preserve"> </w:t>
            </w:r>
            <w:r>
              <w:rPr>
                <w:sz w:val="18"/>
              </w:rPr>
              <w:t>of</w:t>
            </w:r>
            <w:r>
              <w:rPr>
                <w:spacing w:val="-7"/>
                <w:sz w:val="18"/>
              </w:rPr>
              <w:t xml:space="preserve"> </w:t>
            </w:r>
            <w:r>
              <w:rPr>
                <w:sz w:val="18"/>
              </w:rPr>
              <w:t>the</w:t>
            </w:r>
            <w:r>
              <w:rPr>
                <w:spacing w:val="-8"/>
                <w:sz w:val="18"/>
              </w:rPr>
              <w:t xml:space="preserve"> </w:t>
            </w:r>
            <w:r>
              <w:rPr>
                <w:sz w:val="18"/>
              </w:rPr>
              <w:t>study.</w:t>
            </w:r>
            <w:r>
              <w:rPr>
                <w:spacing w:val="-7"/>
                <w:sz w:val="18"/>
              </w:rPr>
              <w:t xml:space="preserve"> </w:t>
            </w:r>
            <w:r>
              <w:rPr>
                <w:sz w:val="18"/>
              </w:rPr>
              <w:t>However,</w:t>
            </w:r>
            <w:r>
              <w:rPr>
                <w:spacing w:val="-7"/>
                <w:sz w:val="18"/>
              </w:rPr>
              <w:t xml:space="preserve"> </w:t>
            </w:r>
            <w:r>
              <w:rPr>
                <w:sz w:val="18"/>
              </w:rPr>
              <w:t>future</w:t>
            </w:r>
            <w:r>
              <w:rPr>
                <w:spacing w:val="-8"/>
                <w:sz w:val="18"/>
              </w:rPr>
              <w:t xml:space="preserve"> </w:t>
            </w:r>
            <w:r>
              <w:rPr>
                <w:sz w:val="18"/>
              </w:rPr>
              <w:t>PG studies</w:t>
            </w:r>
            <w:r>
              <w:rPr>
                <w:spacing w:val="-10"/>
                <w:sz w:val="18"/>
              </w:rPr>
              <w:t xml:space="preserve"> </w:t>
            </w:r>
            <w:r>
              <w:rPr>
                <w:sz w:val="18"/>
              </w:rPr>
              <w:t>may</w:t>
            </w:r>
            <w:r>
              <w:rPr>
                <w:spacing w:val="-10"/>
                <w:sz w:val="18"/>
              </w:rPr>
              <w:t xml:space="preserve"> </w:t>
            </w:r>
            <w:r>
              <w:rPr>
                <w:sz w:val="18"/>
              </w:rPr>
              <w:t>consider</w:t>
            </w:r>
            <w:r>
              <w:rPr>
                <w:spacing w:val="-10"/>
                <w:sz w:val="18"/>
              </w:rPr>
              <w:t xml:space="preserve"> </w:t>
            </w:r>
            <w:r>
              <w:rPr>
                <w:sz w:val="18"/>
              </w:rPr>
              <w:t>incorporating</w:t>
            </w:r>
            <w:r>
              <w:rPr>
                <w:spacing w:val="-11"/>
                <w:sz w:val="18"/>
              </w:rPr>
              <w:t xml:space="preserve"> </w:t>
            </w:r>
            <w:r>
              <w:rPr>
                <w:sz w:val="18"/>
              </w:rPr>
              <w:t>non- incentive strategies.</w:t>
            </w:r>
          </w:p>
        </w:tc>
      </w:tr>
      <w:tr w:rsidR="00C31389" w14:paraId="5B67698C" w14:textId="77777777">
        <w:trPr>
          <w:trHeight w:val="2880"/>
        </w:trPr>
        <w:tc>
          <w:tcPr>
            <w:tcW w:w="1293" w:type="dxa"/>
            <w:tcBorders>
              <w:top w:val="single" w:color="94D500" w:sz="4" w:space="0"/>
              <w:bottom w:val="single" w:color="94D500" w:sz="4" w:space="0"/>
            </w:tcBorders>
          </w:tcPr>
          <w:p w:rsidR="00C31389" w:rsidRDefault="00C31389" w14:paraId="29F47ECF" w14:textId="77777777">
            <w:pPr>
              <w:pStyle w:val="TableParagraph"/>
              <w:spacing w:before="0"/>
              <w:rPr>
                <w:sz w:val="20"/>
              </w:rPr>
            </w:pPr>
          </w:p>
          <w:p w:rsidR="00C31389" w:rsidRDefault="00C31389" w14:paraId="23B19F92" w14:textId="77777777">
            <w:pPr>
              <w:pStyle w:val="TableParagraph"/>
              <w:spacing w:before="0"/>
              <w:rPr>
                <w:sz w:val="20"/>
              </w:rPr>
            </w:pPr>
          </w:p>
          <w:p w:rsidR="00C31389" w:rsidRDefault="00C31389" w14:paraId="70436BBE" w14:textId="77777777">
            <w:pPr>
              <w:pStyle w:val="TableParagraph"/>
              <w:spacing w:before="0"/>
              <w:rPr>
                <w:sz w:val="20"/>
              </w:rPr>
            </w:pPr>
          </w:p>
          <w:p w:rsidR="00C31389" w:rsidRDefault="00C31389" w14:paraId="658951B4" w14:textId="77777777">
            <w:pPr>
              <w:pStyle w:val="TableParagraph"/>
              <w:spacing w:before="0"/>
              <w:rPr>
                <w:sz w:val="20"/>
              </w:rPr>
            </w:pPr>
          </w:p>
          <w:p w:rsidR="00C31389" w:rsidRDefault="00C31389" w14:paraId="601065FE" w14:textId="77777777">
            <w:pPr>
              <w:pStyle w:val="TableParagraph"/>
              <w:spacing w:before="0"/>
              <w:rPr>
                <w:sz w:val="20"/>
              </w:rPr>
            </w:pPr>
          </w:p>
          <w:p w:rsidR="00C31389" w:rsidRDefault="00C31389" w14:paraId="7025A7EC" w14:textId="77777777">
            <w:pPr>
              <w:pStyle w:val="TableParagraph"/>
              <w:spacing w:before="1"/>
              <w:rPr>
                <w:sz w:val="16"/>
              </w:rPr>
            </w:pPr>
          </w:p>
          <w:p w:rsidR="00C31389" w:rsidRDefault="00561FBD" w14:paraId="6FA80317" w14:textId="77777777">
            <w:pPr>
              <w:pStyle w:val="TableParagraph"/>
              <w:spacing w:before="1"/>
              <w:ind w:left="115"/>
              <w:rPr>
                <w:b/>
                <w:sz w:val="18"/>
              </w:rPr>
            </w:pPr>
            <w:r>
              <w:rPr>
                <w:b/>
                <w:spacing w:val="-2"/>
                <w:sz w:val="18"/>
              </w:rPr>
              <w:t>Report</w:t>
            </w:r>
          </w:p>
        </w:tc>
        <w:tc>
          <w:tcPr>
            <w:tcW w:w="1483" w:type="dxa"/>
            <w:tcBorders>
              <w:top w:val="single" w:color="94D500" w:sz="4" w:space="0"/>
              <w:bottom w:val="single" w:color="94D500" w:sz="4" w:space="0"/>
            </w:tcBorders>
          </w:tcPr>
          <w:p w:rsidR="00C31389" w:rsidRDefault="00C31389" w14:paraId="1B8B7B06" w14:textId="77777777">
            <w:pPr>
              <w:pStyle w:val="TableParagraph"/>
              <w:spacing w:before="0"/>
              <w:rPr>
                <w:sz w:val="20"/>
              </w:rPr>
            </w:pPr>
          </w:p>
          <w:p w:rsidR="00C31389" w:rsidRDefault="00C31389" w14:paraId="50FB5DC9" w14:textId="77777777">
            <w:pPr>
              <w:pStyle w:val="TableParagraph"/>
              <w:spacing w:before="0"/>
              <w:rPr>
                <w:sz w:val="20"/>
              </w:rPr>
            </w:pPr>
          </w:p>
          <w:p w:rsidR="00C31389" w:rsidRDefault="00C31389" w14:paraId="5649C23B" w14:textId="77777777">
            <w:pPr>
              <w:pStyle w:val="TableParagraph"/>
              <w:spacing w:before="0"/>
              <w:rPr>
                <w:sz w:val="20"/>
              </w:rPr>
            </w:pPr>
          </w:p>
          <w:p w:rsidR="00C31389" w:rsidRDefault="00C31389" w14:paraId="66AD45F2" w14:textId="77777777">
            <w:pPr>
              <w:pStyle w:val="TableParagraph"/>
              <w:spacing w:before="0"/>
              <w:rPr>
                <w:sz w:val="20"/>
              </w:rPr>
            </w:pPr>
          </w:p>
          <w:p w:rsidR="00C31389" w:rsidRDefault="00C31389" w14:paraId="20614010" w14:textId="77777777">
            <w:pPr>
              <w:pStyle w:val="TableParagraph"/>
              <w:spacing w:before="0"/>
              <w:rPr>
                <w:sz w:val="20"/>
              </w:rPr>
            </w:pPr>
          </w:p>
          <w:p w:rsidR="00C31389" w:rsidRDefault="00C31389" w14:paraId="4DE375E9" w14:textId="77777777">
            <w:pPr>
              <w:pStyle w:val="TableParagraph"/>
              <w:spacing w:before="1"/>
              <w:rPr>
                <w:sz w:val="16"/>
              </w:rPr>
            </w:pPr>
          </w:p>
          <w:p w:rsidR="00C31389" w:rsidRDefault="00561FBD" w14:paraId="2A2F4C27" w14:textId="77777777">
            <w:pPr>
              <w:pStyle w:val="TableParagraph"/>
              <w:spacing w:before="1"/>
              <w:ind w:left="527"/>
              <w:rPr>
                <w:sz w:val="18"/>
              </w:rPr>
            </w:pPr>
            <w:r>
              <w:rPr>
                <w:spacing w:val="-4"/>
                <w:sz w:val="18"/>
              </w:rPr>
              <w:t>PG&amp;E</w:t>
            </w:r>
          </w:p>
        </w:tc>
        <w:tc>
          <w:tcPr>
            <w:tcW w:w="5415" w:type="dxa"/>
            <w:tcBorders>
              <w:top w:val="single" w:color="94D500" w:sz="4" w:space="0"/>
              <w:bottom w:val="single" w:color="94D500" w:sz="4" w:space="0"/>
            </w:tcBorders>
          </w:tcPr>
          <w:p w:rsidR="00C31389" w:rsidRDefault="00561FBD" w14:paraId="73894C35" w14:textId="77777777">
            <w:pPr>
              <w:pStyle w:val="TableParagraph"/>
              <w:spacing w:before="93"/>
              <w:ind w:left="124" w:right="107" w:hanging="1"/>
              <w:rPr>
                <w:sz w:val="18"/>
              </w:rPr>
            </w:pPr>
            <w:r>
              <w:rPr>
                <w:sz w:val="18"/>
              </w:rPr>
              <w:t xml:space="preserve">PG&amp;E respectfully suggests that the 2023 PGS not </w:t>
            </w:r>
            <w:r>
              <w:rPr>
                <w:sz w:val="18"/>
              </w:rPr>
              <w:t>apply the energy savings conversion for fuel substitution measures, in line with D.21-09-037, Ordering Paragraph (OP) 2, which directed that</w:t>
            </w:r>
            <w:r>
              <w:rPr>
                <w:spacing w:val="-5"/>
                <w:sz w:val="18"/>
              </w:rPr>
              <w:t xml:space="preserve"> </w:t>
            </w:r>
            <w:r>
              <w:rPr>
                <w:sz w:val="18"/>
              </w:rPr>
              <w:t>the</w:t>
            </w:r>
            <w:r>
              <w:rPr>
                <w:spacing w:val="-6"/>
                <w:sz w:val="18"/>
              </w:rPr>
              <w:t xml:space="preserve"> </w:t>
            </w:r>
            <w:r>
              <w:rPr>
                <w:sz w:val="18"/>
              </w:rPr>
              <w:t>energy</w:t>
            </w:r>
            <w:r>
              <w:rPr>
                <w:spacing w:val="-4"/>
                <w:sz w:val="18"/>
              </w:rPr>
              <w:t xml:space="preserve"> </w:t>
            </w:r>
            <w:r>
              <w:rPr>
                <w:sz w:val="18"/>
              </w:rPr>
              <w:t>savings</w:t>
            </w:r>
            <w:r>
              <w:rPr>
                <w:spacing w:val="-5"/>
                <w:sz w:val="18"/>
              </w:rPr>
              <w:t xml:space="preserve"> </w:t>
            </w:r>
            <w:r>
              <w:rPr>
                <w:sz w:val="18"/>
              </w:rPr>
              <w:t>conversion</w:t>
            </w:r>
            <w:r>
              <w:rPr>
                <w:spacing w:val="-6"/>
                <w:sz w:val="18"/>
              </w:rPr>
              <w:t xml:space="preserve"> </w:t>
            </w:r>
            <w:r>
              <w:rPr>
                <w:sz w:val="18"/>
              </w:rPr>
              <w:t>for</w:t>
            </w:r>
            <w:r>
              <w:rPr>
                <w:spacing w:val="-5"/>
                <w:sz w:val="18"/>
              </w:rPr>
              <w:t xml:space="preserve"> </w:t>
            </w:r>
            <w:r>
              <w:rPr>
                <w:sz w:val="18"/>
              </w:rPr>
              <w:t>fuel</w:t>
            </w:r>
            <w:r>
              <w:rPr>
                <w:spacing w:val="-5"/>
                <w:sz w:val="18"/>
              </w:rPr>
              <w:t xml:space="preserve"> </w:t>
            </w:r>
            <w:r>
              <w:rPr>
                <w:sz w:val="18"/>
              </w:rPr>
              <w:t>substitution</w:t>
            </w:r>
            <w:r>
              <w:rPr>
                <w:spacing w:val="-6"/>
                <w:sz w:val="18"/>
              </w:rPr>
              <w:t xml:space="preserve"> </w:t>
            </w:r>
            <w:r>
              <w:rPr>
                <w:sz w:val="18"/>
              </w:rPr>
              <w:t>measures no</w:t>
            </w:r>
            <w:r>
              <w:rPr>
                <w:spacing w:val="-4"/>
                <w:sz w:val="18"/>
              </w:rPr>
              <w:t xml:space="preserve"> </w:t>
            </w:r>
            <w:r>
              <w:rPr>
                <w:sz w:val="18"/>
              </w:rPr>
              <w:t>longer</w:t>
            </w:r>
            <w:r>
              <w:rPr>
                <w:spacing w:val="-3"/>
                <w:sz w:val="18"/>
              </w:rPr>
              <w:t xml:space="preserve"> </w:t>
            </w:r>
            <w:r>
              <w:rPr>
                <w:sz w:val="18"/>
              </w:rPr>
              <w:t>be</w:t>
            </w:r>
            <w:r>
              <w:rPr>
                <w:spacing w:val="-4"/>
                <w:sz w:val="18"/>
              </w:rPr>
              <w:t xml:space="preserve"> </w:t>
            </w:r>
            <w:r>
              <w:rPr>
                <w:sz w:val="18"/>
              </w:rPr>
              <w:t>applied</w:t>
            </w:r>
            <w:r>
              <w:rPr>
                <w:spacing w:val="-4"/>
                <w:sz w:val="18"/>
              </w:rPr>
              <w:t xml:space="preserve"> </w:t>
            </w:r>
            <w:r>
              <w:rPr>
                <w:sz w:val="18"/>
              </w:rPr>
              <w:t>after</w:t>
            </w:r>
            <w:r>
              <w:rPr>
                <w:spacing w:val="-3"/>
                <w:sz w:val="18"/>
              </w:rPr>
              <w:t xml:space="preserve"> </w:t>
            </w:r>
            <w:r>
              <w:rPr>
                <w:sz w:val="18"/>
              </w:rPr>
              <w:t>2023.</w:t>
            </w:r>
            <w:r>
              <w:rPr>
                <w:spacing w:val="-3"/>
                <w:sz w:val="18"/>
              </w:rPr>
              <w:t xml:space="preserve"> </w:t>
            </w:r>
            <w:r>
              <w:rPr>
                <w:sz w:val="18"/>
              </w:rPr>
              <w:t>Figure</w:t>
            </w:r>
            <w:r>
              <w:rPr>
                <w:spacing w:val="-4"/>
                <w:sz w:val="18"/>
              </w:rPr>
              <w:t xml:space="preserve"> </w:t>
            </w:r>
            <w:r>
              <w:rPr>
                <w:sz w:val="18"/>
              </w:rPr>
              <w:t>B-1</w:t>
            </w:r>
            <w:r>
              <w:rPr>
                <w:spacing w:val="-2"/>
                <w:sz w:val="18"/>
              </w:rPr>
              <w:t xml:space="preserve"> </w:t>
            </w:r>
            <w:r>
              <w:rPr>
                <w:sz w:val="18"/>
              </w:rPr>
              <w:t>in</w:t>
            </w:r>
            <w:r>
              <w:rPr>
                <w:spacing w:val="-4"/>
                <w:sz w:val="18"/>
              </w:rPr>
              <w:t xml:space="preserve"> </w:t>
            </w:r>
            <w:r>
              <w:rPr>
                <w:sz w:val="18"/>
              </w:rPr>
              <w:t>the</w:t>
            </w:r>
            <w:r>
              <w:rPr>
                <w:spacing w:val="-4"/>
                <w:sz w:val="18"/>
              </w:rPr>
              <w:t xml:space="preserve"> </w:t>
            </w:r>
            <w:r>
              <w:rPr>
                <w:sz w:val="18"/>
              </w:rPr>
              <w:t>PGS</w:t>
            </w:r>
            <w:r>
              <w:rPr>
                <w:spacing w:val="-3"/>
                <w:sz w:val="18"/>
              </w:rPr>
              <w:t xml:space="preserve"> </w:t>
            </w:r>
            <w:r>
              <w:rPr>
                <w:sz w:val="18"/>
              </w:rPr>
              <w:t>describes the final step of FS characterization in SCE/Southern California Gas Company (SoCalGas) territory as the Commission converting gas savings from FS measures to electricity in SCE service area for goals. If this final step was not applied to th</w:t>
            </w:r>
            <w:r>
              <w:rPr>
                <w:sz w:val="18"/>
              </w:rPr>
              <w:t>e PGS model, PG&amp;E suggests the PGS narrative be updated accordingly. Further, PG&amp;E suggests removing Section J.3 “Impacts Converted to Energy Savings Credits – 2022 Avoided Costs” from Appendix J to reduce the possibility of confusion.</w:t>
            </w:r>
          </w:p>
        </w:tc>
        <w:tc>
          <w:tcPr>
            <w:tcW w:w="3416" w:type="dxa"/>
            <w:tcBorders>
              <w:top w:val="single" w:color="94D500" w:sz="4" w:space="0"/>
              <w:bottom w:val="single" w:color="94D500" w:sz="4" w:space="0"/>
            </w:tcBorders>
          </w:tcPr>
          <w:p w:rsidR="00C31389" w:rsidRDefault="00C31389" w14:paraId="753D7780" w14:textId="77777777">
            <w:pPr>
              <w:pStyle w:val="TableParagraph"/>
              <w:spacing w:before="0"/>
              <w:rPr>
                <w:sz w:val="20"/>
              </w:rPr>
            </w:pPr>
          </w:p>
          <w:p w:rsidR="00C31389" w:rsidRDefault="00C31389" w14:paraId="521E5938" w14:textId="77777777">
            <w:pPr>
              <w:pStyle w:val="TableParagraph"/>
              <w:spacing w:before="0"/>
              <w:rPr>
                <w:sz w:val="20"/>
              </w:rPr>
            </w:pPr>
          </w:p>
          <w:p w:rsidR="00C31389" w:rsidRDefault="00C31389" w14:paraId="71518C96" w14:textId="77777777">
            <w:pPr>
              <w:pStyle w:val="TableParagraph"/>
              <w:spacing w:before="2"/>
            </w:pPr>
          </w:p>
          <w:p w:rsidR="00C31389" w:rsidRDefault="00561FBD" w14:paraId="608B4F20" w14:textId="77777777">
            <w:pPr>
              <w:pStyle w:val="TableParagraph"/>
              <w:spacing w:before="0"/>
              <w:ind w:left="109" w:right="135"/>
              <w:rPr>
                <w:sz w:val="18"/>
              </w:rPr>
            </w:pPr>
            <w:r>
              <w:rPr>
                <w:sz w:val="18"/>
              </w:rPr>
              <w:t>The report kept t</w:t>
            </w:r>
            <w:r>
              <w:rPr>
                <w:sz w:val="18"/>
              </w:rPr>
              <w:t>he converted gas savings for historical comparison, but we</w:t>
            </w:r>
            <w:r>
              <w:rPr>
                <w:spacing w:val="-6"/>
                <w:sz w:val="18"/>
              </w:rPr>
              <w:t xml:space="preserve"> </w:t>
            </w:r>
            <w:r>
              <w:rPr>
                <w:sz w:val="18"/>
              </w:rPr>
              <w:t>amended</w:t>
            </w:r>
            <w:r>
              <w:rPr>
                <w:spacing w:val="-6"/>
                <w:sz w:val="18"/>
              </w:rPr>
              <w:t xml:space="preserve"> </w:t>
            </w:r>
            <w:r>
              <w:rPr>
                <w:sz w:val="18"/>
              </w:rPr>
              <w:t>the</w:t>
            </w:r>
            <w:r>
              <w:rPr>
                <w:spacing w:val="-6"/>
                <w:sz w:val="18"/>
              </w:rPr>
              <w:t xml:space="preserve"> </w:t>
            </w:r>
            <w:r>
              <w:rPr>
                <w:sz w:val="18"/>
              </w:rPr>
              <w:t>report</w:t>
            </w:r>
            <w:r>
              <w:rPr>
                <w:spacing w:val="-6"/>
                <w:sz w:val="18"/>
              </w:rPr>
              <w:t xml:space="preserve"> </w:t>
            </w:r>
            <w:r>
              <w:rPr>
                <w:sz w:val="18"/>
              </w:rPr>
              <w:t>to</w:t>
            </w:r>
            <w:r>
              <w:rPr>
                <w:spacing w:val="-6"/>
                <w:sz w:val="18"/>
              </w:rPr>
              <w:t xml:space="preserve"> </w:t>
            </w:r>
            <w:r>
              <w:rPr>
                <w:sz w:val="18"/>
              </w:rPr>
              <w:t>be</w:t>
            </w:r>
            <w:r>
              <w:rPr>
                <w:spacing w:val="-6"/>
                <w:sz w:val="18"/>
              </w:rPr>
              <w:t xml:space="preserve"> </w:t>
            </w:r>
            <w:r>
              <w:rPr>
                <w:sz w:val="18"/>
              </w:rPr>
              <w:t>clear</w:t>
            </w:r>
            <w:r>
              <w:rPr>
                <w:spacing w:val="-6"/>
                <w:sz w:val="18"/>
              </w:rPr>
              <w:t xml:space="preserve"> </w:t>
            </w:r>
            <w:r>
              <w:rPr>
                <w:sz w:val="18"/>
              </w:rPr>
              <w:t>that since</w:t>
            </w:r>
            <w:r>
              <w:rPr>
                <w:spacing w:val="-2"/>
                <w:sz w:val="18"/>
              </w:rPr>
              <w:t xml:space="preserve"> </w:t>
            </w:r>
            <w:r>
              <w:rPr>
                <w:sz w:val="18"/>
              </w:rPr>
              <w:t>the</w:t>
            </w:r>
            <w:r>
              <w:rPr>
                <w:spacing w:val="-2"/>
                <w:sz w:val="18"/>
              </w:rPr>
              <w:t xml:space="preserve"> </w:t>
            </w:r>
            <w:r>
              <w:rPr>
                <w:sz w:val="18"/>
              </w:rPr>
              <w:t>goals are</w:t>
            </w:r>
            <w:r>
              <w:rPr>
                <w:spacing w:val="-2"/>
                <w:sz w:val="18"/>
              </w:rPr>
              <w:t xml:space="preserve"> </w:t>
            </w:r>
            <w:r>
              <w:rPr>
                <w:sz w:val="18"/>
              </w:rPr>
              <w:t>in</w:t>
            </w:r>
            <w:r>
              <w:rPr>
                <w:spacing w:val="-2"/>
                <w:sz w:val="18"/>
              </w:rPr>
              <w:t xml:space="preserve"> </w:t>
            </w:r>
            <w:r>
              <w:rPr>
                <w:sz w:val="18"/>
              </w:rPr>
              <w:t>TSB</w:t>
            </w:r>
            <w:r>
              <w:rPr>
                <w:spacing w:val="-1"/>
                <w:sz w:val="18"/>
              </w:rPr>
              <w:t xml:space="preserve"> </w:t>
            </w:r>
            <w:r>
              <w:rPr>
                <w:sz w:val="18"/>
              </w:rPr>
              <w:t>that</w:t>
            </w:r>
            <w:r>
              <w:rPr>
                <w:spacing w:val="-1"/>
                <w:sz w:val="18"/>
              </w:rPr>
              <w:t xml:space="preserve"> </w:t>
            </w:r>
            <w:r>
              <w:rPr>
                <w:sz w:val="18"/>
              </w:rPr>
              <w:t>is</w:t>
            </w:r>
            <w:r>
              <w:rPr>
                <w:spacing w:val="-1"/>
                <w:sz w:val="18"/>
              </w:rPr>
              <w:t xml:space="preserve"> </w:t>
            </w:r>
            <w:r>
              <w:rPr>
                <w:sz w:val="18"/>
              </w:rPr>
              <w:t>what we will be adjusting IOU goals for FS and not relying on the converted gas savings value.</w:t>
            </w:r>
          </w:p>
        </w:tc>
      </w:tr>
    </w:tbl>
    <w:p w:rsidR="00C31389" w:rsidRDefault="00C31389" w14:paraId="2949016B" w14:textId="77777777">
      <w:pPr>
        <w:rPr>
          <w:sz w:val="18"/>
        </w:rPr>
        <w:sectPr w:rsidR="00C31389">
          <w:pgSz w:w="15840" w:h="12240" w:orient="landscape"/>
          <w:pgMar w:top="1660" w:right="2260" w:bottom="1120" w:left="1320" w:header="397" w:footer="936" w:gutter="0"/>
          <w:cols w:space="720"/>
        </w:sectPr>
      </w:pPr>
    </w:p>
    <w:p w:rsidR="00C31389" w:rsidRDefault="00C31389" w14:paraId="70C82C60" w14:textId="77777777">
      <w:pPr>
        <w:pStyle w:val="BodyText"/>
        <w:spacing w:before="6"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300"/>
        <w:gridCol w:w="1484"/>
        <w:gridCol w:w="5416"/>
        <w:gridCol w:w="3418"/>
      </w:tblGrid>
      <w:tr w:rsidR="00C31389" w14:paraId="622D2AA2" w14:textId="77777777">
        <w:trPr>
          <w:trHeight w:val="261"/>
        </w:trPr>
        <w:tc>
          <w:tcPr>
            <w:tcW w:w="1300" w:type="dxa"/>
            <w:shd w:val="clear" w:color="auto" w:fill="94D500"/>
          </w:tcPr>
          <w:p w:rsidR="00C31389" w:rsidRDefault="00561FBD" w14:paraId="4A5B5C28" w14:textId="77777777">
            <w:pPr>
              <w:pStyle w:val="TableParagraph"/>
              <w:spacing w:before="26"/>
              <w:ind w:left="122"/>
              <w:rPr>
                <w:b/>
                <w:sz w:val="18"/>
              </w:rPr>
            </w:pPr>
            <w:r>
              <w:rPr>
                <w:b/>
                <w:spacing w:val="-2"/>
                <w:sz w:val="18"/>
              </w:rPr>
              <w:t>Subject</w:t>
            </w:r>
          </w:p>
        </w:tc>
        <w:tc>
          <w:tcPr>
            <w:tcW w:w="1484" w:type="dxa"/>
            <w:shd w:val="clear" w:color="auto" w:fill="94D500"/>
          </w:tcPr>
          <w:p w:rsidR="00C31389" w:rsidRDefault="00561FBD" w14:paraId="2DEB38FC" w14:textId="77777777">
            <w:pPr>
              <w:pStyle w:val="TableParagraph"/>
              <w:spacing w:before="26"/>
              <w:ind w:left="527"/>
              <w:rPr>
                <w:b/>
                <w:sz w:val="18"/>
              </w:rPr>
            </w:pPr>
            <w:r>
              <w:rPr>
                <w:b/>
                <w:spacing w:val="-2"/>
                <w:sz w:val="18"/>
              </w:rPr>
              <w:t>Affiliation</w:t>
            </w:r>
          </w:p>
        </w:tc>
        <w:tc>
          <w:tcPr>
            <w:tcW w:w="5416" w:type="dxa"/>
            <w:shd w:val="clear" w:color="auto" w:fill="94D500"/>
          </w:tcPr>
          <w:p w:rsidR="00C31389" w:rsidRDefault="00561FBD" w14:paraId="33F5D5D8" w14:textId="77777777">
            <w:pPr>
              <w:pStyle w:val="TableParagraph"/>
              <w:spacing w:before="26"/>
              <w:ind w:left="123"/>
              <w:rPr>
                <w:b/>
                <w:sz w:val="18"/>
              </w:rPr>
            </w:pPr>
            <w:r>
              <w:rPr>
                <w:b/>
                <w:sz w:val="18"/>
              </w:rPr>
              <w:t>Summary</w:t>
            </w:r>
            <w:r>
              <w:rPr>
                <w:b/>
                <w:spacing w:val="-3"/>
                <w:sz w:val="18"/>
              </w:rPr>
              <w:t xml:space="preserve"> </w:t>
            </w:r>
            <w:r>
              <w:rPr>
                <w:b/>
                <w:sz w:val="18"/>
              </w:rPr>
              <w:t>of</w:t>
            </w:r>
            <w:r>
              <w:rPr>
                <w:b/>
                <w:spacing w:val="-2"/>
                <w:sz w:val="18"/>
              </w:rPr>
              <w:t xml:space="preserve"> Issue</w:t>
            </w:r>
          </w:p>
        </w:tc>
        <w:tc>
          <w:tcPr>
            <w:tcW w:w="3418" w:type="dxa"/>
            <w:shd w:val="clear" w:color="auto" w:fill="94D500"/>
          </w:tcPr>
          <w:p w:rsidR="00C31389" w:rsidRDefault="00561FBD" w14:paraId="79197F14" w14:textId="77777777">
            <w:pPr>
              <w:pStyle w:val="TableParagraph"/>
              <w:spacing w:before="26"/>
              <w:ind w:left="107"/>
              <w:rPr>
                <w:b/>
                <w:sz w:val="18"/>
              </w:rPr>
            </w:pPr>
            <w:r>
              <w:rPr>
                <w:b/>
                <w:sz w:val="18"/>
              </w:rPr>
              <w:t>Guidehouse</w:t>
            </w:r>
            <w:r>
              <w:rPr>
                <w:b/>
                <w:spacing w:val="-4"/>
                <w:sz w:val="18"/>
              </w:rPr>
              <w:t xml:space="preserve"> </w:t>
            </w:r>
            <w:r>
              <w:rPr>
                <w:b/>
                <w:spacing w:val="-2"/>
                <w:sz w:val="18"/>
              </w:rPr>
              <w:t>Response</w:t>
            </w:r>
          </w:p>
        </w:tc>
      </w:tr>
      <w:tr w:rsidR="00C31389" w14:paraId="0FA45204" w14:textId="77777777">
        <w:trPr>
          <w:trHeight w:val="2015"/>
        </w:trPr>
        <w:tc>
          <w:tcPr>
            <w:tcW w:w="1300" w:type="dxa"/>
            <w:tcBorders>
              <w:bottom w:val="single" w:color="94D500" w:sz="4" w:space="0"/>
            </w:tcBorders>
          </w:tcPr>
          <w:p w:rsidR="00C31389" w:rsidRDefault="00C31389" w14:paraId="79C9792A" w14:textId="77777777">
            <w:pPr>
              <w:pStyle w:val="TableParagraph"/>
              <w:spacing w:before="0"/>
              <w:rPr>
                <w:sz w:val="20"/>
              </w:rPr>
            </w:pPr>
          </w:p>
          <w:p w:rsidR="00C31389" w:rsidRDefault="00C31389" w14:paraId="413A4B2D" w14:textId="77777777">
            <w:pPr>
              <w:pStyle w:val="TableParagraph"/>
              <w:spacing w:before="0"/>
              <w:rPr>
                <w:sz w:val="20"/>
              </w:rPr>
            </w:pPr>
          </w:p>
          <w:p w:rsidR="00C31389" w:rsidRDefault="00C31389" w14:paraId="7462CE31" w14:textId="77777777">
            <w:pPr>
              <w:pStyle w:val="TableParagraph"/>
              <w:spacing w:before="0"/>
              <w:rPr>
                <w:sz w:val="20"/>
              </w:rPr>
            </w:pPr>
          </w:p>
          <w:p w:rsidR="00C31389" w:rsidRDefault="00C31389" w14:paraId="0D8D2DA2" w14:textId="77777777">
            <w:pPr>
              <w:pStyle w:val="TableParagraph"/>
              <w:spacing w:before="7"/>
              <w:rPr>
                <w:sz w:val="18"/>
              </w:rPr>
            </w:pPr>
          </w:p>
          <w:p w:rsidR="00C31389" w:rsidRDefault="00561FBD" w14:paraId="7C1C4ED4" w14:textId="77777777">
            <w:pPr>
              <w:pStyle w:val="TableParagraph"/>
              <w:spacing w:before="0"/>
              <w:ind w:left="122"/>
              <w:rPr>
                <w:b/>
                <w:sz w:val="18"/>
              </w:rPr>
            </w:pPr>
            <w:r>
              <w:rPr>
                <w:b/>
                <w:spacing w:val="-2"/>
                <w:sz w:val="18"/>
              </w:rPr>
              <w:t>Report</w:t>
            </w:r>
          </w:p>
        </w:tc>
        <w:tc>
          <w:tcPr>
            <w:tcW w:w="1484" w:type="dxa"/>
            <w:tcBorders>
              <w:bottom w:val="single" w:color="94D500" w:sz="4" w:space="0"/>
            </w:tcBorders>
          </w:tcPr>
          <w:p w:rsidR="00C31389" w:rsidRDefault="00C31389" w14:paraId="650916F2" w14:textId="77777777">
            <w:pPr>
              <w:pStyle w:val="TableParagraph"/>
              <w:spacing w:before="0"/>
              <w:rPr>
                <w:sz w:val="20"/>
              </w:rPr>
            </w:pPr>
          </w:p>
          <w:p w:rsidR="00C31389" w:rsidRDefault="00C31389" w14:paraId="28C22C8A" w14:textId="77777777">
            <w:pPr>
              <w:pStyle w:val="TableParagraph"/>
              <w:spacing w:before="0"/>
              <w:rPr>
                <w:sz w:val="20"/>
              </w:rPr>
            </w:pPr>
          </w:p>
          <w:p w:rsidR="00C31389" w:rsidRDefault="00C31389" w14:paraId="3C336FD1" w14:textId="77777777">
            <w:pPr>
              <w:pStyle w:val="TableParagraph"/>
              <w:spacing w:before="0"/>
              <w:rPr>
                <w:sz w:val="20"/>
              </w:rPr>
            </w:pPr>
          </w:p>
          <w:p w:rsidR="00C31389" w:rsidRDefault="00C31389" w14:paraId="1C557BEC" w14:textId="77777777">
            <w:pPr>
              <w:pStyle w:val="TableParagraph"/>
              <w:spacing w:before="7"/>
              <w:rPr>
                <w:sz w:val="18"/>
              </w:rPr>
            </w:pPr>
          </w:p>
          <w:p w:rsidR="00C31389" w:rsidRDefault="00561FBD" w14:paraId="167FBBCB" w14:textId="77777777">
            <w:pPr>
              <w:pStyle w:val="TableParagraph"/>
              <w:spacing w:before="0"/>
              <w:ind w:left="527"/>
              <w:rPr>
                <w:sz w:val="18"/>
              </w:rPr>
            </w:pPr>
            <w:r>
              <w:rPr>
                <w:spacing w:val="-4"/>
                <w:sz w:val="18"/>
              </w:rPr>
              <w:t>SBUA</w:t>
            </w:r>
          </w:p>
        </w:tc>
        <w:tc>
          <w:tcPr>
            <w:tcW w:w="5416" w:type="dxa"/>
            <w:tcBorders>
              <w:bottom w:val="single" w:color="94D500" w:sz="4" w:space="0"/>
            </w:tcBorders>
          </w:tcPr>
          <w:p w:rsidR="00C31389" w:rsidRDefault="00C31389" w14:paraId="3D5410EB" w14:textId="77777777">
            <w:pPr>
              <w:pStyle w:val="TableParagraph"/>
              <w:spacing w:before="0"/>
              <w:rPr>
                <w:sz w:val="20"/>
              </w:rPr>
            </w:pPr>
          </w:p>
          <w:p w:rsidR="00C31389" w:rsidRDefault="00561FBD" w14:paraId="5D19EDB9" w14:textId="77777777">
            <w:pPr>
              <w:pStyle w:val="TableParagraph"/>
              <w:spacing w:before="157"/>
              <w:ind w:left="123" w:right="144" w:hanging="1"/>
              <w:rPr>
                <w:sz w:val="18"/>
              </w:rPr>
            </w:pPr>
            <w:r>
              <w:rPr>
                <w:sz w:val="18"/>
              </w:rPr>
              <w:t>The PGS executive summary should more transparently acknowledge</w:t>
            </w:r>
            <w:r>
              <w:rPr>
                <w:spacing w:val="-6"/>
                <w:sz w:val="18"/>
              </w:rPr>
              <w:t xml:space="preserve"> </w:t>
            </w:r>
            <w:r>
              <w:rPr>
                <w:sz w:val="18"/>
              </w:rPr>
              <w:t>the</w:t>
            </w:r>
            <w:r>
              <w:rPr>
                <w:spacing w:val="-6"/>
                <w:sz w:val="18"/>
              </w:rPr>
              <w:t xml:space="preserve"> </w:t>
            </w:r>
            <w:r>
              <w:rPr>
                <w:sz w:val="18"/>
              </w:rPr>
              <w:t>limitations</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Commercial</w:t>
            </w:r>
            <w:r>
              <w:rPr>
                <w:spacing w:val="-5"/>
                <w:sz w:val="18"/>
              </w:rPr>
              <w:t xml:space="preserve"> </w:t>
            </w:r>
            <w:r>
              <w:rPr>
                <w:sz w:val="18"/>
              </w:rPr>
              <w:t>portion</w:t>
            </w:r>
            <w:r>
              <w:rPr>
                <w:spacing w:val="-6"/>
                <w:sz w:val="18"/>
              </w:rPr>
              <w:t xml:space="preserve"> </w:t>
            </w:r>
            <w:r>
              <w:rPr>
                <w:sz w:val="18"/>
              </w:rPr>
              <w:t>of</w:t>
            </w:r>
            <w:r>
              <w:rPr>
                <w:spacing w:val="-5"/>
                <w:sz w:val="18"/>
              </w:rPr>
              <w:t xml:space="preserve"> </w:t>
            </w:r>
            <w:r>
              <w:rPr>
                <w:sz w:val="18"/>
              </w:rPr>
              <w:t xml:space="preserve">the study by describing the fraction of the commercial sector (in </w:t>
            </w:r>
            <w:r>
              <w:rPr>
                <w:sz w:val="18"/>
              </w:rPr>
              <w:t>terms</w:t>
            </w:r>
            <w:r>
              <w:rPr>
                <w:spacing w:val="-4"/>
                <w:sz w:val="18"/>
              </w:rPr>
              <w:t xml:space="preserve"> </w:t>
            </w:r>
            <w:r>
              <w:rPr>
                <w:sz w:val="18"/>
              </w:rPr>
              <w:t>of</w:t>
            </w:r>
            <w:r>
              <w:rPr>
                <w:spacing w:val="-4"/>
                <w:sz w:val="18"/>
              </w:rPr>
              <w:t xml:space="preserve"> </w:t>
            </w:r>
            <w:r>
              <w:rPr>
                <w:sz w:val="18"/>
              </w:rPr>
              <w:t>energy</w:t>
            </w:r>
            <w:r>
              <w:rPr>
                <w:spacing w:val="-4"/>
                <w:sz w:val="18"/>
              </w:rPr>
              <w:t xml:space="preserve"> </w:t>
            </w:r>
            <w:r>
              <w:rPr>
                <w:sz w:val="18"/>
              </w:rPr>
              <w:t>use,</w:t>
            </w:r>
            <w:r>
              <w:rPr>
                <w:spacing w:val="-4"/>
                <w:sz w:val="18"/>
              </w:rPr>
              <w:t xml:space="preserve"> </w:t>
            </w:r>
            <w:r>
              <w:rPr>
                <w:sz w:val="18"/>
              </w:rPr>
              <w:t>customer</w:t>
            </w:r>
            <w:r>
              <w:rPr>
                <w:spacing w:val="-4"/>
                <w:sz w:val="18"/>
              </w:rPr>
              <w:t xml:space="preserve"> </w:t>
            </w:r>
            <w:r>
              <w:rPr>
                <w:sz w:val="18"/>
              </w:rPr>
              <w:t>size</w:t>
            </w:r>
            <w:r>
              <w:rPr>
                <w:spacing w:val="-5"/>
                <w:sz w:val="18"/>
              </w:rPr>
              <w:t xml:space="preserve"> </w:t>
            </w:r>
            <w:r>
              <w:rPr>
                <w:sz w:val="18"/>
              </w:rPr>
              <w:t>and</w:t>
            </w:r>
            <w:r>
              <w:rPr>
                <w:spacing w:val="-5"/>
                <w:sz w:val="18"/>
              </w:rPr>
              <w:t xml:space="preserve"> </w:t>
            </w:r>
            <w:r>
              <w:rPr>
                <w:sz w:val="18"/>
              </w:rPr>
              <w:t>total</w:t>
            </w:r>
            <w:r>
              <w:rPr>
                <w:spacing w:val="-4"/>
                <w:sz w:val="18"/>
              </w:rPr>
              <w:t xml:space="preserve"> </w:t>
            </w:r>
            <w:r>
              <w:rPr>
                <w:sz w:val="18"/>
              </w:rPr>
              <w:t>building</w:t>
            </w:r>
            <w:r>
              <w:rPr>
                <w:spacing w:val="-5"/>
                <w:sz w:val="18"/>
              </w:rPr>
              <w:t xml:space="preserve"> </w:t>
            </w:r>
            <w:r>
              <w:rPr>
                <w:sz w:val="18"/>
              </w:rPr>
              <w:t>square footage) not covered and proposing other means of gaining insight into this important segment</w:t>
            </w:r>
          </w:p>
        </w:tc>
        <w:tc>
          <w:tcPr>
            <w:tcW w:w="3418" w:type="dxa"/>
            <w:tcBorders>
              <w:bottom w:val="single" w:color="94D500" w:sz="4" w:space="0"/>
            </w:tcBorders>
          </w:tcPr>
          <w:p w:rsidR="00C31389" w:rsidRDefault="00561FBD" w14:paraId="46C1B0B1" w14:textId="77777777">
            <w:pPr>
              <w:pStyle w:val="TableParagraph"/>
              <w:spacing w:before="76"/>
              <w:ind w:left="107" w:right="133"/>
              <w:rPr>
                <w:sz w:val="18"/>
              </w:rPr>
            </w:pPr>
            <w:r>
              <w:rPr>
                <w:sz w:val="18"/>
              </w:rPr>
              <w:t>The</w:t>
            </w:r>
            <w:r>
              <w:rPr>
                <w:spacing w:val="-8"/>
                <w:sz w:val="18"/>
              </w:rPr>
              <w:t xml:space="preserve"> </w:t>
            </w:r>
            <w:r>
              <w:rPr>
                <w:sz w:val="18"/>
              </w:rPr>
              <w:t>commercial</w:t>
            </w:r>
            <w:r>
              <w:rPr>
                <w:spacing w:val="-7"/>
                <w:sz w:val="18"/>
              </w:rPr>
              <w:t xml:space="preserve"> </w:t>
            </w:r>
            <w:r>
              <w:rPr>
                <w:sz w:val="18"/>
              </w:rPr>
              <w:t>sector</w:t>
            </w:r>
            <w:r>
              <w:rPr>
                <w:spacing w:val="-7"/>
                <w:sz w:val="18"/>
              </w:rPr>
              <w:t xml:space="preserve"> </w:t>
            </w:r>
            <w:r>
              <w:rPr>
                <w:sz w:val="18"/>
              </w:rPr>
              <w:t>is</w:t>
            </w:r>
            <w:r>
              <w:rPr>
                <w:spacing w:val="-7"/>
                <w:sz w:val="18"/>
              </w:rPr>
              <w:t xml:space="preserve"> </w:t>
            </w:r>
            <w:r>
              <w:rPr>
                <w:sz w:val="18"/>
              </w:rPr>
              <w:t>defined</w:t>
            </w:r>
            <w:r>
              <w:rPr>
                <w:spacing w:val="-8"/>
                <w:sz w:val="18"/>
              </w:rPr>
              <w:t xml:space="preserve"> </w:t>
            </w:r>
            <w:r>
              <w:rPr>
                <w:sz w:val="18"/>
              </w:rPr>
              <w:t>by</w:t>
            </w:r>
            <w:r>
              <w:rPr>
                <w:spacing w:val="-7"/>
                <w:sz w:val="18"/>
              </w:rPr>
              <w:t xml:space="preserve"> </w:t>
            </w:r>
            <w:r>
              <w:rPr>
                <w:sz w:val="18"/>
              </w:rPr>
              <w:t>the CEC IEPR commercial forecast for energy consumption and squar</w:t>
            </w:r>
            <w:r>
              <w:rPr>
                <w:sz w:val="18"/>
              </w:rPr>
              <w:t>e footage. CEC IEPR covers the entire commercial sector through a variety of comprehensive building types. The PG study does not limit any segments</w:t>
            </w:r>
            <w:r>
              <w:rPr>
                <w:spacing w:val="40"/>
                <w:sz w:val="18"/>
              </w:rPr>
              <w:t xml:space="preserve"> </w:t>
            </w:r>
            <w:r>
              <w:rPr>
                <w:sz w:val="18"/>
              </w:rPr>
              <w:t xml:space="preserve">within the commercial sector in the </w:t>
            </w:r>
            <w:r>
              <w:rPr>
                <w:spacing w:val="-2"/>
                <w:sz w:val="18"/>
              </w:rPr>
              <w:t>analysis.</w:t>
            </w:r>
          </w:p>
        </w:tc>
      </w:tr>
      <w:tr w:rsidR="00C31389" w14:paraId="2EE1F1FB" w14:textId="77777777">
        <w:trPr>
          <w:trHeight w:val="1872"/>
        </w:trPr>
        <w:tc>
          <w:tcPr>
            <w:tcW w:w="1300" w:type="dxa"/>
            <w:tcBorders>
              <w:top w:val="single" w:color="94D500" w:sz="4" w:space="0"/>
              <w:bottom w:val="single" w:color="94D500" w:sz="4" w:space="0"/>
            </w:tcBorders>
          </w:tcPr>
          <w:p w:rsidR="00C31389" w:rsidRDefault="00C31389" w14:paraId="2DEB2385" w14:textId="77777777">
            <w:pPr>
              <w:pStyle w:val="TableParagraph"/>
              <w:spacing w:before="0"/>
              <w:rPr>
                <w:sz w:val="20"/>
              </w:rPr>
            </w:pPr>
          </w:p>
          <w:p w:rsidR="00C31389" w:rsidRDefault="00C31389" w14:paraId="30BE6468" w14:textId="77777777">
            <w:pPr>
              <w:pStyle w:val="TableParagraph"/>
              <w:spacing w:before="0"/>
              <w:rPr>
                <w:sz w:val="20"/>
              </w:rPr>
            </w:pPr>
          </w:p>
          <w:p w:rsidR="00C31389" w:rsidRDefault="00C31389" w14:paraId="131EC160" w14:textId="77777777">
            <w:pPr>
              <w:pStyle w:val="TableParagraph"/>
              <w:spacing w:before="0"/>
              <w:rPr>
                <w:sz w:val="20"/>
              </w:rPr>
            </w:pPr>
          </w:p>
          <w:p w:rsidR="00C31389" w:rsidRDefault="00561FBD" w14:paraId="1DED4051" w14:textId="77777777">
            <w:pPr>
              <w:pStyle w:val="TableParagraph"/>
              <w:spacing w:before="142"/>
              <w:ind w:left="122"/>
              <w:rPr>
                <w:b/>
                <w:sz w:val="18"/>
              </w:rPr>
            </w:pPr>
            <w:r>
              <w:rPr>
                <w:b/>
                <w:spacing w:val="-2"/>
                <w:sz w:val="18"/>
              </w:rPr>
              <w:t>Report</w:t>
            </w:r>
          </w:p>
        </w:tc>
        <w:tc>
          <w:tcPr>
            <w:tcW w:w="1484" w:type="dxa"/>
            <w:tcBorders>
              <w:top w:val="single" w:color="94D500" w:sz="4" w:space="0"/>
              <w:bottom w:val="single" w:color="94D500" w:sz="4" w:space="0"/>
            </w:tcBorders>
          </w:tcPr>
          <w:p w:rsidR="00C31389" w:rsidRDefault="00C31389" w14:paraId="31C91EFF" w14:textId="77777777">
            <w:pPr>
              <w:pStyle w:val="TableParagraph"/>
              <w:spacing w:before="0"/>
              <w:rPr>
                <w:sz w:val="20"/>
              </w:rPr>
            </w:pPr>
          </w:p>
          <w:p w:rsidR="00C31389" w:rsidRDefault="00C31389" w14:paraId="0BB6DFA0" w14:textId="77777777">
            <w:pPr>
              <w:pStyle w:val="TableParagraph"/>
              <w:spacing w:before="0"/>
              <w:rPr>
                <w:sz w:val="20"/>
              </w:rPr>
            </w:pPr>
          </w:p>
          <w:p w:rsidR="00C31389" w:rsidRDefault="00C31389" w14:paraId="01ADBF71" w14:textId="77777777">
            <w:pPr>
              <w:pStyle w:val="TableParagraph"/>
              <w:spacing w:before="0"/>
              <w:rPr>
                <w:sz w:val="20"/>
              </w:rPr>
            </w:pPr>
          </w:p>
          <w:p w:rsidR="00C31389" w:rsidRDefault="00561FBD" w14:paraId="0195FC04" w14:textId="77777777">
            <w:pPr>
              <w:pStyle w:val="TableParagraph"/>
              <w:spacing w:before="142"/>
              <w:ind w:left="527"/>
              <w:rPr>
                <w:sz w:val="18"/>
              </w:rPr>
            </w:pPr>
            <w:r>
              <w:rPr>
                <w:spacing w:val="-4"/>
                <w:sz w:val="18"/>
              </w:rPr>
              <w:t>SBUA</w:t>
            </w:r>
          </w:p>
        </w:tc>
        <w:tc>
          <w:tcPr>
            <w:tcW w:w="5416" w:type="dxa"/>
            <w:tcBorders>
              <w:top w:val="single" w:color="94D500" w:sz="4" w:space="0"/>
              <w:bottom w:val="single" w:color="94D500" w:sz="4" w:space="0"/>
            </w:tcBorders>
          </w:tcPr>
          <w:p w:rsidR="00C31389" w:rsidRDefault="00C31389" w14:paraId="71F1CE24" w14:textId="77777777">
            <w:pPr>
              <w:pStyle w:val="TableParagraph"/>
              <w:spacing w:before="0"/>
              <w:rPr>
                <w:sz w:val="20"/>
              </w:rPr>
            </w:pPr>
          </w:p>
          <w:p w:rsidR="00C31389" w:rsidRDefault="00C31389" w14:paraId="647E1DC0" w14:textId="77777777">
            <w:pPr>
              <w:pStyle w:val="TableParagraph"/>
              <w:spacing w:before="0"/>
              <w:rPr>
                <w:sz w:val="20"/>
              </w:rPr>
            </w:pPr>
          </w:p>
          <w:p w:rsidR="00C31389" w:rsidRDefault="00561FBD" w14:paraId="55484450" w14:textId="77777777">
            <w:pPr>
              <w:pStyle w:val="TableParagraph"/>
              <w:spacing w:before="165"/>
              <w:ind w:left="123" w:right="419" w:hanging="1"/>
              <w:jc w:val="both"/>
              <w:rPr>
                <w:sz w:val="18"/>
              </w:rPr>
            </w:pPr>
            <w:r>
              <w:rPr>
                <w:sz w:val="18"/>
              </w:rPr>
              <w:t>The</w:t>
            </w:r>
            <w:r>
              <w:rPr>
                <w:spacing w:val="-5"/>
                <w:sz w:val="18"/>
              </w:rPr>
              <w:t xml:space="preserve"> </w:t>
            </w:r>
            <w:r>
              <w:rPr>
                <w:sz w:val="18"/>
              </w:rPr>
              <w:t>Commercial</w:t>
            </w:r>
            <w:r>
              <w:rPr>
                <w:spacing w:val="-4"/>
                <w:sz w:val="18"/>
              </w:rPr>
              <w:t xml:space="preserve"> </w:t>
            </w:r>
            <w:r>
              <w:rPr>
                <w:sz w:val="18"/>
              </w:rPr>
              <w:t>portion</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PGS</w:t>
            </w:r>
            <w:r>
              <w:rPr>
                <w:spacing w:val="-4"/>
                <w:sz w:val="18"/>
              </w:rPr>
              <w:t xml:space="preserve"> </w:t>
            </w:r>
            <w:r>
              <w:rPr>
                <w:sz w:val="18"/>
              </w:rPr>
              <w:t>is</w:t>
            </w:r>
            <w:r>
              <w:rPr>
                <w:spacing w:val="-4"/>
                <w:sz w:val="18"/>
              </w:rPr>
              <w:t xml:space="preserve"> </w:t>
            </w:r>
            <w:r>
              <w:rPr>
                <w:sz w:val="18"/>
              </w:rPr>
              <w:t>neglects</w:t>
            </w:r>
            <w:r>
              <w:rPr>
                <w:spacing w:val="-4"/>
                <w:sz w:val="18"/>
              </w:rPr>
              <w:t xml:space="preserve"> </w:t>
            </w:r>
            <w:r>
              <w:rPr>
                <w:sz w:val="18"/>
              </w:rPr>
              <w:t>to</w:t>
            </w:r>
            <w:r>
              <w:rPr>
                <w:spacing w:val="-5"/>
                <w:sz w:val="18"/>
              </w:rPr>
              <w:t xml:space="preserve"> </w:t>
            </w:r>
            <w:r>
              <w:rPr>
                <w:sz w:val="18"/>
              </w:rPr>
              <w:t>specifically discuss</w:t>
            </w:r>
            <w:r>
              <w:rPr>
                <w:spacing w:val="-1"/>
                <w:sz w:val="18"/>
              </w:rPr>
              <w:t xml:space="preserve"> </w:t>
            </w:r>
            <w:r>
              <w:rPr>
                <w:sz w:val="18"/>
              </w:rPr>
              <w:t>many</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approaches</w:t>
            </w:r>
            <w:r>
              <w:rPr>
                <w:spacing w:val="-1"/>
                <w:sz w:val="18"/>
              </w:rPr>
              <w:t xml:space="preserve"> </w:t>
            </w:r>
            <w:r>
              <w:rPr>
                <w:sz w:val="18"/>
              </w:rPr>
              <w:t>described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 xml:space="preserve">Residential </w:t>
            </w:r>
            <w:r>
              <w:rPr>
                <w:spacing w:val="-2"/>
                <w:sz w:val="18"/>
              </w:rPr>
              <w:t>sections.</w:t>
            </w:r>
          </w:p>
        </w:tc>
        <w:tc>
          <w:tcPr>
            <w:tcW w:w="3418" w:type="dxa"/>
            <w:tcBorders>
              <w:top w:val="single" w:color="94D500" w:sz="4" w:space="0"/>
              <w:bottom w:val="single" w:color="94D500" w:sz="4" w:space="0"/>
            </w:tcBorders>
          </w:tcPr>
          <w:p w:rsidR="00C31389" w:rsidRDefault="00561FBD" w14:paraId="50718AAD" w14:textId="77777777">
            <w:pPr>
              <w:pStyle w:val="TableParagraph"/>
              <w:spacing w:before="108"/>
              <w:ind w:left="107" w:right="139"/>
              <w:rPr>
                <w:sz w:val="18"/>
              </w:rPr>
            </w:pPr>
            <w:r>
              <w:rPr>
                <w:sz w:val="18"/>
              </w:rPr>
              <w:t>The PG study is a measure based (including BROs) model framework.</w:t>
            </w:r>
            <w:r>
              <w:rPr>
                <w:spacing w:val="40"/>
                <w:sz w:val="18"/>
              </w:rPr>
              <w:t xml:space="preserve"> </w:t>
            </w:r>
            <w:r>
              <w:rPr>
                <w:sz w:val="18"/>
              </w:rPr>
              <w:t>The team leverages the list of modeled measures and BROs programs established</w:t>
            </w:r>
            <w:r>
              <w:rPr>
                <w:spacing w:val="-13"/>
                <w:sz w:val="18"/>
              </w:rPr>
              <w:t xml:space="preserve"> </w:t>
            </w:r>
            <w:r>
              <w:rPr>
                <w:sz w:val="18"/>
              </w:rPr>
              <w:t>through</w:t>
            </w:r>
            <w:r>
              <w:rPr>
                <w:spacing w:val="-12"/>
                <w:sz w:val="18"/>
              </w:rPr>
              <w:t xml:space="preserve"> </w:t>
            </w:r>
            <w:r>
              <w:rPr>
                <w:sz w:val="18"/>
              </w:rPr>
              <w:t>stakeholder</w:t>
            </w:r>
            <w:r>
              <w:rPr>
                <w:spacing w:val="-13"/>
                <w:sz w:val="18"/>
              </w:rPr>
              <w:t xml:space="preserve"> </w:t>
            </w:r>
            <w:r>
              <w:rPr>
                <w:sz w:val="18"/>
              </w:rPr>
              <w:t>review. If you believe there are specific areas missing, please specify for consideration</w:t>
            </w:r>
            <w:r>
              <w:rPr>
                <w:spacing w:val="-7"/>
                <w:sz w:val="18"/>
              </w:rPr>
              <w:t xml:space="preserve"> </w:t>
            </w:r>
            <w:r>
              <w:rPr>
                <w:sz w:val="18"/>
              </w:rPr>
              <w:t>in</w:t>
            </w:r>
            <w:r>
              <w:rPr>
                <w:spacing w:val="-7"/>
                <w:sz w:val="18"/>
              </w:rPr>
              <w:t xml:space="preserve"> </w:t>
            </w:r>
            <w:r>
              <w:rPr>
                <w:sz w:val="18"/>
              </w:rPr>
              <w:t>future</w:t>
            </w:r>
            <w:r>
              <w:rPr>
                <w:spacing w:val="-7"/>
                <w:sz w:val="18"/>
              </w:rPr>
              <w:t xml:space="preserve"> </w:t>
            </w:r>
            <w:r>
              <w:rPr>
                <w:sz w:val="18"/>
              </w:rPr>
              <w:t>PG</w:t>
            </w:r>
            <w:r>
              <w:rPr>
                <w:spacing w:val="-6"/>
                <w:sz w:val="18"/>
              </w:rPr>
              <w:t xml:space="preserve"> </w:t>
            </w:r>
            <w:r>
              <w:rPr>
                <w:sz w:val="18"/>
              </w:rPr>
              <w:t>study</w:t>
            </w:r>
            <w:r>
              <w:rPr>
                <w:spacing w:val="-6"/>
                <w:sz w:val="18"/>
              </w:rPr>
              <w:t xml:space="preserve"> </w:t>
            </w:r>
            <w:r>
              <w:rPr>
                <w:sz w:val="18"/>
              </w:rPr>
              <w:t>cycles.</w:t>
            </w:r>
          </w:p>
        </w:tc>
      </w:tr>
      <w:tr w:rsidR="00C31389" w14:paraId="3E76F42B" w14:textId="77777777">
        <w:trPr>
          <w:trHeight w:val="2159"/>
        </w:trPr>
        <w:tc>
          <w:tcPr>
            <w:tcW w:w="1300" w:type="dxa"/>
            <w:tcBorders>
              <w:top w:val="single" w:color="94D500" w:sz="4" w:space="0"/>
              <w:bottom w:val="single" w:color="94D500" w:sz="4" w:space="0"/>
            </w:tcBorders>
          </w:tcPr>
          <w:p w:rsidR="00C31389" w:rsidRDefault="00C31389" w14:paraId="2D0CE993" w14:textId="77777777">
            <w:pPr>
              <w:pStyle w:val="TableParagraph"/>
              <w:spacing w:before="0"/>
              <w:rPr>
                <w:sz w:val="20"/>
              </w:rPr>
            </w:pPr>
          </w:p>
          <w:p w:rsidR="00C31389" w:rsidRDefault="00C31389" w14:paraId="63697980" w14:textId="77777777">
            <w:pPr>
              <w:pStyle w:val="TableParagraph"/>
              <w:spacing w:before="0"/>
              <w:rPr>
                <w:sz w:val="20"/>
              </w:rPr>
            </w:pPr>
          </w:p>
          <w:p w:rsidR="00C31389" w:rsidRDefault="00C31389" w14:paraId="6067202E" w14:textId="77777777">
            <w:pPr>
              <w:pStyle w:val="TableParagraph"/>
              <w:spacing w:before="0"/>
              <w:rPr>
                <w:sz w:val="20"/>
              </w:rPr>
            </w:pPr>
          </w:p>
          <w:p w:rsidR="00C31389" w:rsidRDefault="00C31389" w14:paraId="6F4A6823" w14:textId="77777777">
            <w:pPr>
              <w:pStyle w:val="TableParagraph"/>
              <w:spacing w:before="9"/>
              <w:rPr>
                <w:sz w:val="24"/>
              </w:rPr>
            </w:pPr>
          </w:p>
          <w:p w:rsidR="00C31389" w:rsidRDefault="00561FBD" w14:paraId="148A0858" w14:textId="77777777">
            <w:pPr>
              <w:pStyle w:val="TableParagraph"/>
              <w:spacing w:before="1"/>
              <w:ind w:left="122"/>
              <w:rPr>
                <w:b/>
                <w:sz w:val="18"/>
              </w:rPr>
            </w:pPr>
            <w:r>
              <w:rPr>
                <w:b/>
                <w:spacing w:val="-2"/>
                <w:sz w:val="18"/>
              </w:rPr>
              <w:t>Report</w:t>
            </w:r>
          </w:p>
        </w:tc>
        <w:tc>
          <w:tcPr>
            <w:tcW w:w="1484" w:type="dxa"/>
            <w:tcBorders>
              <w:top w:val="single" w:color="94D500" w:sz="4" w:space="0"/>
              <w:bottom w:val="single" w:color="94D500" w:sz="4" w:space="0"/>
            </w:tcBorders>
          </w:tcPr>
          <w:p w:rsidR="00C31389" w:rsidRDefault="00C31389" w14:paraId="0E6ED4BD" w14:textId="77777777">
            <w:pPr>
              <w:pStyle w:val="TableParagraph"/>
              <w:spacing w:before="0"/>
              <w:rPr>
                <w:sz w:val="20"/>
              </w:rPr>
            </w:pPr>
          </w:p>
          <w:p w:rsidR="00C31389" w:rsidRDefault="00C31389" w14:paraId="4CE4160D" w14:textId="77777777">
            <w:pPr>
              <w:pStyle w:val="TableParagraph"/>
              <w:spacing w:before="0"/>
              <w:rPr>
                <w:sz w:val="20"/>
              </w:rPr>
            </w:pPr>
          </w:p>
          <w:p w:rsidR="00C31389" w:rsidRDefault="00C31389" w14:paraId="652EBDD2" w14:textId="77777777">
            <w:pPr>
              <w:pStyle w:val="TableParagraph"/>
              <w:spacing w:before="0"/>
              <w:rPr>
                <w:sz w:val="20"/>
              </w:rPr>
            </w:pPr>
          </w:p>
          <w:p w:rsidR="00C31389" w:rsidRDefault="00C31389" w14:paraId="4D351DF8" w14:textId="77777777">
            <w:pPr>
              <w:pStyle w:val="TableParagraph"/>
              <w:spacing w:before="9"/>
              <w:rPr>
                <w:sz w:val="24"/>
              </w:rPr>
            </w:pPr>
          </w:p>
          <w:p w:rsidR="00C31389" w:rsidRDefault="00561FBD" w14:paraId="09CB9687" w14:textId="77777777">
            <w:pPr>
              <w:pStyle w:val="TableParagraph"/>
              <w:spacing w:before="1"/>
              <w:ind w:left="527"/>
              <w:rPr>
                <w:sz w:val="18"/>
              </w:rPr>
            </w:pPr>
            <w:r>
              <w:rPr>
                <w:spacing w:val="-5"/>
                <w:sz w:val="18"/>
              </w:rPr>
              <w:t>SCG</w:t>
            </w:r>
          </w:p>
        </w:tc>
        <w:tc>
          <w:tcPr>
            <w:tcW w:w="5416" w:type="dxa"/>
            <w:tcBorders>
              <w:top w:val="single" w:color="94D500" w:sz="4" w:space="0"/>
              <w:bottom w:val="single" w:color="94D500" w:sz="4" w:space="0"/>
            </w:tcBorders>
          </w:tcPr>
          <w:p w:rsidR="00C31389" w:rsidRDefault="00561FBD" w14:paraId="625A6DF1" w14:textId="77777777">
            <w:pPr>
              <w:pStyle w:val="TableParagraph"/>
              <w:spacing w:before="44"/>
              <w:ind w:left="123" w:right="109" w:hanging="1"/>
              <w:rPr>
                <w:sz w:val="18"/>
              </w:rPr>
            </w:pPr>
            <w:r>
              <w:rPr>
                <w:sz w:val="18"/>
              </w:rPr>
              <w:t xml:space="preserve">Including a greater penetration of Commercial projects in the goals scenario helps to balance the </w:t>
            </w:r>
            <w:r>
              <w:rPr>
                <w:sz w:val="18"/>
              </w:rPr>
              <w:t>results, as the study excluded</w:t>
            </w:r>
            <w:r>
              <w:rPr>
                <w:spacing w:val="-6"/>
                <w:sz w:val="18"/>
              </w:rPr>
              <w:t xml:space="preserve"> </w:t>
            </w:r>
            <w:r>
              <w:rPr>
                <w:sz w:val="18"/>
              </w:rPr>
              <w:t>several</w:t>
            </w:r>
            <w:r>
              <w:rPr>
                <w:spacing w:val="-5"/>
                <w:sz w:val="18"/>
              </w:rPr>
              <w:t xml:space="preserve"> </w:t>
            </w:r>
            <w:r>
              <w:rPr>
                <w:sz w:val="18"/>
              </w:rPr>
              <w:t>significant</w:t>
            </w:r>
            <w:r>
              <w:rPr>
                <w:spacing w:val="-5"/>
                <w:sz w:val="18"/>
              </w:rPr>
              <w:t xml:space="preserve"> </w:t>
            </w:r>
            <w:r>
              <w:rPr>
                <w:sz w:val="18"/>
              </w:rPr>
              <w:t>IRA</w:t>
            </w:r>
            <w:r>
              <w:rPr>
                <w:spacing w:val="-5"/>
                <w:sz w:val="18"/>
              </w:rPr>
              <w:t xml:space="preserve"> </w:t>
            </w:r>
            <w:r>
              <w:rPr>
                <w:sz w:val="18"/>
              </w:rPr>
              <w:t>components,</w:t>
            </w:r>
            <w:r>
              <w:rPr>
                <w:spacing w:val="-4"/>
                <w:sz w:val="18"/>
              </w:rPr>
              <w:t xml:space="preserve"> </w:t>
            </w:r>
            <w:r>
              <w:rPr>
                <w:sz w:val="18"/>
              </w:rPr>
              <w:t>including</w:t>
            </w:r>
            <w:r>
              <w:rPr>
                <w:spacing w:val="-6"/>
                <w:sz w:val="18"/>
              </w:rPr>
              <w:t xml:space="preserve"> </w:t>
            </w:r>
            <w:r>
              <w:rPr>
                <w:sz w:val="18"/>
              </w:rPr>
              <w:t>the</w:t>
            </w:r>
            <w:r>
              <w:rPr>
                <w:spacing w:val="-4"/>
                <w:sz w:val="18"/>
              </w:rPr>
              <w:t xml:space="preserve"> </w:t>
            </w:r>
            <w:r>
              <w:rPr>
                <w:sz w:val="18"/>
              </w:rPr>
              <w:t>High- Efficiency Electric Home Rebate (HEEHR) and Home Owner Managing Energy Savings (HOMES) programs which have a combined</w:t>
            </w:r>
            <w:r>
              <w:rPr>
                <w:spacing w:val="-2"/>
                <w:sz w:val="18"/>
              </w:rPr>
              <w:t xml:space="preserve"> </w:t>
            </w:r>
            <w:r>
              <w:rPr>
                <w:sz w:val="18"/>
              </w:rPr>
              <w:t>total</w:t>
            </w:r>
            <w:r>
              <w:rPr>
                <w:spacing w:val="-1"/>
                <w:sz w:val="18"/>
              </w:rPr>
              <w:t xml:space="preserve"> </w:t>
            </w:r>
            <w:r>
              <w:rPr>
                <w:sz w:val="18"/>
              </w:rPr>
              <w:t>of</w:t>
            </w:r>
            <w:r>
              <w:rPr>
                <w:spacing w:val="-1"/>
                <w:sz w:val="18"/>
              </w:rPr>
              <w:t xml:space="preserve"> </w:t>
            </w:r>
            <w:r>
              <w:rPr>
                <w:sz w:val="18"/>
              </w:rPr>
              <w:t>$8.9B</w:t>
            </w:r>
            <w:r>
              <w:rPr>
                <w:spacing w:val="-1"/>
                <w:sz w:val="18"/>
              </w:rPr>
              <w:t xml:space="preserve"> </w:t>
            </w:r>
            <w:r>
              <w:rPr>
                <w:sz w:val="18"/>
              </w:rPr>
              <w:t>of</w:t>
            </w:r>
            <w:r>
              <w:rPr>
                <w:spacing w:val="-1"/>
                <w:sz w:val="18"/>
              </w:rPr>
              <w:t xml:space="preserve"> </w:t>
            </w:r>
            <w:r>
              <w:rPr>
                <w:sz w:val="18"/>
              </w:rPr>
              <w:t>available</w:t>
            </w:r>
            <w:r>
              <w:rPr>
                <w:spacing w:val="-2"/>
                <w:sz w:val="18"/>
              </w:rPr>
              <w:t xml:space="preserve"> </w:t>
            </w:r>
            <w:r>
              <w:rPr>
                <w:sz w:val="18"/>
              </w:rPr>
              <w:t>funding.</w:t>
            </w:r>
            <w:r>
              <w:rPr>
                <w:spacing w:val="-1"/>
                <w:sz w:val="18"/>
              </w:rPr>
              <w:t xml:space="preserve"> </w:t>
            </w:r>
            <w:r>
              <w:rPr>
                <w:sz w:val="18"/>
              </w:rPr>
              <w:t>SoCalGas</w:t>
            </w:r>
            <w:r>
              <w:rPr>
                <w:spacing w:val="-1"/>
                <w:sz w:val="18"/>
              </w:rPr>
              <w:t xml:space="preserve"> </w:t>
            </w:r>
            <w:r>
              <w:rPr>
                <w:sz w:val="18"/>
              </w:rPr>
              <w:t>requests that</w:t>
            </w:r>
            <w:r>
              <w:rPr>
                <w:spacing w:val="-2"/>
                <w:sz w:val="18"/>
              </w:rPr>
              <w:t xml:space="preserve"> </w:t>
            </w:r>
            <w:r>
              <w:rPr>
                <w:sz w:val="18"/>
              </w:rPr>
              <w:t>if</w:t>
            </w:r>
            <w:r>
              <w:rPr>
                <w:spacing w:val="-2"/>
                <w:sz w:val="18"/>
              </w:rPr>
              <w:t xml:space="preserve"> </w:t>
            </w:r>
            <w:r>
              <w:rPr>
                <w:sz w:val="18"/>
              </w:rPr>
              <w:t>these</w:t>
            </w:r>
            <w:r>
              <w:rPr>
                <w:spacing w:val="-3"/>
                <w:sz w:val="18"/>
              </w:rPr>
              <w:t xml:space="preserve"> </w:t>
            </w:r>
            <w:r>
              <w:rPr>
                <w:sz w:val="18"/>
              </w:rPr>
              <w:t>programs</w:t>
            </w:r>
            <w:r>
              <w:rPr>
                <w:spacing w:val="-2"/>
                <w:sz w:val="18"/>
              </w:rPr>
              <w:t xml:space="preserve"> </w:t>
            </w:r>
            <w:r>
              <w:rPr>
                <w:sz w:val="18"/>
              </w:rPr>
              <w:t>remain</w:t>
            </w:r>
            <w:r>
              <w:rPr>
                <w:spacing w:val="-1"/>
                <w:sz w:val="18"/>
              </w:rPr>
              <w:t xml:space="preserve"> </w:t>
            </w:r>
            <w:r>
              <w:rPr>
                <w:sz w:val="18"/>
              </w:rPr>
              <w:t>excluded</w:t>
            </w:r>
            <w:r>
              <w:rPr>
                <w:spacing w:val="-3"/>
                <w:sz w:val="18"/>
              </w:rPr>
              <w:t xml:space="preserve"> </w:t>
            </w:r>
            <w:r>
              <w:rPr>
                <w:sz w:val="18"/>
              </w:rPr>
              <w:t>from</w:t>
            </w:r>
            <w:r>
              <w:rPr>
                <w:spacing w:val="-1"/>
                <w:sz w:val="18"/>
              </w:rPr>
              <w:t xml:space="preserve"> </w:t>
            </w:r>
            <w:r>
              <w:rPr>
                <w:sz w:val="18"/>
              </w:rPr>
              <w:t>the</w:t>
            </w:r>
            <w:r>
              <w:rPr>
                <w:spacing w:val="-3"/>
                <w:sz w:val="18"/>
              </w:rPr>
              <w:t xml:space="preserve"> </w:t>
            </w:r>
            <w:r>
              <w:rPr>
                <w:sz w:val="18"/>
              </w:rPr>
              <w:t>final</w:t>
            </w:r>
            <w:r>
              <w:rPr>
                <w:spacing w:val="-2"/>
                <w:sz w:val="18"/>
              </w:rPr>
              <w:t xml:space="preserve"> </w:t>
            </w:r>
            <w:r>
              <w:rPr>
                <w:sz w:val="18"/>
              </w:rPr>
              <w:t>P&amp;G</w:t>
            </w:r>
            <w:r>
              <w:rPr>
                <w:spacing w:val="-2"/>
                <w:sz w:val="18"/>
              </w:rPr>
              <w:t xml:space="preserve"> </w:t>
            </w:r>
            <w:r>
              <w:rPr>
                <w:sz w:val="18"/>
              </w:rPr>
              <w:t>study, that</w:t>
            </w:r>
            <w:r>
              <w:rPr>
                <w:spacing w:val="-4"/>
                <w:sz w:val="18"/>
              </w:rPr>
              <w:t xml:space="preserve"> </w:t>
            </w:r>
            <w:r>
              <w:rPr>
                <w:sz w:val="18"/>
              </w:rPr>
              <w:t>the</w:t>
            </w:r>
            <w:r>
              <w:rPr>
                <w:spacing w:val="-5"/>
                <w:sz w:val="18"/>
              </w:rPr>
              <w:t xml:space="preserve"> </w:t>
            </w:r>
            <w:r>
              <w:rPr>
                <w:sz w:val="18"/>
              </w:rPr>
              <w:t>label</w:t>
            </w:r>
            <w:r>
              <w:rPr>
                <w:spacing w:val="-4"/>
                <w:sz w:val="18"/>
              </w:rPr>
              <w:t xml:space="preserve"> </w:t>
            </w:r>
            <w:r>
              <w:rPr>
                <w:sz w:val="18"/>
              </w:rPr>
              <w:t>of</w:t>
            </w:r>
            <w:r>
              <w:rPr>
                <w:spacing w:val="-4"/>
                <w:sz w:val="18"/>
              </w:rPr>
              <w:t xml:space="preserve"> </w:t>
            </w:r>
            <w:r>
              <w:rPr>
                <w:sz w:val="18"/>
              </w:rPr>
              <w:t>“IRA</w:t>
            </w:r>
            <w:r>
              <w:rPr>
                <w:spacing w:val="-4"/>
                <w:sz w:val="18"/>
              </w:rPr>
              <w:t xml:space="preserve"> </w:t>
            </w:r>
            <w:r>
              <w:rPr>
                <w:sz w:val="18"/>
              </w:rPr>
              <w:t>Aggressive”</w:t>
            </w:r>
            <w:r>
              <w:rPr>
                <w:spacing w:val="-4"/>
                <w:sz w:val="18"/>
              </w:rPr>
              <w:t xml:space="preserve"> </w:t>
            </w:r>
            <w:r>
              <w:rPr>
                <w:sz w:val="18"/>
              </w:rPr>
              <w:t>be</w:t>
            </w:r>
            <w:r>
              <w:rPr>
                <w:spacing w:val="-5"/>
                <w:sz w:val="18"/>
              </w:rPr>
              <w:t xml:space="preserve"> </w:t>
            </w:r>
            <w:r>
              <w:rPr>
                <w:sz w:val="18"/>
              </w:rPr>
              <w:t>changed</w:t>
            </w:r>
            <w:r>
              <w:rPr>
                <w:spacing w:val="-5"/>
                <w:sz w:val="18"/>
              </w:rPr>
              <w:t xml:space="preserve"> </w:t>
            </w:r>
            <w:r>
              <w:rPr>
                <w:sz w:val="18"/>
              </w:rPr>
              <w:t>to</w:t>
            </w:r>
            <w:r>
              <w:rPr>
                <w:spacing w:val="-5"/>
                <w:sz w:val="18"/>
              </w:rPr>
              <w:t xml:space="preserve"> </w:t>
            </w:r>
            <w:r>
              <w:rPr>
                <w:sz w:val="18"/>
              </w:rPr>
              <w:t>“IRA</w:t>
            </w:r>
            <w:r>
              <w:rPr>
                <w:spacing w:val="-4"/>
                <w:sz w:val="18"/>
              </w:rPr>
              <w:t xml:space="preserve"> </w:t>
            </w:r>
            <w:r>
              <w:rPr>
                <w:sz w:val="18"/>
              </w:rPr>
              <w:t>Aggressive Tax Credits” or “IRA Moderate” so as not imply that the scenario is comprehensively aggressive.</w:t>
            </w:r>
          </w:p>
        </w:tc>
        <w:tc>
          <w:tcPr>
            <w:tcW w:w="3418" w:type="dxa"/>
            <w:tcBorders>
              <w:top w:val="single" w:color="94D500" w:sz="4" w:space="0"/>
              <w:bottom w:val="single" w:color="94D500" w:sz="4" w:space="0"/>
            </w:tcBorders>
          </w:tcPr>
          <w:p w:rsidR="00C31389" w:rsidRDefault="00C31389" w14:paraId="42389988" w14:textId="77777777">
            <w:pPr>
              <w:pStyle w:val="TableParagraph"/>
              <w:spacing w:before="0"/>
              <w:rPr>
                <w:sz w:val="20"/>
              </w:rPr>
            </w:pPr>
          </w:p>
          <w:p w:rsidR="00C31389" w:rsidRDefault="00C31389" w14:paraId="1066CE3A" w14:textId="77777777">
            <w:pPr>
              <w:pStyle w:val="TableParagraph"/>
              <w:spacing w:before="0"/>
              <w:rPr>
                <w:sz w:val="20"/>
              </w:rPr>
            </w:pPr>
          </w:p>
          <w:p w:rsidR="00C31389" w:rsidRDefault="00C31389" w14:paraId="5302360D" w14:textId="77777777">
            <w:pPr>
              <w:pStyle w:val="TableParagraph"/>
              <w:spacing w:before="0"/>
              <w:rPr>
                <w:sz w:val="20"/>
              </w:rPr>
            </w:pPr>
          </w:p>
          <w:p w:rsidR="00C31389" w:rsidRDefault="00C31389" w14:paraId="16E0664B" w14:textId="77777777">
            <w:pPr>
              <w:pStyle w:val="TableParagraph"/>
              <w:spacing w:before="9"/>
              <w:rPr>
                <w:sz w:val="15"/>
              </w:rPr>
            </w:pPr>
          </w:p>
          <w:p w:rsidR="00C31389" w:rsidRDefault="00561FBD" w14:paraId="39C10F5B" w14:textId="77777777">
            <w:pPr>
              <w:pStyle w:val="TableParagraph"/>
              <w:spacing w:before="0"/>
              <w:ind w:left="107" w:right="44"/>
              <w:rPr>
                <w:sz w:val="18"/>
              </w:rPr>
            </w:pPr>
            <w:r>
              <w:rPr>
                <w:sz w:val="18"/>
              </w:rPr>
              <w:t>Report</w:t>
            </w:r>
            <w:r>
              <w:rPr>
                <w:spacing w:val="-7"/>
                <w:sz w:val="18"/>
              </w:rPr>
              <w:t xml:space="preserve"> </w:t>
            </w:r>
            <w:r>
              <w:rPr>
                <w:sz w:val="18"/>
              </w:rPr>
              <w:t>i</w:t>
            </w:r>
            <w:r>
              <w:rPr>
                <w:sz w:val="18"/>
              </w:rPr>
              <w:t>s</w:t>
            </w:r>
            <w:r>
              <w:rPr>
                <w:spacing w:val="-7"/>
                <w:sz w:val="18"/>
              </w:rPr>
              <w:t xml:space="preserve"> </w:t>
            </w:r>
            <w:r>
              <w:rPr>
                <w:sz w:val="18"/>
              </w:rPr>
              <w:t>updated</w:t>
            </w:r>
            <w:r>
              <w:rPr>
                <w:spacing w:val="-8"/>
                <w:sz w:val="18"/>
              </w:rPr>
              <w:t xml:space="preserve"> </w:t>
            </w:r>
            <w:r>
              <w:rPr>
                <w:sz w:val="18"/>
              </w:rPr>
              <w:t>to</w:t>
            </w:r>
            <w:r>
              <w:rPr>
                <w:spacing w:val="-8"/>
                <w:sz w:val="18"/>
              </w:rPr>
              <w:t xml:space="preserve"> </w:t>
            </w:r>
            <w:r>
              <w:rPr>
                <w:sz w:val="18"/>
              </w:rPr>
              <w:t>improve</w:t>
            </w:r>
            <w:r>
              <w:rPr>
                <w:spacing w:val="-8"/>
                <w:sz w:val="18"/>
              </w:rPr>
              <w:t xml:space="preserve"> </w:t>
            </w:r>
            <w:r>
              <w:rPr>
                <w:sz w:val="18"/>
              </w:rPr>
              <w:t>clarity</w:t>
            </w:r>
            <w:r>
              <w:rPr>
                <w:spacing w:val="-7"/>
                <w:sz w:val="18"/>
              </w:rPr>
              <w:t xml:space="preserve"> </w:t>
            </w:r>
            <w:r>
              <w:rPr>
                <w:sz w:val="18"/>
              </w:rPr>
              <w:t>on the IRA Aggressive scenario.</w:t>
            </w:r>
          </w:p>
        </w:tc>
      </w:tr>
      <w:tr w:rsidR="00C31389" w14:paraId="0A7D728D" w14:textId="77777777">
        <w:trPr>
          <w:trHeight w:val="1440"/>
        </w:trPr>
        <w:tc>
          <w:tcPr>
            <w:tcW w:w="1300" w:type="dxa"/>
            <w:tcBorders>
              <w:top w:val="single" w:color="94D500" w:sz="4" w:space="0"/>
              <w:bottom w:val="single" w:color="94D500" w:sz="4" w:space="0"/>
            </w:tcBorders>
          </w:tcPr>
          <w:p w:rsidR="00C31389" w:rsidRDefault="00C31389" w14:paraId="7481F4DA" w14:textId="77777777">
            <w:pPr>
              <w:pStyle w:val="TableParagraph"/>
              <w:spacing w:before="0"/>
              <w:rPr>
                <w:sz w:val="20"/>
              </w:rPr>
            </w:pPr>
          </w:p>
          <w:p w:rsidR="00C31389" w:rsidRDefault="00C31389" w14:paraId="389B4A3A" w14:textId="77777777">
            <w:pPr>
              <w:pStyle w:val="TableParagraph"/>
              <w:spacing w:before="0"/>
              <w:rPr>
                <w:sz w:val="20"/>
              </w:rPr>
            </w:pPr>
          </w:p>
          <w:p w:rsidR="00C31389" w:rsidRDefault="00561FBD" w14:paraId="387B76CD" w14:textId="77777777">
            <w:pPr>
              <w:pStyle w:val="TableParagraph"/>
              <w:spacing w:before="156"/>
              <w:ind w:left="122"/>
              <w:rPr>
                <w:b/>
                <w:sz w:val="18"/>
              </w:rPr>
            </w:pPr>
            <w:r>
              <w:rPr>
                <w:b/>
                <w:spacing w:val="-2"/>
                <w:sz w:val="18"/>
              </w:rPr>
              <w:t>Report</w:t>
            </w:r>
          </w:p>
        </w:tc>
        <w:tc>
          <w:tcPr>
            <w:tcW w:w="1484" w:type="dxa"/>
            <w:tcBorders>
              <w:top w:val="single" w:color="94D500" w:sz="4" w:space="0"/>
              <w:bottom w:val="single" w:color="94D500" w:sz="4" w:space="0"/>
            </w:tcBorders>
          </w:tcPr>
          <w:p w:rsidR="00C31389" w:rsidRDefault="00C31389" w14:paraId="7389673E" w14:textId="77777777">
            <w:pPr>
              <w:pStyle w:val="TableParagraph"/>
              <w:spacing w:before="0"/>
              <w:rPr>
                <w:sz w:val="20"/>
              </w:rPr>
            </w:pPr>
          </w:p>
          <w:p w:rsidR="00C31389" w:rsidRDefault="00C31389" w14:paraId="794AAE61" w14:textId="77777777">
            <w:pPr>
              <w:pStyle w:val="TableParagraph"/>
              <w:spacing w:before="0"/>
              <w:rPr>
                <w:sz w:val="20"/>
              </w:rPr>
            </w:pPr>
          </w:p>
          <w:p w:rsidR="00C31389" w:rsidRDefault="00561FBD" w14:paraId="4110BEFE" w14:textId="77777777">
            <w:pPr>
              <w:pStyle w:val="TableParagraph"/>
              <w:spacing w:before="156"/>
              <w:ind w:left="527"/>
              <w:rPr>
                <w:sz w:val="18"/>
              </w:rPr>
            </w:pPr>
            <w:r>
              <w:rPr>
                <w:spacing w:val="-5"/>
                <w:sz w:val="18"/>
              </w:rPr>
              <w:t>SCG</w:t>
            </w:r>
          </w:p>
        </w:tc>
        <w:tc>
          <w:tcPr>
            <w:tcW w:w="5416" w:type="dxa"/>
            <w:tcBorders>
              <w:top w:val="single" w:color="94D500" w:sz="4" w:space="0"/>
              <w:bottom w:val="single" w:color="94D500" w:sz="4" w:space="0"/>
            </w:tcBorders>
          </w:tcPr>
          <w:p w:rsidR="00C31389" w:rsidRDefault="00561FBD" w14:paraId="3A7BE493" w14:textId="77777777">
            <w:pPr>
              <w:pStyle w:val="TableParagraph"/>
              <w:spacing w:before="98"/>
              <w:ind w:left="123" w:right="144" w:hanging="1"/>
              <w:rPr>
                <w:sz w:val="18"/>
              </w:rPr>
            </w:pPr>
            <w:r>
              <w:rPr>
                <w:sz w:val="18"/>
              </w:rPr>
              <w:t>There appears to be a typographical error in the SoCalGas MMTherms potential for Scenario 2 in Table J-8 of the draft report.</w:t>
            </w:r>
            <w:r>
              <w:rPr>
                <w:spacing w:val="-5"/>
                <w:sz w:val="18"/>
              </w:rPr>
              <w:t xml:space="preserve"> </w:t>
            </w:r>
            <w:r>
              <w:rPr>
                <w:sz w:val="18"/>
              </w:rPr>
              <w:t>SoCalGas</w:t>
            </w:r>
            <w:r>
              <w:rPr>
                <w:spacing w:val="-5"/>
                <w:sz w:val="18"/>
              </w:rPr>
              <w:t xml:space="preserve"> </w:t>
            </w:r>
            <w:r>
              <w:rPr>
                <w:sz w:val="18"/>
              </w:rPr>
              <w:t>requests</w:t>
            </w:r>
            <w:r>
              <w:rPr>
                <w:spacing w:val="-5"/>
                <w:sz w:val="18"/>
              </w:rPr>
              <w:t xml:space="preserve"> </w:t>
            </w:r>
            <w:r>
              <w:rPr>
                <w:sz w:val="18"/>
              </w:rPr>
              <w:t>that</w:t>
            </w:r>
            <w:r>
              <w:rPr>
                <w:spacing w:val="-5"/>
                <w:sz w:val="18"/>
              </w:rPr>
              <w:t xml:space="preserve"> </w:t>
            </w:r>
            <w:r>
              <w:rPr>
                <w:sz w:val="18"/>
              </w:rPr>
              <w:t>these</w:t>
            </w:r>
            <w:r>
              <w:rPr>
                <w:spacing w:val="-6"/>
                <w:sz w:val="18"/>
              </w:rPr>
              <w:t xml:space="preserve"> </w:t>
            </w:r>
            <w:r>
              <w:rPr>
                <w:sz w:val="18"/>
              </w:rPr>
              <w:t>values</w:t>
            </w:r>
            <w:r>
              <w:rPr>
                <w:spacing w:val="-4"/>
                <w:sz w:val="18"/>
              </w:rPr>
              <w:t xml:space="preserve"> </w:t>
            </w:r>
            <w:r>
              <w:rPr>
                <w:sz w:val="18"/>
              </w:rPr>
              <w:t>be</w:t>
            </w:r>
            <w:r>
              <w:rPr>
                <w:spacing w:val="-6"/>
                <w:sz w:val="18"/>
              </w:rPr>
              <w:t xml:space="preserve"> </w:t>
            </w:r>
            <w:r>
              <w:rPr>
                <w:sz w:val="18"/>
              </w:rPr>
              <w:t>reviewed</w:t>
            </w:r>
            <w:r>
              <w:rPr>
                <w:spacing w:val="-4"/>
                <w:sz w:val="18"/>
              </w:rPr>
              <w:t xml:space="preserve"> </w:t>
            </w:r>
            <w:r>
              <w:rPr>
                <w:sz w:val="18"/>
              </w:rPr>
              <w:t>and updated to match the values available on the “Draft 2023 PG Measure</w:t>
            </w:r>
            <w:r>
              <w:rPr>
                <w:spacing w:val="-1"/>
                <w:sz w:val="18"/>
              </w:rPr>
              <w:t xml:space="preserve"> </w:t>
            </w:r>
            <w:r>
              <w:rPr>
                <w:sz w:val="18"/>
              </w:rPr>
              <w:t>Results Database” and</w:t>
            </w:r>
            <w:r>
              <w:rPr>
                <w:spacing w:val="-1"/>
                <w:sz w:val="18"/>
              </w:rPr>
              <w:t xml:space="preserve"> </w:t>
            </w:r>
            <w:r>
              <w:rPr>
                <w:sz w:val="18"/>
              </w:rPr>
              <w:t>the</w:t>
            </w:r>
            <w:r>
              <w:rPr>
                <w:spacing w:val="-1"/>
                <w:sz w:val="18"/>
              </w:rPr>
              <w:t xml:space="preserve"> </w:t>
            </w:r>
            <w:r>
              <w:rPr>
                <w:sz w:val="18"/>
              </w:rPr>
              <w:t>“Draft 2023</w:t>
            </w:r>
            <w:r>
              <w:rPr>
                <w:spacing w:val="-1"/>
                <w:sz w:val="18"/>
              </w:rPr>
              <w:t xml:space="preserve"> </w:t>
            </w:r>
            <w:r>
              <w:rPr>
                <w:sz w:val="18"/>
              </w:rPr>
              <w:t>EE Potential and Goals Tableau Interactive Dashboard.”</w:t>
            </w:r>
          </w:p>
        </w:tc>
        <w:tc>
          <w:tcPr>
            <w:tcW w:w="3418" w:type="dxa"/>
            <w:tcBorders>
              <w:top w:val="single" w:color="94D500" w:sz="4" w:space="0"/>
              <w:bottom w:val="single" w:color="94D500" w:sz="4" w:space="0"/>
            </w:tcBorders>
          </w:tcPr>
          <w:p w:rsidR="00C31389" w:rsidRDefault="00C31389" w14:paraId="3DFCAE20" w14:textId="77777777">
            <w:pPr>
              <w:pStyle w:val="TableParagraph"/>
              <w:spacing w:before="0"/>
              <w:rPr>
                <w:sz w:val="20"/>
              </w:rPr>
            </w:pPr>
          </w:p>
          <w:p w:rsidR="00C31389" w:rsidRDefault="00C31389" w14:paraId="21B0C97C" w14:textId="77777777">
            <w:pPr>
              <w:pStyle w:val="TableParagraph"/>
              <w:spacing w:before="0"/>
              <w:rPr>
                <w:sz w:val="20"/>
              </w:rPr>
            </w:pPr>
          </w:p>
          <w:p w:rsidR="00C31389" w:rsidRDefault="00561FBD" w14:paraId="162E54F2" w14:textId="77777777">
            <w:pPr>
              <w:pStyle w:val="TableParagraph"/>
              <w:spacing w:before="156"/>
              <w:ind w:left="107"/>
              <w:rPr>
                <w:sz w:val="18"/>
              </w:rPr>
            </w:pPr>
            <w:r>
              <w:rPr>
                <w:sz w:val="18"/>
              </w:rPr>
              <w:t>Noted</w:t>
            </w:r>
            <w:r>
              <w:rPr>
                <w:spacing w:val="-3"/>
                <w:sz w:val="18"/>
              </w:rPr>
              <w:t xml:space="preserve"> </w:t>
            </w:r>
            <w:r>
              <w:rPr>
                <w:sz w:val="18"/>
              </w:rPr>
              <w:t>and</w:t>
            </w:r>
            <w:r>
              <w:rPr>
                <w:spacing w:val="-3"/>
                <w:sz w:val="18"/>
              </w:rPr>
              <w:t xml:space="preserve"> </w:t>
            </w:r>
            <w:r>
              <w:rPr>
                <w:spacing w:val="-2"/>
                <w:sz w:val="18"/>
              </w:rPr>
              <w:t>corrected.</w:t>
            </w:r>
          </w:p>
        </w:tc>
      </w:tr>
    </w:tbl>
    <w:p w:rsidR="00C31389" w:rsidRDefault="00C31389" w14:paraId="09A04C44" w14:textId="77777777">
      <w:pPr>
        <w:rPr>
          <w:sz w:val="18"/>
        </w:rPr>
        <w:sectPr w:rsidR="00C31389">
          <w:pgSz w:w="15840" w:h="12240" w:orient="landscape"/>
          <w:pgMar w:top="1660" w:right="2260" w:bottom="1120" w:left="1320" w:header="397" w:footer="936" w:gutter="0"/>
          <w:cols w:space="720"/>
        </w:sectPr>
      </w:pPr>
    </w:p>
    <w:p w:rsidR="00C31389" w:rsidRDefault="00C31389" w14:paraId="659A734A" w14:textId="77777777">
      <w:pPr>
        <w:pStyle w:val="BodyText"/>
        <w:spacing w:before="6" w:after="1"/>
        <w:rPr>
          <w:sz w:val="21"/>
        </w:rPr>
      </w:pPr>
    </w:p>
    <w:tbl>
      <w:tblPr>
        <w:tblW w:w="0" w:type="auto"/>
        <w:tblInd w:w="123" w:type="dxa"/>
        <w:tblLayout w:type="fixed"/>
        <w:tblCellMar>
          <w:left w:w="0" w:type="dxa"/>
          <w:right w:w="0" w:type="dxa"/>
        </w:tblCellMar>
        <w:tblLook w:val="01E0" w:firstRow="1" w:lastRow="1" w:firstColumn="1" w:lastColumn="1" w:noHBand="0" w:noVBand="0"/>
      </w:tblPr>
      <w:tblGrid>
        <w:gridCol w:w="1399"/>
        <w:gridCol w:w="1378"/>
        <w:gridCol w:w="5369"/>
        <w:gridCol w:w="3461"/>
      </w:tblGrid>
      <w:tr w:rsidR="00C31389" w14:paraId="7A5BDD92" w14:textId="77777777">
        <w:trPr>
          <w:trHeight w:val="261"/>
        </w:trPr>
        <w:tc>
          <w:tcPr>
            <w:tcW w:w="1399" w:type="dxa"/>
            <w:shd w:val="clear" w:color="auto" w:fill="94D500"/>
          </w:tcPr>
          <w:p w:rsidR="00C31389" w:rsidRDefault="00561FBD" w14:paraId="7145CCA0" w14:textId="77777777">
            <w:pPr>
              <w:pStyle w:val="TableParagraph"/>
              <w:spacing w:before="26"/>
              <w:ind w:left="117"/>
              <w:rPr>
                <w:b/>
                <w:sz w:val="18"/>
              </w:rPr>
            </w:pPr>
            <w:r>
              <w:rPr>
                <w:b/>
                <w:spacing w:val="-2"/>
                <w:sz w:val="18"/>
              </w:rPr>
              <w:t>Subject</w:t>
            </w:r>
          </w:p>
        </w:tc>
        <w:tc>
          <w:tcPr>
            <w:tcW w:w="1378" w:type="dxa"/>
            <w:shd w:val="clear" w:color="auto" w:fill="94D500"/>
          </w:tcPr>
          <w:p w:rsidR="00C31389" w:rsidRDefault="00561FBD" w14:paraId="1DC801CD" w14:textId="77777777">
            <w:pPr>
              <w:pStyle w:val="TableParagraph"/>
              <w:spacing w:before="26"/>
              <w:ind w:left="423"/>
              <w:rPr>
                <w:b/>
                <w:sz w:val="18"/>
              </w:rPr>
            </w:pPr>
            <w:r>
              <w:rPr>
                <w:b/>
                <w:spacing w:val="-2"/>
                <w:sz w:val="18"/>
              </w:rPr>
              <w:t>Affiliation</w:t>
            </w:r>
          </w:p>
        </w:tc>
        <w:tc>
          <w:tcPr>
            <w:tcW w:w="5369" w:type="dxa"/>
            <w:shd w:val="clear" w:color="auto" w:fill="94D500"/>
          </w:tcPr>
          <w:p w:rsidR="00C31389" w:rsidRDefault="00561FBD" w14:paraId="1CF9C9B3" w14:textId="77777777">
            <w:pPr>
              <w:pStyle w:val="TableParagraph"/>
              <w:spacing w:before="26"/>
              <w:ind w:left="125"/>
              <w:rPr>
                <w:b/>
                <w:sz w:val="18"/>
              </w:rPr>
            </w:pPr>
            <w:r>
              <w:rPr>
                <w:b/>
                <w:sz w:val="18"/>
              </w:rPr>
              <w:t>Summary</w:t>
            </w:r>
            <w:r>
              <w:rPr>
                <w:b/>
                <w:spacing w:val="-3"/>
                <w:sz w:val="18"/>
              </w:rPr>
              <w:t xml:space="preserve"> </w:t>
            </w:r>
            <w:r>
              <w:rPr>
                <w:b/>
                <w:sz w:val="18"/>
              </w:rPr>
              <w:t>of</w:t>
            </w:r>
            <w:r>
              <w:rPr>
                <w:b/>
                <w:spacing w:val="-2"/>
                <w:sz w:val="18"/>
              </w:rPr>
              <w:t xml:space="preserve"> Issue</w:t>
            </w:r>
          </w:p>
        </w:tc>
        <w:tc>
          <w:tcPr>
            <w:tcW w:w="3461" w:type="dxa"/>
            <w:shd w:val="clear" w:color="auto" w:fill="94D500"/>
          </w:tcPr>
          <w:p w:rsidR="00C31389" w:rsidRDefault="00561FBD" w14:paraId="35BBA2A8" w14:textId="77777777">
            <w:pPr>
              <w:pStyle w:val="TableParagraph"/>
              <w:spacing w:before="26"/>
              <w:ind w:left="156"/>
              <w:rPr>
                <w:b/>
                <w:sz w:val="18"/>
              </w:rPr>
            </w:pPr>
            <w:r>
              <w:rPr>
                <w:b/>
                <w:sz w:val="18"/>
              </w:rPr>
              <w:t>Guidehouse</w:t>
            </w:r>
            <w:r>
              <w:rPr>
                <w:b/>
                <w:spacing w:val="-4"/>
                <w:sz w:val="18"/>
              </w:rPr>
              <w:t xml:space="preserve"> </w:t>
            </w:r>
            <w:r>
              <w:rPr>
                <w:b/>
                <w:spacing w:val="-2"/>
                <w:sz w:val="18"/>
              </w:rPr>
              <w:t>Response</w:t>
            </w:r>
          </w:p>
        </w:tc>
      </w:tr>
      <w:tr w:rsidR="00C31389" w14:paraId="7BA44912" w14:textId="77777777">
        <w:trPr>
          <w:trHeight w:val="2736"/>
        </w:trPr>
        <w:tc>
          <w:tcPr>
            <w:tcW w:w="1399" w:type="dxa"/>
            <w:tcBorders>
              <w:bottom w:val="single" w:color="94D500" w:sz="4" w:space="0"/>
            </w:tcBorders>
          </w:tcPr>
          <w:p w:rsidR="00C31389" w:rsidRDefault="00C31389" w14:paraId="31502260" w14:textId="77777777">
            <w:pPr>
              <w:pStyle w:val="TableParagraph"/>
              <w:spacing w:before="0"/>
              <w:rPr>
                <w:sz w:val="20"/>
              </w:rPr>
            </w:pPr>
          </w:p>
          <w:p w:rsidR="00C31389" w:rsidRDefault="00C31389" w14:paraId="6A438BEC" w14:textId="77777777">
            <w:pPr>
              <w:pStyle w:val="TableParagraph"/>
              <w:spacing w:before="0"/>
              <w:rPr>
                <w:sz w:val="20"/>
              </w:rPr>
            </w:pPr>
          </w:p>
          <w:p w:rsidR="00C31389" w:rsidRDefault="00C31389" w14:paraId="3C5BCEC7" w14:textId="77777777">
            <w:pPr>
              <w:pStyle w:val="TableParagraph"/>
              <w:spacing w:before="0"/>
              <w:rPr>
                <w:sz w:val="20"/>
              </w:rPr>
            </w:pPr>
          </w:p>
          <w:p w:rsidR="00C31389" w:rsidRDefault="00C31389" w14:paraId="29186D4E" w14:textId="77777777">
            <w:pPr>
              <w:pStyle w:val="TableParagraph"/>
              <w:spacing w:before="0"/>
              <w:rPr>
                <w:sz w:val="20"/>
              </w:rPr>
            </w:pPr>
          </w:p>
          <w:p w:rsidR="00C31389" w:rsidRDefault="00C31389" w14:paraId="292607FA" w14:textId="77777777">
            <w:pPr>
              <w:pStyle w:val="TableParagraph"/>
              <w:spacing w:before="10"/>
              <w:rPr>
                <w:sz w:val="29"/>
              </w:rPr>
            </w:pPr>
          </w:p>
          <w:p w:rsidR="00C31389" w:rsidRDefault="00561FBD" w14:paraId="330CD5F7" w14:textId="77777777">
            <w:pPr>
              <w:pStyle w:val="TableParagraph"/>
              <w:spacing w:before="0"/>
              <w:ind w:left="117"/>
              <w:rPr>
                <w:b/>
                <w:sz w:val="18"/>
              </w:rPr>
            </w:pPr>
            <w:r>
              <w:rPr>
                <w:b/>
                <w:spacing w:val="-2"/>
                <w:sz w:val="18"/>
              </w:rPr>
              <w:t>Scenarios</w:t>
            </w:r>
          </w:p>
        </w:tc>
        <w:tc>
          <w:tcPr>
            <w:tcW w:w="1378" w:type="dxa"/>
            <w:tcBorders>
              <w:bottom w:val="single" w:color="94D500" w:sz="4" w:space="0"/>
            </w:tcBorders>
          </w:tcPr>
          <w:p w:rsidR="00C31389" w:rsidRDefault="00C31389" w14:paraId="0E793DE6" w14:textId="77777777">
            <w:pPr>
              <w:pStyle w:val="TableParagraph"/>
              <w:spacing w:before="0"/>
              <w:rPr>
                <w:sz w:val="20"/>
              </w:rPr>
            </w:pPr>
          </w:p>
          <w:p w:rsidR="00C31389" w:rsidRDefault="00C31389" w14:paraId="5C4859E0" w14:textId="77777777">
            <w:pPr>
              <w:pStyle w:val="TableParagraph"/>
              <w:spacing w:before="0"/>
              <w:rPr>
                <w:sz w:val="20"/>
              </w:rPr>
            </w:pPr>
          </w:p>
          <w:p w:rsidR="00C31389" w:rsidRDefault="00C31389" w14:paraId="5EACBE7D" w14:textId="77777777">
            <w:pPr>
              <w:pStyle w:val="TableParagraph"/>
              <w:spacing w:before="0"/>
              <w:rPr>
                <w:sz w:val="20"/>
              </w:rPr>
            </w:pPr>
          </w:p>
          <w:p w:rsidR="00C31389" w:rsidRDefault="00C31389" w14:paraId="2414B2A1" w14:textId="77777777">
            <w:pPr>
              <w:pStyle w:val="TableParagraph"/>
              <w:spacing w:before="0"/>
              <w:rPr>
                <w:sz w:val="20"/>
              </w:rPr>
            </w:pPr>
          </w:p>
          <w:p w:rsidR="00C31389" w:rsidRDefault="00561FBD" w14:paraId="49158F92" w14:textId="77777777">
            <w:pPr>
              <w:pStyle w:val="TableParagraph"/>
              <w:spacing w:before="137"/>
              <w:ind w:left="423" w:right="256"/>
              <w:rPr>
                <w:sz w:val="18"/>
              </w:rPr>
            </w:pPr>
            <w:r>
              <w:rPr>
                <w:spacing w:val="-2"/>
                <w:sz w:val="18"/>
              </w:rPr>
              <w:t xml:space="preserve">BayREN </w:t>
            </w:r>
            <w:r>
              <w:rPr>
                <w:sz w:val="18"/>
              </w:rPr>
              <w:t xml:space="preserve">and 3C </w:t>
            </w:r>
            <w:r>
              <w:rPr>
                <w:spacing w:val="-4"/>
                <w:sz w:val="18"/>
              </w:rPr>
              <w:t>Ren</w:t>
            </w:r>
          </w:p>
        </w:tc>
        <w:tc>
          <w:tcPr>
            <w:tcW w:w="5369" w:type="dxa"/>
            <w:tcBorders>
              <w:bottom w:val="single" w:color="94D500" w:sz="4" w:space="0"/>
            </w:tcBorders>
          </w:tcPr>
          <w:p w:rsidR="00C31389" w:rsidRDefault="00561FBD" w14:paraId="5B31C002" w14:textId="77777777">
            <w:pPr>
              <w:pStyle w:val="TableParagraph"/>
              <w:spacing w:before="125"/>
              <w:ind w:left="125" w:right="111" w:hanging="1"/>
              <w:rPr>
                <w:sz w:val="18"/>
              </w:rPr>
            </w:pPr>
            <w:r>
              <w:rPr>
                <w:sz w:val="18"/>
              </w:rPr>
              <w:t>BayREN and 3C-REN recommend that the Draft Study be revised to include an additional scenario to inform 2024-2034 goals.</w:t>
            </w:r>
            <w:r>
              <w:rPr>
                <w:spacing w:val="-5"/>
                <w:sz w:val="18"/>
              </w:rPr>
              <w:t xml:space="preserve"> </w:t>
            </w:r>
            <w:r>
              <w:rPr>
                <w:sz w:val="18"/>
              </w:rPr>
              <w:t>As</w:t>
            </w:r>
            <w:r>
              <w:rPr>
                <w:spacing w:val="-5"/>
                <w:sz w:val="18"/>
              </w:rPr>
              <w:t xml:space="preserve"> </w:t>
            </w:r>
            <w:r>
              <w:rPr>
                <w:sz w:val="18"/>
              </w:rPr>
              <w:t>currently</w:t>
            </w:r>
            <w:r>
              <w:rPr>
                <w:spacing w:val="-5"/>
                <w:sz w:val="18"/>
              </w:rPr>
              <w:t xml:space="preserve"> </w:t>
            </w:r>
            <w:r>
              <w:rPr>
                <w:sz w:val="18"/>
              </w:rPr>
              <w:t>drafted,</w:t>
            </w:r>
            <w:r>
              <w:rPr>
                <w:spacing w:val="-5"/>
                <w:sz w:val="18"/>
              </w:rPr>
              <w:t xml:space="preserve"> </w:t>
            </w:r>
            <w:r>
              <w:rPr>
                <w:sz w:val="18"/>
              </w:rPr>
              <w:t>there</w:t>
            </w:r>
            <w:r>
              <w:rPr>
                <w:spacing w:val="-6"/>
                <w:sz w:val="18"/>
              </w:rPr>
              <w:t xml:space="preserve"> </w:t>
            </w:r>
            <w:r>
              <w:rPr>
                <w:sz w:val="18"/>
              </w:rPr>
              <w:t>is</w:t>
            </w:r>
            <w:r>
              <w:rPr>
                <w:spacing w:val="-5"/>
                <w:sz w:val="18"/>
              </w:rPr>
              <w:t xml:space="preserve"> </w:t>
            </w:r>
            <w:r>
              <w:rPr>
                <w:sz w:val="18"/>
              </w:rPr>
              <w:t>a</w:t>
            </w:r>
            <w:r>
              <w:rPr>
                <w:spacing w:val="-6"/>
                <w:sz w:val="18"/>
              </w:rPr>
              <w:t xml:space="preserve"> </w:t>
            </w:r>
            <w:r>
              <w:rPr>
                <w:sz w:val="18"/>
              </w:rPr>
              <w:t>significant</w:t>
            </w:r>
            <w:r>
              <w:rPr>
                <w:spacing w:val="-5"/>
                <w:sz w:val="18"/>
              </w:rPr>
              <w:t xml:space="preserve"> </w:t>
            </w:r>
            <w:r>
              <w:rPr>
                <w:sz w:val="18"/>
              </w:rPr>
              <w:t>chasm</w:t>
            </w:r>
            <w:r>
              <w:rPr>
                <w:spacing w:val="-5"/>
                <w:sz w:val="18"/>
              </w:rPr>
              <w:t xml:space="preserve"> </w:t>
            </w:r>
            <w:r>
              <w:rPr>
                <w:sz w:val="18"/>
              </w:rPr>
              <w:t xml:space="preserve">between the </w:t>
            </w:r>
            <w:r>
              <w:rPr>
                <w:sz w:val="18"/>
              </w:rPr>
              <w:t>various scenarios modeled as a result of the “toggle” between conservative fuel substitution and aggressive fuel substitution. BayREN and 3C-REN recommend modeling a middle ground scenario combining elements of Scenario 2 and Scenario 3 to provide the Comm</w:t>
            </w:r>
            <w:r>
              <w:rPr>
                <w:sz w:val="18"/>
              </w:rPr>
              <w:t>ission with a more balanced option. One way of modeling this “Scenario 5” would be to set the IRA Tax credit to conservative, fuel substitution to conservative, and incentive levels capped at 75% for energy efficiency (EE) and 90% for fuel substitution (FS</w:t>
            </w:r>
            <w:r>
              <w:rPr>
                <w:sz w:val="18"/>
              </w:rPr>
              <w:t>).</w:t>
            </w:r>
          </w:p>
        </w:tc>
        <w:tc>
          <w:tcPr>
            <w:tcW w:w="3461" w:type="dxa"/>
            <w:tcBorders>
              <w:bottom w:val="single" w:color="94D500" w:sz="4" w:space="0"/>
            </w:tcBorders>
          </w:tcPr>
          <w:p w:rsidR="00C31389" w:rsidRDefault="00561FBD" w14:paraId="1EA0031E" w14:textId="77777777">
            <w:pPr>
              <w:pStyle w:val="TableParagraph"/>
              <w:spacing w:before="22"/>
              <w:ind w:left="156" w:right="122"/>
              <w:rPr>
                <w:sz w:val="18"/>
              </w:rPr>
            </w:pPr>
            <w:r>
              <w:rPr>
                <w:sz w:val="18"/>
              </w:rPr>
              <w:t>The PG study team looked into a 90% incentive cap for FS measures. Across all IOUs, on average over the forecast period, the change increases the impacts on average 1% of FS savings. Given the current data available historical IOU fuel sub programs, the</w:t>
            </w:r>
            <w:r>
              <w:rPr>
                <w:sz w:val="18"/>
              </w:rPr>
              <w:t xml:space="preserve"> process of calibrating the forecast is far more consequential then the incentive level</w:t>
            </w:r>
            <w:r>
              <w:rPr>
                <w:spacing w:val="-7"/>
                <w:sz w:val="18"/>
              </w:rPr>
              <w:t xml:space="preserve"> </w:t>
            </w:r>
            <w:r>
              <w:rPr>
                <w:sz w:val="18"/>
              </w:rPr>
              <w:t>applied.</w:t>
            </w:r>
            <w:r>
              <w:rPr>
                <w:spacing w:val="-8"/>
                <w:sz w:val="18"/>
              </w:rPr>
              <w:t xml:space="preserve"> </w:t>
            </w:r>
            <w:r>
              <w:rPr>
                <w:sz w:val="18"/>
              </w:rPr>
              <w:t>Given</w:t>
            </w:r>
            <w:r>
              <w:rPr>
                <w:spacing w:val="-9"/>
                <w:sz w:val="18"/>
              </w:rPr>
              <w:t xml:space="preserve"> </w:t>
            </w:r>
            <w:r>
              <w:rPr>
                <w:sz w:val="18"/>
              </w:rPr>
              <w:t>the</w:t>
            </w:r>
            <w:r>
              <w:rPr>
                <w:spacing w:val="-9"/>
                <w:sz w:val="18"/>
              </w:rPr>
              <w:t xml:space="preserve"> </w:t>
            </w:r>
            <w:r>
              <w:rPr>
                <w:sz w:val="18"/>
              </w:rPr>
              <w:t>small</w:t>
            </w:r>
            <w:r>
              <w:rPr>
                <w:spacing w:val="-8"/>
                <w:sz w:val="18"/>
              </w:rPr>
              <w:t xml:space="preserve"> </w:t>
            </w:r>
            <w:r>
              <w:rPr>
                <w:sz w:val="18"/>
              </w:rPr>
              <w:t>difference in changing from 75 to 90% incentive caps for Scenario 2 analysis, CPUC staff kept the original scenarios.</w:t>
            </w:r>
          </w:p>
        </w:tc>
      </w:tr>
    </w:tbl>
    <w:p w:rsidR="00C31389" w:rsidRDefault="00C31389" w14:paraId="68943A10" w14:textId="77777777">
      <w:pPr>
        <w:pStyle w:val="BodyText"/>
        <w:rPr>
          <w:sz w:val="20"/>
        </w:rPr>
      </w:pPr>
    </w:p>
    <w:p w:rsidR="00C31389" w:rsidRDefault="00C31389" w14:paraId="198461D7" w14:textId="77777777">
      <w:pPr>
        <w:pStyle w:val="BodyText"/>
        <w:rPr>
          <w:sz w:val="20"/>
        </w:rPr>
      </w:pPr>
    </w:p>
    <w:p w:rsidR="00C31389" w:rsidRDefault="00C31389" w14:paraId="06AA2969" w14:textId="77777777">
      <w:pPr>
        <w:pStyle w:val="BodyText"/>
        <w:rPr>
          <w:sz w:val="20"/>
        </w:rPr>
      </w:pPr>
    </w:p>
    <w:p w:rsidR="00C31389" w:rsidRDefault="00C31389" w14:paraId="49034C61" w14:textId="77777777">
      <w:pPr>
        <w:pStyle w:val="BodyText"/>
        <w:rPr>
          <w:sz w:val="20"/>
        </w:rPr>
      </w:pPr>
    </w:p>
    <w:p w:rsidR="00C31389" w:rsidRDefault="00C31389" w14:paraId="1E95F7A9" w14:textId="77777777">
      <w:pPr>
        <w:pStyle w:val="BodyText"/>
        <w:rPr>
          <w:sz w:val="20"/>
        </w:rPr>
      </w:pPr>
    </w:p>
    <w:p w:rsidR="00C31389" w:rsidRDefault="00C31389" w14:paraId="7A4AE0BD" w14:textId="77777777">
      <w:pPr>
        <w:pStyle w:val="BodyText"/>
        <w:rPr>
          <w:sz w:val="20"/>
        </w:rPr>
      </w:pPr>
    </w:p>
    <w:p w:rsidR="00C31389" w:rsidRDefault="00C31389" w14:paraId="259CA467" w14:textId="77777777">
      <w:pPr>
        <w:pStyle w:val="BodyText"/>
        <w:rPr>
          <w:sz w:val="20"/>
        </w:rPr>
      </w:pPr>
    </w:p>
    <w:p w:rsidR="00C31389" w:rsidRDefault="00C31389" w14:paraId="055BD312" w14:textId="77777777">
      <w:pPr>
        <w:pStyle w:val="BodyText"/>
        <w:rPr>
          <w:sz w:val="20"/>
        </w:rPr>
      </w:pPr>
    </w:p>
    <w:p w:rsidR="00C31389" w:rsidRDefault="00C31389" w14:paraId="2EBD103D" w14:textId="77777777">
      <w:pPr>
        <w:pStyle w:val="BodyText"/>
        <w:rPr>
          <w:sz w:val="20"/>
        </w:rPr>
      </w:pPr>
    </w:p>
    <w:p w:rsidR="00C31389" w:rsidRDefault="00C31389" w14:paraId="2624BE91" w14:textId="77777777">
      <w:pPr>
        <w:pStyle w:val="BodyText"/>
        <w:rPr>
          <w:sz w:val="20"/>
        </w:rPr>
      </w:pPr>
    </w:p>
    <w:p w:rsidR="00C31389" w:rsidRDefault="00C31389" w14:paraId="6AAF8250" w14:textId="77777777">
      <w:pPr>
        <w:pStyle w:val="BodyText"/>
        <w:rPr>
          <w:sz w:val="20"/>
        </w:rPr>
      </w:pPr>
    </w:p>
    <w:p w:rsidR="00C31389" w:rsidRDefault="00C31389" w14:paraId="6A271565" w14:textId="77777777">
      <w:pPr>
        <w:pStyle w:val="BodyText"/>
        <w:rPr>
          <w:sz w:val="20"/>
        </w:rPr>
      </w:pPr>
    </w:p>
    <w:p w:rsidR="00C31389" w:rsidRDefault="00C31389" w14:paraId="786CB7D4" w14:textId="77777777">
      <w:pPr>
        <w:pStyle w:val="BodyText"/>
        <w:rPr>
          <w:sz w:val="20"/>
        </w:rPr>
      </w:pPr>
    </w:p>
    <w:p w:rsidR="00C31389" w:rsidRDefault="00C31389" w14:paraId="7DD52EAE" w14:textId="77777777">
      <w:pPr>
        <w:pStyle w:val="BodyText"/>
        <w:rPr>
          <w:sz w:val="20"/>
        </w:rPr>
      </w:pPr>
    </w:p>
    <w:p w:rsidR="00C31389" w:rsidRDefault="00C31389" w14:paraId="766CD45A" w14:textId="77777777">
      <w:pPr>
        <w:pStyle w:val="BodyText"/>
        <w:rPr>
          <w:sz w:val="20"/>
        </w:rPr>
      </w:pPr>
    </w:p>
    <w:p w:rsidR="00C31389" w:rsidRDefault="00C31389" w14:paraId="481B665F" w14:textId="77777777">
      <w:pPr>
        <w:pStyle w:val="BodyText"/>
        <w:spacing w:before="4"/>
        <w:rPr>
          <w:sz w:val="21"/>
        </w:rPr>
      </w:pPr>
    </w:p>
    <w:p w:rsidR="00C31389" w:rsidRDefault="00561FBD" w14:paraId="5E333715" w14:textId="77777777">
      <w:pPr>
        <w:spacing w:before="95"/>
        <w:ind w:left="5429" w:right="4570"/>
        <w:jc w:val="center"/>
        <w:rPr>
          <w:b/>
          <w:sz w:val="18"/>
        </w:rPr>
      </w:pPr>
      <w:r>
        <w:rPr>
          <w:b/>
          <w:sz w:val="18"/>
        </w:rPr>
        <w:t>(END</w:t>
      </w:r>
      <w:r>
        <w:rPr>
          <w:b/>
          <w:spacing w:val="-7"/>
          <w:sz w:val="18"/>
        </w:rPr>
        <w:t xml:space="preserve"> </w:t>
      </w:r>
      <w:r>
        <w:rPr>
          <w:b/>
          <w:sz w:val="18"/>
        </w:rPr>
        <w:t>OF</w:t>
      </w:r>
      <w:r>
        <w:rPr>
          <w:b/>
          <w:spacing w:val="-6"/>
          <w:sz w:val="18"/>
        </w:rPr>
        <w:t xml:space="preserve"> </w:t>
      </w:r>
      <w:r>
        <w:rPr>
          <w:b/>
          <w:sz w:val="18"/>
        </w:rPr>
        <w:t>ATTACHMENT</w:t>
      </w:r>
      <w:r>
        <w:rPr>
          <w:b/>
          <w:spacing w:val="-6"/>
          <w:sz w:val="18"/>
        </w:rPr>
        <w:t xml:space="preserve"> </w:t>
      </w:r>
      <w:r>
        <w:rPr>
          <w:b/>
          <w:spacing w:val="-5"/>
          <w:sz w:val="18"/>
        </w:rPr>
        <w:t>1)</w:t>
      </w:r>
    </w:p>
    <w:sectPr w:rsidR="00C31389">
      <w:pgSz w:w="15840" w:h="12240" w:orient="landscape"/>
      <w:pgMar w:top="1660" w:right="2260" w:bottom="1120" w:left="1320" w:header="397" w:footer="936" w:gutter="0"/>
      <w:cols w:space="720"/>
    </w:sectPr>
    <w:p>
      <w:r>
        <w:t xml:space="preserve"/>
      </w:r>
    </w:p>
    <w:p>
      <w:r>
        <w:t xml:space="preserve">Attachment 1: </w:t>
      </w:r>
    </w:p>
    <w:p>
      <w:hyperlink w:history="true" r:id="R2e113d30521f431f">
        <w:r w:rsidRPr="00CB1292">
          <w:rPr>
            <w:rStyle w:val="Hyperlink"/>
            <w:color w:val="2E74B5" w:themeColor="accent1" w:themeShade="BF"/>
            <w:u w:val="single"/>
          </w:rPr>
          <w:t>D2308005 Decision ADOPTING ENERGY EFFICIENCY GOALS FOR 2024-2035.</w:t>
        </w:r>
      </w:hyperlink>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E0C31" w14:textId="77777777" w:rsidR="00420A35" w:rsidRDefault="00420A35">
      <w:r>
        <w:separator/>
      </w:r>
    </w:p>
  </w:endnote>
  <w:endnote w:type="continuationSeparator" w:id="0">
    <w:p w14:paraId="0A2A835B" w14:textId="77777777" w:rsidR="00420A35" w:rsidRDefault="0042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D41F" w14:textId="77777777" w:rsidR="00C31389" w:rsidRDefault="00561FBD">
    <w:pPr>
      <w:pStyle w:val="BodyText"/>
      <w:spacing w:line="14" w:lineRule="auto"/>
      <w:rPr>
        <w:sz w:val="20"/>
      </w:rPr>
    </w:pPr>
    <w:r>
      <w:rPr>
        <w:noProof/>
      </w:rPr>
      <mc:AlternateContent>
        <mc:Choice Requires="wps">
          <w:drawing>
            <wp:anchor distT="0" distB="0" distL="0" distR="0" simplePos="0" relativeHeight="465419264" behindDoc="1" locked="0" layoutInCell="1" allowOverlap="1" wp14:anchorId="413EC45D" wp14:editId="1FFFF4DC">
              <wp:simplePos x="0" y="0"/>
              <wp:positionH relativeFrom="page">
                <wp:posOffset>914400</wp:posOffset>
              </wp:positionH>
              <wp:positionV relativeFrom="page">
                <wp:posOffset>9336798</wp:posOffset>
              </wp:positionV>
              <wp:extent cx="5943600" cy="127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9167711" id="Graphic 10" o:spid="_x0000_s1026" style="position:absolute;margin-left:1in;margin-top:735.2pt;width:468pt;height:1pt;z-index:-3789721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19776" behindDoc="1" locked="0" layoutInCell="1" allowOverlap="1" wp14:anchorId="396163EE" wp14:editId="68436A4A">
              <wp:simplePos x="0" y="0"/>
              <wp:positionH relativeFrom="page">
                <wp:posOffset>6458203</wp:posOffset>
              </wp:positionH>
              <wp:positionV relativeFrom="page">
                <wp:posOffset>9430925</wp:posOffset>
              </wp:positionV>
              <wp:extent cx="413384"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4" cy="153670"/>
                      </a:xfrm>
                      <a:prstGeom prst="rect">
                        <a:avLst/>
                      </a:prstGeom>
                    </wps:spPr>
                    <wps:txbx>
                      <w:txbxContent>
                        <w:p w14:paraId="7E696D98"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 roman </w:instrText>
                          </w:r>
                          <w:r>
                            <w:rPr>
                              <w:spacing w:val="-5"/>
                              <w:sz w:val="18"/>
                            </w:rPr>
                            <w:fldChar w:fldCharType="separate"/>
                          </w:r>
                          <w:r>
                            <w:rPr>
                              <w:spacing w:val="-5"/>
                              <w:sz w:val="18"/>
                            </w:rPr>
                            <w:t>ii</w:t>
                          </w:r>
                          <w:r>
                            <w:rPr>
                              <w:spacing w:val="-5"/>
                              <w:sz w:val="18"/>
                            </w:rPr>
                            <w:fldChar w:fldCharType="end"/>
                          </w:r>
                        </w:p>
                      </w:txbxContent>
                    </wps:txbx>
                    <wps:bodyPr wrap="square" lIns="0" tIns="0" rIns="0" bIns="0" rtlCol="0">
                      <a:noAutofit/>
                    </wps:bodyPr>
                  </wps:wsp>
                </a:graphicData>
              </a:graphic>
            </wp:anchor>
          </w:drawing>
        </mc:Choice>
        <mc:Fallback>
          <w:pict>
            <v:shapetype w14:anchorId="396163EE" id="_x0000_t202" coordsize="21600,21600" o:spt="202" path="m,l,21600r21600,l21600,xe">
              <v:stroke joinstyle="miter"/>
              <v:path gradientshapeok="t" o:connecttype="rect"/>
            </v:shapetype>
            <v:shape id="Textbox 11" o:spid="_x0000_s1218" type="#_x0000_t202" style="position:absolute;margin-left:508.5pt;margin-top:742.6pt;width:32.55pt;height:12.1pt;z-index:-378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" filled="f" stroked="f">
              <v:textbox inset="0,0,0,0">
                <w:txbxContent>
                  <w:p w14:paraId="7E696D98"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 roman </w:instrText>
                    </w:r>
                    <w:r>
                      <w:rPr>
                        <w:spacing w:val="-5"/>
                        <w:sz w:val="18"/>
                      </w:rPr>
                      <w:fldChar w:fldCharType="separate"/>
                    </w:r>
                    <w:r>
                      <w:rPr>
                        <w:spacing w:val="-5"/>
                        <w:sz w:val="18"/>
                      </w:rPr>
                      <w:t>ii</w:t>
                    </w:r>
                    <w:r>
                      <w:rPr>
                        <w:spacing w:val="-5"/>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9F5C" w14:textId="77777777" w:rsidR="00C31389" w:rsidRDefault="00561FBD">
    <w:pPr>
      <w:pStyle w:val="BodyText"/>
      <w:spacing w:line="14" w:lineRule="auto"/>
      <w:rPr>
        <w:sz w:val="20"/>
      </w:rPr>
    </w:pPr>
    <w:r>
      <w:rPr>
        <w:noProof/>
      </w:rPr>
      <mc:AlternateContent>
        <mc:Choice Requires="wps">
          <w:drawing>
            <wp:anchor distT="0" distB="0" distL="0" distR="0" simplePos="0" relativeHeight="465444864" behindDoc="1" locked="0" layoutInCell="1" allowOverlap="1" wp14:anchorId="5523E9FD" wp14:editId="5DD468D3">
              <wp:simplePos x="0" y="0"/>
              <wp:positionH relativeFrom="page">
                <wp:posOffset>914400</wp:posOffset>
              </wp:positionH>
              <wp:positionV relativeFrom="page">
                <wp:posOffset>9336798</wp:posOffset>
              </wp:positionV>
              <wp:extent cx="5943600" cy="127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DB94C9A" id="Graphic 104" o:spid="_x0000_s1026" style="position:absolute;margin-left:1in;margin-top:735.2pt;width:468pt;height:1pt;z-index:-3787161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45376" behindDoc="1" locked="0" layoutInCell="1" allowOverlap="1" wp14:anchorId="38C63F4B" wp14:editId="2876F584">
              <wp:simplePos x="0" y="0"/>
              <wp:positionH relativeFrom="page">
                <wp:posOffset>6382003</wp:posOffset>
              </wp:positionH>
              <wp:positionV relativeFrom="page">
                <wp:posOffset>9430925</wp:posOffset>
              </wp:positionV>
              <wp:extent cx="489584" cy="1536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303E9CD2"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38C63F4B" id="_x0000_t202" coordsize="21600,21600" o:spt="202" path="m,l,21600r21600,l21600,xe">
              <v:stroke joinstyle="miter"/>
              <v:path gradientshapeok="t" o:connecttype="rect"/>
            </v:shapetype>
            <v:shape id="Textbox 105" o:spid="_x0000_s1245" type="#_x0000_t202" style="position:absolute;margin-left:502.5pt;margin-top:742.6pt;width:38.55pt;height:12.1pt;z-index:-378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Ax58EH&#10;mgEAACIDAAAOAAAAAAAAAAAAAAAAAC4CAABkcnMvZTJvRG9jLnhtbFBLAQItABQABgAIAAAAIQB5&#10;mnFg4gAAAA8BAAAPAAAAAAAAAAAAAAAAAPQDAABkcnMvZG93bnJldi54bWxQSwUGAAAAAAQABADz&#10;AAAAAwUAAAAA&#10;" filled="f" stroked="f">
              <v:textbox inset="0,0,0,0">
                <w:txbxContent>
                  <w:p w14:paraId="303E9CD2"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ACB7" w14:textId="77777777" w:rsidR="00C31389" w:rsidRDefault="00561FBD">
    <w:pPr>
      <w:pStyle w:val="BodyText"/>
      <w:spacing w:line="14" w:lineRule="auto"/>
      <w:rPr>
        <w:sz w:val="20"/>
      </w:rPr>
    </w:pPr>
    <w:r>
      <w:rPr>
        <w:noProof/>
      </w:rPr>
      <mc:AlternateContent>
        <mc:Choice Requires="wps">
          <w:drawing>
            <wp:anchor distT="0" distB="0" distL="0" distR="0" simplePos="0" relativeHeight="465447424" behindDoc="1" locked="0" layoutInCell="1" allowOverlap="1" wp14:anchorId="6DB01AAE" wp14:editId="17FC7B13">
              <wp:simplePos x="0" y="0"/>
              <wp:positionH relativeFrom="page">
                <wp:posOffset>914400</wp:posOffset>
              </wp:positionH>
              <wp:positionV relativeFrom="page">
                <wp:posOffset>9336798</wp:posOffset>
              </wp:positionV>
              <wp:extent cx="5943600" cy="1270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2DBA517" id="Graphic 120" o:spid="_x0000_s1026" style="position:absolute;margin-left:1in;margin-top:735.2pt;width:468pt;height:1pt;z-index:-3786905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47936" behindDoc="1" locked="0" layoutInCell="1" allowOverlap="1" wp14:anchorId="4C0A571A" wp14:editId="43BC5A0F">
              <wp:simplePos x="0" y="0"/>
              <wp:positionH relativeFrom="page">
                <wp:posOffset>6382003</wp:posOffset>
              </wp:positionH>
              <wp:positionV relativeFrom="page">
                <wp:posOffset>9430925</wp:posOffset>
              </wp:positionV>
              <wp:extent cx="489584" cy="1536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09A333E1"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v:shapetype w14:anchorId="4C0A571A" id="_x0000_t202" coordsize="21600,21600" o:spt="202" path="m,l,21600r21600,l21600,xe">
              <v:stroke joinstyle="miter"/>
              <v:path gradientshapeok="t" o:connecttype="rect"/>
            </v:shapetype>
            <v:shape id="Textbox 121" o:spid="_x0000_s1248" type="#_x0000_t202" style="position:absolute;margin-left:502.5pt;margin-top:742.6pt;width:38.55pt;height:12.1pt;z-index:-378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CpOXlG&#10;mgEAACIDAAAOAAAAAAAAAAAAAAAAAC4CAABkcnMvZTJvRG9jLnhtbFBLAQItABQABgAIAAAAIQB5&#10;mnFg4gAAAA8BAAAPAAAAAAAAAAAAAAAAAPQDAABkcnMvZG93bnJldi54bWxQSwUGAAAAAAQABADz&#10;AAAAAwUAAAAA&#10;" filled="f" stroked="f">
              <v:textbox inset="0,0,0,0">
                <w:txbxContent>
                  <w:p w14:paraId="09A333E1"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FCCA9" w14:textId="77777777" w:rsidR="00C31389" w:rsidRDefault="00561FBD">
    <w:pPr>
      <w:pStyle w:val="BodyText"/>
      <w:spacing w:line="14" w:lineRule="auto"/>
      <w:rPr>
        <w:sz w:val="20"/>
      </w:rPr>
    </w:pPr>
    <w:r>
      <w:rPr>
        <w:noProof/>
      </w:rPr>
      <mc:AlternateContent>
        <mc:Choice Requires="wps">
          <w:drawing>
            <wp:anchor distT="0" distB="0" distL="0" distR="0" simplePos="0" relativeHeight="465450496" behindDoc="1" locked="0" layoutInCell="1" allowOverlap="1" wp14:anchorId="6091109F" wp14:editId="38377CED">
              <wp:simplePos x="0" y="0"/>
              <wp:positionH relativeFrom="page">
                <wp:posOffset>914400</wp:posOffset>
              </wp:positionH>
              <wp:positionV relativeFrom="page">
                <wp:posOffset>9336798</wp:posOffset>
              </wp:positionV>
              <wp:extent cx="5943600" cy="1270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225DD93" id="Graphic 128" o:spid="_x0000_s1026" style="position:absolute;margin-left:1in;margin-top:735.2pt;width:468pt;height:1pt;z-index:-3786598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51008" behindDoc="1" locked="0" layoutInCell="1" allowOverlap="1" wp14:anchorId="43C06FC8" wp14:editId="488D23C6">
              <wp:simplePos x="0" y="0"/>
              <wp:positionH relativeFrom="page">
                <wp:posOffset>6382003</wp:posOffset>
              </wp:positionH>
              <wp:positionV relativeFrom="page">
                <wp:posOffset>9430925</wp:posOffset>
              </wp:positionV>
              <wp:extent cx="489584" cy="1536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2023B45D"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v:shapetype w14:anchorId="43C06FC8" id="_x0000_t202" coordsize="21600,21600" o:spt="202" path="m,l,21600r21600,l21600,xe">
              <v:stroke joinstyle="miter"/>
              <v:path gradientshapeok="t" o:connecttype="rect"/>
            </v:shapetype>
            <v:shape id="Textbox 129" o:spid="_x0000_s1251" type="#_x0000_t202" style="position:absolute;margin-left:502.5pt;margin-top:742.6pt;width:38.55pt;height:12.1pt;z-index:-378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A9Nk7J&#10;mgEAACIDAAAOAAAAAAAAAAAAAAAAAC4CAABkcnMvZTJvRG9jLnhtbFBLAQItABQABgAIAAAAIQB5&#10;mnFg4gAAAA8BAAAPAAAAAAAAAAAAAAAAAPQDAABkcnMvZG93bnJldi54bWxQSwUGAAAAAAQABADz&#10;AAAAAwUAAAAA&#10;" filled="f" stroked="f">
              <v:textbox inset="0,0,0,0">
                <w:txbxContent>
                  <w:p w14:paraId="2023B45D"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4C23" w14:textId="77777777" w:rsidR="00C31389" w:rsidRDefault="00561FBD">
    <w:pPr>
      <w:pStyle w:val="BodyText"/>
      <w:spacing w:line="14" w:lineRule="auto"/>
      <w:rPr>
        <w:sz w:val="20"/>
      </w:rPr>
    </w:pPr>
    <w:r>
      <w:rPr>
        <w:noProof/>
      </w:rPr>
      <mc:AlternateContent>
        <mc:Choice Requires="wps">
          <w:drawing>
            <wp:anchor distT="0" distB="0" distL="0" distR="0" simplePos="0" relativeHeight="465453056" behindDoc="1" locked="0" layoutInCell="1" allowOverlap="1" wp14:anchorId="342DE898" wp14:editId="6040DBF2">
              <wp:simplePos x="0" y="0"/>
              <wp:positionH relativeFrom="page">
                <wp:posOffset>914400</wp:posOffset>
              </wp:positionH>
              <wp:positionV relativeFrom="page">
                <wp:posOffset>9336798</wp:posOffset>
              </wp:positionV>
              <wp:extent cx="5943600" cy="1270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F5BADD4" id="Graphic 140" o:spid="_x0000_s1026" style="position:absolute;margin-left:1in;margin-top:735.2pt;width:468pt;height:1pt;z-index:-3786342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53568" behindDoc="1" locked="0" layoutInCell="1" allowOverlap="1" wp14:anchorId="3342ACC1" wp14:editId="1FEA39CA">
              <wp:simplePos x="0" y="0"/>
              <wp:positionH relativeFrom="page">
                <wp:posOffset>6382003</wp:posOffset>
              </wp:positionH>
              <wp:positionV relativeFrom="page">
                <wp:posOffset>9430925</wp:posOffset>
              </wp:positionV>
              <wp:extent cx="489584" cy="1536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6FC6A3E3"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type w14:anchorId="3342ACC1" id="_x0000_t202" coordsize="21600,21600" o:spt="202" path="m,l,21600r21600,l21600,xe">
              <v:stroke joinstyle="miter"/>
              <v:path gradientshapeok="t" o:connecttype="rect"/>
            </v:shapetype>
            <v:shape id="Textbox 141" o:spid="_x0000_s1254" type="#_x0000_t202" style="position:absolute;margin-left:502.5pt;margin-top:742.6pt;width:38.55pt;height:12.1pt;z-index:-378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CdR6Se&#10;mgEAACIDAAAOAAAAAAAAAAAAAAAAAC4CAABkcnMvZTJvRG9jLnhtbFBLAQItABQABgAIAAAAIQB5&#10;mnFg4gAAAA8BAAAPAAAAAAAAAAAAAAAAAPQDAABkcnMvZG93bnJldi54bWxQSwUGAAAAAAQABADz&#10;AAAAAwUAAAAA&#10;" filled="f" stroked="f">
              <v:textbox inset="0,0,0,0">
                <w:txbxContent>
                  <w:p w14:paraId="6FC6A3E3"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5AB5" w14:textId="77777777" w:rsidR="00C31389" w:rsidRDefault="00561FBD">
    <w:pPr>
      <w:pStyle w:val="BodyText"/>
      <w:spacing w:line="14" w:lineRule="auto"/>
      <w:rPr>
        <w:sz w:val="20"/>
      </w:rPr>
    </w:pPr>
    <w:r>
      <w:rPr>
        <w:noProof/>
      </w:rPr>
      <mc:AlternateContent>
        <mc:Choice Requires="wps">
          <w:drawing>
            <wp:anchor distT="0" distB="0" distL="0" distR="0" simplePos="0" relativeHeight="465456128" behindDoc="1" locked="0" layoutInCell="1" allowOverlap="1" wp14:anchorId="369238DE" wp14:editId="229C7823">
              <wp:simplePos x="0" y="0"/>
              <wp:positionH relativeFrom="page">
                <wp:posOffset>914400</wp:posOffset>
              </wp:positionH>
              <wp:positionV relativeFrom="page">
                <wp:posOffset>9336798</wp:posOffset>
              </wp:positionV>
              <wp:extent cx="5943600" cy="127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94017C5" id="Graphic 149" o:spid="_x0000_s1026" style="position:absolute;margin-left:1in;margin-top:735.2pt;width:468pt;height:1pt;z-index:-3786035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56640" behindDoc="1" locked="0" layoutInCell="1" allowOverlap="1" wp14:anchorId="67B9A83C" wp14:editId="5877F79D">
              <wp:simplePos x="0" y="0"/>
              <wp:positionH relativeFrom="page">
                <wp:posOffset>6382003</wp:posOffset>
              </wp:positionH>
              <wp:positionV relativeFrom="page">
                <wp:posOffset>9430925</wp:posOffset>
              </wp:positionV>
              <wp:extent cx="489584" cy="1536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0DE78683"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wps:txbx>
                    <wps:bodyPr wrap="square" lIns="0" tIns="0" rIns="0" bIns="0" rtlCol="0">
                      <a:noAutofit/>
                    </wps:bodyPr>
                  </wps:wsp>
                </a:graphicData>
              </a:graphic>
            </wp:anchor>
          </w:drawing>
        </mc:Choice>
        <mc:Fallback>
          <w:pict>
            <v:shapetype w14:anchorId="67B9A83C" id="_x0000_t202" coordsize="21600,21600" o:spt="202" path="m,l,21600r21600,l21600,xe">
              <v:stroke joinstyle="miter"/>
              <v:path gradientshapeok="t" o:connecttype="rect"/>
            </v:shapetype>
            <v:shape id="Textbox 150" o:spid="_x0000_s1257" type="#_x0000_t202" style="position:absolute;margin-left:502.5pt;margin-top:742.6pt;width:38.55pt;height:12.1pt;z-index:-378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AyMWEj&#10;mgEAACIDAAAOAAAAAAAAAAAAAAAAAC4CAABkcnMvZTJvRG9jLnhtbFBLAQItABQABgAIAAAAIQB5&#10;mnFg4gAAAA8BAAAPAAAAAAAAAAAAAAAAAPQDAABkcnMvZG93bnJldi54bWxQSwUGAAAAAAQABADz&#10;AAAAAwUAAAAA&#10;" filled="f" stroked="f">
              <v:textbox inset="0,0,0,0">
                <w:txbxContent>
                  <w:p w14:paraId="0DE78683"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38C92" w14:textId="77777777" w:rsidR="00C31389" w:rsidRDefault="00561FBD">
    <w:pPr>
      <w:pStyle w:val="BodyText"/>
      <w:spacing w:line="14" w:lineRule="auto"/>
      <w:rPr>
        <w:sz w:val="20"/>
      </w:rPr>
    </w:pPr>
    <w:r>
      <w:rPr>
        <w:noProof/>
      </w:rPr>
      <mc:AlternateContent>
        <mc:Choice Requires="wps">
          <w:drawing>
            <wp:anchor distT="0" distB="0" distL="0" distR="0" simplePos="0" relativeHeight="465458688" behindDoc="1" locked="0" layoutInCell="1" allowOverlap="1" wp14:anchorId="59E6B9E9" wp14:editId="03770507">
              <wp:simplePos x="0" y="0"/>
              <wp:positionH relativeFrom="page">
                <wp:posOffset>914400</wp:posOffset>
              </wp:positionH>
              <wp:positionV relativeFrom="page">
                <wp:posOffset>9336798</wp:posOffset>
              </wp:positionV>
              <wp:extent cx="5943600" cy="1270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5C5F357" id="Graphic 159" o:spid="_x0000_s1026" style="position:absolute;margin-left:1in;margin-top:735.2pt;width:468pt;height:1pt;z-index:-3785779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59200" behindDoc="1" locked="0" layoutInCell="1" allowOverlap="1" wp14:anchorId="080887CE" wp14:editId="4A4EAE65">
              <wp:simplePos x="0" y="0"/>
              <wp:positionH relativeFrom="page">
                <wp:posOffset>6382003</wp:posOffset>
              </wp:positionH>
              <wp:positionV relativeFrom="page">
                <wp:posOffset>9430925</wp:posOffset>
              </wp:positionV>
              <wp:extent cx="489584" cy="1536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5EEB5E6D"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wps:txbx>
                    <wps:bodyPr wrap="square" lIns="0" tIns="0" rIns="0" bIns="0" rtlCol="0">
                      <a:noAutofit/>
                    </wps:bodyPr>
                  </wps:wsp>
                </a:graphicData>
              </a:graphic>
            </wp:anchor>
          </w:drawing>
        </mc:Choice>
        <mc:Fallback>
          <w:pict>
            <v:shapetype w14:anchorId="080887CE" id="_x0000_t202" coordsize="21600,21600" o:spt="202" path="m,l,21600r21600,l21600,xe">
              <v:stroke joinstyle="miter"/>
              <v:path gradientshapeok="t" o:connecttype="rect"/>
            </v:shapetype>
            <v:shape id="Textbox 160" o:spid="_x0000_s1260" type="#_x0000_t202" style="position:absolute;margin-left:502.5pt;margin-top:742.6pt;width:38.55pt;height:12.1pt;z-index:-378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Aojg9P&#10;mgEAACIDAAAOAAAAAAAAAAAAAAAAAC4CAABkcnMvZTJvRG9jLnhtbFBLAQItABQABgAIAAAAIQB5&#10;mnFg4gAAAA8BAAAPAAAAAAAAAAAAAAAAAPQDAABkcnMvZG93bnJldi54bWxQSwUGAAAAAAQABADz&#10;AAAAAwUAAAAA&#10;" filled="f" stroked="f">
              <v:textbox inset="0,0,0,0">
                <w:txbxContent>
                  <w:p w14:paraId="5EEB5E6D"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FC8E" w14:textId="77777777" w:rsidR="00C31389" w:rsidRDefault="00561FBD">
    <w:pPr>
      <w:pStyle w:val="BodyText"/>
      <w:spacing w:line="14" w:lineRule="auto"/>
      <w:rPr>
        <w:sz w:val="20"/>
      </w:rPr>
    </w:pPr>
    <w:r>
      <w:rPr>
        <w:noProof/>
      </w:rPr>
      <mc:AlternateContent>
        <mc:Choice Requires="wps">
          <w:drawing>
            <wp:anchor distT="0" distB="0" distL="0" distR="0" simplePos="0" relativeHeight="465461760" behindDoc="1" locked="0" layoutInCell="1" allowOverlap="1" wp14:anchorId="221AC122" wp14:editId="7770060C">
              <wp:simplePos x="0" y="0"/>
              <wp:positionH relativeFrom="page">
                <wp:posOffset>914400</wp:posOffset>
              </wp:positionH>
              <wp:positionV relativeFrom="page">
                <wp:posOffset>9336798</wp:posOffset>
              </wp:positionV>
              <wp:extent cx="5943600" cy="1270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E3FAC16" id="Graphic 177" o:spid="_x0000_s1026" style="position:absolute;margin-left:1in;margin-top:735.2pt;width:468pt;height:1pt;z-index:-3785472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62272" behindDoc="1" locked="0" layoutInCell="1" allowOverlap="1" wp14:anchorId="1FA4EC41" wp14:editId="150830B0">
              <wp:simplePos x="0" y="0"/>
              <wp:positionH relativeFrom="page">
                <wp:posOffset>6382003</wp:posOffset>
              </wp:positionH>
              <wp:positionV relativeFrom="page">
                <wp:posOffset>9430925</wp:posOffset>
              </wp:positionV>
              <wp:extent cx="489584" cy="1536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36C1589E"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wps:txbx>
                    <wps:bodyPr wrap="square" lIns="0" tIns="0" rIns="0" bIns="0" rtlCol="0">
                      <a:noAutofit/>
                    </wps:bodyPr>
                  </wps:wsp>
                </a:graphicData>
              </a:graphic>
            </wp:anchor>
          </w:drawing>
        </mc:Choice>
        <mc:Fallback>
          <w:pict>
            <v:shapetype w14:anchorId="1FA4EC41" id="_x0000_t202" coordsize="21600,21600" o:spt="202" path="m,l,21600r21600,l21600,xe">
              <v:stroke joinstyle="miter"/>
              <v:path gradientshapeok="t" o:connecttype="rect"/>
            </v:shapetype>
            <v:shape id="Textbox 178" o:spid="_x0000_s1263" type="#_x0000_t202" style="position:absolute;margin-left:502.5pt;margin-top:742.6pt;width:38.55pt;height:12.1pt;z-index:-378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Dh5vrd&#10;mgEAACIDAAAOAAAAAAAAAAAAAAAAAC4CAABkcnMvZTJvRG9jLnhtbFBLAQItABQABgAIAAAAIQB5&#10;mnFg4gAAAA8BAAAPAAAAAAAAAAAAAAAAAPQDAABkcnMvZG93bnJldi54bWxQSwUGAAAAAAQABADz&#10;AAAAAwUAAAAA&#10;" filled="f" stroked="f">
              <v:textbox inset="0,0,0,0">
                <w:txbxContent>
                  <w:p w14:paraId="36C1589E"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7826" w14:textId="77777777" w:rsidR="00C31389" w:rsidRDefault="00561FBD">
    <w:pPr>
      <w:pStyle w:val="BodyText"/>
      <w:spacing w:line="14" w:lineRule="auto"/>
      <w:rPr>
        <w:sz w:val="20"/>
      </w:rPr>
    </w:pPr>
    <w:r>
      <w:rPr>
        <w:noProof/>
      </w:rPr>
      <mc:AlternateContent>
        <mc:Choice Requires="wps">
          <w:drawing>
            <wp:anchor distT="0" distB="0" distL="0" distR="0" simplePos="0" relativeHeight="465464320" behindDoc="1" locked="0" layoutInCell="1" allowOverlap="1" wp14:anchorId="6D973CF8" wp14:editId="5E0AE117">
              <wp:simplePos x="0" y="0"/>
              <wp:positionH relativeFrom="page">
                <wp:posOffset>914400</wp:posOffset>
              </wp:positionH>
              <wp:positionV relativeFrom="page">
                <wp:posOffset>9336798</wp:posOffset>
              </wp:positionV>
              <wp:extent cx="5943600" cy="127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3AF8BB4" id="Graphic 186" o:spid="_x0000_s1026" style="position:absolute;margin-left:1in;margin-top:735.2pt;width:468pt;height:1pt;z-index:-3785216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64832" behindDoc="1" locked="0" layoutInCell="1" allowOverlap="1" wp14:anchorId="626A17E1" wp14:editId="1B22FB7E">
              <wp:simplePos x="0" y="0"/>
              <wp:positionH relativeFrom="page">
                <wp:posOffset>6382003</wp:posOffset>
              </wp:positionH>
              <wp:positionV relativeFrom="page">
                <wp:posOffset>9430925</wp:posOffset>
              </wp:positionV>
              <wp:extent cx="489584" cy="1536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69759D91"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wps:txbx>
                    <wps:bodyPr wrap="square" lIns="0" tIns="0" rIns="0" bIns="0" rtlCol="0">
                      <a:noAutofit/>
                    </wps:bodyPr>
                  </wps:wsp>
                </a:graphicData>
              </a:graphic>
            </wp:anchor>
          </w:drawing>
        </mc:Choice>
        <mc:Fallback>
          <w:pict>
            <v:shapetype w14:anchorId="626A17E1" id="_x0000_t202" coordsize="21600,21600" o:spt="202" path="m,l,21600r21600,l21600,xe">
              <v:stroke joinstyle="miter"/>
              <v:path gradientshapeok="t" o:connecttype="rect"/>
            </v:shapetype>
            <v:shape id="Textbox 187" o:spid="_x0000_s1266" type="#_x0000_t202" style="position:absolute;margin-left:502.5pt;margin-top:742.6pt;width:38.55pt;height:12.1pt;z-index:-378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CekQS6&#10;mgEAACIDAAAOAAAAAAAAAAAAAAAAAC4CAABkcnMvZTJvRG9jLnhtbFBLAQItABQABgAIAAAAIQB5&#10;mnFg4gAAAA8BAAAPAAAAAAAAAAAAAAAAAPQDAABkcnMvZG93bnJldi54bWxQSwUGAAAAAAQABADz&#10;AAAAAwUAAAAA&#10;" filled="f" stroked="f">
              <v:textbox inset="0,0,0,0">
                <w:txbxContent>
                  <w:p w14:paraId="69759D91"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3E2B" w14:textId="77777777" w:rsidR="00C31389" w:rsidRDefault="00561FBD">
    <w:pPr>
      <w:pStyle w:val="BodyText"/>
      <w:spacing w:line="14" w:lineRule="auto"/>
      <w:rPr>
        <w:sz w:val="20"/>
      </w:rPr>
    </w:pPr>
    <w:r>
      <w:rPr>
        <w:noProof/>
      </w:rPr>
      <mc:AlternateContent>
        <mc:Choice Requires="wps">
          <w:drawing>
            <wp:anchor distT="0" distB="0" distL="0" distR="0" simplePos="0" relativeHeight="465467392" behindDoc="1" locked="0" layoutInCell="1" allowOverlap="1" wp14:anchorId="17DBAB8D" wp14:editId="6150FFC3">
              <wp:simplePos x="0" y="0"/>
              <wp:positionH relativeFrom="page">
                <wp:posOffset>914400</wp:posOffset>
              </wp:positionH>
              <wp:positionV relativeFrom="page">
                <wp:posOffset>9336798</wp:posOffset>
              </wp:positionV>
              <wp:extent cx="5943600" cy="1270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15A99B4" id="Graphic 203" o:spid="_x0000_s1026" style="position:absolute;margin-left:1in;margin-top:735.2pt;width:468pt;height:1pt;z-index:-3784908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67904" behindDoc="1" locked="0" layoutInCell="1" allowOverlap="1" wp14:anchorId="7B70B6E0" wp14:editId="2E24A3D1">
              <wp:simplePos x="0" y="0"/>
              <wp:positionH relativeFrom="page">
                <wp:posOffset>6382003</wp:posOffset>
              </wp:positionH>
              <wp:positionV relativeFrom="page">
                <wp:posOffset>9430925</wp:posOffset>
              </wp:positionV>
              <wp:extent cx="489584" cy="1536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40EC7210"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wps:txbx>
                    <wps:bodyPr wrap="square" lIns="0" tIns="0" rIns="0" bIns="0" rtlCol="0">
                      <a:noAutofit/>
                    </wps:bodyPr>
                  </wps:wsp>
                </a:graphicData>
              </a:graphic>
            </wp:anchor>
          </w:drawing>
        </mc:Choice>
        <mc:Fallback>
          <w:pict>
            <v:shapetype w14:anchorId="7B70B6E0" id="_x0000_t202" coordsize="21600,21600" o:spt="202" path="m,l,21600r21600,l21600,xe">
              <v:stroke joinstyle="miter"/>
              <v:path gradientshapeok="t" o:connecttype="rect"/>
            </v:shapetype>
            <v:shape id="Textbox 204" o:spid="_x0000_s1269" type="#_x0000_t202" style="position:absolute;margin-left:502.5pt;margin-top:742.6pt;width:38.55pt;height:12.1pt;z-index:-378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BX+fEo&#10;mgEAACIDAAAOAAAAAAAAAAAAAAAAAC4CAABkcnMvZTJvRG9jLnhtbFBLAQItABQABgAIAAAAIQB5&#10;mnFg4gAAAA8BAAAPAAAAAAAAAAAAAAAAAPQDAABkcnMvZG93bnJldi54bWxQSwUGAAAAAAQABADz&#10;AAAAAwUAAAAA&#10;" filled="f" stroked="f">
              <v:textbox inset="0,0,0,0">
                <w:txbxContent>
                  <w:p w14:paraId="40EC7210"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2F54" w14:textId="77777777" w:rsidR="00C31389" w:rsidRDefault="00561FBD">
    <w:pPr>
      <w:pStyle w:val="BodyText"/>
      <w:spacing w:line="14" w:lineRule="auto"/>
      <w:rPr>
        <w:sz w:val="20"/>
      </w:rPr>
    </w:pPr>
    <w:r>
      <w:rPr>
        <w:noProof/>
      </w:rPr>
      <mc:AlternateContent>
        <mc:Choice Requires="wps">
          <w:drawing>
            <wp:anchor distT="0" distB="0" distL="0" distR="0" simplePos="0" relativeHeight="465469952" behindDoc="1" locked="0" layoutInCell="1" allowOverlap="1" wp14:anchorId="60ADB3ED" wp14:editId="02DC7C18">
              <wp:simplePos x="0" y="0"/>
              <wp:positionH relativeFrom="page">
                <wp:posOffset>914400</wp:posOffset>
              </wp:positionH>
              <wp:positionV relativeFrom="page">
                <wp:posOffset>9336798</wp:posOffset>
              </wp:positionV>
              <wp:extent cx="5943600" cy="1270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DC7CF37" id="Graphic 222" o:spid="_x0000_s1026" style="position:absolute;margin-left:1in;margin-top:735.2pt;width:468pt;height:1pt;z-index:-3784652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70464" behindDoc="1" locked="0" layoutInCell="1" allowOverlap="1" wp14:anchorId="5F9154E5" wp14:editId="6572CD87">
              <wp:simplePos x="0" y="0"/>
              <wp:positionH relativeFrom="page">
                <wp:posOffset>6382003</wp:posOffset>
              </wp:positionH>
              <wp:positionV relativeFrom="page">
                <wp:posOffset>9430925</wp:posOffset>
              </wp:positionV>
              <wp:extent cx="489584" cy="1536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21E72BCF"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wps:txbx>
                    <wps:bodyPr wrap="square" lIns="0" tIns="0" rIns="0" bIns="0" rtlCol="0">
                      <a:noAutofit/>
                    </wps:bodyPr>
                  </wps:wsp>
                </a:graphicData>
              </a:graphic>
            </wp:anchor>
          </w:drawing>
        </mc:Choice>
        <mc:Fallback>
          <w:pict>
            <v:shapetype w14:anchorId="5F9154E5" id="_x0000_t202" coordsize="21600,21600" o:spt="202" path="m,l,21600r21600,l21600,xe">
              <v:stroke joinstyle="miter"/>
              <v:path gradientshapeok="t" o:connecttype="rect"/>
            </v:shapetype>
            <v:shape id="Textbox 223" o:spid="_x0000_s1272" type="#_x0000_t202" style="position:absolute;margin-left:502.5pt;margin-top:742.6pt;width:38.55pt;height:12.1pt;z-index:-378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" filled="f" stroked="f">
              <v:textbox inset="0,0,0,0">
                <w:txbxContent>
                  <w:p w14:paraId="21E72BCF"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57C5" w14:textId="77777777" w:rsidR="00C31389" w:rsidRDefault="00561FBD">
    <w:pPr>
      <w:pStyle w:val="BodyText"/>
      <w:spacing w:line="14" w:lineRule="auto"/>
      <w:rPr>
        <w:sz w:val="20"/>
      </w:rPr>
    </w:pPr>
    <w:r>
      <w:rPr>
        <w:noProof/>
      </w:rPr>
      <mc:AlternateContent>
        <mc:Choice Requires="wps">
          <w:drawing>
            <wp:anchor distT="0" distB="0" distL="0" distR="0" simplePos="0" relativeHeight="465422336" behindDoc="1" locked="0" layoutInCell="1" allowOverlap="1" wp14:anchorId="3D9C5189" wp14:editId="30F0CBC3">
              <wp:simplePos x="0" y="0"/>
              <wp:positionH relativeFrom="page">
                <wp:posOffset>914400</wp:posOffset>
              </wp:positionH>
              <wp:positionV relativeFrom="page">
                <wp:posOffset>9336798</wp:posOffset>
              </wp:positionV>
              <wp:extent cx="5943600"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2D40A08" id="Graphic 25" o:spid="_x0000_s1026" style="position:absolute;margin-left:1in;margin-top:735.2pt;width:468pt;height:1pt;z-index:-3789414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22848" behindDoc="1" locked="0" layoutInCell="1" allowOverlap="1" wp14:anchorId="20C5CD43" wp14:editId="5F603983">
              <wp:simplePos x="0" y="0"/>
              <wp:positionH relativeFrom="page">
                <wp:posOffset>6375908</wp:posOffset>
              </wp:positionH>
              <wp:positionV relativeFrom="page">
                <wp:posOffset>9430925</wp:posOffset>
              </wp:positionV>
              <wp:extent cx="495300" cy="1536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53670"/>
                      </a:xfrm>
                      <a:prstGeom prst="rect">
                        <a:avLst/>
                      </a:prstGeom>
                    </wps:spPr>
                    <wps:txbx>
                      <w:txbxContent>
                        <w:p w14:paraId="798C4F80" w14:textId="77777777" w:rsidR="00C31389" w:rsidRDefault="00561FBD">
                          <w:pPr>
                            <w:spacing w:before="14"/>
                            <w:ind w:left="20"/>
                            <w:rPr>
                              <w:sz w:val="18"/>
                            </w:rPr>
                          </w:pPr>
                          <w:r>
                            <w:rPr>
                              <w:sz w:val="18"/>
                            </w:rPr>
                            <w:t>Page</w:t>
                          </w:r>
                          <w:r>
                            <w:rPr>
                              <w:spacing w:val="-3"/>
                              <w:sz w:val="18"/>
                            </w:rPr>
                            <w:t xml:space="preserve"> </w:t>
                          </w:r>
                          <w:r>
                            <w:rPr>
                              <w:spacing w:val="-4"/>
                              <w:sz w:val="18"/>
                            </w:rPr>
                            <w:fldChar w:fldCharType="begin"/>
                          </w:r>
                          <w:r>
                            <w:rPr>
                              <w:spacing w:val="-4"/>
                              <w:sz w:val="18"/>
                            </w:rPr>
                            <w:instrText xml:space="preserve"> PAGE  \* roman </w:instrText>
                          </w:r>
                          <w:r>
                            <w:rPr>
                              <w:spacing w:val="-4"/>
                              <w:sz w:val="18"/>
                            </w:rPr>
                            <w:fldChar w:fldCharType="separate"/>
                          </w:r>
                          <w:r>
                            <w:rPr>
                              <w:spacing w:val="-4"/>
                              <w:sz w:val="18"/>
                            </w:rPr>
                            <w:t>viii</w:t>
                          </w:r>
                          <w:r>
                            <w:rPr>
                              <w:spacing w:val="-4"/>
                              <w:sz w:val="18"/>
                            </w:rPr>
                            <w:fldChar w:fldCharType="end"/>
                          </w:r>
                        </w:p>
                      </w:txbxContent>
                    </wps:txbx>
                    <wps:bodyPr wrap="square" lIns="0" tIns="0" rIns="0" bIns="0" rtlCol="0">
                      <a:noAutofit/>
                    </wps:bodyPr>
                  </wps:wsp>
                </a:graphicData>
              </a:graphic>
            </wp:anchor>
          </w:drawing>
        </mc:Choice>
        <mc:Fallback>
          <w:pict>
            <v:shapetype w14:anchorId="20C5CD43" id="_x0000_t202" coordsize="21600,21600" o:spt="202" path="m,l,21600r21600,l21600,xe">
              <v:stroke joinstyle="miter"/>
              <v:path gradientshapeok="t" o:connecttype="rect"/>
            </v:shapetype>
            <v:shape id="Textbox 26" o:spid="_x0000_s1221" type="#_x0000_t202" style="position:absolute;margin-left:502.05pt;margin-top:742.6pt;width:39pt;height:12.1pt;z-index:-378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" filled="f" stroked="f">
              <v:textbox inset="0,0,0,0">
                <w:txbxContent>
                  <w:p w14:paraId="798C4F80" w14:textId="77777777" w:rsidR="00C31389" w:rsidRDefault="00561FBD">
                    <w:pPr>
                      <w:spacing w:before="14"/>
                      <w:ind w:left="20"/>
                      <w:rPr>
                        <w:sz w:val="18"/>
                      </w:rPr>
                    </w:pPr>
                    <w:r>
                      <w:rPr>
                        <w:sz w:val="18"/>
                      </w:rPr>
                      <w:t>Page</w:t>
                    </w:r>
                    <w:r>
                      <w:rPr>
                        <w:spacing w:val="-3"/>
                        <w:sz w:val="18"/>
                      </w:rPr>
                      <w:t xml:space="preserve"> </w:t>
                    </w:r>
                    <w:r>
                      <w:rPr>
                        <w:spacing w:val="-4"/>
                        <w:sz w:val="18"/>
                      </w:rPr>
                      <w:fldChar w:fldCharType="begin"/>
                    </w:r>
                    <w:r>
                      <w:rPr>
                        <w:spacing w:val="-4"/>
                        <w:sz w:val="18"/>
                      </w:rPr>
                      <w:instrText xml:space="preserve"> PAGE  \* roman </w:instrText>
                    </w:r>
                    <w:r>
                      <w:rPr>
                        <w:spacing w:val="-4"/>
                        <w:sz w:val="18"/>
                      </w:rPr>
                      <w:fldChar w:fldCharType="separate"/>
                    </w:r>
                    <w:r>
                      <w:rPr>
                        <w:spacing w:val="-4"/>
                        <w:sz w:val="18"/>
                      </w:rPr>
                      <w:t>viii</w:t>
                    </w:r>
                    <w:r>
                      <w:rPr>
                        <w:spacing w:val="-4"/>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5AAF" w14:textId="77777777" w:rsidR="00C31389" w:rsidRDefault="00561FBD">
    <w:pPr>
      <w:pStyle w:val="BodyText"/>
      <w:spacing w:line="14" w:lineRule="auto"/>
      <w:rPr>
        <w:sz w:val="20"/>
      </w:rPr>
    </w:pPr>
    <w:r>
      <w:rPr>
        <w:noProof/>
      </w:rPr>
      <mc:AlternateContent>
        <mc:Choice Requires="wps">
          <w:drawing>
            <wp:anchor distT="0" distB="0" distL="0" distR="0" simplePos="0" relativeHeight="465473024" behindDoc="1" locked="0" layoutInCell="1" allowOverlap="1" wp14:anchorId="68EE630B" wp14:editId="1C5A823A">
              <wp:simplePos x="0" y="0"/>
              <wp:positionH relativeFrom="page">
                <wp:posOffset>914400</wp:posOffset>
              </wp:positionH>
              <wp:positionV relativeFrom="page">
                <wp:posOffset>9336798</wp:posOffset>
              </wp:positionV>
              <wp:extent cx="5943600" cy="1270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36C07E6" id="Graphic 280" o:spid="_x0000_s1026" style="position:absolute;margin-left:1in;margin-top:735.2pt;width:468pt;height:1pt;z-index:-3784345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73536" behindDoc="1" locked="0" layoutInCell="1" allowOverlap="1" wp14:anchorId="5742ADC1" wp14:editId="3410B847">
              <wp:simplePos x="0" y="0"/>
              <wp:positionH relativeFrom="page">
                <wp:posOffset>6382003</wp:posOffset>
              </wp:positionH>
              <wp:positionV relativeFrom="page">
                <wp:posOffset>9430925</wp:posOffset>
              </wp:positionV>
              <wp:extent cx="489584" cy="15367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44B76DE8"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wps:txbx>
                    <wps:bodyPr wrap="square" lIns="0" tIns="0" rIns="0" bIns="0" rtlCol="0">
                      <a:noAutofit/>
                    </wps:bodyPr>
                  </wps:wsp>
                </a:graphicData>
              </a:graphic>
            </wp:anchor>
          </w:drawing>
        </mc:Choice>
        <mc:Fallback>
          <w:pict>
            <v:shapetype w14:anchorId="5742ADC1" id="_x0000_t202" coordsize="21600,21600" o:spt="202" path="m,l,21600r21600,l21600,xe">
              <v:stroke joinstyle="miter"/>
              <v:path gradientshapeok="t" o:connecttype="rect"/>
            </v:shapetype>
            <v:shape id="Textbox 281" o:spid="_x0000_s1275" type="#_x0000_t202" style="position:absolute;margin-left:502.5pt;margin-top:742.6pt;width:38.55pt;height:12.1pt;z-index:-378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Bjhyzw&#10;mgEAACIDAAAOAAAAAAAAAAAAAAAAAC4CAABkcnMvZTJvRG9jLnhtbFBLAQItABQABgAIAAAAIQB5&#10;mnFg4gAAAA8BAAAPAAAAAAAAAAAAAAAAAPQDAABkcnMvZG93bnJldi54bWxQSwUGAAAAAAQABADz&#10;AAAAAwUAAAAA&#10;" filled="f" stroked="f">
              <v:textbox inset="0,0,0,0">
                <w:txbxContent>
                  <w:p w14:paraId="44B76DE8"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566A" w14:textId="77777777" w:rsidR="00C31389" w:rsidRDefault="00561FBD">
    <w:pPr>
      <w:pStyle w:val="BodyText"/>
      <w:spacing w:line="14" w:lineRule="auto"/>
      <w:rPr>
        <w:sz w:val="20"/>
      </w:rPr>
    </w:pPr>
    <w:r>
      <w:rPr>
        <w:noProof/>
      </w:rPr>
      <mc:AlternateContent>
        <mc:Choice Requires="wps">
          <w:drawing>
            <wp:anchor distT="0" distB="0" distL="0" distR="0" simplePos="0" relativeHeight="465475584" behindDoc="1" locked="0" layoutInCell="1" allowOverlap="1" wp14:anchorId="64F512A8" wp14:editId="28D9925F">
              <wp:simplePos x="0" y="0"/>
              <wp:positionH relativeFrom="page">
                <wp:posOffset>914400</wp:posOffset>
              </wp:positionH>
              <wp:positionV relativeFrom="page">
                <wp:posOffset>9336798</wp:posOffset>
              </wp:positionV>
              <wp:extent cx="5943600" cy="1270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8CEA43D" id="Graphic 320" o:spid="_x0000_s1026" style="position:absolute;margin-left:1in;margin-top:735.2pt;width:468pt;height:1pt;z-index:-3784089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76096" behindDoc="1" locked="0" layoutInCell="1" allowOverlap="1" wp14:anchorId="3DD10A19" wp14:editId="177D34C8">
              <wp:simplePos x="0" y="0"/>
              <wp:positionH relativeFrom="page">
                <wp:posOffset>6382003</wp:posOffset>
              </wp:positionH>
              <wp:positionV relativeFrom="page">
                <wp:posOffset>9430925</wp:posOffset>
              </wp:positionV>
              <wp:extent cx="489584" cy="1536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3632BB25"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wps:txbx>
                    <wps:bodyPr wrap="square" lIns="0" tIns="0" rIns="0" bIns="0" rtlCol="0">
                      <a:noAutofit/>
                    </wps:bodyPr>
                  </wps:wsp>
                </a:graphicData>
              </a:graphic>
            </wp:anchor>
          </w:drawing>
        </mc:Choice>
        <mc:Fallback>
          <w:pict>
            <v:shapetype w14:anchorId="3DD10A19" id="_x0000_t202" coordsize="21600,21600" o:spt="202" path="m,l,21600r21600,l21600,xe">
              <v:stroke joinstyle="miter"/>
              <v:path gradientshapeok="t" o:connecttype="rect"/>
            </v:shapetype>
            <v:shape id="Textbox 321" o:spid="_x0000_s1278" type="#_x0000_t202" style="position:absolute;margin-left:502.5pt;margin-top:742.6pt;width:38.55pt;height:12.1pt;z-index:-378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" filled="f" stroked="f">
              <v:textbox inset="0,0,0,0">
                <w:txbxContent>
                  <w:p w14:paraId="3632BB25"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5167" w14:textId="77777777" w:rsidR="00C31389" w:rsidRDefault="00561FBD">
    <w:pPr>
      <w:pStyle w:val="BodyText"/>
      <w:spacing w:line="14" w:lineRule="auto"/>
      <w:rPr>
        <w:sz w:val="20"/>
      </w:rPr>
    </w:pPr>
    <w:r>
      <w:rPr>
        <w:noProof/>
      </w:rPr>
      <mc:AlternateContent>
        <mc:Choice Requires="wps">
          <w:drawing>
            <wp:anchor distT="0" distB="0" distL="0" distR="0" simplePos="0" relativeHeight="465478656" behindDoc="1" locked="0" layoutInCell="1" allowOverlap="1" wp14:anchorId="5AC940BD" wp14:editId="75C57770">
              <wp:simplePos x="0" y="0"/>
              <wp:positionH relativeFrom="page">
                <wp:posOffset>914400</wp:posOffset>
              </wp:positionH>
              <wp:positionV relativeFrom="page">
                <wp:posOffset>9336798</wp:posOffset>
              </wp:positionV>
              <wp:extent cx="5943600" cy="1270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86793FA" id="Graphic 348" o:spid="_x0000_s1026" style="position:absolute;margin-left:1in;margin-top:735.2pt;width:468pt;height:1pt;z-index:-3783782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79168" behindDoc="1" locked="0" layoutInCell="1" allowOverlap="1" wp14:anchorId="3383E94B" wp14:editId="6699A169">
              <wp:simplePos x="0" y="0"/>
              <wp:positionH relativeFrom="page">
                <wp:posOffset>6382003</wp:posOffset>
              </wp:positionH>
              <wp:positionV relativeFrom="page">
                <wp:posOffset>9430925</wp:posOffset>
              </wp:positionV>
              <wp:extent cx="489584" cy="1536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20676262"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wps:txbx>
                    <wps:bodyPr wrap="square" lIns="0" tIns="0" rIns="0" bIns="0" rtlCol="0">
                      <a:noAutofit/>
                    </wps:bodyPr>
                  </wps:wsp>
                </a:graphicData>
              </a:graphic>
            </wp:anchor>
          </w:drawing>
        </mc:Choice>
        <mc:Fallback>
          <w:pict>
            <v:shapetype w14:anchorId="3383E94B" id="_x0000_t202" coordsize="21600,21600" o:spt="202" path="m,l,21600r21600,l21600,xe">
              <v:stroke joinstyle="miter"/>
              <v:path gradientshapeok="t" o:connecttype="rect"/>
            </v:shapetype>
            <v:shape id="Textbox 349" o:spid="_x0000_s1281" type="#_x0000_t202" style="position:absolute;margin-left:502.5pt;margin-top:742.6pt;width:38.55pt;height:12.1pt;z-index:-378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" filled="f" stroked="f">
              <v:textbox inset="0,0,0,0">
                <w:txbxContent>
                  <w:p w14:paraId="20676262"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8029" w14:textId="77777777" w:rsidR="00C31389" w:rsidRDefault="00561FBD">
    <w:pPr>
      <w:pStyle w:val="BodyText"/>
      <w:spacing w:line="14" w:lineRule="auto"/>
      <w:rPr>
        <w:sz w:val="20"/>
      </w:rPr>
    </w:pPr>
    <w:r>
      <w:rPr>
        <w:noProof/>
      </w:rPr>
      <mc:AlternateContent>
        <mc:Choice Requires="wps">
          <w:drawing>
            <wp:anchor distT="0" distB="0" distL="0" distR="0" simplePos="0" relativeHeight="465481216" behindDoc="1" locked="0" layoutInCell="1" allowOverlap="1" wp14:anchorId="64CAECA9" wp14:editId="57E5EE1A">
              <wp:simplePos x="0" y="0"/>
              <wp:positionH relativeFrom="page">
                <wp:posOffset>914400</wp:posOffset>
              </wp:positionH>
              <wp:positionV relativeFrom="page">
                <wp:posOffset>9336798</wp:posOffset>
              </wp:positionV>
              <wp:extent cx="5943600" cy="1270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95A6522" id="Graphic 355" o:spid="_x0000_s1026" style="position:absolute;margin-left:1in;margin-top:735.2pt;width:468pt;height:1pt;z-index:-3783526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81728" behindDoc="1" locked="0" layoutInCell="1" allowOverlap="1" wp14:anchorId="2AEC4C10" wp14:editId="462EDBE0">
              <wp:simplePos x="0" y="0"/>
              <wp:positionH relativeFrom="page">
                <wp:posOffset>6382003</wp:posOffset>
              </wp:positionH>
              <wp:positionV relativeFrom="page">
                <wp:posOffset>9430925</wp:posOffset>
              </wp:positionV>
              <wp:extent cx="489584" cy="15367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6AD33B2B"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wps:txbx>
                    <wps:bodyPr wrap="square" lIns="0" tIns="0" rIns="0" bIns="0" rtlCol="0">
                      <a:noAutofit/>
                    </wps:bodyPr>
                  </wps:wsp>
                </a:graphicData>
              </a:graphic>
            </wp:anchor>
          </w:drawing>
        </mc:Choice>
        <mc:Fallback>
          <w:pict>
            <v:shapetype w14:anchorId="2AEC4C10" id="_x0000_t202" coordsize="21600,21600" o:spt="202" path="m,l,21600r21600,l21600,xe">
              <v:stroke joinstyle="miter"/>
              <v:path gradientshapeok="t" o:connecttype="rect"/>
            </v:shapetype>
            <v:shape id="Textbox 356" o:spid="_x0000_s1284" type="#_x0000_t202" style="position:absolute;margin-left:502.5pt;margin-top:742.6pt;width:38.55pt;height:12.1pt;z-index:-378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BY0Kpj&#10;mgEAACIDAAAOAAAAAAAAAAAAAAAAAC4CAABkcnMvZTJvRG9jLnhtbFBLAQItABQABgAIAAAAIQB5&#10;mnFg4gAAAA8BAAAPAAAAAAAAAAAAAAAAAPQDAABkcnMvZG93bnJldi54bWxQSwUGAAAAAAQABADz&#10;AAAAAwUAAAAA&#10;" filled="f" stroked="f">
              <v:textbox inset="0,0,0,0">
                <w:txbxContent>
                  <w:p w14:paraId="6AD33B2B"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F8FD" w14:textId="77777777" w:rsidR="00C31389" w:rsidRDefault="00561FBD">
    <w:pPr>
      <w:pStyle w:val="BodyText"/>
      <w:spacing w:line="14" w:lineRule="auto"/>
      <w:rPr>
        <w:sz w:val="20"/>
      </w:rPr>
    </w:pPr>
    <w:r>
      <w:rPr>
        <w:noProof/>
      </w:rPr>
      <mc:AlternateContent>
        <mc:Choice Requires="wps">
          <w:drawing>
            <wp:anchor distT="0" distB="0" distL="0" distR="0" simplePos="0" relativeHeight="465484288" behindDoc="1" locked="0" layoutInCell="1" allowOverlap="1" wp14:anchorId="55D1658D" wp14:editId="5D31B281">
              <wp:simplePos x="0" y="0"/>
              <wp:positionH relativeFrom="page">
                <wp:posOffset>914400</wp:posOffset>
              </wp:positionH>
              <wp:positionV relativeFrom="page">
                <wp:posOffset>9336798</wp:posOffset>
              </wp:positionV>
              <wp:extent cx="5943600" cy="1270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47F2739" id="Graphic 364" o:spid="_x0000_s1026" style="position:absolute;margin-left:1in;margin-top:735.2pt;width:468pt;height:1pt;z-index:-3783219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84800" behindDoc="1" locked="0" layoutInCell="1" allowOverlap="1" wp14:anchorId="5699F3D3" wp14:editId="6B2BD43F">
              <wp:simplePos x="0" y="0"/>
              <wp:positionH relativeFrom="page">
                <wp:posOffset>6382003</wp:posOffset>
              </wp:positionH>
              <wp:positionV relativeFrom="page">
                <wp:posOffset>9430925</wp:posOffset>
              </wp:positionV>
              <wp:extent cx="489584" cy="15367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6435E6B1"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type w14:anchorId="5699F3D3" id="_x0000_t202" coordsize="21600,21600" o:spt="202" path="m,l,21600r21600,l21600,xe">
              <v:stroke joinstyle="miter"/>
              <v:path gradientshapeok="t" o:connecttype="rect"/>
            </v:shapetype>
            <v:shape id="Textbox 365" o:spid="_x0000_s1287" type="#_x0000_t202" style="position:absolute;margin-left:502.5pt;margin-top:742.6pt;width:38.55pt;height:12.1pt;z-index:-378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BOvkvB&#10;mgEAACIDAAAOAAAAAAAAAAAAAAAAAC4CAABkcnMvZTJvRG9jLnhtbFBLAQItABQABgAIAAAAIQB5&#10;mnFg4gAAAA8BAAAPAAAAAAAAAAAAAAAAAPQDAABkcnMvZG93bnJldi54bWxQSwUGAAAAAAQABADz&#10;AAAAAwUAAAAA&#10;" filled="f" stroked="f">
              <v:textbox inset="0,0,0,0">
                <w:txbxContent>
                  <w:p w14:paraId="6435E6B1"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1B83" w14:textId="77777777" w:rsidR="00C31389" w:rsidRDefault="00561FBD">
    <w:pPr>
      <w:pStyle w:val="BodyText"/>
      <w:spacing w:line="14" w:lineRule="auto"/>
      <w:rPr>
        <w:sz w:val="20"/>
      </w:rPr>
    </w:pPr>
    <w:r>
      <w:rPr>
        <w:noProof/>
      </w:rPr>
      <mc:AlternateContent>
        <mc:Choice Requires="wps">
          <w:drawing>
            <wp:anchor distT="0" distB="0" distL="0" distR="0" simplePos="0" relativeHeight="465487360" behindDoc="1" locked="0" layoutInCell="1" allowOverlap="1" wp14:anchorId="0BC817A1" wp14:editId="163F247A">
              <wp:simplePos x="0" y="0"/>
              <wp:positionH relativeFrom="page">
                <wp:posOffset>914400</wp:posOffset>
              </wp:positionH>
              <wp:positionV relativeFrom="page">
                <wp:posOffset>9336798</wp:posOffset>
              </wp:positionV>
              <wp:extent cx="5943600" cy="127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9AC1B7D" id="Graphic 378" o:spid="_x0000_s1026" style="position:absolute;margin-left:1in;margin-top:735.2pt;width:468pt;height:1pt;z-index:-3782912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87872" behindDoc="1" locked="0" layoutInCell="1" allowOverlap="1" wp14:anchorId="0F671D83" wp14:editId="01E3DF1E">
              <wp:simplePos x="0" y="0"/>
              <wp:positionH relativeFrom="page">
                <wp:posOffset>3080004</wp:posOffset>
              </wp:positionH>
              <wp:positionV relativeFrom="page">
                <wp:posOffset>8949690</wp:posOffset>
              </wp:positionV>
              <wp:extent cx="32384" cy="889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8890"/>
                      </a:xfrm>
                      <a:custGeom>
                        <a:avLst/>
                        <a:gdLst/>
                        <a:ahLst/>
                        <a:cxnLst/>
                        <a:rect l="l" t="t" r="r" b="b"/>
                        <a:pathLst>
                          <a:path w="32384" h="8890">
                            <a:moveTo>
                              <a:pt x="32004" y="0"/>
                            </a:moveTo>
                            <a:lnTo>
                              <a:pt x="0" y="0"/>
                            </a:lnTo>
                            <a:lnTo>
                              <a:pt x="0" y="8381"/>
                            </a:lnTo>
                            <a:lnTo>
                              <a:pt x="32004" y="8381"/>
                            </a:lnTo>
                            <a:lnTo>
                              <a:pt x="32004" y="0"/>
                            </a:lnTo>
                            <a:close/>
                          </a:path>
                        </a:pathLst>
                      </a:custGeom>
                      <a:solidFill>
                        <a:srgbClr val="68942C"/>
                      </a:solidFill>
                    </wps:spPr>
                    <wps:bodyPr wrap="square" lIns="0" tIns="0" rIns="0" bIns="0" rtlCol="0">
                      <a:prstTxWarp prst="textNoShape">
                        <a:avLst/>
                      </a:prstTxWarp>
                      <a:noAutofit/>
                    </wps:bodyPr>
                  </wps:wsp>
                </a:graphicData>
              </a:graphic>
            </wp:anchor>
          </w:drawing>
        </mc:Choice>
        <mc:Fallback>
          <w:pict>
            <v:shape w14:anchorId="6E42171F" id="Graphic 379" o:spid="_x0000_s1026" style="position:absolute;margin-left:242.5pt;margin-top:704.7pt;width:2.55pt;height:.7pt;z-index:-37828608;visibility:visible;mso-wrap-style:square;mso-wrap-distance-left:0;mso-wrap-distance-top:0;mso-wrap-distance-right:0;mso-wrap-distance-bottom:0;mso-position-horizontal:absolute;mso-position-horizontal-relative:page;mso-position-vertical:absolute;mso-position-vertical-relative:page;v-text-anchor:top" coordsize="3238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" path="m32004,l,,,8381r32004,l32004,xe" fillcolor="#68942c" stroked="f">
              <v:path arrowok="t"/>
              <w10:wrap anchorx="page" anchory="page"/>
            </v:shape>
          </w:pict>
        </mc:Fallback>
      </mc:AlternateContent>
    </w:r>
    <w:r>
      <w:rPr>
        <w:noProof/>
      </w:rPr>
      <mc:AlternateContent>
        <mc:Choice Requires="wps">
          <w:drawing>
            <wp:anchor distT="0" distB="0" distL="0" distR="0" simplePos="0" relativeHeight="465488384" behindDoc="1" locked="0" layoutInCell="1" allowOverlap="1" wp14:anchorId="1DF3420A" wp14:editId="18393FB2">
              <wp:simplePos x="0" y="0"/>
              <wp:positionH relativeFrom="page">
                <wp:posOffset>6382003</wp:posOffset>
              </wp:positionH>
              <wp:positionV relativeFrom="page">
                <wp:posOffset>9430925</wp:posOffset>
              </wp:positionV>
              <wp:extent cx="489584" cy="1536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21D888F8"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1DF3420A" id="_x0000_t202" coordsize="21600,21600" o:spt="202" path="m,l,21600r21600,l21600,xe">
              <v:stroke joinstyle="miter"/>
              <v:path gradientshapeok="t" o:connecttype="rect"/>
            </v:shapetype>
            <v:shape id="Textbox 380" o:spid="_x0000_s1290" type="#_x0000_t202" style="position:absolute;margin-left:502.5pt;margin-top:742.6pt;width:38.55pt;height:12.1pt;z-index:-378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BUASWt&#10;mgEAACIDAAAOAAAAAAAAAAAAAAAAAC4CAABkcnMvZTJvRG9jLnhtbFBLAQItABQABgAIAAAAIQB5&#10;mnFg4gAAAA8BAAAPAAAAAAAAAAAAAAAAAPQDAABkcnMvZG93bnJldi54bWxQSwUGAAAAAAQABADz&#10;AAAAAwUAAAAA&#10;" filled="f" stroked="f">
              <v:textbox inset="0,0,0,0">
                <w:txbxContent>
                  <w:p w14:paraId="21D888F8"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DE11" w14:textId="77777777" w:rsidR="00C31389" w:rsidRDefault="00561FBD">
    <w:pPr>
      <w:pStyle w:val="BodyText"/>
      <w:spacing w:line="14" w:lineRule="auto"/>
      <w:rPr>
        <w:sz w:val="20"/>
      </w:rPr>
    </w:pPr>
    <w:r>
      <w:rPr>
        <w:noProof/>
      </w:rPr>
      <mc:AlternateContent>
        <mc:Choice Requires="wps">
          <w:drawing>
            <wp:anchor distT="0" distB="0" distL="0" distR="0" simplePos="0" relativeHeight="465490944" behindDoc="1" locked="0" layoutInCell="1" allowOverlap="1" wp14:anchorId="6A5BA52E" wp14:editId="58DCCECB">
              <wp:simplePos x="0" y="0"/>
              <wp:positionH relativeFrom="page">
                <wp:posOffset>914400</wp:posOffset>
              </wp:positionH>
              <wp:positionV relativeFrom="page">
                <wp:posOffset>9336798</wp:posOffset>
              </wp:positionV>
              <wp:extent cx="5943600" cy="1270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275FDF3" id="Graphic 386" o:spid="_x0000_s1026" style="position:absolute;margin-left:1in;margin-top:735.2pt;width:468pt;height:1pt;z-index:-3782553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91456" behindDoc="1" locked="0" layoutInCell="1" allowOverlap="1" wp14:anchorId="29F62FF8" wp14:editId="649AF7FC">
              <wp:simplePos x="0" y="0"/>
              <wp:positionH relativeFrom="page">
                <wp:posOffset>6382003</wp:posOffset>
              </wp:positionH>
              <wp:positionV relativeFrom="page">
                <wp:posOffset>9430925</wp:posOffset>
              </wp:positionV>
              <wp:extent cx="489584" cy="15367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481A99EF"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v:shapetype w14:anchorId="29F62FF8" id="_x0000_t202" coordsize="21600,21600" o:spt="202" path="m,l,21600r21600,l21600,xe">
              <v:stroke joinstyle="miter"/>
              <v:path gradientshapeok="t" o:connecttype="rect"/>
            </v:shapetype>
            <v:shape id="Textbox 387" o:spid="_x0000_s1293" type="#_x0000_t202" style="position:absolute;margin-left:502.5pt;margin-top:742.6pt;width:38.55pt;height:12.1pt;z-index:-378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CdadA/&#10;mgEAACIDAAAOAAAAAAAAAAAAAAAAAC4CAABkcnMvZTJvRG9jLnhtbFBLAQItABQABgAIAAAAIQB5&#10;mnFg4gAAAA8BAAAPAAAAAAAAAAAAAAAAAPQDAABkcnMvZG93bnJldi54bWxQSwUGAAAAAAQABADz&#10;AAAAAwUAAAAA&#10;" filled="f" stroked="f">
              <v:textbox inset="0,0,0,0">
                <w:txbxContent>
                  <w:p w14:paraId="481A99EF"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6F6F" w14:textId="77777777" w:rsidR="00C31389" w:rsidRDefault="00561FBD">
    <w:pPr>
      <w:pStyle w:val="BodyText"/>
      <w:spacing w:line="14" w:lineRule="auto"/>
      <w:rPr>
        <w:sz w:val="20"/>
      </w:rPr>
    </w:pPr>
    <w:r>
      <w:rPr>
        <w:noProof/>
      </w:rPr>
      <mc:AlternateContent>
        <mc:Choice Requires="wps">
          <w:drawing>
            <wp:anchor distT="0" distB="0" distL="0" distR="0" simplePos="0" relativeHeight="465493504" behindDoc="1" locked="0" layoutInCell="1" allowOverlap="1" wp14:anchorId="1CF2D6C6" wp14:editId="2B261E3B">
              <wp:simplePos x="0" y="0"/>
              <wp:positionH relativeFrom="page">
                <wp:posOffset>914400</wp:posOffset>
              </wp:positionH>
              <wp:positionV relativeFrom="page">
                <wp:posOffset>9336798</wp:posOffset>
              </wp:positionV>
              <wp:extent cx="5943600" cy="1270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B286B79" id="Graphic 402" o:spid="_x0000_s1026" style="position:absolute;margin-left:1in;margin-top:735.2pt;width:468pt;height:1pt;z-index:-3782297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94016" behindDoc="1" locked="0" layoutInCell="1" allowOverlap="1" wp14:anchorId="70628F07" wp14:editId="1015F855">
              <wp:simplePos x="0" y="0"/>
              <wp:positionH relativeFrom="page">
                <wp:posOffset>6382003</wp:posOffset>
              </wp:positionH>
              <wp:positionV relativeFrom="page">
                <wp:posOffset>9430925</wp:posOffset>
              </wp:positionV>
              <wp:extent cx="489584" cy="15367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25E883BA"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70</w:t>
                          </w:r>
                          <w:r>
                            <w:rPr>
                              <w:spacing w:val="-5"/>
                              <w:sz w:val="18"/>
                            </w:rPr>
                            <w:fldChar w:fldCharType="end"/>
                          </w:r>
                        </w:p>
                      </w:txbxContent>
                    </wps:txbx>
                    <wps:bodyPr wrap="square" lIns="0" tIns="0" rIns="0" bIns="0" rtlCol="0">
                      <a:noAutofit/>
                    </wps:bodyPr>
                  </wps:wsp>
                </a:graphicData>
              </a:graphic>
            </wp:anchor>
          </w:drawing>
        </mc:Choice>
        <mc:Fallback>
          <w:pict>
            <v:shapetype w14:anchorId="70628F07" id="_x0000_t202" coordsize="21600,21600" o:spt="202" path="m,l,21600r21600,l21600,xe">
              <v:stroke joinstyle="miter"/>
              <v:path gradientshapeok="t" o:connecttype="rect"/>
            </v:shapetype>
            <v:shape id="Textbox 403" o:spid="_x0000_s1296" type="#_x0000_t202" style="position:absolute;margin-left:502.5pt;margin-top:742.6pt;width:38.55pt;height:12.1pt;z-index:-378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AH2IVs&#10;mgEAACIDAAAOAAAAAAAAAAAAAAAAAC4CAABkcnMvZTJvRG9jLnhtbFBLAQItABQABgAIAAAAIQB5&#10;mnFg4gAAAA8BAAAPAAAAAAAAAAAAAAAAAPQDAABkcnMvZG93bnJldi54bWxQSwUGAAAAAAQABADz&#10;AAAAAwUAAAAA&#10;" filled="f" stroked="f">
              <v:textbox inset="0,0,0,0">
                <w:txbxContent>
                  <w:p w14:paraId="25E883BA"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70</w:t>
                    </w:r>
                    <w:r>
                      <w:rPr>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644F" w14:textId="77777777" w:rsidR="00C31389" w:rsidRDefault="00561FBD">
    <w:pPr>
      <w:pStyle w:val="BodyText"/>
      <w:spacing w:line="14" w:lineRule="auto"/>
      <w:rPr>
        <w:sz w:val="20"/>
      </w:rPr>
    </w:pPr>
    <w:r>
      <w:rPr>
        <w:noProof/>
      </w:rPr>
      <mc:AlternateContent>
        <mc:Choice Requires="wps">
          <w:drawing>
            <wp:anchor distT="0" distB="0" distL="0" distR="0" simplePos="0" relativeHeight="465496576" behindDoc="1" locked="0" layoutInCell="1" allowOverlap="1" wp14:anchorId="0E2A89E0" wp14:editId="10F81192">
              <wp:simplePos x="0" y="0"/>
              <wp:positionH relativeFrom="page">
                <wp:posOffset>914400</wp:posOffset>
              </wp:positionH>
              <wp:positionV relativeFrom="page">
                <wp:posOffset>9336798</wp:posOffset>
              </wp:positionV>
              <wp:extent cx="5943600" cy="1270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121FD22" id="Graphic 411" o:spid="_x0000_s1026" style="position:absolute;margin-left:1in;margin-top:735.2pt;width:468pt;height:1pt;z-index:-3781990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97088" behindDoc="1" locked="0" layoutInCell="1" allowOverlap="1" wp14:anchorId="17C6D48D" wp14:editId="41D4D5C7">
              <wp:simplePos x="0" y="0"/>
              <wp:positionH relativeFrom="page">
                <wp:posOffset>6382003</wp:posOffset>
              </wp:positionH>
              <wp:positionV relativeFrom="page">
                <wp:posOffset>9430925</wp:posOffset>
              </wp:positionV>
              <wp:extent cx="489584" cy="15367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46A3C2BC"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71</w:t>
                          </w:r>
                          <w:r>
                            <w:rPr>
                              <w:spacing w:val="-5"/>
                              <w:sz w:val="18"/>
                            </w:rPr>
                            <w:fldChar w:fldCharType="end"/>
                          </w:r>
                        </w:p>
                      </w:txbxContent>
                    </wps:txbx>
                    <wps:bodyPr wrap="square" lIns="0" tIns="0" rIns="0" bIns="0" rtlCol="0">
                      <a:noAutofit/>
                    </wps:bodyPr>
                  </wps:wsp>
                </a:graphicData>
              </a:graphic>
            </wp:anchor>
          </w:drawing>
        </mc:Choice>
        <mc:Fallback>
          <w:pict>
            <v:shapetype w14:anchorId="17C6D48D" id="_x0000_t202" coordsize="21600,21600" o:spt="202" path="m,l,21600r21600,l21600,xe">
              <v:stroke joinstyle="miter"/>
              <v:path gradientshapeok="t" o:connecttype="rect"/>
            </v:shapetype>
            <v:shape id="Textbox 412" o:spid="_x0000_s1299" type="#_x0000_t202" style="position:absolute;margin-left:502.5pt;margin-top:742.6pt;width:38.55pt;height:12.1pt;z-index:-378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DOsHD+&#10;mgEAACIDAAAOAAAAAAAAAAAAAAAAAC4CAABkcnMvZTJvRG9jLnhtbFBLAQItABQABgAIAAAAIQB5&#10;mnFg4gAAAA8BAAAPAAAAAAAAAAAAAAAAAPQDAABkcnMvZG93bnJldi54bWxQSwUGAAAAAAQABADz&#10;AAAAAwUAAAAA&#10;" filled="f" stroked="f">
              <v:textbox inset="0,0,0,0">
                <w:txbxContent>
                  <w:p w14:paraId="46A3C2BC"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71</w:t>
                    </w:r>
                    <w:r>
                      <w:rPr>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A897" w14:textId="77777777" w:rsidR="00C31389" w:rsidRDefault="00561FBD">
    <w:pPr>
      <w:pStyle w:val="BodyText"/>
      <w:spacing w:line="14" w:lineRule="auto"/>
      <w:rPr>
        <w:sz w:val="20"/>
      </w:rPr>
    </w:pPr>
    <w:r>
      <w:rPr>
        <w:noProof/>
      </w:rPr>
      <mc:AlternateContent>
        <mc:Choice Requires="wps">
          <w:drawing>
            <wp:anchor distT="0" distB="0" distL="0" distR="0" simplePos="0" relativeHeight="465499136" behindDoc="1" locked="0" layoutInCell="1" allowOverlap="1" wp14:anchorId="0461D918" wp14:editId="38D212E3">
              <wp:simplePos x="0" y="0"/>
              <wp:positionH relativeFrom="page">
                <wp:posOffset>914400</wp:posOffset>
              </wp:positionH>
              <wp:positionV relativeFrom="page">
                <wp:posOffset>9336798</wp:posOffset>
              </wp:positionV>
              <wp:extent cx="5943600" cy="127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008A7B7" id="Graphic 418" o:spid="_x0000_s1026" style="position:absolute;margin-left:1in;margin-top:735.2pt;width:468pt;height:1pt;z-index:-3781734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99648" behindDoc="1" locked="0" layoutInCell="1" allowOverlap="1" wp14:anchorId="6E2B5C87" wp14:editId="1089A24E">
              <wp:simplePos x="0" y="0"/>
              <wp:positionH relativeFrom="page">
                <wp:posOffset>6382003</wp:posOffset>
              </wp:positionH>
              <wp:positionV relativeFrom="page">
                <wp:posOffset>9430925</wp:posOffset>
              </wp:positionV>
              <wp:extent cx="489584" cy="15367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18B548B6"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74</w:t>
                          </w:r>
                          <w:r>
                            <w:rPr>
                              <w:spacing w:val="-5"/>
                              <w:sz w:val="18"/>
                            </w:rPr>
                            <w:fldChar w:fldCharType="end"/>
                          </w:r>
                        </w:p>
                      </w:txbxContent>
                    </wps:txbx>
                    <wps:bodyPr wrap="square" lIns="0" tIns="0" rIns="0" bIns="0" rtlCol="0">
                      <a:noAutofit/>
                    </wps:bodyPr>
                  </wps:wsp>
                </a:graphicData>
              </a:graphic>
            </wp:anchor>
          </w:drawing>
        </mc:Choice>
        <mc:Fallback>
          <w:pict>
            <v:shapetype w14:anchorId="6E2B5C87" id="_x0000_t202" coordsize="21600,21600" o:spt="202" path="m,l,21600r21600,l21600,xe">
              <v:stroke joinstyle="miter"/>
              <v:path gradientshapeok="t" o:connecttype="rect"/>
            </v:shapetype>
            <v:shape id="Textbox 419" o:spid="_x0000_s1302" type="#_x0000_t202" style="position:absolute;margin-left:502.5pt;margin-top:742.6pt;width:38.55pt;height:12.1pt;z-index:-378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" filled="f" stroked="f">
              <v:textbox inset="0,0,0,0">
                <w:txbxContent>
                  <w:p w14:paraId="18B548B6"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74</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5526" w14:textId="77777777" w:rsidR="00C31389" w:rsidRDefault="00561FBD">
    <w:pPr>
      <w:pStyle w:val="BodyText"/>
      <w:spacing w:line="14" w:lineRule="auto"/>
      <w:rPr>
        <w:sz w:val="20"/>
      </w:rPr>
    </w:pPr>
    <w:r>
      <w:rPr>
        <w:noProof/>
      </w:rPr>
      <mc:AlternateContent>
        <mc:Choice Requires="wps">
          <w:drawing>
            <wp:anchor distT="0" distB="0" distL="0" distR="0" simplePos="0" relativeHeight="465424896" behindDoc="1" locked="0" layoutInCell="1" allowOverlap="1" wp14:anchorId="4D793C86" wp14:editId="3F13BA85">
              <wp:simplePos x="0" y="0"/>
              <wp:positionH relativeFrom="page">
                <wp:posOffset>914400</wp:posOffset>
              </wp:positionH>
              <wp:positionV relativeFrom="page">
                <wp:posOffset>9336798</wp:posOffset>
              </wp:positionV>
              <wp:extent cx="5943600" cy="127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E2AF4E8" id="Graphic 30" o:spid="_x0000_s1026" style="position:absolute;margin-left:1in;margin-top:735.2pt;width:468pt;height:1pt;z-index:-3789158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25408" behindDoc="1" locked="0" layoutInCell="1" allowOverlap="1" wp14:anchorId="72E751FC" wp14:editId="2F41304D">
              <wp:simplePos x="0" y="0"/>
              <wp:positionH relativeFrom="page">
                <wp:posOffset>6426961</wp:posOffset>
              </wp:positionH>
              <wp:positionV relativeFrom="page">
                <wp:posOffset>9430925</wp:posOffset>
              </wp:positionV>
              <wp:extent cx="444500" cy="1536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53670"/>
                      </a:xfrm>
                      <a:prstGeom prst="rect">
                        <a:avLst/>
                      </a:prstGeom>
                    </wps:spPr>
                    <wps:txbx>
                      <w:txbxContent>
                        <w:p w14:paraId="31311644"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 roman </w:instrText>
                          </w:r>
                          <w:r>
                            <w:rPr>
                              <w:spacing w:val="-5"/>
                              <w:sz w:val="18"/>
                            </w:rPr>
                            <w:fldChar w:fldCharType="separate"/>
                          </w:r>
                          <w:r>
                            <w:rPr>
                              <w:spacing w:val="-5"/>
                              <w:sz w:val="18"/>
                            </w:rPr>
                            <w:t>xi</w:t>
                          </w:r>
                          <w:r>
                            <w:rPr>
                              <w:spacing w:val="-5"/>
                              <w:sz w:val="18"/>
                            </w:rPr>
                            <w:fldChar w:fldCharType="end"/>
                          </w:r>
                        </w:p>
                      </w:txbxContent>
                    </wps:txbx>
                    <wps:bodyPr wrap="square" lIns="0" tIns="0" rIns="0" bIns="0" rtlCol="0">
                      <a:noAutofit/>
                    </wps:bodyPr>
                  </wps:wsp>
                </a:graphicData>
              </a:graphic>
            </wp:anchor>
          </w:drawing>
        </mc:Choice>
        <mc:Fallback>
          <w:pict>
            <v:shapetype w14:anchorId="72E751FC" id="_x0000_t202" coordsize="21600,21600" o:spt="202" path="m,l,21600r21600,l21600,xe">
              <v:stroke joinstyle="miter"/>
              <v:path gradientshapeok="t" o:connecttype="rect"/>
            </v:shapetype>
            <v:shape id="Textbox 31" o:spid="_x0000_s1224" type="#_x0000_t202" style="position:absolute;margin-left:506.05pt;margin-top:742.6pt;width:35pt;height:12.1pt;z-index:-3789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" filled="f" stroked="f">
              <v:textbox inset="0,0,0,0">
                <w:txbxContent>
                  <w:p w14:paraId="31311644"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 roman </w:instrText>
                    </w:r>
                    <w:r>
                      <w:rPr>
                        <w:spacing w:val="-5"/>
                        <w:sz w:val="18"/>
                      </w:rPr>
                      <w:fldChar w:fldCharType="separate"/>
                    </w:r>
                    <w:r>
                      <w:rPr>
                        <w:spacing w:val="-5"/>
                        <w:sz w:val="18"/>
                      </w:rPr>
                      <w:t>xi</w:t>
                    </w:r>
                    <w:r>
                      <w:rPr>
                        <w:spacing w:val="-5"/>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8FD7" w14:textId="77777777" w:rsidR="00C31389" w:rsidRDefault="00561FBD">
    <w:pPr>
      <w:pStyle w:val="BodyText"/>
      <w:spacing w:line="14" w:lineRule="auto"/>
      <w:rPr>
        <w:sz w:val="20"/>
      </w:rPr>
    </w:pPr>
    <w:r>
      <w:rPr>
        <w:noProof/>
      </w:rPr>
      <mc:AlternateContent>
        <mc:Choice Requires="wps">
          <w:drawing>
            <wp:anchor distT="0" distB="0" distL="0" distR="0" simplePos="0" relativeHeight="465501696" behindDoc="1" locked="0" layoutInCell="1" allowOverlap="1" wp14:anchorId="076181CF" wp14:editId="42BD8950">
              <wp:simplePos x="0" y="0"/>
              <wp:positionH relativeFrom="page">
                <wp:posOffset>808482</wp:posOffset>
              </wp:positionH>
              <wp:positionV relativeFrom="page">
                <wp:posOffset>9970007</wp:posOffset>
              </wp:positionV>
              <wp:extent cx="5943600" cy="1270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6860BCA" id="Graphic 430" o:spid="_x0000_s1026" style="position:absolute;margin-left:63.65pt;margin-top:785.05pt;width:468pt;height:1pt;z-index:-3781478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02208" behindDoc="1" locked="0" layoutInCell="1" allowOverlap="1" wp14:anchorId="7C4994DB" wp14:editId="2DE08ABF">
              <wp:simplePos x="0" y="0"/>
              <wp:positionH relativeFrom="page">
                <wp:posOffset>6276085</wp:posOffset>
              </wp:positionH>
              <wp:positionV relativeFrom="page">
                <wp:posOffset>10064908</wp:posOffset>
              </wp:positionV>
              <wp:extent cx="489584" cy="15367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755B9D2A"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76</w:t>
                          </w:r>
                          <w:r>
                            <w:rPr>
                              <w:spacing w:val="-5"/>
                              <w:sz w:val="18"/>
                            </w:rPr>
                            <w:fldChar w:fldCharType="end"/>
                          </w:r>
                        </w:p>
                      </w:txbxContent>
                    </wps:txbx>
                    <wps:bodyPr wrap="square" lIns="0" tIns="0" rIns="0" bIns="0" rtlCol="0">
                      <a:noAutofit/>
                    </wps:bodyPr>
                  </wps:wsp>
                </a:graphicData>
              </a:graphic>
            </wp:anchor>
          </w:drawing>
        </mc:Choice>
        <mc:Fallback>
          <w:pict>
            <v:shapetype w14:anchorId="7C4994DB" id="_x0000_t202" coordsize="21600,21600" o:spt="202" path="m,l,21600r21600,l21600,xe">
              <v:stroke joinstyle="miter"/>
              <v:path gradientshapeok="t" o:connecttype="rect"/>
            </v:shapetype>
            <v:shape id="Textbox 431" o:spid="_x0000_s1305" type="#_x0000_t202" style="position:absolute;margin-left:494.2pt;margin-top:792.5pt;width:38.55pt;height:12.1pt;z-index:-378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" filled="f" stroked="f">
              <v:textbox inset="0,0,0,0">
                <w:txbxContent>
                  <w:p w14:paraId="755B9D2A"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76</w:t>
                    </w:r>
                    <w:r>
                      <w:rPr>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DF62" w14:textId="77777777" w:rsidR="00C31389" w:rsidRDefault="00561FBD">
    <w:pPr>
      <w:pStyle w:val="BodyText"/>
      <w:spacing w:line="14" w:lineRule="auto"/>
      <w:rPr>
        <w:sz w:val="20"/>
      </w:rPr>
    </w:pPr>
    <w:r>
      <w:rPr>
        <w:noProof/>
      </w:rPr>
      <mc:AlternateContent>
        <mc:Choice Requires="wps">
          <w:drawing>
            <wp:anchor distT="0" distB="0" distL="0" distR="0" simplePos="0" relativeHeight="465504768" behindDoc="1" locked="0" layoutInCell="1" allowOverlap="1" wp14:anchorId="5FAAA6EF" wp14:editId="30D31523">
              <wp:simplePos x="0" y="0"/>
              <wp:positionH relativeFrom="page">
                <wp:posOffset>808482</wp:posOffset>
              </wp:positionH>
              <wp:positionV relativeFrom="page">
                <wp:posOffset>9970007</wp:posOffset>
              </wp:positionV>
              <wp:extent cx="5943600" cy="12700"/>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D542E8D" id="Graphic 450" o:spid="_x0000_s1026" style="position:absolute;margin-left:63.65pt;margin-top:785.05pt;width:468pt;height:1pt;z-index:-3781171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05280" behindDoc="1" locked="0" layoutInCell="1" allowOverlap="1" wp14:anchorId="2CDEB24A" wp14:editId="766A7ACD">
              <wp:simplePos x="0" y="0"/>
              <wp:positionH relativeFrom="page">
                <wp:posOffset>6276085</wp:posOffset>
              </wp:positionH>
              <wp:positionV relativeFrom="page">
                <wp:posOffset>10064908</wp:posOffset>
              </wp:positionV>
              <wp:extent cx="489584" cy="15367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7EF7DFBE"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79</w:t>
                          </w:r>
                          <w:r>
                            <w:rPr>
                              <w:spacing w:val="-5"/>
                              <w:sz w:val="18"/>
                            </w:rPr>
                            <w:fldChar w:fldCharType="end"/>
                          </w:r>
                        </w:p>
                      </w:txbxContent>
                    </wps:txbx>
                    <wps:bodyPr wrap="square" lIns="0" tIns="0" rIns="0" bIns="0" rtlCol="0">
                      <a:noAutofit/>
                    </wps:bodyPr>
                  </wps:wsp>
                </a:graphicData>
              </a:graphic>
            </wp:anchor>
          </w:drawing>
        </mc:Choice>
        <mc:Fallback>
          <w:pict>
            <v:shapetype w14:anchorId="2CDEB24A" id="_x0000_t202" coordsize="21600,21600" o:spt="202" path="m,l,21600r21600,l21600,xe">
              <v:stroke joinstyle="miter"/>
              <v:path gradientshapeok="t" o:connecttype="rect"/>
            </v:shapetype>
            <v:shape id="Textbox 451" o:spid="_x0000_s1308" type="#_x0000_t202" style="position:absolute;margin-left:494.2pt;margin-top:792.5pt;width:38.55pt;height:12.1pt;z-index:-378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" filled="f" stroked="f">
              <v:textbox inset="0,0,0,0">
                <w:txbxContent>
                  <w:p w14:paraId="7EF7DFBE"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79</w:t>
                    </w:r>
                    <w:r>
                      <w:rPr>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5938" w14:textId="77777777" w:rsidR="00C31389" w:rsidRDefault="00561FBD">
    <w:pPr>
      <w:pStyle w:val="BodyText"/>
      <w:spacing w:line="14" w:lineRule="auto"/>
      <w:rPr>
        <w:sz w:val="20"/>
      </w:rPr>
    </w:pPr>
    <w:r>
      <w:rPr>
        <w:noProof/>
      </w:rPr>
      <mc:AlternateContent>
        <mc:Choice Requires="wps">
          <w:drawing>
            <wp:anchor distT="0" distB="0" distL="0" distR="0" simplePos="0" relativeHeight="465507328" behindDoc="1" locked="0" layoutInCell="1" allowOverlap="1" wp14:anchorId="12790BB6" wp14:editId="48C307CE">
              <wp:simplePos x="0" y="0"/>
              <wp:positionH relativeFrom="page">
                <wp:posOffset>808482</wp:posOffset>
              </wp:positionH>
              <wp:positionV relativeFrom="page">
                <wp:posOffset>9970007</wp:posOffset>
              </wp:positionV>
              <wp:extent cx="5943600" cy="1270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040F7F4" id="Graphic 456" o:spid="_x0000_s1026" style="position:absolute;margin-left:63.65pt;margin-top:785.05pt;width:468pt;height:1pt;z-index:-3780915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07840" behindDoc="1" locked="0" layoutInCell="1" allowOverlap="1" wp14:anchorId="7D0F36A2" wp14:editId="4BAFEC06">
              <wp:simplePos x="0" y="0"/>
              <wp:positionH relativeFrom="page">
                <wp:posOffset>6276085</wp:posOffset>
              </wp:positionH>
              <wp:positionV relativeFrom="page">
                <wp:posOffset>10064908</wp:posOffset>
              </wp:positionV>
              <wp:extent cx="489584" cy="15367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35C1CC7F"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81</w:t>
                          </w:r>
                          <w:r>
                            <w:rPr>
                              <w:spacing w:val="-5"/>
                              <w:sz w:val="18"/>
                            </w:rPr>
                            <w:fldChar w:fldCharType="end"/>
                          </w:r>
                        </w:p>
                      </w:txbxContent>
                    </wps:txbx>
                    <wps:bodyPr wrap="square" lIns="0" tIns="0" rIns="0" bIns="0" rtlCol="0">
                      <a:noAutofit/>
                    </wps:bodyPr>
                  </wps:wsp>
                </a:graphicData>
              </a:graphic>
            </wp:anchor>
          </w:drawing>
        </mc:Choice>
        <mc:Fallback>
          <w:pict>
            <v:shapetype w14:anchorId="7D0F36A2" id="_x0000_t202" coordsize="21600,21600" o:spt="202" path="m,l,21600r21600,l21600,xe">
              <v:stroke joinstyle="miter"/>
              <v:path gradientshapeok="t" o:connecttype="rect"/>
            </v:shapetype>
            <v:shape id="Textbox 457" o:spid="_x0000_s1311" type="#_x0000_t202" style="position:absolute;margin-left:494.2pt;margin-top:792.5pt;width:38.55pt;height:12.1pt;z-index:-378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" filled="f" stroked="f">
              <v:textbox inset="0,0,0,0">
                <w:txbxContent>
                  <w:p w14:paraId="35C1CC7F"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81</w:t>
                    </w:r>
                    <w:r>
                      <w:rPr>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BDA3" w14:textId="77777777" w:rsidR="00C31389" w:rsidRDefault="00561FBD">
    <w:pPr>
      <w:pStyle w:val="BodyText"/>
      <w:spacing w:line="14" w:lineRule="auto"/>
      <w:rPr>
        <w:sz w:val="20"/>
      </w:rPr>
    </w:pPr>
    <w:r>
      <w:rPr>
        <w:noProof/>
      </w:rPr>
      <mc:AlternateContent>
        <mc:Choice Requires="wps">
          <w:drawing>
            <wp:anchor distT="0" distB="0" distL="0" distR="0" simplePos="0" relativeHeight="465510400" behindDoc="1" locked="0" layoutInCell="1" allowOverlap="1" wp14:anchorId="59F4C4B9" wp14:editId="1E2BDD27">
              <wp:simplePos x="0" y="0"/>
              <wp:positionH relativeFrom="page">
                <wp:posOffset>808482</wp:posOffset>
              </wp:positionH>
              <wp:positionV relativeFrom="page">
                <wp:posOffset>9970007</wp:posOffset>
              </wp:positionV>
              <wp:extent cx="5943600" cy="1270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F217E67" id="Graphic 465" o:spid="_x0000_s1026" style="position:absolute;margin-left:63.65pt;margin-top:785.05pt;width:468pt;height:1pt;z-index:-3780608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10912" behindDoc="1" locked="0" layoutInCell="1" allowOverlap="1" wp14:anchorId="13CFE2E2" wp14:editId="293FB70B">
              <wp:simplePos x="0" y="0"/>
              <wp:positionH relativeFrom="page">
                <wp:posOffset>6276085</wp:posOffset>
              </wp:positionH>
              <wp:positionV relativeFrom="page">
                <wp:posOffset>10064908</wp:posOffset>
              </wp:positionV>
              <wp:extent cx="489584" cy="15367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1F1C9984"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82</w:t>
                          </w:r>
                          <w:r>
                            <w:rPr>
                              <w:spacing w:val="-5"/>
                              <w:sz w:val="18"/>
                            </w:rPr>
                            <w:fldChar w:fldCharType="end"/>
                          </w:r>
                        </w:p>
                      </w:txbxContent>
                    </wps:txbx>
                    <wps:bodyPr wrap="square" lIns="0" tIns="0" rIns="0" bIns="0" rtlCol="0">
                      <a:noAutofit/>
                    </wps:bodyPr>
                  </wps:wsp>
                </a:graphicData>
              </a:graphic>
            </wp:anchor>
          </w:drawing>
        </mc:Choice>
        <mc:Fallback>
          <w:pict>
            <v:shapetype w14:anchorId="13CFE2E2" id="_x0000_t202" coordsize="21600,21600" o:spt="202" path="m,l,21600r21600,l21600,xe">
              <v:stroke joinstyle="miter"/>
              <v:path gradientshapeok="t" o:connecttype="rect"/>
            </v:shapetype>
            <v:shape id="Textbox 466" o:spid="_x0000_s1314" type="#_x0000_t202" style="position:absolute;margin-left:494.2pt;margin-top:792.5pt;width:38.55pt;height:12.1pt;z-index:-378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" filled="f" stroked="f">
              <v:textbox inset="0,0,0,0">
                <w:txbxContent>
                  <w:p w14:paraId="1F1C9984"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82</w:t>
                    </w:r>
                    <w:r>
                      <w:rPr>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2A7D" w14:textId="77777777" w:rsidR="00C31389" w:rsidRDefault="00561FBD">
    <w:pPr>
      <w:pStyle w:val="BodyText"/>
      <w:spacing w:line="14" w:lineRule="auto"/>
      <w:rPr>
        <w:sz w:val="20"/>
      </w:rPr>
    </w:pPr>
    <w:r>
      <w:rPr>
        <w:noProof/>
      </w:rPr>
      <mc:AlternateContent>
        <mc:Choice Requires="wps">
          <w:drawing>
            <wp:anchor distT="0" distB="0" distL="0" distR="0" simplePos="0" relativeHeight="465512960" behindDoc="1" locked="0" layoutInCell="1" allowOverlap="1" wp14:anchorId="3C7D25A7" wp14:editId="281A4D76">
              <wp:simplePos x="0" y="0"/>
              <wp:positionH relativeFrom="page">
                <wp:posOffset>808482</wp:posOffset>
              </wp:positionH>
              <wp:positionV relativeFrom="page">
                <wp:posOffset>9970007</wp:posOffset>
              </wp:positionV>
              <wp:extent cx="5943600" cy="1270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31F8290" id="Graphic 475" o:spid="_x0000_s1026" style="position:absolute;margin-left:63.65pt;margin-top:785.05pt;width:468pt;height:1pt;z-index:-3780352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13472" behindDoc="1" locked="0" layoutInCell="1" allowOverlap="1" wp14:anchorId="141A80E3" wp14:editId="57CF2FD9">
              <wp:simplePos x="0" y="0"/>
              <wp:positionH relativeFrom="page">
                <wp:posOffset>6276085</wp:posOffset>
              </wp:positionH>
              <wp:positionV relativeFrom="page">
                <wp:posOffset>10064908</wp:posOffset>
              </wp:positionV>
              <wp:extent cx="489584" cy="15367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716AC60D"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85</w:t>
                          </w:r>
                          <w:r>
                            <w:rPr>
                              <w:spacing w:val="-5"/>
                              <w:sz w:val="18"/>
                            </w:rPr>
                            <w:fldChar w:fldCharType="end"/>
                          </w:r>
                        </w:p>
                      </w:txbxContent>
                    </wps:txbx>
                    <wps:bodyPr wrap="square" lIns="0" tIns="0" rIns="0" bIns="0" rtlCol="0">
                      <a:noAutofit/>
                    </wps:bodyPr>
                  </wps:wsp>
                </a:graphicData>
              </a:graphic>
            </wp:anchor>
          </w:drawing>
        </mc:Choice>
        <mc:Fallback>
          <w:pict>
            <v:shapetype w14:anchorId="141A80E3" id="_x0000_t202" coordsize="21600,21600" o:spt="202" path="m,l,21600r21600,l21600,xe">
              <v:stroke joinstyle="miter"/>
              <v:path gradientshapeok="t" o:connecttype="rect"/>
            </v:shapetype>
            <v:shape id="Textbox 476" o:spid="_x0000_s1317" type="#_x0000_t202" style="position:absolute;margin-left:494.2pt;margin-top:792.5pt;width:38.55pt;height:12.1pt;z-index:-378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" filled="f" stroked="f">
              <v:textbox inset="0,0,0,0">
                <w:txbxContent>
                  <w:p w14:paraId="716AC60D"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85</w:t>
                    </w:r>
                    <w:r>
                      <w:rPr>
                        <w:spacing w:val="-5"/>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0FCF" w14:textId="77777777" w:rsidR="00C31389" w:rsidRDefault="00561FBD">
    <w:pPr>
      <w:pStyle w:val="BodyText"/>
      <w:spacing w:line="14" w:lineRule="auto"/>
      <w:rPr>
        <w:sz w:val="20"/>
      </w:rPr>
    </w:pPr>
    <w:r>
      <w:rPr>
        <w:noProof/>
      </w:rPr>
      <mc:AlternateContent>
        <mc:Choice Requires="wps">
          <w:drawing>
            <wp:anchor distT="0" distB="0" distL="0" distR="0" simplePos="0" relativeHeight="465516032" behindDoc="1" locked="0" layoutInCell="1" allowOverlap="1" wp14:anchorId="07896DCC" wp14:editId="3E45D691">
              <wp:simplePos x="0" y="0"/>
              <wp:positionH relativeFrom="page">
                <wp:posOffset>808482</wp:posOffset>
              </wp:positionH>
              <wp:positionV relativeFrom="page">
                <wp:posOffset>9970007</wp:posOffset>
              </wp:positionV>
              <wp:extent cx="5943600" cy="1270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7362D22" id="Graphic 485" o:spid="_x0000_s1026" style="position:absolute;margin-left:63.65pt;margin-top:785.05pt;width:468pt;height:1pt;z-index:-3780044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16544" behindDoc="1" locked="0" layoutInCell="1" allowOverlap="1" wp14:anchorId="18456001" wp14:editId="3880CC59">
              <wp:simplePos x="0" y="0"/>
              <wp:positionH relativeFrom="page">
                <wp:posOffset>6276085</wp:posOffset>
              </wp:positionH>
              <wp:positionV relativeFrom="page">
                <wp:posOffset>10064908</wp:posOffset>
              </wp:positionV>
              <wp:extent cx="489584" cy="15367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76C8565B"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86</w:t>
                          </w:r>
                          <w:r>
                            <w:rPr>
                              <w:spacing w:val="-5"/>
                              <w:sz w:val="18"/>
                            </w:rPr>
                            <w:fldChar w:fldCharType="end"/>
                          </w:r>
                        </w:p>
                      </w:txbxContent>
                    </wps:txbx>
                    <wps:bodyPr wrap="square" lIns="0" tIns="0" rIns="0" bIns="0" rtlCol="0">
                      <a:noAutofit/>
                    </wps:bodyPr>
                  </wps:wsp>
                </a:graphicData>
              </a:graphic>
            </wp:anchor>
          </w:drawing>
        </mc:Choice>
        <mc:Fallback>
          <w:pict>
            <v:shapetype w14:anchorId="18456001" id="_x0000_t202" coordsize="21600,21600" o:spt="202" path="m,l,21600r21600,l21600,xe">
              <v:stroke joinstyle="miter"/>
              <v:path gradientshapeok="t" o:connecttype="rect"/>
            </v:shapetype>
            <v:shape id="Textbox 486" o:spid="_x0000_s1320" type="#_x0000_t202" style="position:absolute;margin-left:494.2pt;margin-top:792.5pt;width:38.55pt;height:12.1pt;z-index:-377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" filled="f" stroked="f">
              <v:textbox inset="0,0,0,0">
                <w:txbxContent>
                  <w:p w14:paraId="76C8565B"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86</w:t>
                    </w:r>
                    <w:r>
                      <w:rPr>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133A" w14:textId="77777777" w:rsidR="00C31389" w:rsidRDefault="00561FBD">
    <w:pPr>
      <w:pStyle w:val="BodyText"/>
      <w:spacing w:line="14" w:lineRule="auto"/>
      <w:rPr>
        <w:sz w:val="20"/>
      </w:rPr>
    </w:pPr>
    <w:r>
      <w:rPr>
        <w:noProof/>
      </w:rPr>
      <mc:AlternateContent>
        <mc:Choice Requires="wps">
          <w:drawing>
            <wp:anchor distT="0" distB="0" distL="0" distR="0" simplePos="0" relativeHeight="465518592" behindDoc="1" locked="0" layoutInCell="1" allowOverlap="1" wp14:anchorId="6E0B574A" wp14:editId="4420AC04">
              <wp:simplePos x="0" y="0"/>
              <wp:positionH relativeFrom="page">
                <wp:posOffset>808482</wp:posOffset>
              </wp:positionH>
              <wp:positionV relativeFrom="page">
                <wp:posOffset>9970007</wp:posOffset>
              </wp:positionV>
              <wp:extent cx="5943600" cy="1270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6AC06AA" id="Graphic 494" o:spid="_x0000_s1026" style="position:absolute;margin-left:63.65pt;margin-top:785.05pt;width:468pt;height:1pt;z-index:-3779788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19104" behindDoc="1" locked="0" layoutInCell="1" allowOverlap="1" wp14:anchorId="3473F24A" wp14:editId="5F22DCBE">
              <wp:simplePos x="0" y="0"/>
              <wp:positionH relativeFrom="page">
                <wp:posOffset>6276085</wp:posOffset>
              </wp:positionH>
              <wp:positionV relativeFrom="page">
                <wp:posOffset>10064908</wp:posOffset>
              </wp:positionV>
              <wp:extent cx="489584" cy="15367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53670"/>
                      </a:xfrm>
                      <a:prstGeom prst="rect">
                        <a:avLst/>
                      </a:prstGeom>
                    </wps:spPr>
                    <wps:txbx>
                      <w:txbxContent>
                        <w:p w14:paraId="216690DB"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89</w:t>
                          </w:r>
                          <w:r>
                            <w:rPr>
                              <w:spacing w:val="-5"/>
                              <w:sz w:val="18"/>
                            </w:rPr>
                            <w:fldChar w:fldCharType="end"/>
                          </w:r>
                        </w:p>
                      </w:txbxContent>
                    </wps:txbx>
                    <wps:bodyPr wrap="square" lIns="0" tIns="0" rIns="0" bIns="0" rtlCol="0">
                      <a:noAutofit/>
                    </wps:bodyPr>
                  </wps:wsp>
                </a:graphicData>
              </a:graphic>
            </wp:anchor>
          </w:drawing>
        </mc:Choice>
        <mc:Fallback>
          <w:pict>
            <v:shapetype w14:anchorId="3473F24A" id="_x0000_t202" coordsize="21600,21600" o:spt="202" path="m,l,21600r21600,l21600,xe">
              <v:stroke joinstyle="miter"/>
              <v:path gradientshapeok="t" o:connecttype="rect"/>
            </v:shapetype>
            <v:shape id="Textbox 495" o:spid="_x0000_s1323" type="#_x0000_t202" style="position:absolute;margin-left:494.2pt;margin-top:792.5pt;width:38.55pt;height:12.1pt;z-index:-377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" filled="f" stroked="f">
              <v:textbox inset="0,0,0,0">
                <w:txbxContent>
                  <w:p w14:paraId="216690DB"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89</w:t>
                    </w:r>
                    <w:r>
                      <w:rPr>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DD61" w14:textId="77777777" w:rsidR="00C31389" w:rsidRDefault="00561FBD">
    <w:pPr>
      <w:pStyle w:val="BodyText"/>
      <w:spacing w:line="14" w:lineRule="auto"/>
      <w:rPr>
        <w:sz w:val="20"/>
      </w:rPr>
    </w:pPr>
    <w:r>
      <w:rPr>
        <w:noProof/>
      </w:rPr>
      <mc:AlternateContent>
        <mc:Choice Requires="wps">
          <w:drawing>
            <wp:anchor distT="0" distB="0" distL="0" distR="0" simplePos="0" relativeHeight="465521152" behindDoc="1" locked="0" layoutInCell="1" allowOverlap="1" wp14:anchorId="51727281" wp14:editId="2E9FA751">
              <wp:simplePos x="0" y="0"/>
              <wp:positionH relativeFrom="page">
                <wp:posOffset>808482</wp:posOffset>
              </wp:positionH>
              <wp:positionV relativeFrom="page">
                <wp:posOffset>9970007</wp:posOffset>
              </wp:positionV>
              <wp:extent cx="5943600" cy="1270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99CAFD7" id="Graphic 511" o:spid="_x0000_s1026" style="position:absolute;margin-left:63.65pt;margin-top:785.05pt;width:468pt;height:1pt;z-index:-3779532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21664" behindDoc="1" locked="0" layoutInCell="1" allowOverlap="1" wp14:anchorId="3DE289D8" wp14:editId="36CEFEE2">
              <wp:simplePos x="0" y="0"/>
              <wp:positionH relativeFrom="page">
                <wp:posOffset>6225794</wp:posOffset>
              </wp:positionH>
              <wp:positionV relativeFrom="page">
                <wp:posOffset>10064908</wp:posOffset>
              </wp:positionV>
              <wp:extent cx="539750" cy="15367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3670"/>
                      </a:xfrm>
                      <a:prstGeom prst="rect">
                        <a:avLst/>
                      </a:prstGeom>
                    </wps:spPr>
                    <wps:txbx>
                      <w:txbxContent>
                        <w:p w14:paraId="33AF784A" w14:textId="77777777" w:rsidR="00C31389" w:rsidRDefault="00561FBD">
                          <w:pPr>
                            <w:spacing w:before="14"/>
                            <w:ind w:left="20"/>
                            <w:rPr>
                              <w:sz w:val="18"/>
                            </w:rPr>
                          </w:pPr>
                          <w:r>
                            <w:rPr>
                              <w:sz w:val="18"/>
                            </w:rPr>
                            <w:t>Page</w:t>
                          </w:r>
                          <w:r>
                            <w:rPr>
                              <w:spacing w:val="-4"/>
                              <w:sz w:val="18"/>
                            </w:rPr>
                            <w:t xml:space="preserve"> </w:t>
                          </w:r>
                          <w:r>
                            <w:rPr>
                              <w:sz w:val="18"/>
                            </w:rPr>
                            <w:t>A-</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3DE289D8" id="_x0000_t202" coordsize="21600,21600" o:spt="202" path="m,l,21600r21600,l21600,xe">
              <v:stroke joinstyle="miter"/>
              <v:path gradientshapeok="t" o:connecttype="rect"/>
            </v:shapetype>
            <v:shape id="Textbox 512" o:spid="_x0000_s1326" type="#_x0000_t202" style="position:absolute;margin-left:490.2pt;margin-top:792.5pt;width:42.5pt;height:12.1pt;z-index:-377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" filled="f" stroked="f">
              <v:textbox inset="0,0,0,0">
                <w:txbxContent>
                  <w:p w14:paraId="33AF784A" w14:textId="77777777" w:rsidR="00C31389" w:rsidRDefault="00561FBD">
                    <w:pPr>
                      <w:spacing w:before="14"/>
                      <w:ind w:left="20"/>
                      <w:rPr>
                        <w:sz w:val="18"/>
                      </w:rPr>
                    </w:pPr>
                    <w:r>
                      <w:rPr>
                        <w:sz w:val="18"/>
                      </w:rPr>
                      <w:t>Page</w:t>
                    </w:r>
                    <w:r>
                      <w:rPr>
                        <w:spacing w:val="-4"/>
                        <w:sz w:val="18"/>
                      </w:rPr>
                      <w:t xml:space="preserve"> </w:t>
                    </w:r>
                    <w:r>
                      <w:rPr>
                        <w:sz w:val="18"/>
                      </w:rPr>
                      <w:t>A-</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3F91" w14:textId="77777777" w:rsidR="00C31389" w:rsidRDefault="00561FBD">
    <w:pPr>
      <w:pStyle w:val="BodyText"/>
      <w:spacing w:line="14" w:lineRule="auto"/>
      <w:rPr>
        <w:sz w:val="20"/>
      </w:rPr>
    </w:pPr>
    <w:r>
      <w:rPr>
        <w:noProof/>
      </w:rPr>
      <mc:AlternateContent>
        <mc:Choice Requires="wps">
          <w:drawing>
            <wp:anchor distT="0" distB="0" distL="0" distR="0" simplePos="0" relativeHeight="465524224" behindDoc="1" locked="0" layoutInCell="1" allowOverlap="1" wp14:anchorId="40900270" wp14:editId="6FBA51BC">
              <wp:simplePos x="0" y="0"/>
              <wp:positionH relativeFrom="page">
                <wp:posOffset>808482</wp:posOffset>
              </wp:positionH>
              <wp:positionV relativeFrom="page">
                <wp:posOffset>9970007</wp:posOffset>
              </wp:positionV>
              <wp:extent cx="5943600" cy="1270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B993A12" id="Graphic 519" o:spid="_x0000_s1026" style="position:absolute;margin-left:63.65pt;margin-top:785.05pt;width:468pt;height:1pt;z-index:-3779225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24736" behindDoc="1" locked="0" layoutInCell="1" allowOverlap="1" wp14:anchorId="59DE8B56" wp14:editId="49944DC4">
              <wp:simplePos x="0" y="0"/>
              <wp:positionH relativeFrom="page">
                <wp:posOffset>6225794</wp:posOffset>
              </wp:positionH>
              <wp:positionV relativeFrom="page">
                <wp:posOffset>10064908</wp:posOffset>
              </wp:positionV>
              <wp:extent cx="539750" cy="15367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3670"/>
                      </a:xfrm>
                      <a:prstGeom prst="rect">
                        <a:avLst/>
                      </a:prstGeom>
                    </wps:spPr>
                    <wps:txbx>
                      <w:txbxContent>
                        <w:p w14:paraId="33D7BEB1" w14:textId="77777777" w:rsidR="00C31389" w:rsidRDefault="00561FBD">
                          <w:pPr>
                            <w:spacing w:before="14"/>
                            <w:ind w:left="20"/>
                            <w:rPr>
                              <w:sz w:val="18"/>
                            </w:rPr>
                          </w:pPr>
                          <w:r>
                            <w:rPr>
                              <w:sz w:val="18"/>
                            </w:rPr>
                            <w:t>Page</w:t>
                          </w:r>
                          <w:r>
                            <w:rPr>
                              <w:spacing w:val="-4"/>
                              <w:sz w:val="18"/>
                            </w:rPr>
                            <w:t xml:space="preserve"> </w:t>
                          </w:r>
                          <w:r>
                            <w:rPr>
                              <w:sz w:val="18"/>
                            </w:rPr>
                            <w:t>A-</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type w14:anchorId="59DE8B56" id="_x0000_t202" coordsize="21600,21600" o:spt="202" path="m,l,21600r21600,l21600,xe">
              <v:stroke joinstyle="miter"/>
              <v:path gradientshapeok="t" o:connecttype="rect"/>
            </v:shapetype>
            <v:shape id="Textbox 520" o:spid="_x0000_s1329" type="#_x0000_t202" style="position:absolute;margin-left:490.2pt;margin-top:792.5pt;width:42.5pt;height:12.1pt;z-index:-377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" filled="f" stroked="f">
              <v:textbox inset="0,0,0,0">
                <w:txbxContent>
                  <w:p w14:paraId="33D7BEB1" w14:textId="77777777" w:rsidR="00C31389" w:rsidRDefault="00561FBD">
                    <w:pPr>
                      <w:spacing w:before="14"/>
                      <w:ind w:left="20"/>
                      <w:rPr>
                        <w:sz w:val="18"/>
                      </w:rPr>
                    </w:pPr>
                    <w:r>
                      <w:rPr>
                        <w:sz w:val="18"/>
                      </w:rPr>
                      <w:t>Page</w:t>
                    </w:r>
                    <w:r>
                      <w:rPr>
                        <w:spacing w:val="-4"/>
                        <w:sz w:val="18"/>
                      </w:rPr>
                      <w:t xml:space="preserve"> </w:t>
                    </w:r>
                    <w:r>
                      <w:rPr>
                        <w:sz w:val="18"/>
                      </w:rPr>
                      <w:t>A-</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CA4E" w14:textId="77777777" w:rsidR="00C31389" w:rsidRDefault="00561FBD">
    <w:pPr>
      <w:pStyle w:val="BodyText"/>
      <w:spacing w:line="14" w:lineRule="auto"/>
      <w:rPr>
        <w:sz w:val="20"/>
      </w:rPr>
    </w:pPr>
    <w:r>
      <w:rPr>
        <w:noProof/>
      </w:rPr>
      <mc:AlternateContent>
        <mc:Choice Requires="wps">
          <w:drawing>
            <wp:anchor distT="0" distB="0" distL="0" distR="0" simplePos="0" relativeHeight="465526784" behindDoc="1" locked="0" layoutInCell="1" allowOverlap="1" wp14:anchorId="3B9CBFB9" wp14:editId="0773F1B4">
              <wp:simplePos x="0" y="0"/>
              <wp:positionH relativeFrom="page">
                <wp:posOffset>808482</wp:posOffset>
              </wp:positionH>
              <wp:positionV relativeFrom="page">
                <wp:posOffset>9970007</wp:posOffset>
              </wp:positionV>
              <wp:extent cx="5943600" cy="1270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751E18B" id="Graphic 524" o:spid="_x0000_s1026" style="position:absolute;margin-left:63.65pt;margin-top:785.05pt;width:468pt;height:1pt;z-index:-3778969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27296" behindDoc="1" locked="0" layoutInCell="1" allowOverlap="1" wp14:anchorId="060C4389" wp14:editId="1F879AA4">
              <wp:simplePos x="0" y="0"/>
              <wp:positionH relativeFrom="page">
                <wp:posOffset>6225794</wp:posOffset>
              </wp:positionH>
              <wp:positionV relativeFrom="page">
                <wp:posOffset>10064908</wp:posOffset>
              </wp:positionV>
              <wp:extent cx="539750" cy="15367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3670"/>
                      </a:xfrm>
                      <a:prstGeom prst="rect">
                        <a:avLst/>
                      </a:prstGeom>
                    </wps:spPr>
                    <wps:txbx>
                      <w:txbxContent>
                        <w:p w14:paraId="187D4EC1" w14:textId="77777777" w:rsidR="00C31389" w:rsidRDefault="00561FBD">
                          <w:pPr>
                            <w:spacing w:before="14"/>
                            <w:ind w:left="20"/>
                            <w:rPr>
                              <w:sz w:val="18"/>
                            </w:rPr>
                          </w:pPr>
                          <w:r>
                            <w:rPr>
                              <w:sz w:val="18"/>
                            </w:rPr>
                            <w:t>Page</w:t>
                          </w:r>
                          <w:r>
                            <w:rPr>
                              <w:spacing w:val="-4"/>
                              <w:sz w:val="18"/>
                            </w:rPr>
                            <w:t xml:space="preserve"> </w:t>
                          </w:r>
                          <w:r>
                            <w:rPr>
                              <w:sz w:val="18"/>
                            </w:rPr>
                            <w:t>B-</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060C4389" id="_x0000_t202" coordsize="21600,21600" o:spt="202" path="m,l,21600r21600,l21600,xe">
              <v:stroke joinstyle="miter"/>
              <v:path gradientshapeok="t" o:connecttype="rect"/>
            </v:shapetype>
            <v:shape id="Textbox 525" o:spid="_x0000_s1332" type="#_x0000_t202" style="position:absolute;margin-left:490.2pt;margin-top:792.5pt;width:42.5pt;height:12.1pt;z-index:-377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" filled="f" stroked="f">
              <v:textbox inset="0,0,0,0">
                <w:txbxContent>
                  <w:p w14:paraId="187D4EC1" w14:textId="77777777" w:rsidR="00C31389" w:rsidRDefault="00561FBD">
                    <w:pPr>
                      <w:spacing w:before="14"/>
                      <w:ind w:left="20"/>
                      <w:rPr>
                        <w:sz w:val="18"/>
                      </w:rPr>
                    </w:pPr>
                    <w:r>
                      <w:rPr>
                        <w:sz w:val="18"/>
                      </w:rPr>
                      <w:t>Page</w:t>
                    </w:r>
                    <w:r>
                      <w:rPr>
                        <w:spacing w:val="-4"/>
                        <w:sz w:val="18"/>
                      </w:rPr>
                      <w:t xml:space="preserve"> </w:t>
                    </w:r>
                    <w:r>
                      <w:rPr>
                        <w:sz w:val="18"/>
                      </w:rPr>
                      <w:t>B-</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C6B6" w14:textId="77777777" w:rsidR="00C31389" w:rsidRDefault="00561FBD">
    <w:pPr>
      <w:pStyle w:val="BodyText"/>
      <w:spacing w:line="14" w:lineRule="auto"/>
      <w:rPr>
        <w:sz w:val="20"/>
      </w:rPr>
    </w:pPr>
    <w:r>
      <w:rPr>
        <w:noProof/>
      </w:rPr>
      <mc:AlternateContent>
        <mc:Choice Requires="wps">
          <w:drawing>
            <wp:anchor distT="0" distB="0" distL="0" distR="0" simplePos="0" relativeHeight="465427968" behindDoc="1" locked="0" layoutInCell="1" allowOverlap="1" wp14:anchorId="1F5E1D3F" wp14:editId="7894A9EA">
              <wp:simplePos x="0" y="0"/>
              <wp:positionH relativeFrom="page">
                <wp:posOffset>914400</wp:posOffset>
              </wp:positionH>
              <wp:positionV relativeFrom="page">
                <wp:posOffset>9336798</wp:posOffset>
              </wp:positionV>
              <wp:extent cx="5943600" cy="12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3970F3D" id="Graphic 39" o:spid="_x0000_s1026" style="position:absolute;margin-left:1in;margin-top:735.2pt;width:468pt;height:1pt;z-index:-3788851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28480" behindDoc="1" locked="0" layoutInCell="1" allowOverlap="1" wp14:anchorId="7A476067" wp14:editId="1F4A4CED">
              <wp:simplePos x="0" y="0"/>
              <wp:positionH relativeFrom="page">
                <wp:posOffset>6375908</wp:posOffset>
              </wp:positionH>
              <wp:positionV relativeFrom="page">
                <wp:posOffset>9430925</wp:posOffset>
              </wp:positionV>
              <wp:extent cx="495300" cy="153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53670"/>
                      </a:xfrm>
                      <a:prstGeom prst="rect">
                        <a:avLst/>
                      </a:prstGeom>
                    </wps:spPr>
                    <wps:txbx>
                      <w:txbxContent>
                        <w:p w14:paraId="3B86983B" w14:textId="77777777" w:rsidR="00C31389" w:rsidRDefault="00561FBD">
                          <w:pPr>
                            <w:spacing w:before="14"/>
                            <w:ind w:left="20"/>
                            <w:rPr>
                              <w:sz w:val="18"/>
                            </w:rPr>
                          </w:pPr>
                          <w:r>
                            <w:rPr>
                              <w:sz w:val="18"/>
                            </w:rPr>
                            <w:t>Page</w:t>
                          </w:r>
                          <w:r>
                            <w:rPr>
                              <w:spacing w:val="-3"/>
                              <w:sz w:val="18"/>
                            </w:rPr>
                            <w:t xml:space="preserve"> </w:t>
                          </w:r>
                          <w:r>
                            <w:rPr>
                              <w:spacing w:val="-4"/>
                              <w:sz w:val="18"/>
                            </w:rPr>
                            <w:fldChar w:fldCharType="begin"/>
                          </w:r>
                          <w:r>
                            <w:rPr>
                              <w:spacing w:val="-4"/>
                              <w:sz w:val="18"/>
                            </w:rPr>
                            <w:instrText xml:space="preserve"> PAGE  \* roman </w:instrText>
                          </w:r>
                          <w:r>
                            <w:rPr>
                              <w:spacing w:val="-4"/>
                              <w:sz w:val="18"/>
                            </w:rPr>
                            <w:fldChar w:fldCharType="separate"/>
                          </w:r>
                          <w:r>
                            <w:rPr>
                              <w:spacing w:val="-4"/>
                              <w:sz w:val="18"/>
                            </w:rPr>
                            <w:t>xiii</w:t>
                          </w:r>
                          <w:r>
                            <w:rPr>
                              <w:spacing w:val="-4"/>
                              <w:sz w:val="18"/>
                            </w:rPr>
                            <w:fldChar w:fldCharType="end"/>
                          </w:r>
                        </w:p>
                      </w:txbxContent>
                    </wps:txbx>
                    <wps:bodyPr wrap="square" lIns="0" tIns="0" rIns="0" bIns="0" rtlCol="0">
                      <a:noAutofit/>
                    </wps:bodyPr>
                  </wps:wsp>
                </a:graphicData>
              </a:graphic>
            </wp:anchor>
          </w:drawing>
        </mc:Choice>
        <mc:Fallback>
          <w:pict>
            <v:shapetype w14:anchorId="7A476067" id="_x0000_t202" coordsize="21600,21600" o:spt="202" path="m,l,21600r21600,l21600,xe">
              <v:stroke joinstyle="miter"/>
              <v:path gradientshapeok="t" o:connecttype="rect"/>
            </v:shapetype>
            <v:shape id="Textbox 40" o:spid="_x0000_s1227" type="#_x0000_t202" style="position:absolute;margin-left:502.05pt;margin-top:742.6pt;width:39pt;height:12.1pt;z-index:-378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" filled="f" stroked="f">
              <v:textbox inset="0,0,0,0">
                <w:txbxContent>
                  <w:p w14:paraId="3B86983B" w14:textId="77777777" w:rsidR="00C31389" w:rsidRDefault="00561FBD">
                    <w:pPr>
                      <w:spacing w:before="14"/>
                      <w:ind w:left="20"/>
                      <w:rPr>
                        <w:sz w:val="18"/>
                      </w:rPr>
                    </w:pPr>
                    <w:r>
                      <w:rPr>
                        <w:sz w:val="18"/>
                      </w:rPr>
                      <w:t>Page</w:t>
                    </w:r>
                    <w:r>
                      <w:rPr>
                        <w:spacing w:val="-3"/>
                        <w:sz w:val="18"/>
                      </w:rPr>
                      <w:t xml:space="preserve"> </w:t>
                    </w:r>
                    <w:r>
                      <w:rPr>
                        <w:spacing w:val="-4"/>
                        <w:sz w:val="18"/>
                      </w:rPr>
                      <w:fldChar w:fldCharType="begin"/>
                    </w:r>
                    <w:r>
                      <w:rPr>
                        <w:spacing w:val="-4"/>
                        <w:sz w:val="18"/>
                      </w:rPr>
                      <w:instrText xml:space="preserve"> PAGE  \* roman </w:instrText>
                    </w:r>
                    <w:r>
                      <w:rPr>
                        <w:spacing w:val="-4"/>
                        <w:sz w:val="18"/>
                      </w:rPr>
                      <w:fldChar w:fldCharType="separate"/>
                    </w:r>
                    <w:r>
                      <w:rPr>
                        <w:spacing w:val="-4"/>
                        <w:sz w:val="18"/>
                      </w:rPr>
                      <w:t>xiii</w:t>
                    </w:r>
                    <w:r>
                      <w:rPr>
                        <w:spacing w:val="-4"/>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83C8" w14:textId="77777777" w:rsidR="00C31389" w:rsidRDefault="00561FBD">
    <w:pPr>
      <w:pStyle w:val="BodyText"/>
      <w:spacing w:line="14" w:lineRule="auto"/>
      <w:rPr>
        <w:sz w:val="20"/>
      </w:rPr>
    </w:pPr>
    <w:r>
      <w:rPr>
        <w:noProof/>
      </w:rPr>
      <mc:AlternateContent>
        <mc:Choice Requires="wps">
          <w:drawing>
            <wp:anchor distT="0" distB="0" distL="0" distR="0" simplePos="0" relativeHeight="465529856" behindDoc="1" locked="0" layoutInCell="1" allowOverlap="1" wp14:anchorId="41449AAF" wp14:editId="7FEF045C">
              <wp:simplePos x="0" y="0"/>
              <wp:positionH relativeFrom="page">
                <wp:posOffset>808482</wp:posOffset>
              </wp:positionH>
              <wp:positionV relativeFrom="page">
                <wp:posOffset>9970007</wp:posOffset>
              </wp:positionV>
              <wp:extent cx="5943600" cy="1270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F8A1004" id="Graphic 539" o:spid="_x0000_s1026" style="position:absolute;margin-left:63.65pt;margin-top:785.05pt;width:468pt;height:1pt;z-index:-3778662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30368" behindDoc="1" locked="0" layoutInCell="1" allowOverlap="1" wp14:anchorId="0F8746FE" wp14:editId="53BB44A1">
              <wp:simplePos x="0" y="0"/>
              <wp:positionH relativeFrom="page">
                <wp:posOffset>6225794</wp:posOffset>
              </wp:positionH>
              <wp:positionV relativeFrom="page">
                <wp:posOffset>10064908</wp:posOffset>
              </wp:positionV>
              <wp:extent cx="539750" cy="15367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3670"/>
                      </a:xfrm>
                      <a:prstGeom prst="rect">
                        <a:avLst/>
                      </a:prstGeom>
                    </wps:spPr>
                    <wps:txbx>
                      <w:txbxContent>
                        <w:p w14:paraId="36E6EFE3" w14:textId="77777777" w:rsidR="00C31389" w:rsidRDefault="00561FBD">
                          <w:pPr>
                            <w:spacing w:before="14"/>
                            <w:ind w:left="20"/>
                            <w:rPr>
                              <w:sz w:val="18"/>
                            </w:rPr>
                          </w:pPr>
                          <w:r>
                            <w:rPr>
                              <w:sz w:val="18"/>
                            </w:rPr>
                            <w:t>Page</w:t>
                          </w:r>
                          <w:r>
                            <w:rPr>
                              <w:spacing w:val="-4"/>
                              <w:sz w:val="18"/>
                            </w:rPr>
                            <w:t xml:space="preserve"> </w:t>
                          </w:r>
                          <w:r>
                            <w:rPr>
                              <w:sz w:val="18"/>
                            </w:rPr>
                            <w:t>B-</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wps:txbx>
                    <wps:bodyPr wrap="square" lIns="0" tIns="0" rIns="0" bIns="0" rtlCol="0">
                      <a:noAutofit/>
                    </wps:bodyPr>
                  </wps:wsp>
                </a:graphicData>
              </a:graphic>
            </wp:anchor>
          </w:drawing>
        </mc:Choice>
        <mc:Fallback>
          <w:pict>
            <v:shapetype w14:anchorId="0F8746FE" id="_x0000_t202" coordsize="21600,21600" o:spt="202" path="m,l,21600r21600,l21600,xe">
              <v:stroke joinstyle="miter"/>
              <v:path gradientshapeok="t" o:connecttype="rect"/>
            </v:shapetype>
            <v:shape id="Textbox 540" o:spid="_x0000_s1335" type="#_x0000_t202" style="position:absolute;margin-left:490.2pt;margin-top:792.5pt;width:42.5pt;height:12.1pt;z-index:-377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" filled="f" stroked="f">
              <v:textbox inset="0,0,0,0">
                <w:txbxContent>
                  <w:p w14:paraId="36E6EFE3" w14:textId="77777777" w:rsidR="00C31389" w:rsidRDefault="00561FBD">
                    <w:pPr>
                      <w:spacing w:before="14"/>
                      <w:ind w:left="20"/>
                      <w:rPr>
                        <w:sz w:val="18"/>
                      </w:rPr>
                    </w:pPr>
                    <w:r>
                      <w:rPr>
                        <w:sz w:val="18"/>
                      </w:rPr>
                      <w:t>Page</w:t>
                    </w:r>
                    <w:r>
                      <w:rPr>
                        <w:spacing w:val="-4"/>
                        <w:sz w:val="18"/>
                      </w:rPr>
                      <w:t xml:space="preserve"> </w:t>
                    </w:r>
                    <w:r>
                      <w:rPr>
                        <w:sz w:val="18"/>
                      </w:rPr>
                      <w:t>B-</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7C00" w14:textId="77777777" w:rsidR="00C31389" w:rsidRDefault="00561FBD">
    <w:pPr>
      <w:pStyle w:val="BodyText"/>
      <w:spacing w:line="14" w:lineRule="auto"/>
      <w:rPr>
        <w:sz w:val="20"/>
      </w:rPr>
    </w:pPr>
    <w:r>
      <w:rPr>
        <w:noProof/>
      </w:rPr>
      <mc:AlternateContent>
        <mc:Choice Requires="wps">
          <w:drawing>
            <wp:anchor distT="0" distB="0" distL="0" distR="0" simplePos="0" relativeHeight="465532416" behindDoc="1" locked="0" layoutInCell="1" allowOverlap="1" wp14:anchorId="6E5D0489" wp14:editId="0183FD79">
              <wp:simplePos x="0" y="0"/>
              <wp:positionH relativeFrom="page">
                <wp:posOffset>808482</wp:posOffset>
              </wp:positionH>
              <wp:positionV relativeFrom="page">
                <wp:posOffset>9970007</wp:posOffset>
              </wp:positionV>
              <wp:extent cx="5943600" cy="1270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539DC11" id="Graphic 560" o:spid="_x0000_s1026" style="position:absolute;margin-left:63.65pt;margin-top:785.05pt;width:468pt;height:1pt;z-index:-3778406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32928" behindDoc="1" locked="0" layoutInCell="1" allowOverlap="1" wp14:anchorId="3F9FCE9E" wp14:editId="70C65E0F">
              <wp:simplePos x="0" y="0"/>
              <wp:positionH relativeFrom="page">
                <wp:posOffset>6225794</wp:posOffset>
              </wp:positionH>
              <wp:positionV relativeFrom="page">
                <wp:posOffset>10064908</wp:posOffset>
              </wp:positionV>
              <wp:extent cx="539750" cy="15367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3670"/>
                      </a:xfrm>
                      <a:prstGeom prst="rect">
                        <a:avLst/>
                      </a:prstGeom>
                    </wps:spPr>
                    <wps:txbx>
                      <w:txbxContent>
                        <w:p w14:paraId="33802BA3" w14:textId="77777777" w:rsidR="00C31389" w:rsidRDefault="00561FBD">
                          <w:pPr>
                            <w:spacing w:before="14"/>
                            <w:ind w:left="20"/>
                            <w:rPr>
                              <w:sz w:val="18"/>
                            </w:rPr>
                          </w:pPr>
                          <w:r>
                            <w:rPr>
                              <w:sz w:val="18"/>
                            </w:rPr>
                            <w:t>Page</w:t>
                          </w:r>
                          <w:r>
                            <w:rPr>
                              <w:spacing w:val="-4"/>
                              <w:sz w:val="18"/>
                            </w:rPr>
                            <w:t xml:space="preserve"> </w:t>
                          </w:r>
                          <w:r>
                            <w:rPr>
                              <w:sz w:val="18"/>
                            </w:rPr>
                            <w:t>B-</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wps:txbx>
                    <wps:bodyPr wrap="square" lIns="0" tIns="0" rIns="0" bIns="0" rtlCol="0">
                      <a:noAutofit/>
                    </wps:bodyPr>
                  </wps:wsp>
                </a:graphicData>
              </a:graphic>
            </wp:anchor>
          </w:drawing>
        </mc:Choice>
        <mc:Fallback>
          <w:pict>
            <v:shapetype w14:anchorId="3F9FCE9E" id="_x0000_t202" coordsize="21600,21600" o:spt="202" path="m,l,21600r21600,l21600,xe">
              <v:stroke joinstyle="miter"/>
              <v:path gradientshapeok="t" o:connecttype="rect"/>
            </v:shapetype>
            <v:shape id="Textbox 561" o:spid="_x0000_s1338" type="#_x0000_t202" style="position:absolute;margin-left:490.2pt;margin-top:792.5pt;width:42.5pt;height:12.1pt;z-index:-377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" filled="f" stroked="f">
              <v:textbox inset="0,0,0,0">
                <w:txbxContent>
                  <w:p w14:paraId="33802BA3" w14:textId="77777777" w:rsidR="00C31389" w:rsidRDefault="00561FBD">
                    <w:pPr>
                      <w:spacing w:before="14"/>
                      <w:ind w:left="20"/>
                      <w:rPr>
                        <w:sz w:val="18"/>
                      </w:rPr>
                    </w:pPr>
                    <w:r>
                      <w:rPr>
                        <w:sz w:val="18"/>
                      </w:rPr>
                      <w:t>Page</w:t>
                    </w:r>
                    <w:r>
                      <w:rPr>
                        <w:spacing w:val="-4"/>
                        <w:sz w:val="18"/>
                      </w:rPr>
                      <w:t xml:space="preserve"> </w:t>
                    </w:r>
                    <w:r>
                      <w:rPr>
                        <w:sz w:val="18"/>
                      </w:rPr>
                      <w:t>B-</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44DE" w14:textId="77777777" w:rsidR="00C31389" w:rsidRDefault="00561FBD">
    <w:pPr>
      <w:pStyle w:val="BodyText"/>
      <w:spacing w:line="14" w:lineRule="auto"/>
      <w:rPr>
        <w:sz w:val="20"/>
      </w:rPr>
    </w:pPr>
    <w:r>
      <w:rPr>
        <w:noProof/>
      </w:rPr>
      <mc:AlternateContent>
        <mc:Choice Requires="wps">
          <w:drawing>
            <wp:anchor distT="0" distB="0" distL="0" distR="0" simplePos="0" relativeHeight="465535488" behindDoc="1" locked="0" layoutInCell="1" allowOverlap="1" wp14:anchorId="3ACB8D9B" wp14:editId="2E044342">
              <wp:simplePos x="0" y="0"/>
              <wp:positionH relativeFrom="page">
                <wp:posOffset>808482</wp:posOffset>
              </wp:positionH>
              <wp:positionV relativeFrom="page">
                <wp:posOffset>9970007</wp:posOffset>
              </wp:positionV>
              <wp:extent cx="5943600" cy="1270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5201C59" id="Graphic 569" o:spid="_x0000_s1026" style="position:absolute;margin-left:63.65pt;margin-top:785.05pt;width:468pt;height:1pt;z-index:-3778099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36000" behindDoc="1" locked="0" layoutInCell="1" allowOverlap="1" wp14:anchorId="74950D8B" wp14:editId="15359425">
              <wp:simplePos x="0" y="0"/>
              <wp:positionH relativeFrom="page">
                <wp:posOffset>6161785</wp:posOffset>
              </wp:positionH>
              <wp:positionV relativeFrom="page">
                <wp:posOffset>10064908</wp:posOffset>
              </wp:positionV>
              <wp:extent cx="603885" cy="153670"/>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53670"/>
                      </a:xfrm>
                      <a:prstGeom prst="rect">
                        <a:avLst/>
                      </a:prstGeom>
                    </wps:spPr>
                    <wps:txbx>
                      <w:txbxContent>
                        <w:p w14:paraId="0F6035D2" w14:textId="77777777" w:rsidR="00C31389" w:rsidRDefault="00561FBD">
                          <w:pPr>
                            <w:spacing w:before="14"/>
                            <w:ind w:left="20"/>
                            <w:rPr>
                              <w:sz w:val="18"/>
                            </w:rPr>
                          </w:pPr>
                          <w:r>
                            <w:rPr>
                              <w:sz w:val="18"/>
                            </w:rPr>
                            <w:t>Page</w:t>
                          </w:r>
                          <w:r>
                            <w:rPr>
                              <w:spacing w:val="-4"/>
                              <w:sz w:val="18"/>
                            </w:rPr>
                            <w:t xml:space="preserve"> </w:t>
                          </w:r>
                          <w:r>
                            <w:rPr>
                              <w:sz w:val="18"/>
                            </w:rPr>
                            <w:t>B-</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74950D8B" id="_x0000_t202" coordsize="21600,21600" o:spt="202" path="m,l,21600r21600,l21600,xe">
              <v:stroke joinstyle="miter"/>
              <v:path gradientshapeok="t" o:connecttype="rect"/>
            </v:shapetype>
            <v:shape id="Textbox 570" o:spid="_x0000_s1341" type="#_x0000_t202" style="position:absolute;margin-left:485.2pt;margin-top:792.5pt;width:47.55pt;height:12.1pt;z-index:-377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" filled="f" stroked="f">
              <v:textbox inset="0,0,0,0">
                <w:txbxContent>
                  <w:p w14:paraId="0F6035D2" w14:textId="77777777" w:rsidR="00C31389" w:rsidRDefault="00561FBD">
                    <w:pPr>
                      <w:spacing w:before="14"/>
                      <w:ind w:left="20"/>
                      <w:rPr>
                        <w:sz w:val="18"/>
                      </w:rPr>
                    </w:pPr>
                    <w:r>
                      <w:rPr>
                        <w:sz w:val="18"/>
                      </w:rPr>
                      <w:t>Page</w:t>
                    </w:r>
                    <w:r>
                      <w:rPr>
                        <w:spacing w:val="-4"/>
                        <w:sz w:val="18"/>
                      </w:rPr>
                      <w:t xml:space="preserve"> </w:t>
                    </w:r>
                    <w:r>
                      <w:rPr>
                        <w:sz w:val="18"/>
                      </w:rPr>
                      <w:t>B-</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8112" w14:textId="77777777" w:rsidR="00C31389" w:rsidRDefault="00561FBD">
    <w:pPr>
      <w:pStyle w:val="BodyText"/>
      <w:spacing w:line="14" w:lineRule="auto"/>
      <w:rPr>
        <w:sz w:val="20"/>
      </w:rPr>
    </w:pPr>
    <w:r>
      <w:rPr>
        <w:noProof/>
      </w:rPr>
      <mc:AlternateContent>
        <mc:Choice Requires="wps">
          <w:drawing>
            <wp:anchor distT="0" distB="0" distL="0" distR="0" simplePos="0" relativeHeight="465538048" behindDoc="1" locked="0" layoutInCell="1" allowOverlap="1" wp14:anchorId="54E7E1A1" wp14:editId="5EC7C989">
              <wp:simplePos x="0" y="0"/>
              <wp:positionH relativeFrom="page">
                <wp:posOffset>808482</wp:posOffset>
              </wp:positionH>
              <wp:positionV relativeFrom="page">
                <wp:posOffset>9970007</wp:posOffset>
              </wp:positionV>
              <wp:extent cx="5943600" cy="1270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48E067E" id="Graphic 639" o:spid="_x0000_s1026" style="position:absolute;margin-left:63.65pt;margin-top:785.05pt;width:468pt;height:1pt;z-index:-3777843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38560" behindDoc="1" locked="0" layoutInCell="1" allowOverlap="1" wp14:anchorId="318B63C3" wp14:editId="4B7F0542">
              <wp:simplePos x="0" y="0"/>
              <wp:positionH relativeFrom="page">
                <wp:posOffset>6161785</wp:posOffset>
              </wp:positionH>
              <wp:positionV relativeFrom="page">
                <wp:posOffset>10064908</wp:posOffset>
              </wp:positionV>
              <wp:extent cx="603885" cy="15367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53670"/>
                      </a:xfrm>
                      <a:prstGeom prst="rect">
                        <a:avLst/>
                      </a:prstGeom>
                    </wps:spPr>
                    <wps:txbx>
                      <w:txbxContent>
                        <w:p w14:paraId="17D0D18F" w14:textId="77777777" w:rsidR="00C31389" w:rsidRDefault="00561FBD">
                          <w:pPr>
                            <w:spacing w:before="14"/>
                            <w:ind w:left="20"/>
                            <w:rPr>
                              <w:sz w:val="18"/>
                            </w:rPr>
                          </w:pPr>
                          <w:r>
                            <w:rPr>
                              <w:sz w:val="18"/>
                            </w:rPr>
                            <w:t>Page</w:t>
                          </w:r>
                          <w:r>
                            <w:rPr>
                              <w:spacing w:val="-4"/>
                              <w:sz w:val="18"/>
                            </w:rPr>
                            <w:t xml:space="preserve"> </w:t>
                          </w:r>
                          <w:r>
                            <w:rPr>
                              <w:sz w:val="18"/>
                            </w:rPr>
                            <w:t>B-</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v:shapetype w14:anchorId="318B63C3" id="_x0000_t202" coordsize="21600,21600" o:spt="202" path="m,l,21600r21600,l21600,xe">
              <v:stroke joinstyle="miter"/>
              <v:path gradientshapeok="t" o:connecttype="rect"/>
            </v:shapetype>
            <v:shape id="Textbox 640" o:spid="_x0000_s1344" type="#_x0000_t202" style="position:absolute;margin-left:485.2pt;margin-top:792.5pt;width:47.55pt;height:12.1pt;z-index:-377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7vmQEAACMDAAAOAAAAZHJzL2Uyb0RvYy54bWysUs1uGyEQvlfKOyDuMWtHca2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" filled="f" stroked="f">
              <v:textbox inset="0,0,0,0">
                <w:txbxContent>
                  <w:p w14:paraId="17D0D18F" w14:textId="77777777" w:rsidR="00C31389" w:rsidRDefault="00561FBD">
                    <w:pPr>
                      <w:spacing w:before="14"/>
                      <w:ind w:left="20"/>
                      <w:rPr>
                        <w:sz w:val="18"/>
                      </w:rPr>
                    </w:pPr>
                    <w:r>
                      <w:rPr>
                        <w:sz w:val="18"/>
                      </w:rPr>
                      <w:t>Page</w:t>
                    </w:r>
                    <w:r>
                      <w:rPr>
                        <w:spacing w:val="-4"/>
                        <w:sz w:val="18"/>
                      </w:rPr>
                      <w:t xml:space="preserve"> </w:t>
                    </w:r>
                    <w:r>
                      <w:rPr>
                        <w:sz w:val="18"/>
                      </w:rPr>
                      <w:t>B-</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A838" w14:textId="77777777" w:rsidR="00C31389" w:rsidRDefault="00561FBD">
    <w:pPr>
      <w:pStyle w:val="BodyText"/>
      <w:spacing w:line="14" w:lineRule="auto"/>
      <w:rPr>
        <w:sz w:val="20"/>
      </w:rPr>
    </w:pPr>
    <w:r>
      <w:rPr>
        <w:noProof/>
      </w:rPr>
      <mc:AlternateContent>
        <mc:Choice Requires="wps">
          <w:drawing>
            <wp:anchor distT="0" distB="0" distL="0" distR="0" simplePos="0" relativeHeight="465541120" behindDoc="1" locked="0" layoutInCell="1" allowOverlap="1" wp14:anchorId="20373E97" wp14:editId="0268E9EC">
              <wp:simplePos x="0" y="0"/>
              <wp:positionH relativeFrom="page">
                <wp:posOffset>808482</wp:posOffset>
              </wp:positionH>
              <wp:positionV relativeFrom="page">
                <wp:posOffset>9970007</wp:posOffset>
              </wp:positionV>
              <wp:extent cx="5943600" cy="1270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DF7BD3E" id="Graphic 662" o:spid="_x0000_s1026" style="position:absolute;margin-left:63.65pt;margin-top:785.05pt;width:468pt;height:1pt;z-index:-3777536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41632" behindDoc="1" locked="0" layoutInCell="1" allowOverlap="1" wp14:anchorId="0DE2A5A8" wp14:editId="4AF9C3DF">
              <wp:simplePos x="0" y="0"/>
              <wp:positionH relativeFrom="page">
                <wp:posOffset>6161785</wp:posOffset>
              </wp:positionH>
              <wp:positionV relativeFrom="page">
                <wp:posOffset>10064908</wp:posOffset>
              </wp:positionV>
              <wp:extent cx="603885" cy="1536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53670"/>
                      </a:xfrm>
                      <a:prstGeom prst="rect">
                        <a:avLst/>
                      </a:prstGeom>
                    </wps:spPr>
                    <wps:txbx>
                      <w:txbxContent>
                        <w:p w14:paraId="0604C37E" w14:textId="77777777" w:rsidR="00C31389" w:rsidRDefault="00561FBD">
                          <w:pPr>
                            <w:spacing w:before="14"/>
                            <w:ind w:left="20"/>
                            <w:rPr>
                              <w:sz w:val="18"/>
                            </w:rPr>
                          </w:pPr>
                          <w:r>
                            <w:rPr>
                              <w:sz w:val="18"/>
                            </w:rPr>
                            <w:t>Page</w:t>
                          </w:r>
                          <w:r>
                            <w:rPr>
                              <w:spacing w:val="-4"/>
                              <w:sz w:val="18"/>
                            </w:rPr>
                            <w:t xml:space="preserve"> </w:t>
                          </w:r>
                          <w:r>
                            <w:rPr>
                              <w:sz w:val="18"/>
                            </w:rPr>
                            <w:t>B-</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v:shapetype w14:anchorId="0DE2A5A8" id="_x0000_t202" coordsize="21600,21600" o:spt="202" path="m,l,21600r21600,l21600,xe">
              <v:stroke joinstyle="miter"/>
              <v:path gradientshapeok="t" o:connecttype="rect"/>
            </v:shapetype>
            <v:shape id="Textbox 663" o:spid="_x0000_s1347" type="#_x0000_t202" style="position:absolute;margin-left:485.2pt;margin-top:792.5pt;width:47.55pt;height:12.1pt;z-index:-377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" filled="f" stroked="f">
              <v:textbox inset="0,0,0,0">
                <w:txbxContent>
                  <w:p w14:paraId="0604C37E" w14:textId="77777777" w:rsidR="00C31389" w:rsidRDefault="00561FBD">
                    <w:pPr>
                      <w:spacing w:before="14"/>
                      <w:ind w:left="20"/>
                      <w:rPr>
                        <w:sz w:val="18"/>
                      </w:rPr>
                    </w:pPr>
                    <w:r>
                      <w:rPr>
                        <w:sz w:val="18"/>
                      </w:rPr>
                      <w:t>Page</w:t>
                    </w:r>
                    <w:r>
                      <w:rPr>
                        <w:spacing w:val="-4"/>
                        <w:sz w:val="18"/>
                      </w:rPr>
                      <w:t xml:space="preserve"> </w:t>
                    </w:r>
                    <w:r>
                      <w:rPr>
                        <w:sz w:val="18"/>
                      </w:rPr>
                      <w:t>B-</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22C2" w14:textId="77777777" w:rsidR="00C31389" w:rsidRDefault="00561FBD">
    <w:pPr>
      <w:pStyle w:val="BodyText"/>
      <w:spacing w:line="14" w:lineRule="auto"/>
      <w:rPr>
        <w:sz w:val="20"/>
      </w:rPr>
    </w:pPr>
    <w:r>
      <w:rPr>
        <w:noProof/>
      </w:rPr>
      <mc:AlternateContent>
        <mc:Choice Requires="wps">
          <w:drawing>
            <wp:anchor distT="0" distB="0" distL="0" distR="0" simplePos="0" relativeHeight="465543680" behindDoc="1" locked="0" layoutInCell="1" allowOverlap="1" wp14:anchorId="7514A938" wp14:editId="34ACBD2F">
              <wp:simplePos x="0" y="0"/>
              <wp:positionH relativeFrom="page">
                <wp:posOffset>808482</wp:posOffset>
              </wp:positionH>
              <wp:positionV relativeFrom="page">
                <wp:posOffset>9970007</wp:posOffset>
              </wp:positionV>
              <wp:extent cx="5943600" cy="1270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F111976" id="Graphic 693" o:spid="_x0000_s1026" style="position:absolute;margin-left:63.65pt;margin-top:785.05pt;width:468pt;height:1pt;z-index:-3777280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44192" behindDoc="1" locked="0" layoutInCell="1" allowOverlap="1" wp14:anchorId="61E28705" wp14:editId="4A62A794">
              <wp:simplePos x="0" y="0"/>
              <wp:positionH relativeFrom="page">
                <wp:posOffset>6155690</wp:posOffset>
              </wp:positionH>
              <wp:positionV relativeFrom="page">
                <wp:posOffset>10064908</wp:posOffset>
              </wp:positionV>
              <wp:extent cx="609600" cy="15367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404C5C6E"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wps:txbx>
                    <wps:bodyPr wrap="square" lIns="0" tIns="0" rIns="0" bIns="0" rtlCol="0">
                      <a:noAutofit/>
                    </wps:bodyPr>
                  </wps:wsp>
                </a:graphicData>
              </a:graphic>
            </wp:anchor>
          </w:drawing>
        </mc:Choice>
        <mc:Fallback>
          <w:pict>
            <v:shapetype w14:anchorId="61E28705" id="_x0000_t202" coordsize="21600,21600" o:spt="202" path="m,l,21600r21600,l21600,xe">
              <v:stroke joinstyle="miter"/>
              <v:path gradientshapeok="t" o:connecttype="rect"/>
            </v:shapetype>
            <v:shape id="Textbox 694" o:spid="_x0000_s1350" type="#_x0000_t202" style="position:absolute;margin-left:484.7pt;margin-top:792.5pt;width:48pt;height:12.1pt;z-index:-377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" filled="f" stroked="f">
              <v:textbox inset="0,0,0,0">
                <w:txbxContent>
                  <w:p w14:paraId="404C5C6E"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D70A" w14:textId="77777777" w:rsidR="00C31389" w:rsidRDefault="00561FBD">
    <w:pPr>
      <w:pStyle w:val="BodyText"/>
      <w:spacing w:line="14" w:lineRule="auto"/>
      <w:rPr>
        <w:sz w:val="20"/>
      </w:rPr>
    </w:pPr>
    <w:r>
      <w:rPr>
        <w:noProof/>
      </w:rPr>
      <mc:AlternateContent>
        <mc:Choice Requires="wps">
          <w:drawing>
            <wp:anchor distT="0" distB="0" distL="0" distR="0" simplePos="0" relativeHeight="465546752" behindDoc="1" locked="0" layoutInCell="1" allowOverlap="1" wp14:anchorId="50C7BB86" wp14:editId="1971F50D">
              <wp:simplePos x="0" y="0"/>
              <wp:positionH relativeFrom="page">
                <wp:posOffset>808482</wp:posOffset>
              </wp:positionH>
              <wp:positionV relativeFrom="page">
                <wp:posOffset>9970007</wp:posOffset>
              </wp:positionV>
              <wp:extent cx="5943600" cy="1270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DC64E34" id="Graphic 701" o:spid="_x0000_s1026" style="position:absolute;margin-left:63.65pt;margin-top:785.05pt;width:468pt;height:1pt;z-index:-3776972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47264" behindDoc="1" locked="0" layoutInCell="1" allowOverlap="1" wp14:anchorId="43D2A061" wp14:editId="025F8CF9">
              <wp:simplePos x="0" y="0"/>
              <wp:positionH relativeFrom="page">
                <wp:posOffset>6155690</wp:posOffset>
              </wp:positionH>
              <wp:positionV relativeFrom="page">
                <wp:posOffset>10064908</wp:posOffset>
              </wp:positionV>
              <wp:extent cx="609600" cy="15367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432C4391"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wps:txbx>
                    <wps:bodyPr wrap="square" lIns="0" tIns="0" rIns="0" bIns="0" rtlCol="0">
                      <a:noAutofit/>
                    </wps:bodyPr>
                  </wps:wsp>
                </a:graphicData>
              </a:graphic>
            </wp:anchor>
          </w:drawing>
        </mc:Choice>
        <mc:Fallback>
          <w:pict>
            <v:shapetype w14:anchorId="43D2A061" id="_x0000_t202" coordsize="21600,21600" o:spt="202" path="m,l,21600r21600,l21600,xe">
              <v:stroke joinstyle="miter"/>
              <v:path gradientshapeok="t" o:connecttype="rect"/>
            </v:shapetype>
            <v:shape id="Textbox 702" o:spid="_x0000_s1353" type="#_x0000_t202" style="position:absolute;margin-left:484.7pt;margin-top:792.5pt;width:48pt;height:12.1pt;z-index:-377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" filled="f" stroked="f">
              <v:textbox inset="0,0,0,0">
                <w:txbxContent>
                  <w:p w14:paraId="432C4391"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16CA" w14:textId="77777777" w:rsidR="00C31389" w:rsidRDefault="00561FBD">
    <w:pPr>
      <w:pStyle w:val="BodyText"/>
      <w:spacing w:line="14" w:lineRule="auto"/>
      <w:rPr>
        <w:sz w:val="20"/>
      </w:rPr>
    </w:pPr>
    <w:r>
      <w:rPr>
        <w:noProof/>
      </w:rPr>
      <mc:AlternateContent>
        <mc:Choice Requires="wps">
          <w:drawing>
            <wp:anchor distT="0" distB="0" distL="0" distR="0" simplePos="0" relativeHeight="465549312" behindDoc="1" locked="0" layoutInCell="1" allowOverlap="1" wp14:anchorId="6A308A2D" wp14:editId="6331CDAB">
              <wp:simplePos x="0" y="0"/>
              <wp:positionH relativeFrom="page">
                <wp:posOffset>808482</wp:posOffset>
              </wp:positionH>
              <wp:positionV relativeFrom="page">
                <wp:posOffset>9970007</wp:posOffset>
              </wp:positionV>
              <wp:extent cx="5943600" cy="12700"/>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A2F0560" id="Graphic 743" o:spid="_x0000_s1026" style="position:absolute;margin-left:63.65pt;margin-top:785.05pt;width:468pt;height:1pt;z-index:-3776716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49824" behindDoc="1" locked="0" layoutInCell="1" allowOverlap="1" wp14:anchorId="08ABF37D" wp14:editId="47A8B822">
              <wp:simplePos x="0" y="0"/>
              <wp:positionH relativeFrom="page">
                <wp:posOffset>6155690</wp:posOffset>
              </wp:positionH>
              <wp:positionV relativeFrom="page">
                <wp:posOffset>10064908</wp:posOffset>
              </wp:positionV>
              <wp:extent cx="609600" cy="15367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1AE649DF"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type w14:anchorId="08ABF37D" id="_x0000_t202" coordsize="21600,21600" o:spt="202" path="m,l,21600r21600,l21600,xe">
              <v:stroke joinstyle="miter"/>
              <v:path gradientshapeok="t" o:connecttype="rect"/>
            </v:shapetype>
            <v:shape id="Textbox 744" o:spid="_x0000_s1356" type="#_x0000_t202" style="position:absolute;margin-left:484.7pt;margin-top:792.5pt;width:48pt;height:12.1pt;z-index:-377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" filled="f" stroked="f">
              <v:textbox inset="0,0,0,0">
                <w:txbxContent>
                  <w:p w14:paraId="1AE649DF"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6602" w14:textId="77777777" w:rsidR="00C31389" w:rsidRDefault="00561FBD">
    <w:pPr>
      <w:pStyle w:val="BodyText"/>
      <w:spacing w:line="14" w:lineRule="auto"/>
      <w:rPr>
        <w:sz w:val="20"/>
      </w:rPr>
    </w:pPr>
    <w:r>
      <w:rPr>
        <w:noProof/>
      </w:rPr>
      <mc:AlternateContent>
        <mc:Choice Requires="wps">
          <w:drawing>
            <wp:anchor distT="0" distB="0" distL="0" distR="0" simplePos="0" relativeHeight="465552384" behindDoc="1" locked="0" layoutInCell="1" allowOverlap="1" wp14:anchorId="57E1BA25" wp14:editId="09AF0F1C">
              <wp:simplePos x="0" y="0"/>
              <wp:positionH relativeFrom="page">
                <wp:posOffset>808482</wp:posOffset>
              </wp:positionH>
              <wp:positionV relativeFrom="page">
                <wp:posOffset>9970007</wp:posOffset>
              </wp:positionV>
              <wp:extent cx="5943600" cy="1270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F7B67DD" id="Graphic 776" o:spid="_x0000_s1026" style="position:absolute;margin-left:63.65pt;margin-top:785.05pt;width:468pt;height:1pt;z-index:-3776409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52896" behindDoc="1" locked="0" layoutInCell="1" allowOverlap="1" wp14:anchorId="1BE36DB4" wp14:editId="7EF465A2">
              <wp:simplePos x="0" y="0"/>
              <wp:positionH relativeFrom="page">
                <wp:posOffset>6155690</wp:posOffset>
              </wp:positionH>
              <wp:positionV relativeFrom="page">
                <wp:posOffset>10064908</wp:posOffset>
              </wp:positionV>
              <wp:extent cx="609600" cy="15367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0E6C4554"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wps:txbx>
                    <wps:bodyPr wrap="square" lIns="0" tIns="0" rIns="0" bIns="0" rtlCol="0">
                      <a:noAutofit/>
                    </wps:bodyPr>
                  </wps:wsp>
                </a:graphicData>
              </a:graphic>
            </wp:anchor>
          </w:drawing>
        </mc:Choice>
        <mc:Fallback>
          <w:pict>
            <v:shapetype w14:anchorId="1BE36DB4" id="_x0000_t202" coordsize="21600,21600" o:spt="202" path="m,l,21600r21600,l21600,xe">
              <v:stroke joinstyle="miter"/>
              <v:path gradientshapeok="t" o:connecttype="rect"/>
            </v:shapetype>
            <v:shape id="Textbox 777" o:spid="_x0000_s1359" type="#_x0000_t202" style="position:absolute;margin-left:484.7pt;margin-top:792.5pt;width:48pt;height:12.1pt;z-index:-377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" filled="f" stroked="f">
              <v:textbox inset="0,0,0,0">
                <w:txbxContent>
                  <w:p w14:paraId="0E6C4554"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A7A2" w14:textId="77777777" w:rsidR="00C31389" w:rsidRDefault="00561FBD">
    <w:pPr>
      <w:pStyle w:val="BodyText"/>
      <w:spacing w:line="14" w:lineRule="auto"/>
      <w:rPr>
        <w:sz w:val="20"/>
      </w:rPr>
    </w:pPr>
    <w:r>
      <w:rPr>
        <w:noProof/>
      </w:rPr>
      <mc:AlternateContent>
        <mc:Choice Requires="wps">
          <w:drawing>
            <wp:anchor distT="0" distB="0" distL="0" distR="0" simplePos="0" relativeHeight="465554944" behindDoc="1" locked="0" layoutInCell="1" allowOverlap="1" wp14:anchorId="0134970E" wp14:editId="5993AE74">
              <wp:simplePos x="0" y="0"/>
              <wp:positionH relativeFrom="page">
                <wp:posOffset>808482</wp:posOffset>
              </wp:positionH>
              <wp:positionV relativeFrom="page">
                <wp:posOffset>9970007</wp:posOffset>
              </wp:positionV>
              <wp:extent cx="5943600" cy="12700"/>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F8B10F6" id="Graphic 785" o:spid="_x0000_s1026" style="position:absolute;margin-left:63.65pt;margin-top:785.05pt;width:468pt;height:1pt;z-index:-3776153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55456" behindDoc="1" locked="0" layoutInCell="1" allowOverlap="1" wp14:anchorId="11988517" wp14:editId="23368658">
              <wp:simplePos x="0" y="0"/>
              <wp:positionH relativeFrom="page">
                <wp:posOffset>6155690</wp:posOffset>
              </wp:positionH>
              <wp:positionV relativeFrom="page">
                <wp:posOffset>10064908</wp:posOffset>
              </wp:positionV>
              <wp:extent cx="609600" cy="153670"/>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206115E6"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wps:txbx>
                    <wps:bodyPr wrap="square" lIns="0" tIns="0" rIns="0" bIns="0" rtlCol="0">
                      <a:noAutofit/>
                    </wps:bodyPr>
                  </wps:wsp>
                </a:graphicData>
              </a:graphic>
            </wp:anchor>
          </w:drawing>
        </mc:Choice>
        <mc:Fallback>
          <w:pict>
            <v:shapetype w14:anchorId="11988517" id="_x0000_t202" coordsize="21600,21600" o:spt="202" path="m,l,21600r21600,l21600,xe">
              <v:stroke joinstyle="miter"/>
              <v:path gradientshapeok="t" o:connecttype="rect"/>
            </v:shapetype>
            <v:shape id="Textbox 786" o:spid="_x0000_s1362" type="#_x0000_t202" style="position:absolute;margin-left:484.7pt;margin-top:792.5pt;width:48pt;height:12.1pt;z-index:-377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" filled="f" stroked="f">
              <v:textbox inset="0,0,0,0">
                <w:txbxContent>
                  <w:p w14:paraId="206115E6" w14:textId="77777777" w:rsidR="00C31389" w:rsidRDefault="00561FBD">
                    <w:pPr>
                      <w:spacing w:before="14"/>
                      <w:ind w:left="20"/>
                      <w:rPr>
                        <w:sz w:val="18"/>
                      </w:rPr>
                    </w:pPr>
                    <w:r>
                      <w:rPr>
                        <w:sz w:val="18"/>
                      </w:rPr>
                      <w:t>Page</w:t>
                    </w:r>
                    <w:r>
                      <w:rPr>
                        <w:spacing w:val="-3"/>
                        <w:sz w:val="18"/>
                      </w:rPr>
                      <w:t xml:space="preserve"> </w:t>
                    </w:r>
                    <w:r>
                      <w:rPr>
                        <w:sz w:val="18"/>
                      </w:rPr>
                      <w:t>C-</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4015" w14:textId="77777777" w:rsidR="00C31389" w:rsidRDefault="00561FBD">
    <w:pPr>
      <w:pStyle w:val="BodyText"/>
      <w:spacing w:line="14" w:lineRule="auto"/>
      <w:rPr>
        <w:sz w:val="20"/>
      </w:rPr>
    </w:pPr>
    <w:r>
      <w:rPr>
        <w:noProof/>
      </w:rPr>
      <mc:AlternateContent>
        <mc:Choice Requires="wps">
          <w:drawing>
            <wp:anchor distT="0" distB="0" distL="0" distR="0" simplePos="0" relativeHeight="465430528" behindDoc="1" locked="0" layoutInCell="1" allowOverlap="1" wp14:anchorId="05972466" wp14:editId="125C1315">
              <wp:simplePos x="0" y="0"/>
              <wp:positionH relativeFrom="page">
                <wp:posOffset>914400</wp:posOffset>
              </wp:positionH>
              <wp:positionV relativeFrom="page">
                <wp:posOffset>9336798</wp:posOffset>
              </wp:positionV>
              <wp:extent cx="5943600" cy="127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3AF1AE3" id="Graphic 46" o:spid="_x0000_s1026" style="position:absolute;margin-left:1in;margin-top:735.2pt;width:468pt;height:1pt;z-index:-3788595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31040" behindDoc="1" locked="0" layoutInCell="1" allowOverlap="1" wp14:anchorId="7154BEAE" wp14:editId="5B23FFF0">
              <wp:simplePos x="0" y="0"/>
              <wp:positionH relativeFrom="page">
                <wp:posOffset>6394958</wp:posOffset>
              </wp:positionH>
              <wp:positionV relativeFrom="page">
                <wp:posOffset>9430925</wp:posOffset>
              </wp:positionV>
              <wp:extent cx="476250"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53670"/>
                      </a:xfrm>
                      <a:prstGeom prst="rect">
                        <a:avLst/>
                      </a:prstGeom>
                    </wps:spPr>
                    <wps:txbx>
                      <w:txbxContent>
                        <w:p w14:paraId="0FE3B8D4"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 roman </w:instrText>
                          </w:r>
                          <w:r>
                            <w:rPr>
                              <w:spacing w:val="-5"/>
                              <w:sz w:val="18"/>
                            </w:rPr>
                            <w:fldChar w:fldCharType="separate"/>
                          </w:r>
                          <w:r>
                            <w:rPr>
                              <w:spacing w:val="-5"/>
                              <w:sz w:val="18"/>
                            </w:rPr>
                            <w:t>xv</w:t>
                          </w:r>
                          <w:r>
                            <w:rPr>
                              <w:spacing w:val="-5"/>
                              <w:sz w:val="18"/>
                            </w:rPr>
                            <w:fldChar w:fldCharType="end"/>
                          </w:r>
                        </w:p>
                      </w:txbxContent>
                    </wps:txbx>
                    <wps:bodyPr wrap="square" lIns="0" tIns="0" rIns="0" bIns="0" rtlCol="0">
                      <a:noAutofit/>
                    </wps:bodyPr>
                  </wps:wsp>
                </a:graphicData>
              </a:graphic>
            </wp:anchor>
          </w:drawing>
        </mc:Choice>
        <mc:Fallback>
          <w:pict>
            <v:shapetype w14:anchorId="7154BEAE" id="_x0000_t202" coordsize="21600,21600" o:spt="202" path="m,l,21600r21600,l21600,xe">
              <v:stroke joinstyle="miter"/>
              <v:path gradientshapeok="t" o:connecttype="rect"/>
            </v:shapetype>
            <v:shape id="Textbox 47" o:spid="_x0000_s1230" type="#_x0000_t202" style="position:absolute;margin-left:503.55pt;margin-top:742.6pt;width:37.5pt;height:12.1pt;z-index:-378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" filled="f" stroked="f">
              <v:textbox inset="0,0,0,0">
                <w:txbxContent>
                  <w:p w14:paraId="0FE3B8D4" w14:textId="77777777" w:rsidR="00C31389" w:rsidRDefault="00561FBD">
                    <w:pPr>
                      <w:spacing w:before="14"/>
                      <w:ind w:left="20"/>
                      <w:rPr>
                        <w:sz w:val="18"/>
                      </w:rPr>
                    </w:pPr>
                    <w:r>
                      <w:rPr>
                        <w:sz w:val="18"/>
                      </w:rPr>
                      <w:t>Page</w:t>
                    </w:r>
                    <w:r>
                      <w:rPr>
                        <w:spacing w:val="-3"/>
                        <w:sz w:val="18"/>
                      </w:rPr>
                      <w:t xml:space="preserve"> </w:t>
                    </w:r>
                    <w:r>
                      <w:rPr>
                        <w:spacing w:val="-5"/>
                        <w:sz w:val="18"/>
                      </w:rPr>
                      <w:fldChar w:fldCharType="begin"/>
                    </w:r>
                    <w:r>
                      <w:rPr>
                        <w:spacing w:val="-5"/>
                        <w:sz w:val="18"/>
                      </w:rPr>
                      <w:instrText xml:space="preserve"> PAGE  \* roman </w:instrText>
                    </w:r>
                    <w:r>
                      <w:rPr>
                        <w:spacing w:val="-5"/>
                        <w:sz w:val="18"/>
                      </w:rPr>
                      <w:fldChar w:fldCharType="separate"/>
                    </w:r>
                    <w:r>
                      <w:rPr>
                        <w:spacing w:val="-5"/>
                        <w:sz w:val="18"/>
                      </w:rPr>
                      <w:t>xv</w:t>
                    </w:r>
                    <w:r>
                      <w:rPr>
                        <w:spacing w:val="-5"/>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8139" w14:textId="77777777" w:rsidR="00C31389" w:rsidRDefault="00561FBD">
    <w:pPr>
      <w:pStyle w:val="BodyText"/>
      <w:spacing w:line="14" w:lineRule="auto"/>
      <w:rPr>
        <w:sz w:val="20"/>
      </w:rPr>
    </w:pPr>
    <w:r>
      <w:rPr>
        <w:noProof/>
      </w:rPr>
      <mc:AlternateContent>
        <mc:Choice Requires="wps">
          <w:drawing>
            <wp:anchor distT="0" distB="0" distL="0" distR="0" simplePos="0" relativeHeight="465557504" behindDoc="1" locked="0" layoutInCell="1" allowOverlap="1" wp14:anchorId="45407AF6" wp14:editId="55BA0888">
              <wp:simplePos x="0" y="0"/>
              <wp:positionH relativeFrom="page">
                <wp:posOffset>808482</wp:posOffset>
              </wp:positionH>
              <wp:positionV relativeFrom="page">
                <wp:posOffset>9970007</wp:posOffset>
              </wp:positionV>
              <wp:extent cx="5943600" cy="1270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01A1A5B" id="Graphic 795" o:spid="_x0000_s1026" style="position:absolute;margin-left:63.65pt;margin-top:785.05pt;width:468pt;height:1pt;z-index:-3775897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58016" behindDoc="1" locked="0" layoutInCell="1" allowOverlap="1" wp14:anchorId="5CE62917" wp14:editId="04C32F7A">
              <wp:simplePos x="0" y="0"/>
              <wp:positionH relativeFrom="page">
                <wp:posOffset>6155690</wp:posOffset>
              </wp:positionH>
              <wp:positionV relativeFrom="page">
                <wp:posOffset>10064908</wp:posOffset>
              </wp:positionV>
              <wp:extent cx="609600" cy="15367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6EEBCC58"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wps:txbx>
                    <wps:bodyPr wrap="square" lIns="0" tIns="0" rIns="0" bIns="0" rtlCol="0">
                      <a:noAutofit/>
                    </wps:bodyPr>
                  </wps:wsp>
                </a:graphicData>
              </a:graphic>
            </wp:anchor>
          </w:drawing>
        </mc:Choice>
        <mc:Fallback>
          <w:pict>
            <v:shapetype w14:anchorId="5CE62917" id="_x0000_t202" coordsize="21600,21600" o:spt="202" path="m,l,21600r21600,l21600,xe">
              <v:stroke joinstyle="miter"/>
              <v:path gradientshapeok="t" o:connecttype="rect"/>
            </v:shapetype>
            <v:shape id="Textbox 796" o:spid="_x0000_s1365" type="#_x0000_t202" style="position:absolute;margin-left:484.7pt;margin-top:792.5pt;width:48pt;height:12.1pt;z-index:-377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" filled="f" stroked="f">
              <v:textbox inset="0,0,0,0">
                <w:txbxContent>
                  <w:p w14:paraId="6EEBCC58"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26C1" w14:textId="77777777" w:rsidR="00C31389" w:rsidRDefault="00561FBD">
    <w:pPr>
      <w:pStyle w:val="BodyText"/>
      <w:spacing w:line="14" w:lineRule="auto"/>
      <w:rPr>
        <w:sz w:val="20"/>
      </w:rPr>
    </w:pPr>
    <w:r>
      <w:rPr>
        <w:noProof/>
      </w:rPr>
      <mc:AlternateContent>
        <mc:Choice Requires="wps">
          <w:drawing>
            <wp:anchor distT="0" distB="0" distL="0" distR="0" simplePos="0" relativeHeight="465560576" behindDoc="1" locked="0" layoutInCell="1" allowOverlap="1" wp14:anchorId="1AEFF987" wp14:editId="03447B93">
              <wp:simplePos x="0" y="0"/>
              <wp:positionH relativeFrom="page">
                <wp:posOffset>808482</wp:posOffset>
              </wp:positionH>
              <wp:positionV relativeFrom="page">
                <wp:posOffset>9970007</wp:posOffset>
              </wp:positionV>
              <wp:extent cx="5943600" cy="12700"/>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8C16D5E" id="Graphic 803" o:spid="_x0000_s1026" style="position:absolute;margin-left:63.65pt;margin-top:785.05pt;width:468pt;height:1pt;z-index:-3775590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61088" behindDoc="1" locked="0" layoutInCell="1" allowOverlap="1" wp14:anchorId="75456D79" wp14:editId="0385A835">
              <wp:simplePos x="0" y="0"/>
              <wp:positionH relativeFrom="page">
                <wp:posOffset>6155690</wp:posOffset>
              </wp:positionH>
              <wp:positionV relativeFrom="page">
                <wp:posOffset>10064908</wp:posOffset>
              </wp:positionV>
              <wp:extent cx="609600" cy="15367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0F1B7B54"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v:shapetype w14:anchorId="75456D79" id="_x0000_t202" coordsize="21600,21600" o:spt="202" path="m,l,21600r21600,l21600,xe">
              <v:stroke joinstyle="miter"/>
              <v:path gradientshapeok="t" o:connecttype="rect"/>
            </v:shapetype>
            <v:shape id="Textbox 804" o:spid="_x0000_s1368" type="#_x0000_t202" style="position:absolute;margin-left:484.7pt;margin-top:792.5pt;width:48pt;height:12.1pt;z-index:-377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" filled="f" stroked="f">
              <v:textbox inset="0,0,0,0">
                <w:txbxContent>
                  <w:p w14:paraId="0F1B7B54"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AF4B" w14:textId="77777777" w:rsidR="00C31389" w:rsidRDefault="00561FBD">
    <w:pPr>
      <w:pStyle w:val="BodyText"/>
      <w:spacing w:line="14" w:lineRule="auto"/>
      <w:rPr>
        <w:sz w:val="20"/>
      </w:rPr>
    </w:pPr>
    <w:r>
      <w:rPr>
        <w:noProof/>
      </w:rPr>
      <mc:AlternateContent>
        <mc:Choice Requires="wps">
          <w:drawing>
            <wp:anchor distT="0" distB="0" distL="0" distR="0" simplePos="0" relativeHeight="465563136" behindDoc="1" locked="0" layoutInCell="1" allowOverlap="1" wp14:anchorId="51304C94" wp14:editId="44F6A315">
              <wp:simplePos x="0" y="0"/>
              <wp:positionH relativeFrom="page">
                <wp:posOffset>808482</wp:posOffset>
              </wp:positionH>
              <wp:positionV relativeFrom="page">
                <wp:posOffset>9970007</wp:posOffset>
              </wp:positionV>
              <wp:extent cx="5943600" cy="12700"/>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63D9A75" id="Graphic 818" o:spid="_x0000_s1026" style="position:absolute;margin-left:63.65pt;margin-top:785.05pt;width:468pt;height:1pt;z-index:-3775334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63648" behindDoc="1" locked="0" layoutInCell="1" allowOverlap="1" wp14:anchorId="44DB23E3" wp14:editId="25FC8B57">
              <wp:simplePos x="0" y="0"/>
              <wp:positionH relativeFrom="page">
                <wp:posOffset>6155690</wp:posOffset>
              </wp:positionH>
              <wp:positionV relativeFrom="page">
                <wp:posOffset>10064908</wp:posOffset>
              </wp:positionV>
              <wp:extent cx="609600" cy="153670"/>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2AE81A05"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wps:txbx>
                    <wps:bodyPr wrap="square" lIns="0" tIns="0" rIns="0" bIns="0" rtlCol="0">
                      <a:noAutofit/>
                    </wps:bodyPr>
                  </wps:wsp>
                </a:graphicData>
              </a:graphic>
            </wp:anchor>
          </w:drawing>
        </mc:Choice>
        <mc:Fallback>
          <w:pict>
            <v:shapetype w14:anchorId="44DB23E3" id="_x0000_t202" coordsize="21600,21600" o:spt="202" path="m,l,21600r21600,l21600,xe">
              <v:stroke joinstyle="miter"/>
              <v:path gradientshapeok="t" o:connecttype="rect"/>
            </v:shapetype>
            <v:shape id="Textbox 819" o:spid="_x0000_s1371" type="#_x0000_t202" style="position:absolute;margin-left:484.7pt;margin-top:792.5pt;width:48pt;height:12.1pt;z-index:-377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" filled="f" stroked="f">
              <v:textbox inset="0,0,0,0">
                <w:txbxContent>
                  <w:p w14:paraId="2AE81A05"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2DD9" w14:textId="77777777" w:rsidR="00C31389" w:rsidRDefault="00561FBD">
    <w:pPr>
      <w:pStyle w:val="BodyText"/>
      <w:spacing w:line="14" w:lineRule="auto"/>
      <w:rPr>
        <w:sz w:val="20"/>
      </w:rPr>
    </w:pPr>
    <w:r>
      <w:rPr>
        <w:noProof/>
      </w:rPr>
      <mc:AlternateContent>
        <mc:Choice Requires="wps">
          <w:drawing>
            <wp:anchor distT="0" distB="0" distL="0" distR="0" simplePos="0" relativeHeight="465566208" behindDoc="1" locked="0" layoutInCell="1" allowOverlap="1" wp14:anchorId="580EA0BC" wp14:editId="44392B62">
              <wp:simplePos x="0" y="0"/>
              <wp:positionH relativeFrom="page">
                <wp:posOffset>808482</wp:posOffset>
              </wp:positionH>
              <wp:positionV relativeFrom="page">
                <wp:posOffset>9970007</wp:posOffset>
              </wp:positionV>
              <wp:extent cx="5943600" cy="12700"/>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5881B5C" id="Graphic 830" o:spid="_x0000_s1026" style="position:absolute;margin-left:63.65pt;margin-top:785.05pt;width:468pt;height:1pt;z-index:-3775027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66720" behindDoc="1" locked="0" layoutInCell="1" allowOverlap="1" wp14:anchorId="60421555" wp14:editId="623949B3">
              <wp:simplePos x="0" y="0"/>
              <wp:positionH relativeFrom="page">
                <wp:posOffset>6155690</wp:posOffset>
              </wp:positionH>
              <wp:positionV relativeFrom="page">
                <wp:posOffset>10064908</wp:posOffset>
              </wp:positionV>
              <wp:extent cx="609600" cy="15367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6C9256D0"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wps:txbx>
                    <wps:bodyPr wrap="square" lIns="0" tIns="0" rIns="0" bIns="0" rtlCol="0">
                      <a:noAutofit/>
                    </wps:bodyPr>
                  </wps:wsp>
                </a:graphicData>
              </a:graphic>
            </wp:anchor>
          </w:drawing>
        </mc:Choice>
        <mc:Fallback>
          <w:pict>
            <v:shapetype w14:anchorId="60421555" id="_x0000_t202" coordsize="21600,21600" o:spt="202" path="m,l,21600r21600,l21600,xe">
              <v:stroke joinstyle="miter"/>
              <v:path gradientshapeok="t" o:connecttype="rect"/>
            </v:shapetype>
            <v:shape id="Textbox 831" o:spid="_x0000_s1374" type="#_x0000_t202" style="position:absolute;margin-left:484.7pt;margin-top:792.5pt;width:48pt;height:12.1pt;z-index:-377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" filled="f" stroked="f">
              <v:textbox inset="0,0,0,0">
                <w:txbxContent>
                  <w:p w14:paraId="6C9256D0"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9B4A" w14:textId="77777777" w:rsidR="00C31389" w:rsidRDefault="00561FBD">
    <w:pPr>
      <w:pStyle w:val="BodyText"/>
      <w:spacing w:line="14" w:lineRule="auto"/>
      <w:rPr>
        <w:sz w:val="20"/>
      </w:rPr>
    </w:pPr>
    <w:r>
      <w:rPr>
        <w:noProof/>
      </w:rPr>
      <mc:AlternateContent>
        <mc:Choice Requires="wps">
          <w:drawing>
            <wp:anchor distT="0" distB="0" distL="0" distR="0" simplePos="0" relativeHeight="465568768" behindDoc="1" locked="0" layoutInCell="1" allowOverlap="1" wp14:anchorId="4385A50B" wp14:editId="79197E9E">
              <wp:simplePos x="0" y="0"/>
              <wp:positionH relativeFrom="page">
                <wp:posOffset>808482</wp:posOffset>
              </wp:positionH>
              <wp:positionV relativeFrom="page">
                <wp:posOffset>9970007</wp:posOffset>
              </wp:positionV>
              <wp:extent cx="5943600" cy="12700"/>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D9C6498" id="Graphic 848" o:spid="_x0000_s1026" style="position:absolute;margin-left:63.65pt;margin-top:785.05pt;width:468pt;height:1pt;z-index:-3774771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69280" behindDoc="1" locked="0" layoutInCell="1" allowOverlap="1" wp14:anchorId="621B7B9E" wp14:editId="53623EEE">
              <wp:simplePos x="0" y="0"/>
              <wp:positionH relativeFrom="page">
                <wp:posOffset>6155690</wp:posOffset>
              </wp:positionH>
              <wp:positionV relativeFrom="page">
                <wp:posOffset>10064908</wp:posOffset>
              </wp:positionV>
              <wp:extent cx="609600" cy="153670"/>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702C4933"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v:shapetype w14:anchorId="621B7B9E" id="_x0000_t202" coordsize="21600,21600" o:spt="202" path="m,l,21600r21600,l21600,xe">
              <v:stroke joinstyle="miter"/>
              <v:path gradientshapeok="t" o:connecttype="rect"/>
            </v:shapetype>
            <v:shape id="Textbox 849" o:spid="_x0000_s1377" type="#_x0000_t202" style="position:absolute;margin-left:484.7pt;margin-top:792.5pt;width:48pt;height:12.1pt;z-index:-377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" filled="f" stroked="f">
              <v:textbox inset="0,0,0,0">
                <w:txbxContent>
                  <w:p w14:paraId="702C4933"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18DA" w14:textId="77777777" w:rsidR="00C31389" w:rsidRDefault="00561FBD">
    <w:pPr>
      <w:pStyle w:val="BodyText"/>
      <w:spacing w:line="14" w:lineRule="auto"/>
      <w:rPr>
        <w:sz w:val="20"/>
      </w:rPr>
    </w:pPr>
    <w:r>
      <w:rPr>
        <w:noProof/>
      </w:rPr>
      <mc:AlternateContent>
        <mc:Choice Requires="wps">
          <w:drawing>
            <wp:anchor distT="0" distB="0" distL="0" distR="0" simplePos="0" relativeHeight="465571840" behindDoc="1" locked="0" layoutInCell="1" allowOverlap="1" wp14:anchorId="4FB9B2BE" wp14:editId="220B1285">
              <wp:simplePos x="0" y="0"/>
              <wp:positionH relativeFrom="page">
                <wp:posOffset>808482</wp:posOffset>
              </wp:positionH>
              <wp:positionV relativeFrom="page">
                <wp:posOffset>9970007</wp:posOffset>
              </wp:positionV>
              <wp:extent cx="5943600" cy="12700"/>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99D0FBF" id="Graphic 857" o:spid="_x0000_s1026" style="position:absolute;margin-left:63.65pt;margin-top:785.05pt;width:468pt;height:1pt;z-index:-3774464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72352" behindDoc="1" locked="0" layoutInCell="1" allowOverlap="1" wp14:anchorId="1DD23696" wp14:editId="2484C9CC">
              <wp:simplePos x="0" y="0"/>
              <wp:positionH relativeFrom="page">
                <wp:posOffset>6155690</wp:posOffset>
              </wp:positionH>
              <wp:positionV relativeFrom="page">
                <wp:posOffset>10064908</wp:posOffset>
              </wp:positionV>
              <wp:extent cx="609600" cy="15367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2ACE132A"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wps:txbx>
                    <wps:bodyPr wrap="square" lIns="0" tIns="0" rIns="0" bIns="0" rtlCol="0">
                      <a:noAutofit/>
                    </wps:bodyPr>
                  </wps:wsp>
                </a:graphicData>
              </a:graphic>
            </wp:anchor>
          </w:drawing>
        </mc:Choice>
        <mc:Fallback>
          <w:pict>
            <v:shapetype w14:anchorId="1DD23696" id="_x0000_t202" coordsize="21600,21600" o:spt="202" path="m,l,21600r21600,l21600,xe">
              <v:stroke joinstyle="miter"/>
              <v:path gradientshapeok="t" o:connecttype="rect"/>
            </v:shapetype>
            <v:shape id="Textbox 858" o:spid="_x0000_s1380" type="#_x0000_t202" style="position:absolute;margin-left:484.7pt;margin-top:792.5pt;width:48pt;height:12.1pt;z-index:-377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" filled="f" stroked="f">
              <v:textbox inset="0,0,0,0">
                <w:txbxContent>
                  <w:p w14:paraId="2ACE132A"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B245" w14:textId="77777777" w:rsidR="00C31389" w:rsidRDefault="00561FBD">
    <w:pPr>
      <w:pStyle w:val="BodyText"/>
      <w:spacing w:line="14" w:lineRule="auto"/>
      <w:rPr>
        <w:sz w:val="20"/>
      </w:rPr>
    </w:pPr>
    <w:r>
      <w:rPr>
        <w:noProof/>
      </w:rPr>
      <mc:AlternateContent>
        <mc:Choice Requires="wps">
          <w:drawing>
            <wp:anchor distT="0" distB="0" distL="0" distR="0" simplePos="0" relativeHeight="465574400" behindDoc="1" locked="0" layoutInCell="1" allowOverlap="1" wp14:anchorId="06FFD9FC" wp14:editId="205A4342">
              <wp:simplePos x="0" y="0"/>
              <wp:positionH relativeFrom="page">
                <wp:posOffset>808482</wp:posOffset>
              </wp:positionH>
              <wp:positionV relativeFrom="page">
                <wp:posOffset>9970007</wp:posOffset>
              </wp:positionV>
              <wp:extent cx="5943600" cy="12700"/>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D7F0BDC" id="Graphic 865" o:spid="_x0000_s1026" style="position:absolute;margin-left:63.65pt;margin-top:785.05pt;width:468pt;height:1pt;z-index:-3774208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74912" behindDoc="1" locked="0" layoutInCell="1" allowOverlap="1" wp14:anchorId="41D302FC" wp14:editId="57264660">
              <wp:simplePos x="0" y="0"/>
              <wp:positionH relativeFrom="page">
                <wp:posOffset>6155690</wp:posOffset>
              </wp:positionH>
              <wp:positionV relativeFrom="page">
                <wp:posOffset>10064908</wp:posOffset>
              </wp:positionV>
              <wp:extent cx="609600" cy="153670"/>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61E44A05"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type w14:anchorId="41D302FC" id="_x0000_t202" coordsize="21600,21600" o:spt="202" path="m,l,21600r21600,l21600,xe">
              <v:stroke joinstyle="miter"/>
              <v:path gradientshapeok="t" o:connecttype="rect"/>
            </v:shapetype>
            <v:shape id="Textbox 866" o:spid="_x0000_s1383" type="#_x0000_t202" style="position:absolute;margin-left:484.7pt;margin-top:792.5pt;width:48pt;height:12.1pt;z-index:-377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" filled="f" stroked="f">
              <v:textbox inset="0,0,0,0">
                <w:txbxContent>
                  <w:p w14:paraId="61E44A05"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8675E" w14:textId="77777777" w:rsidR="00C31389" w:rsidRDefault="00561FBD">
    <w:pPr>
      <w:pStyle w:val="BodyText"/>
      <w:spacing w:line="14" w:lineRule="auto"/>
      <w:rPr>
        <w:sz w:val="20"/>
      </w:rPr>
    </w:pPr>
    <w:r>
      <w:rPr>
        <w:noProof/>
      </w:rPr>
      <mc:AlternateContent>
        <mc:Choice Requires="wps">
          <w:drawing>
            <wp:anchor distT="0" distB="0" distL="0" distR="0" simplePos="0" relativeHeight="465577472" behindDoc="1" locked="0" layoutInCell="1" allowOverlap="1" wp14:anchorId="48E43B50" wp14:editId="76C44932">
              <wp:simplePos x="0" y="0"/>
              <wp:positionH relativeFrom="page">
                <wp:posOffset>808482</wp:posOffset>
              </wp:positionH>
              <wp:positionV relativeFrom="page">
                <wp:posOffset>9970007</wp:posOffset>
              </wp:positionV>
              <wp:extent cx="5943600" cy="12700"/>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50808B4" id="Graphic 871" o:spid="_x0000_s1026" style="position:absolute;margin-left:63.65pt;margin-top:785.05pt;width:468pt;height:1pt;z-index:-3773900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77984" behindDoc="1" locked="0" layoutInCell="1" allowOverlap="1" wp14:anchorId="6338FAE6" wp14:editId="1BFE2D96">
              <wp:simplePos x="0" y="0"/>
              <wp:positionH relativeFrom="page">
                <wp:posOffset>6155690</wp:posOffset>
              </wp:positionH>
              <wp:positionV relativeFrom="page">
                <wp:posOffset>10064908</wp:posOffset>
              </wp:positionV>
              <wp:extent cx="609600" cy="15367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53670"/>
                      </a:xfrm>
                      <a:prstGeom prst="rect">
                        <a:avLst/>
                      </a:prstGeom>
                    </wps:spPr>
                    <wps:txbx>
                      <w:txbxContent>
                        <w:p w14:paraId="75C3435B"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6338FAE6" id="_x0000_t202" coordsize="21600,21600" o:spt="202" path="m,l,21600r21600,l21600,xe">
              <v:stroke joinstyle="miter"/>
              <v:path gradientshapeok="t" o:connecttype="rect"/>
            </v:shapetype>
            <v:shape id="Textbox 872" o:spid="_x0000_s1386" type="#_x0000_t202" style="position:absolute;margin-left:484.7pt;margin-top:792.5pt;width:48pt;height:12.1pt;z-index:-377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" filled="f" stroked="f">
              <v:textbox inset="0,0,0,0">
                <w:txbxContent>
                  <w:p w14:paraId="75C3435B" w14:textId="77777777" w:rsidR="00C31389" w:rsidRDefault="00561FBD">
                    <w:pPr>
                      <w:spacing w:before="14"/>
                      <w:ind w:left="20"/>
                      <w:rPr>
                        <w:sz w:val="18"/>
                      </w:rPr>
                    </w:pPr>
                    <w:r>
                      <w:rPr>
                        <w:sz w:val="18"/>
                      </w:rPr>
                      <w:t>Page</w:t>
                    </w:r>
                    <w:r>
                      <w:rPr>
                        <w:spacing w:val="-3"/>
                        <w:sz w:val="18"/>
                      </w:rPr>
                      <w:t xml:space="preserve"> </w:t>
                    </w:r>
                    <w:r>
                      <w:rPr>
                        <w:sz w:val="18"/>
                      </w:rPr>
                      <w:t>D-</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9096" w14:textId="77777777" w:rsidR="00C31389" w:rsidRDefault="00561FBD">
    <w:pPr>
      <w:pStyle w:val="BodyText"/>
      <w:spacing w:line="14" w:lineRule="auto"/>
      <w:rPr>
        <w:sz w:val="20"/>
      </w:rPr>
    </w:pPr>
    <w:r>
      <w:rPr>
        <w:noProof/>
      </w:rPr>
      <mc:AlternateContent>
        <mc:Choice Requires="wps">
          <w:drawing>
            <wp:anchor distT="0" distB="0" distL="0" distR="0" simplePos="0" relativeHeight="465580544" behindDoc="1" locked="0" layoutInCell="1" allowOverlap="1" wp14:anchorId="1E333256" wp14:editId="2D1ECEBB">
              <wp:simplePos x="0" y="0"/>
              <wp:positionH relativeFrom="page">
                <wp:posOffset>808482</wp:posOffset>
              </wp:positionH>
              <wp:positionV relativeFrom="page">
                <wp:posOffset>9970007</wp:posOffset>
              </wp:positionV>
              <wp:extent cx="5943600" cy="12700"/>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C697E8E" id="Graphic 878" o:spid="_x0000_s1026" style="position:absolute;margin-left:63.65pt;margin-top:785.05pt;width:468pt;height:1pt;z-index:-3773593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81056" behindDoc="1" locked="0" layoutInCell="1" allowOverlap="1" wp14:anchorId="11EDAC56" wp14:editId="65F90EE5">
              <wp:simplePos x="0" y="0"/>
              <wp:positionH relativeFrom="page">
                <wp:posOffset>6225794</wp:posOffset>
              </wp:positionH>
              <wp:positionV relativeFrom="page">
                <wp:posOffset>10064908</wp:posOffset>
              </wp:positionV>
              <wp:extent cx="539750" cy="15367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3670"/>
                      </a:xfrm>
                      <a:prstGeom prst="rect">
                        <a:avLst/>
                      </a:prstGeom>
                    </wps:spPr>
                    <wps:txbx>
                      <w:txbxContent>
                        <w:p w14:paraId="6926077A" w14:textId="77777777" w:rsidR="00C31389" w:rsidRDefault="00561FBD">
                          <w:pPr>
                            <w:spacing w:before="14"/>
                            <w:ind w:left="20"/>
                            <w:rPr>
                              <w:sz w:val="18"/>
                            </w:rPr>
                          </w:pPr>
                          <w:r>
                            <w:rPr>
                              <w:sz w:val="18"/>
                            </w:rPr>
                            <w:t>Page</w:t>
                          </w:r>
                          <w:r>
                            <w:rPr>
                              <w:spacing w:val="-4"/>
                              <w:sz w:val="18"/>
                            </w:rPr>
                            <w:t xml:space="preserve"> </w:t>
                          </w:r>
                          <w:r>
                            <w:rPr>
                              <w:sz w:val="18"/>
                            </w:rPr>
                            <w:t>E-</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11EDAC56" id="_x0000_t202" coordsize="21600,21600" o:spt="202" path="m,l,21600r21600,l21600,xe">
              <v:stroke joinstyle="miter"/>
              <v:path gradientshapeok="t" o:connecttype="rect"/>
            </v:shapetype>
            <v:shape id="Textbox 879" o:spid="_x0000_s1389" type="#_x0000_t202" style="position:absolute;margin-left:490.2pt;margin-top:792.5pt;width:42.5pt;height:12.1pt;z-index:-377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" filled="f" stroked="f">
              <v:textbox inset="0,0,0,0">
                <w:txbxContent>
                  <w:p w14:paraId="6926077A" w14:textId="77777777" w:rsidR="00C31389" w:rsidRDefault="00561FBD">
                    <w:pPr>
                      <w:spacing w:before="14"/>
                      <w:ind w:left="20"/>
                      <w:rPr>
                        <w:sz w:val="18"/>
                      </w:rPr>
                    </w:pPr>
                    <w:r>
                      <w:rPr>
                        <w:sz w:val="18"/>
                      </w:rPr>
                      <w:t>Page</w:t>
                    </w:r>
                    <w:r>
                      <w:rPr>
                        <w:spacing w:val="-4"/>
                        <w:sz w:val="18"/>
                      </w:rPr>
                      <w:t xml:space="preserve"> </w:t>
                    </w:r>
                    <w:r>
                      <w:rPr>
                        <w:sz w:val="18"/>
                      </w:rPr>
                      <w:t>E-</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4101" w14:textId="77777777" w:rsidR="00C31389" w:rsidRDefault="00561FBD">
    <w:pPr>
      <w:pStyle w:val="BodyText"/>
      <w:spacing w:line="14" w:lineRule="auto"/>
      <w:rPr>
        <w:sz w:val="20"/>
      </w:rPr>
    </w:pPr>
    <w:r>
      <w:rPr>
        <w:noProof/>
      </w:rPr>
      <mc:AlternateContent>
        <mc:Choice Requires="wps">
          <w:drawing>
            <wp:anchor distT="0" distB="0" distL="0" distR="0" simplePos="0" relativeHeight="465583104" behindDoc="1" locked="0" layoutInCell="1" allowOverlap="1" wp14:anchorId="74060B6B" wp14:editId="26F10275">
              <wp:simplePos x="0" y="0"/>
              <wp:positionH relativeFrom="page">
                <wp:posOffset>808482</wp:posOffset>
              </wp:positionH>
              <wp:positionV relativeFrom="page">
                <wp:posOffset>9970007</wp:posOffset>
              </wp:positionV>
              <wp:extent cx="5943600" cy="12700"/>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000F414" id="Graphic 883" o:spid="_x0000_s1026" style="position:absolute;margin-left:63.65pt;margin-top:785.05pt;width:468pt;height:1pt;z-index:-3773337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83616" behindDoc="1" locked="0" layoutInCell="1" allowOverlap="1" wp14:anchorId="06F7FC47" wp14:editId="7295E4FD">
              <wp:simplePos x="0" y="0"/>
              <wp:positionH relativeFrom="page">
                <wp:posOffset>6225794</wp:posOffset>
              </wp:positionH>
              <wp:positionV relativeFrom="page">
                <wp:posOffset>10064908</wp:posOffset>
              </wp:positionV>
              <wp:extent cx="539750" cy="153670"/>
              <wp:effectExtent l="0" t="0" r="0" b="0"/>
              <wp:wrapNone/>
              <wp:docPr id="88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3670"/>
                      </a:xfrm>
                      <a:prstGeom prst="rect">
                        <a:avLst/>
                      </a:prstGeom>
                    </wps:spPr>
                    <wps:txbx>
                      <w:txbxContent>
                        <w:p w14:paraId="533CDCC3" w14:textId="77777777" w:rsidR="00C31389" w:rsidRDefault="00561FBD">
                          <w:pPr>
                            <w:spacing w:before="14"/>
                            <w:ind w:left="20"/>
                            <w:rPr>
                              <w:sz w:val="18"/>
                            </w:rPr>
                          </w:pPr>
                          <w:r>
                            <w:rPr>
                              <w:sz w:val="18"/>
                            </w:rPr>
                            <w:t>Page</w:t>
                          </w:r>
                          <w:r>
                            <w:rPr>
                              <w:spacing w:val="-4"/>
                              <w:sz w:val="18"/>
                            </w:rPr>
                            <w:t xml:space="preserve"> </w:t>
                          </w:r>
                          <w:r>
                            <w:rPr>
                              <w:sz w:val="18"/>
                            </w:rPr>
                            <w:t>E-</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type w14:anchorId="06F7FC47" id="_x0000_t202" coordsize="21600,21600" o:spt="202" path="m,l,21600r21600,l21600,xe">
              <v:stroke joinstyle="miter"/>
              <v:path gradientshapeok="t" o:connecttype="rect"/>
            </v:shapetype>
            <v:shape id="Textbox 884" o:spid="_x0000_s1392" type="#_x0000_t202" style="position:absolute;margin-left:490.2pt;margin-top:792.5pt;width:42.5pt;height:12.1pt;z-index:-377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" filled="f" stroked="f">
              <v:textbox inset="0,0,0,0">
                <w:txbxContent>
                  <w:p w14:paraId="533CDCC3" w14:textId="77777777" w:rsidR="00C31389" w:rsidRDefault="00561FBD">
                    <w:pPr>
                      <w:spacing w:before="14"/>
                      <w:ind w:left="20"/>
                      <w:rPr>
                        <w:sz w:val="18"/>
                      </w:rPr>
                    </w:pPr>
                    <w:r>
                      <w:rPr>
                        <w:sz w:val="18"/>
                      </w:rPr>
                      <w:t>Page</w:t>
                    </w:r>
                    <w:r>
                      <w:rPr>
                        <w:spacing w:val="-4"/>
                        <w:sz w:val="18"/>
                      </w:rPr>
                      <w:t xml:space="preserve"> </w:t>
                    </w:r>
                    <w:r>
                      <w:rPr>
                        <w:sz w:val="18"/>
                      </w:rPr>
                      <w:t>E-</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0078" w14:textId="77777777" w:rsidR="00C31389" w:rsidRDefault="00561FBD">
    <w:pPr>
      <w:pStyle w:val="BodyText"/>
      <w:spacing w:line="14" w:lineRule="auto"/>
      <w:rPr>
        <w:sz w:val="20"/>
      </w:rPr>
    </w:pPr>
    <w:r>
      <w:rPr>
        <w:noProof/>
      </w:rPr>
      <mc:AlternateContent>
        <mc:Choice Requires="wps">
          <w:drawing>
            <wp:anchor distT="0" distB="0" distL="0" distR="0" simplePos="0" relativeHeight="465433600" behindDoc="1" locked="0" layoutInCell="1" allowOverlap="1" wp14:anchorId="57550197" wp14:editId="732AEBB3">
              <wp:simplePos x="0" y="0"/>
              <wp:positionH relativeFrom="page">
                <wp:posOffset>914400</wp:posOffset>
              </wp:positionH>
              <wp:positionV relativeFrom="page">
                <wp:posOffset>9336798</wp:posOffset>
              </wp:positionV>
              <wp:extent cx="5943600" cy="127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78186B0" id="Graphic 54" o:spid="_x0000_s1026" style="position:absolute;margin-left:1in;margin-top:735.2pt;width:468pt;height:1pt;z-index:-3788288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34112" behindDoc="1" locked="0" layoutInCell="1" allowOverlap="1" wp14:anchorId="50A116CE" wp14:editId="4EF4C283">
              <wp:simplePos x="0" y="0"/>
              <wp:positionH relativeFrom="page">
                <wp:posOffset>6318758</wp:posOffset>
              </wp:positionH>
              <wp:positionV relativeFrom="page">
                <wp:posOffset>9430925</wp:posOffset>
              </wp:positionV>
              <wp:extent cx="55245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53670"/>
                      </a:xfrm>
                      <a:prstGeom prst="rect">
                        <a:avLst/>
                      </a:prstGeom>
                    </wps:spPr>
                    <wps:txbx>
                      <w:txbxContent>
                        <w:p w14:paraId="3F0CC9AC" w14:textId="77777777" w:rsidR="00C31389" w:rsidRDefault="00561FBD">
                          <w:pPr>
                            <w:spacing w:before="14"/>
                            <w:ind w:left="20"/>
                            <w:rPr>
                              <w:sz w:val="18"/>
                            </w:rPr>
                          </w:pPr>
                          <w:r>
                            <w:rPr>
                              <w:sz w:val="18"/>
                            </w:rPr>
                            <w:t>Page</w:t>
                          </w:r>
                          <w:r>
                            <w:rPr>
                              <w:spacing w:val="-3"/>
                              <w:sz w:val="18"/>
                            </w:rPr>
                            <w:t xml:space="preserve"> </w:t>
                          </w:r>
                          <w:r>
                            <w:rPr>
                              <w:spacing w:val="-2"/>
                              <w:sz w:val="18"/>
                            </w:rPr>
                            <w:fldChar w:fldCharType="begin"/>
                          </w:r>
                          <w:r>
                            <w:rPr>
                              <w:spacing w:val="-2"/>
                              <w:sz w:val="18"/>
                            </w:rPr>
                            <w:instrText xml:space="preserve"> PAGE  \* roman </w:instrText>
                          </w:r>
                          <w:r>
                            <w:rPr>
                              <w:spacing w:val="-2"/>
                              <w:sz w:val="18"/>
                            </w:rPr>
                            <w:fldChar w:fldCharType="separate"/>
                          </w:r>
                          <w:r>
                            <w:rPr>
                              <w:spacing w:val="-2"/>
                              <w:sz w:val="18"/>
                            </w:rPr>
                            <w:t>xviii</w:t>
                          </w:r>
                          <w:r>
                            <w:rPr>
                              <w:spacing w:val="-2"/>
                              <w:sz w:val="18"/>
                            </w:rPr>
                            <w:fldChar w:fldCharType="end"/>
                          </w:r>
                        </w:p>
                      </w:txbxContent>
                    </wps:txbx>
                    <wps:bodyPr wrap="square" lIns="0" tIns="0" rIns="0" bIns="0" rtlCol="0">
                      <a:noAutofit/>
                    </wps:bodyPr>
                  </wps:wsp>
                </a:graphicData>
              </a:graphic>
            </wp:anchor>
          </w:drawing>
        </mc:Choice>
        <mc:Fallback>
          <w:pict>
            <v:shapetype w14:anchorId="50A116CE" id="_x0000_t202" coordsize="21600,21600" o:spt="202" path="m,l,21600r21600,l21600,xe">
              <v:stroke joinstyle="miter"/>
              <v:path gradientshapeok="t" o:connecttype="rect"/>
            </v:shapetype>
            <v:shape id="Textbox 55" o:spid="_x0000_s1233" type="#_x0000_t202" style="position:absolute;margin-left:497.55pt;margin-top:742.6pt;width:43.5pt;height:12.1pt;z-index:-378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" filled="f" stroked="f">
              <v:textbox inset="0,0,0,0">
                <w:txbxContent>
                  <w:p w14:paraId="3F0CC9AC" w14:textId="77777777" w:rsidR="00C31389" w:rsidRDefault="00561FBD">
                    <w:pPr>
                      <w:spacing w:before="14"/>
                      <w:ind w:left="20"/>
                      <w:rPr>
                        <w:sz w:val="18"/>
                      </w:rPr>
                    </w:pPr>
                    <w:r>
                      <w:rPr>
                        <w:sz w:val="18"/>
                      </w:rPr>
                      <w:t>Page</w:t>
                    </w:r>
                    <w:r>
                      <w:rPr>
                        <w:spacing w:val="-3"/>
                        <w:sz w:val="18"/>
                      </w:rPr>
                      <w:t xml:space="preserve"> </w:t>
                    </w:r>
                    <w:r>
                      <w:rPr>
                        <w:spacing w:val="-2"/>
                        <w:sz w:val="18"/>
                      </w:rPr>
                      <w:fldChar w:fldCharType="begin"/>
                    </w:r>
                    <w:r>
                      <w:rPr>
                        <w:spacing w:val="-2"/>
                        <w:sz w:val="18"/>
                      </w:rPr>
                      <w:instrText xml:space="preserve"> PAGE  \* roman </w:instrText>
                    </w:r>
                    <w:r>
                      <w:rPr>
                        <w:spacing w:val="-2"/>
                        <w:sz w:val="18"/>
                      </w:rPr>
                      <w:fldChar w:fldCharType="separate"/>
                    </w:r>
                    <w:r>
                      <w:rPr>
                        <w:spacing w:val="-2"/>
                        <w:sz w:val="18"/>
                      </w:rPr>
                      <w:t>xviii</w:t>
                    </w:r>
                    <w:r>
                      <w:rPr>
                        <w:spacing w:val="-2"/>
                        <w:sz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4861" w14:textId="77777777" w:rsidR="00C31389" w:rsidRDefault="00561FBD">
    <w:pPr>
      <w:pStyle w:val="BodyText"/>
      <w:spacing w:line="14" w:lineRule="auto"/>
      <w:rPr>
        <w:sz w:val="20"/>
      </w:rPr>
    </w:pPr>
    <w:r>
      <w:rPr>
        <w:noProof/>
      </w:rPr>
      <mc:AlternateContent>
        <mc:Choice Requires="wps">
          <w:drawing>
            <wp:anchor distT="0" distB="0" distL="0" distR="0" simplePos="0" relativeHeight="465585664" behindDoc="1" locked="0" layoutInCell="1" allowOverlap="1" wp14:anchorId="3E4DC0B9" wp14:editId="47E752F9">
              <wp:simplePos x="0" y="0"/>
              <wp:positionH relativeFrom="page">
                <wp:posOffset>808482</wp:posOffset>
              </wp:positionH>
              <wp:positionV relativeFrom="page">
                <wp:posOffset>9970007</wp:posOffset>
              </wp:positionV>
              <wp:extent cx="5943600" cy="12700"/>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4C63957" id="Graphic 892" o:spid="_x0000_s1026" style="position:absolute;margin-left:63.65pt;margin-top:785.05pt;width:468pt;height:1pt;z-index:-3773081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86176" behindDoc="1" locked="0" layoutInCell="1" allowOverlap="1" wp14:anchorId="1066E52A" wp14:editId="56723367">
              <wp:simplePos x="0" y="0"/>
              <wp:positionH relativeFrom="page">
                <wp:posOffset>6168644</wp:posOffset>
              </wp:positionH>
              <wp:positionV relativeFrom="page">
                <wp:posOffset>10064908</wp:posOffset>
              </wp:positionV>
              <wp:extent cx="596265" cy="15367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53670"/>
                      </a:xfrm>
                      <a:prstGeom prst="rect">
                        <a:avLst/>
                      </a:prstGeom>
                    </wps:spPr>
                    <wps:txbx>
                      <w:txbxContent>
                        <w:p w14:paraId="38990735" w14:textId="77777777" w:rsidR="00C31389" w:rsidRDefault="00561FBD">
                          <w:pPr>
                            <w:spacing w:before="14"/>
                            <w:ind w:left="20"/>
                            <w:rPr>
                              <w:sz w:val="18"/>
                            </w:rPr>
                          </w:pPr>
                          <w:r>
                            <w:rPr>
                              <w:sz w:val="18"/>
                            </w:rPr>
                            <w:t>Page</w:t>
                          </w:r>
                          <w:r>
                            <w:rPr>
                              <w:spacing w:val="-3"/>
                              <w:sz w:val="18"/>
                            </w:rPr>
                            <w:t xml:space="preserve"> </w:t>
                          </w:r>
                          <w:r>
                            <w:rPr>
                              <w:sz w:val="18"/>
                            </w:rPr>
                            <w:t>F-</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1066E52A" id="_x0000_t202" coordsize="21600,21600" o:spt="202" path="m,l,21600r21600,l21600,xe">
              <v:stroke joinstyle="miter"/>
              <v:path gradientshapeok="t" o:connecttype="rect"/>
            </v:shapetype>
            <v:shape id="Textbox 893" o:spid="_x0000_s1395" type="#_x0000_t202" style="position:absolute;margin-left:485.7pt;margin-top:792.5pt;width:46.95pt;height:12.1pt;z-index:-377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" filled="f" stroked="f">
              <v:textbox inset="0,0,0,0">
                <w:txbxContent>
                  <w:p w14:paraId="38990735" w14:textId="77777777" w:rsidR="00C31389" w:rsidRDefault="00561FBD">
                    <w:pPr>
                      <w:spacing w:before="14"/>
                      <w:ind w:left="20"/>
                      <w:rPr>
                        <w:sz w:val="18"/>
                      </w:rPr>
                    </w:pPr>
                    <w:r>
                      <w:rPr>
                        <w:sz w:val="18"/>
                      </w:rPr>
                      <w:t>Page</w:t>
                    </w:r>
                    <w:r>
                      <w:rPr>
                        <w:spacing w:val="-3"/>
                        <w:sz w:val="18"/>
                      </w:rPr>
                      <w:t xml:space="preserve"> </w:t>
                    </w:r>
                    <w:r>
                      <w:rPr>
                        <w:sz w:val="18"/>
                      </w:rPr>
                      <w:t>F-</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8C0F" w14:textId="77777777" w:rsidR="00C31389" w:rsidRDefault="00561FBD">
    <w:pPr>
      <w:pStyle w:val="BodyText"/>
      <w:spacing w:line="14" w:lineRule="auto"/>
      <w:rPr>
        <w:sz w:val="20"/>
      </w:rPr>
    </w:pPr>
    <w:r>
      <w:rPr>
        <w:noProof/>
      </w:rPr>
      <mc:AlternateContent>
        <mc:Choice Requires="wps">
          <w:drawing>
            <wp:anchor distT="0" distB="0" distL="0" distR="0" simplePos="0" relativeHeight="465588736" behindDoc="1" locked="0" layoutInCell="1" allowOverlap="1" wp14:anchorId="3986E714" wp14:editId="075BB619">
              <wp:simplePos x="0" y="0"/>
              <wp:positionH relativeFrom="page">
                <wp:posOffset>808482</wp:posOffset>
              </wp:positionH>
              <wp:positionV relativeFrom="page">
                <wp:posOffset>9970007</wp:posOffset>
              </wp:positionV>
              <wp:extent cx="5943600" cy="12700"/>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D9AF509" id="Graphic 901" o:spid="_x0000_s1026" style="position:absolute;margin-left:63.65pt;margin-top:785.05pt;width:468pt;height:1pt;z-index:-3772774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89248" behindDoc="1" locked="0" layoutInCell="1" allowOverlap="1" wp14:anchorId="646589AA" wp14:editId="265F1B85">
              <wp:simplePos x="0" y="0"/>
              <wp:positionH relativeFrom="page">
                <wp:posOffset>6168644</wp:posOffset>
              </wp:positionH>
              <wp:positionV relativeFrom="page">
                <wp:posOffset>10064908</wp:posOffset>
              </wp:positionV>
              <wp:extent cx="596265" cy="153670"/>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53670"/>
                      </a:xfrm>
                      <a:prstGeom prst="rect">
                        <a:avLst/>
                      </a:prstGeom>
                    </wps:spPr>
                    <wps:txbx>
                      <w:txbxContent>
                        <w:p w14:paraId="553B840D" w14:textId="77777777" w:rsidR="00C31389" w:rsidRDefault="00561FBD">
                          <w:pPr>
                            <w:spacing w:before="14"/>
                            <w:ind w:left="20"/>
                            <w:rPr>
                              <w:sz w:val="18"/>
                            </w:rPr>
                          </w:pPr>
                          <w:r>
                            <w:rPr>
                              <w:sz w:val="18"/>
                            </w:rPr>
                            <w:t>Page</w:t>
                          </w:r>
                          <w:r>
                            <w:rPr>
                              <w:spacing w:val="-3"/>
                              <w:sz w:val="18"/>
                            </w:rPr>
                            <w:t xml:space="preserve"> </w:t>
                          </w:r>
                          <w:r>
                            <w:rPr>
                              <w:sz w:val="18"/>
                            </w:rPr>
                            <w:t>F-</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v:shapetype w14:anchorId="646589AA" id="_x0000_t202" coordsize="21600,21600" o:spt="202" path="m,l,21600r21600,l21600,xe">
              <v:stroke joinstyle="miter"/>
              <v:path gradientshapeok="t" o:connecttype="rect"/>
            </v:shapetype>
            <v:shape id="Textbox 902" o:spid="_x0000_s1398" type="#_x0000_t202" style="position:absolute;margin-left:485.7pt;margin-top:792.5pt;width:46.95pt;height:12.1pt;z-index:-377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" filled="f" stroked="f">
              <v:textbox inset="0,0,0,0">
                <w:txbxContent>
                  <w:p w14:paraId="553B840D" w14:textId="77777777" w:rsidR="00C31389" w:rsidRDefault="00561FBD">
                    <w:pPr>
                      <w:spacing w:before="14"/>
                      <w:ind w:left="20"/>
                      <w:rPr>
                        <w:sz w:val="18"/>
                      </w:rPr>
                    </w:pPr>
                    <w:r>
                      <w:rPr>
                        <w:sz w:val="18"/>
                      </w:rPr>
                      <w:t>Page</w:t>
                    </w:r>
                    <w:r>
                      <w:rPr>
                        <w:spacing w:val="-3"/>
                        <w:sz w:val="18"/>
                      </w:rPr>
                      <w:t xml:space="preserve"> </w:t>
                    </w:r>
                    <w:r>
                      <w:rPr>
                        <w:sz w:val="18"/>
                      </w:rPr>
                      <w:t>F-</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DE32" w14:textId="77777777" w:rsidR="00C31389" w:rsidRDefault="00561FBD">
    <w:pPr>
      <w:pStyle w:val="BodyText"/>
      <w:spacing w:line="14" w:lineRule="auto"/>
      <w:rPr>
        <w:sz w:val="20"/>
      </w:rPr>
    </w:pPr>
    <w:r>
      <w:rPr>
        <w:noProof/>
      </w:rPr>
      <mc:AlternateContent>
        <mc:Choice Requires="wps">
          <w:drawing>
            <wp:anchor distT="0" distB="0" distL="0" distR="0" simplePos="0" relativeHeight="465591808" behindDoc="1" locked="0" layoutInCell="1" allowOverlap="1" wp14:anchorId="6D43A620" wp14:editId="57490333">
              <wp:simplePos x="0" y="0"/>
              <wp:positionH relativeFrom="page">
                <wp:posOffset>808482</wp:posOffset>
              </wp:positionH>
              <wp:positionV relativeFrom="page">
                <wp:posOffset>9970007</wp:posOffset>
              </wp:positionV>
              <wp:extent cx="5943600" cy="12700"/>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2147C8E" id="Graphic 907" o:spid="_x0000_s1026" style="position:absolute;margin-left:63.65pt;margin-top:785.05pt;width:468pt;height:1pt;z-index:-3772467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92320" behindDoc="1" locked="0" layoutInCell="1" allowOverlap="1" wp14:anchorId="270C92D2" wp14:editId="28694D38">
              <wp:simplePos x="0" y="0"/>
              <wp:positionH relativeFrom="page">
                <wp:posOffset>6212840</wp:posOffset>
              </wp:positionH>
              <wp:positionV relativeFrom="page">
                <wp:posOffset>10064908</wp:posOffset>
              </wp:positionV>
              <wp:extent cx="552450" cy="153670"/>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53670"/>
                      </a:xfrm>
                      <a:prstGeom prst="rect">
                        <a:avLst/>
                      </a:prstGeom>
                    </wps:spPr>
                    <wps:txbx>
                      <w:txbxContent>
                        <w:p w14:paraId="2179C304"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270C92D2" id="_x0000_t202" coordsize="21600,21600" o:spt="202" path="m,l,21600r21600,l21600,xe">
              <v:stroke joinstyle="miter"/>
              <v:path gradientshapeok="t" o:connecttype="rect"/>
            </v:shapetype>
            <v:shape id="Textbox 908" o:spid="_x0000_s1401" type="#_x0000_t202" style="position:absolute;margin-left:489.2pt;margin-top:792.5pt;width:43.5pt;height:12.1pt;z-index:-3772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" filled="f" stroked="f">
              <v:textbox inset="0,0,0,0">
                <w:txbxContent>
                  <w:p w14:paraId="2179C304"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E13F" w14:textId="77777777" w:rsidR="00C31389" w:rsidRDefault="00561FBD">
    <w:pPr>
      <w:pStyle w:val="BodyText"/>
      <w:spacing w:line="14" w:lineRule="auto"/>
      <w:rPr>
        <w:sz w:val="20"/>
      </w:rPr>
    </w:pPr>
    <w:r>
      <w:rPr>
        <w:noProof/>
      </w:rPr>
      <mc:AlternateContent>
        <mc:Choice Requires="wps">
          <w:drawing>
            <wp:anchor distT="0" distB="0" distL="0" distR="0" simplePos="0" relativeHeight="465594368" behindDoc="1" locked="0" layoutInCell="1" allowOverlap="1" wp14:anchorId="6CC47BD9" wp14:editId="48D019A9">
              <wp:simplePos x="0" y="0"/>
              <wp:positionH relativeFrom="page">
                <wp:posOffset>808482</wp:posOffset>
              </wp:positionH>
              <wp:positionV relativeFrom="page">
                <wp:posOffset>9970007</wp:posOffset>
              </wp:positionV>
              <wp:extent cx="5943600" cy="12700"/>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BB96BFC" id="Graphic 916" o:spid="_x0000_s1026" style="position:absolute;margin-left:63.65pt;margin-top:785.05pt;width:468pt;height:1pt;z-index:-3772211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94880" behindDoc="1" locked="0" layoutInCell="1" allowOverlap="1" wp14:anchorId="72753C89" wp14:editId="16A0534D">
              <wp:simplePos x="0" y="0"/>
              <wp:positionH relativeFrom="page">
                <wp:posOffset>6212840</wp:posOffset>
              </wp:positionH>
              <wp:positionV relativeFrom="page">
                <wp:posOffset>10064908</wp:posOffset>
              </wp:positionV>
              <wp:extent cx="552450" cy="153670"/>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53670"/>
                      </a:xfrm>
                      <a:prstGeom prst="rect">
                        <a:avLst/>
                      </a:prstGeom>
                    </wps:spPr>
                    <wps:txbx>
                      <w:txbxContent>
                        <w:p w14:paraId="753B6031"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type w14:anchorId="72753C89" id="_x0000_t202" coordsize="21600,21600" o:spt="202" path="m,l,21600r21600,l21600,xe">
              <v:stroke joinstyle="miter"/>
              <v:path gradientshapeok="t" o:connecttype="rect"/>
            </v:shapetype>
            <v:shape id="Textbox 917" o:spid="_x0000_s1404" type="#_x0000_t202" style="position:absolute;margin-left:489.2pt;margin-top:792.5pt;width:43.5pt;height:12.1pt;z-index:-377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" filled="f" stroked="f">
              <v:textbox inset="0,0,0,0">
                <w:txbxContent>
                  <w:p w14:paraId="753B6031"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F3C2" w14:textId="77777777" w:rsidR="00C31389" w:rsidRDefault="00561FBD">
    <w:pPr>
      <w:pStyle w:val="BodyText"/>
      <w:spacing w:line="14" w:lineRule="auto"/>
      <w:rPr>
        <w:sz w:val="20"/>
      </w:rPr>
    </w:pPr>
    <w:r>
      <w:rPr>
        <w:noProof/>
      </w:rPr>
      <mc:AlternateContent>
        <mc:Choice Requires="wps">
          <w:drawing>
            <wp:anchor distT="0" distB="0" distL="0" distR="0" simplePos="0" relativeHeight="465597440" behindDoc="1" locked="0" layoutInCell="1" allowOverlap="1" wp14:anchorId="61B8A872" wp14:editId="0422F8C2">
              <wp:simplePos x="0" y="0"/>
              <wp:positionH relativeFrom="page">
                <wp:posOffset>808482</wp:posOffset>
              </wp:positionH>
              <wp:positionV relativeFrom="page">
                <wp:posOffset>9970007</wp:posOffset>
              </wp:positionV>
              <wp:extent cx="5943600" cy="1270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4374D97" id="Graphic 924" o:spid="_x0000_s1026" style="position:absolute;margin-left:63.65pt;margin-top:785.05pt;width:468pt;height:1pt;z-index:-3771904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597952" behindDoc="1" locked="0" layoutInCell="1" allowOverlap="1" wp14:anchorId="4CADDEB3" wp14:editId="45456A05">
              <wp:simplePos x="0" y="0"/>
              <wp:positionH relativeFrom="page">
                <wp:posOffset>6212840</wp:posOffset>
              </wp:positionH>
              <wp:positionV relativeFrom="page">
                <wp:posOffset>10064908</wp:posOffset>
              </wp:positionV>
              <wp:extent cx="552450" cy="15367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53670"/>
                      </a:xfrm>
                      <a:prstGeom prst="rect">
                        <a:avLst/>
                      </a:prstGeom>
                    </wps:spPr>
                    <wps:txbx>
                      <w:txbxContent>
                        <w:p w14:paraId="3C406D86"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type w14:anchorId="4CADDEB3" id="_x0000_t202" coordsize="21600,21600" o:spt="202" path="m,l,21600r21600,l21600,xe">
              <v:stroke joinstyle="miter"/>
              <v:path gradientshapeok="t" o:connecttype="rect"/>
            </v:shapetype>
            <v:shape id="Textbox 925" o:spid="_x0000_s1407" type="#_x0000_t202" style="position:absolute;margin-left:489.2pt;margin-top:792.5pt;width:43.5pt;height:12.1pt;z-index:-377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" filled="f" stroked="f">
              <v:textbox inset="0,0,0,0">
                <w:txbxContent>
                  <w:p w14:paraId="3C406D86"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89EA" w14:textId="77777777" w:rsidR="00C31389" w:rsidRDefault="00561FBD">
    <w:pPr>
      <w:pStyle w:val="BodyText"/>
      <w:spacing w:line="14" w:lineRule="auto"/>
      <w:rPr>
        <w:sz w:val="20"/>
      </w:rPr>
    </w:pPr>
    <w:r>
      <w:rPr>
        <w:noProof/>
      </w:rPr>
      <mc:AlternateContent>
        <mc:Choice Requires="wps">
          <w:drawing>
            <wp:anchor distT="0" distB="0" distL="0" distR="0" simplePos="0" relativeHeight="465600000" behindDoc="1" locked="0" layoutInCell="1" allowOverlap="1" wp14:anchorId="041E3502" wp14:editId="15E45151">
              <wp:simplePos x="0" y="0"/>
              <wp:positionH relativeFrom="page">
                <wp:posOffset>808482</wp:posOffset>
              </wp:positionH>
              <wp:positionV relativeFrom="page">
                <wp:posOffset>9970007</wp:posOffset>
              </wp:positionV>
              <wp:extent cx="5943600" cy="12700"/>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E433971" id="Graphic 936" o:spid="_x0000_s1026" style="position:absolute;margin-left:63.65pt;margin-top:785.05pt;width:468pt;height:1pt;z-index:-3771648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600512" behindDoc="1" locked="0" layoutInCell="1" allowOverlap="1" wp14:anchorId="73103DC1" wp14:editId="511E1132">
              <wp:simplePos x="0" y="0"/>
              <wp:positionH relativeFrom="page">
                <wp:posOffset>6212840</wp:posOffset>
              </wp:positionH>
              <wp:positionV relativeFrom="page">
                <wp:posOffset>10064908</wp:posOffset>
              </wp:positionV>
              <wp:extent cx="552450" cy="153670"/>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53670"/>
                      </a:xfrm>
                      <a:prstGeom prst="rect">
                        <a:avLst/>
                      </a:prstGeom>
                    </wps:spPr>
                    <wps:txbx>
                      <w:txbxContent>
                        <w:p w14:paraId="50E25FF8"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wps:txbx>
                    <wps:bodyPr wrap="square" lIns="0" tIns="0" rIns="0" bIns="0" rtlCol="0">
                      <a:noAutofit/>
                    </wps:bodyPr>
                  </wps:wsp>
                </a:graphicData>
              </a:graphic>
            </wp:anchor>
          </w:drawing>
        </mc:Choice>
        <mc:Fallback>
          <w:pict>
            <v:shapetype w14:anchorId="73103DC1" id="_x0000_t202" coordsize="21600,21600" o:spt="202" path="m,l,21600r21600,l21600,xe">
              <v:stroke joinstyle="miter"/>
              <v:path gradientshapeok="t" o:connecttype="rect"/>
            </v:shapetype>
            <v:shape id="Textbox 937" o:spid="_x0000_s1410" type="#_x0000_t202" style="position:absolute;margin-left:489.2pt;margin-top:792.5pt;width:43.5pt;height:12.1pt;z-index:-377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" filled="f" stroked="f">
              <v:textbox inset="0,0,0,0">
                <w:txbxContent>
                  <w:p w14:paraId="50E25FF8" w14:textId="77777777" w:rsidR="00C31389" w:rsidRDefault="00561FBD">
                    <w:pPr>
                      <w:spacing w:before="14"/>
                      <w:ind w:left="20"/>
                      <w:rPr>
                        <w:sz w:val="18"/>
                      </w:rPr>
                    </w:pPr>
                    <w:r>
                      <w:rPr>
                        <w:sz w:val="18"/>
                      </w:rPr>
                      <w:t>Page</w:t>
                    </w:r>
                    <w:r>
                      <w:rPr>
                        <w:spacing w:val="-3"/>
                        <w:sz w:val="18"/>
                      </w:rPr>
                      <w:t xml:space="preserve"> </w:t>
                    </w:r>
                    <w:r>
                      <w:rPr>
                        <w:sz w:val="18"/>
                      </w:rPr>
                      <w:t>G-</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18E2" w14:textId="77777777" w:rsidR="00C31389" w:rsidRDefault="00561FBD">
    <w:pPr>
      <w:pStyle w:val="BodyText"/>
      <w:spacing w:line="14" w:lineRule="auto"/>
      <w:rPr>
        <w:sz w:val="20"/>
      </w:rPr>
    </w:pPr>
    <w:r>
      <w:rPr>
        <w:noProof/>
      </w:rPr>
      <mc:AlternateContent>
        <mc:Choice Requires="wps">
          <w:drawing>
            <wp:anchor distT="0" distB="0" distL="0" distR="0" simplePos="0" relativeHeight="465603072" behindDoc="1" locked="0" layoutInCell="1" allowOverlap="1" wp14:anchorId="65C53748" wp14:editId="59E6A417">
              <wp:simplePos x="0" y="0"/>
              <wp:positionH relativeFrom="page">
                <wp:posOffset>808482</wp:posOffset>
              </wp:positionH>
              <wp:positionV relativeFrom="page">
                <wp:posOffset>9970007</wp:posOffset>
              </wp:positionV>
              <wp:extent cx="5943600" cy="12700"/>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80A86A2" id="Graphic 948" o:spid="_x0000_s1026" style="position:absolute;margin-left:63.65pt;margin-top:785.05pt;width:468pt;height:1pt;z-index:-3771340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603584" behindDoc="1" locked="0" layoutInCell="1" allowOverlap="1" wp14:anchorId="0031E585" wp14:editId="153EC6A8">
              <wp:simplePos x="0" y="0"/>
              <wp:positionH relativeFrom="page">
                <wp:posOffset>6149594</wp:posOffset>
              </wp:positionH>
              <wp:positionV relativeFrom="page">
                <wp:posOffset>10064908</wp:posOffset>
              </wp:positionV>
              <wp:extent cx="615315" cy="153670"/>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153670"/>
                      </a:xfrm>
                      <a:prstGeom prst="rect">
                        <a:avLst/>
                      </a:prstGeom>
                    </wps:spPr>
                    <wps:txbx>
                      <w:txbxContent>
                        <w:p w14:paraId="78FD9D59" w14:textId="77777777" w:rsidR="00C31389" w:rsidRDefault="00561FBD">
                          <w:pPr>
                            <w:spacing w:before="14"/>
                            <w:ind w:left="20"/>
                            <w:rPr>
                              <w:sz w:val="18"/>
                            </w:rPr>
                          </w:pPr>
                          <w:r>
                            <w:rPr>
                              <w:sz w:val="18"/>
                            </w:rPr>
                            <w:t>Page</w:t>
                          </w:r>
                          <w:r>
                            <w:rPr>
                              <w:spacing w:val="-3"/>
                              <w:sz w:val="18"/>
                            </w:rPr>
                            <w:t xml:space="preserve"> </w:t>
                          </w:r>
                          <w:r>
                            <w:rPr>
                              <w:sz w:val="18"/>
                            </w:rPr>
                            <w:t>G-</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0031E585" id="_x0000_t202" coordsize="21600,21600" o:spt="202" path="m,l,21600r21600,l21600,xe">
              <v:stroke joinstyle="miter"/>
              <v:path gradientshapeok="t" o:connecttype="rect"/>
            </v:shapetype>
            <v:shape id="Textbox 949" o:spid="_x0000_s1413" type="#_x0000_t202" style="position:absolute;margin-left:484.2pt;margin-top:792.5pt;width:48.45pt;height:12.1pt;z-index:-377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" filled="f" stroked="f">
              <v:textbox inset="0,0,0,0">
                <w:txbxContent>
                  <w:p w14:paraId="78FD9D59" w14:textId="77777777" w:rsidR="00C31389" w:rsidRDefault="00561FBD">
                    <w:pPr>
                      <w:spacing w:before="14"/>
                      <w:ind w:left="20"/>
                      <w:rPr>
                        <w:sz w:val="18"/>
                      </w:rPr>
                    </w:pPr>
                    <w:r>
                      <w:rPr>
                        <w:sz w:val="18"/>
                      </w:rPr>
                      <w:t>Page</w:t>
                    </w:r>
                    <w:r>
                      <w:rPr>
                        <w:spacing w:val="-3"/>
                        <w:sz w:val="18"/>
                      </w:rPr>
                      <w:t xml:space="preserve"> </w:t>
                    </w:r>
                    <w:r>
                      <w:rPr>
                        <w:sz w:val="18"/>
                      </w:rPr>
                      <w:t>G-</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1B0C" w14:textId="77777777" w:rsidR="00C31389" w:rsidRDefault="00561FBD">
    <w:pPr>
      <w:pStyle w:val="BodyText"/>
      <w:spacing w:line="14" w:lineRule="auto"/>
      <w:rPr>
        <w:sz w:val="20"/>
      </w:rPr>
    </w:pPr>
    <w:r>
      <w:rPr>
        <w:noProof/>
      </w:rPr>
      <mc:AlternateContent>
        <mc:Choice Requires="wps">
          <w:drawing>
            <wp:anchor distT="0" distB="0" distL="0" distR="0" simplePos="0" relativeHeight="465606144" behindDoc="1" locked="0" layoutInCell="1" allowOverlap="1" wp14:anchorId="701C8912" wp14:editId="11C36F5B">
              <wp:simplePos x="0" y="0"/>
              <wp:positionH relativeFrom="page">
                <wp:posOffset>808482</wp:posOffset>
              </wp:positionH>
              <wp:positionV relativeFrom="page">
                <wp:posOffset>9970007</wp:posOffset>
              </wp:positionV>
              <wp:extent cx="5943600" cy="1270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2924C92" id="Graphic 954" o:spid="_x0000_s1026" style="position:absolute;margin-left:63.65pt;margin-top:785.05pt;width:468pt;height:1pt;z-index:-3771033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606656" behindDoc="1" locked="0" layoutInCell="1" allowOverlap="1" wp14:anchorId="11939FCC" wp14:editId="67660F40">
              <wp:simplePos x="0" y="0"/>
              <wp:positionH relativeFrom="page">
                <wp:posOffset>6218935</wp:posOffset>
              </wp:positionH>
              <wp:positionV relativeFrom="page">
                <wp:posOffset>10064908</wp:posOffset>
              </wp:positionV>
              <wp:extent cx="546735" cy="15367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153670"/>
                      </a:xfrm>
                      <a:prstGeom prst="rect">
                        <a:avLst/>
                      </a:prstGeom>
                    </wps:spPr>
                    <wps:txbx>
                      <w:txbxContent>
                        <w:p w14:paraId="19B3FDC9" w14:textId="77777777" w:rsidR="00C31389" w:rsidRDefault="00561FBD">
                          <w:pPr>
                            <w:spacing w:before="14"/>
                            <w:ind w:left="20"/>
                            <w:rPr>
                              <w:sz w:val="18"/>
                            </w:rPr>
                          </w:pPr>
                          <w:r>
                            <w:rPr>
                              <w:sz w:val="18"/>
                            </w:rPr>
                            <w:t>Page</w:t>
                          </w:r>
                          <w:r>
                            <w:rPr>
                              <w:spacing w:val="-3"/>
                              <w:sz w:val="18"/>
                            </w:rPr>
                            <w:t xml:space="preserve"> </w:t>
                          </w:r>
                          <w:r>
                            <w:rPr>
                              <w:sz w:val="18"/>
                            </w:rPr>
                            <w:t>H-</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11939FCC" id="_x0000_t202" coordsize="21600,21600" o:spt="202" path="m,l,21600r21600,l21600,xe">
              <v:stroke joinstyle="miter"/>
              <v:path gradientshapeok="t" o:connecttype="rect"/>
            </v:shapetype>
            <v:shape id="Textbox 955" o:spid="_x0000_s1416" type="#_x0000_t202" style="position:absolute;margin-left:489.7pt;margin-top:792.5pt;width:43.05pt;height:12.1pt;z-index:-377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" filled="f" stroked="f">
              <v:textbox inset="0,0,0,0">
                <w:txbxContent>
                  <w:p w14:paraId="19B3FDC9" w14:textId="77777777" w:rsidR="00C31389" w:rsidRDefault="00561FBD">
                    <w:pPr>
                      <w:spacing w:before="14"/>
                      <w:ind w:left="20"/>
                      <w:rPr>
                        <w:sz w:val="18"/>
                      </w:rPr>
                    </w:pPr>
                    <w:r>
                      <w:rPr>
                        <w:sz w:val="18"/>
                      </w:rPr>
                      <w:t>Page</w:t>
                    </w:r>
                    <w:r>
                      <w:rPr>
                        <w:spacing w:val="-3"/>
                        <w:sz w:val="18"/>
                      </w:rPr>
                      <w:t xml:space="preserve"> </w:t>
                    </w:r>
                    <w:r>
                      <w:rPr>
                        <w:sz w:val="18"/>
                      </w:rPr>
                      <w:t>H-</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89FE" w14:textId="77777777" w:rsidR="00C31389" w:rsidRDefault="00561FBD">
    <w:pPr>
      <w:pStyle w:val="BodyText"/>
      <w:spacing w:line="14" w:lineRule="auto"/>
      <w:rPr>
        <w:sz w:val="20"/>
      </w:rPr>
    </w:pPr>
    <w:r>
      <w:rPr>
        <w:noProof/>
      </w:rPr>
      <mc:AlternateContent>
        <mc:Choice Requires="wps">
          <w:drawing>
            <wp:anchor distT="0" distB="0" distL="0" distR="0" simplePos="0" relativeHeight="465608704" behindDoc="1" locked="0" layoutInCell="1" allowOverlap="1" wp14:anchorId="3B6849DE" wp14:editId="2AE69ED8">
              <wp:simplePos x="0" y="0"/>
              <wp:positionH relativeFrom="page">
                <wp:posOffset>808482</wp:posOffset>
              </wp:positionH>
              <wp:positionV relativeFrom="page">
                <wp:posOffset>9970007</wp:posOffset>
              </wp:positionV>
              <wp:extent cx="5943600" cy="12700"/>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72A213D" id="Graphic 960" o:spid="_x0000_s1026" style="position:absolute;margin-left:63.65pt;margin-top:785.05pt;width:468pt;height:1pt;z-index:-37707776;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609216" behindDoc="1" locked="0" layoutInCell="1" allowOverlap="1" wp14:anchorId="6C688C19" wp14:editId="01D38DCD">
              <wp:simplePos x="0" y="0"/>
              <wp:positionH relativeFrom="page">
                <wp:posOffset>6218935</wp:posOffset>
              </wp:positionH>
              <wp:positionV relativeFrom="page">
                <wp:posOffset>10064908</wp:posOffset>
              </wp:positionV>
              <wp:extent cx="546735" cy="153670"/>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153670"/>
                      </a:xfrm>
                      <a:prstGeom prst="rect">
                        <a:avLst/>
                      </a:prstGeom>
                    </wps:spPr>
                    <wps:txbx>
                      <w:txbxContent>
                        <w:p w14:paraId="76F38A34" w14:textId="77777777" w:rsidR="00C31389" w:rsidRDefault="00561FBD">
                          <w:pPr>
                            <w:spacing w:before="14"/>
                            <w:ind w:left="20"/>
                            <w:rPr>
                              <w:sz w:val="18"/>
                            </w:rPr>
                          </w:pPr>
                          <w:r>
                            <w:rPr>
                              <w:sz w:val="18"/>
                            </w:rPr>
                            <w:t>Page</w:t>
                          </w:r>
                          <w:r>
                            <w:rPr>
                              <w:spacing w:val="-3"/>
                              <w:sz w:val="18"/>
                            </w:rPr>
                            <w:t xml:space="preserve"> </w:t>
                          </w:r>
                          <w:r>
                            <w:rPr>
                              <w:sz w:val="18"/>
                            </w:rPr>
                            <w:t>H-</w:t>
                          </w: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type w14:anchorId="6C688C19" id="_x0000_t202" coordsize="21600,21600" o:spt="202" path="m,l,21600r21600,l21600,xe">
              <v:stroke joinstyle="miter"/>
              <v:path gradientshapeok="t" o:connecttype="rect"/>
            </v:shapetype>
            <v:shape id="Textbox 961" o:spid="_x0000_s1419" type="#_x0000_t202" style="position:absolute;margin-left:489.7pt;margin-top:792.5pt;width:43.05pt;height:12.1pt;z-index:-377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" filled="f" stroked="f">
              <v:textbox inset="0,0,0,0">
                <w:txbxContent>
                  <w:p w14:paraId="76F38A34" w14:textId="77777777" w:rsidR="00C31389" w:rsidRDefault="00561FBD">
                    <w:pPr>
                      <w:spacing w:before="14"/>
                      <w:ind w:left="20"/>
                      <w:rPr>
                        <w:sz w:val="18"/>
                      </w:rPr>
                    </w:pPr>
                    <w:r>
                      <w:rPr>
                        <w:sz w:val="18"/>
                      </w:rPr>
                      <w:t>Page</w:t>
                    </w:r>
                    <w:r>
                      <w:rPr>
                        <w:spacing w:val="-3"/>
                        <w:sz w:val="18"/>
                      </w:rPr>
                      <w:t xml:space="preserve"> </w:t>
                    </w:r>
                    <w:r>
                      <w:rPr>
                        <w:sz w:val="18"/>
                      </w:rPr>
                      <w:t>H-</w:t>
                    </w: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D685" w14:textId="77777777" w:rsidR="00C31389" w:rsidRDefault="00561FBD">
    <w:pPr>
      <w:pStyle w:val="BodyText"/>
      <w:spacing w:line="14" w:lineRule="auto"/>
      <w:rPr>
        <w:sz w:val="20"/>
      </w:rPr>
    </w:pPr>
    <w:r>
      <w:rPr>
        <w:noProof/>
      </w:rPr>
      <mc:AlternateContent>
        <mc:Choice Requires="wps">
          <w:drawing>
            <wp:anchor distT="0" distB="0" distL="0" distR="0" simplePos="0" relativeHeight="465611776" behindDoc="1" locked="0" layoutInCell="1" allowOverlap="1" wp14:anchorId="163B0EF7" wp14:editId="72B9DDB0">
              <wp:simplePos x="0" y="0"/>
              <wp:positionH relativeFrom="page">
                <wp:posOffset>808482</wp:posOffset>
              </wp:positionH>
              <wp:positionV relativeFrom="page">
                <wp:posOffset>9970007</wp:posOffset>
              </wp:positionV>
              <wp:extent cx="5943600" cy="12700"/>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33E16E3" id="Graphic 968" o:spid="_x0000_s1026" style="position:absolute;margin-left:63.65pt;margin-top:785.05pt;width:468pt;height:1pt;z-index:-37704704;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612288" behindDoc="1" locked="0" layoutInCell="1" allowOverlap="1" wp14:anchorId="5F7A9F79" wp14:editId="7E44CC94">
              <wp:simplePos x="0" y="0"/>
              <wp:positionH relativeFrom="page">
                <wp:posOffset>6218935</wp:posOffset>
              </wp:positionH>
              <wp:positionV relativeFrom="page">
                <wp:posOffset>10064908</wp:posOffset>
              </wp:positionV>
              <wp:extent cx="546735" cy="15367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153670"/>
                      </a:xfrm>
                      <a:prstGeom prst="rect">
                        <a:avLst/>
                      </a:prstGeom>
                    </wps:spPr>
                    <wps:txbx>
                      <w:txbxContent>
                        <w:p w14:paraId="09C72AB6" w14:textId="77777777" w:rsidR="00C31389" w:rsidRDefault="00561FBD">
                          <w:pPr>
                            <w:spacing w:before="14"/>
                            <w:ind w:left="20"/>
                            <w:rPr>
                              <w:sz w:val="18"/>
                            </w:rPr>
                          </w:pPr>
                          <w:r>
                            <w:rPr>
                              <w:sz w:val="18"/>
                            </w:rPr>
                            <w:t>Page</w:t>
                          </w:r>
                          <w:r>
                            <w:rPr>
                              <w:spacing w:val="-3"/>
                              <w:sz w:val="18"/>
                            </w:rPr>
                            <w:t xml:space="preserve"> </w:t>
                          </w:r>
                          <w:r>
                            <w:rPr>
                              <w:sz w:val="18"/>
                            </w:rPr>
                            <w:t>H-</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wps:txbx>
                    <wps:bodyPr wrap="square" lIns="0" tIns="0" rIns="0" bIns="0" rtlCol="0">
                      <a:noAutofit/>
                    </wps:bodyPr>
                  </wps:wsp>
                </a:graphicData>
              </a:graphic>
            </wp:anchor>
          </w:drawing>
        </mc:Choice>
        <mc:Fallback>
          <w:pict>
            <v:shapetype w14:anchorId="5F7A9F79" id="_x0000_t202" coordsize="21600,21600" o:spt="202" path="m,l,21600r21600,l21600,xe">
              <v:stroke joinstyle="miter"/>
              <v:path gradientshapeok="t" o:connecttype="rect"/>
            </v:shapetype>
            <v:shape id="Textbox 969" o:spid="_x0000_s1422" type="#_x0000_t202" style="position:absolute;margin-left:489.7pt;margin-top:792.5pt;width:43.05pt;height:12.1pt;z-index:-377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" filled="f" stroked="f">
              <v:textbox inset="0,0,0,0">
                <w:txbxContent>
                  <w:p w14:paraId="09C72AB6" w14:textId="77777777" w:rsidR="00C31389" w:rsidRDefault="00561FBD">
                    <w:pPr>
                      <w:spacing w:before="14"/>
                      <w:ind w:left="20"/>
                      <w:rPr>
                        <w:sz w:val="18"/>
                      </w:rPr>
                    </w:pPr>
                    <w:r>
                      <w:rPr>
                        <w:sz w:val="18"/>
                      </w:rPr>
                      <w:t>Page</w:t>
                    </w:r>
                    <w:r>
                      <w:rPr>
                        <w:spacing w:val="-3"/>
                        <w:sz w:val="18"/>
                      </w:rPr>
                      <w:t xml:space="preserve"> </w:t>
                    </w:r>
                    <w:r>
                      <w:rPr>
                        <w:sz w:val="18"/>
                      </w:rPr>
                      <w:t>H-</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5B6E" w14:textId="77777777" w:rsidR="00C31389" w:rsidRDefault="00561FBD">
    <w:pPr>
      <w:pStyle w:val="BodyText"/>
      <w:spacing w:line="14" w:lineRule="auto"/>
      <w:rPr>
        <w:sz w:val="20"/>
      </w:rPr>
    </w:pPr>
    <w:r>
      <w:rPr>
        <w:noProof/>
      </w:rPr>
      <mc:AlternateContent>
        <mc:Choice Requires="wps">
          <w:drawing>
            <wp:anchor distT="0" distB="0" distL="0" distR="0" simplePos="0" relativeHeight="465436160" behindDoc="1" locked="0" layoutInCell="1" allowOverlap="1" wp14:anchorId="378F4686" wp14:editId="0E91533B">
              <wp:simplePos x="0" y="0"/>
              <wp:positionH relativeFrom="page">
                <wp:posOffset>914400</wp:posOffset>
              </wp:positionH>
              <wp:positionV relativeFrom="page">
                <wp:posOffset>9336798</wp:posOffset>
              </wp:positionV>
              <wp:extent cx="5943600" cy="1270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E8919D2" id="Graphic 70" o:spid="_x0000_s1026" style="position:absolute;margin-left:1in;margin-top:735.2pt;width:468pt;height:1pt;z-index:-3788032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36672" behindDoc="1" locked="0" layoutInCell="1" allowOverlap="1" wp14:anchorId="7832BC06" wp14:editId="4D6417DB">
              <wp:simplePos x="0" y="0"/>
              <wp:positionH relativeFrom="page">
                <wp:posOffset>6446011</wp:posOffset>
              </wp:positionH>
              <wp:positionV relativeFrom="page">
                <wp:posOffset>9430925</wp:posOffset>
              </wp:positionV>
              <wp:extent cx="425450" cy="15367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153670"/>
                      </a:xfrm>
                      <a:prstGeom prst="rect">
                        <a:avLst/>
                      </a:prstGeom>
                    </wps:spPr>
                    <wps:txbx>
                      <w:txbxContent>
                        <w:p w14:paraId="56FB5F24" w14:textId="77777777" w:rsidR="00C31389" w:rsidRDefault="00561FBD">
                          <w:pPr>
                            <w:spacing w:before="14"/>
                            <w:ind w:left="20"/>
                            <w:rPr>
                              <w:sz w:val="18"/>
                            </w:rPr>
                          </w:pPr>
                          <w:r>
                            <w:rPr>
                              <w:sz w:val="18"/>
                            </w:rPr>
                            <w:t>Page</w:t>
                          </w:r>
                          <w:r>
                            <w:rPr>
                              <w:spacing w:val="-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7832BC06" id="_x0000_t202" coordsize="21600,21600" o:spt="202" path="m,l,21600r21600,l21600,xe">
              <v:stroke joinstyle="miter"/>
              <v:path gradientshapeok="t" o:connecttype="rect"/>
            </v:shapetype>
            <v:shape id="Textbox 71" o:spid="_x0000_s1236" type="#_x0000_t202" style="position:absolute;margin-left:507.55pt;margin-top:742.6pt;width:33.5pt;height:12.1pt;z-index:-378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" filled="f" stroked="f">
              <v:textbox inset="0,0,0,0">
                <w:txbxContent>
                  <w:p w14:paraId="56FB5F24" w14:textId="77777777" w:rsidR="00C31389" w:rsidRDefault="00561FBD">
                    <w:pPr>
                      <w:spacing w:before="14"/>
                      <w:ind w:left="20"/>
                      <w:rPr>
                        <w:sz w:val="18"/>
                      </w:rPr>
                    </w:pPr>
                    <w:r>
                      <w:rPr>
                        <w:sz w:val="18"/>
                      </w:rPr>
                      <w:t>Page</w:t>
                    </w:r>
                    <w:r>
                      <w:rPr>
                        <w:spacing w:val="-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8512" w14:textId="77777777" w:rsidR="00C31389" w:rsidRDefault="00561FBD">
    <w:pPr>
      <w:pStyle w:val="BodyText"/>
      <w:spacing w:line="14" w:lineRule="auto"/>
      <w:rPr>
        <w:sz w:val="20"/>
      </w:rPr>
    </w:pPr>
    <w:r>
      <w:rPr>
        <w:noProof/>
      </w:rPr>
      <mc:AlternateContent>
        <mc:Choice Requires="wps">
          <w:drawing>
            <wp:anchor distT="0" distB="0" distL="0" distR="0" simplePos="0" relativeHeight="465614848" behindDoc="1" locked="0" layoutInCell="1" allowOverlap="1" wp14:anchorId="3AD6EF9C" wp14:editId="62B30C3C">
              <wp:simplePos x="0" y="0"/>
              <wp:positionH relativeFrom="page">
                <wp:posOffset>808482</wp:posOffset>
              </wp:positionH>
              <wp:positionV relativeFrom="page">
                <wp:posOffset>9970007</wp:posOffset>
              </wp:positionV>
              <wp:extent cx="5943600" cy="12700"/>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814FA4B" id="Graphic 978" o:spid="_x0000_s1026" style="position:absolute;margin-left:63.65pt;margin-top:785.05pt;width:468pt;height:1pt;z-index:-3770163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615360" behindDoc="1" locked="0" layoutInCell="1" allowOverlap="1" wp14:anchorId="09E94E77" wp14:editId="5673D796">
              <wp:simplePos x="0" y="0"/>
              <wp:positionH relativeFrom="page">
                <wp:posOffset>6269990</wp:posOffset>
              </wp:positionH>
              <wp:positionV relativeFrom="page">
                <wp:posOffset>10064908</wp:posOffset>
              </wp:positionV>
              <wp:extent cx="495300" cy="153670"/>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53670"/>
                      </a:xfrm>
                      <a:prstGeom prst="rect">
                        <a:avLst/>
                      </a:prstGeom>
                    </wps:spPr>
                    <wps:txbx>
                      <w:txbxContent>
                        <w:p w14:paraId="1C131F39" w14:textId="77777777" w:rsidR="00C31389" w:rsidRDefault="00561FBD">
                          <w:pPr>
                            <w:spacing w:before="14"/>
                            <w:ind w:left="20"/>
                            <w:rPr>
                              <w:sz w:val="18"/>
                            </w:rPr>
                          </w:pPr>
                          <w:r>
                            <w:rPr>
                              <w:sz w:val="18"/>
                            </w:rPr>
                            <w:t>Page</w:t>
                          </w:r>
                          <w:r>
                            <w:rPr>
                              <w:spacing w:val="-3"/>
                              <w:sz w:val="18"/>
                            </w:rPr>
                            <w:t xml:space="preserve"> </w:t>
                          </w:r>
                          <w:r>
                            <w:rPr>
                              <w:sz w:val="18"/>
                            </w:rPr>
                            <w:t>I-</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09E94E77" id="_x0000_t202" coordsize="21600,21600" o:spt="202" path="m,l,21600r21600,l21600,xe">
              <v:stroke joinstyle="miter"/>
              <v:path gradientshapeok="t" o:connecttype="rect"/>
            </v:shapetype>
            <v:shape id="Textbox 979" o:spid="_x0000_s1425" type="#_x0000_t202" style="position:absolute;margin-left:493.7pt;margin-top:792.5pt;width:39pt;height:12.1pt;z-index:-377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" filled="f" stroked="f">
              <v:textbox inset="0,0,0,0">
                <w:txbxContent>
                  <w:p w14:paraId="1C131F39" w14:textId="77777777" w:rsidR="00C31389" w:rsidRDefault="00561FBD">
                    <w:pPr>
                      <w:spacing w:before="14"/>
                      <w:ind w:left="20"/>
                      <w:rPr>
                        <w:sz w:val="18"/>
                      </w:rPr>
                    </w:pPr>
                    <w:r>
                      <w:rPr>
                        <w:sz w:val="18"/>
                      </w:rPr>
                      <w:t>Page</w:t>
                    </w:r>
                    <w:r>
                      <w:rPr>
                        <w:spacing w:val="-3"/>
                        <w:sz w:val="18"/>
                      </w:rPr>
                      <w:t xml:space="preserve"> </w:t>
                    </w:r>
                    <w:r>
                      <w:rPr>
                        <w:sz w:val="18"/>
                      </w:rPr>
                      <w:t>I-</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2A2A" w14:textId="77777777" w:rsidR="00C31389" w:rsidRDefault="00561FBD">
    <w:pPr>
      <w:pStyle w:val="BodyText"/>
      <w:spacing w:line="14" w:lineRule="auto"/>
      <w:rPr>
        <w:sz w:val="20"/>
      </w:rPr>
    </w:pPr>
    <w:r>
      <w:rPr>
        <w:noProof/>
      </w:rPr>
      <mc:AlternateContent>
        <mc:Choice Requires="wps">
          <w:drawing>
            <wp:anchor distT="0" distB="0" distL="0" distR="0" simplePos="0" relativeHeight="465617408" behindDoc="1" locked="0" layoutInCell="1" allowOverlap="1" wp14:anchorId="2FDA21B6" wp14:editId="5E4C0534">
              <wp:simplePos x="0" y="0"/>
              <wp:positionH relativeFrom="page">
                <wp:posOffset>808482</wp:posOffset>
              </wp:positionH>
              <wp:positionV relativeFrom="page">
                <wp:posOffset>9970007</wp:posOffset>
              </wp:positionV>
              <wp:extent cx="5943600" cy="12700"/>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4743437" y="0"/>
                            </a:moveTo>
                            <a:lnTo>
                              <a:pt x="0" y="0"/>
                            </a:lnTo>
                            <a:lnTo>
                              <a:pt x="0" y="12192"/>
                            </a:lnTo>
                            <a:lnTo>
                              <a:pt x="4743437" y="12192"/>
                            </a:lnTo>
                            <a:lnTo>
                              <a:pt x="4743437" y="0"/>
                            </a:lnTo>
                            <a:close/>
                          </a:path>
                          <a:path w="5943600" h="12700">
                            <a:moveTo>
                              <a:pt x="5943600" y="0"/>
                            </a:moveTo>
                            <a:lnTo>
                              <a:pt x="4755642" y="0"/>
                            </a:lnTo>
                            <a:lnTo>
                              <a:pt x="4743450" y="0"/>
                            </a:lnTo>
                            <a:lnTo>
                              <a:pt x="4743450" y="12192"/>
                            </a:lnTo>
                            <a:lnTo>
                              <a:pt x="4755642" y="12192"/>
                            </a:lnTo>
                            <a:lnTo>
                              <a:pt x="5943600" y="12192"/>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639C1F8" id="Graphic 983" o:spid="_x0000_s1026" style="position:absolute;margin-left:63.65pt;margin-top:785.05pt;width:468pt;height:1pt;z-index:-3769907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" path="m4743437,l,,,12192r4743437,l4743437,xem5943600,l4755642,r-12192,l4743450,12192r12192,l5943600,12192r,-12192xe" fillcolor="#8b8b8b" stroked="f">
              <v:path arrowok="t"/>
              <w10:wrap anchorx="page" anchory="page"/>
            </v:shape>
          </w:pict>
        </mc:Fallback>
      </mc:AlternateContent>
    </w:r>
    <w:r>
      <w:rPr>
        <w:noProof/>
      </w:rPr>
      <mc:AlternateContent>
        <mc:Choice Requires="wps">
          <w:drawing>
            <wp:anchor distT="0" distB="0" distL="0" distR="0" simplePos="0" relativeHeight="465617920" behindDoc="1" locked="0" layoutInCell="1" allowOverlap="1" wp14:anchorId="25707DAD" wp14:editId="67920AE5">
              <wp:simplePos x="0" y="0"/>
              <wp:positionH relativeFrom="page">
                <wp:posOffset>6269990</wp:posOffset>
              </wp:positionH>
              <wp:positionV relativeFrom="page">
                <wp:posOffset>10064908</wp:posOffset>
              </wp:positionV>
              <wp:extent cx="495300" cy="153670"/>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53670"/>
                      </a:xfrm>
                      <a:prstGeom prst="rect">
                        <a:avLst/>
                      </a:prstGeom>
                    </wps:spPr>
                    <wps:txbx>
                      <w:txbxContent>
                        <w:p w14:paraId="2618E4EE" w14:textId="77777777" w:rsidR="00C31389" w:rsidRDefault="00561FBD">
                          <w:pPr>
                            <w:spacing w:before="14"/>
                            <w:ind w:left="20"/>
                            <w:rPr>
                              <w:sz w:val="18"/>
                            </w:rPr>
                          </w:pPr>
                          <w:r>
                            <w:rPr>
                              <w:sz w:val="18"/>
                            </w:rPr>
                            <w:t>Page</w:t>
                          </w:r>
                          <w:r>
                            <w:rPr>
                              <w:spacing w:val="-3"/>
                              <w:sz w:val="18"/>
                            </w:rPr>
                            <w:t xml:space="preserve"> </w:t>
                          </w:r>
                          <w:r>
                            <w:rPr>
                              <w:sz w:val="18"/>
                            </w:rPr>
                            <w:t>I-</w:t>
                          </w: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type w14:anchorId="25707DAD" id="_x0000_t202" coordsize="21600,21600" o:spt="202" path="m,l,21600r21600,l21600,xe">
              <v:stroke joinstyle="miter"/>
              <v:path gradientshapeok="t" o:connecttype="rect"/>
            </v:shapetype>
            <v:shape id="Textbox 984" o:spid="_x0000_s1428" type="#_x0000_t202" style="position:absolute;margin-left:493.7pt;margin-top:792.5pt;width:39pt;height:12.1pt;z-index:-376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numgEAACMDAAAOAAAAZHJzL2Uyb0RvYy54bWysUs2O0zAQviPxDpbvNGmXX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" filled="f" stroked="f">
              <v:textbox inset="0,0,0,0">
                <w:txbxContent>
                  <w:p w14:paraId="2618E4EE" w14:textId="77777777" w:rsidR="00C31389" w:rsidRDefault="00561FBD">
                    <w:pPr>
                      <w:spacing w:before="14"/>
                      <w:ind w:left="20"/>
                      <w:rPr>
                        <w:sz w:val="18"/>
                      </w:rPr>
                    </w:pPr>
                    <w:r>
                      <w:rPr>
                        <w:sz w:val="18"/>
                      </w:rPr>
                      <w:t>Page</w:t>
                    </w:r>
                    <w:r>
                      <w:rPr>
                        <w:spacing w:val="-3"/>
                        <w:sz w:val="18"/>
                      </w:rPr>
                      <w:t xml:space="preserve"> </w:t>
                    </w:r>
                    <w:r>
                      <w:rPr>
                        <w:sz w:val="18"/>
                      </w:rPr>
                      <w:t>I-</w:t>
                    </w: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6101" w14:textId="77777777" w:rsidR="00C31389" w:rsidRDefault="00561FBD">
    <w:pPr>
      <w:pStyle w:val="BodyText"/>
      <w:spacing w:line="14" w:lineRule="auto"/>
      <w:rPr>
        <w:sz w:val="20"/>
      </w:rPr>
    </w:pPr>
    <w:r>
      <w:rPr>
        <w:noProof/>
      </w:rPr>
      <mc:AlternateContent>
        <mc:Choice Requires="wps">
          <w:drawing>
            <wp:anchor distT="0" distB="0" distL="0" distR="0" simplePos="0" relativeHeight="465619968" behindDoc="1" locked="0" layoutInCell="1" allowOverlap="1" wp14:anchorId="0694BD9A" wp14:editId="133A8362">
              <wp:simplePos x="0" y="0"/>
              <wp:positionH relativeFrom="page">
                <wp:posOffset>914400</wp:posOffset>
              </wp:positionH>
              <wp:positionV relativeFrom="page">
                <wp:posOffset>9336798</wp:posOffset>
              </wp:positionV>
              <wp:extent cx="5943600" cy="12700"/>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98E07E2" id="Graphic 993" o:spid="_x0000_s1026" style="position:absolute;margin-left:1in;margin-top:735.2pt;width:468pt;height:1pt;z-index:-3769651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620480" behindDoc="1" locked="0" layoutInCell="1" allowOverlap="1" wp14:anchorId="46CEF030" wp14:editId="0BE13403">
              <wp:simplePos x="0" y="0"/>
              <wp:positionH relativeFrom="page">
                <wp:posOffset>6286753</wp:posOffset>
              </wp:positionH>
              <wp:positionV relativeFrom="page">
                <wp:posOffset>9430925</wp:posOffset>
              </wp:positionV>
              <wp:extent cx="584835" cy="153670"/>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 cy="153670"/>
                      </a:xfrm>
                      <a:prstGeom prst="rect">
                        <a:avLst/>
                      </a:prstGeom>
                    </wps:spPr>
                    <wps:txbx>
                      <w:txbxContent>
                        <w:p w14:paraId="3F26D7B1" w14:textId="77777777" w:rsidR="00C31389" w:rsidRDefault="00561FBD">
                          <w:pPr>
                            <w:spacing w:before="14"/>
                            <w:ind w:left="20"/>
                            <w:rPr>
                              <w:sz w:val="18"/>
                            </w:rPr>
                          </w:pPr>
                          <w:r>
                            <w:rPr>
                              <w:sz w:val="18"/>
                            </w:rPr>
                            <w:t>Page</w:t>
                          </w:r>
                          <w:r>
                            <w:rPr>
                              <w:spacing w:val="-3"/>
                              <w:sz w:val="18"/>
                            </w:rPr>
                            <w:t xml:space="preserve"> </w:t>
                          </w:r>
                          <w:r>
                            <w:rPr>
                              <w:sz w:val="18"/>
                            </w:rPr>
                            <w:t>J-</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46CEF030" id="_x0000_t202" coordsize="21600,21600" o:spt="202" path="m,l,21600r21600,l21600,xe">
              <v:stroke joinstyle="miter"/>
              <v:path gradientshapeok="t" o:connecttype="rect"/>
            </v:shapetype>
            <v:shape id="Textbox 994" o:spid="_x0000_s1431" type="#_x0000_t202" style="position:absolute;margin-left:495pt;margin-top:742.6pt;width:46.05pt;height:12.1pt;z-index:-376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" filled="f" stroked="f">
              <v:textbox inset="0,0,0,0">
                <w:txbxContent>
                  <w:p w14:paraId="3F26D7B1" w14:textId="77777777" w:rsidR="00C31389" w:rsidRDefault="00561FBD">
                    <w:pPr>
                      <w:spacing w:before="14"/>
                      <w:ind w:left="20"/>
                      <w:rPr>
                        <w:sz w:val="18"/>
                      </w:rPr>
                    </w:pPr>
                    <w:r>
                      <w:rPr>
                        <w:sz w:val="18"/>
                      </w:rPr>
                      <w:t>Page</w:t>
                    </w:r>
                    <w:r>
                      <w:rPr>
                        <w:spacing w:val="-3"/>
                        <w:sz w:val="18"/>
                      </w:rPr>
                      <w:t xml:space="preserve"> </w:t>
                    </w:r>
                    <w:r>
                      <w:rPr>
                        <w:sz w:val="18"/>
                      </w:rPr>
                      <w:t>J-</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15C5" w14:textId="77777777" w:rsidR="00C31389" w:rsidRDefault="00561FBD">
    <w:pPr>
      <w:pStyle w:val="BodyText"/>
      <w:spacing w:line="14" w:lineRule="auto"/>
      <w:rPr>
        <w:sz w:val="20"/>
      </w:rPr>
    </w:pPr>
    <w:r>
      <w:rPr>
        <w:noProof/>
      </w:rPr>
      <mc:AlternateContent>
        <mc:Choice Requires="wps">
          <w:drawing>
            <wp:anchor distT="0" distB="0" distL="0" distR="0" simplePos="0" relativeHeight="465622528" behindDoc="1" locked="0" layoutInCell="1" allowOverlap="1" wp14:anchorId="42D14178" wp14:editId="70C98217">
              <wp:simplePos x="0" y="0"/>
              <wp:positionH relativeFrom="page">
                <wp:posOffset>914400</wp:posOffset>
              </wp:positionH>
              <wp:positionV relativeFrom="page">
                <wp:posOffset>9336798</wp:posOffset>
              </wp:positionV>
              <wp:extent cx="5943600" cy="12700"/>
              <wp:effectExtent l="0" t="0" r="0" b="0"/>
              <wp:wrapNone/>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A5DDA72" id="Graphic 1056" o:spid="_x0000_s1026" style="position:absolute;margin-left:1in;margin-top:735.2pt;width:468pt;height:1pt;z-index:-37693952;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623040" behindDoc="1" locked="0" layoutInCell="1" allowOverlap="1" wp14:anchorId="7D90A2F7" wp14:editId="30C8CC40">
              <wp:simplePos x="0" y="0"/>
              <wp:positionH relativeFrom="page">
                <wp:posOffset>6267703</wp:posOffset>
              </wp:positionH>
              <wp:positionV relativeFrom="page">
                <wp:posOffset>9430925</wp:posOffset>
              </wp:positionV>
              <wp:extent cx="603885" cy="153670"/>
              <wp:effectExtent l="0" t="0" r="0" b="0"/>
              <wp:wrapNone/>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53670"/>
                      </a:xfrm>
                      <a:prstGeom prst="rect">
                        <a:avLst/>
                      </a:prstGeom>
                    </wps:spPr>
                    <wps:txbx>
                      <w:txbxContent>
                        <w:p w14:paraId="22B1C695" w14:textId="77777777" w:rsidR="00C31389" w:rsidRDefault="00561FBD">
                          <w:pPr>
                            <w:spacing w:before="14"/>
                            <w:ind w:left="20"/>
                            <w:rPr>
                              <w:sz w:val="18"/>
                            </w:rPr>
                          </w:pPr>
                          <w:r>
                            <w:rPr>
                              <w:sz w:val="18"/>
                            </w:rPr>
                            <w:t>Page</w:t>
                          </w:r>
                          <w:r>
                            <w:rPr>
                              <w:spacing w:val="-4"/>
                              <w:sz w:val="18"/>
                            </w:rPr>
                            <w:t xml:space="preserve"> </w:t>
                          </w:r>
                          <w:r>
                            <w:rPr>
                              <w:sz w:val="18"/>
                            </w:rPr>
                            <w:t>K-</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v:shapetype w14:anchorId="7D90A2F7" id="_x0000_t202" coordsize="21600,21600" o:spt="202" path="m,l,21600r21600,l21600,xe">
              <v:stroke joinstyle="miter"/>
              <v:path gradientshapeok="t" o:connecttype="rect"/>
            </v:shapetype>
            <v:shape id="Textbox 1057" o:spid="_x0000_s1434" type="#_x0000_t202" style="position:absolute;margin-left:493.5pt;margin-top:742.6pt;width:47.55pt;height:12.1pt;z-index:-376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VUmgEAACMDAAAOAAAAZHJzL2Uyb0RvYy54bWysUs1uGyEQvlfKOyDuMWtHca2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" filled="f" stroked="f">
              <v:textbox inset="0,0,0,0">
                <w:txbxContent>
                  <w:p w14:paraId="22B1C695" w14:textId="77777777" w:rsidR="00C31389" w:rsidRDefault="00561FBD">
                    <w:pPr>
                      <w:spacing w:before="14"/>
                      <w:ind w:left="20"/>
                      <w:rPr>
                        <w:sz w:val="18"/>
                      </w:rPr>
                    </w:pPr>
                    <w:r>
                      <w:rPr>
                        <w:sz w:val="18"/>
                      </w:rPr>
                      <w:t>Page</w:t>
                    </w:r>
                    <w:r>
                      <w:rPr>
                        <w:spacing w:val="-4"/>
                        <w:sz w:val="18"/>
                      </w:rPr>
                      <w:t xml:space="preserve"> </w:t>
                    </w:r>
                    <w:r>
                      <w:rPr>
                        <w:sz w:val="18"/>
                      </w:rPr>
                      <w:t>K-</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F7E8" w14:textId="77777777" w:rsidR="00C31389" w:rsidRDefault="00561FBD">
    <w:pPr>
      <w:pStyle w:val="BodyText"/>
      <w:spacing w:line="14" w:lineRule="auto"/>
      <w:rPr>
        <w:sz w:val="20"/>
      </w:rPr>
    </w:pPr>
    <w:r>
      <w:rPr>
        <w:noProof/>
      </w:rPr>
      <mc:AlternateContent>
        <mc:Choice Requires="wps">
          <w:drawing>
            <wp:anchor distT="0" distB="0" distL="0" distR="0" simplePos="0" relativeHeight="465625600" behindDoc="1" locked="0" layoutInCell="1" allowOverlap="1" wp14:anchorId="0139FFFB" wp14:editId="291DEDE4">
              <wp:simplePos x="0" y="0"/>
              <wp:positionH relativeFrom="page">
                <wp:posOffset>914400</wp:posOffset>
              </wp:positionH>
              <wp:positionV relativeFrom="page">
                <wp:posOffset>9336798</wp:posOffset>
              </wp:positionV>
              <wp:extent cx="5943600" cy="12700"/>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B147336" id="Graphic 1066" o:spid="_x0000_s1026" style="position:absolute;margin-left:1in;margin-top:735.2pt;width:468pt;height:1pt;z-index:-3769088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626112" behindDoc="1" locked="0" layoutInCell="1" allowOverlap="1" wp14:anchorId="7C3C1606" wp14:editId="2825D37D">
              <wp:simplePos x="0" y="0"/>
              <wp:positionH relativeFrom="page">
                <wp:posOffset>6267703</wp:posOffset>
              </wp:positionH>
              <wp:positionV relativeFrom="page">
                <wp:posOffset>9430925</wp:posOffset>
              </wp:positionV>
              <wp:extent cx="603885" cy="153670"/>
              <wp:effectExtent l="0" t="0" r="0" b="0"/>
              <wp:wrapNone/>
              <wp:docPr id="1067" name="Text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53670"/>
                      </a:xfrm>
                      <a:prstGeom prst="rect">
                        <a:avLst/>
                      </a:prstGeom>
                    </wps:spPr>
                    <wps:txbx>
                      <w:txbxContent>
                        <w:p w14:paraId="73B634E4" w14:textId="77777777" w:rsidR="00C31389" w:rsidRDefault="00561FBD">
                          <w:pPr>
                            <w:spacing w:before="14"/>
                            <w:ind w:left="20"/>
                            <w:rPr>
                              <w:sz w:val="18"/>
                            </w:rPr>
                          </w:pPr>
                          <w:r>
                            <w:rPr>
                              <w:sz w:val="18"/>
                            </w:rPr>
                            <w:t>Page</w:t>
                          </w:r>
                          <w:r>
                            <w:rPr>
                              <w:spacing w:val="-4"/>
                              <w:sz w:val="18"/>
                            </w:rPr>
                            <w:t xml:space="preserve"> </w:t>
                          </w:r>
                          <w:r>
                            <w:rPr>
                              <w:sz w:val="18"/>
                            </w:rPr>
                            <w:t>K-</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v:shapetype w14:anchorId="7C3C1606" id="_x0000_t202" coordsize="21600,21600" o:spt="202" path="m,l,21600r21600,l21600,xe">
              <v:stroke joinstyle="miter"/>
              <v:path gradientshapeok="t" o:connecttype="rect"/>
            </v:shapetype>
            <v:shape id="Textbox 1067" o:spid="_x0000_s1437" type="#_x0000_t202" style="position:absolute;margin-left:493.5pt;margin-top:742.6pt;width:47.55pt;height:12.1pt;z-index:-376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f8mgEAACMDAAAOAAAAZHJzL2Uyb0RvYy54bWysUs1uGyEQvlfKOyDuMWtHca2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" filled="f" stroked="f">
              <v:textbox inset="0,0,0,0">
                <w:txbxContent>
                  <w:p w14:paraId="73B634E4" w14:textId="77777777" w:rsidR="00C31389" w:rsidRDefault="00561FBD">
                    <w:pPr>
                      <w:spacing w:before="14"/>
                      <w:ind w:left="20"/>
                      <w:rPr>
                        <w:sz w:val="18"/>
                      </w:rPr>
                    </w:pPr>
                    <w:r>
                      <w:rPr>
                        <w:sz w:val="18"/>
                      </w:rPr>
                      <w:t>Page</w:t>
                    </w:r>
                    <w:r>
                      <w:rPr>
                        <w:spacing w:val="-4"/>
                        <w:sz w:val="18"/>
                      </w:rPr>
                      <w:t xml:space="preserve"> </w:t>
                    </w:r>
                    <w:r>
                      <w:rPr>
                        <w:sz w:val="18"/>
                      </w:rPr>
                      <w:t>K-</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72A8" w14:textId="77777777" w:rsidR="00C31389" w:rsidRDefault="00561FBD">
    <w:pPr>
      <w:pStyle w:val="BodyText"/>
      <w:spacing w:line="14" w:lineRule="auto"/>
      <w:rPr>
        <w:sz w:val="20"/>
      </w:rPr>
    </w:pPr>
    <w:r>
      <w:rPr>
        <w:noProof/>
      </w:rPr>
      <mc:AlternateContent>
        <mc:Choice Requires="wps">
          <w:drawing>
            <wp:anchor distT="0" distB="0" distL="0" distR="0" simplePos="0" relativeHeight="465628160" behindDoc="1" locked="0" layoutInCell="1" allowOverlap="1" wp14:anchorId="37FE8363" wp14:editId="3A033712">
              <wp:simplePos x="0" y="0"/>
              <wp:positionH relativeFrom="page">
                <wp:posOffset>914400</wp:posOffset>
              </wp:positionH>
              <wp:positionV relativeFrom="page">
                <wp:posOffset>9336798</wp:posOffset>
              </wp:positionV>
              <wp:extent cx="5943600" cy="12700"/>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6E3D211" id="Graphic 1077" o:spid="_x0000_s1026" style="position:absolute;margin-left:1in;margin-top:735.2pt;width:468pt;height:1pt;z-index:-37688320;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628672" behindDoc="1" locked="0" layoutInCell="1" allowOverlap="1" wp14:anchorId="286479AB" wp14:editId="319C5D94">
              <wp:simplePos x="0" y="0"/>
              <wp:positionH relativeFrom="page">
                <wp:posOffset>6280658</wp:posOffset>
              </wp:positionH>
              <wp:positionV relativeFrom="page">
                <wp:posOffset>9430925</wp:posOffset>
              </wp:positionV>
              <wp:extent cx="590550" cy="153670"/>
              <wp:effectExtent l="0" t="0" r="0" b="0"/>
              <wp:wrapNone/>
              <wp:docPr id="1078"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153670"/>
                      </a:xfrm>
                      <a:prstGeom prst="rect">
                        <a:avLst/>
                      </a:prstGeom>
                    </wps:spPr>
                    <wps:txbx>
                      <w:txbxContent>
                        <w:p w14:paraId="626D344F" w14:textId="77777777" w:rsidR="00C31389" w:rsidRDefault="00561FBD">
                          <w:pPr>
                            <w:spacing w:before="14"/>
                            <w:ind w:left="20"/>
                            <w:rPr>
                              <w:sz w:val="18"/>
                            </w:rPr>
                          </w:pPr>
                          <w:r>
                            <w:rPr>
                              <w:sz w:val="18"/>
                            </w:rPr>
                            <w:t>Page</w:t>
                          </w:r>
                          <w:r>
                            <w:rPr>
                              <w:spacing w:val="-3"/>
                              <w:sz w:val="18"/>
                            </w:rPr>
                            <w:t xml:space="preserve"> </w:t>
                          </w:r>
                          <w:r>
                            <w:rPr>
                              <w:sz w:val="18"/>
                            </w:rPr>
                            <w:t>L-</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wps:txbx>
                    <wps:bodyPr wrap="square" lIns="0" tIns="0" rIns="0" bIns="0" rtlCol="0">
                      <a:noAutofit/>
                    </wps:bodyPr>
                  </wps:wsp>
                </a:graphicData>
              </a:graphic>
            </wp:anchor>
          </w:drawing>
        </mc:Choice>
        <mc:Fallback>
          <w:pict>
            <v:shapetype w14:anchorId="286479AB" id="_x0000_t202" coordsize="21600,21600" o:spt="202" path="m,l,21600r21600,l21600,xe">
              <v:stroke joinstyle="miter"/>
              <v:path gradientshapeok="t" o:connecttype="rect"/>
            </v:shapetype>
            <v:shape id="Textbox 1078" o:spid="_x0000_s1440" type="#_x0000_t202" style="position:absolute;margin-left:494.55pt;margin-top:742.6pt;width:46.5pt;height:12.1pt;z-index:-376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" filled="f" stroked="f">
              <v:textbox inset="0,0,0,0">
                <w:txbxContent>
                  <w:p w14:paraId="626D344F" w14:textId="77777777" w:rsidR="00C31389" w:rsidRDefault="00561FBD">
                    <w:pPr>
                      <w:spacing w:before="14"/>
                      <w:ind w:left="20"/>
                      <w:rPr>
                        <w:sz w:val="18"/>
                      </w:rPr>
                    </w:pPr>
                    <w:r>
                      <w:rPr>
                        <w:sz w:val="18"/>
                      </w:rPr>
                      <w:t>Page</w:t>
                    </w:r>
                    <w:r>
                      <w:rPr>
                        <w:spacing w:val="-3"/>
                        <w:sz w:val="18"/>
                      </w:rPr>
                      <w:t xml:space="preserve"> </w:t>
                    </w:r>
                    <w:r>
                      <w:rPr>
                        <w:sz w:val="18"/>
                      </w:rPr>
                      <w:t>L-</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E309" w14:textId="77777777" w:rsidR="00C31389" w:rsidRDefault="00561FBD">
    <w:pPr>
      <w:pStyle w:val="BodyText"/>
      <w:spacing w:line="14" w:lineRule="auto"/>
      <w:rPr>
        <w:sz w:val="20"/>
      </w:rPr>
    </w:pPr>
    <w:r>
      <w:rPr>
        <w:noProof/>
      </w:rPr>
      <mc:AlternateContent>
        <mc:Choice Requires="wps">
          <w:drawing>
            <wp:anchor distT="0" distB="0" distL="0" distR="0" simplePos="0" relativeHeight="465631232" behindDoc="1" locked="0" layoutInCell="1" allowOverlap="1" wp14:anchorId="02224ECC" wp14:editId="7935A53F">
              <wp:simplePos x="0" y="0"/>
              <wp:positionH relativeFrom="page">
                <wp:posOffset>2057400</wp:posOffset>
              </wp:positionH>
              <wp:positionV relativeFrom="page">
                <wp:posOffset>7050798</wp:posOffset>
              </wp:positionV>
              <wp:extent cx="5943600" cy="12700"/>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0FC28F1" id="Graphic 1085" o:spid="_x0000_s1026" style="position:absolute;margin-left:162pt;margin-top:555.2pt;width:468pt;height:1pt;z-index:-3768524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631744" behindDoc="1" locked="0" layoutInCell="1" allowOverlap="1" wp14:anchorId="1A116A7C" wp14:editId="292EE68C">
              <wp:simplePos x="0" y="0"/>
              <wp:positionH relativeFrom="page">
                <wp:posOffset>7423657</wp:posOffset>
              </wp:positionH>
              <wp:positionV relativeFrom="page">
                <wp:posOffset>7144925</wp:posOffset>
              </wp:positionV>
              <wp:extent cx="590550" cy="153670"/>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153670"/>
                      </a:xfrm>
                      <a:prstGeom prst="rect">
                        <a:avLst/>
                      </a:prstGeom>
                    </wps:spPr>
                    <wps:txbx>
                      <w:txbxContent>
                        <w:p w14:paraId="169F78C2" w14:textId="77777777" w:rsidR="00C31389" w:rsidRDefault="00561FBD">
                          <w:pPr>
                            <w:spacing w:before="14"/>
                            <w:ind w:left="20"/>
                            <w:rPr>
                              <w:sz w:val="18"/>
                            </w:rPr>
                          </w:pPr>
                          <w:r>
                            <w:rPr>
                              <w:sz w:val="18"/>
                            </w:rPr>
                            <w:t>Page</w:t>
                          </w:r>
                          <w:r>
                            <w:rPr>
                              <w:spacing w:val="-3"/>
                              <w:sz w:val="18"/>
                            </w:rPr>
                            <w:t xml:space="preserve"> </w:t>
                          </w:r>
                          <w:r>
                            <w:rPr>
                              <w:sz w:val="18"/>
                            </w:rPr>
                            <w:t>L-</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1A116A7C" id="_x0000_t202" coordsize="21600,21600" o:spt="202" path="m,l,21600r21600,l21600,xe">
              <v:stroke joinstyle="miter"/>
              <v:path gradientshapeok="t" o:connecttype="rect"/>
            </v:shapetype>
            <v:shape id="Textbox 1086" o:spid="_x0000_s1443" type="#_x0000_t202" style="position:absolute;margin-left:584.55pt;margin-top:562.6pt;width:46.5pt;height:12.1pt;z-index:-376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" filled="f" stroked="f">
              <v:textbox inset="0,0,0,0">
                <w:txbxContent>
                  <w:p w14:paraId="169F78C2" w14:textId="77777777" w:rsidR="00C31389" w:rsidRDefault="00561FBD">
                    <w:pPr>
                      <w:spacing w:before="14"/>
                      <w:ind w:left="20"/>
                      <w:rPr>
                        <w:sz w:val="18"/>
                      </w:rPr>
                    </w:pPr>
                    <w:r>
                      <w:rPr>
                        <w:sz w:val="18"/>
                      </w:rPr>
                      <w:t>Page</w:t>
                    </w:r>
                    <w:r>
                      <w:rPr>
                        <w:spacing w:val="-3"/>
                        <w:sz w:val="18"/>
                      </w:rPr>
                      <w:t xml:space="preserve"> </w:t>
                    </w:r>
                    <w:r>
                      <w:rPr>
                        <w:sz w:val="18"/>
                      </w:rPr>
                      <w:t>L-</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BC46" w14:textId="77777777" w:rsidR="00C31389" w:rsidRDefault="00561FBD">
    <w:pPr>
      <w:pStyle w:val="BodyText"/>
      <w:spacing w:line="14" w:lineRule="auto"/>
      <w:rPr>
        <w:sz w:val="20"/>
      </w:rPr>
    </w:pPr>
    <w:r>
      <w:rPr>
        <w:noProof/>
      </w:rPr>
      <mc:AlternateContent>
        <mc:Choice Requires="wps">
          <w:drawing>
            <wp:anchor distT="0" distB="0" distL="0" distR="0" simplePos="0" relativeHeight="465439232" behindDoc="1" locked="0" layoutInCell="1" allowOverlap="1" wp14:anchorId="3E1A23E7" wp14:editId="0BE01D3A">
              <wp:simplePos x="0" y="0"/>
              <wp:positionH relativeFrom="page">
                <wp:posOffset>914400</wp:posOffset>
              </wp:positionH>
              <wp:positionV relativeFrom="page">
                <wp:posOffset>9336798</wp:posOffset>
              </wp:positionV>
              <wp:extent cx="5943600" cy="127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9F4760C" id="Graphic 79" o:spid="_x0000_s1026" style="position:absolute;margin-left:1in;margin-top:735.2pt;width:468pt;height:1pt;z-index:-3787724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39744" behindDoc="1" locked="0" layoutInCell="1" allowOverlap="1" wp14:anchorId="2FCDF869" wp14:editId="0BBFB2C8">
              <wp:simplePos x="0" y="0"/>
              <wp:positionH relativeFrom="page">
                <wp:posOffset>6446011</wp:posOffset>
              </wp:positionH>
              <wp:positionV relativeFrom="page">
                <wp:posOffset>9430925</wp:posOffset>
              </wp:positionV>
              <wp:extent cx="425450" cy="1536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153670"/>
                      </a:xfrm>
                      <a:prstGeom prst="rect">
                        <a:avLst/>
                      </a:prstGeom>
                    </wps:spPr>
                    <wps:txbx>
                      <w:txbxContent>
                        <w:p w14:paraId="40A3CCF5" w14:textId="77777777" w:rsidR="00C31389" w:rsidRDefault="00561FBD">
                          <w:pPr>
                            <w:spacing w:before="14"/>
                            <w:ind w:left="20"/>
                            <w:rPr>
                              <w:sz w:val="18"/>
                            </w:rPr>
                          </w:pPr>
                          <w:r>
                            <w:rPr>
                              <w:sz w:val="18"/>
                            </w:rPr>
                            <w:t>Page</w:t>
                          </w:r>
                          <w:r>
                            <w:rPr>
                              <w:spacing w:val="-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type w14:anchorId="2FCDF869" id="_x0000_t202" coordsize="21600,21600" o:spt="202" path="m,l,21600r21600,l21600,xe">
              <v:stroke joinstyle="miter"/>
              <v:path gradientshapeok="t" o:connecttype="rect"/>
            </v:shapetype>
            <v:shape id="Textbox 80" o:spid="_x0000_s1239" type="#_x0000_t202" style="position:absolute;margin-left:507.55pt;margin-top:742.6pt;width:33.5pt;height:12.1pt;z-index:-378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" filled="f" stroked="f">
              <v:textbox inset="0,0,0,0">
                <w:txbxContent>
                  <w:p w14:paraId="40A3CCF5" w14:textId="77777777" w:rsidR="00C31389" w:rsidRDefault="00561FBD">
                    <w:pPr>
                      <w:spacing w:before="14"/>
                      <w:ind w:left="20"/>
                      <w:rPr>
                        <w:sz w:val="18"/>
                      </w:rPr>
                    </w:pPr>
                    <w:r>
                      <w:rPr>
                        <w:sz w:val="18"/>
                      </w:rPr>
                      <w:t>Page</w:t>
                    </w:r>
                    <w:r>
                      <w:rPr>
                        <w:spacing w:val="-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5842" w14:textId="77777777" w:rsidR="00C31389" w:rsidRDefault="00561FBD">
    <w:pPr>
      <w:pStyle w:val="BodyText"/>
      <w:spacing w:line="14" w:lineRule="auto"/>
      <w:rPr>
        <w:sz w:val="20"/>
      </w:rPr>
    </w:pPr>
    <w:r>
      <w:rPr>
        <w:noProof/>
      </w:rPr>
      <mc:AlternateContent>
        <mc:Choice Requires="wps">
          <w:drawing>
            <wp:anchor distT="0" distB="0" distL="0" distR="0" simplePos="0" relativeHeight="465441792" behindDoc="1" locked="0" layoutInCell="1" allowOverlap="1" wp14:anchorId="15457229" wp14:editId="243942F9">
              <wp:simplePos x="0" y="0"/>
              <wp:positionH relativeFrom="page">
                <wp:posOffset>914400</wp:posOffset>
              </wp:positionH>
              <wp:positionV relativeFrom="page">
                <wp:posOffset>9336798</wp:posOffset>
              </wp:positionV>
              <wp:extent cx="5943600" cy="127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4755642" y="0"/>
                            </a:lnTo>
                            <a:lnTo>
                              <a:pt x="4743450" y="0"/>
                            </a:lnTo>
                            <a:lnTo>
                              <a:pt x="0" y="0"/>
                            </a:lnTo>
                            <a:lnTo>
                              <a:pt x="0" y="12179"/>
                            </a:lnTo>
                            <a:lnTo>
                              <a:pt x="4743450" y="12179"/>
                            </a:lnTo>
                            <a:lnTo>
                              <a:pt x="4755642" y="12179"/>
                            </a:lnTo>
                            <a:lnTo>
                              <a:pt x="5943600" y="12179"/>
                            </a:lnTo>
                            <a:lnTo>
                              <a:pt x="5943600"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F358759" id="Graphic 85" o:spid="_x0000_s1026" style="position:absolute;margin-left:1in;margin-top:735.2pt;width:468pt;height:1pt;z-index:-37874688;visibility:visible;mso-wrap-style:square;mso-wrap-distance-left:0;mso-wrap-distance-top:0;mso-wrap-distance-right:0;mso-wrap-distance-bottom:0;mso-position-horizontal:absolute;mso-position-horizontal-relative:page;mso-position-vertical:absolute;mso-position-vertical-relative:page;v-text-anchor:top" coordsize="5943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" path="m5943600,l4755642,r-12192,l,,,12179r4743450,l4755642,12179r1187958,l5943600,xe" fillcolor="#8b8b8b" stroked="f">
              <v:path arrowok="t"/>
              <w10:wrap anchorx="page" anchory="page"/>
            </v:shape>
          </w:pict>
        </mc:Fallback>
      </mc:AlternateContent>
    </w:r>
    <w:r>
      <w:rPr>
        <w:noProof/>
      </w:rPr>
      <mc:AlternateContent>
        <mc:Choice Requires="wps">
          <w:drawing>
            <wp:anchor distT="0" distB="0" distL="0" distR="0" simplePos="0" relativeHeight="465442304" behindDoc="1" locked="0" layoutInCell="1" allowOverlap="1" wp14:anchorId="43CB0726" wp14:editId="5EDE1B96">
              <wp:simplePos x="0" y="0"/>
              <wp:positionH relativeFrom="page">
                <wp:posOffset>6446011</wp:posOffset>
              </wp:positionH>
              <wp:positionV relativeFrom="page">
                <wp:posOffset>9430925</wp:posOffset>
              </wp:positionV>
              <wp:extent cx="425450" cy="1536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153670"/>
                      </a:xfrm>
                      <a:prstGeom prst="rect">
                        <a:avLst/>
                      </a:prstGeom>
                    </wps:spPr>
                    <wps:txbx>
                      <w:txbxContent>
                        <w:p w14:paraId="045D814B" w14:textId="77777777" w:rsidR="00C31389" w:rsidRDefault="00561FBD">
                          <w:pPr>
                            <w:spacing w:before="14"/>
                            <w:ind w:left="20"/>
                            <w:rPr>
                              <w:sz w:val="18"/>
                            </w:rPr>
                          </w:pPr>
                          <w:r>
                            <w:rPr>
                              <w:sz w:val="18"/>
                            </w:rPr>
                            <w:t>Page</w:t>
                          </w:r>
                          <w:r>
                            <w:rPr>
                              <w:spacing w:val="-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wps:txbx>
                    <wps:bodyPr wrap="square" lIns="0" tIns="0" rIns="0" bIns="0" rtlCol="0">
                      <a:noAutofit/>
                    </wps:bodyPr>
                  </wps:wsp>
                </a:graphicData>
              </a:graphic>
            </wp:anchor>
          </w:drawing>
        </mc:Choice>
        <mc:Fallback>
          <w:pict>
            <v:shapetype w14:anchorId="43CB0726" id="_x0000_t202" coordsize="21600,21600" o:spt="202" path="m,l,21600r21600,l21600,xe">
              <v:stroke joinstyle="miter"/>
              <v:path gradientshapeok="t" o:connecttype="rect"/>
            </v:shapetype>
            <v:shape id="Textbox 86" o:spid="_x0000_s1242" type="#_x0000_t202" style="position:absolute;margin-left:507.55pt;margin-top:742.6pt;width:33.5pt;height:12.1pt;z-index:-378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" filled="f" stroked="f">
              <v:textbox inset="0,0,0,0">
                <w:txbxContent>
                  <w:p w14:paraId="045D814B" w14:textId="77777777" w:rsidR="00C31389" w:rsidRDefault="00561FBD">
                    <w:pPr>
                      <w:spacing w:before="14"/>
                      <w:ind w:left="20"/>
                      <w:rPr>
                        <w:sz w:val="18"/>
                      </w:rPr>
                    </w:pPr>
                    <w:r>
                      <w:rPr>
                        <w:sz w:val="18"/>
                      </w:rPr>
                      <w:t>Page</w:t>
                    </w:r>
                    <w:r>
                      <w:rPr>
                        <w:spacing w:val="-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32EF0" w14:textId="77777777" w:rsidR="00420A35" w:rsidRDefault="00420A35">
      <w:r>
        <w:separator/>
      </w:r>
    </w:p>
  </w:footnote>
  <w:footnote w:type="continuationSeparator" w:id="0">
    <w:p w14:paraId="131F6FF1" w14:textId="77777777" w:rsidR="00420A35" w:rsidRDefault="00420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4A8A" w14:textId="77777777" w:rsidR="00C31389" w:rsidRDefault="00561FBD">
    <w:pPr>
      <w:pStyle w:val="BodyText"/>
      <w:spacing w:line="14" w:lineRule="auto"/>
      <w:rPr>
        <w:sz w:val="20"/>
      </w:rPr>
    </w:pPr>
    <w:r>
      <w:rPr>
        <w:noProof/>
      </w:rPr>
      <w:drawing>
        <wp:anchor distT="0" distB="0" distL="0" distR="0" simplePos="0" relativeHeight="465417728" behindDoc="1" locked="0" layoutInCell="1" allowOverlap="1" wp14:anchorId="253D55B6" wp14:editId="3D0DF3C5">
          <wp:simplePos x="0" y="0"/>
          <wp:positionH relativeFrom="page">
            <wp:posOffset>914400</wp:posOffset>
          </wp:positionH>
          <wp:positionV relativeFrom="page">
            <wp:posOffset>461010</wp:posOffset>
          </wp:positionV>
          <wp:extent cx="1257300" cy="42035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18240" behindDoc="1" locked="0" layoutInCell="1" allowOverlap="1" wp14:anchorId="5B4D9F70" wp14:editId="4BEA617B">
              <wp:simplePos x="0" y="0"/>
              <wp:positionH relativeFrom="page">
                <wp:posOffset>901700</wp:posOffset>
              </wp:positionH>
              <wp:positionV relativeFrom="page">
                <wp:posOffset>239691</wp:posOffset>
              </wp:positionV>
              <wp:extent cx="1256665" cy="1390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2EEEC0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B4D9F70" id="_x0000_t202" coordsize="21600,21600" o:spt="202" path="m,l,21600r21600,l21600,xe">
              <v:stroke joinstyle="miter"/>
              <v:path gradientshapeok="t" o:connecttype="rect"/>
            </v:shapetype>
            <v:shape id="Textbox 8" o:spid="_x0000_s1216" type="#_x0000_t202" style="position:absolute;margin-left:71pt;margin-top:18.85pt;width:98.95pt;height:10.95pt;z-index:-378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" filled="f" stroked="f">
              <v:textbox inset="0,0,0,0">
                <w:txbxContent>
                  <w:p w14:paraId="12EEEC0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18752" behindDoc="1" locked="0" layoutInCell="1" allowOverlap="1" wp14:anchorId="79AA84B2" wp14:editId="1DB198C7">
              <wp:simplePos x="0" y="0"/>
              <wp:positionH relativeFrom="page">
                <wp:posOffset>3516121</wp:posOffset>
              </wp:positionH>
              <wp:positionV relativeFrom="page">
                <wp:posOffset>661163</wp:posOffset>
              </wp:positionV>
              <wp:extent cx="3316604" cy="1816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BB687A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9AA84B2" id="Textbox 9" o:spid="_x0000_s1217" type="#_x0000_t202" style="position:absolute;margin-left:276.85pt;margin-top:52.05pt;width:261.15pt;height:14.3pt;z-index:-378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" filled="f" stroked="f">
              <v:textbox inset="0,0,0,0">
                <w:txbxContent>
                  <w:p w14:paraId="4BB687A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6326C" w14:textId="77777777" w:rsidR="00C31389" w:rsidRDefault="00561FBD">
    <w:pPr>
      <w:pStyle w:val="BodyText"/>
      <w:spacing w:line="14" w:lineRule="auto"/>
      <w:rPr>
        <w:sz w:val="20"/>
      </w:rPr>
    </w:pPr>
    <w:r>
      <w:rPr>
        <w:noProof/>
      </w:rPr>
      <w:drawing>
        <wp:anchor distT="0" distB="0" distL="0" distR="0" simplePos="0" relativeHeight="465442816" behindDoc="1" locked="0" layoutInCell="1" allowOverlap="1" wp14:anchorId="09D54115" wp14:editId="552E7235">
          <wp:simplePos x="0" y="0"/>
          <wp:positionH relativeFrom="page">
            <wp:posOffset>914400</wp:posOffset>
          </wp:positionH>
          <wp:positionV relativeFrom="page">
            <wp:posOffset>461010</wp:posOffset>
          </wp:positionV>
          <wp:extent cx="1257300" cy="420356"/>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43328" behindDoc="1" locked="0" layoutInCell="1" allowOverlap="1" wp14:anchorId="71E04234" wp14:editId="4358B4C2">
              <wp:simplePos x="0" y="0"/>
              <wp:positionH relativeFrom="page">
                <wp:posOffset>905256</wp:posOffset>
              </wp:positionH>
              <wp:positionV relativeFrom="page">
                <wp:posOffset>1042415</wp:posOffset>
              </wp:positionV>
              <wp:extent cx="5953125" cy="127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2246A7B" id="Graphic 101" o:spid="_x0000_s1026" style="position:absolute;margin-left:71.3pt;margin-top:82.1pt;width:468.75pt;height:1pt;z-index:-37873152;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43840" behindDoc="1" locked="0" layoutInCell="1" allowOverlap="1" wp14:anchorId="3D1B57A9" wp14:editId="5CFEB86C">
              <wp:simplePos x="0" y="0"/>
              <wp:positionH relativeFrom="page">
                <wp:posOffset>901700</wp:posOffset>
              </wp:positionH>
              <wp:positionV relativeFrom="page">
                <wp:posOffset>239691</wp:posOffset>
              </wp:positionV>
              <wp:extent cx="1256665" cy="139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3FCD11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D1B57A9" id="_x0000_t202" coordsize="21600,21600" o:spt="202" path="m,l,21600r21600,l21600,xe">
              <v:stroke joinstyle="miter"/>
              <v:path gradientshapeok="t" o:connecttype="rect"/>
            </v:shapetype>
            <v:shape id="Textbox 102" o:spid="_x0000_s1243" type="#_x0000_t202" style="position:absolute;margin-left:71pt;margin-top:18.85pt;width:98.95pt;height:10.95pt;z-index:-378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e/lwEAACM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q5epVR89EOuhOLGXmeraSfB4VGiuFTYMPy8C8JXpLdJcE0&#10;vIfyRbKmAG8PCawrDG64MwOeRNEw/5o86t/3pev2t7e/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BUVse/lwEAACMD&#10;AAAOAAAAAAAAAAAAAAAAAC4CAABkcnMvZTJvRG9jLnhtbFBLAQItABQABgAIAAAAIQA8kT5l3wAA&#10;AAkBAAAPAAAAAAAAAAAAAAAAAPEDAABkcnMvZG93bnJldi54bWxQSwUGAAAAAAQABADzAAAA/QQA&#10;AAAA&#10;" filled="f" stroked="f">
              <v:textbox inset="0,0,0,0">
                <w:txbxContent>
                  <w:p w14:paraId="33FCD11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44352" behindDoc="1" locked="0" layoutInCell="1" allowOverlap="1" wp14:anchorId="32F5F2C2" wp14:editId="206EC90E">
              <wp:simplePos x="0" y="0"/>
              <wp:positionH relativeFrom="page">
                <wp:posOffset>3516121</wp:posOffset>
              </wp:positionH>
              <wp:positionV relativeFrom="page">
                <wp:posOffset>661163</wp:posOffset>
              </wp:positionV>
              <wp:extent cx="3316604" cy="1816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505D38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2F5F2C2" id="Textbox 103" o:spid="_x0000_s1244" type="#_x0000_t202" style="position:absolute;margin-left:276.85pt;margin-top:52.05pt;width:261.15pt;height:14.3pt;z-index:-378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nfN6jJkB&#10;AAAjAwAADgAAAAAAAAAAAAAAAAAuAgAAZHJzL2Uyb0RvYy54bWxQSwECLQAUAAYACAAAACEAwRBX&#10;IeEAAAAMAQAADwAAAAAAAAAAAAAAAADzAwAAZHJzL2Rvd25yZXYueG1sUEsFBgAAAAAEAAQA8wAA&#10;AAEFAAAAAA==&#10;" filled="f" stroked="f">
              <v:textbox inset="0,0,0,0">
                <w:txbxContent>
                  <w:p w14:paraId="2505D38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2B32" w14:textId="77777777" w:rsidR="00C31389" w:rsidRDefault="00561FBD">
    <w:pPr>
      <w:pStyle w:val="BodyText"/>
      <w:spacing w:line="14" w:lineRule="auto"/>
      <w:rPr>
        <w:sz w:val="20"/>
      </w:rPr>
    </w:pPr>
    <w:r>
      <w:rPr>
        <w:noProof/>
      </w:rPr>
      <w:drawing>
        <wp:anchor distT="0" distB="0" distL="0" distR="0" simplePos="0" relativeHeight="465445888" behindDoc="1" locked="0" layoutInCell="1" allowOverlap="1" wp14:anchorId="76B5978D" wp14:editId="2F83EAD1">
          <wp:simplePos x="0" y="0"/>
          <wp:positionH relativeFrom="page">
            <wp:posOffset>914400</wp:posOffset>
          </wp:positionH>
          <wp:positionV relativeFrom="page">
            <wp:posOffset>461010</wp:posOffset>
          </wp:positionV>
          <wp:extent cx="1257300" cy="42035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46400" behindDoc="1" locked="0" layoutInCell="1" allowOverlap="1" wp14:anchorId="72D431A9" wp14:editId="51820326">
              <wp:simplePos x="0" y="0"/>
              <wp:positionH relativeFrom="page">
                <wp:posOffset>901700</wp:posOffset>
              </wp:positionH>
              <wp:positionV relativeFrom="page">
                <wp:posOffset>239691</wp:posOffset>
              </wp:positionV>
              <wp:extent cx="1256665" cy="139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08173E6E"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2D431A9" id="_x0000_t202" coordsize="21600,21600" o:spt="202" path="m,l,21600r21600,l21600,xe">
              <v:stroke joinstyle="miter"/>
              <v:path gradientshapeok="t" o:connecttype="rect"/>
            </v:shapetype>
            <v:shape id="Textbox 118" o:spid="_x0000_s1246" type="#_x0000_t202" style="position:absolute;margin-left:71pt;margin-top:18.85pt;width:98.95pt;height:10.95pt;z-index:-378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CshOdiWAQAAIwMA&#10;AA4AAAAAAAAAAAAAAAAALgIAAGRycy9lMm9Eb2MueG1sUEsBAi0AFAAGAAgAAAAhADyRPmXfAAAA&#10;CQEAAA8AAAAAAAAAAAAAAAAA8AMAAGRycy9kb3ducmV2LnhtbFBLBQYAAAAABAAEAPMAAAD8BAAA&#10;AAA=&#10;" filled="f" stroked="f">
              <v:textbox inset="0,0,0,0">
                <w:txbxContent>
                  <w:p w14:paraId="08173E6E"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46912" behindDoc="1" locked="0" layoutInCell="1" allowOverlap="1" wp14:anchorId="03BFB23C" wp14:editId="6C254AB6">
              <wp:simplePos x="0" y="0"/>
              <wp:positionH relativeFrom="page">
                <wp:posOffset>3516121</wp:posOffset>
              </wp:positionH>
              <wp:positionV relativeFrom="page">
                <wp:posOffset>661163</wp:posOffset>
              </wp:positionV>
              <wp:extent cx="3316604" cy="1816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DAEE74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3BFB23C" id="Textbox 119" o:spid="_x0000_s1247" type="#_x0000_t202" style="position:absolute;margin-left:276.85pt;margin-top:52.05pt;width:261.15pt;height:14.3pt;z-index:-378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i52bLpkB&#10;AAAjAwAADgAAAAAAAAAAAAAAAAAuAgAAZHJzL2Uyb0RvYy54bWxQSwECLQAUAAYACAAAACEAwRBX&#10;IeEAAAAMAQAADwAAAAAAAAAAAAAAAADzAwAAZHJzL2Rvd25yZXYueG1sUEsFBgAAAAAEAAQA8wAA&#10;AAEFAAAAAA==&#10;" filled="f" stroked="f">
              <v:textbox inset="0,0,0,0">
                <w:txbxContent>
                  <w:p w14:paraId="0DAEE74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1C2F" w14:textId="77777777" w:rsidR="00C31389" w:rsidRDefault="00561FBD">
    <w:pPr>
      <w:pStyle w:val="BodyText"/>
      <w:spacing w:line="14" w:lineRule="auto"/>
      <w:rPr>
        <w:sz w:val="20"/>
      </w:rPr>
    </w:pPr>
    <w:r>
      <w:rPr>
        <w:noProof/>
      </w:rPr>
      <w:drawing>
        <wp:anchor distT="0" distB="0" distL="0" distR="0" simplePos="0" relativeHeight="465448448" behindDoc="1" locked="0" layoutInCell="1" allowOverlap="1" wp14:anchorId="2BD7D495" wp14:editId="12031785">
          <wp:simplePos x="0" y="0"/>
          <wp:positionH relativeFrom="page">
            <wp:posOffset>914400</wp:posOffset>
          </wp:positionH>
          <wp:positionV relativeFrom="page">
            <wp:posOffset>461010</wp:posOffset>
          </wp:positionV>
          <wp:extent cx="1257300" cy="420356"/>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48960" behindDoc="1" locked="0" layoutInCell="1" allowOverlap="1" wp14:anchorId="1BAA166C" wp14:editId="672ADD30">
              <wp:simplePos x="0" y="0"/>
              <wp:positionH relativeFrom="page">
                <wp:posOffset>905256</wp:posOffset>
              </wp:positionH>
              <wp:positionV relativeFrom="page">
                <wp:posOffset>1042415</wp:posOffset>
              </wp:positionV>
              <wp:extent cx="5953125" cy="1270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6E9E0F7" id="Graphic 125" o:spid="_x0000_s1026" style="position:absolute;margin-left:71.3pt;margin-top:82.1pt;width:468.75pt;height:1pt;z-index:-3786752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49472" behindDoc="1" locked="0" layoutInCell="1" allowOverlap="1" wp14:anchorId="72745DDD" wp14:editId="7541E8E8">
              <wp:simplePos x="0" y="0"/>
              <wp:positionH relativeFrom="page">
                <wp:posOffset>901700</wp:posOffset>
              </wp:positionH>
              <wp:positionV relativeFrom="page">
                <wp:posOffset>239691</wp:posOffset>
              </wp:positionV>
              <wp:extent cx="1256665" cy="139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8D4C2B4"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2745DDD" id="_x0000_t202" coordsize="21600,21600" o:spt="202" path="m,l,21600r21600,l21600,xe">
              <v:stroke joinstyle="miter"/>
              <v:path gradientshapeok="t" o:connecttype="rect"/>
            </v:shapetype>
            <v:shape id="Textbox 126" o:spid="_x0000_s1249" type="#_x0000_t202" style="position:absolute;margin-left:71pt;margin-top:18.85pt;width:98.95pt;height:10.95pt;z-index:-378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4knMSpgBAAAj&#10;AwAADgAAAAAAAAAAAAAAAAAuAgAAZHJzL2Uyb0RvYy54bWxQSwECLQAUAAYACAAAACEAPJE+Zd8A&#10;AAAJAQAADwAAAAAAAAAAAAAAAADyAwAAZHJzL2Rvd25yZXYueG1sUEsFBgAAAAAEAAQA8wAAAP4E&#10;AAAAAA==&#10;" filled="f" stroked="f">
              <v:textbox inset="0,0,0,0">
                <w:txbxContent>
                  <w:p w14:paraId="78D4C2B4"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49984" behindDoc="1" locked="0" layoutInCell="1" allowOverlap="1" wp14:anchorId="7C9115C5" wp14:editId="64FD32C1">
              <wp:simplePos x="0" y="0"/>
              <wp:positionH relativeFrom="page">
                <wp:posOffset>3516121</wp:posOffset>
              </wp:positionH>
              <wp:positionV relativeFrom="page">
                <wp:posOffset>661163</wp:posOffset>
              </wp:positionV>
              <wp:extent cx="3316604" cy="1816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511008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C9115C5" id="Textbox 127" o:spid="_x0000_s1250" type="#_x0000_t202" style="position:absolute;margin-left:276.85pt;margin-top:52.05pt;width:261.15pt;height:14.3pt;z-index:-378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kSL1QpkB&#10;AAAjAwAADgAAAAAAAAAAAAAAAAAuAgAAZHJzL2Uyb0RvYy54bWxQSwECLQAUAAYACAAAACEAwRBX&#10;IeEAAAAMAQAADwAAAAAAAAAAAAAAAADzAwAAZHJzL2Rvd25yZXYueG1sUEsFBgAAAAAEAAQA8wAA&#10;AAEFAAAAAA==&#10;" filled="f" stroked="f">
              <v:textbox inset="0,0,0,0">
                <w:txbxContent>
                  <w:p w14:paraId="1511008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7BC8" w14:textId="77777777" w:rsidR="00C31389" w:rsidRDefault="00561FBD">
    <w:pPr>
      <w:pStyle w:val="BodyText"/>
      <w:spacing w:line="14" w:lineRule="auto"/>
      <w:rPr>
        <w:sz w:val="20"/>
      </w:rPr>
    </w:pPr>
    <w:r>
      <w:rPr>
        <w:noProof/>
      </w:rPr>
      <w:drawing>
        <wp:anchor distT="0" distB="0" distL="0" distR="0" simplePos="0" relativeHeight="465451520" behindDoc="1" locked="0" layoutInCell="1" allowOverlap="1" wp14:anchorId="69A22DC8" wp14:editId="0DC33D1B">
          <wp:simplePos x="0" y="0"/>
          <wp:positionH relativeFrom="page">
            <wp:posOffset>914400</wp:posOffset>
          </wp:positionH>
          <wp:positionV relativeFrom="page">
            <wp:posOffset>461010</wp:posOffset>
          </wp:positionV>
          <wp:extent cx="1257300" cy="420356"/>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52032" behindDoc="1" locked="0" layoutInCell="1" allowOverlap="1" wp14:anchorId="160BFA6B" wp14:editId="6492AAE5">
              <wp:simplePos x="0" y="0"/>
              <wp:positionH relativeFrom="page">
                <wp:posOffset>901700</wp:posOffset>
              </wp:positionH>
              <wp:positionV relativeFrom="page">
                <wp:posOffset>239691</wp:posOffset>
              </wp:positionV>
              <wp:extent cx="1256665" cy="139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505793A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60BFA6B" id="_x0000_t202" coordsize="21600,21600" o:spt="202" path="m,l,21600r21600,l21600,xe">
              <v:stroke joinstyle="miter"/>
              <v:path gradientshapeok="t" o:connecttype="rect"/>
            </v:shapetype>
            <v:shape id="Textbox 138" o:spid="_x0000_s1252" type="#_x0000_t202" style="position:absolute;margin-left:71pt;margin-top:18.85pt;width:98.95pt;height:10.95pt;z-index:-378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PaiJpgBAAAj&#10;AwAADgAAAAAAAAAAAAAAAAAuAgAAZHJzL2Uyb0RvYy54bWxQSwECLQAUAAYACAAAACEAPJE+Zd8A&#10;AAAJAQAADwAAAAAAAAAAAAAAAADyAwAAZHJzL2Rvd25yZXYueG1sUEsFBgAAAAAEAAQA8wAAAP4E&#10;AAAAAA==&#10;" filled="f" stroked="f">
              <v:textbox inset="0,0,0,0">
                <w:txbxContent>
                  <w:p w14:paraId="505793A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52544" behindDoc="1" locked="0" layoutInCell="1" allowOverlap="1" wp14:anchorId="69B2ECBA" wp14:editId="10309E19">
              <wp:simplePos x="0" y="0"/>
              <wp:positionH relativeFrom="page">
                <wp:posOffset>3516121</wp:posOffset>
              </wp:positionH>
              <wp:positionV relativeFrom="page">
                <wp:posOffset>661163</wp:posOffset>
              </wp:positionV>
              <wp:extent cx="3316604" cy="1816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962186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69B2ECBA" id="Textbox 139" o:spid="_x0000_s1253" type="#_x0000_t202" style="position:absolute;margin-left:276.85pt;margin-top:52.05pt;width:261.15pt;height:14.3pt;z-index:-378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WEoA0JkB&#10;AAAjAwAADgAAAAAAAAAAAAAAAAAuAgAAZHJzL2Uyb0RvYy54bWxQSwECLQAUAAYACAAAACEAwRBX&#10;IeEAAAAMAQAADwAAAAAAAAAAAAAAAADzAwAAZHJzL2Rvd25yZXYueG1sUEsFBgAAAAAEAAQA8wAA&#10;AAEFAAAAAA==&#10;" filled="f" stroked="f">
              <v:textbox inset="0,0,0,0">
                <w:txbxContent>
                  <w:p w14:paraId="1962186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5DFF" w14:textId="77777777" w:rsidR="00C31389" w:rsidRDefault="00561FBD">
    <w:pPr>
      <w:pStyle w:val="BodyText"/>
      <w:spacing w:line="14" w:lineRule="auto"/>
      <w:rPr>
        <w:sz w:val="20"/>
      </w:rPr>
    </w:pPr>
    <w:r>
      <w:rPr>
        <w:noProof/>
      </w:rPr>
      <w:drawing>
        <wp:anchor distT="0" distB="0" distL="0" distR="0" simplePos="0" relativeHeight="465454080" behindDoc="1" locked="0" layoutInCell="1" allowOverlap="1" wp14:anchorId="77B7AD68" wp14:editId="5C84635E">
          <wp:simplePos x="0" y="0"/>
          <wp:positionH relativeFrom="page">
            <wp:posOffset>914400</wp:posOffset>
          </wp:positionH>
          <wp:positionV relativeFrom="page">
            <wp:posOffset>461010</wp:posOffset>
          </wp:positionV>
          <wp:extent cx="1257300" cy="420356"/>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54592" behindDoc="1" locked="0" layoutInCell="1" allowOverlap="1" wp14:anchorId="5DE4FF43" wp14:editId="35219FAE">
              <wp:simplePos x="0" y="0"/>
              <wp:positionH relativeFrom="page">
                <wp:posOffset>905256</wp:posOffset>
              </wp:positionH>
              <wp:positionV relativeFrom="page">
                <wp:posOffset>1042415</wp:posOffset>
              </wp:positionV>
              <wp:extent cx="5953125" cy="1270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C766EFC" id="Graphic 146" o:spid="_x0000_s1026" style="position:absolute;margin-left:71.3pt;margin-top:82.1pt;width:468.75pt;height:1pt;z-index:-3786188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55104" behindDoc="1" locked="0" layoutInCell="1" allowOverlap="1" wp14:anchorId="65F7B717" wp14:editId="6B37E83C">
              <wp:simplePos x="0" y="0"/>
              <wp:positionH relativeFrom="page">
                <wp:posOffset>901700</wp:posOffset>
              </wp:positionH>
              <wp:positionV relativeFrom="page">
                <wp:posOffset>239691</wp:posOffset>
              </wp:positionV>
              <wp:extent cx="1256665" cy="139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9A49D8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65F7B717" id="_x0000_t202" coordsize="21600,21600" o:spt="202" path="m,l,21600r21600,l21600,xe">
              <v:stroke joinstyle="miter"/>
              <v:path gradientshapeok="t" o:connecttype="rect"/>
            </v:shapetype>
            <v:shape id="Textbox 147" o:spid="_x0000_s1255" type="#_x0000_t202" style="position:absolute;margin-left:71pt;margin-top:18.85pt;width:98.95pt;height:10.95pt;z-index:-378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1jcRkpgBAAAj&#10;AwAADgAAAAAAAAAAAAAAAAAuAgAAZHJzL2Uyb0RvYy54bWxQSwECLQAUAAYACAAAACEAPJE+Zd8A&#10;AAAJAQAADwAAAAAAAAAAAAAAAADyAwAAZHJzL2Rvd25yZXYueG1sUEsFBgAAAAAEAAQA8wAAAP4E&#10;AAAAAA==&#10;" filled="f" stroked="f">
              <v:textbox inset="0,0,0,0">
                <w:txbxContent>
                  <w:p w14:paraId="79A49D8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55616" behindDoc="1" locked="0" layoutInCell="1" allowOverlap="1" wp14:anchorId="5AD541CD" wp14:editId="424A46FD">
              <wp:simplePos x="0" y="0"/>
              <wp:positionH relativeFrom="page">
                <wp:posOffset>3516121</wp:posOffset>
              </wp:positionH>
              <wp:positionV relativeFrom="page">
                <wp:posOffset>661163</wp:posOffset>
              </wp:positionV>
              <wp:extent cx="3316604" cy="1816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71A951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AD541CD" id="Textbox 148" o:spid="_x0000_s1256" type="#_x0000_t202" style="position:absolute;margin-left:276.85pt;margin-top:52.05pt;width:261.15pt;height:14.3pt;z-index:-378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niXaqJkB&#10;AAAjAwAADgAAAAAAAAAAAAAAAAAuAgAAZHJzL2Uyb0RvYy54bWxQSwECLQAUAAYACAAAACEAwRBX&#10;IeEAAAAMAQAADwAAAAAAAAAAAAAAAADzAwAAZHJzL2Rvd25yZXYueG1sUEsFBgAAAAAEAAQA8wAA&#10;AAEFAAAAAA==&#10;" filled="f" stroked="f">
              <v:textbox inset="0,0,0,0">
                <w:txbxContent>
                  <w:p w14:paraId="071A951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E672" w14:textId="77777777" w:rsidR="00C31389" w:rsidRDefault="00561FBD">
    <w:pPr>
      <w:pStyle w:val="BodyText"/>
      <w:spacing w:line="14" w:lineRule="auto"/>
      <w:rPr>
        <w:sz w:val="20"/>
      </w:rPr>
    </w:pPr>
    <w:r>
      <w:rPr>
        <w:noProof/>
      </w:rPr>
      <w:drawing>
        <wp:anchor distT="0" distB="0" distL="0" distR="0" simplePos="0" relativeHeight="465457152" behindDoc="1" locked="0" layoutInCell="1" allowOverlap="1" wp14:anchorId="0D631881" wp14:editId="2DAFD7DE">
          <wp:simplePos x="0" y="0"/>
          <wp:positionH relativeFrom="page">
            <wp:posOffset>914400</wp:posOffset>
          </wp:positionH>
          <wp:positionV relativeFrom="page">
            <wp:posOffset>461010</wp:posOffset>
          </wp:positionV>
          <wp:extent cx="1257300" cy="420356"/>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57664" behindDoc="1" locked="0" layoutInCell="1" allowOverlap="1" wp14:anchorId="4DF932AB" wp14:editId="6C19ADD9">
              <wp:simplePos x="0" y="0"/>
              <wp:positionH relativeFrom="page">
                <wp:posOffset>901700</wp:posOffset>
              </wp:positionH>
              <wp:positionV relativeFrom="page">
                <wp:posOffset>239691</wp:posOffset>
              </wp:positionV>
              <wp:extent cx="1256665" cy="139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713BE7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DF932AB" id="_x0000_t202" coordsize="21600,21600" o:spt="202" path="m,l,21600r21600,l21600,xe">
              <v:stroke joinstyle="miter"/>
              <v:path gradientshapeok="t" o:connecttype="rect"/>
            </v:shapetype>
            <v:shape id="Textbox 157" o:spid="_x0000_s1258" type="#_x0000_t202" style="position:absolute;margin-left:71pt;margin-top:18.85pt;width:98.95pt;height:10.95pt;z-index:-378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3MlwEAACM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r5apVR89EOuhOLGXmeraSfB4VGiuFTYMPy8C8JXpLdJcE0&#10;vIfyRbKmAG8PCawrDG64MwOeRNEw/5o86t/3pev2t7e/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D38Y3MlwEAACMD&#10;AAAOAAAAAAAAAAAAAAAAAC4CAABkcnMvZTJvRG9jLnhtbFBLAQItABQABgAIAAAAIQA8kT5l3wAA&#10;AAkBAAAPAAAAAAAAAAAAAAAAAPEDAABkcnMvZG93bnJldi54bWxQSwUGAAAAAAQABADzAAAA/QQA&#10;AAAA&#10;" filled="f" stroked="f">
              <v:textbox inset="0,0,0,0">
                <w:txbxContent>
                  <w:p w14:paraId="1713BE7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58176" behindDoc="1" locked="0" layoutInCell="1" allowOverlap="1" wp14:anchorId="302F54F8" wp14:editId="22DB80BE">
              <wp:simplePos x="0" y="0"/>
              <wp:positionH relativeFrom="page">
                <wp:posOffset>3516121</wp:posOffset>
              </wp:positionH>
              <wp:positionV relativeFrom="page">
                <wp:posOffset>661163</wp:posOffset>
              </wp:positionV>
              <wp:extent cx="3316604" cy="1816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4C7C60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02F54F8" id="Textbox 158" o:spid="_x0000_s1259" type="#_x0000_t202" style="position:absolute;margin-left:276.85pt;margin-top:52.05pt;width:261.15pt;height:14.3pt;z-index:-378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V00vOpkB&#10;AAAjAwAADgAAAAAAAAAAAAAAAAAuAgAAZHJzL2Uyb0RvYy54bWxQSwECLQAUAAYACAAAACEAwRBX&#10;IeEAAAAMAQAADwAAAAAAAAAAAAAAAADzAwAAZHJzL2Rvd25yZXYueG1sUEsFBgAAAAAEAAQA8wAA&#10;AAEFAAAAAA==&#10;" filled="f" stroked="f">
              <v:textbox inset="0,0,0,0">
                <w:txbxContent>
                  <w:p w14:paraId="04C7C60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5A68" w14:textId="77777777" w:rsidR="00C31389" w:rsidRDefault="00561FBD">
    <w:pPr>
      <w:pStyle w:val="BodyText"/>
      <w:spacing w:line="14" w:lineRule="auto"/>
      <w:rPr>
        <w:sz w:val="20"/>
      </w:rPr>
    </w:pPr>
    <w:r>
      <w:rPr>
        <w:noProof/>
      </w:rPr>
      <w:drawing>
        <wp:anchor distT="0" distB="0" distL="0" distR="0" simplePos="0" relativeHeight="465459712" behindDoc="1" locked="0" layoutInCell="1" allowOverlap="1" wp14:anchorId="47853A3F" wp14:editId="5D186FC2">
          <wp:simplePos x="0" y="0"/>
          <wp:positionH relativeFrom="page">
            <wp:posOffset>914400</wp:posOffset>
          </wp:positionH>
          <wp:positionV relativeFrom="page">
            <wp:posOffset>461010</wp:posOffset>
          </wp:positionV>
          <wp:extent cx="1257300" cy="420356"/>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60224" behindDoc="1" locked="0" layoutInCell="1" allowOverlap="1" wp14:anchorId="0D843C66" wp14:editId="250DBD25">
              <wp:simplePos x="0" y="0"/>
              <wp:positionH relativeFrom="page">
                <wp:posOffset>905256</wp:posOffset>
              </wp:positionH>
              <wp:positionV relativeFrom="page">
                <wp:posOffset>1042415</wp:posOffset>
              </wp:positionV>
              <wp:extent cx="5953125" cy="1270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BCFFC53" id="Graphic 174" o:spid="_x0000_s1026" style="position:absolute;margin-left:71.3pt;margin-top:82.1pt;width:468.75pt;height:1pt;z-index:-3785625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60736" behindDoc="1" locked="0" layoutInCell="1" allowOverlap="1" wp14:anchorId="1B1DEEBD" wp14:editId="665C8846">
              <wp:simplePos x="0" y="0"/>
              <wp:positionH relativeFrom="page">
                <wp:posOffset>901700</wp:posOffset>
              </wp:positionH>
              <wp:positionV relativeFrom="page">
                <wp:posOffset>239691</wp:posOffset>
              </wp:positionV>
              <wp:extent cx="1256665" cy="139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9E6D8B3"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B1DEEBD" id="_x0000_t202" coordsize="21600,21600" o:spt="202" path="m,l,21600r21600,l21600,xe">
              <v:stroke joinstyle="miter"/>
              <v:path gradientshapeok="t" o:connecttype="rect"/>
            </v:shapetype>
            <v:shape id="Textbox 175" o:spid="_x0000_s1261" type="#_x0000_t202" style="position:absolute;margin-left:71pt;margin-top:18.85pt;width:98.95pt;height:10.95pt;z-index:-378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DlgEAACM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r5qqDmox10JxYz8jxbST8PCo0Uw6fAhuXhXxK8JLtLgml4&#10;D+WLZE0B3h4SWFcY3HBnBjyJomH+NXnUv+9L1+1vb38B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GP+ukOWAQAAIwMA&#10;AA4AAAAAAAAAAAAAAAAALgIAAGRycy9lMm9Eb2MueG1sUEsBAi0AFAAGAAgAAAAhADyRPmXfAAAA&#10;CQEAAA8AAAAAAAAAAAAAAAAA8AMAAGRycy9kb3ducmV2LnhtbFBLBQYAAAAABAAEAPMAAAD8BAAA&#10;AAA=&#10;" filled="f" stroked="f">
              <v:textbox inset="0,0,0,0">
                <w:txbxContent>
                  <w:p w14:paraId="39E6D8B3"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61248" behindDoc="1" locked="0" layoutInCell="1" allowOverlap="1" wp14:anchorId="06E4C771" wp14:editId="11C3DDA5">
              <wp:simplePos x="0" y="0"/>
              <wp:positionH relativeFrom="page">
                <wp:posOffset>3516121</wp:posOffset>
              </wp:positionH>
              <wp:positionV relativeFrom="page">
                <wp:posOffset>661163</wp:posOffset>
              </wp:positionV>
              <wp:extent cx="3316604" cy="1816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68FC5D2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6E4C771" id="Textbox 176" o:spid="_x0000_s1262" type="#_x0000_t202" style="position:absolute;margin-left:276.85pt;margin-top:52.05pt;width:261.15pt;height:14.3pt;z-index:-378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TfJBVpkB&#10;AAAjAwAADgAAAAAAAAAAAAAAAAAuAgAAZHJzL2Uyb0RvYy54bWxQSwECLQAUAAYACAAAACEAwRBX&#10;IeEAAAAMAQAADwAAAAAAAAAAAAAAAADzAwAAZHJzL2Rvd25yZXYueG1sUEsFBgAAAAAEAAQA8wAA&#10;AAEFAAAAAA==&#10;" filled="f" stroked="f">
              <v:textbox inset="0,0,0,0">
                <w:txbxContent>
                  <w:p w14:paraId="68FC5D2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D2D2" w14:textId="77777777" w:rsidR="00C31389" w:rsidRDefault="00561FBD">
    <w:pPr>
      <w:pStyle w:val="BodyText"/>
      <w:spacing w:line="14" w:lineRule="auto"/>
      <w:rPr>
        <w:sz w:val="20"/>
      </w:rPr>
    </w:pPr>
    <w:r>
      <w:rPr>
        <w:noProof/>
      </w:rPr>
      <w:drawing>
        <wp:anchor distT="0" distB="0" distL="0" distR="0" simplePos="0" relativeHeight="465462784" behindDoc="1" locked="0" layoutInCell="1" allowOverlap="1" wp14:anchorId="764096D1" wp14:editId="26E6C9B0">
          <wp:simplePos x="0" y="0"/>
          <wp:positionH relativeFrom="page">
            <wp:posOffset>914400</wp:posOffset>
          </wp:positionH>
          <wp:positionV relativeFrom="page">
            <wp:posOffset>461010</wp:posOffset>
          </wp:positionV>
          <wp:extent cx="1257300" cy="420356"/>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63296" behindDoc="1" locked="0" layoutInCell="1" allowOverlap="1" wp14:anchorId="7ED41EDB" wp14:editId="2AB0A10F">
              <wp:simplePos x="0" y="0"/>
              <wp:positionH relativeFrom="page">
                <wp:posOffset>901700</wp:posOffset>
              </wp:positionH>
              <wp:positionV relativeFrom="page">
                <wp:posOffset>239691</wp:posOffset>
              </wp:positionV>
              <wp:extent cx="1256665" cy="139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48B7C6FC"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ED41EDB" id="_x0000_t202" coordsize="21600,21600" o:spt="202" path="m,l,21600r21600,l21600,xe">
              <v:stroke joinstyle="miter"/>
              <v:path gradientshapeok="t" o:connecttype="rect"/>
            </v:shapetype>
            <v:shape id="Textbox 184" o:spid="_x0000_s1264" type="#_x0000_t202" style="position:absolute;margin-left:71pt;margin-top:18.85pt;width:98.95pt;height:10.95pt;z-index:-378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MOPUBSZAQAA&#10;IwMAAA4AAAAAAAAAAAAAAAAALgIAAGRycy9lMm9Eb2MueG1sUEsBAi0AFAAGAAgAAAAhADyRPmXf&#10;AAAACQEAAA8AAAAAAAAAAAAAAAAA8wMAAGRycy9kb3ducmV2LnhtbFBLBQYAAAAABAAEAPMAAAD/&#10;BAAAAAA=&#10;" filled="f" stroked="f">
              <v:textbox inset="0,0,0,0">
                <w:txbxContent>
                  <w:p w14:paraId="48B7C6FC"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63808" behindDoc="1" locked="0" layoutInCell="1" allowOverlap="1" wp14:anchorId="551F8CB2" wp14:editId="3665771C">
              <wp:simplePos x="0" y="0"/>
              <wp:positionH relativeFrom="page">
                <wp:posOffset>3516121</wp:posOffset>
              </wp:positionH>
              <wp:positionV relativeFrom="page">
                <wp:posOffset>661163</wp:posOffset>
              </wp:positionV>
              <wp:extent cx="3316604" cy="1816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0369BC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51F8CB2" id="Textbox 185" o:spid="_x0000_s1265" type="#_x0000_t202" style="position:absolute;margin-left:276.85pt;margin-top:52.05pt;width:261.15pt;height:14.3pt;z-index:-378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GMz8uKa&#10;AQAAIwMAAA4AAAAAAAAAAAAAAAAALgIAAGRycy9lMm9Eb2MueG1sUEsBAi0AFAAGAAgAAAAhAMEQ&#10;VyHhAAAADAEAAA8AAAAAAAAAAAAAAAAA9AMAAGRycy9kb3ducmV2LnhtbFBLBQYAAAAABAAEAPMA&#10;AAACBQAAAAA=&#10;" filled="f" stroked="f">
              <v:textbox inset="0,0,0,0">
                <w:txbxContent>
                  <w:p w14:paraId="00369BC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3923" w14:textId="77777777" w:rsidR="00C31389" w:rsidRDefault="00561FBD">
    <w:pPr>
      <w:pStyle w:val="BodyText"/>
      <w:spacing w:line="14" w:lineRule="auto"/>
      <w:rPr>
        <w:sz w:val="20"/>
      </w:rPr>
    </w:pPr>
    <w:r>
      <w:rPr>
        <w:noProof/>
      </w:rPr>
      <w:drawing>
        <wp:anchor distT="0" distB="0" distL="0" distR="0" simplePos="0" relativeHeight="465465344" behindDoc="1" locked="0" layoutInCell="1" allowOverlap="1" wp14:anchorId="2816C1B4" wp14:editId="0C11E153">
          <wp:simplePos x="0" y="0"/>
          <wp:positionH relativeFrom="page">
            <wp:posOffset>914400</wp:posOffset>
          </wp:positionH>
          <wp:positionV relativeFrom="page">
            <wp:posOffset>461010</wp:posOffset>
          </wp:positionV>
          <wp:extent cx="1257300" cy="420356"/>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65856" behindDoc="1" locked="0" layoutInCell="1" allowOverlap="1" wp14:anchorId="24FDD2D8" wp14:editId="388E69F5">
              <wp:simplePos x="0" y="0"/>
              <wp:positionH relativeFrom="page">
                <wp:posOffset>905256</wp:posOffset>
              </wp:positionH>
              <wp:positionV relativeFrom="page">
                <wp:posOffset>1042415</wp:posOffset>
              </wp:positionV>
              <wp:extent cx="5953125" cy="1270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C90AC69" id="Graphic 200" o:spid="_x0000_s1026" style="position:absolute;margin-left:71.3pt;margin-top:82.1pt;width:468.75pt;height:1pt;z-index:-37850624;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66368" behindDoc="1" locked="0" layoutInCell="1" allowOverlap="1" wp14:anchorId="4A83AC67" wp14:editId="3879C170">
              <wp:simplePos x="0" y="0"/>
              <wp:positionH relativeFrom="page">
                <wp:posOffset>901700</wp:posOffset>
              </wp:positionH>
              <wp:positionV relativeFrom="page">
                <wp:posOffset>239691</wp:posOffset>
              </wp:positionV>
              <wp:extent cx="1256665" cy="139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5F9E8EF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A83AC67" id="_x0000_t202" coordsize="21600,21600" o:spt="202" path="m,l,21600r21600,l21600,xe">
              <v:stroke joinstyle="miter"/>
              <v:path gradientshapeok="t" o:connecttype="rect"/>
            </v:shapetype>
            <v:shape id="Textbox 201" o:spid="_x0000_s1267" type="#_x0000_t202" style="position:absolute;margin-left:71pt;margin-top:18.85pt;width:98.95pt;height:10.95pt;z-index:-378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1eGxtpgBAAAj&#10;AwAADgAAAAAAAAAAAAAAAAAuAgAAZHJzL2Uyb0RvYy54bWxQSwECLQAUAAYACAAAACEAPJE+Zd8A&#10;AAAJAQAADwAAAAAAAAAAAAAAAADyAwAAZHJzL2Rvd25yZXYueG1sUEsFBgAAAAAEAAQA8wAAAP4E&#10;AAAAAA==&#10;" filled="f" stroked="f">
              <v:textbox inset="0,0,0,0">
                <w:txbxContent>
                  <w:p w14:paraId="5F9E8EF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66880" behindDoc="1" locked="0" layoutInCell="1" allowOverlap="1" wp14:anchorId="31FEAD3F" wp14:editId="12490F46">
              <wp:simplePos x="0" y="0"/>
              <wp:positionH relativeFrom="page">
                <wp:posOffset>3516121</wp:posOffset>
              </wp:positionH>
              <wp:positionV relativeFrom="page">
                <wp:posOffset>661163</wp:posOffset>
              </wp:positionV>
              <wp:extent cx="3316604" cy="1816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B2D0DF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1FEAD3F" id="Textbox 202" o:spid="_x0000_s1268" type="#_x0000_t202" style="position:absolute;margin-left:276.85pt;margin-top:52.05pt;width:261.15pt;height:14.3pt;z-index:-378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PvtSqOa&#10;AQAAIwMAAA4AAAAAAAAAAAAAAAAALgIAAGRycy9lMm9Eb2MueG1sUEsBAi0AFAAGAAgAAAAhAMEQ&#10;VyHhAAAADAEAAA8AAAAAAAAAAAAAAAAA9AMAAGRycy9kb3ducmV2LnhtbFBLBQYAAAAABAAEAPMA&#10;AAACBQAAAAA=&#10;" filled="f" stroked="f">
              <v:textbox inset="0,0,0,0">
                <w:txbxContent>
                  <w:p w14:paraId="7B2D0DF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2839" w14:textId="77777777" w:rsidR="00C31389" w:rsidRDefault="00561FBD">
    <w:pPr>
      <w:pStyle w:val="BodyText"/>
      <w:spacing w:line="14" w:lineRule="auto"/>
      <w:rPr>
        <w:sz w:val="20"/>
      </w:rPr>
    </w:pPr>
    <w:r>
      <w:rPr>
        <w:noProof/>
      </w:rPr>
      <w:drawing>
        <wp:anchor distT="0" distB="0" distL="0" distR="0" simplePos="0" relativeHeight="465468416" behindDoc="1" locked="0" layoutInCell="1" allowOverlap="1" wp14:anchorId="4EAD46E4" wp14:editId="68857AFB">
          <wp:simplePos x="0" y="0"/>
          <wp:positionH relativeFrom="page">
            <wp:posOffset>914400</wp:posOffset>
          </wp:positionH>
          <wp:positionV relativeFrom="page">
            <wp:posOffset>461010</wp:posOffset>
          </wp:positionV>
          <wp:extent cx="1257300" cy="420356"/>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68928" behindDoc="1" locked="0" layoutInCell="1" allowOverlap="1" wp14:anchorId="63CBED70" wp14:editId="2160BE00">
              <wp:simplePos x="0" y="0"/>
              <wp:positionH relativeFrom="page">
                <wp:posOffset>901700</wp:posOffset>
              </wp:positionH>
              <wp:positionV relativeFrom="page">
                <wp:posOffset>239691</wp:posOffset>
              </wp:positionV>
              <wp:extent cx="1256665" cy="139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499FEB7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63CBED70" id="_x0000_t202" coordsize="21600,21600" o:spt="202" path="m,l,21600r21600,l21600,xe">
              <v:stroke joinstyle="miter"/>
              <v:path gradientshapeok="t" o:connecttype="rect"/>
            </v:shapetype>
            <v:shape id="Textbox 220" o:spid="_x0000_s1270" type="#_x0000_t202" style="position:absolute;margin-left:71pt;margin-top:18.85pt;width:98.95pt;height:10.95pt;z-index:-378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z17f2pgBAAAj&#10;AwAADgAAAAAAAAAAAAAAAAAuAgAAZHJzL2Uyb0RvYy54bWxQSwECLQAUAAYACAAAACEAPJE+Zd8A&#10;AAAJAQAADwAAAAAAAAAAAAAAAADyAwAAZHJzL2Rvd25yZXYueG1sUEsFBgAAAAAEAAQA8wAAAP4E&#10;AAAAAA==&#10;" filled="f" stroked="f">
              <v:textbox inset="0,0,0,0">
                <w:txbxContent>
                  <w:p w14:paraId="499FEB7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69440" behindDoc="1" locked="0" layoutInCell="1" allowOverlap="1" wp14:anchorId="1765D773" wp14:editId="39071B43">
              <wp:simplePos x="0" y="0"/>
              <wp:positionH relativeFrom="page">
                <wp:posOffset>3516121</wp:posOffset>
              </wp:positionH>
              <wp:positionV relativeFrom="page">
                <wp:posOffset>661163</wp:posOffset>
              </wp:positionV>
              <wp:extent cx="3316604" cy="1816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D41DDC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1765D773" id="Textbox 221" o:spid="_x0000_s1271" type="#_x0000_t202" style="position:absolute;margin-left:276.85pt;margin-top:52.05pt;width:261.15pt;height:14.3pt;z-index:-378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G/ifSya&#10;AQAAIwMAAA4AAAAAAAAAAAAAAAAALgIAAGRycy9lMm9Eb2MueG1sUEsBAi0AFAAGAAgAAAAhAMEQ&#10;VyHhAAAADAEAAA8AAAAAAAAAAAAAAAAA9AMAAGRycy9kb3ducmV2LnhtbFBLBQYAAAAABAAEAPMA&#10;AAACBQAAAAA=&#10;" filled="f" stroked="f">
              <v:textbox inset="0,0,0,0">
                <w:txbxContent>
                  <w:p w14:paraId="0D41DDC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E345" w14:textId="77777777" w:rsidR="00C31389" w:rsidRDefault="00561FBD">
    <w:pPr>
      <w:pStyle w:val="BodyText"/>
      <w:spacing w:line="14" w:lineRule="auto"/>
      <w:rPr>
        <w:sz w:val="20"/>
      </w:rPr>
    </w:pPr>
    <w:r>
      <w:rPr>
        <w:noProof/>
      </w:rPr>
      <w:drawing>
        <wp:anchor distT="0" distB="0" distL="0" distR="0" simplePos="0" relativeHeight="465420288" behindDoc="1" locked="0" layoutInCell="1" allowOverlap="1" wp14:anchorId="7D518800" wp14:editId="3BDB5027">
          <wp:simplePos x="0" y="0"/>
          <wp:positionH relativeFrom="page">
            <wp:posOffset>914400</wp:posOffset>
          </wp:positionH>
          <wp:positionV relativeFrom="page">
            <wp:posOffset>461010</wp:posOffset>
          </wp:positionV>
          <wp:extent cx="1257300" cy="42035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20800" behindDoc="1" locked="0" layoutInCell="1" allowOverlap="1" wp14:anchorId="679EAE39" wp14:editId="4D8EBA8A">
              <wp:simplePos x="0" y="0"/>
              <wp:positionH relativeFrom="page">
                <wp:posOffset>905256</wp:posOffset>
              </wp:positionH>
              <wp:positionV relativeFrom="page">
                <wp:posOffset>1042415</wp:posOffset>
              </wp:positionV>
              <wp:extent cx="5953125" cy="127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D284714" id="Graphic 22" o:spid="_x0000_s1026" style="position:absolute;margin-left:71.3pt;margin-top:82.1pt;width:468.75pt;height:1pt;z-index:-3789568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21312" behindDoc="1" locked="0" layoutInCell="1" allowOverlap="1" wp14:anchorId="7797274E" wp14:editId="7CCBE01B">
              <wp:simplePos x="0" y="0"/>
              <wp:positionH relativeFrom="page">
                <wp:posOffset>901700</wp:posOffset>
              </wp:positionH>
              <wp:positionV relativeFrom="page">
                <wp:posOffset>239691</wp:posOffset>
              </wp:positionV>
              <wp:extent cx="1256665"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D5C3E3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797274E" id="_x0000_t202" coordsize="21600,21600" o:spt="202" path="m,l,21600r21600,l21600,xe">
              <v:stroke joinstyle="miter"/>
              <v:path gradientshapeok="t" o:connecttype="rect"/>
            </v:shapetype>
            <v:shape id="Textbox 23" o:spid="_x0000_s1219" type="#_x0000_t202" style="position:absolute;margin-left:71pt;margin-top:18.85pt;width:98.95pt;height:10.95pt;z-index:-378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MGUhMqWAQAAIgMA&#10;AA4AAAAAAAAAAAAAAAAALgIAAGRycy9lMm9Eb2MueG1sUEsBAi0AFAAGAAgAAAAhADyRPmXfAAAA&#10;CQEAAA8AAAAAAAAAAAAAAAAA8AMAAGRycy9kb3ducmV2LnhtbFBLBQYAAAAABAAEAPMAAAD8BAAA&#10;AAA=&#10;" filled="f" stroked="f">
              <v:textbox inset="0,0,0,0">
                <w:txbxContent>
                  <w:p w14:paraId="2D5C3E3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21824" behindDoc="1" locked="0" layoutInCell="1" allowOverlap="1" wp14:anchorId="346166EB" wp14:editId="17B609A2">
              <wp:simplePos x="0" y="0"/>
              <wp:positionH relativeFrom="page">
                <wp:posOffset>3516121</wp:posOffset>
              </wp:positionH>
              <wp:positionV relativeFrom="page">
                <wp:posOffset>661163</wp:posOffset>
              </wp:positionV>
              <wp:extent cx="3316604" cy="1816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38519C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46166EB" id="Textbox 24" o:spid="_x0000_s1220" type="#_x0000_t202" style="position:absolute;margin-left:276.85pt;margin-top:52.05pt;width:261.15pt;height:14.3pt;z-index:-378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xK50Q5kB&#10;AAAiAwAADgAAAAAAAAAAAAAAAAAuAgAAZHJzL2Uyb0RvYy54bWxQSwECLQAUAAYACAAAACEAwRBX&#10;IeEAAAAMAQAADwAAAAAAAAAAAAAAAADzAwAAZHJzL2Rvd25yZXYueG1sUEsFBgAAAAAEAAQA8wAA&#10;AAEFAAAAAA==&#10;" filled="f" stroked="f">
              <v:textbox inset="0,0,0,0">
                <w:txbxContent>
                  <w:p w14:paraId="038519C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3D82" w14:textId="77777777" w:rsidR="00C31389" w:rsidRDefault="00561FBD">
    <w:pPr>
      <w:pStyle w:val="BodyText"/>
      <w:spacing w:line="14" w:lineRule="auto"/>
      <w:rPr>
        <w:sz w:val="20"/>
      </w:rPr>
    </w:pPr>
    <w:r>
      <w:rPr>
        <w:noProof/>
      </w:rPr>
      <w:drawing>
        <wp:anchor distT="0" distB="0" distL="0" distR="0" simplePos="0" relativeHeight="465470976" behindDoc="1" locked="0" layoutInCell="1" allowOverlap="1" wp14:anchorId="004399F3" wp14:editId="3C75B3F4">
          <wp:simplePos x="0" y="0"/>
          <wp:positionH relativeFrom="page">
            <wp:posOffset>914400</wp:posOffset>
          </wp:positionH>
          <wp:positionV relativeFrom="page">
            <wp:posOffset>461010</wp:posOffset>
          </wp:positionV>
          <wp:extent cx="1257300" cy="420356"/>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71488" behindDoc="1" locked="0" layoutInCell="1" allowOverlap="1" wp14:anchorId="0A8565B9" wp14:editId="3A9C100C">
              <wp:simplePos x="0" y="0"/>
              <wp:positionH relativeFrom="page">
                <wp:posOffset>905256</wp:posOffset>
              </wp:positionH>
              <wp:positionV relativeFrom="page">
                <wp:posOffset>1042415</wp:posOffset>
              </wp:positionV>
              <wp:extent cx="5953125" cy="1270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9B67560" id="Graphic 277" o:spid="_x0000_s1026" style="position:absolute;margin-left:71.3pt;margin-top:82.1pt;width:468.75pt;height:1pt;z-index:-37844992;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72000" behindDoc="1" locked="0" layoutInCell="1" allowOverlap="1" wp14:anchorId="10206BC9" wp14:editId="46D3C62D">
              <wp:simplePos x="0" y="0"/>
              <wp:positionH relativeFrom="page">
                <wp:posOffset>901700</wp:posOffset>
              </wp:positionH>
              <wp:positionV relativeFrom="page">
                <wp:posOffset>239691</wp:posOffset>
              </wp:positionV>
              <wp:extent cx="1256665" cy="139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5A8C007C"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0206BC9" id="_x0000_t202" coordsize="21600,21600" o:spt="202" path="m,l,21600r21600,l21600,xe">
              <v:stroke joinstyle="miter"/>
              <v:path gradientshapeok="t" o:connecttype="rect"/>
            </v:shapetype>
            <v:shape id="Textbox 278" o:spid="_x0000_s1273" type="#_x0000_t202" style="position:absolute;margin-left:71pt;margin-top:18.85pt;width:98.95pt;height:10.95pt;z-index:-378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BjYqSJgBAAAj&#10;AwAADgAAAAAAAAAAAAAAAAAuAgAAZHJzL2Uyb0RvYy54bWxQSwECLQAUAAYACAAAACEAPJE+Zd8A&#10;AAAJAQAADwAAAAAAAAAAAAAAAADyAwAAZHJzL2Rvd25yZXYueG1sUEsFBgAAAAAEAAQA8wAAAP4E&#10;AAAAAA==&#10;" filled="f" stroked="f">
              <v:textbox inset="0,0,0,0">
                <w:txbxContent>
                  <w:p w14:paraId="5A8C007C"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72512" behindDoc="1" locked="0" layoutInCell="1" allowOverlap="1" wp14:anchorId="4566831D" wp14:editId="08C0D66A">
              <wp:simplePos x="0" y="0"/>
              <wp:positionH relativeFrom="page">
                <wp:posOffset>3516121</wp:posOffset>
              </wp:positionH>
              <wp:positionV relativeFrom="page">
                <wp:posOffset>661163</wp:posOffset>
              </wp:positionV>
              <wp:extent cx="3316604" cy="1816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763436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566831D" id="Textbox 279" o:spid="_x0000_s1274" type="#_x0000_t202" style="position:absolute;margin-left:276.85pt;margin-top:52.05pt;width:261.15pt;height:14.3pt;z-index:-378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M+Tl3ua&#10;AQAAIwMAAA4AAAAAAAAAAAAAAAAALgIAAGRycy9lMm9Eb2MueG1sUEsBAi0AFAAGAAgAAAAhAMEQ&#10;VyHhAAAADAEAAA8AAAAAAAAAAAAAAAAA9AMAAGRycy9kb3ducmV2LnhtbFBLBQYAAAAABAAEAPMA&#10;AAACBQAAAAA=&#10;" filled="f" stroked="f">
              <v:textbox inset="0,0,0,0">
                <w:txbxContent>
                  <w:p w14:paraId="1763436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C23F6" w14:textId="77777777" w:rsidR="00C31389" w:rsidRDefault="00561FBD">
    <w:pPr>
      <w:pStyle w:val="BodyText"/>
      <w:spacing w:line="14" w:lineRule="auto"/>
      <w:rPr>
        <w:sz w:val="20"/>
      </w:rPr>
    </w:pPr>
    <w:r>
      <w:rPr>
        <w:noProof/>
      </w:rPr>
      <w:drawing>
        <wp:anchor distT="0" distB="0" distL="0" distR="0" simplePos="0" relativeHeight="465474048" behindDoc="1" locked="0" layoutInCell="1" allowOverlap="1" wp14:anchorId="007A5C9B" wp14:editId="713F4D7E">
          <wp:simplePos x="0" y="0"/>
          <wp:positionH relativeFrom="page">
            <wp:posOffset>914400</wp:posOffset>
          </wp:positionH>
          <wp:positionV relativeFrom="page">
            <wp:posOffset>461010</wp:posOffset>
          </wp:positionV>
          <wp:extent cx="1257300" cy="420356"/>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74560" behindDoc="1" locked="0" layoutInCell="1" allowOverlap="1" wp14:anchorId="248CDAE7" wp14:editId="4AB6A629">
              <wp:simplePos x="0" y="0"/>
              <wp:positionH relativeFrom="page">
                <wp:posOffset>901700</wp:posOffset>
              </wp:positionH>
              <wp:positionV relativeFrom="page">
                <wp:posOffset>239691</wp:posOffset>
              </wp:positionV>
              <wp:extent cx="1256665" cy="1390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DAEA4B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48CDAE7" id="_x0000_t202" coordsize="21600,21600" o:spt="202" path="m,l,21600r21600,l21600,xe">
              <v:stroke joinstyle="miter"/>
              <v:path gradientshapeok="t" o:connecttype="rect"/>
            </v:shapetype>
            <v:shape id="Textbox 318" o:spid="_x0000_s1276" type="#_x0000_t202" style="position:absolute;margin-left:71pt;margin-top:18.85pt;width:98.95pt;height:10.95pt;z-index:-378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DutjcllwEAACMD&#10;AAAOAAAAAAAAAAAAAAAAAC4CAABkcnMvZTJvRG9jLnhtbFBLAQItABQABgAIAAAAIQA8kT5l3wAA&#10;AAkBAAAPAAAAAAAAAAAAAAAAAPEDAABkcnMvZG93bnJldi54bWxQSwUGAAAAAAQABADzAAAA/QQA&#10;AAAA&#10;" filled="f" stroked="f">
              <v:textbox inset="0,0,0,0">
                <w:txbxContent>
                  <w:p w14:paraId="3DAEA4B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75072" behindDoc="1" locked="0" layoutInCell="1" allowOverlap="1" wp14:anchorId="5C114F5B" wp14:editId="1F1E3572">
              <wp:simplePos x="0" y="0"/>
              <wp:positionH relativeFrom="page">
                <wp:posOffset>3516121</wp:posOffset>
              </wp:positionH>
              <wp:positionV relativeFrom="page">
                <wp:posOffset>661163</wp:posOffset>
              </wp:positionV>
              <wp:extent cx="3316604" cy="1816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19219C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C114F5B" id="Textbox 319" o:spid="_x0000_s1277" type="#_x0000_t202" style="position:absolute;margin-left:276.85pt;margin-top:52.05pt;width:261.15pt;height:14.3pt;z-index:-378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TgqV05kB&#10;AAAjAwAADgAAAAAAAAAAAAAAAAAuAgAAZHJzL2Uyb0RvYy54bWxQSwECLQAUAAYACAAAACEAwRBX&#10;IeEAAAAMAQAADwAAAAAAAAAAAAAAAADzAwAAZHJzL2Rvd25yZXYueG1sUEsFBgAAAAAEAAQA8wAA&#10;AAEFAAAAAA==&#10;" filled="f" stroked="f">
              <v:textbox inset="0,0,0,0">
                <w:txbxContent>
                  <w:p w14:paraId="019219C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5C68" w14:textId="77777777" w:rsidR="00C31389" w:rsidRDefault="00561FBD">
    <w:pPr>
      <w:pStyle w:val="BodyText"/>
      <w:spacing w:line="14" w:lineRule="auto"/>
      <w:rPr>
        <w:sz w:val="20"/>
      </w:rPr>
    </w:pPr>
    <w:r>
      <w:rPr>
        <w:noProof/>
      </w:rPr>
      <w:drawing>
        <wp:anchor distT="0" distB="0" distL="0" distR="0" simplePos="0" relativeHeight="465476608" behindDoc="1" locked="0" layoutInCell="1" allowOverlap="1" wp14:anchorId="395E8C03" wp14:editId="7B2E2122">
          <wp:simplePos x="0" y="0"/>
          <wp:positionH relativeFrom="page">
            <wp:posOffset>914400</wp:posOffset>
          </wp:positionH>
          <wp:positionV relativeFrom="page">
            <wp:posOffset>461010</wp:posOffset>
          </wp:positionV>
          <wp:extent cx="1257300" cy="420356"/>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77120" behindDoc="1" locked="0" layoutInCell="1" allowOverlap="1" wp14:anchorId="33BA1195" wp14:editId="04416144">
              <wp:simplePos x="0" y="0"/>
              <wp:positionH relativeFrom="page">
                <wp:posOffset>905256</wp:posOffset>
              </wp:positionH>
              <wp:positionV relativeFrom="page">
                <wp:posOffset>1042415</wp:posOffset>
              </wp:positionV>
              <wp:extent cx="5953125" cy="1270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9540A5E" id="Graphic 345" o:spid="_x0000_s1026" style="position:absolute;margin-left:71.3pt;margin-top:82.1pt;width:468.75pt;height:1pt;z-index:-3783936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77632" behindDoc="1" locked="0" layoutInCell="1" allowOverlap="1" wp14:anchorId="5B3D22E7" wp14:editId="5370D068">
              <wp:simplePos x="0" y="0"/>
              <wp:positionH relativeFrom="page">
                <wp:posOffset>901700</wp:posOffset>
              </wp:positionH>
              <wp:positionV relativeFrom="page">
                <wp:posOffset>239691</wp:posOffset>
              </wp:positionV>
              <wp:extent cx="1256665" cy="139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E9A6E84"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B3D22E7" id="_x0000_t202" coordsize="21600,21600" o:spt="202" path="m,l,21600r21600,l21600,xe">
              <v:stroke joinstyle="miter"/>
              <v:path gradientshapeok="t" o:connecttype="rect"/>
            </v:shapetype>
            <v:shape id="Textbox 346" o:spid="_x0000_s1279" type="#_x0000_t202" style="position:absolute;margin-left:71pt;margin-top:18.85pt;width:98.95pt;height:10.95pt;z-index:-378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J97Ct5gBAAAj&#10;AwAADgAAAAAAAAAAAAAAAAAuAgAAZHJzL2Uyb0RvYy54bWxQSwECLQAUAAYACAAAACEAPJE+Zd8A&#10;AAAJAQAADwAAAAAAAAAAAAAAAADyAwAAZHJzL2Rvd25yZXYueG1sUEsFBgAAAAAEAAQA8wAAAP4E&#10;AAAAAA==&#10;" filled="f" stroked="f">
              <v:textbox inset="0,0,0,0">
                <w:txbxContent>
                  <w:p w14:paraId="2E9A6E84"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78144" behindDoc="1" locked="0" layoutInCell="1" allowOverlap="1" wp14:anchorId="29F8137A" wp14:editId="2D10062A">
              <wp:simplePos x="0" y="0"/>
              <wp:positionH relativeFrom="page">
                <wp:posOffset>3516121</wp:posOffset>
              </wp:positionH>
              <wp:positionV relativeFrom="page">
                <wp:posOffset>661163</wp:posOffset>
              </wp:positionV>
              <wp:extent cx="3316604" cy="18161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90C07C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29F8137A" id="Textbox 347" o:spid="_x0000_s1280" type="#_x0000_t202" style="position:absolute;margin-left:276.85pt;margin-top:52.05pt;width:261.15pt;height:14.3pt;z-index:-378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VLX7v5kB&#10;AAAjAwAADgAAAAAAAAAAAAAAAAAuAgAAZHJzL2Uyb0RvYy54bWxQSwECLQAUAAYACAAAACEAwRBX&#10;IeEAAAAMAQAADwAAAAAAAAAAAAAAAADzAwAAZHJzL2Rvd25yZXYueG1sUEsFBgAAAAAEAAQA8wAA&#10;AAEFAAAAAA==&#10;" filled="f" stroked="f">
              <v:textbox inset="0,0,0,0">
                <w:txbxContent>
                  <w:p w14:paraId="790C07C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9049" w14:textId="77777777" w:rsidR="00C31389" w:rsidRDefault="00561FBD">
    <w:pPr>
      <w:pStyle w:val="BodyText"/>
      <w:spacing w:line="14" w:lineRule="auto"/>
      <w:rPr>
        <w:sz w:val="20"/>
      </w:rPr>
    </w:pPr>
    <w:r>
      <w:rPr>
        <w:noProof/>
      </w:rPr>
      <w:drawing>
        <wp:anchor distT="0" distB="0" distL="0" distR="0" simplePos="0" relativeHeight="465479680" behindDoc="1" locked="0" layoutInCell="1" allowOverlap="1" wp14:anchorId="2ED217B5" wp14:editId="4CE43712">
          <wp:simplePos x="0" y="0"/>
          <wp:positionH relativeFrom="page">
            <wp:posOffset>914400</wp:posOffset>
          </wp:positionH>
          <wp:positionV relativeFrom="page">
            <wp:posOffset>461010</wp:posOffset>
          </wp:positionV>
          <wp:extent cx="1257300" cy="420356"/>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80192" behindDoc="1" locked="0" layoutInCell="1" allowOverlap="1" wp14:anchorId="6A218FD8" wp14:editId="2498374C">
              <wp:simplePos x="0" y="0"/>
              <wp:positionH relativeFrom="page">
                <wp:posOffset>901700</wp:posOffset>
              </wp:positionH>
              <wp:positionV relativeFrom="page">
                <wp:posOffset>239691</wp:posOffset>
              </wp:positionV>
              <wp:extent cx="1256665" cy="1390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ADB302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6A218FD8" id="_x0000_t202" coordsize="21600,21600" o:spt="202" path="m,l,21600r21600,l21600,xe">
              <v:stroke joinstyle="miter"/>
              <v:path gradientshapeok="t" o:connecttype="rect"/>
            </v:shapetype>
            <v:shape id="Textbox 353" o:spid="_x0000_s1282" type="#_x0000_t202" style="position:absolute;margin-left:71pt;margin-top:18.85pt;width:98.95pt;height:10.95pt;z-index:-378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PWGs25gBAAAj&#10;AwAADgAAAAAAAAAAAAAAAAAuAgAAZHJzL2Uyb0RvYy54bWxQSwECLQAUAAYACAAAACEAPJE+Zd8A&#10;AAAJAQAADwAAAAAAAAAAAAAAAADyAwAAZHJzL2Rvd25yZXYueG1sUEsFBgAAAAAEAAQA8wAAAP4E&#10;AAAAAA==&#10;" filled="f" stroked="f">
              <v:textbox inset="0,0,0,0">
                <w:txbxContent>
                  <w:p w14:paraId="6ADB302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80704" behindDoc="1" locked="0" layoutInCell="1" allowOverlap="1" wp14:anchorId="7E8E32AD" wp14:editId="303B0F69">
              <wp:simplePos x="0" y="0"/>
              <wp:positionH relativeFrom="page">
                <wp:posOffset>3516121</wp:posOffset>
              </wp:positionH>
              <wp:positionV relativeFrom="page">
                <wp:posOffset>661163</wp:posOffset>
              </wp:positionV>
              <wp:extent cx="3316604" cy="1816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52B7FE7C"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E8E32AD" id="Textbox 354" o:spid="_x0000_s1283" type="#_x0000_t202" style="position:absolute;margin-left:276.85pt;margin-top:52.05pt;width:261.15pt;height:14.3pt;z-index:-378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nd0OLZkB&#10;AAAjAwAADgAAAAAAAAAAAAAAAAAuAgAAZHJzL2Uyb0RvYy54bWxQSwECLQAUAAYACAAAACEAwRBX&#10;IeEAAAAMAQAADwAAAAAAAAAAAAAAAADzAwAAZHJzL2Rvd25yZXYueG1sUEsFBgAAAAAEAAQA8wAA&#10;AAEFAAAAAA==&#10;" filled="f" stroked="f">
              <v:textbox inset="0,0,0,0">
                <w:txbxContent>
                  <w:p w14:paraId="52B7FE7C"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B37E" w14:textId="77777777" w:rsidR="00C31389" w:rsidRDefault="00561FBD">
    <w:pPr>
      <w:pStyle w:val="BodyText"/>
      <w:spacing w:line="14" w:lineRule="auto"/>
      <w:rPr>
        <w:sz w:val="20"/>
      </w:rPr>
    </w:pPr>
    <w:r>
      <w:rPr>
        <w:noProof/>
      </w:rPr>
      <w:drawing>
        <wp:anchor distT="0" distB="0" distL="0" distR="0" simplePos="0" relativeHeight="465482240" behindDoc="1" locked="0" layoutInCell="1" allowOverlap="1" wp14:anchorId="0EB606F5" wp14:editId="78358BAA">
          <wp:simplePos x="0" y="0"/>
          <wp:positionH relativeFrom="page">
            <wp:posOffset>914400</wp:posOffset>
          </wp:positionH>
          <wp:positionV relativeFrom="page">
            <wp:posOffset>461010</wp:posOffset>
          </wp:positionV>
          <wp:extent cx="1257300" cy="420356"/>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82752" behindDoc="1" locked="0" layoutInCell="1" allowOverlap="1" wp14:anchorId="393BEE79" wp14:editId="4B385938">
              <wp:simplePos x="0" y="0"/>
              <wp:positionH relativeFrom="page">
                <wp:posOffset>905256</wp:posOffset>
              </wp:positionH>
              <wp:positionV relativeFrom="page">
                <wp:posOffset>1042415</wp:posOffset>
              </wp:positionV>
              <wp:extent cx="5953125" cy="1270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CD57E30" id="Graphic 361" o:spid="_x0000_s1026" style="position:absolute;margin-left:71.3pt;margin-top:82.1pt;width:468.75pt;height:1pt;z-index:-3783372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83264" behindDoc="1" locked="0" layoutInCell="1" allowOverlap="1" wp14:anchorId="4BC39B33" wp14:editId="2A25D5E9">
              <wp:simplePos x="0" y="0"/>
              <wp:positionH relativeFrom="page">
                <wp:posOffset>901700</wp:posOffset>
              </wp:positionH>
              <wp:positionV relativeFrom="page">
                <wp:posOffset>239691</wp:posOffset>
              </wp:positionV>
              <wp:extent cx="1256665" cy="1390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A905A3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BC39B33" id="_x0000_t202" coordsize="21600,21600" o:spt="202" path="m,l,21600r21600,l21600,xe">
              <v:stroke joinstyle="miter"/>
              <v:path gradientshapeok="t" o:connecttype="rect"/>
            </v:shapetype>
            <v:shape id="Textbox 362" o:spid="_x0000_s1285" type="#_x0000_t202" style="position:absolute;margin-left:71pt;margin-top:18.85pt;width:98.95pt;height:10.95pt;z-index:-378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E6Afb5gBAAAj&#10;AwAADgAAAAAAAAAAAAAAAAAuAgAAZHJzL2Uyb0RvYy54bWxQSwECLQAUAAYACAAAACEAPJE+Zd8A&#10;AAAJAQAADwAAAAAAAAAAAAAAAADyAwAAZHJzL2Rvd25yZXYueG1sUEsFBgAAAAAEAAQA8wAAAP4E&#10;AAAAAA==&#10;" filled="f" stroked="f">
              <v:textbox inset="0,0,0,0">
                <w:txbxContent>
                  <w:p w14:paraId="2A905A3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83776" behindDoc="1" locked="0" layoutInCell="1" allowOverlap="1" wp14:anchorId="088C1215" wp14:editId="009E5938">
              <wp:simplePos x="0" y="0"/>
              <wp:positionH relativeFrom="page">
                <wp:posOffset>3516121</wp:posOffset>
              </wp:positionH>
              <wp:positionV relativeFrom="page">
                <wp:posOffset>661163</wp:posOffset>
              </wp:positionV>
              <wp:extent cx="3316604" cy="1816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A33123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88C1215" id="Textbox 363" o:spid="_x0000_s1286" type="#_x0000_t202" style="position:absolute;margin-left:276.85pt;margin-top:52.05pt;width:261.15pt;height:14.3pt;z-index:-378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4qrwSpkB&#10;AAAjAwAADgAAAAAAAAAAAAAAAAAuAgAAZHJzL2Uyb0RvYy54bWxQSwECLQAUAAYACAAAACEAwRBX&#10;IeEAAAAMAQAADwAAAAAAAAAAAAAAAADzAwAAZHJzL2Rvd25yZXYueG1sUEsFBgAAAAAEAAQA8wAA&#10;AAEFAAAAAA==&#10;" filled="f" stroked="f">
              <v:textbox inset="0,0,0,0">
                <w:txbxContent>
                  <w:p w14:paraId="4A33123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F4A5" w14:textId="77777777" w:rsidR="00C31389" w:rsidRDefault="00561FBD">
    <w:pPr>
      <w:pStyle w:val="BodyText"/>
      <w:spacing w:line="14" w:lineRule="auto"/>
      <w:rPr>
        <w:sz w:val="20"/>
      </w:rPr>
    </w:pPr>
    <w:r>
      <w:rPr>
        <w:noProof/>
      </w:rPr>
      <w:drawing>
        <wp:anchor distT="0" distB="0" distL="0" distR="0" simplePos="0" relativeHeight="465485312" behindDoc="1" locked="0" layoutInCell="1" allowOverlap="1" wp14:anchorId="0B7A52A0" wp14:editId="6EC08097">
          <wp:simplePos x="0" y="0"/>
          <wp:positionH relativeFrom="page">
            <wp:posOffset>914400</wp:posOffset>
          </wp:positionH>
          <wp:positionV relativeFrom="page">
            <wp:posOffset>461010</wp:posOffset>
          </wp:positionV>
          <wp:extent cx="1257300" cy="420356"/>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85824" behindDoc="1" locked="0" layoutInCell="1" allowOverlap="1" wp14:anchorId="6A121119" wp14:editId="5226C9D1">
              <wp:simplePos x="0" y="0"/>
              <wp:positionH relativeFrom="page">
                <wp:posOffset>905256</wp:posOffset>
              </wp:positionH>
              <wp:positionV relativeFrom="page">
                <wp:posOffset>1042415</wp:posOffset>
              </wp:positionV>
              <wp:extent cx="5953125" cy="1270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565A23F" id="Graphic 375" o:spid="_x0000_s1026" style="position:absolute;margin-left:71.3pt;margin-top:82.1pt;width:468.75pt;height:1pt;z-index:-3783065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86336" behindDoc="1" locked="0" layoutInCell="1" allowOverlap="1" wp14:anchorId="351939AF" wp14:editId="23C6B17D">
              <wp:simplePos x="0" y="0"/>
              <wp:positionH relativeFrom="page">
                <wp:posOffset>901700</wp:posOffset>
              </wp:positionH>
              <wp:positionV relativeFrom="page">
                <wp:posOffset>239691</wp:posOffset>
              </wp:positionV>
              <wp:extent cx="1256665" cy="13906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88275E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51939AF" id="_x0000_t202" coordsize="21600,21600" o:spt="202" path="m,l,21600r21600,l21600,xe">
              <v:stroke joinstyle="miter"/>
              <v:path gradientshapeok="t" o:connecttype="rect"/>
            </v:shapetype>
            <v:shape id="Textbox 376" o:spid="_x0000_s1288" type="#_x0000_t202" style="position:absolute;margin-left:71pt;margin-top:18.85pt;width:98.95pt;height:10.95pt;z-index:-378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culwEAACM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r5apVR89EOuhOLGXmeraSfB4VGiuFTYMPy8C8JXpLdJcE0&#10;vIfyRbKmAG8PCawrDG64MwOeRNEw/5o86t/3pev2t7e/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CLfqculwEAACMD&#10;AAAOAAAAAAAAAAAAAAAAAC4CAABkcnMvZTJvRG9jLnhtbFBLAQItABQABgAIAAAAIQA8kT5l3wAA&#10;AAkBAAAPAAAAAAAAAAAAAAAAAPEDAABkcnMvZG93bnJldi54bWxQSwUGAAAAAAQABADzAAAA/QQA&#10;AAAA&#10;" filled="f" stroked="f">
              <v:textbox inset="0,0,0,0">
                <w:txbxContent>
                  <w:p w14:paraId="688275E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86848" behindDoc="1" locked="0" layoutInCell="1" allowOverlap="1" wp14:anchorId="1893C3C2" wp14:editId="77C9978E">
              <wp:simplePos x="0" y="0"/>
              <wp:positionH relativeFrom="page">
                <wp:posOffset>3516121</wp:posOffset>
              </wp:positionH>
              <wp:positionV relativeFrom="page">
                <wp:posOffset>661163</wp:posOffset>
              </wp:positionV>
              <wp:extent cx="3316604" cy="1816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4A9EF4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1893C3C2" id="Textbox 377" o:spid="_x0000_s1289" type="#_x0000_t202" style="position:absolute;margin-left:276.85pt;margin-top:52.05pt;width:261.15pt;height:14.3pt;z-index:-378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CvCBdia&#10;AQAAIwMAAA4AAAAAAAAAAAAAAAAALgIAAGRycy9lMm9Eb2MueG1sUEsBAi0AFAAGAAgAAAAhAMEQ&#10;VyHhAAAADAEAAA8AAAAAAAAAAAAAAAAA9AMAAGRycy9kb3ducmV2LnhtbFBLBQYAAAAABAAEAPMA&#10;AAACBQAAAAA=&#10;" filled="f" stroked="f">
              <v:textbox inset="0,0,0,0">
                <w:txbxContent>
                  <w:p w14:paraId="44A9EF4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EF51" w14:textId="77777777" w:rsidR="00C31389" w:rsidRDefault="00561FBD">
    <w:pPr>
      <w:pStyle w:val="BodyText"/>
      <w:spacing w:line="14" w:lineRule="auto"/>
      <w:rPr>
        <w:sz w:val="20"/>
      </w:rPr>
    </w:pPr>
    <w:r>
      <w:rPr>
        <w:noProof/>
      </w:rPr>
      <w:drawing>
        <wp:anchor distT="0" distB="0" distL="0" distR="0" simplePos="0" relativeHeight="465488896" behindDoc="1" locked="0" layoutInCell="1" allowOverlap="1" wp14:anchorId="674D53C6" wp14:editId="1C93B10B">
          <wp:simplePos x="0" y="0"/>
          <wp:positionH relativeFrom="page">
            <wp:posOffset>914400</wp:posOffset>
          </wp:positionH>
          <wp:positionV relativeFrom="page">
            <wp:posOffset>461010</wp:posOffset>
          </wp:positionV>
          <wp:extent cx="1257300" cy="420356"/>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89408" behindDoc="1" locked="0" layoutInCell="1" allowOverlap="1" wp14:anchorId="68FBABDD" wp14:editId="19FD3852">
              <wp:simplePos x="0" y="0"/>
              <wp:positionH relativeFrom="page">
                <wp:posOffset>905256</wp:posOffset>
              </wp:positionH>
              <wp:positionV relativeFrom="page">
                <wp:posOffset>1042415</wp:posOffset>
              </wp:positionV>
              <wp:extent cx="5953125" cy="1270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E69F47F" id="Graphic 383" o:spid="_x0000_s1026" style="position:absolute;margin-left:71.3pt;margin-top:82.1pt;width:468.75pt;height:1pt;z-index:-37827072;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89920" behindDoc="1" locked="0" layoutInCell="1" allowOverlap="1" wp14:anchorId="22665F02" wp14:editId="4C579290">
              <wp:simplePos x="0" y="0"/>
              <wp:positionH relativeFrom="page">
                <wp:posOffset>901700</wp:posOffset>
              </wp:positionH>
              <wp:positionV relativeFrom="page">
                <wp:posOffset>239691</wp:posOffset>
              </wp:positionV>
              <wp:extent cx="1256665" cy="1390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4EF0D03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2665F02" id="_x0000_t202" coordsize="21600,21600" o:spt="202" path="m,l,21600r21600,l21600,xe">
              <v:stroke joinstyle="miter"/>
              <v:path gradientshapeok="t" o:connecttype="rect"/>
            </v:shapetype>
            <v:shape id="Textbox 384" o:spid="_x0000_s1291" type="#_x0000_t202" style="position:absolute;margin-left:71pt;margin-top:18.85pt;width:98.95pt;height:10.95pt;z-index:-378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ChlgEAACM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r5qqDmox10JxYz8jxbST8PCo0Uw6fAhuXhXxK8JLtLgml4&#10;D+WLZE0B3h4SWFcY3HBnBjyJomH+NXnUv+9L1+1vb38B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B9xkKGWAQAAIwMA&#10;AA4AAAAAAAAAAAAAAAAALgIAAGRycy9lMm9Eb2MueG1sUEsBAi0AFAAGAAgAAAAhADyRPmXfAAAA&#10;CQEAAA8AAAAAAAAAAAAAAAAA8AMAAGRycy9kb3ducmV2LnhtbFBLBQYAAAAABAAEAPMAAAD8BAAA&#10;AAA=&#10;" filled="f" stroked="f">
              <v:textbox inset="0,0,0,0">
                <w:txbxContent>
                  <w:p w14:paraId="4EF0D03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90432" behindDoc="1" locked="0" layoutInCell="1" allowOverlap="1" wp14:anchorId="569E790D" wp14:editId="1896C04A">
              <wp:simplePos x="0" y="0"/>
              <wp:positionH relativeFrom="page">
                <wp:posOffset>3516121</wp:posOffset>
              </wp:positionH>
              <wp:positionV relativeFrom="page">
                <wp:posOffset>661163</wp:posOffset>
              </wp:positionV>
              <wp:extent cx="3316604" cy="18161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BBA5828"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69E790D" id="Textbox 385" o:spid="_x0000_s1292" type="#_x0000_t202" style="position:absolute;margin-left:276.85pt;margin-top:52.05pt;width:261.15pt;height:14.3pt;z-index:-378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MX1rtJkB&#10;AAAjAwAADgAAAAAAAAAAAAAAAAAuAgAAZHJzL2Uyb0RvYy54bWxQSwECLQAUAAYACAAAACEAwRBX&#10;IeEAAAAMAQAADwAAAAAAAAAAAAAAAADzAwAAZHJzL2Rvd25yZXYueG1sUEsFBgAAAAAEAAQA8wAA&#10;AAEFAAAAAA==&#10;" filled="f" stroked="f">
              <v:textbox inset="0,0,0,0">
                <w:txbxContent>
                  <w:p w14:paraId="2BBA5828"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A84E" w14:textId="77777777" w:rsidR="00C31389" w:rsidRDefault="00561FBD">
    <w:pPr>
      <w:pStyle w:val="BodyText"/>
      <w:spacing w:line="14" w:lineRule="auto"/>
      <w:rPr>
        <w:sz w:val="20"/>
      </w:rPr>
    </w:pPr>
    <w:r>
      <w:rPr>
        <w:noProof/>
      </w:rPr>
      <w:drawing>
        <wp:anchor distT="0" distB="0" distL="0" distR="0" simplePos="0" relativeHeight="465491968" behindDoc="1" locked="0" layoutInCell="1" allowOverlap="1" wp14:anchorId="282875E9" wp14:editId="33402CAF">
          <wp:simplePos x="0" y="0"/>
          <wp:positionH relativeFrom="page">
            <wp:posOffset>914400</wp:posOffset>
          </wp:positionH>
          <wp:positionV relativeFrom="page">
            <wp:posOffset>461010</wp:posOffset>
          </wp:positionV>
          <wp:extent cx="1257300" cy="420356"/>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92480" behindDoc="1" locked="0" layoutInCell="1" allowOverlap="1" wp14:anchorId="3FFF0287" wp14:editId="3510BD6D">
              <wp:simplePos x="0" y="0"/>
              <wp:positionH relativeFrom="page">
                <wp:posOffset>901700</wp:posOffset>
              </wp:positionH>
              <wp:positionV relativeFrom="page">
                <wp:posOffset>239691</wp:posOffset>
              </wp:positionV>
              <wp:extent cx="1256665" cy="13906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9B3C7C8"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FFF0287" id="_x0000_t202" coordsize="21600,21600" o:spt="202" path="m,l,21600r21600,l21600,xe">
              <v:stroke joinstyle="miter"/>
              <v:path gradientshapeok="t" o:connecttype="rect"/>
            </v:shapetype>
            <v:shape id="Textbox 400" o:spid="_x0000_s1294" type="#_x0000_t202" style="position:absolute;margin-left:71pt;margin-top:18.85pt;width:98.95pt;height:10.95pt;z-index:-378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L8AevaZAQAA&#10;IwMAAA4AAAAAAAAAAAAAAAAALgIAAGRycy9lMm9Eb2MueG1sUEsBAi0AFAAGAAgAAAAhADyRPmXf&#10;AAAACQEAAA8AAAAAAAAAAAAAAAAA8wMAAGRycy9kb3ducmV2LnhtbFBLBQYAAAAABAAEAPMAAAD/&#10;BAAAAAA=&#10;" filled="f" stroked="f">
              <v:textbox inset="0,0,0,0">
                <w:txbxContent>
                  <w:p w14:paraId="19B3C7C8"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92992" behindDoc="1" locked="0" layoutInCell="1" allowOverlap="1" wp14:anchorId="5E3FC3E8" wp14:editId="4F4B75CB">
              <wp:simplePos x="0" y="0"/>
              <wp:positionH relativeFrom="page">
                <wp:posOffset>3516121</wp:posOffset>
              </wp:positionH>
              <wp:positionV relativeFrom="page">
                <wp:posOffset>661163</wp:posOffset>
              </wp:positionV>
              <wp:extent cx="3316604" cy="18161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306BE22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E3FC3E8" id="Textbox 401" o:spid="_x0000_s1295" type="#_x0000_t202" style="position:absolute;margin-left:276.85pt;margin-top:52.05pt;width:261.15pt;height:14.3pt;z-index:-378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B+82ACa&#10;AQAAIwMAAA4AAAAAAAAAAAAAAAAALgIAAGRycy9lMm9Eb2MueG1sUEsBAi0AFAAGAAgAAAAhAMEQ&#10;VyHhAAAADAEAAA8AAAAAAAAAAAAAAAAA9AMAAGRycy9kb3ducmV2LnhtbFBLBQYAAAAABAAEAPMA&#10;AAACBQAAAAA=&#10;" filled="f" stroked="f">
              <v:textbox inset="0,0,0,0">
                <w:txbxContent>
                  <w:p w14:paraId="306BE22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DABD" w14:textId="77777777" w:rsidR="00C31389" w:rsidRDefault="00561FBD">
    <w:pPr>
      <w:pStyle w:val="BodyText"/>
      <w:spacing w:line="14" w:lineRule="auto"/>
      <w:rPr>
        <w:sz w:val="20"/>
      </w:rPr>
    </w:pPr>
    <w:r>
      <w:rPr>
        <w:noProof/>
      </w:rPr>
      <w:drawing>
        <wp:anchor distT="0" distB="0" distL="0" distR="0" simplePos="0" relativeHeight="465494528" behindDoc="1" locked="0" layoutInCell="1" allowOverlap="1" wp14:anchorId="35E480DD" wp14:editId="1A3069AA">
          <wp:simplePos x="0" y="0"/>
          <wp:positionH relativeFrom="page">
            <wp:posOffset>914400</wp:posOffset>
          </wp:positionH>
          <wp:positionV relativeFrom="page">
            <wp:posOffset>461010</wp:posOffset>
          </wp:positionV>
          <wp:extent cx="1257300" cy="420356"/>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95040" behindDoc="1" locked="0" layoutInCell="1" allowOverlap="1" wp14:anchorId="4E526E42" wp14:editId="4B5CA91A">
              <wp:simplePos x="0" y="0"/>
              <wp:positionH relativeFrom="page">
                <wp:posOffset>905256</wp:posOffset>
              </wp:positionH>
              <wp:positionV relativeFrom="page">
                <wp:posOffset>1042415</wp:posOffset>
              </wp:positionV>
              <wp:extent cx="5953125" cy="1270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96BCBD7" id="Graphic 408" o:spid="_x0000_s1026" style="position:absolute;margin-left:71.3pt;margin-top:82.1pt;width:468.75pt;height:1pt;z-index:-3782144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95552" behindDoc="1" locked="0" layoutInCell="1" allowOverlap="1" wp14:anchorId="3CD01D17" wp14:editId="16F8E29C">
              <wp:simplePos x="0" y="0"/>
              <wp:positionH relativeFrom="page">
                <wp:posOffset>901700</wp:posOffset>
              </wp:positionH>
              <wp:positionV relativeFrom="page">
                <wp:posOffset>239691</wp:posOffset>
              </wp:positionV>
              <wp:extent cx="1256665" cy="13906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B6A776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CD01D17" id="_x0000_t202" coordsize="21600,21600" o:spt="202" path="m,l,21600r21600,l21600,xe">
              <v:stroke joinstyle="miter"/>
              <v:path gradientshapeok="t" o:connecttype="rect"/>
            </v:shapetype>
            <v:shape id="Textbox 409" o:spid="_x0000_s1297" type="#_x0000_t202" style="position:absolute;margin-left:71pt;margin-top:18.85pt;width:98.95pt;height:10.95pt;z-index:-378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BglwEAACMDAAAOAAAAZHJzL2Uyb0RvYy54bWysUsGO0zAQvSPxD5bvNGnRVkv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VZ36/X6TgrNteXrNzXnGfR2OyKljwa8yEkr&#10;kedVGKjjE6Vz66VlJnN+PzNJ024Srmvl/TKj5qMddCcWM/I8W0k/DwqNFMOnwIbl4V8SvCS7S4Jp&#10;eA/li2RNAd4eElhXGNxwZwY8iaJh/jV51L/vS9ftb29/AQ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BMqDBglwEAACMD&#10;AAAOAAAAAAAAAAAAAAAAAC4CAABkcnMvZTJvRG9jLnhtbFBLAQItABQABgAIAAAAIQA8kT5l3wAA&#10;AAkBAAAPAAAAAAAAAAAAAAAAAPEDAABkcnMvZG93bnJldi54bWxQSwUGAAAAAAQABADzAAAA/QQA&#10;AAAA&#10;" filled="f" stroked="f">
              <v:textbox inset="0,0,0,0">
                <w:txbxContent>
                  <w:p w14:paraId="2B6A776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96064" behindDoc="1" locked="0" layoutInCell="1" allowOverlap="1" wp14:anchorId="651A39AF" wp14:editId="3A23E590">
              <wp:simplePos x="0" y="0"/>
              <wp:positionH relativeFrom="page">
                <wp:posOffset>3516121</wp:posOffset>
              </wp:positionH>
              <wp:positionV relativeFrom="page">
                <wp:posOffset>661163</wp:posOffset>
              </wp:positionV>
              <wp:extent cx="3316604" cy="18161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3EDFCD8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651A39AF" id="Textbox 410" o:spid="_x0000_s1298" type="#_x0000_t202" style="position:absolute;margin-left:276.85pt;margin-top:52.05pt;width:261.15pt;height:14.3pt;z-index:-378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YqTLdZkB&#10;AAAjAwAADgAAAAAAAAAAAAAAAAAuAgAAZHJzL2Uyb0RvYy54bWxQSwECLQAUAAYACAAAACEAwRBX&#10;IeEAAAAMAQAADwAAAAAAAAAAAAAAAADzAwAAZHJzL2Rvd25yZXYueG1sUEsFBgAAAAAEAAQA8wAA&#10;AAEFAAAAAA==&#10;" filled="f" stroked="f">
              <v:textbox inset="0,0,0,0">
                <w:txbxContent>
                  <w:p w14:paraId="3EDFCD8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14DC" w14:textId="77777777" w:rsidR="00C31389" w:rsidRDefault="00561FBD">
    <w:pPr>
      <w:pStyle w:val="BodyText"/>
      <w:spacing w:line="14" w:lineRule="auto"/>
      <w:rPr>
        <w:sz w:val="20"/>
      </w:rPr>
    </w:pPr>
    <w:r>
      <w:rPr>
        <w:noProof/>
      </w:rPr>
      <w:drawing>
        <wp:anchor distT="0" distB="0" distL="0" distR="0" simplePos="0" relativeHeight="465497600" behindDoc="1" locked="0" layoutInCell="1" allowOverlap="1" wp14:anchorId="1D1A01BF" wp14:editId="09C1B6AF">
          <wp:simplePos x="0" y="0"/>
          <wp:positionH relativeFrom="page">
            <wp:posOffset>914400</wp:posOffset>
          </wp:positionH>
          <wp:positionV relativeFrom="page">
            <wp:posOffset>461010</wp:posOffset>
          </wp:positionV>
          <wp:extent cx="1257300" cy="420356"/>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98112" behindDoc="1" locked="0" layoutInCell="1" allowOverlap="1" wp14:anchorId="678A1730" wp14:editId="37A86E72">
              <wp:simplePos x="0" y="0"/>
              <wp:positionH relativeFrom="page">
                <wp:posOffset>901700</wp:posOffset>
              </wp:positionH>
              <wp:positionV relativeFrom="page">
                <wp:posOffset>239691</wp:posOffset>
              </wp:positionV>
              <wp:extent cx="1256665" cy="13906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DA16E3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678A1730" id="_x0000_t202" coordsize="21600,21600" o:spt="202" path="m,l,21600r21600,l21600,xe">
              <v:stroke joinstyle="miter"/>
              <v:path gradientshapeok="t" o:connecttype="rect"/>
            </v:shapetype>
            <v:shape id="Textbox 416" o:spid="_x0000_s1300" type="#_x0000_t202" style="position:absolute;margin-left:71pt;margin-top:18.85pt;width:98.95pt;height:10.95pt;z-index:-378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FYXXgyZAQAA&#10;IwMAAA4AAAAAAAAAAAAAAAAALgIAAGRycy9lMm9Eb2MueG1sUEsBAi0AFAAGAAgAAAAhADyRPmXf&#10;AAAACQEAAA8AAAAAAAAAAAAAAAAA8wMAAGRycy9kb3ducmV2LnhtbFBLBQYAAAAABAAEAPMAAAD/&#10;BAAAAAA=&#10;" filled="f" stroked="f">
              <v:textbox inset="0,0,0,0">
                <w:txbxContent>
                  <w:p w14:paraId="2DA16E3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98624" behindDoc="1" locked="0" layoutInCell="1" allowOverlap="1" wp14:anchorId="53A1D55E" wp14:editId="02835BB5">
              <wp:simplePos x="0" y="0"/>
              <wp:positionH relativeFrom="page">
                <wp:posOffset>3516121</wp:posOffset>
              </wp:positionH>
              <wp:positionV relativeFrom="page">
                <wp:posOffset>661163</wp:posOffset>
              </wp:positionV>
              <wp:extent cx="3316604" cy="18161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5310C9D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3A1D55E" id="Textbox 417" o:spid="_x0000_s1301" type="#_x0000_t202" style="position:absolute;margin-left:276.85pt;margin-top:52.05pt;width:261.15pt;height:14.3pt;z-index:-378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Par/Pqa&#10;AQAAIwMAAA4AAAAAAAAAAAAAAAAALgIAAGRycy9lMm9Eb2MueG1sUEsBAi0AFAAGAAgAAAAhAMEQ&#10;VyHhAAAADAEAAA8AAAAAAAAAAAAAAAAA9AMAAGRycy9kb3ducmV2LnhtbFBLBQYAAAAABAAEAPMA&#10;AAACBQAAAAA=&#10;" filled="f" stroked="f">
              <v:textbox inset="0,0,0,0">
                <w:txbxContent>
                  <w:p w14:paraId="5310C9D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0187" w14:textId="77777777" w:rsidR="00C31389" w:rsidRDefault="00561FBD">
    <w:pPr>
      <w:pStyle w:val="BodyText"/>
      <w:spacing w:line="14" w:lineRule="auto"/>
      <w:rPr>
        <w:sz w:val="20"/>
      </w:rPr>
    </w:pPr>
    <w:r>
      <w:rPr>
        <w:noProof/>
      </w:rPr>
      <w:drawing>
        <wp:anchor distT="0" distB="0" distL="0" distR="0" simplePos="0" relativeHeight="465423360" behindDoc="1" locked="0" layoutInCell="1" allowOverlap="1" wp14:anchorId="098B3CF2" wp14:editId="3DADC809">
          <wp:simplePos x="0" y="0"/>
          <wp:positionH relativeFrom="page">
            <wp:posOffset>914400</wp:posOffset>
          </wp:positionH>
          <wp:positionV relativeFrom="page">
            <wp:posOffset>461010</wp:posOffset>
          </wp:positionV>
          <wp:extent cx="1257300" cy="42035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23872" behindDoc="1" locked="0" layoutInCell="1" allowOverlap="1" wp14:anchorId="4EDFDCFB" wp14:editId="7D2D6F9B">
              <wp:simplePos x="0" y="0"/>
              <wp:positionH relativeFrom="page">
                <wp:posOffset>901700</wp:posOffset>
              </wp:positionH>
              <wp:positionV relativeFrom="page">
                <wp:posOffset>239691</wp:posOffset>
              </wp:positionV>
              <wp:extent cx="1256665"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0ED81C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EDFDCFB" id="_x0000_t202" coordsize="21600,21600" o:spt="202" path="m,l,21600r21600,l21600,xe">
              <v:stroke joinstyle="miter"/>
              <v:path gradientshapeok="t" o:connecttype="rect"/>
            </v:shapetype>
            <v:shape id="Textbox 28" o:spid="_x0000_s1222" type="#_x0000_t202" style="position:absolute;margin-left:71pt;margin-top:18.85pt;width:98.95pt;height:10.95pt;z-index:-378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DbK+qmlwEAACID&#10;AAAOAAAAAAAAAAAAAAAAAC4CAABkcnMvZTJvRG9jLnhtbFBLAQItABQABgAIAAAAIQA8kT5l3wAA&#10;AAkBAAAPAAAAAAAAAAAAAAAAAPEDAABkcnMvZG93bnJldi54bWxQSwUGAAAAAAQABADzAAAA/QQA&#10;AAAA&#10;" filled="f" stroked="f">
              <v:textbox inset="0,0,0,0">
                <w:txbxContent>
                  <w:p w14:paraId="30ED81C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24384" behindDoc="1" locked="0" layoutInCell="1" allowOverlap="1" wp14:anchorId="531F9920" wp14:editId="7E42385D">
              <wp:simplePos x="0" y="0"/>
              <wp:positionH relativeFrom="page">
                <wp:posOffset>3516121</wp:posOffset>
              </wp:positionH>
              <wp:positionV relativeFrom="page">
                <wp:posOffset>661163</wp:posOffset>
              </wp:positionV>
              <wp:extent cx="3316604" cy="1816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6FA9EBC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31F9920" id="Textbox 29" o:spid="_x0000_s1223" type="#_x0000_t202" style="position:absolute;margin-left:276.85pt;margin-top:52.05pt;width:261.15pt;height:14.3pt;z-index:-378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" filled="f" stroked="f">
              <v:textbox inset="0,0,0,0">
                <w:txbxContent>
                  <w:p w14:paraId="6FA9EBC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52D6" w14:textId="77777777" w:rsidR="00C31389" w:rsidRDefault="00561FBD">
    <w:pPr>
      <w:pStyle w:val="BodyText"/>
      <w:spacing w:line="14" w:lineRule="auto"/>
      <w:rPr>
        <w:sz w:val="20"/>
      </w:rPr>
    </w:pPr>
    <w:r>
      <w:rPr>
        <w:noProof/>
      </w:rPr>
      <w:drawing>
        <wp:anchor distT="0" distB="0" distL="0" distR="0" simplePos="0" relativeHeight="465500160" behindDoc="1" locked="0" layoutInCell="1" allowOverlap="1" wp14:anchorId="0B24362C" wp14:editId="073EF36E">
          <wp:simplePos x="0" y="0"/>
          <wp:positionH relativeFrom="page">
            <wp:posOffset>808481</wp:posOffset>
          </wp:positionH>
          <wp:positionV relativeFrom="page">
            <wp:posOffset>461010</wp:posOffset>
          </wp:positionV>
          <wp:extent cx="1257300" cy="420356"/>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00672" behindDoc="1" locked="0" layoutInCell="1" allowOverlap="1" wp14:anchorId="150D7457" wp14:editId="4034FBFB">
              <wp:simplePos x="0" y="0"/>
              <wp:positionH relativeFrom="page">
                <wp:posOffset>901700</wp:posOffset>
              </wp:positionH>
              <wp:positionV relativeFrom="page">
                <wp:posOffset>239691</wp:posOffset>
              </wp:positionV>
              <wp:extent cx="1256665" cy="1390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5C89D0F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50D7457" id="_x0000_t202" coordsize="21600,21600" o:spt="202" path="m,l,21600r21600,l21600,xe">
              <v:stroke joinstyle="miter"/>
              <v:path gradientshapeok="t" o:connecttype="rect"/>
            </v:shapetype>
            <v:shape id="Textbox 428" o:spid="_x0000_s1303" type="#_x0000_t202" style="position:absolute;margin-left:71pt;margin-top:18.85pt;width:98.95pt;height:10.95pt;z-index:-378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J9/q56ZAQAA&#10;IwMAAA4AAAAAAAAAAAAAAAAALgIAAGRycy9lMm9Eb2MueG1sUEsBAi0AFAAGAAgAAAAhADyRPmXf&#10;AAAACQEAAA8AAAAAAAAAAAAAAAAA8wMAAGRycy9kb3ducmV2LnhtbFBLBQYAAAAABAAEAPMAAAD/&#10;BAAAAAA=&#10;" filled="f" stroked="f">
              <v:textbox inset="0,0,0,0">
                <w:txbxContent>
                  <w:p w14:paraId="5C89D0F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01184" behindDoc="1" locked="0" layoutInCell="1" allowOverlap="1" wp14:anchorId="4BB3A5DF" wp14:editId="45EF461C">
              <wp:simplePos x="0" y="0"/>
              <wp:positionH relativeFrom="page">
                <wp:posOffset>3410203</wp:posOffset>
              </wp:positionH>
              <wp:positionV relativeFrom="page">
                <wp:posOffset>661163</wp:posOffset>
              </wp:positionV>
              <wp:extent cx="3316604" cy="18161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A878B4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BB3A5DF" id="Textbox 429" o:spid="_x0000_s1304" type="#_x0000_t202" style="position:absolute;margin-left:268.5pt;margin-top:52.05pt;width:261.15pt;height:14.3pt;z-index:-378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VtoWrZkB&#10;AAAjAwAADgAAAAAAAAAAAAAAAAAuAgAAZHJzL2Uyb0RvYy54bWxQSwECLQAUAAYACAAAACEAC3YZ&#10;oeEAAAAMAQAADwAAAAAAAAAAAAAAAADzAwAAZHJzL2Rvd25yZXYueG1sUEsFBgAAAAAEAAQA8wAA&#10;AAEFAAAAAA==&#10;" filled="f" stroked="f">
              <v:textbox inset="0,0,0,0">
                <w:txbxContent>
                  <w:p w14:paraId="0A878B4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358F" w14:textId="77777777" w:rsidR="00C31389" w:rsidRDefault="00561FBD">
    <w:pPr>
      <w:pStyle w:val="BodyText"/>
      <w:spacing w:line="14" w:lineRule="auto"/>
      <w:rPr>
        <w:sz w:val="20"/>
      </w:rPr>
    </w:pPr>
    <w:r>
      <w:rPr>
        <w:noProof/>
      </w:rPr>
      <w:drawing>
        <wp:anchor distT="0" distB="0" distL="0" distR="0" simplePos="0" relativeHeight="465502720" behindDoc="1" locked="0" layoutInCell="1" allowOverlap="1" wp14:anchorId="1A379E86" wp14:editId="62C94C0D">
          <wp:simplePos x="0" y="0"/>
          <wp:positionH relativeFrom="page">
            <wp:posOffset>808481</wp:posOffset>
          </wp:positionH>
          <wp:positionV relativeFrom="page">
            <wp:posOffset>461010</wp:posOffset>
          </wp:positionV>
          <wp:extent cx="1257300" cy="420356"/>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03232" behindDoc="1" locked="0" layoutInCell="1" allowOverlap="1" wp14:anchorId="5F77729A" wp14:editId="04745CA9">
              <wp:simplePos x="0" y="0"/>
              <wp:positionH relativeFrom="page">
                <wp:posOffset>799338</wp:posOffset>
              </wp:positionH>
              <wp:positionV relativeFrom="page">
                <wp:posOffset>1042415</wp:posOffset>
              </wp:positionV>
              <wp:extent cx="5953125" cy="1270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B5F54AD" id="Graphic 447" o:spid="_x0000_s1026" style="position:absolute;margin-left:62.95pt;margin-top:82.1pt;width:468.75pt;height:1pt;z-index:-3781324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03744" behindDoc="1" locked="0" layoutInCell="1" allowOverlap="1" wp14:anchorId="7F136348" wp14:editId="25D4C196">
              <wp:simplePos x="0" y="0"/>
              <wp:positionH relativeFrom="page">
                <wp:posOffset>901700</wp:posOffset>
              </wp:positionH>
              <wp:positionV relativeFrom="page">
                <wp:posOffset>239691</wp:posOffset>
              </wp:positionV>
              <wp:extent cx="1256665" cy="13906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953820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F136348" id="_x0000_t202" coordsize="21600,21600" o:spt="202" path="m,l,21600r21600,l21600,xe">
              <v:stroke joinstyle="miter"/>
              <v:path gradientshapeok="t" o:connecttype="rect"/>
            </v:shapetype>
            <v:shape id="Textbox 448" o:spid="_x0000_s1306" type="#_x0000_t202" style="position:absolute;margin-left:71pt;margin-top:18.85pt;width:98.95pt;height:10.95pt;z-index:-378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OAIVfmWAQAAIwMA&#10;AA4AAAAAAAAAAAAAAAAALgIAAGRycy9lMm9Eb2MueG1sUEsBAi0AFAAGAAgAAAAhADyRPmXfAAAA&#10;CQEAAA8AAAAAAAAAAAAAAAAA8AMAAGRycy9kb3ducmV2LnhtbFBLBQYAAAAABAAEAPMAAAD8BAAA&#10;AAA=&#10;" filled="f" stroked="f">
              <v:textbox inset="0,0,0,0">
                <w:txbxContent>
                  <w:p w14:paraId="3953820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04256" behindDoc="1" locked="0" layoutInCell="1" allowOverlap="1" wp14:anchorId="6E1357DA" wp14:editId="771E4785">
              <wp:simplePos x="0" y="0"/>
              <wp:positionH relativeFrom="page">
                <wp:posOffset>3410203</wp:posOffset>
              </wp:positionH>
              <wp:positionV relativeFrom="page">
                <wp:posOffset>661163</wp:posOffset>
              </wp:positionV>
              <wp:extent cx="3316604" cy="18161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6F6BFDA"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6E1357DA" id="Textbox 449" o:spid="_x0000_s1307" type="#_x0000_t202" style="position:absolute;margin-left:268.5pt;margin-top:52.05pt;width:261.15pt;height:14.3pt;z-index:-378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QLT3D5kB&#10;AAAjAwAADgAAAAAAAAAAAAAAAAAuAgAAZHJzL2Uyb0RvYy54bWxQSwECLQAUAAYACAAAACEAC3YZ&#10;oeEAAAAMAQAADwAAAAAAAAAAAAAAAADzAwAAZHJzL2Rvd25yZXYueG1sUEsFBgAAAAAEAAQA8wAA&#10;AAEFAAAAAA==&#10;" filled="f" stroked="f">
              <v:textbox inset="0,0,0,0">
                <w:txbxContent>
                  <w:p w14:paraId="26F6BFDA"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64DA" w14:textId="77777777" w:rsidR="00C31389" w:rsidRDefault="00561FBD">
    <w:pPr>
      <w:pStyle w:val="BodyText"/>
      <w:spacing w:line="14" w:lineRule="auto"/>
      <w:rPr>
        <w:sz w:val="20"/>
      </w:rPr>
    </w:pPr>
    <w:r>
      <w:rPr>
        <w:noProof/>
      </w:rPr>
      <w:drawing>
        <wp:anchor distT="0" distB="0" distL="0" distR="0" simplePos="0" relativeHeight="465505792" behindDoc="1" locked="0" layoutInCell="1" allowOverlap="1" wp14:anchorId="6DF5F3F8" wp14:editId="0F9D67B5">
          <wp:simplePos x="0" y="0"/>
          <wp:positionH relativeFrom="page">
            <wp:posOffset>808481</wp:posOffset>
          </wp:positionH>
          <wp:positionV relativeFrom="page">
            <wp:posOffset>461010</wp:posOffset>
          </wp:positionV>
          <wp:extent cx="1257300" cy="420356"/>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06304" behindDoc="1" locked="0" layoutInCell="1" allowOverlap="1" wp14:anchorId="24A052E9" wp14:editId="35998B6A">
              <wp:simplePos x="0" y="0"/>
              <wp:positionH relativeFrom="page">
                <wp:posOffset>901700</wp:posOffset>
              </wp:positionH>
              <wp:positionV relativeFrom="page">
                <wp:posOffset>239691</wp:posOffset>
              </wp:positionV>
              <wp:extent cx="1256665" cy="13906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032C7D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4A052E9" id="_x0000_t202" coordsize="21600,21600" o:spt="202" path="m,l,21600r21600,l21600,xe">
              <v:stroke joinstyle="miter"/>
              <v:path gradientshapeok="t" o:connecttype="rect"/>
            </v:shapetype>
            <v:shape id="Textbox 454" o:spid="_x0000_s1309" type="#_x0000_t202" style="position:absolute;margin-left:71pt;margin-top:18.85pt;width:98.95pt;height:10.95pt;z-index:-378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KWCga5gBAAAj&#10;AwAADgAAAAAAAAAAAAAAAAAuAgAAZHJzL2Uyb0RvYy54bWxQSwECLQAUAAYACAAAACEAPJE+Zd8A&#10;AAAJAQAADwAAAAAAAAAAAAAAAADyAwAAZHJzL2Rvd25yZXYueG1sUEsFBgAAAAAEAAQA8wAAAP4E&#10;AAAAAA==&#10;" filled="f" stroked="f">
              <v:textbox inset="0,0,0,0">
                <w:txbxContent>
                  <w:p w14:paraId="3032C7D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06816" behindDoc="1" locked="0" layoutInCell="1" allowOverlap="1" wp14:anchorId="5E862205" wp14:editId="5AD402B7">
              <wp:simplePos x="0" y="0"/>
              <wp:positionH relativeFrom="page">
                <wp:posOffset>3410203</wp:posOffset>
              </wp:positionH>
              <wp:positionV relativeFrom="page">
                <wp:posOffset>661163</wp:posOffset>
              </wp:positionV>
              <wp:extent cx="3316604" cy="18161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A9A556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E862205" id="Textbox 455" o:spid="_x0000_s1310" type="#_x0000_t202" style="position:absolute;margin-left:268.5pt;margin-top:52.05pt;width:261.15pt;height:14.3pt;z-index:-378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FoLmWOa&#10;AQAAIwMAAA4AAAAAAAAAAAAAAAAALgIAAGRycy9lMm9Eb2MueG1sUEsBAi0AFAAGAAgAAAAhAAt2&#10;GaHhAAAADAEAAA8AAAAAAAAAAAAAAAAA9AMAAGRycy9kb3ducmV2LnhtbFBLBQYAAAAABAAEAPMA&#10;AAACBQAAAAA=&#10;" filled="f" stroked="f">
              <v:textbox inset="0,0,0,0">
                <w:txbxContent>
                  <w:p w14:paraId="0A9A556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E77F" w14:textId="77777777" w:rsidR="00C31389" w:rsidRDefault="00561FBD">
    <w:pPr>
      <w:pStyle w:val="BodyText"/>
      <w:spacing w:line="14" w:lineRule="auto"/>
      <w:rPr>
        <w:sz w:val="20"/>
      </w:rPr>
    </w:pPr>
    <w:r>
      <w:rPr>
        <w:noProof/>
      </w:rPr>
      <w:drawing>
        <wp:anchor distT="0" distB="0" distL="0" distR="0" simplePos="0" relativeHeight="465508352" behindDoc="1" locked="0" layoutInCell="1" allowOverlap="1" wp14:anchorId="36FE6FBB" wp14:editId="5A1132B2">
          <wp:simplePos x="0" y="0"/>
          <wp:positionH relativeFrom="page">
            <wp:posOffset>808481</wp:posOffset>
          </wp:positionH>
          <wp:positionV relativeFrom="page">
            <wp:posOffset>461010</wp:posOffset>
          </wp:positionV>
          <wp:extent cx="1257300" cy="420356"/>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08864" behindDoc="1" locked="0" layoutInCell="1" allowOverlap="1" wp14:anchorId="60D2C7BB" wp14:editId="11452E73">
              <wp:simplePos x="0" y="0"/>
              <wp:positionH relativeFrom="page">
                <wp:posOffset>799338</wp:posOffset>
              </wp:positionH>
              <wp:positionV relativeFrom="page">
                <wp:posOffset>1042415</wp:posOffset>
              </wp:positionV>
              <wp:extent cx="5953125" cy="1270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7387ED6" id="Graphic 462" o:spid="_x0000_s1026" style="position:absolute;margin-left:62.95pt;margin-top:82.1pt;width:468.75pt;height:1pt;z-index:-3780761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09376" behindDoc="1" locked="0" layoutInCell="1" allowOverlap="1" wp14:anchorId="26139944" wp14:editId="58EB94FA">
              <wp:simplePos x="0" y="0"/>
              <wp:positionH relativeFrom="page">
                <wp:posOffset>901700</wp:posOffset>
              </wp:positionH>
              <wp:positionV relativeFrom="page">
                <wp:posOffset>239691</wp:posOffset>
              </wp:positionV>
              <wp:extent cx="1256665" cy="13906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C23665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6139944" id="_x0000_t202" coordsize="21600,21600" o:spt="202" path="m,l,21600r21600,l21600,xe">
              <v:stroke joinstyle="miter"/>
              <v:path gradientshapeok="t" o:connecttype="rect"/>
            </v:shapetype>
            <v:shape id="Textbox 463" o:spid="_x0000_s1312" type="#_x0000_t202" style="position:absolute;margin-left:71pt;margin-top:18.85pt;width:98.95pt;height:10.95pt;z-index:-378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M9/OB5gBAAAj&#10;AwAADgAAAAAAAAAAAAAAAAAuAgAAZHJzL2Uyb0RvYy54bWxQSwECLQAUAAYACAAAACEAPJE+Zd8A&#10;AAAJAQAADwAAAAAAAAAAAAAAAADyAwAAZHJzL2Rvd25yZXYueG1sUEsFBgAAAAAEAAQA8wAAAP4E&#10;AAAAAA==&#10;" filled="f" stroked="f">
              <v:textbox inset="0,0,0,0">
                <w:txbxContent>
                  <w:p w14:paraId="2C23665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09888" behindDoc="1" locked="0" layoutInCell="1" allowOverlap="1" wp14:anchorId="60BF1B67" wp14:editId="1E8B1D6E">
              <wp:simplePos x="0" y="0"/>
              <wp:positionH relativeFrom="page">
                <wp:posOffset>3410203</wp:posOffset>
              </wp:positionH>
              <wp:positionV relativeFrom="page">
                <wp:posOffset>661163</wp:posOffset>
              </wp:positionV>
              <wp:extent cx="3316604" cy="18161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8B310D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60BF1B67" id="Textbox 464" o:spid="_x0000_s1313" type="#_x0000_t202" style="position:absolute;margin-left:268.5pt;margin-top:52.05pt;width:261.15pt;height:14.3pt;z-index:-378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JNjbPGa&#10;AQAAIwMAAA4AAAAAAAAAAAAAAAAALgIAAGRycy9lMm9Eb2MueG1sUEsBAi0AFAAGAAgAAAAhAAt2&#10;GaHhAAAADAEAAA8AAAAAAAAAAAAAAAAA9AMAAGRycy9kb3ducmV2LnhtbFBLBQYAAAAABAAEAPMA&#10;AAACBQAAAAA=&#10;" filled="f" stroked="f">
              <v:textbox inset="0,0,0,0">
                <w:txbxContent>
                  <w:p w14:paraId="08B310D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273B" w14:textId="77777777" w:rsidR="00C31389" w:rsidRDefault="00561FBD">
    <w:pPr>
      <w:pStyle w:val="BodyText"/>
      <w:spacing w:line="14" w:lineRule="auto"/>
      <w:rPr>
        <w:sz w:val="20"/>
      </w:rPr>
    </w:pPr>
    <w:r>
      <w:rPr>
        <w:noProof/>
      </w:rPr>
      <w:drawing>
        <wp:anchor distT="0" distB="0" distL="0" distR="0" simplePos="0" relativeHeight="465511424" behindDoc="1" locked="0" layoutInCell="1" allowOverlap="1" wp14:anchorId="0C5DEAA7" wp14:editId="09FFD15A">
          <wp:simplePos x="0" y="0"/>
          <wp:positionH relativeFrom="page">
            <wp:posOffset>808481</wp:posOffset>
          </wp:positionH>
          <wp:positionV relativeFrom="page">
            <wp:posOffset>461010</wp:posOffset>
          </wp:positionV>
          <wp:extent cx="1257300" cy="420356"/>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11936" behindDoc="1" locked="0" layoutInCell="1" allowOverlap="1" wp14:anchorId="360F2484" wp14:editId="7DF8A5FB">
              <wp:simplePos x="0" y="0"/>
              <wp:positionH relativeFrom="page">
                <wp:posOffset>901700</wp:posOffset>
              </wp:positionH>
              <wp:positionV relativeFrom="page">
                <wp:posOffset>239691</wp:posOffset>
              </wp:positionV>
              <wp:extent cx="1256665" cy="13906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B6F684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60F2484" id="_x0000_t202" coordsize="21600,21600" o:spt="202" path="m,l,21600r21600,l21600,xe">
              <v:stroke joinstyle="miter"/>
              <v:path gradientshapeok="t" o:connecttype="rect"/>
            </v:shapetype>
            <v:shape id="Textbox 473" o:spid="_x0000_s1315" type="#_x0000_t202" style="position:absolute;margin-left:71pt;margin-top:18.85pt;width:98.95pt;height:10.95pt;z-index:-378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HR59s5gBAAAj&#10;AwAADgAAAAAAAAAAAAAAAAAuAgAAZHJzL2Uyb0RvYy54bWxQSwECLQAUAAYACAAAACEAPJE+Zd8A&#10;AAAJAQAADwAAAAAAAAAAAAAAAADyAwAAZHJzL2Rvd25yZXYueG1sUEsFBgAAAAAEAAQA8wAAAP4E&#10;AAAAAA==&#10;" filled="f" stroked="f">
              <v:textbox inset="0,0,0,0">
                <w:txbxContent>
                  <w:p w14:paraId="7B6F684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12448" behindDoc="1" locked="0" layoutInCell="1" allowOverlap="1" wp14:anchorId="470479B5" wp14:editId="11BDE169">
              <wp:simplePos x="0" y="0"/>
              <wp:positionH relativeFrom="page">
                <wp:posOffset>3410203</wp:posOffset>
              </wp:positionH>
              <wp:positionV relativeFrom="page">
                <wp:posOffset>661163</wp:posOffset>
              </wp:positionV>
              <wp:extent cx="3316604" cy="18161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9FF2F5B"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70479B5" id="Textbox 474" o:spid="_x0000_s1316" type="#_x0000_t202" style="position:absolute;margin-left:268.5pt;margin-top:52.05pt;width:261.15pt;height:14.3pt;z-index:-378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Vwt8yJkB&#10;AAAkAwAADgAAAAAAAAAAAAAAAAAuAgAAZHJzL2Uyb0RvYy54bWxQSwECLQAUAAYACAAAACEAC3YZ&#10;oeEAAAAMAQAADwAAAAAAAAAAAAAAAADzAwAAZHJzL2Rvd25yZXYueG1sUEsFBgAAAAAEAAQA8wAA&#10;AAEFAAAAAA==&#10;" filled="f" stroked="f">
              <v:textbox inset="0,0,0,0">
                <w:txbxContent>
                  <w:p w14:paraId="49FF2F5B"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F0D7" w14:textId="77777777" w:rsidR="00C31389" w:rsidRDefault="00561FBD">
    <w:pPr>
      <w:pStyle w:val="BodyText"/>
      <w:spacing w:line="14" w:lineRule="auto"/>
      <w:rPr>
        <w:sz w:val="20"/>
      </w:rPr>
    </w:pPr>
    <w:r>
      <w:rPr>
        <w:noProof/>
      </w:rPr>
      <w:drawing>
        <wp:anchor distT="0" distB="0" distL="0" distR="0" simplePos="0" relativeHeight="465513984" behindDoc="1" locked="0" layoutInCell="1" allowOverlap="1" wp14:anchorId="426B7831" wp14:editId="2FEEB9E8">
          <wp:simplePos x="0" y="0"/>
          <wp:positionH relativeFrom="page">
            <wp:posOffset>808481</wp:posOffset>
          </wp:positionH>
          <wp:positionV relativeFrom="page">
            <wp:posOffset>461010</wp:posOffset>
          </wp:positionV>
          <wp:extent cx="1257300" cy="420356"/>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14496" behindDoc="1" locked="0" layoutInCell="1" allowOverlap="1" wp14:anchorId="745EC568" wp14:editId="72C81599">
              <wp:simplePos x="0" y="0"/>
              <wp:positionH relativeFrom="page">
                <wp:posOffset>799338</wp:posOffset>
              </wp:positionH>
              <wp:positionV relativeFrom="page">
                <wp:posOffset>1042415</wp:posOffset>
              </wp:positionV>
              <wp:extent cx="5953125" cy="1270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18001C8" id="Graphic 482" o:spid="_x0000_s1026" style="position:absolute;margin-left:62.95pt;margin-top:82.1pt;width:468.75pt;height:1pt;z-index:-37801984;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15008" behindDoc="1" locked="0" layoutInCell="1" allowOverlap="1" wp14:anchorId="00F1814D" wp14:editId="4BFA1E0B">
              <wp:simplePos x="0" y="0"/>
              <wp:positionH relativeFrom="page">
                <wp:posOffset>901700</wp:posOffset>
              </wp:positionH>
              <wp:positionV relativeFrom="page">
                <wp:posOffset>239691</wp:posOffset>
              </wp:positionV>
              <wp:extent cx="1256665" cy="13906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436DEBC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00F1814D" id="_x0000_t202" coordsize="21600,21600" o:spt="202" path="m,l,21600r21600,l21600,xe">
              <v:stroke joinstyle="miter"/>
              <v:path gradientshapeok="t" o:connecttype="rect"/>
            </v:shapetype>
            <v:shape id="Textbox 483" o:spid="_x0000_s1318" type="#_x0000_t202" style="position:absolute;margin-left:71pt;margin-top:18.85pt;width:98.95pt;height:10.95pt;z-index:-378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wVlwEAACQ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mPkepVh89kOuhOrGXmgraSfB4VGiuFzYMfy9C8JXpLdJcE0&#10;fIDyR7KoAO8OCawrFG64MwUeRRExf5s869/3pev2ube/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BmwswVlwEAACQD&#10;AAAOAAAAAAAAAAAAAAAAAC4CAABkcnMvZTJvRG9jLnhtbFBLAQItABQABgAIAAAAIQA8kT5l3wAA&#10;AAkBAAAPAAAAAAAAAAAAAAAAAPEDAABkcnMvZG93bnJldi54bWxQSwUGAAAAAAQABADzAAAA/QQA&#10;AAAA&#10;" filled="f" stroked="f">
              <v:textbox inset="0,0,0,0">
                <w:txbxContent>
                  <w:p w14:paraId="436DEBC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15520" behindDoc="1" locked="0" layoutInCell="1" allowOverlap="1" wp14:anchorId="555F793E" wp14:editId="4ABB1E62">
              <wp:simplePos x="0" y="0"/>
              <wp:positionH relativeFrom="page">
                <wp:posOffset>3410203</wp:posOffset>
              </wp:positionH>
              <wp:positionV relativeFrom="page">
                <wp:posOffset>661163</wp:posOffset>
              </wp:positionV>
              <wp:extent cx="3316604" cy="18161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DF4A1F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55F793E" id="Textbox 484" o:spid="_x0000_s1319" type="#_x0000_t202" style="position:absolute;margin-left:268.5pt;margin-top:52.05pt;width:261.15pt;height:14.3pt;z-index:-378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nmOJWpkB&#10;AAAkAwAADgAAAAAAAAAAAAAAAAAuAgAAZHJzL2Uyb0RvYy54bWxQSwECLQAUAAYACAAAACEAC3YZ&#10;oeEAAAAMAQAADwAAAAAAAAAAAAAAAADzAwAAZHJzL2Rvd25yZXYueG1sUEsFBgAAAAAEAAQA8wAA&#10;AAEFAAAAAA==&#10;" filled="f" stroked="f">
              <v:textbox inset="0,0,0,0">
                <w:txbxContent>
                  <w:p w14:paraId="1DF4A1F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C793" w14:textId="77777777" w:rsidR="00C31389" w:rsidRDefault="00561FBD">
    <w:pPr>
      <w:pStyle w:val="BodyText"/>
      <w:spacing w:line="14" w:lineRule="auto"/>
      <w:rPr>
        <w:sz w:val="20"/>
      </w:rPr>
    </w:pPr>
    <w:r>
      <w:rPr>
        <w:noProof/>
      </w:rPr>
      <w:drawing>
        <wp:anchor distT="0" distB="0" distL="0" distR="0" simplePos="0" relativeHeight="465517056" behindDoc="1" locked="0" layoutInCell="1" allowOverlap="1" wp14:anchorId="402C3ED6" wp14:editId="7C735CAC">
          <wp:simplePos x="0" y="0"/>
          <wp:positionH relativeFrom="page">
            <wp:posOffset>808481</wp:posOffset>
          </wp:positionH>
          <wp:positionV relativeFrom="page">
            <wp:posOffset>461010</wp:posOffset>
          </wp:positionV>
          <wp:extent cx="1257300" cy="420356"/>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17568" behindDoc="1" locked="0" layoutInCell="1" allowOverlap="1" wp14:anchorId="70B736E1" wp14:editId="3FC15471">
              <wp:simplePos x="0" y="0"/>
              <wp:positionH relativeFrom="page">
                <wp:posOffset>901700</wp:posOffset>
              </wp:positionH>
              <wp:positionV relativeFrom="page">
                <wp:posOffset>239691</wp:posOffset>
              </wp:positionV>
              <wp:extent cx="1256665" cy="13906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8FF8448"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0B736E1" id="_x0000_t202" coordsize="21600,21600" o:spt="202" path="m,l,21600r21600,l21600,xe">
              <v:stroke joinstyle="miter"/>
              <v:path gradientshapeok="t" o:connecttype="rect"/>
            </v:shapetype>
            <v:shape id="Textbox 492" o:spid="_x0000_s1321" type="#_x0000_t202" style="position:absolute;margin-left:71pt;margin-top:18.85pt;width:98.95pt;height:10.95pt;z-index:-377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ualgEAACQ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mPkusDmsx10J1Yz8kBbST8PCo0Uw+fAjuXpXxK8JLtLgmn4&#10;AOWPZFEB3h0SWFco3HBnCjyKImL+NnnWv+9L1+1zb38B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PLN+5qWAQAAJAMA&#10;AA4AAAAAAAAAAAAAAAAALgIAAGRycy9lMm9Eb2MueG1sUEsBAi0AFAAGAAgAAAAhADyRPmXfAAAA&#10;CQEAAA8AAAAAAAAAAAAAAAAA8AMAAGRycy9kb3ducmV2LnhtbFBLBQYAAAAABAAEAPMAAAD8BAAA&#10;AAA=&#10;" filled="f" stroked="f">
              <v:textbox inset="0,0,0,0">
                <w:txbxContent>
                  <w:p w14:paraId="38FF8448"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18080" behindDoc="1" locked="0" layoutInCell="1" allowOverlap="1" wp14:anchorId="76D152E2" wp14:editId="57658E27">
              <wp:simplePos x="0" y="0"/>
              <wp:positionH relativeFrom="page">
                <wp:posOffset>3410203</wp:posOffset>
              </wp:positionH>
              <wp:positionV relativeFrom="page">
                <wp:posOffset>661163</wp:posOffset>
              </wp:positionV>
              <wp:extent cx="3316604" cy="18161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56589FF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6D152E2" id="Textbox 493" o:spid="_x0000_s1322" type="#_x0000_t202" style="position:absolute;margin-left:268.5pt;margin-top:52.05pt;width:261.15pt;height:14.3pt;z-index:-377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hNznNpkB&#10;AAAkAwAADgAAAAAAAAAAAAAAAAAuAgAAZHJzL2Uyb0RvYy54bWxQSwECLQAUAAYACAAAACEAC3YZ&#10;oeEAAAAMAQAADwAAAAAAAAAAAAAAAADzAwAAZHJzL2Rvd25yZXYueG1sUEsFBgAAAAAEAAQA8wAA&#10;AAEFAAAAAA==&#10;" filled="f" stroked="f">
              <v:textbox inset="0,0,0,0">
                <w:txbxContent>
                  <w:p w14:paraId="56589FF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26BB" w14:textId="77777777" w:rsidR="00C31389" w:rsidRDefault="00561FBD">
    <w:pPr>
      <w:pStyle w:val="BodyText"/>
      <w:spacing w:line="14" w:lineRule="auto"/>
      <w:rPr>
        <w:sz w:val="20"/>
      </w:rPr>
    </w:pPr>
    <w:r>
      <w:rPr>
        <w:noProof/>
      </w:rPr>
      <w:drawing>
        <wp:anchor distT="0" distB="0" distL="0" distR="0" simplePos="0" relativeHeight="465519616" behindDoc="1" locked="0" layoutInCell="1" allowOverlap="1" wp14:anchorId="577B5963" wp14:editId="3221082D">
          <wp:simplePos x="0" y="0"/>
          <wp:positionH relativeFrom="page">
            <wp:posOffset>808481</wp:posOffset>
          </wp:positionH>
          <wp:positionV relativeFrom="page">
            <wp:posOffset>461010</wp:posOffset>
          </wp:positionV>
          <wp:extent cx="1257300" cy="420356"/>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20128" behindDoc="1" locked="0" layoutInCell="1" allowOverlap="1" wp14:anchorId="38437EB0" wp14:editId="106005B3">
              <wp:simplePos x="0" y="0"/>
              <wp:positionH relativeFrom="page">
                <wp:posOffset>901700</wp:posOffset>
              </wp:positionH>
              <wp:positionV relativeFrom="page">
                <wp:posOffset>239691</wp:posOffset>
              </wp:positionV>
              <wp:extent cx="1256665" cy="13906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F96BBA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8437EB0" id="_x0000_t202" coordsize="21600,21600" o:spt="202" path="m,l,21600r21600,l21600,xe">
              <v:stroke joinstyle="miter"/>
              <v:path gradientshapeok="t" o:connecttype="rect"/>
            </v:shapetype>
            <v:shape id="Textbox 509" o:spid="_x0000_s1324" type="#_x0000_t202" style="position:absolute;margin-left:71pt;margin-top:18.85pt;width:98.95pt;height:10.95pt;z-index:-377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HNlwEAACQDAAAOAAAAZHJzL2Uyb0RvYy54bWysUsGO0zAQvSPxD5bvNGnRVkv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VZ36/X6TgrNteXrNzXnGfR2OyKljwa8yEkr&#10;kedVGKjjE6Vz66VlJnN+PzNJ024SrmPk+j7D5rMddCdWM/JAW0k/DwqNFMOnwI7l6V8SvCS7S4Jp&#10;eA/lj2RRAd4eElhXKNxwZwo8iiJi/jZ51r/vS9ftc29/AQ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BSvBHNlwEAACQD&#10;AAAOAAAAAAAAAAAAAAAAAC4CAABkcnMvZTJvRG9jLnhtbFBLAQItABQABgAIAAAAIQA8kT5l3wAA&#10;AAkBAAAPAAAAAAAAAAAAAAAAAPEDAABkcnMvZG93bnJldi54bWxQSwUGAAAAAAQABADzAAAA/QQA&#10;AAAA&#10;" filled="f" stroked="f">
              <v:textbox inset="0,0,0,0">
                <w:txbxContent>
                  <w:p w14:paraId="1F96BBA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20640" behindDoc="1" locked="0" layoutInCell="1" allowOverlap="1" wp14:anchorId="4EC75CBF" wp14:editId="513DF87B">
              <wp:simplePos x="0" y="0"/>
              <wp:positionH relativeFrom="page">
                <wp:posOffset>3410203</wp:posOffset>
              </wp:positionH>
              <wp:positionV relativeFrom="page">
                <wp:posOffset>661163</wp:posOffset>
              </wp:positionV>
              <wp:extent cx="3316604" cy="18161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8A5E65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EC75CBF" id="Textbox 510" o:spid="_x0000_s1325" type="#_x0000_t202" style="position:absolute;margin-left:268.5pt;margin-top:52.05pt;width:261.15pt;height:14.3pt;z-index:-377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qh1UgpkB&#10;AAAkAwAADgAAAAAAAAAAAAAAAAAuAgAAZHJzL2Uyb0RvYy54bWxQSwECLQAUAAYACAAAACEAC3YZ&#10;oeEAAAAMAQAADwAAAAAAAAAAAAAAAADzAwAAZHJzL2Rvd25yZXYueG1sUEsFBgAAAAAEAAQA8wAA&#10;AAEFAAAAAA==&#10;" filled="f" stroked="f">
              <v:textbox inset="0,0,0,0">
                <w:txbxContent>
                  <w:p w14:paraId="28A5E65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6803" w14:textId="77777777" w:rsidR="00C31389" w:rsidRDefault="00561FBD">
    <w:pPr>
      <w:pStyle w:val="BodyText"/>
      <w:spacing w:line="14" w:lineRule="auto"/>
      <w:rPr>
        <w:sz w:val="20"/>
      </w:rPr>
    </w:pPr>
    <w:r>
      <w:rPr>
        <w:noProof/>
      </w:rPr>
      <w:drawing>
        <wp:anchor distT="0" distB="0" distL="0" distR="0" simplePos="0" relativeHeight="465522176" behindDoc="1" locked="0" layoutInCell="1" allowOverlap="1" wp14:anchorId="3E14EEA8" wp14:editId="4414729B">
          <wp:simplePos x="0" y="0"/>
          <wp:positionH relativeFrom="page">
            <wp:posOffset>808481</wp:posOffset>
          </wp:positionH>
          <wp:positionV relativeFrom="page">
            <wp:posOffset>461010</wp:posOffset>
          </wp:positionV>
          <wp:extent cx="1257300" cy="420356"/>
          <wp:effectExtent l="0" t="0" r="0" b="0"/>
          <wp:wrapNone/>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22688" behindDoc="1" locked="0" layoutInCell="1" allowOverlap="1" wp14:anchorId="5F7D7A66" wp14:editId="6BCD8FF1">
              <wp:simplePos x="0" y="0"/>
              <wp:positionH relativeFrom="page">
                <wp:posOffset>799338</wp:posOffset>
              </wp:positionH>
              <wp:positionV relativeFrom="page">
                <wp:posOffset>1042415</wp:posOffset>
              </wp:positionV>
              <wp:extent cx="5953125" cy="1270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B0CAE03" id="Graphic 516" o:spid="_x0000_s1026" style="position:absolute;margin-left:62.95pt;margin-top:82.1pt;width:468.75pt;height:1pt;z-index:-37793792;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23200" behindDoc="1" locked="0" layoutInCell="1" allowOverlap="1" wp14:anchorId="4817F82D" wp14:editId="5A98B847">
              <wp:simplePos x="0" y="0"/>
              <wp:positionH relativeFrom="page">
                <wp:posOffset>901700</wp:posOffset>
              </wp:positionH>
              <wp:positionV relativeFrom="page">
                <wp:posOffset>239691</wp:posOffset>
              </wp:positionV>
              <wp:extent cx="1256665" cy="13906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98FEA9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817F82D" id="_x0000_t202" coordsize="21600,21600" o:spt="202" path="m,l,21600r21600,l21600,xe">
              <v:stroke joinstyle="miter"/>
              <v:path gradientshapeok="t" o:connecttype="rect"/>
            </v:shapetype>
            <v:shape id="Textbox 517" o:spid="_x0000_s1327" type="#_x0000_t202" style="position:absolute;margin-left:71pt;margin-top:18.85pt;width:98.95pt;height:10.95pt;z-index:-377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RNLwb5gBAAAk&#10;AwAADgAAAAAAAAAAAAAAAAAuAgAAZHJzL2Uyb0RvYy54bWxQSwECLQAUAAYACAAAACEAPJE+Zd8A&#10;AAAJAQAADwAAAAAAAAAAAAAAAADyAwAAZHJzL2Rvd25yZXYueG1sUEsFBgAAAAAEAAQA8wAAAP4E&#10;AAAAAA==&#10;" filled="f" stroked="f">
              <v:textbox inset="0,0,0,0">
                <w:txbxContent>
                  <w:p w14:paraId="298FEA9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23712" behindDoc="1" locked="0" layoutInCell="1" allowOverlap="1" wp14:anchorId="2FE26525" wp14:editId="1B4EFEC1">
              <wp:simplePos x="0" y="0"/>
              <wp:positionH relativeFrom="page">
                <wp:posOffset>3410203</wp:posOffset>
              </wp:positionH>
              <wp:positionV relativeFrom="page">
                <wp:posOffset>661163</wp:posOffset>
              </wp:positionV>
              <wp:extent cx="3316604" cy="18161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4D33BE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2FE26525" id="Textbox 518" o:spid="_x0000_s1328" type="#_x0000_t202" style="position:absolute;margin-left:268.5pt;margin-top:52.05pt;width:261.15pt;height:14.3pt;z-index:-377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MsPsw5kB&#10;AAAkAwAADgAAAAAAAAAAAAAAAAAuAgAAZHJzL2Uyb0RvYy54bWxQSwECLQAUAAYACAAAACEAC3YZ&#10;oeEAAAAMAQAADwAAAAAAAAAAAAAAAADzAwAAZHJzL2Rvd25yZXYueG1sUEsFBgAAAAAEAAQA8wAA&#10;AAEFAAAAAA==&#10;" filled="f" stroked="f">
              <v:textbox inset="0,0,0,0">
                <w:txbxContent>
                  <w:p w14:paraId="44D33BE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2ECF" w14:textId="77777777" w:rsidR="00C31389" w:rsidRDefault="00561FBD">
    <w:pPr>
      <w:pStyle w:val="BodyText"/>
      <w:spacing w:line="14" w:lineRule="auto"/>
      <w:rPr>
        <w:sz w:val="20"/>
      </w:rPr>
    </w:pPr>
    <w:r>
      <w:rPr>
        <w:noProof/>
      </w:rPr>
      <w:drawing>
        <wp:anchor distT="0" distB="0" distL="0" distR="0" simplePos="0" relativeHeight="465525248" behindDoc="1" locked="0" layoutInCell="1" allowOverlap="1" wp14:anchorId="597824C7" wp14:editId="7127D88E">
          <wp:simplePos x="0" y="0"/>
          <wp:positionH relativeFrom="page">
            <wp:posOffset>808481</wp:posOffset>
          </wp:positionH>
          <wp:positionV relativeFrom="page">
            <wp:posOffset>461010</wp:posOffset>
          </wp:positionV>
          <wp:extent cx="1257300" cy="420356"/>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25760" behindDoc="1" locked="0" layoutInCell="1" allowOverlap="1" wp14:anchorId="20ABBFDE" wp14:editId="77EC59EC">
              <wp:simplePos x="0" y="0"/>
              <wp:positionH relativeFrom="page">
                <wp:posOffset>901700</wp:posOffset>
              </wp:positionH>
              <wp:positionV relativeFrom="page">
                <wp:posOffset>239691</wp:posOffset>
              </wp:positionV>
              <wp:extent cx="1256665" cy="13906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0F023C7A" w14:textId="77777777" w:rsidR="00C31389" w:rsidRDefault="00561FBD">
                          <w:pPr>
                            <w:spacing w:before="14"/>
                            <w:ind w:left="20"/>
                            <w:rPr>
                              <w:sz w:val="16"/>
                            </w:rPr>
                          </w:pPr>
                          <w:r>
                            <w:rPr>
                              <w:sz w:val="16"/>
                            </w:rPr>
                            <w:t>R.13-11-005</w:t>
                          </w:r>
                          <w:r>
                            <w:rPr>
                              <w:spacing w:val="34"/>
                              <w:sz w:val="16"/>
                            </w:rPr>
                            <w:t xml:space="preserve"> </w:t>
                          </w:r>
                          <w:r>
                            <w:rPr>
                              <w:spacing w:val="-2"/>
                              <w:sz w:val="16"/>
                            </w:rPr>
                            <w:t>ALJ/VUK/me</w:t>
                          </w:r>
                          <w:r>
                            <w:rPr>
                              <w:spacing w:val="-2"/>
                              <w:sz w:val="16"/>
                            </w:rPr>
                            <w:t>f</w:t>
                          </w:r>
                        </w:p>
                      </w:txbxContent>
                    </wps:txbx>
                    <wps:bodyPr wrap="square" lIns="0" tIns="0" rIns="0" bIns="0" rtlCol="0">
                      <a:noAutofit/>
                    </wps:bodyPr>
                  </wps:wsp>
                </a:graphicData>
              </a:graphic>
            </wp:anchor>
          </w:drawing>
        </mc:Choice>
        <mc:Fallback>
          <w:pict>
            <v:shapetype w14:anchorId="20ABBFDE" id="_x0000_t202" coordsize="21600,21600" o:spt="202" path="m,l,21600r21600,l21600,xe">
              <v:stroke joinstyle="miter"/>
              <v:path gradientshapeok="t" o:connecttype="rect"/>
            </v:shapetype>
            <v:shape id="Textbox 522" o:spid="_x0000_s1330" type="#_x0000_t202" style="position:absolute;margin-left:71pt;margin-top:18.85pt;width:98.95pt;height:10.95pt;z-index:-377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4DlwEAACQ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xh5+SrD5rMddCdWM/JAW0k/DwqNFMOnwI7l6V8SvCS7S4Jp&#10;eA/lj2RRAd4eElhXKNxwZwo8iiJi/jZ51r/vS9ftc29/AQ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BebZ4DlwEAACQD&#10;AAAOAAAAAAAAAAAAAAAAAC4CAABkcnMvZTJvRG9jLnhtbFBLAQItABQABgAIAAAAIQA8kT5l3wAA&#10;AAkBAAAPAAAAAAAAAAAAAAAAAPEDAABkcnMvZG93bnJldi54bWxQSwUGAAAAAAQABADzAAAA/QQA&#10;AAAA&#10;" filled="f" stroked="f">
              <v:textbox inset="0,0,0,0">
                <w:txbxContent>
                  <w:p w14:paraId="0F023C7A" w14:textId="77777777" w:rsidR="00C31389" w:rsidRDefault="00561FBD">
                    <w:pPr>
                      <w:spacing w:before="14"/>
                      <w:ind w:left="20"/>
                      <w:rPr>
                        <w:sz w:val="16"/>
                      </w:rPr>
                    </w:pPr>
                    <w:r>
                      <w:rPr>
                        <w:sz w:val="16"/>
                      </w:rPr>
                      <w:t>R.13-11-005</w:t>
                    </w:r>
                    <w:r>
                      <w:rPr>
                        <w:spacing w:val="34"/>
                        <w:sz w:val="16"/>
                      </w:rPr>
                      <w:t xml:space="preserve"> </w:t>
                    </w:r>
                    <w:r>
                      <w:rPr>
                        <w:spacing w:val="-2"/>
                        <w:sz w:val="16"/>
                      </w:rPr>
                      <w:t>ALJ/VUK/me</w:t>
                    </w:r>
                    <w:r>
                      <w:rPr>
                        <w:spacing w:val="-2"/>
                        <w:sz w:val="16"/>
                      </w:rPr>
                      <w:t>f</w:t>
                    </w:r>
                  </w:p>
                </w:txbxContent>
              </v:textbox>
              <w10:wrap anchorx="page" anchory="page"/>
            </v:shape>
          </w:pict>
        </mc:Fallback>
      </mc:AlternateContent>
    </w:r>
    <w:r>
      <w:rPr>
        <w:noProof/>
      </w:rPr>
      <mc:AlternateContent>
        <mc:Choice Requires="wps">
          <w:drawing>
            <wp:anchor distT="0" distB="0" distL="0" distR="0" simplePos="0" relativeHeight="465526272" behindDoc="1" locked="0" layoutInCell="1" allowOverlap="1" wp14:anchorId="4142AE5E" wp14:editId="36281AE6">
              <wp:simplePos x="0" y="0"/>
              <wp:positionH relativeFrom="page">
                <wp:posOffset>3410203</wp:posOffset>
              </wp:positionH>
              <wp:positionV relativeFrom="page">
                <wp:posOffset>661163</wp:posOffset>
              </wp:positionV>
              <wp:extent cx="3316604" cy="18161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268270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142AE5E" id="Textbox 523" o:spid="_x0000_s1331" type="#_x0000_t202" style="position:absolute;margin-left:268.5pt;margin-top:52.05pt;width:261.15pt;height:14.3pt;z-index:-377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pszbTJkB&#10;AAAkAwAADgAAAAAAAAAAAAAAAAAuAgAAZHJzL2Uyb0RvYy54bWxQSwECLQAUAAYACAAAACEAC3YZ&#10;oeEAAAAMAQAADwAAAAAAAAAAAAAAAADzAwAAZHJzL2Rvd25yZXYueG1sUEsFBgAAAAAEAAQA8wAA&#10;AAEFAAAAAA==&#10;" filled="f" stroked="f">
              <v:textbox inset="0,0,0,0">
                <w:txbxContent>
                  <w:p w14:paraId="4268270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80FA" w14:textId="77777777" w:rsidR="00C31389" w:rsidRDefault="00561FBD">
    <w:pPr>
      <w:pStyle w:val="BodyText"/>
      <w:spacing w:line="14" w:lineRule="auto"/>
      <w:rPr>
        <w:sz w:val="20"/>
      </w:rPr>
    </w:pPr>
    <w:r>
      <w:rPr>
        <w:noProof/>
      </w:rPr>
      <w:drawing>
        <wp:anchor distT="0" distB="0" distL="0" distR="0" simplePos="0" relativeHeight="465425920" behindDoc="1" locked="0" layoutInCell="1" allowOverlap="1" wp14:anchorId="72E6C845" wp14:editId="1A9DF827">
          <wp:simplePos x="0" y="0"/>
          <wp:positionH relativeFrom="page">
            <wp:posOffset>914400</wp:posOffset>
          </wp:positionH>
          <wp:positionV relativeFrom="page">
            <wp:posOffset>461010</wp:posOffset>
          </wp:positionV>
          <wp:extent cx="1257300" cy="420356"/>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26432" behindDoc="1" locked="0" layoutInCell="1" allowOverlap="1" wp14:anchorId="3945B806" wp14:editId="42B19F70">
              <wp:simplePos x="0" y="0"/>
              <wp:positionH relativeFrom="page">
                <wp:posOffset>905256</wp:posOffset>
              </wp:positionH>
              <wp:positionV relativeFrom="page">
                <wp:posOffset>1042415</wp:posOffset>
              </wp:positionV>
              <wp:extent cx="5953125"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C4AD40C" id="Graphic 36" o:spid="_x0000_s1026" style="position:absolute;margin-left:71.3pt;margin-top:82.1pt;width:468.75pt;height:1pt;z-index:-3789004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26944" behindDoc="1" locked="0" layoutInCell="1" allowOverlap="1" wp14:anchorId="333E5CB0" wp14:editId="7A768CF9">
              <wp:simplePos x="0" y="0"/>
              <wp:positionH relativeFrom="page">
                <wp:posOffset>901700</wp:posOffset>
              </wp:positionH>
              <wp:positionV relativeFrom="page">
                <wp:posOffset>239691</wp:posOffset>
              </wp:positionV>
              <wp:extent cx="1256665"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1B3D17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33E5CB0" id="_x0000_t202" coordsize="21600,21600" o:spt="202" path="m,l,21600r21600,l21600,xe">
              <v:stroke joinstyle="miter"/>
              <v:path gradientshapeok="t" o:connecttype="rect"/>
            </v:shapetype>
            <v:shape id="Textbox 37" o:spid="_x0000_s1225" type="#_x0000_t202" style="position:absolute;margin-left:71pt;margin-top:18.85pt;width:98.95pt;height:10.95pt;z-index:-378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lkSlgEAACIDAAAOAAAAZHJzL2Uyb0RvYy54bWysUsGO0zAQvSPxD5bvNGnRVmz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u1uv1nRSaa8vX9zXnGfR2OyKljwa8yEkr&#10;kedVGKjjE6Vz66VlJnN+PzNJ024SrmvlfQbNJzvoTqxl5HG2kn4eFBophk+B/cqzvyR4SXaXBNPw&#10;HsoPyZICvD0ksK4QuOHOBHgQRcL8afKkf9+XrtvX3v4C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PXqWRKWAQAAIgMA&#10;AA4AAAAAAAAAAAAAAAAALgIAAGRycy9lMm9Eb2MueG1sUEsBAi0AFAAGAAgAAAAhADyRPmXfAAAA&#10;CQEAAA8AAAAAAAAAAAAAAAAA8AMAAGRycy9kb3ducmV2LnhtbFBLBQYAAAAABAAEAPMAAAD8BAAA&#10;AAA=&#10;" filled="f" stroked="f">
              <v:textbox inset="0,0,0,0">
                <w:txbxContent>
                  <w:p w14:paraId="21B3D17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27456" behindDoc="1" locked="0" layoutInCell="1" allowOverlap="1" wp14:anchorId="310B1FC6" wp14:editId="12CEB763">
              <wp:simplePos x="0" y="0"/>
              <wp:positionH relativeFrom="page">
                <wp:posOffset>3516121</wp:posOffset>
              </wp:positionH>
              <wp:positionV relativeFrom="page">
                <wp:posOffset>661163</wp:posOffset>
              </wp:positionV>
              <wp:extent cx="3316604" cy="1816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36F976F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10B1FC6" id="Textbox 38" o:spid="_x0000_s1226" type="#_x0000_t202" style="position:absolute;margin-left:276.85pt;margin-top:52.05pt;width:261.15pt;height:14.3pt;z-index:-378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" filled="f" stroked="f">
              <v:textbox inset="0,0,0,0">
                <w:txbxContent>
                  <w:p w14:paraId="36F976F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8925" w14:textId="77777777" w:rsidR="00C31389" w:rsidRDefault="00561FBD">
    <w:pPr>
      <w:pStyle w:val="BodyText"/>
      <w:spacing w:line="14" w:lineRule="auto"/>
      <w:rPr>
        <w:sz w:val="20"/>
      </w:rPr>
    </w:pPr>
    <w:r>
      <w:rPr>
        <w:noProof/>
      </w:rPr>
      <w:drawing>
        <wp:anchor distT="0" distB="0" distL="0" distR="0" simplePos="0" relativeHeight="465527808" behindDoc="1" locked="0" layoutInCell="1" allowOverlap="1" wp14:anchorId="30443E13" wp14:editId="450E3718">
          <wp:simplePos x="0" y="0"/>
          <wp:positionH relativeFrom="page">
            <wp:posOffset>808481</wp:posOffset>
          </wp:positionH>
          <wp:positionV relativeFrom="page">
            <wp:posOffset>461010</wp:posOffset>
          </wp:positionV>
          <wp:extent cx="1257300" cy="420356"/>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28320" behindDoc="1" locked="0" layoutInCell="1" allowOverlap="1" wp14:anchorId="4D64658A" wp14:editId="1F984676">
              <wp:simplePos x="0" y="0"/>
              <wp:positionH relativeFrom="page">
                <wp:posOffset>799338</wp:posOffset>
              </wp:positionH>
              <wp:positionV relativeFrom="page">
                <wp:posOffset>1042415</wp:posOffset>
              </wp:positionV>
              <wp:extent cx="5953125" cy="1270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1AA6469" id="Graphic 536" o:spid="_x0000_s1026" style="position:absolute;margin-left:62.95pt;margin-top:82.1pt;width:468.75pt;height:1pt;z-index:-3778816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28832" behindDoc="1" locked="0" layoutInCell="1" allowOverlap="1" wp14:anchorId="2FD3E2DA" wp14:editId="6EB291B2">
              <wp:simplePos x="0" y="0"/>
              <wp:positionH relativeFrom="page">
                <wp:posOffset>901700</wp:posOffset>
              </wp:positionH>
              <wp:positionV relativeFrom="page">
                <wp:posOffset>239691</wp:posOffset>
              </wp:positionV>
              <wp:extent cx="1256665" cy="13906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68C6B4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FD3E2DA" id="_x0000_t202" coordsize="21600,21600" o:spt="202" path="m,l,21600r21600,l21600,xe">
              <v:stroke joinstyle="miter"/>
              <v:path gradientshapeok="t" o:connecttype="rect"/>
            </v:shapetype>
            <v:shape id="Textbox 537" o:spid="_x0000_s1333" type="#_x0000_t202" style="position:absolute;margin-left:71pt;margin-top:18.85pt;width:98.95pt;height:10.95pt;z-index:-377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uRlwEAACQ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xh5+SrD5rMddCdWM/JAW0k/DwqNFMOnwI7l6V8SvCS7S4Jp&#10;eA/lj2RRAd4eElhXKNxwZwo8iiJi/jZ51r/vS9ftc29/AQ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CXBWuRlwEAACQD&#10;AAAOAAAAAAAAAAAAAAAAAC4CAABkcnMvZTJvRG9jLnhtbFBLAQItABQABgAIAAAAIQA8kT5l3wAA&#10;AAkBAAAPAAAAAAAAAAAAAAAAAPEDAABkcnMvZG93bnJldi54bWxQSwUGAAAAAAQABADzAAAA/QQA&#10;AAAA&#10;" filled="f" stroked="f">
              <v:textbox inset="0,0,0,0">
                <w:txbxContent>
                  <w:p w14:paraId="168C6B4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29344" behindDoc="1" locked="0" layoutInCell="1" allowOverlap="1" wp14:anchorId="538C44F6" wp14:editId="473E6F67">
              <wp:simplePos x="0" y="0"/>
              <wp:positionH relativeFrom="page">
                <wp:posOffset>3410203</wp:posOffset>
              </wp:positionH>
              <wp:positionV relativeFrom="page">
                <wp:posOffset>661163</wp:posOffset>
              </wp:positionV>
              <wp:extent cx="3316604" cy="18161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BE30C8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38C44F6" id="Textbox 538" o:spid="_x0000_s1334" type="#_x0000_t202" style="position:absolute;margin-left:268.5pt;margin-top:52.05pt;width:261.15pt;height:14.3pt;z-index:-377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Br0xG5kB&#10;AAAkAwAADgAAAAAAAAAAAAAAAAAuAgAAZHJzL2Uyb0RvYy54bWxQSwECLQAUAAYACAAAACEAC3YZ&#10;oeEAAAAMAQAADwAAAAAAAAAAAAAAAADzAwAAZHJzL2Rvd25yZXYueG1sUEsFBgAAAAAEAAQA8wAA&#10;AAEFAAAAAA==&#10;" filled="f" stroked="f">
              <v:textbox inset="0,0,0,0">
                <w:txbxContent>
                  <w:p w14:paraId="7BE30C8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01DB" w14:textId="77777777" w:rsidR="00C31389" w:rsidRDefault="00561FBD">
    <w:pPr>
      <w:pStyle w:val="BodyText"/>
      <w:spacing w:line="14" w:lineRule="auto"/>
      <w:rPr>
        <w:sz w:val="20"/>
      </w:rPr>
    </w:pPr>
    <w:r>
      <w:rPr>
        <w:noProof/>
      </w:rPr>
      <w:drawing>
        <wp:anchor distT="0" distB="0" distL="0" distR="0" simplePos="0" relativeHeight="465530880" behindDoc="1" locked="0" layoutInCell="1" allowOverlap="1" wp14:anchorId="5244C3D5" wp14:editId="33199912">
          <wp:simplePos x="0" y="0"/>
          <wp:positionH relativeFrom="page">
            <wp:posOffset>808481</wp:posOffset>
          </wp:positionH>
          <wp:positionV relativeFrom="page">
            <wp:posOffset>461010</wp:posOffset>
          </wp:positionV>
          <wp:extent cx="1257300" cy="420356"/>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31392" behindDoc="1" locked="0" layoutInCell="1" allowOverlap="1" wp14:anchorId="78122772" wp14:editId="6B802D6F">
              <wp:simplePos x="0" y="0"/>
              <wp:positionH relativeFrom="page">
                <wp:posOffset>901700</wp:posOffset>
              </wp:positionH>
              <wp:positionV relativeFrom="page">
                <wp:posOffset>239691</wp:posOffset>
              </wp:positionV>
              <wp:extent cx="1256665" cy="13906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57E990C3"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8122772" id="_x0000_t202" coordsize="21600,21600" o:spt="202" path="m,l,21600r21600,l21600,xe">
              <v:stroke joinstyle="miter"/>
              <v:path gradientshapeok="t" o:connecttype="rect"/>
            </v:shapetype>
            <v:shape id="Textbox 558" o:spid="_x0000_s1336" type="#_x0000_t202" style="position:absolute;margin-left:71pt;margin-top:18.85pt;width:98.95pt;height:10.95pt;z-index:-377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" filled="f" stroked="f">
              <v:textbox inset="0,0,0,0">
                <w:txbxContent>
                  <w:p w14:paraId="57E990C3"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31904" behindDoc="1" locked="0" layoutInCell="1" allowOverlap="1" wp14:anchorId="2F5BE041" wp14:editId="72B6EADD">
              <wp:simplePos x="0" y="0"/>
              <wp:positionH relativeFrom="page">
                <wp:posOffset>3410203</wp:posOffset>
              </wp:positionH>
              <wp:positionV relativeFrom="page">
                <wp:posOffset>661163</wp:posOffset>
              </wp:positionV>
              <wp:extent cx="3316604" cy="18161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DF2DD3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2F5BE041" id="Textbox 559" o:spid="_x0000_s1337" type="#_x0000_t202" style="position:absolute;margin-left:268.5pt;margin-top:52.05pt;width:261.15pt;height:14.3pt;z-index:-377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hyQzs5kB&#10;AAAkAwAADgAAAAAAAAAAAAAAAAAuAgAAZHJzL2Uyb0RvYy54bWxQSwECLQAUAAYACAAAACEAC3YZ&#10;oeEAAAAMAQAADwAAAAAAAAAAAAAAAADzAwAAZHJzL2Rvd25yZXYueG1sUEsFBgAAAAAEAAQA8wAA&#10;AAEFAAAAAA==&#10;" filled="f" stroked="f">
              <v:textbox inset="0,0,0,0">
                <w:txbxContent>
                  <w:p w14:paraId="1DF2DD3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1FF3" w14:textId="77777777" w:rsidR="00C31389" w:rsidRDefault="00561FBD">
    <w:pPr>
      <w:pStyle w:val="BodyText"/>
      <w:spacing w:line="14" w:lineRule="auto"/>
      <w:rPr>
        <w:sz w:val="20"/>
      </w:rPr>
    </w:pPr>
    <w:r>
      <w:rPr>
        <w:noProof/>
      </w:rPr>
      <w:drawing>
        <wp:anchor distT="0" distB="0" distL="0" distR="0" simplePos="0" relativeHeight="465533440" behindDoc="1" locked="0" layoutInCell="1" allowOverlap="1" wp14:anchorId="051368E1" wp14:editId="54AB23ED">
          <wp:simplePos x="0" y="0"/>
          <wp:positionH relativeFrom="page">
            <wp:posOffset>808481</wp:posOffset>
          </wp:positionH>
          <wp:positionV relativeFrom="page">
            <wp:posOffset>461010</wp:posOffset>
          </wp:positionV>
          <wp:extent cx="1257300" cy="420356"/>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33952" behindDoc="1" locked="0" layoutInCell="1" allowOverlap="1" wp14:anchorId="448E3109" wp14:editId="1DFBFC5D">
              <wp:simplePos x="0" y="0"/>
              <wp:positionH relativeFrom="page">
                <wp:posOffset>799338</wp:posOffset>
              </wp:positionH>
              <wp:positionV relativeFrom="page">
                <wp:posOffset>1042415</wp:posOffset>
              </wp:positionV>
              <wp:extent cx="5953125" cy="1270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593B592" id="Graphic 566" o:spid="_x0000_s1026" style="position:absolute;margin-left:62.95pt;margin-top:82.1pt;width:468.75pt;height:1pt;z-index:-3778252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34464" behindDoc="1" locked="0" layoutInCell="1" allowOverlap="1" wp14:anchorId="670D4A4F" wp14:editId="03E8A054">
              <wp:simplePos x="0" y="0"/>
              <wp:positionH relativeFrom="page">
                <wp:posOffset>901700</wp:posOffset>
              </wp:positionH>
              <wp:positionV relativeFrom="page">
                <wp:posOffset>239691</wp:posOffset>
              </wp:positionV>
              <wp:extent cx="1256665" cy="13906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14B7DE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670D4A4F" id="_x0000_t202" coordsize="21600,21600" o:spt="202" path="m,l,21600r21600,l21600,xe">
              <v:stroke joinstyle="miter"/>
              <v:path gradientshapeok="t" o:connecttype="rect"/>
            </v:shapetype>
            <v:shape id="Textbox 567" o:spid="_x0000_s1339" type="#_x0000_t202" style="position:absolute;margin-left:71pt;margin-top:18.85pt;width:98.95pt;height:10.95pt;z-index:-377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C27YNulwEAACQD&#10;AAAOAAAAAAAAAAAAAAAAAC4CAABkcnMvZTJvRG9jLnhtbFBLAQItABQABgAIAAAAIQA8kT5l3wAA&#10;AAkBAAAPAAAAAAAAAAAAAAAAAPEDAABkcnMvZG93bnJldi54bWxQSwUGAAAAAAQABADzAAAA/QQA&#10;AAAA&#10;" filled="f" stroked="f">
              <v:textbox inset="0,0,0,0">
                <w:txbxContent>
                  <w:p w14:paraId="214B7DE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34976" behindDoc="1" locked="0" layoutInCell="1" allowOverlap="1" wp14:anchorId="0E5B7203" wp14:editId="6531991B">
              <wp:simplePos x="0" y="0"/>
              <wp:positionH relativeFrom="page">
                <wp:posOffset>3410203</wp:posOffset>
              </wp:positionH>
              <wp:positionV relativeFrom="page">
                <wp:posOffset>661163</wp:posOffset>
              </wp:positionV>
              <wp:extent cx="3316604" cy="18161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056BFA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E5B7203" id="Textbox 568" o:spid="_x0000_s1340" type="#_x0000_t202" style="position:absolute;margin-left:268.5pt;margin-top:52.05pt;width:261.15pt;height:14.3pt;z-index:-377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nZtd35kB&#10;AAAkAwAADgAAAAAAAAAAAAAAAAAuAgAAZHJzL2Uyb0RvYy54bWxQSwECLQAUAAYACAAAACEAC3YZ&#10;oeEAAAAMAQAADwAAAAAAAAAAAAAAAADzAwAAZHJzL2Rvd25yZXYueG1sUEsFBgAAAAAEAAQA8wAA&#10;AAEFAAAAAA==&#10;" filled="f" stroked="f">
              <v:textbox inset="0,0,0,0">
                <w:txbxContent>
                  <w:p w14:paraId="0056BFA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D4F5" w14:textId="77777777" w:rsidR="00C31389" w:rsidRDefault="00561FBD">
    <w:pPr>
      <w:pStyle w:val="BodyText"/>
      <w:spacing w:line="14" w:lineRule="auto"/>
      <w:rPr>
        <w:sz w:val="20"/>
      </w:rPr>
    </w:pPr>
    <w:r>
      <w:rPr>
        <w:noProof/>
      </w:rPr>
      <w:drawing>
        <wp:anchor distT="0" distB="0" distL="0" distR="0" simplePos="0" relativeHeight="465536512" behindDoc="1" locked="0" layoutInCell="1" allowOverlap="1" wp14:anchorId="438112A7" wp14:editId="49B567E2">
          <wp:simplePos x="0" y="0"/>
          <wp:positionH relativeFrom="page">
            <wp:posOffset>808481</wp:posOffset>
          </wp:positionH>
          <wp:positionV relativeFrom="page">
            <wp:posOffset>461010</wp:posOffset>
          </wp:positionV>
          <wp:extent cx="1257300" cy="420356"/>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37024" behindDoc="1" locked="0" layoutInCell="1" allowOverlap="1" wp14:anchorId="4F5F336D" wp14:editId="1244ACC6">
              <wp:simplePos x="0" y="0"/>
              <wp:positionH relativeFrom="page">
                <wp:posOffset>901700</wp:posOffset>
              </wp:positionH>
              <wp:positionV relativeFrom="page">
                <wp:posOffset>239691</wp:posOffset>
              </wp:positionV>
              <wp:extent cx="1256665" cy="13906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06468C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F5F336D" id="_x0000_t202" coordsize="21600,21600" o:spt="202" path="m,l,21600r21600,l21600,xe">
              <v:stroke joinstyle="miter"/>
              <v:path gradientshapeok="t" o:connecttype="rect"/>
            </v:shapetype>
            <v:shape id="Textbox 637" o:spid="_x0000_s1342" type="#_x0000_t202" style="position:absolute;margin-left:71pt;margin-top:18.85pt;width:98.95pt;height:10.95pt;z-index:-377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rFLtApgBAAAk&#10;AwAADgAAAAAAAAAAAAAAAAAuAgAAZHJzL2Uyb0RvYy54bWxQSwECLQAUAAYACAAAACEAPJE+Zd8A&#10;AAAJAQAADwAAAAAAAAAAAAAAAADyAwAAZHJzL2Rvd25yZXYueG1sUEsFBgAAAAAEAAQA8wAAAP4E&#10;AAAAAA==&#10;" filled="f" stroked="f">
              <v:textbox inset="0,0,0,0">
                <w:txbxContent>
                  <w:p w14:paraId="306468C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37536" behindDoc="1" locked="0" layoutInCell="1" allowOverlap="1" wp14:anchorId="6FA4E90A" wp14:editId="248D1EEB">
              <wp:simplePos x="0" y="0"/>
              <wp:positionH relativeFrom="page">
                <wp:posOffset>3410203</wp:posOffset>
              </wp:positionH>
              <wp:positionV relativeFrom="page">
                <wp:posOffset>661163</wp:posOffset>
              </wp:positionV>
              <wp:extent cx="3316604" cy="18161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DD3C3E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6FA4E90A" id="Textbox 638" o:spid="_x0000_s1343" type="#_x0000_t202" style="position:absolute;margin-left:268.5pt;margin-top:52.05pt;width:261.15pt;height:14.3pt;z-index:-377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FTzqE2a&#10;AQAAJAMAAA4AAAAAAAAAAAAAAAAALgIAAGRycy9lMm9Eb2MueG1sUEsBAi0AFAAGAAgAAAAhAAt2&#10;GaHhAAAADAEAAA8AAAAAAAAAAAAAAAAA9AMAAGRycy9kb3ducmV2LnhtbFBLBQYAAAAABAAEAPMA&#10;AAACBQAAAAA=&#10;" filled="f" stroked="f">
              <v:textbox inset="0,0,0,0">
                <w:txbxContent>
                  <w:p w14:paraId="1DD3C3E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8F9E" w14:textId="77777777" w:rsidR="00C31389" w:rsidRDefault="00561FBD">
    <w:pPr>
      <w:pStyle w:val="BodyText"/>
      <w:spacing w:line="14" w:lineRule="auto"/>
      <w:rPr>
        <w:sz w:val="20"/>
      </w:rPr>
    </w:pPr>
    <w:r>
      <w:rPr>
        <w:noProof/>
      </w:rPr>
      <w:drawing>
        <wp:anchor distT="0" distB="0" distL="0" distR="0" simplePos="0" relativeHeight="465539072" behindDoc="1" locked="0" layoutInCell="1" allowOverlap="1" wp14:anchorId="62F99183" wp14:editId="1B5034F2">
          <wp:simplePos x="0" y="0"/>
          <wp:positionH relativeFrom="page">
            <wp:posOffset>808481</wp:posOffset>
          </wp:positionH>
          <wp:positionV relativeFrom="page">
            <wp:posOffset>461010</wp:posOffset>
          </wp:positionV>
          <wp:extent cx="1257300" cy="420356"/>
          <wp:effectExtent l="0" t="0" r="0" b="0"/>
          <wp:wrapNone/>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39584" behindDoc="1" locked="0" layoutInCell="1" allowOverlap="1" wp14:anchorId="6F0BE008" wp14:editId="359E94FC">
              <wp:simplePos x="0" y="0"/>
              <wp:positionH relativeFrom="page">
                <wp:posOffset>799338</wp:posOffset>
              </wp:positionH>
              <wp:positionV relativeFrom="page">
                <wp:posOffset>1042415</wp:posOffset>
              </wp:positionV>
              <wp:extent cx="5953125" cy="1270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F3423A2" id="Graphic 659" o:spid="_x0000_s1026" style="position:absolute;margin-left:62.95pt;margin-top:82.1pt;width:468.75pt;height:1pt;z-index:-3777689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40096" behindDoc="1" locked="0" layoutInCell="1" allowOverlap="1" wp14:anchorId="1FC6479D" wp14:editId="14B61121">
              <wp:simplePos x="0" y="0"/>
              <wp:positionH relativeFrom="page">
                <wp:posOffset>901700</wp:posOffset>
              </wp:positionH>
              <wp:positionV relativeFrom="page">
                <wp:posOffset>239691</wp:posOffset>
              </wp:positionV>
              <wp:extent cx="1256665" cy="13906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57C64DEF" w14:textId="77777777" w:rsidR="00C31389" w:rsidRDefault="00561FBD">
                          <w:pPr>
                            <w:spacing w:before="14"/>
                            <w:ind w:left="20"/>
                            <w:rPr>
                              <w:sz w:val="16"/>
                            </w:rPr>
                          </w:pPr>
                          <w:r>
                            <w:rPr>
                              <w:sz w:val="16"/>
                            </w:rPr>
                            <w:t>R.13-11-</w:t>
                          </w:r>
                          <w:r>
                            <w:rPr>
                              <w:sz w:val="16"/>
                            </w:rPr>
                            <w:t>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FC6479D" id="_x0000_t202" coordsize="21600,21600" o:spt="202" path="m,l,21600r21600,l21600,xe">
              <v:stroke joinstyle="miter"/>
              <v:path gradientshapeok="t" o:connecttype="rect"/>
            </v:shapetype>
            <v:shape id="Textbox 660" o:spid="_x0000_s1345" type="#_x0000_t202" style="position:absolute;margin-left:71pt;margin-top:18.85pt;width:98.95pt;height:10.95pt;z-index:-377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CCk162lwEAACQD&#10;AAAOAAAAAAAAAAAAAAAAAC4CAABkcnMvZTJvRG9jLnhtbFBLAQItABQABgAIAAAAIQA8kT5l3wAA&#10;AAkBAAAPAAAAAAAAAAAAAAAAAPEDAABkcnMvZG93bnJldi54bWxQSwUGAAAAAAQABADzAAAA/QQA&#10;AAAA&#10;" filled="f" stroked="f">
              <v:textbox inset="0,0,0,0">
                <w:txbxContent>
                  <w:p w14:paraId="57C64DEF" w14:textId="77777777" w:rsidR="00C31389" w:rsidRDefault="00561FBD">
                    <w:pPr>
                      <w:spacing w:before="14"/>
                      <w:ind w:left="20"/>
                      <w:rPr>
                        <w:sz w:val="16"/>
                      </w:rPr>
                    </w:pPr>
                    <w:r>
                      <w:rPr>
                        <w:sz w:val="16"/>
                      </w:rPr>
                      <w:t>R.13-11-</w:t>
                    </w:r>
                    <w:r>
                      <w:rPr>
                        <w:sz w:val="16"/>
                      </w:rPr>
                      <w:t>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40608" behindDoc="1" locked="0" layoutInCell="1" allowOverlap="1" wp14:anchorId="27BBD038" wp14:editId="6B2FB4C8">
              <wp:simplePos x="0" y="0"/>
              <wp:positionH relativeFrom="page">
                <wp:posOffset>3410203</wp:posOffset>
              </wp:positionH>
              <wp:positionV relativeFrom="page">
                <wp:posOffset>661163</wp:posOffset>
              </wp:positionV>
              <wp:extent cx="3316604" cy="18161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D7855F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27BBD038" id="Textbox 661" o:spid="_x0000_s1346" type="#_x0000_t202" style="position:absolute;margin-left:268.5pt;margin-top:52.05pt;width:261.15pt;height:14.3pt;z-index:-377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K4RWKpkB&#10;AAAkAwAADgAAAAAAAAAAAAAAAAAuAgAAZHJzL2Uyb0RvYy54bWxQSwECLQAUAAYACAAAACEAC3YZ&#10;oeEAAAAMAQAADwAAAAAAAAAAAAAAAADzAwAAZHJzL2Rvd25yZXYueG1sUEsFBgAAAAAEAAQA8wAA&#10;AAEFAAAAAA==&#10;" filled="f" stroked="f">
              <v:textbox inset="0,0,0,0">
                <w:txbxContent>
                  <w:p w14:paraId="7D7855F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562F" w14:textId="77777777" w:rsidR="00C31389" w:rsidRDefault="00561FBD">
    <w:pPr>
      <w:pStyle w:val="BodyText"/>
      <w:spacing w:line="14" w:lineRule="auto"/>
      <w:rPr>
        <w:sz w:val="20"/>
      </w:rPr>
    </w:pPr>
    <w:r>
      <w:rPr>
        <w:noProof/>
      </w:rPr>
      <w:drawing>
        <wp:anchor distT="0" distB="0" distL="0" distR="0" simplePos="0" relativeHeight="465542144" behindDoc="1" locked="0" layoutInCell="1" allowOverlap="1" wp14:anchorId="6ADC2870" wp14:editId="1B083625">
          <wp:simplePos x="0" y="0"/>
          <wp:positionH relativeFrom="page">
            <wp:posOffset>808481</wp:posOffset>
          </wp:positionH>
          <wp:positionV relativeFrom="page">
            <wp:posOffset>461010</wp:posOffset>
          </wp:positionV>
          <wp:extent cx="1257300" cy="420356"/>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42656" behindDoc="1" locked="0" layoutInCell="1" allowOverlap="1" wp14:anchorId="2511DAD2" wp14:editId="390478AA">
              <wp:simplePos x="0" y="0"/>
              <wp:positionH relativeFrom="page">
                <wp:posOffset>901700</wp:posOffset>
              </wp:positionH>
              <wp:positionV relativeFrom="page">
                <wp:posOffset>239691</wp:posOffset>
              </wp:positionV>
              <wp:extent cx="1256665" cy="13906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081437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511DAD2" id="_x0000_t202" coordsize="21600,21600" o:spt="202" path="m,l,21600r21600,l21600,xe">
              <v:stroke joinstyle="miter"/>
              <v:path gradientshapeok="t" o:connecttype="rect"/>
            </v:shapetype>
            <v:shape id="Textbox 691" o:spid="_x0000_s1348" type="#_x0000_t202" style="position:absolute;margin-left:71pt;margin-top:18.85pt;width:98.95pt;height:10.95pt;z-index:-377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b3lgEAACQ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svIqwybz3bQnVjNyANtJf08KDRSDJ8DO5anf0nwkuwuCabh&#10;A5Q/kkUFeHdIYF2hcMOdKfAoioj52+RZ/74vXbfPvf0F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BpN5veWAQAAJAMA&#10;AA4AAAAAAAAAAAAAAAAALgIAAGRycy9lMm9Eb2MueG1sUEsBAi0AFAAGAAgAAAAhADyRPmXfAAAA&#10;CQEAAA8AAAAAAAAAAAAAAAAA8AMAAGRycy9kb3ducmV2LnhtbFBLBQYAAAAABAAEAPMAAAD8BAAA&#10;AAA=&#10;" filled="f" stroked="f">
              <v:textbox inset="0,0,0,0">
                <w:txbxContent>
                  <w:p w14:paraId="6081437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43168" behindDoc="1" locked="0" layoutInCell="1" allowOverlap="1" wp14:anchorId="7B95EB72" wp14:editId="41765E83">
              <wp:simplePos x="0" y="0"/>
              <wp:positionH relativeFrom="page">
                <wp:posOffset>3410203</wp:posOffset>
              </wp:positionH>
              <wp:positionV relativeFrom="page">
                <wp:posOffset>661163</wp:posOffset>
              </wp:positionV>
              <wp:extent cx="3316604" cy="18161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66C7AAF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B95EB72" id="Textbox 692" o:spid="_x0000_s1349" type="#_x0000_t202" style="position:absolute;margin-left:268.5pt;margin-top:52.05pt;width:261.15pt;height:14.3pt;z-index:-377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4uyjuJkB&#10;AAAkAwAADgAAAAAAAAAAAAAAAAAuAgAAZHJzL2Uyb0RvYy54bWxQSwECLQAUAAYACAAAACEAC3YZ&#10;oeEAAAAMAQAADwAAAAAAAAAAAAAAAADzAwAAZHJzL2Rvd25yZXYueG1sUEsFBgAAAAAEAAQA8wAA&#10;AAEFAAAAAA==&#10;" filled="f" stroked="f">
              <v:textbox inset="0,0,0,0">
                <w:txbxContent>
                  <w:p w14:paraId="66C7AAF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00A4" w14:textId="77777777" w:rsidR="00C31389" w:rsidRDefault="00561FBD">
    <w:pPr>
      <w:pStyle w:val="BodyText"/>
      <w:spacing w:line="14" w:lineRule="auto"/>
      <w:rPr>
        <w:sz w:val="20"/>
      </w:rPr>
    </w:pPr>
    <w:r>
      <w:rPr>
        <w:noProof/>
      </w:rPr>
      <w:drawing>
        <wp:anchor distT="0" distB="0" distL="0" distR="0" simplePos="0" relativeHeight="465544704" behindDoc="1" locked="0" layoutInCell="1" allowOverlap="1" wp14:anchorId="45C3ADA9" wp14:editId="7EE9FE83">
          <wp:simplePos x="0" y="0"/>
          <wp:positionH relativeFrom="page">
            <wp:posOffset>808481</wp:posOffset>
          </wp:positionH>
          <wp:positionV relativeFrom="page">
            <wp:posOffset>461010</wp:posOffset>
          </wp:positionV>
          <wp:extent cx="1257300" cy="420356"/>
          <wp:effectExtent l="0" t="0" r="0" b="0"/>
          <wp:wrapNone/>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45216" behindDoc="1" locked="0" layoutInCell="1" allowOverlap="1" wp14:anchorId="71D5EAC9" wp14:editId="369D2352">
              <wp:simplePos x="0" y="0"/>
              <wp:positionH relativeFrom="page">
                <wp:posOffset>799338</wp:posOffset>
              </wp:positionH>
              <wp:positionV relativeFrom="page">
                <wp:posOffset>1042415</wp:posOffset>
              </wp:positionV>
              <wp:extent cx="5953125" cy="1270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8F3DE25" id="Graphic 698" o:spid="_x0000_s1026" style="position:absolute;margin-left:62.95pt;margin-top:82.1pt;width:468.75pt;height:1pt;z-index:-37771264;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45728" behindDoc="1" locked="0" layoutInCell="1" allowOverlap="1" wp14:anchorId="4560D5D5" wp14:editId="2EF82C70">
              <wp:simplePos x="0" y="0"/>
              <wp:positionH relativeFrom="page">
                <wp:posOffset>901700</wp:posOffset>
              </wp:positionH>
              <wp:positionV relativeFrom="page">
                <wp:posOffset>239691</wp:posOffset>
              </wp:positionV>
              <wp:extent cx="1256665" cy="13906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4D2F7FB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560D5D5" id="_x0000_t202" coordsize="21600,21600" o:spt="202" path="m,l,21600r21600,l21600,xe">
              <v:stroke joinstyle="miter"/>
              <v:path gradientshapeok="t" o:connecttype="rect"/>
            </v:shapetype>
            <v:shape id="Textbox 699" o:spid="_x0000_s1351" type="#_x0000_t202" style="position:absolute;margin-left:71pt;margin-top:18.85pt;width:98.95pt;height:10.95pt;z-index:-377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F4lQEAACQ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" filled="f" stroked="f">
              <v:textbox inset="0,0,0,0">
                <w:txbxContent>
                  <w:p w14:paraId="4D2F7FB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46240" behindDoc="1" locked="0" layoutInCell="1" allowOverlap="1" wp14:anchorId="01CD9949" wp14:editId="477E3BC4">
              <wp:simplePos x="0" y="0"/>
              <wp:positionH relativeFrom="page">
                <wp:posOffset>3410203</wp:posOffset>
              </wp:positionH>
              <wp:positionV relativeFrom="page">
                <wp:posOffset>661163</wp:posOffset>
              </wp:positionV>
              <wp:extent cx="3316604" cy="18161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6176A61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1CD9949" id="Textbox 700" o:spid="_x0000_s1352" type="#_x0000_t202" style="position:absolute;margin-left:268.5pt;margin-top:52.05pt;width:261.15pt;height:14.3pt;z-index:-377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FPN1JkB&#10;AAAkAwAADgAAAAAAAAAAAAAAAAAuAgAAZHJzL2Uyb0RvYy54bWxQSwECLQAUAAYACAAAACEAC3YZ&#10;oeEAAAAMAQAADwAAAAAAAAAAAAAAAADzAwAAZHJzL2Rvd25yZXYueG1sUEsFBgAAAAAEAAQA8wAA&#10;AAEFAAAAAA==&#10;" filled="f" stroked="f">
              <v:textbox inset="0,0,0,0">
                <w:txbxContent>
                  <w:p w14:paraId="6176A61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6116" w14:textId="77777777" w:rsidR="00C31389" w:rsidRDefault="00561FBD">
    <w:pPr>
      <w:pStyle w:val="BodyText"/>
      <w:spacing w:line="14" w:lineRule="auto"/>
      <w:rPr>
        <w:sz w:val="20"/>
      </w:rPr>
    </w:pPr>
    <w:r>
      <w:rPr>
        <w:noProof/>
      </w:rPr>
      <w:drawing>
        <wp:anchor distT="0" distB="0" distL="0" distR="0" simplePos="0" relativeHeight="465547776" behindDoc="1" locked="0" layoutInCell="1" allowOverlap="1" wp14:anchorId="26AFD6DE" wp14:editId="42D2D526">
          <wp:simplePos x="0" y="0"/>
          <wp:positionH relativeFrom="page">
            <wp:posOffset>808481</wp:posOffset>
          </wp:positionH>
          <wp:positionV relativeFrom="page">
            <wp:posOffset>461010</wp:posOffset>
          </wp:positionV>
          <wp:extent cx="1257300" cy="420356"/>
          <wp:effectExtent l="0" t="0" r="0" b="0"/>
          <wp:wrapNone/>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48288" behindDoc="1" locked="0" layoutInCell="1" allowOverlap="1" wp14:anchorId="2D47DCC3" wp14:editId="38ECE308">
              <wp:simplePos x="0" y="0"/>
              <wp:positionH relativeFrom="page">
                <wp:posOffset>901700</wp:posOffset>
              </wp:positionH>
              <wp:positionV relativeFrom="page">
                <wp:posOffset>239691</wp:posOffset>
              </wp:positionV>
              <wp:extent cx="1256665" cy="13906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0055FED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D47DCC3" id="_x0000_t202" coordsize="21600,21600" o:spt="202" path="m,l,21600r21600,l21600,xe">
              <v:stroke joinstyle="miter"/>
              <v:path gradientshapeok="t" o:connecttype="rect"/>
            </v:shapetype>
            <v:shape id="Textbox 741" o:spid="_x0000_s1354" type="#_x0000_t202" style="position:absolute;margin-left:71pt;margin-top:18.85pt;width:98.95pt;height:10.95pt;z-index:-377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svlgEAACQDAAAOAAAAZHJzL2Uyb0RvYy54bWysUsGO0zAQvSPxD5bvNGnRVkv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VZ36/X6TgrNteXrNzXnGfR2OyKljwa8yEkr&#10;kedVGKjjE6Vz66VlJnN+PzNJ024SrsvI9xk2n+2gO7GakQfaSvp5UGikGD4FdixP/5LgJdldEkzD&#10;eyh/JIsK8PaQwLpC4YY7U+BRFBHzt8mz/n1fum6fe/sL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C4zOy+WAQAAJAMA&#10;AA4AAAAAAAAAAAAAAAAALgIAAGRycy9lMm9Eb2MueG1sUEsBAi0AFAAGAAgAAAAhADyRPmXfAAAA&#10;CQEAAA8AAAAAAAAAAAAAAAAA8AMAAGRycy9kb3ducmV2LnhtbFBLBQYAAAAABAAEAPMAAAD8BAAA&#10;AAA=&#10;" filled="f" stroked="f">
              <v:textbox inset="0,0,0,0">
                <w:txbxContent>
                  <w:p w14:paraId="0055FED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48800" behindDoc="1" locked="0" layoutInCell="1" allowOverlap="1" wp14:anchorId="72CE7A9A" wp14:editId="764257D5">
              <wp:simplePos x="0" y="0"/>
              <wp:positionH relativeFrom="page">
                <wp:posOffset>3410203</wp:posOffset>
              </wp:positionH>
              <wp:positionV relativeFrom="page">
                <wp:posOffset>661163</wp:posOffset>
              </wp:positionV>
              <wp:extent cx="3316604" cy="18161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6275EB7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2CE7A9A" id="Textbox 742" o:spid="_x0000_s1355" type="#_x0000_t202" style="position:absolute;margin-left:268.5pt;margin-top:52.05pt;width:261.15pt;height:14.3pt;z-index:-377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NaSfmCa&#10;AQAAJAMAAA4AAAAAAAAAAAAAAAAALgIAAGRycy9lMm9Eb2MueG1sUEsBAi0AFAAGAAgAAAAhAAt2&#10;GaHhAAAADAEAAA8AAAAAAAAAAAAAAAAA9AMAAGRycy9kb3ducmV2LnhtbFBLBQYAAAAABAAEAPMA&#10;AAACBQAAAAA=&#10;" filled="f" stroked="f">
              <v:textbox inset="0,0,0,0">
                <w:txbxContent>
                  <w:p w14:paraId="6275EB7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322B" w14:textId="77777777" w:rsidR="00C31389" w:rsidRDefault="00561FBD">
    <w:pPr>
      <w:pStyle w:val="BodyText"/>
      <w:spacing w:line="14" w:lineRule="auto"/>
      <w:rPr>
        <w:sz w:val="20"/>
      </w:rPr>
    </w:pPr>
    <w:r>
      <w:rPr>
        <w:noProof/>
      </w:rPr>
      <w:drawing>
        <wp:anchor distT="0" distB="0" distL="0" distR="0" simplePos="0" relativeHeight="465550336" behindDoc="1" locked="0" layoutInCell="1" allowOverlap="1" wp14:anchorId="2EACD342" wp14:editId="37315BD3">
          <wp:simplePos x="0" y="0"/>
          <wp:positionH relativeFrom="page">
            <wp:posOffset>808481</wp:posOffset>
          </wp:positionH>
          <wp:positionV relativeFrom="page">
            <wp:posOffset>461010</wp:posOffset>
          </wp:positionV>
          <wp:extent cx="1257300" cy="420356"/>
          <wp:effectExtent l="0" t="0" r="0" b="0"/>
          <wp:wrapNone/>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50848" behindDoc="1" locked="0" layoutInCell="1" allowOverlap="1" wp14:anchorId="7B9C871D" wp14:editId="3EF85F18">
              <wp:simplePos x="0" y="0"/>
              <wp:positionH relativeFrom="page">
                <wp:posOffset>799338</wp:posOffset>
              </wp:positionH>
              <wp:positionV relativeFrom="page">
                <wp:posOffset>1042415</wp:posOffset>
              </wp:positionV>
              <wp:extent cx="5953125" cy="1270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E0C5835" id="Graphic 773" o:spid="_x0000_s1026" style="position:absolute;margin-left:62.95pt;margin-top:82.1pt;width:468.75pt;height:1pt;z-index:-37765632;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51360" behindDoc="1" locked="0" layoutInCell="1" allowOverlap="1" wp14:anchorId="5964E36D" wp14:editId="0E759FEC">
              <wp:simplePos x="0" y="0"/>
              <wp:positionH relativeFrom="page">
                <wp:posOffset>901700</wp:posOffset>
              </wp:positionH>
              <wp:positionV relativeFrom="page">
                <wp:posOffset>239691</wp:posOffset>
              </wp:positionV>
              <wp:extent cx="1256665" cy="13906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E44F5D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964E36D" id="_x0000_t202" coordsize="21600,21600" o:spt="202" path="m,l,21600r21600,l21600,xe">
              <v:stroke joinstyle="miter"/>
              <v:path gradientshapeok="t" o:connecttype="rect"/>
            </v:shapetype>
            <v:shape id="Textbox 774" o:spid="_x0000_s1357" type="#_x0000_t202" style="position:absolute;margin-left:71pt;margin-top:18.85pt;width:98.95pt;height:10.95pt;z-index:-377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6SlwEAACQ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xj51TLD5rMddCdWM/JAW0k/DwqNFMOnwI7l6V8SvCS7S4Jp&#10;eA/lj2RRAd4eElhXKNxwZwo8iiJi/jZ51r/vS9ftc29/AQ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CBRf6SlwEAACQD&#10;AAAOAAAAAAAAAAAAAAAAAC4CAABkcnMvZTJvRG9jLnhtbFBLAQItABQABgAIAAAAIQA8kT5l3wAA&#10;AAkBAAAPAAAAAAAAAAAAAAAAAPEDAABkcnMvZG93bnJldi54bWxQSwUGAAAAAAQABADzAAAA/QQA&#10;AAAA&#10;" filled="f" stroked="f">
              <v:textbox inset="0,0,0,0">
                <w:txbxContent>
                  <w:p w14:paraId="6E44F5D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51872" behindDoc="1" locked="0" layoutInCell="1" allowOverlap="1" wp14:anchorId="5184D39C" wp14:editId="6FB6EE52">
              <wp:simplePos x="0" y="0"/>
              <wp:positionH relativeFrom="page">
                <wp:posOffset>3410203</wp:posOffset>
              </wp:positionH>
              <wp:positionV relativeFrom="page">
                <wp:posOffset>661163</wp:posOffset>
              </wp:positionV>
              <wp:extent cx="3316604" cy="18161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B178B6D"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184D39C" id="Textbox 775" o:spid="_x0000_s1358" type="#_x0000_t202" style="position:absolute;margin-left:268.5pt;margin-top:52.05pt;width:261.15pt;height:14.3pt;z-index:-377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91TiPpkB&#10;AAAkAwAADgAAAAAAAAAAAAAAAAAuAgAAZHJzL2Uyb0RvYy54bWxQSwECLQAUAAYACAAAACEAC3YZ&#10;oeEAAAAMAQAADwAAAAAAAAAAAAAAAADzAwAAZHJzL2Rvd25yZXYueG1sUEsFBgAAAAAEAAQA8wAA&#10;AAEFAAAAAA==&#10;" filled="f" stroked="f">
              <v:textbox inset="0,0,0,0">
                <w:txbxContent>
                  <w:p w14:paraId="0B178B6D"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5DBA" w14:textId="77777777" w:rsidR="00C31389" w:rsidRDefault="00561FBD">
    <w:pPr>
      <w:pStyle w:val="BodyText"/>
      <w:spacing w:line="14" w:lineRule="auto"/>
      <w:rPr>
        <w:sz w:val="20"/>
      </w:rPr>
    </w:pPr>
    <w:r>
      <w:rPr>
        <w:noProof/>
      </w:rPr>
      <w:drawing>
        <wp:anchor distT="0" distB="0" distL="0" distR="0" simplePos="0" relativeHeight="465553408" behindDoc="1" locked="0" layoutInCell="1" allowOverlap="1" wp14:anchorId="00EBF07E" wp14:editId="7675AFF7">
          <wp:simplePos x="0" y="0"/>
          <wp:positionH relativeFrom="page">
            <wp:posOffset>808481</wp:posOffset>
          </wp:positionH>
          <wp:positionV relativeFrom="page">
            <wp:posOffset>461010</wp:posOffset>
          </wp:positionV>
          <wp:extent cx="1257300" cy="420356"/>
          <wp:effectExtent l="0" t="0" r="0" b="0"/>
          <wp:wrapNone/>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53920" behindDoc="1" locked="0" layoutInCell="1" allowOverlap="1" wp14:anchorId="1BEC9EA7" wp14:editId="5F8F3EB6">
              <wp:simplePos x="0" y="0"/>
              <wp:positionH relativeFrom="page">
                <wp:posOffset>901700</wp:posOffset>
              </wp:positionH>
              <wp:positionV relativeFrom="page">
                <wp:posOffset>239691</wp:posOffset>
              </wp:positionV>
              <wp:extent cx="1256665" cy="139065"/>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46A4E9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BEC9EA7" id="_x0000_t202" coordsize="21600,21600" o:spt="202" path="m,l,21600r21600,l21600,xe">
              <v:stroke joinstyle="miter"/>
              <v:path gradientshapeok="t" o:connecttype="rect"/>
            </v:shapetype>
            <v:shape id="Textbox 783" o:spid="_x0000_s1360" type="#_x0000_t202" style="position:absolute;margin-left:71pt;margin-top:18.85pt;width:98.95pt;height:10.95pt;z-index:-377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Jv6kP6ZAQAA&#10;JAMAAA4AAAAAAAAAAAAAAAAALgIAAGRycy9lMm9Eb2MueG1sUEsBAi0AFAAGAAgAAAAhADyRPmXf&#10;AAAACQEAAA8AAAAAAAAAAAAAAAAA8wMAAGRycy9kb3ducmV2LnhtbFBLBQYAAAAABAAEAPMAAAD/&#10;BAAAAAA=&#10;" filled="f" stroked="f">
              <v:textbox inset="0,0,0,0">
                <w:txbxContent>
                  <w:p w14:paraId="746A4E9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54432" behindDoc="1" locked="0" layoutInCell="1" allowOverlap="1" wp14:anchorId="1565C85A" wp14:editId="7CC3DE50">
              <wp:simplePos x="0" y="0"/>
              <wp:positionH relativeFrom="page">
                <wp:posOffset>3410203</wp:posOffset>
              </wp:positionH>
              <wp:positionV relativeFrom="page">
                <wp:posOffset>661163</wp:posOffset>
              </wp:positionV>
              <wp:extent cx="3316604" cy="18161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3321FD5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1565C85A" id="Textbox 784" o:spid="_x0000_s1361" type="#_x0000_t202" style="position:absolute;margin-left:268.5pt;margin-top:52.05pt;width:261.15pt;height:14.3pt;z-index:-377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GNb1bGa&#10;AQAAJAMAAA4AAAAAAAAAAAAAAAAALgIAAGRycy9lMm9Eb2MueG1sUEsBAi0AFAAGAAgAAAAhAAt2&#10;GaHhAAAADAEAAA8AAAAAAAAAAAAAAAAA9AMAAGRycy9kb3ducmV2LnhtbFBLBQYAAAAABAAEAPMA&#10;AAACBQAAAAA=&#10;" filled="f" stroked="f">
              <v:textbox inset="0,0,0,0">
                <w:txbxContent>
                  <w:p w14:paraId="3321FD5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1D68" w14:textId="77777777" w:rsidR="00C31389" w:rsidRDefault="00561FBD">
    <w:pPr>
      <w:pStyle w:val="BodyText"/>
      <w:spacing w:line="14" w:lineRule="auto"/>
      <w:rPr>
        <w:sz w:val="20"/>
      </w:rPr>
    </w:pPr>
    <w:r>
      <w:rPr>
        <w:noProof/>
      </w:rPr>
      <w:drawing>
        <wp:anchor distT="0" distB="0" distL="0" distR="0" simplePos="0" relativeHeight="465428992" behindDoc="1" locked="0" layoutInCell="1" allowOverlap="1" wp14:anchorId="0075DD2B" wp14:editId="44B26F85">
          <wp:simplePos x="0" y="0"/>
          <wp:positionH relativeFrom="page">
            <wp:posOffset>914400</wp:posOffset>
          </wp:positionH>
          <wp:positionV relativeFrom="page">
            <wp:posOffset>461010</wp:posOffset>
          </wp:positionV>
          <wp:extent cx="1257300" cy="420356"/>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29504" behindDoc="1" locked="0" layoutInCell="1" allowOverlap="1" wp14:anchorId="0C6D244D" wp14:editId="52165AE3">
              <wp:simplePos x="0" y="0"/>
              <wp:positionH relativeFrom="page">
                <wp:posOffset>901700</wp:posOffset>
              </wp:positionH>
              <wp:positionV relativeFrom="page">
                <wp:posOffset>239691</wp:posOffset>
              </wp:positionV>
              <wp:extent cx="1256665"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C4C5DC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0C6D244D" id="_x0000_t202" coordsize="21600,21600" o:spt="202" path="m,l,21600r21600,l21600,xe">
              <v:stroke joinstyle="miter"/>
              <v:path gradientshapeok="t" o:connecttype="rect"/>
            </v:shapetype>
            <v:shape id="Textbox 44" o:spid="_x0000_s1228" type="#_x0000_t202" style="position:absolute;margin-left:71pt;margin-top:18.85pt;width:98.95pt;height:10.95pt;z-index:-378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DJmgzGWAQAAIwMA&#10;AA4AAAAAAAAAAAAAAAAALgIAAGRycy9lMm9Eb2MueG1sUEsBAi0AFAAGAAgAAAAhADyRPmXfAAAA&#10;CQEAAA8AAAAAAAAAAAAAAAAA8AMAAGRycy9kb3ducmV2LnhtbFBLBQYAAAAABAAEAPMAAAD8BAAA&#10;AAA=&#10;" filled="f" stroked="f">
              <v:textbox inset="0,0,0,0">
                <w:txbxContent>
                  <w:p w14:paraId="2C4C5DC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30016" behindDoc="1" locked="0" layoutInCell="1" allowOverlap="1" wp14:anchorId="3EA9AA28" wp14:editId="0DF18565">
              <wp:simplePos x="0" y="0"/>
              <wp:positionH relativeFrom="page">
                <wp:posOffset>3516121</wp:posOffset>
              </wp:positionH>
              <wp:positionV relativeFrom="page">
                <wp:posOffset>661163</wp:posOffset>
              </wp:positionV>
              <wp:extent cx="3316604" cy="1816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D78FAC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EA9AA28" id="Textbox 45" o:spid="_x0000_s1229" type="#_x0000_t202" style="position:absolute;margin-left:276.85pt;margin-top:52.05pt;width:261.15pt;height:14.3pt;z-index:-378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" filled="f" stroked="f">
              <v:textbox inset="0,0,0,0">
                <w:txbxContent>
                  <w:p w14:paraId="7D78FAC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BDC5" w14:textId="77777777" w:rsidR="00C31389" w:rsidRDefault="00561FBD">
    <w:pPr>
      <w:pStyle w:val="BodyText"/>
      <w:spacing w:line="14" w:lineRule="auto"/>
      <w:rPr>
        <w:sz w:val="20"/>
      </w:rPr>
    </w:pPr>
    <w:r>
      <w:rPr>
        <w:noProof/>
      </w:rPr>
      <w:drawing>
        <wp:anchor distT="0" distB="0" distL="0" distR="0" simplePos="0" relativeHeight="465555968" behindDoc="1" locked="0" layoutInCell="1" allowOverlap="1" wp14:anchorId="7DCCA047" wp14:editId="2E2DBA7B">
          <wp:simplePos x="0" y="0"/>
          <wp:positionH relativeFrom="page">
            <wp:posOffset>808481</wp:posOffset>
          </wp:positionH>
          <wp:positionV relativeFrom="page">
            <wp:posOffset>461010</wp:posOffset>
          </wp:positionV>
          <wp:extent cx="1257300" cy="420356"/>
          <wp:effectExtent l="0" t="0" r="0" b="0"/>
          <wp:wrapNone/>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56480" behindDoc="1" locked="0" layoutInCell="1" allowOverlap="1" wp14:anchorId="2B57CFBC" wp14:editId="62C92AF9">
              <wp:simplePos x="0" y="0"/>
              <wp:positionH relativeFrom="page">
                <wp:posOffset>901700</wp:posOffset>
              </wp:positionH>
              <wp:positionV relativeFrom="page">
                <wp:posOffset>239691</wp:posOffset>
              </wp:positionV>
              <wp:extent cx="1256665" cy="13906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411BEBC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B57CFBC" id="_x0000_t202" coordsize="21600,21600" o:spt="202" path="m,l,21600r21600,l21600,xe">
              <v:stroke joinstyle="miter"/>
              <v:path gradientshapeok="t" o:connecttype="rect"/>
            </v:shapetype>
            <v:shape id="Textbox 793" o:spid="_x0000_s1363" type="#_x0000_t202" style="position:absolute;margin-left:71pt;margin-top:18.85pt;width:98.95pt;height:10.95pt;z-index:-377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FKSZWyZAQAA&#10;JAMAAA4AAAAAAAAAAAAAAAAALgIAAGRycy9lMm9Eb2MueG1sUEsBAi0AFAAGAAgAAAAhADyRPmXf&#10;AAAACQEAAA8AAAAAAAAAAAAAAAAA8wMAAGRycy9kb3ducmV2LnhtbFBLBQYAAAAABAAEAPMAAAD/&#10;BAAAAAA=&#10;" filled="f" stroked="f">
              <v:textbox inset="0,0,0,0">
                <w:txbxContent>
                  <w:p w14:paraId="411BEBC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56992" behindDoc="1" locked="0" layoutInCell="1" allowOverlap="1" wp14:anchorId="5A827DD4" wp14:editId="5B221305">
              <wp:simplePos x="0" y="0"/>
              <wp:positionH relativeFrom="page">
                <wp:posOffset>3410203</wp:posOffset>
              </wp:positionH>
              <wp:positionV relativeFrom="page">
                <wp:posOffset>661163</wp:posOffset>
              </wp:positionV>
              <wp:extent cx="3316604" cy="181610"/>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102E86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A827DD4" id="Textbox 794" o:spid="_x0000_s1364" type="#_x0000_t202" style="position:absolute;margin-left:268.5pt;margin-top:52.05pt;width:261.15pt;height:14.3pt;z-index:-377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wyo/5pkB&#10;AAAkAwAADgAAAAAAAAAAAAAAAAAuAgAAZHJzL2Uyb0RvYy54bWxQSwECLQAUAAYACAAAACEAC3YZ&#10;oeEAAAAMAQAADwAAAAAAAAAAAAAAAADzAwAAZHJzL2Rvd25yZXYueG1sUEsFBgAAAAAEAAQA8wAA&#10;AAEFAAAAAA==&#10;" filled="f" stroked="f">
              <v:textbox inset="0,0,0,0">
                <w:txbxContent>
                  <w:p w14:paraId="4102E86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1C03" w14:textId="77777777" w:rsidR="00C31389" w:rsidRDefault="00561FBD">
    <w:pPr>
      <w:pStyle w:val="BodyText"/>
      <w:spacing w:line="14" w:lineRule="auto"/>
      <w:rPr>
        <w:sz w:val="20"/>
      </w:rPr>
    </w:pPr>
    <w:r>
      <w:rPr>
        <w:noProof/>
      </w:rPr>
      <w:drawing>
        <wp:anchor distT="0" distB="0" distL="0" distR="0" simplePos="0" relativeHeight="465558528" behindDoc="1" locked="0" layoutInCell="1" allowOverlap="1" wp14:anchorId="4F00FFCF" wp14:editId="746293A5">
          <wp:simplePos x="0" y="0"/>
          <wp:positionH relativeFrom="page">
            <wp:posOffset>808481</wp:posOffset>
          </wp:positionH>
          <wp:positionV relativeFrom="page">
            <wp:posOffset>461010</wp:posOffset>
          </wp:positionV>
          <wp:extent cx="1257300" cy="420356"/>
          <wp:effectExtent l="0" t="0" r="0" b="0"/>
          <wp:wrapNone/>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59040" behindDoc="1" locked="0" layoutInCell="1" allowOverlap="1" wp14:anchorId="04C70CEB" wp14:editId="63473D1B">
              <wp:simplePos x="0" y="0"/>
              <wp:positionH relativeFrom="page">
                <wp:posOffset>799338</wp:posOffset>
              </wp:positionH>
              <wp:positionV relativeFrom="page">
                <wp:posOffset>1042415</wp:posOffset>
              </wp:positionV>
              <wp:extent cx="5953125" cy="1270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7962B69" id="Graphic 800" o:spid="_x0000_s1026" style="position:absolute;margin-left:62.95pt;margin-top:82.1pt;width:468.75pt;height:1pt;z-index:-3775744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59552" behindDoc="1" locked="0" layoutInCell="1" allowOverlap="1" wp14:anchorId="3F001551" wp14:editId="013E9C78">
              <wp:simplePos x="0" y="0"/>
              <wp:positionH relativeFrom="page">
                <wp:posOffset>901700</wp:posOffset>
              </wp:positionH>
              <wp:positionV relativeFrom="page">
                <wp:posOffset>239691</wp:posOffset>
              </wp:positionV>
              <wp:extent cx="1256665" cy="13906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7B822D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F001551" id="_x0000_t202" coordsize="21600,21600" o:spt="202" path="m,l,21600r21600,l21600,xe">
              <v:stroke joinstyle="miter"/>
              <v:path gradientshapeok="t" o:connecttype="rect"/>
            </v:shapetype>
            <v:shape id="Textbox 801" o:spid="_x0000_s1366" type="#_x0000_t202" style="position:absolute;margin-left:71pt;margin-top:18.85pt;width:98.95pt;height:10.95pt;z-index:-377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At5ZsLlwEAACQD&#10;AAAOAAAAAAAAAAAAAAAAAC4CAABkcnMvZTJvRG9jLnhtbFBLAQItABQABgAIAAAAIQA8kT5l3wAA&#10;AAkBAAAPAAAAAAAAAAAAAAAAAPEDAABkcnMvZG93bnJldi54bWxQSwUGAAAAAAQABADzAAAA/QQA&#10;AAAA&#10;" filled="f" stroked="f">
              <v:textbox inset="0,0,0,0">
                <w:txbxContent>
                  <w:p w14:paraId="37B822D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60064" behindDoc="1" locked="0" layoutInCell="1" allowOverlap="1" wp14:anchorId="5A056B7A" wp14:editId="1CF916E4">
              <wp:simplePos x="0" y="0"/>
              <wp:positionH relativeFrom="page">
                <wp:posOffset>3410203</wp:posOffset>
              </wp:positionH>
              <wp:positionV relativeFrom="page">
                <wp:posOffset>661163</wp:posOffset>
              </wp:positionV>
              <wp:extent cx="3316604" cy="18161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D9420E8"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A056B7A" id="Textbox 802" o:spid="_x0000_s1367" type="#_x0000_t202" style="position:absolute;margin-left:268.5pt;margin-top:52.05pt;width:261.15pt;height:14.3pt;z-index:-377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1UTeRJkB&#10;AAAkAwAADgAAAAAAAAAAAAAAAAAuAgAAZHJzL2Uyb0RvYy54bWxQSwECLQAUAAYACAAAACEAC3YZ&#10;oeEAAAAMAQAADwAAAAAAAAAAAAAAAADzAwAAZHJzL2Rvd25yZXYueG1sUEsFBgAAAAAEAAQA8wAA&#10;AAEFAAAAAA==&#10;" filled="f" stroked="f">
              <v:textbox inset="0,0,0,0">
                <w:txbxContent>
                  <w:p w14:paraId="2D9420E8"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2ACA" w14:textId="77777777" w:rsidR="00C31389" w:rsidRDefault="00561FBD">
    <w:pPr>
      <w:pStyle w:val="BodyText"/>
      <w:spacing w:line="14" w:lineRule="auto"/>
      <w:rPr>
        <w:sz w:val="20"/>
      </w:rPr>
    </w:pPr>
    <w:r>
      <w:rPr>
        <w:noProof/>
      </w:rPr>
      <w:drawing>
        <wp:anchor distT="0" distB="0" distL="0" distR="0" simplePos="0" relativeHeight="465561600" behindDoc="1" locked="0" layoutInCell="1" allowOverlap="1" wp14:anchorId="3992BD5D" wp14:editId="4D7776E5">
          <wp:simplePos x="0" y="0"/>
          <wp:positionH relativeFrom="page">
            <wp:posOffset>808481</wp:posOffset>
          </wp:positionH>
          <wp:positionV relativeFrom="page">
            <wp:posOffset>461010</wp:posOffset>
          </wp:positionV>
          <wp:extent cx="1257300" cy="420356"/>
          <wp:effectExtent l="0" t="0" r="0" b="0"/>
          <wp:wrapNone/>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62112" behindDoc="1" locked="0" layoutInCell="1" allowOverlap="1" wp14:anchorId="7B190E6C" wp14:editId="0B4B4045">
              <wp:simplePos x="0" y="0"/>
              <wp:positionH relativeFrom="page">
                <wp:posOffset>901700</wp:posOffset>
              </wp:positionH>
              <wp:positionV relativeFrom="page">
                <wp:posOffset>239691</wp:posOffset>
              </wp:positionV>
              <wp:extent cx="1256665" cy="139065"/>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0F10A8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B190E6C" id="_x0000_t202" coordsize="21600,21600" o:spt="202" path="m,l,21600r21600,l21600,xe">
              <v:stroke joinstyle="miter"/>
              <v:path gradientshapeok="t" o:connecttype="rect"/>
            </v:shapetype>
            <v:shape id="Textbox 816" o:spid="_x0000_s1369" type="#_x0000_t202" style="position:absolute;margin-left:71pt;margin-top:18.85pt;width:98.95pt;height:10.95pt;z-index:-377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5I1umZgBAAAk&#10;AwAADgAAAAAAAAAAAAAAAAAuAgAAZHJzL2Uyb0RvYy54bWxQSwECLQAUAAYACAAAACEAPJE+Zd8A&#10;AAAJAQAADwAAAAAAAAAAAAAAAADyAwAAZHJzL2Rvd25yZXYueG1sUEsFBgAAAAAEAAQA8wAAAP4E&#10;AAAAAA==&#10;" filled="f" stroked="f">
              <v:textbox inset="0,0,0,0">
                <w:txbxContent>
                  <w:p w14:paraId="20F10A8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62624" behindDoc="1" locked="0" layoutInCell="1" allowOverlap="1" wp14:anchorId="60ED546E" wp14:editId="0BCCF71A">
              <wp:simplePos x="0" y="0"/>
              <wp:positionH relativeFrom="page">
                <wp:posOffset>3410203</wp:posOffset>
              </wp:positionH>
              <wp:positionV relativeFrom="page">
                <wp:posOffset>661163</wp:posOffset>
              </wp:positionV>
              <wp:extent cx="3316604" cy="18161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5039D0B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60ED546E" id="Textbox 817" o:spid="_x0000_s1370" type="#_x0000_t202" style="position:absolute;margin-left:268.5pt;margin-top:52.05pt;width:261.15pt;height:14.3pt;z-index:-377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M/7sCia&#10;AQAAJAMAAA4AAAAAAAAAAAAAAAAALgIAAGRycy9lMm9Eb2MueG1sUEsBAi0AFAAGAAgAAAAhAAt2&#10;GaHhAAAADAEAAA8AAAAAAAAAAAAAAAAA9AMAAGRycy9kb3ducmV2LnhtbFBLBQYAAAAABAAEAPMA&#10;AAACBQAAAAA=&#10;" filled="f" stroked="f">
              <v:textbox inset="0,0,0,0">
                <w:txbxContent>
                  <w:p w14:paraId="5039D0B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1594" w14:textId="77777777" w:rsidR="00C31389" w:rsidRDefault="00561FBD">
    <w:pPr>
      <w:pStyle w:val="BodyText"/>
      <w:spacing w:line="14" w:lineRule="auto"/>
      <w:rPr>
        <w:sz w:val="20"/>
      </w:rPr>
    </w:pPr>
    <w:r>
      <w:rPr>
        <w:noProof/>
      </w:rPr>
      <w:drawing>
        <wp:anchor distT="0" distB="0" distL="0" distR="0" simplePos="0" relativeHeight="465564160" behindDoc="1" locked="0" layoutInCell="1" allowOverlap="1" wp14:anchorId="647A5435" wp14:editId="43FD59A8">
          <wp:simplePos x="0" y="0"/>
          <wp:positionH relativeFrom="page">
            <wp:posOffset>808481</wp:posOffset>
          </wp:positionH>
          <wp:positionV relativeFrom="page">
            <wp:posOffset>461010</wp:posOffset>
          </wp:positionV>
          <wp:extent cx="1257300" cy="420356"/>
          <wp:effectExtent l="0" t="0" r="0" b="0"/>
          <wp:wrapNone/>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64672" behindDoc="1" locked="0" layoutInCell="1" allowOverlap="1" wp14:anchorId="69656B27" wp14:editId="72CCB14C">
              <wp:simplePos x="0" y="0"/>
              <wp:positionH relativeFrom="page">
                <wp:posOffset>799338</wp:posOffset>
              </wp:positionH>
              <wp:positionV relativeFrom="page">
                <wp:posOffset>1042415</wp:posOffset>
              </wp:positionV>
              <wp:extent cx="5953125" cy="1270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3B38D31" id="Graphic 827" o:spid="_x0000_s1026" style="position:absolute;margin-left:62.95pt;margin-top:82.1pt;width:468.75pt;height:1pt;z-index:-3775180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65184" behindDoc="1" locked="0" layoutInCell="1" allowOverlap="1" wp14:anchorId="31BAB3A9" wp14:editId="628B2865">
              <wp:simplePos x="0" y="0"/>
              <wp:positionH relativeFrom="page">
                <wp:posOffset>901700</wp:posOffset>
              </wp:positionH>
              <wp:positionV relativeFrom="page">
                <wp:posOffset>239691</wp:posOffset>
              </wp:positionV>
              <wp:extent cx="1256665" cy="13906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5325E1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31BAB3A9" id="_x0000_t202" coordsize="21600,21600" o:spt="202" path="m,l,21600r21600,l21600,xe">
              <v:stroke joinstyle="miter"/>
              <v:path gradientshapeok="t" o:connecttype="rect"/>
            </v:shapetype>
            <v:shape id="Textbox 828" o:spid="_x0000_s1372" type="#_x0000_t202" style="position:absolute;margin-left:71pt;margin-top:18.85pt;width:98.95pt;height:10.95pt;z-index:-377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D+MgD1lwEAACQD&#10;AAAOAAAAAAAAAAAAAAAAAC4CAABkcnMvZTJvRG9jLnhtbFBLAQItABQABgAIAAAAIQA8kT5l3wAA&#10;AAkBAAAPAAAAAAAAAAAAAAAAAPEDAABkcnMvZG93bnJldi54bWxQSwUGAAAAAAQABADzAAAA/QQA&#10;AAAA&#10;" filled="f" stroked="f">
              <v:textbox inset="0,0,0,0">
                <w:txbxContent>
                  <w:p w14:paraId="65325E1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65696" behindDoc="1" locked="0" layoutInCell="1" allowOverlap="1" wp14:anchorId="0F9987E8" wp14:editId="0FFF8143">
              <wp:simplePos x="0" y="0"/>
              <wp:positionH relativeFrom="page">
                <wp:posOffset>3410203</wp:posOffset>
              </wp:positionH>
              <wp:positionV relativeFrom="page">
                <wp:posOffset>661163</wp:posOffset>
              </wp:positionV>
              <wp:extent cx="3316604" cy="18161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302C54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F9987E8" id="Textbox 829" o:spid="_x0000_s1373" type="#_x0000_t202" style="position:absolute;margin-left:268.5pt;margin-top:52.05pt;width:261.15pt;height:14.3pt;z-index:-377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AaTRbqa&#10;AQAAJAMAAA4AAAAAAAAAAAAAAAAALgIAAGRycy9lMm9Eb2MueG1sUEsBAi0AFAAGAAgAAAAhAAt2&#10;GaHhAAAADAEAAA8AAAAAAAAAAAAAAAAA9AMAAGRycy9kb3ducmV2LnhtbFBLBQYAAAAABAAEAPMA&#10;AAACBQAAAAA=&#10;" filled="f" stroked="f">
              <v:textbox inset="0,0,0,0">
                <w:txbxContent>
                  <w:p w14:paraId="2302C546"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F612" w14:textId="77777777" w:rsidR="00C31389" w:rsidRDefault="00561FBD">
    <w:pPr>
      <w:pStyle w:val="BodyText"/>
      <w:spacing w:line="14" w:lineRule="auto"/>
      <w:rPr>
        <w:sz w:val="20"/>
      </w:rPr>
    </w:pPr>
    <w:r>
      <w:rPr>
        <w:noProof/>
      </w:rPr>
      <w:drawing>
        <wp:anchor distT="0" distB="0" distL="0" distR="0" simplePos="0" relativeHeight="465567232" behindDoc="1" locked="0" layoutInCell="1" allowOverlap="1" wp14:anchorId="4ACD407A" wp14:editId="3F2F6A1A">
          <wp:simplePos x="0" y="0"/>
          <wp:positionH relativeFrom="page">
            <wp:posOffset>808481</wp:posOffset>
          </wp:positionH>
          <wp:positionV relativeFrom="page">
            <wp:posOffset>461010</wp:posOffset>
          </wp:positionV>
          <wp:extent cx="1257300" cy="420356"/>
          <wp:effectExtent l="0" t="0" r="0" b="0"/>
          <wp:wrapNone/>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67744" behindDoc="1" locked="0" layoutInCell="1" allowOverlap="1" wp14:anchorId="190642DC" wp14:editId="203FBC7A">
              <wp:simplePos x="0" y="0"/>
              <wp:positionH relativeFrom="page">
                <wp:posOffset>901700</wp:posOffset>
              </wp:positionH>
              <wp:positionV relativeFrom="page">
                <wp:posOffset>239691</wp:posOffset>
              </wp:positionV>
              <wp:extent cx="1256665" cy="139065"/>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B31F39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90642DC" id="_x0000_t202" coordsize="21600,21600" o:spt="202" path="m,l,21600r21600,l21600,xe">
              <v:stroke joinstyle="miter"/>
              <v:path gradientshapeok="t" o:connecttype="rect"/>
            </v:shapetype>
            <v:shape id="Textbox 846" o:spid="_x0000_s1375" type="#_x0000_t202" style="position:absolute;margin-left:71pt;margin-top:18.85pt;width:98.95pt;height:10.95pt;z-index:-377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0POzQZgBAAAk&#10;AwAADgAAAAAAAAAAAAAAAAAuAgAAZHJzL2Uyb0RvYy54bWxQSwECLQAUAAYACAAAACEAPJE+Zd8A&#10;AAAJAQAADwAAAAAAAAAAAAAAAADyAwAAZHJzL2Rvd25yZXYueG1sUEsFBgAAAAAEAAQA8wAAAP4E&#10;AAAAAA==&#10;" filled="f" stroked="f">
              <v:textbox inset="0,0,0,0">
                <w:txbxContent>
                  <w:p w14:paraId="7B31F39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68256" behindDoc="1" locked="0" layoutInCell="1" allowOverlap="1" wp14:anchorId="482E63E5" wp14:editId="36BB1E49">
              <wp:simplePos x="0" y="0"/>
              <wp:positionH relativeFrom="page">
                <wp:posOffset>3410203</wp:posOffset>
              </wp:positionH>
              <wp:positionV relativeFrom="page">
                <wp:posOffset>661163</wp:posOffset>
              </wp:positionV>
              <wp:extent cx="3316604" cy="181610"/>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210343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82E63E5" id="Textbox 847" o:spid="_x0000_s1376" type="#_x0000_t202" style="position:absolute;margin-left:268.5pt;margin-top:52.05pt;width:261.15pt;height:14.3pt;z-index:-377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7hNY15kB&#10;AAAkAwAADgAAAAAAAAAAAAAAAAAuAgAAZHJzL2Uyb0RvYy54bWxQSwECLQAUAAYACAAAACEAC3YZ&#10;oeEAAAAMAQAADwAAAAAAAAAAAAAAAADzAwAAZHJzL2Rvd25yZXYueG1sUEsFBgAAAAAEAAQA8wAA&#10;AAEFAAAAAA==&#10;" filled="f" stroked="f">
              <v:textbox inset="0,0,0,0">
                <w:txbxContent>
                  <w:p w14:paraId="0210343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0843" w14:textId="77777777" w:rsidR="00C31389" w:rsidRDefault="00561FBD">
    <w:pPr>
      <w:pStyle w:val="BodyText"/>
      <w:spacing w:line="14" w:lineRule="auto"/>
      <w:rPr>
        <w:sz w:val="20"/>
      </w:rPr>
    </w:pPr>
    <w:r>
      <w:rPr>
        <w:noProof/>
      </w:rPr>
      <w:drawing>
        <wp:anchor distT="0" distB="0" distL="0" distR="0" simplePos="0" relativeHeight="465569792" behindDoc="1" locked="0" layoutInCell="1" allowOverlap="1" wp14:anchorId="7B1504D4" wp14:editId="70672715">
          <wp:simplePos x="0" y="0"/>
          <wp:positionH relativeFrom="page">
            <wp:posOffset>808481</wp:posOffset>
          </wp:positionH>
          <wp:positionV relativeFrom="page">
            <wp:posOffset>461010</wp:posOffset>
          </wp:positionV>
          <wp:extent cx="1257300" cy="420356"/>
          <wp:effectExtent l="0" t="0" r="0" b="0"/>
          <wp:wrapNone/>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70304" behindDoc="1" locked="0" layoutInCell="1" allowOverlap="1" wp14:anchorId="40534A63" wp14:editId="5659983F">
              <wp:simplePos x="0" y="0"/>
              <wp:positionH relativeFrom="page">
                <wp:posOffset>799338</wp:posOffset>
              </wp:positionH>
              <wp:positionV relativeFrom="page">
                <wp:posOffset>1042415</wp:posOffset>
              </wp:positionV>
              <wp:extent cx="5953125" cy="12700"/>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8F1E022" id="Graphic 854" o:spid="_x0000_s1026" style="position:absolute;margin-left:62.95pt;margin-top:82.1pt;width:468.75pt;height:1pt;z-index:-3774617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70816" behindDoc="1" locked="0" layoutInCell="1" allowOverlap="1" wp14:anchorId="46329263" wp14:editId="1D26B037">
              <wp:simplePos x="0" y="0"/>
              <wp:positionH relativeFrom="page">
                <wp:posOffset>901700</wp:posOffset>
              </wp:positionH>
              <wp:positionV relativeFrom="page">
                <wp:posOffset>239691</wp:posOffset>
              </wp:positionV>
              <wp:extent cx="1256665" cy="139065"/>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BB0D37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6329263" id="_x0000_t202" coordsize="21600,21600" o:spt="202" path="m,l,21600r21600,l21600,xe">
              <v:stroke joinstyle="miter"/>
              <v:path gradientshapeok="t" o:connecttype="rect"/>
            </v:shapetype>
            <v:shape id="Textbox 855" o:spid="_x0000_s1378" type="#_x0000_t202" style="position:absolute;margin-left:71pt;margin-top:18.85pt;width:98.95pt;height:10.95pt;z-index:-377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39roCpgBAAAk&#10;AwAADgAAAAAAAAAAAAAAAAAuAgAAZHJzL2Uyb0RvYy54bWxQSwECLQAUAAYACAAAACEAPJE+Zd8A&#10;AAAJAQAADwAAAAAAAAAAAAAAAADyAwAAZHJzL2Rvd25yZXYueG1sUEsFBgAAAAAEAAQA8wAAAP4E&#10;AAAAAA==&#10;" filled="f" stroked="f">
              <v:textbox inset="0,0,0,0">
                <w:txbxContent>
                  <w:p w14:paraId="3BB0D37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71328" behindDoc="1" locked="0" layoutInCell="1" allowOverlap="1" wp14:anchorId="7042F60F" wp14:editId="53E6939C">
              <wp:simplePos x="0" y="0"/>
              <wp:positionH relativeFrom="page">
                <wp:posOffset>3410203</wp:posOffset>
              </wp:positionH>
              <wp:positionV relativeFrom="page">
                <wp:posOffset>661163</wp:posOffset>
              </wp:positionV>
              <wp:extent cx="3316604" cy="181610"/>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37C04A5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042F60F" id="Textbox 856" o:spid="_x0000_s1379" type="#_x0000_t202" style="position:absolute;margin-left:268.5pt;margin-top:52.05pt;width:261.15pt;height:14.3pt;z-index:-377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J3utRZkB&#10;AAAkAwAADgAAAAAAAAAAAAAAAAAuAgAAZHJzL2Uyb0RvYy54bWxQSwECLQAUAAYACAAAACEAC3YZ&#10;oeEAAAAMAQAADwAAAAAAAAAAAAAAAADzAwAAZHJzL2Rvd25yZXYueG1sUEsFBgAAAAAEAAQA8wAA&#10;AAEFAAAAAA==&#10;" filled="f" stroked="f">
              <v:textbox inset="0,0,0,0">
                <w:txbxContent>
                  <w:p w14:paraId="37C04A54"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7E5C" w14:textId="77777777" w:rsidR="00C31389" w:rsidRDefault="00561FBD">
    <w:pPr>
      <w:pStyle w:val="BodyText"/>
      <w:spacing w:line="14" w:lineRule="auto"/>
      <w:rPr>
        <w:sz w:val="20"/>
      </w:rPr>
    </w:pPr>
    <w:r>
      <w:rPr>
        <w:noProof/>
      </w:rPr>
      <w:drawing>
        <wp:anchor distT="0" distB="0" distL="0" distR="0" simplePos="0" relativeHeight="465572864" behindDoc="1" locked="0" layoutInCell="1" allowOverlap="1" wp14:anchorId="153E5E85" wp14:editId="14BCCBC4">
          <wp:simplePos x="0" y="0"/>
          <wp:positionH relativeFrom="page">
            <wp:posOffset>808481</wp:posOffset>
          </wp:positionH>
          <wp:positionV relativeFrom="page">
            <wp:posOffset>461010</wp:posOffset>
          </wp:positionV>
          <wp:extent cx="1257300" cy="420356"/>
          <wp:effectExtent l="0" t="0" r="0" b="0"/>
          <wp:wrapNone/>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73376" behindDoc="1" locked="0" layoutInCell="1" allowOverlap="1" wp14:anchorId="29E1E191" wp14:editId="59973677">
              <wp:simplePos x="0" y="0"/>
              <wp:positionH relativeFrom="page">
                <wp:posOffset>901700</wp:posOffset>
              </wp:positionH>
              <wp:positionV relativeFrom="page">
                <wp:posOffset>239691</wp:posOffset>
              </wp:positionV>
              <wp:extent cx="1256665" cy="13906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51D6F5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9E1E191" id="_x0000_t202" coordsize="21600,21600" o:spt="202" path="m,l,21600r21600,l21600,xe">
              <v:stroke joinstyle="miter"/>
              <v:path gradientshapeok="t" o:connecttype="rect"/>
            </v:shapetype>
            <v:shape id="Textbox 863" o:spid="_x0000_s1381" type="#_x0000_t202" style="position:absolute;margin-left:71pt;margin-top:18.85pt;width:98.95pt;height:10.95pt;z-index:-377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FlgEAACQ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mPkM2w+20F3YjUjD7SV9POg0EgxfA7sWJ7+JcFLsrskmIYP&#10;UP5IFhXg3SGBdYXCDXemwKMoIuZvk2f9+7503T739hcA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EvV34WWAQAAJAMA&#10;AA4AAAAAAAAAAAAAAAAALgIAAGRycy9lMm9Eb2MueG1sUEsBAi0AFAAGAAgAAAAhADyRPmXfAAAA&#10;CQEAAA8AAAAAAAAAAAAAAAAA8AMAAGRycy9kb3ducmV2LnhtbFBLBQYAAAAABAAEAPMAAAD8BAAA&#10;AAA=&#10;" filled="f" stroked="f">
              <v:textbox inset="0,0,0,0">
                <w:txbxContent>
                  <w:p w14:paraId="351D6F5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73888" behindDoc="1" locked="0" layoutInCell="1" allowOverlap="1" wp14:anchorId="19115550" wp14:editId="4902AEFC">
              <wp:simplePos x="0" y="0"/>
              <wp:positionH relativeFrom="page">
                <wp:posOffset>3410203</wp:posOffset>
              </wp:positionH>
              <wp:positionV relativeFrom="page">
                <wp:posOffset>661163</wp:posOffset>
              </wp:positionV>
              <wp:extent cx="3316604" cy="181610"/>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C0FBC0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19115550" id="Textbox 864" o:spid="_x0000_s1382" type="#_x0000_t202" style="position:absolute;margin-left:268.5pt;margin-top:52.05pt;width:261.15pt;height:14.3pt;z-index:-377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PcTDKZkB&#10;AAAkAwAADgAAAAAAAAAAAAAAAAAuAgAAZHJzL2Uyb0RvYy54bWxQSwECLQAUAAYACAAAACEAC3YZ&#10;oeEAAAAMAQAADwAAAAAAAAAAAAAAAADzAwAAZHJzL2Rvd25yZXYueG1sUEsFBgAAAAAEAAQA8wAA&#10;AAEFAAAAAA==&#10;" filled="f" stroked="f">
              <v:textbox inset="0,0,0,0">
                <w:txbxContent>
                  <w:p w14:paraId="0C0FBC0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5907" w14:textId="77777777" w:rsidR="00C31389" w:rsidRDefault="00561FBD">
    <w:pPr>
      <w:pStyle w:val="BodyText"/>
      <w:spacing w:line="14" w:lineRule="auto"/>
      <w:rPr>
        <w:sz w:val="20"/>
      </w:rPr>
    </w:pPr>
    <w:r>
      <w:rPr>
        <w:noProof/>
      </w:rPr>
      <w:drawing>
        <wp:anchor distT="0" distB="0" distL="0" distR="0" simplePos="0" relativeHeight="465575424" behindDoc="1" locked="0" layoutInCell="1" allowOverlap="1" wp14:anchorId="7266BFFE" wp14:editId="6AE05B6C">
          <wp:simplePos x="0" y="0"/>
          <wp:positionH relativeFrom="page">
            <wp:posOffset>808481</wp:posOffset>
          </wp:positionH>
          <wp:positionV relativeFrom="page">
            <wp:posOffset>461010</wp:posOffset>
          </wp:positionV>
          <wp:extent cx="1257300" cy="420356"/>
          <wp:effectExtent l="0" t="0" r="0" b="0"/>
          <wp:wrapNone/>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75936" behindDoc="1" locked="0" layoutInCell="1" allowOverlap="1" wp14:anchorId="3C202AA8" wp14:editId="39114294">
              <wp:simplePos x="0" y="0"/>
              <wp:positionH relativeFrom="page">
                <wp:posOffset>799338</wp:posOffset>
              </wp:positionH>
              <wp:positionV relativeFrom="page">
                <wp:posOffset>1042415</wp:posOffset>
              </wp:positionV>
              <wp:extent cx="5953125" cy="12700"/>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0A95663" id="Graphic 868" o:spid="_x0000_s1026" style="position:absolute;margin-left:62.95pt;margin-top:82.1pt;width:468.75pt;height:1pt;z-index:-37740544;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76448" behindDoc="1" locked="0" layoutInCell="1" allowOverlap="1" wp14:anchorId="6633EF8C" wp14:editId="7179A825">
              <wp:simplePos x="0" y="0"/>
              <wp:positionH relativeFrom="page">
                <wp:posOffset>901700</wp:posOffset>
              </wp:positionH>
              <wp:positionV relativeFrom="page">
                <wp:posOffset>239691</wp:posOffset>
              </wp:positionV>
              <wp:extent cx="1256665" cy="139065"/>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1DD5FF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6633EF8C" id="_x0000_t202" coordsize="21600,21600" o:spt="202" path="m,l,21600r21600,l21600,xe">
              <v:stroke joinstyle="miter"/>
              <v:path gradientshapeok="t" o:connecttype="rect"/>
            </v:shapetype>
            <v:shape id="Textbox 869" o:spid="_x0000_s1384" type="#_x0000_t202" style="position:absolute;margin-left:71pt;margin-top:18.85pt;width:98.95pt;height:10.95pt;z-index:-377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66Q10pgBAAAk&#10;AwAADgAAAAAAAAAAAAAAAAAuAgAAZHJzL2Uyb0RvYy54bWxQSwECLQAUAAYACAAAACEAPJE+Zd8A&#10;AAAJAQAADwAAAAAAAAAAAAAAAADyAwAAZHJzL2Rvd25yZXYueG1sUEsFBgAAAAAEAAQA8wAAAP4E&#10;AAAAAA==&#10;" filled="f" stroked="f">
              <v:textbox inset="0,0,0,0">
                <w:txbxContent>
                  <w:p w14:paraId="11DD5FFF"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76960" behindDoc="1" locked="0" layoutInCell="1" allowOverlap="1" wp14:anchorId="63348EEC" wp14:editId="725BDAC2">
              <wp:simplePos x="0" y="0"/>
              <wp:positionH relativeFrom="page">
                <wp:posOffset>3410203</wp:posOffset>
              </wp:positionH>
              <wp:positionV relativeFrom="page">
                <wp:posOffset>661163</wp:posOffset>
              </wp:positionV>
              <wp:extent cx="3316604" cy="18161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65B41B5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63348EEC" id="Textbox 870" o:spid="_x0000_s1385" type="#_x0000_t202" style="position:absolute;margin-left:268.5pt;margin-top:52.05pt;width:261.15pt;height:14.3pt;z-index:-377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BMFcJ2a&#10;AQAAJAMAAA4AAAAAAAAAAAAAAAAALgIAAGRycy9lMm9Eb2MueG1sUEsBAi0AFAAGAAgAAAAhAAt2&#10;GaHhAAAADAEAAA8AAAAAAAAAAAAAAAAA9AMAAGRycy9kb3ducmV2LnhtbFBLBQYAAAAABAAEAPMA&#10;AAACBQAAAAA=&#10;" filled="f" stroked="f">
              <v:textbox inset="0,0,0,0">
                <w:txbxContent>
                  <w:p w14:paraId="65B41B5F"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7E22" w14:textId="77777777" w:rsidR="00C31389" w:rsidRDefault="00561FBD">
    <w:pPr>
      <w:pStyle w:val="BodyText"/>
      <w:spacing w:line="14" w:lineRule="auto"/>
      <w:rPr>
        <w:sz w:val="20"/>
      </w:rPr>
    </w:pPr>
    <w:r>
      <w:rPr>
        <w:noProof/>
      </w:rPr>
      <w:drawing>
        <wp:anchor distT="0" distB="0" distL="0" distR="0" simplePos="0" relativeHeight="465578496" behindDoc="1" locked="0" layoutInCell="1" allowOverlap="1" wp14:anchorId="012799C7" wp14:editId="6743294D">
          <wp:simplePos x="0" y="0"/>
          <wp:positionH relativeFrom="page">
            <wp:posOffset>808481</wp:posOffset>
          </wp:positionH>
          <wp:positionV relativeFrom="page">
            <wp:posOffset>461010</wp:posOffset>
          </wp:positionV>
          <wp:extent cx="1257300" cy="420356"/>
          <wp:effectExtent l="0" t="0" r="0" b="0"/>
          <wp:wrapNone/>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79008" behindDoc="1" locked="0" layoutInCell="1" allowOverlap="1" wp14:anchorId="16947027" wp14:editId="579F4CCD">
              <wp:simplePos x="0" y="0"/>
              <wp:positionH relativeFrom="page">
                <wp:posOffset>799338</wp:posOffset>
              </wp:positionH>
              <wp:positionV relativeFrom="page">
                <wp:posOffset>1042415</wp:posOffset>
              </wp:positionV>
              <wp:extent cx="5953125" cy="12700"/>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445B6B21" id="Graphic 875" o:spid="_x0000_s1026" style="position:absolute;margin-left:62.95pt;margin-top:82.1pt;width:468.75pt;height:1pt;z-index:-37737472;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79520" behindDoc="1" locked="0" layoutInCell="1" allowOverlap="1" wp14:anchorId="15523D00" wp14:editId="0EFAEB64">
              <wp:simplePos x="0" y="0"/>
              <wp:positionH relativeFrom="page">
                <wp:posOffset>901700</wp:posOffset>
              </wp:positionH>
              <wp:positionV relativeFrom="page">
                <wp:posOffset>239691</wp:posOffset>
              </wp:positionV>
              <wp:extent cx="1256665" cy="139065"/>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0491648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5523D00" id="_x0000_t202" coordsize="21600,21600" o:spt="202" path="m,l,21600r21600,l21600,xe">
              <v:stroke joinstyle="miter"/>
              <v:path gradientshapeok="t" o:connecttype="rect"/>
            </v:shapetype>
            <v:shape id="Textbox 876" o:spid="_x0000_s1387" type="#_x0000_t202" style="position:absolute;margin-left:71pt;margin-top:18.85pt;width:98.95pt;height:10.95pt;z-index:-377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RwlwEAACQ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xj51TLD5rMddCdWM/JAW0k/DwqNFMOnwI7l6V8SvCS7S4Jp&#10;eA/lj2RRAd4eElhXKNxwZwo8iiJi/jZ51r/vS9ftc29/AQ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D9ytRwlwEAACQD&#10;AAAOAAAAAAAAAAAAAAAAAC4CAABkcnMvZTJvRG9jLnhtbFBLAQItABQABgAIAAAAIQA8kT5l3wAA&#10;AAkBAAAPAAAAAAAAAAAAAAAAAPEDAABkcnMvZG93bnJldi54bWxQSwUGAAAAAAQABADzAAAA/QQA&#10;AAAA&#10;" filled="f" stroked="f">
              <v:textbox inset="0,0,0,0">
                <w:txbxContent>
                  <w:p w14:paraId="0491648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80032" behindDoc="1" locked="0" layoutInCell="1" allowOverlap="1" wp14:anchorId="4B250C42" wp14:editId="67540AE7">
              <wp:simplePos x="0" y="0"/>
              <wp:positionH relativeFrom="page">
                <wp:posOffset>3410203</wp:posOffset>
              </wp:positionH>
              <wp:positionV relativeFrom="page">
                <wp:posOffset>661163</wp:posOffset>
              </wp:positionV>
              <wp:extent cx="3316604" cy="18161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582C0FC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B250C42" id="Textbox 877" o:spid="_x0000_s1388" type="#_x0000_t202" style="position:absolute;margin-left:268.5pt;margin-top:52.05pt;width:261.15pt;height:14.3pt;z-index:-377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IvbyNya&#10;AQAAJAMAAA4AAAAAAAAAAAAAAAAALgIAAGRycy9lMm9Eb2MueG1sUEsBAi0AFAAGAAgAAAAhAAt2&#10;GaHhAAAADAEAAA8AAAAAAAAAAAAAAAAA9AMAAGRycy9kb3ducmV2LnhtbFBLBQYAAAAABAAEAPMA&#10;AAACBQAAAAA=&#10;" filled="f" stroked="f">
              <v:textbox inset="0,0,0,0">
                <w:txbxContent>
                  <w:p w14:paraId="582C0FC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8934" w14:textId="77777777" w:rsidR="00C31389" w:rsidRDefault="00561FBD">
    <w:pPr>
      <w:pStyle w:val="BodyText"/>
      <w:spacing w:line="14" w:lineRule="auto"/>
      <w:rPr>
        <w:sz w:val="20"/>
      </w:rPr>
    </w:pPr>
    <w:r>
      <w:rPr>
        <w:noProof/>
      </w:rPr>
      <w:drawing>
        <wp:anchor distT="0" distB="0" distL="0" distR="0" simplePos="0" relativeHeight="465581568" behindDoc="1" locked="0" layoutInCell="1" allowOverlap="1" wp14:anchorId="1EBD551D" wp14:editId="6076FEEB">
          <wp:simplePos x="0" y="0"/>
          <wp:positionH relativeFrom="page">
            <wp:posOffset>808481</wp:posOffset>
          </wp:positionH>
          <wp:positionV relativeFrom="page">
            <wp:posOffset>461010</wp:posOffset>
          </wp:positionV>
          <wp:extent cx="1257300" cy="420356"/>
          <wp:effectExtent l="0" t="0" r="0" b="0"/>
          <wp:wrapNone/>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82080" behindDoc="1" locked="0" layoutInCell="1" allowOverlap="1" wp14:anchorId="501E5EDA" wp14:editId="3829B719">
              <wp:simplePos x="0" y="0"/>
              <wp:positionH relativeFrom="page">
                <wp:posOffset>901700</wp:posOffset>
              </wp:positionH>
              <wp:positionV relativeFrom="page">
                <wp:posOffset>239691</wp:posOffset>
              </wp:positionV>
              <wp:extent cx="1256665" cy="139065"/>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0F31E5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01E5EDA" id="_x0000_t202" coordsize="21600,21600" o:spt="202" path="m,l,21600r21600,l21600,xe">
              <v:stroke joinstyle="miter"/>
              <v:path gradientshapeok="t" o:connecttype="rect"/>
            </v:shapetype>
            <v:shape id="Textbox 881" o:spid="_x0000_s1390" type="#_x0000_t202" style="position:absolute;margin-left:71pt;margin-top:18.85pt;width:98.95pt;height:10.95pt;z-index:-377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Od1uhyZAQAA&#10;JAMAAA4AAAAAAAAAAAAAAAAALgIAAGRycy9lMm9Eb2MueG1sUEsBAi0AFAAGAAgAAAAhADyRPmXf&#10;AAAACQEAAA8AAAAAAAAAAAAAAAAA8wMAAGRycy9kb3ducmV2LnhtbFBLBQYAAAAABAAEAPMAAAD/&#10;BAAAAAA=&#10;" filled="f" stroked="f">
              <v:textbox inset="0,0,0,0">
                <w:txbxContent>
                  <w:p w14:paraId="70F31E5D"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82592" behindDoc="1" locked="0" layoutInCell="1" allowOverlap="1" wp14:anchorId="3362151F" wp14:editId="54D11456">
              <wp:simplePos x="0" y="0"/>
              <wp:positionH relativeFrom="page">
                <wp:posOffset>3410203</wp:posOffset>
              </wp:positionH>
              <wp:positionV relativeFrom="page">
                <wp:posOffset>661163</wp:posOffset>
              </wp:positionV>
              <wp:extent cx="3316604" cy="181610"/>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FC9305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362151F" id="Textbox 882" o:spid="_x0000_s1391" type="#_x0000_t202" style="position:absolute;margin-left:268.5pt;margin-top:52.05pt;width:261.15pt;height:14.3pt;z-index:-3773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B/U/1Oa&#10;AQAAJAMAAA4AAAAAAAAAAAAAAAAALgIAAGRycy9lMm9Eb2MueG1sUEsBAi0AFAAGAAgAAAAhAAt2&#10;GaHhAAAADAEAAA8AAAAAAAAAAAAAAAAA9AMAAGRycy9kb3ducmV2LnhtbFBLBQYAAAAABAAEAPMA&#10;AAACBQAAAAA=&#10;" filled="f" stroked="f">
              <v:textbox inset="0,0,0,0">
                <w:txbxContent>
                  <w:p w14:paraId="7FC9305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4C9C" w14:textId="77777777" w:rsidR="00C31389" w:rsidRDefault="00561FBD">
    <w:pPr>
      <w:pStyle w:val="BodyText"/>
      <w:spacing w:line="14" w:lineRule="auto"/>
      <w:rPr>
        <w:sz w:val="20"/>
      </w:rPr>
    </w:pPr>
    <w:r>
      <w:rPr>
        <w:noProof/>
      </w:rPr>
      <w:drawing>
        <wp:anchor distT="0" distB="0" distL="0" distR="0" simplePos="0" relativeHeight="465431552" behindDoc="1" locked="0" layoutInCell="1" allowOverlap="1" wp14:anchorId="0F1E753B" wp14:editId="1E840026">
          <wp:simplePos x="0" y="0"/>
          <wp:positionH relativeFrom="page">
            <wp:posOffset>914400</wp:posOffset>
          </wp:positionH>
          <wp:positionV relativeFrom="page">
            <wp:posOffset>461010</wp:posOffset>
          </wp:positionV>
          <wp:extent cx="1257300" cy="420356"/>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32064" behindDoc="1" locked="0" layoutInCell="1" allowOverlap="1" wp14:anchorId="49066F9F" wp14:editId="16F4FAFC">
              <wp:simplePos x="0" y="0"/>
              <wp:positionH relativeFrom="page">
                <wp:posOffset>905256</wp:posOffset>
              </wp:positionH>
              <wp:positionV relativeFrom="page">
                <wp:posOffset>1042415</wp:posOffset>
              </wp:positionV>
              <wp:extent cx="5953125" cy="127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7E7A0A31" id="Graphic 51" o:spid="_x0000_s1026" style="position:absolute;margin-left:71.3pt;margin-top:82.1pt;width:468.75pt;height:1pt;z-index:-3788441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32576" behindDoc="1" locked="0" layoutInCell="1" allowOverlap="1" wp14:anchorId="4F4D4F51" wp14:editId="63E8B1FC">
              <wp:simplePos x="0" y="0"/>
              <wp:positionH relativeFrom="page">
                <wp:posOffset>901700</wp:posOffset>
              </wp:positionH>
              <wp:positionV relativeFrom="page">
                <wp:posOffset>239691</wp:posOffset>
              </wp:positionV>
              <wp:extent cx="1256665" cy="139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7BA40E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F4D4F51" id="_x0000_t202" coordsize="21600,21600" o:spt="202" path="m,l,21600r21600,l21600,xe">
              <v:stroke joinstyle="miter"/>
              <v:path gradientshapeok="t" o:connecttype="rect"/>
            </v:shapetype>
            <v:shape id="Textbox 52" o:spid="_x0000_s1231" type="#_x0000_t202" style="position:absolute;margin-left:71pt;margin-top:18.85pt;width:98.95pt;height:10.95pt;z-index:-378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S+lQEAACM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" filled="f" stroked="f">
              <v:textbox inset="0,0,0,0">
                <w:txbxContent>
                  <w:p w14:paraId="77BA40E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33088" behindDoc="1" locked="0" layoutInCell="1" allowOverlap="1" wp14:anchorId="71010F66" wp14:editId="50B8A9C0">
              <wp:simplePos x="0" y="0"/>
              <wp:positionH relativeFrom="page">
                <wp:posOffset>3516121</wp:posOffset>
              </wp:positionH>
              <wp:positionV relativeFrom="page">
                <wp:posOffset>661163</wp:posOffset>
              </wp:positionV>
              <wp:extent cx="3316604" cy="1816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5C90E43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1010F66" id="Textbox 53" o:spid="_x0000_s1232" type="#_x0000_t202" style="position:absolute;margin-left:276.85pt;margin-top:52.05pt;width:261.15pt;height:14.3pt;z-index:-378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" filled="f" stroked="f">
              <v:textbox inset="0,0,0,0">
                <w:txbxContent>
                  <w:p w14:paraId="5C90E43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BD5B" w14:textId="77777777" w:rsidR="00C31389" w:rsidRDefault="00561FBD">
    <w:pPr>
      <w:pStyle w:val="BodyText"/>
      <w:spacing w:line="14" w:lineRule="auto"/>
      <w:rPr>
        <w:sz w:val="20"/>
      </w:rPr>
    </w:pPr>
    <w:r>
      <w:rPr>
        <w:noProof/>
      </w:rPr>
      <w:drawing>
        <wp:anchor distT="0" distB="0" distL="0" distR="0" simplePos="0" relativeHeight="465584128" behindDoc="1" locked="0" layoutInCell="1" allowOverlap="1" wp14:anchorId="7B7EBCC3" wp14:editId="481C729C">
          <wp:simplePos x="0" y="0"/>
          <wp:positionH relativeFrom="page">
            <wp:posOffset>808481</wp:posOffset>
          </wp:positionH>
          <wp:positionV relativeFrom="page">
            <wp:posOffset>461010</wp:posOffset>
          </wp:positionV>
          <wp:extent cx="1257300" cy="420356"/>
          <wp:effectExtent l="0" t="0" r="0" b="0"/>
          <wp:wrapNone/>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84640" behindDoc="1" locked="0" layoutInCell="1" allowOverlap="1" wp14:anchorId="0665A890" wp14:editId="05004048">
              <wp:simplePos x="0" y="0"/>
              <wp:positionH relativeFrom="page">
                <wp:posOffset>901700</wp:posOffset>
              </wp:positionH>
              <wp:positionV relativeFrom="page">
                <wp:posOffset>239691</wp:posOffset>
              </wp:positionV>
              <wp:extent cx="1256665" cy="139065"/>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513CD9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0665A890" id="_x0000_t202" coordsize="21600,21600" o:spt="202" path="m,l,21600r21600,l21600,xe">
              <v:stroke joinstyle="miter"/>
              <v:path gradientshapeok="t" o:connecttype="rect"/>
            </v:shapetype>
            <v:shape id="Textbox 890" o:spid="_x0000_s1393" type="#_x0000_t202" style="position:absolute;margin-left:71pt;margin-top:18.85pt;width:98.95pt;height:10.95pt;z-index:-377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C4dT46ZAQAA&#10;JAMAAA4AAAAAAAAAAAAAAAAALgIAAGRycy9lMm9Eb2MueG1sUEsBAi0AFAAGAAgAAAAhADyRPmXf&#10;AAAACQEAAA8AAAAAAAAAAAAAAAAA8wMAAGRycy9kb3ducmV2LnhtbFBLBQYAAAAABAAEAPMAAAD/&#10;BAAAAAA=&#10;" filled="f" stroked="f">
              <v:textbox inset="0,0,0,0">
                <w:txbxContent>
                  <w:p w14:paraId="2513CD9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85152" behindDoc="1" locked="0" layoutInCell="1" allowOverlap="1" wp14:anchorId="75AEC4D2" wp14:editId="4CC1B51C">
              <wp:simplePos x="0" y="0"/>
              <wp:positionH relativeFrom="page">
                <wp:posOffset>3410203</wp:posOffset>
              </wp:positionH>
              <wp:positionV relativeFrom="page">
                <wp:posOffset>661163</wp:posOffset>
              </wp:positionV>
              <wp:extent cx="3316604" cy="18161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5F290BD"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5AEC4D2" id="Textbox 891" o:spid="_x0000_s1394" type="#_x0000_t202" style="position:absolute;margin-left:268.5pt;margin-top:52.05pt;width:261.15pt;height:14.3pt;z-index:-377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L+lFQSa&#10;AQAAJAMAAA4AAAAAAAAAAAAAAAAALgIAAGRycy9lMm9Eb2MueG1sUEsBAi0AFAAGAAgAAAAhAAt2&#10;GaHhAAAADAEAAA8AAAAAAAAAAAAAAAAA9AMAAGRycy9kb3ducmV2LnhtbFBLBQYAAAAABAAEAPMA&#10;AAACBQAAAAA=&#10;" filled="f" stroked="f">
              <v:textbox inset="0,0,0,0">
                <w:txbxContent>
                  <w:p w14:paraId="75F290BD"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0140" w14:textId="77777777" w:rsidR="00C31389" w:rsidRDefault="00561FBD">
    <w:pPr>
      <w:pStyle w:val="BodyText"/>
      <w:spacing w:line="14" w:lineRule="auto"/>
      <w:rPr>
        <w:sz w:val="20"/>
      </w:rPr>
    </w:pPr>
    <w:r>
      <w:rPr>
        <w:noProof/>
      </w:rPr>
      <w:drawing>
        <wp:anchor distT="0" distB="0" distL="0" distR="0" simplePos="0" relativeHeight="465586688" behindDoc="1" locked="0" layoutInCell="1" allowOverlap="1" wp14:anchorId="762AEAA1" wp14:editId="67781820">
          <wp:simplePos x="0" y="0"/>
          <wp:positionH relativeFrom="page">
            <wp:posOffset>808481</wp:posOffset>
          </wp:positionH>
          <wp:positionV relativeFrom="page">
            <wp:posOffset>461010</wp:posOffset>
          </wp:positionV>
          <wp:extent cx="1257300" cy="420356"/>
          <wp:effectExtent l="0" t="0" r="0" b="0"/>
          <wp:wrapNone/>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87200" behindDoc="1" locked="0" layoutInCell="1" allowOverlap="1" wp14:anchorId="0542645D" wp14:editId="5F10E401">
              <wp:simplePos x="0" y="0"/>
              <wp:positionH relativeFrom="page">
                <wp:posOffset>799338</wp:posOffset>
              </wp:positionH>
              <wp:positionV relativeFrom="page">
                <wp:posOffset>1042415</wp:posOffset>
              </wp:positionV>
              <wp:extent cx="5953125" cy="1270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F1FD97B" id="Graphic 898" o:spid="_x0000_s1026" style="position:absolute;margin-left:62.95pt;margin-top:82.1pt;width:468.75pt;height:1pt;z-index:-3772928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87712" behindDoc="1" locked="0" layoutInCell="1" allowOverlap="1" wp14:anchorId="2607D840" wp14:editId="15FFD995">
              <wp:simplePos x="0" y="0"/>
              <wp:positionH relativeFrom="page">
                <wp:posOffset>901700</wp:posOffset>
              </wp:positionH>
              <wp:positionV relativeFrom="page">
                <wp:posOffset>239691</wp:posOffset>
              </wp:positionV>
              <wp:extent cx="1256665" cy="13906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85447F3"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607D840" id="_x0000_t202" coordsize="21600,21600" o:spt="202" path="m,l,21600r21600,l21600,xe">
              <v:stroke joinstyle="miter"/>
              <v:path gradientshapeok="t" o:connecttype="rect"/>
            </v:shapetype>
            <v:shape id="Textbox 899" o:spid="_x0000_s1396" type="#_x0000_t202" style="position:absolute;margin-left:71pt;margin-top:18.85pt;width:98.95pt;height:10.95pt;z-index:-377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LSsGt2WAQAAJAMA&#10;AA4AAAAAAAAAAAAAAAAALgIAAGRycy9lMm9Eb2MueG1sUEsBAi0AFAAGAAgAAAAhADyRPmXfAAAA&#10;CQEAAA8AAAAAAAAAAAAAAAAA8AMAAGRycy9kb3ducmV2LnhtbFBLBQYAAAAABAAEAPMAAAD8BAAA&#10;AAA=&#10;" filled="f" stroked="f">
              <v:textbox inset="0,0,0,0">
                <w:txbxContent>
                  <w:p w14:paraId="285447F3"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88224" behindDoc="1" locked="0" layoutInCell="1" allowOverlap="1" wp14:anchorId="134AE3CD" wp14:editId="3B11EB91">
              <wp:simplePos x="0" y="0"/>
              <wp:positionH relativeFrom="page">
                <wp:posOffset>3410203</wp:posOffset>
              </wp:positionH>
              <wp:positionV relativeFrom="page">
                <wp:posOffset>661163</wp:posOffset>
              </wp:positionV>
              <wp:extent cx="3316604" cy="181610"/>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30B389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134AE3CD" id="Textbox 900" o:spid="_x0000_s1397" type="#_x0000_t202" style="position:absolute;margin-left:268.5pt;margin-top:52.05pt;width:261.15pt;height:14.3pt;z-index:-377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" filled="f" stroked="f">
              <v:textbox inset="0,0,0,0">
                <w:txbxContent>
                  <w:p w14:paraId="230B389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0FF3" w14:textId="77777777" w:rsidR="00C31389" w:rsidRDefault="00561FBD">
    <w:pPr>
      <w:pStyle w:val="BodyText"/>
      <w:spacing w:line="14" w:lineRule="auto"/>
      <w:rPr>
        <w:sz w:val="20"/>
      </w:rPr>
    </w:pPr>
    <w:r>
      <w:rPr>
        <w:noProof/>
      </w:rPr>
      <w:drawing>
        <wp:anchor distT="0" distB="0" distL="0" distR="0" simplePos="0" relativeHeight="465589760" behindDoc="1" locked="0" layoutInCell="1" allowOverlap="1" wp14:anchorId="29AF9236" wp14:editId="4F88F3BD">
          <wp:simplePos x="0" y="0"/>
          <wp:positionH relativeFrom="page">
            <wp:posOffset>808481</wp:posOffset>
          </wp:positionH>
          <wp:positionV relativeFrom="page">
            <wp:posOffset>461010</wp:posOffset>
          </wp:positionV>
          <wp:extent cx="1257300" cy="420356"/>
          <wp:effectExtent l="0" t="0" r="0" b="0"/>
          <wp:wrapNone/>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90272" behindDoc="1" locked="0" layoutInCell="1" allowOverlap="1" wp14:anchorId="53FB767F" wp14:editId="70FDC1FF">
              <wp:simplePos x="0" y="0"/>
              <wp:positionH relativeFrom="page">
                <wp:posOffset>799338</wp:posOffset>
              </wp:positionH>
              <wp:positionV relativeFrom="page">
                <wp:posOffset>1042415</wp:posOffset>
              </wp:positionV>
              <wp:extent cx="5953125" cy="1270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120753CD" id="Graphic 904" o:spid="_x0000_s1026" style="position:absolute;margin-left:62.95pt;margin-top:82.1pt;width:468.75pt;height:1pt;z-index:-3772620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90784" behindDoc="1" locked="0" layoutInCell="1" allowOverlap="1" wp14:anchorId="52084800" wp14:editId="22BF054A">
              <wp:simplePos x="0" y="0"/>
              <wp:positionH relativeFrom="page">
                <wp:posOffset>901700</wp:posOffset>
              </wp:positionH>
              <wp:positionV relativeFrom="page">
                <wp:posOffset>239691</wp:posOffset>
              </wp:positionV>
              <wp:extent cx="1256665" cy="13906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B85DF99"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2084800" id="_x0000_t202" coordsize="21600,21600" o:spt="202" path="m,l,21600r21600,l21600,xe">
              <v:stroke joinstyle="miter"/>
              <v:path gradientshapeok="t" o:connecttype="rect"/>
            </v:shapetype>
            <v:shape id="Textbox 905" o:spid="_x0000_s1399" type="#_x0000_t202" style="position:absolute;margin-left:71pt;margin-top:18.85pt;width:98.95pt;height:10.95pt;z-index:-377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H3E70+ZAQAA&#10;JAMAAA4AAAAAAAAAAAAAAAAALgIAAGRycy9lMm9Eb2MueG1sUEsBAi0AFAAGAAgAAAAhADyRPmXf&#10;AAAACQEAAA8AAAAAAAAAAAAAAAAA8wMAAGRycy9kb3ducmV2LnhtbFBLBQYAAAAABAAEAPMAAAD/&#10;BAAAAAA=&#10;" filled="f" stroked="f">
              <v:textbox inset="0,0,0,0">
                <w:txbxContent>
                  <w:p w14:paraId="7B85DF99"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91296" behindDoc="1" locked="0" layoutInCell="1" allowOverlap="1" wp14:anchorId="153AA0D5" wp14:editId="0538C0A8">
              <wp:simplePos x="0" y="0"/>
              <wp:positionH relativeFrom="page">
                <wp:posOffset>3410203</wp:posOffset>
              </wp:positionH>
              <wp:positionV relativeFrom="page">
                <wp:posOffset>661163</wp:posOffset>
              </wp:positionV>
              <wp:extent cx="3316604" cy="18161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7EE303AA"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153AA0D5" id="Textbox 906" o:spid="_x0000_s1400" type="#_x0000_t202" style="position:absolute;margin-left:268.5pt;margin-top:52.05pt;width:261.15pt;height:14.3pt;z-index:-377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VrIx/pkB&#10;AAAkAwAADgAAAAAAAAAAAAAAAAAuAgAAZHJzL2Uyb0RvYy54bWxQSwECLQAUAAYACAAAACEAC3YZ&#10;oeEAAAAMAQAADwAAAAAAAAAAAAAAAADzAwAAZHJzL2Rvd25yZXYueG1sUEsFBgAAAAAEAAQA8wAA&#10;AAEFAAAAAA==&#10;" filled="f" stroked="f">
              <v:textbox inset="0,0,0,0">
                <w:txbxContent>
                  <w:p w14:paraId="7EE303AA"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21FE" w14:textId="77777777" w:rsidR="00C31389" w:rsidRDefault="00561FBD">
    <w:pPr>
      <w:pStyle w:val="BodyText"/>
      <w:spacing w:line="14" w:lineRule="auto"/>
      <w:rPr>
        <w:sz w:val="20"/>
      </w:rPr>
    </w:pPr>
    <w:r>
      <w:rPr>
        <w:noProof/>
      </w:rPr>
      <w:drawing>
        <wp:anchor distT="0" distB="0" distL="0" distR="0" simplePos="0" relativeHeight="465592832" behindDoc="1" locked="0" layoutInCell="1" allowOverlap="1" wp14:anchorId="6AC42965" wp14:editId="0274EF8C">
          <wp:simplePos x="0" y="0"/>
          <wp:positionH relativeFrom="page">
            <wp:posOffset>808481</wp:posOffset>
          </wp:positionH>
          <wp:positionV relativeFrom="page">
            <wp:posOffset>461010</wp:posOffset>
          </wp:positionV>
          <wp:extent cx="1257300" cy="420356"/>
          <wp:effectExtent l="0" t="0" r="0" b="0"/>
          <wp:wrapNone/>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93344" behindDoc="1" locked="0" layoutInCell="1" allowOverlap="1" wp14:anchorId="5B1677E5" wp14:editId="08026237">
              <wp:simplePos x="0" y="0"/>
              <wp:positionH relativeFrom="page">
                <wp:posOffset>901700</wp:posOffset>
              </wp:positionH>
              <wp:positionV relativeFrom="page">
                <wp:posOffset>239691</wp:posOffset>
              </wp:positionV>
              <wp:extent cx="1256665" cy="139065"/>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37C4C0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B1677E5" id="_x0000_t202" coordsize="21600,21600" o:spt="202" path="m,l,21600r21600,l21600,xe">
              <v:stroke joinstyle="miter"/>
              <v:path gradientshapeok="t" o:connecttype="rect"/>
            </v:shapetype>
            <v:shape id="Textbox 914" o:spid="_x0000_s1402" type="#_x0000_t202" style="position:absolute;margin-left:71pt;margin-top:18.85pt;width:98.95pt;height:10.95pt;z-index:-377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Z3uBI5gBAAAk&#10;AwAADgAAAAAAAAAAAAAAAAAuAgAAZHJzL2Uyb0RvYy54bWxQSwECLQAUAAYACAAAACEAPJE+Zd8A&#10;AAAJAQAADwAAAAAAAAAAAAAAAADyAwAAZHJzL2Rvd25yZXYueG1sUEsFBgAAAAAEAAQA8wAAAP4E&#10;AAAAAA==&#10;" filled="f" stroked="f">
              <v:textbox inset="0,0,0,0">
                <w:txbxContent>
                  <w:p w14:paraId="137C4C0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93856" behindDoc="1" locked="0" layoutInCell="1" allowOverlap="1" wp14:anchorId="5E7E902D" wp14:editId="386DF107">
              <wp:simplePos x="0" y="0"/>
              <wp:positionH relativeFrom="page">
                <wp:posOffset>3410203</wp:posOffset>
              </wp:positionH>
              <wp:positionV relativeFrom="page">
                <wp:posOffset>661163</wp:posOffset>
              </wp:positionV>
              <wp:extent cx="3316604" cy="181610"/>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38F61A6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E7E902D" id="Textbox 915" o:spid="_x0000_s1403" type="#_x0000_t202" style="position:absolute;margin-left:268.5pt;margin-top:52.05pt;width:261.15pt;height:14.3pt;z-index:-377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n9rEbJkB&#10;AAAkAwAADgAAAAAAAAAAAAAAAAAuAgAAZHJzL2Uyb0RvYy54bWxQSwECLQAUAAYACAAAACEAC3YZ&#10;oeEAAAAMAQAADwAAAAAAAAAAAAAAAADzAwAAZHJzL2Rvd25yZXYueG1sUEsFBgAAAAAEAAQA8wAA&#10;AAEFAAAAAA==&#10;" filled="f" stroked="f">
              <v:textbox inset="0,0,0,0">
                <w:txbxContent>
                  <w:p w14:paraId="38F61A6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3004" w14:textId="77777777" w:rsidR="00C31389" w:rsidRDefault="00561FBD">
    <w:pPr>
      <w:pStyle w:val="BodyText"/>
      <w:spacing w:line="14" w:lineRule="auto"/>
      <w:rPr>
        <w:sz w:val="20"/>
      </w:rPr>
    </w:pPr>
    <w:r>
      <w:rPr>
        <w:noProof/>
      </w:rPr>
      <w:drawing>
        <wp:anchor distT="0" distB="0" distL="0" distR="0" simplePos="0" relativeHeight="465595392" behindDoc="1" locked="0" layoutInCell="1" allowOverlap="1" wp14:anchorId="1FA86A72" wp14:editId="1B08571B">
          <wp:simplePos x="0" y="0"/>
          <wp:positionH relativeFrom="page">
            <wp:posOffset>808481</wp:posOffset>
          </wp:positionH>
          <wp:positionV relativeFrom="page">
            <wp:posOffset>461010</wp:posOffset>
          </wp:positionV>
          <wp:extent cx="1257300" cy="420356"/>
          <wp:effectExtent l="0" t="0" r="0" b="0"/>
          <wp:wrapNone/>
          <wp:docPr id="920"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95904" behindDoc="1" locked="0" layoutInCell="1" allowOverlap="1" wp14:anchorId="2A02696C" wp14:editId="39931A11">
              <wp:simplePos x="0" y="0"/>
              <wp:positionH relativeFrom="page">
                <wp:posOffset>799338</wp:posOffset>
              </wp:positionH>
              <wp:positionV relativeFrom="page">
                <wp:posOffset>1042415</wp:posOffset>
              </wp:positionV>
              <wp:extent cx="5953125" cy="12700"/>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86A0828" id="Graphic 921" o:spid="_x0000_s1026" style="position:absolute;margin-left:62.95pt;margin-top:82.1pt;width:468.75pt;height:1pt;z-index:-3772057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596416" behindDoc="1" locked="0" layoutInCell="1" allowOverlap="1" wp14:anchorId="5B5BE31A" wp14:editId="6F244FFB">
              <wp:simplePos x="0" y="0"/>
              <wp:positionH relativeFrom="page">
                <wp:posOffset>901700</wp:posOffset>
              </wp:positionH>
              <wp:positionV relativeFrom="page">
                <wp:posOffset>239691</wp:posOffset>
              </wp:positionV>
              <wp:extent cx="1256665" cy="139065"/>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73EB8B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B5BE31A" id="_x0000_t202" coordsize="21600,21600" o:spt="202" path="m,l,21600r21600,l21600,xe">
              <v:stroke joinstyle="miter"/>
              <v:path gradientshapeok="t" o:connecttype="rect"/>
            </v:shapetype>
            <v:shape id="Textbox 922" o:spid="_x0000_s1405" type="#_x0000_t202" style="position:absolute;margin-left:71pt;margin-top:18.85pt;width:98.95pt;height:10.95pt;z-index:-377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Em6MpeZAQAA&#10;JAMAAA4AAAAAAAAAAAAAAAAALgIAAGRycy9lMm9Eb2MueG1sUEsBAi0AFAAGAAgAAAAhADyRPmXf&#10;AAAACQEAAA8AAAAAAAAAAAAAAAAA8wMAAGRycy9kb3ducmV2LnhtbFBLBQYAAAAABAAEAPMAAAD/&#10;BAAAAAA=&#10;" filled="f" stroked="f">
              <v:textbox inset="0,0,0,0">
                <w:txbxContent>
                  <w:p w14:paraId="773EB8B2"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96928" behindDoc="1" locked="0" layoutInCell="1" allowOverlap="1" wp14:anchorId="5F1D53D5" wp14:editId="0325F1C4">
              <wp:simplePos x="0" y="0"/>
              <wp:positionH relativeFrom="page">
                <wp:posOffset>3410203</wp:posOffset>
              </wp:positionH>
              <wp:positionV relativeFrom="page">
                <wp:posOffset>661163</wp:posOffset>
              </wp:positionV>
              <wp:extent cx="3316604" cy="181610"/>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347351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F1D53D5" id="Textbox 923" o:spid="_x0000_s1406" type="#_x0000_t202" style="position:absolute;margin-left:268.5pt;margin-top:52.05pt;width:261.15pt;height:14.3pt;z-index:-377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" filled="f" stroked="f">
              <v:textbox inset="0,0,0,0">
                <w:txbxContent>
                  <w:p w14:paraId="1347351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BE5F" w14:textId="77777777" w:rsidR="00C31389" w:rsidRDefault="00561FBD">
    <w:pPr>
      <w:pStyle w:val="BodyText"/>
      <w:spacing w:line="14" w:lineRule="auto"/>
      <w:rPr>
        <w:sz w:val="20"/>
      </w:rPr>
    </w:pPr>
    <w:r>
      <w:rPr>
        <w:noProof/>
      </w:rPr>
      <w:drawing>
        <wp:anchor distT="0" distB="0" distL="0" distR="0" simplePos="0" relativeHeight="465598464" behindDoc="1" locked="0" layoutInCell="1" allowOverlap="1" wp14:anchorId="1301185D" wp14:editId="2C105365">
          <wp:simplePos x="0" y="0"/>
          <wp:positionH relativeFrom="page">
            <wp:posOffset>808481</wp:posOffset>
          </wp:positionH>
          <wp:positionV relativeFrom="page">
            <wp:posOffset>461010</wp:posOffset>
          </wp:positionV>
          <wp:extent cx="1257300" cy="420356"/>
          <wp:effectExtent l="0" t="0" r="0" b="0"/>
          <wp:wrapNone/>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598976" behindDoc="1" locked="0" layoutInCell="1" allowOverlap="1" wp14:anchorId="095C1898" wp14:editId="2D283CF6">
              <wp:simplePos x="0" y="0"/>
              <wp:positionH relativeFrom="page">
                <wp:posOffset>901700</wp:posOffset>
              </wp:positionH>
              <wp:positionV relativeFrom="page">
                <wp:posOffset>239691</wp:posOffset>
              </wp:positionV>
              <wp:extent cx="1256665" cy="139065"/>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0B03F04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095C1898" id="_x0000_t202" coordsize="21600,21600" o:spt="202" path="m,l,21600r21600,l21600,xe">
              <v:stroke joinstyle="miter"/>
              <v:path gradientshapeok="t" o:connecttype="rect"/>
            </v:shapetype>
            <v:shape id="Textbox 934" o:spid="_x0000_s1408" type="#_x0000_t202" style="position:absolute;margin-left:71pt;margin-top:18.85pt;width:98.95pt;height:10.95pt;z-index:-377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rWlwEAACQDAAAOAAAAZHJzL2Uyb0RvYy54bWysUsGO0zAQvSPxD5bvNGnRVmz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u1uv1nRSaa8vX9zXnGfR2OyKljwa8yEkr&#10;kedVGKjjE6Vz66VlJnN+PzNJ024SrmPk+1WGzWc76E6sZuSBtpJ+HhQaKYZPgR3L078keEl2lwTT&#10;8B7KH8miArw9JLCuULjhzhR4FEXE/G3yrH/fl67b597+Ag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DRZIrWlwEAACQD&#10;AAAOAAAAAAAAAAAAAAAAAC4CAABkcnMvZTJvRG9jLnhtbFBLAQItABQABgAIAAAAIQA8kT5l3wAA&#10;AAkBAAAPAAAAAAAAAAAAAAAAAPEDAABkcnMvZG93bnJldi54bWxQSwUGAAAAAAQABADzAAAA/QQA&#10;AAAA&#10;" filled="f" stroked="f">
              <v:textbox inset="0,0,0,0">
                <w:txbxContent>
                  <w:p w14:paraId="0B03F04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599488" behindDoc="1" locked="0" layoutInCell="1" allowOverlap="1" wp14:anchorId="7BB7769D" wp14:editId="484E6FA7">
              <wp:simplePos x="0" y="0"/>
              <wp:positionH relativeFrom="page">
                <wp:posOffset>3410203</wp:posOffset>
              </wp:positionH>
              <wp:positionV relativeFrom="page">
                <wp:posOffset>661163</wp:posOffset>
              </wp:positionV>
              <wp:extent cx="3316604" cy="181610"/>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103F0E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BB7769D" id="Textbox 935" o:spid="_x0000_s1409" type="#_x0000_t202" style="position:absolute;margin-left:268.5pt;margin-top:52.05pt;width:261.15pt;height:14.3pt;z-index:-377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CnFz5ma&#10;AQAAJAMAAA4AAAAAAAAAAAAAAAAALgIAAGRycy9lMm9Eb2MueG1sUEsBAi0AFAAGAAgAAAAhAAt2&#10;GaHhAAAADAEAAA8AAAAAAAAAAAAAAAAA9AMAAGRycy9kb3ducmV2LnhtbFBLBQYAAAAABAAEAPMA&#10;AAACBQAAAAA=&#10;" filled="f" stroked="f">
              <v:textbox inset="0,0,0,0">
                <w:txbxContent>
                  <w:p w14:paraId="2103F0E3"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FA0F" w14:textId="77777777" w:rsidR="00C31389" w:rsidRDefault="00561FBD">
    <w:pPr>
      <w:pStyle w:val="BodyText"/>
      <w:spacing w:line="14" w:lineRule="auto"/>
      <w:rPr>
        <w:sz w:val="20"/>
      </w:rPr>
    </w:pPr>
    <w:r>
      <w:rPr>
        <w:noProof/>
      </w:rPr>
      <w:drawing>
        <wp:anchor distT="0" distB="0" distL="0" distR="0" simplePos="0" relativeHeight="465601024" behindDoc="1" locked="0" layoutInCell="1" allowOverlap="1" wp14:anchorId="09867D37" wp14:editId="077E567D">
          <wp:simplePos x="0" y="0"/>
          <wp:positionH relativeFrom="page">
            <wp:posOffset>808481</wp:posOffset>
          </wp:positionH>
          <wp:positionV relativeFrom="page">
            <wp:posOffset>461010</wp:posOffset>
          </wp:positionV>
          <wp:extent cx="1257300" cy="420356"/>
          <wp:effectExtent l="0" t="0" r="0" b="0"/>
          <wp:wrapNone/>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01536" behindDoc="1" locked="0" layoutInCell="1" allowOverlap="1" wp14:anchorId="14C8B308" wp14:editId="72890787">
              <wp:simplePos x="0" y="0"/>
              <wp:positionH relativeFrom="page">
                <wp:posOffset>799338</wp:posOffset>
              </wp:positionH>
              <wp:positionV relativeFrom="page">
                <wp:posOffset>1042415</wp:posOffset>
              </wp:positionV>
              <wp:extent cx="5953125" cy="12700"/>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33908955" id="Graphic 945" o:spid="_x0000_s1026" style="position:absolute;margin-left:62.95pt;margin-top:82.1pt;width:468.75pt;height:1pt;z-index:-37714944;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602048" behindDoc="1" locked="0" layoutInCell="1" allowOverlap="1" wp14:anchorId="0DF2CD24" wp14:editId="36B4A4BD">
              <wp:simplePos x="0" y="0"/>
              <wp:positionH relativeFrom="page">
                <wp:posOffset>901700</wp:posOffset>
              </wp:positionH>
              <wp:positionV relativeFrom="page">
                <wp:posOffset>239691</wp:posOffset>
              </wp:positionV>
              <wp:extent cx="1256665" cy="139065"/>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CB8A47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0DF2CD24" id="_x0000_t202" coordsize="21600,21600" o:spt="202" path="m,l,21600r21600,l21600,xe">
              <v:stroke joinstyle="miter"/>
              <v:path gradientshapeok="t" o:connecttype="rect"/>
            </v:shapetype>
            <v:shape id="Textbox 946" o:spid="_x0000_s1411" type="#_x0000_t202" style="position:absolute;margin-left:71pt;margin-top:18.85pt;width:98.95pt;height:10.95pt;z-index:-377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1ZlgEAACQDAAAOAAAAZHJzL2Uyb0RvYy54bWysUsGO0zAQvSPxD5bvNGnRVmz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u1uv1nRSaa8vX9zXnGfR2OyKljwa8yEkr&#10;kedVGKjjE6Vz66VlJnN+PzNJ024SrmPk+wKbz3bQnVjNyANtJf08KDRSDJ8CO5anf0nwkuwuCabh&#10;PZQ/kkUFeHtIYF2hcMOdKfAoioj52+RZ/74vXbfPvf0F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EVrvVmWAQAAJAMA&#10;AA4AAAAAAAAAAAAAAAAALgIAAGRycy9lMm9Eb2MueG1sUEsBAi0AFAAGAAgAAAAhADyRPmXfAAAA&#10;CQEAAA8AAAAAAAAAAAAAAAAA8AMAAGRycy9kb3ducmV2LnhtbFBLBQYAAAAABAAEAPMAAAD8BAAA&#10;AAA=&#10;" filled="f" stroked="f">
              <v:textbox inset="0,0,0,0">
                <w:txbxContent>
                  <w:p w14:paraId="6CB8A47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02560" behindDoc="1" locked="0" layoutInCell="1" allowOverlap="1" wp14:anchorId="4B20A526" wp14:editId="3E6C8F60">
              <wp:simplePos x="0" y="0"/>
              <wp:positionH relativeFrom="page">
                <wp:posOffset>3410203</wp:posOffset>
              </wp:positionH>
              <wp:positionV relativeFrom="page">
                <wp:posOffset>661163</wp:posOffset>
              </wp:positionV>
              <wp:extent cx="3316604" cy="181610"/>
              <wp:effectExtent l="0" t="0" r="0" b="0"/>
              <wp:wrapNone/>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2F8B94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B20A526" id="Textbox 947" o:spid="_x0000_s1412" type="#_x0000_t202" style="position:absolute;margin-left:268.5pt;margin-top:52.05pt;width:261.15pt;height:14.3pt;z-index:-377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DN6ofWa&#10;AQAAJAMAAA4AAAAAAAAAAAAAAAAALgIAAGRycy9lMm9Eb2MueG1sUEsBAi0AFAAGAAgAAAAhAAt2&#10;GaHhAAAADAEAAA8AAAAAAAAAAAAAAAAA9AMAAGRycy9kb3ducmV2LnhtbFBLBQYAAAAABAAEAPMA&#10;AAACBQAAAAA=&#10;" filled="f" stroked="f">
              <v:textbox inset="0,0,0,0">
                <w:txbxContent>
                  <w:p w14:paraId="12F8B94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A8E0" w14:textId="77777777" w:rsidR="00C31389" w:rsidRDefault="00561FBD">
    <w:pPr>
      <w:pStyle w:val="BodyText"/>
      <w:spacing w:line="14" w:lineRule="auto"/>
      <w:rPr>
        <w:sz w:val="20"/>
      </w:rPr>
    </w:pPr>
    <w:r>
      <w:rPr>
        <w:noProof/>
      </w:rPr>
      <w:drawing>
        <wp:anchor distT="0" distB="0" distL="0" distR="0" simplePos="0" relativeHeight="465604096" behindDoc="1" locked="0" layoutInCell="1" allowOverlap="1" wp14:anchorId="2457DC5F" wp14:editId="59ADF957">
          <wp:simplePos x="0" y="0"/>
          <wp:positionH relativeFrom="page">
            <wp:posOffset>808481</wp:posOffset>
          </wp:positionH>
          <wp:positionV relativeFrom="page">
            <wp:posOffset>461010</wp:posOffset>
          </wp:positionV>
          <wp:extent cx="1257300" cy="420356"/>
          <wp:effectExtent l="0" t="0" r="0" b="0"/>
          <wp:wrapNone/>
          <wp:docPr id="950" name="Imag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0" name="Image 95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04608" behindDoc="1" locked="0" layoutInCell="1" allowOverlap="1" wp14:anchorId="02435FF1" wp14:editId="6DC45227">
              <wp:simplePos x="0" y="0"/>
              <wp:positionH relativeFrom="page">
                <wp:posOffset>799338</wp:posOffset>
              </wp:positionH>
              <wp:positionV relativeFrom="page">
                <wp:posOffset>1042415</wp:posOffset>
              </wp:positionV>
              <wp:extent cx="5953125" cy="1270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702F03D" id="Graphic 951" o:spid="_x0000_s1026" style="position:absolute;margin-left:62.95pt;margin-top:82.1pt;width:468.75pt;height:1pt;z-index:-37711872;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605120" behindDoc="1" locked="0" layoutInCell="1" allowOverlap="1" wp14:anchorId="1F908574" wp14:editId="065C711C">
              <wp:simplePos x="0" y="0"/>
              <wp:positionH relativeFrom="page">
                <wp:posOffset>901700</wp:posOffset>
              </wp:positionH>
              <wp:positionV relativeFrom="page">
                <wp:posOffset>239691</wp:posOffset>
              </wp:positionV>
              <wp:extent cx="1256665" cy="139065"/>
              <wp:effectExtent l="0" t="0" r="0" b="0"/>
              <wp:wrapNone/>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8AB7D1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F908574" id="_x0000_t202" coordsize="21600,21600" o:spt="202" path="m,l,21600r21600,l21600,xe">
              <v:stroke joinstyle="miter"/>
              <v:path gradientshapeok="t" o:connecttype="rect"/>
            </v:shapetype>
            <v:shape id="Textbox 952" o:spid="_x0000_s1414" type="#_x0000_t202" style="position:absolute;margin-left:71pt;margin-top:18.85pt;width:98.95pt;height:10.95pt;z-index:-377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OUaVw6ZAQAA&#10;JAMAAA4AAAAAAAAAAAAAAAAALgIAAGRycy9lMm9Eb2MueG1sUEsBAi0AFAAGAAgAAAAhADyRPmXf&#10;AAAACQEAAA8AAAAAAAAAAAAAAAAA8wMAAGRycy9kb3ducmV2LnhtbFBLBQYAAAAABAAEAPMAAAD/&#10;BAAAAAA=&#10;" filled="f" stroked="f">
              <v:textbox inset="0,0,0,0">
                <w:txbxContent>
                  <w:p w14:paraId="38AB7D1B"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05632" behindDoc="1" locked="0" layoutInCell="1" allowOverlap="1" wp14:anchorId="236BFAF7" wp14:editId="0087ADA0">
              <wp:simplePos x="0" y="0"/>
              <wp:positionH relativeFrom="page">
                <wp:posOffset>3410203</wp:posOffset>
              </wp:positionH>
              <wp:positionV relativeFrom="page">
                <wp:posOffset>661163</wp:posOffset>
              </wp:positionV>
              <wp:extent cx="3316604" cy="181610"/>
              <wp:effectExtent l="0" t="0" r="0" b="0"/>
              <wp:wrapNone/>
              <wp:docPr id="95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5096981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236BFAF7" id="Textbox 953" o:spid="_x0000_s1415" type="#_x0000_t202" style="position:absolute;margin-left:268.5pt;margin-top:52.05pt;width:261.15pt;height:14.3pt;z-index:-377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B27EkGa&#10;AQAAJAMAAA4AAAAAAAAAAAAAAAAALgIAAGRycy9lMm9Eb2MueG1sUEsBAi0AFAAGAAgAAAAhAAt2&#10;GaHhAAAADAEAAA8AAAAAAAAAAAAAAAAA9AMAAGRycy9kb3ducmV2LnhtbFBLBQYAAAAABAAEAPMA&#10;AAACBQAAAAA=&#10;" filled="f" stroked="f">
              <v:textbox inset="0,0,0,0">
                <w:txbxContent>
                  <w:p w14:paraId="5096981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CCDB" w14:textId="77777777" w:rsidR="00C31389" w:rsidRDefault="00561FBD">
    <w:pPr>
      <w:pStyle w:val="BodyText"/>
      <w:spacing w:line="14" w:lineRule="auto"/>
      <w:rPr>
        <w:sz w:val="20"/>
      </w:rPr>
    </w:pPr>
    <w:r>
      <w:rPr>
        <w:noProof/>
      </w:rPr>
      <w:drawing>
        <wp:anchor distT="0" distB="0" distL="0" distR="0" simplePos="0" relativeHeight="465607168" behindDoc="1" locked="0" layoutInCell="1" allowOverlap="1" wp14:anchorId="516408A7" wp14:editId="05ACD8EC">
          <wp:simplePos x="0" y="0"/>
          <wp:positionH relativeFrom="page">
            <wp:posOffset>808481</wp:posOffset>
          </wp:positionH>
          <wp:positionV relativeFrom="page">
            <wp:posOffset>461010</wp:posOffset>
          </wp:positionV>
          <wp:extent cx="1257300" cy="420356"/>
          <wp:effectExtent l="0" t="0" r="0" b="0"/>
          <wp:wrapNone/>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07680" behindDoc="1" locked="0" layoutInCell="1" allowOverlap="1" wp14:anchorId="530A7893" wp14:editId="53C08B00">
              <wp:simplePos x="0" y="0"/>
              <wp:positionH relativeFrom="page">
                <wp:posOffset>901700</wp:posOffset>
              </wp:positionH>
              <wp:positionV relativeFrom="page">
                <wp:posOffset>239691</wp:posOffset>
              </wp:positionV>
              <wp:extent cx="1256665" cy="139065"/>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9EBD22E"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30A7893" id="_x0000_t202" coordsize="21600,21600" o:spt="202" path="m,l,21600r21600,l21600,xe">
              <v:stroke joinstyle="miter"/>
              <v:path gradientshapeok="t" o:connecttype="rect"/>
            </v:shapetype>
            <v:shape id="Textbox 958" o:spid="_x0000_s1417" type="#_x0000_t202" style="position:absolute;margin-left:71pt;margin-top:18.85pt;width:98.95pt;height:10.95pt;z-index:-377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jelwEAACQ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mslO5dh89kOuhOrGXmgraSfB4VGiuFzYMfy9C8JXpLdJcE0&#10;fIDyR7KoAO8OCawrFG64MwUeRRExf5s869/3pev2ube/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A3vWjelwEAACQD&#10;AAAOAAAAAAAAAAAAAAAAAC4CAABkcnMvZTJvRG9jLnhtbFBLAQItABQABgAIAAAAIQA8kT5l3wAA&#10;AAkBAAAPAAAAAAAAAAAAAAAAAPEDAABkcnMvZG93bnJldi54bWxQSwUGAAAAAAQABADzAAAA/QQA&#10;AAAA&#10;" filled="f" stroked="f">
              <v:textbox inset="0,0,0,0">
                <w:txbxContent>
                  <w:p w14:paraId="29EBD22E"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08192" behindDoc="1" locked="0" layoutInCell="1" allowOverlap="1" wp14:anchorId="1CA1528C" wp14:editId="73E88CA3">
              <wp:simplePos x="0" y="0"/>
              <wp:positionH relativeFrom="page">
                <wp:posOffset>3410203</wp:posOffset>
              </wp:positionH>
              <wp:positionV relativeFrom="page">
                <wp:posOffset>661163</wp:posOffset>
              </wp:positionV>
              <wp:extent cx="3316604" cy="181610"/>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D0AF09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1CA1528C" id="Textbox 959" o:spid="_x0000_s1418" type="#_x0000_t202" style="position:absolute;margin-left:268.5pt;margin-top:52.05pt;width:261.15pt;height:14.3pt;z-index:-377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EGsdHKa&#10;AQAAJAMAAA4AAAAAAAAAAAAAAAAALgIAAGRycy9lMm9Eb2MueG1sUEsBAi0AFAAGAAgAAAAhAAt2&#10;GaHhAAAADAEAAA8AAAAAAAAAAAAAAAAA9AMAAGRycy9kb3ducmV2LnhtbFBLBQYAAAAABAAEAPMA&#10;AAACBQAAAAA=&#10;" filled="f" stroked="f">
              <v:textbox inset="0,0,0,0">
                <w:txbxContent>
                  <w:p w14:paraId="0D0AF09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79E8" w14:textId="77777777" w:rsidR="00C31389" w:rsidRDefault="00561FBD">
    <w:pPr>
      <w:pStyle w:val="BodyText"/>
      <w:spacing w:line="14" w:lineRule="auto"/>
      <w:rPr>
        <w:sz w:val="20"/>
      </w:rPr>
    </w:pPr>
    <w:r>
      <w:rPr>
        <w:noProof/>
      </w:rPr>
      <w:drawing>
        <wp:anchor distT="0" distB="0" distL="0" distR="0" simplePos="0" relativeHeight="465609728" behindDoc="1" locked="0" layoutInCell="1" allowOverlap="1" wp14:anchorId="2BF3A88C" wp14:editId="3D95C9BF">
          <wp:simplePos x="0" y="0"/>
          <wp:positionH relativeFrom="page">
            <wp:posOffset>808481</wp:posOffset>
          </wp:positionH>
          <wp:positionV relativeFrom="page">
            <wp:posOffset>461010</wp:posOffset>
          </wp:positionV>
          <wp:extent cx="1257300" cy="420356"/>
          <wp:effectExtent l="0" t="0" r="0" b="0"/>
          <wp:wrapNone/>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10240" behindDoc="1" locked="0" layoutInCell="1" allowOverlap="1" wp14:anchorId="3669686C" wp14:editId="04D7CE61">
              <wp:simplePos x="0" y="0"/>
              <wp:positionH relativeFrom="page">
                <wp:posOffset>799338</wp:posOffset>
              </wp:positionH>
              <wp:positionV relativeFrom="page">
                <wp:posOffset>1042415</wp:posOffset>
              </wp:positionV>
              <wp:extent cx="5953125" cy="12700"/>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29EA675A" id="Graphic 965" o:spid="_x0000_s1026" style="position:absolute;margin-left:62.95pt;margin-top:82.1pt;width:468.75pt;height:1pt;z-index:-37706240;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610752" behindDoc="1" locked="0" layoutInCell="1" allowOverlap="1" wp14:anchorId="66151C3A" wp14:editId="52E8D7BA">
              <wp:simplePos x="0" y="0"/>
              <wp:positionH relativeFrom="page">
                <wp:posOffset>901700</wp:posOffset>
              </wp:positionH>
              <wp:positionV relativeFrom="page">
                <wp:posOffset>239691</wp:posOffset>
              </wp:positionV>
              <wp:extent cx="1256665" cy="139065"/>
              <wp:effectExtent l="0" t="0" r="0" b="0"/>
              <wp:wrapNone/>
              <wp:docPr id="966" name="Text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E4CD55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66151C3A" id="_x0000_t202" coordsize="21600,21600" o:spt="202" path="m,l,21600r21600,l21600,xe">
              <v:stroke joinstyle="miter"/>
              <v:path gradientshapeok="t" o:connecttype="rect"/>
            </v:shapetype>
            <v:shape id="Textbox 966" o:spid="_x0000_s1420" type="#_x0000_t202" style="position:absolute;margin-left:71pt;margin-top:18.85pt;width:98.95pt;height:10.95pt;z-index:-377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aymAEAACQ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q5ql9l2Hy2g+7EakYeaCvp50GhkWL4FNixPP1Lgpdkd0kw&#10;De+h/JEsKsDbQwLrCoUb7kyBR1FEzN8mz/r3fem6fe7tLw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LQIGspgBAAAk&#10;AwAADgAAAAAAAAAAAAAAAAAuAgAAZHJzL2Uyb0RvYy54bWxQSwECLQAUAAYACAAAACEAPJE+Zd8A&#10;AAAJAQAADwAAAAAAAAAAAAAAAADyAwAAZHJzL2Rvd25yZXYueG1sUEsFBgAAAAAEAAQA8wAAAP4E&#10;AAAAAA==&#10;" filled="f" stroked="f">
              <v:textbox inset="0,0,0,0">
                <w:txbxContent>
                  <w:p w14:paraId="2E4CD55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11264" behindDoc="1" locked="0" layoutInCell="1" allowOverlap="1" wp14:anchorId="49A8E1AC" wp14:editId="6EE65AEC">
              <wp:simplePos x="0" y="0"/>
              <wp:positionH relativeFrom="page">
                <wp:posOffset>3410203</wp:posOffset>
              </wp:positionH>
              <wp:positionV relativeFrom="page">
                <wp:posOffset>661163</wp:posOffset>
              </wp:positionV>
              <wp:extent cx="3316604" cy="181610"/>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187AADA"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49A8E1AC" id="Textbox 967" o:spid="_x0000_s1421" type="#_x0000_t202" style="position:absolute;margin-left:268.5pt;margin-top:52.05pt;width:261.15pt;height:14.3pt;z-index:-377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NWjQ/2a&#10;AQAAJAMAAA4AAAAAAAAAAAAAAAAALgIAAGRycy9lMm9Eb2MueG1sUEsBAi0AFAAGAAgAAAAhAAt2&#10;GaHhAAAADAEAAA8AAAAAAAAAAAAAAAAA9AMAAGRycy9kb3ducmV2LnhtbFBLBQYAAAAABAAEAPMA&#10;AAACBQAAAAA=&#10;" filled="f" stroked="f">
              <v:textbox inset="0,0,0,0">
                <w:txbxContent>
                  <w:p w14:paraId="2187AADA"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6A27" w14:textId="77777777" w:rsidR="00C31389" w:rsidRDefault="00561FBD">
    <w:pPr>
      <w:pStyle w:val="BodyText"/>
      <w:spacing w:line="14" w:lineRule="auto"/>
      <w:rPr>
        <w:sz w:val="20"/>
      </w:rPr>
    </w:pPr>
    <w:r>
      <w:rPr>
        <w:noProof/>
      </w:rPr>
      <w:drawing>
        <wp:anchor distT="0" distB="0" distL="0" distR="0" simplePos="0" relativeHeight="465434624" behindDoc="1" locked="0" layoutInCell="1" allowOverlap="1" wp14:anchorId="1ED70817" wp14:editId="3A5E0E6E">
          <wp:simplePos x="0" y="0"/>
          <wp:positionH relativeFrom="page">
            <wp:posOffset>914400</wp:posOffset>
          </wp:positionH>
          <wp:positionV relativeFrom="page">
            <wp:posOffset>461010</wp:posOffset>
          </wp:positionV>
          <wp:extent cx="1257300" cy="420356"/>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35136" behindDoc="1" locked="0" layoutInCell="1" allowOverlap="1" wp14:anchorId="455C7504" wp14:editId="0701F93E">
              <wp:simplePos x="0" y="0"/>
              <wp:positionH relativeFrom="page">
                <wp:posOffset>901700</wp:posOffset>
              </wp:positionH>
              <wp:positionV relativeFrom="page">
                <wp:posOffset>239691</wp:posOffset>
              </wp:positionV>
              <wp:extent cx="1256665" cy="139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D95043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55C7504" id="_x0000_t202" coordsize="21600,21600" o:spt="202" path="m,l,21600r21600,l21600,xe">
              <v:stroke joinstyle="miter"/>
              <v:path gradientshapeok="t" o:connecttype="rect"/>
            </v:shapetype>
            <v:shape id="Textbox 68" o:spid="_x0000_s1234" type="#_x0000_t202" style="position:absolute;margin-left:71pt;margin-top:18.85pt;width:98.95pt;height:10.95pt;z-index:-378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7plgEAACMDAAAOAAAAZHJzL2Uyb0RvYy54bWysUsGO0zAQvSPxD5bvNGnRVkv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VZ36/X6TgrNteXrNzXnGfR2OyKljwa8yEkr&#10;kedVGKjjE6Vz66VlJnN+PzNJ024SrmPk+4yaj3bQnVjMyPNsJf08KDRSDJ8CG5aHf0nwkuwuCabh&#10;PZQvkjUFeHtIYF1hcMOdGfAkiob51+RR/74vXbe/vf0F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AYYXumWAQAAIwMA&#10;AA4AAAAAAAAAAAAAAAAALgIAAGRycy9lMm9Eb2MueG1sUEsBAi0AFAAGAAgAAAAhADyRPmXfAAAA&#10;CQEAAA8AAAAAAAAAAAAAAAAA8AMAAGRycy9kb3ducmV2LnhtbFBLBQYAAAAABAAEAPMAAAD8BAAA&#10;AAA=&#10;" filled="f" stroked="f">
              <v:textbox inset="0,0,0,0">
                <w:txbxContent>
                  <w:p w14:paraId="1D950436"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35648" behindDoc="1" locked="0" layoutInCell="1" allowOverlap="1" wp14:anchorId="71C36A61" wp14:editId="70D5078B">
              <wp:simplePos x="0" y="0"/>
              <wp:positionH relativeFrom="page">
                <wp:posOffset>3516121</wp:posOffset>
              </wp:positionH>
              <wp:positionV relativeFrom="page">
                <wp:posOffset>661163</wp:posOffset>
              </wp:positionV>
              <wp:extent cx="3316604" cy="1816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4696B52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1C36A61" id="Textbox 69" o:spid="_x0000_s1235" type="#_x0000_t202" style="position:absolute;margin-left:276.85pt;margin-top:52.05pt;width:261.15pt;height:14.3pt;z-index:-378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pqT8H5kB&#10;AAAjAwAADgAAAAAAAAAAAAAAAAAuAgAAZHJzL2Uyb0RvYy54bWxQSwECLQAUAAYACAAAACEAwRBX&#10;IeEAAAAMAQAADwAAAAAAAAAAAAAAAADzAwAAZHJzL2Rvd25yZXYueG1sUEsFBgAAAAAEAAQA8wAA&#10;AAEFAAAAAA==&#10;" filled="f" stroked="f">
              <v:textbox inset="0,0,0,0">
                <w:txbxContent>
                  <w:p w14:paraId="4696B522"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02AC" w14:textId="77777777" w:rsidR="00C31389" w:rsidRDefault="00561FBD">
    <w:pPr>
      <w:pStyle w:val="BodyText"/>
      <w:spacing w:line="14" w:lineRule="auto"/>
      <w:rPr>
        <w:sz w:val="20"/>
      </w:rPr>
    </w:pPr>
    <w:r>
      <w:rPr>
        <w:noProof/>
      </w:rPr>
      <w:drawing>
        <wp:anchor distT="0" distB="0" distL="0" distR="0" simplePos="0" relativeHeight="465612800" behindDoc="1" locked="0" layoutInCell="1" allowOverlap="1" wp14:anchorId="306951FD" wp14:editId="537B1314">
          <wp:simplePos x="0" y="0"/>
          <wp:positionH relativeFrom="page">
            <wp:posOffset>808481</wp:posOffset>
          </wp:positionH>
          <wp:positionV relativeFrom="page">
            <wp:posOffset>461010</wp:posOffset>
          </wp:positionV>
          <wp:extent cx="1257300" cy="420356"/>
          <wp:effectExtent l="0" t="0" r="0" b="0"/>
          <wp:wrapNone/>
          <wp:docPr id="974" name="Imag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 name="Image 97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13312" behindDoc="1" locked="0" layoutInCell="1" allowOverlap="1" wp14:anchorId="3397BAA3" wp14:editId="5EDFC6EB">
              <wp:simplePos x="0" y="0"/>
              <wp:positionH relativeFrom="page">
                <wp:posOffset>799338</wp:posOffset>
              </wp:positionH>
              <wp:positionV relativeFrom="page">
                <wp:posOffset>1042415</wp:posOffset>
              </wp:positionV>
              <wp:extent cx="5953125" cy="1270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754F21C" id="Graphic 975" o:spid="_x0000_s1026" style="position:absolute;margin-left:62.95pt;margin-top:82.1pt;width:468.75pt;height:1pt;z-index:-37703168;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613824" behindDoc="1" locked="0" layoutInCell="1" allowOverlap="1" wp14:anchorId="49DF1F0E" wp14:editId="0FB73554">
              <wp:simplePos x="0" y="0"/>
              <wp:positionH relativeFrom="page">
                <wp:posOffset>901700</wp:posOffset>
              </wp:positionH>
              <wp:positionV relativeFrom="page">
                <wp:posOffset>239691</wp:posOffset>
              </wp:positionV>
              <wp:extent cx="1256665" cy="139065"/>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3F893C9"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9DF1F0E" id="_x0000_t202" coordsize="21600,21600" o:spt="202" path="m,l,21600r21600,l21600,xe">
              <v:stroke joinstyle="miter"/>
              <v:path gradientshapeok="t" o:connecttype="rect"/>
            </v:shapetype>
            <v:shape id="Textbox 976" o:spid="_x0000_s1423" type="#_x0000_t202" style="position:absolute;margin-left:71pt;margin-top:18.85pt;width:98.95pt;height:10.95pt;z-index:-377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MgmAEAACQ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q5ql9l2Hy2g+7EakYeaCvp50GhkWL4FNixPP1Lgpdkd0kw&#10;De+h/JEsKsDbQwLrCoUb7kyBR1FEzN8mz/r3fem6fe7tLw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5GrzIJgBAAAk&#10;AwAADgAAAAAAAAAAAAAAAAAuAgAAZHJzL2Uyb0RvYy54bWxQSwECLQAUAAYACAAAACEAPJE+Zd8A&#10;AAAJAQAADwAAAAAAAAAAAAAAAADyAwAAZHJzL2Rvd25yZXYueG1sUEsFBgAAAAAEAAQA8wAAAP4E&#10;AAAAAA==&#10;" filled="f" stroked="f">
              <v:textbox inset="0,0,0,0">
                <w:txbxContent>
                  <w:p w14:paraId="73F893C9"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14336" behindDoc="1" locked="0" layoutInCell="1" allowOverlap="1" wp14:anchorId="028597CF" wp14:editId="5A1D8DD4">
              <wp:simplePos x="0" y="0"/>
              <wp:positionH relativeFrom="page">
                <wp:posOffset>3410203</wp:posOffset>
              </wp:positionH>
              <wp:positionV relativeFrom="page">
                <wp:posOffset>661163</wp:posOffset>
              </wp:positionV>
              <wp:extent cx="3316604" cy="181610"/>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F4E52F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28597CF" id="Textbox 977" o:spid="_x0000_s1424" type="#_x0000_t202" style="position:absolute;margin-left:268.5pt;margin-top:52.05pt;width:261.15pt;height:14.3pt;z-index:-377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HXSqaqa&#10;AQAAJAMAAA4AAAAAAAAAAAAAAAAALgIAAGRycy9lMm9Eb2MueG1sUEsBAi0AFAAGAAgAAAAhAAt2&#10;GaHhAAAADAEAAA8AAAAAAAAAAAAAAAAA9AMAAGRycy9kb3ducmV2LnhtbFBLBQYAAAAABAAEAPMA&#10;AAACBQAAAAA=&#10;" filled="f" stroked="f">
              <v:textbox inset="0,0,0,0">
                <w:txbxContent>
                  <w:p w14:paraId="1F4E52FE"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A2B5" w14:textId="77777777" w:rsidR="00C31389" w:rsidRDefault="00561FBD">
    <w:pPr>
      <w:pStyle w:val="BodyText"/>
      <w:spacing w:line="14" w:lineRule="auto"/>
      <w:rPr>
        <w:sz w:val="20"/>
      </w:rPr>
    </w:pPr>
    <w:r>
      <w:rPr>
        <w:noProof/>
      </w:rPr>
      <w:drawing>
        <wp:anchor distT="0" distB="0" distL="0" distR="0" simplePos="0" relativeHeight="465615872" behindDoc="1" locked="0" layoutInCell="1" allowOverlap="1" wp14:anchorId="352283B6" wp14:editId="0823BE61">
          <wp:simplePos x="0" y="0"/>
          <wp:positionH relativeFrom="page">
            <wp:posOffset>808481</wp:posOffset>
          </wp:positionH>
          <wp:positionV relativeFrom="page">
            <wp:posOffset>461010</wp:posOffset>
          </wp:positionV>
          <wp:extent cx="1257300" cy="420356"/>
          <wp:effectExtent l="0" t="0" r="0" b="0"/>
          <wp:wrapNone/>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16384" behindDoc="1" locked="0" layoutInCell="1" allowOverlap="1" wp14:anchorId="5E4B39DF" wp14:editId="06F8076B">
              <wp:simplePos x="0" y="0"/>
              <wp:positionH relativeFrom="page">
                <wp:posOffset>901700</wp:posOffset>
              </wp:positionH>
              <wp:positionV relativeFrom="page">
                <wp:posOffset>239691</wp:posOffset>
              </wp:positionV>
              <wp:extent cx="1256665" cy="139065"/>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6EDAB5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E4B39DF" id="_x0000_t202" coordsize="21600,21600" o:spt="202" path="m,l,21600r21600,l21600,xe">
              <v:stroke joinstyle="miter"/>
              <v:path gradientshapeok="t" o:connecttype="rect"/>
            </v:shapetype>
            <v:shape id="Textbox 981" o:spid="_x0000_s1426" type="#_x0000_t202" style="position:absolute;margin-left:71pt;margin-top:18.85pt;width:98.95pt;height:10.95pt;z-index:-377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" filled="f" stroked="f">
              <v:textbox inset="0,0,0,0">
                <w:txbxContent>
                  <w:p w14:paraId="66EDAB51"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16896" behindDoc="1" locked="0" layoutInCell="1" allowOverlap="1" wp14:anchorId="74413A75" wp14:editId="056C8940">
              <wp:simplePos x="0" y="0"/>
              <wp:positionH relativeFrom="page">
                <wp:posOffset>3410203</wp:posOffset>
              </wp:positionH>
              <wp:positionV relativeFrom="page">
                <wp:posOffset>661163</wp:posOffset>
              </wp:positionV>
              <wp:extent cx="3316604" cy="181610"/>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802F25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74413A75" id="Textbox 982" o:spid="_x0000_s1427" type="#_x0000_t202" style="position:absolute;margin-left:268.5pt;margin-top:52.05pt;width:261.15pt;height:14.3pt;z-index:-376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" filled="f" stroked="f">
              <v:textbox inset="0,0,0,0">
                <w:txbxContent>
                  <w:p w14:paraId="0802F251"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BFA2" w14:textId="77777777" w:rsidR="00C31389" w:rsidRDefault="00561FBD">
    <w:pPr>
      <w:pStyle w:val="BodyText"/>
      <w:spacing w:line="14" w:lineRule="auto"/>
      <w:rPr>
        <w:sz w:val="20"/>
      </w:rPr>
    </w:pPr>
    <w:r>
      <w:rPr>
        <w:noProof/>
      </w:rPr>
      <w:drawing>
        <wp:anchor distT="0" distB="0" distL="0" distR="0" simplePos="0" relativeHeight="465618432" behindDoc="1" locked="0" layoutInCell="1" allowOverlap="1" wp14:anchorId="68B8E41B" wp14:editId="1813D5C0">
          <wp:simplePos x="0" y="0"/>
          <wp:positionH relativeFrom="page">
            <wp:posOffset>914400</wp:posOffset>
          </wp:positionH>
          <wp:positionV relativeFrom="page">
            <wp:posOffset>461010</wp:posOffset>
          </wp:positionV>
          <wp:extent cx="1257300" cy="420356"/>
          <wp:effectExtent l="0" t="0" r="0" b="0"/>
          <wp:wrapNone/>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18944" behindDoc="1" locked="0" layoutInCell="1" allowOverlap="1" wp14:anchorId="4BFBD67B" wp14:editId="175FFB36">
              <wp:simplePos x="0" y="0"/>
              <wp:positionH relativeFrom="page">
                <wp:posOffset>901700</wp:posOffset>
              </wp:positionH>
              <wp:positionV relativeFrom="page">
                <wp:posOffset>239691</wp:posOffset>
              </wp:positionV>
              <wp:extent cx="1256665" cy="13906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138BA68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4BFBD67B" id="_x0000_t202" coordsize="21600,21600" o:spt="202" path="m,l,21600r21600,l21600,xe">
              <v:stroke joinstyle="miter"/>
              <v:path gradientshapeok="t" o:connecttype="rect"/>
            </v:shapetype>
            <v:shape id="Textbox 991" o:spid="_x0000_s1429" type="#_x0000_t202" style="position:absolute;margin-left:71pt;margin-top:18.85pt;width:98.95pt;height:10.95pt;z-index:-376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UnX41ZgBAAAk&#10;AwAADgAAAAAAAAAAAAAAAAAuAgAAZHJzL2Uyb0RvYy54bWxQSwECLQAUAAYACAAAACEAPJE+Zd8A&#10;AAAJAQAADwAAAAAAAAAAAAAAAADyAwAAZHJzL2Rvd25yZXYueG1sUEsFBgAAAAAEAAQA8wAAAP4E&#10;AAAAAA==&#10;" filled="f" stroked="f">
              <v:textbox inset="0,0,0,0">
                <w:txbxContent>
                  <w:p w14:paraId="138BA687"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19456" behindDoc="1" locked="0" layoutInCell="1" allowOverlap="1" wp14:anchorId="583507E1" wp14:editId="057C2499">
              <wp:simplePos x="0" y="0"/>
              <wp:positionH relativeFrom="page">
                <wp:posOffset>3516121</wp:posOffset>
              </wp:positionH>
              <wp:positionV relativeFrom="page">
                <wp:posOffset>661163</wp:posOffset>
              </wp:positionV>
              <wp:extent cx="3316604" cy="181610"/>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97B5F8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83507E1" id="Textbox 992" o:spid="_x0000_s1430" type="#_x0000_t202" style="position:absolute;margin-left:276.85pt;margin-top:52.05pt;width:261.15pt;height:14.3pt;z-index:-376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HkDJmSa&#10;AQAAJAMAAA4AAAAAAAAAAAAAAAAALgIAAGRycy9lMm9Eb2MueG1sUEsBAi0AFAAGAAgAAAAhAMEQ&#10;VyHhAAAADAEAAA8AAAAAAAAAAAAAAAAA9AMAAGRycy9kb3ducmV2LnhtbFBLBQYAAAAABAAEAPMA&#10;AAACBQAAAAA=&#10;" filled="f" stroked="f">
              <v:textbox inset="0,0,0,0">
                <w:txbxContent>
                  <w:p w14:paraId="297B5F80"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EBF6" w14:textId="77777777" w:rsidR="00C31389" w:rsidRDefault="00561FBD">
    <w:pPr>
      <w:pStyle w:val="BodyText"/>
      <w:spacing w:line="14" w:lineRule="auto"/>
      <w:rPr>
        <w:sz w:val="20"/>
      </w:rPr>
    </w:pPr>
    <w:r>
      <w:rPr>
        <w:noProof/>
      </w:rPr>
      <w:drawing>
        <wp:anchor distT="0" distB="0" distL="0" distR="0" simplePos="0" relativeHeight="465620992" behindDoc="1" locked="0" layoutInCell="1" allowOverlap="1" wp14:anchorId="59951102" wp14:editId="46BA633A">
          <wp:simplePos x="0" y="0"/>
          <wp:positionH relativeFrom="page">
            <wp:posOffset>914400</wp:posOffset>
          </wp:positionH>
          <wp:positionV relativeFrom="page">
            <wp:posOffset>461010</wp:posOffset>
          </wp:positionV>
          <wp:extent cx="1257300" cy="420356"/>
          <wp:effectExtent l="0" t="0" r="0" b="0"/>
          <wp:wrapNone/>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21504" behindDoc="1" locked="0" layoutInCell="1" allowOverlap="1" wp14:anchorId="777D7851" wp14:editId="237DA9DF">
              <wp:simplePos x="0" y="0"/>
              <wp:positionH relativeFrom="page">
                <wp:posOffset>901700</wp:posOffset>
              </wp:positionH>
              <wp:positionV relativeFrom="page">
                <wp:posOffset>239691</wp:posOffset>
              </wp:positionV>
              <wp:extent cx="1256665" cy="139065"/>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7AF3F018"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77D7851" id="_x0000_t202" coordsize="21600,21600" o:spt="202" path="m,l,21600r21600,l21600,xe">
              <v:stroke joinstyle="miter"/>
              <v:path gradientshapeok="t" o:connecttype="rect"/>
            </v:shapetype>
            <v:shape id="Textbox 1054" o:spid="_x0000_s1432" type="#_x0000_t202" style="position:absolute;margin-left:71pt;margin-top:18.85pt;width:98.95pt;height:10.95pt;z-index:-376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EjKlrmZAQAA&#10;JAMAAA4AAAAAAAAAAAAAAAAALgIAAGRycy9lMm9Eb2MueG1sUEsBAi0AFAAGAAgAAAAhADyRPmXf&#10;AAAACQEAAA8AAAAAAAAAAAAAAAAA8wMAAGRycy9kb3ducmV2LnhtbFBLBQYAAAAABAAEAPMAAAD/&#10;BAAAAAA=&#10;" filled="f" stroked="f">
              <v:textbox inset="0,0,0,0">
                <w:txbxContent>
                  <w:p w14:paraId="7AF3F018"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22016" behindDoc="1" locked="0" layoutInCell="1" allowOverlap="1" wp14:anchorId="26EA9FF6" wp14:editId="120772F1">
              <wp:simplePos x="0" y="0"/>
              <wp:positionH relativeFrom="page">
                <wp:posOffset>3516121</wp:posOffset>
              </wp:positionH>
              <wp:positionV relativeFrom="page">
                <wp:posOffset>661163</wp:posOffset>
              </wp:positionV>
              <wp:extent cx="3316604" cy="181610"/>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1617B32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26EA9FF6" id="Textbox 1055" o:spid="_x0000_s1433" type="#_x0000_t202" style="position:absolute;margin-left:276.85pt;margin-top:52.05pt;width:261.15pt;height:14.3pt;z-index:-376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LBr0/aa&#10;AQAAJAMAAA4AAAAAAAAAAAAAAAAALgIAAGRycy9lMm9Eb2MueG1sUEsBAi0AFAAGAAgAAAAhAMEQ&#10;VyHhAAAADAEAAA8AAAAAAAAAAAAAAAAA9AMAAGRycy9kb3ducmV2LnhtbFBLBQYAAAAABAAEAPMA&#10;AAACBQAAAAA=&#10;" filled="f" stroked="f">
              <v:textbox inset="0,0,0,0">
                <w:txbxContent>
                  <w:p w14:paraId="1617B32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05EB" w14:textId="77777777" w:rsidR="00C31389" w:rsidRDefault="00561FBD">
    <w:pPr>
      <w:pStyle w:val="BodyText"/>
      <w:spacing w:line="14" w:lineRule="auto"/>
      <w:rPr>
        <w:sz w:val="20"/>
      </w:rPr>
    </w:pPr>
    <w:r>
      <w:rPr>
        <w:noProof/>
      </w:rPr>
      <w:drawing>
        <wp:anchor distT="0" distB="0" distL="0" distR="0" simplePos="0" relativeHeight="465623552" behindDoc="1" locked="0" layoutInCell="1" allowOverlap="1" wp14:anchorId="22508A18" wp14:editId="06CE8234">
          <wp:simplePos x="0" y="0"/>
          <wp:positionH relativeFrom="page">
            <wp:posOffset>914400</wp:posOffset>
          </wp:positionH>
          <wp:positionV relativeFrom="page">
            <wp:posOffset>461010</wp:posOffset>
          </wp:positionV>
          <wp:extent cx="1257300" cy="420356"/>
          <wp:effectExtent l="0" t="0" r="0" b="0"/>
          <wp:wrapNone/>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24064" behindDoc="1" locked="0" layoutInCell="1" allowOverlap="1" wp14:anchorId="3B65C34E" wp14:editId="4A026CF0">
              <wp:simplePos x="0" y="0"/>
              <wp:positionH relativeFrom="page">
                <wp:posOffset>905256</wp:posOffset>
              </wp:positionH>
              <wp:positionV relativeFrom="page">
                <wp:posOffset>1042415</wp:posOffset>
              </wp:positionV>
              <wp:extent cx="5953125" cy="12700"/>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529AEE6F" id="Graphic 1063" o:spid="_x0000_s1026" style="position:absolute;margin-left:71.3pt;margin-top:82.1pt;width:468.75pt;height:1pt;z-index:-37692416;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624576" behindDoc="1" locked="0" layoutInCell="1" allowOverlap="1" wp14:anchorId="5A1A18B7" wp14:editId="3633030A">
              <wp:simplePos x="0" y="0"/>
              <wp:positionH relativeFrom="page">
                <wp:posOffset>901700</wp:posOffset>
              </wp:positionH>
              <wp:positionV relativeFrom="page">
                <wp:posOffset>239691</wp:posOffset>
              </wp:positionV>
              <wp:extent cx="1256665" cy="139065"/>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1B2811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A1A18B7" id="_x0000_t202" coordsize="21600,21600" o:spt="202" path="m,l,21600r21600,l21600,xe">
              <v:stroke joinstyle="miter"/>
              <v:path gradientshapeok="t" o:connecttype="rect"/>
            </v:shapetype>
            <v:shape id="Textbox 1064" o:spid="_x0000_s1435" type="#_x0000_t202" style="position:absolute;margin-left:71pt;margin-top:18.85pt;width:98.95pt;height:10.95pt;z-index:-376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UNmAEAACQDAAAOAAAAZHJzL2Uyb0RvYy54bWysUsGO0zAQvSPxD5bvNGnRVmz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u1uv1nRSaa8vX9zXnGfR2OyKljwa8yEkr&#10;kedVGKjjE6Vz66VlJnN+PzNJ024SrmvlanmfYfPZDroTqxl5oK2knweFRorhU2DH8vQvCV6S3SXB&#10;NLyH8keyqABvDwmsKxRuuDMFHkURMX+bPOvf96Xr9rm3vw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ZgslDZgBAAAk&#10;AwAADgAAAAAAAAAAAAAAAAAuAgAAZHJzL2Uyb0RvYy54bWxQSwECLQAUAAYACAAAACEAPJE+Zd8A&#10;AAAJAQAADwAAAAAAAAAAAAAAAADyAwAAZHJzL2Rvd25yZXYueG1sUEsFBgAAAAAEAAQA8wAAAP4E&#10;AAAAAA==&#10;" filled="f" stroked="f">
              <v:textbox inset="0,0,0,0">
                <w:txbxContent>
                  <w:p w14:paraId="61B28115"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25088" behindDoc="1" locked="0" layoutInCell="1" allowOverlap="1" wp14:anchorId="5E087950" wp14:editId="0622D45F">
              <wp:simplePos x="0" y="0"/>
              <wp:positionH relativeFrom="page">
                <wp:posOffset>3516121</wp:posOffset>
              </wp:positionH>
              <wp:positionV relativeFrom="page">
                <wp:posOffset>661163</wp:posOffset>
              </wp:positionV>
              <wp:extent cx="3316604" cy="181610"/>
              <wp:effectExtent l="0" t="0" r="0" b="0"/>
              <wp:wrapNone/>
              <wp:docPr id="1065" name="Text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DC7F24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E087950" id="Textbox 1065" o:spid="_x0000_s1436" type="#_x0000_t202" style="position:absolute;margin-left:276.85pt;margin-top:52.05pt;width:261.15pt;height:14.3pt;z-index:-376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Fjrzpua&#10;AQAAJAMAAA4AAAAAAAAAAAAAAAAALgIAAGRycy9lMm9Eb2MueG1sUEsBAi0AFAAGAAgAAAAhAMEQ&#10;VyHhAAAADAEAAA8AAAAAAAAAAAAAAAAA9AMAAGRycy9kb3ducmV2LnhtbFBLBQYAAAAABAAEAPMA&#10;AAACBQAAAAA=&#10;" filled="f" stroked="f">
              <v:textbox inset="0,0,0,0">
                <w:txbxContent>
                  <w:p w14:paraId="0DC7F249"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6893" w14:textId="77777777" w:rsidR="00C31389" w:rsidRDefault="00561FBD">
    <w:pPr>
      <w:pStyle w:val="BodyText"/>
      <w:spacing w:line="14" w:lineRule="auto"/>
      <w:rPr>
        <w:sz w:val="20"/>
      </w:rPr>
    </w:pPr>
    <w:r>
      <w:rPr>
        <w:noProof/>
      </w:rPr>
      <w:drawing>
        <wp:anchor distT="0" distB="0" distL="0" distR="0" simplePos="0" relativeHeight="465626624" behindDoc="1" locked="0" layoutInCell="1" allowOverlap="1" wp14:anchorId="4E2F2279" wp14:editId="014A616A">
          <wp:simplePos x="0" y="0"/>
          <wp:positionH relativeFrom="page">
            <wp:posOffset>914400</wp:posOffset>
          </wp:positionH>
          <wp:positionV relativeFrom="page">
            <wp:posOffset>461010</wp:posOffset>
          </wp:positionV>
          <wp:extent cx="1257300" cy="420356"/>
          <wp:effectExtent l="0" t="0" r="0" b="0"/>
          <wp:wrapNone/>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27136" behindDoc="1" locked="0" layoutInCell="1" allowOverlap="1" wp14:anchorId="1D87D0BD" wp14:editId="7E5FA319">
              <wp:simplePos x="0" y="0"/>
              <wp:positionH relativeFrom="page">
                <wp:posOffset>901700</wp:posOffset>
              </wp:positionH>
              <wp:positionV relativeFrom="page">
                <wp:posOffset>239691</wp:posOffset>
              </wp:positionV>
              <wp:extent cx="1256665" cy="139065"/>
              <wp:effectExtent l="0" t="0" r="0" b="0"/>
              <wp:wrapNone/>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24284D2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1D87D0BD" id="_x0000_t202" coordsize="21600,21600" o:spt="202" path="m,l,21600r21600,l21600,xe">
              <v:stroke joinstyle="miter"/>
              <v:path gradientshapeok="t" o:connecttype="rect"/>
            </v:shapetype>
            <v:shape id="Textbox 1075" o:spid="_x0000_s1438" type="#_x0000_t202" style="position:absolute;margin-left:71pt;margin-top:18.85pt;width:98.95pt;height:10.95pt;z-index:-376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" filled="f" stroked="f">
              <v:textbox inset="0,0,0,0">
                <w:txbxContent>
                  <w:p w14:paraId="24284D20"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27648" behindDoc="1" locked="0" layoutInCell="1" allowOverlap="1" wp14:anchorId="3600E384" wp14:editId="5B2510B3">
              <wp:simplePos x="0" y="0"/>
              <wp:positionH relativeFrom="page">
                <wp:posOffset>3516121</wp:posOffset>
              </wp:positionH>
              <wp:positionV relativeFrom="page">
                <wp:posOffset>661163</wp:posOffset>
              </wp:positionV>
              <wp:extent cx="3316604" cy="181610"/>
              <wp:effectExtent l="0" t="0" r="0" b="0"/>
              <wp:wrapNone/>
              <wp:docPr id="1076" name="Text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20C62EFD"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600E384" id="Textbox 1076" o:spid="_x0000_s1439" type="#_x0000_t202" style="position:absolute;margin-left:276.85pt;margin-top:52.05pt;width:261.15pt;height:14.3pt;z-index:-376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JGDOwma&#10;AQAAJAMAAA4AAAAAAAAAAAAAAAAALgIAAGRycy9lMm9Eb2MueG1sUEsBAi0AFAAGAAgAAAAhAMEQ&#10;VyHhAAAADAEAAA8AAAAAAAAAAAAAAAAA9AMAAGRycy9kb3ducmV2LnhtbFBLBQYAAAAABAAEAPMA&#10;AAACBQAAAAA=&#10;" filled="f" stroked="f">
              <v:textbox inset="0,0,0,0">
                <w:txbxContent>
                  <w:p w14:paraId="20C62EFD"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AE70" w14:textId="77777777" w:rsidR="00C31389" w:rsidRDefault="00561FBD">
    <w:pPr>
      <w:pStyle w:val="BodyText"/>
      <w:spacing w:line="14" w:lineRule="auto"/>
      <w:rPr>
        <w:sz w:val="20"/>
      </w:rPr>
    </w:pPr>
    <w:r>
      <w:rPr>
        <w:noProof/>
      </w:rPr>
      <w:drawing>
        <wp:anchor distT="0" distB="0" distL="0" distR="0" simplePos="0" relativeHeight="465629184" behindDoc="1" locked="0" layoutInCell="1" allowOverlap="1" wp14:anchorId="56BEC30B" wp14:editId="6F4D5363">
          <wp:simplePos x="0" y="0"/>
          <wp:positionH relativeFrom="page">
            <wp:posOffset>2057400</wp:posOffset>
          </wp:positionH>
          <wp:positionV relativeFrom="page">
            <wp:posOffset>461010</wp:posOffset>
          </wp:positionV>
          <wp:extent cx="1257300" cy="420356"/>
          <wp:effectExtent l="0" t="0" r="0" b="0"/>
          <wp:wrapNone/>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629696" behindDoc="1" locked="0" layoutInCell="1" allowOverlap="1" wp14:anchorId="0484E75E" wp14:editId="79ACB1EC">
              <wp:simplePos x="0" y="0"/>
              <wp:positionH relativeFrom="page">
                <wp:posOffset>2048256</wp:posOffset>
              </wp:positionH>
              <wp:positionV relativeFrom="page">
                <wp:posOffset>1042415</wp:posOffset>
              </wp:positionV>
              <wp:extent cx="5953125" cy="12700"/>
              <wp:effectExtent l="0" t="0" r="0" b="0"/>
              <wp:wrapNone/>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1269479" y="0"/>
                            </a:moveTo>
                            <a:lnTo>
                              <a:pt x="1266444" y="0"/>
                            </a:lnTo>
                            <a:lnTo>
                              <a:pt x="1257287" y="0"/>
                            </a:lnTo>
                            <a:lnTo>
                              <a:pt x="0" y="0"/>
                            </a:lnTo>
                            <a:lnTo>
                              <a:pt x="0" y="12192"/>
                            </a:lnTo>
                            <a:lnTo>
                              <a:pt x="1257287" y="12192"/>
                            </a:lnTo>
                            <a:lnTo>
                              <a:pt x="1266444" y="12192"/>
                            </a:lnTo>
                            <a:lnTo>
                              <a:pt x="1269479" y="12192"/>
                            </a:lnTo>
                            <a:lnTo>
                              <a:pt x="1269479" y="0"/>
                            </a:lnTo>
                            <a:close/>
                          </a:path>
                          <a:path w="5953125" h="12700">
                            <a:moveTo>
                              <a:pt x="5952744" y="0"/>
                            </a:moveTo>
                            <a:lnTo>
                              <a:pt x="1269492" y="0"/>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0C1557BF" id="Graphic 1082" o:spid="_x0000_s1026" style="position:absolute;margin-left:161.3pt;margin-top:82.1pt;width:468.75pt;height:1pt;z-index:-37686784;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" path="m1269479,r-3035,l1257287,,,,,12192r1257287,l1266444,12192r3035,l1269479,xem5952744,l1269492,r,12192l5952744,12192r,-12192xe" fillcolor="#8b8b8b" stroked="f">
              <v:path arrowok="t"/>
              <w10:wrap anchorx="page" anchory="page"/>
            </v:shape>
          </w:pict>
        </mc:Fallback>
      </mc:AlternateContent>
    </w:r>
    <w:r>
      <w:rPr>
        <w:noProof/>
      </w:rPr>
      <mc:AlternateContent>
        <mc:Choice Requires="wps">
          <w:drawing>
            <wp:anchor distT="0" distB="0" distL="0" distR="0" simplePos="0" relativeHeight="465630208" behindDoc="1" locked="0" layoutInCell="1" allowOverlap="1" wp14:anchorId="7132B473" wp14:editId="41419A96">
              <wp:simplePos x="0" y="0"/>
              <wp:positionH relativeFrom="page">
                <wp:posOffset>901700</wp:posOffset>
              </wp:positionH>
              <wp:positionV relativeFrom="page">
                <wp:posOffset>239691</wp:posOffset>
              </wp:positionV>
              <wp:extent cx="1256665" cy="139065"/>
              <wp:effectExtent l="0" t="0" r="0" b="0"/>
              <wp:wrapNone/>
              <wp:docPr id="1083" name="Text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537A5FD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7132B473" id="_x0000_t202" coordsize="21600,21600" o:spt="202" path="m,l,21600r21600,l21600,xe">
              <v:stroke joinstyle="miter"/>
              <v:path gradientshapeok="t" o:connecttype="rect"/>
            </v:shapetype>
            <v:shape id="Textbox 1083" o:spid="_x0000_s1441" type="#_x0000_t202" style="position:absolute;margin-left:71pt;margin-top:18.85pt;width:98.95pt;height:10.95pt;z-index:-376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" filled="f" stroked="f">
              <v:textbox inset="0,0,0,0">
                <w:txbxContent>
                  <w:p w14:paraId="537A5FD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630720" behindDoc="1" locked="0" layoutInCell="1" allowOverlap="1" wp14:anchorId="0CD43B3F" wp14:editId="44F18FB1">
              <wp:simplePos x="0" y="0"/>
              <wp:positionH relativeFrom="page">
                <wp:posOffset>4659121</wp:posOffset>
              </wp:positionH>
              <wp:positionV relativeFrom="page">
                <wp:posOffset>661163</wp:posOffset>
              </wp:positionV>
              <wp:extent cx="3316604" cy="181610"/>
              <wp:effectExtent l="0" t="0" r="0" b="0"/>
              <wp:wrapNone/>
              <wp:docPr id="1084" name="Text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1450AAB"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0CD43B3F" id="Textbox 1084" o:spid="_x0000_s1442" type="#_x0000_t202" style="position:absolute;margin-left:366.85pt;margin-top:52.05pt;width:261.15pt;height:14.3pt;z-index:-376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" filled="f" stroked="f">
              <v:textbox inset="0,0,0,0">
                <w:txbxContent>
                  <w:p w14:paraId="01450AAB"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B49A" w14:textId="77777777" w:rsidR="00C31389" w:rsidRDefault="00561FBD">
    <w:pPr>
      <w:pStyle w:val="BodyText"/>
      <w:spacing w:line="14" w:lineRule="auto"/>
      <w:rPr>
        <w:sz w:val="20"/>
      </w:rPr>
    </w:pPr>
    <w:r>
      <w:rPr>
        <w:noProof/>
      </w:rPr>
      <w:drawing>
        <wp:anchor distT="0" distB="0" distL="0" distR="0" simplePos="0" relativeHeight="465437184" behindDoc="1" locked="0" layoutInCell="1" allowOverlap="1" wp14:anchorId="13F41922" wp14:editId="1674E866">
          <wp:simplePos x="0" y="0"/>
          <wp:positionH relativeFrom="page">
            <wp:posOffset>914400</wp:posOffset>
          </wp:positionH>
          <wp:positionV relativeFrom="page">
            <wp:posOffset>461010</wp:posOffset>
          </wp:positionV>
          <wp:extent cx="1257300" cy="420356"/>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37696" behindDoc="1" locked="0" layoutInCell="1" allowOverlap="1" wp14:anchorId="1E0449A1" wp14:editId="25895E49">
              <wp:simplePos x="0" y="0"/>
              <wp:positionH relativeFrom="page">
                <wp:posOffset>905256</wp:posOffset>
              </wp:positionH>
              <wp:positionV relativeFrom="page">
                <wp:posOffset>1042415</wp:posOffset>
              </wp:positionV>
              <wp:extent cx="5953125" cy="127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0"/>
                      </a:xfrm>
                      <a:custGeom>
                        <a:avLst/>
                        <a:gdLst/>
                        <a:ahLst/>
                        <a:cxnLst/>
                        <a:rect l="l" t="t" r="r" b="b"/>
                        <a:pathLst>
                          <a:path w="5953125" h="12700">
                            <a:moveTo>
                              <a:pt x="5952744" y="0"/>
                            </a:moveTo>
                            <a:lnTo>
                              <a:pt x="1269492" y="0"/>
                            </a:lnTo>
                            <a:lnTo>
                              <a:pt x="1266444" y="0"/>
                            </a:lnTo>
                            <a:lnTo>
                              <a:pt x="1257300" y="0"/>
                            </a:lnTo>
                            <a:lnTo>
                              <a:pt x="0" y="0"/>
                            </a:lnTo>
                            <a:lnTo>
                              <a:pt x="0" y="12192"/>
                            </a:lnTo>
                            <a:lnTo>
                              <a:pt x="1257300" y="12192"/>
                            </a:lnTo>
                            <a:lnTo>
                              <a:pt x="1266444" y="12192"/>
                            </a:lnTo>
                            <a:lnTo>
                              <a:pt x="1269492" y="12192"/>
                            </a:lnTo>
                            <a:lnTo>
                              <a:pt x="5952744" y="12192"/>
                            </a:lnTo>
                            <a:lnTo>
                              <a:pt x="5952744" y="0"/>
                            </a:lnTo>
                            <a:close/>
                          </a:path>
                        </a:pathLst>
                      </a:custGeom>
                      <a:solidFill>
                        <a:srgbClr val="8B8B8B"/>
                      </a:solidFill>
                    </wps:spPr>
                    <wps:bodyPr wrap="square" lIns="0" tIns="0" rIns="0" bIns="0" rtlCol="0">
                      <a:prstTxWarp prst="textNoShape">
                        <a:avLst/>
                      </a:prstTxWarp>
                      <a:noAutofit/>
                    </wps:bodyPr>
                  </wps:wsp>
                </a:graphicData>
              </a:graphic>
            </wp:anchor>
          </w:drawing>
        </mc:Choice>
        <mc:Fallback>
          <w:pict>
            <v:shape w14:anchorId="6E23AB91" id="Graphic 76" o:spid="_x0000_s1026" style="position:absolute;margin-left:71.3pt;margin-top:82.1pt;width:468.75pt;height:1pt;z-index:-37878784;visibility:visible;mso-wrap-style:square;mso-wrap-distance-left:0;mso-wrap-distance-top:0;mso-wrap-distance-right:0;mso-wrap-distance-bottom:0;mso-position-horizontal:absolute;mso-position-horizontal-relative:page;mso-position-vertical:absolute;mso-position-vertical-relative:page;v-text-anchor:top" coordsize="5953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" path="m5952744,l1269492,r-3048,l1257300,,,,,12192r1257300,l1266444,12192r3048,l5952744,12192r,-12192xe" fillcolor="#8b8b8b" stroked="f">
              <v:path arrowok="t"/>
              <w10:wrap anchorx="page" anchory="page"/>
            </v:shape>
          </w:pict>
        </mc:Fallback>
      </mc:AlternateContent>
    </w:r>
    <w:r>
      <w:rPr>
        <w:noProof/>
      </w:rPr>
      <mc:AlternateContent>
        <mc:Choice Requires="wps">
          <w:drawing>
            <wp:anchor distT="0" distB="0" distL="0" distR="0" simplePos="0" relativeHeight="465438208" behindDoc="1" locked="0" layoutInCell="1" allowOverlap="1" wp14:anchorId="21F2E439" wp14:editId="7E2A200B">
              <wp:simplePos x="0" y="0"/>
              <wp:positionH relativeFrom="page">
                <wp:posOffset>901700</wp:posOffset>
              </wp:positionH>
              <wp:positionV relativeFrom="page">
                <wp:posOffset>239691</wp:posOffset>
              </wp:positionV>
              <wp:extent cx="1256665" cy="139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6AEEFEB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21F2E439" id="_x0000_t202" coordsize="21600,21600" o:spt="202" path="m,l,21600r21600,l21600,xe">
              <v:stroke joinstyle="miter"/>
              <v:path gradientshapeok="t" o:connecttype="rect"/>
            </v:shapetype>
            <v:shape id="Textbox 77" o:spid="_x0000_s1237" type="#_x0000_t202" style="position:absolute;margin-left:71pt;margin-top:18.85pt;width:98.95pt;height:10.95pt;z-index:-378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xBlwEAACMDAAAOAAAAZHJzL2Uyb0RvYy54bWysUsGO0zAQvSPxD5bvNGnRV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VZ36/X6TgrNteXrtzXnGfR2OyKlTwa8yEkr&#10;kedVGKjjI6Vz66VlJnN+PzNJ024SrmvlaplR89EOuhOLGXmeraSfB4VGiuFzYMPy8C8JXpLdJcE0&#10;fIDyRbKmAO8OCawrDG64MwOeRNEw/5o86t/3pev2t7e/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CHgVxBlwEAACMD&#10;AAAOAAAAAAAAAAAAAAAAAC4CAABkcnMvZTJvRG9jLnhtbFBLAQItABQABgAIAAAAIQA8kT5l3wAA&#10;AAkBAAAPAAAAAAAAAAAAAAAAAPEDAABkcnMvZG93bnJldi54bWxQSwUGAAAAAAQABADzAAAA/QQA&#10;AAAA&#10;" filled="f" stroked="f">
              <v:textbox inset="0,0,0,0">
                <w:txbxContent>
                  <w:p w14:paraId="6AEEFEBA"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38720" behindDoc="1" locked="0" layoutInCell="1" allowOverlap="1" wp14:anchorId="311C2ED2" wp14:editId="213D0CA0">
              <wp:simplePos x="0" y="0"/>
              <wp:positionH relativeFrom="page">
                <wp:posOffset>3516121</wp:posOffset>
              </wp:positionH>
              <wp:positionV relativeFrom="page">
                <wp:posOffset>661163</wp:posOffset>
              </wp:positionV>
              <wp:extent cx="3316604" cy="1816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6F71DAE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311C2ED2" id="Textbox 78" o:spid="_x0000_s1238" type="#_x0000_t202" style="position:absolute;margin-left:276.85pt;margin-top:52.05pt;width:261.15pt;height:14.3pt;z-index:-378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" filled="f" stroked="f">
              <v:textbox inset="0,0,0,0">
                <w:txbxContent>
                  <w:p w14:paraId="6F71DAE7"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871C" w14:textId="77777777" w:rsidR="00C31389" w:rsidRDefault="00561FBD">
    <w:pPr>
      <w:pStyle w:val="BodyText"/>
      <w:spacing w:line="14" w:lineRule="auto"/>
      <w:rPr>
        <w:sz w:val="20"/>
      </w:rPr>
    </w:pPr>
    <w:r>
      <w:rPr>
        <w:noProof/>
      </w:rPr>
      <w:drawing>
        <wp:anchor distT="0" distB="0" distL="0" distR="0" simplePos="0" relativeHeight="465440256" behindDoc="1" locked="0" layoutInCell="1" allowOverlap="1" wp14:anchorId="543A65F1" wp14:editId="5F65ACBC">
          <wp:simplePos x="0" y="0"/>
          <wp:positionH relativeFrom="page">
            <wp:posOffset>914400</wp:posOffset>
          </wp:positionH>
          <wp:positionV relativeFrom="page">
            <wp:posOffset>461010</wp:posOffset>
          </wp:positionV>
          <wp:extent cx="1257300" cy="420356"/>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 cstate="print"/>
                  <a:stretch>
                    <a:fillRect/>
                  </a:stretch>
                </pic:blipFill>
                <pic:spPr>
                  <a:xfrm>
                    <a:off x="0" y="0"/>
                    <a:ext cx="1257300" cy="420356"/>
                  </a:xfrm>
                  <a:prstGeom prst="rect">
                    <a:avLst/>
                  </a:prstGeom>
                </pic:spPr>
              </pic:pic>
            </a:graphicData>
          </a:graphic>
        </wp:anchor>
      </w:drawing>
    </w:r>
    <w:r>
      <w:rPr>
        <w:noProof/>
      </w:rPr>
      <mc:AlternateContent>
        <mc:Choice Requires="wps">
          <w:drawing>
            <wp:anchor distT="0" distB="0" distL="0" distR="0" simplePos="0" relativeHeight="465440768" behindDoc="1" locked="0" layoutInCell="1" allowOverlap="1" wp14:anchorId="5AA08E7F" wp14:editId="5C87950C">
              <wp:simplePos x="0" y="0"/>
              <wp:positionH relativeFrom="page">
                <wp:posOffset>901700</wp:posOffset>
              </wp:positionH>
              <wp:positionV relativeFrom="page">
                <wp:posOffset>239691</wp:posOffset>
              </wp:positionV>
              <wp:extent cx="1256665" cy="139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139065"/>
                      </a:xfrm>
                      <a:prstGeom prst="rect">
                        <a:avLst/>
                      </a:prstGeom>
                    </wps:spPr>
                    <wps:txbx>
                      <w:txbxContent>
                        <w:p w14:paraId="3A6C64A4"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wps:txbx>
                    <wps:bodyPr wrap="square" lIns="0" tIns="0" rIns="0" bIns="0" rtlCol="0">
                      <a:noAutofit/>
                    </wps:bodyPr>
                  </wps:wsp>
                </a:graphicData>
              </a:graphic>
            </wp:anchor>
          </w:drawing>
        </mc:Choice>
        <mc:Fallback>
          <w:pict>
            <v:shapetype w14:anchorId="5AA08E7F" id="_x0000_t202" coordsize="21600,21600" o:spt="202" path="m,l,21600r21600,l21600,xe">
              <v:stroke joinstyle="miter"/>
              <v:path gradientshapeok="t" o:connecttype="rect"/>
            </v:shapetype>
            <v:shape id="Textbox 83" o:spid="_x0000_s1240" type="#_x0000_t202" style="position:absolute;margin-left:71pt;margin-top:18.85pt;width:98.95pt;height:10.95pt;z-index:-378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ItlwEAACM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" filled="f" stroked="f">
              <v:textbox inset="0,0,0,0">
                <w:txbxContent>
                  <w:p w14:paraId="3A6C64A4" w14:textId="77777777" w:rsidR="00C31389" w:rsidRDefault="00561FBD">
                    <w:pPr>
                      <w:spacing w:before="14"/>
                      <w:ind w:left="20"/>
                      <w:rPr>
                        <w:sz w:val="16"/>
                      </w:rPr>
                    </w:pPr>
                    <w:r>
                      <w:rPr>
                        <w:sz w:val="16"/>
                      </w:rPr>
                      <w:t>R.13-11-005</w:t>
                    </w:r>
                    <w:r>
                      <w:rPr>
                        <w:spacing w:val="34"/>
                        <w:sz w:val="16"/>
                      </w:rPr>
                      <w:t xml:space="preserve"> </w:t>
                    </w:r>
                    <w:r>
                      <w:rPr>
                        <w:spacing w:val="-2"/>
                        <w:sz w:val="16"/>
                      </w:rPr>
                      <w:t>ALJ/VUK/mef</w:t>
                    </w:r>
                  </w:p>
                </w:txbxContent>
              </v:textbox>
              <w10:wrap anchorx="page" anchory="page"/>
            </v:shape>
          </w:pict>
        </mc:Fallback>
      </mc:AlternateContent>
    </w:r>
    <w:r>
      <w:rPr>
        <w:noProof/>
      </w:rPr>
      <mc:AlternateContent>
        <mc:Choice Requires="wps">
          <w:drawing>
            <wp:anchor distT="0" distB="0" distL="0" distR="0" simplePos="0" relativeHeight="465441280" behindDoc="1" locked="0" layoutInCell="1" allowOverlap="1" wp14:anchorId="586DD150" wp14:editId="0803CFBE">
              <wp:simplePos x="0" y="0"/>
              <wp:positionH relativeFrom="page">
                <wp:posOffset>3516121</wp:posOffset>
              </wp:positionH>
              <wp:positionV relativeFrom="page">
                <wp:posOffset>661163</wp:posOffset>
              </wp:positionV>
              <wp:extent cx="3316604" cy="1816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1610"/>
                      </a:xfrm>
                      <a:prstGeom prst="rect">
                        <a:avLst/>
                      </a:prstGeom>
                    </wps:spPr>
                    <wps:txbx>
                      <w:txbxContent>
                        <w:p w14:paraId="056D8795"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wps:txbx>
                    <wps:bodyPr wrap="square" lIns="0" tIns="0" rIns="0" bIns="0" rtlCol="0">
                      <a:noAutofit/>
                    </wps:bodyPr>
                  </wps:wsp>
                </a:graphicData>
              </a:graphic>
            </wp:anchor>
          </w:drawing>
        </mc:Choice>
        <mc:Fallback>
          <w:pict>
            <v:shape w14:anchorId="586DD150" id="Textbox 84" o:spid="_x0000_s1241" type="#_x0000_t202" style="position:absolute;margin-left:276.85pt;margin-top:52.05pt;width:261.15pt;height:14.3pt;z-index:-378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" filled="f" stroked="f">
              <v:textbox inset="0,0,0,0">
                <w:txbxContent>
                  <w:p w14:paraId="056D8795" w14:textId="77777777" w:rsidR="00C31389" w:rsidRDefault="00561FBD">
                    <w:pPr>
                      <w:spacing w:before="12"/>
                      <w:ind w:left="20"/>
                      <w:rPr>
                        <w:b/>
                      </w:rPr>
                    </w:pPr>
                    <w:r>
                      <w:rPr>
                        <w:b/>
                      </w:rPr>
                      <w:t>2023</w:t>
                    </w:r>
                    <w:r>
                      <w:rPr>
                        <w:b/>
                        <w:spacing w:val="-8"/>
                      </w:rPr>
                      <w:t xml:space="preserve"> </w:t>
                    </w:r>
                    <w:r>
                      <w:rPr>
                        <w:b/>
                      </w:rPr>
                      <w:t>Energy</w:t>
                    </w:r>
                    <w:r>
                      <w:rPr>
                        <w:b/>
                        <w:spacing w:val="-8"/>
                      </w:rPr>
                      <w:t xml:space="preserve"> </w:t>
                    </w:r>
                    <w:r>
                      <w:rPr>
                        <w:b/>
                      </w:rPr>
                      <w:t>Efficiency</w:t>
                    </w:r>
                    <w:r>
                      <w:rPr>
                        <w:b/>
                        <w:spacing w:val="-8"/>
                      </w:rPr>
                      <w:t xml:space="preserve"> </w:t>
                    </w:r>
                    <w:r>
                      <w:rPr>
                        <w:b/>
                      </w:rPr>
                      <w:t>Potential</w:t>
                    </w:r>
                    <w:r>
                      <w:rPr>
                        <w:b/>
                        <w:spacing w:val="-8"/>
                      </w:rPr>
                      <w:t xml:space="preserve"> </w:t>
                    </w:r>
                    <w:r>
                      <w:rPr>
                        <w:b/>
                      </w:rPr>
                      <w:t>and</w:t>
                    </w:r>
                    <w:r>
                      <w:rPr>
                        <w:b/>
                        <w:spacing w:val="-8"/>
                      </w:rPr>
                      <w:t xml:space="preserve"> </w:t>
                    </w:r>
                    <w:r>
                      <w:rPr>
                        <w:b/>
                      </w:rPr>
                      <w:t>Goals</w:t>
                    </w:r>
                    <w:r>
                      <w:rPr>
                        <w:b/>
                        <w:spacing w:val="-8"/>
                      </w:rPr>
                      <w:t xml:space="preserve"> </w:t>
                    </w:r>
                    <w:r>
                      <w:rPr>
                        <w:b/>
                        <w:spacing w:val="-2"/>
                      </w:rPr>
                      <w:t>Study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165"/>
    <w:multiLevelType w:val="hybridMultilevel"/>
    <w:tmpl w:val="38A46C70"/>
    <w:lvl w:ilvl="0" w:tplc="60668C9E">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F1421E1E">
      <w:numFmt w:val="bullet"/>
      <w:lvlText w:val="•"/>
      <w:lvlJc w:val="left"/>
      <w:pPr>
        <w:ind w:left="2072" w:hanging="360"/>
      </w:pPr>
      <w:rPr>
        <w:rFonts w:hint="default"/>
        <w:lang w:val="en-US" w:eastAsia="en-US" w:bidi="ar-SA"/>
      </w:rPr>
    </w:lvl>
    <w:lvl w:ilvl="2" w:tplc="D9F661BE">
      <w:numFmt w:val="bullet"/>
      <w:lvlText w:val="•"/>
      <w:lvlJc w:val="left"/>
      <w:pPr>
        <w:ind w:left="2945" w:hanging="360"/>
      </w:pPr>
      <w:rPr>
        <w:rFonts w:hint="default"/>
        <w:lang w:val="en-US" w:eastAsia="en-US" w:bidi="ar-SA"/>
      </w:rPr>
    </w:lvl>
    <w:lvl w:ilvl="3" w:tplc="1944D002">
      <w:numFmt w:val="bullet"/>
      <w:lvlText w:val="•"/>
      <w:lvlJc w:val="left"/>
      <w:pPr>
        <w:ind w:left="3817" w:hanging="360"/>
      </w:pPr>
      <w:rPr>
        <w:rFonts w:hint="default"/>
        <w:lang w:val="en-US" w:eastAsia="en-US" w:bidi="ar-SA"/>
      </w:rPr>
    </w:lvl>
    <w:lvl w:ilvl="4" w:tplc="593A7F6C">
      <w:numFmt w:val="bullet"/>
      <w:lvlText w:val="•"/>
      <w:lvlJc w:val="left"/>
      <w:pPr>
        <w:ind w:left="4690" w:hanging="360"/>
      </w:pPr>
      <w:rPr>
        <w:rFonts w:hint="default"/>
        <w:lang w:val="en-US" w:eastAsia="en-US" w:bidi="ar-SA"/>
      </w:rPr>
    </w:lvl>
    <w:lvl w:ilvl="5" w:tplc="CDDAAB54">
      <w:numFmt w:val="bullet"/>
      <w:lvlText w:val="•"/>
      <w:lvlJc w:val="left"/>
      <w:pPr>
        <w:ind w:left="5563" w:hanging="360"/>
      </w:pPr>
      <w:rPr>
        <w:rFonts w:hint="default"/>
        <w:lang w:val="en-US" w:eastAsia="en-US" w:bidi="ar-SA"/>
      </w:rPr>
    </w:lvl>
    <w:lvl w:ilvl="6" w:tplc="55C28F5A">
      <w:numFmt w:val="bullet"/>
      <w:lvlText w:val="•"/>
      <w:lvlJc w:val="left"/>
      <w:pPr>
        <w:ind w:left="6435" w:hanging="360"/>
      </w:pPr>
      <w:rPr>
        <w:rFonts w:hint="default"/>
        <w:lang w:val="en-US" w:eastAsia="en-US" w:bidi="ar-SA"/>
      </w:rPr>
    </w:lvl>
    <w:lvl w:ilvl="7" w:tplc="01EE80A0">
      <w:numFmt w:val="bullet"/>
      <w:lvlText w:val="•"/>
      <w:lvlJc w:val="left"/>
      <w:pPr>
        <w:ind w:left="7308" w:hanging="360"/>
      </w:pPr>
      <w:rPr>
        <w:rFonts w:hint="default"/>
        <w:lang w:val="en-US" w:eastAsia="en-US" w:bidi="ar-SA"/>
      </w:rPr>
    </w:lvl>
    <w:lvl w:ilvl="8" w:tplc="1ECE38D0">
      <w:numFmt w:val="bullet"/>
      <w:lvlText w:val="•"/>
      <w:lvlJc w:val="left"/>
      <w:pPr>
        <w:ind w:left="8181" w:hanging="360"/>
      </w:pPr>
      <w:rPr>
        <w:rFonts w:hint="default"/>
        <w:lang w:val="en-US" w:eastAsia="en-US" w:bidi="ar-SA"/>
      </w:rPr>
    </w:lvl>
  </w:abstractNum>
  <w:abstractNum w:abstractNumId="1" w15:restartNumberingAfterBreak="0">
    <w:nsid w:val="05CF7459"/>
    <w:multiLevelType w:val="hybridMultilevel"/>
    <w:tmpl w:val="95CC5B94"/>
    <w:lvl w:ilvl="0" w:tplc="9B826822">
      <w:numFmt w:val="bullet"/>
      <w:lvlText w:val=""/>
      <w:lvlJc w:val="left"/>
      <w:pPr>
        <w:ind w:left="440" w:hanging="188"/>
      </w:pPr>
      <w:rPr>
        <w:rFonts w:ascii="Symbol" w:eastAsia="Symbol" w:hAnsi="Symbol" w:cs="Symbol" w:hint="default"/>
        <w:b w:val="0"/>
        <w:bCs w:val="0"/>
        <w:i w:val="0"/>
        <w:iCs w:val="0"/>
        <w:spacing w:val="0"/>
        <w:w w:val="100"/>
        <w:sz w:val="20"/>
        <w:szCs w:val="20"/>
        <w:lang w:val="en-US" w:eastAsia="en-US" w:bidi="ar-SA"/>
      </w:rPr>
    </w:lvl>
    <w:lvl w:ilvl="1" w:tplc="51E8C566">
      <w:numFmt w:val="bullet"/>
      <w:lvlText w:val="•"/>
      <w:lvlJc w:val="left"/>
      <w:pPr>
        <w:ind w:left="1155" w:hanging="188"/>
      </w:pPr>
      <w:rPr>
        <w:rFonts w:hint="default"/>
        <w:lang w:val="en-US" w:eastAsia="en-US" w:bidi="ar-SA"/>
      </w:rPr>
    </w:lvl>
    <w:lvl w:ilvl="2" w:tplc="86F28CBC">
      <w:numFmt w:val="bullet"/>
      <w:lvlText w:val="•"/>
      <w:lvlJc w:val="left"/>
      <w:pPr>
        <w:ind w:left="1871" w:hanging="188"/>
      </w:pPr>
      <w:rPr>
        <w:rFonts w:hint="default"/>
        <w:lang w:val="en-US" w:eastAsia="en-US" w:bidi="ar-SA"/>
      </w:rPr>
    </w:lvl>
    <w:lvl w:ilvl="3" w:tplc="9B7A05FE">
      <w:numFmt w:val="bullet"/>
      <w:lvlText w:val="•"/>
      <w:lvlJc w:val="left"/>
      <w:pPr>
        <w:ind w:left="2586" w:hanging="188"/>
      </w:pPr>
      <w:rPr>
        <w:rFonts w:hint="default"/>
        <w:lang w:val="en-US" w:eastAsia="en-US" w:bidi="ar-SA"/>
      </w:rPr>
    </w:lvl>
    <w:lvl w:ilvl="4" w:tplc="2742843E">
      <w:numFmt w:val="bullet"/>
      <w:lvlText w:val="•"/>
      <w:lvlJc w:val="left"/>
      <w:pPr>
        <w:ind w:left="3302" w:hanging="188"/>
      </w:pPr>
      <w:rPr>
        <w:rFonts w:hint="default"/>
        <w:lang w:val="en-US" w:eastAsia="en-US" w:bidi="ar-SA"/>
      </w:rPr>
    </w:lvl>
    <w:lvl w:ilvl="5" w:tplc="DD9AD98C">
      <w:numFmt w:val="bullet"/>
      <w:lvlText w:val="•"/>
      <w:lvlJc w:val="left"/>
      <w:pPr>
        <w:ind w:left="4017" w:hanging="188"/>
      </w:pPr>
      <w:rPr>
        <w:rFonts w:hint="default"/>
        <w:lang w:val="en-US" w:eastAsia="en-US" w:bidi="ar-SA"/>
      </w:rPr>
    </w:lvl>
    <w:lvl w:ilvl="6" w:tplc="6BD2DF1C">
      <w:numFmt w:val="bullet"/>
      <w:lvlText w:val="•"/>
      <w:lvlJc w:val="left"/>
      <w:pPr>
        <w:ind w:left="4733" w:hanging="188"/>
      </w:pPr>
      <w:rPr>
        <w:rFonts w:hint="default"/>
        <w:lang w:val="en-US" w:eastAsia="en-US" w:bidi="ar-SA"/>
      </w:rPr>
    </w:lvl>
    <w:lvl w:ilvl="7" w:tplc="CB004588">
      <w:numFmt w:val="bullet"/>
      <w:lvlText w:val="•"/>
      <w:lvlJc w:val="left"/>
      <w:pPr>
        <w:ind w:left="5448" w:hanging="188"/>
      </w:pPr>
      <w:rPr>
        <w:rFonts w:hint="default"/>
        <w:lang w:val="en-US" w:eastAsia="en-US" w:bidi="ar-SA"/>
      </w:rPr>
    </w:lvl>
    <w:lvl w:ilvl="8" w:tplc="C02CD7A0">
      <w:numFmt w:val="bullet"/>
      <w:lvlText w:val="•"/>
      <w:lvlJc w:val="left"/>
      <w:pPr>
        <w:ind w:left="6164" w:hanging="188"/>
      </w:pPr>
      <w:rPr>
        <w:rFonts w:hint="default"/>
        <w:lang w:val="en-US" w:eastAsia="en-US" w:bidi="ar-SA"/>
      </w:rPr>
    </w:lvl>
  </w:abstractNum>
  <w:abstractNum w:abstractNumId="2" w15:restartNumberingAfterBreak="0">
    <w:nsid w:val="07BB4D9A"/>
    <w:multiLevelType w:val="hybridMultilevel"/>
    <w:tmpl w:val="8D740624"/>
    <w:lvl w:ilvl="0" w:tplc="F0E4E7A0">
      <w:numFmt w:val="bullet"/>
      <w:lvlText w:val=""/>
      <w:lvlJc w:val="left"/>
      <w:pPr>
        <w:ind w:left="543" w:hanging="360"/>
      </w:pPr>
      <w:rPr>
        <w:rFonts w:ascii="Symbol" w:eastAsia="Symbol" w:hAnsi="Symbol" w:cs="Symbol" w:hint="default"/>
        <w:b w:val="0"/>
        <w:bCs w:val="0"/>
        <w:i w:val="0"/>
        <w:iCs w:val="0"/>
        <w:spacing w:val="0"/>
        <w:w w:val="100"/>
        <w:sz w:val="20"/>
        <w:szCs w:val="20"/>
        <w:lang w:val="en-US" w:eastAsia="en-US" w:bidi="ar-SA"/>
      </w:rPr>
    </w:lvl>
    <w:lvl w:ilvl="1" w:tplc="9BFA608C">
      <w:numFmt w:val="bullet"/>
      <w:lvlText w:val="•"/>
      <w:lvlJc w:val="left"/>
      <w:pPr>
        <w:ind w:left="947" w:hanging="360"/>
      </w:pPr>
      <w:rPr>
        <w:rFonts w:hint="default"/>
        <w:lang w:val="en-US" w:eastAsia="en-US" w:bidi="ar-SA"/>
      </w:rPr>
    </w:lvl>
    <w:lvl w:ilvl="2" w:tplc="333ABC98">
      <w:numFmt w:val="bullet"/>
      <w:lvlText w:val="•"/>
      <w:lvlJc w:val="left"/>
      <w:pPr>
        <w:ind w:left="1354" w:hanging="360"/>
      </w:pPr>
      <w:rPr>
        <w:rFonts w:hint="default"/>
        <w:lang w:val="en-US" w:eastAsia="en-US" w:bidi="ar-SA"/>
      </w:rPr>
    </w:lvl>
    <w:lvl w:ilvl="3" w:tplc="A9D62B7A">
      <w:numFmt w:val="bullet"/>
      <w:lvlText w:val="•"/>
      <w:lvlJc w:val="left"/>
      <w:pPr>
        <w:ind w:left="1762" w:hanging="360"/>
      </w:pPr>
      <w:rPr>
        <w:rFonts w:hint="default"/>
        <w:lang w:val="en-US" w:eastAsia="en-US" w:bidi="ar-SA"/>
      </w:rPr>
    </w:lvl>
    <w:lvl w:ilvl="4" w:tplc="2C3A3938">
      <w:numFmt w:val="bullet"/>
      <w:lvlText w:val="•"/>
      <w:lvlJc w:val="left"/>
      <w:pPr>
        <w:ind w:left="2169" w:hanging="360"/>
      </w:pPr>
      <w:rPr>
        <w:rFonts w:hint="default"/>
        <w:lang w:val="en-US" w:eastAsia="en-US" w:bidi="ar-SA"/>
      </w:rPr>
    </w:lvl>
    <w:lvl w:ilvl="5" w:tplc="9F4EF29C">
      <w:numFmt w:val="bullet"/>
      <w:lvlText w:val="•"/>
      <w:lvlJc w:val="left"/>
      <w:pPr>
        <w:ind w:left="2577" w:hanging="360"/>
      </w:pPr>
      <w:rPr>
        <w:rFonts w:hint="default"/>
        <w:lang w:val="en-US" w:eastAsia="en-US" w:bidi="ar-SA"/>
      </w:rPr>
    </w:lvl>
    <w:lvl w:ilvl="6" w:tplc="048AA326">
      <w:numFmt w:val="bullet"/>
      <w:lvlText w:val="•"/>
      <w:lvlJc w:val="left"/>
      <w:pPr>
        <w:ind w:left="2984" w:hanging="360"/>
      </w:pPr>
      <w:rPr>
        <w:rFonts w:hint="default"/>
        <w:lang w:val="en-US" w:eastAsia="en-US" w:bidi="ar-SA"/>
      </w:rPr>
    </w:lvl>
    <w:lvl w:ilvl="7" w:tplc="65306264">
      <w:numFmt w:val="bullet"/>
      <w:lvlText w:val="•"/>
      <w:lvlJc w:val="left"/>
      <w:pPr>
        <w:ind w:left="3391" w:hanging="360"/>
      </w:pPr>
      <w:rPr>
        <w:rFonts w:hint="default"/>
        <w:lang w:val="en-US" w:eastAsia="en-US" w:bidi="ar-SA"/>
      </w:rPr>
    </w:lvl>
    <w:lvl w:ilvl="8" w:tplc="21C6175C">
      <w:numFmt w:val="bullet"/>
      <w:lvlText w:val="•"/>
      <w:lvlJc w:val="left"/>
      <w:pPr>
        <w:ind w:left="3799" w:hanging="360"/>
      </w:pPr>
      <w:rPr>
        <w:rFonts w:hint="default"/>
        <w:lang w:val="en-US" w:eastAsia="en-US" w:bidi="ar-SA"/>
      </w:rPr>
    </w:lvl>
  </w:abstractNum>
  <w:abstractNum w:abstractNumId="3" w15:restartNumberingAfterBreak="0">
    <w:nsid w:val="07FB6604"/>
    <w:multiLevelType w:val="hybridMultilevel"/>
    <w:tmpl w:val="F6D02C40"/>
    <w:lvl w:ilvl="0" w:tplc="E3EA46C4">
      <w:start w:val="1"/>
      <w:numFmt w:val="decimal"/>
      <w:lvlText w:val="%1."/>
      <w:lvlJc w:val="left"/>
      <w:pPr>
        <w:ind w:left="839" w:hanging="360"/>
        <w:jc w:val="left"/>
      </w:pPr>
      <w:rPr>
        <w:rFonts w:ascii="Arial" w:eastAsia="Arial" w:hAnsi="Arial" w:cs="Arial" w:hint="default"/>
        <w:b w:val="0"/>
        <w:bCs w:val="0"/>
        <w:i w:val="0"/>
        <w:iCs w:val="0"/>
        <w:spacing w:val="0"/>
        <w:w w:val="99"/>
        <w:sz w:val="22"/>
        <w:szCs w:val="22"/>
        <w:lang w:val="en-US" w:eastAsia="en-US" w:bidi="ar-SA"/>
      </w:rPr>
    </w:lvl>
    <w:lvl w:ilvl="1" w:tplc="3586B208">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2" w:tplc="63E6ED26">
      <w:numFmt w:val="bullet"/>
      <w:lvlText w:val="•"/>
      <w:lvlJc w:val="left"/>
      <w:pPr>
        <w:ind w:left="2169" w:hanging="360"/>
      </w:pPr>
      <w:rPr>
        <w:rFonts w:hint="default"/>
        <w:lang w:val="en-US" w:eastAsia="en-US" w:bidi="ar-SA"/>
      </w:rPr>
    </w:lvl>
    <w:lvl w:ilvl="3" w:tplc="893098D2">
      <w:numFmt w:val="bullet"/>
      <w:lvlText w:val="•"/>
      <w:lvlJc w:val="left"/>
      <w:pPr>
        <w:ind w:left="3139" w:hanging="360"/>
      </w:pPr>
      <w:rPr>
        <w:rFonts w:hint="default"/>
        <w:lang w:val="en-US" w:eastAsia="en-US" w:bidi="ar-SA"/>
      </w:rPr>
    </w:lvl>
    <w:lvl w:ilvl="4" w:tplc="52F03A7C">
      <w:numFmt w:val="bullet"/>
      <w:lvlText w:val="•"/>
      <w:lvlJc w:val="left"/>
      <w:pPr>
        <w:ind w:left="4108" w:hanging="360"/>
      </w:pPr>
      <w:rPr>
        <w:rFonts w:hint="default"/>
        <w:lang w:val="en-US" w:eastAsia="en-US" w:bidi="ar-SA"/>
      </w:rPr>
    </w:lvl>
    <w:lvl w:ilvl="5" w:tplc="167AB8D4">
      <w:numFmt w:val="bullet"/>
      <w:lvlText w:val="•"/>
      <w:lvlJc w:val="left"/>
      <w:pPr>
        <w:ind w:left="5078" w:hanging="360"/>
      </w:pPr>
      <w:rPr>
        <w:rFonts w:hint="default"/>
        <w:lang w:val="en-US" w:eastAsia="en-US" w:bidi="ar-SA"/>
      </w:rPr>
    </w:lvl>
    <w:lvl w:ilvl="6" w:tplc="34F4D256">
      <w:numFmt w:val="bullet"/>
      <w:lvlText w:val="•"/>
      <w:lvlJc w:val="left"/>
      <w:pPr>
        <w:ind w:left="6048" w:hanging="360"/>
      </w:pPr>
      <w:rPr>
        <w:rFonts w:hint="default"/>
        <w:lang w:val="en-US" w:eastAsia="en-US" w:bidi="ar-SA"/>
      </w:rPr>
    </w:lvl>
    <w:lvl w:ilvl="7" w:tplc="BFFE176A">
      <w:numFmt w:val="bullet"/>
      <w:lvlText w:val="•"/>
      <w:lvlJc w:val="left"/>
      <w:pPr>
        <w:ind w:left="7017" w:hanging="360"/>
      </w:pPr>
      <w:rPr>
        <w:rFonts w:hint="default"/>
        <w:lang w:val="en-US" w:eastAsia="en-US" w:bidi="ar-SA"/>
      </w:rPr>
    </w:lvl>
    <w:lvl w:ilvl="8" w:tplc="94E6CF3C">
      <w:numFmt w:val="bullet"/>
      <w:lvlText w:val="•"/>
      <w:lvlJc w:val="left"/>
      <w:pPr>
        <w:ind w:left="7987" w:hanging="360"/>
      </w:pPr>
      <w:rPr>
        <w:rFonts w:hint="default"/>
        <w:lang w:val="en-US" w:eastAsia="en-US" w:bidi="ar-SA"/>
      </w:rPr>
    </w:lvl>
  </w:abstractNum>
  <w:abstractNum w:abstractNumId="4" w15:restartNumberingAfterBreak="0">
    <w:nsid w:val="0B49201B"/>
    <w:multiLevelType w:val="hybridMultilevel"/>
    <w:tmpl w:val="E836E57E"/>
    <w:lvl w:ilvl="0" w:tplc="C4BAAE7A">
      <w:numFmt w:val="bullet"/>
      <w:lvlText w:val=""/>
      <w:lvlJc w:val="left"/>
      <w:pPr>
        <w:ind w:left="483" w:hanging="188"/>
      </w:pPr>
      <w:rPr>
        <w:rFonts w:ascii="Symbol" w:eastAsia="Symbol" w:hAnsi="Symbol" w:cs="Symbol" w:hint="default"/>
        <w:b w:val="0"/>
        <w:bCs w:val="0"/>
        <w:i w:val="0"/>
        <w:iCs w:val="0"/>
        <w:spacing w:val="0"/>
        <w:w w:val="100"/>
        <w:sz w:val="20"/>
        <w:szCs w:val="20"/>
        <w:lang w:val="en-US" w:eastAsia="en-US" w:bidi="ar-SA"/>
      </w:rPr>
    </w:lvl>
    <w:lvl w:ilvl="1" w:tplc="325E8A5A">
      <w:numFmt w:val="bullet"/>
      <w:lvlText w:val="•"/>
      <w:lvlJc w:val="left"/>
      <w:pPr>
        <w:ind w:left="1153" w:hanging="188"/>
      </w:pPr>
      <w:rPr>
        <w:rFonts w:hint="default"/>
        <w:lang w:val="en-US" w:eastAsia="en-US" w:bidi="ar-SA"/>
      </w:rPr>
    </w:lvl>
    <w:lvl w:ilvl="2" w:tplc="22AC8688">
      <w:numFmt w:val="bullet"/>
      <w:lvlText w:val="•"/>
      <w:lvlJc w:val="left"/>
      <w:pPr>
        <w:ind w:left="1827" w:hanging="188"/>
      </w:pPr>
      <w:rPr>
        <w:rFonts w:hint="default"/>
        <w:lang w:val="en-US" w:eastAsia="en-US" w:bidi="ar-SA"/>
      </w:rPr>
    </w:lvl>
    <w:lvl w:ilvl="3" w:tplc="A0A419F8">
      <w:numFmt w:val="bullet"/>
      <w:lvlText w:val="•"/>
      <w:lvlJc w:val="left"/>
      <w:pPr>
        <w:ind w:left="2501" w:hanging="188"/>
      </w:pPr>
      <w:rPr>
        <w:rFonts w:hint="default"/>
        <w:lang w:val="en-US" w:eastAsia="en-US" w:bidi="ar-SA"/>
      </w:rPr>
    </w:lvl>
    <w:lvl w:ilvl="4" w:tplc="BB7AB2D4">
      <w:numFmt w:val="bullet"/>
      <w:lvlText w:val="•"/>
      <w:lvlJc w:val="left"/>
      <w:pPr>
        <w:ind w:left="3175" w:hanging="188"/>
      </w:pPr>
      <w:rPr>
        <w:rFonts w:hint="default"/>
        <w:lang w:val="en-US" w:eastAsia="en-US" w:bidi="ar-SA"/>
      </w:rPr>
    </w:lvl>
    <w:lvl w:ilvl="5" w:tplc="E80EFFDE">
      <w:numFmt w:val="bullet"/>
      <w:lvlText w:val="•"/>
      <w:lvlJc w:val="left"/>
      <w:pPr>
        <w:ind w:left="3849" w:hanging="188"/>
      </w:pPr>
      <w:rPr>
        <w:rFonts w:hint="default"/>
        <w:lang w:val="en-US" w:eastAsia="en-US" w:bidi="ar-SA"/>
      </w:rPr>
    </w:lvl>
    <w:lvl w:ilvl="6" w:tplc="950C7568">
      <w:numFmt w:val="bullet"/>
      <w:lvlText w:val="•"/>
      <w:lvlJc w:val="left"/>
      <w:pPr>
        <w:ind w:left="4523" w:hanging="188"/>
      </w:pPr>
      <w:rPr>
        <w:rFonts w:hint="default"/>
        <w:lang w:val="en-US" w:eastAsia="en-US" w:bidi="ar-SA"/>
      </w:rPr>
    </w:lvl>
    <w:lvl w:ilvl="7" w:tplc="9F0E890C">
      <w:numFmt w:val="bullet"/>
      <w:lvlText w:val="•"/>
      <w:lvlJc w:val="left"/>
      <w:pPr>
        <w:ind w:left="5197" w:hanging="188"/>
      </w:pPr>
      <w:rPr>
        <w:rFonts w:hint="default"/>
        <w:lang w:val="en-US" w:eastAsia="en-US" w:bidi="ar-SA"/>
      </w:rPr>
    </w:lvl>
    <w:lvl w:ilvl="8" w:tplc="2AD469FA">
      <w:numFmt w:val="bullet"/>
      <w:lvlText w:val="•"/>
      <w:lvlJc w:val="left"/>
      <w:pPr>
        <w:ind w:left="5871" w:hanging="188"/>
      </w:pPr>
      <w:rPr>
        <w:rFonts w:hint="default"/>
        <w:lang w:val="en-US" w:eastAsia="en-US" w:bidi="ar-SA"/>
      </w:rPr>
    </w:lvl>
  </w:abstractNum>
  <w:abstractNum w:abstractNumId="5" w15:restartNumberingAfterBreak="0">
    <w:nsid w:val="0BCD7971"/>
    <w:multiLevelType w:val="hybridMultilevel"/>
    <w:tmpl w:val="5B7E6416"/>
    <w:lvl w:ilvl="0" w:tplc="06204B44">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01CC317C">
      <w:numFmt w:val="bullet"/>
      <w:lvlText w:val="•"/>
      <w:lvlJc w:val="left"/>
      <w:pPr>
        <w:ind w:left="2112" w:hanging="360"/>
      </w:pPr>
      <w:rPr>
        <w:rFonts w:hint="default"/>
        <w:lang w:val="en-US" w:eastAsia="en-US" w:bidi="ar-SA"/>
      </w:rPr>
    </w:lvl>
    <w:lvl w:ilvl="2" w:tplc="A802CB72">
      <w:numFmt w:val="bullet"/>
      <w:lvlText w:val="•"/>
      <w:lvlJc w:val="left"/>
      <w:pPr>
        <w:ind w:left="3024" w:hanging="360"/>
      </w:pPr>
      <w:rPr>
        <w:rFonts w:hint="default"/>
        <w:lang w:val="en-US" w:eastAsia="en-US" w:bidi="ar-SA"/>
      </w:rPr>
    </w:lvl>
    <w:lvl w:ilvl="3" w:tplc="8BACD6AE">
      <w:numFmt w:val="bullet"/>
      <w:lvlText w:val="•"/>
      <w:lvlJc w:val="left"/>
      <w:pPr>
        <w:ind w:left="3936" w:hanging="360"/>
      </w:pPr>
      <w:rPr>
        <w:rFonts w:hint="default"/>
        <w:lang w:val="en-US" w:eastAsia="en-US" w:bidi="ar-SA"/>
      </w:rPr>
    </w:lvl>
    <w:lvl w:ilvl="4" w:tplc="56A42BF6">
      <w:numFmt w:val="bullet"/>
      <w:lvlText w:val="•"/>
      <w:lvlJc w:val="left"/>
      <w:pPr>
        <w:ind w:left="4848" w:hanging="360"/>
      </w:pPr>
      <w:rPr>
        <w:rFonts w:hint="default"/>
        <w:lang w:val="en-US" w:eastAsia="en-US" w:bidi="ar-SA"/>
      </w:rPr>
    </w:lvl>
    <w:lvl w:ilvl="5" w:tplc="D2520CF2">
      <w:numFmt w:val="bullet"/>
      <w:lvlText w:val="•"/>
      <w:lvlJc w:val="left"/>
      <w:pPr>
        <w:ind w:left="5760" w:hanging="360"/>
      </w:pPr>
      <w:rPr>
        <w:rFonts w:hint="default"/>
        <w:lang w:val="en-US" w:eastAsia="en-US" w:bidi="ar-SA"/>
      </w:rPr>
    </w:lvl>
    <w:lvl w:ilvl="6" w:tplc="F0987DA6">
      <w:numFmt w:val="bullet"/>
      <w:lvlText w:val="•"/>
      <w:lvlJc w:val="left"/>
      <w:pPr>
        <w:ind w:left="6672" w:hanging="360"/>
      </w:pPr>
      <w:rPr>
        <w:rFonts w:hint="default"/>
        <w:lang w:val="en-US" w:eastAsia="en-US" w:bidi="ar-SA"/>
      </w:rPr>
    </w:lvl>
    <w:lvl w:ilvl="7" w:tplc="C03431E2">
      <w:numFmt w:val="bullet"/>
      <w:lvlText w:val="•"/>
      <w:lvlJc w:val="left"/>
      <w:pPr>
        <w:ind w:left="7584" w:hanging="360"/>
      </w:pPr>
      <w:rPr>
        <w:rFonts w:hint="default"/>
        <w:lang w:val="en-US" w:eastAsia="en-US" w:bidi="ar-SA"/>
      </w:rPr>
    </w:lvl>
    <w:lvl w:ilvl="8" w:tplc="3AD0C742">
      <w:numFmt w:val="bullet"/>
      <w:lvlText w:val="•"/>
      <w:lvlJc w:val="left"/>
      <w:pPr>
        <w:ind w:left="8496" w:hanging="360"/>
      </w:pPr>
      <w:rPr>
        <w:rFonts w:hint="default"/>
        <w:lang w:val="en-US" w:eastAsia="en-US" w:bidi="ar-SA"/>
      </w:rPr>
    </w:lvl>
  </w:abstractNum>
  <w:abstractNum w:abstractNumId="6" w15:restartNumberingAfterBreak="0">
    <w:nsid w:val="10287B6D"/>
    <w:multiLevelType w:val="hybridMultilevel"/>
    <w:tmpl w:val="CD667090"/>
    <w:lvl w:ilvl="0" w:tplc="BF88489E">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398AD898">
      <w:numFmt w:val="bullet"/>
      <w:lvlText w:val="•"/>
      <w:lvlJc w:val="left"/>
      <w:pPr>
        <w:ind w:left="2072" w:hanging="360"/>
      </w:pPr>
      <w:rPr>
        <w:rFonts w:hint="default"/>
        <w:lang w:val="en-US" w:eastAsia="en-US" w:bidi="ar-SA"/>
      </w:rPr>
    </w:lvl>
    <w:lvl w:ilvl="2" w:tplc="D6E80C6E">
      <w:numFmt w:val="bullet"/>
      <w:lvlText w:val="•"/>
      <w:lvlJc w:val="left"/>
      <w:pPr>
        <w:ind w:left="2945" w:hanging="360"/>
      </w:pPr>
      <w:rPr>
        <w:rFonts w:hint="default"/>
        <w:lang w:val="en-US" w:eastAsia="en-US" w:bidi="ar-SA"/>
      </w:rPr>
    </w:lvl>
    <w:lvl w:ilvl="3" w:tplc="2FD6888C">
      <w:numFmt w:val="bullet"/>
      <w:lvlText w:val="•"/>
      <w:lvlJc w:val="left"/>
      <w:pPr>
        <w:ind w:left="3817" w:hanging="360"/>
      </w:pPr>
      <w:rPr>
        <w:rFonts w:hint="default"/>
        <w:lang w:val="en-US" w:eastAsia="en-US" w:bidi="ar-SA"/>
      </w:rPr>
    </w:lvl>
    <w:lvl w:ilvl="4" w:tplc="C784C52C">
      <w:numFmt w:val="bullet"/>
      <w:lvlText w:val="•"/>
      <w:lvlJc w:val="left"/>
      <w:pPr>
        <w:ind w:left="4690" w:hanging="360"/>
      </w:pPr>
      <w:rPr>
        <w:rFonts w:hint="default"/>
        <w:lang w:val="en-US" w:eastAsia="en-US" w:bidi="ar-SA"/>
      </w:rPr>
    </w:lvl>
    <w:lvl w:ilvl="5" w:tplc="A16AEA9E">
      <w:numFmt w:val="bullet"/>
      <w:lvlText w:val="•"/>
      <w:lvlJc w:val="left"/>
      <w:pPr>
        <w:ind w:left="5563" w:hanging="360"/>
      </w:pPr>
      <w:rPr>
        <w:rFonts w:hint="default"/>
        <w:lang w:val="en-US" w:eastAsia="en-US" w:bidi="ar-SA"/>
      </w:rPr>
    </w:lvl>
    <w:lvl w:ilvl="6" w:tplc="323CA748">
      <w:numFmt w:val="bullet"/>
      <w:lvlText w:val="•"/>
      <w:lvlJc w:val="left"/>
      <w:pPr>
        <w:ind w:left="6435" w:hanging="360"/>
      </w:pPr>
      <w:rPr>
        <w:rFonts w:hint="default"/>
        <w:lang w:val="en-US" w:eastAsia="en-US" w:bidi="ar-SA"/>
      </w:rPr>
    </w:lvl>
    <w:lvl w:ilvl="7" w:tplc="F6EA35DC">
      <w:numFmt w:val="bullet"/>
      <w:lvlText w:val="•"/>
      <w:lvlJc w:val="left"/>
      <w:pPr>
        <w:ind w:left="7308" w:hanging="360"/>
      </w:pPr>
      <w:rPr>
        <w:rFonts w:hint="default"/>
        <w:lang w:val="en-US" w:eastAsia="en-US" w:bidi="ar-SA"/>
      </w:rPr>
    </w:lvl>
    <w:lvl w:ilvl="8" w:tplc="A42E090A">
      <w:numFmt w:val="bullet"/>
      <w:lvlText w:val="•"/>
      <w:lvlJc w:val="left"/>
      <w:pPr>
        <w:ind w:left="8181" w:hanging="360"/>
      </w:pPr>
      <w:rPr>
        <w:rFonts w:hint="default"/>
        <w:lang w:val="en-US" w:eastAsia="en-US" w:bidi="ar-SA"/>
      </w:rPr>
    </w:lvl>
  </w:abstractNum>
  <w:abstractNum w:abstractNumId="7" w15:restartNumberingAfterBreak="0">
    <w:nsid w:val="10622462"/>
    <w:multiLevelType w:val="hybridMultilevel"/>
    <w:tmpl w:val="0D9C878A"/>
    <w:lvl w:ilvl="0" w:tplc="56FC977C">
      <w:numFmt w:val="bullet"/>
      <w:lvlText w:val=""/>
      <w:lvlJc w:val="left"/>
      <w:pPr>
        <w:ind w:left="625" w:hanging="360"/>
      </w:pPr>
      <w:rPr>
        <w:rFonts w:ascii="Symbol" w:eastAsia="Symbol" w:hAnsi="Symbol" w:cs="Symbol" w:hint="default"/>
        <w:b w:val="0"/>
        <w:bCs w:val="0"/>
        <w:i w:val="0"/>
        <w:iCs w:val="0"/>
        <w:spacing w:val="0"/>
        <w:w w:val="99"/>
        <w:sz w:val="22"/>
        <w:szCs w:val="22"/>
        <w:lang w:val="en-US" w:eastAsia="en-US" w:bidi="ar-SA"/>
      </w:rPr>
    </w:lvl>
    <w:lvl w:ilvl="1" w:tplc="1864F4A8">
      <w:numFmt w:val="bullet"/>
      <w:lvlText w:val="o"/>
      <w:lvlJc w:val="left"/>
      <w:pPr>
        <w:ind w:left="1344" w:hanging="360"/>
      </w:pPr>
      <w:rPr>
        <w:rFonts w:ascii="Courier New" w:eastAsia="Courier New" w:hAnsi="Courier New" w:cs="Courier New" w:hint="default"/>
        <w:b w:val="0"/>
        <w:bCs w:val="0"/>
        <w:i w:val="0"/>
        <w:iCs w:val="0"/>
        <w:spacing w:val="0"/>
        <w:w w:val="99"/>
        <w:sz w:val="22"/>
        <w:szCs w:val="22"/>
        <w:lang w:val="en-US" w:eastAsia="en-US" w:bidi="ar-SA"/>
      </w:rPr>
    </w:lvl>
    <w:lvl w:ilvl="2" w:tplc="5F9A139C">
      <w:numFmt w:val="bullet"/>
      <w:lvlText w:val=""/>
      <w:lvlJc w:val="left"/>
      <w:pPr>
        <w:ind w:left="2064" w:hanging="360"/>
      </w:pPr>
      <w:rPr>
        <w:rFonts w:ascii="Wingdings" w:eastAsia="Wingdings" w:hAnsi="Wingdings" w:cs="Wingdings" w:hint="default"/>
        <w:b w:val="0"/>
        <w:bCs w:val="0"/>
        <w:i w:val="0"/>
        <w:iCs w:val="0"/>
        <w:spacing w:val="0"/>
        <w:w w:val="99"/>
        <w:sz w:val="22"/>
        <w:szCs w:val="22"/>
        <w:lang w:val="en-US" w:eastAsia="en-US" w:bidi="ar-SA"/>
      </w:rPr>
    </w:lvl>
    <w:lvl w:ilvl="3" w:tplc="AC2A7A5E">
      <w:numFmt w:val="bullet"/>
      <w:lvlText w:val="•"/>
      <w:lvlJc w:val="left"/>
      <w:pPr>
        <w:ind w:left="3025" w:hanging="360"/>
      </w:pPr>
      <w:rPr>
        <w:rFonts w:hint="default"/>
        <w:lang w:val="en-US" w:eastAsia="en-US" w:bidi="ar-SA"/>
      </w:rPr>
    </w:lvl>
    <w:lvl w:ilvl="4" w:tplc="D52233F2">
      <w:numFmt w:val="bullet"/>
      <w:lvlText w:val="•"/>
      <w:lvlJc w:val="left"/>
      <w:pPr>
        <w:ind w:left="3990" w:hanging="360"/>
      </w:pPr>
      <w:rPr>
        <w:rFonts w:hint="default"/>
        <w:lang w:val="en-US" w:eastAsia="en-US" w:bidi="ar-SA"/>
      </w:rPr>
    </w:lvl>
    <w:lvl w:ilvl="5" w:tplc="587C2252">
      <w:numFmt w:val="bullet"/>
      <w:lvlText w:val="•"/>
      <w:lvlJc w:val="left"/>
      <w:pPr>
        <w:ind w:left="4955" w:hanging="360"/>
      </w:pPr>
      <w:rPr>
        <w:rFonts w:hint="default"/>
        <w:lang w:val="en-US" w:eastAsia="en-US" w:bidi="ar-SA"/>
      </w:rPr>
    </w:lvl>
    <w:lvl w:ilvl="6" w:tplc="082C028E">
      <w:numFmt w:val="bullet"/>
      <w:lvlText w:val="•"/>
      <w:lvlJc w:val="left"/>
      <w:pPr>
        <w:ind w:left="5920" w:hanging="360"/>
      </w:pPr>
      <w:rPr>
        <w:rFonts w:hint="default"/>
        <w:lang w:val="en-US" w:eastAsia="en-US" w:bidi="ar-SA"/>
      </w:rPr>
    </w:lvl>
    <w:lvl w:ilvl="7" w:tplc="48AC463C">
      <w:numFmt w:val="bullet"/>
      <w:lvlText w:val="•"/>
      <w:lvlJc w:val="left"/>
      <w:pPr>
        <w:ind w:left="6885" w:hanging="360"/>
      </w:pPr>
      <w:rPr>
        <w:rFonts w:hint="default"/>
        <w:lang w:val="en-US" w:eastAsia="en-US" w:bidi="ar-SA"/>
      </w:rPr>
    </w:lvl>
    <w:lvl w:ilvl="8" w:tplc="C1E4D07C">
      <w:numFmt w:val="bullet"/>
      <w:lvlText w:val="•"/>
      <w:lvlJc w:val="left"/>
      <w:pPr>
        <w:ind w:left="7850" w:hanging="360"/>
      </w:pPr>
      <w:rPr>
        <w:rFonts w:hint="default"/>
        <w:lang w:val="en-US" w:eastAsia="en-US" w:bidi="ar-SA"/>
      </w:rPr>
    </w:lvl>
  </w:abstractNum>
  <w:abstractNum w:abstractNumId="8" w15:restartNumberingAfterBreak="0">
    <w:nsid w:val="11CF535F"/>
    <w:multiLevelType w:val="multilevel"/>
    <w:tmpl w:val="2FC86EEA"/>
    <w:lvl w:ilvl="0">
      <w:start w:val="8"/>
      <w:numFmt w:val="upperLetter"/>
      <w:lvlText w:val="%1"/>
      <w:lvlJc w:val="left"/>
      <w:pPr>
        <w:ind w:left="1430" w:hanging="404"/>
        <w:jc w:val="left"/>
      </w:pPr>
      <w:rPr>
        <w:rFonts w:hint="default"/>
        <w:lang w:val="en-US" w:eastAsia="en-US" w:bidi="ar-SA"/>
      </w:rPr>
    </w:lvl>
    <w:lvl w:ilvl="1">
      <w:start w:val="1"/>
      <w:numFmt w:val="decimal"/>
      <w:lvlText w:val="%1.%2"/>
      <w:lvlJc w:val="left"/>
      <w:pPr>
        <w:ind w:left="1430" w:hanging="404"/>
        <w:jc w:val="left"/>
      </w:pPr>
      <w:rPr>
        <w:rFonts w:ascii="Arial" w:eastAsia="Arial" w:hAnsi="Arial" w:cs="Arial" w:hint="default"/>
        <w:b w:val="0"/>
        <w:bCs w:val="0"/>
        <w:i w:val="0"/>
        <w:iCs w:val="0"/>
        <w:spacing w:val="-1"/>
        <w:w w:val="99"/>
        <w:sz w:val="22"/>
        <w:szCs w:val="22"/>
        <w:lang w:val="en-US" w:eastAsia="en-US" w:bidi="ar-SA"/>
      </w:rPr>
    </w:lvl>
    <w:lvl w:ilvl="2">
      <w:start w:val="1"/>
      <w:numFmt w:val="decimal"/>
      <w:lvlText w:val="%1.%2.%3"/>
      <w:lvlJc w:val="left"/>
      <w:pPr>
        <w:ind w:left="2280" w:hanging="721"/>
        <w:jc w:val="left"/>
      </w:pPr>
      <w:rPr>
        <w:rFonts w:ascii="Arial" w:eastAsia="Arial" w:hAnsi="Arial" w:cs="Arial" w:hint="default"/>
        <w:b w:val="0"/>
        <w:bCs w:val="0"/>
        <w:i w:val="0"/>
        <w:iCs w:val="0"/>
        <w:spacing w:val="-1"/>
        <w:w w:val="99"/>
        <w:sz w:val="22"/>
        <w:szCs w:val="22"/>
        <w:lang w:val="en-US" w:eastAsia="en-US" w:bidi="ar-SA"/>
      </w:rPr>
    </w:lvl>
    <w:lvl w:ilvl="3">
      <w:numFmt w:val="bullet"/>
      <w:lvlText w:val="•"/>
      <w:lvlJc w:val="left"/>
      <w:pPr>
        <w:ind w:left="4066" w:hanging="721"/>
      </w:pPr>
      <w:rPr>
        <w:rFonts w:hint="default"/>
        <w:lang w:val="en-US" w:eastAsia="en-US" w:bidi="ar-SA"/>
      </w:rPr>
    </w:lvl>
    <w:lvl w:ilvl="4">
      <w:numFmt w:val="bullet"/>
      <w:lvlText w:val="•"/>
      <w:lvlJc w:val="left"/>
      <w:pPr>
        <w:ind w:left="4960" w:hanging="721"/>
      </w:pPr>
      <w:rPr>
        <w:rFonts w:hint="default"/>
        <w:lang w:val="en-US" w:eastAsia="en-US" w:bidi="ar-SA"/>
      </w:rPr>
    </w:lvl>
    <w:lvl w:ilvl="5">
      <w:numFmt w:val="bullet"/>
      <w:lvlText w:val="•"/>
      <w:lvlJc w:val="left"/>
      <w:pPr>
        <w:ind w:left="5853" w:hanging="721"/>
      </w:pPr>
      <w:rPr>
        <w:rFonts w:hint="default"/>
        <w:lang w:val="en-US" w:eastAsia="en-US" w:bidi="ar-SA"/>
      </w:rPr>
    </w:lvl>
    <w:lvl w:ilvl="6">
      <w:numFmt w:val="bullet"/>
      <w:lvlText w:val="•"/>
      <w:lvlJc w:val="left"/>
      <w:pPr>
        <w:ind w:left="6746" w:hanging="721"/>
      </w:pPr>
      <w:rPr>
        <w:rFonts w:hint="default"/>
        <w:lang w:val="en-US" w:eastAsia="en-US" w:bidi="ar-SA"/>
      </w:rPr>
    </w:lvl>
    <w:lvl w:ilvl="7">
      <w:numFmt w:val="bullet"/>
      <w:lvlText w:val="•"/>
      <w:lvlJc w:val="left"/>
      <w:pPr>
        <w:ind w:left="7640" w:hanging="721"/>
      </w:pPr>
      <w:rPr>
        <w:rFonts w:hint="default"/>
        <w:lang w:val="en-US" w:eastAsia="en-US" w:bidi="ar-SA"/>
      </w:rPr>
    </w:lvl>
    <w:lvl w:ilvl="8">
      <w:numFmt w:val="bullet"/>
      <w:lvlText w:val="•"/>
      <w:lvlJc w:val="left"/>
      <w:pPr>
        <w:ind w:left="8533" w:hanging="721"/>
      </w:pPr>
      <w:rPr>
        <w:rFonts w:hint="default"/>
        <w:lang w:val="en-US" w:eastAsia="en-US" w:bidi="ar-SA"/>
      </w:rPr>
    </w:lvl>
  </w:abstractNum>
  <w:abstractNum w:abstractNumId="9" w15:restartNumberingAfterBreak="0">
    <w:nsid w:val="121024AC"/>
    <w:multiLevelType w:val="hybridMultilevel"/>
    <w:tmpl w:val="463E3480"/>
    <w:lvl w:ilvl="0" w:tplc="5FAA5C6E">
      <w:start w:val="1"/>
      <w:numFmt w:val="decimal"/>
      <w:lvlText w:val="%1."/>
      <w:lvlJc w:val="left"/>
      <w:pPr>
        <w:ind w:left="1199" w:hanging="360"/>
        <w:jc w:val="left"/>
      </w:pPr>
      <w:rPr>
        <w:rFonts w:ascii="Arial" w:eastAsia="Arial" w:hAnsi="Arial" w:cs="Arial" w:hint="default"/>
        <w:b w:val="0"/>
        <w:bCs w:val="0"/>
        <w:i w:val="0"/>
        <w:iCs w:val="0"/>
        <w:spacing w:val="0"/>
        <w:w w:val="99"/>
        <w:sz w:val="22"/>
        <w:szCs w:val="22"/>
        <w:lang w:val="en-US" w:eastAsia="en-US" w:bidi="ar-SA"/>
      </w:rPr>
    </w:lvl>
    <w:lvl w:ilvl="1" w:tplc="643815D8">
      <w:start w:val="1"/>
      <w:numFmt w:val="lowerLetter"/>
      <w:lvlText w:val="%2."/>
      <w:lvlJc w:val="left"/>
      <w:pPr>
        <w:ind w:left="1920" w:hanging="360"/>
        <w:jc w:val="left"/>
      </w:pPr>
      <w:rPr>
        <w:rFonts w:ascii="Arial" w:eastAsia="Arial" w:hAnsi="Arial" w:cs="Arial" w:hint="default"/>
        <w:b w:val="0"/>
        <w:bCs w:val="0"/>
        <w:i w:val="0"/>
        <w:iCs w:val="0"/>
        <w:spacing w:val="0"/>
        <w:w w:val="99"/>
        <w:sz w:val="22"/>
        <w:szCs w:val="22"/>
        <w:lang w:val="en-US" w:eastAsia="en-US" w:bidi="ar-SA"/>
      </w:rPr>
    </w:lvl>
    <w:lvl w:ilvl="2" w:tplc="554CC3F2">
      <w:numFmt w:val="bullet"/>
      <w:lvlText w:val="•"/>
      <w:lvlJc w:val="left"/>
      <w:pPr>
        <w:ind w:left="2853" w:hanging="360"/>
      </w:pPr>
      <w:rPr>
        <w:rFonts w:hint="default"/>
        <w:lang w:val="en-US" w:eastAsia="en-US" w:bidi="ar-SA"/>
      </w:rPr>
    </w:lvl>
    <w:lvl w:ilvl="3" w:tplc="C9B6EDF6">
      <w:numFmt w:val="bullet"/>
      <w:lvlText w:val="•"/>
      <w:lvlJc w:val="left"/>
      <w:pPr>
        <w:ind w:left="3786" w:hanging="360"/>
      </w:pPr>
      <w:rPr>
        <w:rFonts w:hint="default"/>
        <w:lang w:val="en-US" w:eastAsia="en-US" w:bidi="ar-SA"/>
      </w:rPr>
    </w:lvl>
    <w:lvl w:ilvl="4" w:tplc="BD748BD8">
      <w:numFmt w:val="bullet"/>
      <w:lvlText w:val="•"/>
      <w:lvlJc w:val="left"/>
      <w:pPr>
        <w:ind w:left="4720" w:hanging="360"/>
      </w:pPr>
      <w:rPr>
        <w:rFonts w:hint="default"/>
        <w:lang w:val="en-US" w:eastAsia="en-US" w:bidi="ar-SA"/>
      </w:rPr>
    </w:lvl>
    <w:lvl w:ilvl="5" w:tplc="766A5EF0">
      <w:numFmt w:val="bullet"/>
      <w:lvlText w:val="•"/>
      <w:lvlJc w:val="left"/>
      <w:pPr>
        <w:ind w:left="5653" w:hanging="360"/>
      </w:pPr>
      <w:rPr>
        <w:rFonts w:hint="default"/>
        <w:lang w:val="en-US" w:eastAsia="en-US" w:bidi="ar-SA"/>
      </w:rPr>
    </w:lvl>
    <w:lvl w:ilvl="6" w:tplc="A788913C">
      <w:numFmt w:val="bullet"/>
      <w:lvlText w:val="•"/>
      <w:lvlJc w:val="left"/>
      <w:pPr>
        <w:ind w:left="6586" w:hanging="360"/>
      </w:pPr>
      <w:rPr>
        <w:rFonts w:hint="default"/>
        <w:lang w:val="en-US" w:eastAsia="en-US" w:bidi="ar-SA"/>
      </w:rPr>
    </w:lvl>
    <w:lvl w:ilvl="7" w:tplc="45589D4E">
      <w:numFmt w:val="bullet"/>
      <w:lvlText w:val="•"/>
      <w:lvlJc w:val="left"/>
      <w:pPr>
        <w:ind w:left="7520" w:hanging="360"/>
      </w:pPr>
      <w:rPr>
        <w:rFonts w:hint="default"/>
        <w:lang w:val="en-US" w:eastAsia="en-US" w:bidi="ar-SA"/>
      </w:rPr>
    </w:lvl>
    <w:lvl w:ilvl="8" w:tplc="4FC83BDA">
      <w:numFmt w:val="bullet"/>
      <w:lvlText w:val="•"/>
      <w:lvlJc w:val="left"/>
      <w:pPr>
        <w:ind w:left="8453" w:hanging="360"/>
      </w:pPr>
      <w:rPr>
        <w:rFonts w:hint="default"/>
        <w:lang w:val="en-US" w:eastAsia="en-US" w:bidi="ar-SA"/>
      </w:rPr>
    </w:lvl>
  </w:abstractNum>
  <w:abstractNum w:abstractNumId="10" w15:restartNumberingAfterBreak="0">
    <w:nsid w:val="13473CE7"/>
    <w:multiLevelType w:val="hybridMultilevel"/>
    <w:tmpl w:val="30DE2906"/>
    <w:lvl w:ilvl="0" w:tplc="1A64CBE2">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166EF8E0">
      <w:numFmt w:val="bullet"/>
      <w:lvlText w:val="•"/>
      <w:lvlJc w:val="left"/>
      <w:pPr>
        <w:ind w:left="2072" w:hanging="360"/>
      </w:pPr>
      <w:rPr>
        <w:rFonts w:hint="default"/>
        <w:lang w:val="en-US" w:eastAsia="en-US" w:bidi="ar-SA"/>
      </w:rPr>
    </w:lvl>
    <w:lvl w:ilvl="2" w:tplc="2EE43788">
      <w:numFmt w:val="bullet"/>
      <w:lvlText w:val="•"/>
      <w:lvlJc w:val="left"/>
      <w:pPr>
        <w:ind w:left="2945" w:hanging="360"/>
      </w:pPr>
      <w:rPr>
        <w:rFonts w:hint="default"/>
        <w:lang w:val="en-US" w:eastAsia="en-US" w:bidi="ar-SA"/>
      </w:rPr>
    </w:lvl>
    <w:lvl w:ilvl="3" w:tplc="E9C0196E">
      <w:numFmt w:val="bullet"/>
      <w:lvlText w:val="•"/>
      <w:lvlJc w:val="left"/>
      <w:pPr>
        <w:ind w:left="3817" w:hanging="360"/>
      </w:pPr>
      <w:rPr>
        <w:rFonts w:hint="default"/>
        <w:lang w:val="en-US" w:eastAsia="en-US" w:bidi="ar-SA"/>
      </w:rPr>
    </w:lvl>
    <w:lvl w:ilvl="4" w:tplc="072C787A">
      <w:numFmt w:val="bullet"/>
      <w:lvlText w:val="•"/>
      <w:lvlJc w:val="left"/>
      <w:pPr>
        <w:ind w:left="4690" w:hanging="360"/>
      </w:pPr>
      <w:rPr>
        <w:rFonts w:hint="default"/>
        <w:lang w:val="en-US" w:eastAsia="en-US" w:bidi="ar-SA"/>
      </w:rPr>
    </w:lvl>
    <w:lvl w:ilvl="5" w:tplc="6DCEF892">
      <w:numFmt w:val="bullet"/>
      <w:lvlText w:val="•"/>
      <w:lvlJc w:val="left"/>
      <w:pPr>
        <w:ind w:left="5563" w:hanging="360"/>
      </w:pPr>
      <w:rPr>
        <w:rFonts w:hint="default"/>
        <w:lang w:val="en-US" w:eastAsia="en-US" w:bidi="ar-SA"/>
      </w:rPr>
    </w:lvl>
    <w:lvl w:ilvl="6" w:tplc="8960BFC2">
      <w:numFmt w:val="bullet"/>
      <w:lvlText w:val="•"/>
      <w:lvlJc w:val="left"/>
      <w:pPr>
        <w:ind w:left="6435" w:hanging="360"/>
      </w:pPr>
      <w:rPr>
        <w:rFonts w:hint="default"/>
        <w:lang w:val="en-US" w:eastAsia="en-US" w:bidi="ar-SA"/>
      </w:rPr>
    </w:lvl>
    <w:lvl w:ilvl="7" w:tplc="1854A028">
      <w:numFmt w:val="bullet"/>
      <w:lvlText w:val="•"/>
      <w:lvlJc w:val="left"/>
      <w:pPr>
        <w:ind w:left="7308" w:hanging="360"/>
      </w:pPr>
      <w:rPr>
        <w:rFonts w:hint="default"/>
        <w:lang w:val="en-US" w:eastAsia="en-US" w:bidi="ar-SA"/>
      </w:rPr>
    </w:lvl>
    <w:lvl w:ilvl="8" w:tplc="C8BC734E">
      <w:numFmt w:val="bullet"/>
      <w:lvlText w:val="•"/>
      <w:lvlJc w:val="left"/>
      <w:pPr>
        <w:ind w:left="8181" w:hanging="360"/>
      </w:pPr>
      <w:rPr>
        <w:rFonts w:hint="default"/>
        <w:lang w:val="en-US" w:eastAsia="en-US" w:bidi="ar-SA"/>
      </w:rPr>
    </w:lvl>
  </w:abstractNum>
  <w:abstractNum w:abstractNumId="11" w15:restartNumberingAfterBreak="0">
    <w:nsid w:val="13CB18AC"/>
    <w:multiLevelType w:val="hybridMultilevel"/>
    <w:tmpl w:val="472CB6B2"/>
    <w:lvl w:ilvl="0" w:tplc="673C0184">
      <w:numFmt w:val="bullet"/>
      <w:lvlText w:val=""/>
      <w:lvlJc w:val="left"/>
      <w:pPr>
        <w:ind w:left="609" w:hanging="360"/>
      </w:pPr>
      <w:rPr>
        <w:rFonts w:ascii="Symbol" w:eastAsia="Symbol" w:hAnsi="Symbol" w:cs="Symbol" w:hint="default"/>
        <w:b w:val="0"/>
        <w:bCs w:val="0"/>
        <w:i w:val="0"/>
        <w:iCs w:val="0"/>
        <w:spacing w:val="0"/>
        <w:w w:val="100"/>
        <w:sz w:val="20"/>
        <w:szCs w:val="20"/>
        <w:lang w:val="en-US" w:eastAsia="en-US" w:bidi="ar-SA"/>
      </w:rPr>
    </w:lvl>
    <w:lvl w:ilvl="1" w:tplc="770A3D06">
      <w:numFmt w:val="bullet"/>
      <w:lvlText w:val="•"/>
      <w:lvlJc w:val="left"/>
      <w:pPr>
        <w:ind w:left="1015" w:hanging="360"/>
      </w:pPr>
      <w:rPr>
        <w:rFonts w:hint="default"/>
        <w:lang w:val="en-US" w:eastAsia="en-US" w:bidi="ar-SA"/>
      </w:rPr>
    </w:lvl>
    <w:lvl w:ilvl="2" w:tplc="58F4018C">
      <w:numFmt w:val="bullet"/>
      <w:lvlText w:val="•"/>
      <w:lvlJc w:val="left"/>
      <w:pPr>
        <w:ind w:left="1431" w:hanging="360"/>
      </w:pPr>
      <w:rPr>
        <w:rFonts w:hint="default"/>
        <w:lang w:val="en-US" w:eastAsia="en-US" w:bidi="ar-SA"/>
      </w:rPr>
    </w:lvl>
    <w:lvl w:ilvl="3" w:tplc="B8726098">
      <w:numFmt w:val="bullet"/>
      <w:lvlText w:val="•"/>
      <w:lvlJc w:val="left"/>
      <w:pPr>
        <w:ind w:left="1846" w:hanging="360"/>
      </w:pPr>
      <w:rPr>
        <w:rFonts w:hint="default"/>
        <w:lang w:val="en-US" w:eastAsia="en-US" w:bidi="ar-SA"/>
      </w:rPr>
    </w:lvl>
    <w:lvl w:ilvl="4" w:tplc="05B2F098">
      <w:numFmt w:val="bullet"/>
      <w:lvlText w:val="•"/>
      <w:lvlJc w:val="left"/>
      <w:pPr>
        <w:ind w:left="2262" w:hanging="360"/>
      </w:pPr>
      <w:rPr>
        <w:rFonts w:hint="default"/>
        <w:lang w:val="en-US" w:eastAsia="en-US" w:bidi="ar-SA"/>
      </w:rPr>
    </w:lvl>
    <w:lvl w:ilvl="5" w:tplc="878207DA">
      <w:numFmt w:val="bullet"/>
      <w:lvlText w:val="•"/>
      <w:lvlJc w:val="left"/>
      <w:pPr>
        <w:ind w:left="2677" w:hanging="360"/>
      </w:pPr>
      <w:rPr>
        <w:rFonts w:hint="default"/>
        <w:lang w:val="en-US" w:eastAsia="en-US" w:bidi="ar-SA"/>
      </w:rPr>
    </w:lvl>
    <w:lvl w:ilvl="6" w:tplc="A4FE4510">
      <w:numFmt w:val="bullet"/>
      <w:lvlText w:val="•"/>
      <w:lvlJc w:val="left"/>
      <w:pPr>
        <w:ind w:left="3093" w:hanging="360"/>
      </w:pPr>
      <w:rPr>
        <w:rFonts w:hint="default"/>
        <w:lang w:val="en-US" w:eastAsia="en-US" w:bidi="ar-SA"/>
      </w:rPr>
    </w:lvl>
    <w:lvl w:ilvl="7" w:tplc="D652B024">
      <w:numFmt w:val="bullet"/>
      <w:lvlText w:val="•"/>
      <w:lvlJc w:val="left"/>
      <w:pPr>
        <w:ind w:left="3508" w:hanging="360"/>
      </w:pPr>
      <w:rPr>
        <w:rFonts w:hint="default"/>
        <w:lang w:val="en-US" w:eastAsia="en-US" w:bidi="ar-SA"/>
      </w:rPr>
    </w:lvl>
    <w:lvl w:ilvl="8" w:tplc="CFA68BF2">
      <w:numFmt w:val="bullet"/>
      <w:lvlText w:val="•"/>
      <w:lvlJc w:val="left"/>
      <w:pPr>
        <w:ind w:left="3924" w:hanging="360"/>
      </w:pPr>
      <w:rPr>
        <w:rFonts w:hint="default"/>
        <w:lang w:val="en-US" w:eastAsia="en-US" w:bidi="ar-SA"/>
      </w:rPr>
    </w:lvl>
  </w:abstractNum>
  <w:abstractNum w:abstractNumId="12" w15:restartNumberingAfterBreak="0">
    <w:nsid w:val="14286FDF"/>
    <w:multiLevelType w:val="hybridMultilevel"/>
    <w:tmpl w:val="F9C6A4F8"/>
    <w:lvl w:ilvl="0" w:tplc="416EA32C">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41002586">
      <w:numFmt w:val="bullet"/>
      <w:lvlText w:val="•"/>
      <w:lvlJc w:val="left"/>
      <w:pPr>
        <w:ind w:left="2072" w:hanging="360"/>
      </w:pPr>
      <w:rPr>
        <w:rFonts w:hint="default"/>
        <w:lang w:val="en-US" w:eastAsia="en-US" w:bidi="ar-SA"/>
      </w:rPr>
    </w:lvl>
    <w:lvl w:ilvl="2" w:tplc="1038712E">
      <w:numFmt w:val="bullet"/>
      <w:lvlText w:val="•"/>
      <w:lvlJc w:val="left"/>
      <w:pPr>
        <w:ind w:left="2945" w:hanging="360"/>
      </w:pPr>
      <w:rPr>
        <w:rFonts w:hint="default"/>
        <w:lang w:val="en-US" w:eastAsia="en-US" w:bidi="ar-SA"/>
      </w:rPr>
    </w:lvl>
    <w:lvl w:ilvl="3" w:tplc="59FA5294">
      <w:numFmt w:val="bullet"/>
      <w:lvlText w:val="•"/>
      <w:lvlJc w:val="left"/>
      <w:pPr>
        <w:ind w:left="3817" w:hanging="360"/>
      </w:pPr>
      <w:rPr>
        <w:rFonts w:hint="default"/>
        <w:lang w:val="en-US" w:eastAsia="en-US" w:bidi="ar-SA"/>
      </w:rPr>
    </w:lvl>
    <w:lvl w:ilvl="4" w:tplc="623A9EA6">
      <w:numFmt w:val="bullet"/>
      <w:lvlText w:val="•"/>
      <w:lvlJc w:val="left"/>
      <w:pPr>
        <w:ind w:left="4690" w:hanging="360"/>
      </w:pPr>
      <w:rPr>
        <w:rFonts w:hint="default"/>
        <w:lang w:val="en-US" w:eastAsia="en-US" w:bidi="ar-SA"/>
      </w:rPr>
    </w:lvl>
    <w:lvl w:ilvl="5" w:tplc="F58A5EA2">
      <w:numFmt w:val="bullet"/>
      <w:lvlText w:val="•"/>
      <w:lvlJc w:val="left"/>
      <w:pPr>
        <w:ind w:left="5563" w:hanging="360"/>
      </w:pPr>
      <w:rPr>
        <w:rFonts w:hint="default"/>
        <w:lang w:val="en-US" w:eastAsia="en-US" w:bidi="ar-SA"/>
      </w:rPr>
    </w:lvl>
    <w:lvl w:ilvl="6" w:tplc="0890E8FC">
      <w:numFmt w:val="bullet"/>
      <w:lvlText w:val="•"/>
      <w:lvlJc w:val="left"/>
      <w:pPr>
        <w:ind w:left="6435" w:hanging="360"/>
      </w:pPr>
      <w:rPr>
        <w:rFonts w:hint="default"/>
        <w:lang w:val="en-US" w:eastAsia="en-US" w:bidi="ar-SA"/>
      </w:rPr>
    </w:lvl>
    <w:lvl w:ilvl="7" w:tplc="BBA2B240">
      <w:numFmt w:val="bullet"/>
      <w:lvlText w:val="•"/>
      <w:lvlJc w:val="left"/>
      <w:pPr>
        <w:ind w:left="7308" w:hanging="360"/>
      </w:pPr>
      <w:rPr>
        <w:rFonts w:hint="default"/>
        <w:lang w:val="en-US" w:eastAsia="en-US" w:bidi="ar-SA"/>
      </w:rPr>
    </w:lvl>
    <w:lvl w:ilvl="8" w:tplc="F16414B6">
      <w:numFmt w:val="bullet"/>
      <w:lvlText w:val="•"/>
      <w:lvlJc w:val="left"/>
      <w:pPr>
        <w:ind w:left="8181" w:hanging="360"/>
      </w:pPr>
      <w:rPr>
        <w:rFonts w:hint="default"/>
        <w:lang w:val="en-US" w:eastAsia="en-US" w:bidi="ar-SA"/>
      </w:rPr>
    </w:lvl>
  </w:abstractNum>
  <w:abstractNum w:abstractNumId="13" w15:restartNumberingAfterBreak="0">
    <w:nsid w:val="15C979EE"/>
    <w:multiLevelType w:val="hybridMultilevel"/>
    <w:tmpl w:val="D2CA4356"/>
    <w:lvl w:ilvl="0" w:tplc="9796BF1A">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EA4C0B16">
      <w:numFmt w:val="bullet"/>
      <w:lvlText w:val="•"/>
      <w:lvlJc w:val="left"/>
      <w:pPr>
        <w:ind w:left="2112" w:hanging="360"/>
      </w:pPr>
      <w:rPr>
        <w:rFonts w:hint="default"/>
        <w:lang w:val="en-US" w:eastAsia="en-US" w:bidi="ar-SA"/>
      </w:rPr>
    </w:lvl>
    <w:lvl w:ilvl="2" w:tplc="ABAA37AC">
      <w:numFmt w:val="bullet"/>
      <w:lvlText w:val="•"/>
      <w:lvlJc w:val="left"/>
      <w:pPr>
        <w:ind w:left="3024" w:hanging="360"/>
      </w:pPr>
      <w:rPr>
        <w:rFonts w:hint="default"/>
        <w:lang w:val="en-US" w:eastAsia="en-US" w:bidi="ar-SA"/>
      </w:rPr>
    </w:lvl>
    <w:lvl w:ilvl="3" w:tplc="0F1AC884">
      <w:numFmt w:val="bullet"/>
      <w:lvlText w:val="•"/>
      <w:lvlJc w:val="left"/>
      <w:pPr>
        <w:ind w:left="3936" w:hanging="360"/>
      </w:pPr>
      <w:rPr>
        <w:rFonts w:hint="default"/>
        <w:lang w:val="en-US" w:eastAsia="en-US" w:bidi="ar-SA"/>
      </w:rPr>
    </w:lvl>
    <w:lvl w:ilvl="4" w:tplc="E468224A">
      <w:numFmt w:val="bullet"/>
      <w:lvlText w:val="•"/>
      <w:lvlJc w:val="left"/>
      <w:pPr>
        <w:ind w:left="4848" w:hanging="360"/>
      </w:pPr>
      <w:rPr>
        <w:rFonts w:hint="default"/>
        <w:lang w:val="en-US" w:eastAsia="en-US" w:bidi="ar-SA"/>
      </w:rPr>
    </w:lvl>
    <w:lvl w:ilvl="5" w:tplc="F482D640">
      <w:numFmt w:val="bullet"/>
      <w:lvlText w:val="•"/>
      <w:lvlJc w:val="left"/>
      <w:pPr>
        <w:ind w:left="5760" w:hanging="360"/>
      </w:pPr>
      <w:rPr>
        <w:rFonts w:hint="default"/>
        <w:lang w:val="en-US" w:eastAsia="en-US" w:bidi="ar-SA"/>
      </w:rPr>
    </w:lvl>
    <w:lvl w:ilvl="6" w:tplc="0AC81D40">
      <w:numFmt w:val="bullet"/>
      <w:lvlText w:val="•"/>
      <w:lvlJc w:val="left"/>
      <w:pPr>
        <w:ind w:left="6672" w:hanging="360"/>
      </w:pPr>
      <w:rPr>
        <w:rFonts w:hint="default"/>
        <w:lang w:val="en-US" w:eastAsia="en-US" w:bidi="ar-SA"/>
      </w:rPr>
    </w:lvl>
    <w:lvl w:ilvl="7" w:tplc="8ABA94D6">
      <w:numFmt w:val="bullet"/>
      <w:lvlText w:val="•"/>
      <w:lvlJc w:val="left"/>
      <w:pPr>
        <w:ind w:left="7584" w:hanging="360"/>
      </w:pPr>
      <w:rPr>
        <w:rFonts w:hint="default"/>
        <w:lang w:val="en-US" w:eastAsia="en-US" w:bidi="ar-SA"/>
      </w:rPr>
    </w:lvl>
    <w:lvl w:ilvl="8" w:tplc="5DE22BB2">
      <w:numFmt w:val="bullet"/>
      <w:lvlText w:val="•"/>
      <w:lvlJc w:val="left"/>
      <w:pPr>
        <w:ind w:left="8496" w:hanging="360"/>
      </w:pPr>
      <w:rPr>
        <w:rFonts w:hint="default"/>
        <w:lang w:val="en-US" w:eastAsia="en-US" w:bidi="ar-SA"/>
      </w:rPr>
    </w:lvl>
  </w:abstractNum>
  <w:abstractNum w:abstractNumId="14" w15:restartNumberingAfterBreak="0">
    <w:nsid w:val="16404296"/>
    <w:multiLevelType w:val="hybridMultilevel"/>
    <w:tmpl w:val="476C6F58"/>
    <w:lvl w:ilvl="0" w:tplc="064AC5AA">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92F41BAE">
      <w:numFmt w:val="bullet"/>
      <w:lvlText w:val="•"/>
      <w:lvlJc w:val="left"/>
      <w:pPr>
        <w:ind w:left="2112" w:hanging="360"/>
      </w:pPr>
      <w:rPr>
        <w:rFonts w:hint="default"/>
        <w:lang w:val="en-US" w:eastAsia="en-US" w:bidi="ar-SA"/>
      </w:rPr>
    </w:lvl>
    <w:lvl w:ilvl="2" w:tplc="5C103EE4">
      <w:numFmt w:val="bullet"/>
      <w:lvlText w:val="•"/>
      <w:lvlJc w:val="left"/>
      <w:pPr>
        <w:ind w:left="3024" w:hanging="360"/>
      </w:pPr>
      <w:rPr>
        <w:rFonts w:hint="default"/>
        <w:lang w:val="en-US" w:eastAsia="en-US" w:bidi="ar-SA"/>
      </w:rPr>
    </w:lvl>
    <w:lvl w:ilvl="3" w:tplc="3712387C">
      <w:numFmt w:val="bullet"/>
      <w:lvlText w:val="•"/>
      <w:lvlJc w:val="left"/>
      <w:pPr>
        <w:ind w:left="3936" w:hanging="360"/>
      </w:pPr>
      <w:rPr>
        <w:rFonts w:hint="default"/>
        <w:lang w:val="en-US" w:eastAsia="en-US" w:bidi="ar-SA"/>
      </w:rPr>
    </w:lvl>
    <w:lvl w:ilvl="4" w:tplc="58680F1C">
      <w:numFmt w:val="bullet"/>
      <w:lvlText w:val="•"/>
      <w:lvlJc w:val="left"/>
      <w:pPr>
        <w:ind w:left="4848" w:hanging="360"/>
      </w:pPr>
      <w:rPr>
        <w:rFonts w:hint="default"/>
        <w:lang w:val="en-US" w:eastAsia="en-US" w:bidi="ar-SA"/>
      </w:rPr>
    </w:lvl>
    <w:lvl w:ilvl="5" w:tplc="1974BEE6">
      <w:numFmt w:val="bullet"/>
      <w:lvlText w:val="•"/>
      <w:lvlJc w:val="left"/>
      <w:pPr>
        <w:ind w:left="5760" w:hanging="360"/>
      </w:pPr>
      <w:rPr>
        <w:rFonts w:hint="default"/>
        <w:lang w:val="en-US" w:eastAsia="en-US" w:bidi="ar-SA"/>
      </w:rPr>
    </w:lvl>
    <w:lvl w:ilvl="6" w:tplc="EEA2859A">
      <w:numFmt w:val="bullet"/>
      <w:lvlText w:val="•"/>
      <w:lvlJc w:val="left"/>
      <w:pPr>
        <w:ind w:left="6672" w:hanging="360"/>
      </w:pPr>
      <w:rPr>
        <w:rFonts w:hint="default"/>
        <w:lang w:val="en-US" w:eastAsia="en-US" w:bidi="ar-SA"/>
      </w:rPr>
    </w:lvl>
    <w:lvl w:ilvl="7" w:tplc="FCDE96F4">
      <w:numFmt w:val="bullet"/>
      <w:lvlText w:val="•"/>
      <w:lvlJc w:val="left"/>
      <w:pPr>
        <w:ind w:left="7584" w:hanging="360"/>
      </w:pPr>
      <w:rPr>
        <w:rFonts w:hint="default"/>
        <w:lang w:val="en-US" w:eastAsia="en-US" w:bidi="ar-SA"/>
      </w:rPr>
    </w:lvl>
    <w:lvl w:ilvl="8" w:tplc="9F62E45E">
      <w:numFmt w:val="bullet"/>
      <w:lvlText w:val="•"/>
      <w:lvlJc w:val="left"/>
      <w:pPr>
        <w:ind w:left="8496" w:hanging="360"/>
      </w:pPr>
      <w:rPr>
        <w:rFonts w:hint="default"/>
        <w:lang w:val="en-US" w:eastAsia="en-US" w:bidi="ar-SA"/>
      </w:rPr>
    </w:lvl>
  </w:abstractNum>
  <w:abstractNum w:abstractNumId="15" w15:restartNumberingAfterBreak="0">
    <w:nsid w:val="16CC4696"/>
    <w:multiLevelType w:val="hybridMultilevel"/>
    <w:tmpl w:val="5D608EBE"/>
    <w:lvl w:ilvl="0" w:tplc="A40E4E86">
      <w:numFmt w:val="bullet"/>
      <w:lvlText w:val=""/>
      <w:lvlJc w:val="left"/>
      <w:pPr>
        <w:ind w:left="1264" w:hanging="360"/>
      </w:pPr>
      <w:rPr>
        <w:rFonts w:ascii="Symbol" w:eastAsia="Symbol" w:hAnsi="Symbol" w:cs="Symbol" w:hint="default"/>
        <w:b w:val="0"/>
        <w:bCs w:val="0"/>
        <w:i w:val="0"/>
        <w:iCs w:val="0"/>
        <w:spacing w:val="0"/>
        <w:w w:val="99"/>
        <w:sz w:val="22"/>
        <w:szCs w:val="22"/>
        <w:lang w:val="en-US" w:eastAsia="en-US" w:bidi="ar-SA"/>
      </w:rPr>
    </w:lvl>
    <w:lvl w:ilvl="1" w:tplc="D10A2558">
      <w:numFmt w:val="bullet"/>
      <w:lvlText w:val="•"/>
      <w:lvlJc w:val="left"/>
      <w:pPr>
        <w:ind w:left="2166" w:hanging="360"/>
      </w:pPr>
      <w:rPr>
        <w:rFonts w:hint="default"/>
        <w:lang w:val="en-US" w:eastAsia="en-US" w:bidi="ar-SA"/>
      </w:rPr>
    </w:lvl>
    <w:lvl w:ilvl="2" w:tplc="2014E150">
      <w:numFmt w:val="bullet"/>
      <w:lvlText w:val="•"/>
      <w:lvlJc w:val="left"/>
      <w:pPr>
        <w:ind w:left="3072" w:hanging="360"/>
      </w:pPr>
      <w:rPr>
        <w:rFonts w:hint="default"/>
        <w:lang w:val="en-US" w:eastAsia="en-US" w:bidi="ar-SA"/>
      </w:rPr>
    </w:lvl>
    <w:lvl w:ilvl="3" w:tplc="5CEEAC02">
      <w:numFmt w:val="bullet"/>
      <w:lvlText w:val="•"/>
      <w:lvlJc w:val="left"/>
      <w:pPr>
        <w:ind w:left="3978" w:hanging="360"/>
      </w:pPr>
      <w:rPr>
        <w:rFonts w:hint="default"/>
        <w:lang w:val="en-US" w:eastAsia="en-US" w:bidi="ar-SA"/>
      </w:rPr>
    </w:lvl>
    <w:lvl w:ilvl="4" w:tplc="6AF0D182">
      <w:numFmt w:val="bullet"/>
      <w:lvlText w:val="•"/>
      <w:lvlJc w:val="left"/>
      <w:pPr>
        <w:ind w:left="4884" w:hanging="360"/>
      </w:pPr>
      <w:rPr>
        <w:rFonts w:hint="default"/>
        <w:lang w:val="en-US" w:eastAsia="en-US" w:bidi="ar-SA"/>
      </w:rPr>
    </w:lvl>
    <w:lvl w:ilvl="5" w:tplc="E2F8FD50">
      <w:numFmt w:val="bullet"/>
      <w:lvlText w:val="•"/>
      <w:lvlJc w:val="left"/>
      <w:pPr>
        <w:ind w:left="5790" w:hanging="360"/>
      </w:pPr>
      <w:rPr>
        <w:rFonts w:hint="default"/>
        <w:lang w:val="en-US" w:eastAsia="en-US" w:bidi="ar-SA"/>
      </w:rPr>
    </w:lvl>
    <w:lvl w:ilvl="6" w:tplc="77B6247C">
      <w:numFmt w:val="bullet"/>
      <w:lvlText w:val="•"/>
      <w:lvlJc w:val="left"/>
      <w:pPr>
        <w:ind w:left="6696" w:hanging="360"/>
      </w:pPr>
      <w:rPr>
        <w:rFonts w:hint="default"/>
        <w:lang w:val="en-US" w:eastAsia="en-US" w:bidi="ar-SA"/>
      </w:rPr>
    </w:lvl>
    <w:lvl w:ilvl="7" w:tplc="143CBCCC">
      <w:numFmt w:val="bullet"/>
      <w:lvlText w:val="•"/>
      <w:lvlJc w:val="left"/>
      <w:pPr>
        <w:ind w:left="7602" w:hanging="360"/>
      </w:pPr>
      <w:rPr>
        <w:rFonts w:hint="default"/>
        <w:lang w:val="en-US" w:eastAsia="en-US" w:bidi="ar-SA"/>
      </w:rPr>
    </w:lvl>
    <w:lvl w:ilvl="8" w:tplc="51906B94">
      <w:numFmt w:val="bullet"/>
      <w:lvlText w:val="•"/>
      <w:lvlJc w:val="left"/>
      <w:pPr>
        <w:ind w:left="8508" w:hanging="360"/>
      </w:pPr>
      <w:rPr>
        <w:rFonts w:hint="default"/>
        <w:lang w:val="en-US" w:eastAsia="en-US" w:bidi="ar-SA"/>
      </w:rPr>
    </w:lvl>
  </w:abstractNum>
  <w:abstractNum w:abstractNumId="16" w15:restartNumberingAfterBreak="0">
    <w:nsid w:val="189E2DAC"/>
    <w:multiLevelType w:val="hybridMultilevel"/>
    <w:tmpl w:val="9894DC66"/>
    <w:lvl w:ilvl="0" w:tplc="DF2E635A">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F9C208C4">
      <w:numFmt w:val="bullet"/>
      <w:lvlText w:val="•"/>
      <w:lvlJc w:val="left"/>
      <w:pPr>
        <w:ind w:left="2072" w:hanging="360"/>
      </w:pPr>
      <w:rPr>
        <w:rFonts w:hint="default"/>
        <w:lang w:val="en-US" w:eastAsia="en-US" w:bidi="ar-SA"/>
      </w:rPr>
    </w:lvl>
    <w:lvl w:ilvl="2" w:tplc="85B272AE">
      <w:numFmt w:val="bullet"/>
      <w:lvlText w:val="•"/>
      <w:lvlJc w:val="left"/>
      <w:pPr>
        <w:ind w:left="2945" w:hanging="360"/>
      </w:pPr>
      <w:rPr>
        <w:rFonts w:hint="default"/>
        <w:lang w:val="en-US" w:eastAsia="en-US" w:bidi="ar-SA"/>
      </w:rPr>
    </w:lvl>
    <w:lvl w:ilvl="3" w:tplc="FE605A68">
      <w:numFmt w:val="bullet"/>
      <w:lvlText w:val="•"/>
      <w:lvlJc w:val="left"/>
      <w:pPr>
        <w:ind w:left="3817" w:hanging="360"/>
      </w:pPr>
      <w:rPr>
        <w:rFonts w:hint="default"/>
        <w:lang w:val="en-US" w:eastAsia="en-US" w:bidi="ar-SA"/>
      </w:rPr>
    </w:lvl>
    <w:lvl w:ilvl="4" w:tplc="B55C1FA4">
      <w:numFmt w:val="bullet"/>
      <w:lvlText w:val="•"/>
      <w:lvlJc w:val="left"/>
      <w:pPr>
        <w:ind w:left="4690" w:hanging="360"/>
      </w:pPr>
      <w:rPr>
        <w:rFonts w:hint="default"/>
        <w:lang w:val="en-US" w:eastAsia="en-US" w:bidi="ar-SA"/>
      </w:rPr>
    </w:lvl>
    <w:lvl w:ilvl="5" w:tplc="1A84B7AC">
      <w:numFmt w:val="bullet"/>
      <w:lvlText w:val="•"/>
      <w:lvlJc w:val="left"/>
      <w:pPr>
        <w:ind w:left="5563" w:hanging="360"/>
      </w:pPr>
      <w:rPr>
        <w:rFonts w:hint="default"/>
        <w:lang w:val="en-US" w:eastAsia="en-US" w:bidi="ar-SA"/>
      </w:rPr>
    </w:lvl>
    <w:lvl w:ilvl="6" w:tplc="C56079AC">
      <w:numFmt w:val="bullet"/>
      <w:lvlText w:val="•"/>
      <w:lvlJc w:val="left"/>
      <w:pPr>
        <w:ind w:left="6435" w:hanging="360"/>
      </w:pPr>
      <w:rPr>
        <w:rFonts w:hint="default"/>
        <w:lang w:val="en-US" w:eastAsia="en-US" w:bidi="ar-SA"/>
      </w:rPr>
    </w:lvl>
    <w:lvl w:ilvl="7" w:tplc="1E70260C">
      <w:numFmt w:val="bullet"/>
      <w:lvlText w:val="•"/>
      <w:lvlJc w:val="left"/>
      <w:pPr>
        <w:ind w:left="7308" w:hanging="360"/>
      </w:pPr>
      <w:rPr>
        <w:rFonts w:hint="default"/>
        <w:lang w:val="en-US" w:eastAsia="en-US" w:bidi="ar-SA"/>
      </w:rPr>
    </w:lvl>
    <w:lvl w:ilvl="8" w:tplc="F36ACFD0">
      <w:numFmt w:val="bullet"/>
      <w:lvlText w:val="•"/>
      <w:lvlJc w:val="left"/>
      <w:pPr>
        <w:ind w:left="8181" w:hanging="360"/>
      </w:pPr>
      <w:rPr>
        <w:rFonts w:hint="default"/>
        <w:lang w:val="en-US" w:eastAsia="en-US" w:bidi="ar-SA"/>
      </w:rPr>
    </w:lvl>
  </w:abstractNum>
  <w:abstractNum w:abstractNumId="17" w15:restartNumberingAfterBreak="0">
    <w:nsid w:val="19B565F8"/>
    <w:multiLevelType w:val="multilevel"/>
    <w:tmpl w:val="59B49FA6"/>
    <w:lvl w:ilvl="0">
      <w:start w:val="7"/>
      <w:numFmt w:val="upperLetter"/>
      <w:lvlText w:val="%1"/>
      <w:lvlJc w:val="left"/>
      <w:pPr>
        <w:ind w:left="1442" w:hanging="416"/>
        <w:jc w:val="left"/>
      </w:pPr>
      <w:rPr>
        <w:rFonts w:hint="default"/>
        <w:lang w:val="en-US" w:eastAsia="en-US" w:bidi="ar-SA"/>
      </w:rPr>
    </w:lvl>
    <w:lvl w:ilvl="1">
      <w:start w:val="1"/>
      <w:numFmt w:val="decimal"/>
      <w:lvlText w:val="%1.%2"/>
      <w:lvlJc w:val="left"/>
      <w:pPr>
        <w:ind w:left="1442" w:hanging="416"/>
        <w:jc w:val="left"/>
      </w:pPr>
      <w:rPr>
        <w:rFonts w:ascii="Arial" w:eastAsia="Arial" w:hAnsi="Arial" w:cs="Arial" w:hint="default"/>
        <w:b w:val="0"/>
        <w:bCs w:val="0"/>
        <w:i w:val="0"/>
        <w:iCs w:val="0"/>
        <w:spacing w:val="-1"/>
        <w:w w:val="99"/>
        <w:sz w:val="22"/>
        <w:szCs w:val="22"/>
        <w:lang w:val="en-US" w:eastAsia="en-US" w:bidi="ar-SA"/>
      </w:rPr>
    </w:lvl>
    <w:lvl w:ilvl="2">
      <w:start w:val="1"/>
      <w:numFmt w:val="decimal"/>
      <w:lvlText w:val="%1.%2.%3"/>
      <w:lvlJc w:val="left"/>
      <w:pPr>
        <w:ind w:left="2280" w:hanging="721"/>
        <w:jc w:val="left"/>
      </w:pPr>
      <w:rPr>
        <w:rFonts w:ascii="Arial" w:eastAsia="Arial" w:hAnsi="Arial" w:cs="Arial" w:hint="default"/>
        <w:b w:val="0"/>
        <w:bCs w:val="0"/>
        <w:i w:val="0"/>
        <w:iCs w:val="0"/>
        <w:spacing w:val="-1"/>
        <w:w w:val="99"/>
        <w:sz w:val="22"/>
        <w:szCs w:val="22"/>
        <w:lang w:val="en-US" w:eastAsia="en-US" w:bidi="ar-SA"/>
      </w:rPr>
    </w:lvl>
    <w:lvl w:ilvl="3">
      <w:numFmt w:val="bullet"/>
      <w:lvlText w:val="•"/>
      <w:lvlJc w:val="left"/>
      <w:pPr>
        <w:ind w:left="4066" w:hanging="721"/>
      </w:pPr>
      <w:rPr>
        <w:rFonts w:hint="default"/>
        <w:lang w:val="en-US" w:eastAsia="en-US" w:bidi="ar-SA"/>
      </w:rPr>
    </w:lvl>
    <w:lvl w:ilvl="4">
      <w:numFmt w:val="bullet"/>
      <w:lvlText w:val="•"/>
      <w:lvlJc w:val="left"/>
      <w:pPr>
        <w:ind w:left="4960" w:hanging="721"/>
      </w:pPr>
      <w:rPr>
        <w:rFonts w:hint="default"/>
        <w:lang w:val="en-US" w:eastAsia="en-US" w:bidi="ar-SA"/>
      </w:rPr>
    </w:lvl>
    <w:lvl w:ilvl="5">
      <w:numFmt w:val="bullet"/>
      <w:lvlText w:val="•"/>
      <w:lvlJc w:val="left"/>
      <w:pPr>
        <w:ind w:left="5853" w:hanging="721"/>
      </w:pPr>
      <w:rPr>
        <w:rFonts w:hint="default"/>
        <w:lang w:val="en-US" w:eastAsia="en-US" w:bidi="ar-SA"/>
      </w:rPr>
    </w:lvl>
    <w:lvl w:ilvl="6">
      <w:numFmt w:val="bullet"/>
      <w:lvlText w:val="•"/>
      <w:lvlJc w:val="left"/>
      <w:pPr>
        <w:ind w:left="6746" w:hanging="721"/>
      </w:pPr>
      <w:rPr>
        <w:rFonts w:hint="default"/>
        <w:lang w:val="en-US" w:eastAsia="en-US" w:bidi="ar-SA"/>
      </w:rPr>
    </w:lvl>
    <w:lvl w:ilvl="7">
      <w:numFmt w:val="bullet"/>
      <w:lvlText w:val="•"/>
      <w:lvlJc w:val="left"/>
      <w:pPr>
        <w:ind w:left="7640" w:hanging="721"/>
      </w:pPr>
      <w:rPr>
        <w:rFonts w:hint="default"/>
        <w:lang w:val="en-US" w:eastAsia="en-US" w:bidi="ar-SA"/>
      </w:rPr>
    </w:lvl>
    <w:lvl w:ilvl="8">
      <w:numFmt w:val="bullet"/>
      <w:lvlText w:val="•"/>
      <w:lvlJc w:val="left"/>
      <w:pPr>
        <w:ind w:left="8533" w:hanging="721"/>
      </w:pPr>
      <w:rPr>
        <w:rFonts w:hint="default"/>
        <w:lang w:val="en-US" w:eastAsia="en-US" w:bidi="ar-SA"/>
      </w:rPr>
    </w:lvl>
  </w:abstractNum>
  <w:abstractNum w:abstractNumId="18" w15:restartNumberingAfterBreak="0">
    <w:nsid w:val="1B0A094A"/>
    <w:multiLevelType w:val="hybridMultilevel"/>
    <w:tmpl w:val="000AC33A"/>
    <w:lvl w:ilvl="0" w:tplc="1F8A4448">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CBF4E21E">
      <w:numFmt w:val="bullet"/>
      <w:lvlText w:val="o"/>
      <w:lvlJc w:val="left"/>
      <w:pPr>
        <w:ind w:left="1919" w:hanging="360"/>
      </w:pPr>
      <w:rPr>
        <w:rFonts w:ascii="Courier New" w:eastAsia="Courier New" w:hAnsi="Courier New" w:cs="Courier New" w:hint="default"/>
        <w:b w:val="0"/>
        <w:bCs w:val="0"/>
        <w:i w:val="0"/>
        <w:iCs w:val="0"/>
        <w:spacing w:val="0"/>
        <w:w w:val="99"/>
        <w:sz w:val="22"/>
        <w:szCs w:val="22"/>
        <w:lang w:val="en-US" w:eastAsia="en-US" w:bidi="ar-SA"/>
      </w:rPr>
    </w:lvl>
    <w:lvl w:ilvl="2" w:tplc="22B2716C">
      <w:numFmt w:val="bullet"/>
      <w:lvlText w:val="•"/>
      <w:lvlJc w:val="left"/>
      <w:pPr>
        <w:ind w:left="2853" w:hanging="360"/>
      </w:pPr>
      <w:rPr>
        <w:rFonts w:hint="default"/>
        <w:lang w:val="en-US" w:eastAsia="en-US" w:bidi="ar-SA"/>
      </w:rPr>
    </w:lvl>
    <w:lvl w:ilvl="3" w:tplc="C602D26A">
      <w:numFmt w:val="bullet"/>
      <w:lvlText w:val="•"/>
      <w:lvlJc w:val="left"/>
      <w:pPr>
        <w:ind w:left="3786" w:hanging="360"/>
      </w:pPr>
      <w:rPr>
        <w:rFonts w:hint="default"/>
        <w:lang w:val="en-US" w:eastAsia="en-US" w:bidi="ar-SA"/>
      </w:rPr>
    </w:lvl>
    <w:lvl w:ilvl="4" w:tplc="CCAECA82">
      <w:numFmt w:val="bullet"/>
      <w:lvlText w:val="•"/>
      <w:lvlJc w:val="left"/>
      <w:pPr>
        <w:ind w:left="4720" w:hanging="360"/>
      </w:pPr>
      <w:rPr>
        <w:rFonts w:hint="default"/>
        <w:lang w:val="en-US" w:eastAsia="en-US" w:bidi="ar-SA"/>
      </w:rPr>
    </w:lvl>
    <w:lvl w:ilvl="5" w:tplc="8FD44D9C">
      <w:numFmt w:val="bullet"/>
      <w:lvlText w:val="•"/>
      <w:lvlJc w:val="left"/>
      <w:pPr>
        <w:ind w:left="5653" w:hanging="360"/>
      </w:pPr>
      <w:rPr>
        <w:rFonts w:hint="default"/>
        <w:lang w:val="en-US" w:eastAsia="en-US" w:bidi="ar-SA"/>
      </w:rPr>
    </w:lvl>
    <w:lvl w:ilvl="6" w:tplc="D326EF4A">
      <w:numFmt w:val="bullet"/>
      <w:lvlText w:val="•"/>
      <w:lvlJc w:val="left"/>
      <w:pPr>
        <w:ind w:left="6586" w:hanging="360"/>
      </w:pPr>
      <w:rPr>
        <w:rFonts w:hint="default"/>
        <w:lang w:val="en-US" w:eastAsia="en-US" w:bidi="ar-SA"/>
      </w:rPr>
    </w:lvl>
    <w:lvl w:ilvl="7" w:tplc="734CA48E">
      <w:numFmt w:val="bullet"/>
      <w:lvlText w:val="•"/>
      <w:lvlJc w:val="left"/>
      <w:pPr>
        <w:ind w:left="7520" w:hanging="360"/>
      </w:pPr>
      <w:rPr>
        <w:rFonts w:hint="default"/>
        <w:lang w:val="en-US" w:eastAsia="en-US" w:bidi="ar-SA"/>
      </w:rPr>
    </w:lvl>
    <w:lvl w:ilvl="8" w:tplc="80BC3498">
      <w:numFmt w:val="bullet"/>
      <w:lvlText w:val="•"/>
      <w:lvlJc w:val="left"/>
      <w:pPr>
        <w:ind w:left="8453" w:hanging="360"/>
      </w:pPr>
      <w:rPr>
        <w:rFonts w:hint="default"/>
        <w:lang w:val="en-US" w:eastAsia="en-US" w:bidi="ar-SA"/>
      </w:rPr>
    </w:lvl>
  </w:abstractNum>
  <w:abstractNum w:abstractNumId="19" w15:restartNumberingAfterBreak="0">
    <w:nsid w:val="1BB17D14"/>
    <w:multiLevelType w:val="hybridMultilevel"/>
    <w:tmpl w:val="58A892BE"/>
    <w:lvl w:ilvl="0" w:tplc="06C4D512">
      <w:start w:val="1"/>
      <w:numFmt w:val="decimal"/>
      <w:lvlText w:val="%1."/>
      <w:lvlJc w:val="left"/>
      <w:pPr>
        <w:ind w:left="1200" w:hanging="360"/>
        <w:jc w:val="left"/>
      </w:pPr>
      <w:rPr>
        <w:rFonts w:ascii="Arial" w:eastAsia="Arial" w:hAnsi="Arial" w:cs="Arial" w:hint="default"/>
        <w:b w:val="0"/>
        <w:bCs w:val="0"/>
        <w:i w:val="0"/>
        <w:iCs w:val="0"/>
        <w:spacing w:val="0"/>
        <w:w w:val="99"/>
        <w:sz w:val="22"/>
        <w:szCs w:val="22"/>
        <w:lang w:val="en-US" w:eastAsia="en-US" w:bidi="ar-SA"/>
      </w:rPr>
    </w:lvl>
    <w:lvl w:ilvl="1" w:tplc="8E6E8D42">
      <w:numFmt w:val="bullet"/>
      <w:lvlText w:val="•"/>
      <w:lvlJc w:val="left"/>
      <w:pPr>
        <w:ind w:left="2072" w:hanging="360"/>
      </w:pPr>
      <w:rPr>
        <w:rFonts w:hint="default"/>
        <w:lang w:val="en-US" w:eastAsia="en-US" w:bidi="ar-SA"/>
      </w:rPr>
    </w:lvl>
    <w:lvl w:ilvl="2" w:tplc="A30C9378">
      <w:numFmt w:val="bullet"/>
      <w:lvlText w:val="•"/>
      <w:lvlJc w:val="left"/>
      <w:pPr>
        <w:ind w:left="2945" w:hanging="360"/>
      </w:pPr>
      <w:rPr>
        <w:rFonts w:hint="default"/>
        <w:lang w:val="en-US" w:eastAsia="en-US" w:bidi="ar-SA"/>
      </w:rPr>
    </w:lvl>
    <w:lvl w:ilvl="3" w:tplc="06040DCA">
      <w:numFmt w:val="bullet"/>
      <w:lvlText w:val="•"/>
      <w:lvlJc w:val="left"/>
      <w:pPr>
        <w:ind w:left="3817" w:hanging="360"/>
      </w:pPr>
      <w:rPr>
        <w:rFonts w:hint="default"/>
        <w:lang w:val="en-US" w:eastAsia="en-US" w:bidi="ar-SA"/>
      </w:rPr>
    </w:lvl>
    <w:lvl w:ilvl="4" w:tplc="4936FB3E">
      <w:numFmt w:val="bullet"/>
      <w:lvlText w:val="•"/>
      <w:lvlJc w:val="left"/>
      <w:pPr>
        <w:ind w:left="4690" w:hanging="360"/>
      </w:pPr>
      <w:rPr>
        <w:rFonts w:hint="default"/>
        <w:lang w:val="en-US" w:eastAsia="en-US" w:bidi="ar-SA"/>
      </w:rPr>
    </w:lvl>
    <w:lvl w:ilvl="5" w:tplc="173A6D26">
      <w:numFmt w:val="bullet"/>
      <w:lvlText w:val="•"/>
      <w:lvlJc w:val="left"/>
      <w:pPr>
        <w:ind w:left="5563" w:hanging="360"/>
      </w:pPr>
      <w:rPr>
        <w:rFonts w:hint="default"/>
        <w:lang w:val="en-US" w:eastAsia="en-US" w:bidi="ar-SA"/>
      </w:rPr>
    </w:lvl>
    <w:lvl w:ilvl="6" w:tplc="B38479F8">
      <w:numFmt w:val="bullet"/>
      <w:lvlText w:val="•"/>
      <w:lvlJc w:val="left"/>
      <w:pPr>
        <w:ind w:left="6435" w:hanging="360"/>
      </w:pPr>
      <w:rPr>
        <w:rFonts w:hint="default"/>
        <w:lang w:val="en-US" w:eastAsia="en-US" w:bidi="ar-SA"/>
      </w:rPr>
    </w:lvl>
    <w:lvl w:ilvl="7" w:tplc="BD88A014">
      <w:numFmt w:val="bullet"/>
      <w:lvlText w:val="•"/>
      <w:lvlJc w:val="left"/>
      <w:pPr>
        <w:ind w:left="7308" w:hanging="360"/>
      </w:pPr>
      <w:rPr>
        <w:rFonts w:hint="default"/>
        <w:lang w:val="en-US" w:eastAsia="en-US" w:bidi="ar-SA"/>
      </w:rPr>
    </w:lvl>
    <w:lvl w:ilvl="8" w:tplc="9BFA55F6">
      <w:numFmt w:val="bullet"/>
      <w:lvlText w:val="•"/>
      <w:lvlJc w:val="left"/>
      <w:pPr>
        <w:ind w:left="8181" w:hanging="360"/>
      </w:pPr>
      <w:rPr>
        <w:rFonts w:hint="default"/>
        <w:lang w:val="en-US" w:eastAsia="en-US" w:bidi="ar-SA"/>
      </w:rPr>
    </w:lvl>
  </w:abstractNum>
  <w:abstractNum w:abstractNumId="20" w15:restartNumberingAfterBreak="0">
    <w:nsid w:val="1BD206D2"/>
    <w:multiLevelType w:val="hybridMultilevel"/>
    <w:tmpl w:val="A262FF52"/>
    <w:lvl w:ilvl="0" w:tplc="A6A82D52">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03A2CBEE">
      <w:numFmt w:val="bullet"/>
      <w:lvlText w:val="•"/>
      <w:lvlJc w:val="left"/>
      <w:pPr>
        <w:ind w:left="2112" w:hanging="360"/>
      </w:pPr>
      <w:rPr>
        <w:rFonts w:hint="default"/>
        <w:lang w:val="en-US" w:eastAsia="en-US" w:bidi="ar-SA"/>
      </w:rPr>
    </w:lvl>
    <w:lvl w:ilvl="2" w:tplc="171A968E">
      <w:numFmt w:val="bullet"/>
      <w:lvlText w:val="•"/>
      <w:lvlJc w:val="left"/>
      <w:pPr>
        <w:ind w:left="3024" w:hanging="360"/>
      </w:pPr>
      <w:rPr>
        <w:rFonts w:hint="default"/>
        <w:lang w:val="en-US" w:eastAsia="en-US" w:bidi="ar-SA"/>
      </w:rPr>
    </w:lvl>
    <w:lvl w:ilvl="3" w:tplc="6758F0C4">
      <w:numFmt w:val="bullet"/>
      <w:lvlText w:val="•"/>
      <w:lvlJc w:val="left"/>
      <w:pPr>
        <w:ind w:left="3936" w:hanging="360"/>
      </w:pPr>
      <w:rPr>
        <w:rFonts w:hint="default"/>
        <w:lang w:val="en-US" w:eastAsia="en-US" w:bidi="ar-SA"/>
      </w:rPr>
    </w:lvl>
    <w:lvl w:ilvl="4" w:tplc="3356F888">
      <w:numFmt w:val="bullet"/>
      <w:lvlText w:val="•"/>
      <w:lvlJc w:val="left"/>
      <w:pPr>
        <w:ind w:left="4848" w:hanging="360"/>
      </w:pPr>
      <w:rPr>
        <w:rFonts w:hint="default"/>
        <w:lang w:val="en-US" w:eastAsia="en-US" w:bidi="ar-SA"/>
      </w:rPr>
    </w:lvl>
    <w:lvl w:ilvl="5" w:tplc="0C6E3374">
      <w:numFmt w:val="bullet"/>
      <w:lvlText w:val="•"/>
      <w:lvlJc w:val="left"/>
      <w:pPr>
        <w:ind w:left="5760" w:hanging="360"/>
      </w:pPr>
      <w:rPr>
        <w:rFonts w:hint="default"/>
        <w:lang w:val="en-US" w:eastAsia="en-US" w:bidi="ar-SA"/>
      </w:rPr>
    </w:lvl>
    <w:lvl w:ilvl="6" w:tplc="3E9EA65E">
      <w:numFmt w:val="bullet"/>
      <w:lvlText w:val="•"/>
      <w:lvlJc w:val="left"/>
      <w:pPr>
        <w:ind w:left="6672" w:hanging="360"/>
      </w:pPr>
      <w:rPr>
        <w:rFonts w:hint="default"/>
        <w:lang w:val="en-US" w:eastAsia="en-US" w:bidi="ar-SA"/>
      </w:rPr>
    </w:lvl>
    <w:lvl w:ilvl="7" w:tplc="D56C2A3C">
      <w:numFmt w:val="bullet"/>
      <w:lvlText w:val="•"/>
      <w:lvlJc w:val="left"/>
      <w:pPr>
        <w:ind w:left="7584" w:hanging="360"/>
      </w:pPr>
      <w:rPr>
        <w:rFonts w:hint="default"/>
        <w:lang w:val="en-US" w:eastAsia="en-US" w:bidi="ar-SA"/>
      </w:rPr>
    </w:lvl>
    <w:lvl w:ilvl="8" w:tplc="A03E08D0">
      <w:numFmt w:val="bullet"/>
      <w:lvlText w:val="•"/>
      <w:lvlJc w:val="left"/>
      <w:pPr>
        <w:ind w:left="8496" w:hanging="360"/>
      </w:pPr>
      <w:rPr>
        <w:rFonts w:hint="default"/>
        <w:lang w:val="en-US" w:eastAsia="en-US" w:bidi="ar-SA"/>
      </w:rPr>
    </w:lvl>
  </w:abstractNum>
  <w:abstractNum w:abstractNumId="21" w15:restartNumberingAfterBreak="0">
    <w:nsid w:val="1C464F0D"/>
    <w:multiLevelType w:val="hybridMultilevel"/>
    <w:tmpl w:val="D8C44F16"/>
    <w:lvl w:ilvl="0" w:tplc="5B2CF9EC">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7910E292">
      <w:numFmt w:val="bullet"/>
      <w:lvlText w:val="•"/>
      <w:lvlJc w:val="left"/>
      <w:pPr>
        <w:ind w:left="2072" w:hanging="360"/>
      </w:pPr>
      <w:rPr>
        <w:rFonts w:hint="default"/>
        <w:lang w:val="en-US" w:eastAsia="en-US" w:bidi="ar-SA"/>
      </w:rPr>
    </w:lvl>
    <w:lvl w:ilvl="2" w:tplc="AC26B00E">
      <w:numFmt w:val="bullet"/>
      <w:lvlText w:val="•"/>
      <w:lvlJc w:val="left"/>
      <w:pPr>
        <w:ind w:left="2945" w:hanging="360"/>
      </w:pPr>
      <w:rPr>
        <w:rFonts w:hint="default"/>
        <w:lang w:val="en-US" w:eastAsia="en-US" w:bidi="ar-SA"/>
      </w:rPr>
    </w:lvl>
    <w:lvl w:ilvl="3" w:tplc="8A426DC4">
      <w:numFmt w:val="bullet"/>
      <w:lvlText w:val="•"/>
      <w:lvlJc w:val="left"/>
      <w:pPr>
        <w:ind w:left="3817" w:hanging="360"/>
      </w:pPr>
      <w:rPr>
        <w:rFonts w:hint="default"/>
        <w:lang w:val="en-US" w:eastAsia="en-US" w:bidi="ar-SA"/>
      </w:rPr>
    </w:lvl>
    <w:lvl w:ilvl="4" w:tplc="7D66484E">
      <w:numFmt w:val="bullet"/>
      <w:lvlText w:val="•"/>
      <w:lvlJc w:val="left"/>
      <w:pPr>
        <w:ind w:left="4690" w:hanging="360"/>
      </w:pPr>
      <w:rPr>
        <w:rFonts w:hint="default"/>
        <w:lang w:val="en-US" w:eastAsia="en-US" w:bidi="ar-SA"/>
      </w:rPr>
    </w:lvl>
    <w:lvl w:ilvl="5" w:tplc="4F84F04C">
      <w:numFmt w:val="bullet"/>
      <w:lvlText w:val="•"/>
      <w:lvlJc w:val="left"/>
      <w:pPr>
        <w:ind w:left="5563" w:hanging="360"/>
      </w:pPr>
      <w:rPr>
        <w:rFonts w:hint="default"/>
        <w:lang w:val="en-US" w:eastAsia="en-US" w:bidi="ar-SA"/>
      </w:rPr>
    </w:lvl>
    <w:lvl w:ilvl="6" w:tplc="51D01156">
      <w:numFmt w:val="bullet"/>
      <w:lvlText w:val="•"/>
      <w:lvlJc w:val="left"/>
      <w:pPr>
        <w:ind w:left="6435" w:hanging="360"/>
      </w:pPr>
      <w:rPr>
        <w:rFonts w:hint="default"/>
        <w:lang w:val="en-US" w:eastAsia="en-US" w:bidi="ar-SA"/>
      </w:rPr>
    </w:lvl>
    <w:lvl w:ilvl="7" w:tplc="66D6B4CC">
      <w:numFmt w:val="bullet"/>
      <w:lvlText w:val="•"/>
      <w:lvlJc w:val="left"/>
      <w:pPr>
        <w:ind w:left="7308" w:hanging="360"/>
      </w:pPr>
      <w:rPr>
        <w:rFonts w:hint="default"/>
        <w:lang w:val="en-US" w:eastAsia="en-US" w:bidi="ar-SA"/>
      </w:rPr>
    </w:lvl>
    <w:lvl w:ilvl="8" w:tplc="ADA6256A">
      <w:numFmt w:val="bullet"/>
      <w:lvlText w:val="•"/>
      <w:lvlJc w:val="left"/>
      <w:pPr>
        <w:ind w:left="8181" w:hanging="360"/>
      </w:pPr>
      <w:rPr>
        <w:rFonts w:hint="default"/>
        <w:lang w:val="en-US" w:eastAsia="en-US" w:bidi="ar-SA"/>
      </w:rPr>
    </w:lvl>
  </w:abstractNum>
  <w:abstractNum w:abstractNumId="22" w15:restartNumberingAfterBreak="0">
    <w:nsid w:val="1D9D435C"/>
    <w:multiLevelType w:val="multilevel"/>
    <w:tmpl w:val="E8080FAC"/>
    <w:lvl w:ilvl="0">
      <w:start w:val="1"/>
      <w:numFmt w:val="decimal"/>
      <w:lvlText w:val="%1."/>
      <w:lvlJc w:val="left"/>
      <w:pPr>
        <w:ind w:left="835" w:hanging="355"/>
        <w:jc w:val="left"/>
      </w:pPr>
      <w:rPr>
        <w:rFonts w:ascii="Arial" w:eastAsia="Arial" w:hAnsi="Arial" w:cs="Arial" w:hint="default"/>
        <w:b/>
        <w:bCs/>
        <w:i w:val="0"/>
        <w:iCs w:val="0"/>
        <w:spacing w:val="0"/>
        <w:w w:val="100"/>
        <w:sz w:val="32"/>
        <w:szCs w:val="32"/>
        <w:lang w:val="en-US" w:eastAsia="en-US" w:bidi="ar-SA"/>
      </w:rPr>
    </w:lvl>
    <w:lvl w:ilvl="1">
      <w:start w:val="1"/>
      <w:numFmt w:val="decimal"/>
      <w:lvlText w:val="%1.%2"/>
      <w:lvlJc w:val="left"/>
      <w:pPr>
        <w:ind w:left="946" w:hanging="467"/>
        <w:jc w:val="left"/>
      </w:pPr>
      <w:rPr>
        <w:rFonts w:ascii="Arial" w:eastAsia="Arial" w:hAnsi="Arial" w:cs="Arial" w:hint="default"/>
        <w:b/>
        <w:bCs/>
        <w:i w:val="0"/>
        <w:iCs w:val="0"/>
        <w:spacing w:val="0"/>
        <w:w w:val="99"/>
        <w:sz w:val="28"/>
        <w:szCs w:val="28"/>
        <w:lang w:val="en-US" w:eastAsia="en-US" w:bidi="ar-SA"/>
      </w:rPr>
    </w:lvl>
    <w:lvl w:ilvl="2">
      <w:start w:val="1"/>
      <w:numFmt w:val="decimal"/>
      <w:lvlText w:val="%1.%2.%3"/>
      <w:lvlJc w:val="left"/>
      <w:pPr>
        <w:ind w:left="1080" w:hanging="600"/>
        <w:jc w:val="left"/>
      </w:pPr>
      <w:rPr>
        <w:rFonts w:ascii="Arial" w:eastAsia="Arial" w:hAnsi="Arial" w:cs="Arial" w:hint="default"/>
        <w:b/>
        <w:bCs/>
        <w:i w:val="0"/>
        <w:iCs w:val="0"/>
        <w:spacing w:val="-1"/>
        <w:w w:val="100"/>
        <w:sz w:val="24"/>
        <w:szCs w:val="24"/>
        <w:lang w:val="en-US" w:eastAsia="en-US" w:bidi="ar-SA"/>
      </w:rPr>
    </w:lvl>
    <w:lvl w:ilvl="3">
      <w:start w:val="1"/>
      <w:numFmt w:val="decimal"/>
      <w:lvlText w:val="%1.%2.%3.%4"/>
      <w:lvlJc w:val="left"/>
      <w:pPr>
        <w:ind w:left="1214" w:hanging="735"/>
        <w:jc w:val="left"/>
      </w:pPr>
      <w:rPr>
        <w:rFonts w:ascii="Arial" w:eastAsia="Arial" w:hAnsi="Arial" w:cs="Arial" w:hint="default"/>
        <w:b/>
        <w:bCs/>
        <w:i/>
        <w:iCs/>
        <w:spacing w:val="0"/>
        <w:w w:val="99"/>
        <w:sz w:val="22"/>
        <w:szCs w:val="22"/>
        <w:lang w:val="en-US" w:eastAsia="en-US" w:bidi="ar-SA"/>
      </w:rPr>
    </w:lvl>
    <w:lvl w:ilvl="4">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5">
      <w:numFmt w:val="bullet"/>
      <w:lvlText w:val="o"/>
      <w:lvlJc w:val="left"/>
      <w:pPr>
        <w:ind w:left="1919" w:hanging="360"/>
      </w:pPr>
      <w:rPr>
        <w:rFonts w:ascii="Courier New" w:eastAsia="Courier New" w:hAnsi="Courier New" w:cs="Courier New" w:hint="default"/>
        <w:b w:val="0"/>
        <w:bCs w:val="0"/>
        <w:i w:val="0"/>
        <w:iCs w:val="0"/>
        <w:spacing w:val="0"/>
        <w:w w:val="99"/>
        <w:sz w:val="22"/>
        <w:szCs w:val="22"/>
        <w:lang w:val="en-US" w:eastAsia="en-US" w:bidi="ar-SA"/>
      </w:rPr>
    </w:lvl>
    <w:lvl w:ilvl="6">
      <w:numFmt w:val="bullet"/>
      <w:lvlText w:val="•"/>
      <w:lvlJc w:val="left"/>
      <w:pPr>
        <w:ind w:left="3521" w:hanging="360"/>
      </w:pPr>
      <w:rPr>
        <w:rFonts w:hint="default"/>
        <w:lang w:val="en-US" w:eastAsia="en-US" w:bidi="ar-SA"/>
      </w:rPr>
    </w:lvl>
    <w:lvl w:ilvl="7">
      <w:numFmt w:val="bullet"/>
      <w:lvlText w:val="•"/>
      <w:lvlJc w:val="left"/>
      <w:pPr>
        <w:ind w:left="5122" w:hanging="360"/>
      </w:pPr>
      <w:rPr>
        <w:rFonts w:hint="default"/>
        <w:lang w:val="en-US" w:eastAsia="en-US" w:bidi="ar-SA"/>
      </w:rPr>
    </w:lvl>
    <w:lvl w:ilvl="8">
      <w:numFmt w:val="bullet"/>
      <w:lvlText w:val="•"/>
      <w:lvlJc w:val="left"/>
      <w:pPr>
        <w:ind w:left="6723" w:hanging="360"/>
      </w:pPr>
      <w:rPr>
        <w:rFonts w:hint="default"/>
        <w:lang w:val="en-US" w:eastAsia="en-US" w:bidi="ar-SA"/>
      </w:rPr>
    </w:lvl>
  </w:abstractNum>
  <w:abstractNum w:abstractNumId="23" w15:restartNumberingAfterBreak="0">
    <w:nsid w:val="1EBD5FFE"/>
    <w:multiLevelType w:val="hybridMultilevel"/>
    <w:tmpl w:val="C9845080"/>
    <w:lvl w:ilvl="0" w:tplc="A49EB9F0">
      <w:numFmt w:val="bullet"/>
      <w:lvlText w:val=""/>
      <w:lvlJc w:val="left"/>
      <w:pPr>
        <w:ind w:left="483" w:hanging="188"/>
      </w:pPr>
      <w:rPr>
        <w:rFonts w:ascii="Symbol" w:eastAsia="Symbol" w:hAnsi="Symbol" w:cs="Symbol" w:hint="default"/>
        <w:b w:val="0"/>
        <w:bCs w:val="0"/>
        <w:i w:val="0"/>
        <w:iCs w:val="0"/>
        <w:spacing w:val="0"/>
        <w:w w:val="100"/>
        <w:sz w:val="20"/>
        <w:szCs w:val="20"/>
        <w:lang w:val="en-US" w:eastAsia="en-US" w:bidi="ar-SA"/>
      </w:rPr>
    </w:lvl>
    <w:lvl w:ilvl="1" w:tplc="CDC46AD0">
      <w:numFmt w:val="bullet"/>
      <w:lvlText w:val="•"/>
      <w:lvlJc w:val="left"/>
      <w:pPr>
        <w:ind w:left="1153" w:hanging="188"/>
      </w:pPr>
      <w:rPr>
        <w:rFonts w:hint="default"/>
        <w:lang w:val="en-US" w:eastAsia="en-US" w:bidi="ar-SA"/>
      </w:rPr>
    </w:lvl>
    <w:lvl w:ilvl="2" w:tplc="317849A6">
      <w:numFmt w:val="bullet"/>
      <w:lvlText w:val="•"/>
      <w:lvlJc w:val="left"/>
      <w:pPr>
        <w:ind w:left="1827" w:hanging="188"/>
      </w:pPr>
      <w:rPr>
        <w:rFonts w:hint="default"/>
        <w:lang w:val="en-US" w:eastAsia="en-US" w:bidi="ar-SA"/>
      </w:rPr>
    </w:lvl>
    <w:lvl w:ilvl="3" w:tplc="C0F28274">
      <w:numFmt w:val="bullet"/>
      <w:lvlText w:val="•"/>
      <w:lvlJc w:val="left"/>
      <w:pPr>
        <w:ind w:left="2501" w:hanging="188"/>
      </w:pPr>
      <w:rPr>
        <w:rFonts w:hint="default"/>
        <w:lang w:val="en-US" w:eastAsia="en-US" w:bidi="ar-SA"/>
      </w:rPr>
    </w:lvl>
    <w:lvl w:ilvl="4" w:tplc="24C618C2">
      <w:numFmt w:val="bullet"/>
      <w:lvlText w:val="•"/>
      <w:lvlJc w:val="left"/>
      <w:pPr>
        <w:ind w:left="3175" w:hanging="188"/>
      </w:pPr>
      <w:rPr>
        <w:rFonts w:hint="default"/>
        <w:lang w:val="en-US" w:eastAsia="en-US" w:bidi="ar-SA"/>
      </w:rPr>
    </w:lvl>
    <w:lvl w:ilvl="5" w:tplc="33C2E59E">
      <w:numFmt w:val="bullet"/>
      <w:lvlText w:val="•"/>
      <w:lvlJc w:val="left"/>
      <w:pPr>
        <w:ind w:left="3849" w:hanging="188"/>
      </w:pPr>
      <w:rPr>
        <w:rFonts w:hint="default"/>
        <w:lang w:val="en-US" w:eastAsia="en-US" w:bidi="ar-SA"/>
      </w:rPr>
    </w:lvl>
    <w:lvl w:ilvl="6" w:tplc="6A8C1456">
      <w:numFmt w:val="bullet"/>
      <w:lvlText w:val="•"/>
      <w:lvlJc w:val="left"/>
      <w:pPr>
        <w:ind w:left="4523" w:hanging="188"/>
      </w:pPr>
      <w:rPr>
        <w:rFonts w:hint="default"/>
        <w:lang w:val="en-US" w:eastAsia="en-US" w:bidi="ar-SA"/>
      </w:rPr>
    </w:lvl>
    <w:lvl w:ilvl="7" w:tplc="AEAC90C4">
      <w:numFmt w:val="bullet"/>
      <w:lvlText w:val="•"/>
      <w:lvlJc w:val="left"/>
      <w:pPr>
        <w:ind w:left="5197" w:hanging="188"/>
      </w:pPr>
      <w:rPr>
        <w:rFonts w:hint="default"/>
        <w:lang w:val="en-US" w:eastAsia="en-US" w:bidi="ar-SA"/>
      </w:rPr>
    </w:lvl>
    <w:lvl w:ilvl="8" w:tplc="1F74FC50">
      <w:numFmt w:val="bullet"/>
      <w:lvlText w:val="•"/>
      <w:lvlJc w:val="left"/>
      <w:pPr>
        <w:ind w:left="5871" w:hanging="188"/>
      </w:pPr>
      <w:rPr>
        <w:rFonts w:hint="default"/>
        <w:lang w:val="en-US" w:eastAsia="en-US" w:bidi="ar-SA"/>
      </w:rPr>
    </w:lvl>
  </w:abstractNum>
  <w:abstractNum w:abstractNumId="24" w15:restartNumberingAfterBreak="0">
    <w:nsid w:val="1F5005ED"/>
    <w:multiLevelType w:val="hybridMultilevel"/>
    <w:tmpl w:val="19BCA098"/>
    <w:lvl w:ilvl="0" w:tplc="8A24FFA6">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3E08144E">
      <w:numFmt w:val="bullet"/>
      <w:lvlText w:val="•"/>
      <w:lvlJc w:val="left"/>
      <w:pPr>
        <w:ind w:left="2112" w:hanging="360"/>
      </w:pPr>
      <w:rPr>
        <w:rFonts w:hint="default"/>
        <w:lang w:val="en-US" w:eastAsia="en-US" w:bidi="ar-SA"/>
      </w:rPr>
    </w:lvl>
    <w:lvl w:ilvl="2" w:tplc="7944B6EE">
      <w:numFmt w:val="bullet"/>
      <w:lvlText w:val="•"/>
      <w:lvlJc w:val="left"/>
      <w:pPr>
        <w:ind w:left="3024" w:hanging="360"/>
      </w:pPr>
      <w:rPr>
        <w:rFonts w:hint="default"/>
        <w:lang w:val="en-US" w:eastAsia="en-US" w:bidi="ar-SA"/>
      </w:rPr>
    </w:lvl>
    <w:lvl w:ilvl="3" w:tplc="566A86B8">
      <w:numFmt w:val="bullet"/>
      <w:lvlText w:val="•"/>
      <w:lvlJc w:val="left"/>
      <w:pPr>
        <w:ind w:left="3936" w:hanging="360"/>
      </w:pPr>
      <w:rPr>
        <w:rFonts w:hint="default"/>
        <w:lang w:val="en-US" w:eastAsia="en-US" w:bidi="ar-SA"/>
      </w:rPr>
    </w:lvl>
    <w:lvl w:ilvl="4" w:tplc="DD9AFC7A">
      <w:numFmt w:val="bullet"/>
      <w:lvlText w:val="•"/>
      <w:lvlJc w:val="left"/>
      <w:pPr>
        <w:ind w:left="4848" w:hanging="360"/>
      </w:pPr>
      <w:rPr>
        <w:rFonts w:hint="default"/>
        <w:lang w:val="en-US" w:eastAsia="en-US" w:bidi="ar-SA"/>
      </w:rPr>
    </w:lvl>
    <w:lvl w:ilvl="5" w:tplc="5A061C32">
      <w:numFmt w:val="bullet"/>
      <w:lvlText w:val="•"/>
      <w:lvlJc w:val="left"/>
      <w:pPr>
        <w:ind w:left="5760" w:hanging="360"/>
      </w:pPr>
      <w:rPr>
        <w:rFonts w:hint="default"/>
        <w:lang w:val="en-US" w:eastAsia="en-US" w:bidi="ar-SA"/>
      </w:rPr>
    </w:lvl>
    <w:lvl w:ilvl="6" w:tplc="1584CA4A">
      <w:numFmt w:val="bullet"/>
      <w:lvlText w:val="•"/>
      <w:lvlJc w:val="left"/>
      <w:pPr>
        <w:ind w:left="6672" w:hanging="360"/>
      </w:pPr>
      <w:rPr>
        <w:rFonts w:hint="default"/>
        <w:lang w:val="en-US" w:eastAsia="en-US" w:bidi="ar-SA"/>
      </w:rPr>
    </w:lvl>
    <w:lvl w:ilvl="7" w:tplc="18F0244A">
      <w:numFmt w:val="bullet"/>
      <w:lvlText w:val="•"/>
      <w:lvlJc w:val="left"/>
      <w:pPr>
        <w:ind w:left="7584" w:hanging="360"/>
      </w:pPr>
      <w:rPr>
        <w:rFonts w:hint="default"/>
        <w:lang w:val="en-US" w:eastAsia="en-US" w:bidi="ar-SA"/>
      </w:rPr>
    </w:lvl>
    <w:lvl w:ilvl="8" w:tplc="B71076D2">
      <w:numFmt w:val="bullet"/>
      <w:lvlText w:val="•"/>
      <w:lvlJc w:val="left"/>
      <w:pPr>
        <w:ind w:left="8496" w:hanging="360"/>
      </w:pPr>
      <w:rPr>
        <w:rFonts w:hint="default"/>
        <w:lang w:val="en-US" w:eastAsia="en-US" w:bidi="ar-SA"/>
      </w:rPr>
    </w:lvl>
  </w:abstractNum>
  <w:abstractNum w:abstractNumId="25" w15:restartNumberingAfterBreak="0">
    <w:nsid w:val="1F9B3851"/>
    <w:multiLevelType w:val="hybridMultilevel"/>
    <w:tmpl w:val="89D4358E"/>
    <w:lvl w:ilvl="0" w:tplc="FF0615E4">
      <w:numFmt w:val="bullet"/>
      <w:lvlText w:val=""/>
      <w:lvlJc w:val="left"/>
      <w:pPr>
        <w:ind w:left="1199" w:hanging="360"/>
      </w:pPr>
      <w:rPr>
        <w:rFonts w:ascii="Symbol" w:eastAsia="Symbol" w:hAnsi="Symbol" w:cs="Symbol" w:hint="default"/>
        <w:spacing w:val="0"/>
        <w:w w:val="99"/>
        <w:lang w:val="en-US" w:eastAsia="en-US" w:bidi="ar-SA"/>
      </w:rPr>
    </w:lvl>
    <w:lvl w:ilvl="1" w:tplc="1C40209A">
      <w:numFmt w:val="bullet"/>
      <w:lvlText w:val="•"/>
      <w:lvlJc w:val="left"/>
      <w:pPr>
        <w:ind w:left="2072" w:hanging="360"/>
      </w:pPr>
      <w:rPr>
        <w:rFonts w:hint="default"/>
        <w:lang w:val="en-US" w:eastAsia="en-US" w:bidi="ar-SA"/>
      </w:rPr>
    </w:lvl>
    <w:lvl w:ilvl="2" w:tplc="2B62A0E6">
      <w:numFmt w:val="bullet"/>
      <w:lvlText w:val="•"/>
      <w:lvlJc w:val="left"/>
      <w:pPr>
        <w:ind w:left="2945" w:hanging="360"/>
      </w:pPr>
      <w:rPr>
        <w:rFonts w:hint="default"/>
        <w:lang w:val="en-US" w:eastAsia="en-US" w:bidi="ar-SA"/>
      </w:rPr>
    </w:lvl>
    <w:lvl w:ilvl="3" w:tplc="2BFE1ECE">
      <w:numFmt w:val="bullet"/>
      <w:lvlText w:val="•"/>
      <w:lvlJc w:val="left"/>
      <w:pPr>
        <w:ind w:left="3817" w:hanging="360"/>
      </w:pPr>
      <w:rPr>
        <w:rFonts w:hint="default"/>
        <w:lang w:val="en-US" w:eastAsia="en-US" w:bidi="ar-SA"/>
      </w:rPr>
    </w:lvl>
    <w:lvl w:ilvl="4" w:tplc="1BBC4164">
      <w:numFmt w:val="bullet"/>
      <w:lvlText w:val="•"/>
      <w:lvlJc w:val="left"/>
      <w:pPr>
        <w:ind w:left="4690" w:hanging="360"/>
      </w:pPr>
      <w:rPr>
        <w:rFonts w:hint="default"/>
        <w:lang w:val="en-US" w:eastAsia="en-US" w:bidi="ar-SA"/>
      </w:rPr>
    </w:lvl>
    <w:lvl w:ilvl="5" w:tplc="0ADC1FB2">
      <w:numFmt w:val="bullet"/>
      <w:lvlText w:val="•"/>
      <w:lvlJc w:val="left"/>
      <w:pPr>
        <w:ind w:left="5563" w:hanging="360"/>
      </w:pPr>
      <w:rPr>
        <w:rFonts w:hint="default"/>
        <w:lang w:val="en-US" w:eastAsia="en-US" w:bidi="ar-SA"/>
      </w:rPr>
    </w:lvl>
    <w:lvl w:ilvl="6" w:tplc="3322E79E">
      <w:numFmt w:val="bullet"/>
      <w:lvlText w:val="•"/>
      <w:lvlJc w:val="left"/>
      <w:pPr>
        <w:ind w:left="6435" w:hanging="360"/>
      </w:pPr>
      <w:rPr>
        <w:rFonts w:hint="default"/>
        <w:lang w:val="en-US" w:eastAsia="en-US" w:bidi="ar-SA"/>
      </w:rPr>
    </w:lvl>
    <w:lvl w:ilvl="7" w:tplc="56C2D206">
      <w:numFmt w:val="bullet"/>
      <w:lvlText w:val="•"/>
      <w:lvlJc w:val="left"/>
      <w:pPr>
        <w:ind w:left="7308" w:hanging="360"/>
      </w:pPr>
      <w:rPr>
        <w:rFonts w:hint="default"/>
        <w:lang w:val="en-US" w:eastAsia="en-US" w:bidi="ar-SA"/>
      </w:rPr>
    </w:lvl>
    <w:lvl w:ilvl="8" w:tplc="CC6E37CA">
      <w:numFmt w:val="bullet"/>
      <w:lvlText w:val="•"/>
      <w:lvlJc w:val="left"/>
      <w:pPr>
        <w:ind w:left="8181" w:hanging="360"/>
      </w:pPr>
      <w:rPr>
        <w:rFonts w:hint="default"/>
        <w:lang w:val="en-US" w:eastAsia="en-US" w:bidi="ar-SA"/>
      </w:rPr>
    </w:lvl>
  </w:abstractNum>
  <w:abstractNum w:abstractNumId="26" w15:restartNumberingAfterBreak="0">
    <w:nsid w:val="21364F62"/>
    <w:multiLevelType w:val="hybridMultilevel"/>
    <w:tmpl w:val="75D6EF3A"/>
    <w:lvl w:ilvl="0" w:tplc="4928D30C">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0958C18E">
      <w:numFmt w:val="bullet"/>
      <w:lvlText w:val="•"/>
      <w:lvlJc w:val="left"/>
      <w:pPr>
        <w:ind w:left="2072" w:hanging="360"/>
      </w:pPr>
      <w:rPr>
        <w:rFonts w:hint="default"/>
        <w:lang w:val="en-US" w:eastAsia="en-US" w:bidi="ar-SA"/>
      </w:rPr>
    </w:lvl>
    <w:lvl w:ilvl="2" w:tplc="EE6A06A8">
      <w:numFmt w:val="bullet"/>
      <w:lvlText w:val="•"/>
      <w:lvlJc w:val="left"/>
      <w:pPr>
        <w:ind w:left="2945" w:hanging="360"/>
      </w:pPr>
      <w:rPr>
        <w:rFonts w:hint="default"/>
        <w:lang w:val="en-US" w:eastAsia="en-US" w:bidi="ar-SA"/>
      </w:rPr>
    </w:lvl>
    <w:lvl w:ilvl="3" w:tplc="A7CCE326">
      <w:numFmt w:val="bullet"/>
      <w:lvlText w:val="•"/>
      <w:lvlJc w:val="left"/>
      <w:pPr>
        <w:ind w:left="3817" w:hanging="360"/>
      </w:pPr>
      <w:rPr>
        <w:rFonts w:hint="default"/>
        <w:lang w:val="en-US" w:eastAsia="en-US" w:bidi="ar-SA"/>
      </w:rPr>
    </w:lvl>
    <w:lvl w:ilvl="4" w:tplc="D09ED03A">
      <w:numFmt w:val="bullet"/>
      <w:lvlText w:val="•"/>
      <w:lvlJc w:val="left"/>
      <w:pPr>
        <w:ind w:left="4690" w:hanging="360"/>
      </w:pPr>
      <w:rPr>
        <w:rFonts w:hint="default"/>
        <w:lang w:val="en-US" w:eastAsia="en-US" w:bidi="ar-SA"/>
      </w:rPr>
    </w:lvl>
    <w:lvl w:ilvl="5" w:tplc="ED50A1D6">
      <w:numFmt w:val="bullet"/>
      <w:lvlText w:val="•"/>
      <w:lvlJc w:val="left"/>
      <w:pPr>
        <w:ind w:left="5563" w:hanging="360"/>
      </w:pPr>
      <w:rPr>
        <w:rFonts w:hint="default"/>
        <w:lang w:val="en-US" w:eastAsia="en-US" w:bidi="ar-SA"/>
      </w:rPr>
    </w:lvl>
    <w:lvl w:ilvl="6" w:tplc="02F01D1E">
      <w:numFmt w:val="bullet"/>
      <w:lvlText w:val="•"/>
      <w:lvlJc w:val="left"/>
      <w:pPr>
        <w:ind w:left="6435" w:hanging="360"/>
      </w:pPr>
      <w:rPr>
        <w:rFonts w:hint="default"/>
        <w:lang w:val="en-US" w:eastAsia="en-US" w:bidi="ar-SA"/>
      </w:rPr>
    </w:lvl>
    <w:lvl w:ilvl="7" w:tplc="5FD8470A">
      <w:numFmt w:val="bullet"/>
      <w:lvlText w:val="•"/>
      <w:lvlJc w:val="left"/>
      <w:pPr>
        <w:ind w:left="7308" w:hanging="360"/>
      </w:pPr>
      <w:rPr>
        <w:rFonts w:hint="default"/>
        <w:lang w:val="en-US" w:eastAsia="en-US" w:bidi="ar-SA"/>
      </w:rPr>
    </w:lvl>
    <w:lvl w:ilvl="8" w:tplc="AD16C6E0">
      <w:numFmt w:val="bullet"/>
      <w:lvlText w:val="•"/>
      <w:lvlJc w:val="left"/>
      <w:pPr>
        <w:ind w:left="8181" w:hanging="360"/>
      </w:pPr>
      <w:rPr>
        <w:rFonts w:hint="default"/>
        <w:lang w:val="en-US" w:eastAsia="en-US" w:bidi="ar-SA"/>
      </w:rPr>
    </w:lvl>
  </w:abstractNum>
  <w:abstractNum w:abstractNumId="27" w15:restartNumberingAfterBreak="0">
    <w:nsid w:val="26746920"/>
    <w:multiLevelType w:val="multilevel"/>
    <w:tmpl w:val="9DFA1226"/>
    <w:lvl w:ilvl="0">
      <w:start w:val="11"/>
      <w:numFmt w:val="upperLetter"/>
      <w:lvlText w:val="%1"/>
      <w:lvlJc w:val="left"/>
      <w:pPr>
        <w:ind w:left="733" w:hanging="514"/>
        <w:jc w:val="left"/>
      </w:pPr>
      <w:rPr>
        <w:rFonts w:hint="default"/>
        <w:lang w:val="en-US" w:eastAsia="en-US" w:bidi="ar-SA"/>
      </w:rPr>
    </w:lvl>
    <w:lvl w:ilvl="1">
      <w:start w:val="1"/>
      <w:numFmt w:val="decimal"/>
      <w:lvlText w:val="%1.%2"/>
      <w:lvlJc w:val="left"/>
      <w:pPr>
        <w:ind w:left="733" w:hanging="514"/>
        <w:jc w:val="left"/>
      </w:pPr>
      <w:rPr>
        <w:rFonts w:ascii="Arial" w:eastAsia="Arial" w:hAnsi="Arial" w:cs="Arial" w:hint="default"/>
        <w:b/>
        <w:bCs/>
        <w:i w:val="0"/>
        <w:iCs w:val="0"/>
        <w:spacing w:val="-1"/>
        <w:w w:val="99"/>
        <w:sz w:val="28"/>
        <w:szCs w:val="28"/>
        <w:lang w:val="en-US" w:eastAsia="en-US" w:bidi="ar-SA"/>
      </w:rPr>
    </w:lvl>
    <w:lvl w:ilvl="2">
      <w:numFmt w:val="bullet"/>
      <w:lvlText w:val=""/>
      <w:lvlJc w:val="left"/>
      <w:pPr>
        <w:ind w:left="939" w:hanging="360"/>
      </w:pPr>
      <w:rPr>
        <w:rFonts w:ascii="Symbol" w:eastAsia="Symbol" w:hAnsi="Symbol" w:cs="Symbol" w:hint="default"/>
        <w:b w:val="0"/>
        <w:bCs w:val="0"/>
        <w:i w:val="0"/>
        <w:iCs w:val="0"/>
        <w:spacing w:val="0"/>
        <w:w w:val="99"/>
        <w:sz w:val="22"/>
        <w:szCs w:val="22"/>
        <w:lang w:val="en-US" w:eastAsia="en-US" w:bidi="ar-SA"/>
      </w:rPr>
    </w:lvl>
    <w:lvl w:ilvl="3">
      <w:numFmt w:val="bullet"/>
      <w:lvlText w:val="o"/>
      <w:lvlJc w:val="left"/>
      <w:pPr>
        <w:ind w:left="1343" w:hanging="360"/>
      </w:pPr>
      <w:rPr>
        <w:rFonts w:ascii="Courier New" w:eastAsia="Courier New" w:hAnsi="Courier New" w:cs="Courier New" w:hint="default"/>
        <w:b w:val="0"/>
        <w:bCs w:val="0"/>
        <w:i w:val="0"/>
        <w:iCs w:val="0"/>
        <w:spacing w:val="0"/>
        <w:w w:val="99"/>
        <w:sz w:val="22"/>
        <w:szCs w:val="22"/>
        <w:lang w:val="en-US" w:eastAsia="en-US" w:bidi="ar-SA"/>
      </w:rPr>
    </w:lvl>
    <w:lvl w:ilvl="4">
      <w:numFmt w:val="bullet"/>
      <w:lvlText w:val="•"/>
      <w:lvlJc w:val="left"/>
      <w:pPr>
        <w:ind w:left="2545" w:hanging="360"/>
      </w:pPr>
      <w:rPr>
        <w:rFonts w:hint="default"/>
        <w:lang w:val="en-US" w:eastAsia="en-US" w:bidi="ar-SA"/>
      </w:rPr>
    </w:lvl>
    <w:lvl w:ilvl="5">
      <w:numFmt w:val="bullet"/>
      <w:lvlText w:val="•"/>
      <w:lvlJc w:val="left"/>
      <w:pPr>
        <w:ind w:left="3751" w:hanging="360"/>
      </w:pPr>
      <w:rPr>
        <w:rFonts w:hint="default"/>
        <w:lang w:val="en-US" w:eastAsia="en-US" w:bidi="ar-SA"/>
      </w:rPr>
    </w:lvl>
    <w:lvl w:ilvl="6">
      <w:numFmt w:val="bullet"/>
      <w:lvlText w:val="•"/>
      <w:lvlJc w:val="left"/>
      <w:pPr>
        <w:ind w:left="4957" w:hanging="360"/>
      </w:pPr>
      <w:rPr>
        <w:rFonts w:hint="default"/>
        <w:lang w:val="en-US" w:eastAsia="en-US" w:bidi="ar-SA"/>
      </w:rPr>
    </w:lvl>
    <w:lvl w:ilvl="7">
      <w:numFmt w:val="bullet"/>
      <w:lvlText w:val="•"/>
      <w:lvlJc w:val="left"/>
      <w:pPr>
        <w:ind w:left="6162" w:hanging="360"/>
      </w:pPr>
      <w:rPr>
        <w:rFonts w:hint="default"/>
        <w:lang w:val="en-US" w:eastAsia="en-US" w:bidi="ar-SA"/>
      </w:rPr>
    </w:lvl>
    <w:lvl w:ilvl="8">
      <w:numFmt w:val="bullet"/>
      <w:lvlText w:val="•"/>
      <w:lvlJc w:val="left"/>
      <w:pPr>
        <w:ind w:left="7368" w:hanging="360"/>
      </w:pPr>
      <w:rPr>
        <w:rFonts w:hint="default"/>
        <w:lang w:val="en-US" w:eastAsia="en-US" w:bidi="ar-SA"/>
      </w:rPr>
    </w:lvl>
  </w:abstractNum>
  <w:abstractNum w:abstractNumId="28" w15:restartNumberingAfterBreak="0">
    <w:nsid w:val="276E55F3"/>
    <w:multiLevelType w:val="multilevel"/>
    <w:tmpl w:val="14E29258"/>
    <w:lvl w:ilvl="0">
      <w:start w:val="5"/>
      <w:numFmt w:val="upperLetter"/>
      <w:lvlText w:val="%1"/>
      <w:lvlJc w:val="left"/>
      <w:pPr>
        <w:ind w:left="977" w:hanging="498"/>
        <w:jc w:val="left"/>
      </w:pPr>
      <w:rPr>
        <w:rFonts w:hint="default"/>
        <w:lang w:val="en-US" w:eastAsia="en-US" w:bidi="ar-SA"/>
      </w:rPr>
    </w:lvl>
    <w:lvl w:ilvl="1">
      <w:start w:val="1"/>
      <w:numFmt w:val="decimal"/>
      <w:lvlText w:val="%1.%2"/>
      <w:lvlJc w:val="left"/>
      <w:pPr>
        <w:ind w:left="977" w:hanging="498"/>
        <w:jc w:val="left"/>
      </w:pPr>
      <w:rPr>
        <w:rFonts w:ascii="Arial" w:eastAsia="Arial" w:hAnsi="Arial" w:cs="Arial" w:hint="default"/>
        <w:b/>
        <w:bCs/>
        <w:i w:val="0"/>
        <w:iCs w:val="0"/>
        <w:spacing w:val="-1"/>
        <w:w w:val="99"/>
        <w:sz w:val="28"/>
        <w:szCs w:val="28"/>
        <w:lang w:val="en-US" w:eastAsia="en-US" w:bidi="ar-SA"/>
      </w:rPr>
    </w:lvl>
    <w:lvl w:ilvl="2">
      <w:numFmt w:val="bullet"/>
      <w:lvlText w:val="•"/>
      <w:lvlJc w:val="left"/>
      <w:pPr>
        <w:ind w:left="2769" w:hanging="498"/>
      </w:pPr>
      <w:rPr>
        <w:rFonts w:hint="default"/>
        <w:lang w:val="en-US" w:eastAsia="en-US" w:bidi="ar-SA"/>
      </w:rPr>
    </w:lvl>
    <w:lvl w:ilvl="3">
      <w:numFmt w:val="bullet"/>
      <w:lvlText w:val="•"/>
      <w:lvlJc w:val="left"/>
      <w:pPr>
        <w:ind w:left="3663" w:hanging="498"/>
      </w:pPr>
      <w:rPr>
        <w:rFonts w:hint="default"/>
        <w:lang w:val="en-US" w:eastAsia="en-US" w:bidi="ar-SA"/>
      </w:rPr>
    </w:lvl>
    <w:lvl w:ilvl="4">
      <w:numFmt w:val="bullet"/>
      <w:lvlText w:val="•"/>
      <w:lvlJc w:val="left"/>
      <w:pPr>
        <w:ind w:left="4558" w:hanging="498"/>
      </w:pPr>
      <w:rPr>
        <w:rFonts w:hint="default"/>
        <w:lang w:val="en-US" w:eastAsia="en-US" w:bidi="ar-SA"/>
      </w:rPr>
    </w:lvl>
    <w:lvl w:ilvl="5">
      <w:numFmt w:val="bullet"/>
      <w:lvlText w:val="•"/>
      <w:lvlJc w:val="left"/>
      <w:pPr>
        <w:ind w:left="5453" w:hanging="498"/>
      </w:pPr>
      <w:rPr>
        <w:rFonts w:hint="default"/>
        <w:lang w:val="en-US" w:eastAsia="en-US" w:bidi="ar-SA"/>
      </w:rPr>
    </w:lvl>
    <w:lvl w:ilvl="6">
      <w:numFmt w:val="bullet"/>
      <w:lvlText w:val="•"/>
      <w:lvlJc w:val="left"/>
      <w:pPr>
        <w:ind w:left="6347" w:hanging="498"/>
      </w:pPr>
      <w:rPr>
        <w:rFonts w:hint="default"/>
        <w:lang w:val="en-US" w:eastAsia="en-US" w:bidi="ar-SA"/>
      </w:rPr>
    </w:lvl>
    <w:lvl w:ilvl="7">
      <w:numFmt w:val="bullet"/>
      <w:lvlText w:val="•"/>
      <w:lvlJc w:val="left"/>
      <w:pPr>
        <w:ind w:left="7242" w:hanging="498"/>
      </w:pPr>
      <w:rPr>
        <w:rFonts w:hint="default"/>
        <w:lang w:val="en-US" w:eastAsia="en-US" w:bidi="ar-SA"/>
      </w:rPr>
    </w:lvl>
    <w:lvl w:ilvl="8">
      <w:numFmt w:val="bullet"/>
      <w:lvlText w:val="•"/>
      <w:lvlJc w:val="left"/>
      <w:pPr>
        <w:ind w:left="8137" w:hanging="498"/>
      </w:pPr>
      <w:rPr>
        <w:rFonts w:hint="default"/>
        <w:lang w:val="en-US" w:eastAsia="en-US" w:bidi="ar-SA"/>
      </w:rPr>
    </w:lvl>
  </w:abstractNum>
  <w:abstractNum w:abstractNumId="29" w15:restartNumberingAfterBreak="0">
    <w:nsid w:val="2EE82AF8"/>
    <w:multiLevelType w:val="hybridMultilevel"/>
    <w:tmpl w:val="2BD2933C"/>
    <w:lvl w:ilvl="0" w:tplc="CD189B18">
      <w:numFmt w:val="bullet"/>
      <w:lvlText w:val=""/>
      <w:lvlJc w:val="left"/>
      <w:pPr>
        <w:ind w:left="441" w:hanging="188"/>
      </w:pPr>
      <w:rPr>
        <w:rFonts w:ascii="Symbol" w:eastAsia="Symbol" w:hAnsi="Symbol" w:cs="Symbol" w:hint="default"/>
        <w:b w:val="0"/>
        <w:bCs w:val="0"/>
        <w:i w:val="0"/>
        <w:iCs w:val="0"/>
        <w:spacing w:val="0"/>
        <w:w w:val="100"/>
        <w:sz w:val="20"/>
        <w:szCs w:val="20"/>
        <w:lang w:val="en-US" w:eastAsia="en-US" w:bidi="ar-SA"/>
      </w:rPr>
    </w:lvl>
    <w:lvl w:ilvl="1" w:tplc="5E9E317A">
      <w:numFmt w:val="bullet"/>
      <w:lvlText w:val="•"/>
      <w:lvlJc w:val="left"/>
      <w:pPr>
        <w:ind w:left="1155" w:hanging="188"/>
      </w:pPr>
      <w:rPr>
        <w:rFonts w:hint="default"/>
        <w:lang w:val="en-US" w:eastAsia="en-US" w:bidi="ar-SA"/>
      </w:rPr>
    </w:lvl>
    <w:lvl w:ilvl="2" w:tplc="7FD8057A">
      <w:numFmt w:val="bullet"/>
      <w:lvlText w:val="•"/>
      <w:lvlJc w:val="left"/>
      <w:pPr>
        <w:ind w:left="1871" w:hanging="188"/>
      </w:pPr>
      <w:rPr>
        <w:rFonts w:hint="default"/>
        <w:lang w:val="en-US" w:eastAsia="en-US" w:bidi="ar-SA"/>
      </w:rPr>
    </w:lvl>
    <w:lvl w:ilvl="3" w:tplc="7A20B5AE">
      <w:numFmt w:val="bullet"/>
      <w:lvlText w:val="•"/>
      <w:lvlJc w:val="left"/>
      <w:pPr>
        <w:ind w:left="2586" w:hanging="188"/>
      </w:pPr>
      <w:rPr>
        <w:rFonts w:hint="default"/>
        <w:lang w:val="en-US" w:eastAsia="en-US" w:bidi="ar-SA"/>
      </w:rPr>
    </w:lvl>
    <w:lvl w:ilvl="4" w:tplc="56902B90">
      <w:numFmt w:val="bullet"/>
      <w:lvlText w:val="•"/>
      <w:lvlJc w:val="left"/>
      <w:pPr>
        <w:ind w:left="3302" w:hanging="188"/>
      </w:pPr>
      <w:rPr>
        <w:rFonts w:hint="default"/>
        <w:lang w:val="en-US" w:eastAsia="en-US" w:bidi="ar-SA"/>
      </w:rPr>
    </w:lvl>
    <w:lvl w:ilvl="5" w:tplc="84DE9E1A">
      <w:numFmt w:val="bullet"/>
      <w:lvlText w:val="•"/>
      <w:lvlJc w:val="left"/>
      <w:pPr>
        <w:ind w:left="4017" w:hanging="188"/>
      </w:pPr>
      <w:rPr>
        <w:rFonts w:hint="default"/>
        <w:lang w:val="en-US" w:eastAsia="en-US" w:bidi="ar-SA"/>
      </w:rPr>
    </w:lvl>
    <w:lvl w:ilvl="6" w:tplc="ECF2AE02">
      <w:numFmt w:val="bullet"/>
      <w:lvlText w:val="•"/>
      <w:lvlJc w:val="left"/>
      <w:pPr>
        <w:ind w:left="4733" w:hanging="188"/>
      </w:pPr>
      <w:rPr>
        <w:rFonts w:hint="default"/>
        <w:lang w:val="en-US" w:eastAsia="en-US" w:bidi="ar-SA"/>
      </w:rPr>
    </w:lvl>
    <w:lvl w:ilvl="7" w:tplc="24AEA9FE">
      <w:numFmt w:val="bullet"/>
      <w:lvlText w:val="•"/>
      <w:lvlJc w:val="left"/>
      <w:pPr>
        <w:ind w:left="5448" w:hanging="188"/>
      </w:pPr>
      <w:rPr>
        <w:rFonts w:hint="default"/>
        <w:lang w:val="en-US" w:eastAsia="en-US" w:bidi="ar-SA"/>
      </w:rPr>
    </w:lvl>
    <w:lvl w:ilvl="8" w:tplc="F9D03CA4">
      <w:numFmt w:val="bullet"/>
      <w:lvlText w:val="•"/>
      <w:lvlJc w:val="left"/>
      <w:pPr>
        <w:ind w:left="6164" w:hanging="188"/>
      </w:pPr>
      <w:rPr>
        <w:rFonts w:hint="default"/>
        <w:lang w:val="en-US" w:eastAsia="en-US" w:bidi="ar-SA"/>
      </w:rPr>
    </w:lvl>
  </w:abstractNum>
  <w:abstractNum w:abstractNumId="30" w15:restartNumberingAfterBreak="0">
    <w:nsid w:val="30E3340D"/>
    <w:multiLevelType w:val="multilevel"/>
    <w:tmpl w:val="3CF00BEA"/>
    <w:lvl w:ilvl="0">
      <w:start w:val="1"/>
      <w:numFmt w:val="upperRoman"/>
      <w:lvlText w:val="%1"/>
      <w:lvlJc w:val="left"/>
      <w:pPr>
        <w:ind w:left="1333" w:hanging="306"/>
        <w:jc w:val="left"/>
      </w:pPr>
      <w:rPr>
        <w:rFonts w:hint="default"/>
        <w:lang w:val="en-US" w:eastAsia="en-US" w:bidi="ar-SA"/>
      </w:rPr>
    </w:lvl>
    <w:lvl w:ilvl="1">
      <w:start w:val="1"/>
      <w:numFmt w:val="decimal"/>
      <w:lvlText w:val="%1.%2"/>
      <w:lvlJc w:val="left"/>
      <w:pPr>
        <w:ind w:left="1333" w:hanging="306"/>
        <w:jc w:val="left"/>
      </w:pPr>
      <w:rPr>
        <w:rFonts w:ascii="Arial" w:eastAsia="Arial" w:hAnsi="Arial" w:cs="Arial" w:hint="default"/>
        <w:b w:val="0"/>
        <w:bCs w:val="0"/>
        <w:i w:val="0"/>
        <w:iCs w:val="0"/>
        <w:spacing w:val="0"/>
        <w:w w:val="99"/>
        <w:sz w:val="22"/>
        <w:szCs w:val="22"/>
        <w:lang w:val="en-US" w:eastAsia="en-US" w:bidi="ar-SA"/>
      </w:rPr>
    </w:lvl>
    <w:lvl w:ilvl="2">
      <w:start w:val="1"/>
      <w:numFmt w:val="decimal"/>
      <w:lvlText w:val="%1.%2.%3"/>
      <w:lvlJc w:val="left"/>
      <w:pPr>
        <w:ind w:left="2280" w:hanging="721"/>
        <w:jc w:val="left"/>
      </w:pPr>
      <w:rPr>
        <w:rFonts w:ascii="Arial" w:eastAsia="Arial" w:hAnsi="Arial" w:cs="Arial" w:hint="default"/>
        <w:b w:val="0"/>
        <w:bCs w:val="0"/>
        <w:i w:val="0"/>
        <w:iCs w:val="0"/>
        <w:spacing w:val="0"/>
        <w:w w:val="99"/>
        <w:sz w:val="22"/>
        <w:szCs w:val="22"/>
        <w:lang w:val="en-US" w:eastAsia="en-US" w:bidi="ar-SA"/>
      </w:rPr>
    </w:lvl>
    <w:lvl w:ilvl="3">
      <w:numFmt w:val="bullet"/>
      <w:lvlText w:val="•"/>
      <w:lvlJc w:val="left"/>
      <w:pPr>
        <w:ind w:left="4066" w:hanging="721"/>
      </w:pPr>
      <w:rPr>
        <w:rFonts w:hint="default"/>
        <w:lang w:val="en-US" w:eastAsia="en-US" w:bidi="ar-SA"/>
      </w:rPr>
    </w:lvl>
    <w:lvl w:ilvl="4">
      <w:numFmt w:val="bullet"/>
      <w:lvlText w:val="•"/>
      <w:lvlJc w:val="left"/>
      <w:pPr>
        <w:ind w:left="4960" w:hanging="721"/>
      </w:pPr>
      <w:rPr>
        <w:rFonts w:hint="default"/>
        <w:lang w:val="en-US" w:eastAsia="en-US" w:bidi="ar-SA"/>
      </w:rPr>
    </w:lvl>
    <w:lvl w:ilvl="5">
      <w:numFmt w:val="bullet"/>
      <w:lvlText w:val="•"/>
      <w:lvlJc w:val="left"/>
      <w:pPr>
        <w:ind w:left="5853" w:hanging="721"/>
      </w:pPr>
      <w:rPr>
        <w:rFonts w:hint="default"/>
        <w:lang w:val="en-US" w:eastAsia="en-US" w:bidi="ar-SA"/>
      </w:rPr>
    </w:lvl>
    <w:lvl w:ilvl="6">
      <w:numFmt w:val="bullet"/>
      <w:lvlText w:val="•"/>
      <w:lvlJc w:val="left"/>
      <w:pPr>
        <w:ind w:left="6746" w:hanging="721"/>
      </w:pPr>
      <w:rPr>
        <w:rFonts w:hint="default"/>
        <w:lang w:val="en-US" w:eastAsia="en-US" w:bidi="ar-SA"/>
      </w:rPr>
    </w:lvl>
    <w:lvl w:ilvl="7">
      <w:numFmt w:val="bullet"/>
      <w:lvlText w:val="•"/>
      <w:lvlJc w:val="left"/>
      <w:pPr>
        <w:ind w:left="7640" w:hanging="721"/>
      </w:pPr>
      <w:rPr>
        <w:rFonts w:hint="default"/>
        <w:lang w:val="en-US" w:eastAsia="en-US" w:bidi="ar-SA"/>
      </w:rPr>
    </w:lvl>
    <w:lvl w:ilvl="8">
      <w:numFmt w:val="bullet"/>
      <w:lvlText w:val="•"/>
      <w:lvlJc w:val="left"/>
      <w:pPr>
        <w:ind w:left="8533" w:hanging="721"/>
      </w:pPr>
      <w:rPr>
        <w:rFonts w:hint="default"/>
        <w:lang w:val="en-US" w:eastAsia="en-US" w:bidi="ar-SA"/>
      </w:rPr>
    </w:lvl>
  </w:abstractNum>
  <w:abstractNum w:abstractNumId="31" w15:restartNumberingAfterBreak="0">
    <w:nsid w:val="326A4AF8"/>
    <w:multiLevelType w:val="hybridMultilevel"/>
    <w:tmpl w:val="9FDC2160"/>
    <w:lvl w:ilvl="0" w:tplc="E538367A">
      <w:numFmt w:val="bullet"/>
      <w:lvlText w:val=""/>
      <w:lvlJc w:val="left"/>
      <w:pPr>
        <w:ind w:left="940" w:hanging="360"/>
      </w:pPr>
      <w:rPr>
        <w:rFonts w:ascii="Symbol" w:eastAsia="Symbol" w:hAnsi="Symbol" w:cs="Symbol" w:hint="default"/>
        <w:b w:val="0"/>
        <w:bCs w:val="0"/>
        <w:i w:val="0"/>
        <w:iCs w:val="0"/>
        <w:spacing w:val="0"/>
        <w:w w:val="99"/>
        <w:sz w:val="22"/>
        <w:szCs w:val="22"/>
        <w:lang w:val="en-US" w:eastAsia="en-US" w:bidi="ar-SA"/>
      </w:rPr>
    </w:lvl>
    <w:lvl w:ilvl="1" w:tplc="5A887602">
      <w:numFmt w:val="bullet"/>
      <w:lvlText w:val="•"/>
      <w:lvlJc w:val="left"/>
      <w:pPr>
        <w:ind w:left="1824" w:hanging="360"/>
      </w:pPr>
      <w:rPr>
        <w:rFonts w:hint="default"/>
        <w:lang w:val="en-US" w:eastAsia="en-US" w:bidi="ar-SA"/>
      </w:rPr>
    </w:lvl>
    <w:lvl w:ilvl="2" w:tplc="A9A0FB52">
      <w:numFmt w:val="bullet"/>
      <w:lvlText w:val="•"/>
      <w:lvlJc w:val="left"/>
      <w:pPr>
        <w:ind w:left="2708" w:hanging="360"/>
      </w:pPr>
      <w:rPr>
        <w:rFonts w:hint="default"/>
        <w:lang w:val="en-US" w:eastAsia="en-US" w:bidi="ar-SA"/>
      </w:rPr>
    </w:lvl>
    <w:lvl w:ilvl="3" w:tplc="0E2873E6">
      <w:numFmt w:val="bullet"/>
      <w:lvlText w:val="•"/>
      <w:lvlJc w:val="left"/>
      <w:pPr>
        <w:ind w:left="3592" w:hanging="360"/>
      </w:pPr>
      <w:rPr>
        <w:rFonts w:hint="default"/>
        <w:lang w:val="en-US" w:eastAsia="en-US" w:bidi="ar-SA"/>
      </w:rPr>
    </w:lvl>
    <w:lvl w:ilvl="4" w:tplc="DFE4D67A">
      <w:numFmt w:val="bullet"/>
      <w:lvlText w:val="•"/>
      <w:lvlJc w:val="left"/>
      <w:pPr>
        <w:ind w:left="4476" w:hanging="360"/>
      </w:pPr>
      <w:rPr>
        <w:rFonts w:hint="default"/>
        <w:lang w:val="en-US" w:eastAsia="en-US" w:bidi="ar-SA"/>
      </w:rPr>
    </w:lvl>
    <w:lvl w:ilvl="5" w:tplc="BAF256B4">
      <w:numFmt w:val="bullet"/>
      <w:lvlText w:val="•"/>
      <w:lvlJc w:val="left"/>
      <w:pPr>
        <w:ind w:left="5360" w:hanging="360"/>
      </w:pPr>
      <w:rPr>
        <w:rFonts w:hint="default"/>
        <w:lang w:val="en-US" w:eastAsia="en-US" w:bidi="ar-SA"/>
      </w:rPr>
    </w:lvl>
    <w:lvl w:ilvl="6" w:tplc="A25625E4">
      <w:numFmt w:val="bullet"/>
      <w:lvlText w:val="•"/>
      <w:lvlJc w:val="left"/>
      <w:pPr>
        <w:ind w:left="6244" w:hanging="360"/>
      </w:pPr>
      <w:rPr>
        <w:rFonts w:hint="default"/>
        <w:lang w:val="en-US" w:eastAsia="en-US" w:bidi="ar-SA"/>
      </w:rPr>
    </w:lvl>
    <w:lvl w:ilvl="7" w:tplc="E2AED9EE">
      <w:numFmt w:val="bullet"/>
      <w:lvlText w:val="•"/>
      <w:lvlJc w:val="left"/>
      <w:pPr>
        <w:ind w:left="7128" w:hanging="360"/>
      </w:pPr>
      <w:rPr>
        <w:rFonts w:hint="default"/>
        <w:lang w:val="en-US" w:eastAsia="en-US" w:bidi="ar-SA"/>
      </w:rPr>
    </w:lvl>
    <w:lvl w:ilvl="8" w:tplc="2B5CBF3A">
      <w:numFmt w:val="bullet"/>
      <w:lvlText w:val="•"/>
      <w:lvlJc w:val="left"/>
      <w:pPr>
        <w:ind w:left="8012" w:hanging="360"/>
      </w:pPr>
      <w:rPr>
        <w:rFonts w:hint="default"/>
        <w:lang w:val="en-US" w:eastAsia="en-US" w:bidi="ar-SA"/>
      </w:rPr>
    </w:lvl>
  </w:abstractNum>
  <w:abstractNum w:abstractNumId="32" w15:restartNumberingAfterBreak="0">
    <w:nsid w:val="32D66B1B"/>
    <w:multiLevelType w:val="hybridMultilevel"/>
    <w:tmpl w:val="8ABA6DC2"/>
    <w:lvl w:ilvl="0" w:tplc="3914039A">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75F6C870">
      <w:numFmt w:val="bullet"/>
      <w:lvlText w:val="•"/>
      <w:lvlJc w:val="left"/>
      <w:pPr>
        <w:ind w:left="2072" w:hanging="360"/>
      </w:pPr>
      <w:rPr>
        <w:rFonts w:hint="default"/>
        <w:lang w:val="en-US" w:eastAsia="en-US" w:bidi="ar-SA"/>
      </w:rPr>
    </w:lvl>
    <w:lvl w:ilvl="2" w:tplc="F994609C">
      <w:numFmt w:val="bullet"/>
      <w:lvlText w:val="•"/>
      <w:lvlJc w:val="left"/>
      <w:pPr>
        <w:ind w:left="2945" w:hanging="360"/>
      </w:pPr>
      <w:rPr>
        <w:rFonts w:hint="default"/>
        <w:lang w:val="en-US" w:eastAsia="en-US" w:bidi="ar-SA"/>
      </w:rPr>
    </w:lvl>
    <w:lvl w:ilvl="3" w:tplc="AB766E2E">
      <w:numFmt w:val="bullet"/>
      <w:lvlText w:val="•"/>
      <w:lvlJc w:val="left"/>
      <w:pPr>
        <w:ind w:left="3817" w:hanging="360"/>
      </w:pPr>
      <w:rPr>
        <w:rFonts w:hint="default"/>
        <w:lang w:val="en-US" w:eastAsia="en-US" w:bidi="ar-SA"/>
      </w:rPr>
    </w:lvl>
    <w:lvl w:ilvl="4" w:tplc="660E7CF0">
      <w:numFmt w:val="bullet"/>
      <w:lvlText w:val="•"/>
      <w:lvlJc w:val="left"/>
      <w:pPr>
        <w:ind w:left="4690" w:hanging="360"/>
      </w:pPr>
      <w:rPr>
        <w:rFonts w:hint="default"/>
        <w:lang w:val="en-US" w:eastAsia="en-US" w:bidi="ar-SA"/>
      </w:rPr>
    </w:lvl>
    <w:lvl w:ilvl="5" w:tplc="9E1063CA">
      <w:numFmt w:val="bullet"/>
      <w:lvlText w:val="•"/>
      <w:lvlJc w:val="left"/>
      <w:pPr>
        <w:ind w:left="5563" w:hanging="360"/>
      </w:pPr>
      <w:rPr>
        <w:rFonts w:hint="default"/>
        <w:lang w:val="en-US" w:eastAsia="en-US" w:bidi="ar-SA"/>
      </w:rPr>
    </w:lvl>
    <w:lvl w:ilvl="6" w:tplc="D604EBDE">
      <w:numFmt w:val="bullet"/>
      <w:lvlText w:val="•"/>
      <w:lvlJc w:val="left"/>
      <w:pPr>
        <w:ind w:left="6435" w:hanging="360"/>
      </w:pPr>
      <w:rPr>
        <w:rFonts w:hint="default"/>
        <w:lang w:val="en-US" w:eastAsia="en-US" w:bidi="ar-SA"/>
      </w:rPr>
    </w:lvl>
    <w:lvl w:ilvl="7" w:tplc="517EB144">
      <w:numFmt w:val="bullet"/>
      <w:lvlText w:val="•"/>
      <w:lvlJc w:val="left"/>
      <w:pPr>
        <w:ind w:left="7308" w:hanging="360"/>
      </w:pPr>
      <w:rPr>
        <w:rFonts w:hint="default"/>
        <w:lang w:val="en-US" w:eastAsia="en-US" w:bidi="ar-SA"/>
      </w:rPr>
    </w:lvl>
    <w:lvl w:ilvl="8" w:tplc="1654074E">
      <w:numFmt w:val="bullet"/>
      <w:lvlText w:val="•"/>
      <w:lvlJc w:val="left"/>
      <w:pPr>
        <w:ind w:left="8181" w:hanging="360"/>
      </w:pPr>
      <w:rPr>
        <w:rFonts w:hint="default"/>
        <w:lang w:val="en-US" w:eastAsia="en-US" w:bidi="ar-SA"/>
      </w:rPr>
    </w:lvl>
  </w:abstractNum>
  <w:abstractNum w:abstractNumId="33" w15:restartNumberingAfterBreak="0">
    <w:nsid w:val="36797893"/>
    <w:multiLevelType w:val="hybridMultilevel"/>
    <w:tmpl w:val="EBAA65C2"/>
    <w:lvl w:ilvl="0" w:tplc="2D9CFEDC">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F2309E76">
      <w:numFmt w:val="bullet"/>
      <w:lvlText w:val="•"/>
      <w:lvlJc w:val="left"/>
      <w:pPr>
        <w:ind w:left="2112" w:hanging="360"/>
      </w:pPr>
      <w:rPr>
        <w:rFonts w:hint="default"/>
        <w:lang w:val="en-US" w:eastAsia="en-US" w:bidi="ar-SA"/>
      </w:rPr>
    </w:lvl>
    <w:lvl w:ilvl="2" w:tplc="9A5092BC">
      <w:numFmt w:val="bullet"/>
      <w:lvlText w:val="•"/>
      <w:lvlJc w:val="left"/>
      <w:pPr>
        <w:ind w:left="3024" w:hanging="360"/>
      </w:pPr>
      <w:rPr>
        <w:rFonts w:hint="default"/>
        <w:lang w:val="en-US" w:eastAsia="en-US" w:bidi="ar-SA"/>
      </w:rPr>
    </w:lvl>
    <w:lvl w:ilvl="3" w:tplc="C7A6C906">
      <w:numFmt w:val="bullet"/>
      <w:lvlText w:val="•"/>
      <w:lvlJc w:val="left"/>
      <w:pPr>
        <w:ind w:left="3936" w:hanging="360"/>
      </w:pPr>
      <w:rPr>
        <w:rFonts w:hint="default"/>
        <w:lang w:val="en-US" w:eastAsia="en-US" w:bidi="ar-SA"/>
      </w:rPr>
    </w:lvl>
    <w:lvl w:ilvl="4" w:tplc="A05C92D8">
      <w:numFmt w:val="bullet"/>
      <w:lvlText w:val="•"/>
      <w:lvlJc w:val="left"/>
      <w:pPr>
        <w:ind w:left="4848" w:hanging="360"/>
      </w:pPr>
      <w:rPr>
        <w:rFonts w:hint="default"/>
        <w:lang w:val="en-US" w:eastAsia="en-US" w:bidi="ar-SA"/>
      </w:rPr>
    </w:lvl>
    <w:lvl w:ilvl="5" w:tplc="D67AA12A">
      <w:numFmt w:val="bullet"/>
      <w:lvlText w:val="•"/>
      <w:lvlJc w:val="left"/>
      <w:pPr>
        <w:ind w:left="5760" w:hanging="360"/>
      </w:pPr>
      <w:rPr>
        <w:rFonts w:hint="default"/>
        <w:lang w:val="en-US" w:eastAsia="en-US" w:bidi="ar-SA"/>
      </w:rPr>
    </w:lvl>
    <w:lvl w:ilvl="6" w:tplc="7AF22A14">
      <w:numFmt w:val="bullet"/>
      <w:lvlText w:val="•"/>
      <w:lvlJc w:val="left"/>
      <w:pPr>
        <w:ind w:left="6672" w:hanging="360"/>
      </w:pPr>
      <w:rPr>
        <w:rFonts w:hint="default"/>
        <w:lang w:val="en-US" w:eastAsia="en-US" w:bidi="ar-SA"/>
      </w:rPr>
    </w:lvl>
    <w:lvl w:ilvl="7" w:tplc="C7E0812E">
      <w:numFmt w:val="bullet"/>
      <w:lvlText w:val="•"/>
      <w:lvlJc w:val="left"/>
      <w:pPr>
        <w:ind w:left="7584" w:hanging="360"/>
      </w:pPr>
      <w:rPr>
        <w:rFonts w:hint="default"/>
        <w:lang w:val="en-US" w:eastAsia="en-US" w:bidi="ar-SA"/>
      </w:rPr>
    </w:lvl>
    <w:lvl w:ilvl="8" w:tplc="6A2CA186">
      <w:numFmt w:val="bullet"/>
      <w:lvlText w:val="•"/>
      <w:lvlJc w:val="left"/>
      <w:pPr>
        <w:ind w:left="8496" w:hanging="360"/>
      </w:pPr>
      <w:rPr>
        <w:rFonts w:hint="default"/>
        <w:lang w:val="en-US" w:eastAsia="en-US" w:bidi="ar-SA"/>
      </w:rPr>
    </w:lvl>
  </w:abstractNum>
  <w:abstractNum w:abstractNumId="34" w15:restartNumberingAfterBreak="0">
    <w:nsid w:val="38433133"/>
    <w:multiLevelType w:val="hybridMultilevel"/>
    <w:tmpl w:val="5E1A62FE"/>
    <w:lvl w:ilvl="0" w:tplc="1FCE6748">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946EA2B2">
      <w:numFmt w:val="bullet"/>
      <w:lvlText w:val="•"/>
      <w:lvlJc w:val="left"/>
      <w:pPr>
        <w:ind w:left="2112" w:hanging="360"/>
      </w:pPr>
      <w:rPr>
        <w:rFonts w:hint="default"/>
        <w:lang w:val="en-US" w:eastAsia="en-US" w:bidi="ar-SA"/>
      </w:rPr>
    </w:lvl>
    <w:lvl w:ilvl="2" w:tplc="0898225E">
      <w:numFmt w:val="bullet"/>
      <w:lvlText w:val="•"/>
      <w:lvlJc w:val="left"/>
      <w:pPr>
        <w:ind w:left="3024" w:hanging="360"/>
      </w:pPr>
      <w:rPr>
        <w:rFonts w:hint="default"/>
        <w:lang w:val="en-US" w:eastAsia="en-US" w:bidi="ar-SA"/>
      </w:rPr>
    </w:lvl>
    <w:lvl w:ilvl="3" w:tplc="E7C2A3B6">
      <w:numFmt w:val="bullet"/>
      <w:lvlText w:val="•"/>
      <w:lvlJc w:val="left"/>
      <w:pPr>
        <w:ind w:left="3936" w:hanging="360"/>
      </w:pPr>
      <w:rPr>
        <w:rFonts w:hint="default"/>
        <w:lang w:val="en-US" w:eastAsia="en-US" w:bidi="ar-SA"/>
      </w:rPr>
    </w:lvl>
    <w:lvl w:ilvl="4" w:tplc="25E0779E">
      <w:numFmt w:val="bullet"/>
      <w:lvlText w:val="•"/>
      <w:lvlJc w:val="left"/>
      <w:pPr>
        <w:ind w:left="4848" w:hanging="360"/>
      </w:pPr>
      <w:rPr>
        <w:rFonts w:hint="default"/>
        <w:lang w:val="en-US" w:eastAsia="en-US" w:bidi="ar-SA"/>
      </w:rPr>
    </w:lvl>
    <w:lvl w:ilvl="5" w:tplc="6A14E10E">
      <w:numFmt w:val="bullet"/>
      <w:lvlText w:val="•"/>
      <w:lvlJc w:val="left"/>
      <w:pPr>
        <w:ind w:left="5760" w:hanging="360"/>
      </w:pPr>
      <w:rPr>
        <w:rFonts w:hint="default"/>
        <w:lang w:val="en-US" w:eastAsia="en-US" w:bidi="ar-SA"/>
      </w:rPr>
    </w:lvl>
    <w:lvl w:ilvl="6" w:tplc="8A7C2596">
      <w:numFmt w:val="bullet"/>
      <w:lvlText w:val="•"/>
      <w:lvlJc w:val="left"/>
      <w:pPr>
        <w:ind w:left="6672" w:hanging="360"/>
      </w:pPr>
      <w:rPr>
        <w:rFonts w:hint="default"/>
        <w:lang w:val="en-US" w:eastAsia="en-US" w:bidi="ar-SA"/>
      </w:rPr>
    </w:lvl>
    <w:lvl w:ilvl="7" w:tplc="66E26C26">
      <w:numFmt w:val="bullet"/>
      <w:lvlText w:val="•"/>
      <w:lvlJc w:val="left"/>
      <w:pPr>
        <w:ind w:left="7584" w:hanging="360"/>
      </w:pPr>
      <w:rPr>
        <w:rFonts w:hint="default"/>
        <w:lang w:val="en-US" w:eastAsia="en-US" w:bidi="ar-SA"/>
      </w:rPr>
    </w:lvl>
    <w:lvl w:ilvl="8" w:tplc="81A40364">
      <w:numFmt w:val="bullet"/>
      <w:lvlText w:val="•"/>
      <w:lvlJc w:val="left"/>
      <w:pPr>
        <w:ind w:left="8496" w:hanging="360"/>
      </w:pPr>
      <w:rPr>
        <w:rFonts w:hint="default"/>
        <w:lang w:val="en-US" w:eastAsia="en-US" w:bidi="ar-SA"/>
      </w:rPr>
    </w:lvl>
  </w:abstractNum>
  <w:abstractNum w:abstractNumId="35" w15:restartNumberingAfterBreak="0">
    <w:nsid w:val="390112FD"/>
    <w:multiLevelType w:val="hybridMultilevel"/>
    <w:tmpl w:val="6CD0BED4"/>
    <w:lvl w:ilvl="0" w:tplc="7F02ED3A">
      <w:numFmt w:val="bullet"/>
      <w:lvlText w:val=""/>
      <w:lvlJc w:val="left"/>
      <w:pPr>
        <w:ind w:left="483" w:hanging="188"/>
      </w:pPr>
      <w:rPr>
        <w:rFonts w:ascii="Symbol" w:eastAsia="Symbol" w:hAnsi="Symbol" w:cs="Symbol" w:hint="default"/>
        <w:b w:val="0"/>
        <w:bCs w:val="0"/>
        <w:i w:val="0"/>
        <w:iCs w:val="0"/>
        <w:spacing w:val="0"/>
        <w:w w:val="100"/>
        <w:sz w:val="20"/>
        <w:szCs w:val="20"/>
        <w:lang w:val="en-US" w:eastAsia="en-US" w:bidi="ar-SA"/>
      </w:rPr>
    </w:lvl>
    <w:lvl w:ilvl="1" w:tplc="4886B510">
      <w:numFmt w:val="bullet"/>
      <w:lvlText w:val="•"/>
      <w:lvlJc w:val="left"/>
      <w:pPr>
        <w:ind w:left="1153" w:hanging="188"/>
      </w:pPr>
      <w:rPr>
        <w:rFonts w:hint="default"/>
        <w:lang w:val="en-US" w:eastAsia="en-US" w:bidi="ar-SA"/>
      </w:rPr>
    </w:lvl>
    <w:lvl w:ilvl="2" w:tplc="ADC85098">
      <w:numFmt w:val="bullet"/>
      <w:lvlText w:val="•"/>
      <w:lvlJc w:val="left"/>
      <w:pPr>
        <w:ind w:left="1827" w:hanging="188"/>
      </w:pPr>
      <w:rPr>
        <w:rFonts w:hint="default"/>
        <w:lang w:val="en-US" w:eastAsia="en-US" w:bidi="ar-SA"/>
      </w:rPr>
    </w:lvl>
    <w:lvl w:ilvl="3" w:tplc="26029246">
      <w:numFmt w:val="bullet"/>
      <w:lvlText w:val="•"/>
      <w:lvlJc w:val="left"/>
      <w:pPr>
        <w:ind w:left="2501" w:hanging="188"/>
      </w:pPr>
      <w:rPr>
        <w:rFonts w:hint="default"/>
        <w:lang w:val="en-US" w:eastAsia="en-US" w:bidi="ar-SA"/>
      </w:rPr>
    </w:lvl>
    <w:lvl w:ilvl="4" w:tplc="004E08CE">
      <w:numFmt w:val="bullet"/>
      <w:lvlText w:val="•"/>
      <w:lvlJc w:val="left"/>
      <w:pPr>
        <w:ind w:left="3175" w:hanging="188"/>
      </w:pPr>
      <w:rPr>
        <w:rFonts w:hint="default"/>
        <w:lang w:val="en-US" w:eastAsia="en-US" w:bidi="ar-SA"/>
      </w:rPr>
    </w:lvl>
    <w:lvl w:ilvl="5" w:tplc="1A4C5C2E">
      <w:numFmt w:val="bullet"/>
      <w:lvlText w:val="•"/>
      <w:lvlJc w:val="left"/>
      <w:pPr>
        <w:ind w:left="3849" w:hanging="188"/>
      </w:pPr>
      <w:rPr>
        <w:rFonts w:hint="default"/>
        <w:lang w:val="en-US" w:eastAsia="en-US" w:bidi="ar-SA"/>
      </w:rPr>
    </w:lvl>
    <w:lvl w:ilvl="6" w:tplc="CF2EA968">
      <w:numFmt w:val="bullet"/>
      <w:lvlText w:val="•"/>
      <w:lvlJc w:val="left"/>
      <w:pPr>
        <w:ind w:left="4523" w:hanging="188"/>
      </w:pPr>
      <w:rPr>
        <w:rFonts w:hint="default"/>
        <w:lang w:val="en-US" w:eastAsia="en-US" w:bidi="ar-SA"/>
      </w:rPr>
    </w:lvl>
    <w:lvl w:ilvl="7" w:tplc="A1ACAED0">
      <w:numFmt w:val="bullet"/>
      <w:lvlText w:val="•"/>
      <w:lvlJc w:val="left"/>
      <w:pPr>
        <w:ind w:left="5197" w:hanging="188"/>
      </w:pPr>
      <w:rPr>
        <w:rFonts w:hint="default"/>
        <w:lang w:val="en-US" w:eastAsia="en-US" w:bidi="ar-SA"/>
      </w:rPr>
    </w:lvl>
    <w:lvl w:ilvl="8" w:tplc="D890C494">
      <w:numFmt w:val="bullet"/>
      <w:lvlText w:val="•"/>
      <w:lvlJc w:val="left"/>
      <w:pPr>
        <w:ind w:left="5871" w:hanging="188"/>
      </w:pPr>
      <w:rPr>
        <w:rFonts w:hint="default"/>
        <w:lang w:val="en-US" w:eastAsia="en-US" w:bidi="ar-SA"/>
      </w:rPr>
    </w:lvl>
  </w:abstractNum>
  <w:abstractNum w:abstractNumId="36" w15:restartNumberingAfterBreak="0">
    <w:nsid w:val="39C56977"/>
    <w:multiLevelType w:val="hybridMultilevel"/>
    <w:tmpl w:val="9D1EEE38"/>
    <w:lvl w:ilvl="0" w:tplc="975E6932">
      <w:numFmt w:val="bullet"/>
      <w:lvlText w:val=""/>
      <w:lvlJc w:val="left"/>
      <w:pPr>
        <w:ind w:left="441" w:hanging="188"/>
      </w:pPr>
      <w:rPr>
        <w:rFonts w:ascii="Symbol" w:eastAsia="Symbol" w:hAnsi="Symbol" w:cs="Symbol" w:hint="default"/>
        <w:b w:val="0"/>
        <w:bCs w:val="0"/>
        <w:i w:val="0"/>
        <w:iCs w:val="0"/>
        <w:spacing w:val="0"/>
        <w:w w:val="100"/>
        <w:sz w:val="20"/>
        <w:szCs w:val="20"/>
        <w:lang w:val="en-US" w:eastAsia="en-US" w:bidi="ar-SA"/>
      </w:rPr>
    </w:lvl>
    <w:lvl w:ilvl="1" w:tplc="FB0EEF6E">
      <w:numFmt w:val="bullet"/>
      <w:lvlText w:val="•"/>
      <w:lvlJc w:val="left"/>
      <w:pPr>
        <w:ind w:left="1155" w:hanging="188"/>
      </w:pPr>
      <w:rPr>
        <w:rFonts w:hint="default"/>
        <w:lang w:val="en-US" w:eastAsia="en-US" w:bidi="ar-SA"/>
      </w:rPr>
    </w:lvl>
    <w:lvl w:ilvl="2" w:tplc="F8F2EE62">
      <w:numFmt w:val="bullet"/>
      <w:lvlText w:val="•"/>
      <w:lvlJc w:val="left"/>
      <w:pPr>
        <w:ind w:left="1871" w:hanging="188"/>
      </w:pPr>
      <w:rPr>
        <w:rFonts w:hint="default"/>
        <w:lang w:val="en-US" w:eastAsia="en-US" w:bidi="ar-SA"/>
      </w:rPr>
    </w:lvl>
    <w:lvl w:ilvl="3" w:tplc="E95E6312">
      <w:numFmt w:val="bullet"/>
      <w:lvlText w:val="•"/>
      <w:lvlJc w:val="left"/>
      <w:pPr>
        <w:ind w:left="2586" w:hanging="188"/>
      </w:pPr>
      <w:rPr>
        <w:rFonts w:hint="default"/>
        <w:lang w:val="en-US" w:eastAsia="en-US" w:bidi="ar-SA"/>
      </w:rPr>
    </w:lvl>
    <w:lvl w:ilvl="4" w:tplc="0C1CCAF2">
      <w:numFmt w:val="bullet"/>
      <w:lvlText w:val="•"/>
      <w:lvlJc w:val="left"/>
      <w:pPr>
        <w:ind w:left="3302" w:hanging="188"/>
      </w:pPr>
      <w:rPr>
        <w:rFonts w:hint="default"/>
        <w:lang w:val="en-US" w:eastAsia="en-US" w:bidi="ar-SA"/>
      </w:rPr>
    </w:lvl>
    <w:lvl w:ilvl="5" w:tplc="30348B60">
      <w:numFmt w:val="bullet"/>
      <w:lvlText w:val="•"/>
      <w:lvlJc w:val="left"/>
      <w:pPr>
        <w:ind w:left="4017" w:hanging="188"/>
      </w:pPr>
      <w:rPr>
        <w:rFonts w:hint="default"/>
        <w:lang w:val="en-US" w:eastAsia="en-US" w:bidi="ar-SA"/>
      </w:rPr>
    </w:lvl>
    <w:lvl w:ilvl="6" w:tplc="86BC4E8A">
      <w:numFmt w:val="bullet"/>
      <w:lvlText w:val="•"/>
      <w:lvlJc w:val="left"/>
      <w:pPr>
        <w:ind w:left="4733" w:hanging="188"/>
      </w:pPr>
      <w:rPr>
        <w:rFonts w:hint="default"/>
        <w:lang w:val="en-US" w:eastAsia="en-US" w:bidi="ar-SA"/>
      </w:rPr>
    </w:lvl>
    <w:lvl w:ilvl="7" w:tplc="9C608EE0">
      <w:numFmt w:val="bullet"/>
      <w:lvlText w:val="•"/>
      <w:lvlJc w:val="left"/>
      <w:pPr>
        <w:ind w:left="5448" w:hanging="188"/>
      </w:pPr>
      <w:rPr>
        <w:rFonts w:hint="default"/>
        <w:lang w:val="en-US" w:eastAsia="en-US" w:bidi="ar-SA"/>
      </w:rPr>
    </w:lvl>
    <w:lvl w:ilvl="8" w:tplc="BD283588">
      <w:numFmt w:val="bullet"/>
      <w:lvlText w:val="•"/>
      <w:lvlJc w:val="left"/>
      <w:pPr>
        <w:ind w:left="6164" w:hanging="188"/>
      </w:pPr>
      <w:rPr>
        <w:rFonts w:hint="default"/>
        <w:lang w:val="en-US" w:eastAsia="en-US" w:bidi="ar-SA"/>
      </w:rPr>
    </w:lvl>
  </w:abstractNum>
  <w:abstractNum w:abstractNumId="37" w15:restartNumberingAfterBreak="0">
    <w:nsid w:val="3B463596"/>
    <w:multiLevelType w:val="hybridMultilevel"/>
    <w:tmpl w:val="CFB29ED0"/>
    <w:lvl w:ilvl="0" w:tplc="30D0F526">
      <w:start w:val="2"/>
      <w:numFmt w:val="decimal"/>
      <w:lvlText w:val="%1"/>
      <w:lvlJc w:val="left"/>
      <w:pPr>
        <w:ind w:left="1585" w:hanging="990"/>
        <w:jc w:val="left"/>
      </w:pPr>
      <w:rPr>
        <w:rFonts w:hint="default"/>
        <w:spacing w:val="0"/>
        <w:w w:val="100"/>
        <w:lang w:val="en-US" w:eastAsia="en-US" w:bidi="ar-SA"/>
      </w:rPr>
    </w:lvl>
    <w:lvl w:ilvl="1" w:tplc="53D0DDFA">
      <w:numFmt w:val="bullet"/>
      <w:lvlText w:val=""/>
      <w:lvlJc w:val="left"/>
      <w:pPr>
        <w:ind w:left="1844" w:hanging="188"/>
      </w:pPr>
      <w:rPr>
        <w:rFonts w:ascii="Symbol" w:eastAsia="Symbol" w:hAnsi="Symbol" w:cs="Symbol" w:hint="default"/>
        <w:b w:val="0"/>
        <w:bCs w:val="0"/>
        <w:i w:val="0"/>
        <w:iCs w:val="0"/>
        <w:spacing w:val="0"/>
        <w:w w:val="100"/>
        <w:sz w:val="20"/>
        <w:szCs w:val="20"/>
        <w:lang w:val="en-US" w:eastAsia="en-US" w:bidi="ar-SA"/>
      </w:rPr>
    </w:lvl>
    <w:lvl w:ilvl="2" w:tplc="765885AA">
      <w:numFmt w:val="bullet"/>
      <w:lvlText w:val="•"/>
      <w:lvlJc w:val="left"/>
      <w:pPr>
        <w:ind w:left="2097" w:hanging="188"/>
      </w:pPr>
      <w:rPr>
        <w:rFonts w:hint="default"/>
        <w:lang w:val="en-US" w:eastAsia="en-US" w:bidi="ar-SA"/>
      </w:rPr>
    </w:lvl>
    <w:lvl w:ilvl="3" w:tplc="423455FE">
      <w:numFmt w:val="bullet"/>
      <w:lvlText w:val="•"/>
      <w:lvlJc w:val="left"/>
      <w:pPr>
        <w:ind w:left="2355" w:hanging="188"/>
      </w:pPr>
      <w:rPr>
        <w:rFonts w:hint="default"/>
        <w:lang w:val="en-US" w:eastAsia="en-US" w:bidi="ar-SA"/>
      </w:rPr>
    </w:lvl>
    <w:lvl w:ilvl="4" w:tplc="4B1E270A">
      <w:numFmt w:val="bullet"/>
      <w:lvlText w:val="•"/>
      <w:lvlJc w:val="left"/>
      <w:pPr>
        <w:ind w:left="2612" w:hanging="188"/>
      </w:pPr>
      <w:rPr>
        <w:rFonts w:hint="default"/>
        <w:lang w:val="en-US" w:eastAsia="en-US" w:bidi="ar-SA"/>
      </w:rPr>
    </w:lvl>
    <w:lvl w:ilvl="5" w:tplc="26A053A0">
      <w:numFmt w:val="bullet"/>
      <w:lvlText w:val="•"/>
      <w:lvlJc w:val="left"/>
      <w:pPr>
        <w:ind w:left="2870" w:hanging="188"/>
      </w:pPr>
      <w:rPr>
        <w:rFonts w:hint="default"/>
        <w:lang w:val="en-US" w:eastAsia="en-US" w:bidi="ar-SA"/>
      </w:rPr>
    </w:lvl>
    <w:lvl w:ilvl="6" w:tplc="826495A0">
      <w:numFmt w:val="bullet"/>
      <w:lvlText w:val="•"/>
      <w:lvlJc w:val="left"/>
      <w:pPr>
        <w:ind w:left="3127" w:hanging="188"/>
      </w:pPr>
      <w:rPr>
        <w:rFonts w:hint="default"/>
        <w:lang w:val="en-US" w:eastAsia="en-US" w:bidi="ar-SA"/>
      </w:rPr>
    </w:lvl>
    <w:lvl w:ilvl="7" w:tplc="991A1604">
      <w:numFmt w:val="bullet"/>
      <w:lvlText w:val="•"/>
      <w:lvlJc w:val="left"/>
      <w:pPr>
        <w:ind w:left="3385" w:hanging="188"/>
      </w:pPr>
      <w:rPr>
        <w:rFonts w:hint="default"/>
        <w:lang w:val="en-US" w:eastAsia="en-US" w:bidi="ar-SA"/>
      </w:rPr>
    </w:lvl>
    <w:lvl w:ilvl="8" w:tplc="E47028C6">
      <w:numFmt w:val="bullet"/>
      <w:lvlText w:val="•"/>
      <w:lvlJc w:val="left"/>
      <w:pPr>
        <w:ind w:left="3642" w:hanging="188"/>
      </w:pPr>
      <w:rPr>
        <w:rFonts w:hint="default"/>
        <w:lang w:val="en-US" w:eastAsia="en-US" w:bidi="ar-SA"/>
      </w:rPr>
    </w:lvl>
  </w:abstractNum>
  <w:abstractNum w:abstractNumId="38" w15:restartNumberingAfterBreak="0">
    <w:nsid w:val="3B4C1ABF"/>
    <w:multiLevelType w:val="hybridMultilevel"/>
    <w:tmpl w:val="A050A514"/>
    <w:lvl w:ilvl="0" w:tplc="914CB1D6">
      <w:numFmt w:val="bullet"/>
      <w:lvlText w:val=""/>
      <w:lvlJc w:val="left"/>
      <w:pPr>
        <w:ind w:left="1199" w:hanging="360"/>
      </w:pPr>
      <w:rPr>
        <w:rFonts w:ascii="Symbol" w:eastAsia="Symbol" w:hAnsi="Symbol" w:cs="Symbol" w:hint="default"/>
        <w:spacing w:val="0"/>
        <w:w w:val="99"/>
        <w:lang w:val="en-US" w:eastAsia="en-US" w:bidi="ar-SA"/>
      </w:rPr>
    </w:lvl>
    <w:lvl w:ilvl="1" w:tplc="FEB62C5A">
      <w:numFmt w:val="bullet"/>
      <w:lvlText w:val="•"/>
      <w:lvlJc w:val="left"/>
      <w:pPr>
        <w:ind w:left="2112" w:hanging="360"/>
      </w:pPr>
      <w:rPr>
        <w:rFonts w:hint="default"/>
        <w:lang w:val="en-US" w:eastAsia="en-US" w:bidi="ar-SA"/>
      </w:rPr>
    </w:lvl>
    <w:lvl w:ilvl="2" w:tplc="F2E6F28A">
      <w:numFmt w:val="bullet"/>
      <w:lvlText w:val="•"/>
      <w:lvlJc w:val="left"/>
      <w:pPr>
        <w:ind w:left="3024" w:hanging="360"/>
      </w:pPr>
      <w:rPr>
        <w:rFonts w:hint="default"/>
        <w:lang w:val="en-US" w:eastAsia="en-US" w:bidi="ar-SA"/>
      </w:rPr>
    </w:lvl>
    <w:lvl w:ilvl="3" w:tplc="3348BDD0">
      <w:numFmt w:val="bullet"/>
      <w:lvlText w:val="•"/>
      <w:lvlJc w:val="left"/>
      <w:pPr>
        <w:ind w:left="3936" w:hanging="360"/>
      </w:pPr>
      <w:rPr>
        <w:rFonts w:hint="default"/>
        <w:lang w:val="en-US" w:eastAsia="en-US" w:bidi="ar-SA"/>
      </w:rPr>
    </w:lvl>
    <w:lvl w:ilvl="4" w:tplc="732E38FE">
      <w:numFmt w:val="bullet"/>
      <w:lvlText w:val="•"/>
      <w:lvlJc w:val="left"/>
      <w:pPr>
        <w:ind w:left="4848" w:hanging="360"/>
      </w:pPr>
      <w:rPr>
        <w:rFonts w:hint="default"/>
        <w:lang w:val="en-US" w:eastAsia="en-US" w:bidi="ar-SA"/>
      </w:rPr>
    </w:lvl>
    <w:lvl w:ilvl="5" w:tplc="BDEEC4BA">
      <w:numFmt w:val="bullet"/>
      <w:lvlText w:val="•"/>
      <w:lvlJc w:val="left"/>
      <w:pPr>
        <w:ind w:left="5760" w:hanging="360"/>
      </w:pPr>
      <w:rPr>
        <w:rFonts w:hint="default"/>
        <w:lang w:val="en-US" w:eastAsia="en-US" w:bidi="ar-SA"/>
      </w:rPr>
    </w:lvl>
    <w:lvl w:ilvl="6" w:tplc="8BC806FC">
      <w:numFmt w:val="bullet"/>
      <w:lvlText w:val="•"/>
      <w:lvlJc w:val="left"/>
      <w:pPr>
        <w:ind w:left="6672" w:hanging="360"/>
      </w:pPr>
      <w:rPr>
        <w:rFonts w:hint="default"/>
        <w:lang w:val="en-US" w:eastAsia="en-US" w:bidi="ar-SA"/>
      </w:rPr>
    </w:lvl>
    <w:lvl w:ilvl="7" w:tplc="697C530E">
      <w:numFmt w:val="bullet"/>
      <w:lvlText w:val="•"/>
      <w:lvlJc w:val="left"/>
      <w:pPr>
        <w:ind w:left="7584" w:hanging="360"/>
      </w:pPr>
      <w:rPr>
        <w:rFonts w:hint="default"/>
        <w:lang w:val="en-US" w:eastAsia="en-US" w:bidi="ar-SA"/>
      </w:rPr>
    </w:lvl>
    <w:lvl w:ilvl="8" w:tplc="B394E7FE">
      <w:numFmt w:val="bullet"/>
      <w:lvlText w:val="•"/>
      <w:lvlJc w:val="left"/>
      <w:pPr>
        <w:ind w:left="8496" w:hanging="360"/>
      </w:pPr>
      <w:rPr>
        <w:rFonts w:hint="default"/>
        <w:lang w:val="en-US" w:eastAsia="en-US" w:bidi="ar-SA"/>
      </w:rPr>
    </w:lvl>
  </w:abstractNum>
  <w:abstractNum w:abstractNumId="39" w15:restartNumberingAfterBreak="0">
    <w:nsid w:val="3C2C17F3"/>
    <w:multiLevelType w:val="hybridMultilevel"/>
    <w:tmpl w:val="DBFE29BE"/>
    <w:lvl w:ilvl="0" w:tplc="C0CCC83E">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A998A1EA">
      <w:numFmt w:val="bullet"/>
      <w:lvlText w:val="•"/>
      <w:lvlJc w:val="left"/>
      <w:pPr>
        <w:ind w:left="2072" w:hanging="360"/>
      </w:pPr>
      <w:rPr>
        <w:rFonts w:hint="default"/>
        <w:lang w:val="en-US" w:eastAsia="en-US" w:bidi="ar-SA"/>
      </w:rPr>
    </w:lvl>
    <w:lvl w:ilvl="2" w:tplc="0D1C4728">
      <w:numFmt w:val="bullet"/>
      <w:lvlText w:val="•"/>
      <w:lvlJc w:val="left"/>
      <w:pPr>
        <w:ind w:left="2945" w:hanging="360"/>
      </w:pPr>
      <w:rPr>
        <w:rFonts w:hint="default"/>
        <w:lang w:val="en-US" w:eastAsia="en-US" w:bidi="ar-SA"/>
      </w:rPr>
    </w:lvl>
    <w:lvl w:ilvl="3" w:tplc="1772D49A">
      <w:numFmt w:val="bullet"/>
      <w:lvlText w:val="•"/>
      <w:lvlJc w:val="left"/>
      <w:pPr>
        <w:ind w:left="3817" w:hanging="360"/>
      </w:pPr>
      <w:rPr>
        <w:rFonts w:hint="default"/>
        <w:lang w:val="en-US" w:eastAsia="en-US" w:bidi="ar-SA"/>
      </w:rPr>
    </w:lvl>
    <w:lvl w:ilvl="4" w:tplc="D3B45010">
      <w:numFmt w:val="bullet"/>
      <w:lvlText w:val="•"/>
      <w:lvlJc w:val="left"/>
      <w:pPr>
        <w:ind w:left="4690" w:hanging="360"/>
      </w:pPr>
      <w:rPr>
        <w:rFonts w:hint="default"/>
        <w:lang w:val="en-US" w:eastAsia="en-US" w:bidi="ar-SA"/>
      </w:rPr>
    </w:lvl>
    <w:lvl w:ilvl="5" w:tplc="0FA8FEDC">
      <w:numFmt w:val="bullet"/>
      <w:lvlText w:val="•"/>
      <w:lvlJc w:val="left"/>
      <w:pPr>
        <w:ind w:left="5563" w:hanging="360"/>
      </w:pPr>
      <w:rPr>
        <w:rFonts w:hint="default"/>
        <w:lang w:val="en-US" w:eastAsia="en-US" w:bidi="ar-SA"/>
      </w:rPr>
    </w:lvl>
    <w:lvl w:ilvl="6" w:tplc="E0862BEE">
      <w:numFmt w:val="bullet"/>
      <w:lvlText w:val="•"/>
      <w:lvlJc w:val="left"/>
      <w:pPr>
        <w:ind w:left="6435" w:hanging="360"/>
      </w:pPr>
      <w:rPr>
        <w:rFonts w:hint="default"/>
        <w:lang w:val="en-US" w:eastAsia="en-US" w:bidi="ar-SA"/>
      </w:rPr>
    </w:lvl>
    <w:lvl w:ilvl="7" w:tplc="9940CA6C">
      <w:numFmt w:val="bullet"/>
      <w:lvlText w:val="•"/>
      <w:lvlJc w:val="left"/>
      <w:pPr>
        <w:ind w:left="7308" w:hanging="360"/>
      </w:pPr>
      <w:rPr>
        <w:rFonts w:hint="default"/>
        <w:lang w:val="en-US" w:eastAsia="en-US" w:bidi="ar-SA"/>
      </w:rPr>
    </w:lvl>
    <w:lvl w:ilvl="8" w:tplc="36804F96">
      <w:numFmt w:val="bullet"/>
      <w:lvlText w:val="•"/>
      <w:lvlJc w:val="left"/>
      <w:pPr>
        <w:ind w:left="8181" w:hanging="360"/>
      </w:pPr>
      <w:rPr>
        <w:rFonts w:hint="default"/>
        <w:lang w:val="en-US" w:eastAsia="en-US" w:bidi="ar-SA"/>
      </w:rPr>
    </w:lvl>
  </w:abstractNum>
  <w:abstractNum w:abstractNumId="40" w15:restartNumberingAfterBreak="0">
    <w:nsid w:val="3D076F28"/>
    <w:multiLevelType w:val="hybridMultilevel"/>
    <w:tmpl w:val="2FE02544"/>
    <w:lvl w:ilvl="0" w:tplc="E9C00134">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81366D82">
      <w:numFmt w:val="bullet"/>
      <w:lvlText w:val="•"/>
      <w:lvlJc w:val="left"/>
      <w:pPr>
        <w:ind w:left="2112" w:hanging="360"/>
      </w:pPr>
      <w:rPr>
        <w:rFonts w:hint="default"/>
        <w:lang w:val="en-US" w:eastAsia="en-US" w:bidi="ar-SA"/>
      </w:rPr>
    </w:lvl>
    <w:lvl w:ilvl="2" w:tplc="7652AB4A">
      <w:numFmt w:val="bullet"/>
      <w:lvlText w:val="•"/>
      <w:lvlJc w:val="left"/>
      <w:pPr>
        <w:ind w:left="3024" w:hanging="360"/>
      </w:pPr>
      <w:rPr>
        <w:rFonts w:hint="default"/>
        <w:lang w:val="en-US" w:eastAsia="en-US" w:bidi="ar-SA"/>
      </w:rPr>
    </w:lvl>
    <w:lvl w:ilvl="3" w:tplc="EBDE3D82">
      <w:numFmt w:val="bullet"/>
      <w:lvlText w:val="•"/>
      <w:lvlJc w:val="left"/>
      <w:pPr>
        <w:ind w:left="3936" w:hanging="360"/>
      </w:pPr>
      <w:rPr>
        <w:rFonts w:hint="default"/>
        <w:lang w:val="en-US" w:eastAsia="en-US" w:bidi="ar-SA"/>
      </w:rPr>
    </w:lvl>
    <w:lvl w:ilvl="4" w:tplc="34924F70">
      <w:numFmt w:val="bullet"/>
      <w:lvlText w:val="•"/>
      <w:lvlJc w:val="left"/>
      <w:pPr>
        <w:ind w:left="4848" w:hanging="360"/>
      </w:pPr>
      <w:rPr>
        <w:rFonts w:hint="default"/>
        <w:lang w:val="en-US" w:eastAsia="en-US" w:bidi="ar-SA"/>
      </w:rPr>
    </w:lvl>
    <w:lvl w:ilvl="5" w:tplc="FE162A72">
      <w:numFmt w:val="bullet"/>
      <w:lvlText w:val="•"/>
      <w:lvlJc w:val="left"/>
      <w:pPr>
        <w:ind w:left="5760" w:hanging="360"/>
      </w:pPr>
      <w:rPr>
        <w:rFonts w:hint="default"/>
        <w:lang w:val="en-US" w:eastAsia="en-US" w:bidi="ar-SA"/>
      </w:rPr>
    </w:lvl>
    <w:lvl w:ilvl="6" w:tplc="A6D6EB48">
      <w:numFmt w:val="bullet"/>
      <w:lvlText w:val="•"/>
      <w:lvlJc w:val="left"/>
      <w:pPr>
        <w:ind w:left="6672" w:hanging="360"/>
      </w:pPr>
      <w:rPr>
        <w:rFonts w:hint="default"/>
        <w:lang w:val="en-US" w:eastAsia="en-US" w:bidi="ar-SA"/>
      </w:rPr>
    </w:lvl>
    <w:lvl w:ilvl="7" w:tplc="BE624118">
      <w:numFmt w:val="bullet"/>
      <w:lvlText w:val="•"/>
      <w:lvlJc w:val="left"/>
      <w:pPr>
        <w:ind w:left="7584" w:hanging="360"/>
      </w:pPr>
      <w:rPr>
        <w:rFonts w:hint="default"/>
        <w:lang w:val="en-US" w:eastAsia="en-US" w:bidi="ar-SA"/>
      </w:rPr>
    </w:lvl>
    <w:lvl w:ilvl="8" w:tplc="C9A8BE4A">
      <w:numFmt w:val="bullet"/>
      <w:lvlText w:val="•"/>
      <w:lvlJc w:val="left"/>
      <w:pPr>
        <w:ind w:left="8496" w:hanging="360"/>
      </w:pPr>
      <w:rPr>
        <w:rFonts w:hint="default"/>
        <w:lang w:val="en-US" w:eastAsia="en-US" w:bidi="ar-SA"/>
      </w:rPr>
    </w:lvl>
  </w:abstractNum>
  <w:abstractNum w:abstractNumId="41" w15:restartNumberingAfterBreak="0">
    <w:nsid w:val="3E5B6F33"/>
    <w:multiLevelType w:val="hybridMultilevel"/>
    <w:tmpl w:val="7EAAE0DE"/>
    <w:lvl w:ilvl="0" w:tplc="427E2A86">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9B84AE2E">
      <w:numFmt w:val="bullet"/>
      <w:lvlText w:val="o"/>
      <w:lvlJc w:val="left"/>
      <w:pPr>
        <w:ind w:left="1920" w:hanging="360"/>
      </w:pPr>
      <w:rPr>
        <w:rFonts w:ascii="Courier New" w:eastAsia="Courier New" w:hAnsi="Courier New" w:cs="Courier New" w:hint="default"/>
        <w:b w:val="0"/>
        <w:bCs w:val="0"/>
        <w:i w:val="0"/>
        <w:iCs w:val="0"/>
        <w:spacing w:val="0"/>
        <w:w w:val="99"/>
        <w:sz w:val="22"/>
        <w:szCs w:val="22"/>
        <w:lang w:val="en-US" w:eastAsia="en-US" w:bidi="ar-SA"/>
      </w:rPr>
    </w:lvl>
    <w:lvl w:ilvl="2" w:tplc="B68468DC">
      <w:numFmt w:val="bullet"/>
      <w:lvlText w:val="•"/>
      <w:lvlJc w:val="left"/>
      <w:pPr>
        <w:ind w:left="2809" w:hanging="360"/>
      </w:pPr>
      <w:rPr>
        <w:rFonts w:hint="default"/>
        <w:lang w:val="en-US" w:eastAsia="en-US" w:bidi="ar-SA"/>
      </w:rPr>
    </w:lvl>
    <w:lvl w:ilvl="3" w:tplc="2FCADF4A">
      <w:numFmt w:val="bullet"/>
      <w:lvlText w:val="•"/>
      <w:lvlJc w:val="left"/>
      <w:pPr>
        <w:ind w:left="3699" w:hanging="360"/>
      </w:pPr>
      <w:rPr>
        <w:rFonts w:hint="default"/>
        <w:lang w:val="en-US" w:eastAsia="en-US" w:bidi="ar-SA"/>
      </w:rPr>
    </w:lvl>
    <w:lvl w:ilvl="4" w:tplc="BC34968C">
      <w:numFmt w:val="bullet"/>
      <w:lvlText w:val="•"/>
      <w:lvlJc w:val="left"/>
      <w:pPr>
        <w:ind w:left="4588" w:hanging="360"/>
      </w:pPr>
      <w:rPr>
        <w:rFonts w:hint="default"/>
        <w:lang w:val="en-US" w:eastAsia="en-US" w:bidi="ar-SA"/>
      </w:rPr>
    </w:lvl>
    <w:lvl w:ilvl="5" w:tplc="EFDC6CF6">
      <w:numFmt w:val="bullet"/>
      <w:lvlText w:val="•"/>
      <w:lvlJc w:val="left"/>
      <w:pPr>
        <w:ind w:left="5478" w:hanging="360"/>
      </w:pPr>
      <w:rPr>
        <w:rFonts w:hint="default"/>
        <w:lang w:val="en-US" w:eastAsia="en-US" w:bidi="ar-SA"/>
      </w:rPr>
    </w:lvl>
    <w:lvl w:ilvl="6" w:tplc="73446402">
      <w:numFmt w:val="bullet"/>
      <w:lvlText w:val="•"/>
      <w:lvlJc w:val="left"/>
      <w:pPr>
        <w:ind w:left="6368" w:hanging="360"/>
      </w:pPr>
      <w:rPr>
        <w:rFonts w:hint="default"/>
        <w:lang w:val="en-US" w:eastAsia="en-US" w:bidi="ar-SA"/>
      </w:rPr>
    </w:lvl>
    <w:lvl w:ilvl="7" w:tplc="0762B8D0">
      <w:numFmt w:val="bullet"/>
      <w:lvlText w:val="•"/>
      <w:lvlJc w:val="left"/>
      <w:pPr>
        <w:ind w:left="7257" w:hanging="360"/>
      </w:pPr>
      <w:rPr>
        <w:rFonts w:hint="default"/>
        <w:lang w:val="en-US" w:eastAsia="en-US" w:bidi="ar-SA"/>
      </w:rPr>
    </w:lvl>
    <w:lvl w:ilvl="8" w:tplc="A7587762">
      <w:numFmt w:val="bullet"/>
      <w:lvlText w:val="•"/>
      <w:lvlJc w:val="left"/>
      <w:pPr>
        <w:ind w:left="8147" w:hanging="360"/>
      </w:pPr>
      <w:rPr>
        <w:rFonts w:hint="default"/>
        <w:lang w:val="en-US" w:eastAsia="en-US" w:bidi="ar-SA"/>
      </w:rPr>
    </w:lvl>
  </w:abstractNum>
  <w:abstractNum w:abstractNumId="42" w15:restartNumberingAfterBreak="0">
    <w:nsid w:val="3E78302F"/>
    <w:multiLevelType w:val="multilevel"/>
    <w:tmpl w:val="8A4A9A9E"/>
    <w:lvl w:ilvl="0">
      <w:start w:val="11"/>
      <w:numFmt w:val="upperLetter"/>
      <w:lvlText w:val="%1"/>
      <w:lvlJc w:val="left"/>
      <w:pPr>
        <w:ind w:left="1418" w:hanging="392"/>
        <w:jc w:val="left"/>
      </w:pPr>
      <w:rPr>
        <w:rFonts w:hint="default"/>
        <w:lang w:val="en-US" w:eastAsia="en-US" w:bidi="ar-SA"/>
      </w:rPr>
    </w:lvl>
    <w:lvl w:ilvl="1">
      <w:start w:val="1"/>
      <w:numFmt w:val="decimal"/>
      <w:lvlText w:val="%1.%2"/>
      <w:lvlJc w:val="left"/>
      <w:pPr>
        <w:ind w:left="1418" w:hanging="392"/>
        <w:jc w:val="left"/>
      </w:pPr>
      <w:rPr>
        <w:rFonts w:ascii="Arial" w:eastAsia="Arial" w:hAnsi="Arial" w:cs="Arial" w:hint="default"/>
        <w:b w:val="0"/>
        <w:bCs w:val="0"/>
        <w:i w:val="0"/>
        <w:iCs w:val="0"/>
        <w:spacing w:val="-1"/>
        <w:w w:val="99"/>
        <w:sz w:val="22"/>
        <w:szCs w:val="22"/>
        <w:lang w:val="en-US" w:eastAsia="en-US" w:bidi="ar-SA"/>
      </w:rPr>
    </w:lvl>
    <w:lvl w:ilvl="2">
      <w:numFmt w:val="bullet"/>
      <w:lvlText w:val="•"/>
      <w:lvlJc w:val="left"/>
      <w:pPr>
        <w:ind w:left="3200" w:hanging="392"/>
      </w:pPr>
      <w:rPr>
        <w:rFonts w:hint="default"/>
        <w:lang w:val="en-US" w:eastAsia="en-US" w:bidi="ar-SA"/>
      </w:rPr>
    </w:lvl>
    <w:lvl w:ilvl="3">
      <w:numFmt w:val="bullet"/>
      <w:lvlText w:val="•"/>
      <w:lvlJc w:val="left"/>
      <w:pPr>
        <w:ind w:left="4090" w:hanging="392"/>
      </w:pPr>
      <w:rPr>
        <w:rFonts w:hint="default"/>
        <w:lang w:val="en-US" w:eastAsia="en-US" w:bidi="ar-SA"/>
      </w:rPr>
    </w:lvl>
    <w:lvl w:ilvl="4">
      <w:numFmt w:val="bullet"/>
      <w:lvlText w:val="•"/>
      <w:lvlJc w:val="left"/>
      <w:pPr>
        <w:ind w:left="4980" w:hanging="392"/>
      </w:pPr>
      <w:rPr>
        <w:rFonts w:hint="default"/>
        <w:lang w:val="en-US" w:eastAsia="en-US" w:bidi="ar-SA"/>
      </w:rPr>
    </w:lvl>
    <w:lvl w:ilvl="5">
      <w:numFmt w:val="bullet"/>
      <w:lvlText w:val="•"/>
      <w:lvlJc w:val="left"/>
      <w:pPr>
        <w:ind w:left="5870" w:hanging="392"/>
      </w:pPr>
      <w:rPr>
        <w:rFonts w:hint="default"/>
        <w:lang w:val="en-US" w:eastAsia="en-US" w:bidi="ar-SA"/>
      </w:rPr>
    </w:lvl>
    <w:lvl w:ilvl="6">
      <w:numFmt w:val="bullet"/>
      <w:lvlText w:val="•"/>
      <w:lvlJc w:val="left"/>
      <w:pPr>
        <w:ind w:left="6760" w:hanging="392"/>
      </w:pPr>
      <w:rPr>
        <w:rFonts w:hint="default"/>
        <w:lang w:val="en-US" w:eastAsia="en-US" w:bidi="ar-SA"/>
      </w:rPr>
    </w:lvl>
    <w:lvl w:ilvl="7">
      <w:numFmt w:val="bullet"/>
      <w:lvlText w:val="•"/>
      <w:lvlJc w:val="left"/>
      <w:pPr>
        <w:ind w:left="7650" w:hanging="392"/>
      </w:pPr>
      <w:rPr>
        <w:rFonts w:hint="default"/>
        <w:lang w:val="en-US" w:eastAsia="en-US" w:bidi="ar-SA"/>
      </w:rPr>
    </w:lvl>
    <w:lvl w:ilvl="8">
      <w:numFmt w:val="bullet"/>
      <w:lvlText w:val="•"/>
      <w:lvlJc w:val="left"/>
      <w:pPr>
        <w:ind w:left="8540" w:hanging="392"/>
      </w:pPr>
      <w:rPr>
        <w:rFonts w:hint="default"/>
        <w:lang w:val="en-US" w:eastAsia="en-US" w:bidi="ar-SA"/>
      </w:rPr>
    </w:lvl>
  </w:abstractNum>
  <w:abstractNum w:abstractNumId="43" w15:restartNumberingAfterBreak="0">
    <w:nsid w:val="3EDE12F1"/>
    <w:multiLevelType w:val="hybridMultilevel"/>
    <w:tmpl w:val="BF7A5A2E"/>
    <w:lvl w:ilvl="0" w:tplc="1F12560C">
      <w:start w:val="1"/>
      <w:numFmt w:val="decimal"/>
      <w:lvlText w:val="%1."/>
      <w:lvlJc w:val="left"/>
      <w:pPr>
        <w:ind w:left="724" w:hanging="245"/>
        <w:jc w:val="left"/>
      </w:pPr>
      <w:rPr>
        <w:rFonts w:ascii="Arial" w:eastAsia="Arial" w:hAnsi="Arial" w:cs="Arial" w:hint="default"/>
        <w:b/>
        <w:bCs/>
        <w:i w:val="0"/>
        <w:iCs w:val="0"/>
        <w:spacing w:val="0"/>
        <w:w w:val="99"/>
        <w:sz w:val="22"/>
        <w:szCs w:val="22"/>
        <w:lang w:val="en-US" w:eastAsia="en-US" w:bidi="ar-SA"/>
      </w:rPr>
    </w:lvl>
    <w:lvl w:ilvl="1" w:tplc="7C3C7E76">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2" w:tplc="1D4C3776">
      <w:numFmt w:val="bullet"/>
      <w:lvlText w:val="•"/>
      <w:lvlJc w:val="left"/>
      <w:pPr>
        <w:ind w:left="2169" w:hanging="360"/>
      </w:pPr>
      <w:rPr>
        <w:rFonts w:hint="default"/>
        <w:lang w:val="en-US" w:eastAsia="en-US" w:bidi="ar-SA"/>
      </w:rPr>
    </w:lvl>
    <w:lvl w:ilvl="3" w:tplc="0A98ABA0">
      <w:numFmt w:val="bullet"/>
      <w:lvlText w:val="•"/>
      <w:lvlJc w:val="left"/>
      <w:pPr>
        <w:ind w:left="3139" w:hanging="360"/>
      </w:pPr>
      <w:rPr>
        <w:rFonts w:hint="default"/>
        <w:lang w:val="en-US" w:eastAsia="en-US" w:bidi="ar-SA"/>
      </w:rPr>
    </w:lvl>
    <w:lvl w:ilvl="4" w:tplc="836EBBD0">
      <w:numFmt w:val="bullet"/>
      <w:lvlText w:val="•"/>
      <w:lvlJc w:val="left"/>
      <w:pPr>
        <w:ind w:left="4108" w:hanging="360"/>
      </w:pPr>
      <w:rPr>
        <w:rFonts w:hint="default"/>
        <w:lang w:val="en-US" w:eastAsia="en-US" w:bidi="ar-SA"/>
      </w:rPr>
    </w:lvl>
    <w:lvl w:ilvl="5" w:tplc="A1A60FD2">
      <w:numFmt w:val="bullet"/>
      <w:lvlText w:val="•"/>
      <w:lvlJc w:val="left"/>
      <w:pPr>
        <w:ind w:left="5078" w:hanging="360"/>
      </w:pPr>
      <w:rPr>
        <w:rFonts w:hint="default"/>
        <w:lang w:val="en-US" w:eastAsia="en-US" w:bidi="ar-SA"/>
      </w:rPr>
    </w:lvl>
    <w:lvl w:ilvl="6" w:tplc="6FC20506">
      <w:numFmt w:val="bullet"/>
      <w:lvlText w:val="•"/>
      <w:lvlJc w:val="left"/>
      <w:pPr>
        <w:ind w:left="6048" w:hanging="360"/>
      </w:pPr>
      <w:rPr>
        <w:rFonts w:hint="default"/>
        <w:lang w:val="en-US" w:eastAsia="en-US" w:bidi="ar-SA"/>
      </w:rPr>
    </w:lvl>
    <w:lvl w:ilvl="7" w:tplc="0C7C6C5A">
      <w:numFmt w:val="bullet"/>
      <w:lvlText w:val="•"/>
      <w:lvlJc w:val="left"/>
      <w:pPr>
        <w:ind w:left="7017" w:hanging="360"/>
      </w:pPr>
      <w:rPr>
        <w:rFonts w:hint="default"/>
        <w:lang w:val="en-US" w:eastAsia="en-US" w:bidi="ar-SA"/>
      </w:rPr>
    </w:lvl>
    <w:lvl w:ilvl="8" w:tplc="2C9CDB50">
      <w:numFmt w:val="bullet"/>
      <w:lvlText w:val="•"/>
      <w:lvlJc w:val="left"/>
      <w:pPr>
        <w:ind w:left="7987" w:hanging="360"/>
      </w:pPr>
      <w:rPr>
        <w:rFonts w:hint="default"/>
        <w:lang w:val="en-US" w:eastAsia="en-US" w:bidi="ar-SA"/>
      </w:rPr>
    </w:lvl>
  </w:abstractNum>
  <w:abstractNum w:abstractNumId="44" w15:restartNumberingAfterBreak="0">
    <w:nsid w:val="441766CA"/>
    <w:multiLevelType w:val="hybridMultilevel"/>
    <w:tmpl w:val="3FD0905E"/>
    <w:lvl w:ilvl="0" w:tplc="D0587648">
      <w:numFmt w:val="bullet"/>
      <w:lvlText w:val=""/>
      <w:lvlJc w:val="left"/>
      <w:pPr>
        <w:ind w:left="440" w:hanging="188"/>
      </w:pPr>
      <w:rPr>
        <w:rFonts w:ascii="Symbol" w:eastAsia="Symbol" w:hAnsi="Symbol" w:cs="Symbol" w:hint="default"/>
        <w:b w:val="0"/>
        <w:bCs w:val="0"/>
        <w:i w:val="0"/>
        <w:iCs w:val="0"/>
        <w:spacing w:val="0"/>
        <w:w w:val="100"/>
        <w:sz w:val="20"/>
        <w:szCs w:val="20"/>
        <w:lang w:val="en-US" w:eastAsia="en-US" w:bidi="ar-SA"/>
      </w:rPr>
    </w:lvl>
    <w:lvl w:ilvl="1" w:tplc="2E303ABE">
      <w:numFmt w:val="bullet"/>
      <w:lvlText w:val="•"/>
      <w:lvlJc w:val="left"/>
      <w:pPr>
        <w:ind w:left="1155" w:hanging="188"/>
      </w:pPr>
      <w:rPr>
        <w:rFonts w:hint="default"/>
        <w:lang w:val="en-US" w:eastAsia="en-US" w:bidi="ar-SA"/>
      </w:rPr>
    </w:lvl>
    <w:lvl w:ilvl="2" w:tplc="D7F8C456">
      <w:numFmt w:val="bullet"/>
      <w:lvlText w:val="•"/>
      <w:lvlJc w:val="left"/>
      <w:pPr>
        <w:ind w:left="1871" w:hanging="188"/>
      </w:pPr>
      <w:rPr>
        <w:rFonts w:hint="default"/>
        <w:lang w:val="en-US" w:eastAsia="en-US" w:bidi="ar-SA"/>
      </w:rPr>
    </w:lvl>
    <w:lvl w:ilvl="3" w:tplc="92F06978">
      <w:numFmt w:val="bullet"/>
      <w:lvlText w:val="•"/>
      <w:lvlJc w:val="left"/>
      <w:pPr>
        <w:ind w:left="2586" w:hanging="188"/>
      </w:pPr>
      <w:rPr>
        <w:rFonts w:hint="default"/>
        <w:lang w:val="en-US" w:eastAsia="en-US" w:bidi="ar-SA"/>
      </w:rPr>
    </w:lvl>
    <w:lvl w:ilvl="4" w:tplc="956CE6E6">
      <w:numFmt w:val="bullet"/>
      <w:lvlText w:val="•"/>
      <w:lvlJc w:val="left"/>
      <w:pPr>
        <w:ind w:left="3302" w:hanging="188"/>
      </w:pPr>
      <w:rPr>
        <w:rFonts w:hint="default"/>
        <w:lang w:val="en-US" w:eastAsia="en-US" w:bidi="ar-SA"/>
      </w:rPr>
    </w:lvl>
    <w:lvl w:ilvl="5" w:tplc="BC163190">
      <w:numFmt w:val="bullet"/>
      <w:lvlText w:val="•"/>
      <w:lvlJc w:val="left"/>
      <w:pPr>
        <w:ind w:left="4017" w:hanging="188"/>
      </w:pPr>
      <w:rPr>
        <w:rFonts w:hint="default"/>
        <w:lang w:val="en-US" w:eastAsia="en-US" w:bidi="ar-SA"/>
      </w:rPr>
    </w:lvl>
    <w:lvl w:ilvl="6" w:tplc="D0109C62">
      <w:numFmt w:val="bullet"/>
      <w:lvlText w:val="•"/>
      <w:lvlJc w:val="left"/>
      <w:pPr>
        <w:ind w:left="4733" w:hanging="188"/>
      </w:pPr>
      <w:rPr>
        <w:rFonts w:hint="default"/>
        <w:lang w:val="en-US" w:eastAsia="en-US" w:bidi="ar-SA"/>
      </w:rPr>
    </w:lvl>
    <w:lvl w:ilvl="7" w:tplc="DF9E677E">
      <w:numFmt w:val="bullet"/>
      <w:lvlText w:val="•"/>
      <w:lvlJc w:val="left"/>
      <w:pPr>
        <w:ind w:left="5448" w:hanging="188"/>
      </w:pPr>
      <w:rPr>
        <w:rFonts w:hint="default"/>
        <w:lang w:val="en-US" w:eastAsia="en-US" w:bidi="ar-SA"/>
      </w:rPr>
    </w:lvl>
    <w:lvl w:ilvl="8" w:tplc="E198330C">
      <w:numFmt w:val="bullet"/>
      <w:lvlText w:val="•"/>
      <w:lvlJc w:val="left"/>
      <w:pPr>
        <w:ind w:left="6164" w:hanging="188"/>
      </w:pPr>
      <w:rPr>
        <w:rFonts w:hint="default"/>
        <w:lang w:val="en-US" w:eastAsia="en-US" w:bidi="ar-SA"/>
      </w:rPr>
    </w:lvl>
  </w:abstractNum>
  <w:abstractNum w:abstractNumId="45" w15:restartNumberingAfterBreak="0">
    <w:nsid w:val="443A15D3"/>
    <w:multiLevelType w:val="multilevel"/>
    <w:tmpl w:val="C91E1354"/>
    <w:lvl w:ilvl="0">
      <w:start w:val="1"/>
      <w:numFmt w:val="upperRoman"/>
      <w:lvlText w:val="%1"/>
      <w:lvlJc w:val="left"/>
      <w:pPr>
        <w:ind w:left="868" w:hanging="389"/>
        <w:jc w:val="left"/>
      </w:pPr>
      <w:rPr>
        <w:rFonts w:hint="default"/>
        <w:lang w:val="en-US" w:eastAsia="en-US" w:bidi="ar-SA"/>
      </w:rPr>
    </w:lvl>
    <w:lvl w:ilvl="1">
      <w:start w:val="1"/>
      <w:numFmt w:val="decimal"/>
      <w:lvlText w:val="%1.%2"/>
      <w:lvlJc w:val="left"/>
      <w:pPr>
        <w:ind w:left="868" w:hanging="389"/>
        <w:jc w:val="left"/>
      </w:pPr>
      <w:rPr>
        <w:rFonts w:ascii="Arial" w:eastAsia="Arial" w:hAnsi="Arial" w:cs="Arial" w:hint="default"/>
        <w:b/>
        <w:bCs/>
        <w:i w:val="0"/>
        <w:iCs w:val="0"/>
        <w:spacing w:val="0"/>
        <w:w w:val="99"/>
        <w:sz w:val="28"/>
        <w:szCs w:val="28"/>
        <w:lang w:val="en-US" w:eastAsia="en-US" w:bidi="ar-SA"/>
      </w:rPr>
    </w:lvl>
    <w:lvl w:ilvl="2">
      <w:start w:val="1"/>
      <w:numFmt w:val="decimal"/>
      <w:lvlText w:val="%1.%2.%3"/>
      <w:lvlJc w:val="left"/>
      <w:pPr>
        <w:ind w:left="1200" w:hanging="720"/>
        <w:jc w:val="left"/>
      </w:pPr>
      <w:rPr>
        <w:rFonts w:ascii="Arial" w:eastAsia="Arial" w:hAnsi="Arial" w:cs="Arial" w:hint="default"/>
        <w:b/>
        <w:bCs/>
        <w:i w:val="0"/>
        <w:iCs w:val="0"/>
        <w:spacing w:val="-1"/>
        <w:w w:val="100"/>
        <w:sz w:val="24"/>
        <w:szCs w:val="24"/>
        <w:lang w:val="en-US" w:eastAsia="en-US" w:bidi="ar-SA"/>
      </w:rPr>
    </w:lvl>
    <w:lvl w:ilvl="3">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4">
      <w:numFmt w:val="bullet"/>
      <w:lvlText w:val="o"/>
      <w:lvlJc w:val="left"/>
      <w:pPr>
        <w:ind w:left="1920" w:hanging="360"/>
      </w:pPr>
      <w:rPr>
        <w:rFonts w:ascii="Courier New" w:eastAsia="Courier New" w:hAnsi="Courier New" w:cs="Courier New" w:hint="default"/>
        <w:b w:val="0"/>
        <w:bCs w:val="0"/>
        <w:i w:val="0"/>
        <w:iCs w:val="0"/>
        <w:spacing w:val="0"/>
        <w:w w:val="99"/>
        <w:sz w:val="22"/>
        <w:szCs w:val="22"/>
        <w:lang w:val="en-US" w:eastAsia="en-US" w:bidi="ar-SA"/>
      </w:rPr>
    </w:lvl>
    <w:lvl w:ilvl="5">
      <w:numFmt w:val="bullet"/>
      <w:lvlText w:val="•"/>
      <w:lvlJc w:val="left"/>
      <w:pPr>
        <w:ind w:left="4922" w:hanging="360"/>
      </w:pPr>
      <w:rPr>
        <w:rFonts w:hint="default"/>
        <w:lang w:val="en-US" w:eastAsia="en-US" w:bidi="ar-SA"/>
      </w:rPr>
    </w:lvl>
    <w:lvl w:ilvl="6">
      <w:numFmt w:val="bullet"/>
      <w:lvlText w:val="•"/>
      <w:lvlJc w:val="left"/>
      <w:pPr>
        <w:ind w:left="5923" w:hanging="360"/>
      </w:pPr>
      <w:rPr>
        <w:rFonts w:hint="default"/>
        <w:lang w:val="en-US" w:eastAsia="en-US" w:bidi="ar-SA"/>
      </w:rPr>
    </w:lvl>
    <w:lvl w:ilvl="7">
      <w:numFmt w:val="bullet"/>
      <w:lvlText w:val="•"/>
      <w:lvlJc w:val="left"/>
      <w:pPr>
        <w:ind w:left="6924" w:hanging="360"/>
      </w:pPr>
      <w:rPr>
        <w:rFonts w:hint="default"/>
        <w:lang w:val="en-US" w:eastAsia="en-US" w:bidi="ar-SA"/>
      </w:rPr>
    </w:lvl>
    <w:lvl w:ilvl="8">
      <w:numFmt w:val="bullet"/>
      <w:lvlText w:val="•"/>
      <w:lvlJc w:val="left"/>
      <w:pPr>
        <w:ind w:left="7924" w:hanging="360"/>
      </w:pPr>
      <w:rPr>
        <w:rFonts w:hint="default"/>
        <w:lang w:val="en-US" w:eastAsia="en-US" w:bidi="ar-SA"/>
      </w:rPr>
    </w:lvl>
  </w:abstractNum>
  <w:abstractNum w:abstractNumId="46" w15:restartNumberingAfterBreak="0">
    <w:nsid w:val="44F47CF5"/>
    <w:multiLevelType w:val="hybridMultilevel"/>
    <w:tmpl w:val="386CF982"/>
    <w:lvl w:ilvl="0" w:tplc="974004EC">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242854B2">
      <w:numFmt w:val="bullet"/>
      <w:lvlText w:val="•"/>
      <w:lvlJc w:val="left"/>
      <w:pPr>
        <w:ind w:left="2112" w:hanging="360"/>
      </w:pPr>
      <w:rPr>
        <w:rFonts w:hint="default"/>
        <w:lang w:val="en-US" w:eastAsia="en-US" w:bidi="ar-SA"/>
      </w:rPr>
    </w:lvl>
    <w:lvl w:ilvl="2" w:tplc="9F08658E">
      <w:numFmt w:val="bullet"/>
      <w:lvlText w:val="•"/>
      <w:lvlJc w:val="left"/>
      <w:pPr>
        <w:ind w:left="3024" w:hanging="360"/>
      </w:pPr>
      <w:rPr>
        <w:rFonts w:hint="default"/>
        <w:lang w:val="en-US" w:eastAsia="en-US" w:bidi="ar-SA"/>
      </w:rPr>
    </w:lvl>
    <w:lvl w:ilvl="3" w:tplc="8ABE1CBA">
      <w:numFmt w:val="bullet"/>
      <w:lvlText w:val="•"/>
      <w:lvlJc w:val="left"/>
      <w:pPr>
        <w:ind w:left="3936" w:hanging="360"/>
      </w:pPr>
      <w:rPr>
        <w:rFonts w:hint="default"/>
        <w:lang w:val="en-US" w:eastAsia="en-US" w:bidi="ar-SA"/>
      </w:rPr>
    </w:lvl>
    <w:lvl w:ilvl="4" w:tplc="7BEC7A20">
      <w:numFmt w:val="bullet"/>
      <w:lvlText w:val="•"/>
      <w:lvlJc w:val="left"/>
      <w:pPr>
        <w:ind w:left="4848" w:hanging="360"/>
      </w:pPr>
      <w:rPr>
        <w:rFonts w:hint="default"/>
        <w:lang w:val="en-US" w:eastAsia="en-US" w:bidi="ar-SA"/>
      </w:rPr>
    </w:lvl>
    <w:lvl w:ilvl="5" w:tplc="BB228D72">
      <w:numFmt w:val="bullet"/>
      <w:lvlText w:val="•"/>
      <w:lvlJc w:val="left"/>
      <w:pPr>
        <w:ind w:left="5760" w:hanging="360"/>
      </w:pPr>
      <w:rPr>
        <w:rFonts w:hint="default"/>
        <w:lang w:val="en-US" w:eastAsia="en-US" w:bidi="ar-SA"/>
      </w:rPr>
    </w:lvl>
    <w:lvl w:ilvl="6" w:tplc="E76CB3D2">
      <w:numFmt w:val="bullet"/>
      <w:lvlText w:val="•"/>
      <w:lvlJc w:val="left"/>
      <w:pPr>
        <w:ind w:left="6672" w:hanging="360"/>
      </w:pPr>
      <w:rPr>
        <w:rFonts w:hint="default"/>
        <w:lang w:val="en-US" w:eastAsia="en-US" w:bidi="ar-SA"/>
      </w:rPr>
    </w:lvl>
    <w:lvl w:ilvl="7" w:tplc="F0C68B1A">
      <w:numFmt w:val="bullet"/>
      <w:lvlText w:val="•"/>
      <w:lvlJc w:val="left"/>
      <w:pPr>
        <w:ind w:left="7584" w:hanging="360"/>
      </w:pPr>
      <w:rPr>
        <w:rFonts w:hint="default"/>
        <w:lang w:val="en-US" w:eastAsia="en-US" w:bidi="ar-SA"/>
      </w:rPr>
    </w:lvl>
    <w:lvl w:ilvl="8" w:tplc="C87CE2CE">
      <w:numFmt w:val="bullet"/>
      <w:lvlText w:val="•"/>
      <w:lvlJc w:val="left"/>
      <w:pPr>
        <w:ind w:left="8496" w:hanging="360"/>
      </w:pPr>
      <w:rPr>
        <w:rFonts w:hint="default"/>
        <w:lang w:val="en-US" w:eastAsia="en-US" w:bidi="ar-SA"/>
      </w:rPr>
    </w:lvl>
  </w:abstractNum>
  <w:abstractNum w:abstractNumId="47" w15:restartNumberingAfterBreak="0">
    <w:nsid w:val="455E7CF7"/>
    <w:multiLevelType w:val="multilevel"/>
    <w:tmpl w:val="A5D6A6D0"/>
    <w:lvl w:ilvl="0">
      <w:start w:val="5"/>
      <w:numFmt w:val="upperLetter"/>
      <w:lvlText w:val="%1"/>
      <w:lvlJc w:val="left"/>
      <w:pPr>
        <w:ind w:left="1418" w:hanging="392"/>
        <w:jc w:val="left"/>
      </w:pPr>
      <w:rPr>
        <w:rFonts w:hint="default"/>
        <w:lang w:val="en-US" w:eastAsia="en-US" w:bidi="ar-SA"/>
      </w:rPr>
    </w:lvl>
    <w:lvl w:ilvl="1">
      <w:start w:val="1"/>
      <w:numFmt w:val="decimal"/>
      <w:lvlText w:val="%1.%2"/>
      <w:lvlJc w:val="left"/>
      <w:pPr>
        <w:ind w:left="1418" w:hanging="392"/>
        <w:jc w:val="left"/>
      </w:pPr>
      <w:rPr>
        <w:rFonts w:ascii="Arial" w:eastAsia="Arial" w:hAnsi="Arial" w:cs="Arial" w:hint="default"/>
        <w:b w:val="0"/>
        <w:bCs w:val="0"/>
        <w:i w:val="0"/>
        <w:iCs w:val="0"/>
        <w:spacing w:val="-1"/>
        <w:w w:val="99"/>
        <w:sz w:val="22"/>
        <w:szCs w:val="22"/>
        <w:lang w:val="en-US" w:eastAsia="en-US" w:bidi="ar-SA"/>
      </w:rPr>
    </w:lvl>
    <w:lvl w:ilvl="2">
      <w:numFmt w:val="bullet"/>
      <w:lvlText w:val="•"/>
      <w:lvlJc w:val="left"/>
      <w:pPr>
        <w:ind w:left="3200" w:hanging="392"/>
      </w:pPr>
      <w:rPr>
        <w:rFonts w:hint="default"/>
        <w:lang w:val="en-US" w:eastAsia="en-US" w:bidi="ar-SA"/>
      </w:rPr>
    </w:lvl>
    <w:lvl w:ilvl="3">
      <w:numFmt w:val="bullet"/>
      <w:lvlText w:val="•"/>
      <w:lvlJc w:val="left"/>
      <w:pPr>
        <w:ind w:left="4090" w:hanging="392"/>
      </w:pPr>
      <w:rPr>
        <w:rFonts w:hint="default"/>
        <w:lang w:val="en-US" w:eastAsia="en-US" w:bidi="ar-SA"/>
      </w:rPr>
    </w:lvl>
    <w:lvl w:ilvl="4">
      <w:numFmt w:val="bullet"/>
      <w:lvlText w:val="•"/>
      <w:lvlJc w:val="left"/>
      <w:pPr>
        <w:ind w:left="4980" w:hanging="392"/>
      </w:pPr>
      <w:rPr>
        <w:rFonts w:hint="default"/>
        <w:lang w:val="en-US" w:eastAsia="en-US" w:bidi="ar-SA"/>
      </w:rPr>
    </w:lvl>
    <w:lvl w:ilvl="5">
      <w:numFmt w:val="bullet"/>
      <w:lvlText w:val="•"/>
      <w:lvlJc w:val="left"/>
      <w:pPr>
        <w:ind w:left="5870" w:hanging="392"/>
      </w:pPr>
      <w:rPr>
        <w:rFonts w:hint="default"/>
        <w:lang w:val="en-US" w:eastAsia="en-US" w:bidi="ar-SA"/>
      </w:rPr>
    </w:lvl>
    <w:lvl w:ilvl="6">
      <w:numFmt w:val="bullet"/>
      <w:lvlText w:val="•"/>
      <w:lvlJc w:val="left"/>
      <w:pPr>
        <w:ind w:left="6760" w:hanging="392"/>
      </w:pPr>
      <w:rPr>
        <w:rFonts w:hint="default"/>
        <w:lang w:val="en-US" w:eastAsia="en-US" w:bidi="ar-SA"/>
      </w:rPr>
    </w:lvl>
    <w:lvl w:ilvl="7">
      <w:numFmt w:val="bullet"/>
      <w:lvlText w:val="•"/>
      <w:lvlJc w:val="left"/>
      <w:pPr>
        <w:ind w:left="7650" w:hanging="392"/>
      </w:pPr>
      <w:rPr>
        <w:rFonts w:hint="default"/>
        <w:lang w:val="en-US" w:eastAsia="en-US" w:bidi="ar-SA"/>
      </w:rPr>
    </w:lvl>
    <w:lvl w:ilvl="8">
      <w:numFmt w:val="bullet"/>
      <w:lvlText w:val="•"/>
      <w:lvlJc w:val="left"/>
      <w:pPr>
        <w:ind w:left="8540" w:hanging="392"/>
      </w:pPr>
      <w:rPr>
        <w:rFonts w:hint="default"/>
        <w:lang w:val="en-US" w:eastAsia="en-US" w:bidi="ar-SA"/>
      </w:rPr>
    </w:lvl>
  </w:abstractNum>
  <w:abstractNum w:abstractNumId="48" w15:restartNumberingAfterBreak="0">
    <w:nsid w:val="495761F3"/>
    <w:multiLevelType w:val="multilevel"/>
    <w:tmpl w:val="BFD281A6"/>
    <w:lvl w:ilvl="0">
      <w:start w:val="3"/>
      <w:numFmt w:val="upperLetter"/>
      <w:lvlText w:val="%1"/>
      <w:lvlJc w:val="left"/>
      <w:pPr>
        <w:ind w:left="993" w:hanging="514"/>
        <w:jc w:val="left"/>
      </w:pPr>
      <w:rPr>
        <w:rFonts w:hint="default"/>
        <w:lang w:val="en-US" w:eastAsia="en-US" w:bidi="ar-SA"/>
      </w:rPr>
    </w:lvl>
    <w:lvl w:ilvl="1">
      <w:start w:val="1"/>
      <w:numFmt w:val="decimal"/>
      <w:lvlText w:val="%1.%2"/>
      <w:lvlJc w:val="left"/>
      <w:pPr>
        <w:ind w:left="993" w:hanging="514"/>
        <w:jc w:val="left"/>
      </w:pPr>
      <w:rPr>
        <w:rFonts w:ascii="Arial" w:eastAsia="Arial" w:hAnsi="Arial" w:cs="Arial" w:hint="default"/>
        <w:b/>
        <w:bCs/>
        <w:i w:val="0"/>
        <w:iCs w:val="0"/>
        <w:spacing w:val="-1"/>
        <w:w w:val="99"/>
        <w:sz w:val="28"/>
        <w:szCs w:val="28"/>
        <w:lang w:val="en-US" w:eastAsia="en-US" w:bidi="ar-SA"/>
      </w:rPr>
    </w:lvl>
    <w:lvl w:ilvl="2">
      <w:start w:val="1"/>
      <w:numFmt w:val="decimal"/>
      <w:lvlText w:val="%1.%2.%3"/>
      <w:lvlJc w:val="left"/>
      <w:pPr>
        <w:ind w:left="1200" w:hanging="720"/>
        <w:jc w:val="left"/>
      </w:pPr>
      <w:rPr>
        <w:rFonts w:ascii="Arial" w:eastAsia="Arial" w:hAnsi="Arial" w:cs="Arial" w:hint="default"/>
        <w:b/>
        <w:bCs/>
        <w:i w:val="0"/>
        <w:iCs w:val="0"/>
        <w:spacing w:val="-1"/>
        <w:w w:val="100"/>
        <w:sz w:val="24"/>
        <w:szCs w:val="24"/>
        <w:lang w:val="en-US" w:eastAsia="en-US" w:bidi="ar-SA"/>
      </w:rPr>
    </w:lvl>
    <w:lvl w:ilvl="3">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4">
      <w:numFmt w:val="bullet"/>
      <w:lvlText w:val="o"/>
      <w:lvlJc w:val="left"/>
      <w:pPr>
        <w:ind w:left="1919" w:hanging="360"/>
      </w:pPr>
      <w:rPr>
        <w:rFonts w:ascii="Courier New" w:eastAsia="Courier New" w:hAnsi="Courier New" w:cs="Courier New" w:hint="default"/>
        <w:b w:val="0"/>
        <w:bCs w:val="0"/>
        <w:i w:val="0"/>
        <w:iCs w:val="0"/>
        <w:spacing w:val="0"/>
        <w:w w:val="99"/>
        <w:sz w:val="22"/>
        <w:szCs w:val="22"/>
        <w:lang w:val="en-US" w:eastAsia="en-US" w:bidi="ar-SA"/>
      </w:rPr>
    </w:lvl>
    <w:lvl w:ilvl="5">
      <w:numFmt w:val="bullet"/>
      <w:lvlText w:val="•"/>
      <w:lvlJc w:val="left"/>
      <w:pPr>
        <w:ind w:left="4922" w:hanging="360"/>
      </w:pPr>
      <w:rPr>
        <w:rFonts w:hint="default"/>
        <w:lang w:val="en-US" w:eastAsia="en-US" w:bidi="ar-SA"/>
      </w:rPr>
    </w:lvl>
    <w:lvl w:ilvl="6">
      <w:numFmt w:val="bullet"/>
      <w:lvlText w:val="•"/>
      <w:lvlJc w:val="left"/>
      <w:pPr>
        <w:ind w:left="5923" w:hanging="360"/>
      </w:pPr>
      <w:rPr>
        <w:rFonts w:hint="default"/>
        <w:lang w:val="en-US" w:eastAsia="en-US" w:bidi="ar-SA"/>
      </w:rPr>
    </w:lvl>
    <w:lvl w:ilvl="7">
      <w:numFmt w:val="bullet"/>
      <w:lvlText w:val="•"/>
      <w:lvlJc w:val="left"/>
      <w:pPr>
        <w:ind w:left="6924" w:hanging="360"/>
      </w:pPr>
      <w:rPr>
        <w:rFonts w:hint="default"/>
        <w:lang w:val="en-US" w:eastAsia="en-US" w:bidi="ar-SA"/>
      </w:rPr>
    </w:lvl>
    <w:lvl w:ilvl="8">
      <w:numFmt w:val="bullet"/>
      <w:lvlText w:val="•"/>
      <w:lvlJc w:val="left"/>
      <w:pPr>
        <w:ind w:left="7924" w:hanging="360"/>
      </w:pPr>
      <w:rPr>
        <w:rFonts w:hint="default"/>
        <w:lang w:val="en-US" w:eastAsia="en-US" w:bidi="ar-SA"/>
      </w:rPr>
    </w:lvl>
  </w:abstractNum>
  <w:abstractNum w:abstractNumId="49" w15:restartNumberingAfterBreak="0">
    <w:nsid w:val="49FD3E7C"/>
    <w:multiLevelType w:val="hybridMultilevel"/>
    <w:tmpl w:val="999A4740"/>
    <w:lvl w:ilvl="0" w:tplc="DE1425B0">
      <w:numFmt w:val="bullet"/>
      <w:lvlText w:val=""/>
      <w:lvlJc w:val="left"/>
      <w:pPr>
        <w:ind w:left="1199" w:hanging="360"/>
      </w:pPr>
      <w:rPr>
        <w:rFonts w:ascii="Symbol" w:eastAsia="Symbol" w:hAnsi="Symbol" w:cs="Symbol" w:hint="default"/>
        <w:spacing w:val="0"/>
        <w:w w:val="100"/>
        <w:lang w:val="en-US" w:eastAsia="en-US" w:bidi="ar-SA"/>
      </w:rPr>
    </w:lvl>
    <w:lvl w:ilvl="1" w:tplc="1EA6313A">
      <w:numFmt w:val="bullet"/>
      <w:lvlText w:val="•"/>
      <w:lvlJc w:val="left"/>
      <w:pPr>
        <w:ind w:left="2072" w:hanging="360"/>
      </w:pPr>
      <w:rPr>
        <w:rFonts w:hint="default"/>
        <w:lang w:val="en-US" w:eastAsia="en-US" w:bidi="ar-SA"/>
      </w:rPr>
    </w:lvl>
    <w:lvl w:ilvl="2" w:tplc="FE548E88">
      <w:numFmt w:val="bullet"/>
      <w:lvlText w:val="•"/>
      <w:lvlJc w:val="left"/>
      <w:pPr>
        <w:ind w:left="2945" w:hanging="360"/>
      </w:pPr>
      <w:rPr>
        <w:rFonts w:hint="default"/>
        <w:lang w:val="en-US" w:eastAsia="en-US" w:bidi="ar-SA"/>
      </w:rPr>
    </w:lvl>
    <w:lvl w:ilvl="3" w:tplc="74AEB070">
      <w:numFmt w:val="bullet"/>
      <w:lvlText w:val="•"/>
      <w:lvlJc w:val="left"/>
      <w:pPr>
        <w:ind w:left="3817" w:hanging="360"/>
      </w:pPr>
      <w:rPr>
        <w:rFonts w:hint="default"/>
        <w:lang w:val="en-US" w:eastAsia="en-US" w:bidi="ar-SA"/>
      </w:rPr>
    </w:lvl>
    <w:lvl w:ilvl="4" w:tplc="51664D6A">
      <w:numFmt w:val="bullet"/>
      <w:lvlText w:val="•"/>
      <w:lvlJc w:val="left"/>
      <w:pPr>
        <w:ind w:left="4690" w:hanging="360"/>
      </w:pPr>
      <w:rPr>
        <w:rFonts w:hint="default"/>
        <w:lang w:val="en-US" w:eastAsia="en-US" w:bidi="ar-SA"/>
      </w:rPr>
    </w:lvl>
    <w:lvl w:ilvl="5" w:tplc="44667A78">
      <w:numFmt w:val="bullet"/>
      <w:lvlText w:val="•"/>
      <w:lvlJc w:val="left"/>
      <w:pPr>
        <w:ind w:left="5563" w:hanging="360"/>
      </w:pPr>
      <w:rPr>
        <w:rFonts w:hint="default"/>
        <w:lang w:val="en-US" w:eastAsia="en-US" w:bidi="ar-SA"/>
      </w:rPr>
    </w:lvl>
    <w:lvl w:ilvl="6" w:tplc="C210851E">
      <w:numFmt w:val="bullet"/>
      <w:lvlText w:val="•"/>
      <w:lvlJc w:val="left"/>
      <w:pPr>
        <w:ind w:left="6435" w:hanging="360"/>
      </w:pPr>
      <w:rPr>
        <w:rFonts w:hint="default"/>
        <w:lang w:val="en-US" w:eastAsia="en-US" w:bidi="ar-SA"/>
      </w:rPr>
    </w:lvl>
    <w:lvl w:ilvl="7" w:tplc="3ED2527C">
      <w:numFmt w:val="bullet"/>
      <w:lvlText w:val="•"/>
      <w:lvlJc w:val="left"/>
      <w:pPr>
        <w:ind w:left="7308" w:hanging="360"/>
      </w:pPr>
      <w:rPr>
        <w:rFonts w:hint="default"/>
        <w:lang w:val="en-US" w:eastAsia="en-US" w:bidi="ar-SA"/>
      </w:rPr>
    </w:lvl>
    <w:lvl w:ilvl="8" w:tplc="D05CF8C2">
      <w:numFmt w:val="bullet"/>
      <w:lvlText w:val="•"/>
      <w:lvlJc w:val="left"/>
      <w:pPr>
        <w:ind w:left="8181" w:hanging="360"/>
      </w:pPr>
      <w:rPr>
        <w:rFonts w:hint="default"/>
        <w:lang w:val="en-US" w:eastAsia="en-US" w:bidi="ar-SA"/>
      </w:rPr>
    </w:lvl>
  </w:abstractNum>
  <w:abstractNum w:abstractNumId="50" w15:restartNumberingAfterBreak="0">
    <w:nsid w:val="4BD31F87"/>
    <w:multiLevelType w:val="hybridMultilevel"/>
    <w:tmpl w:val="7062D2C8"/>
    <w:lvl w:ilvl="0" w:tplc="E926ED08">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144AB1AA">
      <w:numFmt w:val="bullet"/>
      <w:lvlText w:val="•"/>
      <w:lvlJc w:val="left"/>
      <w:pPr>
        <w:ind w:left="2112" w:hanging="360"/>
      </w:pPr>
      <w:rPr>
        <w:rFonts w:hint="default"/>
        <w:lang w:val="en-US" w:eastAsia="en-US" w:bidi="ar-SA"/>
      </w:rPr>
    </w:lvl>
    <w:lvl w:ilvl="2" w:tplc="76F62D20">
      <w:numFmt w:val="bullet"/>
      <w:lvlText w:val="•"/>
      <w:lvlJc w:val="left"/>
      <w:pPr>
        <w:ind w:left="3024" w:hanging="360"/>
      </w:pPr>
      <w:rPr>
        <w:rFonts w:hint="default"/>
        <w:lang w:val="en-US" w:eastAsia="en-US" w:bidi="ar-SA"/>
      </w:rPr>
    </w:lvl>
    <w:lvl w:ilvl="3" w:tplc="AC6C5A24">
      <w:numFmt w:val="bullet"/>
      <w:lvlText w:val="•"/>
      <w:lvlJc w:val="left"/>
      <w:pPr>
        <w:ind w:left="3936" w:hanging="360"/>
      </w:pPr>
      <w:rPr>
        <w:rFonts w:hint="default"/>
        <w:lang w:val="en-US" w:eastAsia="en-US" w:bidi="ar-SA"/>
      </w:rPr>
    </w:lvl>
    <w:lvl w:ilvl="4" w:tplc="AFEC9FBC">
      <w:numFmt w:val="bullet"/>
      <w:lvlText w:val="•"/>
      <w:lvlJc w:val="left"/>
      <w:pPr>
        <w:ind w:left="4848" w:hanging="360"/>
      </w:pPr>
      <w:rPr>
        <w:rFonts w:hint="default"/>
        <w:lang w:val="en-US" w:eastAsia="en-US" w:bidi="ar-SA"/>
      </w:rPr>
    </w:lvl>
    <w:lvl w:ilvl="5" w:tplc="6B762492">
      <w:numFmt w:val="bullet"/>
      <w:lvlText w:val="•"/>
      <w:lvlJc w:val="left"/>
      <w:pPr>
        <w:ind w:left="5760" w:hanging="360"/>
      </w:pPr>
      <w:rPr>
        <w:rFonts w:hint="default"/>
        <w:lang w:val="en-US" w:eastAsia="en-US" w:bidi="ar-SA"/>
      </w:rPr>
    </w:lvl>
    <w:lvl w:ilvl="6" w:tplc="452053A4">
      <w:numFmt w:val="bullet"/>
      <w:lvlText w:val="•"/>
      <w:lvlJc w:val="left"/>
      <w:pPr>
        <w:ind w:left="6672" w:hanging="360"/>
      </w:pPr>
      <w:rPr>
        <w:rFonts w:hint="default"/>
        <w:lang w:val="en-US" w:eastAsia="en-US" w:bidi="ar-SA"/>
      </w:rPr>
    </w:lvl>
    <w:lvl w:ilvl="7" w:tplc="3334A0A2">
      <w:numFmt w:val="bullet"/>
      <w:lvlText w:val="•"/>
      <w:lvlJc w:val="left"/>
      <w:pPr>
        <w:ind w:left="7584" w:hanging="360"/>
      </w:pPr>
      <w:rPr>
        <w:rFonts w:hint="default"/>
        <w:lang w:val="en-US" w:eastAsia="en-US" w:bidi="ar-SA"/>
      </w:rPr>
    </w:lvl>
    <w:lvl w:ilvl="8" w:tplc="033ED2E2">
      <w:numFmt w:val="bullet"/>
      <w:lvlText w:val="•"/>
      <w:lvlJc w:val="left"/>
      <w:pPr>
        <w:ind w:left="8496" w:hanging="360"/>
      </w:pPr>
      <w:rPr>
        <w:rFonts w:hint="default"/>
        <w:lang w:val="en-US" w:eastAsia="en-US" w:bidi="ar-SA"/>
      </w:rPr>
    </w:lvl>
  </w:abstractNum>
  <w:abstractNum w:abstractNumId="51" w15:restartNumberingAfterBreak="0">
    <w:nsid w:val="4BD8686F"/>
    <w:multiLevelType w:val="multilevel"/>
    <w:tmpl w:val="6B82C07A"/>
    <w:lvl w:ilvl="0">
      <w:start w:val="2"/>
      <w:numFmt w:val="upperLetter"/>
      <w:lvlText w:val="%1"/>
      <w:lvlJc w:val="left"/>
      <w:pPr>
        <w:ind w:left="1418" w:hanging="392"/>
        <w:jc w:val="left"/>
      </w:pPr>
      <w:rPr>
        <w:rFonts w:hint="default"/>
        <w:lang w:val="en-US" w:eastAsia="en-US" w:bidi="ar-SA"/>
      </w:rPr>
    </w:lvl>
    <w:lvl w:ilvl="1">
      <w:start w:val="1"/>
      <w:numFmt w:val="decimal"/>
      <w:lvlText w:val="%1.%2"/>
      <w:lvlJc w:val="left"/>
      <w:pPr>
        <w:ind w:left="1418" w:hanging="392"/>
        <w:jc w:val="left"/>
      </w:pPr>
      <w:rPr>
        <w:rFonts w:ascii="Arial" w:eastAsia="Arial" w:hAnsi="Arial" w:cs="Arial" w:hint="default"/>
        <w:b w:val="0"/>
        <w:bCs w:val="0"/>
        <w:i w:val="0"/>
        <w:iCs w:val="0"/>
        <w:spacing w:val="-1"/>
        <w:w w:val="99"/>
        <w:sz w:val="22"/>
        <w:szCs w:val="22"/>
        <w:lang w:val="en-US" w:eastAsia="en-US" w:bidi="ar-SA"/>
      </w:rPr>
    </w:lvl>
    <w:lvl w:ilvl="2">
      <w:start w:val="1"/>
      <w:numFmt w:val="decimal"/>
      <w:lvlText w:val="%1.%2.%3"/>
      <w:lvlJc w:val="left"/>
      <w:pPr>
        <w:ind w:left="2280" w:hanging="721"/>
        <w:jc w:val="left"/>
      </w:pPr>
      <w:rPr>
        <w:rFonts w:ascii="Arial" w:eastAsia="Arial" w:hAnsi="Arial" w:cs="Arial" w:hint="default"/>
        <w:b w:val="0"/>
        <w:bCs w:val="0"/>
        <w:i w:val="0"/>
        <w:iCs w:val="0"/>
        <w:spacing w:val="-1"/>
        <w:w w:val="99"/>
        <w:sz w:val="22"/>
        <w:szCs w:val="22"/>
        <w:lang w:val="en-US" w:eastAsia="en-US" w:bidi="ar-SA"/>
      </w:rPr>
    </w:lvl>
    <w:lvl w:ilvl="3">
      <w:numFmt w:val="bullet"/>
      <w:lvlText w:val="•"/>
      <w:lvlJc w:val="left"/>
      <w:pPr>
        <w:ind w:left="4066" w:hanging="721"/>
      </w:pPr>
      <w:rPr>
        <w:rFonts w:hint="default"/>
        <w:lang w:val="en-US" w:eastAsia="en-US" w:bidi="ar-SA"/>
      </w:rPr>
    </w:lvl>
    <w:lvl w:ilvl="4">
      <w:numFmt w:val="bullet"/>
      <w:lvlText w:val="•"/>
      <w:lvlJc w:val="left"/>
      <w:pPr>
        <w:ind w:left="4960" w:hanging="721"/>
      </w:pPr>
      <w:rPr>
        <w:rFonts w:hint="default"/>
        <w:lang w:val="en-US" w:eastAsia="en-US" w:bidi="ar-SA"/>
      </w:rPr>
    </w:lvl>
    <w:lvl w:ilvl="5">
      <w:numFmt w:val="bullet"/>
      <w:lvlText w:val="•"/>
      <w:lvlJc w:val="left"/>
      <w:pPr>
        <w:ind w:left="5853" w:hanging="721"/>
      </w:pPr>
      <w:rPr>
        <w:rFonts w:hint="default"/>
        <w:lang w:val="en-US" w:eastAsia="en-US" w:bidi="ar-SA"/>
      </w:rPr>
    </w:lvl>
    <w:lvl w:ilvl="6">
      <w:numFmt w:val="bullet"/>
      <w:lvlText w:val="•"/>
      <w:lvlJc w:val="left"/>
      <w:pPr>
        <w:ind w:left="6746" w:hanging="721"/>
      </w:pPr>
      <w:rPr>
        <w:rFonts w:hint="default"/>
        <w:lang w:val="en-US" w:eastAsia="en-US" w:bidi="ar-SA"/>
      </w:rPr>
    </w:lvl>
    <w:lvl w:ilvl="7">
      <w:numFmt w:val="bullet"/>
      <w:lvlText w:val="•"/>
      <w:lvlJc w:val="left"/>
      <w:pPr>
        <w:ind w:left="7640" w:hanging="721"/>
      </w:pPr>
      <w:rPr>
        <w:rFonts w:hint="default"/>
        <w:lang w:val="en-US" w:eastAsia="en-US" w:bidi="ar-SA"/>
      </w:rPr>
    </w:lvl>
    <w:lvl w:ilvl="8">
      <w:numFmt w:val="bullet"/>
      <w:lvlText w:val="•"/>
      <w:lvlJc w:val="left"/>
      <w:pPr>
        <w:ind w:left="8533" w:hanging="721"/>
      </w:pPr>
      <w:rPr>
        <w:rFonts w:hint="default"/>
        <w:lang w:val="en-US" w:eastAsia="en-US" w:bidi="ar-SA"/>
      </w:rPr>
    </w:lvl>
  </w:abstractNum>
  <w:abstractNum w:abstractNumId="52" w15:restartNumberingAfterBreak="0">
    <w:nsid w:val="4DCE1AC0"/>
    <w:multiLevelType w:val="hybridMultilevel"/>
    <w:tmpl w:val="F9A026E8"/>
    <w:lvl w:ilvl="0" w:tplc="14683E6C">
      <w:numFmt w:val="bullet"/>
      <w:lvlText w:val=""/>
      <w:lvlJc w:val="left"/>
      <w:pPr>
        <w:ind w:left="483" w:hanging="188"/>
      </w:pPr>
      <w:rPr>
        <w:rFonts w:ascii="Symbol" w:eastAsia="Symbol" w:hAnsi="Symbol" w:cs="Symbol" w:hint="default"/>
        <w:b w:val="0"/>
        <w:bCs w:val="0"/>
        <w:i w:val="0"/>
        <w:iCs w:val="0"/>
        <w:spacing w:val="0"/>
        <w:w w:val="100"/>
        <w:sz w:val="20"/>
        <w:szCs w:val="20"/>
        <w:lang w:val="en-US" w:eastAsia="en-US" w:bidi="ar-SA"/>
      </w:rPr>
    </w:lvl>
    <w:lvl w:ilvl="1" w:tplc="30CC7EE0">
      <w:numFmt w:val="bullet"/>
      <w:lvlText w:val="•"/>
      <w:lvlJc w:val="left"/>
      <w:pPr>
        <w:ind w:left="1153" w:hanging="188"/>
      </w:pPr>
      <w:rPr>
        <w:rFonts w:hint="default"/>
        <w:lang w:val="en-US" w:eastAsia="en-US" w:bidi="ar-SA"/>
      </w:rPr>
    </w:lvl>
    <w:lvl w:ilvl="2" w:tplc="D6425C40">
      <w:numFmt w:val="bullet"/>
      <w:lvlText w:val="•"/>
      <w:lvlJc w:val="left"/>
      <w:pPr>
        <w:ind w:left="1827" w:hanging="188"/>
      </w:pPr>
      <w:rPr>
        <w:rFonts w:hint="default"/>
        <w:lang w:val="en-US" w:eastAsia="en-US" w:bidi="ar-SA"/>
      </w:rPr>
    </w:lvl>
    <w:lvl w:ilvl="3" w:tplc="743473AE">
      <w:numFmt w:val="bullet"/>
      <w:lvlText w:val="•"/>
      <w:lvlJc w:val="left"/>
      <w:pPr>
        <w:ind w:left="2501" w:hanging="188"/>
      </w:pPr>
      <w:rPr>
        <w:rFonts w:hint="default"/>
        <w:lang w:val="en-US" w:eastAsia="en-US" w:bidi="ar-SA"/>
      </w:rPr>
    </w:lvl>
    <w:lvl w:ilvl="4" w:tplc="56E4BF8E">
      <w:numFmt w:val="bullet"/>
      <w:lvlText w:val="•"/>
      <w:lvlJc w:val="left"/>
      <w:pPr>
        <w:ind w:left="3175" w:hanging="188"/>
      </w:pPr>
      <w:rPr>
        <w:rFonts w:hint="default"/>
        <w:lang w:val="en-US" w:eastAsia="en-US" w:bidi="ar-SA"/>
      </w:rPr>
    </w:lvl>
    <w:lvl w:ilvl="5" w:tplc="2C6C89D0">
      <w:numFmt w:val="bullet"/>
      <w:lvlText w:val="•"/>
      <w:lvlJc w:val="left"/>
      <w:pPr>
        <w:ind w:left="3849" w:hanging="188"/>
      </w:pPr>
      <w:rPr>
        <w:rFonts w:hint="default"/>
        <w:lang w:val="en-US" w:eastAsia="en-US" w:bidi="ar-SA"/>
      </w:rPr>
    </w:lvl>
    <w:lvl w:ilvl="6" w:tplc="9258B7B4">
      <w:numFmt w:val="bullet"/>
      <w:lvlText w:val="•"/>
      <w:lvlJc w:val="left"/>
      <w:pPr>
        <w:ind w:left="4523" w:hanging="188"/>
      </w:pPr>
      <w:rPr>
        <w:rFonts w:hint="default"/>
        <w:lang w:val="en-US" w:eastAsia="en-US" w:bidi="ar-SA"/>
      </w:rPr>
    </w:lvl>
    <w:lvl w:ilvl="7" w:tplc="EC4E0A7C">
      <w:numFmt w:val="bullet"/>
      <w:lvlText w:val="•"/>
      <w:lvlJc w:val="left"/>
      <w:pPr>
        <w:ind w:left="5197" w:hanging="188"/>
      </w:pPr>
      <w:rPr>
        <w:rFonts w:hint="default"/>
        <w:lang w:val="en-US" w:eastAsia="en-US" w:bidi="ar-SA"/>
      </w:rPr>
    </w:lvl>
    <w:lvl w:ilvl="8" w:tplc="929001C4">
      <w:numFmt w:val="bullet"/>
      <w:lvlText w:val="•"/>
      <w:lvlJc w:val="left"/>
      <w:pPr>
        <w:ind w:left="5871" w:hanging="188"/>
      </w:pPr>
      <w:rPr>
        <w:rFonts w:hint="default"/>
        <w:lang w:val="en-US" w:eastAsia="en-US" w:bidi="ar-SA"/>
      </w:rPr>
    </w:lvl>
  </w:abstractNum>
  <w:abstractNum w:abstractNumId="53" w15:restartNumberingAfterBreak="0">
    <w:nsid w:val="4F301905"/>
    <w:multiLevelType w:val="multilevel"/>
    <w:tmpl w:val="1A685F74"/>
    <w:lvl w:ilvl="0">
      <w:start w:val="4"/>
      <w:numFmt w:val="upperLetter"/>
      <w:lvlText w:val="%1"/>
      <w:lvlJc w:val="left"/>
      <w:pPr>
        <w:ind w:left="1430" w:hanging="404"/>
        <w:jc w:val="left"/>
      </w:pPr>
      <w:rPr>
        <w:rFonts w:hint="default"/>
        <w:lang w:val="en-US" w:eastAsia="en-US" w:bidi="ar-SA"/>
      </w:rPr>
    </w:lvl>
    <w:lvl w:ilvl="1">
      <w:start w:val="1"/>
      <w:numFmt w:val="decimal"/>
      <w:lvlText w:val="%1.%2"/>
      <w:lvlJc w:val="left"/>
      <w:pPr>
        <w:ind w:left="1430" w:hanging="404"/>
        <w:jc w:val="left"/>
      </w:pPr>
      <w:rPr>
        <w:rFonts w:ascii="Arial" w:eastAsia="Arial" w:hAnsi="Arial" w:cs="Arial" w:hint="default"/>
        <w:b w:val="0"/>
        <w:bCs w:val="0"/>
        <w:i w:val="0"/>
        <w:iCs w:val="0"/>
        <w:spacing w:val="-1"/>
        <w:w w:val="99"/>
        <w:sz w:val="22"/>
        <w:szCs w:val="22"/>
        <w:lang w:val="en-US" w:eastAsia="en-US" w:bidi="ar-SA"/>
      </w:rPr>
    </w:lvl>
    <w:lvl w:ilvl="2">
      <w:start w:val="1"/>
      <w:numFmt w:val="decimal"/>
      <w:lvlText w:val="%1.%2.%3"/>
      <w:lvlJc w:val="left"/>
      <w:pPr>
        <w:ind w:left="2280" w:hanging="721"/>
        <w:jc w:val="left"/>
      </w:pPr>
      <w:rPr>
        <w:rFonts w:ascii="Arial" w:eastAsia="Arial" w:hAnsi="Arial" w:cs="Arial" w:hint="default"/>
        <w:b w:val="0"/>
        <w:bCs w:val="0"/>
        <w:i w:val="0"/>
        <w:iCs w:val="0"/>
        <w:spacing w:val="-1"/>
        <w:w w:val="99"/>
        <w:sz w:val="22"/>
        <w:szCs w:val="22"/>
        <w:lang w:val="en-US" w:eastAsia="en-US" w:bidi="ar-SA"/>
      </w:rPr>
    </w:lvl>
    <w:lvl w:ilvl="3">
      <w:numFmt w:val="bullet"/>
      <w:lvlText w:val="•"/>
      <w:lvlJc w:val="left"/>
      <w:pPr>
        <w:ind w:left="4066" w:hanging="721"/>
      </w:pPr>
      <w:rPr>
        <w:rFonts w:hint="default"/>
        <w:lang w:val="en-US" w:eastAsia="en-US" w:bidi="ar-SA"/>
      </w:rPr>
    </w:lvl>
    <w:lvl w:ilvl="4">
      <w:numFmt w:val="bullet"/>
      <w:lvlText w:val="•"/>
      <w:lvlJc w:val="left"/>
      <w:pPr>
        <w:ind w:left="4960" w:hanging="721"/>
      </w:pPr>
      <w:rPr>
        <w:rFonts w:hint="default"/>
        <w:lang w:val="en-US" w:eastAsia="en-US" w:bidi="ar-SA"/>
      </w:rPr>
    </w:lvl>
    <w:lvl w:ilvl="5">
      <w:numFmt w:val="bullet"/>
      <w:lvlText w:val="•"/>
      <w:lvlJc w:val="left"/>
      <w:pPr>
        <w:ind w:left="5853" w:hanging="721"/>
      </w:pPr>
      <w:rPr>
        <w:rFonts w:hint="default"/>
        <w:lang w:val="en-US" w:eastAsia="en-US" w:bidi="ar-SA"/>
      </w:rPr>
    </w:lvl>
    <w:lvl w:ilvl="6">
      <w:numFmt w:val="bullet"/>
      <w:lvlText w:val="•"/>
      <w:lvlJc w:val="left"/>
      <w:pPr>
        <w:ind w:left="6746" w:hanging="721"/>
      </w:pPr>
      <w:rPr>
        <w:rFonts w:hint="default"/>
        <w:lang w:val="en-US" w:eastAsia="en-US" w:bidi="ar-SA"/>
      </w:rPr>
    </w:lvl>
    <w:lvl w:ilvl="7">
      <w:numFmt w:val="bullet"/>
      <w:lvlText w:val="•"/>
      <w:lvlJc w:val="left"/>
      <w:pPr>
        <w:ind w:left="7640" w:hanging="721"/>
      </w:pPr>
      <w:rPr>
        <w:rFonts w:hint="default"/>
        <w:lang w:val="en-US" w:eastAsia="en-US" w:bidi="ar-SA"/>
      </w:rPr>
    </w:lvl>
    <w:lvl w:ilvl="8">
      <w:numFmt w:val="bullet"/>
      <w:lvlText w:val="•"/>
      <w:lvlJc w:val="left"/>
      <w:pPr>
        <w:ind w:left="8533" w:hanging="721"/>
      </w:pPr>
      <w:rPr>
        <w:rFonts w:hint="default"/>
        <w:lang w:val="en-US" w:eastAsia="en-US" w:bidi="ar-SA"/>
      </w:rPr>
    </w:lvl>
  </w:abstractNum>
  <w:abstractNum w:abstractNumId="54" w15:restartNumberingAfterBreak="0">
    <w:nsid w:val="4FD02F6A"/>
    <w:multiLevelType w:val="hybridMultilevel"/>
    <w:tmpl w:val="5142DF04"/>
    <w:lvl w:ilvl="0" w:tplc="3FFC1DB2">
      <w:numFmt w:val="bullet"/>
      <w:lvlText w:val=""/>
      <w:lvlJc w:val="left"/>
      <w:pPr>
        <w:ind w:left="1200" w:hanging="360"/>
      </w:pPr>
      <w:rPr>
        <w:rFonts w:ascii="Symbol" w:eastAsia="Symbol" w:hAnsi="Symbol" w:cs="Symbol" w:hint="default"/>
        <w:spacing w:val="0"/>
        <w:w w:val="99"/>
        <w:lang w:val="en-US" w:eastAsia="en-US" w:bidi="ar-SA"/>
      </w:rPr>
    </w:lvl>
    <w:lvl w:ilvl="1" w:tplc="7F9E2F1A">
      <w:numFmt w:val="bullet"/>
      <w:lvlText w:val="•"/>
      <w:lvlJc w:val="left"/>
      <w:pPr>
        <w:ind w:left="2112" w:hanging="360"/>
      </w:pPr>
      <w:rPr>
        <w:rFonts w:hint="default"/>
        <w:lang w:val="en-US" w:eastAsia="en-US" w:bidi="ar-SA"/>
      </w:rPr>
    </w:lvl>
    <w:lvl w:ilvl="2" w:tplc="5A4EB5A6">
      <w:numFmt w:val="bullet"/>
      <w:lvlText w:val="•"/>
      <w:lvlJc w:val="left"/>
      <w:pPr>
        <w:ind w:left="3024" w:hanging="360"/>
      </w:pPr>
      <w:rPr>
        <w:rFonts w:hint="default"/>
        <w:lang w:val="en-US" w:eastAsia="en-US" w:bidi="ar-SA"/>
      </w:rPr>
    </w:lvl>
    <w:lvl w:ilvl="3" w:tplc="267E261A">
      <w:numFmt w:val="bullet"/>
      <w:lvlText w:val="•"/>
      <w:lvlJc w:val="left"/>
      <w:pPr>
        <w:ind w:left="3936" w:hanging="360"/>
      </w:pPr>
      <w:rPr>
        <w:rFonts w:hint="default"/>
        <w:lang w:val="en-US" w:eastAsia="en-US" w:bidi="ar-SA"/>
      </w:rPr>
    </w:lvl>
    <w:lvl w:ilvl="4" w:tplc="3984E568">
      <w:numFmt w:val="bullet"/>
      <w:lvlText w:val="•"/>
      <w:lvlJc w:val="left"/>
      <w:pPr>
        <w:ind w:left="4848" w:hanging="360"/>
      </w:pPr>
      <w:rPr>
        <w:rFonts w:hint="default"/>
        <w:lang w:val="en-US" w:eastAsia="en-US" w:bidi="ar-SA"/>
      </w:rPr>
    </w:lvl>
    <w:lvl w:ilvl="5" w:tplc="4EBE3D3E">
      <w:numFmt w:val="bullet"/>
      <w:lvlText w:val="•"/>
      <w:lvlJc w:val="left"/>
      <w:pPr>
        <w:ind w:left="5760" w:hanging="360"/>
      </w:pPr>
      <w:rPr>
        <w:rFonts w:hint="default"/>
        <w:lang w:val="en-US" w:eastAsia="en-US" w:bidi="ar-SA"/>
      </w:rPr>
    </w:lvl>
    <w:lvl w:ilvl="6" w:tplc="F61C3E8E">
      <w:numFmt w:val="bullet"/>
      <w:lvlText w:val="•"/>
      <w:lvlJc w:val="left"/>
      <w:pPr>
        <w:ind w:left="6672" w:hanging="360"/>
      </w:pPr>
      <w:rPr>
        <w:rFonts w:hint="default"/>
        <w:lang w:val="en-US" w:eastAsia="en-US" w:bidi="ar-SA"/>
      </w:rPr>
    </w:lvl>
    <w:lvl w:ilvl="7" w:tplc="2CF4E9EE">
      <w:numFmt w:val="bullet"/>
      <w:lvlText w:val="•"/>
      <w:lvlJc w:val="left"/>
      <w:pPr>
        <w:ind w:left="7584" w:hanging="360"/>
      </w:pPr>
      <w:rPr>
        <w:rFonts w:hint="default"/>
        <w:lang w:val="en-US" w:eastAsia="en-US" w:bidi="ar-SA"/>
      </w:rPr>
    </w:lvl>
    <w:lvl w:ilvl="8" w:tplc="0DA835BE">
      <w:numFmt w:val="bullet"/>
      <w:lvlText w:val="•"/>
      <w:lvlJc w:val="left"/>
      <w:pPr>
        <w:ind w:left="8496" w:hanging="360"/>
      </w:pPr>
      <w:rPr>
        <w:rFonts w:hint="default"/>
        <w:lang w:val="en-US" w:eastAsia="en-US" w:bidi="ar-SA"/>
      </w:rPr>
    </w:lvl>
  </w:abstractNum>
  <w:abstractNum w:abstractNumId="55" w15:restartNumberingAfterBreak="0">
    <w:nsid w:val="51532071"/>
    <w:multiLevelType w:val="hybridMultilevel"/>
    <w:tmpl w:val="9520581E"/>
    <w:lvl w:ilvl="0" w:tplc="F152930E">
      <w:numFmt w:val="bullet"/>
      <w:lvlText w:val=""/>
      <w:lvlJc w:val="left"/>
      <w:pPr>
        <w:ind w:left="483" w:hanging="188"/>
      </w:pPr>
      <w:rPr>
        <w:rFonts w:ascii="Symbol" w:eastAsia="Symbol" w:hAnsi="Symbol" w:cs="Symbol" w:hint="default"/>
        <w:b w:val="0"/>
        <w:bCs w:val="0"/>
        <w:i w:val="0"/>
        <w:iCs w:val="0"/>
        <w:spacing w:val="0"/>
        <w:w w:val="100"/>
        <w:sz w:val="20"/>
        <w:szCs w:val="20"/>
        <w:lang w:val="en-US" w:eastAsia="en-US" w:bidi="ar-SA"/>
      </w:rPr>
    </w:lvl>
    <w:lvl w:ilvl="1" w:tplc="041CECF2">
      <w:numFmt w:val="bullet"/>
      <w:lvlText w:val="•"/>
      <w:lvlJc w:val="left"/>
      <w:pPr>
        <w:ind w:left="1153" w:hanging="188"/>
      </w:pPr>
      <w:rPr>
        <w:rFonts w:hint="default"/>
        <w:lang w:val="en-US" w:eastAsia="en-US" w:bidi="ar-SA"/>
      </w:rPr>
    </w:lvl>
    <w:lvl w:ilvl="2" w:tplc="8F0AF278">
      <w:numFmt w:val="bullet"/>
      <w:lvlText w:val="•"/>
      <w:lvlJc w:val="left"/>
      <w:pPr>
        <w:ind w:left="1827" w:hanging="188"/>
      </w:pPr>
      <w:rPr>
        <w:rFonts w:hint="default"/>
        <w:lang w:val="en-US" w:eastAsia="en-US" w:bidi="ar-SA"/>
      </w:rPr>
    </w:lvl>
    <w:lvl w:ilvl="3" w:tplc="6E589A30">
      <w:numFmt w:val="bullet"/>
      <w:lvlText w:val="•"/>
      <w:lvlJc w:val="left"/>
      <w:pPr>
        <w:ind w:left="2501" w:hanging="188"/>
      </w:pPr>
      <w:rPr>
        <w:rFonts w:hint="default"/>
        <w:lang w:val="en-US" w:eastAsia="en-US" w:bidi="ar-SA"/>
      </w:rPr>
    </w:lvl>
    <w:lvl w:ilvl="4" w:tplc="CF6A9DE0">
      <w:numFmt w:val="bullet"/>
      <w:lvlText w:val="•"/>
      <w:lvlJc w:val="left"/>
      <w:pPr>
        <w:ind w:left="3175" w:hanging="188"/>
      </w:pPr>
      <w:rPr>
        <w:rFonts w:hint="default"/>
        <w:lang w:val="en-US" w:eastAsia="en-US" w:bidi="ar-SA"/>
      </w:rPr>
    </w:lvl>
    <w:lvl w:ilvl="5" w:tplc="228EED9A">
      <w:numFmt w:val="bullet"/>
      <w:lvlText w:val="•"/>
      <w:lvlJc w:val="left"/>
      <w:pPr>
        <w:ind w:left="3849" w:hanging="188"/>
      </w:pPr>
      <w:rPr>
        <w:rFonts w:hint="default"/>
        <w:lang w:val="en-US" w:eastAsia="en-US" w:bidi="ar-SA"/>
      </w:rPr>
    </w:lvl>
    <w:lvl w:ilvl="6" w:tplc="E48A1AA8">
      <w:numFmt w:val="bullet"/>
      <w:lvlText w:val="•"/>
      <w:lvlJc w:val="left"/>
      <w:pPr>
        <w:ind w:left="4523" w:hanging="188"/>
      </w:pPr>
      <w:rPr>
        <w:rFonts w:hint="default"/>
        <w:lang w:val="en-US" w:eastAsia="en-US" w:bidi="ar-SA"/>
      </w:rPr>
    </w:lvl>
    <w:lvl w:ilvl="7" w:tplc="0726B7DE">
      <w:numFmt w:val="bullet"/>
      <w:lvlText w:val="•"/>
      <w:lvlJc w:val="left"/>
      <w:pPr>
        <w:ind w:left="5197" w:hanging="188"/>
      </w:pPr>
      <w:rPr>
        <w:rFonts w:hint="default"/>
        <w:lang w:val="en-US" w:eastAsia="en-US" w:bidi="ar-SA"/>
      </w:rPr>
    </w:lvl>
    <w:lvl w:ilvl="8" w:tplc="54D60478">
      <w:numFmt w:val="bullet"/>
      <w:lvlText w:val="•"/>
      <w:lvlJc w:val="left"/>
      <w:pPr>
        <w:ind w:left="5871" w:hanging="188"/>
      </w:pPr>
      <w:rPr>
        <w:rFonts w:hint="default"/>
        <w:lang w:val="en-US" w:eastAsia="en-US" w:bidi="ar-SA"/>
      </w:rPr>
    </w:lvl>
  </w:abstractNum>
  <w:abstractNum w:abstractNumId="56" w15:restartNumberingAfterBreak="0">
    <w:nsid w:val="547C6A0A"/>
    <w:multiLevelType w:val="hybridMultilevel"/>
    <w:tmpl w:val="8AA44326"/>
    <w:lvl w:ilvl="0" w:tplc="81540984">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6CBCFB0A">
      <w:numFmt w:val="bullet"/>
      <w:lvlText w:val="•"/>
      <w:lvlJc w:val="left"/>
      <w:pPr>
        <w:ind w:left="2112" w:hanging="360"/>
      </w:pPr>
      <w:rPr>
        <w:rFonts w:hint="default"/>
        <w:lang w:val="en-US" w:eastAsia="en-US" w:bidi="ar-SA"/>
      </w:rPr>
    </w:lvl>
    <w:lvl w:ilvl="2" w:tplc="5F00FCFC">
      <w:numFmt w:val="bullet"/>
      <w:lvlText w:val="•"/>
      <w:lvlJc w:val="left"/>
      <w:pPr>
        <w:ind w:left="3024" w:hanging="360"/>
      </w:pPr>
      <w:rPr>
        <w:rFonts w:hint="default"/>
        <w:lang w:val="en-US" w:eastAsia="en-US" w:bidi="ar-SA"/>
      </w:rPr>
    </w:lvl>
    <w:lvl w:ilvl="3" w:tplc="E640E2DA">
      <w:numFmt w:val="bullet"/>
      <w:lvlText w:val="•"/>
      <w:lvlJc w:val="left"/>
      <w:pPr>
        <w:ind w:left="3936" w:hanging="360"/>
      </w:pPr>
      <w:rPr>
        <w:rFonts w:hint="default"/>
        <w:lang w:val="en-US" w:eastAsia="en-US" w:bidi="ar-SA"/>
      </w:rPr>
    </w:lvl>
    <w:lvl w:ilvl="4" w:tplc="822C4E60">
      <w:numFmt w:val="bullet"/>
      <w:lvlText w:val="•"/>
      <w:lvlJc w:val="left"/>
      <w:pPr>
        <w:ind w:left="4848" w:hanging="360"/>
      </w:pPr>
      <w:rPr>
        <w:rFonts w:hint="default"/>
        <w:lang w:val="en-US" w:eastAsia="en-US" w:bidi="ar-SA"/>
      </w:rPr>
    </w:lvl>
    <w:lvl w:ilvl="5" w:tplc="37C29F4E">
      <w:numFmt w:val="bullet"/>
      <w:lvlText w:val="•"/>
      <w:lvlJc w:val="left"/>
      <w:pPr>
        <w:ind w:left="5760" w:hanging="360"/>
      </w:pPr>
      <w:rPr>
        <w:rFonts w:hint="default"/>
        <w:lang w:val="en-US" w:eastAsia="en-US" w:bidi="ar-SA"/>
      </w:rPr>
    </w:lvl>
    <w:lvl w:ilvl="6" w:tplc="E6F6F360">
      <w:numFmt w:val="bullet"/>
      <w:lvlText w:val="•"/>
      <w:lvlJc w:val="left"/>
      <w:pPr>
        <w:ind w:left="6672" w:hanging="360"/>
      </w:pPr>
      <w:rPr>
        <w:rFonts w:hint="default"/>
        <w:lang w:val="en-US" w:eastAsia="en-US" w:bidi="ar-SA"/>
      </w:rPr>
    </w:lvl>
    <w:lvl w:ilvl="7" w:tplc="7432470A">
      <w:numFmt w:val="bullet"/>
      <w:lvlText w:val="•"/>
      <w:lvlJc w:val="left"/>
      <w:pPr>
        <w:ind w:left="7584" w:hanging="360"/>
      </w:pPr>
      <w:rPr>
        <w:rFonts w:hint="default"/>
        <w:lang w:val="en-US" w:eastAsia="en-US" w:bidi="ar-SA"/>
      </w:rPr>
    </w:lvl>
    <w:lvl w:ilvl="8" w:tplc="AA02A84E">
      <w:numFmt w:val="bullet"/>
      <w:lvlText w:val="•"/>
      <w:lvlJc w:val="left"/>
      <w:pPr>
        <w:ind w:left="8496" w:hanging="360"/>
      </w:pPr>
      <w:rPr>
        <w:rFonts w:hint="default"/>
        <w:lang w:val="en-US" w:eastAsia="en-US" w:bidi="ar-SA"/>
      </w:rPr>
    </w:lvl>
  </w:abstractNum>
  <w:abstractNum w:abstractNumId="57" w15:restartNumberingAfterBreak="0">
    <w:nsid w:val="55137F3E"/>
    <w:multiLevelType w:val="multilevel"/>
    <w:tmpl w:val="9AA67360"/>
    <w:lvl w:ilvl="0">
      <w:start w:val="7"/>
      <w:numFmt w:val="upperLetter"/>
      <w:lvlText w:val="%1"/>
      <w:lvlJc w:val="left"/>
      <w:pPr>
        <w:ind w:left="1009" w:hanging="530"/>
        <w:jc w:val="left"/>
      </w:pPr>
      <w:rPr>
        <w:rFonts w:hint="default"/>
        <w:lang w:val="en-US" w:eastAsia="en-US" w:bidi="ar-SA"/>
      </w:rPr>
    </w:lvl>
    <w:lvl w:ilvl="1">
      <w:start w:val="1"/>
      <w:numFmt w:val="decimal"/>
      <w:lvlText w:val="%1.%2"/>
      <w:lvlJc w:val="left"/>
      <w:pPr>
        <w:ind w:left="1009" w:hanging="530"/>
        <w:jc w:val="left"/>
      </w:pPr>
      <w:rPr>
        <w:rFonts w:ascii="Arial" w:eastAsia="Arial" w:hAnsi="Arial" w:cs="Arial" w:hint="default"/>
        <w:b/>
        <w:bCs/>
        <w:i w:val="0"/>
        <w:iCs w:val="0"/>
        <w:spacing w:val="-1"/>
        <w:w w:val="99"/>
        <w:sz w:val="28"/>
        <w:szCs w:val="28"/>
        <w:lang w:val="en-US" w:eastAsia="en-US" w:bidi="ar-SA"/>
      </w:rPr>
    </w:lvl>
    <w:lvl w:ilvl="2">
      <w:start w:val="1"/>
      <w:numFmt w:val="decimal"/>
      <w:lvlText w:val="%1.%2.%3"/>
      <w:lvlJc w:val="left"/>
      <w:pPr>
        <w:ind w:left="1200" w:hanging="720"/>
        <w:jc w:val="left"/>
      </w:pPr>
      <w:rPr>
        <w:rFonts w:ascii="Arial" w:eastAsia="Arial" w:hAnsi="Arial" w:cs="Arial" w:hint="default"/>
        <w:b/>
        <w:bCs/>
        <w:i w:val="0"/>
        <w:iCs w:val="0"/>
        <w:spacing w:val="-1"/>
        <w:w w:val="100"/>
        <w:sz w:val="24"/>
        <w:szCs w:val="24"/>
        <w:lang w:val="en-US" w:eastAsia="en-US" w:bidi="ar-SA"/>
      </w:rPr>
    </w:lvl>
    <w:lvl w:ilvl="3">
      <w:start w:val="1"/>
      <w:numFmt w:val="decimal"/>
      <w:lvlText w:val="%4."/>
      <w:lvlJc w:val="left"/>
      <w:pPr>
        <w:ind w:left="1200" w:hanging="360"/>
        <w:jc w:val="left"/>
      </w:pPr>
      <w:rPr>
        <w:rFonts w:ascii="Arial" w:eastAsia="Arial" w:hAnsi="Arial" w:cs="Arial" w:hint="default"/>
        <w:b w:val="0"/>
        <w:bCs w:val="0"/>
        <w:i w:val="0"/>
        <w:iCs w:val="0"/>
        <w:spacing w:val="0"/>
        <w:w w:val="99"/>
        <w:sz w:val="22"/>
        <w:szCs w:val="22"/>
        <w:lang w:val="en-US" w:eastAsia="en-US" w:bidi="ar-SA"/>
      </w:rPr>
    </w:lvl>
    <w:lvl w:ilvl="4">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5">
      <w:numFmt w:val="bullet"/>
      <w:lvlText w:val="o"/>
      <w:lvlJc w:val="left"/>
      <w:pPr>
        <w:ind w:left="1920" w:hanging="360"/>
      </w:pPr>
      <w:rPr>
        <w:rFonts w:ascii="Courier New" w:eastAsia="Courier New" w:hAnsi="Courier New" w:cs="Courier New" w:hint="default"/>
        <w:b w:val="0"/>
        <w:bCs w:val="0"/>
        <w:i w:val="0"/>
        <w:iCs w:val="0"/>
        <w:spacing w:val="0"/>
        <w:w w:val="99"/>
        <w:sz w:val="22"/>
        <w:szCs w:val="22"/>
        <w:lang w:val="en-US" w:eastAsia="en-US" w:bidi="ar-SA"/>
      </w:rPr>
    </w:lvl>
    <w:lvl w:ilvl="6">
      <w:numFmt w:val="bullet"/>
      <w:lvlText w:val="•"/>
      <w:lvlJc w:val="left"/>
      <w:pPr>
        <w:ind w:left="5923" w:hanging="360"/>
      </w:pPr>
      <w:rPr>
        <w:rFonts w:hint="default"/>
        <w:lang w:val="en-US" w:eastAsia="en-US" w:bidi="ar-SA"/>
      </w:rPr>
    </w:lvl>
    <w:lvl w:ilvl="7">
      <w:numFmt w:val="bullet"/>
      <w:lvlText w:val="•"/>
      <w:lvlJc w:val="left"/>
      <w:pPr>
        <w:ind w:left="6924" w:hanging="360"/>
      </w:pPr>
      <w:rPr>
        <w:rFonts w:hint="default"/>
        <w:lang w:val="en-US" w:eastAsia="en-US" w:bidi="ar-SA"/>
      </w:rPr>
    </w:lvl>
    <w:lvl w:ilvl="8">
      <w:numFmt w:val="bullet"/>
      <w:lvlText w:val="•"/>
      <w:lvlJc w:val="left"/>
      <w:pPr>
        <w:ind w:left="7924" w:hanging="360"/>
      </w:pPr>
      <w:rPr>
        <w:rFonts w:hint="default"/>
        <w:lang w:val="en-US" w:eastAsia="en-US" w:bidi="ar-SA"/>
      </w:rPr>
    </w:lvl>
  </w:abstractNum>
  <w:abstractNum w:abstractNumId="58" w15:restartNumberingAfterBreak="0">
    <w:nsid w:val="55282C25"/>
    <w:multiLevelType w:val="multilevel"/>
    <w:tmpl w:val="767CDE84"/>
    <w:lvl w:ilvl="0">
      <w:start w:val="2"/>
      <w:numFmt w:val="upperLetter"/>
      <w:lvlText w:val="%1"/>
      <w:lvlJc w:val="left"/>
      <w:pPr>
        <w:ind w:left="993" w:hanging="514"/>
        <w:jc w:val="left"/>
      </w:pPr>
      <w:rPr>
        <w:rFonts w:hint="default"/>
        <w:lang w:val="en-US" w:eastAsia="en-US" w:bidi="ar-SA"/>
      </w:rPr>
    </w:lvl>
    <w:lvl w:ilvl="1">
      <w:start w:val="1"/>
      <w:numFmt w:val="decimal"/>
      <w:lvlText w:val="%1.%2"/>
      <w:lvlJc w:val="left"/>
      <w:pPr>
        <w:ind w:left="993" w:hanging="514"/>
        <w:jc w:val="left"/>
      </w:pPr>
      <w:rPr>
        <w:rFonts w:ascii="Arial" w:eastAsia="Arial" w:hAnsi="Arial" w:cs="Arial" w:hint="default"/>
        <w:b/>
        <w:bCs/>
        <w:i w:val="0"/>
        <w:iCs w:val="0"/>
        <w:spacing w:val="-1"/>
        <w:w w:val="99"/>
        <w:sz w:val="28"/>
        <w:szCs w:val="28"/>
        <w:lang w:val="en-US" w:eastAsia="en-US" w:bidi="ar-SA"/>
      </w:rPr>
    </w:lvl>
    <w:lvl w:ilvl="2">
      <w:start w:val="1"/>
      <w:numFmt w:val="decimal"/>
      <w:lvlText w:val="%1.%2.%3"/>
      <w:lvlJc w:val="left"/>
      <w:pPr>
        <w:ind w:left="480" w:hanging="720"/>
        <w:jc w:val="left"/>
      </w:pPr>
      <w:rPr>
        <w:rFonts w:ascii="Arial" w:eastAsia="Arial" w:hAnsi="Arial" w:cs="Arial" w:hint="default"/>
        <w:b/>
        <w:bCs/>
        <w:i w:val="0"/>
        <w:iCs w:val="0"/>
        <w:spacing w:val="-1"/>
        <w:w w:val="100"/>
        <w:sz w:val="24"/>
        <w:szCs w:val="24"/>
        <w:lang w:val="en-US" w:eastAsia="en-US" w:bidi="ar-SA"/>
      </w:rPr>
    </w:lvl>
    <w:lvl w:ilvl="3">
      <w:numFmt w:val="bullet"/>
      <w:lvlText w:val="•"/>
      <w:lvlJc w:val="left"/>
      <w:pPr>
        <w:ind w:left="2983" w:hanging="720"/>
      </w:pPr>
      <w:rPr>
        <w:rFonts w:hint="default"/>
        <w:lang w:val="en-US" w:eastAsia="en-US" w:bidi="ar-SA"/>
      </w:rPr>
    </w:lvl>
    <w:lvl w:ilvl="4">
      <w:numFmt w:val="bullet"/>
      <w:lvlText w:val="•"/>
      <w:lvlJc w:val="left"/>
      <w:pPr>
        <w:ind w:left="3975" w:hanging="720"/>
      </w:pPr>
      <w:rPr>
        <w:rFonts w:hint="default"/>
        <w:lang w:val="en-US" w:eastAsia="en-US" w:bidi="ar-SA"/>
      </w:rPr>
    </w:lvl>
    <w:lvl w:ilvl="5">
      <w:numFmt w:val="bullet"/>
      <w:lvlText w:val="•"/>
      <w:lvlJc w:val="left"/>
      <w:pPr>
        <w:ind w:left="4967" w:hanging="720"/>
      </w:pPr>
      <w:rPr>
        <w:rFonts w:hint="default"/>
        <w:lang w:val="en-US" w:eastAsia="en-US" w:bidi="ar-SA"/>
      </w:rPr>
    </w:lvl>
    <w:lvl w:ilvl="6">
      <w:numFmt w:val="bullet"/>
      <w:lvlText w:val="•"/>
      <w:lvlJc w:val="left"/>
      <w:pPr>
        <w:ind w:left="5959" w:hanging="720"/>
      </w:pPr>
      <w:rPr>
        <w:rFonts w:hint="default"/>
        <w:lang w:val="en-US" w:eastAsia="en-US" w:bidi="ar-SA"/>
      </w:rPr>
    </w:lvl>
    <w:lvl w:ilvl="7">
      <w:numFmt w:val="bullet"/>
      <w:lvlText w:val="•"/>
      <w:lvlJc w:val="left"/>
      <w:pPr>
        <w:ind w:left="6950"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59" w15:restartNumberingAfterBreak="0">
    <w:nsid w:val="5558640B"/>
    <w:multiLevelType w:val="multilevel"/>
    <w:tmpl w:val="9EE067DA"/>
    <w:lvl w:ilvl="0">
      <w:start w:val="4"/>
      <w:numFmt w:val="upperLetter"/>
      <w:lvlText w:val="%1"/>
      <w:lvlJc w:val="left"/>
      <w:pPr>
        <w:ind w:left="993" w:hanging="514"/>
        <w:jc w:val="left"/>
      </w:pPr>
      <w:rPr>
        <w:rFonts w:hint="default"/>
        <w:lang w:val="en-US" w:eastAsia="en-US" w:bidi="ar-SA"/>
      </w:rPr>
    </w:lvl>
    <w:lvl w:ilvl="1">
      <w:start w:val="1"/>
      <w:numFmt w:val="decimal"/>
      <w:lvlText w:val="%1.%2"/>
      <w:lvlJc w:val="left"/>
      <w:pPr>
        <w:ind w:left="993" w:hanging="514"/>
        <w:jc w:val="left"/>
      </w:pPr>
      <w:rPr>
        <w:rFonts w:ascii="Arial" w:eastAsia="Arial" w:hAnsi="Arial" w:cs="Arial" w:hint="default"/>
        <w:b/>
        <w:bCs/>
        <w:i w:val="0"/>
        <w:iCs w:val="0"/>
        <w:spacing w:val="-1"/>
        <w:w w:val="99"/>
        <w:sz w:val="28"/>
        <w:szCs w:val="28"/>
        <w:lang w:val="en-US" w:eastAsia="en-US" w:bidi="ar-SA"/>
      </w:rPr>
    </w:lvl>
    <w:lvl w:ilvl="2">
      <w:start w:val="1"/>
      <w:numFmt w:val="decimal"/>
      <w:lvlText w:val="%1.%2.%3"/>
      <w:lvlJc w:val="left"/>
      <w:pPr>
        <w:ind w:left="1200" w:hanging="720"/>
        <w:jc w:val="left"/>
      </w:pPr>
      <w:rPr>
        <w:rFonts w:ascii="Arial" w:eastAsia="Arial" w:hAnsi="Arial" w:cs="Arial" w:hint="default"/>
        <w:b/>
        <w:bCs/>
        <w:i w:val="0"/>
        <w:iCs w:val="0"/>
        <w:spacing w:val="-1"/>
        <w:w w:val="99"/>
        <w:sz w:val="24"/>
        <w:szCs w:val="24"/>
        <w:lang w:val="en-US" w:eastAsia="en-US" w:bidi="ar-SA"/>
      </w:rPr>
    </w:lvl>
    <w:lvl w:ilvl="3">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4108" w:hanging="360"/>
      </w:pPr>
      <w:rPr>
        <w:rFonts w:hint="default"/>
        <w:lang w:val="en-US" w:eastAsia="en-US" w:bidi="ar-SA"/>
      </w:rPr>
    </w:lvl>
    <w:lvl w:ilvl="5">
      <w:numFmt w:val="bullet"/>
      <w:lvlText w:val="•"/>
      <w:lvlJc w:val="left"/>
      <w:pPr>
        <w:ind w:left="5078" w:hanging="360"/>
      </w:pPr>
      <w:rPr>
        <w:rFonts w:hint="default"/>
        <w:lang w:val="en-US" w:eastAsia="en-US" w:bidi="ar-SA"/>
      </w:rPr>
    </w:lvl>
    <w:lvl w:ilvl="6">
      <w:numFmt w:val="bullet"/>
      <w:lvlText w:val="•"/>
      <w:lvlJc w:val="left"/>
      <w:pPr>
        <w:ind w:left="6048" w:hanging="360"/>
      </w:pPr>
      <w:rPr>
        <w:rFonts w:hint="default"/>
        <w:lang w:val="en-US" w:eastAsia="en-US" w:bidi="ar-SA"/>
      </w:rPr>
    </w:lvl>
    <w:lvl w:ilvl="7">
      <w:numFmt w:val="bullet"/>
      <w:lvlText w:val="•"/>
      <w:lvlJc w:val="left"/>
      <w:pPr>
        <w:ind w:left="7017" w:hanging="360"/>
      </w:pPr>
      <w:rPr>
        <w:rFonts w:hint="default"/>
        <w:lang w:val="en-US" w:eastAsia="en-US" w:bidi="ar-SA"/>
      </w:rPr>
    </w:lvl>
    <w:lvl w:ilvl="8">
      <w:numFmt w:val="bullet"/>
      <w:lvlText w:val="•"/>
      <w:lvlJc w:val="left"/>
      <w:pPr>
        <w:ind w:left="7987" w:hanging="360"/>
      </w:pPr>
      <w:rPr>
        <w:rFonts w:hint="default"/>
        <w:lang w:val="en-US" w:eastAsia="en-US" w:bidi="ar-SA"/>
      </w:rPr>
    </w:lvl>
  </w:abstractNum>
  <w:abstractNum w:abstractNumId="60" w15:restartNumberingAfterBreak="0">
    <w:nsid w:val="592C2737"/>
    <w:multiLevelType w:val="hybridMultilevel"/>
    <w:tmpl w:val="4E84B494"/>
    <w:lvl w:ilvl="0" w:tplc="47A6299C">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AA809C94">
      <w:numFmt w:val="bullet"/>
      <w:lvlText w:val="•"/>
      <w:lvlJc w:val="left"/>
      <w:pPr>
        <w:ind w:left="2112" w:hanging="360"/>
      </w:pPr>
      <w:rPr>
        <w:rFonts w:hint="default"/>
        <w:lang w:val="en-US" w:eastAsia="en-US" w:bidi="ar-SA"/>
      </w:rPr>
    </w:lvl>
    <w:lvl w:ilvl="2" w:tplc="854E8B1C">
      <w:numFmt w:val="bullet"/>
      <w:lvlText w:val="•"/>
      <w:lvlJc w:val="left"/>
      <w:pPr>
        <w:ind w:left="3024" w:hanging="360"/>
      </w:pPr>
      <w:rPr>
        <w:rFonts w:hint="default"/>
        <w:lang w:val="en-US" w:eastAsia="en-US" w:bidi="ar-SA"/>
      </w:rPr>
    </w:lvl>
    <w:lvl w:ilvl="3" w:tplc="3948DA52">
      <w:numFmt w:val="bullet"/>
      <w:lvlText w:val="•"/>
      <w:lvlJc w:val="left"/>
      <w:pPr>
        <w:ind w:left="3936" w:hanging="360"/>
      </w:pPr>
      <w:rPr>
        <w:rFonts w:hint="default"/>
        <w:lang w:val="en-US" w:eastAsia="en-US" w:bidi="ar-SA"/>
      </w:rPr>
    </w:lvl>
    <w:lvl w:ilvl="4" w:tplc="12440000">
      <w:numFmt w:val="bullet"/>
      <w:lvlText w:val="•"/>
      <w:lvlJc w:val="left"/>
      <w:pPr>
        <w:ind w:left="4848" w:hanging="360"/>
      </w:pPr>
      <w:rPr>
        <w:rFonts w:hint="default"/>
        <w:lang w:val="en-US" w:eastAsia="en-US" w:bidi="ar-SA"/>
      </w:rPr>
    </w:lvl>
    <w:lvl w:ilvl="5" w:tplc="5442BABC">
      <w:numFmt w:val="bullet"/>
      <w:lvlText w:val="•"/>
      <w:lvlJc w:val="left"/>
      <w:pPr>
        <w:ind w:left="5760" w:hanging="360"/>
      </w:pPr>
      <w:rPr>
        <w:rFonts w:hint="default"/>
        <w:lang w:val="en-US" w:eastAsia="en-US" w:bidi="ar-SA"/>
      </w:rPr>
    </w:lvl>
    <w:lvl w:ilvl="6" w:tplc="2E08525C">
      <w:numFmt w:val="bullet"/>
      <w:lvlText w:val="•"/>
      <w:lvlJc w:val="left"/>
      <w:pPr>
        <w:ind w:left="6672" w:hanging="360"/>
      </w:pPr>
      <w:rPr>
        <w:rFonts w:hint="default"/>
        <w:lang w:val="en-US" w:eastAsia="en-US" w:bidi="ar-SA"/>
      </w:rPr>
    </w:lvl>
    <w:lvl w:ilvl="7" w:tplc="FC8C2FDC">
      <w:numFmt w:val="bullet"/>
      <w:lvlText w:val="•"/>
      <w:lvlJc w:val="left"/>
      <w:pPr>
        <w:ind w:left="7584" w:hanging="360"/>
      </w:pPr>
      <w:rPr>
        <w:rFonts w:hint="default"/>
        <w:lang w:val="en-US" w:eastAsia="en-US" w:bidi="ar-SA"/>
      </w:rPr>
    </w:lvl>
    <w:lvl w:ilvl="8" w:tplc="9B5EF0FC">
      <w:numFmt w:val="bullet"/>
      <w:lvlText w:val="•"/>
      <w:lvlJc w:val="left"/>
      <w:pPr>
        <w:ind w:left="8496" w:hanging="360"/>
      </w:pPr>
      <w:rPr>
        <w:rFonts w:hint="default"/>
        <w:lang w:val="en-US" w:eastAsia="en-US" w:bidi="ar-SA"/>
      </w:rPr>
    </w:lvl>
  </w:abstractNum>
  <w:abstractNum w:abstractNumId="61" w15:restartNumberingAfterBreak="0">
    <w:nsid w:val="5B2C64DD"/>
    <w:multiLevelType w:val="multilevel"/>
    <w:tmpl w:val="768EC112"/>
    <w:lvl w:ilvl="0">
      <w:start w:val="1"/>
      <w:numFmt w:val="upperLetter"/>
      <w:lvlText w:val="%1"/>
      <w:lvlJc w:val="left"/>
      <w:pPr>
        <w:ind w:left="1418" w:hanging="392"/>
        <w:jc w:val="left"/>
      </w:pPr>
      <w:rPr>
        <w:rFonts w:hint="default"/>
        <w:lang w:val="en-US" w:eastAsia="en-US" w:bidi="ar-SA"/>
      </w:rPr>
    </w:lvl>
    <w:lvl w:ilvl="1">
      <w:start w:val="1"/>
      <w:numFmt w:val="decimal"/>
      <w:lvlText w:val="%1.%2"/>
      <w:lvlJc w:val="left"/>
      <w:pPr>
        <w:ind w:left="1418" w:hanging="392"/>
        <w:jc w:val="left"/>
      </w:pPr>
      <w:rPr>
        <w:rFonts w:ascii="Arial" w:eastAsia="Arial" w:hAnsi="Arial" w:cs="Arial" w:hint="default"/>
        <w:b w:val="0"/>
        <w:bCs w:val="0"/>
        <w:i w:val="0"/>
        <w:iCs w:val="0"/>
        <w:spacing w:val="-1"/>
        <w:w w:val="99"/>
        <w:sz w:val="22"/>
        <w:szCs w:val="22"/>
        <w:lang w:val="en-US" w:eastAsia="en-US" w:bidi="ar-SA"/>
      </w:rPr>
    </w:lvl>
    <w:lvl w:ilvl="2">
      <w:numFmt w:val="bullet"/>
      <w:lvlText w:val="•"/>
      <w:lvlJc w:val="left"/>
      <w:pPr>
        <w:ind w:left="3200" w:hanging="392"/>
      </w:pPr>
      <w:rPr>
        <w:rFonts w:hint="default"/>
        <w:lang w:val="en-US" w:eastAsia="en-US" w:bidi="ar-SA"/>
      </w:rPr>
    </w:lvl>
    <w:lvl w:ilvl="3">
      <w:numFmt w:val="bullet"/>
      <w:lvlText w:val="•"/>
      <w:lvlJc w:val="left"/>
      <w:pPr>
        <w:ind w:left="4090" w:hanging="392"/>
      </w:pPr>
      <w:rPr>
        <w:rFonts w:hint="default"/>
        <w:lang w:val="en-US" w:eastAsia="en-US" w:bidi="ar-SA"/>
      </w:rPr>
    </w:lvl>
    <w:lvl w:ilvl="4">
      <w:numFmt w:val="bullet"/>
      <w:lvlText w:val="•"/>
      <w:lvlJc w:val="left"/>
      <w:pPr>
        <w:ind w:left="4980" w:hanging="392"/>
      </w:pPr>
      <w:rPr>
        <w:rFonts w:hint="default"/>
        <w:lang w:val="en-US" w:eastAsia="en-US" w:bidi="ar-SA"/>
      </w:rPr>
    </w:lvl>
    <w:lvl w:ilvl="5">
      <w:numFmt w:val="bullet"/>
      <w:lvlText w:val="•"/>
      <w:lvlJc w:val="left"/>
      <w:pPr>
        <w:ind w:left="5870" w:hanging="392"/>
      </w:pPr>
      <w:rPr>
        <w:rFonts w:hint="default"/>
        <w:lang w:val="en-US" w:eastAsia="en-US" w:bidi="ar-SA"/>
      </w:rPr>
    </w:lvl>
    <w:lvl w:ilvl="6">
      <w:numFmt w:val="bullet"/>
      <w:lvlText w:val="•"/>
      <w:lvlJc w:val="left"/>
      <w:pPr>
        <w:ind w:left="6760" w:hanging="392"/>
      </w:pPr>
      <w:rPr>
        <w:rFonts w:hint="default"/>
        <w:lang w:val="en-US" w:eastAsia="en-US" w:bidi="ar-SA"/>
      </w:rPr>
    </w:lvl>
    <w:lvl w:ilvl="7">
      <w:numFmt w:val="bullet"/>
      <w:lvlText w:val="•"/>
      <w:lvlJc w:val="left"/>
      <w:pPr>
        <w:ind w:left="7650" w:hanging="392"/>
      </w:pPr>
      <w:rPr>
        <w:rFonts w:hint="default"/>
        <w:lang w:val="en-US" w:eastAsia="en-US" w:bidi="ar-SA"/>
      </w:rPr>
    </w:lvl>
    <w:lvl w:ilvl="8">
      <w:numFmt w:val="bullet"/>
      <w:lvlText w:val="•"/>
      <w:lvlJc w:val="left"/>
      <w:pPr>
        <w:ind w:left="8540" w:hanging="392"/>
      </w:pPr>
      <w:rPr>
        <w:rFonts w:hint="default"/>
        <w:lang w:val="en-US" w:eastAsia="en-US" w:bidi="ar-SA"/>
      </w:rPr>
    </w:lvl>
  </w:abstractNum>
  <w:abstractNum w:abstractNumId="62" w15:restartNumberingAfterBreak="0">
    <w:nsid w:val="5BED58A8"/>
    <w:multiLevelType w:val="hybridMultilevel"/>
    <w:tmpl w:val="EDA6853C"/>
    <w:lvl w:ilvl="0" w:tplc="F4CCD0CE">
      <w:numFmt w:val="bullet"/>
      <w:lvlText w:val=""/>
      <w:lvlJc w:val="left"/>
      <w:pPr>
        <w:ind w:left="1741" w:hanging="360"/>
      </w:pPr>
      <w:rPr>
        <w:rFonts w:ascii="Symbol" w:eastAsia="Symbol" w:hAnsi="Symbol" w:cs="Symbol" w:hint="default"/>
        <w:b w:val="0"/>
        <w:bCs w:val="0"/>
        <w:i w:val="0"/>
        <w:iCs w:val="0"/>
        <w:spacing w:val="0"/>
        <w:w w:val="99"/>
        <w:sz w:val="22"/>
        <w:szCs w:val="22"/>
        <w:lang w:val="en-US" w:eastAsia="en-US" w:bidi="ar-SA"/>
      </w:rPr>
    </w:lvl>
    <w:lvl w:ilvl="1" w:tplc="11CC11E4">
      <w:numFmt w:val="bullet"/>
      <w:lvlText w:val="•"/>
      <w:lvlJc w:val="left"/>
      <w:pPr>
        <w:ind w:left="1893" w:hanging="360"/>
      </w:pPr>
      <w:rPr>
        <w:rFonts w:hint="default"/>
        <w:lang w:val="en-US" w:eastAsia="en-US" w:bidi="ar-SA"/>
      </w:rPr>
    </w:lvl>
    <w:lvl w:ilvl="2" w:tplc="D6B8F7D4">
      <w:numFmt w:val="bullet"/>
      <w:lvlText w:val="•"/>
      <w:lvlJc w:val="left"/>
      <w:pPr>
        <w:ind w:left="2046" w:hanging="360"/>
      </w:pPr>
      <w:rPr>
        <w:rFonts w:hint="default"/>
        <w:lang w:val="en-US" w:eastAsia="en-US" w:bidi="ar-SA"/>
      </w:rPr>
    </w:lvl>
    <w:lvl w:ilvl="3" w:tplc="3A74FEF8">
      <w:numFmt w:val="bullet"/>
      <w:lvlText w:val="•"/>
      <w:lvlJc w:val="left"/>
      <w:pPr>
        <w:ind w:left="2199" w:hanging="360"/>
      </w:pPr>
      <w:rPr>
        <w:rFonts w:hint="default"/>
        <w:lang w:val="en-US" w:eastAsia="en-US" w:bidi="ar-SA"/>
      </w:rPr>
    </w:lvl>
    <w:lvl w:ilvl="4" w:tplc="1ED405F0">
      <w:numFmt w:val="bullet"/>
      <w:lvlText w:val="•"/>
      <w:lvlJc w:val="left"/>
      <w:pPr>
        <w:ind w:left="2352" w:hanging="360"/>
      </w:pPr>
      <w:rPr>
        <w:rFonts w:hint="default"/>
        <w:lang w:val="en-US" w:eastAsia="en-US" w:bidi="ar-SA"/>
      </w:rPr>
    </w:lvl>
    <w:lvl w:ilvl="5" w:tplc="1690115C">
      <w:numFmt w:val="bullet"/>
      <w:lvlText w:val="•"/>
      <w:lvlJc w:val="left"/>
      <w:pPr>
        <w:ind w:left="2505" w:hanging="360"/>
      </w:pPr>
      <w:rPr>
        <w:rFonts w:hint="default"/>
        <w:lang w:val="en-US" w:eastAsia="en-US" w:bidi="ar-SA"/>
      </w:rPr>
    </w:lvl>
    <w:lvl w:ilvl="6" w:tplc="4D785834">
      <w:numFmt w:val="bullet"/>
      <w:lvlText w:val="•"/>
      <w:lvlJc w:val="left"/>
      <w:pPr>
        <w:ind w:left="2658" w:hanging="360"/>
      </w:pPr>
      <w:rPr>
        <w:rFonts w:hint="default"/>
        <w:lang w:val="en-US" w:eastAsia="en-US" w:bidi="ar-SA"/>
      </w:rPr>
    </w:lvl>
    <w:lvl w:ilvl="7" w:tplc="559E28F8">
      <w:numFmt w:val="bullet"/>
      <w:lvlText w:val="•"/>
      <w:lvlJc w:val="left"/>
      <w:pPr>
        <w:ind w:left="2811" w:hanging="360"/>
      </w:pPr>
      <w:rPr>
        <w:rFonts w:hint="default"/>
        <w:lang w:val="en-US" w:eastAsia="en-US" w:bidi="ar-SA"/>
      </w:rPr>
    </w:lvl>
    <w:lvl w:ilvl="8" w:tplc="014E567A">
      <w:numFmt w:val="bullet"/>
      <w:lvlText w:val="•"/>
      <w:lvlJc w:val="left"/>
      <w:pPr>
        <w:ind w:left="2964" w:hanging="360"/>
      </w:pPr>
      <w:rPr>
        <w:rFonts w:hint="default"/>
        <w:lang w:val="en-US" w:eastAsia="en-US" w:bidi="ar-SA"/>
      </w:rPr>
    </w:lvl>
  </w:abstractNum>
  <w:abstractNum w:abstractNumId="63" w15:restartNumberingAfterBreak="0">
    <w:nsid w:val="5D6F25BF"/>
    <w:multiLevelType w:val="hybridMultilevel"/>
    <w:tmpl w:val="958CC3D8"/>
    <w:lvl w:ilvl="0" w:tplc="DDFCC576">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F03A6784">
      <w:numFmt w:val="bullet"/>
      <w:lvlText w:val="•"/>
      <w:lvlJc w:val="left"/>
      <w:pPr>
        <w:ind w:left="2072" w:hanging="360"/>
      </w:pPr>
      <w:rPr>
        <w:rFonts w:hint="default"/>
        <w:lang w:val="en-US" w:eastAsia="en-US" w:bidi="ar-SA"/>
      </w:rPr>
    </w:lvl>
    <w:lvl w:ilvl="2" w:tplc="8BF0FE28">
      <w:numFmt w:val="bullet"/>
      <w:lvlText w:val="•"/>
      <w:lvlJc w:val="left"/>
      <w:pPr>
        <w:ind w:left="2945" w:hanging="360"/>
      </w:pPr>
      <w:rPr>
        <w:rFonts w:hint="default"/>
        <w:lang w:val="en-US" w:eastAsia="en-US" w:bidi="ar-SA"/>
      </w:rPr>
    </w:lvl>
    <w:lvl w:ilvl="3" w:tplc="FD343E0C">
      <w:numFmt w:val="bullet"/>
      <w:lvlText w:val="•"/>
      <w:lvlJc w:val="left"/>
      <w:pPr>
        <w:ind w:left="3817" w:hanging="360"/>
      </w:pPr>
      <w:rPr>
        <w:rFonts w:hint="default"/>
        <w:lang w:val="en-US" w:eastAsia="en-US" w:bidi="ar-SA"/>
      </w:rPr>
    </w:lvl>
    <w:lvl w:ilvl="4" w:tplc="A81CA37C">
      <w:numFmt w:val="bullet"/>
      <w:lvlText w:val="•"/>
      <w:lvlJc w:val="left"/>
      <w:pPr>
        <w:ind w:left="4690" w:hanging="360"/>
      </w:pPr>
      <w:rPr>
        <w:rFonts w:hint="default"/>
        <w:lang w:val="en-US" w:eastAsia="en-US" w:bidi="ar-SA"/>
      </w:rPr>
    </w:lvl>
    <w:lvl w:ilvl="5" w:tplc="38240FDE">
      <w:numFmt w:val="bullet"/>
      <w:lvlText w:val="•"/>
      <w:lvlJc w:val="left"/>
      <w:pPr>
        <w:ind w:left="5563" w:hanging="360"/>
      </w:pPr>
      <w:rPr>
        <w:rFonts w:hint="default"/>
        <w:lang w:val="en-US" w:eastAsia="en-US" w:bidi="ar-SA"/>
      </w:rPr>
    </w:lvl>
    <w:lvl w:ilvl="6" w:tplc="1CD8D964">
      <w:numFmt w:val="bullet"/>
      <w:lvlText w:val="•"/>
      <w:lvlJc w:val="left"/>
      <w:pPr>
        <w:ind w:left="6435" w:hanging="360"/>
      </w:pPr>
      <w:rPr>
        <w:rFonts w:hint="default"/>
        <w:lang w:val="en-US" w:eastAsia="en-US" w:bidi="ar-SA"/>
      </w:rPr>
    </w:lvl>
    <w:lvl w:ilvl="7" w:tplc="7ADCC560">
      <w:numFmt w:val="bullet"/>
      <w:lvlText w:val="•"/>
      <w:lvlJc w:val="left"/>
      <w:pPr>
        <w:ind w:left="7308" w:hanging="360"/>
      </w:pPr>
      <w:rPr>
        <w:rFonts w:hint="default"/>
        <w:lang w:val="en-US" w:eastAsia="en-US" w:bidi="ar-SA"/>
      </w:rPr>
    </w:lvl>
    <w:lvl w:ilvl="8" w:tplc="748E037A">
      <w:numFmt w:val="bullet"/>
      <w:lvlText w:val="•"/>
      <w:lvlJc w:val="left"/>
      <w:pPr>
        <w:ind w:left="8181" w:hanging="360"/>
      </w:pPr>
      <w:rPr>
        <w:rFonts w:hint="default"/>
        <w:lang w:val="en-US" w:eastAsia="en-US" w:bidi="ar-SA"/>
      </w:rPr>
    </w:lvl>
  </w:abstractNum>
  <w:abstractNum w:abstractNumId="64" w15:restartNumberingAfterBreak="0">
    <w:nsid w:val="5E5D67F9"/>
    <w:multiLevelType w:val="hybridMultilevel"/>
    <w:tmpl w:val="2884D582"/>
    <w:lvl w:ilvl="0" w:tplc="623ABFEE">
      <w:start w:val="1"/>
      <w:numFmt w:val="decimal"/>
      <w:lvlText w:val="%1."/>
      <w:lvlJc w:val="left"/>
      <w:pPr>
        <w:ind w:left="1200" w:hanging="360"/>
        <w:jc w:val="left"/>
      </w:pPr>
      <w:rPr>
        <w:rFonts w:ascii="Arial" w:eastAsia="Arial" w:hAnsi="Arial" w:cs="Arial" w:hint="default"/>
        <w:b w:val="0"/>
        <w:bCs w:val="0"/>
        <w:i w:val="0"/>
        <w:iCs w:val="0"/>
        <w:spacing w:val="0"/>
        <w:w w:val="99"/>
        <w:sz w:val="22"/>
        <w:szCs w:val="22"/>
        <w:lang w:val="en-US" w:eastAsia="en-US" w:bidi="ar-SA"/>
      </w:rPr>
    </w:lvl>
    <w:lvl w:ilvl="1" w:tplc="8C3437C6">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2" w:tplc="04A219B8">
      <w:numFmt w:val="bullet"/>
      <w:lvlText w:val="•"/>
      <w:lvlJc w:val="left"/>
      <w:pPr>
        <w:ind w:left="3024" w:hanging="360"/>
      </w:pPr>
      <w:rPr>
        <w:rFonts w:hint="default"/>
        <w:lang w:val="en-US" w:eastAsia="en-US" w:bidi="ar-SA"/>
      </w:rPr>
    </w:lvl>
    <w:lvl w:ilvl="3" w:tplc="0DEEDFBC">
      <w:numFmt w:val="bullet"/>
      <w:lvlText w:val="•"/>
      <w:lvlJc w:val="left"/>
      <w:pPr>
        <w:ind w:left="3936" w:hanging="360"/>
      </w:pPr>
      <w:rPr>
        <w:rFonts w:hint="default"/>
        <w:lang w:val="en-US" w:eastAsia="en-US" w:bidi="ar-SA"/>
      </w:rPr>
    </w:lvl>
    <w:lvl w:ilvl="4" w:tplc="F050C22C">
      <w:numFmt w:val="bullet"/>
      <w:lvlText w:val="•"/>
      <w:lvlJc w:val="left"/>
      <w:pPr>
        <w:ind w:left="4848" w:hanging="360"/>
      </w:pPr>
      <w:rPr>
        <w:rFonts w:hint="default"/>
        <w:lang w:val="en-US" w:eastAsia="en-US" w:bidi="ar-SA"/>
      </w:rPr>
    </w:lvl>
    <w:lvl w:ilvl="5" w:tplc="CED0AAFC">
      <w:numFmt w:val="bullet"/>
      <w:lvlText w:val="•"/>
      <w:lvlJc w:val="left"/>
      <w:pPr>
        <w:ind w:left="5760" w:hanging="360"/>
      </w:pPr>
      <w:rPr>
        <w:rFonts w:hint="default"/>
        <w:lang w:val="en-US" w:eastAsia="en-US" w:bidi="ar-SA"/>
      </w:rPr>
    </w:lvl>
    <w:lvl w:ilvl="6" w:tplc="2D241BEA">
      <w:numFmt w:val="bullet"/>
      <w:lvlText w:val="•"/>
      <w:lvlJc w:val="left"/>
      <w:pPr>
        <w:ind w:left="6672" w:hanging="360"/>
      </w:pPr>
      <w:rPr>
        <w:rFonts w:hint="default"/>
        <w:lang w:val="en-US" w:eastAsia="en-US" w:bidi="ar-SA"/>
      </w:rPr>
    </w:lvl>
    <w:lvl w:ilvl="7" w:tplc="244E2148">
      <w:numFmt w:val="bullet"/>
      <w:lvlText w:val="•"/>
      <w:lvlJc w:val="left"/>
      <w:pPr>
        <w:ind w:left="7584" w:hanging="360"/>
      </w:pPr>
      <w:rPr>
        <w:rFonts w:hint="default"/>
        <w:lang w:val="en-US" w:eastAsia="en-US" w:bidi="ar-SA"/>
      </w:rPr>
    </w:lvl>
    <w:lvl w:ilvl="8" w:tplc="1888872A">
      <w:numFmt w:val="bullet"/>
      <w:lvlText w:val="•"/>
      <w:lvlJc w:val="left"/>
      <w:pPr>
        <w:ind w:left="8496" w:hanging="360"/>
      </w:pPr>
      <w:rPr>
        <w:rFonts w:hint="default"/>
        <w:lang w:val="en-US" w:eastAsia="en-US" w:bidi="ar-SA"/>
      </w:rPr>
    </w:lvl>
  </w:abstractNum>
  <w:abstractNum w:abstractNumId="65" w15:restartNumberingAfterBreak="0">
    <w:nsid w:val="608A4EFC"/>
    <w:multiLevelType w:val="hybridMultilevel"/>
    <w:tmpl w:val="AC66794C"/>
    <w:lvl w:ilvl="0" w:tplc="F93AAC70">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C4965D94">
      <w:numFmt w:val="bullet"/>
      <w:lvlText w:val="•"/>
      <w:lvlJc w:val="left"/>
      <w:pPr>
        <w:ind w:left="2112" w:hanging="360"/>
      </w:pPr>
      <w:rPr>
        <w:rFonts w:hint="default"/>
        <w:lang w:val="en-US" w:eastAsia="en-US" w:bidi="ar-SA"/>
      </w:rPr>
    </w:lvl>
    <w:lvl w:ilvl="2" w:tplc="84461B3A">
      <w:numFmt w:val="bullet"/>
      <w:lvlText w:val="•"/>
      <w:lvlJc w:val="left"/>
      <w:pPr>
        <w:ind w:left="3024" w:hanging="360"/>
      </w:pPr>
      <w:rPr>
        <w:rFonts w:hint="default"/>
        <w:lang w:val="en-US" w:eastAsia="en-US" w:bidi="ar-SA"/>
      </w:rPr>
    </w:lvl>
    <w:lvl w:ilvl="3" w:tplc="CF1274DC">
      <w:numFmt w:val="bullet"/>
      <w:lvlText w:val="•"/>
      <w:lvlJc w:val="left"/>
      <w:pPr>
        <w:ind w:left="3936" w:hanging="360"/>
      </w:pPr>
      <w:rPr>
        <w:rFonts w:hint="default"/>
        <w:lang w:val="en-US" w:eastAsia="en-US" w:bidi="ar-SA"/>
      </w:rPr>
    </w:lvl>
    <w:lvl w:ilvl="4" w:tplc="BA40D476">
      <w:numFmt w:val="bullet"/>
      <w:lvlText w:val="•"/>
      <w:lvlJc w:val="left"/>
      <w:pPr>
        <w:ind w:left="4848" w:hanging="360"/>
      </w:pPr>
      <w:rPr>
        <w:rFonts w:hint="default"/>
        <w:lang w:val="en-US" w:eastAsia="en-US" w:bidi="ar-SA"/>
      </w:rPr>
    </w:lvl>
    <w:lvl w:ilvl="5" w:tplc="6D4A2688">
      <w:numFmt w:val="bullet"/>
      <w:lvlText w:val="•"/>
      <w:lvlJc w:val="left"/>
      <w:pPr>
        <w:ind w:left="5760" w:hanging="360"/>
      </w:pPr>
      <w:rPr>
        <w:rFonts w:hint="default"/>
        <w:lang w:val="en-US" w:eastAsia="en-US" w:bidi="ar-SA"/>
      </w:rPr>
    </w:lvl>
    <w:lvl w:ilvl="6" w:tplc="B08A3DD8">
      <w:numFmt w:val="bullet"/>
      <w:lvlText w:val="•"/>
      <w:lvlJc w:val="left"/>
      <w:pPr>
        <w:ind w:left="6672" w:hanging="360"/>
      </w:pPr>
      <w:rPr>
        <w:rFonts w:hint="default"/>
        <w:lang w:val="en-US" w:eastAsia="en-US" w:bidi="ar-SA"/>
      </w:rPr>
    </w:lvl>
    <w:lvl w:ilvl="7" w:tplc="E6141598">
      <w:numFmt w:val="bullet"/>
      <w:lvlText w:val="•"/>
      <w:lvlJc w:val="left"/>
      <w:pPr>
        <w:ind w:left="7584" w:hanging="360"/>
      </w:pPr>
      <w:rPr>
        <w:rFonts w:hint="default"/>
        <w:lang w:val="en-US" w:eastAsia="en-US" w:bidi="ar-SA"/>
      </w:rPr>
    </w:lvl>
    <w:lvl w:ilvl="8" w:tplc="E94C87AC">
      <w:numFmt w:val="bullet"/>
      <w:lvlText w:val="•"/>
      <w:lvlJc w:val="left"/>
      <w:pPr>
        <w:ind w:left="8496" w:hanging="360"/>
      </w:pPr>
      <w:rPr>
        <w:rFonts w:hint="default"/>
        <w:lang w:val="en-US" w:eastAsia="en-US" w:bidi="ar-SA"/>
      </w:rPr>
    </w:lvl>
  </w:abstractNum>
  <w:abstractNum w:abstractNumId="66" w15:restartNumberingAfterBreak="0">
    <w:nsid w:val="60F1573B"/>
    <w:multiLevelType w:val="hybridMultilevel"/>
    <w:tmpl w:val="6FA205AE"/>
    <w:lvl w:ilvl="0" w:tplc="57249236">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8CE2229A">
      <w:numFmt w:val="bullet"/>
      <w:lvlText w:val="•"/>
      <w:lvlJc w:val="left"/>
      <w:pPr>
        <w:ind w:left="2072" w:hanging="360"/>
      </w:pPr>
      <w:rPr>
        <w:rFonts w:hint="default"/>
        <w:lang w:val="en-US" w:eastAsia="en-US" w:bidi="ar-SA"/>
      </w:rPr>
    </w:lvl>
    <w:lvl w:ilvl="2" w:tplc="B3D8F0D8">
      <w:numFmt w:val="bullet"/>
      <w:lvlText w:val="•"/>
      <w:lvlJc w:val="left"/>
      <w:pPr>
        <w:ind w:left="2945" w:hanging="360"/>
      </w:pPr>
      <w:rPr>
        <w:rFonts w:hint="default"/>
        <w:lang w:val="en-US" w:eastAsia="en-US" w:bidi="ar-SA"/>
      </w:rPr>
    </w:lvl>
    <w:lvl w:ilvl="3" w:tplc="3FDAF260">
      <w:numFmt w:val="bullet"/>
      <w:lvlText w:val="•"/>
      <w:lvlJc w:val="left"/>
      <w:pPr>
        <w:ind w:left="3817" w:hanging="360"/>
      </w:pPr>
      <w:rPr>
        <w:rFonts w:hint="default"/>
        <w:lang w:val="en-US" w:eastAsia="en-US" w:bidi="ar-SA"/>
      </w:rPr>
    </w:lvl>
    <w:lvl w:ilvl="4" w:tplc="CF5CA39C">
      <w:numFmt w:val="bullet"/>
      <w:lvlText w:val="•"/>
      <w:lvlJc w:val="left"/>
      <w:pPr>
        <w:ind w:left="4690" w:hanging="360"/>
      </w:pPr>
      <w:rPr>
        <w:rFonts w:hint="default"/>
        <w:lang w:val="en-US" w:eastAsia="en-US" w:bidi="ar-SA"/>
      </w:rPr>
    </w:lvl>
    <w:lvl w:ilvl="5" w:tplc="25188246">
      <w:numFmt w:val="bullet"/>
      <w:lvlText w:val="•"/>
      <w:lvlJc w:val="left"/>
      <w:pPr>
        <w:ind w:left="5563" w:hanging="360"/>
      </w:pPr>
      <w:rPr>
        <w:rFonts w:hint="default"/>
        <w:lang w:val="en-US" w:eastAsia="en-US" w:bidi="ar-SA"/>
      </w:rPr>
    </w:lvl>
    <w:lvl w:ilvl="6" w:tplc="50BEFDA2">
      <w:numFmt w:val="bullet"/>
      <w:lvlText w:val="•"/>
      <w:lvlJc w:val="left"/>
      <w:pPr>
        <w:ind w:left="6435" w:hanging="360"/>
      </w:pPr>
      <w:rPr>
        <w:rFonts w:hint="default"/>
        <w:lang w:val="en-US" w:eastAsia="en-US" w:bidi="ar-SA"/>
      </w:rPr>
    </w:lvl>
    <w:lvl w:ilvl="7" w:tplc="BF7C9A54">
      <w:numFmt w:val="bullet"/>
      <w:lvlText w:val="•"/>
      <w:lvlJc w:val="left"/>
      <w:pPr>
        <w:ind w:left="7308" w:hanging="360"/>
      </w:pPr>
      <w:rPr>
        <w:rFonts w:hint="default"/>
        <w:lang w:val="en-US" w:eastAsia="en-US" w:bidi="ar-SA"/>
      </w:rPr>
    </w:lvl>
    <w:lvl w:ilvl="8" w:tplc="29E8F9A0">
      <w:numFmt w:val="bullet"/>
      <w:lvlText w:val="•"/>
      <w:lvlJc w:val="left"/>
      <w:pPr>
        <w:ind w:left="8181" w:hanging="360"/>
      </w:pPr>
      <w:rPr>
        <w:rFonts w:hint="default"/>
        <w:lang w:val="en-US" w:eastAsia="en-US" w:bidi="ar-SA"/>
      </w:rPr>
    </w:lvl>
  </w:abstractNum>
  <w:abstractNum w:abstractNumId="67" w15:restartNumberingAfterBreak="0">
    <w:nsid w:val="63004286"/>
    <w:multiLevelType w:val="multilevel"/>
    <w:tmpl w:val="9BA0F16A"/>
    <w:lvl w:ilvl="0">
      <w:start w:val="3"/>
      <w:numFmt w:val="upperLetter"/>
      <w:lvlText w:val="%1"/>
      <w:lvlJc w:val="left"/>
      <w:pPr>
        <w:ind w:left="1430" w:hanging="404"/>
        <w:jc w:val="left"/>
      </w:pPr>
      <w:rPr>
        <w:rFonts w:hint="default"/>
        <w:lang w:val="en-US" w:eastAsia="en-US" w:bidi="ar-SA"/>
      </w:rPr>
    </w:lvl>
    <w:lvl w:ilvl="1">
      <w:start w:val="1"/>
      <w:numFmt w:val="decimal"/>
      <w:lvlText w:val="%1.%2"/>
      <w:lvlJc w:val="left"/>
      <w:pPr>
        <w:ind w:left="1430" w:hanging="404"/>
        <w:jc w:val="left"/>
      </w:pPr>
      <w:rPr>
        <w:rFonts w:ascii="Arial" w:eastAsia="Arial" w:hAnsi="Arial" w:cs="Arial" w:hint="default"/>
        <w:b w:val="0"/>
        <w:bCs w:val="0"/>
        <w:i w:val="0"/>
        <w:iCs w:val="0"/>
        <w:spacing w:val="-1"/>
        <w:w w:val="99"/>
        <w:sz w:val="22"/>
        <w:szCs w:val="22"/>
        <w:lang w:val="en-US" w:eastAsia="en-US" w:bidi="ar-SA"/>
      </w:rPr>
    </w:lvl>
    <w:lvl w:ilvl="2">
      <w:start w:val="1"/>
      <w:numFmt w:val="decimal"/>
      <w:lvlText w:val="%1.%2.%3"/>
      <w:lvlJc w:val="left"/>
      <w:pPr>
        <w:ind w:left="2279" w:hanging="720"/>
        <w:jc w:val="left"/>
      </w:pPr>
      <w:rPr>
        <w:rFonts w:ascii="Arial" w:eastAsia="Arial" w:hAnsi="Arial" w:cs="Arial" w:hint="default"/>
        <w:b w:val="0"/>
        <w:bCs w:val="0"/>
        <w:i w:val="0"/>
        <w:iCs w:val="0"/>
        <w:spacing w:val="-1"/>
        <w:w w:val="99"/>
        <w:sz w:val="22"/>
        <w:szCs w:val="22"/>
        <w:lang w:val="en-US" w:eastAsia="en-US" w:bidi="ar-SA"/>
      </w:rPr>
    </w:lvl>
    <w:lvl w:ilvl="3">
      <w:numFmt w:val="bullet"/>
      <w:lvlText w:val="•"/>
      <w:lvlJc w:val="left"/>
      <w:pPr>
        <w:ind w:left="4066" w:hanging="720"/>
      </w:pPr>
      <w:rPr>
        <w:rFonts w:hint="default"/>
        <w:lang w:val="en-US" w:eastAsia="en-US" w:bidi="ar-SA"/>
      </w:rPr>
    </w:lvl>
    <w:lvl w:ilvl="4">
      <w:numFmt w:val="bullet"/>
      <w:lvlText w:val="•"/>
      <w:lvlJc w:val="left"/>
      <w:pPr>
        <w:ind w:left="4960" w:hanging="720"/>
      </w:pPr>
      <w:rPr>
        <w:rFonts w:hint="default"/>
        <w:lang w:val="en-US" w:eastAsia="en-US" w:bidi="ar-SA"/>
      </w:rPr>
    </w:lvl>
    <w:lvl w:ilvl="5">
      <w:numFmt w:val="bullet"/>
      <w:lvlText w:val="•"/>
      <w:lvlJc w:val="left"/>
      <w:pPr>
        <w:ind w:left="5853" w:hanging="720"/>
      </w:pPr>
      <w:rPr>
        <w:rFonts w:hint="default"/>
        <w:lang w:val="en-US" w:eastAsia="en-US" w:bidi="ar-SA"/>
      </w:rPr>
    </w:lvl>
    <w:lvl w:ilvl="6">
      <w:numFmt w:val="bullet"/>
      <w:lvlText w:val="•"/>
      <w:lvlJc w:val="left"/>
      <w:pPr>
        <w:ind w:left="6746" w:hanging="720"/>
      </w:pPr>
      <w:rPr>
        <w:rFonts w:hint="default"/>
        <w:lang w:val="en-US" w:eastAsia="en-US" w:bidi="ar-SA"/>
      </w:rPr>
    </w:lvl>
    <w:lvl w:ilvl="7">
      <w:numFmt w:val="bullet"/>
      <w:lvlText w:val="•"/>
      <w:lvlJc w:val="left"/>
      <w:pPr>
        <w:ind w:left="7640" w:hanging="720"/>
      </w:pPr>
      <w:rPr>
        <w:rFonts w:hint="default"/>
        <w:lang w:val="en-US" w:eastAsia="en-US" w:bidi="ar-SA"/>
      </w:rPr>
    </w:lvl>
    <w:lvl w:ilvl="8">
      <w:numFmt w:val="bullet"/>
      <w:lvlText w:val="•"/>
      <w:lvlJc w:val="left"/>
      <w:pPr>
        <w:ind w:left="8533" w:hanging="720"/>
      </w:pPr>
      <w:rPr>
        <w:rFonts w:hint="default"/>
        <w:lang w:val="en-US" w:eastAsia="en-US" w:bidi="ar-SA"/>
      </w:rPr>
    </w:lvl>
  </w:abstractNum>
  <w:abstractNum w:abstractNumId="68" w15:restartNumberingAfterBreak="0">
    <w:nsid w:val="65937732"/>
    <w:multiLevelType w:val="hybridMultilevel"/>
    <w:tmpl w:val="00AC115A"/>
    <w:lvl w:ilvl="0" w:tplc="EB9EC12E">
      <w:numFmt w:val="bullet"/>
      <w:lvlText w:val=""/>
      <w:lvlJc w:val="left"/>
      <w:pPr>
        <w:ind w:left="410" w:hanging="360"/>
      </w:pPr>
      <w:rPr>
        <w:rFonts w:ascii="Symbol" w:eastAsia="Symbol" w:hAnsi="Symbol" w:cs="Symbol" w:hint="default"/>
        <w:b w:val="0"/>
        <w:bCs w:val="0"/>
        <w:i w:val="0"/>
        <w:iCs w:val="0"/>
        <w:spacing w:val="0"/>
        <w:w w:val="99"/>
        <w:sz w:val="22"/>
        <w:szCs w:val="22"/>
        <w:lang w:val="en-US" w:eastAsia="en-US" w:bidi="ar-SA"/>
      </w:rPr>
    </w:lvl>
    <w:lvl w:ilvl="1" w:tplc="858CE126">
      <w:numFmt w:val="bullet"/>
      <w:lvlText w:val="•"/>
      <w:lvlJc w:val="left"/>
      <w:pPr>
        <w:ind w:left="712" w:hanging="360"/>
      </w:pPr>
      <w:rPr>
        <w:rFonts w:hint="default"/>
        <w:lang w:val="en-US" w:eastAsia="en-US" w:bidi="ar-SA"/>
      </w:rPr>
    </w:lvl>
    <w:lvl w:ilvl="2" w:tplc="1D34C3E4">
      <w:numFmt w:val="bullet"/>
      <w:lvlText w:val="•"/>
      <w:lvlJc w:val="left"/>
      <w:pPr>
        <w:ind w:left="1004" w:hanging="360"/>
      </w:pPr>
      <w:rPr>
        <w:rFonts w:hint="default"/>
        <w:lang w:val="en-US" w:eastAsia="en-US" w:bidi="ar-SA"/>
      </w:rPr>
    </w:lvl>
    <w:lvl w:ilvl="3" w:tplc="7FA41E6C">
      <w:numFmt w:val="bullet"/>
      <w:lvlText w:val="•"/>
      <w:lvlJc w:val="left"/>
      <w:pPr>
        <w:ind w:left="1297" w:hanging="360"/>
      </w:pPr>
      <w:rPr>
        <w:rFonts w:hint="default"/>
        <w:lang w:val="en-US" w:eastAsia="en-US" w:bidi="ar-SA"/>
      </w:rPr>
    </w:lvl>
    <w:lvl w:ilvl="4" w:tplc="5B483CAA">
      <w:numFmt w:val="bullet"/>
      <w:lvlText w:val="•"/>
      <w:lvlJc w:val="left"/>
      <w:pPr>
        <w:ind w:left="1589" w:hanging="360"/>
      </w:pPr>
      <w:rPr>
        <w:rFonts w:hint="default"/>
        <w:lang w:val="en-US" w:eastAsia="en-US" w:bidi="ar-SA"/>
      </w:rPr>
    </w:lvl>
    <w:lvl w:ilvl="5" w:tplc="D8ACEABC">
      <w:numFmt w:val="bullet"/>
      <w:lvlText w:val="•"/>
      <w:lvlJc w:val="left"/>
      <w:pPr>
        <w:ind w:left="1882" w:hanging="360"/>
      </w:pPr>
      <w:rPr>
        <w:rFonts w:hint="default"/>
        <w:lang w:val="en-US" w:eastAsia="en-US" w:bidi="ar-SA"/>
      </w:rPr>
    </w:lvl>
    <w:lvl w:ilvl="6" w:tplc="C4B86DA6">
      <w:numFmt w:val="bullet"/>
      <w:lvlText w:val="•"/>
      <w:lvlJc w:val="left"/>
      <w:pPr>
        <w:ind w:left="2174" w:hanging="360"/>
      </w:pPr>
      <w:rPr>
        <w:rFonts w:hint="default"/>
        <w:lang w:val="en-US" w:eastAsia="en-US" w:bidi="ar-SA"/>
      </w:rPr>
    </w:lvl>
    <w:lvl w:ilvl="7" w:tplc="FE886D4C">
      <w:numFmt w:val="bullet"/>
      <w:lvlText w:val="•"/>
      <w:lvlJc w:val="left"/>
      <w:pPr>
        <w:ind w:left="2466" w:hanging="360"/>
      </w:pPr>
      <w:rPr>
        <w:rFonts w:hint="default"/>
        <w:lang w:val="en-US" w:eastAsia="en-US" w:bidi="ar-SA"/>
      </w:rPr>
    </w:lvl>
    <w:lvl w:ilvl="8" w:tplc="9C02929A">
      <w:numFmt w:val="bullet"/>
      <w:lvlText w:val="•"/>
      <w:lvlJc w:val="left"/>
      <w:pPr>
        <w:ind w:left="2759" w:hanging="360"/>
      </w:pPr>
      <w:rPr>
        <w:rFonts w:hint="default"/>
        <w:lang w:val="en-US" w:eastAsia="en-US" w:bidi="ar-SA"/>
      </w:rPr>
    </w:lvl>
  </w:abstractNum>
  <w:abstractNum w:abstractNumId="69" w15:restartNumberingAfterBreak="0">
    <w:nsid w:val="664E12A1"/>
    <w:multiLevelType w:val="hybridMultilevel"/>
    <w:tmpl w:val="9664102A"/>
    <w:lvl w:ilvl="0" w:tplc="9B9E7CF8">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AD90F642">
      <w:numFmt w:val="bullet"/>
      <w:lvlText w:val="o"/>
      <w:lvlJc w:val="left"/>
      <w:pPr>
        <w:ind w:left="1920" w:hanging="360"/>
      </w:pPr>
      <w:rPr>
        <w:rFonts w:ascii="Courier New" w:eastAsia="Courier New" w:hAnsi="Courier New" w:cs="Courier New" w:hint="default"/>
        <w:b w:val="0"/>
        <w:bCs w:val="0"/>
        <w:i w:val="0"/>
        <w:iCs w:val="0"/>
        <w:spacing w:val="0"/>
        <w:w w:val="99"/>
        <w:sz w:val="22"/>
        <w:szCs w:val="22"/>
        <w:lang w:val="en-US" w:eastAsia="en-US" w:bidi="ar-SA"/>
      </w:rPr>
    </w:lvl>
    <w:lvl w:ilvl="2" w:tplc="F28A3054">
      <w:numFmt w:val="bullet"/>
      <w:lvlText w:val="•"/>
      <w:lvlJc w:val="left"/>
      <w:pPr>
        <w:ind w:left="2853" w:hanging="360"/>
      </w:pPr>
      <w:rPr>
        <w:rFonts w:hint="default"/>
        <w:lang w:val="en-US" w:eastAsia="en-US" w:bidi="ar-SA"/>
      </w:rPr>
    </w:lvl>
    <w:lvl w:ilvl="3" w:tplc="5D9801B4">
      <w:numFmt w:val="bullet"/>
      <w:lvlText w:val="•"/>
      <w:lvlJc w:val="left"/>
      <w:pPr>
        <w:ind w:left="3786" w:hanging="360"/>
      </w:pPr>
      <w:rPr>
        <w:rFonts w:hint="default"/>
        <w:lang w:val="en-US" w:eastAsia="en-US" w:bidi="ar-SA"/>
      </w:rPr>
    </w:lvl>
    <w:lvl w:ilvl="4" w:tplc="CDC0E656">
      <w:numFmt w:val="bullet"/>
      <w:lvlText w:val="•"/>
      <w:lvlJc w:val="left"/>
      <w:pPr>
        <w:ind w:left="4720" w:hanging="360"/>
      </w:pPr>
      <w:rPr>
        <w:rFonts w:hint="default"/>
        <w:lang w:val="en-US" w:eastAsia="en-US" w:bidi="ar-SA"/>
      </w:rPr>
    </w:lvl>
    <w:lvl w:ilvl="5" w:tplc="1FDEE522">
      <w:numFmt w:val="bullet"/>
      <w:lvlText w:val="•"/>
      <w:lvlJc w:val="left"/>
      <w:pPr>
        <w:ind w:left="5653" w:hanging="360"/>
      </w:pPr>
      <w:rPr>
        <w:rFonts w:hint="default"/>
        <w:lang w:val="en-US" w:eastAsia="en-US" w:bidi="ar-SA"/>
      </w:rPr>
    </w:lvl>
    <w:lvl w:ilvl="6" w:tplc="D95E88A4">
      <w:numFmt w:val="bullet"/>
      <w:lvlText w:val="•"/>
      <w:lvlJc w:val="left"/>
      <w:pPr>
        <w:ind w:left="6586" w:hanging="360"/>
      </w:pPr>
      <w:rPr>
        <w:rFonts w:hint="default"/>
        <w:lang w:val="en-US" w:eastAsia="en-US" w:bidi="ar-SA"/>
      </w:rPr>
    </w:lvl>
    <w:lvl w:ilvl="7" w:tplc="79369D64">
      <w:numFmt w:val="bullet"/>
      <w:lvlText w:val="•"/>
      <w:lvlJc w:val="left"/>
      <w:pPr>
        <w:ind w:left="7520" w:hanging="360"/>
      </w:pPr>
      <w:rPr>
        <w:rFonts w:hint="default"/>
        <w:lang w:val="en-US" w:eastAsia="en-US" w:bidi="ar-SA"/>
      </w:rPr>
    </w:lvl>
    <w:lvl w:ilvl="8" w:tplc="7D664FE2">
      <w:numFmt w:val="bullet"/>
      <w:lvlText w:val="•"/>
      <w:lvlJc w:val="left"/>
      <w:pPr>
        <w:ind w:left="8453" w:hanging="360"/>
      </w:pPr>
      <w:rPr>
        <w:rFonts w:hint="default"/>
        <w:lang w:val="en-US" w:eastAsia="en-US" w:bidi="ar-SA"/>
      </w:rPr>
    </w:lvl>
  </w:abstractNum>
  <w:abstractNum w:abstractNumId="70" w15:restartNumberingAfterBreak="0">
    <w:nsid w:val="67D3606A"/>
    <w:multiLevelType w:val="hybridMultilevel"/>
    <w:tmpl w:val="0AE09028"/>
    <w:lvl w:ilvl="0" w:tplc="CC16190A">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F28A3FB4">
      <w:numFmt w:val="bullet"/>
      <w:lvlText w:val="•"/>
      <w:lvlJc w:val="left"/>
      <w:pPr>
        <w:ind w:left="2072" w:hanging="360"/>
      </w:pPr>
      <w:rPr>
        <w:rFonts w:hint="default"/>
        <w:lang w:val="en-US" w:eastAsia="en-US" w:bidi="ar-SA"/>
      </w:rPr>
    </w:lvl>
    <w:lvl w:ilvl="2" w:tplc="38046D98">
      <w:numFmt w:val="bullet"/>
      <w:lvlText w:val="•"/>
      <w:lvlJc w:val="left"/>
      <w:pPr>
        <w:ind w:left="2945" w:hanging="360"/>
      </w:pPr>
      <w:rPr>
        <w:rFonts w:hint="default"/>
        <w:lang w:val="en-US" w:eastAsia="en-US" w:bidi="ar-SA"/>
      </w:rPr>
    </w:lvl>
    <w:lvl w:ilvl="3" w:tplc="E94CCA92">
      <w:numFmt w:val="bullet"/>
      <w:lvlText w:val="•"/>
      <w:lvlJc w:val="left"/>
      <w:pPr>
        <w:ind w:left="3817" w:hanging="360"/>
      </w:pPr>
      <w:rPr>
        <w:rFonts w:hint="default"/>
        <w:lang w:val="en-US" w:eastAsia="en-US" w:bidi="ar-SA"/>
      </w:rPr>
    </w:lvl>
    <w:lvl w:ilvl="4" w:tplc="E618E480">
      <w:numFmt w:val="bullet"/>
      <w:lvlText w:val="•"/>
      <w:lvlJc w:val="left"/>
      <w:pPr>
        <w:ind w:left="4690" w:hanging="360"/>
      </w:pPr>
      <w:rPr>
        <w:rFonts w:hint="default"/>
        <w:lang w:val="en-US" w:eastAsia="en-US" w:bidi="ar-SA"/>
      </w:rPr>
    </w:lvl>
    <w:lvl w:ilvl="5" w:tplc="9EA0E948">
      <w:numFmt w:val="bullet"/>
      <w:lvlText w:val="•"/>
      <w:lvlJc w:val="left"/>
      <w:pPr>
        <w:ind w:left="5563" w:hanging="360"/>
      </w:pPr>
      <w:rPr>
        <w:rFonts w:hint="default"/>
        <w:lang w:val="en-US" w:eastAsia="en-US" w:bidi="ar-SA"/>
      </w:rPr>
    </w:lvl>
    <w:lvl w:ilvl="6" w:tplc="EFD09E7C">
      <w:numFmt w:val="bullet"/>
      <w:lvlText w:val="•"/>
      <w:lvlJc w:val="left"/>
      <w:pPr>
        <w:ind w:left="6435" w:hanging="360"/>
      </w:pPr>
      <w:rPr>
        <w:rFonts w:hint="default"/>
        <w:lang w:val="en-US" w:eastAsia="en-US" w:bidi="ar-SA"/>
      </w:rPr>
    </w:lvl>
    <w:lvl w:ilvl="7" w:tplc="8C06421A">
      <w:numFmt w:val="bullet"/>
      <w:lvlText w:val="•"/>
      <w:lvlJc w:val="left"/>
      <w:pPr>
        <w:ind w:left="7308" w:hanging="360"/>
      </w:pPr>
      <w:rPr>
        <w:rFonts w:hint="default"/>
        <w:lang w:val="en-US" w:eastAsia="en-US" w:bidi="ar-SA"/>
      </w:rPr>
    </w:lvl>
    <w:lvl w:ilvl="8" w:tplc="494E9CD2">
      <w:numFmt w:val="bullet"/>
      <w:lvlText w:val="•"/>
      <w:lvlJc w:val="left"/>
      <w:pPr>
        <w:ind w:left="8181" w:hanging="360"/>
      </w:pPr>
      <w:rPr>
        <w:rFonts w:hint="default"/>
        <w:lang w:val="en-US" w:eastAsia="en-US" w:bidi="ar-SA"/>
      </w:rPr>
    </w:lvl>
  </w:abstractNum>
  <w:abstractNum w:abstractNumId="71" w15:restartNumberingAfterBreak="0">
    <w:nsid w:val="69EE18FD"/>
    <w:multiLevelType w:val="multilevel"/>
    <w:tmpl w:val="89226A04"/>
    <w:lvl w:ilvl="0">
      <w:start w:val="1"/>
      <w:numFmt w:val="decimal"/>
      <w:lvlText w:val="%1."/>
      <w:lvlJc w:val="left"/>
      <w:pPr>
        <w:ind w:left="747" w:hanging="268"/>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394" w:hanging="368"/>
        <w:jc w:val="left"/>
      </w:pPr>
      <w:rPr>
        <w:rFonts w:ascii="Arial" w:eastAsia="Arial" w:hAnsi="Arial" w:cs="Arial" w:hint="default"/>
        <w:b w:val="0"/>
        <w:bCs w:val="0"/>
        <w:i w:val="0"/>
        <w:iCs w:val="0"/>
        <w:spacing w:val="0"/>
        <w:w w:val="99"/>
        <w:sz w:val="22"/>
        <w:szCs w:val="22"/>
        <w:lang w:val="en-US" w:eastAsia="en-US" w:bidi="ar-SA"/>
      </w:rPr>
    </w:lvl>
    <w:lvl w:ilvl="2">
      <w:start w:val="1"/>
      <w:numFmt w:val="decimal"/>
      <w:lvlText w:val="%1.%2.%3"/>
      <w:lvlJc w:val="left"/>
      <w:pPr>
        <w:ind w:left="2110" w:hanging="551"/>
        <w:jc w:val="left"/>
      </w:pPr>
      <w:rPr>
        <w:rFonts w:ascii="Arial" w:eastAsia="Arial" w:hAnsi="Arial" w:cs="Arial" w:hint="default"/>
        <w:b w:val="0"/>
        <w:bCs w:val="0"/>
        <w:i w:val="0"/>
        <w:iCs w:val="0"/>
        <w:spacing w:val="0"/>
        <w:w w:val="99"/>
        <w:sz w:val="22"/>
        <w:szCs w:val="22"/>
        <w:lang w:val="en-US" w:eastAsia="en-US" w:bidi="ar-SA"/>
      </w:rPr>
    </w:lvl>
    <w:lvl w:ilvl="3">
      <w:start w:val="1"/>
      <w:numFmt w:val="decimal"/>
      <w:lvlText w:val="%1.%2.%3.%4"/>
      <w:lvlJc w:val="left"/>
      <w:pPr>
        <w:ind w:left="2294" w:hanging="735"/>
        <w:jc w:val="left"/>
      </w:pPr>
      <w:rPr>
        <w:rFonts w:ascii="Arial" w:eastAsia="Arial" w:hAnsi="Arial" w:cs="Arial" w:hint="default"/>
        <w:b w:val="0"/>
        <w:bCs w:val="0"/>
        <w:i/>
        <w:iCs/>
        <w:spacing w:val="0"/>
        <w:w w:val="99"/>
        <w:sz w:val="22"/>
        <w:szCs w:val="22"/>
        <w:lang w:val="en-US" w:eastAsia="en-US" w:bidi="ar-SA"/>
      </w:rPr>
    </w:lvl>
    <w:lvl w:ilvl="4">
      <w:numFmt w:val="bullet"/>
      <w:lvlText w:val="•"/>
      <w:lvlJc w:val="left"/>
      <w:pPr>
        <w:ind w:left="3445" w:hanging="735"/>
      </w:pPr>
      <w:rPr>
        <w:rFonts w:hint="default"/>
        <w:lang w:val="en-US" w:eastAsia="en-US" w:bidi="ar-SA"/>
      </w:rPr>
    </w:lvl>
    <w:lvl w:ilvl="5">
      <w:numFmt w:val="bullet"/>
      <w:lvlText w:val="•"/>
      <w:lvlJc w:val="left"/>
      <w:pPr>
        <w:ind w:left="4591" w:hanging="735"/>
      </w:pPr>
      <w:rPr>
        <w:rFonts w:hint="default"/>
        <w:lang w:val="en-US" w:eastAsia="en-US" w:bidi="ar-SA"/>
      </w:rPr>
    </w:lvl>
    <w:lvl w:ilvl="6">
      <w:numFmt w:val="bullet"/>
      <w:lvlText w:val="•"/>
      <w:lvlJc w:val="left"/>
      <w:pPr>
        <w:ind w:left="5737" w:hanging="735"/>
      </w:pPr>
      <w:rPr>
        <w:rFonts w:hint="default"/>
        <w:lang w:val="en-US" w:eastAsia="en-US" w:bidi="ar-SA"/>
      </w:rPr>
    </w:lvl>
    <w:lvl w:ilvl="7">
      <w:numFmt w:val="bullet"/>
      <w:lvlText w:val="•"/>
      <w:lvlJc w:val="left"/>
      <w:pPr>
        <w:ind w:left="6882" w:hanging="735"/>
      </w:pPr>
      <w:rPr>
        <w:rFonts w:hint="default"/>
        <w:lang w:val="en-US" w:eastAsia="en-US" w:bidi="ar-SA"/>
      </w:rPr>
    </w:lvl>
    <w:lvl w:ilvl="8">
      <w:numFmt w:val="bullet"/>
      <w:lvlText w:val="•"/>
      <w:lvlJc w:val="left"/>
      <w:pPr>
        <w:ind w:left="8028" w:hanging="735"/>
      </w:pPr>
      <w:rPr>
        <w:rFonts w:hint="default"/>
        <w:lang w:val="en-US" w:eastAsia="en-US" w:bidi="ar-SA"/>
      </w:rPr>
    </w:lvl>
  </w:abstractNum>
  <w:abstractNum w:abstractNumId="72" w15:restartNumberingAfterBreak="0">
    <w:nsid w:val="6DC8577B"/>
    <w:multiLevelType w:val="hybridMultilevel"/>
    <w:tmpl w:val="AC3E6F1E"/>
    <w:lvl w:ilvl="0" w:tplc="308AA9BA">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EDBCCE74">
      <w:numFmt w:val="bullet"/>
      <w:lvlText w:val="•"/>
      <w:lvlJc w:val="left"/>
      <w:pPr>
        <w:ind w:left="2072" w:hanging="360"/>
      </w:pPr>
      <w:rPr>
        <w:rFonts w:hint="default"/>
        <w:lang w:val="en-US" w:eastAsia="en-US" w:bidi="ar-SA"/>
      </w:rPr>
    </w:lvl>
    <w:lvl w:ilvl="2" w:tplc="BDACFD66">
      <w:numFmt w:val="bullet"/>
      <w:lvlText w:val="•"/>
      <w:lvlJc w:val="left"/>
      <w:pPr>
        <w:ind w:left="2945" w:hanging="360"/>
      </w:pPr>
      <w:rPr>
        <w:rFonts w:hint="default"/>
        <w:lang w:val="en-US" w:eastAsia="en-US" w:bidi="ar-SA"/>
      </w:rPr>
    </w:lvl>
    <w:lvl w:ilvl="3" w:tplc="FD369292">
      <w:numFmt w:val="bullet"/>
      <w:lvlText w:val="•"/>
      <w:lvlJc w:val="left"/>
      <w:pPr>
        <w:ind w:left="3817" w:hanging="360"/>
      </w:pPr>
      <w:rPr>
        <w:rFonts w:hint="default"/>
        <w:lang w:val="en-US" w:eastAsia="en-US" w:bidi="ar-SA"/>
      </w:rPr>
    </w:lvl>
    <w:lvl w:ilvl="4" w:tplc="96AE22C4">
      <w:numFmt w:val="bullet"/>
      <w:lvlText w:val="•"/>
      <w:lvlJc w:val="left"/>
      <w:pPr>
        <w:ind w:left="4690" w:hanging="360"/>
      </w:pPr>
      <w:rPr>
        <w:rFonts w:hint="default"/>
        <w:lang w:val="en-US" w:eastAsia="en-US" w:bidi="ar-SA"/>
      </w:rPr>
    </w:lvl>
    <w:lvl w:ilvl="5" w:tplc="FF1A3BB0">
      <w:numFmt w:val="bullet"/>
      <w:lvlText w:val="•"/>
      <w:lvlJc w:val="left"/>
      <w:pPr>
        <w:ind w:left="5563" w:hanging="360"/>
      </w:pPr>
      <w:rPr>
        <w:rFonts w:hint="default"/>
        <w:lang w:val="en-US" w:eastAsia="en-US" w:bidi="ar-SA"/>
      </w:rPr>
    </w:lvl>
    <w:lvl w:ilvl="6" w:tplc="451CB6F6">
      <w:numFmt w:val="bullet"/>
      <w:lvlText w:val="•"/>
      <w:lvlJc w:val="left"/>
      <w:pPr>
        <w:ind w:left="6435" w:hanging="360"/>
      </w:pPr>
      <w:rPr>
        <w:rFonts w:hint="default"/>
        <w:lang w:val="en-US" w:eastAsia="en-US" w:bidi="ar-SA"/>
      </w:rPr>
    </w:lvl>
    <w:lvl w:ilvl="7" w:tplc="71B815E2">
      <w:numFmt w:val="bullet"/>
      <w:lvlText w:val="•"/>
      <w:lvlJc w:val="left"/>
      <w:pPr>
        <w:ind w:left="7308" w:hanging="360"/>
      </w:pPr>
      <w:rPr>
        <w:rFonts w:hint="default"/>
        <w:lang w:val="en-US" w:eastAsia="en-US" w:bidi="ar-SA"/>
      </w:rPr>
    </w:lvl>
    <w:lvl w:ilvl="8" w:tplc="F5903E0E">
      <w:numFmt w:val="bullet"/>
      <w:lvlText w:val="•"/>
      <w:lvlJc w:val="left"/>
      <w:pPr>
        <w:ind w:left="8181" w:hanging="360"/>
      </w:pPr>
      <w:rPr>
        <w:rFonts w:hint="default"/>
        <w:lang w:val="en-US" w:eastAsia="en-US" w:bidi="ar-SA"/>
      </w:rPr>
    </w:lvl>
  </w:abstractNum>
  <w:abstractNum w:abstractNumId="73" w15:restartNumberingAfterBreak="0">
    <w:nsid w:val="6F0E3EC0"/>
    <w:multiLevelType w:val="hybridMultilevel"/>
    <w:tmpl w:val="1876AB10"/>
    <w:lvl w:ilvl="0" w:tplc="327C235E">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3A16BBAC">
      <w:numFmt w:val="bullet"/>
      <w:lvlText w:val="•"/>
      <w:lvlJc w:val="left"/>
      <w:pPr>
        <w:ind w:left="2072" w:hanging="360"/>
      </w:pPr>
      <w:rPr>
        <w:rFonts w:hint="default"/>
        <w:lang w:val="en-US" w:eastAsia="en-US" w:bidi="ar-SA"/>
      </w:rPr>
    </w:lvl>
    <w:lvl w:ilvl="2" w:tplc="48844CCC">
      <w:numFmt w:val="bullet"/>
      <w:lvlText w:val="•"/>
      <w:lvlJc w:val="left"/>
      <w:pPr>
        <w:ind w:left="2945" w:hanging="360"/>
      </w:pPr>
      <w:rPr>
        <w:rFonts w:hint="default"/>
        <w:lang w:val="en-US" w:eastAsia="en-US" w:bidi="ar-SA"/>
      </w:rPr>
    </w:lvl>
    <w:lvl w:ilvl="3" w:tplc="B2FE50A2">
      <w:numFmt w:val="bullet"/>
      <w:lvlText w:val="•"/>
      <w:lvlJc w:val="left"/>
      <w:pPr>
        <w:ind w:left="3817" w:hanging="360"/>
      </w:pPr>
      <w:rPr>
        <w:rFonts w:hint="default"/>
        <w:lang w:val="en-US" w:eastAsia="en-US" w:bidi="ar-SA"/>
      </w:rPr>
    </w:lvl>
    <w:lvl w:ilvl="4" w:tplc="EDA80812">
      <w:numFmt w:val="bullet"/>
      <w:lvlText w:val="•"/>
      <w:lvlJc w:val="left"/>
      <w:pPr>
        <w:ind w:left="4690" w:hanging="360"/>
      </w:pPr>
      <w:rPr>
        <w:rFonts w:hint="default"/>
        <w:lang w:val="en-US" w:eastAsia="en-US" w:bidi="ar-SA"/>
      </w:rPr>
    </w:lvl>
    <w:lvl w:ilvl="5" w:tplc="FE442DFC">
      <w:numFmt w:val="bullet"/>
      <w:lvlText w:val="•"/>
      <w:lvlJc w:val="left"/>
      <w:pPr>
        <w:ind w:left="5563" w:hanging="360"/>
      </w:pPr>
      <w:rPr>
        <w:rFonts w:hint="default"/>
        <w:lang w:val="en-US" w:eastAsia="en-US" w:bidi="ar-SA"/>
      </w:rPr>
    </w:lvl>
    <w:lvl w:ilvl="6" w:tplc="973EC42A">
      <w:numFmt w:val="bullet"/>
      <w:lvlText w:val="•"/>
      <w:lvlJc w:val="left"/>
      <w:pPr>
        <w:ind w:left="6435" w:hanging="360"/>
      </w:pPr>
      <w:rPr>
        <w:rFonts w:hint="default"/>
        <w:lang w:val="en-US" w:eastAsia="en-US" w:bidi="ar-SA"/>
      </w:rPr>
    </w:lvl>
    <w:lvl w:ilvl="7" w:tplc="2A2408B6">
      <w:numFmt w:val="bullet"/>
      <w:lvlText w:val="•"/>
      <w:lvlJc w:val="left"/>
      <w:pPr>
        <w:ind w:left="7308" w:hanging="360"/>
      </w:pPr>
      <w:rPr>
        <w:rFonts w:hint="default"/>
        <w:lang w:val="en-US" w:eastAsia="en-US" w:bidi="ar-SA"/>
      </w:rPr>
    </w:lvl>
    <w:lvl w:ilvl="8" w:tplc="9A58A6A6">
      <w:numFmt w:val="bullet"/>
      <w:lvlText w:val="•"/>
      <w:lvlJc w:val="left"/>
      <w:pPr>
        <w:ind w:left="8181" w:hanging="360"/>
      </w:pPr>
      <w:rPr>
        <w:rFonts w:hint="default"/>
        <w:lang w:val="en-US" w:eastAsia="en-US" w:bidi="ar-SA"/>
      </w:rPr>
    </w:lvl>
  </w:abstractNum>
  <w:abstractNum w:abstractNumId="74" w15:restartNumberingAfterBreak="0">
    <w:nsid w:val="72882E54"/>
    <w:multiLevelType w:val="hybridMultilevel"/>
    <w:tmpl w:val="2DA0B17E"/>
    <w:lvl w:ilvl="0" w:tplc="C81C94A6">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3D8EF2D8">
      <w:numFmt w:val="bullet"/>
      <w:lvlText w:val="•"/>
      <w:lvlJc w:val="left"/>
      <w:pPr>
        <w:ind w:left="2072" w:hanging="360"/>
      </w:pPr>
      <w:rPr>
        <w:rFonts w:hint="default"/>
        <w:lang w:val="en-US" w:eastAsia="en-US" w:bidi="ar-SA"/>
      </w:rPr>
    </w:lvl>
    <w:lvl w:ilvl="2" w:tplc="E1C49F54">
      <w:numFmt w:val="bullet"/>
      <w:lvlText w:val="•"/>
      <w:lvlJc w:val="left"/>
      <w:pPr>
        <w:ind w:left="2945" w:hanging="360"/>
      </w:pPr>
      <w:rPr>
        <w:rFonts w:hint="default"/>
        <w:lang w:val="en-US" w:eastAsia="en-US" w:bidi="ar-SA"/>
      </w:rPr>
    </w:lvl>
    <w:lvl w:ilvl="3" w:tplc="C2DAB16C">
      <w:numFmt w:val="bullet"/>
      <w:lvlText w:val="•"/>
      <w:lvlJc w:val="left"/>
      <w:pPr>
        <w:ind w:left="3817" w:hanging="360"/>
      </w:pPr>
      <w:rPr>
        <w:rFonts w:hint="default"/>
        <w:lang w:val="en-US" w:eastAsia="en-US" w:bidi="ar-SA"/>
      </w:rPr>
    </w:lvl>
    <w:lvl w:ilvl="4" w:tplc="19C273BE">
      <w:numFmt w:val="bullet"/>
      <w:lvlText w:val="•"/>
      <w:lvlJc w:val="left"/>
      <w:pPr>
        <w:ind w:left="4690" w:hanging="360"/>
      </w:pPr>
      <w:rPr>
        <w:rFonts w:hint="default"/>
        <w:lang w:val="en-US" w:eastAsia="en-US" w:bidi="ar-SA"/>
      </w:rPr>
    </w:lvl>
    <w:lvl w:ilvl="5" w:tplc="BA42237A">
      <w:numFmt w:val="bullet"/>
      <w:lvlText w:val="•"/>
      <w:lvlJc w:val="left"/>
      <w:pPr>
        <w:ind w:left="5563" w:hanging="360"/>
      </w:pPr>
      <w:rPr>
        <w:rFonts w:hint="default"/>
        <w:lang w:val="en-US" w:eastAsia="en-US" w:bidi="ar-SA"/>
      </w:rPr>
    </w:lvl>
    <w:lvl w:ilvl="6" w:tplc="70A01B44">
      <w:numFmt w:val="bullet"/>
      <w:lvlText w:val="•"/>
      <w:lvlJc w:val="left"/>
      <w:pPr>
        <w:ind w:left="6435" w:hanging="360"/>
      </w:pPr>
      <w:rPr>
        <w:rFonts w:hint="default"/>
        <w:lang w:val="en-US" w:eastAsia="en-US" w:bidi="ar-SA"/>
      </w:rPr>
    </w:lvl>
    <w:lvl w:ilvl="7" w:tplc="6AE8B1D2">
      <w:numFmt w:val="bullet"/>
      <w:lvlText w:val="•"/>
      <w:lvlJc w:val="left"/>
      <w:pPr>
        <w:ind w:left="7308" w:hanging="360"/>
      </w:pPr>
      <w:rPr>
        <w:rFonts w:hint="default"/>
        <w:lang w:val="en-US" w:eastAsia="en-US" w:bidi="ar-SA"/>
      </w:rPr>
    </w:lvl>
    <w:lvl w:ilvl="8" w:tplc="73E0B27E">
      <w:numFmt w:val="bullet"/>
      <w:lvlText w:val="•"/>
      <w:lvlJc w:val="left"/>
      <w:pPr>
        <w:ind w:left="8181" w:hanging="360"/>
      </w:pPr>
      <w:rPr>
        <w:rFonts w:hint="default"/>
        <w:lang w:val="en-US" w:eastAsia="en-US" w:bidi="ar-SA"/>
      </w:rPr>
    </w:lvl>
  </w:abstractNum>
  <w:abstractNum w:abstractNumId="75" w15:restartNumberingAfterBreak="0">
    <w:nsid w:val="739C7DC3"/>
    <w:multiLevelType w:val="hybridMultilevel"/>
    <w:tmpl w:val="0E8EBFA8"/>
    <w:lvl w:ilvl="0" w:tplc="127A54A8">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3B42E5C0">
      <w:numFmt w:val="bullet"/>
      <w:lvlText w:val="•"/>
      <w:lvlJc w:val="left"/>
      <w:pPr>
        <w:ind w:left="2072" w:hanging="360"/>
      </w:pPr>
      <w:rPr>
        <w:rFonts w:hint="default"/>
        <w:lang w:val="en-US" w:eastAsia="en-US" w:bidi="ar-SA"/>
      </w:rPr>
    </w:lvl>
    <w:lvl w:ilvl="2" w:tplc="9724C03C">
      <w:numFmt w:val="bullet"/>
      <w:lvlText w:val="•"/>
      <w:lvlJc w:val="left"/>
      <w:pPr>
        <w:ind w:left="2945" w:hanging="360"/>
      </w:pPr>
      <w:rPr>
        <w:rFonts w:hint="default"/>
        <w:lang w:val="en-US" w:eastAsia="en-US" w:bidi="ar-SA"/>
      </w:rPr>
    </w:lvl>
    <w:lvl w:ilvl="3" w:tplc="396C345C">
      <w:numFmt w:val="bullet"/>
      <w:lvlText w:val="•"/>
      <w:lvlJc w:val="left"/>
      <w:pPr>
        <w:ind w:left="3817" w:hanging="360"/>
      </w:pPr>
      <w:rPr>
        <w:rFonts w:hint="default"/>
        <w:lang w:val="en-US" w:eastAsia="en-US" w:bidi="ar-SA"/>
      </w:rPr>
    </w:lvl>
    <w:lvl w:ilvl="4" w:tplc="31C813B2">
      <w:numFmt w:val="bullet"/>
      <w:lvlText w:val="•"/>
      <w:lvlJc w:val="left"/>
      <w:pPr>
        <w:ind w:left="4690" w:hanging="360"/>
      </w:pPr>
      <w:rPr>
        <w:rFonts w:hint="default"/>
        <w:lang w:val="en-US" w:eastAsia="en-US" w:bidi="ar-SA"/>
      </w:rPr>
    </w:lvl>
    <w:lvl w:ilvl="5" w:tplc="D598C97E">
      <w:numFmt w:val="bullet"/>
      <w:lvlText w:val="•"/>
      <w:lvlJc w:val="left"/>
      <w:pPr>
        <w:ind w:left="5563" w:hanging="360"/>
      </w:pPr>
      <w:rPr>
        <w:rFonts w:hint="default"/>
        <w:lang w:val="en-US" w:eastAsia="en-US" w:bidi="ar-SA"/>
      </w:rPr>
    </w:lvl>
    <w:lvl w:ilvl="6" w:tplc="76A28C10">
      <w:numFmt w:val="bullet"/>
      <w:lvlText w:val="•"/>
      <w:lvlJc w:val="left"/>
      <w:pPr>
        <w:ind w:left="6435" w:hanging="360"/>
      </w:pPr>
      <w:rPr>
        <w:rFonts w:hint="default"/>
        <w:lang w:val="en-US" w:eastAsia="en-US" w:bidi="ar-SA"/>
      </w:rPr>
    </w:lvl>
    <w:lvl w:ilvl="7" w:tplc="DB7A64FE">
      <w:numFmt w:val="bullet"/>
      <w:lvlText w:val="•"/>
      <w:lvlJc w:val="left"/>
      <w:pPr>
        <w:ind w:left="7308" w:hanging="360"/>
      </w:pPr>
      <w:rPr>
        <w:rFonts w:hint="default"/>
        <w:lang w:val="en-US" w:eastAsia="en-US" w:bidi="ar-SA"/>
      </w:rPr>
    </w:lvl>
    <w:lvl w:ilvl="8" w:tplc="EB94213E">
      <w:numFmt w:val="bullet"/>
      <w:lvlText w:val="•"/>
      <w:lvlJc w:val="left"/>
      <w:pPr>
        <w:ind w:left="8181" w:hanging="360"/>
      </w:pPr>
      <w:rPr>
        <w:rFonts w:hint="default"/>
        <w:lang w:val="en-US" w:eastAsia="en-US" w:bidi="ar-SA"/>
      </w:rPr>
    </w:lvl>
  </w:abstractNum>
  <w:abstractNum w:abstractNumId="76" w15:restartNumberingAfterBreak="0">
    <w:nsid w:val="77787F5E"/>
    <w:multiLevelType w:val="multilevel"/>
    <w:tmpl w:val="0B262962"/>
    <w:lvl w:ilvl="0">
      <w:start w:val="8"/>
      <w:numFmt w:val="upperLetter"/>
      <w:lvlText w:val="%1"/>
      <w:lvlJc w:val="left"/>
      <w:pPr>
        <w:ind w:left="993" w:hanging="514"/>
        <w:jc w:val="left"/>
      </w:pPr>
      <w:rPr>
        <w:rFonts w:hint="default"/>
        <w:lang w:val="en-US" w:eastAsia="en-US" w:bidi="ar-SA"/>
      </w:rPr>
    </w:lvl>
    <w:lvl w:ilvl="1">
      <w:start w:val="1"/>
      <w:numFmt w:val="decimal"/>
      <w:lvlText w:val="%1.%2"/>
      <w:lvlJc w:val="left"/>
      <w:pPr>
        <w:ind w:left="993" w:hanging="514"/>
        <w:jc w:val="left"/>
      </w:pPr>
      <w:rPr>
        <w:rFonts w:ascii="Arial" w:eastAsia="Arial" w:hAnsi="Arial" w:cs="Arial" w:hint="default"/>
        <w:b/>
        <w:bCs/>
        <w:i w:val="0"/>
        <w:iCs w:val="0"/>
        <w:spacing w:val="-1"/>
        <w:w w:val="99"/>
        <w:sz w:val="28"/>
        <w:szCs w:val="28"/>
        <w:lang w:val="en-US" w:eastAsia="en-US" w:bidi="ar-SA"/>
      </w:rPr>
    </w:lvl>
    <w:lvl w:ilvl="2">
      <w:start w:val="1"/>
      <w:numFmt w:val="decimal"/>
      <w:lvlText w:val="%1.%2.%3"/>
      <w:lvlJc w:val="left"/>
      <w:pPr>
        <w:ind w:left="1200" w:hanging="720"/>
        <w:jc w:val="left"/>
      </w:pPr>
      <w:rPr>
        <w:rFonts w:ascii="Arial" w:eastAsia="Arial" w:hAnsi="Arial" w:cs="Arial" w:hint="default"/>
        <w:b/>
        <w:bCs/>
        <w:i w:val="0"/>
        <w:iCs w:val="0"/>
        <w:spacing w:val="-1"/>
        <w:w w:val="100"/>
        <w:sz w:val="24"/>
        <w:szCs w:val="24"/>
        <w:lang w:val="en-US" w:eastAsia="en-US" w:bidi="ar-SA"/>
      </w:rPr>
    </w:lvl>
    <w:lvl w:ilvl="3">
      <w:numFmt w:val="bullet"/>
      <w:lvlText w:val="•"/>
      <w:lvlJc w:val="left"/>
      <w:pPr>
        <w:ind w:left="3139" w:hanging="720"/>
      </w:pPr>
      <w:rPr>
        <w:rFonts w:hint="default"/>
        <w:lang w:val="en-US" w:eastAsia="en-US" w:bidi="ar-SA"/>
      </w:rPr>
    </w:lvl>
    <w:lvl w:ilvl="4">
      <w:numFmt w:val="bullet"/>
      <w:lvlText w:val="•"/>
      <w:lvlJc w:val="left"/>
      <w:pPr>
        <w:ind w:left="4108" w:hanging="720"/>
      </w:pPr>
      <w:rPr>
        <w:rFonts w:hint="default"/>
        <w:lang w:val="en-US" w:eastAsia="en-US" w:bidi="ar-SA"/>
      </w:rPr>
    </w:lvl>
    <w:lvl w:ilvl="5">
      <w:numFmt w:val="bullet"/>
      <w:lvlText w:val="•"/>
      <w:lvlJc w:val="left"/>
      <w:pPr>
        <w:ind w:left="5078" w:hanging="720"/>
      </w:pPr>
      <w:rPr>
        <w:rFonts w:hint="default"/>
        <w:lang w:val="en-US" w:eastAsia="en-US" w:bidi="ar-SA"/>
      </w:rPr>
    </w:lvl>
    <w:lvl w:ilvl="6">
      <w:numFmt w:val="bullet"/>
      <w:lvlText w:val="•"/>
      <w:lvlJc w:val="left"/>
      <w:pPr>
        <w:ind w:left="6048" w:hanging="720"/>
      </w:pPr>
      <w:rPr>
        <w:rFonts w:hint="default"/>
        <w:lang w:val="en-US" w:eastAsia="en-US" w:bidi="ar-SA"/>
      </w:rPr>
    </w:lvl>
    <w:lvl w:ilvl="7">
      <w:numFmt w:val="bullet"/>
      <w:lvlText w:val="•"/>
      <w:lvlJc w:val="left"/>
      <w:pPr>
        <w:ind w:left="7017" w:hanging="720"/>
      </w:pPr>
      <w:rPr>
        <w:rFonts w:hint="default"/>
        <w:lang w:val="en-US" w:eastAsia="en-US" w:bidi="ar-SA"/>
      </w:rPr>
    </w:lvl>
    <w:lvl w:ilvl="8">
      <w:numFmt w:val="bullet"/>
      <w:lvlText w:val="•"/>
      <w:lvlJc w:val="left"/>
      <w:pPr>
        <w:ind w:left="7987" w:hanging="720"/>
      </w:pPr>
      <w:rPr>
        <w:rFonts w:hint="default"/>
        <w:lang w:val="en-US" w:eastAsia="en-US" w:bidi="ar-SA"/>
      </w:rPr>
    </w:lvl>
  </w:abstractNum>
  <w:abstractNum w:abstractNumId="77" w15:restartNumberingAfterBreak="0">
    <w:nsid w:val="77996BE5"/>
    <w:multiLevelType w:val="hybridMultilevel"/>
    <w:tmpl w:val="120A4958"/>
    <w:lvl w:ilvl="0" w:tplc="26FC0450">
      <w:numFmt w:val="bullet"/>
      <w:lvlText w:val=""/>
      <w:lvlJc w:val="left"/>
      <w:pPr>
        <w:ind w:left="1257" w:hanging="360"/>
      </w:pPr>
      <w:rPr>
        <w:rFonts w:ascii="Symbol" w:eastAsia="Symbol" w:hAnsi="Symbol" w:cs="Symbol" w:hint="default"/>
        <w:b w:val="0"/>
        <w:bCs w:val="0"/>
        <w:i w:val="0"/>
        <w:iCs w:val="0"/>
        <w:spacing w:val="0"/>
        <w:w w:val="99"/>
        <w:sz w:val="22"/>
        <w:szCs w:val="22"/>
        <w:lang w:val="en-US" w:eastAsia="en-US" w:bidi="ar-SA"/>
      </w:rPr>
    </w:lvl>
    <w:lvl w:ilvl="1" w:tplc="DE04D762">
      <w:numFmt w:val="bullet"/>
      <w:lvlText w:val="•"/>
      <w:lvlJc w:val="left"/>
      <w:pPr>
        <w:ind w:left="2126" w:hanging="360"/>
      </w:pPr>
      <w:rPr>
        <w:rFonts w:hint="default"/>
        <w:lang w:val="en-US" w:eastAsia="en-US" w:bidi="ar-SA"/>
      </w:rPr>
    </w:lvl>
    <w:lvl w:ilvl="2" w:tplc="53183D9E">
      <w:numFmt w:val="bullet"/>
      <w:lvlText w:val="•"/>
      <w:lvlJc w:val="left"/>
      <w:pPr>
        <w:ind w:left="2993" w:hanging="360"/>
      </w:pPr>
      <w:rPr>
        <w:rFonts w:hint="default"/>
        <w:lang w:val="en-US" w:eastAsia="en-US" w:bidi="ar-SA"/>
      </w:rPr>
    </w:lvl>
    <w:lvl w:ilvl="3" w:tplc="51A6C93C">
      <w:numFmt w:val="bullet"/>
      <w:lvlText w:val="•"/>
      <w:lvlJc w:val="left"/>
      <w:pPr>
        <w:ind w:left="3859" w:hanging="360"/>
      </w:pPr>
      <w:rPr>
        <w:rFonts w:hint="default"/>
        <w:lang w:val="en-US" w:eastAsia="en-US" w:bidi="ar-SA"/>
      </w:rPr>
    </w:lvl>
    <w:lvl w:ilvl="4" w:tplc="B6208742">
      <w:numFmt w:val="bullet"/>
      <w:lvlText w:val="•"/>
      <w:lvlJc w:val="left"/>
      <w:pPr>
        <w:ind w:left="4726" w:hanging="360"/>
      </w:pPr>
      <w:rPr>
        <w:rFonts w:hint="default"/>
        <w:lang w:val="en-US" w:eastAsia="en-US" w:bidi="ar-SA"/>
      </w:rPr>
    </w:lvl>
    <w:lvl w:ilvl="5" w:tplc="92C412CA">
      <w:numFmt w:val="bullet"/>
      <w:lvlText w:val="•"/>
      <w:lvlJc w:val="left"/>
      <w:pPr>
        <w:ind w:left="5593" w:hanging="360"/>
      </w:pPr>
      <w:rPr>
        <w:rFonts w:hint="default"/>
        <w:lang w:val="en-US" w:eastAsia="en-US" w:bidi="ar-SA"/>
      </w:rPr>
    </w:lvl>
    <w:lvl w:ilvl="6" w:tplc="4BBCBDC2">
      <w:numFmt w:val="bullet"/>
      <w:lvlText w:val="•"/>
      <w:lvlJc w:val="left"/>
      <w:pPr>
        <w:ind w:left="6459" w:hanging="360"/>
      </w:pPr>
      <w:rPr>
        <w:rFonts w:hint="default"/>
        <w:lang w:val="en-US" w:eastAsia="en-US" w:bidi="ar-SA"/>
      </w:rPr>
    </w:lvl>
    <w:lvl w:ilvl="7" w:tplc="60D067D6">
      <w:numFmt w:val="bullet"/>
      <w:lvlText w:val="•"/>
      <w:lvlJc w:val="left"/>
      <w:pPr>
        <w:ind w:left="7326" w:hanging="360"/>
      </w:pPr>
      <w:rPr>
        <w:rFonts w:hint="default"/>
        <w:lang w:val="en-US" w:eastAsia="en-US" w:bidi="ar-SA"/>
      </w:rPr>
    </w:lvl>
    <w:lvl w:ilvl="8" w:tplc="D220A77A">
      <w:numFmt w:val="bullet"/>
      <w:lvlText w:val="•"/>
      <w:lvlJc w:val="left"/>
      <w:pPr>
        <w:ind w:left="8193" w:hanging="360"/>
      </w:pPr>
      <w:rPr>
        <w:rFonts w:hint="default"/>
        <w:lang w:val="en-US" w:eastAsia="en-US" w:bidi="ar-SA"/>
      </w:rPr>
    </w:lvl>
  </w:abstractNum>
  <w:abstractNum w:abstractNumId="78" w15:restartNumberingAfterBreak="0">
    <w:nsid w:val="785C373B"/>
    <w:multiLevelType w:val="multilevel"/>
    <w:tmpl w:val="3DEAA704"/>
    <w:lvl w:ilvl="0">
      <w:start w:val="10"/>
      <w:numFmt w:val="upperLetter"/>
      <w:lvlText w:val="%1"/>
      <w:lvlJc w:val="left"/>
      <w:pPr>
        <w:ind w:left="686" w:hanging="467"/>
        <w:jc w:val="left"/>
      </w:pPr>
      <w:rPr>
        <w:rFonts w:hint="default"/>
        <w:lang w:val="en-US" w:eastAsia="en-US" w:bidi="ar-SA"/>
      </w:rPr>
    </w:lvl>
    <w:lvl w:ilvl="1">
      <w:start w:val="1"/>
      <w:numFmt w:val="decimal"/>
      <w:lvlText w:val="%1.%2"/>
      <w:lvlJc w:val="left"/>
      <w:pPr>
        <w:ind w:left="686" w:hanging="467"/>
        <w:jc w:val="left"/>
      </w:pPr>
      <w:rPr>
        <w:rFonts w:ascii="Arial" w:eastAsia="Arial" w:hAnsi="Arial" w:cs="Arial" w:hint="default"/>
        <w:b/>
        <w:bCs/>
        <w:i w:val="0"/>
        <w:iCs w:val="0"/>
        <w:spacing w:val="0"/>
        <w:w w:val="99"/>
        <w:sz w:val="28"/>
        <w:szCs w:val="28"/>
        <w:lang w:val="en-US" w:eastAsia="en-US" w:bidi="ar-SA"/>
      </w:rPr>
    </w:lvl>
    <w:lvl w:ilvl="2">
      <w:start w:val="1"/>
      <w:numFmt w:val="decimal"/>
      <w:lvlText w:val="%1.%2.%3"/>
      <w:lvlJc w:val="left"/>
      <w:pPr>
        <w:ind w:left="940" w:hanging="720"/>
        <w:jc w:val="left"/>
      </w:pPr>
      <w:rPr>
        <w:rFonts w:ascii="Arial" w:eastAsia="Arial" w:hAnsi="Arial" w:cs="Arial" w:hint="default"/>
        <w:b/>
        <w:bCs/>
        <w:i w:val="0"/>
        <w:iCs w:val="0"/>
        <w:spacing w:val="-1"/>
        <w:w w:val="100"/>
        <w:sz w:val="24"/>
        <w:szCs w:val="24"/>
        <w:lang w:val="en-US" w:eastAsia="en-US" w:bidi="ar-SA"/>
      </w:rPr>
    </w:lvl>
    <w:lvl w:ilvl="3">
      <w:numFmt w:val="bullet"/>
      <w:lvlText w:val="•"/>
      <w:lvlJc w:val="left"/>
      <w:pPr>
        <w:ind w:left="2904" w:hanging="720"/>
      </w:pPr>
      <w:rPr>
        <w:rFonts w:hint="default"/>
        <w:lang w:val="en-US" w:eastAsia="en-US" w:bidi="ar-SA"/>
      </w:rPr>
    </w:lvl>
    <w:lvl w:ilvl="4">
      <w:numFmt w:val="bullet"/>
      <w:lvlText w:val="•"/>
      <w:lvlJc w:val="left"/>
      <w:pPr>
        <w:ind w:left="3886" w:hanging="720"/>
      </w:pPr>
      <w:rPr>
        <w:rFonts w:hint="default"/>
        <w:lang w:val="en-US" w:eastAsia="en-US" w:bidi="ar-SA"/>
      </w:rPr>
    </w:lvl>
    <w:lvl w:ilvl="5">
      <w:numFmt w:val="bullet"/>
      <w:lvlText w:val="•"/>
      <w:lvlJc w:val="left"/>
      <w:pPr>
        <w:ind w:left="4868" w:hanging="720"/>
      </w:pPr>
      <w:rPr>
        <w:rFonts w:hint="default"/>
        <w:lang w:val="en-US" w:eastAsia="en-US" w:bidi="ar-SA"/>
      </w:rPr>
    </w:lvl>
    <w:lvl w:ilvl="6">
      <w:numFmt w:val="bullet"/>
      <w:lvlText w:val="•"/>
      <w:lvlJc w:val="left"/>
      <w:pPr>
        <w:ind w:left="5851" w:hanging="720"/>
      </w:pPr>
      <w:rPr>
        <w:rFonts w:hint="default"/>
        <w:lang w:val="en-US" w:eastAsia="en-US" w:bidi="ar-SA"/>
      </w:rPr>
    </w:lvl>
    <w:lvl w:ilvl="7">
      <w:numFmt w:val="bullet"/>
      <w:lvlText w:val="•"/>
      <w:lvlJc w:val="left"/>
      <w:pPr>
        <w:ind w:left="6833" w:hanging="720"/>
      </w:pPr>
      <w:rPr>
        <w:rFonts w:hint="default"/>
        <w:lang w:val="en-US" w:eastAsia="en-US" w:bidi="ar-SA"/>
      </w:rPr>
    </w:lvl>
    <w:lvl w:ilvl="8">
      <w:numFmt w:val="bullet"/>
      <w:lvlText w:val="•"/>
      <w:lvlJc w:val="left"/>
      <w:pPr>
        <w:ind w:left="7815" w:hanging="720"/>
      </w:pPr>
      <w:rPr>
        <w:rFonts w:hint="default"/>
        <w:lang w:val="en-US" w:eastAsia="en-US" w:bidi="ar-SA"/>
      </w:rPr>
    </w:lvl>
  </w:abstractNum>
  <w:abstractNum w:abstractNumId="79" w15:restartNumberingAfterBreak="0">
    <w:nsid w:val="79603C0E"/>
    <w:multiLevelType w:val="hybridMultilevel"/>
    <w:tmpl w:val="46E2D210"/>
    <w:lvl w:ilvl="0" w:tplc="6DC0BFA8">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14545D5E">
      <w:numFmt w:val="bullet"/>
      <w:lvlText w:val="•"/>
      <w:lvlJc w:val="left"/>
      <w:pPr>
        <w:ind w:left="2112" w:hanging="360"/>
      </w:pPr>
      <w:rPr>
        <w:rFonts w:hint="default"/>
        <w:lang w:val="en-US" w:eastAsia="en-US" w:bidi="ar-SA"/>
      </w:rPr>
    </w:lvl>
    <w:lvl w:ilvl="2" w:tplc="33E06AEE">
      <w:numFmt w:val="bullet"/>
      <w:lvlText w:val="•"/>
      <w:lvlJc w:val="left"/>
      <w:pPr>
        <w:ind w:left="3024" w:hanging="360"/>
      </w:pPr>
      <w:rPr>
        <w:rFonts w:hint="default"/>
        <w:lang w:val="en-US" w:eastAsia="en-US" w:bidi="ar-SA"/>
      </w:rPr>
    </w:lvl>
    <w:lvl w:ilvl="3" w:tplc="A18C20BA">
      <w:numFmt w:val="bullet"/>
      <w:lvlText w:val="•"/>
      <w:lvlJc w:val="left"/>
      <w:pPr>
        <w:ind w:left="3936" w:hanging="360"/>
      </w:pPr>
      <w:rPr>
        <w:rFonts w:hint="default"/>
        <w:lang w:val="en-US" w:eastAsia="en-US" w:bidi="ar-SA"/>
      </w:rPr>
    </w:lvl>
    <w:lvl w:ilvl="4" w:tplc="E064D7E6">
      <w:numFmt w:val="bullet"/>
      <w:lvlText w:val="•"/>
      <w:lvlJc w:val="left"/>
      <w:pPr>
        <w:ind w:left="4848" w:hanging="360"/>
      </w:pPr>
      <w:rPr>
        <w:rFonts w:hint="default"/>
        <w:lang w:val="en-US" w:eastAsia="en-US" w:bidi="ar-SA"/>
      </w:rPr>
    </w:lvl>
    <w:lvl w:ilvl="5" w:tplc="402687C0">
      <w:numFmt w:val="bullet"/>
      <w:lvlText w:val="•"/>
      <w:lvlJc w:val="left"/>
      <w:pPr>
        <w:ind w:left="5760" w:hanging="360"/>
      </w:pPr>
      <w:rPr>
        <w:rFonts w:hint="default"/>
        <w:lang w:val="en-US" w:eastAsia="en-US" w:bidi="ar-SA"/>
      </w:rPr>
    </w:lvl>
    <w:lvl w:ilvl="6" w:tplc="6F14E8D8">
      <w:numFmt w:val="bullet"/>
      <w:lvlText w:val="•"/>
      <w:lvlJc w:val="left"/>
      <w:pPr>
        <w:ind w:left="6672" w:hanging="360"/>
      </w:pPr>
      <w:rPr>
        <w:rFonts w:hint="default"/>
        <w:lang w:val="en-US" w:eastAsia="en-US" w:bidi="ar-SA"/>
      </w:rPr>
    </w:lvl>
    <w:lvl w:ilvl="7" w:tplc="2E32A0C4">
      <w:numFmt w:val="bullet"/>
      <w:lvlText w:val="•"/>
      <w:lvlJc w:val="left"/>
      <w:pPr>
        <w:ind w:left="7584" w:hanging="360"/>
      </w:pPr>
      <w:rPr>
        <w:rFonts w:hint="default"/>
        <w:lang w:val="en-US" w:eastAsia="en-US" w:bidi="ar-SA"/>
      </w:rPr>
    </w:lvl>
    <w:lvl w:ilvl="8" w:tplc="06D687E6">
      <w:numFmt w:val="bullet"/>
      <w:lvlText w:val="•"/>
      <w:lvlJc w:val="left"/>
      <w:pPr>
        <w:ind w:left="8496" w:hanging="360"/>
      </w:pPr>
      <w:rPr>
        <w:rFonts w:hint="default"/>
        <w:lang w:val="en-US" w:eastAsia="en-US" w:bidi="ar-SA"/>
      </w:rPr>
    </w:lvl>
  </w:abstractNum>
  <w:abstractNum w:abstractNumId="80" w15:restartNumberingAfterBreak="0">
    <w:nsid w:val="7A7B106E"/>
    <w:multiLevelType w:val="hybridMultilevel"/>
    <w:tmpl w:val="161692CC"/>
    <w:lvl w:ilvl="0" w:tplc="011CD0C8">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07F24DEC">
      <w:numFmt w:val="bullet"/>
      <w:lvlText w:val="•"/>
      <w:lvlJc w:val="left"/>
      <w:pPr>
        <w:ind w:left="2112" w:hanging="360"/>
      </w:pPr>
      <w:rPr>
        <w:rFonts w:hint="default"/>
        <w:lang w:val="en-US" w:eastAsia="en-US" w:bidi="ar-SA"/>
      </w:rPr>
    </w:lvl>
    <w:lvl w:ilvl="2" w:tplc="AB043718">
      <w:numFmt w:val="bullet"/>
      <w:lvlText w:val="•"/>
      <w:lvlJc w:val="left"/>
      <w:pPr>
        <w:ind w:left="3024" w:hanging="360"/>
      </w:pPr>
      <w:rPr>
        <w:rFonts w:hint="default"/>
        <w:lang w:val="en-US" w:eastAsia="en-US" w:bidi="ar-SA"/>
      </w:rPr>
    </w:lvl>
    <w:lvl w:ilvl="3" w:tplc="1D2453E4">
      <w:numFmt w:val="bullet"/>
      <w:lvlText w:val="•"/>
      <w:lvlJc w:val="left"/>
      <w:pPr>
        <w:ind w:left="3936" w:hanging="360"/>
      </w:pPr>
      <w:rPr>
        <w:rFonts w:hint="default"/>
        <w:lang w:val="en-US" w:eastAsia="en-US" w:bidi="ar-SA"/>
      </w:rPr>
    </w:lvl>
    <w:lvl w:ilvl="4" w:tplc="E206A430">
      <w:numFmt w:val="bullet"/>
      <w:lvlText w:val="•"/>
      <w:lvlJc w:val="left"/>
      <w:pPr>
        <w:ind w:left="4848" w:hanging="360"/>
      </w:pPr>
      <w:rPr>
        <w:rFonts w:hint="default"/>
        <w:lang w:val="en-US" w:eastAsia="en-US" w:bidi="ar-SA"/>
      </w:rPr>
    </w:lvl>
    <w:lvl w:ilvl="5" w:tplc="4EF69DF8">
      <w:numFmt w:val="bullet"/>
      <w:lvlText w:val="•"/>
      <w:lvlJc w:val="left"/>
      <w:pPr>
        <w:ind w:left="5760" w:hanging="360"/>
      </w:pPr>
      <w:rPr>
        <w:rFonts w:hint="default"/>
        <w:lang w:val="en-US" w:eastAsia="en-US" w:bidi="ar-SA"/>
      </w:rPr>
    </w:lvl>
    <w:lvl w:ilvl="6" w:tplc="B6324A7C">
      <w:numFmt w:val="bullet"/>
      <w:lvlText w:val="•"/>
      <w:lvlJc w:val="left"/>
      <w:pPr>
        <w:ind w:left="6672" w:hanging="360"/>
      </w:pPr>
      <w:rPr>
        <w:rFonts w:hint="default"/>
        <w:lang w:val="en-US" w:eastAsia="en-US" w:bidi="ar-SA"/>
      </w:rPr>
    </w:lvl>
    <w:lvl w:ilvl="7" w:tplc="F9C0DC26">
      <w:numFmt w:val="bullet"/>
      <w:lvlText w:val="•"/>
      <w:lvlJc w:val="left"/>
      <w:pPr>
        <w:ind w:left="7584" w:hanging="360"/>
      </w:pPr>
      <w:rPr>
        <w:rFonts w:hint="default"/>
        <w:lang w:val="en-US" w:eastAsia="en-US" w:bidi="ar-SA"/>
      </w:rPr>
    </w:lvl>
    <w:lvl w:ilvl="8" w:tplc="259C4776">
      <w:numFmt w:val="bullet"/>
      <w:lvlText w:val="•"/>
      <w:lvlJc w:val="left"/>
      <w:pPr>
        <w:ind w:left="8496" w:hanging="360"/>
      </w:pPr>
      <w:rPr>
        <w:rFonts w:hint="default"/>
        <w:lang w:val="en-US" w:eastAsia="en-US" w:bidi="ar-SA"/>
      </w:rPr>
    </w:lvl>
  </w:abstractNum>
  <w:abstractNum w:abstractNumId="81" w15:restartNumberingAfterBreak="0">
    <w:nsid w:val="7B4B43CE"/>
    <w:multiLevelType w:val="hybridMultilevel"/>
    <w:tmpl w:val="FBDE0CFE"/>
    <w:lvl w:ilvl="0" w:tplc="D840A204">
      <w:numFmt w:val="bullet"/>
      <w:lvlText w:val=""/>
      <w:lvlJc w:val="left"/>
      <w:pPr>
        <w:ind w:left="403" w:hanging="188"/>
      </w:pPr>
      <w:rPr>
        <w:rFonts w:ascii="Symbol" w:eastAsia="Symbol" w:hAnsi="Symbol" w:cs="Symbol" w:hint="default"/>
        <w:b w:val="0"/>
        <w:bCs w:val="0"/>
        <w:i w:val="0"/>
        <w:iCs w:val="0"/>
        <w:spacing w:val="0"/>
        <w:w w:val="100"/>
        <w:sz w:val="20"/>
        <w:szCs w:val="20"/>
        <w:lang w:val="en-US" w:eastAsia="en-US" w:bidi="ar-SA"/>
      </w:rPr>
    </w:lvl>
    <w:lvl w:ilvl="1" w:tplc="FB38329C">
      <w:numFmt w:val="bullet"/>
      <w:lvlText w:val="•"/>
      <w:lvlJc w:val="left"/>
      <w:pPr>
        <w:ind w:left="651" w:hanging="188"/>
      </w:pPr>
      <w:rPr>
        <w:rFonts w:hint="default"/>
        <w:lang w:val="en-US" w:eastAsia="en-US" w:bidi="ar-SA"/>
      </w:rPr>
    </w:lvl>
    <w:lvl w:ilvl="2" w:tplc="0734B4BC">
      <w:numFmt w:val="bullet"/>
      <w:lvlText w:val="•"/>
      <w:lvlJc w:val="left"/>
      <w:pPr>
        <w:ind w:left="902" w:hanging="188"/>
      </w:pPr>
      <w:rPr>
        <w:rFonts w:hint="default"/>
        <w:lang w:val="en-US" w:eastAsia="en-US" w:bidi="ar-SA"/>
      </w:rPr>
    </w:lvl>
    <w:lvl w:ilvl="3" w:tplc="077ED92E">
      <w:numFmt w:val="bullet"/>
      <w:lvlText w:val="•"/>
      <w:lvlJc w:val="left"/>
      <w:pPr>
        <w:ind w:left="1153" w:hanging="188"/>
      </w:pPr>
      <w:rPr>
        <w:rFonts w:hint="default"/>
        <w:lang w:val="en-US" w:eastAsia="en-US" w:bidi="ar-SA"/>
      </w:rPr>
    </w:lvl>
    <w:lvl w:ilvl="4" w:tplc="47E6A7AA">
      <w:numFmt w:val="bullet"/>
      <w:lvlText w:val="•"/>
      <w:lvlJc w:val="left"/>
      <w:pPr>
        <w:ind w:left="1405" w:hanging="188"/>
      </w:pPr>
      <w:rPr>
        <w:rFonts w:hint="default"/>
        <w:lang w:val="en-US" w:eastAsia="en-US" w:bidi="ar-SA"/>
      </w:rPr>
    </w:lvl>
    <w:lvl w:ilvl="5" w:tplc="CABC4D20">
      <w:numFmt w:val="bullet"/>
      <w:lvlText w:val="•"/>
      <w:lvlJc w:val="left"/>
      <w:pPr>
        <w:ind w:left="1656" w:hanging="188"/>
      </w:pPr>
      <w:rPr>
        <w:rFonts w:hint="default"/>
        <w:lang w:val="en-US" w:eastAsia="en-US" w:bidi="ar-SA"/>
      </w:rPr>
    </w:lvl>
    <w:lvl w:ilvl="6" w:tplc="4078C9E8">
      <w:numFmt w:val="bullet"/>
      <w:lvlText w:val="•"/>
      <w:lvlJc w:val="left"/>
      <w:pPr>
        <w:ind w:left="1907" w:hanging="188"/>
      </w:pPr>
      <w:rPr>
        <w:rFonts w:hint="default"/>
        <w:lang w:val="en-US" w:eastAsia="en-US" w:bidi="ar-SA"/>
      </w:rPr>
    </w:lvl>
    <w:lvl w:ilvl="7" w:tplc="4F6A1FF2">
      <w:numFmt w:val="bullet"/>
      <w:lvlText w:val="•"/>
      <w:lvlJc w:val="left"/>
      <w:pPr>
        <w:ind w:left="2159" w:hanging="188"/>
      </w:pPr>
      <w:rPr>
        <w:rFonts w:hint="default"/>
        <w:lang w:val="en-US" w:eastAsia="en-US" w:bidi="ar-SA"/>
      </w:rPr>
    </w:lvl>
    <w:lvl w:ilvl="8" w:tplc="F6221C58">
      <w:numFmt w:val="bullet"/>
      <w:lvlText w:val="•"/>
      <w:lvlJc w:val="left"/>
      <w:pPr>
        <w:ind w:left="2410" w:hanging="188"/>
      </w:pPr>
      <w:rPr>
        <w:rFonts w:hint="default"/>
        <w:lang w:val="en-US" w:eastAsia="en-US" w:bidi="ar-SA"/>
      </w:rPr>
    </w:lvl>
  </w:abstractNum>
  <w:abstractNum w:abstractNumId="82" w15:restartNumberingAfterBreak="0">
    <w:nsid w:val="7C2C77B7"/>
    <w:multiLevelType w:val="multilevel"/>
    <w:tmpl w:val="D982CB12"/>
    <w:lvl w:ilvl="0">
      <w:start w:val="1"/>
      <w:numFmt w:val="upperLetter"/>
      <w:lvlText w:val="%1"/>
      <w:lvlJc w:val="left"/>
      <w:pPr>
        <w:ind w:left="993" w:hanging="514"/>
        <w:jc w:val="left"/>
      </w:pPr>
      <w:rPr>
        <w:rFonts w:hint="default"/>
        <w:lang w:val="en-US" w:eastAsia="en-US" w:bidi="ar-SA"/>
      </w:rPr>
    </w:lvl>
    <w:lvl w:ilvl="1">
      <w:start w:val="1"/>
      <w:numFmt w:val="decimal"/>
      <w:lvlText w:val="%1.%2"/>
      <w:lvlJc w:val="left"/>
      <w:pPr>
        <w:ind w:left="993" w:hanging="514"/>
        <w:jc w:val="left"/>
      </w:pPr>
      <w:rPr>
        <w:rFonts w:ascii="Arial" w:eastAsia="Arial" w:hAnsi="Arial" w:cs="Arial" w:hint="default"/>
        <w:b/>
        <w:bCs/>
        <w:i w:val="0"/>
        <w:iCs w:val="0"/>
        <w:spacing w:val="-1"/>
        <w:w w:val="99"/>
        <w:sz w:val="28"/>
        <w:szCs w:val="28"/>
        <w:lang w:val="en-US" w:eastAsia="en-US" w:bidi="ar-SA"/>
      </w:rPr>
    </w:lvl>
    <w:lvl w:ilvl="2">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3139" w:hanging="360"/>
      </w:pPr>
      <w:rPr>
        <w:rFonts w:hint="default"/>
        <w:lang w:val="en-US" w:eastAsia="en-US" w:bidi="ar-SA"/>
      </w:rPr>
    </w:lvl>
    <w:lvl w:ilvl="4">
      <w:numFmt w:val="bullet"/>
      <w:lvlText w:val="•"/>
      <w:lvlJc w:val="left"/>
      <w:pPr>
        <w:ind w:left="4108" w:hanging="360"/>
      </w:pPr>
      <w:rPr>
        <w:rFonts w:hint="default"/>
        <w:lang w:val="en-US" w:eastAsia="en-US" w:bidi="ar-SA"/>
      </w:rPr>
    </w:lvl>
    <w:lvl w:ilvl="5">
      <w:numFmt w:val="bullet"/>
      <w:lvlText w:val="•"/>
      <w:lvlJc w:val="left"/>
      <w:pPr>
        <w:ind w:left="5078" w:hanging="360"/>
      </w:pPr>
      <w:rPr>
        <w:rFonts w:hint="default"/>
        <w:lang w:val="en-US" w:eastAsia="en-US" w:bidi="ar-SA"/>
      </w:rPr>
    </w:lvl>
    <w:lvl w:ilvl="6">
      <w:numFmt w:val="bullet"/>
      <w:lvlText w:val="•"/>
      <w:lvlJc w:val="left"/>
      <w:pPr>
        <w:ind w:left="6048" w:hanging="360"/>
      </w:pPr>
      <w:rPr>
        <w:rFonts w:hint="default"/>
        <w:lang w:val="en-US" w:eastAsia="en-US" w:bidi="ar-SA"/>
      </w:rPr>
    </w:lvl>
    <w:lvl w:ilvl="7">
      <w:numFmt w:val="bullet"/>
      <w:lvlText w:val="•"/>
      <w:lvlJc w:val="left"/>
      <w:pPr>
        <w:ind w:left="7017" w:hanging="360"/>
      </w:pPr>
      <w:rPr>
        <w:rFonts w:hint="default"/>
        <w:lang w:val="en-US" w:eastAsia="en-US" w:bidi="ar-SA"/>
      </w:rPr>
    </w:lvl>
    <w:lvl w:ilvl="8">
      <w:numFmt w:val="bullet"/>
      <w:lvlText w:val="•"/>
      <w:lvlJc w:val="left"/>
      <w:pPr>
        <w:ind w:left="7987" w:hanging="360"/>
      </w:pPr>
      <w:rPr>
        <w:rFonts w:hint="default"/>
        <w:lang w:val="en-US" w:eastAsia="en-US" w:bidi="ar-SA"/>
      </w:rPr>
    </w:lvl>
  </w:abstractNum>
  <w:abstractNum w:abstractNumId="83" w15:restartNumberingAfterBreak="0">
    <w:nsid w:val="7C786084"/>
    <w:multiLevelType w:val="hybridMultilevel"/>
    <w:tmpl w:val="EF96DF84"/>
    <w:lvl w:ilvl="0" w:tplc="497EED44">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E95E50DC">
      <w:numFmt w:val="bullet"/>
      <w:lvlText w:val="•"/>
      <w:lvlJc w:val="left"/>
      <w:pPr>
        <w:ind w:left="2072" w:hanging="360"/>
      </w:pPr>
      <w:rPr>
        <w:rFonts w:hint="default"/>
        <w:lang w:val="en-US" w:eastAsia="en-US" w:bidi="ar-SA"/>
      </w:rPr>
    </w:lvl>
    <w:lvl w:ilvl="2" w:tplc="860C114A">
      <w:numFmt w:val="bullet"/>
      <w:lvlText w:val="•"/>
      <w:lvlJc w:val="left"/>
      <w:pPr>
        <w:ind w:left="2945" w:hanging="360"/>
      </w:pPr>
      <w:rPr>
        <w:rFonts w:hint="default"/>
        <w:lang w:val="en-US" w:eastAsia="en-US" w:bidi="ar-SA"/>
      </w:rPr>
    </w:lvl>
    <w:lvl w:ilvl="3" w:tplc="C5747A1C">
      <w:numFmt w:val="bullet"/>
      <w:lvlText w:val="•"/>
      <w:lvlJc w:val="left"/>
      <w:pPr>
        <w:ind w:left="3817" w:hanging="360"/>
      </w:pPr>
      <w:rPr>
        <w:rFonts w:hint="default"/>
        <w:lang w:val="en-US" w:eastAsia="en-US" w:bidi="ar-SA"/>
      </w:rPr>
    </w:lvl>
    <w:lvl w:ilvl="4" w:tplc="018A4974">
      <w:numFmt w:val="bullet"/>
      <w:lvlText w:val="•"/>
      <w:lvlJc w:val="left"/>
      <w:pPr>
        <w:ind w:left="4690" w:hanging="360"/>
      </w:pPr>
      <w:rPr>
        <w:rFonts w:hint="default"/>
        <w:lang w:val="en-US" w:eastAsia="en-US" w:bidi="ar-SA"/>
      </w:rPr>
    </w:lvl>
    <w:lvl w:ilvl="5" w:tplc="622EFCEA">
      <w:numFmt w:val="bullet"/>
      <w:lvlText w:val="•"/>
      <w:lvlJc w:val="left"/>
      <w:pPr>
        <w:ind w:left="5563" w:hanging="360"/>
      </w:pPr>
      <w:rPr>
        <w:rFonts w:hint="default"/>
        <w:lang w:val="en-US" w:eastAsia="en-US" w:bidi="ar-SA"/>
      </w:rPr>
    </w:lvl>
    <w:lvl w:ilvl="6" w:tplc="4E183D98">
      <w:numFmt w:val="bullet"/>
      <w:lvlText w:val="•"/>
      <w:lvlJc w:val="left"/>
      <w:pPr>
        <w:ind w:left="6435" w:hanging="360"/>
      </w:pPr>
      <w:rPr>
        <w:rFonts w:hint="default"/>
        <w:lang w:val="en-US" w:eastAsia="en-US" w:bidi="ar-SA"/>
      </w:rPr>
    </w:lvl>
    <w:lvl w:ilvl="7" w:tplc="730C169C">
      <w:numFmt w:val="bullet"/>
      <w:lvlText w:val="•"/>
      <w:lvlJc w:val="left"/>
      <w:pPr>
        <w:ind w:left="7308" w:hanging="360"/>
      </w:pPr>
      <w:rPr>
        <w:rFonts w:hint="default"/>
        <w:lang w:val="en-US" w:eastAsia="en-US" w:bidi="ar-SA"/>
      </w:rPr>
    </w:lvl>
    <w:lvl w:ilvl="8" w:tplc="CE7CF65C">
      <w:numFmt w:val="bullet"/>
      <w:lvlText w:val="•"/>
      <w:lvlJc w:val="left"/>
      <w:pPr>
        <w:ind w:left="8181" w:hanging="360"/>
      </w:pPr>
      <w:rPr>
        <w:rFonts w:hint="default"/>
        <w:lang w:val="en-US" w:eastAsia="en-US" w:bidi="ar-SA"/>
      </w:rPr>
    </w:lvl>
  </w:abstractNum>
  <w:abstractNum w:abstractNumId="84" w15:restartNumberingAfterBreak="0">
    <w:nsid w:val="7F6B7CA7"/>
    <w:multiLevelType w:val="hybridMultilevel"/>
    <w:tmpl w:val="A7202714"/>
    <w:lvl w:ilvl="0" w:tplc="939EB5B0">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1" w:tplc="A760C28A">
      <w:numFmt w:val="bullet"/>
      <w:lvlText w:val="•"/>
      <w:lvlJc w:val="left"/>
      <w:pPr>
        <w:ind w:left="2112" w:hanging="360"/>
      </w:pPr>
      <w:rPr>
        <w:rFonts w:hint="default"/>
        <w:lang w:val="en-US" w:eastAsia="en-US" w:bidi="ar-SA"/>
      </w:rPr>
    </w:lvl>
    <w:lvl w:ilvl="2" w:tplc="CFD6D59A">
      <w:numFmt w:val="bullet"/>
      <w:lvlText w:val="•"/>
      <w:lvlJc w:val="left"/>
      <w:pPr>
        <w:ind w:left="3024" w:hanging="360"/>
      </w:pPr>
      <w:rPr>
        <w:rFonts w:hint="default"/>
        <w:lang w:val="en-US" w:eastAsia="en-US" w:bidi="ar-SA"/>
      </w:rPr>
    </w:lvl>
    <w:lvl w:ilvl="3" w:tplc="312A84B0">
      <w:numFmt w:val="bullet"/>
      <w:lvlText w:val="•"/>
      <w:lvlJc w:val="left"/>
      <w:pPr>
        <w:ind w:left="3936" w:hanging="360"/>
      </w:pPr>
      <w:rPr>
        <w:rFonts w:hint="default"/>
        <w:lang w:val="en-US" w:eastAsia="en-US" w:bidi="ar-SA"/>
      </w:rPr>
    </w:lvl>
    <w:lvl w:ilvl="4" w:tplc="CB9A5ADC">
      <w:numFmt w:val="bullet"/>
      <w:lvlText w:val="•"/>
      <w:lvlJc w:val="left"/>
      <w:pPr>
        <w:ind w:left="4848" w:hanging="360"/>
      </w:pPr>
      <w:rPr>
        <w:rFonts w:hint="default"/>
        <w:lang w:val="en-US" w:eastAsia="en-US" w:bidi="ar-SA"/>
      </w:rPr>
    </w:lvl>
    <w:lvl w:ilvl="5" w:tplc="472E2C56">
      <w:numFmt w:val="bullet"/>
      <w:lvlText w:val="•"/>
      <w:lvlJc w:val="left"/>
      <w:pPr>
        <w:ind w:left="5760" w:hanging="360"/>
      </w:pPr>
      <w:rPr>
        <w:rFonts w:hint="default"/>
        <w:lang w:val="en-US" w:eastAsia="en-US" w:bidi="ar-SA"/>
      </w:rPr>
    </w:lvl>
    <w:lvl w:ilvl="6" w:tplc="5742E0D4">
      <w:numFmt w:val="bullet"/>
      <w:lvlText w:val="•"/>
      <w:lvlJc w:val="left"/>
      <w:pPr>
        <w:ind w:left="6672" w:hanging="360"/>
      </w:pPr>
      <w:rPr>
        <w:rFonts w:hint="default"/>
        <w:lang w:val="en-US" w:eastAsia="en-US" w:bidi="ar-SA"/>
      </w:rPr>
    </w:lvl>
    <w:lvl w:ilvl="7" w:tplc="AA38A9E4">
      <w:numFmt w:val="bullet"/>
      <w:lvlText w:val="•"/>
      <w:lvlJc w:val="left"/>
      <w:pPr>
        <w:ind w:left="7584" w:hanging="360"/>
      </w:pPr>
      <w:rPr>
        <w:rFonts w:hint="default"/>
        <w:lang w:val="en-US" w:eastAsia="en-US" w:bidi="ar-SA"/>
      </w:rPr>
    </w:lvl>
    <w:lvl w:ilvl="8" w:tplc="3C4EE4F0">
      <w:numFmt w:val="bullet"/>
      <w:lvlText w:val="•"/>
      <w:lvlJc w:val="left"/>
      <w:pPr>
        <w:ind w:left="8496" w:hanging="360"/>
      </w:pPr>
      <w:rPr>
        <w:rFonts w:hint="default"/>
        <w:lang w:val="en-US" w:eastAsia="en-US" w:bidi="ar-SA"/>
      </w:rPr>
    </w:lvl>
  </w:abstractNum>
  <w:abstractNum w:abstractNumId="85" w15:restartNumberingAfterBreak="0">
    <w:nsid w:val="7FE54FEB"/>
    <w:multiLevelType w:val="hybridMultilevel"/>
    <w:tmpl w:val="49420138"/>
    <w:lvl w:ilvl="0" w:tplc="3EACDD4A">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DCCC0B38">
      <w:numFmt w:val="bullet"/>
      <w:lvlText w:val="•"/>
      <w:lvlJc w:val="left"/>
      <w:pPr>
        <w:ind w:left="2072" w:hanging="360"/>
      </w:pPr>
      <w:rPr>
        <w:rFonts w:hint="default"/>
        <w:lang w:val="en-US" w:eastAsia="en-US" w:bidi="ar-SA"/>
      </w:rPr>
    </w:lvl>
    <w:lvl w:ilvl="2" w:tplc="C366B6C6">
      <w:numFmt w:val="bullet"/>
      <w:lvlText w:val="•"/>
      <w:lvlJc w:val="left"/>
      <w:pPr>
        <w:ind w:left="2945" w:hanging="360"/>
      </w:pPr>
      <w:rPr>
        <w:rFonts w:hint="default"/>
        <w:lang w:val="en-US" w:eastAsia="en-US" w:bidi="ar-SA"/>
      </w:rPr>
    </w:lvl>
    <w:lvl w:ilvl="3" w:tplc="672C885E">
      <w:numFmt w:val="bullet"/>
      <w:lvlText w:val="•"/>
      <w:lvlJc w:val="left"/>
      <w:pPr>
        <w:ind w:left="3817" w:hanging="360"/>
      </w:pPr>
      <w:rPr>
        <w:rFonts w:hint="default"/>
        <w:lang w:val="en-US" w:eastAsia="en-US" w:bidi="ar-SA"/>
      </w:rPr>
    </w:lvl>
    <w:lvl w:ilvl="4" w:tplc="267E0D92">
      <w:numFmt w:val="bullet"/>
      <w:lvlText w:val="•"/>
      <w:lvlJc w:val="left"/>
      <w:pPr>
        <w:ind w:left="4690" w:hanging="360"/>
      </w:pPr>
      <w:rPr>
        <w:rFonts w:hint="default"/>
        <w:lang w:val="en-US" w:eastAsia="en-US" w:bidi="ar-SA"/>
      </w:rPr>
    </w:lvl>
    <w:lvl w:ilvl="5" w:tplc="F5C07854">
      <w:numFmt w:val="bullet"/>
      <w:lvlText w:val="•"/>
      <w:lvlJc w:val="left"/>
      <w:pPr>
        <w:ind w:left="5563" w:hanging="360"/>
      </w:pPr>
      <w:rPr>
        <w:rFonts w:hint="default"/>
        <w:lang w:val="en-US" w:eastAsia="en-US" w:bidi="ar-SA"/>
      </w:rPr>
    </w:lvl>
    <w:lvl w:ilvl="6" w:tplc="95FEDC10">
      <w:numFmt w:val="bullet"/>
      <w:lvlText w:val="•"/>
      <w:lvlJc w:val="left"/>
      <w:pPr>
        <w:ind w:left="6435" w:hanging="360"/>
      </w:pPr>
      <w:rPr>
        <w:rFonts w:hint="default"/>
        <w:lang w:val="en-US" w:eastAsia="en-US" w:bidi="ar-SA"/>
      </w:rPr>
    </w:lvl>
    <w:lvl w:ilvl="7" w:tplc="E3C6B57E">
      <w:numFmt w:val="bullet"/>
      <w:lvlText w:val="•"/>
      <w:lvlJc w:val="left"/>
      <w:pPr>
        <w:ind w:left="7308" w:hanging="360"/>
      </w:pPr>
      <w:rPr>
        <w:rFonts w:hint="default"/>
        <w:lang w:val="en-US" w:eastAsia="en-US" w:bidi="ar-SA"/>
      </w:rPr>
    </w:lvl>
    <w:lvl w:ilvl="8" w:tplc="4E44E85C">
      <w:numFmt w:val="bullet"/>
      <w:lvlText w:val="•"/>
      <w:lvlJc w:val="left"/>
      <w:pPr>
        <w:ind w:left="8181" w:hanging="360"/>
      </w:pPr>
      <w:rPr>
        <w:rFonts w:hint="default"/>
        <w:lang w:val="en-US" w:eastAsia="en-US" w:bidi="ar-SA"/>
      </w:rPr>
    </w:lvl>
  </w:abstractNum>
  <w:num w:numId="1" w16cid:durableId="999037979">
    <w:abstractNumId w:val="7"/>
  </w:num>
  <w:num w:numId="2" w16cid:durableId="1396053259">
    <w:abstractNumId w:val="27"/>
  </w:num>
  <w:num w:numId="3" w16cid:durableId="386608149">
    <w:abstractNumId w:val="31"/>
  </w:num>
  <w:num w:numId="4" w16cid:durableId="331106914">
    <w:abstractNumId w:val="78"/>
  </w:num>
  <w:num w:numId="5" w16cid:durableId="738023163">
    <w:abstractNumId w:val="16"/>
  </w:num>
  <w:num w:numId="6" w16cid:durableId="1593665765">
    <w:abstractNumId w:val="74"/>
  </w:num>
  <w:num w:numId="7" w16cid:durableId="1995991977">
    <w:abstractNumId w:val="45"/>
  </w:num>
  <w:num w:numId="8" w16cid:durableId="578902809">
    <w:abstractNumId w:val="32"/>
  </w:num>
  <w:num w:numId="9" w16cid:durableId="1528056247">
    <w:abstractNumId w:val="63"/>
  </w:num>
  <w:num w:numId="10" w16cid:durableId="1404984940">
    <w:abstractNumId w:val="85"/>
  </w:num>
  <w:num w:numId="11" w16cid:durableId="1508132607">
    <w:abstractNumId w:val="76"/>
  </w:num>
  <w:num w:numId="12" w16cid:durableId="103304978">
    <w:abstractNumId w:val="19"/>
  </w:num>
  <w:num w:numId="13" w16cid:durableId="829635399">
    <w:abstractNumId w:val="57"/>
  </w:num>
  <w:num w:numId="14" w16cid:durableId="392899456">
    <w:abstractNumId w:val="28"/>
  </w:num>
  <w:num w:numId="15" w16cid:durableId="360594230">
    <w:abstractNumId w:val="39"/>
  </w:num>
  <w:num w:numId="16" w16cid:durableId="1880236135">
    <w:abstractNumId w:val="12"/>
  </w:num>
  <w:num w:numId="17" w16cid:durableId="216431645">
    <w:abstractNumId w:val="77"/>
  </w:num>
  <w:num w:numId="18" w16cid:durableId="1908219949">
    <w:abstractNumId w:val="21"/>
  </w:num>
  <w:num w:numId="19" w16cid:durableId="1017973024">
    <w:abstractNumId w:val="59"/>
  </w:num>
  <w:num w:numId="20" w16cid:durableId="245266521">
    <w:abstractNumId w:val="26"/>
  </w:num>
  <w:num w:numId="21" w16cid:durableId="1136409070">
    <w:abstractNumId w:val="48"/>
  </w:num>
  <w:num w:numId="22" w16cid:durableId="1577518133">
    <w:abstractNumId w:val="3"/>
  </w:num>
  <w:num w:numId="23" w16cid:durableId="899897884">
    <w:abstractNumId w:val="0"/>
  </w:num>
  <w:num w:numId="24" w16cid:durableId="1830824320">
    <w:abstractNumId w:val="72"/>
  </w:num>
  <w:num w:numId="25" w16cid:durableId="291400632">
    <w:abstractNumId w:val="58"/>
  </w:num>
  <w:num w:numId="26" w16cid:durableId="517935877">
    <w:abstractNumId w:val="43"/>
  </w:num>
  <w:num w:numId="27" w16cid:durableId="200367636">
    <w:abstractNumId w:val="29"/>
  </w:num>
  <w:num w:numId="28" w16cid:durableId="1892423174">
    <w:abstractNumId w:val="44"/>
  </w:num>
  <w:num w:numId="29" w16cid:durableId="660278571">
    <w:abstractNumId w:val="36"/>
  </w:num>
  <w:num w:numId="30" w16cid:durableId="1778139324">
    <w:abstractNumId w:val="1"/>
  </w:num>
  <w:num w:numId="31" w16cid:durableId="1325351174">
    <w:abstractNumId w:val="70"/>
  </w:num>
  <w:num w:numId="32" w16cid:durableId="399909942">
    <w:abstractNumId w:val="82"/>
  </w:num>
  <w:num w:numId="33" w16cid:durableId="583883406">
    <w:abstractNumId w:val="10"/>
  </w:num>
  <w:num w:numId="34" w16cid:durableId="1939367362">
    <w:abstractNumId w:val="6"/>
  </w:num>
  <w:num w:numId="35" w16cid:durableId="1916698361">
    <w:abstractNumId w:val="49"/>
  </w:num>
  <w:num w:numId="36" w16cid:durableId="2145731701">
    <w:abstractNumId w:val="75"/>
  </w:num>
  <w:num w:numId="37" w16cid:durableId="528880523">
    <w:abstractNumId w:val="66"/>
  </w:num>
  <w:num w:numId="38" w16cid:durableId="162398630">
    <w:abstractNumId w:val="83"/>
  </w:num>
  <w:num w:numId="39" w16cid:durableId="1011567122">
    <w:abstractNumId w:val="41"/>
  </w:num>
  <w:num w:numId="40" w16cid:durableId="1436091806">
    <w:abstractNumId w:val="25"/>
  </w:num>
  <w:num w:numId="41" w16cid:durableId="1964144878">
    <w:abstractNumId w:val="73"/>
  </w:num>
  <w:num w:numId="42" w16cid:durableId="2014868649">
    <w:abstractNumId w:val="46"/>
  </w:num>
  <w:num w:numId="43" w16cid:durableId="101070190">
    <w:abstractNumId w:val="13"/>
  </w:num>
  <w:num w:numId="44" w16cid:durableId="970937058">
    <w:abstractNumId w:val="9"/>
  </w:num>
  <w:num w:numId="45" w16cid:durableId="250549359">
    <w:abstractNumId w:val="65"/>
  </w:num>
  <w:num w:numId="46" w16cid:durableId="567615361">
    <w:abstractNumId w:val="80"/>
  </w:num>
  <w:num w:numId="47" w16cid:durableId="1892761296">
    <w:abstractNumId w:val="5"/>
  </w:num>
  <w:num w:numId="48" w16cid:durableId="2005358667">
    <w:abstractNumId w:val="81"/>
  </w:num>
  <w:num w:numId="49" w16cid:durableId="612326154">
    <w:abstractNumId w:val="37"/>
  </w:num>
  <w:num w:numId="50" w16cid:durableId="1876262113">
    <w:abstractNumId w:val="4"/>
  </w:num>
  <w:num w:numId="51" w16cid:durableId="7296886">
    <w:abstractNumId w:val="52"/>
  </w:num>
  <w:num w:numId="52" w16cid:durableId="1422532767">
    <w:abstractNumId w:val="55"/>
  </w:num>
  <w:num w:numId="53" w16cid:durableId="1633755045">
    <w:abstractNumId w:val="23"/>
  </w:num>
  <w:num w:numId="54" w16cid:durableId="2107537685">
    <w:abstractNumId w:val="35"/>
  </w:num>
  <w:num w:numId="55" w16cid:durableId="2122458559">
    <w:abstractNumId w:val="60"/>
  </w:num>
  <w:num w:numId="56" w16cid:durableId="2013801440">
    <w:abstractNumId w:val="34"/>
  </w:num>
  <w:num w:numId="57" w16cid:durableId="838738254">
    <w:abstractNumId w:val="38"/>
  </w:num>
  <w:num w:numId="58" w16cid:durableId="812917149">
    <w:abstractNumId w:val="11"/>
  </w:num>
  <w:num w:numId="59" w16cid:durableId="1280407253">
    <w:abstractNumId w:val="2"/>
  </w:num>
  <w:num w:numId="60" w16cid:durableId="955137123">
    <w:abstractNumId w:val="24"/>
  </w:num>
  <w:num w:numId="61" w16cid:durableId="333649138">
    <w:abstractNumId w:val="64"/>
  </w:num>
  <w:num w:numId="62" w16cid:durableId="718479209">
    <w:abstractNumId w:val="56"/>
  </w:num>
  <w:num w:numId="63" w16cid:durableId="1246306186">
    <w:abstractNumId w:val="84"/>
  </w:num>
  <w:num w:numId="64" w16cid:durableId="2062364460">
    <w:abstractNumId w:val="40"/>
  </w:num>
  <w:num w:numId="65" w16cid:durableId="477113097">
    <w:abstractNumId w:val="20"/>
  </w:num>
  <w:num w:numId="66" w16cid:durableId="57366614">
    <w:abstractNumId w:val="33"/>
  </w:num>
  <w:num w:numId="67" w16cid:durableId="280497482">
    <w:abstractNumId w:val="69"/>
  </w:num>
  <w:num w:numId="68" w16cid:durableId="1005522810">
    <w:abstractNumId w:val="79"/>
  </w:num>
  <w:num w:numId="69" w16cid:durableId="666176184">
    <w:abstractNumId w:val="50"/>
  </w:num>
  <w:num w:numId="70" w16cid:durableId="1372806256">
    <w:abstractNumId w:val="18"/>
  </w:num>
  <w:num w:numId="71" w16cid:durableId="2136679413">
    <w:abstractNumId w:val="22"/>
  </w:num>
  <w:num w:numId="72" w16cid:durableId="2437530">
    <w:abstractNumId w:val="54"/>
  </w:num>
  <w:num w:numId="73" w16cid:durableId="1274745495">
    <w:abstractNumId w:val="14"/>
  </w:num>
  <w:num w:numId="74" w16cid:durableId="560335022">
    <w:abstractNumId w:val="42"/>
  </w:num>
  <w:num w:numId="75" w16cid:durableId="1236939834">
    <w:abstractNumId w:val="30"/>
  </w:num>
  <w:num w:numId="76" w16cid:durableId="246960420">
    <w:abstractNumId w:val="8"/>
  </w:num>
  <w:num w:numId="77" w16cid:durableId="773477304">
    <w:abstractNumId w:val="17"/>
  </w:num>
  <w:num w:numId="78" w16cid:durableId="169613457">
    <w:abstractNumId w:val="47"/>
  </w:num>
  <w:num w:numId="79" w16cid:durableId="412356669">
    <w:abstractNumId w:val="53"/>
  </w:num>
  <w:num w:numId="80" w16cid:durableId="879174765">
    <w:abstractNumId w:val="67"/>
  </w:num>
  <w:num w:numId="81" w16cid:durableId="265770651">
    <w:abstractNumId w:val="51"/>
  </w:num>
  <w:num w:numId="82" w16cid:durableId="1952666449">
    <w:abstractNumId w:val="61"/>
  </w:num>
  <w:num w:numId="83" w16cid:durableId="1099563668">
    <w:abstractNumId w:val="71"/>
  </w:num>
  <w:num w:numId="84" w16cid:durableId="1514488339">
    <w:abstractNumId w:val="15"/>
  </w:num>
  <w:num w:numId="85" w16cid:durableId="820393732">
    <w:abstractNumId w:val="62"/>
  </w:num>
  <w:num w:numId="86" w16cid:durableId="732046884">
    <w:abstractNumId w:val="6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389"/>
    <w:rsid w:val="00052AC5"/>
    <w:rsid w:val="00420A35"/>
    <w:rsid w:val="00561FBD"/>
    <w:rsid w:val="00C31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1A71F"/>
  <w15:docId w15:val="{257B104D-7005-46EC-A51B-2D7C1C2583A8}"/>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0"/>
      <w:ind w:left="480"/>
      <w:outlineLvl w:val="0"/>
    </w:pPr>
    <w:rPr>
      <w:b/>
      <w:bCs/>
      <w:sz w:val="32"/>
      <w:szCs w:val="32"/>
    </w:rPr>
  </w:style>
  <w:style w:type="paragraph" w:styleId="Heading2">
    <w:name w:val="heading 2"/>
    <w:basedOn w:val="Normal"/>
    <w:uiPriority w:val="9"/>
    <w:unhideWhenUsed/>
    <w:qFormat/>
    <w:pPr>
      <w:ind w:left="945" w:hanging="465"/>
      <w:outlineLvl w:val="1"/>
    </w:pPr>
    <w:rPr>
      <w:b/>
      <w:bCs/>
      <w:sz w:val="28"/>
      <w:szCs w:val="28"/>
    </w:rPr>
  </w:style>
  <w:style w:type="paragraph" w:styleId="Heading3">
    <w:name w:val="heading 3"/>
    <w:basedOn w:val="Normal"/>
    <w:uiPriority w:val="9"/>
    <w:unhideWhenUsed/>
    <w:qFormat/>
    <w:pPr>
      <w:ind w:left="936" w:hanging="716"/>
      <w:outlineLvl w:val="2"/>
    </w:pPr>
    <w:rPr>
      <w:b/>
      <w:bCs/>
      <w:sz w:val="24"/>
      <w:szCs w:val="24"/>
    </w:rPr>
  </w:style>
  <w:style w:type="paragraph" w:styleId="Heading4">
    <w:name w:val="heading 4"/>
    <w:basedOn w:val="Normal"/>
    <w:uiPriority w:val="9"/>
    <w:unhideWhenUsed/>
    <w:qFormat/>
    <w:pPr>
      <w:ind w:left="1197" w:hanging="717"/>
      <w:outlineLvl w:val="3"/>
    </w:pPr>
    <w:rPr>
      <w:b/>
      <w:bCs/>
      <w:sz w:val="24"/>
      <w:szCs w:val="24"/>
    </w:rPr>
  </w:style>
  <w:style w:type="paragraph" w:styleId="Heading5">
    <w:name w:val="heading 5"/>
    <w:basedOn w:val="Normal"/>
    <w:uiPriority w:val="9"/>
    <w:unhideWhenUsed/>
    <w:qFormat/>
    <w:pPr>
      <w:spacing w:before="92"/>
      <w:ind w:left="1212" w:hanging="732"/>
      <w:outlineLvl w:val="4"/>
    </w:pPr>
    <w:rPr>
      <w:b/>
      <w:bCs/>
      <w:i/>
      <w:iCs/>
      <w:sz w:val="24"/>
      <w:szCs w:val="24"/>
    </w:rPr>
  </w:style>
  <w:style w:type="paragraph" w:styleId="Heading6">
    <w:name w:val="heading 6"/>
    <w:basedOn w:val="Normal"/>
    <w:uiPriority w:val="9"/>
    <w:unhideWhenUsed/>
    <w:qFormat/>
    <w:pPr>
      <w:spacing w:before="119"/>
      <w:ind w:left="1200"/>
      <w:outlineLvl w:val="5"/>
    </w:pPr>
    <w:rPr>
      <w:rFonts w:ascii="Cambria" w:eastAsia="Cambria" w:hAnsi="Cambria" w:cs="Cambria"/>
      <w:i/>
      <w:iCs/>
      <w:sz w:val="23"/>
      <w:szCs w:val="23"/>
    </w:rPr>
  </w:style>
  <w:style w:type="paragraph" w:styleId="Heading7">
    <w:name w:val="heading 7"/>
    <w:basedOn w:val="Normal"/>
    <w:uiPriority w:val="1"/>
    <w:qFormat/>
    <w:pPr>
      <w:ind w:left="20"/>
      <w:outlineLvl w:val="6"/>
    </w:pPr>
    <w:rPr>
      <w:b/>
      <w:bCs/>
    </w:rPr>
  </w:style>
  <w:style w:type="paragraph" w:styleId="Heading8">
    <w:name w:val="heading 8"/>
    <w:basedOn w:val="Normal"/>
    <w:uiPriority w:val="1"/>
    <w:qFormat/>
    <w:pPr>
      <w:ind w:left="1212" w:hanging="732"/>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746" w:hanging="266"/>
    </w:pPr>
    <w:rPr>
      <w:b/>
      <w:bCs/>
      <w:sz w:val="24"/>
      <w:szCs w:val="24"/>
    </w:rPr>
  </w:style>
  <w:style w:type="paragraph" w:styleId="TOC2">
    <w:name w:val="toc 2"/>
    <w:basedOn w:val="Normal"/>
    <w:uiPriority w:val="1"/>
    <w:qFormat/>
    <w:pPr>
      <w:spacing w:before="60"/>
      <w:ind w:left="1393" w:hanging="366"/>
    </w:pPr>
  </w:style>
  <w:style w:type="paragraph" w:styleId="TOC3">
    <w:name w:val="toc 3"/>
    <w:basedOn w:val="Normal"/>
    <w:uiPriority w:val="1"/>
    <w:qFormat/>
    <w:pPr>
      <w:spacing w:before="60"/>
      <w:ind w:left="2108" w:hanging="549"/>
    </w:pPr>
  </w:style>
  <w:style w:type="paragraph" w:styleId="TOC4">
    <w:name w:val="toc 4"/>
    <w:basedOn w:val="Normal"/>
    <w:uiPriority w:val="1"/>
    <w:qFormat/>
    <w:pPr>
      <w:spacing w:before="60"/>
      <w:ind w:left="2108" w:hanging="549"/>
    </w:pPr>
  </w:style>
  <w:style w:type="paragraph" w:styleId="TOC5">
    <w:name w:val="toc 5"/>
    <w:basedOn w:val="Normal"/>
    <w:uiPriority w:val="1"/>
    <w:qFormat/>
    <w:pPr>
      <w:spacing w:before="60" w:after="240"/>
      <w:ind w:left="2291" w:hanging="732"/>
    </w:pPr>
    <w:rPr>
      <w:i/>
      <w:iCs/>
    </w:rPr>
  </w:style>
  <w:style w:type="paragraph" w:styleId="BodyText">
    <w:name w:val="Body Text"/>
    <w:basedOn w:val="Normal"/>
    <w:uiPriority w:val="1"/>
    <w:qFormat/>
  </w:style>
  <w:style w:type="paragraph" w:styleId="ListParagraph">
    <w:name w:val="List Paragraph"/>
    <w:basedOn w:val="Normal"/>
    <w:uiPriority w:val="1"/>
    <w:qFormat/>
    <w:pPr>
      <w:ind w:left="1199" w:hanging="360"/>
    </w:pPr>
  </w:style>
  <w:style w:type="paragraph" w:customStyle="1" w:styleId="TableParagraph">
    <w:name w:val="Table Paragraph"/>
    <w:basedOn w:val="Normal"/>
    <w:uiPriority w:val="1"/>
    <w:qFormat/>
    <w:pPr>
      <w:spacing w:before="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hyperlink" Target="http://www.cpuc.ca.gov/-/media/cpuc-website/divisions/energy-division/documents/demand-side-management/acc-" TargetMode="External" Id="rId117" /><Relationship Type="http://schemas.openxmlformats.org/officeDocument/2006/relationships/footer" Target="footer58.xml" Id="rId299" /><Relationship Type="http://schemas.openxmlformats.org/officeDocument/2006/relationships/footer" Target="footer1.xml" Id="rId21" /><Relationship Type="http://schemas.openxmlformats.org/officeDocument/2006/relationships/footer" Target="footer10.xml" Id="rId63" /><Relationship Type="http://schemas.openxmlformats.org/officeDocument/2006/relationships/hyperlink" Target="https://www.cpuc.ca.gov/industries-and-topics/electrical-energy/demand-side-management/energy-efficiency/energy-efficiency-potential-and-goals-studies/2023-potential-and-goals-study" TargetMode="External" Id="rId159" /><Relationship Type="http://schemas.openxmlformats.org/officeDocument/2006/relationships/header" Target="header66.xml" Id="rId324" /><Relationship Type="http://schemas.openxmlformats.org/officeDocument/2006/relationships/header" Target="header33.xml" Id="rId170" /><Relationship Type="http://schemas.openxmlformats.org/officeDocument/2006/relationships/image" Target="media/image65.png" Id="rId226" /><Relationship Type="http://schemas.openxmlformats.org/officeDocument/2006/relationships/footer" Target="footer52.xml" Id="rId268" /><Relationship Type="http://schemas.openxmlformats.org/officeDocument/2006/relationships/header" Target="header5.xml" Id="rId32" /><Relationship Type="http://schemas.openxmlformats.org/officeDocument/2006/relationships/header" Target="header12.xml" Id="rId74" /><Relationship Type="http://schemas.openxmlformats.org/officeDocument/2006/relationships/header" Target="header23.xml" Id="rId128" /><Relationship Type="http://schemas.openxmlformats.org/officeDocument/2006/relationships/image" Target="media/image77.png" Id="rId335" /><Relationship Type="http://schemas.openxmlformats.org/officeDocument/2006/relationships/footnotes" Target="footnotes.xml" Id="rId5" /><Relationship Type="http://schemas.openxmlformats.org/officeDocument/2006/relationships/image" Target="media/image53.png" Id="rId181" /><Relationship Type="http://schemas.openxmlformats.org/officeDocument/2006/relationships/footer" Target="footer45.xml" Id="rId237" /><Relationship Type="http://schemas.openxmlformats.org/officeDocument/2006/relationships/hyperlink" Target="https://cedars.sound-data.com/programs/SDGE4061/details/" TargetMode="External" Id="rId279" /><Relationship Type="http://schemas.openxmlformats.org/officeDocument/2006/relationships/image" Target="media/image20.png" Id="rId43" /><Relationship Type="http://schemas.openxmlformats.org/officeDocument/2006/relationships/header" Target="header26.xml" Id="rId139" /><Relationship Type="http://schemas.openxmlformats.org/officeDocument/2006/relationships/hyperlink" Target="http://www.epa.gov/statelocalclimate/documents/pdf/table_rules_of_thumb.pdf" TargetMode="External" Id="rId290" /><Relationship Type="http://schemas.openxmlformats.org/officeDocument/2006/relationships/header" Target="header61.xml" Id="rId304" /><Relationship Type="http://schemas.openxmlformats.org/officeDocument/2006/relationships/footer" Target="footer73.xml" Id="rId346" /><Relationship Type="http://schemas.openxmlformats.org/officeDocument/2006/relationships/header" Target="header15.xml" Id="rId85" /><Relationship Type="http://schemas.openxmlformats.org/officeDocument/2006/relationships/image" Target="media/image41.jpeg" Id="rId150" /><Relationship Type="http://schemas.openxmlformats.org/officeDocument/2006/relationships/hyperlink" Target="http://www.cpuc.ca.gov/-/media/cpuc-website/divisions/energy-division/documents/energy-efficiency/rolling-" TargetMode="External" Id="rId192" /><Relationship Type="http://schemas.openxmlformats.org/officeDocument/2006/relationships/hyperlink" Target="https://ww2.arb.ca.gov/sites/default/files/2022-08/2022_State_SIP_Strategy.pdf" TargetMode="External" Id="rId206" /><Relationship Type="http://schemas.openxmlformats.org/officeDocument/2006/relationships/hyperlink" Target="https://www.caetrm.com/measure/SWHC044/02/" TargetMode="External" Id="rId248" /><Relationship Type="http://schemas.openxmlformats.org/officeDocument/2006/relationships/image" Target="media/image6.png" Id="rId12" /><Relationship Type="http://schemas.openxmlformats.org/officeDocument/2006/relationships/image" Target="media/image36.png" Id="rId108" /><Relationship Type="http://schemas.openxmlformats.org/officeDocument/2006/relationships/image" Target="media/image74.png" Id="rId315" /><Relationship Type="http://schemas.openxmlformats.org/officeDocument/2006/relationships/hyperlink" Target="http://www.cpuc.ca.gov/-/media/cpuc-" TargetMode="External" Id="rId357" /><Relationship Type="http://schemas.openxmlformats.org/officeDocument/2006/relationships/hyperlink" Target="http://docs.cpuc.ca.gov/PublishedDocs/Published/G000/M310/K053/310053527.PDF" TargetMode="External" Id="rId54" /><Relationship Type="http://schemas.openxmlformats.org/officeDocument/2006/relationships/hyperlink" Target="https://cedars.sound-data.com/reports/record-level" TargetMode="External" Id="rId96" /><Relationship Type="http://schemas.openxmlformats.org/officeDocument/2006/relationships/footer" Target="footer30.xml" Id="rId161" /><Relationship Type="http://schemas.openxmlformats.org/officeDocument/2006/relationships/footer" Target="footer41.xml" Id="rId217" /><Relationship Type="http://schemas.openxmlformats.org/officeDocument/2006/relationships/hyperlink" Target="http://www.eia.gov/consumption/residential/data/2009/index.php?view=consumption&amp;fuel-consumption" TargetMode="External" Id="rId259" /><Relationship Type="http://schemas.openxmlformats.org/officeDocument/2006/relationships/footer" Target="footer2.xml" Id="rId23" /><Relationship Type="http://schemas.openxmlformats.org/officeDocument/2006/relationships/hyperlink" Target="https://ww2.arb.ca.gov/sites/default/files/2022-08/2022_State_SIP_Strategy.pdf" TargetMode="External" Id="rId119" /><Relationship Type="http://schemas.openxmlformats.org/officeDocument/2006/relationships/header" Target="header53.xml" Id="rId270" /><Relationship Type="http://schemas.openxmlformats.org/officeDocument/2006/relationships/hyperlink" Target="http://pages.stern.nyu.edu/%7Ewgreene/DiscreteChoice/Readings/McFadden-Train.pdf" TargetMode="External" Id="rId326" /><Relationship Type="http://schemas.openxmlformats.org/officeDocument/2006/relationships/hyperlink" Target="http://www.cpuc.ca.gov/industries-and-topics/electrical-energy/demand-side-management/energy-efficiency/idsm" TargetMode="External" Id="rId65" /><Relationship Type="http://schemas.openxmlformats.org/officeDocument/2006/relationships/header" Target="header24.xml" Id="rId130" /><Relationship Type="http://schemas.openxmlformats.org/officeDocument/2006/relationships/image" Target="media/image48.png" Id="rId172" /><Relationship Type="http://schemas.openxmlformats.org/officeDocument/2006/relationships/image" Target="media/image70.png" Id="rId228" /><Relationship Type="http://schemas.openxmlformats.org/officeDocument/2006/relationships/hyperlink" Target="http://aceee.org/files/proceedings/2014/data/papers/7-153.pdf" TargetMode="External" Id="rId281" /><Relationship Type="http://schemas.openxmlformats.org/officeDocument/2006/relationships/footer" Target="footer69.xml" Id="rId337" /><Relationship Type="http://schemas.openxmlformats.org/officeDocument/2006/relationships/header" Target="header6.xml" Id="rId34" /><Relationship Type="http://schemas.openxmlformats.org/officeDocument/2006/relationships/image" Target="media/image29.png" Id="rId76" /><Relationship Type="http://schemas.openxmlformats.org/officeDocument/2006/relationships/hyperlink" Target="https://energy.gov/eere/amo/industrial-assessment-centers-iacs" TargetMode="External" Id="rId141" /><Relationship Type="http://schemas.openxmlformats.org/officeDocument/2006/relationships/image" Target="media/image1.jpeg" Id="rId7" /><Relationship Type="http://schemas.openxmlformats.org/officeDocument/2006/relationships/footer" Target="footer35.xml" Id="rId183" /><Relationship Type="http://schemas.openxmlformats.org/officeDocument/2006/relationships/footer" Target="footer46.xml" Id="rId239" /><Relationship Type="http://schemas.openxmlformats.org/officeDocument/2006/relationships/footer" Target="footer49.xml" Id="rId250" /><Relationship Type="http://schemas.openxmlformats.org/officeDocument/2006/relationships/footer" Target="footer55.xml" Id="rId292" /><Relationship Type="http://schemas.openxmlformats.org/officeDocument/2006/relationships/header" Target="header62.xml" Id="rId306" /><Relationship Type="http://schemas.openxmlformats.org/officeDocument/2006/relationships/image" Target="media/image22.png" Id="rId45" /><Relationship Type="http://schemas.openxmlformats.org/officeDocument/2006/relationships/image" Target="media/image34.png" Id="rId87" /><Relationship Type="http://schemas.openxmlformats.org/officeDocument/2006/relationships/image" Target="media/image38.png" Id="rId110" /><Relationship Type="http://schemas.openxmlformats.org/officeDocument/2006/relationships/hyperlink" Target="https://www.energy.gov/eere/buildings/about-commercial-buildings-integration-program" TargetMode="External" Id="rId348" /><Relationship Type="http://schemas.openxmlformats.org/officeDocument/2006/relationships/footer" Target="footer28.xml" Id="rId152" /><Relationship Type="http://schemas.openxmlformats.org/officeDocument/2006/relationships/hyperlink" Target="https://crsreports.congress.gov/product/pdf/IF/IF12258/2?itid=lk_inline_enhanced-template%23%3A%7E%3Atext%3DHigh%2DEfficiency%20Electric%20Home%20Rebates&amp;text=The%20IRA%20also%20funds%20rebates%2C%2C%20air%20sealing%2C%20and%20ventilation" TargetMode="External" Id="rId194" /><Relationship Type="http://schemas.openxmlformats.org/officeDocument/2006/relationships/hyperlink" Target="https://docs.cpuc.ca.gov/SearchRes.aspx?docformat=ALL&amp;docid=502981822" TargetMode="External" Id="rId208" /><Relationship Type="http://schemas.openxmlformats.org/officeDocument/2006/relationships/hyperlink" Target="http://aceee.org/research-report/b132" TargetMode="External" Id="rId261" /><Relationship Type="http://schemas.openxmlformats.org/officeDocument/2006/relationships/image" Target="media/image7.jpeg" Id="rId14" /><Relationship Type="http://schemas.openxmlformats.org/officeDocument/2006/relationships/footer" Target="footer9.xml" Id="rId56" /><Relationship Type="http://schemas.openxmlformats.org/officeDocument/2006/relationships/hyperlink" Target="http://www.etcc-ca.com/reports" TargetMode="External" Id="rId317" /><Relationship Type="http://schemas.openxmlformats.org/officeDocument/2006/relationships/theme" Target="theme/theme1.xml" Id="rId359" /><Relationship Type="http://schemas.openxmlformats.org/officeDocument/2006/relationships/footer" Target="footer17.xml" Id="rId98" /><Relationship Type="http://schemas.openxmlformats.org/officeDocument/2006/relationships/footer" Target="footer21.xml" Id="rId121" /><Relationship Type="http://schemas.openxmlformats.org/officeDocument/2006/relationships/footer" Target="footer31.xml" Id="rId163" /><Relationship Type="http://schemas.openxmlformats.org/officeDocument/2006/relationships/footer" Target="footer42.xml" Id="rId219" /><Relationship Type="http://schemas.openxmlformats.org/officeDocument/2006/relationships/footer" Target="footer43.xml" Id="rId230" /><Relationship Type="http://schemas.openxmlformats.org/officeDocument/2006/relationships/hyperlink" Target="https://leginfo.legislature.ca.gov/faces/billTextClient.xhtml?bill_id=201520160SB350" TargetMode="External" Id="rId25" /><Relationship Type="http://schemas.openxmlformats.org/officeDocument/2006/relationships/image" Target="media/image23.png" Id="rId46" /><Relationship Type="http://schemas.openxmlformats.org/officeDocument/2006/relationships/hyperlink" Target="http://www.cpuc.ca.gov/industries-and-topics/electrical-energy/demand-side-management/energy-efficiency/idsm" TargetMode="External" Id="rId67" /><Relationship Type="http://schemas.openxmlformats.org/officeDocument/2006/relationships/hyperlink" Target="http://www.energy.ca.gov/ceus/index.html" TargetMode="External" Id="rId272" /><Relationship Type="http://schemas.openxmlformats.org/officeDocument/2006/relationships/hyperlink" Target="http://www.energydataweb.com/cpuc/search.aspx" TargetMode="External" Id="rId293" /><Relationship Type="http://schemas.openxmlformats.org/officeDocument/2006/relationships/footer" Target="footer62.xml" Id="rId307" /><Relationship Type="http://schemas.openxmlformats.org/officeDocument/2006/relationships/hyperlink" Target="https://www.nber.org/papers/w15031" TargetMode="External" Id="rId328" /><Relationship Type="http://schemas.openxmlformats.org/officeDocument/2006/relationships/header" Target="header74.xml" Id="rId349" /><Relationship Type="http://schemas.openxmlformats.org/officeDocument/2006/relationships/header" Target="header16.xml" Id="rId88" /><Relationship Type="http://schemas.openxmlformats.org/officeDocument/2006/relationships/header" Target="header20.xml" Id="rId111" /><Relationship Type="http://schemas.openxmlformats.org/officeDocument/2006/relationships/hyperlink" Target="http://www.rsmeansonline.com/" TargetMode="External" Id="rId132" /><Relationship Type="http://schemas.openxmlformats.org/officeDocument/2006/relationships/header" Target="header29.xml" Id="rId153" /><Relationship Type="http://schemas.openxmlformats.org/officeDocument/2006/relationships/image" Target="media/image50.jpeg" Id="rId174" /><Relationship Type="http://schemas.openxmlformats.org/officeDocument/2006/relationships/hyperlink" Target="https://crsreports.congress.gov/product/pdf/IF/IF12258/2?itid=lk_inline_enhanced-template%23%3A%7E%3Atext%3DHigh%2DEfficiency%20Electric%20Home%20Rebates&amp;text=The%20IRA%20also%20funds%20rebates%2C%2C%20air%20sealing%2C%20and%20ventilation" TargetMode="External" Id="rId195" /><Relationship Type="http://schemas.openxmlformats.org/officeDocument/2006/relationships/hyperlink" Target="http://www.cpuc.ca.gov/about-cpuc/divisions/energy-division/building-decarbonization/fuel-substitution-in-" TargetMode="External" Id="rId209" /><Relationship Type="http://schemas.openxmlformats.org/officeDocument/2006/relationships/image" Target="media/image60.jpeg" Id="rId220" /><Relationship Type="http://schemas.openxmlformats.org/officeDocument/2006/relationships/footer" Target="footer47.xml" Id="rId241" /><Relationship Type="http://schemas.openxmlformats.org/officeDocument/2006/relationships/image" Target="media/image8.png" Id="rId15" /><Relationship Type="http://schemas.openxmlformats.org/officeDocument/2006/relationships/image" Target="media/image13.png" Id="rId36" /><Relationship Type="http://schemas.openxmlformats.org/officeDocument/2006/relationships/hyperlink" Target="https://www.cpuc.ca.gov/industries-and-topics/electrical-energy/demand-side-management/energy-efficiency/energy-efficiency-potential-and-goals-studies/2023-potential-and-goals-study" TargetMode="External" Id="rId57" /><Relationship Type="http://schemas.openxmlformats.org/officeDocument/2006/relationships/hyperlink" Target="https://www.amazon.com/Rainforest-Energy-Monitor-ZigBee-Gateway/dp/B00AII248U" TargetMode="External" Id="rId262" /><Relationship Type="http://schemas.openxmlformats.org/officeDocument/2006/relationships/hyperlink" Target="http://www.eia.gov/consumption/commercial/data/2012/index.php?view=consumption&amp;c13-c22" TargetMode="External" Id="rId283" /><Relationship Type="http://schemas.openxmlformats.org/officeDocument/2006/relationships/hyperlink" Target="http://www.energy.ca.gov/publications/searchReports.php?pier1=Buildings%20End-Use%20Energy%20Efficiency" TargetMode="External" Id="rId318" /><Relationship Type="http://schemas.openxmlformats.org/officeDocument/2006/relationships/header" Target="header70.xml" Id="rId339" /><Relationship Type="http://schemas.openxmlformats.org/officeDocument/2006/relationships/image" Target="media/image31.png" Id="rId78" /><Relationship Type="http://schemas.openxmlformats.org/officeDocument/2006/relationships/hyperlink" Target="http://www.ecdms.energy.ca.gov/elecbyutil.aspx" TargetMode="External" Id="rId99" /><Relationship Type="http://schemas.openxmlformats.org/officeDocument/2006/relationships/hyperlink" Target="http://ecdms.energy.ca.gov/" TargetMode="External" Id="rId101" /><Relationship Type="http://schemas.openxmlformats.org/officeDocument/2006/relationships/hyperlink" Target="https://www.cpuc.ca.gov/industries-and-topics/electrical-energy/demand-side-management/energy-efficiency/energy-efficiency-potential-and-goals-studies/2023-potential-and-goals-study" TargetMode="External" Id="rId122" /><Relationship Type="http://schemas.openxmlformats.org/officeDocument/2006/relationships/hyperlink" Target="http://www.puc.pa.gov/filing_resources/issues_laws_regulations/act_129_information/technical_reference_manual.aspx" TargetMode="External" Id="rId143" /><Relationship Type="http://schemas.openxmlformats.org/officeDocument/2006/relationships/image" Target="media/image44.jpeg" Id="rId164" /><Relationship Type="http://schemas.openxmlformats.org/officeDocument/2006/relationships/image" Target="media/image55.png" Id="rId185" /><Relationship Type="http://schemas.openxmlformats.org/officeDocument/2006/relationships/footer" Target="footer74.xml" Id="rId350" /><Relationship Type="http://schemas.openxmlformats.org/officeDocument/2006/relationships/image" Target="media/image3.jpeg" Id="rId9" /><Relationship Type="http://schemas.openxmlformats.org/officeDocument/2006/relationships/header" Target="header40.xml" Id="rId210" /><Relationship Type="http://schemas.openxmlformats.org/officeDocument/2006/relationships/header" Target="header3.xml" Id="rId26" /><Relationship Type="http://schemas.openxmlformats.org/officeDocument/2006/relationships/hyperlink" Target="https://www.nrel.gov/docs/fy18osti/70485.pdf" TargetMode="External" Id="rId231" /><Relationship Type="http://schemas.openxmlformats.org/officeDocument/2006/relationships/header" Target="header50.xml" Id="rId252" /><Relationship Type="http://schemas.openxmlformats.org/officeDocument/2006/relationships/hyperlink" Target="http://capabilities.itron.com/ceusweb/" TargetMode="External" Id="rId273" /><Relationship Type="http://schemas.openxmlformats.org/officeDocument/2006/relationships/header" Target="header56.xml" Id="rId294" /><Relationship Type="http://schemas.openxmlformats.org/officeDocument/2006/relationships/header" Target="header63.xml" Id="rId308" /><Relationship Type="http://schemas.openxmlformats.org/officeDocument/2006/relationships/hyperlink" Target="https://www.iepec.org/wp-content/uploads/2018/02/117-2.pdf" TargetMode="External" Id="rId329" /><Relationship Type="http://schemas.openxmlformats.org/officeDocument/2006/relationships/hyperlink" Target="https://pda.energydataweb.com/api/view/2531/2021%20PG%20Study%20DRAFT%20Report%202021_Final.pdf" TargetMode="External" Id="rId47" /><Relationship Type="http://schemas.openxmlformats.org/officeDocument/2006/relationships/image" Target="media/image26.png" Id="rId68" /><Relationship Type="http://schemas.openxmlformats.org/officeDocument/2006/relationships/footer" Target="footer16.xml" Id="rId89" /><Relationship Type="http://schemas.openxmlformats.org/officeDocument/2006/relationships/footer" Target="footer20.xml" Id="rId112" /><Relationship Type="http://schemas.openxmlformats.org/officeDocument/2006/relationships/hyperlink" Target="https://www.energy.ca.gov/sites/default/files/2020-03/Title_24_2019_Building_Standards_FAQ_ada.pdf" TargetMode="External" Id="rId133" /><Relationship Type="http://schemas.openxmlformats.org/officeDocument/2006/relationships/footer" Target="footer29.xml" Id="rId154" /><Relationship Type="http://schemas.openxmlformats.org/officeDocument/2006/relationships/image" Target="media/image51.jpeg" Id="rId175" /><Relationship Type="http://schemas.openxmlformats.org/officeDocument/2006/relationships/footer" Target="footer70.xml" Id="rId340" /><Relationship Type="http://schemas.openxmlformats.org/officeDocument/2006/relationships/hyperlink" Target="https://crsreports.congress.gov/product/pdf/IF/IF12258/2?itid=lk_inline_enhanced-template%23%3A%7E%3Atext%3DHigh%2DEfficiency%20Electric%20Home%20Rebates&amp;text=The%20IRA%20also%20funds%20rebates%2C%2C%20air%20sealing%2C%20and%20ventilation" TargetMode="External" Id="rId196" /><Relationship Type="http://schemas.openxmlformats.org/officeDocument/2006/relationships/footer" Target="footer38.xml" Id="rId200" /><Relationship Type="http://schemas.openxmlformats.org/officeDocument/2006/relationships/image" Target="media/image9.jpeg" Id="rId16" /><Relationship Type="http://schemas.openxmlformats.org/officeDocument/2006/relationships/image" Target="media/image61.jpeg" Id="rId221" /><Relationship Type="http://schemas.openxmlformats.org/officeDocument/2006/relationships/header" Target="header48.xml" Id="rId242" /><Relationship Type="http://schemas.openxmlformats.org/officeDocument/2006/relationships/hyperlink" Target="https://www.arb.ca.gov/research/apr/past/10-325.pdf" TargetMode="External" Id="rId263" /><Relationship Type="http://schemas.openxmlformats.org/officeDocument/2006/relationships/hyperlink" Target="https://library.cee1.org/content/2016-behavior-program-summary-public" TargetMode="External" Id="rId284" /><Relationship Type="http://schemas.openxmlformats.org/officeDocument/2006/relationships/hyperlink" Target="http://www.energy.ca.gov/publications/searchReports.php?pier1=Buildings%20End-Use%20Energy%20Efficiency" TargetMode="External" Id="rId319" /><Relationship Type="http://schemas.openxmlformats.org/officeDocument/2006/relationships/image" Target="media/image14.jpeg" Id="rId37" /><Relationship Type="http://schemas.openxmlformats.org/officeDocument/2006/relationships/hyperlink" Target="https://www.cpuc.ca.gov/industries-and-topics/electrical-energy/demand-side-management/energy-efficiency/energy-efficiency-potential-and-goals-studies/2023-potential-and-goals-study" TargetMode="External" Id="rId58" /><Relationship Type="http://schemas.openxmlformats.org/officeDocument/2006/relationships/image" Target="media/image32.png" Id="rId79" /><Relationship Type="http://schemas.openxmlformats.org/officeDocument/2006/relationships/header" Target="header18.xml" Id="rId102" /><Relationship Type="http://schemas.openxmlformats.org/officeDocument/2006/relationships/header" Target="header22.xml" Id="rId123" /><Relationship Type="http://schemas.openxmlformats.org/officeDocument/2006/relationships/hyperlink" Target="http://www.ilsag.info/technical-reference-manual.html" TargetMode="External" Id="rId144" /><Relationship Type="http://schemas.openxmlformats.org/officeDocument/2006/relationships/header" Target="header67.xml" Id="rId330" /><Relationship Type="http://schemas.openxmlformats.org/officeDocument/2006/relationships/hyperlink" Target="https://www.energy.ca.gov/data-reports/reports/integrated-energy-policy-report/2021-integrated-energy-policy-report" TargetMode="External" Id="rId90" /><Relationship Type="http://schemas.openxmlformats.org/officeDocument/2006/relationships/image" Target="media/image45.jpeg" Id="rId165" /><Relationship Type="http://schemas.openxmlformats.org/officeDocument/2006/relationships/hyperlink" Target="https://bit.ly/2023PGViewerV2" TargetMode="External" Id="rId186" /><Relationship Type="http://schemas.openxmlformats.org/officeDocument/2006/relationships/header" Target="header75.xml" Id="rId351" /><Relationship Type="http://schemas.openxmlformats.org/officeDocument/2006/relationships/footer" Target="footer40.xml" Id="rId211" /><Relationship Type="http://schemas.openxmlformats.org/officeDocument/2006/relationships/image" Target="media/image66.png" Id="rId232" /><Relationship Type="http://schemas.openxmlformats.org/officeDocument/2006/relationships/footer" Target="footer50.xml" Id="rId253" /><Relationship Type="http://schemas.openxmlformats.org/officeDocument/2006/relationships/hyperlink" Target="https://www.energy.ca.gov/data-reports/surveys/california-commercial-end-use-survey" TargetMode="External" Id="rId274" /><Relationship Type="http://schemas.openxmlformats.org/officeDocument/2006/relationships/footer" Target="footer56.xml" Id="rId295" /><Relationship Type="http://schemas.openxmlformats.org/officeDocument/2006/relationships/footer" Target="footer63.xml" Id="rId309" /><Relationship Type="http://schemas.openxmlformats.org/officeDocument/2006/relationships/footer" Target="footer3.xml" Id="rId27" /><Relationship Type="http://schemas.openxmlformats.org/officeDocument/2006/relationships/hyperlink" Target="https://leginfo.legislature.ca.gov/faces/billTextClient.xhtml?bill_id=201520160SB350" TargetMode="External" Id="rId48" /><Relationship Type="http://schemas.openxmlformats.org/officeDocument/2006/relationships/image" Target="media/image27.png" Id="rId69" /><Relationship Type="http://schemas.openxmlformats.org/officeDocument/2006/relationships/hyperlink" Target="https://docs.cpuc.ca.gov/publisheddocs/published/g000/m232/k459/232459122.pdf" TargetMode="External" Id="rId113" /><Relationship Type="http://schemas.openxmlformats.org/officeDocument/2006/relationships/hyperlink" Target="http://www.energy.ca.gov/title24/2016standards/rulemaking/documents/NOPA_title24_parts_01_06.pdf" TargetMode="External" Id="rId134" /><Relationship Type="http://schemas.openxmlformats.org/officeDocument/2006/relationships/hyperlink" Target="https://energy.gov/eere/amo/research-development-projects" TargetMode="External" Id="rId320" /><Relationship Type="http://schemas.openxmlformats.org/officeDocument/2006/relationships/image" Target="media/image33.png" Id="rId80" /><Relationship Type="http://schemas.openxmlformats.org/officeDocument/2006/relationships/image" Target="media/image42.png" Id="rId155" /><Relationship Type="http://schemas.openxmlformats.org/officeDocument/2006/relationships/hyperlink" Target="http://docs.cpuc.ca.gov/PublishedDocs/Published/G000/M310/K053/310053527.PDF" TargetMode="External" Id="rId176" /><Relationship Type="http://schemas.openxmlformats.org/officeDocument/2006/relationships/header" Target="header37.xml" Id="rId197" /><Relationship Type="http://schemas.openxmlformats.org/officeDocument/2006/relationships/header" Target="header71.xml" Id="rId341" /><Relationship Type="http://schemas.openxmlformats.org/officeDocument/2006/relationships/hyperlink" Target="http://www.cpuc.ca.gov/about-cpuc/divisions/energy-division/building-" TargetMode="External" Id="rId201" /><Relationship Type="http://schemas.openxmlformats.org/officeDocument/2006/relationships/hyperlink" Target="http://www.deeresources.com/index.php/23-deer-versions" TargetMode="External" Id="rId222" /><Relationship Type="http://schemas.openxmlformats.org/officeDocument/2006/relationships/footer" Target="footer48.xml" Id="rId243" /><Relationship Type="http://schemas.openxmlformats.org/officeDocument/2006/relationships/hyperlink" Target="https://library.cee1.org/content/2016-behavior-program-summary-public" TargetMode="External" Id="rId264" /><Relationship Type="http://schemas.openxmlformats.org/officeDocument/2006/relationships/hyperlink" Target="http://aceee.org/research-report/b132" TargetMode="External" Id="rId285" /><Relationship Type="http://schemas.openxmlformats.org/officeDocument/2006/relationships/image" Target="media/image10.png" Id="rId17" /><Relationship Type="http://schemas.openxmlformats.org/officeDocument/2006/relationships/image" Target="media/image15.jpeg" Id="rId38" /><Relationship Type="http://schemas.openxmlformats.org/officeDocument/2006/relationships/hyperlink" Target="https://www.cpuc.ca.gov/industries-and-topics/electrical-energy/demand-side-management/energy-efficiency/energy-efficiency-potential-and-goals-studies/2023-potential-and-goals-study" TargetMode="External" Id="rId59" /><Relationship Type="http://schemas.openxmlformats.org/officeDocument/2006/relationships/footer" Target="footer18.xml" Id="rId103" /><Relationship Type="http://schemas.openxmlformats.org/officeDocument/2006/relationships/footer" Target="footer22.xml" Id="rId124" /><Relationship Type="http://schemas.openxmlformats.org/officeDocument/2006/relationships/image" Target="media/image71.png" Id="rId310" /><Relationship Type="http://schemas.openxmlformats.org/officeDocument/2006/relationships/hyperlink" Target="https://www.cpuc.ca.gov/-/media/cpuc-website/divisions/energy-division/documents/energy-efficiency/2021-potential-goals-study/market-adoption-report-final.pdf?sc_lang=en&amp;hash=131848F75C4A50EB35D9247F45FB4257" TargetMode="External" Id="rId70" /><Relationship Type="http://schemas.openxmlformats.org/officeDocument/2006/relationships/hyperlink" Target="https://www.energy.ca.gov/data-reports/reports/integrated-energy-policy-report/2021-integrated-energy-policy-report" TargetMode="External" Id="rId91" /><Relationship Type="http://schemas.openxmlformats.org/officeDocument/2006/relationships/hyperlink" Target="https://www.michigan.gov/mpsc/regulatory/ewr/michigan-energy-measures-database" TargetMode="External" Id="rId145" /><Relationship Type="http://schemas.openxmlformats.org/officeDocument/2006/relationships/header" Target="header32.xml" Id="rId166" /><Relationship Type="http://schemas.openxmlformats.org/officeDocument/2006/relationships/image" Target="media/image56.jpeg" Id="rId187" /><Relationship Type="http://schemas.openxmlformats.org/officeDocument/2006/relationships/footer" Target="footer67.xml" Id="rId331" /><Relationship Type="http://schemas.openxmlformats.org/officeDocument/2006/relationships/footer" Target="footer75.xml" Id="rId352" /><Relationship Type="http://schemas.openxmlformats.org/officeDocument/2006/relationships/numbering" Target="numbering.xml" Id="rId1" /><Relationship Type="http://schemas.openxmlformats.org/officeDocument/2006/relationships/image" Target="media/image58.png" Id="rId212" /><Relationship Type="http://schemas.openxmlformats.org/officeDocument/2006/relationships/header" Target="header44.xml" Id="rId233" /><Relationship Type="http://schemas.openxmlformats.org/officeDocument/2006/relationships/hyperlink" Target="http://www.prezcat.org/sites/default/files/Scaling%20up%20MF%20Energy%20Efficiency%20Programs_0.pdf" TargetMode="External" Id="rId254" /><Relationship Type="http://schemas.openxmlformats.org/officeDocument/2006/relationships/header" Target="header4.xml" Id="rId28" /><Relationship Type="http://schemas.openxmlformats.org/officeDocument/2006/relationships/header" Target="header7.xml" Id="rId49" /><Relationship Type="http://schemas.openxmlformats.org/officeDocument/2006/relationships/hyperlink" Target="https://www.energy.gov/sites/prod/files/2015/10/f27/ba_climate_region_guide_7.3.pdf" TargetMode="External" Id="rId114" /><Relationship Type="http://schemas.openxmlformats.org/officeDocument/2006/relationships/hyperlink" Target="https://docs.cpuc.ca.gov/publisheddocs/published/g000/m232/k459/232459122.pdf" TargetMode="External" Id="rId275" /><Relationship Type="http://schemas.openxmlformats.org/officeDocument/2006/relationships/header" Target="header57.xml" Id="rId296" /><Relationship Type="http://schemas.openxmlformats.org/officeDocument/2006/relationships/header" Target="header59.xml" Id="rId300" /><Relationship Type="http://schemas.openxmlformats.org/officeDocument/2006/relationships/hyperlink" Target="http://www.cpuc.ca.gov/industries-and-topics/electrical-" TargetMode="External" Id="rId60" /><Relationship Type="http://schemas.openxmlformats.org/officeDocument/2006/relationships/header" Target="header13.xml" Id="rId81" /><Relationship Type="http://schemas.openxmlformats.org/officeDocument/2006/relationships/hyperlink" Target="https://iac.university/" TargetMode="External" Id="rId135" /><Relationship Type="http://schemas.openxmlformats.org/officeDocument/2006/relationships/image" Target="media/image44.png" Id="rId156" /><Relationship Type="http://schemas.openxmlformats.org/officeDocument/2006/relationships/hyperlink" Target="http://docs.cpuc.ca.gov/PublishedDocs/Published/G000/M310/K053/310053527.PDF" TargetMode="External" Id="rId177" /><Relationship Type="http://schemas.openxmlformats.org/officeDocument/2006/relationships/footer" Target="footer37.xml" Id="rId198" /><Relationship Type="http://schemas.openxmlformats.org/officeDocument/2006/relationships/hyperlink" Target="https://energy.gov/eere/buildings/emerging-technologies" TargetMode="External" Id="rId321" /><Relationship Type="http://schemas.openxmlformats.org/officeDocument/2006/relationships/footer" Target="footer71.xml" Id="rId342" /><Relationship Type="http://schemas.openxmlformats.org/officeDocument/2006/relationships/hyperlink" Target="http://www.cpuc.ca.gov/about-cpuc/divisions/energy-division/building-" TargetMode="External" Id="rId202" /><Relationship Type="http://schemas.openxmlformats.org/officeDocument/2006/relationships/image" Target="media/image62.png" Id="rId223" /><Relationship Type="http://schemas.openxmlformats.org/officeDocument/2006/relationships/hyperlink" Target="http://www.riverpoolsandspas.com/blog/will-i-need-an-electrical-service-panel-upgrade-for-my-swimming-pool" TargetMode="External" Id="rId244" /><Relationship Type="http://schemas.openxmlformats.org/officeDocument/2006/relationships/image" Target="media/image9.png" Id="rId18" /><Relationship Type="http://schemas.openxmlformats.org/officeDocument/2006/relationships/image" Target="media/image16.jpeg" Id="rId39" /><Relationship Type="http://schemas.openxmlformats.org/officeDocument/2006/relationships/hyperlink" Target="http://aceee.org/research-report/b132" TargetMode="External" Id="rId265" /><Relationship Type="http://schemas.openxmlformats.org/officeDocument/2006/relationships/hyperlink" Target="http://escholarship.org/uc/item/30x859hv" TargetMode="External" Id="rId286" /><Relationship Type="http://schemas.openxmlformats.org/officeDocument/2006/relationships/footer" Target="footer7.xml" Id="rId50" /><Relationship Type="http://schemas.openxmlformats.org/officeDocument/2006/relationships/header" Target="header19.xml" Id="rId104" /><Relationship Type="http://schemas.openxmlformats.org/officeDocument/2006/relationships/image" Target="media/image39.jpeg" Id="rId125" /><Relationship Type="http://schemas.openxmlformats.org/officeDocument/2006/relationships/hyperlink" Target="http://dsmexplorer.esource.com/documents/Wisconsin%20-%2010.22.2015%20-%202016%20TRM.pdf" TargetMode="External" Id="rId146" /><Relationship Type="http://schemas.openxmlformats.org/officeDocument/2006/relationships/footer" Target="footer32.xml" Id="rId167" /><Relationship Type="http://schemas.openxmlformats.org/officeDocument/2006/relationships/header" Target="header36.xml" Id="rId188" /><Relationship Type="http://schemas.openxmlformats.org/officeDocument/2006/relationships/image" Target="media/image72.png" Id="rId311" /><Relationship Type="http://schemas.openxmlformats.org/officeDocument/2006/relationships/header" Target="header68.xml" Id="rId332" /><Relationship Type="http://schemas.openxmlformats.org/officeDocument/2006/relationships/header" Target="header76.xml" Id="rId353" /><Relationship Type="http://schemas.openxmlformats.org/officeDocument/2006/relationships/image" Target="media/image28.png" Id="rId71" /><Relationship Type="http://schemas.openxmlformats.org/officeDocument/2006/relationships/hyperlink" Target="https://www.energy.ca.gov/data-reports/reports/integrated-energy-policy-report/2021-integrated-energy-policy-report" TargetMode="External" Id="rId92" /><Relationship Type="http://schemas.openxmlformats.org/officeDocument/2006/relationships/image" Target="media/image61.png" Id="rId213" /><Relationship Type="http://schemas.openxmlformats.org/officeDocument/2006/relationships/footer" Target="footer44.xml" Id="rId234" /><Relationship Type="http://schemas.openxmlformats.org/officeDocument/2006/relationships/styles" Target="styles.xml" Id="rId2" /><Relationship Type="http://schemas.openxmlformats.org/officeDocument/2006/relationships/footer" Target="footer4.xml" Id="rId29" /><Relationship Type="http://schemas.openxmlformats.org/officeDocument/2006/relationships/header" Target="header51.xml" Id="rId255" /><Relationship Type="http://schemas.openxmlformats.org/officeDocument/2006/relationships/hyperlink" Target="https://www.energy.ca.gov/data-reports/surveys/california-commercial-end-use-survey" TargetMode="External" Id="rId276" /><Relationship Type="http://schemas.openxmlformats.org/officeDocument/2006/relationships/footer" Target="footer57.xml" Id="rId297" /><Relationship Type="http://schemas.openxmlformats.org/officeDocument/2006/relationships/image" Target="media/image17.jpeg" Id="rId40" /><Relationship Type="http://schemas.openxmlformats.org/officeDocument/2006/relationships/hyperlink" Target="http://www.calmac.org/publications/2010-2012_WO017_Ex_Ante_Measure_Cost_Study_-_Final_Report.pdf" TargetMode="External" Id="rId115" /><Relationship Type="http://schemas.openxmlformats.org/officeDocument/2006/relationships/header" Target="header25.xml" Id="rId136" /><Relationship Type="http://schemas.openxmlformats.org/officeDocument/2006/relationships/image" Target="media/image43.png" Id="rId157" /><Relationship Type="http://schemas.openxmlformats.org/officeDocument/2006/relationships/header" Target="header34.xml" Id="rId178" /><Relationship Type="http://schemas.openxmlformats.org/officeDocument/2006/relationships/footer" Target="footer59.xml" Id="rId301" /><Relationship Type="http://schemas.openxmlformats.org/officeDocument/2006/relationships/header" Target="header65.xml" Id="rId322" /><Relationship Type="http://schemas.openxmlformats.org/officeDocument/2006/relationships/header" Target="header72.xml" Id="rId343" /><Relationship Type="http://schemas.openxmlformats.org/officeDocument/2006/relationships/image" Target="media/image24.png" Id="rId61" /><Relationship Type="http://schemas.openxmlformats.org/officeDocument/2006/relationships/footer" Target="footer13.xml" Id="rId82" /><Relationship Type="http://schemas.openxmlformats.org/officeDocument/2006/relationships/header" Target="header38.xml" Id="rId199" /><Relationship Type="http://schemas.openxmlformats.org/officeDocument/2006/relationships/hyperlink" Target="http://www.cpuc.ca.gov/about-cpuc/divisions/energy-division/building-" TargetMode="External" Id="rId203" /><Relationship Type="http://schemas.openxmlformats.org/officeDocument/2006/relationships/image" Target="media/image11.png" Id="rId19" /><Relationship Type="http://schemas.openxmlformats.org/officeDocument/2006/relationships/image" Target="media/image63.png" Id="rId224" /><Relationship Type="http://schemas.openxmlformats.org/officeDocument/2006/relationships/hyperlink" Target="https://powersaveac.com/blog/post/how-many-amps-are-required-for-a-ductless-mini-split" TargetMode="External" Id="rId245" /><Relationship Type="http://schemas.openxmlformats.org/officeDocument/2006/relationships/hyperlink" Target="https://www.arb.ca.gov/research/apr/past/10-325.pdf" TargetMode="External" Id="rId266" /><Relationship Type="http://schemas.openxmlformats.org/officeDocument/2006/relationships/header" Target="header54.xml" Id="rId287" /><Relationship Type="http://schemas.openxmlformats.org/officeDocument/2006/relationships/hyperlink" Target="https://www.cpuc.ca.gov/industries-and-topics/electrical-energy/demand-side-management/energy-efficiency/energy-efficiency-potential-and-goals-studies/2023-potential-and-goals-study" TargetMode="External" Id="rId30" /><Relationship Type="http://schemas.openxmlformats.org/officeDocument/2006/relationships/footer" Target="footer19.xml" Id="rId105" /><Relationship Type="http://schemas.openxmlformats.org/officeDocument/2006/relationships/image" Target="media/image40.jpeg" Id="rId126" /><Relationship Type="http://schemas.openxmlformats.org/officeDocument/2006/relationships/hyperlink" Target="http://eestats.cpuc.ca.gov/Default.aspx" TargetMode="External" Id="rId147" /><Relationship Type="http://schemas.openxmlformats.org/officeDocument/2006/relationships/image" Target="media/image46.jpeg" Id="rId168" /><Relationship Type="http://schemas.openxmlformats.org/officeDocument/2006/relationships/header" Target="header64.xml" Id="rId312" /><Relationship Type="http://schemas.openxmlformats.org/officeDocument/2006/relationships/footer" Target="footer68.xml" Id="rId333" /><Relationship Type="http://schemas.openxmlformats.org/officeDocument/2006/relationships/footer" Target="footer76.xml" Id="rId354" /><Relationship Type="http://schemas.openxmlformats.org/officeDocument/2006/relationships/header" Target="header8.xml" Id="rId51" /><Relationship Type="http://schemas.openxmlformats.org/officeDocument/2006/relationships/header" Target="header11.xml" Id="rId72" /><Relationship Type="http://schemas.openxmlformats.org/officeDocument/2006/relationships/hyperlink" Target="https://e3.sharefile.com/share/view/s3fdd4ff8b9db4e95904726427ae54e81/foeb211b-1839-44c1-86dd-83959a7cba22" TargetMode="External" Id="rId93" /><Relationship Type="http://schemas.openxmlformats.org/officeDocument/2006/relationships/footer" Target="footer36.xml" Id="rId189" /><Relationship Type="http://schemas.openxmlformats.org/officeDocument/2006/relationships/settings" Target="settings.xml" Id="rId3" /><Relationship Type="http://schemas.openxmlformats.org/officeDocument/2006/relationships/hyperlink" Target="https://www.pickhvac.com/" TargetMode="External" Id="rId214" /><Relationship Type="http://schemas.openxmlformats.org/officeDocument/2006/relationships/hyperlink" Target="https://ww2.arb.ca.gov/sites/default/files/2022-08/2022_State_SIP_Strategy.pdf" TargetMode="External" Id="rId235" /><Relationship Type="http://schemas.openxmlformats.org/officeDocument/2006/relationships/footer" Target="footer51.xml" Id="rId256" /><Relationship Type="http://schemas.openxmlformats.org/officeDocument/2006/relationships/hyperlink" Target="https://cedars.sound-data.com/programs/SCE-13-TP-025/details/" TargetMode="External" Id="rId277" /><Relationship Type="http://schemas.openxmlformats.org/officeDocument/2006/relationships/header" Target="header58.xml" Id="rId298" /><Relationship Type="http://schemas.openxmlformats.org/officeDocument/2006/relationships/hyperlink" Target="http://www.cpuc.ca.gov/-/media/cpuc-website/divisions/energy-division/documents/demand-side-management/acc-" TargetMode="External" Id="rId116" /><Relationship Type="http://schemas.openxmlformats.org/officeDocument/2006/relationships/footer" Target="footer25.xml" Id="rId137" /><Relationship Type="http://schemas.openxmlformats.org/officeDocument/2006/relationships/hyperlink" Target="https://www.cpuc.ca.gov/industries-and-topics/electrical-energy/demand-side-management/energy-efficiency/energy-efficiency-potential-and-goals-studies/2023-potential-and-goals-study" TargetMode="External" Id="rId158" /><Relationship Type="http://schemas.openxmlformats.org/officeDocument/2006/relationships/header" Target="header60.xml" Id="rId302" /><Relationship Type="http://schemas.openxmlformats.org/officeDocument/2006/relationships/footer" Target="footer65.xml" Id="rId323" /><Relationship Type="http://schemas.openxmlformats.org/officeDocument/2006/relationships/footer" Target="footer72.xml" Id="rId344" /><Relationship Type="http://schemas.openxmlformats.org/officeDocument/2006/relationships/header" Target="header1.xml" Id="rId20" /><Relationship Type="http://schemas.openxmlformats.org/officeDocument/2006/relationships/image" Target="media/image18.png" Id="rId41" /><Relationship Type="http://schemas.openxmlformats.org/officeDocument/2006/relationships/header" Target="header10.xml" Id="rId62" /><Relationship Type="http://schemas.openxmlformats.org/officeDocument/2006/relationships/header" Target="header14.xml" Id="rId83" /><Relationship Type="http://schemas.openxmlformats.org/officeDocument/2006/relationships/footer" Target="footer34.xml" Id="rId179" /><Relationship Type="http://schemas.openxmlformats.org/officeDocument/2006/relationships/image" Target="media/image57.jpeg" Id="rId190" /><Relationship Type="http://schemas.openxmlformats.org/officeDocument/2006/relationships/header" Target="header39.xml" Id="rId204" /><Relationship Type="http://schemas.openxmlformats.org/officeDocument/2006/relationships/image" Target="media/image64.png" Id="rId225" /><Relationship Type="http://schemas.openxmlformats.org/officeDocument/2006/relationships/hyperlink" Target="https://www.daycosystems.com/blog/air-conditioning-service/how-many-amps-are-required-for-a-ductless-mini-split-system/" TargetMode="External" Id="rId246" /><Relationship Type="http://schemas.openxmlformats.org/officeDocument/2006/relationships/header" Target="header52.xml" Id="rId267" /><Relationship Type="http://schemas.openxmlformats.org/officeDocument/2006/relationships/footer" Target="footer54.xml" Id="rId288" /><Relationship Type="http://schemas.openxmlformats.org/officeDocument/2006/relationships/hyperlink" Target="https://www.cpuc.ca.gov/General.aspx?id=6442463306" TargetMode="External" Id="rId106" /><Relationship Type="http://schemas.openxmlformats.org/officeDocument/2006/relationships/hyperlink" Target="http://bees.archenergy.com/index.html" TargetMode="External" Id="rId127" /><Relationship Type="http://schemas.openxmlformats.org/officeDocument/2006/relationships/footer" Target="footer64.xml" Id="rId313" /><Relationship Type="http://schemas.openxmlformats.org/officeDocument/2006/relationships/image" Target="media/image4.png" Id="rId10" /><Relationship Type="http://schemas.openxmlformats.org/officeDocument/2006/relationships/hyperlink" Target="https://www.cpuc.ca.gov/industries-and-topics/electrical-energy/demand-side-management/energy-efficiency/energy-efficiency-potential-and-goals-studies/2023-potential-and-goals-study" TargetMode="External" Id="rId31" /><Relationship Type="http://schemas.openxmlformats.org/officeDocument/2006/relationships/footer" Target="footer8.xml" Id="rId52" /><Relationship Type="http://schemas.openxmlformats.org/officeDocument/2006/relationships/footer" Target="footer11.xml" Id="rId73" /><Relationship Type="http://schemas.openxmlformats.org/officeDocument/2006/relationships/hyperlink" Target="https://cedars.sound-data.com/reports/user-defined" TargetMode="External" Id="rId94" /><Relationship Type="http://schemas.openxmlformats.org/officeDocument/2006/relationships/header" Target="header27.xml" Id="rId148" /><Relationship Type="http://schemas.openxmlformats.org/officeDocument/2006/relationships/image" Target="media/image47.jpeg" Id="rId169" /><Relationship Type="http://schemas.openxmlformats.org/officeDocument/2006/relationships/image" Target="media/image76.png" Id="rId334" /><Relationship Type="http://schemas.openxmlformats.org/officeDocument/2006/relationships/hyperlink" Target="http://www.cpuc.ca.gov/-/media/cpuc-" TargetMode="External" Id="rId355" /><Relationship Type="http://schemas.openxmlformats.org/officeDocument/2006/relationships/webSettings" Target="webSettings.xml" Id="rId4" /><Relationship Type="http://schemas.openxmlformats.org/officeDocument/2006/relationships/image" Target="media/image52.png" Id="rId180" /><Relationship Type="http://schemas.openxmlformats.org/officeDocument/2006/relationships/image" Target="media/image59.jpeg" Id="rId215" /><Relationship Type="http://schemas.openxmlformats.org/officeDocument/2006/relationships/header" Target="header45.xml" Id="rId236" /><Relationship Type="http://schemas.openxmlformats.org/officeDocument/2006/relationships/image" Target="media/image68.png" Id="rId257" /><Relationship Type="http://schemas.openxmlformats.org/officeDocument/2006/relationships/hyperlink" Target="https://cedars.sound-data.com/programs/SDGE4061/details/" TargetMode="External" Id="rId278" /><Relationship Type="http://schemas.openxmlformats.org/officeDocument/2006/relationships/footer" Target="footer60.xml" Id="rId303" /><Relationship Type="http://schemas.openxmlformats.org/officeDocument/2006/relationships/image" Target="media/image19.png" Id="rId42" /><Relationship Type="http://schemas.openxmlformats.org/officeDocument/2006/relationships/footer" Target="footer14.xml" Id="rId84" /><Relationship Type="http://schemas.openxmlformats.org/officeDocument/2006/relationships/hyperlink" Target="http://eestats.cpuc.ca.gov/Default.aspx" TargetMode="External" Id="rId138" /><Relationship Type="http://schemas.openxmlformats.org/officeDocument/2006/relationships/header" Target="header73.xml" Id="rId345" /><Relationship Type="http://schemas.openxmlformats.org/officeDocument/2006/relationships/hyperlink" Target="http://www.cpuc.ca.gov/-/media/cpuc-website/divisions/energy-division/documents/energy-efficiency/rolling-" TargetMode="External" Id="rId191" /><Relationship Type="http://schemas.openxmlformats.org/officeDocument/2006/relationships/footer" Target="footer39.xml" Id="rId205" /><Relationship Type="http://schemas.openxmlformats.org/officeDocument/2006/relationships/hyperlink" Target="https://www.daycosystems.com/blog/air-conditioning-service/how-many-amps-are-required-for-a-ductless-mini-split-system/" TargetMode="External" Id="rId247" /><Relationship Type="http://schemas.openxmlformats.org/officeDocument/2006/relationships/image" Target="media/image35.png" Id="rId107" /><Relationship Type="http://schemas.openxmlformats.org/officeDocument/2006/relationships/hyperlink" Target="http://www.centerpointenergy.com/en-us/Documents/2014%20RCx%20Kickoff%20Slides.pdf" TargetMode="External" Id="rId289" /><Relationship Type="http://schemas.openxmlformats.org/officeDocument/2006/relationships/image" Target="media/image5.png" Id="rId11" /><Relationship Type="http://schemas.openxmlformats.org/officeDocument/2006/relationships/hyperlink" Target="http://docs.cpuc.ca.gov/PublishedDocs/Published/G000/M310/K053/310053527.PDF" TargetMode="External" Id="rId53" /><Relationship Type="http://schemas.openxmlformats.org/officeDocument/2006/relationships/footer" Target="footer27.xml" Id="rId149" /><Relationship Type="http://schemas.openxmlformats.org/officeDocument/2006/relationships/image" Target="media/image73.png" Id="rId314" /><Relationship Type="http://schemas.openxmlformats.org/officeDocument/2006/relationships/hyperlink" Target="http://www.cpuc.ca.gov/-/media/cpuc-" TargetMode="External" Id="rId356" /><Relationship Type="http://schemas.openxmlformats.org/officeDocument/2006/relationships/hyperlink" Target="https://cedars.sound-data.com/reports/record-level" TargetMode="External" Id="rId95" /><Relationship Type="http://schemas.openxmlformats.org/officeDocument/2006/relationships/header" Target="header30.xml" Id="rId160" /><Relationship Type="http://schemas.openxmlformats.org/officeDocument/2006/relationships/header" Target="header41.xml" Id="rId216" /><Relationship Type="http://schemas.openxmlformats.org/officeDocument/2006/relationships/hyperlink" Target="http://www.caetrm.com/measure/SWWB002/01/" TargetMode="External" Id="rId258" /><Relationship Type="http://schemas.openxmlformats.org/officeDocument/2006/relationships/header" Target="header2.xml" Id="rId22" /><Relationship Type="http://schemas.openxmlformats.org/officeDocument/2006/relationships/image" Target="media/image25.png" Id="rId64" /><Relationship Type="http://schemas.openxmlformats.org/officeDocument/2006/relationships/hyperlink" Target="http://www.cpuc.ca.gov/-/media/cpuc-website/divisions/energy-division/documents/demand-side-management/acc-" TargetMode="External" Id="rId118" /><Relationship Type="http://schemas.openxmlformats.org/officeDocument/2006/relationships/footer" Target="footer66.xml" Id="rId325" /><Relationship Type="http://schemas.openxmlformats.org/officeDocument/2006/relationships/footer" Target="footer33.xml" Id="rId171" /><Relationship Type="http://schemas.openxmlformats.org/officeDocument/2006/relationships/image" Target="media/image69.png" Id="rId227" /><Relationship Type="http://schemas.openxmlformats.org/officeDocument/2006/relationships/hyperlink" Target="https://docs.cpuc.ca.gov/publisheddocs/published/g000/m232/k459/232459122.pdf" TargetMode="External" Id="rId269" /><Relationship Type="http://schemas.openxmlformats.org/officeDocument/2006/relationships/footer" Target="footer5.xml" Id="rId33" /><Relationship Type="http://schemas.openxmlformats.org/officeDocument/2006/relationships/footer" Target="footer23.xml" Id="rId129" /><Relationship Type="http://schemas.openxmlformats.org/officeDocument/2006/relationships/hyperlink" Target="https://docs.cpuc.ca.gov/publisheddocs/published/g000/m232/k459/232459122.pdf" TargetMode="External" Id="rId280" /><Relationship Type="http://schemas.openxmlformats.org/officeDocument/2006/relationships/header" Target="header69.xml" Id="rId336" /><Relationship Type="http://schemas.openxmlformats.org/officeDocument/2006/relationships/footer" Target="footer12.xml" Id="rId75" /><Relationship Type="http://schemas.openxmlformats.org/officeDocument/2006/relationships/footer" Target="footer26.xml" Id="rId140" /><Relationship Type="http://schemas.openxmlformats.org/officeDocument/2006/relationships/header" Target="header35.xml" Id="rId182" /><Relationship Type="http://schemas.openxmlformats.org/officeDocument/2006/relationships/endnotes" Target="endnotes.xml" Id="rId6" /><Relationship Type="http://schemas.openxmlformats.org/officeDocument/2006/relationships/header" Target="header46.xml" Id="rId238" /><Relationship Type="http://schemas.openxmlformats.org/officeDocument/2006/relationships/header" Target="header55.xml" Id="rId291" /><Relationship Type="http://schemas.openxmlformats.org/officeDocument/2006/relationships/footer" Target="footer61.xml" Id="rId305" /><Relationship Type="http://schemas.openxmlformats.org/officeDocument/2006/relationships/hyperlink" Target="https://crsreports.congress.gov/product/pdf/R/R47202" TargetMode="External" Id="rId347" /><Relationship Type="http://schemas.openxmlformats.org/officeDocument/2006/relationships/image" Target="media/image21.png" Id="rId44" /><Relationship Type="http://schemas.openxmlformats.org/officeDocument/2006/relationships/footer" Target="footer15.xml" Id="rId86" /><Relationship Type="http://schemas.openxmlformats.org/officeDocument/2006/relationships/header" Target="header28.xml" Id="rId151" /><Relationship Type="http://schemas.openxmlformats.org/officeDocument/2006/relationships/hyperlink" Target="http://www.cpuc.ca.gov/-/media/cpuc-website/divisions/energy-division/documents/energy-efficiency/rolling-" TargetMode="External" Id="rId193" /><Relationship Type="http://schemas.openxmlformats.org/officeDocument/2006/relationships/hyperlink" Target="https://docs.cpuc.ca.gov/PublishedDocs/Efile/G000/M496/K397/496397066.PDF" TargetMode="External" Id="rId207" /><Relationship Type="http://schemas.openxmlformats.org/officeDocument/2006/relationships/header" Target="header49.xml" Id="rId249" /><Relationship Type="http://schemas.openxmlformats.org/officeDocument/2006/relationships/hyperlink" Target="mailto:npodkowsky@guidehouse.com" TargetMode="External" Id="rId13" /><Relationship Type="http://schemas.openxmlformats.org/officeDocument/2006/relationships/image" Target="media/image37.png" Id="rId109" /><Relationship Type="http://schemas.openxmlformats.org/officeDocument/2006/relationships/hyperlink" Target="https://library.cee1.org/content/2016-behavior-program-summary-public" TargetMode="External" Id="rId260" /><Relationship Type="http://schemas.openxmlformats.org/officeDocument/2006/relationships/image" Target="media/image75.png" Id="rId316" /><Relationship Type="http://schemas.openxmlformats.org/officeDocument/2006/relationships/header" Target="header9.xml" Id="rId55" /><Relationship Type="http://schemas.openxmlformats.org/officeDocument/2006/relationships/header" Target="header17.xml" Id="rId97" /><Relationship Type="http://schemas.openxmlformats.org/officeDocument/2006/relationships/header" Target="header21.xml" Id="rId120" /><Relationship Type="http://schemas.openxmlformats.org/officeDocument/2006/relationships/fontTable" Target="fontTable.xml" Id="rId358" /><Relationship Type="http://schemas.openxmlformats.org/officeDocument/2006/relationships/header" Target="header31.xml" Id="rId162" /><Relationship Type="http://schemas.openxmlformats.org/officeDocument/2006/relationships/header" Target="header42.xml" Id="rId218" /><Relationship Type="http://schemas.openxmlformats.org/officeDocument/2006/relationships/footer" Target="footer53.xml" Id="rId271" /><Relationship Type="http://schemas.openxmlformats.org/officeDocument/2006/relationships/hyperlink" Target="https://pda.energydataweb.com/api/view/2531/2021%20PG%20Study%20DRAFT%20Report%202021_Final.pdf" TargetMode="External" Id="rId24" /><Relationship Type="http://schemas.openxmlformats.org/officeDocument/2006/relationships/hyperlink" Target="http://www.cpuc.ca.gov/industries-and-topics/electrical-energy/demand-side-management/energy-efficiency/idsm" TargetMode="External" Id="rId66" /><Relationship Type="http://schemas.openxmlformats.org/officeDocument/2006/relationships/footer" Target="footer24.xml" Id="rId131" /><Relationship Type="http://schemas.openxmlformats.org/officeDocument/2006/relationships/hyperlink" Target="https://www.nber.org/papers/w15031" TargetMode="External" Id="rId327" /><Relationship Type="http://schemas.openxmlformats.org/officeDocument/2006/relationships/image" Target="media/image49.jpeg" Id="rId173" /><Relationship Type="http://schemas.openxmlformats.org/officeDocument/2006/relationships/header" Target="header43.xml" Id="rId229" /><Relationship Type="http://schemas.openxmlformats.org/officeDocument/2006/relationships/header" Target="header47.xml" Id="rId240" /><Relationship Type="http://schemas.openxmlformats.org/officeDocument/2006/relationships/footer" Target="footer6.xml" Id="rId35" /><Relationship Type="http://schemas.openxmlformats.org/officeDocument/2006/relationships/image" Target="media/image30.jpeg" Id="rId77" /><Relationship Type="http://schemas.openxmlformats.org/officeDocument/2006/relationships/hyperlink" Target="http://www.ecdms.energy.ca.gov/elecbyplan.aspx" TargetMode="External" Id="rId100" /><Relationship Type="http://schemas.openxmlformats.org/officeDocument/2006/relationships/hyperlink" Target="http://www.eia.gov/consumption/commercial/data/2012/index.php?view=consumption&amp;c13-c22" TargetMode="External" Id="rId282" /><Relationship Type="http://schemas.openxmlformats.org/officeDocument/2006/relationships/image" Target="media/image78.jpeg" Id="rId338" /><Relationship Type="http://schemas.openxmlformats.org/officeDocument/2006/relationships/image" Target="media/image2.png" Id="rId8" /><Relationship Type="http://schemas.openxmlformats.org/officeDocument/2006/relationships/hyperlink" Target="http://www.puc.pa.gov/filing_resources/issues_laws_regulations/act_129_information/technical_reference_manual.aspx" TargetMode="External" Id="rId142" /><Relationship Type="http://schemas.openxmlformats.org/officeDocument/2006/relationships/image" Target="media/image54.png" Id="rId184" /><Relationship Type="http://schemas.openxmlformats.org/officeDocument/2006/relationships/image" Target="media/image67.png" Id="rId251" /><Relationship Type="http://schemas.openxmlformats.org/officeDocument/2006/relationships/hyperlink" Target="http://docs.cpuc.ca.gov/PublishedDocs/Published/G000/M517/K027/517027629.docx" TargetMode="External" Id="R2e113d30521f431f" /></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2.png"/></Relationships>
</file>

<file path=word/_rels/header16.xml.rels><?xml version="1.0" encoding="UTF-8" standalone="yes"?>
<Relationships xmlns="http://schemas.openxmlformats.org/package/2006/relationships"><Relationship Id="rId1" Type="http://schemas.openxmlformats.org/officeDocument/2006/relationships/image" Target="media/image12.png"/></Relationships>
</file>

<file path=word/_rels/header17.xml.rels><?xml version="1.0" encoding="UTF-8" standalone="yes"?>
<Relationships xmlns="http://schemas.openxmlformats.org/package/2006/relationships"><Relationship Id="rId1" Type="http://schemas.openxmlformats.org/officeDocument/2006/relationships/image" Target="media/image12.png"/></Relationships>
</file>

<file path=word/_rels/header18.xml.rels><?xml version="1.0" encoding="UTF-8" standalone="yes"?>
<Relationships xmlns="http://schemas.openxmlformats.org/package/2006/relationships"><Relationship Id="rId1" Type="http://schemas.openxmlformats.org/officeDocument/2006/relationships/image" Target="media/image12.png"/></Relationships>
</file>

<file path=word/_rels/header19.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20.xml.rels><?xml version="1.0" encoding="UTF-8" standalone="yes"?>
<Relationships xmlns="http://schemas.openxmlformats.org/package/2006/relationships"><Relationship Id="rId1" Type="http://schemas.openxmlformats.org/officeDocument/2006/relationships/image" Target="media/image12.png"/></Relationships>
</file>

<file path=word/_rels/header21.xml.rels><?xml version="1.0" encoding="UTF-8" standalone="yes"?>
<Relationships xmlns="http://schemas.openxmlformats.org/package/2006/relationships"><Relationship Id="rId1" Type="http://schemas.openxmlformats.org/officeDocument/2006/relationships/image" Target="media/image12.png"/></Relationships>
</file>

<file path=word/_rels/header22.xml.rels><?xml version="1.0" encoding="UTF-8" standalone="yes"?>
<Relationships xmlns="http://schemas.openxmlformats.org/package/2006/relationships"><Relationship Id="rId1" Type="http://schemas.openxmlformats.org/officeDocument/2006/relationships/image" Target="media/image12.png"/></Relationships>
</file>

<file path=word/_rels/header23.xml.rels><?xml version="1.0" encoding="UTF-8" standalone="yes"?>
<Relationships xmlns="http://schemas.openxmlformats.org/package/2006/relationships"><Relationship Id="rId1" Type="http://schemas.openxmlformats.org/officeDocument/2006/relationships/image" Target="media/image12.png"/></Relationships>
</file>

<file path=word/_rels/header24.xml.rels><?xml version="1.0" encoding="UTF-8" standalone="yes"?>
<Relationships xmlns="http://schemas.openxmlformats.org/package/2006/relationships"><Relationship Id="rId1" Type="http://schemas.openxmlformats.org/officeDocument/2006/relationships/image" Target="media/image12.png"/></Relationships>
</file>

<file path=word/_rels/header25.xml.rels><?xml version="1.0" encoding="UTF-8" standalone="yes"?>
<Relationships xmlns="http://schemas.openxmlformats.org/package/2006/relationships"><Relationship Id="rId1" Type="http://schemas.openxmlformats.org/officeDocument/2006/relationships/image" Target="media/image12.png"/></Relationships>
</file>

<file path=word/_rels/header26.xml.rels><?xml version="1.0" encoding="UTF-8" standalone="yes"?>
<Relationships xmlns="http://schemas.openxmlformats.org/package/2006/relationships"><Relationship Id="rId1" Type="http://schemas.openxmlformats.org/officeDocument/2006/relationships/image" Target="media/image12.png"/></Relationships>
</file>

<file path=word/_rels/header27.xml.rels><?xml version="1.0" encoding="UTF-8" standalone="yes"?>
<Relationships xmlns="http://schemas.openxmlformats.org/package/2006/relationships"><Relationship Id="rId1" Type="http://schemas.openxmlformats.org/officeDocument/2006/relationships/image" Target="media/image12.png"/></Relationships>
</file>

<file path=word/_rels/header28.xml.rels><?xml version="1.0" encoding="UTF-8" standalone="yes"?>
<Relationships xmlns="http://schemas.openxmlformats.org/package/2006/relationships"><Relationship Id="rId1" Type="http://schemas.openxmlformats.org/officeDocument/2006/relationships/image" Target="media/image12.png"/></Relationships>
</file>

<file path=word/_rels/header29.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30.xml.rels><?xml version="1.0" encoding="UTF-8" standalone="yes"?>
<Relationships xmlns="http://schemas.openxmlformats.org/package/2006/relationships"><Relationship Id="rId1" Type="http://schemas.openxmlformats.org/officeDocument/2006/relationships/image" Target="media/image12.png"/></Relationships>
</file>

<file path=word/_rels/header31.xml.rels><?xml version="1.0" encoding="UTF-8" standalone="yes"?>
<Relationships xmlns="http://schemas.openxmlformats.org/package/2006/relationships"><Relationship Id="rId1" Type="http://schemas.openxmlformats.org/officeDocument/2006/relationships/image" Target="media/image12.png"/></Relationships>
</file>

<file path=word/_rels/header32.xml.rels><?xml version="1.0" encoding="UTF-8" standalone="yes"?>
<Relationships xmlns="http://schemas.openxmlformats.org/package/2006/relationships"><Relationship Id="rId1" Type="http://schemas.openxmlformats.org/officeDocument/2006/relationships/image" Target="media/image12.png"/></Relationships>
</file>

<file path=word/_rels/header33.xml.rels><?xml version="1.0" encoding="UTF-8" standalone="yes"?>
<Relationships xmlns="http://schemas.openxmlformats.org/package/2006/relationships"><Relationship Id="rId1" Type="http://schemas.openxmlformats.org/officeDocument/2006/relationships/image" Target="media/image12.png"/></Relationships>
</file>

<file path=word/_rels/header34.xml.rels><?xml version="1.0" encoding="UTF-8" standalone="yes"?>
<Relationships xmlns="http://schemas.openxmlformats.org/package/2006/relationships"><Relationship Id="rId1" Type="http://schemas.openxmlformats.org/officeDocument/2006/relationships/image" Target="media/image12.png"/></Relationships>
</file>

<file path=word/_rels/header35.xml.rels><?xml version="1.0" encoding="UTF-8" standalone="yes"?>
<Relationships xmlns="http://schemas.openxmlformats.org/package/2006/relationships"><Relationship Id="rId1" Type="http://schemas.openxmlformats.org/officeDocument/2006/relationships/image" Target="media/image12.png"/></Relationships>
</file>

<file path=word/_rels/header36.xml.rels><?xml version="1.0" encoding="UTF-8" standalone="yes"?>
<Relationships xmlns="http://schemas.openxmlformats.org/package/2006/relationships"><Relationship Id="rId1" Type="http://schemas.openxmlformats.org/officeDocument/2006/relationships/image" Target="media/image12.png"/></Relationships>
</file>

<file path=word/_rels/header37.xml.rels><?xml version="1.0" encoding="UTF-8" standalone="yes"?>
<Relationships xmlns="http://schemas.openxmlformats.org/package/2006/relationships"><Relationship Id="rId1" Type="http://schemas.openxmlformats.org/officeDocument/2006/relationships/image" Target="media/image12.png"/></Relationships>
</file>

<file path=word/_rels/header38.xml.rels><?xml version="1.0" encoding="UTF-8" standalone="yes"?>
<Relationships xmlns="http://schemas.openxmlformats.org/package/2006/relationships"><Relationship Id="rId1" Type="http://schemas.openxmlformats.org/officeDocument/2006/relationships/image" Target="media/image12.png"/></Relationships>
</file>

<file path=word/_rels/header39.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40.xml.rels><?xml version="1.0" encoding="UTF-8" standalone="yes"?>
<Relationships xmlns="http://schemas.openxmlformats.org/package/2006/relationships"><Relationship Id="rId1" Type="http://schemas.openxmlformats.org/officeDocument/2006/relationships/image" Target="media/image12.png"/></Relationships>
</file>

<file path=word/_rels/header41.xml.rels><?xml version="1.0" encoding="UTF-8" standalone="yes"?>
<Relationships xmlns="http://schemas.openxmlformats.org/package/2006/relationships"><Relationship Id="rId1" Type="http://schemas.openxmlformats.org/officeDocument/2006/relationships/image" Target="media/image12.png"/></Relationships>
</file>

<file path=word/_rels/header42.xml.rels><?xml version="1.0" encoding="UTF-8" standalone="yes"?>
<Relationships xmlns="http://schemas.openxmlformats.org/package/2006/relationships"><Relationship Id="rId1" Type="http://schemas.openxmlformats.org/officeDocument/2006/relationships/image" Target="media/image12.png"/></Relationships>
</file>

<file path=word/_rels/header43.xml.rels><?xml version="1.0" encoding="UTF-8" standalone="yes"?>
<Relationships xmlns="http://schemas.openxmlformats.org/package/2006/relationships"><Relationship Id="rId1" Type="http://schemas.openxmlformats.org/officeDocument/2006/relationships/image" Target="media/image12.png"/></Relationships>
</file>

<file path=word/_rels/header44.xml.rels><?xml version="1.0" encoding="UTF-8" standalone="yes"?>
<Relationships xmlns="http://schemas.openxmlformats.org/package/2006/relationships"><Relationship Id="rId1" Type="http://schemas.openxmlformats.org/officeDocument/2006/relationships/image" Target="media/image12.png"/></Relationships>
</file>

<file path=word/_rels/header45.xml.rels><?xml version="1.0" encoding="UTF-8" standalone="yes"?>
<Relationships xmlns="http://schemas.openxmlformats.org/package/2006/relationships"><Relationship Id="rId1" Type="http://schemas.openxmlformats.org/officeDocument/2006/relationships/image" Target="media/image12.png"/></Relationships>
</file>

<file path=word/_rels/header46.xml.rels><?xml version="1.0" encoding="UTF-8" standalone="yes"?>
<Relationships xmlns="http://schemas.openxmlformats.org/package/2006/relationships"><Relationship Id="rId1" Type="http://schemas.openxmlformats.org/officeDocument/2006/relationships/image" Target="media/image12.png"/></Relationships>
</file>

<file path=word/_rels/header47.xml.rels><?xml version="1.0" encoding="UTF-8" standalone="yes"?>
<Relationships xmlns="http://schemas.openxmlformats.org/package/2006/relationships"><Relationship Id="rId1" Type="http://schemas.openxmlformats.org/officeDocument/2006/relationships/image" Target="media/image12.png"/></Relationships>
</file>

<file path=word/_rels/header48.xml.rels><?xml version="1.0" encoding="UTF-8" standalone="yes"?>
<Relationships xmlns="http://schemas.openxmlformats.org/package/2006/relationships"><Relationship Id="rId1" Type="http://schemas.openxmlformats.org/officeDocument/2006/relationships/image" Target="media/image12.png"/></Relationships>
</file>

<file path=word/_rels/header49.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50.xml.rels><?xml version="1.0" encoding="UTF-8" standalone="yes"?>
<Relationships xmlns="http://schemas.openxmlformats.org/package/2006/relationships"><Relationship Id="rId1" Type="http://schemas.openxmlformats.org/officeDocument/2006/relationships/image" Target="media/image12.png"/></Relationships>
</file>

<file path=word/_rels/header51.xml.rels><?xml version="1.0" encoding="UTF-8" standalone="yes"?>
<Relationships xmlns="http://schemas.openxmlformats.org/package/2006/relationships"><Relationship Id="rId1" Type="http://schemas.openxmlformats.org/officeDocument/2006/relationships/image" Target="media/image12.png"/></Relationships>
</file>

<file path=word/_rels/header52.xml.rels><?xml version="1.0" encoding="UTF-8" standalone="yes"?>
<Relationships xmlns="http://schemas.openxmlformats.org/package/2006/relationships"><Relationship Id="rId1" Type="http://schemas.openxmlformats.org/officeDocument/2006/relationships/image" Target="media/image12.png"/></Relationships>
</file>

<file path=word/_rels/header53.xml.rels><?xml version="1.0" encoding="UTF-8" standalone="yes"?>
<Relationships xmlns="http://schemas.openxmlformats.org/package/2006/relationships"><Relationship Id="rId1" Type="http://schemas.openxmlformats.org/officeDocument/2006/relationships/image" Target="media/image12.png"/></Relationships>
</file>

<file path=word/_rels/header54.xml.rels><?xml version="1.0" encoding="UTF-8" standalone="yes"?>
<Relationships xmlns="http://schemas.openxmlformats.org/package/2006/relationships"><Relationship Id="rId1" Type="http://schemas.openxmlformats.org/officeDocument/2006/relationships/image" Target="media/image12.png"/></Relationships>
</file>

<file path=word/_rels/header55.xml.rels><?xml version="1.0" encoding="UTF-8" standalone="yes"?>
<Relationships xmlns="http://schemas.openxmlformats.org/package/2006/relationships"><Relationship Id="rId1" Type="http://schemas.openxmlformats.org/officeDocument/2006/relationships/image" Target="media/image12.png"/></Relationships>
</file>

<file path=word/_rels/header56.xml.rels><?xml version="1.0" encoding="UTF-8" standalone="yes"?>
<Relationships xmlns="http://schemas.openxmlformats.org/package/2006/relationships"><Relationship Id="rId1" Type="http://schemas.openxmlformats.org/officeDocument/2006/relationships/image" Target="media/image12.png"/></Relationships>
</file>

<file path=word/_rels/header57.xml.rels><?xml version="1.0" encoding="UTF-8" standalone="yes"?>
<Relationships xmlns="http://schemas.openxmlformats.org/package/2006/relationships"><Relationship Id="rId1" Type="http://schemas.openxmlformats.org/officeDocument/2006/relationships/image" Target="media/image12.png"/></Relationships>
</file>

<file path=word/_rels/header58.xml.rels><?xml version="1.0" encoding="UTF-8" standalone="yes"?>
<Relationships xmlns="http://schemas.openxmlformats.org/package/2006/relationships"><Relationship Id="rId1" Type="http://schemas.openxmlformats.org/officeDocument/2006/relationships/image" Target="media/image12.png"/></Relationships>
</file>

<file path=word/_rels/header59.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60.xml.rels><?xml version="1.0" encoding="UTF-8" standalone="yes"?>
<Relationships xmlns="http://schemas.openxmlformats.org/package/2006/relationships"><Relationship Id="rId1" Type="http://schemas.openxmlformats.org/officeDocument/2006/relationships/image" Target="media/image12.png"/></Relationships>
</file>

<file path=word/_rels/header61.xml.rels><?xml version="1.0" encoding="UTF-8" standalone="yes"?>
<Relationships xmlns="http://schemas.openxmlformats.org/package/2006/relationships"><Relationship Id="rId1" Type="http://schemas.openxmlformats.org/officeDocument/2006/relationships/image" Target="media/image12.png"/></Relationships>
</file>

<file path=word/_rels/header62.xml.rels><?xml version="1.0" encoding="UTF-8" standalone="yes"?>
<Relationships xmlns="http://schemas.openxmlformats.org/package/2006/relationships"><Relationship Id="rId1" Type="http://schemas.openxmlformats.org/officeDocument/2006/relationships/image" Target="media/image12.png"/></Relationships>
</file>

<file path=word/_rels/header63.xml.rels><?xml version="1.0" encoding="UTF-8" standalone="yes"?>
<Relationships xmlns="http://schemas.openxmlformats.org/package/2006/relationships"><Relationship Id="rId1" Type="http://schemas.openxmlformats.org/officeDocument/2006/relationships/image" Target="media/image12.png"/></Relationships>
</file>

<file path=word/_rels/header64.xml.rels><?xml version="1.0" encoding="UTF-8" standalone="yes"?>
<Relationships xmlns="http://schemas.openxmlformats.org/package/2006/relationships"><Relationship Id="rId1" Type="http://schemas.openxmlformats.org/officeDocument/2006/relationships/image" Target="media/image12.png"/></Relationships>
</file>

<file path=word/_rels/header65.xml.rels><?xml version="1.0" encoding="UTF-8" standalone="yes"?>
<Relationships xmlns="http://schemas.openxmlformats.org/package/2006/relationships"><Relationship Id="rId1" Type="http://schemas.openxmlformats.org/officeDocument/2006/relationships/image" Target="media/image12.png"/></Relationships>
</file>

<file path=word/_rels/header66.xml.rels><?xml version="1.0" encoding="UTF-8" standalone="yes"?>
<Relationships xmlns="http://schemas.openxmlformats.org/package/2006/relationships"><Relationship Id="rId1" Type="http://schemas.openxmlformats.org/officeDocument/2006/relationships/image" Target="media/image12.png"/></Relationships>
</file>

<file path=word/_rels/header67.xml.rels><?xml version="1.0" encoding="UTF-8" standalone="yes"?>
<Relationships xmlns="http://schemas.openxmlformats.org/package/2006/relationships"><Relationship Id="rId1" Type="http://schemas.openxmlformats.org/officeDocument/2006/relationships/image" Target="media/image12.png"/></Relationships>
</file>

<file path=word/_rels/header68.xml.rels><?xml version="1.0" encoding="UTF-8" standalone="yes"?>
<Relationships xmlns="http://schemas.openxmlformats.org/package/2006/relationships"><Relationship Id="rId1" Type="http://schemas.openxmlformats.org/officeDocument/2006/relationships/image" Target="media/image12.png"/></Relationships>
</file>

<file path=word/_rels/header69.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70.xml.rels><?xml version="1.0" encoding="UTF-8" standalone="yes"?>
<Relationships xmlns="http://schemas.openxmlformats.org/package/2006/relationships"><Relationship Id="rId1" Type="http://schemas.openxmlformats.org/officeDocument/2006/relationships/image" Target="media/image12.png"/></Relationships>
</file>

<file path=word/_rels/header71.xml.rels><?xml version="1.0" encoding="UTF-8" standalone="yes"?>
<Relationships xmlns="http://schemas.openxmlformats.org/package/2006/relationships"><Relationship Id="rId1" Type="http://schemas.openxmlformats.org/officeDocument/2006/relationships/image" Target="media/image12.png"/></Relationships>
</file>

<file path=word/_rels/header72.xml.rels><?xml version="1.0" encoding="UTF-8" standalone="yes"?>
<Relationships xmlns="http://schemas.openxmlformats.org/package/2006/relationships"><Relationship Id="rId1" Type="http://schemas.openxmlformats.org/officeDocument/2006/relationships/image" Target="media/image12.png"/></Relationships>
</file>

<file path=word/_rels/header73.xml.rels><?xml version="1.0" encoding="UTF-8" standalone="yes"?>
<Relationships xmlns="http://schemas.openxmlformats.org/package/2006/relationships"><Relationship Id="rId1" Type="http://schemas.openxmlformats.org/officeDocument/2006/relationships/image" Target="media/image12.png"/></Relationships>
</file>

<file path=word/_rels/header74.xml.rels><?xml version="1.0" encoding="UTF-8" standalone="yes"?>
<Relationships xmlns="http://schemas.openxmlformats.org/package/2006/relationships"><Relationship Id="rId1" Type="http://schemas.openxmlformats.org/officeDocument/2006/relationships/image" Target="media/image12.png"/></Relationships>
</file>

<file path=word/_rels/header75.xml.rels><?xml version="1.0" encoding="UTF-8" standalone="yes"?>
<Relationships xmlns="http://schemas.openxmlformats.org/package/2006/relationships"><Relationship Id="rId1" Type="http://schemas.openxmlformats.org/officeDocument/2006/relationships/image" Target="media/image12.png"/></Relationships>
</file>

<file path=word/_rels/header76.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0</ap:TotalTime>
  <ap:Pages>160</ap:Pages>
  <ap:Words>93210</ap:Words>
  <ap:Characters>531298</ap:Characters>
  <ap:Application>Microsoft Office Word</ap:Application>
  <ap:DocSecurity>0</ap:DocSecurity>
  <ap:Lines>4427</ap:Lines>
  <ap:Paragraphs>1246</ap:Paragraphs>
  <ap:ScaleCrop>false</ap:ScaleCrop>
  <ap:Company/>
  <ap:LinksUpToDate>false</ap:LinksUpToDate>
  <ap:CharactersWithSpaces>623262</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2023-08-17T09:53:49Z</dcterms:created>
  <dcterms:modified xsi:type="dcterms:W3CDTF">2023-08-17T09:53:49Z</dcterms:modified>
</cp:coreProperties>
</file>